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header42.xml" ContentType="application/vnd.openxmlformats-officedocument.wordprocessingml.header+xml"/>
  <Override PartName="/word/footer43.xml" ContentType="application/vnd.openxmlformats-officedocument.wordprocessingml.footer+xml"/>
  <Override PartName="/word/header43.xml" ContentType="application/vnd.openxmlformats-officedocument.wordprocessingml.header+xml"/>
  <Override PartName="/word/footer44.xml" ContentType="application/vnd.openxmlformats-officedocument.wordprocessingml.footer+xml"/>
  <Override PartName="/word/header44.xml" ContentType="application/vnd.openxmlformats-officedocument.wordprocessingml.header+xml"/>
  <Override PartName="/word/footer45.xml" ContentType="application/vnd.openxmlformats-officedocument.wordprocessingml.footer+xml"/>
  <Override PartName="/word/header45.xml" ContentType="application/vnd.openxmlformats-officedocument.wordprocessingml.header+xml"/>
  <Override PartName="/word/footer46.xml" ContentType="application/vnd.openxmlformats-officedocument.wordprocessingml.footer+xml"/>
  <Override PartName="/word/header46.xml" ContentType="application/vnd.openxmlformats-officedocument.wordprocessingml.header+xml"/>
  <Override PartName="/word/footer47.xml" ContentType="application/vnd.openxmlformats-officedocument.wordprocessingml.footer+xml"/>
  <Override PartName="/word/header47.xml" ContentType="application/vnd.openxmlformats-officedocument.wordprocessingml.header+xml"/>
  <Override PartName="/word/footer48.xml" ContentType="application/vnd.openxmlformats-officedocument.wordprocessingml.footer+xml"/>
  <Override PartName="/word/header48.xml" ContentType="application/vnd.openxmlformats-officedocument.wordprocessingml.header+xml"/>
  <Override PartName="/word/footer49.xml" ContentType="application/vnd.openxmlformats-officedocument.wordprocessingml.footer+xml"/>
  <Override PartName="/word/header49.xml" ContentType="application/vnd.openxmlformats-officedocument.wordprocessingml.header+xml"/>
  <Override PartName="/word/footer50.xml" ContentType="application/vnd.openxmlformats-officedocument.wordprocessingml.footer+xml"/>
  <Override PartName="/word/header50.xml" ContentType="application/vnd.openxmlformats-officedocument.wordprocessingml.header+xml"/>
  <Override PartName="/word/footer51.xml" ContentType="application/vnd.openxmlformats-officedocument.wordprocessingml.footer+xml"/>
  <Override PartName="/word/header51.xml" ContentType="application/vnd.openxmlformats-officedocument.wordprocessingml.header+xml"/>
  <Override PartName="/word/footer52.xml" ContentType="application/vnd.openxmlformats-officedocument.wordprocessingml.footer+xml"/>
  <Override PartName="/word/header52.xml" ContentType="application/vnd.openxmlformats-officedocument.wordprocessingml.header+xml"/>
  <Override PartName="/word/footer53.xml" ContentType="application/vnd.openxmlformats-officedocument.wordprocessingml.footer+xml"/>
  <Override PartName="/word/header53.xml" ContentType="application/vnd.openxmlformats-officedocument.wordprocessingml.header+xml"/>
  <Override PartName="/word/footer54.xml" ContentType="application/vnd.openxmlformats-officedocument.wordprocessingml.footer+xml"/>
  <Override PartName="/word/header54.xml" ContentType="application/vnd.openxmlformats-officedocument.wordprocessingml.header+xml"/>
  <Override PartName="/word/footer55.xml" ContentType="application/vnd.openxmlformats-officedocument.wordprocessingml.footer+xml"/>
  <Override PartName="/word/header55.xml" ContentType="application/vnd.openxmlformats-officedocument.wordprocessingml.header+xml"/>
  <Override PartName="/word/footer56.xml" ContentType="application/vnd.openxmlformats-officedocument.wordprocessingml.footer+xml"/>
  <Override PartName="/word/header56.xml" ContentType="application/vnd.openxmlformats-officedocument.wordprocessingml.header+xml"/>
  <Override PartName="/word/footer57.xml" ContentType="application/vnd.openxmlformats-officedocument.wordprocessingml.footer+xml"/>
  <Override PartName="/word/header57.xml" ContentType="application/vnd.openxmlformats-officedocument.wordprocessingml.header+xml"/>
  <Override PartName="/word/footer58.xml" ContentType="application/vnd.openxmlformats-officedocument.wordprocessingml.footer+xml"/>
  <Override PartName="/word/header58.xml" ContentType="application/vnd.openxmlformats-officedocument.wordprocessingml.header+xml"/>
  <Override PartName="/word/footer59.xml" ContentType="application/vnd.openxmlformats-officedocument.wordprocessingml.footer+xml"/>
  <Override PartName="/word/header59.xml" ContentType="application/vnd.openxmlformats-officedocument.wordprocessingml.header+xml"/>
  <Override PartName="/word/footer60.xml" ContentType="application/vnd.openxmlformats-officedocument.wordprocessingml.footer+xml"/>
  <Override PartName="/word/header60.xml" ContentType="application/vnd.openxmlformats-officedocument.wordprocessingml.header+xml"/>
  <Override PartName="/word/footer61.xml" ContentType="application/vnd.openxmlformats-officedocument.wordprocessingml.footer+xml"/>
  <Override PartName="/word/header61.xml" ContentType="application/vnd.openxmlformats-officedocument.wordprocessingml.header+xml"/>
  <Override PartName="/word/footer62.xml" ContentType="application/vnd.openxmlformats-officedocument.wordprocessingml.footer+xml"/>
  <Override PartName="/word/header62.xml" ContentType="application/vnd.openxmlformats-officedocument.wordprocessingml.header+xml"/>
  <Override PartName="/word/footer63.xml" ContentType="application/vnd.openxmlformats-officedocument.wordprocessingml.footer+xml"/>
  <Override PartName="/word/header63.xml" ContentType="application/vnd.openxmlformats-officedocument.wordprocessingml.header+xml"/>
  <Override PartName="/word/footer64.xml" ContentType="application/vnd.openxmlformats-officedocument.wordprocessingml.footer+xml"/>
  <Override PartName="/word/header64.xml" ContentType="application/vnd.openxmlformats-officedocument.wordprocessingml.header+xml"/>
  <Override PartName="/word/footer65.xml" ContentType="application/vnd.openxmlformats-officedocument.wordprocessingml.footer+xml"/>
  <Override PartName="/word/header65.xml" ContentType="application/vnd.openxmlformats-officedocument.wordprocessingml.header+xml"/>
  <Override PartName="/word/footer66.xml" ContentType="application/vnd.openxmlformats-officedocument.wordprocessingml.footer+xml"/>
  <Override PartName="/word/header66.xml" ContentType="application/vnd.openxmlformats-officedocument.wordprocessingml.header+xml"/>
  <Override PartName="/word/footer67.xml" ContentType="application/vnd.openxmlformats-officedocument.wordprocessingml.footer+xml"/>
  <Override PartName="/word/header67.xml" ContentType="application/vnd.openxmlformats-officedocument.wordprocessingml.header+xml"/>
  <Override PartName="/word/footer68.xml" ContentType="application/vnd.openxmlformats-officedocument.wordprocessingml.footer+xml"/>
  <Override PartName="/word/header68.xml" ContentType="application/vnd.openxmlformats-officedocument.wordprocessingml.header+xml"/>
  <Override PartName="/word/footer69.xml" ContentType="application/vnd.openxmlformats-officedocument.wordprocessingml.footer+xml"/>
  <Override PartName="/word/header69.xml" ContentType="application/vnd.openxmlformats-officedocument.wordprocessingml.header+xml"/>
  <Override PartName="/word/footer70.xml" ContentType="application/vnd.openxmlformats-officedocument.wordprocessingml.footer+xml"/>
  <Override PartName="/word/header70.xml" ContentType="application/vnd.openxmlformats-officedocument.wordprocessingml.header+xml"/>
  <Override PartName="/word/footer71.xml" ContentType="application/vnd.openxmlformats-officedocument.wordprocessingml.footer+xml"/>
  <Override PartName="/word/header71.xml" ContentType="application/vnd.openxmlformats-officedocument.wordprocessingml.header+xml"/>
  <Override PartName="/word/footer72.xml" ContentType="application/vnd.openxmlformats-officedocument.wordprocessingml.footer+xml"/>
  <Override PartName="/word/header72.xml" ContentType="application/vnd.openxmlformats-officedocument.wordprocessingml.header+xml"/>
  <Override PartName="/word/footer73.xml" ContentType="application/vnd.openxmlformats-officedocument.wordprocessingml.footer+xml"/>
  <Override PartName="/word/header73.xml" ContentType="application/vnd.openxmlformats-officedocument.wordprocessingml.header+xml"/>
  <Override PartName="/word/footer74.xml" ContentType="application/vnd.openxmlformats-officedocument.wordprocessingml.footer+xml"/>
  <Override PartName="/word/header74.xml" ContentType="application/vnd.openxmlformats-officedocument.wordprocessingml.header+xml"/>
  <Override PartName="/word/footer75.xml" ContentType="application/vnd.openxmlformats-officedocument.wordprocessingml.footer+xml"/>
  <Override PartName="/word/header75.xml" ContentType="application/vnd.openxmlformats-officedocument.wordprocessingml.header+xml"/>
  <Override PartName="/word/footer76.xml" ContentType="application/vnd.openxmlformats-officedocument.wordprocessingml.footer+xml"/>
  <Override PartName="/word/header76.xml" ContentType="application/vnd.openxmlformats-officedocument.wordprocessingml.header+xml"/>
  <Override PartName="/word/footer77.xml" ContentType="application/vnd.openxmlformats-officedocument.wordprocessingml.footer+xml"/>
  <Override PartName="/word/header77.xml" ContentType="application/vnd.openxmlformats-officedocument.wordprocessingml.header+xml"/>
  <Override PartName="/word/footer78.xml" ContentType="application/vnd.openxmlformats-officedocument.wordprocessingml.footer+xml"/>
  <Override PartName="/word/header78.xml" ContentType="application/vnd.openxmlformats-officedocument.wordprocessingml.header+xml"/>
  <Override PartName="/word/footer79.xml" ContentType="application/vnd.openxmlformats-officedocument.wordprocessingml.footer+xml"/>
  <Override PartName="/word/header79.xml" ContentType="application/vnd.openxmlformats-officedocument.wordprocessingml.header+xml"/>
  <Override PartName="/word/footer80.xml" ContentType="application/vnd.openxmlformats-officedocument.wordprocessingml.footer+xml"/>
  <Override PartName="/word/header80.xml" ContentType="application/vnd.openxmlformats-officedocument.wordprocessingml.header+xml"/>
  <Override PartName="/word/footer81.xml" ContentType="application/vnd.openxmlformats-officedocument.wordprocessingml.footer+xml"/>
  <Override PartName="/word/header81.xml" ContentType="application/vnd.openxmlformats-officedocument.wordprocessingml.header+xml"/>
  <Override PartName="/word/footer82.xml" ContentType="application/vnd.openxmlformats-officedocument.wordprocessingml.footer+xml"/>
  <Override PartName="/word/header82.xml" ContentType="application/vnd.openxmlformats-officedocument.wordprocessingml.header+xml"/>
  <Override PartName="/word/footer83.xml" ContentType="application/vnd.openxmlformats-officedocument.wordprocessingml.footer+xml"/>
  <Override PartName="/word/header83.xml" ContentType="application/vnd.openxmlformats-officedocument.wordprocessingml.header+xml"/>
  <Override PartName="/word/footer84.xml" ContentType="application/vnd.openxmlformats-officedocument.wordprocessingml.footer+xml"/>
  <Override PartName="/word/header84.xml" ContentType="application/vnd.openxmlformats-officedocument.wordprocessingml.header+xml"/>
  <Override PartName="/word/footer85.xml" ContentType="application/vnd.openxmlformats-officedocument.wordprocessingml.footer+xml"/>
  <Override PartName="/word/header85.xml" ContentType="application/vnd.openxmlformats-officedocument.wordprocessingml.header+xml"/>
  <Override PartName="/word/footer86.xml" ContentType="application/vnd.openxmlformats-officedocument.wordprocessingml.footer+xml"/>
  <Override PartName="/word/header86.xml" ContentType="application/vnd.openxmlformats-officedocument.wordprocessingml.header+xml"/>
  <Override PartName="/word/footer87.xml" ContentType="application/vnd.openxmlformats-officedocument.wordprocessingml.footer+xml"/>
  <Override PartName="/word/header87.xml" ContentType="application/vnd.openxmlformats-officedocument.wordprocessingml.header+xml"/>
  <Override PartName="/word/footer88.xml" ContentType="application/vnd.openxmlformats-officedocument.wordprocessingml.footer+xml"/>
  <Override PartName="/word/header88.xml" ContentType="application/vnd.openxmlformats-officedocument.wordprocessingml.header+xml"/>
  <Override PartName="/word/footer89.xml" ContentType="application/vnd.openxmlformats-officedocument.wordprocessingml.footer+xml"/>
  <Override PartName="/word/header89.xml" ContentType="application/vnd.openxmlformats-officedocument.wordprocessingml.header+xml"/>
  <Override PartName="/word/footer90.xml" ContentType="application/vnd.openxmlformats-officedocument.wordprocessingml.footer+xml"/>
  <Override PartName="/word/header90.xml" ContentType="application/vnd.openxmlformats-officedocument.wordprocessingml.header+xml"/>
  <Override PartName="/word/footer91.xml" ContentType="application/vnd.openxmlformats-officedocument.wordprocessingml.footer+xml"/>
  <Override PartName="/word/header91.xml" ContentType="application/vnd.openxmlformats-officedocument.wordprocessingml.header+xml"/>
  <Override PartName="/word/footer92.xml" ContentType="application/vnd.openxmlformats-officedocument.wordprocessingml.footer+xml"/>
  <Override PartName="/word/header92.xml" ContentType="application/vnd.openxmlformats-officedocument.wordprocessingml.header+xml"/>
  <Override PartName="/word/footer93.xml" ContentType="application/vnd.openxmlformats-officedocument.wordprocessingml.footer+xml"/>
  <Override PartName="/word/header93.xml" ContentType="application/vnd.openxmlformats-officedocument.wordprocessingml.header+xml"/>
  <Override PartName="/word/footer94.xml" ContentType="application/vnd.openxmlformats-officedocument.wordprocessingml.footer+xml"/>
  <Override PartName="/word/header94.xml" ContentType="application/vnd.openxmlformats-officedocument.wordprocessingml.header+xml"/>
  <Override PartName="/word/footer95.xml" ContentType="application/vnd.openxmlformats-officedocument.wordprocessingml.footer+xml"/>
  <Override PartName="/word/header95.xml" ContentType="application/vnd.openxmlformats-officedocument.wordprocessingml.header+xml"/>
  <Override PartName="/word/footer96.xml" ContentType="application/vnd.openxmlformats-officedocument.wordprocessingml.footer+xml"/>
  <Override PartName="/word/header96.xml" ContentType="application/vnd.openxmlformats-officedocument.wordprocessingml.header+xml"/>
  <Override PartName="/word/footer9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GoBack"/>
    <w:bookmarkEnd w:id="0"/>
    <w:p w14:paraId="524E130F" w14:textId="77777777" w:rsidR="00FA4AA8" w:rsidRDefault="007E2441">
      <w:pPr>
        <w:pStyle w:val="BodyText"/>
        <w:rPr>
          <w:rFonts w:ascii="Times New Roman"/>
          <w:sz w:val="20"/>
        </w:rPr>
      </w:pPr>
      <w:r>
        <w:rPr>
          <w:noProof/>
          <w:lang w:val="en-AU" w:eastAsia="en-AU"/>
        </w:rPr>
        <mc:AlternateContent>
          <mc:Choice Requires="wpg">
            <w:drawing>
              <wp:anchor distT="0" distB="0" distL="114300" distR="114300" simplePos="0" relativeHeight="462716416" behindDoc="1" locked="0" layoutInCell="1" allowOverlap="1" wp14:anchorId="49BCFA22" wp14:editId="71D4B73A">
                <wp:simplePos x="0" y="0"/>
                <wp:positionH relativeFrom="page">
                  <wp:posOffset>0</wp:posOffset>
                </wp:positionH>
                <wp:positionV relativeFrom="page">
                  <wp:posOffset>24130</wp:posOffset>
                </wp:positionV>
                <wp:extent cx="4100830" cy="7254240"/>
                <wp:effectExtent l="0" t="0" r="0" b="0"/>
                <wp:wrapNone/>
                <wp:docPr id="3692" name="Group 3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0830" cy="7254240"/>
                          <a:chOff x="0" y="38"/>
                          <a:chExt cx="9498" cy="16800"/>
                        </a:xfrm>
                      </wpg:grpSpPr>
                      <pic:pic xmlns:pic="http://schemas.openxmlformats.org/drawingml/2006/picture">
                        <pic:nvPicPr>
                          <pic:cNvPr id="3693" name="Picture 346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38"/>
                            <a:ext cx="9498" cy="16800"/>
                          </a:xfrm>
                          <a:prstGeom prst="rect">
                            <a:avLst/>
                          </a:prstGeom>
                          <a:noFill/>
                          <a:extLst>
                            <a:ext uri="{909E8E84-426E-40DD-AFC4-6F175D3DCCD1}">
                              <a14:hiddenFill xmlns:a14="http://schemas.microsoft.com/office/drawing/2010/main">
                                <a:solidFill>
                                  <a:srgbClr val="FFFFFF"/>
                                </a:solidFill>
                              </a14:hiddenFill>
                            </a:ext>
                          </a:extLst>
                        </pic:spPr>
                      </pic:pic>
                      <wps:wsp>
                        <wps:cNvPr id="3694" name="Freeform 3462"/>
                        <wps:cNvSpPr>
                          <a:spLocks/>
                        </wps:cNvSpPr>
                        <wps:spPr bwMode="auto">
                          <a:xfrm>
                            <a:off x="4535" y="1136"/>
                            <a:ext cx="318" cy="244"/>
                          </a:xfrm>
                          <a:custGeom>
                            <a:avLst/>
                            <a:gdLst>
                              <a:gd name="T0" fmla="+- 0 4717 4536"/>
                              <a:gd name="T1" fmla="*/ T0 w 318"/>
                              <a:gd name="T2" fmla="+- 0 1136 1136"/>
                              <a:gd name="T3" fmla="*/ 1136 h 244"/>
                              <a:gd name="T4" fmla="+- 0 4673 4536"/>
                              <a:gd name="T5" fmla="*/ T4 w 318"/>
                              <a:gd name="T6" fmla="+- 0 1136 1136"/>
                              <a:gd name="T7" fmla="*/ 1136 h 244"/>
                              <a:gd name="T8" fmla="+- 0 4629 4536"/>
                              <a:gd name="T9" fmla="*/ T8 w 318"/>
                              <a:gd name="T10" fmla="+- 0 1296 1136"/>
                              <a:gd name="T11" fmla="*/ 1296 h 244"/>
                              <a:gd name="T12" fmla="+- 0 4589 4536"/>
                              <a:gd name="T13" fmla="*/ T12 w 318"/>
                              <a:gd name="T14" fmla="+- 0 1137 1136"/>
                              <a:gd name="T15" fmla="*/ 1137 h 244"/>
                              <a:gd name="T16" fmla="+- 0 4536 4536"/>
                              <a:gd name="T17" fmla="*/ T16 w 318"/>
                              <a:gd name="T18" fmla="+- 0 1137 1136"/>
                              <a:gd name="T19" fmla="*/ 1137 h 244"/>
                              <a:gd name="T20" fmla="+- 0 4605 4536"/>
                              <a:gd name="T21" fmla="*/ T20 w 318"/>
                              <a:gd name="T22" fmla="+- 0 1379 1136"/>
                              <a:gd name="T23" fmla="*/ 1379 h 244"/>
                              <a:gd name="T24" fmla="+- 0 4650 4536"/>
                              <a:gd name="T25" fmla="*/ T24 w 318"/>
                              <a:gd name="T26" fmla="+- 0 1379 1136"/>
                              <a:gd name="T27" fmla="*/ 1379 h 244"/>
                              <a:gd name="T28" fmla="+- 0 4694 4536"/>
                              <a:gd name="T29" fmla="*/ T28 w 318"/>
                              <a:gd name="T30" fmla="+- 0 1226 1136"/>
                              <a:gd name="T31" fmla="*/ 1226 h 244"/>
                              <a:gd name="T32" fmla="+- 0 4738 4536"/>
                              <a:gd name="T33" fmla="*/ T32 w 318"/>
                              <a:gd name="T34" fmla="+- 0 1379 1136"/>
                              <a:gd name="T35" fmla="*/ 1379 h 244"/>
                              <a:gd name="T36" fmla="+- 0 4784 4536"/>
                              <a:gd name="T37" fmla="*/ T36 w 318"/>
                              <a:gd name="T38" fmla="+- 0 1379 1136"/>
                              <a:gd name="T39" fmla="*/ 1379 h 244"/>
                              <a:gd name="T40" fmla="+- 0 4853 4536"/>
                              <a:gd name="T41" fmla="*/ T40 w 318"/>
                              <a:gd name="T42" fmla="+- 0 1137 1136"/>
                              <a:gd name="T43" fmla="*/ 1137 h 244"/>
                              <a:gd name="T44" fmla="+- 0 4801 4536"/>
                              <a:gd name="T45" fmla="*/ T44 w 318"/>
                              <a:gd name="T46" fmla="+- 0 1137 1136"/>
                              <a:gd name="T47" fmla="*/ 1137 h 244"/>
                              <a:gd name="T48" fmla="+- 0 4761 4536"/>
                              <a:gd name="T49" fmla="*/ T48 w 318"/>
                              <a:gd name="T50" fmla="+- 0 1296 1136"/>
                              <a:gd name="T51" fmla="*/ 1296 h 244"/>
                              <a:gd name="T52" fmla="+- 0 4717 4536"/>
                              <a:gd name="T53" fmla="*/ T52 w 318"/>
                              <a:gd name="T54" fmla="+- 0 1136 1136"/>
                              <a:gd name="T55" fmla="*/ 1136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18" h="244">
                                <a:moveTo>
                                  <a:pt x="181" y="0"/>
                                </a:moveTo>
                                <a:lnTo>
                                  <a:pt x="137" y="0"/>
                                </a:lnTo>
                                <a:lnTo>
                                  <a:pt x="93" y="160"/>
                                </a:lnTo>
                                <a:lnTo>
                                  <a:pt x="53" y="1"/>
                                </a:lnTo>
                                <a:lnTo>
                                  <a:pt x="0" y="1"/>
                                </a:lnTo>
                                <a:lnTo>
                                  <a:pt x="69" y="243"/>
                                </a:lnTo>
                                <a:lnTo>
                                  <a:pt x="114" y="243"/>
                                </a:lnTo>
                                <a:lnTo>
                                  <a:pt x="158" y="90"/>
                                </a:lnTo>
                                <a:lnTo>
                                  <a:pt x="202" y="243"/>
                                </a:lnTo>
                                <a:lnTo>
                                  <a:pt x="248" y="243"/>
                                </a:lnTo>
                                <a:lnTo>
                                  <a:pt x="317" y="1"/>
                                </a:lnTo>
                                <a:lnTo>
                                  <a:pt x="265" y="1"/>
                                </a:lnTo>
                                <a:lnTo>
                                  <a:pt x="225" y="160"/>
                                </a:lnTo>
                                <a:lnTo>
                                  <a:pt x="1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95" name="Picture 346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878" y="1133"/>
                            <a:ext cx="2073"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96" name="Picture 346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988" y="1136"/>
                            <a:ext cx="382" cy="242"/>
                          </a:xfrm>
                          <a:prstGeom prst="rect">
                            <a:avLst/>
                          </a:prstGeom>
                          <a:noFill/>
                          <a:extLst>
                            <a:ext uri="{909E8E84-426E-40DD-AFC4-6F175D3DCCD1}">
                              <a14:hiddenFill xmlns:a14="http://schemas.microsoft.com/office/drawing/2010/main">
                                <a:solidFill>
                                  <a:srgbClr val="FFFFFF"/>
                                </a:solidFill>
                              </a14:hiddenFill>
                            </a:ext>
                          </a:extLst>
                        </pic:spPr>
                      </pic:pic>
                      <wps:wsp>
                        <wps:cNvPr id="3697" name="AutoShape 3459"/>
                        <wps:cNvSpPr>
                          <a:spLocks/>
                        </wps:cNvSpPr>
                        <wps:spPr bwMode="auto">
                          <a:xfrm>
                            <a:off x="3084" y="1839"/>
                            <a:ext cx="5738" cy="10166"/>
                          </a:xfrm>
                          <a:custGeom>
                            <a:avLst/>
                            <a:gdLst>
                              <a:gd name="T0" fmla="+- 0 6079 3084"/>
                              <a:gd name="T1" fmla="*/ T0 w 5738"/>
                              <a:gd name="T2" fmla="+- 0 1904 1840"/>
                              <a:gd name="T3" fmla="*/ 1904 h 10166"/>
                              <a:gd name="T4" fmla="+- 0 6006 3084"/>
                              <a:gd name="T5" fmla="*/ T4 w 5738"/>
                              <a:gd name="T6" fmla="+- 0 2121 1840"/>
                              <a:gd name="T7" fmla="*/ 2121 h 10166"/>
                              <a:gd name="T8" fmla="+- 0 5951 3084"/>
                              <a:gd name="T9" fmla="*/ T8 w 5738"/>
                              <a:gd name="T10" fmla="+- 0 1975 1840"/>
                              <a:gd name="T11" fmla="*/ 1975 h 10166"/>
                              <a:gd name="T12" fmla="+- 0 5895 3084"/>
                              <a:gd name="T13" fmla="*/ T12 w 5738"/>
                              <a:gd name="T14" fmla="+- 0 2121 1840"/>
                              <a:gd name="T15" fmla="*/ 2121 h 10166"/>
                              <a:gd name="T16" fmla="+- 0 5822 3084"/>
                              <a:gd name="T17" fmla="*/ T16 w 5738"/>
                              <a:gd name="T18" fmla="+- 0 1904 1840"/>
                              <a:gd name="T19" fmla="*/ 1904 h 10166"/>
                              <a:gd name="T20" fmla="+- 0 5936 3084"/>
                              <a:gd name="T21" fmla="*/ T20 w 5738"/>
                              <a:gd name="T22" fmla="+- 0 1904 1840"/>
                              <a:gd name="T23" fmla="*/ 1904 h 10166"/>
                              <a:gd name="T24" fmla="+- 0 6046 3084"/>
                              <a:gd name="T25" fmla="*/ T24 w 5738"/>
                              <a:gd name="T26" fmla="+- 0 1904 1840"/>
                              <a:gd name="T27" fmla="*/ 1904 h 10166"/>
                              <a:gd name="T28" fmla="+- 0 5790 3084"/>
                              <a:gd name="T29" fmla="*/ T28 w 5738"/>
                              <a:gd name="T30" fmla="+- 0 1840 1840"/>
                              <a:gd name="T31" fmla="*/ 1840 h 10166"/>
                              <a:gd name="T32" fmla="+- 0 5870 3084"/>
                              <a:gd name="T33" fmla="*/ T32 w 5738"/>
                              <a:gd name="T34" fmla="+- 0 2196 1840"/>
                              <a:gd name="T35" fmla="*/ 2196 h 10166"/>
                              <a:gd name="T36" fmla="+- 0 5976 3084"/>
                              <a:gd name="T37" fmla="*/ T36 w 5738"/>
                              <a:gd name="T38" fmla="+- 0 2230 1840"/>
                              <a:gd name="T39" fmla="*/ 2230 h 10166"/>
                              <a:gd name="T40" fmla="+- 0 6093 3084"/>
                              <a:gd name="T41" fmla="*/ T40 w 5738"/>
                              <a:gd name="T42" fmla="+- 0 2130 1840"/>
                              <a:gd name="T43" fmla="*/ 2130 h 10166"/>
                              <a:gd name="T44" fmla="+- 0 6112 3084"/>
                              <a:gd name="T45" fmla="*/ T44 w 5738"/>
                              <a:gd name="T46" fmla="+- 0 1840 1840"/>
                              <a:gd name="T47" fmla="*/ 1840 h 10166"/>
                              <a:gd name="T48" fmla="+- 0 8243 3084"/>
                              <a:gd name="T49" fmla="*/ T48 w 5738"/>
                              <a:gd name="T50" fmla="+- 0 5981 1840"/>
                              <a:gd name="T51" fmla="*/ 5981 h 10166"/>
                              <a:gd name="T52" fmla="+- 0 7160 3084"/>
                              <a:gd name="T53" fmla="*/ T52 w 5738"/>
                              <a:gd name="T54" fmla="+- 0 9928 1840"/>
                              <a:gd name="T55" fmla="*/ 9928 h 10166"/>
                              <a:gd name="T56" fmla="+- 0 6942 3084"/>
                              <a:gd name="T57" fmla="*/ T56 w 5738"/>
                              <a:gd name="T58" fmla="+- 0 9837 1840"/>
                              <a:gd name="T59" fmla="*/ 9837 h 10166"/>
                              <a:gd name="T60" fmla="+- 0 6708 3084"/>
                              <a:gd name="T61" fmla="*/ T60 w 5738"/>
                              <a:gd name="T62" fmla="+- 0 9764 1840"/>
                              <a:gd name="T63" fmla="*/ 9764 h 10166"/>
                              <a:gd name="T64" fmla="+- 0 5950 3084"/>
                              <a:gd name="T65" fmla="*/ T64 w 5738"/>
                              <a:gd name="T66" fmla="+- 0 7248 1840"/>
                              <a:gd name="T67" fmla="*/ 7248 h 10166"/>
                              <a:gd name="T68" fmla="+- 0 5195 3084"/>
                              <a:gd name="T69" fmla="*/ T68 w 5738"/>
                              <a:gd name="T70" fmla="+- 0 9764 1840"/>
                              <a:gd name="T71" fmla="*/ 9764 h 10166"/>
                              <a:gd name="T72" fmla="+- 0 4960 3084"/>
                              <a:gd name="T73" fmla="*/ T72 w 5738"/>
                              <a:gd name="T74" fmla="+- 0 9837 1840"/>
                              <a:gd name="T75" fmla="*/ 9837 h 10166"/>
                              <a:gd name="T76" fmla="+- 0 4743 3084"/>
                              <a:gd name="T77" fmla="*/ T76 w 5738"/>
                              <a:gd name="T78" fmla="+- 0 9928 1840"/>
                              <a:gd name="T79" fmla="*/ 9928 h 10166"/>
                              <a:gd name="T80" fmla="+- 0 3658 3084"/>
                              <a:gd name="T81" fmla="*/ T80 w 5738"/>
                              <a:gd name="T82" fmla="+- 0 5981 1840"/>
                              <a:gd name="T83" fmla="*/ 5981 h 10166"/>
                              <a:gd name="T84" fmla="+- 0 5697 3084"/>
                              <a:gd name="T85" fmla="*/ T84 w 5738"/>
                              <a:gd name="T86" fmla="+- 0 5981 1840"/>
                              <a:gd name="T87" fmla="*/ 5981 h 10166"/>
                              <a:gd name="T88" fmla="+- 0 7649 3084"/>
                              <a:gd name="T89" fmla="*/ T88 w 5738"/>
                              <a:gd name="T90" fmla="+- 0 5981 1840"/>
                              <a:gd name="T91" fmla="*/ 5981 h 10166"/>
                              <a:gd name="T92" fmla="+- 0 3084 3084"/>
                              <a:gd name="T93" fmla="*/ T92 w 5738"/>
                              <a:gd name="T94" fmla="+- 0 4833 1840"/>
                              <a:gd name="T95" fmla="*/ 4833 h 10166"/>
                              <a:gd name="T96" fmla="+- 0 3094 3084"/>
                              <a:gd name="T97" fmla="*/ T96 w 5738"/>
                              <a:gd name="T98" fmla="+- 0 9307 1840"/>
                              <a:gd name="T99" fmla="*/ 9307 h 10166"/>
                              <a:gd name="T100" fmla="+- 0 3142 3084"/>
                              <a:gd name="T101" fmla="*/ T100 w 5738"/>
                              <a:gd name="T102" fmla="+- 0 9543 1840"/>
                              <a:gd name="T103" fmla="*/ 9543 h 10166"/>
                              <a:gd name="T104" fmla="+- 0 3228 3084"/>
                              <a:gd name="T105" fmla="*/ T104 w 5738"/>
                              <a:gd name="T106" fmla="+- 0 9772 1840"/>
                              <a:gd name="T107" fmla="*/ 9772 h 10166"/>
                              <a:gd name="T108" fmla="+- 0 3346 3084"/>
                              <a:gd name="T109" fmla="*/ T108 w 5738"/>
                              <a:gd name="T110" fmla="+- 0 9995 1840"/>
                              <a:gd name="T111" fmla="*/ 9995 h 10166"/>
                              <a:gd name="T112" fmla="+- 0 3492 3084"/>
                              <a:gd name="T113" fmla="*/ T112 w 5738"/>
                              <a:gd name="T114" fmla="+- 0 10210 1840"/>
                              <a:gd name="T115" fmla="*/ 10210 h 10166"/>
                              <a:gd name="T116" fmla="+- 0 3661 3084"/>
                              <a:gd name="T117" fmla="*/ T116 w 5738"/>
                              <a:gd name="T118" fmla="+- 0 10417 1840"/>
                              <a:gd name="T119" fmla="*/ 10417 h 10166"/>
                              <a:gd name="T120" fmla="+- 0 3849 3084"/>
                              <a:gd name="T121" fmla="*/ T120 w 5738"/>
                              <a:gd name="T122" fmla="+- 0 10614 1840"/>
                              <a:gd name="T123" fmla="*/ 10614 h 10166"/>
                              <a:gd name="T124" fmla="+- 0 4051 3084"/>
                              <a:gd name="T125" fmla="*/ T124 w 5738"/>
                              <a:gd name="T126" fmla="+- 0 10802 1840"/>
                              <a:gd name="T127" fmla="*/ 10802 h 10166"/>
                              <a:gd name="T128" fmla="+- 0 4264 3084"/>
                              <a:gd name="T129" fmla="*/ T128 w 5738"/>
                              <a:gd name="T130" fmla="+- 0 10979 1840"/>
                              <a:gd name="T131" fmla="*/ 10979 h 10166"/>
                              <a:gd name="T132" fmla="+- 0 4481 3084"/>
                              <a:gd name="T133" fmla="*/ T132 w 5738"/>
                              <a:gd name="T134" fmla="+- 0 11144 1840"/>
                              <a:gd name="T135" fmla="*/ 11144 h 10166"/>
                              <a:gd name="T136" fmla="+- 0 4699 3084"/>
                              <a:gd name="T137" fmla="*/ T136 w 5738"/>
                              <a:gd name="T138" fmla="+- 0 11298 1840"/>
                              <a:gd name="T139" fmla="*/ 11298 h 10166"/>
                              <a:gd name="T140" fmla="+- 0 4914 3084"/>
                              <a:gd name="T141" fmla="*/ T140 w 5738"/>
                              <a:gd name="T142" fmla="+- 0 11438 1840"/>
                              <a:gd name="T143" fmla="*/ 11438 h 10166"/>
                              <a:gd name="T144" fmla="+- 0 5120 3084"/>
                              <a:gd name="T145" fmla="*/ T144 w 5738"/>
                              <a:gd name="T146" fmla="+- 0 11565 1840"/>
                              <a:gd name="T147" fmla="*/ 11565 h 10166"/>
                              <a:gd name="T148" fmla="+- 0 5314 3084"/>
                              <a:gd name="T149" fmla="*/ T148 w 5738"/>
                              <a:gd name="T150" fmla="+- 0 11677 1840"/>
                              <a:gd name="T151" fmla="*/ 11677 h 10166"/>
                              <a:gd name="T152" fmla="+- 0 5644 3084"/>
                              <a:gd name="T153" fmla="*/ T152 w 5738"/>
                              <a:gd name="T154" fmla="+- 0 11855 1840"/>
                              <a:gd name="T155" fmla="*/ 11855 h 10166"/>
                              <a:gd name="T156" fmla="+- 0 5894 3084"/>
                              <a:gd name="T157" fmla="*/ T156 w 5738"/>
                              <a:gd name="T158" fmla="+- 0 11978 1840"/>
                              <a:gd name="T159" fmla="*/ 11978 h 10166"/>
                              <a:gd name="T160" fmla="+- 0 5953 3084"/>
                              <a:gd name="T161" fmla="*/ T160 w 5738"/>
                              <a:gd name="T162" fmla="+- 0 12005 1840"/>
                              <a:gd name="T163" fmla="*/ 12005 h 10166"/>
                              <a:gd name="T164" fmla="+- 0 6012 3084"/>
                              <a:gd name="T165" fmla="*/ T164 w 5738"/>
                              <a:gd name="T166" fmla="+- 0 11978 1840"/>
                              <a:gd name="T167" fmla="*/ 11978 h 10166"/>
                              <a:gd name="T168" fmla="+- 0 6261 3084"/>
                              <a:gd name="T169" fmla="*/ T168 w 5738"/>
                              <a:gd name="T170" fmla="+- 0 11855 1840"/>
                              <a:gd name="T171" fmla="*/ 11855 h 10166"/>
                              <a:gd name="T172" fmla="+- 0 6592 3084"/>
                              <a:gd name="T173" fmla="*/ T172 w 5738"/>
                              <a:gd name="T174" fmla="+- 0 11677 1840"/>
                              <a:gd name="T175" fmla="*/ 11677 h 10166"/>
                              <a:gd name="T176" fmla="+- 0 6785 3084"/>
                              <a:gd name="T177" fmla="*/ T176 w 5738"/>
                              <a:gd name="T178" fmla="+- 0 11565 1840"/>
                              <a:gd name="T179" fmla="*/ 11565 h 10166"/>
                              <a:gd name="T180" fmla="+- 0 6992 3084"/>
                              <a:gd name="T181" fmla="*/ T180 w 5738"/>
                              <a:gd name="T182" fmla="+- 0 11438 1840"/>
                              <a:gd name="T183" fmla="*/ 11438 h 10166"/>
                              <a:gd name="T184" fmla="+- 0 7206 3084"/>
                              <a:gd name="T185" fmla="*/ T184 w 5738"/>
                              <a:gd name="T186" fmla="+- 0 11298 1840"/>
                              <a:gd name="T187" fmla="*/ 11298 h 10166"/>
                              <a:gd name="T188" fmla="+- 0 7424 3084"/>
                              <a:gd name="T189" fmla="*/ T188 w 5738"/>
                              <a:gd name="T190" fmla="+- 0 11144 1840"/>
                              <a:gd name="T191" fmla="*/ 11144 h 10166"/>
                              <a:gd name="T192" fmla="+- 0 7642 3084"/>
                              <a:gd name="T193" fmla="*/ T192 w 5738"/>
                              <a:gd name="T194" fmla="+- 0 10979 1840"/>
                              <a:gd name="T195" fmla="*/ 10979 h 10166"/>
                              <a:gd name="T196" fmla="+- 0 7854 3084"/>
                              <a:gd name="T197" fmla="*/ T196 w 5738"/>
                              <a:gd name="T198" fmla="+- 0 10802 1840"/>
                              <a:gd name="T199" fmla="*/ 10802 h 10166"/>
                              <a:gd name="T200" fmla="+- 0 8057 3084"/>
                              <a:gd name="T201" fmla="*/ T200 w 5738"/>
                              <a:gd name="T202" fmla="+- 0 10614 1840"/>
                              <a:gd name="T203" fmla="*/ 10614 h 10166"/>
                              <a:gd name="T204" fmla="+- 0 8245 3084"/>
                              <a:gd name="T205" fmla="*/ T204 w 5738"/>
                              <a:gd name="T206" fmla="+- 0 10417 1840"/>
                              <a:gd name="T207" fmla="*/ 10417 h 10166"/>
                              <a:gd name="T208" fmla="+- 0 8414 3084"/>
                              <a:gd name="T209" fmla="*/ T208 w 5738"/>
                              <a:gd name="T210" fmla="+- 0 10210 1840"/>
                              <a:gd name="T211" fmla="*/ 10210 h 10166"/>
                              <a:gd name="T212" fmla="+- 0 8558 3084"/>
                              <a:gd name="T213" fmla="*/ T212 w 5738"/>
                              <a:gd name="T214" fmla="+- 0 9998 1840"/>
                              <a:gd name="T215" fmla="*/ 9998 h 10166"/>
                              <a:gd name="T216" fmla="+- 0 8642 3084"/>
                              <a:gd name="T217" fmla="*/ T216 w 5738"/>
                              <a:gd name="T218" fmla="+- 0 9847 1840"/>
                              <a:gd name="T219" fmla="*/ 9847 h 10166"/>
                              <a:gd name="T220" fmla="+- 0 8739 3084"/>
                              <a:gd name="T221" fmla="*/ T220 w 5738"/>
                              <a:gd name="T222" fmla="+- 0 9620 1840"/>
                              <a:gd name="T223" fmla="*/ 9620 h 10166"/>
                              <a:gd name="T224" fmla="+- 0 8800 3084"/>
                              <a:gd name="T225" fmla="*/ T224 w 5738"/>
                              <a:gd name="T226" fmla="+- 0 9387 1840"/>
                              <a:gd name="T227" fmla="*/ 9387 h 10166"/>
                              <a:gd name="T228" fmla="+- 0 8821 3084"/>
                              <a:gd name="T229" fmla="*/ T228 w 5738"/>
                              <a:gd name="T230" fmla="+- 0 9147 1840"/>
                              <a:gd name="T231" fmla="*/ 9147 h 10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5738" h="10166">
                                <a:moveTo>
                                  <a:pt x="3028" y="0"/>
                                </a:moveTo>
                                <a:lnTo>
                                  <a:pt x="2995" y="0"/>
                                </a:lnTo>
                                <a:lnTo>
                                  <a:pt x="2995" y="64"/>
                                </a:lnTo>
                                <a:lnTo>
                                  <a:pt x="2942" y="290"/>
                                </a:lnTo>
                                <a:lnTo>
                                  <a:pt x="2933" y="285"/>
                                </a:lnTo>
                                <a:lnTo>
                                  <a:pt x="2922" y="281"/>
                                </a:lnTo>
                                <a:lnTo>
                                  <a:pt x="2911" y="277"/>
                                </a:lnTo>
                                <a:lnTo>
                                  <a:pt x="2900" y="275"/>
                                </a:lnTo>
                                <a:lnTo>
                                  <a:pt x="2867" y="135"/>
                                </a:lnTo>
                                <a:lnTo>
                                  <a:pt x="2833" y="275"/>
                                </a:lnTo>
                                <a:lnTo>
                                  <a:pt x="2822" y="277"/>
                                </a:lnTo>
                                <a:lnTo>
                                  <a:pt x="2811" y="281"/>
                                </a:lnTo>
                                <a:lnTo>
                                  <a:pt x="2801" y="285"/>
                                </a:lnTo>
                                <a:lnTo>
                                  <a:pt x="2791" y="290"/>
                                </a:lnTo>
                                <a:lnTo>
                                  <a:pt x="2738" y="64"/>
                                </a:lnTo>
                                <a:lnTo>
                                  <a:pt x="2771" y="64"/>
                                </a:lnTo>
                                <a:lnTo>
                                  <a:pt x="2812" y="233"/>
                                </a:lnTo>
                                <a:lnTo>
                                  <a:pt x="2852" y="64"/>
                                </a:lnTo>
                                <a:lnTo>
                                  <a:pt x="2881" y="64"/>
                                </a:lnTo>
                                <a:lnTo>
                                  <a:pt x="2922" y="233"/>
                                </a:lnTo>
                                <a:lnTo>
                                  <a:pt x="2962" y="64"/>
                                </a:lnTo>
                                <a:lnTo>
                                  <a:pt x="2995" y="64"/>
                                </a:lnTo>
                                <a:lnTo>
                                  <a:pt x="2995" y="0"/>
                                </a:lnTo>
                                <a:lnTo>
                                  <a:pt x="2706" y="0"/>
                                </a:lnTo>
                                <a:lnTo>
                                  <a:pt x="2706" y="242"/>
                                </a:lnTo>
                                <a:lnTo>
                                  <a:pt x="2731" y="305"/>
                                </a:lnTo>
                                <a:lnTo>
                                  <a:pt x="2786" y="356"/>
                                </a:lnTo>
                                <a:lnTo>
                                  <a:pt x="2841" y="390"/>
                                </a:lnTo>
                                <a:lnTo>
                                  <a:pt x="2867" y="403"/>
                                </a:lnTo>
                                <a:lnTo>
                                  <a:pt x="2892" y="390"/>
                                </a:lnTo>
                                <a:lnTo>
                                  <a:pt x="2947" y="356"/>
                                </a:lnTo>
                                <a:lnTo>
                                  <a:pt x="3003" y="305"/>
                                </a:lnTo>
                                <a:lnTo>
                                  <a:pt x="3009" y="290"/>
                                </a:lnTo>
                                <a:lnTo>
                                  <a:pt x="3028" y="242"/>
                                </a:lnTo>
                                <a:lnTo>
                                  <a:pt x="3028" y="64"/>
                                </a:lnTo>
                                <a:lnTo>
                                  <a:pt x="3028" y="0"/>
                                </a:lnTo>
                                <a:close/>
                                <a:moveTo>
                                  <a:pt x="5737" y="2993"/>
                                </a:moveTo>
                                <a:lnTo>
                                  <a:pt x="5159" y="2993"/>
                                </a:lnTo>
                                <a:lnTo>
                                  <a:pt x="5159" y="4141"/>
                                </a:lnTo>
                                <a:lnTo>
                                  <a:pt x="4211" y="8158"/>
                                </a:lnTo>
                                <a:lnTo>
                                  <a:pt x="4145" y="8122"/>
                                </a:lnTo>
                                <a:lnTo>
                                  <a:pt x="4076" y="8088"/>
                                </a:lnTo>
                                <a:lnTo>
                                  <a:pt x="4005" y="8056"/>
                                </a:lnTo>
                                <a:lnTo>
                                  <a:pt x="3933" y="8025"/>
                                </a:lnTo>
                                <a:lnTo>
                                  <a:pt x="3858" y="7997"/>
                                </a:lnTo>
                                <a:lnTo>
                                  <a:pt x="3782" y="7971"/>
                                </a:lnTo>
                                <a:lnTo>
                                  <a:pt x="3704" y="7947"/>
                                </a:lnTo>
                                <a:lnTo>
                                  <a:pt x="3624" y="7924"/>
                                </a:lnTo>
                                <a:lnTo>
                                  <a:pt x="3542" y="7905"/>
                                </a:lnTo>
                                <a:lnTo>
                                  <a:pt x="3459" y="7887"/>
                                </a:lnTo>
                                <a:lnTo>
                                  <a:pt x="2866" y="5408"/>
                                </a:lnTo>
                                <a:lnTo>
                                  <a:pt x="2275" y="7887"/>
                                </a:lnTo>
                                <a:lnTo>
                                  <a:pt x="2192" y="7905"/>
                                </a:lnTo>
                                <a:lnTo>
                                  <a:pt x="2111" y="7924"/>
                                </a:lnTo>
                                <a:lnTo>
                                  <a:pt x="2031" y="7947"/>
                                </a:lnTo>
                                <a:lnTo>
                                  <a:pt x="1953" y="7971"/>
                                </a:lnTo>
                                <a:lnTo>
                                  <a:pt x="1876" y="7997"/>
                                </a:lnTo>
                                <a:lnTo>
                                  <a:pt x="1802" y="8025"/>
                                </a:lnTo>
                                <a:lnTo>
                                  <a:pt x="1729" y="8056"/>
                                </a:lnTo>
                                <a:lnTo>
                                  <a:pt x="1659" y="8088"/>
                                </a:lnTo>
                                <a:lnTo>
                                  <a:pt x="1590" y="8122"/>
                                </a:lnTo>
                                <a:lnTo>
                                  <a:pt x="1523" y="8158"/>
                                </a:lnTo>
                                <a:lnTo>
                                  <a:pt x="574" y="4141"/>
                                </a:lnTo>
                                <a:lnTo>
                                  <a:pt x="1170" y="4141"/>
                                </a:lnTo>
                                <a:lnTo>
                                  <a:pt x="1894" y="7149"/>
                                </a:lnTo>
                                <a:lnTo>
                                  <a:pt x="2613" y="4141"/>
                                </a:lnTo>
                                <a:lnTo>
                                  <a:pt x="3120" y="4141"/>
                                </a:lnTo>
                                <a:lnTo>
                                  <a:pt x="3854" y="7149"/>
                                </a:lnTo>
                                <a:lnTo>
                                  <a:pt x="4565" y="4141"/>
                                </a:lnTo>
                                <a:lnTo>
                                  <a:pt x="5159" y="4141"/>
                                </a:lnTo>
                                <a:lnTo>
                                  <a:pt x="5159" y="2993"/>
                                </a:lnTo>
                                <a:lnTo>
                                  <a:pt x="0" y="2993"/>
                                </a:lnTo>
                                <a:lnTo>
                                  <a:pt x="0" y="7307"/>
                                </a:lnTo>
                                <a:lnTo>
                                  <a:pt x="3" y="7388"/>
                                </a:lnTo>
                                <a:lnTo>
                                  <a:pt x="10" y="7467"/>
                                </a:lnTo>
                                <a:lnTo>
                                  <a:pt x="22" y="7547"/>
                                </a:lnTo>
                                <a:lnTo>
                                  <a:pt x="38" y="7625"/>
                                </a:lnTo>
                                <a:lnTo>
                                  <a:pt x="58" y="7703"/>
                                </a:lnTo>
                                <a:lnTo>
                                  <a:pt x="83" y="7780"/>
                                </a:lnTo>
                                <a:lnTo>
                                  <a:pt x="112" y="7857"/>
                                </a:lnTo>
                                <a:lnTo>
                                  <a:pt x="144" y="7932"/>
                                </a:lnTo>
                                <a:lnTo>
                                  <a:pt x="180" y="8007"/>
                                </a:lnTo>
                                <a:lnTo>
                                  <a:pt x="219" y="8082"/>
                                </a:lnTo>
                                <a:lnTo>
                                  <a:pt x="262" y="8155"/>
                                </a:lnTo>
                                <a:lnTo>
                                  <a:pt x="308" y="8228"/>
                                </a:lnTo>
                                <a:lnTo>
                                  <a:pt x="356" y="8299"/>
                                </a:lnTo>
                                <a:lnTo>
                                  <a:pt x="408" y="8370"/>
                                </a:lnTo>
                                <a:lnTo>
                                  <a:pt x="462" y="8440"/>
                                </a:lnTo>
                                <a:lnTo>
                                  <a:pt x="518" y="8509"/>
                                </a:lnTo>
                                <a:lnTo>
                                  <a:pt x="577" y="8577"/>
                                </a:lnTo>
                                <a:lnTo>
                                  <a:pt x="638" y="8643"/>
                                </a:lnTo>
                                <a:lnTo>
                                  <a:pt x="700" y="8709"/>
                                </a:lnTo>
                                <a:lnTo>
                                  <a:pt x="765" y="8774"/>
                                </a:lnTo>
                                <a:lnTo>
                                  <a:pt x="831" y="8838"/>
                                </a:lnTo>
                                <a:lnTo>
                                  <a:pt x="899" y="8900"/>
                                </a:lnTo>
                                <a:lnTo>
                                  <a:pt x="967" y="8962"/>
                                </a:lnTo>
                                <a:lnTo>
                                  <a:pt x="1037" y="9022"/>
                                </a:lnTo>
                                <a:lnTo>
                                  <a:pt x="1108" y="9081"/>
                                </a:lnTo>
                                <a:lnTo>
                                  <a:pt x="1180" y="9139"/>
                                </a:lnTo>
                                <a:lnTo>
                                  <a:pt x="1252" y="9195"/>
                                </a:lnTo>
                                <a:lnTo>
                                  <a:pt x="1324" y="9250"/>
                                </a:lnTo>
                                <a:lnTo>
                                  <a:pt x="1397" y="9304"/>
                                </a:lnTo>
                                <a:lnTo>
                                  <a:pt x="1470" y="9357"/>
                                </a:lnTo>
                                <a:lnTo>
                                  <a:pt x="1543" y="9408"/>
                                </a:lnTo>
                                <a:lnTo>
                                  <a:pt x="1615" y="9458"/>
                                </a:lnTo>
                                <a:lnTo>
                                  <a:pt x="1688" y="9506"/>
                                </a:lnTo>
                                <a:lnTo>
                                  <a:pt x="1759" y="9553"/>
                                </a:lnTo>
                                <a:lnTo>
                                  <a:pt x="1830" y="9598"/>
                                </a:lnTo>
                                <a:lnTo>
                                  <a:pt x="1900" y="9642"/>
                                </a:lnTo>
                                <a:lnTo>
                                  <a:pt x="1969" y="9684"/>
                                </a:lnTo>
                                <a:lnTo>
                                  <a:pt x="2036" y="9725"/>
                                </a:lnTo>
                                <a:lnTo>
                                  <a:pt x="2102" y="9764"/>
                                </a:lnTo>
                                <a:lnTo>
                                  <a:pt x="2167" y="9801"/>
                                </a:lnTo>
                                <a:lnTo>
                                  <a:pt x="2230" y="9837"/>
                                </a:lnTo>
                                <a:lnTo>
                                  <a:pt x="2349" y="9904"/>
                                </a:lnTo>
                                <a:lnTo>
                                  <a:pt x="2460" y="9963"/>
                                </a:lnTo>
                                <a:lnTo>
                                  <a:pt x="2560" y="10015"/>
                                </a:lnTo>
                                <a:lnTo>
                                  <a:pt x="2649" y="10060"/>
                                </a:lnTo>
                                <a:lnTo>
                                  <a:pt x="2724" y="10097"/>
                                </a:lnTo>
                                <a:lnTo>
                                  <a:pt x="2810" y="10138"/>
                                </a:lnTo>
                                <a:lnTo>
                                  <a:pt x="2859" y="10161"/>
                                </a:lnTo>
                                <a:lnTo>
                                  <a:pt x="2866" y="10164"/>
                                </a:lnTo>
                                <a:lnTo>
                                  <a:pt x="2869" y="10165"/>
                                </a:lnTo>
                                <a:lnTo>
                                  <a:pt x="2871" y="10164"/>
                                </a:lnTo>
                                <a:lnTo>
                                  <a:pt x="2879" y="10161"/>
                                </a:lnTo>
                                <a:lnTo>
                                  <a:pt x="2928" y="10138"/>
                                </a:lnTo>
                                <a:lnTo>
                                  <a:pt x="3013" y="10097"/>
                                </a:lnTo>
                                <a:lnTo>
                                  <a:pt x="3089" y="10060"/>
                                </a:lnTo>
                                <a:lnTo>
                                  <a:pt x="3177" y="10015"/>
                                </a:lnTo>
                                <a:lnTo>
                                  <a:pt x="3278" y="9963"/>
                                </a:lnTo>
                                <a:lnTo>
                                  <a:pt x="3388" y="9904"/>
                                </a:lnTo>
                                <a:lnTo>
                                  <a:pt x="3508" y="9837"/>
                                </a:lnTo>
                                <a:lnTo>
                                  <a:pt x="3571" y="9801"/>
                                </a:lnTo>
                                <a:lnTo>
                                  <a:pt x="3635" y="9764"/>
                                </a:lnTo>
                                <a:lnTo>
                                  <a:pt x="3701" y="9725"/>
                                </a:lnTo>
                                <a:lnTo>
                                  <a:pt x="3769" y="9684"/>
                                </a:lnTo>
                                <a:lnTo>
                                  <a:pt x="3838" y="9642"/>
                                </a:lnTo>
                                <a:lnTo>
                                  <a:pt x="3908" y="9598"/>
                                </a:lnTo>
                                <a:lnTo>
                                  <a:pt x="3978" y="9553"/>
                                </a:lnTo>
                                <a:lnTo>
                                  <a:pt x="4050" y="9506"/>
                                </a:lnTo>
                                <a:lnTo>
                                  <a:pt x="4122" y="9458"/>
                                </a:lnTo>
                                <a:lnTo>
                                  <a:pt x="4195" y="9408"/>
                                </a:lnTo>
                                <a:lnTo>
                                  <a:pt x="4268" y="9357"/>
                                </a:lnTo>
                                <a:lnTo>
                                  <a:pt x="4340" y="9304"/>
                                </a:lnTo>
                                <a:lnTo>
                                  <a:pt x="4413" y="9250"/>
                                </a:lnTo>
                                <a:lnTo>
                                  <a:pt x="4486" y="9195"/>
                                </a:lnTo>
                                <a:lnTo>
                                  <a:pt x="4558" y="9139"/>
                                </a:lnTo>
                                <a:lnTo>
                                  <a:pt x="4629" y="9081"/>
                                </a:lnTo>
                                <a:lnTo>
                                  <a:pt x="4700" y="9022"/>
                                </a:lnTo>
                                <a:lnTo>
                                  <a:pt x="4770" y="8962"/>
                                </a:lnTo>
                                <a:lnTo>
                                  <a:pt x="4839" y="8900"/>
                                </a:lnTo>
                                <a:lnTo>
                                  <a:pt x="4906" y="8838"/>
                                </a:lnTo>
                                <a:lnTo>
                                  <a:pt x="4973" y="8774"/>
                                </a:lnTo>
                                <a:lnTo>
                                  <a:pt x="5037" y="8709"/>
                                </a:lnTo>
                                <a:lnTo>
                                  <a:pt x="5100" y="8643"/>
                                </a:lnTo>
                                <a:lnTo>
                                  <a:pt x="5161" y="8577"/>
                                </a:lnTo>
                                <a:lnTo>
                                  <a:pt x="5219" y="8509"/>
                                </a:lnTo>
                                <a:lnTo>
                                  <a:pt x="5276" y="8440"/>
                                </a:lnTo>
                                <a:lnTo>
                                  <a:pt x="5330" y="8370"/>
                                </a:lnTo>
                                <a:lnTo>
                                  <a:pt x="5381" y="8299"/>
                                </a:lnTo>
                                <a:lnTo>
                                  <a:pt x="5430" y="8228"/>
                                </a:lnTo>
                                <a:lnTo>
                                  <a:pt x="5474" y="8158"/>
                                </a:lnTo>
                                <a:lnTo>
                                  <a:pt x="5476" y="8155"/>
                                </a:lnTo>
                                <a:lnTo>
                                  <a:pt x="5518" y="8082"/>
                                </a:lnTo>
                                <a:lnTo>
                                  <a:pt x="5558" y="8007"/>
                                </a:lnTo>
                                <a:lnTo>
                                  <a:pt x="5594" y="7932"/>
                                </a:lnTo>
                                <a:lnTo>
                                  <a:pt x="5626" y="7857"/>
                                </a:lnTo>
                                <a:lnTo>
                                  <a:pt x="5655" y="7780"/>
                                </a:lnTo>
                                <a:lnTo>
                                  <a:pt x="5679" y="7703"/>
                                </a:lnTo>
                                <a:lnTo>
                                  <a:pt x="5700" y="7625"/>
                                </a:lnTo>
                                <a:lnTo>
                                  <a:pt x="5716" y="7547"/>
                                </a:lnTo>
                                <a:lnTo>
                                  <a:pt x="5728" y="7467"/>
                                </a:lnTo>
                                <a:lnTo>
                                  <a:pt x="5735" y="7388"/>
                                </a:lnTo>
                                <a:lnTo>
                                  <a:pt x="5737" y="7307"/>
                                </a:lnTo>
                                <a:lnTo>
                                  <a:pt x="5737" y="4141"/>
                                </a:lnTo>
                                <a:lnTo>
                                  <a:pt x="5737" y="299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95451C" id="Group 3458" o:spid="_x0000_s1026" style="position:absolute;margin-left:0;margin-top:1.9pt;width:322.9pt;height:571.2pt;z-index:-40600064;mso-position-horizontal-relative:page;mso-position-vertical-relative:page" coordorigin=",38" coordsize="9498,16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63" o:spid="_x0000_s1027" type="#_x0000_t75" style="position:absolute;top:38;width:9498;height:16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">
                  <v:imagedata r:id="rId10" o:title=""/>
                </v:shape>
                <v:shape id="Freeform 3462" o:spid="_x0000_s1028" style="position:absolute;left:4535;top:1136;width:318;height:244;visibility:visible;mso-wrap-style:square;v-text-anchor:top" coordsize="318,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" path="m181,l137,,93,160,53,1,,1,69,243r45,l158,90r44,153l248,243,317,1r-52,l225,160,181,xe" fillcolor="#231f20" stroked="f">
                  <v:path arrowok="t" o:connecttype="custom" o:connectlocs="181,1136;137,1136;93,1296;53,1137;0,1137;69,1379;114,1379;158,1226;202,1379;248,1379;317,1137;265,1137;225,1296;181,1136" o:connectangles="0,0,0,0,0,0,0,0,0,0,0,0,0,0"/>
                </v:shape>
                <v:shape id="Picture 3461" o:spid="_x0000_s1029" type="#_x0000_t75" style="position:absolute;left:4878;top:1133;width:2073;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">
                  <v:imagedata r:id="rId11" o:title=""/>
                </v:shape>
                <v:shape id="Picture 3460" o:spid="_x0000_s1030" type="#_x0000_t75" style="position:absolute;left:6988;top:1136;width:382;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">
                  <v:imagedata r:id="rId12" o:title=""/>
                </v:shape>
                <v:shape id="AutoShape 3459" o:spid="_x0000_s1031" style="position:absolute;left:3084;top:1839;width:5738;height:10166;visibility:visible;mso-wrap-style:square;v-text-anchor:top" coordsize="5738,10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" path="m3028,r-33,l2995,64r-53,226l2933,285r-11,-4l2911,277r-11,-2l2867,135r-34,140l2822,277r-11,4l2801,285r-10,5l2738,64r33,l2812,233,2852,64r29,l2922,233,2962,64r33,l2995,,2706,r,242l2731,305r55,51l2841,390r26,13l2892,390r55,-34l3003,305r6,-15l3028,242r,-178l3028,xm5737,2993r-578,l5159,4141,4211,8158r-66,-36l4076,8088r-71,-32l3933,8025r-75,-28l3782,7971r-78,-24l3624,7924r-82,-19l3459,7887,2866,5408,2275,7887r-83,18l2111,7924r-80,23l1953,7971r-77,26l1802,8025r-73,31l1659,8088r-69,34l1523,8158,574,4141r596,l1894,7149,2613,4141r507,l3854,7149,4565,4141r594,l5159,2993,,2993,,7307r3,81l10,7467r12,80l38,7625r20,78l83,7780r29,77l144,7932r36,75l219,8082r43,73l308,8228r48,71l408,8370r54,70l518,8509r59,68l638,8643r62,66l765,8774r66,64l899,8900r68,62l1037,9022r71,59l1180,9139r72,56l1324,9250r73,54l1470,9357r73,51l1615,9458r73,48l1759,9553r71,45l1900,9642r69,42l2036,9725r66,39l2167,9801r63,36l2349,9904r111,59l2560,10015r89,45l2724,10097r86,41l2859,10161r7,3l2869,10165r2,-1l2879,10161r49,-23l3013,10097r76,-37l3177,10015r101,-52l3388,9904r120,-67l3571,9801r64,-37l3701,9725r68,-41l3838,9642r70,-44l3978,9553r72,-47l4122,9458r73,-50l4268,9357r72,-53l4413,9250r73,-55l4558,9139r71,-58l4700,9022r70,-60l4839,8900r67,-62l4973,8774r64,-65l5100,8643r61,-66l5219,8509r57,-69l5330,8370r51,-71l5430,8228r44,-70l5476,8155r42,-73l5558,8007r36,-75l5626,7857r29,-77l5679,7703r21,-78l5716,7547r12,-80l5735,7388r2,-81l5737,4141r,-1148xe" fillcolor="#231f20" stroked="f">
                  <v:path arrowok="t" o:connecttype="custom" o:connectlocs="2995,1904;2922,2121;2867,1975;2811,2121;2738,1904;2852,1904;2962,1904;2706,1840;2786,2196;2892,2230;3009,2130;3028,1840;5159,5981;4076,9928;3858,9837;3624,9764;2866,7248;2111,9764;1876,9837;1659,9928;574,5981;2613,5981;4565,5981;0,4833;10,9307;58,9543;144,9772;262,9995;408,10210;577,10417;765,10614;967,10802;1180,10979;1397,11144;1615,11298;1830,11438;2036,11565;2230,11677;2560,11855;2810,11978;2869,12005;2928,11978;3177,11855;3508,11677;3701,11565;3908,11438;4122,11298;4340,11144;4558,10979;4770,10802;4973,10614;5161,10417;5330,10210;5474,9998;5558,9847;5655,9620;5716,9387;5737,9147" o:connectangles="0,0,0,0,0,0,0,0,0,0,0,0,0,0,0,0,0,0,0,0,0,0,0,0,0,0,0,0,0,0,0,0,0,0,0,0,0,0,0,0,0,0,0,0,0,0,0,0,0,0,0,0,0,0,0,0,0,0"/>
                </v:shape>
                <w10:wrap anchorx="page" anchory="page"/>
              </v:group>
            </w:pict>
          </mc:Fallback>
        </mc:AlternateContent>
      </w:r>
      <w:r w:rsidR="00E81E59">
        <w:rPr>
          <w:rFonts w:ascii="Times New Roman"/>
          <w:sz w:val="20"/>
        </w:rPr>
        <w:t>j</w:t>
      </w:r>
    </w:p>
    <w:p w14:paraId="183DFF9E" w14:textId="77777777" w:rsidR="00FA4AA8" w:rsidRDefault="00FA4AA8">
      <w:pPr>
        <w:pStyle w:val="BodyText"/>
        <w:rPr>
          <w:rFonts w:ascii="Times New Roman"/>
          <w:sz w:val="20"/>
        </w:rPr>
      </w:pPr>
    </w:p>
    <w:p w14:paraId="1D8409B9" w14:textId="77777777" w:rsidR="00FA4AA8" w:rsidRDefault="00FA4AA8">
      <w:pPr>
        <w:pStyle w:val="BodyText"/>
        <w:rPr>
          <w:rFonts w:ascii="Times New Roman"/>
          <w:sz w:val="20"/>
        </w:rPr>
      </w:pPr>
    </w:p>
    <w:p w14:paraId="6D75AFF5" w14:textId="77777777" w:rsidR="00FA4AA8" w:rsidRDefault="00FA4AA8">
      <w:pPr>
        <w:pStyle w:val="BodyText"/>
        <w:rPr>
          <w:rFonts w:ascii="Times New Roman"/>
          <w:sz w:val="20"/>
        </w:rPr>
      </w:pPr>
    </w:p>
    <w:p w14:paraId="56EC3B38" w14:textId="77777777" w:rsidR="00FA4AA8" w:rsidRDefault="00FA4AA8">
      <w:pPr>
        <w:pStyle w:val="BodyText"/>
        <w:rPr>
          <w:rFonts w:ascii="Times New Roman"/>
          <w:sz w:val="20"/>
        </w:rPr>
      </w:pPr>
    </w:p>
    <w:p w14:paraId="3FA8BEDE" w14:textId="77777777" w:rsidR="00FA4AA8" w:rsidRDefault="00FA4AA8">
      <w:pPr>
        <w:pStyle w:val="BodyText"/>
        <w:rPr>
          <w:rFonts w:ascii="Times New Roman"/>
          <w:sz w:val="20"/>
        </w:rPr>
      </w:pPr>
    </w:p>
    <w:p w14:paraId="47AF173A" w14:textId="77777777" w:rsidR="00FA4AA8" w:rsidRDefault="00FA4AA8">
      <w:pPr>
        <w:pStyle w:val="BodyText"/>
        <w:rPr>
          <w:rFonts w:ascii="Times New Roman"/>
          <w:sz w:val="20"/>
        </w:rPr>
      </w:pPr>
    </w:p>
    <w:p w14:paraId="231AD7FA" w14:textId="77777777" w:rsidR="00FA4AA8" w:rsidRDefault="00FA4AA8">
      <w:pPr>
        <w:pStyle w:val="BodyText"/>
        <w:rPr>
          <w:rFonts w:ascii="Times New Roman"/>
          <w:sz w:val="20"/>
        </w:rPr>
      </w:pPr>
    </w:p>
    <w:p w14:paraId="57DC455F" w14:textId="77777777" w:rsidR="00FA4AA8" w:rsidRDefault="00FA4AA8">
      <w:pPr>
        <w:pStyle w:val="BodyText"/>
        <w:rPr>
          <w:rFonts w:ascii="Times New Roman"/>
          <w:sz w:val="20"/>
        </w:rPr>
      </w:pPr>
    </w:p>
    <w:p w14:paraId="385E2627" w14:textId="77777777" w:rsidR="00FA4AA8" w:rsidRDefault="00FA4AA8">
      <w:pPr>
        <w:pStyle w:val="BodyText"/>
        <w:rPr>
          <w:rFonts w:ascii="Times New Roman"/>
          <w:sz w:val="20"/>
        </w:rPr>
      </w:pPr>
    </w:p>
    <w:p w14:paraId="0EEA7B71" w14:textId="77777777" w:rsidR="00FA4AA8" w:rsidRDefault="00FA4AA8">
      <w:pPr>
        <w:pStyle w:val="BodyText"/>
        <w:rPr>
          <w:rFonts w:ascii="Times New Roman"/>
          <w:sz w:val="20"/>
        </w:rPr>
      </w:pPr>
    </w:p>
    <w:p w14:paraId="548E4649" w14:textId="77777777" w:rsidR="00FA4AA8" w:rsidRDefault="00FA4AA8">
      <w:pPr>
        <w:pStyle w:val="BodyText"/>
        <w:spacing w:before="5"/>
        <w:rPr>
          <w:rFonts w:ascii="Times New Roman"/>
          <w:sz w:val="23"/>
        </w:rPr>
      </w:pPr>
    </w:p>
    <w:p w14:paraId="712B4D1C" w14:textId="77777777" w:rsidR="00FA4AA8" w:rsidRDefault="0015611F">
      <w:pPr>
        <w:spacing w:before="122" w:line="211" w:lineRule="auto"/>
        <w:ind w:left="3965" w:right="3542"/>
        <w:jc w:val="center"/>
        <w:rPr>
          <w:rFonts w:ascii="Verdana"/>
          <w:sz w:val="28"/>
        </w:rPr>
      </w:pPr>
      <w:bookmarkStart w:id="1" w:name="Binder1"/>
      <w:bookmarkStart w:id="2" w:name="STRA3702_Annual_Report_2018_Vol_2_P1"/>
      <w:bookmarkEnd w:id="1"/>
      <w:bookmarkEnd w:id="2"/>
      <w:r>
        <w:rPr>
          <w:rFonts w:ascii="Verdana"/>
          <w:color w:val="231F20"/>
          <w:w w:val="90"/>
          <w:sz w:val="28"/>
        </w:rPr>
        <w:t xml:space="preserve">ANNUAL REPORT </w:t>
      </w:r>
      <w:r>
        <w:rPr>
          <w:rFonts w:ascii="Verdana"/>
          <w:color w:val="231F20"/>
          <w:sz w:val="28"/>
        </w:rPr>
        <w:t>2018</w:t>
      </w:r>
    </w:p>
    <w:p w14:paraId="253A2F46" w14:textId="77777777" w:rsidR="00FA4AA8" w:rsidRDefault="00FA4AA8">
      <w:pPr>
        <w:pStyle w:val="BodyText"/>
        <w:rPr>
          <w:rFonts w:ascii="Verdana"/>
          <w:sz w:val="20"/>
        </w:rPr>
      </w:pPr>
    </w:p>
    <w:p w14:paraId="44344CE6" w14:textId="77777777" w:rsidR="00FA4AA8" w:rsidRDefault="00FA4AA8">
      <w:pPr>
        <w:pStyle w:val="BodyText"/>
        <w:rPr>
          <w:rFonts w:ascii="Verdana"/>
          <w:sz w:val="20"/>
        </w:rPr>
      </w:pPr>
    </w:p>
    <w:p w14:paraId="2576DD70" w14:textId="77777777" w:rsidR="00FA4AA8" w:rsidRDefault="00FA4AA8">
      <w:pPr>
        <w:pStyle w:val="BodyText"/>
        <w:rPr>
          <w:rFonts w:ascii="Verdana"/>
          <w:sz w:val="20"/>
        </w:rPr>
      </w:pPr>
    </w:p>
    <w:p w14:paraId="5C19C8E9" w14:textId="77777777" w:rsidR="00FA4AA8" w:rsidRDefault="00FA4AA8">
      <w:pPr>
        <w:pStyle w:val="BodyText"/>
        <w:rPr>
          <w:rFonts w:ascii="Verdana"/>
          <w:sz w:val="20"/>
        </w:rPr>
      </w:pPr>
    </w:p>
    <w:p w14:paraId="643D6776" w14:textId="77777777" w:rsidR="00FA4AA8" w:rsidRDefault="00FA4AA8">
      <w:pPr>
        <w:pStyle w:val="BodyText"/>
        <w:rPr>
          <w:rFonts w:ascii="Verdana"/>
          <w:sz w:val="20"/>
        </w:rPr>
      </w:pPr>
    </w:p>
    <w:p w14:paraId="22B70B63" w14:textId="77777777" w:rsidR="00FA4AA8" w:rsidRDefault="00FA4AA8">
      <w:pPr>
        <w:pStyle w:val="BodyText"/>
        <w:rPr>
          <w:rFonts w:ascii="Verdana"/>
          <w:sz w:val="20"/>
        </w:rPr>
      </w:pPr>
    </w:p>
    <w:p w14:paraId="633C8F8F" w14:textId="77777777" w:rsidR="00FA4AA8" w:rsidRDefault="00FA4AA8">
      <w:pPr>
        <w:pStyle w:val="BodyText"/>
        <w:rPr>
          <w:rFonts w:ascii="Verdana"/>
          <w:sz w:val="20"/>
        </w:rPr>
      </w:pPr>
    </w:p>
    <w:p w14:paraId="255C3C70" w14:textId="77777777" w:rsidR="00FA4AA8" w:rsidRDefault="00FA4AA8">
      <w:pPr>
        <w:pStyle w:val="BodyText"/>
        <w:rPr>
          <w:rFonts w:ascii="Verdana"/>
          <w:sz w:val="20"/>
        </w:rPr>
      </w:pPr>
    </w:p>
    <w:p w14:paraId="5E876635" w14:textId="77777777" w:rsidR="00FA4AA8" w:rsidRDefault="00FA4AA8">
      <w:pPr>
        <w:pStyle w:val="BodyText"/>
        <w:rPr>
          <w:rFonts w:ascii="Verdana"/>
          <w:sz w:val="20"/>
        </w:rPr>
      </w:pPr>
    </w:p>
    <w:p w14:paraId="0B68F113" w14:textId="77777777" w:rsidR="00FA4AA8" w:rsidRDefault="00FA4AA8">
      <w:pPr>
        <w:pStyle w:val="BodyText"/>
        <w:rPr>
          <w:rFonts w:ascii="Verdana"/>
          <w:sz w:val="20"/>
        </w:rPr>
      </w:pPr>
    </w:p>
    <w:p w14:paraId="53F51601" w14:textId="77777777" w:rsidR="00FA4AA8" w:rsidRDefault="00FA4AA8">
      <w:pPr>
        <w:pStyle w:val="BodyText"/>
        <w:rPr>
          <w:rFonts w:ascii="Verdana"/>
          <w:sz w:val="20"/>
        </w:rPr>
      </w:pPr>
    </w:p>
    <w:p w14:paraId="7C5A15BA" w14:textId="77777777" w:rsidR="00FA4AA8" w:rsidRDefault="00FA4AA8">
      <w:pPr>
        <w:pStyle w:val="BodyText"/>
        <w:rPr>
          <w:rFonts w:ascii="Verdana"/>
          <w:sz w:val="20"/>
        </w:rPr>
      </w:pPr>
    </w:p>
    <w:p w14:paraId="270079F5" w14:textId="77777777" w:rsidR="00FA4AA8" w:rsidRDefault="00FA4AA8">
      <w:pPr>
        <w:pStyle w:val="BodyText"/>
        <w:rPr>
          <w:rFonts w:ascii="Verdana"/>
          <w:sz w:val="20"/>
        </w:rPr>
      </w:pPr>
    </w:p>
    <w:p w14:paraId="5853695E" w14:textId="77777777" w:rsidR="00FA4AA8" w:rsidRDefault="00FA4AA8">
      <w:pPr>
        <w:pStyle w:val="BodyText"/>
        <w:rPr>
          <w:rFonts w:ascii="Verdana"/>
          <w:sz w:val="20"/>
        </w:rPr>
      </w:pPr>
    </w:p>
    <w:p w14:paraId="12FE324A" w14:textId="77777777" w:rsidR="00FA4AA8" w:rsidRDefault="00FA4AA8">
      <w:pPr>
        <w:pStyle w:val="BodyText"/>
        <w:rPr>
          <w:rFonts w:ascii="Verdana"/>
          <w:sz w:val="20"/>
        </w:rPr>
      </w:pPr>
    </w:p>
    <w:p w14:paraId="3CDBED04" w14:textId="77777777" w:rsidR="00FA4AA8" w:rsidRDefault="00FA4AA8">
      <w:pPr>
        <w:pStyle w:val="BodyText"/>
        <w:rPr>
          <w:rFonts w:ascii="Verdana"/>
          <w:sz w:val="20"/>
        </w:rPr>
      </w:pPr>
    </w:p>
    <w:p w14:paraId="5C208BC4" w14:textId="77777777" w:rsidR="00FA4AA8" w:rsidRDefault="00FA4AA8">
      <w:pPr>
        <w:pStyle w:val="BodyText"/>
        <w:rPr>
          <w:rFonts w:ascii="Verdana"/>
          <w:sz w:val="20"/>
        </w:rPr>
      </w:pPr>
    </w:p>
    <w:p w14:paraId="679ECBD2" w14:textId="77777777" w:rsidR="00FA4AA8" w:rsidRDefault="00FA4AA8">
      <w:pPr>
        <w:pStyle w:val="BodyText"/>
        <w:rPr>
          <w:rFonts w:ascii="Verdana"/>
          <w:sz w:val="20"/>
        </w:rPr>
      </w:pPr>
    </w:p>
    <w:p w14:paraId="51FE2D86" w14:textId="77777777" w:rsidR="00FA4AA8" w:rsidRDefault="00FA4AA8">
      <w:pPr>
        <w:pStyle w:val="BodyText"/>
        <w:rPr>
          <w:rFonts w:ascii="Verdana"/>
          <w:sz w:val="20"/>
        </w:rPr>
      </w:pPr>
    </w:p>
    <w:p w14:paraId="1F255FA6" w14:textId="77777777" w:rsidR="00FA4AA8" w:rsidRDefault="00FA4AA8">
      <w:pPr>
        <w:pStyle w:val="BodyText"/>
        <w:rPr>
          <w:rFonts w:ascii="Verdana"/>
          <w:sz w:val="20"/>
        </w:rPr>
      </w:pPr>
    </w:p>
    <w:p w14:paraId="77D32158" w14:textId="77777777" w:rsidR="00FA4AA8" w:rsidRDefault="00FA4AA8">
      <w:pPr>
        <w:pStyle w:val="BodyText"/>
        <w:rPr>
          <w:rFonts w:ascii="Verdana"/>
          <w:sz w:val="20"/>
        </w:rPr>
      </w:pPr>
    </w:p>
    <w:p w14:paraId="79B31617" w14:textId="77777777" w:rsidR="00FA4AA8" w:rsidRDefault="00FA4AA8">
      <w:pPr>
        <w:pStyle w:val="BodyText"/>
        <w:rPr>
          <w:rFonts w:ascii="Verdana"/>
          <w:sz w:val="20"/>
        </w:rPr>
      </w:pPr>
    </w:p>
    <w:p w14:paraId="66636A90" w14:textId="77777777" w:rsidR="00FA4AA8" w:rsidRDefault="00FA4AA8">
      <w:pPr>
        <w:pStyle w:val="BodyText"/>
        <w:rPr>
          <w:rFonts w:ascii="Verdana"/>
          <w:sz w:val="20"/>
        </w:rPr>
      </w:pPr>
    </w:p>
    <w:p w14:paraId="0EFBFA0C" w14:textId="77777777" w:rsidR="00FA4AA8" w:rsidRDefault="00FA4AA8">
      <w:pPr>
        <w:pStyle w:val="BodyText"/>
        <w:rPr>
          <w:rFonts w:ascii="Verdana"/>
          <w:sz w:val="20"/>
        </w:rPr>
      </w:pPr>
    </w:p>
    <w:p w14:paraId="73B448C4" w14:textId="77777777" w:rsidR="00FA4AA8" w:rsidRDefault="00FA4AA8">
      <w:pPr>
        <w:pStyle w:val="BodyText"/>
        <w:rPr>
          <w:rFonts w:ascii="Verdana"/>
          <w:sz w:val="20"/>
        </w:rPr>
      </w:pPr>
    </w:p>
    <w:p w14:paraId="6658800F" w14:textId="77777777" w:rsidR="00FA4AA8" w:rsidRDefault="00FA4AA8">
      <w:pPr>
        <w:pStyle w:val="BodyText"/>
        <w:rPr>
          <w:rFonts w:ascii="Verdana"/>
          <w:sz w:val="20"/>
        </w:rPr>
      </w:pPr>
    </w:p>
    <w:p w14:paraId="6C35BF33" w14:textId="77777777" w:rsidR="00FA4AA8" w:rsidRDefault="00FA4AA8">
      <w:pPr>
        <w:pStyle w:val="BodyText"/>
        <w:rPr>
          <w:rFonts w:ascii="Verdana"/>
          <w:sz w:val="20"/>
        </w:rPr>
      </w:pPr>
    </w:p>
    <w:p w14:paraId="64F4FC1D" w14:textId="77777777" w:rsidR="00FA4AA8" w:rsidRDefault="00FA4AA8">
      <w:pPr>
        <w:pStyle w:val="BodyText"/>
        <w:rPr>
          <w:rFonts w:ascii="Verdana"/>
          <w:sz w:val="20"/>
        </w:rPr>
      </w:pPr>
    </w:p>
    <w:p w14:paraId="2578D6A7" w14:textId="77777777" w:rsidR="00FA4AA8" w:rsidRDefault="00FA4AA8">
      <w:pPr>
        <w:pStyle w:val="BodyText"/>
        <w:rPr>
          <w:rFonts w:ascii="Verdana"/>
          <w:sz w:val="20"/>
        </w:rPr>
      </w:pPr>
    </w:p>
    <w:p w14:paraId="27CF90A6" w14:textId="77777777" w:rsidR="00FA4AA8" w:rsidRDefault="00FA4AA8">
      <w:pPr>
        <w:pStyle w:val="BodyText"/>
        <w:rPr>
          <w:rFonts w:ascii="Verdana"/>
          <w:sz w:val="20"/>
        </w:rPr>
      </w:pPr>
    </w:p>
    <w:p w14:paraId="60ECEAD2" w14:textId="77777777" w:rsidR="00FA4AA8" w:rsidRDefault="00FA4AA8">
      <w:pPr>
        <w:pStyle w:val="BodyText"/>
        <w:rPr>
          <w:rFonts w:ascii="Verdana"/>
          <w:sz w:val="20"/>
        </w:rPr>
      </w:pPr>
    </w:p>
    <w:p w14:paraId="7BF9752B" w14:textId="77777777" w:rsidR="00FA4AA8" w:rsidRDefault="00FA4AA8">
      <w:pPr>
        <w:pStyle w:val="BodyText"/>
        <w:rPr>
          <w:rFonts w:ascii="Verdana"/>
          <w:sz w:val="20"/>
        </w:rPr>
      </w:pPr>
    </w:p>
    <w:p w14:paraId="2C10EEA1" w14:textId="77777777" w:rsidR="00FA4AA8" w:rsidRDefault="00FA4AA8">
      <w:pPr>
        <w:pStyle w:val="BodyText"/>
        <w:rPr>
          <w:rFonts w:ascii="Verdana"/>
          <w:sz w:val="20"/>
        </w:rPr>
      </w:pPr>
    </w:p>
    <w:p w14:paraId="209F61A5" w14:textId="77777777" w:rsidR="00FA4AA8" w:rsidRDefault="00FA4AA8">
      <w:pPr>
        <w:pStyle w:val="BodyText"/>
        <w:rPr>
          <w:rFonts w:ascii="Verdana"/>
          <w:sz w:val="20"/>
        </w:rPr>
      </w:pPr>
    </w:p>
    <w:p w14:paraId="1D71B18A" w14:textId="77777777" w:rsidR="00FA4AA8" w:rsidRDefault="00FA4AA8">
      <w:pPr>
        <w:pStyle w:val="BodyText"/>
        <w:rPr>
          <w:rFonts w:ascii="Verdana"/>
          <w:sz w:val="20"/>
        </w:rPr>
      </w:pPr>
    </w:p>
    <w:p w14:paraId="2DB4B042" w14:textId="77777777" w:rsidR="00FA4AA8" w:rsidRDefault="00FA4AA8">
      <w:pPr>
        <w:pStyle w:val="BodyText"/>
        <w:rPr>
          <w:rFonts w:ascii="Verdana"/>
          <w:sz w:val="20"/>
        </w:rPr>
      </w:pPr>
    </w:p>
    <w:p w14:paraId="07DAA581" w14:textId="77777777" w:rsidR="00FA4AA8" w:rsidRDefault="00FA4AA8">
      <w:pPr>
        <w:pStyle w:val="BodyText"/>
        <w:rPr>
          <w:rFonts w:ascii="Verdana"/>
          <w:sz w:val="20"/>
        </w:rPr>
      </w:pPr>
    </w:p>
    <w:p w14:paraId="6A0BEAF3" w14:textId="77777777" w:rsidR="00FA4AA8" w:rsidRDefault="00FA4AA8">
      <w:pPr>
        <w:pStyle w:val="BodyText"/>
        <w:rPr>
          <w:rFonts w:ascii="Verdana"/>
          <w:sz w:val="20"/>
        </w:rPr>
      </w:pPr>
    </w:p>
    <w:p w14:paraId="6641691B" w14:textId="77777777" w:rsidR="00FA4AA8" w:rsidRDefault="00FA4AA8">
      <w:pPr>
        <w:pStyle w:val="BodyText"/>
        <w:rPr>
          <w:rFonts w:ascii="Verdana"/>
          <w:sz w:val="20"/>
        </w:rPr>
      </w:pPr>
    </w:p>
    <w:p w14:paraId="766A222C" w14:textId="77777777" w:rsidR="00FA4AA8" w:rsidRDefault="00FA4AA8">
      <w:pPr>
        <w:pStyle w:val="BodyText"/>
        <w:rPr>
          <w:rFonts w:ascii="Verdana"/>
          <w:sz w:val="20"/>
        </w:rPr>
      </w:pPr>
    </w:p>
    <w:p w14:paraId="60ADEB5E" w14:textId="77777777" w:rsidR="00FA4AA8" w:rsidRDefault="00FA4AA8">
      <w:pPr>
        <w:pStyle w:val="BodyText"/>
        <w:spacing w:before="3"/>
        <w:rPr>
          <w:rFonts w:ascii="Verdana"/>
          <w:sz w:val="17"/>
        </w:rPr>
      </w:pPr>
    </w:p>
    <w:p w14:paraId="0B2B58E2" w14:textId="77777777" w:rsidR="00FA4AA8" w:rsidRDefault="0015611F">
      <w:pPr>
        <w:spacing w:before="132"/>
        <w:ind w:left="1837" w:right="1417"/>
        <w:jc w:val="center"/>
        <w:rPr>
          <w:rFonts w:ascii="Georgia"/>
          <w:sz w:val="72"/>
        </w:rPr>
      </w:pPr>
      <w:r>
        <w:rPr>
          <w:rFonts w:ascii="Georgia"/>
          <w:color w:val="231F20"/>
          <w:spacing w:val="-9"/>
          <w:sz w:val="72"/>
        </w:rPr>
        <w:t>Financial</w:t>
      </w:r>
      <w:r>
        <w:rPr>
          <w:rFonts w:ascii="Georgia"/>
          <w:color w:val="231F20"/>
          <w:spacing w:val="-61"/>
          <w:sz w:val="72"/>
        </w:rPr>
        <w:t xml:space="preserve"> </w:t>
      </w:r>
      <w:r>
        <w:rPr>
          <w:rFonts w:ascii="Georgia"/>
          <w:color w:val="231F20"/>
          <w:spacing w:val="-18"/>
          <w:sz w:val="72"/>
        </w:rPr>
        <w:t>Statements</w:t>
      </w:r>
    </w:p>
    <w:p w14:paraId="18FD8084" w14:textId="77777777" w:rsidR="00FA4AA8" w:rsidRDefault="0015611F">
      <w:pPr>
        <w:spacing w:before="105"/>
        <w:ind w:left="3963" w:right="3542"/>
        <w:jc w:val="center"/>
        <w:rPr>
          <w:rFonts w:ascii="Verdana"/>
          <w:sz w:val="48"/>
        </w:rPr>
      </w:pPr>
      <w:r>
        <w:rPr>
          <w:rFonts w:ascii="Verdana"/>
          <w:color w:val="231F20"/>
          <w:spacing w:val="-13"/>
          <w:w w:val="95"/>
          <w:sz w:val="48"/>
        </w:rPr>
        <w:t xml:space="preserve">Volume </w:t>
      </w:r>
      <w:r>
        <w:rPr>
          <w:rFonts w:ascii="Verdana"/>
          <w:color w:val="231F20"/>
          <w:w w:val="95"/>
          <w:sz w:val="48"/>
        </w:rPr>
        <w:t>2</w:t>
      </w:r>
    </w:p>
    <w:p w14:paraId="5037F416" w14:textId="77777777" w:rsidR="00FA4AA8" w:rsidRDefault="00FA4AA8">
      <w:pPr>
        <w:jc w:val="center"/>
        <w:rPr>
          <w:rFonts w:ascii="Verdana"/>
          <w:sz w:val="48"/>
        </w:rPr>
        <w:sectPr w:rsidR="00FA4AA8">
          <w:type w:val="continuous"/>
          <w:pgSz w:w="11910" w:h="16840"/>
          <w:pgMar w:top="20" w:right="1321" w:bottom="0" w:left="900" w:header="720" w:footer="720" w:gutter="0"/>
          <w:cols w:space="720"/>
        </w:sectPr>
      </w:pPr>
    </w:p>
    <w:p w14:paraId="0D9BC94F" w14:textId="77777777" w:rsidR="00FA4AA8" w:rsidRDefault="0015611F">
      <w:pPr>
        <w:pStyle w:val="Heading6"/>
        <w:spacing w:before="80"/>
        <w:ind w:left="537"/>
      </w:pPr>
      <w:bookmarkStart w:id="3" w:name="Western_Sydney_University_&amp;_Entities_-_2"/>
      <w:bookmarkStart w:id="4" w:name="1._2018_Contents_Page_-_page_1_to_2_(pag"/>
      <w:bookmarkStart w:id="5" w:name="1._2015_Contents_Page.pdf"/>
      <w:bookmarkEnd w:id="3"/>
      <w:bookmarkEnd w:id="4"/>
      <w:bookmarkEnd w:id="5"/>
      <w:r>
        <w:lastRenderedPageBreak/>
        <w:t>Financial Statements and Independent Audit Reports</w:t>
      </w:r>
    </w:p>
    <w:p w14:paraId="2C86A2F5" w14:textId="77777777" w:rsidR="00FA4AA8" w:rsidRDefault="0015611F">
      <w:pPr>
        <w:pStyle w:val="BodyText"/>
        <w:spacing w:before="213"/>
        <w:ind w:left="537"/>
      </w:pPr>
      <w:r>
        <w:t>Western Sydney University</w:t>
      </w:r>
    </w:p>
    <w:p w14:paraId="442660E1" w14:textId="77777777" w:rsidR="00FA4AA8" w:rsidRDefault="00FA4AA8">
      <w:pPr>
        <w:pStyle w:val="BodyText"/>
        <w:spacing w:before="11"/>
        <w:rPr>
          <w:sz w:val="17"/>
        </w:rPr>
      </w:pPr>
    </w:p>
    <w:p w14:paraId="0F5F6358" w14:textId="77777777" w:rsidR="00FA4AA8" w:rsidRDefault="0015611F">
      <w:pPr>
        <w:pStyle w:val="BodyText"/>
        <w:ind w:left="537"/>
      </w:pPr>
      <w:r w:rsidRPr="00596FA7">
        <w:t>Western</w:t>
      </w:r>
      <w:r w:rsidRPr="00596FA7">
        <w:rPr>
          <w:spacing w:val="-8"/>
        </w:rPr>
        <w:t xml:space="preserve"> </w:t>
      </w:r>
      <w:r w:rsidRPr="00596FA7">
        <w:t>Sydney</w:t>
      </w:r>
      <w:r w:rsidRPr="00596FA7">
        <w:rPr>
          <w:spacing w:val="-7"/>
        </w:rPr>
        <w:t xml:space="preserve"> </w:t>
      </w:r>
      <w:r w:rsidRPr="00596FA7">
        <w:t>University</w:t>
      </w:r>
      <w:r w:rsidRPr="00596FA7">
        <w:rPr>
          <w:spacing w:val="-7"/>
        </w:rPr>
        <w:t xml:space="preserve"> </w:t>
      </w:r>
      <w:r w:rsidRPr="00596FA7">
        <w:t>Enterprises</w:t>
      </w:r>
      <w:r w:rsidRPr="00596FA7">
        <w:rPr>
          <w:spacing w:val="-6"/>
        </w:rPr>
        <w:t xml:space="preserve"> </w:t>
      </w:r>
      <w:r w:rsidRPr="00596FA7">
        <w:t>Pty</w:t>
      </w:r>
      <w:r w:rsidRPr="00596FA7">
        <w:rPr>
          <w:spacing w:val="-8"/>
        </w:rPr>
        <w:t xml:space="preserve"> </w:t>
      </w:r>
      <w:r w:rsidRPr="00596FA7">
        <w:t>Limited</w:t>
      </w:r>
      <w:r w:rsidRPr="00596FA7">
        <w:rPr>
          <w:spacing w:val="-6"/>
        </w:rPr>
        <w:t xml:space="preserve"> </w:t>
      </w:r>
      <w:r w:rsidRPr="00596FA7">
        <w:t>trading</w:t>
      </w:r>
      <w:r w:rsidRPr="00596FA7">
        <w:rPr>
          <w:spacing w:val="-8"/>
        </w:rPr>
        <w:t xml:space="preserve"> </w:t>
      </w:r>
      <w:r w:rsidRPr="00596FA7">
        <w:t>as</w:t>
      </w:r>
      <w:r w:rsidRPr="00596FA7">
        <w:rPr>
          <w:spacing w:val="-7"/>
        </w:rPr>
        <w:t xml:space="preserve"> </w:t>
      </w:r>
      <w:r w:rsidRPr="00596FA7">
        <w:t>Western</w:t>
      </w:r>
      <w:r w:rsidRPr="00596FA7">
        <w:rPr>
          <w:spacing w:val="-7"/>
        </w:rPr>
        <w:t xml:space="preserve"> </w:t>
      </w:r>
      <w:r w:rsidRPr="00596FA7">
        <w:t>Sydney</w:t>
      </w:r>
      <w:r w:rsidRPr="00596FA7">
        <w:rPr>
          <w:spacing w:val="-6"/>
        </w:rPr>
        <w:t xml:space="preserve"> </w:t>
      </w:r>
      <w:r w:rsidRPr="00596FA7">
        <w:t>University</w:t>
      </w:r>
      <w:r w:rsidRPr="00596FA7">
        <w:rPr>
          <w:spacing w:val="-6"/>
        </w:rPr>
        <w:t xml:space="preserve"> </w:t>
      </w:r>
      <w:r w:rsidRPr="00596FA7">
        <w:t>The</w:t>
      </w:r>
      <w:r w:rsidRPr="00596FA7">
        <w:rPr>
          <w:spacing w:val="-6"/>
        </w:rPr>
        <w:t xml:space="preserve"> </w:t>
      </w:r>
      <w:r w:rsidRPr="00596FA7">
        <w:t>College</w:t>
      </w:r>
    </w:p>
    <w:p w14:paraId="5972E502" w14:textId="77777777" w:rsidR="00FA4AA8" w:rsidRDefault="00FA4AA8">
      <w:pPr>
        <w:pStyle w:val="BodyText"/>
        <w:spacing w:before="10"/>
        <w:rPr>
          <w:sz w:val="17"/>
        </w:rPr>
      </w:pPr>
    </w:p>
    <w:p w14:paraId="27C866DA" w14:textId="77777777" w:rsidR="00FA4AA8" w:rsidRDefault="0015611F">
      <w:pPr>
        <w:pStyle w:val="BodyText"/>
        <w:ind w:left="537"/>
      </w:pPr>
      <w:r>
        <w:t>Western Unlimited Ltd</w:t>
      </w:r>
    </w:p>
    <w:p w14:paraId="4E1E8CF7" w14:textId="77777777" w:rsidR="00FA4AA8" w:rsidRDefault="00FA4AA8">
      <w:pPr>
        <w:pStyle w:val="BodyText"/>
        <w:spacing w:before="11"/>
        <w:rPr>
          <w:sz w:val="17"/>
        </w:rPr>
      </w:pPr>
    </w:p>
    <w:p w14:paraId="0512BC6C" w14:textId="77777777" w:rsidR="00FA4AA8" w:rsidRDefault="0015611F">
      <w:pPr>
        <w:pStyle w:val="BodyText"/>
        <w:spacing w:line="480" w:lineRule="auto"/>
        <w:ind w:left="537" w:right="3442"/>
      </w:pPr>
      <w:r>
        <w:t>Western Sydney University Early Learning Limited Whitlam</w:t>
      </w:r>
      <w:r>
        <w:rPr>
          <w:spacing w:val="-7"/>
        </w:rPr>
        <w:t xml:space="preserve"> </w:t>
      </w:r>
      <w:r>
        <w:t>Institute</w:t>
      </w:r>
      <w:r>
        <w:rPr>
          <w:spacing w:val="-7"/>
        </w:rPr>
        <w:t xml:space="preserve"> </w:t>
      </w:r>
      <w:r>
        <w:t>within</w:t>
      </w:r>
      <w:r>
        <w:rPr>
          <w:spacing w:val="-6"/>
        </w:rPr>
        <w:t xml:space="preserve"> </w:t>
      </w:r>
      <w:r>
        <w:t>Western</w:t>
      </w:r>
      <w:r>
        <w:rPr>
          <w:spacing w:val="-7"/>
        </w:rPr>
        <w:t xml:space="preserve"> </w:t>
      </w:r>
      <w:r>
        <w:t>Sydney</w:t>
      </w:r>
      <w:r>
        <w:rPr>
          <w:spacing w:val="-8"/>
        </w:rPr>
        <w:t xml:space="preserve"> </w:t>
      </w:r>
      <w:r>
        <w:t>University</w:t>
      </w:r>
      <w:r>
        <w:rPr>
          <w:spacing w:val="-6"/>
        </w:rPr>
        <w:t xml:space="preserve"> </w:t>
      </w:r>
      <w:r>
        <w:t>Limited Whitlam Institute within Western Sydney University Trust Western Growth Developments</w:t>
      </w:r>
      <w:r>
        <w:rPr>
          <w:spacing w:val="-7"/>
        </w:rPr>
        <w:t xml:space="preserve"> </w:t>
      </w:r>
      <w:r w:rsidRPr="00596FA7">
        <w:t>(Westmead</w:t>
      </w:r>
      <w:r>
        <w:t>)</w:t>
      </w:r>
    </w:p>
    <w:p w14:paraId="3AD322CC" w14:textId="77777777" w:rsidR="00FA4AA8" w:rsidRDefault="0015611F">
      <w:pPr>
        <w:pStyle w:val="BodyText"/>
        <w:spacing w:line="203" w:lineRule="exact"/>
        <w:ind w:left="537"/>
      </w:pPr>
      <w:r>
        <w:t>Western Growth Developments (Innovation Hub Parramatta)</w:t>
      </w:r>
    </w:p>
    <w:p w14:paraId="50EAC25A" w14:textId="77777777" w:rsidR="00FA4AA8" w:rsidRDefault="00FA4AA8">
      <w:pPr>
        <w:pStyle w:val="BodyText"/>
        <w:rPr>
          <w:sz w:val="20"/>
        </w:rPr>
      </w:pPr>
    </w:p>
    <w:p w14:paraId="592ED328" w14:textId="77777777" w:rsidR="00FA4AA8" w:rsidRDefault="00FA4AA8">
      <w:pPr>
        <w:pStyle w:val="BodyText"/>
        <w:rPr>
          <w:sz w:val="20"/>
        </w:rPr>
      </w:pPr>
    </w:p>
    <w:p w14:paraId="746784E9" w14:textId="77777777" w:rsidR="00FA4AA8" w:rsidRDefault="00FA4AA8">
      <w:pPr>
        <w:pStyle w:val="BodyText"/>
        <w:rPr>
          <w:sz w:val="20"/>
        </w:rPr>
      </w:pPr>
    </w:p>
    <w:p w14:paraId="4262E79D" w14:textId="77777777" w:rsidR="00FA4AA8" w:rsidRDefault="00FA4AA8">
      <w:pPr>
        <w:pStyle w:val="BodyText"/>
        <w:spacing w:before="10"/>
        <w:rPr>
          <w:sz w:val="29"/>
        </w:rPr>
      </w:pPr>
    </w:p>
    <w:p w14:paraId="675C4D5F" w14:textId="77777777" w:rsidR="00FA4AA8" w:rsidRDefault="0015611F">
      <w:pPr>
        <w:pStyle w:val="Heading6"/>
        <w:spacing w:before="0"/>
        <w:ind w:left="540"/>
      </w:pPr>
      <w:r>
        <w:t>Supporting data</w:t>
      </w:r>
    </w:p>
    <w:p w14:paraId="5B111F76" w14:textId="77777777" w:rsidR="00FA4AA8" w:rsidRDefault="0015611F">
      <w:pPr>
        <w:spacing w:before="79"/>
        <w:ind w:left="348"/>
        <w:rPr>
          <w:b/>
        </w:rPr>
      </w:pPr>
      <w:r>
        <w:br w:type="column"/>
      </w:r>
      <w:r>
        <w:rPr>
          <w:b/>
        </w:rPr>
        <w:t>Page</w:t>
      </w:r>
    </w:p>
    <w:p w14:paraId="3AF0C590" w14:textId="77777777" w:rsidR="00FA4AA8" w:rsidRDefault="0015611F">
      <w:pPr>
        <w:pStyle w:val="BodyText"/>
        <w:spacing w:before="205"/>
        <w:ind w:right="116"/>
        <w:jc w:val="right"/>
      </w:pPr>
      <w:r>
        <w:t>3</w:t>
      </w:r>
    </w:p>
    <w:p w14:paraId="41D7FB08" w14:textId="77777777" w:rsidR="00FA4AA8" w:rsidRDefault="00FA4AA8">
      <w:pPr>
        <w:pStyle w:val="BodyText"/>
      </w:pPr>
    </w:p>
    <w:p w14:paraId="15C633F5" w14:textId="77777777" w:rsidR="00FA4AA8" w:rsidRDefault="0015611F">
      <w:pPr>
        <w:pStyle w:val="BodyText"/>
        <w:ind w:right="118"/>
        <w:jc w:val="right"/>
      </w:pPr>
      <w:r>
        <w:rPr>
          <w:spacing w:val="-1"/>
        </w:rPr>
        <w:t>87</w:t>
      </w:r>
    </w:p>
    <w:p w14:paraId="6FC3ED81" w14:textId="77777777" w:rsidR="00FA4AA8" w:rsidRDefault="00FA4AA8">
      <w:pPr>
        <w:pStyle w:val="BodyText"/>
        <w:spacing w:before="8"/>
      </w:pPr>
    </w:p>
    <w:p w14:paraId="4A7B7436" w14:textId="77777777" w:rsidR="00FA4AA8" w:rsidRDefault="0015611F">
      <w:pPr>
        <w:pStyle w:val="BodyText"/>
        <w:ind w:right="119"/>
        <w:jc w:val="right"/>
      </w:pPr>
      <w:r>
        <w:rPr>
          <w:spacing w:val="-2"/>
        </w:rPr>
        <w:t>119</w:t>
      </w:r>
    </w:p>
    <w:p w14:paraId="7D260950" w14:textId="77777777" w:rsidR="00FA4AA8" w:rsidRDefault="00FA4AA8">
      <w:pPr>
        <w:pStyle w:val="BodyText"/>
        <w:spacing w:before="4"/>
        <w:rPr>
          <w:sz w:val="17"/>
        </w:rPr>
      </w:pPr>
    </w:p>
    <w:p w14:paraId="37405021" w14:textId="77777777" w:rsidR="00FA4AA8" w:rsidRDefault="0015611F">
      <w:pPr>
        <w:pStyle w:val="BodyText"/>
        <w:ind w:right="110"/>
        <w:jc w:val="right"/>
      </w:pPr>
      <w:r>
        <w:rPr>
          <w:spacing w:val="-2"/>
        </w:rPr>
        <w:t>145</w:t>
      </w:r>
    </w:p>
    <w:p w14:paraId="394EC473" w14:textId="77777777" w:rsidR="00FA4AA8" w:rsidRDefault="00FA4AA8">
      <w:pPr>
        <w:pStyle w:val="BodyText"/>
        <w:spacing w:before="1"/>
        <w:rPr>
          <w:sz w:val="16"/>
        </w:rPr>
      </w:pPr>
    </w:p>
    <w:p w14:paraId="1DD34E0A" w14:textId="77777777" w:rsidR="00FA4AA8" w:rsidRDefault="0015611F">
      <w:pPr>
        <w:pStyle w:val="BodyText"/>
        <w:ind w:right="118"/>
        <w:jc w:val="right"/>
      </w:pPr>
      <w:r>
        <w:rPr>
          <w:spacing w:val="-2"/>
        </w:rPr>
        <w:t>167</w:t>
      </w:r>
    </w:p>
    <w:p w14:paraId="4E659C71" w14:textId="77777777" w:rsidR="00FA4AA8" w:rsidRDefault="00FA4AA8">
      <w:pPr>
        <w:pStyle w:val="BodyText"/>
        <w:spacing w:before="10"/>
        <w:rPr>
          <w:sz w:val="19"/>
        </w:rPr>
      </w:pPr>
    </w:p>
    <w:p w14:paraId="2B2F677B" w14:textId="77777777" w:rsidR="00FA4AA8" w:rsidRDefault="0015611F">
      <w:pPr>
        <w:pStyle w:val="BodyText"/>
        <w:ind w:right="118"/>
        <w:jc w:val="right"/>
      </w:pPr>
      <w:r>
        <w:rPr>
          <w:spacing w:val="-2"/>
        </w:rPr>
        <w:t>187</w:t>
      </w:r>
    </w:p>
    <w:p w14:paraId="54A197A6" w14:textId="77777777" w:rsidR="00FA4AA8" w:rsidRDefault="00FA4AA8">
      <w:pPr>
        <w:pStyle w:val="BodyText"/>
        <w:spacing w:before="6"/>
        <w:rPr>
          <w:sz w:val="16"/>
        </w:rPr>
      </w:pPr>
    </w:p>
    <w:p w14:paraId="56439D76" w14:textId="77777777" w:rsidR="00FA4AA8" w:rsidRDefault="0015611F">
      <w:pPr>
        <w:pStyle w:val="BodyText"/>
        <w:ind w:right="114"/>
        <w:jc w:val="right"/>
      </w:pPr>
      <w:r>
        <w:rPr>
          <w:spacing w:val="-2"/>
        </w:rPr>
        <w:t>207</w:t>
      </w:r>
    </w:p>
    <w:p w14:paraId="7AFC8FC1" w14:textId="77777777" w:rsidR="00FA4AA8" w:rsidRDefault="00FA4AA8">
      <w:pPr>
        <w:pStyle w:val="BodyText"/>
        <w:spacing w:before="11"/>
        <w:rPr>
          <w:sz w:val="16"/>
        </w:rPr>
      </w:pPr>
    </w:p>
    <w:p w14:paraId="4623E1CA" w14:textId="77777777" w:rsidR="00FA4AA8" w:rsidRDefault="0015611F">
      <w:pPr>
        <w:pStyle w:val="BodyText"/>
        <w:ind w:right="108"/>
        <w:jc w:val="right"/>
      </w:pPr>
      <w:r>
        <w:rPr>
          <w:spacing w:val="-2"/>
        </w:rPr>
        <w:t>227</w:t>
      </w:r>
    </w:p>
    <w:p w14:paraId="6999D3D4" w14:textId="77777777" w:rsidR="00FA4AA8" w:rsidRDefault="00FA4AA8">
      <w:pPr>
        <w:jc w:val="right"/>
        <w:sectPr w:rsidR="00FA4AA8">
          <w:footerReference w:type="default" r:id="rId13"/>
          <w:pgSz w:w="11910" w:h="16840"/>
          <w:pgMar w:top="1360" w:right="1320" w:bottom="720" w:left="900" w:header="0" w:footer="523" w:gutter="0"/>
          <w:pgNumType w:start="1"/>
          <w:cols w:num="2" w:space="720" w:equalWidth="0">
            <w:col w:w="8651" w:space="40"/>
            <w:col w:w="999"/>
          </w:cols>
        </w:sectPr>
      </w:pPr>
    </w:p>
    <w:p w14:paraId="4D6056DD" w14:textId="77777777" w:rsidR="00FA4AA8" w:rsidRDefault="00FA4AA8">
      <w:pPr>
        <w:pStyle w:val="BodyText"/>
        <w:spacing w:before="6"/>
        <w:rPr>
          <w:sz w:val="12"/>
        </w:rPr>
      </w:pPr>
    </w:p>
    <w:p w14:paraId="03F136E1" w14:textId="77777777" w:rsidR="00FA4AA8" w:rsidRDefault="0015611F">
      <w:pPr>
        <w:pStyle w:val="BodyText"/>
        <w:tabs>
          <w:tab w:val="right" w:pos="9571"/>
        </w:tabs>
        <w:spacing w:before="99"/>
        <w:ind w:left="540"/>
      </w:pPr>
      <w:r>
        <w:t>Appendices</w:t>
      </w:r>
      <w:r>
        <w:tab/>
      </w:r>
      <w:r>
        <w:rPr>
          <w:position w:val="1"/>
        </w:rPr>
        <w:t>247</w:t>
      </w:r>
    </w:p>
    <w:p w14:paraId="57D2FA01" w14:textId="77777777" w:rsidR="00FA4AA8" w:rsidRDefault="00FA4AA8">
      <w:pPr>
        <w:sectPr w:rsidR="00FA4AA8">
          <w:type w:val="continuous"/>
          <w:pgSz w:w="11910" w:h="16840"/>
          <w:pgMar w:top="20" w:right="1320" w:bottom="0" w:left="900" w:header="720" w:footer="720" w:gutter="0"/>
          <w:cols w:space="720"/>
        </w:sectPr>
      </w:pPr>
    </w:p>
    <w:p w14:paraId="53CDCEE8" w14:textId="77777777" w:rsidR="00FA4AA8" w:rsidRDefault="00FA4AA8">
      <w:pPr>
        <w:pStyle w:val="BodyText"/>
        <w:rPr>
          <w:sz w:val="20"/>
        </w:rPr>
      </w:pPr>
    </w:p>
    <w:p w14:paraId="19876C41" w14:textId="77777777" w:rsidR="00FA4AA8" w:rsidRDefault="00FA4AA8">
      <w:pPr>
        <w:pStyle w:val="BodyText"/>
        <w:rPr>
          <w:sz w:val="20"/>
        </w:rPr>
      </w:pPr>
    </w:p>
    <w:p w14:paraId="7B50C882" w14:textId="77777777" w:rsidR="00FA4AA8" w:rsidRDefault="00FA4AA8">
      <w:pPr>
        <w:pStyle w:val="BodyText"/>
        <w:rPr>
          <w:sz w:val="20"/>
        </w:rPr>
      </w:pPr>
    </w:p>
    <w:p w14:paraId="65292DB1" w14:textId="77777777" w:rsidR="00FA4AA8" w:rsidRDefault="00FA4AA8">
      <w:pPr>
        <w:pStyle w:val="BodyText"/>
        <w:rPr>
          <w:sz w:val="20"/>
        </w:rPr>
      </w:pPr>
    </w:p>
    <w:p w14:paraId="77CAD2E9" w14:textId="77777777" w:rsidR="00FA4AA8" w:rsidRDefault="00FA4AA8">
      <w:pPr>
        <w:pStyle w:val="BodyText"/>
        <w:rPr>
          <w:sz w:val="20"/>
        </w:rPr>
      </w:pPr>
    </w:p>
    <w:p w14:paraId="3B0A3F43" w14:textId="77777777" w:rsidR="00FA4AA8" w:rsidRDefault="00FA4AA8">
      <w:pPr>
        <w:pStyle w:val="BodyText"/>
        <w:rPr>
          <w:sz w:val="20"/>
        </w:rPr>
      </w:pPr>
    </w:p>
    <w:p w14:paraId="1329C8AE" w14:textId="77777777" w:rsidR="00FA4AA8" w:rsidRDefault="00FA4AA8">
      <w:pPr>
        <w:pStyle w:val="BodyText"/>
        <w:rPr>
          <w:sz w:val="20"/>
        </w:rPr>
      </w:pPr>
    </w:p>
    <w:p w14:paraId="45047ECC" w14:textId="77777777" w:rsidR="00FA4AA8" w:rsidRDefault="00FA4AA8">
      <w:pPr>
        <w:pStyle w:val="BodyText"/>
        <w:rPr>
          <w:sz w:val="20"/>
        </w:rPr>
      </w:pPr>
    </w:p>
    <w:p w14:paraId="58812BCE" w14:textId="77777777" w:rsidR="00FA4AA8" w:rsidRDefault="00FA4AA8">
      <w:pPr>
        <w:pStyle w:val="BodyText"/>
        <w:rPr>
          <w:sz w:val="20"/>
        </w:rPr>
      </w:pPr>
    </w:p>
    <w:p w14:paraId="6E7A538D" w14:textId="77777777" w:rsidR="00FA4AA8" w:rsidRDefault="00FA4AA8">
      <w:pPr>
        <w:pStyle w:val="BodyText"/>
        <w:rPr>
          <w:sz w:val="20"/>
        </w:rPr>
      </w:pPr>
    </w:p>
    <w:p w14:paraId="65E440A1" w14:textId="77777777" w:rsidR="00FA4AA8" w:rsidRDefault="00FA4AA8">
      <w:pPr>
        <w:pStyle w:val="BodyText"/>
        <w:rPr>
          <w:sz w:val="20"/>
        </w:rPr>
      </w:pPr>
    </w:p>
    <w:p w14:paraId="00905CCC" w14:textId="77777777" w:rsidR="00FA4AA8" w:rsidRDefault="00FA4AA8">
      <w:pPr>
        <w:pStyle w:val="BodyText"/>
        <w:rPr>
          <w:sz w:val="20"/>
        </w:rPr>
      </w:pPr>
    </w:p>
    <w:p w14:paraId="3D44BEB3" w14:textId="77777777" w:rsidR="00FA4AA8" w:rsidRDefault="00FA4AA8">
      <w:pPr>
        <w:pStyle w:val="BodyText"/>
        <w:rPr>
          <w:sz w:val="20"/>
        </w:rPr>
      </w:pPr>
    </w:p>
    <w:p w14:paraId="1154A289" w14:textId="77777777" w:rsidR="00FA4AA8" w:rsidRDefault="00FA4AA8">
      <w:pPr>
        <w:pStyle w:val="BodyText"/>
        <w:rPr>
          <w:sz w:val="20"/>
        </w:rPr>
      </w:pPr>
    </w:p>
    <w:p w14:paraId="76EC27F9" w14:textId="77777777" w:rsidR="00FA4AA8" w:rsidRDefault="00FA4AA8">
      <w:pPr>
        <w:pStyle w:val="BodyText"/>
        <w:rPr>
          <w:sz w:val="20"/>
        </w:rPr>
      </w:pPr>
    </w:p>
    <w:p w14:paraId="5CC6833A" w14:textId="77777777" w:rsidR="00FA4AA8" w:rsidRDefault="00FA4AA8">
      <w:pPr>
        <w:pStyle w:val="BodyText"/>
        <w:rPr>
          <w:sz w:val="20"/>
        </w:rPr>
      </w:pPr>
    </w:p>
    <w:p w14:paraId="46A52701" w14:textId="77777777" w:rsidR="00FA4AA8" w:rsidRDefault="00FA4AA8">
      <w:pPr>
        <w:pStyle w:val="BodyText"/>
        <w:rPr>
          <w:sz w:val="20"/>
        </w:rPr>
      </w:pPr>
    </w:p>
    <w:p w14:paraId="48D63086" w14:textId="77777777" w:rsidR="00FA4AA8" w:rsidRDefault="00FA4AA8">
      <w:pPr>
        <w:pStyle w:val="BodyText"/>
        <w:rPr>
          <w:sz w:val="20"/>
        </w:rPr>
      </w:pPr>
    </w:p>
    <w:p w14:paraId="5C105261" w14:textId="77777777" w:rsidR="00FA4AA8" w:rsidRDefault="00FA4AA8">
      <w:pPr>
        <w:pStyle w:val="BodyText"/>
        <w:rPr>
          <w:sz w:val="20"/>
        </w:rPr>
      </w:pPr>
    </w:p>
    <w:p w14:paraId="79353AF0" w14:textId="77777777" w:rsidR="00FA4AA8" w:rsidRDefault="00FA4AA8">
      <w:pPr>
        <w:pStyle w:val="BodyText"/>
        <w:rPr>
          <w:sz w:val="20"/>
        </w:rPr>
      </w:pPr>
    </w:p>
    <w:p w14:paraId="0A22F204" w14:textId="77777777" w:rsidR="00FA4AA8" w:rsidRDefault="00FA4AA8">
      <w:pPr>
        <w:pStyle w:val="BodyText"/>
        <w:rPr>
          <w:sz w:val="20"/>
        </w:rPr>
      </w:pPr>
    </w:p>
    <w:p w14:paraId="79AB3B6C" w14:textId="77777777" w:rsidR="00FA4AA8" w:rsidRDefault="00FA4AA8">
      <w:pPr>
        <w:pStyle w:val="BodyText"/>
        <w:rPr>
          <w:sz w:val="20"/>
        </w:rPr>
      </w:pPr>
    </w:p>
    <w:p w14:paraId="39139260" w14:textId="77777777" w:rsidR="00FA4AA8" w:rsidRDefault="00FA4AA8">
      <w:pPr>
        <w:pStyle w:val="BodyText"/>
        <w:rPr>
          <w:sz w:val="20"/>
        </w:rPr>
      </w:pPr>
    </w:p>
    <w:p w14:paraId="3EE33555" w14:textId="77777777" w:rsidR="00FA4AA8" w:rsidRDefault="00FA4AA8">
      <w:pPr>
        <w:pStyle w:val="BodyText"/>
        <w:spacing w:before="1"/>
        <w:rPr>
          <w:sz w:val="26"/>
        </w:rPr>
      </w:pPr>
    </w:p>
    <w:p w14:paraId="2D81CA28" w14:textId="77777777" w:rsidR="00FA4AA8" w:rsidRDefault="0015611F">
      <w:pPr>
        <w:pStyle w:val="BodyText"/>
        <w:ind w:left="3808" w:right="3387"/>
        <w:jc w:val="center"/>
      </w:pPr>
      <w:bookmarkStart w:id="6" w:name="Blank_page_with_text.pdf"/>
      <w:bookmarkEnd w:id="6"/>
      <w:r>
        <w:t>This page is intentionally blank</w:t>
      </w:r>
    </w:p>
    <w:p w14:paraId="673536EC" w14:textId="77777777" w:rsidR="00FA4AA8" w:rsidRDefault="00FA4AA8">
      <w:pPr>
        <w:jc w:val="center"/>
        <w:sectPr w:rsidR="00FA4AA8">
          <w:pgSz w:w="11910" w:h="16840"/>
          <w:pgMar w:top="1580" w:right="1322" w:bottom="720" w:left="900" w:header="0" w:footer="523" w:gutter="0"/>
          <w:cols w:space="720"/>
        </w:sectPr>
      </w:pPr>
    </w:p>
    <w:p w14:paraId="7F88E621" w14:textId="77777777" w:rsidR="00FA4AA8" w:rsidRDefault="00FA4AA8">
      <w:pPr>
        <w:pStyle w:val="BodyText"/>
        <w:rPr>
          <w:sz w:val="20"/>
        </w:rPr>
      </w:pPr>
    </w:p>
    <w:p w14:paraId="41F17D7E" w14:textId="77777777" w:rsidR="00FA4AA8" w:rsidRDefault="00FA4AA8">
      <w:pPr>
        <w:pStyle w:val="BodyText"/>
        <w:rPr>
          <w:sz w:val="20"/>
        </w:rPr>
      </w:pPr>
    </w:p>
    <w:p w14:paraId="68682E33" w14:textId="77777777" w:rsidR="00FA4AA8" w:rsidRDefault="00FA4AA8">
      <w:pPr>
        <w:pStyle w:val="BodyText"/>
        <w:rPr>
          <w:sz w:val="20"/>
        </w:rPr>
      </w:pPr>
    </w:p>
    <w:p w14:paraId="7FC15C26" w14:textId="77777777" w:rsidR="00FA4AA8" w:rsidRDefault="00FA4AA8">
      <w:pPr>
        <w:pStyle w:val="BodyText"/>
        <w:rPr>
          <w:sz w:val="20"/>
        </w:rPr>
      </w:pPr>
    </w:p>
    <w:p w14:paraId="37F92726" w14:textId="77777777" w:rsidR="00FA4AA8" w:rsidRDefault="00FA4AA8">
      <w:pPr>
        <w:pStyle w:val="BodyText"/>
        <w:rPr>
          <w:sz w:val="20"/>
        </w:rPr>
      </w:pPr>
    </w:p>
    <w:p w14:paraId="6C5FB4B1" w14:textId="77777777" w:rsidR="00FA4AA8" w:rsidRDefault="00FA4AA8">
      <w:pPr>
        <w:pStyle w:val="BodyText"/>
        <w:rPr>
          <w:sz w:val="20"/>
        </w:rPr>
      </w:pPr>
    </w:p>
    <w:p w14:paraId="2EA3ECFA" w14:textId="77777777" w:rsidR="00FA4AA8" w:rsidRDefault="00FA4AA8">
      <w:pPr>
        <w:pStyle w:val="BodyText"/>
        <w:rPr>
          <w:sz w:val="20"/>
        </w:rPr>
      </w:pPr>
    </w:p>
    <w:p w14:paraId="61C70444" w14:textId="77777777" w:rsidR="00FA4AA8" w:rsidRDefault="00FA4AA8">
      <w:pPr>
        <w:pStyle w:val="BodyText"/>
        <w:rPr>
          <w:sz w:val="20"/>
        </w:rPr>
      </w:pPr>
    </w:p>
    <w:p w14:paraId="2AFB8F8D" w14:textId="77777777" w:rsidR="00FA4AA8" w:rsidRDefault="00FA4AA8">
      <w:pPr>
        <w:pStyle w:val="BodyText"/>
        <w:rPr>
          <w:sz w:val="20"/>
        </w:rPr>
      </w:pPr>
    </w:p>
    <w:p w14:paraId="0FBEEED0" w14:textId="77777777" w:rsidR="00FA4AA8" w:rsidRDefault="00FA4AA8">
      <w:pPr>
        <w:pStyle w:val="BodyText"/>
        <w:rPr>
          <w:sz w:val="20"/>
        </w:rPr>
      </w:pPr>
    </w:p>
    <w:p w14:paraId="2ADC6C31" w14:textId="77777777" w:rsidR="00FA4AA8" w:rsidRDefault="00FA4AA8">
      <w:pPr>
        <w:pStyle w:val="BodyText"/>
        <w:rPr>
          <w:sz w:val="20"/>
        </w:rPr>
      </w:pPr>
    </w:p>
    <w:p w14:paraId="652F6A57" w14:textId="77777777" w:rsidR="00FA4AA8" w:rsidRDefault="00FA4AA8">
      <w:pPr>
        <w:pStyle w:val="BodyText"/>
        <w:rPr>
          <w:sz w:val="20"/>
        </w:rPr>
      </w:pPr>
    </w:p>
    <w:p w14:paraId="670F83F0" w14:textId="77777777" w:rsidR="00FA4AA8" w:rsidRDefault="00FA4AA8">
      <w:pPr>
        <w:pStyle w:val="BodyText"/>
        <w:rPr>
          <w:sz w:val="20"/>
        </w:rPr>
      </w:pPr>
    </w:p>
    <w:p w14:paraId="59458373" w14:textId="77777777" w:rsidR="00FA4AA8" w:rsidRDefault="00FA4AA8">
      <w:pPr>
        <w:pStyle w:val="BodyText"/>
        <w:rPr>
          <w:sz w:val="20"/>
        </w:rPr>
      </w:pPr>
    </w:p>
    <w:p w14:paraId="5AD0B6E1" w14:textId="77777777" w:rsidR="00FA4AA8" w:rsidRDefault="00FA4AA8">
      <w:pPr>
        <w:pStyle w:val="BodyText"/>
        <w:rPr>
          <w:sz w:val="20"/>
        </w:rPr>
      </w:pPr>
    </w:p>
    <w:p w14:paraId="1404C95B" w14:textId="77777777" w:rsidR="00FA4AA8" w:rsidRDefault="00FA4AA8">
      <w:pPr>
        <w:pStyle w:val="BodyText"/>
        <w:rPr>
          <w:sz w:val="20"/>
        </w:rPr>
      </w:pPr>
    </w:p>
    <w:p w14:paraId="16AD65F4" w14:textId="77777777" w:rsidR="00FA4AA8" w:rsidRDefault="00FA4AA8">
      <w:pPr>
        <w:pStyle w:val="BodyText"/>
        <w:rPr>
          <w:sz w:val="20"/>
        </w:rPr>
      </w:pPr>
    </w:p>
    <w:p w14:paraId="152CF678" w14:textId="77777777" w:rsidR="00FA4AA8" w:rsidRDefault="00FA4AA8">
      <w:pPr>
        <w:pStyle w:val="BodyText"/>
        <w:rPr>
          <w:sz w:val="20"/>
        </w:rPr>
      </w:pPr>
    </w:p>
    <w:p w14:paraId="78F80F3D" w14:textId="77777777" w:rsidR="00FA4AA8" w:rsidRDefault="00FA4AA8">
      <w:pPr>
        <w:pStyle w:val="BodyText"/>
        <w:spacing w:before="10"/>
        <w:rPr>
          <w:sz w:val="24"/>
        </w:rPr>
      </w:pPr>
    </w:p>
    <w:p w14:paraId="5F6D9975" w14:textId="77777777" w:rsidR="00FA4AA8" w:rsidRDefault="0015611F">
      <w:pPr>
        <w:pStyle w:val="Heading1"/>
      </w:pPr>
      <w:r>
        <w:t>Western Sydney University</w:t>
      </w:r>
    </w:p>
    <w:p w14:paraId="0AA518EA" w14:textId="77777777" w:rsidR="00FA4AA8" w:rsidRDefault="00FA4AA8">
      <w:pPr>
        <w:pStyle w:val="BodyText"/>
        <w:rPr>
          <w:b/>
          <w:sz w:val="62"/>
        </w:rPr>
      </w:pPr>
    </w:p>
    <w:p w14:paraId="7AB982B3" w14:textId="77777777" w:rsidR="00FA4AA8" w:rsidRDefault="0015611F">
      <w:pPr>
        <w:spacing w:before="419"/>
        <w:ind w:left="107"/>
        <w:rPr>
          <w:b/>
          <w:sz w:val="36"/>
        </w:rPr>
      </w:pPr>
      <w:r>
        <w:rPr>
          <w:b/>
          <w:sz w:val="36"/>
        </w:rPr>
        <w:t>Consolidated Financial Statements</w:t>
      </w:r>
    </w:p>
    <w:p w14:paraId="39D807FC" w14:textId="77777777" w:rsidR="00FA4AA8" w:rsidRDefault="0015611F">
      <w:pPr>
        <w:pStyle w:val="Heading2"/>
        <w:spacing w:before="283"/>
        <w:ind w:left="107"/>
      </w:pPr>
      <w:r>
        <w:t>For the year ended 31 December 2018</w:t>
      </w:r>
    </w:p>
    <w:p w14:paraId="2FB72B3C" w14:textId="77777777" w:rsidR="00FA4AA8" w:rsidRDefault="00FA4AA8">
      <w:pPr>
        <w:sectPr w:rsidR="00FA4AA8">
          <w:pgSz w:w="11910" w:h="16840"/>
          <w:pgMar w:top="1580" w:right="1321" w:bottom="720" w:left="900" w:header="0" w:footer="523" w:gutter="0"/>
          <w:cols w:space="720"/>
        </w:sectPr>
      </w:pPr>
    </w:p>
    <w:p w14:paraId="21026AB9" w14:textId="77777777" w:rsidR="00FA4AA8" w:rsidRDefault="0015611F">
      <w:pPr>
        <w:spacing w:before="81"/>
        <w:ind w:left="134"/>
        <w:rPr>
          <w:sz w:val="28"/>
        </w:rPr>
      </w:pPr>
      <w:r>
        <w:rPr>
          <w:b/>
          <w:color w:val="151515"/>
          <w:sz w:val="28"/>
        </w:rPr>
        <w:t xml:space="preserve">Statement </w:t>
      </w:r>
      <w:r>
        <w:rPr>
          <w:b/>
          <w:color w:val="232323"/>
          <w:sz w:val="28"/>
        </w:rPr>
        <w:t xml:space="preserve">by </w:t>
      </w:r>
      <w:r>
        <w:rPr>
          <w:b/>
          <w:color w:val="161616"/>
          <w:sz w:val="28"/>
        </w:rPr>
        <w:t xml:space="preserve">the </w:t>
      </w:r>
      <w:r>
        <w:rPr>
          <w:b/>
          <w:color w:val="1C1C1C"/>
          <w:sz w:val="28"/>
        </w:rPr>
        <w:t xml:space="preserve">Members </w:t>
      </w:r>
      <w:r>
        <w:rPr>
          <w:b/>
          <w:color w:val="212121"/>
          <w:sz w:val="28"/>
        </w:rPr>
        <w:t xml:space="preserve">of </w:t>
      </w:r>
      <w:r>
        <w:rPr>
          <w:b/>
          <w:color w:val="1A1A1A"/>
          <w:sz w:val="28"/>
        </w:rPr>
        <w:t xml:space="preserve">the </w:t>
      </w:r>
      <w:r>
        <w:rPr>
          <w:b/>
          <w:color w:val="0F0F0F"/>
          <w:sz w:val="28"/>
        </w:rPr>
        <w:t xml:space="preserve">Board </w:t>
      </w:r>
      <w:r>
        <w:rPr>
          <w:b/>
          <w:color w:val="1A1A1A"/>
          <w:sz w:val="28"/>
        </w:rPr>
        <w:t xml:space="preserve">of </w:t>
      </w:r>
      <w:r>
        <w:rPr>
          <w:sz w:val="28"/>
        </w:rPr>
        <w:t>Trustees</w:t>
      </w:r>
    </w:p>
    <w:p w14:paraId="74C51172" w14:textId="77777777" w:rsidR="00FA4AA8" w:rsidRDefault="0015611F">
      <w:pPr>
        <w:pStyle w:val="Heading7"/>
        <w:spacing w:before="55"/>
        <w:ind w:left="130"/>
      </w:pPr>
      <w:r>
        <w:rPr>
          <w:color w:val="282828"/>
          <w:w w:val="105"/>
        </w:rPr>
        <w:t xml:space="preserve">For </w:t>
      </w:r>
      <w:r>
        <w:rPr>
          <w:color w:val="151515"/>
          <w:w w:val="105"/>
        </w:rPr>
        <w:t xml:space="preserve">the </w:t>
      </w:r>
      <w:r>
        <w:rPr>
          <w:color w:val="0F0F0F"/>
          <w:w w:val="105"/>
        </w:rPr>
        <w:t xml:space="preserve">Year </w:t>
      </w:r>
      <w:r>
        <w:rPr>
          <w:color w:val="282828"/>
          <w:w w:val="105"/>
        </w:rPr>
        <w:t xml:space="preserve">Ended </w:t>
      </w:r>
      <w:r>
        <w:rPr>
          <w:color w:val="1F1F1F"/>
          <w:w w:val="105"/>
        </w:rPr>
        <w:t xml:space="preserve">31 </w:t>
      </w:r>
      <w:r>
        <w:rPr>
          <w:color w:val="181818"/>
          <w:w w:val="105"/>
        </w:rPr>
        <w:t xml:space="preserve">December </w:t>
      </w:r>
      <w:r>
        <w:rPr>
          <w:color w:val="111111"/>
          <w:w w:val="105"/>
        </w:rPr>
        <w:t>2018</w:t>
      </w:r>
    </w:p>
    <w:p w14:paraId="473B453D" w14:textId="77777777" w:rsidR="00FA4AA8" w:rsidRDefault="00FA4AA8">
      <w:pPr>
        <w:pStyle w:val="BodyText"/>
        <w:rPr>
          <w:sz w:val="24"/>
        </w:rPr>
      </w:pPr>
    </w:p>
    <w:p w14:paraId="47DC14B2" w14:textId="77777777" w:rsidR="00FA4AA8" w:rsidRDefault="00FA4AA8">
      <w:pPr>
        <w:pStyle w:val="BodyText"/>
        <w:rPr>
          <w:sz w:val="24"/>
        </w:rPr>
      </w:pPr>
    </w:p>
    <w:p w14:paraId="6112BAD7" w14:textId="77777777" w:rsidR="00FA4AA8" w:rsidRDefault="00FA4AA8">
      <w:pPr>
        <w:pStyle w:val="BodyText"/>
        <w:spacing w:before="7"/>
        <w:rPr>
          <w:sz w:val="20"/>
        </w:rPr>
      </w:pPr>
    </w:p>
    <w:p w14:paraId="2696C391" w14:textId="77777777" w:rsidR="00FA4AA8" w:rsidRDefault="0015611F">
      <w:pPr>
        <w:spacing w:before="1" w:line="225" w:lineRule="auto"/>
        <w:ind w:left="135" w:hanging="5"/>
        <w:rPr>
          <w:sz w:val="19"/>
        </w:rPr>
      </w:pPr>
      <w:r>
        <w:rPr>
          <w:color w:val="131313"/>
          <w:sz w:val="19"/>
        </w:rPr>
        <w:t>In</w:t>
      </w:r>
      <w:r>
        <w:rPr>
          <w:color w:val="131313"/>
          <w:spacing w:val="-30"/>
          <w:sz w:val="19"/>
        </w:rPr>
        <w:t xml:space="preserve"> </w:t>
      </w:r>
      <w:r>
        <w:rPr>
          <w:color w:val="1A1A1A"/>
          <w:sz w:val="19"/>
        </w:rPr>
        <w:t>accordance</w:t>
      </w:r>
      <w:r>
        <w:rPr>
          <w:color w:val="1A1A1A"/>
          <w:spacing w:val="-18"/>
          <w:sz w:val="19"/>
        </w:rPr>
        <w:t xml:space="preserve"> </w:t>
      </w:r>
      <w:r>
        <w:rPr>
          <w:sz w:val="19"/>
        </w:rPr>
        <w:t>with</w:t>
      </w:r>
      <w:r>
        <w:rPr>
          <w:spacing w:val="-26"/>
          <w:sz w:val="19"/>
        </w:rPr>
        <w:t xml:space="preserve"> </w:t>
      </w:r>
      <w:r>
        <w:rPr>
          <w:color w:val="333333"/>
          <w:sz w:val="19"/>
        </w:rPr>
        <w:t>a</w:t>
      </w:r>
      <w:r>
        <w:rPr>
          <w:color w:val="333333"/>
          <w:spacing w:val="-26"/>
          <w:sz w:val="19"/>
        </w:rPr>
        <w:t xml:space="preserve"> </w:t>
      </w:r>
      <w:r>
        <w:rPr>
          <w:color w:val="181818"/>
          <w:sz w:val="19"/>
        </w:rPr>
        <w:t>resolution</w:t>
      </w:r>
      <w:r>
        <w:rPr>
          <w:color w:val="181818"/>
          <w:spacing w:val="-25"/>
          <w:sz w:val="19"/>
        </w:rPr>
        <w:t xml:space="preserve"> </w:t>
      </w:r>
      <w:r>
        <w:rPr>
          <w:color w:val="1C1C1C"/>
          <w:sz w:val="19"/>
        </w:rPr>
        <w:t>of</w:t>
      </w:r>
      <w:r>
        <w:rPr>
          <w:color w:val="1C1C1C"/>
          <w:spacing w:val="-31"/>
          <w:sz w:val="19"/>
        </w:rPr>
        <w:t xml:space="preserve"> </w:t>
      </w:r>
      <w:r>
        <w:rPr>
          <w:color w:val="111111"/>
          <w:sz w:val="19"/>
        </w:rPr>
        <w:t>the</w:t>
      </w:r>
      <w:r>
        <w:rPr>
          <w:color w:val="111111"/>
          <w:spacing w:val="-25"/>
          <w:sz w:val="19"/>
        </w:rPr>
        <w:t xml:space="preserve"> </w:t>
      </w:r>
      <w:r>
        <w:rPr>
          <w:color w:val="151515"/>
          <w:sz w:val="19"/>
        </w:rPr>
        <w:t>Board</w:t>
      </w:r>
      <w:r>
        <w:rPr>
          <w:color w:val="151515"/>
          <w:spacing w:val="-26"/>
          <w:sz w:val="19"/>
        </w:rPr>
        <w:t xml:space="preserve"> </w:t>
      </w:r>
      <w:r>
        <w:rPr>
          <w:color w:val="262626"/>
          <w:sz w:val="19"/>
        </w:rPr>
        <w:t>of</w:t>
      </w:r>
      <w:r>
        <w:rPr>
          <w:color w:val="262626"/>
          <w:spacing w:val="-29"/>
          <w:sz w:val="19"/>
        </w:rPr>
        <w:t xml:space="preserve"> </w:t>
      </w:r>
      <w:r>
        <w:rPr>
          <w:color w:val="161616"/>
          <w:sz w:val="19"/>
        </w:rPr>
        <w:t>Trustees</w:t>
      </w:r>
      <w:r>
        <w:rPr>
          <w:color w:val="161616"/>
          <w:spacing w:val="-18"/>
          <w:sz w:val="19"/>
        </w:rPr>
        <w:t xml:space="preserve"> </w:t>
      </w:r>
      <w:r>
        <w:rPr>
          <w:color w:val="262626"/>
          <w:sz w:val="19"/>
        </w:rPr>
        <w:t>of</w:t>
      </w:r>
      <w:r>
        <w:rPr>
          <w:color w:val="262626"/>
          <w:spacing w:val="-23"/>
          <w:sz w:val="19"/>
        </w:rPr>
        <w:t xml:space="preserve"> </w:t>
      </w:r>
      <w:r>
        <w:rPr>
          <w:color w:val="1D1D1D"/>
          <w:sz w:val="19"/>
        </w:rPr>
        <w:t>Western</w:t>
      </w:r>
      <w:r>
        <w:rPr>
          <w:color w:val="1D1D1D"/>
          <w:spacing w:val="-20"/>
          <w:sz w:val="19"/>
        </w:rPr>
        <w:t xml:space="preserve"> </w:t>
      </w:r>
      <w:r>
        <w:rPr>
          <w:color w:val="1A1A1A"/>
          <w:sz w:val="19"/>
        </w:rPr>
        <w:t>Sydney</w:t>
      </w:r>
      <w:r>
        <w:rPr>
          <w:color w:val="1A1A1A"/>
          <w:spacing w:val="-18"/>
          <w:sz w:val="19"/>
        </w:rPr>
        <w:t xml:space="preserve"> </w:t>
      </w:r>
      <w:r>
        <w:rPr>
          <w:sz w:val="19"/>
        </w:rPr>
        <w:t>University</w:t>
      </w:r>
      <w:r>
        <w:rPr>
          <w:spacing w:val="-19"/>
          <w:sz w:val="19"/>
        </w:rPr>
        <w:t xml:space="preserve"> </w:t>
      </w:r>
      <w:r>
        <w:rPr>
          <w:color w:val="0C0C0C"/>
          <w:sz w:val="19"/>
        </w:rPr>
        <w:t>dated</w:t>
      </w:r>
      <w:r>
        <w:rPr>
          <w:color w:val="0C0C0C"/>
          <w:spacing w:val="-27"/>
          <w:sz w:val="19"/>
        </w:rPr>
        <w:t xml:space="preserve"> </w:t>
      </w:r>
      <w:r>
        <w:rPr>
          <w:color w:val="161616"/>
          <w:sz w:val="19"/>
        </w:rPr>
        <w:t>10</w:t>
      </w:r>
      <w:r>
        <w:rPr>
          <w:color w:val="161616"/>
          <w:spacing w:val="-26"/>
          <w:sz w:val="19"/>
        </w:rPr>
        <w:t xml:space="preserve"> </w:t>
      </w:r>
      <w:r>
        <w:rPr>
          <w:color w:val="181818"/>
          <w:sz w:val="19"/>
        </w:rPr>
        <w:t>April</w:t>
      </w:r>
      <w:r>
        <w:rPr>
          <w:color w:val="181818"/>
          <w:spacing w:val="-28"/>
          <w:sz w:val="19"/>
        </w:rPr>
        <w:t xml:space="preserve"> </w:t>
      </w:r>
      <w:r>
        <w:rPr>
          <w:color w:val="111111"/>
          <w:sz w:val="19"/>
        </w:rPr>
        <w:t>2019</w:t>
      </w:r>
      <w:r>
        <w:rPr>
          <w:color w:val="111111"/>
          <w:spacing w:val="-24"/>
          <w:sz w:val="19"/>
        </w:rPr>
        <w:t xml:space="preserve"> </w:t>
      </w:r>
      <w:r>
        <w:rPr>
          <w:sz w:val="19"/>
        </w:rPr>
        <w:t>and</w:t>
      </w:r>
      <w:r>
        <w:rPr>
          <w:spacing w:val="-27"/>
          <w:sz w:val="19"/>
        </w:rPr>
        <w:t xml:space="preserve"> </w:t>
      </w:r>
      <w:r>
        <w:rPr>
          <w:color w:val="1A1A1A"/>
          <w:sz w:val="19"/>
        </w:rPr>
        <w:t>pursuant</w:t>
      </w:r>
      <w:r>
        <w:rPr>
          <w:color w:val="1A1A1A"/>
          <w:spacing w:val="-19"/>
          <w:sz w:val="19"/>
        </w:rPr>
        <w:t xml:space="preserve"> </w:t>
      </w:r>
      <w:r>
        <w:rPr>
          <w:color w:val="282828"/>
          <w:sz w:val="19"/>
        </w:rPr>
        <w:t xml:space="preserve">to </w:t>
      </w:r>
      <w:r>
        <w:rPr>
          <w:color w:val="0E0E0E"/>
          <w:sz w:val="19"/>
        </w:rPr>
        <w:t>Section</w:t>
      </w:r>
      <w:r>
        <w:rPr>
          <w:color w:val="0E0E0E"/>
          <w:spacing w:val="-21"/>
          <w:sz w:val="19"/>
        </w:rPr>
        <w:t xml:space="preserve"> </w:t>
      </w:r>
      <w:r>
        <w:rPr>
          <w:color w:val="1D1D1D"/>
          <w:sz w:val="19"/>
        </w:rPr>
        <w:t>41C</w:t>
      </w:r>
      <w:r>
        <w:rPr>
          <w:color w:val="1D1D1D"/>
          <w:spacing w:val="-18"/>
          <w:sz w:val="19"/>
        </w:rPr>
        <w:t xml:space="preserve"> </w:t>
      </w:r>
      <w:r>
        <w:rPr>
          <w:color w:val="161616"/>
          <w:sz w:val="19"/>
        </w:rPr>
        <w:t>(1B)</w:t>
      </w:r>
      <w:r>
        <w:rPr>
          <w:color w:val="161616"/>
          <w:spacing w:val="-14"/>
          <w:sz w:val="19"/>
        </w:rPr>
        <w:t xml:space="preserve"> </w:t>
      </w:r>
      <w:r>
        <w:rPr>
          <w:color w:val="242424"/>
          <w:sz w:val="19"/>
        </w:rPr>
        <w:t>and</w:t>
      </w:r>
      <w:r>
        <w:rPr>
          <w:color w:val="242424"/>
          <w:spacing w:val="-21"/>
          <w:sz w:val="19"/>
        </w:rPr>
        <w:t xml:space="preserve"> </w:t>
      </w:r>
      <w:r>
        <w:rPr>
          <w:color w:val="2D2D2D"/>
          <w:spacing w:val="-3"/>
          <w:sz w:val="19"/>
        </w:rPr>
        <w:t>(1</w:t>
      </w:r>
      <w:r>
        <w:rPr>
          <w:color w:val="181818"/>
          <w:spacing w:val="-3"/>
          <w:sz w:val="19"/>
        </w:rPr>
        <w:t>C)</w:t>
      </w:r>
      <w:r>
        <w:rPr>
          <w:color w:val="181818"/>
          <w:spacing w:val="-19"/>
          <w:sz w:val="19"/>
        </w:rPr>
        <w:t xml:space="preserve"> </w:t>
      </w:r>
      <w:r>
        <w:rPr>
          <w:color w:val="262626"/>
          <w:sz w:val="19"/>
        </w:rPr>
        <w:t>of</w:t>
      </w:r>
      <w:r>
        <w:rPr>
          <w:color w:val="262626"/>
          <w:spacing w:val="-25"/>
          <w:sz w:val="19"/>
        </w:rPr>
        <w:t xml:space="preserve"> </w:t>
      </w:r>
      <w:r>
        <w:rPr>
          <w:color w:val="131313"/>
          <w:sz w:val="19"/>
        </w:rPr>
        <w:t>the</w:t>
      </w:r>
      <w:r>
        <w:rPr>
          <w:color w:val="131313"/>
          <w:spacing w:val="-23"/>
          <w:sz w:val="19"/>
        </w:rPr>
        <w:t xml:space="preserve"> </w:t>
      </w:r>
      <w:r>
        <w:rPr>
          <w:i/>
          <w:color w:val="0F0F0F"/>
          <w:sz w:val="19"/>
        </w:rPr>
        <w:t>Public</w:t>
      </w:r>
      <w:r>
        <w:rPr>
          <w:i/>
          <w:color w:val="0F0F0F"/>
          <w:spacing w:val="-18"/>
          <w:sz w:val="19"/>
        </w:rPr>
        <w:t xml:space="preserve"> </w:t>
      </w:r>
      <w:r>
        <w:rPr>
          <w:i/>
          <w:color w:val="0F0F0F"/>
          <w:sz w:val="19"/>
        </w:rPr>
        <w:t>Finance</w:t>
      </w:r>
      <w:r>
        <w:rPr>
          <w:i/>
          <w:color w:val="0F0F0F"/>
          <w:spacing w:val="-17"/>
          <w:sz w:val="19"/>
        </w:rPr>
        <w:t xml:space="preserve"> </w:t>
      </w:r>
      <w:r>
        <w:rPr>
          <w:i/>
          <w:color w:val="111111"/>
          <w:sz w:val="19"/>
        </w:rPr>
        <w:t>and</w:t>
      </w:r>
      <w:r>
        <w:rPr>
          <w:i/>
          <w:color w:val="111111"/>
          <w:spacing w:val="-19"/>
          <w:sz w:val="19"/>
        </w:rPr>
        <w:t xml:space="preserve"> </w:t>
      </w:r>
      <w:r>
        <w:rPr>
          <w:i/>
          <w:color w:val="151515"/>
          <w:sz w:val="19"/>
        </w:rPr>
        <w:t>Audit</w:t>
      </w:r>
      <w:r>
        <w:rPr>
          <w:i/>
          <w:color w:val="151515"/>
          <w:spacing w:val="-21"/>
          <w:sz w:val="19"/>
        </w:rPr>
        <w:t xml:space="preserve"> </w:t>
      </w:r>
      <w:r>
        <w:rPr>
          <w:i/>
          <w:color w:val="1A1A1A"/>
          <w:sz w:val="19"/>
        </w:rPr>
        <w:t>Act</w:t>
      </w:r>
      <w:r>
        <w:rPr>
          <w:i/>
          <w:color w:val="1A1A1A"/>
          <w:spacing w:val="-26"/>
          <w:sz w:val="19"/>
        </w:rPr>
        <w:t xml:space="preserve"> </w:t>
      </w:r>
      <w:r>
        <w:rPr>
          <w:i/>
          <w:color w:val="1A1A1A"/>
          <w:sz w:val="19"/>
        </w:rPr>
        <w:t>1983,</w:t>
      </w:r>
      <w:r>
        <w:rPr>
          <w:i/>
          <w:color w:val="1A1A1A"/>
          <w:spacing w:val="-20"/>
          <w:sz w:val="19"/>
        </w:rPr>
        <w:t xml:space="preserve"> </w:t>
      </w:r>
      <w:r>
        <w:rPr>
          <w:color w:val="232323"/>
          <w:sz w:val="19"/>
        </w:rPr>
        <w:t>we</w:t>
      </w:r>
      <w:r>
        <w:rPr>
          <w:color w:val="232323"/>
          <w:spacing w:val="-22"/>
          <w:sz w:val="19"/>
        </w:rPr>
        <w:t xml:space="preserve"> </w:t>
      </w:r>
      <w:r>
        <w:rPr>
          <w:color w:val="1A1A1A"/>
          <w:sz w:val="19"/>
        </w:rPr>
        <w:t>state</w:t>
      </w:r>
      <w:r>
        <w:rPr>
          <w:color w:val="1A1A1A"/>
          <w:spacing w:val="-20"/>
          <w:sz w:val="19"/>
        </w:rPr>
        <w:t xml:space="preserve"> </w:t>
      </w:r>
      <w:r>
        <w:rPr>
          <w:color w:val="131313"/>
          <w:sz w:val="19"/>
        </w:rPr>
        <w:t>that</w:t>
      </w:r>
      <w:r>
        <w:rPr>
          <w:color w:val="131313"/>
          <w:spacing w:val="-16"/>
          <w:sz w:val="19"/>
        </w:rPr>
        <w:t xml:space="preserve"> </w:t>
      </w:r>
      <w:r>
        <w:rPr>
          <w:color w:val="1F1F1F"/>
          <w:sz w:val="19"/>
        </w:rPr>
        <w:t>to</w:t>
      </w:r>
      <w:r>
        <w:rPr>
          <w:color w:val="1F1F1F"/>
          <w:spacing w:val="-23"/>
          <w:sz w:val="19"/>
        </w:rPr>
        <w:t xml:space="preserve"> </w:t>
      </w:r>
      <w:r>
        <w:rPr>
          <w:color w:val="242424"/>
          <w:sz w:val="19"/>
        </w:rPr>
        <w:t>the</w:t>
      </w:r>
      <w:r>
        <w:rPr>
          <w:color w:val="242424"/>
          <w:spacing w:val="-26"/>
          <w:sz w:val="19"/>
        </w:rPr>
        <w:t xml:space="preserve"> </w:t>
      </w:r>
      <w:r>
        <w:rPr>
          <w:color w:val="0F0F0F"/>
          <w:sz w:val="19"/>
        </w:rPr>
        <w:t>best</w:t>
      </w:r>
      <w:r>
        <w:rPr>
          <w:color w:val="0F0F0F"/>
          <w:spacing w:val="-20"/>
          <w:sz w:val="19"/>
        </w:rPr>
        <w:t xml:space="preserve"> </w:t>
      </w:r>
      <w:r>
        <w:rPr>
          <w:color w:val="131313"/>
          <w:sz w:val="19"/>
        </w:rPr>
        <w:t>of</w:t>
      </w:r>
      <w:r>
        <w:rPr>
          <w:color w:val="131313"/>
          <w:spacing w:val="-23"/>
          <w:sz w:val="19"/>
        </w:rPr>
        <w:t xml:space="preserve"> </w:t>
      </w:r>
      <w:r>
        <w:rPr>
          <w:color w:val="242424"/>
          <w:sz w:val="19"/>
        </w:rPr>
        <w:t>our</w:t>
      </w:r>
      <w:r>
        <w:rPr>
          <w:color w:val="242424"/>
          <w:spacing w:val="-19"/>
          <w:sz w:val="19"/>
        </w:rPr>
        <w:t xml:space="preserve"> </w:t>
      </w:r>
      <w:r>
        <w:rPr>
          <w:color w:val="1A1A1A"/>
          <w:sz w:val="19"/>
        </w:rPr>
        <w:t>knowledge</w:t>
      </w:r>
      <w:r>
        <w:rPr>
          <w:color w:val="1A1A1A"/>
          <w:spacing w:val="-14"/>
          <w:sz w:val="19"/>
        </w:rPr>
        <w:t xml:space="preserve"> </w:t>
      </w:r>
      <w:r>
        <w:rPr>
          <w:color w:val="181818"/>
          <w:sz w:val="19"/>
        </w:rPr>
        <w:t>and</w:t>
      </w:r>
      <w:r>
        <w:rPr>
          <w:color w:val="181818"/>
          <w:spacing w:val="-23"/>
          <w:sz w:val="19"/>
        </w:rPr>
        <w:t xml:space="preserve"> </w:t>
      </w:r>
      <w:r>
        <w:rPr>
          <w:color w:val="262626"/>
          <w:sz w:val="19"/>
        </w:rPr>
        <w:t>belief:</w:t>
      </w:r>
    </w:p>
    <w:p w14:paraId="00D95604" w14:textId="77777777" w:rsidR="00FA4AA8" w:rsidRDefault="00FA4AA8">
      <w:pPr>
        <w:pStyle w:val="BodyText"/>
        <w:spacing w:before="10"/>
        <w:rPr>
          <w:sz w:val="25"/>
        </w:rPr>
      </w:pPr>
    </w:p>
    <w:p w14:paraId="2CC57DBE" w14:textId="77777777" w:rsidR="00FA4AA8" w:rsidRDefault="0015611F">
      <w:pPr>
        <w:pStyle w:val="ListParagraph"/>
        <w:numPr>
          <w:ilvl w:val="0"/>
          <w:numId w:val="112"/>
        </w:numPr>
        <w:tabs>
          <w:tab w:val="left" w:pos="399"/>
        </w:tabs>
        <w:spacing w:before="1" w:line="220" w:lineRule="auto"/>
        <w:ind w:right="462" w:firstLine="5"/>
        <w:rPr>
          <w:color w:val="343434"/>
          <w:sz w:val="19"/>
        </w:rPr>
      </w:pPr>
      <w:r>
        <w:rPr>
          <w:color w:val="181818"/>
          <w:sz w:val="19"/>
        </w:rPr>
        <w:t>The</w:t>
      </w:r>
      <w:r>
        <w:rPr>
          <w:color w:val="181818"/>
          <w:spacing w:val="-29"/>
          <w:sz w:val="19"/>
        </w:rPr>
        <w:t xml:space="preserve"> </w:t>
      </w:r>
      <w:r>
        <w:rPr>
          <w:color w:val="1F1F1F"/>
          <w:sz w:val="19"/>
        </w:rPr>
        <w:t>financial</w:t>
      </w:r>
      <w:r>
        <w:rPr>
          <w:color w:val="1F1F1F"/>
          <w:spacing w:val="-23"/>
          <w:sz w:val="19"/>
        </w:rPr>
        <w:t xml:space="preserve"> </w:t>
      </w:r>
      <w:r>
        <w:rPr>
          <w:color w:val="0F0F0F"/>
          <w:sz w:val="19"/>
        </w:rPr>
        <w:t>statements</w:t>
      </w:r>
      <w:r>
        <w:rPr>
          <w:color w:val="0F0F0F"/>
          <w:spacing w:val="-21"/>
          <w:sz w:val="19"/>
        </w:rPr>
        <w:t xml:space="preserve"> </w:t>
      </w:r>
      <w:r>
        <w:rPr>
          <w:color w:val="2D2D2D"/>
          <w:sz w:val="19"/>
        </w:rPr>
        <w:t>of</w:t>
      </w:r>
      <w:r>
        <w:rPr>
          <w:color w:val="2D2D2D"/>
          <w:spacing w:val="-31"/>
          <w:sz w:val="19"/>
        </w:rPr>
        <w:t xml:space="preserve"> </w:t>
      </w:r>
      <w:r>
        <w:rPr>
          <w:color w:val="1C1C1C"/>
          <w:sz w:val="19"/>
        </w:rPr>
        <w:t>Western</w:t>
      </w:r>
      <w:r>
        <w:rPr>
          <w:color w:val="1C1C1C"/>
          <w:spacing w:val="-23"/>
          <w:sz w:val="19"/>
        </w:rPr>
        <w:t xml:space="preserve"> </w:t>
      </w:r>
      <w:r>
        <w:rPr>
          <w:color w:val="161616"/>
          <w:sz w:val="19"/>
        </w:rPr>
        <w:t>Sydney</w:t>
      </w:r>
      <w:r>
        <w:rPr>
          <w:color w:val="161616"/>
          <w:spacing w:val="-22"/>
          <w:sz w:val="19"/>
        </w:rPr>
        <w:t xml:space="preserve"> </w:t>
      </w:r>
      <w:r>
        <w:rPr>
          <w:color w:val="181818"/>
          <w:sz w:val="19"/>
        </w:rPr>
        <w:t>University</w:t>
      </w:r>
      <w:r>
        <w:rPr>
          <w:color w:val="181818"/>
          <w:spacing w:val="-23"/>
          <w:sz w:val="19"/>
        </w:rPr>
        <w:t xml:space="preserve"> </w:t>
      </w:r>
      <w:r>
        <w:rPr>
          <w:color w:val="111111"/>
          <w:sz w:val="19"/>
        </w:rPr>
        <w:t>and</w:t>
      </w:r>
      <w:r>
        <w:rPr>
          <w:color w:val="111111"/>
          <w:spacing w:val="-30"/>
          <w:sz w:val="19"/>
        </w:rPr>
        <w:t xml:space="preserve"> </w:t>
      </w:r>
      <w:r>
        <w:rPr>
          <w:color w:val="232323"/>
          <w:sz w:val="19"/>
        </w:rPr>
        <w:t>its</w:t>
      </w:r>
      <w:r>
        <w:rPr>
          <w:color w:val="232323"/>
          <w:spacing w:val="-30"/>
          <w:sz w:val="19"/>
        </w:rPr>
        <w:t xml:space="preserve"> </w:t>
      </w:r>
      <w:r>
        <w:rPr>
          <w:color w:val="151515"/>
          <w:sz w:val="19"/>
        </w:rPr>
        <w:t>controlled</w:t>
      </w:r>
      <w:r>
        <w:rPr>
          <w:color w:val="151515"/>
          <w:spacing w:val="-26"/>
          <w:sz w:val="19"/>
        </w:rPr>
        <w:t xml:space="preserve"> </w:t>
      </w:r>
      <w:r>
        <w:rPr>
          <w:color w:val="151515"/>
          <w:sz w:val="19"/>
        </w:rPr>
        <w:t>entities</w:t>
      </w:r>
      <w:r>
        <w:rPr>
          <w:color w:val="151515"/>
          <w:spacing w:val="-25"/>
          <w:sz w:val="19"/>
        </w:rPr>
        <w:t xml:space="preserve"> </w:t>
      </w:r>
      <w:r>
        <w:rPr>
          <w:color w:val="1A1A1A"/>
          <w:sz w:val="19"/>
        </w:rPr>
        <w:t>(the</w:t>
      </w:r>
      <w:r>
        <w:rPr>
          <w:color w:val="1A1A1A"/>
          <w:spacing w:val="-30"/>
          <w:sz w:val="19"/>
        </w:rPr>
        <w:t xml:space="preserve"> </w:t>
      </w:r>
      <w:r>
        <w:rPr>
          <w:color w:val="181818"/>
          <w:sz w:val="19"/>
        </w:rPr>
        <w:t>Group)</w:t>
      </w:r>
      <w:r>
        <w:rPr>
          <w:color w:val="181818"/>
          <w:spacing w:val="-22"/>
          <w:sz w:val="19"/>
        </w:rPr>
        <w:t xml:space="preserve"> </w:t>
      </w:r>
      <w:r>
        <w:rPr>
          <w:color w:val="161616"/>
          <w:sz w:val="19"/>
        </w:rPr>
        <w:t>present</w:t>
      </w:r>
      <w:r>
        <w:rPr>
          <w:color w:val="161616"/>
          <w:spacing w:val="-22"/>
          <w:sz w:val="19"/>
        </w:rPr>
        <w:t xml:space="preserve"> </w:t>
      </w:r>
      <w:r>
        <w:rPr>
          <w:color w:val="1F1F1F"/>
          <w:sz w:val="19"/>
        </w:rPr>
        <w:t>a</w:t>
      </w:r>
      <w:r>
        <w:rPr>
          <w:color w:val="1F1F1F"/>
          <w:spacing w:val="-31"/>
          <w:sz w:val="19"/>
        </w:rPr>
        <w:t xml:space="preserve"> </w:t>
      </w:r>
      <w:r>
        <w:rPr>
          <w:color w:val="232323"/>
          <w:sz w:val="19"/>
        </w:rPr>
        <w:t>true</w:t>
      </w:r>
      <w:r>
        <w:rPr>
          <w:color w:val="232323"/>
          <w:spacing w:val="-32"/>
          <w:sz w:val="19"/>
        </w:rPr>
        <w:t xml:space="preserve"> </w:t>
      </w:r>
      <w:r>
        <w:rPr>
          <w:color w:val="282828"/>
          <w:sz w:val="19"/>
        </w:rPr>
        <w:t>and</w:t>
      </w:r>
      <w:r>
        <w:rPr>
          <w:color w:val="282828"/>
          <w:spacing w:val="-27"/>
          <w:sz w:val="19"/>
        </w:rPr>
        <w:t xml:space="preserve"> </w:t>
      </w:r>
      <w:r>
        <w:rPr>
          <w:color w:val="2A2A2A"/>
          <w:sz w:val="19"/>
        </w:rPr>
        <w:t>fair</w:t>
      </w:r>
      <w:r>
        <w:rPr>
          <w:color w:val="212121"/>
          <w:sz w:val="19"/>
        </w:rPr>
        <w:t xml:space="preserve"> view</w:t>
      </w:r>
      <w:r>
        <w:rPr>
          <w:color w:val="212121"/>
          <w:spacing w:val="-17"/>
          <w:sz w:val="19"/>
        </w:rPr>
        <w:t xml:space="preserve"> </w:t>
      </w:r>
      <w:r>
        <w:rPr>
          <w:color w:val="181818"/>
          <w:sz w:val="19"/>
        </w:rPr>
        <w:t>of</w:t>
      </w:r>
      <w:r>
        <w:rPr>
          <w:color w:val="181818"/>
          <w:spacing w:val="-22"/>
          <w:sz w:val="19"/>
        </w:rPr>
        <w:t xml:space="preserve"> </w:t>
      </w:r>
      <w:r>
        <w:rPr>
          <w:color w:val="1A1A1A"/>
          <w:sz w:val="19"/>
        </w:rPr>
        <w:t>the</w:t>
      </w:r>
      <w:r>
        <w:rPr>
          <w:color w:val="1A1A1A"/>
          <w:spacing w:val="-15"/>
          <w:sz w:val="19"/>
        </w:rPr>
        <w:t xml:space="preserve"> </w:t>
      </w:r>
      <w:r>
        <w:rPr>
          <w:color w:val="131313"/>
          <w:sz w:val="19"/>
        </w:rPr>
        <w:t>Group's</w:t>
      </w:r>
      <w:r>
        <w:rPr>
          <w:color w:val="131313"/>
          <w:spacing w:val="-19"/>
          <w:sz w:val="19"/>
        </w:rPr>
        <w:t xml:space="preserve"> </w:t>
      </w:r>
      <w:r>
        <w:rPr>
          <w:sz w:val="19"/>
        </w:rPr>
        <w:t>financial</w:t>
      </w:r>
      <w:r>
        <w:rPr>
          <w:spacing w:val="-12"/>
          <w:sz w:val="19"/>
        </w:rPr>
        <w:t xml:space="preserve"> </w:t>
      </w:r>
      <w:r>
        <w:rPr>
          <w:color w:val="111111"/>
          <w:sz w:val="19"/>
        </w:rPr>
        <w:t>position</w:t>
      </w:r>
      <w:r>
        <w:rPr>
          <w:color w:val="111111"/>
          <w:spacing w:val="-10"/>
          <w:sz w:val="19"/>
        </w:rPr>
        <w:t xml:space="preserve"> </w:t>
      </w:r>
      <w:r>
        <w:rPr>
          <w:color w:val="1C1C1C"/>
          <w:sz w:val="19"/>
        </w:rPr>
        <w:t>as</w:t>
      </w:r>
      <w:r>
        <w:rPr>
          <w:color w:val="1C1C1C"/>
          <w:spacing w:val="-19"/>
          <w:sz w:val="19"/>
        </w:rPr>
        <w:t xml:space="preserve"> </w:t>
      </w:r>
      <w:r>
        <w:rPr>
          <w:color w:val="1A1A1A"/>
          <w:sz w:val="19"/>
        </w:rPr>
        <w:t>at</w:t>
      </w:r>
      <w:r>
        <w:rPr>
          <w:color w:val="1A1A1A"/>
          <w:spacing w:val="-20"/>
          <w:sz w:val="19"/>
        </w:rPr>
        <w:t xml:space="preserve"> </w:t>
      </w:r>
      <w:r>
        <w:rPr>
          <w:color w:val="1D1D1D"/>
          <w:sz w:val="19"/>
        </w:rPr>
        <w:t>31</w:t>
      </w:r>
      <w:r>
        <w:rPr>
          <w:color w:val="1D1D1D"/>
          <w:spacing w:val="-24"/>
          <w:sz w:val="19"/>
        </w:rPr>
        <w:t xml:space="preserve"> </w:t>
      </w:r>
      <w:r>
        <w:rPr>
          <w:color w:val="0C0C0C"/>
          <w:sz w:val="19"/>
        </w:rPr>
        <w:t>December</w:t>
      </w:r>
      <w:r>
        <w:rPr>
          <w:color w:val="0C0C0C"/>
          <w:spacing w:val="-12"/>
          <w:sz w:val="19"/>
        </w:rPr>
        <w:t xml:space="preserve"> </w:t>
      </w:r>
      <w:r>
        <w:rPr>
          <w:color w:val="212121"/>
          <w:sz w:val="19"/>
        </w:rPr>
        <w:t>2018</w:t>
      </w:r>
      <w:r>
        <w:rPr>
          <w:color w:val="212121"/>
          <w:spacing w:val="-7"/>
          <w:sz w:val="19"/>
        </w:rPr>
        <w:t xml:space="preserve"> </w:t>
      </w:r>
      <w:r>
        <w:rPr>
          <w:color w:val="131313"/>
          <w:sz w:val="19"/>
        </w:rPr>
        <w:t>and</w:t>
      </w:r>
      <w:r>
        <w:rPr>
          <w:color w:val="131313"/>
          <w:spacing w:val="-15"/>
          <w:sz w:val="19"/>
        </w:rPr>
        <w:t xml:space="preserve"> </w:t>
      </w:r>
      <w:r>
        <w:rPr>
          <w:color w:val="212121"/>
          <w:sz w:val="19"/>
        </w:rPr>
        <w:t>the</w:t>
      </w:r>
      <w:r>
        <w:rPr>
          <w:color w:val="212121"/>
          <w:spacing w:val="-19"/>
          <w:sz w:val="19"/>
        </w:rPr>
        <w:t xml:space="preserve"> </w:t>
      </w:r>
      <w:r>
        <w:rPr>
          <w:color w:val="181818"/>
          <w:sz w:val="19"/>
        </w:rPr>
        <w:t>financial</w:t>
      </w:r>
      <w:r>
        <w:rPr>
          <w:color w:val="181818"/>
          <w:spacing w:val="-14"/>
          <w:sz w:val="19"/>
        </w:rPr>
        <w:t xml:space="preserve"> </w:t>
      </w:r>
      <w:r>
        <w:rPr>
          <w:color w:val="131313"/>
          <w:sz w:val="19"/>
        </w:rPr>
        <w:t>performance</w:t>
      </w:r>
      <w:r>
        <w:rPr>
          <w:color w:val="131313"/>
          <w:spacing w:val="-9"/>
          <w:sz w:val="19"/>
        </w:rPr>
        <w:t xml:space="preserve"> </w:t>
      </w:r>
      <w:r>
        <w:rPr>
          <w:color w:val="212121"/>
          <w:sz w:val="19"/>
        </w:rPr>
        <w:t>for</w:t>
      </w:r>
      <w:r>
        <w:rPr>
          <w:color w:val="212121"/>
          <w:spacing w:val="-17"/>
          <w:sz w:val="19"/>
        </w:rPr>
        <w:t xml:space="preserve"> </w:t>
      </w:r>
      <w:r>
        <w:rPr>
          <w:color w:val="161616"/>
          <w:sz w:val="19"/>
        </w:rPr>
        <w:t>the</w:t>
      </w:r>
      <w:r>
        <w:rPr>
          <w:color w:val="161616"/>
          <w:spacing w:val="-17"/>
          <w:sz w:val="19"/>
        </w:rPr>
        <w:t xml:space="preserve"> </w:t>
      </w:r>
      <w:r>
        <w:rPr>
          <w:color w:val="262626"/>
          <w:sz w:val="19"/>
        </w:rPr>
        <w:t>year</w:t>
      </w:r>
      <w:r>
        <w:rPr>
          <w:color w:val="262626"/>
          <w:spacing w:val="-15"/>
          <w:sz w:val="19"/>
        </w:rPr>
        <w:t xml:space="preserve"> </w:t>
      </w:r>
      <w:r>
        <w:rPr>
          <w:color w:val="0C0C0C"/>
          <w:sz w:val="19"/>
        </w:rPr>
        <w:t>ended.</w:t>
      </w:r>
    </w:p>
    <w:p w14:paraId="2F75B4E6" w14:textId="77777777" w:rsidR="00FA4AA8" w:rsidRDefault="00FA4AA8">
      <w:pPr>
        <w:pStyle w:val="BodyText"/>
        <w:spacing w:before="7"/>
        <w:rPr>
          <w:sz w:val="25"/>
        </w:rPr>
      </w:pPr>
    </w:p>
    <w:p w14:paraId="51A9967C" w14:textId="77777777" w:rsidR="00FA4AA8" w:rsidRDefault="0015611F">
      <w:pPr>
        <w:pStyle w:val="ListParagraph"/>
        <w:numPr>
          <w:ilvl w:val="0"/>
          <w:numId w:val="112"/>
        </w:numPr>
        <w:tabs>
          <w:tab w:val="left" w:pos="447"/>
        </w:tabs>
        <w:spacing w:line="225" w:lineRule="auto"/>
        <w:ind w:left="119" w:right="259" w:firstLine="3"/>
        <w:rPr>
          <w:color w:val="262626"/>
          <w:sz w:val="19"/>
        </w:rPr>
      </w:pPr>
      <w:r>
        <w:rPr>
          <w:color w:val="212121"/>
          <w:sz w:val="19"/>
        </w:rPr>
        <w:t>The</w:t>
      </w:r>
      <w:r>
        <w:rPr>
          <w:color w:val="212121"/>
          <w:spacing w:val="-24"/>
          <w:sz w:val="19"/>
        </w:rPr>
        <w:t xml:space="preserve"> </w:t>
      </w:r>
      <w:r>
        <w:rPr>
          <w:color w:val="0F0F0F"/>
          <w:sz w:val="19"/>
        </w:rPr>
        <w:t>financial</w:t>
      </w:r>
      <w:r>
        <w:rPr>
          <w:color w:val="0F0F0F"/>
          <w:spacing w:val="-21"/>
          <w:sz w:val="19"/>
        </w:rPr>
        <w:t xml:space="preserve"> </w:t>
      </w:r>
      <w:r>
        <w:rPr>
          <w:color w:val="181818"/>
          <w:sz w:val="19"/>
        </w:rPr>
        <w:t>statements</w:t>
      </w:r>
      <w:r>
        <w:rPr>
          <w:color w:val="181818"/>
          <w:spacing w:val="-14"/>
          <w:sz w:val="19"/>
        </w:rPr>
        <w:t xml:space="preserve"> </w:t>
      </w:r>
      <w:r>
        <w:rPr>
          <w:color w:val="212121"/>
          <w:sz w:val="19"/>
        </w:rPr>
        <w:t>have</w:t>
      </w:r>
      <w:r>
        <w:rPr>
          <w:color w:val="212121"/>
          <w:spacing w:val="-27"/>
          <w:sz w:val="19"/>
        </w:rPr>
        <w:t xml:space="preserve"> </w:t>
      </w:r>
      <w:r>
        <w:rPr>
          <w:color w:val="1A1A1A"/>
          <w:sz w:val="19"/>
        </w:rPr>
        <w:t>been</w:t>
      </w:r>
      <w:r>
        <w:rPr>
          <w:color w:val="1A1A1A"/>
          <w:spacing w:val="-24"/>
          <w:sz w:val="19"/>
        </w:rPr>
        <w:t xml:space="preserve"> </w:t>
      </w:r>
      <w:r>
        <w:rPr>
          <w:color w:val="151515"/>
          <w:sz w:val="19"/>
        </w:rPr>
        <w:t>prepared</w:t>
      </w:r>
      <w:r>
        <w:rPr>
          <w:color w:val="151515"/>
          <w:spacing w:val="-20"/>
          <w:sz w:val="19"/>
        </w:rPr>
        <w:t xml:space="preserve"> </w:t>
      </w:r>
      <w:r>
        <w:rPr>
          <w:color w:val="282828"/>
          <w:sz w:val="19"/>
        </w:rPr>
        <w:t>in</w:t>
      </w:r>
      <w:r>
        <w:rPr>
          <w:color w:val="282828"/>
          <w:spacing w:val="-26"/>
          <w:sz w:val="19"/>
        </w:rPr>
        <w:t xml:space="preserve"> </w:t>
      </w:r>
      <w:r>
        <w:rPr>
          <w:color w:val="161616"/>
          <w:sz w:val="19"/>
        </w:rPr>
        <w:t>accordance</w:t>
      </w:r>
      <w:r>
        <w:rPr>
          <w:color w:val="161616"/>
          <w:spacing w:val="-15"/>
          <w:sz w:val="19"/>
        </w:rPr>
        <w:t xml:space="preserve"> </w:t>
      </w:r>
      <w:r>
        <w:rPr>
          <w:color w:val="1A1A1A"/>
          <w:sz w:val="19"/>
        </w:rPr>
        <w:t>with</w:t>
      </w:r>
      <w:r>
        <w:rPr>
          <w:color w:val="1A1A1A"/>
          <w:spacing w:val="-22"/>
          <w:sz w:val="19"/>
        </w:rPr>
        <w:t xml:space="preserve"> </w:t>
      </w:r>
      <w:r>
        <w:rPr>
          <w:color w:val="232323"/>
          <w:sz w:val="19"/>
        </w:rPr>
        <w:t>the</w:t>
      </w:r>
      <w:r>
        <w:rPr>
          <w:color w:val="232323"/>
          <w:spacing w:val="-29"/>
          <w:sz w:val="19"/>
        </w:rPr>
        <w:t xml:space="preserve"> </w:t>
      </w:r>
      <w:r>
        <w:rPr>
          <w:color w:val="111111"/>
          <w:sz w:val="19"/>
        </w:rPr>
        <w:t>provisions</w:t>
      </w:r>
      <w:r>
        <w:rPr>
          <w:color w:val="111111"/>
          <w:spacing w:val="-18"/>
          <w:sz w:val="19"/>
        </w:rPr>
        <w:t xml:space="preserve"> </w:t>
      </w:r>
      <w:r>
        <w:rPr>
          <w:color w:val="313131"/>
          <w:sz w:val="19"/>
        </w:rPr>
        <w:t>of</w:t>
      </w:r>
      <w:r>
        <w:rPr>
          <w:color w:val="313131"/>
          <w:spacing w:val="-27"/>
          <w:sz w:val="19"/>
        </w:rPr>
        <w:t xml:space="preserve"> </w:t>
      </w:r>
      <w:r>
        <w:rPr>
          <w:color w:val="161616"/>
          <w:sz w:val="19"/>
        </w:rPr>
        <w:t>the</w:t>
      </w:r>
      <w:r>
        <w:rPr>
          <w:color w:val="161616"/>
          <w:spacing w:val="-26"/>
          <w:sz w:val="19"/>
        </w:rPr>
        <w:t xml:space="preserve"> </w:t>
      </w:r>
      <w:r>
        <w:rPr>
          <w:i/>
          <w:color w:val="0E0E0E"/>
          <w:sz w:val="19"/>
        </w:rPr>
        <w:t>Public</w:t>
      </w:r>
      <w:r>
        <w:rPr>
          <w:i/>
          <w:color w:val="0E0E0E"/>
          <w:spacing w:val="-20"/>
          <w:sz w:val="19"/>
        </w:rPr>
        <w:t xml:space="preserve"> </w:t>
      </w:r>
      <w:r>
        <w:rPr>
          <w:i/>
          <w:color w:val="1C1C1C"/>
          <w:sz w:val="19"/>
        </w:rPr>
        <w:t>Finance</w:t>
      </w:r>
      <w:r>
        <w:rPr>
          <w:i/>
          <w:color w:val="1C1C1C"/>
          <w:spacing w:val="-20"/>
          <w:sz w:val="19"/>
        </w:rPr>
        <w:t xml:space="preserve"> </w:t>
      </w:r>
      <w:r>
        <w:rPr>
          <w:i/>
          <w:color w:val="131313"/>
          <w:sz w:val="19"/>
        </w:rPr>
        <w:t>and</w:t>
      </w:r>
      <w:r>
        <w:rPr>
          <w:i/>
          <w:color w:val="131313"/>
          <w:spacing w:val="-21"/>
          <w:sz w:val="19"/>
        </w:rPr>
        <w:t xml:space="preserve"> </w:t>
      </w:r>
      <w:r>
        <w:rPr>
          <w:i/>
          <w:sz w:val="19"/>
        </w:rPr>
        <w:t>Audit</w:t>
      </w:r>
      <w:r>
        <w:rPr>
          <w:i/>
          <w:spacing w:val="-24"/>
          <w:sz w:val="19"/>
        </w:rPr>
        <w:t xml:space="preserve"> </w:t>
      </w:r>
      <w:r>
        <w:rPr>
          <w:i/>
          <w:color w:val="2F2F2F"/>
          <w:sz w:val="19"/>
        </w:rPr>
        <w:t>Act</w:t>
      </w:r>
      <w:r>
        <w:rPr>
          <w:i/>
          <w:color w:val="242424"/>
          <w:sz w:val="19"/>
        </w:rPr>
        <w:t xml:space="preserve"> 1983</w:t>
      </w:r>
      <w:r>
        <w:rPr>
          <w:i/>
          <w:color w:val="242424"/>
          <w:spacing w:val="-32"/>
          <w:sz w:val="19"/>
        </w:rPr>
        <w:t xml:space="preserve"> </w:t>
      </w:r>
      <w:r>
        <w:rPr>
          <w:color w:val="242424"/>
          <w:sz w:val="19"/>
        </w:rPr>
        <w:t>and</w:t>
      </w:r>
      <w:r>
        <w:rPr>
          <w:color w:val="242424"/>
          <w:spacing w:val="-35"/>
          <w:sz w:val="19"/>
        </w:rPr>
        <w:t xml:space="preserve"> </w:t>
      </w:r>
      <w:r>
        <w:rPr>
          <w:color w:val="131313"/>
          <w:sz w:val="19"/>
        </w:rPr>
        <w:t>Regulation,</w:t>
      </w:r>
      <w:r>
        <w:rPr>
          <w:color w:val="131313"/>
          <w:spacing w:val="-27"/>
          <w:sz w:val="19"/>
        </w:rPr>
        <w:t xml:space="preserve"> </w:t>
      </w:r>
      <w:r>
        <w:rPr>
          <w:color w:val="262626"/>
          <w:sz w:val="19"/>
        </w:rPr>
        <w:t>the</w:t>
      </w:r>
      <w:r>
        <w:rPr>
          <w:color w:val="262626"/>
          <w:spacing w:val="-32"/>
          <w:sz w:val="19"/>
        </w:rPr>
        <w:t xml:space="preserve"> </w:t>
      </w:r>
      <w:r>
        <w:rPr>
          <w:i/>
          <w:color w:val="1A1A1A"/>
          <w:sz w:val="19"/>
        </w:rPr>
        <w:t>Australian</w:t>
      </w:r>
      <w:r>
        <w:rPr>
          <w:i/>
          <w:color w:val="1A1A1A"/>
          <w:spacing w:val="-33"/>
          <w:sz w:val="19"/>
        </w:rPr>
        <w:t xml:space="preserve"> </w:t>
      </w:r>
      <w:r>
        <w:rPr>
          <w:i/>
          <w:color w:val="131313"/>
          <w:sz w:val="19"/>
        </w:rPr>
        <w:t>Charities</w:t>
      </w:r>
      <w:r>
        <w:rPr>
          <w:i/>
          <w:color w:val="131313"/>
          <w:spacing w:val="-29"/>
          <w:sz w:val="19"/>
        </w:rPr>
        <w:t xml:space="preserve"> </w:t>
      </w:r>
      <w:r>
        <w:rPr>
          <w:i/>
          <w:color w:val="131313"/>
          <w:sz w:val="19"/>
        </w:rPr>
        <w:t>and</w:t>
      </w:r>
      <w:r>
        <w:rPr>
          <w:i/>
          <w:color w:val="131313"/>
          <w:spacing w:val="-30"/>
          <w:sz w:val="19"/>
        </w:rPr>
        <w:t xml:space="preserve"> </w:t>
      </w:r>
      <w:r>
        <w:rPr>
          <w:i/>
          <w:color w:val="0A0A0A"/>
          <w:sz w:val="19"/>
        </w:rPr>
        <w:t>Not-for-profits</w:t>
      </w:r>
      <w:r>
        <w:rPr>
          <w:i/>
          <w:color w:val="0A0A0A"/>
          <w:spacing w:val="-38"/>
          <w:sz w:val="19"/>
        </w:rPr>
        <w:t xml:space="preserve"> </w:t>
      </w:r>
      <w:r>
        <w:rPr>
          <w:i/>
          <w:color w:val="131313"/>
          <w:sz w:val="19"/>
        </w:rPr>
        <w:t>Commission</w:t>
      </w:r>
      <w:r>
        <w:rPr>
          <w:i/>
          <w:color w:val="131313"/>
          <w:spacing w:val="-27"/>
          <w:sz w:val="19"/>
        </w:rPr>
        <w:t xml:space="preserve"> </w:t>
      </w:r>
      <w:r>
        <w:rPr>
          <w:i/>
          <w:color w:val="1D1D1D"/>
          <w:sz w:val="19"/>
        </w:rPr>
        <w:t>Act</w:t>
      </w:r>
      <w:r>
        <w:rPr>
          <w:i/>
          <w:color w:val="1D1D1D"/>
          <w:spacing w:val="-36"/>
          <w:sz w:val="19"/>
        </w:rPr>
        <w:t xml:space="preserve"> </w:t>
      </w:r>
      <w:r>
        <w:rPr>
          <w:i/>
          <w:color w:val="232323"/>
          <w:sz w:val="19"/>
        </w:rPr>
        <w:t>2012</w:t>
      </w:r>
      <w:r>
        <w:rPr>
          <w:i/>
          <w:color w:val="232323"/>
          <w:spacing w:val="-27"/>
          <w:sz w:val="19"/>
        </w:rPr>
        <w:t xml:space="preserve"> </w:t>
      </w:r>
      <w:r>
        <w:rPr>
          <w:color w:val="232323"/>
          <w:sz w:val="19"/>
        </w:rPr>
        <w:t>and</w:t>
      </w:r>
      <w:r>
        <w:rPr>
          <w:color w:val="232323"/>
          <w:spacing w:val="-35"/>
          <w:sz w:val="19"/>
        </w:rPr>
        <w:t xml:space="preserve"> </w:t>
      </w:r>
      <w:r>
        <w:rPr>
          <w:color w:val="0C0C0C"/>
          <w:sz w:val="19"/>
        </w:rPr>
        <w:t>Regulation,</w:t>
      </w:r>
      <w:r>
        <w:rPr>
          <w:color w:val="0C0C0C"/>
          <w:spacing w:val="-30"/>
          <w:sz w:val="19"/>
        </w:rPr>
        <w:t xml:space="preserve"> </w:t>
      </w:r>
      <w:r>
        <w:rPr>
          <w:color w:val="111111"/>
          <w:sz w:val="19"/>
        </w:rPr>
        <w:t>and</w:t>
      </w:r>
      <w:r>
        <w:rPr>
          <w:color w:val="111111"/>
          <w:spacing w:val="-34"/>
          <w:sz w:val="19"/>
        </w:rPr>
        <w:t xml:space="preserve"> </w:t>
      </w:r>
      <w:r>
        <w:rPr>
          <w:color w:val="1F1F1F"/>
          <w:sz w:val="19"/>
        </w:rPr>
        <w:t>the</w:t>
      </w:r>
      <w:r>
        <w:rPr>
          <w:color w:val="1F1F1F"/>
          <w:spacing w:val="-33"/>
          <w:sz w:val="19"/>
        </w:rPr>
        <w:t xml:space="preserve"> </w:t>
      </w:r>
      <w:r>
        <w:rPr>
          <w:i/>
          <w:color w:val="161616"/>
          <w:sz w:val="19"/>
        </w:rPr>
        <w:t>Financial</w:t>
      </w:r>
      <w:r>
        <w:rPr>
          <w:i/>
          <w:color w:val="1F1F1F"/>
          <w:sz w:val="19"/>
        </w:rPr>
        <w:t xml:space="preserve"> Statement </w:t>
      </w:r>
      <w:r>
        <w:rPr>
          <w:i/>
          <w:color w:val="111111"/>
          <w:sz w:val="19"/>
        </w:rPr>
        <w:t xml:space="preserve">Guidelines </w:t>
      </w:r>
      <w:r>
        <w:rPr>
          <w:i/>
          <w:color w:val="181818"/>
          <w:sz w:val="19"/>
        </w:rPr>
        <w:t xml:space="preserve">for </w:t>
      </w:r>
      <w:r>
        <w:rPr>
          <w:i/>
          <w:color w:val="0C0C0C"/>
          <w:sz w:val="19"/>
        </w:rPr>
        <w:t xml:space="preserve">the </w:t>
      </w:r>
      <w:r>
        <w:rPr>
          <w:i/>
          <w:color w:val="0F0F0F"/>
          <w:sz w:val="19"/>
        </w:rPr>
        <w:t xml:space="preserve">Australian </w:t>
      </w:r>
      <w:r>
        <w:rPr>
          <w:i/>
          <w:color w:val="111111"/>
          <w:sz w:val="19"/>
        </w:rPr>
        <w:t xml:space="preserve">Higher </w:t>
      </w:r>
      <w:r>
        <w:rPr>
          <w:i/>
          <w:color w:val="1F1F1F"/>
          <w:sz w:val="19"/>
        </w:rPr>
        <w:t xml:space="preserve">Education </w:t>
      </w:r>
      <w:r>
        <w:rPr>
          <w:i/>
          <w:color w:val="212121"/>
          <w:sz w:val="19"/>
        </w:rPr>
        <w:t xml:space="preserve">Providers </w:t>
      </w:r>
      <w:r>
        <w:rPr>
          <w:i/>
          <w:color w:val="1D1D1D"/>
          <w:sz w:val="19"/>
        </w:rPr>
        <w:t xml:space="preserve">for </w:t>
      </w:r>
      <w:r>
        <w:rPr>
          <w:i/>
          <w:color w:val="1F1F1F"/>
          <w:sz w:val="19"/>
        </w:rPr>
        <w:t xml:space="preserve">the </w:t>
      </w:r>
      <w:r>
        <w:rPr>
          <w:i/>
          <w:color w:val="242424"/>
          <w:sz w:val="19"/>
        </w:rPr>
        <w:t xml:space="preserve">2018 </w:t>
      </w:r>
      <w:r>
        <w:rPr>
          <w:i/>
          <w:color w:val="212121"/>
          <w:sz w:val="19"/>
        </w:rPr>
        <w:t xml:space="preserve">Reporting </w:t>
      </w:r>
      <w:r>
        <w:rPr>
          <w:i/>
          <w:color w:val="111111"/>
          <w:sz w:val="19"/>
        </w:rPr>
        <w:t xml:space="preserve">Period </w:t>
      </w:r>
      <w:r>
        <w:rPr>
          <w:color w:val="111111"/>
          <w:sz w:val="19"/>
        </w:rPr>
        <w:t xml:space="preserve">issued </w:t>
      </w:r>
      <w:r>
        <w:rPr>
          <w:color w:val="2A2A2A"/>
          <w:sz w:val="19"/>
        </w:rPr>
        <w:t xml:space="preserve">by </w:t>
      </w:r>
      <w:r>
        <w:rPr>
          <w:color w:val="242424"/>
          <w:sz w:val="19"/>
        </w:rPr>
        <w:t>the</w:t>
      </w:r>
      <w:r>
        <w:rPr>
          <w:color w:val="1F1F1F"/>
          <w:sz w:val="19"/>
        </w:rPr>
        <w:t xml:space="preserve"> Department </w:t>
      </w:r>
      <w:r>
        <w:rPr>
          <w:color w:val="1D1D1D"/>
          <w:sz w:val="19"/>
        </w:rPr>
        <w:t xml:space="preserve">of </w:t>
      </w:r>
      <w:r>
        <w:rPr>
          <w:color w:val="1F1F1F"/>
          <w:sz w:val="19"/>
        </w:rPr>
        <w:t xml:space="preserve">Education </w:t>
      </w:r>
      <w:r>
        <w:rPr>
          <w:color w:val="262626"/>
          <w:sz w:val="19"/>
        </w:rPr>
        <w:t>and</w:t>
      </w:r>
      <w:r>
        <w:rPr>
          <w:color w:val="262626"/>
          <w:spacing w:val="21"/>
          <w:sz w:val="19"/>
        </w:rPr>
        <w:t xml:space="preserve"> </w:t>
      </w:r>
      <w:r>
        <w:rPr>
          <w:color w:val="1A1A1A"/>
          <w:sz w:val="19"/>
        </w:rPr>
        <w:t>Training.</w:t>
      </w:r>
    </w:p>
    <w:p w14:paraId="71FEFAB5" w14:textId="77777777" w:rsidR="00FA4AA8" w:rsidRDefault="00FA4AA8">
      <w:pPr>
        <w:pStyle w:val="BodyText"/>
        <w:spacing w:before="7"/>
        <w:rPr>
          <w:sz w:val="26"/>
        </w:rPr>
      </w:pPr>
    </w:p>
    <w:p w14:paraId="5DE4EA3D" w14:textId="77777777" w:rsidR="00FA4AA8" w:rsidRDefault="0015611F">
      <w:pPr>
        <w:spacing w:line="206" w:lineRule="auto"/>
        <w:ind w:left="120" w:firstLine="11"/>
        <w:rPr>
          <w:sz w:val="19"/>
        </w:rPr>
      </w:pPr>
      <w:r>
        <w:rPr>
          <w:color w:val="181818"/>
          <w:w w:val="95"/>
          <w:sz w:val="19"/>
        </w:rPr>
        <w:t>t</w:t>
      </w:r>
      <w:r>
        <w:rPr>
          <w:color w:val="181818"/>
          <w:w w:val="95"/>
          <w:position w:val="2"/>
          <w:sz w:val="19"/>
        </w:rPr>
        <w:t xml:space="preserve">c) </w:t>
      </w:r>
      <w:r>
        <w:rPr>
          <w:w w:val="95"/>
          <w:position w:val="1"/>
          <w:sz w:val="19"/>
        </w:rPr>
        <w:t xml:space="preserve">The </w:t>
      </w:r>
      <w:r>
        <w:rPr>
          <w:color w:val="1D1D1D"/>
          <w:w w:val="95"/>
          <w:position w:val="1"/>
          <w:sz w:val="19"/>
        </w:rPr>
        <w:t xml:space="preserve">financial </w:t>
      </w:r>
      <w:r>
        <w:rPr>
          <w:color w:val="181818"/>
          <w:w w:val="95"/>
          <w:position w:val="1"/>
          <w:sz w:val="19"/>
        </w:rPr>
        <w:t xml:space="preserve">statements </w:t>
      </w:r>
      <w:r>
        <w:rPr>
          <w:color w:val="131313"/>
          <w:w w:val="95"/>
          <w:position w:val="1"/>
          <w:sz w:val="19"/>
        </w:rPr>
        <w:t xml:space="preserve">have </w:t>
      </w:r>
      <w:r>
        <w:rPr>
          <w:color w:val="242424"/>
          <w:w w:val="95"/>
          <w:position w:val="1"/>
          <w:sz w:val="19"/>
        </w:rPr>
        <w:t xml:space="preserve">been </w:t>
      </w:r>
      <w:r>
        <w:rPr>
          <w:color w:val="1C1C1C"/>
          <w:w w:val="95"/>
          <w:position w:val="1"/>
          <w:sz w:val="19"/>
        </w:rPr>
        <w:t xml:space="preserve">prepared </w:t>
      </w:r>
      <w:r>
        <w:rPr>
          <w:color w:val="232323"/>
          <w:w w:val="95"/>
          <w:position w:val="1"/>
          <w:sz w:val="19"/>
        </w:rPr>
        <w:t xml:space="preserve">in </w:t>
      </w:r>
      <w:r>
        <w:rPr>
          <w:color w:val="1A1A1A"/>
          <w:w w:val="95"/>
          <w:position w:val="1"/>
          <w:sz w:val="19"/>
        </w:rPr>
        <w:t xml:space="preserve">accordance </w:t>
      </w:r>
      <w:r>
        <w:rPr>
          <w:color w:val="0C0C0C"/>
          <w:w w:val="95"/>
          <w:position w:val="1"/>
          <w:sz w:val="19"/>
        </w:rPr>
        <w:t xml:space="preserve">with </w:t>
      </w:r>
      <w:r>
        <w:rPr>
          <w:color w:val="111111"/>
          <w:w w:val="95"/>
          <w:position w:val="1"/>
          <w:sz w:val="19"/>
        </w:rPr>
        <w:t xml:space="preserve">Australian </w:t>
      </w:r>
      <w:r>
        <w:rPr>
          <w:color w:val="181818"/>
          <w:w w:val="95"/>
          <w:position w:val="1"/>
          <w:sz w:val="19"/>
        </w:rPr>
        <w:t xml:space="preserve">Accounting </w:t>
      </w:r>
      <w:r>
        <w:rPr>
          <w:color w:val="111111"/>
          <w:w w:val="95"/>
          <w:position w:val="1"/>
          <w:sz w:val="19"/>
        </w:rPr>
        <w:t xml:space="preserve">Standards, </w:t>
      </w:r>
      <w:r>
        <w:rPr>
          <w:color w:val="232323"/>
          <w:w w:val="95"/>
          <w:position w:val="1"/>
          <w:sz w:val="19"/>
        </w:rPr>
        <w:t xml:space="preserve">which </w:t>
      </w:r>
      <w:r>
        <w:rPr>
          <w:color w:val="1C1C1C"/>
          <w:w w:val="95"/>
          <w:position w:val="1"/>
          <w:sz w:val="19"/>
        </w:rPr>
        <w:t xml:space="preserve">include </w:t>
      </w:r>
      <w:r>
        <w:rPr>
          <w:sz w:val="19"/>
        </w:rPr>
        <w:t xml:space="preserve">Australian </w:t>
      </w:r>
      <w:r>
        <w:rPr>
          <w:color w:val="1C1C1C"/>
          <w:sz w:val="19"/>
        </w:rPr>
        <w:t>Accounting Interpretations.</w:t>
      </w:r>
    </w:p>
    <w:p w14:paraId="31FB02FF" w14:textId="77777777" w:rsidR="00FA4AA8" w:rsidRDefault="00FA4AA8">
      <w:pPr>
        <w:pStyle w:val="BodyText"/>
        <w:spacing w:before="9"/>
        <w:rPr>
          <w:sz w:val="25"/>
        </w:rPr>
      </w:pPr>
    </w:p>
    <w:p w14:paraId="05AECC81" w14:textId="77777777" w:rsidR="00FA4AA8" w:rsidRDefault="0015611F">
      <w:pPr>
        <w:pStyle w:val="ListParagraph"/>
        <w:numPr>
          <w:ilvl w:val="0"/>
          <w:numId w:val="111"/>
        </w:numPr>
        <w:tabs>
          <w:tab w:val="left" w:pos="390"/>
        </w:tabs>
        <w:spacing w:line="225" w:lineRule="auto"/>
        <w:ind w:right="166" w:firstLine="4"/>
        <w:rPr>
          <w:color w:val="212121"/>
          <w:sz w:val="19"/>
        </w:rPr>
      </w:pPr>
      <w:r>
        <w:rPr>
          <w:color w:val="2A2A2A"/>
          <w:sz w:val="19"/>
        </w:rPr>
        <w:t>The</w:t>
      </w:r>
      <w:r>
        <w:rPr>
          <w:color w:val="2A2A2A"/>
          <w:spacing w:val="-33"/>
          <w:sz w:val="19"/>
        </w:rPr>
        <w:t xml:space="preserve"> </w:t>
      </w:r>
      <w:r>
        <w:rPr>
          <w:color w:val="2D2D2D"/>
          <w:sz w:val="19"/>
        </w:rPr>
        <w:t>amount</w:t>
      </w:r>
      <w:r>
        <w:rPr>
          <w:color w:val="2D2D2D"/>
          <w:spacing w:val="-32"/>
          <w:sz w:val="19"/>
        </w:rPr>
        <w:t xml:space="preserve"> </w:t>
      </w:r>
      <w:r>
        <w:rPr>
          <w:color w:val="383838"/>
          <w:sz w:val="19"/>
        </w:rPr>
        <w:t>of</w:t>
      </w:r>
      <w:r>
        <w:rPr>
          <w:color w:val="383838"/>
          <w:spacing w:val="-33"/>
          <w:sz w:val="19"/>
        </w:rPr>
        <w:t xml:space="preserve"> </w:t>
      </w:r>
      <w:r>
        <w:rPr>
          <w:color w:val="282828"/>
          <w:sz w:val="19"/>
        </w:rPr>
        <w:t>Australian</w:t>
      </w:r>
      <w:r>
        <w:rPr>
          <w:color w:val="282828"/>
          <w:spacing w:val="-31"/>
          <w:sz w:val="19"/>
        </w:rPr>
        <w:t xml:space="preserve"> </w:t>
      </w:r>
      <w:r>
        <w:rPr>
          <w:color w:val="2A2A2A"/>
          <w:sz w:val="19"/>
        </w:rPr>
        <w:t>Government</w:t>
      </w:r>
      <w:r>
        <w:rPr>
          <w:color w:val="2A2A2A"/>
          <w:spacing w:val="-28"/>
          <w:sz w:val="19"/>
        </w:rPr>
        <w:t xml:space="preserve"> </w:t>
      </w:r>
      <w:r>
        <w:rPr>
          <w:color w:val="212121"/>
          <w:sz w:val="19"/>
        </w:rPr>
        <w:t>financial</w:t>
      </w:r>
      <w:r>
        <w:rPr>
          <w:color w:val="212121"/>
          <w:spacing w:val="-31"/>
          <w:sz w:val="19"/>
        </w:rPr>
        <w:t xml:space="preserve"> </w:t>
      </w:r>
      <w:r>
        <w:rPr>
          <w:color w:val="131313"/>
          <w:sz w:val="19"/>
        </w:rPr>
        <w:t>assistance</w:t>
      </w:r>
      <w:r>
        <w:rPr>
          <w:color w:val="131313"/>
          <w:spacing w:val="-30"/>
          <w:sz w:val="19"/>
        </w:rPr>
        <w:t xml:space="preserve"> </w:t>
      </w:r>
      <w:r>
        <w:rPr>
          <w:color w:val="1C1C1C"/>
          <w:sz w:val="19"/>
        </w:rPr>
        <w:t>expended</w:t>
      </w:r>
      <w:r>
        <w:rPr>
          <w:color w:val="1C1C1C"/>
          <w:spacing w:val="-31"/>
          <w:sz w:val="19"/>
        </w:rPr>
        <w:t xml:space="preserve"> </w:t>
      </w:r>
      <w:r>
        <w:rPr>
          <w:color w:val="343434"/>
          <w:sz w:val="19"/>
        </w:rPr>
        <w:t>during</w:t>
      </w:r>
      <w:r>
        <w:rPr>
          <w:color w:val="343434"/>
          <w:spacing w:val="-31"/>
          <w:sz w:val="19"/>
        </w:rPr>
        <w:t xml:space="preserve"> </w:t>
      </w:r>
      <w:r>
        <w:rPr>
          <w:color w:val="1C1C1C"/>
          <w:sz w:val="19"/>
        </w:rPr>
        <w:t>the</w:t>
      </w:r>
      <w:r>
        <w:rPr>
          <w:color w:val="1C1C1C"/>
          <w:spacing w:val="-37"/>
          <w:sz w:val="19"/>
        </w:rPr>
        <w:t xml:space="preserve"> </w:t>
      </w:r>
      <w:r>
        <w:rPr>
          <w:color w:val="1F1F1F"/>
          <w:sz w:val="19"/>
        </w:rPr>
        <w:t>reporting</w:t>
      </w:r>
      <w:r>
        <w:rPr>
          <w:color w:val="1F1F1F"/>
          <w:spacing w:val="-31"/>
          <w:sz w:val="19"/>
        </w:rPr>
        <w:t xml:space="preserve"> </w:t>
      </w:r>
      <w:r>
        <w:rPr>
          <w:color w:val="181818"/>
          <w:sz w:val="19"/>
        </w:rPr>
        <w:t>period</w:t>
      </w:r>
      <w:r>
        <w:rPr>
          <w:color w:val="181818"/>
          <w:spacing w:val="-33"/>
          <w:sz w:val="19"/>
        </w:rPr>
        <w:t xml:space="preserve"> </w:t>
      </w:r>
      <w:r>
        <w:rPr>
          <w:color w:val="444444"/>
          <w:sz w:val="19"/>
        </w:rPr>
        <w:t>was</w:t>
      </w:r>
      <w:r>
        <w:rPr>
          <w:color w:val="444444"/>
          <w:spacing w:val="-35"/>
          <w:sz w:val="19"/>
        </w:rPr>
        <w:t xml:space="preserve"> </w:t>
      </w:r>
      <w:r>
        <w:rPr>
          <w:color w:val="1A1A1A"/>
          <w:sz w:val="19"/>
        </w:rPr>
        <w:t>for</w:t>
      </w:r>
      <w:r>
        <w:rPr>
          <w:color w:val="1A1A1A"/>
          <w:spacing w:val="-35"/>
          <w:sz w:val="19"/>
        </w:rPr>
        <w:t xml:space="preserve"> </w:t>
      </w:r>
      <w:r>
        <w:rPr>
          <w:color w:val="242424"/>
          <w:sz w:val="19"/>
        </w:rPr>
        <w:t>the</w:t>
      </w:r>
      <w:r>
        <w:rPr>
          <w:color w:val="242424"/>
          <w:spacing w:val="-35"/>
          <w:sz w:val="19"/>
        </w:rPr>
        <w:t xml:space="preserve"> </w:t>
      </w:r>
      <w:r>
        <w:rPr>
          <w:color w:val="282828"/>
          <w:sz w:val="19"/>
        </w:rPr>
        <w:t>purpose(s)</w:t>
      </w:r>
      <w:r>
        <w:rPr>
          <w:color w:val="232323"/>
          <w:sz w:val="19"/>
        </w:rPr>
        <w:t xml:space="preserve"> for</w:t>
      </w:r>
      <w:r>
        <w:rPr>
          <w:color w:val="232323"/>
          <w:spacing w:val="-28"/>
          <w:sz w:val="19"/>
        </w:rPr>
        <w:t xml:space="preserve"> </w:t>
      </w:r>
      <w:r>
        <w:rPr>
          <w:color w:val="1C1C1C"/>
          <w:sz w:val="19"/>
        </w:rPr>
        <w:t>which</w:t>
      </w:r>
      <w:r>
        <w:rPr>
          <w:color w:val="1C1C1C"/>
          <w:spacing w:val="-30"/>
          <w:sz w:val="19"/>
        </w:rPr>
        <w:t xml:space="preserve"> </w:t>
      </w:r>
      <w:r>
        <w:rPr>
          <w:color w:val="1A1A1A"/>
          <w:sz w:val="19"/>
        </w:rPr>
        <w:t>it</w:t>
      </w:r>
      <w:r>
        <w:rPr>
          <w:color w:val="1A1A1A"/>
          <w:spacing w:val="-27"/>
          <w:sz w:val="19"/>
        </w:rPr>
        <w:t xml:space="preserve"> </w:t>
      </w:r>
      <w:r>
        <w:rPr>
          <w:color w:val="232323"/>
          <w:sz w:val="19"/>
        </w:rPr>
        <w:t>was</w:t>
      </w:r>
      <w:r>
        <w:rPr>
          <w:color w:val="232323"/>
          <w:spacing w:val="-33"/>
          <w:sz w:val="19"/>
        </w:rPr>
        <w:t xml:space="preserve"> </w:t>
      </w:r>
      <w:r>
        <w:rPr>
          <w:color w:val="1F1F1F"/>
          <w:sz w:val="19"/>
        </w:rPr>
        <w:t>intended</w:t>
      </w:r>
      <w:r>
        <w:rPr>
          <w:color w:val="1F1F1F"/>
          <w:spacing w:val="-25"/>
          <w:sz w:val="19"/>
        </w:rPr>
        <w:t xml:space="preserve"> </w:t>
      </w:r>
      <w:r>
        <w:rPr>
          <w:color w:val="2A2A2A"/>
          <w:sz w:val="19"/>
        </w:rPr>
        <w:t>and</w:t>
      </w:r>
      <w:r>
        <w:rPr>
          <w:color w:val="2A2A2A"/>
          <w:spacing w:val="-29"/>
          <w:sz w:val="19"/>
        </w:rPr>
        <w:t xml:space="preserve"> </w:t>
      </w:r>
      <w:r>
        <w:rPr>
          <w:color w:val="1D1D1D"/>
          <w:sz w:val="19"/>
        </w:rPr>
        <w:t>Western</w:t>
      </w:r>
      <w:r>
        <w:rPr>
          <w:color w:val="1D1D1D"/>
          <w:spacing w:val="-25"/>
          <w:sz w:val="19"/>
        </w:rPr>
        <w:t xml:space="preserve"> </w:t>
      </w:r>
      <w:r>
        <w:rPr>
          <w:color w:val="1A1A1A"/>
          <w:sz w:val="19"/>
        </w:rPr>
        <w:t>Sydney</w:t>
      </w:r>
      <w:r>
        <w:rPr>
          <w:color w:val="1A1A1A"/>
          <w:spacing w:val="-23"/>
          <w:sz w:val="19"/>
        </w:rPr>
        <w:t xml:space="preserve"> </w:t>
      </w:r>
      <w:r>
        <w:rPr>
          <w:color w:val="131313"/>
          <w:sz w:val="19"/>
        </w:rPr>
        <w:t>University</w:t>
      </w:r>
      <w:r>
        <w:rPr>
          <w:color w:val="131313"/>
          <w:spacing w:val="-21"/>
          <w:sz w:val="19"/>
        </w:rPr>
        <w:t xml:space="preserve"> </w:t>
      </w:r>
      <w:r>
        <w:rPr>
          <w:color w:val="232323"/>
          <w:sz w:val="19"/>
        </w:rPr>
        <w:t>has</w:t>
      </w:r>
      <w:r>
        <w:rPr>
          <w:color w:val="232323"/>
          <w:spacing w:val="-29"/>
          <w:sz w:val="19"/>
        </w:rPr>
        <w:t xml:space="preserve"> </w:t>
      </w:r>
      <w:r>
        <w:rPr>
          <w:color w:val="232323"/>
          <w:sz w:val="19"/>
        </w:rPr>
        <w:t>complied</w:t>
      </w:r>
      <w:r>
        <w:rPr>
          <w:color w:val="232323"/>
          <w:spacing w:val="-25"/>
          <w:sz w:val="19"/>
        </w:rPr>
        <w:t xml:space="preserve"> </w:t>
      </w:r>
      <w:r>
        <w:rPr>
          <w:color w:val="1D1D1D"/>
          <w:sz w:val="19"/>
        </w:rPr>
        <w:t>with</w:t>
      </w:r>
      <w:r>
        <w:rPr>
          <w:color w:val="1D1D1D"/>
          <w:spacing w:val="-27"/>
          <w:sz w:val="19"/>
        </w:rPr>
        <w:t xml:space="preserve"> </w:t>
      </w:r>
      <w:r>
        <w:rPr>
          <w:color w:val="1A1A1A"/>
          <w:sz w:val="19"/>
        </w:rPr>
        <w:t>applicable</w:t>
      </w:r>
      <w:r>
        <w:rPr>
          <w:color w:val="1A1A1A"/>
          <w:spacing w:val="-28"/>
          <w:sz w:val="19"/>
        </w:rPr>
        <w:t xml:space="preserve"> </w:t>
      </w:r>
      <w:r>
        <w:rPr>
          <w:color w:val="0F0F0F"/>
          <w:sz w:val="19"/>
        </w:rPr>
        <w:t>legislation,</w:t>
      </w:r>
      <w:r>
        <w:rPr>
          <w:color w:val="0F0F0F"/>
          <w:spacing w:val="-23"/>
          <w:sz w:val="19"/>
        </w:rPr>
        <w:t xml:space="preserve"> </w:t>
      </w:r>
      <w:r>
        <w:rPr>
          <w:color w:val="262626"/>
          <w:sz w:val="19"/>
        </w:rPr>
        <w:t>contracts,</w:t>
      </w:r>
      <w:r>
        <w:rPr>
          <w:color w:val="262626"/>
          <w:spacing w:val="-23"/>
          <w:sz w:val="19"/>
        </w:rPr>
        <w:t xml:space="preserve"> </w:t>
      </w:r>
      <w:r>
        <w:rPr>
          <w:color w:val="1D1D1D"/>
          <w:sz w:val="19"/>
        </w:rPr>
        <w:t>agreements</w:t>
      </w:r>
      <w:r>
        <w:rPr>
          <w:color w:val="1C1C1C"/>
          <w:sz w:val="19"/>
        </w:rPr>
        <w:t xml:space="preserve"> and </w:t>
      </w:r>
      <w:r>
        <w:rPr>
          <w:color w:val="181818"/>
          <w:sz w:val="19"/>
        </w:rPr>
        <w:t xml:space="preserve">programme </w:t>
      </w:r>
      <w:r>
        <w:rPr>
          <w:color w:val="0F0F0F"/>
          <w:sz w:val="19"/>
        </w:rPr>
        <w:t xml:space="preserve">guidelines </w:t>
      </w:r>
      <w:r>
        <w:rPr>
          <w:color w:val="1F1F1F"/>
          <w:sz w:val="19"/>
        </w:rPr>
        <w:t xml:space="preserve">in </w:t>
      </w:r>
      <w:r>
        <w:rPr>
          <w:color w:val="111111"/>
          <w:sz w:val="19"/>
        </w:rPr>
        <w:t>making</w:t>
      </w:r>
      <w:r>
        <w:rPr>
          <w:color w:val="111111"/>
          <w:spacing w:val="12"/>
          <w:sz w:val="19"/>
        </w:rPr>
        <w:t xml:space="preserve"> </w:t>
      </w:r>
      <w:r>
        <w:rPr>
          <w:color w:val="1D1D1D"/>
          <w:sz w:val="19"/>
        </w:rPr>
        <w:t>expenditure.</w:t>
      </w:r>
    </w:p>
    <w:p w14:paraId="1DE81881" w14:textId="77777777" w:rsidR="00FA4AA8" w:rsidRDefault="00FA4AA8">
      <w:pPr>
        <w:pStyle w:val="BodyText"/>
        <w:spacing w:before="8"/>
        <w:rPr>
          <w:sz w:val="25"/>
        </w:rPr>
      </w:pPr>
    </w:p>
    <w:p w14:paraId="6C00C3B5" w14:textId="77777777" w:rsidR="00FA4AA8" w:rsidRDefault="0015611F">
      <w:pPr>
        <w:pStyle w:val="ListParagraph"/>
        <w:numPr>
          <w:ilvl w:val="0"/>
          <w:numId w:val="111"/>
        </w:numPr>
        <w:tabs>
          <w:tab w:val="left" w:pos="392"/>
        </w:tabs>
        <w:spacing w:line="225" w:lineRule="auto"/>
        <w:ind w:left="121" w:right="542" w:hanging="4"/>
        <w:rPr>
          <w:color w:val="1F1F1F"/>
          <w:sz w:val="19"/>
        </w:rPr>
      </w:pPr>
      <w:r>
        <w:rPr>
          <w:color w:val="151515"/>
          <w:sz w:val="19"/>
        </w:rPr>
        <w:t>Western</w:t>
      </w:r>
      <w:r>
        <w:rPr>
          <w:color w:val="151515"/>
          <w:spacing w:val="-23"/>
          <w:sz w:val="19"/>
        </w:rPr>
        <w:t xml:space="preserve"> </w:t>
      </w:r>
      <w:r>
        <w:rPr>
          <w:color w:val="2A2A2A"/>
          <w:sz w:val="19"/>
        </w:rPr>
        <w:t>Sydney</w:t>
      </w:r>
      <w:r>
        <w:rPr>
          <w:color w:val="2A2A2A"/>
          <w:spacing w:val="-20"/>
          <w:sz w:val="19"/>
        </w:rPr>
        <w:t xml:space="preserve"> </w:t>
      </w:r>
      <w:r>
        <w:rPr>
          <w:color w:val="1D1D1D"/>
          <w:sz w:val="19"/>
        </w:rPr>
        <w:t>University</w:t>
      </w:r>
      <w:r>
        <w:rPr>
          <w:color w:val="1D1D1D"/>
          <w:spacing w:val="-22"/>
          <w:sz w:val="19"/>
        </w:rPr>
        <w:t xml:space="preserve"> </w:t>
      </w:r>
      <w:r>
        <w:rPr>
          <w:color w:val="242424"/>
          <w:sz w:val="19"/>
        </w:rPr>
        <w:t>charged</w:t>
      </w:r>
      <w:r>
        <w:rPr>
          <w:color w:val="242424"/>
          <w:spacing w:val="-29"/>
          <w:sz w:val="19"/>
        </w:rPr>
        <w:t xml:space="preserve"> </w:t>
      </w:r>
      <w:r>
        <w:rPr>
          <w:color w:val="131313"/>
          <w:sz w:val="19"/>
        </w:rPr>
        <w:t>Student</w:t>
      </w:r>
      <w:r>
        <w:rPr>
          <w:color w:val="131313"/>
          <w:spacing w:val="-22"/>
          <w:sz w:val="19"/>
        </w:rPr>
        <w:t xml:space="preserve"> </w:t>
      </w:r>
      <w:r>
        <w:rPr>
          <w:color w:val="131313"/>
          <w:sz w:val="19"/>
        </w:rPr>
        <w:t>Services</w:t>
      </w:r>
      <w:r>
        <w:rPr>
          <w:color w:val="131313"/>
          <w:spacing w:val="-24"/>
          <w:sz w:val="19"/>
        </w:rPr>
        <w:t xml:space="preserve"> </w:t>
      </w:r>
      <w:r>
        <w:rPr>
          <w:color w:val="131313"/>
          <w:sz w:val="19"/>
        </w:rPr>
        <w:t>and</w:t>
      </w:r>
      <w:r>
        <w:rPr>
          <w:color w:val="131313"/>
          <w:spacing w:val="-27"/>
          <w:sz w:val="19"/>
        </w:rPr>
        <w:t xml:space="preserve"> </w:t>
      </w:r>
      <w:r>
        <w:rPr>
          <w:color w:val="1C1C1C"/>
          <w:sz w:val="19"/>
        </w:rPr>
        <w:t>Amenities</w:t>
      </w:r>
      <w:r>
        <w:rPr>
          <w:color w:val="1C1C1C"/>
          <w:spacing w:val="-21"/>
          <w:sz w:val="19"/>
        </w:rPr>
        <w:t xml:space="preserve"> </w:t>
      </w:r>
      <w:r>
        <w:rPr>
          <w:color w:val="1F1F1F"/>
          <w:sz w:val="19"/>
        </w:rPr>
        <w:t>Fees</w:t>
      </w:r>
      <w:r>
        <w:rPr>
          <w:color w:val="1F1F1F"/>
          <w:spacing w:val="-21"/>
          <w:sz w:val="19"/>
        </w:rPr>
        <w:t xml:space="preserve"> </w:t>
      </w:r>
      <w:r>
        <w:rPr>
          <w:color w:val="212121"/>
          <w:sz w:val="19"/>
        </w:rPr>
        <w:t>strictly</w:t>
      </w:r>
      <w:r>
        <w:rPr>
          <w:color w:val="212121"/>
          <w:spacing w:val="-20"/>
          <w:sz w:val="19"/>
        </w:rPr>
        <w:t xml:space="preserve"> </w:t>
      </w:r>
      <w:r>
        <w:rPr>
          <w:color w:val="3F3F3F"/>
          <w:sz w:val="19"/>
        </w:rPr>
        <w:t>in</w:t>
      </w:r>
      <w:r>
        <w:rPr>
          <w:color w:val="3F3F3F"/>
          <w:spacing w:val="-30"/>
          <w:sz w:val="19"/>
        </w:rPr>
        <w:t xml:space="preserve"> </w:t>
      </w:r>
      <w:r>
        <w:rPr>
          <w:color w:val="181818"/>
          <w:sz w:val="19"/>
        </w:rPr>
        <w:t>accordance</w:t>
      </w:r>
      <w:r>
        <w:rPr>
          <w:color w:val="181818"/>
          <w:spacing w:val="-21"/>
          <w:sz w:val="19"/>
        </w:rPr>
        <w:t xml:space="preserve"> </w:t>
      </w:r>
      <w:r>
        <w:rPr>
          <w:color w:val="212121"/>
          <w:sz w:val="19"/>
        </w:rPr>
        <w:t>with</w:t>
      </w:r>
      <w:r>
        <w:rPr>
          <w:color w:val="212121"/>
          <w:spacing w:val="-26"/>
          <w:sz w:val="19"/>
        </w:rPr>
        <w:t xml:space="preserve"> </w:t>
      </w:r>
      <w:r>
        <w:rPr>
          <w:color w:val="1A1A1A"/>
          <w:sz w:val="19"/>
        </w:rPr>
        <w:t>the</w:t>
      </w:r>
      <w:r>
        <w:rPr>
          <w:color w:val="1A1A1A"/>
          <w:spacing w:val="-25"/>
          <w:sz w:val="19"/>
        </w:rPr>
        <w:t xml:space="preserve"> </w:t>
      </w:r>
      <w:r>
        <w:rPr>
          <w:i/>
          <w:color w:val="1A1A1A"/>
          <w:sz w:val="19"/>
        </w:rPr>
        <w:t>Higher</w:t>
      </w:r>
      <w:r>
        <w:rPr>
          <w:i/>
          <w:color w:val="0C0C0C"/>
          <w:sz w:val="19"/>
        </w:rPr>
        <w:t xml:space="preserve"> Education</w:t>
      </w:r>
      <w:r>
        <w:rPr>
          <w:i/>
          <w:color w:val="0C0C0C"/>
          <w:spacing w:val="-22"/>
          <w:sz w:val="19"/>
        </w:rPr>
        <w:t xml:space="preserve"> </w:t>
      </w:r>
      <w:r>
        <w:rPr>
          <w:i/>
          <w:color w:val="0E0E0E"/>
          <w:sz w:val="19"/>
        </w:rPr>
        <w:t>Support</w:t>
      </w:r>
      <w:r>
        <w:rPr>
          <w:i/>
          <w:color w:val="0E0E0E"/>
          <w:spacing w:val="-26"/>
          <w:sz w:val="19"/>
        </w:rPr>
        <w:t xml:space="preserve"> </w:t>
      </w:r>
      <w:r>
        <w:rPr>
          <w:i/>
          <w:color w:val="232323"/>
          <w:sz w:val="19"/>
        </w:rPr>
        <w:t>Act</w:t>
      </w:r>
      <w:r>
        <w:rPr>
          <w:i/>
          <w:color w:val="232323"/>
          <w:spacing w:val="-30"/>
          <w:sz w:val="19"/>
        </w:rPr>
        <w:t xml:space="preserve"> </w:t>
      </w:r>
      <w:r>
        <w:rPr>
          <w:i/>
          <w:color w:val="1A1A1A"/>
          <w:sz w:val="19"/>
        </w:rPr>
        <w:t>2003</w:t>
      </w:r>
      <w:r>
        <w:rPr>
          <w:i/>
          <w:color w:val="1A1A1A"/>
          <w:spacing w:val="-25"/>
          <w:sz w:val="19"/>
        </w:rPr>
        <w:t xml:space="preserve"> </w:t>
      </w:r>
      <w:r>
        <w:rPr>
          <w:color w:val="2D2D2D"/>
          <w:sz w:val="19"/>
        </w:rPr>
        <w:t>and</w:t>
      </w:r>
      <w:r>
        <w:rPr>
          <w:color w:val="2D2D2D"/>
          <w:spacing w:val="-31"/>
          <w:sz w:val="19"/>
        </w:rPr>
        <w:t xml:space="preserve"> </w:t>
      </w:r>
      <w:r>
        <w:rPr>
          <w:color w:val="212121"/>
          <w:sz w:val="19"/>
        </w:rPr>
        <w:t>the</w:t>
      </w:r>
      <w:r>
        <w:rPr>
          <w:color w:val="212121"/>
          <w:spacing w:val="-28"/>
          <w:sz w:val="19"/>
        </w:rPr>
        <w:t xml:space="preserve"> </w:t>
      </w:r>
      <w:r>
        <w:rPr>
          <w:sz w:val="19"/>
        </w:rPr>
        <w:t>Administration</w:t>
      </w:r>
      <w:r>
        <w:rPr>
          <w:spacing w:val="-31"/>
          <w:sz w:val="19"/>
        </w:rPr>
        <w:t xml:space="preserve"> </w:t>
      </w:r>
      <w:r>
        <w:rPr>
          <w:color w:val="161616"/>
          <w:sz w:val="19"/>
        </w:rPr>
        <w:t>Guidelines</w:t>
      </w:r>
      <w:r>
        <w:rPr>
          <w:color w:val="161616"/>
          <w:spacing w:val="-22"/>
          <w:sz w:val="19"/>
        </w:rPr>
        <w:t xml:space="preserve"> </w:t>
      </w:r>
      <w:r>
        <w:rPr>
          <w:color w:val="2D2D2D"/>
          <w:sz w:val="19"/>
        </w:rPr>
        <w:t>made</w:t>
      </w:r>
      <w:r>
        <w:rPr>
          <w:color w:val="2D2D2D"/>
          <w:spacing w:val="-27"/>
          <w:sz w:val="19"/>
        </w:rPr>
        <w:t xml:space="preserve"> </w:t>
      </w:r>
      <w:r>
        <w:rPr>
          <w:color w:val="2A2A2A"/>
          <w:sz w:val="19"/>
        </w:rPr>
        <w:t>under</w:t>
      </w:r>
      <w:r>
        <w:rPr>
          <w:color w:val="2A2A2A"/>
          <w:spacing w:val="-28"/>
          <w:sz w:val="19"/>
        </w:rPr>
        <w:t xml:space="preserve"> </w:t>
      </w:r>
      <w:r>
        <w:rPr>
          <w:color w:val="282828"/>
          <w:sz w:val="19"/>
        </w:rPr>
        <w:t>the</w:t>
      </w:r>
      <w:r>
        <w:rPr>
          <w:color w:val="282828"/>
          <w:spacing w:val="-29"/>
          <w:sz w:val="19"/>
        </w:rPr>
        <w:t xml:space="preserve"> </w:t>
      </w:r>
      <w:r>
        <w:rPr>
          <w:color w:val="1F1F1F"/>
          <w:sz w:val="19"/>
        </w:rPr>
        <w:t>Act.</w:t>
      </w:r>
      <w:r>
        <w:rPr>
          <w:color w:val="1F1F1F"/>
          <w:spacing w:val="-29"/>
          <w:sz w:val="19"/>
        </w:rPr>
        <w:t xml:space="preserve"> </w:t>
      </w:r>
      <w:r>
        <w:rPr>
          <w:color w:val="1C1C1C"/>
          <w:sz w:val="19"/>
        </w:rPr>
        <w:t>Revenue</w:t>
      </w:r>
      <w:r>
        <w:rPr>
          <w:color w:val="1C1C1C"/>
          <w:spacing w:val="-27"/>
          <w:sz w:val="19"/>
        </w:rPr>
        <w:t xml:space="preserve"> </w:t>
      </w:r>
      <w:r>
        <w:rPr>
          <w:color w:val="1D1D1D"/>
          <w:sz w:val="19"/>
        </w:rPr>
        <w:t>from</w:t>
      </w:r>
      <w:r>
        <w:rPr>
          <w:color w:val="1D1D1D"/>
          <w:spacing w:val="-32"/>
          <w:sz w:val="19"/>
        </w:rPr>
        <w:t xml:space="preserve"> </w:t>
      </w:r>
      <w:r>
        <w:rPr>
          <w:color w:val="212121"/>
          <w:sz w:val="19"/>
        </w:rPr>
        <w:t>the</w:t>
      </w:r>
      <w:r>
        <w:rPr>
          <w:color w:val="212121"/>
          <w:spacing w:val="-31"/>
          <w:sz w:val="19"/>
        </w:rPr>
        <w:t xml:space="preserve"> </w:t>
      </w:r>
      <w:r>
        <w:rPr>
          <w:color w:val="262626"/>
          <w:sz w:val="19"/>
        </w:rPr>
        <w:t>fees</w:t>
      </w:r>
      <w:r>
        <w:rPr>
          <w:color w:val="262626"/>
          <w:spacing w:val="-28"/>
          <w:sz w:val="19"/>
        </w:rPr>
        <w:t xml:space="preserve"> </w:t>
      </w:r>
      <w:r>
        <w:rPr>
          <w:color w:val="2A2A2A"/>
          <w:sz w:val="19"/>
        </w:rPr>
        <w:t>was</w:t>
      </w:r>
      <w:r>
        <w:rPr>
          <w:color w:val="2A2A2A"/>
          <w:spacing w:val="-25"/>
          <w:sz w:val="19"/>
        </w:rPr>
        <w:t xml:space="preserve"> </w:t>
      </w:r>
      <w:r>
        <w:rPr>
          <w:color w:val="1A1A1A"/>
          <w:sz w:val="19"/>
        </w:rPr>
        <w:t>spent</w:t>
      </w:r>
      <w:r>
        <w:rPr>
          <w:color w:val="161616"/>
          <w:sz w:val="19"/>
        </w:rPr>
        <w:t xml:space="preserve"> strictly</w:t>
      </w:r>
      <w:r>
        <w:rPr>
          <w:color w:val="161616"/>
          <w:spacing w:val="-17"/>
          <w:sz w:val="19"/>
        </w:rPr>
        <w:t xml:space="preserve"> </w:t>
      </w:r>
      <w:r>
        <w:rPr>
          <w:color w:val="333333"/>
          <w:sz w:val="19"/>
        </w:rPr>
        <w:t>in</w:t>
      </w:r>
      <w:r>
        <w:rPr>
          <w:color w:val="333333"/>
          <w:spacing w:val="-17"/>
          <w:sz w:val="19"/>
        </w:rPr>
        <w:t xml:space="preserve"> </w:t>
      </w:r>
      <w:r>
        <w:rPr>
          <w:color w:val="232323"/>
          <w:sz w:val="19"/>
        </w:rPr>
        <w:t>accordance</w:t>
      </w:r>
      <w:r>
        <w:rPr>
          <w:color w:val="232323"/>
          <w:spacing w:val="-8"/>
          <w:sz w:val="19"/>
        </w:rPr>
        <w:t xml:space="preserve"> </w:t>
      </w:r>
      <w:r>
        <w:rPr>
          <w:color w:val="232323"/>
          <w:sz w:val="19"/>
        </w:rPr>
        <w:t>with</w:t>
      </w:r>
      <w:r>
        <w:rPr>
          <w:color w:val="232323"/>
          <w:spacing w:val="-19"/>
          <w:sz w:val="19"/>
        </w:rPr>
        <w:t xml:space="preserve"> </w:t>
      </w:r>
      <w:r>
        <w:rPr>
          <w:color w:val="1F1F1F"/>
          <w:sz w:val="19"/>
        </w:rPr>
        <w:t>the</w:t>
      </w:r>
      <w:r>
        <w:rPr>
          <w:color w:val="1F1F1F"/>
          <w:spacing w:val="-19"/>
          <w:sz w:val="19"/>
        </w:rPr>
        <w:t xml:space="preserve"> </w:t>
      </w:r>
      <w:r>
        <w:rPr>
          <w:color w:val="1F1F1F"/>
          <w:sz w:val="19"/>
        </w:rPr>
        <w:t>Act</w:t>
      </w:r>
      <w:r>
        <w:rPr>
          <w:color w:val="1F1F1F"/>
          <w:spacing w:val="-19"/>
          <w:sz w:val="19"/>
        </w:rPr>
        <w:t xml:space="preserve"> </w:t>
      </w:r>
      <w:r>
        <w:rPr>
          <w:color w:val="181818"/>
          <w:sz w:val="19"/>
        </w:rPr>
        <w:t>and</w:t>
      </w:r>
      <w:r>
        <w:rPr>
          <w:color w:val="181818"/>
          <w:spacing w:val="-20"/>
          <w:sz w:val="19"/>
        </w:rPr>
        <w:t xml:space="preserve"> </w:t>
      </w:r>
      <w:r>
        <w:rPr>
          <w:color w:val="1A1A1A"/>
          <w:sz w:val="19"/>
        </w:rPr>
        <w:t>only</w:t>
      </w:r>
      <w:r>
        <w:rPr>
          <w:color w:val="1A1A1A"/>
          <w:spacing w:val="-17"/>
          <w:sz w:val="19"/>
        </w:rPr>
        <w:t xml:space="preserve"> </w:t>
      </w:r>
      <w:r>
        <w:rPr>
          <w:color w:val="1C1C1C"/>
          <w:sz w:val="19"/>
        </w:rPr>
        <w:t>on</w:t>
      </w:r>
      <w:r>
        <w:rPr>
          <w:color w:val="1C1C1C"/>
          <w:spacing w:val="-18"/>
          <w:sz w:val="19"/>
        </w:rPr>
        <w:t xml:space="preserve"> </w:t>
      </w:r>
      <w:r>
        <w:rPr>
          <w:color w:val="181818"/>
          <w:sz w:val="19"/>
        </w:rPr>
        <w:t>services</w:t>
      </w:r>
      <w:r>
        <w:rPr>
          <w:color w:val="181818"/>
          <w:spacing w:val="-11"/>
          <w:sz w:val="19"/>
        </w:rPr>
        <w:t xml:space="preserve"> </w:t>
      </w:r>
      <w:r>
        <w:rPr>
          <w:color w:val="262626"/>
          <w:sz w:val="19"/>
        </w:rPr>
        <w:t>and</w:t>
      </w:r>
      <w:r>
        <w:rPr>
          <w:color w:val="262626"/>
          <w:spacing w:val="-23"/>
          <w:sz w:val="19"/>
        </w:rPr>
        <w:t xml:space="preserve"> </w:t>
      </w:r>
      <w:r>
        <w:rPr>
          <w:color w:val="1A1A1A"/>
          <w:sz w:val="19"/>
        </w:rPr>
        <w:t>amenities</w:t>
      </w:r>
      <w:r>
        <w:rPr>
          <w:color w:val="1A1A1A"/>
          <w:spacing w:val="-11"/>
          <w:sz w:val="19"/>
        </w:rPr>
        <w:t xml:space="preserve"> </w:t>
      </w:r>
      <w:r>
        <w:rPr>
          <w:color w:val="181818"/>
          <w:sz w:val="19"/>
        </w:rPr>
        <w:t>specified</w:t>
      </w:r>
      <w:r>
        <w:rPr>
          <w:color w:val="181818"/>
          <w:spacing w:val="-15"/>
          <w:sz w:val="19"/>
        </w:rPr>
        <w:t xml:space="preserve"> </w:t>
      </w:r>
      <w:r>
        <w:rPr>
          <w:color w:val="232323"/>
          <w:sz w:val="19"/>
        </w:rPr>
        <w:t>in</w:t>
      </w:r>
      <w:r>
        <w:rPr>
          <w:color w:val="232323"/>
          <w:spacing w:val="-20"/>
          <w:sz w:val="19"/>
        </w:rPr>
        <w:t xml:space="preserve"> </w:t>
      </w:r>
      <w:r>
        <w:rPr>
          <w:color w:val="1C1C1C"/>
          <w:sz w:val="19"/>
        </w:rPr>
        <w:t>subsection</w:t>
      </w:r>
      <w:r>
        <w:rPr>
          <w:color w:val="1C1C1C"/>
          <w:spacing w:val="-17"/>
          <w:sz w:val="19"/>
        </w:rPr>
        <w:t xml:space="preserve"> </w:t>
      </w:r>
      <w:r>
        <w:rPr>
          <w:color w:val="212121"/>
          <w:sz w:val="19"/>
        </w:rPr>
        <w:t>19-38(4)</w:t>
      </w:r>
      <w:r>
        <w:rPr>
          <w:color w:val="212121"/>
          <w:spacing w:val="-12"/>
          <w:sz w:val="19"/>
        </w:rPr>
        <w:t xml:space="preserve"> </w:t>
      </w:r>
      <w:r>
        <w:rPr>
          <w:color w:val="2D2D2D"/>
          <w:sz w:val="19"/>
        </w:rPr>
        <w:t>of</w:t>
      </w:r>
      <w:r>
        <w:rPr>
          <w:color w:val="2D2D2D"/>
          <w:spacing w:val="-23"/>
          <w:sz w:val="19"/>
        </w:rPr>
        <w:t xml:space="preserve"> </w:t>
      </w:r>
      <w:r>
        <w:rPr>
          <w:color w:val="151515"/>
          <w:sz w:val="19"/>
        </w:rPr>
        <w:t>the</w:t>
      </w:r>
      <w:r>
        <w:rPr>
          <w:color w:val="151515"/>
          <w:spacing w:val="-18"/>
          <w:sz w:val="19"/>
        </w:rPr>
        <w:t xml:space="preserve"> </w:t>
      </w:r>
      <w:r>
        <w:rPr>
          <w:color w:val="262626"/>
          <w:sz w:val="19"/>
        </w:rPr>
        <w:t>Act.</w:t>
      </w:r>
    </w:p>
    <w:p w14:paraId="7460F574" w14:textId="77777777" w:rsidR="00FA4AA8" w:rsidRDefault="00FA4AA8">
      <w:pPr>
        <w:pStyle w:val="BodyText"/>
        <w:spacing w:before="4"/>
        <w:rPr>
          <w:sz w:val="25"/>
        </w:rPr>
      </w:pPr>
    </w:p>
    <w:p w14:paraId="46B56956" w14:textId="77777777" w:rsidR="00FA4AA8" w:rsidRDefault="0015611F">
      <w:pPr>
        <w:spacing w:line="225" w:lineRule="auto"/>
        <w:ind w:left="117"/>
        <w:rPr>
          <w:sz w:val="19"/>
        </w:rPr>
      </w:pPr>
      <w:r>
        <w:rPr>
          <w:color w:val="2A2A2A"/>
          <w:sz w:val="19"/>
        </w:rPr>
        <w:t>(f}</w:t>
      </w:r>
      <w:r>
        <w:rPr>
          <w:color w:val="2A2A2A"/>
          <w:spacing w:val="-22"/>
          <w:sz w:val="19"/>
        </w:rPr>
        <w:t xml:space="preserve"> </w:t>
      </w:r>
      <w:r>
        <w:rPr>
          <w:color w:val="282828"/>
          <w:sz w:val="19"/>
        </w:rPr>
        <w:t>We</w:t>
      </w:r>
      <w:r>
        <w:rPr>
          <w:color w:val="282828"/>
          <w:spacing w:val="-27"/>
          <w:sz w:val="19"/>
        </w:rPr>
        <w:t xml:space="preserve"> </w:t>
      </w:r>
      <w:r>
        <w:rPr>
          <w:color w:val="0C0C0C"/>
          <w:sz w:val="19"/>
        </w:rPr>
        <w:t>are</w:t>
      </w:r>
      <w:r>
        <w:rPr>
          <w:color w:val="0C0C0C"/>
          <w:spacing w:val="-27"/>
          <w:sz w:val="19"/>
        </w:rPr>
        <w:t xml:space="preserve"> </w:t>
      </w:r>
      <w:r>
        <w:rPr>
          <w:color w:val="262626"/>
          <w:sz w:val="19"/>
        </w:rPr>
        <w:t>not</w:t>
      </w:r>
      <w:r>
        <w:rPr>
          <w:color w:val="262626"/>
          <w:spacing w:val="-21"/>
          <w:sz w:val="19"/>
        </w:rPr>
        <w:t xml:space="preserve"> </w:t>
      </w:r>
      <w:r>
        <w:rPr>
          <w:color w:val="1A1A1A"/>
          <w:sz w:val="19"/>
        </w:rPr>
        <w:t>aware</w:t>
      </w:r>
      <w:r>
        <w:rPr>
          <w:color w:val="1A1A1A"/>
          <w:spacing w:val="-25"/>
          <w:sz w:val="19"/>
        </w:rPr>
        <w:t xml:space="preserve"> </w:t>
      </w:r>
      <w:r>
        <w:rPr>
          <w:color w:val="2F2F2F"/>
          <w:sz w:val="19"/>
        </w:rPr>
        <w:t>of</w:t>
      </w:r>
      <w:r>
        <w:rPr>
          <w:color w:val="2F2F2F"/>
          <w:spacing w:val="-29"/>
          <w:sz w:val="19"/>
        </w:rPr>
        <w:t xml:space="preserve"> </w:t>
      </w:r>
      <w:r>
        <w:rPr>
          <w:color w:val="232323"/>
          <w:sz w:val="19"/>
        </w:rPr>
        <w:t>any</w:t>
      </w:r>
      <w:r>
        <w:rPr>
          <w:color w:val="232323"/>
          <w:spacing w:val="-23"/>
          <w:sz w:val="19"/>
        </w:rPr>
        <w:t xml:space="preserve"> </w:t>
      </w:r>
      <w:r>
        <w:rPr>
          <w:sz w:val="19"/>
        </w:rPr>
        <w:t>circumstances</w:t>
      </w:r>
      <w:r>
        <w:rPr>
          <w:spacing w:val="-19"/>
          <w:sz w:val="19"/>
        </w:rPr>
        <w:t xml:space="preserve"> </w:t>
      </w:r>
      <w:r>
        <w:rPr>
          <w:color w:val="161616"/>
          <w:sz w:val="19"/>
        </w:rPr>
        <w:t>which</w:t>
      </w:r>
      <w:r>
        <w:rPr>
          <w:color w:val="161616"/>
          <w:spacing w:val="-27"/>
          <w:sz w:val="19"/>
        </w:rPr>
        <w:t xml:space="preserve"> </w:t>
      </w:r>
      <w:r>
        <w:rPr>
          <w:color w:val="161616"/>
          <w:sz w:val="19"/>
        </w:rPr>
        <w:t>would</w:t>
      </w:r>
      <w:r>
        <w:rPr>
          <w:color w:val="161616"/>
          <w:spacing w:val="-26"/>
          <w:sz w:val="19"/>
        </w:rPr>
        <w:t xml:space="preserve"> </w:t>
      </w:r>
      <w:r>
        <w:rPr>
          <w:color w:val="1A1A1A"/>
          <w:sz w:val="19"/>
        </w:rPr>
        <w:t>render</w:t>
      </w:r>
      <w:r>
        <w:rPr>
          <w:color w:val="1A1A1A"/>
          <w:spacing w:val="-22"/>
          <w:sz w:val="19"/>
        </w:rPr>
        <w:t xml:space="preserve"> </w:t>
      </w:r>
      <w:r>
        <w:rPr>
          <w:color w:val="2A2A2A"/>
          <w:sz w:val="19"/>
        </w:rPr>
        <w:t>any</w:t>
      </w:r>
      <w:r>
        <w:rPr>
          <w:color w:val="2A2A2A"/>
          <w:spacing w:val="-21"/>
          <w:sz w:val="19"/>
        </w:rPr>
        <w:t xml:space="preserve"> </w:t>
      </w:r>
      <w:r>
        <w:rPr>
          <w:color w:val="181818"/>
          <w:sz w:val="19"/>
        </w:rPr>
        <w:t>particulars</w:t>
      </w:r>
      <w:r>
        <w:rPr>
          <w:color w:val="181818"/>
          <w:spacing w:val="-24"/>
          <w:sz w:val="19"/>
        </w:rPr>
        <w:t xml:space="preserve"> </w:t>
      </w:r>
      <w:r>
        <w:rPr>
          <w:color w:val="131313"/>
          <w:sz w:val="19"/>
        </w:rPr>
        <w:t>included</w:t>
      </w:r>
      <w:r>
        <w:rPr>
          <w:color w:val="131313"/>
          <w:spacing w:val="-25"/>
          <w:sz w:val="19"/>
        </w:rPr>
        <w:t xml:space="preserve"> </w:t>
      </w:r>
      <w:r>
        <w:rPr>
          <w:color w:val="2D2D2D"/>
          <w:sz w:val="19"/>
        </w:rPr>
        <w:t>in</w:t>
      </w:r>
      <w:r>
        <w:rPr>
          <w:color w:val="2D2D2D"/>
          <w:spacing w:val="-31"/>
          <w:sz w:val="19"/>
        </w:rPr>
        <w:t xml:space="preserve"> </w:t>
      </w:r>
      <w:r>
        <w:rPr>
          <w:color w:val="212121"/>
          <w:sz w:val="19"/>
        </w:rPr>
        <w:t>the</w:t>
      </w:r>
      <w:r>
        <w:rPr>
          <w:color w:val="212121"/>
          <w:spacing w:val="-27"/>
          <w:sz w:val="19"/>
        </w:rPr>
        <w:t xml:space="preserve"> </w:t>
      </w:r>
      <w:r>
        <w:rPr>
          <w:color w:val="1F1F1F"/>
          <w:sz w:val="19"/>
        </w:rPr>
        <w:t>financial</w:t>
      </w:r>
      <w:r>
        <w:rPr>
          <w:color w:val="1F1F1F"/>
          <w:spacing w:val="-23"/>
          <w:sz w:val="19"/>
        </w:rPr>
        <w:t xml:space="preserve"> </w:t>
      </w:r>
      <w:r>
        <w:rPr>
          <w:sz w:val="19"/>
        </w:rPr>
        <w:t>statements</w:t>
      </w:r>
      <w:r>
        <w:rPr>
          <w:spacing w:val="-16"/>
          <w:sz w:val="19"/>
        </w:rPr>
        <w:t xml:space="preserve"> </w:t>
      </w:r>
      <w:r>
        <w:rPr>
          <w:color w:val="2D2D2D"/>
          <w:sz w:val="19"/>
        </w:rPr>
        <w:t>to</w:t>
      </w:r>
      <w:r>
        <w:rPr>
          <w:color w:val="2D2D2D"/>
          <w:spacing w:val="-25"/>
          <w:sz w:val="19"/>
        </w:rPr>
        <w:t xml:space="preserve"> </w:t>
      </w:r>
      <w:r>
        <w:rPr>
          <w:color w:val="282828"/>
          <w:sz w:val="19"/>
        </w:rPr>
        <w:t xml:space="preserve">be </w:t>
      </w:r>
      <w:r>
        <w:rPr>
          <w:color w:val="151515"/>
          <w:sz w:val="19"/>
        </w:rPr>
        <w:t xml:space="preserve">misleading </w:t>
      </w:r>
      <w:r>
        <w:rPr>
          <w:color w:val="131313"/>
          <w:sz w:val="19"/>
        </w:rPr>
        <w:t>or</w:t>
      </w:r>
      <w:r>
        <w:rPr>
          <w:color w:val="131313"/>
          <w:spacing w:val="11"/>
          <w:sz w:val="19"/>
        </w:rPr>
        <w:t xml:space="preserve"> </w:t>
      </w:r>
      <w:r>
        <w:rPr>
          <w:sz w:val="19"/>
        </w:rPr>
        <w:t>inaccurate.</w:t>
      </w:r>
    </w:p>
    <w:p w14:paraId="3896EE5F" w14:textId="77777777" w:rsidR="00FA4AA8" w:rsidRDefault="007E2441">
      <w:pPr>
        <w:pStyle w:val="BodyText"/>
        <w:spacing w:before="3"/>
        <w:rPr>
          <w:sz w:val="22"/>
        </w:rPr>
      </w:pPr>
      <w:r>
        <w:rPr>
          <w:noProof/>
          <w:lang w:val="en-AU" w:eastAsia="en-AU"/>
        </w:rPr>
        <mc:AlternateContent>
          <mc:Choice Requires="wpg">
            <w:drawing>
              <wp:anchor distT="0" distB="0" distL="0" distR="0" simplePos="0" relativeHeight="487588864" behindDoc="1" locked="0" layoutInCell="1" allowOverlap="1" wp14:anchorId="088613DA" wp14:editId="1AB43557">
                <wp:simplePos x="0" y="0"/>
                <wp:positionH relativeFrom="page">
                  <wp:posOffset>608330</wp:posOffset>
                </wp:positionH>
                <wp:positionV relativeFrom="paragraph">
                  <wp:posOffset>187325</wp:posOffset>
                </wp:positionV>
                <wp:extent cx="4236720" cy="886460"/>
                <wp:effectExtent l="0" t="0" r="0" b="0"/>
                <wp:wrapTopAndBottom/>
                <wp:docPr id="3689" name="Group 3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6720" cy="886460"/>
                          <a:chOff x="958" y="295"/>
                          <a:chExt cx="9813" cy="2054"/>
                        </a:xfrm>
                      </wpg:grpSpPr>
                      <pic:pic xmlns:pic="http://schemas.openxmlformats.org/drawingml/2006/picture">
                        <pic:nvPicPr>
                          <pic:cNvPr id="3690" name="Picture 345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012" y="371"/>
                            <a:ext cx="9591" cy="1978"/>
                          </a:xfrm>
                          <a:prstGeom prst="rect">
                            <a:avLst/>
                          </a:prstGeom>
                          <a:noFill/>
                          <a:extLst>
                            <a:ext uri="{909E8E84-426E-40DD-AFC4-6F175D3DCCD1}">
                              <a14:hiddenFill xmlns:a14="http://schemas.microsoft.com/office/drawing/2010/main">
                                <a:solidFill>
                                  <a:srgbClr val="FFFFFF"/>
                                </a:solidFill>
                              </a14:hiddenFill>
                            </a:ext>
                          </a:extLst>
                        </pic:spPr>
                      </pic:pic>
                      <wps:wsp>
                        <wps:cNvPr id="3691" name="Text Box 3456"/>
                        <wps:cNvSpPr txBox="1">
                          <a:spLocks noChangeArrowheads="1"/>
                        </wps:cNvSpPr>
                        <wps:spPr bwMode="auto">
                          <a:xfrm>
                            <a:off x="958" y="295"/>
                            <a:ext cx="9813" cy="2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BFCC1" w14:textId="77777777" w:rsidR="001F3ACE" w:rsidRDefault="001F3ACE">
                              <w:pPr>
                                <w:spacing w:before="8" w:line="220" w:lineRule="auto"/>
                                <w:ind w:hanging="1"/>
                                <w:rPr>
                                  <w:sz w:val="19"/>
                                </w:rPr>
                              </w:pPr>
                              <w:r>
                                <w:rPr>
                                  <w:color w:val="161616"/>
                                  <w:sz w:val="19"/>
                                </w:rPr>
                                <w:t>(g)</w:t>
                              </w:r>
                              <w:r>
                                <w:rPr>
                                  <w:color w:val="161616"/>
                                  <w:spacing w:val="-22"/>
                                  <w:sz w:val="19"/>
                                </w:rPr>
                                <w:t xml:space="preserve"> </w:t>
                              </w:r>
                              <w:r>
                                <w:rPr>
                                  <w:color w:val="212121"/>
                                  <w:sz w:val="19"/>
                                </w:rPr>
                                <w:t>There</w:t>
                              </w:r>
                              <w:r>
                                <w:rPr>
                                  <w:color w:val="212121"/>
                                  <w:spacing w:val="-17"/>
                                  <w:sz w:val="19"/>
                                </w:rPr>
                                <w:t xml:space="preserve"> </w:t>
                              </w:r>
                              <w:r>
                                <w:rPr>
                                  <w:color w:val="1A1A1A"/>
                                  <w:sz w:val="19"/>
                                </w:rPr>
                                <w:t>are</w:t>
                              </w:r>
                              <w:r>
                                <w:rPr>
                                  <w:color w:val="1A1A1A"/>
                                  <w:spacing w:val="-21"/>
                                  <w:sz w:val="19"/>
                                </w:rPr>
                                <w:t xml:space="preserve"> </w:t>
                              </w:r>
                              <w:r>
                                <w:rPr>
                                  <w:color w:val="0F0F0F"/>
                                  <w:sz w:val="19"/>
                                </w:rPr>
                                <w:t>reasonable</w:t>
                              </w:r>
                              <w:r>
                                <w:rPr>
                                  <w:color w:val="0F0F0F"/>
                                  <w:spacing w:val="-20"/>
                                  <w:sz w:val="19"/>
                                </w:rPr>
                                <w:t xml:space="preserve"> </w:t>
                              </w:r>
                              <w:r>
                                <w:rPr>
                                  <w:color w:val="131313"/>
                                  <w:sz w:val="19"/>
                                </w:rPr>
                                <w:t>grounds</w:t>
                              </w:r>
                              <w:r>
                                <w:rPr>
                                  <w:color w:val="131313"/>
                                  <w:spacing w:val="-20"/>
                                  <w:sz w:val="19"/>
                                </w:rPr>
                                <w:t xml:space="preserve"> </w:t>
                              </w:r>
                              <w:r>
                                <w:rPr>
                                  <w:sz w:val="19"/>
                                </w:rPr>
                                <w:t>to</w:t>
                              </w:r>
                              <w:r>
                                <w:rPr>
                                  <w:spacing w:val="-21"/>
                                  <w:sz w:val="19"/>
                                </w:rPr>
                                <w:t xml:space="preserve"> </w:t>
                              </w:r>
                              <w:r>
                                <w:rPr>
                                  <w:color w:val="151515"/>
                                  <w:sz w:val="19"/>
                                </w:rPr>
                                <w:t>believe</w:t>
                              </w:r>
                              <w:r>
                                <w:rPr>
                                  <w:color w:val="151515"/>
                                  <w:spacing w:val="-21"/>
                                  <w:sz w:val="19"/>
                                </w:rPr>
                                <w:t xml:space="preserve"> </w:t>
                              </w:r>
                              <w:r>
                                <w:rPr>
                                  <w:color w:val="181818"/>
                                  <w:sz w:val="19"/>
                                </w:rPr>
                                <w:t>that</w:t>
                              </w:r>
                              <w:r>
                                <w:rPr>
                                  <w:color w:val="181818"/>
                                  <w:spacing w:val="-19"/>
                                  <w:sz w:val="19"/>
                                </w:rPr>
                                <w:t xml:space="preserve"> </w:t>
                              </w:r>
                              <w:r>
                                <w:rPr>
                                  <w:sz w:val="19"/>
                                </w:rPr>
                                <w:t>Western</w:t>
                              </w:r>
                              <w:r>
                                <w:rPr>
                                  <w:spacing w:val="-15"/>
                                  <w:sz w:val="19"/>
                                </w:rPr>
                                <w:t xml:space="preserve"> </w:t>
                              </w:r>
                              <w:r>
                                <w:rPr>
                                  <w:color w:val="0F0F0F"/>
                                  <w:sz w:val="19"/>
                                </w:rPr>
                                <w:t>Sydney</w:t>
                              </w:r>
                              <w:r>
                                <w:rPr>
                                  <w:color w:val="0F0F0F"/>
                                  <w:spacing w:val="-15"/>
                                  <w:sz w:val="19"/>
                                </w:rPr>
                                <w:t xml:space="preserve"> </w:t>
                              </w:r>
                              <w:r>
                                <w:rPr>
                                  <w:color w:val="313131"/>
                                  <w:sz w:val="19"/>
                                </w:rPr>
                                <w:t>Univ</w:t>
                              </w:r>
                              <w:r>
                                <w:rPr>
                                  <w:color w:val="1F1F1F"/>
                                  <w:sz w:val="19"/>
                                </w:rPr>
                                <w:t>ersity</w:t>
                              </w:r>
                              <w:r>
                                <w:rPr>
                                  <w:color w:val="1F1F1F"/>
                                  <w:spacing w:val="-20"/>
                                  <w:sz w:val="19"/>
                                </w:rPr>
                                <w:t xml:space="preserve"> </w:t>
                              </w:r>
                              <w:r>
                                <w:rPr>
                                  <w:color w:val="161616"/>
                                  <w:sz w:val="19"/>
                                </w:rPr>
                                <w:t>will</w:t>
                              </w:r>
                              <w:r>
                                <w:rPr>
                                  <w:color w:val="161616"/>
                                  <w:spacing w:val="-24"/>
                                  <w:sz w:val="19"/>
                                </w:rPr>
                                <w:t xml:space="preserve"> </w:t>
                              </w:r>
                              <w:r>
                                <w:rPr>
                                  <w:color w:val="2F2F2F"/>
                                  <w:sz w:val="19"/>
                                </w:rPr>
                                <w:t>be</w:t>
                              </w:r>
                              <w:r>
                                <w:rPr>
                                  <w:color w:val="2F2F2F"/>
                                  <w:spacing w:val="-21"/>
                                  <w:sz w:val="19"/>
                                </w:rPr>
                                <w:t xml:space="preserve"> </w:t>
                              </w:r>
                              <w:r>
                                <w:rPr>
                                  <w:color w:val="151515"/>
                                  <w:sz w:val="19"/>
                                </w:rPr>
                                <w:t>able</w:t>
                              </w:r>
                              <w:r>
                                <w:rPr>
                                  <w:color w:val="151515"/>
                                  <w:spacing w:val="-22"/>
                                  <w:sz w:val="19"/>
                                </w:rPr>
                                <w:t xml:space="preserve"> </w:t>
                              </w:r>
                              <w:r>
                                <w:rPr>
                                  <w:color w:val="131313"/>
                                  <w:sz w:val="19"/>
                                </w:rPr>
                                <w:t>to</w:t>
                              </w:r>
                              <w:r>
                                <w:rPr>
                                  <w:color w:val="131313"/>
                                  <w:spacing w:val="-27"/>
                                  <w:sz w:val="19"/>
                                </w:rPr>
                                <w:t xml:space="preserve"> </w:t>
                              </w:r>
                              <w:r>
                                <w:rPr>
                                  <w:color w:val="1C1C1C"/>
                                  <w:sz w:val="19"/>
                                </w:rPr>
                                <w:t>pay</w:t>
                              </w:r>
                              <w:r>
                                <w:rPr>
                                  <w:color w:val="1C1C1C"/>
                                  <w:spacing w:val="-23"/>
                                  <w:sz w:val="19"/>
                                </w:rPr>
                                <w:t xml:space="preserve"> </w:t>
                              </w:r>
                              <w:r>
                                <w:rPr>
                                  <w:color w:val="2D2D2D"/>
                                  <w:sz w:val="19"/>
                                </w:rPr>
                                <w:t>its</w:t>
                              </w:r>
                              <w:r>
                                <w:rPr>
                                  <w:color w:val="2D2D2D"/>
                                  <w:spacing w:val="-24"/>
                                  <w:sz w:val="19"/>
                                </w:rPr>
                                <w:t xml:space="preserve"> </w:t>
                              </w:r>
                              <w:r>
                                <w:rPr>
                                  <w:color w:val="1A1A1A"/>
                                  <w:sz w:val="19"/>
                                </w:rPr>
                                <w:t>debts</w:t>
                              </w:r>
                              <w:r>
                                <w:rPr>
                                  <w:color w:val="1A1A1A"/>
                                  <w:spacing w:val="-21"/>
                                  <w:sz w:val="19"/>
                                </w:rPr>
                                <w:t xml:space="preserve"> </w:t>
                              </w:r>
                              <w:r>
                                <w:rPr>
                                  <w:color w:val="212121"/>
                                  <w:sz w:val="19"/>
                                </w:rPr>
                                <w:t>as</w:t>
                              </w:r>
                              <w:r>
                                <w:rPr>
                                  <w:color w:val="212121"/>
                                  <w:spacing w:val="-24"/>
                                  <w:sz w:val="19"/>
                                </w:rPr>
                                <w:t xml:space="preserve"> </w:t>
                              </w:r>
                              <w:r>
                                <w:rPr>
                                  <w:color w:val="131313"/>
                                  <w:sz w:val="19"/>
                                </w:rPr>
                                <w:t>and</w:t>
                              </w:r>
                              <w:r>
                                <w:rPr>
                                  <w:color w:val="131313"/>
                                  <w:spacing w:val="-23"/>
                                  <w:sz w:val="19"/>
                                </w:rPr>
                                <w:t xml:space="preserve"> </w:t>
                              </w:r>
                              <w:r>
                                <w:rPr>
                                  <w:color w:val="1A1A1A"/>
                                  <w:sz w:val="19"/>
                                </w:rPr>
                                <w:t>when</w:t>
                              </w:r>
                              <w:r>
                                <w:rPr>
                                  <w:color w:val="1A1A1A"/>
                                  <w:spacing w:val="-19"/>
                                  <w:sz w:val="19"/>
                                </w:rPr>
                                <w:t xml:space="preserve"> </w:t>
                              </w:r>
                              <w:r>
                                <w:rPr>
                                  <w:color w:val="242424"/>
                                  <w:sz w:val="19"/>
                                </w:rPr>
                                <w:t>they</w:t>
                              </w:r>
                              <w:r>
                                <w:rPr>
                                  <w:color w:val="161616"/>
                                  <w:sz w:val="19"/>
                                </w:rPr>
                                <w:t xml:space="preserve"> fall</w:t>
                              </w:r>
                              <w:r>
                                <w:rPr>
                                  <w:color w:val="161616"/>
                                  <w:spacing w:val="-6"/>
                                  <w:sz w:val="19"/>
                                </w:rPr>
                                <w:t xml:space="preserve"> </w:t>
                              </w:r>
                              <w:r>
                                <w:rPr>
                                  <w:color w:val="232323"/>
                                  <w:sz w:val="19"/>
                                </w:rPr>
                                <w:t>due.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8613DA" id="Group 3455" o:spid="_x0000_s1026" style="position:absolute;margin-left:47.9pt;margin-top:14.75pt;width:333.6pt;height:69.8pt;z-index:-15727616;mso-wrap-distance-left:0;mso-wrap-distance-right:0;mso-position-horizontal-relative:page" coordorigin="958,295" coordsize="9813,2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57" o:spid="_x0000_s1027" type="#_x0000_t75" style="position:absolute;left:1012;top:371;width:9591;height:1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">
                  <v:imagedata r:id="rId15" o:title=""/>
                </v:shape>
                <v:shapetype id="_x0000_t202" coordsize="21600,21600" o:spt="202" path="m,l,21600r21600,l21600,xe">
                  <v:stroke joinstyle="miter"/>
                  <v:path gradientshapeok="t" o:connecttype="rect"/>
                </v:shapetype>
                <v:shape id="Text Box 3456" o:spid="_x0000_s1028" type="#_x0000_t202" style="position:absolute;left:958;top:295;width:9813;height:2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" filled="f" stroked="f">
                  <v:textbox inset="0,0,0,0">
                    <w:txbxContent>
                      <w:p w14:paraId="20DBFCC1" w14:textId="77777777" w:rsidR="001F3ACE" w:rsidRDefault="001F3ACE">
                        <w:pPr>
                          <w:spacing w:before="8" w:line="220" w:lineRule="auto"/>
                          <w:ind w:hanging="1"/>
                          <w:rPr>
                            <w:sz w:val="19"/>
                          </w:rPr>
                        </w:pPr>
                        <w:r>
                          <w:rPr>
                            <w:color w:val="161616"/>
                            <w:sz w:val="19"/>
                          </w:rPr>
                          <w:t>(g)</w:t>
                        </w:r>
                        <w:r>
                          <w:rPr>
                            <w:color w:val="161616"/>
                            <w:spacing w:val="-22"/>
                            <w:sz w:val="19"/>
                          </w:rPr>
                          <w:t xml:space="preserve"> </w:t>
                        </w:r>
                        <w:r>
                          <w:rPr>
                            <w:color w:val="212121"/>
                            <w:sz w:val="19"/>
                          </w:rPr>
                          <w:t>There</w:t>
                        </w:r>
                        <w:r>
                          <w:rPr>
                            <w:color w:val="212121"/>
                            <w:spacing w:val="-17"/>
                            <w:sz w:val="19"/>
                          </w:rPr>
                          <w:t xml:space="preserve"> </w:t>
                        </w:r>
                        <w:r>
                          <w:rPr>
                            <w:color w:val="1A1A1A"/>
                            <w:sz w:val="19"/>
                          </w:rPr>
                          <w:t>are</w:t>
                        </w:r>
                        <w:r>
                          <w:rPr>
                            <w:color w:val="1A1A1A"/>
                            <w:spacing w:val="-21"/>
                            <w:sz w:val="19"/>
                          </w:rPr>
                          <w:t xml:space="preserve"> </w:t>
                        </w:r>
                        <w:r>
                          <w:rPr>
                            <w:color w:val="0F0F0F"/>
                            <w:sz w:val="19"/>
                          </w:rPr>
                          <w:t>reasonable</w:t>
                        </w:r>
                        <w:r>
                          <w:rPr>
                            <w:color w:val="0F0F0F"/>
                            <w:spacing w:val="-20"/>
                            <w:sz w:val="19"/>
                          </w:rPr>
                          <w:t xml:space="preserve"> </w:t>
                        </w:r>
                        <w:r>
                          <w:rPr>
                            <w:color w:val="131313"/>
                            <w:sz w:val="19"/>
                          </w:rPr>
                          <w:t>grounds</w:t>
                        </w:r>
                        <w:r>
                          <w:rPr>
                            <w:color w:val="131313"/>
                            <w:spacing w:val="-20"/>
                            <w:sz w:val="19"/>
                          </w:rPr>
                          <w:t xml:space="preserve"> </w:t>
                        </w:r>
                        <w:r>
                          <w:rPr>
                            <w:sz w:val="19"/>
                          </w:rPr>
                          <w:t>to</w:t>
                        </w:r>
                        <w:r>
                          <w:rPr>
                            <w:spacing w:val="-21"/>
                            <w:sz w:val="19"/>
                          </w:rPr>
                          <w:t xml:space="preserve"> </w:t>
                        </w:r>
                        <w:r>
                          <w:rPr>
                            <w:color w:val="151515"/>
                            <w:sz w:val="19"/>
                          </w:rPr>
                          <w:t>believe</w:t>
                        </w:r>
                        <w:r>
                          <w:rPr>
                            <w:color w:val="151515"/>
                            <w:spacing w:val="-21"/>
                            <w:sz w:val="19"/>
                          </w:rPr>
                          <w:t xml:space="preserve"> </w:t>
                        </w:r>
                        <w:r>
                          <w:rPr>
                            <w:color w:val="181818"/>
                            <w:sz w:val="19"/>
                          </w:rPr>
                          <w:t>that</w:t>
                        </w:r>
                        <w:r>
                          <w:rPr>
                            <w:color w:val="181818"/>
                            <w:spacing w:val="-19"/>
                            <w:sz w:val="19"/>
                          </w:rPr>
                          <w:t xml:space="preserve"> </w:t>
                        </w:r>
                        <w:r>
                          <w:rPr>
                            <w:sz w:val="19"/>
                          </w:rPr>
                          <w:t>Western</w:t>
                        </w:r>
                        <w:r>
                          <w:rPr>
                            <w:spacing w:val="-15"/>
                            <w:sz w:val="19"/>
                          </w:rPr>
                          <w:t xml:space="preserve"> </w:t>
                        </w:r>
                        <w:r>
                          <w:rPr>
                            <w:color w:val="0F0F0F"/>
                            <w:sz w:val="19"/>
                          </w:rPr>
                          <w:t>Sydney</w:t>
                        </w:r>
                        <w:r>
                          <w:rPr>
                            <w:color w:val="0F0F0F"/>
                            <w:spacing w:val="-15"/>
                            <w:sz w:val="19"/>
                          </w:rPr>
                          <w:t xml:space="preserve"> </w:t>
                        </w:r>
                        <w:r>
                          <w:rPr>
                            <w:color w:val="313131"/>
                            <w:sz w:val="19"/>
                          </w:rPr>
                          <w:t>Univ</w:t>
                        </w:r>
                        <w:r>
                          <w:rPr>
                            <w:color w:val="1F1F1F"/>
                            <w:sz w:val="19"/>
                          </w:rPr>
                          <w:t>ersity</w:t>
                        </w:r>
                        <w:r>
                          <w:rPr>
                            <w:color w:val="1F1F1F"/>
                            <w:spacing w:val="-20"/>
                            <w:sz w:val="19"/>
                          </w:rPr>
                          <w:t xml:space="preserve"> </w:t>
                        </w:r>
                        <w:r>
                          <w:rPr>
                            <w:color w:val="161616"/>
                            <w:sz w:val="19"/>
                          </w:rPr>
                          <w:t>will</w:t>
                        </w:r>
                        <w:r>
                          <w:rPr>
                            <w:color w:val="161616"/>
                            <w:spacing w:val="-24"/>
                            <w:sz w:val="19"/>
                          </w:rPr>
                          <w:t xml:space="preserve"> </w:t>
                        </w:r>
                        <w:r>
                          <w:rPr>
                            <w:color w:val="2F2F2F"/>
                            <w:sz w:val="19"/>
                          </w:rPr>
                          <w:t>be</w:t>
                        </w:r>
                        <w:r>
                          <w:rPr>
                            <w:color w:val="2F2F2F"/>
                            <w:spacing w:val="-21"/>
                            <w:sz w:val="19"/>
                          </w:rPr>
                          <w:t xml:space="preserve"> </w:t>
                        </w:r>
                        <w:r>
                          <w:rPr>
                            <w:color w:val="151515"/>
                            <w:sz w:val="19"/>
                          </w:rPr>
                          <w:t>able</w:t>
                        </w:r>
                        <w:r>
                          <w:rPr>
                            <w:color w:val="151515"/>
                            <w:spacing w:val="-22"/>
                            <w:sz w:val="19"/>
                          </w:rPr>
                          <w:t xml:space="preserve"> </w:t>
                        </w:r>
                        <w:r>
                          <w:rPr>
                            <w:color w:val="131313"/>
                            <w:sz w:val="19"/>
                          </w:rPr>
                          <w:t>to</w:t>
                        </w:r>
                        <w:r>
                          <w:rPr>
                            <w:color w:val="131313"/>
                            <w:spacing w:val="-27"/>
                            <w:sz w:val="19"/>
                          </w:rPr>
                          <w:t xml:space="preserve"> </w:t>
                        </w:r>
                        <w:r>
                          <w:rPr>
                            <w:color w:val="1C1C1C"/>
                            <w:sz w:val="19"/>
                          </w:rPr>
                          <w:t>pay</w:t>
                        </w:r>
                        <w:r>
                          <w:rPr>
                            <w:color w:val="1C1C1C"/>
                            <w:spacing w:val="-23"/>
                            <w:sz w:val="19"/>
                          </w:rPr>
                          <w:t xml:space="preserve"> </w:t>
                        </w:r>
                        <w:r>
                          <w:rPr>
                            <w:color w:val="2D2D2D"/>
                            <w:sz w:val="19"/>
                          </w:rPr>
                          <w:t>its</w:t>
                        </w:r>
                        <w:r>
                          <w:rPr>
                            <w:color w:val="2D2D2D"/>
                            <w:spacing w:val="-24"/>
                            <w:sz w:val="19"/>
                          </w:rPr>
                          <w:t xml:space="preserve"> </w:t>
                        </w:r>
                        <w:r>
                          <w:rPr>
                            <w:color w:val="1A1A1A"/>
                            <w:sz w:val="19"/>
                          </w:rPr>
                          <w:t>debts</w:t>
                        </w:r>
                        <w:r>
                          <w:rPr>
                            <w:color w:val="1A1A1A"/>
                            <w:spacing w:val="-21"/>
                            <w:sz w:val="19"/>
                          </w:rPr>
                          <w:t xml:space="preserve"> </w:t>
                        </w:r>
                        <w:r>
                          <w:rPr>
                            <w:color w:val="212121"/>
                            <w:sz w:val="19"/>
                          </w:rPr>
                          <w:t>as</w:t>
                        </w:r>
                        <w:r>
                          <w:rPr>
                            <w:color w:val="212121"/>
                            <w:spacing w:val="-24"/>
                            <w:sz w:val="19"/>
                          </w:rPr>
                          <w:t xml:space="preserve"> </w:t>
                        </w:r>
                        <w:r>
                          <w:rPr>
                            <w:color w:val="131313"/>
                            <w:sz w:val="19"/>
                          </w:rPr>
                          <w:t>and</w:t>
                        </w:r>
                        <w:r>
                          <w:rPr>
                            <w:color w:val="131313"/>
                            <w:spacing w:val="-23"/>
                            <w:sz w:val="19"/>
                          </w:rPr>
                          <w:t xml:space="preserve"> </w:t>
                        </w:r>
                        <w:r>
                          <w:rPr>
                            <w:color w:val="1A1A1A"/>
                            <w:sz w:val="19"/>
                          </w:rPr>
                          <w:t>when</w:t>
                        </w:r>
                        <w:r>
                          <w:rPr>
                            <w:color w:val="1A1A1A"/>
                            <w:spacing w:val="-19"/>
                            <w:sz w:val="19"/>
                          </w:rPr>
                          <w:t xml:space="preserve"> </w:t>
                        </w:r>
                        <w:r>
                          <w:rPr>
                            <w:color w:val="242424"/>
                            <w:sz w:val="19"/>
                          </w:rPr>
                          <w:t>they</w:t>
                        </w:r>
                        <w:r>
                          <w:rPr>
                            <w:color w:val="161616"/>
                            <w:sz w:val="19"/>
                          </w:rPr>
                          <w:t xml:space="preserve"> fall</w:t>
                        </w:r>
                        <w:r>
                          <w:rPr>
                            <w:color w:val="161616"/>
                            <w:spacing w:val="-6"/>
                            <w:sz w:val="19"/>
                          </w:rPr>
                          <w:t xml:space="preserve"> </w:t>
                        </w:r>
                        <w:r>
                          <w:rPr>
                            <w:color w:val="232323"/>
                            <w:sz w:val="19"/>
                          </w:rPr>
                          <w:t>due.</w:t>
                        </w:r>
                      </w:p>
                    </w:txbxContent>
                  </v:textbox>
                </v:shape>
                <w10:wrap type="topAndBottom" anchorx="page"/>
              </v:group>
            </w:pict>
          </mc:Fallback>
        </mc:AlternateContent>
      </w:r>
    </w:p>
    <w:p w14:paraId="11437C18" w14:textId="77777777" w:rsidR="00FA4AA8" w:rsidRDefault="00FA4AA8">
      <w:pPr>
        <w:pStyle w:val="BodyText"/>
        <w:spacing w:before="1"/>
        <w:rPr>
          <w:sz w:val="6"/>
        </w:rPr>
      </w:pPr>
    </w:p>
    <w:p w14:paraId="64FC666E" w14:textId="77777777" w:rsidR="00FA4AA8" w:rsidRDefault="00FA4AA8">
      <w:pPr>
        <w:rPr>
          <w:sz w:val="6"/>
        </w:rPr>
        <w:sectPr w:rsidR="00FA4AA8">
          <w:headerReference w:type="default" r:id="rId16"/>
          <w:footerReference w:type="default" r:id="rId17"/>
          <w:pgSz w:w="11910" w:h="16850"/>
          <w:pgMar w:top="1400" w:right="940" w:bottom="720" w:left="840" w:header="914" w:footer="523" w:gutter="0"/>
          <w:pgNumType w:start="4"/>
          <w:cols w:space="720"/>
        </w:sectPr>
      </w:pPr>
    </w:p>
    <w:p w14:paraId="41F26F44" w14:textId="77777777" w:rsidR="00FA4AA8" w:rsidRDefault="0015611F">
      <w:pPr>
        <w:spacing w:before="30" w:line="542" w:lineRule="auto"/>
        <w:ind w:left="153" w:firstLine="4"/>
        <w:rPr>
          <w:sz w:val="19"/>
        </w:rPr>
      </w:pPr>
      <w:r>
        <w:rPr>
          <w:color w:val="1A1A1A"/>
          <w:w w:val="95"/>
          <w:sz w:val="19"/>
        </w:rPr>
        <w:t xml:space="preserve">Professor </w:t>
      </w:r>
      <w:r>
        <w:rPr>
          <w:color w:val="2F2F2F"/>
          <w:w w:val="95"/>
          <w:sz w:val="19"/>
        </w:rPr>
        <w:t xml:space="preserve">Peter </w:t>
      </w:r>
      <w:r>
        <w:rPr>
          <w:color w:val="111111"/>
          <w:w w:val="95"/>
          <w:sz w:val="19"/>
        </w:rPr>
        <w:t xml:space="preserve">Shergold, </w:t>
      </w:r>
      <w:r>
        <w:rPr>
          <w:color w:val="363636"/>
          <w:w w:val="95"/>
          <w:sz w:val="19"/>
        </w:rPr>
        <w:t xml:space="preserve">AC </w:t>
      </w:r>
      <w:r>
        <w:rPr>
          <w:color w:val="1C1C1C"/>
          <w:sz w:val="19"/>
        </w:rPr>
        <w:t>Chancellor</w:t>
      </w:r>
    </w:p>
    <w:p w14:paraId="0CA34D5C" w14:textId="77777777" w:rsidR="00FA4AA8" w:rsidRDefault="00FA4AA8">
      <w:pPr>
        <w:pStyle w:val="BodyText"/>
        <w:rPr>
          <w:sz w:val="20"/>
        </w:rPr>
      </w:pPr>
    </w:p>
    <w:p w14:paraId="6FDB8B1A" w14:textId="77777777" w:rsidR="00FA4AA8" w:rsidRDefault="00FA4AA8">
      <w:pPr>
        <w:pStyle w:val="BodyText"/>
        <w:rPr>
          <w:sz w:val="20"/>
        </w:rPr>
      </w:pPr>
    </w:p>
    <w:p w14:paraId="547445A0" w14:textId="77777777" w:rsidR="00FA4AA8" w:rsidRDefault="00FA4AA8">
      <w:pPr>
        <w:pStyle w:val="BodyText"/>
        <w:spacing w:before="3"/>
        <w:rPr>
          <w:sz w:val="27"/>
        </w:rPr>
      </w:pPr>
    </w:p>
    <w:p w14:paraId="0B9FFB99" w14:textId="77777777" w:rsidR="00FA4AA8" w:rsidRDefault="0015611F">
      <w:pPr>
        <w:ind w:left="105"/>
        <w:rPr>
          <w:sz w:val="19"/>
        </w:rPr>
      </w:pPr>
      <w:r>
        <w:rPr>
          <w:color w:val="262626"/>
          <w:sz w:val="19"/>
        </w:rPr>
        <w:t>Dated</w:t>
      </w:r>
      <w:r>
        <w:rPr>
          <w:color w:val="262626"/>
          <w:spacing w:val="-29"/>
          <w:sz w:val="19"/>
        </w:rPr>
        <w:t xml:space="preserve"> </w:t>
      </w:r>
      <w:r>
        <w:rPr>
          <w:color w:val="383838"/>
          <w:sz w:val="19"/>
        </w:rPr>
        <w:t>at</w:t>
      </w:r>
      <w:r>
        <w:rPr>
          <w:color w:val="383838"/>
          <w:spacing w:val="-34"/>
          <w:sz w:val="19"/>
        </w:rPr>
        <w:t xml:space="preserve"> </w:t>
      </w:r>
      <w:r>
        <w:rPr>
          <w:color w:val="1A1A1A"/>
          <w:sz w:val="19"/>
        </w:rPr>
        <w:t>Sydney</w:t>
      </w:r>
      <w:r>
        <w:rPr>
          <w:color w:val="1A1A1A"/>
          <w:spacing w:val="-29"/>
          <w:sz w:val="19"/>
        </w:rPr>
        <w:t xml:space="preserve"> </w:t>
      </w:r>
      <w:r>
        <w:rPr>
          <w:color w:val="1F1F1F"/>
          <w:sz w:val="19"/>
        </w:rPr>
        <w:t>10</w:t>
      </w:r>
      <w:r>
        <w:rPr>
          <w:color w:val="1F1F1F"/>
          <w:spacing w:val="-33"/>
          <w:sz w:val="19"/>
        </w:rPr>
        <w:t xml:space="preserve"> </w:t>
      </w:r>
      <w:r>
        <w:rPr>
          <w:color w:val="1C1C1C"/>
          <w:sz w:val="19"/>
        </w:rPr>
        <w:t>April</w:t>
      </w:r>
      <w:r>
        <w:rPr>
          <w:color w:val="1C1C1C"/>
          <w:spacing w:val="-33"/>
          <w:sz w:val="19"/>
        </w:rPr>
        <w:t xml:space="preserve"> </w:t>
      </w:r>
      <w:r>
        <w:rPr>
          <w:color w:val="161616"/>
          <w:sz w:val="19"/>
        </w:rPr>
        <w:t>2Q19</w:t>
      </w:r>
    </w:p>
    <w:p w14:paraId="1383C259" w14:textId="77777777" w:rsidR="00FA4AA8" w:rsidRDefault="0015611F">
      <w:pPr>
        <w:spacing w:before="34" w:line="542" w:lineRule="auto"/>
        <w:ind w:left="105" w:right="2218" w:firstLine="5"/>
        <w:rPr>
          <w:sz w:val="19"/>
        </w:rPr>
      </w:pPr>
      <w:r>
        <w:br w:type="column"/>
      </w:r>
      <w:r>
        <w:rPr>
          <w:color w:val="1D1D1D"/>
          <w:sz w:val="19"/>
        </w:rPr>
        <w:t xml:space="preserve">Professor </w:t>
      </w:r>
      <w:r>
        <w:rPr>
          <w:color w:val="2D2D2D"/>
          <w:sz w:val="19"/>
        </w:rPr>
        <w:t xml:space="preserve">Barney </w:t>
      </w:r>
      <w:r>
        <w:rPr>
          <w:color w:val="1C1C1C"/>
          <w:sz w:val="19"/>
        </w:rPr>
        <w:t xml:space="preserve">Glover, </w:t>
      </w:r>
      <w:r>
        <w:rPr>
          <w:color w:val="1A1A1A"/>
          <w:sz w:val="19"/>
        </w:rPr>
        <w:t xml:space="preserve">AO </w:t>
      </w:r>
      <w:r>
        <w:rPr>
          <w:color w:val="111111"/>
          <w:w w:val="95"/>
          <w:sz w:val="19"/>
        </w:rPr>
        <w:t xml:space="preserve">Vice </w:t>
      </w:r>
      <w:r>
        <w:rPr>
          <w:color w:val="161616"/>
          <w:w w:val="95"/>
          <w:sz w:val="19"/>
        </w:rPr>
        <w:t xml:space="preserve">Chancellor </w:t>
      </w:r>
      <w:r>
        <w:rPr>
          <w:color w:val="0F0F0F"/>
          <w:w w:val="95"/>
          <w:sz w:val="19"/>
        </w:rPr>
        <w:t xml:space="preserve">and </w:t>
      </w:r>
      <w:r>
        <w:rPr>
          <w:color w:val="151515"/>
          <w:w w:val="95"/>
          <w:sz w:val="19"/>
        </w:rPr>
        <w:t>President</w:t>
      </w:r>
    </w:p>
    <w:p w14:paraId="40C398CA" w14:textId="77777777" w:rsidR="00FA4AA8" w:rsidRDefault="00FA4AA8">
      <w:pPr>
        <w:spacing w:line="542" w:lineRule="auto"/>
        <w:rPr>
          <w:sz w:val="19"/>
        </w:rPr>
        <w:sectPr w:rsidR="00FA4AA8">
          <w:type w:val="continuous"/>
          <w:pgSz w:w="11910" w:h="16850"/>
          <w:pgMar w:top="20" w:right="940" w:bottom="0" w:left="840" w:header="720" w:footer="720" w:gutter="0"/>
          <w:cols w:num="2" w:space="720" w:equalWidth="0">
            <w:col w:w="2590" w:space="2420"/>
            <w:col w:w="5120"/>
          </w:cols>
        </w:sectPr>
      </w:pPr>
    </w:p>
    <w:p w14:paraId="2AC949A9" w14:textId="77777777" w:rsidR="00FA4AA8" w:rsidRDefault="00FA4AA8">
      <w:pPr>
        <w:pStyle w:val="BodyText"/>
        <w:spacing w:before="8"/>
        <w:rPr>
          <w:sz w:val="8"/>
        </w:rPr>
      </w:pPr>
    </w:p>
    <w:p w14:paraId="071BAECA" w14:textId="77777777" w:rsidR="00FA4AA8" w:rsidRDefault="0015611F">
      <w:pPr>
        <w:spacing w:before="91"/>
        <w:ind w:left="141"/>
        <w:rPr>
          <w:sz w:val="28"/>
        </w:rPr>
      </w:pPr>
      <w:r>
        <w:rPr>
          <w:w w:val="110"/>
          <w:sz w:val="28"/>
        </w:rPr>
        <w:t xml:space="preserve">Responsible Entities </w:t>
      </w:r>
      <w:r>
        <w:rPr>
          <w:color w:val="0F0F0F"/>
          <w:w w:val="110"/>
          <w:sz w:val="28"/>
        </w:rPr>
        <w:t>Declaration</w:t>
      </w:r>
    </w:p>
    <w:p w14:paraId="4C0D3F6B" w14:textId="77777777" w:rsidR="00FA4AA8" w:rsidRDefault="0015611F">
      <w:pPr>
        <w:pStyle w:val="Heading7"/>
        <w:spacing w:before="56"/>
        <w:ind w:left="145"/>
      </w:pPr>
      <w:r>
        <w:t xml:space="preserve">For the year ended 31 December </w:t>
      </w:r>
      <w:r>
        <w:rPr>
          <w:color w:val="0F0F0F"/>
        </w:rPr>
        <w:t>2018</w:t>
      </w:r>
    </w:p>
    <w:p w14:paraId="3346C304" w14:textId="77777777" w:rsidR="00FA4AA8" w:rsidRDefault="00FA4AA8">
      <w:pPr>
        <w:pStyle w:val="BodyText"/>
        <w:spacing w:before="10"/>
        <w:rPr>
          <w:sz w:val="23"/>
        </w:rPr>
      </w:pPr>
    </w:p>
    <w:p w14:paraId="3CB42D72" w14:textId="77777777" w:rsidR="00FA4AA8" w:rsidRDefault="0015611F">
      <w:pPr>
        <w:ind w:left="144"/>
        <w:rPr>
          <w:sz w:val="19"/>
        </w:rPr>
      </w:pPr>
      <w:r>
        <w:rPr>
          <w:sz w:val="19"/>
        </w:rPr>
        <w:t>The responsible persons of the University declare that in the responsible person’s opinion:</w:t>
      </w:r>
    </w:p>
    <w:p w14:paraId="674042B5" w14:textId="77777777" w:rsidR="00FA4AA8" w:rsidRDefault="00FA4AA8">
      <w:pPr>
        <w:pStyle w:val="BodyText"/>
        <w:rPr>
          <w:sz w:val="20"/>
        </w:rPr>
      </w:pPr>
    </w:p>
    <w:p w14:paraId="274C00DB" w14:textId="77777777" w:rsidR="00FA4AA8" w:rsidRDefault="00FA4AA8">
      <w:pPr>
        <w:pStyle w:val="BodyText"/>
        <w:spacing w:before="7"/>
        <w:rPr>
          <w:sz w:val="21"/>
        </w:rPr>
      </w:pPr>
    </w:p>
    <w:p w14:paraId="29C9A900" w14:textId="77777777" w:rsidR="00FA4AA8" w:rsidRDefault="0015611F">
      <w:pPr>
        <w:pStyle w:val="ListParagraph"/>
        <w:numPr>
          <w:ilvl w:val="1"/>
          <w:numId w:val="111"/>
        </w:numPr>
        <w:tabs>
          <w:tab w:val="left" w:pos="950"/>
          <w:tab w:val="left" w:pos="951"/>
        </w:tabs>
        <w:spacing w:before="1" w:line="237" w:lineRule="auto"/>
        <w:ind w:right="152" w:hanging="389"/>
        <w:rPr>
          <w:sz w:val="19"/>
        </w:rPr>
      </w:pPr>
      <w:r>
        <w:rPr>
          <w:sz w:val="19"/>
        </w:rPr>
        <w:t>There</w:t>
      </w:r>
      <w:r>
        <w:rPr>
          <w:spacing w:val="-23"/>
          <w:sz w:val="19"/>
        </w:rPr>
        <w:t xml:space="preserve"> </w:t>
      </w:r>
      <w:r>
        <w:rPr>
          <w:sz w:val="19"/>
        </w:rPr>
        <w:t>are</w:t>
      </w:r>
      <w:r>
        <w:rPr>
          <w:spacing w:val="-25"/>
          <w:sz w:val="19"/>
        </w:rPr>
        <w:t xml:space="preserve"> </w:t>
      </w:r>
      <w:r>
        <w:rPr>
          <w:sz w:val="19"/>
        </w:rPr>
        <w:t>reasonable</w:t>
      </w:r>
      <w:r>
        <w:rPr>
          <w:spacing w:val="-21"/>
          <w:sz w:val="19"/>
        </w:rPr>
        <w:t xml:space="preserve"> </w:t>
      </w:r>
      <w:r>
        <w:rPr>
          <w:sz w:val="19"/>
        </w:rPr>
        <w:t>grounds</w:t>
      </w:r>
      <w:r>
        <w:rPr>
          <w:spacing w:val="-23"/>
          <w:sz w:val="19"/>
        </w:rPr>
        <w:t xml:space="preserve"> </w:t>
      </w:r>
      <w:r>
        <w:rPr>
          <w:sz w:val="19"/>
        </w:rPr>
        <w:t>to</w:t>
      </w:r>
      <w:r>
        <w:rPr>
          <w:spacing w:val="-30"/>
          <w:sz w:val="19"/>
        </w:rPr>
        <w:t xml:space="preserve"> </w:t>
      </w:r>
      <w:r>
        <w:rPr>
          <w:sz w:val="19"/>
        </w:rPr>
        <w:t>believe</w:t>
      </w:r>
      <w:r>
        <w:rPr>
          <w:spacing w:val="-19"/>
          <w:sz w:val="19"/>
        </w:rPr>
        <w:t xml:space="preserve"> </w:t>
      </w:r>
      <w:r>
        <w:rPr>
          <w:sz w:val="19"/>
        </w:rPr>
        <w:t>that</w:t>
      </w:r>
      <w:r>
        <w:rPr>
          <w:spacing w:val="-22"/>
          <w:sz w:val="19"/>
        </w:rPr>
        <w:t xml:space="preserve"> </w:t>
      </w:r>
      <w:r>
        <w:rPr>
          <w:sz w:val="19"/>
        </w:rPr>
        <w:t>the</w:t>
      </w:r>
      <w:r>
        <w:rPr>
          <w:spacing w:val="-25"/>
          <w:sz w:val="19"/>
        </w:rPr>
        <w:t xml:space="preserve"> </w:t>
      </w:r>
      <w:r>
        <w:rPr>
          <w:sz w:val="19"/>
        </w:rPr>
        <w:t>registered</w:t>
      </w:r>
      <w:r>
        <w:rPr>
          <w:spacing w:val="-22"/>
          <w:sz w:val="19"/>
        </w:rPr>
        <w:t xml:space="preserve"> </w:t>
      </w:r>
      <w:r>
        <w:rPr>
          <w:sz w:val="19"/>
        </w:rPr>
        <w:t>entity</w:t>
      </w:r>
      <w:r>
        <w:rPr>
          <w:spacing w:val="-19"/>
          <w:sz w:val="19"/>
        </w:rPr>
        <w:t xml:space="preserve"> </w:t>
      </w:r>
      <w:r>
        <w:rPr>
          <w:sz w:val="19"/>
        </w:rPr>
        <w:t>is</w:t>
      </w:r>
      <w:r>
        <w:rPr>
          <w:spacing w:val="-26"/>
          <w:sz w:val="19"/>
        </w:rPr>
        <w:t xml:space="preserve"> </w:t>
      </w:r>
      <w:r>
        <w:rPr>
          <w:sz w:val="19"/>
        </w:rPr>
        <w:t>able</w:t>
      </w:r>
      <w:r>
        <w:rPr>
          <w:spacing w:val="-25"/>
          <w:sz w:val="19"/>
        </w:rPr>
        <w:t xml:space="preserve"> </w:t>
      </w:r>
      <w:r>
        <w:rPr>
          <w:sz w:val="19"/>
        </w:rPr>
        <w:t>to</w:t>
      </w:r>
      <w:r>
        <w:rPr>
          <w:spacing w:val="-27"/>
          <w:sz w:val="19"/>
        </w:rPr>
        <w:t xml:space="preserve"> </w:t>
      </w:r>
      <w:r>
        <w:rPr>
          <w:sz w:val="19"/>
        </w:rPr>
        <w:t>pay</w:t>
      </w:r>
      <w:r>
        <w:rPr>
          <w:spacing w:val="-22"/>
          <w:sz w:val="19"/>
        </w:rPr>
        <w:t xml:space="preserve"> </w:t>
      </w:r>
      <w:r>
        <w:rPr>
          <w:sz w:val="19"/>
        </w:rPr>
        <w:t>all</w:t>
      </w:r>
      <w:r>
        <w:rPr>
          <w:spacing w:val="-24"/>
          <w:sz w:val="19"/>
        </w:rPr>
        <w:t xml:space="preserve"> </w:t>
      </w:r>
      <w:r>
        <w:rPr>
          <w:sz w:val="19"/>
        </w:rPr>
        <w:t>of</w:t>
      </w:r>
      <w:r>
        <w:rPr>
          <w:spacing w:val="-29"/>
          <w:sz w:val="19"/>
        </w:rPr>
        <w:t xml:space="preserve"> </w:t>
      </w:r>
      <w:r>
        <w:rPr>
          <w:sz w:val="19"/>
        </w:rPr>
        <w:t>its</w:t>
      </w:r>
      <w:r>
        <w:rPr>
          <w:spacing w:val="-27"/>
          <w:sz w:val="19"/>
        </w:rPr>
        <w:t xml:space="preserve"> </w:t>
      </w:r>
      <w:r>
        <w:rPr>
          <w:sz w:val="19"/>
        </w:rPr>
        <w:t>debts,</w:t>
      </w:r>
      <w:r>
        <w:rPr>
          <w:spacing w:val="-22"/>
          <w:sz w:val="19"/>
        </w:rPr>
        <w:t xml:space="preserve"> </w:t>
      </w:r>
      <w:r>
        <w:rPr>
          <w:sz w:val="19"/>
        </w:rPr>
        <w:t>as</w:t>
      </w:r>
      <w:r>
        <w:rPr>
          <w:spacing w:val="-23"/>
          <w:sz w:val="19"/>
        </w:rPr>
        <w:t xml:space="preserve"> </w:t>
      </w:r>
      <w:r>
        <w:rPr>
          <w:sz w:val="19"/>
        </w:rPr>
        <w:t>and</w:t>
      </w:r>
      <w:r>
        <w:rPr>
          <w:spacing w:val="-23"/>
          <w:sz w:val="19"/>
        </w:rPr>
        <w:t xml:space="preserve"> </w:t>
      </w:r>
      <w:r>
        <w:rPr>
          <w:sz w:val="19"/>
        </w:rPr>
        <w:t>when</w:t>
      </w:r>
      <w:r>
        <w:rPr>
          <w:spacing w:val="-25"/>
          <w:sz w:val="19"/>
        </w:rPr>
        <w:t xml:space="preserve"> </w:t>
      </w:r>
      <w:r>
        <w:rPr>
          <w:sz w:val="19"/>
        </w:rPr>
        <w:t>they become due and payable;</w:t>
      </w:r>
      <w:r>
        <w:rPr>
          <w:spacing w:val="29"/>
          <w:sz w:val="19"/>
        </w:rPr>
        <w:t xml:space="preserve"> </w:t>
      </w:r>
      <w:r>
        <w:rPr>
          <w:sz w:val="19"/>
        </w:rPr>
        <w:t>and</w:t>
      </w:r>
    </w:p>
    <w:p w14:paraId="38653DDE" w14:textId="77777777" w:rsidR="00FA4AA8" w:rsidRDefault="00FA4AA8">
      <w:pPr>
        <w:pStyle w:val="BodyText"/>
        <w:spacing w:before="11"/>
        <w:rPr>
          <w:sz w:val="23"/>
        </w:rPr>
      </w:pPr>
    </w:p>
    <w:p w14:paraId="1F033176" w14:textId="77777777" w:rsidR="00FA4AA8" w:rsidRDefault="0015611F">
      <w:pPr>
        <w:pStyle w:val="ListParagraph"/>
        <w:numPr>
          <w:ilvl w:val="1"/>
          <w:numId w:val="111"/>
        </w:numPr>
        <w:tabs>
          <w:tab w:val="left" w:pos="952"/>
        </w:tabs>
        <w:spacing w:line="244" w:lineRule="auto"/>
        <w:ind w:left="962" w:right="769" w:hanging="398"/>
        <w:rPr>
          <w:sz w:val="18"/>
        </w:rPr>
      </w:pPr>
      <w:r>
        <w:rPr>
          <w:sz w:val="18"/>
        </w:rPr>
        <w:t xml:space="preserve">The financial statements and notes satisfy the requirements </w:t>
      </w:r>
      <w:r>
        <w:rPr>
          <w:color w:val="161616"/>
          <w:sz w:val="18"/>
        </w:rPr>
        <w:t xml:space="preserve">of </w:t>
      </w:r>
      <w:r>
        <w:rPr>
          <w:sz w:val="18"/>
        </w:rPr>
        <w:t xml:space="preserve">the </w:t>
      </w:r>
      <w:r>
        <w:rPr>
          <w:i/>
          <w:sz w:val="18"/>
        </w:rPr>
        <w:t>Australian Charities and Not-for-profits Commission Act</w:t>
      </w:r>
      <w:r>
        <w:rPr>
          <w:i/>
          <w:spacing w:val="-19"/>
          <w:sz w:val="18"/>
        </w:rPr>
        <w:t xml:space="preserve"> </w:t>
      </w:r>
      <w:r>
        <w:rPr>
          <w:sz w:val="18"/>
        </w:rPr>
        <w:t>20f2.</w:t>
      </w:r>
    </w:p>
    <w:p w14:paraId="588D3E1A" w14:textId="77777777" w:rsidR="00FA4AA8" w:rsidRDefault="00FA4AA8">
      <w:pPr>
        <w:pStyle w:val="BodyText"/>
        <w:rPr>
          <w:sz w:val="20"/>
        </w:rPr>
      </w:pPr>
    </w:p>
    <w:p w14:paraId="3D945B2A" w14:textId="77777777" w:rsidR="00FA4AA8" w:rsidRDefault="00FA4AA8">
      <w:pPr>
        <w:pStyle w:val="BodyText"/>
        <w:rPr>
          <w:sz w:val="20"/>
        </w:rPr>
      </w:pPr>
    </w:p>
    <w:p w14:paraId="7F7A2D6D" w14:textId="77777777" w:rsidR="00FA4AA8" w:rsidRDefault="00FA4AA8">
      <w:pPr>
        <w:pStyle w:val="BodyText"/>
        <w:spacing w:before="1"/>
        <w:rPr>
          <w:sz w:val="20"/>
        </w:rPr>
      </w:pPr>
    </w:p>
    <w:p w14:paraId="0D2DA044" w14:textId="77777777" w:rsidR="00FA4AA8" w:rsidRDefault="0015611F">
      <w:pPr>
        <w:pStyle w:val="BodyText"/>
        <w:spacing w:after="16"/>
        <w:ind w:left="164"/>
      </w:pPr>
      <w:r>
        <w:t>Signed in accordance with a resolution of the Board of Trustees of Western Sydney University, and is signed for and on</w:t>
      </w:r>
    </w:p>
    <w:p w14:paraId="2A6A194F" w14:textId="77777777" w:rsidR="00FA4AA8" w:rsidRDefault="007E2441">
      <w:pPr>
        <w:pStyle w:val="BodyText"/>
        <w:ind w:left="161"/>
        <w:rPr>
          <w:sz w:val="20"/>
        </w:rPr>
      </w:pPr>
      <w:r>
        <w:rPr>
          <w:noProof/>
          <w:sz w:val="20"/>
          <w:lang w:val="en-AU" w:eastAsia="en-AU"/>
        </w:rPr>
        <mc:AlternateContent>
          <mc:Choice Requires="wpg">
            <w:drawing>
              <wp:inline distT="0" distB="0" distL="0" distR="0" wp14:anchorId="0E6F055A" wp14:editId="542D10C1">
                <wp:extent cx="2689860" cy="1272540"/>
                <wp:effectExtent l="0" t="2540" r="0" b="1270"/>
                <wp:docPr id="3685" name="Group 3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9860" cy="1272540"/>
                          <a:chOff x="0" y="0"/>
                          <a:chExt cx="4236" cy="2004"/>
                        </a:xfrm>
                      </wpg:grpSpPr>
                      <pic:pic xmlns:pic="http://schemas.openxmlformats.org/drawingml/2006/picture">
                        <pic:nvPicPr>
                          <pic:cNvPr id="3686" name="Picture 345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9" y="28"/>
                            <a:ext cx="4176" cy="1940"/>
                          </a:xfrm>
                          <a:prstGeom prst="rect">
                            <a:avLst/>
                          </a:prstGeom>
                          <a:noFill/>
                          <a:extLst>
                            <a:ext uri="{909E8E84-426E-40DD-AFC4-6F175D3DCCD1}">
                              <a14:hiddenFill xmlns:a14="http://schemas.microsoft.com/office/drawing/2010/main">
                                <a:solidFill>
                                  <a:srgbClr val="FFFFFF"/>
                                </a:solidFill>
                              </a14:hiddenFill>
                            </a:ext>
                          </a:extLst>
                        </pic:spPr>
                      </pic:pic>
                      <wps:wsp>
                        <wps:cNvPr id="3687" name="Text Box 3453"/>
                        <wps:cNvSpPr txBox="1">
                          <a:spLocks noChangeArrowheads="1"/>
                        </wps:cNvSpPr>
                        <wps:spPr bwMode="auto">
                          <a:xfrm>
                            <a:off x="0" y="0"/>
                            <a:ext cx="183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A9957" w14:textId="77777777" w:rsidR="001F3ACE" w:rsidRDefault="001F3ACE">
                              <w:pPr>
                                <w:tabs>
                                  <w:tab w:val="left" w:pos="1555"/>
                                </w:tabs>
                                <w:spacing w:line="201" w:lineRule="exact"/>
                                <w:rPr>
                                  <w:sz w:val="18"/>
                                </w:rPr>
                              </w:pPr>
                              <w:r>
                                <w:rPr>
                                  <w:sz w:val="18"/>
                                </w:rPr>
                                <w:t>behalf of</w:t>
                              </w:r>
                              <w:r>
                                <w:rPr>
                                  <w:spacing w:val="4"/>
                                  <w:sz w:val="18"/>
                                </w:rPr>
                                <w:t xml:space="preserve"> </w:t>
                              </w:r>
                              <w:r>
                                <w:rPr>
                                  <w:sz w:val="18"/>
                                </w:rPr>
                                <w:t xml:space="preserve">the </w:t>
                              </w:r>
                              <w:r>
                                <w:rPr>
                                  <w:color w:val="0C0C0C"/>
                                  <w:sz w:val="18"/>
                                </w:rPr>
                                <w:t>B</w:t>
                              </w:r>
                              <w:r>
                                <w:rPr>
                                  <w:color w:val="0C0C0C"/>
                                  <w:sz w:val="18"/>
                                </w:rPr>
                                <w:tab/>
                              </w:r>
                              <w:r>
                                <w:rPr>
                                  <w:sz w:val="18"/>
                                </w:rPr>
                                <w:t>by:</w:t>
                              </w:r>
                            </w:p>
                          </w:txbxContent>
                        </wps:txbx>
                        <wps:bodyPr rot="0" vert="horz" wrap="square" lIns="0" tIns="0" rIns="0" bIns="0" anchor="t" anchorCtr="0" upright="1">
                          <a:noAutofit/>
                        </wps:bodyPr>
                      </wps:wsp>
                      <wps:wsp>
                        <wps:cNvPr id="3688" name="Text Box 3452"/>
                        <wps:cNvSpPr txBox="1">
                          <a:spLocks noChangeArrowheads="1"/>
                        </wps:cNvSpPr>
                        <wps:spPr bwMode="auto">
                          <a:xfrm>
                            <a:off x="45" y="1790"/>
                            <a:ext cx="2341"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BA378" w14:textId="77777777" w:rsidR="001F3ACE" w:rsidRDefault="001F3ACE">
                              <w:pPr>
                                <w:spacing w:line="212" w:lineRule="exact"/>
                                <w:rPr>
                                  <w:sz w:val="19"/>
                                </w:rPr>
                              </w:pPr>
                              <w:r>
                                <w:rPr>
                                  <w:sz w:val="19"/>
                                </w:rPr>
                                <w:t>Professor</w:t>
                              </w:r>
                              <w:r>
                                <w:rPr>
                                  <w:spacing w:val="-25"/>
                                  <w:sz w:val="19"/>
                                </w:rPr>
                                <w:t xml:space="preserve"> </w:t>
                              </w:r>
                              <w:r>
                                <w:rPr>
                                  <w:sz w:val="19"/>
                                </w:rPr>
                                <w:t>Barn</w:t>
                              </w:r>
                              <w:r>
                                <w:rPr>
                                  <w:spacing w:val="-5"/>
                                  <w:sz w:val="19"/>
                                </w:rPr>
                                <w:t xml:space="preserve"> </w:t>
                              </w:r>
                              <w:r>
                                <w:rPr>
                                  <w:sz w:val="19"/>
                                </w:rPr>
                                <w:t>y</w:t>
                              </w:r>
                              <w:r>
                                <w:rPr>
                                  <w:spacing w:val="-30"/>
                                  <w:sz w:val="19"/>
                                </w:rPr>
                                <w:t xml:space="preserve"> </w:t>
                              </w:r>
                              <w:r>
                                <w:rPr>
                                  <w:sz w:val="19"/>
                                </w:rPr>
                                <w:t>Glover,</w:t>
                              </w:r>
                              <w:r>
                                <w:rPr>
                                  <w:spacing w:val="-23"/>
                                  <w:sz w:val="19"/>
                                </w:rPr>
                                <w:t xml:space="preserve"> </w:t>
                              </w:r>
                              <w:r>
                                <w:rPr>
                                  <w:sz w:val="19"/>
                                </w:rPr>
                                <w:t>AO</w:t>
                              </w:r>
                            </w:p>
                          </w:txbxContent>
                        </wps:txbx>
                        <wps:bodyPr rot="0" vert="horz" wrap="square" lIns="0" tIns="0" rIns="0" bIns="0" anchor="t" anchorCtr="0" upright="1">
                          <a:noAutofit/>
                        </wps:bodyPr>
                      </wps:wsp>
                    </wpg:wgp>
                  </a:graphicData>
                </a:graphic>
              </wp:inline>
            </w:drawing>
          </mc:Choice>
          <mc:Fallback>
            <w:pict>
              <v:group w14:anchorId="0E6F055A" id="Group 3451" o:spid="_x0000_s1029" style="width:211.8pt;height:100.2pt;mso-position-horizontal-relative:char;mso-position-vertical-relative:line" coordsize="4236,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">
                <v:shape id="Picture 3454" o:spid="_x0000_s1030" type="#_x0000_t75" style="position:absolute;left:59;top:28;width:4176;height:1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">
                  <v:imagedata r:id="rId19" o:title=""/>
                </v:shape>
                <v:shape id="Text Box 3453" o:spid="_x0000_s1031" type="#_x0000_t202" style="position:absolute;width:1830;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" filled="f" stroked="f">
                  <v:textbox inset="0,0,0,0">
                    <w:txbxContent>
                      <w:p w14:paraId="62BA9957" w14:textId="77777777" w:rsidR="001F3ACE" w:rsidRDefault="001F3ACE">
                        <w:pPr>
                          <w:tabs>
                            <w:tab w:val="left" w:pos="1555"/>
                          </w:tabs>
                          <w:spacing w:line="201" w:lineRule="exact"/>
                          <w:rPr>
                            <w:sz w:val="18"/>
                          </w:rPr>
                        </w:pPr>
                        <w:r>
                          <w:rPr>
                            <w:sz w:val="18"/>
                          </w:rPr>
                          <w:t>behalf of</w:t>
                        </w:r>
                        <w:r>
                          <w:rPr>
                            <w:spacing w:val="4"/>
                            <w:sz w:val="18"/>
                          </w:rPr>
                          <w:t xml:space="preserve"> </w:t>
                        </w:r>
                        <w:r>
                          <w:rPr>
                            <w:sz w:val="18"/>
                          </w:rPr>
                          <w:t xml:space="preserve">the </w:t>
                        </w:r>
                        <w:r>
                          <w:rPr>
                            <w:color w:val="0C0C0C"/>
                            <w:sz w:val="18"/>
                          </w:rPr>
                          <w:t>B</w:t>
                        </w:r>
                        <w:r>
                          <w:rPr>
                            <w:color w:val="0C0C0C"/>
                            <w:sz w:val="18"/>
                          </w:rPr>
                          <w:tab/>
                        </w:r>
                        <w:r>
                          <w:rPr>
                            <w:sz w:val="18"/>
                          </w:rPr>
                          <w:t>by:</w:t>
                        </w:r>
                      </w:p>
                    </w:txbxContent>
                  </v:textbox>
                </v:shape>
                <v:shape id="Text Box 3452" o:spid="_x0000_s1032" type="#_x0000_t202" style="position:absolute;left:45;top:1790;width:2341;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" filled="f" stroked="f">
                  <v:textbox inset="0,0,0,0">
                    <w:txbxContent>
                      <w:p w14:paraId="3EDBA378" w14:textId="77777777" w:rsidR="001F3ACE" w:rsidRDefault="001F3ACE">
                        <w:pPr>
                          <w:spacing w:line="212" w:lineRule="exact"/>
                          <w:rPr>
                            <w:sz w:val="19"/>
                          </w:rPr>
                        </w:pPr>
                        <w:r>
                          <w:rPr>
                            <w:sz w:val="19"/>
                          </w:rPr>
                          <w:t>Professor</w:t>
                        </w:r>
                        <w:r>
                          <w:rPr>
                            <w:spacing w:val="-25"/>
                            <w:sz w:val="19"/>
                          </w:rPr>
                          <w:t xml:space="preserve"> </w:t>
                        </w:r>
                        <w:r>
                          <w:rPr>
                            <w:sz w:val="19"/>
                          </w:rPr>
                          <w:t>Barn</w:t>
                        </w:r>
                        <w:r>
                          <w:rPr>
                            <w:spacing w:val="-5"/>
                            <w:sz w:val="19"/>
                          </w:rPr>
                          <w:t xml:space="preserve"> </w:t>
                        </w:r>
                        <w:r>
                          <w:rPr>
                            <w:sz w:val="19"/>
                          </w:rPr>
                          <w:t>y</w:t>
                        </w:r>
                        <w:r>
                          <w:rPr>
                            <w:spacing w:val="-30"/>
                            <w:sz w:val="19"/>
                          </w:rPr>
                          <w:t xml:space="preserve"> </w:t>
                        </w:r>
                        <w:r>
                          <w:rPr>
                            <w:sz w:val="19"/>
                          </w:rPr>
                          <w:t>Glover,</w:t>
                        </w:r>
                        <w:r>
                          <w:rPr>
                            <w:spacing w:val="-23"/>
                            <w:sz w:val="19"/>
                          </w:rPr>
                          <w:t xml:space="preserve"> </w:t>
                        </w:r>
                        <w:r>
                          <w:rPr>
                            <w:sz w:val="19"/>
                          </w:rPr>
                          <w:t>AO</w:t>
                        </w:r>
                      </w:p>
                    </w:txbxContent>
                  </v:textbox>
                </v:shape>
                <w10:anchorlock/>
              </v:group>
            </w:pict>
          </mc:Fallback>
        </mc:AlternateContent>
      </w:r>
    </w:p>
    <w:p w14:paraId="4359C5EA" w14:textId="77777777" w:rsidR="00FA4AA8" w:rsidRDefault="0015611F">
      <w:pPr>
        <w:spacing w:before="87"/>
        <w:ind w:left="205"/>
        <w:rPr>
          <w:sz w:val="19"/>
        </w:rPr>
      </w:pPr>
      <w:r>
        <w:rPr>
          <w:w w:val="95"/>
          <w:sz w:val="19"/>
        </w:rPr>
        <w:t>Vice Chancellor and</w:t>
      </w:r>
      <w:r>
        <w:rPr>
          <w:spacing w:val="-40"/>
          <w:w w:val="95"/>
          <w:sz w:val="19"/>
        </w:rPr>
        <w:t xml:space="preserve"> </w:t>
      </w:r>
      <w:r>
        <w:rPr>
          <w:w w:val="95"/>
          <w:sz w:val="19"/>
        </w:rPr>
        <w:t>President</w:t>
      </w:r>
    </w:p>
    <w:p w14:paraId="660A7028" w14:textId="77777777" w:rsidR="00FA4AA8" w:rsidRDefault="00FA4AA8">
      <w:pPr>
        <w:pStyle w:val="BodyText"/>
        <w:rPr>
          <w:sz w:val="20"/>
        </w:rPr>
      </w:pPr>
    </w:p>
    <w:p w14:paraId="397D99AE" w14:textId="77777777" w:rsidR="00FA4AA8" w:rsidRDefault="00FA4AA8">
      <w:pPr>
        <w:pStyle w:val="BodyText"/>
        <w:rPr>
          <w:sz w:val="20"/>
        </w:rPr>
      </w:pPr>
    </w:p>
    <w:p w14:paraId="227D7850" w14:textId="77777777" w:rsidR="00FA4AA8" w:rsidRDefault="00FA4AA8">
      <w:pPr>
        <w:pStyle w:val="BodyText"/>
        <w:spacing w:before="2"/>
      </w:pPr>
    </w:p>
    <w:p w14:paraId="427D4F35" w14:textId="77777777" w:rsidR="00FA4AA8" w:rsidRDefault="0015611F">
      <w:pPr>
        <w:pStyle w:val="BodyText"/>
        <w:spacing w:before="1"/>
        <w:ind w:left="163"/>
      </w:pPr>
      <w:r>
        <w:t>Dated at Sydney 10 April</w:t>
      </w:r>
      <w:r>
        <w:rPr>
          <w:spacing w:val="-21"/>
        </w:rPr>
        <w:t xml:space="preserve"> </w:t>
      </w:r>
      <w:r>
        <w:t>2019</w:t>
      </w:r>
    </w:p>
    <w:p w14:paraId="5C547C4B" w14:textId="77777777" w:rsidR="00FA4AA8" w:rsidRDefault="00FA4AA8">
      <w:pPr>
        <w:sectPr w:rsidR="00FA4AA8">
          <w:pgSz w:w="11910" w:h="16850"/>
          <w:pgMar w:top="1400" w:right="940" w:bottom="720" w:left="840" w:header="914" w:footer="523" w:gutter="0"/>
          <w:cols w:space="720"/>
        </w:sectPr>
      </w:pPr>
    </w:p>
    <w:p w14:paraId="3031337F" w14:textId="77777777" w:rsidR="00FA4AA8" w:rsidRDefault="007E2441">
      <w:pPr>
        <w:pStyle w:val="BodyText"/>
        <w:rPr>
          <w:sz w:val="20"/>
        </w:rPr>
      </w:pPr>
      <w:r>
        <w:rPr>
          <w:noProof/>
          <w:lang w:val="en-AU" w:eastAsia="en-AU"/>
        </w:rPr>
        <mc:AlternateContent>
          <mc:Choice Requires="wps">
            <w:drawing>
              <wp:anchor distT="0" distB="0" distL="114300" distR="114300" simplePos="0" relativeHeight="15733248" behindDoc="0" locked="0" layoutInCell="1" allowOverlap="1" wp14:anchorId="5FE8ABC1" wp14:editId="7C11FDAD">
                <wp:simplePos x="0" y="0"/>
                <wp:positionH relativeFrom="page">
                  <wp:posOffset>6303645</wp:posOffset>
                </wp:positionH>
                <wp:positionV relativeFrom="page">
                  <wp:posOffset>16510</wp:posOffset>
                </wp:positionV>
                <wp:extent cx="849630" cy="0"/>
                <wp:effectExtent l="0" t="0" r="0" b="0"/>
                <wp:wrapNone/>
                <wp:docPr id="3684" name="Line 3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9630" cy="0"/>
                        </a:xfrm>
                        <a:prstGeom prst="line">
                          <a:avLst/>
                        </a:prstGeom>
                        <a:noFill/>
                        <a:ln w="9145">
                          <a:solidFill>
                            <a:srgbClr val="0C0C0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3CC1D6" id="Line 3450" o:spid="_x0000_s1026" style="position:absolute;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6.35pt,1.3pt" to="563.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" strokecolor="#0c0c0c" strokeweight=".25403mm">
                <w10:wrap anchorx="page" anchory="page"/>
              </v:line>
            </w:pict>
          </mc:Fallback>
        </mc:AlternateContent>
      </w:r>
    </w:p>
    <w:p w14:paraId="6A915857" w14:textId="77777777" w:rsidR="00FA4AA8" w:rsidRDefault="00FA4AA8">
      <w:pPr>
        <w:pStyle w:val="BodyText"/>
        <w:rPr>
          <w:sz w:val="20"/>
        </w:rPr>
      </w:pPr>
    </w:p>
    <w:p w14:paraId="64F6ED33" w14:textId="77777777" w:rsidR="00FA4AA8" w:rsidRDefault="00FA4AA8">
      <w:pPr>
        <w:pStyle w:val="BodyText"/>
        <w:rPr>
          <w:sz w:val="20"/>
        </w:rPr>
      </w:pPr>
    </w:p>
    <w:p w14:paraId="6FF6B76F" w14:textId="77777777" w:rsidR="00FA4AA8" w:rsidRDefault="00FA4AA8">
      <w:pPr>
        <w:pStyle w:val="BodyText"/>
        <w:spacing w:before="7"/>
        <w:rPr>
          <w:sz w:val="19"/>
        </w:rPr>
      </w:pPr>
    </w:p>
    <w:p w14:paraId="66E80B77" w14:textId="77777777" w:rsidR="00FA4AA8" w:rsidRDefault="0015611F">
      <w:pPr>
        <w:pStyle w:val="BodyText"/>
        <w:ind w:left="4757"/>
        <w:rPr>
          <w:sz w:val="20"/>
        </w:rPr>
      </w:pPr>
      <w:r>
        <w:rPr>
          <w:noProof/>
          <w:sz w:val="20"/>
          <w:lang w:val="en-AU" w:eastAsia="en-AU"/>
        </w:rPr>
        <w:drawing>
          <wp:inline distT="0" distB="0" distL="0" distR="0" wp14:anchorId="593DCBA2" wp14:editId="32B9F45F">
            <wp:extent cx="630918" cy="164592"/>
            <wp:effectExtent l="0" t="0" r="0" b="0"/>
            <wp:docPr id="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eg"/>
                    <pic:cNvPicPr/>
                  </pic:nvPicPr>
                  <pic:blipFill>
                    <a:blip r:embed="rId20" cstate="print"/>
                    <a:stretch>
                      <a:fillRect/>
                    </a:stretch>
                  </pic:blipFill>
                  <pic:spPr>
                    <a:xfrm>
                      <a:off x="0" y="0"/>
                      <a:ext cx="630918" cy="164592"/>
                    </a:xfrm>
                    <a:prstGeom prst="rect">
                      <a:avLst/>
                    </a:prstGeom>
                  </pic:spPr>
                </pic:pic>
              </a:graphicData>
            </a:graphic>
          </wp:inline>
        </w:drawing>
      </w:r>
    </w:p>
    <w:p w14:paraId="6F0CD508" w14:textId="77777777" w:rsidR="00FA4AA8" w:rsidRDefault="0015611F">
      <w:pPr>
        <w:pStyle w:val="BodyText"/>
        <w:spacing w:before="10"/>
        <w:rPr>
          <w:sz w:val="14"/>
        </w:rPr>
      </w:pPr>
      <w:r>
        <w:rPr>
          <w:noProof/>
          <w:lang w:val="en-AU" w:eastAsia="en-AU"/>
        </w:rPr>
        <w:drawing>
          <wp:anchor distT="0" distB="0" distL="0" distR="0" simplePos="0" relativeHeight="6" behindDoc="0" locked="0" layoutInCell="1" allowOverlap="1" wp14:anchorId="22E0B748" wp14:editId="21E405AC">
            <wp:simplePos x="0" y="0"/>
            <wp:positionH relativeFrom="page">
              <wp:posOffset>3386555</wp:posOffset>
            </wp:positionH>
            <wp:positionV relativeFrom="paragraph">
              <wp:posOffset>133631</wp:posOffset>
            </wp:positionV>
            <wp:extent cx="798553" cy="451103"/>
            <wp:effectExtent l="0" t="0" r="0" b="0"/>
            <wp:wrapTopAndBottom/>
            <wp:docPr id="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jpeg"/>
                    <pic:cNvPicPr/>
                  </pic:nvPicPr>
                  <pic:blipFill>
                    <a:blip r:embed="rId21" cstate="print"/>
                    <a:stretch>
                      <a:fillRect/>
                    </a:stretch>
                  </pic:blipFill>
                  <pic:spPr>
                    <a:xfrm>
                      <a:off x="0" y="0"/>
                      <a:ext cx="798553" cy="451103"/>
                    </a:xfrm>
                    <a:prstGeom prst="rect">
                      <a:avLst/>
                    </a:prstGeom>
                  </pic:spPr>
                </pic:pic>
              </a:graphicData>
            </a:graphic>
          </wp:anchor>
        </w:drawing>
      </w:r>
    </w:p>
    <w:p w14:paraId="5A5576F6" w14:textId="77777777" w:rsidR="00FA4AA8" w:rsidRDefault="00FA4AA8">
      <w:pPr>
        <w:pStyle w:val="BodyText"/>
        <w:rPr>
          <w:sz w:val="7"/>
        </w:rPr>
      </w:pPr>
    </w:p>
    <w:p w14:paraId="1BC19A4E" w14:textId="77777777" w:rsidR="00FA4AA8" w:rsidRDefault="0015611F">
      <w:pPr>
        <w:pStyle w:val="BodyText"/>
        <w:ind w:left="4599"/>
        <w:rPr>
          <w:sz w:val="20"/>
        </w:rPr>
      </w:pPr>
      <w:r>
        <w:rPr>
          <w:noProof/>
          <w:sz w:val="20"/>
          <w:lang w:val="en-AU" w:eastAsia="en-AU"/>
        </w:rPr>
        <w:drawing>
          <wp:inline distT="0" distB="0" distL="0" distR="0" wp14:anchorId="43BA5A05" wp14:editId="5F1C570B">
            <wp:extent cx="819889" cy="228600"/>
            <wp:effectExtent l="0" t="0" r="0" b="0"/>
            <wp:docPr id="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jpeg"/>
                    <pic:cNvPicPr/>
                  </pic:nvPicPr>
                  <pic:blipFill>
                    <a:blip r:embed="rId22" cstate="print"/>
                    <a:stretch>
                      <a:fillRect/>
                    </a:stretch>
                  </pic:blipFill>
                  <pic:spPr>
                    <a:xfrm>
                      <a:off x="0" y="0"/>
                      <a:ext cx="819889" cy="228600"/>
                    </a:xfrm>
                    <a:prstGeom prst="rect">
                      <a:avLst/>
                    </a:prstGeom>
                  </pic:spPr>
                </pic:pic>
              </a:graphicData>
            </a:graphic>
          </wp:inline>
        </w:drawing>
      </w:r>
    </w:p>
    <w:p w14:paraId="6D495B21" w14:textId="77777777" w:rsidR="00FA4AA8" w:rsidRDefault="00FA4AA8">
      <w:pPr>
        <w:pStyle w:val="BodyText"/>
        <w:rPr>
          <w:sz w:val="20"/>
        </w:rPr>
      </w:pPr>
    </w:p>
    <w:p w14:paraId="3239F50E" w14:textId="77777777" w:rsidR="00FA4AA8" w:rsidRDefault="00FA4AA8">
      <w:pPr>
        <w:pStyle w:val="BodyText"/>
        <w:rPr>
          <w:sz w:val="20"/>
        </w:rPr>
      </w:pPr>
    </w:p>
    <w:p w14:paraId="747ADB7F" w14:textId="77777777" w:rsidR="00FA4AA8" w:rsidRDefault="00FA4AA8">
      <w:pPr>
        <w:pStyle w:val="BodyText"/>
        <w:spacing w:before="7"/>
        <w:rPr>
          <w:sz w:val="24"/>
        </w:rPr>
      </w:pPr>
    </w:p>
    <w:p w14:paraId="284386EE" w14:textId="77777777" w:rsidR="00FA4AA8" w:rsidRDefault="0015611F">
      <w:pPr>
        <w:pStyle w:val="Heading7"/>
        <w:spacing w:before="103" w:line="228" w:lineRule="auto"/>
        <w:ind w:left="723" w:right="6797" w:hanging="3"/>
      </w:pPr>
      <w:r>
        <w:t xml:space="preserve">To the Vice Chancellor </w:t>
      </w:r>
      <w:r>
        <w:rPr>
          <w:w w:val="90"/>
        </w:rPr>
        <w:t>Western Sydney University</w:t>
      </w:r>
    </w:p>
    <w:p w14:paraId="419C329A" w14:textId="77777777" w:rsidR="00FA4AA8" w:rsidRDefault="00FA4AA8">
      <w:pPr>
        <w:pStyle w:val="BodyText"/>
        <w:rPr>
          <w:sz w:val="20"/>
        </w:rPr>
      </w:pPr>
    </w:p>
    <w:p w14:paraId="204E0521" w14:textId="77777777" w:rsidR="00FA4AA8" w:rsidRDefault="00FA4AA8">
      <w:pPr>
        <w:pStyle w:val="BodyText"/>
        <w:rPr>
          <w:sz w:val="22"/>
        </w:rPr>
      </w:pPr>
    </w:p>
    <w:p w14:paraId="6C278BE4" w14:textId="77777777" w:rsidR="00FA4AA8" w:rsidRDefault="0015611F">
      <w:pPr>
        <w:spacing w:before="93"/>
        <w:ind w:left="95" w:right="64"/>
        <w:jc w:val="center"/>
        <w:rPr>
          <w:sz w:val="24"/>
        </w:rPr>
      </w:pPr>
      <w:r>
        <w:rPr>
          <w:w w:val="105"/>
          <w:sz w:val="24"/>
        </w:rPr>
        <w:t>Auditor’s Independence</w:t>
      </w:r>
      <w:r>
        <w:rPr>
          <w:spacing w:val="53"/>
          <w:w w:val="105"/>
          <w:sz w:val="24"/>
        </w:rPr>
        <w:t xml:space="preserve"> </w:t>
      </w:r>
      <w:r>
        <w:rPr>
          <w:w w:val="105"/>
          <w:sz w:val="24"/>
        </w:rPr>
        <w:t>Declaration</w:t>
      </w:r>
    </w:p>
    <w:p w14:paraId="442E9FEA" w14:textId="77777777" w:rsidR="00FA4AA8" w:rsidRDefault="00FA4AA8">
      <w:pPr>
        <w:pStyle w:val="BodyText"/>
        <w:rPr>
          <w:sz w:val="26"/>
        </w:rPr>
      </w:pPr>
    </w:p>
    <w:p w14:paraId="4BB9B809" w14:textId="77777777" w:rsidR="00FA4AA8" w:rsidRDefault="00FA4AA8">
      <w:pPr>
        <w:pStyle w:val="BodyText"/>
        <w:spacing w:before="2"/>
        <w:rPr>
          <w:sz w:val="24"/>
        </w:rPr>
      </w:pPr>
    </w:p>
    <w:p w14:paraId="2ED61DEB" w14:textId="77777777" w:rsidR="00FA4AA8" w:rsidRDefault="0015611F">
      <w:pPr>
        <w:pStyle w:val="Heading9"/>
        <w:spacing w:before="1"/>
        <w:ind w:left="707" w:right="804" w:firstLine="8"/>
      </w:pPr>
      <w:r>
        <w:t>As</w:t>
      </w:r>
      <w:r>
        <w:rPr>
          <w:spacing w:val="-36"/>
        </w:rPr>
        <w:t xml:space="preserve"> </w:t>
      </w:r>
      <w:r>
        <w:t>auditor</w:t>
      </w:r>
      <w:r>
        <w:rPr>
          <w:spacing w:val="-24"/>
        </w:rPr>
        <w:t xml:space="preserve"> </w:t>
      </w:r>
      <w:r>
        <w:t>for</w:t>
      </w:r>
      <w:r>
        <w:rPr>
          <w:spacing w:val="-29"/>
        </w:rPr>
        <w:t xml:space="preserve"> </w:t>
      </w:r>
      <w:r>
        <w:t>the</w:t>
      </w:r>
      <w:r>
        <w:rPr>
          <w:spacing w:val="-32"/>
        </w:rPr>
        <w:t xml:space="preserve"> </w:t>
      </w:r>
      <w:r>
        <w:t>audit</w:t>
      </w:r>
      <w:r>
        <w:rPr>
          <w:spacing w:val="-30"/>
        </w:rPr>
        <w:t xml:space="preserve"> </w:t>
      </w:r>
      <w:r>
        <w:t>of</w:t>
      </w:r>
      <w:r>
        <w:rPr>
          <w:spacing w:val="-31"/>
        </w:rPr>
        <w:t xml:space="preserve"> </w:t>
      </w:r>
      <w:r>
        <w:t>the</w:t>
      </w:r>
      <w:r>
        <w:rPr>
          <w:spacing w:val="-33"/>
        </w:rPr>
        <w:t xml:space="preserve"> </w:t>
      </w:r>
      <w:r>
        <w:t>financial</w:t>
      </w:r>
      <w:r>
        <w:rPr>
          <w:spacing w:val="-27"/>
        </w:rPr>
        <w:t xml:space="preserve"> </w:t>
      </w:r>
      <w:r>
        <w:t>statements</w:t>
      </w:r>
      <w:r>
        <w:rPr>
          <w:spacing w:val="-23"/>
        </w:rPr>
        <w:t xml:space="preserve"> </w:t>
      </w:r>
      <w:r>
        <w:t>of</w:t>
      </w:r>
      <w:r>
        <w:rPr>
          <w:spacing w:val="-31"/>
        </w:rPr>
        <w:t xml:space="preserve"> </w:t>
      </w:r>
      <w:r>
        <w:t>Western</w:t>
      </w:r>
      <w:r>
        <w:rPr>
          <w:spacing w:val="-27"/>
        </w:rPr>
        <w:t xml:space="preserve"> </w:t>
      </w:r>
      <w:r>
        <w:t>Sydney</w:t>
      </w:r>
      <w:r>
        <w:rPr>
          <w:spacing w:val="-25"/>
        </w:rPr>
        <w:t xml:space="preserve"> </w:t>
      </w:r>
      <w:r>
        <w:t>University</w:t>
      </w:r>
      <w:r>
        <w:rPr>
          <w:spacing w:val="-21"/>
        </w:rPr>
        <w:t xml:space="preserve"> </w:t>
      </w:r>
      <w:r>
        <w:t>for</w:t>
      </w:r>
      <w:r>
        <w:rPr>
          <w:spacing w:val="-30"/>
        </w:rPr>
        <w:t xml:space="preserve"> </w:t>
      </w:r>
      <w:r>
        <w:t>the</w:t>
      </w:r>
      <w:r>
        <w:rPr>
          <w:spacing w:val="-31"/>
        </w:rPr>
        <w:t xml:space="preserve"> </w:t>
      </w:r>
      <w:r>
        <w:t>year</w:t>
      </w:r>
      <w:r>
        <w:rPr>
          <w:spacing w:val="-30"/>
        </w:rPr>
        <w:t xml:space="preserve"> </w:t>
      </w:r>
      <w:r>
        <w:t>ended 31 December 2018, I declare, to the best of my knowledge and belief, there have been no contraventions</w:t>
      </w:r>
      <w:r>
        <w:rPr>
          <w:spacing w:val="-15"/>
        </w:rPr>
        <w:t xml:space="preserve"> </w:t>
      </w:r>
      <w:r>
        <w:t>of</w:t>
      </w:r>
      <w:r>
        <w:rPr>
          <w:spacing w:val="-12"/>
        </w:rPr>
        <w:t xml:space="preserve"> </w:t>
      </w:r>
      <w:r>
        <w:t>any</w:t>
      </w:r>
      <w:r>
        <w:rPr>
          <w:spacing w:val="-5"/>
        </w:rPr>
        <w:t xml:space="preserve"> </w:t>
      </w:r>
      <w:r>
        <w:t>applicable</w:t>
      </w:r>
      <w:r>
        <w:rPr>
          <w:spacing w:val="-12"/>
        </w:rPr>
        <w:t xml:space="preserve"> </w:t>
      </w:r>
      <w:r>
        <w:t>code</w:t>
      </w:r>
      <w:r>
        <w:rPr>
          <w:spacing w:val="-10"/>
        </w:rPr>
        <w:t xml:space="preserve"> </w:t>
      </w:r>
      <w:r>
        <w:t>of</w:t>
      </w:r>
      <w:r>
        <w:rPr>
          <w:spacing w:val="-10"/>
        </w:rPr>
        <w:t xml:space="preserve"> </w:t>
      </w:r>
      <w:r>
        <w:t>professional</w:t>
      </w:r>
      <w:r>
        <w:rPr>
          <w:spacing w:val="-1"/>
        </w:rPr>
        <w:t xml:space="preserve"> </w:t>
      </w:r>
      <w:r>
        <w:t>conduct</w:t>
      </w:r>
      <w:r>
        <w:rPr>
          <w:spacing w:val="-2"/>
        </w:rPr>
        <w:t xml:space="preserve"> </w:t>
      </w:r>
      <w:r>
        <w:t>in</w:t>
      </w:r>
      <w:r>
        <w:rPr>
          <w:spacing w:val="-15"/>
        </w:rPr>
        <w:t xml:space="preserve"> </w:t>
      </w:r>
      <w:r>
        <w:t>relation</w:t>
      </w:r>
      <w:r>
        <w:rPr>
          <w:spacing w:val="-1"/>
        </w:rPr>
        <w:t xml:space="preserve"> </w:t>
      </w:r>
      <w:r>
        <w:t>to</w:t>
      </w:r>
      <w:r>
        <w:rPr>
          <w:spacing w:val="-13"/>
        </w:rPr>
        <w:t xml:space="preserve"> </w:t>
      </w:r>
      <w:r>
        <w:t>the</w:t>
      </w:r>
      <w:r>
        <w:rPr>
          <w:spacing w:val="-10"/>
        </w:rPr>
        <w:t xml:space="preserve"> </w:t>
      </w:r>
      <w:r>
        <w:t>audit.</w:t>
      </w:r>
    </w:p>
    <w:p w14:paraId="67468261" w14:textId="77777777" w:rsidR="00FA4AA8" w:rsidRDefault="00FA4AA8">
      <w:pPr>
        <w:pStyle w:val="BodyText"/>
        <w:rPr>
          <w:sz w:val="20"/>
        </w:rPr>
      </w:pPr>
    </w:p>
    <w:p w14:paraId="1704C46B" w14:textId="77777777" w:rsidR="00FA4AA8" w:rsidRDefault="00FA4AA8">
      <w:pPr>
        <w:pStyle w:val="BodyText"/>
        <w:rPr>
          <w:sz w:val="20"/>
        </w:rPr>
      </w:pPr>
    </w:p>
    <w:p w14:paraId="2CEFF60B" w14:textId="77777777" w:rsidR="00FA4AA8" w:rsidRDefault="00FA4AA8">
      <w:pPr>
        <w:pStyle w:val="BodyText"/>
        <w:rPr>
          <w:sz w:val="20"/>
        </w:rPr>
      </w:pPr>
    </w:p>
    <w:p w14:paraId="0CBECE2E" w14:textId="77777777" w:rsidR="00FA4AA8" w:rsidRDefault="00FA4AA8">
      <w:pPr>
        <w:pStyle w:val="BodyText"/>
        <w:rPr>
          <w:sz w:val="20"/>
        </w:rPr>
      </w:pPr>
    </w:p>
    <w:p w14:paraId="0EF86772" w14:textId="77777777" w:rsidR="00FA4AA8" w:rsidRDefault="0015611F">
      <w:pPr>
        <w:pStyle w:val="BodyText"/>
        <w:spacing w:before="4"/>
        <w:rPr>
          <w:sz w:val="29"/>
        </w:rPr>
      </w:pPr>
      <w:r>
        <w:rPr>
          <w:noProof/>
          <w:lang w:val="en-AU" w:eastAsia="en-AU"/>
        </w:rPr>
        <w:drawing>
          <wp:anchor distT="0" distB="0" distL="0" distR="0" simplePos="0" relativeHeight="7" behindDoc="0" locked="0" layoutInCell="1" allowOverlap="1" wp14:anchorId="5D442A0B" wp14:editId="1B0DDB2A">
            <wp:simplePos x="0" y="0"/>
            <wp:positionH relativeFrom="page">
              <wp:posOffset>771195</wp:posOffset>
            </wp:positionH>
            <wp:positionV relativeFrom="paragraph">
              <wp:posOffset>239160</wp:posOffset>
            </wp:positionV>
            <wp:extent cx="2575487" cy="265175"/>
            <wp:effectExtent l="0" t="0" r="0" b="0"/>
            <wp:wrapTopAndBottom/>
            <wp:docPr id="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jpeg"/>
                    <pic:cNvPicPr/>
                  </pic:nvPicPr>
                  <pic:blipFill>
                    <a:blip r:embed="rId23" cstate="print"/>
                    <a:stretch>
                      <a:fillRect/>
                    </a:stretch>
                  </pic:blipFill>
                  <pic:spPr>
                    <a:xfrm>
                      <a:off x="0" y="0"/>
                      <a:ext cx="2575487" cy="265175"/>
                    </a:xfrm>
                    <a:prstGeom prst="rect">
                      <a:avLst/>
                    </a:prstGeom>
                  </pic:spPr>
                </pic:pic>
              </a:graphicData>
            </a:graphic>
          </wp:anchor>
        </w:drawing>
      </w:r>
    </w:p>
    <w:p w14:paraId="6AA544BF" w14:textId="77777777" w:rsidR="00FA4AA8" w:rsidRDefault="0015611F">
      <w:pPr>
        <w:spacing w:before="77" w:line="232" w:lineRule="auto"/>
        <w:ind w:left="711" w:right="7560" w:hanging="12"/>
        <w:rPr>
          <w:sz w:val="21"/>
        </w:rPr>
      </w:pPr>
      <w:r>
        <w:rPr>
          <w:sz w:val="21"/>
        </w:rPr>
        <w:t xml:space="preserve">Margaret Crawford </w:t>
      </w:r>
      <w:r>
        <w:rPr>
          <w:w w:val="95"/>
          <w:sz w:val="21"/>
        </w:rPr>
        <w:t>Auditor-General of NSW</w:t>
      </w:r>
    </w:p>
    <w:p w14:paraId="614B4666" w14:textId="77777777" w:rsidR="00FA4AA8" w:rsidRDefault="00FA4AA8">
      <w:pPr>
        <w:pStyle w:val="BodyText"/>
        <w:rPr>
          <w:sz w:val="22"/>
        </w:rPr>
      </w:pPr>
    </w:p>
    <w:p w14:paraId="1FD8B04A" w14:textId="77777777" w:rsidR="00FA4AA8" w:rsidRDefault="00FA4AA8">
      <w:pPr>
        <w:pStyle w:val="BodyText"/>
        <w:spacing w:before="5"/>
        <w:rPr>
          <w:sz w:val="29"/>
        </w:rPr>
      </w:pPr>
    </w:p>
    <w:p w14:paraId="56EFDCAD" w14:textId="77777777" w:rsidR="00FA4AA8" w:rsidRDefault="0015611F">
      <w:pPr>
        <w:spacing w:line="249" w:lineRule="auto"/>
        <w:ind w:left="706" w:right="7887" w:firstLine="163"/>
        <w:rPr>
          <w:sz w:val="20"/>
        </w:rPr>
      </w:pPr>
      <w:r>
        <w:rPr>
          <w:sz w:val="20"/>
        </w:rPr>
        <w:t>April 2019 SYDNEY</w:t>
      </w:r>
    </w:p>
    <w:p w14:paraId="4AF1B1DD" w14:textId="77777777" w:rsidR="00FA4AA8" w:rsidRDefault="00FA4AA8">
      <w:pPr>
        <w:pStyle w:val="BodyText"/>
        <w:rPr>
          <w:sz w:val="20"/>
        </w:rPr>
      </w:pPr>
    </w:p>
    <w:p w14:paraId="35413D08" w14:textId="77777777" w:rsidR="00FA4AA8" w:rsidRDefault="00FA4AA8">
      <w:pPr>
        <w:pStyle w:val="BodyText"/>
        <w:rPr>
          <w:sz w:val="20"/>
        </w:rPr>
      </w:pPr>
    </w:p>
    <w:p w14:paraId="22CF3C44" w14:textId="77777777" w:rsidR="00FA4AA8" w:rsidRDefault="00FA4AA8">
      <w:pPr>
        <w:pStyle w:val="BodyText"/>
        <w:rPr>
          <w:sz w:val="20"/>
        </w:rPr>
      </w:pPr>
    </w:p>
    <w:p w14:paraId="0347C6D0" w14:textId="77777777" w:rsidR="00FA4AA8" w:rsidRDefault="00FA4AA8">
      <w:pPr>
        <w:pStyle w:val="BodyText"/>
        <w:rPr>
          <w:sz w:val="20"/>
        </w:rPr>
      </w:pPr>
    </w:p>
    <w:p w14:paraId="73A2BF53" w14:textId="77777777" w:rsidR="00FA4AA8" w:rsidRDefault="00FA4AA8">
      <w:pPr>
        <w:pStyle w:val="BodyText"/>
        <w:rPr>
          <w:sz w:val="20"/>
        </w:rPr>
      </w:pPr>
    </w:p>
    <w:p w14:paraId="4592C1F9" w14:textId="77777777" w:rsidR="00FA4AA8" w:rsidRDefault="00FA4AA8">
      <w:pPr>
        <w:pStyle w:val="BodyText"/>
        <w:rPr>
          <w:sz w:val="20"/>
        </w:rPr>
      </w:pPr>
    </w:p>
    <w:p w14:paraId="2A2850BD" w14:textId="77777777" w:rsidR="00FA4AA8" w:rsidRDefault="00FA4AA8">
      <w:pPr>
        <w:pStyle w:val="BodyText"/>
        <w:rPr>
          <w:sz w:val="20"/>
        </w:rPr>
      </w:pPr>
    </w:p>
    <w:p w14:paraId="67AE2FFC" w14:textId="77777777" w:rsidR="00FA4AA8" w:rsidRDefault="00FA4AA8">
      <w:pPr>
        <w:pStyle w:val="BodyText"/>
        <w:rPr>
          <w:sz w:val="20"/>
        </w:rPr>
      </w:pPr>
    </w:p>
    <w:p w14:paraId="2073C1C6" w14:textId="77777777" w:rsidR="00FA4AA8" w:rsidRDefault="00FA4AA8">
      <w:pPr>
        <w:pStyle w:val="BodyText"/>
        <w:rPr>
          <w:sz w:val="20"/>
        </w:rPr>
      </w:pPr>
    </w:p>
    <w:p w14:paraId="13DD79A3" w14:textId="77777777" w:rsidR="00FA4AA8" w:rsidRDefault="00FA4AA8">
      <w:pPr>
        <w:pStyle w:val="BodyText"/>
        <w:rPr>
          <w:sz w:val="20"/>
        </w:rPr>
      </w:pPr>
    </w:p>
    <w:p w14:paraId="3290183D" w14:textId="77777777" w:rsidR="00FA4AA8" w:rsidRDefault="00FA4AA8">
      <w:pPr>
        <w:pStyle w:val="BodyText"/>
        <w:rPr>
          <w:sz w:val="20"/>
        </w:rPr>
      </w:pPr>
    </w:p>
    <w:p w14:paraId="5CFEB493" w14:textId="77777777" w:rsidR="00FA4AA8" w:rsidRDefault="00FA4AA8">
      <w:pPr>
        <w:pStyle w:val="BodyText"/>
        <w:rPr>
          <w:sz w:val="20"/>
        </w:rPr>
      </w:pPr>
    </w:p>
    <w:p w14:paraId="32625221" w14:textId="77777777" w:rsidR="00FA4AA8" w:rsidRDefault="00FA4AA8">
      <w:pPr>
        <w:pStyle w:val="BodyText"/>
        <w:rPr>
          <w:sz w:val="20"/>
        </w:rPr>
      </w:pPr>
    </w:p>
    <w:p w14:paraId="00F596F5" w14:textId="77777777" w:rsidR="00FA4AA8" w:rsidRDefault="00FA4AA8">
      <w:pPr>
        <w:pStyle w:val="BodyText"/>
        <w:rPr>
          <w:sz w:val="20"/>
        </w:rPr>
      </w:pPr>
    </w:p>
    <w:p w14:paraId="68ACD5BF" w14:textId="77777777" w:rsidR="00FA4AA8" w:rsidRDefault="00FA4AA8">
      <w:pPr>
        <w:pStyle w:val="BodyText"/>
        <w:rPr>
          <w:sz w:val="20"/>
        </w:rPr>
      </w:pPr>
    </w:p>
    <w:p w14:paraId="4990E8B0" w14:textId="77777777" w:rsidR="00FA4AA8" w:rsidRDefault="00FA4AA8">
      <w:pPr>
        <w:pStyle w:val="BodyText"/>
        <w:rPr>
          <w:sz w:val="20"/>
        </w:rPr>
      </w:pPr>
    </w:p>
    <w:p w14:paraId="573B873F" w14:textId="77777777" w:rsidR="00FA4AA8" w:rsidRDefault="00FA4AA8">
      <w:pPr>
        <w:pStyle w:val="BodyText"/>
        <w:rPr>
          <w:sz w:val="20"/>
        </w:rPr>
      </w:pPr>
    </w:p>
    <w:p w14:paraId="21C05787" w14:textId="77777777" w:rsidR="00FA4AA8" w:rsidRDefault="00FA4AA8">
      <w:pPr>
        <w:pStyle w:val="BodyText"/>
        <w:rPr>
          <w:sz w:val="20"/>
        </w:rPr>
      </w:pPr>
    </w:p>
    <w:p w14:paraId="6AEA8F23" w14:textId="77777777" w:rsidR="00FA4AA8" w:rsidRDefault="00FA4AA8">
      <w:pPr>
        <w:pStyle w:val="BodyText"/>
        <w:rPr>
          <w:sz w:val="20"/>
        </w:rPr>
      </w:pPr>
    </w:p>
    <w:p w14:paraId="43821B4A" w14:textId="77777777" w:rsidR="00FA4AA8" w:rsidRDefault="00FA4AA8">
      <w:pPr>
        <w:pStyle w:val="BodyText"/>
        <w:rPr>
          <w:sz w:val="20"/>
        </w:rPr>
      </w:pPr>
    </w:p>
    <w:p w14:paraId="715DBD2C" w14:textId="77777777" w:rsidR="00FA4AA8" w:rsidRDefault="00FA4AA8">
      <w:pPr>
        <w:pStyle w:val="BodyText"/>
        <w:rPr>
          <w:sz w:val="20"/>
        </w:rPr>
      </w:pPr>
    </w:p>
    <w:p w14:paraId="342F3247" w14:textId="77777777" w:rsidR="00FA4AA8" w:rsidRDefault="00FA4AA8">
      <w:pPr>
        <w:pStyle w:val="BodyText"/>
        <w:rPr>
          <w:sz w:val="20"/>
        </w:rPr>
      </w:pPr>
    </w:p>
    <w:p w14:paraId="11A899D9" w14:textId="77777777" w:rsidR="00FA4AA8" w:rsidRDefault="00FA4AA8">
      <w:pPr>
        <w:pStyle w:val="BodyText"/>
        <w:rPr>
          <w:sz w:val="20"/>
        </w:rPr>
      </w:pPr>
    </w:p>
    <w:p w14:paraId="0C22DB53" w14:textId="77777777" w:rsidR="00FA4AA8" w:rsidRDefault="00FA4AA8">
      <w:pPr>
        <w:pStyle w:val="BodyText"/>
        <w:rPr>
          <w:sz w:val="20"/>
        </w:rPr>
      </w:pPr>
    </w:p>
    <w:p w14:paraId="3044A930" w14:textId="77777777" w:rsidR="00FA4AA8" w:rsidRDefault="00FA4AA8">
      <w:pPr>
        <w:pStyle w:val="BodyText"/>
        <w:rPr>
          <w:sz w:val="20"/>
        </w:rPr>
      </w:pPr>
    </w:p>
    <w:p w14:paraId="551B6C74" w14:textId="77777777" w:rsidR="00FA4AA8" w:rsidRDefault="00FA4AA8">
      <w:pPr>
        <w:pStyle w:val="BodyText"/>
        <w:rPr>
          <w:sz w:val="20"/>
        </w:rPr>
      </w:pPr>
    </w:p>
    <w:p w14:paraId="181C8C10" w14:textId="77777777" w:rsidR="00FA4AA8" w:rsidRDefault="00FA4AA8">
      <w:pPr>
        <w:pStyle w:val="BodyText"/>
        <w:rPr>
          <w:sz w:val="20"/>
        </w:rPr>
      </w:pPr>
    </w:p>
    <w:p w14:paraId="1A360733" w14:textId="77777777" w:rsidR="00FA4AA8" w:rsidRDefault="007E2441">
      <w:pPr>
        <w:pStyle w:val="BodyText"/>
        <w:spacing w:before="11"/>
        <w:rPr>
          <w:sz w:val="24"/>
        </w:rPr>
      </w:pPr>
      <w:r>
        <w:rPr>
          <w:noProof/>
          <w:lang w:val="en-AU" w:eastAsia="en-AU"/>
        </w:rPr>
        <mc:AlternateContent>
          <mc:Choice Requires="wps">
            <w:drawing>
              <wp:anchor distT="0" distB="0" distL="0" distR="0" simplePos="0" relativeHeight="487591936" behindDoc="1" locked="0" layoutInCell="1" allowOverlap="1" wp14:anchorId="7D9D94B3" wp14:editId="215E8AF2">
                <wp:simplePos x="0" y="0"/>
                <wp:positionH relativeFrom="page">
                  <wp:posOffset>518160</wp:posOffset>
                </wp:positionH>
                <wp:positionV relativeFrom="paragraph">
                  <wp:posOffset>214630</wp:posOffset>
                </wp:positionV>
                <wp:extent cx="4421505" cy="635"/>
                <wp:effectExtent l="0" t="0" r="0" b="0"/>
                <wp:wrapTopAndBottom/>
                <wp:docPr id="3683" name="Freeform 3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1505" cy="635"/>
                        </a:xfrm>
                        <a:custGeom>
                          <a:avLst/>
                          <a:gdLst>
                            <a:gd name="T0" fmla="+- 0 816 816"/>
                            <a:gd name="T1" fmla="*/ T0 w 10240"/>
                            <a:gd name="T2" fmla="+- 0 11055 816"/>
                            <a:gd name="T3" fmla="*/ T2 w 10240"/>
                          </a:gdLst>
                          <a:ahLst/>
                          <a:cxnLst>
                            <a:cxn ang="0">
                              <a:pos x="T1" y="0"/>
                            </a:cxn>
                            <a:cxn ang="0">
                              <a:pos x="T3" y="0"/>
                            </a:cxn>
                          </a:cxnLst>
                          <a:rect l="0" t="0" r="r" b="b"/>
                          <a:pathLst>
                            <a:path w="10240">
                              <a:moveTo>
                                <a:pt x="0" y="0"/>
                              </a:moveTo>
                              <a:lnTo>
                                <a:pt x="10239" y="0"/>
                              </a:lnTo>
                            </a:path>
                          </a:pathLst>
                        </a:custGeom>
                        <a:noFill/>
                        <a:ln w="152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0CD7D" id="Freeform 3449" o:spid="_x0000_s1026" style="position:absolute;margin-left:40.8pt;margin-top:16.9pt;width:348.15pt;height:.05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40,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" path="m,l10239,e" filled="f" strokeweight=".42336mm">
                <v:path arrowok="t" o:connecttype="custom" o:connectlocs="0,0;4421073,0" o:connectangles="0,0"/>
                <w10:wrap type="topAndBottom" anchorx="page"/>
              </v:shape>
            </w:pict>
          </mc:Fallback>
        </mc:AlternateContent>
      </w:r>
    </w:p>
    <w:p w14:paraId="25BEEAA6" w14:textId="77777777" w:rsidR="00FA4AA8" w:rsidRDefault="0015611F">
      <w:pPr>
        <w:spacing w:before="118"/>
        <w:ind w:left="95" w:right="80"/>
        <w:jc w:val="center"/>
        <w:rPr>
          <w:sz w:val="16"/>
        </w:rPr>
      </w:pPr>
      <w:r>
        <w:rPr>
          <w:w w:val="95"/>
          <w:sz w:val="16"/>
        </w:rPr>
        <w:t>Level</w:t>
      </w:r>
      <w:r>
        <w:rPr>
          <w:spacing w:val="-30"/>
          <w:w w:val="95"/>
          <w:sz w:val="16"/>
        </w:rPr>
        <w:t xml:space="preserve"> </w:t>
      </w:r>
      <w:r>
        <w:rPr>
          <w:w w:val="95"/>
          <w:sz w:val="16"/>
        </w:rPr>
        <w:t>15,</w:t>
      </w:r>
      <w:r>
        <w:rPr>
          <w:spacing w:val="-32"/>
          <w:w w:val="95"/>
          <w:sz w:val="16"/>
        </w:rPr>
        <w:t xml:space="preserve"> </w:t>
      </w:r>
      <w:r>
        <w:rPr>
          <w:w w:val="95"/>
          <w:sz w:val="16"/>
        </w:rPr>
        <w:t>1</w:t>
      </w:r>
      <w:r>
        <w:rPr>
          <w:spacing w:val="-31"/>
          <w:w w:val="95"/>
          <w:sz w:val="16"/>
        </w:rPr>
        <w:t xml:space="preserve"> </w:t>
      </w:r>
      <w:r>
        <w:rPr>
          <w:w w:val="95"/>
          <w:sz w:val="16"/>
        </w:rPr>
        <w:t>Margaret</w:t>
      </w:r>
      <w:r>
        <w:rPr>
          <w:spacing w:val="-24"/>
          <w:w w:val="95"/>
          <w:sz w:val="16"/>
        </w:rPr>
        <w:t xml:space="preserve"> </w:t>
      </w:r>
      <w:r>
        <w:rPr>
          <w:w w:val="95"/>
          <w:sz w:val="16"/>
        </w:rPr>
        <w:t>Street,</w:t>
      </w:r>
      <w:r>
        <w:rPr>
          <w:spacing w:val="-25"/>
          <w:w w:val="95"/>
          <w:sz w:val="16"/>
        </w:rPr>
        <w:t xml:space="preserve"> </w:t>
      </w:r>
      <w:r w:rsidR="00596FA7">
        <w:rPr>
          <w:w w:val="95"/>
          <w:sz w:val="16"/>
        </w:rPr>
        <w:t>Sydne</w:t>
      </w:r>
      <w:r>
        <w:rPr>
          <w:w w:val="95"/>
          <w:sz w:val="16"/>
        </w:rPr>
        <w:t>y</w:t>
      </w:r>
      <w:r>
        <w:rPr>
          <w:spacing w:val="-24"/>
          <w:w w:val="95"/>
          <w:sz w:val="16"/>
        </w:rPr>
        <w:t xml:space="preserve"> </w:t>
      </w:r>
      <w:r>
        <w:rPr>
          <w:w w:val="95"/>
          <w:sz w:val="16"/>
        </w:rPr>
        <w:t>NSW</w:t>
      </w:r>
      <w:r>
        <w:rPr>
          <w:spacing w:val="-26"/>
          <w:w w:val="95"/>
          <w:sz w:val="16"/>
        </w:rPr>
        <w:t xml:space="preserve"> </w:t>
      </w:r>
      <w:r>
        <w:rPr>
          <w:w w:val="95"/>
          <w:sz w:val="16"/>
        </w:rPr>
        <w:t>2000</w:t>
      </w:r>
      <w:r>
        <w:rPr>
          <w:spacing w:val="-16"/>
          <w:w w:val="95"/>
          <w:sz w:val="16"/>
        </w:rPr>
        <w:t xml:space="preserve"> </w:t>
      </w:r>
      <w:r>
        <w:rPr>
          <w:w w:val="95"/>
          <w:sz w:val="16"/>
        </w:rPr>
        <w:t>I</w:t>
      </w:r>
      <w:r>
        <w:rPr>
          <w:spacing w:val="-18"/>
          <w:w w:val="95"/>
          <w:sz w:val="16"/>
        </w:rPr>
        <w:t xml:space="preserve"> </w:t>
      </w:r>
      <w:r>
        <w:rPr>
          <w:w w:val="95"/>
          <w:sz w:val="16"/>
        </w:rPr>
        <w:t>GPO</w:t>
      </w:r>
      <w:r>
        <w:rPr>
          <w:spacing w:val="-31"/>
          <w:w w:val="95"/>
          <w:sz w:val="16"/>
        </w:rPr>
        <w:t xml:space="preserve"> </w:t>
      </w:r>
      <w:r>
        <w:rPr>
          <w:w w:val="95"/>
          <w:sz w:val="16"/>
        </w:rPr>
        <w:t>Box</w:t>
      </w:r>
      <w:r>
        <w:rPr>
          <w:spacing w:val="-22"/>
          <w:w w:val="95"/>
          <w:sz w:val="16"/>
        </w:rPr>
        <w:t xml:space="preserve"> </w:t>
      </w:r>
      <w:r w:rsidR="00596FA7">
        <w:rPr>
          <w:w w:val="90"/>
          <w:sz w:val="16"/>
        </w:rPr>
        <w:t>1</w:t>
      </w:r>
      <w:r>
        <w:rPr>
          <w:w w:val="95"/>
          <w:sz w:val="16"/>
        </w:rPr>
        <w:t>2,</w:t>
      </w:r>
      <w:r>
        <w:rPr>
          <w:spacing w:val="-27"/>
          <w:w w:val="95"/>
          <w:sz w:val="16"/>
        </w:rPr>
        <w:t xml:space="preserve"> </w:t>
      </w:r>
      <w:r>
        <w:rPr>
          <w:w w:val="95"/>
          <w:sz w:val="16"/>
        </w:rPr>
        <w:t>Sydney</w:t>
      </w:r>
      <w:r>
        <w:rPr>
          <w:spacing w:val="-23"/>
          <w:w w:val="95"/>
          <w:sz w:val="16"/>
        </w:rPr>
        <w:t xml:space="preserve"> </w:t>
      </w:r>
      <w:r>
        <w:rPr>
          <w:w w:val="95"/>
          <w:sz w:val="16"/>
        </w:rPr>
        <w:t>NSW</w:t>
      </w:r>
      <w:r>
        <w:rPr>
          <w:spacing w:val="-28"/>
          <w:w w:val="95"/>
          <w:sz w:val="16"/>
        </w:rPr>
        <w:t xml:space="preserve"> </w:t>
      </w:r>
      <w:r>
        <w:rPr>
          <w:w w:val="95"/>
          <w:sz w:val="16"/>
        </w:rPr>
        <w:t>2001</w:t>
      </w:r>
      <w:r>
        <w:rPr>
          <w:spacing w:val="-15"/>
          <w:w w:val="95"/>
          <w:sz w:val="16"/>
        </w:rPr>
        <w:t xml:space="preserve"> </w:t>
      </w:r>
      <w:r>
        <w:rPr>
          <w:w w:val="95"/>
          <w:sz w:val="16"/>
        </w:rPr>
        <w:t>I</w:t>
      </w:r>
      <w:r>
        <w:rPr>
          <w:spacing w:val="-16"/>
          <w:w w:val="95"/>
          <w:sz w:val="16"/>
        </w:rPr>
        <w:t xml:space="preserve"> </w:t>
      </w:r>
      <w:r>
        <w:rPr>
          <w:w w:val="95"/>
          <w:sz w:val="16"/>
        </w:rPr>
        <w:t>t02</w:t>
      </w:r>
      <w:r>
        <w:rPr>
          <w:spacing w:val="-31"/>
          <w:w w:val="95"/>
          <w:sz w:val="16"/>
        </w:rPr>
        <w:t xml:space="preserve"> </w:t>
      </w:r>
      <w:r>
        <w:rPr>
          <w:w w:val="95"/>
          <w:sz w:val="16"/>
        </w:rPr>
        <w:t>9275</w:t>
      </w:r>
      <w:r>
        <w:rPr>
          <w:spacing w:val="-28"/>
          <w:w w:val="95"/>
          <w:sz w:val="16"/>
        </w:rPr>
        <w:t xml:space="preserve"> </w:t>
      </w:r>
      <w:r>
        <w:rPr>
          <w:w w:val="95"/>
          <w:sz w:val="16"/>
        </w:rPr>
        <w:t>7101</w:t>
      </w:r>
      <w:r>
        <w:rPr>
          <w:spacing w:val="-13"/>
          <w:w w:val="95"/>
          <w:sz w:val="16"/>
        </w:rPr>
        <w:t xml:space="preserve"> </w:t>
      </w:r>
      <w:r>
        <w:rPr>
          <w:w w:val="95"/>
          <w:sz w:val="16"/>
        </w:rPr>
        <w:t>I</w:t>
      </w:r>
      <w:r>
        <w:rPr>
          <w:spacing w:val="-15"/>
          <w:w w:val="95"/>
          <w:sz w:val="16"/>
        </w:rPr>
        <w:t xml:space="preserve"> </w:t>
      </w:r>
      <w:r>
        <w:rPr>
          <w:w w:val="95"/>
          <w:sz w:val="16"/>
        </w:rPr>
        <w:t>f</w:t>
      </w:r>
      <w:r>
        <w:rPr>
          <w:spacing w:val="-27"/>
          <w:w w:val="95"/>
          <w:sz w:val="16"/>
        </w:rPr>
        <w:t xml:space="preserve"> </w:t>
      </w:r>
      <w:r>
        <w:rPr>
          <w:w w:val="95"/>
          <w:sz w:val="16"/>
        </w:rPr>
        <w:t>02</w:t>
      </w:r>
      <w:r>
        <w:rPr>
          <w:spacing w:val="-29"/>
          <w:w w:val="95"/>
          <w:sz w:val="16"/>
        </w:rPr>
        <w:t xml:space="preserve"> </w:t>
      </w:r>
      <w:r>
        <w:rPr>
          <w:w w:val="95"/>
          <w:sz w:val="16"/>
        </w:rPr>
        <w:t>9275</w:t>
      </w:r>
      <w:r>
        <w:rPr>
          <w:spacing w:val="-27"/>
          <w:w w:val="95"/>
          <w:sz w:val="16"/>
        </w:rPr>
        <w:t xml:space="preserve"> </w:t>
      </w:r>
      <w:r>
        <w:rPr>
          <w:w w:val="95"/>
          <w:sz w:val="16"/>
        </w:rPr>
        <w:t>7179</w:t>
      </w:r>
      <w:r>
        <w:rPr>
          <w:spacing w:val="-11"/>
          <w:w w:val="95"/>
          <w:sz w:val="16"/>
        </w:rPr>
        <w:t xml:space="preserve"> </w:t>
      </w:r>
      <w:r>
        <w:rPr>
          <w:w w:val="95"/>
          <w:sz w:val="16"/>
        </w:rPr>
        <w:t>I</w:t>
      </w:r>
      <w:r>
        <w:rPr>
          <w:spacing w:val="-18"/>
          <w:w w:val="95"/>
          <w:sz w:val="16"/>
        </w:rPr>
        <w:t xml:space="preserve"> </w:t>
      </w:r>
      <w:r>
        <w:rPr>
          <w:w w:val="95"/>
          <w:sz w:val="16"/>
        </w:rPr>
        <w:t>e</w:t>
      </w:r>
      <w:r>
        <w:rPr>
          <w:spacing w:val="-32"/>
          <w:w w:val="95"/>
          <w:sz w:val="16"/>
        </w:rPr>
        <w:t xml:space="preserve"> </w:t>
      </w:r>
      <w:hyperlink r:id="rId24">
        <w:r>
          <w:rPr>
            <w:w w:val="95"/>
            <w:sz w:val="16"/>
          </w:rPr>
          <w:t>mail@audit.new.gov.au</w:t>
        </w:r>
      </w:hyperlink>
      <w:r>
        <w:rPr>
          <w:spacing w:val="-16"/>
          <w:w w:val="95"/>
          <w:sz w:val="16"/>
        </w:rPr>
        <w:t xml:space="preserve"> </w:t>
      </w:r>
      <w:r>
        <w:rPr>
          <w:w w:val="95"/>
          <w:sz w:val="16"/>
        </w:rPr>
        <w:t>I</w:t>
      </w:r>
      <w:r>
        <w:rPr>
          <w:spacing w:val="-17"/>
          <w:w w:val="95"/>
          <w:sz w:val="16"/>
        </w:rPr>
        <w:t xml:space="preserve"> </w:t>
      </w:r>
      <w:r>
        <w:rPr>
          <w:w w:val="95"/>
          <w:sz w:val="16"/>
        </w:rPr>
        <w:t>audit.nsw.gov.au</w:t>
      </w:r>
    </w:p>
    <w:p w14:paraId="283CA1D8" w14:textId="77777777" w:rsidR="00FA4AA8" w:rsidRDefault="0015611F">
      <w:pPr>
        <w:spacing w:before="55"/>
        <w:ind w:left="39"/>
        <w:jc w:val="center"/>
        <w:rPr>
          <w:sz w:val="16"/>
        </w:rPr>
      </w:pPr>
      <w:r>
        <w:rPr>
          <w:sz w:val="16"/>
        </w:rPr>
        <w:t>6</w:t>
      </w:r>
    </w:p>
    <w:p w14:paraId="3919B682" w14:textId="77777777" w:rsidR="00FA4AA8" w:rsidRDefault="00FA4AA8">
      <w:pPr>
        <w:jc w:val="center"/>
        <w:rPr>
          <w:sz w:val="16"/>
        </w:rPr>
        <w:sectPr w:rsidR="00FA4AA8">
          <w:headerReference w:type="default" r:id="rId25"/>
          <w:footerReference w:type="default" r:id="rId26"/>
          <w:pgSz w:w="11900" w:h="16840"/>
          <w:pgMar w:top="20" w:right="740" w:bottom="0" w:left="700" w:header="0" w:footer="0" w:gutter="0"/>
          <w:cols w:space="720"/>
        </w:sectPr>
      </w:pPr>
    </w:p>
    <w:p w14:paraId="2A7B674E" w14:textId="77777777" w:rsidR="00FA4AA8" w:rsidRDefault="0015611F">
      <w:pPr>
        <w:pStyle w:val="BodyText"/>
        <w:spacing w:before="73"/>
        <w:ind w:left="167"/>
      </w:pPr>
      <w:r>
        <w:t>Start of Audited Financial Statements</w:t>
      </w:r>
    </w:p>
    <w:p w14:paraId="5B36D927" w14:textId="77777777" w:rsidR="00FA4AA8" w:rsidRDefault="00FA4AA8">
      <w:pPr>
        <w:pStyle w:val="BodyText"/>
        <w:spacing w:before="10"/>
        <w:rPr>
          <w:sz w:val="15"/>
        </w:rPr>
      </w:pPr>
    </w:p>
    <w:p w14:paraId="62358163" w14:textId="77777777" w:rsidR="00FA4AA8" w:rsidRDefault="0015611F">
      <w:pPr>
        <w:ind w:left="167"/>
        <w:rPr>
          <w:b/>
        </w:rPr>
      </w:pPr>
      <w:r>
        <w:rPr>
          <w:b/>
        </w:rPr>
        <w:t>Western Sydney University</w:t>
      </w:r>
    </w:p>
    <w:p w14:paraId="39B19319" w14:textId="77777777" w:rsidR="00FA4AA8" w:rsidRDefault="00FA4AA8">
      <w:pPr>
        <w:pStyle w:val="BodyText"/>
        <w:spacing w:before="6"/>
        <w:rPr>
          <w:b/>
          <w:sz w:val="29"/>
        </w:rPr>
      </w:pPr>
    </w:p>
    <w:p w14:paraId="6C6501A4" w14:textId="77777777" w:rsidR="00FA4AA8" w:rsidRDefault="0015611F">
      <w:pPr>
        <w:ind w:left="167"/>
        <w:rPr>
          <w:b/>
          <w:sz w:val="28"/>
        </w:rPr>
      </w:pPr>
      <w:bookmarkStart w:id="7" w:name="Income_Statement"/>
      <w:bookmarkEnd w:id="7"/>
      <w:r>
        <w:rPr>
          <w:b/>
          <w:sz w:val="28"/>
        </w:rPr>
        <w:t>Income Statement</w:t>
      </w:r>
    </w:p>
    <w:p w14:paraId="79FCEF6E" w14:textId="77777777" w:rsidR="00FA4AA8" w:rsidRDefault="0015611F">
      <w:pPr>
        <w:spacing w:before="53"/>
        <w:ind w:left="167"/>
        <w:rPr>
          <w:b/>
        </w:rPr>
      </w:pPr>
      <w:r>
        <w:rPr>
          <w:b/>
        </w:rPr>
        <w:t>For the Year Ended 31 December 2018</w:t>
      </w:r>
    </w:p>
    <w:p w14:paraId="777A3CBA" w14:textId="77777777" w:rsidR="00FA4AA8" w:rsidRDefault="00FA4AA8">
      <w:pPr>
        <w:pStyle w:val="BodyText"/>
        <w:spacing w:before="9"/>
        <w:rPr>
          <w:b/>
          <w:sz w:val="27"/>
        </w:rPr>
      </w:pPr>
    </w:p>
    <w:p w14:paraId="2778AFD2" w14:textId="77777777" w:rsidR="00FA4AA8" w:rsidRDefault="0015611F">
      <w:pPr>
        <w:tabs>
          <w:tab w:val="left" w:pos="8577"/>
        </w:tabs>
        <w:spacing w:before="94"/>
        <w:ind w:left="5853"/>
        <w:rPr>
          <w:b/>
          <w:sz w:val="18"/>
        </w:rPr>
      </w:pPr>
      <w:r>
        <w:rPr>
          <w:b/>
          <w:sz w:val="18"/>
        </w:rPr>
        <w:t>Consolidated</w:t>
      </w:r>
      <w:r>
        <w:rPr>
          <w:b/>
          <w:sz w:val="18"/>
        </w:rPr>
        <w:tab/>
        <w:t>Parent</w:t>
      </w:r>
    </w:p>
    <w:p w14:paraId="5BFDD5B1" w14:textId="77777777" w:rsidR="00FA4AA8" w:rsidRDefault="00FA4AA8">
      <w:pPr>
        <w:pStyle w:val="BodyText"/>
        <w:spacing w:before="3"/>
        <w:rPr>
          <w:b/>
          <w:sz w:val="6"/>
        </w:rPr>
      </w:pPr>
    </w:p>
    <w:tbl>
      <w:tblPr>
        <w:tblW w:w="0" w:type="auto"/>
        <w:tblInd w:w="168" w:type="dxa"/>
        <w:tblLayout w:type="fixed"/>
        <w:tblCellMar>
          <w:left w:w="0" w:type="dxa"/>
          <w:right w:w="0" w:type="dxa"/>
        </w:tblCellMar>
        <w:tblLook w:val="01E0" w:firstRow="1" w:lastRow="1" w:firstColumn="1" w:lastColumn="1" w:noHBand="0" w:noVBand="0"/>
      </w:tblPr>
      <w:tblGrid>
        <w:gridCol w:w="4248"/>
        <w:gridCol w:w="800"/>
        <w:gridCol w:w="1461"/>
        <w:gridCol w:w="1206"/>
        <w:gridCol w:w="1197"/>
        <w:gridCol w:w="1003"/>
      </w:tblGrid>
      <w:tr w:rsidR="00FA4AA8" w14:paraId="6E54E92F" w14:textId="77777777">
        <w:trPr>
          <w:trHeight w:val="1162"/>
        </w:trPr>
        <w:tc>
          <w:tcPr>
            <w:tcW w:w="4248" w:type="dxa"/>
          </w:tcPr>
          <w:p w14:paraId="33FBCF4D" w14:textId="77777777" w:rsidR="00FA4AA8" w:rsidRDefault="00FA4AA8">
            <w:pPr>
              <w:pStyle w:val="TableParagraph"/>
              <w:rPr>
                <w:b/>
                <w:sz w:val="20"/>
              </w:rPr>
            </w:pPr>
          </w:p>
          <w:p w14:paraId="5E4C9B4E" w14:textId="77777777" w:rsidR="00FA4AA8" w:rsidRDefault="00FA4AA8">
            <w:pPr>
              <w:pStyle w:val="TableParagraph"/>
              <w:rPr>
                <w:b/>
                <w:sz w:val="20"/>
              </w:rPr>
            </w:pPr>
          </w:p>
          <w:p w14:paraId="3BEEF37A" w14:textId="77777777" w:rsidR="00FA4AA8" w:rsidRDefault="0015611F">
            <w:pPr>
              <w:pStyle w:val="TableParagraph"/>
              <w:spacing w:before="160"/>
              <w:ind w:left="50"/>
              <w:rPr>
                <w:b/>
                <w:sz w:val="18"/>
              </w:rPr>
            </w:pPr>
            <w:r>
              <w:rPr>
                <w:b/>
                <w:sz w:val="18"/>
              </w:rPr>
              <w:t>Income from continuing operations</w:t>
            </w:r>
          </w:p>
          <w:p w14:paraId="58FF57A0" w14:textId="77777777" w:rsidR="00FA4AA8" w:rsidRDefault="0015611F">
            <w:pPr>
              <w:pStyle w:val="TableParagraph"/>
              <w:spacing w:before="112" w:line="203" w:lineRule="exact"/>
              <w:ind w:left="50"/>
              <w:rPr>
                <w:sz w:val="18"/>
              </w:rPr>
            </w:pPr>
            <w:r>
              <w:rPr>
                <w:sz w:val="18"/>
              </w:rPr>
              <w:t>Australian Government financial assistance</w:t>
            </w:r>
          </w:p>
        </w:tc>
        <w:tc>
          <w:tcPr>
            <w:tcW w:w="800" w:type="dxa"/>
          </w:tcPr>
          <w:p w14:paraId="56D179D4" w14:textId="77777777" w:rsidR="00FA4AA8" w:rsidRDefault="00FA4AA8">
            <w:pPr>
              <w:pStyle w:val="TableParagraph"/>
              <w:spacing w:before="3"/>
              <w:rPr>
                <w:b/>
                <w:sz w:val="23"/>
              </w:rPr>
            </w:pPr>
          </w:p>
          <w:p w14:paraId="3D3B98A7" w14:textId="77777777" w:rsidR="00FA4AA8" w:rsidRDefault="0015611F">
            <w:pPr>
              <w:pStyle w:val="TableParagraph"/>
              <w:ind w:left="298" w:right="61"/>
              <w:jc w:val="center"/>
              <w:rPr>
                <w:b/>
                <w:sz w:val="18"/>
              </w:rPr>
            </w:pPr>
            <w:r>
              <w:rPr>
                <w:b/>
                <w:sz w:val="18"/>
              </w:rPr>
              <w:t>Note</w:t>
            </w:r>
          </w:p>
        </w:tc>
        <w:tc>
          <w:tcPr>
            <w:tcW w:w="1461" w:type="dxa"/>
          </w:tcPr>
          <w:p w14:paraId="325C01F4" w14:textId="77777777" w:rsidR="00FA4AA8" w:rsidRDefault="0015611F">
            <w:pPr>
              <w:pStyle w:val="TableParagraph"/>
              <w:spacing w:line="201" w:lineRule="exact"/>
              <w:ind w:left="478" w:right="499"/>
              <w:jc w:val="center"/>
              <w:rPr>
                <w:b/>
                <w:sz w:val="18"/>
              </w:rPr>
            </w:pPr>
            <w:r>
              <w:rPr>
                <w:b/>
                <w:sz w:val="18"/>
              </w:rPr>
              <w:t>2018</w:t>
            </w:r>
          </w:p>
          <w:p w14:paraId="0EC3CBD4" w14:textId="77777777" w:rsidR="00FA4AA8" w:rsidRDefault="0015611F">
            <w:pPr>
              <w:pStyle w:val="TableParagraph"/>
              <w:spacing w:before="66"/>
              <w:ind w:left="478" w:right="499"/>
              <w:jc w:val="center"/>
              <w:rPr>
                <w:b/>
                <w:sz w:val="18"/>
              </w:rPr>
            </w:pPr>
            <w:r>
              <w:rPr>
                <w:b/>
                <w:sz w:val="18"/>
              </w:rPr>
              <w:t>$'000</w:t>
            </w:r>
          </w:p>
        </w:tc>
        <w:tc>
          <w:tcPr>
            <w:tcW w:w="1206" w:type="dxa"/>
          </w:tcPr>
          <w:p w14:paraId="086F43DC" w14:textId="77777777" w:rsidR="00FA4AA8" w:rsidRDefault="0015611F">
            <w:pPr>
              <w:pStyle w:val="TableParagraph"/>
              <w:spacing w:line="201" w:lineRule="exact"/>
              <w:ind w:left="208"/>
              <w:rPr>
                <w:b/>
                <w:sz w:val="18"/>
              </w:rPr>
            </w:pPr>
            <w:r>
              <w:rPr>
                <w:b/>
                <w:sz w:val="18"/>
              </w:rPr>
              <w:t>2017</w:t>
            </w:r>
          </w:p>
          <w:p w14:paraId="2F8AF91C" w14:textId="77777777" w:rsidR="00FA4AA8" w:rsidRDefault="0015611F">
            <w:pPr>
              <w:pStyle w:val="TableParagraph"/>
              <w:spacing w:before="66"/>
              <w:ind w:left="186"/>
              <w:rPr>
                <w:b/>
                <w:sz w:val="18"/>
              </w:rPr>
            </w:pPr>
            <w:r>
              <w:rPr>
                <w:b/>
                <w:sz w:val="18"/>
              </w:rPr>
              <w:t>$'000</w:t>
            </w:r>
          </w:p>
        </w:tc>
        <w:tc>
          <w:tcPr>
            <w:tcW w:w="1197" w:type="dxa"/>
          </w:tcPr>
          <w:p w14:paraId="018364C4" w14:textId="77777777" w:rsidR="00FA4AA8" w:rsidRDefault="0015611F">
            <w:pPr>
              <w:pStyle w:val="TableParagraph"/>
              <w:spacing w:line="201" w:lineRule="exact"/>
              <w:ind w:left="283"/>
              <w:rPr>
                <w:b/>
                <w:sz w:val="18"/>
              </w:rPr>
            </w:pPr>
            <w:r>
              <w:rPr>
                <w:b/>
                <w:sz w:val="18"/>
              </w:rPr>
              <w:t>2018</w:t>
            </w:r>
          </w:p>
          <w:p w14:paraId="28BD7285" w14:textId="77777777" w:rsidR="00FA4AA8" w:rsidRDefault="0015611F">
            <w:pPr>
              <w:pStyle w:val="TableParagraph"/>
              <w:spacing w:before="66"/>
              <w:ind w:left="262"/>
              <w:rPr>
                <w:b/>
                <w:sz w:val="18"/>
              </w:rPr>
            </w:pPr>
            <w:r>
              <w:rPr>
                <w:b/>
                <w:sz w:val="18"/>
              </w:rPr>
              <w:t>$'000</w:t>
            </w:r>
          </w:p>
        </w:tc>
        <w:tc>
          <w:tcPr>
            <w:tcW w:w="1003" w:type="dxa"/>
          </w:tcPr>
          <w:p w14:paraId="06DF1E74" w14:textId="77777777" w:rsidR="00FA4AA8" w:rsidRDefault="0015611F">
            <w:pPr>
              <w:pStyle w:val="TableParagraph"/>
              <w:spacing w:line="201" w:lineRule="exact"/>
              <w:ind w:left="238"/>
              <w:rPr>
                <w:b/>
                <w:sz w:val="18"/>
              </w:rPr>
            </w:pPr>
            <w:r>
              <w:rPr>
                <w:b/>
                <w:sz w:val="18"/>
              </w:rPr>
              <w:t>2017</w:t>
            </w:r>
          </w:p>
          <w:p w14:paraId="38A007B8" w14:textId="77777777" w:rsidR="00FA4AA8" w:rsidRDefault="0015611F">
            <w:pPr>
              <w:pStyle w:val="TableParagraph"/>
              <w:spacing w:before="66"/>
              <w:ind w:left="217"/>
              <w:rPr>
                <w:b/>
                <w:sz w:val="18"/>
              </w:rPr>
            </w:pPr>
            <w:r>
              <w:rPr>
                <w:b/>
                <w:sz w:val="18"/>
              </w:rPr>
              <w:t>$'000</w:t>
            </w:r>
          </w:p>
        </w:tc>
      </w:tr>
      <w:tr w:rsidR="00FA4AA8" w14:paraId="54C070F3" w14:textId="77777777">
        <w:trPr>
          <w:trHeight w:val="249"/>
        </w:trPr>
        <w:tc>
          <w:tcPr>
            <w:tcW w:w="4248" w:type="dxa"/>
          </w:tcPr>
          <w:p w14:paraId="4A828F3C" w14:textId="77777777" w:rsidR="00FA4AA8" w:rsidRDefault="0015611F">
            <w:pPr>
              <w:pStyle w:val="TableParagraph"/>
              <w:spacing w:before="10"/>
              <w:ind w:left="333"/>
              <w:rPr>
                <w:sz w:val="18"/>
              </w:rPr>
            </w:pPr>
            <w:r>
              <w:rPr>
                <w:sz w:val="18"/>
              </w:rPr>
              <w:t>Australian Government grants</w:t>
            </w:r>
          </w:p>
        </w:tc>
        <w:tc>
          <w:tcPr>
            <w:tcW w:w="800" w:type="dxa"/>
          </w:tcPr>
          <w:p w14:paraId="0DBDBEA7" w14:textId="77777777" w:rsidR="00FA4AA8" w:rsidRDefault="0015611F">
            <w:pPr>
              <w:pStyle w:val="TableParagraph"/>
              <w:spacing w:before="10"/>
              <w:ind w:left="235"/>
              <w:jc w:val="center"/>
              <w:rPr>
                <w:sz w:val="18"/>
              </w:rPr>
            </w:pPr>
            <w:r>
              <w:rPr>
                <w:sz w:val="18"/>
              </w:rPr>
              <w:t>2</w:t>
            </w:r>
          </w:p>
        </w:tc>
        <w:tc>
          <w:tcPr>
            <w:tcW w:w="1461" w:type="dxa"/>
          </w:tcPr>
          <w:p w14:paraId="4347B594" w14:textId="77777777" w:rsidR="00FA4AA8" w:rsidRDefault="0015611F">
            <w:pPr>
              <w:pStyle w:val="TableParagraph"/>
              <w:spacing w:before="12"/>
              <w:ind w:right="248"/>
              <w:jc w:val="right"/>
              <w:rPr>
                <w:b/>
                <w:sz w:val="18"/>
              </w:rPr>
            </w:pPr>
            <w:r>
              <w:rPr>
                <w:b/>
                <w:sz w:val="18"/>
              </w:rPr>
              <w:t>331,837</w:t>
            </w:r>
          </w:p>
        </w:tc>
        <w:tc>
          <w:tcPr>
            <w:tcW w:w="1206" w:type="dxa"/>
          </w:tcPr>
          <w:p w14:paraId="310DCF59" w14:textId="77777777" w:rsidR="00FA4AA8" w:rsidRDefault="0015611F">
            <w:pPr>
              <w:pStyle w:val="TableParagraph"/>
              <w:spacing w:before="12"/>
              <w:ind w:left="225"/>
              <w:rPr>
                <w:sz w:val="18"/>
              </w:rPr>
            </w:pPr>
            <w:r>
              <w:rPr>
                <w:sz w:val="18"/>
              </w:rPr>
              <w:t>334,413</w:t>
            </w:r>
          </w:p>
        </w:tc>
        <w:tc>
          <w:tcPr>
            <w:tcW w:w="1197" w:type="dxa"/>
          </w:tcPr>
          <w:p w14:paraId="79D86857" w14:textId="77777777" w:rsidR="00FA4AA8" w:rsidRDefault="0015611F">
            <w:pPr>
              <w:pStyle w:val="TableParagraph"/>
              <w:spacing w:before="12"/>
              <w:ind w:right="217"/>
              <w:jc w:val="right"/>
              <w:rPr>
                <w:b/>
                <w:sz w:val="18"/>
              </w:rPr>
            </w:pPr>
            <w:r>
              <w:rPr>
                <w:b/>
                <w:sz w:val="18"/>
              </w:rPr>
              <w:t>331,837</w:t>
            </w:r>
          </w:p>
        </w:tc>
        <w:tc>
          <w:tcPr>
            <w:tcW w:w="1003" w:type="dxa"/>
          </w:tcPr>
          <w:p w14:paraId="7E27B7BB" w14:textId="77777777" w:rsidR="00FA4AA8" w:rsidRDefault="0015611F">
            <w:pPr>
              <w:pStyle w:val="TableParagraph"/>
              <w:spacing w:before="12"/>
              <w:ind w:right="90"/>
              <w:jc w:val="right"/>
              <w:rPr>
                <w:sz w:val="18"/>
              </w:rPr>
            </w:pPr>
            <w:r>
              <w:rPr>
                <w:sz w:val="18"/>
              </w:rPr>
              <w:t>334,413</w:t>
            </w:r>
          </w:p>
        </w:tc>
      </w:tr>
      <w:tr w:rsidR="00FA4AA8" w14:paraId="187D69FC" w14:textId="77777777">
        <w:trPr>
          <w:trHeight w:val="264"/>
        </w:trPr>
        <w:tc>
          <w:tcPr>
            <w:tcW w:w="4248" w:type="dxa"/>
          </w:tcPr>
          <w:p w14:paraId="75BA0965" w14:textId="77777777" w:rsidR="00FA4AA8" w:rsidRDefault="0015611F">
            <w:pPr>
              <w:pStyle w:val="TableParagraph"/>
              <w:spacing w:before="24"/>
              <w:ind w:left="333"/>
              <w:rPr>
                <w:sz w:val="18"/>
              </w:rPr>
            </w:pPr>
            <w:r>
              <w:rPr>
                <w:sz w:val="18"/>
              </w:rPr>
              <w:t>HELP - Australian Government payments</w:t>
            </w:r>
          </w:p>
        </w:tc>
        <w:tc>
          <w:tcPr>
            <w:tcW w:w="800" w:type="dxa"/>
          </w:tcPr>
          <w:p w14:paraId="7D074FD7" w14:textId="77777777" w:rsidR="00FA4AA8" w:rsidRDefault="0015611F">
            <w:pPr>
              <w:pStyle w:val="TableParagraph"/>
              <w:spacing w:before="24"/>
              <w:ind w:left="235"/>
              <w:jc w:val="center"/>
              <w:rPr>
                <w:sz w:val="18"/>
              </w:rPr>
            </w:pPr>
            <w:r>
              <w:rPr>
                <w:sz w:val="18"/>
              </w:rPr>
              <w:t>2</w:t>
            </w:r>
          </w:p>
        </w:tc>
        <w:tc>
          <w:tcPr>
            <w:tcW w:w="1461" w:type="dxa"/>
          </w:tcPr>
          <w:p w14:paraId="1C8ED787" w14:textId="77777777" w:rsidR="00FA4AA8" w:rsidRDefault="0015611F">
            <w:pPr>
              <w:pStyle w:val="TableParagraph"/>
              <w:spacing w:before="26"/>
              <w:ind w:right="248"/>
              <w:jc w:val="right"/>
              <w:rPr>
                <w:b/>
                <w:sz w:val="18"/>
              </w:rPr>
            </w:pPr>
            <w:r>
              <w:rPr>
                <w:b/>
                <w:sz w:val="18"/>
              </w:rPr>
              <w:t>234,686</w:t>
            </w:r>
          </w:p>
        </w:tc>
        <w:tc>
          <w:tcPr>
            <w:tcW w:w="1206" w:type="dxa"/>
          </w:tcPr>
          <w:p w14:paraId="2EEF2997" w14:textId="77777777" w:rsidR="00FA4AA8" w:rsidRDefault="0015611F">
            <w:pPr>
              <w:pStyle w:val="TableParagraph"/>
              <w:spacing w:before="26"/>
              <w:ind w:left="225"/>
              <w:rPr>
                <w:sz w:val="18"/>
              </w:rPr>
            </w:pPr>
            <w:r>
              <w:rPr>
                <w:sz w:val="18"/>
              </w:rPr>
              <w:t>218,750</w:t>
            </w:r>
          </w:p>
        </w:tc>
        <w:tc>
          <w:tcPr>
            <w:tcW w:w="1197" w:type="dxa"/>
          </w:tcPr>
          <w:p w14:paraId="281B4DA3" w14:textId="77777777" w:rsidR="00FA4AA8" w:rsidRDefault="0015611F">
            <w:pPr>
              <w:pStyle w:val="TableParagraph"/>
              <w:spacing w:before="26"/>
              <w:ind w:right="217"/>
              <w:jc w:val="right"/>
              <w:rPr>
                <w:b/>
                <w:sz w:val="18"/>
              </w:rPr>
            </w:pPr>
            <w:r>
              <w:rPr>
                <w:b/>
                <w:sz w:val="18"/>
              </w:rPr>
              <w:t>234,686</w:t>
            </w:r>
          </w:p>
        </w:tc>
        <w:tc>
          <w:tcPr>
            <w:tcW w:w="1003" w:type="dxa"/>
          </w:tcPr>
          <w:p w14:paraId="3A7E4081" w14:textId="77777777" w:rsidR="00FA4AA8" w:rsidRDefault="0015611F">
            <w:pPr>
              <w:pStyle w:val="TableParagraph"/>
              <w:spacing w:before="26"/>
              <w:ind w:right="90"/>
              <w:jc w:val="right"/>
              <w:rPr>
                <w:sz w:val="18"/>
              </w:rPr>
            </w:pPr>
            <w:r>
              <w:rPr>
                <w:sz w:val="18"/>
              </w:rPr>
              <w:t>218,750</w:t>
            </w:r>
          </w:p>
        </w:tc>
      </w:tr>
      <w:tr w:rsidR="00FA4AA8" w14:paraId="0FBEC3F3" w14:textId="77777777">
        <w:trPr>
          <w:trHeight w:val="466"/>
        </w:trPr>
        <w:tc>
          <w:tcPr>
            <w:tcW w:w="4248" w:type="dxa"/>
          </w:tcPr>
          <w:p w14:paraId="1E57A936" w14:textId="77777777" w:rsidR="00FA4AA8" w:rsidRDefault="0015611F">
            <w:pPr>
              <w:pStyle w:val="TableParagraph"/>
              <w:spacing w:before="24"/>
              <w:ind w:left="50" w:right="365"/>
              <w:rPr>
                <w:sz w:val="18"/>
              </w:rPr>
            </w:pPr>
            <w:r>
              <w:rPr>
                <w:sz w:val="18"/>
              </w:rPr>
              <w:t>State and Local Government financial assistance</w:t>
            </w:r>
          </w:p>
        </w:tc>
        <w:tc>
          <w:tcPr>
            <w:tcW w:w="800" w:type="dxa"/>
          </w:tcPr>
          <w:p w14:paraId="24034D18" w14:textId="77777777" w:rsidR="00FA4AA8" w:rsidRDefault="00FA4AA8">
            <w:pPr>
              <w:pStyle w:val="TableParagraph"/>
              <w:rPr>
                <w:b/>
                <w:sz w:val="20"/>
              </w:rPr>
            </w:pPr>
          </w:p>
          <w:p w14:paraId="2DB14858" w14:textId="77777777" w:rsidR="00FA4AA8" w:rsidRDefault="0015611F">
            <w:pPr>
              <w:pStyle w:val="TableParagraph"/>
              <w:ind w:left="235"/>
              <w:jc w:val="center"/>
              <w:rPr>
                <w:sz w:val="18"/>
              </w:rPr>
            </w:pPr>
            <w:r>
              <w:rPr>
                <w:sz w:val="18"/>
              </w:rPr>
              <w:t>3</w:t>
            </w:r>
          </w:p>
        </w:tc>
        <w:tc>
          <w:tcPr>
            <w:tcW w:w="1461" w:type="dxa"/>
          </w:tcPr>
          <w:p w14:paraId="05311B68" w14:textId="77777777" w:rsidR="00FA4AA8" w:rsidRDefault="00FA4AA8">
            <w:pPr>
              <w:pStyle w:val="TableParagraph"/>
              <w:spacing w:before="9"/>
              <w:rPr>
                <w:b/>
                <w:sz w:val="19"/>
              </w:rPr>
            </w:pPr>
          </w:p>
          <w:p w14:paraId="47F52A8A" w14:textId="77777777" w:rsidR="00FA4AA8" w:rsidRDefault="0015611F">
            <w:pPr>
              <w:pStyle w:val="TableParagraph"/>
              <w:spacing w:before="1"/>
              <w:ind w:right="248"/>
              <w:jc w:val="right"/>
              <w:rPr>
                <w:b/>
                <w:sz w:val="18"/>
              </w:rPr>
            </w:pPr>
            <w:r>
              <w:rPr>
                <w:b/>
                <w:sz w:val="18"/>
              </w:rPr>
              <w:t>128</w:t>
            </w:r>
          </w:p>
        </w:tc>
        <w:tc>
          <w:tcPr>
            <w:tcW w:w="1206" w:type="dxa"/>
          </w:tcPr>
          <w:p w14:paraId="236DCE18" w14:textId="77777777" w:rsidR="00FA4AA8" w:rsidRDefault="00FA4AA8">
            <w:pPr>
              <w:pStyle w:val="TableParagraph"/>
              <w:spacing w:before="9"/>
              <w:rPr>
                <w:b/>
                <w:sz w:val="19"/>
              </w:rPr>
            </w:pPr>
          </w:p>
          <w:p w14:paraId="46884004" w14:textId="77777777" w:rsidR="00FA4AA8" w:rsidRDefault="0015611F">
            <w:pPr>
              <w:pStyle w:val="TableParagraph"/>
              <w:spacing w:before="1"/>
              <w:ind w:right="323"/>
              <w:jc w:val="right"/>
              <w:rPr>
                <w:sz w:val="18"/>
              </w:rPr>
            </w:pPr>
            <w:r>
              <w:rPr>
                <w:sz w:val="18"/>
              </w:rPr>
              <w:t>19</w:t>
            </w:r>
          </w:p>
        </w:tc>
        <w:tc>
          <w:tcPr>
            <w:tcW w:w="1197" w:type="dxa"/>
          </w:tcPr>
          <w:p w14:paraId="740CB65D" w14:textId="77777777" w:rsidR="00FA4AA8" w:rsidRDefault="00FA4AA8">
            <w:pPr>
              <w:pStyle w:val="TableParagraph"/>
              <w:spacing w:before="9"/>
              <w:rPr>
                <w:b/>
                <w:sz w:val="19"/>
              </w:rPr>
            </w:pPr>
          </w:p>
          <w:p w14:paraId="26BCF09E" w14:textId="77777777" w:rsidR="00FA4AA8" w:rsidRDefault="0015611F">
            <w:pPr>
              <w:pStyle w:val="TableParagraph"/>
              <w:spacing w:before="1"/>
              <w:ind w:right="217"/>
              <w:jc w:val="right"/>
              <w:rPr>
                <w:b/>
                <w:sz w:val="18"/>
              </w:rPr>
            </w:pPr>
            <w:r>
              <w:rPr>
                <w:b/>
                <w:sz w:val="18"/>
              </w:rPr>
              <w:t>128</w:t>
            </w:r>
          </w:p>
        </w:tc>
        <w:tc>
          <w:tcPr>
            <w:tcW w:w="1003" w:type="dxa"/>
          </w:tcPr>
          <w:p w14:paraId="3967A75A" w14:textId="77777777" w:rsidR="00FA4AA8" w:rsidRDefault="00FA4AA8">
            <w:pPr>
              <w:pStyle w:val="TableParagraph"/>
              <w:spacing w:before="9"/>
              <w:rPr>
                <w:b/>
                <w:sz w:val="19"/>
              </w:rPr>
            </w:pPr>
          </w:p>
          <w:p w14:paraId="588C0C3F" w14:textId="77777777" w:rsidR="00FA4AA8" w:rsidRDefault="0015611F">
            <w:pPr>
              <w:pStyle w:val="TableParagraph"/>
              <w:spacing w:before="1"/>
              <w:ind w:right="90"/>
              <w:jc w:val="right"/>
              <w:rPr>
                <w:sz w:val="18"/>
              </w:rPr>
            </w:pPr>
            <w:r>
              <w:rPr>
                <w:sz w:val="18"/>
              </w:rPr>
              <w:t>19</w:t>
            </w:r>
          </w:p>
        </w:tc>
      </w:tr>
      <w:tr w:rsidR="00FA4AA8" w14:paraId="018710D3" w14:textId="77777777">
        <w:trPr>
          <w:trHeight w:val="262"/>
        </w:trPr>
        <w:tc>
          <w:tcPr>
            <w:tcW w:w="4248" w:type="dxa"/>
          </w:tcPr>
          <w:p w14:paraId="24700CCF" w14:textId="77777777" w:rsidR="00FA4AA8" w:rsidRDefault="0015611F">
            <w:pPr>
              <w:pStyle w:val="TableParagraph"/>
              <w:spacing w:before="23"/>
              <w:ind w:left="50"/>
              <w:rPr>
                <w:sz w:val="18"/>
              </w:rPr>
            </w:pPr>
            <w:r>
              <w:rPr>
                <w:sz w:val="18"/>
              </w:rPr>
              <w:t>HECS-HELP - Student Payments</w:t>
            </w:r>
          </w:p>
        </w:tc>
        <w:tc>
          <w:tcPr>
            <w:tcW w:w="800" w:type="dxa"/>
          </w:tcPr>
          <w:p w14:paraId="79A81845" w14:textId="77777777" w:rsidR="00FA4AA8" w:rsidRDefault="00FA4AA8">
            <w:pPr>
              <w:pStyle w:val="TableParagraph"/>
              <w:rPr>
                <w:rFonts w:ascii="Times New Roman"/>
                <w:sz w:val="18"/>
              </w:rPr>
            </w:pPr>
          </w:p>
        </w:tc>
        <w:tc>
          <w:tcPr>
            <w:tcW w:w="1461" w:type="dxa"/>
          </w:tcPr>
          <w:p w14:paraId="40B7FC50" w14:textId="77777777" w:rsidR="00FA4AA8" w:rsidRDefault="0015611F">
            <w:pPr>
              <w:pStyle w:val="TableParagraph"/>
              <w:spacing w:before="25"/>
              <w:ind w:right="248"/>
              <w:jc w:val="right"/>
              <w:rPr>
                <w:b/>
                <w:sz w:val="18"/>
              </w:rPr>
            </w:pPr>
            <w:r>
              <w:rPr>
                <w:b/>
                <w:sz w:val="18"/>
              </w:rPr>
              <w:t>14,075</w:t>
            </w:r>
          </w:p>
        </w:tc>
        <w:tc>
          <w:tcPr>
            <w:tcW w:w="1206" w:type="dxa"/>
          </w:tcPr>
          <w:p w14:paraId="6D575C9B" w14:textId="77777777" w:rsidR="00FA4AA8" w:rsidRDefault="0015611F">
            <w:pPr>
              <w:pStyle w:val="TableParagraph"/>
              <w:spacing w:before="25"/>
              <w:ind w:left="325"/>
              <w:rPr>
                <w:sz w:val="18"/>
              </w:rPr>
            </w:pPr>
            <w:r>
              <w:rPr>
                <w:sz w:val="18"/>
              </w:rPr>
              <w:t>13,700</w:t>
            </w:r>
          </w:p>
        </w:tc>
        <w:tc>
          <w:tcPr>
            <w:tcW w:w="1197" w:type="dxa"/>
          </w:tcPr>
          <w:p w14:paraId="4B889474" w14:textId="77777777" w:rsidR="00FA4AA8" w:rsidRDefault="0015611F">
            <w:pPr>
              <w:pStyle w:val="TableParagraph"/>
              <w:spacing w:before="25"/>
              <w:ind w:right="217"/>
              <w:jc w:val="right"/>
              <w:rPr>
                <w:b/>
                <w:sz w:val="18"/>
              </w:rPr>
            </w:pPr>
            <w:r>
              <w:rPr>
                <w:b/>
                <w:sz w:val="18"/>
              </w:rPr>
              <w:t>14,075</w:t>
            </w:r>
          </w:p>
        </w:tc>
        <w:tc>
          <w:tcPr>
            <w:tcW w:w="1003" w:type="dxa"/>
          </w:tcPr>
          <w:p w14:paraId="51B40094" w14:textId="77777777" w:rsidR="00FA4AA8" w:rsidRDefault="0015611F">
            <w:pPr>
              <w:pStyle w:val="TableParagraph"/>
              <w:spacing w:before="25"/>
              <w:ind w:right="90"/>
              <w:jc w:val="right"/>
              <w:rPr>
                <w:sz w:val="18"/>
              </w:rPr>
            </w:pPr>
            <w:r>
              <w:rPr>
                <w:sz w:val="18"/>
              </w:rPr>
              <w:t>13,700</w:t>
            </w:r>
          </w:p>
        </w:tc>
      </w:tr>
      <w:tr w:rsidR="00FA4AA8" w14:paraId="3ACBD903" w14:textId="77777777">
        <w:trPr>
          <w:trHeight w:val="264"/>
        </w:trPr>
        <w:tc>
          <w:tcPr>
            <w:tcW w:w="4248" w:type="dxa"/>
          </w:tcPr>
          <w:p w14:paraId="359D2713" w14:textId="77777777" w:rsidR="00FA4AA8" w:rsidRDefault="0015611F">
            <w:pPr>
              <w:pStyle w:val="TableParagraph"/>
              <w:spacing w:before="24"/>
              <w:ind w:left="50"/>
              <w:rPr>
                <w:sz w:val="18"/>
              </w:rPr>
            </w:pPr>
            <w:r>
              <w:rPr>
                <w:sz w:val="18"/>
              </w:rPr>
              <w:t>Fees and charges</w:t>
            </w:r>
          </w:p>
        </w:tc>
        <w:tc>
          <w:tcPr>
            <w:tcW w:w="800" w:type="dxa"/>
          </w:tcPr>
          <w:p w14:paraId="68F0D520" w14:textId="77777777" w:rsidR="00FA4AA8" w:rsidRDefault="0015611F">
            <w:pPr>
              <w:pStyle w:val="TableParagraph"/>
              <w:spacing w:before="24"/>
              <w:ind w:left="235"/>
              <w:jc w:val="center"/>
              <w:rPr>
                <w:sz w:val="18"/>
              </w:rPr>
            </w:pPr>
            <w:r>
              <w:rPr>
                <w:sz w:val="18"/>
              </w:rPr>
              <w:t>4</w:t>
            </w:r>
          </w:p>
        </w:tc>
        <w:tc>
          <w:tcPr>
            <w:tcW w:w="1461" w:type="dxa"/>
          </w:tcPr>
          <w:p w14:paraId="7A2D0E07" w14:textId="77777777" w:rsidR="00FA4AA8" w:rsidRDefault="0015611F">
            <w:pPr>
              <w:pStyle w:val="TableParagraph"/>
              <w:spacing w:before="26"/>
              <w:ind w:right="248"/>
              <w:jc w:val="right"/>
              <w:rPr>
                <w:b/>
                <w:sz w:val="18"/>
              </w:rPr>
            </w:pPr>
            <w:r>
              <w:rPr>
                <w:b/>
                <w:sz w:val="18"/>
              </w:rPr>
              <w:t>157,200</w:t>
            </w:r>
          </w:p>
        </w:tc>
        <w:tc>
          <w:tcPr>
            <w:tcW w:w="1206" w:type="dxa"/>
          </w:tcPr>
          <w:p w14:paraId="2D8027D8" w14:textId="77777777" w:rsidR="00FA4AA8" w:rsidRDefault="0015611F">
            <w:pPr>
              <w:pStyle w:val="TableParagraph"/>
              <w:spacing w:before="26"/>
              <w:ind w:left="225"/>
              <w:rPr>
                <w:sz w:val="18"/>
              </w:rPr>
            </w:pPr>
            <w:r>
              <w:rPr>
                <w:sz w:val="18"/>
              </w:rPr>
              <w:t>115,291</w:t>
            </w:r>
          </w:p>
        </w:tc>
        <w:tc>
          <w:tcPr>
            <w:tcW w:w="1197" w:type="dxa"/>
          </w:tcPr>
          <w:p w14:paraId="28854257" w14:textId="77777777" w:rsidR="00FA4AA8" w:rsidRDefault="0015611F">
            <w:pPr>
              <w:pStyle w:val="TableParagraph"/>
              <w:spacing w:before="26"/>
              <w:ind w:right="217"/>
              <w:jc w:val="right"/>
              <w:rPr>
                <w:b/>
                <w:sz w:val="18"/>
              </w:rPr>
            </w:pPr>
            <w:r>
              <w:rPr>
                <w:b/>
                <w:sz w:val="18"/>
              </w:rPr>
              <w:t>148,391</w:t>
            </w:r>
          </w:p>
        </w:tc>
        <w:tc>
          <w:tcPr>
            <w:tcW w:w="1003" w:type="dxa"/>
          </w:tcPr>
          <w:p w14:paraId="1B4ED847" w14:textId="77777777" w:rsidR="00FA4AA8" w:rsidRDefault="0015611F">
            <w:pPr>
              <w:pStyle w:val="TableParagraph"/>
              <w:spacing w:before="26"/>
              <w:ind w:right="90"/>
              <w:jc w:val="right"/>
              <w:rPr>
                <w:sz w:val="18"/>
              </w:rPr>
            </w:pPr>
            <w:r>
              <w:rPr>
                <w:sz w:val="18"/>
              </w:rPr>
              <w:t>106,600</w:t>
            </w:r>
          </w:p>
        </w:tc>
      </w:tr>
      <w:tr w:rsidR="00FA4AA8" w14:paraId="53F36A5E" w14:textId="77777777">
        <w:trPr>
          <w:trHeight w:val="264"/>
        </w:trPr>
        <w:tc>
          <w:tcPr>
            <w:tcW w:w="4248" w:type="dxa"/>
          </w:tcPr>
          <w:p w14:paraId="39510AED" w14:textId="77777777" w:rsidR="00FA4AA8" w:rsidRDefault="0015611F">
            <w:pPr>
              <w:pStyle w:val="TableParagraph"/>
              <w:spacing w:before="24"/>
              <w:ind w:left="50"/>
              <w:rPr>
                <w:sz w:val="18"/>
              </w:rPr>
            </w:pPr>
            <w:r>
              <w:rPr>
                <w:sz w:val="18"/>
              </w:rPr>
              <w:t>Investment revenue</w:t>
            </w:r>
          </w:p>
        </w:tc>
        <w:tc>
          <w:tcPr>
            <w:tcW w:w="800" w:type="dxa"/>
          </w:tcPr>
          <w:p w14:paraId="751D00D5" w14:textId="77777777" w:rsidR="00FA4AA8" w:rsidRDefault="0015611F">
            <w:pPr>
              <w:pStyle w:val="TableParagraph"/>
              <w:spacing w:before="24"/>
              <w:ind w:left="235"/>
              <w:jc w:val="center"/>
              <w:rPr>
                <w:sz w:val="18"/>
              </w:rPr>
            </w:pPr>
            <w:r>
              <w:rPr>
                <w:sz w:val="18"/>
              </w:rPr>
              <w:t>5</w:t>
            </w:r>
          </w:p>
        </w:tc>
        <w:tc>
          <w:tcPr>
            <w:tcW w:w="1461" w:type="dxa"/>
          </w:tcPr>
          <w:p w14:paraId="74B5EA4E" w14:textId="77777777" w:rsidR="00FA4AA8" w:rsidRDefault="0015611F">
            <w:pPr>
              <w:pStyle w:val="TableParagraph"/>
              <w:spacing w:before="26"/>
              <w:ind w:right="248"/>
              <w:jc w:val="right"/>
              <w:rPr>
                <w:b/>
                <w:sz w:val="18"/>
              </w:rPr>
            </w:pPr>
            <w:r>
              <w:rPr>
                <w:b/>
                <w:sz w:val="18"/>
              </w:rPr>
              <w:t>2,424</w:t>
            </w:r>
          </w:p>
        </w:tc>
        <w:tc>
          <w:tcPr>
            <w:tcW w:w="1206" w:type="dxa"/>
          </w:tcPr>
          <w:p w14:paraId="01EAA727" w14:textId="77777777" w:rsidR="00FA4AA8" w:rsidRDefault="0015611F">
            <w:pPr>
              <w:pStyle w:val="TableParagraph"/>
              <w:spacing w:before="26"/>
              <w:ind w:left="325"/>
              <w:rPr>
                <w:sz w:val="18"/>
              </w:rPr>
            </w:pPr>
            <w:r>
              <w:rPr>
                <w:sz w:val="18"/>
              </w:rPr>
              <w:t>14,047</w:t>
            </w:r>
          </w:p>
        </w:tc>
        <w:tc>
          <w:tcPr>
            <w:tcW w:w="1197" w:type="dxa"/>
          </w:tcPr>
          <w:p w14:paraId="221B3D8A" w14:textId="77777777" w:rsidR="00FA4AA8" w:rsidRDefault="0015611F">
            <w:pPr>
              <w:pStyle w:val="TableParagraph"/>
              <w:spacing w:before="26"/>
              <w:ind w:right="217"/>
              <w:jc w:val="right"/>
              <w:rPr>
                <w:b/>
                <w:sz w:val="18"/>
              </w:rPr>
            </w:pPr>
            <w:r>
              <w:rPr>
                <w:b/>
                <w:sz w:val="18"/>
              </w:rPr>
              <w:t>2,283</w:t>
            </w:r>
          </w:p>
        </w:tc>
        <w:tc>
          <w:tcPr>
            <w:tcW w:w="1003" w:type="dxa"/>
          </w:tcPr>
          <w:p w14:paraId="0A149DB9" w14:textId="77777777" w:rsidR="00FA4AA8" w:rsidRDefault="0015611F">
            <w:pPr>
              <w:pStyle w:val="TableParagraph"/>
              <w:spacing w:before="26"/>
              <w:ind w:right="90"/>
              <w:jc w:val="right"/>
              <w:rPr>
                <w:sz w:val="18"/>
              </w:rPr>
            </w:pPr>
            <w:r>
              <w:rPr>
                <w:sz w:val="18"/>
              </w:rPr>
              <w:t>13,939</w:t>
            </w:r>
          </w:p>
        </w:tc>
      </w:tr>
      <w:tr w:rsidR="00FA4AA8" w14:paraId="767AD65F" w14:textId="77777777">
        <w:trPr>
          <w:trHeight w:val="264"/>
        </w:trPr>
        <w:tc>
          <w:tcPr>
            <w:tcW w:w="4248" w:type="dxa"/>
          </w:tcPr>
          <w:p w14:paraId="3C447FC6" w14:textId="77777777" w:rsidR="00FA4AA8" w:rsidRDefault="0015611F">
            <w:pPr>
              <w:pStyle w:val="TableParagraph"/>
              <w:spacing w:before="24"/>
              <w:ind w:left="50"/>
              <w:rPr>
                <w:sz w:val="18"/>
              </w:rPr>
            </w:pPr>
            <w:r>
              <w:rPr>
                <w:sz w:val="18"/>
              </w:rPr>
              <w:t>Consultancy and contracts</w:t>
            </w:r>
          </w:p>
        </w:tc>
        <w:tc>
          <w:tcPr>
            <w:tcW w:w="800" w:type="dxa"/>
          </w:tcPr>
          <w:p w14:paraId="2AE6B0CA" w14:textId="77777777" w:rsidR="00FA4AA8" w:rsidRDefault="0015611F">
            <w:pPr>
              <w:pStyle w:val="TableParagraph"/>
              <w:spacing w:before="24"/>
              <w:ind w:left="235"/>
              <w:jc w:val="center"/>
              <w:rPr>
                <w:sz w:val="18"/>
              </w:rPr>
            </w:pPr>
            <w:r>
              <w:rPr>
                <w:sz w:val="18"/>
              </w:rPr>
              <w:t>6</w:t>
            </w:r>
          </w:p>
        </w:tc>
        <w:tc>
          <w:tcPr>
            <w:tcW w:w="1461" w:type="dxa"/>
          </w:tcPr>
          <w:p w14:paraId="6F18F166" w14:textId="77777777" w:rsidR="00FA4AA8" w:rsidRDefault="0015611F">
            <w:pPr>
              <w:pStyle w:val="TableParagraph"/>
              <w:spacing w:before="26"/>
              <w:ind w:right="248"/>
              <w:jc w:val="right"/>
              <w:rPr>
                <w:b/>
                <w:sz w:val="18"/>
              </w:rPr>
            </w:pPr>
            <w:r>
              <w:rPr>
                <w:b/>
                <w:sz w:val="18"/>
              </w:rPr>
              <w:t>25,342</w:t>
            </w:r>
          </w:p>
        </w:tc>
        <w:tc>
          <w:tcPr>
            <w:tcW w:w="1206" w:type="dxa"/>
          </w:tcPr>
          <w:p w14:paraId="2AF1C2DA" w14:textId="77777777" w:rsidR="00FA4AA8" w:rsidRDefault="0015611F">
            <w:pPr>
              <w:pStyle w:val="TableParagraph"/>
              <w:spacing w:before="26"/>
              <w:ind w:left="325"/>
              <w:rPr>
                <w:sz w:val="18"/>
              </w:rPr>
            </w:pPr>
            <w:r>
              <w:rPr>
                <w:sz w:val="18"/>
              </w:rPr>
              <w:t>23,074</w:t>
            </w:r>
          </w:p>
        </w:tc>
        <w:tc>
          <w:tcPr>
            <w:tcW w:w="1197" w:type="dxa"/>
          </w:tcPr>
          <w:p w14:paraId="17CCF526" w14:textId="77777777" w:rsidR="00FA4AA8" w:rsidRDefault="0015611F">
            <w:pPr>
              <w:pStyle w:val="TableParagraph"/>
              <w:spacing w:before="26"/>
              <w:ind w:right="217"/>
              <w:jc w:val="right"/>
              <w:rPr>
                <w:b/>
                <w:sz w:val="18"/>
              </w:rPr>
            </w:pPr>
            <w:r>
              <w:rPr>
                <w:b/>
                <w:sz w:val="18"/>
              </w:rPr>
              <w:t>25,334</w:t>
            </w:r>
          </w:p>
        </w:tc>
        <w:tc>
          <w:tcPr>
            <w:tcW w:w="1003" w:type="dxa"/>
          </w:tcPr>
          <w:p w14:paraId="2CE55F04" w14:textId="77777777" w:rsidR="00FA4AA8" w:rsidRDefault="0015611F">
            <w:pPr>
              <w:pStyle w:val="TableParagraph"/>
              <w:spacing w:before="26"/>
              <w:ind w:right="90"/>
              <w:jc w:val="right"/>
              <w:rPr>
                <w:sz w:val="18"/>
              </w:rPr>
            </w:pPr>
            <w:r>
              <w:rPr>
                <w:sz w:val="18"/>
              </w:rPr>
              <w:t>23,068</w:t>
            </w:r>
          </w:p>
        </w:tc>
      </w:tr>
      <w:tr w:rsidR="00FA4AA8" w14:paraId="66C435AA" w14:textId="77777777">
        <w:trPr>
          <w:trHeight w:val="466"/>
        </w:trPr>
        <w:tc>
          <w:tcPr>
            <w:tcW w:w="4248" w:type="dxa"/>
          </w:tcPr>
          <w:p w14:paraId="617EE402" w14:textId="77777777" w:rsidR="00FA4AA8" w:rsidRDefault="0015611F">
            <w:pPr>
              <w:pStyle w:val="TableParagraph"/>
              <w:spacing w:before="24"/>
              <w:ind w:left="50" w:right="155"/>
              <w:rPr>
                <w:sz w:val="18"/>
              </w:rPr>
            </w:pPr>
            <w:r>
              <w:rPr>
                <w:sz w:val="18"/>
              </w:rPr>
              <w:t>Share of profit or loss on investments accounted for using the equity method</w:t>
            </w:r>
          </w:p>
        </w:tc>
        <w:tc>
          <w:tcPr>
            <w:tcW w:w="800" w:type="dxa"/>
          </w:tcPr>
          <w:p w14:paraId="5BFE1756" w14:textId="77777777" w:rsidR="00FA4AA8" w:rsidRDefault="00FA4AA8">
            <w:pPr>
              <w:pStyle w:val="TableParagraph"/>
              <w:rPr>
                <w:b/>
                <w:sz w:val="20"/>
              </w:rPr>
            </w:pPr>
          </w:p>
          <w:p w14:paraId="3DD22CB0" w14:textId="77777777" w:rsidR="00FA4AA8" w:rsidRDefault="0015611F">
            <w:pPr>
              <w:pStyle w:val="TableParagraph"/>
              <w:ind w:left="235"/>
              <w:jc w:val="center"/>
              <w:rPr>
                <w:sz w:val="18"/>
              </w:rPr>
            </w:pPr>
            <w:r>
              <w:rPr>
                <w:sz w:val="18"/>
              </w:rPr>
              <w:t>7</w:t>
            </w:r>
          </w:p>
        </w:tc>
        <w:tc>
          <w:tcPr>
            <w:tcW w:w="1461" w:type="dxa"/>
          </w:tcPr>
          <w:p w14:paraId="43092BBC" w14:textId="77777777" w:rsidR="00FA4AA8" w:rsidRDefault="00FA4AA8">
            <w:pPr>
              <w:pStyle w:val="TableParagraph"/>
              <w:spacing w:before="9"/>
              <w:rPr>
                <w:b/>
                <w:sz w:val="19"/>
              </w:rPr>
            </w:pPr>
          </w:p>
          <w:p w14:paraId="51DFB64B" w14:textId="77777777" w:rsidR="00FA4AA8" w:rsidRDefault="0015611F">
            <w:pPr>
              <w:pStyle w:val="TableParagraph"/>
              <w:spacing w:before="1"/>
              <w:ind w:right="248"/>
              <w:jc w:val="right"/>
              <w:rPr>
                <w:b/>
                <w:sz w:val="18"/>
              </w:rPr>
            </w:pPr>
            <w:r>
              <w:rPr>
                <w:b/>
                <w:sz w:val="18"/>
              </w:rPr>
              <w:t>190</w:t>
            </w:r>
          </w:p>
        </w:tc>
        <w:tc>
          <w:tcPr>
            <w:tcW w:w="1206" w:type="dxa"/>
          </w:tcPr>
          <w:p w14:paraId="0E6143C6" w14:textId="77777777" w:rsidR="00FA4AA8" w:rsidRDefault="00FA4AA8">
            <w:pPr>
              <w:pStyle w:val="TableParagraph"/>
              <w:spacing w:before="9"/>
              <w:rPr>
                <w:b/>
                <w:sz w:val="19"/>
              </w:rPr>
            </w:pPr>
          </w:p>
          <w:p w14:paraId="4471C551" w14:textId="77777777" w:rsidR="00FA4AA8" w:rsidRDefault="0015611F">
            <w:pPr>
              <w:pStyle w:val="TableParagraph"/>
              <w:spacing w:before="1"/>
              <w:ind w:right="263"/>
              <w:jc w:val="right"/>
              <w:rPr>
                <w:sz w:val="18"/>
              </w:rPr>
            </w:pPr>
            <w:r>
              <w:rPr>
                <w:sz w:val="18"/>
              </w:rPr>
              <w:t>(834)</w:t>
            </w:r>
          </w:p>
        </w:tc>
        <w:tc>
          <w:tcPr>
            <w:tcW w:w="1197" w:type="dxa"/>
          </w:tcPr>
          <w:p w14:paraId="5BAB8BB7" w14:textId="77777777" w:rsidR="00FA4AA8" w:rsidRDefault="00FA4AA8">
            <w:pPr>
              <w:pStyle w:val="TableParagraph"/>
              <w:spacing w:before="9"/>
              <w:rPr>
                <w:b/>
                <w:sz w:val="19"/>
              </w:rPr>
            </w:pPr>
          </w:p>
          <w:p w14:paraId="5F1BDCC5" w14:textId="77777777" w:rsidR="00FA4AA8" w:rsidRDefault="0015611F">
            <w:pPr>
              <w:pStyle w:val="TableParagraph"/>
              <w:spacing w:before="1"/>
              <w:ind w:right="217"/>
              <w:jc w:val="right"/>
              <w:rPr>
                <w:b/>
                <w:sz w:val="18"/>
              </w:rPr>
            </w:pPr>
            <w:r>
              <w:rPr>
                <w:b/>
                <w:sz w:val="18"/>
              </w:rPr>
              <w:t>-</w:t>
            </w:r>
          </w:p>
        </w:tc>
        <w:tc>
          <w:tcPr>
            <w:tcW w:w="1003" w:type="dxa"/>
          </w:tcPr>
          <w:p w14:paraId="4AF163FB" w14:textId="77777777" w:rsidR="00FA4AA8" w:rsidRDefault="00FA4AA8">
            <w:pPr>
              <w:pStyle w:val="TableParagraph"/>
              <w:spacing w:before="9"/>
              <w:rPr>
                <w:b/>
                <w:sz w:val="19"/>
              </w:rPr>
            </w:pPr>
          </w:p>
          <w:p w14:paraId="29957C09" w14:textId="77777777" w:rsidR="00FA4AA8" w:rsidRDefault="0015611F">
            <w:pPr>
              <w:pStyle w:val="TableParagraph"/>
              <w:spacing w:before="1"/>
              <w:ind w:right="90"/>
              <w:jc w:val="right"/>
              <w:rPr>
                <w:sz w:val="18"/>
              </w:rPr>
            </w:pPr>
            <w:r>
              <w:rPr>
                <w:sz w:val="18"/>
              </w:rPr>
              <w:t>-</w:t>
            </w:r>
          </w:p>
        </w:tc>
      </w:tr>
      <w:tr w:rsidR="00FA4AA8" w14:paraId="6FCBE277" w14:textId="77777777">
        <w:trPr>
          <w:trHeight w:val="262"/>
        </w:trPr>
        <w:tc>
          <w:tcPr>
            <w:tcW w:w="4248" w:type="dxa"/>
          </w:tcPr>
          <w:p w14:paraId="104BB724" w14:textId="77777777" w:rsidR="00FA4AA8" w:rsidRDefault="0015611F">
            <w:pPr>
              <w:pStyle w:val="TableParagraph"/>
              <w:spacing w:before="23"/>
              <w:ind w:left="50"/>
              <w:rPr>
                <w:sz w:val="18"/>
              </w:rPr>
            </w:pPr>
            <w:r>
              <w:rPr>
                <w:sz w:val="18"/>
              </w:rPr>
              <w:t>Gain on disposal of assets</w:t>
            </w:r>
          </w:p>
        </w:tc>
        <w:tc>
          <w:tcPr>
            <w:tcW w:w="800" w:type="dxa"/>
          </w:tcPr>
          <w:p w14:paraId="43BDA7A2" w14:textId="77777777" w:rsidR="00FA4AA8" w:rsidRDefault="0015611F">
            <w:pPr>
              <w:pStyle w:val="TableParagraph"/>
              <w:spacing w:before="23"/>
              <w:ind w:left="235"/>
              <w:jc w:val="center"/>
              <w:rPr>
                <w:sz w:val="18"/>
              </w:rPr>
            </w:pPr>
            <w:r>
              <w:rPr>
                <w:sz w:val="18"/>
              </w:rPr>
              <w:t>8</w:t>
            </w:r>
          </w:p>
        </w:tc>
        <w:tc>
          <w:tcPr>
            <w:tcW w:w="1461" w:type="dxa"/>
          </w:tcPr>
          <w:p w14:paraId="5DD4DD99" w14:textId="77777777" w:rsidR="00FA4AA8" w:rsidRDefault="0015611F">
            <w:pPr>
              <w:pStyle w:val="TableParagraph"/>
              <w:spacing w:before="25"/>
              <w:ind w:right="248"/>
              <w:jc w:val="right"/>
              <w:rPr>
                <w:b/>
                <w:sz w:val="18"/>
              </w:rPr>
            </w:pPr>
            <w:r>
              <w:rPr>
                <w:b/>
                <w:sz w:val="18"/>
              </w:rPr>
              <w:t>33,987</w:t>
            </w:r>
          </w:p>
        </w:tc>
        <w:tc>
          <w:tcPr>
            <w:tcW w:w="1206" w:type="dxa"/>
          </w:tcPr>
          <w:p w14:paraId="4A461810" w14:textId="77777777" w:rsidR="00FA4AA8" w:rsidRDefault="0015611F">
            <w:pPr>
              <w:pStyle w:val="TableParagraph"/>
              <w:spacing w:before="25"/>
              <w:ind w:left="325"/>
              <w:rPr>
                <w:sz w:val="18"/>
              </w:rPr>
            </w:pPr>
            <w:r>
              <w:rPr>
                <w:sz w:val="18"/>
              </w:rPr>
              <w:t>36,023</w:t>
            </w:r>
          </w:p>
        </w:tc>
        <w:tc>
          <w:tcPr>
            <w:tcW w:w="1197" w:type="dxa"/>
          </w:tcPr>
          <w:p w14:paraId="7E1603B6" w14:textId="77777777" w:rsidR="00FA4AA8" w:rsidRDefault="0015611F">
            <w:pPr>
              <w:pStyle w:val="TableParagraph"/>
              <w:spacing w:before="25"/>
              <w:ind w:right="217"/>
              <w:jc w:val="right"/>
              <w:rPr>
                <w:b/>
                <w:sz w:val="18"/>
              </w:rPr>
            </w:pPr>
            <w:r>
              <w:rPr>
                <w:b/>
                <w:sz w:val="18"/>
              </w:rPr>
              <w:t>33,993</w:t>
            </w:r>
          </w:p>
        </w:tc>
        <w:tc>
          <w:tcPr>
            <w:tcW w:w="1003" w:type="dxa"/>
          </w:tcPr>
          <w:p w14:paraId="2D995E85" w14:textId="77777777" w:rsidR="00FA4AA8" w:rsidRDefault="0015611F">
            <w:pPr>
              <w:pStyle w:val="TableParagraph"/>
              <w:spacing w:before="25"/>
              <w:ind w:right="90"/>
              <w:jc w:val="right"/>
              <w:rPr>
                <w:sz w:val="18"/>
              </w:rPr>
            </w:pPr>
            <w:r>
              <w:rPr>
                <w:sz w:val="18"/>
              </w:rPr>
              <w:t>35,940</w:t>
            </w:r>
          </w:p>
        </w:tc>
      </w:tr>
      <w:tr w:rsidR="00FA4AA8" w14:paraId="3B9BC61C" w14:textId="77777777">
        <w:trPr>
          <w:trHeight w:val="258"/>
        </w:trPr>
        <w:tc>
          <w:tcPr>
            <w:tcW w:w="4248" w:type="dxa"/>
          </w:tcPr>
          <w:p w14:paraId="7BBBDA60" w14:textId="77777777" w:rsidR="00FA4AA8" w:rsidRDefault="0015611F">
            <w:pPr>
              <w:pStyle w:val="TableParagraph"/>
              <w:spacing w:before="24"/>
              <w:ind w:left="50"/>
              <w:rPr>
                <w:sz w:val="18"/>
              </w:rPr>
            </w:pPr>
            <w:r>
              <w:rPr>
                <w:sz w:val="18"/>
              </w:rPr>
              <w:t>Other revenue and income</w:t>
            </w:r>
          </w:p>
        </w:tc>
        <w:tc>
          <w:tcPr>
            <w:tcW w:w="800" w:type="dxa"/>
          </w:tcPr>
          <w:p w14:paraId="70B58B7C" w14:textId="77777777" w:rsidR="00FA4AA8" w:rsidRDefault="0015611F">
            <w:pPr>
              <w:pStyle w:val="TableParagraph"/>
              <w:spacing w:before="24"/>
              <w:ind w:left="235"/>
              <w:jc w:val="center"/>
              <w:rPr>
                <w:sz w:val="18"/>
              </w:rPr>
            </w:pPr>
            <w:r>
              <w:rPr>
                <w:sz w:val="18"/>
              </w:rPr>
              <w:t>9</w:t>
            </w:r>
          </w:p>
        </w:tc>
        <w:tc>
          <w:tcPr>
            <w:tcW w:w="1461" w:type="dxa"/>
            <w:tcBorders>
              <w:bottom w:val="single" w:sz="8" w:space="0" w:color="000000"/>
            </w:tcBorders>
          </w:tcPr>
          <w:p w14:paraId="7FB50290" w14:textId="77777777" w:rsidR="00FA4AA8" w:rsidRDefault="0015611F">
            <w:pPr>
              <w:pStyle w:val="TableParagraph"/>
              <w:spacing w:before="26"/>
              <w:ind w:right="248"/>
              <w:jc w:val="right"/>
              <w:rPr>
                <w:b/>
                <w:sz w:val="18"/>
              </w:rPr>
            </w:pPr>
            <w:r>
              <w:rPr>
                <w:b/>
                <w:sz w:val="18"/>
              </w:rPr>
              <w:t>106,265</w:t>
            </w:r>
          </w:p>
        </w:tc>
        <w:tc>
          <w:tcPr>
            <w:tcW w:w="1206" w:type="dxa"/>
            <w:tcBorders>
              <w:bottom w:val="single" w:sz="8" w:space="0" w:color="000000"/>
            </w:tcBorders>
          </w:tcPr>
          <w:p w14:paraId="5E304B84" w14:textId="77777777" w:rsidR="00FA4AA8" w:rsidRDefault="0015611F">
            <w:pPr>
              <w:pStyle w:val="TableParagraph"/>
              <w:spacing w:before="26"/>
              <w:ind w:left="325"/>
              <w:rPr>
                <w:sz w:val="18"/>
              </w:rPr>
            </w:pPr>
            <w:r>
              <w:rPr>
                <w:sz w:val="18"/>
              </w:rPr>
              <w:t>44,622</w:t>
            </w:r>
          </w:p>
        </w:tc>
        <w:tc>
          <w:tcPr>
            <w:tcW w:w="1197" w:type="dxa"/>
            <w:tcBorders>
              <w:bottom w:val="single" w:sz="8" w:space="0" w:color="000000"/>
            </w:tcBorders>
          </w:tcPr>
          <w:p w14:paraId="7DCDF4DF" w14:textId="77777777" w:rsidR="00FA4AA8" w:rsidRDefault="0015611F">
            <w:pPr>
              <w:pStyle w:val="TableParagraph"/>
              <w:spacing w:before="26"/>
              <w:ind w:right="217"/>
              <w:jc w:val="right"/>
              <w:rPr>
                <w:b/>
                <w:sz w:val="18"/>
              </w:rPr>
            </w:pPr>
            <w:r>
              <w:rPr>
                <w:b/>
                <w:sz w:val="18"/>
              </w:rPr>
              <w:t>118,542</w:t>
            </w:r>
          </w:p>
        </w:tc>
        <w:tc>
          <w:tcPr>
            <w:tcW w:w="1003" w:type="dxa"/>
            <w:tcBorders>
              <w:bottom w:val="single" w:sz="8" w:space="0" w:color="000000"/>
            </w:tcBorders>
          </w:tcPr>
          <w:p w14:paraId="6137FAC2" w14:textId="77777777" w:rsidR="00FA4AA8" w:rsidRDefault="0015611F">
            <w:pPr>
              <w:pStyle w:val="TableParagraph"/>
              <w:spacing w:before="26"/>
              <w:ind w:right="90"/>
              <w:jc w:val="right"/>
              <w:rPr>
                <w:sz w:val="18"/>
              </w:rPr>
            </w:pPr>
            <w:r>
              <w:rPr>
                <w:sz w:val="18"/>
              </w:rPr>
              <w:t>54,060</w:t>
            </w:r>
          </w:p>
        </w:tc>
      </w:tr>
      <w:tr w:rsidR="00FA4AA8" w14:paraId="6D50090D" w14:textId="77777777">
        <w:trPr>
          <w:trHeight w:val="318"/>
        </w:trPr>
        <w:tc>
          <w:tcPr>
            <w:tcW w:w="4248" w:type="dxa"/>
          </w:tcPr>
          <w:p w14:paraId="620BEDA5" w14:textId="77777777" w:rsidR="00FA4AA8" w:rsidRDefault="0015611F">
            <w:pPr>
              <w:pStyle w:val="TableParagraph"/>
              <w:spacing w:before="115" w:line="183" w:lineRule="exact"/>
              <w:ind w:left="50"/>
              <w:rPr>
                <w:b/>
                <w:sz w:val="18"/>
              </w:rPr>
            </w:pPr>
            <w:r>
              <w:rPr>
                <w:b/>
                <w:sz w:val="18"/>
              </w:rPr>
              <w:t>Total income from continuing operations</w:t>
            </w:r>
          </w:p>
        </w:tc>
        <w:tc>
          <w:tcPr>
            <w:tcW w:w="800" w:type="dxa"/>
          </w:tcPr>
          <w:p w14:paraId="7EA8CC19" w14:textId="77777777" w:rsidR="00FA4AA8" w:rsidRDefault="00FA4AA8">
            <w:pPr>
              <w:pStyle w:val="TableParagraph"/>
              <w:rPr>
                <w:rFonts w:ascii="Times New Roman"/>
                <w:sz w:val="18"/>
              </w:rPr>
            </w:pPr>
          </w:p>
        </w:tc>
        <w:tc>
          <w:tcPr>
            <w:tcW w:w="1461" w:type="dxa"/>
            <w:tcBorders>
              <w:top w:val="single" w:sz="8" w:space="0" w:color="000000"/>
              <w:bottom w:val="single" w:sz="8" w:space="0" w:color="000000"/>
            </w:tcBorders>
          </w:tcPr>
          <w:p w14:paraId="2CAAD045" w14:textId="77777777" w:rsidR="00FA4AA8" w:rsidRDefault="0015611F">
            <w:pPr>
              <w:pStyle w:val="TableParagraph"/>
              <w:spacing w:before="115" w:line="183" w:lineRule="exact"/>
              <w:ind w:right="248"/>
              <w:jc w:val="right"/>
              <w:rPr>
                <w:b/>
                <w:sz w:val="18"/>
              </w:rPr>
            </w:pPr>
            <w:r>
              <w:rPr>
                <w:b/>
                <w:sz w:val="18"/>
              </w:rPr>
              <w:t>906,134</w:t>
            </w:r>
          </w:p>
        </w:tc>
        <w:tc>
          <w:tcPr>
            <w:tcW w:w="1206" w:type="dxa"/>
            <w:tcBorders>
              <w:top w:val="single" w:sz="8" w:space="0" w:color="000000"/>
              <w:bottom w:val="single" w:sz="8" w:space="0" w:color="000000"/>
            </w:tcBorders>
          </w:tcPr>
          <w:p w14:paraId="3004C434" w14:textId="77777777" w:rsidR="00FA4AA8" w:rsidRDefault="0015611F">
            <w:pPr>
              <w:pStyle w:val="TableParagraph"/>
              <w:spacing w:before="115" w:line="183" w:lineRule="exact"/>
              <w:ind w:left="225"/>
              <w:rPr>
                <w:sz w:val="18"/>
              </w:rPr>
            </w:pPr>
            <w:r>
              <w:rPr>
                <w:sz w:val="18"/>
              </w:rPr>
              <w:t>799,105</w:t>
            </w:r>
          </w:p>
        </w:tc>
        <w:tc>
          <w:tcPr>
            <w:tcW w:w="1197" w:type="dxa"/>
            <w:tcBorders>
              <w:top w:val="single" w:sz="8" w:space="0" w:color="000000"/>
              <w:bottom w:val="single" w:sz="8" w:space="0" w:color="000000"/>
            </w:tcBorders>
          </w:tcPr>
          <w:p w14:paraId="41E7D043" w14:textId="77777777" w:rsidR="00FA4AA8" w:rsidRDefault="0015611F">
            <w:pPr>
              <w:pStyle w:val="TableParagraph"/>
              <w:spacing w:before="115" w:line="183" w:lineRule="exact"/>
              <w:ind w:right="217"/>
              <w:jc w:val="right"/>
              <w:rPr>
                <w:b/>
                <w:sz w:val="18"/>
              </w:rPr>
            </w:pPr>
            <w:r>
              <w:rPr>
                <w:b/>
                <w:sz w:val="18"/>
              </w:rPr>
              <w:t>909,269</w:t>
            </w:r>
          </w:p>
        </w:tc>
        <w:tc>
          <w:tcPr>
            <w:tcW w:w="1003" w:type="dxa"/>
            <w:tcBorders>
              <w:top w:val="single" w:sz="8" w:space="0" w:color="000000"/>
              <w:bottom w:val="single" w:sz="8" w:space="0" w:color="000000"/>
            </w:tcBorders>
          </w:tcPr>
          <w:p w14:paraId="752D7E37" w14:textId="77777777" w:rsidR="00FA4AA8" w:rsidRDefault="0015611F">
            <w:pPr>
              <w:pStyle w:val="TableParagraph"/>
              <w:spacing w:before="115" w:line="183" w:lineRule="exact"/>
              <w:ind w:right="90"/>
              <w:jc w:val="right"/>
              <w:rPr>
                <w:sz w:val="18"/>
              </w:rPr>
            </w:pPr>
            <w:r>
              <w:rPr>
                <w:sz w:val="18"/>
              </w:rPr>
              <w:t>800,489</w:t>
            </w:r>
          </w:p>
        </w:tc>
      </w:tr>
      <w:tr w:rsidR="00FA4AA8" w14:paraId="66F29B0F" w14:textId="77777777">
        <w:trPr>
          <w:trHeight w:val="337"/>
        </w:trPr>
        <w:tc>
          <w:tcPr>
            <w:tcW w:w="4248" w:type="dxa"/>
          </w:tcPr>
          <w:p w14:paraId="32782857" w14:textId="77777777" w:rsidR="00FA4AA8" w:rsidRDefault="0015611F">
            <w:pPr>
              <w:pStyle w:val="TableParagraph"/>
              <w:spacing w:before="115" w:line="203" w:lineRule="exact"/>
              <w:ind w:left="50"/>
              <w:rPr>
                <w:b/>
                <w:sz w:val="18"/>
              </w:rPr>
            </w:pPr>
            <w:r>
              <w:rPr>
                <w:b/>
                <w:sz w:val="18"/>
              </w:rPr>
              <w:t>Expenses from continuing operations</w:t>
            </w:r>
          </w:p>
        </w:tc>
        <w:tc>
          <w:tcPr>
            <w:tcW w:w="800" w:type="dxa"/>
          </w:tcPr>
          <w:p w14:paraId="46B06BBE" w14:textId="77777777" w:rsidR="00FA4AA8" w:rsidRDefault="00FA4AA8">
            <w:pPr>
              <w:pStyle w:val="TableParagraph"/>
              <w:rPr>
                <w:rFonts w:ascii="Times New Roman"/>
                <w:sz w:val="18"/>
              </w:rPr>
            </w:pPr>
          </w:p>
        </w:tc>
        <w:tc>
          <w:tcPr>
            <w:tcW w:w="1461" w:type="dxa"/>
            <w:tcBorders>
              <w:top w:val="single" w:sz="8" w:space="0" w:color="000000"/>
            </w:tcBorders>
          </w:tcPr>
          <w:p w14:paraId="79224591" w14:textId="77777777" w:rsidR="00FA4AA8" w:rsidRDefault="00FA4AA8">
            <w:pPr>
              <w:pStyle w:val="TableParagraph"/>
              <w:rPr>
                <w:rFonts w:ascii="Times New Roman"/>
                <w:sz w:val="18"/>
              </w:rPr>
            </w:pPr>
          </w:p>
        </w:tc>
        <w:tc>
          <w:tcPr>
            <w:tcW w:w="1206" w:type="dxa"/>
            <w:tcBorders>
              <w:top w:val="single" w:sz="8" w:space="0" w:color="000000"/>
            </w:tcBorders>
          </w:tcPr>
          <w:p w14:paraId="32D3BAF2" w14:textId="77777777" w:rsidR="00FA4AA8" w:rsidRDefault="00FA4AA8">
            <w:pPr>
              <w:pStyle w:val="TableParagraph"/>
              <w:rPr>
                <w:rFonts w:ascii="Times New Roman"/>
                <w:sz w:val="18"/>
              </w:rPr>
            </w:pPr>
          </w:p>
        </w:tc>
        <w:tc>
          <w:tcPr>
            <w:tcW w:w="1197" w:type="dxa"/>
            <w:tcBorders>
              <w:top w:val="single" w:sz="8" w:space="0" w:color="000000"/>
            </w:tcBorders>
          </w:tcPr>
          <w:p w14:paraId="7FB7A5B6" w14:textId="77777777" w:rsidR="00FA4AA8" w:rsidRDefault="00FA4AA8">
            <w:pPr>
              <w:pStyle w:val="TableParagraph"/>
              <w:rPr>
                <w:rFonts w:ascii="Times New Roman"/>
                <w:sz w:val="18"/>
              </w:rPr>
            </w:pPr>
          </w:p>
        </w:tc>
        <w:tc>
          <w:tcPr>
            <w:tcW w:w="1003" w:type="dxa"/>
            <w:tcBorders>
              <w:top w:val="single" w:sz="8" w:space="0" w:color="000000"/>
            </w:tcBorders>
          </w:tcPr>
          <w:p w14:paraId="435D221D" w14:textId="77777777" w:rsidR="00FA4AA8" w:rsidRDefault="00FA4AA8">
            <w:pPr>
              <w:pStyle w:val="TableParagraph"/>
              <w:rPr>
                <w:rFonts w:ascii="Times New Roman"/>
                <w:sz w:val="18"/>
              </w:rPr>
            </w:pPr>
          </w:p>
        </w:tc>
      </w:tr>
      <w:tr w:rsidR="00FA4AA8" w14:paraId="2D27B637" w14:textId="77777777">
        <w:trPr>
          <w:trHeight w:val="249"/>
        </w:trPr>
        <w:tc>
          <w:tcPr>
            <w:tcW w:w="4248" w:type="dxa"/>
          </w:tcPr>
          <w:p w14:paraId="04337734" w14:textId="77777777" w:rsidR="00FA4AA8" w:rsidRDefault="0015611F">
            <w:pPr>
              <w:pStyle w:val="TableParagraph"/>
              <w:spacing w:before="10"/>
              <w:ind w:left="50"/>
              <w:rPr>
                <w:sz w:val="18"/>
              </w:rPr>
            </w:pPr>
            <w:r>
              <w:rPr>
                <w:sz w:val="18"/>
              </w:rPr>
              <w:t>Employee related expenses</w:t>
            </w:r>
          </w:p>
        </w:tc>
        <w:tc>
          <w:tcPr>
            <w:tcW w:w="800" w:type="dxa"/>
          </w:tcPr>
          <w:p w14:paraId="4570B6D2" w14:textId="77777777" w:rsidR="00FA4AA8" w:rsidRDefault="0015611F">
            <w:pPr>
              <w:pStyle w:val="TableParagraph"/>
              <w:spacing w:before="10"/>
              <w:ind w:left="296" w:right="61"/>
              <w:jc w:val="center"/>
              <w:rPr>
                <w:sz w:val="18"/>
              </w:rPr>
            </w:pPr>
            <w:r>
              <w:rPr>
                <w:sz w:val="18"/>
              </w:rPr>
              <w:t>10</w:t>
            </w:r>
          </w:p>
        </w:tc>
        <w:tc>
          <w:tcPr>
            <w:tcW w:w="1461" w:type="dxa"/>
          </w:tcPr>
          <w:p w14:paraId="10226138" w14:textId="77777777" w:rsidR="00FA4AA8" w:rsidRDefault="0015611F">
            <w:pPr>
              <w:pStyle w:val="TableParagraph"/>
              <w:spacing w:before="12"/>
              <w:ind w:right="248"/>
              <w:jc w:val="right"/>
              <w:rPr>
                <w:b/>
                <w:sz w:val="18"/>
              </w:rPr>
            </w:pPr>
            <w:r>
              <w:rPr>
                <w:b/>
                <w:sz w:val="18"/>
              </w:rPr>
              <w:t>470,405</w:t>
            </w:r>
          </w:p>
        </w:tc>
        <w:tc>
          <w:tcPr>
            <w:tcW w:w="1206" w:type="dxa"/>
          </w:tcPr>
          <w:p w14:paraId="11F86D66" w14:textId="77777777" w:rsidR="00FA4AA8" w:rsidRDefault="0015611F">
            <w:pPr>
              <w:pStyle w:val="TableParagraph"/>
              <w:spacing w:before="12"/>
              <w:ind w:left="225"/>
              <w:rPr>
                <w:sz w:val="18"/>
              </w:rPr>
            </w:pPr>
            <w:r>
              <w:rPr>
                <w:sz w:val="18"/>
              </w:rPr>
              <w:t>444,098</w:t>
            </w:r>
          </w:p>
        </w:tc>
        <w:tc>
          <w:tcPr>
            <w:tcW w:w="1197" w:type="dxa"/>
          </w:tcPr>
          <w:p w14:paraId="0289A38C" w14:textId="77777777" w:rsidR="00FA4AA8" w:rsidRDefault="0015611F">
            <w:pPr>
              <w:pStyle w:val="TableParagraph"/>
              <w:spacing w:before="12"/>
              <w:ind w:right="217"/>
              <w:jc w:val="right"/>
              <w:rPr>
                <w:b/>
                <w:sz w:val="18"/>
              </w:rPr>
            </w:pPr>
            <w:r>
              <w:rPr>
                <w:b/>
                <w:sz w:val="18"/>
              </w:rPr>
              <w:t>430,981</w:t>
            </w:r>
          </w:p>
        </w:tc>
        <w:tc>
          <w:tcPr>
            <w:tcW w:w="1003" w:type="dxa"/>
          </w:tcPr>
          <w:p w14:paraId="7553DBE4" w14:textId="77777777" w:rsidR="00FA4AA8" w:rsidRDefault="0015611F">
            <w:pPr>
              <w:pStyle w:val="TableParagraph"/>
              <w:spacing w:before="12"/>
              <w:ind w:right="90"/>
              <w:jc w:val="right"/>
              <w:rPr>
                <w:sz w:val="18"/>
              </w:rPr>
            </w:pPr>
            <w:r>
              <w:rPr>
                <w:sz w:val="18"/>
              </w:rPr>
              <w:t>404,032</w:t>
            </w:r>
          </w:p>
        </w:tc>
      </w:tr>
      <w:tr w:rsidR="00FA4AA8" w14:paraId="3D72A48F" w14:textId="77777777">
        <w:trPr>
          <w:trHeight w:val="264"/>
        </w:trPr>
        <w:tc>
          <w:tcPr>
            <w:tcW w:w="4248" w:type="dxa"/>
          </w:tcPr>
          <w:p w14:paraId="67861440" w14:textId="77777777" w:rsidR="00FA4AA8" w:rsidRDefault="0015611F">
            <w:pPr>
              <w:pStyle w:val="TableParagraph"/>
              <w:spacing w:before="24"/>
              <w:ind w:left="50"/>
              <w:rPr>
                <w:sz w:val="18"/>
              </w:rPr>
            </w:pPr>
            <w:r>
              <w:rPr>
                <w:sz w:val="18"/>
              </w:rPr>
              <w:t>Depreciation and amortisation</w:t>
            </w:r>
          </w:p>
        </w:tc>
        <w:tc>
          <w:tcPr>
            <w:tcW w:w="800" w:type="dxa"/>
          </w:tcPr>
          <w:p w14:paraId="1DC3C4E7" w14:textId="77777777" w:rsidR="00FA4AA8" w:rsidRDefault="0015611F">
            <w:pPr>
              <w:pStyle w:val="TableParagraph"/>
              <w:spacing w:before="24"/>
              <w:ind w:left="296" w:right="61"/>
              <w:jc w:val="center"/>
              <w:rPr>
                <w:sz w:val="18"/>
              </w:rPr>
            </w:pPr>
            <w:r>
              <w:rPr>
                <w:sz w:val="18"/>
              </w:rPr>
              <w:t>11</w:t>
            </w:r>
          </w:p>
        </w:tc>
        <w:tc>
          <w:tcPr>
            <w:tcW w:w="1461" w:type="dxa"/>
          </w:tcPr>
          <w:p w14:paraId="7A6589BC" w14:textId="77777777" w:rsidR="00FA4AA8" w:rsidRDefault="0015611F">
            <w:pPr>
              <w:pStyle w:val="TableParagraph"/>
              <w:spacing w:before="26"/>
              <w:ind w:right="248"/>
              <w:jc w:val="right"/>
              <w:rPr>
                <w:b/>
                <w:sz w:val="18"/>
              </w:rPr>
            </w:pPr>
            <w:r>
              <w:rPr>
                <w:b/>
                <w:sz w:val="18"/>
              </w:rPr>
              <w:t>54,950</w:t>
            </w:r>
          </w:p>
        </w:tc>
        <w:tc>
          <w:tcPr>
            <w:tcW w:w="1206" w:type="dxa"/>
          </w:tcPr>
          <w:p w14:paraId="2461FDDD" w14:textId="77777777" w:rsidR="00FA4AA8" w:rsidRDefault="0015611F">
            <w:pPr>
              <w:pStyle w:val="TableParagraph"/>
              <w:spacing w:before="26"/>
              <w:ind w:left="325"/>
              <w:rPr>
                <w:sz w:val="18"/>
              </w:rPr>
            </w:pPr>
            <w:r>
              <w:rPr>
                <w:sz w:val="18"/>
              </w:rPr>
              <w:t>50,525</w:t>
            </w:r>
          </w:p>
        </w:tc>
        <w:tc>
          <w:tcPr>
            <w:tcW w:w="1197" w:type="dxa"/>
          </w:tcPr>
          <w:p w14:paraId="5E54D7D5" w14:textId="77777777" w:rsidR="00FA4AA8" w:rsidRDefault="0015611F">
            <w:pPr>
              <w:pStyle w:val="TableParagraph"/>
              <w:spacing w:before="26"/>
              <w:ind w:right="217"/>
              <w:jc w:val="right"/>
              <w:rPr>
                <w:b/>
                <w:sz w:val="18"/>
              </w:rPr>
            </w:pPr>
            <w:r>
              <w:rPr>
                <w:b/>
                <w:sz w:val="18"/>
              </w:rPr>
              <w:t>53,802</w:t>
            </w:r>
          </w:p>
        </w:tc>
        <w:tc>
          <w:tcPr>
            <w:tcW w:w="1003" w:type="dxa"/>
          </w:tcPr>
          <w:p w14:paraId="77E8EA55" w14:textId="77777777" w:rsidR="00FA4AA8" w:rsidRDefault="0015611F">
            <w:pPr>
              <w:pStyle w:val="TableParagraph"/>
              <w:spacing w:before="26"/>
              <w:ind w:right="90"/>
              <w:jc w:val="right"/>
              <w:rPr>
                <w:sz w:val="18"/>
              </w:rPr>
            </w:pPr>
            <w:r>
              <w:rPr>
                <w:sz w:val="18"/>
              </w:rPr>
              <w:t>48,835</w:t>
            </w:r>
          </w:p>
        </w:tc>
      </w:tr>
      <w:tr w:rsidR="00FA4AA8" w14:paraId="6438F681" w14:textId="77777777">
        <w:trPr>
          <w:trHeight w:val="263"/>
        </w:trPr>
        <w:tc>
          <w:tcPr>
            <w:tcW w:w="4248" w:type="dxa"/>
          </w:tcPr>
          <w:p w14:paraId="721FC828" w14:textId="77777777" w:rsidR="00FA4AA8" w:rsidRDefault="0015611F">
            <w:pPr>
              <w:pStyle w:val="TableParagraph"/>
              <w:spacing w:before="24"/>
              <w:ind w:left="50"/>
              <w:rPr>
                <w:sz w:val="18"/>
              </w:rPr>
            </w:pPr>
            <w:r>
              <w:rPr>
                <w:sz w:val="18"/>
              </w:rPr>
              <w:t>Repairs and maintenance</w:t>
            </w:r>
          </w:p>
        </w:tc>
        <w:tc>
          <w:tcPr>
            <w:tcW w:w="800" w:type="dxa"/>
          </w:tcPr>
          <w:p w14:paraId="484E87F0" w14:textId="77777777" w:rsidR="00FA4AA8" w:rsidRDefault="0015611F">
            <w:pPr>
              <w:pStyle w:val="TableParagraph"/>
              <w:spacing w:before="24"/>
              <w:ind w:left="296" w:right="61"/>
              <w:jc w:val="center"/>
              <w:rPr>
                <w:sz w:val="18"/>
              </w:rPr>
            </w:pPr>
            <w:r>
              <w:rPr>
                <w:sz w:val="18"/>
              </w:rPr>
              <w:t>12</w:t>
            </w:r>
          </w:p>
        </w:tc>
        <w:tc>
          <w:tcPr>
            <w:tcW w:w="1461" w:type="dxa"/>
          </w:tcPr>
          <w:p w14:paraId="07C1E120" w14:textId="77777777" w:rsidR="00FA4AA8" w:rsidRDefault="0015611F">
            <w:pPr>
              <w:pStyle w:val="TableParagraph"/>
              <w:spacing w:before="26"/>
              <w:ind w:right="248"/>
              <w:jc w:val="right"/>
              <w:rPr>
                <w:b/>
                <w:sz w:val="18"/>
              </w:rPr>
            </w:pPr>
            <w:r>
              <w:rPr>
                <w:b/>
                <w:sz w:val="18"/>
              </w:rPr>
              <w:t>24,831</w:t>
            </w:r>
          </w:p>
        </w:tc>
        <w:tc>
          <w:tcPr>
            <w:tcW w:w="1206" w:type="dxa"/>
          </w:tcPr>
          <w:p w14:paraId="33E6416C" w14:textId="77777777" w:rsidR="00FA4AA8" w:rsidRDefault="0015611F">
            <w:pPr>
              <w:pStyle w:val="TableParagraph"/>
              <w:spacing w:before="26"/>
              <w:ind w:left="325"/>
              <w:rPr>
                <w:sz w:val="18"/>
              </w:rPr>
            </w:pPr>
            <w:r>
              <w:rPr>
                <w:sz w:val="18"/>
              </w:rPr>
              <w:t>25,561</w:t>
            </w:r>
          </w:p>
        </w:tc>
        <w:tc>
          <w:tcPr>
            <w:tcW w:w="1197" w:type="dxa"/>
          </w:tcPr>
          <w:p w14:paraId="236899F0" w14:textId="77777777" w:rsidR="00FA4AA8" w:rsidRDefault="0015611F">
            <w:pPr>
              <w:pStyle w:val="TableParagraph"/>
              <w:spacing w:before="26"/>
              <w:ind w:right="217"/>
              <w:jc w:val="right"/>
              <w:rPr>
                <w:b/>
                <w:sz w:val="18"/>
              </w:rPr>
            </w:pPr>
            <w:r>
              <w:rPr>
                <w:b/>
                <w:sz w:val="18"/>
              </w:rPr>
              <w:t>24,679</w:t>
            </w:r>
          </w:p>
        </w:tc>
        <w:tc>
          <w:tcPr>
            <w:tcW w:w="1003" w:type="dxa"/>
          </w:tcPr>
          <w:p w14:paraId="7EE64D85" w14:textId="77777777" w:rsidR="00FA4AA8" w:rsidRDefault="0015611F">
            <w:pPr>
              <w:pStyle w:val="TableParagraph"/>
              <w:spacing w:before="26"/>
              <w:ind w:right="90"/>
              <w:jc w:val="right"/>
              <w:rPr>
                <w:sz w:val="18"/>
              </w:rPr>
            </w:pPr>
            <w:r>
              <w:rPr>
                <w:sz w:val="18"/>
              </w:rPr>
              <w:t>25,351</w:t>
            </w:r>
          </w:p>
        </w:tc>
      </w:tr>
      <w:tr w:rsidR="00FA4AA8" w14:paraId="5E22BDD4" w14:textId="77777777">
        <w:trPr>
          <w:trHeight w:val="264"/>
        </w:trPr>
        <w:tc>
          <w:tcPr>
            <w:tcW w:w="4248" w:type="dxa"/>
          </w:tcPr>
          <w:p w14:paraId="78559132" w14:textId="77777777" w:rsidR="00FA4AA8" w:rsidRDefault="0015611F">
            <w:pPr>
              <w:pStyle w:val="TableParagraph"/>
              <w:spacing w:before="24"/>
              <w:ind w:left="50"/>
              <w:rPr>
                <w:sz w:val="18"/>
              </w:rPr>
            </w:pPr>
            <w:r>
              <w:rPr>
                <w:sz w:val="18"/>
              </w:rPr>
              <w:t>Borrowing costs</w:t>
            </w:r>
          </w:p>
        </w:tc>
        <w:tc>
          <w:tcPr>
            <w:tcW w:w="800" w:type="dxa"/>
          </w:tcPr>
          <w:p w14:paraId="05B01F4F" w14:textId="77777777" w:rsidR="00FA4AA8" w:rsidRDefault="0015611F">
            <w:pPr>
              <w:pStyle w:val="TableParagraph"/>
              <w:spacing w:before="24"/>
              <w:ind w:left="296" w:right="61"/>
              <w:jc w:val="center"/>
              <w:rPr>
                <w:sz w:val="18"/>
              </w:rPr>
            </w:pPr>
            <w:r>
              <w:rPr>
                <w:sz w:val="18"/>
              </w:rPr>
              <w:t>13</w:t>
            </w:r>
          </w:p>
        </w:tc>
        <w:tc>
          <w:tcPr>
            <w:tcW w:w="1461" w:type="dxa"/>
          </w:tcPr>
          <w:p w14:paraId="50ADBBCA" w14:textId="77777777" w:rsidR="00FA4AA8" w:rsidRDefault="0015611F">
            <w:pPr>
              <w:pStyle w:val="TableParagraph"/>
              <w:spacing w:before="26"/>
              <w:ind w:right="248"/>
              <w:jc w:val="right"/>
              <w:rPr>
                <w:b/>
                <w:sz w:val="18"/>
              </w:rPr>
            </w:pPr>
            <w:r>
              <w:rPr>
                <w:b/>
                <w:sz w:val="18"/>
              </w:rPr>
              <w:t>5,056</w:t>
            </w:r>
          </w:p>
        </w:tc>
        <w:tc>
          <w:tcPr>
            <w:tcW w:w="1206" w:type="dxa"/>
          </w:tcPr>
          <w:p w14:paraId="340A2706" w14:textId="77777777" w:rsidR="00FA4AA8" w:rsidRDefault="0015611F">
            <w:pPr>
              <w:pStyle w:val="TableParagraph"/>
              <w:spacing w:before="26"/>
              <w:ind w:left="426"/>
              <w:rPr>
                <w:sz w:val="18"/>
              </w:rPr>
            </w:pPr>
            <w:r>
              <w:rPr>
                <w:sz w:val="18"/>
              </w:rPr>
              <w:t>4,276</w:t>
            </w:r>
          </w:p>
        </w:tc>
        <w:tc>
          <w:tcPr>
            <w:tcW w:w="1197" w:type="dxa"/>
          </w:tcPr>
          <w:p w14:paraId="0487E793" w14:textId="77777777" w:rsidR="00FA4AA8" w:rsidRDefault="0015611F">
            <w:pPr>
              <w:pStyle w:val="TableParagraph"/>
              <w:spacing w:before="26"/>
              <w:ind w:right="217"/>
              <w:jc w:val="right"/>
              <w:rPr>
                <w:b/>
                <w:sz w:val="18"/>
              </w:rPr>
            </w:pPr>
            <w:r>
              <w:rPr>
                <w:b/>
                <w:sz w:val="18"/>
              </w:rPr>
              <w:t>5,290</w:t>
            </w:r>
          </w:p>
        </w:tc>
        <w:tc>
          <w:tcPr>
            <w:tcW w:w="1003" w:type="dxa"/>
          </w:tcPr>
          <w:p w14:paraId="6CCBB66F" w14:textId="77777777" w:rsidR="00FA4AA8" w:rsidRDefault="0015611F">
            <w:pPr>
              <w:pStyle w:val="TableParagraph"/>
              <w:spacing w:before="26"/>
              <w:ind w:right="90"/>
              <w:jc w:val="right"/>
              <w:rPr>
                <w:sz w:val="18"/>
              </w:rPr>
            </w:pPr>
            <w:r>
              <w:rPr>
                <w:sz w:val="18"/>
              </w:rPr>
              <w:t>4,476</w:t>
            </w:r>
          </w:p>
        </w:tc>
      </w:tr>
      <w:tr w:rsidR="00FA4AA8" w14:paraId="28D5BF24" w14:textId="77777777">
        <w:trPr>
          <w:trHeight w:val="263"/>
        </w:trPr>
        <w:tc>
          <w:tcPr>
            <w:tcW w:w="4248" w:type="dxa"/>
          </w:tcPr>
          <w:p w14:paraId="75D95171" w14:textId="77777777" w:rsidR="00FA4AA8" w:rsidRDefault="0015611F">
            <w:pPr>
              <w:pStyle w:val="TableParagraph"/>
              <w:spacing w:before="24"/>
              <w:ind w:left="50"/>
              <w:rPr>
                <w:sz w:val="18"/>
              </w:rPr>
            </w:pPr>
            <w:r>
              <w:rPr>
                <w:sz w:val="18"/>
              </w:rPr>
              <w:t>Impairment of assets</w:t>
            </w:r>
          </w:p>
        </w:tc>
        <w:tc>
          <w:tcPr>
            <w:tcW w:w="800" w:type="dxa"/>
          </w:tcPr>
          <w:p w14:paraId="2D165DAE" w14:textId="77777777" w:rsidR="00FA4AA8" w:rsidRDefault="0015611F">
            <w:pPr>
              <w:pStyle w:val="TableParagraph"/>
              <w:spacing w:before="24"/>
              <w:ind w:left="296" w:right="61"/>
              <w:jc w:val="center"/>
              <w:rPr>
                <w:sz w:val="18"/>
              </w:rPr>
            </w:pPr>
            <w:r>
              <w:rPr>
                <w:sz w:val="18"/>
              </w:rPr>
              <w:t>14</w:t>
            </w:r>
          </w:p>
        </w:tc>
        <w:tc>
          <w:tcPr>
            <w:tcW w:w="1461" w:type="dxa"/>
          </w:tcPr>
          <w:p w14:paraId="4E1498FA" w14:textId="77777777" w:rsidR="00FA4AA8" w:rsidRDefault="0015611F">
            <w:pPr>
              <w:pStyle w:val="TableParagraph"/>
              <w:spacing w:before="26"/>
              <w:ind w:right="187"/>
              <w:jc w:val="right"/>
              <w:rPr>
                <w:b/>
                <w:sz w:val="18"/>
              </w:rPr>
            </w:pPr>
            <w:r>
              <w:rPr>
                <w:b/>
                <w:sz w:val="18"/>
              </w:rPr>
              <w:t>(64)</w:t>
            </w:r>
          </w:p>
        </w:tc>
        <w:tc>
          <w:tcPr>
            <w:tcW w:w="1206" w:type="dxa"/>
          </w:tcPr>
          <w:p w14:paraId="073D9494" w14:textId="77777777" w:rsidR="00FA4AA8" w:rsidRDefault="0015611F">
            <w:pPr>
              <w:pStyle w:val="TableParagraph"/>
              <w:spacing w:before="26"/>
              <w:ind w:right="263"/>
              <w:jc w:val="right"/>
              <w:rPr>
                <w:sz w:val="18"/>
              </w:rPr>
            </w:pPr>
            <w:r>
              <w:rPr>
                <w:sz w:val="18"/>
              </w:rPr>
              <w:t>(62)</w:t>
            </w:r>
          </w:p>
        </w:tc>
        <w:tc>
          <w:tcPr>
            <w:tcW w:w="1197" w:type="dxa"/>
          </w:tcPr>
          <w:p w14:paraId="60799880" w14:textId="77777777" w:rsidR="00FA4AA8" w:rsidRDefault="0015611F">
            <w:pPr>
              <w:pStyle w:val="TableParagraph"/>
              <w:spacing w:before="26"/>
              <w:ind w:right="217"/>
              <w:jc w:val="right"/>
              <w:rPr>
                <w:b/>
                <w:sz w:val="18"/>
              </w:rPr>
            </w:pPr>
            <w:r>
              <w:rPr>
                <w:b/>
                <w:sz w:val="18"/>
              </w:rPr>
              <w:t>2,521</w:t>
            </w:r>
          </w:p>
        </w:tc>
        <w:tc>
          <w:tcPr>
            <w:tcW w:w="1003" w:type="dxa"/>
          </w:tcPr>
          <w:p w14:paraId="33DC632F" w14:textId="77777777" w:rsidR="00FA4AA8" w:rsidRDefault="0015611F">
            <w:pPr>
              <w:pStyle w:val="TableParagraph"/>
              <w:spacing w:before="26"/>
              <w:ind w:right="90"/>
              <w:jc w:val="right"/>
              <w:rPr>
                <w:sz w:val="18"/>
              </w:rPr>
            </w:pPr>
            <w:r>
              <w:rPr>
                <w:sz w:val="18"/>
              </w:rPr>
              <w:t>3,872</w:t>
            </w:r>
          </w:p>
        </w:tc>
      </w:tr>
      <w:tr w:rsidR="00FA4AA8" w14:paraId="781E54E4" w14:textId="77777777">
        <w:trPr>
          <w:trHeight w:val="258"/>
        </w:trPr>
        <w:tc>
          <w:tcPr>
            <w:tcW w:w="4248" w:type="dxa"/>
          </w:tcPr>
          <w:p w14:paraId="2B12A358" w14:textId="77777777" w:rsidR="00FA4AA8" w:rsidRDefault="0015611F">
            <w:pPr>
              <w:pStyle w:val="TableParagraph"/>
              <w:spacing w:before="24"/>
              <w:ind w:left="50"/>
              <w:rPr>
                <w:sz w:val="18"/>
              </w:rPr>
            </w:pPr>
            <w:r>
              <w:rPr>
                <w:sz w:val="18"/>
              </w:rPr>
              <w:t>Other expenses</w:t>
            </w:r>
          </w:p>
        </w:tc>
        <w:tc>
          <w:tcPr>
            <w:tcW w:w="800" w:type="dxa"/>
          </w:tcPr>
          <w:p w14:paraId="05112397" w14:textId="77777777" w:rsidR="00FA4AA8" w:rsidRDefault="0015611F">
            <w:pPr>
              <w:pStyle w:val="TableParagraph"/>
              <w:spacing w:before="24"/>
              <w:ind w:left="296" w:right="61"/>
              <w:jc w:val="center"/>
              <w:rPr>
                <w:sz w:val="18"/>
              </w:rPr>
            </w:pPr>
            <w:r>
              <w:rPr>
                <w:sz w:val="18"/>
              </w:rPr>
              <w:t>15</w:t>
            </w:r>
          </w:p>
        </w:tc>
        <w:tc>
          <w:tcPr>
            <w:tcW w:w="1461" w:type="dxa"/>
            <w:tcBorders>
              <w:bottom w:val="single" w:sz="8" w:space="0" w:color="000000"/>
            </w:tcBorders>
          </w:tcPr>
          <w:p w14:paraId="7D8F094E" w14:textId="77777777" w:rsidR="00FA4AA8" w:rsidRDefault="0015611F">
            <w:pPr>
              <w:pStyle w:val="TableParagraph"/>
              <w:spacing w:before="26"/>
              <w:ind w:right="248"/>
              <w:jc w:val="right"/>
              <w:rPr>
                <w:b/>
                <w:sz w:val="18"/>
              </w:rPr>
            </w:pPr>
            <w:r>
              <w:rPr>
                <w:b/>
                <w:sz w:val="18"/>
              </w:rPr>
              <w:t>263,245</w:t>
            </w:r>
          </w:p>
        </w:tc>
        <w:tc>
          <w:tcPr>
            <w:tcW w:w="1206" w:type="dxa"/>
            <w:tcBorders>
              <w:bottom w:val="single" w:sz="8" w:space="0" w:color="000000"/>
            </w:tcBorders>
          </w:tcPr>
          <w:p w14:paraId="7364F10A" w14:textId="77777777" w:rsidR="00FA4AA8" w:rsidRDefault="0015611F">
            <w:pPr>
              <w:pStyle w:val="TableParagraph"/>
              <w:spacing w:before="26"/>
              <w:ind w:left="224"/>
              <w:rPr>
                <w:sz w:val="18"/>
              </w:rPr>
            </w:pPr>
            <w:r>
              <w:rPr>
                <w:sz w:val="18"/>
              </w:rPr>
              <w:t>222,643</w:t>
            </w:r>
          </w:p>
        </w:tc>
        <w:tc>
          <w:tcPr>
            <w:tcW w:w="1197" w:type="dxa"/>
            <w:tcBorders>
              <w:bottom w:val="single" w:sz="8" w:space="0" w:color="000000"/>
            </w:tcBorders>
          </w:tcPr>
          <w:p w14:paraId="028008A5" w14:textId="77777777" w:rsidR="00FA4AA8" w:rsidRDefault="0015611F">
            <w:pPr>
              <w:pStyle w:val="TableParagraph"/>
              <w:spacing w:before="26"/>
              <w:ind w:right="217"/>
              <w:jc w:val="right"/>
              <w:rPr>
                <w:b/>
                <w:sz w:val="18"/>
              </w:rPr>
            </w:pPr>
            <w:r>
              <w:rPr>
                <w:b/>
                <w:sz w:val="18"/>
              </w:rPr>
              <w:t>305,225</w:t>
            </w:r>
          </w:p>
        </w:tc>
        <w:tc>
          <w:tcPr>
            <w:tcW w:w="1003" w:type="dxa"/>
            <w:tcBorders>
              <w:bottom w:val="single" w:sz="8" w:space="0" w:color="000000"/>
            </w:tcBorders>
          </w:tcPr>
          <w:p w14:paraId="04D846BC" w14:textId="77777777" w:rsidR="00FA4AA8" w:rsidRDefault="0015611F">
            <w:pPr>
              <w:pStyle w:val="TableParagraph"/>
              <w:spacing w:before="26"/>
              <w:ind w:right="90"/>
              <w:jc w:val="right"/>
              <w:rPr>
                <w:sz w:val="18"/>
              </w:rPr>
            </w:pPr>
            <w:r>
              <w:rPr>
                <w:sz w:val="18"/>
              </w:rPr>
              <w:t>265,461</w:t>
            </w:r>
          </w:p>
        </w:tc>
      </w:tr>
      <w:tr w:rsidR="00FA4AA8" w14:paraId="6263D88A" w14:textId="77777777">
        <w:trPr>
          <w:trHeight w:val="318"/>
        </w:trPr>
        <w:tc>
          <w:tcPr>
            <w:tcW w:w="4248" w:type="dxa"/>
          </w:tcPr>
          <w:p w14:paraId="3EABA14F" w14:textId="77777777" w:rsidR="00FA4AA8" w:rsidRDefault="0015611F">
            <w:pPr>
              <w:pStyle w:val="TableParagraph"/>
              <w:spacing w:before="115" w:line="183" w:lineRule="exact"/>
              <w:ind w:left="50"/>
              <w:rPr>
                <w:b/>
                <w:sz w:val="18"/>
              </w:rPr>
            </w:pPr>
            <w:r>
              <w:rPr>
                <w:b/>
                <w:sz w:val="18"/>
              </w:rPr>
              <w:t>Total expenses from continuing operations</w:t>
            </w:r>
          </w:p>
        </w:tc>
        <w:tc>
          <w:tcPr>
            <w:tcW w:w="800" w:type="dxa"/>
          </w:tcPr>
          <w:p w14:paraId="59583362" w14:textId="77777777" w:rsidR="00FA4AA8" w:rsidRDefault="00FA4AA8">
            <w:pPr>
              <w:pStyle w:val="TableParagraph"/>
              <w:rPr>
                <w:rFonts w:ascii="Times New Roman"/>
                <w:sz w:val="18"/>
              </w:rPr>
            </w:pPr>
          </w:p>
        </w:tc>
        <w:tc>
          <w:tcPr>
            <w:tcW w:w="1461" w:type="dxa"/>
            <w:tcBorders>
              <w:top w:val="single" w:sz="8" w:space="0" w:color="000000"/>
              <w:bottom w:val="single" w:sz="8" w:space="0" w:color="000000"/>
            </w:tcBorders>
          </w:tcPr>
          <w:p w14:paraId="27B80EB8" w14:textId="77777777" w:rsidR="00FA4AA8" w:rsidRDefault="0015611F">
            <w:pPr>
              <w:pStyle w:val="TableParagraph"/>
              <w:spacing w:before="115" w:line="183" w:lineRule="exact"/>
              <w:ind w:right="248"/>
              <w:jc w:val="right"/>
              <w:rPr>
                <w:b/>
                <w:sz w:val="18"/>
              </w:rPr>
            </w:pPr>
            <w:r>
              <w:rPr>
                <w:b/>
                <w:sz w:val="18"/>
              </w:rPr>
              <w:t>818,423</w:t>
            </w:r>
          </w:p>
        </w:tc>
        <w:tc>
          <w:tcPr>
            <w:tcW w:w="1206" w:type="dxa"/>
            <w:tcBorders>
              <w:top w:val="single" w:sz="8" w:space="0" w:color="000000"/>
              <w:bottom w:val="single" w:sz="8" w:space="0" w:color="000000"/>
            </w:tcBorders>
          </w:tcPr>
          <w:p w14:paraId="5B1973B2" w14:textId="77777777" w:rsidR="00FA4AA8" w:rsidRDefault="0015611F">
            <w:pPr>
              <w:pStyle w:val="TableParagraph"/>
              <w:spacing w:before="115" w:line="183" w:lineRule="exact"/>
              <w:ind w:left="225"/>
              <w:rPr>
                <w:sz w:val="18"/>
              </w:rPr>
            </w:pPr>
            <w:r>
              <w:rPr>
                <w:sz w:val="18"/>
              </w:rPr>
              <w:t>747,041</w:t>
            </w:r>
          </w:p>
        </w:tc>
        <w:tc>
          <w:tcPr>
            <w:tcW w:w="1197" w:type="dxa"/>
            <w:tcBorders>
              <w:top w:val="single" w:sz="8" w:space="0" w:color="000000"/>
              <w:bottom w:val="single" w:sz="8" w:space="0" w:color="000000"/>
            </w:tcBorders>
          </w:tcPr>
          <w:p w14:paraId="7A785F1C" w14:textId="77777777" w:rsidR="00FA4AA8" w:rsidRDefault="0015611F">
            <w:pPr>
              <w:pStyle w:val="TableParagraph"/>
              <w:spacing w:before="115" w:line="183" w:lineRule="exact"/>
              <w:ind w:right="217"/>
              <w:jc w:val="right"/>
              <w:rPr>
                <w:b/>
                <w:sz w:val="18"/>
              </w:rPr>
            </w:pPr>
            <w:r>
              <w:rPr>
                <w:b/>
                <w:sz w:val="18"/>
              </w:rPr>
              <w:t>822,498</w:t>
            </w:r>
          </w:p>
        </w:tc>
        <w:tc>
          <w:tcPr>
            <w:tcW w:w="1003" w:type="dxa"/>
            <w:tcBorders>
              <w:top w:val="single" w:sz="8" w:space="0" w:color="000000"/>
              <w:bottom w:val="single" w:sz="8" w:space="0" w:color="000000"/>
            </w:tcBorders>
          </w:tcPr>
          <w:p w14:paraId="76E5A124" w14:textId="77777777" w:rsidR="00FA4AA8" w:rsidRDefault="0015611F">
            <w:pPr>
              <w:pStyle w:val="TableParagraph"/>
              <w:spacing w:before="115" w:line="183" w:lineRule="exact"/>
              <w:ind w:right="90"/>
              <w:jc w:val="right"/>
              <w:rPr>
                <w:sz w:val="18"/>
              </w:rPr>
            </w:pPr>
            <w:r>
              <w:rPr>
                <w:sz w:val="18"/>
              </w:rPr>
              <w:t>752,027</w:t>
            </w:r>
          </w:p>
        </w:tc>
      </w:tr>
      <w:tr w:rsidR="00FA4AA8" w14:paraId="24A4991E" w14:textId="77777777">
        <w:trPr>
          <w:trHeight w:val="316"/>
        </w:trPr>
        <w:tc>
          <w:tcPr>
            <w:tcW w:w="4248" w:type="dxa"/>
          </w:tcPr>
          <w:p w14:paraId="2B7706B8" w14:textId="77777777" w:rsidR="00FA4AA8" w:rsidRDefault="0015611F">
            <w:pPr>
              <w:pStyle w:val="TableParagraph"/>
              <w:spacing w:before="115" w:line="181" w:lineRule="exact"/>
              <w:ind w:left="50"/>
              <w:rPr>
                <w:b/>
                <w:sz w:val="18"/>
              </w:rPr>
            </w:pPr>
            <w:r>
              <w:rPr>
                <w:b/>
                <w:sz w:val="18"/>
              </w:rPr>
              <w:t>Net result from continuing operations</w:t>
            </w:r>
          </w:p>
        </w:tc>
        <w:tc>
          <w:tcPr>
            <w:tcW w:w="800" w:type="dxa"/>
          </w:tcPr>
          <w:p w14:paraId="1049797E" w14:textId="77777777" w:rsidR="00FA4AA8" w:rsidRDefault="00FA4AA8">
            <w:pPr>
              <w:pStyle w:val="TableParagraph"/>
              <w:rPr>
                <w:rFonts w:ascii="Times New Roman"/>
                <w:sz w:val="18"/>
              </w:rPr>
            </w:pPr>
          </w:p>
        </w:tc>
        <w:tc>
          <w:tcPr>
            <w:tcW w:w="1461" w:type="dxa"/>
            <w:tcBorders>
              <w:top w:val="single" w:sz="8" w:space="0" w:color="000000"/>
              <w:bottom w:val="single" w:sz="2" w:space="0" w:color="000000"/>
            </w:tcBorders>
          </w:tcPr>
          <w:p w14:paraId="6DC69689" w14:textId="77777777" w:rsidR="00FA4AA8" w:rsidRDefault="0015611F">
            <w:pPr>
              <w:pStyle w:val="TableParagraph"/>
              <w:spacing w:before="115" w:line="181" w:lineRule="exact"/>
              <w:ind w:right="248"/>
              <w:jc w:val="right"/>
              <w:rPr>
                <w:b/>
                <w:sz w:val="18"/>
              </w:rPr>
            </w:pPr>
            <w:r>
              <w:rPr>
                <w:b/>
                <w:sz w:val="18"/>
              </w:rPr>
              <w:t>87,711</w:t>
            </w:r>
          </w:p>
        </w:tc>
        <w:tc>
          <w:tcPr>
            <w:tcW w:w="1206" w:type="dxa"/>
            <w:tcBorders>
              <w:top w:val="single" w:sz="8" w:space="0" w:color="000000"/>
              <w:bottom w:val="single" w:sz="6" w:space="0" w:color="000000"/>
            </w:tcBorders>
          </w:tcPr>
          <w:p w14:paraId="7689F5B6" w14:textId="77777777" w:rsidR="00FA4AA8" w:rsidRDefault="0015611F">
            <w:pPr>
              <w:pStyle w:val="TableParagraph"/>
              <w:spacing w:before="115" w:line="181" w:lineRule="exact"/>
              <w:ind w:left="325"/>
              <w:rPr>
                <w:sz w:val="18"/>
              </w:rPr>
            </w:pPr>
            <w:r>
              <w:rPr>
                <w:sz w:val="18"/>
              </w:rPr>
              <w:t>52,064</w:t>
            </w:r>
          </w:p>
        </w:tc>
        <w:tc>
          <w:tcPr>
            <w:tcW w:w="1197" w:type="dxa"/>
            <w:tcBorders>
              <w:top w:val="single" w:sz="8" w:space="0" w:color="000000"/>
              <w:bottom w:val="thinThickMediumGap" w:sz="2" w:space="0" w:color="000000"/>
            </w:tcBorders>
          </w:tcPr>
          <w:p w14:paraId="25A42F58" w14:textId="77777777" w:rsidR="00FA4AA8" w:rsidRDefault="0015611F">
            <w:pPr>
              <w:pStyle w:val="TableParagraph"/>
              <w:spacing w:before="115" w:line="181" w:lineRule="exact"/>
              <w:ind w:right="217"/>
              <w:jc w:val="right"/>
              <w:rPr>
                <w:b/>
                <w:sz w:val="18"/>
              </w:rPr>
            </w:pPr>
            <w:r>
              <w:rPr>
                <w:b/>
                <w:sz w:val="18"/>
              </w:rPr>
              <w:t>86,771</w:t>
            </w:r>
          </w:p>
        </w:tc>
        <w:tc>
          <w:tcPr>
            <w:tcW w:w="1003" w:type="dxa"/>
            <w:tcBorders>
              <w:top w:val="single" w:sz="8" w:space="0" w:color="000000"/>
              <w:bottom w:val="thinThickMediumGap" w:sz="2" w:space="0" w:color="000000"/>
            </w:tcBorders>
          </w:tcPr>
          <w:p w14:paraId="26B90FEC" w14:textId="77777777" w:rsidR="00FA4AA8" w:rsidRDefault="0015611F">
            <w:pPr>
              <w:pStyle w:val="TableParagraph"/>
              <w:spacing w:before="115" w:line="181" w:lineRule="exact"/>
              <w:ind w:right="90"/>
              <w:jc w:val="right"/>
              <w:rPr>
                <w:sz w:val="18"/>
              </w:rPr>
            </w:pPr>
            <w:r>
              <w:rPr>
                <w:sz w:val="18"/>
              </w:rPr>
              <w:t>48,462</w:t>
            </w:r>
          </w:p>
        </w:tc>
      </w:tr>
    </w:tbl>
    <w:p w14:paraId="5992D935" w14:textId="77777777" w:rsidR="00FA4AA8" w:rsidRDefault="007E2441">
      <w:pPr>
        <w:pStyle w:val="BodyText"/>
        <w:spacing w:line="40" w:lineRule="exact"/>
        <w:ind w:left="5206"/>
        <w:rPr>
          <w:sz w:val="4"/>
        </w:rPr>
      </w:pPr>
      <w:r>
        <w:rPr>
          <w:noProof/>
          <w:sz w:val="4"/>
          <w:lang w:val="en-AU" w:eastAsia="en-AU"/>
        </w:rPr>
        <mc:AlternateContent>
          <mc:Choice Requires="wpg">
            <w:drawing>
              <wp:inline distT="0" distB="0" distL="0" distR="0" wp14:anchorId="43051964" wp14:editId="35ABE300">
                <wp:extent cx="3091180" cy="24765"/>
                <wp:effectExtent l="9525" t="12065" r="4445" b="10795"/>
                <wp:docPr id="3648" name="Group 3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1180" cy="24765"/>
                          <a:chOff x="0" y="0"/>
                          <a:chExt cx="4868" cy="39"/>
                        </a:xfrm>
                      </wpg:grpSpPr>
                      <wps:wsp>
                        <wps:cNvPr id="3649" name="Line 3448"/>
                        <wps:cNvCnPr>
                          <a:cxnSpLocks noChangeShapeType="1"/>
                        </wps:cNvCnPr>
                        <wps:spPr bwMode="auto">
                          <a:xfrm>
                            <a:off x="0" y="35"/>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650" name="Line 3447"/>
                        <wps:cNvCnPr>
                          <a:cxnSpLocks noChangeShapeType="1"/>
                        </wps:cNvCnPr>
                        <wps:spPr bwMode="auto">
                          <a:xfrm>
                            <a:off x="0" y="37"/>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651" name="Line 3446"/>
                        <wps:cNvCnPr>
                          <a:cxnSpLocks noChangeShapeType="1"/>
                        </wps:cNvCnPr>
                        <wps:spPr bwMode="auto">
                          <a:xfrm>
                            <a:off x="168" y="25"/>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652" name="Line 3445"/>
                        <wps:cNvCnPr>
                          <a:cxnSpLocks noChangeShapeType="1"/>
                        </wps:cNvCnPr>
                        <wps:spPr bwMode="auto">
                          <a:xfrm>
                            <a:off x="168" y="28"/>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653" name="Line 3444"/>
                        <wps:cNvCnPr>
                          <a:cxnSpLocks noChangeShapeType="1"/>
                        </wps:cNvCnPr>
                        <wps:spPr bwMode="auto">
                          <a:xfrm>
                            <a:off x="168" y="30"/>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654" name="Line 3443"/>
                        <wps:cNvCnPr>
                          <a:cxnSpLocks noChangeShapeType="1"/>
                        </wps:cNvCnPr>
                        <wps:spPr bwMode="auto">
                          <a:xfrm>
                            <a:off x="168" y="32"/>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655" name="Line 3442"/>
                        <wps:cNvCnPr>
                          <a:cxnSpLocks noChangeShapeType="1"/>
                        </wps:cNvCnPr>
                        <wps:spPr bwMode="auto">
                          <a:xfrm>
                            <a:off x="168" y="35"/>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656" name="Line 3441"/>
                        <wps:cNvCnPr>
                          <a:cxnSpLocks noChangeShapeType="1"/>
                        </wps:cNvCnPr>
                        <wps:spPr bwMode="auto">
                          <a:xfrm>
                            <a:off x="168" y="37"/>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657" name="Line 3440"/>
                        <wps:cNvCnPr>
                          <a:cxnSpLocks noChangeShapeType="1"/>
                        </wps:cNvCnPr>
                        <wps:spPr bwMode="auto">
                          <a:xfrm>
                            <a:off x="1301" y="25"/>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658" name="Line 3439"/>
                        <wps:cNvCnPr>
                          <a:cxnSpLocks noChangeShapeType="1"/>
                        </wps:cNvCnPr>
                        <wps:spPr bwMode="auto">
                          <a:xfrm>
                            <a:off x="1301" y="28"/>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659" name="Line 3438"/>
                        <wps:cNvCnPr>
                          <a:cxnSpLocks noChangeShapeType="1"/>
                        </wps:cNvCnPr>
                        <wps:spPr bwMode="auto">
                          <a:xfrm>
                            <a:off x="1301" y="30"/>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660" name="Line 3437"/>
                        <wps:cNvCnPr>
                          <a:cxnSpLocks noChangeShapeType="1"/>
                        </wps:cNvCnPr>
                        <wps:spPr bwMode="auto">
                          <a:xfrm>
                            <a:off x="1301" y="32"/>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661" name="Line 3436"/>
                        <wps:cNvCnPr>
                          <a:cxnSpLocks noChangeShapeType="1"/>
                        </wps:cNvCnPr>
                        <wps:spPr bwMode="auto">
                          <a:xfrm>
                            <a:off x="1301" y="35"/>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662" name="Line 3435"/>
                        <wps:cNvCnPr>
                          <a:cxnSpLocks noChangeShapeType="1"/>
                        </wps:cNvCnPr>
                        <wps:spPr bwMode="auto">
                          <a:xfrm>
                            <a:off x="1301" y="37"/>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663" name="Line 3434"/>
                        <wps:cNvCnPr>
                          <a:cxnSpLocks noChangeShapeType="1"/>
                        </wps:cNvCnPr>
                        <wps:spPr bwMode="auto">
                          <a:xfrm>
                            <a:off x="2434" y="25"/>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664" name="Line 3433"/>
                        <wps:cNvCnPr>
                          <a:cxnSpLocks noChangeShapeType="1"/>
                        </wps:cNvCnPr>
                        <wps:spPr bwMode="auto">
                          <a:xfrm>
                            <a:off x="2434" y="28"/>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665" name="Line 3432"/>
                        <wps:cNvCnPr>
                          <a:cxnSpLocks noChangeShapeType="1"/>
                        </wps:cNvCnPr>
                        <wps:spPr bwMode="auto">
                          <a:xfrm>
                            <a:off x="2434" y="30"/>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666" name="Line 3431"/>
                        <wps:cNvCnPr>
                          <a:cxnSpLocks noChangeShapeType="1"/>
                        </wps:cNvCnPr>
                        <wps:spPr bwMode="auto">
                          <a:xfrm>
                            <a:off x="2434" y="32"/>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667" name="Line 3430"/>
                        <wps:cNvCnPr>
                          <a:cxnSpLocks noChangeShapeType="1"/>
                        </wps:cNvCnPr>
                        <wps:spPr bwMode="auto">
                          <a:xfrm>
                            <a:off x="2434" y="35"/>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668" name="Line 3429"/>
                        <wps:cNvCnPr>
                          <a:cxnSpLocks noChangeShapeType="1"/>
                        </wps:cNvCnPr>
                        <wps:spPr bwMode="auto">
                          <a:xfrm>
                            <a:off x="2434" y="37"/>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669" name="Line 3428"/>
                        <wps:cNvCnPr>
                          <a:cxnSpLocks noChangeShapeType="1"/>
                        </wps:cNvCnPr>
                        <wps:spPr bwMode="auto">
                          <a:xfrm>
                            <a:off x="2602" y="1"/>
                            <a:ext cx="1132"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670" name="Line 3427"/>
                        <wps:cNvCnPr>
                          <a:cxnSpLocks noChangeShapeType="1"/>
                        </wps:cNvCnPr>
                        <wps:spPr bwMode="auto">
                          <a:xfrm>
                            <a:off x="2602" y="25"/>
                            <a:ext cx="1132"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671" name="Line 3426"/>
                        <wps:cNvCnPr>
                          <a:cxnSpLocks noChangeShapeType="1"/>
                        </wps:cNvCnPr>
                        <wps:spPr bwMode="auto">
                          <a:xfrm>
                            <a:off x="2602" y="28"/>
                            <a:ext cx="1132"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672" name="Line 3425"/>
                        <wps:cNvCnPr>
                          <a:cxnSpLocks noChangeShapeType="1"/>
                        </wps:cNvCnPr>
                        <wps:spPr bwMode="auto">
                          <a:xfrm>
                            <a:off x="2602" y="30"/>
                            <a:ext cx="1132"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673" name="Line 3424"/>
                        <wps:cNvCnPr>
                          <a:cxnSpLocks noChangeShapeType="1"/>
                        </wps:cNvCnPr>
                        <wps:spPr bwMode="auto">
                          <a:xfrm>
                            <a:off x="2602" y="32"/>
                            <a:ext cx="1132"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674" name="Line 3423"/>
                        <wps:cNvCnPr>
                          <a:cxnSpLocks noChangeShapeType="1"/>
                        </wps:cNvCnPr>
                        <wps:spPr bwMode="auto">
                          <a:xfrm>
                            <a:off x="2602" y="35"/>
                            <a:ext cx="1132"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675" name="Line 3422"/>
                        <wps:cNvCnPr>
                          <a:cxnSpLocks noChangeShapeType="1"/>
                        </wps:cNvCnPr>
                        <wps:spPr bwMode="auto">
                          <a:xfrm>
                            <a:off x="2602" y="37"/>
                            <a:ext cx="1132"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676" name="Line 3421"/>
                        <wps:cNvCnPr>
                          <a:cxnSpLocks noChangeShapeType="1"/>
                        </wps:cNvCnPr>
                        <wps:spPr bwMode="auto">
                          <a:xfrm>
                            <a:off x="3734" y="1"/>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677" name="Line 3420"/>
                        <wps:cNvCnPr>
                          <a:cxnSpLocks noChangeShapeType="1"/>
                        </wps:cNvCnPr>
                        <wps:spPr bwMode="auto">
                          <a:xfrm>
                            <a:off x="3734" y="25"/>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678" name="Line 3419"/>
                        <wps:cNvCnPr>
                          <a:cxnSpLocks noChangeShapeType="1"/>
                        </wps:cNvCnPr>
                        <wps:spPr bwMode="auto">
                          <a:xfrm>
                            <a:off x="3734" y="28"/>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679" name="Line 3418"/>
                        <wps:cNvCnPr>
                          <a:cxnSpLocks noChangeShapeType="1"/>
                        </wps:cNvCnPr>
                        <wps:spPr bwMode="auto">
                          <a:xfrm>
                            <a:off x="3734" y="30"/>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680" name="Line 3417"/>
                        <wps:cNvCnPr>
                          <a:cxnSpLocks noChangeShapeType="1"/>
                        </wps:cNvCnPr>
                        <wps:spPr bwMode="auto">
                          <a:xfrm>
                            <a:off x="3734" y="32"/>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681" name="Line 3416"/>
                        <wps:cNvCnPr>
                          <a:cxnSpLocks noChangeShapeType="1"/>
                        </wps:cNvCnPr>
                        <wps:spPr bwMode="auto">
                          <a:xfrm>
                            <a:off x="3734" y="35"/>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682" name="Line 3415"/>
                        <wps:cNvCnPr>
                          <a:cxnSpLocks noChangeShapeType="1"/>
                        </wps:cNvCnPr>
                        <wps:spPr bwMode="auto">
                          <a:xfrm>
                            <a:off x="3734" y="37"/>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5AB1783" id="Group 3414" o:spid="_x0000_s1026" style="width:243.4pt;height:1.95pt;mso-position-horizontal-relative:char;mso-position-vertical-relative:line" coordsize="48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">
                <v:line id="Line 3448" o:spid="_x0000_s1027" style="position:absolute;visibility:visible;mso-wrap-style:square" from="0,35" to="16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" strokeweight=".12pt"/>
                <v:line id="Line 3447" o:spid="_x0000_s1028" style="position:absolute;visibility:visible;mso-wrap-style:square" from="0,37" to="16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" strokeweight=".12pt"/>
                <v:line id="Line 3446" o:spid="_x0000_s1029" style="position:absolute;visibility:visible;mso-wrap-style:square" from="168,25" to="130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" strokeweight=".12pt"/>
                <v:line id="Line 3445" o:spid="_x0000_s1030" style="position:absolute;visibility:visible;mso-wrap-style:square" from="168,28" to="130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" strokeweight=".12pt"/>
                <v:line id="Line 3444" o:spid="_x0000_s1031" style="position:absolute;visibility:visible;mso-wrap-style:square" from="168,30" to="130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" strokeweight=".12pt"/>
                <v:line id="Line 3443" o:spid="_x0000_s1032" style="position:absolute;visibility:visible;mso-wrap-style:square" from="168,32" to="130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" strokeweight=".12pt"/>
                <v:line id="Line 3442" o:spid="_x0000_s1033" style="position:absolute;visibility:visible;mso-wrap-style:square" from="168,35" to="130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" strokeweight=".12pt"/>
                <v:line id="Line 3441" o:spid="_x0000_s1034" style="position:absolute;visibility:visible;mso-wrap-style:square" from="168,37" to="130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" strokeweight=".12pt"/>
                <v:line id="Line 3440" o:spid="_x0000_s1035" style="position:absolute;visibility:visible;mso-wrap-style:square" from="1301,25" to="243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" strokeweight=".12pt"/>
                <v:line id="Line 3439" o:spid="_x0000_s1036" style="position:absolute;visibility:visible;mso-wrap-style:square" from="1301,28" to="243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" strokeweight=".12pt"/>
                <v:line id="Line 3438" o:spid="_x0000_s1037" style="position:absolute;visibility:visible;mso-wrap-style:square" from="1301,30" to="243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" strokeweight=".12pt"/>
                <v:line id="Line 3437" o:spid="_x0000_s1038" style="position:absolute;visibility:visible;mso-wrap-style:square" from="1301,32" to="243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" strokeweight=".12pt"/>
                <v:line id="Line 3436" o:spid="_x0000_s1039" style="position:absolute;visibility:visible;mso-wrap-style:square" from="1301,35" to="243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" strokeweight=".12pt"/>
                <v:line id="Line 3435" o:spid="_x0000_s1040" style="position:absolute;visibility:visible;mso-wrap-style:square" from="1301,37" to="243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" strokeweight=".12pt"/>
                <v:line id="Line 3434" o:spid="_x0000_s1041" style="position:absolute;visibility:visible;mso-wrap-style:square" from="2434,25" to="260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" strokeweight=".12pt"/>
                <v:line id="Line 3433" o:spid="_x0000_s1042" style="position:absolute;visibility:visible;mso-wrap-style:square" from="2434,28" to="260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" strokeweight=".12pt"/>
                <v:line id="Line 3432" o:spid="_x0000_s1043" style="position:absolute;visibility:visible;mso-wrap-style:square" from="2434,30" to="260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" strokeweight=".12pt"/>
                <v:line id="Line 3431" o:spid="_x0000_s1044" style="position:absolute;visibility:visible;mso-wrap-style:square" from="2434,32" to="260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" strokeweight=".12pt"/>
                <v:line id="Line 3430" o:spid="_x0000_s1045" style="position:absolute;visibility:visible;mso-wrap-style:square" from="2434,35" to="260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" strokeweight=".12pt"/>
                <v:line id="Line 3429" o:spid="_x0000_s1046" style="position:absolute;visibility:visible;mso-wrap-style:square" from="2434,37" to="260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" strokeweight=".12pt"/>
                <v:line id="Line 3428" o:spid="_x0000_s1047" style="position:absolute;visibility:visible;mso-wrap-style:square" from="2602,1" to="37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" strokeweight=".12pt"/>
                <v:line id="Line 3427" o:spid="_x0000_s1048" style="position:absolute;visibility:visible;mso-wrap-style:square" from="2602,25" to="373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" strokeweight=".12pt"/>
                <v:line id="Line 3426" o:spid="_x0000_s1049" style="position:absolute;visibility:visible;mso-wrap-style:square" from="2602,28" to="373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" strokeweight=".12pt"/>
                <v:line id="Line 3425" o:spid="_x0000_s1050" style="position:absolute;visibility:visible;mso-wrap-style:square" from="2602,30" to="373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" strokeweight=".12pt"/>
                <v:line id="Line 3424" o:spid="_x0000_s1051" style="position:absolute;visibility:visible;mso-wrap-style:square" from="2602,32" to="373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" strokeweight=".12pt"/>
                <v:line id="Line 3423" o:spid="_x0000_s1052" style="position:absolute;visibility:visible;mso-wrap-style:square" from="2602,35" to="373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" strokeweight=".12pt"/>
                <v:line id="Line 3422" o:spid="_x0000_s1053" style="position:absolute;visibility:visible;mso-wrap-style:square" from="2602,37" to="373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" strokeweight=".12pt"/>
                <v:line id="Line 3421" o:spid="_x0000_s1054" style="position:absolute;visibility:visible;mso-wrap-style:square" from="3734,1" to="48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" strokeweight=".12pt"/>
                <v:line id="Line 3420" o:spid="_x0000_s1055" style="position:absolute;visibility:visible;mso-wrap-style:square" from="3734,25" to="486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" strokeweight=".12pt"/>
                <v:line id="Line 3419" o:spid="_x0000_s1056" style="position:absolute;visibility:visible;mso-wrap-style:square" from="3734,28" to="486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" strokeweight=".12pt"/>
                <v:line id="Line 3418" o:spid="_x0000_s1057" style="position:absolute;visibility:visible;mso-wrap-style:square" from="3734,30" to="486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" strokeweight=".12pt"/>
                <v:line id="Line 3417" o:spid="_x0000_s1058" style="position:absolute;visibility:visible;mso-wrap-style:square" from="3734,32" to="486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" strokeweight=".12pt"/>
                <v:line id="Line 3416" o:spid="_x0000_s1059" style="position:absolute;visibility:visible;mso-wrap-style:square" from="3734,35" to="486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" strokeweight=".12pt"/>
                <v:line id="Line 3415" o:spid="_x0000_s1060" style="position:absolute;visibility:visible;mso-wrap-style:square" from="3734,37" to="486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" strokeweight=".12pt"/>
                <w10:anchorlock/>
              </v:group>
            </w:pict>
          </mc:Fallback>
        </mc:AlternateContent>
      </w:r>
    </w:p>
    <w:p w14:paraId="71A3A0C4" w14:textId="77777777" w:rsidR="00FA4AA8" w:rsidRDefault="00FA4AA8">
      <w:pPr>
        <w:pStyle w:val="BodyText"/>
        <w:rPr>
          <w:b/>
          <w:sz w:val="20"/>
        </w:rPr>
      </w:pPr>
    </w:p>
    <w:p w14:paraId="2D5B693A" w14:textId="77777777" w:rsidR="00FA4AA8" w:rsidRDefault="00FA4AA8">
      <w:pPr>
        <w:pStyle w:val="BodyText"/>
        <w:rPr>
          <w:b/>
          <w:sz w:val="20"/>
        </w:rPr>
      </w:pPr>
    </w:p>
    <w:p w14:paraId="26E0B0CF" w14:textId="77777777" w:rsidR="00FA4AA8" w:rsidRDefault="00FA4AA8">
      <w:pPr>
        <w:pStyle w:val="BodyText"/>
        <w:rPr>
          <w:b/>
          <w:sz w:val="20"/>
        </w:rPr>
      </w:pPr>
    </w:p>
    <w:p w14:paraId="14EBCDC4" w14:textId="77777777" w:rsidR="00FA4AA8" w:rsidRDefault="00FA4AA8">
      <w:pPr>
        <w:pStyle w:val="BodyText"/>
        <w:rPr>
          <w:b/>
          <w:sz w:val="20"/>
        </w:rPr>
      </w:pPr>
    </w:p>
    <w:p w14:paraId="3541A681" w14:textId="77777777" w:rsidR="00FA4AA8" w:rsidRDefault="00FA4AA8">
      <w:pPr>
        <w:pStyle w:val="BodyText"/>
        <w:rPr>
          <w:b/>
          <w:sz w:val="20"/>
        </w:rPr>
      </w:pPr>
    </w:p>
    <w:p w14:paraId="329D7596" w14:textId="77777777" w:rsidR="00FA4AA8" w:rsidRDefault="00FA4AA8">
      <w:pPr>
        <w:pStyle w:val="BodyText"/>
        <w:rPr>
          <w:b/>
          <w:sz w:val="20"/>
        </w:rPr>
      </w:pPr>
    </w:p>
    <w:p w14:paraId="5DB4C359" w14:textId="77777777" w:rsidR="00FA4AA8" w:rsidRDefault="00FA4AA8">
      <w:pPr>
        <w:pStyle w:val="BodyText"/>
        <w:rPr>
          <w:b/>
          <w:sz w:val="20"/>
        </w:rPr>
      </w:pPr>
    </w:p>
    <w:p w14:paraId="7AB70E96" w14:textId="77777777" w:rsidR="00FA4AA8" w:rsidRDefault="00FA4AA8">
      <w:pPr>
        <w:pStyle w:val="BodyText"/>
        <w:rPr>
          <w:b/>
          <w:sz w:val="20"/>
        </w:rPr>
      </w:pPr>
    </w:p>
    <w:p w14:paraId="5BB787DA" w14:textId="77777777" w:rsidR="00FA4AA8" w:rsidRDefault="00FA4AA8">
      <w:pPr>
        <w:pStyle w:val="BodyText"/>
        <w:rPr>
          <w:b/>
          <w:sz w:val="20"/>
        </w:rPr>
      </w:pPr>
    </w:p>
    <w:p w14:paraId="2AE39DAC" w14:textId="77777777" w:rsidR="00FA4AA8" w:rsidRDefault="00FA4AA8">
      <w:pPr>
        <w:pStyle w:val="BodyText"/>
        <w:rPr>
          <w:b/>
          <w:sz w:val="20"/>
        </w:rPr>
      </w:pPr>
    </w:p>
    <w:p w14:paraId="7924A367" w14:textId="77777777" w:rsidR="00FA4AA8" w:rsidRDefault="00FA4AA8">
      <w:pPr>
        <w:pStyle w:val="BodyText"/>
        <w:rPr>
          <w:b/>
          <w:sz w:val="20"/>
        </w:rPr>
      </w:pPr>
    </w:p>
    <w:p w14:paraId="0D9D910B" w14:textId="77777777" w:rsidR="00FA4AA8" w:rsidRDefault="00FA4AA8">
      <w:pPr>
        <w:pStyle w:val="BodyText"/>
        <w:rPr>
          <w:b/>
          <w:sz w:val="20"/>
        </w:rPr>
      </w:pPr>
    </w:p>
    <w:p w14:paraId="70D218C0" w14:textId="77777777" w:rsidR="00FA4AA8" w:rsidRDefault="00FA4AA8">
      <w:pPr>
        <w:pStyle w:val="BodyText"/>
        <w:rPr>
          <w:b/>
          <w:sz w:val="20"/>
        </w:rPr>
      </w:pPr>
    </w:p>
    <w:p w14:paraId="470C8213" w14:textId="77777777" w:rsidR="00FA4AA8" w:rsidRDefault="00FA4AA8">
      <w:pPr>
        <w:pStyle w:val="BodyText"/>
        <w:rPr>
          <w:b/>
          <w:sz w:val="20"/>
        </w:rPr>
      </w:pPr>
    </w:p>
    <w:p w14:paraId="45E6E459" w14:textId="77777777" w:rsidR="00FA4AA8" w:rsidRDefault="00FA4AA8">
      <w:pPr>
        <w:pStyle w:val="BodyText"/>
        <w:rPr>
          <w:b/>
          <w:sz w:val="20"/>
        </w:rPr>
      </w:pPr>
    </w:p>
    <w:p w14:paraId="45D3152E" w14:textId="77777777" w:rsidR="00FA4AA8" w:rsidRDefault="00FA4AA8">
      <w:pPr>
        <w:pStyle w:val="BodyText"/>
        <w:rPr>
          <w:b/>
          <w:sz w:val="20"/>
        </w:rPr>
      </w:pPr>
    </w:p>
    <w:p w14:paraId="4DE0604C" w14:textId="77777777" w:rsidR="00FA4AA8" w:rsidRDefault="00FA4AA8">
      <w:pPr>
        <w:pStyle w:val="BodyText"/>
        <w:rPr>
          <w:b/>
          <w:sz w:val="20"/>
        </w:rPr>
      </w:pPr>
    </w:p>
    <w:p w14:paraId="33DB349A" w14:textId="77777777" w:rsidR="00FA4AA8" w:rsidRDefault="00FA4AA8">
      <w:pPr>
        <w:pStyle w:val="BodyText"/>
        <w:rPr>
          <w:b/>
          <w:sz w:val="20"/>
        </w:rPr>
      </w:pPr>
    </w:p>
    <w:p w14:paraId="7B7DCE7C" w14:textId="77777777" w:rsidR="00FA4AA8" w:rsidRDefault="00FA4AA8">
      <w:pPr>
        <w:pStyle w:val="BodyText"/>
        <w:rPr>
          <w:b/>
          <w:sz w:val="20"/>
        </w:rPr>
      </w:pPr>
    </w:p>
    <w:p w14:paraId="24676362" w14:textId="77777777" w:rsidR="00FA4AA8" w:rsidRDefault="00FA4AA8">
      <w:pPr>
        <w:pStyle w:val="BodyText"/>
        <w:rPr>
          <w:b/>
          <w:sz w:val="20"/>
        </w:rPr>
      </w:pPr>
    </w:p>
    <w:p w14:paraId="2D5C75A7" w14:textId="77777777" w:rsidR="00FA4AA8" w:rsidRDefault="00FA4AA8">
      <w:pPr>
        <w:pStyle w:val="BodyText"/>
        <w:spacing w:before="10"/>
        <w:rPr>
          <w:b/>
          <w:sz w:val="28"/>
        </w:rPr>
      </w:pPr>
    </w:p>
    <w:p w14:paraId="4F1A5358" w14:textId="77777777" w:rsidR="00FA4AA8" w:rsidRDefault="0015611F">
      <w:pPr>
        <w:pStyle w:val="BodyText"/>
        <w:ind w:left="194" w:right="165"/>
        <w:jc w:val="center"/>
      </w:pPr>
      <w:r>
        <w:t>The accompanying notes form part of these financial statements.</w:t>
      </w:r>
    </w:p>
    <w:p w14:paraId="3FFC4257" w14:textId="77777777" w:rsidR="00FA4AA8" w:rsidRDefault="00FA4AA8">
      <w:pPr>
        <w:jc w:val="center"/>
        <w:sectPr w:rsidR="00FA4AA8">
          <w:headerReference w:type="default" r:id="rId27"/>
          <w:footerReference w:type="default" r:id="rId28"/>
          <w:pgSz w:w="11910" w:h="16840"/>
          <w:pgMar w:top="920" w:right="840" w:bottom="720" w:left="840" w:header="0" w:footer="523" w:gutter="0"/>
          <w:pgNumType w:start="7"/>
          <w:cols w:space="720"/>
        </w:sectPr>
      </w:pPr>
    </w:p>
    <w:p w14:paraId="4B89E89C" w14:textId="77777777" w:rsidR="00FA4AA8" w:rsidRDefault="00FA4AA8">
      <w:pPr>
        <w:pStyle w:val="BodyText"/>
        <w:spacing w:before="5"/>
        <w:rPr>
          <w:sz w:val="21"/>
        </w:rPr>
      </w:pPr>
    </w:p>
    <w:p w14:paraId="04AD7CD2" w14:textId="77777777" w:rsidR="00FA4AA8" w:rsidRDefault="0015611F">
      <w:pPr>
        <w:pStyle w:val="Heading2"/>
        <w:spacing w:before="92"/>
      </w:pPr>
      <w:r>
        <w:t>Statement of Comprehensive Income</w:t>
      </w:r>
    </w:p>
    <w:p w14:paraId="0E9A3718" w14:textId="77777777" w:rsidR="00FA4AA8" w:rsidRDefault="0015611F">
      <w:pPr>
        <w:pStyle w:val="Heading6"/>
        <w:spacing w:before="53"/>
        <w:ind w:left="167"/>
      </w:pPr>
      <w:r>
        <w:t>For the Year Ended 31 December 2018</w:t>
      </w:r>
    </w:p>
    <w:p w14:paraId="4D404D0A" w14:textId="77777777" w:rsidR="00FA4AA8" w:rsidRDefault="00FA4AA8">
      <w:pPr>
        <w:pStyle w:val="BodyText"/>
        <w:spacing w:before="9"/>
        <w:rPr>
          <w:b/>
          <w:sz w:val="27"/>
        </w:rPr>
      </w:pPr>
    </w:p>
    <w:p w14:paraId="36D850C0" w14:textId="77777777" w:rsidR="00FA4AA8" w:rsidRDefault="0015611F">
      <w:pPr>
        <w:tabs>
          <w:tab w:val="left" w:pos="8577"/>
        </w:tabs>
        <w:spacing w:before="94"/>
        <w:ind w:left="5853"/>
        <w:rPr>
          <w:b/>
          <w:sz w:val="18"/>
        </w:rPr>
      </w:pPr>
      <w:r>
        <w:rPr>
          <w:b/>
          <w:sz w:val="18"/>
        </w:rPr>
        <w:t>Consolidated</w:t>
      </w:r>
      <w:r>
        <w:rPr>
          <w:b/>
          <w:sz w:val="18"/>
        </w:rPr>
        <w:tab/>
        <w:t>Parent</w:t>
      </w:r>
    </w:p>
    <w:p w14:paraId="239EA09B" w14:textId="77777777" w:rsidR="00FA4AA8" w:rsidRDefault="00FA4AA8">
      <w:pPr>
        <w:pStyle w:val="BodyText"/>
        <w:spacing w:before="3"/>
        <w:rPr>
          <w:b/>
          <w:sz w:val="6"/>
        </w:rPr>
      </w:pPr>
    </w:p>
    <w:tbl>
      <w:tblPr>
        <w:tblW w:w="0" w:type="auto"/>
        <w:tblInd w:w="151" w:type="dxa"/>
        <w:tblLayout w:type="fixed"/>
        <w:tblCellMar>
          <w:left w:w="0" w:type="dxa"/>
          <w:right w:w="0" w:type="dxa"/>
        </w:tblCellMar>
        <w:tblLook w:val="01E0" w:firstRow="1" w:lastRow="1" w:firstColumn="1" w:lastColumn="1" w:noHBand="0" w:noVBand="0"/>
      </w:tblPr>
      <w:tblGrid>
        <w:gridCol w:w="4215"/>
        <w:gridCol w:w="849"/>
        <w:gridCol w:w="1451"/>
        <w:gridCol w:w="1217"/>
        <w:gridCol w:w="1217"/>
        <w:gridCol w:w="983"/>
      </w:tblGrid>
      <w:tr w:rsidR="00FA4AA8" w14:paraId="14651540" w14:textId="77777777">
        <w:trPr>
          <w:trHeight w:val="237"/>
        </w:trPr>
        <w:tc>
          <w:tcPr>
            <w:tcW w:w="4215" w:type="dxa"/>
          </w:tcPr>
          <w:p w14:paraId="17841F65" w14:textId="77777777" w:rsidR="00FA4AA8" w:rsidRDefault="00FA4AA8">
            <w:pPr>
              <w:pStyle w:val="TableParagraph"/>
              <w:rPr>
                <w:rFonts w:ascii="Times New Roman"/>
                <w:sz w:val="16"/>
              </w:rPr>
            </w:pPr>
          </w:p>
        </w:tc>
        <w:tc>
          <w:tcPr>
            <w:tcW w:w="849" w:type="dxa"/>
          </w:tcPr>
          <w:p w14:paraId="42B52B4D" w14:textId="77777777" w:rsidR="00FA4AA8" w:rsidRDefault="00FA4AA8">
            <w:pPr>
              <w:pStyle w:val="TableParagraph"/>
              <w:rPr>
                <w:rFonts w:ascii="Times New Roman"/>
                <w:sz w:val="16"/>
              </w:rPr>
            </w:pPr>
          </w:p>
        </w:tc>
        <w:tc>
          <w:tcPr>
            <w:tcW w:w="1451" w:type="dxa"/>
          </w:tcPr>
          <w:p w14:paraId="3B4AF8FF" w14:textId="77777777" w:rsidR="00FA4AA8" w:rsidRDefault="0015611F">
            <w:pPr>
              <w:pStyle w:val="TableParagraph"/>
              <w:spacing w:line="201" w:lineRule="exact"/>
              <w:ind w:left="517"/>
              <w:rPr>
                <w:b/>
                <w:sz w:val="18"/>
              </w:rPr>
            </w:pPr>
            <w:r>
              <w:rPr>
                <w:b/>
                <w:sz w:val="18"/>
              </w:rPr>
              <w:t>2018</w:t>
            </w:r>
          </w:p>
        </w:tc>
        <w:tc>
          <w:tcPr>
            <w:tcW w:w="1217" w:type="dxa"/>
          </w:tcPr>
          <w:p w14:paraId="463F282D" w14:textId="77777777" w:rsidR="00FA4AA8" w:rsidRDefault="0015611F">
            <w:pPr>
              <w:pStyle w:val="TableParagraph"/>
              <w:spacing w:line="201" w:lineRule="exact"/>
              <w:ind w:left="199"/>
              <w:rPr>
                <w:b/>
                <w:sz w:val="18"/>
              </w:rPr>
            </w:pPr>
            <w:r>
              <w:rPr>
                <w:b/>
                <w:sz w:val="18"/>
              </w:rPr>
              <w:t>2017</w:t>
            </w:r>
          </w:p>
        </w:tc>
        <w:tc>
          <w:tcPr>
            <w:tcW w:w="1217" w:type="dxa"/>
          </w:tcPr>
          <w:p w14:paraId="7FF52282" w14:textId="77777777" w:rsidR="00FA4AA8" w:rsidRDefault="0015611F">
            <w:pPr>
              <w:pStyle w:val="TableParagraph"/>
              <w:spacing w:line="201" w:lineRule="exact"/>
              <w:ind w:left="283"/>
              <w:rPr>
                <w:b/>
                <w:sz w:val="18"/>
              </w:rPr>
            </w:pPr>
            <w:r>
              <w:rPr>
                <w:b/>
                <w:sz w:val="18"/>
              </w:rPr>
              <w:t>2018</w:t>
            </w:r>
          </w:p>
        </w:tc>
        <w:tc>
          <w:tcPr>
            <w:tcW w:w="983" w:type="dxa"/>
          </w:tcPr>
          <w:p w14:paraId="7A39BF19" w14:textId="77777777" w:rsidR="00FA4AA8" w:rsidRDefault="0015611F">
            <w:pPr>
              <w:pStyle w:val="TableParagraph"/>
              <w:spacing w:line="201" w:lineRule="exact"/>
              <w:ind w:left="199"/>
              <w:rPr>
                <w:b/>
                <w:sz w:val="18"/>
              </w:rPr>
            </w:pPr>
            <w:r>
              <w:rPr>
                <w:b/>
                <w:sz w:val="18"/>
              </w:rPr>
              <w:t>2017</w:t>
            </w:r>
          </w:p>
        </w:tc>
      </w:tr>
      <w:tr w:rsidR="00FA4AA8" w14:paraId="07BDBBEF" w14:textId="77777777">
        <w:trPr>
          <w:trHeight w:val="298"/>
        </w:trPr>
        <w:tc>
          <w:tcPr>
            <w:tcW w:w="4215" w:type="dxa"/>
          </w:tcPr>
          <w:p w14:paraId="04ECF2C6" w14:textId="77777777" w:rsidR="00FA4AA8" w:rsidRDefault="00FA4AA8">
            <w:pPr>
              <w:pStyle w:val="TableParagraph"/>
              <w:rPr>
                <w:rFonts w:ascii="Times New Roman"/>
                <w:sz w:val="18"/>
              </w:rPr>
            </w:pPr>
          </w:p>
        </w:tc>
        <w:tc>
          <w:tcPr>
            <w:tcW w:w="849" w:type="dxa"/>
          </w:tcPr>
          <w:p w14:paraId="112A4417" w14:textId="77777777" w:rsidR="00FA4AA8" w:rsidRDefault="0015611F">
            <w:pPr>
              <w:pStyle w:val="TableParagraph"/>
              <w:spacing w:before="30"/>
              <w:ind w:right="100"/>
              <w:jc w:val="right"/>
              <w:rPr>
                <w:b/>
                <w:sz w:val="18"/>
              </w:rPr>
            </w:pPr>
            <w:r>
              <w:rPr>
                <w:b/>
                <w:sz w:val="18"/>
              </w:rPr>
              <w:t>Note</w:t>
            </w:r>
          </w:p>
        </w:tc>
        <w:tc>
          <w:tcPr>
            <w:tcW w:w="1451" w:type="dxa"/>
          </w:tcPr>
          <w:p w14:paraId="1D82D5A3" w14:textId="77777777" w:rsidR="00FA4AA8" w:rsidRDefault="0015611F">
            <w:pPr>
              <w:pStyle w:val="TableParagraph"/>
              <w:spacing w:before="30"/>
              <w:ind w:left="496"/>
              <w:rPr>
                <w:b/>
                <w:sz w:val="18"/>
              </w:rPr>
            </w:pPr>
            <w:r>
              <w:rPr>
                <w:b/>
                <w:sz w:val="18"/>
              </w:rPr>
              <w:t>$'000</w:t>
            </w:r>
          </w:p>
        </w:tc>
        <w:tc>
          <w:tcPr>
            <w:tcW w:w="1217" w:type="dxa"/>
          </w:tcPr>
          <w:p w14:paraId="3F4A994B" w14:textId="77777777" w:rsidR="00FA4AA8" w:rsidRDefault="0015611F">
            <w:pPr>
              <w:pStyle w:val="TableParagraph"/>
              <w:spacing w:before="30"/>
              <w:ind w:left="178"/>
              <w:rPr>
                <w:b/>
                <w:sz w:val="18"/>
              </w:rPr>
            </w:pPr>
            <w:r>
              <w:rPr>
                <w:b/>
                <w:sz w:val="18"/>
              </w:rPr>
              <w:t>$'000</w:t>
            </w:r>
          </w:p>
        </w:tc>
        <w:tc>
          <w:tcPr>
            <w:tcW w:w="1217" w:type="dxa"/>
          </w:tcPr>
          <w:p w14:paraId="2BE7AC3D" w14:textId="77777777" w:rsidR="00FA4AA8" w:rsidRDefault="0015611F">
            <w:pPr>
              <w:pStyle w:val="TableParagraph"/>
              <w:spacing w:before="30"/>
              <w:ind w:left="262"/>
              <w:rPr>
                <w:b/>
                <w:sz w:val="18"/>
              </w:rPr>
            </w:pPr>
            <w:r>
              <w:rPr>
                <w:b/>
                <w:sz w:val="18"/>
              </w:rPr>
              <w:t>$'000</w:t>
            </w:r>
          </w:p>
        </w:tc>
        <w:tc>
          <w:tcPr>
            <w:tcW w:w="983" w:type="dxa"/>
          </w:tcPr>
          <w:p w14:paraId="71C75967" w14:textId="77777777" w:rsidR="00FA4AA8" w:rsidRDefault="0015611F">
            <w:pPr>
              <w:pStyle w:val="TableParagraph"/>
              <w:spacing w:before="30"/>
              <w:ind w:left="177"/>
              <w:rPr>
                <w:b/>
                <w:sz w:val="18"/>
              </w:rPr>
            </w:pPr>
            <w:r>
              <w:rPr>
                <w:b/>
                <w:sz w:val="18"/>
              </w:rPr>
              <w:t>$'000</w:t>
            </w:r>
          </w:p>
        </w:tc>
      </w:tr>
      <w:tr w:rsidR="00FA4AA8" w14:paraId="4AA8C486" w14:textId="77777777">
        <w:trPr>
          <w:trHeight w:val="308"/>
        </w:trPr>
        <w:tc>
          <w:tcPr>
            <w:tcW w:w="4215" w:type="dxa"/>
          </w:tcPr>
          <w:p w14:paraId="14DF6883" w14:textId="77777777" w:rsidR="00FA4AA8" w:rsidRDefault="0015611F">
            <w:pPr>
              <w:pStyle w:val="TableParagraph"/>
              <w:spacing w:before="84" w:line="204" w:lineRule="exact"/>
              <w:ind w:left="50"/>
              <w:rPr>
                <w:b/>
                <w:sz w:val="18"/>
              </w:rPr>
            </w:pPr>
            <w:r>
              <w:rPr>
                <w:b/>
                <w:sz w:val="18"/>
              </w:rPr>
              <w:t>Net result for the period</w:t>
            </w:r>
          </w:p>
        </w:tc>
        <w:tc>
          <w:tcPr>
            <w:tcW w:w="849" w:type="dxa"/>
          </w:tcPr>
          <w:p w14:paraId="59B93544" w14:textId="77777777" w:rsidR="00FA4AA8" w:rsidRDefault="00FA4AA8">
            <w:pPr>
              <w:pStyle w:val="TableParagraph"/>
              <w:rPr>
                <w:rFonts w:ascii="Times New Roman"/>
                <w:sz w:val="18"/>
              </w:rPr>
            </w:pPr>
          </w:p>
        </w:tc>
        <w:tc>
          <w:tcPr>
            <w:tcW w:w="1451" w:type="dxa"/>
          </w:tcPr>
          <w:p w14:paraId="313D5D14" w14:textId="77777777" w:rsidR="00FA4AA8" w:rsidRDefault="0015611F">
            <w:pPr>
              <w:pStyle w:val="TableParagraph"/>
              <w:spacing w:before="55"/>
              <w:ind w:right="237"/>
              <w:jc w:val="right"/>
              <w:rPr>
                <w:b/>
                <w:sz w:val="18"/>
              </w:rPr>
            </w:pPr>
            <w:r>
              <w:rPr>
                <w:b/>
                <w:sz w:val="18"/>
              </w:rPr>
              <w:t>87,711</w:t>
            </w:r>
          </w:p>
        </w:tc>
        <w:tc>
          <w:tcPr>
            <w:tcW w:w="1217" w:type="dxa"/>
          </w:tcPr>
          <w:p w14:paraId="1A2886E9" w14:textId="77777777" w:rsidR="00FA4AA8" w:rsidRDefault="0015611F">
            <w:pPr>
              <w:pStyle w:val="TableParagraph"/>
              <w:spacing w:before="55"/>
              <w:ind w:left="338"/>
              <w:rPr>
                <w:sz w:val="18"/>
              </w:rPr>
            </w:pPr>
            <w:r>
              <w:rPr>
                <w:sz w:val="18"/>
              </w:rPr>
              <w:t>52,064</w:t>
            </w:r>
          </w:p>
        </w:tc>
        <w:tc>
          <w:tcPr>
            <w:tcW w:w="1217" w:type="dxa"/>
          </w:tcPr>
          <w:p w14:paraId="1FCC466E" w14:textId="77777777" w:rsidR="00FA4AA8" w:rsidRDefault="0015611F">
            <w:pPr>
              <w:pStyle w:val="TableParagraph"/>
              <w:spacing w:before="58"/>
              <w:ind w:right="238"/>
              <w:jc w:val="right"/>
              <w:rPr>
                <w:b/>
                <w:sz w:val="18"/>
              </w:rPr>
            </w:pPr>
            <w:r>
              <w:rPr>
                <w:b/>
                <w:sz w:val="18"/>
              </w:rPr>
              <w:t>86,771</w:t>
            </w:r>
          </w:p>
        </w:tc>
        <w:tc>
          <w:tcPr>
            <w:tcW w:w="983" w:type="dxa"/>
          </w:tcPr>
          <w:p w14:paraId="7AB69CC2" w14:textId="77777777" w:rsidR="00FA4AA8" w:rsidRDefault="0015611F">
            <w:pPr>
              <w:pStyle w:val="TableParagraph"/>
              <w:spacing w:before="58"/>
              <w:ind w:left="338"/>
              <w:rPr>
                <w:sz w:val="18"/>
              </w:rPr>
            </w:pPr>
            <w:r>
              <w:rPr>
                <w:sz w:val="18"/>
              </w:rPr>
              <w:t>48,462</w:t>
            </w:r>
          </w:p>
        </w:tc>
      </w:tr>
      <w:tr w:rsidR="00FA4AA8" w14:paraId="1B7DD3B6" w14:textId="77777777">
        <w:trPr>
          <w:trHeight w:val="220"/>
        </w:trPr>
        <w:tc>
          <w:tcPr>
            <w:tcW w:w="4215" w:type="dxa"/>
          </w:tcPr>
          <w:p w14:paraId="478820DF" w14:textId="77777777" w:rsidR="00FA4AA8" w:rsidRDefault="0015611F">
            <w:pPr>
              <w:pStyle w:val="TableParagraph"/>
              <w:spacing w:before="11" w:line="190" w:lineRule="exact"/>
              <w:ind w:left="50"/>
              <w:rPr>
                <w:i/>
                <w:sz w:val="18"/>
              </w:rPr>
            </w:pPr>
            <w:r>
              <w:rPr>
                <w:i/>
                <w:sz w:val="18"/>
              </w:rPr>
              <w:t>Items that will be reclassified to Income</w:t>
            </w:r>
          </w:p>
        </w:tc>
        <w:tc>
          <w:tcPr>
            <w:tcW w:w="849" w:type="dxa"/>
          </w:tcPr>
          <w:p w14:paraId="4C61DCD5" w14:textId="77777777" w:rsidR="00FA4AA8" w:rsidRDefault="00FA4AA8">
            <w:pPr>
              <w:pStyle w:val="TableParagraph"/>
              <w:rPr>
                <w:rFonts w:ascii="Times New Roman"/>
                <w:sz w:val="14"/>
              </w:rPr>
            </w:pPr>
          </w:p>
        </w:tc>
        <w:tc>
          <w:tcPr>
            <w:tcW w:w="1451" w:type="dxa"/>
          </w:tcPr>
          <w:p w14:paraId="6161BEB4" w14:textId="77777777" w:rsidR="00FA4AA8" w:rsidRDefault="00FA4AA8">
            <w:pPr>
              <w:pStyle w:val="TableParagraph"/>
              <w:rPr>
                <w:rFonts w:ascii="Times New Roman"/>
                <w:sz w:val="14"/>
              </w:rPr>
            </w:pPr>
          </w:p>
        </w:tc>
        <w:tc>
          <w:tcPr>
            <w:tcW w:w="1217" w:type="dxa"/>
          </w:tcPr>
          <w:p w14:paraId="7DDDEBBC" w14:textId="77777777" w:rsidR="00FA4AA8" w:rsidRDefault="00FA4AA8">
            <w:pPr>
              <w:pStyle w:val="TableParagraph"/>
              <w:rPr>
                <w:rFonts w:ascii="Times New Roman"/>
                <w:sz w:val="14"/>
              </w:rPr>
            </w:pPr>
          </w:p>
        </w:tc>
        <w:tc>
          <w:tcPr>
            <w:tcW w:w="1217" w:type="dxa"/>
          </w:tcPr>
          <w:p w14:paraId="45A97E29" w14:textId="77777777" w:rsidR="00FA4AA8" w:rsidRDefault="00FA4AA8">
            <w:pPr>
              <w:pStyle w:val="TableParagraph"/>
              <w:rPr>
                <w:rFonts w:ascii="Times New Roman"/>
                <w:sz w:val="14"/>
              </w:rPr>
            </w:pPr>
          </w:p>
        </w:tc>
        <w:tc>
          <w:tcPr>
            <w:tcW w:w="983" w:type="dxa"/>
          </w:tcPr>
          <w:p w14:paraId="1259D645" w14:textId="77777777" w:rsidR="00FA4AA8" w:rsidRDefault="00FA4AA8">
            <w:pPr>
              <w:pStyle w:val="TableParagraph"/>
              <w:rPr>
                <w:rFonts w:ascii="Times New Roman"/>
                <w:sz w:val="14"/>
              </w:rPr>
            </w:pPr>
          </w:p>
        </w:tc>
      </w:tr>
      <w:tr w:rsidR="00FA4AA8" w14:paraId="24C42B81" w14:textId="77777777">
        <w:trPr>
          <w:trHeight w:val="233"/>
        </w:trPr>
        <w:tc>
          <w:tcPr>
            <w:tcW w:w="4215" w:type="dxa"/>
          </w:tcPr>
          <w:p w14:paraId="452F9AE6" w14:textId="77777777" w:rsidR="00FA4AA8" w:rsidRDefault="0015611F">
            <w:pPr>
              <w:pStyle w:val="TableParagraph"/>
              <w:spacing w:line="204" w:lineRule="exact"/>
              <w:ind w:left="50"/>
              <w:rPr>
                <w:i/>
                <w:sz w:val="18"/>
              </w:rPr>
            </w:pPr>
            <w:r>
              <w:rPr>
                <w:i/>
                <w:sz w:val="18"/>
              </w:rPr>
              <w:t>Statement</w:t>
            </w:r>
          </w:p>
        </w:tc>
        <w:tc>
          <w:tcPr>
            <w:tcW w:w="849" w:type="dxa"/>
          </w:tcPr>
          <w:p w14:paraId="4E5642B8" w14:textId="77777777" w:rsidR="00FA4AA8" w:rsidRDefault="00FA4AA8">
            <w:pPr>
              <w:pStyle w:val="TableParagraph"/>
              <w:rPr>
                <w:rFonts w:ascii="Times New Roman"/>
                <w:sz w:val="16"/>
              </w:rPr>
            </w:pPr>
          </w:p>
        </w:tc>
        <w:tc>
          <w:tcPr>
            <w:tcW w:w="1451" w:type="dxa"/>
          </w:tcPr>
          <w:p w14:paraId="5E4A6C87" w14:textId="77777777" w:rsidR="00FA4AA8" w:rsidRDefault="00FA4AA8">
            <w:pPr>
              <w:pStyle w:val="TableParagraph"/>
              <w:rPr>
                <w:rFonts w:ascii="Times New Roman"/>
                <w:sz w:val="16"/>
              </w:rPr>
            </w:pPr>
          </w:p>
        </w:tc>
        <w:tc>
          <w:tcPr>
            <w:tcW w:w="1217" w:type="dxa"/>
          </w:tcPr>
          <w:p w14:paraId="68324F28" w14:textId="77777777" w:rsidR="00FA4AA8" w:rsidRDefault="00FA4AA8">
            <w:pPr>
              <w:pStyle w:val="TableParagraph"/>
              <w:rPr>
                <w:rFonts w:ascii="Times New Roman"/>
                <w:sz w:val="16"/>
              </w:rPr>
            </w:pPr>
          </w:p>
        </w:tc>
        <w:tc>
          <w:tcPr>
            <w:tcW w:w="1217" w:type="dxa"/>
          </w:tcPr>
          <w:p w14:paraId="6D13A2BF" w14:textId="77777777" w:rsidR="00FA4AA8" w:rsidRDefault="00FA4AA8">
            <w:pPr>
              <w:pStyle w:val="TableParagraph"/>
              <w:rPr>
                <w:rFonts w:ascii="Times New Roman"/>
                <w:sz w:val="16"/>
              </w:rPr>
            </w:pPr>
          </w:p>
        </w:tc>
        <w:tc>
          <w:tcPr>
            <w:tcW w:w="983" w:type="dxa"/>
          </w:tcPr>
          <w:p w14:paraId="255764D6" w14:textId="77777777" w:rsidR="00FA4AA8" w:rsidRDefault="00FA4AA8">
            <w:pPr>
              <w:pStyle w:val="TableParagraph"/>
              <w:rPr>
                <w:rFonts w:ascii="Times New Roman"/>
                <w:sz w:val="16"/>
              </w:rPr>
            </w:pPr>
          </w:p>
        </w:tc>
      </w:tr>
      <w:tr w:rsidR="00FA4AA8" w14:paraId="312F89B9" w14:textId="77777777">
        <w:trPr>
          <w:trHeight w:val="460"/>
        </w:trPr>
        <w:tc>
          <w:tcPr>
            <w:tcW w:w="4215" w:type="dxa"/>
          </w:tcPr>
          <w:p w14:paraId="14C5AB77" w14:textId="77777777" w:rsidR="00FA4AA8" w:rsidRDefault="0015611F">
            <w:pPr>
              <w:pStyle w:val="TableParagraph"/>
              <w:spacing w:before="24"/>
              <w:ind w:left="50"/>
              <w:rPr>
                <w:sz w:val="18"/>
              </w:rPr>
            </w:pPr>
            <w:r>
              <w:rPr>
                <w:sz w:val="18"/>
              </w:rPr>
              <w:t>Gain/(loss) on revaluation of available-for-sale financial assets</w:t>
            </w:r>
          </w:p>
        </w:tc>
        <w:tc>
          <w:tcPr>
            <w:tcW w:w="849" w:type="dxa"/>
          </w:tcPr>
          <w:p w14:paraId="7E4F9F29" w14:textId="77777777" w:rsidR="00FA4AA8" w:rsidRDefault="00FA4AA8">
            <w:pPr>
              <w:pStyle w:val="TableParagraph"/>
              <w:rPr>
                <w:b/>
                <w:sz w:val="20"/>
              </w:rPr>
            </w:pPr>
          </w:p>
          <w:p w14:paraId="4F99EB2B" w14:textId="77777777" w:rsidR="00FA4AA8" w:rsidRDefault="0015611F">
            <w:pPr>
              <w:pStyle w:val="TableParagraph"/>
              <w:ind w:right="93"/>
              <w:jc w:val="right"/>
              <w:rPr>
                <w:sz w:val="18"/>
              </w:rPr>
            </w:pPr>
            <w:r>
              <w:rPr>
                <w:sz w:val="18"/>
              </w:rPr>
              <w:t>27(c)</w:t>
            </w:r>
          </w:p>
        </w:tc>
        <w:tc>
          <w:tcPr>
            <w:tcW w:w="1451" w:type="dxa"/>
            <w:tcBorders>
              <w:bottom w:val="single" w:sz="8" w:space="0" w:color="000000"/>
            </w:tcBorders>
          </w:tcPr>
          <w:p w14:paraId="5EDFB373" w14:textId="77777777" w:rsidR="00FA4AA8" w:rsidRDefault="00FA4AA8">
            <w:pPr>
              <w:pStyle w:val="TableParagraph"/>
              <w:spacing w:before="9"/>
              <w:rPr>
                <w:b/>
                <w:sz w:val="19"/>
              </w:rPr>
            </w:pPr>
          </w:p>
          <w:p w14:paraId="46F43305" w14:textId="77777777" w:rsidR="00FA4AA8" w:rsidRDefault="0015611F">
            <w:pPr>
              <w:pStyle w:val="TableParagraph"/>
              <w:spacing w:before="1"/>
              <w:ind w:right="237"/>
              <w:jc w:val="right"/>
              <w:rPr>
                <w:b/>
                <w:sz w:val="18"/>
              </w:rPr>
            </w:pPr>
            <w:r>
              <w:rPr>
                <w:b/>
                <w:sz w:val="18"/>
              </w:rPr>
              <w:t>-</w:t>
            </w:r>
          </w:p>
        </w:tc>
        <w:tc>
          <w:tcPr>
            <w:tcW w:w="1217" w:type="dxa"/>
            <w:tcBorders>
              <w:bottom w:val="single" w:sz="8" w:space="0" w:color="000000"/>
            </w:tcBorders>
          </w:tcPr>
          <w:p w14:paraId="21562467" w14:textId="77777777" w:rsidR="00FA4AA8" w:rsidRDefault="00FA4AA8">
            <w:pPr>
              <w:pStyle w:val="TableParagraph"/>
              <w:spacing w:before="9"/>
              <w:rPr>
                <w:b/>
                <w:sz w:val="19"/>
              </w:rPr>
            </w:pPr>
          </w:p>
          <w:p w14:paraId="00BF583E" w14:textId="77777777" w:rsidR="00FA4AA8" w:rsidRDefault="0015611F">
            <w:pPr>
              <w:pStyle w:val="TableParagraph"/>
              <w:spacing w:before="1"/>
              <w:ind w:left="439"/>
              <w:rPr>
                <w:sz w:val="18"/>
              </w:rPr>
            </w:pPr>
            <w:r>
              <w:rPr>
                <w:sz w:val="18"/>
              </w:rPr>
              <w:t>2,733</w:t>
            </w:r>
          </w:p>
        </w:tc>
        <w:tc>
          <w:tcPr>
            <w:tcW w:w="1217" w:type="dxa"/>
            <w:tcBorders>
              <w:bottom w:val="single" w:sz="8" w:space="0" w:color="000000"/>
            </w:tcBorders>
          </w:tcPr>
          <w:p w14:paraId="47A8E750" w14:textId="77777777" w:rsidR="00FA4AA8" w:rsidRDefault="00FA4AA8">
            <w:pPr>
              <w:pStyle w:val="TableParagraph"/>
              <w:rPr>
                <w:b/>
                <w:sz w:val="20"/>
              </w:rPr>
            </w:pPr>
          </w:p>
          <w:p w14:paraId="35BEC906" w14:textId="77777777" w:rsidR="00FA4AA8" w:rsidRDefault="0015611F">
            <w:pPr>
              <w:pStyle w:val="TableParagraph"/>
              <w:ind w:right="237"/>
              <w:jc w:val="right"/>
              <w:rPr>
                <w:b/>
                <w:sz w:val="18"/>
              </w:rPr>
            </w:pPr>
            <w:r>
              <w:rPr>
                <w:b/>
                <w:sz w:val="18"/>
              </w:rPr>
              <w:t>-</w:t>
            </w:r>
          </w:p>
        </w:tc>
        <w:tc>
          <w:tcPr>
            <w:tcW w:w="983" w:type="dxa"/>
            <w:tcBorders>
              <w:bottom w:val="single" w:sz="8" w:space="0" w:color="000000"/>
            </w:tcBorders>
          </w:tcPr>
          <w:p w14:paraId="7332ABC4" w14:textId="77777777" w:rsidR="00FA4AA8" w:rsidRDefault="00FA4AA8">
            <w:pPr>
              <w:pStyle w:val="TableParagraph"/>
              <w:rPr>
                <w:b/>
                <w:sz w:val="20"/>
              </w:rPr>
            </w:pPr>
          </w:p>
          <w:p w14:paraId="79F46E11" w14:textId="77777777" w:rsidR="00FA4AA8" w:rsidRDefault="0015611F">
            <w:pPr>
              <w:pStyle w:val="TableParagraph"/>
              <w:ind w:right="88"/>
              <w:jc w:val="right"/>
              <w:rPr>
                <w:sz w:val="18"/>
              </w:rPr>
            </w:pPr>
            <w:r>
              <w:rPr>
                <w:sz w:val="18"/>
              </w:rPr>
              <w:t>2,733</w:t>
            </w:r>
          </w:p>
        </w:tc>
      </w:tr>
      <w:tr w:rsidR="00FA4AA8" w14:paraId="7CA6C0FA" w14:textId="77777777">
        <w:trPr>
          <w:trHeight w:val="318"/>
        </w:trPr>
        <w:tc>
          <w:tcPr>
            <w:tcW w:w="4215" w:type="dxa"/>
          </w:tcPr>
          <w:p w14:paraId="07C34851" w14:textId="77777777" w:rsidR="00FA4AA8" w:rsidRDefault="0015611F">
            <w:pPr>
              <w:pStyle w:val="TableParagraph"/>
              <w:spacing w:before="115" w:line="183" w:lineRule="exact"/>
              <w:ind w:left="50"/>
              <w:rPr>
                <w:b/>
                <w:sz w:val="18"/>
              </w:rPr>
            </w:pPr>
            <w:r>
              <w:rPr>
                <w:b/>
                <w:sz w:val="18"/>
              </w:rPr>
              <w:t>Total</w:t>
            </w:r>
          </w:p>
        </w:tc>
        <w:tc>
          <w:tcPr>
            <w:tcW w:w="849" w:type="dxa"/>
          </w:tcPr>
          <w:p w14:paraId="69B9F130" w14:textId="77777777" w:rsidR="00FA4AA8" w:rsidRDefault="00FA4AA8">
            <w:pPr>
              <w:pStyle w:val="TableParagraph"/>
              <w:rPr>
                <w:rFonts w:ascii="Times New Roman"/>
                <w:sz w:val="18"/>
              </w:rPr>
            </w:pPr>
          </w:p>
        </w:tc>
        <w:tc>
          <w:tcPr>
            <w:tcW w:w="1451" w:type="dxa"/>
            <w:tcBorders>
              <w:top w:val="single" w:sz="8" w:space="0" w:color="000000"/>
              <w:bottom w:val="single" w:sz="8" w:space="0" w:color="000000"/>
            </w:tcBorders>
          </w:tcPr>
          <w:p w14:paraId="1D66AD42" w14:textId="77777777" w:rsidR="00FA4AA8" w:rsidRDefault="0015611F">
            <w:pPr>
              <w:pStyle w:val="TableParagraph"/>
              <w:spacing w:before="115" w:line="183" w:lineRule="exact"/>
              <w:ind w:right="237"/>
              <w:jc w:val="right"/>
              <w:rPr>
                <w:b/>
                <w:sz w:val="18"/>
              </w:rPr>
            </w:pPr>
            <w:r>
              <w:rPr>
                <w:b/>
                <w:sz w:val="18"/>
              </w:rPr>
              <w:t>-</w:t>
            </w:r>
          </w:p>
        </w:tc>
        <w:tc>
          <w:tcPr>
            <w:tcW w:w="1217" w:type="dxa"/>
            <w:tcBorders>
              <w:top w:val="single" w:sz="8" w:space="0" w:color="000000"/>
              <w:bottom w:val="single" w:sz="8" w:space="0" w:color="000000"/>
            </w:tcBorders>
          </w:tcPr>
          <w:p w14:paraId="07118942" w14:textId="77777777" w:rsidR="00FA4AA8" w:rsidRDefault="0015611F">
            <w:pPr>
              <w:pStyle w:val="TableParagraph"/>
              <w:spacing w:before="115" w:line="183" w:lineRule="exact"/>
              <w:ind w:left="439"/>
              <w:rPr>
                <w:sz w:val="18"/>
              </w:rPr>
            </w:pPr>
            <w:r>
              <w:rPr>
                <w:sz w:val="18"/>
              </w:rPr>
              <w:t>2,733</w:t>
            </w:r>
          </w:p>
        </w:tc>
        <w:tc>
          <w:tcPr>
            <w:tcW w:w="1217" w:type="dxa"/>
            <w:tcBorders>
              <w:top w:val="single" w:sz="8" w:space="0" w:color="000000"/>
              <w:bottom w:val="single" w:sz="8" w:space="0" w:color="000000"/>
            </w:tcBorders>
          </w:tcPr>
          <w:p w14:paraId="46CB5901" w14:textId="77777777" w:rsidR="00FA4AA8" w:rsidRDefault="0015611F">
            <w:pPr>
              <w:pStyle w:val="TableParagraph"/>
              <w:spacing w:before="115" w:line="183" w:lineRule="exact"/>
              <w:ind w:right="237"/>
              <w:jc w:val="right"/>
              <w:rPr>
                <w:b/>
                <w:sz w:val="18"/>
              </w:rPr>
            </w:pPr>
            <w:r>
              <w:rPr>
                <w:b/>
                <w:sz w:val="18"/>
              </w:rPr>
              <w:t>-</w:t>
            </w:r>
          </w:p>
        </w:tc>
        <w:tc>
          <w:tcPr>
            <w:tcW w:w="983" w:type="dxa"/>
            <w:tcBorders>
              <w:top w:val="single" w:sz="8" w:space="0" w:color="000000"/>
              <w:bottom w:val="single" w:sz="8" w:space="0" w:color="000000"/>
            </w:tcBorders>
          </w:tcPr>
          <w:p w14:paraId="022265C4" w14:textId="77777777" w:rsidR="00FA4AA8" w:rsidRDefault="0015611F">
            <w:pPr>
              <w:pStyle w:val="TableParagraph"/>
              <w:spacing w:before="115" w:line="183" w:lineRule="exact"/>
              <w:ind w:right="88"/>
              <w:jc w:val="right"/>
              <w:rPr>
                <w:sz w:val="18"/>
              </w:rPr>
            </w:pPr>
            <w:r>
              <w:rPr>
                <w:sz w:val="18"/>
              </w:rPr>
              <w:t>2,733</w:t>
            </w:r>
          </w:p>
        </w:tc>
      </w:tr>
      <w:tr w:rsidR="00FA4AA8" w14:paraId="496B83B4" w14:textId="77777777">
        <w:trPr>
          <w:trHeight w:val="557"/>
        </w:trPr>
        <w:tc>
          <w:tcPr>
            <w:tcW w:w="4215" w:type="dxa"/>
          </w:tcPr>
          <w:p w14:paraId="2446408B" w14:textId="77777777" w:rsidR="00FA4AA8" w:rsidRDefault="00FA4AA8">
            <w:pPr>
              <w:pStyle w:val="TableParagraph"/>
              <w:rPr>
                <w:b/>
                <w:sz w:val="20"/>
              </w:rPr>
            </w:pPr>
          </w:p>
          <w:p w14:paraId="3626D982" w14:textId="77777777" w:rsidR="00FA4AA8" w:rsidRDefault="0015611F">
            <w:pPr>
              <w:pStyle w:val="TableParagraph"/>
              <w:spacing w:before="118" w:line="190" w:lineRule="exact"/>
              <w:ind w:left="50"/>
              <w:rPr>
                <w:i/>
                <w:sz w:val="18"/>
              </w:rPr>
            </w:pPr>
            <w:r>
              <w:rPr>
                <w:i/>
                <w:sz w:val="18"/>
              </w:rPr>
              <w:t>Items that will not be reclassified to Income</w:t>
            </w:r>
          </w:p>
        </w:tc>
        <w:tc>
          <w:tcPr>
            <w:tcW w:w="849" w:type="dxa"/>
          </w:tcPr>
          <w:p w14:paraId="0B730EDF" w14:textId="77777777" w:rsidR="00FA4AA8" w:rsidRDefault="00FA4AA8">
            <w:pPr>
              <w:pStyle w:val="TableParagraph"/>
              <w:rPr>
                <w:rFonts w:ascii="Times New Roman"/>
                <w:sz w:val="18"/>
              </w:rPr>
            </w:pPr>
          </w:p>
        </w:tc>
        <w:tc>
          <w:tcPr>
            <w:tcW w:w="1451" w:type="dxa"/>
            <w:tcBorders>
              <w:top w:val="single" w:sz="8" w:space="0" w:color="000000"/>
            </w:tcBorders>
          </w:tcPr>
          <w:p w14:paraId="580E2ECB" w14:textId="77777777" w:rsidR="00FA4AA8" w:rsidRDefault="00FA4AA8">
            <w:pPr>
              <w:pStyle w:val="TableParagraph"/>
              <w:rPr>
                <w:rFonts w:ascii="Times New Roman"/>
                <w:sz w:val="18"/>
              </w:rPr>
            </w:pPr>
          </w:p>
        </w:tc>
        <w:tc>
          <w:tcPr>
            <w:tcW w:w="1217" w:type="dxa"/>
            <w:tcBorders>
              <w:top w:val="single" w:sz="8" w:space="0" w:color="000000"/>
            </w:tcBorders>
          </w:tcPr>
          <w:p w14:paraId="3325FAE9" w14:textId="77777777" w:rsidR="00FA4AA8" w:rsidRDefault="00FA4AA8">
            <w:pPr>
              <w:pStyle w:val="TableParagraph"/>
              <w:rPr>
                <w:rFonts w:ascii="Times New Roman"/>
                <w:sz w:val="18"/>
              </w:rPr>
            </w:pPr>
          </w:p>
        </w:tc>
        <w:tc>
          <w:tcPr>
            <w:tcW w:w="1217" w:type="dxa"/>
            <w:tcBorders>
              <w:top w:val="single" w:sz="8" w:space="0" w:color="000000"/>
            </w:tcBorders>
          </w:tcPr>
          <w:p w14:paraId="53179C54" w14:textId="77777777" w:rsidR="00FA4AA8" w:rsidRDefault="00FA4AA8">
            <w:pPr>
              <w:pStyle w:val="TableParagraph"/>
              <w:rPr>
                <w:rFonts w:ascii="Times New Roman"/>
                <w:sz w:val="18"/>
              </w:rPr>
            </w:pPr>
          </w:p>
        </w:tc>
        <w:tc>
          <w:tcPr>
            <w:tcW w:w="983" w:type="dxa"/>
            <w:tcBorders>
              <w:top w:val="single" w:sz="8" w:space="0" w:color="000000"/>
            </w:tcBorders>
          </w:tcPr>
          <w:p w14:paraId="4BD51AA2" w14:textId="77777777" w:rsidR="00FA4AA8" w:rsidRDefault="00FA4AA8">
            <w:pPr>
              <w:pStyle w:val="TableParagraph"/>
              <w:rPr>
                <w:rFonts w:ascii="Times New Roman"/>
                <w:sz w:val="18"/>
              </w:rPr>
            </w:pPr>
          </w:p>
        </w:tc>
      </w:tr>
      <w:tr w:rsidR="00FA4AA8" w14:paraId="0D920625" w14:textId="77777777">
        <w:trPr>
          <w:trHeight w:val="232"/>
        </w:trPr>
        <w:tc>
          <w:tcPr>
            <w:tcW w:w="4215" w:type="dxa"/>
          </w:tcPr>
          <w:p w14:paraId="3CA87BD7" w14:textId="77777777" w:rsidR="00FA4AA8" w:rsidRDefault="0015611F">
            <w:pPr>
              <w:pStyle w:val="TableParagraph"/>
              <w:spacing w:line="204" w:lineRule="exact"/>
              <w:ind w:left="50"/>
              <w:rPr>
                <w:i/>
                <w:sz w:val="18"/>
              </w:rPr>
            </w:pPr>
            <w:r>
              <w:rPr>
                <w:i/>
                <w:sz w:val="18"/>
              </w:rPr>
              <w:t>Statement</w:t>
            </w:r>
          </w:p>
        </w:tc>
        <w:tc>
          <w:tcPr>
            <w:tcW w:w="849" w:type="dxa"/>
          </w:tcPr>
          <w:p w14:paraId="26A3ACB7" w14:textId="77777777" w:rsidR="00FA4AA8" w:rsidRDefault="00FA4AA8">
            <w:pPr>
              <w:pStyle w:val="TableParagraph"/>
              <w:rPr>
                <w:rFonts w:ascii="Times New Roman"/>
                <w:sz w:val="16"/>
              </w:rPr>
            </w:pPr>
          </w:p>
        </w:tc>
        <w:tc>
          <w:tcPr>
            <w:tcW w:w="1451" w:type="dxa"/>
          </w:tcPr>
          <w:p w14:paraId="7025B880" w14:textId="77777777" w:rsidR="00FA4AA8" w:rsidRDefault="00FA4AA8">
            <w:pPr>
              <w:pStyle w:val="TableParagraph"/>
              <w:rPr>
                <w:rFonts w:ascii="Times New Roman"/>
                <w:sz w:val="16"/>
              </w:rPr>
            </w:pPr>
          </w:p>
        </w:tc>
        <w:tc>
          <w:tcPr>
            <w:tcW w:w="1217" w:type="dxa"/>
          </w:tcPr>
          <w:p w14:paraId="72240666" w14:textId="77777777" w:rsidR="00FA4AA8" w:rsidRDefault="00FA4AA8">
            <w:pPr>
              <w:pStyle w:val="TableParagraph"/>
              <w:rPr>
                <w:rFonts w:ascii="Times New Roman"/>
                <w:sz w:val="16"/>
              </w:rPr>
            </w:pPr>
          </w:p>
        </w:tc>
        <w:tc>
          <w:tcPr>
            <w:tcW w:w="1217" w:type="dxa"/>
          </w:tcPr>
          <w:p w14:paraId="6B1679A7" w14:textId="77777777" w:rsidR="00FA4AA8" w:rsidRDefault="00FA4AA8">
            <w:pPr>
              <w:pStyle w:val="TableParagraph"/>
              <w:rPr>
                <w:rFonts w:ascii="Times New Roman"/>
                <w:sz w:val="16"/>
              </w:rPr>
            </w:pPr>
          </w:p>
        </w:tc>
        <w:tc>
          <w:tcPr>
            <w:tcW w:w="983" w:type="dxa"/>
          </w:tcPr>
          <w:p w14:paraId="5845EC95" w14:textId="77777777" w:rsidR="00FA4AA8" w:rsidRDefault="00FA4AA8">
            <w:pPr>
              <w:pStyle w:val="TableParagraph"/>
              <w:rPr>
                <w:rFonts w:ascii="Times New Roman"/>
                <w:sz w:val="16"/>
              </w:rPr>
            </w:pPr>
          </w:p>
        </w:tc>
      </w:tr>
      <w:tr w:rsidR="00FA4AA8" w14:paraId="4AED4A63" w14:textId="77777777">
        <w:trPr>
          <w:trHeight w:val="465"/>
        </w:trPr>
        <w:tc>
          <w:tcPr>
            <w:tcW w:w="4215" w:type="dxa"/>
          </w:tcPr>
          <w:p w14:paraId="36027024" w14:textId="77777777" w:rsidR="00FA4AA8" w:rsidRDefault="0015611F">
            <w:pPr>
              <w:pStyle w:val="TableParagraph"/>
              <w:spacing w:before="23"/>
              <w:ind w:left="50"/>
              <w:rPr>
                <w:sz w:val="18"/>
              </w:rPr>
            </w:pPr>
            <w:r>
              <w:rPr>
                <w:sz w:val="18"/>
              </w:rPr>
              <w:t>Gain/(loss) on revaluation of property, plant and equipment</w:t>
            </w:r>
          </w:p>
        </w:tc>
        <w:tc>
          <w:tcPr>
            <w:tcW w:w="849" w:type="dxa"/>
          </w:tcPr>
          <w:p w14:paraId="1694DF7C" w14:textId="77777777" w:rsidR="00FA4AA8" w:rsidRDefault="00FA4AA8">
            <w:pPr>
              <w:pStyle w:val="TableParagraph"/>
              <w:spacing w:before="11"/>
              <w:rPr>
                <w:b/>
                <w:sz w:val="19"/>
              </w:rPr>
            </w:pPr>
          </w:p>
          <w:p w14:paraId="684E59AF" w14:textId="77777777" w:rsidR="00FA4AA8" w:rsidRDefault="0015611F">
            <w:pPr>
              <w:pStyle w:val="TableParagraph"/>
              <w:ind w:right="93"/>
              <w:jc w:val="right"/>
              <w:rPr>
                <w:sz w:val="18"/>
              </w:rPr>
            </w:pPr>
            <w:r>
              <w:rPr>
                <w:sz w:val="18"/>
              </w:rPr>
              <w:t>27(c)</w:t>
            </w:r>
          </w:p>
        </w:tc>
        <w:tc>
          <w:tcPr>
            <w:tcW w:w="1451" w:type="dxa"/>
          </w:tcPr>
          <w:p w14:paraId="20D36CE9" w14:textId="77777777" w:rsidR="00FA4AA8" w:rsidRDefault="00FA4AA8">
            <w:pPr>
              <w:pStyle w:val="TableParagraph"/>
              <w:spacing w:before="8"/>
              <w:rPr>
                <w:b/>
                <w:sz w:val="19"/>
              </w:rPr>
            </w:pPr>
          </w:p>
          <w:p w14:paraId="6A05F46B" w14:textId="77777777" w:rsidR="00FA4AA8" w:rsidRDefault="0015611F">
            <w:pPr>
              <w:pStyle w:val="TableParagraph"/>
              <w:ind w:right="237"/>
              <w:jc w:val="right"/>
              <w:rPr>
                <w:b/>
                <w:sz w:val="18"/>
              </w:rPr>
            </w:pPr>
            <w:r>
              <w:rPr>
                <w:b/>
                <w:sz w:val="18"/>
              </w:rPr>
              <w:t>69,076</w:t>
            </w:r>
          </w:p>
        </w:tc>
        <w:tc>
          <w:tcPr>
            <w:tcW w:w="1217" w:type="dxa"/>
          </w:tcPr>
          <w:p w14:paraId="017E9B8B" w14:textId="77777777" w:rsidR="00FA4AA8" w:rsidRDefault="00FA4AA8">
            <w:pPr>
              <w:pStyle w:val="TableParagraph"/>
              <w:spacing w:before="8"/>
              <w:rPr>
                <w:b/>
                <w:sz w:val="19"/>
              </w:rPr>
            </w:pPr>
          </w:p>
          <w:p w14:paraId="7121E1D5" w14:textId="77777777" w:rsidR="00FA4AA8" w:rsidRDefault="0015611F">
            <w:pPr>
              <w:pStyle w:val="TableParagraph"/>
              <w:ind w:left="238"/>
              <w:rPr>
                <w:sz w:val="18"/>
              </w:rPr>
            </w:pPr>
            <w:r>
              <w:rPr>
                <w:sz w:val="18"/>
              </w:rPr>
              <w:t>200,303</w:t>
            </w:r>
          </w:p>
        </w:tc>
        <w:tc>
          <w:tcPr>
            <w:tcW w:w="1217" w:type="dxa"/>
          </w:tcPr>
          <w:p w14:paraId="3BE1AD61" w14:textId="77777777" w:rsidR="00FA4AA8" w:rsidRDefault="00FA4AA8">
            <w:pPr>
              <w:pStyle w:val="TableParagraph"/>
              <w:spacing w:before="11"/>
              <w:rPr>
                <w:b/>
                <w:sz w:val="19"/>
              </w:rPr>
            </w:pPr>
          </w:p>
          <w:p w14:paraId="5BC53123" w14:textId="77777777" w:rsidR="00FA4AA8" w:rsidRDefault="0015611F">
            <w:pPr>
              <w:pStyle w:val="TableParagraph"/>
              <w:ind w:right="238"/>
              <w:jc w:val="right"/>
              <w:rPr>
                <w:b/>
                <w:sz w:val="18"/>
              </w:rPr>
            </w:pPr>
            <w:r>
              <w:rPr>
                <w:b/>
                <w:sz w:val="18"/>
              </w:rPr>
              <w:t>69,076</w:t>
            </w:r>
          </w:p>
        </w:tc>
        <w:tc>
          <w:tcPr>
            <w:tcW w:w="983" w:type="dxa"/>
          </w:tcPr>
          <w:p w14:paraId="36FAEFD2" w14:textId="77777777" w:rsidR="00FA4AA8" w:rsidRDefault="00FA4AA8">
            <w:pPr>
              <w:pStyle w:val="TableParagraph"/>
              <w:spacing w:before="11"/>
              <w:rPr>
                <w:b/>
                <w:sz w:val="19"/>
              </w:rPr>
            </w:pPr>
          </w:p>
          <w:p w14:paraId="53CF188A" w14:textId="77777777" w:rsidR="00FA4AA8" w:rsidRDefault="0015611F">
            <w:pPr>
              <w:pStyle w:val="TableParagraph"/>
              <w:ind w:left="237"/>
              <w:rPr>
                <w:sz w:val="18"/>
              </w:rPr>
            </w:pPr>
            <w:r>
              <w:rPr>
                <w:sz w:val="18"/>
              </w:rPr>
              <w:t>200,303</w:t>
            </w:r>
          </w:p>
        </w:tc>
      </w:tr>
      <w:tr w:rsidR="00FA4AA8" w14:paraId="55272824" w14:textId="77777777">
        <w:trPr>
          <w:trHeight w:val="263"/>
        </w:trPr>
        <w:tc>
          <w:tcPr>
            <w:tcW w:w="4215" w:type="dxa"/>
          </w:tcPr>
          <w:p w14:paraId="0C4B9328" w14:textId="77777777" w:rsidR="00FA4AA8" w:rsidRDefault="0015611F">
            <w:pPr>
              <w:pStyle w:val="TableParagraph"/>
              <w:spacing w:before="28"/>
              <w:ind w:left="50"/>
              <w:rPr>
                <w:sz w:val="18"/>
              </w:rPr>
            </w:pPr>
            <w:r>
              <w:rPr>
                <w:sz w:val="18"/>
              </w:rPr>
              <w:t>Gain/(loss) on revaluation of art collection</w:t>
            </w:r>
          </w:p>
        </w:tc>
        <w:tc>
          <w:tcPr>
            <w:tcW w:w="849" w:type="dxa"/>
          </w:tcPr>
          <w:p w14:paraId="4A591B2E" w14:textId="77777777" w:rsidR="00FA4AA8" w:rsidRDefault="0015611F">
            <w:pPr>
              <w:pStyle w:val="TableParagraph"/>
              <w:spacing w:before="23"/>
              <w:ind w:right="93"/>
              <w:jc w:val="right"/>
              <w:rPr>
                <w:sz w:val="18"/>
              </w:rPr>
            </w:pPr>
            <w:r>
              <w:rPr>
                <w:sz w:val="18"/>
              </w:rPr>
              <w:t>27(c)</w:t>
            </w:r>
          </w:p>
        </w:tc>
        <w:tc>
          <w:tcPr>
            <w:tcW w:w="1451" w:type="dxa"/>
          </w:tcPr>
          <w:p w14:paraId="57748FA6" w14:textId="77777777" w:rsidR="00FA4AA8" w:rsidRDefault="0015611F">
            <w:pPr>
              <w:pStyle w:val="TableParagraph"/>
              <w:spacing w:before="25"/>
              <w:ind w:right="237"/>
              <w:jc w:val="right"/>
              <w:rPr>
                <w:b/>
                <w:sz w:val="18"/>
              </w:rPr>
            </w:pPr>
            <w:r>
              <w:rPr>
                <w:b/>
                <w:sz w:val="18"/>
              </w:rPr>
              <w:t>-</w:t>
            </w:r>
          </w:p>
        </w:tc>
        <w:tc>
          <w:tcPr>
            <w:tcW w:w="1217" w:type="dxa"/>
          </w:tcPr>
          <w:p w14:paraId="2DB7A846" w14:textId="77777777" w:rsidR="00FA4AA8" w:rsidRDefault="0015611F">
            <w:pPr>
              <w:pStyle w:val="TableParagraph"/>
              <w:spacing w:before="25"/>
              <w:ind w:right="261"/>
              <w:jc w:val="right"/>
              <w:rPr>
                <w:sz w:val="18"/>
              </w:rPr>
            </w:pPr>
            <w:r>
              <w:rPr>
                <w:sz w:val="18"/>
              </w:rPr>
              <w:t>(3)</w:t>
            </w:r>
          </w:p>
        </w:tc>
        <w:tc>
          <w:tcPr>
            <w:tcW w:w="1217" w:type="dxa"/>
          </w:tcPr>
          <w:p w14:paraId="79BF5E84" w14:textId="77777777" w:rsidR="00FA4AA8" w:rsidRDefault="0015611F">
            <w:pPr>
              <w:pStyle w:val="TableParagraph"/>
              <w:spacing w:before="28"/>
              <w:ind w:right="237"/>
              <w:jc w:val="right"/>
              <w:rPr>
                <w:b/>
                <w:sz w:val="18"/>
              </w:rPr>
            </w:pPr>
            <w:r>
              <w:rPr>
                <w:b/>
                <w:sz w:val="18"/>
              </w:rPr>
              <w:t>-</w:t>
            </w:r>
          </w:p>
        </w:tc>
        <w:tc>
          <w:tcPr>
            <w:tcW w:w="983" w:type="dxa"/>
          </w:tcPr>
          <w:p w14:paraId="3D99ED08" w14:textId="77777777" w:rsidR="00FA4AA8" w:rsidRDefault="0015611F">
            <w:pPr>
              <w:pStyle w:val="TableParagraph"/>
              <w:spacing w:before="28"/>
              <w:ind w:right="27"/>
              <w:jc w:val="right"/>
              <w:rPr>
                <w:sz w:val="18"/>
              </w:rPr>
            </w:pPr>
            <w:r>
              <w:rPr>
                <w:sz w:val="18"/>
              </w:rPr>
              <w:t>(3)</w:t>
            </w:r>
          </w:p>
        </w:tc>
      </w:tr>
      <w:tr w:rsidR="00FA4AA8" w14:paraId="4341D49D" w14:textId="77777777">
        <w:trPr>
          <w:trHeight w:val="264"/>
        </w:trPr>
        <w:tc>
          <w:tcPr>
            <w:tcW w:w="4215" w:type="dxa"/>
          </w:tcPr>
          <w:p w14:paraId="5A3BDDEB" w14:textId="77777777" w:rsidR="00FA4AA8" w:rsidRDefault="0015611F">
            <w:pPr>
              <w:pStyle w:val="TableParagraph"/>
              <w:spacing w:before="28"/>
              <w:ind w:left="50"/>
              <w:rPr>
                <w:sz w:val="18"/>
              </w:rPr>
            </w:pPr>
            <w:r>
              <w:rPr>
                <w:sz w:val="18"/>
              </w:rPr>
              <w:t>Gain/(loss) on revaluation of livestock</w:t>
            </w:r>
          </w:p>
        </w:tc>
        <w:tc>
          <w:tcPr>
            <w:tcW w:w="849" w:type="dxa"/>
          </w:tcPr>
          <w:p w14:paraId="45BD6F57" w14:textId="77777777" w:rsidR="00FA4AA8" w:rsidRDefault="0015611F">
            <w:pPr>
              <w:pStyle w:val="TableParagraph"/>
              <w:spacing w:before="23"/>
              <w:ind w:right="93"/>
              <w:jc w:val="right"/>
              <w:rPr>
                <w:sz w:val="18"/>
              </w:rPr>
            </w:pPr>
            <w:r>
              <w:rPr>
                <w:sz w:val="18"/>
              </w:rPr>
              <w:t>27(c)</w:t>
            </w:r>
          </w:p>
        </w:tc>
        <w:tc>
          <w:tcPr>
            <w:tcW w:w="1451" w:type="dxa"/>
          </w:tcPr>
          <w:p w14:paraId="0F6536D3" w14:textId="77777777" w:rsidR="00FA4AA8" w:rsidRDefault="0015611F">
            <w:pPr>
              <w:pStyle w:val="TableParagraph"/>
              <w:spacing w:before="25"/>
              <w:ind w:right="176"/>
              <w:jc w:val="right"/>
              <w:rPr>
                <w:b/>
                <w:sz w:val="18"/>
              </w:rPr>
            </w:pPr>
            <w:r>
              <w:rPr>
                <w:b/>
                <w:sz w:val="18"/>
              </w:rPr>
              <w:t>(93)</w:t>
            </w:r>
          </w:p>
        </w:tc>
        <w:tc>
          <w:tcPr>
            <w:tcW w:w="1217" w:type="dxa"/>
          </w:tcPr>
          <w:p w14:paraId="38F4E471" w14:textId="77777777" w:rsidR="00FA4AA8" w:rsidRDefault="0015611F">
            <w:pPr>
              <w:pStyle w:val="TableParagraph"/>
              <w:spacing w:before="25"/>
              <w:ind w:right="321"/>
              <w:jc w:val="right"/>
              <w:rPr>
                <w:sz w:val="18"/>
              </w:rPr>
            </w:pPr>
            <w:r>
              <w:rPr>
                <w:sz w:val="18"/>
              </w:rPr>
              <w:t>48</w:t>
            </w:r>
          </w:p>
        </w:tc>
        <w:tc>
          <w:tcPr>
            <w:tcW w:w="1217" w:type="dxa"/>
          </w:tcPr>
          <w:p w14:paraId="25EC87D6" w14:textId="77777777" w:rsidR="00FA4AA8" w:rsidRDefault="0015611F">
            <w:pPr>
              <w:pStyle w:val="TableParagraph"/>
              <w:spacing w:before="28"/>
              <w:ind w:right="177"/>
              <w:jc w:val="right"/>
              <w:rPr>
                <w:b/>
                <w:sz w:val="18"/>
              </w:rPr>
            </w:pPr>
            <w:r>
              <w:rPr>
                <w:b/>
                <w:sz w:val="18"/>
              </w:rPr>
              <w:t>(93)</w:t>
            </w:r>
          </w:p>
        </w:tc>
        <w:tc>
          <w:tcPr>
            <w:tcW w:w="983" w:type="dxa"/>
          </w:tcPr>
          <w:p w14:paraId="7E23ECD6" w14:textId="77777777" w:rsidR="00FA4AA8" w:rsidRDefault="0015611F">
            <w:pPr>
              <w:pStyle w:val="TableParagraph"/>
              <w:spacing w:before="28"/>
              <w:ind w:right="88"/>
              <w:jc w:val="right"/>
              <w:rPr>
                <w:sz w:val="18"/>
              </w:rPr>
            </w:pPr>
            <w:r>
              <w:rPr>
                <w:sz w:val="18"/>
              </w:rPr>
              <w:t>48</w:t>
            </w:r>
          </w:p>
        </w:tc>
      </w:tr>
      <w:tr w:rsidR="00FA4AA8" w14:paraId="586D4DE8" w14:textId="77777777">
        <w:trPr>
          <w:trHeight w:val="465"/>
        </w:trPr>
        <w:tc>
          <w:tcPr>
            <w:tcW w:w="4215" w:type="dxa"/>
          </w:tcPr>
          <w:p w14:paraId="4F866313" w14:textId="77777777" w:rsidR="00FA4AA8" w:rsidRDefault="0015611F">
            <w:pPr>
              <w:pStyle w:val="TableParagraph"/>
              <w:spacing w:before="23"/>
              <w:ind w:left="50" w:right="303"/>
              <w:rPr>
                <w:sz w:val="18"/>
              </w:rPr>
            </w:pPr>
            <w:r>
              <w:rPr>
                <w:sz w:val="18"/>
              </w:rPr>
              <w:t>Net actuarial gains/(losses) recognised in respect of Defined Benefit Plans</w:t>
            </w:r>
          </w:p>
        </w:tc>
        <w:tc>
          <w:tcPr>
            <w:tcW w:w="849" w:type="dxa"/>
          </w:tcPr>
          <w:p w14:paraId="7193BA26" w14:textId="77777777" w:rsidR="00FA4AA8" w:rsidRDefault="00FA4AA8">
            <w:pPr>
              <w:pStyle w:val="TableParagraph"/>
              <w:spacing w:before="11"/>
              <w:rPr>
                <w:b/>
                <w:sz w:val="19"/>
              </w:rPr>
            </w:pPr>
          </w:p>
          <w:p w14:paraId="4B59335F" w14:textId="77777777" w:rsidR="00FA4AA8" w:rsidRDefault="0015611F">
            <w:pPr>
              <w:pStyle w:val="TableParagraph"/>
              <w:ind w:right="93"/>
              <w:jc w:val="right"/>
              <w:rPr>
                <w:sz w:val="18"/>
              </w:rPr>
            </w:pPr>
            <w:r>
              <w:rPr>
                <w:sz w:val="18"/>
              </w:rPr>
              <w:t>27(c)</w:t>
            </w:r>
          </w:p>
        </w:tc>
        <w:tc>
          <w:tcPr>
            <w:tcW w:w="1451" w:type="dxa"/>
          </w:tcPr>
          <w:p w14:paraId="3814AF2F" w14:textId="77777777" w:rsidR="00FA4AA8" w:rsidRDefault="00FA4AA8">
            <w:pPr>
              <w:pStyle w:val="TableParagraph"/>
              <w:spacing w:before="8"/>
              <w:rPr>
                <w:b/>
                <w:sz w:val="19"/>
              </w:rPr>
            </w:pPr>
          </w:p>
          <w:p w14:paraId="0C917897" w14:textId="77777777" w:rsidR="00FA4AA8" w:rsidRDefault="0015611F">
            <w:pPr>
              <w:pStyle w:val="TableParagraph"/>
              <w:ind w:right="177"/>
              <w:jc w:val="right"/>
              <w:rPr>
                <w:b/>
                <w:sz w:val="18"/>
              </w:rPr>
            </w:pPr>
            <w:r>
              <w:rPr>
                <w:b/>
                <w:sz w:val="18"/>
              </w:rPr>
              <w:t>(335)</w:t>
            </w:r>
          </w:p>
        </w:tc>
        <w:tc>
          <w:tcPr>
            <w:tcW w:w="1217" w:type="dxa"/>
          </w:tcPr>
          <w:p w14:paraId="43CBFC84" w14:textId="77777777" w:rsidR="00FA4AA8" w:rsidRDefault="00FA4AA8">
            <w:pPr>
              <w:pStyle w:val="TableParagraph"/>
              <w:spacing w:before="8"/>
              <w:rPr>
                <w:b/>
                <w:sz w:val="19"/>
              </w:rPr>
            </w:pPr>
          </w:p>
          <w:p w14:paraId="03A32E9F" w14:textId="77777777" w:rsidR="00FA4AA8" w:rsidRDefault="0015611F">
            <w:pPr>
              <w:pStyle w:val="TableParagraph"/>
              <w:ind w:right="261"/>
              <w:jc w:val="right"/>
              <w:rPr>
                <w:sz w:val="18"/>
              </w:rPr>
            </w:pPr>
            <w:r>
              <w:rPr>
                <w:sz w:val="18"/>
              </w:rPr>
              <w:t>(1,447)</w:t>
            </w:r>
          </w:p>
        </w:tc>
        <w:tc>
          <w:tcPr>
            <w:tcW w:w="1217" w:type="dxa"/>
          </w:tcPr>
          <w:p w14:paraId="264034FF" w14:textId="77777777" w:rsidR="00FA4AA8" w:rsidRDefault="00FA4AA8">
            <w:pPr>
              <w:pStyle w:val="TableParagraph"/>
              <w:spacing w:before="11"/>
              <w:rPr>
                <w:b/>
                <w:sz w:val="19"/>
              </w:rPr>
            </w:pPr>
          </w:p>
          <w:p w14:paraId="083DED10" w14:textId="77777777" w:rsidR="00FA4AA8" w:rsidRDefault="0015611F">
            <w:pPr>
              <w:pStyle w:val="TableParagraph"/>
              <w:ind w:right="177"/>
              <w:jc w:val="right"/>
              <w:rPr>
                <w:b/>
                <w:sz w:val="18"/>
              </w:rPr>
            </w:pPr>
            <w:r>
              <w:rPr>
                <w:b/>
                <w:sz w:val="18"/>
              </w:rPr>
              <w:t>(335)</w:t>
            </w:r>
          </w:p>
        </w:tc>
        <w:tc>
          <w:tcPr>
            <w:tcW w:w="983" w:type="dxa"/>
          </w:tcPr>
          <w:p w14:paraId="4ABC2ACC" w14:textId="77777777" w:rsidR="00FA4AA8" w:rsidRDefault="00FA4AA8">
            <w:pPr>
              <w:pStyle w:val="TableParagraph"/>
              <w:spacing w:before="11"/>
              <w:rPr>
                <w:b/>
                <w:sz w:val="19"/>
              </w:rPr>
            </w:pPr>
          </w:p>
          <w:p w14:paraId="2FC29F7D" w14:textId="77777777" w:rsidR="00FA4AA8" w:rsidRDefault="0015611F">
            <w:pPr>
              <w:pStyle w:val="TableParagraph"/>
              <w:ind w:right="27"/>
              <w:jc w:val="right"/>
              <w:rPr>
                <w:sz w:val="18"/>
              </w:rPr>
            </w:pPr>
            <w:r>
              <w:rPr>
                <w:sz w:val="18"/>
              </w:rPr>
              <w:t>(1,447)</w:t>
            </w:r>
          </w:p>
        </w:tc>
      </w:tr>
      <w:tr w:rsidR="00FA4AA8" w14:paraId="25DE9E6B" w14:textId="77777777">
        <w:trPr>
          <w:trHeight w:val="232"/>
        </w:trPr>
        <w:tc>
          <w:tcPr>
            <w:tcW w:w="4215" w:type="dxa"/>
          </w:tcPr>
          <w:p w14:paraId="7452B2C4" w14:textId="77777777" w:rsidR="00FA4AA8" w:rsidRDefault="0015611F">
            <w:pPr>
              <w:pStyle w:val="TableParagraph"/>
              <w:spacing w:before="23" w:line="190" w:lineRule="exact"/>
              <w:ind w:left="50"/>
              <w:rPr>
                <w:sz w:val="18"/>
              </w:rPr>
            </w:pPr>
            <w:r>
              <w:rPr>
                <w:sz w:val="18"/>
              </w:rPr>
              <w:t>Change in fair value of equity investments</w:t>
            </w:r>
          </w:p>
        </w:tc>
        <w:tc>
          <w:tcPr>
            <w:tcW w:w="849" w:type="dxa"/>
          </w:tcPr>
          <w:p w14:paraId="23A10237" w14:textId="77777777" w:rsidR="00FA4AA8" w:rsidRDefault="00FA4AA8">
            <w:pPr>
              <w:pStyle w:val="TableParagraph"/>
              <w:rPr>
                <w:rFonts w:ascii="Times New Roman"/>
                <w:sz w:val="16"/>
              </w:rPr>
            </w:pPr>
          </w:p>
        </w:tc>
        <w:tc>
          <w:tcPr>
            <w:tcW w:w="1451" w:type="dxa"/>
          </w:tcPr>
          <w:p w14:paraId="72DEB8F1" w14:textId="77777777" w:rsidR="00FA4AA8" w:rsidRDefault="00FA4AA8">
            <w:pPr>
              <w:pStyle w:val="TableParagraph"/>
              <w:rPr>
                <w:rFonts w:ascii="Times New Roman"/>
                <w:sz w:val="16"/>
              </w:rPr>
            </w:pPr>
          </w:p>
        </w:tc>
        <w:tc>
          <w:tcPr>
            <w:tcW w:w="1217" w:type="dxa"/>
          </w:tcPr>
          <w:p w14:paraId="6569E1E5" w14:textId="77777777" w:rsidR="00FA4AA8" w:rsidRDefault="00FA4AA8">
            <w:pPr>
              <w:pStyle w:val="TableParagraph"/>
              <w:rPr>
                <w:rFonts w:ascii="Times New Roman"/>
                <w:sz w:val="16"/>
              </w:rPr>
            </w:pPr>
          </w:p>
        </w:tc>
        <w:tc>
          <w:tcPr>
            <w:tcW w:w="1217" w:type="dxa"/>
          </w:tcPr>
          <w:p w14:paraId="2A0C0135" w14:textId="77777777" w:rsidR="00FA4AA8" w:rsidRDefault="00FA4AA8">
            <w:pPr>
              <w:pStyle w:val="TableParagraph"/>
              <w:rPr>
                <w:rFonts w:ascii="Times New Roman"/>
                <w:sz w:val="16"/>
              </w:rPr>
            </w:pPr>
          </w:p>
        </w:tc>
        <w:tc>
          <w:tcPr>
            <w:tcW w:w="983" w:type="dxa"/>
          </w:tcPr>
          <w:p w14:paraId="29972120" w14:textId="77777777" w:rsidR="00FA4AA8" w:rsidRDefault="00FA4AA8">
            <w:pPr>
              <w:pStyle w:val="TableParagraph"/>
              <w:rPr>
                <w:rFonts w:ascii="Times New Roman"/>
                <w:sz w:val="16"/>
              </w:rPr>
            </w:pPr>
          </w:p>
        </w:tc>
      </w:tr>
      <w:tr w:rsidR="00FA4AA8" w14:paraId="7D963950" w14:textId="77777777">
        <w:trPr>
          <w:trHeight w:val="432"/>
        </w:trPr>
        <w:tc>
          <w:tcPr>
            <w:tcW w:w="4215" w:type="dxa"/>
          </w:tcPr>
          <w:p w14:paraId="687047E2" w14:textId="77777777" w:rsidR="00FA4AA8" w:rsidRDefault="0015611F">
            <w:pPr>
              <w:pStyle w:val="TableParagraph"/>
              <w:ind w:left="50"/>
              <w:rPr>
                <w:sz w:val="18"/>
              </w:rPr>
            </w:pPr>
            <w:r>
              <w:rPr>
                <w:sz w:val="18"/>
              </w:rPr>
              <w:t>designated at fair value through other comprehensive income</w:t>
            </w:r>
          </w:p>
        </w:tc>
        <w:tc>
          <w:tcPr>
            <w:tcW w:w="849" w:type="dxa"/>
          </w:tcPr>
          <w:p w14:paraId="3682A136" w14:textId="77777777" w:rsidR="00FA4AA8" w:rsidRDefault="00FA4AA8">
            <w:pPr>
              <w:pStyle w:val="TableParagraph"/>
              <w:spacing w:before="7"/>
              <w:rPr>
                <w:b/>
                <w:sz w:val="17"/>
              </w:rPr>
            </w:pPr>
          </w:p>
          <w:p w14:paraId="4C6F74F9" w14:textId="77777777" w:rsidR="00FA4AA8" w:rsidRDefault="0015611F">
            <w:pPr>
              <w:pStyle w:val="TableParagraph"/>
              <w:ind w:right="93"/>
              <w:jc w:val="right"/>
              <w:rPr>
                <w:sz w:val="18"/>
              </w:rPr>
            </w:pPr>
            <w:r>
              <w:rPr>
                <w:sz w:val="18"/>
              </w:rPr>
              <w:t>27(c)</w:t>
            </w:r>
          </w:p>
        </w:tc>
        <w:tc>
          <w:tcPr>
            <w:tcW w:w="1451" w:type="dxa"/>
            <w:tcBorders>
              <w:bottom w:val="single" w:sz="8" w:space="0" w:color="000000"/>
            </w:tcBorders>
          </w:tcPr>
          <w:p w14:paraId="6AE764EC" w14:textId="77777777" w:rsidR="00FA4AA8" w:rsidRDefault="00FA4AA8">
            <w:pPr>
              <w:pStyle w:val="TableParagraph"/>
              <w:spacing w:before="5"/>
              <w:rPr>
                <w:b/>
                <w:sz w:val="17"/>
              </w:rPr>
            </w:pPr>
          </w:p>
          <w:p w14:paraId="4A17A439" w14:textId="77777777" w:rsidR="00FA4AA8" w:rsidRDefault="0015611F">
            <w:pPr>
              <w:pStyle w:val="TableParagraph"/>
              <w:ind w:right="237"/>
              <w:jc w:val="right"/>
              <w:rPr>
                <w:b/>
                <w:sz w:val="18"/>
              </w:rPr>
            </w:pPr>
            <w:r>
              <w:rPr>
                <w:b/>
                <w:sz w:val="18"/>
              </w:rPr>
              <w:t>7,111</w:t>
            </w:r>
          </w:p>
        </w:tc>
        <w:tc>
          <w:tcPr>
            <w:tcW w:w="1217" w:type="dxa"/>
            <w:tcBorders>
              <w:bottom w:val="single" w:sz="8" w:space="0" w:color="000000"/>
            </w:tcBorders>
          </w:tcPr>
          <w:p w14:paraId="08040D88" w14:textId="77777777" w:rsidR="00FA4AA8" w:rsidRDefault="00FA4AA8">
            <w:pPr>
              <w:pStyle w:val="TableParagraph"/>
              <w:spacing w:before="5"/>
              <w:rPr>
                <w:b/>
                <w:sz w:val="17"/>
              </w:rPr>
            </w:pPr>
          </w:p>
          <w:p w14:paraId="1E87C053" w14:textId="77777777" w:rsidR="00FA4AA8" w:rsidRDefault="0015611F">
            <w:pPr>
              <w:pStyle w:val="TableParagraph"/>
              <w:ind w:right="321"/>
              <w:jc w:val="right"/>
              <w:rPr>
                <w:sz w:val="18"/>
              </w:rPr>
            </w:pPr>
            <w:r>
              <w:rPr>
                <w:sz w:val="18"/>
              </w:rPr>
              <w:t>-</w:t>
            </w:r>
          </w:p>
        </w:tc>
        <w:tc>
          <w:tcPr>
            <w:tcW w:w="1217" w:type="dxa"/>
            <w:tcBorders>
              <w:bottom w:val="single" w:sz="8" w:space="0" w:color="000000"/>
            </w:tcBorders>
          </w:tcPr>
          <w:p w14:paraId="58E9E02E" w14:textId="77777777" w:rsidR="00FA4AA8" w:rsidRDefault="00FA4AA8">
            <w:pPr>
              <w:pStyle w:val="TableParagraph"/>
              <w:spacing w:before="7"/>
              <w:rPr>
                <w:b/>
                <w:sz w:val="17"/>
              </w:rPr>
            </w:pPr>
          </w:p>
          <w:p w14:paraId="1F4A2F1D" w14:textId="77777777" w:rsidR="00FA4AA8" w:rsidRDefault="0015611F">
            <w:pPr>
              <w:pStyle w:val="TableParagraph"/>
              <w:ind w:right="238"/>
              <w:jc w:val="right"/>
              <w:rPr>
                <w:b/>
                <w:sz w:val="18"/>
              </w:rPr>
            </w:pPr>
            <w:r>
              <w:rPr>
                <w:b/>
                <w:sz w:val="18"/>
              </w:rPr>
              <w:t>7,111</w:t>
            </w:r>
          </w:p>
        </w:tc>
        <w:tc>
          <w:tcPr>
            <w:tcW w:w="983" w:type="dxa"/>
            <w:tcBorders>
              <w:bottom w:val="single" w:sz="8" w:space="0" w:color="000000"/>
            </w:tcBorders>
          </w:tcPr>
          <w:p w14:paraId="7BFE1C4F" w14:textId="77777777" w:rsidR="00FA4AA8" w:rsidRDefault="00FA4AA8">
            <w:pPr>
              <w:pStyle w:val="TableParagraph"/>
              <w:spacing w:before="7"/>
              <w:rPr>
                <w:b/>
                <w:sz w:val="17"/>
              </w:rPr>
            </w:pPr>
          </w:p>
          <w:p w14:paraId="5E910C6A" w14:textId="77777777" w:rsidR="00FA4AA8" w:rsidRDefault="0015611F">
            <w:pPr>
              <w:pStyle w:val="TableParagraph"/>
              <w:ind w:right="88"/>
              <w:jc w:val="right"/>
              <w:rPr>
                <w:sz w:val="18"/>
              </w:rPr>
            </w:pPr>
            <w:r>
              <w:rPr>
                <w:sz w:val="18"/>
              </w:rPr>
              <w:t>-</w:t>
            </w:r>
          </w:p>
        </w:tc>
      </w:tr>
      <w:tr w:rsidR="00FA4AA8" w14:paraId="6847C993" w14:textId="77777777">
        <w:trPr>
          <w:trHeight w:val="318"/>
        </w:trPr>
        <w:tc>
          <w:tcPr>
            <w:tcW w:w="4215" w:type="dxa"/>
          </w:tcPr>
          <w:p w14:paraId="0721A71B" w14:textId="77777777" w:rsidR="00FA4AA8" w:rsidRDefault="0015611F">
            <w:pPr>
              <w:pStyle w:val="TableParagraph"/>
              <w:spacing w:before="115" w:line="183" w:lineRule="exact"/>
              <w:ind w:left="50"/>
              <w:rPr>
                <w:b/>
                <w:sz w:val="18"/>
              </w:rPr>
            </w:pPr>
            <w:r>
              <w:rPr>
                <w:b/>
                <w:sz w:val="18"/>
              </w:rPr>
              <w:t>Total</w:t>
            </w:r>
          </w:p>
        </w:tc>
        <w:tc>
          <w:tcPr>
            <w:tcW w:w="849" w:type="dxa"/>
          </w:tcPr>
          <w:p w14:paraId="31145FCC" w14:textId="77777777" w:rsidR="00FA4AA8" w:rsidRDefault="00FA4AA8">
            <w:pPr>
              <w:pStyle w:val="TableParagraph"/>
              <w:rPr>
                <w:rFonts w:ascii="Times New Roman"/>
                <w:sz w:val="18"/>
              </w:rPr>
            </w:pPr>
          </w:p>
        </w:tc>
        <w:tc>
          <w:tcPr>
            <w:tcW w:w="1451" w:type="dxa"/>
            <w:tcBorders>
              <w:top w:val="single" w:sz="8" w:space="0" w:color="000000"/>
              <w:bottom w:val="single" w:sz="8" w:space="0" w:color="000000"/>
            </w:tcBorders>
          </w:tcPr>
          <w:p w14:paraId="75ABD64B" w14:textId="77777777" w:rsidR="00FA4AA8" w:rsidRDefault="0015611F">
            <w:pPr>
              <w:pStyle w:val="TableParagraph"/>
              <w:spacing w:before="115" w:line="183" w:lineRule="exact"/>
              <w:ind w:right="237"/>
              <w:jc w:val="right"/>
              <w:rPr>
                <w:b/>
                <w:sz w:val="18"/>
              </w:rPr>
            </w:pPr>
            <w:r>
              <w:rPr>
                <w:b/>
                <w:sz w:val="18"/>
              </w:rPr>
              <w:t>75,759</w:t>
            </w:r>
          </w:p>
        </w:tc>
        <w:tc>
          <w:tcPr>
            <w:tcW w:w="1217" w:type="dxa"/>
            <w:tcBorders>
              <w:top w:val="single" w:sz="8" w:space="0" w:color="000000"/>
              <w:bottom w:val="single" w:sz="8" w:space="0" w:color="000000"/>
            </w:tcBorders>
          </w:tcPr>
          <w:p w14:paraId="5C48FC7F" w14:textId="77777777" w:rsidR="00FA4AA8" w:rsidRDefault="0015611F">
            <w:pPr>
              <w:pStyle w:val="TableParagraph"/>
              <w:spacing w:before="115" w:line="183" w:lineRule="exact"/>
              <w:ind w:left="238"/>
              <w:rPr>
                <w:sz w:val="18"/>
              </w:rPr>
            </w:pPr>
            <w:r>
              <w:rPr>
                <w:sz w:val="18"/>
              </w:rPr>
              <w:t>198,901</w:t>
            </w:r>
          </w:p>
        </w:tc>
        <w:tc>
          <w:tcPr>
            <w:tcW w:w="1217" w:type="dxa"/>
            <w:tcBorders>
              <w:top w:val="single" w:sz="8" w:space="0" w:color="000000"/>
              <w:bottom w:val="single" w:sz="8" w:space="0" w:color="000000"/>
            </w:tcBorders>
          </w:tcPr>
          <w:p w14:paraId="770B7AB6" w14:textId="77777777" w:rsidR="00FA4AA8" w:rsidRDefault="0015611F">
            <w:pPr>
              <w:pStyle w:val="TableParagraph"/>
              <w:spacing w:before="115" w:line="183" w:lineRule="exact"/>
              <w:ind w:right="238"/>
              <w:jc w:val="right"/>
              <w:rPr>
                <w:b/>
                <w:sz w:val="18"/>
              </w:rPr>
            </w:pPr>
            <w:r>
              <w:rPr>
                <w:b/>
                <w:sz w:val="18"/>
              </w:rPr>
              <w:t>75,759</w:t>
            </w:r>
          </w:p>
        </w:tc>
        <w:tc>
          <w:tcPr>
            <w:tcW w:w="983" w:type="dxa"/>
            <w:tcBorders>
              <w:top w:val="single" w:sz="8" w:space="0" w:color="000000"/>
              <w:bottom w:val="single" w:sz="8" w:space="0" w:color="000000"/>
            </w:tcBorders>
          </w:tcPr>
          <w:p w14:paraId="0E6F8B83" w14:textId="77777777" w:rsidR="00FA4AA8" w:rsidRDefault="0015611F">
            <w:pPr>
              <w:pStyle w:val="TableParagraph"/>
              <w:spacing w:before="115" w:line="183" w:lineRule="exact"/>
              <w:ind w:left="237"/>
              <w:rPr>
                <w:sz w:val="18"/>
              </w:rPr>
            </w:pPr>
            <w:r>
              <w:rPr>
                <w:sz w:val="18"/>
              </w:rPr>
              <w:t>198,901</w:t>
            </w:r>
          </w:p>
        </w:tc>
      </w:tr>
      <w:tr w:rsidR="00FA4AA8" w14:paraId="47334091" w14:textId="77777777">
        <w:trPr>
          <w:trHeight w:val="318"/>
        </w:trPr>
        <w:tc>
          <w:tcPr>
            <w:tcW w:w="4215" w:type="dxa"/>
          </w:tcPr>
          <w:p w14:paraId="250CF3F5" w14:textId="77777777" w:rsidR="00FA4AA8" w:rsidRDefault="0015611F">
            <w:pPr>
              <w:pStyle w:val="TableParagraph"/>
              <w:spacing w:before="115" w:line="183" w:lineRule="exact"/>
              <w:ind w:left="50"/>
              <w:rPr>
                <w:b/>
                <w:sz w:val="18"/>
              </w:rPr>
            </w:pPr>
            <w:r>
              <w:rPr>
                <w:b/>
                <w:sz w:val="18"/>
              </w:rPr>
              <w:t>Total other comprehensive income</w:t>
            </w:r>
          </w:p>
        </w:tc>
        <w:tc>
          <w:tcPr>
            <w:tcW w:w="849" w:type="dxa"/>
          </w:tcPr>
          <w:p w14:paraId="7CF7B286" w14:textId="77777777" w:rsidR="00FA4AA8" w:rsidRDefault="00FA4AA8">
            <w:pPr>
              <w:pStyle w:val="TableParagraph"/>
              <w:rPr>
                <w:rFonts w:ascii="Times New Roman"/>
                <w:sz w:val="18"/>
              </w:rPr>
            </w:pPr>
          </w:p>
        </w:tc>
        <w:tc>
          <w:tcPr>
            <w:tcW w:w="1451" w:type="dxa"/>
            <w:tcBorders>
              <w:top w:val="single" w:sz="8" w:space="0" w:color="000000"/>
              <w:bottom w:val="single" w:sz="8" w:space="0" w:color="000000"/>
            </w:tcBorders>
          </w:tcPr>
          <w:p w14:paraId="4588CB8B" w14:textId="77777777" w:rsidR="00FA4AA8" w:rsidRDefault="0015611F">
            <w:pPr>
              <w:pStyle w:val="TableParagraph"/>
              <w:spacing w:before="115" w:line="183" w:lineRule="exact"/>
              <w:ind w:right="237"/>
              <w:jc w:val="right"/>
              <w:rPr>
                <w:b/>
                <w:sz w:val="18"/>
              </w:rPr>
            </w:pPr>
            <w:r>
              <w:rPr>
                <w:b/>
                <w:sz w:val="18"/>
              </w:rPr>
              <w:t>75,759</w:t>
            </w:r>
          </w:p>
        </w:tc>
        <w:tc>
          <w:tcPr>
            <w:tcW w:w="1217" w:type="dxa"/>
            <w:tcBorders>
              <w:top w:val="single" w:sz="8" w:space="0" w:color="000000"/>
              <w:bottom w:val="single" w:sz="8" w:space="0" w:color="000000"/>
            </w:tcBorders>
          </w:tcPr>
          <w:p w14:paraId="2BF57FEB" w14:textId="77777777" w:rsidR="00FA4AA8" w:rsidRDefault="0015611F">
            <w:pPr>
              <w:pStyle w:val="TableParagraph"/>
              <w:spacing w:before="115" w:line="183" w:lineRule="exact"/>
              <w:ind w:left="238"/>
              <w:rPr>
                <w:sz w:val="18"/>
              </w:rPr>
            </w:pPr>
            <w:r>
              <w:rPr>
                <w:sz w:val="18"/>
              </w:rPr>
              <w:t>201,634</w:t>
            </w:r>
          </w:p>
        </w:tc>
        <w:tc>
          <w:tcPr>
            <w:tcW w:w="1217" w:type="dxa"/>
            <w:tcBorders>
              <w:top w:val="single" w:sz="8" w:space="0" w:color="000000"/>
              <w:bottom w:val="single" w:sz="8" w:space="0" w:color="000000"/>
            </w:tcBorders>
          </w:tcPr>
          <w:p w14:paraId="04392DD8" w14:textId="77777777" w:rsidR="00FA4AA8" w:rsidRDefault="0015611F">
            <w:pPr>
              <w:pStyle w:val="TableParagraph"/>
              <w:spacing w:before="115" w:line="183" w:lineRule="exact"/>
              <w:ind w:right="238"/>
              <w:jc w:val="right"/>
              <w:rPr>
                <w:b/>
                <w:sz w:val="18"/>
              </w:rPr>
            </w:pPr>
            <w:r>
              <w:rPr>
                <w:b/>
                <w:sz w:val="18"/>
              </w:rPr>
              <w:t>75,759</w:t>
            </w:r>
          </w:p>
        </w:tc>
        <w:tc>
          <w:tcPr>
            <w:tcW w:w="983" w:type="dxa"/>
            <w:tcBorders>
              <w:top w:val="single" w:sz="8" w:space="0" w:color="000000"/>
              <w:bottom w:val="single" w:sz="8" w:space="0" w:color="000000"/>
            </w:tcBorders>
          </w:tcPr>
          <w:p w14:paraId="20A07849" w14:textId="77777777" w:rsidR="00FA4AA8" w:rsidRDefault="0015611F">
            <w:pPr>
              <w:pStyle w:val="TableParagraph"/>
              <w:spacing w:before="115" w:line="183" w:lineRule="exact"/>
              <w:ind w:left="237"/>
              <w:rPr>
                <w:sz w:val="18"/>
              </w:rPr>
            </w:pPr>
            <w:r>
              <w:rPr>
                <w:sz w:val="18"/>
              </w:rPr>
              <w:t>201,634</w:t>
            </w:r>
          </w:p>
        </w:tc>
      </w:tr>
      <w:tr w:rsidR="00FA4AA8" w14:paraId="39E3FEA2" w14:textId="77777777">
        <w:trPr>
          <w:trHeight w:val="320"/>
        </w:trPr>
        <w:tc>
          <w:tcPr>
            <w:tcW w:w="4215" w:type="dxa"/>
          </w:tcPr>
          <w:p w14:paraId="1440CF6C" w14:textId="77777777" w:rsidR="00FA4AA8" w:rsidRDefault="0015611F">
            <w:pPr>
              <w:pStyle w:val="TableParagraph"/>
              <w:spacing w:before="115" w:line="185" w:lineRule="exact"/>
              <w:ind w:left="50"/>
              <w:rPr>
                <w:b/>
                <w:sz w:val="18"/>
              </w:rPr>
            </w:pPr>
            <w:r>
              <w:rPr>
                <w:b/>
                <w:sz w:val="18"/>
              </w:rPr>
              <w:t>Comprehensive result</w:t>
            </w:r>
          </w:p>
        </w:tc>
        <w:tc>
          <w:tcPr>
            <w:tcW w:w="849" w:type="dxa"/>
          </w:tcPr>
          <w:p w14:paraId="1562266C" w14:textId="77777777" w:rsidR="00FA4AA8" w:rsidRDefault="00FA4AA8">
            <w:pPr>
              <w:pStyle w:val="TableParagraph"/>
              <w:rPr>
                <w:rFonts w:ascii="Times New Roman"/>
                <w:sz w:val="18"/>
              </w:rPr>
            </w:pPr>
          </w:p>
        </w:tc>
        <w:tc>
          <w:tcPr>
            <w:tcW w:w="1451" w:type="dxa"/>
            <w:tcBorders>
              <w:top w:val="single" w:sz="8" w:space="0" w:color="000000"/>
              <w:bottom w:val="double" w:sz="2" w:space="0" w:color="000000"/>
            </w:tcBorders>
          </w:tcPr>
          <w:p w14:paraId="7168BBF2" w14:textId="77777777" w:rsidR="00FA4AA8" w:rsidRDefault="0015611F">
            <w:pPr>
              <w:pStyle w:val="TableParagraph"/>
              <w:spacing w:before="115" w:line="185" w:lineRule="exact"/>
              <w:ind w:left="556"/>
              <w:rPr>
                <w:b/>
                <w:sz w:val="18"/>
              </w:rPr>
            </w:pPr>
            <w:r>
              <w:rPr>
                <w:b/>
                <w:sz w:val="18"/>
              </w:rPr>
              <w:t>163,470</w:t>
            </w:r>
          </w:p>
        </w:tc>
        <w:tc>
          <w:tcPr>
            <w:tcW w:w="1217" w:type="dxa"/>
            <w:tcBorders>
              <w:top w:val="single" w:sz="8" w:space="0" w:color="000000"/>
              <w:bottom w:val="double" w:sz="2" w:space="0" w:color="000000"/>
            </w:tcBorders>
          </w:tcPr>
          <w:p w14:paraId="59FF3464" w14:textId="77777777" w:rsidR="00FA4AA8" w:rsidRDefault="0015611F">
            <w:pPr>
              <w:pStyle w:val="TableParagraph"/>
              <w:spacing w:before="115" w:line="185" w:lineRule="exact"/>
              <w:ind w:left="238"/>
              <w:rPr>
                <w:sz w:val="18"/>
              </w:rPr>
            </w:pPr>
            <w:r>
              <w:rPr>
                <w:sz w:val="18"/>
              </w:rPr>
              <w:t>253,698</w:t>
            </w:r>
          </w:p>
        </w:tc>
        <w:tc>
          <w:tcPr>
            <w:tcW w:w="1217" w:type="dxa"/>
            <w:tcBorders>
              <w:top w:val="single" w:sz="8" w:space="0" w:color="000000"/>
              <w:bottom w:val="double" w:sz="2" w:space="0" w:color="000000"/>
            </w:tcBorders>
          </w:tcPr>
          <w:p w14:paraId="2E89B560" w14:textId="77777777" w:rsidR="00FA4AA8" w:rsidRDefault="0015611F">
            <w:pPr>
              <w:pStyle w:val="TableParagraph"/>
              <w:spacing w:before="115" w:line="185" w:lineRule="exact"/>
              <w:ind w:left="321"/>
              <w:rPr>
                <w:b/>
                <w:sz w:val="18"/>
              </w:rPr>
            </w:pPr>
            <w:r>
              <w:rPr>
                <w:b/>
                <w:sz w:val="18"/>
              </w:rPr>
              <w:t>162,530</w:t>
            </w:r>
          </w:p>
        </w:tc>
        <w:tc>
          <w:tcPr>
            <w:tcW w:w="983" w:type="dxa"/>
            <w:tcBorders>
              <w:top w:val="single" w:sz="8" w:space="0" w:color="000000"/>
              <w:bottom w:val="double" w:sz="2" w:space="0" w:color="000000"/>
            </w:tcBorders>
          </w:tcPr>
          <w:p w14:paraId="73FFDD91" w14:textId="77777777" w:rsidR="00FA4AA8" w:rsidRDefault="0015611F">
            <w:pPr>
              <w:pStyle w:val="TableParagraph"/>
              <w:spacing w:before="115" w:line="185" w:lineRule="exact"/>
              <w:ind w:left="237"/>
              <w:rPr>
                <w:sz w:val="18"/>
              </w:rPr>
            </w:pPr>
            <w:r>
              <w:rPr>
                <w:sz w:val="18"/>
              </w:rPr>
              <w:t>250,096</w:t>
            </w:r>
          </w:p>
        </w:tc>
      </w:tr>
      <w:tr w:rsidR="00FA4AA8" w14:paraId="65226566" w14:textId="77777777">
        <w:trPr>
          <w:trHeight w:val="341"/>
        </w:trPr>
        <w:tc>
          <w:tcPr>
            <w:tcW w:w="4215" w:type="dxa"/>
          </w:tcPr>
          <w:p w14:paraId="7AAC6989" w14:textId="77777777" w:rsidR="00FA4AA8" w:rsidRDefault="0015611F">
            <w:pPr>
              <w:pStyle w:val="TableParagraph"/>
              <w:spacing w:before="117" w:line="204" w:lineRule="exact"/>
              <w:ind w:left="50"/>
              <w:rPr>
                <w:b/>
                <w:sz w:val="18"/>
              </w:rPr>
            </w:pPr>
            <w:r>
              <w:rPr>
                <w:b/>
                <w:sz w:val="18"/>
              </w:rPr>
              <w:t>Total comprehensive income attributable to:</w:t>
            </w:r>
          </w:p>
        </w:tc>
        <w:tc>
          <w:tcPr>
            <w:tcW w:w="849" w:type="dxa"/>
          </w:tcPr>
          <w:p w14:paraId="4359A10F" w14:textId="77777777" w:rsidR="00FA4AA8" w:rsidRDefault="00FA4AA8">
            <w:pPr>
              <w:pStyle w:val="TableParagraph"/>
              <w:rPr>
                <w:rFonts w:ascii="Times New Roman"/>
                <w:sz w:val="18"/>
              </w:rPr>
            </w:pPr>
          </w:p>
        </w:tc>
        <w:tc>
          <w:tcPr>
            <w:tcW w:w="1451" w:type="dxa"/>
            <w:tcBorders>
              <w:top w:val="double" w:sz="2" w:space="0" w:color="000000"/>
            </w:tcBorders>
          </w:tcPr>
          <w:p w14:paraId="608492B1" w14:textId="77777777" w:rsidR="00FA4AA8" w:rsidRDefault="00FA4AA8">
            <w:pPr>
              <w:pStyle w:val="TableParagraph"/>
              <w:rPr>
                <w:rFonts w:ascii="Times New Roman"/>
                <w:sz w:val="18"/>
              </w:rPr>
            </w:pPr>
          </w:p>
        </w:tc>
        <w:tc>
          <w:tcPr>
            <w:tcW w:w="1217" w:type="dxa"/>
            <w:tcBorders>
              <w:top w:val="double" w:sz="2" w:space="0" w:color="000000"/>
            </w:tcBorders>
          </w:tcPr>
          <w:p w14:paraId="58FC6CC3" w14:textId="77777777" w:rsidR="00FA4AA8" w:rsidRDefault="00FA4AA8">
            <w:pPr>
              <w:pStyle w:val="TableParagraph"/>
              <w:rPr>
                <w:rFonts w:ascii="Times New Roman"/>
                <w:sz w:val="18"/>
              </w:rPr>
            </w:pPr>
          </w:p>
        </w:tc>
        <w:tc>
          <w:tcPr>
            <w:tcW w:w="1217" w:type="dxa"/>
            <w:tcBorders>
              <w:top w:val="double" w:sz="2" w:space="0" w:color="000000"/>
            </w:tcBorders>
          </w:tcPr>
          <w:p w14:paraId="66E55439" w14:textId="77777777" w:rsidR="00FA4AA8" w:rsidRDefault="00FA4AA8">
            <w:pPr>
              <w:pStyle w:val="TableParagraph"/>
              <w:rPr>
                <w:rFonts w:ascii="Times New Roman"/>
                <w:sz w:val="18"/>
              </w:rPr>
            </w:pPr>
          </w:p>
        </w:tc>
        <w:tc>
          <w:tcPr>
            <w:tcW w:w="983" w:type="dxa"/>
            <w:tcBorders>
              <w:top w:val="double" w:sz="2" w:space="0" w:color="000000"/>
            </w:tcBorders>
          </w:tcPr>
          <w:p w14:paraId="06DCF151" w14:textId="77777777" w:rsidR="00FA4AA8" w:rsidRDefault="00FA4AA8">
            <w:pPr>
              <w:pStyle w:val="TableParagraph"/>
              <w:rPr>
                <w:rFonts w:ascii="Times New Roman"/>
                <w:sz w:val="18"/>
              </w:rPr>
            </w:pPr>
          </w:p>
        </w:tc>
      </w:tr>
      <w:tr w:rsidR="00FA4AA8" w14:paraId="18F10230" w14:textId="77777777">
        <w:trPr>
          <w:trHeight w:val="245"/>
        </w:trPr>
        <w:tc>
          <w:tcPr>
            <w:tcW w:w="4215" w:type="dxa"/>
          </w:tcPr>
          <w:p w14:paraId="7398E400" w14:textId="77777777" w:rsidR="00FA4AA8" w:rsidRDefault="0015611F">
            <w:pPr>
              <w:pStyle w:val="TableParagraph"/>
              <w:spacing w:before="13"/>
              <w:ind w:left="50"/>
              <w:rPr>
                <w:b/>
                <w:sz w:val="18"/>
              </w:rPr>
            </w:pPr>
            <w:r>
              <w:rPr>
                <w:b/>
                <w:sz w:val="18"/>
              </w:rPr>
              <w:t>Members of the University</w:t>
            </w:r>
          </w:p>
        </w:tc>
        <w:tc>
          <w:tcPr>
            <w:tcW w:w="849" w:type="dxa"/>
          </w:tcPr>
          <w:p w14:paraId="4B6FCE0F" w14:textId="77777777" w:rsidR="00FA4AA8" w:rsidRDefault="00FA4AA8">
            <w:pPr>
              <w:pStyle w:val="TableParagraph"/>
              <w:rPr>
                <w:rFonts w:ascii="Times New Roman"/>
                <w:sz w:val="16"/>
              </w:rPr>
            </w:pPr>
          </w:p>
        </w:tc>
        <w:tc>
          <w:tcPr>
            <w:tcW w:w="1451" w:type="dxa"/>
            <w:tcBorders>
              <w:bottom w:val="double" w:sz="2" w:space="0" w:color="000000"/>
            </w:tcBorders>
          </w:tcPr>
          <w:p w14:paraId="1B40EB3F" w14:textId="77777777" w:rsidR="00FA4AA8" w:rsidRDefault="0015611F">
            <w:pPr>
              <w:pStyle w:val="TableParagraph"/>
              <w:spacing w:before="11"/>
              <w:ind w:left="556"/>
              <w:rPr>
                <w:b/>
                <w:sz w:val="18"/>
              </w:rPr>
            </w:pPr>
            <w:r>
              <w:rPr>
                <w:b/>
                <w:sz w:val="18"/>
              </w:rPr>
              <w:t>163,470</w:t>
            </w:r>
          </w:p>
        </w:tc>
        <w:tc>
          <w:tcPr>
            <w:tcW w:w="1217" w:type="dxa"/>
            <w:tcBorders>
              <w:bottom w:val="double" w:sz="2" w:space="0" w:color="000000"/>
            </w:tcBorders>
          </w:tcPr>
          <w:p w14:paraId="248D828A" w14:textId="77777777" w:rsidR="00FA4AA8" w:rsidRDefault="0015611F">
            <w:pPr>
              <w:pStyle w:val="TableParagraph"/>
              <w:spacing w:before="11"/>
              <w:ind w:left="238"/>
              <w:rPr>
                <w:sz w:val="18"/>
              </w:rPr>
            </w:pPr>
            <w:r>
              <w:rPr>
                <w:sz w:val="18"/>
              </w:rPr>
              <w:t>253,698</w:t>
            </w:r>
          </w:p>
        </w:tc>
        <w:tc>
          <w:tcPr>
            <w:tcW w:w="1217" w:type="dxa"/>
            <w:tcBorders>
              <w:bottom w:val="double" w:sz="2" w:space="0" w:color="000000"/>
            </w:tcBorders>
          </w:tcPr>
          <w:p w14:paraId="63D5B9E1" w14:textId="77777777" w:rsidR="00FA4AA8" w:rsidRDefault="0015611F">
            <w:pPr>
              <w:pStyle w:val="TableParagraph"/>
              <w:spacing w:before="13"/>
              <w:ind w:left="321"/>
              <w:rPr>
                <w:b/>
                <w:sz w:val="18"/>
              </w:rPr>
            </w:pPr>
            <w:r>
              <w:rPr>
                <w:b/>
                <w:sz w:val="18"/>
              </w:rPr>
              <w:t>162,530</w:t>
            </w:r>
          </w:p>
        </w:tc>
        <w:tc>
          <w:tcPr>
            <w:tcW w:w="983" w:type="dxa"/>
            <w:tcBorders>
              <w:bottom w:val="double" w:sz="2" w:space="0" w:color="000000"/>
            </w:tcBorders>
          </w:tcPr>
          <w:p w14:paraId="1948CD19" w14:textId="77777777" w:rsidR="00FA4AA8" w:rsidRDefault="0015611F">
            <w:pPr>
              <w:pStyle w:val="TableParagraph"/>
              <w:spacing w:before="13"/>
              <w:ind w:left="237"/>
              <w:rPr>
                <w:sz w:val="18"/>
              </w:rPr>
            </w:pPr>
            <w:r>
              <w:rPr>
                <w:sz w:val="18"/>
              </w:rPr>
              <w:t>250,096</w:t>
            </w:r>
          </w:p>
        </w:tc>
      </w:tr>
    </w:tbl>
    <w:p w14:paraId="70EDB790" w14:textId="77777777" w:rsidR="00FA4AA8" w:rsidRDefault="00FA4AA8">
      <w:pPr>
        <w:pStyle w:val="BodyText"/>
        <w:rPr>
          <w:b/>
          <w:sz w:val="20"/>
        </w:rPr>
      </w:pPr>
    </w:p>
    <w:p w14:paraId="6AA7FE21" w14:textId="77777777" w:rsidR="00FA4AA8" w:rsidRDefault="00FA4AA8">
      <w:pPr>
        <w:pStyle w:val="BodyText"/>
        <w:rPr>
          <w:b/>
          <w:sz w:val="20"/>
        </w:rPr>
      </w:pPr>
    </w:p>
    <w:p w14:paraId="49CD2AB4" w14:textId="77777777" w:rsidR="00FA4AA8" w:rsidRDefault="00FA4AA8">
      <w:pPr>
        <w:pStyle w:val="BodyText"/>
        <w:rPr>
          <w:b/>
          <w:sz w:val="20"/>
        </w:rPr>
      </w:pPr>
    </w:p>
    <w:p w14:paraId="5EEC18C0" w14:textId="77777777" w:rsidR="00FA4AA8" w:rsidRDefault="00FA4AA8">
      <w:pPr>
        <w:pStyle w:val="BodyText"/>
        <w:rPr>
          <w:b/>
          <w:sz w:val="20"/>
        </w:rPr>
      </w:pPr>
    </w:p>
    <w:p w14:paraId="227E6407" w14:textId="77777777" w:rsidR="00FA4AA8" w:rsidRDefault="00FA4AA8">
      <w:pPr>
        <w:pStyle w:val="BodyText"/>
        <w:rPr>
          <w:b/>
          <w:sz w:val="20"/>
        </w:rPr>
      </w:pPr>
    </w:p>
    <w:p w14:paraId="65D0380F" w14:textId="77777777" w:rsidR="00FA4AA8" w:rsidRDefault="00FA4AA8">
      <w:pPr>
        <w:pStyle w:val="BodyText"/>
        <w:rPr>
          <w:b/>
          <w:sz w:val="20"/>
        </w:rPr>
      </w:pPr>
    </w:p>
    <w:p w14:paraId="00037749" w14:textId="77777777" w:rsidR="00FA4AA8" w:rsidRDefault="00FA4AA8">
      <w:pPr>
        <w:pStyle w:val="BodyText"/>
        <w:rPr>
          <w:b/>
          <w:sz w:val="20"/>
        </w:rPr>
      </w:pPr>
    </w:p>
    <w:p w14:paraId="2003EB36" w14:textId="77777777" w:rsidR="00FA4AA8" w:rsidRDefault="00FA4AA8">
      <w:pPr>
        <w:pStyle w:val="BodyText"/>
        <w:rPr>
          <w:b/>
          <w:sz w:val="20"/>
        </w:rPr>
      </w:pPr>
    </w:p>
    <w:p w14:paraId="5163393B" w14:textId="77777777" w:rsidR="00FA4AA8" w:rsidRDefault="00FA4AA8">
      <w:pPr>
        <w:pStyle w:val="BodyText"/>
        <w:rPr>
          <w:b/>
          <w:sz w:val="20"/>
        </w:rPr>
      </w:pPr>
    </w:p>
    <w:p w14:paraId="66976017" w14:textId="77777777" w:rsidR="00FA4AA8" w:rsidRDefault="00FA4AA8">
      <w:pPr>
        <w:pStyle w:val="BodyText"/>
        <w:rPr>
          <w:b/>
          <w:sz w:val="20"/>
        </w:rPr>
      </w:pPr>
    </w:p>
    <w:p w14:paraId="584E37CF" w14:textId="77777777" w:rsidR="00FA4AA8" w:rsidRDefault="00FA4AA8">
      <w:pPr>
        <w:pStyle w:val="BodyText"/>
        <w:rPr>
          <w:b/>
          <w:sz w:val="20"/>
        </w:rPr>
      </w:pPr>
    </w:p>
    <w:p w14:paraId="4BBFD7CA" w14:textId="77777777" w:rsidR="00FA4AA8" w:rsidRDefault="00FA4AA8">
      <w:pPr>
        <w:pStyle w:val="BodyText"/>
        <w:rPr>
          <w:b/>
          <w:sz w:val="20"/>
        </w:rPr>
      </w:pPr>
    </w:p>
    <w:p w14:paraId="19C64730" w14:textId="77777777" w:rsidR="00FA4AA8" w:rsidRDefault="00FA4AA8">
      <w:pPr>
        <w:pStyle w:val="BodyText"/>
        <w:rPr>
          <w:b/>
          <w:sz w:val="20"/>
        </w:rPr>
      </w:pPr>
    </w:p>
    <w:p w14:paraId="66A5B801" w14:textId="77777777" w:rsidR="00FA4AA8" w:rsidRDefault="00FA4AA8">
      <w:pPr>
        <w:pStyle w:val="BodyText"/>
        <w:rPr>
          <w:b/>
          <w:sz w:val="20"/>
        </w:rPr>
      </w:pPr>
    </w:p>
    <w:p w14:paraId="7E90E7B5" w14:textId="77777777" w:rsidR="00FA4AA8" w:rsidRDefault="00FA4AA8">
      <w:pPr>
        <w:pStyle w:val="BodyText"/>
        <w:rPr>
          <w:b/>
          <w:sz w:val="20"/>
        </w:rPr>
      </w:pPr>
    </w:p>
    <w:p w14:paraId="181619CB" w14:textId="77777777" w:rsidR="00FA4AA8" w:rsidRDefault="00FA4AA8">
      <w:pPr>
        <w:pStyle w:val="BodyText"/>
        <w:rPr>
          <w:b/>
          <w:sz w:val="20"/>
        </w:rPr>
      </w:pPr>
    </w:p>
    <w:p w14:paraId="22E85125" w14:textId="77777777" w:rsidR="00FA4AA8" w:rsidRDefault="00FA4AA8">
      <w:pPr>
        <w:pStyle w:val="BodyText"/>
        <w:rPr>
          <w:b/>
          <w:sz w:val="20"/>
        </w:rPr>
      </w:pPr>
    </w:p>
    <w:p w14:paraId="457DCE76" w14:textId="77777777" w:rsidR="00FA4AA8" w:rsidRDefault="00FA4AA8">
      <w:pPr>
        <w:pStyle w:val="BodyText"/>
        <w:rPr>
          <w:b/>
          <w:sz w:val="20"/>
        </w:rPr>
      </w:pPr>
    </w:p>
    <w:p w14:paraId="06664C6D" w14:textId="77777777" w:rsidR="00FA4AA8" w:rsidRDefault="00FA4AA8">
      <w:pPr>
        <w:pStyle w:val="BodyText"/>
        <w:rPr>
          <w:b/>
          <w:sz w:val="20"/>
        </w:rPr>
      </w:pPr>
    </w:p>
    <w:p w14:paraId="1D8EB6FC" w14:textId="77777777" w:rsidR="00FA4AA8" w:rsidRDefault="00FA4AA8">
      <w:pPr>
        <w:pStyle w:val="BodyText"/>
        <w:rPr>
          <w:b/>
          <w:sz w:val="20"/>
        </w:rPr>
      </w:pPr>
    </w:p>
    <w:p w14:paraId="070E9CAB" w14:textId="77777777" w:rsidR="00FA4AA8" w:rsidRDefault="00FA4AA8">
      <w:pPr>
        <w:pStyle w:val="BodyText"/>
        <w:rPr>
          <w:b/>
          <w:sz w:val="20"/>
        </w:rPr>
      </w:pPr>
    </w:p>
    <w:p w14:paraId="569D0BA9" w14:textId="77777777" w:rsidR="00FA4AA8" w:rsidRDefault="00FA4AA8">
      <w:pPr>
        <w:pStyle w:val="BodyText"/>
        <w:rPr>
          <w:b/>
          <w:sz w:val="20"/>
        </w:rPr>
      </w:pPr>
    </w:p>
    <w:p w14:paraId="61D52D6E" w14:textId="77777777" w:rsidR="00FA4AA8" w:rsidRDefault="00FA4AA8">
      <w:pPr>
        <w:pStyle w:val="BodyText"/>
        <w:rPr>
          <w:b/>
          <w:sz w:val="20"/>
        </w:rPr>
      </w:pPr>
    </w:p>
    <w:p w14:paraId="4A3CC966" w14:textId="77777777" w:rsidR="00FA4AA8" w:rsidRDefault="00FA4AA8">
      <w:pPr>
        <w:pStyle w:val="BodyText"/>
        <w:rPr>
          <w:b/>
          <w:sz w:val="20"/>
        </w:rPr>
      </w:pPr>
    </w:p>
    <w:p w14:paraId="1907323D" w14:textId="77777777" w:rsidR="00FA4AA8" w:rsidRDefault="00FA4AA8">
      <w:pPr>
        <w:pStyle w:val="BodyText"/>
        <w:spacing w:before="3"/>
        <w:rPr>
          <w:b/>
          <w:sz w:val="23"/>
        </w:rPr>
      </w:pPr>
    </w:p>
    <w:p w14:paraId="441EFC04" w14:textId="77777777" w:rsidR="00FA4AA8" w:rsidRDefault="0015611F">
      <w:pPr>
        <w:pStyle w:val="BodyText"/>
        <w:ind w:left="194" w:right="165"/>
        <w:jc w:val="center"/>
      </w:pPr>
      <w:r>
        <w:t>The accompanying notes form part of these financial statements.</w:t>
      </w:r>
    </w:p>
    <w:p w14:paraId="73B70595" w14:textId="77777777" w:rsidR="00FA4AA8" w:rsidRDefault="00FA4AA8">
      <w:pPr>
        <w:jc w:val="center"/>
        <w:sectPr w:rsidR="00FA4AA8">
          <w:headerReference w:type="default" r:id="rId29"/>
          <w:footerReference w:type="default" r:id="rId30"/>
          <w:pgSz w:w="11910" w:h="16840"/>
          <w:pgMar w:top="1260" w:right="840" w:bottom="720" w:left="840" w:header="1016" w:footer="523" w:gutter="0"/>
          <w:pgNumType w:start="8"/>
          <w:cols w:space="720"/>
        </w:sectPr>
      </w:pPr>
    </w:p>
    <w:p w14:paraId="4F5E270E" w14:textId="77777777" w:rsidR="00FA4AA8" w:rsidRDefault="00FA4AA8">
      <w:pPr>
        <w:pStyle w:val="BodyText"/>
        <w:spacing w:before="5"/>
        <w:rPr>
          <w:sz w:val="21"/>
        </w:rPr>
      </w:pPr>
    </w:p>
    <w:p w14:paraId="6A0D1CB9" w14:textId="77777777" w:rsidR="00FA4AA8" w:rsidRDefault="0015611F">
      <w:pPr>
        <w:pStyle w:val="Heading2"/>
        <w:spacing w:before="92"/>
      </w:pPr>
      <w:r>
        <w:t>Statement of Financial Position</w:t>
      </w:r>
    </w:p>
    <w:p w14:paraId="1413E0D7" w14:textId="77777777" w:rsidR="00FA4AA8" w:rsidRDefault="0015611F">
      <w:pPr>
        <w:pStyle w:val="Heading6"/>
        <w:spacing w:before="53"/>
        <w:ind w:left="167"/>
      </w:pPr>
      <w:r>
        <w:t>As At 31 December 2018</w:t>
      </w:r>
    </w:p>
    <w:p w14:paraId="59A566B4" w14:textId="77777777" w:rsidR="00FA4AA8" w:rsidRDefault="00FA4AA8">
      <w:pPr>
        <w:pStyle w:val="BodyText"/>
        <w:spacing w:before="9"/>
        <w:rPr>
          <w:b/>
          <w:sz w:val="27"/>
        </w:rPr>
      </w:pPr>
    </w:p>
    <w:p w14:paraId="3961F5FC" w14:textId="77777777" w:rsidR="00FA4AA8" w:rsidRDefault="0015611F">
      <w:pPr>
        <w:tabs>
          <w:tab w:val="left" w:pos="8577"/>
        </w:tabs>
        <w:spacing w:before="94"/>
        <w:ind w:left="5853"/>
        <w:rPr>
          <w:b/>
          <w:sz w:val="18"/>
        </w:rPr>
      </w:pPr>
      <w:r>
        <w:rPr>
          <w:b/>
          <w:sz w:val="18"/>
        </w:rPr>
        <w:t>Consolidated</w:t>
      </w:r>
      <w:r>
        <w:rPr>
          <w:b/>
          <w:sz w:val="18"/>
        </w:rPr>
        <w:tab/>
        <w:t>Parent</w:t>
      </w:r>
    </w:p>
    <w:p w14:paraId="7E26A247" w14:textId="77777777" w:rsidR="00FA4AA8" w:rsidRDefault="00FA4AA8">
      <w:pPr>
        <w:pStyle w:val="BodyText"/>
        <w:spacing w:before="3"/>
        <w:rPr>
          <w:b/>
          <w:sz w:val="6"/>
        </w:rPr>
      </w:pPr>
    </w:p>
    <w:tbl>
      <w:tblPr>
        <w:tblW w:w="0" w:type="auto"/>
        <w:tblInd w:w="168" w:type="dxa"/>
        <w:tblLayout w:type="fixed"/>
        <w:tblCellMar>
          <w:left w:w="0" w:type="dxa"/>
          <w:right w:w="0" w:type="dxa"/>
        </w:tblCellMar>
        <w:tblLook w:val="01E0" w:firstRow="1" w:lastRow="1" w:firstColumn="1" w:lastColumn="1" w:noHBand="0" w:noVBand="0"/>
      </w:tblPr>
      <w:tblGrid>
        <w:gridCol w:w="4030"/>
        <w:gridCol w:w="1016"/>
        <w:gridCol w:w="1373"/>
        <w:gridCol w:w="1216"/>
        <w:gridCol w:w="1216"/>
        <w:gridCol w:w="1059"/>
      </w:tblGrid>
      <w:tr w:rsidR="00FA4AA8" w14:paraId="2EAE723D" w14:textId="77777777">
        <w:trPr>
          <w:trHeight w:val="1162"/>
        </w:trPr>
        <w:tc>
          <w:tcPr>
            <w:tcW w:w="4030" w:type="dxa"/>
          </w:tcPr>
          <w:p w14:paraId="2B2C86EA" w14:textId="77777777" w:rsidR="00FA4AA8" w:rsidRDefault="00FA4AA8">
            <w:pPr>
              <w:pStyle w:val="TableParagraph"/>
              <w:rPr>
                <w:b/>
                <w:sz w:val="20"/>
              </w:rPr>
            </w:pPr>
          </w:p>
          <w:p w14:paraId="66408211" w14:textId="77777777" w:rsidR="00FA4AA8" w:rsidRDefault="00FA4AA8">
            <w:pPr>
              <w:pStyle w:val="TableParagraph"/>
              <w:spacing w:before="1"/>
              <w:rPr>
                <w:b/>
                <w:sz w:val="24"/>
              </w:rPr>
            </w:pPr>
          </w:p>
          <w:p w14:paraId="53CAB5D1" w14:textId="77777777" w:rsidR="00FA4AA8" w:rsidRDefault="0015611F">
            <w:pPr>
              <w:pStyle w:val="TableParagraph"/>
              <w:spacing w:line="320" w:lineRule="atLeast"/>
              <w:ind w:left="50" w:right="2714"/>
              <w:rPr>
                <w:b/>
                <w:sz w:val="18"/>
              </w:rPr>
            </w:pPr>
            <w:r>
              <w:rPr>
                <w:b/>
                <w:sz w:val="18"/>
              </w:rPr>
              <w:t>Assets Current</w:t>
            </w:r>
            <w:r>
              <w:rPr>
                <w:b/>
                <w:spacing w:val="2"/>
                <w:sz w:val="18"/>
              </w:rPr>
              <w:t xml:space="preserve"> </w:t>
            </w:r>
            <w:r>
              <w:rPr>
                <w:b/>
                <w:spacing w:val="-3"/>
                <w:sz w:val="18"/>
              </w:rPr>
              <w:t>assets</w:t>
            </w:r>
          </w:p>
        </w:tc>
        <w:tc>
          <w:tcPr>
            <w:tcW w:w="1016" w:type="dxa"/>
          </w:tcPr>
          <w:p w14:paraId="22AE057E" w14:textId="77777777" w:rsidR="00FA4AA8" w:rsidRDefault="00FA4AA8">
            <w:pPr>
              <w:pStyle w:val="TableParagraph"/>
              <w:spacing w:before="3"/>
              <w:rPr>
                <w:b/>
                <w:sz w:val="23"/>
              </w:rPr>
            </w:pPr>
          </w:p>
          <w:p w14:paraId="09158233" w14:textId="77777777" w:rsidR="00FA4AA8" w:rsidRDefault="0015611F">
            <w:pPr>
              <w:pStyle w:val="TableParagraph"/>
              <w:ind w:left="511" w:right="64"/>
              <w:jc w:val="center"/>
              <w:rPr>
                <w:b/>
                <w:sz w:val="18"/>
              </w:rPr>
            </w:pPr>
            <w:r>
              <w:rPr>
                <w:b/>
                <w:sz w:val="18"/>
              </w:rPr>
              <w:t>Note</w:t>
            </w:r>
          </w:p>
        </w:tc>
        <w:tc>
          <w:tcPr>
            <w:tcW w:w="1373" w:type="dxa"/>
          </w:tcPr>
          <w:p w14:paraId="1930A6B0" w14:textId="77777777" w:rsidR="00FA4AA8" w:rsidRDefault="0015611F">
            <w:pPr>
              <w:pStyle w:val="TableParagraph"/>
              <w:spacing w:line="201" w:lineRule="exact"/>
              <w:ind w:left="519"/>
              <w:rPr>
                <w:b/>
                <w:sz w:val="18"/>
              </w:rPr>
            </w:pPr>
            <w:r>
              <w:rPr>
                <w:b/>
                <w:sz w:val="18"/>
              </w:rPr>
              <w:t>2018</w:t>
            </w:r>
          </w:p>
          <w:p w14:paraId="7A775E57" w14:textId="77777777" w:rsidR="00FA4AA8" w:rsidRDefault="0015611F">
            <w:pPr>
              <w:pStyle w:val="TableParagraph"/>
              <w:spacing w:before="66"/>
              <w:ind w:left="497"/>
              <w:rPr>
                <w:b/>
                <w:sz w:val="18"/>
              </w:rPr>
            </w:pPr>
            <w:r>
              <w:rPr>
                <w:b/>
                <w:sz w:val="18"/>
              </w:rPr>
              <w:t>$'000</w:t>
            </w:r>
          </w:p>
        </w:tc>
        <w:tc>
          <w:tcPr>
            <w:tcW w:w="1216" w:type="dxa"/>
          </w:tcPr>
          <w:p w14:paraId="506B167B" w14:textId="77777777" w:rsidR="00FA4AA8" w:rsidRDefault="0015611F">
            <w:pPr>
              <w:pStyle w:val="TableParagraph"/>
              <w:spacing w:line="201" w:lineRule="exact"/>
              <w:ind w:left="298"/>
              <w:rPr>
                <w:b/>
                <w:sz w:val="18"/>
              </w:rPr>
            </w:pPr>
            <w:r>
              <w:rPr>
                <w:b/>
                <w:sz w:val="18"/>
              </w:rPr>
              <w:t>2017</w:t>
            </w:r>
          </w:p>
          <w:p w14:paraId="374A55A9" w14:textId="77777777" w:rsidR="00FA4AA8" w:rsidRDefault="0015611F">
            <w:pPr>
              <w:pStyle w:val="TableParagraph"/>
              <w:spacing w:before="66"/>
              <w:ind w:left="276"/>
              <w:rPr>
                <w:b/>
                <w:sz w:val="18"/>
              </w:rPr>
            </w:pPr>
            <w:r>
              <w:rPr>
                <w:b/>
                <w:sz w:val="18"/>
              </w:rPr>
              <w:t>$'000</w:t>
            </w:r>
          </w:p>
        </w:tc>
        <w:tc>
          <w:tcPr>
            <w:tcW w:w="1216" w:type="dxa"/>
          </w:tcPr>
          <w:p w14:paraId="39C4FA3A" w14:textId="77777777" w:rsidR="00FA4AA8" w:rsidRDefault="0015611F">
            <w:pPr>
              <w:pStyle w:val="TableParagraph"/>
              <w:spacing w:line="201" w:lineRule="exact"/>
              <w:ind w:left="363"/>
              <w:rPr>
                <w:b/>
                <w:sz w:val="18"/>
              </w:rPr>
            </w:pPr>
            <w:r>
              <w:rPr>
                <w:b/>
                <w:sz w:val="18"/>
              </w:rPr>
              <w:t>2018</w:t>
            </w:r>
          </w:p>
          <w:p w14:paraId="54C067FF" w14:textId="77777777" w:rsidR="00FA4AA8" w:rsidRDefault="0015611F">
            <w:pPr>
              <w:pStyle w:val="TableParagraph"/>
              <w:spacing w:before="66"/>
              <w:ind w:left="342"/>
              <w:rPr>
                <w:b/>
                <w:sz w:val="18"/>
              </w:rPr>
            </w:pPr>
            <w:r>
              <w:rPr>
                <w:b/>
                <w:sz w:val="18"/>
              </w:rPr>
              <w:t>$'000</w:t>
            </w:r>
          </w:p>
        </w:tc>
        <w:tc>
          <w:tcPr>
            <w:tcW w:w="1059" w:type="dxa"/>
          </w:tcPr>
          <w:p w14:paraId="7462952C" w14:textId="77777777" w:rsidR="00FA4AA8" w:rsidRDefault="0015611F">
            <w:pPr>
              <w:pStyle w:val="TableParagraph"/>
              <w:spacing w:line="201" w:lineRule="exact"/>
              <w:ind w:left="299"/>
              <w:rPr>
                <w:b/>
                <w:sz w:val="18"/>
              </w:rPr>
            </w:pPr>
            <w:r>
              <w:rPr>
                <w:b/>
                <w:sz w:val="18"/>
              </w:rPr>
              <w:t>2017</w:t>
            </w:r>
          </w:p>
          <w:p w14:paraId="0501BCA3" w14:textId="77777777" w:rsidR="00FA4AA8" w:rsidRDefault="0015611F">
            <w:pPr>
              <w:pStyle w:val="TableParagraph"/>
              <w:spacing w:before="66"/>
              <w:ind w:left="278"/>
              <w:rPr>
                <w:b/>
                <w:sz w:val="18"/>
              </w:rPr>
            </w:pPr>
            <w:r>
              <w:rPr>
                <w:b/>
                <w:sz w:val="18"/>
              </w:rPr>
              <w:t>$'000</w:t>
            </w:r>
          </w:p>
        </w:tc>
      </w:tr>
      <w:tr w:rsidR="00FA4AA8" w14:paraId="6C728A9A" w14:textId="77777777">
        <w:trPr>
          <w:trHeight w:val="249"/>
        </w:trPr>
        <w:tc>
          <w:tcPr>
            <w:tcW w:w="4030" w:type="dxa"/>
          </w:tcPr>
          <w:p w14:paraId="75614A66" w14:textId="77777777" w:rsidR="00FA4AA8" w:rsidRDefault="0015611F">
            <w:pPr>
              <w:pStyle w:val="TableParagraph"/>
              <w:spacing w:before="10"/>
              <w:ind w:left="50"/>
              <w:rPr>
                <w:sz w:val="18"/>
              </w:rPr>
            </w:pPr>
            <w:r>
              <w:rPr>
                <w:sz w:val="18"/>
              </w:rPr>
              <w:t>Cash and cash equivalents</w:t>
            </w:r>
          </w:p>
        </w:tc>
        <w:tc>
          <w:tcPr>
            <w:tcW w:w="1016" w:type="dxa"/>
          </w:tcPr>
          <w:p w14:paraId="30702CC2" w14:textId="77777777" w:rsidR="00FA4AA8" w:rsidRDefault="0015611F">
            <w:pPr>
              <w:pStyle w:val="TableParagraph"/>
              <w:spacing w:before="10"/>
              <w:ind w:left="510" w:right="64"/>
              <w:jc w:val="center"/>
              <w:rPr>
                <w:sz w:val="18"/>
              </w:rPr>
            </w:pPr>
            <w:r>
              <w:rPr>
                <w:sz w:val="18"/>
              </w:rPr>
              <w:t>16</w:t>
            </w:r>
          </w:p>
        </w:tc>
        <w:tc>
          <w:tcPr>
            <w:tcW w:w="1373" w:type="dxa"/>
          </w:tcPr>
          <w:p w14:paraId="5A71D223" w14:textId="77777777" w:rsidR="00FA4AA8" w:rsidRDefault="0015611F">
            <w:pPr>
              <w:pStyle w:val="TableParagraph"/>
              <w:spacing w:before="12"/>
              <w:ind w:right="158"/>
              <w:jc w:val="right"/>
              <w:rPr>
                <w:b/>
                <w:sz w:val="18"/>
              </w:rPr>
            </w:pPr>
            <w:r>
              <w:rPr>
                <w:b/>
                <w:sz w:val="18"/>
              </w:rPr>
              <w:t>102,290</w:t>
            </w:r>
          </w:p>
        </w:tc>
        <w:tc>
          <w:tcPr>
            <w:tcW w:w="1216" w:type="dxa"/>
          </w:tcPr>
          <w:p w14:paraId="5B976360" w14:textId="77777777" w:rsidR="00FA4AA8" w:rsidRDefault="0015611F">
            <w:pPr>
              <w:pStyle w:val="TableParagraph"/>
              <w:spacing w:before="12"/>
              <w:ind w:right="244"/>
              <w:jc w:val="right"/>
              <w:rPr>
                <w:sz w:val="18"/>
              </w:rPr>
            </w:pPr>
            <w:r>
              <w:rPr>
                <w:sz w:val="18"/>
              </w:rPr>
              <w:t>221,748</w:t>
            </w:r>
          </w:p>
        </w:tc>
        <w:tc>
          <w:tcPr>
            <w:tcW w:w="1216" w:type="dxa"/>
          </w:tcPr>
          <w:p w14:paraId="59CC51D5" w14:textId="77777777" w:rsidR="00FA4AA8" w:rsidRDefault="0015611F">
            <w:pPr>
              <w:pStyle w:val="TableParagraph"/>
              <w:spacing w:before="12"/>
              <w:ind w:right="156"/>
              <w:jc w:val="right"/>
              <w:rPr>
                <w:b/>
                <w:sz w:val="18"/>
              </w:rPr>
            </w:pPr>
            <w:r>
              <w:rPr>
                <w:b/>
                <w:sz w:val="18"/>
              </w:rPr>
              <w:t>98,753</w:t>
            </w:r>
          </w:p>
        </w:tc>
        <w:tc>
          <w:tcPr>
            <w:tcW w:w="1059" w:type="dxa"/>
          </w:tcPr>
          <w:p w14:paraId="0E6C512B" w14:textId="77777777" w:rsidR="00FA4AA8" w:rsidRDefault="0015611F">
            <w:pPr>
              <w:pStyle w:val="TableParagraph"/>
              <w:spacing w:before="12"/>
              <w:ind w:right="85"/>
              <w:jc w:val="right"/>
              <w:rPr>
                <w:sz w:val="18"/>
              </w:rPr>
            </w:pPr>
            <w:r>
              <w:rPr>
                <w:sz w:val="18"/>
              </w:rPr>
              <w:t>219,554</w:t>
            </w:r>
          </w:p>
        </w:tc>
      </w:tr>
      <w:tr w:rsidR="00FA4AA8" w14:paraId="6281192F" w14:textId="77777777">
        <w:trPr>
          <w:trHeight w:val="264"/>
        </w:trPr>
        <w:tc>
          <w:tcPr>
            <w:tcW w:w="4030" w:type="dxa"/>
          </w:tcPr>
          <w:p w14:paraId="013C27B1" w14:textId="77777777" w:rsidR="00FA4AA8" w:rsidRDefault="0015611F">
            <w:pPr>
              <w:pStyle w:val="TableParagraph"/>
              <w:spacing w:before="24"/>
              <w:ind w:left="50"/>
              <w:rPr>
                <w:sz w:val="18"/>
              </w:rPr>
            </w:pPr>
            <w:r>
              <w:rPr>
                <w:sz w:val="18"/>
              </w:rPr>
              <w:t>Receivables</w:t>
            </w:r>
          </w:p>
        </w:tc>
        <w:tc>
          <w:tcPr>
            <w:tcW w:w="1016" w:type="dxa"/>
          </w:tcPr>
          <w:p w14:paraId="7BCB5A95" w14:textId="77777777" w:rsidR="00FA4AA8" w:rsidRDefault="0015611F">
            <w:pPr>
              <w:pStyle w:val="TableParagraph"/>
              <w:spacing w:before="24"/>
              <w:ind w:left="510" w:right="64"/>
              <w:jc w:val="center"/>
              <w:rPr>
                <w:sz w:val="18"/>
              </w:rPr>
            </w:pPr>
            <w:r>
              <w:rPr>
                <w:sz w:val="18"/>
              </w:rPr>
              <w:t>17</w:t>
            </w:r>
          </w:p>
        </w:tc>
        <w:tc>
          <w:tcPr>
            <w:tcW w:w="1373" w:type="dxa"/>
          </w:tcPr>
          <w:p w14:paraId="435F098E" w14:textId="77777777" w:rsidR="00FA4AA8" w:rsidRDefault="0015611F">
            <w:pPr>
              <w:pStyle w:val="TableParagraph"/>
              <w:spacing w:before="26"/>
              <w:ind w:right="158"/>
              <w:jc w:val="right"/>
              <w:rPr>
                <w:b/>
                <w:sz w:val="18"/>
              </w:rPr>
            </w:pPr>
            <w:r>
              <w:rPr>
                <w:b/>
                <w:sz w:val="18"/>
              </w:rPr>
              <w:t>54,151</w:t>
            </w:r>
          </w:p>
        </w:tc>
        <w:tc>
          <w:tcPr>
            <w:tcW w:w="1216" w:type="dxa"/>
          </w:tcPr>
          <w:p w14:paraId="2FFE6288" w14:textId="77777777" w:rsidR="00FA4AA8" w:rsidRDefault="0015611F">
            <w:pPr>
              <w:pStyle w:val="TableParagraph"/>
              <w:spacing w:before="26"/>
              <w:ind w:right="244"/>
              <w:jc w:val="right"/>
              <w:rPr>
                <w:sz w:val="18"/>
              </w:rPr>
            </w:pPr>
            <w:r>
              <w:rPr>
                <w:sz w:val="18"/>
              </w:rPr>
              <w:t>56,069</w:t>
            </w:r>
          </w:p>
        </w:tc>
        <w:tc>
          <w:tcPr>
            <w:tcW w:w="1216" w:type="dxa"/>
          </w:tcPr>
          <w:p w14:paraId="4D16BBFE" w14:textId="77777777" w:rsidR="00FA4AA8" w:rsidRDefault="0015611F">
            <w:pPr>
              <w:pStyle w:val="TableParagraph"/>
              <w:spacing w:before="26"/>
              <w:ind w:right="156"/>
              <w:jc w:val="right"/>
              <w:rPr>
                <w:b/>
                <w:sz w:val="18"/>
              </w:rPr>
            </w:pPr>
            <w:r>
              <w:rPr>
                <w:b/>
                <w:sz w:val="18"/>
              </w:rPr>
              <w:t>50,593</w:t>
            </w:r>
          </w:p>
        </w:tc>
        <w:tc>
          <w:tcPr>
            <w:tcW w:w="1059" w:type="dxa"/>
          </w:tcPr>
          <w:p w14:paraId="7C36EF23" w14:textId="77777777" w:rsidR="00FA4AA8" w:rsidRDefault="0015611F">
            <w:pPr>
              <w:pStyle w:val="TableParagraph"/>
              <w:spacing w:before="26"/>
              <w:ind w:right="85"/>
              <w:jc w:val="right"/>
              <w:rPr>
                <w:sz w:val="18"/>
              </w:rPr>
            </w:pPr>
            <w:r>
              <w:rPr>
                <w:sz w:val="18"/>
              </w:rPr>
              <w:t>54,395</w:t>
            </w:r>
          </w:p>
        </w:tc>
      </w:tr>
      <w:tr w:rsidR="00FA4AA8" w14:paraId="4C7EB039" w14:textId="77777777">
        <w:trPr>
          <w:trHeight w:val="264"/>
        </w:trPr>
        <w:tc>
          <w:tcPr>
            <w:tcW w:w="4030" w:type="dxa"/>
          </w:tcPr>
          <w:p w14:paraId="0DB00980" w14:textId="77777777" w:rsidR="00FA4AA8" w:rsidRDefault="0015611F">
            <w:pPr>
              <w:pStyle w:val="TableParagraph"/>
              <w:spacing w:before="24"/>
              <w:ind w:left="50"/>
              <w:rPr>
                <w:sz w:val="18"/>
              </w:rPr>
            </w:pPr>
            <w:r>
              <w:rPr>
                <w:sz w:val="18"/>
              </w:rPr>
              <w:t>Inventories</w:t>
            </w:r>
          </w:p>
        </w:tc>
        <w:tc>
          <w:tcPr>
            <w:tcW w:w="1016" w:type="dxa"/>
          </w:tcPr>
          <w:p w14:paraId="35693CC8" w14:textId="77777777" w:rsidR="00FA4AA8" w:rsidRDefault="00FA4AA8">
            <w:pPr>
              <w:pStyle w:val="TableParagraph"/>
              <w:rPr>
                <w:rFonts w:ascii="Times New Roman"/>
                <w:sz w:val="18"/>
              </w:rPr>
            </w:pPr>
          </w:p>
        </w:tc>
        <w:tc>
          <w:tcPr>
            <w:tcW w:w="1373" w:type="dxa"/>
          </w:tcPr>
          <w:p w14:paraId="214D90DC" w14:textId="77777777" w:rsidR="00FA4AA8" w:rsidRDefault="0015611F">
            <w:pPr>
              <w:pStyle w:val="TableParagraph"/>
              <w:spacing w:before="26"/>
              <w:ind w:right="158"/>
              <w:jc w:val="right"/>
              <w:rPr>
                <w:b/>
                <w:sz w:val="18"/>
              </w:rPr>
            </w:pPr>
            <w:r>
              <w:rPr>
                <w:b/>
                <w:sz w:val="18"/>
              </w:rPr>
              <w:t>30</w:t>
            </w:r>
          </w:p>
        </w:tc>
        <w:tc>
          <w:tcPr>
            <w:tcW w:w="1216" w:type="dxa"/>
          </w:tcPr>
          <w:p w14:paraId="37BB1759" w14:textId="77777777" w:rsidR="00FA4AA8" w:rsidRDefault="0015611F">
            <w:pPr>
              <w:pStyle w:val="TableParagraph"/>
              <w:spacing w:before="26"/>
              <w:ind w:right="243"/>
              <w:jc w:val="right"/>
              <w:rPr>
                <w:sz w:val="18"/>
              </w:rPr>
            </w:pPr>
            <w:r>
              <w:rPr>
                <w:sz w:val="18"/>
              </w:rPr>
              <w:t>58</w:t>
            </w:r>
          </w:p>
        </w:tc>
        <w:tc>
          <w:tcPr>
            <w:tcW w:w="1216" w:type="dxa"/>
          </w:tcPr>
          <w:p w14:paraId="1F7B797E" w14:textId="77777777" w:rsidR="00FA4AA8" w:rsidRDefault="0015611F">
            <w:pPr>
              <w:pStyle w:val="TableParagraph"/>
              <w:spacing w:before="26"/>
              <w:ind w:right="157"/>
              <w:jc w:val="right"/>
              <w:rPr>
                <w:b/>
                <w:sz w:val="18"/>
              </w:rPr>
            </w:pPr>
            <w:r>
              <w:rPr>
                <w:b/>
                <w:sz w:val="18"/>
              </w:rPr>
              <w:t>3</w:t>
            </w:r>
          </w:p>
        </w:tc>
        <w:tc>
          <w:tcPr>
            <w:tcW w:w="1059" w:type="dxa"/>
          </w:tcPr>
          <w:p w14:paraId="5EF0872D" w14:textId="77777777" w:rsidR="00FA4AA8" w:rsidRDefault="0015611F">
            <w:pPr>
              <w:pStyle w:val="TableParagraph"/>
              <w:spacing w:before="26"/>
              <w:ind w:right="85"/>
              <w:jc w:val="right"/>
              <w:rPr>
                <w:sz w:val="18"/>
              </w:rPr>
            </w:pPr>
            <w:r>
              <w:rPr>
                <w:sz w:val="18"/>
              </w:rPr>
              <w:t>-</w:t>
            </w:r>
          </w:p>
        </w:tc>
      </w:tr>
      <w:tr w:rsidR="00FA4AA8" w14:paraId="0156E90B" w14:textId="77777777">
        <w:trPr>
          <w:trHeight w:val="264"/>
        </w:trPr>
        <w:tc>
          <w:tcPr>
            <w:tcW w:w="4030" w:type="dxa"/>
          </w:tcPr>
          <w:p w14:paraId="333B639C" w14:textId="77777777" w:rsidR="00FA4AA8" w:rsidRDefault="0015611F">
            <w:pPr>
              <w:pStyle w:val="TableParagraph"/>
              <w:spacing w:before="24"/>
              <w:ind w:left="50"/>
              <w:rPr>
                <w:sz w:val="18"/>
              </w:rPr>
            </w:pPr>
            <w:r>
              <w:rPr>
                <w:sz w:val="18"/>
              </w:rPr>
              <w:t>Other non-financial assets</w:t>
            </w:r>
          </w:p>
        </w:tc>
        <w:tc>
          <w:tcPr>
            <w:tcW w:w="1016" w:type="dxa"/>
          </w:tcPr>
          <w:p w14:paraId="0869168A" w14:textId="77777777" w:rsidR="00FA4AA8" w:rsidRDefault="0015611F">
            <w:pPr>
              <w:pStyle w:val="TableParagraph"/>
              <w:spacing w:before="24"/>
              <w:ind w:left="510" w:right="64"/>
              <w:jc w:val="center"/>
              <w:rPr>
                <w:sz w:val="18"/>
              </w:rPr>
            </w:pPr>
            <w:r>
              <w:rPr>
                <w:sz w:val="18"/>
              </w:rPr>
              <w:t>22</w:t>
            </w:r>
          </w:p>
        </w:tc>
        <w:tc>
          <w:tcPr>
            <w:tcW w:w="1373" w:type="dxa"/>
          </w:tcPr>
          <w:p w14:paraId="42926ED2" w14:textId="77777777" w:rsidR="00FA4AA8" w:rsidRDefault="0015611F">
            <w:pPr>
              <w:pStyle w:val="TableParagraph"/>
              <w:spacing w:before="26"/>
              <w:ind w:right="158"/>
              <w:jc w:val="right"/>
              <w:rPr>
                <w:b/>
                <w:sz w:val="18"/>
              </w:rPr>
            </w:pPr>
            <w:r>
              <w:rPr>
                <w:b/>
                <w:sz w:val="18"/>
              </w:rPr>
              <w:t>1,137</w:t>
            </w:r>
          </w:p>
        </w:tc>
        <w:tc>
          <w:tcPr>
            <w:tcW w:w="1216" w:type="dxa"/>
          </w:tcPr>
          <w:p w14:paraId="06B23B18" w14:textId="77777777" w:rsidR="00FA4AA8" w:rsidRDefault="0015611F">
            <w:pPr>
              <w:pStyle w:val="TableParagraph"/>
              <w:spacing w:before="26"/>
              <w:ind w:right="244"/>
              <w:jc w:val="right"/>
              <w:rPr>
                <w:sz w:val="18"/>
              </w:rPr>
            </w:pPr>
            <w:r>
              <w:rPr>
                <w:sz w:val="18"/>
              </w:rPr>
              <w:t>1,196</w:t>
            </w:r>
          </w:p>
        </w:tc>
        <w:tc>
          <w:tcPr>
            <w:tcW w:w="1216" w:type="dxa"/>
          </w:tcPr>
          <w:p w14:paraId="7E91C229" w14:textId="77777777" w:rsidR="00FA4AA8" w:rsidRDefault="0015611F">
            <w:pPr>
              <w:pStyle w:val="TableParagraph"/>
              <w:spacing w:before="26"/>
              <w:ind w:right="156"/>
              <w:jc w:val="right"/>
              <w:rPr>
                <w:b/>
                <w:sz w:val="18"/>
              </w:rPr>
            </w:pPr>
            <w:r>
              <w:rPr>
                <w:b/>
                <w:sz w:val="18"/>
              </w:rPr>
              <w:t>1,137</w:t>
            </w:r>
          </w:p>
        </w:tc>
        <w:tc>
          <w:tcPr>
            <w:tcW w:w="1059" w:type="dxa"/>
          </w:tcPr>
          <w:p w14:paraId="38D292CF" w14:textId="77777777" w:rsidR="00FA4AA8" w:rsidRDefault="0015611F">
            <w:pPr>
              <w:pStyle w:val="TableParagraph"/>
              <w:spacing w:before="26"/>
              <w:ind w:right="85"/>
              <w:jc w:val="right"/>
              <w:rPr>
                <w:sz w:val="18"/>
              </w:rPr>
            </w:pPr>
            <w:r>
              <w:rPr>
                <w:sz w:val="18"/>
              </w:rPr>
              <w:t>1,196</w:t>
            </w:r>
          </w:p>
        </w:tc>
      </w:tr>
      <w:tr w:rsidR="00FA4AA8" w14:paraId="6A5DC76B" w14:textId="77777777">
        <w:trPr>
          <w:trHeight w:val="258"/>
        </w:trPr>
        <w:tc>
          <w:tcPr>
            <w:tcW w:w="4030" w:type="dxa"/>
          </w:tcPr>
          <w:p w14:paraId="7E36F64D" w14:textId="77777777" w:rsidR="00FA4AA8" w:rsidRDefault="0015611F">
            <w:pPr>
              <w:pStyle w:val="TableParagraph"/>
              <w:spacing w:before="24"/>
              <w:ind w:left="50"/>
              <w:rPr>
                <w:sz w:val="18"/>
              </w:rPr>
            </w:pPr>
            <w:r>
              <w:rPr>
                <w:sz w:val="18"/>
              </w:rPr>
              <w:t>Non-current assets held for sale</w:t>
            </w:r>
          </w:p>
        </w:tc>
        <w:tc>
          <w:tcPr>
            <w:tcW w:w="1016" w:type="dxa"/>
          </w:tcPr>
          <w:p w14:paraId="1D93E7BB" w14:textId="77777777" w:rsidR="00FA4AA8" w:rsidRDefault="0015611F">
            <w:pPr>
              <w:pStyle w:val="TableParagraph"/>
              <w:spacing w:before="24"/>
              <w:ind w:left="510" w:right="64"/>
              <w:jc w:val="center"/>
              <w:rPr>
                <w:sz w:val="18"/>
              </w:rPr>
            </w:pPr>
            <w:r>
              <w:rPr>
                <w:sz w:val="18"/>
              </w:rPr>
              <w:t>18</w:t>
            </w:r>
          </w:p>
        </w:tc>
        <w:tc>
          <w:tcPr>
            <w:tcW w:w="1373" w:type="dxa"/>
            <w:tcBorders>
              <w:bottom w:val="single" w:sz="8" w:space="0" w:color="000000"/>
            </w:tcBorders>
          </w:tcPr>
          <w:p w14:paraId="4E2DA469" w14:textId="77777777" w:rsidR="00FA4AA8" w:rsidRDefault="0015611F">
            <w:pPr>
              <w:pStyle w:val="TableParagraph"/>
              <w:spacing w:before="26"/>
              <w:ind w:right="158"/>
              <w:jc w:val="right"/>
              <w:rPr>
                <w:b/>
                <w:sz w:val="18"/>
              </w:rPr>
            </w:pPr>
            <w:r>
              <w:rPr>
                <w:b/>
                <w:sz w:val="18"/>
              </w:rPr>
              <w:t>5,867</w:t>
            </w:r>
          </w:p>
        </w:tc>
        <w:tc>
          <w:tcPr>
            <w:tcW w:w="1216" w:type="dxa"/>
            <w:tcBorders>
              <w:bottom w:val="single" w:sz="8" w:space="0" w:color="000000"/>
            </w:tcBorders>
          </w:tcPr>
          <w:p w14:paraId="480921D1" w14:textId="77777777" w:rsidR="00FA4AA8" w:rsidRDefault="0015611F">
            <w:pPr>
              <w:pStyle w:val="TableParagraph"/>
              <w:spacing w:before="26"/>
              <w:ind w:right="244"/>
              <w:jc w:val="right"/>
              <w:rPr>
                <w:sz w:val="18"/>
              </w:rPr>
            </w:pPr>
            <w:r>
              <w:rPr>
                <w:sz w:val="18"/>
              </w:rPr>
              <w:t>40,358</w:t>
            </w:r>
          </w:p>
        </w:tc>
        <w:tc>
          <w:tcPr>
            <w:tcW w:w="1216" w:type="dxa"/>
            <w:tcBorders>
              <w:bottom w:val="single" w:sz="8" w:space="0" w:color="000000"/>
            </w:tcBorders>
          </w:tcPr>
          <w:p w14:paraId="21632851" w14:textId="77777777" w:rsidR="00FA4AA8" w:rsidRDefault="0015611F">
            <w:pPr>
              <w:pStyle w:val="TableParagraph"/>
              <w:spacing w:before="26"/>
              <w:ind w:right="156"/>
              <w:jc w:val="right"/>
              <w:rPr>
                <w:b/>
                <w:sz w:val="18"/>
              </w:rPr>
            </w:pPr>
            <w:r>
              <w:rPr>
                <w:b/>
                <w:sz w:val="18"/>
              </w:rPr>
              <w:t>5,867</w:t>
            </w:r>
          </w:p>
        </w:tc>
        <w:tc>
          <w:tcPr>
            <w:tcW w:w="1059" w:type="dxa"/>
            <w:tcBorders>
              <w:bottom w:val="single" w:sz="8" w:space="0" w:color="000000"/>
            </w:tcBorders>
          </w:tcPr>
          <w:p w14:paraId="740E79A6" w14:textId="77777777" w:rsidR="00FA4AA8" w:rsidRDefault="0015611F">
            <w:pPr>
              <w:pStyle w:val="TableParagraph"/>
              <w:spacing w:before="26"/>
              <w:ind w:right="85"/>
              <w:jc w:val="right"/>
              <w:rPr>
                <w:sz w:val="18"/>
              </w:rPr>
            </w:pPr>
            <w:r>
              <w:rPr>
                <w:sz w:val="18"/>
              </w:rPr>
              <w:t>40,358</w:t>
            </w:r>
          </w:p>
        </w:tc>
      </w:tr>
      <w:tr w:rsidR="00FA4AA8" w14:paraId="7A63E1E1" w14:textId="77777777">
        <w:trPr>
          <w:trHeight w:val="318"/>
        </w:trPr>
        <w:tc>
          <w:tcPr>
            <w:tcW w:w="4030" w:type="dxa"/>
          </w:tcPr>
          <w:p w14:paraId="2AB8464A" w14:textId="77777777" w:rsidR="00FA4AA8" w:rsidRDefault="0015611F">
            <w:pPr>
              <w:pStyle w:val="TableParagraph"/>
              <w:spacing w:before="115" w:line="183" w:lineRule="exact"/>
              <w:ind w:left="50"/>
              <w:rPr>
                <w:b/>
                <w:sz w:val="18"/>
              </w:rPr>
            </w:pPr>
            <w:r>
              <w:rPr>
                <w:b/>
                <w:sz w:val="18"/>
              </w:rPr>
              <w:t>Total current assets</w:t>
            </w:r>
          </w:p>
        </w:tc>
        <w:tc>
          <w:tcPr>
            <w:tcW w:w="1016" w:type="dxa"/>
          </w:tcPr>
          <w:p w14:paraId="7A6D465E" w14:textId="77777777" w:rsidR="00FA4AA8" w:rsidRDefault="00FA4AA8">
            <w:pPr>
              <w:pStyle w:val="TableParagraph"/>
              <w:rPr>
                <w:rFonts w:ascii="Times New Roman"/>
                <w:sz w:val="18"/>
              </w:rPr>
            </w:pPr>
          </w:p>
        </w:tc>
        <w:tc>
          <w:tcPr>
            <w:tcW w:w="1373" w:type="dxa"/>
            <w:tcBorders>
              <w:top w:val="single" w:sz="8" w:space="0" w:color="000000"/>
              <w:bottom w:val="single" w:sz="8" w:space="0" w:color="000000"/>
            </w:tcBorders>
          </w:tcPr>
          <w:p w14:paraId="4D317AE9" w14:textId="77777777" w:rsidR="00FA4AA8" w:rsidRDefault="0015611F">
            <w:pPr>
              <w:pStyle w:val="TableParagraph"/>
              <w:spacing w:before="115" w:line="183" w:lineRule="exact"/>
              <w:ind w:right="158"/>
              <w:jc w:val="right"/>
              <w:rPr>
                <w:b/>
                <w:sz w:val="18"/>
              </w:rPr>
            </w:pPr>
            <w:r>
              <w:rPr>
                <w:b/>
                <w:sz w:val="18"/>
              </w:rPr>
              <w:t>163,475</w:t>
            </w:r>
          </w:p>
        </w:tc>
        <w:tc>
          <w:tcPr>
            <w:tcW w:w="1216" w:type="dxa"/>
            <w:tcBorders>
              <w:top w:val="single" w:sz="8" w:space="0" w:color="000000"/>
              <w:bottom w:val="single" w:sz="8" w:space="0" w:color="000000"/>
            </w:tcBorders>
          </w:tcPr>
          <w:p w14:paraId="7E4512BC" w14:textId="77777777" w:rsidR="00FA4AA8" w:rsidRDefault="0015611F">
            <w:pPr>
              <w:pStyle w:val="TableParagraph"/>
              <w:spacing w:before="115" w:line="183" w:lineRule="exact"/>
              <w:ind w:right="244"/>
              <w:jc w:val="right"/>
              <w:rPr>
                <w:sz w:val="18"/>
              </w:rPr>
            </w:pPr>
            <w:r>
              <w:rPr>
                <w:sz w:val="18"/>
              </w:rPr>
              <w:t>319,429</w:t>
            </w:r>
          </w:p>
        </w:tc>
        <w:tc>
          <w:tcPr>
            <w:tcW w:w="1216" w:type="dxa"/>
            <w:tcBorders>
              <w:top w:val="single" w:sz="8" w:space="0" w:color="000000"/>
              <w:bottom w:val="single" w:sz="8" w:space="0" w:color="000000"/>
            </w:tcBorders>
          </w:tcPr>
          <w:p w14:paraId="3AECAB30" w14:textId="77777777" w:rsidR="00FA4AA8" w:rsidRDefault="0015611F">
            <w:pPr>
              <w:pStyle w:val="TableParagraph"/>
              <w:spacing w:before="115" w:line="183" w:lineRule="exact"/>
              <w:ind w:right="156"/>
              <w:jc w:val="right"/>
              <w:rPr>
                <w:b/>
                <w:sz w:val="18"/>
              </w:rPr>
            </w:pPr>
            <w:r>
              <w:rPr>
                <w:b/>
                <w:sz w:val="18"/>
              </w:rPr>
              <w:t>156,353</w:t>
            </w:r>
          </w:p>
        </w:tc>
        <w:tc>
          <w:tcPr>
            <w:tcW w:w="1059" w:type="dxa"/>
            <w:tcBorders>
              <w:top w:val="single" w:sz="8" w:space="0" w:color="000000"/>
              <w:bottom w:val="single" w:sz="8" w:space="0" w:color="000000"/>
            </w:tcBorders>
          </w:tcPr>
          <w:p w14:paraId="247011B4" w14:textId="77777777" w:rsidR="00FA4AA8" w:rsidRDefault="0015611F">
            <w:pPr>
              <w:pStyle w:val="TableParagraph"/>
              <w:spacing w:before="115" w:line="183" w:lineRule="exact"/>
              <w:ind w:right="85"/>
              <w:jc w:val="right"/>
              <w:rPr>
                <w:sz w:val="18"/>
              </w:rPr>
            </w:pPr>
            <w:r>
              <w:rPr>
                <w:sz w:val="18"/>
              </w:rPr>
              <w:t>315,503</w:t>
            </w:r>
          </w:p>
        </w:tc>
      </w:tr>
      <w:tr w:rsidR="00FA4AA8" w14:paraId="5950184B" w14:textId="77777777">
        <w:trPr>
          <w:trHeight w:val="337"/>
        </w:trPr>
        <w:tc>
          <w:tcPr>
            <w:tcW w:w="4030" w:type="dxa"/>
          </w:tcPr>
          <w:p w14:paraId="64DD7D7B" w14:textId="77777777" w:rsidR="00FA4AA8" w:rsidRDefault="0015611F">
            <w:pPr>
              <w:pStyle w:val="TableParagraph"/>
              <w:spacing w:before="115" w:line="203" w:lineRule="exact"/>
              <w:ind w:left="50"/>
              <w:rPr>
                <w:b/>
                <w:sz w:val="18"/>
              </w:rPr>
            </w:pPr>
            <w:r>
              <w:rPr>
                <w:b/>
                <w:sz w:val="18"/>
              </w:rPr>
              <w:t>Non-current assets</w:t>
            </w:r>
          </w:p>
        </w:tc>
        <w:tc>
          <w:tcPr>
            <w:tcW w:w="1016" w:type="dxa"/>
          </w:tcPr>
          <w:p w14:paraId="2023C48F" w14:textId="77777777" w:rsidR="00FA4AA8" w:rsidRDefault="00FA4AA8">
            <w:pPr>
              <w:pStyle w:val="TableParagraph"/>
              <w:rPr>
                <w:rFonts w:ascii="Times New Roman"/>
                <w:sz w:val="18"/>
              </w:rPr>
            </w:pPr>
          </w:p>
        </w:tc>
        <w:tc>
          <w:tcPr>
            <w:tcW w:w="1373" w:type="dxa"/>
            <w:tcBorders>
              <w:top w:val="single" w:sz="8" w:space="0" w:color="000000"/>
            </w:tcBorders>
          </w:tcPr>
          <w:p w14:paraId="17385281" w14:textId="77777777" w:rsidR="00FA4AA8" w:rsidRDefault="00FA4AA8">
            <w:pPr>
              <w:pStyle w:val="TableParagraph"/>
              <w:rPr>
                <w:rFonts w:ascii="Times New Roman"/>
                <w:sz w:val="18"/>
              </w:rPr>
            </w:pPr>
          </w:p>
        </w:tc>
        <w:tc>
          <w:tcPr>
            <w:tcW w:w="1216" w:type="dxa"/>
            <w:tcBorders>
              <w:top w:val="single" w:sz="8" w:space="0" w:color="000000"/>
            </w:tcBorders>
          </w:tcPr>
          <w:p w14:paraId="66C1ED50" w14:textId="77777777" w:rsidR="00FA4AA8" w:rsidRDefault="00FA4AA8">
            <w:pPr>
              <w:pStyle w:val="TableParagraph"/>
              <w:rPr>
                <w:rFonts w:ascii="Times New Roman"/>
                <w:sz w:val="18"/>
              </w:rPr>
            </w:pPr>
          </w:p>
        </w:tc>
        <w:tc>
          <w:tcPr>
            <w:tcW w:w="1216" w:type="dxa"/>
            <w:tcBorders>
              <w:top w:val="single" w:sz="8" w:space="0" w:color="000000"/>
            </w:tcBorders>
          </w:tcPr>
          <w:p w14:paraId="38B9F6B9" w14:textId="77777777" w:rsidR="00FA4AA8" w:rsidRDefault="00FA4AA8">
            <w:pPr>
              <w:pStyle w:val="TableParagraph"/>
              <w:rPr>
                <w:rFonts w:ascii="Times New Roman"/>
                <w:sz w:val="18"/>
              </w:rPr>
            </w:pPr>
          </w:p>
        </w:tc>
        <w:tc>
          <w:tcPr>
            <w:tcW w:w="1059" w:type="dxa"/>
            <w:tcBorders>
              <w:top w:val="single" w:sz="8" w:space="0" w:color="000000"/>
            </w:tcBorders>
          </w:tcPr>
          <w:p w14:paraId="513AD6D2" w14:textId="77777777" w:rsidR="00FA4AA8" w:rsidRDefault="00FA4AA8">
            <w:pPr>
              <w:pStyle w:val="TableParagraph"/>
              <w:rPr>
                <w:rFonts w:ascii="Times New Roman"/>
                <w:sz w:val="18"/>
              </w:rPr>
            </w:pPr>
          </w:p>
        </w:tc>
      </w:tr>
      <w:tr w:rsidR="00FA4AA8" w14:paraId="3EE9FE78" w14:textId="77777777">
        <w:trPr>
          <w:trHeight w:val="249"/>
        </w:trPr>
        <w:tc>
          <w:tcPr>
            <w:tcW w:w="4030" w:type="dxa"/>
          </w:tcPr>
          <w:p w14:paraId="70C0E590" w14:textId="77777777" w:rsidR="00FA4AA8" w:rsidRDefault="0015611F">
            <w:pPr>
              <w:pStyle w:val="TableParagraph"/>
              <w:spacing w:before="10"/>
              <w:ind w:left="50"/>
              <w:rPr>
                <w:sz w:val="18"/>
              </w:rPr>
            </w:pPr>
            <w:r>
              <w:rPr>
                <w:sz w:val="18"/>
              </w:rPr>
              <w:t>Receivables</w:t>
            </w:r>
          </w:p>
        </w:tc>
        <w:tc>
          <w:tcPr>
            <w:tcW w:w="1016" w:type="dxa"/>
          </w:tcPr>
          <w:p w14:paraId="3333A9DE" w14:textId="77777777" w:rsidR="00FA4AA8" w:rsidRDefault="0015611F">
            <w:pPr>
              <w:pStyle w:val="TableParagraph"/>
              <w:spacing w:before="10"/>
              <w:ind w:left="510" w:right="64"/>
              <w:jc w:val="center"/>
              <w:rPr>
                <w:sz w:val="18"/>
              </w:rPr>
            </w:pPr>
            <w:r>
              <w:rPr>
                <w:sz w:val="18"/>
              </w:rPr>
              <w:t>17</w:t>
            </w:r>
          </w:p>
        </w:tc>
        <w:tc>
          <w:tcPr>
            <w:tcW w:w="1373" w:type="dxa"/>
          </w:tcPr>
          <w:p w14:paraId="60087A7F" w14:textId="77777777" w:rsidR="00FA4AA8" w:rsidRDefault="0015611F">
            <w:pPr>
              <w:pStyle w:val="TableParagraph"/>
              <w:spacing w:before="12"/>
              <w:ind w:right="158"/>
              <w:jc w:val="right"/>
              <w:rPr>
                <w:b/>
                <w:sz w:val="18"/>
              </w:rPr>
            </w:pPr>
            <w:r>
              <w:rPr>
                <w:b/>
                <w:sz w:val="18"/>
              </w:rPr>
              <w:t>392,658</w:t>
            </w:r>
          </w:p>
        </w:tc>
        <w:tc>
          <w:tcPr>
            <w:tcW w:w="1216" w:type="dxa"/>
          </w:tcPr>
          <w:p w14:paraId="4050339A" w14:textId="77777777" w:rsidR="00FA4AA8" w:rsidRDefault="0015611F">
            <w:pPr>
              <w:pStyle w:val="TableParagraph"/>
              <w:spacing w:before="12"/>
              <w:ind w:right="244"/>
              <w:jc w:val="right"/>
              <w:rPr>
                <w:sz w:val="18"/>
              </w:rPr>
            </w:pPr>
            <w:r>
              <w:rPr>
                <w:sz w:val="18"/>
              </w:rPr>
              <w:t>388,045</w:t>
            </w:r>
          </w:p>
        </w:tc>
        <w:tc>
          <w:tcPr>
            <w:tcW w:w="1216" w:type="dxa"/>
          </w:tcPr>
          <w:p w14:paraId="5FD87023" w14:textId="77777777" w:rsidR="00FA4AA8" w:rsidRDefault="0015611F">
            <w:pPr>
              <w:pStyle w:val="TableParagraph"/>
              <w:spacing w:before="12"/>
              <w:ind w:right="156"/>
              <w:jc w:val="right"/>
              <w:rPr>
                <w:b/>
                <w:sz w:val="18"/>
              </w:rPr>
            </w:pPr>
            <w:r>
              <w:rPr>
                <w:b/>
                <w:sz w:val="18"/>
              </w:rPr>
              <w:t>415,758</w:t>
            </w:r>
          </w:p>
        </w:tc>
        <w:tc>
          <w:tcPr>
            <w:tcW w:w="1059" w:type="dxa"/>
          </w:tcPr>
          <w:p w14:paraId="0D52DCB7" w14:textId="77777777" w:rsidR="00FA4AA8" w:rsidRDefault="0015611F">
            <w:pPr>
              <w:pStyle w:val="TableParagraph"/>
              <w:spacing w:before="12"/>
              <w:ind w:right="85"/>
              <w:jc w:val="right"/>
              <w:rPr>
                <w:sz w:val="18"/>
              </w:rPr>
            </w:pPr>
            <w:r>
              <w:rPr>
                <w:sz w:val="18"/>
              </w:rPr>
              <w:t>388,045</w:t>
            </w:r>
          </w:p>
        </w:tc>
      </w:tr>
      <w:tr w:rsidR="00FA4AA8" w14:paraId="4F753262" w14:textId="77777777">
        <w:trPr>
          <w:trHeight w:val="466"/>
        </w:trPr>
        <w:tc>
          <w:tcPr>
            <w:tcW w:w="4030" w:type="dxa"/>
          </w:tcPr>
          <w:p w14:paraId="31D41EF5" w14:textId="77777777" w:rsidR="00FA4AA8" w:rsidRDefault="0015611F">
            <w:pPr>
              <w:pStyle w:val="TableParagraph"/>
              <w:spacing w:before="24"/>
              <w:ind w:left="50"/>
              <w:rPr>
                <w:sz w:val="18"/>
              </w:rPr>
            </w:pPr>
            <w:r>
              <w:rPr>
                <w:sz w:val="18"/>
              </w:rPr>
              <w:t>Investments accounted for using the equity method</w:t>
            </w:r>
          </w:p>
        </w:tc>
        <w:tc>
          <w:tcPr>
            <w:tcW w:w="1016" w:type="dxa"/>
          </w:tcPr>
          <w:p w14:paraId="31B45CEB" w14:textId="77777777" w:rsidR="00FA4AA8" w:rsidRDefault="00FA4AA8">
            <w:pPr>
              <w:pStyle w:val="TableParagraph"/>
              <w:rPr>
                <w:b/>
                <w:sz w:val="20"/>
              </w:rPr>
            </w:pPr>
          </w:p>
          <w:p w14:paraId="6F5D7AE3" w14:textId="77777777" w:rsidR="00FA4AA8" w:rsidRDefault="0015611F">
            <w:pPr>
              <w:pStyle w:val="TableParagraph"/>
              <w:ind w:left="445"/>
              <w:jc w:val="center"/>
              <w:rPr>
                <w:sz w:val="18"/>
              </w:rPr>
            </w:pPr>
            <w:r>
              <w:rPr>
                <w:sz w:val="18"/>
              </w:rPr>
              <w:t>7</w:t>
            </w:r>
          </w:p>
        </w:tc>
        <w:tc>
          <w:tcPr>
            <w:tcW w:w="1373" w:type="dxa"/>
          </w:tcPr>
          <w:p w14:paraId="7040364C" w14:textId="77777777" w:rsidR="00FA4AA8" w:rsidRDefault="00FA4AA8">
            <w:pPr>
              <w:pStyle w:val="TableParagraph"/>
              <w:spacing w:before="9"/>
              <w:rPr>
                <w:b/>
                <w:sz w:val="19"/>
              </w:rPr>
            </w:pPr>
          </w:p>
          <w:p w14:paraId="6A6FE7BC" w14:textId="77777777" w:rsidR="00FA4AA8" w:rsidRDefault="0015611F">
            <w:pPr>
              <w:pStyle w:val="TableParagraph"/>
              <w:spacing w:before="1"/>
              <w:ind w:right="158"/>
              <w:jc w:val="right"/>
              <w:rPr>
                <w:b/>
                <w:sz w:val="18"/>
              </w:rPr>
            </w:pPr>
            <w:r>
              <w:rPr>
                <w:b/>
                <w:sz w:val="18"/>
              </w:rPr>
              <w:t>-</w:t>
            </w:r>
          </w:p>
        </w:tc>
        <w:tc>
          <w:tcPr>
            <w:tcW w:w="1216" w:type="dxa"/>
          </w:tcPr>
          <w:p w14:paraId="621A0750" w14:textId="77777777" w:rsidR="00FA4AA8" w:rsidRDefault="00FA4AA8">
            <w:pPr>
              <w:pStyle w:val="TableParagraph"/>
              <w:spacing w:before="9"/>
              <w:rPr>
                <w:b/>
                <w:sz w:val="19"/>
              </w:rPr>
            </w:pPr>
          </w:p>
          <w:p w14:paraId="1B97771C" w14:textId="77777777" w:rsidR="00FA4AA8" w:rsidRDefault="0015611F">
            <w:pPr>
              <w:pStyle w:val="TableParagraph"/>
              <w:spacing w:before="1"/>
              <w:ind w:right="243"/>
              <w:jc w:val="right"/>
              <w:rPr>
                <w:sz w:val="18"/>
              </w:rPr>
            </w:pPr>
            <w:r>
              <w:rPr>
                <w:sz w:val="18"/>
              </w:rPr>
              <w:t>-</w:t>
            </w:r>
          </w:p>
        </w:tc>
        <w:tc>
          <w:tcPr>
            <w:tcW w:w="1216" w:type="dxa"/>
          </w:tcPr>
          <w:p w14:paraId="1CC127FE" w14:textId="77777777" w:rsidR="00FA4AA8" w:rsidRDefault="00FA4AA8">
            <w:pPr>
              <w:pStyle w:val="TableParagraph"/>
              <w:spacing w:before="9"/>
              <w:rPr>
                <w:b/>
                <w:sz w:val="19"/>
              </w:rPr>
            </w:pPr>
          </w:p>
          <w:p w14:paraId="3928054E" w14:textId="77777777" w:rsidR="00FA4AA8" w:rsidRDefault="0015611F">
            <w:pPr>
              <w:pStyle w:val="TableParagraph"/>
              <w:spacing w:before="1"/>
              <w:ind w:right="156"/>
              <w:jc w:val="right"/>
              <w:rPr>
                <w:b/>
                <w:sz w:val="18"/>
              </w:rPr>
            </w:pPr>
            <w:r>
              <w:rPr>
                <w:b/>
                <w:sz w:val="18"/>
              </w:rPr>
              <w:t>-</w:t>
            </w:r>
          </w:p>
        </w:tc>
        <w:tc>
          <w:tcPr>
            <w:tcW w:w="1059" w:type="dxa"/>
          </w:tcPr>
          <w:p w14:paraId="4F60467E" w14:textId="77777777" w:rsidR="00FA4AA8" w:rsidRDefault="00FA4AA8">
            <w:pPr>
              <w:pStyle w:val="TableParagraph"/>
              <w:spacing w:before="9"/>
              <w:rPr>
                <w:b/>
                <w:sz w:val="19"/>
              </w:rPr>
            </w:pPr>
          </w:p>
          <w:p w14:paraId="3B7D42B7" w14:textId="77777777" w:rsidR="00FA4AA8" w:rsidRDefault="0015611F">
            <w:pPr>
              <w:pStyle w:val="TableParagraph"/>
              <w:spacing w:before="1"/>
              <w:ind w:right="85"/>
              <w:jc w:val="right"/>
              <w:rPr>
                <w:sz w:val="18"/>
              </w:rPr>
            </w:pPr>
            <w:r>
              <w:rPr>
                <w:sz w:val="18"/>
              </w:rPr>
              <w:t>-</w:t>
            </w:r>
          </w:p>
        </w:tc>
      </w:tr>
      <w:tr w:rsidR="00FA4AA8" w14:paraId="3D4A8854" w14:textId="77777777">
        <w:trPr>
          <w:trHeight w:val="262"/>
        </w:trPr>
        <w:tc>
          <w:tcPr>
            <w:tcW w:w="4030" w:type="dxa"/>
          </w:tcPr>
          <w:p w14:paraId="5E1AB384" w14:textId="77777777" w:rsidR="00FA4AA8" w:rsidRDefault="0015611F">
            <w:pPr>
              <w:pStyle w:val="TableParagraph"/>
              <w:spacing w:before="23"/>
              <w:ind w:left="50"/>
              <w:rPr>
                <w:sz w:val="18"/>
              </w:rPr>
            </w:pPr>
            <w:r>
              <w:rPr>
                <w:sz w:val="18"/>
              </w:rPr>
              <w:t>Property, plant and equipment</w:t>
            </w:r>
          </w:p>
        </w:tc>
        <w:tc>
          <w:tcPr>
            <w:tcW w:w="1016" w:type="dxa"/>
          </w:tcPr>
          <w:p w14:paraId="4165A798" w14:textId="77777777" w:rsidR="00FA4AA8" w:rsidRDefault="0015611F">
            <w:pPr>
              <w:pStyle w:val="TableParagraph"/>
              <w:spacing w:before="23"/>
              <w:ind w:left="510" w:right="64"/>
              <w:jc w:val="center"/>
              <w:rPr>
                <w:sz w:val="18"/>
              </w:rPr>
            </w:pPr>
            <w:r>
              <w:rPr>
                <w:sz w:val="18"/>
              </w:rPr>
              <w:t>19</w:t>
            </w:r>
          </w:p>
        </w:tc>
        <w:tc>
          <w:tcPr>
            <w:tcW w:w="1373" w:type="dxa"/>
          </w:tcPr>
          <w:p w14:paraId="73DB477C" w14:textId="77777777" w:rsidR="00FA4AA8" w:rsidRDefault="0015611F">
            <w:pPr>
              <w:pStyle w:val="TableParagraph"/>
              <w:spacing w:before="25"/>
              <w:ind w:right="158"/>
              <w:jc w:val="right"/>
              <w:rPr>
                <w:b/>
                <w:sz w:val="18"/>
              </w:rPr>
            </w:pPr>
            <w:r>
              <w:rPr>
                <w:b/>
                <w:sz w:val="18"/>
              </w:rPr>
              <w:t>2,028,043</w:t>
            </w:r>
          </w:p>
        </w:tc>
        <w:tc>
          <w:tcPr>
            <w:tcW w:w="1216" w:type="dxa"/>
          </w:tcPr>
          <w:p w14:paraId="3E525503" w14:textId="77777777" w:rsidR="00FA4AA8" w:rsidRDefault="0015611F">
            <w:pPr>
              <w:pStyle w:val="TableParagraph"/>
              <w:spacing w:before="25"/>
              <w:ind w:right="244"/>
              <w:jc w:val="right"/>
              <w:rPr>
                <w:sz w:val="18"/>
              </w:rPr>
            </w:pPr>
            <w:r>
              <w:rPr>
                <w:sz w:val="18"/>
              </w:rPr>
              <w:t>1,841,078</w:t>
            </w:r>
          </w:p>
        </w:tc>
        <w:tc>
          <w:tcPr>
            <w:tcW w:w="1216" w:type="dxa"/>
          </w:tcPr>
          <w:p w14:paraId="77941C65" w14:textId="77777777" w:rsidR="00FA4AA8" w:rsidRDefault="0015611F">
            <w:pPr>
              <w:pStyle w:val="TableParagraph"/>
              <w:spacing w:before="25"/>
              <w:ind w:right="157"/>
              <w:jc w:val="right"/>
              <w:rPr>
                <w:b/>
                <w:sz w:val="18"/>
              </w:rPr>
            </w:pPr>
            <w:r>
              <w:rPr>
                <w:b/>
                <w:sz w:val="18"/>
              </w:rPr>
              <w:t>2,003,662</w:t>
            </w:r>
          </w:p>
        </w:tc>
        <w:tc>
          <w:tcPr>
            <w:tcW w:w="1059" w:type="dxa"/>
          </w:tcPr>
          <w:p w14:paraId="08123366" w14:textId="77777777" w:rsidR="00FA4AA8" w:rsidRDefault="0015611F">
            <w:pPr>
              <w:pStyle w:val="TableParagraph"/>
              <w:spacing w:before="25"/>
              <w:ind w:right="85"/>
              <w:jc w:val="right"/>
              <w:rPr>
                <w:sz w:val="18"/>
              </w:rPr>
            </w:pPr>
            <w:r>
              <w:rPr>
                <w:sz w:val="18"/>
              </w:rPr>
              <w:t>1,835,517</w:t>
            </w:r>
          </w:p>
        </w:tc>
      </w:tr>
      <w:tr w:rsidR="00FA4AA8" w14:paraId="36300203" w14:textId="77777777">
        <w:trPr>
          <w:trHeight w:val="264"/>
        </w:trPr>
        <w:tc>
          <w:tcPr>
            <w:tcW w:w="4030" w:type="dxa"/>
          </w:tcPr>
          <w:p w14:paraId="6F5CC1CC" w14:textId="77777777" w:rsidR="00FA4AA8" w:rsidRDefault="0015611F">
            <w:pPr>
              <w:pStyle w:val="TableParagraph"/>
              <w:spacing w:before="24"/>
              <w:ind w:left="50"/>
              <w:rPr>
                <w:sz w:val="18"/>
              </w:rPr>
            </w:pPr>
            <w:r>
              <w:rPr>
                <w:sz w:val="18"/>
              </w:rPr>
              <w:t>Other financial assets</w:t>
            </w:r>
          </w:p>
        </w:tc>
        <w:tc>
          <w:tcPr>
            <w:tcW w:w="1016" w:type="dxa"/>
          </w:tcPr>
          <w:p w14:paraId="5483B3A8" w14:textId="77777777" w:rsidR="00FA4AA8" w:rsidRDefault="0015611F">
            <w:pPr>
              <w:pStyle w:val="TableParagraph"/>
              <w:spacing w:before="24"/>
              <w:ind w:left="510" w:right="64"/>
              <w:jc w:val="center"/>
              <w:rPr>
                <w:sz w:val="18"/>
              </w:rPr>
            </w:pPr>
            <w:r>
              <w:rPr>
                <w:sz w:val="18"/>
              </w:rPr>
              <w:t>21</w:t>
            </w:r>
          </w:p>
        </w:tc>
        <w:tc>
          <w:tcPr>
            <w:tcW w:w="1373" w:type="dxa"/>
          </w:tcPr>
          <w:p w14:paraId="5B901A4F" w14:textId="77777777" w:rsidR="00FA4AA8" w:rsidRDefault="0015611F">
            <w:pPr>
              <w:pStyle w:val="TableParagraph"/>
              <w:spacing w:before="26"/>
              <w:ind w:right="158"/>
              <w:jc w:val="right"/>
              <w:rPr>
                <w:b/>
                <w:sz w:val="18"/>
              </w:rPr>
            </w:pPr>
            <w:r>
              <w:rPr>
                <w:b/>
                <w:sz w:val="18"/>
              </w:rPr>
              <w:t>276,110</w:t>
            </w:r>
          </w:p>
        </w:tc>
        <w:tc>
          <w:tcPr>
            <w:tcW w:w="1216" w:type="dxa"/>
          </w:tcPr>
          <w:p w14:paraId="424E2037" w14:textId="77777777" w:rsidR="00FA4AA8" w:rsidRDefault="0015611F">
            <w:pPr>
              <w:pStyle w:val="TableParagraph"/>
              <w:spacing w:before="26"/>
              <w:ind w:right="244"/>
              <w:jc w:val="right"/>
              <w:rPr>
                <w:sz w:val="18"/>
              </w:rPr>
            </w:pPr>
            <w:r>
              <w:rPr>
                <w:sz w:val="18"/>
              </w:rPr>
              <w:t>107,897</w:t>
            </w:r>
          </w:p>
        </w:tc>
        <w:tc>
          <w:tcPr>
            <w:tcW w:w="1216" w:type="dxa"/>
          </w:tcPr>
          <w:p w14:paraId="4A36BDD0" w14:textId="77777777" w:rsidR="00FA4AA8" w:rsidRDefault="0015611F">
            <w:pPr>
              <w:pStyle w:val="TableParagraph"/>
              <w:spacing w:before="26"/>
              <w:ind w:right="156"/>
              <w:jc w:val="right"/>
              <w:rPr>
                <w:b/>
                <w:sz w:val="18"/>
              </w:rPr>
            </w:pPr>
            <w:r>
              <w:rPr>
                <w:b/>
                <w:sz w:val="18"/>
              </w:rPr>
              <w:t>276,110</w:t>
            </w:r>
          </w:p>
        </w:tc>
        <w:tc>
          <w:tcPr>
            <w:tcW w:w="1059" w:type="dxa"/>
          </w:tcPr>
          <w:p w14:paraId="311CBA9E" w14:textId="77777777" w:rsidR="00FA4AA8" w:rsidRDefault="0015611F">
            <w:pPr>
              <w:pStyle w:val="TableParagraph"/>
              <w:spacing w:before="26"/>
              <w:ind w:right="85"/>
              <w:jc w:val="right"/>
              <w:rPr>
                <w:sz w:val="18"/>
              </w:rPr>
            </w:pPr>
            <w:r>
              <w:rPr>
                <w:sz w:val="18"/>
              </w:rPr>
              <w:t>107,897</w:t>
            </w:r>
          </w:p>
        </w:tc>
      </w:tr>
      <w:tr w:rsidR="00FA4AA8" w14:paraId="28D1839E" w14:textId="77777777">
        <w:trPr>
          <w:trHeight w:val="263"/>
        </w:trPr>
        <w:tc>
          <w:tcPr>
            <w:tcW w:w="4030" w:type="dxa"/>
          </w:tcPr>
          <w:p w14:paraId="6AC9F2EC" w14:textId="77777777" w:rsidR="00FA4AA8" w:rsidRDefault="0015611F">
            <w:pPr>
              <w:pStyle w:val="TableParagraph"/>
              <w:spacing w:before="24"/>
              <w:ind w:left="50"/>
              <w:rPr>
                <w:sz w:val="18"/>
              </w:rPr>
            </w:pPr>
            <w:r>
              <w:rPr>
                <w:sz w:val="18"/>
              </w:rPr>
              <w:t>Intangible assets</w:t>
            </w:r>
          </w:p>
        </w:tc>
        <w:tc>
          <w:tcPr>
            <w:tcW w:w="1016" w:type="dxa"/>
          </w:tcPr>
          <w:p w14:paraId="60792CA9" w14:textId="77777777" w:rsidR="00FA4AA8" w:rsidRDefault="0015611F">
            <w:pPr>
              <w:pStyle w:val="TableParagraph"/>
              <w:spacing w:before="24"/>
              <w:ind w:left="510" w:right="64"/>
              <w:jc w:val="center"/>
              <w:rPr>
                <w:sz w:val="18"/>
              </w:rPr>
            </w:pPr>
            <w:r>
              <w:rPr>
                <w:sz w:val="18"/>
              </w:rPr>
              <w:t>20</w:t>
            </w:r>
          </w:p>
        </w:tc>
        <w:tc>
          <w:tcPr>
            <w:tcW w:w="1373" w:type="dxa"/>
          </w:tcPr>
          <w:p w14:paraId="23B34303" w14:textId="77777777" w:rsidR="00FA4AA8" w:rsidRDefault="0015611F">
            <w:pPr>
              <w:pStyle w:val="TableParagraph"/>
              <w:spacing w:before="26"/>
              <w:ind w:right="158"/>
              <w:jc w:val="right"/>
              <w:rPr>
                <w:b/>
                <w:sz w:val="18"/>
              </w:rPr>
            </w:pPr>
            <w:r>
              <w:rPr>
                <w:b/>
                <w:sz w:val="18"/>
              </w:rPr>
              <w:t>21,308</w:t>
            </w:r>
          </w:p>
        </w:tc>
        <w:tc>
          <w:tcPr>
            <w:tcW w:w="1216" w:type="dxa"/>
          </w:tcPr>
          <w:p w14:paraId="2F1E87FB" w14:textId="77777777" w:rsidR="00FA4AA8" w:rsidRDefault="0015611F">
            <w:pPr>
              <w:pStyle w:val="TableParagraph"/>
              <w:spacing w:before="26"/>
              <w:ind w:right="244"/>
              <w:jc w:val="right"/>
              <w:rPr>
                <w:sz w:val="18"/>
              </w:rPr>
            </w:pPr>
            <w:r>
              <w:rPr>
                <w:sz w:val="18"/>
              </w:rPr>
              <w:t>14,788</w:t>
            </w:r>
          </w:p>
        </w:tc>
        <w:tc>
          <w:tcPr>
            <w:tcW w:w="1216" w:type="dxa"/>
          </w:tcPr>
          <w:p w14:paraId="4153835F" w14:textId="77777777" w:rsidR="00FA4AA8" w:rsidRDefault="0015611F">
            <w:pPr>
              <w:pStyle w:val="TableParagraph"/>
              <w:spacing w:before="26"/>
              <w:ind w:right="156"/>
              <w:jc w:val="right"/>
              <w:rPr>
                <w:b/>
                <w:sz w:val="18"/>
              </w:rPr>
            </w:pPr>
            <w:r>
              <w:rPr>
                <w:b/>
                <w:sz w:val="18"/>
              </w:rPr>
              <w:t>21,308</w:t>
            </w:r>
          </w:p>
        </w:tc>
        <w:tc>
          <w:tcPr>
            <w:tcW w:w="1059" w:type="dxa"/>
          </w:tcPr>
          <w:p w14:paraId="3BE3AF86" w14:textId="77777777" w:rsidR="00FA4AA8" w:rsidRDefault="0015611F">
            <w:pPr>
              <w:pStyle w:val="TableParagraph"/>
              <w:spacing w:before="26"/>
              <w:ind w:right="85"/>
              <w:jc w:val="right"/>
              <w:rPr>
                <w:sz w:val="18"/>
              </w:rPr>
            </w:pPr>
            <w:r>
              <w:rPr>
                <w:sz w:val="18"/>
              </w:rPr>
              <w:t>14,788</w:t>
            </w:r>
          </w:p>
        </w:tc>
      </w:tr>
      <w:tr w:rsidR="00FA4AA8" w14:paraId="1F4EC22A" w14:textId="77777777">
        <w:trPr>
          <w:trHeight w:val="258"/>
        </w:trPr>
        <w:tc>
          <w:tcPr>
            <w:tcW w:w="4030" w:type="dxa"/>
          </w:tcPr>
          <w:p w14:paraId="08B3195F" w14:textId="77777777" w:rsidR="00FA4AA8" w:rsidRDefault="0015611F">
            <w:pPr>
              <w:pStyle w:val="TableParagraph"/>
              <w:spacing w:before="24"/>
              <w:ind w:left="50"/>
              <w:rPr>
                <w:sz w:val="18"/>
              </w:rPr>
            </w:pPr>
            <w:r>
              <w:rPr>
                <w:sz w:val="18"/>
              </w:rPr>
              <w:t>Other non-financial assets</w:t>
            </w:r>
          </w:p>
        </w:tc>
        <w:tc>
          <w:tcPr>
            <w:tcW w:w="1016" w:type="dxa"/>
          </w:tcPr>
          <w:p w14:paraId="59E1043D" w14:textId="77777777" w:rsidR="00FA4AA8" w:rsidRDefault="0015611F">
            <w:pPr>
              <w:pStyle w:val="TableParagraph"/>
              <w:spacing w:before="24"/>
              <w:ind w:left="510" w:right="64"/>
              <w:jc w:val="center"/>
              <w:rPr>
                <w:sz w:val="18"/>
              </w:rPr>
            </w:pPr>
            <w:r>
              <w:rPr>
                <w:sz w:val="18"/>
              </w:rPr>
              <w:t>22</w:t>
            </w:r>
          </w:p>
        </w:tc>
        <w:tc>
          <w:tcPr>
            <w:tcW w:w="1373" w:type="dxa"/>
            <w:tcBorders>
              <w:bottom w:val="single" w:sz="8" w:space="0" w:color="000000"/>
            </w:tcBorders>
          </w:tcPr>
          <w:p w14:paraId="286C70E1" w14:textId="77777777" w:rsidR="00FA4AA8" w:rsidRDefault="0015611F">
            <w:pPr>
              <w:pStyle w:val="TableParagraph"/>
              <w:spacing w:before="26"/>
              <w:ind w:right="158"/>
              <w:jc w:val="right"/>
              <w:rPr>
                <w:b/>
                <w:sz w:val="18"/>
              </w:rPr>
            </w:pPr>
            <w:r>
              <w:rPr>
                <w:b/>
                <w:sz w:val="18"/>
              </w:rPr>
              <w:t>4,046</w:t>
            </w:r>
          </w:p>
        </w:tc>
        <w:tc>
          <w:tcPr>
            <w:tcW w:w="1216" w:type="dxa"/>
            <w:tcBorders>
              <w:bottom w:val="single" w:sz="8" w:space="0" w:color="000000"/>
            </w:tcBorders>
          </w:tcPr>
          <w:p w14:paraId="63331D9C" w14:textId="77777777" w:rsidR="00FA4AA8" w:rsidRDefault="0015611F">
            <w:pPr>
              <w:pStyle w:val="TableParagraph"/>
              <w:spacing w:before="26"/>
              <w:ind w:right="244"/>
              <w:jc w:val="right"/>
              <w:rPr>
                <w:sz w:val="18"/>
              </w:rPr>
            </w:pPr>
            <w:r>
              <w:rPr>
                <w:sz w:val="18"/>
              </w:rPr>
              <w:t>5,281</w:t>
            </w:r>
          </w:p>
        </w:tc>
        <w:tc>
          <w:tcPr>
            <w:tcW w:w="1216" w:type="dxa"/>
            <w:tcBorders>
              <w:bottom w:val="single" w:sz="8" w:space="0" w:color="000000"/>
            </w:tcBorders>
          </w:tcPr>
          <w:p w14:paraId="3B03DA84" w14:textId="77777777" w:rsidR="00FA4AA8" w:rsidRDefault="0015611F">
            <w:pPr>
              <w:pStyle w:val="TableParagraph"/>
              <w:spacing w:before="26"/>
              <w:ind w:right="156"/>
              <w:jc w:val="right"/>
              <w:rPr>
                <w:b/>
                <w:sz w:val="18"/>
              </w:rPr>
            </w:pPr>
            <w:r>
              <w:rPr>
                <w:b/>
                <w:sz w:val="18"/>
              </w:rPr>
              <w:t>4,046</w:t>
            </w:r>
          </w:p>
        </w:tc>
        <w:tc>
          <w:tcPr>
            <w:tcW w:w="1059" w:type="dxa"/>
            <w:tcBorders>
              <w:bottom w:val="single" w:sz="8" w:space="0" w:color="000000"/>
            </w:tcBorders>
          </w:tcPr>
          <w:p w14:paraId="1DE2C290" w14:textId="77777777" w:rsidR="00FA4AA8" w:rsidRDefault="0015611F">
            <w:pPr>
              <w:pStyle w:val="TableParagraph"/>
              <w:spacing w:before="26"/>
              <w:ind w:right="85"/>
              <w:jc w:val="right"/>
              <w:rPr>
                <w:sz w:val="18"/>
              </w:rPr>
            </w:pPr>
            <w:r>
              <w:rPr>
                <w:sz w:val="18"/>
              </w:rPr>
              <w:t>5,281</w:t>
            </w:r>
          </w:p>
        </w:tc>
      </w:tr>
      <w:tr w:rsidR="00FA4AA8" w14:paraId="6F81C997" w14:textId="77777777">
        <w:trPr>
          <w:trHeight w:val="318"/>
        </w:trPr>
        <w:tc>
          <w:tcPr>
            <w:tcW w:w="4030" w:type="dxa"/>
          </w:tcPr>
          <w:p w14:paraId="2B7B9369" w14:textId="77777777" w:rsidR="00FA4AA8" w:rsidRDefault="0015611F">
            <w:pPr>
              <w:pStyle w:val="TableParagraph"/>
              <w:spacing w:before="115" w:line="183" w:lineRule="exact"/>
              <w:ind w:left="50"/>
              <w:rPr>
                <w:b/>
                <w:sz w:val="18"/>
              </w:rPr>
            </w:pPr>
            <w:r>
              <w:rPr>
                <w:b/>
                <w:sz w:val="18"/>
              </w:rPr>
              <w:t>Total non-current assets</w:t>
            </w:r>
          </w:p>
        </w:tc>
        <w:tc>
          <w:tcPr>
            <w:tcW w:w="1016" w:type="dxa"/>
          </w:tcPr>
          <w:p w14:paraId="3ED2E7EE" w14:textId="77777777" w:rsidR="00FA4AA8" w:rsidRDefault="00FA4AA8">
            <w:pPr>
              <w:pStyle w:val="TableParagraph"/>
              <w:rPr>
                <w:rFonts w:ascii="Times New Roman"/>
                <w:sz w:val="18"/>
              </w:rPr>
            </w:pPr>
          </w:p>
        </w:tc>
        <w:tc>
          <w:tcPr>
            <w:tcW w:w="1373" w:type="dxa"/>
            <w:tcBorders>
              <w:top w:val="single" w:sz="8" w:space="0" w:color="000000"/>
              <w:bottom w:val="single" w:sz="8" w:space="0" w:color="000000"/>
            </w:tcBorders>
          </w:tcPr>
          <w:p w14:paraId="3C18658F" w14:textId="77777777" w:rsidR="00FA4AA8" w:rsidRDefault="0015611F">
            <w:pPr>
              <w:pStyle w:val="TableParagraph"/>
              <w:spacing w:before="115" w:line="183" w:lineRule="exact"/>
              <w:ind w:right="158"/>
              <w:jc w:val="right"/>
              <w:rPr>
                <w:b/>
                <w:sz w:val="18"/>
              </w:rPr>
            </w:pPr>
            <w:r>
              <w:rPr>
                <w:b/>
                <w:sz w:val="18"/>
              </w:rPr>
              <w:t>2,722,165</w:t>
            </w:r>
          </w:p>
        </w:tc>
        <w:tc>
          <w:tcPr>
            <w:tcW w:w="1216" w:type="dxa"/>
            <w:tcBorders>
              <w:top w:val="single" w:sz="8" w:space="0" w:color="000000"/>
              <w:bottom w:val="single" w:sz="8" w:space="0" w:color="000000"/>
            </w:tcBorders>
          </w:tcPr>
          <w:p w14:paraId="0EFCFF76" w14:textId="77777777" w:rsidR="00FA4AA8" w:rsidRDefault="0015611F">
            <w:pPr>
              <w:pStyle w:val="TableParagraph"/>
              <w:spacing w:before="115" w:line="183" w:lineRule="exact"/>
              <w:ind w:right="244"/>
              <w:jc w:val="right"/>
              <w:rPr>
                <w:sz w:val="18"/>
              </w:rPr>
            </w:pPr>
            <w:r>
              <w:rPr>
                <w:sz w:val="18"/>
              </w:rPr>
              <w:t>2,357,089</w:t>
            </w:r>
          </w:p>
        </w:tc>
        <w:tc>
          <w:tcPr>
            <w:tcW w:w="1216" w:type="dxa"/>
            <w:tcBorders>
              <w:top w:val="single" w:sz="8" w:space="0" w:color="000000"/>
              <w:bottom w:val="single" w:sz="8" w:space="0" w:color="000000"/>
            </w:tcBorders>
          </w:tcPr>
          <w:p w14:paraId="1AE1038C" w14:textId="77777777" w:rsidR="00FA4AA8" w:rsidRDefault="0015611F">
            <w:pPr>
              <w:pStyle w:val="TableParagraph"/>
              <w:spacing w:before="115" w:line="183" w:lineRule="exact"/>
              <w:ind w:right="157"/>
              <w:jc w:val="right"/>
              <w:rPr>
                <w:b/>
                <w:sz w:val="18"/>
              </w:rPr>
            </w:pPr>
            <w:r>
              <w:rPr>
                <w:b/>
                <w:sz w:val="18"/>
              </w:rPr>
              <w:t>2,720,884</w:t>
            </w:r>
          </w:p>
        </w:tc>
        <w:tc>
          <w:tcPr>
            <w:tcW w:w="1059" w:type="dxa"/>
            <w:tcBorders>
              <w:top w:val="single" w:sz="8" w:space="0" w:color="000000"/>
              <w:bottom w:val="single" w:sz="8" w:space="0" w:color="000000"/>
            </w:tcBorders>
          </w:tcPr>
          <w:p w14:paraId="4551D5BF" w14:textId="77777777" w:rsidR="00FA4AA8" w:rsidRDefault="0015611F">
            <w:pPr>
              <w:pStyle w:val="TableParagraph"/>
              <w:spacing w:before="115" w:line="183" w:lineRule="exact"/>
              <w:ind w:right="85"/>
              <w:jc w:val="right"/>
              <w:rPr>
                <w:sz w:val="18"/>
              </w:rPr>
            </w:pPr>
            <w:r>
              <w:rPr>
                <w:sz w:val="18"/>
              </w:rPr>
              <w:t>2,351,528</w:t>
            </w:r>
          </w:p>
        </w:tc>
      </w:tr>
      <w:tr w:rsidR="00FA4AA8" w14:paraId="6157053C" w14:textId="77777777">
        <w:trPr>
          <w:trHeight w:val="318"/>
        </w:trPr>
        <w:tc>
          <w:tcPr>
            <w:tcW w:w="4030" w:type="dxa"/>
          </w:tcPr>
          <w:p w14:paraId="611F9173" w14:textId="77777777" w:rsidR="00FA4AA8" w:rsidRDefault="0015611F">
            <w:pPr>
              <w:pStyle w:val="TableParagraph"/>
              <w:spacing w:before="115" w:line="183" w:lineRule="exact"/>
              <w:ind w:left="50"/>
              <w:rPr>
                <w:b/>
                <w:sz w:val="18"/>
              </w:rPr>
            </w:pPr>
            <w:r>
              <w:rPr>
                <w:b/>
                <w:sz w:val="18"/>
              </w:rPr>
              <w:t>Total assets</w:t>
            </w:r>
          </w:p>
        </w:tc>
        <w:tc>
          <w:tcPr>
            <w:tcW w:w="1016" w:type="dxa"/>
          </w:tcPr>
          <w:p w14:paraId="131BE2B0" w14:textId="77777777" w:rsidR="00FA4AA8" w:rsidRDefault="00FA4AA8">
            <w:pPr>
              <w:pStyle w:val="TableParagraph"/>
              <w:rPr>
                <w:rFonts w:ascii="Times New Roman"/>
                <w:sz w:val="18"/>
              </w:rPr>
            </w:pPr>
          </w:p>
        </w:tc>
        <w:tc>
          <w:tcPr>
            <w:tcW w:w="1373" w:type="dxa"/>
            <w:tcBorders>
              <w:top w:val="single" w:sz="8" w:space="0" w:color="000000"/>
              <w:bottom w:val="single" w:sz="8" w:space="0" w:color="000000"/>
            </w:tcBorders>
          </w:tcPr>
          <w:p w14:paraId="2FD441B8" w14:textId="77777777" w:rsidR="00FA4AA8" w:rsidRDefault="0015611F">
            <w:pPr>
              <w:pStyle w:val="TableParagraph"/>
              <w:spacing w:before="115" w:line="183" w:lineRule="exact"/>
              <w:ind w:right="158"/>
              <w:jc w:val="right"/>
              <w:rPr>
                <w:b/>
                <w:sz w:val="18"/>
              </w:rPr>
            </w:pPr>
            <w:r>
              <w:rPr>
                <w:b/>
                <w:sz w:val="18"/>
              </w:rPr>
              <w:t>2,885,640</w:t>
            </w:r>
          </w:p>
        </w:tc>
        <w:tc>
          <w:tcPr>
            <w:tcW w:w="1216" w:type="dxa"/>
            <w:tcBorders>
              <w:top w:val="single" w:sz="8" w:space="0" w:color="000000"/>
              <w:bottom w:val="single" w:sz="8" w:space="0" w:color="000000"/>
            </w:tcBorders>
          </w:tcPr>
          <w:p w14:paraId="7CEA0A21" w14:textId="77777777" w:rsidR="00FA4AA8" w:rsidRDefault="0015611F">
            <w:pPr>
              <w:pStyle w:val="TableParagraph"/>
              <w:spacing w:before="115" w:line="183" w:lineRule="exact"/>
              <w:ind w:right="244"/>
              <w:jc w:val="right"/>
              <w:rPr>
                <w:sz w:val="18"/>
              </w:rPr>
            </w:pPr>
            <w:r>
              <w:rPr>
                <w:sz w:val="18"/>
              </w:rPr>
              <w:t>2,676,518</w:t>
            </w:r>
          </w:p>
        </w:tc>
        <w:tc>
          <w:tcPr>
            <w:tcW w:w="1216" w:type="dxa"/>
            <w:tcBorders>
              <w:top w:val="single" w:sz="8" w:space="0" w:color="000000"/>
              <w:bottom w:val="single" w:sz="8" w:space="0" w:color="000000"/>
            </w:tcBorders>
          </w:tcPr>
          <w:p w14:paraId="39938F79" w14:textId="77777777" w:rsidR="00FA4AA8" w:rsidRDefault="0015611F">
            <w:pPr>
              <w:pStyle w:val="TableParagraph"/>
              <w:spacing w:before="115" w:line="183" w:lineRule="exact"/>
              <w:ind w:right="157"/>
              <w:jc w:val="right"/>
              <w:rPr>
                <w:b/>
                <w:sz w:val="18"/>
              </w:rPr>
            </w:pPr>
            <w:r>
              <w:rPr>
                <w:b/>
                <w:sz w:val="18"/>
              </w:rPr>
              <w:t>2,877,237</w:t>
            </w:r>
          </w:p>
        </w:tc>
        <w:tc>
          <w:tcPr>
            <w:tcW w:w="1059" w:type="dxa"/>
            <w:tcBorders>
              <w:top w:val="single" w:sz="8" w:space="0" w:color="000000"/>
              <w:bottom w:val="single" w:sz="8" w:space="0" w:color="000000"/>
            </w:tcBorders>
          </w:tcPr>
          <w:p w14:paraId="6CF3D59E" w14:textId="77777777" w:rsidR="00FA4AA8" w:rsidRDefault="0015611F">
            <w:pPr>
              <w:pStyle w:val="TableParagraph"/>
              <w:spacing w:before="115" w:line="183" w:lineRule="exact"/>
              <w:ind w:right="85"/>
              <w:jc w:val="right"/>
              <w:rPr>
                <w:sz w:val="18"/>
              </w:rPr>
            </w:pPr>
            <w:r>
              <w:rPr>
                <w:sz w:val="18"/>
              </w:rPr>
              <w:t>2,667,031</w:t>
            </w:r>
          </w:p>
        </w:tc>
      </w:tr>
      <w:tr w:rsidR="00FA4AA8" w14:paraId="7A1AD6D4" w14:textId="77777777">
        <w:trPr>
          <w:trHeight w:val="381"/>
        </w:trPr>
        <w:tc>
          <w:tcPr>
            <w:tcW w:w="4030" w:type="dxa"/>
          </w:tcPr>
          <w:p w14:paraId="6270ABEE" w14:textId="77777777" w:rsidR="00FA4AA8" w:rsidRDefault="0015611F">
            <w:pPr>
              <w:pStyle w:val="TableParagraph"/>
              <w:spacing w:before="115"/>
              <w:ind w:left="50"/>
              <w:rPr>
                <w:b/>
                <w:sz w:val="18"/>
              </w:rPr>
            </w:pPr>
            <w:r>
              <w:rPr>
                <w:b/>
                <w:sz w:val="18"/>
              </w:rPr>
              <w:t>Liabilities</w:t>
            </w:r>
          </w:p>
        </w:tc>
        <w:tc>
          <w:tcPr>
            <w:tcW w:w="1016" w:type="dxa"/>
          </w:tcPr>
          <w:p w14:paraId="1780C133" w14:textId="77777777" w:rsidR="00FA4AA8" w:rsidRDefault="00FA4AA8">
            <w:pPr>
              <w:pStyle w:val="TableParagraph"/>
              <w:rPr>
                <w:rFonts w:ascii="Times New Roman"/>
                <w:sz w:val="18"/>
              </w:rPr>
            </w:pPr>
          </w:p>
        </w:tc>
        <w:tc>
          <w:tcPr>
            <w:tcW w:w="1373" w:type="dxa"/>
            <w:tcBorders>
              <w:top w:val="single" w:sz="8" w:space="0" w:color="000000"/>
            </w:tcBorders>
          </w:tcPr>
          <w:p w14:paraId="41807F0B" w14:textId="77777777" w:rsidR="00FA4AA8" w:rsidRDefault="00FA4AA8">
            <w:pPr>
              <w:pStyle w:val="TableParagraph"/>
              <w:rPr>
                <w:rFonts w:ascii="Times New Roman"/>
                <w:sz w:val="18"/>
              </w:rPr>
            </w:pPr>
          </w:p>
        </w:tc>
        <w:tc>
          <w:tcPr>
            <w:tcW w:w="1216" w:type="dxa"/>
            <w:tcBorders>
              <w:top w:val="single" w:sz="8" w:space="0" w:color="000000"/>
            </w:tcBorders>
          </w:tcPr>
          <w:p w14:paraId="7996A7B4" w14:textId="77777777" w:rsidR="00FA4AA8" w:rsidRDefault="00FA4AA8">
            <w:pPr>
              <w:pStyle w:val="TableParagraph"/>
              <w:rPr>
                <w:rFonts w:ascii="Times New Roman"/>
                <w:sz w:val="18"/>
              </w:rPr>
            </w:pPr>
          </w:p>
        </w:tc>
        <w:tc>
          <w:tcPr>
            <w:tcW w:w="1216" w:type="dxa"/>
            <w:tcBorders>
              <w:top w:val="single" w:sz="8" w:space="0" w:color="000000"/>
            </w:tcBorders>
          </w:tcPr>
          <w:p w14:paraId="23AC9503" w14:textId="77777777" w:rsidR="00FA4AA8" w:rsidRDefault="00FA4AA8">
            <w:pPr>
              <w:pStyle w:val="TableParagraph"/>
              <w:rPr>
                <w:rFonts w:ascii="Times New Roman"/>
                <w:sz w:val="18"/>
              </w:rPr>
            </w:pPr>
          </w:p>
        </w:tc>
        <w:tc>
          <w:tcPr>
            <w:tcW w:w="1059" w:type="dxa"/>
            <w:tcBorders>
              <w:top w:val="single" w:sz="8" w:space="0" w:color="000000"/>
            </w:tcBorders>
          </w:tcPr>
          <w:p w14:paraId="2EDD47DE" w14:textId="77777777" w:rsidR="00FA4AA8" w:rsidRDefault="00FA4AA8">
            <w:pPr>
              <w:pStyle w:val="TableParagraph"/>
              <w:rPr>
                <w:rFonts w:ascii="Times New Roman"/>
                <w:sz w:val="18"/>
              </w:rPr>
            </w:pPr>
          </w:p>
        </w:tc>
      </w:tr>
      <w:tr w:rsidR="00FA4AA8" w14:paraId="3FC72049" w14:textId="77777777">
        <w:trPr>
          <w:trHeight w:val="276"/>
        </w:trPr>
        <w:tc>
          <w:tcPr>
            <w:tcW w:w="4030" w:type="dxa"/>
          </w:tcPr>
          <w:p w14:paraId="72B07248" w14:textId="77777777" w:rsidR="00FA4AA8" w:rsidRDefault="0015611F">
            <w:pPr>
              <w:pStyle w:val="TableParagraph"/>
              <w:spacing w:before="53" w:line="203" w:lineRule="exact"/>
              <w:ind w:left="50"/>
              <w:rPr>
                <w:b/>
                <w:sz w:val="18"/>
              </w:rPr>
            </w:pPr>
            <w:r>
              <w:rPr>
                <w:b/>
                <w:sz w:val="18"/>
              </w:rPr>
              <w:t>Current liabilities</w:t>
            </w:r>
          </w:p>
        </w:tc>
        <w:tc>
          <w:tcPr>
            <w:tcW w:w="1016" w:type="dxa"/>
          </w:tcPr>
          <w:p w14:paraId="761D2A51" w14:textId="77777777" w:rsidR="00FA4AA8" w:rsidRDefault="00FA4AA8">
            <w:pPr>
              <w:pStyle w:val="TableParagraph"/>
              <w:rPr>
                <w:rFonts w:ascii="Times New Roman"/>
                <w:sz w:val="18"/>
              </w:rPr>
            </w:pPr>
          </w:p>
        </w:tc>
        <w:tc>
          <w:tcPr>
            <w:tcW w:w="1373" w:type="dxa"/>
          </w:tcPr>
          <w:p w14:paraId="57ED507F" w14:textId="77777777" w:rsidR="00FA4AA8" w:rsidRDefault="00FA4AA8">
            <w:pPr>
              <w:pStyle w:val="TableParagraph"/>
              <w:rPr>
                <w:rFonts w:ascii="Times New Roman"/>
                <w:sz w:val="18"/>
              </w:rPr>
            </w:pPr>
          </w:p>
        </w:tc>
        <w:tc>
          <w:tcPr>
            <w:tcW w:w="1216" w:type="dxa"/>
          </w:tcPr>
          <w:p w14:paraId="463607B4" w14:textId="77777777" w:rsidR="00FA4AA8" w:rsidRDefault="00FA4AA8">
            <w:pPr>
              <w:pStyle w:val="TableParagraph"/>
              <w:rPr>
                <w:rFonts w:ascii="Times New Roman"/>
                <w:sz w:val="18"/>
              </w:rPr>
            </w:pPr>
          </w:p>
        </w:tc>
        <w:tc>
          <w:tcPr>
            <w:tcW w:w="1216" w:type="dxa"/>
          </w:tcPr>
          <w:p w14:paraId="21D26FFD" w14:textId="77777777" w:rsidR="00FA4AA8" w:rsidRDefault="00FA4AA8">
            <w:pPr>
              <w:pStyle w:val="TableParagraph"/>
              <w:rPr>
                <w:rFonts w:ascii="Times New Roman"/>
                <w:sz w:val="18"/>
              </w:rPr>
            </w:pPr>
          </w:p>
        </w:tc>
        <w:tc>
          <w:tcPr>
            <w:tcW w:w="1059" w:type="dxa"/>
          </w:tcPr>
          <w:p w14:paraId="211F1075" w14:textId="77777777" w:rsidR="00FA4AA8" w:rsidRDefault="00FA4AA8">
            <w:pPr>
              <w:pStyle w:val="TableParagraph"/>
              <w:rPr>
                <w:rFonts w:ascii="Times New Roman"/>
                <w:sz w:val="18"/>
              </w:rPr>
            </w:pPr>
          </w:p>
        </w:tc>
      </w:tr>
      <w:tr w:rsidR="00FA4AA8" w14:paraId="2B5AFC5C" w14:textId="77777777">
        <w:trPr>
          <w:trHeight w:val="249"/>
        </w:trPr>
        <w:tc>
          <w:tcPr>
            <w:tcW w:w="4030" w:type="dxa"/>
          </w:tcPr>
          <w:p w14:paraId="552E6ACF" w14:textId="77777777" w:rsidR="00FA4AA8" w:rsidRDefault="0015611F">
            <w:pPr>
              <w:pStyle w:val="TableParagraph"/>
              <w:spacing w:before="10"/>
              <w:ind w:left="50"/>
              <w:rPr>
                <w:sz w:val="18"/>
              </w:rPr>
            </w:pPr>
            <w:r>
              <w:rPr>
                <w:sz w:val="18"/>
              </w:rPr>
              <w:t>Trade and other payables</w:t>
            </w:r>
          </w:p>
        </w:tc>
        <w:tc>
          <w:tcPr>
            <w:tcW w:w="1016" w:type="dxa"/>
          </w:tcPr>
          <w:p w14:paraId="70C45C51" w14:textId="77777777" w:rsidR="00FA4AA8" w:rsidRDefault="0015611F">
            <w:pPr>
              <w:pStyle w:val="TableParagraph"/>
              <w:spacing w:before="10"/>
              <w:ind w:left="510" w:right="64"/>
              <w:jc w:val="center"/>
              <w:rPr>
                <w:sz w:val="18"/>
              </w:rPr>
            </w:pPr>
            <w:r>
              <w:rPr>
                <w:sz w:val="18"/>
              </w:rPr>
              <w:t>23</w:t>
            </w:r>
          </w:p>
        </w:tc>
        <w:tc>
          <w:tcPr>
            <w:tcW w:w="1373" w:type="dxa"/>
          </w:tcPr>
          <w:p w14:paraId="38167674" w14:textId="77777777" w:rsidR="00FA4AA8" w:rsidRDefault="0015611F">
            <w:pPr>
              <w:pStyle w:val="TableParagraph"/>
              <w:spacing w:before="12"/>
              <w:ind w:right="158"/>
              <w:jc w:val="right"/>
              <w:rPr>
                <w:b/>
                <w:sz w:val="18"/>
              </w:rPr>
            </w:pPr>
            <w:r>
              <w:rPr>
                <w:b/>
                <w:sz w:val="18"/>
              </w:rPr>
              <w:t>59,423</w:t>
            </w:r>
          </w:p>
        </w:tc>
        <w:tc>
          <w:tcPr>
            <w:tcW w:w="1216" w:type="dxa"/>
          </w:tcPr>
          <w:p w14:paraId="50CB10B0" w14:textId="77777777" w:rsidR="00FA4AA8" w:rsidRDefault="0015611F">
            <w:pPr>
              <w:pStyle w:val="TableParagraph"/>
              <w:spacing w:before="12"/>
              <w:ind w:right="244"/>
              <w:jc w:val="right"/>
              <w:rPr>
                <w:sz w:val="18"/>
              </w:rPr>
            </w:pPr>
            <w:r>
              <w:rPr>
                <w:sz w:val="18"/>
              </w:rPr>
              <w:t>56,403</w:t>
            </w:r>
          </w:p>
        </w:tc>
        <w:tc>
          <w:tcPr>
            <w:tcW w:w="1216" w:type="dxa"/>
          </w:tcPr>
          <w:p w14:paraId="194C13E5" w14:textId="77777777" w:rsidR="00FA4AA8" w:rsidRDefault="0015611F">
            <w:pPr>
              <w:pStyle w:val="TableParagraph"/>
              <w:spacing w:before="12"/>
              <w:ind w:right="156"/>
              <w:jc w:val="right"/>
              <w:rPr>
                <w:b/>
                <w:sz w:val="18"/>
              </w:rPr>
            </w:pPr>
            <w:r>
              <w:rPr>
                <w:b/>
                <w:sz w:val="18"/>
              </w:rPr>
              <w:t>58,171</w:t>
            </w:r>
          </w:p>
        </w:tc>
        <w:tc>
          <w:tcPr>
            <w:tcW w:w="1059" w:type="dxa"/>
          </w:tcPr>
          <w:p w14:paraId="16A3F782" w14:textId="77777777" w:rsidR="00FA4AA8" w:rsidRDefault="0015611F">
            <w:pPr>
              <w:pStyle w:val="TableParagraph"/>
              <w:spacing w:before="12"/>
              <w:ind w:right="85"/>
              <w:jc w:val="right"/>
              <w:rPr>
                <w:sz w:val="18"/>
              </w:rPr>
            </w:pPr>
            <w:r>
              <w:rPr>
                <w:sz w:val="18"/>
              </w:rPr>
              <w:t>55,911</w:t>
            </w:r>
          </w:p>
        </w:tc>
      </w:tr>
      <w:tr w:rsidR="00FA4AA8" w14:paraId="26C5F6E6" w14:textId="77777777">
        <w:trPr>
          <w:trHeight w:val="263"/>
        </w:trPr>
        <w:tc>
          <w:tcPr>
            <w:tcW w:w="4030" w:type="dxa"/>
          </w:tcPr>
          <w:p w14:paraId="5C902FDC" w14:textId="77777777" w:rsidR="00FA4AA8" w:rsidRDefault="0015611F">
            <w:pPr>
              <w:pStyle w:val="TableParagraph"/>
              <w:spacing w:before="24"/>
              <w:ind w:left="50"/>
              <w:rPr>
                <w:sz w:val="18"/>
              </w:rPr>
            </w:pPr>
            <w:r>
              <w:rPr>
                <w:sz w:val="18"/>
              </w:rPr>
              <w:t>Borrowings</w:t>
            </w:r>
          </w:p>
        </w:tc>
        <w:tc>
          <w:tcPr>
            <w:tcW w:w="1016" w:type="dxa"/>
          </w:tcPr>
          <w:p w14:paraId="2288EDFB" w14:textId="77777777" w:rsidR="00FA4AA8" w:rsidRDefault="0015611F">
            <w:pPr>
              <w:pStyle w:val="TableParagraph"/>
              <w:spacing w:before="24"/>
              <w:ind w:left="510" w:right="64"/>
              <w:jc w:val="center"/>
              <w:rPr>
                <w:sz w:val="18"/>
              </w:rPr>
            </w:pPr>
            <w:r>
              <w:rPr>
                <w:sz w:val="18"/>
              </w:rPr>
              <w:t>24</w:t>
            </w:r>
          </w:p>
        </w:tc>
        <w:tc>
          <w:tcPr>
            <w:tcW w:w="1373" w:type="dxa"/>
          </w:tcPr>
          <w:p w14:paraId="7A1E6E9A" w14:textId="77777777" w:rsidR="00FA4AA8" w:rsidRDefault="0015611F">
            <w:pPr>
              <w:pStyle w:val="TableParagraph"/>
              <w:spacing w:before="26"/>
              <w:ind w:right="158"/>
              <w:jc w:val="right"/>
              <w:rPr>
                <w:b/>
                <w:sz w:val="18"/>
              </w:rPr>
            </w:pPr>
            <w:r>
              <w:rPr>
                <w:b/>
                <w:sz w:val="18"/>
              </w:rPr>
              <w:t>-</w:t>
            </w:r>
          </w:p>
        </w:tc>
        <w:tc>
          <w:tcPr>
            <w:tcW w:w="1216" w:type="dxa"/>
          </w:tcPr>
          <w:p w14:paraId="7C860187" w14:textId="77777777" w:rsidR="00FA4AA8" w:rsidRDefault="0015611F">
            <w:pPr>
              <w:pStyle w:val="TableParagraph"/>
              <w:spacing w:before="26"/>
              <w:ind w:right="243"/>
              <w:jc w:val="right"/>
              <w:rPr>
                <w:sz w:val="18"/>
              </w:rPr>
            </w:pPr>
            <w:r>
              <w:rPr>
                <w:sz w:val="18"/>
              </w:rPr>
              <w:t>-</w:t>
            </w:r>
          </w:p>
        </w:tc>
        <w:tc>
          <w:tcPr>
            <w:tcW w:w="1216" w:type="dxa"/>
          </w:tcPr>
          <w:p w14:paraId="3BF59459" w14:textId="77777777" w:rsidR="00FA4AA8" w:rsidRDefault="0015611F">
            <w:pPr>
              <w:pStyle w:val="TableParagraph"/>
              <w:spacing w:before="26"/>
              <w:ind w:right="156"/>
              <w:jc w:val="right"/>
              <w:rPr>
                <w:b/>
                <w:sz w:val="18"/>
              </w:rPr>
            </w:pPr>
            <w:r>
              <w:rPr>
                <w:b/>
                <w:sz w:val="18"/>
              </w:rPr>
              <w:t>12,031</w:t>
            </w:r>
          </w:p>
        </w:tc>
        <w:tc>
          <w:tcPr>
            <w:tcW w:w="1059" w:type="dxa"/>
          </w:tcPr>
          <w:p w14:paraId="5749015B" w14:textId="77777777" w:rsidR="00FA4AA8" w:rsidRDefault="0015611F">
            <w:pPr>
              <w:pStyle w:val="TableParagraph"/>
              <w:spacing w:before="26"/>
              <w:ind w:right="85"/>
              <w:jc w:val="right"/>
              <w:rPr>
                <w:sz w:val="18"/>
              </w:rPr>
            </w:pPr>
            <w:r>
              <w:rPr>
                <w:sz w:val="18"/>
              </w:rPr>
              <w:t>9,201</w:t>
            </w:r>
          </w:p>
        </w:tc>
      </w:tr>
      <w:tr w:rsidR="00FA4AA8" w14:paraId="581B7084" w14:textId="77777777">
        <w:trPr>
          <w:trHeight w:val="264"/>
        </w:trPr>
        <w:tc>
          <w:tcPr>
            <w:tcW w:w="4030" w:type="dxa"/>
          </w:tcPr>
          <w:p w14:paraId="139D8C2E" w14:textId="77777777" w:rsidR="00FA4AA8" w:rsidRDefault="0015611F">
            <w:pPr>
              <w:pStyle w:val="TableParagraph"/>
              <w:spacing w:before="24"/>
              <w:ind w:left="50"/>
              <w:rPr>
                <w:sz w:val="18"/>
              </w:rPr>
            </w:pPr>
            <w:r>
              <w:rPr>
                <w:sz w:val="18"/>
              </w:rPr>
              <w:t>Provisions</w:t>
            </w:r>
          </w:p>
        </w:tc>
        <w:tc>
          <w:tcPr>
            <w:tcW w:w="1016" w:type="dxa"/>
          </w:tcPr>
          <w:p w14:paraId="1E178426" w14:textId="77777777" w:rsidR="00FA4AA8" w:rsidRDefault="0015611F">
            <w:pPr>
              <w:pStyle w:val="TableParagraph"/>
              <w:spacing w:before="24"/>
              <w:ind w:left="510" w:right="64"/>
              <w:jc w:val="center"/>
              <w:rPr>
                <w:sz w:val="18"/>
              </w:rPr>
            </w:pPr>
            <w:r>
              <w:rPr>
                <w:sz w:val="18"/>
              </w:rPr>
              <w:t>25</w:t>
            </w:r>
          </w:p>
        </w:tc>
        <w:tc>
          <w:tcPr>
            <w:tcW w:w="1373" w:type="dxa"/>
          </w:tcPr>
          <w:p w14:paraId="07356B91" w14:textId="77777777" w:rsidR="00FA4AA8" w:rsidRDefault="0015611F">
            <w:pPr>
              <w:pStyle w:val="TableParagraph"/>
              <w:spacing w:before="26"/>
              <w:ind w:right="158"/>
              <w:jc w:val="right"/>
              <w:rPr>
                <w:b/>
                <w:sz w:val="18"/>
              </w:rPr>
            </w:pPr>
            <w:r>
              <w:rPr>
                <w:b/>
                <w:sz w:val="18"/>
              </w:rPr>
              <w:t>80,059</w:t>
            </w:r>
          </w:p>
        </w:tc>
        <w:tc>
          <w:tcPr>
            <w:tcW w:w="1216" w:type="dxa"/>
          </w:tcPr>
          <w:p w14:paraId="276C5146" w14:textId="77777777" w:rsidR="00FA4AA8" w:rsidRDefault="0015611F">
            <w:pPr>
              <w:pStyle w:val="TableParagraph"/>
              <w:spacing w:before="26"/>
              <w:ind w:right="244"/>
              <w:jc w:val="right"/>
              <w:rPr>
                <w:sz w:val="18"/>
              </w:rPr>
            </w:pPr>
            <w:r>
              <w:rPr>
                <w:sz w:val="18"/>
              </w:rPr>
              <w:t>72,881</w:t>
            </w:r>
          </w:p>
        </w:tc>
        <w:tc>
          <w:tcPr>
            <w:tcW w:w="1216" w:type="dxa"/>
          </w:tcPr>
          <w:p w14:paraId="0176BBBB" w14:textId="77777777" w:rsidR="00FA4AA8" w:rsidRDefault="0015611F">
            <w:pPr>
              <w:pStyle w:val="TableParagraph"/>
              <w:spacing w:before="26"/>
              <w:ind w:right="156"/>
              <w:jc w:val="right"/>
              <w:rPr>
                <w:b/>
                <w:sz w:val="18"/>
              </w:rPr>
            </w:pPr>
            <w:r>
              <w:rPr>
                <w:b/>
                <w:sz w:val="18"/>
              </w:rPr>
              <w:t>77,179</w:t>
            </w:r>
          </w:p>
        </w:tc>
        <w:tc>
          <w:tcPr>
            <w:tcW w:w="1059" w:type="dxa"/>
          </w:tcPr>
          <w:p w14:paraId="430CAB7B" w14:textId="77777777" w:rsidR="00FA4AA8" w:rsidRDefault="0015611F">
            <w:pPr>
              <w:pStyle w:val="TableParagraph"/>
              <w:spacing w:before="26"/>
              <w:ind w:right="85"/>
              <w:jc w:val="right"/>
              <w:rPr>
                <w:sz w:val="18"/>
              </w:rPr>
            </w:pPr>
            <w:r>
              <w:rPr>
                <w:sz w:val="18"/>
              </w:rPr>
              <w:t>69,727</w:t>
            </w:r>
          </w:p>
        </w:tc>
      </w:tr>
      <w:tr w:rsidR="00FA4AA8" w14:paraId="00E4CBAD" w14:textId="77777777">
        <w:trPr>
          <w:trHeight w:val="258"/>
        </w:trPr>
        <w:tc>
          <w:tcPr>
            <w:tcW w:w="4030" w:type="dxa"/>
          </w:tcPr>
          <w:p w14:paraId="2FB84D4C" w14:textId="77777777" w:rsidR="00FA4AA8" w:rsidRDefault="0015611F">
            <w:pPr>
              <w:pStyle w:val="TableParagraph"/>
              <w:spacing w:before="24"/>
              <w:ind w:left="50"/>
              <w:rPr>
                <w:sz w:val="18"/>
              </w:rPr>
            </w:pPr>
            <w:r>
              <w:rPr>
                <w:sz w:val="18"/>
              </w:rPr>
              <w:t>Other liabilities</w:t>
            </w:r>
          </w:p>
        </w:tc>
        <w:tc>
          <w:tcPr>
            <w:tcW w:w="1016" w:type="dxa"/>
          </w:tcPr>
          <w:p w14:paraId="4C7A322D" w14:textId="77777777" w:rsidR="00FA4AA8" w:rsidRDefault="0015611F">
            <w:pPr>
              <w:pStyle w:val="TableParagraph"/>
              <w:spacing w:before="24"/>
              <w:ind w:left="510" w:right="64"/>
              <w:jc w:val="center"/>
              <w:rPr>
                <w:sz w:val="18"/>
              </w:rPr>
            </w:pPr>
            <w:r>
              <w:rPr>
                <w:sz w:val="18"/>
              </w:rPr>
              <w:t>26</w:t>
            </w:r>
          </w:p>
        </w:tc>
        <w:tc>
          <w:tcPr>
            <w:tcW w:w="1373" w:type="dxa"/>
            <w:tcBorders>
              <w:bottom w:val="single" w:sz="8" w:space="0" w:color="000000"/>
            </w:tcBorders>
          </w:tcPr>
          <w:p w14:paraId="06E3D2D3" w14:textId="77777777" w:rsidR="00FA4AA8" w:rsidRDefault="0015611F">
            <w:pPr>
              <w:pStyle w:val="TableParagraph"/>
              <w:spacing w:before="26"/>
              <w:ind w:right="158"/>
              <w:jc w:val="right"/>
              <w:rPr>
                <w:b/>
                <w:sz w:val="18"/>
              </w:rPr>
            </w:pPr>
            <w:r>
              <w:rPr>
                <w:b/>
                <w:sz w:val="18"/>
              </w:rPr>
              <w:t>53,296</w:t>
            </w:r>
          </w:p>
        </w:tc>
        <w:tc>
          <w:tcPr>
            <w:tcW w:w="1216" w:type="dxa"/>
            <w:tcBorders>
              <w:bottom w:val="single" w:sz="8" w:space="0" w:color="000000"/>
            </w:tcBorders>
          </w:tcPr>
          <w:p w14:paraId="6D1BA066" w14:textId="77777777" w:rsidR="00FA4AA8" w:rsidRDefault="0015611F">
            <w:pPr>
              <w:pStyle w:val="TableParagraph"/>
              <w:spacing w:before="26"/>
              <w:ind w:right="244"/>
              <w:jc w:val="right"/>
              <w:rPr>
                <w:sz w:val="18"/>
              </w:rPr>
            </w:pPr>
            <w:r>
              <w:rPr>
                <w:sz w:val="18"/>
              </w:rPr>
              <w:t>50,524</w:t>
            </w:r>
          </w:p>
        </w:tc>
        <w:tc>
          <w:tcPr>
            <w:tcW w:w="1216" w:type="dxa"/>
            <w:tcBorders>
              <w:bottom w:val="single" w:sz="8" w:space="0" w:color="000000"/>
            </w:tcBorders>
          </w:tcPr>
          <w:p w14:paraId="57E5484A" w14:textId="77777777" w:rsidR="00FA4AA8" w:rsidRDefault="0015611F">
            <w:pPr>
              <w:pStyle w:val="TableParagraph"/>
              <w:spacing w:before="26"/>
              <w:ind w:right="156"/>
              <w:jc w:val="right"/>
              <w:rPr>
                <w:b/>
                <w:sz w:val="18"/>
              </w:rPr>
            </w:pPr>
            <w:r>
              <w:rPr>
                <w:b/>
                <w:sz w:val="18"/>
              </w:rPr>
              <w:t>51,319</w:t>
            </w:r>
          </w:p>
        </w:tc>
        <w:tc>
          <w:tcPr>
            <w:tcW w:w="1059" w:type="dxa"/>
            <w:tcBorders>
              <w:bottom w:val="single" w:sz="8" w:space="0" w:color="000000"/>
            </w:tcBorders>
          </w:tcPr>
          <w:p w14:paraId="121313A1" w14:textId="77777777" w:rsidR="00FA4AA8" w:rsidRDefault="0015611F">
            <w:pPr>
              <w:pStyle w:val="TableParagraph"/>
              <w:spacing w:before="26"/>
              <w:ind w:right="85"/>
              <w:jc w:val="right"/>
              <w:rPr>
                <w:sz w:val="18"/>
              </w:rPr>
            </w:pPr>
            <w:r>
              <w:rPr>
                <w:sz w:val="18"/>
              </w:rPr>
              <w:t>48,757</w:t>
            </w:r>
          </w:p>
        </w:tc>
      </w:tr>
      <w:tr w:rsidR="00FA4AA8" w14:paraId="65AE160D" w14:textId="77777777">
        <w:trPr>
          <w:trHeight w:val="318"/>
        </w:trPr>
        <w:tc>
          <w:tcPr>
            <w:tcW w:w="4030" w:type="dxa"/>
          </w:tcPr>
          <w:p w14:paraId="64666A90" w14:textId="77777777" w:rsidR="00FA4AA8" w:rsidRDefault="0015611F">
            <w:pPr>
              <w:pStyle w:val="TableParagraph"/>
              <w:spacing w:before="115" w:line="183" w:lineRule="exact"/>
              <w:ind w:left="50"/>
              <w:rPr>
                <w:b/>
                <w:sz w:val="18"/>
              </w:rPr>
            </w:pPr>
            <w:r>
              <w:rPr>
                <w:b/>
                <w:sz w:val="18"/>
              </w:rPr>
              <w:t>Total current liabilities</w:t>
            </w:r>
          </w:p>
        </w:tc>
        <w:tc>
          <w:tcPr>
            <w:tcW w:w="1016" w:type="dxa"/>
          </w:tcPr>
          <w:p w14:paraId="4812F16D" w14:textId="77777777" w:rsidR="00FA4AA8" w:rsidRDefault="00FA4AA8">
            <w:pPr>
              <w:pStyle w:val="TableParagraph"/>
              <w:rPr>
                <w:rFonts w:ascii="Times New Roman"/>
                <w:sz w:val="18"/>
              </w:rPr>
            </w:pPr>
          </w:p>
        </w:tc>
        <w:tc>
          <w:tcPr>
            <w:tcW w:w="1373" w:type="dxa"/>
            <w:tcBorders>
              <w:top w:val="single" w:sz="8" w:space="0" w:color="000000"/>
              <w:bottom w:val="single" w:sz="8" w:space="0" w:color="000000"/>
            </w:tcBorders>
          </w:tcPr>
          <w:p w14:paraId="19C4C31C" w14:textId="77777777" w:rsidR="00FA4AA8" w:rsidRDefault="0015611F">
            <w:pPr>
              <w:pStyle w:val="TableParagraph"/>
              <w:spacing w:before="115" w:line="183" w:lineRule="exact"/>
              <w:ind w:right="158"/>
              <w:jc w:val="right"/>
              <w:rPr>
                <w:b/>
                <w:sz w:val="18"/>
              </w:rPr>
            </w:pPr>
            <w:r>
              <w:rPr>
                <w:b/>
                <w:sz w:val="18"/>
              </w:rPr>
              <w:t>192,778</w:t>
            </w:r>
          </w:p>
        </w:tc>
        <w:tc>
          <w:tcPr>
            <w:tcW w:w="1216" w:type="dxa"/>
            <w:tcBorders>
              <w:top w:val="single" w:sz="8" w:space="0" w:color="000000"/>
              <w:bottom w:val="single" w:sz="8" w:space="0" w:color="000000"/>
            </w:tcBorders>
          </w:tcPr>
          <w:p w14:paraId="2C7DBADA" w14:textId="77777777" w:rsidR="00FA4AA8" w:rsidRDefault="0015611F">
            <w:pPr>
              <w:pStyle w:val="TableParagraph"/>
              <w:spacing w:before="115" w:line="183" w:lineRule="exact"/>
              <w:ind w:right="244"/>
              <w:jc w:val="right"/>
              <w:rPr>
                <w:sz w:val="18"/>
              </w:rPr>
            </w:pPr>
            <w:r>
              <w:rPr>
                <w:sz w:val="18"/>
              </w:rPr>
              <w:t>179,808</w:t>
            </w:r>
          </w:p>
        </w:tc>
        <w:tc>
          <w:tcPr>
            <w:tcW w:w="1216" w:type="dxa"/>
            <w:tcBorders>
              <w:top w:val="single" w:sz="8" w:space="0" w:color="000000"/>
              <w:bottom w:val="single" w:sz="8" w:space="0" w:color="000000"/>
            </w:tcBorders>
          </w:tcPr>
          <w:p w14:paraId="6E760114" w14:textId="77777777" w:rsidR="00FA4AA8" w:rsidRDefault="0015611F">
            <w:pPr>
              <w:pStyle w:val="TableParagraph"/>
              <w:spacing w:before="115" w:line="183" w:lineRule="exact"/>
              <w:ind w:right="156"/>
              <w:jc w:val="right"/>
              <w:rPr>
                <w:b/>
                <w:sz w:val="18"/>
              </w:rPr>
            </w:pPr>
            <w:r>
              <w:rPr>
                <w:b/>
                <w:sz w:val="18"/>
              </w:rPr>
              <w:t>198,700</w:t>
            </w:r>
          </w:p>
        </w:tc>
        <w:tc>
          <w:tcPr>
            <w:tcW w:w="1059" w:type="dxa"/>
            <w:tcBorders>
              <w:top w:val="single" w:sz="8" w:space="0" w:color="000000"/>
              <w:bottom w:val="single" w:sz="8" w:space="0" w:color="000000"/>
            </w:tcBorders>
          </w:tcPr>
          <w:p w14:paraId="40144BD6" w14:textId="77777777" w:rsidR="00FA4AA8" w:rsidRDefault="0015611F">
            <w:pPr>
              <w:pStyle w:val="TableParagraph"/>
              <w:spacing w:before="115" w:line="183" w:lineRule="exact"/>
              <w:ind w:right="85"/>
              <w:jc w:val="right"/>
              <w:rPr>
                <w:sz w:val="18"/>
              </w:rPr>
            </w:pPr>
            <w:r>
              <w:rPr>
                <w:sz w:val="18"/>
              </w:rPr>
              <w:t>183,596</w:t>
            </w:r>
          </w:p>
        </w:tc>
      </w:tr>
      <w:tr w:rsidR="00FA4AA8" w14:paraId="2F5CFB97" w14:textId="77777777">
        <w:trPr>
          <w:trHeight w:val="337"/>
        </w:trPr>
        <w:tc>
          <w:tcPr>
            <w:tcW w:w="4030" w:type="dxa"/>
          </w:tcPr>
          <w:p w14:paraId="6290CB3C" w14:textId="77777777" w:rsidR="00FA4AA8" w:rsidRDefault="0015611F">
            <w:pPr>
              <w:pStyle w:val="TableParagraph"/>
              <w:spacing w:before="115" w:line="203" w:lineRule="exact"/>
              <w:ind w:left="50"/>
              <w:rPr>
                <w:b/>
                <w:sz w:val="18"/>
              </w:rPr>
            </w:pPr>
            <w:r>
              <w:rPr>
                <w:b/>
                <w:sz w:val="18"/>
              </w:rPr>
              <w:t>Non-current liabilities</w:t>
            </w:r>
          </w:p>
        </w:tc>
        <w:tc>
          <w:tcPr>
            <w:tcW w:w="1016" w:type="dxa"/>
          </w:tcPr>
          <w:p w14:paraId="67D1A6D1" w14:textId="77777777" w:rsidR="00FA4AA8" w:rsidRDefault="00FA4AA8">
            <w:pPr>
              <w:pStyle w:val="TableParagraph"/>
              <w:rPr>
                <w:rFonts w:ascii="Times New Roman"/>
                <w:sz w:val="18"/>
              </w:rPr>
            </w:pPr>
          </w:p>
        </w:tc>
        <w:tc>
          <w:tcPr>
            <w:tcW w:w="1373" w:type="dxa"/>
            <w:tcBorders>
              <w:top w:val="single" w:sz="8" w:space="0" w:color="000000"/>
            </w:tcBorders>
          </w:tcPr>
          <w:p w14:paraId="70F9A0F3" w14:textId="77777777" w:rsidR="00FA4AA8" w:rsidRDefault="00FA4AA8">
            <w:pPr>
              <w:pStyle w:val="TableParagraph"/>
              <w:rPr>
                <w:rFonts w:ascii="Times New Roman"/>
                <w:sz w:val="18"/>
              </w:rPr>
            </w:pPr>
          </w:p>
        </w:tc>
        <w:tc>
          <w:tcPr>
            <w:tcW w:w="1216" w:type="dxa"/>
            <w:tcBorders>
              <w:top w:val="single" w:sz="8" w:space="0" w:color="000000"/>
            </w:tcBorders>
          </w:tcPr>
          <w:p w14:paraId="33A0823D" w14:textId="77777777" w:rsidR="00FA4AA8" w:rsidRDefault="00FA4AA8">
            <w:pPr>
              <w:pStyle w:val="TableParagraph"/>
              <w:rPr>
                <w:rFonts w:ascii="Times New Roman"/>
                <w:sz w:val="18"/>
              </w:rPr>
            </w:pPr>
          </w:p>
        </w:tc>
        <w:tc>
          <w:tcPr>
            <w:tcW w:w="1216" w:type="dxa"/>
            <w:tcBorders>
              <w:top w:val="single" w:sz="8" w:space="0" w:color="000000"/>
            </w:tcBorders>
          </w:tcPr>
          <w:p w14:paraId="2FB130A8" w14:textId="77777777" w:rsidR="00FA4AA8" w:rsidRDefault="00FA4AA8">
            <w:pPr>
              <w:pStyle w:val="TableParagraph"/>
              <w:rPr>
                <w:rFonts w:ascii="Times New Roman"/>
                <w:sz w:val="18"/>
              </w:rPr>
            </w:pPr>
          </w:p>
        </w:tc>
        <w:tc>
          <w:tcPr>
            <w:tcW w:w="1059" w:type="dxa"/>
            <w:tcBorders>
              <w:top w:val="single" w:sz="8" w:space="0" w:color="000000"/>
            </w:tcBorders>
          </w:tcPr>
          <w:p w14:paraId="3BA47659" w14:textId="77777777" w:rsidR="00FA4AA8" w:rsidRDefault="00FA4AA8">
            <w:pPr>
              <w:pStyle w:val="TableParagraph"/>
              <w:rPr>
                <w:rFonts w:ascii="Times New Roman"/>
                <w:sz w:val="18"/>
              </w:rPr>
            </w:pPr>
          </w:p>
        </w:tc>
      </w:tr>
      <w:tr w:rsidR="00FA4AA8" w14:paraId="6234DE61" w14:textId="77777777">
        <w:trPr>
          <w:trHeight w:val="249"/>
        </w:trPr>
        <w:tc>
          <w:tcPr>
            <w:tcW w:w="4030" w:type="dxa"/>
          </w:tcPr>
          <w:p w14:paraId="1D2C9FBB" w14:textId="77777777" w:rsidR="00FA4AA8" w:rsidRDefault="0015611F">
            <w:pPr>
              <w:pStyle w:val="TableParagraph"/>
              <w:spacing w:before="10"/>
              <w:ind w:left="50"/>
              <w:rPr>
                <w:sz w:val="18"/>
              </w:rPr>
            </w:pPr>
            <w:r>
              <w:rPr>
                <w:sz w:val="18"/>
              </w:rPr>
              <w:t>Trade and other payables</w:t>
            </w:r>
          </w:p>
        </w:tc>
        <w:tc>
          <w:tcPr>
            <w:tcW w:w="1016" w:type="dxa"/>
          </w:tcPr>
          <w:p w14:paraId="53F89489" w14:textId="77777777" w:rsidR="00FA4AA8" w:rsidRDefault="0015611F">
            <w:pPr>
              <w:pStyle w:val="TableParagraph"/>
              <w:spacing w:before="10"/>
              <w:ind w:left="510" w:right="64"/>
              <w:jc w:val="center"/>
              <w:rPr>
                <w:sz w:val="18"/>
              </w:rPr>
            </w:pPr>
            <w:r>
              <w:rPr>
                <w:sz w:val="18"/>
              </w:rPr>
              <w:t>23</w:t>
            </w:r>
          </w:p>
        </w:tc>
        <w:tc>
          <w:tcPr>
            <w:tcW w:w="1373" w:type="dxa"/>
          </w:tcPr>
          <w:p w14:paraId="0267302D" w14:textId="77777777" w:rsidR="00FA4AA8" w:rsidRDefault="0015611F">
            <w:pPr>
              <w:pStyle w:val="TableParagraph"/>
              <w:spacing w:before="12"/>
              <w:ind w:right="158"/>
              <w:jc w:val="right"/>
              <w:rPr>
                <w:b/>
                <w:sz w:val="18"/>
              </w:rPr>
            </w:pPr>
            <w:r>
              <w:rPr>
                <w:b/>
                <w:sz w:val="18"/>
              </w:rPr>
              <w:t>3,943</w:t>
            </w:r>
          </w:p>
        </w:tc>
        <w:tc>
          <w:tcPr>
            <w:tcW w:w="1216" w:type="dxa"/>
          </w:tcPr>
          <w:p w14:paraId="4BAFF11C" w14:textId="77777777" w:rsidR="00FA4AA8" w:rsidRDefault="0015611F">
            <w:pPr>
              <w:pStyle w:val="TableParagraph"/>
              <w:spacing w:before="12"/>
              <w:ind w:right="244"/>
              <w:jc w:val="right"/>
              <w:rPr>
                <w:sz w:val="18"/>
              </w:rPr>
            </w:pPr>
            <w:r>
              <w:rPr>
                <w:sz w:val="18"/>
              </w:rPr>
              <w:t>3,520</w:t>
            </w:r>
          </w:p>
        </w:tc>
        <w:tc>
          <w:tcPr>
            <w:tcW w:w="1216" w:type="dxa"/>
          </w:tcPr>
          <w:p w14:paraId="37C192F2" w14:textId="77777777" w:rsidR="00FA4AA8" w:rsidRDefault="0015611F">
            <w:pPr>
              <w:pStyle w:val="TableParagraph"/>
              <w:spacing w:before="12"/>
              <w:ind w:right="156"/>
              <w:jc w:val="right"/>
              <w:rPr>
                <w:b/>
                <w:sz w:val="18"/>
              </w:rPr>
            </w:pPr>
            <w:r>
              <w:rPr>
                <w:b/>
                <w:sz w:val="18"/>
              </w:rPr>
              <w:t>3,943</w:t>
            </w:r>
          </w:p>
        </w:tc>
        <w:tc>
          <w:tcPr>
            <w:tcW w:w="1059" w:type="dxa"/>
          </w:tcPr>
          <w:p w14:paraId="182F1B3E" w14:textId="77777777" w:rsidR="00FA4AA8" w:rsidRDefault="0015611F">
            <w:pPr>
              <w:pStyle w:val="TableParagraph"/>
              <w:spacing w:before="12"/>
              <w:ind w:right="85"/>
              <w:jc w:val="right"/>
              <w:rPr>
                <w:sz w:val="18"/>
              </w:rPr>
            </w:pPr>
            <w:r>
              <w:rPr>
                <w:sz w:val="18"/>
              </w:rPr>
              <w:t>3,520</w:t>
            </w:r>
          </w:p>
        </w:tc>
      </w:tr>
      <w:tr w:rsidR="00FA4AA8" w14:paraId="28031E76" w14:textId="77777777">
        <w:trPr>
          <w:trHeight w:val="307"/>
        </w:trPr>
        <w:tc>
          <w:tcPr>
            <w:tcW w:w="4030" w:type="dxa"/>
          </w:tcPr>
          <w:p w14:paraId="21442CAC" w14:textId="77777777" w:rsidR="00FA4AA8" w:rsidRDefault="0015611F">
            <w:pPr>
              <w:pStyle w:val="TableParagraph"/>
              <w:spacing w:before="24"/>
              <w:ind w:left="50"/>
              <w:rPr>
                <w:sz w:val="18"/>
              </w:rPr>
            </w:pPr>
            <w:r>
              <w:rPr>
                <w:sz w:val="18"/>
              </w:rPr>
              <w:t>Borrowings</w:t>
            </w:r>
          </w:p>
        </w:tc>
        <w:tc>
          <w:tcPr>
            <w:tcW w:w="1016" w:type="dxa"/>
          </w:tcPr>
          <w:p w14:paraId="4F727882" w14:textId="77777777" w:rsidR="00FA4AA8" w:rsidRDefault="0015611F">
            <w:pPr>
              <w:pStyle w:val="TableParagraph"/>
              <w:spacing w:before="24"/>
              <w:ind w:left="510" w:right="64"/>
              <w:jc w:val="center"/>
              <w:rPr>
                <w:sz w:val="18"/>
              </w:rPr>
            </w:pPr>
            <w:r>
              <w:rPr>
                <w:sz w:val="18"/>
              </w:rPr>
              <w:t>24</w:t>
            </w:r>
          </w:p>
        </w:tc>
        <w:tc>
          <w:tcPr>
            <w:tcW w:w="1373" w:type="dxa"/>
          </w:tcPr>
          <w:p w14:paraId="7585EBA4" w14:textId="77777777" w:rsidR="00FA4AA8" w:rsidRDefault="0015611F">
            <w:pPr>
              <w:pStyle w:val="TableParagraph"/>
              <w:spacing w:before="26"/>
              <w:ind w:right="158"/>
              <w:jc w:val="right"/>
              <w:rPr>
                <w:b/>
                <w:sz w:val="18"/>
              </w:rPr>
            </w:pPr>
            <w:r>
              <w:rPr>
                <w:b/>
                <w:sz w:val="18"/>
              </w:rPr>
              <w:t>162,500</w:t>
            </w:r>
          </w:p>
        </w:tc>
        <w:tc>
          <w:tcPr>
            <w:tcW w:w="1216" w:type="dxa"/>
          </w:tcPr>
          <w:p w14:paraId="2DADD94E" w14:textId="77777777" w:rsidR="00FA4AA8" w:rsidRDefault="0015611F">
            <w:pPr>
              <w:pStyle w:val="TableParagraph"/>
              <w:spacing w:before="26"/>
              <w:ind w:right="244"/>
              <w:jc w:val="right"/>
              <w:rPr>
                <w:sz w:val="18"/>
              </w:rPr>
            </w:pPr>
            <w:r>
              <w:rPr>
                <w:sz w:val="18"/>
              </w:rPr>
              <w:t>163,500</w:t>
            </w:r>
          </w:p>
        </w:tc>
        <w:tc>
          <w:tcPr>
            <w:tcW w:w="1216" w:type="dxa"/>
          </w:tcPr>
          <w:p w14:paraId="01766061" w14:textId="77777777" w:rsidR="00FA4AA8" w:rsidRDefault="0015611F">
            <w:pPr>
              <w:pStyle w:val="TableParagraph"/>
              <w:spacing w:before="26"/>
              <w:ind w:right="156"/>
              <w:jc w:val="right"/>
              <w:rPr>
                <w:b/>
                <w:sz w:val="18"/>
              </w:rPr>
            </w:pPr>
            <w:r>
              <w:rPr>
                <w:b/>
                <w:sz w:val="18"/>
              </w:rPr>
              <w:t>162,500</w:t>
            </w:r>
          </w:p>
        </w:tc>
        <w:tc>
          <w:tcPr>
            <w:tcW w:w="1059" w:type="dxa"/>
          </w:tcPr>
          <w:p w14:paraId="355C10F4" w14:textId="77777777" w:rsidR="00FA4AA8" w:rsidRDefault="0015611F">
            <w:pPr>
              <w:pStyle w:val="TableParagraph"/>
              <w:spacing w:before="26"/>
              <w:ind w:right="85"/>
              <w:jc w:val="right"/>
              <w:rPr>
                <w:sz w:val="18"/>
              </w:rPr>
            </w:pPr>
            <w:r>
              <w:rPr>
                <w:sz w:val="18"/>
              </w:rPr>
              <w:t>163,500</w:t>
            </w:r>
          </w:p>
        </w:tc>
      </w:tr>
      <w:tr w:rsidR="00FA4AA8" w14:paraId="6CEDB9FB" w14:textId="77777777">
        <w:trPr>
          <w:trHeight w:val="290"/>
        </w:trPr>
        <w:tc>
          <w:tcPr>
            <w:tcW w:w="4030" w:type="dxa"/>
          </w:tcPr>
          <w:p w14:paraId="1AB44E3A" w14:textId="77777777" w:rsidR="00FA4AA8" w:rsidRDefault="0015611F">
            <w:pPr>
              <w:pStyle w:val="TableParagraph"/>
              <w:spacing w:line="191" w:lineRule="exact"/>
              <w:ind w:left="50"/>
              <w:rPr>
                <w:sz w:val="18"/>
              </w:rPr>
            </w:pPr>
            <w:r>
              <w:rPr>
                <w:sz w:val="18"/>
              </w:rPr>
              <w:t>Provisions</w:t>
            </w:r>
          </w:p>
        </w:tc>
        <w:tc>
          <w:tcPr>
            <w:tcW w:w="1016" w:type="dxa"/>
          </w:tcPr>
          <w:p w14:paraId="1229CF7E" w14:textId="77777777" w:rsidR="00FA4AA8" w:rsidRDefault="0015611F">
            <w:pPr>
              <w:pStyle w:val="TableParagraph"/>
              <w:spacing w:line="188" w:lineRule="exact"/>
              <w:ind w:left="510" w:right="64"/>
              <w:jc w:val="center"/>
              <w:rPr>
                <w:sz w:val="18"/>
              </w:rPr>
            </w:pPr>
            <w:r>
              <w:rPr>
                <w:sz w:val="18"/>
              </w:rPr>
              <w:t>25</w:t>
            </w:r>
          </w:p>
        </w:tc>
        <w:tc>
          <w:tcPr>
            <w:tcW w:w="1373" w:type="dxa"/>
          </w:tcPr>
          <w:p w14:paraId="6909CA62" w14:textId="77777777" w:rsidR="00FA4AA8" w:rsidRDefault="0015611F">
            <w:pPr>
              <w:pStyle w:val="TableParagraph"/>
              <w:spacing w:before="67" w:line="203" w:lineRule="exact"/>
              <w:ind w:right="158"/>
              <w:jc w:val="right"/>
              <w:rPr>
                <w:b/>
                <w:sz w:val="18"/>
              </w:rPr>
            </w:pPr>
            <w:r>
              <w:rPr>
                <w:b/>
                <w:sz w:val="18"/>
              </w:rPr>
              <w:t>397,852</w:t>
            </w:r>
          </w:p>
        </w:tc>
        <w:tc>
          <w:tcPr>
            <w:tcW w:w="1216" w:type="dxa"/>
          </w:tcPr>
          <w:p w14:paraId="37A5FD3D" w14:textId="77777777" w:rsidR="00FA4AA8" w:rsidRDefault="0015611F">
            <w:pPr>
              <w:pStyle w:val="TableParagraph"/>
              <w:spacing w:before="67" w:line="203" w:lineRule="exact"/>
              <w:ind w:right="244"/>
              <w:jc w:val="right"/>
              <w:rPr>
                <w:sz w:val="18"/>
              </w:rPr>
            </w:pPr>
            <w:r>
              <w:rPr>
                <w:sz w:val="18"/>
              </w:rPr>
              <w:t>367,774</w:t>
            </w:r>
          </w:p>
        </w:tc>
        <w:tc>
          <w:tcPr>
            <w:tcW w:w="1216" w:type="dxa"/>
          </w:tcPr>
          <w:p w14:paraId="75F0D10B" w14:textId="77777777" w:rsidR="00FA4AA8" w:rsidRDefault="0015611F">
            <w:pPr>
              <w:pStyle w:val="TableParagraph"/>
              <w:spacing w:before="67" w:line="203" w:lineRule="exact"/>
              <w:ind w:right="156"/>
              <w:jc w:val="right"/>
              <w:rPr>
                <w:b/>
                <w:sz w:val="18"/>
              </w:rPr>
            </w:pPr>
            <w:r>
              <w:rPr>
                <w:b/>
                <w:sz w:val="18"/>
              </w:rPr>
              <w:t>396,837</w:t>
            </w:r>
          </w:p>
        </w:tc>
        <w:tc>
          <w:tcPr>
            <w:tcW w:w="1059" w:type="dxa"/>
          </w:tcPr>
          <w:p w14:paraId="32908291" w14:textId="77777777" w:rsidR="00FA4AA8" w:rsidRDefault="0015611F">
            <w:pPr>
              <w:pStyle w:val="TableParagraph"/>
              <w:spacing w:before="67" w:line="203" w:lineRule="exact"/>
              <w:ind w:right="85"/>
              <w:jc w:val="right"/>
              <w:rPr>
                <w:sz w:val="18"/>
              </w:rPr>
            </w:pPr>
            <w:r>
              <w:rPr>
                <w:sz w:val="18"/>
              </w:rPr>
              <w:t>366,864</w:t>
            </w:r>
          </w:p>
        </w:tc>
      </w:tr>
      <w:tr w:rsidR="00FA4AA8" w14:paraId="42069CAC" w14:textId="77777777">
        <w:trPr>
          <w:trHeight w:val="244"/>
        </w:trPr>
        <w:tc>
          <w:tcPr>
            <w:tcW w:w="4030" w:type="dxa"/>
          </w:tcPr>
          <w:p w14:paraId="7704D30F" w14:textId="77777777" w:rsidR="00FA4AA8" w:rsidRDefault="0015611F">
            <w:pPr>
              <w:pStyle w:val="TableParagraph"/>
              <w:spacing w:before="10"/>
              <w:ind w:left="50"/>
              <w:rPr>
                <w:sz w:val="18"/>
              </w:rPr>
            </w:pPr>
            <w:r>
              <w:rPr>
                <w:sz w:val="18"/>
              </w:rPr>
              <w:t>Other liabilities</w:t>
            </w:r>
          </w:p>
        </w:tc>
        <w:tc>
          <w:tcPr>
            <w:tcW w:w="1016" w:type="dxa"/>
          </w:tcPr>
          <w:p w14:paraId="0F21D07A" w14:textId="77777777" w:rsidR="00FA4AA8" w:rsidRDefault="0015611F">
            <w:pPr>
              <w:pStyle w:val="TableParagraph"/>
              <w:spacing w:before="10"/>
              <w:ind w:left="510" w:right="64"/>
              <w:jc w:val="center"/>
              <w:rPr>
                <w:sz w:val="18"/>
              </w:rPr>
            </w:pPr>
            <w:r>
              <w:rPr>
                <w:sz w:val="18"/>
              </w:rPr>
              <w:t>26</w:t>
            </w:r>
          </w:p>
        </w:tc>
        <w:tc>
          <w:tcPr>
            <w:tcW w:w="1373" w:type="dxa"/>
            <w:tcBorders>
              <w:bottom w:val="single" w:sz="8" w:space="0" w:color="000000"/>
            </w:tcBorders>
          </w:tcPr>
          <w:p w14:paraId="1F478CB3" w14:textId="77777777" w:rsidR="00FA4AA8" w:rsidRDefault="0015611F">
            <w:pPr>
              <w:pStyle w:val="TableParagraph"/>
              <w:spacing w:before="12"/>
              <w:ind w:right="158"/>
              <w:jc w:val="right"/>
              <w:rPr>
                <w:b/>
                <w:sz w:val="18"/>
              </w:rPr>
            </w:pPr>
            <w:r>
              <w:rPr>
                <w:b/>
                <w:sz w:val="18"/>
              </w:rPr>
              <w:t>47,064</w:t>
            </w:r>
          </w:p>
        </w:tc>
        <w:tc>
          <w:tcPr>
            <w:tcW w:w="1216" w:type="dxa"/>
            <w:tcBorders>
              <w:bottom w:val="single" w:sz="8" w:space="0" w:color="000000"/>
            </w:tcBorders>
          </w:tcPr>
          <w:p w14:paraId="16ED613B" w14:textId="77777777" w:rsidR="00FA4AA8" w:rsidRDefault="0015611F">
            <w:pPr>
              <w:pStyle w:val="TableParagraph"/>
              <w:spacing w:before="12"/>
              <w:ind w:right="244"/>
              <w:jc w:val="right"/>
              <w:rPr>
                <w:sz w:val="18"/>
              </w:rPr>
            </w:pPr>
            <w:r>
              <w:rPr>
                <w:sz w:val="18"/>
              </w:rPr>
              <w:t>49,125</w:t>
            </w:r>
          </w:p>
        </w:tc>
        <w:tc>
          <w:tcPr>
            <w:tcW w:w="1216" w:type="dxa"/>
            <w:tcBorders>
              <w:bottom w:val="single" w:sz="8" w:space="0" w:color="000000"/>
            </w:tcBorders>
          </w:tcPr>
          <w:p w14:paraId="2BB7E2BC" w14:textId="77777777" w:rsidR="00FA4AA8" w:rsidRDefault="0015611F">
            <w:pPr>
              <w:pStyle w:val="TableParagraph"/>
              <w:spacing w:before="12"/>
              <w:ind w:right="156"/>
              <w:jc w:val="right"/>
              <w:rPr>
                <w:b/>
                <w:sz w:val="18"/>
              </w:rPr>
            </w:pPr>
            <w:r>
              <w:rPr>
                <w:b/>
                <w:sz w:val="18"/>
              </w:rPr>
              <w:t>47,064</w:t>
            </w:r>
          </w:p>
        </w:tc>
        <w:tc>
          <w:tcPr>
            <w:tcW w:w="1059" w:type="dxa"/>
            <w:tcBorders>
              <w:bottom w:val="single" w:sz="8" w:space="0" w:color="000000"/>
            </w:tcBorders>
          </w:tcPr>
          <w:p w14:paraId="48821904" w14:textId="77777777" w:rsidR="00FA4AA8" w:rsidRDefault="0015611F">
            <w:pPr>
              <w:pStyle w:val="TableParagraph"/>
              <w:spacing w:before="12"/>
              <w:ind w:right="85"/>
              <w:jc w:val="right"/>
              <w:rPr>
                <w:sz w:val="18"/>
              </w:rPr>
            </w:pPr>
            <w:r>
              <w:rPr>
                <w:sz w:val="18"/>
              </w:rPr>
              <w:t>49,125</w:t>
            </w:r>
          </w:p>
        </w:tc>
      </w:tr>
      <w:tr w:rsidR="00FA4AA8" w14:paraId="31B03BA5" w14:textId="77777777">
        <w:trPr>
          <w:trHeight w:val="318"/>
        </w:trPr>
        <w:tc>
          <w:tcPr>
            <w:tcW w:w="4030" w:type="dxa"/>
          </w:tcPr>
          <w:p w14:paraId="12B553BF" w14:textId="77777777" w:rsidR="00FA4AA8" w:rsidRDefault="0015611F">
            <w:pPr>
              <w:pStyle w:val="TableParagraph"/>
              <w:spacing w:before="115" w:line="183" w:lineRule="exact"/>
              <w:ind w:left="50"/>
              <w:rPr>
                <w:b/>
                <w:sz w:val="18"/>
              </w:rPr>
            </w:pPr>
            <w:r>
              <w:rPr>
                <w:b/>
                <w:sz w:val="18"/>
              </w:rPr>
              <w:t>Total non-current liabilities</w:t>
            </w:r>
          </w:p>
        </w:tc>
        <w:tc>
          <w:tcPr>
            <w:tcW w:w="1016" w:type="dxa"/>
          </w:tcPr>
          <w:p w14:paraId="515A7105" w14:textId="77777777" w:rsidR="00FA4AA8" w:rsidRDefault="00FA4AA8">
            <w:pPr>
              <w:pStyle w:val="TableParagraph"/>
              <w:rPr>
                <w:rFonts w:ascii="Times New Roman"/>
                <w:sz w:val="18"/>
              </w:rPr>
            </w:pPr>
          </w:p>
        </w:tc>
        <w:tc>
          <w:tcPr>
            <w:tcW w:w="1373" w:type="dxa"/>
            <w:tcBorders>
              <w:top w:val="single" w:sz="8" w:space="0" w:color="000000"/>
              <w:bottom w:val="single" w:sz="8" w:space="0" w:color="000000"/>
            </w:tcBorders>
          </w:tcPr>
          <w:p w14:paraId="15AEB438" w14:textId="77777777" w:rsidR="00FA4AA8" w:rsidRDefault="0015611F">
            <w:pPr>
              <w:pStyle w:val="TableParagraph"/>
              <w:spacing w:before="115" w:line="183" w:lineRule="exact"/>
              <w:ind w:right="158"/>
              <w:jc w:val="right"/>
              <w:rPr>
                <w:b/>
                <w:sz w:val="18"/>
              </w:rPr>
            </w:pPr>
            <w:r>
              <w:rPr>
                <w:b/>
                <w:sz w:val="18"/>
              </w:rPr>
              <w:t>611,359</w:t>
            </w:r>
          </w:p>
        </w:tc>
        <w:tc>
          <w:tcPr>
            <w:tcW w:w="1216" w:type="dxa"/>
            <w:tcBorders>
              <w:top w:val="single" w:sz="8" w:space="0" w:color="000000"/>
              <w:bottom w:val="single" w:sz="8" w:space="0" w:color="000000"/>
            </w:tcBorders>
          </w:tcPr>
          <w:p w14:paraId="6A44954B" w14:textId="77777777" w:rsidR="00FA4AA8" w:rsidRDefault="0015611F">
            <w:pPr>
              <w:pStyle w:val="TableParagraph"/>
              <w:spacing w:before="115" w:line="183" w:lineRule="exact"/>
              <w:ind w:right="244"/>
              <w:jc w:val="right"/>
              <w:rPr>
                <w:sz w:val="18"/>
              </w:rPr>
            </w:pPr>
            <w:r>
              <w:rPr>
                <w:sz w:val="18"/>
              </w:rPr>
              <w:t>583,919</w:t>
            </w:r>
          </w:p>
        </w:tc>
        <w:tc>
          <w:tcPr>
            <w:tcW w:w="1216" w:type="dxa"/>
            <w:tcBorders>
              <w:top w:val="single" w:sz="8" w:space="0" w:color="000000"/>
              <w:bottom w:val="single" w:sz="8" w:space="0" w:color="000000"/>
            </w:tcBorders>
          </w:tcPr>
          <w:p w14:paraId="64204CFD" w14:textId="77777777" w:rsidR="00FA4AA8" w:rsidRDefault="0015611F">
            <w:pPr>
              <w:pStyle w:val="TableParagraph"/>
              <w:spacing w:before="115" w:line="183" w:lineRule="exact"/>
              <w:ind w:right="156"/>
              <w:jc w:val="right"/>
              <w:rPr>
                <w:b/>
                <w:sz w:val="18"/>
              </w:rPr>
            </w:pPr>
            <w:r>
              <w:rPr>
                <w:b/>
                <w:sz w:val="18"/>
              </w:rPr>
              <w:t>610,344</w:t>
            </w:r>
          </w:p>
        </w:tc>
        <w:tc>
          <w:tcPr>
            <w:tcW w:w="1059" w:type="dxa"/>
            <w:tcBorders>
              <w:top w:val="single" w:sz="8" w:space="0" w:color="000000"/>
              <w:bottom w:val="single" w:sz="8" w:space="0" w:color="000000"/>
            </w:tcBorders>
          </w:tcPr>
          <w:p w14:paraId="46367195" w14:textId="77777777" w:rsidR="00FA4AA8" w:rsidRDefault="0015611F">
            <w:pPr>
              <w:pStyle w:val="TableParagraph"/>
              <w:spacing w:before="115" w:line="183" w:lineRule="exact"/>
              <w:ind w:right="85"/>
              <w:jc w:val="right"/>
              <w:rPr>
                <w:sz w:val="18"/>
              </w:rPr>
            </w:pPr>
            <w:r>
              <w:rPr>
                <w:sz w:val="18"/>
              </w:rPr>
              <w:t>583,009</w:t>
            </w:r>
          </w:p>
        </w:tc>
      </w:tr>
      <w:tr w:rsidR="00FA4AA8" w14:paraId="27277FEE" w14:textId="77777777">
        <w:trPr>
          <w:trHeight w:val="318"/>
        </w:trPr>
        <w:tc>
          <w:tcPr>
            <w:tcW w:w="4030" w:type="dxa"/>
          </w:tcPr>
          <w:p w14:paraId="50ECEC9A" w14:textId="77777777" w:rsidR="00FA4AA8" w:rsidRDefault="0015611F">
            <w:pPr>
              <w:pStyle w:val="TableParagraph"/>
              <w:spacing w:before="115" w:line="183" w:lineRule="exact"/>
              <w:ind w:left="50"/>
              <w:rPr>
                <w:b/>
                <w:sz w:val="18"/>
              </w:rPr>
            </w:pPr>
            <w:r>
              <w:rPr>
                <w:b/>
                <w:sz w:val="18"/>
              </w:rPr>
              <w:t>Total liabilities</w:t>
            </w:r>
          </w:p>
        </w:tc>
        <w:tc>
          <w:tcPr>
            <w:tcW w:w="1016" w:type="dxa"/>
          </w:tcPr>
          <w:p w14:paraId="2C3DAA9C" w14:textId="77777777" w:rsidR="00FA4AA8" w:rsidRDefault="00FA4AA8">
            <w:pPr>
              <w:pStyle w:val="TableParagraph"/>
              <w:rPr>
                <w:rFonts w:ascii="Times New Roman"/>
                <w:sz w:val="18"/>
              </w:rPr>
            </w:pPr>
          </w:p>
        </w:tc>
        <w:tc>
          <w:tcPr>
            <w:tcW w:w="1373" w:type="dxa"/>
            <w:tcBorders>
              <w:top w:val="single" w:sz="8" w:space="0" w:color="000000"/>
              <w:bottom w:val="single" w:sz="8" w:space="0" w:color="000000"/>
            </w:tcBorders>
          </w:tcPr>
          <w:p w14:paraId="54C6F445" w14:textId="77777777" w:rsidR="00FA4AA8" w:rsidRDefault="0015611F">
            <w:pPr>
              <w:pStyle w:val="TableParagraph"/>
              <w:spacing w:before="115" w:line="183" w:lineRule="exact"/>
              <w:ind w:right="158"/>
              <w:jc w:val="right"/>
              <w:rPr>
                <w:b/>
                <w:sz w:val="18"/>
              </w:rPr>
            </w:pPr>
            <w:r>
              <w:rPr>
                <w:b/>
                <w:sz w:val="18"/>
              </w:rPr>
              <w:t>804,137</w:t>
            </w:r>
          </w:p>
        </w:tc>
        <w:tc>
          <w:tcPr>
            <w:tcW w:w="1216" w:type="dxa"/>
            <w:tcBorders>
              <w:top w:val="single" w:sz="8" w:space="0" w:color="000000"/>
              <w:bottom w:val="single" w:sz="8" w:space="0" w:color="000000"/>
            </w:tcBorders>
          </w:tcPr>
          <w:p w14:paraId="6F95CD7C" w14:textId="77777777" w:rsidR="00FA4AA8" w:rsidRDefault="0015611F">
            <w:pPr>
              <w:pStyle w:val="TableParagraph"/>
              <w:spacing w:before="115" w:line="183" w:lineRule="exact"/>
              <w:ind w:right="244"/>
              <w:jc w:val="right"/>
              <w:rPr>
                <w:sz w:val="18"/>
              </w:rPr>
            </w:pPr>
            <w:r>
              <w:rPr>
                <w:sz w:val="18"/>
              </w:rPr>
              <w:t>763,727</w:t>
            </w:r>
          </w:p>
        </w:tc>
        <w:tc>
          <w:tcPr>
            <w:tcW w:w="1216" w:type="dxa"/>
            <w:tcBorders>
              <w:top w:val="single" w:sz="8" w:space="0" w:color="000000"/>
              <w:bottom w:val="single" w:sz="8" w:space="0" w:color="000000"/>
            </w:tcBorders>
          </w:tcPr>
          <w:p w14:paraId="60F906C1" w14:textId="77777777" w:rsidR="00FA4AA8" w:rsidRDefault="0015611F">
            <w:pPr>
              <w:pStyle w:val="TableParagraph"/>
              <w:spacing w:before="115" w:line="183" w:lineRule="exact"/>
              <w:ind w:right="156"/>
              <w:jc w:val="right"/>
              <w:rPr>
                <w:b/>
                <w:sz w:val="18"/>
              </w:rPr>
            </w:pPr>
            <w:r>
              <w:rPr>
                <w:b/>
                <w:sz w:val="18"/>
              </w:rPr>
              <w:t>809,044</w:t>
            </w:r>
          </w:p>
        </w:tc>
        <w:tc>
          <w:tcPr>
            <w:tcW w:w="1059" w:type="dxa"/>
            <w:tcBorders>
              <w:top w:val="single" w:sz="8" w:space="0" w:color="000000"/>
              <w:bottom w:val="single" w:sz="8" w:space="0" w:color="000000"/>
            </w:tcBorders>
          </w:tcPr>
          <w:p w14:paraId="4C850BEE" w14:textId="77777777" w:rsidR="00FA4AA8" w:rsidRDefault="0015611F">
            <w:pPr>
              <w:pStyle w:val="TableParagraph"/>
              <w:spacing w:before="115" w:line="183" w:lineRule="exact"/>
              <w:ind w:right="85"/>
              <w:jc w:val="right"/>
              <w:rPr>
                <w:sz w:val="18"/>
              </w:rPr>
            </w:pPr>
            <w:r>
              <w:rPr>
                <w:sz w:val="18"/>
              </w:rPr>
              <w:t>766,605</w:t>
            </w:r>
          </w:p>
        </w:tc>
      </w:tr>
      <w:tr w:rsidR="00FA4AA8" w14:paraId="0B715030" w14:textId="77777777">
        <w:trPr>
          <w:trHeight w:val="320"/>
        </w:trPr>
        <w:tc>
          <w:tcPr>
            <w:tcW w:w="4030" w:type="dxa"/>
          </w:tcPr>
          <w:p w14:paraId="31639877" w14:textId="77777777" w:rsidR="00FA4AA8" w:rsidRDefault="0015611F">
            <w:pPr>
              <w:pStyle w:val="TableParagraph"/>
              <w:spacing w:before="115" w:line="185" w:lineRule="exact"/>
              <w:ind w:left="50"/>
              <w:rPr>
                <w:b/>
                <w:sz w:val="18"/>
              </w:rPr>
            </w:pPr>
            <w:r>
              <w:rPr>
                <w:b/>
                <w:sz w:val="18"/>
              </w:rPr>
              <w:t>Net assets</w:t>
            </w:r>
          </w:p>
        </w:tc>
        <w:tc>
          <w:tcPr>
            <w:tcW w:w="1016" w:type="dxa"/>
          </w:tcPr>
          <w:p w14:paraId="54DCE040" w14:textId="77777777" w:rsidR="00FA4AA8" w:rsidRDefault="00FA4AA8">
            <w:pPr>
              <w:pStyle w:val="TableParagraph"/>
              <w:rPr>
                <w:rFonts w:ascii="Times New Roman"/>
                <w:sz w:val="18"/>
              </w:rPr>
            </w:pPr>
          </w:p>
        </w:tc>
        <w:tc>
          <w:tcPr>
            <w:tcW w:w="1373" w:type="dxa"/>
            <w:tcBorders>
              <w:top w:val="single" w:sz="8" w:space="0" w:color="000000"/>
              <w:bottom w:val="double" w:sz="2" w:space="0" w:color="000000"/>
            </w:tcBorders>
          </w:tcPr>
          <w:p w14:paraId="3893DAFB" w14:textId="77777777" w:rsidR="00FA4AA8" w:rsidRDefault="0015611F">
            <w:pPr>
              <w:pStyle w:val="TableParagraph"/>
              <w:spacing w:before="115" w:line="185" w:lineRule="exact"/>
              <w:ind w:right="158"/>
              <w:jc w:val="right"/>
              <w:rPr>
                <w:b/>
                <w:sz w:val="18"/>
              </w:rPr>
            </w:pPr>
            <w:r>
              <w:rPr>
                <w:b/>
                <w:sz w:val="18"/>
              </w:rPr>
              <w:t>2,081,503</w:t>
            </w:r>
          </w:p>
        </w:tc>
        <w:tc>
          <w:tcPr>
            <w:tcW w:w="1216" w:type="dxa"/>
            <w:tcBorders>
              <w:top w:val="single" w:sz="8" w:space="0" w:color="000000"/>
              <w:bottom w:val="double" w:sz="2" w:space="0" w:color="000000"/>
            </w:tcBorders>
          </w:tcPr>
          <w:p w14:paraId="1B449FF5" w14:textId="77777777" w:rsidR="00FA4AA8" w:rsidRDefault="0015611F">
            <w:pPr>
              <w:pStyle w:val="TableParagraph"/>
              <w:spacing w:before="115" w:line="185" w:lineRule="exact"/>
              <w:ind w:right="244"/>
              <w:jc w:val="right"/>
              <w:rPr>
                <w:sz w:val="18"/>
              </w:rPr>
            </w:pPr>
            <w:r>
              <w:rPr>
                <w:sz w:val="18"/>
              </w:rPr>
              <w:t>1,912,791</w:t>
            </w:r>
          </w:p>
        </w:tc>
        <w:tc>
          <w:tcPr>
            <w:tcW w:w="1216" w:type="dxa"/>
            <w:tcBorders>
              <w:top w:val="single" w:sz="8" w:space="0" w:color="000000"/>
              <w:bottom w:val="double" w:sz="2" w:space="0" w:color="000000"/>
            </w:tcBorders>
          </w:tcPr>
          <w:p w14:paraId="32B94C80" w14:textId="77777777" w:rsidR="00FA4AA8" w:rsidRDefault="0015611F">
            <w:pPr>
              <w:pStyle w:val="TableParagraph"/>
              <w:spacing w:before="115" w:line="185" w:lineRule="exact"/>
              <w:ind w:right="157"/>
              <w:jc w:val="right"/>
              <w:rPr>
                <w:b/>
                <w:sz w:val="18"/>
              </w:rPr>
            </w:pPr>
            <w:r>
              <w:rPr>
                <w:b/>
                <w:sz w:val="18"/>
              </w:rPr>
              <w:t>2,068,193</w:t>
            </w:r>
          </w:p>
        </w:tc>
        <w:tc>
          <w:tcPr>
            <w:tcW w:w="1059" w:type="dxa"/>
            <w:tcBorders>
              <w:top w:val="single" w:sz="8" w:space="0" w:color="000000"/>
              <w:bottom w:val="double" w:sz="2" w:space="0" w:color="000000"/>
            </w:tcBorders>
          </w:tcPr>
          <w:p w14:paraId="09B8A3D1" w14:textId="77777777" w:rsidR="00FA4AA8" w:rsidRDefault="0015611F">
            <w:pPr>
              <w:pStyle w:val="TableParagraph"/>
              <w:spacing w:before="115" w:line="185" w:lineRule="exact"/>
              <w:ind w:right="85"/>
              <w:jc w:val="right"/>
              <w:rPr>
                <w:sz w:val="18"/>
              </w:rPr>
            </w:pPr>
            <w:r>
              <w:rPr>
                <w:sz w:val="18"/>
              </w:rPr>
              <w:t>1,900,426</w:t>
            </w:r>
          </w:p>
        </w:tc>
      </w:tr>
      <w:tr w:rsidR="00FA4AA8" w14:paraId="56883EA1" w14:textId="77777777">
        <w:trPr>
          <w:trHeight w:val="383"/>
        </w:trPr>
        <w:tc>
          <w:tcPr>
            <w:tcW w:w="4030" w:type="dxa"/>
          </w:tcPr>
          <w:p w14:paraId="151DEAF3" w14:textId="77777777" w:rsidR="00FA4AA8" w:rsidRDefault="0015611F">
            <w:pPr>
              <w:pStyle w:val="TableParagraph"/>
              <w:spacing w:before="117"/>
              <w:ind w:left="50"/>
              <w:rPr>
                <w:b/>
                <w:sz w:val="18"/>
              </w:rPr>
            </w:pPr>
            <w:r>
              <w:rPr>
                <w:b/>
                <w:sz w:val="18"/>
              </w:rPr>
              <w:t>Equity</w:t>
            </w:r>
          </w:p>
        </w:tc>
        <w:tc>
          <w:tcPr>
            <w:tcW w:w="1016" w:type="dxa"/>
          </w:tcPr>
          <w:p w14:paraId="37CB37E1" w14:textId="77777777" w:rsidR="00FA4AA8" w:rsidRDefault="00FA4AA8">
            <w:pPr>
              <w:pStyle w:val="TableParagraph"/>
              <w:rPr>
                <w:rFonts w:ascii="Times New Roman"/>
                <w:sz w:val="18"/>
              </w:rPr>
            </w:pPr>
          </w:p>
        </w:tc>
        <w:tc>
          <w:tcPr>
            <w:tcW w:w="1373" w:type="dxa"/>
            <w:tcBorders>
              <w:top w:val="double" w:sz="2" w:space="0" w:color="000000"/>
            </w:tcBorders>
          </w:tcPr>
          <w:p w14:paraId="0A2B9725" w14:textId="77777777" w:rsidR="00FA4AA8" w:rsidRDefault="00FA4AA8">
            <w:pPr>
              <w:pStyle w:val="TableParagraph"/>
              <w:rPr>
                <w:rFonts w:ascii="Times New Roman"/>
                <w:sz w:val="18"/>
              </w:rPr>
            </w:pPr>
          </w:p>
        </w:tc>
        <w:tc>
          <w:tcPr>
            <w:tcW w:w="1216" w:type="dxa"/>
            <w:tcBorders>
              <w:top w:val="double" w:sz="2" w:space="0" w:color="000000"/>
            </w:tcBorders>
          </w:tcPr>
          <w:p w14:paraId="45522934" w14:textId="77777777" w:rsidR="00FA4AA8" w:rsidRDefault="00FA4AA8">
            <w:pPr>
              <w:pStyle w:val="TableParagraph"/>
              <w:rPr>
                <w:rFonts w:ascii="Times New Roman"/>
                <w:sz w:val="18"/>
              </w:rPr>
            </w:pPr>
          </w:p>
        </w:tc>
        <w:tc>
          <w:tcPr>
            <w:tcW w:w="1216" w:type="dxa"/>
            <w:tcBorders>
              <w:top w:val="double" w:sz="2" w:space="0" w:color="000000"/>
            </w:tcBorders>
          </w:tcPr>
          <w:p w14:paraId="7C0383A8" w14:textId="77777777" w:rsidR="00FA4AA8" w:rsidRDefault="00FA4AA8">
            <w:pPr>
              <w:pStyle w:val="TableParagraph"/>
              <w:rPr>
                <w:rFonts w:ascii="Times New Roman"/>
                <w:sz w:val="18"/>
              </w:rPr>
            </w:pPr>
          </w:p>
        </w:tc>
        <w:tc>
          <w:tcPr>
            <w:tcW w:w="1059" w:type="dxa"/>
            <w:tcBorders>
              <w:top w:val="double" w:sz="2" w:space="0" w:color="000000"/>
            </w:tcBorders>
          </w:tcPr>
          <w:p w14:paraId="2DDEC715" w14:textId="77777777" w:rsidR="00FA4AA8" w:rsidRDefault="00FA4AA8">
            <w:pPr>
              <w:pStyle w:val="TableParagraph"/>
              <w:rPr>
                <w:rFonts w:ascii="Times New Roman"/>
                <w:sz w:val="18"/>
              </w:rPr>
            </w:pPr>
          </w:p>
        </w:tc>
      </w:tr>
      <w:tr w:rsidR="00FA4AA8" w14:paraId="10B3014B" w14:textId="77777777">
        <w:trPr>
          <w:trHeight w:val="276"/>
        </w:trPr>
        <w:tc>
          <w:tcPr>
            <w:tcW w:w="4030" w:type="dxa"/>
          </w:tcPr>
          <w:p w14:paraId="43D783B3" w14:textId="77777777" w:rsidR="00FA4AA8" w:rsidRDefault="0015611F">
            <w:pPr>
              <w:pStyle w:val="TableParagraph"/>
              <w:spacing w:before="53" w:line="203" w:lineRule="exact"/>
              <w:ind w:left="50"/>
              <w:rPr>
                <w:b/>
                <w:sz w:val="18"/>
              </w:rPr>
            </w:pPr>
            <w:r>
              <w:rPr>
                <w:b/>
                <w:sz w:val="18"/>
              </w:rPr>
              <w:t>Parent entity interest</w:t>
            </w:r>
          </w:p>
        </w:tc>
        <w:tc>
          <w:tcPr>
            <w:tcW w:w="1016" w:type="dxa"/>
          </w:tcPr>
          <w:p w14:paraId="3DE4425E" w14:textId="77777777" w:rsidR="00FA4AA8" w:rsidRDefault="00FA4AA8">
            <w:pPr>
              <w:pStyle w:val="TableParagraph"/>
              <w:rPr>
                <w:rFonts w:ascii="Times New Roman"/>
                <w:sz w:val="18"/>
              </w:rPr>
            </w:pPr>
          </w:p>
        </w:tc>
        <w:tc>
          <w:tcPr>
            <w:tcW w:w="1373" w:type="dxa"/>
          </w:tcPr>
          <w:p w14:paraId="78D2EFE7" w14:textId="77777777" w:rsidR="00FA4AA8" w:rsidRDefault="00FA4AA8">
            <w:pPr>
              <w:pStyle w:val="TableParagraph"/>
              <w:rPr>
                <w:rFonts w:ascii="Times New Roman"/>
                <w:sz w:val="18"/>
              </w:rPr>
            </w:pPr>
          </w:p>
        </w:tc>
        <w:tc>
          <w:tcPr>
            <w:tcW w:w="1216" w:type="dxa"/>
          </w:tcPr>
          <w:p w14:paraId="4F4A765D" w14:textId="77777777" w:rsidR="00FA4AA8" w:rsidRDefault="00FA4AA8">
            <w:pPr>
              <w:pStyle w:val="TableParagraph"/>
              <w:rPr>
                <w:rFonts w:ascii="Times New Roman"/>
                <w:sz w:val="18"/>
              </w:rPr>
            </w:pPr>
          </w:p>
        </w:tc>
        <w:tc>
          <w:tcPr>
            <w:tcW w:w="1216" w:type="dxa"/>
          </w:tcPr>
          <w:p w14:paraId="76ABBAF4" w14:textId="77777777" w:rsidR="00FA4AA8" w:rsidRDefault="00FA4AA8">
            <w:pPr>
              <w:pStyle w:val="TableParagraph"/>
              <w:rPr>
                <w:rFonts w:ascii="Times New Roman"/>
                <w:sz w:val="18"/>
              </w:rPr>
            </w:pPr>
          </w:p>
        </w:tc>
        <w:tc>
          <w:tcPr>
            <w:tcW w:w="1059" w:type="dxa"/>
          </w:tcPr>
          <w:p w14:paraId="3530156F" w14:textId="77777777" w:rsidR="00FA4AA8" w:rsidRDefault="00FA4AA8">
            <w:pPr>
              <w:pStyle w:val="TableParagraph"/>
              <w:rPr>
                <w:rFonts w:ascii="Times New Roman"/>
                <w:sz w:val="18"/>
              </w:rPr>
            </w:pPr>
          </w:p>
        </w:tc>
      </w:tr>
      <w:tr w:rsidR="00FA4AA8" w14:paraId="3ADA4075" w14:textId="77777777">
        <w:trPr>
          <w:trHeight w:val="249"/>
        </w:trPr>
        <w:tc>
          <w:tcPr>
            <w:tcW w:w="4030" w:type="dxa"/>
          </w:tcPr>
          <w:p w14:paraId="3E45560A" w14:textId="77777777" w:rsidR="00FA4AA8" w:rsidRDefault="0015611F">
            <w:pPr>
              <w:pStyle w:val="TableParagraph"/>
              <w:spacing w:before="10"/>
              <w:ind w:left="50"/>
              <w:rPr>
                <w:sz w:val="18"/>
              </w:rPr>
            </w:pPr>
            <w:r>
              <w:rPr>
                <w:sz w:val="18"/>
              </w:rPr>
              <w:t>Reserves</w:t>
            </w:r>
          </w:p>
        </w:tc>
        <w:tc>
          <w:tcPr>
            <w:tcW w:w="1016" w:type="dxa"/>
          </w:tcPr>
          <w:p w14:paraId="05029587" w14:textId="77777777" w:rsidR="00FA4AA8" w:rsidRDefault="0015611F">
            <w:pPr>
              <w:pStyle w:val="TableParagraph"/>
              <w:spacing w:before="10"/>
              <w:ind w:left="510" w:right="64"/>
              <w:jc w:val="center"/>
              <w:rPr>
                <w:sz w:val="18"/>
              </w:rPr>
            </w:pPr>
            <w:r>
              <w:rPr>
                <w:sz w:val="18"/>
              </w:rPr>
              <w:t>27</w:t>
            </w:r>
          </w:p>
        </w:tc>
        <w:tc>
          <w:tcPr>
            <w:tcW w:w="1373" w:type="dxa"/>
          </w:tcPr>
          <w:p w14:paraId="4F2F11FE" w14:textId="77777777" w:rsidR="00FA4AA8" w:rsidRDefault="0015611F">
            <w:pPr>
              <w:pStyle w:val="TableParagraph"/>
              <w:spacing w:before="12"/>
              <w:ind w:right="158"/>
              <w:jc w:val="right"/>
              <w:rPr>
                <w:b/>
                <w:sz w:val="18"/>
              </w:rPr>
            </w:pPr>
            <w:r>
              <w:rPr>
                <w:b/>
                <w:sz w:val="18"/>
              </w:rPr>
              <w:t>916,288</w:t>
            </w:r>
          </w:p>
        </w:tc>
        <w:tc>
          <w:tcPr>
            <w:tcW w:w="1216" w:type="dxa"/>
          </w:tcPr>
          <w:p w14:paraId="5BD20EB8" w14:textId="77777777" w:rsidR="00FA4AA8" w:rsidRDefault="0015611F">
            <w:pPr>
              <w:pStyle w:val="TableParagraph"/>
              <w:spacing w:before="12"/>
              <w:ind w:right="244"/>
              <w:jc w:val="right"/>
              <w:rPr>
                <w:sz w:val="18"/>
              </w:rPr>
            </w:pPr>
            <w:r>
              <w:rPr>
                <w:sz w:val="18"/>
              </w:rPr>
              <w:t>865,790</w:t>
            </w:r>
          </w:p>
        </w:tc>
        <w:tc>
          <w:tcPr>
            <w:tcW w:w="1216" w:type="dxa"/>
          </w:tcPr>
          <w:p w14:paraId="248B93B2" w14:textId="77777777" w:rsidR="00FA4AA8" w:rsidRDefault="0015611F">
            <w:pPr>
              <w:pStyle w:val="TableParagraph"/>
              <w:spacing w:before="12"/>
              <w:ind w:right="156"/>
              <w:jc w:val="right"/>
              <w:rPr>
                <w:b/>
                <w:sz w:val="18"/>
              </w:rPr>
            </w:pPr>
            <w:r>
              <w:rPr>
                <w:b/>
                <w:sz w:val="18"/>
              </w:rPr>
              <w:t>916,092</w:t>
            </w:r>
          </w:p>
        </w:tc>
        <w:tc>
          <w:tcPr>
            <w:tcW w:w="1059" w:type="dxa"/>
          </w:tcPr>
          <w:p w14:paraId="19ADC7E4" w14:textId="77777777" w:rsidR="00FA4AA8" w:rsidRDefault="0015611F">
            <w:pPr>
              <w:pStyle w:val="TableParagraph"/>
              <w:spacing w:before="12"/>
              <w:ind w:right="85"/>
              <w:jc w:val="right"/>
              <w:rPr>
                <w:sz w:val="18"/>
              </w:rPr>
            </w:pPr>
            <w:r>
              <w:rPr>
                <w:sz w:val="18"/>
              </w:rPr>
              <w:t>861,541</w:t>
            </w:r>
          </w:p>
        </w:tc>
      </w:tr>
      <w:tr w:rsidR="00FA4AA8" w14:paraId="3F805C0B" w14:textId="77777777">
        <w:trPr>
          <w:trHeight w:val="258"/>
        </w:trPr>
        <w:tc>
          <w:tcPr>
            <w:tcW w:w="4030" w:type="dxa"/>
          </w:tcPr>
          <w:p w14:paraId="61E79F0B" w14:textId="77777777" w:rsidR="00FA4AA8" w:rsidRDefault="0015611F">
            <w:pPr>
              <w:pStyle w:val="TableParagraph"/>
              <w:spacing w:before="24"/>
              <w:ind w:left="50"/>
              <w:rPr>
                <w:sz w:val="18"/>
              </w:rPr>
            </w:pPr>
            <w:r>
              <w:rPr>
                <w:sz w:val="18"/>
              </w:rPr>
              <w:t>Retained earnings</w:t>
            </w:r>
          </w:p>
        </w:tc>
        <w:tc>
          <w:tcPr>
            <w:tcW w:w="1016" w:type="dxa"/>
          </w:tcPr>
          <w:p w14:paraId="0DCD6156" w14:textId="77777777" w:rsidR="00FA4AA8" w:rsidRDefault="00FA4AA8">
            <w:pPr>
              <w:pStyle w:val="TableParagraph"/>
              <w:rPr>
                <w:rFonts w:ascii="Times New Roman"/>
                <w:sz w:val="18"/>
              </w:rPr>
            </w:pPr>
          </w:p>
        </w:tc>
        <w:tc>
          <w:tcPr>
            <w:tcW w:w="1373" w:type="dxa"/>
            <w:tcBorders>
              <w:bottom w:val="single" w:sz="8" w:space="0" w:color="000000"/>
            </w:tcBorders>
          </w:tcPr>
          <w:p w14:paraId="1B1BC8C8" w14:textId="77777777" w:rsidR="00FA4AA8" w:rsidRDefault="0015611F">
            <w:pPr>
              <w:pStyle w:val="TableParagraph"/>
              <w:spacing w:before="26"/>
              <w:ind w:right="158"/>
              <w:jc w:val="right"/>
              <w:rPr>
                <w:b/>
                <w:sz w:val="18"/>
              </w:rPr>
            </w:pPr>
            <w:r>
              <w:rPr>
                <w:b/>
                <w:sz w:val="18"/>
              </w:rPr>
              <w:t>1,165,215</w:t>
            </w:r>
          </w:p>
        </w:tc>
        <w:tc>
          <w:tcPr>
            <w:tcW w:w="1216" w:type="dxa"/>
            <w:tcBorders>
              <w:bottom w:val="single" w:sz="8" w:space="0" w:color="000000"/>
            </w:tcBorders>
          </w:tcPr>
          <w:p w14:paraId="13F25E66" w14:textId="77777777" w:rsidR="00FA4AA8" w:rsidRDefault="0015611F">
            <w:pPr>
              <w:pStyle w:val="TableParagraph"/>
              <w:spacing w:before="26"/>
              <w:ind w:right="244"/>
              <w:jc w:val="right"/>
              <w:rPr>
                <w:sz w:val="18"/>
              </w:rPr>
            </w:pPr>
            <w:r>
              <w:rPr>
                <w:sz w:val="18"/>
              </w:rPr>
              <w:t>1,047,001</w:t>
            </w:r>
          </w:p>
        </w:tc>
        <w:tc>
          <w:tcPr>
            <w:tcW w:w="1216" w:type="dxa"/>
            <w:tcBorders>
              <w:bottom w:val="single" w:sz="8" w:space="0" w:color="000000"/>
            </w:tcBorders>
          </w:tcPr>
          <w:p w14:paraId="541C3C4E" w14:textId="77777777" w:rsidR="00FA4AA8" w:rsidRDefault="0015611F">
            <w:pPr>
              <w:pStyle w:val="TableParagraph"/>
              <w:spacing w:before="26"/>
              <w:ind w:right="157"/>
              <w:jc w:val="right"/>
              <w:rPr>
                <w:b/>
                <w:sz w:val="18"/>
              </w:rPr>
            </w:pPr>
            <w:r>
              <w:rPr>
                <w:b/>
                <w:sz w:val="18"/>
              </w:rPr>
              <w:t>1,152,101</w:t>
            </w:r>
          </w:p>
        </w:tc>
        <w:tc>
          <w:tcPr>
            <w:tcW w:w="1059" w:type="dxa"/>
            <w:tcBorders>
              <w:bottom w:val="single" w:sz="8" w:space="0" w:color="000000"/>
            </w:tcBorders>
          </w:tcPr>
          <w:p w14:paraId="5A426097" w14:textId="77777777" w:rsidR="00FA4AA8" w:rsidRDefault="0015611F">
            <w:pPr>
              <w:pStyle w:val="TableParagraph"/>
              <w:spacing w:before="26"/>
              <w:ind w:right="85"/>
              <w:jc w:val="right"/>
              <w:rPr>
                <w:sz w:val="18"/>
              </w:rPr>
            </w:pPr>
            <w:r>
              <w:rPr>
                <w:sz w:val="18"/>
              </w:rPr>
              <w:t>1,038,885</w:t>
            </w:r>
          </w:p>
        </w:tc>
      </w:tr>
      <w:tr w:rsidR="00FA4AA8" w14:paraId="4D8EB49F" w14:textId="77777777">
        <w:trPr>
          <w:trHeight w:val="318"/>
        </w:trPr>
        <w:tc>
          <w:tcPr>
            <w:tcW w:w="4030" w:type="dxa"/>
          </w:tcPr>
          <w:p w14:paraId="3A57EE02" w14:textId="77777777" w:rsidR="00FA4AA8" w:rsidRDefault="0015611F">
            <w:pPr>
              <w:pStyle w:val="TableParagraph"/>
              <w:spacing w:before="115" w:line="183" w:lineRule="exact"/>
              <w:ind w:left="50"/>
              <w:rPr>
                <w:b/>
                <w:sz w:val="18"/>
              </w:rPr>
            </w:pPr>
            <w:r>
              <w:rPr>
                <w:b/>
                <w:sz w:val="18"/>
              </w:rPr>
              <w:t>Total equity</w:t>
            </w:r>
          </w:p>
        </w:tc>
        <w:tc>
          <w:tcPr>
            <w:tcW w:w="1016" w:type="dxa"/>
          </w:tcPr>
          <w:p w14:paraId="5A529EAA" w14:textId="77777777" w:rsidR="00FA4AA8" w:rsidRDefault="00FA4AA8">
            <w:pPr>
              <w:pStyle w:val="TableParagraph"/>
              <w:rPr>
                <w:rFonts w:ascii="Times New Roman"/>
                <w:sz w:val="18"/>
              </w:rPr>
            </w:pPr>
          </w:p>
        </w:tc>
        <w:tc>
          <w:tcPr>
            <w:tcW w:w="1373" w:type="dxa"/>
            <w:tcBorders>
              <w:top w:val="single" w:sz="8" w:space="0" w:color="000000"/>
              <w:bottom w:val="single" w:sz="2" w:space="0" w:color="000000"/>
            </w:tcBorders>
          </w:tcPr>
          <w:p w14:paraId="2E9DB4BA" w14:textId="77777777" w:rsidR="00FA4AA8" w:rsidRDefault="0015611F">
            <w:pPr>
              <w:pStyle w:val="TableParagraph"/>
              <w:spacing w:before="115" w:line="183" w:lineRule="exact"/>
              <w:ind w:right="158"/>
              <w:jc w:val="right"/>
              <w:rPr>
                <w:b/>
                <w:sz w:val="18"/>
              </w:rPr>
            </w:pPr>
            <w:r>
              <w:rPr>
                <w:b/>
                <w:sz w:val="18"/>
              </w:rPr>
              <w:t>2,081,503</w:t>
            </w:r>
          </w:p>
        </w:tc>
        <w:tc>
          <w:tcPr>
            <w:tcW w:w="1216" w:type="dxa"/>
            <w:tcBorders>
              <w:top w:val="single" w:sz="8" w:space="0" w:color="000000"/>
              <w:bottom w:val="single" w:sz="6" w:space="0" w:color="000000"/>
            </w:tcBorders>
          </w:tcPr>
          <w:p w14:paraId="732B1CA8" w14:textId="77777777" w:rsidR="00FA4AA8" w:rsidRDefault="0015611F">
            <w:pPr>
              <w:pStyle w:val="TableParagraph"/>
              <w:spacing w:before="115" w:line="183" w:lineRule="exact"/>
              <w:ind w:right="244"/>
              <w:jc w:val="right"/>
              <w:rPr>
                <w:sz w:val="18"/>
              </w:rPr>
            </w:pPr>
            <w:r>
              <w:rPr>
                <w:sz w:val="18"/>
              </w:rPr>
              <w:t>1,912,791</w:t>
            </w:r>
          </w:p>
        </w:tc>
        <w:tc>
          <w:tcPr>
            <w:tcW w:w="1216" w:type="dxa"/>
            <w:tcBorders>
              <w:top w:val="single" w:sz="8" w:space="0" w:color="000000"/>
              <w:bottom w:val="single" w:sz="6" w:space="0" w:color="000000"/>
            </w:tcBorders>
          </w:tcPr>
          <w:p w14:paraId="57F7581C" w14:textId="77777777" w:rsidR="00FA4AA8" w:rsidRDefault="0015611F">
            <w:pPr>
              <w:pStyle w:val="TableParagraph"/>
              <w:spacing w:before="115" w:line="183" w:lineRule="exact"/>
              <w:ind w:right="157"/>
              <w:jc w:val="right"/>
              <w:rPr>
                <w:b/>
                <w:sz w:val="18"/>
              </w:rPr>
            </w:pPr>
            <w:r>
              <w:rPr>
                <w:b/>
                <w:sz w:val="18"/>
              </w:rPr>
              <w:t>2,068,193</w:t>
            </w:r>
          </w:p>
        </w:tc>
        <w:tc>
          <w:tcPr>
            <w:tcW w:w="1059" w:type="dxa"/>
            <w:tcBorders>
              <w:top w:val="single" w:sz="8" w:space="0" w:color="000000"/>
              <w:bottom w:val="single" w:sz="6" w:space="0" w:color="000000"/>
            </w:tcBorders>
          </w:tcPr>
          <w:p w14:paraId="46FC0669" w14:textId="77777777" w:rsidR="00FA4AA8" w:rsidRDefault="0015611F">
            <w:pPr>
              <w:pStyle w:val="TableParagraph"/>
              <w:spacing w:before="115" w:line="183" w:lineRule="exact"/>
              <w:ind w:right="85"/>
              <w:jc w:val="right"/>
              <w:rPr>
                <w:sz w:val="18"/>
              </w:rPr>
            </w:pPr>
            <w:r>
              <w:rPr>
                <w:sz w:val="18"/>
              </w:rPr>
              <w:t>1,900,426</w:t>
            </w:r>
          </w:p>
        </w:tc>
      </w:tr>
    </w:tbl>
    <w:p w14:paraId="76B426BA" w14:textId="77777777" w:rsidR="00FA4AA8" w:rsidRDefault="007E2441">
      <w:pPr>
        <w:pStyle w:val="BodyText"/>
        <w:spacing w:line="20" w:lineRule="exact"/>
        <w:ind w:left="5374"/>
        <w:rPr>
          <w:sz w:val="2"/>
        </w:rPr>
      </w:pPr>
      <w:r>
        <w:rPr>
          <w:noProof/>
          <w:sz w:val="2"/>
          <w:lang w:val="en-AU" w:eastAsia="en-AU"/>
        </w:rPr>
        <mc:AlternateContent>
          <mc:Choice Requires="wpg">
            <w:drawing>
              <wp:inline distT="0" distB="0" distL="0" distR="0" wp14:anchorId="1E305064" wp14:editId="3E88DA8E">
                <wp:extent cx="2984500" cy="9525"/>
                <wp:effectExtent l="9525" t="5715" r="6350" b="3810"/>
                <wp:docPr id="3621" name="Group 3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4500" cy="9525"/>
                          <a:chOff x="0" y="0"/>
                          <a:chExt cx="4700" cy="15"/>
                        </a:xfrm>
                      </wpg:grpSpPr>
                      <wps:wsp>
                        <wps:cNvPr id="3622" name="Line 3413"/>
                        <wps:cNvCnPr>
                          <a:cxnSpLocks noChangeShapeType="1"/>
                        </wps:cNvCnPr>
                        <wps:spPr bwMode="auto">
                          <a:xfrm>
                            <a:off x="0" y="11"/>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623" name="Line 3412"/>
                        <wps:cNvCnPr>
                          <a:cxnSpLocks noChangeShapeType="1"/>
                        </wps:cNvCnPr>
                        <wps:spPr bwMode="auto">
                          <a:xfrm>
                            <a:off x="0" y="13"/>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624" name="Line 3411"/>
                        <wps:cNvCnPr>
                          <a:cxnSpLocks noChangeShapeType="1"/>
                        </wps:cNvCnPr>
                        <wps:spPr bwMode="auto">
                          <a:xfrm>
                            <a:off x="1133" y="1"/>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625" name="Line 3410"/>
                        <wps:cNvCnPr>
                          <a:cxnSpLocks noChangeShapeType="1"/>
                        </wps:cNvCnPr>
                        <wps:spPr bwMode="auto">
                          <a:xfrm>
                            <a:off x="1133" y="4"/>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626" name="Line 3409"/>
                        <wps:cNvCnPr>
                          <a:cxnSpLocks noChangeShapeType="1"/>
                        </wps:cNvCnPr>
                        <wps:spPr bwMode="auto">
                          <a:xfrm>
                            <a:off x="1133" y="6"/>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627" name="Line 3408"/>
                        <wps:cNvCnPr>
                          <a:cxnSpLocks noChangeShapeType="1"/>
                        </wps:cNvCnPr>
                        <wps:spPr bwMode="auto">
                          <a:xfrm>
                            <a:off x="1133" y="8"/>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628" name="Line 3407"/>
                        <wps:cNvCnPr>
                          <a:cxnSpLocks noChangeShapeType="1"/>
                        </wps:cNvCnPr>
                        <wps:spPr bwMode="auto">
                          <a:xfrm>
                            <a:off x="1133" y="11"/>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629" name="Line 3406"/>
                        <wps:cNvCnPr>
                          <a:cxnSpLocks noChangeShapeType="1"/>
                        </wps:cNvCnPr>
                        <wps:spPr bwMode="auto">
                          <a:xfrm>
                            <a:off x="1133" y="13"/>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630" name="Line 3405"/>
                        <wps:cNvCnPr>
                          <a:cxnSpLocks noChangeShapeType="1"/>
                        </wps:cNvCnPr>
                        <wps:spPr bwMode="auto">
                          <a:xfrm>
                            <a:off x="2266" y="1"/>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631" name="Line 3404"/>
                        <wps:cNvCnPr>
                          <a:cxnSpLocks noChangeShapeType="1"/>
                        </wps:cNvCnPr>
                        <wps:spPr bwMode="auto">
                          <a:xfrm>
                            <a:off x="2266" y="4"/>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632" name="Line 3403"/>
                        <wps:cNvCnPr>
                          <a:cxnSpLocks noChangeShapeType="1"/>
                        </wps:cNvCnPr>
                        <wps:spPr bwMode="auto">
                          <a:xfrm>
                            <a:off x="2266" y="6"/>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633" name="Line 3402"/>
                        <wps:cNvCnPr>
                          <a:cxnSpLocks noChangeShapeType="1"/>
                        </wps:cNvCnPr>
                        <wps:spPr bwMode="auto">
                          <a:xfrm>
                            <a:off x="2266" y="8"/>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634" name="Line 3401"/>
                        <wps:cNvCnPr>
                          <a:cxnSpLocks noChangeShapeType="1"/>
                        </wps:cNvCnPr>
                        <wps:spPr bwMode="auto">
                          <a:xfrm>
                            <a:off x="2266" y="11"/>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635" name="Line 3400"/>
                        <wps:cNvCnPr>
                          <a:cxnSpLocks noChangeShapeType="1"/>
                        </wps:cNvCnPr>
                        <wps:spPr bwMode="auto">
                          <a:xfrm>
                            <a:off x="2266" y="13"/>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636" name="Line 3399"/>
                        <wps:cNvCnPr>
                          <a:cxnSpLocks noChangeShapeType="1"/>
                        </wps:cNvCnPr>
                        <wps:spPr bwMode="auto">
                          <a:xfrm>
                            <a:off x="2434" y="1"/>
                            <a:ext cx="1132"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637" name="Line 3398"/>
                        <wps:cNvCnPr>
                          <a:cxnSpLocks noChangeShapeType="1"/>
                        </wps:cNvCnPr>
                        <wps:spPr bwMode="auto">
                          <a:xfrm>
                            <a:off x="2434" y="4"/>
                            <a:ext cx="1132"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638" name="Line 3397"/>
                        <wps:cNvCnPr>
                          <a:cxnSpLocks noChangeShapeType="1"/>
                        </wps:cNvCnPr>
                        <wps:spPr bwMode="auto">
                          <a:xfrm>
                            <a:off x="2434" y="6"/>
                            <a:ext cx="1132"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639" name="Line 3396"/>
                        <wps:cNvCnPr>
                          <a:cxnSpLocks noChangeShapeType="1"/>
                        </wps:cNvCnPr>
                        <wps:spPr bwMode="auto">
                          <a:xfrm>
                            <a:off x="2434" y="8"/>
                            <a:ext cx="1132"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640" name="Line 3395"/>
                        <wps:cNvCnPr>
                          <a:cxnSpLocks noChangeShapeType="1"/>
                        </wps:cNvCnPr>
                        <wps:spPr bwMode="auto">
                          <a:xfrm>
                            <a:off x="2434" y="11"/>
                            <a:ext cx="1132"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641" name="Line 3394"/>
                        <wps:cNvCnPr>
                          <a:cxnSpLocks noChangeShapeType="1"/>
                        </wps:cNvCnPr>
                        <wps:spPr bwMode="auto">
                          <a:xfrm>
                            <a:off x="2434" y="13"/>
                            <a:ext cx="1132"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642" name="Line 3393"/>
                        <wps:cNvCnPr>
                          <a:cxnSpLocks noChangeShapeType="1"/>
                        </wps:cNvCnPr>
                        <wps:spPr bwMode="auto">
                          <a:xfrm>
                            <a:off x="3566" y="1"/>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643" name="Line 3392"/>
                        <wps:cNvCnPr>
                          <a:cxnSpLocks noChangeShapeType="1"/>
                        </wps:cNvCnPr>
                        <wps:spPr bwMode="auto">
                          <a:xfrm>
                            <a:off x="3566" y="4"/>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644" name="Line 3391"/>
                        <wps:cNvCnPr>
                          <a:cxnSpLocks noChangeShapeType="1"/>
                        </wps:cNvCnPr>
                        <wps:spPr bwMode="auto">
                          <a:xfrm>
                            <a:off x="3566" y="6"/>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645" name="Line 3390"/>
                        <wps:cNvCnPr>
                          <a:cxnSpLocks noChangeShapeType="1"/>
                        </wps:cNvCnPr>
                        <wps:spPr bwMode="auto">
                          <a:xfrm>
                            <a:off x="3566" y="8"/>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646" name="Line 3389"/>
                        <wps:cNvCnPr>
                          <a:cxnSpLocks noChangeShapeType="1"/>
                        </wps:cNvCnPr>
                        <wps:spPr bwMode="auto">
                          <a:xfrm>
                            <a:off x="3566" y="11"/>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647" name="Line 3388"/>
                        <wps:cNvCnPr>
                          <a:cxnSpLocks noChangeShapeType="1"/>
                        </wps:cNvCnPr>
                        <wps:spPr bwMode="auto">
                          <a:xfrm>
                            <a:off x="3566" y="13"/>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85D61B6" id="Group 3387" o:spid="_x0000_s1026" style="width:235pt;height:.75pt;mso-position-horizontal-relative:char;mso-position-vertical-relative:line" coordsize="470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">
                <v:line id="Line 3413" o:spid="_x0000_s1027" style="position:absolute;visibility:visible;mso-wrap-style:square" from="0,11" to="113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" strokeweight=".12pt"/>
                <v:line id="Line 3412" o:spid="_x0000_s1028" style="position:absolute;visibility:visible;mso-wrap-style:square" from="0,13" to="113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" strokeweight=".12pt"/>
                <v:line id="Line 3411" o:spid="_x0000_s1029" style="position:absolute;visibility:visible;mso-wrap-style:square" from="1133,1" to="22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" strokeweight=".12pt"/>
                <v:line id="Line 3410" o:spid="_x0000_s1030" style="position:absolute;visibility:visible;mso-wrap-style:square" from="1133,4" to="2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" strokeweight=".12pt"/>
                <v:line id="Line 3409" o:spid="_x0000_s1031" style="position:absolute;visibility:visible;mso-wrap-style:square" from="1133,6" to="22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" strokeweight=".12pt"/>
                <v:line id="Line 3408" o:spid="_x0000_s1032" style="position:absolute;visibility:visible;mso-wrap-style:square" from="1133,8" to="22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" strokeweight=".12pt"/>
                <v:line id="Line 3407" o:spid="_x0000_s1033" style="position:absolute;visibility:visible;mso-wrap-style:square" from="1133,11" to="226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" strokeweight=".12pt"/>
                <v:line id="Line 3406" o:spid="_x0000_s1034" style="position:absolute;visibility:visible;mso-wrap-style:square" from="1133,13" to="226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" strokeweight=".12pt"/>
                <v:line id="Line 3405" o:spid="_x0000_s1035" style="position:absolute;visibility:visible;mso-wrap-style:square" from="2266,1" to="24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" strokeweight=".12pt"/>
                <v:line id="Line 3404" o:spid="_x0000_s1036" style="position:absolute;visibility:visible;mso-wrap-style:square" from="2266,4" to="24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" strokeweight=".12pt"/>
                <v:line id="Line 3403" o:spid="_x0000_s1037" style="position:absolute;visibility:visible;mso-wrap-style:square" from="2266,6" to="24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" strokeweight=".12pt"/>
                <v:line id="Line 3402" o:spid="_x0000_s1038" style="position:absolute;visibility:visible;mso-wrap-style:square" from="2266,8" to="24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" strokeweight=".12pt"/>
                <v:line id="Line 3401" o:spid="_x0000_s1039" style="position:absolute;visibility:visible;mso-wrap-style:square" from="2266,11" to="243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" strokeweight=".12pt"/>
                <v:line id="Line 3400" o:spid="_x0000_s1040" style="position:absolute;visibility:visible;mso-wrap-style:square" from="2266,13" to="243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" strokeweight=".12pt"/>
                <v:line id="Line 3399" o:spid="_x0000_s1041" style="position:absolute;visibility:visible;mso-wrap-style:square" from="2434,1" to="35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" strokeweight=".12pt"/>
                <v:line id="Line 3398" o:spid="_x0000_s1042" style="position:absolute;visibility:visible;mso-wrap-style:square" from="2434,4" to="35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" strokeweight=".12pt"/>
                <v:line id="Line 3397" o:spid="_x0000_s1043" style="position:absolute;visibility:visible;mso-wrap-style:square" from="2434,6" to="35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" strokeweight=".12pt"/>
                <v:line id="Line 3396" o:spid="_x0000_s1044" style="position:absolute;visibility:visible;mso-wrap-style:square" from="2434,8" to="35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" strokeweight=".12pt"/>
                <v:line id="Line 3395" o:spid="_x0000_s1045" style="position:absolute;visibility:visible;mso-wrap-style:square" from="2434,11" to="356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" strokeweight=".12pt"/>
                <v:line id="Line 3394" o:spid="_x0000_s1046" style="position:absolute;visibility:visible;mso-wrap-style:square" from="2434,13" to="356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" strokeweight=".12pt"/>
                <v:line id="Line 3393" o:spid="_x0000_s1047" style="position:absolute;visibility:visible;mso-wrap-style:square" from="3566,1" to="46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" strokeweight=".12pt"/>
                <v:line id="Line 3392" o:spid="_x0000_s1048" style="position:absolute;visibility:visible;mso-wrap-style:square" from="3566,4" to="46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" strokeweight=".12pt"/>
                <v:line id="Line 3391" o:spid="_x0000_s1049" style="position:absolute;visibility:visible;mso-wrap-style:square" from="3566,6" to="46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" strokeweight=".12pt"/>
                <v:line id="Line 3390" o:spid="_x0000_s1050" style="position:absolute;visibility:visible;mso-wrap-style:square" from="3566,8" to="46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" strokeweight=".12pt"/>
                <v:line id="Line 3389" o:spid="_x0000_s1051" style="position:absolute;visibility:visible;mso-wrap-style:square" from="3566,11" to="469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" strokeweight=".12pt"/>
                <v:line id="Line 3388" o:spid="_x0000_s1052" style="position:absolute;visibility:visible;mso-wrap-style:square" from="3566,13" to="469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" strokeweight=".12pt"/>
                <w10:anchorlock/>
              </v:group>
            </w:pict>
          </mc:Fallback>
        </mc:AlternateContent>
      </w:r>
    </w:p>
    <w:p w14:paraId="783EAE25" w14:textId="77777777" w:rsidR="00FA4AA8" w:rsidRDefault="00FA4AA8">
      <w:pPr>
        <w:pStyle w:val="BodyText"/>
        <w:rPr>
          <w:b/>
          <w:sz w:val="20"/>
        </w:rPr>
      </w:pPr>
    </w:p>
    <w:p w14:paraId="17ABB5F5" w14:textId="77777777" w:rsidR="00FA4AA8" w:rsidRDefault="00FA4AA8">
      <w:pPr>
        <w:pStyle w:val="BodyText"/>
        <w:rPr>
          <w:b/>
          <w:sz w:val="20"/>
        </w:rPr>
      </w:pPr>
    </w:p>
    <w:p w14:paraId="31703CDD" w14:textId="77777777" w:rsidR="00FA4AA8" w:rsidRDefault="00FA4AA8">
      <w:pPr>
        <w:pStyle w:val="BodyText"/>
        <w:spacing w:before="10"/>
        <w:rPr>
          <w:b/>
          <w:sz w:val="28"/>
        </w:rPr>
      </w:pPr>
    </w:p>
    <w:p w14:paraId="39DBC15A" w14:textId="77777777" w:rsidR="00FA4AA8" w:rsidRDefault="0015611F">
      <w:pPr>
        <w:pStyle w:val="BodyText"/>
        <w:ind w:left="194" w:right="165"/>
        <w:jc w:val="center"/>
      </w:pPr>
      <w:r>
        <w:t>The accompanying notes form part of these financial statements.</w:t>
      </w:r>
    </w:p>
    <w:p w14:paraId="3E957615" w14:textId="77777777" w:rsidR="00FA4AA8" w:rsidRDefault="00FA4AA8">
      <w:pPr>
        <w:jc w:val="center"/>
        <w:sectPr w:rsidR="00FA4AA8">
          <w:pgSz w:w="11910" w:h="16840"/>
          <w:pgMar w:top="1260" w:right="840" w:bottom="720" w:left="840" w:header="1016" w:footer="523" w:gutter="0"/>
          <w:cols w:space="720"/>
        </w:sectPr>
      </w:pPr>
    </w:p>
    <w:p w14:paraId="06DFDC0C" w14:textId="77777777" w:rsidR="00FA4AA8" w:rsidRDefault="00FA4AA8">
      <w:pPr>
        <w:pStyle w:val="BodyText"/>
        <w:rPr>
          <w:sz w:val="20"/>
        </w:rPr>
      </w:pPr>
    </w:p>
    <w:p w14:paraId="550978B9" w14:textId="77777777" w:rsidR="00FA4AA8" w:rsidRDefault="00FA4AA8">
      <w:pPr>
        <w:pStyle w:val="BodyText"/>
        <w:spacing w:before="5"/>
        <w:rPr>
          <w:sz w:val="16"/>
        </w:rPr>
      </w:pPr>
    </w:p>
    <w:tbl>
      <w:tblPr>
        <w:tblW w:w="0" w:type="auto"/>
        <w:tblInd w:w="151" w:type="dxa"/>
        <w:tblLayout w:type="fixed"/>
        <w:tblCellMar>
          <w:left w:w="0" w:type="dxa"/>
          <w:right w:w="0" w:type="dxa"/>
        </w:tblCellMar>
        <w:tblLook w:val="01E0" w:firstRow="1" w:lastRow="1" w:firstColumn="1" w:lastColumn="1" w:noHBand="0" w:noVBand="0"/>
      </w:tblPr>
      <w:tblGrid>
        <w:gridCol w:w="4269"/>
        <w:gridCol w:w="1078"/>
        <w:gridCol w:w="1704"/>
        <w:gridCol w:w="1603"/>
        <w:gridCol w:w="1279"/>
      </w:tblGrid>
      <w:tr w:rsidR="00FA4AA8" w14:paraId="04D94E02" w14:textId="77777777">
        <w:trPr>
          <w:trHeight w:val="717"/>
        </w:trPr>
        <w:tc>
          <w:tcPr>
            <w:tcW w:w="4269" w:type="dxa"/>
            <w:vMerge w:val="restart"/>
          </w:tcPr>
          <w:p w14:paraId="67692C2B" w14:textId="77777777" w:rsidR="00FA4AA8" w:rsidRDefault="00FA4AA8">
            <w:pPr>
              <w:pStyle w:val="TableParagraph"/>
              <w:rPr>
                <w:rFonts w:ascii="Times New Roman"/>
                <w:sz w:val="18"/>
              </w:rPr>
            </w:pPr>
          </w:p>
        </w:tc>
        <w:tc>
          <w:tcPr>
            <w:tcW w:w="1078" w:type="dxa"/>
          </w:tcPr>
          <w:p w14:paraId="48D05B17" w14:textId="77777777" w:rsidR="00FA4AA8" w:rsidRDefault="00FA4AA8">
            <w:pPr>
              <w:pStyle w:val="TableParagraph"/>
              <w:rPr>
                <w:rFonts w:ascii="Times New Roman"/>
                <w:sz w:val="18"/>
              </w:rPr>
            </w:pPr>
          </w:p>
        </w:tc>
        <w:tc>
          <w:tcPr>
            <w:tcW w:w="1704" w:type="dxa"/>
          </w:tcPr>
          <w:p w14:paraId="7C4369A7" w14:textId="77777777" w:rsidR="00FA4AA8" w:rsidRDefault="00FA4AA8">
            <w:pPr>
              <w:pStyle w:val="TableParagraph"/>
              <w:rPr>
                <w:sz w:val="20"/>
              </w:rPr>
            </w:pPr>
          </w:p>
          <w:p w14:paraId="413925E0" w14:textId="77777777" w:rsidR="00FA4AA8" w:rsidRDefault="00FA4AA8">
            <w:pPr>
              <w:pStyle w:val="TableParagraph"/>
              <w:spacing w:before="2"/>
              <w:rPr>
                <w:sz w:val="21"/>
              </w:rPr>
            </w:pPr>
          </w:p>
          <w:p w14:paraId="486EE61B" w14:textId="77777777" w:rsidR="00FA4AA8" w:rsidRDefault="0015611F">
            <w:pPr>
              <w:pStyle w:val="TableParagraph"/>
              <w:ind w:left="350"/>
              <w:rPr>
                <w:b/>
                <w:sz w:val="18"/>
              </w:rPr>
            </w:pPr>
            <w:r>
              <w:rPr>
                <w:b/>
                <w:sz w:val="18"/>
              </w:rPr>
              <w:t>Reserves</w:t>
            </w:r>
          </w:p>
        </w:tc>
        <w:tc>
          <w:tcPr>
            <w:tcW w:w="1603" w:type="dxa"/>
          </w:tcPr>
          <w:p w14:paraId="617E6A94" w14:textId="77777777" w:rsidR="00FA4AA8" w:rsidRDefault="0015611F">
            <w:pPr>
              <w:pStyle w:val="TableParagraph"/>
              <w:spacing w:line="201" w:lineRule="exact"/>
              <w:ind w:left="227"/>
              <w:rPr>
                <w:b/>
                <w:sz w:val="18"/>
              </w:rPr>
            </w:pPr>
            <w:r>
              <w:rPr>
                <w:b/>
                <w:sz w:val="18"/>
              </w:rPr>
              <w:t>Parent</w:t>
            </w:r>
          </w:p>
          <w:p w14:paraId="49CBA8A0" w14:textId="77777777" w:rsidR="00FA4AA8" w:rsidRDefault="0015611F">
            <w:pPr>
              <w:pStyle w:val="TableParagraph"/>
              <w:spacing w:before="66"/>
              <w:ind w:left="201" w:right="611" w:firstLine="4"/>
              <w:rPr>
                <w:b/>
                <w:sz w:val="18"/>
              </w:rPr>
            </w:pPr>
            <w:r>
              <w:rPr>
                <w:b/>
                <w:sz w:val="18"/>
              </w:rPr>
              <w:t>Retained Earnings</w:t>
            </w:r>
          </w:p>
        </w:tc>
        <w:tc>
          <w:tcPr>
            <w:tcW w:w="1279" w:type="dxa"/>
          </w:tcPr>
          <w:p w14:paraId="2510DB71" w14:textId="77777777" w:rsidR="00FA4AA8" w:rsidRDefault="00FA4AA8">
            <w:pPr>
              <w:pStyle w:val="TableParagraph"/>
              <w:rPr>
                <w:sz w:val="20"/>
              </w:rPr>
            </w:pPr>
          </w:p>
          <w:p w14:paraId="12BF4550" w14:textId="77777777" w:rsidR="00FA4AA8" w:rsidRDefault="00FA4AA8">
            <w:pPr>
              <w:pStyle w:val="TableParagraph"/>
              <w:spacing w:before="2"/>
              <w:rPr>
                <w:sz w:val="21"/>
              </w:rPr>
            </w:pPr>
          </w:p>
          <w:p w14:paraId="4ED2B792" w14:textId="77777777" w:rsidR="00FA4AA8" w:rsidRDefault="0015611F">
            <w:pPr>
              <w:pStyle w:val="TableParagraph"/>
              <w:ind w:left="285"/>
              <w:rPr>
                <w:b/>
                <w:sz w:val="18"/>
              </w:rPr>
            </w:pPr>
            <w:r>
              <w:rPr>
                <w:b/>
                <w:sz w:val="18"/>
              </w:rPr>
              <w:t>Total</w:t>
            </w:r>
          </w:p>
        </w:tc>
      </w:tr>
      <w:tr w:rsidR="00FA4AA8" w14:paraId="3ACECCF4" w14:textId="77777777">
        <w:trPr>
          <w:trHeight w:val="267"/>
        </w:trPr>
        <w:tc>
          <w:tcPr>
            <w:tcW w:w="4269" w:type="dxa"/>
            <w:vMerge/>
            <w:tcBorders>
              <w:top w:val="nil"/>
            </w:tcBorders>
          </w:tcPr>
          <w:p w14:paraId="1F9260C5" w14:textId="77777777" w:rsidR="00FA4AA8" w:rsidRDefault="00FA4AA8">
            <w:pPr>
              <w:rPr>
                <w:sz w:val="2"/>
                <w:szCs w:val="2"/>
              </w:rPr>
            </w:pPr>
          </w:p>
        </w:tc>
        <w:tc>
          <w:tcPr>
            <w:tcW w:w="1078" w:type="dxa"/>
          </w:tcPr>
          <w:p w14:paraId="4D972854" w14:textId="77777777" w:rsidR="00FA4AA8" w:rsidRDefault="0015611F">
            <w:pPr>
              <w:pStyle w:val="TableParagraph"/>
              <w:spacing w:before="30"/>
              <w:ind w:right="270"/>
              <w:jc w:val="right"/>
              <w:rPr>
                <w:b/>
                <w:sz w:val="18"/>
              </w:rPr>
            </w:pPr>
            <w:r>
              <w:rPr>
                <w:b/>
                <w:sz w:val="18"/>
              </w:rPr>
              <w:t>Note</w:t>
            </w:r>
          </w:p>
        </w:tc>
        <w:tc>
          <w:tcPr>
            <w:tcW w:w="1704" w:type="dxa"/>
            <w:tcBorders>
              <w:bottom w:val="single" w:sz="8" w:space="0" w:color="000000"/>
            </w:tcBorders>
          </w:tcPr>
          <w:p w14:paraId="3AF2F249" w14:textId="77777777" w:rsidR="00FA4AA8" w:rsidRDefault="0015611F">
            <w:pPr>
              <w:pStyle w:val="TableParagraph"/>
              <w:spacing w:before="30"/>
              <w:ind w:left="527"/>
              <w:rPr>
                <w:b/>
                <w:sz w:val="18"/>
              </w:rPr>
            </w:pPr>
            <w:r>
              <w:rPr>
                <w:b/>
                <w:sz w:val="18"/>
              </w:rPr>
              <w:t>$'000</w:t>
            </w:r>
          </w:p>
        </w:tc>
        <w:tc>
          <w:tcPr>
            <w:tcW w:w="1603" w:type="dxa"/>
            <w:tcBorders>
              <w:bottom w:val="single" w:sz="8" w:space="0" w:color="000000"/>
            </w:tcBorders>
          </w:tcPr>
          <w:p w14:paraId="1545B735" w14:textId="77777777" w:rsidR="00FA4AA8" w:rsidRDefault="0015611F">
            <w:pPr>
              <w:pStyle w:val="TableParagraph"/>
              <w:spacing w:before="30"/>
              <w:ind w:left="364"/>
              <w:rPr>
                <w:b/>
                <w:sz w:val="18"/>
              </w:rPr>
            </w:pPr>
            <w:r>
              <w:rPr>
                <w:b/>
                <w:sz w:val="18"/>
              </w:rPr>
              <w:t>$'000</w:t>
            </w:r>
          </w:p>
        </w:tc>
        <w:tc>
          <w:tcPr>
            <w:tcW w:w="1279" w:type="dxa"/>
            <w:tcBorders>
              <w:bottom w:val="single" w:sz="8" w:space="0" w:color="000000"/>
            </w:tcBorders>
          </w:tcPr>
          <w:p w14:paraId="2E923A2E" w14:textId="77777777" w:rsidR="00FA4AA8" w:rsidRDefault="0015611F">
            <w:pPr>
              <w:pStyle w:val="TableParagraph"/>
              <w:spacing w:before="30"/>
              <w:ind w:left="278"/>
              <w:rPr>
                <w:b/>
                <w:sz w:val="18"/>
              </w:rPr>
            </w:pPr>
            <w:r>
              <w:rPr>
                <w:b/>
                <w:sz w:val="18"/>
              </w:rPr>
              <w:t>$'000</w:t>
            </w:r>
          </w:p>
        </w:tc>
      </w:tr>
      <w:tr w:rsidR="00FA4AA8" w14:paraId="14D7CE7A" w14:textId="77777777">
        <w:trPr>
          <w:trHeight w:val="277"/>
        </w:trPr>
        <w:tc>
          <w:tcPr>
            <w:tcW w:w="4269" w:type="dxa"/>
          </w:tcPr>
          <w:p w14:paraId="2A99891B" w14:textId="77777777" w:rsidR="00FA4AA8" w:rsidRDefault="0015611F">
            <w:pPr>
              <w:pStyle w:val="TableParagraph"/>
              <w:spacing w:before="36"/>
              <w:ind w:left="50"/>
              <w:rPr>
                <w:b/>
                <w:sz w:val="18"/>
              </w:rPr>
            </w:pPr>
            <w:r>
              <w:rPr>
                <w:b/>
                <w:sz w:val="18"/>
              </w:rPr>
              <w:t>Balance at 1 January 2018</w:t>
            </w:r>
          </w:p>
        </w:tc>
        <w:tc>
          <w:tcPr>
            <w:tcW w:w="1078" w:type="dxa"/>
          </w:tcPr>
          <w:p w14:paraId="5F2D89D4" w14:textId="77777777" w:rsidR="00FA4AA8" w:rsidRDefault="00FA4AA8">
            <w:pPr>
              <w:pStyle w:val="TableParagraph"/>
              <w:rPr>
                <w:rFonts w:ascii="Times New Roman"/>
                <w:sz w:val="18"/>
              </w:rPr>
            </w:pPr>
          </w:p>
        </w:tc>
        <w:tc>
          <w:tcPr>
            <w:tcW w:w="1704" w:type="dxa"/>
            <w:tcBorders>
              <w:top w:val="single" w:sz="8" w:space="0" w:color="000000"/>
            </w:tcBorders>
          </w:tcPr>
          <w:p w14:paraId="710D6C9E" w14:textId="77777777" w:rsidR="00FA4AA8" w:rsidRDefault="0015611F">
            <w:pPr>
              <w:pStyle w:val="TableParagraph"/>
              <w:spacing w:before="40"/>
              <w:ind w:right="260"/>
              <w:jc w:val="right"/>
              <w:rPr>
                <w:b/>
                <w:sz w:val="18"/>
              </w:rPr>
            </w:pPr>
            <w:r>
              <w:rPr>
                <w:b/>
                <w:sz w:val="18"/>
              </w:rPr>
              <w:t>861,541</w:t>
            </w:r>
          </w:p>
        </w:tc>
        <w:tc>
          <w:tcPr>
            <w:tcW w:w="1603" w:type="dxa"/>
            <w:tcBorders>
              <w:top w:val="single" w:sz="8" w:space="0" w:color="000000"/>
            </w:tcBorders>
          </w:tcPr>
          <w:p w14:paraId="2B0CEB1A" w14:textId="77777777" w:rsidR="00FA4AA8" w:rsidRDefault="0015611F">
            <w:pPr>
              <w:pStyle w:val="TableParagraph"/>
              <w:spacing w:before="40"/>
              <w:ind w:left="458"/>
              <w:rPr>
                <w:b/>
                <w:sz w:val="18"/>
              </w:rPr>
            </w:pPr>
            <w:r>
              <w:rPr>
                <w:b/>
                <w:sz w:val="18"/>
              </w:rPr>
              <w:t>1,038,885</w:t>
            </w:r>
          </w:p>
        </w:tc>
        <w:tc>
          <w:tcPr>
            <w:tcW w:w="1279" w:type="dxa"/>
            <w:tcBorders>
              <w:top w:val="single" w:sz="8" w:space="0" w:color="000000"/>
            </w:tcBorders>
          </w:tcPr>
          <w:p w14:paraId="29A4081B" w14:textId="77777777" w:rsidR="00FA4AA8" w:rsidRDefault="0015611F">
            <w:pPr>
              <w:pStyle w:val="TableParagraph"/>
              <w:spacing w:before="40"/>
              <w:ind w:right="84"/>
              <w:jc w:val="right"/>
              <w:rPr>
                <w:b/>
                <w:sz w:val="18"/>
              </w:rPr>
            </w:pPr>
            <w:r>
              <w:rPr>
                <w:b/>
                <w:sz w:val="18"/>
              </w:rPr>
              <w:t>1,900,426</w:t>
            </w:r>
          </w:p>
        </w:tc>
      </w:tr>
      <w:tr w:rsidR="00FA4AA8" w14:paraId="3034C925" w14:textId="77777777">
        <w:trPr>
          <w:trHeight w:val="460"/>
        </w:trPr>
        <w:tc>
          <w:tcPr>
            <w:tcW w:w="4269" w:type="dxa"/>
          </w:tcPr>
          <w:p w14:paraId="3618C98E" w14:textId="77777777" w:rsidR="00FA4AA8" w:rsidRDefault="0015611F">
            <w:pPr>
              <w:pStyle w:val="TableParagraph"/>
              <w:spacing w:before="24"/>
              <w:ind w:left="50" w:right="246"/>
              <w:rPr>
                <w:sz w:val="18"/>
              </w:rPr>
            </w:pPr>
            <w:r>
              <w:rPr>
                <w:sz w:val="18"/>
              </w:rPr>
              <w:t>Initial application of Australian Accounting Standards</w:t>
            </w:r>
          </w:p>
        </w:tc>
        <w:tc>
          <w:tcPr>
            <w:tcW w:w="1078" w:type="dxa"/>
          </w:tcPr>
          <w:p w14:paraId="6FF91F01" w14:textId="77777777" w:rsidR="00FA4AA8" w:rsidRDefault="00FA4AA8">
            <w:pPr>
              <w:pStyle w:val="TableParagraph"/>
              <w:rPr>
                <w:sz w:val="20"/>
              </w:rPr>
            </w:pPr>
          </w:p>
          <w:p w14:paraId="43276213" w14:textId="77777777" w:rsidR="00FA4AA8" w:rsidRDefault="0015611F">
            <w:pPr>
              <w:pStyle w:val="TableParagraph"/>
              <w:ind w:right="314"/>
              <w:jc w:val="right"/>
              <w:rPr>
                <w:sz w:val="18"/>
              </w:rPr>
            </w:pPr>
            <w:r>
              <w:rPr>
                <w:sz w:val="18"/>
              </w:rPr>
              <w:t>1(k)</w:t>
            </w:r>
          </w:p>
        </w:tc>
        <w:tc>
          <w:tcPr>
            <w:tcW w:w="1704" w:type="dxa"/>
            <w:tcBorders>
              <w:bottom w:val="single" w:sz="8" w:space="0" w:color="000000"/>
            </w:tcBorders>
          </w:tcPr>
          <w:p w14:paraId="58EA3E5B" w14:textId="77777777" w:rsidR="00FA4AA8" w:rsidRDefault="00FA4AA8">
            <w:pPr>
              <w:pStyle w:val="TableParagraph"/>
              <w:spacing w:before="9"/>
              <w:rPr>
                <w:sz w:val="19"/>
              </w:rPr>
            </w:pPr>
          </w:p>
          <w:p w14:paraId="2D66FF87" w14:textId="77777777" w:rsidR="00FA4AA8" w:rsidRDefault="0015611F">
            <w:pPr>
              <w:pStyle w:val="TableParagraph"/>
              <w:spacing w:before="1"/>
              <w:ind w:right="260"/>
              <w:jc w:val="right"/>
              <w:rPr>
                <w:b/>
                <w:sz w:val="18"/>
              </w:rPr>
            </w:pPr>
            <w:r>
              <w:rPr>
                <w:b/>
                <w:sz w:val="18"/>
              </w:rPr>
              <w:t>6,403</w:t>
            </w:r>
          </w:p>
        </w:tc>
        <w:tc>
          <w:tcPr>
            <w:tcW w:w="1603" w:type="dxa"/>
            <w:tcBorders>
              <w:bottom w:val="single" w:sz="8" w:space="0" w:color="000000"/>
            </w:tcBorders>
          </w:tcPr>
          <w:p w14:paraId="6365A90B" w14:textId="77777777" w:rsidR="00FA4AA8" w:rsidRDefault="00FA4AA8">
            <w:pPr>
              <w:pStyle w:val="TableParagraph"/>
              <w:spacing w:before="9"/>
              <w:rPr>
                <w:sz w:val="19"/>
              </w:rPr>
            </w:pPr>
          </w:p>
          <w:p w14:paraId="4E130461" w14:textId="77777777" w:rsidR="00FA4AA8" w:rsidRDefault="0015611F">
            <w:pPr>
              <w:pStyle w:val="TableParagraph"/>
              <w:spacing w:before="1"/>
              <w:ind w:right="276"/>
              <w:jc w:val="right"/>
              <w:rPr>
                <w:b/>
                <w:sz w:val="18"/>
              </w:rPr>
            </w:pPr>
            <w:r>
              <w:rPr>
                <w:b/>
                <w:sz w:val="18"/>
              </w:rPr>
              <w:t>(1,166)</w:t>
            </w:r>
          </w:p>
        </w:tc>
        <w:tc>
          <w:tcPr>
            <w:tcW w:w="1279" w:type="dxa"/>
            <w:tcBorders>
              <w:bottom w:val="single" w:sz="8" w:space="0" w:color="000000"/>
            </w:tcBorders>
          </w:tcPr>
          <w:p w14:paraId="4A9BE0F8" w14:textId="77777777" w:rsidR="00FA4AA8" w:rsidRDefault="00FA4AA8">
            <w:pPr>
              <w:pStyle w:val="TableParagraph"/>
              <w:spacing w:before="9"/>
              <w:rPr>
                <w:sz w:val="19"/>
              </w:rPr>
            </w:pPr>
          </w:p>
          <w:p w14:paraId="59125ADE" w14:textId="77777777" w:rsidR="00FA4AA8" w:rsidRDefault="0015611F">
            <w:pPr>
              <w:pStyle w:val="TableParagraph"/>
              <w:spacing w:before="1"/>
              <w:ind w:right="84"/>
              <w:jc w:val="right"/>
              <w:rPr>
                <w:b/>
                <w:sz w:val="18"/>
              </w:rPr>
            </w:pPr>
            <w:r>
              <w:rPr>
                <w:b/>
                <w:sz w:val="18"/>
              </w:rPr>
              <w:t>5,237</w:t>
            </w:r>
          </w:p>
        </w:tc>
      </w:tr>
      <w:tr w:rsidR="00FA4AA8" w14:paraId="0AF5FF49" w14:textId="77777777">
        <w:trPr>
          <w:trHeight w:val="279"/>
        </w:trPr>
        <w:tc>
          <w:tcPr>
            <w:tcW w:w="4269" w:type="dxa"/>
          </w:tcPr>
          <w:p w14:paraId="741569C1" w14:textId="77777777" w:rsidR="00FA4AA8" w:rsidRDefault="0015611F">
            <w:pPr>
              <w:pStyle w:val="TableParagraph"/>
              <w:spacing w:before="36"/>
              <w:ind w:left="50"/>
              <w:rPr>
                <w:b/>
                <w:sz w:val="18"/>
              </w:rPr>
            </w:pPr>
            <w:r>
              <w:rPr>
                <w:b/>
                <w:sz w:val="18"/>
              </w:rPr>
              <w:t>Balance as restated</w:t>
            </w:r>
          </w:p>
        </w:tc>
        <w:tc>
          <w:tcPr>
            <w:tcW w:w="1078" w:type="dxa"/>
          </w:tcPr>
          <w:p w14:paraId="7486FEBB" w14:textId="77777777" w:rsidR="00FA4AA8" w:rsidRDefault="00FA4AA8">
            <w:pPr>
              <w:pStyle w:val="TableParagraph"/>
              <w:rPr>
                <w:rFonts w:ascii="Times New Roman"/>
                <w:sz w:val="18"/>
              </w:rPr>
            </w:pPr>
          </w:p>
        </w:tc>
        <w:tc>
          <w:tcPr>
            <w:tcW w:w="1704" w:type="dxa"/>
            <w:tcBorders>
              <w:top w:val="single" w:sz="8" w:space="0" w:color="000000"/>
            </w:tcBorders>
          </w:tcPr>
          <w:p w14:paraId="79E7423E" w14:textId="77777777" w:rsidR="00FA4AA8" w:rsidRDefault="0015611F">
            <w:pPr>
              <w:pStyle w:val="TableParagraph"/>
              <w:spacing w:before="40"/>
              <w:ind w:right="260"/>
              <w:jc w:val="right"/>
              <w:rPr>
                <w:b/>
                <w:sz w:val="18"/>
              </w:rPr>
            </w:pPr>
            <w:r>
              <w:rPr>
                <w:b/>
                <w:sz w:val="18"/>
              </w:rPr>
              <w:t>867,944</w:t>
            </w:r>
          </w:p>
        </w:tc>
        <w:tc>
          <w:tcPr>
            <w:tcW w:w="1603" w:type="dxa"/>
            <w:tcBorders>
              <w:top w:val="single" w:sz="8" w:space="0" w:color="000000"/>
            </w:tcBorders>
          </w:tcPr>
          <w:p w14:paraId="37E53D89" w14:textId="77777777" w:rsidR="00FA4AA8" w:rsidRDefault="0015611F">
            <w:pPr>
              <w:pStyle w:val="TableParagraph"/>
              <w:spacing w:before="40"/>
              <w:ind w:left="458"/>
              <w:rPr>
                <w:b/>
                <w:sz w:val="18"/>
              </w:rPr>
            </w:pPr>
            <w:r>
              <w:rPr>
                <w:b/>
                <w:sz w:val="18"/>
              </w:rPr>
              <w:t>1,037,719</w:t>
            </w:r>
          </w:p>
        </w:tc>
        <w:tc>
          <w:tcPr>
            <w:tcW w:w="1279" w:type="dxa"/>
            <w:tcBorders>
              <w:top w:val="single" w:sz="8" w:space="0" w:color="000000"/>
            </w:tcBorders>
          </w:tcPr>
          <w:p w14:paraId="707671BB" w14:textId="77777777" w:rsidR="00FA4AA8" w:rsidRDefault="0015611F">
            <w:pPr>
              <w:pStyle w:val="TableParagraph"/>
              <w:spacing w:before="40"/>
              <w:ind w:right="84"/>
              <w:jc w:val="right"/>
              <w:rPr>
                <w:b/>
                <w:sz w:val="18"/>
              </w:rPr>
            </w:pPr>
            <w:r>
              <w:rPr>
                <w:b/>
                <w:sz w:val="18"/>
              </w:rPr>
              <w:t>1,905,663</w:t>
            </w:r>
          </w:p>
        </w:tc>
      </w:tr>
      <w:tr w:rsidR="00FA4AA8" w14:paraId="192E5D70" w14:textId="77777777">
        <w:trPr>
          <w:trHeight w:val="263"/>
        </w:trPr>
        <w:tc>
          <w:tcPr>
            <w:tcW w:w="4269" w:type="dxa"/>
          </w:tcPr>
          <w:p w14:paraId="1A4F39CF" w14:textId="77777777" w:rsidR="00FA4AA8" w:rsidRDefault="0015611F">
            <w:pPr>
              <w:pStyle w:val="TableParagraph"/>
              <w:spacing w:before="28"/>
              <w:ind w:left="50"/>
              <w:rPr>
                <w:sz w:val="18"/>
              </w:rPr>
            </w:pPr>
            <w:r>
              <w:rPr>
                <w:sz w:val="18"/>
              </w:rPr>
              <w:t>Net result</w:t>
            </w:r>
          </w:p>
        </w:tc>
        <w:tc>
          <w:tcPr>
            <w:tcW w:w="1078" w:type="dxa"/>
          </w:tcPr>
          <w:p w14:paraId="6C698D11" w14:textId="77777777" w:rsidR="00FA4AA8" w:rsidRDefault="00FA4AA8">
            <w:pPr>
              <w:pStyle w:val="TableParagraph"/>
              <w:rPr>
                <w:rFonts w:ascii="Times New Roman"/>
                <w:sz w:val="18"/>
              </w:rPr>
            </w:pPr>
          </w:p>
        </w:tc>
        <w:tc>
          <w:tcPr>
            <w:tcW w:w="1704" w:type="dxa"/>
          </w:tcPr>
          <w:p w14:paraId="2855C155" w14:textId="77777777" w:rsidR="00FA4AA8" w:rsidRDefault="0015611F">
            <w:pPr>
              <w:pStyle w:val="TableParagraph"/>
              <w:spacing w:before="25"/>
              <w:ind w:right="259"/>
              <w:jc w:val="right"/>
              <w:rPr>
                <w:b/>
                <w:sz w:val="18"/>
              </w:rPr>
            </w:pPr>
            <w:r>
              <w:rPr>
                <w:b/>
                <w:sz w:val="18"/>
              </w:rPr>
              <w:t>-</w:t>
            </w:r>
          </w:p>
        </w:tc>
        <w:tc>
          <w:tcPr>
            <w:tcW w:w="1603" w:type="dxa"/>
          </w:tcPr>
          <w:p w14:paraId="7CE6B2F7" w14:textId="77777777" w:rsidR="00FA4AA8" w:rsidRDefault="0015611F">
            <w:pPr>
              <w:pStyle w:val="TableParagraph"/>
              <w:spacing w:before="25"/>
              <w:ind w:right="336"/>
              <w:jc w:val="right"/>
              <w:rPr>
                <w:b/>
                <w:sz w:val="18"/>
              </w:rPr>
            </w:pPr>
            <w:r>
              <w:rPr>
                <w:b/>
                <w:sz w:val="18"/>
              </w:rPr>
              <w:t>86,771</w:t>
            </w:r>
          </w:p>
        </w:tc>
        <w:tc>
          <w:tcPr>
            <w:tcW w:w="1279" w:type="dxa"/>
          </w:tcPr>
          <w:p w14:paraId="396CACCF" w14:textId="77777777" w:rsidR="00FA4AA8" w:rsidRDefault="0015611F">
            <w:pPr>
              <w:pStyle w:val="TableParagraph"/>
              <w:spacing w:before="25"/>
              <w:ind w:right="84"/>
              <w:jc w:val="right"/>
              <w:rPr>
                <w:b/>
                <w:sz w:val="18"/>
              </w:rPr>
            </w:pPr>
            <w:r>
              <w:rPr>
                <w:b/>
                <w:sz w:val="18"/>
              </w:rPr>
              <w:t>86,771</w:t>
            </w:r>
          </w:p>
        </w:tc>
      </w:tr>
      <w:tr w:rsidR="00FA4AA8" w14:paraId="7B5513DC" w14:textId="77777777">
        <w:trPr>
          <w:trHeight w:val="465"/>
        </w:trPr>
        <w:tc>
          <w:tcPr>
            <w:tcW w:w="4269" w:type="dxa"/>
          </w:tcPr>
          <w:p w14:paraId="22C35C2B" w14:textId="77777777" w:rsidR="00FA4AA8" w:rsidRDefault="0015611F">
            <w:pPr>
              <w:pStyle w:val="TableParagraph"/>
              <w:spacing w:before="23"/>
              <w:ind w:left="50"/>
              <w:rPr>
                <w:sz w:val="18"/>
              </w:rPr>
            </w:pPr>
            <w:r>
              <w:rPr>
                <w:sz w:val="18"/>
              </w:rPr>
              <w:t xml:space="preserve">Gain/(loss) on revaluation of </w:t>
            </w:r>
            <w:r w:rsidR="00FA26A8">
              <w:rPr>
                <w:sz w:val="18"/>
              </w:rPr>
              <w:t>property, plant</w:t>
            </w:r>
            <w:r>
              <w:rPr>
                <w:sz w:val="18"/>
              </w:rPr>
              <w:t xml:space="preserve"> and equipment</w:t>
            </w:r>
          </w:p>
        </w:tc>
        <w:tc>
          <w:tcPr>
            <w:tcW w:w="1078" w:type="dxa"/>
          </w:tcPr>
          <w:p w14:paraId="3BB3A63A" w14:textId="77777777" w:rsidR="00FA4AA8" w:rsidRDefault="00FA4AA8">
            <w:pPr>
              <w:pStyle w:val="TableParagraph"/>
              <w:spacing w:before="11"/>
              <w:rPr>
                <w:sz w:val="19"/>
              </w:rPr>
            </w:pPr>
          </w:p>
          <w:p w14:paraId="75FCD948" w14:textId="77777777" w:rsidR="00FA4AA8" w:rsidRDefault="0015611F">
            <w:pPr>
              <w:pStyle w:val="TableParagraph"/>
              <w:ind w:right="264"/>
              <w:jc w:val="right"/>
              <w:rPr>
                <w:sz w:val="18"/>
              </w:rPr>
            </w:pPr>
            <w:r>
              <w:rPr>
                <w:sz w:val="18"/>
              </w:rPr>
              <w:t>27(c)</w:t>
            </w:r>
          </w:p>
        </w:tc>
        <w:tc>
          <w:tcPr>
            <w:tcW w:w="1704" w:type="dxa"/>
          </w:tcPr>
          <w:p w14:paraId="002893AD" w14:textId="77777777" w:rsidR="00FA4AA8" w:rsidRDefault="00FA4AA8">
            <w:pPr>
              <w:pStyle w:val="TableParagraph"/>
              <w:spacing w:before="8"/>
              <w:rPr>
                <w:sz w:val="19"/>
              </w:rPr>
            </w:pPr>
          </w:p>
          <w:p w14:paraId="2FB5F258" w14:textId="77777777" w:rsidR="00FA4AA8" w:rsidRDefault="0015611F">
            <w:pPr>
              <w:pStyle w:val="TableParagraph"/>
              <w:ind w:right="260"/>
              <w:jc w:val="right"/>
              <w:rPr>
                <w:b/>
                <w:sz w:val="18"/>
              </w:rPr>
            </w:pPr>
            <w:r>
              <w:rPr>
                <w:b/>
                <w:sz w:val="18"/>
              </w:rPr>
              <w:t>69,076</w:t>
            </w:r>
          </w:p>
        </w:tc>
        <w:tc>
          <w:tcPr>
            <w:tcW w:w="1603" w:type="dxa"/>
          </w:tcPr>
          <w:p w14:paraId="721EF109" w14:textId="77777777" w:rsidR="00FA4AA8" w:rsidRDefault="00FA4AA8">
            <w:pPr>
              <w:pStyle w:val="TableParagraph"/>
              <w:spacing w:before="8"/>
              <w:rPr>
                <w:sz w:val="19"/>
              </w:rPr>
            </w:pPr>
          </w:p>
          <w:p w14:paraId="2811D10B" w14:textId="77777777" w:rsidR="00FA4AA8" w:rsidRDefault="0015611F">
            <w:pPr>
              <w:pStyle w:val="TableParagraph"/>
              <w:ind w:right="336"/>
              <w:jc w:val="right"/>
              <w:rPr>
                <w:b/>
                <w:sz w:val="18"/>
              </w:rPr>
            </w:pPr>
            <w:r>
              <w:rPr>
                <w:b/>
                <w:sz w:val="18"/>
              </w:rPr>
              <w:t>-</w:t>
            </w:r>
          </w:p>
        </w:tc>
        <w:tc>
          <w:tcPr>
            <w:tcW w:w="1279" w:type="dxa"/>
          </w:tcPr>
          <w:p w14:paraId="4E8D66B1" w14:textId="77777777" w:rsidR="00FA4AA8" w:rsidRDefault="00FA4AA8">
            <w:pPr>
              <w:pStyle w:val="TableParagraph"/>
              <w:spacing w:before="8"/>
              <w:rPr>
                <w:sz w:val="19"/>
              </w:rPr>
            </w:pPr>
          </w:p>
          <w:p w14:paraId="21A96A05" w14:textId="77777777" w:rsidR="00FA4AA8" w:rsidRDefault="0015611F">
            <w:pPr>
              <w:pStyle w:val="TableParagraph"/>
              <w:ind w:right="84"/>
              <w:jc w:val="right"/>
              <w:rPr>
                <w:b/>
                <w:sz w:val="18"/>
              </w:rPr>
            </w:pPr>
            <w:r>
              <w:rPr>
                <w:b/>
                <w:sz w:val="18"/>
              </w:rPr>
              <w:t>69,076</w:t>
            </w:r>
          </w:p>
        </w:tc>
      </w:tr>
      <w:tr w:rsidR="00FA4AA8" w14:paraId="0369BDB4" w14:textId="77777777">
        <w:trPr>
          <w:trHeight w:val="465"/>
        </w:trPr>
        <w:tc>
          <w:tcPr>
            <w:tcW w:w="4269" w:type="dxa"/>
          </w:tcPr>
          <w:p w14:paraId="09E7DB28" w14:textId="77777777" w:rsidR="00FA4AA8" w:rsidRDefault="0015611F">
            <w:pPr>
              <w:pStyle w:val="TableParagraph"/>
              <w:spacing w:before="23"/>
              <w:ind w:left="50"/>
              <w:rPr>
                <w:sz w:val="18"/>
              </w:rPr>
            </w:pPr>
            <w:r>
              <w:rPr>
                <w:sz w:val="18"/>
              </w:rPr>
              <w:t>Gain/(loss) on equity investments at fair value through comprehensive income</w:t>
            </w:r>
          </w:p>
        </w:tc>
        <w:tc>
          <w:tcPr>
            <w:tcW w:w="1078" w:type="dxa"/>
          </w:tcPr>
          <w:p w14:paraId="1ECF474E" w14:textId="77777777" w:rsidR="00FA4AA8" w:rsidRDefault="00FA4AA8">
            <w:pPr>
              <w:pStyle w:val="TableParagraph"/>
              <w:spacing w:before="11"/>
              <w:rPr>
                <w:sz w:val="19"/>
              </w:rPr>
            </w:pPr>
          </w:p>
          <w:p w14:paraId="10EF308A" w14:textId="77777777" w:rsidR="00FA4AA8" w:rsidRDefault="0015611F">
            <w:pPr>
              <w:pStyle w:val="TableParagraph"/>
              <w:ind w:right="264"/>
              <w:jc w:val="right"/>
              <w:rPr>
                <w:sz w:val="18"/>
              </w:rPr>
            </w:pPr>
            <w:r>
              <w:rPr>
                <w:sz w:val="18"/>
              </w:rPr>
              <w:t>27(c)</w:t>
            </w:r>
          </w:p>
        </w:tc>
        <w:tc>
          <w:tcPr>
            <w:tcW w:w="1704" w:type="dxa"/>
          </w:tcPr>
          <w:p w14:paraId="4325D043" w14:textId="77777777" w:rsidR="00FA4AA8" w:rsidRDefault="00FA4AA8">
            <w:pPr>
              <w:pStyle w:val="TableParagraph"/>
              <w:spacing w:before="8"/>
              <w:rPr>
                <w:sz w:val="19"/>
              </w:rPr>
            </w:pPr>
          </w:p>
          <w:p w14:paraId="1CB361AD" w14:textId="77777777" w:rsidR="00FA4AA8" w:rsidRDefault="0015611F">
            <w:pPr>
              <w:pStyle w:val="TableParagraph"/>
              <w:ind w:right="260"/>
              <w:jc w:val="right"/>
              <w:rPr>
                <w:b/>
                <w:sz w:val="18"/>
              </w:rPr>
            </w:pPr>
            <w:r>
              <w:rPr>
                <w:b/>
                <w:sz w:val="18"/>
              </w:rPr>
              <w:t>7,111</w:t>
            </w:r>
          </w:p>
        </w:tc>
        <w:tc>
          <w:tcPr>
            <w:tcW w:w="1603" w:type="dxa"/>
          </w:tcPr>
          <w:p w14:paraId="28B6DA54" w14:textId="77777777" w:rsidR="00FA4AA8" w:rsidRDefault="00FA4AA8">
            <w:pPr>
              <w:pStyle w:val="TableParagraph"/>
              <w:spacing w:before="8"/>
              <w:rPr>
                <w:sz w:val="19"/>
              </w:rPr>
            </w:pPr>
          </w:p>
          <w:p w14:paraId="09E29000" w14:textId="77777777" w:rsidR="00FA4AA8" w:rsidRDefault="0015611F">
            <w:pPr>
              <w:pStyle w:val="TableParagraph"/>
              <w:ind w:right="336"/>
              <w:jc w:val="right"/>
              <w:rPr>
                <w:b/>
                <w:sz w:val="18"/>
              </w:rPr>
            </w:pPr>
            <w:r>
              <w:rPr>
                <w:b/>
                <w:sz w:val="18"/>
              </w:rPr>
              <w:t>-</w:t>
            </w:r>
          </w:p>
        </w:tc>
        <w:tc>
          <w:tcPr>
            <w:tcW w:w="1279" w:type="dxa"/>
          </w:tcPr>
          <w:p w14:paraId="53BB0E6A" w14:textId="77777777" w:rsidR="00FA4AA8" w:rsidRDefault="00FA4AA8">
            <w:pPr>
              <w:pStyle w:val="TableParagraph"/>
              <w:spacing w:before="8"/>
              <w:rPr>
                <w:sz w:val="19"/>
              </w:rPr>
            </w:pPr>
          </w:p>
          <w:p w14:paraId="4A24DE1C" w14:textId="77777777" w:rsidR="00FA4AA8" w:rsidRDefault="0015611F">
            <w:pPr>
              <w:pStyle w:val="TableParagraph"/>
              <w:ind w:right="84"/>
              <w:jc w:val="right"/>
              <w:rPr>
                <w:b/>
                <w:sz w:val="18"/>
              </w:rPr>
            </w:pPr>
            <w:r>
              <w:rPr>
                <w:b/>
                <w:sz w:val="18"/>
              </w:rPr>
              <w:t>7,111</w:t>
            </w:r>
          </w:p>
        </w:tc>
      </w:tr>
      <w:tr w:rsidR="00FA4AA8" w14:paraId="41FBF2A2" w14:textId="77777777">
        <w:trPr>
          <w:trHeight w:val="264"/>
        </w:trPr>
        <w:tc>
          <w:tcPr>
            <w:tcW w:w="4269" w:type="dxa"/>
          </w:tcPr>
          <w:p w14:paraId="0A9F5A97" w14:textId="77777777" w:rsidR="00FA4AA8" w:rsidRDefault="0015611F">
            <w:pPr>
              <w:pStyle w:val="TableParagraph"/>
              <w:spacing w:before="28"/>
              <w:ind w:left="50"/>
              <w:rPr>
                <w:sz w:val="18"/>
              </w:rPr>
            </w:pPr>
            <w:r>
              <w:rPr>
                <w:sz w:val="18"/>
              </w:rPr>
              <w:t>Gain/(loss) on revaluation of livestock</w:t>
            </w:r>
          </w:p>
        </w:tc>
        <w:tc>
          <w:tcPr>
            <w:tcW w:w="1078" w:type="dxa"/>
          </w:tcPr>
          <w:p w14:paraId="1E630F2D" w14:textId="77777777" w:rsidR="00FA4AA8" w:rsidRDefault="0015611F">
            <w:pPr>
              <w:pStyle w:val="TableParagraph"/>
              <w:spacing w:before="23"/>
              <w:ind w:right="264"/>
              <w:jc w:val="right"/>
              <w:rPr>
                <w:sz w:val="18"/>
              </w:rPr>
            </w:pPr>
            <w:r>
              <w:rPr>
                <w:sz w:val="18"/>
              </w:rPr>
              <w:t>27(c)</w:t>
            </w:r>
          </w:p>
        </w:tc>
        <w:tc>
          <w:tcPr>
            <w:tcW w:w="1704" w:type="dxa"/>
          </w:tcPr>
          <w:p w14:paraId="5949ED4A" w14:textId="77777777" w:rsidR="00FA4AA8" w:rsidRDefault="0015611F">
            <w:pPr>
              <w:pStyle w:val="TableParagraph"/>
              <w:spacing w:before="25"/>
              <w:ind w:right="199"/>
              <w:jc w:val="right"/>
              <w:rPr>
                <w:b/>
                <w:sz w:val="18"/>
              </w:rPr>
            </w:pPr>
            <w:r>
              <w:rPr>
                <w:b/>
                <w:sz w:val="18"/>
              </w:rPr>
              <w:t>(93)</w:t>
            </w:r>
          </w:p>
        </w:tc>
        <w:tc>
          <w:tcPr>
            <w:tcW w:w="1603" w:type="dxa"/>
          </w:tcPr>
          <w:p w14:paraId="042115B7" w14:textId="77777777" w:rsidR="00FA4AA8" w:rsidRDefault="0015611F">
            <w:pPr>
              <w:pStyle w:val="TableParagraph"/>
              <w:spacing w:before="25"/>
              <w:ind w:right="336"/>
              <w:jc w:val="right"/>
              <w:rPr>
                <w:b/>
                <w:sz w:val="18"/>
              </w:rPr>
            </w:pPr>
            <w:r>
              <w:rPr>
                <w:b/>
                <w:sz w:val="18"/>
              </w:rPr>
              <w:t>-</w:t>
            </w:r>
          </w:p>
        </w:tc>
        <w:tc>
          <w:tcPr>
            <w:tcW w:w="1279" w:type="dxa"/>
          </w:tcPr>
          <w:p w14:paraId="044ABB31" w14:textId="77777777" w:rsidR="00FA4AA8" w:rsidRDefault="0015611F">
            <w:pPr>
              <w:pStyle w:val="TableParagraph"/>
              <w:spacing w:before="25"/>
              <w:ind w:right="23"/>
              <w:jc w:val="right"/>
              <w:rPr>
                <w:b/>
                <w:sz w:val="18"/>
              </w:rPr>
            </w:pPr>
            <w:r>
              <w:rPr>
                <w:b/>
                <w:sz w:val="18"/>
              </w:rPr>
              <w:t>(93)</w:t>
            </w:r>
          </w:p>
        </w:tc>
      </w:tr>
      <w:tr w:rsidR="00FA4AA8" w14:paraId="6CB2E9A0" w14:textId="77777777">
        <w:trPr>
          <w:trHeight w:val="257"/>
        </w:trPr>
        <w:tc>
          <w:tcPr>
            <w:tcW w:w="4269" w:type="dxa"/>
          </w:tcPr>
          <w:p w14:paraId="799814A7" w14:textId="77777777" w:rsidR="00FA4AA8" w:rsidRDefault="0015611F">
            <w:pPr>
              <w:pStyle w:val="TableParagraph"/>
              <w:spacing w:before="28"/>
              <w:ind w:left="50"/>
              <w:rPr>
                <w:sz w:val="18"/>
              </w:rPr>
            </w:pPr>
            <w:r>
              <w:rPr>
                <w:sz w:val="18"/>
              </w:rPr>
              <w:t>Remeasurements of Defined Benefit Plans</w:t>
            </w:r>
          </w:p>
        </w:tc>
        <w:tc>
          <w:tcPr>
            <w:tcW w:w="1078" w:type="dxa"/>
          </w:tcPr>
          <w:p w14:paraId="5A5D48C5" w14:textId="77777777" w:rsidR="00FA4AA8" w:rsidRDefault="0015611F">
            <w:pPr>
              <w:pStyle w:val="TableParagraph"/>
              <w:spacing w:before="23"/>
              <w:ind w:right="264"/>
              <w:jc w:val="right"/>
              <w:rPr>
                <w:sz w:val="18"/>
              </w:rPr>
            </w:pPr>
            <w:r>
              <w:rPr>
                <w:sz w:val="18"/>
              </w:rPr>
              <w:t>27(c)</w:t>
            </w:r>
          </w:p>
        </w:tc>
        <w:tc>
          <w:tcPr>
            <w:tcW w:w="1704" w:type="dxa"/>
            <w:tcBorders>
              <w:bottom w:val="single" w:sz="8" w:space="0" w:color="000000"/>
            </w:tcBorders>
          </w:tcPr>
          <w:p w14:paraId="47BDA261" w14:textId="77777777" w:rsidR="00FA4AA8" w:rsidRDefault="0015611F">
            <w:pPr>
              <w:pStyle w:val="TableParagraph"/>
              <w:spacing w:before="25"/>
              <w:ind w:right="199"/>
              <w:jc w:val="right"/>
              <w:rPr>
                <w:b/>
                <w:sz w:val="18"/>
              </w:rPr>
            </w:pPr>
            <w:r>
              <w:rPr>
                <w:b/>
                <w:sz w:val="18"/>
              </w:rPr>
              <w:t>(335)</w:t>
            </w:r>
          </w:p>
        </w:tc>
        <w:tc>
          <w:tcPr>
            <w:tcW w:w="1603" w:type="dxa"/>
            <w:tcBorders>
              <w:bottom w:val="single" w:sz="8" w:space="0" w:color="000000"/>
            </w:tcBorders>
          </w:tcPr>
          <w:p w14:paraId="510B43E5" w14:textId="77777777" w:rsidR="00FA4AA8" w:rsidRDefault="0015611F">
            <w:pPr>
              <w:pStyle w:val="TableParagraph"/>
              <w:spacing w:before="25"/>
              <w:ind w:right="336"/>
              <w:jc w:val="right"/>
              <w:rPr>
                <w:b/>
                <w:sz w:val="18"/>
              </w:rPr>
            </w:pPr>
            <w:r>
              <w:rPr>
                <w:b/>
                <w:sz w:val="18"/>
              </w:rPr>
              <w:t>-</w:t>
            </w:r>
          </w:p>
        </w:tc>
        <w:tc>
          <w:tcPr>
            <w:tcW w:w="1279" w:type="dxa"/>
            <w:tcBorders>
              <w:bottom w:val="single" w:sz="8" w:space="0" w:color="000000"/>
            </w:tcBorders>
          </w:tcPr>
          <w:p w14:paraId="38388E2B" w14:textId="77777777" w:rsidR="00FA4AA8" w:rsidRDefault="0015611F">
            <w:pPr>
              <w:pStyle w:val="TableParagraph"/>
              <w:spacing w:before="25"/>
              <w:ind w:right="23"/>
              <w:jc w:val="right"/>
              <w:rPr>
                <w:b/>
                <w:sz w:val="18"/>
              </w:rPr>
            </w:pPr>
            <w:r>
              <w:rPr>
                <w:b/>
                <w:sz w:val="18"/>
              </w:rPr>
              <w:t>(335)</w:t>
            </w:r>
          </w:p>
        </w:tc>
      </w:tr>
      <w:tr w:rsidR="00FA4AA8" w14:paraId="394274D8" w14:textId="77777777">
        <w:trPr>
          <w:trHeight w:val="318"/>
        </w:trPr>
        <w:tc>
          <w:tcPr>
            <w:tcW w:w="4269" w:type="dxa"/>
          </w:tcPr>
          <w:p w14:paraId="26B98F72" w14:textId="77777777" w:rsidR="00FA4AA8" w:rsidRDefault="0015611F">
            <w:pPr>
              <w:pStyle w:val="TableParagraph"/>
              <w:spacing w:before="115" w:line="183" w:lineRule="exact"/>
              <w:ind w:left="50"/>
              <w:rPr>
                <w:b/>
                <w:sz w:val="18"/>
              </w:rPr>
            </w:pPr>
            <w:r>
              <w:rPr>
                <w:b/>
                <w:sz w:val="18"/>
              </w:rPr>
              <w:t>Other comprehensive income</w:t>
            </w:r>
          </w:p>
        </w:tc>
        <w:tc>
          <w:tcPr>
            <w:tcW w:w="1078" w:type="dxa"/>
          </w:tcPr>
          <w:p w14:paraId="37C0C6AE" w14:textId="77777777" w:rsidR="00FA4AA8" w:rsidRDefault="00FA4AA8">
            <w:pPr>
              <w:pStyle w:val="TableParagraph"/>
              <w:rPr>
                <w:rFonts w:ascii="Times New Roman"/>
                <w:sz w:val="18"/>
              </w:rPr>
            </w:pPr>
          </w:p>
        </w:tc>
        <w:tc>
          <w:tcPr>
            <w:tcW w:w="1704" w:type="dxa"/>
            <w:tcBorders>
              <w:top w:val="single" w:sz="8" w:space="0" w:color="000000"/>
              <w:bottom w:val="single" w:sz="8" w:space="0" w:color="000000"/>
            </w:tcBorders>
          </w:tcPr>
          <w:p w14:paraId="7992D8E0" w14:textId="77777777" w:rsidR="00FA4AA8" w:rsidRDefault="0015611F">
            <w:pPr>
              <w:pStyle w:val="TableParagraph"/>
              <w:spacing w:before="115" w:line="183" w:lineRule="exact"/>
              <w:ind w:right="260"/>
              <w:jc w:val="right"/>
              <w:rPr>
                <w:b/>
                <w:sz w:val="18"/>
              </w:rPr>
            </w:pPr>
            <w:r>
              <w:rPr>
                <w:b/>
                <w:sz w:val="18"/>
              </w:rPr>
              <w:t>75,759</w:t>
            </w:r>
          </w:p>
        </w:tc>
        <w:tc>
          <w:tcPr>
            <w:tcW w:w="1603" w:type="dxa"/>
            <w:tcBorders>
              <w:top w:val="single" w:sz="8" w:space="0" w:color="000000"/>
              <w:bottom w:val="single" w:sz="8" w:space="0" w:color="000000"/>
            </w:tcBorders>
          </w:tcPr>
          <w:p w14:paraId="1196F726" w14:textId="77777777" w:rsidR="00FA4AA8" w:rsidRDefault="0015611F">
            <w:pPr>
              <w:pStyle w:val="TableParagraph"/>
              <w:spacing w:before="115" w:line="183" w:lineRule="exact"/>
              <w:ind w:right="336"/>
              <w:jc w:val="right"/>
              <w:rPr>
                <w:b/>
                <w:sz w:val="18"/>
              </w:rPr>
            </w:pPr>
            <w:r>
              <w:rPr>
                <w:b/>
                <w:sz w:val="18"/>
              </w:rPr>
              <w:t>-</w:t>
            </w:r>
          </w:p>
        </w:tc>
        <w:tc>
          <w:tcPr>
            <w:tcW w:w="1279" w:type="dxa"/>
            <w:tcBorders>
              <w:top w:val="single" w:sz="8" w:space="0" w:color="000000"/>
              <w:bottom w:val="single" w:sz="8" w:space="0" w:color="000000"/>
            </w:tcBorders>
          </w:tcPr>
          <w:p w14:paraId="67942453" w14:textId="77777777" w:rsidR="00FA4AA8" w:rsidRDefault="0015611F">
            <w:pPr>
              <w:pStyle w:val="TableParagraph"/>
              <w:spacing w:before="115" w:line="183" w:lineRule="exact"/>
              <w:ind w:right="84"/>
              <w:jc w:val="right"/>
              <w:rPr>
                <w:b/>
                <w:sz w:val="18"/>
              </w:rPr>
            </w:pPr>
            <w:r>
              <w:rPr>
                <w:b/>
                <w:sz w:val="18"/>
              </w:rPr>
              <w:t>75,759</w:t>
            </w:r>
          </w:p>
        </w:tc>
      </w:tr>
      <w:tr w:rsidR="00FA4AA8" w14:paraId="105B852A" w14:textId="77777777">
        <w:trPr>
          <w:trHeight w:val="263"/>
        </w:trPr>
        <w:tc>
          <w:tcPr>
            <w:tcW w:w="4269" w:type="dxa"/>
          </w:tcPr>
          <w:p w14:paraId="45896380" w14:textId="77777777" w:rsidR="00FA4AA8" w:rsidRDefault="0015611F">
            <w:pPr>
              <w:pStyle w:val="TableParagraph"/>
              <w:spacing w:before="33"/>
              <w:ind w:left="50"/>
              <w:rPr>
                <w:b/>
                <w:sz w:val="18"/>
              </w:rPr>
            </w:pPr>
            <w:r>
              <w:rPr>
                <w:b/>
                <w:sz w:val="18"/>
              </w:rPr>
              <w:t>Total comprehensive income</w:t>
            </w:r>
          </w:p>
        </w:tc>
        <w:tc>
          <w:tcPr>
            <w:tcW w:w="1078" w:type="dxa"/>
          </w:tcPr>
          <w:p w14:paraId="42BB07F5" w14:textId="77777777" w:rsidR="00FA4AA8" w:rsidRDefault="00FA4AA8">
            <w:pPr>
              <w:pStyle w:val="TableParagraph"/>
              <w:rPr>
                <w:rFonts w:ascii="Times New Roman"/>
                <w:sz w:val="18"/>
              </w:rPr>
            </w:pPr>
          </w:p>
        </w:tc>
        <w:tc>
          <w:tcPr>
            <w:tcW w:w="1704" w:type="dxa"/>
            <w:tcBorders>
              <w:top w:val="single" w:sz="8" w:space="0" w:color="000000"/>
              <w:bottom w:val="single" w:sz="8" w:space="0" w:color="000000"/>
            </w:tcBorders>
          </w:tcPr>
          <w:p w14:paraId="1C2D0F68" w14:textId="77777777" w:rsidR="00FA4AA8" w:rsidRDefault="0015611F">
            <w:pPr>
              <w:pStyle w:val="TableParagraph"/>
              <w:spacing w:before="31"/>
              <w:ind w:right="260"/>
              <w:jc w:val="right"/>
              <w:rPr>
                <w:b/>
                <w:sz w:val="18"/>
              </w:rPr>
            </w:pPr>
            <w:r>
              <w:rPr>
                <w:b/>
                <w:sz w:val="18"/>
              </w:rPr>
              <w:t>943,703</w:t>
            </w:r>
          </w:p>
        </w:tc>
        <w:tc>
          <w:tcPr>
            <w:tcW w:w="1603" w:type="dxa"/>
            <w:tcBorders>
              <w:top w:val="single" w:sz="8" w:space="0" w:color="000000"/>
              <w:bottom w:val="single" w:sz="8" w:space="0" w:color="000000"/>
            </w:tcBorders>
          </w:tcPr>
          <w:p w14:paraId="07B4D49D" w14:textId="77777777" w:rsidR="00FA4AA8" w:rsidRDefault="0015611F">
            <w:pPr>
              <w:pStyle w:val="TableParagraph"/>
              <w:spacing w:before="31"/>
              <w:ind w:left="458"/>
              <w:rPr>
                <w:b/>
                <w:sz w:val="18"/>
              </w:rPr>
            </w:pPr>
            <w:r>
              <w:rPr>
                <w:b/>
                <w:sz w:val="18"/>
              </w:rPr>
              <w:t>1,124,490</w:t>
            </w:r>
          </w:p>
        </w:tc>
        <w:tc>
          <w:tcPr>
            <w:tcW w:w="1279" w:type="dxa"/>
            <w:tcBorders>
              <w:top w:val="single" w:sz="8" w:space="0" w:color="000000"/>
              <w:bottom w:val="single" w:sz="8" w:space="0" w:color="000000"/>
            </w:tcBorders>
          </w:tcPr>
          <w:p w14:paraId="3F4D379E" w14:textId="77777777" w:rsidR="00FA4AA8" w:rsidRDefault="0015611F">
            <w:pPr>
              <w:pStyle w:val="TableParagraph"/>
              <w:spacing w:before="31"/>
              <w:ind w:right="84"/>
              <w:jc w:val="right"/>
              <w:rPr>
                <w:b/>
                <w:sz w:val="18"/>
              </w:rPr>
            </w:pPr>
            <w:r>
              <w:rPr>
                <w:b/>
                <w:sz w:val="18"/>
              </w:rPr>
              <w:t>2,068,193</w:t>
            </w:r>
          </w:p>
        </w:tc>
      </w:tr>
      <w:tr w:rsidR="00FA4AA8" w14:paraId="5D770377" w14:textId="77777777">
        <w:trPr>
          <w:trHeight w:val="464"/>
        </w:trPr>
        <w:tc>
          <w:tcPr>
            <w:tcW w:w="4269" w:type="dxa"/>
          </w:tcPr>
          <w:p w14:paraId="22104ACA" w14:textId="77777777" w:rsidR="00FA4AA8" w:rsidRDefault="0015611F">
            <w:pPr>
              <w:pStyle w:val="TableParagraph"/>
              <w:spacing w:before="28"/>
              <w:ind w:left="50"/>
              <w:rPr>
                <w:sz w:val="18"/>
              </w:rPr>
            </w:pPr>
            <w:r>
              <w:rPr>
                <w:sz w:val="18"/>
              </w:rPr>
              <w:t>Transfer from property development revaluation reserve on disposal of assets</w:t>
            </w:r>
          </w:p>
        </w:tc>
        <w:tc>
          <w:tcPr>
            <w:tcW w:w="1078" w:type="dxa"/>
          </w:tcPr>
          <w:p w14:paraId="6611F981" w14:textId="77777777" w:rsidR="00FA4AA8" w:rsidRDefault="00FA4AA8">
            <w:pPr>
              <w:pStyle w:val="TableParagraph"/>
              <w:spacing w:before="5"/>
              <w:rPr>
                <w:sz w:val="20"/>
              </w:rPr>
            </w:pPr>
          </w:p>
          <w:p w14:paraId="5A9DA6B3" w14:textId="77777777" w:rsidR="00FA4AA8" w:rsidRDefault="0015611F">
            <w:pPr>
              <w:pStyle w:val="TableParagraph"/>
              <w:ind w:right="264"/>
              <w:jc w:val="right"/>
              <w:rPr>
                <w:sz w:val="18"/>
              </w:rPr>
            </w:pPr>
            <w:r>
              <w:rPr>
                <w:sz w:val="18"/>
              </w:rPr>
              <w:t>27(c)</w:t>
            </w:r>
          </w:p>
        </w:tc>
        <w:tc>
          <w:tcPr>
            <w:tcW w:w="1704" w:type="dxa"/>
            <w:tcBorders>
              <w:top w:val="single" w:sz="8" w:space="0" w:color="000000"/>
              <w:bottom w:val="single" w:sz="8" w:space="0" w:color="000000"/>
            </w:tcBorders>
          </w:tcPr>
          <w:p w14:paraId="6D10FCE3" w14:textId="77777777" w:rsidR="00FA4AA8" w:rsidRDefault="00FA4AA8">
            <w:pPr>
              <w:pStyle w:val="TableParagraph"/>
              <w:spacing w:before="2"/>
              <w:rPr>
                <w:sz w:val="20"/>
              </w:rPr>
            </w:pPr>
          </w:p>
          <w:p w14:paraId="3FC284D4" w14:textId="77777777" w:rsidR="00FA4AA8" w:rsidRDefault="0015611F">
            <w:pPr>
              <w:pStyle w:val="TableParagraph"/>
              <w:ind w:right="199"/>
              <w:jc w:val="right"/>
              <w:rPr>
                <w:b/>
                <w:sz w:val="18"/>
              </w:rPr>
            </w:pPr>
            <w:r>
              <w:rPr>
                <w:b/>
                <w:sz w:val="18"/>
              </w:rPr>
              <w:t>(27,611)</w:t>
            </w:r>
          </w:p>
        </w:tc>
        <w:tc>
          <w:tcPr>
            <w:tcW w:w="1603" w:type="dxa"/>
            <w:tcBorders>
              <w:top w:val="single" w:sz="8" w:space="0" w:color="000000"/>
              <w:bottom w:val="single" w:sz="8" w:space="0" w:color="000000"/>
            </w:tcBorders>
          </w:tcPr>
          <w:p w14:paraId="246E964E" w14:textId="77777777" w:rsidR="00FA4AA8" w:rsidRDefault="00FA4AA8">
            <w:pPr>
              <w:pStyle w:val="TableParagraph"/>
              <w:spacing w:before="2"/>
              <w:rPr>
                <w:sz w:val="20"/>
              </w:rPr>
            </w:pPr>
          </w:p>
          <w:p w14:paraId="4188E748" w14:textId="77777777" w:rsidR="00FA4AA8" w:rsidRDefault="0015611F">
            <w:pPr>
              <w:pStyle w:val="TableParagraph"/>
              <w:ind w:right="336"/>
              <w:jc w:val="right"/>
              <w:rPr>
                <w:b/>
                <w:sz w:val="18"/>
              </w:rPr>
            </w:pPr>
            <w:r>
              <w:rPr>
                <w:b/>
                <w:sz w:val="18"/>
              </w:rPr>
              <w:t>27,611</w:t>
            </w:r>
          </w:p>
        </w:tc>
        <w:tc>
          <w:tcPr>
            <w:tcW w:w="1279" w:type="dxa"/>
            <w:tcBorders>
              <w:top w:val="single" w:sz="8" w:space="0" w:color="000000"/>
              <w:bottom w:val="single" w:sz="8" w:space="0" w:color="000000"/>
            </w:tcBorders>
          </w:tcPr>
          <w:p w14:paraId="3C1D90CB" w14:textId="77777777" w:rsidR="00FA4AA8" w:rsidRDefault="00FA4AA8">
            <w:pPr>
              <w:pStyle w:val="TableParagraph"/>
              <w:spacing w:before="2"/>
              <w:rPr>
                <w:sz w:val="20"/>
              </w:rPr>
            </w:pPr>
          </w:p>
          <w:p w14:paraId="55489B34" w14:textId="77777777" w:rsidR="00FA4AA8" w:rsidRDefault="0015611F">
            <w:pPr>
              <w:pStyle w:val="TableParagraph"/>
              <w:ind w:right="84"/>
              <w:jc w:val="right"/>
              <w:rPr>
                <w:b/>
                <w:sz w:val="18"/>
              </w:rPr>
            </w:pPr>
            <w:r>
              <w:rPr>
                <w:b/>
                <w:sz w:val="18"/>
              </w:rPr>
              <w:t>-</w:t>
            </w:r>
          </w:p>
        </w:tc>
      </w:tr>
      <w:tr w:rsidR="00FA4AA8" w14:paraId="6A351998" w14:textId="77777777">
        <w:trPr>
          <w:trHeight w:val="320"/>
        </w:trPr>
        <w:tc>
          <w:tcPr>
            <w:tcW w:w="4269" w:type="dxa"/>
          </w:tcPr>
          <w:p w14:paraId="39CCC373" w14:textId="77777777" w:rsidR="00FA4AA8" w:rsidRDefault="0015611F">
            <w:pPr>
              <w:pStyle w:val="TableParagraph"/>
              <w:spacing w:before="115" w:line="185" w:lineRule="exact"/>
              <w:ind w:left="50"/>
              <w:rPr>
                <w:b/>
                <w:sz w:val="18"/>
              </w:rPr>
            </w:pPr>
            <w:r>
              <w:rPr>
                <w:b/>
                <w:sz w:val="18"/>
              </w:rPr>
              <w:t>Balance at 31 December 2018</w:t>
            </w:r>
          </w:p>
        </w:tc>
        <w:tc>
          <w:tcPr>
            <w:tcW w:w="1078" w:type="dxa"/>
          </w:tcPr>
          <w:p w14:paraId="7F72D6BC" w14:textId="77777777" w:rsidR="00FA4AA8" w:rsidRDefault="00FA4AA8">
            <w:pPr>
              <w:pStyle w:val="TableParagraph"/>
              <w:rPr>
                <w:rFonts w:ascii="Times New Roman"/>
                <w:sz w:val="18"/>
              </w:rPr>
            </w:pPr>
          </w:p>
        </w:tc>
        <w:tc>
          <w:tcPr>
            <w:tcW w:w="1704" w:type="dxa"/>
            <w:tcBorders>
              <w:top w:val="single" w:sz="8" w:space="0" w:color="000000"/>
              <w:bottom w:val="double" w:sz="2" w:space="0" w:color="000000"/>
            </w:tcBorders>
          </w:tcPr>
          <w:p w14:paraId="73A4E0D5" w14:textId="77777777" w:rsidR="00FA4AA8" w:rsidRDefault="0015611F">
            <w:pPr>
              <w:pStyle w:val="TableParagraph"/>
              <w:spacing w:before="115" w:line="185" w:lineRule="exact"/>
              <w:ind w:right="260"/>
              <w:jc w:val="right"/>
              <w:rPr>
                <w:b/>
                <w:sz w:val="18"/>
              </w:rPr>
            </w:pPr>
            <w:r>
              <w:rPr>
                <w:b/>
                <w:sz w:val="18"/>
              </w:rPr>
              <w:t>916,092</w:t>
            </w:r>
          </w:p>
        </w:tc>
        <w:tc>
          <w:tcPr>
            <w:tcW w:w="1603" w:type="dxa"/>
            <w:tcBorders>
              <w:top w:val="single" w:sz="8" w:space="0" w:color="000000"/>
              <w:bottom w:val="double" w:sz="2" w:space="0" w:color="000000"/>
            </w:tcBorders>
          </w:tcPr>
          <w:p w14:paraId="17523302" w14:textId="77777777" w:rsidR="00FA4AA8" w:rsidRDefault="0015611F">
            <w:pPr>
              <w:pStyle w:val="TableParagraph"/>
              <w:spacing w:before="115" w:line="185" w:lineRule="exact"/>
              <w:ind w:left="458"/>
              <w:rPr>
                <w:b/>
                <w:sz w:val="18"/>
              </w:rPr>
            </w:pPr>
            <w:r>
              <w:rPr>
                <w:b/>
                <w:sz w:val="18"/>
              </w:rPr>
              <w:t>1,152,101</w:t>
            </w:r>
          </w:p>
        </w:tc>
        <w:tc>
          <w:tcPr>
            <w:tcW w:w="1279" w:type="dxa"/>
            <w:tcBorders>
              <w:top w:val="single" w:sz="8" w:space="0" w:color="000000"/>
              <w:bottom w:val="double" w:sz="2" w:space="0" w:color="000000"/>
            </w:tcBorders>
          </w:tcPr>
          <w:p w14:paraId="477B8F4B" w14:textId="77777777" w:rsidR="00FA4AA8" w:rsidRDefault="0015611F">
            <w:pPr>
              <w:pStyle w:val="TableParagraph"/>
              <w:spacing w:before="115" w:line="185" w:lineRule="exact"/>
              <w:ind w:right="84"/>
              <w:jc w:val="right"/>
              <w:rPr>
                <w:b/>
                <w:sz w:val="18"/>
              </w:rPr>
            </w:pPr>
            <w:r>
              <w:rPr>
                <w:b/>
                <w:sz w:val="18"/>
              </w:rPr>
              <w:t>2,068,193</w:t>
            </w:r>
          </w:p>
        </w:tc>
      </w:tr>
      <w:tr w:rsidR="00FA4AA8" w14:paraId="1928E791" w14:textId="77777777">
        <w:trPr>
          <w:trHeight w:val="573"/>
        </w:trPr>
        <w:tc>
          <w:tcPr>
            <w:tcW w:w="4269" w:type="dxa"/>
          </w:tcPr>
          <w:p w14:paraId="1223C4E6" w14:textId="77777777" w:rsidR="00FA4AA8" w:rsidRDefault="00FA4AA8">
            <w:pPr>
              <w:pStyle w:val="TableParagraph"/>
              <w:rPr>
                <w:rFonts w:ascii="Times New Roman"/>
                <w:sz w:val="18"/>
              </w:rPr>
            </w:pPr>
          </w:p>
        </w:tc>
        <w:tc>
          <w:tcPr>
            <w:tcW w:w="1078" w:type="dxa"/>
          </w:tcPr>
          <w:p w14:paraId="01455585" w14:textId="77777777" w:rsidR="00FA4AA8" w:rsidRDefault="00FA4AA8">
            <w:pPr>
              <w:pStyle w:val="TableParagraph"/>
              <w:rPr>
                <w:rFonts w:ascii="Times New Roman"/>
                <w:sz w:val="18"/>
              </w:rPr>
            </w:pPr>
          </w:p>
        </w:tc>
        <w:tc>
          <w:tcPr>
            <w:tcW w:w="1704" w:type="dxa"/>
          </w:tcPr>
          <w:p w14:paraId="5BEE7800" w14:textId="77777777" w:rsidR="00FA4AA8" w:rsidRDefault="00FA4AA8">
            <w:pPr>
              <w:pStyle w:val="TableParagraph"/>
              <w:rPr>
                <w:rFonts w:ascii="Times New Roman"/>
                <w:sz w:val="18"/>
              </w:rPr>
            </w:pPr>
          </w:p>
        </w:tc>
        <w:tc>
          <w:tcPr>
            <w:tcW w:w="1603" w:type="dxa"/>
          </w:tcPr>
          <w:p w14:paraId="667E8A0A" w14:textId="77777777" w:rsidR="00FA4AA8" w:rsidRDefault="00FA4AA8">
            <w:pPr>
              <w:pStyle w:val="TableParagraph"/>
              <w:spacing w:before="8"/>
              <w:rPr>
                <w:sz w:val="28"/>
              </w:rPr>
            </w:pPr>
          </w:p>
          <w:p w14:paraId="1F829879" w14:textId="77777777" w:rsidR="00FA4AA8" w:rsidRDefault="0015611F">
            <w:pPr>
              <w:pStyle w:val="TableParagraph"/>
              <w:ind w:left="227"/>
              <w:rPr>
                <w:b/>
                <w:sz w:val="18"/>
              </w:rPr>
            </w:pPr>
            <w:r>
              <w:rPr>
                <w:b/>
                <w:sz w:val="18"/>
              </w:rPr>
              <w:t>Parent</w:t>
            </w:r>
          </w:p>
        </w:tc>
        <w:tc>
          <w:tcPr>
            <w:tcW w:w="1279" w:type="dxa"/>
          </w:tcPr>
          <w:p w14:paraId="70201094" w14:textId="77777777" w:rsidR="00FA4AA8" w:rsidRDefault="00FA4AA8">
            <w:pPr>
              <w:pStyle w:val="TableParagraph"/>
              <w:rPr>
                <w:rFonts w:ascii="Times New Roman"/>
                <w:sz w:val="18"/>
              </w:rPr>
            </w:pPr>
          </w:p>
        </w:tc>
      </w:tr>
      <w:tr w:rsidR="00FA4AA8" w14:paraId="3FC8E748" w14:textId="77777777">
        <w:trPr>
          <w:trHeight w:val="240"/>
        </w:trPr>
        <w:tc>
          <w:tcPr>
            <w:tcW w:w="4269" w:type="dxa"/>
          </w:tcPr>
          <w:p w14:paraId="51486B6F" w14:textId="77777777" w:rsidR="00FA4AA8" w:rsidRDefault="00FA4AA8">
            <w:pPr>
              <w:pStyle w:val="TableParagraph"/>
              <w:rPr>
                <w:rFonts w:ascii="Times New Roman"/>
                <w:sz w:val="16"/>
              </w:rPr>
            </w:pPr>
          </w:p>
        </w:tc>
        <w:tc>
          <w:tcPr>
            <w:tcW w:w="1078" w:type="dxa"/>
          </w:tcPr>
          <w:p w14:paraId="624E5F48" w14:textId="77777777" w:rsidR="00FA4AA8" w:rsidRDefault="00FA4AA8">
            <w:pPr>
              <w:pStyle w:val="TableParagraph"/>
              <w:rPr>
                <w:rFonts w:ascii="Times New Roman"/>
                <w:sz w:val="16"/>
              </w:rPr>
            </w:pPr>
          </w:p>
        </w:tc>
        <w:tc>
          <w:tcPr>
            <w:tcW w:w="1704" w:type="dxa"/>
          </w:tcPr>
          <w:p w14:paraId="73AA44D0" w14:textId="77777777" w:rsidR="00FA4AA8" w:rsidRDefault="00FA4AA8">
            <w:pPr>
              <w:pStyle w:val="TableParagraph"/>
              <w:rPr>
                <w:rFonts w:ascii="Times New Roman"/>
                <w:sz w:val="16"/>
              </w:rPr>
            </w:pPr>
          </w:p>
        </w:tc>
        <w:tc>
          <w:tcPr>
            <w:tcW w:w="1603" w:type="dxa"/>
          </w:tcPr>
          <w:p w14:paraId="661EE2D6" w14:textId="77777777" w:rsidR="00FA4AA8" w:rsidRDefault="0015611F">
            <w:pPr>
              <w:pStyle w:val="TableParagraph"/>
              <w:spacing w:before="30" w:line="190" w:lineRule="exact"/>
              <w:ind w:left="206"/>
              <w:rPr>
                <w:b/>
                <w:sz w:val="18"/>
              </w:rPr>
            </w:pPr>
            <w:r>
              <w:rPr>
                <w:b/>
                <w:sz w:val="18"/>
              </w:rPr>
              <w:t>Retained</w:t>
            </w:r>
          </w:p>
        </w:tc>
        <w:tc>
          <w:tcPr>
            <w:tcW w:w="1279" w:type="dxa"/>
          </w:tcPr>
          <w:p w14:paraId="49F10E93" w14:textId="77777777" w:rsidR="00FA4AA8" w:rsidRDefault="00FA4AA8">
            <w:pPr>
              <w:pStyle w:val="TableParagraph"/>
              <w:rPr>
                <w:rFonts w:ascii="Times New Roman"/>
                <w:sz w:val="16"/>
              </w:rPr>
            </w:pPr>
          </w:p>
        </w:tc>
      </w:tr>
      <w:tr w:rsidR="00FA4AA8" w14:paraId="2247AC67" w14:textId="77777777">
        <w:trPr>
          <w:trHeight w:val="240"/>
        </w:trPr>
        <w:tc>
          <w:tcPr>
            <w:tcW w:w="4269" w:type="dxa"/>
          </w:tcPr>
          <w:p w14:paraId="195D92BF" w14:textId="77777777" w:rsidR="00FA4AA8" w:rsidRDefault="00FA4AA8">
            <w:pPr>
              <w:pStyle w:val="TableParagraph"/>
              <w:rPr>
                <w:rFonts w:ascii="Times New Roman"/>
                <w:sz w:val="16"/>
              </w:rPr>
            </w:pPr>
          </w:p>
        </w:tc>
        <w:tc>
          <w:tcPr>
            <w:tcW w:w="1078" w:type="dxa"/>
          </w:tcPr>
          <w:p w14:paraId="35D357D8" w14:textId="77777777" w:rsidR="00FA4AA8" w:rsidRDefault="00FA4AA8">
            <w:pPr>
              <w:pStyle w:val="TableParagraph"/>
              <w:rPr>
                <w:rFonts w:ascii="Times New Roman"/>
                <w:sz w:val="16"/>
              </w:rPr>
            </w:pPr>
          </w:p>
        </w:tc>
        <w:tc>
          <w:tcPr>
            <w:tcW w:w="1704" w:type="dxa"/>
          </w:tcPr>
          <w:p w14:paraId="07DDC4A0" w14:textId="77777777" w:rsidR="00FA4AA8" w:rsidRDefault="0015611F">
            <w:pPr>
              <w:pStyle w:val="TableParagraph"/>
              <w:spacing w:line="204" w:lineRule="exact"/>
              <w:ind w:left="350"/>
              <w:rPr>
                <w:b/>
                <w:sz w:val="18"/>
              </w:rPr>
            </w:pPr>
            <w:r>
              <w:rPr>
                <w:b/>
                <w:sz w:val="18"/>
              </w:rPr>
              <w:t>Reserves</w:t>
            </w:r>
          </w:p>
        </w:tc>
        <w:tc>
          <w:tcPr>
            <w:tcW w:w="1603" w:type="dxa"/>
          </w:tcPr>
          <w:p w14:paraId="61CCE8B8" w14:textId="77777777" w:rsidR="00FA4AA8" w:rsidRDefault="0015611F">
            <w:pPr>
              <w:pStyle w:val="TableParagraph"/>
              <w:spacing w:line="204" w:lineRule="exact"/>
              <w:ind w:left="201"/>
              <w:rPr>
                <w:b/>
                <w:sz w:val="18"/>
              </w:rPr>
            </w:pPr>
            <w:r>
              <w:rPr>
                <w:b/>
                <w:sz w:val="18"/>
              </w:rPr>
              <w:t>Earnings</w:t>
            </w:r>
          </w:p>
        </w:tc>
        <w:tc>
          <w:tcPr>
            <w:tcW w:w="1279" w:type="dxa"/>
          </w:tcPr>
          <w:p w14:paraId="0D08B656" w14:textId="77777777" w:rsidR="00FA4AA8" w:rsidRDefault="0015611F">
            <w:pPr>
              <w:pStyle w:val="TableParagraph"/>
              <w:spacing w:line="204" w:lineRule="exact"/>
              <w:ind w:left="285"/>
              <w:rPr>
                <w:b/>
                <w:sz w:val="18"/>
              </w:rPr>
            </w:pPr>
            <w:r>
              <w:rPr>
                <w:b/>
                <w:sz w:val="18"/>
              </w:rPr>
              <w:t>Total</w:t>
            </w:r>
          </w:p>
        </w:tc>
      </w:tr>
      <w:tr w:rsidR="00FA4AA8" w14:paraId="6D41DD11" w14:textId="77777777">
        <w:trPr>
          <w:trHeight w:val="267"/>
        </w:trPr>
        <w:tc>
          <w:tcPr>
            <w:tcW w:w="4269" w:type="dxa"/>
          </w:tcPr>
          <w:p w14:paraId="32ADB6DF" w14:textId="77777777" w:rsidR="00FA4AA8" w:rsidRDefault="00FA4AA8">
            <w:pPr>
              <w:pStyle w:val="TableParagraph"/>
              <w:rPr>
                <w:rFonts w:ascii="Times New Roman"/>
                <w:sz w:val="18"/>
              </w:rPr>
            </w:pPr>
          </w:p>
        </w:tc>
        <w:tc>
          <w:tcPr>
            <w:tcW w:w="1078" w:type="dxa"/>
          </w:tcPr>
          <w:p w14:paraId="4D4D5F7A" w14:textId="77777777" w:rsidR="00FA4AA8" w:rsidRDefault="0015611F">
            <w:pPr>
              <w:pStyle w:val="TableParagraph"/>
              <w:spacing w:before="30"/>
              <w:ind w:right="255"/>
              <w:jc w:val="right"/>
              <w:rPr>
                <w:b/>
                <w:sz w:val="18"/>
              </w:rPr>
            </w:pPr>
            <w:r>
              <w:rPr>
                <w:b/>
                <w:sz w:val="18"/>
              </w:rPr>
              <w:t>Note</w:t>
            </w:r>
          </w:p>
        </w:tc>
        <w:tc>
          <w:tcPr>
            <w:tcW w:w="1704" w:type="dxa"/>
            <w:tcBorders>
              <w:bottom w:val="single" w:sz="8" w:space="0" w:color="000000"/>
            </w:tcBorders>
          </w:tcPr>
          <w:p w14:paraId="2C54BCB0" w14:textId="77777777" w:rsidR="00FA4AA8" w:rsidRDefault="0015611F">
            <w:pPr>
              <w:pStyle w:val="TableParagraph"/>
              <w:spacing w:before="30"/>
              <w:ind w:left="527"/>
              <w:rPr>
                <w:b/>
                <w:sz w:val="18"/>
              </w:rPr>
            </w:pPr>
            <w:r>
              <w:rPr>
                <w:b/>
                <w:sz w:val="18"/>
              </w:rPr>
              <w:t>$'000</w:t>
            </w:r>
          </w:p>
        </w:tc>
        <w:tc>
          <w:tcPr>
            <w:tcW w:w="1603" w:type="dxa"/>
            <w:tcBorders>
              <w:bottom w:val="single" w:sz="8" w:space="0" w:color="000000"/>
            </w:tcBorders>
          </w:tcPr>
          <w:p w14:paraId="49D77EF5" w14:textId="77777777" w:rsidR="00FA4AA8" w:rsidRDefault="0015611F">
            <w:pPr>
              <w:pStyle w:val="TableParagraph"/>
              <w:spacing w:before="30"/>
              <w:ind w:left="364"/>
              <w:rPr>
                <w:b/>
                <w:sz w:val="18"/>
              </w:rPr>
            </w:pPr>
            <w:r>
              <w:rPr>
                <w:b/>
                <w:sz w:val="18"/>
              </w:rPr>
              <w:t>$'000</w:t>
            </w:r>
          </w:p>
        </w:tc>
        <w:tc>
          <w:tcPr>
            <w:tcW w:w="1279" w:type="dxa"/>
            <w:tcBorders>
              <w:bottom w:val="single" w:sz="8" w:space="0" w:color="000000"/>
            </w:tcBorders>
          </w:tcPr>
          <w:p w14:paraId="6B2E60BB" w14:textId="77777777" w:rsidR="00FA4AA8" w:rsidRDefault="0015611F">
            <w:pPr>
              <w:pStyle w:val="TableParagraph"/>
              <w:spacing w:before="30"/>
              <w:ind w:left="278"/>
              <w:rPr>
                <w:b/>
                <w:sz w:val="18"/>
              </w:rPr>
            </w:pPr>
            <w:r>
              <w:rPr>
                <w:b/>
                <w:sz w:val="18"/>
              </w:rPr>
              <w:t>$'000</w:t>
            </w:r>
          </w:p>
        </w:tc>
      </w:tr>
      <w:tr w:rsidR="00FA4AA8" w14:paraId="410C7C28" w14:textId="77777777">
        <w:trPr>
          <w:trHeight w:val="279"/>
        </w:trPr>
        <w:tc>
          <w:tcPr>
            <w:tcW w:w="4269" w:type="dxa"/>
          </w:tcPr>
          <w:p w14:paraId="12CACE30" w14:textId="77777777" w:rsidR="00FA4AA8" w:rsidRDefault="0015611F">
            <w:pPr>
              <w:pStyle w:val="TableParagraph"/>
              <w:spacing w:before="36"/>
              <w:ind w:left="50"/>
              <w:rPr>
                <w:b/>
                <w:sz w:val="18"/>
              </w:rPr>
            </w:pPr>
            <w:r>
              <w:rPr>
                <w:b/>
                <w:sz w:val="18"/>
              </w:rPr>
              <w:t>Balance at 1 January 2017</w:t>
            </w:r>
          </w:p>
        </w:tc>
        <w:tc>
          <w:tcPr>
            <w:tcW w:w="1078" w:type="dxa"/>
          </w:tcPr>
          <w:p w14:paraId="0954C867" w14:textId="77777777" w:rsidR="00FA4AA8" w:rsidRDefault="00FA4AA8">
            <w:pPr>
              <w:pStyle w:val="TableParagraph"/>
              <w:rPr>
                <w:rFonts w:ascii="Times New Roman"/>
                <w:sz w:val="18"/>
              </w:rPr>
            </w:pPr>
          </w:p>
        </w:tc>
        <w:tc>
          <w:tcPr>
            <w:tcW w:w="1704" w:type="dxa"/>
            <w:tcBorders>
              <w:top w:val="single" w:sz="8" w:space="0" w:color="000000"/>
            </w:tcBorders>
          </w:tcPr>
          <w:p w14:paraId="1498DD67" w14:textId="77777777" w:rsidR="00FA4AA8" w:rsidRDefault="0015611F">
            <w:pPr>
              <w:pStyle w:val="TableParagraph"/>
              <w:spacing w:before="40"/>
              <w:ind w:right="260"/>
              <w:jc w:val="right"/>
              <w:rPr>
                <w:sz w:val="18"/>
              </w:rPr>
            </w:pPr>
            <w:r>
              <w:rPr>
                <w:sz w:val="18"/>
              </w:rPr>
              <w:t>703,755</w:t>
            </w:r>
          </w:p>
        </w:tc>
        <w:tc>
          <w:tcPr>
            <w:tcW w:w="1603" w:type="dxa"/>
            <w:tcBorders>
              <w:top w:val="single" w:sz="8" w:space="0" w:color="000000"/>
            </w:tcBorders>
          </w:tcPr>
          <w:p w14:paraId="477284EB" w14:textId="77777777" w:rsidR="00FA4AA8" w:rsidRDefault="0015611F">
            <w:pPr>
              <w:pStyle w:val="TableParagraph"/>
              <w:spacing w:before="40"/>
              <w:ind w:right="336"/>
              <w:jc w:val="right"/>
              <w:rPr>
                <w:sz w:val="18"/>
              </w:rPr>
            </w:pPr>
            <w:r>
              <w:rPr>
                <w:sz w:val="18"/>
              </w:rPr>
              <w:t>953,702</w:t>
            </w:r>
          </w:p>
        </w:tc>
        <w:tc>
          <w:tcPr>
            <w:tcW w:w="1279" w:type="dxa"/>
            <w:tcBorders>
              <w:top w:val="single" w:sz="8" w:space="0" w:color="000000"/>
            </w:tcBorders>
          </w:tcPr>
          <w:p w14:paraId="0F6216AC" w14:textId="77777777" w:rsidR="00FA4AA8" w:rsidRDefault="0015611F">
            <w:pPr>
              <w:pStyle w:val="TableParagraph"/>
              <w:spacing w:before="40"/>
              <w:ind w:right="84"/>
              <w:jc w:val="right"/>
              <w:rPr>
                <w:sz w:val="18"/>
              </w:rPr>
            </w:pPr>
            <w:r>
              <w:rPr>
                <w:sz w:val="18"/>
              </w:rPr>
              <w:t>1,657,457</w:t>
            </w:r>
          </w:p>
        </w:tc>
      </w:tr>
      <w:tr w:rsidR="00FA4AA8" w14:paraId="6EDD87C9" w14:textId="77777777">
        <w:trPr>
          <w:trHeight w:val="263"/>
        </w:trPr>
        <w:tc>
          <w:tcPr>
            <w:tcW w:w="4269" w:type="dxa"/>
          </w:tcPr>
          <w:p w14:paraId="1703E2CD" w14:textId="77777777" w:rsidR="00FA4AA8" w:rsidRDefault="0015611F">
            <w:pPr>
              <w:pStyle w:val="TableParagraph"/>
              <w:spacing w:before="28"/>
              <w:ind w:left="50"/>
              <w:rPr>
                <w:sz w:val="18"/>
              </w:rPr>
            </w:pPr>
            <w:r>
              <w:rPr>
                <w:sz w:val="18"/>
              </w:rPr>
              <w:t>Net result</w:t>
            </w:r>
          </w:p>
        </w:tc>
        <w:tc>
          <w:tcPr>
            <w:tcW w:w="1078" w:type="dxa"/>
          </w:tcPr>
          <w:p w14:paraId="0B2084E7" w14:textId="77777777" w:rsidR="00FA4AA8" w:rsidRDefault="00FA4AA8">
            <w:pPr>
              <w:pStyle w:val="TableParagraph"/>
              <w:rPr>
                <w:rFonts w:ascii="Times New Roman"/>
                <w:sz w:val="18"/>
              </w:rPr>
            </w:pPr>
          </w:p>
        </w:tc>
        <w:tc>
          <w:tcPr>
            <w:tcW w:w="1704" w:type="dxa"/>
          </w:tcPr>
          <w:p w14:paraId="79974EC2" w14:textId="77777777" w:rsidR="00FA4AA8" w:rsidRDefault="0015611F">
            <w:pPr>
              <w:pStyle w:val="TableParagraph"/>
              <w:spacing w:before="25"/>
              <w:ind w:right="259"/>
              <w:jc w:val="right"/>
              <w:rPr>
                <w:sz w:val="18"/>
              </w:rPr>
            </w:pPr>
            <w:r>
              <w:rPr>
                <w:sz w:val="18"/>
              </w:rPr>
              <w:t>-</w:t>
            </w:r>
          </w:p>
        </w:tc>
        <w:tc>
          <w:tcPr>
            <w:tcW w:w="1603" w:type="dxa"/>
          </w:tcPr>
          <w:p w14:paraId="3CB55533" w14:textId="77777777" w:rsidR="00FA4AA8" w:rsidRDefault="0015611F">
            <w:pPr>
              <w:pStyle w:val="TableParagraph"/>
              <w:spacing w:before="25"/>
              <w:ind w:right="336"/>
              <w:jc w:val="right"/>
              <w:rPr>
                <w:sz w:val="18"/>
              </w:rPr>
            </w:pPr>
            <w:r>
              <w:rPr>
                <w:sz w:val="18"/>
              </w:rPr>
              <w:t>48,462</w:t>
            </w:r>
          </w:p>
        </w:tc>
        <w:tc>
          <w:tcPr>
            <w:tcW w:w="1279" w:type="dxa"/>
          </w:tcPr>
          <w:p w14:paraId="13924E96" w14:textId="77777777" w:rsidR="00FA4AA8" w:rsidRDefault="0015611F">
            <w:pPr>
              <w:pStyle w:val="TableParagraph"/>
              <w:spacing w:before="25"/>
              <w:ind w:right="84"/>
              <w:jc w:val="right"/>
              <w:rPr>
                <w:sz w:val="18"/>
              </w:rPr>
            </w:pPr>
            <w:r>
              <w:rPr>
                <w:sz w:val="18"/>
              </w:rPr>
              <w:t>48,462</w:t>
            </w:r>
          </w:p>
        </w:tc>
      </w:tr>
      <w:tr w:rsidR="00FA4AA8" w14:paraId="249A74AB" w14:textId="77777777">
        <w:trPr>
          <w:trHeight w:val="465"/>
        </w:trPr>
        <w:tc>
          <w:tcPr>
            <w:tcW w:w="4269" w:type="dxa"/>
          </w:tcPr>
          <w:p w14:paraId="43AF2C2C" w14:textId="77777777" w:rsidR="00FA4AA8" w:rsidRDefault="0015611F">
            <w:pPr>
              <w:pStyle w:val="TableParagraph"/>
              <w:spacing w:before="23"/>
              <w:ind w:left="50"/>
              <w:rPr>
                <w:sz w:val="18"/>
              </w:rPr>
            </w:pPr>
            <w:r>
              <w:rPr>
                <w:sz w:val="18"/>
              </w:rPr>
              <w:t xml:space="preserve">Gain/(loss) on revaluation of </w:t>
            </w:r>
            <w:r w:rsidR="00FA26A8">
              <w:rPr>
                <w:sz w:val="18"/>
              </w:rPr>
              <w:t>property, plant</w:t>
            </w:r>
            <w:r>
              <w:rPr>
                <w:sz w:val="18"/>
              </w:rPr>
              <w:t xml:space="preserve"> and equipment</w:t>
            </w:r>
          </w:p>
        </w:tc>
        <w:tc>
          <w:tcPr>
            <w:tcW w:w="1078" w:type="dxa"/>
          </w:tcPr>
          <w:p w14:paraId="323E5B18" w14:textId="77777777" w:rsidR="00FA4AA8" w:rsidRDefault="00FA4AA8">
            <w:pPr>
              <w:pStyle w:val="TableParagraph"/>
              <w:spacing w:before="11"/>
              <w:rPr>
                <w:sz w:val="19"/>
              </w:rPr>
            </w:pPr>
          </w:p>
          <w:p w14:paraId="1D3969A8" w14:textId="77777777" w:rsidR="00FA4AA8" w:rsidRDefault="0015611F">
            <w:pPr>
              <w:pStyle w:val="TableParagraph"/>
              <w:ind w:right="249"/>
              <w:jc w:val="right"/>
              <w:rPr>
                <w:sz w:val="18"/>
              </w:rPr>
            </w:pPr>
            <w:r>
              <w:rPr>
                <w:sz w:val="18"/>
              </w:rPr>
              <w:t>27(c)</w:t>
            </w:r>
          </w:p>
        </w:tc>
        <w:tc>
          <w:tcPr>
            <w:tcW w:w="1704" w:type="dxa"/>
          </w:tcPr>
          <w:p w14:paraId="3E9725E0" w14:textId="77777777" w:rsidR="00FA4AA8" w:rsidRDefault="00FA4AA8">
            <w:pPr>
              <w:pStyle w:val="TableParagraph"/>
              <w:spacing w:before="8"/>
              <w:rPr>
                <w:sz w:val="19"/>
              </w:rPr>
            </w:pPr>
          </w:p>
          <w:p w14:paraId="4794E608" w14:textId="77777777" w:rsidR="00FA4AA8" w:rsidRDefault="0015611F">
            <w:pPr>
              <w:pStyle w:val="TableParagraph"/>
              <w:ind w:right="260"/>
              <w:jc w:val="right"/>
              <w:rPr>
                <w:sz w:val="18"/>
              </w:rPr>
            </w:pPr>
            <w:r>
              <w:rPr>
                <w:sz w:val="18"/>
              </w:rPr>
              <w:t>200,303</w:t>
            </w:r>
          </w:p>
        </w:tc>
        <w:tc>
          <w:tcPr>
            <w:tcW w:w="1603" w:type="dxa"/>
          </w:tcPr>
          <w:p w14:paraId="36498AB6" w14:textId="77777777" w:rsidR="00FA4AA8" w:rsidRDefault="00FA4AA8">
            <w:pPr>
              <w:pStyle w:val="TableParagraph"/>
              <w:spacing w:before="8"/>
              <w:rPr>
                <w:sz w:val="19"/>
              </w:rPr>
            </w:pPr>
          </w:p>
          <w:p w14:paraId="3E5B3EBC" w14:textId="77777777" w:rsidR="00FA4AA8" w:rsidRDefault="0015611F">
            <w:pPr>
              <w:pStyle w:val="TableParagraph"/>
              <w:ind w:right="336"/>
              <w:jc w:val="right"/>
              <w:rPr>
                <w:sz w:val="18"/>
              </w:rPr>
            </w:pPr>
            <w:r>
              <w:rPr>
                <w:sz w:val="18"/>
              </w:rPr>
              <w:t>-</w:t>
            </w:r>
          </w:p>
        </w:tc>
        <w:tc>
          <w:tcPr>
            <w:tcW w:w="1279" w:type="dxa"/>
          </w:tcPr>
          <w:p w14:paraId="4D828B3C" w14:textId="77777777" w:rsidR="00FA4AA8" w:rsidRDefault="00FA4AA8">
            <w:pPr>
              <w:pStyle w:val="TableParagraph"/>
              <w:spacing w:before="8"/>
              <w:rPr>
                <w:sz w:val="19"/>
              </w:rPr>
            </w:pPr>
          </w:p>
          <w:p w14:paraId="24246DF1" w14:textId="77777777" w:rsidR="00FA4AA8" w:rsidRDefault="0015611F">
            <w:pPr>
              <w:pStyle w:val="TableParagraph"/>
              <w:ind w:right="84"/>
              <w:jc w:val="right"/>
              <w:rPr>
                <w:sz w:val="18"/>
              </w:rPr>
            </w:pPr>
            <w:r>
              <w:rPr>
                <w:sz w:val="18"/>
              </w:rPr>
              <w:t>200,303</w:t>
            </w:r>
          </w:p>
        </w:tc>
      </w:tr>
      <w:tr w:rsidR="00FA4AA8" w14:paraId="1E22181B" w14:textId="77777777">
        <w:trPr>
          <w:trHeight w:val="465"/>
        </w:trPr>
        <w:tc>
          <w:tcPr>
            <w:tcW w:w="4269" w:type="dxa"/>
          </w:tcPr>
          <w:p w14:paraId="547A8DDA" w14:textId="77777777" w:rsidR="00FA4AA8" w:rsidRDefault="0015611F">
            <w:pPr>
              <w:pStyle w:val="TableParagraph"/>
              <w:spacing w:before="23"/>
              <w:ind w:left="50"/>
              <w:rPr>
                <w:sz w:val="18"/>
              </w:rPr>
            </w:pPr>
            <w:r>
              <w:rPr>
                <w:sz w:val="18"/>
              </w:rPr>
              <w:t>Gain/(loss) on revaluation of available-for-sale financial assets</w:t>
            </w:r>
          </w:p>
        </w:tc>
        <w:tc>
          <w:tcPr>
            <w:tcW w:w="1078" w:type="dxa"/>
          </w:tcPr>
          <w:p w14:paraId="7CA0B3D7" w14:textId="77777777" w:rsidR="00FA4AA8" w:rsidRDefault="00FA4AA8">
            <w:pPr>
              <w:pStyle w:val="TableParagraph"/>
              <w:spacing w:before="11"/>
              <w:rPr>
                <w:sz w:val="19"/>
              </w:rPr>
            </w:pPr>
          </w:p>
          <w:p w14:paraId="3C204288" w14:textId="77777777" w:rsidR="00FA4AA8" w:rsidRDefault="0015611F">
            <w:pPr>
              <w:pStyle w:val="TableParagraph"/>
              <w:ind w:right="249"/>
              <w:jc w:val="right"/>
              <w:rPr>
                <w:sz w:val="18"/>
              </w:rPr>
            </w:pPr>
            <w:r>
              <w:rPr>
                <w:sz w:val="18"/>
              </w:rPr>
              <w:t>27(c)</w:t>
            </w:r>
          </w:p>
        </w:tc>
        <w:tc>
          <w:tcPr>
            <w:tcW w:w="1704" w:type="dxa"/>
          </w:tcPr>
          <w:p w14:paraId="3CA525F6" w14:textId="77777777" w:rsidR="00FA4AA8" w:rsidRDefault="00FA4AA8">
            <w:pPr>
              <w:pStyle w:val="TableParagraph"/>
              <w:spacing w:before="8"/>
              <w:rPr>
                <w:sz w:val="19"/>
              </w:rPr>
            </w:pPr>
          </w:p>
          <w:p w14:paraId="26AE1DF1" w14:textId="77777777" w:rsidR="00FA4AA8" w:rsidRDefault="0015611F">
            <w:pPr>
              <w:pStyle w:val="TableParagraph"/>
              <w:ind w:right="260"/>
              <w:jc w:val="right"/>
              <w:rPr>
                <w:sz w:val="18"/>
              </w:rPr>
            </w:pPr>
            <w:r>
              <w:rPr>
                <w:sz w:val="18"/>
              </w:rPr>
              <w:t>2,733</w:t>
            </w:r>
          </w:p>
        </w:tc>
        <w:tc>
          <w:tcPr>
            <w:tcW w:w="1603" w:type="dxa"/>
          </w:tcPr>
          <w:p w14:paraId="00BF7CA6" w14:textId="77777777" w:rsidR="00FA4AA8" w:rsidRDefault="00FA4AA8">
            <w:pPr>
              <w:pStyle w:val="TableParagraph"/>
              <w:spacing w:before="8"/>
              <w:rPr>
                <w:sz w:val="19"/>
              </w:rPr>
            </w:pPr>
          </w:p>
          <w:p w14:paraId="4D1D9477" w14:textId="77777777" w:rsidR="00FA4AA8" w:rsidRDefault="0015611F">
            <w:pPr>
              <w:pStyle w:val="TableParagraph"/>
              <w:ind w:right="336"/>
              <w:jc w:val="right"/>
              <w:rPr>
                <w:sz w:val="18"/>
              </w:rPr>
            </w:pPr>
            <w:r>
              <w:rPr>
                <w:sz w:val="18"/>
              </w:rPr>
              <w:t>-</w:t>
            </w:r>
          </w:p>
        </w:tc>
        <w:tc>
          <w:tcPr>
            <w:tcW w:w="1279" w:type="dxa"/>
          </w:tcPr>
          <w:p w14:paraId="02D580DD" w14:textId="77777777" w:rsidR="00FA4AA8" w:rsidRDefault="00FA4AA8">
            <w:pPr>
              <w:pStyle w:val="TableParagraph"/>
              <w:spacing w:before="8"/>
              <w:rPr>
                <w:sz w:val="19"/>
              </w:rPr>
            </w:pPr>
          </w:p>
          <w:p w14:paraId="53BD3EE1" w14:textId="77777777" w:rsidR="00FA4AA8" w:rsidRDefault="0015611F">
            <w:pPr>
              <w:pStyle w:val="TableParagraph"/>
              <w:ind w:right="84"/>
              <w:jc w:val="right"/>
              <w:rPr>
                <w:sz w:val="18"/>
              </w:rPr>
            </w:pPr>
            <w:r>
              <w:rPr>
                <w:sz w:val="18"/>
              </w:rPr>
              <w:t>2,733</w:t>
            </w:r>
          </w:p>
        </w:tc>
      </w:tr>
      <w:tr w:rsidR="00FA4AA8" w14:paraId="3067130F" w14:textId="77777777">
        <w:trPr>
          <w:trHeight w:val="263"/>
        </w:trPr>
        <w:tc>
          <w:tcPr>
            <w:tcW w:w="4269" w:type="dxa"/>
          </w:tcPr>
          <w:p w14:paraId="1D03908A" w14:textId="77777777" w:rsidR="00FA4AA8" w:rsidRDefault="0015611F">
            <w:pPr>
              <w:pStyle w:val="TableParagraph"/>
              <w:spacing w:before="28"/>
              <w:ind w:left="50"/>
              <w:rPr>
                <w:sz w:val="18"/>
              </w:rPr>
            </w:pPr>
            <w:r>
              <w:rPr>
                <w:sz w:val="18"/>
              </w:rPr>
              <w:t>Gain/(loss) on revaluation of art collection</w:t>
            </w:r>
          </w:p>
        </w:tc>
        <w:tc>
          <w:tcPr>
            <w:tcW w:w="1078" w:type="dxa"/>
          </w:tcPr>
          <w:p w14:paraId="2CCCB19C" w14:textId="77777777" w:rsidR="00FA4AA8" w:rsidRDefault="0015611F">
            <w:pPr>
              <w:pStyle w:val="TableParagraph"/>
              <w:spacing w:before="23"/>
              <w:ind w:right="249"/>
              <w:jc w:val="right"/>
              <w:rPr>
                <w:sz w:val="18"/>
              </w:rPr>
            </w:pPr>
            <w:r>
              <w:rPr>
                <w:sz w:val="18"/>
              </w:rPr>
              <w:t>27(c)</w:t>
            </w:r>
          </w:p>
        </w:tc>
        <w:tc>
          <w:tcPr>
            <w:tcW w:w="1704" w:type="dxa"/>
          </w:tcPr>
          <w:p w14:paraId="43C67F58" w14:textId="77777777" w:rsidR="00FA4AA8" w:rsidRDefault="0015611F">
            <w:pPr>
              <w:pStyle w:val="TableParagraph"/>
              <w:spacing w:before="25"/>
              <w:ind w:right="199"/>
              <w:jc w:val="right"/>
              <w:rPr>
                <w:sz w:val="18"/>
              </w:rPr>
            </w:pPr>
            <w:r>
              <w:rPr>
                <w:sz w:val="18"/>
              </w:rPr>
              <w:t>(3)</w:t>
            </w:r>
          </w:p>
        </w:tc>
        <w:tc>
          <w:tcPr>
            <w:tcW w:w="1603" w:type="dxa"/>
          </w:tcPr>
          <w:p w14:paraId="31102C5C" w14:textId="77777777" w:rsidR="00FA4AA8" w:rsidRDefault="0015611F">
            <w:pPr>
              <w:pStyle w:val="TableParagraph"/>
              <w:spacing w:before="25"/>
              <w:ind w:right="336"/>
              <w:jc w:val="right"/>
              <w:rPr>
                <w:sz w:val="18"/>
              </w:rPr>
            </w:pPr>
            <w:r>
              <w:rPr>
                <w:sz w:val="18"/>
              </w:rPr>
              <w:t>-</w:t>
            </w:r>
          </w:p>
        </w:tc>
        <w:tc>
          <w:tcPr>
            <w:tcW w:w="1279" w:type="dxa"/>
          </w:tcPr>
          <w:p w14:paraId="548293A5" w14:textId="77777777" w:rsidR="00FA4AA8" w:rsidRDefault="0015611F">
            <w:pPr>
              <w:pStyle w:val="TableParagraph"/>
              <w:spacing w:before="25"/>
              <w:ind w:right="23"/>
              <w:jc w:val="right"/>
              <w:rPr>
                <w:sz w:val="18"/>
              </w:rPr>
            </w:pPr>
            <w:r>
              <w:rPr>
                <w:sz w:val="18"/>
              </w:rPr>
              <w:t>(3)</w:t>
            </w:r>
          </w:p>
        </w:tc>
      </w:tr>
      <w:tr w:rsidR="00FA4AA8" w14:paraId="7364D1DB" w14:textId="77777777">
        <w:trPr>
          <w:trHeight w:val="264"/>
        </w:trPr>
        <w:tc>
          <w:tcPr>
            <w:tcW w:w="4269" w:type="dxa"/>
          </w:tcPr>
          <w:p w14:paraId="7D52F26C" w14:textId="77777777" w:rsidR="00FA4AA8" w:rsidRDefault="0015611F">
            <w:pPr>
              <w:pStyle w:val="TableParagraph"/>
              <w:spacing w:before="28"/>
              <w:ind w:left="50"/>
              <w:rPr>
                <w:sz w:val="18"/>
              </w:rPr>
            </w:pPr>
            <w:r>
              <w:rPr>
                <w:sz w:val="18"/>
              </w:rPr>
              <w:t>Gain/(loss) on revaluation of livestock</w:t>
            </w:r>
          </w:p>
        </w:tc>
        <w:tc>
          <w:tcPr>
            <w:tcW w:w="1078" w:type="dxa"/>
          </w:tcPr>
          <w:p w14:paraId="722B207A" w14:textId="77777777" w:rsidR="00FA4AA8" w:rsidRDefault="0015611F">
            <w:pPr>
              <w:pStyle w:val="TableParagraph"/>
              <w:spacing w:before="23"/>
              <w:ind w:right="249"/>
              <w:jc w:val="right"/>
              <w:rPr>
                <w:sz w:val="18"/>
              </w:rPr>
            </w:pPr>
            <w:r>
              <w:rPr>
                <w:sz w:val="18"/>
              </w:rPr>
              <w:t>27(c)</w:t>
            </w:r>
          </w:p>
        </w:tc>
        <w:tc>
          <w:tcPr>
            <w:tcW w:w="1704" w:type="dxa"/>
          </w:tcPr>
          <w:p w14:paraId="7B89E346" w14:textId="77777777" w:rsidR="00FA4AA8" w:rsidRDefault="0015611F">
            <w:pPr>
              <w:pStyle w:val="TableParagraph"/>
              <w:spacing w:before="25"/>
              <w:ind w:right="259"/>
              <w:jc w:val="right"/>
              <w:rPr>
                <w:sz w:val="18"/>
              </w:rPr>
            </w:pPr>
            <w:r>
              <w:rPr>
                <w:sz w:val="18"/>
              </w:rPr>
              <w:t>48</w:t>
            </w:r>
          </w:p>
        </w:tc>
        <w:tc>
          <w:tcPr>
            <w:tcW w:w="1603" w:type="dxa"/>
          </w:tcPr>
          <w:p w14:paraId="73E0F77A" w14:textId="77777777" w:rsidR="00FA4AA8" w:rsidRDefault="0015611F">
            <w:pPr>
              <w:pStyle w:val="TableParagraph"/>
              <w:spacing w:before="25"/>
              <w:ind w:right="336"/>
              <w:jc w:val="right"/>
              <w:rPr>
                <w:sz w:val="18"/>
              </w:rPr>
            </w:pPr>
            <w:r>
              <w:rPr>
                <w:sz w:val="18"/>
              </w:rPr>
              <w:t>-</w:t>
            </w:r>
          </w:p>
        </w:tc>
        <w:tc>
          <w:tcPr>
            <w:tcW w:w="1279" w:type="dxa"/>
          </w:tcPr>
          <w:p w14:paraId="1882F7B0" w14:textId="77777777" w:rsidR="00FA4AA8" w:rsidRDefault="0015611F">
            <w:pPr>
              <w:pStyle w:val="TableParagraph"/>
              <w:spacing w:before="25"/>
              <w:ind w:right="84"/>
              <w:jc w:val="right"/>
              <w:rPr>
                <w:sz w:val="18"/>
              </w:rPr>
            </w:pPr>
            <w:r>
              <w:rPr>
                <w:sz w:val="18"/>
              </w:rPr>
              <w:t>48</w:t>
            </w:r>
          </w:p>
        </w:tc>
      </w:tr>
      <w:tr w:rsidR="00FA4AA8" w14:paraId="2E7A27E8" w14:textId="77777777">
        <w:trPr>
          <w:trHeight w:val="257"/>
        </w:trPr>
        <w:tc>
          <w:tcPr>
            <w:tcW w:w="4269" w:type="dxa"/>
          </w:tcPr>
          <w:p w14:paraId="7DD3C43A" w14:textId="77777777" w:rsidR="00FA4AA8" w:rsidRDefault="0015611F">
            <w:pPr>
              <w:pStyle w:val="TableParagraph"/>
              <w:spacing w:before="28"/>
              <w:ind w:left="50"/>
              <w:rPr>
                <w:sz w:val="18"/>
              </w:rPr>
            </w:pPr>
            <w:r>
              <w:rPr>
                <w:sz w:val="18"/>
              </w:rPr>
              <w:t>Remeasurements of Defined Benefit Plans</w:t>
            </w:r>
          </w:p>
        </w:tc>
        <w:tc>
          <w:tcPr>
            <w:tcW w:w="1078" w:type="dxa"/>
          </w:tcPr>
          <w:p w14:paraId="401BE712" w14:textId="77777777" w:rsidR="00FA4AA8" w:rsidRDefault="0015611F">
            <w:pPr>
              <w:pStyle w:val="TableParagraph"/>
              <w:spacing w:before="23"/>
              <w:ind w:right="249"/>
              <w:jc w:val="right"/>
              <w:rPr>
                <w:sz w:val="18"/>
              </w:rPr>
            </w:pPr>
            <w:r>
              <w:rPr>
                <w:sz w:val="18"/>
              </w:rPr>
              <w:t>27(c)</w:t>
            </w:r>
          </w:p>
        </w:tc>
        <w:tc>
          <w:tcPr>
            <w:tcW w:w="1704" w:type="dxa"/>
            <w:tcBorders>
              <w:bottom w:val="single" w:sz="8" w:space="0" w:color="000000"/>
            </w:tcBorders>
          </w:tcPr>
          <w:p w14:paraId="097C7D14" w14:textId="77777777" w:rsidR="00FA4AA8" w:rsidRDefault="0015611F">
            <w:pPr>
              <w:pStyle w:val="TableParagraph"/>
              <w:spacing w:before="25"/>
              <w:ind w:right="199"/>
              <w:jc w:val="right"/>
              <w:rPr>
                <w:sz w:val="18"/>
              </w:rPr>
            </w:pPr>
            <w:r>
              <w:rPr>
                <w:sz w:val="18"/>
              </w:rPr>
              <w:t>(1,447)</w:t>
            </w:r>
          </w:p>
        </w:tc>
        <w:tc>
          <w:tcPr>
            <w:tcW w:w="1603" w:type="dxa"/>
            <w:tcBorders>
              <w:bottom w:val="single" w:sz="8" w:space="0" w:color="000000"/>
            </w:tcBorders>
          </w:tcPr>
          <w:p w14:paraId="07D70C16" w14:textId="77777777" w:rsidR="00FA4AA8" w:rsidRDefault="0015611F">
            <w:pPr>
              <w:pStyle w:val="TableParagraph"/>
              <w:spacing w:before="25"/>
              <w:ind w:right="336"/>
              <w:jc w:val="right"/>
              <w:rPr>
                <w:sz w:val="18"/>
              </w:rPr>
            </w:pPr>
            <w:r>
              <w:rPr>
                <w:sz w:val="18"/>
              </w:rPr>
              <w:t>-</w:t>
            </w:r>
          </w:p>
        </w:tc>
        <w:tc>
          <w:tcPr>
            <w:tcW w:w="1279" w:type="dxa"/>
            <w:tcBorders>
              <w:bottom w:val="single" w:sz="8" w:space="0" w:color="000000"/>
            </w:tcBorders>
          </w:tcPr>
          <w:p w14:paraId="5FF754B9" w14:textId="77777777" w:rsidR="00FA4AA8" w:rsidRDefault="0015611F">
            <w:pPr>
              <w:pStyle w:val="TableParagraph"/>
              <w:spacing w:before="25"/>
              <w:ind w:right="23"/>
              <w:jc w:val="right"/>
              <w:rPr>
                <w:sz w:val="18"/>
              </w:rPr>
            </w:pPr>
            <w:r>
              <w:rPr>
                <w:sz w:val="18"/>
              </w:rPr>
              <w:t>(1,447)</w:t>
            </w:r>
          </w:p>
        </w:tc>
      </w:tr>
      <w:tr w:rsidR="00FA4AA8" w14:paraId="1EF1EB2C" w14:textId="77777777">
        <w:trPr>
          <w:trHeight w:val="318"/>
        </w:trPr>
        <w:tc>
          <w:tcPr>
            <w:tcW w:w="4269" w:type="dxa"/>
          </w:tcPr>
          <w:p w14:paraId="1F59BBEF" w14:textId="77777777" w:rsidR="00FA4AA8" w:rsidRDefault="0015611F">
            <w:pPr>
              <w:pStyle w:val="TableParagraph"/>
              <w:spacing w:before="115" w:line="183" w:lineRule="exact"/>
              <w:ind w:left="50"/>
              <w:rPr>
                <w:b/>
                <w:sz w:val="18"/>
              </w:rPr>
            </w:pPr>
            <w:r>
              <w:rPr>
                <w:b/>
                <w:sz w:val="18"/>
              </w:rPr>
              <w:t>Other comprehensive income</w:t>
            </w:r>
          </w:p>
        </w:tc>
        <w:tc>
          <w:tcPr>
            <w:tcW w:w="1078" w:type="dxa"/>
          </w:tcPr>
          <w:p w14:paraId="508B92B2" w14:textId="77777777" w:rsidR="00FA4AA8" w:rsidRDefault="00FA4AA8">
            <w:pPr>
              <w:pStyle w:val="TableParagraph"/>
              <w:rPr>
                <w:rFonts w:ascii="Times New Roman"/>
                <w:sz w:val="18"/>
              </w:rPr>
            </w:pPr>
          </w:p>
        </w:tc>
        <w:tc>
          <w:tcPr>
            <w:tcW w:w="1704" w:type="dxa"/>
            <w:tcBorders>
              <w:top w:val="single" w:sz="8" w:space="0" w:color="000000"/>
              <w:bottom w:val="single" w:sz="8" w:space="0" w:color="000000"/>
            </w:tcBorders>
          </w:tcPr>
          <w:p w14:paraId="15878C76" w14:textId="77777777" w:rsidR="00FA4AA8" w:rsidRDefault="0015611F">
            <w:pPr>
              <w:pStyle w:val="TableParagraph"/>
              <w:spacing w:before="115" w:line="183" w:lineRule="exact"/>
              <w:ind w:right="260"/>
              <w:jc w:val="right"/>
              <w:rPr>
                <w:sz w:val="18"/>
              </w:rPr>
            </w:pPr>
            <w:r>
              <w:rPr>
                <w:sz w:val="18"/>
              </w:rPr>
              <w:t>201,634</w:t>
            </w:r>
          </w:p>
        </w:tc>
        <w:tc>
          <w:tcPr>
            <w:tcW w:w="1603" w:type="dxa"/>
            <w:tcBorders>
              <w:top w:val="single" w:sz="8" w:space="0" w:color="000000"/>
              <w:bottom w:val="single" w:sz="8" w:space="0" w:color="000000"/>
            </w:tcBorders>
          </w:tcPr>
          <w:p w14:paraId="0C243D86" w14:textId="77777777" w:rsidR="00FA4AA8" w:rsidRDefault="0015611F">
            <w:pPr>
              <w:pStyle w:val="TableParagraph"/>
              <w:spacing w:before="115" w:line="183" w:lineRule="exact"/>
              <w:ind w:right="336"/>
              <w:jc w:val="right"/>
              <w:rPr>
                <w:sz w:val="18"/>
              </w:rPr>
            </w:pPr>
            <w:r>
              <w:rPr>
                <w:sz w:val="18"/>
              </w:rPr>
              <w:t>-</w:t>
            </w:r>
          </w:p>
        </w:tc>
        <w:tc>
          <w:tcPr>
            <w:tcW w:w="1279" w:type="dxa"/>
            <w:tcBorders>
              <w:top w:val="single" w:sz="8" w:space="0" w:color="000000"/>
              <w:bottom w:val="single" w:sz="8" w:space="0" w:color="000000"/>
            </w:tcBorders>
          </w:tcPr>
          <w:p w14:paraId="6558E910" w14:textId="77777777" w:rsidR="00FA4AA8" w:rsidRDefault="0015611F">
            <w:pPr>
              <w:pStyle w:val="TableParagraph"/>
              <w:spacing w:before="115" w:line="183" w:lineRule="exact"/>
              <w:ind w:right="84"/>
              <w:jc w:val="right"/>
              <w:rPr>
                <w:sz w:val="18"/>
              </w:rPr>
            </w:pPr>
            <w:r>
              <w:rPr>
                <w:sz w:val="18"/>
              </w:rPr>
              <w:t>201,634</w:t>
            </w:r>
          </w:p>
        </w:tc>
      </w:tr>
      <w:tr w:rsidR="00FA4AA8" w14:paraId="6E0A59FD" w14:textId="77777777">
        <w:trPr>
          <w:trHeight w:val="263"/>
        </w:trPr>
        <w:tc>
          <w:tcPr>
            <w:tcW w:w="4269" w:type="dxa"/>
          </w:tcPr>
          <w:p w14:paraId="41D7C117" w14:textId="77777777" w:rsidR="00FA4AA8" w:rsidRDefault="0015611F">
            <w:pPr>
              <w:pStyle w:val="TableParagraph"/>
              <w:spacing w:before="33"/>
              <w:ind w:left="50"/>
              <w:rPr>
                <w:b/>
                <w:sz w:val="18"/>
              </w:rPr>
            </w:pPr>
            <w:r>
              <w:rPr>
                <w:b/>
                <w:sz w:val="18"/>
              </w:rPr>
              <w:t>Total comprehensive income</w:t>
            </w:r>
          </w:p>
        </w:tc>
        <w:tc>
          <w:tcPr>
            <w:tcW w:w="1078" w:type="dxa"/>
          </w:tcPr>
          <w:p w14:paraId="0D175B7C" w14:textId="77777777" w:rsidR="00FA4AA8" w:rsidRDefault="00FA4AA8">
            <w:pPr>
              <w:pStyle w:val="TableParagraph"/>
              <w:rPr>
                <w:rFonts w:ascii="Times New Roman"/>
                <w:sz w:val="18"/>
              </w:rPr>
            </w:pPr>
          </w:p>
        </w:tc>
        <w:tc>
          <w:tcPr>
            <w:tcW w:w="1704" w:type="dxa"/>
            <w:tcBorders>
              <w:top w:val="single" w:sz="8" w:space="0" w:color="000000"/>
              <w:bottom w:val="single" w:sz="8" w:space="0" w:color="000000"/>
            </w:tcBorders>
          </w:tcPr>
          <w:p w14:paraId="541D6C80" w14:textId="77777777" w:rsidR="00FA4AA8" w:rsidRDefault="0015611F">
            <w:pPr>
              <w:pStyle w:val="TableParagraph"/>
              <w:spacing w:before="31"/>
              <w:ind w:right="260"/>
              <w:jc w:val="right"/>
              <w:rPr>
                <w:sz w:val="18"/>
              </w:rPr>
            </w:pPr>
            <w:r>
              <w:rPr>
                <w:sz w:val="18"/>
              </w:rPr>
              <w:t>905,389</w:t>
            </w:r>
          </w:p>
        </w:tc>
        <w:tc>
          <w:tcPr>
            <w:tcW w:w="1603" w:type="dxa"/>
            <w:tcBorders>
              <w:top w:val="single" w:sz="8" w:space="0" w:color="000000"/>
              <w:bottom w:val="single" w:sz="8" w:space="0" w:color="000000"/>
            </w:tcBorders>
          </w:tcPr>
          <w:p w14:paraId="07D85D25" w14:textId="77777777" w:rsidR="00FA4AA8" w:rsidRDefault="0015611F">
            <w:pPr>
              <w:pStyle w:val="TableParagraph"/>
              <w:spacing w:before="31"/>
              <w:ind w:left="458"/>
              <w:rPr>
                <w:sz w:val="18"/>
              </w:rPr>
            </w:pPr>
            <w:r>
              <w:rPr>
                <w:sz w:val="18"/>
              </w:rPr>
              <w:t>1,002,164</w:t>
            </w:r>
          </w:p>
        </w:tc>
        <w:tc>
          <w:tcPr>
            <w:tcW w:w="1279" w:type="dxa"/>
            <w:tcBorders>
              <w:top w:val="single" w:sz="8" w:space="0" w:color="000000"/>
              <w:bottom w:val="single" w:sz="8" w:space="0" w:color="000000"/>
            </w:tcBorders>
          </w:tcPr>
          <w:p w14:paraId="127A0479" w14:textId="77777777" w:rsidR="00FA4AA8" w:rsidRDefault="0015611F">
            <w:pPr>
              <w:pStyle w:val="TableParagraph"/>
              <w:spacing w:before="31"/>
              <w:ind w:right="84"/>
              <w:jc w:val="right"/>
              <w:rPr>
                <w:sz w:val="18"/>
              </w:rPr>
            </w:pPr>
            <w:r>
              <w:rPr>
                <w:sz w:val="18"/>
              </w:rPr>
              <w:t>1,907,553</w:t>
            </w:r>
          </w:p>
        </w:tc>
      </w:tr>
      <w:tr w:rsidR="00FA4AA8" w14:paraId="1B5202D5" w14:textId="77777777">
        <w:trPr>
          <w:trHeight w:val="464"/>
        </w:trPr>
        <w:tc>
          <w:tcPr>
            <w:tcW w:w="4269" w:type="dxa"/>
          </w:tcPr>
          <w:p w14:paraId="1E2B3C6B" w14:textId="77777777" w:rsidR="00FA4AA8" w:rsidRDefault="0015611F">
            <w:pPr>
              <w:pStyle w:val="TableParagraph"/>
              <w:spacing w:before="28"/>
              <w:ind w:left="50" w:right="246"/>
              <w:rPr>
                <w:sz w:val="18"/>
              </w:rPr>
            </w:pPr>
            <w:r>
              <w:rPr>
                <w:sz w:val="18"/>
              </w:rPr>
              <w:t>Transfer from property, plant and equipment reserve on disposal of assets</w:t>
            </w:r>
          </w:p>
        </w:tc>
        <w:tc>
          <w:tcPr>
            <w:tcW w:w="1078" w:type="dxa"/>
          </w:tcPr>
          <w:p w14:paraId="7BB991EF" w14:textId="77777777" w:rsidR="00FA4AA8" w:rsidRDefault="00FA4AA8">
            <w:pPr>
              <w:pStyle w:val="TableParagraph"/>
              <w:spacing w:before="5"/>
              <w:rPr>
                <w:sz w:val="20"/>
              </w:rPr>
            </w:pPr>
          </w:p>
          <w:p w14:paraId="19207F74" w14:textId="77777777" w:rsidR="00FA4AA8" w:rsidRDefault="0015611F">
            <w:pPr>
              <w:pStyle w:val="TableParagraph"/>
              <w:ind w:right="249"/>
              <w:jc w:val="right"/>
              <w:rPr>
                <w:sz w:val="18"/>
              </w:rPr>
            </w:pPr>
            <w:r>
              <w:rPr>
                <w:sz w:val="18"/>
              </w:rPr>
              <w:t>27(c)</w:t>
            </w:r>
          </w:p>
        </w:tc>
        <w:tc>
          <w:tcPr>
            <w:tcW w:w="1704" w:type="dxa"/>
            <w:tcBorders>
              <w:top w:val="single" w:sz="8" w:space="0" w:color="000000"/>
              <w:bottom w:val="single" w:sz="8" w:space="0" w:color="000000"/>
            </w:tcBorders>
          </w:tcPr>
          <w:p w14:paraId="0EC641E9" w14:textId="77777777" w:rsidR="00FA4AA8" w:rsidRDefault="00FA4AA8">
            <w:pPr>
              <w:pStyle w:val="TableParagraph"/>
              <w:spacing w:before="2"/>
              <w:rPr>
                <w:sz w:val="20"/>
              </w:rPr>
            </w:pPr>
          </w:p>
          <w:p w14:paraId="66DB4708" w14:textId="77777777" w:rsidR="00FA4AA8" w:rsidRDefault="0015611F">
            <w:pPr>
              <w:pStyle w:val="TableParagraph"/>
              <w:ind w:right="199"/>
              <w:jc w:val="right"/>
              <w:rPr>
                <w:sz w:val="18"/>
              </w:rPr>
            </w:pPr>
            <w:r>
              <w:rPr>
                <w:sz w:val="18"/>
              </w:rPr>
              <w:t>(43,848)</w:t>
            </w:r>
          </w:p>
        </w:tc>
        <w:tc>
          <w:tcPr>
            <w:tcW w:w="1603" w:type="dxa"/>
            <w:tcBorders>
              <w:top w:val="single" w:sz="8" w:space="0" w:color="000000"/>
              <w:bottom w:val="single" w:sz="8" w:space="0" w:color="000000"/>
            </w:tcBorders>
          </w:tcPr>
          <w:p w14:paraId="0540F160" w14:textId="77777777" w:rsidR="00FA4AA8" w:rsidRDefault="00FA4AA8">
            <w:pPr>
              <w:pStyle w:val="TableParagraph"/>
              <w:spacing w:before="2"/>
              <w:rPr>
                <w:sz w:val="20"/>
              </w:rPr>
            </w:pPr>
          </w:p>
          <w:p w14:paraId="27789FD5" w14:textId="77777777" w:rsidR="00FA4AA8" w:rsidRDefault="0015611F">
            <w:pPr>
              <w:pStyle w:val="TableParagraph"/>
              <w:ind w:right="336"/>
              <w:jc w:val="right"/>
              <w:rPr>
                <w:sz w:val="18"/>
              </w:rPr>
            </w:pPr>
            <w:r>
              <w:rPr>
                <w:sz w:val="18"/>
              </w:rPr>
              <w:t>43,848</w:t>
            </w:r>
          </w:p>
        </w:tc>
        <w:tc>
          <w:tcPr>
            <w:tcW w:w="1279" w:type="dxa"/>
            <w:tcBorders>
              <w:top w:val="single" w:sz="8" w:space="0" w:color="000000"/>
              <w:bottom w:val="single" w:sz="8" w:space="0" w:color="000000"/>
            </w:tcBorders>
          </w:tcPr>
          <w:p w14:paraId="59986B72" w14:textId="77777777" w:rsidR="00FA4AA8" w:rsidRDefault="00FA4AA8">
            <w:pPr>
              <w:pStyle w:val="TableParagraph"/>
              <w:spacing w:before="2"/>
              <w:rPr>
                <w:sz w:val="20"/>
              </w:rPr>
            </w:pPr>
          </w:p>
          <w:p w14:paraId="475ECFAD" w14:textId="77777777" w:rsidR="00FA4AA8" w:rsidRDefault="0015611F">
            <w:pPr>
              <w:pStyle w:val="TableParagraph"/>
              <w:ind w:right="84"/>
              <w:jc w:val="right"/>
              <w:rPr>
                <w:sz w:val="18"/>
              </w:rPr>
            </w:pPr>
            <w:r>
              <w:rPr>
                <w:sz w:val="18"/>
              </w:rPr>
              <w:t>-</w:t>
            </w:r>
          </w:p>
        </w:tc>
      </w:tr>
      <w:tr w:rsidR="00FA4AA8" w14:paraId="1206FD48" w14:textId="77777777">
        <w:trPr>
          <w:trHeight w:val="318"/>
        </w:trPr>
        <w:tc>
          <w:tcPr>
            <w:tcW w:w="4269" w:type="dxa"/>
          </w:tcPr>
          <w:p w14:paraId="344356D5" w14:textId="77777777" w:rsidR="00FA4AA8" w:rsidRDefault="0015611F">
            <w:pPr>
              <w:pStyle w:val="TableParagraph"/>
              <w:spacing w:before="115" w:line="183" w:lineRule="exact"/>
              <w:ind w:left="50"/>
              <w:rPr>
                <w:b/>
                <w:sz w:val="18"/>
              </w:rPr>
            </w:pPr>
            <w:r>
              <w:rPr>
                <w:b/>
                <w:sz w:val="18"/>
              </w:rPr>
              <w:t>Balance at 31 December 2017</w:t>
            </w:r>
          </w:p>
        </w:tc>
        <w:tc>
          <w:tcPr>
            <w:tcW w:w="1078" w:type="dxa"/>
          </w:tcPr>
          <w:p w14:paraId="1666FEBA" w14:textId="77777777" w:rsidR="00FA4AA8" w:rsidRDefault="00FA4AA8">
            <w:pPr>
              <w:pStyle w:val="TableParagraph"/>
              <w:rPr>
                <w:rFonts w:ascii="Times New Roman"/>
                <w:sz w:val="18"/>
              </w:rPr>
            </w:pPr>
          </w:p>
        </w:tc>
        <w:tc>
          <w:tcPr>
            <w:tcW w:w="1704" w:type="dxa"/>
            <w:tcBorders>
              <w:top w:val="single" w:sz="8" w:space="0" w:color="000000"/>
              <w:bottom w:val="single" w:sz="8" w:space="0" w:color="000000"/>
            </w:tcBorders>
          </w:tcPr>
          <w:p w14:paraId="0846D4C7" w14:textId="77777777" w:rsidR="00FA4AA8" w:rsidRDefault="0015611F">
            <w:pPr>
              <w:pStyle w:val="TableParagraph"/>
              <w:spacing w:before="115" w:line="183" w:lineRule="exact"/>
              <w:ind w:right="260"/>
              <w:jc w:val="right"/>
              <w:rPr>
                <w:sz w:val="18"/>
              </w:rPr>
            </w:pPr>
            <w:r>
              <w:rPr>
                <w:sz w:val="18"/>
              </w:rPr>
              <w:t>861,541</w:t>
            </w:r>
          </w:p>
        </w:tc>
        <w:tc>
          <w:tcPr>
            <w:tcW w:w="1603" w:type="dxa"/>
            <w:tcBorders>
              <w:top w:val="single" w:sz="8" w:space="0" w:color="000000"/>
              <w:bottom w:val="single" w:sz="8" w:space="0" w:color="000000"/>
            </w:tcBorders>
          </w:tcPr>
          <w:p w14:paraId="205D9A68" w14:textId="77777777" w:rsidR="00FA4AA8" w:rsidRDefault="0015611F">
            <w:pPr>
              <w:pStyle w:val="TableParagraph"/>
              <w:spacing w:before="115" w:line="183" w:lineRule="exact"/>
              <w:ind w:left="458"/>
              <w:rPr>
                <w:sz w:val="18"/>
              </w:rPr>
            </w:pPr>
            <w:r>
              <w:rPr>
                <w:sz w:val="18"/>
              </w:rPr>
              <w:t>1,046,012</w:t>
            </w:r>
          </w:p>
        </w:tc>
        <w:tc>
          <w:tcPr>
            <w:tcW w:w="1279" w:type="dxa"/>
            <w:tcBorders>
              <w:top w:val="single" w:sz="8" w:space="0" w:color="000000"/>
              <w:bottom w:val="single" w:sz="8" w:space="0" w:color="000000"/>
            </w:tcBorders>
          </w:tcPr>
          <w:p w14:paraId="41F93F87" w14:textId="77777777" w:rsidR="00FA4AA8" w:rsidRDefault="0015611F">
            <w:pPr>
              <w:pStyle w:val="TableParagraph"/>
              <w:spacing w:before="115" w:line="183" w:lineRule="exact"/>
              <w:ind w:right="84"/>
              <w:jc w:val="right"/>
              <w:rPr>
                <w:sz w:val="18"/>
              </w:rPr>
            </w:pPr>
            <w:r>
              <w:rPr>
                <w:sz w:val="18"/>
              </w:rPr>
              <w:t>1,907,553</w:t>
            </w:r>
          </w:p>
        </w:tc>
      </w:tr>
      <w:tr w:rsidR="00FA4AA8" w14:paraId="099D56B1" w14:textId="77777777">
        <w:trPr>
          <w:trHeight w:val="464"/>
        </w:trPr>
        <w:tc>
          <w:tcPr>
            <w:tcW w:w="4269" w:type="dxa"/>
          </w:tcPr>
          <w:p w14:paraId="312F6177" w14:textId="77777777" w:rsidR="00FA4AA8" w:rsidRDefault="0015611F">
            <w:pPr>
              <w:pStyle w:val="TableParagraph"/>
              <w:spacing w:before="28"/>
              <w:ind w:left="50" w:right="246"/>
              <w:rPr>
                <w:sz w:val="18"/>
              </w:rPr>
            </w:pPr>
            <w:r>
              <w:rPr>
                <w:sz w:val="18"/>
              </w:rPr>
              <w:t>Payroll tax oncost liability on Defined Benefit Plans</w:t>
            </w:r>
          </w:p>
        </w:tc>
        <w:tc>
          <w:tcPr>
            <w:tcW w:w="1078" w:type="dxa"/>
          </w:tcPr>
          <w:p w14:paraId="01BACF73" w14:textId="77777777" w:rsidR="00FA4AA8" w:rsidRDefault="00FA4AA8">
            <w:pPr>
              <w:pStyle w:val="TableParagraph"/>
              <w:rPr>
                <w:rFonts w:ascii="Times New Roman"/>
                <w:sz w:val="18"/>
              </w:rPr>
            </w:pPr>
          </w:p>
        </w:tc>
        <w:tc>
          <w:tcPr>
            <w:tcW w:w="1704" w:type="dxa"/>
            <w:tcBorders>
              <w:top w:val="single" w:sz="8" w:space="0" w:color="000000"/>
              <w:bottom w:val="single" w:sz="8" w:space="0" w:color="000000"/>
            </w:tcBorders>
          </w:tcPr>
          <w:p w14:paraId="76B5319C" w14:textId="77777777" w:rsidR="00FA4AA8" w:rsidRDefault="00FA4AA8">
            <w:pPr>
              <w:pStyle w:val="TableParagraph"/>
              <w:spacing w:before="2"/>
              <w:rPr>
                <w:sz w:val="20"/>
              </w:rPr>
            </w:pPr>
          </w:p>
          <w:p w14:paraId="203D2EC7" w14:textId="77777777" w:rsidR="00FA4AA8" w:rsidRDefault="0015611F">
            <w:pPr>
              <w:pStyle w:val="TableParagraph"/>
              <w:ind w:right="259"/>
              <w:jc w:val="right"/>
              <w:rPr>
                <w:sz w:val="18"/>
              </w:rPr>
            </w:pPr>
            <w:r>
              <w:rPr>
                <w:sz w:val="18"/>
              </w:rPr>
              <w:t>-</w:t>
            </w:r>
          </w:p>
        </w:tc>
        <w:tc>
          <w:tcPr>
            <w:tcW w:w="1603" w:type="dxa"/>
            <w:tcBorders>
              <w:top w:val="single" w:sz="8" w:space="0" w:color="000000"/>
              <w:bottom w:val="single" w:sz="8" w:space="0" w:color="000000"/>
            </w:tcBorders>
          </w:tcPr>
          <w:p w14:paraId="6638517F" w14:textId="77777777" w:rsidR="00FA4AA8" w:rsidRDefault="00FA4AA8">
            <w:pPr>
              <w:pStyle w:val="TableParagraph"/>
              <w:spacing w:before="2"/>
              <w:rPr>
                <w:sz w:val="20"/>
              </w:rPr>
            </w:pPr>
          </w:p>
          <w:p w14:paraId="199B60BD" w14:textId="77777777" w:rsidR="00FA4AA8" w:rsidRDefault="0015611F">
            <w:pPr>
              <w:pStyle w:val="TableParagraph"/>
              <w:ind w:right="276"/>
              <w:jc w:val="right"/>
              <w:rPr>
                <w:sz w:val="18"/>
              </w:rPr>
            </w:pPr>
            <w:r>
              <w:rPr>
                <w:sz w:val="18"/>
              </w:rPr>
              <w:t>(7,127)</w:t>
            </w:r>
          </w:p>
        </w:tc>
        <w:tc>
          <w:tcPr>
            <w:tcW w:w="1279" w:type="dxa"/>
            <w:tcBorders>
              <w:top w:val="single" w:sz="8" w:space="0" w:color="000000"/>
              <w:bottom w:val="single" w:sz="8" w:space="0" w:color="000000"/>
            </w:tcBorders>
          </w:tcPr>
          <w:p w14:paraId="78DADFD7" w14:textId="77777777" w:rsidR="00FA4AA8" w:rsidRDefault="00FA4AA8">
            <w:pPr>
              <w:pStyle w:val="TableParagraph"/>
              <w:spacing w:before="2"/>
              <w:rPr>
                <w:sz w:val="20"/>
              </w:rPr>
            </w:pPr>
          </w:p>
          <w:p w14:paraId="7FCA293F" w14:textId="77777777" w:rsidR="00FA4AA8" w:rsidRDefault="0015611F">
            <w:pPr>
              <w:pStyle w:val="TableParagraph"/>
              <w:ind w:right="23"/>
              <w:jc w:val="right"/>
              <w:rPr>
                <w:sz w:val="18"/>
              </w:rPr>
            </w:pPr>
            <w:r>
              <w:rPr>
                <w:sz w:val="18"/>
              </w:rPr>
              <w:t>(7,127)</w:t>
            </w:r>
          </w:p>
        </w:tc>
      </w:tr>
      <w:tr w:rsidR="00FA4AA8" w14:paraId="27BB1C0B" w14:textId="77777777">
        <w:trPr>
          <w:trHeight w:val="265"/>
        </w:trPr>
        <w:tc>
          <w:tcPr>
            <w:tcW w:w="4269" w:type="dxa"/>
          </w:tcPr>
          <w:p w14:paraId="74138111" w14:textId="77777777" w:rsidR="00FA4AA8" w:rsidRDefault="0015611F">
            <w:pPr>
              <w:pStyle w:val="TableParagraph"/>
              <w:spacing w:before="33"/>
              <w:ind w:left="50"/>
              <w:rPr>
                <w:b/>
                <w:sz w:val="18"/>
              </w:rPr>
            </w:pPr>
            <w:r>
              <w:rPr>
                <w:b/>
                <w:sz w:val="18"/>
              </w:rPr>
              <w:t>Balance at 31 December 2017 (Restated)</w:t>
            </w:r>
          </w:p>
        </w:tc>
        <w:tc>
          <w:tcPr>
            <w:tcW w:w="1078" w:type="dxa"/>
          </w:tcPr>
          <w:p w14:paraId="2B4B4EEE" w14:textId="77777777" w:rsidR="00FA4AA8" w:rsidRDefault="00FA4AA8">
            <w:pPr>
              <w:pStyle w:val="TableParagraph"/>
              <w:rPr>
                <w:rFonts w:ascii="Times New Roman"/>
                <w:sz w:val="18"/>
              </w:rPr>
            </w:pPr>
          </w:p>
        </w:tc>
        <w:tc>
          <w:tcPr>
            <w:tcW w:w="1704" w:type="dxa"/>
            <w:tcBorders>
              <w:top w:val="single" w:sz="8" w:space="0" w:color="000000"/>
              <w:bottom w:val="double" w:sz="2" w:space="0" w:color="000000"/>
            </w:tcBorders>
          </w:tcPr>
          <w:p w14:paraId="031FCDB7" w14:textId="77777777" w:rsidR="00FA4AA8" w:rsidRDefault="0015611F">
            <w:pPr>
              <w:pStyle w:val="TableParagraph"/>
              <w:spacing w:before="31"/>
              <w:ind w:right="260"/>
              <w:jc w:val="right"/>
              <w:rPr>
                <w:sz w:val="18"/>
              </w:rPr>
            </w:pPr>
            <w:r>
              <w:rPr>
                <w:sz w:val="18"/>
              </w:rPr>
              <w:t>861,541</w:t>
            </w:r>
          </w:p>
        </w:tc>
        <w:tc>
          <w:tcPr>
            <w:tcW w:w="1603" w:type="dxa"/>
            <w:tcBorders>
              <w:top w:val="single" w:sz="8" w:space="0" w:color="000000"/>
              <w:bottom w:val="double" w:sz="2" w:space="0" w:color="000000"/>
            </w:tcBorders>
          </w:tcPr>
          <w:p w14:paraId="7623A35E" w14:textId="77777777" w:rsidR="00FA4AA8" w:rsidRDefault="0015611F">
            <w:pPr>
              <w:pStyle w:val="TableParagraph"/>
              <w:spacing w:before="31"/>
              <w:ind w:left="458"/>
              <w:rPr>
                <w:sz w:val="18"/>
              </w:rPr>
            </w:pPr>
            <w:r>
              <w:rPr>
                <w:sz w:val="18"/>
              </w:rPr>
              <w:t>1,038,885</w:t>
            </w:r>
          </w:p>
        </w:tc>
        <w:tc>
          <w:tcPr>
            <w:tcW w:w="1279" w:type="dxa"/>
            <w:tcBorders>
              <w:top w:val="single" w:sz="8" w:space="0" w:color="000000"/>
              <w:bottom w:val="double" w:sz="2" w:space="0" w:color="000000"/>
            </w:tcBorders>
          </w:tcPr>
          <w:p w14:paraId="503F4EB3" w14:textId="77777777" w:rsidR="00FA4AA8" w:rsidRDefault="0015611F">
            <w:pPr>
              <w:pStyle w:val="TableParagraph"/>
              <w:spacing w:before="31"/>
              <w:ind w:right="84"/>
              <w:jc w:val="right"/>
              <w:rPr>
                <w:sz w:val="18"/>
              </w:rPr>
            </w:pPr>
            <w:r>
              <w:rPr>
                <w:sz w:val="18"/>
              </w:rPr>
              <w:t>1,900,426</w:t>
            </w:r>
          </w:p>
        </w:tc>
      </w:tr>
    </w:tbl>
    <w:p w14:paraId="502FA4DE" w14:textId="77777777" w:rsidR="00FA4AA8" w:rsidRDefault="00FA4AA8">
      <w:pPr>
        <w:pStyle w:val="BodyText"/>
        <w:rPr>
          <w:sz w:val="20"/>
        </w:rPr>
      </w:pPr>
    </w:p>
    <w:p w14:paraId="4ED4AE71" w14:textId="77777777" w:rsidR="00FA4AA8" w:rsidRDefault="00FA4AA8">
      <w:pPr>
        <w:pStyle w:val="BodyText"/>
        <w:rPr>
          <w:sz w:val="20"/>
        </w:rPr>
      </w:pPr>
    </w:p>
    <w:p w14:paraId="5034FE11" w14:textId="77777777" w:rsidR="00FA4AA8" w:rsidRDefault="00FA4AA8">
      <w:pPr>
        <w:pStyle w:val="BodyText"/>
        <w:rPr>
          <w:sz w:val="20"/>
        </w:rPr>
      </w:pPr>
    </w:p>
    <w:p w14:paraId="1C03A3ED" w14:textId="77777777" w:rsidR="00FA4AA8" w:rsidRDefault="00FA4AA8">
      <w:pPr>
        <w:pStyle w:val="BodyText"/>
        <w:rPr>
          <w:sz w:val="20"/>
        </w:rPr>
      </w:pPr>
    </w:p>
    <w:p w14:paraId="52B47517" w14:textId="77777777" w:rsidR="00FA4AA8" w:rsidRDefault="00FA4AA8">
      <w:pPr>
        <w:pStyle w:val="BodyText"/>
        <w:rPr>
          <w:sz w:val="20"/>
        </w:rPr>
      </w:pPr>
    </w:p>
    <w:p w14:paraId="6FFCE3D2" w14:textId="77777777" w:rsidR="00FA4AA8" w:rsidRDefault="00FA4AA8">
      <w:pPr>
        <w:pStyle w:val="BodyText"/>
        <w:rPr>
          <w:sz w:val="20"/>
        </w:rPr>
      </w:pPr>
    </w:p>
    <w:p w14:paraId="53BCE1C7" w14:textId="77777777" w:rsidR="00FA4AA8" w:rsidRDefault="00FA4AA8">
      <w:pPr>
        <w:pStyle w:val="BodyText"/>
        <w:spacing w:before="6"/>
        <w:rPr>
          <w:sz w:val="17"/>
        </w:rPr>
      </w:pPr>
    </w:p>
    <w:p w14:paraId="102E7E1D" w14:textId="77777777" w:rsidR="00FA4AA8" w:rsidRDefault="0015611F">
      <w:pPr>
        <w:pStyle w:val="BodyText"/>
        <w:spacing w:before="94"/>
        <w:ind w:left="194" w:right="165"/>
        <w:jc w:val="center"/>
      </w:pPr>
      <w:r>
        <w:t>The accompanying notes form part of these financial statements.</w:t>
      </w:r>
    </w:p>
    <w:p w14:paraId="62A8EACF" w14:textId="77777777" w:rsidR="00FA4AA8" w:rsidRDefault="00FA4AA8">
      <w:pPr>
        <w:jc w:val="center"/>
        <w:sectPr w:rsidR="00FA4AA8">
          <w:headerReference w:type="default" r:id="rId31"/>
          <w:footerReference w:type="default" r:id="rId32"/>
          <w:pgSz w:w="11910" w:h="16840"/>
          <w:pgMar w:top="2220" w:right="840" w:bottom="720" w:left="840" w:header="1016" w:footer="523" w:gutter="0"/>
          <w:pgNumType w:start="10"/>
          <w:cols w:space="720"/>
        </w:sectPr>
      </w:pPr>
    </w:p>
    <w:p w14:paraId="054503F5" w14:textId="77777777" w:rsidR="00FA4AA8" w:rsidRDefault="00FA4AA8">
      <w:pPr>
        <w:pStyle w:val="BodyText"/>
        <w:rPr>
          <w:sz w:val="20"/>
        </w:rPr>
      </w:pPr>
    </w:p>
    <w:p w14:paraId="43B5920A" w14:textId="77777777" w:rsidR="00FA4AA8" w:rsidRDefault="00FA4AA8">
      <w:pPr>
        <w:pStyle w:val="BodyText"/>
        <w:spacing w:before="5"/>
        <w:rPr>
          <w:sz w:val="16"/>
        </w:rPr>
      </w:pPr>
    </w:p>
    <w:tbl>
      <w:tblPr>
        <w:tblW w:w="0" w:type="auto"/>
        <w:tblInd w:w="151" w:type="dxa"/>
        <w:tblLayout w:type="fixed"/>
        <w:tblCellMar>
          <w:left w:w="0" w:type="dxa"/>
          <w:right w:w="0" w:type="dxa"/>
        </w:tblCellMar>
        <w:tblLook w:val="01E0" w:firstRow="1" w:lastRow="1" w:firstColumn="1" w:lastColumn="1" w:noHBand="0" w:noVBand="0"/>
      </w:tblPr>
      <w:tblGrid>
        <w:gridCol w:w="4278"/>
        <w:gridCol w:w="1068"/>
        <w:gridCol w:w="1572"/>
        <w:gridCol w:w="1735"/>
        <w:gridCol w:w="1279"/>
      </w:tblGrid>
      <w:tr w:rsidR="00FA4AA8" w14:paraId="1E076E3F" w14:textId="77777777">
        <w:trPr>
          <w:trHeight w:val="717"/>
        </w:trPr>
        <w:tc>
          <w:tcPr>
            <w:tcW w:w="4278" w:type="dxa"/>
          </w:tcPr>
          <w:p w14:paraId="27B060C7" w14:textId="77777777" w:rsidR="00FA4AA8" w:rsidRDefault="00FA4AA8">
            <w:pPr>
              <w:pStyle w:val="TableParagraph"/>
              <w:rPr>
                <w:rFonts w:ascii="Times New Roman"/>
                <w:sz w:val="18"/>
              </w:rPr>
            </w:pPr>
          </w:p>
        </w:tc>
        <w:tc>
          <w:tcPr>
            <w:tcW w:w="1068" w:type="dxa"/>
          </w:tcPr>
          <w:p w14:paraId="347D6F49" w14:textId="77777777" w:rsidR="00FA4AA8" w:rsidRDefault="00FA4AA8">
            <w:pPr>
              <w:pStyle w:val="TableParagraph"/>
              <w:rPr>
                <w:rFonts w:ascii="Times New Roman"/>
                <w:sz w:val="18"/>
              </w:rPr>
            </w:pPr>
          </w:p>
        </w:tc>
        <w:tc>
          <w:tcPr>
            <w:tcW w:w="1572" w:type="dxa"/>
          </w:tcPr>
          <w:p w14:paraId="4B2317D0" w14:textId="77777777" w:rsidR="00FA4AA8" w:rsidRDefault="00FA4AA8">
            <w:pPr>
              <w:pStyle w:val="TableParagraph"/>
              <w:rPr>
                <w:sz w:val="20"/>
              </w:rPr>
            </w:pPr>
          </w:p>
          <w:p w14:paraId="1C556DAB" w14:textId="77777777" w:rsidR="00FA4AA8" w:rsidRDefault="00FA4AA8">
            <w:pPr>
              <w:pStyle w:val="TableParagraph"/>
              <w:spacing w:before="2"/>
              <w:rPr>
                <w:sz w:val="21"/>
              </w:rPr>
            </w:pPr>
          </w:p>
          <w:p w14:paraId="145CEA34" w14:textId="77777777" w:rsidR="00FA4AA8" w:rsidRDefault="0015611F">
            <w:pPr>
              <w:pStyle w:val="TableParagraph"/>
              <w:ind w:left="351"/>
              <w:rPr>
                <w:b/>
                <w:sz w:val="18"/>
              </w:rPr>
            </w:pPr>
            <w:r>
              <w:rPr>
                <w:b/>
                <w:sz w:val="18"/>
              </w:rPr>
              <w:t>Reserves</w:t>
            </w:r>
          </w:p>
        </w:tc>
        <w:tc>
          <w:tcPr>
            <w:tcW w:w="1735" w:type="dxa"/>
          </w:tcPr>
          <w:p w14:paraId="4B917F64" w14:textId="77777777" w:rsidR="00FA4AA8" w:rsidRDefault="0015611F">
            <w:pPr>
              <w:pStyle w:val="TableParagraph"/>
              <w:spacing w:line="201" w:lineRule="exact"/>
              <w:ind w:left="70"/>
              <w:rPr>
                <w:b/>
                <w:sz w:val="18"/>
              </w:rPr>
            </w:pPr>
            <w:r>
              <w:rPr>
                <w:b/>
                <w:sz w:val="18"/>
              </w:rPr>
              <w:t>Consolidated</w:t>
            </w:r>
          </w:p>
          <w:p w14:paraId="27D10981" w14:textId="77777777" w:rsidR="00FA4AA8" w:rsidRDefault="0015611F">
            <w:pPr>
              <w:pStyle w:val="TableParagraph"/>
              <w:spacing w:before="66"/>
              <w:ind w:left="334" w:right="610" w:firstLine="4"/>
              <w:rPr>
                <w:b/>
                <w:sz w:val="18"/>
              </w:rPr>
            </w:pPr>
            <w:r>
              <w:rPr>
                <w:b/>
                <w:sz w:val="18"/>
              </w:rPr>
              <w:t>Retained Earnings</w:t>
            </w:r>
          </w:p>
        </w:tc>
        <w:tc>
          <w:tcPr>
            <w:tcW w:w="1279" w:type="dxa"/>
          </w:tcPr>
          <w:p w14:paraId="19665C1A" w14:textId="77777777" w:rsidR="00FA4AA8" w:rsidRDefault="00FA4AA8">
            <w:pPr>
              <w:pStyle w:val="TableParagraph"/>
              <w:rPr>
                <w:sz w:val="20"/>
              </w:rPr>
            </w:pPr>
          </w:p>
          <w:p w14:paraId="06E81ACE" w14:textId="77777777" w:rsidR="00FA4AA8" w:rsidRDefault="00FA4AA8">
            <w:pPr>
              <w:pStyle w:val="TableParagraph"/>
              <w:spacing w:before="2"/>
              <w:rPr>
                <w:sz w:val="21"/>
              </w:rPr>
            </w:pPr>
          </w:p>
          <w:p w14:paraId="1158FDA5" w14:textId="77777777" w:rsidR="00FA4AA8" w:rsidRDefault="0015611F">
            <w:pPr>
              <w:pStyle w:val="TableParagraph"/>
              <w:ind w:left="286"/>
              <w:rPr>
                <w:b/>
                <w:sz w:val="18"/>
              </w:rPr>
            </w:pPr>
            <w:r>
              <w:rPr>
                <w:b/>
                <w:sz w:val="18"/>
              </w:rPr>
              <w:t>Total</w:t>
            </w:r>
          </w:p>
        </w:tc>
      </w:tr>
      <w:tr w:rsidR="00FA4AA8" w14:paraId="1E21F9AF" w14:textId="77777777">
        <w:trPr>
          <w:trHeight w:val="267"/>
        </w:trPr>
        <w:tc>
          <w:tcPr>
            <w:tcW w:w="4278" w:type="dxa"/>
          </w:tcPr>
          <w:p w14:paraId="1E1D2F6B" w14:textId="77777777" w:rsidR="00FA4AA8" w:rsidRDefault="00FA4AA8">
            <w:pPr>
              <w:pStyle w:val="TableParagraph"/>
              <w:rPr>
                <w:rFonts w:ascii="Times New Roman"/>
                <w:sz w:val="18"/>
              </w:rPr>
            </w:pPr>
          </w:p>
        </w:tc>
        <w:tc>
          <w:tcPr>
            <w:tcW w:w="1068" w:type="dxa"/>
          </w:tcPr>
          <w:p w14:paraId="60B0EF1D" w14:textId="77777777" w:rsidR="00FA4AA8" w:rsidRDefault="0015611F">
            <w:pPr>
              <w:pStyle w:val="TableParagraph"/>
              <w:spacing w:before="30"/>
              <w:ind w:right="254"/>
              <w:jc w:val="right"/>
              <w:rPr>
                <w:b/>
                <w:sz w:val="18"/>
              </w:rPr>
            </w:pPr>
            <w:r>
              <w:rPr>
                <w:b/>
                <w:sz w:val="18"/>
              </w:rPr>
              <w:t>Note</w:t>
            </w:r>
          </w:p>
        </w:tc>
        <w:tc>
          <w:tcPr>
            <w:tcW w:w="1572" w:type="dxa"/>
            <w:tcBorders>
              <w:bottom w:val="single" w:sz="8" w:space="0" w:color="000000"/>
            </w:tcBorders>
          </w:tcPr>
          <w:p w14:paraId="7ED2242B" w14:textId="77777777" w:rsidR="00FA4AA8" w:rsidRDefault="0015611F">
            <w:pPr>
              <w:pStyle w:val="TableParagraph"/>
              <w:spacing w:before="30"/>
              <w:ind w:left="511" w:right="577"/>
              <w:jc w:val="center"/>
              <w:rPr>
                <w:b/>
                <w:sz w:val="18"/>
              </w:rPr>
            </w:pPr>
            <w:r>
              <w:rPr>
                <w:b/>
                <w:sz w:val="18"/>
              </w:rPr>
              <w:t>$'000</w:t>
            </w:r>
          </w:p>
        </w:tc>
        <w:tc>
          <w:tcPr>
            <w:tcW w:w="1735" w:type="dxa"/>
            <w:tcBorders>
              <w:bottom w:val="single" w:sz="8" w:space="0" w:color="000000"/>
            </w:tcBorders>
          </w:tcPr>
          <w:p w14:paraId="5EC27064" w14:textId="77777777" w:rsidR="00FA4AA8" w:rsidRDefault="0015611F">
            <w:pPr>
              <w:pStyle w:val="TableParagraph"/>
              <w:spacing w:before="30"/>
              <w:ind w:left="497"/>
              <w:rPr>
                <w:b/>
                <w:sz w:val="18"/>
              </w:rPr>
            </w:pPr>
            <w:r>
              <w:rPr>
                <w:b/>
                <w:sz w:val="18"/>
              </w:rPr>
              <w:t>$'000</w:t>
            </w:r>
          </w:p>
        </w:tc>
        <w:tc>
          <w:tcPr>
            <w:tcW w:w="1279" w:type="dxa"/>
            <w:tcBorders>
              <w:bottom w:val="single" w:sz="8" w:space="0" w:color="000000"/>
            </w:tcBorders>
          </w:tcPr>
          <w:p w14:paraId="645EA662" w14:textId="77777777" w:rsidR="00FA4AA8" w:rsidRDefault="0015611F">
            <w:pPr>
              <w:pStyle w:val="TableParagraph"/>
              <w:spacing w:before="30"/>
              <w:ind w:left="279"/>
              <w:rPr>
                <w:b/>
                <w:sz w:val="18"/>
              </w:rPr>
            </w:pPr>
            <w:r>
              <w:rPr>
                <w:b/>
                <w:sz w:val="18"/>
              </w:rPr>
              <w:t>$'000</w:t>
            </w:r>
          </w:p>
        </w:tc>
      </w:tr>
      <w:tr w:rsidR="00FA4AA8" w14:paraId="4DECE8F1" w14:textId="77777777">
        <w:trPr>
          <w:trHeight w:val="277"/>
        </w:trPr>
        <w:tc>
          <w:tcPr>
            <w:tcW w:w="4278" w:type="dxa"/>
          </w:tcPr>
          <w:p w14:paraId="187480A0" w14:textId="77777777" w:rsidR="00FA4AA8" w:rsidRDefault="0015611F">
            <w:pPr>
              <w:pStyle w:val="TableParagraph"/>
              <w:spacing w:before="36"/>
              <w:ind w:left="50"/>
              <w:rPr>
                <w:b/>
                <w:sz w:val="18"/>
              </w:rPr>
            </w:pPr>
            <w:r>
              <w:rPr>
                <w:b/>
                <w:sz w:val="18"/>
              </w:rPr>
              <w:t>Balance at 1 January 2018</w:t>
            </w:r>
          </w:p>
        </w:tc>
        <w:tc>
          <w:tcPr>
            <w:tcW w:w="1068" w:type="dxa"/>
          </w:tcPr>
          <w:p w14:paraId="487729A1" w14:textId="77777777" w:rsidR="00FA4AA8" w:rsidRDefault="00FA4AA8">
            <w:pPr>
              <w:pStyle w:val="TableParagraph"/>
              <w:rPr>
                <w:rFonts w:ascii="Times New Roman"/>
                <w:sz w:val="18"/>
              </w:rPr>
            </w:pPr>
          </w:p>
        </w:tc>
        <w:tc>
          <w:tcPr>
            <w:tcW w:w="1572" w:type="dxa"/>
            <w:tcBorders>
              <w:top w:val="single" w:sz="8" w:space="0" w:color="000000"/>
            </w:tcBorders>
          </w:tcPr>
          <w:p w14:paraId="1E84E579" w14:textId="77777777" w:rsidR="00FA4AA8" w:rsidRDefault="0015611F">
            <w:pPr>
              <w:pStyle w:val="TableParagraph"/>
              <w:spacing w:before="40"/>
              <w:ind w:right="127"/>
              <w:jc w:val="right"/>
              <w:rPr>
                <w:b/>
                <w:sz w:val="18"/>
              </w:rPr>
            </w:pPr>
            <w:r>
              <w:rPr>
                <w:b/>
                <w:sz w:val="18"/>
              </w:rPr>
              <w:t>865,790</w:t>
            </w:r>
          </w:p>
        </w:tc>
        <w:tc>
          <w:tcPr>
            <w:tcW w:w="1735" w:type="dxa"/>
            <w:tcBorders>
              <w:top w:val="single" w:sz="8" w:space="0" w:color="000000"/>
            </w:tcBorders>
          </w:tcPr>
          <w:p w14:paraId="6B642095" w14:textId="77777777" w:rsidR="00FA4AA8" w:rsidRDefault="0015611F">
            <w:pPr>
              <w:pStyle w:val="TableParagraph"/>
              <w:spacing w:before="40"/>
              <w:ind w:left="591"/>
              <w:rPr>
                <w:b/>
                <w:sz w:val="18"/>
              </w:rPr>
            </w:pPr>
            <w:r>
              <w:rPr>
                <w:b/>
                <w:sz w:val="18"/>
              </w:rPr>
              <w:t>1,047,001</w:t>
            </w:r>
          </w:p>
        </w:tc>
        <w:tc>
          <w:tcPr>
            <w:tcW w:w="1279" w:type="dxa"/>
            <w:tcBorders>
              <w:top w:val="single" w:sz="8" w:space="0" w:color="000000"/>
            </w:tcBorders>
          </w:tcPr>
          <w:p w14:paraId="7B42D4DC" w14:textId="77777777" w:rsidR="00FA4AA8" w:rsidRDefault="0015611F">
            <w:pPr>
              <w:pStyle w:val="TableParagraph"/>
              <w:spacing w:before="40"/>
              <w:ind w:right="83"/>
              <w:jc w:val="right"/>
              <w:rPr>
                <w:b/>
                <w:sz w:val="18"/>
              </w:rPr>
            </w:pPr>
            <w:r>
              <w:rPr>
                <w:b/>
                <w:sz w:val="18"/>
              </w:rPr>
              <w:t>1,912,791</w:t>
            </w:r>
          </w:p>
        </w:tc>
      </w:tr>
      <w:tr w:rsidR="00FA4AA8" w14:paraId="7B702BAF" w14:textId="77777777">
        <w:trPr>
          <w:trHeight w:val="460"/>
        </w:trPr>
        <w:tc>
          <w:tcPr>
            <w:tcW w:w="4278" w:type="dxa"/>
          </w:tcPr>
          <w:p w14:paraId="14B14A7B" w14:textId="77777777" w:rsidR="00FA4AA8" w:rsidRDefault="0015611F">
            <w:pPr>
              <w:pStyle w:val="TableParagraph"/>
              <w:spacing w:before="24"/>
              <w:ind w:left="50" w:right="255"/>
              <w:rPr>
                <w:sz w:val="18"/>
              </w:rPr>
            </w:pPr>
            <w:r>
              <w:rPr>
                <w:sz w:val="18"/>
              </w:rPr>
              <w:t>Initial application of Australian Accounting Standards</w:t>
            </w:r>
          </w:p>
        </w:tc>
        <w:tc>
          <w:tcPr>
            <w:tcW w:w="1068" w:type="dxa"/>
          </w:tcPr>
          <w:p w14:paraId="70831DDB" w14:textId="77777777" w:rsidR="00FA4AA8" w:rsidRDefault="00FA4AA8">
            <w:pPr>
              <w:pStyle w:val="TableParagraph"/>
              <w:rPr>
                <w:sz w:val="20"/>
              </w:rPr>
            </w:pPr>
          </w:p>
          <w:p w14:paraId="711D5E34" w14:textId="77777777" w:rsidR="00FA4AA8" w:rsidRDefault="0015611F">
            <w:pPr>
              <w:pStyle w:val="TableParagraph"/>
              <w:ind w:right="299"/>
              <w:jc w:val="right"/>
              <w:rPr>
                <w:sz w:val="18"/>
              </w:rPr>
            </w:pPr>
            <w:r>
              <w:rPr>
                <w:sz w:val="18"/>
              </w:rPr>
              <w:t>1(k)</w:t>
            </w:r>
          </w:p>
        </w:tc>
        <w:tc>
          <w:tcPr>
            <w:tcW w:w="1572" w:type="dxa"/>
            <w:tcBorders>
              <w:bottom w:val="single" w:sz="8" w:space="0" w:color="000000"/>
            </w:tcBorders>
          </w:tcPr>
          <w:p w14:paraId="0EB3F6A4" w14:textId="77777777" w:rsidR="00FA4AA8" w:rsidRDefault="00FA4AA8">
            <w:pPr>
              <w:pStyle w:val="TableParagraph"/>
              <w:spacing w:before="9"/>
              <w:rPr>
                <w:sz w:val="19"/>
              </w:rPr>
            </w:pPr>
          </w:p>
          <w:p w14:paraId="2909ADE6" w14:textId="77777777" w:rsidR="00FA4AA8" w:rsidRDefault="0015611F">
            <w:pPr>
              <w:pStyle w:val="TableParagraph"/>
              <w:spacing w:before="1"/>
              <w:ind w:right="127"/>
              <w:jc w:val="right"/>
              <w:rPr>
                <w:b/>
                <w:sz w:val="18"/>
              </w:rPr>
            </w:pPr>
            <w:r>
              <w:rPr>
                <w:b/>
                <w:sz w:val="18"/>
              </w:rPr>
              <w:t>2,350</w:t>
            </w:r>
          </w:p>
        </w:tc>
        <w:tc>
          <w:tcPr>
            <w:tcW w:w="1735" w:type="dxa"/>
            <w:tcBorders>
              <w:bottom w:val="single" w:sz="8" w:space="0" w:color="000000"/>
            </w:tcBorders>
          </w:tcPr>
          <w:p w14:paraId="73610C7F" w14:textId="77777777" w:rsidR="00FA4AA8" w:rsidRDefault="00FA4AA8">
            <w:pPr>
              <w:pStyle w:val="TableParagraph"/>
              <w:spacing w:before="9"/>
              <w:rPr>
                <w:sz w:val="19"/>
              </w:rPr>
            </w:pPr>
          </w:p>
          <w:p w14:paraId="6D2949F6" w14:textId="77777777" w:rsidR="00FA4AA8" w:rsidRDefault="0015611F">
            <w:pPr>
              <w:pStyle w:val="TableParagraph"/>
              <w:spacing w:before="1"/>
              <w:ind w:right="335"/>
              <w:jc w:val="right"/>
              <w:rPr>
                <w:b/>
                <w:sz w:val="18"/>
              </w:rPr>
            </w:pPr>
            <w:r>
              <w:rPr>
                <w:b/>
                <w:sz w:val="18"/>
              </w:rPr>
              <w:t>2,892</w:t>
            </w:r>
          </w:p>
        </w:tc>
        <w:tc>
          <w:tcPr>
            <w:tcW w:w="1279" w:type="dxa"/>
            <w:tcBorders>
              <w:bottom w:val="single" w:sz="8" w:space="0" w:color="000000"/>
            </w:tcBorders>
          </w:tcPr>
          <w:p w14:paraId="64075CE0" w14:textId="77777777" w:rsidR="00FA4AA8" w:rsidRDefault="00FA4AA8">
            <w:pPr>
              <w:pStyle w:val="TableParagraph"/>
              <w:spacing w:before="9"/>
              <w:rPr>
                <w:sz w:val="19"/>
              </w:rPr>
            </w:pPr>
          </w:p>
          <w:p w14:paraId="0982D69E" w14:textId="77777777" w:rsidR="00FA4AA8" w:rsidRDefault="0015611F">
            <w:pPr>
              <w:pStyle w:val="TableParagraph"/>
              <w:spacing w:before="1"/>
              <w:ind w:right="83"/>
              <w:jc w:val="right"/>
              <w:rPr>
                <w:b/>
                <w:sz w:val="18"/>
              </w:rPr>
            </w:pPr>
            <w:r>
              <w:rPr>
                <w:b/>
                <w:sz w:val="18"/>
              </w:rPr>
              <w:t>5,242</w:t>
            </w:r>
          </w:p>
        </w:tc>
      </w:tr>
      <w:tr w:rsidR="00FA4AA8" w14:paraId="1ABC1DC6" w14:textId="77777777">
        <w:trPr>
          <w:trHeight w:val="279"/>
        </w:trPr>
        <w:tc>
          <w:tcPr>
            <w:tcW w:w="4278" w:type="dxa"/>
          </w:tcPr>
          <w:p w14:paraId="1948D2EF" w14:textId="77777777" w:rsidR="00FA4AA8" w:rsidRDefault="0015611F">
            <w:pPr>
              <w:pStyle w:val="TableParagraph"/>
              <w:spacing w:before="36"/>
              <w:ind w:left="50"/>
              <w:rPr>
                <w:b/>
                <w:sz w:val="18"/>
              </w:rPr>
            </w:pPr>
            <w:r>
              <w:rPr>
                <w:b/>
                <w:sz w:val="18"/>
              </w:rPr>
              <w:t>Balance as restated</w:t>
            </w:r>
          </w:p>
        </w:tc>
        <w:tc>
          <w:tcPr>
            <w:tcW w:w="1068" w:type="dxa"/>
          </w:tcPr>
          <w:p w14:paraId="19D0E621" w14:textId="77777777" w:rsidR="00FA4AA8" w:rsidRDefault="00FA4AA8">
            <w:pPr>
              <w:pStyle w:val="TableParagraph"/>
              <w:rPr>
                <w:rFonts w:ascii="Times New Roman"/>
                <w:sz w:val="18"/>
              </w:rPr>
            </w:pPr>
          </w:p>
        </w:tc>
        <w:tc>
          <w:tcPr>
            <w:tcW w:w="1572" w:type="dxa"/>
            <w:tcBorders>
              <w:top w:val="single" w:sz="8" w:space="0" w:color="000000"/>
            </w:tcBorders>
          </w:tcPr>
          <w:p w14:paraId="7E194884" w14:textId="77777777" w:rsidR="00FA4AA8" w:rsidRDefault="0015611F">
            <w:pPr>
              <w:pStyle w:val="TableParagraph"/>
              <w:spacing w:before="40"/>
              <w:ind w:right="127"/>
              <w:jc w:val="right"/>
              <w:rPr>
                <w:b/>
                <w:sz w:val="18"/>
              </w:rPr>
            </w:pPr>
            <w:r>
              <w:rPr>
                <w:b/>
                <w:sz w:val="18"/>
              </w:rPr>
              <w:t>868,140</w:t>
            </w:r>
          </w:p>
        </w:tc>
        <w:tc>
          <w:tcPr>
            <w:tcW w:w="1735" w:type="dxa"/>
            <w:tcBorders>
              <w:top w:val="single" w:sz="8" w:space="0" w:color="000000"/>
            </w:tcBorders>
          </w:tcPr>
          <w:p w14:paraId="2AFFE990" w14:textId="77777777" w:rsidR="00FA4AA8" w:rsidRDefault="0015611F">
            <w:pPr>
              <w:pStyle w:val="TableParagraph"/>
              <w:spacing w:before="40"/>
              <w:ind w:left="591"/>
              <w:rPr>
                <w:b/>
                <w:sz w:val="18"/>
              </w:rPr>
            </w:pPr>
            <w:r>
              <w:rPr>
                <w:b/>
                <w:sz w:val="18"/>
              </w:rPr>
              <w:t>1,049,893</w:t>
            </w:r>
          </w:p>
        </w:tc>
        <w:tc>
          <w:tcPr>
            <w:tcW w:w="1279" w:type="dxa"/>
            <w:tcBorders>
              <w:top w:val="single" w:sz="8" w:space="0" w:color="000000"/>
            </w:tcBorders>
          </w:tcPr>
          <w:p w14:paraId="36B00BA9" w14:textId="77777777" w:rsidR="00FA4AA8" w:rsidRDefault="0015611F">
            <w:pPr>
              <w:pStyle w:val="TableParagraph"/>
              <w:spacing w:before="40"/>
              <w:ind w:right="83"/>
              <w:jc w:val="right"/>
              <w:rPr>
                <w:b/>
                <w:sz w:val="18"/>
              </w:rPr>
            </w:pPr>
            <w:r>
              <w:rPr>
                <w:b/>
                <w:sz w:val="18"/>
              </w:rPr>
              <w:t>1,918,033</w:t>
            </w:r>
          </w:p>
        </w:tc>
      </w:tr>
      <w:tr w:rsidR="00FA4AA8" w14:paraId="2CAB3C5F" w14:textId="77777777">
        <w:trPr>
          <w:trHeight w:val="263"/>
        </w:trPr>
        <w:tc>
          <w:tcPr>
            <w:tcW w:w="4278" w:type="dxa"/>
          </w:tcPr>
          <w:p w14:paraId="3DCF046E" w14:textId="77777777" w:rsidR="00FA4AA8" w:rsidRDefault="0015611F">
            <w:pPr>
              <w:pStyle w:val="TableParagraph"/>
              <w:spacing w:before="28"/>
              <w:ind w:left="50"/>
              <w:rPr>
                <w:sz w:val="18"/>
              </w:rPr>
            </w:pPr>
            <w:r>
              <w:rPr>
                <w:sz w:val="18"/>
              </w:rPr>
              <w:t>Net result</w:t>
            </w:r>
          </w:p>
        </w:tc>
        <w:tc>
          <w:tcPr>
            <w:tcW w:w="1068" w:type="dxa"/>
          </w:tcPr>
          <w:p w14:paraId="49E9BF16" w14:textId="77777777" w:rsidR="00FA4AA8" w:rsidRDefault="00FA4AA8">
            <w:pPr>
              <w:pStyle w:val="TableParagraph"/>
              <w:rPr>
                <w:rFonts w:ascii="Times New Roman"/>
                <w:sz w:val="18"/>
              </w:rPr>
            </w:pPr>
          </w:p>
        </w:tc>
        <w:tc>
          <w:tcPr>
            <w:tcW w:w="1572" w:type="dxa"/>
          </w:tcPr>
          <w:p w14:paraId="275481A4" w14:textId="77777777" w:rsidR="00FA4AA8" w:rsidRDefault="0015611F">
            <w:pPr>
              <w:pStyle w:val="TableParagraph"/>
              <w:spacing w:before="25"/>
              <w:ind w:right="126"/>
              <w:jc w:val="right"/>
              <w:rPr>
                <w:b/>
                <w:sz w:val="18"/>
              </w:rPr>
            </w:pPr>
            <w:r>
              <w:rPr>
                <w:b/>
                <w:sz w:val="18"/>
              </w:rPr>
              <w:t>-</w:t>
            </w:r>
          </w:p>
        </w:tc>
        <w:tc>
          <w:tcPr>
            <w:tcW w:w="1735" w:type="dxa"/>
          </w:tcPr>
          <w:p w14:paraId="6FFE3177" w14:textId="77777777" w:rsidR="00FA4AA8" w:rsidRDefault="0015611F">
            <w:pPr>
              <w:pStyle w:val="TableParagraph"/>
              <w:spacing w:before="25"/>
              <w:ind w:right="335"/>
              <w:jc w:val="right"/>
              <w:rPr>
                <w:b/>
                <w:sz w:val="18"/>
              </w:rPr>
            </w:pPr>
            <w:r>
              <w:rPr>
                <w:b/>
                <w:sz w:val="18"/>
              </w:rPr>
              <w:t>87,711</w:t>
            </w:r>
          </w:p>
        </w:tc>
        <w:tc>
          <w:tcPr>
            <w:tcW w:w="1279" w:type="dxa"/>
          </w:tcPr>
          <w:p w14:paraId="05BC879D" w14:textId="77777777" w:rsidR="00FA4AA8" w:rsidRDefault="0015611F">
            <w:pPr>
              <w:pStyle w:val="TableParagraph"/>
              <w:spacing w:before="25"/>
              <w:ind w:right="83"/>
              <w:jc w:val="right"/>
              <w:rPr>
                <w:b/>
                <w:sz w:val="18"/>
              </w:rPr>
            </w:pPr>
            <w:r>
              <w:rPr>
                <w:b/>
                <w:sz w:val="18"/>
              </w:rPr>
              <w:t>87,711</w:t>
            </w:r>
          </w:p>
        </w:tc>
      </w:tr>
      <w:tr w:rsidR="00FA4AA8" w14:paraId="253345A4" w14:textId="77777777">
        <w:trPr>
          <w:trHeight w:val="465"/>
        </w:trPr>
        <w:tc>
          <w:tcPr>
            <w:tcW w:w="4278" w:type="dxa"/>
          </w:tcPr>
          <w:p w14:paraId="4037D40A" w14:textId="77777777" w:rsidR="00FA4AA8" w:rsidRDefault="0015611F">
            <w:pPr>
              <w:pStyle w:val="TableParagraph"/>
              <w:spacing w:before="23"/>
              <w:ind w:left="50"/>
              <w:rPr>
                <w:sz w:val="18"/>
              </w:rPr>
            </w:pPr>
            <w:r>
              <w:rPr>
                <w:sz w:val="18"/>
              </w:rPr>
              <w:t xml:space="preserve">Gain/(loss) on revaluation of </w:t>
            </w:r>
            <w:r w:rsidR="00FA26A8">
              <w:rPr>
                <w:sz w:val="18"/>
              </w:rPr>
              <w:t>property, plant</w:t>
            </w:r>
            <w:r>
              <w:rPr>
                <w:sz w:val="18"/>
              </w:rPr>
              <w:t xml:space="preserve"> and equipment</w:t>
            </w:r>
          </w:p>
        </w:tc>
        <w:tc>
          <w:tcPr>
            <w:tcW w:w="1068" w:type="dxa"/>
          </w:tcPr>
          <w:p w14:paraId="38CE6112" w14:textId="77777777" w:rsidR="00FA4AA8" w:rsidRDefault="00FA4AA8">
            <w:pPr>
              <w:pStyle w:val="TableParagraph"/>
              <w:spacing w:before="11"/>
              <w:rPr>
                <w:sz w:val="19"/>
              </w:rPr>
            </w:pPr>
          </w:p>
          <w:p w14:paraId="606EB66B" w14:textId="77777777" w:rsidR="00FA4AA8" w:rsidRDefault="0015611F">
            <w:pPr>
              <w:pStyle w:val="TableParagraph"/>
              <w:ind w:right="248"/>
              <w:jc w:val="right"/>
              <w:rPr>
                <w:sz w:val="18"/>
              </w:rPr>
            </w:pPr>
            <w:r>
              <w:rPr>
                <w:sz w:val="18"/>
              </w:rPr>
              <w:t>27(c)</w:t>
            </w:r>
          </w:p>
        </w:tc>
        <w:tc>
          <w:tcPr>
            <w:tcW w:w="1572" w:type="dxa"/>
          </w:tcPr>
          <w:p w14:paraId="125920A2" w14:textId="77777777" w:rsidR="00FA4AA8" w:rsidRDefault="00FA4AA8">
            <w:pPr>
              <w:pStyle w:val="TableParagraph"/>
              <w:spacing w:before="8"/>
              <w:rPr>
                <w:sz w:val="19"/>
              </w:rPr>
            </w:pPr>
          </w:p>
          <w:p w14:paraId="0045A0B3" w14:textId="77777777" w:rsidR="00FA4AA8" w:rsidRDefault="0015611F">
            <w:pPr>
              <w:pStyle w:val="TableParagraph"/>
              <w:ind w:right="127"/>
              <w:jc w:val="right"/>
              <w:rPr>
                <w:b/>
                <w:sz w:val="18"/>
              </w:rPr>
            </w:pPr>
            <w:r>
              <w:rPr>
                <w:b/>
                <w:sz w:val="18"/>
              </w:rPr>
              <w:t>69,076</w:t>
            </w:r>
          </w:p>
        </w:tc>
        <w:tc>
          <w:tcPr>
            <w:tcW w:w="1735" w:type="dxa"/>
          </w:tcPr>
          <w:p w14:paraId="0A32AF33" w14:textId="77777777" w:rsidR="00FA4AA8" w:rsidRDefault="00FA4AA8">
            <w:pPr>
              <w:pStyle w:val="TableParagraph"/>
              <w:spacing w:before="8"/>
              <w:rPr>
                <w:sz w:val="19"/>
              </w:rPr>
            </w:pPr>
          </w:p>
          <w:p w14:paraId="5577E589" w14:textId="77777777" w:rsidR="00FA4AA8" w:rsidRDefault="0015611F">
            <w:pPr>
              <w:pStyle w:val="TableParagraph"/>
              <w:ind w:right="335"/>
              <w:jc w:val="right"/>
              <w:rPr>
                <w:b/>
                <w:sz w:val="18"/>
              </w:rPr>
            </w:pPr>
            <w:r>
              <w:rPr>
                <w:b/>
                <w:sz w:val="18"/>
              </w:rPr>
              <w:t>-</w:t>
            </w:r>
          </w:p>
        </w:tc>
        <w:tc>
          <w:tcPr>
            <w:tcW w:w="1279" w:type="dxa"/>
          </w:tcPr>
          <w:p w14:paraId="73AD8EDA" w14:textId="77777777" w:rsidR="00FA4AA8" w:rsidRDefault="00FA4AA8">
            <w:pPr>
              <w:pStyle w:val="TableParagraph"/>
              <w:spacing w:before="8"/>
              <w:rPr>
                <w:sz w:val="19"/>
              </w:rPr>
            </w:pPr>
          </w:p>
          <w:p w14:paraId="644E26CC" w14:textId="77777777" w:rsidR="00FA4AA8" w:rsidRDefault="0015611F">
            <w:pPr>
              <w:pStyle w:val="TableParagraph"/>
              <w:ind w:right="83"/>
              <w:jc w:val="right"/>
              <w:rPr>
                <w:b/>
                <w:sz w:val="18"/>
              </w:rPr>
            </w:pPr>
            <w:r>
              <w:rPr>
                <w:b/>
                <w:sz w:val="18"/>
              </w:rPr>
              <w:t>69,076</w:t>
            </w:r>
          </w:p>
        </w:tc>
      </w:tr>
      <w:tr w:rsidR="00FA4AA8" w14:paraId="3F39F59D" w14:textId="77777777">
        <w:trPr>
          <w:trHeight w:val="465"/>
        </w:trPr>
        <w:tc>
          <w:tcPr>
            <w:tcW w:w="4278" w:type="dxa"/>
          </w:tcPr>
          <w:p w14:paraId="3B035CC6" w14:textId="77777777" w:rsidR="00FA4AA8" w:rsidRDefault="0015611F">
            <w:pPr>
              <w:pStyle w:val="TableParagraph"/>
              <w:spacing w:before="23"/>
              <w:ind w:left="50"/>
              <w:rPr>
                <w:sz w:val="18"/>
              </w:rPr>
            </w:pPr>
            <w:r>
              <w:rPr>
                <w:sz w:val="18"/>
              </w:rPr>
              <w:t>Gain/(loss) on equity investments at fair value through comprehensive income</w:t>
            </w:r>
          </w:p>
        </w:tc>
        <w:tc>
          <w:tcPr>
            <w:tcW w:w="1068" w:type="dxa"/>
          </w:tcPr>
          <w:p w14:paraId="0B0AFA9D" w14:textId="77777777" w:rsidR="00FA4AA8" w:rsidRDefault="00FA4AA8">
            <w:pPr>
              <w:pStyle w:val="TableParagraph"/>
              <w:spacing w:before="11"/>
              <w:rPr>
                <w:sz w:val="19"/>
              </w:rPr>
            </w:pPr>
          </w:p>
          <w:p w14:paraId="3F3D14FA" w14:textId="77777777" w:rsidR="00FA4AA8" w:rsidRDefault="0015611F">
            <w:pPr>
              <w:pStyle w:val="TableParagraph"/>
              <w:ind w:right="248"/>
              <w:jc w:val="right"/>
              <w:rPr>
                <w:sz w:val="18"/>
              </w:rPr>
            </w:pPr>
            <w:r>
              <w:rPr>
                <w:sz w:val="18"/>
              </w:rPr>
              <w:t>27(c)</w:t>
            </w:r>
          </w:p>
        </w:tc>
        <w:tc>
          <w:tcPr>
            <w:tcW w:w="1572" w:type="dxa"/>
          </w:tcPr>
          <w:p w14:paraId="255AA0A6" w14:textId="77777777" w:rsidR="00FA4AA8" w:rsidRDefault="00FA4AA8">
            <w:pPr>
              <w:pStyle w:val="TableParagraph"/>
              <w:spacing w:before="8"/>
              <w:rPr>
                <w:sz w:val="19"/>
              </w:rPr>
            </w:pPr>
          </w:p>
          <w:p w14:paraId="20D1D460" w14:textId="77777777" w:rsidR="00FA4AA8" w:rsidRDefault="0015611F">
            <w:pPr>
              <w:pStyle w:val="TableParagraph"/>
              <w:ind w:right="127"/>
              <w:jc w:val="right"/>
              <w:rPr>
                <w:b/>
                <w:sz w:val="18"/>
              </w:rPr>
            </w:pPr>
            <w:r>
              <w:rPr>
                <w:b/>
                <w:sz w:val="18"/>
              </w:rPr>
              <w:t>7,111</w:t>
            </w:r>
          </w:p>
        </w:tc>
        <w:tc>
          <w:tcPr>
            <w:tcW w:w="1735" w:type="dxa"/>
          </w:tcPr>
          <w:p w14:paraId="2CCD3913" w14:textId="77777777" w:rsidR="00FA4AA8" w:rsidRDefault="00FA4AA8">
            <w:pPr>
              <w:pStyle w:val="TableParagraph"/>
              <w:spacing w:before="8"/>
              <w:rPr>
                <w:sz w:val="19"/>
              </w:rPr>
            </w:pPr>
          </w:p>
          <w:p w14:paraId="58134B58" w14:textId="77777777" w:rsidR="00FA4AA8" w:rsidRDefault="0015611F">
            <w:pPr>
              <w:pStyle w:val="TableParagraph"/>
              <w:ind w:right="335"/>
              <w:jc w:val="right"/>
              <w:rPr>
                <w:b/>
                <w:sz w:val="18"/>
              </w:rPr>
            </w:pPr>
            <w:r>
              <w:rPr>
                <w:b/>
                <w:sz w:val="18"/>
              </w:rPr>
              <w:t>-</w:t>
            </w:r>
          </w:p>
        </w:tc>
        <w:tc>
          <w:tcPr>
            <w:tcW w:w="1279" w:type="dxa"/>
          </w:tcPr>
          <w:p w14:paraId="773E46B5" w14:textId="77777777" w:rsidR="00FA4AA8" w:rsidRDefault="00FA4AA8">
            <w:pPr>
              <w:pStyle w:val="TableParagraph"/>
              <w:spacing w:before="8"/>
              <w:rPr>
                <w:sz w:val="19"/>
              </w:rPr>
            </w:pPr>
          </w:p>
          <w:p w14:paraId="2B2B827E" w14:textId="77777777" w:rsidR="00FA4AA8" w:rsidRDefault="0015611F">
            <w:pPr>
              <w:pStyle w:val="TableParagraph"/>
              <w:ind w:right="83"/>
              <w:jc w:val="right"/>
              <w:rPr>
                <w:b/>
                <w:sz w:val="18"/>
              </w:rPr>
            </w:pPr>
            <w:r>
              <w:rPr>
                <w:b/>
                <w:sz w:val="18"/>
              </w:rPr>
              <w:t>7,111</w:t>
            </w:r>
          </w:p>
        </w:tc>
      </w:tr>
      <w:tr w:rsidR="00FA4AA8" w14:paraId="269C9494" w14:textId="77777777">
        <w:trPr>
          <w:trHeight w:val="264"/>
        </w:trPr>
        <w:tc>
          <w:tcPr>
            <w:tcW w:w="4278" w:type="dxa"/>
          </w:tcPr>
          <w:p w14:paraId="2D9059B5" w14:textId="77777777" w:rsidR="00FA4AA8" w:rsidRDefault="0015611F">
            <w:pPr>
              <w:pStyle w:val="TableParagraph"/>
              <w:spacing w:before="28"/>
              <w:ind w:left="50"/>
              <w:rPr>
                <w:sz w:val="18"/>
              </w:rPr>
            </w:pPr>
            <w:r>
              <w:rPr>
                <w:sz w:val="18"/>
              </w:rPr>
              <w:t>Gain/(loss) on revaluation of art collection</w:t>
            </w:r>
          </w:p>
        </w:tc>
        <w:tc>
          <w:tcPr>
            <w:tcW w:w="1068" w:type="dxa"/>
          </w:tcPr>
          <w:p w14:paraId="15CE4E25" w14:textId="77777777" w:rsidR="00FA4AA8" w:rsidRDefault="0015611F">
            <w:pPr>
              <w:pStyle w:val="TableParagraph"/>
              <w:spacing w:before="23"/>
              <w:ind w:right="248"/>
              <w:jc w:val="right"/>
              <w:rPr>
                <w:sz w:val="18"/>
              </w:rPr>
            </w:pPr>
            <w:r>
              <w:rPr>
                <w:sz w:val="18"/>
              </w:rPr>
              <w:t>27(c)</w:t>
            </w:r>
          </w:p>
        </w:tc>
        <w:tc>
          <w:tcPr>
            <w:tcW w:w="1572" w:type="dxa"/>
          </w:tcPr>
          <w:p w14:paraId="2698AFAB" w14:textId="77777777" w:rsidR="00FA4AA8" w:rsidRDefault="0015611F">
            <w:pPr>
              <w:pStyle w:val="TableParagraph"/>
              <w:spacing w:before="25"/>
              <w:ind w:right="126"/>
              <w:jc w:val="right"/>
              <w:rPr>
                <w:b/>
                <w:sz w:val="18"/>
              </w:rPr>
            </w:pPr>
            <w:r>
              <w:rPr>
                <w:b/>
                <w:sz w:val="18"/>
              </w:rPr>
              <w:t>-</w:t>
            </w:r>
          </w:p>
        </w:tc>
        <w:tc>
          <w:tcPr>
            <w:tcW w:w="1735" w:type="dxa"/>
          </w:tcPr>
          <w:p w14:paraId="4A97FEE0" w14:textId="77777777" w:rsidR="00FA4AA8" w:rsidRDefault="0015611F">
            <w:pPr>
              <w:pStyle w:val="TableParagraph"/>
              <w:spacing w:before="25"/>
              <w:ind w:right="335"/>
              <w:jc w:val="right"/>
              <w:rPr>
                <w:b/>
                <w:sz w:val="18"/>
              </w:rPr>
            </w:pPr>
            <w:r>
              <w:rPr>
                <w:b/>
                <w:sz w:val="18"/>
              </w:rPr>
              <w:t>-</w:t>
            </w:r>
          </w:p>
        </w:tc>
        <w:tc>
          <w:tcPr>
            <w:tcW w:w="1279" w:type="dxa"/>
          </w:tcPr>
          <w:p w14:paraId="4419A35A" w14:textId="77777777" w:rsidR="00FA4AA8" w:rsidRDefault="0015611F">
            <w:pPr>
              <w:pStyle w:val="TableParagraph"/>
              <w:spacing w:before="25"/>
              <w:ind w:right="83"/>
              <w:jc w:val="right"/>
              <w:rPr>
                <w:b/>
                <w:sz w:val="18"/>
              </w:rPr>
            </w:pPr>
            <w:r>
              <w:rPr>
                <w:b/>
                <w:sz w:val="18"/>
              </w:rPr>
              <w:t>-</w:t>
            </w:r>
          </w:p>
        </w:tc>
      </w:tr>
      <w:tr w:rsidR="00FA4AA8" w14:paraId="66748CEC" w14:textId="77777777">
        <w:trPr>
          <w:trHeight w:val="263"/>
        </w:trPr>
        <w:tc>
          <w:tcPr>
            <w:tcW w:w="4278" w:type="dxa"/>
          </w:tcPr>
          <w:p w14:paraId="5FFCC648" w14:textId="77777777" w:rsidR="00FA4AA8" w:rsidRDefault="0015611F">
            <w:pPr>
              <w:pStyle w:val="TableParagraph"/>
              <w:spacing w:before="28"/>
              <w:ind w:left="50"/>
              <w:rPr>
                <w:sz w:val="18"/>
              </w:rPr>
            </w:pPr>
            <w:r>
              <w:rPr>
                <w:sz w:val="18"/>
              </w:rPr>
              <w:t>Gain/(loss) on revaluation of livestock</w:t>
            </w:r>
          </w:p>
        </w:tc>
        <w:tc>
          <w:tcPr>
            <w:tcW w:w="1068" w:type="dxa"/>
          </w:tcPr>
          <w:p w14:paraId="7F4FB429" w14:textId="77777777" w:rsidR="00FA4AA8" w:rsidRDefault="0015611F">
            <w:pPr>
              <w:pStyle w:val="TableParagraph"/>
              <w:spacing w:before="23"/>
              <w:ind w:right="248"/>
              <w:jc w:val="right"/>
              <w:rPr>
                <w:sz w:val="18"/>
              </w:rPr>
            </w:pPr>
            <w:r>
              <w:rPr>
                <w:sz w:val="18"/>
              </w:rPr>
              <w:t>27(c)</w:t>
            </w:r>
          </w:p>
        </w:tc>
        <w:tc>
          <w:tcPr>
            <w:tcW w:w="1572" w:type="dxa"/>
          </w:tcPr>
          <w:p w14:paraId="2FBF7A56" w14:textId="77777777" w:rsidR="00FA4AA8" w:rsidRDefault="0015611F">
            <w:pPr>
              <w:pStyle w:val="TableParagraph"/>
              <w:spacing w:before="25"/>
              <w:ind w:right="66"/>
              <w:jc w:val="right"/>
              <w:rPr>
                <w:b/>
                <w:sz w:val="18"/>
              </w:rPr>
            </w:pPr>
            <w:r>
              <w:rPr>
                <w:b/>
                <w:sz w:val="18"/>
              </w:rPr>
              <w:t>(93)</w:t>
            </w:r>
          </w:p>
        </w:tc>
        <w:tc>
          <w:tcPr>
            <w:tcW w:w="1735" w:type="dxa"/>
          </w:tcPr>
          <w:p w14:paraId="5FC50F61" w14:textId="77777777" w:rsidR="00FA4AA8" w:rsidRDefault="0015611F">
            <w:pPr>
              <w:pStyle w:val="TableParagraph"/>
              <w:spacing w:before="25"/>
              <w:ind w:right="335"/>
              <w:jc w:val="right"/>
              <w:rPr>
                <w:b/>
                <w:sz w:val="18"/>
              </w:rPr>
            </w:pPr>
            <w:r>
              <w:rPr>
                <w:b/>
                <w:sz w:val="18"/>
              </w:rPr>
              <w:t>-</w:t>
            </w:r>
          </w:p>
        </w:tc>
        <w:tc>
          <w:tcPr>
            <w:tcW w:w="1279" w:type="dxa"/>
          </w:tcPr>
          <w:p w14:paraId="25EBE9C9" w14:textId="77777777" w:rsidR="00FA4AA8" w:rsidRDefault="0015611F">
            <w:pPr>
              <w:pStyle w:val="TableParagraph"/>
              <w:spacing w:before="25"/>
              <w:ind w:right="22"/>
              <w:jc w:val="right"/>
              <w:rPr>
                <w:b/>
                <w:sz w:val="18"/>
              </w:rPr>
            </w:pPr>
            <w:r>
              <w:rPr>
                <w:b/>
                <w:sz w:val="18"/>
              </w:rPr>
              <w:t>(93)</w:t>
            </w:r>
          </w:p>
        </w:tc>
      </w:tr>
      <w:tr w:rsidR="00FA4AA8" w14:paraId="18766FB2" w14:textId="77777777">
        <w:trPr>
          <w:trHeight w:val="257"/>
        </w:trPr>
        <w:tc>
          <w:tcPr>
            <w:tcW w:w="4278" w:type="dxa"/>
          </w:tcPr>
          <w:p w14:paraId="204F2FD3" w14:textId="77777777" w:rsidR="00FA4AA8" w:rsidRDefault="0015611F">
            <w:pPr>
              <w:pStyle w:val="TableParagraph"/>
              <w:spacing w:before="28"/>
              <w:ind w:left="50"/>
              <w:rPr>
                <w:sz w:val="18"/>
              </w:rPr>
            </w:pPr>
            <w:r>
              <w:rPr>
                <w:sz w:val="18"/>
              </w:rPr>
              <w:t>Remeasurements of Defined Benefit Plans</w:t>
            </w:r>
          </w:p>
        </w:tc>
        <w:tc>
          <w:tcPr>
            <w:tcW w:w="1068" w:type="dxa"/>
          </w:tcPr>
          <w:p w14:paraId="18EA6F52" w14:textId="77777777" w:rsidR="00FA4AA8" w:rsidRDefault="0015611F">
            <w:pPr>
              <w:pStyle w:val="TableParagraph"/>
              <w:spacing w:before="23"/>
              <w:ind w:right="248"/>
              <w:jc w:val="right"/>
              <w:rPr>
                <w:sz w:val="18"/>
              </w:rPr>
            </w:pPr>
            <w:r>
              <w:rPr>
                <w:sz w:val="18"/>
              </w:rPr>
              <w:t>27(c)</w:t>
            </w:r>
          </w:p>
        </w:tc>
        <w:tc>
          <w:tcPr>
            <w:tcW w:w="1572" w:type="dxa"/>
            <w:tcBorders>
              <w:bottom w:val="single" w:sz="8" w:space="0" w:color="000000"/>
            </w:tcBorders>
          </w:tcPr>
          <w:p w14:paraId="74BD6312" w14:textId="77777777" w:rsidR="00FA4AA8" w:rsidRDefault="0015611F">
            <w:pPr>
              <w:pStyle w:val="TableParagraph"/>
              <w:spacing w:before="25"/>
              <w:ind w:right="66"/>
              <w:jc w:val="right"/>
              <w:rPr>
                <w:b/>
                <w:sz w:val="18"/>
              </w:rPr>
            </w:pPr>
            <w:r>
              <w:rPr>
                <w:b/>
                <w:sz w:val="18"/>
              </w:rPr>
              <w:t>(335)</w:t>
            </w:r>
          </w:p>
        </w:tc>
        <w:tc>
          <w:tcPr>
            <w:tcW w:w="1735" w:type="dxa"/>
            <w:tcBorders>
              <w:bottom w:val="single" w:sz="8" w:space="0" w:color="000000"/>
            </w:tcBorders>
          </w:tcPr>
          <w:p w14:paraId="208E91EB" w14:textId="77777777" w:rsidR="00FA4AA8" w:rsidRDefault="0015611F">
            <w:pPr>
              <w:pStyle w:val="TableParagraph"/>
              <w:spacing w:before="25"/>
              <w:ind w:right="335"/>
              <w:jc w:val="right"/>
              <w:rPr>
                <w:b/>
                <w:sz w:val="18"/>
              </w:rPr>
            </w:pPr>
            <w:r>
              <w:rPr>
                <w:b/>
                <w:sz w:val="18"/>
              </w:rPr>
              <w:t>-</w:t>
            </w:r>
          </w:p>
        </w:tc>
        <w:tc>
          <w:tcPr>
            <w:tcW w:w="1279" w:type="dxa"/>
            <w:tcBorders>
              <w:bottom w:val="single" w:sz="8" w:space="0" w:color="000000"/>
            </w:tcBorders>
          </w:tcPr>
          <w:p w14:paraId="188098E6" w14:textId="77777777" w:rsidR="00FA4AA8" w:rsidRDefault="0015611F">
            <w:pPr>
              <w:pStyle w:val="TableParagraph"/>
              <w:spacing w:before="25"/>
              <w:ind w:right="22"/>
              <w:jc w:val="right"/>
              <w:rPr>
                <w:b/>
                <w:sz w:val="18"/>
              </w:rPr>
            </w:pPr>
            <w:r>
              <w:rPr>
                <w:b/>
                <w:sz w:val="18"/>
              </w:rPr>
              <w:t>(335)</w:t>
            </w:r>
          </w:p>
        </w:tc>
      </w:tr>
      <w:tr w:rsidR="00FA4AA8" w14:paraId="53B40E21" w14:textId="77777777">
        <w:trPr>
          <w:trHeight w:val="318"/>
        </w:trPr>
        <w:tc>
          <w:tcPr>
            <w:tcW w:w="4278" w:type="dxa"/>
          </w:tcPr>
          <w:p w14:paraId="12A7C5BA" w14:textId="77777777" w:rsidR="00FA4AA8" w:rsidRDefault="0015611F">
            <w:pPr>
              <w:pStyle w:val="TableParagraph"/>
              <w:spacing w:before="115" w:line="183" w:lineRule="exact"/>
              <w:ind w:left="50"/>
              <w:rPr>
                <w:b/>
                <w:sz w:val="18"/>
              </w:rPr>
            </w:pPr>
            <w:r>
              <w:rPr>
                <w:b/>
                <w:sz w:val="18"/>
              </w:rPr>
              <w:t>Other comprehensive income</w:t>
            </w:r>
          </w:p>
        </w:tc>
        <w:tc>
          <w:tcPr>
            <w:tcW w:w="1068" w:type="dxa"/>
          </w:tcPr>
          <w:p w14:paraId="49591DAD" w14:textId="77777777" w:rsidR="00FA4AA8" w:rsidRDefault="00FA4AA8">
            <w:pPr>
              <w:pStyle w:val="TableParagraph"/>
              <w:rPr>
                <w:rFonts w:ascii="Times New Roman"/>
                <w:sz w:val="18"/>
              </w:rPr>
            </w:pPr>
          </w:p>
        </w:tc>
        <w:tc>
          <w:tcPr>
            <w:tcW w:w="1572" w:type="dxa"/>
            <w:tcBorders>
              <w:top w:val="single" w:sz="8" w:space="0" w:color="000000"/>
              <w:bottom w:val="single" w:sz="8" w:space="0" w:color="000000"/>
            </w:tcBorders>
          </w:tcPr>
          <w:p w14:paraId="7AD45D05" w14:textId="77777777" w:rsidR="00FA4AA8" w:rsidRDefault="0015611F">
            <w:pPr>
              <w:pStyle w:val="TableParagraph"/>
              <w:spacing w:before="115" w:line="183" w:lineRule="exact"/>
              <w:ind w:right="127"/>
              <w:jc w:val="right"/>
              <w:rPr>
                <w:b/>
                <w:sz w:val="18"/>
              </w:rPr>
            </w:pPr>
            <w:r>
              <w:rPr>
                <w:b/>
                <w:sz w:val="18"/>
              </w:rPr>
              <w:t>75,759</w:t>
            </w:r>
          </w:p>
        </w:tc>
        <w:tc>
          <w:tcPr>
            <w:tcW w:w="1735" w:type="dxa"/>
            <w:tcBorders>
              <w:top w:val="single" w:sz="8" w:space="0" w:color="000000"/>
              <w:bottom w:val="single" w:sz="8" w:space="0" w:color="000000"/>
            </w:tcBorders>
          </w:tcPr>
          <w:p w14:paraId="40018D97" w14:textId="77777777" w:rsidR="00FA4AA8" w:rsidRDefault="0015611F">
            <w:pPr>
              <w:pStyle w:val="TableParagraph"/>
              <w:spacing w:before="115" w:line="183" w:lineRule="exact"/>
              <w:ind w:right="335"/>
              <w:jc w:val="right"/>
              <w:rPr>
                <w:b/>
                <w:sz w:val="18"/>
              </w:rPr>
            </w:pPr>
            <w:r>
              <w:rPr>
                <w:b/>
                <w:sz w:val="18"/>
              </w:rPr>
              <w:t>-</w:t>
            </w:r>
          </w:p>
        </w:tc>
        <w:tc>
          <w:tcPr>
            <w:tcW w:w="1279" w:type="dxa"/>
            <w:tcBorders>
              <w:top w:val="single" w:sz="8" w:space="0" w:color="000000"/>
              <w:bottom w:val="single" w:sz="8" w:space="0" w:color="000000"/>
            </w:tcBorders>
          </w:tcPr>
          <w:p w14:paraId="16A1AE9A" w14:textId="77777777" w:rsidR="00FA4AA8" w:rsidRDefault="0015611F">
            <w:pPr>
              <w:pStyle w:val="TableParagraph"/>
              <w:spacing w:before="115" w:line="183" w:lineRule="exact"/>
              <w:ind w:right="83"/>
              <w:jc w:val="right"/>
              <w:rPr>
                <w:b/>
                <w:sz w:val="18"/>
              </w:rPr>
            </w:pPr>
            <w:r>
              <w:rPr>
                <w:b/>
                <w:sz w:val="18"/>
              </w:rPr>
              <w:t>75,759</w:t>
            </w:r>
          </w:p>
        </w:tc>
      </w:tr>
      <w:tr w:rsidR="00FA4AA8" w14:paraId="067DEA3D" w14:textId="77777777">
        <w:trPr>
          <w:trHeight w:val="263"/>
        </w:trPr>
        <w:tc>
          <w:tcPr>
            <w:tcW w:w="4278" w:type="dxa"/>
          </w:tcPr>
          <w:p w14:paraId="3D8EED11" w14:textId="77777777" w:rsidR="00FA4AA8" w:rsidRDefault="0015611F">
            <w:pPr>
              <w:pStyle w:val="TableParagraph"/>
              <w:spacing w:before="33"/>
              <w:ind w:left="50"/>
              <w:rPr>
                <w:b/>
                <w:sz w:val="18"/>
              </w:rPr>
            </w:pPr>
            <w:r>
              <w:rPr>
                <w:b/>
                <w:sz w:val="18"/>
              </w:rPr>
              <w:t>Total comprehensive income</w:t>
            </w:r>
          </w:p>
        </w:tc>
        <w:tc>
          <w:tcPr>
            <w:tcW w:w="1068" w:type="dxa"/>
          </w:tcPr>
          <w:p w14:paraId="2F29804A" w14:textId="77777777" w:rsidR="00FA4AA8" w:rsidRDefault="00FA4AA8">
            <w:pPr>
              <w:pStyle w:val="TableParagraph"/>
              <w:rPr>
                <w:rFonts w:ascii="Times New Roman"/>
                <w:sz w:val="18"/>
              </w:rPr>
            </w:pPr>
          </w:p>
        </w:tc>
        <w:tc>
          <w:tcPr>
            <w:tcW w:w="1572" w:type="dxa"/>
            <w:tcBorders>
              <w:top w:val="single" w:sz="8" w:space="0" w:color="000000"/>
              <w:bottom w:val="single" w:sz="8" w:space="0" w:color="000000"/>
            </w:tcBorders>
          </w:tcPr>
          <w:p w14:paraId="662B6BED" w14:textId="77777777" w:rsidR="00FA4AA8" w:rsidRDefault="0015611F">
            <w:pPr>
              <w:pStyle w:val="TableParagraph"/>
              <w:spacing w:before="31"/>
              <w:ind w:right="127"/>
              <w:jc w:val="right"/>
              <w:rPr>
                <w:b/>
                <w:sz w:val="18"/>
              </w:rPr>
            </w:pPr>
            <w:r>
              <w:rPr>
                <w:b/>
                <w:sz w:val="18"/>
              </w:rPr>
              <w:t>943,899</w:t>
            </w:r>
          </w:p>
        </w:tc>
        <w:tc>
          <w:tcPr>
            <w:tcW w:w="1735" w:type="dxa"/>
            <w:tcBorders>
              <w:top w:val="single" w:sz="8" w:space="0" w:color="000000"/>
              <w:bottom w:val="single" w:sz="8" w:space="0" w:color="000000"/>
            </w:tcBorders>
          </w:tcPr>
          <w:p w14:paraId="2AD84328" w14:textId="77777777" w:rsidR="00FA4AA8" w:rsidRDefault="0015611F">
            <w:pPr>
              <w:pStyle w:val="TableParagraph"/>
              <w:spacing w:before="31"/>
              <w:ind w:left="591"/>
              <w:rPr>
                <w:b/>
                <w:sz w:val="18"/>
              </w:rPr>
            </w:pPr>
            <w:r>
              <w:rPr>
                <w:b/>
                <w:sz w:val="18"/>
              </w:rPr>
              <w:t>1,137,604</w:t>
            </w:r>
          </w:p>
        </w:tc>
        <w:tc>
          <w:tcPr>
            <w:tcW w:w="1279" w:type="dxa"/>
            <w:tcBorders>
              <w:top w:val="single" w:sz="8" w:space="0" w:color="000000"/>
              <w:bottom w:val="single" w:sz="8" w:space="0" w:color="000000"/>
            </w:tcBorders>
          </w:tcPr>
          <w:p w14:paraId="45952A20" w14:textId="77777777" w:rsidR="00FA4AA8" w:rsidRDefault="0015611F">
            <w:pPr>
              <w:pStyle w:val="TableParagraph"/>
              <w:spacing w:before="31"/>
              <w:ind w:right="83"/>
              <w:jc w:val="right"/>
              <w:rPr>
                <w:b/>
                <w:sz w:val="18"/>
              </w:rPr>
            </w:pPr>
            <w:r>
              <w:rPr>
                <w:b/>
                <w:sz w:val="18"/>
              </w:rPr>
              <w:t>2,081,503</w:t>
            </w:r>
          </w:p>
        </w:tc>
      </w:tr>
      <w:tr w:rsidR="00FA4AA8" w14:paraId="215776C4" w14:textId="77777777">
        <w:trPr>
          <w:trHeight w:val="464"/>
        </w:trPr>
        <w:tc>
          <w:tcPr>
            <w:tcW w:w="4278" w:type="dxa"/>
          </w:tcPr>
          <w:p w14:paraId="278FED1E" w14:textId="77777777" w:rsidR="00FA4AA8" w:rsidRDefault="0015611F">
            <w:pPr>
              <w:pStyle w:val="TableParagraph"/>
              <w:spacing w:before="28"/>
              <w:ind w:left="50" w:right="255"/>
              <w:rPr>
                <w:sz w:val="18"/>
              </w:rPr>
            </w:pPr>
            <w:r>
              <w:rPr>
                <w:sz w:val="18"/>
              </w:rPr>
              <w:t>Transfer from property, plant and equipment reserve on disposal of assets</w:t>
            </w:r>
          </w:p>
        </w:tc>
        <w:tc>
          <w:tcPr>
            <w:tcW w:w="1068" w:type="dxa"/>
          </w:tcPr>
          <w:p w14:paraId="57887243" w14:textId="77777777" w:rsidR="00FA4AA8" w:rsidRDefault="00FA4AA8">
            <w:pPr>
              <w:pStyle w:val="TableParagraph"/>
              <w:spacing w:before="5"/>
              <w:rPr>
                <w:sz w:val="20"/>
              </w:rPr>
            </w:pPr>
          </w:p>
          <w:p w14:paraId="2894506E" w14:textId="77777777" w:rsidR="00FA4AA8" w:rsidRDefault="0015611F">
            <w:pPr>
              <w:pStyle w:val="TableParagraph"/>
              <w:ind w:right="248"/>
              <w:jc w:val="right"/>
              <w:rPr>
                <w:sz w:val="18"/>
              </w:rPr>
            </w:pPr>
            <w:r>
              <w:rPr>
                <w:sz w:val="18"/>
              </w:rPr>
              <w:t>27(c)</w:t>
            </w:r>
          </w:p>
        </w:tc>
        <w:tc>
          <w:tcPr>
            <w:tcW w:w="1572" w:type="dxa"/>
            <w:tcBorders>
              <w:top w:val="single" w:sz="8" w:space="0" w:color="000000"/>
              <w:bottom w:val="single" w:sz="8" w:space="0" w:color="000000"/>
            </w:tcBorders>
          </w:tcPr>
          <w:p w14:paraId="5CDE4880" w14:textId="77777777" w:rsidR="00FA4AA8" w:rsidRDefault="00FA4AA8">
            <w:pPr>
              <w:pStyle w:val="TableParagraph"/>
              <w:spacing w:before="2"/>
              <w:rPr>
                <w:sz w:val="20"/>
              </w:rPr>
            </w:pPr>
          </w:p>
          <w:p w14:paraId="56904DB6" w14:textId="77777777" w:rsidR="00FA4AA8" w:rsidRDefault="0015611F">
            <w:pPr>
              <w:pStyle w:val="TableParagraph"/>
              <w:ind w:right="66"/>
              <w:jc w:val="right"/>
              <w:rPr>
                <w:b/>
                <w:sz w:val="18"/>
              </w:rPr>
            </w:pPr>
            <w:r>
              <w:rPr>
                <w:b/>
                <w:sz w:val="18"/>
              </w:rPr>
              <w:t>(27,611)</w:t>
            </w:r>
          </w:p>
        </w:tc>
        <w:tc>
          <w:tcPr>
            <w:tcW w:w="1735" w:type="dxa"/>
            <w:tcBorders>
              <w:top w:val="single" w:sz="8" w:space="0" w:color="000000"/>
              <w:bottom w:val="single" w:sz="8" w:space="0" w:color="000000"/>
            </w:tcBorders>
          </w:tcPr>
          <w:p w14:paraId="79021894" w14:textId="77777777" w:rsidR="00FA4AA8" w:rsidRDefault="00FA4AA8">
            <w:pPr>
              <w:pStyle w:val="TableParagraph"/>
              <w:spacing w:before="2"/>
              <w:rPr>
                <w:sz w:val="20"/>
              </w:rPr>
            </w:pPr>
          </w:p>
          <w:p w14:paraId="6075E152" w14:textId="77777777" w:rsidR="00FA4AA8" w:rsidRDefault="0015611F">
            <w:pPr>
              <w:pStyle w:val="TableParagraph"/>
              <w:ind w:right="335"/>
              <w:jc w:val="right"/>
              <w:rPr>
                <w:b/>
                <w:sz w:val="18"/>
              </w:rPr>
            </w:pPr>
            <w:r>
              <w:rPr>
                <w:b/>
                <w:sz w:val="18"/>
              </w:rPr>
              <w:t>27,611</w:t>
            </w:r>
          </w:p>
        </w:tc>
        <w:tc>
          <w:tcPr>
            <w:tcW w:w="1279" w:type="dxa"/>
            <w:tcBorders>
              <w:top w:val="single" w:sz="8" w:space="0" w:color="000000"/>
              <w:bottom w:val="single" w:sz="8" w:space="0" w:color="000000"/>
            </w:tcBorders>
          </w:tcPr>
          <w:p w14:paraId="2551F4DC" w14:textId="77777777" w:rsidR="00FA4AA8" w:rsidRDefault="00FA4AA8">
            <w:pPr>
              <w:pStyle w:val="TableParagraph"/>
              <w:spacing w:before="2"/>
              <w:rPr>
                <w:sz w:val="20"/>
              </w:rPr>
            </w:pPr>
          </w:p>
          <w:p w14:paraId="542B6F3E" w14:textId="77777777" w:rsidR="00FA4AA8" w:rsidRDefault="0015611F">
            <w:pPr>
              <w:pStyle w:val="TableParagraph"/>
              <w:ind w:right="83"/>
              <w:jc w:val="right"/>
              <w:rPr>
                <w:b/>
                <w:sz w:val="18"/>
              </w:rPr>
            </w:pPr>
            <w:r>
              <w:rPr>
                <w:b/>
                <w:sz w:val="18"/>
              </w:rPr>
              <w:t>-</w:t>
            </w:r>
          </w:p>
        </w:tc>
      </w:tr>
      <w:tr w:rsidR="00FA4AA8" w14:paraId="45071EF6" w14:textId="77777777">
        <w:trPr>
          <w:trHeight w:val="320"/>
        </w:trPr>
        <w:tc>
          <w:tcPr>
            <w:tcW w:w="4278" w:type="dxa"/>
          </w:tcPr>
          <w:p w14:paraId="3373FD7E" w14:textId="77777777" w:rsidR="00FA4AA8" w:rsidRDefault="0015611F">
            <w:pPr>
              <w:pStyle w:val="TableParagraph"/>
              <w:spacing w:before="115" w:line="185" w:lineRule="exact"/>
              <w:ind w:left="50"/>
              <w:rPr>
                <w:b/>
                <w:sz w:val="18"/>
              </w:rPr>
            </w:pPr>
            <w:r>
              <w:rPr>
                <w:b/>
                <w:sz w:val="18"/>
              </w:rPr>
              <w:t>Balance at 31 December 2018</w:t>
            </w:r>
          </w:p>
        </w:tc>
        <w:tc>
          <w:tcPr>
            <w:tcW w:w="1068" w:type="dxa"/>
          </w:tcPr>
          <w:p w14:paraId="03D09EC6" w14:textId="77777777" w:rsidR="00FA4AA8" w:rsidRDefault="00FA4AA8">
            <w:pPr>
              <w:pStyle w:val="TableParagraph"/>
              <w:rPr>
                <w:rFonts w:ascii="Times New Roman"/>
                <w:sz w:val="18"/>
              </w:rPr>
            </w:pPr>
          </w:p>
        </w:tc>
        <w:tc>
          <w:tcPr>
            <w:tcW w:w="1572" w:type="dxa"/>
            <w:tcBorders>
              <w:top w:val="single" w:sz="8" w:space="0" w:color="000000"/>
              <w:bottom w:val="double" w:sz="2" w:space="0" w:color="000000"/>
            </w:tcBorders>
          </w:tcPr>
          <w:p w14:paraId="7567B6CB" w14:textId="77777777" w:rsidR="00FA4AA8" w:rsidRDefault="0015611F">
            <w:pPr>
              <w:pStyle w:val="TableParagraph"/>
              <w:spacing w:before="115" w:line="185" w:lineRule="exact"/>
              <w:ind w:right="127"/>
              <w:jc w:val="right"/>
              <w:rPr>
                <w:b/>
                <w:sz w:val="18"/>
              </w:rPr>
            </w:pPr>
            <w:r>
              <w:rPr>
                <w:b/>
                <w:sz w:val="18"/>
              </w:rPr>
              <w:t>916,288</w:t>
            </w:r>
          </w:p>
        </w:tc>
        <w:tc>
          <w:tcPr>
            <w:tcW w:w="1735" w:type="dxa"/>
            <w:tcBorders>
              <w:top w:val="single" w:sz="8" w:space="0" w:color="000000"/>
              <w:bottom w:val="double" w:sz="2" w:space="0" w:color="000000"/>
            </w:tcBorders>
          </w:tcPr>
          <w:p w14:paraId="26DC71AC" w14:textId="77777777" w:rsidR="00FA4AA8" w:rsidRDefault="0015611F">
            <w:pPr>
              <w:pStyle w:val="TableParagraph"/>
              <w:spacing w:before="115" w:line="185" w:lineRule="exact"/>
              <w:ind w:left="591"/>
              <w:rPr>
                <w:b/>
                <w:sz w:val="18"/>
              </w:rPr>
            </w:pPr>
            <w:r>
              <w:rPr>
                <w:b/>
                <w:sz w:val="18"/>
              </w:rPr>
              <w:t>1,165,215</w:t>
            </w:r>
          </w:p>
        </w:tc>
        <w:tc>
          <w:tcPr>
            <w:tcW w:w="1279" w:type="dxa"/>
            <w:tcBorders>
              <w:top w:val="single" w:sz="8" w:space="0" w:color="000000"/>
              <w:bottom w:val="double" w:sz="2" w:space="0" w:color="000000"/>
            </w:tcBorders>
          </w:tcPr>
          <w:p w14:paraId="7201AAEC" w14:textId="77777777" w:rsidR="00FA4AA8" w:rsidRDefault="0015611F">
            <w:pPr>
              <w:pStyle w:val="TableParagraph"/>
              <w:spacing w:before="115" w:line="185" w:lineRule="exact"/>
              <w:ind w:right="83"/>
              <w:jc w:val="right"/>
              <w:rPr>
                <w:b/>
                <w:sz w:val="18"/>
              </w:rPr>
            </w:pPr>
            <w:r>
              <w:rPr>
                <w:b/>
                <w:sz w:val="18"/>
              </w:rPr>
              <w:t>2,081,503</w:t>
            </w:r>
          </w:p>
        </w:tc>
      </w:tr>
      <w:tr w:rsidR="00FA4AA8" w14:paraId="44C17446" w14:textId="77777777">
        <w:trPr>
          <w:trHeight w:val="573"/>
        </w:trPr>
        <w:tc>
          <w:tcPr>
            <w:tcW w:w="4278" w:type="dxa"/>
          </w:tcPr>
          <w:p w14:paraId="3D3BADB1" w14:textId="77777777" w:rsidR="00FA4AA8" w:rsidRDefault="00FA4AA8">
            <w:pPr>
              <w:pStyle w:val="TableParagraph"/>
              <w:rPr>
                <w:rFonts w:ascii="Times New Roman"/>
                <w:sz w:val="18"/>
              </w:rPr>
            </w:pPr>
          </w:p>
        </w:tc>
        <w:tc>
          <w:tcPr>
            <w:tcW w:w="1068" w:type="dxa"/>
          </w:tcPr>
          <w:p w14:paraId="35832F7A" w14:textId="77777777" w:rsidR="00FA4AA8" w:rsidRDefault="00FA4AA8">
            <w:pPr>
              <w:pStyle w:val="TableParagraph"/>
              <w:rPr>
                <w:rFonts w:ascii="Times New Roman"/>
                <w:sz w:val="18"/>
              </w:rPr>
            </w:pPr>
          </w:p>
        </w:tc>
        <w:tc>
          <w:tcPr>
            <w:tcW w:w="1572" w:type="dxa"/>
          </w:tcPr>
          <w:p w14:paraId="04C11C70" w14:textId="77777777" w:rsidR="00FA4AA8" w:rsidRDefault="00FA4AA8">
            <w:pPr>
              <w:pStyle w:val="TableParagraph"/>
              <w:rPr>
                <w:rFonts w:ascii="Times New Roman"/>
                <w:sz w:val="18"/>
              </w:rPr>
            </w:pPr>
          </w:p>
        </w:tc>
        <w:tc>
          <w:tcPr>
            <w:tcW w:w="1735" w:type="dxa"/>
          </w:tcPr>
          <w:p w14:paraId="7F6CA23E" w14:textId="77777777" w:rsidR="00FA4AA8" w:rsidRDefault="00FA4AA8">
            <w:pPr>
              <w:pStyle w:val="TableParagraph"/>
              <w:spacing w:before="8"/>
              <w:rPr>
                <w:sz w:val="28"/>
              </w:rPr>
            </w:pPr>
          </w:p>
          <w:p w14:paraId="05990F26" w14:textId="77777777" w:rsidR="00FA4AA8" w:rsidRDefault="0015611F">
            <w:pPr>
              <w:pStyle w:val="TableParagraph"/>
              <w:ind w:left="70"/>
              <w:rPr>
                <w:b/>
                <w:sz w:val="18"/>
              </w:rPr>
            </w:pPr>
            <w:r>
              <w:rPr>
                <w:b/>
                <w:sz w:val="18"/>
              </w:rPr>
              <w:t>Consolidated</w:t>
            </w:r>
          </w:p>
        </w:tc>
        <w:tc>
          <w:tcPr>
            <w:tcW w:w="1279" w:type="dxa"/>
          </w:tcPr>
          <w:p w14:paraId="5BE6EA90" w14:textId="77777777" w:rsidR="00FA4AA8" w:rsidRDefault="00FA4AA8">
            <w:pPr>
              <w:pStyle w:val="TableParagraph"/>
              <w:rPr>
                <w:rFonts w:ascii="Times New Roman"/>
                <w:sz w:val="18"/>
              </w:rPr>
            </w:pPr>
          </w:p>
        </w:tc>
      </w:tr>
      <w:tr w:rsidR="00FA4AA8" w14:paraId="578EF48C" w14:textId="77777777">
        <w:trPr>
          <w:trHeight w:val="240"/>
        </w:trPr>
        <w:tc>
          <w:tcPr>
            <w:tcW w:w="4278" w:type="dxa"/>
          </w:tcPr>
          <w:p w14:paraId="4C9672BA" w14:textId="77777777" w:rsidR="00FA4AA8" w:rsidRDefault="00FA4AA8">
            <w:pPr>
              <w:pStyle w:val="TableParagraph"/>
              <w:rPr>
                <w:rFonts w:ascii="Times New Roman"/>
                <w:sz w:val="16"/>
              </w:rPr>
            </w:pPr>
          </w:p>
        </w:tc>
        <w:tc>
          <w:tcPr>
            <w:tcW w:w="1068" w:type="dxa"/>
          </w:tcPr>
          <w:p w14:paraId="42BC267B" w14:textId="77777777" w:rsidR="00FA4AA8" w:rsidRDefault="00FA4AA8">
            <w:pPr>
              <w:pStyle w:val="TableParagraph"/>
              <w:rPr>
                <w:rFonts w:ascii="Times New Roman"/>
                <w:sz w:val="16"/>
              </w:rPr>
            </w:pPr>
          </w:p>
        </w:tc>
        <w:tc>
          <w:tcPr>
            <w:tcW w:w="1572" w:type="dxa"/>
          </w:tcPr>
          <w:p w14:paraId="471D1F84" w14:textId="77777777" w:rsidR="00FA4AA8" w:rsidRDefault="00FA4AA8">
            <w:pPr>
              <w:pStyle w:val="TableParagraph"/>
              <w:rPr>
                <w:rFonts w:ascii="Times New Roman"/>
                <w:sz w:val="16"/>
              </w:rPr>
            </w:pPr>
          </w:p>
        </w:tc>
        <w:tc>
          <w:tcPr>
            <w:tcW w:w="1735" w:type="dxa"/>
          </w:tcPr>
          <w:p w14:paraId="434ED4D5" w14:textId="77777777" w:rsidR="00FA4AA8" w:rsidRDefault="0015611F">
            <w:pPr>
              <w:pStyle w:val="TableParagraph"/>
              <w:spacing w:before="30" w:line="190" w:lineRule="exact"/>
              <w:ind w:left="339"/>
              <w:rPr>
                <w:b/>
                <w:sz w:val="18"/>
              </w:rPr>
            </w:pPr>
            <w:r>
              <w:rPr>
                <w:b/>
                <w:sz w:val="18"/>
              </w:rPr>
              <w:t>Retained</w:t>
            </w:r>
          </w:p>
        </w:tc>
        <w:tc>
          <w:tcPr>
            <w:tcW w:w="1279" w:type="dxa"/>
          </w:tcPr>
          <w:p w14:paraId="4247CCF7" w14:textId="77777777" w:rsidR="00FA4AA8" w:rsidRDefault="00FA4AA8">
            <w:pPr>
              <w:pStyle w:val="TableParagraph"/>
              <w:rPr>
                <w:rFonts w:ascii="Times New Roman"/>
                <w:sz w:val="16"/>
              </w:rPr>
            </w:pPr>
          </w:p>
        </w:tc>
      </w:tr>
      <w:tr w:rsidR="00FA4AA8" w14:paraId="2DFBBD28" w14:textId="77777777">
        <w:trPr>
          <w:trHeight w:val="240"/>
        </w:trPr>
        <w:tc>
          <w:tcPr>
            <w:tcW w:w="4278" w:type="dxa"/>
          </w:tcPr>
          <w:p w14:paraId="22489061" w14:textId="77777777" w:rsidR="00FA4AA8" w:rsidRDefault="00FA4AA8">
            <w:pPr>
              <w:pStyle w:val="TableParagraph"/>
              <w:rPr>
                <w:rFonts w:ascii="Times New Roman"/>
                <w:sz w:val="16"/>
              </w:rPr>
            </w:pPr>
          </w:p>
        </w:tc>
        <w:tc>
          <w:tcPr>
            <w:tcW w:w="1068" w:type="dxa"/>
          </w:tcPr>
          <w:p w14:paraId="54D793D5" w14:textId="77777777" w:rsidR="00FA4AA8" w:rsidRDefault="00FA4AA8">
            <w:pPr>
              <w:pStyle w:val="TableParagraph"/>
              <w:rPr>
                <w:rFonts w:ascii="Times New Roman"/>
                <w:sz w:val="16"/>
              </w:rPr>
            </w:pPr>
          </w:p>
        </w:tc>
        <w:tc>
          <w:tcPr>
            <w:tcW w:w="1572" w:type="dxa"/>
          </w:tcPr>
          <w:p w14:paraId="6D4F2DDD" w14:textId="77777777" w:rsidR="00FA4AA8" w:rsidRDefault="0015611F">
            <w:pPr>
              <w:pStyle w:val="TableParagraph"/>
              <w:spacing w:line="204" w:lineRule="exact"/>
              <w:ind w:left="351"/>
              <w:rPr>
                <w:b/>
                <w:sz w:val="18"/>
              </w:rPr>
            </w:pPr>
            <w:r>
              <w:rPr>
                <w:b/>
                <w:sz w:val="18"/>
              </w:rPr>
              <w:t>Reserves</w:t>
            </w:r>
          </w:p>
        </w:tc>
        <w:tc>
          <w:tcPr>
            <w:tcW w:w="1735" w:type="dxa"/>
          </w:tcPr>
          <w:p w14:paraId="119F6F2C" w14:textId="77777777" w:rsidR="00FA4AA8" w:rsidRDefault="0015611F">
            <w:pPr>
              <w:pStyle w:val="TableParagraph"/>
              <w:spacing w:line="204" w:lineRule="exact"/>
              <w:ind w:left="334"/>
              <w:rPr>
                <w:b/>
                <w:sz w:val="18"/>
              </w:rPr>
            </w:pPr>
            <w:r>
              <w:rPr>
                <w:b/>
                <w:sz w:val="18"/>
              </w:rPr>
              <w:t>Earnings</w:t>
            </w:r>
          </w:p>
        </w:tc>
        <w:tc>
          <w:tcPr>
            <w:tcW w:w="1279" w:type="dxa"/>
          </w:tcPr>
          <w:p w14:paraId="2C78B670" w14:textId="77777777" w:rsidR="00FA4AA8" w:rsidRDefault="0015611F">
            <w:pPr>
              <w:pStyle w:val="TableParagraph"/>
              <w:spacing w:line="204" w:lineRule="exact"/>
              <w:ind w:left="286"/>
              <w:rPr>
                <w:b/>
                <w:sz w:val="18"/>
              </w:rPr>
            </w:pPr>
            <w:r>
              <w:rPr>
                <w:b/>
                <w:sz w:val="18"/>
              </w:rPr>
              <w:t>Total</w:t>
            </w:r>
          </w:p>
        </w:tc>
      </w:tr>
      <w:tr w:rsidR="00FA4AA8" w14:paraId="2D53BE7B" w14:textId="77777777">
        <w:trPr>
          <w:trHeight w:val="267"/>
        </w:trPr>
        <w:tc>
          <w:tcPr>
            <w:tcW w:w="4278" w:type="dxa"/>
          </w:tcPr>
          <w:p w14:paraId="2D947289" w14:textId="77777777" w:rsidR="00FA4AA8" w:rsidRDefault="00FA4AA8">
            <w:pPr>
              <w:pStyle w:val="TableParagraph"/>
              <w:rPr>
                <w:rFonts w:ascii="Times New Roman"/>
                <w:sz w:val="18"/>
              </w:rPr>
            </w:pPr>
          </w:p>
        </w:tc>
        <w:tc>
          <w:tcPr>
            <w:tcW w:w="1068" w:type="dxa"/>
          </w:tcPr>
          <w:p w14:paraId="32FAC4CB" w14:textId="77777777" w:rsidR="00FA4AA8" w:rsidRDefault="0015611F">
            <w:pPr>
              <w:pStyle w:val="TableParagraph"/>
              <w:spacing w:before="30"/>
              <w:ind w:right="254"/>
              <w:jc w:val="right"/>
              <w:rPr>
                <w:b/>
                <w:sz w:val="18"/>
              </w:rPr>
            </w:pPr>
            <w:r>
              <w:rPr>
                <w:b/>
                <w:sz w:val="18"/>
              </w:rPr>
              <w:t>Note</w:t>
            </w:r>
          </w:p>
        </w:tc>
        <w:tc>
          <w:tcPr>
            <w:tcW w:w="1572" w:type="dxa"/>
            <w:tcBorders>
              <w:bottom w:val="single" w:sz="8" w:space="0" w:color="000000"/>
            </w:tcBorders>
          </w:tcPr>
          <w:p w14:paraId="595C5D1C" w14:textId="77777777" w:rsidR="00FA4AA8" w:rsidRDefault="0015611F">
            <w:pPr>
              <w:pStyle w:val="TableParagraph"/>
              <w:spacing w:before="30"/>
              <w:ind w:left="511" w:right="577"/>
              <w:jc w:val="center"/>
              <w:rPr>
                <w:b/>
                <w:sz w:val="18"/>
              </w:rPr>
            </w:pPr>
            <w:r>
              <w:rPr>
                <w:b/>
                <w:sz w:val="18"/>
              </w:rPr>
              <w:t>$'000</w:t>
            </w:r>
          </w:p>
        </w:tc>
        <w:tc>
          <w:tcPr>
            <w:tcW w:w="1735" w:type="dxa"/>
            <w:tcBorders>
              <w:bottom w:val="single" w:sz="8" w:space="0" w:color="000000"/>
            </w:tcBorders>
          </w:tcPr>
          <w:p w14:paraId="476CF24F" w14:textId="77777777" w:rsidR="00FA4AA8" w:rsidRDefault="0015611F">
            <w:pPr>
              <w:pStyle w:val="TableParagraph"/>
              <w:spacing w:before="30"/>
              <w:ind w:left="497"/>
              <w:rPr>
                <w:b/>
                <w:sz w:val="18"/>
              </w:rPr>
            </w:pPr>
            <w:r>
              <w:rPr>
                <w:b/>
                <w:sz w:val="18"/>
              </w:rPr>
              <w:t>$'000</w:t>
            </w:r>
          </w:p>
        </w:tc>
        <w:tc>
          <w:tcPr>
            <w:tcW w:w="1279" w:type="dxa"/>
            <w:tcBorders>
              <w:bottom w:val="single" w:sz="8" w:space="0" w:color="000000"/>
            </w:tcBorders>
          </w:tcPr>
          <w:p w14:paraId="39989332" w14:textId="77777777" w:rsidR="00FA4AA8" w:rsidRDefault="0015611F">
            <w:pPr>
              <w:pStyle w:val="TableParagraph"/>
              <w:spacing w:before="30"/>
              <w:ind w:left="279"/>
              <w:rPr>
                <w:b/>
                <w:sz w:val="18"/>
              </w:rPr>
            </w:pPr>
            <w:r>
              <w:rPr>
                <w:b/>
                <w:sz w:val="18"/>
              </w:rPr>
              <w:t>$'000</w:t>
            </w:r>
          </w:p>
        </w:tc>
      </w:tr>
      <w:tr w:rsidR="00FA4AA8" w14:paraId="363A8789" w14:textId="77777777">
        <w:trPr>
          <w:trHeight w:val="279"/>
        </w:trPr>
        <w:tc>
          <w:tcPr>
            <w:tcW w:w="4278" w:type="dxa"/>
          </w:tcPr>
          <w:p w14:paraId="00BF3BF2" w14:textId="77777777" w:rsidR="00FA4AA8" w:rsidRDefault="0015611F">
            <w:pPr>
              <w:pStyle w:val="TableParagraph"/>
              <w:spacing w:before="36"/>
              <w:ind w:left="50"/>
              <w:rPr>
                <w:b/>
                <w:sz w:val="18"/>
              </w:rPr>
            </w:pPr>
            <w:r>
              <w:rPr>
                <w:b/>
                <w:sz w:val="18"/>
              </w:rPr>
              <w:t>Balance at 1 January 2017</w:t>
            </w:r>
          </w:p>
        </w:tc>
        <w:tc>
          <w:tcPr>
            <w:tcW w:w="1068" w:type="dxa"/>
          </w:tcPr>
          <w:p w14:paraId="436B5C6D" w14:textId="77777777" w:rsidR="00FA4AA8" w:rsidRDefault="00FA4AA8">
            <w:pPr>
              <w:pStyle w:val="TableParagraph"/>
              <w:rPr>
                <w:rFonts w:ascii="Times New Roman"/>
                <w:sz w:val="18"/>
              </w:rPr>
            </w:pPr>
          </w:p>
        </w:tc>
        <w:tc>
          <w:tcPr>
            <w:tcW w:w="1572" w:type="dxa"/>
            <w:tcBorders>
              <w:top w:val="single" w:sz="8" w:space="0" w:color="000000"/>
            </w:tcBorders>
          </w:tcPr>
          <w:p w14:paraId="08C58D35" w14:textId="77777777" w:rsidR="00FA4AA8" w:rsidRDefault="0015611F">
            <w:pPr>
              <w:pStyle w:val="TableParagraph"/>
              <w:spacing w:before="40"/>
              <w:ind w:right="127"/>
              <w:jc w:val="right"/>
              <w:rPr>
                <w:sz w:val="18"/>
              </w:rPr>
            </w:pPr>
            <w:r>
              <w:rPr>
                <w:sz w:val="18"/>
              </w:rPr>
              <w:t>708,004</w:t>
            </w:r>
          </w:p>
        </w:tc>
        <w:tc>
          <w:tcPr>
            <w:tcW w:w="1735" w:type="dxa"/>
            <w:tcBorders>
              <w:top w:val="single" w:sz="8" w:space="0" w:color="000000"/>
            </w:tcBorders>
          </w:tcPr>
          <w:p w14:paraId="1DC6CD66" w14:textId="77777777" w:rsidR="00FA4AA8" w:rsidRDefault="0015611F">
            <w:pPr>
              <w:pStyle w:val="TableParagraph"/>
              <w:spacing w:before="40"/>
              <w:ind w:right="335"/>
              <w:jc w:val="right"/>
              <w:rPr>
                <w:sz w:val="18"/>
              </w:rPr>
            </w:pPr>
            <w:r>
              <w:rPr>
                <w:sz w:val="18"/>
              </w:rPr>
              <w:t>958,216</w:t>
            </w:r>
          </w:p>
        </w:tc>
        <w:tc>
          <w:tcPr>
            <w:tcW w:w="1279" w:type="dxa"/>
            <w:tcBorders>
              <w:top w:val="single" w:sz="8" w:space="0" w:color="000000"/>
            </w:tcBorders>
          </w:tcPr>
          <w:p w14:paraId="6EC27CCC" w14:textId="77777777" w:rsidR="00FA4AA8" w:rsidRDefault="0015611F">
            <w:pPr>
              <w:pStyle w:val="TableParagraph"/>
              <w:spacing w:before="40"/>
              <w:ind w:right="83"/>
              <w:jc w:val="right"/>
              <w:rPr>
                <w:sz w:val="18"/>
              </w:rPr>
            </w:pPr>
            <w:r>
              <w:rPr>
                <w:sz w:val="18"/>
              </w:rPr>
              <w:t>1,666,220</w:t>
            </w:r>
          </w:p>
        </w:tc>
      </w:tr>
      <w:tr w:rsidR="00FA4AA8" w14:paraId="2C617C2E" w14:textId="77777777">
        <w:trPr>
          <w:trHeight w:val="264"/>
        </w:trPr>
        <w:tc>
          <w:tcPr>
            <w:tcW w:w="4278" w:type="dxa"/>
          </w:tcPr>
          <w:p w14:paraId="7E6E5C1F" w14:textId="77777777" w:rsidR="00FA4AA8" w:rsidRDefault="0015611F">
            <w:pPr>
              <w:pStyle w:val="TableParagraph"/>
              <w:spacing w:before="28"/>
              <w:ind w:left="50"/>
              <w:rPr>
                <w:sz w:val="18"/>
              </w:rPr>
            </w:pPr>
            <w:r>
              <w:rPr>
                <w:sz w:val="18"/>
              </w:rPr>
              <w:t>Net result</w:t>
            </w:r>
          </w:p>
        </w:tc>
        <w:tc>
          <w:tcPr>
            <w:tcW w:w="1068" w:type="dxa"/>
          </w:tcPr>
          <w:p w14:paraId="6AD10ACB" w14:textId="77777777" w:rsidR="00FA4AA8" w:rsidRDefault="00FA4AA8">
            <w:pPr>
              <w:pStyle w:val="TableParagraph"/>
              <w:rPr>
                <w:rFonts w:ascii="Times New Roman"/>
                <w:sz w:val="18"/>
              </w:rPr>
            </w:pPr>
          </w:p>
        </w:tc>
        <w:tc>
          <w:tcPr>
            <w:tcW w:w="1572" w:type="dxa"/>
          </w:tcPr>
          <w:p w14:paraId="7097FF8F" w14:textId="77777777" w:rsidR="00FA4AA8" w:rsidRDefault="0015611F">
            <w:pPr>
              <w:pStyle w:val="TableParagraph"/>
              <w:spacing w:before="25"/>
              <w:ind w:right="126"/>
              <w:jc w:val="right"/>
              <w:rPr>
                <w:sz w:val="18"/>
              </w:rPr>
            </w:pPr>
            <w:r>
              <w:rPr>
                <w:sz w:val="18"/>
              </w:rPr>
              <w:t>-</w:t>
            </w:r>
          </w:p>
        </w:tc>
        <w:tc>
          <w:tcPr>
            <w:tcW w:w="1735" w:type="dxa"/>
          </w:tcPr>
          <w:p w14:paraId="12340DDC" w14:textId="77777777" w:rsidR="00FA4AA8" w:rsidRDefault="0015611F">
            <w:pPr>
              <w:pStyle w:val="TableParagraph"/>
              <w:spacing w:before="25"/>
              <w:ind w:right="335"/>
              <w:jc w:val="right"/>
              <w:rPr>
                <w:sz w:val="18"/>
              </w:rPr>
            </w:pPr>
            <w:r>
              <w:rPr>
                <w:sz w:val="18"/>
              </w:rPr>
              <w:t>52,064</w:t>
            </w:r>
          </w:p>
        </w:tc>
        <w:tc>
          <w:tcPr>
            <w:tcW w:w="1279" w:type="dxa"/>
          </w:tcPr>
          <w:p w14:paraId="72045C9A" w14:textId="77777777" w:rsidR="00FA4AA8" w:rsidRDefault="0015611F">
            <w:pPr>
              <w:pStyle w:val="TableParagraph"/>
              <w:spacing w:before="25"/>
              <w:ind w:right="83"/>
              <w:jc w:val="right"/>
              <w:rPr>
                <w:sz w:val="18"/>
              </w:rPr>
            </w:pPr>
            <w:r>
              <w:rPr>
                <w:sz w:val="18"/>
              </w:rPr>
              <w:t>52,064</w:t>
            </w:r>
          </w:p>
        </w:tc>
      </w:tr>
      <w:tr w:rsidR="00FA4AA8" w14:paraId="07EB180D" w14:textId="77777777">
        <w:trPr>
          <w:trHeight w:val="465"/>
        </w:trPr>
        <w:tc>
          <w:tcPr>
            <w:tcW w:w="4278" w:type="dxa"/>
          </w:tcPr>
          <w:p w14:paraId="32E5AA7B" w14:textId="77777777" w:rsidR="00FA4AA8" w:rsidRDefault="0015611F">
            <w:pPr>
              <w:pStyle w:val="TableParagraph"/>
              <w:spacing w:before="23"/>
              <w:ind w:left="50"/>
              <w:rPr>
                <w:sz w:val="18"/>
              </w:rPr>
            </w:pPr>
            <w:r>
              <w:rPr>
                <w:sz w:val="18"/>
              </w:rPr>
              <w:t>Gain/(loss) on revaluation of property, plant and equipment</w:t>
            </w:r>
          </w:p>
        </w:tc>
        <w:tc>
          <w:tcPr>
            <w:tcW w:w="1068" w:type="dxa"/>
          </w:tcPr>
          <w:p w14:paraId="2FCA0C3F" w14:textId="77777777" w:rsidR="00FA4AA8" w:rsidRDefault="00FA4AA8">
            <w:pPr>
              <w:pStyle w:val="TableParagraph"/>
              <w:spacing w:before="11"/>
              <w:rPr>
                <w:sz w:val="19"/>
              </w:rPr>
            </w:pPr>
          </w:p>
          <w:p w14:paraId="7544A560" w14:textId="77777777" w:rsidR="00FA4AA8" w:rsidRDefault="0015611F">
            <w:pPr>
              <w:pStyle w:val="TableParagraph"/>
              <w:ind w:right="248"/>
              <w:jc w:val="right"/>
              <w:rPr>
                <w:sz w:val="18"/>
              </w:rPr>
            </w:pPr>
            <w:r>
              <w:rPr>
                <w:sz w:val="18"/>
              </w:rPr>
              <w:t>27(c)</w:t>
            </w:r>
          </w:p>
        </w:tc>
        <w:tc>
          <w:tcPr>
            <w:tcW w:w="1572" w:type="dxa"/>
          </w:tcPr>
          <w:p w14:paraId="65894191" w14:textId="77777777" w:rsidR="00FA4AA8" w:rsidRDefault="00FA4AA8">
            <w:pPr>
              <w:pStyle w:val="TableParagraph"/>
              <w:spacing w:before="8"/>
              <w:rPr>
                <w:sz w:val="19"/>
              </w:rPr>
            </w:pPr>
          </w:p>
          <w:p w14:paraId="5DA554E1" w14:textId="77777777" w:rsidR="00FA4AA8" w:rsidRDefault="0015611F">
            <w:pPr>
              <w:pStyle w:val="TableParagraph"/>
              <w:ind w:right="127"/>
              <w:jc w:val="right"/>
              <w:rPr>
                <w:sz w:val="18"/>
              </w:rPr>
            </w:pPr>
            <w:r>
              <w:rPr>
                <w:sz w:val="18"/>
              </w:rPr>
              <w:t>200,303</w:t>
            </w:r>
          </w:p>
        </w:tc>
        <w:tc>
          <w:tcPr>
            <w:tcW w:w="1735" w:type="dxa"/>
          </w:tcPr>
          <w:p w14:paraId="2AB62996" w14:textId="77777777" w:rsidR="00FA4AA8" w:rsidRDefault="00FA4AA8">
            <w:pPr>
              <w:pStyle w:val="TableParagraph"/>
              <w:spacing w:before="8"/>
              <w:rPr>
                <w:sz w:val="19"/>
              </w:rPr>
            </w:pPr>
          </w:p>
          <w:p w14:paraId="29661DE9" w14:textId="77777777" w:rsidR="00FA4AA8" w:rsidRDefault="0015611F">
            <w:pPr>
              <w:pStyle w:val="TableParagraph"/>
              <w:ind w:right="335"/>
              <w:jc w:val="right"/>
              <w:rPr>
                <w:sz w:val="18"/>
              </w:rPr>
            </w:pPr>
            <w:r>
              <w:rPr>
                <w:sz w:val="18"/>
              </w:rPr>
              <w:t>-</w:t>
            </w:r>
          </w:p>
        </w:tc>
        <w:tc>
          <w:tcPr>
            <w:tcW w:w="1279" w:type="dxa"/>
          </w:tcPr>
          <w:p w14:paraId="4D9632E2" w14:textId="77777777" w:rsidR="00FA4AA8" w:rsidRDefault="00FA4AA8">
            <w:pPr>
              <w:pStyle w:val="TableParagraph"/>
              <w:spacing w:before="8"/>
              <w:rPr>
                <w:sz w:val="19"/>
              </w:rPr>
            </w:pPr>
          </w:p>
          <w:p w14:paraId="162AEDA2" w14:textId="77777777" w:rsidR="00FA4AA8" w:rsidRDefault="0015611F">
            <w:pPr>
              <w:pStyle w:val="TableParagraph"/>
              <w:ind w:right="83"/>
              <w:jc w:val="right"/>
              <w:rPr>
                <w:sz w:val="18"/>
              </w:rPr>
            </w:pPr>
            <w:r>
              <w:rPr>
                <w:sz w:val="18"/>
              </w:rPr>
              <w:t>200,303</w:t>
            </w:r>
          </w:p>
        </w:tc>
      </w:tr>
      <w:tr w:rsidR="00FA4AA8" w14:paraId="6AE9DBAD" w14:textId="77777777">
        <w:trPr>
          <w:trHeight w:val="465"/>
        </w:trPr>
        <w:tc>
          <w:tcPr>
            <w:tcW w:w="4278" w:type="dxa"/>
          </w:tcPr>
          <w:p w14:paraId="6106670A" w14:textId="77777777" w:rsidR="00FA4AA8" w:rsidRDefault="0015611F">
            <w:pPr>
              <w:pStyle w:val="TableParagraph"/>
              <w:spacing w:before="23"/>
              <w:ind w:left="50"/>
              <w:rPr>
                <w:sz w:val="18"/>
              </w:rPr>
            </w:pPr>
            <w:r>
              <w:rPr>
                <w:sz w:val="18"/>
              </w:rPr>
              <w:t>Gain/(loss) on revaluation of available-for-sale financial assets</w:t>
            </w:r>
          </w:p>
        </w:tc>
        <w:tc>
          <w:tcPr>
            <w:tcW w:w="1068" w:type="dxa"/>
          </w:tcPr>
          <w:p w14:paraId="4DABCCF0" w14:textId="77777777" w:rsidR="00FA4AA8" w:rsidRDefault="00FA4AA8">
            <w:pPr>
              <w:pStyle w:val="TableParagraph"/>
              <w:spacing w:before="11"/>
              <w:rPr>
                <w:sz w:val="19"/>
              </w:rPr>
            </w:pPr>
          </w:p>
          <w:p w14:paraId="52E1F904" w14:textId="77777777" w:rsidR="00FA4AA8" w:rsidRDefault="0015611F">
            <w:pPr>
              <w:pStyle w:val="TableParagraph"/>
              <w:ind w:right="248"/>
              <w:jc w:val="right"/>
              <w:rPr>
                <w:sz w:val="18"/>
              </w:rPr>
            </w:pPr>
            <w:r>
              <w:rPr>
                <w:sz w:val="18"/>
              </w:rPr>
              <w:t>27(c)</w:t>
            </w:r>
          </w:p>
        </w:tc>
        <w:tc>
          <w:tcPr>
            <w:tcW w:w="1572" w:type="dxa"/>
          </w:tcPr>
          <w:p w14:paraId="421AE286" w14:textId="77777777" w:rsidR="00FA4AA8" w:rsidRDefault="00FA4AA8">
            <w:pPr>
              <w:pStyle w:val="TableParagraph"/>
              <w:spacing w:before="8"/>
              <w:rPr>
                <w:sz w:val="19"/>
              </w:rPr>
            </w:pPr>
          </w:p>
          <w:p w14:paraId="1C7100E1" w14:textId="77777777" w:rsidR="00FA4AA8" w:rsidRDefault="0015611F">
            <w:pPr>
              <w:pStyle w:val="TableParagraph"/>
              <w:ind w:right="127"/>
              <w:jc w:val="right"/>
              <w:rPr>
                <w:sz w:val="18"/>
              </w:rPr>
            </w:pPr>
            <w:r>
              <w:rPr>
                <w:sz w:val="18"/>
              </w:rPr>
              <w:t>2,733</w:t>
            </w:r>
          </w:p>
        </w:tc>
        <w:tc>
          <w:tcPr>
            <w:tcW w:w="1735" w:type="dxa"/>
          </w:tcPr>
          <w:p w14:paraId="363B752E" w14:textId="77777777" w:rsidR="00FA4AA8" w:rsidRDefault="00FA4AA8">
            <w:pPr>
              <w:pStyle w:val="TableParagraph"/>
              <w:spacing w:before="8"/>
              <w:rPr>
                <w:sz w:val="19"/>
              </w:rPr>
            </w:pPr>
          </w:p>
          <w:p w14:paraId="220B3D74" w14:textId="77777777" w:rsidR="00FA4AA8" w:rsidRDefault="0015611F">
            <w:pPr>
              <w:pStyle w:val="TableParagraph"/>
              <w:ind w:right="335"/>
              <w:jc w:val="right"/>
              <w:rPr>
                <w:sz w:val="18"/>
              </w:rPr>
            </w:pPr>
            <w:r>
              <w:rPr>
                <w:sz w:val="18"/>
              </w:rPr>
              <w:t>-</w:t>
            </w:r>
          </w:p>
        </w:tc>
        <w:tc>
          <w:tcPr>
            <w:tcW w:w="1279" w:type="dxa"/>
          </w:tcPr>
          <w:p w14:paraId="24415985" w14:textId="77777777" w:rsidR="00FA4AA8" w:rsidRDefault="00FA4AA8">
            <w:pPr>
              <w:pStyle w:val="TableParagraph"/>
              <w:spacing w:before="8"/>
              <w:rPr>
                <w:sz w:val="19"/>
              </w:rPr>
            </w:pPr>
          </w:p>
          <w:p w14:paraId="7A13F6A4" w14:textId="77777777" w:rsidR="00FA4AA8" w:rsidRDefault="0015611F">
            <w:pPr>
              <w:pStyle w:val="TableParagraph"/>
              <w:ind w:right="83"/>
              <w:jc w:val="right"/>
              <w:rPr>
                <w:sz w:val="18"/>
              </w:rPr>
            </w:pPr>
            <w:r>
              <w:rPr>
                <w:sz w:val="18"/>
              </w:rPr>
              <w:t>2,733</w:t>
            </w:r>
          </w:p>
        </w:tc>
      </w:tr>
      <w:tr w:rsidR="00FA4AA8" w14:paraId="5FBD8E94" w14:textId="77777777">
        <w:trPr>
          <w:trHeight w:val="263"/>
        </w:trPr>
        <w:tc>
          <w:tcPr>
            <w:tcW w:w="4278" w:type="dxa"/>
          </w:tcPr>
          <w:p w14:paraId="289D5D7B" w14:textId="77777777" w:rsidR="00FA4AA8" w:rsidRDefault="0015611F">
            <w:pPr>
              <w:pStyle w:val="TableParagraph"/>
              <w:spacing w:before="28"/>
              <w:ind w:left="50"/>
              <w:rPr>
                <w:sz w:val="18"/>
              </w:rPr>
            </w:pPr>
            <w:r>
              <w:rPr>
                <w:sz w:val="18"/>
              </w:rPr>
              <w:t>Gain/(loss) on revaluation of art collection</w:t>
            </w:r>
          </w:p>
        </w:tc>
        <w:tc>
          <w:tcPr>
            <w:tcW w:w="1068" w:type="dxa"/>
          </w:tcPr>
          <w:p w14:paraId="3818053C" w14:textId="77777777" w:rsidR="00FA4AA8" w:rsidRDefault="0015611F">
            <w:pPr>
              <w:pStyle w:val="TableParagraph"/>
              <w:spacing w:before="23"/>
              <w:ind w:right="248"/>
              <w:jc w:val="right"/>
              <w:rPr>
                <w:sz w:val="18"/>
              </w:rPr>
            </w:pPr>
            <w:r>
              <w:rPr>
                <w:sz w:val="18"/>
              </w:rPr>
              <w:t>27(c)</w:t>
            </w:r>
          </w:p>
        </w:tc>
        <w:tc>
          <w:tcPr>
            <w:tcW w:w="1572" w:type="dxa"/>
          </w:tcPr>
          <w:p w14:paraId="0C8DA890" w14:textId="77777777" w:rsidR="00FA4AA8" w:rsidRDefault="0015611F">
            <w:pPr>
              <w:pStyle w:val="TableParagraph"/>
              <w:spacing w:before="25"/>
              <w:ind w:right="66"/>
              <w:jc w:val="right"/>
              <w:rPr>
                <w:sz w:val="18"/>
              </w:rPr>
            </w:pPr>
            <w:r>
              <w:rPr>
                <w:sz w:val="18"/>
              </w:rPr>
              <w:t>(3)</w:t>
            </w:r>
          </w:p>
        </w:tc>
        <w:tc>
          <w:tcPr>
            <w:tcW w:w="1735" w:type="dxa"/>
          </w:tcPr>
          <w:p w14:paraId="31886704" w14:textId="77777777" w:rsidR="00FA4AA8" w:rsidRDefault="0015611F">
            <w:pPr>
              <w:pStyle w:val="TableParagraph"/>
              <w:spacing w:before="25"/>
              <w:ind w:right="335"/>
              <w:jc w:val="right"/>
              <w:rPr>
                <w:sz w:val="18"/>
              </w:rPr>
            </w:pPr>
            <w:r>
              <w:rPr>
                <w:sz w:val="18"/>
              </w:rPr>
              <w:t>-</w:t>
            </w:r>
          </w:p>
        </w:tc>
        <w:tc>
          <w:tcPr>
            <w:tcW w:w="1279" w:type="dxa"/>
          </w:tcPr>
          <w:p w14:paraId="58E4E1F6" w14:textId="77777777" w:rsidR="00FA4AA8" w:rsidRDefault="0015611F">
            <w:pPr>
              <w:pStyle w:val="TableParagraph"/>
              <w:spacing w:before="25"/>
              <w:ind w:right="22"/>
              <w:jc w:val="right"/>
              <w:rPr>
                <w:sz w:val="18"/>
              </w:rPr>
            </w:pPr>
            <w:r>
              <w:rPr>
                <w:sz w:val="18"/>
              </w:rPr>
              <w:t>(3)</w:t>
            </w:r>
          </w:p>
        </w:tc>
      </w:tr>
      <w:tr w:rsidR="00FA4AA8" w14:paraId="4BCFA7CA" w14:textId="77777777">
        <w:trPr>
          <w:trHeight w:val="264"/>
        </w:trPr>
        <w:tc>
          <w:tcPr>
            <w:tcW w:w="4278" w:type="dxa"/>
          </w:tcPr>
          <w:p w14:paraId="0613B968" w14:textId="77777777" w:rsidR="00FA4AA8" w:rsidRDefault="0015611F">
            <w:pPr>
              <w:pStyle w:val="TableParagraph"/>
              <w:spacing w:before="28"/>
              <w:ind w:left="50"/>
              <w:rPr>
                <w:sz w:val="18"/>
              </w:rPr>
            </w:pPr>
            <w:r>
              <w:rPr>
                <w:sz w:val="18"/>
              </w:rPr>
              <w:t>Gain/(loss) on revaluation of livestock</w:t>
            </w:r>
          </w:p>
        </w:tc>
        <w:tc>
          <w:tcPr>
            <w:tcW w:w="1068" w:type="dxa"/>
          </w:tcPr>
          <w:p w14:paraId="3DBC8500" w14:textId="77777777" w:rsidR="00FA4AA8" w:rsidRDefault="0015611F">
            <w:pPr>
              <w:pStyle w:val="TableParagraph"/>
              <w:spacing w:before="23"/>
              <w:ind w:right="248"/>
              <w:jc w:val="right"/>
              <w:rPr>
                <w:sz w:val="18"/>
              </w:rPr>
            </w:pPr>
            <w:r>
              <w:rPr>
                <w:sz w:val="18"/>
              </w:rPr>
              <w:t>27(c)</w:t>
            </w:r>
          </w:p>
        </w:tc>
        <w:tc>
          <w:tcPr>
            <w:tcW w:w="1572" w:type="dxa"/>
          </w:tcPr>
          <w:p w14:paraId="04473003" w14:textId="77777777" w:rsidR="00FA4AA8" w:rsidRDefault="0015611F">
            <w:pPr>
              <w:pStyle w:val="TableParagraph"/>
              <w:spacing w:before="25"/>
              <w:ind w:right="126"/>
              <w:jc w:val="right"/>
              <w:rPr>
                <w:sz w:val="18"/>
              </w:rPr>
            </w:pPr>
            <w:r>
              <w:rPr>
                <w:sz w:val="18"/>
              </w:rPr>
              <w:t>48</w:t>
            </w:r>
          </w:p>
        </w:tc>
        <w:tc>
          <w:tcPr>
            <w:tcW w:w="1735" w:type="dxa"/>
          </w:tcPr>
          <w:p w14:paraId="3A09A2DB" w14:textId="77777777" w:rsidR="00FA4AA8" w:rsidRDefault="0015611F">
            <w:pPr>
              <w:pStyle w:val="TableParagraph"/>
              <w:spacing w:before="25"/>
              <w:ind w:right="335"/>
              <w:jc w:val="right"/>
              <w:rPr>
                <w:sz w:val="18"/>
              </w:rPr>
            </w:pPr>
            <w:r>
              <w:rPr>
                <w:sz w:val="18"/>
              </w:rPr>
              <w:t>-</w:t>
            </w:r>
          </w:p>
        </w:tc>
        <w:tc>
          <w:tcPr>
            <w:tcW w:w="1279" w:type="dxa"/>
          </w:tcPr>
          <w:p w14:paraId="1EB97524" w14:textId="77777777" w:rsidR="00FA4AA8" w:rsidRDefault="0015611F">
            <w:pPr>
              <w:pStyle w:val="TableParagraph"/>
              <w:spacing w:before="25"/>
              <w:ind w:right="83"/>
              <w:jc w:val="right"/>
              <w:rPr>
                <w:sz w:val="18"/>
              </w:rPr>
            </w:pPr>
            <w:r>
              <w:rPr>
                <w:sz w:val="18"/>
              </w:rPr>
              <w:t>48</w:t>
            </w:r>
          </w:p>
        </w:tc>
      </w:tr>
      <w:tr w:rsidR="00FA4AA8" w14:paraId="0B5554AA" w14:textId="77777777">
        <w:trPr>
          <w:trHeight w:val="257"/>
        </w:trPr>
        <w:tc>
          <w:tcPr>
            <w:tcW w:w="4278" w:type="dxa"/>
          </w:tcPr>
          <w:p w14:paraId="7864D5AF" w14:textId="77777777" w:rsidR="00FA4AA8" w:rsidRDefault="0015611F">
            <w:pPr>
              <w:pStyle w:val="TableParagraph"/>
              <w:spacing w:before="28"/>
              <w:ind w:left="50"/>
              <w:rPr>
                <w:sz w:val="18"/>
              </w:rPr>
            </w:pPr>
            <w:r>
              <w:rPr>
                <w:sz w:val="18"/>
              </w:rPr>
              <w:t>Remeasurements of Defined Benefit Plans</w:t>
            </w:r>
          </w:p>
        </w:tc>
        <w:tc>
          <w:tcPr>
            <w:tcW w:w="1068" w:type="dxa"/>
          </w:tcPr>
          <w:p w14:paraId="4F668A97" w14:textId="77777777" w:rsidR="00FA4AA8" w:rsidRDefault="0015611F">
            <w:pPr>
              <w:pStyle w:val="TableParagraph"/>
              <w:spacing w:before="23"/>
              <w:ind w:right="248"/>
              <w:jc w:val="right"/>
              <w:rPr>
                <w:sz w:val="18"/>
              </w:rPr>
            </w:pPr>
            <w:r>
              <w:rPr>
                <w:sz w:val="18"/>
              </w:rPr>
              <w:t>27(c)</w:t>
            </w:r>
          </w:p>
        </w:tc>
        <w:tc>
          <w:tcPr>
            <w:tcW w:w="1572" w:type="dxa"/>
            <w:tcBorders>
              <w:bottom w:val="single" w:sz="8" w:space="0" w:color="000000"/>
            </w:tcBorders>
          </w:tcPr>
          <w:p w14:paraId="2BDFB1FA" w14:textId="77777777" w:rsidR="00FA4AA8" w:rsidRDefault="0015611F">
            <w:pPr>
              <w:pStyle w:val="TableParagraph"/>
              <w:spacing w:before="25"/>
              <w:ind w:right="66"/>
              <w:jc w:val="right"/>
              <w:rPr>
                <w:sz w:val="18"/>
              </w:rPr>
            </w:pPr>
            <w:r>
              <w:rPr>
                <w:sz w:val="18"/>
              </w:rPr>
              <w:t>(1,447)</w:t>
            </w:r>
          </w:p>
        </w:tc>
        <w:tc>
          <w:tcPr>
            <w:tcW w:w="1735" w:type="dxa"/>
            <w:tcBorders>
              <w:bottom w:val="single" w:sz="8" w:space="0" w:color="000000"/>
            </w:tcBorders>
          </w:tcPr>
          <w:p w14:paraId="3FBB859C" w14:textId="77777777" w:rsidR="00FA4AA8" w:rsidRDefault="0015611F">
            <w:pPr>
              <w:pStyle w:val="TableParagraph"/>
              <w:spacing w:before="25"/>
              <w:ind w:right="335"/>
              <w:jc w:val="right"/>
              <w:rPr>
                <w:sz w:val="18"/>
              </w:rPr>
            </w:pPr>
            <w:r>
              <w:rPr>
                <w:sz w:val="18"/>
              </w:rPr>
              <w:t>-</w:t>
            </w:r>
          </w:p>
        </w:tc>
        <w:tc>
          <w:tcPr>
            <w:tcW w:w="1279" w:type="dxa"/>
            <w:tcBorders>
              <w:bottom w:val="single" w:sz="8" w:space="0" w:color="000000"/>
            </w:tcBorders>
          </w:tcPr>
          <w:p w14:paraId="18017795" w14:textId="77777777" w:rsidR="00FA4AA8" w:rsidRDefault="0015611F">
            <w:pPr>
              <w:pStyle w:val="TableParagraph"/>
              <w:spacing w:before="25"/>
              <w:ind w:right="22"/>
              <w:jc w:val="right"/>
              <w:rPr>
                <w:sz w:val="18"/>
              </w:rPr>
            </w:pPr>
            <w:r>
              <w:rPr>
                <w:sz w:val="18"/>
              </w:rPr>
              <w:t>(1,447)</w:t>
            </w:r>
          </w:p>
        </w:tc>
      </w:tr>
      <w:tr w:rsidR="00FA4AA8" w14:paraId="0A545E9C" w14:textId="77777777">
        <w:trPr>
          <w:trHeight w:val="318"/>
        </w:trPr>
        <w:tc>
          <w:tcPr>
            <w:tcW w:w="4278" w:type="dxa"/>
          </w:tcPr>
          <w:p w14:paraId="639DC6D0" w14:textId="77777777" w:rsidR="00FA4AA8" w:rsidRDefault="0015611F">
            <w:pPr>
              <w:pStyle w:val="TableParagraph"/>
              <w:spacing w:before="115" w:line="183" w:lineRule="exact"/>
              <w:ind w:left="50"/>
              <w:rPr>
                <w:b/>
                <w:sz w:val="18"/>
              </w:rPr>
            </w:pPr>
            <w:r>
              <w:rPr>
                <w:b/>
                <w:sz w:val="18"/>
              </w:rPr>
              <w:t>Other comprehensive income</w:t>
            </w:r>
          </w:p>
        </w:tc>
        <w:tc>
          <w:tcPr>
            <w:tcW w:w="1068" w:type="dxa"/>
          </w:tcPr>
          <w:p w14:paraId="36E0F739" w14:textId="77777777" w:rsidR="00FA4AA8" w:rsidRDefault="00FA4AA8">
            <w:pPr>
              <w:pStyle w:val="TableParagraph"/>
              <w:rPr>
                <w:rFonts w:ascii="Times New Roman"/>
                <w:sz w:val="18"/>
              </w:rPr>
            </w:pPr>
          </w:p>
        </w:tc>
        <w:tc>
          <w:tcPr>
            <w:tcW w:w="1572" w:type="dxa"/>
            <w:tcBorders>
              <w:top w:val="single" w:sz="8" w:space="0" w:color="000000"/>
              <w:bottom w:val="single" w:sz="8" w:space="0" w:color="000000"/>
            </w:tcBorders>
          </w:tcPr>
          <w:p w14:paraId="6F79217E" w14:textId="77777777" w:rsidR="00FA4AA8" w:rsidRDefault="0015611F">
            <w:pPr>
              <w:pStyle w:val="TableParagraph"/>
              <w:spacing w:before="115" w:line="183" w:lineRule="exact"/>
              <w:ind w:right="127"/>
              <w:jc w:val="right"/>
              <w:rPr>
                <w:sz w:val="18"/>
              </w:rPr>
            </w:pPr>
            <w:r>
              <w:rPr>
                <w:sz w:val="18"/>
              </w:rPr>
              <w:t>201,634</w:t>
            </w:r>
          </w:p>
        </w:tc>
        <w:tc>
          <w:tcPr>
            <w:tcW w:w="1735" w:type="dxa"/>
            <w:tcBorders>
              <w:top w:val="single" w:sz="8" w:space="0" w:color="000000"/>
              <w:bottom w:val="single" w:sz="8" w:space="0" w:color="000000"/>
            </w:tcBorders>
          </w:tcPr>
          <w:p w14:paraId="1506CC2C" w14:textId="77777777" w:rsidR="00FA4AA8" w:rsidRDefault="0015611F">
            <w:pPr>
              <w:pStyle w:val="TableParagraph"/>
              <w:spacing w:before="115" w:line="183" w:lineRule="exact"/>
              <w:ind w:right="335"/>
              <w:jc w:val="right"/>
              <w:rPr>
                <w:sz w:val="18"/>
              </w:rPr>
            </w:pPr>
            <w:r>
              <w:rPr>
                <w:sz w:val="18"/>
              </w:rPr>
              <w:t>-</w:t>
            </w:r>
          </w:p>
        </w:tc>
        <w:tc>
          <w:tcPr>
            <w:tcW w:w="1279" w:type="dxa"/>
            <w:tcBorders>
              <w:top w:val="single" w:sz="8" w:space="0" w:color="000000"/>
              <w:bottom w:val="single" w:sz="8" w:space="0" w:color="000000"/>
            </w:tcBorders>
          </w:tcPr>
          <w:p w14:paraId="40D36EF4" w14:textId="77777777" w:rsidR="00FA4AA8" w:rsidRDefault="0015611F">
            <w:pPr>
              <w:pStyle w:val="TableParagraph"/>
              <w:spacing w:before="115" w:line="183" w:lineRule="exact"/>
              <w:ind w:right="83"/>
              <w:jc w:val="right"/>
              <w:rPr>
                <w:sz w:val="18"/>
              </w:rPr>
            </w:pPr>
            <w:r>
              <w:rPr>
                <w:sz w:val="18"/>
              </w:rPr>
              <w:t>201,634</w:t>
            </w:r>
          </w:p>
        </w:tc>
      </w:tr>
      <w:tr w:rsidR="00FA4AA8" w14:paraId="5B5A6023" w14:textId="77777777">
        <w:trPr>
          <w:trHeight w:val="263"/>
        </w:trPr>
        <w:tc>
          <w:tcPr>
            <w:tcW w:w="4278" w:type="dxa"/>
          </w:tcPr>
          <w:p w14:paraId="61BE4396" w14:textId="77777777" w:rsidR="00FA4AA8" w:rsidRDefault="0015611F">
            <w:pPr>
              <w:pStyle w:val="TableParagraph"/>
              <w:spacing w:before="33"/>
              <w:ind w:left="50"/>
              <w:rPr>
                <w:b/>
                <w:sz w:val="18"/>
              </w:rPr>
            </w:pPr>
            <w:r>
              <w:rPr>
                <w:b/>
                <w:sz w:val="18"/>
              </w:rPr>
              <w:t>Total comprehensive income</w:t>
            </w:r>
          </w:p>
        </w:tc>
        <w:tc>
          <w:tcPr>
            <w:tcW w:w="1068" w:type="dxa"/>
          </w:tcPr>
          <w:p w14:paraId="5B33C52E" w14:textId="77777777" w:rsidR="00FA4AA8" w:rsidRDefault="00FA4AA8">
            <w:pPr>
              <w:pStyle w:val="TableParagraph"/>
              <w:rPr>
                <w:rFonts w:ascii="Times New Roman"/>
                <w:sz w:val="18"/>
              </w:rPr>
            </w:pPr>
          </w:p>
        </w:tc>
        <w:tc>
          <w:tcPr>
            <w:tcW w:w="1572" w:type="dxa"/>
            <w:tcBorders>
              <w:top w:val="single" w:sz="8" w:space="0" w:color="000000"/>
              <w:bottom w:val="single" w:sz="8" w:space="0" w:color="000000"/>
            </w:tcBorders>
          </w:tcPr>
          <w:p w14:paraId="6C2060EE" w14:textId="77777777" w:rsidR="00FA4AA8" w:rsidRDefault="0015611F">
            <w:pPr>
              <w:pStyle w:val="TableParagraph"/>
              <w:spacing w:before="31"/>
              <w:ind w:right="127"/>
              <w:jc w:val="right"/>
              <w:rPr>
                <w:sz w:val="18"/>
              </w:rPr>
            </w:pPr>
            <w:r>
              <w:rPr>
                <w:sz w:val="18"/>
              </w:rPr>
              <w:t>909,638</w:t>
            </w:r>
          </w:p>
        </w:tc>
        <w:tc>
          <w:tcPr>
            <w:tcW w:w="1735" w:type="dxa"/>
            <w:tcBorders>
              <w:top w:val="single" w:sz="8" w:space="0" w:color="000000"/>
              <w:bottom w:val="single" w:sz="8" w:space="0" w:color="000000"/>
            </w:tcBorders>
          </w:tcPr>
          <w:p w14:paraId="313387E4" w14:textId="77777777" w:rsidR="00FA4AA8" w:rsidRDefault="0015611F">
            <w:pPr>
              <w:pStyle w:val="TableParagraph"/>
              <w:spacing w:before="31"/>
              <w:ind w:left="591"/>
              <w:rPr>
                <w:sz w:val="18"/>
              </w:rPr>
            </w:pPr>
            <w:r>
              <w:rPr>
                <w:sz w:val="18"/>
              </w:rPr>
              <w:t>1,010,280</w:t>
            </w:r>
          </w:p>
        </w:tc>
        <w:tc>
          <w:tcPr>
            <w:tcW w:w="1279" w:type="dxa"/>
            <w:tcBorders>
              <w:top w:val="single" w:sz="8" w:space="0" w:color="000000"/>
              <w:bottom w:val="single" w:sz="8" w:space="0" w:color="000000"/>
            </w:tcBorders>
          </w:tcPr>
          <w:p w14:paraId="20F1125E" w14:textId="77777777" w:rsidR="00FA4AA8" w:rsidRDefault="0015611F">
            <w:pPr>
              <w:pStyle w:val="TableParagraph"/>
              <w:spacing w:before="31"/>
              <w:ind w:right="83"/>
              <w:jc w:val="right"/>
              <w:rPr>
                <w:sz w:val="18"/>
              </w:rPr>
            </w:pPr>
            <w:r>
              <w:rPr>
                <w:sz w:val="18"/>
              </w:rPr>
              <w:t>1,919,918</w:t>
            </w:r>
          </w:p>
        </w:tc>
      </w:tr>
      <w:tr w:rsidR="00FA4AA8" w14:paraId="2B8F8790" w14:textId="77777777">
        <w:trPr>
          <w:trHeight w:val="464"/>
        </w:trPr>
        <w:tc>
          <w:tcPr>
            <w:tcW w:w="4278" w:type="dxa"/>
          </w:tcPr>
          <w:p w14:paraId="3526FD33" w14:textId="77777777" w:rsidR="00FA4AA8" w:rsidRDefault="0015611F">
            <w:pPr>
              <w:pStyle w:val="TableParagraph"/>
              <w:spacing w:before="28"/>
              <w:ind w:left="50" w:right="255"/>
              <w:rPr>
                <w:sz w:val="18"/>
              </w:rPr>
            </w:pPr>
            <w:r>
              <w:rPr>
                <w:sz w:val="18"/>
              </w:rPr>
              <w:t>Transfer from property, plant and equipment reserve on disposal of assets</w:t>
            </w:r>
          </w:p>
        </w:tc>
        <w:tc>
          <w:tcPr>
            <w:tcW w:w="1068" w:type="dxa"/>
          </w:tcPr>
          <w:p w14:paraId="33CC693E" w14:textId="77777777" w:rsidR="00FA4AA8" w:rsidRDefault="00FA4AA8">
            <w:pPr>
              <w:pStyle w:val="TableParagraph"/>
              <w:spacing w:before="5"/>
              <w:rPr>
                <w:sz w:val="20"/>
              </w:rPr>
            </w:pPr>
          </w:p>
          <w:p w14:paraId="43EE2F96" w14:textId="77777777" w:rsidR="00FA4AA8" w:rsidRDefault="0015611F">
            <w:pPr>
              <w:pStyle w:val="TableParagraph"/>
              <w:ind w:right="248"/>
              <w:jc w:val="right"/>
              <w:rPr>
                <w:sz w:val="18"/>
              </w:rPr>
            </w:pPr>
            <w:r>
              <w:rPr>
                <w:sz w:val="18"/>
              </w:rPr>
              <w:t>27(c)</w:t>
            </w:r>
          </w:p>
        </w:tc>
        <w:tc>
          <w:tcPr>
            <w:tcW w:w="1572" w:type="dxa"/>
            <w:tcBorders>
              <w:top w:val="single" w:sz="8" w:space="0" w:color="000000"/>
              <w:bottom w:val="single" w:sz="8" w:space="0" w:color="000000"/>
            </w:tcBorders>
          </w:tcPr>
          <w:p w14:paraId="23A472F2" w14:textId="77777777" w:rsidR="00FA4AA8" w:rsidRDefault="00FA4AA8">
            <w:pPr>
              <w:pStyle w:val="TableParagraph"/>
              <w:spacing w:before="2"/>
              <w:rPr>
                <w:sz w:val="20"/>
              </w:rPr>
            </w:pPr>
          </w:p>
          <w:p w14:paraId="76DA8581" w14:textId="77777777" w:rsidR="00FA4AA8" w:rsidRDefault="0015611F">
            <w:pPr>
              <w:pStyle w:val="TableParagraph"/>
              <w:ind w:right="66"/>
              <w:jc w:val="right"/>
              <w:rPr>
                <w:sz w:val="18"/>
              </w:rPr>
            </w:pPr>
            <w:r>
              <w:rPr>
                <w:sz w:val="18"/>
              </w:rPr>
              <w:t>(43,848)</w:t>
            </w:r>
          </w:p>
        </w:tc>
        <w:tc>
          <w:tcPr>
            <w:tcW w:w="1735" w:type="dxa"/>
            <w:tcBorders>
              <w:top w:val="single" w:sz="8" w:space="0" w:color="000000"/>
              <w:bottom w:val="single" w:sz="8" w:space="0" w:color="000000"/>
            </w:tcBorders>
          </w:tcPr>
          <w:p w14:paraId="38408CAA" w14:textId="77777777" w:rsidR="00FA4AA8" w:rsidRDefault="00FA4AA8">
            <w:pPr>
              <w:pStyle w:val="TableParagraph"/>
              <w:spacing w:before="2"/>
              <w:rPr>
                <w:sz w:val="20"/>
              </w:rPr>
            </w:pPr>
          </w:p>
          <w:p w14:paraId="1F6137B1" w14:textId="77777777" w:rsidR="00FA4AA8" w:rsidRDefault="0015611F">
            <w:pPr>
              <w:pStyle w:val="TableParagraph"/>
              <w:ind w:right="335"/>
              <w:jc w:val="right"/>
              <w:rPr>
                <w:sz w:val="18"/>
              </w:rPr>
            </w:pPr>
            <w:r>
              <w:rPr>
                <w:sz w:val="18"/>
              </w:rPr>
              <w:t>43,848</w:t>
            </w:r>
          </w:p>
        </w:tc>
        <w:tc>
          <w:tcPr>
            <w:tcW w:w="1279" w:type="dxa"/>
            <w:tcBorders>
              <w:top w:val="single" w:sz="8" w:space="0" w:color="000000"/>
              <w:bottom w:val="single" w:sz="8" w:space="0" w:color="000000"/>
            </w:tcBorders>
          </w:tcPr>
          <w:p w14:paraId="6FA24449" w14:textId="77777777" w:rsidR="00FA4AA8" w:rsidRDefault="00FA4AA8">
            <w:pPr>
              <w:pStyle w:val="TableParagraph"/>
              <w:spacing w:before="2"/>
              <w:rPr>
                <w:sz w:val="20"/>
              </w:rPr>
            </w:pPr>
          </w:p>
          <w:p w14:paraId="3F228D32" w14:textId="77777777" w:rsidR="00FA4AA8" w:rsidRDefault="0015611F">
            <w:pPr>
              <w:pStyle w:val="TableParagraph"/>
              <w:ind w:right="83"/>
              <w:jc w:val="right"/>
              <w:rPr>
                <w:sz w:val="18"/>
              </w:rPr>
            </w:pPr>
            <w:r>
              <w:rPr>
                <w:sz w:val="18"/>
              </w:rPr>
              <w:t>-</w:t>
            </w:r>
          </w:p>
        </w:tc>
      </w:tr>
      <w:tr w:rsidR="00FA4AA8" w14:paraId="7C8441A9" w14:textId="77777777">
        <w:trPr>
          <w:trHeight w:val="318"/>
        </w:trPr>
        <w:tc>
          <w:tcPr>
            <w:tcW w:w="4278" w:type="dxa"/>
          </w:tcPr>
          <w:p w14:paraId="3C507555" w14:textId="77777777" w:rsidR="00FA4AA8" w:rsidRDefault="0015611F">
            <w:pPr>
              <w:pStyle w:val="TableParagraph"/>
              <w:spacing w:before="115" w:line="183" w:lineRule="exact"/>
              <w:ind w:left="50"/>
              <w:rPr>
                <w:b/>
                <w:sz w:val="18"/>
              </w:rPr>
            </w:pPr>
            <w:r>
              <w:rPr>
                <w:b/>
                <w:sz w:val="18"/>
              </w:rPr>
              <w:t>Balance at 31 December 2017</w:t>
            </w:r>
          </w:p>
        </w:tc>
        <w:tc>
          <w:tcPr>
            <w:tcW w:w="1068" w:type="dxa"/>
          </w:tcPr>
          <w:p w14:paraId="75B2056F" w14:textId="77777777" w:rsidR="00FA4AA8" w:rsidRDefault="00FA4AA8">
            <w:pPr>
              <w:pStyle w:val="TableParagraph"/>
              <w:rPr>
                <w:rFonts w:ascii="Times New Roman"/>
                <w:sz w:val="18"/>
              </w:rPr>
            </w:pPr>
          </w:p>
        </w:tc>
        <w:tc>
          <w:tcPr>
            <w:tcW w:w="1572" w:type="dxa"/>
            <w:tcBorders>
              <w:top w:val="single" w:sz="8" w:space="0" w:color="000000"/>
              <w:bottom w:val="single" w:sz="8" w:space="0" w:color="000000"/>
            </w:tcBorders>
          </w:tcPr>
          <w:p w14:paraId="49875F12" w14:textId="77777777" w:rsidR="00FA4AA8" w:rsidRDefault="0015611F">
            <w:pPr>
              <w:pStyle w:val="TableParagraph"/>
              <w:spacing w:before="115" w:line="183" w:lineRule="exact"/>
              <w:ind w:right="127"/>
              <w:jc w:val="right"/>
              <w:rPr>
                <w:sz w:val="18"/>
              </w:rPr>
            </w:pPr>
            <w:r>
              <w:rPr>
                <w:sz w:val="18"/>
              </w:rPr>
              <w:t>865,790</w:t>
            </w:r>
          </w:p>
        </w:tc>
        <w:tc>
          <w:tcPr>
            <w:tcW w:w="1735" w:type="dxa"/>
            <w:tcBorders>
              <w:top w:val="single" w:sz="8" w:space="0" w:color="000000"/>
              <w:bottom w:val="single" w:sz="8" w:space="0" w:color="000000"/>
            </w:tcBorders>
          </w:tcPr>
          <w:p w14:paraId="6957172B" w14:textId="77777777" w:rsidR="00FA4AA8" w:rsidRDefault="0015611F">
            <w:pPr>
              <w:pStyle w:val="TableParagraph"/>
              <w:spacing w:before="115" w:line="183" w:lineRule="exact"/>
              <w:ind w:left="591"/>
              <w:rPr>
                <w:sz w:val="18"/>
              </w:rPr>
            </w:pPr>
            <w:r>
              <w:rPr>
                <w:sz w:val="18"/>
              </w:rPr>
              <w:t>1,054,128</w:t>
            </w:r>
          </w:p>
        </w:tc>
        <w:tc>
          <w:tcPr>
            <w:tcW w:w="1279" w:type="dxa"/>
            <w:tcBorders>
              <w:top w:val="single" w:sz="8" w:space="0" w:color="000000"/>
              <w:bottom w:val="single" w:sz="8" w:space="0" w:color="000000"/>
            </w:tcBorders>
          </w:tcPr>
          <w:p w14:paraId="4D20C076" w14:textId="77777777" w:rsidR="00FA4AA8" w:rsidRDefault="0015611F">
            <w:pPr>
              <w:pStyle w:val="TableParagraph"/>
              <w:spacing w:before="115" w:line="183" w:lineRule="exact"/>
              <w:ind w:right="83"/>
              <w:jc w:val="right"/>
              <w:rPr>
                <w:sz w:val="18"/>
              </w:rPr>
            </w:pPr>
            <w:r>
              <w:rPr>
                <w:sz w:val="18"/>
              </w:rPr>
              <w:t>1,919,918</w:t>
            </w:r>
          </w:p>
        </w:tc>
      </w:tr>
      <w:tr w:rsidR="00FA4AA8" w14:paraId="5186C105" w14:textId="77777777">
        <w:trPr>
          <w:trHeight w:val="464"/>
        </w:trPr>
        <w:tc>
          <w:tcPr>
            <w:tcW w:w="4278" w:type="dxa"/>
          </w:tcPr>
          <w:p w14:paraId="78D7E594" w14:textId="77777777" w:rsidR="00FA4AA8" w:rsidRDefault="0015611F">
            <w:pPr>
              <w:pStyle w:val="TableParagraph"/>
              <w:spacing w:before="28"/>
              <w:ind w:left="50" w:right="255"/>
              <w:rPr>
                <w:sz w:val="18"/>
              </w:rPr>
            </w:pPr>
            <w:r>
              <w:rPr>
                <w:sz w:val="18"/>
              </w:rPr>
              <w:t>Payroll tax oncost liability on Defined Benefit Plans</w:t>
            </w:r>
          </w:p>
        </w:tc>
        <w:tc>
          <w:tcPr>
            <w:tcW w:w="1068" w:type="dxa"/>
          </w:tcPr>
          <w:p w14:paraId="0D8F6245" w14:textId="77777777" w:rsidR="00FA4AA8" w:rsidRDefault="00FA4AA8">
            <w:pPr>
              <w:pStyle w:val="TableParagraph"/>
              <w:rPr>
                <w:rFonts w:ascii="Times New Roman"/>
                <w:sz w:val="18"/>
              </w:rPr>
            </w:pPr>
          </w:p>
        </w:tc>
        <w:tc>
          <w:tcPr>
            <w:tcW w:w="1572" w:type="dxa"/>
            <w:tcBorders>
              <w:top w:val="single" w:sz="8" w:space="0" w:color="000000"/>
              <w:bottom w:val="single" w:sz="8" w:space="0" w:color="000000"/>
            </w:tcBorders>
          </w:tcPr>
          <w:p w14:paraId="50B99C26" w14:textId="77777777" w:rsidR="00FA4AA8" w:rsidRDefault="00FA4AA8">
            <w:pPr>
              <w:pStyle w:val="TableParagraph"/>
              <w:spacing w:before="2"/>
              <w:rPr>
                <w:sz w:val="20"/>
              </w:rPr>
            </w:pPr>
          </w:p>
          <w:p w14:paraId="7BA848A6" w14:textId="77777777" w:rsidR="00FA4AA8" w:rsidRDefault="0015611F">
            <w:pPr>
              <w:pStyle w:val="TableParagraph"/>
              <w:ind w:right="126"/>
              <w:jc w:val="right"/>
              <w:rPr>
                <w:sz w:val="18"/>
              </w:rPr>
            </w:pPr>
            <w:r>
              <w:rPr>
                <w:sz w:val="18"/>
              </w:rPr>
              <w:t>-</w:t>
            </w:r>
          </w:p>
        </w:tc>
        <w:tc>
          <w:tcPr>
            <w:tcW w:w="1735" w:type="dxa"/>
            <w:tcBorders>
              <w:top w:val="single" w:sz="8" w:space="0" w:color="000000"/>
              <w:bottom w:val="single" w:sz="8" w:space="0" w:color="000000"/>
            </w:tcBorders>
          </w:tcPr>
          <w:p w14:paraId="01F80943" w14:textId="77777777" w:rsidR="00FA4AA8" w:rsidRDefault="00FA4AA8">
            <w:pPr>
              <w:pStyle w:val="TableParagraph"/>
              <w:spacing w:before="2"/>
              <w:rPr>
                <w:sz w:val="20"/>
              </w:rPr>
            </w:pPr>
          </w:p>
          <w:p w14:paraId="2387F3AF" w14:textId="77777777" w:rsidR="00FA4AA8" w:rsidRDefault="0015611F">
            <w:pPr>
              <w:pStyle w:val="TableParagraph"/>
              <w:ind w:right="275"/>
              <w:jc w:val="right"/>
              <w:rPr>
                <w:sz w:val="18"/>
              </w:rPr>
            </w:pPr>
            <w:r>
              <w:rPr>
                <w:sz w:val="18"/>
              </w:rPr>
              <w:t>(7,127)</w:t>
            </w:r>
          </w:p>
        </w:tc>
        <w:tc>
          <w:tcPr>
            <w:tcW w:w="1279" w:type="dxa"/>
            <w:tcBorders>
              <w:top w:val="single" w:sz="8" w:space="0" w:color="000000"/>
              <w:bottom w:val="single" w:sz="8" w:space="0" w:color="000000"/>
            </w:tcBorders>
          </w:tcPr>
          <w:p w14:paraId="319C37BA" w14:textId="77777777" w:rsidR="00FA4AA8" w:rsidRDefault="00FA4AA8">
            <w:pPr>
              <w:pStyle w:val="TableParagraph"/>
              <w:spacing w:before="2"/>
              <w:rPr>
                <w:sz w:val="20"/>
              </w:rPr>
            </w:pPr>
          </w:p>
          <w:p w14:paraId="5112990F" w14:textId="77777777" w:rsidR="00FA4AA8" w:rsidRDefault="0015611F">
            <w:pPr>
              <w:pStyle w:val="TableParagraph"/>
              <w:ind w:right="22"/>
              <w:jc w:val="right"/>
              <w:rPr>
                <w:sz w:val="18"/>
              </w:rPr>
            </w:pPr>
            <w:r>
              <w:rPr>
                <w:sz w:val="18"/>
              </w:rPr>
              <w:t>(7,127)</w:t>
            </w:r>
          </w:p>
        </w:tc>
      </w:tr>
      <w:tr w:rsidR="00FA4AA8" w14:paraId="22DB87BE" w14:textId="77777777">
        <w:trPr>
          <w:trHeight w:val="265"/>
        </w:trPr>
        <w:tc>
          <w:tcPr>
            <w:tcW w:w="4278" w:type="dxa"/>
          </w:tcPr>
          <w:p w14:paraId="39A7BE39" w14:textId="77777777" w:rsidR="00FA4AA8" w:rsidRDefault="0015611F">
            <w:pPr>
              <w:pStyle w:val="TableParagraph"/>
              <w:spacing w:before="33"/>
              <w:ind w:left="50"/>
              <w:rPr>
                <w:b/>
                <w:sz w:val="18"/>
              </w:rPr>
            </w:pPr>
            <w:r>
              <w:rPr>
                <w:b/>
                <w:sz w:val="18"/>
              </w:rPr>
              <w:t>Balance at 31 December 2017 (Restated)</w:t>
            </w:r>
          </w:p>
        </w:tc>
        <w:tc>
          <w:tcPr>
            <w:tcW w:w="1068" w:type="dxa"/>
          </w:tcPr>
          <w:p w14:paraId="73396FA3" w14:textId="77777777" w:rsidR="00FA4AA8" w:rsidRDefault="00FA4AA8">
            <w:pPr>
              <w:pStyle w:val="TableParagraph"/>
              <w:rPr>
                <w:rFonts w:ascii="Times New Roman"/>
                <w:sz w:val="18"/>
              </w:rPr>
            </w:pPr>
          </w:p>
        </w:tc>
        <w:tc>
          <w:tcPr>
            <w:tcW w:w="1572" w:type="dxa"/>
            <w:tcBorders>
              <w:top w:val="single" w:sz="8" w:space="0" w:color="000000"/>
              <w:bottom w:val="double" w:sz="2" w:space="0" w:color="000000"/>
            </w:tcBorders>
          </w:tcPr>
          <w:p w14:paraId="7D7CC5BC" w14:textId="77777777" w:rsidR="00FA4AA8" w:rsidRDefault="0015611F">
            <w:pPr>
              <w:pStyle w:val="TableParagraph"/>
              <w:spacing w:before="31"/>
              <w:ind w:right="127"/>
              <w:jc w:val="right"/>
              <w:rPr>
                <w:sz w:val="18"/>
              </w:rPr>
            </w:pPr>
            <w:r>
              <w:rPr>
                <w:sz w:val="18"/>
              </w:rPr>
              <w:t>865,790</w:t>
            </w:r>
          </w:p>
        </w:tc>
        <w:tc>
          <w:tcPr>
            <w:tcW w:w="1735" w:type="dxa"/>
            <w:tcBorders>
              <w:top w:val="single" w:sz="8" w:space="0" w:color="000000"/>
              <w:bottom w:val="double" w:sz="2" w:space="0" w:color="000000"/>
            </w:tcBorders>
          </w:tcPr>
          <w:p w14:paraId="36BAB183" w14:textId="77777777" w:rsidR="00FA4AA8" w:rsidRDefault="0015611F">
            <w:pPr>
              <w:pStyle w:val="TableParagraph"/>
              <w:spacing w:before="31"/>
              <w:ind w:left="591"/>
              <w:rPr>
                <w:sz w:val="18"/>
              </w:rPr>
            </w:pPr>
            <w:r>
              <w:rPr>
                <w:sz w:val="18"/>
              </w:rPr>
              <w:t>1,047,001</w:t>
            </w:r>
          </w:p>
        </w:tc>
        <w:tc>
          <w:tcPr>
            <w:tcW w:w="1279" w:type="dxa"/>
            <w:tcBorders>
              <w:top w:val="single" w:sz="8" w:space="0" w:color="000000"/>
              <w:bottom w:val="double" w:sz="2" w:space="0" w:color="000000"/>
            </w:tcBorders>
          </w:tcPr>
          <w:p w14:paraId="3338BDF1" w14:textId="77777777" w:rsidR="00FA4AA8" w:rsidRDefault="0015611F">
            <w:pPr>
              <w:pStyle w:val="TableParagraph"/>
              <w:spacing w:before="31"/>
              <w:ind w:right="83"/>
              <w:jc w:val="right"/>
              <w:rPr>
                <w:sz w:val="18"/>
              </w:rPr>
            </w:pPr>
            <w:r>
              <w:rPr>
                <w:sz w:val="18"/>
              </w:rPr>
              <w:t>1,912,791</w:t>
            </w:r>
          </w:p>
        </w:tc>
      </w:tr>
    </w:tbl>
    <w:p w14:paraId="5AF3388C" w14:textId="77777777" w:rsidR="00FA4AA8" w:rsidRDefault="00FA4AA8">
      <w:pPr>
        <w:pStyle w:val="BodyText"/>
        <w:rPr>
          <w:sz w:val="20"/>
        </w:rPr>
      </w:pPr>
    </w:p>
    <w:p w14:paraId="3FCD395D" w14:textId="77777777" w:rsidR="00FA4AA8" w:rsidRDefault="00FA4AA8">
      <w:pPr>
        <w:pStyle w:val="BodyText"/>
        <w:rPr>
          <w:sz w:val="20"/>
        </w:rPr>
      </w:pPr>
    </w:p>
    <w:p w14:paraId="3F1E6AD8" w14:textId="77777777" w:rsidR="00FA4AA8" w:rsidRDefault="00FA4AA8">
      <w:pPr>
        <w:pStyle w:val="BodyText"/>
        <w:rPr>
          <w:sz w:val="20"/>
        </w:rPr>
      </w:pPr>
    </w:p>
    <w:p w14:paraId="0CF5B3F1" w14:textId="77777777" w:rsidR="00FA4AA8" w:rsidRDefault="00FA4AA8">
      <w:pPr>
        <w:pStyle w:val="BodyText"/>
        <w:rPr>
          <w:sz w:val="20"/>
        </w:rPr>
      </w:pPr>
    </w:p>
    <w:p w14:paraId="4904E55D" w14:textId="77777777" w:rsidR="00FA4AA8" w:rsidRDefault="00FA4AA8">
      <w:pPr>
        <w:pStyle w:val="BodyText"/>
        <w:rPr>
          <w:sz w:val="20"/>
        </w:rPr>
      </w:pPr>
    </w:p>
    <w:p w14:paraId="5BDFFF32" w14:textId="77777777" w:rsidR="00FA4AA8" w:rsidRDefault="00FA4AA8">
      <w:pPr>
        <w:pStyle w:val="BodyText"/>
        <w:spacing w:before="8"/>
        <w:rPr>
          <w:sz w:val="22"/>
        </w:rPr>
      </w:pPr>
    </w:p>
    <w:p w14:paraId="3B4DF5E9" w14:textId="77777777" w:rsidR="00FA4AA8" w:rsidRDefault="0015611F">
      <w:pPr>
        <w:pStyle w:val="BodyText"/>
        <w:ind w:left="194" w:right="165"/>
        <w:jc w:val="center"/>
      </w:pPr>
      <w:r>
        <w:t>The accompanying notes form part of these financial statements.</w:t>
      </w:r>
    </w:p>
    <w:p w14:paraId="38DFAFD4" w14:textId="77777777" w:rsidR="00FA4AA8" w:rsidRDefault="00FA4AA8">
      <w:pPr>
        <w:jc w:val="center"/>
        <w:sectPr w:rsidR="00FA4AA8">
          <w:pgSz w:w="11910" w:h="16840"/>
          <w:pgMar w:top="2220" w:right="840" w:bottom="720" w:left="840" w:header="1016" w:footer="523" w:gutter="0"/>
          <w:cols w:space="720"/>
        </w:sectPr>
      </w:pPr>
    </w:p>
    <w:p w14:paraId="78693D17" w14:textId="77777777" w:rsidR="00FA4AA8" w:rsidRDefault="00FA4AA8">
      <w:pPr>
        <w:pStyle w:val="BodyText"/>
        <w:spacing w:before="5"/>
        <w:rPr>
          <w:sz w:val="21"/>
        </w:rPr>
      </w:pPr>
    </w:p>
    <w:p w14:paraId="78599CD4" w14:textId="77777777" w:rsidR="00FA4AA8" w:rsidRDefault="0015611F">
      <w:pPr>
        <w:pStyle w:val="Heading2"/>
        <w:spacing w:before="92"/>
      </w:pPr>
      <w:r>
        <w:t>Statement of Cash Flows</w:t>
      </w:r>
    </w:p>
    <w:p w14:paraId="20E26C6D" w14:textId="77777777" w:rsidR="00FA4AA8" w:rsidRDefault="0015611F">
      <w:pPr>
        <w:pStyle w:val="Heading6"/>
        <w:spacing w:before="53"/>
        <w:ind w:left="167"/>
      </w:pPr>
      <w:r>
        <w:t>For the Year Ended 31 December 2018</w:t>
      </w:r>
    </w:p>
    <w:p w14:paraId="29664B5E" w14:textId="77777777" w:rsidR="00FA4AA8" w:rsidRDefault="00FA4AA8">
      <w:pPr>
        <w:pStyle w:val="BodyText"/>
        <w:spacing w:before="9"/>
        <w:rPr>
          <w:b/>
          <w:sz w:val="27"/>
        </w:rPr>
      </w:pPr>
    </w:p>
    <w:p w14:paraId="546630B6" w14:textId="77777777" w:rsidR="00FA4AA8" w:rsidRDefault="0015611F">
      <w:pPr>
        <w:tabs>
          <w:tab w:val="left" w:pos="8423"/>
        </w:tabs>
        <w:spacing w:before="94"/>
        <w:ind w:left="5373"/>
        <w:rPr>
          <w:b/>
          <w:sz w:val="18"/>
        </w:rPr>
      </w:pPr>
      <w:r>
        <w:rPr>
          <w:b/>
          <w:sz w:val="18"/>
        </w:rPr>
        <w:t>Consolidated</w:t>
      </w:r>
      <w:r>
        <w:rPr>
          <w:b/>
          <w:sz w:val="18"/>
        </w:rPr>
        <w:tab/>
        <w:t>Parent</w:t>
      </w:r>
    </w:p>
    <w:p w14:paraId="6F678E9B" w14:textId="77777777" w:rsidR="00FA4AA8" w:rsidRDefault="00FA4AA8">
      <w:pPr>
        <w:pStyle w:val="BodyText"/>
        <w:spacing w:before="3"/>
        <w:rPr>
          <w:b/>
          <w:sz w:val="6"/>
        </w:rPr>
      </w:pPr>
    </w:p>
    <w:tbl>
      <w:tblPr>
        <w:tblW w:w="0" w:type="auto"/>
        <w:tblInd w:w="151" w:type="dxa"/>
        <w:tblLayout w:type="fixed"/>
        <w:tblCellMar>
          <w:left w:w="0" w:type="dxa"/>
          <w:right w:w="0" w:type="dxa"/>
        </w:tblCellMar>
        <w:tblLook w:val="01E0" w:firstRow="1" w:lastRow="1" w:firstColumn="1" w:lastColumn="1" w:noHBand="0" w:noVBand="0"/>
      </w:tblPr>
      <w:tblGrid>
        <w:gridCol w:w="3852"/>
        <w:gridCol w:w="579"/>
        <w:gridCol w:w="1637"/>
        <w:gridCol w:w="1373"/>
        <w:gridCol w:w="1387"/>
        <w:gridCol w:w="1098"/>
      </w:tblGrid>
      <w:tr w:rsidR="00FA4AA8" w14:paraId="17452EDA" w14:textId="77777777">
        <w:trPr>
          <w:trHeight w:val="474"/>
        </w:trPr>
        <w:tc>
          <w:tcPr>
            <w:tcW w:w="4431" w:type="dxa"/>
            <w:gridSpan w:val="2"/>
          </w:tcPr>
          <w:p w14:paraId="72D6BE00" w14:textId="77777777" w:rsidR="00FA4AA8" w:rsidRDefault="00FA4AA8">
            <w:pPr>
              <w:pStyle w:val="TableParagraph"/>
              <w:spacing w:before="3"/>
              <w:rPr>
                <w:b/>
                <w:sz w:val="23"/>
              </w:rPr>
            </w:pPr>
          </w:p>
          <w:p w14:paraId="33440335" w14:textId="77777777" w:rsidR="00FA4AA8" w:rsidRDefault="0015611F">
            <w:pPr>
              <w:pStyle w:val="TableParagraph"/>
              <w:spacing w:line="187" w:lineRule="exact"/>
              <w:ind w:right="127"/>
              <w:jc w:val="right"/>
              <w:rPr>
                <w:b/>
                <w:sz w:val="18"/>
              </w:rPr>
            </w:pPr>
            <w:r>
              <w:rPr>
                <w:b/>
                <w:sz w:val="18"/>
              </w:rPr>
              <w:t>Note</w:t>
            </w:r>
          </w:p>
        </w:tc>
        <w:tc>
          <w:tcPr>
            <w:tcW w:w="1637" w:type="dxa"/>
          </w:tcPr>
          <w:p w14:paraId="533BCFCF" w14:textId="77777777" w:rsidR="00FA4AA8" w:rsidRDefault="0015611F">
            <w:pPr>
              <w:pStyle w:val="TableParagraph"/>
              <w:spacing w:line="201" w:lineRule="exact"/>
              <w:ind w:left="535" w:right="616"/>
              <w:jc w:val="center"/>
              <w:rPr>
                <w:b/>
                <w:sz w:val="18"/>
              </w:rPr>
            </w:pPr>
            <w:r>
              <w:rPr>
                <w:b/>
                <w:sz w:val="18"/>
              </w:rPr>
              <w:t>2018</w:t>
            </w:r>
          </w:p>
          <w:p w14:paraId="38A023F2" w14:textId="77777777" w:rsidR="00FA4AA8" w:rsidRDefault="0015611F">
            <w:pPr>
              <w:pStyle w:val="TableParagraph"/>
              <w:spacing w:before="66" w:line="187" w:lineRule="exact"/>
              <w:ind w:left="535" w:right="617"/>
              <w:jc w:val="center"/>
              <w:rPr>
                <w:b/>
                <w:sz w:val="18"/>
              </w:rPr>
            </w:pPr>
            <w:r>
              <w:rPr>
                <w:b/>
                <w:sz w:val="18"/>
              </w:rPr>
              <w:t>$'000</w:t>
            </w:r>
          </w:p>
        </w:tc>
        <w:tc>
          <w:tcPr>
            <w:tcW w:w="1373" w:type="dxa"/>
          </w:tcPr>
          <w:p w14:paraId="728FDC65" w14:textId="77777777" w:rsidR="00FA4AA8" w:rsidRDefault="0015611F">
            <w:pPr>
              <w:pStyle w:val="TableParagraph"/>
              <w:spacing w:line="201" w:lineRule="exact"/>
              <w:ind w:left="246"/>
              <w:rPr>
                <w:b/>
                <w:sz w:val="18"/>
              </w:rPr>
            </w:pPr>
            <w:r>
              <w:rPr>
                <w:b/>
                <w:sz w:val="18"/>
              </w:rPr>
              <w:t>2017</w:t>
            </w:r>
          </w:p>
          <w:p w14:paraId="1406F499" w14:textId="77777777" w:rsidR="00FA4AA8" w:rsidRDefault="0015611F">
            <w:pPr>
              <w:pStyle w:val="TableParagraph"/>
              <w:spacing w:before="66" w:line="187" w:lineRule="exact"/>
              <w:ind w:left="224"/>
              <w:rPr>
                <w:b/>
                <w:sz w:val="18"/>
              </w:rPr>
            </w:pPr>
            <w:r>
              <w:rPr>
                <w:b/>
                <w:sz w:val="18"/>
              </w:rPr>
              <w:t>$'000</w:t>
            </w:r>
          </w:p>
        </w:tc>
        <w:tc>
          <w:tcPr>
            <w:tcW w:w="1387" w:type="dxa"/>
          </w:tcPr>
          <w:p w14:paraId="69E24641" w14:textId="77777777" w:rsidR="00FA4AA8" w:rsidRDefault="0015611F">
            <w:pPr>
              <w:pStyle w:val="TableParagraph"/>
              <w:spacing w:line="201" w:lineRule="exact"/>
              <w:ind w:left="325"/>
              <w:rPr>
                <w:b/>
                <w:sz w:val="18"/>
              </w:rPr>
            </w:pPr>
            <w:r>
              <w:rPr>
                <w:b/>
                <w:sz w:val="18"/>
              </w:rPr>
              <w:t>2018</w:t>
            </w:r>
          </w:p>
          <w:p w14:paraId="28AE200E" w14:textId="77777777" w:rsidR="00FA4AA8" w:rsidRDefault="0015611F">
            <w:pPr>
              <w:pStyle w:val="TableParagraph"/>
              <w:spacing w:before="66" w:line="187" w:lineRule="exact"/>
              <w:ind w:left="303"/>
              <w:rPr>
                <w:b/>
                <w:sz w:val="18"/>
              </w:rPr>
            </w:pPr>
            <w:r>
              <w:rPr>
                <w:b/>
                <w:sz w:val="18"/>
              </w:rPr>
              <w:t>$'000</w:t>
            </w:r>
          </w:p>
        </w:tc>
        <w:tc>
          <w:tcPr>
            <w:tcW w:w="1098" w:type="dxa"/>
          </w:tcPr>
          <w:p w14:paraId="3B1076E7" w14:textId="77777777" w:rsidR="00FA4AA8" w:rsidRDefault="0015611F">
            <w:pPr>
              <w:pStyle w:val="TableParagraph"/>
              <w:spacing w:line="201" w:lineRule="exact"/>
              <w:ind w:left="246"/>
              <w:rPr>
                <w:b/>
                <w:sz w:val="18"/>
              </w:rPr>
            </w:pPr>
            <w:r>
              <w:rPr>
                <w:b/>
                <w:sz w:val="18"/>
              </w:rPr>
              <w:t>2017</w:t>
            </w:r>
          </w:p>
          <w:p w14:paraId="01AE5024" w14:textId="77777777" w:rsidR="00FA4AA8" w:rsidRDefault="0015611F">
            <w:pPr>
              <w:pStyle w:val="TableParagraph"/>
              <w:spacing w:before="66" w:line="187" w:lineRule="exact"/>
              <w:ind w:left="224"/>
              <w:rPr>
                <w:b/>
                <w:sz w:val="18"/>
              </w:rPr>
            </w:pPr>
            <w:r>
              <w:rPr>
                <w:b/>
                <w:sz w:val="18"/>
              </w:rPr>
              <w:t>$'000</w:t>
            </w:r>
          </w:p>
        </w:tc>
      </w:tr>
      <w:tr w:rsidR="00FA4AA8" w14:paraId="6F7420A7" w14:textId="77777777">
        <w:trPr>
          <w:trHeight w:val="355"/>
        </w:trPr>
        <w:tc>
          <w:tcPr>
            <w:tcW w:w="3852" w:type="dxa"/>
          </w:tcPr>
          <w:p w14:paraId="54231665" w14:textId="77777777" w:rsidR="00FA4AA8" w:rsidRDefault="0015611F">
            <w:pPr>
              <w:pStyle w:val="TableParagraph"/>
              <w:spacing w:before="146" w:line="190" w:lineRule="exact"/>
              <w:ind w:left="50"/>
              <w:rPr>
                <w:b/>
                <w:sz w:val="18"/>
              </w:rPr>
            </w:pPr>
            <w:r>
              <w:rPr>
                <w:b/>
                <w:sz w:val="18"/>
              </w:rPr>
              <w:t>Cash flows from operating</w:t>
            </w:r>
          </w:p>
        </w:tc>
        <w:tc>
          <w:tcPr>
            <w:tcW w:w="579" w:type="dxa"/>
          </w:tcPr>
          <w:p w14:paraId="611F102F" w14:textId="77777777" w:rsidR="00FA4AA8" w:rsidRDefault="00FA4AA8">
            <w:pPr>
              <w:pStyle w:val="TableParagraph"/>
              <w:rPr>
                <w:rFonts w:ascii="Times New Roman"/>
                <w:sz w:val="18"/>
              </w:rPr>
            </w:pPr>
          </w:p>
        </w:tc>
        <w:tc>
          <w:tcPr>
            <w:tcW w:w="1637" w:type="dxa"/>
          </w:tcPr>
          <w:p w14:paraId="7FBCBFB3" w14:textId="77777777" w:rsidR="00FA4AA8" w:rsidRDefault="00FA4AA8">
            <w:pPr>
              <w:pStyle w:val="TableParagraph"/>
              <w:rPr>
                <w:rFonts w:ascii="Times New Roman"/>
                <w:sz w:val="18"/>
              </w:rPr>
            </w:pPr>
          </w:p>
        </w:tc>
        <w:tc>
          <w:tcPr>
            <w:tcW w:w="1373" w:type="dxa"/>
          </w:tcPr>
          <w:p w14:paraId="0713340F" w14:textId="77777777" w:rsidR="00FA4AA8" w:rsidRDefault="00FA4AA8">
            <w:pPr>
              <w:pStyle w:val="TableParagraph"/>
              <w:rPr>
                <w:rFonts w:ascii="Times New Roman"/>
                <w:sz w:val="18"/>
              </w:rPr>
            </w:pPr>
          </w:p>
        </w:tc>
        <w:tc>
          <w:tcPr>
            <w:tcW w:w="1387" w:type="dxa"/>
          </w:tcPr>
          <w:p w14:paraId="06C0EB02" w14:textId="77777777" w:rsidR="00FA4AA8" w:rsidRDefault="00FA4AA8">
            <w:pPr>
              <w:pStyle w:val="TableParagraph"/>
              <w:rPr>
                <w:rFonts w:ascii="Times New Roman"/>
                <w:sz w:val="18"/>
              </w:rPr>
            </w:pPr>
          </w:p>
        </w:tc>
        <w:tc>
          <w:tcPr>
            <w:tcW w:w="1098" w:type="dxa"/>
          </w:tcPr>
          <w:p w14:paraId="3204711D" w14:textId="77777777" w:rsidR="00FA4AA8" w:rsidRDefault="00FA4AA8">
            <w:pPr>
              <w:pStyle w:val="TableParagraph"/>
              <w:rPr>
                <w:rFonts w:ascii="Times New Roman"/>
                <w:sz w:val="18"/>
              </w:rPr>
            </w:pPr>
          </w:p>
        </w:tc>
      </w:tr>
      <w:tr w:rsidR="00FA4AA8" w14:paraId="36ED0DCF" w14:textId="77777777">
        <w:trPr>
          <w:trHeight w:val="219"/>
        </w:trPr>
        <w:tc>
          <w:tcPr>
            <w:tcW w:w="3852" w:type="dxa"/>
          </w:tcPr>
          <w:p w14:paraId="55158C92" w14:textId="77777777" w:rsidR="00FA4AA8" w:rsidRDefault="0015611F">
            <w:pPr>
              <w:pStyle w:val="TableParagraph"/>
              <w:spacing w:line="200" w:lineRule="exact"/>
              <w:ind w:left="50"/>
              <w:rPr>
                <w:b/>
                <w:sz w:val="18"/>
              </w:rPr>
            </w:pPr>
            <w:r>
              <w:rPr>
                <w:b/>
                <w:sz w:val="18"/>
              </w:rPr>
              <w:t>activities:</w:t>
            </w:r>
          </w:p>
        </w:tc>
        <w:tc>
          <w:tcPr>
            <w:tcW w:w="579" w:type="dxa"/>
          </w:tcPr>
          <w:p w14:paraId="36BE9814" w14:textId="77777777" w:rsidR="00FA4AA8" w:rsidRDefault="00FA4AA8">
            <w:pPr>
              <w:pStyle w:val="TableParagraph"/>
              <w:rPr>
                <w:rFonts w:ascii="Times New Roman"/>
                <w:sz w:val="14"/>
              </w:rPr>
            </w:pPr>
          </w:p>
        </w:tc>
        <w:tc>
          <w:tcPr>
            <w:tcW w:w="1637" w:type="dxa"/>
          </w:tcPr>
          <w:p w14:paraId="48DD0557" w14:textId="77777777" w:rsidR="00FA4AA8" w:rsidRDefault="00FA4AA8">
            <w:pPr>
              <w:pStyle w:val="TableParagraph"/>
              <w:rPr>
                <w:rFonts w:ascii="Times New Roman"/>
                <w:sz w:val="14"/>
              </w:rPr>
            </w:pPr>
          </w:p>
        </w:tc>
        <w:tc>
          <w:tcPr>
            <w:tcW w:w="1373" w:type="dxa"/>
          </w:tcPr>
          <w:p w14:paraId="6222BEC8" w14:textId="77777777" w:rsidR="00FA4AA8" w:rsidRDefault="00FA4AA8">
            <w:pPr>
              <w:pStyle w:val="TableParagraph"/>
              <w:rPr>
                <w:rFonts w:ascii="Times New Roman"/>
                <w:sz w:val="14"/>
              </w:rPr>
            </w:pPr>
          </w:p>
        </w:tc>
        <w:tc>
          <w:tcPr>
            <w:tcW w:w="1387" w:type="dxa"/>
          </w:tcPr>
          <w:p w14:paraId="69FDF93D" w14:textId="77777777" w:rsidR="00FA4AA8" w:rsidRDefault="00FA4AA8">
            <w:pPr>
              <w:pStyle w:val="TableParagraph"/>
              <w:rPr>
                <w:rFonts w:ascii="Times New Roman"/>
                <w:sz w:val="14"/>
              </w:rPr>
            </w:pPr>
          </w:p>
        </w:tc>
        <w:tc>
          <w:tcPr>
            <w:tcW w:w="1098" w:type="dxa"/>
          </w:tcPr>
          <w:p w14:paraId="4F4F794B" w14:textId="77777777" w:rsidR="00FA4AA8" w:rsidRDefault="00FA4AA8">
            <w:pPr>
              <w:pStyle w:val="TableParagraph"/>
              <w:rPr>
                <w:rFonts w:ascii="Times New Roman"/>
                <w:sz w:val="14"/>
              </w:rPr>
            </w:pPr>
          </w:p>
        </w:tc>
      </w:tr>
      <w:tr w:rsidR="00FA4AA8" w14:paraId="51857E71" w14:textId="77777777">
        <w:trPr>
          <w:trHeight w:val="249"/>
        </w:trPr>
        <w:tc>
          <w:tcPr>
            <w:tcW w:w="3852" w:type="dxa"/>
          </w:tcPr>
          <w:p w14:paraId="3F3796B1" w14:textId="77777777" w:rsidR="00FA4AA8" w:rsidRDefault="0015611F">
            <w:pPr>
              <w:pStyle w:val="TableParagraph"/>
              <w:spacing w:before="10"/>
              <w:ind w:left="50"/>
              <w:rPr>
                <w:sz w:val="18"/>
              </w:rPr>
            </w:pPr>
            <w:r>
              <w:rPr>
                <w:sz w:val="18"/>
              </w:rPr>
              <w:t>Australian Government Grants</w:t>
            </w:r>
          </w:p>
        </w:tc>
        <w:tc>
          <w:tcPr>
            <w:tcW w:w="579" w:type="dxa"/>
          </w:tcPr>
          <w:p w14:paraId="529CCBA2" w14:textId="77777777" w:rsidR="00FA4AA8" w:rsidRDefault="00FA4AA8">
            <w:pPr>
              <w:pStyle w:val="TableParagraph"/>
              <w:rPr>
                <w:rFonts w:ascii="Times New Roman"/>
                <w:sz w:val="18"/>
              </w:rPr>
            </w:pPr>
          </w:p>
        </w:tc>
        <w:tc>
          <w:tcPr>
            <w:tcW w:w="1637" w:type="dxa"/>
          </w:tcPr>
          <w:p w14:paraId="643CDCB1" w14:textId="77777777" w:rsidR="00FA4AA8" w:rsidRDefault="0015611F">
            <w:pPr>
              <w:pStyle w:val="TableParagraph"/>
              <w:spacing w:before="12"/>
              <w:ind w:right="282"/>
              <w:jc w:val="right"/>
              <w:rPr>
                <w:b/>
                <w:sz w:val="18"/>
              </w:rPr>
            </w:pPr>
            <w:r>
              <w:rPr>
                <w:b/>
                <w:sz w:val="18"/>
              </w:rPr>
              <w:t>568,654</w:t>
            </w:r>
          </w:p>
        </w:tc>
        <w:tc>
          <w:tcPr>
            <w:tcW w:w="1373" w:type="dxa"/>
          </w:tcPr>
          <w:p w14:paraId="0DEB6026" w14:textId="77777777" w:rsidR="00FA4AA8" w:rsidRDefault="0015611F">
            <w:pPr>
              <w:pStyle w:val="TableParagraph"/>
              <w:spacing w:before="12"/>
              <w:ind w:left="354"/>
              <w:rPr>
                <w:sz w:val="18"/>
              </w:rPr>
            </w:pPr>
            <w:r>
              <w:rPr>
                <w:sz w:val="18"/>
              </w:rPr>
              <w:t>547,900</w:t>
            </w:r>
          </w:p>
        </w:tc>
        <w:tc>
          <w:tcPr>
            <w:tcW w:w="1387" w:type="dxa"/>
          </w:tcPr>
          <w:p w14:paraId="19D45039" w14:textId="77777777" w:rsidR="00FA4AA8" w:rsidRDefault="0015611F">
            <w:pPr>
              <w:pStyle w:val="TableParagraph"/>
              <w:spacing w:before="12"/>
              <w:ind w:right="282"/>
              <w:jc w:val="right"/>
              <w:rPr>
                <w:b/>
                <w:sz w:val="18"/>
              </w:rPr>
            </w:pPr>
            <w:r>
              <w:rPr>
                <w:b/>
                <w:sz w:val="18"/>
              </w:rPr>
              <w:t>568,654</w:t>
            </w:r>
          </w:p>
        </w:tc>
        <w:tc>
          <w:tcPr>
            <w:tcW w:w="1098" w:type="dxa"/>
          </w:tcPr>
          <w:p w14:paraId="011659F3" w14:textId="77777777" w:rsidR="00FA4AA8" w:rsidRDefault="0015611F">
            <w:pPr>
              <w:pStyle w:val="TableParagraph"/>
              <w:spacing w:before="12"/>
              <w:ind w:left="354"/>
              <w:rPr>
                <w:sz w:val="18"/>
              </w:rPr>
            </w:pPr>
            <w:r>
              <w:rPr>
                <w:sz w:val="18"/>
              </w:rPr>
              <w:t>547,900</w:t>
            </w:r>
          </w:p>
        </w:tc>
      </w:tr>
      <w:tr w:rsidR="00FA4AA8" w14:paraId="07C3D335" w14:textId="77777777">
        <w:trPr>
          <w:trHeight w:val="264"/>
        </w:trPr>
        <w:tc>
          <w:tcPr>
            <w:tcW w:w="3852" w:type="dxa"/>
          </w:tcPr>
          <w:p w14:paraId="0950939D" w14:textId="77777777" w:rsidR="00FA4AA8" w:rsidRDefault="0015611F">
            <w:pPr>
              <w:pStyle w:val="TableParagraph"/>
              <w:spacing w:before="24"/>
              <w:ind w:left="50"/>
              <w:rPr>
                <w:sz w:val="18"/>
              </w:rPr>
            </w:pPr>
            <w:r>
              <w:rPr>
                <w:sz w:val="18"/>
              </w:rPr>
              <w:t>State Government Grants</w:t>
            </w:r>
          </w:p>
        </w:tc>
        <w:tc>
          <w:tcPr>
            <w:tcW w:w="579" w:type="dxa"/>
          </w:tcPr>
          <w:p w14:paraId="733BB5D0" w14:textId="77777777" w:rsidR="00FA4AA8" w:rsidRDefault="00FA4AA8">
            <w:pPr>
              <w:pStyle w:val="TableParagraph"/>
              <w:rPr>
                <w:rFonts w:ascii="Times New Roman"/>
                <w:sz w:val="18"/>
              </w:rPr>
            </w:pPr>
          </w:p>
        </w:tc>
        <w:tc>
          <w:tcPr>
            <w:tcW w:w="1637" w:type="dxa"/>
          </w:tcPr>
          <w:p w14:paraId="54BAED37" w14:textId="77777777" w:rsidR="00FA4AA8" w:rsidRDefault="0015611F">
            <w:pPr>
              <w:pStyle w:val="TableParagraph"/>
              <w:spacing w:before="26"/>
              <w:ind w:right="282"/>
              <w:jc w:val="right"/>
              <w:rPr>
                <w:b/>
                <w:sz w:val="18"/>
              </w:rPr>
            </w:pPr>
            <w:r>
              <w:rPr>
                <w:b/>
                <w:sz w:val="18"/>
              </w:rPr>
              <w:t>128</w:t>
            </w:r>
          </w:p>
        </w:tc>
        <w:tc>
          <w:tcPr>
            <w:tcW w:w="1373" w:type="dxa"/>
          </w:tcPr>
          <w:p w14:paraId="222B2C2D" w14:textId="77777777" w:rsidR="00FA4AA8" w:rsidRDefault="0015611F">
            <w:pPr>
              <w:pStyle w:val="TableParagraph"/>
              <w:spacing w:before="26"/>
              <w:ind w:right="361"/>
              <w:jc w:val="right"/>
              <w:rPr>
                <w:sz w:val="18"/>
              </w:rPr>
            </w:pPr>
            <w:r>
              <w:rPr>
                <w:sz w:val="18"/>
              </w:rPr>
              <w:t>19</w:t>
            </w:r>
          </w:p>
        </w:tc>
        <w:tc>
          <w:tcPr>
            <w:tcW w:w="1387" w:type="dxa"/>
          </w:tcPr>
          <w:p w14:paraId="6D4A81FA" w14:textId="77777777" w:rsidR="00FA4AA8" w:rsidRDefault="0015611F">
            <w:pPr>
              <w:pStyle w:val="TableParagraph"/>
              <w:spacing w:before="26"/>
              <w:ind w:right="282"/>
              <w:jc w:val="right"/>
              <w:rPr>
                <w:b/>
                <w:sz w:val="18"/>
              </w:rPr>
            </w:pPr>
            <w:r>
              <w:rPr>
                <w:b/>
                <w:sz w:val="18"/>
              </w:rPr>
              <w:t>128</w:t>
            </w:r>
          </w:p>
        </w:tc>
        <w:tc>
          <w:tcPr>
            <w:tcW w:w="1098" w:type="dxa"/>
          </w:tcPr>
          <w:p w14:paraId="5E694689" w14:textId="77777777" w:rsidR="00FA4AA8" w:rsidRDefault="0015611F">
            <w:pPr>
              <w:pStyle w:val="TableParagraph"/>
              <w:spacing w:before="26"/>
              <w:ind w:right="86"/>
              <w:jc w:val="right"/>
              <w:rPr>
                <w:sz w:val="18"/>
              </w:rPr>
            </w:pPr>
            <w:r>
              <w:rPr>
                <w:sz w:val="18"/>
              </w:rPr>
              <w:t>19</w:t>
            </w:r>
          </w:p>
        </w:tc>
      </w:tr>
      <w:tr w:rsidR="00FA4AA8" w14:paraId="5115152D" w14:textId="77777777">
        <w:trPr>
          <w:trHeight w:val="264"/>
        </w:trPr>
        <w:tc>
          <w:tcPr>
            <w:tcW w:w="3852" w:type="dxa"/>
          </w:tcPr>
          <w:p w14:paraId="7E8A5F22" w14:textId="77777777" w:rsidR="00FA4AA8" w:rsidRDefault="0015611F">
            <w:pPr>
              <w:pStyle w:val="TableParagraph"/>
              <w:spacing w:before="24"/>
              <w:ind w:left="50"/>
              <w:rPr>
                <w:sz w:val="18"/>
              </w:rPr>
            </w:pPr>
            <w:r>
              <w:rPr>
                <w:sz w:val="18"/>
              </w:rPr>
              <w:t>HECS-HELP - Student payments</w:t>
            </w:r>
          </w:p>
        </w:tc>
        <w:tc>
          <w:tcPr>
            <w:tcW w:w="579" w:type="dxa"/>
          </w:tcPr>
          <w:p w14:paraId="1D70951D" w14:textId="77777777" w:rsidR="00FA4AA8" w:rsidRDefault="00FA4AA8">
            <w:pPr>
              <w:pStyle w:val="TableParagraph"/>
              <w:rPr>
                <w:rFonts w:ascii="Times New Roman"/>
                <w:sz w:val="18"/>
              </w:rPr>
            </w:pPr>
          </w:p>
        </w:tc>
        <w:tc>
          <w:tcPr>
            <w:tcW w:w="1637" w:type="dxa"/>
          </w:tcPr>
          <w:p w14:paraId="03153375" w14:textId="77777777" w:rsidR="00FA4AA8" w:rsidRDefault="0015611F">
            <w:pPr>
              <w:pStyle w:val="TableParagraph"/>
              <w:spacing w:before="26"/>
              <w:ind w:right="282"/>
              <w:jc w:val="right"/>
              <w:rPr>
                <w:b/>
                <w:sz w:val="18"/>
              </w:rPr>
            </w:pPr>
            <w:r>
              <w:rPr>
                <w:b/>
                <w:sz w:val="18"/>
              </w:rPr>
              <w:t>14,075</w:t>
            </w:r>
          </w:p>
        </w:tc>
        <w:tc>
          <w:tcPr>
            <w:tcW w:w="1373" w:type="dxa"/>
          </w:tcPr>
          <w:p w14:paraId="5F63D2A3" w14:textId="77777777" w:rsidR="00FA4AA8" w:rsidRDefault="0015611F">
            <w:pPr>
              <w:pStyle w:val="TableParagraph"/>
              <w:spacing w:before="26"/>
              <w:ind w:left="454"/>
              <w:rPr>
                <w:sz w:val="18"/>
              </w:rPr>
            </w:pPr>
            <w:r>
              <w:rPr>
                <w:sz w:val="18"/>
              </w:rPr>
              <w:t>13,700</w:t>
            </w:r>
          </w:p>
        </w:tc>
        <w:tc>
          <w:tcPr>
            <w:tcW w:w="1387" w:type="dxa"/>
          </w:tcPr>
          <w:p w14:paraId="1394ADD5" w14:textId="77777777" w:rsidR="00FA4AA8" w:rsidRDefault="0015611F">
            <w:pPr>
              <w:pStyle w:val="TableParagraph"/>
              <w:spacing w:before="26"/>
              <w:ind w:right="282"/>
              <w:jc w:val="right"/>
              <w:rPr>
                <w:b/>
                <w:sz w:val="18"/>
              </w:rPr>
            </w:pPr>
            <w:r>
              <w:rPr>
                <w:b/>
                <w:sz w:val="18"/>
              </w:rPr>
              <w:t>14,075</w:t>
            </w:r>
          </w:p>
        </w:tc>
        <w:tc>
          <w:tcPr>
            <w:tcW w:w="1098" w:type="dxa"/>
          </w:tcPr>
          <w:p w14:paraId="49DD7D19" w14:textId="77777777" w:rsidR="00FA4AA8" w:rsidRDefault="0015611F">
            <w:pPr>
              <w:pStyle w:val="TableParagraph"/>
              <w:spacing w:before="26"/>
              <w:ind w:right="87"/>
              <w:jc w:val="right"/>
              <w:rPr>
                <w:sz w:val="18"/>
              </w:rPr>
            </w:pPr>
            <w:r>
              <w:rPr>
                <w:sz w:val="18"/>
              </w:rPr>
              <w:t>13,700</w:t>
            </w:r>
          </w:p>
        </w:tc>
      </w:tr>
      <w:tr w:rsidR="00FA4AA8" w14:paraId="0F10C100" w14:textId="77777777">
        <w:trPr>
          <w:trHeight w:val="466"/>
        </w:trPr>
        <w:tc>
          <w:tcPr>
            <w:tcW w:w="3852" w:type="dxa"/>
          </w:tcPr>
          <w:p w14:paraId="30DA4B2C" w14:textId="77777777" w:rsidR="00FA4AA8" w:rsidRDefault="0015611F">
            <w:pPr>
              <w:pStyle w:val="TableParagraph"/>
              <w:spacing w:before="24"/>
              <w:ind w:left="50" w:right="570"/>
              <w:rPr>
                <w:sz w:val="18"/>
              </w:rPr>
            </w:pPr>
            <w:r>
              <w:rPr>
                <w:sz w:val="18"/>
              </w:rPr>
              <w:t>Receipts from student fees and other customers</w:t>
            </w:r>
          </w:p>
        </w:tc>
        <w:tc>
          <w:tcPr>
            <w:tcW w:w="579" w:type="dxa"/>
          </w:tcPr>
          <w:p w14:paraId="41829912" w14:textId="77777777" w:rsidR="00FA4AA8" w:rsidRDefault="00FA4AA8">
            <w:pPr>
              <w:pStyle w:val="TableParagraph"/>
              <w:rPr>
                <w:rFonts w:ascii="Times New Roman"/>
                <w:sz w:val="18"/>
              </w:rPr>
            </w:pPr>
          </w:p>
        </w:tc>
        <w:tc>
          <w:tcPr>
            <w:tcW w:w="1637" w:type="dxa"/>
          </w:tcPr>
          <w:p w14:paraId="4A372952" w14:textId="77777777" w:rsidR="00FA4AA8" w:rsidRDefault="00FA4AA8">
            <w:pPr>
              <w:pStyle w:val="TableParagraph"/>
              <w:spacing w:before="9"/>
              <w:rPr>
                <w:b/>
                <w:sz w:val="19"/>
              </w:rPr>
            </w:pPr>
          </w:p>
          <w:p w14:paraId="41390A34" w14:textId="77777777" w:rsidR="00FA4AA8" w:rsidRDefault="0015611F">
            <w:pPr>
              <w:pStyle w:val="TableParagraph"/>
              <w:spacing w:before="1"/>
              <w:ind w:right="282"/>
              <w:jc w:val="right"/>
              <w:rPr>
                <w:b/>
                <w:sz w:val="18"/>
              </w:rPr>
            </w:pPr>
            <w:r>
              <w:rPr>
                <w:b/>
                <w:sz w:val="18"/>
              </w:rPr>
              <w:t>315,404</w:t>
            </w:r>
          </w:p>
        </w:tc>
        <w:tc>
          <w:tcPr>
            <w:tcW w:w="1373" w:type="dxa"/>
          </w:tcPr>
          <w:p w14:paraId="44493772" w14:textId="77777777" w:rsidR="00FA4AA8" w:rsidRDefault="00FA4AA8">
            <w:pPr>
              <w:pStyle w:val="TableParagraph"/>
              <w:spacing w:before="9"/>
              <w:rPr>
                <w:b/>
                <w:sz w:val="19"/>
              </w:rPr>
            </w:pPr>
          </w:p>
          <w:p w14:paraId="47E0DFFD" w14:textId="77777777" w:rsidR="00FA4AA8" w:rsidRDefault="0015611F">
            <w:pPr>
              <w:pStyle w:val="TableParagraph"/>
              <w:spacing w:before="1"/>
              <w:ind w:left="354"/>
              <w:rPr>
                <w:sz w:val="18"/>
              </w:rPr>
            </w:pPr>
            <w:r>
              <w:rPr>
                <w:sz w:val="18"/>
              </w:rPr>
              <w:t>233,131</w:t>
            </w:r>
          </w:p>
        </w:tc>
        <w:tc>
          <w:tcPr>
            <w:tcW w:w="1387" w:type="dxa"/>
          </w:tcPr>
          <w:p w14:paraId="18FDC301" w14:textId="77777777" w:rsidR="00FA4AA8" w:rsidRDefault="00FA4AA8">
            <w:pPr>
              <w:pStyle w:val="TableParagraph"/>
              <w:spacing w:before="9"/>
              <w:rPr>
                <w:b/>
                <w:sz w:val="19"/>
              </w:rPr>
            </w:pPr>
          </w:p>
          <w:p w14:paraId="5A2ECBE3" w14:textId="77777777" w:rsidR="00FA4AA8" w:rsidRDefault="0015611F">
            <w:pPr>
              <w:pStyle w:val="TableParagraph"/>
              <w:spacing w:before="1"/>
              <w:ind w:right="282"/>
              <w:jc w:val="right"/>
              <w:rPr>
                <w:b/>
                <w:sz w:val="18"/>
              </w:rPr>
            </w:pPr>
            <w:r>
              <w:rPr>
                <w:b/>
                <w:sz w:val="18"/>
              </w:rPr>
              <w:t>297,111</w:t>
            </w:r>
          </w:p>
        </w:tc>
        <w:tc>
          <w:tcPr>
            <w:tcW w:w="1098" w:type="dxa"/>
          </w:tcPr>
          <w:p w14:paraId="5050AB17" w14:textId="77777777" w:rsidR="00FA4AA8" w:rsidRDefault="00FA4AA8">
            <w:pPr>
              <w:pStyle w:val="TableParagraph"/>
              <w:spacing w:before="9"/>
              <w:rPr>
                <w:b/>
                <w:sz w:val="19"/>
              </w:rPr>
            </w:pPr>
          </w:p>
          <w:p w14:paraId="41C07336" w14:textId="77777777" w:rsidR="00FA4AA8" w:rsidRDefault="0015611F">
            <w:pPr>
              <w:pStyle w:val="TableParagraph"/>
              <w:spacing w:before="1"/>
              <w:ind w:left="354"/>
              <w:rPr>
                <w:sz w:val="18"/>
              </w:rPr>
            </w:pPr>
            <w:r>
              <w:rPr>
                <w:sz w:val="18"/>
              </w:rPr>
              <w:t>233,461</w:t>
            </w:r>
          </w:p>
        </w:tc>
      </w:tr>
      <w:tr w:rsidR="00FA4AA8" w14:paraId="23B66B3D" w14:textId="77777777">
        <w:trPr>
          <w:trHeight w:val="262"/>
        </w:trPr>
        <w:tc>
          <w:tcPr>
            <w:tcW w:w="3852" w:type="dxa"/>
          </w:tcPr>
          <w:p w14:paraId="10C8E370" w14:textId="77777777" w:rsidR="00FA4AA8" w:rsidRDefault="0015611F">
            <w:pPr>
              <w:pStyle w:val="TableParagraph"/>
              <w:spacing w:before="23"/>
              <w:ind w:left="50"/>
              <w:rPr>
                <w:sz w:val="18"/>
              </w:rPr>
            </w:pPr>
            <w:r>
              <w:rPr>
                <w:sz w:val="18"/>
              </w:rPr>
              <w:t>Dividends received</w:t>
            </w:r>
          </w:p>
        </w:tc>
        <w:tc>
          <w:tcPr>
            <w:tcW w:w="579" w:type="dxa"/>
          </w:tcPr>
          <w:p w14:paraId="05C9E947" w14:textId="77777777" w:rsidR="00FA4AA8" w:rsidRDefault="00FA4AA8">
            <w:pPr>
              <w:pStyle w:val="TableParagraph"/>
              <w:rPr>
                <w:rFonts w:ascii="Times New Roman"/>
                <w:sz w:val="18"/>
              </w:rPr>
            </w:pPr>
          </w:p>
        </w:tc>
        <w:tc>
          <w:tcPr>
            <w:tcW w:w="1637" w:type="dxa"/>
          </w:tcPr>
          <w:p w14:paraId="2E06F501" w14:textId="77777777" w:rsidR="00FA4AA8" w:rsidRDefault="0015611F">
            <w:pPr>
              <w:pStyle w:val="TableParagraph"/>
              <w:spacing w:before="25"/>
              <w:ind w:right="282"/>
              <w:jc w:val="right"/>
              <w:rPr>
                <w:b/>
                <w:sz w:val="18"/>
              </w:rPr>
            </w:pPr>
            <w:r>
              <w:rPr>
                <w:b/>
                <w:sz w:val="18"/>
              </w:rPr>
              <w:t>1,529</w:t>
            </w:r>
          </w:p>
        </w:tc>
        <w:tc>
          <w:tcPr>
            <w:tcW w:w="1373" w:type="dxa"/>
          </w:tcPr>
          <w:p w14:paraId="5BF1E148" w14:textId="77777777" w:rsidR="00FA4AA8" w:rsidRDefault="0015611F">
            <w:pPr>
              <w:pStyle w:val="TableParagraph"/>
              <w:spacing w:before="25"/>
              <w:ind w:left="555"/>
              <w:rPr>
                <w:sz w:val="18"/>
              </w:rPr>
            </w:pPr>
            <w:r>
              <w:rPr>
                <w:sz w:val="18"/>
              </w:rPr>
              <w:t>2,041</w:t>
            </w:r>
          </w:p>
        </w:tc>
        <w:tc>
          <w:tcPr>
            <w:tcW w:w="1387" w:type="dxa"/>
          </w:tcPr>
          <w:p w14:paraId="695C70A7" w14:textId="77777777" w:rsidR="00FA4AA8" w:rsidRDefault="0015611F">
            <w:pPr>
              <w:pStyle w:val="TableParagraph"/>
              <w:spacing w:before="25"/>
              <w:ind w:right="282"/>
              <w:jc w:val="right"/>
              <w:rPr>
                <w:b/>
                <w:sz w:val="18"/>
              </w:rPr>
            </w:pPr>
            <w:r>
              <w:rPr>
                <w:b/>
                <w:sz w:val="18"/>
              </w:rPr>
              <w:t>1,529</w:t>
            </w:r>
          </w:p>
        </w:tc>
        <w:tc>
          <w:tcPr>
            <w:tcW w:w="1098" w:type="dxa"/>
          </w:tcPr>
          <w:p w14:paraId="1A5AAD48" w14:textId="77777777" w:rsidR="00FA4AA8" w:rsidRDefault="0015611F">
            <w:pPr>
              <w:pStyle w:val="TableParagraph"/>
              <w:spacing w:before="25"/>
              <w:ind w:right="87"/>
              <w:jc w:val="right"/>
              <w:rPr>
                <w:sz w:val="18"/>
              </w:rPr>
            </w:pPr>
            <w:r>
              <w:rPr>
                <w:sz w:val="18"/>
              </w:rPr>
              <w:t>2,041</w:t>
            </w:r>
          </w:p>
        </w:tc>
      </w:tr>
      <w:tr w:rsidR="00FA4AA8" w14:paraId="330D2CCC" w14:textId="77777777">
        <w:trPr>
          <w:trHeight w:val="466"/>
        </w:trPr>
        <w:tc>
          <w:tcPr>
            <w:tcW w:w="3852" w:type="dxa"/>
          </w:tcPr>
          <w:p w14:paraId="283CD2F6" w14:textId="77777777" w:rsidR="00FA4AA8" w:rsidRDefault="0015611F">
            <w:pPr>
              <w:pStyle w:val="TableParagraph"/>
              <w:spacing w:before="24"/>
              <w:ind w:left="50" w:right="1431"/>
              <w:rPr>
                <w:sz w:val="18"/>
              </w:rPr>
            </w:pPr>
            <w:r>
              <w:rPr>
                <w:sz w:val="18"/>
              </w:rPr>
              <w:t>Payments to suppliers and employees (inclusive of GST)</w:t>
            </w:r>
          </w:p>
        </w:tc>
        <w:tc>
          <w:tcPr>
            <w:tcW w:w="579" w:type="dxa"/>
          </w:tcPr>
          <w:p w14:paraId="4075EC00" w14:textId="77777777" w:rsidR="00FA4AA8" w:rsidRDefault="00FA4AA8">
            <w:pPr>
              <w:pStyle w:val="TableParagraph"/>
              <w:rPr>
                <w:rFonts w:ascii="Times New Roman"/>
                <w:sz w:val="18"/>
              </w:rPr>
            </w:pPr>
          </w:p>
        </w:tc>
        <w:tc>
          <w:tcPr>
            <w:tcW w:w="1637" w:type="dxa"/>
          </w:tcPr>
          <w:p w14:paraId="06EBA487" w14:textId="77777777" w:rsidR="00FA4AA8" w:rsidRDefault="00FA4AA8">
            <w:pPr>
              <w:pStyle w:val="TableParagraph"/>
              <w:spacing w:before="9"/>
              <w:rPr>
                <w:b/>
                <w:sz w:val="19"/>
              </w:rPr>
            </w:pPr>
          </w:p>
          <w:p w14:paraId="1913916F" w14:textId="77777777" w:rsidR="00FA4AA8" w:rsidRDefault="0015611F">
            <w:pPr>
              <w:pStyle w:val="TableParagraph"/>
              <w:spacing w:before="1"/>
              <w:ind w:right="222"/>
              <w:jc w:val="right"/>
              <w:rPr>
                <w:b/>
                <w:sz w:val="18"/>
              </w:rPr>
            </w:pPr>
            <w:r>
              <w:rPr>
                <w:b/>
                <w:sz w:val="18"/>
              </w:rPr>
              <w:t>(773,676)</w:t>
            </w:r>
          </w:p>
        </w:tc>
        <w:tc>
          <w:tcPr>
            <w:tcW w:w="1373" w:type="dxa"/>
          </w:tcPr>
          <w:p w14:paraId="1EBF0041" w14:textId="77777777" w:rsidR="00FA4AA8" w:rsidRDefault="00FA4AA8">
            <w:pPr>
              <w:pStyle w:val="TableParagraph"/>
              <w:spacing w:before="9"/>
              <w:rPr>
                <w:b/>
                <w:sz w:val="19"/>
              </w:rPr>
            </w:pPr>
          </w:p>
          <w:p w14:paraId="2079888B" w14:textId="77777777" w:rsidR="00FA4AA8" w:rsidRDefault="0015611F">
            <w:pPr>
              <w:pStyle w:val="TableParagraph"/>
              <w:spacing w:before="1"/>
              <w:ind w:right="301"/>
              <w:jc w:val="right"/>
              <w:rPr>
                <w:sz w:val="18"/>
              </w:rPr>
            </w:pPr>
            <w:r>
              <w:rPr>
                <w:sz w:val="18"/>
              </w:rPr>
              <w:t>(714,378)</w:t>
            </w:r>
          </w:p>
        </w:tc>
        <w:tc>
          <w:tcPr>
            <w:tcW w:w="1387" w:type="dxa"/>
          </w:tcPr>
          <w:p w14:paraId="7178088C" w14:textId="77777777" w:rsidR="00FA4AA8" w:rsidRDefault="00FA4AA8">
            <w:pPr>
              <w:pStyle w:val="TableParagraph"/>
              <w:spacing w:before="9"/>
              <w:rPr>
                <w:b/>
                <w:sz w:val="19"/>
              </w:rPr>
            </w:pPr>
          </w:p>
          <w:p w14:paraId="24ECCAB6" w14:textId="77777777" w:rsidR="00FA4AA8" w:rsidRDefault="0015611F">
            <w:pPr>
              <w:pStyle w:val="TableParagraph"/>
              <w:spacing w:before="1"/>
              <w:ind w:right="222"/>
              <w:jc w:val="right"/>
              <w:rPr>
                <w:b/>
                <w:sz w:val="18"/>
              </w:rPr>
            </w:pPr>
            <w:r>
              <w:rPr>
                <w:b/>
                <w:sz w:val="18"/>
              </w:rPr>
              <w:t>(777,107)</w:t>
            </w:r>
          </w:p>
        </w:tc>
        <w:tc>
          <w:tcPr>
            <w:tcW w:w="1098" w:type="dxa"/>
          </w:tcPr>
          <w:p w14:paraId="2B2978AB" w14:textId="77777777" w:rsidR="00FA4AA8" w:rsidRDefault="00FA4AA8">
            <w:pPr>
              <w:pStyle w:val="TableParagraph"/>
              <w:spacing w:before="9"/>
              <w:rPr>
                <w:b/>
                <w:sz w:val="19"/>
              </w:rPr>
            </w:pPr>
          </w:p>
          <w:p w14:paraId="7106F5B6" w14:textId="77777777" w:rsidR="00FA4AA8" w:rsidRDefault="0015611F">
            <w:pPr>
              <w:pStyle w:val="TableParagraph"/>
              <w:spacing w:before="1"/>
              <w:ind w:right="26"/>
              <w:jc w:val="right"/>
              <w:rPr>
                <w:sz w:val="18"/>
              </w:rPr>
            </w:pPr>
            <w:r>
              <w:rPr>
                <w:sz w:val="18"/>
              </w:rPr>
              <w:t>(716,398)</w:t>
            </w:r>
          </w:p>
        </w:tc>
      </w:tr>
      <w:tr w:rsidR="00FA4AA8" w14:paraId="1D70F683" w14:textId="77777777">
        <w:trPr>
          <w:trHeight w:val="262"/>
        </w:trPr>
        <w:tc>
          <w:tcPr>
            <w:tcW w:w="3852" w:type="dxa"/>
          </w:tcPr>
          <w:p w14:paraId="1B7C5452" w14:textId="77777777" w:rsidR="00FA4AA8" w:rsidRDefault="0015611F">
            <w:pPr>
              <w:pStyle w:val="TableParagraph"/>
              <w:spacing w:before="23"/>
              <w:ind w:left="50"/>
              <w:rPr>
                <w:sz w:val="18"/>
              </w:rPr>
            </w:pPr>
            <w:r>
              <w:rPr>
                <w:sz w:val="18"/>
              </w:rPr>
              <w:t>Interest received</w:t>
            </w:r>
          </w:p>
        </w:tc>
        <w:tc>
          <w:tcPr>
            <w:tcW w:w="579" w:type="dxa"/>
          </w:tcPr>
          <w:p w14:paraId="0BBB88D6" w14:textId="77777777" w:rsidR="00FA4AA8" w:rsidRDefault="00FA4AA8">
            <w:pPr>
              <w:pStyle w:val="TableParagraph"/>
              <w:rPr>
                <w:rFonts w:ascii="Times New Roman"/>
                <w:sz w:val="18"/>
              </w:rPr>
            </w:pPr>
          </w:p>
        </w:tc>
        <w:tc>
          <w:tcPr>
            <w:tcW w:w="1637" w:type="dxa"/>
          </w:tcPr>
          <w:p w14:paraId="347D3250" w14:textId="77777777" w:rsidR="00FA4AA8" w:rsidRDefault="0015611F">
            <w:pPr>
              <w:pStyle w:val="TableParagraph"/>
              <w:spacing w:before="25"/>
              <w:ind w:right="282"/>
              <w:jc w:val="right"/>
              <w:rPr>
                <w:b/>
                <w:sz w:val="18"/>
              </w:rPr>
            </w:pPr>
            <w:r>
              <w:rPr>
                <w:b/>
                <w:sz w:val="18"/>
              </w:rPr>
              <w:t>13,065</w:t>
            </w:r>
          </w:p>
        </w:tc>
        <w:tc>
          <w:tcPr>
            <w:tcW w:w="1373" w:type="dxa"/>
          </w:tcPr>
          <w:p w14:paraId="42000639" w14:textId="77777777" w:rsidR="00FA4AA8" w:rsidRDefault="0015611F">
            <w:pPr>
              <w:pStyle w:val="TableParagraph"/>
              <w:spacing w:before="25"/>
              <w:ind w:left="454"/>
              <w:rPr>
                <w:sz w:val="18"/>
              </w:rPr>
            </w:pPr>
            <w:r>
              <w:rPr>
                <w:sz w:val="18"/>
              </w:rPr>
              <w:t>11,389</w:t>
            </w:r>
          </w:p>
        </w:tc>
        <w:tc>
          <w:tcPr>
            <w:tcW w:w="1387" w:type="dxa"/>
          </w:tcPr>
          <w:p w14:paraId="15FB8669" w14:textId="77777777" w:rsidR="00FA4AA8" w:rsidRDefault="0015611F">
            <w:pPr>
              <w:pStyle w:val="TableParagraph"/>
              <w:spacing w:before="25"/>
              <w:ind w:right="282"/>
              <w:jc w:val="right"/>
              <w:rPr>
                <w:b/>
                <w:sz w:val="18"/>
              </w:rPr>
            </w:pPr>
            <w:r>
              <w:rPr>
                <w:b/>
                <w:sz w:val="18"/>
              </w:rPr>
              <w:t>12,561</w:t>
            </w:r>
          </w:p>
        </w:tc>
        <w:tc>
          <w:tcPr>
            <w:tcW w:w="1098" w:type="dxa"/>
          </w:tcPr>
          <w:p w14:paraId="6D602B7B" w14:textId="77777777" w:rsidR="00FA4AA8" w:rsidRDefault="0015611F">
            <w:pPr>
              <w:pStyle w:val="TableParagraph"/>
              <w:spacing w:before="25"/>
              <w:ind w:right="87"/>
              <w:jc w:val="right"/>
              <w:rPr>
                <w:sz w:val="18"/>
              </w:rPr>
            </w:pPr>
            <w:r>
              <w:rPr>
                <w:sz w:val="18"/>
              </w:rPr>
              <w:t>11,105</w:t>
            </w:r>
          </w:p>
        </w:tc>
      </w:tr>
      <w:tr w:rsidR="00FA4AA8" w14:paraId="73F95E2C" w14:textId="77777777">
        <w:trPr>
          <w:trHeight w:val="264"/>
        </w:trPr>
        <w:tc>
          <w:tcPr>
            <w:tcW w:w="3852" w:type="dxa"/>
          </w:tcPr>
          <w:p w14:paraId="11ADB790" w14:textId="77777777" w:rsidR="00FA4AA8" w:rsidRDefault="0015611F">
            <w:pPr>
              <w:pStyle w:val="TableParagraph"/>
              <w:spacing w:before="24"/>
              <w:ind w:left="50"/>
              <w:rPr>
                <w:sz w:val="18"/>
              </w:rPr>
            </w:pPr>
            <w:r>
              <w:rPr>
                <w:sz w:val="18"/>
              </w:rPr>
              <w:t>Interest and other costs of finance</w:t>
            </w:r>
          </w:p>
        </w:tc>
        <w:tc>
          <w:tcPr>
            <w:tcW w:w="579" w:type="dxa"/>
          </w:tcPr>
          <w:p w14:paraId="5067DD16" w14:textId="77777777" w:rsidR="00FA4AA8" w:rsidRDefault="00FA4AA8">
            <w:pPr>
              <w:pStyle w:val="TableParagraph"/>
              <w:rPr>
                <w:rFonts w:ascii="Times New Roman"/>
                <w:sz w:val="18"/>
              </w:rPr>
            </w:pPr>
          </w:p>
        </w:tc>
        <w:tc>
          <w:tcPr>
            <w:tcW w:w="1637" w:type="dxa"/>
          </w:tcPr>
          <w:p w14:paraId="3B9983A9" w14:textId="77777777" w:rsidR="00FA4AA8" w:rsidRDefault="0015611F">
            <w:pPr>
              <w:pStyle w:val="TableParagraph"/>
              <w:spacing w:before="26"/>
              <w:ind w:right="222"/>
              <w:jc w:val="right"/>
              <w:rPr>
                <w:b/>
                <w:sz w:val="18"/>
              </w:rPr>
            </w:pPr>
            <w:r>
              <w:rPr>
                <w:b/>
                <w:sz w:val="18"/>
              </w:rPr>
              <w:t>(5,056)</w:t>
            </w:r>
          </w:p>
        </w:tc>
        <w:tc>
          <w:tcPr>
            <w:tcW w:w="1373" w:type="dxa"/>
          </w:tcPr>
          <w:p w14:paraId="0B5CCF1A" w14:textId="77777777" w:rsidR="00FA4AA8" w:rsidRDefault="0015611F">
            <w:pPr>
              <w:pStyle w:val="TableParagraph"/>
              <w:spacing w:before="26"/>
              <w:ind w:right="301"/>
              <w:jc w:val="right"/>
              <w:rPr>
                <w:sz w:val="18"/>
              </w:rPr>
            </w:pPr>
            <w:r>
              <w:rPr>
                <w:sz w:val="18"/>
              </w:rPr>
              <w:t>(4,276)</w:t>
            </w:r>
          </w:p>
        </w:tc>
        <w:tc>
          <w:tcPr>
            <w:tcW w:w="1387" w:type="dxa"/>
          </w:tcPr>
          <w:p w14:paraId="0281D0B8" w14:textId="77777777" w:rsidR="00FA4AA8" w:rsidRDefault="0015611F">
            <w:pPr>
              <w:pStyle w:val="TableParagraph"/>
              <w:spacing w:before="26"/>
              <w:ind w:right="222"/>
              <w:jc w:val="right"/>
              <w:rPr>
                <w:b/>
                <w:sz w:val="18"/>
              </w:rPr>
            </w:pPr>
            <w:r>
              <w:rPr>
                <w:b/>
                <w:sz w:val="18"/>
              </w:rPr>
              <w:t>(5,056)</w:t>
            </w:r>
          </w:p>
        </w:tc>
        <w:tc>
          <w:tcPr>
            <w:tcW w:w="1098" w:type="dxa"/>
          </w:tcPr>
          <w:p w14:paraId="4930E621" w14:textId="77777777" w:rsidR="00FA4AA8" w:rsidRDefault="0015611F">
            <w:pPr>
              <w:pStyle w:val="TableParagraph"/>
              <w:spacing w:before="26"/>
              <w:ind w:right="26"/>
              <w:jc w:val="right"/>
              <w:rPr>
                <w:sz w:val="18"/>
              </w:rPr>
            </w:pPr>
            <w:r>
              <w:rPr>
                <w:sz w:val="18"/>
              </w:rPr>
              <w:t>(4,277)</w:t>
            </w:r>
          </w:p>
        </w:tc>
      </w:tr>
      <w:tr w:rsidR="00FA4AA8" w14:paraId="11F2D7AA" w14:textId="77777777">
        <w:trPr>
          <w:trHeight w:val="258"/>
        </w:trPr>
        <w:tc>
          <w:tcPr>
            <w:tcW w:w="3852" w:type="dxa"/>
          </w:tcPr>
          <w:p w14:paraId="409EBB31" w14:textId="77777777" w:rsidR="00FA4AA8" w:rsidRDefault="0015611F">
            <w:pPr>
              <w:pStyle w:val="TableParagraph"/>
              <w:spacing w:before="24"/>
              <w:ind w:left="50"/>
              <w:rPr>
                <w:sz w:val="18"/>
              </w:rPr>
            </w:pPr>
            <w:r>
              <w:rPr>
                <w:sz w:val="18"/>
              </w:rPr>
              <w:t>GST recovered</w:t>
            </w:r>
          </w:p>
        </w:tc>
        <w:tc>
          <w:tcPr>
            <w:tcW w:w="579" w:type="dxa"/>
          </w:tcPr>
          <w:p w14:paraId="24800E5C" w14:textId="77777777" w:rsidR="00FA4AA8" w:rsidRDefault="00FA4AA8">
            <w:pPr>
              <w:pStyle w:val="TableParagraph"/>
              <w:rPr>
                <w:rFonts w:ascii="Times New Roman"/>
                <w:sz w:val="18"/>
              </w:rPr>
            </w:pPr>
          </w:p>
        </w:tc>
        <w:tc>
          <w:tcPr>
            <w:tcW w:w="1637" w:type="dxa"/>
            <w:tcBorders>
              <w:bottom w:val="single" w:sz="8" w:space="0" w:color="000000"/>
            </w:tcBorders>
          </w:tcPr>
          <w:p w14:paraId="5FB3A4CE" w14:textId="77777777" w:rsidR="00FA4AA8" w:rsidRDefault="0015611F">
            <w:pPr>
              <w:pStyle w:val="TableParagraph"/>
              <w:spacing w:before="26"/>
              <w:ind w:right="282"/>
              <w:jc w:val="right"/>
              <w:rPr>
                <w:b/>
                <w:sz w:val="18"/>
              </w:rPr>
            </w:pPr>
            <w:r>
              <w:rPr>
                <w:b/>
                <w:sz w:val="18"/>
              </w:rPr>
              <w:t>27,329</w:t>
            </w:r>
          </w:p>
        </w:tc>
        <w:tc>
          <w:tcPr>
            <w:tcW w:w="1373" w:type="dxa"/>
            <w:tcBorders>
              <w:bottom w:val="single" w:sz="8" w:space="0" w:color="000000"/>
            </w:tcBorders>
          </w:tcPr>
          <w:p w14:paraId="09C65452" w14:textId="77777777" w:rsidR="00FA4AA8" w:rsidRDefault="0015611F">
            <w:pPr>
              <w:pStyle w:val="TableParagraph"/>
              <w:spacing w:before="26"/>
              <w:ind w:left="454"/>
              <w:rPr>
                <w:sz w:val="18"/>
              </w:rPr>
            </w:pPr>
            <w:r>
              <w:rPr>
                <w:sz w:val="18"/>
              </w:rPr>
              <w:t>27,766</w:t>
            </w:r>
          </w:p>
        </w:tc>
        <w:tc>
          <w:tcPr>
            <w:tcW w:w="1387" w:type="dxa"/>
            <w:tcBorders>
              <w:bottom w:val="single" w:sz="8" w:space="0" w:color="000000"/>
            </w:tcBorders>
          </w:tcPr>
          <w:p w14:paraId="189D8D55" w14:textId="77777777" w:rsidR="00FA4AA8" w:rsidRDefault="0015611F">
            <w:pPr>
              <w:pStyle w:val="TableParagraph"/>
              <w:spacing w:before="26"/>
              <w:ind w:right="282"/>
              <w:jc w:val="right"/>
              <w:rPr>
                <w:b/>
                <w:sz w:val="18"/>
              </w:rPr>
            </w:pPr>
            <w:r>
              <w:rPr>
                <w:b/>
                <w:sz w:val="18"/>
              </w:rPr>
              <w:t>27,329</w:t>
            </w:r>
          </w:p>
        </w:tc>
        <w:tc>
          <w:tcPr>
            <w:tcW w:w="1098" w:type="dxa"/>
            <w:tcBorders>
              <w:bottom w:val="single" w:sz="8" w:space="0" w:color="000000"/>
            </w:tcBorders>
          </w:tcPr>
          <w:p w14:paraId="6F43AA8D" w14:textId="77777777" w:rsidR="00FA4AA8" w:rsidRDefault="0015611F">
            <w:pPr>
              <w:pStyle w:val="TableParagraph"/>
              <w:spacing w:before="26"/>
              <w:ind w:right="87"/>
              <w:jc w:val="right"/>
              <w:rPr>
                <w:sz w:val="18"/>
              </w:rPr>
            </w:pPr>
            <w:r>
              <w:rPr>
                <w:sz w:val="18"/>
              </w:rPr>
              <w:t>27,766</w:t>
            </w:r>
          </w:p>
        </w:tc>
      </w:tr>
      <w:tr w:rsidR="00FA4AA8" w14:paraId="63643BEE" w14:textId="77777777">
        <w:trPr>
          <w:trHeight w:val="238"/>
        </w:trPr>
        <w:tc>
          <w:tcPr>
            <w:tcW w:w="3852" w:type="dxa"/>
          </w:tcPr>
          <w:p w14:paraId="2C4852BA" w14:textId="77777777" w:rsidR="00FA4AA8" w:rsidRDefault="0015611F">
            <w:pPr>
              <w:pStyle w:val="TableParagraph"/>
              <w:spacing w:before="28" w:line="190" w:lineRule="exact"/>
              <w:ind w:left="50"/>
              <w:rPr>
                <w:b/>
                <w:sz w:val="18"/>
              </w:rPr>
            </w:pPr>
            <w:r>
              <w:rPr>
                <w:b/>
                <w:sz w:val="18"/>
              </w:rPr>
              <w:t>Net cash provided by operating</w:t>
            </w:r>
          </w:p>
        </w:tc>
        <w:tc>
          <w:tcPr>
            <w:tcW w:w="579" w:type="dxa"/>
          </w:tcPr>
          <w:p w14:paraId="6D9A655C" w14:textId="77777777" w:rsidR="00FA4AA8" w:rsidRDefault="00FA4AA8">
            <w:pPr>
              <w:pStyle w:val="TableParagraph"/>
              <w:rPr>
                <w:rFonts w:ascii="Times New Roman"/>
                <w:sz w:val="16"/>
              </w:rPr>
            </w:pPr>
          </w:p>
        </w:tc>
        <w:tc>
          <w:tcPr>
            <w:tcW w:w="1637" w:type="dxa"/>
            <w:tcBorders>
              <w:top w:val="single" w:sz="8" w:space="0" w:color="000000"/>
            </w:tcBorders>
          </w:tcPr>
          <w:p w14:paraId="572F78AD" w14:textId="77777777" w:rsidR="00FA4AA8" w:rsidRDefault="00FA4AA8">
            <w:pPr>
              <w:pStyle w:val="TableParagraph"/>
              <w:rPr>
                <w:rFonts w:ascii="Times New Roman"/>
                <w:sz w:val="16"/>
              </w:rPr>
            </w:pPr>
          </w:p>
        </w:tc>
        <w:tc>
          <w:tcPr>
            <w:tcW w:w="1373" w:type="dxa"/>
            <w:tcBorders>
              <w:top w:val="single" w:sz="8" w:space="0" w:color="000000"/>
            </w:tcBorders>
          </w:tcPr>
          <w:p w14:paraId="5335613C" w14:textId="77777777" w:rsidR="00FA4AA8" w:rsidRDefault="00FA4AA8">
            <w:pPr>
              <w:pStyle w:val="TableParagraph"/>
              <w:rPr>
                <w:rFonts w:ascii="Times New Roman"/>
                <w:sz w:val="16"/>
              </w:rPr>
            </w:pPr>
          </w:p>
        </w:tc>
        <w:tc>
          <w:tcPr>
            <w:tcW w:w="1387" w:type="dxa"/>
            <w:tcBorders>
              <w:top w:val="single" w:sz="8" w:space="0" w:color="000000"/>
            </w:tcBorders>
          </w:tcPr>
          <w:p w14:paraId="41E01336" w14:textId="77777777" w:rsidR="00FA4AA8" w:rsidRDefault="00FA4AA8">
            <w:pPr>
              <w:pStyle w:val="TableParagraph"/>
              <w:rPr>
                <w:rFonts w:ascii="Times New Roman"/>
                <w:sz w:val="16"/>
              </w:rPr>
            </w:pPr>
          </w:p>
        </w:tc>
        <w:tc>
          <w:tcPr>
            <w:tcW w:w="1098" w:type="dxa"/>
            <w:tcBorders>
              <w:top w:val="single" w:sz="8" w:space="0" w:color="000000"/>
            </w:tcBorders>
          </w:tcPr>
          <w:p w14:paraId="4C4DE558" w14:textId="77777777" w:rsidR="00FA4AA8" w:rsidRDefault="00FA4AA8">
            <w:pPr>
              <w:pStyle w:val="TableParagraph"/>
              <w:rPr>
                <w:rFonts w:ascii="Times New Roman"/>
                <w:sz w:val="16"/>
              </w:rPr>
            </w:pPr>
          </w:p>
        </w:tc>
      </w:tr>
      <w:tr w:rsidR="00FA4AA8" w14:paraId="4046D704" w14:textId="77777777">
        <w:trPr>
          <w:trHeight w:val="226"/>
        </w:trPr>
        <w:tc>
          <w:tcPr>
            <w:tcW w:w="3852" w:type="dxa"/>
          </w:tcPr>
          <w:p w14:paraId="175C06EF" w14:textId="77777777" w:rsidR="00FA4AA8" w:rsidRDefault="0015611F">
            <w:pPr>
              <w:pStyle w:val="TableParagraph"/>
              <w:spacing w:line="204" w:lineRule="exact"/>
              <w:ind w:left="50"/>
              <w:rPr>
                <w:b/>
                <w:sz w:val="18"/>
              </w:rPr>
            </w:pPr>
            <w:r>
              <w:rPr>
                <w:b/>
                <w:sz w:val="18"/>
              </w:rPr>
              <w:t>activities</w:t>
            </w:r>
          </w:p>
        </w:tc>
        <w:tc>
          <w:tcPr>
            <w:tcW w:w="579" w:type="dxa"/>
          </w:tcPr>
          <w:p w14:paraId="4082C0C3" w14:textId="77777777" w:rsidR="00FA4AA8" w:rsidRDefault="0015611F">
            <w:pPr>
              <w:pStyle w:val="TableParagraph"/>
              <w:spacing w:line="204" w:lineRule="exact"/>
              <w:ind w:left="148"/>
              <w:rPr>
                <w:sz w:val="18"/>
              </w:rPr>
            </w:pPr>
            <w:r>
              <w:rPr>
                <w:sz w:val="18"/>
              </w:rPr>
              <w:t>36</w:t>
            </w:r>
          </w:p>
        </w:tc>
        <w:tc>
          <w:tcPr>
            <w:tcW w:w="1637" w:type="dxa"/>
            <w:tcBorders>
              <w:bottom w:val="single" w:sz="8" w:space="0" w:color="000000"/>
            </w:tcBorders>
          </w:tcPr>
          <w:p w14:paraId="7329CCAF" w14:textId="77777777" w:rsidR="00FA4AA8" w:rsidRDefault="0015611F">
            <w:pPr>
              <w:pStyle w:val="TableParagraph"/>
              <w:spacing w:before="23" w:line="183" w:lineRule="exact"/>
              <w:ind w:right="282"/>
              <w:jc w:val="right"/>
              <w:rPr>
                <w:b/>
                <w:sz w:val="18"/>
              </w:rPr>
            </w:pPr>
            <w:r>
              <w:rPr>
                <w:b/>
                <w:sz w:val="18"/>
              </w:rPr>
              <w:t>161,452</w:t>
            </w:r>
          </w:p>
        </w:tc>
        <w:tc>
          <w:tcPr>
            <w:tcW w:w="1373" w:type="dxa"/>
            <w:tcBorders>
              <w:bottom w:val="single" w:sz="8" w:space="0" w:color="000000"/>
            </w:tcBorders>
          </w:tcPr>
          <w:p w14:paraId="259E393B" w14:textId="77777777" w:rsidR="00FA4AA8" w:rsidRDefault="0015611F">
            <w:pPr>
              <w:pStyle w:val="TableParagraph"/>
              <w:spacing w:before="23" w:line="183" w:lineRule="exact"/>
              <w:ind w:left="354"/>
              <w:rPr>
                <w:sz w:val="18"/>
              </w:rPr>
            </w:pPr>
            <w:r>
              <w:rPr>
                <w:sz w:val="18"/>
              </w:rPr>
              <w:t>117,292</w:t>
            </w:r>
          </w:p>
        </w:tc>
        <w:tc>
          <w:tcPr>
            <w:tcW w:w="1387" w:type="dxa"/>
            <w:tcBorders>
              <w:bottom w:val="single" w:sz="8" w:space="0" w:color="000000"/>
            </w:tcBorders>
          </w:tcPr>
          <w:p w14:paraId="42065663" w14:textId="77777777" w:rsidR="00FA4AA8" w:rsidRDefault="0015611F">
            <w:pPr>
              <w:pStyle w:val="TableParagraph"/>
              <w:spacing w:before="23" w:line="183" w:lineRule="exact"/>
              <w:ind w:right="282"/>
              <w:jc w:val="right"/>
              <w:rPr>
                <w:b/>
                <w:sz w:val="18"/>
              </w:rPr>
            </w:pPr>
            <w:r>
              <w:rPr>
                <w:b/>
                <w:sz w:val="18"/>
              </w:rPr>
              <w:t>139,224</w:t>
            </w:r>
          </w:p>
        </w:tc>
        <w:tc>
          <w:tcPr>
            <w:tcW w:w="1098" w:type="dxa"/>
            <w:tcBorders>
              <w:bottom w:val="single" w:sz="8" w:space="0" w:color="000000"/>
            </w:tcBorders>
          </w:tcPr>
          <w:p w14:paraId="082CF886" w14:textId="77777777" w:rsidR="00FA4AA8" w:rsidRDefault="0015611F">
            <w:pPr>
              <w:pStyle w:val="TableParagraph"/>
              <w:spacing w:before="23" w:line="183" w:lineRule="exact"/>
              <w:ind w:left="354"/>
              <w:rPr>
                <w:sz w:val="18"/>
              </w:rPr>
            </w:pPr>
            <w:r>
              <w:rPr>
                <w:sz w:val="18"/>
              </w:rPr>
              <w:t>115,317</w:t>
            </w:r>
          </w:p>
        </w:tc>
      </w:tr>
      <w:tr w:rsidR="00FA4AA8" w14:paraId="19C83D28" w14:textId="77777777">
        <w:trPr>
          <w:trHeight w:val="617"/>
        </w:trPr>
        <w:tc>
          <w:tcPr>
            <w:tcW w:w="3852" w:type="dxa"/>
          </w:tcPr>
          <w:p w14:paraId="78B37FFA" w14:textId="77777777" w:rsidR="00FA4AA8" w:rsidRDefault="00FA4AA8">
            <w:pPr>
              <w:pStyle w:val="TableParagraph"/>
              <w:rPr>
                <w:b/>
                <w:sz w:val="20"/>
              </w:rPr>
            </w:pPr>
          </w:p>
          <w:p w14:paraId="19419D9F" w14:textId="77777777" w:rsidR="00FA4AA8" w:rsidRDefault="0015611F">
            <w:pPr>
              <w:pStyle w:val="TableParagraph"/>
              <w:spacing w:before="178" w:line="190" w:lineRule="exact"/>
              <w:ind w:left="50"/>
              <w:rPr>
                <w:b/>
                <w:sz w:val="18"/>
              </w:rPr>
            </w:pPr>
            <w:r>
              <w:rPr>
                <w:b/>
                <w:sz w:val="18"/>
              </w:rPr>
              <w:t>Cash flows from investing</w:t>
            </w:r>
          </w:p>
        </w:tc>
        <w:tc>
          <w:tcPr>
            <w:tcW w:w="579" w:type="dxa"/>
          </w:tcPr>
          <w:p w14:paraId="0548A3B9" w14:textId="77777777" w:rsidR="00FA4AA8" w:rsidRDefault="00FA4AA8">
            <w:pPr>
              <w:pStyle w:val="TableParagraph"/>
              <w:rPr>
                <w:rFonts w:ascii="Times New Roman"/>
                <w:sz w:val="18"/>
              </w:rPr>
            </w:pPr>
          </w:p>
        </w:tc>
        <w:tc>
          <w:tcPr>
            <w:tcW w:w="1637" w:type="dxa"/>
            <w:tcBorders>
              <w:top w:val="single" w:sz="8" w:space="0" w:color="000000"/>
            </w:tcBorders>
          </w:tcPr>
          <w:p w14:paraId="4EBDA435" w14:textId="77777777" w:rsidR="00FA4AA8" w:rsidRDefault="00FA4AA8">
            <w:pPr>
              <w:pStyle w:val="TableParagraph"/>
              <w:rPr>
                <w:rFonts w:ascii="Times New Roman"/>
                <w:sz w:val="18"/>
              </w:rPr>
            </w:pPr>
          </w:p>
        </w:tc>
        <w:tc>
          <w:tcPr>
            <w:tcW w:w="1373" w:type="dxa"/>
            <w:tcBorders>
              <w:top w:val="single" w:sz="8" w:space="0" w:color="000000"/>
            </w:tcBorders>
          </w:tcPr>
          <w:p w14:paraId="5C516157" w14:textId="77777777" w:rsidR="00FA4AA8" w:rsidRDefault="00FA4AA8">
            <w:pPr>
              <w:pStyle w:val="TableParagraph"/>
              <w:rPr>
                <w:rFonts w:ascii="Times New Roman"/>
                <w:sz w:val="18"/>
              </w:rPr>
            </w:pPr>
          </w:p>
        </w:tc>
        <w:tc>
          <w:tcPr>
            <w:tcW w:w="1387" w:type="dxa"/>
            <w:tcBorders>
              <w:top w:val="single" w:sz="8" w:space="0" w:color="000000"/>
            </w:tcBorders>
          </w:tcPr>
          <w:p w14:paraId="39102983" w14:textId="77777777" w:rsidR="00FA4AA8" w:rsidRDefault="00FA4AA8">
            <w:pPr>
              <w:pStyle w:val="TableParagraph"/>
              <w:rPr>
                <w:rFonts w:ascii="Times New Roman"/>
                <w:sz w:val="18"/>
              </w:rPr>
            </w:pPr>
          </w:p>
        </w:tc>
        <w:tc>
          <w:tcPr>
            <w:tcW w:w="1098" w:type="dxa"/>
            <w:tcBorders>
              <w:top w:val="single" w:sz="8" w:space="0" w:color="000000"/>
            </w:tcBorders>
          </w:tcPr>
          <w:p w14:paraId="3C155770" w14:textId="77777777" w:rsidR="00FA4AA8" w:rsidRDefault="00FA4AA8">
            <w:pPr>
              <w:pStyle w:val="TableParagraph"/>
              <w:rPr>
                <w:rFonts w:ascii="Times New Roman"/>
                <w:sz w:val="18"/>
              </w:rPr>
            </w:pPr>
          </w:p>
        </w:tc>
      </w:tr>
      <w:tr w:rsidR="00FA4AA8" w14:paraId="2D8B81DE" w14:textId="77777777">
        <w:trPr>
          <w:trHeight w:val="219"/>
        </w:trPr>
        <w:tc>
          <w:tcPr>
            <w:tcW w:w="3852" w:type="dxa"/>
          </w:tcPr>
          <w:p w14:paraId="31DED65D" w14:textId="77777777" w:rsidR="00FA4AA8" w:rsidRDefault="0015611F">
            <w:pPr>
              <w:pStyle w:val="TableParagraph"/>
              <w:spacing w:line="200" w:lineRule="exact"/>
              <w:ind w:left="50"/>
              <w:rPr>
                <w:b/>
                <w:sz w:val="18"/>
              </w:rPr>
            </w:pPr>
            <w:r>
              <w:rPr>
                <w:b/>
                <w:sz w:val="18"/>
              </w:rPr>
              <w:t>activities:</w:t>
            </w:r>
          </w:p>
        </w:tc>
        <w:tc>
          <w:tcPr>
            <w:tcW w:w="579" w:type="dxa"/>
          </w:tcPr>
          <w:p w14:paraId="4CD2756B" w14:textId="77777777" w:rsidR="00FA4AA8" w:rsidRDefault="00FA4AA8">
            <w:pPr>
              <w:pStyle w:val="TableParagraph"/>
              <w:rPr>
                <w:rFonts w:ascii="Times New Roman"/>
                <w:sz w:val="14"/>
              </w:rPr>
            </w:pPr>
          </w:p>
        </w:tc>
        <w:tc>
          <w:tcPr>
            <w:tcW w:w="1637" w:type="dxa"/>
          </w:tcPr>
          <w:p w14:paraId="40EF5639" w14:textId="77777777" w:rsidR="00FA4AA8" w:rsidRDefault="00FA4AA8">
            <w:pPr>
              <w:pStyle w:val="TableParagraph"/>
              <w:rPr>
                <w:rFonts w:ascii="Times New Roman"/>
                <w:sz w:val="14"/>
              </w:rPr>
            </w:pPr>
          </w:p>
        </w:tc>
        <w:tc>
          <w:tcPr>
            <w:tcW w:w="1373" w:type="dxa"/>
          </w:tcPr>
          <w:p w14:paraId="38CBA612" w14:textId="77777777" w:rsidR="00FA4AA8" w:rsidRDefault="00FA4AA8">
            <w:pPr>
              <w:pStyle w:val="TableParagraph"/>
              <w:rPr>
                <w:rFonts w:ascii="Times New Roman"/>
                <w:sz w:val="14"/>
              </w:rPr>
            </w:pPr>
          </w:p>
        </w:tc>
        <w:tc>
          <w:tcPr>
            <w:tcW w:w="1387" w:type="dxa"/>
          </w:tcPr>
          <w:p w14:paraId="77AEC073" w14:textId="77777777" w:rsidR="00FA4AA8" w:rsidRDefault="00FA4AA8">
            <w:pPr>
              <w:pStyle w:val="TableParagraph"/>
              <w:rPr>
                <w:rFonts w:ascii="Times New Roman"/>
                <w:sz w:val="14"/>
              </w:rPr>
            </w:pPr>
          </w:p>
        </w:tc>
        <w:tc>
          <w:tcPr>
            <w:tcW w:w="1098" w:type="dxa"/>
          </w:tcPr>
          <w:p w14:paraId="0619F9A9" w14:textId="77777777" w:rsidR="00FA4AA8" w:rsidRDefault="00FA4AA8">
            <w:pPr>
              <w:pStyle w:val="TableParagraph"/>
              <w:rPr>
                <w:rFonts w:ascii="Times New Roman"/>
                <w:sz w:val="14"/>
              </w:rPr>
            </w:pPr>
          </w:p>
        </w:tc>
      </w:tr>
      <w:tr w:rsidR="00FA4AA8" w14:paraId="376880B4" w14:textId="77777777">
        <w:trPr>
          <w:trHeight w:val="452"/>
        </w:trPr>
        <w:tc>
          <w:tcPr>
            <w:tcW w:w="3852" w:type="dxa"/>
          </w:tcPr>
          <w:p w14:paraId="5C01E156" w14:textId="77777777" w:rsidR="00FA4AA8" w:rsidRDefault="0015611F">
            <w:pPr>
              <w:pStyle w:val="TableParagraph"/>
              <w:spacing w:before="10"/>
              <w:ind w:left="50" w:right="570"/>
              <w:rPr>
                <w:sz w:val="18"/>
              </w:rPr>
            </w:pPr>
            <w:r>
              <w:rPr>
                <w:sz w:val="18"/>
              </w:rPr>
              <w:t>Proceeds from sale of property, plant and equipment</w:t>
            </w:r>
          </w:p>
        </w:tc>
        <w:tc>
          <w:tcPr>
            <w:tcW w:w="579" w:type="dxa"/>
          </w:tcPr>
          <w:p w14:paraId="4F2E8937" w14:textId="77777777" w:rsidR="00FA4AA8" w:rsidRDefault="00FA4AA8">
            <w:pPr>
              <w:pStyle w:val="TableParagraph"/>
              <w:rPr>
                <w:rFonts w:ascii="Times New Roman"/>
                <w:sz w:val="18"/>
              </w:rPr>
            </w:pPr>
          </w:p>
        </w:tc>
        <w:tc>
          <w:tcPr>
            <w:tcW w:w="1637" w:type="dxa"/>
          </w:tcPr>
          <w:p w14:paraId="4752EF2D" w14:textId="77777777" w:rsidR="00FA4AA8" w:rsidRDefault="00FA4AA8">
            <w:pPr>
              <w:pStyle w:val="TableParagraph"/>
              <w:spacing w:before="6"/>
              <w:rPr>
                <w:b/>
                <w:sz w:val="18"/>
              </w:rPr>
            </w:pPr>
          </w:p>
          <w:p w14:paraId="53AE7646" w14:textId="77777777" w:rsidR="00FA4AA8" w:rsidRDefault="0015611F">
            <w:pPr>
              <w:pStyle w:val="TableParagraph"/>
              <w:spacing w:before="1"/>
              <w:ind w:right="282"/>
              <w:jc w:val="right"/>
              <w:rPr>
                <w:b/>
                <w:sz w:val="18"/>
              </w:rPr>
            </w:pPr>
            <w:r>
              <w:rPr>
                <w:b/>
                <w:sz w:val="18"/>
              </w:rPr>
              <w:t>98,414</w:t>
            </w:r>
          </w:p>
        </w:tc>
        <w:tc>
          <w:tcPr>
            <w:tcW w:w="1373" w:type="dxa"/>
          </w:tcPr>
          <w:p w14:paraId="66FC4EF8" w14:textId="77777777" w:rsidR="00FA4AA8" w:rsidRDefault="00FA4AA8">
            <w:pPr>
              <w:pStyle w:val="TableParagraph"/>
              <w:spacing w:before="6"/>
              <w:rPr>
                <w:b/>
                <w:sz w:val="18"/>
              </w:rPr>
            </w:pPr>
          </w:p>
          <w:p w14:paraId="786E5D60" w14:textId="77777777" w:rsidR="00FA4AA8" w:rsidRDefault="0015611F">
            <w:pPr>
              <w:pStyle w:val="TableParagraph"/>
              <w:spacing w:before="1"/>
              <w:ind w:left="454"/>
              <w:rPr>
                <w:sz w:val="18"/>
              </w:rPr>
            </w:pPr>
            <w:r>
              <w:rPr>
                <w:sz w:val="18"/>
              </w:rPr>
              <w:t>95,076</w:t>
            </w:r>
          </w:p>
        </w:tc>
        <w:tc>
          <w:tcPr>
            <w:tcW w:w="1387" w:type="dxa"/>
          </w:tcPr>
          <w:p w14:paraId="3D01318C" w14:textId="77777777" w:rsidR="00FA4AA8" w:rsidRDefault="00FA4AA8">
            <w:pPr>
              <w:pStyle w:val="TableParagraph"/>
              <w:spacing w:before="6"/>
              <w:rPr>
                <w:b/>
                <w:sz w:val="18"/>
              </w:rPr>
            </w:pPr>
          </w:p>
          <w:p w14:paraId="71D6A37E" w14:textId="77777777" w:rsidR="00FA4AA8" w:rsidRDefault="0015611F">
            <w:pPr>
              <w:pStyle w:val="TableParagraph"/>
              <w:spacing w:before="1"/>
              <w:ind w:right="282"/>
              <w:jc w:val="right"/>
              <w:rPr>
                <w:b/>
                <w:sz w:val="18"/>
              </w:rPr>
            </w:pPr>
            <w:r>
              <w:rPr>
                <w:b/>
                <w:sz w:val="18"/>
              </w:rPr>
              <w:t>98,349</w:t>
            </w:r>
          </w:p>
        </w:tc>
        <w:tc>
          <w:tcPr>
            <w:tcW w:w="1098" w:type="dxa"/>
          </w:tcPr>
          <w:p w14:paraId="524B1E98" w14:textId="77777777" w:rsidR="00FA4AA8" w:rsidRDefault="00FA4AA8">
            <w:pPr>
              <w:pStyle w:val="TableParagraph"/>
              <w:spacing w:before="6"/>
              <w:rPr>
                <w:b/>
                <w:sz w:val="18"/>
              </w:rPr>
            </w:pPr>
          </w:p>
          <w:p w14:paraId="26E196F2" w14:textId="77777777" w:rsidR="00FA4AA8" w:rsidRDefault="0015611F">
            <w:pPr>
              <w:pStyle w:val="TableParagraph"/>
              <w:spacing w:before="1"/>
              <w:ind w:right="87"/>
              <w:jc w:val="right"/>
              <w:rPr>
                <w:sz w:val="18"/>
              </w:rPr>
            </w:pPr>
            <w:r>
              <w:rPr>
                <w:sz w:val="18"/>
              </w:rPr>
              <w:t>94,841</w:t>
            </w:r>
          </w:p>
        </w:tc>
      </w:tr>
      <w:tr w:rsidR="00FA4AA8" w14:paraId="792CADB5" w14:textId="77777777">
        <w:trPr>
          <w:trHeight w:val="465"/>
        </w:trPr>
        <w:tc>
          <w:tcPr>
            <w:tcW w:w="3852" w:type="dxa"/>
          </w:tcPr>
          <w:p w14:paraId="3F1E5B79" w14:textId="77777777" w:rsidR="00FA4AA8" w:rsidRDefault="0015611F">
            <w:pPr>
              <w:pStyle w:val="TableParagraph"/>
              <w:spacing w:before="23"/>
              <w:ind w:left="50" w:right="1170"/>
              <w:rPr>
                <w:sz w:val="18"/>
              </w:rPr>
            </w:pPr>
            <w:r>
              <w:rPr>
                <w:sz w:val="18"/>
              </w:rPr>
              <w:t>Payments for property, plant and equipment</w:t>
            </w:r>
          </w:p>
        </w:tc>
        <w:tc>
          <w:tcPr>
            <w:tcW w:w="579" w:type="dxa"/>
          </w:tcPr>
          <w:p w14:paraId="0AA801E2" w14:textId="77777777" w:rsidR="00FA4AA8" w:rsidRDefault="00FA4AA8">
            <w:pPr>
              <w:pStyle w:val="TableParagraph"/>
              <w:rPr>
                <w:rFonts w:ascii="Times New Roman"/>
                <w:sz w:val="18"/>
              </w:rPr>
            </w:pPr>
          </w:p>
        </w:tc>
        <w:tc>
          <w:tcPr>
            <w:tcW w:w="1637" w:type="dxa"/>
          </w:tcPr>
          <w:p w14:paraId="6A5CF52B" w14:textId="77777777" w:rsidR="00FA4AA8" w:rsidRDefault="00FA4AA8">
            <w:pPr>
              <w:pStyle w:val="TableParagraph"/>
              <w:spacing w:before="8"/>
              <w:rPr>
                <w:b/>
                <w:sz w:val="19"/>
              </w:rPr>
            </w:pPr>
          </w:p>
          <w:p w14:paraId="0B366A0F" w14:textId="77777777" w:rsidR="00FA4AA8" w:rsidRDefault="0015611F">
            <w:pPr>
              <w:pStyle w:val="TableParagraph"/>
              <w:ind w:right="222"/>
              <w:jc w:val="right"/>
              <w:rPr>
                <w:b/>
                <w:sz w:val="18"/>
              </w:rPr>
            </w:pPr>
            <w:r>
              <w:rPr>
                <w:b/>
                <w:sz w:val="18"/>
              </w:rPr>
              <w:t>(209,295)</w:t>
            </w:r>
          </w:p>
        </w:tc>
        <w:tc>
          <w:tcPr>
            <w:tcW w:w="1373" w:type="dxa"/>
          </w:tcPr>
          <w:p w14:paraId="418F8975" w14:textId="77777777" w:rsidR="00FA4AA8" w:rsidRDefault="00FA4AA8">
            <w:pPr>
              <w:pStyle w:val="TableParagraph"/>
              <w:spacing w:before="8"/>
              <w:rPr>
                <w:b/>
                <w:sz w:val="19"/>
              </w:rPr>
            </w:pPr>
          </w:p>
          <w:p w14:paraId="3A991656" w14:textId="77777777" w:rsidR="00FA4AA8" w:rsidRDefault="0015611F">
            <w:pPr>
              <w:pStyle w:val="TableParagraph"/>
              <w:ind w:right="301"/>
              <w:jc w:val="right"/>
              <w:rPr>
                <w:sz w:val="18"/>
              </w:rPr>
            </w:pPr>
            <w:r>
              <w:rPr>
                <w:sz w:val="18"/>
              </w:rPr>
              <w:t>(131,356)</w:t>
            </w:r>
          </w:p>
        </w:tc>
        <w:tc>
          <w:tcPr>
            <w:tcW w:w="1387" w:type="dxa"/>
          </w:tcPr>
          <w:p w14:paraId="1DFAAA00" w14:textId="77777777" w:rsidR="00FA4AA8" w:rsidRDefault="00FA4AA8">
            <w:pPr>
              <w:pStyle w:val="TableParagraph"/>
              <w:spacing w:before="8"/>
              <w:rPr>
                <w:b/>
                <w:sz w:val="19"/>
              </w:rPr>
            </w:pPr>
          </w:p>
          <w:p w14:paraId="345883CA" w14:textId="77777777" w:rsidR="00FA4AA8" w:rsidRDefault="0015611F">
            <w:pPr>
              <w:pStyle w:val="TableParagraph"/>
              <w:ind w:right="222"/>
              <w:jc w:val="right"/>
              <w:rPr>
                <w:b/>
                <w:sz w:val="18"/>
              </w:rPr>
            </w:pPr>
            <w:r>
              <w:rPr>
                <w:b/>
                <w:sz w:val="18"/>
              </w:rPr>
              <w:t>(189,256)</w:t>
            </w:r>
          </w:p>
        </w:tc>
        <w:tc>
          <w:tcPr>
            <w:tcW w:w="1098" w:type="dxa"/>
          </w:tcPr>
          <w:p w14:paraId="42C4A24B" w14:textId="77777777" w:rsidR="00FA4AA8" w:rsidRDefault="00FA4AA8">
            <w:pPr>
              <w:pStyle w:val="TableParagraph"/>
              <w:spacing w:before="8"/>
              <w:rPr>
                <w:b/>
                <w:sz w:val="19"/>
              </w:rPr>
            </w:pPr>
          </w:p>
          <w:p w14:paraId="0C92DCC8" w14:textId="77777777" w:rsidR="00FA4AA8" w:rsidRDefault="0015611F">
            <w:pPr>
              <w:pStyle w:val="TableParagraph"/>
              <w:ind w:right="26"/>
              <w:jc w:val="right"/>
              <w:rPr>
                <w:sz w:val="18"/>
              </w:rPr>
            </w:pPr>
            <w:r>
              <w:rPr>
                <w:sz w:val="18"/>
              </w:rPr>
              <w:t>(131,268)</w:t>
            </w:r>
          </w:p>
        </w:tc>
      </w:tr>
      <w:tr w:rsidR="00FA4AA8" w14:paraId="12FA35DD" w14:textId="77777777">
        <w:trPr>
          <w:trHeight w:val="262"/>
        </w:trPr>
        <w:tc>
          <w:tcPr>
            <w:tcW w:w="3852" w:type="dxa"/>
          </w:tcPr>
          <w:p w14:paraId="4210FCC7" w14:textId="77777777" w:rsidR="00FA4AA8" w:rsidRDefault="0015611F">
            <w:pPr>
              <w:pStyle w:val="TableParagraph"/>
              <w:spacing w:before="23"/>
              <w:ind w:left="50"/>
              <w:rPr>
                <w:sz w:val="18"/>
              </w:rPr>
            </w:pPr>
            <w:r>
              <w:rPr>
                <w:sz w:val="18"/>
              </w:rPr>
              <w:t>Payments for financial assets</w:t>
            </w:r>
          </w:p>
        </w:tc>
        <w:tc>
          <w:tcPr>
            <w:tcW w:w="579" w:type="dxa"/>
          </w:tcPr>
          <w:p w14:paraId="20BE3A3B" w14:textId="77777777" w:rsidR="00FA4AA8" w:rsidRDefault="00FA4AA8">
            <w:pPr>
              <w:pStyle w:val="TableParagraph"/>
              <w:rPr>
                <w:rFonts w:ascii="Times New Roman"/>
                <w:sz w:val="18"/>
              </w:rPr>
            </w:pPr>
          </w:p>
        </w:tc>
        <w:tc>
          <w:tcPr>
            <w:tcW w:w="1637" w:type="dxa"/>
          </w:tcPr>
          <w:p w14:paraId="3CCCBE67" w14:textId="77777777" w:rsidR="00FA4AA8" w:rsidRDefault="0015611F">
            <w:pPr>
              <w:pStyle w:val="TableParagraph"/>
              <w:spacing w:before="25"/>
              <w:ind w:right="222"/>
              <w:jc w:val="right"/>
              <w:rPr>
                <w:b/>
                <w:sz w:val="18"/>
              </w:rPr>
            </w:pPr>
            <w:r>
              <w:rPr>
                <w:b/>
                <w:sz w:val="18"/>
              </w:rPr>
              <w:t>(169,029)</w:t>
            </w:r>
          </w:p>
        </w:tc>
        <w:tc>
          <w:tcPr>
            <w:tcW w:w="1373" w:type="dxa"/>
          </w:tcPr>
          <w:p w14:paraId="15B14E83" w14:textId="77777777" w:rsidR="00FA4AA8" w:rsidRDefault="0015611F">
            <w:pPr>
              <w:pStyle w:val="TableParagraph"/>
              <w:spacing w:before="25"/>
              <w:ind w:right="301"/>
              <w:jc w:val="right"/>
              <w:rPr>
                <w:sz w:val="18"/>
              </w:rPr>
            </w:pPr>
            <w:r>
              <w:rPr>
                <w:sz w:val="18"/>
              </w:rPr>
              <w:t>(6,989)</w:t>
            </w:r>
          </w:p>
        </w:tc>
        <w:tc>
          <w:tcPr>
            <w:tcW w:w="1387" w:type="dxa"/>
          </w:tcPr>
          <w:p w14:paraId="4E1DA9F1" w14:textId="77777777" w:rsidR="00FA4AA8" w:rsidRDefault="0015611F">
            <w:pPr>
              <w:pStyle w:val="TableParagraph"/>
              <w:spacing w:before="25"/>
              <w:ind w:right="222"/>
              <w:jc w:val="right"/>
              <w:rPr>
                <w:b/>
                <w:sz w:val="18"/>
              </w:rPr>
            </w:pPr>
            <w:r>
              <w:rPr>
                <w:b/>
                <w:sz w:val="18"/>
              </w:rPr>
              <w:t>(169,029)</w:t>
            </w:r>
          </w:p>
        </w:tc>
        <w:tc>
          <w:tcPr>
            <w:tcW w:w="1098" w:type="dxa"/>
          </w:tcPr>
          <w:p w14:paraId="630D5EC9" w14:textId="77777777" w:rsidR="00FA4AA8" w:rsidRDefault="0015611F">
            <w:pPr>
              <w:pStyle w:val="TableParagraph"/>
              <w:spacing w:before="25"/>
              <w:ind w:right="26"/>
              <w:jc w:val="right"/>
              <w:rPr>
                <w:sz w:val="18"/>
              </w:rPr>
            </w:pPr>
            <w:r>
              <w:rPr>
                <w:sz w:val="18"/>
              </w:rPr>
              <w:t>(6,989)</w:t>
            </w:r>
          </w:p>
        </w:tc>
      </w:tr>
      <w:tr w:rsidR="00FA4AA8" w14:paraId="4913490C" w14:textId="77777777">
        <w:trPr>
          <w:trHeight w:val="263"/>
        </w:trPr>
        <w:tc>
          <w:tcPr>
            <w:tcW w:w="3852" w:type="dxa"/>
          </w:tcPr>
          <w:p w14:paraId="23F127E5" w14:textId="77777777" w:rsidR="00FA4AA8" w:rsidRDefault="0015611F">
            <w:pPr>
              <w:pStyle w:val="TableParagraph"/>
              <w:spacing w:before="24"/>
              <w:ind w:left="50"/>
              <w:rPr>
                <w:sz w:val="18"/>
              </w:rPr>
            </w:pPr>
            <w:r>
              <w:rPr>
                <w:sz w:val="18"/>
              </w:rPr>
              <w:t>Loans to related parties</w:t>
            </w:r>
          </w:p>
        </w:tc>
        <w:tc>
          <w:tcPr>
            <w:tcW w:w="579" w:type="dxa"/>
          </w:tcPr>
          <w:p w14:paraId="7594300A" w14:textId="77777777" w:rsidR="00FA4AA8" w:rsidRDefault="00FA4AA8">
            <w:pPr>
              <w:pStyle w:val="TableParagraph"/>
              <w:rPr>
                <w:rFonts w:ascii="Times New Roman"/>
                <w:sz w:val="18"/>
              </w:rPr>
            </w:pPr>
          </w:p>
        </w:tc>
        <w:tc>
          <w:tcPr>
            <w:tcW w:w="1637" w:type="dxa"/>
          </w:tcPr>
          <w:p w14:paraId="5103E425" w14:textId="77777777" w:rsidR="00FA4AA8" w:rsidRDefault="0015611F">
            <w:pPr>
              <w:pStyle w:val="TableParagraph"/>
              <w:spacing w:before="26"/>
              <w:ind w:right="282"/>
              <w:jc w:val="right"/>
              <w:rPr>
                <w:b/>
                <w:sz w:val="18"/>
              </w:rPr>
            </w:pPr>
            <w:r>
              <w:rPr>
                <w:b/>
                <w:sz w:val="18"/>
              </w:rPr>
              <w:t>-</w:t>
            </w:r>
          </w:p>
        </w:tc>
        <w:tc>
          <w:tcPr>
            <w:tcW w:w="1373" w:type="dxa"/>
          </w:tcPr>
          <w:p w14:paraId="1D544AAB" w14:textId="77777777" w:rsidR="00FA4AA8" w:rsidRDefault="0015611F">
            <w:pPr>
              <w:pStyle w:val="TableParagraph"/>
              <w:spacing w:before="26"/>
              <w:ind w:right="361"/>
              <w:jc w:val="right"/>
              <w:rPr>
                <w:sz w:val="18"/>
              </w:rPr>
            </w:pPr>
            <w:r>
              <w:rPr>
                <w:sz w:val="18"/>
              </w:rPr>
              <w:t>-</w:t>
            </w:r>
          </w:p>
        </w:tc>
        <w:tc>
          <w:tcPr>
            <w:tcW w:w="1387" w:type="dxa"/>
          </w:tcPr>
          <w:p w14:paraId="45C132D3" w14:textId="77777777" w:rsidR="00FA4AA8" w:rsidRDefault="0015611F">
            <w:pPr>
              <w:pStyle w:val="TableParagraph"/>
              <w:spacing w:before="26"/>
              <w:ind w:right="222"/>
              <w:jc w:val="right"/>
              <w:rPr>
                <w:b/>
                <w:sz w:val="18"/>
              </w:rPr>
            </w:pPr>
            <w:r>
              <w:rPr>
                <w:b/>
                <w:sz w:val="18"/>
              </w:rPr>
              <w:t>(1,754)</w:t>
            </w:r>
          </w:p>
        </w:tc>
        <w:tc>
          <w:tcPr>
            <w:tcW w:w="1098" w:type="dxa"/>
          </w:tcPr>
          <w:p w14:paraId="1FC7A50B" w14:textId="77777777" w:rsidR="00FA4AA8" w:rsidRDefault="0015611F">
            <w:pPr>
              <w:pStyle w:val="TableParagraph"/>
              <w:spacing w:before="26"/>
              <w:ind w:right="26"/>
              <w:jc w:val="right"/>
              <w:rPr>
                <w:sz w:val="18"/>
              </w:rPr>
            </w:pPr>
            <w:r>
              <w:rPr>
                <w:sz w:val="18"/>
              </w:rPr>
              <w:t>(450)</w:t>
            </w:r>
          </w:p>
        </w:tc>
      </w:tr>
      <w:tr w:rsidR="00FA4AA8" w14:paraId="31D31C20" w14:textId="77777777">
        <w:trPr>
          <w:trHeight w:val="460"/>
        </w:trPr>
        <w:tc>
          <w:tcPr>
            <w:tcW w:w="3852" w:type="dxa"/>
          </w:tcPr>
          <w:p w14:paraId="03E63817" w14:textId="77777777" w:rsidR="00FA4AA8" w:rsidRDefault="0015611F">
            <w:pPr>
              <w:pStyle w:val="TableParagraph"/>
              <w:spacing w:before="24"/>
              <w:ind w:left="50" w:right="1250"/>
              <w:rPr>
                <w:sz w:val="18"/>
              </w:rPr>
            </w:pPr>
            <w:r>
              <w:rPr>
                <w:sz w:val="18"/>
              </w:rPr>
              <w:t>Repayments of loans by related parties</w:t>
            </w:r>
          </w:p>
        </w:tc>
        <w:tc>
          <w:tcPr>
            <w:tcW w:w="579" w:type="dxa"/>
          </w:tcPr>
          <w:p w14:paraId="32027EF5" w14:textId="77777777" w:rsidR="00FA4AA8" w:rsidRDefault="00FA4AA8">
            <w:pPr>
              <w:pStyle w:val="TableParagraph"/>
              <w:rPr>
                <w:rFonts w:ascii="Times New Roman"/>
                <w:sz w:val="18"/>
              </w:rPr>
            </w:pPr>
          </w:p>
        </w:tc>
        <w:tc>
          <w:tcPr>
            <w:tcW w:w="1637" w:type="dxa"/>
            <w:tcBorders>
              <w:bottom w:val="single" w:sz="8" w:space="0" w:color="000000"/>
            </w:tcBorders>
          </w:tcPr>
          <w:p w14:paraId="24CD441D" w14:textId="77777777" w:rsidR="00FA4AA8" w:rsidRDefault="00FA4AA8">
            <w:pPr>
              <w:pStyle w:val="TableParagraph"/>
              <w:spacing w:before="9"/>
              <w:rPr>
                <w:b/>
                <w:sz w:val="19"/>
              </w:rPr>
            </w:pPr>
          </w:p>
          <w:p w14:paraId="71BACE78" w14:textId="77777777" w:rsidR="00FA4AA8" w:rsidRDefault="0015611F">
            <w:pPr>
              <w:pStyle w:val="TableParagraph"/>
              <w:spacing w:before="1"/>
              <w:ind w:right="282"/>
              <w:jc w:val="right"/>
              <w:rPr>
                <w:b/>
                <w:sz w:val="18"/>
              </w:rPr>
            </w:pPr>
            <w:r>
              <w:rPr>
                <w:b/>
                <w:sz w:val="18"/>
              </w:rPr>
              <w:t>-</w:t>
            </w:r>
          </w:p>
        </w:tc>
        <w:tc>
          <w:tcPr>
            <w:tcW w:w="1373" w:type="dxa"/>
            <w:tcBorders>
              <w:bottom w:val="single" w:sz="8" w:space="0" w:color="000000"/>
            </w:tcBorders>
          </w:tcPr>
          <w:p w14:paraId="268FCBCE" w14:textId="77777777" w:rsidR="00FA4AA8" w:rsidRDefault="00FA4AA8">
            <w:pPr>
              <w:pStyle w:val="TableParagraph"/>
              <w:spacing w:before="9"/>
              <w:rPr>
                <w:b/>
                <w:sz w:val="19"/>
              </w:rPr>
            </w:pPr>
          </w:p>
          <w:p w14:paraId="758A5B33" w14:textId="77777777" w:rsidR="00FA4AA8" w:rsidRDefault="0015611F">
            <w:pPr>
              <w:pStyle w:val="TableParagraph"/>
              <w:spacing w:before="1"/>
              <w:ind w:right="361"/>
              <w:jc w:val="right"/>
              <w:rPr>
                <w:sz w:val="18"/>
              </w:rPr>
            </w:pPr>
            <w:r>
              <w:rPr>
                <w:sz w:val="18"/>
              </w:rPr>
              <w:t>-</w:t>
            </w:r>
          </w:p>
        </w:tc>
        <w:tc>
          <w:tcPr>
            <w:tcW w:w="1387" w:type="dxa"/>
            <w:tcBorders>
              <w:bottom w:val="single" w:sz="8" w:space="0" w:color="000000"/>
            </w:tcBorders>
          </w:tcPr>
          <w:p w14:paraId="57D9AAAA" w14:textId="77777777" w:rsidR="00FA4AA8" w:rsidRDefault="00FA4AA8">
            <w:pPr>
              <w:pStyle w:val="TableParagraph"/>
              <w:spacing w:before="9"/>
              <w:rPr>
                <w:b/>
                <w:sz w:val="19"/>
              </w:rPr>
            </w:pPr>
          </w:p>
          <w:p w14:paraId="54750E67" w14:textId="77777777" w:rsidR="00FA4AA8" w:rsidRDefault="0015611F">
            <w:pPr>
              <w:pStyle w:val="TableParagraph"/>
              <w:spacing w:before="1"/>
              <w:ind w:right="282"/>
              <w:jc w:val="right"/>
              <w:rPr>
                <w:b/>
                <w:sz w:val="18"/>
              </w:rPr>
            </w:pPr>
            <w:r>
              <w:rPr>
                <w:b/>
                <w:sz w:val="18"/>
              </w:rPr>
              <w:t>69</w:t>
            </w:r>
          </w:p>
        </w:tc>
        <w:tc>
          <w:tcPr>
            <w:tcW w:w="1098" w:type="dxa"/>
            <w:tcBorders>
              <w:bottom w:val="single" w:sz="8" w:space="0" w:color="000000"/>
            </w:tcBorders>
          </w:tcPr>
          <w:p w14:paraId="29B66CAC" w14:textId="77777777" w:rsidR="00FA4AA8" w:rsidRDefault="00FA4AA8">
            <w:pPr>
              <w:pStyle w:val="TableParagraph"/>
              <w:spacing w:before="9"/>
              <w:rPr>
                <w:b/>
                <w:sz w:val="19"/>
              </w:rPr>
            </w:pPr>
          </w:p>
          <w:p w14:paraId="5673C17F" w14:textId="77777777" w:rsidR="00FA4AA8" w:rsidRDefault="0015611F">
            <w:pPr>
              <w:pStyle w:val="TableParagraph"/>
              <w:spacing w:before="1"/>
              <w:ind w:right="87"/>
              <w:jc w:val="right"/>
              <w:rPr>
                <w:sz w:val="18"/>
              </w:rPr>
            </w:pPr>
            <w:r>
              <w:rPr>
                <w:sz w:val="18"/>
              </w:rPr>
              <w:t>1,432</w:t>
            </w:r>
          </w:p>
        </w:tc>
      </w:tr>
      <w:tr w:rsidR="00FA4AA8" w14:paraId="22C00101" w14:textId="77777777">
        <w:trPr>
          <w:trHeight w:val="238"/>
        </w:trPr>
        <w:tc>
          <w:tcPr>
            <w:tcW w:w="3852" w:type="dxa"/>
          </w:tcPr>
          <w:p w14:paraId="0AEABC30" w14:textId="77777777" w:rsidR="00FA4AA8" w:rsidRDefault="0015611F">
            <w:pPr>
              <w:pStyle w:val="TableParagraph"/>
              <w:spacing w:before="28" w:line="190" w:lineRule="exact"/>
              <w:ind w:left="50"/>
              <w:rPr>
                <w:b/>
                <w:sz w:val="18"/>
              </w:rPr>
            </w:pPr>
            <w:r>
              <w:rPr>
                <w:b/>
                <w:sz w:val="18"/>
              </w:rPr>
              <w:t>Net cash used in investing</w:t>
            </w:r>
          </w:p>
        </w:tc>
        <w:tc>
          <w:tcPr>
            <w:tcW w:w="579" w:type="dxa"/>
          </w:tcPr>
          <w:p w14:paraId="6A4238A1" w14:textId="77777777" w:rsidR="00FA4AA8" w:rsidRDefault="00FA4AA8">
            <w:pPr>
              <w:pStyle w:val="TableParagraph"/>
              <w:rPr>
                <w:rFonts w:ascii="Times New Roman"/>
                <w:sz w:val="16"/>
              </w:rPr>
            </w:pPr>
          </w:p>
        </w:tc>
        <w:tc>
          <w:tcPr>
            <w:tcW w:w="1637" w:type="dxa"/>
            <w:tcBorders>
              <w:top w:val="single" w:sz="8" w:space="0" w:color="000000"/>
            </w:tcBorders>
          </w:tcPr>
          <w:p w14:paraId="0983655D" w14:textId="77777777" w:rsidR="00FA4AA8" w:rsidRDefault="00FA4AA8">
            <w:pPr>
              <w:pStyle w:val="TableParagraph"/>
              <w:rPr>
                <w:rFonts w:ascii="Times New Roman"/>
                <w:sz w:val="16"/>
              </w:rPr>
            </w:pPr>
          </w:p>
        </w:tc>
        <w:tc>
          <w:tcPr>
            <w:tcW w:w="1373" w:type="dxa"/>
            <w:tcBorders>
              <w:top w:val="single" w:sz="8" w:space="0" w:color="000000"/>
            </w:tcBorders>
          </w:tcPr>
          <w:p w14:paraId="10D45158" w14:textId="77777777" w:rsidR="00FA4AA8" w:rsidRDefault="00FA4AA8">
            <w:pPr>
              <w:pStyle w:val="TableParagraph"/>
              <w:rPr>
                <w:rFonts w:ascii="Times New Roman"/>
                <w:sz w:val="16"/>
              </w:rPr>
            </w:pPr>
          </w:p>
        </w:tc>
        <w:tc>
          <w:tcPr>
            <w:tcW w:w="1387" w:type="dxa"/>
            <w:tcBorders>
              <w:top w:val="single" w:sz="8" w:space="0" w:color="000000"/>
            </w:tcBorders>
          </w:tcPr>
          <w:p w14:paraId="3C41450E" w14:textId="77777777" w:rsidR="00FA4AA8" w:rsidRDefault="00FA4AA8">
            <w:pPr>
              <w:pStyle w:val="TableParagraph"/>
              <w:rPr>
                <w:rFonts w:ascii="Times New Roman"/>
                <w:sz w:val="16"/>
              </w:rPr>
            </w:pPr>
          </w:p>
        </w:tc>
        <w:tc>
          <w:tcPr>
            <w:tcW w:w="1098" w:type="dxa"/>
            <w:tcBorders>
              <w:top w:val="single" w:sz="8" w:space="0" w:color="000000"/>
            </w:tcBorders>
          </w:tcPr>
          <w:p w14:paraId="2F030ABF" w14:textId="77777777" w:rsidR="00FA4AA8" w:rsidRDefault="00FA4AA8">
            <w:pPr>
              <w:pStyle w:val="TableParagraph"/>
              <w:rPr>
                <w:rFonts w:ascii="Times New Roman"/>
                <w:sz w:val="16"/>
              </w:rPr>
            </w:pPr>
          </w:p>
        </w:tc>
      </w:tr>
      <w:tr w:rsidR="00FA4AA8" w14:paraId="43AAE414" w14:textId="77777777">
        <w:trPr>
          <w:trHeight w:val="226"/>
        </w:trPr>
        <w:tc>
          <w:tcPr>
            <w:tcW w:w="3852" w:type="dxa"/>
          </w:tcPr>
          <w:p w14:paraId="3AF33F02" w14:textId="77777777" w:rsidR="00FA4AA8" w:rsidRDefault="0015611F">
            <w:pPr>
              <w:pStyle w:val="TableParagraph"/>
              <w:spacing w:line="204" w:lineRule="exact"/>
              <w:ind w:left="50"/>
              <w:rPr>
                <w:b/>
                <w:sz w:val="18"/>
              </w:rPr>
            </w:pPr>
            <w:r>
              <w:rPr>
                <w:b/>
                <w:sz w:val="18"/>
              </w:rPr>
              <w:t>activities</w:t>
            </w:r>
          </w:p>
        </w:tc>
        <w:tc>
          <w:tcPr>
            <w:tcW w:w="579" w:type="dxa"/>
          </w:tcPr>
          <w:p w14:paraId="20C4F9AF" w14:textId="77777777" w:rsidR="00FA4AA8" w:rsidRDefault="00FA4AA8">
            <w:pPr>
              <w:pStyle w:val="TableParagraph"/>
              <w:rPr>
                <w:rFonts w:ascii="Times New Roman"/>
                <w:sz w:val="16"/>
              </w:rPr>
            </w:pPr>
          </w:p>
        </w:tc>
        <w:tc>
          <w:tcPr>
            <w:tcW w:w="1637" w:type="dxa"/>
            <w:tcBorders>
              <w:bottom w:val="single" w:sz="8" w:space="0" w:color="000000"/>
            </w:tcBorders>
          </w:tcPr>
          <w:p w14:paraId="3FAB6CC4" w14:textId="77777777" w:rsidR="00FA4AA8" w:rsidRDefault="0015611F">
            <w:pPr>
              <w:pStyle w:val="TableParagraph"/>
              <w:spacing w:before="23" w:line="183" w:lineRule="exact"/>
              <w:ind w:right="222"/>
              <w:jc w:val="right"/>
              <w:rPr>
                <w:b/>
                <w:sz w:val="18"/>
              </w:rPr>
            </w:pPr>
            <w:r>
              <w:rPr>
                <w:b/>
                <w:sz w:val="18"/>
              </w:rPr>
              <w:t>(279,910)</w:t>
            </w:r>
          </w:p>
        </w:tc>
        <w:tc>
          <w:tcPr>
            <w:tcW w:w="1373" w:type="dxa"/>
            <w:tcBorders>
              <w:bottom w:val="single" w:sz="8" w:space="0" w:color="000000"/>
            </w:tcBorders>
          </w:tcPr>
          <w:p w14:paraId="2E786BE7" w14:textId="77777777" w:rsidR="00FA4AA8" w:rsidRDefault="0015611F">
            <w:pPr>
              <w:pStyle w:val="TableParagraph"/>
              <w:spacing w:before="23" w:line="183" w:lineRule="exact"/>
              <w:ind w:right="301"/>
              <w:jc w:val="right"/>
              <w:rPr>
                <w:sz w:val="18"/>
              </w:rPr>
            </w:pPr>
            <w:r>
              <w:rPr>
                <w:sz w:val="18"/>
              </w:rPr>
              <w:t>(43,269)</w:t>
            </w:r>
          </w:p>
        </w:tc>
        <w:tc>
          <w:tcPr>
            <w:tcW w:w="1387" w:type="dxa"/>
            <w:tcBorders>
              <w:bottom w:val="single" w:sz="8" w:space="0" w:color="000000"/>
            </w:tcBorders>
          </w:tcPr>
          <w:p w14:paraId="5CD04872" w14:textId="77777777" w:rsidR="00FA4AA8" w:rsidRDefault="0015611F">
            <w:pPr>
              <w:pStyle w:val="TableParagraph"/>
              <w:spacing w:before="23" w:line="183" w:lineRule="exact"/>
              <w:ind w:right="222"/>
              <w:jc w:val="right"/>
              <w:rPr>
                <w:b/>
                <w:sz w:val="18"/>
              </w:rPr>
            </w:pPr>
            <w:r>
              <w:rPr>
                <w:b/>
                <w:sz w:val="18"/>
              </w:rPr>
              <w:t>(261,621)</w:t>
            </w:r>
          </w:p>
        </w:tc>
        <w:tc>
          <w:tcPr>
            <w:tcW w:w="1098" w:type="dxa"/>
            <w:tcBorders>
              <w:bottom w:val="single" w:sz="8" w:space="0" w:color="000000"/>
            </w:tcBorders>
          </w:tcPr>
          <w:p w14:paraId="3D781ADA" w14:textId="77777777" w:rsidR="00FA4AA8" w:rsidRDefault="0015611F">
            <w:pPr>
              <w:pStyle w:val="TableParagraph"/>
              <w:spacing w:before="23" w:line="183" w:lineRule="exact"/>
              <w:ind w:right="26"/>
              <w:jc w:val="right"/>
              <w:rPr>
                <w:sz w:val="18"/>
              </w:rPr>
            </w:pPr>
            <w:r>
              <w:rPr>
                <w:sz w:val="18"/>
              </w:rPr>
              <w:t>(42,434)</w:t>
            </w:r>
          </w:p>
        </w:tc>
      </w:tr>
      <w:tr w:rsidR="00FA4AA8" w14:paraId="28EA3EA4" w14:textId="77777777">
        <w:trPr>
          <w:trHeight w:val="617"/>
        </w:trPr>
        <w:tc>
          <w:tcPr>
            <w:tcW w:w="3852" w:type="dxa"/>
          </w:tcPr>
          <w:p w14:paraId="0DFCA6AA" w14:textId="77777777" w:rsidR="00FA4AA8" w:rsidRDefault="00FA4AA8">
            <w:pPr>
              <w:pStyle w:val="TableParagraph"/>
              <w:rPr>
                <w:b/>
                <w:sz w:val="20"/>
              </w:rPr>
            </w:pPr>
          </w:p>
          <w:p w14:paraId="3092819B" w14:textId="77777777" w:rsidR="00FA4AA8" w:rsidRDefault="0015611F">
            <w:pPr>
              <w:pStyle w:val="TableParagraph"/>
              <w:spacing w:before="178" w:line="190" w:lineRule="exact"/>
              <w:ind w:left="50"/>
              <w:rPr>
                <w:b/>
                <w:sz w:val="18"/>
              </w:rPr>
            </w:pPr>
            <w:r>
              <w:rPr>
                <w:b/>
                <w:sz w:val="18"/>
              </w:rPr>
              <w:t>Cash flows from financing</w:t>
            </w:r>
          </w:p>
        </w:tc>
        <w:tc>
          <w:tcPr>
            <w:tcW w:w="579" w:type="dxa"/>
          </w:tcPr>
          <w:p w14:paraId="7F82D379" w14:textId="77777777" w:rsidR="00FA4AA8" w:rsidRDefault="00FA4AA8">
            <w:pPr>
              <w:pStyle w:val="TableParagraph"/>
              <w:rPr>
                <w:rFonts w:ascii="Times New Roman"/>
                <w:sz w:val="18"/>
              </w:rPr>
            </w:pPr>
          </w:p>
        </w:tc>
        <w:tc>
          <w:tcPr>
            <w:tcW w:w="1637" w:type="dxa"/>
            <w:tcBorders>
              <w:top w:val="single" w:sz="8" w:space="0" w:color="000000"/>
            </w:tcBorders>
          </w:tcPr>
          <w:p w14:paraId="58F7C3B0" w14:textId="77777777" w:rsidR="00FA4AA8" w:rsidRDefault="00FA4AA8">
            <w:pPr>
              <w:pStyle w:val="TableParagraph"/>
              <w:rPr>
                <w:rFonts w:ascii="Times New Roman"/>
                <w:sz w:val="18"/>
              </w:rPr>
            </w:pPr>
          </w:p>
        </w:tc>
        <w:tc>
          <w:tcPr>
            <w:tcW w:w="1373" w:type="dxa"/>
            <w:tcBorders>
              <w:top w:val="single" w:sz="8" w:space="0" w:color="000000"/>
            </w:tcBorders>
          </w:tcPr>
          <w:p w14:paraId="341B2528" w14:textId="77777777" w:rsidR="00FA4AA8" w:rsidRDefault="00FA4AA8">
            <w:pPr>
              <w:pStyle w:val="TableParagraph"/>
              <w:rPr>
                <w:rFonts w:ascii="Times New Roman"/>
                <w:sz w:val="18"/>
              </w:rPr>
            </w:pPr>
          </w:p>
        </w:tc>
        <w:tc>
          <w:tcPr>
            <w:tcW w:w="1387" w:type="dxa"/>
            <w:tcBorders>
              <w:top w:val="single" w:sz="8" w:space="0" w:color="000000"/>
            </w:tcBorders>
          </w:tcPr>
          <w:p w14:paraId="106D50CB" w14:textId="77777777" w:rsidR="00FA4AA8" w:rsidRDefault="00FA4AA8">
            <w:pPr>
              <w:pStyle w:val="TableParagraph"/>
              <w:rPr>
                <w:rFonts w:ascii="Times New Roman"/>
                <w:sz w:val="18"/>
              </w:rPr>
            </w:pPr>
          </w:p>
        </w:tc>
        <w:tc>
          <w:tcPr>
            <w:tcW w:w="1098" w:type="dxa"/>
            <w:tcBorders>
              <w:top w:val="single" w:sz="8" w:space="0" w:color="000000"/>
            </w:tcBorders>
          </w:tcPr>
          <w:p w14:paraId="4CC12661" w14:textId="77777777" w:rsidR="00FA4AA8" w:rsidRDefault="00FA4AA8">
            <w:pPr>
              <w:pStyle w:val="TableParagraph"/>
              <w:rPr>
                <w:rFonts w:ascii="Times New Roman"/>
                <w:sz w:val="18"/>
              </w:rPr>
            </w:pPr>
          </w:p>
        </w:tc>
      </w:tr>
      <w:tr w:rsidR="00FA4AA8" w14:paraId="4A638300" w14:textId="77777777">
        <w:trPr>
          <w:trHeight w:val="219"/>
        </w:trPr>
        <w:tc>
          <w:tcPr>
            <w:tcW w:w="3852" w:type="dxa"/>
          </w:tcPr>
          <w:p w14:paraId="3D71E688" w14:textId="77777777" w:rsidR="00FA4AA8" w:rsidRDefault="0015611F">
            <w:pPr>
              <w:pStyle w:val="TableParagraph"/>
              <w:spacing w:line="200" w:lineRule="exact"/>
              <w:ind w:left="50"/>
              <w:rPr>
                <w:b/>
                <w:sz w:val="18"/>
              </w:rPr>
            </w:pPr>
            <w:r>
              <w:rPr>
                <w:b/>
                <w:sz w:val="18"/>
              </w:rPr>
              <w:t>activities:</w:t>
            </w:r>
          </w:p>
        </w:tc>
        <w:tc>
          <w:tcPr>
            <w:tcW w:w="579" w:type="dxa"/>
          </w:tcPr>
          <w:p w14:paraId="55A5B7C9" w14:textId="77777777" w:rsidR="00FA4AA8" w:rsidRDefault="00FA4AA8">
            <w:pPr>
              <w:pStyle w:val="TableParagraph"/>
              <w:rPr>
                <w:rFonts w:ascii="Times New Roman"/>
                <w:sz w:val="14"/>
              </w:rPr>
            </w:pPr>
          </w:p>
        </w:tc>
        <w:tc>
          <w:tcPr>
            <w:tcW w:w="1637" w:type="dxa"/>
          </w:tcPr>
          <w:p w14:paraId="518885B1" w14:textId="77777777" w:rsidR="00FA4AA8" w:rsidRDefault="00FA4AA8">
            <w:pPr>
              <w:pStyle w:val="TableParagraph"/>
              <w:rPr>
                <w:rFonts w:ascii="Times New Roman"/>
                <w:sz w:val="14"/>
              </w:rPr>
            </w:pPr>
          </w:p>
        </w:tc>
        <w:tc>
          <w:tcPr>
            <w:tcW w:w="1373" w:type="dxa"/>
          </w:tcPr>
          <w:p w14:paraId="7D7DB1D0" w14:textId="77777777" w:rsidR="00FA4AA8" w:rsidRDefault="00FA4AA8">
            <w:pPr>
              <w:pStyle w:val="TableParagraph"/>
              <w:rPr>
                <w:rFonts w:ascii="Times New Roman"/>
                <w:sz w:val="14"/>
              </w:rPr>
            </w:pPr>
          </w:p>
        </w:tc>
        <w:tc>
          <w:tcPr>
            <w:tcW w:w="1387" w:type="dxa"/>
          </w:tcPr>
          <w:p w14:paraId="5A1B6296" w14:textId="77777777" w:rsidR="00FA4AA8" w:rsidRDefault="00FA4AA8">
            <w:pPr>
              <w:pStyle w:val="TableParagraph"/>
              <w:rPr>
                <w:rFonts w:ascii="Times New Roman"/>
                <w:sz w:val="14"/>
              </w:rPr>
            </w:pPr>
          </w:p>
        </w:tc>
        <w:tc>
          <w:tcPr>
            <w:tcW w:w="1098" w:type="dxa"/>
          </w:tcPr>
          <w:p w14:paraId="67A1EF3A" w14:textId="77777777" w:rsidR="00FA4AA8" w:rsidRDefault="00FA4AA8">
            <w:pPr>
              <w:pStyle w:val="TableParagraph"/>
              <w:rPr>
                <w:rFonts w:ascii="Times New Roman"/>
                <w:sz w:val="14"/>
              </w:rPr>
            </w:pPr>
          </w:p>
        </w:tc>
      </w:tr>
      <w:tr w:rsidR="00FA4AA8" w14:paraId="0A2D75A9" w14:textId="77777777">
        <w:trPr>
          <w:trHeight w:val="249"/>
        </w:trPr>
        <w:tc>
          <w:tcPr>
            <w:tcW w:w="3852" w:type="dxa"/>
          </w:tcPr>
          <w:p w14:paraId="66A5654C" w14:textId="77777777" w:rsidR="00FA4AA8" w:rsidRDefault="0015611F">
            <w:pPr>
              <w:pStyle w:val="TableParagraph"/>
              <w:spacing w:before="10"/>
              <w:ind w:left="50"/>
              <w:rPr>
                <w:sz w:val="18"/>
              </w:rPr>
            </w:pPr>
            <w:r>
              <w:rPr>
                <w:sz w:val="18"/>
              </w:rPr>
              <w:t>Proceeds from borrowings</w:t>
            </w:r>
          </w:p>
        </w:tc>
        <w:tc>
          <w:tcPr>
            <w:tcW w:w="579" w:type="dxa"/>
          </w:tcPr>
          <w:p w14:paraId="722C0DB1" w14:textId="77777777" w:rsidR="00FA4AA8" w:rsidRDefault="00FA4AA8">
            <w:pPr>
              <w:pStyle w:val="TableParagraph"/>
              <w:rPr>
                <w:rFonts w:ascii="Times New Roman"/>
                <w:sz w:val="18"/>
              </w:rPr>
            </w:pPr>
          </w:p>
        </w:tc>
        <w:tc>
          <w:tcPr>
            <w:tcW w:w="1637" w:type="dxa"/>
          </w:tcPr>
          <w:p w14:paraId="1F162D86" w14:textId="77777777" w:rsidR="00FA4AA8" w:rsidRDefault="0015611F">
            <w:pPr>
              <w:pStyle w:val="TableParagraph"/>
              <w:spacing w:before="12"/>
              <w:ind w:right="282"/>
              <w:jc w:val="right"/>
              <w:rPr>
                <w:b/>
                <w:sz w:val="18"/>
              </w:rPr>
            </w:pPr>
            <w:r>
              <w:rPr>
                <w:b/>
                <w:sz w:val="18"/>
              </w:rPr>
              <w:t>474,000</w:t>
            </w:r>
          </w:p>
        </w:tc>
        <w:tc>
          <w:tcPr>
            <w:tcW w:w="1373" w:type="dxa"/>
          </w:tcPr>
          <w:p w14:paraId="30DD28A6" w14:textId="77777777" w:rsidR="00FA4AA8" w:rsidRDefault="0015611F">
            <w:pPr>
              <w:pStyle w:val="TableParagraph"/>
              <w:spacing w:before="12"/>
              <w:ind w:left="354"/>
              <w:rPr>
                <w:sz w:val="18"/>
              </w:rPr>
            </w:pPr>
            <w:r>
              <w:rPr>
                <w:sz w:val="18"/>
              </w:rPr>
              <w:t>437,500</w:t>
            </w:r>
          </w:p>
        </w:tc>
        <w:tc>
          <w:tcPr>
            <w:tcW w:w="1387" w:type="dxa"/>
          </w:tcPr>
          <w:p w14:paraId="2F6D4046" w14:textId="77777777" w:rsidR="00FA4AA8" w:rsidRDefault="0015611F">
            <w:pPr>
              <w:pStyle w:val="TableParagraph"/>
              <w:spacing w:before="12"/>
              <w:ind w:right="282"/>
              <w:jc w:val="right"/>
              <w:rPr>
                <w:b/>
                <w:sz w:val="18"/>
              </w:rPr>
            </w:pPr>
            <w:r>
              <w:rPr>
                <w:b/>
                <w:sz w:val="18"/>
              </w:rPr>
              <w:t>483,596</w:t>
            </w:r>
          </w:p>
        </w:tc>
        <w:tc>
          <w:tcPr>
            <w:tcW w:w="1098" w:type="dxa"/>
          </w:tcPr>
          <w:p w14:paraId="0D477A5A" w14:textId="77777777" w:rsidR="00FA4AA8" w:rsidRDefault="0015611F">
            <w:pPr>
              <w:pStyle w:val="TableParagraph"/>
              <w:spacing w:before="12"/>
              <w:ind w:left="354"/>
              <w:rPr>
                <w:sz w:val="18"/>
              </w:rPr>
            </w:pPr>
            <w:r>
              <w:rPr>
                <w:sz w:val="18"/>
              </w:rPr>
              <w:t>448,159</w:t>
            </w:r>
          </w:p>
        </w:tc>
      </w:tr>
      <w:tr w:rsidR="00FA4AA8" w14:paraId="68E9F10F" w14:textId="77777777">
        <w:trPr>
          <w:trHeight w:val="258"/>
        </w:trPr>
        <w:tc>
          <w:tcPr>
            <w:tcW w:w="3852" w:type="dxa"/>
          </w:tcPr>
          <w:p w14:paraId="0D079942" w14:textId="77777777" w:rsidR="00FA4AA8" w:rsidRDefault="0015611F">
            <w:pPr>
              <w:pStyle w:val="TableParagraph"/>
              <w:spacing w:before="24"/>
              <w:ind w:left="50"/>
              <w:rPr>
                <w:sz w:val="18"/>
              </w:rPr>
            </w:pPr>
            <w:r>
              <w:rPr>
                <w:sz w:val="18"/>
              </w:rPr>
              <w:t>Repayment of borrowings</w:t>
            </w:r>
          </w:p>
        </w:tc>
        <w:tc>
          <w:tcPr>
            <w:tcW w:w="579" w:type="dxa"/>
          </w:tcPr>
          <w:p w14:paraId="778F29AD" w14:textId="77777777" w:rsidR="00FA4AA8" w:rsidRDefault="00FA4AA8">
            <w:pPr>
              <w:pStyle w:val="TableParagraph"/>
              <w:rPr>
                <w:rFonts w:ascii="Times New Roman"/>
                <w:sz w:val="18"/>
              </w:rPr>
            </w:pPr>
          </w:p>
        </w:tc>
        <w:tc>
          <w:tcPr>
            <w:tcW w:w="1637" w:type="dxa"/>
            <w:tcBorders>
              <w:bottom w:val="single" w:sz="8" w:space="0" w:color="000000"/>
            </w:tcBorders>
          </w:tcPr>
          <w:p w14:paraId="4A3ED499" w14:textId="77777777" w:rsidR="00FA4AA8" w:rsidRDefault="0015611F">
            <w:pPr>
              <w:pStyle w:val="TableParagraph"/>
              <w:spacing w:before="26"/>
              <w:ind w:right="222"/>
              <w:jc w:val="right"/>
              <w:rPr>
                <w:b/>
                <w:sz w:val="18"/>
              </w:rPr>
            </w:pPr>
            <w:r>
              <w:rPr>
                <w:b/>
                <w:sz w:val="18"/>
              </w:rPr>
              <w:t>(475,000)</w:t>
            </w:r>
          </w:p>
        </w:tc>
        <w:tc>
          <w:tcPr>
            <w:tcW w:w="1373" w:type="dxa"/>
            <w:tcBorders>
              <w:bottom w:val="single" w:sz="8" w:space="0" w:color="000000"/>
            </w:tcBorders>
          </w:tcPr>
          <w:p w14:paraId="676ECA12" w14:textId="77777777" w:rsidR="00FA4AA8" w:rsidRDefault="0015611F">
            <w:pPr>
              <w:pStyle w:val="TableParagraph"/>
              <w:spacing w:before="26"/>
              <w:ind w:right="301"/>
              <w:jc w:val="right"/>
              <w:rPr>
                <w:sz w:val="18"/>
              </w:rPr>
            </w:pPr>
            <w:r>
              <w:rPr>
                <w:sz w:val="18"/>
              </w:rPr>
              <w:t>(429,000)</w:t>
            </w:r>
          </w:p>
        </w:tc>
        <w:tc>
          <w:tcPr>
            <w:tcW w:w="1387" w:type="dxa"/>
            <w:tcBorders>
              <w:bottom w:val="single" w:sz="8" w:space="0" w:color="000000"/>
            </w:tcBorders>
          </w:tcPr>
          <w:p w14:paraId="204B023D" w14:textId="77777777" w:rsidR="00FA4AA8" w:rsidRDefault="0015611F">
            <w:pPr>
              <w:pStyle w:val="TableParagraph"/>
              <w:spacing w:before="26"/>
              <w:ind w:right="222"/>
              <w:jc w:val="right"/>
              <w:rPr>
                <w:b/>
                <w:sz w:val="18"/>
              </w:rPr>
            </w:pPr>
            <w:r>
              <w:rPr>
                <w:b/>
                <w:sz w:val="18"/>
              </w:rPr>
              <w:t>(482,000)</w:t>
            </w:r>
          </w:p>
        </w:tc>
        <w:tc>
          <w:tcPr>
            <w:tcW w:w="1098" w:type="dxa"/>
            <w:tcBorders>
              <w:bottom w:val="single" w:sz="8" w:space="0" w:color="000000"/>
            </w:tcBorders>
          </w:tcPr>
          <w:p w14:paraId="78A18EA3" w14:textId="77777777" w:rsidR="00FA4AA8" w:rsidRDefault="0015611F">
            <w:pPr>
              <w:pStyle w:val="TableParagraph"/>
              <w:spacing w:before="26"/>
              <w:ind w:right="26"/>
              <w:jc w:val="right"/>
              <w:rPr>
                <w:sz w:val="18"/>
              </w:rPr>
            </w:pPr>
            <w:r>
              <w:rPr>
                <w:sz w:val="18"/>
              </w:rPr>
              <w:t>(437,885)</w:t>
            </w:r>
          </w:p>
        </w:tc>
      </w:tr>
      <w:tr w:rsidR="00FA4AA8" w14:paraId="321B2B12" w14:textId="77777777">
        <w:trPr>
          <w:trHeight w:val="238"/>
        </w:trPr>
        <w:tc>
          <w:tcPr>
            <w:tcW w:w="3852" w:type="dxa"/>
          </w:tcPr>
          <w:p w14:paraId="71D1B160" w14:textId="77777777" w:rsidR="00FA4AA8" w:rsidRDefault="0015611F">
            <w:pPr>
              <w:pStyle w:val="TableParagraph"/>
              <w:spacing w:before="28" w:line="190" w:lineRule="exact"/>
              <w:ind w:left="50"/>
              <w:rPr>
                <w:b/>
                <w:sz w:val="18"/>
              </w:rPr>
            </w:pPr>
            <w:r>
              <w:rPr>
                <w:b/>
                <w:sz w:val="18"/>
              </w:rPr>
              <w:t>Net cash used in financing</w:t>
            </w:r>
          </w:p>
        </w:tc>
        <w:tc>
          <w:tcPr>
            <w:tcW w:w="579" w:type="dxa"/>
          </w:tcPr>
          <w:p w14:paraId="148EA36B" w14:textId="77777777" w:rsidR="00FA4AA8" w:rsidRDefault="00FA4AA8">
            <w:pPr>
              <w:pStyle w:val="TableParagraph"/>
              <w:rPr>
                <w:rFonts w:ascii="Times New Roman"/>
                <w:sz w:val="16"/>
              </w:rPr>
            </w:pPr>
          </w:p>
        </w:tc>
        <w:tc>
          <w:tcPr>
            <w:tcW w:w="1637" w:type="dxa"/>
            <w:tcBorders>
              <w:top w:val="single" w:sz="8" w:space="0" w:color="000000"/>
            </w:tcBorders>
          </w:tcPr>
          <w:p w14:paraId="3F1FF6F2" w14:textId="77777777" w:rsidR="00FA4AA8" w:rsidRDefault="00FA4AA8">
            <w:pPr>
              <w:pStyle w:val="TableParagraph"/>
              <w:rPr>
                <w:rFonts w:ascii="Times New Roman"/>
                <w:sz w:val="16"/>
              </w:rPr>
            </w:pPr>
          </w:p>
        </w:tc>
        <w:tc>
          <w:tcPr>
            <w:tcW w:w="1373" w:type="dxa"/>
            <w:tcBorders>
              <w:top w:val="single" w:sz="8" w:space="0" w:color="000000"/>
            </w:tcBorders>
          </w:tcPr>
          <w:p w14:paraId="485168CC" w14:textId="77777777" w:rsidR="00FA4AA8" w:rsidRDefault="00FA4AA8">
            <w:pPr>
              <w:pStyle w:val="TableParagraph"/>
              <w:rPr>
                <w:rFonts w:ascii="Times New Roman"/>
                <w:sz w:val="16"/>
              </w:rPr>
            </w:pPr>
          </w:p>
        </w:tc>
        <w:tc>
          <w:tcPr>
            <w:tcW w:w="1387" w:type="dxa"/>
            <w:tcBorders>
              <w:top w:val="single" w:sz="8" w:space="0" w:color="000000"/>
            </w:tcBorders>
          </w:tcPr>
          <w:p w14:paraId="762E2D80" w14:textId="77777777" w:rsidR="00FA4AA8" w:rsidRDefault="00FA4AA8">
            <w:pPr>
              <w:pStyle w:val="TableParagraph"/>
              <w:rPr>
                <w:rFonts w:ascii="Times New Roman"/>
                <w:sz w:val="16"/>
              </w:rPr>
            </w:pPr>
          </w:p>
        </w:tc>
        <w:tc>
          <w:tcPr>
            <w:tcW w:w="1098" w:type="dxa"/>
            <w:tcBorders>
              <w:top w:val="single" w:sz="8" w:space="0" w:color="000000"/>
            </w:tcBorders>
          </w:tcPr>
          <w:p w14:paraId="64948E12" w14:textId="77777777" w:rsidR="00FA4AA8" w:rsidRDefault="00FA4AA8">
            <w:pPr>
              <w:pStyle w:val="TableParagraph"/>
              <w:rPr>
                <w:rFonts w:ascii="Times New Roman"/>
                <w:sz w:val="16"/>
              </w:rPr>
            </w:pPr>
          </w:p>
        </w:tc>
      </w:tr>
      <w:tr w:rsidR="00FA4AA8" w14:paraId="12604985" w14:textId="77777777">
        <w:trPr>
          <w:trHeight w:val="226"/>
        </w:trPr>
        <w:tc>
          <w:tcPr>
            <w:tcW w:w="3852" w:type="dxa"/>
          </w:tcPr>
          <w:p w14:paraId="575025E8" w14:textId="77777777" w:rsidR="00FA4AA8" w:rsidRDefault="0015611F">
            <w:pPr>
              <w:pStyle w:val="TableParagraph"/>
              <w:spacing w:line="204" w:lineRule="exact"/>
              <w:ind w:left="50"/>
              <w:rPr>
                <w:b/>
                <w:sz w:val="18"/>
              </w:rPr>
            </w:pPr>
            <w:r>
              <w:rPr>
                <w:b/>
                <w:sz w:val="18"/>
              </w:rPr>
              <w:t>activities</w:t>
            </w:r>
          </w:p>
        </w:tc>
        <w:tc>
          <w:tcPr>
            <w:tcW w:w="579" w:type="dxa"/>
          </w:tcPr>
          <w:p w14:paraId="38CB235A" w14:textId="77777777" w:rsidR="00FA4AA8" w:rsidRDefault="00FA4AA8">
            <w:pPr>
              <w:pStyle w:val="TableParagraph"/>
              <w:rPr>
                <w:rFonts w:ascii="Times New Roman"/>
                <w:sz w:val="16"/>
              </w:rPr>
            </w:pPr>
          </w:p>
        </w:tc>
        <w:tc>
          <w:tcPr>
            <w:tcW w:w="1637" w:type="dxa"/>
            <w:tcBorders>
              <w:bottom w:val="single" w:sz="8" w:space="0" w:color="000000"/>
            </w:tcBorders>
          </w:tcPr>
          <w:p w14:paraId="64180704" w14:textId="77777777" w:rsidR="00FA4AA8" w:rsidRDefault="0015611F">
            <w:pPr>
              <w:pStyle w:val="TableParagraph"/>
              <w:spacing w:before="23" w:line="183" w:lineRule="exact"/>
              <w:ind w:right="222"/>
              <w:jc w:val="right"/>
              <w:rPr>
                <w:b/>
                <w:sz w:val="18"/>
              </w:rPr>
            </w:pPr>
            <w:r>
              <w:rPr>
                <w:b/>
                <w:sz w:val="18"/>
              </w:rPr>
              <w:t>(1,000)</w:t>
            </w:r>
          </w:p>
        </w:tc>
        <w:tc>
          <w:tcPr>
            <w:tcW w:w="1373" w:type="dxa"/>
            <w:tcBorders>
              <w:bottom w:val="single" w:sz="8" w:space="0" w:color="000000"/>
            </w:tcBorders>
          </w:tcPr>
          <w:p w14:paraId="08D1FDB2" w14:textId="77777777" w:rsidR="00FA4AA8" w:rsidRDefault="0015611F">
            <w:pPr>
              <w:pStyle w:val="TableParagraph"/>
              <w:spacing w:before="23" w:line="183" w:lineRule="exact"/>
              <w:ind w:left="555"/>
              <w:rPr>
                <w:sz w:val="18"/>
              </w:rPr>
            </w:pPr>
            <w:r>
              <w:rPr>
                <w:sz w:val="18"/>
              </w:rPr>
              <w:t>8,500</w:t>
            </w:r>
          </w:p>
        </w:tc>
        <w:tc>
          <w:tcPr>
            <w:tcW w:w="1387" w:type="dxa"/>
            <w:tcBorders>
              <w:bottom w:val="single" w:sz="8" w:space="0" w:color="000000"/>
            </w:tcBorders>
          </w:tcPr>
          <w:p w14:paraId="7AFE55F3" w14:textId="77777777" w:rsidR="00FA4AA8" w:rsidRDefault="0015611F">
            <w:pPr>
              <w:pStyle w:val="TableParagraph"/>
              <w:spacing w:before="23" w:line="183" w:lineRule="exact"/>
              <w:ind w:right="282"/>
              <w:jc w:val="right"/>
              <w:rPr>
                <w:b/>
                <w:sz w:val="18"/>
              </w:rPr>
            </w:pPr>
            <w:r>
              <w:rPr>
                <w:b/>
                <w:sz w:val="18"/>
              </w:rPr>
              <w:t>1,596</w:t>
            </w:r>
          </w:p>
        </w:tc>
        <w:tc>
          <w:tcPr>
            <w:tcW w:w="1098" w:type="dxa"/>
            <w:tcBorders>
              <w:bottom w:val="single" w:sz="8" w:space="0" w:color="000000"/>
            </w:tcBorders>
          </w:tcPr>
          <w:p w14:paraId="0A3445A4" w14:textId="77777777" w:rsidR="00FA4AA8" w:rsidRDefault="0015611F">
            <w:pPr>
              <w:pStyle w:val="TableParagraph"/>
              <w:spacing w:before="23" w:line="183" w:lineRule="exact"/>
              <w:ind w:right="87"/>
              <w:jc w:val="right"/>
              <w:rPr>
                <w:sz w:val="18"/>
              </w:rPr>
            </w:pPr>
            <w:r>
              <w:rPr>
                <w:sz w:val="18"/>
              </w:rPr>
              <w:t>10,274</w:t>
            </w:r>
          </w:p>
        </w:tc>
      </w:tr>
      <w:tr w:rsidR="00FA4AA8" w14:paraId="14322CBE" w14:textId="77777777">
        <w:trPr>
          <w:trHeight w:val="763"/>
        </w:trPr>
        <w:tc>
          <w:tcPr>
            <w:tcW w:w="3852" w:type="dxa"/>
          </w:tcPr>
          <w:p w14:paraId="12F13BDA" w14:textId="77777777" w:rsidR="00FA4AA8" w:rsidRDefault="00FA4AA8">
            <w:pPr>
              <w:pStyle w:val="TableParagraph"/>
              <w:spacing w:before="11"/>
              <w:rPr>
                <w:b/>
                <w:sz w:val="27"/>
              </w:rPr>
            </w:pPr>
          </w:p>
          <w:p w14:paraId="4B91C714" w14:textId="77777777" w:rsidR="00FA4AA8" w:rsidRDefault="0015611F">
            <w:pPr>
              <w:pStyle w:val="TableParagraph"/>
              <w:ind w:left="50" w:right="880"/>
              <w:rPr>
                <w:b/>
                <w:sz w:val="18"/>
              </w:rPr>
            </w:pPr>
            <w:r>
              <w:rPr>
                <w:b/>
                <w:sz w:val="18"/>
              </w:rPr>
              <w:t>Net increase / (decreased) in cash and cash equivalents</w:t>
            </w:r>
          </w:p>
        </w:tc>
        <w:tc>
          <w:tcPr>
            <w:tcW w:w="579" w:type="dxa"/>
          </w:tcPr>
          <w:p w14:paraId="328F1C8A" w14:textId="77777777" w:rsidR="00FA4AA8" w:rsidRDefault="00FA4AA8">
            <w:pPr>
              <w:pStyle w:val="TableParagraph"/>
              <w:rPr>
                <w:rFonts w:ascii="Times New Roman"/>
                <w:sz w:val="18"/>
              </w:rPr>
            </w:pPr>
          </w:p>
        </w:tc>
        <w:tc>
          <w:tcPr>
            <w:tcW w:w="1637" w:type="dxa"/>
            <w:tcBorders>
              <w:top w:val="single" w:sz="8" w:space="0" w:color="000000"/>
            </w:tcBorders>
          </w:tcPr>
          <w:p w14:paraId="37469E8B" w14:textId="77777777" w:rsidR="00FA4AA8" w:rsidRDefault="00FA4AA8">
            <w:pPr>
              <w:pStyle w:val="TableParagraph"/>
              <w:rPr>
                <w:b/>
                <w:sz w:val="20"/>
              </w:rPr>
            </w:pPr>
          </w:p>
          <w:p w14:paraId="2B3D0E1E" w14:textId="77777777" w:rsidR="00FA4AA8" w:rsidRDefault="00FA4AA8">
            <w:pPr>
              <w:pStyle w:val="TableParagraph"/>
              <w:spacing w:before="8"/>
              <w:rPr>
                <w:b/>
                <w:sz w:val="25"/>
              </w:rPr>
            </w:pPr>
          </w:p>
          <w:p w14:paraId="605363A5" w14:textId="77777777" w:rsidR="00FA4AA8" w:rsidRDefault="0015611F">
            <w:pPr>
              <w:pStyle w:val="TableParagraph"/>
              <w:ind w:right="222"/>
              <w:jc w:val="right"/>
              <w:rPr>
                <w:b/>
                <w:sz w:val="18"/>
              </w:rPr>
            </w:pPr>
            <w:r>
              <w:rPr>
                <w:b/>
                <w:sz w:val="18"/>
              </w:rPr>
              <w:t>(119,458)</w:t>
            </w:r>
          </w:p>
        </w:tc>
        <w:tc>
          <w:tcPr>
            <w:tcW w:w="1373" w:type="dxa"/>
            <w:tcBorders>
              <w:top w:val="single" w:sz="8" w:space="0" w:color="000000"/>
            </w:tcBorders>
          </w:tcPr>
          <w:p w14:paraId="7A22AD78" w14:textId="77777777" w:rsidR="00FA4AA8" w:rsidRDefault="00FA4AA8">
            <w:pPr>
              <w:pStyle w:val="TableParagraph"/>
              <w:rPr>
                <w:b/>
                <w:sz w:val="20"/>
              </w:rPr>
            </w:pPr>
          </w:p>
          <w:p w14:paraId="1F65D074" w14:textId="77777777" w:rsidR="00FA4AA8" w:rsidRDefault="00FA4AA8">
            <w:pPr>
              <w:pStyle w:val="TableParagraph"/>
              <w:spacing w:before="8"/>
              <w:rPr>
                <w:b/>
                <w:sz w:val="25"/>
              </w:rPr>
            </w:pPr>
          </w:p>
          <w:p w14:paraId="1FFAAF5C" w14:textId="77777777" w:rsidR="00FA4AA8" w:rsidRDefault="0015611F">
            <w:pPr>
              <w:pStyle w:val="TableParagraph"/>
              <w:ind w:left="454"/>
              <w:rPr>
                <w:sz w:val="18"/>
              </w:rPr>
            </w:pPr>
            <w:r>
              <w:rPr>
                <w:sz w:val="18"/>
              </w:rPr>
              <w:t>82,523</w:t>
            </w:r>
          </w:p>
        </w:tc>
        <w:tc>
          <w:tcPr>
            <w:tcW w:w="1387" w:type="dxa"/>
            <w:tcBorders>
              <w:top w:val="single" w:sz="8" w:space="0" w:color="000000"/>
            </w:tcBorders>
          </w:tcPr>
          <w:p w14:paraId="6F261F41" w14:textId="77777777" w:rsidR="00FA4AA8" w:rsidRDefault="00FA4AA8">
            <w:pPr>
              <w:pStyle w:val="TableParagraph"/>
              <w:rPr>
                <w:b/>
                <w:sz w:val="20"/>
              </w:rPr>
            </w:pPr>
          </w:p>
          <w:p w14:paraId="248A01B7" w14:textId="77777777" w:rsidR="00FA4AA8" w:rsidRDefault="00FA4AA8">
            <w:pPr>
              <w:pStyle w:val="TableParagraph"/>
              <w:spacing w:before="8"/>
              <w:rPr>
                <w:b/>
                <w:sz w:val="25"/>
              </w:rPr>
            </w:pPr>
          </w:p>
          <w:p w14:paraId="5D70A21F" w14:textId="77777777" w:rsidR="00FA4AA8" w:rsidRDefault="0015611F">
            <w:pPr>
              <w:pStyle w:val="TableParagraph"/>
              <w:ind w:right="222"/>
              <w:jc w:val="right"/>
              <w:rPr>
                <w:b/>
                <w:sz w:val="18"/>
              </w:rPr>
            </w:pPr>
            <w:r>
              <w:rPr>
                <w:b/>
                <w:sz w:val="18"/>
              </w:rPr>
              <w:t>(120,801)</w:t>
            </w:r>
          </w:p>
        </w:tc>
        <w:tc>
          <w:tcPr>
            <w:tcW w:w="1098" w:type="dxa"/>
            <w:tcBorders>
              <w:top w:val="single" w:sz="8" w:space="0" w:color="000000"/>
            </w:tcBorders>
          </w:tcPr>
          <w:p w14:paraId="45085488" w14:textId="77777777" w:rsidR="00FA4AA8" w:rsidRDefault="00FA4AA8">
            <w:pPr>
              <w:pStyle w:val="TableParagraph"/>
              <w:rPr>
                <w:b/>
                <w:sz w:val="20"/>
              </w:rPr>
            </w:pPr>
          </w:p>
          <w:p w14:paraId="6B9FB401" w14:textId="77777777" w:rsidR="00FA4AA8" w:rsidRDefault="00FA4AA8">
            <w:pPr>
              <w:pStyle w:val="TableParagraph"/>
              <w:spacing w:before="8"/>
              <w:rPr>
                <w:b/>
                <w:sz w:val="25"/>
              </w:rPr>
            </w:pPr>
          </w:p>
          <w:p w14:paraId="68C978F5" w14:textId="77777777" w:rsidR="00FA4AA8" w:rsidRDefault="0015611F">
            <w:pPr>
              <w:pStyle w:val="TableParagraph"/>
              <w:ind w:right="87"/>
              <w:jc w:val="right"/>
              <w:rPr>
                <w:sz w:val="18"/>
              </w:rPr>
            </w:pPr>
            <w:r>
              <w:rPr>
                <w:sz w:val="18"/>
              </w:rPr>
              <w:t>83,157</w:t>
            </w:r>
          </w:p>
        </w:tc>
      </w:tr>
      <w:tr w:rsidR="00FA4AA8" w14:paraId="65334CE1" w14:textId="77777777">
        <w:trPr>
          <w:trHeight w:val="459"/>
        </w:trPr>
        <w:tc>
          <w:tcPr>
            <w:tcW w:w="3852" w:type="dxa"/>
          </w:tcPr>
          <w:p w14:paraId="63EB316A" w14:textId="77777777" w:rsidR="00FA4AA8" w:rsidRDefault="0015611F">
            <w:pPr>
              <w:pStyle w:val="TableParagraph"/>
              <w:spacing w:before="23"/>
              <w:ind w:left="50" w:right="1420"/>
              <w:rPr>
                <w:sz w:val="18"/>
              </w:rPr>
            </w:pPr>
            <w:r>
              <w:rPr>
                <w:sz w:val="18"/>
              </w:rPr>
              <w:t>Cash and cash equivalents at beginning of year</w:t>
            </w:r>
          </w:p>
        </w:tc>
        <w:tc>
          <w:tcPr>
            <w:tcW w:w="579" w:type="dxa"/>
          </w:tcPr>
          <w:p w14:paraId="50D398C8" w14:textId="77777777" w:rsidR="00FA4AA8" w:rsidRDefault="00FA4AA8">
            <w:pPr>
              <w:pStyle w:val="TableParagraph"/>
              <w:rPr>
                <w:rFonts w:ascii="Times New Roman"/>
                <w:sz w:val="18"/>
              </w:rPr>
            </w:pPr>
          </w:p>
        </w:tc>
        <w:tc>
          <w:tcPr>
            <w:tcW w:w="1637" w:type="dxa"/>
            <w:tcBorders>
              <w:bottom w:val="single" w:sz="8" w:space="0" w:color="000000"/>
            </w:tcBorders>
          </w:tcPr>
          <w:p w14:paraId="6099125C" w14:textId="77777777" w:rsidR="00FA4AA8" w:rsidRDefault="00FA4AA8">
            <w:pPr>
              <w:pStyle w:val="TableParagraph"/>
              <w:spacing w:before="8"/>
              <w:rPr>
                <w:b/>
                <w:sz w:val="19"/>
              </w:rPr>
            </w:pPr>
          </w:p>
          <w:p w14:paraId="6B624E3A" w14:textId="77777777" w:rsidR="00FA4AA8" w:rsidRDefault="0015611F">
            <w:pPr>
              <w:pStyle w:val="TableParagraph"/>
              <w:ind w:right="282"/>
              <w:jc w:val="right"/>
              <w:rPr>
                <w:b/>
                <w:sz w:val="18"/>
              </w:rPr>
            </w:pPr>
            <w:r>
              <w:rPr>
                <w:b/>
                <w:sz w:val="18"/>
              </w:rPr>
              <w:t>221,748</w:t>
            </w:r>
          </w:p>
        </w:tc>
        <w:tc>
          <w:tcPr>
            <w:tcW w:w="1373" w:type="dxa"/>
            <w:tcBorders>
              <w:bottom w:val="single" w:sz="8" w:space="0" w:color="000000"/>
            </w:tcBorders>
          </w:tcPr>
          <w:p w14:paraId="355FFC1C" w14:textId="77777777" w:rsidR="00FA4AA8" w:rsidRDefault="00FA4AA8">
            <w:pPr>
              <w:pStyle w:val="TableParagraph"/>
              <w:spacing w:before="8"/>
              <w:rPr>
                <w:b/>
                <w:sz w:val="19"/>
              </w:rPr>
            </w:pPr>
          </w:p>
          <w:p w14:paraId="3E578D85" w14:textId="77777777" w:rsidR="00FA4AA8" w:rsidRDefault="0015611F">
            <w:pPr>
              <w:pStyle w:val="TableParagraph"/>
              <w:ind w:left="354"/>
              <w:rPr>
                <w:sz w:val="18"/>
              </w:rPr>
            </w:pPr>
            <w:r>
              <w:rPr>
                <w:sz w:val="18"/>
              </w:rPr>
              <w:t>139,225</w:t>
            </w:r>
          </w:p>
        </w:tc>
        <w:tc>
          <w:tcPr>
            <w:tcW w:w="1387" w:type="dxa"/>
            <w:tcBorders>
              <w:bottom w:val="single" w:sz="8" w:space="0" w:color="000000"/>
            </w:tcBorders>
          </w:tcPr>
          <w:p w14:paraId="3FDD0EDE" w14:textId="77777777" w:rsidR="00FA4AA8" w:rsidRDefault="00FA4AA8">
            <w:pPr>
              <w:pStyle w:val="TableParagraph"/>
              <w:spacing w:before="8"/>
              <w:rPr>
                <w:b/>
                <w:sz w:val="19"/>
              </w:rPr>
            </w:pPr>
          </w:p>
          <w:p w14:paraId="1E90358A" w14:textId="77777777" w:rsidR="00FA4AA8" w:rsidRDefault="0015611F">
            <w:pPr>
              <w:pStyle w:val="TableParagraph"/>
              <w:ind w:right="282"/>
              <w:jc w:val="right"/>
              <w:rPr>
                <w:b/>
                <w:sz w:val="18"/>
              </w:rPr>
            </w:pPr>
            <w:r>
              <w:rPr>
                <w:b/>
                <w:sz w:val="18"/>
              </w:rPr>
              <w:t>219,554</w:t>
            </w:r>
          </w:p>
        </w:tc>
        <w:tc>
          <w:tcPr>
            <w:tcW w:w="1098" w:type="dxa"/>
            <w:tcBorders>
              <w:bottom w:val="single" w:sz="8" w:space="0" w:color="000000"/>
            </w:tcBorders>
          </w:tcPr>
          <w:p w14:paraId="1D62AF46" w14:textId="77777777" w:rsidR="00FA4AA8" w:rsidRDefault="00FA4AA8">
            <w:pPr>
              <w:pStyle w:val="TableParagraph"/>
              <w:spacing w:before="8"/>
              <w:rPr>
                <w:b/>
                <w:sz w:val="19"/>
              </w:rPr>
            </w:pPr>
          </w:p>
          <w:p w14:paraId="6DEAD67C" w14:textId="77777777" w:rsidR="00FA4AA8" w:rsidRDefault="0015611F">
            <w:pPr>
              <w:pStyle w:val="TableParagraph"/>
              <w:ind w:left="354"/>
              <w:rPr>
                <w:sz w:val="18"/>
              </w:rPr>
            </w:pPr>
            <w:r>
              <w:rPr>
                <w:sz w:val="18"/>
              </w:rPr>
              <w:t>136,397</w:t>
            </w:r>
          </w:p>
        </w:tc>
      </w:tr>
      <w:tr w:rsidR="00FA4AA8" w14:paraId="57D41481" w14:textId="77777777">
        <w:trPr>
          <w:trHeight w:val="522"/>
        </w:trPr>
        <w:tc>
          <w:tcPr>
            <w:tcW w:w="3852" w:type="dxa"/>
          </w:tcPr>
          <w:p w14:paraId="7C193B10" w14:textId="77777777" w:rsidR="00FA4AA8" w:rsidRDefault="0015611F">
            <w:pPr>
              <w:pStyle w:val="TableParagraph"/>
              <w:spacing w:before="119" w:line="206" w:lineRule="exact"/>
              <w:ind w:left="50" w:right="891"/>
              <w:rPr>
                <w:b/>
                <w:sz w:val="18"/>
              </w:rPr>
            </w:pPr>
            <w:r>
              <w:rPr>
                <w:b/>
                <w:sz w:val="18"/>
              </w:rPr>
              <w:t>Cash and cash equivalents at end of financial year</w:t>
            </w:r>
          </w:p>
        </w:tc>
        <w:tc>
          <w:tcPr>
            <w:tcW w:w="579" w:type="dxa"/>
          </w:tcPr>
          <w:p w14:paraId="6EFBC128" w14:textId="77777777" w:rsidR="00FA4AA8" w:rsidRDefault="00FA4AA8">
            <w:pPr>
              <w:pStyle w:val="TableParagraph"/>
              <w:spacing w:before="7"/>
              <w:rPr>
                <w:b/>
                <w:sz w:val="25"/>
              </w:rPr>
            </w:pPr>
          </w:p>
          <w:p w14:paraId="4B2E0E8C" w14:textId="77777777" w:rsidR="00FA4AA8" w:rsidRDefault="0015611F">
            <w:pPr>
              <w:pStyle w:val="TableParagraph"/>
              <w:ind w:left="148"/>
              <w:rPr>
                <w:sz w:val="18"/>
              </w:rPr>
            </w:pPr>
            <w:r>
              <w:rPr>
                <w:sz w:val="18"/>
              </w:rPr>
              <w:t>16</w:t>
            </w:r>
          </w:p>
        </w:tc>
        <w:tc>
          <w:tcPr>
            <w:tcW w:w="1637" w:type="dxa"/>
            <w:tcBorders>
              <w:top w:val="single" w:sz="8" w:space="0" w:color="000000"/>
              <w:bottom w:val="single" w:sz="2" w:space="0" w:color="000000"/>
            </w:tcBorders>
          </w:tcPr>
          <w:p w14:paraId="40F0E3CE" w14:textId="77777777" w:rsidR="00FA4AA8" w:rsidRDefault="00FA4AA8">
            <w:pPr>
              <w:pStyle w:val="TableParagraph"/>
              <w:spacing w:before="11"/>
              <w:rPr>
                <w:b/>
                <w:sz w:val="27"/>
              </w:rPr>
            </w:pPr>
          </w:p>
          <w:p w14:paraId="74603298" w14:textId="77777777" w:rsidR="00FA4AA8" w:rsidRDefault="0015611F">
            <w:pPr>
              <w:pStyle w:val="TableParagraph"/>
              <w:spacing w:line="181" w:lineRule="exact"/>
              <w:ind w:right="282"/>
              <w:jc w:val="right"/>
              <w:rPr>
                <w:b/>
                <w:sz w:val="18"/>
              </w:rPr>
            </w:pPr>
            <w:r>
              <w:rPr>
                <w:b/>
                <w:sz w:val="18"/>
              </w:rPr>
              <w:t>102,290</w:t>
            </w:r>
          </w:p>
        </w:tc>
        <w:tc>
          <w:tcPr>
            <w:tcW w:w="1373" w:type="dxa"/>
            <w:tcBorders>
              <w:top w:val="single" w:sz="8" w:space="0" w:color="000000"/>
              <w:bottom w:val="single" w:sz="6" w:space="0" w:color="000000"/>
            </w:tcBorders>
          </w:tcPr>
          <w:p w14:paraId="2981EC7A" w14:textId="77777777" w:rsidR="00FA4AA8" w:rsidRDefault="00FA4AA8">
            <w:pPr>
              <w:pStyle w:val="TableParagraph"/>
              <w:spacing w:before="11"/>
              <w:rPr>
                <w:b/>
                <w:sz w:val="27"/>
              </w:rPr>
            </w:pPr>
          </w:p>
          <w:p w14:paraId="7859D683" w14:textId="77777777" w:rsidR="00FA4AA8" w:rsidRDefault="0015611F">
            <w:pPr>
              <w:pStyle w:val="TableParagraph"/>
              <w:spacing w:line="181" w:lineRule="exact"/>
              <w:ind w:left="354"/>
              <w:rPr>
                <w:sz w:val="18"/>
              </w:rPr>
            </w:pPr>
            <w:r>
              <w:rPr>
                <w:sz w:val="18"/>
              </w:rPr>
              <w:t>221,748</w:t>
            </w:r>
          </w:p>
        </w:tc>
        <w:tc>
          <w:tcPr>
            <w:tcW w:w="1387" w:type="dxa"/>
            <w:tcBorders>
              <w:top w:val="single" w:sz="8" w:space="0" w:color="000000"/>
              <w:bottom w:val="thinThickMediumGap" w:sz="2" w:space="0" w:color="000000"/>
            </w:tcBorders>
          </w:tcPr>
          <w:p w14:paraId="298769C2" w14:textId="77777777" w:rsidR="00FA4AA8" w:rsidRDefault="00FA4AA8">
            <w:pPr>
              <w:pStyle w:val="TableParagraph"/>
              <w:spacing w:before="11"/>
              <w:rPr>
                <w:b/>
                <w:sz w:val="27"/>
              </w:rPr>
            </w:pPr>
          </w:p>
          <w:p w14:paraId="4AF10F38" w14:textId="77777777" w:rsidR="00FA4AA8" w:rsidRDefault="0015611F">
            <w:pPr>
              <w:pStyle w:val="TableParagraph"/>
              <w:spacing w:line="181" w:lineRule="exact"/>
              <w:ind w:right="282"/>
              <w:jc w:val="right"/>
              <w:rPr>
                <w:b/>
                <w:sz w:val="18"/>
              </w:rPr>
            </w:pPr>
            <w:r>
              <w:rPr>
                <w:b/>
                <w:sz w:val="18"/>
              </w:rPr>
              <w:t>98,753</w:t>
            </w:r>
          </w:p>
        </w:tc>
        <w:tc>
          <w:tcPr>
            <w:tcW w:w="1098" w:type="dxa"/>
            <w:tcBorders>
              <w:top w:val="single" w:sz="8" w:space="0" w:color="000000"/>
              <w:bottom w:val="thinThickMediumGap" w:sz="2" w:space="0" w:color="000000"/>
            </w:tcBorders>
          </w:tcPr>
          <w:p w14:paraId="1CE1A5B9" w14:textId="77777777" w:rsidR="00FA4AA8" w:rsidRDefault="00FA4AA8">
            <w:pPr>
              <w:pStyle w:val="TableParagraph"/>
              <w:spacing w:before="11"/>
              <w:rPr>
                <w:b/>
                <w:sz w:val="27"/>
              </w:rPr>
            </w:pPr>
          </w:p>
          <w:p w14:paraId="179F5D89" w14:textId="77777777" w:rsidR="00FA4AA8" w:rsidRDefault="0015611F">
            <w:pPr>
              <w:pStyle w:val="TableParagraph"/>
              <w:spacing w:line="181" w:lineRule="exact"/>
              <w:ind w:left="354"/>
              <w:rPr>
                <w:sz w:val="18"/>
              </w:rPr>
            </w:pPr>
            <w:r>
              <w:rPr>
                <w:sz w:val="18"/>
              </w:rPr>
              <w:t>219,554</w:t>
            </w:r>
          </w:p>
        </w:tc>
      </w:tr>
    </w:tbl>
    <w:p w14:paraId="7E237A7E" w14:textId="77777777" w:rsidR="00FA4AA8" w:rsidRDefault="007E2441">
      <w:pPr>
        <w:pStyle w:val="BodyText"/>
        <w:spacing w:line="20" w:lineRule="exact"/>
        <w:ind w:left="4574"/>
        <w:rPr>
          <w:sz w:val="2"/>
        </w:rPr>
      </w:pPr>
      <w:r>
        <w:rPr>
          <w:noProof/>
          <w:sz w:val="2"/>
          <w:lang w:val="en-AU" w:eastAsia="en-AU"/>
        </w:rPr>
        <mc:AlternateContent>
          <mc:Choice Requires="wpg">
            <w:drawing>
              <wp:inline distT="0" distB="0" distL="0" distR="0" wp14:anchorId="23354557" wp14:editId="4DB1E695">
                <wp:extent cx="3488690" cy="9525"/>
                <wp:effectExtent l="9525" t="6985" r="6985" b="12065"/>
                <wp:docPr id="3588" name="Group 3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8690" cy="9525"/>
                          <a:chOff x="0" y="0"/>
                          <a:chExt cx="5494" cy="15"/>
                        </a:xfrm>
                      </wpg:grpSpPr>
                      <wps:wsp>
                        <wps:cNvPr id="3589" name="Line 3386"/>
                        <wps:cNvCnPr>
                          <a:cxnSpLocks noChangeShapeType="1"/>
                        </wps:cNvCnPr>
                        <wps:spPr bwMode="auto">
                          <a:xfrm>
                            <a:off x="0" y="11"/>
                            <a:ext cx="142"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590" name="Line 3385"/>
                        <wps:cNvCnPr>
                          <a:cxnSpLocks noChangeShapeType="1"/>
                        </wps:cNvCnPr>
                        <wps:spPr bwMode="auto">
                          <a:xfrm>
                            <a:off x="0" y="13"/>
                            <a:ext cx="142"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591" name="Line 3384"/>
                        <wps:cNvCnPr>
                          <a:cxnSpLocks noChangeShapeType="1"/>
                        </wps:cNvCnPr>
                        <wps:spPr bwMode="auto">
                          <a:xfrm>
                            <a:off x="142" y="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592" name="Line 3383"/>
                        <wps:cNvCnPr>
                          <a:cxnSpLocks noChangeShapeType="1"/>
                        </wps:cNvCnPr>
                        <wps:spPr bwMode="auto">
                          <a:xfrm>
                            <a:off x="142" y="4"/>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593" name="Line 3382"/>
                        <wps:cNvCnPr>
                          <a:cxnSpLocks noChangeShapeType="1"/>
                        </wps:cNvCnPr>
                        <wps:spPr bwMode="auto">
                          <a:xfrm>
                            <a:off x="142" y="6"/>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594" name="Line 3381"/>
                        <wps:cNvCnPr>
                          <a:cxnSpLocks noChangeShapeType="1"/>
                        </wps:cNvCnPr>
                        <wps:spPr bwMode="auto">
                          <a:xfrm>
                            <a:off x="142" y="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595" name="Line 3380"/>
                        <wps:cNvCnPr>
                          <a:cxnSpLocks noChangeShapeType="1"/>
                        </wps:cNvCnPr>
                        <wps:spPr bwMode="auto">
                          <a:xfrm>
                            <a:off x="142" y="1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596" name="Line 3379"/>
                        <wps:cNvCnPr>
                          <a:cxnSpLocks noChangeShapeType="1"/>
                        </wps:cNvCnPr>
                        <wps:spPr bwMode="auto">
                          <a:xfrm>
                            <a:off x="142" y="1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597" name="Line 3378"/>
                        <wps:cNvCnPr>
                          <a:cxnSpLocks noChangeShapeType="1"/>
                        </wps:cNvCnPr>
                        <wps:spPr bwMode="auto">
                          <a:xfrm>
                            <a:off x="1438" y="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598" name="Line 3377"/>
                        <wps:cNvCnPr>
                          <a:cxnSpLocks noChangeShapeType="1"/>
                        </wps:cNvCnPr>
                        <wps:spPr bwMode="auto">
                          <a:xfrm>
                            <a:off x="1438" y="4"/>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599" name="Line 3376"/>
                        <wps:cNvCnPr>
                          <a:cxnSpLocks noChangeShapeType="1"/>
                        </wps:cNvCnPr>
                        <wps:spPr bwMode="auto">
                          <a:xfrm>
                            <a:off x="1438" y="6"/>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600" name="Line 3375"/>
                        <wps:cNvCnPr>
                          <a:cxnSpLocks noChangeShapeType="1"/>
                        </wps:cNvCnPr>
                        <wps:spPr bwMode="auto">
                          <a:xfrm>
                            <a:off x="1438" y="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601" name="Line 3374"/>
                        <wps:cNvCnPr>
                          <a:cxnSpLocks noChangeShapeType="1"/>
                        </wps:cNvCnPr>
                        <wps:spPr bwMode="auto">
                          <a:xfrm>
                            <a:off x="1438" y="1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602" name="Line 3373"/>
                        <wps:cNvCnPr>
                          <a:cxnSpLocks noChangeShapeType="1"/>
                        </wps:cNvCnPr>
                        <wps:spPr bwMode="auto">
                          <a:xfrm>
                            <a:off x="1438" y="1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603" name="Line 3372"/>
                        <wps:cNvCnPr>
                          <a:cxnSpLocks noChangeShapeType="1"/>
                        </wps:cNvCnPr>
                        <wps:spPr bwMode="auto">
                          <a:xfrm>
                            <a:off x="2760" y="1"/>
                            <a:ext cx="142"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604" name="Line 3371"/>
                        <wps:cNvCnPr>
                          <a:cxnSpLocks noChangeShapeType="1"/>
                        </wps:cNvCnPr>
                        <wps:spPr bwMode="auto">
                          <a:xfrm>
                            <a:off x="2760" y="4"/>
                            <a:ext cx="142"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605" name="Line 3370"/>
                        <wps:cNvCnPr>
                          <a:cxnSpLocks noChangeShapeType="1"/>
                        </wps:cNvCnPr>
                        <wps:spPr bwMode="auto">
                          <a:xfrm>
                            <a:off x="2760" y="6"/>
                            <a:ext cx="142"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606" name="Line 3369"/>
                        <wps:cNvCnPr>
                          <a:cxnSpLocks noChangeShapeType="1"/>
                        </wps:cNvCnPr>
                        <wps:spPr bwMode="auto">
                          <a:xfrm>
                            <a:off x="2760" y="8"/>
                            <a:ext cx="142"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607" name="Line 3368"/>
                        <wps:cNvCnPr>
                          <a:cxnSpLocks noChangeShapeType="1"/>
                        </wps:cNvCnPr>
                        <wps:spPr bwMode="auto">
                          <a:xfrm>
                            <a:off x="2760" y="11"/>
                            <a:ext cx="142"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608" name="Line 3367"/>
                        <wps:cNvCnPr>
                          <a:cxnSpLocks noChangeShapeType="1"/>
                        </wps:cNvCnPr>
                        <wps:spPr bwMode="auto">
                          <a:xfrm>
                            <a:off x="2760" y="13"/>
                            <a:ext cx="142"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609" name="Line 3366"/>
                        <wps:cNvCnPr>
                          <a:cxnSpLocks noChangeShapeType="1"/>
                        </wps:cNvCnPr>
                        <wps:spPr bwMode="auto">
                          <a:xfrm>
                            <a:off x="2902" y="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610" name="Line 3365"/>
                        <wps:cNvCnPr>
                          <a:cxnSpLocks noChangeShapeType="1"/>
                        </wps:cNvCnPr>
                        <wps:spPr bwMode="auto">
                          <a:xfrm>
                            <a:off x="2902" y="4"/>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611" name="Line 3364"/>
                        <wps:cNvCnPr>
                          <a:cxnSpLocks noChangeShapeType="1"/>
                        </wps:cNvCnPr>
                        <wps:spPr bwMode="auto">
                          <a:xfrm>
                            <a:off x="2902" y="6"/>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612" name="Line 3363"/>
                        <wps:cNvCnPr>
                          <a:cxnSpLocks noChangeShapeType="1"/>
                        </wps:cNvCnPr>
                        <wps:spPr bwMode="auto">
                          <a:xfrm>
                            <a:off x="2902" y="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613" name="Line 3362"/>
                        <wps:cNvCnPr>
                          <a:cxnSpLocks noChangeShapeType="1"/>
                        </wps:cNvCnPr>
                        <wps:spPr bwMode="auto">
                          <a:xfrm>
                            <a:off x="2902" y="1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614" name="Line 3361"/>
                        <wps:cNvCnPr>
                          <a:cxnSpLocks noChangeShapeType="1"/>
                        </wps:cNvCnPr>
                        <wps:spPr bwMode="auto">
                          <a:xfrm>
                            <a:off x="2902" y="1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615" name="Line 3360"/>
                        <wps:cNvCnPr>
                          <a:cxnSpLocks noChangeShapeType="1"/>
                        </wps:cNvCnPr>
                        <wps:spPr bwMode="auto">
                          <a:xfrm>
                            <a:off x="4198" y="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616" name="Line 3359"/>
                        <wps:cNvCnPr>
                          <a:cxnSpLocks noChangeShapeType="1"/>
                        </wps:cNvCnPr>
                        <wps:spPr bwMode="auto">
                          <a:xfrm>
                            <a:off x="4198" y="4"/>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617" name="Line 3358"/>
                        <wps:cNvCnPr>
                          <a:cxnSpLocks noChangeShapeType="1"/>
                        </wps:cNvCnPr>
                        <wps:spPr bwMode="auto">
                          <a:xfrm>
                            <a:off x="4198" y="6"/>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618" name="Line 3357"/>
                        <wps:cNvCnPr>
                          <a:cxnSpLocks noChangeShapeType="1"/>
                        </wps:cNvCnPr>
                        <wps:spPr bwMode="auto">
                          <a:xfrm>
                            <a:off x="4198" y="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619" name="Line 3356"/>
                        <wps:cNvCnPr>
                          <a:cxnSpLocks noChangeShapeType="1"/>
                        </wps:cNvCnPr>
                        <wps:spPr bwMode="auto">
                          <a:xfrm>
                            <a:off x="4198" y="1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620" name="Line 3355"/>
                        <wps:cNvCnPr>
                          <a:cxnSpLocks noChangeShapeType="1"/>
                        </wps:cNvCnPr>
                        <wps:spPr bwMode="auto">
                          <a:xfrm>
                            <a:off x="4198" y="1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5E24078" id="Group 3354" o:spid="_x0000_s1026" style="width:274.7pt;height:.75pt;mso-position-horizontal-relative:char;mso-position-vertical-relative:line" coordsize="549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">
                <v:line id="Line 3386" o:spid="_x0000_s1027" style="position:absolute;visibility:visible;mso-wrap-style:square" from="0,11" to="14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" strokeweight=".12pt"/>
                <v:line id="Line 3385" o:spid="_x0000_s1028" style="position:absolute;visibility:visible;mso-wrap-style:square" from="0,13" to="14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" strokeweight=".12pt"/>
                <v:line id="Line 3384" o:spid="_x0000_s1029" style="position:absolute;visibility:visible;mso-wrap-style:square" from="142,1" to="1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" strokeweight=".12pt"/>
                <v:line id="Line 3383" o:spid="_x0000_s1030" style="position:absolute;visibility:visible;mso-wrap-style:square" from="142,4" to="14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" strokeweight=".12pt"/>
                <v:line id="Line 3382" o:spid="_x0000_s1031" style="position:absolute;visibility:visible;mso-wrap-style:square" from="142,6" to="14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" strokeweight=".12pt"/>
                <v:line id="Line 3381" o:spid="_x0000_s1032" style="position:absolute;visibility:visible;mso-wrap-style:square" from="142,8" to="14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" strokeweight=".12pt"/>
                <v:line id="Line 3380" o:spid="_x0000_s1033" style="position:absolute;visibility:visible;mso-wrap-style:square" from="142,11" to="143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" strokeweight=".12pt"/>
                <v:line id="Line 3379" o:spid="_x0000_s1034" style="position:absolute;visibility:visible;mso-wrap-style:square" from="142,13" to="143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" strokeweight=".12pt"/>
                <v:line id="Line 3378" o:spid="_x0000_s1035" style="position:absolute;visibility:visible;mso-wrap-style:square" from="1438,1" to="27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" strokeweight=".12pt"/>
                <v:line id="Line 3377" o:spid="_x0000_s1036" style="position:absolute;visibility:visible;mso-wrap-style:square" from="1438,4" to="2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" strokeweight=".12pt"/>
                <v:line id="Line 3376" o:spid="_x0000_s1037" style="position:absolute;visibility:visible;mso-wrap-style:square" from="1438,6" to="27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" strokeweight=".12pt"/>
                <v:line id="Line 3375" o:spid="_x0000_s1038" style="position:absolute;visibility:visible;mso-wrap-style:square" from="1438,8" to="27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" strokeweight=".12pt"/>
                <v:line id="Line 3374" o:spid="_x0000_s1039" style="position:absolute;visibility:visible;mso-wrap-style:square" from="1438,11" to="273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" strokeweight=".12pt"/>
                <v:line id="Line 3373" o:spid="_x0000_s1040" style="position:absolute;visibility:visible;mso-wrap-style:square" from="1438,13" to="273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" strokeweight=".12pt"/>
                <v:line id="Line 3372" o:spid="_x0000_s1041" style="position:absolute;visibility:visible;mso-wrap-style:square" from="2760,1" to="29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" strokeweight=".12pt"/>
                <v:line id="Line 3371" o:spid="_x0000_s1042" style="position:absolute;visibility:visible;mso-wrap-style:square" from="2760,4" to="29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" strokeweight=".12pt"/>
                <v:line id="Line 3370" o:spid="_x0000_s1043" style="position:absolute;visibility:visible;mso-wrap-style:square" from="2760,6" to="29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" strokeweight=".12pt"/>
                <v:line id="Line 3369" o:spid="_x0000_s1044" style="position:absolute;visibility:visible;mso-wrap-style:square" from="2760,8" to="29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" strokeweight=".12pt"/>
                <v:line id="Line 3368" o:spid="_x0000_s1045" style="position:absolute;visibility:visible;mso-wrap-style:square" from="2760,11" to="290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" strokeweight=".12pt"/>
                <v:line id="Line 3367" o:spid="_x0000_s1046" style="position:absolute;visibility:visible;mso-wrap-style:square" from="2760,13" to="290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" strokeweight=".12pt"/>
                <v:line id="Line 3366" o:spid="_x0000_s1047" style="position:absolute;visibility:visible;mso-wrap-style:square" from="2902,1" to="4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" strokeweight=".12pt"/>
                <v:line id="Line 3365" o:spid="_x0000_s1048" style="position:absolute;visibility:visible;mso-wrap-style:square" from="2902,4" to="41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" strokeweight=".12pt"/>
                <v:line id="Line 3364" o:spid="_x0000_s1049" style="position:absolute;visibility:visible;mso-wrap-style:square" from="2902,6" to="41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" strokeweight=".12pt"/>
                <v:line id="Line 3363" o:spid="_x0000_s1050" style="position:absolute;visibility:visible;mso-wrap-style:square" from="2902,8" to="41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" strokeweight=".12pt"/>
                <v:line id="Line 3362" o:spid="_x0000_s1051" style="position:absolute;visibility:visible;mso-wrap-style:square" from="2902,11" to="419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" strokeweight=".12pt"/>
                <v:line id="Line 3361" o:spid="_x0000_s1052" style="position:absolute;visibility:visible;mso-wrap-style:square" from="2902,13" to="419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" strokeweight=".12pt"/>
                <v:line id="Line 3360" o:spid="_x0000_s1053" style="position:absolute;visibility:visible;mso-wrap-style:square" from="4198,1" to="54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" strokeweight=".12pt"/>
                <v:line id="Line 3359" o:spid="_x0000_s1054" style="position:absolute;visibility:visible;mso-wrap-style:square" from="4198,4" to="54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" strokeweight=".12pt"/>
                <v:line id="Line 3358" o:spid="_x0000_s1055" style="position:absolute;visibility:visible;mso-wrap-style:square" from="4198,6" to="54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" strokeweight=".12pt"/>
                <v:line id="Line 3357" o:spid="_x0000_s1056" style="position:absolute;visibility:visible;mso-wrap-style:square" from="4198,8" to="54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" strokeweight=".12pt"/>
                <v:line id="Line 3356" o:spid="_x0000_s1057" style="position:absolute;visibility:visible;mso-wrap-style:square" from="4198,11" to="549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" strokeweight=".12pt"/>
                <v:line id="Line 3355" o:spid="_x0000_s1058" style="position:absolute;visibility:visible;mso-wrap-style:square" from="4198,13" to="549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" strokeweight=".12pt"/>
                <w10:anchorlock/>
              </v:group>
            </w:pict>
          </mc:Fallback>
        </mc:AlternateContent>
      </w:r>
    </w:p>
    <w:p w14:paraId="321F279D" w14:textId="77777777" w:rsidR="00FA4AA8" w:rsidRDefault="00FA4AA8">
      <w:pPr>
        <w:pStyle w:val="BodyText"/>
        <w:rPr>
          <w:b/>
          <w:sz w:val="20"/>
        </w:rPr>
      </w:pPr>
    </w:p>
    <w:p w14:paraId="703F84FA" w14:textId="77777777" w:rsidR="00FA4AA8" w:rsidRDefault="00FA4AA8">
      <w:pPr>
        <w:pStyle w:val="BodyText"/>
        <w:rPr>
          <w:b/>
          <w:sz w:val="20"/>
        </w:rPr>
      </w:pPr>
    </w:p>
    <w:p w14:paraId="4FDD6DF2" w14:textId="77777777" w:rsidR="00FA4AA8" w:rsidRDefault="00FA4AA8">
      <w:pPr>
        <w:pStyle w:val="BodyText"/>
        <w:rPr>
          <w:b/>
          <w:sz w:val="20"/>
        </w:rPr>
      </w:pPr>
    </w:p>
    <w:p w14:paraId="7CCFB1F4" w14:textId="77777777" w:rsidR="00FA4AA8" w:rsidRDefault="00FA4AA8">
      <w:pPr>
        <w:pStyle w:val="BodyText"/>
        <w:rPr>
          <w:b/>
          <w:sz w:val="20"/>
        </w:rPr>
      </w:pPr>
    </w:p>
    <w:p w14:paraId="46EAE410" w14:textId="77777777" w:rsidR="00FA4AA8" w:rsidRDefault="00FA4AA8">
      <w:pPr>
        <w:pStyle w:val="BodyText"/>
        <w:rPr>
          <w:b/>
          <w:sz w:val="20"/>
        </w:rPr>
      </w:pPr>
    </w:p>
    <w:p w14:paraId="3C3C0E8F" w14:textId="77777777" w:rsidR="00FA4AA8" w:rsidRDefault="0015611F">
      <w:pPr>
        <w:pStyle w:val="BodyText"/>
        <w:spacing w:before="137"/>
        <w:ind w:left="194" w:right="165"/>
        <w:jc w:val="center"/>
      </w:pPr>
      <w:r>
        <w:t>The accompanying notes form part of these financial statements.</w:t>
      </w:r>
    </w:p>
    <w:p w14:paraId="67074822" w14:textId="77777777" w:rsidR="00FA4AA8" w:rsidRDefault="00FA4AA8">
      <w:pPr>
        <w:jc w:val="center"/>
        <w:sectPr w:rsidR="00FA4AA8">
          <w:headerReference w:type="default" r:id="rId33"/>
          <w:footerReference w:type="default" r:id="rId34"/>
          <w:pgSz w:w="11910" w:h="16840"/>
          <w:pgMar w:top="1260" w:right="840" w:bottom="720" w:left="840" w:header="1016" w:footer="523" w:gutter="0"/>
          <w:pgNumType w:start="12"/>
          <w:cols w:space="720"/>
        </w:sectPr>
      </w:pPr>
    </w:p>
    <w:p w14:paraId="1D67256F" w14:textId="77777777" w:rsidR="00FA4AA8" w:rsidRDefault="00FA4AA8">
      <w:pPr>
        <w:pStyle w:val="BodyText"/>
        <w:spacing w:before="5"/>
        <w:rPr>
          <w:sz w:val="21"/>
        </w:rPr>
      </w:pPr>
    </w:p>
    <w:p w14:paraId="1913C814" w14:textId="77777777" w:rsidR="00FA4AA8" w:rsidRDefault="0015611F">
      <w:pPr>
        <w:pStyle w:val="Heading2"/>
        <w:spacing w:before="92"/>
      </w:pPr>
      <w:r>
        <w:t>Notes to the Financial Statements</w:t>
      </w:r>
    </w:p>
    <w:p w14:paraId="26EF55F3" w14:textId="77777777" w:rsidR="00FA4AA8" w:rsidRDefault="0015611F">
      <w:pPr>
        <w:pStyle w:val="Heading6"/>
        <w:spacing w:before="53"/>
        <w:ind w:left="167"/>
      </w:pPr>
      <w:r>
        <w:t>For the Year Ended 31 December 2018</w:t>
      </w:r>
    </w:p>
    <w:p w14:paraId="46C104F9" w14:textId="77777777" w:rsidR="00FA4AA8" w:rsidRDefault="00FA4AA8">
      <w:pPr>
        <w:pStyle w:val="BodyText"/>
        <w:rPr>
          <w:b/>
          <w:sz w:val="24"/>
        </w:rPr>
      </w:pPr>
    </w:p>
    <w:p w14:paraId="75E8990C" w14:textId="77777777" w:rsidR="00FA4AA8" w:rsidRDefault="00FA4AA8">
      <w:pPr>
        <w:pStyle w:val="BodyText"/>
        <w:spacing w:before="1"/>
        <w:rPr>
          <w:b/>
          <w:sz w:val="34"/>
        </w:rPr>
      </w:pPr>
    </w:p>
    <w:p w14:paraId="77446455" w14:textId="77777777" w:rsidR="00FA4AA8" w:rsidRDefault="0015611F">
      <w:pPr>
        <w:tabs>
          <w:tab w:val="left" w:pos="563"/>
        </w:tabs>
        <w:ind w:left="170"/>
        <w:rPr>
          <w:b/>
          <w:sz w:val="18"/>
        </w:rPr>
      </w:pPr>
      <w:r>
        <w:rPr>
          <w:b/>
          <w:sz w:val="18"/>
        </w:rPr>
        <w:t>1</w:t>
      </w:r>
      <w:r>
        <w:rPr>
          <w:b/>
          <w:sz w:val="18"/>
        </w:rPr>
        <w:tab/>
        <w:t>Summary of Significant Accounting</w:t>
      </w:r>
      <w:r>
        <w:rPr>
          <w:b/>
          <w:spacing w:val="-9"/>
          <w:sz w:val="18"/>
        </w:rPr>
        <w:t xml:space="preserve"> </w:t>
      </w:r>
      <w:r>
        <w:rPr>
          <w:b/>
          <w:sz w:val="18"/>
        </w:rPr>
        <w:t>Policies</w:t>
      </w:r>
    </w:p>
    <w:p w14:paraId="15C9FE34" w14:textId="77777777" w:rsidR="00FA4AA8" w:rsidRDefault="00FA4AA8">
      <w:pPr>
        <w:pStyle w:val="BodyText"/>
        <w:rPr>
          <w:b/>
          <w:sz w:val="25"/>
        </w:rPr>
      </w:pPr>
    </w:p>
    <w:p w14:paraId="0129C4F8" w14:textId="77777777" w:rsidR="00FA4AA8" w:rsidRDefault="0015611F">
      <w:pPr>
        <w:pStyle w:val="BodyText"/>
        <w:ind w:left="563"/>
      </w:pPr>
      <w:r>
        <w:t>The principal accounting policies adopted in the preparation of these financial statements are set out below. These policies have been consistently applied for all years reported unless otherwise stated. The financial statements include separate statements for Western Sydney University as the parent entity (the 'University') and the consolidated entity consisting of Western Sydney University and its subsidiaries (the 'Group').</w:t>
      </w:r>
    </w:p>
    <w:p w14:paraId="3A761AC9" w14:textId="77777777" w:rsidR="00FA4AA8" w:rsidRDefault="00FA4AA8">
      <w:pPr>
        <w:pStyle w:val="BodyText"/>
        <w:spacing w:before="10"/>
        <w:rPr>
          <w:sz w:val="24"/>
        </w:rPr>
      </w:pPr>
    </w:p>
    <w:p w14:paraId="5FEE6FCE" w14:textId="77777777" w:rsidR="00FA4AA8" w:rsidRDefault="0015611F">
      <w:pPr>
        <w:pStyle w:val="BodyText"/>
        <w:ind w:left="564"/>
      </w:pPr>
      <w:r>
        <w:t>The principal address of Western Sydney University is Great Western Highway Kingswood NSW 2747.</w:t>
      </w:r>
    </w:p>
    <w:p w14:paraId="59440E85" w14:textId="77777777" w:rsidR="00FA4AA8" w:rsidRDefault="00FA4AA8">
      <w:pPr>
        <w:pStyle w:val="BodyText"/>
        <w:spacing w:before="11"/>
        <w:rPr>
          <w:sz w:val="24"/>
        </w:rPr>
      </w:pPr>
    </w:p>
    <w:p w14:paraId="22EDF89B" w14:textId="77777777" w:rsidR="00FA4AA8" w:rsidRDefault="0015611F">
      <w:pPr>
        <w:numPr>
          <w:ilvl w:val="0"/>
          <w:numId w:val="16"/>
        </w:numPr>
        <w:tabs>
          <w:tab w:val="left" w:pos="1130"/>
          <w:tab w:val="left" w:pos="1131"/>
        </w:tabs>
        <w:rPr>
          <w:b/>
          <w:sz w:val="18"/>
        </w:rPr>
      </w:pPr>
      <w:r>
        <w:rPr>
          <w:b/>
          <w:sz w:val="18"/>
        </w:rPr>
        <w:t>Basis of Preparation</w:t>
      </w:r>
    </w:p>
    <w:p w14:paraId="1E67288E" w14:textId="77777777" w:rsidR="00FA4AA8" w:rsidRDefault="00FA4AA8">
      <w:pPr>
        <w:pStyle w:val="BodyText"/>
        <w:rPr>
          <w:b/>
          <w:sz w:val="25"/>
        </w:rPr>
      </w:pPr>
    </w:p>
    <w:p w14:paraId="768B85AE" w14:textId="77777777" w:rsidR="00FA4AA8" w:rsidRDefault="0015611F">
      <w:pPr>
        <w:pStyle w:val="BodyText"/>
        <w:ind w:left="1130" w:right="163"/>
        <w:jc w:val="both"/>
      </w:pPr>
      <w:r>
        <w:t xml:space="preserve">The annual financial statements represent the audited general purpose financial statements of Western Sydney University. They have been prepared on an accrual basis and comply with the Australian Accounting Standards and other authoritative </w:t>
      </w:r>
      <w:r w:rsidR="00FA26A8">
        <w:t>pronouncements</w:t>
      </w:r>
      <w:r>
        <w:t xml:space="preserve"> of the AAS Board.</w:t>
      </w:r>
    </w:p>
    <w:p w14:paraId="619469F5" w14:textId="77777777" w:rsidR="00FA4AA8" w:rsidRDefault="00FA4AA8">
      <w:pPr>
        <w:pStyle w:val="BodyText"/>
        <w:spacing w:before="10"/>
        <w:rPr>
          <w:sz w:val="24"/>
        </w:rPr>
      </w:pPr>
    </w:p>
    <w:p w14:paraId="15B1BEB0" w14:textId="77777777" w:rsidR="00FA4AA8" w:rsidRDefault="0015611F">
      <w:pPr>
        <w:pStyle w:val="BodyText"/>
        <w:ind w:left="1130"/>
        <w:jc w:val="both"/>
      </w:pPr>
      <w:r>
        <w:t>Western Sydney University applies Tier 1 reporting requirements.</w:t>
      </w:r>
    </w:p>
    <w:p w14:paraId="5EED21E1" w14:textId="77777777" w:rsidR="00FA4AA8" w:rsidRDefault="00FA4AA8">
      <w:pPr>
        <w:pStyle w:val="BodyText"/>
        <w:rPr>
          <w:sz w:val="25"/>
        </w:rPr>
      </w:pPr>
    </w:p>
    <w:p w14:paraId="4A399A91" w14:textId="77777777" w:rsidR="00FA4AA8" w:rsidRDefault="0015611F">
      <w:pPr>
        <w:pStyle w:val="BodyText"/>
        <w:ind w:left="1130"/>
        <w:jc w:val="both"/>
      </w:pPr>
      <w:r>
        <w:t>Additionally the statements have been prepared in accordance with following statutory requirements:</w:t>
      </w:r>
    </w:p>
    <w:p w14:paraId="1EEB80BF" w14:textId="77777777" w:rsidR="00FA4AA8" w:rsidRDefault="00FA4AA8">
      <w:pPr>
        <w:pStyle w:val="BodyText"/>
        <w:spacing w:before="7"/>
        <w:rPr>
          <w:sz w:val="25"/>
        </w:rPr>
      </w:pPr>
    </w:p>
    <w:p w14:paraId="4BB6F195" w14:textId="77777777" w:rsidR="00FA4AA8" w:rsidRDefault="0015611F">
      <w:pPr>
        <w:pStyle w:val="ListParagraph"/>
        <w:numPr>
          <w:ilvl w:val="1"/>
          <w:numId w:val="16"/>
        </w:numPr>
        <w:tabs>
          <w:tab w:val="left" w:pos="1696"/>
          <w:tab w:val="left" w:pos="1697"/>
        </w:tabs>
        <w:rPr>
          <w:i/>
          <w:sz w:val="18"/>
        </w:rPr>
      </w:pPr>
      <w:r>
        <w:rPr>
          <w:i/>
          <w:sz w:val="18"/>
        </w:rPr>
        <w:t xml:space="preserve">Public Finance and Audit Act 1983 </w:t>
      </w:r>
      <w:r>
        <w:rPr>
          <w:sz w:val="18"/>
        </w:rPr>
        <w:t>and</w:t>
      </w:r>
      <w:r>
        <w:rPr>
          <w:spacing w:val="7"/>
          <w:sz w:val="18"/>
        </w:rPr>
        <w:t xml:space="preserve"> </w:t>
      </w:r>
      <w:r>
        <w:rPr>
          <w:sz w:val="18"/>
        </w:rPr>
        <w:t>Regulation</w:t>
      </w:r>
      <w:r>
        <w:rPr>
          <w:i/>
          <w:sz w:val="18"/>
        </w:rPr>
        <w:t>;</w:t>
      </w:r>
    </w:p>
    <w:p w14:paraId="445EC4EF" w14:textId="77777777" w:rsidR="00FA4AA8" w:rsidRDefault="00FA4AA8">
      <w:pPr>
        <w:pStyle w:val="BodyText"/>
        <w:spacing w:before="8"/>
        <w:rPr>
          <w:i/>
          <w:sz w:val="25"/>
        </w:rPr>
      </w:pPr>
    </w:p>
    <w:p w14:paraId="02B5DC92" w14:textId="77777777" w:rsidR="00FA4AA8" w:rsidRDefault="0015611F">
      <w:pPr>
        <w:pStyle w:val="ListParagraph"/>
        <w:numPr>
          <w:ilvl w:val="1"/>
          <w:numId w:val="16"/>
        </w:numPr>
        <w:tabs>
          <w:tab w:val="left" w:pos="1696"/>
          <w:tab w:val="left" w:pos="1697"/>
        </w:tabs>
        <w:spacing w:line="261" w:lineRule="auto"/>
        <w:ind w:right="508"/>
        <w:rPr>
          <w:sz w:val="18"/>
        </w:rPr>
      </w:pPr>
      <w:r>
        <w:rPr>
          <w:i/>
          <w:sz w:val="18"/>
        </w:rPr>
        <w:t xml:space="preserve">Higher Education Support Act 2003 </w:t>
      </w:r>
      <w:r>
        <w:rPr>
          <w:sz w:val="18"/>
        </w:rPr>
        <w:t>(Financial Statement Guidelines for Australian Higher Education Providers for the 2018 Reporting</w:t>
      </w:r>
      <w:r>
        <w:rPr>
          <w:spacing w:val="1"/>
          <w:sz w:val="18"/>
        </w:rPr>
        <w:t xml:space="preserve"> </w:t>
      </w:r>
      <w:r>
        <w:rPr>
          <w:sz w:val="18"/>
        </w:rPr>
        <w:t>Period);</w:t>
      </w:r>
    </w:p>
    <w:p w14:paraId="15DB750E" w14:textId="77777777" w:rsidR="00FA4AA8" w:rsidRDefault="00FA4AA8">
      <w:pPr>
        <w:pStyle w:val="BodyText"/>
        <w:spacing w:before="2"/>
        <w:rPr>
          <w:sz w:val="24"/>
        </w:rPr>
      </w:pPr>
    </w:p>
    <w:p w14:paraId="1F264D6B" w14:textId="77777777" w:rsidR="00FA4AA8" w:rsidRDefault="0015611F">
      <w:pPr>
        <w:pStyle w:val="ListParagraph"/>
        <w:numPr>
          <w:ilvl w:val="1"/>
          <w:numId w:val="16"/>
        </w:numPr>
        <w:tabs>
          <w:tab w:val="left" w:pos="1696"/>
          <w:tab w:val="left" w:pos="1697"/>
        </w:tabs>
        <w:rPr>
          <w:sz w:val="18"/>
        </w:rPr>
      </w:pPr>
      <w:r>
        <w:rPr>
          <w:sz w:val="18"/>
        </w:rPr>
        <w:t xml:space="preserve">The </w:t>
      </w:r>
      <w:r>
        <w:rPr>
          <w:i/>
          <w:sz w:val="18"/>
        </w:rPr>
        <w:t xml:space="preserve">Australian Charities and Not-for-profits Commission Act </w:t>
      </w:r>
      <w:r>
        <w:rPr>
          <w:sz w:val="18"/>
        </w:rPr>
        <w:t>and</w:t>
      </w:r>
      <w:r>
        <w:rPr>
          <w:spacing w:val="3"/>
          <w:sz w:val="18"/>
        </w:rPr>
        <w:t xml:space="preserve"> </w:t>
      </w:r>
      <w:r>
        <w:rPr>
          <w:sz w:val="18"/>
        </w:rPr>
        <w:t>Regulation.</w:t>
      </w:r>
    </w:p>
    <w:p w14:paraId="1B74B640" w14:textId="77777777" w:rsidR="00FA4AA8" w:rsidRDefault="00FA4AA8">
      <w:pPr>
        <w:pStyle w:val="BodyText"/>
        <w:spacing w:before="1"/>
        <w:rPr>
          <w:sz w:val="25"/>
        </w:rPr>
      </w:pPr>
    </w:p>
    <w:p w14:paraId="67806773" w14:textId="77777777" w:rsidR="00FA4AA8" w:rsidRDefault="0015611F">
      <w:pPr>
        <w:pStyle w:val="BodyText"/>
        <w:ind w:left="1130" w:right="256"/>
      </w:pPr>
      <w:r>
        <w:t>Western Sydney University is a not-for-profit entity and these statements have been prepared on that basis. Some of the Australian Accounting Standards requirements for not-for-profit entities are inconsistent with the International Financial Reporting Standards (IFRS) requirements.</w:t>
      </w:r>
    </w:p>
    <w:p w14:paraId="440D9B71" w14:textId="77777777" w:rsidR="00FA4AA8" w:rsidRDefault="00FA4AA8">
      <w:pPr>
        <w:pStyle w:val="BodyText"/>
        <w:spacing w:before="10"/>
        <w:rPr>
          <w:sz w:val="24"/>
        </w:rPr>
      </w:pPr>
    </w:p>
    <w:p w14:paraId="591110C5" w14:textId="77777777" w:rsidR="00FA4AA8" w:rsidRDefault="0015611F">
      <w:pPr>
        <w:spacing w:before="1"/>
        <w:ind w:left="1130"/>
        <w:rPr>
          <w:b/>
          <w:i/>
          <w:sz w:val="18"/>
        </w:rPr>
      </w:pPr>
      <w:r>
        <w:rPr>
          <w:b/>
          <w:i/>
          <w:sz w:val="18"/>
        </w:rPr>
        <w:t>Date of authorisation for issue</w:t>
      </w:r>
    </w:p>
    <w:p w14:paraId="7EBD43C8" w14:textId="77777777" w:rsidR="00FA4AA8" w:rsidRDefault="00FA4AA8">
      <w:pPr>
        <w:pStyle w:val="BodyText"/>
        <w:spacing w:before="11"/>
        <w:rPr>
          <w:b/>
          <w:i/>
          <w:sz w:val="24"/>
        </w:rPr>
      </w:pPr>
    </w:p>
    <w:p w14:paraId="3DDE5747" w14:textId="77777777" w:rsidR="00FA4AA8" w:rsidRDefault="0015611F">
      <w:pPr>
        <w:pStyle w:val="BodyText"/>
        <w:ind w:left="1130" w:right="256"/>
      </w:pPr>
      <w:r>
        <w:t>The financial statements were authorised for issue by the Board of Trustees of Western Sydney University on 10 April 2019.</w:t>
      </w:r>
    </w:p>
    <w:p w14:paraId="15C70FF1" w14:textId="77777777" w:rsidR="00FA4AA8" w:rsidRDefault="00FA4AA8">
      <w:pPr>
        <w:pStyle w:val="BodyText"/>
        <w:spacing w:before="11"/>
        <w:rPr>
          <w:sz w:val="24"/>
        </w:rPr>
      </w:pPr>
    </w:p>
    <w:p w14:paraId="10BB5F87" w14:textId="77777777" w:rsidR="00FA4AA8" w:rsidRDefault="0015611F">
      <w:pPr>
        <w:ind w:left="1130"/>
        <w:rPr>
          <w:b/>
          <w:i/>
          <w:sz w:val="18"/>
        </w:rPr>
      </w:pPr>
      <w:r>
        <w:rPr>
          <w:b/>
          <w:i/>
          <w:sz w:val="18"/>
        </w:rPr>
        <w:t>Historical cost convention</w:t>
      </w:r>
    </w:p>
    <w:p w14:paraId="7F4C82C0" w14:textId="77777777" w:rsidR="00FA4AA8" w:rsidRDefault="00FA4AA8">
      <w:pPr>
        <w:pStyle w:val="BodyText"/>
        <w:rPr>
          <w:b/>
          <w:i/>
          <w:sz w:val="25"/>
        </w:rPr>
      </w:pPr>
    </w:p>
    <w:p w14:paraId="3540EF3F" w14:textId="77777777" w:rsidR="00FA4AA8" w:rsidRDefault="0015611F">
      <w:pPr>
        <w:pStyle w:val="BodyText"/>
        <w:ind w:left="1130"/>
      </w:pPr>
      <w:r>
        <w:t>These financial statements have been prepared under the historical cost convention, except for debt and equity financial assets (including derivative instruments) that have been measured at fair value either through other comprehensive income or profit or loss and certain classes of property, plant and equipment.</w:t>
      </w:r>
    </w:p>
    <w:p w14:paraId="17270228" w14:textId="77777777" w:rsidR="00FA4AA8" w:rsidRDefault="00FA4AA8">
      <w:pPr>
        <w:sectPr w:rsidR="00FA4AA8">
          <w:pgSz w:w="11910" w:h="16840"/>
          <w:pgMar w:top="1260" w:right="840" w:bottom="720" w:left="840" w:header="1016" w:footer="523" w:gutter="0"/>
          <w:cols w:space="720"/>
        </w:sectPr>
      </w:pPr>
    </w:p>
    <w:p w14:paraId="4E8A69D5" w14:textId="77777777" w:rsidR="00FA4AA8" w:rsidRDefault="00FA4AA8">
      <w:pPr>
        <w:pStyle w:val="BodyText"/>
        <w:spacing w:before="5"/>
        <w:rPr>
          <w:sz w:val="21"/>
        </w:rPr>
      </w:pPr>
    </w:p>
    <w:p w14:paraId="2F0AFE26" w14:textId="77777777" w:rsidR="00FA4AA8" w:rsidRDefault="0015611F">
      <w:pPr>
        <w:pStyle w:val="Heading2"/>
        <w:spacing w:before="92"/>
      </w:pPr>
      <w:r>
        <w:t>Notes to the Financial Statements</w:t>
      </w:r>
    </w:p>
    <w:p w14:paraId="53C4D59D" w14:textId="77777777" w:rsidR="00FA4AA8" w:rsidRDefault="0015611F">
      <w:pPr>
        <w:pStyle w:val="Heading6"/>
        <w:spacing w:before="53"/>
        <w:ind w:left="167"/>
      </w:pPr>
      <w:r>
        <w:t>For the Year Ended 31 December 2018</w:t>
      </w:r>
    </w:p>
    <w:p w14:paraId="4143D1C2" w14:textId="77777777" w:rsidR="00FA4AA8" w:rsidRDefault="00FA4AA8">
      <w:pPr>
        <w:pStyle w:val="BodyText"/>
        <w:rPr>
          <w:b/>
          <w:sz w:val="24"/>
        </w:rPr>
      </w:pPr>
    </w:p>
    <w:p w14:paraId="61D2E4A1" w14:textId="77777777" w:rsidR="00FA4AA8" w:rsidRDefault="00FA4AA8">
      <w:pPr>
        <w:pStyle w:val="BodyText"/>
        <w:spacing w:before="1"/>
        <w:rPr>
          <w:b/>
          <w:sz w:val="34"/>
        </w:rPr>
      </w:pPr>
    </w:p>
    <w:p w14:paraId="7299D691" w14:textId="77777777" w:rsidR="00FA4AA8" w:rsidRDefault="0015611F">
      <w:pPr>
        <w:tabs>
          <w:tab w:val="left" w:pos="563"/>
        </w:tabs>
        <w:ind w:left="170"/>
        <w:rPr>
          <w:b/>
          <w:sz w:val="18"/>
        </w:rPr>
      </w:pPr>
      <w:r>
        <w:rPr>
          <w:b/>
          <w:sz w:val="18"/>
        </w:rPr>
        <w:t>1</w:t>
      </w:r>
      <w:r>
        <w:rPr>
          <w:b/>
          <w:sz w:val="18"/>
        </w:rPr>
        <w:tab/>
        <w:t>Summary of Significant Accounting Policies</w:t>
      </w:r>
      <w:r>
        <w:rPr>
          <w:b/>
          <w:spacing w:val="-9"/>
          <w:sz w:val="18"/>
        </w:rPr>
        <w:t xml:space="preserve"> </w:t>
      </w:r>
      <w:r>
        <w:rPr>
          <w:b/>
          <w:sz w:val="18"/>
        </w:rPr>
        <w:t>(continued)</w:t>
      </w:r>
    </w:p>
    <w:p w14:paraId="12C96FF7" w14:textId="77777777" w:rsidR="00FA4AA8" w:rsidRDefault="00FA4AA8">
      <w:pPr>
        <w:pStyle w:val="BodyText"/>
        <w:rPr>
          <w:b/>
          <w:sz w:val="25"/>
        </w:rPr>
      </w:pPr>
    </w:p>
    <w:p w14:paraId="54D910CD" w14:textId="77777777" w:rsidR="00FA4AA8" w:rsidRDefault="0015611F">
      <w:pPr>
        <w:pStyle w:val="ListParagraph"/>
        <w:numPr>
          <w:ilvl w:val="0"/>
          <w:numId w:val="15"/>
        </w:numPr>
        <w:tabs>
          <w:tab w:val="left" w:pos="1130"/>
          <w:tab w:val="left" w:pos="1131"/>
        </w:tabs>
        <w:rPr>
          <w:b/>
          <w:sz w:val="18"/>
        </w:rPr>
      </w:pPr>
      <w:r>
        <w:rPr>
          <w:b/>
          <w:sz w:val="18"/>
        </w:rPr>
        <w:t>Basis of Preparation (continued)</w:t>
      </w:r>
    </w:p>
    <w:p w14:paraId="2666598C" w14:textId="77777777" w:rsidR="00FA4AA8" w:rsidRDefault="00FA4AA8">
      <w:pPr>
        <w:pStyle w:val="BodyText"/>
        <w:rPr>
          <w:b/>
          <w:sz w:val="25"/>
        </w:rPr>
      </w:pPr>
    </w:p>
    <w:p w14:paraId="3F8617DE" w14:textId="77777777" w:rsidR="00FA4AA8" w:rsidRDefault="0015611F">
      <w:pPr>
        <w:ind w:left="1130"/>
        <w:rPr>
          <w:b/>
          <w:i/>
          <w:sz w:val="18"/>
        </w:rPr>
      </w:pPr>
      <w:r>
        <w:rPr>
          <w:b/>
          <w:i/>
          <w:sz w:val="18"/>
        </w:rPr>
        <w:t>Critical accounting estimates</w:t>
      </w:r>
    </w:p>
    <w:p w14:paraId="164E687B" w14:textId="77777777" w:rsidR="00FA4AA8" w:rsidRDefault="00FA4AA8">
      <w:pPr>
        <w:pStyle w:val="BodyText"/>
        <w:rPr>
          <w:b/>
          <w:i/>
          <w:sz w:val="25"/>
        </w:rPr>
      </w:pPr>
    </w:p>
    <w:p w14:paraId="590AFF70" w14:textId="77777777" w:rsidR="00FA4AA8" w:rsidRDefault="0015611F">
      <w:pPr>
        <w:pStyle w:val="BodyText"/>
        <w:ind w:left="1130"/>
      </w:pPr>
      <w:bookmarkStart w:id="8" w:name="(b)_Basis_of_Consolidation_"/>
      <w:bookmarkEnd w:id="8"/>
      <w:r>
        <w:t>The preparation of financial statements in conformity with Australian Accounting Standards requires the use of certain critical accounting estimates. It also requires management to exercise its judgement in the process of applying Western Sydney University’s accounting policies. The estimates and underlying assumptions are reviewed on an ongoing basis. All significant estimates or assumptions made in the preparation of the financial statements are described in the accounting policy notes.</w:t>
      </w:r>
    </w:p>
    <w:p w14:paraId="15F653D7" w14:textId="77777777" w:rsidR="00FA4AA8" w:rsidRDefault="00FA4AA8">
      <w:pPr>
        <w:pStyle w:val="BodyText"/>
        <w:spacing w:before="9"/>
        <w:rPr>
          <w:sz w:val="24"/>
        </w:rPr>
      </w:pPr>
    </w:p>
    <w:p w14:paraId="25FB2504" w14:textId="77777777" w:rsidR="00FA4AA8" w:rsidRDefault="0015611F">
      <w:pPr>
        <w:numPr>
          <w:ilvl w:val="0"/>
          <w:numId w:val="15"/>
        </w:numPr>
        <w:tabs>
          <w:tab w:val="left" w:pos="1130"/>
          <w:tab w:val="left" w:pos="1131"/>
        </w:tabs>
        <w:rPr>
          <w:b/>
          <w:sz w:val="18"/>
        </w:rPr>
      </w:pPr>
      <w:r>
        <w:rPr>
          <w:b/>
          <w:sz w:val="18"/>
        </w:rPr>
        <w:t>Basis of Consolidation</w:t>
      </w:r>
    </w:p>
    <w:p w14:paraId="2EC7CFFD" w14:textId="77777777" w:rsidR="00FA4AA8" w:rsidRDefault="00FA4AA8">
      <w:pPr>
        <w:pStyle w:val="BodyText"/>
        <w:rPr>
          <w:b/>
          <w:sz w:val="25"/>
        </w:rPr>
      </w:pPr>
    </w:p>
    <w:p w14:paraId="4282E5F7" w14:textId="77777777" w:rsidR="00FA4AA8" w:rsidRDefault="0015611F">
      <w:pPr>
        <w:numPr>
          <w:ilvl w:val="1"/>
          <w:numId w:val="15"/>
        </w:numPr>
        <w:tabs>
          <w:tab w:val="left" w:pos="1352"/>
        </w:tabs>
        <w:ind w:hanging="222"/>
        <w:rPr>
          <w:b/>
          <w:i/>
          <w:sz w:val="18"/>
        </w:rPr>
      </w:pPr>
      <w:r>
        <w:rPr>
          <w:b/>
          <w:i/>
          <w:sz w:val="18"/>
        </w:rPr>
        <w:t>Subsidiaries</w:t>
      </w:r>
    </w:p>
    <w:p w14:paraId="32BD1264" w14:textId="77777777" w:rsidR="00FA4AA8" w:rsidRDefault="00FA4AA8">
      <w:pPr>
        <w:pStyle w:val="BodyText"/>
        <w:rPr>
          <w:b/>
          <w:i/>
          <w:sz w:val="25"/>
        </w:rPr>
      </w:pPr>
    </w:p>
    <w:p w14:paraId="1A77621E" w14:textId="77777777" w:rsidR="00FA4AA8" w:rsidRDefault="0015611F">
      <w:pPr>
        <w:pStyle w:val="BodyText"/>
        <w:ind w:left="1130" w:right="256"/>
      </w:pPr>
      <w:r>
        <w:t>The consolidated financial statements incorporate the assets and liabilities of all subsidiaries of Western Sydney University (''parent entity'') as at 31 December 2018 and the results of all subsidiaries for the year then ended. Western Sydney University and its subsidiaries together are referred to in this financial report as the Group or the Consolidated</w:t>
      </w:r>
      <w:r>
        <w:rPr>
          <w:spacing w:val="2"/>
        </w:rPr>
        <w:t xml:space="preserve"> </w:t>
      </w:r>
      <w:r>
        <w:t>Entity.</w:t>
      </w:r>
    </w:p>
    <w:p w14:paraId="70FBDFEE" w14:textId="77777777" w:rsidR="00FA4AA8" w:rsidRDefault="00FA4AA8">
      <w:pPr>
        <w:pStyle w:val="BodyText"/>
        <w:spacing w:before="9"/>
        <w:rPr>
          <w:sz w:val="24"/>
        </w:rPr>
      </w:pPr>
    </w:p>
    <w:p w14:paraId="09CA8ECC" w14:textId="77777777" w:rsidR="00FA4AA8" w:rsidRDefault="0015611F">
      <w:pPr>
        <w:pStyle w:val="BodyText"/>
        <w:spacing w:before="1"/>
        <w:ind w:left="1130" w:right="201"/>
      </w:pPr>
      <w:r>
        <w:t>Subsidiaries are all those entities (including structured entities) over which the Group has control. The Group has control over an investee when it is exposed, or has rights, to variable returns from its involvement with the investee and has the ability to affect those returns through its power over the investee. Power over the investee exists when the Group has existing rights that give it current ability to direct the relevant activities of the investee. The existence and effect of potential voting rights that are currently exercisable or convertible are considered when assessing whether the Group controls another entity.</w:t>
      </w:r>
    </w:p>
    <w:p w14:paraId="3AD4D9CA" w14:textId="77777777" w:rsidR="00FA4AA8" w:rsidRDefault="00FA4AA8">
      <w:pPr>
        <w:pStyle w:val="BodyText"/>
        <w:spacing w:before="8"/>
        <w:rPr>
          <w:sz w:val="24"/>
        </w:rPr>
      </w:pPr>
    </w:p>
    <w:p w14:paraId="12B3DE45" w14:textId="77777777" w:rsidR="00FA4AA8" w:rsidRDefault="0015611F">
      <w:pPr>
        <w:pStyle w:val="BodyText"/>
        <w:ind w:left="1130"/>
      </w:pPr>
      <w:r>
        <w:t>Subsidiaries are fully consolidated from the date on which control is transferred to the Group. They are de- consolidated from the date control ceases.</w:t>
      </w:r>
    </w:p>
    <w:p w14:paraId="1962C646" w14:textId="77777777" w:rsidR="00FA4AA8" w:rsidRDefault="00FA4AA8">
      <w:pPr>
        <w:pStyle w:val="BodyText"/>
        <w:spacing w:before="11"/>
        <w:rPr>
          <w:sz w:val="24"/>
        </w:rPr>
      </w:pPr>
    </w:p>
    <w:p w14:paraId="7D5D30A9" w14:textId="77777777" w:rsidR="00FA4AA8" w:rsidRDefault="0015611F">
      <w:pPr>
        <w:pStyle w:val="BodyText"/>
        <w:ind w:left="1130" w:right="201"/>
      </w:pPr>
      <w:r>
        <w:t>Intercompany transactions, balances and unrealised gains on transactions between Group companies are eliminated. Unrealised losses are also eliminated unless the transaction provides evidence of the impairment of the asset transferred. Accounting policies of subsidiaries have been changed where necessary to ensure consistency with the policies adopted by the Group.</w:t>
      </w:r>
    </w:p>
    <w:p w14:paraId="7B20BD4D" w14:textId="77777777" w:rsidR="00FA4AA8" w:rsidRDefault="00FA4AA8">
      <w:pPr>
        <w:pStyle w:val="BodyText"/>
        <w:spacing w:before="10"/>
        <w:rPr>
          <w:sz w:val="24"/>
        </w:rPr>
      </w:pPr>
    </w:p>
    <w:p w14:paraId="320B2131" w14:textId="77777777" w:rsidR="00FA4AA8" w:rsidRDefault="0015611F">
      <w:pPr>
        <w:pStyle w:val="BodyText"/>
        <w:ind w:left="1130"/>
      </w:pPr>
      <w:r>
        <w:t>A list of controlled entities is contained in note 32(b).</w:t>
      </w:r>
    </w:p>
    <w:p w14:paraId="70053621" w14:textId="77777777" w:rsidR="00FA4AA8" w:rsidRDefault="00FA4AA8">
      <w:pPr>
        <w:pStyle w:val="BodyText"/>
        <w:spacing w:before="11"/>
        <w:rPr>
          <w:sz w:val="24"/>
        </w:rPr>
      </w:pPr>
    </w:p>
    <w:p w14:paraId="12FA8E52" w14:textId="77777777" w:rsidR="00FA4AA8" w:rsidRDefault="0015611F">
      <w:pPr>
        <w:numPr>
          <w:ilvl w:val="1"/>
          <w:numId w:val="15"/>
        </w:numPr>
        <w:tabs>
          <w:tab w:val="left" w:pos="1402"/>
        </w:tabs>
        <w:ind w:left="1401" w:hanging="272"/>
        <w:rPr>
          <w:b/>
          <w:i/>
          <w:sz w:val="18"/>
        </w:rPr>
      </w:pPr>
      <w:r>
        <w:rPr>
          <w:b/>
          <w:i/>
          <w:sz w:val="18"/>
        </w:rPr>
        <w:t>Joint arrangements</w:t>
      </w:r>
    </w:p>
    <w:p w14:paraId="31329CDB" w14:textId="77777777" w:rsidR="00FA4AA8" w:rsidRDefault="00FA4AA8">
      <w:pPr>
        <w:pStyle w:val="BodyText"/>
        <w:rPr>
          <w:b/>
          <w:i/>
          <w:sz w:val="25"/>
        </w:rPr>
      </w:pPr>
    </w:p>
    <w:p w14:paraId="7DB858D1" w14:textId="77777777" w:rsidR="00FA4AA8" w:rsidRDefault="0015611F">
      <w:pPr>
        <w:pStyle w:val="BodyText"/>
        <w:ind w:left="1130"/>
      </w:pPr>
      <w:r>
        <w:t xml:space="preserve">AASB 11 </w:t>
      </w:r>
      <w:r>
        <w:rPr>
          <w:i/>
        </w:rPr>
        <w:t xml:space="preserve">Joint Arrangements </w:t>
      </w:r>
      <w:r>
        <w:t xml:space="preserve">defines a joint arrangements as an </w:t>
      </w:r>
      <w:r w:rsidR="007911D2">
        <w:t>arrangement</w:t>
      </w:r>
      <w:r>
        <w:t xml:space="preserve"> of which two or more parties have joint control and classifies these arrangement as either joint operations or joint ventures.</w:t>
      </w:r>
    </w:p>
    <w:p w14:paraId="24345345" w14:textId="77777777" w:rsidR="00FA4AA8" w:rsidRDefault="00FA4AA8">
      <w:pPr>
        <w:pStyle w:val="BodyText"/>
        <w:spacing w:before="11"/>
        <w:rPr>
          <w:sz w:val="24"/>
        </w:rPr>
      </w:pPr>
    </w:p>
    <w:p w14:paraId="066B55F6" w14:textId="77777777" w:rsidR="00FA4AA8" w:rsidRDefault="0015611F">
      <w:pPr>
        <w:pStyle w:val="BodyText"/>
        <w:ind w:left="1130"/>
      </w:pPr>
      <w:r>
        <w:t>Western Sydney University has determined that it has both joint ventures and joint operations.</w:t>
      </w:r>
    </w:p>
    <w:p w14:paraId="5ECD7450" w14:textId="77777777" w:rsidR="00FA4AA8" w:rsidRDefault="00FA4AA8">
      <w:pPr>
        <w:pStyle w:val="BodyText"/>
        <w:rPr>
          <w:sz w:val="25"/>
        </w:rPr>
      </w:pPr>
    </w:p>
    <w:p w14:paraId="0AF418E0" w14:textId="77777777" w:rsidR="00FA4AA8" w:rsidRDefault="0015611F">
      <w:pPr>
        <w:ind w:left="1130"/>
        <w:rPr>
          <w:b/>
          <w:i/>
          <w:sz w:val="18"/>
        </w:rPr>
      </w:pPr>
      <w:r>
        <w:rPr>
          <w:b/>
          <w:i/>
          <w:sz w:val="18"/>
        </w:rPr>
        <w:t>Joint operations</w:t>
      </w:r>
    </w:p>
    <w:p w14:paraId="516B0DDC" w14:textId="77777777" w:rsidR="00FA4AA8" w:rsidRDefault="00FA4AA8">
      <w:pPr>
        <w:pStyle w:val="BodyText"/>
        <w:rPr>
          <w:b/>
          <w:i/>
          <w:sz w:val="25"/>
        </w:rPr>
      </w:pPr>
    </w:p>
    <w:p w14:paraId="12FF8B83" w14:textId="77777777" w:rsidR="00FA4AA8" w:rsidRDefault="0015611F">
      <w:pPr>
        <w:pStyle w:val="BodyText"/>
        <w:ind w:left="1130" w:right="322"/>
        <w:jc w:val="both"/>
      </w:pPr>
      <w:r>
        <w:t>The University's share of assets, liabilities, revenue and expenses of a joint operation have been incorporated into the financial statements under the appropriate headings. Details of joint operations for the University are set out in note</w:t>
      </w:r>
      <w:r>
        <w:rPr>
          <w:spacing w:val="4"/>
        </w:rPr>
        <w:t xml:space="preserve"> </w:t>
      </w:r>
      <w:r>
        <w:t>35.</w:t>
      </w:r>
    </w:p>
    <w:p w14:paraId="7097EB37" w14:textId="77777777" w:rsidR="00FA4AA8" w:rsidRDefault="00FA4AA8">
      <w:pPr>
        <w:pStyle w:val="BodyText"/>
        <w:spacing w:before="10"/>
        <w:rPr>
          <w:sz w:val="24"/>
        </w:rPr>
      </w:pPr>
    </w:p>
    <w:p w14:paraId="0F2799E4" w14:textId="77777777" w:rsidR="00FA4AA8" w:rsidRDefault="0015611F">
      <w:pPr>
        <w:pStyle w:val="BodyText"/>
        <w:ind w:left="1130" w:right="256"/>
      </w:pPr>
      <w:r>
        <w:t>Details of joint operations between the controlled entities and other parties are set out in their respective financial statements.</w:t>
      </w:r>
    </w:p>
    <w:p w14:paraId="7D476B82" w14:textId="77777777" w:rsidR="00FA4AA8" w:rsidRDefault="00FA4AA8">
      <w:pPr>
        <w:sectPr w:rsidR="00FA4AA8">
          <w:pgSz w:w="11910" w:h="16840"/>
          <w:pgMar w:top="1260" w:right="840" w:bottom="720" w:left="840" w:header="1016" w:footer="523" w:gutter="0"/>
          <w:cols w:space="720"/>
        </w:sectPr>
      </w:pPr>
    </w:p>
    <w:p w14:paraId="37F45675" w14:textId="77777777" w:rsidR="00FA4AA8" w:rsidRDefault="00FA4AA8">
      <w:pPr>
        <w:pStyle w:val="BodyText"/>
        <w:spacing w:before="5"/>
        <w:rPr>
          <w:sz w:val="21"/>
        </w:rPr>
      </w:pPr>
    </w:p>
    <w:p w14:paraId="33A5A6A3" w14:textId="77777777" w:rsidR="00FA4AA8" w:rsidRDefault="0015611F">
      <w:pPr>
        <w:pStyle w:val="Heading2"/>
        <w:spacing w:before="92"/>
      </w:pPr>
      <w:r>
        <w:t>Notes to the Financial Statements</w:t>
      </w:r>
    </w:p>
    <w:p w14:paraId="74F696C6" w14:textId="77777777" w:rsidR="00FA4AA8" w:rsidRDefault="0015611F">
      <w:pPr>
        <w:pStyle w:val="Heading6"/>
        <w:spacing w:before="53"/>
        <w:ind w:left="167"/>
      </w:pPr>
      <w:r>
        <w:t>For the Year Ended 31 December 2018</w:t>
      </w:r>
    </w:p>
    <w:p w14:paraId="330328C9" w14:textId="77777777" w:rsidR="00FA4AA8" w:rsidRDefault="00FA4AA8">
      <w:pPr>
        <w:pStyle w:val="BodyText"/>
        <w:rPr>
          <w:b/>
          <w:sz w:val="24"/>
        </w:rPr>
      </w:pPr>
    </w:p>
    <w:p w14:paraId="1B406E6E" w14:textId="77777777" w:rsidR="00FA4AA8" w:rsidRDefault="00FA4AA8">
      <w:pPr>
        <w:pStyle w:val="BodyText"/>
        <w:spacing w:before="1"/>
        <w:rPr>
          <w:b/>
          <w:sz w:val="34"/>
        </w:rPr>
      </w:pPr>
    </w:p>
    <w:p w14:paraId="11D92969" w14:textId="77777777" w:rsidR="00FA4AA8" w:rsidRDefault="0015611F">
      <w:pPr>
        <w:tabs>
          <w:tab w:val="left" w:pos="563"/>
        </w:tabs>
        <w:ind w:left="170"/>
        <w:rPr>
          <w:b/>
          <w:sz w:val="18"/>
        </w:rPr>
      </w:pPr>
      <w:r>
        <w:rPr>
          <w:b/>
          <w:sz w:val="18"/>
        </w:rPr>
        <w:t>1</w:t>
      </w:r>
      <w:r>
        <w:rPr>
          <w:b/>
          <w:sz w:val="18"/>
        </w:rPr>
        <w:tab/>
        <w:t>Summary of Significant Accounting Policies</w:t>
      </w:r>
      <w:r>
        <w:rPr>
          <w:b/>
          <w:spacing w:val="-9"/>
          <w:sz w:val="18"/>
        </w:rPr>
        <w:t xml:space="preserve"> </w:t>
      </w:r>
      <w:r>
        <w:rPr>
          <w:b/>
          <w:sz w:val="18"/>
        </w:rPr>
        <w:t>(continued)</w:t>
      </w:r>
    </w:p>
    <w:p w14:paraId="53166481" w14:textId="77777777" w:rsidR="00FA4AA8" w:rsidRDefault="00FA4AA8">
      <w:pPr>
        <w:pStyle w:val="BodyText"/>
        <w:rPr>
          <w:b/>
          <w:sz w:val="25"/>
        </w:rPr>
      </w:pPr>
    </w:p>
    <w:p w14:paraId="1D1A8E05" w14:textId="77777777" w:rsidR="00FA4AA8" w:rsidRDefault="0015611F">
      <w:pPr>
        <w:pStyle w:val="ListParagraph"/>
        <w:numPr>
          <w:ilvl w:val="0"/>
          <w:numId w:val="110"/>
        </w:numPr>
        <w:tabs>
          <w:tab w:val="left" w:pos="1130"/>
          <w:tab w:val="left" w:pos="1131"/>
        </w:tabs>
        <w:rPr>
          <w:b/>
          <w:sz w:val="18"/>
        </w:rPr>
      </w:pPr>
      <w:r>
        <w:rPr>
          <w:b/>
          <w:sz w:val="18"/>
        </w:rPr>
        <w:t>Basis of Consolidation (continued)</w:t>
      </w:r>
    </w:p>
    <w:p w14:paraId="1EC71189" w14:textId="77777777" w:rsidR="00FA4AA8" w:rsidRDefault="00FA4AA8">
      <w:pPr>
        <w:pStyle w:val="BodyText"/>
        <w:rPr>
          <w:b/>
          <w:sz w:val="25"/>
        </w:rPr>
      </w:pPr>
    </w:p>
    <w:p w14:paraId="55F885B1" w14:textId="77777777" w:rsidR="00FA4AA8" w:rsidRDefault="0015611F">
      <w:pPr>
        <w:ind w:left="1130"/>
        <w:rPr>
          <w:b/>
          <w:i/>
          <w:sz w:val="18"/>
        </w:rPr>
      </w:pPr>
      <w:bookmarkStart w:id="9" w:name="(c)_Foreign_operations_"/>
      <w:bookmarkEnd w:id="9"/>
      <w:r>
        <w:rPr>
          <w:b/>
          <w:i/>
          <w:sz w:val="18"/>
        </w:rPr>
        <w:t>Joint ventures</w:t>
      </w:r>
    </w:p>
    <w:p w14:paraId="3A2DB7BC" w14:textId="77777777" w:rsidR="00FA4AA8" w:rsidRDefault="00FA4AA8">
      <w:pPr>
        <w:pStyle w:val="BodyText"/>
        <w:rPr>
          <w:b/>
          <w:i/>
          <w:sz w:val="25"/>
        </w:rPr>
      </w:pPr>
    </w:p>
    <w:p w14:paraId="06EE7860" w14:textId="77777777" w:rsidR="00FA4AA8" w:rsidRDefault="0015611F">
      <w:pPr>
        <w:pStyle w:val="BodyText"/>
        <w:ind w:left="1130" w:right="256"/>
      </w:pPr>
      <w:r>
        <w:t>The interest in a joint venture entity is accounted for in the consolidated financial statements using the equity method and is carried at cost by the parent entity. The University's interests in joint ventures are set out in note 7.</w:t>
      </w:r>
    </w:p>
    <w:p w14:paraId="058C9C86" w14:textId="77777777" w:rsidR="00FA4AA8" w:rsidRDefault="00FA4AA8">
      <w:pPr>
        <w:pStyle w:val="BodyText"/>
        <w:spacing w:before="10"/>
        <w:rPr>
          <w:sz w:val="24"/>
        </w:rPr>
      </w:pPr>
    </w:p>
    <w:p w14:paraId="7E5D6325" w14:textId="77777777" w:rsidR="00FA4AA8" w:rsidRDefault="0015611F">
      <w:pPr>
        <w:numPr>
          <w:ilvl w:val="0"/>
          <w:numId w:val="110"/>
        </w:numPr>
        <w:tabs>
          <w:tab w:val="left" w:pos="1130"/>
          <w:tab w:val="left" w:pos="1131"/>
        </w:tabs>
        <w:rPr>
          <w:b/>
          <w:sz w:val="18"/>
        </w:rPr>
      </w:pPr>
      <w:bookmarkStart w:id="10" w:name="(d)_Foreign_currency_transactions_and_ba"/>
      <w:bookmarkEnd w:id="10"/>
      <w:r>
        <w:rPr>
          <w:b/>
          <w:sz w:val="18"/>
        </w:rPr>
        <w:t>Foreign operations</w:t>
      </w:r>
    </w:p>
    <w:p w14:paraId="5FB1718F" w14:textId="77777777" w:rsidR="00FA4AA8" w:rsidRDefault="00FA4AA8">
      <w:pPr>
        <w:pStyle w:val="BodyText"/>
        <w:rPr>
          <w:b/>
          <w:sz w:val="25"/>
        </w:rPr>
      </w:pPr>
    </w:p>
    <w:p w14:paraId="355E632D" w14:textId="77777777" w:rsidR="00FA4AA8" w:rsidRDefault="0015611F">
      <w:pPr>
        <w:pStyle w:val="BodyText"/>
        <w:ind w:left="1130"/>
      </w:pPr>
      <w:r>
        <w:t>Western Sydney University operates a small number of teaching programs in the Asia region. There are no University entities registered overseas.</w:t>
      </w:r>
    </w:p>
    <w:p w14:paraId="010F823A" w14:textId="77777777" w:rsidR="00FA4AA8" w:rsidRDefault="00FA4AA8">
      <w:pPr>
        <w:pStyle w:val="BodyText"/>
        <w:spacing w:before="11"/>
        <w:rPr>
          <w:sz w:val="24"/>
        </w:rPr>
      </w:pPr>
    </w:p>
    <w:p w14:paraId="4B03AC7B" w14:textId="77777777" w:rsidR="00FA4AA8" w:rsidRDefault="0015611F">
      <w:pPr>
        <w:numPr>
          <w:ilvl w:val="0"/>
          <w:numId w:val="110"/>
        </w:numPr>
        <w:tabs>
          <w:tab w:val="left" w:pos="1130"/>
          <w:tab w:val="left" w:pos="1131"/>
        </w:tabs>
        <w:rPr>
          <w:b/>
          <w:sz w:val="18"/>
        </w:rPr>
      </w:pPr>
      <w:r>
        <w:rPr>
          <w:b/>
          <w:sz w:val="18"/>
        </w:rPr>
        <w:t>Foreign currency transactions and</w:t>
      </w:r>
      <w:r>
        <w:rPr>
          <w:b/>
          <w:spacing w:val="-9"/>
          <w:sz w:val="18"/>
        </w:rPr>
        <w:t xml:space="preserve"> </w:t>
      </w:r>
      <w:r>
        <w:rPr>
          <w:b/>
          <w:sz w:val="18"/>
        </w:rPr>
        <w:t>balances</w:t>
      </w:r>
    </w:p>
    <w:p w14:paraId="66FCDA7A" w14:textId="77777777" w:rsidR="00FA4AA8" w:rsidRDefault="00FA4AA8">
      <w:pPr>
        <w:pStyle w:val="BodyText"/>
        <w:rPr>
          <w:b/>
          <w:sz w:val="25"/>
        </w:rPr>
      </w:pPr>
    </w:p>
    <w:p w14:paraId="0D565FED" w14:textId="77777777" w:rsidR="00FA4AA8" w:rsidRDefault="0015611F">
      <w:pPr>
        <w:pStyle w:val="BodyText"/>
        <w:ind w:left="1130"/>
      </w:pPr>
      <w:r>
        <w:t>Both the functional and presentation currency of the Group is Australian Dollars.</w:t>
      </w:r>
    </w:p>
    <w:p w14:paraId="45AAC643" w14:textId="77777777" w:rsidR="00FA4AA8" w:rsidRDefault="00FA4AA8">
      <w:pPr>
        <w:pStyle w:val="BodyText"/>
        <w:rPr>
          <w:sz w:val="25"/>
        </w:rPr>
      </w:pPr>
    </w:p>
    <w:p w14:paraId="4384D6E6" w14:textId="77777777" w:rsidR="00FA4AA8" w:rsidRDefault="0015611F">
      <w:pPr>
        <w:pStyle w:val="BodyText"/>
        <w:ind w:left="1130" w:right="414"/>
      </w:pPr>
      <w:bookmarkStart w:id="11" w:name="(e)_Income_Tax_exemption_"/>
      <w:bookmarkEnd w:id="11"/>
      <w:r>
        <w:t>Transactions in foreign currencies are recorded in the functional currency at the exchange rates prevailing at the date of the transaction. Foreign exchange gains and losses resulting from the settlement of such transactions and from the translation at year-end exchange rates of monetary assets and liabilities</w:t>
      </w:r>
      <w:bookmarkStart w:id="12" w:name="(f)_Insurance_"/>
      <w:bookmarkEnd w:id="12"/>
      <w:r>
        <w:t xml:space="preserve"> denominated in foreign currencies are recognised in the income statement.</w:t>
      </w:r>
    </w:p>
    <w:p w14:paraId="5A35183C" w14:textId="77777777" w:rsidR="00FA4AA8" w:rsidRDefault="00FA4AA8">
      <w:pPr>
        <w:pStyle w:val="BodyText"/>
        <w:spacing w:before="9"/>
        <w:rPr>
          <w:sz w:val="24"/>
        </w:rPr>
      </w:pPr>
    </w:p>
    <w:p w14:paraId="41EF981A" w14:textId="77777777" w:rsidR="00FA4AA8" w:rsidRDefault="0015611F">
      <w:pPr>
        <w:numPr>
          <w:ilvl w:val="0"/>
          <w:numId w:val="110"/>
        </w:numPr>
        <w:tabs>
          <w:tab w:val="left" w:pos="1130"/>
          <w:tab w:val="left" w:pos="1131"/>
        </w:tabs>
        <w:spacing w:before="1"/>
        <w:rPr>
          <w:b/>
          <w:sz w:val="18"/>
        </w:rPr>
      </w:pPr>
      <w:r>
        <w:rPr>
          <w:b/>
          <w:sz w:val="18"/>
        </w:rPr>
        <w:t>Income Tax</w:t>
      </w:r>
      <w:r>
        <w:rPr>
          <w:b/>
          <w:spacing w:val="2"/>
          <w:sz w:val="18"/>
        </w:rPr>
        <w:t xml:space="preserve"> </w:t>
      </w:r>
      <w:r>
        <w:rPr>
          <w:b/>
          <w:sz w:val="18"/>
        </w:rPr>
        <w:t>exemption</w:t>
      </w:r>
    </w:p>
    <w:p w14:paraId="1FAB0346" w14:textId="77777777" w:rsidR="00FA4AA8" w:rsidRDefault="00FA4AA8">
      <w:pPr>
        <w:pStyle w:val="BodyText"/>
        <w:spacing w:before="11"/>
        <w:rPr>
          <w:b/>
          <w:sz w:val="24"/>
        </w:rPr>
      </w:pPr>
    </w:p>
    <w:p w14:paraId="7EA9687F" w14:textId="77777777" w:rsidR="00FA4AA8" w:rsidRDefault="0015611F">
      <w:pPr>
        <w:ind w:left="1130"/>
        <w:rPr>
          <w:sz w:val="18"/>
        </w:rPr>
      </w:pPr>
      <w:r>
        <w:rPr>
          <w:sz w:val="18"/>
        </w:rPr>
        <w:t xml:space="preserve">The Group is exempt from income tax under Division 50 of the </w:t>
      </w:r>
      <w:r>
        <w:rPr>
          <w:i/>
          <w:sz w:val="18"/>
        </w:rPr>
        <w:t>Income Tax Assessment Act 1997</w:t>
      </w:r>
      <w:r>
        <w:rPr>
          <w:sz w:val="18"/>
        </w:rPr>
        <w:t>.</w:t>
      </w:r>
    </w:p>
    <w:p w14:paraId="441AC8B2" w14:textId="77777777" w:rsidR="00FA4AA8" w:rsidRDefault="00FA4AA8">
      <w:pPr>
        <w:pStyle w:val="BodyText"/>
        <w:rPr>
          <w:sz w:val="25"/>
        </w:rPr>
      </w:pPr>
    </w:p>
    <w:p w14:paraId="5292388B" w14:textId="77777777" w:rsidR="00FA4AA8" w:rsidRDefault="0015611F">
      <w:pPr>
        <w:numPr>
          <w:ilvl w:val="0"/>
          <w:numId w:val="110"/>
        </w:numPr>
        <w:tabs>
          <w:tab w:val="left" w:pos="1130"/>
          <w:tab w:val="left" w:pos="1131"/>
        </w:tabs>
        <w:rPr>
          <w:b/>
          <w:sz w:val="18"/>
        </w:rPr>
      </w:pPr>
      <w:r>
        <w:rPr>
          <w:b/>
          <w:sz w:val="18"/>
        </w:rPr>
        <w:t>Insurance</w:t>
      </w:r>
    </w:p>
    <w:p w14:paraId="4E900B34" w14:textId="77777777" w:rsidR="00FA4AA8" w:rsidRDefault="00FA4AA8">
      <w:pPr>
        <w:pStyle w:val="BodyText"/>
        <w:rPr>
          <w:b/>
          <w:sz w:val="25"/>
        </w:rPr>
      </w:pPr>
    </w:p>
    <w:p w14:paraId="070ABA83" w14:textId="77777777" w:rsidR="00FA4AA8" w:rsidRDefault="0015611F">
      <w:pPr>
        <w:pStyle w:val="BodyText"/>
        <w:ind w:left="1130" w:right="414"/>
      </w:pPr>
      <w:r>
        <w:t>Western Sydney University insures externally for all signi</w:t>
      </w:r>
      <w:r w:rsidR="007911D2">
        <w:t>fi</w:t>
      </w:r>
      <w:r>
        <w:t>cant areas of risk exposure and accordingly is not a</w:t>
      </w:r>
      <w:bookmarkStart w:id="13" w:name="(g)_Inventories_"/>
      <w:bookmarkEnd w:id="13"/>
      <w:r>
        <w:t xml:space="preserve"> self-insurer and makes no provision in its financial statements for internal coverage.</w:t>
      </w:r>
    </w:p>
    <w:p w14:paraId="41A1E74A" w14:textId="77777777" w:rsidR="00FA4AA8" w:rsidRDefault="00FA4AA8">
      <w:pPr>
        <w:pStyle w:val="BodyText"/>
        <w:spacing w:before="11"/>
        <w:rPr>
          <w:sz w:val="24"/>
        </w:rPr>
      </w:pPr>
    </w:p>
    <w:p w14:paraId="7B32E875" w14:textId="77777777" w:rsidR="00FA4AA8" w:rsidRDefault="0015611F">
      <w:pPr>
        <w:pStyle w:val="BodyText"/>
        <w:ind w:left="1130" w:right="256"/>
      </w:pPr>
      <w:r>
        <w:t>Workers' Compensation insurance is currently held with Employers Mutual Insurance. Property and liability protections (including General and Products Liability, Professional Liability, Medical Malpractice, Clinical Trials and Directors and Officers) are arranged with Unimutual.</w:t>
      </w:r>
    </w:p>
    <w:p w14:paraId="6B0CC3E4" w14:textId="77777777" w:rsidR="00FA4AA8" w:rsidRDefault="00FA4AA8">
      <w:pPr>
        <w:pStyle w:val="BodyText"/>
        <w:spacing w:before="10"/>
        <w:rPr>
          <w:sz w:val="24"/>
        </w:rPr>
      </w:pPr>
    </w:p>
    <w:p w14:paraId="63C3F78A" w14:textId="77777777" w:rsidR="00FA4AA8" w:rsidRDefault="0015611F">
      <w:pPr>
        <w:numPr>
          <w:ilvl w:val="0"/>
          <w:numId w:val="110"/>
        </w:numPr>
        <w:tabs>
          <w:tab w:val="left" w:pos="1130"/>
          <w:tab w:val="left" w:pos="1131"/>
        </w:tabs>
        <w:rPr>
          <w:b/>
          <w:sz w:val="18"/>
        </w:rPr>
      </w:pPr>
      <w:bookmarkStart w:id="14" w:name="(h)_Rounding_of_amounts_"/>
      <w:bookmarkEnd w:id="14"/>
      <w:r>
        <w:rPr>
          <w:b/>
          <w:sz w:val="18"/>
        </w:rPr>
        <w:t>Inventories</w:t>
      </w:r>
    </w:p>
    <w:p w14:paraId="6FFC50C2" w14:textId="77777777" w:rsidR="00FA4AA8" w:rsidRDefault="00FA4AA8">
      <w:pPr>
        <w:pStyle w:val="BodyText"/>
        <w:rPr>
          <w:b/>
          <w:sz w:val="25"/>
        </w:rPr>
      </w:pPr>
    </w:p>
    <w:p w14:paraId="3DB30455" w14:textId="77777777" w:rsidR="00FA4AA8" w:rsidRDefault="0015611F">
      <w:pPr>
        <w:pStyle w:val="BodyText"/>
        <w:ind w:left="1130" w:right="414"/>
      </w:pPr>
      <w:r>
        <w:t>A stocktake of inventories on hand at year end was performed. All inventories are measured at the lower of cost and net realisable value. Retail stock is valued at a weighted average price and other stock is valued at last purchase price.</w:t>
      </w:r>
    </w:p>
    <w:p w14:paraId="17BA136A" w14:textId="77777777" w:rsidR="00FA4AA8" w:rsidRDefault="00FA4AA8">
      <w:pPr>
        <w:pStyle w:val="BodyText"/>
        <w:spacing w:before="10"/>
        <w:rPr>
          <w:sz w:val="24"/>
        </w:rPr>
      </w:pPr>
    </w:p>
    <w:p w14:paraId="58877783" w14:textId="77777777" w:rsidR="00FA4AA8" w:rsidRDefault="0015611F">
      <w:pPr>
        <w:numPr>
          <w:ilvl w:val="0"/>
          <w:numId w:val="110"/>
        </w:numPr>
        <w:tabs>
          <w:tab w:val="left" w:pos="1130"/>
          <w:tab w:val="left" w:pos="1131"/>
        </w:tabs>
        <w:rPr>
          <w:b/>
          <w:sz w:val="18"/>
        </w:rPr>
      </w:pPr>
      <w:bookmarkStart w:id="15" w:name="(i)_Goods_and_Services_Tax_(GST)_"/>
      <w:bookmarkEnd w:id="15"/>
      <w:r>
        <w:rPr>
          <w:b/>
          <w:sz w:val="18"/>
        </w:rPr>
        <w:t>Rounding of amounts</w:t>
      </w:r>
    </w:p>
    <w:p w14:paraId="6000CAA8" w14:textId="77777777" w:rsidR="00FA4AA8" w:rsidRDefault="00FA4AA8">
      <w:pPr>
        <w:pStyle w:val="BodyText"/>
        <w:rPr>
          <w:b/>
          <w:sz w:val="25"/>
        </w:rPr>
      </w:pPr>
    </w:p>
    <w:p w14:paraId="196B88B8" w14:textId="77777777" w:rsidR="00FA4AA8" w:rsidRDefault="0015611F">
      <w:pPr>
        <w:ind w:left="1130"/>
        <w:rPr>
          <w:sz w:val="18"/>
        </w:rPr>
      </w:pPr>
      <w:r>
        <w:rPr>
          <w:sz w:val="18"/>
        </w:rPr>
        <w:t xml:space="preserve">Amounts in the financial statements have been rounded off in accordance with </w:t>
      </w:r>
      <w:r>
        <w:rPr>
          <w:i/>
          <w:sz w:val="18"/>
        </w:rPr>
        <w:t xml:space="preserve">ASIC Corporations (Rounding in Financial/Directors' Reports) Instrument 2016/191 </w:t>
      </w:r>
      <w:r>
        <w:rPr>
          <w:sz w:val="18"/>
        </w:rPr>
        <w:t>relating to the 'rounding off' of amounts in the financial statements. Amounts have been rounded off to the nearest thousand dollars.</w:t>
      </w:r>
    </w:p>
    <w:p w14:paraId="4D68ADB8" w14:textId="77777777" w:rsidR="00FA4AA8" w:rsidRDefault="00FA4AA8">
      <w:pPr>
        <w:pStyle w:val="BodyText"/>
        <w:spacing w:before="10"/>
        <w:rPr>
          <w:sz w:val="24"/>
        </w:rPr>
      </w:pPr>
    </w:p>
    <w:p w14:paraId="43DD527F" w14:textId="77777777" w:rsidR="00FA4AA8" w:rsidRDefault="0015611F">
      <w:pPr>
        <w:numPr>
          <w:ilvl w:val="0"/>
          <w:numId w:val="110"/>
        </w:numPr>
        <w:tabs>
          <w:tab w:val="left" w:pos="1130"/>
          <w:tab w:val="left" w:pos="1131"/>
        </w:tabs>
        <w:rPr>
          <w:b/>
          <w:sz w:val="18"/>
        </w:rPr>
      </w:pPr>
      <w:r>
        <w:rPr>
          <w:b/>
          <w:sz w:val="18"/>
        </w:rPr>
        <w:t>Goods and Services Tax (GST)</w:t>
      </w:r>
    </w:p>
    <w:p w14:paraId="1CB2A622" w14:textId="77777777" w:rsidR="00FA4AA8" w:rsidRDefault="00FA4AA8">
      <w:pPr>
        <w:pStyle w:val="BodyText"/>
        <w:rPr>
          <w:b/>
          <w:sz w:val="25"/>
        </w:rPr>
      </w:pPr>
    </w:p>
    <w:p w14:paraId="0C9C3195" w14:textId="77777777" w:rsidR="00FA4AA8" w:rsidRDefault="0015611F">
      <w:pPr>
        <w:pStyle w:val="BodyText"/>
        <w:ind w:left="1130" w:right="125"/>
      </w:pPr>
      <w:r>
        <w:t>Revenues, expenses and assets are recognised net of the amount of associated GST, unless the GST incurred is not recoverable from the taxation authority. In this case, it is recognised as part of the cost acquisition of the asset or as part of the expense.</w:t>
      </w:r>
    </w:p>
    <w:p w14:paraId="5F26E2B1" w14:textId="77777777" w:rsidR="00FA4AA8" w:rsidRDefault="00FA4AA8">
      <w:pPr>
        <w:sectPr w:rsidR="00FA4AA8">
          <w:pgSz w:w="11910" w:h="16840"/>
          <w:pgMar w:top="1260" w:right="840" w:bottom="720" w:left="840" w:header="1016" w:footer="523" w:gutter="0"/>
          <w:cols w:space="720"/>
        </w:sectPr>
      </w:pPr>
    </w:p>
    <w:p w14:paraId="71D377AA" w14:textId="77777777" w:rsidR="00FA4AA8" w:rsidRDefault="00FA4AA8">
      <w:pPr>
        <w:pStyle w:val="BodyText"/>
        <w:rPr>
          <w:sz w:val="20"/>
        </w:rPr>
      </w:pPr>
    </w:p>
    <w:p w14:paraId="58A2AD04" w14:textId="77777777" w:rsidR="00FA4AA8" w:rsidRDefault="00FA4AA8">
      <w:pPr>
        <w:pStyle w:val="BodyText"/>
        <w:spacing w:before="10"/>
        <w:rPr>
          <w:sz w:val="29"/>
        </w:rPr>
      </w:pPr>
    </w:p>
    <w:p w14:paraId="73D460D2" w14:textId="77777777" w:rsidR="00FA4AA8" w:rsidRDefault="0015611F">
      <w:pPr>
        <w:tabs>
          <w:tab w:val="left" w:pos="563"/>
        </w:tabs>
        <w:spacing w:before="94"/>
        <w:ind w:left="170"/>
        <w:rPr>
          <w:b/>
          <w:sz w:val="18"/>
        </w:rPr>
      </w:pPr>
      <w:r>
        <w:rPr>
          <w:b/>
          <w:sz w:val="18"/>
        </w:rPr>
        <w:t>1</w:t>
      </w:r>
      <w:r>
        <w:rPr>
          <w:b/>
          <w:sz w:val="18"/>
        </w:rPr>
        <w:tab/>
        <w:t>Summary of Significant Accounting Policies</w:t>
      </w:r>
      <w:r>
        <w:rPr>
          <w:b/>
          <w:spacing w:val="-9"/>
          <w:sz w:val="18"/>
        </w:rPr>
        <w:t xml:space="preserve"> </w:t>
      </w:r>
      <w:r>
        <w:rPr>
          <w:b/>
          <w:sz w:val="18"/>
        </w:rPr>
        <w:t>(continued)</w:t>
      </w:r>
    </w:p>
    <w:p w14:paraId="3593477C" w14:textId="77777777" w:rsidR="00FA4AA8" w:rsidRDefault="00FA4AA8">
      <w:pPr>
        <w:pStyle w:val="BodyText"/>
        <w:rPr>
          <w:b/>
          <w:sz w:val="25"/>
        </w:rPr>
      </w:pPr>
    </w:p>
    <w:p w14:paraId="6E2A28CD" w14:textId="77777777" w:rsidR="00FA4AA8" w:rsidRDefault="0015611F">
      <w:pPr>
        <w:pStyle w:val="ListParagraph"/>
        <w:numPr>
          <w:ilvl w:val="0"/>
          <w:numId w:val="14"/>
        </w:numPr>
        <w:tabs>
          <w:tab w:val="left" w:pos="1130"/>
          <w:tab w:val="left" w:pos="1131"/>
        </w:tabs>
        <w:rPr>
          <w:b/>
          <w:sz w:val="18"/>
        </w:rPr>
      </w:pPr>
      <w:r>
        <w:rPr>
          <w:b/>
          <w:sz w:val="18"/>
        </w:rPr>
        <w:t>Goods and Services Tax (GST) (continued)</w:t>
      </w:r>
    </w:p>
    <w:p w14:paraId="626C289F" w14:textId="77777777" w:rsidR="00FA4AA8" w:rsidRDefault="00FA4AA8">
      <w:pPr>
        <w:pStyle w:val="BodyText"/>
        <w:rPr>
          <w:b/>
          <w:sz w:val="25"/>
        </w:rPr>
      </w:pPr>
    </w:p>
    <w:p w14:paraId="6A5F482E" w14:textId="77777777" w:rsidR="00FA4AA8" w:rsidRDefault="0015611F">
      <w:pPr>
        <w:pStyle w:val="BodyText"/>
        <w:ind w:left="1130"/>
      </w:pPr>
      <w:r>
        <w:t>Receivables and payables are stated inclusive of the amount of GST receivable or payable. The net amount of GST recoverable from, or payable to, the taxation authority is included with other receivables or payables in the statement of financial position.</w:t>
      </w:r>
    </w:p>
    <w:p w14:paraId="6461068B" w14:textId="77777777" w:rsidR="00FA4AA8" w:rsidRDefault="00FA4AA8">
      <w:pPr>
        <w:pStyle w:val="BodyText"/>
        <w:spacing w:before="10"/>
        <w:rPr>
          <w:sz w:val="24"/>
        </w:rPr>
      </w:pPr>
    </w:p>
    <w:p w14:paraId="7944E9AB" w14:textId="77777777" w:rsidR="00FA4AA8" w:rsidRDefault="0015611F">
      <w:pPr>
        <w:pStyle w:val="BodyText"/>
        <w:ind w:left="1130" w:right="256"/>
      </w:pPr>
      <w:bookmarkStart w:id="16" w:name="(j)_New_Accounting_Standards_and_Interpr"/>
      <w:bookmarkEnd w:id="16"/>
      <w:r>
        <w:t>Cash flows are presented on a gross basis. The GST components of cash flows arising from investing or financing activities which are recoverable from, or payable to the taxation authority, are presented as operating cash flows.</w:t>
      </w:r>
    </w:p>
    <w:p w14:paraId="63C549E4" w14:textId="77777777" w:rsidR="00FA4AA8" w:rsidRDefault="00FA4AA8">
      <w:pPr>
        <w:pStyle w:val="BodyText"/>
        <w:spacing w:before="10"/>
        <w:rPr>
          <w:sz w:val="24"/>
        </w:rPr>
      </w:pPr>
    </w:p>
    <w:p w14:paraId="22B0AAF0" w14:textId="77777777" w:rsidR="00FA4AA8" w:rsidRDefault="0015611F">
      <w:pPr>
        <w:pStyle w:val="BodyText"/>
        <w:ind w:left="1130"/>
      </w:pPr>
      <w:r>
        <w:t>The Group is a Charitable Institution endorsed to access GST concessions on a range of transactions.</w:t>
      </w:r>
    </w:p>
    <w:p w14:paraId="6E9A7D5F" w14:textId="77777777" w:rsidR="00FA4AA8" w:rsidRDefault="00FA4AA8">
      <w:pPr>
        <w:pStyle w:val="BodyText"/>
        <w:rPr>
          <w:sz w:val="25"/>
        </w:rPr>
      </w:pPr>
    </w:p>
    <w:p w14:paraId="37C88A97" w14:textId="77777777" w:rsidR="00FA4AA8" w:rsidRDefault="0015611F">
      <w:pPr>
        <w:numPr>
          <w:ilvl w:val="0"/>
          <w:numId w:val="110"/>
        </w:numPr>
        <w:tabs>
          <w:tab w:val="left" w:pos="1130"/>
          <w:tab w:val="left" w:pos="1131"/>
        </w:tabs>
        <w:rPr>
          <w:b/>
          <w:sz w:val="18"/>
        </w:rPr>
      </w:pPr>
      <w:r>
        <w:rPr>
          <w:b/>
          <w:sz w:val="18"/>
        </w:rPr>
        <w:t>New Accounting Standards and Interpretations</w:t>
      </w:r>
    </w:p>
    <w:p w14:paraId="23799E0C" w14:textId="77777777" w:rsidR="00FA4AA8" w:rsidRDefault="00FA4AA8">
      <w:pPr>
        <w:pStyle w:val="BodyText"/>
        <w:rPr>
          <w:b/>
          <w:sz w:val="25"/>
        </w:rPr>
      </w:pPr>
    </w:p>
    <w:p w14:paraId="0BB0E803" w14:textId="77777777" w:rsidR="00FA4AA8" w:rsidRDefault="0015611F">
      <w:pPr>
        <w:pStyle w:val="BodyText"/>
        <w:ind w:left="1130" w:right="256"/>
      </w:pPr>
      <w:r>
        <w:t>Certain new Accounting Standards and Interpretations have been published that are not mandatory for 31 December 2018 reporting periods. Western Sydney University's assessment of the impact of these new Standards and Interpretations is set out below:</w:t>
      </w:r>
    </w:p>
    <w:p w14:paraId="1CC170AB" w14:textId="77777777" w:rsidR="00FA4AA8" w:rsidRDefault="00FA4AA8">
      <w:pPr>
        <w:pStyle w:val="BodyText"/>
        <w:spacing w:before="10"/>
        <w:rPr>
          <w:sz w:val="24"/>
        </w:rPr>
      </w:pPr>
    </w:p>
    <w:p w14:paraId="440BFEBA" w14:textId="77777777" w:rsidR="00FA4AA8" w:rsidRDefault="0015611F">
      <w:pPr>
        <w:numPr>
          <w:ilvl w:val="1"/>
          <w:numId w:val="110"/>
        </w:numPr>
        <w:tabs>
          <w:tab w:val="left" w:pos="1402"/>
        </w:tabs>
        <w:rPr>
          <w:b/>
          <w:i/>
          <w:sz w:val="18"/>
        </w:rPr>
      </w:pPr>
      <w:r>
        <w:rPr>
          <w:b/>
          <w:i/>
          <w:sz w:val="18"/>
        </w:rPr>
        <w:t>AASB 15 Revenue from contracts with customers; and AASB 1058 Income of not-for-profit entities</w:t>
      </w:r>
    </w:p>
    <w:p w14:paraId="1B37FEAA" w14:textId="77777777" w:rsidR="00FA4AA8" w:rsidRDefault="00FA4AA8">
      <w:pPr>
        <w:pStyle w:val="BodyText"/>
        <w:rPr>
          <w:b/>
          <w:i/>
          <w:sz w:val="25"/>
        </w:rPr>
      </w:pPr>
    </w:p>
    <w:p w14:paraId="4E31721C" w14:textId="77777777" w:rsidR="00FA4AA8" w:rsidRDefault="0015611F">
      <w:pPr>
        <w:pStyle w:val="BodyText"/>
        <w:ind w:left="1130" w:right="257"/>
        <w:jc w:val="both"/>
      </w:pPr>
      <w:r>
        <w:t>Australian Accounting Standard AASB 15 'Revenue from contracts with customers' and AASB 1058 'Income of not-for-profit entities' are mandatory from 1 January 2019. The standards replace AASB 118 'Revenue', AASB 111 'Construction Contracts' and AASB 1004 'Contributions'.</w:t>
      </w:r>
    </w:p>
    <w:p w14:paraId="59F37868" w14:textId="77777777" w:rsidR="00FA4AA8" w:rsidRDefault="00FA4AA8">
      <w:pPr>
        <w:pStyle w:val="BodyText"/>
        <w:spacing w:before="10"/>
        <w:rPr>
          <w:sz w:val="24"/>
        </w:rPr>
      </w:pPr>
    </w:p>
    <w:p w14:paraId="6C5F1E9F" w14:textId="77777777" w:rsidR="00FA4AA8" w:rsidRDefault="0015611F">
      <w:pPr>
        <w:pStyle w:val="BodyText"/>
        <w:spacing w:before="1"/>
        <w:ind w:left="1130" w:right="235"/>
      </w:pPr>
      <w:r>
        <w:t xml:space="preserve">AASB 15 establishes a single and comprehensive framework which sets out how and when revenue is recognised. The core principle of AASB 15 is that revenue is recognised when transfers of goods or services to customers occurs in exchange for consideration which the vendor expects to be entitled to in exchange for the provision of those goods or services (i.e. fulfilment of performance obligations). Revenue will only </w:t>
      </w:r>
      <w:r w:rsidR="00733831">
        <w:t>be recognised</w:t>
      </w:r>
      <w:r>
        <w:t xml:space="preserve"> when control over the goods or services is transferred to the customer, which is either over time or at a point in</w:t>
      </w:r>
      <w:r>
        <w:rPr>
          <w:spacing w:val="4"/>
        </w:rPr>
        <w:t xml:space="preserve"> </w:t>
      </w:r>
      <w:r>
        <w:t>time.</w:t>
      </w:r>
    </w:p>
    <w:p w14:paraId="1826A8BC" w14:textId="77777777" w:rsidR="00FA4AA8" w:rsidRDefault="00FA4AA8">
      <w:pPr>
        <w:pStyle w:val="BodyText"/>
        <w:spacing w:before="8"/>
        <w:rPr>
          <w:sz w:val="24"/>
        </w:rPr>
      </w:pPr>
    </w:p>
    <w:p w14:paraId="1E23E839" w14:textId="77777777" w:rsidR="00FA4AA8" w:rsidRDefault="0015611F">
      <w:pPr>
        <w:pStyle w:val="BodyText"/>
        <w:ind w:left="1130" w:right="329"/>
        <w:jc w:val="both"/>
      </w:pPr>
      <w:r>
        <w:t>Furthermore, AASB 1058 amends the income recognition requirements that apply to not-for-profit entities and establishes principles for not-for-profit entities that apply to:</w:t>
      </w:r>
    </w:p>
    <w:p w14:paraId="6290A7D3" w14:textId="77777777" w:rsidR="00FA4AA8" w:rsidRDefault="00FA4AA8">
      <w:pPr>
        <w:pStyle w:val="BodyText"/>
        <w:spacing w:before="11"/>
        <w:rPr>
          <w:sz w:val="24"/>
        </w:rPr>
      </w:pPr>
    </w:p>
    <w:p w14:paraId="628330AD" w14:textId="77777777" w:rsidR="00FA4AA8" w:rsidRDefault="0015611F">
      <w:pPr>
        <w:pStyle w:val="ListParagraph"/>
        <w:numPr>
          <w:ilvl w:val="0"/>
          <w:numId w:val="109"/>
        </w:numPr>
        <w:tabs>
          <w:tab w:val="left" w:pos="1403"/>
        </w:tabs>
        <w:ind w:right="495" w:firstLine="0"/>
        <w:rPr>
          <w:sz w:val="18"/>
        </w:rPr>
      </w:pPr>
      <w:r>
        <w:rPr>
          <w:sz w:val="18"/>
        </w:rPr>
        <w:t>transactions where the consideration to acquire an asset is significantly less than fair value principally to enable a not-for-profit entity to further its</w:t>
      </w:r>
      <w:r>
        <w:rPr>
          <w:spacing w:val="2"/>
          <w:sz w:val="18"/>
        </w:rPr>
        <w:t xml:space="preserve"> </w:t>
      </w:r>
      <w:r>
        <w:rPr>
          <w:sz w:val="18"/>
        </w:rPr>
        <w:t>objectives;</w:t>
      </w:r>
    </w:p>
    <w:p w14:paraId="5DEF53AF" w14:textId="77777777" w:rsidR="00FA4AA8" w:rsidRDefault="00FA4AA8">
      <w:pPr>
        <w:pStyle w:val="BodyText"/>
        <w:spacing w:before="11"/>
        <w:rPr>
          <w:sz w:val="24"/>
        </w:rPr>
      </w:pPr>
    </w:p>
    <w:p w14:paraId="416A3D8F" w14:textId="77777777" w:rsidR="00FA4AA8" w:rsidRDefault="0015611F">
      <w:pPr>
        <w:pStyle w:val="ListParagraph"/>
        <w:numPr>
          <w:ilvl w:val="0"/>
          <w:numId w:val="109"/>
        </w:numPr>
        <w:tabs>
          <w:tab w:val="left" w:pos="1403"/>
        </w:tabs>
        <w:ind w:left="1402"/>
        <w:rPr>
          <w:sz w:val="18"/>
        </w:rPr>
      </w:pPr>
      <w:r>
        <w:rPr>
          <w:sz w:val="18"/>
        </w:rPr>
        <w:t>the receipt of volunteer services;</w:t>
      </w:r>
      <w:r>
        <w:rPr>
          <w:spacing w:val="4"/>
          <w:sz w:val="18"/>
        </w:rPr>
        <w:t xml:space="preserve"> </w:t>
      </w:r>
      <w:r>
        <w:rPr>
          <w:sz w:val="18"/>
        </w:rPr>
        <w:t>and</w:t>
      </w:r>
    </w:p>
    <w:p w14:paraId="23C880C0" w14:textId="77777777" w:rsidR="00FA4AA8" w:rsidRDefault="00FA4AA8">
      <w:pPr>
        <w:pStyle w:val="BodyText"/>
        <w:rPr>
          <w:sz w:val="25"/>
        </w:rPr>
      </w:pPr>
    </w:p>
    <w:p w14:paraId="5E000B82" w14:textId="77777777" w:rsidR="00FA4AA8" w:rsidRDefault="0015611F">
      <w:pPr>
        <w:pStyle w:val="ListParagraph"/>
        <w:numPr>
          <w:ilvl w:val="0"/>
          <w:numId w:val="109"/>
        </w:numPr>
        <w:tabs>
          <w:tab w:val="left" w:pos="1393"/>
        </w:tabs>
        <w:ind w:left="1392" w:hanging="263"/>
        <w:rPr>
          <w:sz w:val="18"/>
        </w:rPr>
      </w:pPr>
      <w:r>
        <w:rPr>
          <w:sz w:val="18"/>
        </w:rPr>
        <w:t>transfers made to enable an entity to acquire or construct a non-financial asset for its own</w:t>
      </w:r>
      <w:r>
        <w:rPr>
          <w:spacing w:val="16"/>
          <w:sz w:val="18"/>
        </w:rPr>
        <w:t xml:space="preserve"> </w:t>
      </w:r>
      <w:r>
        <w:rPr>
          <w:sz w:val="18"/>
        </w:rPr>
        <w:t>use.</w:t>
      </w:r>
    </w:p>
    <w:p w14:paraId="42C65830" w14:textId="77777777" w:rsidR="00FA4AA8" w:rsidRDefault="00FA4AA8">
      <w:pPr>
        <w:pStyle w:val="BodyText"/>
        <w:rPr>
          <w:sz w:val="25"/>
        </w:rPr>
      </w:pPr>
    </w:p>
    <w:p w14:paraId="4E31FABC" w14:textId="77777777" w:rsidR="00FA4AA8" w:rsidRDefault="0015611F">
      <w:pPr>
        <w:pStyle w:val="BodyText"/>
        <w:ind w:left="1130" w:right="256"/>
      </w:pPr>
      <w:r>
        <w:t>The University is in the process of assessing the changes, if any, to its revenue recognition policies upon adoption of AASB 15 and AASB 1058. Until management completes that process, the University is unable to reasonably quantify the expected financial impacts of those Standards in future periods.</w:t>
      </w:r>
    </w:p>
    <w:p w14:paraId="6E6CDB35" w14:textId="77777777" w:rsidR="00FA4AA8" w:rsidRDefault="00FA4AA8">
      <w:pPr>
        <w:sectPr w:rsidR="00FA4AA8">
          <w:headerReference w:type="default" r:id="rId35"/>
          <w:footerReference w:type="default" r:id="rId36"/>
          <w:pgSz w:w="11910" w:h="16840"/>
          <w:pgMar w:top="2220" w:right="840" w:bottom="720" w:left="840" w:header="1016" w:footer="523" w:gutter="0"/>
          <w:pgNumType w:start="16"/>
          <w:cols w:space="720"/>
        </w:sectPr>
      </w:pPr>
    </w:p>
    <w:p w14:paraId="61226315" w14:textId="77777777" w:rsidR="00FA4AA8" w:rsidRDefault="00FA4AA8">
      <w:pPr>
        <w:pStyle w:val="BodyText"/>
        <w:rPr>
          <w:sz w:val="20"/>
        </w:rPr>
      </w:pPr>
    </w:p>
    <w:p w14:paraId="7F400CF1" w14:textId="77777777" w:rsidR="00FA4AA8" w:rsidRDefault="00FA4AA8">
      <w:pPr>
        <w:pStyle w:val="BodyText"/>
        <w:spacing w:before="10"/>
        <w:rPr>
          <w:sz w:val="29"/>
        </w:rPr>
      </w:pPr>
    </w:p>
    <w:p w14:paraId="573D8477" w14:textId="77777777" w:rsidR="00FA4AA8" w:rsidRDefault="0015611F">
      <w:pPr>
        <w:tabs>
          <w:tab w:val="left" w:pos="563"/>
        </w:tabs>
        <w:spacing w:before="94"/>
        <w:ind w:left="170"/>
        <w:rPr>
          <w:b/>
          <w:sz w:val="18"/>
        </w:rPr>
      </w:pPr>
      <w:r>
        <w:rPr>
          <w:b/>
          <w:sz w:val="18"/>
        </w:rPr>
        <w:t>1</w:t>
      </w:r>
      <w:r>
        <w:rPr>
          <w:b/>
          <w:sz w:val="18"/>
        </w:rPr>
        <w:tab/>
        <w:t>Summary of Significant Accounting Policies</w:t>
      </w:r>
      <w:r>
        <w:rPr>
          <w:b/>
          <w:spacing w:val="-9"/>
          <w:sz w:val="18"/>
        </w:rPr>
        <w:t xml:space="preserve"> </w:t>
      </w:r>
      <w:r>
        <w:rPr>
          <w:b/>
          <w:sz w:val="18"/>
        </w:rPr>
        <w:t>(continued)</w:t>
      </w:r>
    </w:p>
    <w:p w14:paraId="6E0FC070" w14:textId="77777777" w:rsidR="00FA4AA8" w:rsidRDefault="00FA4AA8">
      <w:pPr>
        <w:pStyle w:val="BodyText"/>
        <w:rPr>
          <w:b/>
          <w:sz w:val="25"/>
        </w:rPr>
      </w:pPr>
    </w:p>
    <w:p w14:paraId="6D568883" w14:textId="77777777" w:rsidR="00FA4AA8" w:rsidRDefault="0015611F">
      <w:pPr>
        <w:pStyle w:val="ListParagraph"/>
        <w:numPr>
          <w:ilvl w:val="0"/>
          <w:numId w:val="108"/>
        </w:numPr>
        <w:tabs>
          <w:tab w:val="left" w:pos="1130"/>
          <w:tab w:val="left" w:pos="1131"/>
        </w:tabs>
        <w:rPr>
          <w:b/>
          <w:sz w:val="18"/>
        </w:rPr>
      </w:pPr>
      <w:r>
        <w:rPr>
          <w:b/>
          <w:sz w:val="18"/>
        </w:rPr>
        <w:t>New Accounting Standards and Interpretations (continued)</w:t>
      </w:r>
    </w:p>
    <w:p w14:paraId="2BC0054C" w14:textId="77777777" w:rsidR="00FA4AA8" w:rsidRDefault="00FA4AA8">
      <w:pPr>
        <w:pStyle w:val="BodyText"/>
        <w:rPr>
          <w:b/>
          <w:sz w:val="25"/>
        </w:rPr>
      </w:pPr>
    </w:p>
    <w:p w14:paraId="00980A42" w14:textId="77777777" w:rsidR="00FA4AA8" w:rsidRDefault="0015611F">
      <w:pPr>
        <w:numPr>
          <w:ilvl w:val="1"/>
          <w:numId w:val="110"/>
        </w:numPr>
        <w:tabs>
          <w:tab w:val="left" w:pos="1401"/>
        </w:tabs>
        <w:ind w:left="1400" w:hanging="271"/>
        <w:rPr>
          <w:b/>
          <w:sz w:val="18"/>
        </w:rPr>
      </w:pPr>
      <w:r>
        <w:rPr>
          <w:b/>
          <w:i/>
          <w:sz w:val="18"/>
        </w:rPr>
        <w:t>AASB 16 Lease</w:t>
      </w:r>
      <w:r>
        <w:rPr>
          <w:b/>
          <w:sz w:val="18"/>
        </w:rPr>
        <w:t>s</w:t>
      </w:r>
    </w:p>
    <w:p w14:paraId="63CE2AB1" w14:textId="77777777" w:rsidR="00FA4AA8" w:rsidRDefault="00FA4AA8">
      <w:pPr>
        <w:pStyle w:val="BodyText"/>
        <w:spacing w:before="11"/>
        <w:rPr>
          <w:b/>
          <w:sz w:val="24"/>
        </w:rPr>
      </w:pPr>
    </w:p>
    <w:p w14:paraId="7748A24A" w14:textId="77777777" w:rsidR="00FA4AA8" w:rsidRDefault="0015611F">
      <w:pPr>
        <w:pStyle w:val="BodyText"/>
        <w:ind w:left="1130" w:right="256"/>
      </w:pPr>
      <w:r>
        <w:t>The Australian Accounting Standard AASB 16 'Leases' is mandatory from 1 January 2019, and replaces AASB 117 'Leases'.</w:t>
      </w:r>
    </w:p>
    <w:p w14:paraId="3886DBF5" w14:textId="77777777" w:rsidR="00FA4AA8" w:rsidRDefault="00FA4AA8">
      <w:pPr>
        <w:pStyle w:val="BodyText"/>
        <w:spacing w:before="11"/>
        <w:rPr>
          <w:sz w:val="24"/>
        </w:rPr>
      </w:pPr>
    </w:p>
    <w:p w14:paraId="28B10F36" w14:textId="77777777" w:rsidR="00FA4AA8" w:rsidRDefault="0015611F">
      <w:pPr>
        <w:pStyle w:val="BodyText"/>
        <w:ind w:left="1130" w:right="414"/>
      </w:pPr>
      <w:r>
        <w:t>The definition of a lease in AASB 16 is essentially the same as AASB 117. The definition attempts to differentiate between controlling the underlying asset and arrangements that transfer to a lessee the right to obtain substantially all of the economic benefits from use of the asset throughout the period of use (for example, by having exclusive use of the asset throughout that period).</w:t>
      </w:r>
    </w:p>
    <w:p w14:paraId="2BA14FDA" w14:textId="77777777" w:rsidR="00FA4AA8" w:rsidRDefault="00FA4AA8">
      <w:pPr>
        <w:pStyle w:val="BodyText"/>
        <w:spacing w:before="10"/>
        <w:rPr>
          <w:sz w:val="24"/>
        </w:rPr>
      </w:pPr>
    </w:p>
    <w:p w14:paraId="668131BD" w14:textId="77777777" w:rsidR="00FA4AA8" w:rsidRDefault="0015611F">
      <w:pPr>
        <w:pStyle w:val="BodyText"/>
        <w:ind w:left="1130" w:right="256"/>
      </w:pPr>
      <w:r>
        <w:t>AASB 16 requires all leases to be recognised on balance sheet, as a right of use asset and corresponding liability.</w:t>
      </w:r>
    </w:p>
    <w:p w14:paraId="055E0DCF" w14:textId="77777777" w:rsidR="00FA4AA8" w:rsidRDefault="00FA4AA8">
      <w:pPr>
        <w:pStyle w:val="BodyText"/>
        <w:spacing w:before="10"/>
        <w:rPr>
          <w:sz w:val="24"/>
        </w:rPr>
      </w:pPr>
    </w:p>
    <w:p w14:paraId="04447221" w14:textId="77777777" w:rsidR="00FA4AA8" w:rsidRDefault="0015611F">
      <w:pPr>
        <w:pStyle w:val="BodyText"/>
        <w:spacing w:before="1"/>
        <w:ind w:left="1130" w:right="256"/>
      </w:pPr>
      <w:bookmarkStart w:id="17" w:name="(k)_Initial_application_of_Australian_Ac"/>
      <w:bookmarkEnd w:id="17"/>
      <w:r>
        <w:t>The new standard will have a material impact for the University, with existing arrangements currently recognised through profit and loss as operating leases. The University is in the process of assessing the changes to its lease recognition and measurement policies upon the adoption of AASB 16. Until management completes that process, the University is unable to reasonably quantify the expected financial impacts of the Standard in future periods.</w:t>
      </w:r>
    </w:p>
    <w:p w14:paraId="50DB0ABE" w14:textId="77777777" w:rsidR="00FA4AA8" w:rsidRDefault="00FA4AA8">
      <w:pPr>
        <w:pStyle w:val="BodyText"/>
        <w:spacing w:before="8"/>
        <w:rPr>
          <w:sz w:val="24"/>
        </w:rPr>
      </w:pPr>
    </w:p>
    <w:p w14:paraId="7E38020C" w14:textId="77777777" w:rsidR="00FA4AA8" w:rsidRDefault="0015611F">
      <w:pPr>
        <w:numPr>
          <w:ilvl w:val="0"/>
          <w:numId w:val="108"/>
        </w:numPr>
        <w:tabs>
          <w:tab w:val="left" w:pos="1130"/>
          <w:tab w:val="left" w:pos="1131"/>
        </w:tabs>
        <w:spacing w:before="1" w:line="595" w:lineRule="auto"/>
        <w:ind w:right="4489"/>
        <w:rPr>
          <w:b/>
          <w:sz w:val="18"/>
        </w:rPr>
      </w:pPr>
      <w:r>
        <w:rPr>
          <w:b/>
          <w:sz w:val="18"/>
        </w:rPr>
        <w:t>Initial application of Australian Accounting Standards AASB 9 Financial Instruments</w:t>
      </w:r>
    </w:p>
    <w:p w14:paraId="45B37D32" w14:textId="77777777" w:rsidR="00FA4AA8" w:rsidRDefault="0015611F">
      <w:pPr>
        <w:spacing w:line="193" w:lineRule="exact"/>
        <w:ind w:left="1130"/>
        <w:rPr>
          <w:sz w:val="18"/>
        </w:rPr>
      </w:pPr>
      <w:r>
        <w:rPr>
          <w:sz w:val="18"/>
        </w:rPr>
        <w:t xml:space="preserve">AASB9 </w:t>
      </w:r>
      <w:r>
        <w:rPr>
          <w:i/>
          <w:sz w:val="18"/>
        </w:rPr>
        <w:t xml:space="preserve">Financial Instruments </w:t>
      </w:r>
      <w:r>
        <w:rPr>
          <w:sz w:val="18"/>
        </w:rPr>
        <w:t xml:space="preserve">replaces AASB 139 </w:t>
      </w:r>
      <w:r>
        <w:rPr>
          <w:i/>
          <w:sz w:val="18"/>
        </w:rPr>
        <w:t xml:space="preserve">Financial Instruments: Recognition and Measurement </w:t>
      </w:r>
      <w:r>
        <w:rPr>
          <w:sz w:val="18"/>
        </w:rPr>
        <w:t>for</w:t>
      </w:r>
    </w:p>
    <w:p w14:paraId="11D6C44E" w14:textId="77777777" w:rsidR="00FA4AA8" w:rsidRDefault="0015611F">
      <w:pPr>
        <w:pStyle w:val="BodyText"/>
        <w:spacing w:line="207" w:lineRule="exact"/>
        <w:ind w:left="1130"/>
      </w:pPr>
      <w:r>
        <w:t>annual periods beginning on or after 1 January 2018.</w:t>
      </w:r>
    </w:p>
    <w:p w14:paraId="77358F57" w14:textId="77777777" w:rsidR="00FA4AA8" w:rsidRDefault="00FA4AA8">
      <w:pPr>
        <w:pStyle w:val="BodyText"/>
        <w:spacing w:before="11"/>
        <w:rPr>
          <w:sz w:val="24"/>
        </w:rPr>
      </w:pPr>
    </w:p>
    <w:p w14:paraId="5CC906D9" w14:textId="77777777" w:rsidR="00FA4AA8" w:rsidRDefault="0015611F">
      <w:pPr>
        <w:pStyle w:val="BodyText"/>
        <w:ind w:left="1130" w:right="125"/>
      </w:pPr>
      <w:r>
        <w:t>Western Sydney University has applied AASB 9 retrospectively, with the exception of hedge accounting, with an initial application date of 1 January 2018. The University has not restated the comparative information, which continues to be reported under AASB 139. Differences arising from the adoption of AASB 9 have been recognised directly in retained earnings and other components of equity.</w:t>
      </w:r>
    </w:p>
    <w:p w14:paraId="2718919E" w14:textId="77777777" w:rsidR="00FA4AA8" w:rsidRDefault="00FA4AA8">
      <w:pPr>
        <w:pStyle w:val="BodyText"/>
        <w:spacing w:before="10"/>
        <w:rPr>
          <w:sz w:val="24"/>
        </w:rPr>
      </w:pPr>
    </w:p>
    <w:p w14:paraId="74972B9E" w14:textId="77777777" w:rsidR="00FA4AA8" w:rsidRDefault="0015611F">
      <w:pPr>
        <w:pStyle w:val="BodyText"/>
        <w:ind w:left="1130"/>
      </w:pPr>
      <w:r>
        <w:t>The following table summarises the changes on the financial statements upon the adoption of AASB 9.</w:t>
      </w:r>
    </w:p>
    <w:p w14:paraId="667148B4" w14:textId="77777777" w:rsidR="00FA4AA8" w:rsidRDefault="00FA4AA8">
      <w:pPr>
        <w:sectPr w:rsidR="00FA4AA8">
          <w:pgSz w:w="11910" w:h="16840"/>
          <w:pgMar w:top="2220" w:right="840" w:bottom="720" w:left="840" w:header="1016" w:footer="523" w:gutter="0"/>
          <w:cols w:space="720"/>
        </w:sectPr>
      </w:pPr>
    </w:p>
    <w:p w14:paraId="22FF086B" w14:textId="77777777" w:rsidR="00FA4AA8" w:rsidRDefault="00FA4AA8">
      <w:pPr>
        <w:pStyle w:val="BodyText"/>
        <w:rPr>
          <w:sz w:val="20"/>
        </w:rPr>
      </w:pPr>
    </w:p>
    <w:p w14:paraId="2CF2C158" w14:textId="77777777" w:rsidR="00FA4AA8" w:rsidRDefault="00FA4AA8">
      <w:pPr>
        <w:pStyle w:val="BodyText"/>
        <w:spacing w:before="10"/>
        <w:rPr>
          <w:sz w:val="29"/>
        </w:rPr>
      </w:pPr>
    </w:p>
    <w:p w14:paraId="77F029F4" w14:textId="77777777" w:rsidR="00FA4AA8" w:rsidRDefault="0015611F">
      <w:pPr>
        <w:tabs>
          <w:tab w:val="left" w:pos="563"/>
        </w:tabs>
        <w:spacing w:before="94"/>
        <w:ind w:left="170"/>
        <w:rPr>
          <w:b/>
          <w:sz w:val="18"/>
        </w:rPr>
      </w:pPr>
      <w:r>
        <w:rPr>
          <w:b/>
          <w:sz w:val="18"/>
        </w:rPr>
        <w:t>1</w:t>
      </w:r>
      <w:r>
        <w:rPr>
          <w:b/>
          <w:sz w:val="18"/>
        </w:rPr>
        <w:tab/>
        <w:t>Summary of Significant Accounting Policies</w:t>
      </w:r>
      <w:r>
        <w:rPr>
          <w:b/>
          <w:spacing w:val="-9"/>
          <w:sz w:val="18"/>
        </w:rPr>
        <w:t xml:space="preserve"> </w:t>
      </w:r>
      <w:r>
        <w:rPr>
          <w:b/>
          <w:sz w:val="18"/>
        </w:rPr>
        <w:t>(continued)</w:t>
      </w:r>
    </w:p>
    <w:p w14:paraId="53865F70" w14:textId="77777777" w:rsidR="00FA4AA8" w:rsidRDefault="00FA4AA8">
      <w:pPr>
        <w:pStyle w:val="BodyText"/>
        <w:rPr>
          <w:b/>
          <w:sz w:val="25"/>
        </w:rPr>
      </w:pPr>
    </w:p>
    <w:p w14:paraId="650837CF" w14:textId="77777777" w:rsidR="00FA4AA8" w:rsidRDefault="0015611F">
      <w:pPr>
        <w:tabs>
          <w:tab w:val="left" w:pos="1130"/>
        </w:tabs>
        <w:ind w:left="564"/>
        <w:rPr>
          <w:b/>
          <w:sz w:val="18"/>
        </w:rPr>
      </w:pPr>
      <w:r>
        <w:rPr>
          <w:b/>
          <w:sz w:val="18"/>
        </w:rPr>
        <w:t>(k)</w:t>
      </w:r>
      <w:r>
        <w:rPr>
          <w:b/>
          <w:sz w:val="18"/>
        </w:rPr>
        <w:tab/>
        <w:t>Initial application of Australian Accounting Standards (continued)</w:t>
      </w:r>
    </w:p>
    <w:p w14:paraId="0751DE2A" w14:textId="77777777" w:rsidR="00FA4AA8" w:rsidRDefault="00FA4AA8">
      <w:pPr>
        <w:pStyle w:val="BodyText"/>
        <w:spacing w:before="2"/>
        <w:rPr>
          <w:b/>
          <w:sz w:val="27"/>
        </w:rPr>
      </w:pPr>
    </w:p>
    <w:tbl>
      <w:tblPr>
        <w:tblW w:w="0" w:type="auto"/>
        <w:tblInd w:w="1087" w:type="dxa"/>
        <w:tblLayout w:type="fixed"/>
        <w:tblCellMar>
          <w:left w:w="0" w:type="dxa"/>
          <w:right w:w="0" w:type="dxa"/>
        </w:tblCellMar>
        <w:tblLook w:val="01E0" w:firstRow="1" w:lastRow="1" w:firstColumn="1" w:lastColumn="1" w:noHBand="0" w:noVBand="0"/>
      </w:tblPr>
      <w:tblGrid>
        <w:gridCol w:w="3835"/>
        <w:gridCol w:w="1199"/>
        <w:gridCol w:w="1425"/>
        <w:gridCol w:w="1532"/>
        <w:gridCol w:w="1011"/>
      </w:tblGrid>
      <w:tr w:rsidR="00FA4AA8" w14:paraId="50C188F2" w14:textId="77777777">
        <w:trPr>
          <w:trHeight w:val="222"/>
        </w:trPr>
        <w:tc>
          <w:tcPr>
            <w:tcW w:w="3835" w:type="dxa"/>
          </w:tcPr>
          <w:p w14:paraId="6AC49C30" w14:textId="77777777" w:rsidR="00FA4AA8" w:rsidRDefault="0015611F">
            <w:pPr>
              <w:pStyle w:val="TableParagraph"/>
              <w:spacing w:line="201" w:lineRule="exact"/>
              <w:ind w:left="50"/>
              <w:rPr>
                <w:b/>
                <w:sz w:val="18"/>
              </w:rPr>
            </w:pPr>
            <w:r>
              <w:rPr>
                <w:b/>
                <w:sz w:val="18"/>
              </w:rPr>
              <w:t>AASB 9 Financial Instruments (continued)</w:t>
            </w:r>
          </w:p>
        </w:tc>
        <w:tc>
          <w:tcPr>
            <w:tcW w:w="5167" w:type="dxa"/>
            <w:gridSpan w:val="4"/>
          </w:tcPr>
          <w:p w14:paraId="13A8E0B7" w14:textId="77777777" w:rsidR="00FA4AA8" w:rsidRDefault="00FA4AA8">
            <w:pPr>
              <w:pStyle w:val="TableParagraph"/>
              <w:rPr>
                <w:rFonts w:ascii="Times New Roman"/>
                <w:sz w:val="14"/>
              </w:rPr>
            </w:pPr>
          </w:p>
        </w:tc>
      </w:tr>
      <w:tr w:rsidR="00FA4AA8" w14:paraId="2EB2A9DC" w14:textId="77777777">
        <w:trPr>
          <w:trHeight w:val="236"/>
        </w:trPr>
        <w:tc>
          <w:tcPr>
            <w:tcW w:w="3835" w:type="dxa"/>
          </w:tcPr>
          <w:p w14:paraId="2BAF9C29" w14:textId="77777777" w:rsidR="00FA4AA8" w:rsidRDefault="00FA4AA8">
            <w:pPr>
              <w:pStyle w:val="TableParagraph"/>
              <w:rPr>
                <w:rFonts w:ascii="Times New Roman"/>
                <w:sz w:val="16"/>
              </w:rPr>
            </w:pPr>
          </w:p>
        </w:tc>
        <w:tc>
          <w:tcPr>
            <w:tcW w:w="1199" w:type="dxa"/>
          </w:tcPr>
          <w:p w14:paraId="0B06881F" w14:textId="77777777" w:rsidR="00FA4AA8" w:rsidRDefault="0015611F">
            <w:pPr>
              <w:pStyle w:val="TableParagraph"/>
              <w:spacing w:before="16"/>
              <w:ind w:left="227"/>
              <w:rPr>
                <w:b/>
                <w:sz w:val="16"/>
              </w:rPr>
            </w:pPr>
            <w:r>
              <w:rPr>
                <w:b/>
                <w:sz w:val="16"/>
              </w:rPr>
              <w:t>31-Dec-17</w:t>
            </w:r>
          </w:p>
        </w:tc>
        <w:tc>
          <w:tcPr>
            <w:tcW w:w="1425" w:type="dxa"/>
          </w:tcPr>
          <w:p w14:paraId="14A0BBB8" w14:textId="77777777" w:rsidR="00FA4AA8" w:rsidRDefault="0015611F">
            <w:pPr>
              <w:pStyle w:val="TableParagraph"/>
              <w:spacing w:before="16"/>
              <w:ind w:right="114"/>
              <w:jc w:val="right"/>
              <w:rPr>
                <w:b/>
                <w:sz w:val="16"/>
              </w:rPr>
            </w:pPr>
            <w:r>
              <w:rPr>
                <w:b/>
                <w:sz w:val="16"/>
              </w:rPr>
              <w:t>Reclassification</w:t>
            </w:r>
          </w:p>
        </w:tc>
        <w:tc>
          <w:tcPr>
            <w:tcW w:w="1532" w:type="dxa"/>
          </w:tcPr>
          <w:p w14:paraId="754E4CFE" w14:textId="77777777" w:rsidR="00FA4AA8" w:rsidRDefault="0015611F">
            <w:pPr>
              <w:pStyle w:val="TableParagraph"/>
              <w:spacing w:before="16"/>
              <w:ind w:right="162"/>
              <w:jc w:val="right"/>
              <w:rPr>
                <w:b/>
                <w:sz w:val="16"/>
              </w:rPr>
            </w:pPr>
            <w:r>
              <w:rPr>
                <w:b/>
                <w:sz w:val="16"/>
              </w:rPr>
              <w:t>Re-measurement</w:t>
            </w:r>
          </w:p>
        </w:tc>
        <w:tc>
          <w:tcPr>
            <w:tcW w:w="1011" w:type="dxa"/>
          </w:tcPr>
          <w:p w14:paraId="57ECB398" w14:textId="77777777" w:rsidR="00FA4AA8" w:rsidRDefault="0015611F">
            <w:pPr>
              <w:pStyle w:val="TableParagraph"/>
              <w:spacing w:before="16"/>
              <w:ind w:left="151"/>
              <w:rPr>
                <w:b/>
                <w:sz w:val="16"/>
              </w:rPr>
            </w:pPr>
            <w:r>
              <w:rPr>
                <w:b/>
                <w:sz w:val="16"/>
              </w:rPr>
              <w:t>1-Jan-18</w:t>
            </w:r>
          </w:p>
        </w:tc>
      </w:tr>
      <w:tr w:rsidR="00FA4AA8" w14:paraId="318EA56B" w14:textId="77777777">
        <w:trPr>
          <w:trHeight w:val="249"/>
        </w:trPr>
        <w:tc>
          <w:tcPr>
            <w:tcW w:w="3835" w:type="dxa"/>
          </w:tcPr>
          <w:p w14:paraId="172B1605" w14:textId="77777777" w:rsidR="00FA4AA8" w:rsidRDefault="0015611F">
            <w:pPr>
              <w:pStyle w:val="TableParagraph"/>
              <w:spacing w:before="31"/>
              <w:ind w:left="85"/>
              <w:rPr>
                <w:b/>
                <w:sz w:val="16"/>
              </w:rPr>
            </w:pPr>
            <w:r>
              <w:rPr>
                <w:b/>
                <w:sz w:val="16"/>
              </w:rPr>
              <w:t>Consolidated</w:t>
            </w:r>
          </w:p>
        </w:tc>
        <w:tc>
          <w:tcPr>
            <w:tcW w:w="1199" w:type="dxa"/>
          </w:tcPr>
          <w:p w14:paraId="6AF88106" w14:textId="77777777" w:rsidR="00FA4AA8" w:rsidRDefault="0015611F">
            <w:pPr>
              <w:pStyle w:val="TableParagraph"/>
              <w:spacing w:before="31"/>
              <w:ind w:left="407"/>
              <w:rPr>
                <w:b/>
                <w:sz w:val="16"/>
              </w:rPr>
            </w:pPr>
            <w:r>
              <w:rPr>
                <w:b/>
                <w:sz w:val="16"/>
              </w:rPr>
              <w:t>$'000</w:t>
            </w:r>
          </w:p>
        </w:tc>
        <w:tc>
          <w:tcPr>
            <w:tcW w:w="1425" w:type="dxa"/>
          </w:tcPr>
          <w:p w14:paraId="5A7AC0C2" w14:textId="77777777" w:rsidR="00FA4AA8" w:rsidRDefault="0015611F">
            <w:pPr>
              <w:pStyle w:val="TableParagraph"/>
              <w:spacing w:before="31"/>
              <w:ind w:left="481" w:right="510"/>
              <w:jc w:val="center"/>
              <w:rPr>
                <w:b/>
                <w:sz w:val="16"/>
              </w:rPr>
            </w:pPr>
            <w:r>
              <w:rPr>
                <w:b/>
                <w:sz w:val="16"/>
              </w:rPr>
              <w:t>$'000</w:t>
            </w:r>
          </w:p>
        </w:tc>
        <w:tc>
          <w:tcPr>
            <w:tcW w:w="1532" w:type="dxa"/>
          </w:tcPr>
          <w:p w14:paraId="3241BCCD" w14:textId="77777777" w:rsidR="00FA4AA8" w:rsidRDefault="0015611F">
            <w:pPr>
              <w:pStyle w:val="TableParagraph"/>
              <w:spacing w:before="31"/>
              <w:ind w:left="105" w:right="201"/>
              <w:jc w:val="center"/>
              <w:rPr>
                <w:b/>
                <w:sz w:val="16"/>
              </w:rPr>
            </w:pPr>
            <w:r>
              <w:rPr>
                <w:b/>
                <w:sz w:val="16"/>
              </w:rPr>
              <w:t>$'000</w:t>
            </w:r>
          </w:p>
        </w:tc>
        <w:tc>
          <w:tcPr>
            <w:tcW w:w="1011" w:type="dxa"/>
          </w:tcPr>
          <w:p w14:paraId="1EF4D4A6" w14:textId="77777777" w:rsidR="00FA4AA8" w:rsidRDefault="0015611F">
            <w:pPr>
              <w:pStyle w:val="TableParagraph"/>
              <w:spacing w:before="31"/>
              <w:ind w:left="279"/>
              <w:rPr>
                <w:b/>
                <w:sz w:val="16"/>
              </w:rPr>
            </w:pPr>
            <w:r>
              <w:rPr>
                <w:b/>
                <w:sz w:val="16"/>
              </w:rPr>
              <w:t>$'000</w:t>
            </w:r>
          </w:p>
        </w:tc>
      </w:tr>
      <w:tr w:rsidR="00FA4AA8" w14:paraId="19BAF6E4" w14:textId="77777777">
        <w:trPr>
          <w:trHeight w:val="244"/>
        </w:trPr>
        <w:tc>
          <w:tcPr>
            <w:tcW w:w="3835" w:type="dxa"/>
          </w:tcPr>
          <w:p w14:paraId="486CCDCA" w14:textId="77777777" w:rsidR="00FA4AA8" w:rsidRDefault="0015611F">
            <w:pPr>
              <w:pStyle w:val="TableParagraph"/>
              <w:spacing w:before="31"/>
              <w:ind w:left="85"/>
              <w:rPr>
                <w:sz w:val="16"/>
              </w:rPr>
            </w:pPr>
            <w:r>
              <w:rPr>
                <w:sz w:val="16"/>
              </w:rPr>
              <w:t>Provision for impaired receivables</w:t>
            </w:r>
          </w:p>
        </w:tc>
        <w:tc>
          <w:tcPr>
            <w:tcW w:w="1199" w:type="dxa"/>
          </w:tcPr>
          <w:p w14:paraId="111FA902" w14:textId="77777777" w:rsidR="00FA4AA8" w:rsidRDefault="0015611F">
            <w:pPr>
              <w:pStyle w:val="TableParagraph"/>
              <w:spacing w:before="29"/>
              <w:ind w:right="85"/>
              <w:jc w:val="right"/>
              <w:rPr>
                <w:sz w:val="16"/>
              </w:rPr>
            </w:pPr>
            <w:r>
              <w:rPr>
                <w:sz w:val="16"/>
              </w:rPr>
              <w:t>(738)</w:t>
            </w:r>
          </w:p>
        </w:tc>
        <w:tc>
          <w:tcPr>
            <w:tcW w:w="1425" w:type="dxa"/>
          </w:tcPr>
          <w:p w14:paraId="06A3776A" w14:textId="77777777" w:rsidR="00FA4AA8" w:rsidRDefault="0015611F">
            <w:pPr>
              <w:pStyle w:val="TableParagraph"/>
              <w:spacing w:before="29"/>
              <w:ind w:right="118"/>
              <w:jc w:val="right"/>
              <w:rPr>
                <w:b/>
                <w:sz w:val="16"/>
              </w:rPr>
            </w:pPr>
            <w:r>
              <w:rPr>
                <w:b/>
                <w:sz w:val="16"/>
              </w:rPr>
              <w:t>-</w:t>
            </w:r>
          </w:p>
        </w:tc>
        <w:tc>
          <w:tcPr>
            <w:tcW w:w="1532" w:type="dxa"/>
          </w:tcPr>
          <w:p w14:paraId="4828CE23" w14:textId="77777777" w:rsidR="00FA4AA8" w:rsidRDefault="0015611F">
            <w:pPr>
              <w:pStyle w:val="TableParagraph"/>
              <w:spacing w:before="29"/>
              <w:ind w:right="153"/>
              <w:jc w:val="right"/>
              <w:rPr>
                <w:sz w:val="16"/>
              </w:rPr>
            </w:pPr>
            <w:r>
              <w:rPr>
                <w:sz w:val="16"/>
              </w:rPr>
              <w:t>(457)</w:t>
            </w:r>
          </w:p>
        </w:tc>
        <w:tc>
          <w:tcPr>
            <w:tcW w:w="1011" w:type="dxa"/>
          </w:tcPr>
          <w:p w14:paraId="6078EA22" w14:textId="77777777" w:rsidR="00FA4AA8" w:rsidRDefault="0015611F">
            <w:pPr>
              <w:pStyle w:val="TableParagraph"/>
              <w:spacing w:before="29"/>
              <w:ind w:right="26"/>
              <w:jc w:val="right"/>
              <w:rPr>
                <w:sz w:val="16"/>
              </w:rPr>
            </w:pPr>
            <w:r>
              <w:rPr>
                <w:sz w:val="16"/>
              </w:rPr>
              <w:t>(1,195)</w:t>
            </w:r>
          </w:p>
        </w:tc>
      </w:tr>
      <w:tr w:rsidR="00FA4AA8" w14:paraId="3673946E" w14:textId="77777777">
        <w:trPr>
          <w:trHeight w:val="422"/>
        </w:trPr>
        <w:tc>
          <w:tcPr>
            <w:tcW w:w="3835" w:type="dxa"/>
          </w:tcPr>
          <w:p w14:paraId="349E48D1" w14:textId="77777777" w:rsidR="00FA4AA8" w:rsidRDefault="0015611F">
            <w:pPr>
              <w:pStyle w:val="TableParagraph"/>
              <w:spacing w:before="24"/>
              <w:ind w:left="85" w:right="1017"/>
              <w:rPr>
                <w:sz w:val="16"/>
              </w:rPr>
            </w:pPr>
            <w:r>
              <w:rPr>
                <w:sz w:val="16"/>
              </w:rPr>
              <w:t>Available-for-sale (Listed securities) previously measured under AASB 139</w:t>
            </w:r>
          </w:p>
        </w:tc>
        <w:tc>
          <w:tcPr>
            <w:tcW w:w="1199" w:type="dxa"/>
          </w:tcPr>
          <w:p w14:paraId="375C5869" w14:textId="77777777" w:rsidR="00FA4AA8" w:rsidRDefault="00FA4AA8">
            <w:pPr>
              <w:pStyle w:val="TableParagraph"/>
              <w:spacing w:before="11"/>
              <w:rPr>
                <w:b/>
                <w:sz w:val="17"/>
              </w:rPr>
            </w:pPr>
          </w:p>
          <w:p w14:paraId="6CB88FDB" w14:textId="77777777" w:rsidR="00FA4AA8" w:rsidRDefault="0015611F">
            <w:pPr>
              <w:pStyle w:val="TableParagraph"/>
              <w:ind w:right="138"/>
              <w:jc w:val="right"/>
              <w:rPr>
                <w:sz w:val="16"/>
              </w:rPr>
            </w:pPr>
            <w:r>
              <w:rPr>
                <w:sz w:val="16"/>
              </w:rPr>
              <w:t>80,299</w:t>
            </w:r>
          </w:p>
        </w:tc>
        <w:tc>
          <w:tcPr>
            <w:tcW w:w="1425" w:type="dxa"/>
          </w:tcPr>
          <w:p w14:paraId="7F73AAFB" w14:textId="77777777" w:rsidR="00FA4AA8" w:rsidRDefault="00FA4AA8">
            <w:pPr>
              <w:pStyle w:val="TableParagraph"/>
              <w:spacing w:before="11"/>
              <w:rPr>
                <w:b/>
                <w:sz w:val="17"/>
              </w:rPr>
            </w:pPr>
          </w:p>
          <w:p w14:paraId="13736B14" w14:textId="77777777" w:rsidR="00FA4AA8" w:rsidRDefault="0015611F">
            <w:pPr>
              <w:pStyle w:val="TableParagraph"/>
              <w:ind w:right="65"/>
              <w:jc w:val="right"/>
              <w:rPr>
                <w:sz w:val="16"/>
              </w:rPr>
            </w:pPr>
            <w:r>
              <w:rPr>
                <w:sz w:val="16"/>
              </w:rPr>
              <w:t>(80,299)</w:t>
            </w:r>
          </w:p>
        </w:tc>
        <w:tc>
          <w:tcPr>
            <w:tcW w:w="1532" w:type="dxa"/>
          </w:tcPr>
          <w:p w14:paraId="4DDF9689" w14:textId="77777777" w:rsidR="00FA4AA8" w:rsidRDefault="00FA4AA8">
            <w:pPr>
              <w:pStyle w:val="TableParagraph"/>
              <w:spacing w:before="11"/>
              <w:rPr>
                <w:b/>
                <w:sz w:val="17"/>
              </w:rPr>
            </w:pPr>
          </w:p>
          <w:p w14:paraId="159EEF6C" w14:textId="77777777" w:rsidR="00FA4AA8" w:rsidRDefault="0015611F">
            <w:pPr>
              <w:pStyle w:val="TableParagraph"/>
              <w:ind w:right="205"/>
              <w:jc w:val="right"/>
              <w:rPr>
                <w:b/>
                <w:sz w:val="16"/>
              </w:rPr>
            </w:pPr>
            <w:r>
              <w:rPr>
                <w:b/>
                <w:sz w:val="16"/>
              </w:rPr>
              <w:t>-</w:t>
            </w:r>
          </w:p>
        </w:tc>
        <w:tc>
          <w:tcPr>
            <w:tcW w:w="1011" w:type="dxa"/>
          </w:tcPr>
          <w:p w14:paraId="0D53BA0F" w14:textId="77777777" w:rsidR="00FA4AA8" w:rsidRDefault="00FA4AA8">
            <w:pPr>
              <w:pStyle w:val="TableParagraph"/>
              <w:spacing w:before="11"/>
              <w:rPr>
                <w:b/>
                <w:sz w:val="17"/>
              </w:rPr>
            </w:pPr>
          </w:p>
          <w:p w14:paraId="60159149" w14:textId="77777777" w:rsidR="00FA4AA8" w:rsidRDefault="0015611F">
            <w:pPr>
              <w:pStyle w:val="TableParagraph"/>
              <w:ind w:right="78"/>
              <w:jc w:val="right"/>
              <w:rPr>
                <w:b/>
                <w:sz w:val="16"/>
              </w:rPr>
            </w:pPr>
            <w:r>
              <w:rPr>
                <w:b/>
                <w:sz w:val="16"/>
              </w:rPr>
              <w:t>-</w:t>
            </w:r>
          </w:p>
        </w:tc>
      </w:tr>
      <w:tr w:rsidR="00FA4AA8" w14:paraId="58BE79F4" w14:textId="77777777">
        <w:trPr>
          <w:trHeight w:val="423"/>
        </w:trPr>
        <w:tc>
          <w:tcPr>
            <w:tcW w:w="3835" w:type="dxa"/>
          </w:tcPr>
          <w:p w14:paraId="0B1223EB" w14:textId="77777777" w:rsidR="00FA4AA8" w:rsidRDefault="0015611F">
            <w:pPr>
              <w:pStyle w:val="TableParagraph"/>
              <w:spacing w:before="24"/>
              <w:ind w:left="85" w:right="1017"/>
              <w:rPr>
                <w:sz w:val="16"/>
              </w:rPr>
            </w:pPr>
            <w:r>
              <w:rPr>
                <w:sz w:val="16"/>
              </w:rPr>
              <w:t>Available-for-sale (Unlisted securities) previously measured under AASB 139</w:t>
            </w:r>
          </w:p>
        </w:tc>
        <w:tc>
          <w:tcPr>
            <w:tcW w:w="1199" w:type="dxa"/>
          </w:tcPr>
          <w:p w14:paraId="51F8ADAF" w14:textId="77777777" w:rsidR="00FA4AA8" w:rsidRDefault="00FA4AA8">
            <w:pPr>
              <w:pStyle w:val="TableParagraph"/>
              <w:spacing w:before="11"/>
              <w:rPr>
                <w:b/>
                <w:sz w:val="17"/>
              </w:rPr>
            </w:pPr>
          </w:p>
          <w:p w14:paraId="4C2BFF12" w14:textId="77777777" w:rsidR="00FA4AA8" w:rsidRDefault="0015611F">
            <w:pPr>
              <w:pStyle w:val="TableParagraph"/>
              <w:ind w:right="138"/>
              <w:jc w:val="right"/>
              <w:rPr>
                <w:sz w:val="16"/>
              </w:rPr>
            </w:pPr>
            <w:r>
              <w:rPr>
                <w:sz w:val="16"/>
              </w:rPr>
              <w:t>16,537</w:t>
            </w:r>
          </w:p>
        </w:tc>
        <w:tc>
          <w:tcPr>
            <w:tcW w:w="1425" w:type="dxa"/>
          </w:tcPr>
          <w:p w14:paraId="4EE52FFA" w14:textId="77777777" w:rsidR="00FA4AA8" w:rsidRDefault="00FA4AA8">
            <w:pPr>
              <w:pStyle w:val="TableParagraph"/>
              <w:spacing w:before="11"/>
              <w:rPr>
                <w:b/>
                <w:sz w:val="17"/>
              </w:rPr>
            </w:pPr>
          </w:p>
          <w:p w14:paraId="496E6CE0" w14:textId="77777777" w:rsidR="00FA4AA8" w:rsidRDefault="0015611F">
            <w:pPr>
              <w:pStyle w:val="TableParagraph"/>
              <w:ind w:right="65"/>
              <w:jc w:val="right"/>
              <w:rPr>
                <w:sz w:val="16"/>
              </w:rPr>
            </w:pPr>
            <w:r>
              <w:rPr>
                <w:sz w:val="16"/>
              </w:rPr>
              <w:t>(16,537)</w:t>
            </w:r>
          </w:p>
        </w:tc>
        <w:tc>
          <w:tcPr>
            <w:tcW w:w="1532" w:type="dxa"/>
          </w:tcPr>
          <w:p w14:paraId="2C53AC29" w14:textId="77777777" w:rsidR="00FA4AA8" w:rsidRDefault="00FA4AA8">
            <w:pPr>
              <w:pStyle w:val="TableParagraph"/>
              <w:spacing w:before="11"/>
              <w:rPr>
                <w:b/>
                <w:sz w:val="17"/>
              </w:rPr>
            </w:pPr>
          </w:p>
          <w:p w14:paraId="2100721E" w14:textId="77777777" w:rsidR="00FA4AA8" w:rsidRDefault="0015611F">
            <w:pPr>
              <w:pStyle w:val="TableParagraph"/>
              <w:ind w:right="205"/>
              <w:jc w:val="right"/>
              <w:rPr>
                <w:b/>
                <w:sz w:val="16"/>
              </w:rPr>
            </w:pPr>
            <w:r>
              <w:rPr>
                <w:b/>
                <w:sz w:val="16"/>
              </w:rPr>
              <w:t>-</w:t>
            </w:r>
          </w:p>
        </w:tc>
        <w:tc>
          <w:tcPr>
            <w:tcW w:w="1011" w:type="dxa"/>
          </w:tcPr>
          <w:p w14:paraId="2926BED8" w14:textId="77777777" w:rsidR="00FA4AA8" w:rsidRDefault="00FA4AA8">
            <w:pPr>
              <w:pStyle w:val="TableParagraph"/>
              <w:spacing w:before="11"/>
              <w:rPr>
                <w:b/>
                <w:sz w:val="17"/>
              </w:rPr>
            </w:pPr>
          </w:p>
          <w:p w14:paraId="4E74250E" w14:textId="77777777" w:rsidR="00FA4AA8" w:rsidRDefault="0015611F">
            <w:pPr>
              <w:pStyle w:val="TableParagraph"/>
              <w:ind w:right="78"/>
              <w:jc w:val="right"/>
              <w:rPr>
                <w:b/>
                <w:sz w:val="16"/>
              </w:rPr>
            </w:pPr>
            <w:r>
              <w:rPr>
                <w:b/>
                <w:sz w:val="16"/>
              </w:rPr>
              <w:t>-</w:t>
            </w:r>
          </w:p>
        </w:tc>
      </w:tr>
      <w:tr w:rsidR="00FA4AA8" w14:paraId="279107CD" w14:textId="77777777">
        <w:trPr>
          <w:trHeight w:val="241"/>
        </w:trPr>
        <w:tc>
          <w:tcPr>
            <w:tcW w:w="3835" w:type="dxa"/>
          </w:tcPr>
          <w:p w14:paraId="1E5966C0" w14:textId="77777777" w:rsidR="00FA4AA8" w:rsidRDefault="0015611F">
            <w:pPr>
              <w:pStyle w:val="TableParagraph"/>
              <w:spacing w:before="28"/>
              <w:ind w:left="85"/>
              <w:rPr>
                <w:sz w:val="16"/>
              </w:rPr>
            </w:pPr>
            <w:r>
              <w:rPr>
                <w:sz w:val="16"/>
              </w:rPr>
              <w:t>Held-to-maturity (Amortised cost)</w:t>
            </w:r>
          </w:p>
        </w:tc>
        <w:tc>
          <w:tcPr>
            <w:tcW w:w="1199" w:type="dxa"/>
          </w:tcPr>
          <w:p w14:paraId="66C796CF" w14:textId="77777777" w:rsidR="00FA4AA8" w:rsidRDefault="0015611F">
            <w:pPr>
              <w:pStyle w:val="TableParagraph"/>
              <w:spacing w:before="25"/>
              <w:ind w:right="138"/>
              <w:jc w:val="right"/>
              <w:rPr>
                <w:sz w:val="16"/>
              </w:rPr>
            </w:pPr>
            <w:r>
              <w:rPr>
                <w:sz w:val="16"/>
              </w:rPr>
              <w:t>11,061</w:t>
            </w:r>
          </w:p>
        </w:tc>
        <w:tc>
          <w:tcPr>
            <w:tcW w:w="1425" w:type="dxa"/>
          </w:tcPr>
          <w:p w14:paraId="11F172D8" w14:textId="77777777" w:rsidR="00FA4AA8" w:rsidRDefault="0015611F">
            <w:pPr>
              <w:pStyle w:val="TableParagraph"/>
              <w:spacing w:before="25"/>
              <w:ind w:right="65"/>
              <w:jc w:val="right"/>
              <w:rPr>
                <w:sz w:val="16"/>
              </w:rPr>
            </w:pPr>
            <w:r>
              <w:rPr>
                <w:sz w:val="16"/>
              </w:rPr>
              <w:t>(11,061)</w:t>
            </w:r>
          </w:p>
        </w:tc>
        <w:tc>
          <w:tcPr>
            <w:tcW w:w="1532" w:type="dxa"/>
          </w:tcPr>
          <w:p w14:paraId="76CF94AB" w14:textId="77777777" w:rsidR="00FA4AA8" w:rsidRDefault="0015611F">
            <w:pPr>
              <w:pStyle w:val="TableParagraph"/>
              <w:spacing w:before="25"/>
              <w:ind w:right="205"/>
              <w:jc w:val="right"/>
              <w:rPr>
                <w:b/>
                <w:sz w:val="16"/>
              </w:rPr>
            </w:pPr>
            <w:r>
              <w:rPr>
                <w:b/>
                <w:sz w:val="16"/>
              </w:rPr>
              <w:t>-</w:t>
            </w:r>
          </w:p>
        </w:tc>
        <w:tc>
          <w:tcPr>
            <w:tcW w:w="1011" w:type="dxa"/>
          </w:tcPr>
          <w:p w14:paraId="148759E9" w14:textId="77777777" w:rsidR="00FA4AA8" w:rsidRDefault="0015611F">
            <w:pPr>
              <w:pStyle w:val="TableParagraph"/>
              <w:spacing w:before="25"/>
              <w:ind w:right="78"/>
              <w:jc w:val="right"/>
              <w:rPr>
                <w:b/>
                <w:sz w:val="16"/>
              </w:rPr>
            </w:pPr>
            <w:r>
              <w:rPr>
                <w:b/>
                <w:sz w:val="16"/>
              </w:rPr>
              <w:t>-</w:t>
            </w:r>
          </w:p>
        </w:tc>
      </w:tr>
      <w:tr w:rsidR="00FA4AA8" w14:paraId="0E83D4AB" w14:textId="77777777">
        <w:trPr>
          <w:trHeight w:val="422"/>
        </w:trPr>
        <w:tc>
          <w:tcPr>
            <w:tcW w:w="3835" w:type="dxa"/>
          </w:tcPr>
          <w:p w14:paraId="01E51A3E" w14:textId="77777777" w:rsidR="00FA4AA8" w:rsidRDefault="0015611F">
            <w:pPr>
              <w:pStyle w:val="TableParagraph"/>
              <w:spacing w:before="24"/>
              <w:ind w:left="85" w:right="621"/>
              <w:rPr>
                <w:sz w:val="16"/>
              </w:rPr>
            </w:pPr>
            <w:r>
              <w:rPr>
                <w:sz w:val="16"/>
              </w:rPr>
              <w:t>Financial assets at fair value through profit or loss</w:t>
            </w:r>
          </w:p>
        </w:tc>
        <w:tc>
          <w:tcPr>
            <w:tcW w:w="1199" w:type="dxa"/>
          </w:tcPr>
          <w:p w14:paraId="4D2C7D09" w14:textId="77777777" w:rsidR="00FA4AA8" w:rsidRDefault="00FA4AA8">
            <w:pPr>
              <w:pStyle w:val="TableParagraph"/>
              <w:spacing w:before="11"/>
              <w:rPr>
                <w:b/>
                <w:sz w:val="17"/>
              </w:rPr>
            </w:pPr>
          </w:p>
          <w:p w14:paraId="3EC5AB2C" w14:textId="77777777" w:rsidR="00FA4AA8" w:rsidRDefault="0015611F">
            <w:pPr>
              <w:pStyle w:val="TableParagraph"/>
              <w:ind w:right="138"/>
              <w:jc w:val="right"/>
              <w:rPr>
                <w:b/>
                <w:sz w:val="16"/>
              </w:rPr>
            </w:pPr>
            <w:r>
              <w:rPr>
                <w:b/>
                <w:sz w:val="16"/>
              </w:rPr>
              <w:t>-</w:t>
            </w:r>
          </w:p>
        </w:tc>
        <w:tc>
          <w:tcPr>
            <w:tcW w:w="1425" w:type="dxa"/>
          </w:tcPr>
          <w:p w14:paraId="40448CDA" w14:textId="77777777" w:rsidR="00FA4AA8" w:rsidRDefault="00FA4AA8">
            <w:pPr>
              <w:pStyle w:val="TableParagraph"/>
              <w:spacing w:before="11"/>
              <w:rPr>
                <w:b/>
                <w:sz w:val="17"/>
              </w:rPr>
            </w:pPr>
          </w:p>
          <w:p w14:paraId="20DC672E" w14:textId="77777777" w:rsidR="00FA4AA8" w:rsidRDefault="0015611F">
            <w:pPr>
              <w:pStyle w:val="TableParagraph"/>
              <w:ind w:right="118"/>
              <w:jc w:val="right"/>
              <w:rPr>
                <w:sz w:val="16"/>
              </w:rPr>
            </w:pPr>
            <w:r>
              <w:rPr>
                <w:sz w:val="16"/>
              </w:rPr>
              <w:t>91,360</w:t>
            </w:r>
          </w:p>
        </w:tc>
        <w:tc>
          <w:tcPr>
            <w:tcW w:w="1532" w:type="dxa"/>
          </w:tcPr>
          <w:p w14:paraId="426F1D56" w14:textId="77777777" w:rsidR="00FA4AA8" w:rsidRDefault="00FA4AA8">
            <w:pPr>
              <w:pStyle w:val="TableParagraph"/>
              <w:spacing w:before="11"/>
              <w:rPr>
                <w:b/>
                <w:sz w:val="17"/>
              </w:rPr>
            </w:pPr>
          </w:p>
          <w:p w14:paraId="3BC54CFA" w14:textId="77777777" w:rsidR="00FA4AA8" w:rsidRDefault="0015611F">
            <w:pPr>
              <w:pStyle w:val="TableParagraph"/>
              <w:ind w:right="206"/>
              <w:jc w:val="right"/>
              <w:rPr>
                <w:sz w:val="16"/>
              </w:rPr>
            </w:pPr>
            <w:r>
              <w:rPr>
                <w:sz w:val="16"/>
              </w:rPr>
              <w:t>150</w:t>
            </w:r>
          </w:p>
        </w:tc>
        <w:tc>
          <w:tcPr>
            <w:tcW w:w="1011" w:type="dxa"/>
          </w:tcPr>
          <w:p w14:paraId="1B26D968" w14:textId="77777777" w:rsidR="00FA4AA8" w:rsidRDefault="00FA4AA8">
            <w:pPr>
              <w:pStyle w:val="TableParagraph"/>
              <w:spacing w:before="11"/>
              <w:rPr>
                <w:b/>
                <w:sz w:val="17"/>
              </w:rPr>
            </w:pPr>
          </w:p>
          <w:p w14:paraId="3C6F224E" w14:textId="77777777" w:rsidR="00FA4AA8" w:rsidRDefault="0015611F">
            <w:pPr>
              <w:pStyle w:val="TableParagraph"/>
              <w:ind w:right="79"/>
              <w:jc w:val="right"/>
              <w:rPr>
                <w:sz w:val="16"/>
              </w:rPr>
            </w:pPr>
            <w:r>
              <w:rPr>
                <w:sz w:val="16"/>
              </w:rPr>
              <w:t>95,563</w:t>
            </w:r>
          </w:p>
        </w:tc>
      </w:tr>
      <w:tr w:rsidR="00FA4AA8" w14:paraId="03757866" w14:textId="77777777">
        <w:trPr>
          <w:trHeight w:val="422"/>
        </w:trPr>
        <w:tc>
          <w:tcPr>
            <w:tcW w:w="3835" w:type="dxa"/>
          </w:tcPr>
          <w:p w14:paraId="72825ECA" w14:textId="77777777" w:rsidR="00FA4AA8" w:rsidRDefault="0015611F">
            <w:pPr>
              <w:pStyle w:val="TableParagraph"/>
              <w:spacing w:before="24"/>
              <w:ind w:left="85"/>
              <w:rPr>
                <w:sz w:val="16"/>
              </w:rPr>
            </w:pPr>
            <w:r>
              <w:rPr>
                <w:sz w:val="16"/>
              </w:rPr>
              <w:t>Financial assets at fair value through other comprehensive income *</w:t>
            </w:r>
          </w:p>
        </w:tc>
        <w:tc>
          <w:tcPr>
            <w:tcW w:w="1199" w:type="dxa"/>
          </w:tcPr>
          <w:p w14:paraId="0E7B4DD8" w14:textId="77777777" w:rsidR="00FA4AA8" w:rsidRDefault="00FA4AA8">
            <w:pPr>
              <w:pStyle w:val="TableParagraph"/>
              <w:spacing w:before="11"/>
              <w:rPr>
                <w:b/>
                <w:sz w:val="17"/>
              </w:rPr>
            </w:pPr>
          </w:p>
          <w:p w14:paraId="2B65FEA8" w14:textId="77777777" w:rsidR="00FA4AA8" w:rsidRDefault="0015611F">
            <w:pPr>
              <w:pStyle w:val="TableParagraph"/>
              <w:ind w:right="138"/>
              <w:jc w:val="right"/>
              <w:rPr>
                <w:b/>
                <w:sz w:val="16"/>
              </w:rPr>
            </w:pPr>
            <w:r>
              <w:rPr>
                <w:b/>
                <w:sz w:val="16"/>
              </w:rPr>
              <w:t>-</w:t>
            </w:r>
          </w:p>
        </w:tc>
        <w:tc>
          <w:tcPr>
            <w:tcW w:w="1425" w:type="dxa"/>
          </w:tcPr>
          <w:p w14:paraId="02E74CCD" w14:textId="77777777" w:rsidR="00FA4AA8" w:rsidRDefault="00FA4AA8">
            <w:pPr>
              <w:pStyle w:val="TableParagraph"/>
              <w:spacing w:before="11"/>
              <w:rPr>
                <w:b/>
                <w:sz w:val="17"/>
              </w:rPr>
            </w:pPr>
          </w:p>
          <w:p w14:paraId="7E79F8CF" w14:textId="77777777" w:rsidR="00FA4AA8" w:rsidRDefault="0015611F">
            <w:pPr>
              <w:pStyle w:val="TableParagraph"/>
              <w:ind w:right="118"/>
              <w:jc w:val="right"/>
              <w:rPr>
                <w:sz w:val="16"/>
              </w:rPr>
            </w:pPr>
            <w:r>
              <w:rPr>
                <w:sz w:val="16"/>
              </w:rPr>
              <w:t>16,537</w:t>
            </w:r>
          </w:p>
        </w:tc>
        <w:tc>
          <w:tcPr>
            <w:tcW w:w="1532" w:type="dxa"/>
          </w:tcPr>
          <w:p w14:paraId="284B2114" w14:textId="77777777" w:rsidR="00FA4AA8" w:rsidRDefault="00FA4AA8">
            <w:pPr>
              <w:pStyle w:val="TableParagraph"/>
              <w:spacing w:before="11"/>
              <w:rPr>
                <w:b/>
                <w:sz w:val="17"/>
              </w:rPr>
            </w:pPr>
          </w:p>
          <w:p w14:paraId="6540BAD4" w14:textId="77777777" w:rsidR="00FA4AA8" w:rsidRDefault="0015611F">
            <w:pPr>
              <w:pStyle w:val="TableParagraph"/>
              <w:ind w:right="205"/>
              <w:jc w:val="right"/>
              <w:rPr>
                <w:sz w:val="16"/>
              </w:rPr>
            </w:pPr>
            <w:r>
              <w:rPr>
                <w:sz w:val="16"/>
              </w:rPr>
              <w:t>5,570</w:t>
            </w:r>
          </w:p>
        </w:tc>
        <w:tc>
          <w:tcPr>
            <w:tcW w:w="1011" w:type="dxa"/>
          </w:tcPr>
          <w:p w14:paraId="7F4C4A8D" w14:textId="77777777" w:rsidR="00FA4AA8" w:rsidRDefault="00FA4AA8">
            <w:pPr>
              <w:pStyle w:val="TableParagraph"/>
              <w:spacing w:before="11"/>
              <w:rPr>
                <w:b/>
                <w:sz w:val="17"/>
              </w:rPr>
            </w:pPr>
          </w:p>
          <w:p w14:paraId="2CD506E0" w14:textId="77777777" w:rsidR="00FA4AA8" w:rsidRDefault="0015611F">
            <w:pPr>
              <w:pStyle w:val="TableParagraph"/>
              <w:ind w:right="79"/>
              <w:jc w:val="right"/>
              <w:rPr>
                <w:sz w:val="16"/>
              </w:rPr>
            </w:pPr>
            <w:r>
              <w:rPr>
                <w:sz w:val="16"/>
              </w:rPr>
              <w:t>22,107</w:t>
            </w:r>
          </w:p>
        </w:tc>
      </w:tr>
      <w:tr w:rsidR="00FA4AA8" w14:paraId="6882519C" w14:textId="77777777">
        <w:trPr>
          <w:trHeight w:val="417"/>
        </w:trPr>
        <w:tc>
          <w:tcPr>
            <w:tcW w:w="3835" w:type="dxa"/>
          </w:tcPr>
          <w:p w14:paraId="4C989D4C" w14:textId="77777777" w:rsidR="00FA4AA8" w:rsidRDefault="0015611F">
            <w:pPr>
              <w:pStyle w:val="TableParagraph"/>
              <w:spacing w:before="24"/>
              <w:ind w:left="85" w:right="621"/>
              <w:rPr>
                <w:sz w:val="16"/>
              </w:rPr>
            </w:pPr>
            <w:r>
              <w:rPr>
                <w:sz w:val="16"/>
              </w:rPr>
              <w:t>Other financial assets previously measured under AASB 139</w:t>
            </w:r>
          </w:p>
        </w:tc>
        <w:tc>
          <w:tcPr>
            <w:tcW w:w="1199" w:type="dxa"/>
            <w:tcBorders>
              <w:bottom w:val="single" w:sz="8" w:space="0" w:color="000000"/>
            </w:tcBorders>
          </w:tcPr>
          <w:p w14:paraId="15D747F3" w14:textId="77777777" w:rsidR="00FA4AA8" w:rsidRDefault="00FA4AA8">
            <w:pPr>
              <w:pStyle w:val="TableParagraph"/>
              <w:spacing w:before="11"/>
              <w:rPr>
                <w:b/>
                <w:sz w:val="17"/>
              </w:rPr>
            </w:pPr>
          </w:p>
          <w:p w14:paraId="7EEFF8DC" w14:textId="77777777" w:rsidR="00FA4AA8" w:rsidRDefault="0015611F">
            <w:pPr>
              <w:pStyle w:val="TableParagraph"/>
              <w:ind w:right="138"/>
              <w:jc w:val="right"/>
              <w:rPr>
                <w:b/>
                <w:sz w:val="16"/>
              </w:rPr>
            </w:pPr>
            <w:r>
              <w:rPr>
                <w:b/>
                <w:sz w:val="16"/>
              </w:rPr>
              <w:t>-</w:t>
            </w:r>
          </w:p>
        </w:tc>
        <w:tc>
          <w:tcPr>
            <w:tcW w:w="1425" w:type="dxa"/>
            <w:tcBorders>
              <w:bottom w:val="single" w:sz="8" w:space="0" w:color="000000"/>
            </w:tcBorders>
          </w:tcPr>
          <w:p w14:paraId="572B09FB" w14:textId="77777777" w:rsidR="00FA4AA8" w:rsidRDefault="00FA4AA8">
            <w:pPr>
              <w:pStyle w:val="TableParagraph"/>
              <w:spacing w:before="11"/>
              <w:rPr>
                <w:b/>
                <w:sz w:val="17"/>
              </w:rPr>
            </w:pPr>
          </w:p>
          <w:p w14:paraId="292AB7FA" w14:textId="77777777" w:rsidR="00FA4AA8" w:rsidRDefault="0015611F">
            <w:pPr>
              <w:pStyle w:val="TableParagraph"/>
              <w:ind w:right="118"/>
              <w:jc w:val="right"/>
              <w:rPr>
                <w:b/>
                <w:sz w:val="16"/>
              </w:rPr>
            </w:pPr>
            <w:r>
              <w:rPr>
                <w:b/>
                <w:sz w:val="16"/>
              </w:rPr>
              <w:t>-</w:t>
            </w:r>
          </w:p>
        </w:tc>
        <w:tc>
          <w:tcPr>
            <w:tcW w:w="1532" w:type="dxa"/>
            <w:tcBorders>
              <w:bottom w:val="single" w:sz="8" w:space="0" w:color="000000"/>
            </w:tcBorders>
          </w:tcPr>
          <w:p w14:paraId="66E0CAD5" w14:textId="77777777" w:rsidR="00FA4AA8" w:rsidRDefault="00FA4AA8">
            <w:pPr>
              <w:pStyle w:val="TableParagraph"/>
              <w:spacing w:before="11"/>
              <w:rPr>
                <w:b/>
                <w:sz w:val="17"/>
              </w:rPr>
            </w:pPr>
          </w:p>
          <w:p w14:paraId="58D2457D" w14:textId="77777777" w:rsidR="00FA4AA8" w:rsidRDefault="0015611F">
            <w:pPr>
              <w:pStyle w:val="TableParagraph"/>
              <w:ind w:right="153"/>
              <w:jc w:val="right"/>
              <w:rPr>
                <w:sz w:val="16"/>
              </w:rPr>
            </w:pPr>
            <w:r>
              <w:rPr>
                <w:sz w:val="16"/>
              </w:rPr>
              <w:t>(21)</w:t>
            </w:r>
          </w:p>
        </w:tc>
        <w:tc>
          <w:tcPr>
            <w:tcW w:w="1011" w:type="dxa"/>
            <w:tcBorders>
              <w:bottom w:val="single" w:sz="8" w:space="0" w:color="000000"/>
            </w:tcBorders>
          </w:tcPr>
          <w:p w14:paraId="15C0ACC5" w14:textId="77777777" w:rsidR="00FA4AA8" w:rsidRDefault="00FA4AA8">
            <w:pPr>
              <w:pStyle w:val="TableParagraph"/>
              <w:spacing w:before="11"/>
              <w:rPr>
                <w:b/>
                <w:sz w:val="17"/>
              </w:rPr>
            </w:pPr>
          </w:p>
          <w:p w14:paraId="1BB0CBAC" w14:textId="77777777" w:rsidR="00FA4AA8" w:rsidRDefault="0015611F">
            <w:pPr>
              <w:pStyle w:val="TableParagraph"/>
              <w:ind w:right="26"/>
              <w:jc w:val="right"/>
              <w:rPr>
                <w:sz w:val="16"/>
              </w:rPr>
            </w:pPr>
            <w:r>
              <w:rPr>
                <w:sz w:val="16"/>
              </w:rPr>
              <w:t>(21)</w:t>
            </w:r>
          </w:p>
        </w:tc>
      </w:tr>
      <w:tr w:rsidR="00FA4AA8" w14:paraId="7C4B6B15" w14:textId="77777777">
        <w:trPr>
          <w:trHeight w:val="296"/>
        </w:trPr>
        <w:tc>
          <w:tcPr>
            <w:tcW w:w="3835" w:type="dxa"/>
          </w:tcPr>
          <w:p w14:paraId="6A81BC7D" w14:textId="77777777" w:rsidR="00FA4AA8" w:rsidRDefault="0015611F">
            <w:pPr>
              <w:pStyle w:val="TableParagraph"/>
              <w:spacing w:before="114" w:line="162" w:lineRule="exact"/>
              <w:ind w:left="85"/>
              <w:rPr>
                <w:b/>
                <w:sz w:val="16"/>
              </w:rPr>
            </w:pPr>
            <w:r>
              <w:rPr>
                <w:b/>
                <w:sz w:val="16"/>
              </w:rPr>
              <w:t>Total effect on assets</w:t>
            </w:r>
          </w:p>
        </w:tc>
        <w:tc>
          <w:tcPr>
            <w:tcW w:w="1199" w:type="dxa"/>
            <w:tcBorders>
              <w:top w:val="single" w:sz="8" w:space="0" w:color="000000"/>
              <w:bottom w:val="single" w:sz="8" w:space="0" w:color="000000"/>
            </w:tcBorders>
          </w:tcPr>
          <w:p w14:paraId="0E28FA0E" w14:textId="77777777" w:rsidR="00FA4AA8" w:rsidRDefault="0015611F">
            <w:pPr>
              <w:pStyle w:val="TableParagraph"/>
              <w:spacing w:before="114" w:line="162" w:lineRule="exact"/>
              <w:ind w:right="138"/>
              <w:jc w:val="right"/>
              <w:rPr>
                <w:b/>
                <w:sz w:val="16"/>
              </w:rPr>
            </w:pPr>
            <w:r>
              <w:rPr>
                <w:b/>
                <w:sz w:val="16"/>
              </w:rPr>
              <w:t>107,159</w:t>
            </w:r>
          </w:p>
        </w:tc>
        <w:tc>
          <w:tcPr>
            <w:tcW w:w="1425" w:type="dxa"/>
            <w:tcBorders>
              <w:top w:val="single" w:sz="8" w:space="0" w:color="000000"/>
              <w:bottom w:val="single" w:sz="8" w:space="0" w:color="000000"/>
            </w:tcBorders>
          </w:tcPr>
          <w:p w14:paraId="550D9B1D" w14:textId="77777777" w:rsidR="00FA4AA8" w:rsidRDefault="0015611F">
            <w:pPr>
              <w:pStyle w:val="TableParagraph"/>
              <w:spacing w:before="114" w:line="162" w:lineRule="exact"/>
              <w:ind w:right="118"/>
              <w:jc w:val="right"/>
              <w:rPr>
                <w:b/>
                <w:sz w:val="16"/>
              </w:rPr>
            </w:pPr>
            <w:r>
              <w:rPr>
                <w:b/>
                <w:sz w:val="16"/>
              </w:rPr>
              <w:t>-</w:t>
            </w:r>
          </w:p>
        </w:tc>
        <w:tc>
          <w:tcPr>
            <w:tcW w:w="1532" w:type="dxa"/>
            <w:tcBorders>
              <w:top w:val="single" w:sz="8" w:space="0" w:color="000000"/>
              <w:bottom w:val="single" w:sz="8" w:space="0" w:color="000000"/>
            </w:tcBorders>
          </w:tcPr>
          <w:p w14:paraId="060491F0" w14:textId="77777777" w:rsidR="00FA4AA8" w:rsidRDefault="0015611F">
            <w:pPr>
              <w:pStyle w:val="TableParagraph"/>
              <w:spacing w:before="114" w:line="162" w:lineRule="exact"/>
              <w:ind w:right="205"/>
              <w:jc w:val="right"/>
              <w:rPr>
                <w:b/>
                <w:sz w:val="16"/>
              </w:rPr>
            </w:pPr>
            <w:r>
              <w:rPr>
                <w:b/>
                <w:sz w:val="16"/>
              </w:rPr>
              <w:t>5,242</w:t>
            </w:r>
          </w:p>
        </w:tc>
        <w:tc>
          <w:tcPr>
            <w:tcW w:w="1011" w:type="dxa"/>
            <w:tcBorders>
              <w:top w:val="single" w:sz="8" w:space="0" w:color="000000"/>
              <w:bottom w:val="single" w:sz="8" w:space="0" w:color="000000"/>
            </w:tcBorders>
          </w:tcPr>
          <w:p w14:paraId="785F54F6" w14:textId="77777777" w:rsidR="00FA4AA8" w:rsidRDefault="0015611F">
            <w:pPr>
              <w:pStyle w:val="TableParagraph"/>
              <w:spacing w:before="114" w:line="162" w:lineRule="exact"/>
              <w:ind w:right="79"/>
              <w:jc w:val="right"/>
              <w:rPr>
                <w:b/>
                <w:sz w:val="16"/>
              </w:rPr>
            </w:pPr>
            <w:r>
              <w:rPr>
                <w:b/>
                <w:sz w:val="16"/>
              </w:rPr>
              <w:t>116,454</w:t>
            </w:r>
          </w:p>
        </w:tc>
      </w:tr>
      <w:tr w:rsidR="00FA4AA8" w14:paraId="2F9B9A65" w14:textId="77777777">
        <w:trPr>
          <w:trHeight w:val="301"/>
        </w:trPr>
        <w:tc>
          <w:tcPr>
            <w:tcW w:w="3835" w:type="dxa"/>
          </w:tcPr>
          <w:p w14:paraId="7457FF6F" w14:textId="77777777" w:rsidR="00FA4AA8" w:rsidRDefault="0015611F">
            <w:pPr>
              <w:pStyle w:val="TableParagraph"/>
              <w:spacing w:before="114" w:line="167" w:lineRule="exact"/>
              <w:ind w:left="85"/>
              <w:rPr>
                <w:sz w:val="16"/>
              </w:rPr>
            </w:pPr>
            <w:r>
              <w:rPr>
                <w:sz w:val="16"/>
              </w:rPr>
              <w:t>Transfer of investment revaluation reserve</w:t>
            </w:r>
          </w:p>
        </w:tc>
        <w:tc>
          <w:tcPr>
            <w:tcW w:w="1199" w:type="dxa"/>
            <w:tcBorders>
              <w:top w:val="single" w:sz="8" w:space="0" w:color="000000"/>
            </w:tcBorders>
          </w:tcPr>
          <w:p w14:paraId="6EEF3A6F" w14:textId="77777777" w:rsidR="00FA4AA8" w:rsidRDefault="00FA4AA8">
            <w:pPr>
              <w:pStyle w:val="TableParagraph"/>
              <w:rPr>
                <w:rFonts w:ascii="Times New Roman"/>
                <w:sz w:val="16"/>
              </w:rPr>
            </w:pPr>
          </w:p>
        </w:tc>
        <w:tc>
          <w:tcPr>
            <w:tcW w:w="1425" w:type="dxa"/>
            <w:tcBorders>
              <w:top w:val="single" w:sz="8" w:space="0" w:color="000000"/>
            </w:tcBorders>
          </w:tcPr>
          <w:p w14:paraId="6AA1B0ED" w14:textId="77777777" w:rsidR="00FA4AA8" w:rsidRDefault="00FA4AA8">
            <w:pPr>
              <w:pStyle w:val="TableParagraph"/>
              <w:rPr>
                <w:rFonts w:ascii="Times New Roman"/>
                <w:sz w:val="16"/>
              </w:rPr>
            </w:pPr>
          </w:p>
        </w:tc>
        <w:tc>
          <w:tcPr>
            <w:tcW w:w="1532" w:type="dxa"/>
            <w:tcBorders>
              <w:top w:val="single" w:sz="8" w:space="0" w:color="000000"/>
            </w:tcBorders>
          </w:tcPr>
          <w:p w14:paraId="580D76FF" w14:textId="77777777" w:rsidR="00FA4AA8" w:rsidRDefault="00FA4AA8">
            <w:pPr>
              <w:pStyle w:val="TableParagraph"/>
              <w:rPr>
                <w:rFonts w:ascii="Times New Roman"/>
                <w:sz w:val="16"/>
              </w:rPr>
            </w:pPr>
          </w:p>
        </w:tc>
        <w:tc>
          <w:tcPr>
            <w:tcW w:w="1011" w:type="dxa"/>
            <w:tcBorders>
              <w:top w:val="single" w:sz="8" w:space="0" w:color="000000"/>
            </w:tcBorders>
          </w:tcPr>
          <w:p w14:paraId="179AFAFE" w14:textId="77777777" w:rsidR="00FA4AA8" w:rsidRDefault="00FA4AA8">
            <w:pPr>
              <w:pStyle w:val="TableParagraph"/>
              <w:rPr>
                <w:rFonts w:ascii="Times New Roman"/>
                <w:sz w:val="16"/>
              </w:rPr>
            </w:pPr>
          </w:p>
        </w:tc>
      </w:tr>
      <w:tr w:rsidR="00FA4AA8" w14:paraId="5AC381C6" w14:textId="77777777">
        <w:trPr>
          <w:trHeight w:val="184"/>
        </w:trPr>
        <w:tc>
          <w:tcPr>
            <w:tcW w:w="3835" w:type="dxa"/>
          </w:tcPr>
          <w:p w14:paraId="7F7EF066" w14:textId="77777777" w:rsidR="00FA4AA8" w:rsidRDefault="0015611F">
            <w:pPr>
              <w:pStyle w:val="TableParagraph"/>
              <w:spacing w:line="165" w:lineRule="exact"/>
              <w:ind w:left="85"/>
              <w:rPr>
                <w:sz w:val="16"/>
              </w:rPr>
            </w:pPr>
            <w:r>
              <w:rPr>
                <w:sz w:val="16"/>
              </w:rPr>
              <w:t>balance to retained earnings as at 1</w:t>
            </w:r>
          </w:p>
        </w:tc>
        <w:tc>
          <w:tcPr>
            <w:tcW w:w="1199" w:type="dxa"/>
          </w:tcPr>
          <w:p w14:paraId="43D985D8" w14:textId="77777777" w:rsidR="00FA4AA8" w:rsidRDefault="00FA4AA8">
            <w:pPr>
              <w:pStyle w:val="TableParagraph"/>
              <w:rPr>
                <w:rFonts w:ascii="Times New Roman"/>
                <w:sz w:val="12"/>
              </w:rPr>
            </w:pPr>
          </w:p>
        </w:tc>
        <w:tc>
          <w:tcPr>
            <w:tcW w:w="1425" w:type="dxa"/>
          </w:tcPr>
          <w:p w14:paraId="0AF09500" w14:textId="77777777" w:rsidR="00FA4AA8" w:rsidRDefault="00FA4AA8">
            <w:pPr>
              <w:pStyle w:val="TableParagraph"/>
              <w:rPr>
                <w:rFonts w:ascii="Times New Roman"/>
                <w:sz w:val="12"/>
              </w:rPr>
            </w:pPr>
          </w:p>
        </w:tc>
        <w:tc>
          <w:tcPr>
            <w:tcW w:w="1532" w:type="dxa"/>
          </w:tcPr>
          <w:p w14:paraId="4A90D932" w14:textId="77777777" w:rsidR="00FA4AA8" w:rsidRDefault="00FA4AA8">
            <w:pPr>
              <w:pStyle w:val="TableParagraph"/>
              <w:rPr>
                <w:rFonts w:ascii="Times New Roman"/>
                <w:sz w:val="12"/>
              </w:rPr>
            </w:pPr>
          </w:p>
        </w:tc>
        <w:tc>
          <w:tcPr>
            <w:tcW w:w="1011" w:type="dxa"/>
          </w:tcPr>
          <w:p w14:paraId="31E935D9" w14:textId="77777777" w:rsidR="00FA4AA8" w:rsidRDefault="00FA4AA8">
            <w:pPr>
              <w:pStyle w:val="TableParagraph"/>
              <w:rPr>
                <w:rFonts w:ascii="Times New Roman"/>
                <w:sz w:val="12"/>
              </w:rPr>
            </w:pPr>
          </w:p>
        </w:tc>
      </w:tr>
      <w:tr w:rsidR="00FA4AA8" w14:paraId="29ADE26A" w14:textId="77777777">
        <w:trPr>
          <w:trHeight w:val="199"/>
        </w:trPr>
        <w:tc>
          <w:tcPr>
            <w:tcW w:w="3835" w:type="dxa"/>
          </w:tcPr>
          <w:p w14:paraId="19566EC3" w14:textId="77777777" w:rsidR="00FA4AA8" w:rsidRDefault="0015611F">
            <w:pPr>
              <w:pStyle w:val="TableParagraph"/>
              <w:spacing w:line="179" w:lineRule="exact"/>
              <w:ind w:left="85"/>
              <w:rPr>
                <w:sz w:val="16"/>
              </w:rPr>
            </w:pPr>
            <w:r>
              <w:rPr>
                <w:sz w:val="16"/>
              </w:rPr>
              <w:t>January 2018</w:t>
            </w:r>
          </w:p>
        </w:tc>
        <w:tc>
          <w:tcPr>
            <w:tcW w:w="1199" w:type="dxa"/>
          </w:tcPr>
          <w:p w14:paraId="23E3DC8C" w14:textId="77777777" w:rsidR="00FA4AA8" w:rsidRDefault="00FA4AA8">
            <w:pPr>
              <w:pStyle w:val="TableParagraph"/>
              <w:rPr>
                <w:rFonts w:ascii="Times New Roman"/>
                <w:sz w:val="12"/>
              </w:rPr>
            </w:pPr>
          </w:p>
        </w:tc>
        <w:tc>
          <w:tcPr>
            <w:tcW w:w="1425" w:type="dxa"/>
          </w:tcPr>
          <w:p w14:paraId="7790B90D" w14:textId="77777777" w:rsidR="00FA4AA8" w:rsidRDefault="00FA4AA8">
            <w:pPr>
              <w:pStyle w:val="TableParagraph"/>
              <w:rPr>
                <w:rFonts w:ascii="Times New Roman"/>
                <w:sz w:val="12"/>
              </w:rPr>
            </w:pPr>
          </w:p>
        </w:tc>
        <w:tc>
          <w:tcPr>
            <w:tcW w:w="1532" w:type="dxa"/>
          </w:tcPr>
          <w:p w14:paraId="061831E5" w14:textId="77777777" w:rsidR="00FA4AA8" w:rsidRDefault="00FA4AA8">
            <w:pPr>
              <w:pStyle w:val="TableParagraph"/>
              <w:rPr>
                <w:rFonts w:ascii="Times New Roman"/>
                <w:sz w:val="12"/>
              </w:rPr>
            </w:pPr>
          </w:p>
        </w:tc>
        <w:tc>
          <w:tcPr>
            <w:tcW w:w="1011" w:type="dxa"/>
          </w:tcPr>
          <w:p w14:paraId="693ECF91" w14:textId="77777777" w:rsidR="00FA4AA8" w:rsidRDefault="00FA4AA8">
            <w:pPr>
              <w:pStyle w:val="TableParagraph"/>
              <w:rPr>
                <w:rFonts w:ascii="Times New Roman"/>
                <w:sz w:val="12"/>
              </w:rPr>
            </w:pPr>
          </w:p>
        </w:tc>
      </w:tr>
      <w:tr w:rsidR="00FA4AA8" w14:paraId="4FDAA5A0" w14:textId="77777777">
        <w:trPr>
          <w:trHeight w:val="229"/>
        </w:trPr>
        <w:tc>
          <w:tcPr>
            <w:tcW w:w="3835" w:type="dxa"/>
          </w:tcPr>
          <w:p w14:paraId="0ED3D633" w14:textId="77777777" w:rsidR="00FA4AA8" w:rsidRDefault="0015611F">
            <w:pPr>
              <w:pStyle w:val="TableParagraph"/>
              <w:spacing w:before="15"/>
              <w:ind w:left="85"/>
              <w:rPr>
                <w:sz w:val="16"/>
              </w:rPr>
            </w:pPr>
            <w:r>
              <w:rPr>
                <w:sz w:val="16"/>
              </w:rPr>
              <w:t>Retained earnings</w:t>
            </w:r>
          </w:p>
        </w:tc>
        <w:tc>
          <w:tcPr>
            <w:tcW w:w="1199" w:type="dxa"/>
          </w:tcPr>
          <w:p w14:paraId="6FCD2643" w14:textId="77777777" w:rsidR="00FA4AA8" w:rsidRDefault="0015611F">
            <w:pPr>
              <w:pStyle w:val="TableParagraph"/>
              <w:spacing w:before="12"/>
              <w:ind w:right="138"/>
              <w:jc w:val="right"/>
              <w:rPr>
                <w:sz w:val="16"/>
              </w:rPr>
            </w:pPr>
            <w:r>
              <w:rPr>
                <w:sz w:val="16"/>
              </w:rPr>
              <w:t>1,047,001</w:t>
            </w:r>
          </w:p>
        </w:tc>
        <w:tc>
          <w:tcPr>
            <w:tcW w:w="1425" w:type="dxa"/>
          </w:tcPr>
          <w:p w14:paraId="2C41B9F9" w14:textId="77777777" w:rsidR="00FA4AA8" w:rsidRDefault="0015611F">
            <w:pPr>
              <w:pStyle w:val="TableParagraph"/>
              <w:spacing w:before="12"/>
              <w:ind w:right="118"/>
              <w:jc w:val="right"/>
              <w:rPr>
                <w:sz w:val="16"/>
              </w:rPr>
            </w:pPr>
            <w:r>
              <w:rPr>
                <w:sz w:val="16"/>
              </w:rPr>
              <w:t>3,220</w:t>
            </w:r>
          </w:p>
        </w:tc>
        <w:tc>
          <w:tcPr>
            <w:tcW w:w="1532" w:type="dxa"/>
          </w:tcPr>
          <w:p w14:paraId="70885301" w14:textId="77777777" w:rsidR="00FA4AA8" w:rsidRDefault="0015611F">
            <w:pPr>
              <w:pStyle w:val="TableParagraph"/>
              <w:spacing w:before="12"/>
              <w:ind w:right="153"/>
              <w:jc w:val="right"/>
              <w:rPr>
                <w:sz w:val="16"/>
              </w:rPr>
            </w:pPr>
            <w:r>
              <w:rPr>
                <w:sz w:val="16"/>
              </w:rPr>
              <w:t>(328)</w:t>
            </w:r>
          </w:p>
        </w:tc>
        <w:tc>
          <w:tcPr>
            <w:tcW w:w="1011" w:type="dxa"/>
          </w:tcPr>
          <w:p w14:paraId="38E54D7E" w14:textId="77777777" w:rsidR="00FA4AA8" w:rsidRDefault="0015611F">
            <w:pPr>
              <w:pStyle w:val="TableParagraph"/>
              <w:spacing w:before="12"/>
              <w:ind w:right="79"/>
              <w:jc w:val="right"/>
              <w:rPr>
                <w:sz w:val="16"/>
              </w:rPr>
            </w:pPr>
            <w:r>
              <w:rPr>
                <w:sz w:val="16"/>
              </w:rPr>
              <w:t>1,049,893</w:t>
            </w:r>
          </w:p>
        </w:tc>
      </w:tr>
      <w:tr w:rsidR="00FA4AA8" w14:paraId="74491CAF" w14:textId="77777777">
        <w:trPr>
          <w:trHeight w:val="236"/>
        </w:trPr>
        <w:tc>
          <w:tcPr>
            <w:tcW w:w="3835" w:type="dxa"/>
          </w:tcPr>
          <w:p w14:paraId="1210D693" w14:textId="77777777" w:rsidR="00FA4AA8" w:rsidRDefault="0015611F">
            <w:pPr>
              <w:pStyle w:val="TableParagraph"/>
              <w:spacing w:before="28"/>
              <w:ind w:left="85"/>
              <w:rPr>
                <w:sz w:val="16"/>
              </w:rPr>
            </w:pPr>
            <w:r>
              <w:rPr>
                <w:sz w:val="16"/>
              </w:rPr>
              <w:t>Investment on revaluation reserve *</w:t>
            </w:r>
          </w:p>
        </w:tc>
        <w:tc>
          <w:tcPr>
            <w:tcW w:w="1199" w:type="dxa"/>
            <w:tcBorders>
              <w:bottom w:val="single" w:sz="8" w:space="0" w:color="000000"/>
            </w:tcBorders>
          </w:tcPr>
          <w:p w14:paraId="2B048B03" w14:textId="77777777" w:rsidR="00FA4AA8" w:rsidRDefault="0015611F">
            <w:pPr>
              <w:pStyle w:val="TableParagraph"/>
              <w:spacing w:before="25"/>
              <w:ind w:right="138"/>
              <w:jc w:val="right"/>
              <w:rPr>
                <w:sz w:val="16"/>
              </w:rPr>
            </w:pPr>
            <w:r>
              <w:rPr>
                <w:sz w:val="16"/>
              </w:rPr>
              <w:t>19,500</w:t>
            </w:r>
          </w:p>
        </w:tc>
        <w:tc>
          <w:tcPr>
            <w:tcW w:w="1425" w:type="dxa"/>
            <w:tcBorders>
              <w:bottom w:val="single" w:sz="8" w:space="0" w:color="000000"/>
            </w:tcBorders>
          </w:tcPr>
          <w:p w14:paraId="6855C21C" w14:textId="77777777" w:rsidR="00FA4AA8" w:rsidRDefault="0015611F">
            <w:pPr>
              <w:pStyle w:val="TableParagraph"/>
              <w:spacing w:before="25"/>
              <w:ind w:right="65"/>
              <w:jc w:val="right"/>
              <w:rPr>
                <w:sz w:val="16"/>
              </w:rPr>
            </w:pPr>
            <w:r>
              <w:rPr>
                <w:sz w:val="16"/>
              </w:rPr>
              <w:t>(3,220)</w:t>
            </w:r>
          </w:p>
        </w:tc>
        <w:tc>
          <w:tcPr>
            <w:tcW w:w="1532" w:type="dxa"/>
            <w:tcBorders>
              <w:bottom w:val="single" w:sz="8" w:space="0" w:color="000000"/>
            </w:tcBorders>
          </w:tcPr>
          <w:p w14:paraId="3D04AC13" w14:textId="77777777" w:rsidR="00FA4AA8" w:rsidRDefault="0015611F">
            <w:pPr>
              <w:pStyle w:val="TableParagraph"/>
              <w:spacing w:before="25"/>
              <w:ind w:right="205"/>
              <w:jc w:val="right"/>
              <w:rPr>
                <w:sz w:val="16"/>
              </w:rPr>
            </w:pPr>
            <w:r>
              <w:rPr>
                <w:sz w:val="16"/>
              </w:rPr>
              <w:t>5,570</w:t>
            </w:r>
          </w:p>
        </w:tc>
        <w:tc>
          <w:tcPr>
            <w:tcW w:w="1011" w:type="dxa"/>
            <w:tcBorders>
              <w:bottom w:val="single" w:sz="8" w:space="0" w:color="000000"/>
            </w:tcBorders>
          </w:tcPr>
          <w:p w14:paraId="774A3110" w14:textId="77777777" w:rsidR="00FA4AA8" w:rsidRDefault="0015611F">
            <w:pPr>
              <w:pStyle w:val="TableParagraph"/>
              <w:spacing w:before="25"/>
              <w:ind w:right="79"/>
              <w:jc w:val="right"/>
              <w:rPr>
                <w:sz w:val="16"/>
              </w:rPr>
            </w:pPr>
            <w:r>
              <w:rPr>
                <w:sz w:val="16"/>
              </w:rPr>
              <w:t>21,850</w:t>
            </w:r>
          </w:p>
        </w:tc>
      </w:tr>
      <w:tr w:rsidR="00FA4AA8" w14:paraId="3A5FAFE3" w14:textId="77777777">
        <w:trPr>
          <w:trHeight w:val="296"/>
        </w:trPr>
        <w:tc>
          <w:tcPr>
            <w:tcW w:w="3835" w:type="dxa"/>
          </w:tcPr>
          <w:p w14:paraId="33DE58BD" w14:textId="77777777" w:rsidR="00FA4AA8" w:rsidRDefault="0015611F">
            <w:pPr>
              <w:pStyle w:val="TableParagraph"/>
              <w:spacing w:before="114" w:line="162" w:lineRule="exact"/>
              <w:ind w:left="85"/>
              <w:rPr>
                <w:b/>
                <w:sz w:val="16"/>
              </w:rPr>
            </w:pPr>
            <w:r>
              <w:rPr>
                <w:b/>
                <w:sz w:val="16"/>
              </w:rPr>
              <w:t>Net effect on equity</w:t>
            </w:r>
          </w:p>
        </w:tc>
        <w:tc>
          <w:tcPr>
            <w:tcW w:w="1199" w:type="dxa"/>
            <w:tcBorders>
              <w:top w:val="single" w:sz="8" w:space="0" w:color="000000"/>
              <w:bottom w:val="single" w:sz="8" w:space="0" w:color="000000"/>
            </w:tcBorders>
          </w:tcPr>
          <w:p w14:paraId="73FF2B8A" w14:textId="77777777" w:rsidR="00FA4AA8" w:rsidRDefault="0015611F">
            <w:pPr>
              <w:pStyle w:val="TableParagraph"/>
              <w:spacing w:before="114" w:line="162" w:lineRule="exact"/>
              <w:ind w:right="138"/>
              <w:jc w:val="right"/>
              <w:rPr>
                <w:b/>
                <w:sz w:val="16"/>
              </w:rPr>
            </w:pPr>
            <w:r>
              <w:rPr>
                <w:b/>
                <w:sz w:val="16"/>
              </w:rPr>
              <w:t>1,066,501</w:t>
            </w:r>
          </w:p>
        </w:tc>
        <w:tc>
          <w:tcPr>
            <w:tcW w:w="1425" w:type="dxa"/>
            <w:tcBorders>
              <w:top w:val="single" w:sz="8" w:space="0" w:color="000000"/>
              <w:bottom w:val="single" w:sz="8" w:space="0" w:color="000000"/>
            </w:tcBorders>
          </w:tcPr>
          <w:p w14:paraId="1F364804" w14:textId="77777777" w:rsidR="00FA4AA8" w:rsidRDefault="0015611F">
            <w:pPr>
              <w:pStyle w:val="TableParagraph"/>
              <w:spacing w:before="114" w:line="162" w:lineRule="exact"/>
              <w:ind w:right="118"/>
              <w:jc w:val="right"/>
              <w:rPr>
                <w:b/>
                <w:sz w:val="16"/>
              </w:rPr>
            </w:pPr>
            <w:r>
              <w:rPr>
                <w:b/>
                <w:sz w:val="16"/>
              </w:rPr>
              <w:t>-</w:t>
            </w:r>
          </w:p>
        </w:tc>
        <w:tc>
          <w:tcPr>
            <w:tcW w:w="1532" w:type="dxa"/>
            <w:tcBorders>
              <w:top w:val="single" w:sz="8" w:space="0" w:color="000000"/>
              <w:bottom w:val="single" w:sz="8" w:space="0" w:color="000000"/>
            </w:tcBorders>
          </w:tcPr>
          <w:p w14:paraId="0075971A" w14:textId="77777777" w:rsidR="00FA4AA8" w:rsidRDefault="0015611F">
            <w:pPr>
              <w:pStyle w:val="TableParagraph"/>
              <w:spacing w:before="114" w:line="162" w:lineRule="exact"/>
              <w:ind w:right="205"/>
              <w:jc w:val="right"/>
              <w:rPr>
                <w:b/>
                <w:sz w:val="16"/>
              </w:rPr>
            </w:pPr>
            <w:r>
              <w:rPr>
                <w:b/>
                <w:sz w:val="16"/>
              </w:rPr>
              <w:t>5,242</w:t>
            </w:r>
          </w:p>
        </w:tc>
        <w:tc>
          <w:tcPr>
            <w:tcW w:w="1011" w:type="dxa"/>
            <w:tcBorders>
              <w:top w:val="single" w:sz="8" w:space="0" w:color="000000"/>
              <w:bottom w:val="single" w:sz="8" w:space="0" w:color="000000"/>
            </w:tcBorders>
          </w:tcPr>
          <w:p w14:paraId="3A326529" w14:textId="77777777" w:rsidR="00FA4AA8" w:rsidRDefault="0015611F">
            <w:pPr>
              <w:pStyle w:val="TableParagraph"/>
              <w:spacing w:before="114" w:line="162" w:lineRule="exact"/>
              <w:ind w:right="79"/>
              <w:jc w:val="right"/>
              <w:rPr>
                <w:b/>
                <w:sz w:val="16"/>
              </w:rPr>
            </w:pPr>
            <w:r>
              <w:rPr>
                <w:b/>
                <w:sz w:val="16"/>
              </w:rPr>
              <w:t>1,071,743</w:t>
            </w:r>
          </w:p>
        </w:tc>
      </w:tr>
    </w:tbl>
    <w:p w14:paraId="03EB5C2E" w14:textId="77777777" w:rsidR="00FA4AA8" w:rsidRDefault="00FA4AA8">
      <w:pPr>
        <w:pStyle w:val="BodyText"/>
        <w:rPr>
          <w:b/>
          <w:sz w:val="20"/>
        </w:rPr>
      </w:pPr>
    </w:p>
    <w:p w14:paraId="773BF37A" w14:textId="77777777" w:rsidR="00FA4AA8" w:rsidRDefault="00FA4AA8">
      <w:pPr>
        <w:pStyle w:val="BodyText"/>
        <w:spacing w:before="7"/>
        <w:rPr>
          <w:b/>
          <w:sz w:val="25"/>
        </w:rPr>
      </w:pPr>
    </w:p>
    <w:tbl>
      <w:tblPr>
        <w:tblW w:w="0" w:type="auto"/>
        <w:tblInd w:w="1123" w:type="dxa"/>
        <w:tblLayout w:type="fixed"/>
        <w:tblCellMar>
          <w:left w:w="0" w:type="dxa"/>
          <w:right w:w="0" w:type="dxa"/>
        </w:tblCellMar>
        <w:tblLook w:val="01E0" w:firstRow="1" w:lastRow="1" w:firstColumn="1" w:lastColumn="1" w:noHBand="0" w:noVBand="0"/>
      </w:tblPr>
      <w:tblGrid>
        <w:gridCol w:w="3799"/>
        <w:gridCol w:w="1199"/>
        <w:gridCol w:w="1425"/>
        <w:gridCol w:w="1532"/>
        <w:gridCol w:w="1011"/>
      </w:tblGrid>
      <w:tr w:rsidR="00FA4AA8" w14:paraId="5093E5DC" w14:textId="77777777">
        <w:trPr>
          <w:trHeight w:val="215"/>
        </w:trPr>
        <w:tc>
          <w:tcPr>
            <w:tcW w:w="3799" w:type="dxa"/>
          </w:tcPr>
          <w:p w14:paraId="51F873F3" w14:textId="77777777" w:rsidR="00FA4AA8" w:rsidRDefault="00FA4AA8">
            <w:pPr>
              <w:pStyle w:val="TableParagraph"/>
              <w:rPr>
                <w:rFonts w:ascii="Times New Roman"/>
                <w:sz w:val="14"/>
              </w:rPr>
            </w:pPr>
          </w:p>
        </w:tc>
        <w:tc>
          <w:tcPr>
            <w:tcW w:w="1199" w:type="dxa"/>
          </w:tcPr>
          <w:p w14:paraId="43850905" w14:textId="77777777" w:rsidR="00FA4AA8" w:rsidRDefault="0015611F">
            <w:pPr>
              <w:pStyle w:val="TableParagraph"/>
              <w:spacing w:line="179" w:lineRule="exact"/>
              <w:ind w:left="227"/>
              <w:rPr>
                <w:b/>
                <w:sz w:val="16"/>
              </w:rPr>
            </w:pPr>
            <w:r>
              <w:rPr>
                <w:b/>
                <w:sz w:val="16"/>
              </w:rPr>
              <w:t>31-Dec-17</w:t>
            </w:r>
          </w:p>
        </w:tc>
        <w:tc>
          <w:tcPr>
            <w:tcW w:w="1425" w:type="dxa"/>
          </w:tcPr>
          <w:p w14:paraId="61B7D331" w14:textId="77777777" w:rsidR="00FA4AA8" w:rsidRDefault="0015611F">
            <w:pPr>
              <w:pStyle w:val="TableParagraph"/>
              <w:spacing w:line="179" w:lineRule="exact"/>
              <w:ind w:right="114"/>
              <w:jc w:val="right"/>
              <w:rPr>
                <w:b/>
                <w:sz w:val="16"/>
              </w:rPr>
            </w:pPr>
            <w:r>
              <w:rPr>
                <w:b/>
                <w:sz w:val="16"/>
              </w:rPr>
              <w:t>Reclassification</w:t>
            </w:r>
          </w:p>
        </w:tc>
        <w:tc>
          <w:tcPr>
            <w:tcW w:w="1532" w:type="dxa"/>
          </w:tcPr>
          <w:p w14:paraId="642DD87D" w14:textId="77777777" w:rsidR="00FA4AA8" w:rsidRDefault="0015611F">
            <w:pPr>
              <w:pStyle w:val="TableParagraph"/>
              <w:spacing w:line="179" w:lineRule="exact"/>
              <w:ind w:right="162"/>
              <w:jc w:val="right"/>
              <w:rPr>
                <w:b/>
                <w:sz w:val="16"/>
              </w:rPr>
            </w:pPr>
            <w:r>
              <w:rPr>
                <w:b/>
                <w:sz w:val="16"/>
              </w:rPr>
              <w:t>Re-measurement</w:t>
            </w:r>
          </w:p>
        </w:tc>
        <w:tc>
          <w:tcPr>
            <w:tcW w:w="1011" w:type="dxa"/>
          </w:tcPr>
          <w:p w14:paraId="4DD71D82" w14:textId="77777777" w:rsidR="00FA4AA8" w:rsidRDefault="0015611F">
            <w:pPr>
              <w:pStyle w:val="TableParagraph"/>
              <w:spacing w:line="179" w:lineRule="exact"/>
              <w:ind w:left="151"/>
              <w:rPr>
                <w:b/>
                <w:sz w:val="16"/>
              </w:rPr>
            </w:pPr>
            <w:r>
              <w:rPr>
                <w:b/>
                <w:sz w:val="16"/>
              </w:rPr>
              <w:t>1-Jan-18</w:t>
            </w:r>
          </w:p>
        </w:tc>
      </w:tr>
      <w:tr w:rsidR="00FA4AA8" w14:paraId="19F4981F" w14:textId="77777777">
        <w:trPr>
          <w:trHeight w:val="249"/>
        </w:trPr>
        <w:tc>
          <w:tcPr>
            <w:tcW w:w="3799" w:type="dxa"/>
          </w:tcPr>
          <w:p w14:paraId="54E5F666" w14:textId="77777777" w:rsidR="00FA4AA8" w:rsidRDefault="0015611F">
            <w:pPr>
              <w:pStyle w:val="TableParagraph"/>
              <w:spacing w:before="31"/>
              <w:ind w:left="50"/>
              <w:rPr>
                <w:b/>
                <w:sz w:val="16"/>
              </w:rPr>
            </w:pPr>
            <w:r>
              <w:rPr>
                <w:b/>
                <w:sz w:val="16"/>
              </w:rPr>
              <w:t>Parent</w:t>
            </w:r>
          </w:p>
        </w:tc>
        <w:tc>
          <w:tcPr>
            <w:tcW w:w="1199" w:type="dxa"/>
          </w:tcPr>
          <w:p w14:paraId="152A79DA" w14:textId="77777777" w:rsidR="00FA4AA8" w:rsidRDefault="0015611F">
            <w:pPr>
              <w:pStyle w:val="TableParagraph"/>
              <w:spacing w:before="31"/>
              <w:ind w:left="407"/>
              <w:rPr>
                <w:b/>
                <w:sz w:val="16"/>
              </w:rPr>
            </w:pPr>
            <w:r>
              <w:rPr>
                <w:b/>
                <w:sz w:val="16"/>
              </w:rPr>
              <w:t>$'000</w:t>
            </w:r>
          </w:p>
        </w:tc>
        <w:tc>
          <w:tcPr>
            <w:tcW w:w="1425" w:type="dxa"/>
          </w:tcPr>
          <w:p w14:paraId="19916F06" w14:textId="77777777" w:rsidR="00FA4AA8" w:rsidRDefault="0015611F">
            <w:pPr>
              <w:pStyle w:val="TableParagraph"/>
              <w:spacing w:before="31"/>
              <w:ind w:left="481" w:right="510"/>
              <w:jc w:val="center"/>
              <w:rPr>
                <w:b/>
                <w:sz w:val="16"/>
              </w:rPr>
            </w:pPr>
            <w:r>
              <w:rPr>
                <w:b/>
                <w:sz w:val="16"/>
              </w:rPr>
              <w:t>$'000</w:t>
            </w:r>
          </w:p>
        </w:tc>
        <w:tc>
          <w:tcPr>
            <w:tcW w:w="1532" w:type="dxa"/>
          </w:tcPr>
          <w:p w14:paraId="7B5CEFF3" w14:textId="77777777" w:rsidR="00FA4AA8" w:rsidRDefault="0015611F">
            <w:pPr>
              <w:pStyle w:val="TableParagraph"/>
              <w:spacing w:before="31"/>
              <w:ind w:left="105" w:right="201"/>
              <w:jc w:val="center"/>
              <w:rPr>
                <w:b/>
                <w:sz w:val="16"/>
              </w:rPr>
            </w:pPr>
            <w:r>
              <w:rPr>
                <w:b/>
                <w:sz w:val="16"/>
              </w:rPr>
              <w:t>$'000</w:t>
            </w:r>
          </w:p>
        </w:tc>
        <w:tc>
          <w:tcPr>
            <w:tcW w:w="1011" w:type="dxa"/>
          </w:tcPr>
          <w:p w14:paraId="376E3503" w14:textId="77777777" w:rsidR="00FA4AA8" w:rsidRDefault="0015611F">
            <w:pPr>
              <w:pStyle w:val="TableParagraph"/>
              <w:spacing w:before="31"/>
              <w:ind w:left="279"/>
              <w:rPr>
                <w:b/>
                <w:sz w:val="16"/>
              </w:rPr>
            </w:pPr>
            <w:r>
              <w:rPr>
                <w:b/>
                <w:sz w:val="16"/>
              </w:rPr>
              <w:t>$'000</w:t>
            </w:r>
          </w:p>
        </w:tc>
      </w:tr>
      <w:tr w:rsidR="00FA4AA8" w14:paraId="2FB2597F" w14:textId="77777777">
        <w:trPr>
          <w:trHeight w:val="244"/>
        </w:trPr>
        <w:tc>
          <w:tcPr>
            <w:tcW w:w="3799" w:type="dxa"/>
          </w:tcPr>
          <w:p w14:paraId="577CA38B" w14:textId="77777777" w:rsidR="00FA4AA8" w:rsidRDefault="0015611F">
            <w:pPr>
              <w:pStyle w:val="TableParagraph"/>
              <w:spacing w:before="31"/>
              <w:ind w:left="50"/>
              <w:rPr>
                <w:sz w:val="16"/>
              </w:rPr>
            </w:pPr>
            <w:r>
              <w:rPr>
                <w:sz w:val="16"/>
              </w:rPr>
              <w:t>Provision for impaired receivables</w:t>
            </w:r>
          </w:p>
        </w:tc>
        <w:tc>
          <w:tcPr>
            <w:tcW w:w="1199" w:type="dxa"/>
          </w:tcPr>
          <w:p w14:paraId="639AF3DF" w14:textId="77777777" w:rsidR="00FA4AA8" w:rsidRDefault="0015611F">
            <w:pPr>
              <w:pStyle w:val="TableParagraph"/>
              <w:spacing w:before="29"/>
              <w:ind w:right="85"/>
              <w:jc w:val="right"/>
              <w:rPr>
                <w:sz w:val="16"/>
              </w:rPr>
            </w:pPr>
            <w:r>
              <w:rPr>
                <w:sz w:val="16"/>
              </w:rPr>
              <w:t>(738)</w:t>
            </w:r>
          </w:p>
        </w:tc>
        <w:tc>
          <w:tcPr>
            <w:tcW w:w="1425" w:type="dxa"/>
          </w:tcPr>
          <w:p w14:paraId="4A8A8CD3" w14:textId="77777777" w:rsidR="00FA4AA8" w:rsidRDefault="0015611F">
            <w:pPr>
              <w:pStyle w:val="TableParagraph"/>
              <w:spacing w:before="29"/>
              <w:ind w:right="118"/>
              <w:jc w:val="right"/>
              <w:rPr>
                <w:b/>
                <w:sz w:val="16"/>
              </w:rPr>
            </w:pPr>
            <w:r>
              <w:rPr>
                <w:b/>
                <w:sz w:val="16"/>
              </w:rPr>
              <w:t>-</w:t>
            </w:r>
          </w:p>
        </w:tc>
        <w:tc>
          <w:tcPr>
            <w:tcW w:w="1532" w:type="dxa"/>
          </w:tcPr>
          <w:p w14:paraId="40495A30" w14:textId="77777777" w:rsidR="00FA4AA8" w:rsidRDefault="0015611F">
            <w:pPr>
              <w:pStyle w:val="TableParagraph"/>
              <w:spacing w:before="29"/>
              <w:ind w:right="153"/>
              <w:jc w:val="right"/>
              <w:rPr>
                <w:sz w:val="16"/>
              </w:rPr>
            </w:pPr>
            <w:r>
              <w:rPr>
                <w:sz w:val="16"/>
              </w:rPr>
              <w:t>(457)</w:t>
            </w:r>
          </w:p>
        </w:tc>
        <w:tc>
          <w:tcPr>
            <w:tcW w:w="1011" w:type="dxa"/>
          </w:tcPr>
          <w:p w14:paraId="5915AD9E" w14:textId="77777777" w:rsidR="00FA4AA8" w:rsidRDefault="0015611F">
            <w:pPr>
              <w:pStyle w:val="TableParagraph"/>
              <w:spacing w:before="29"/>
              <w:ind w:right="26"/>
              <w:jc w:val="right"/>
              <w:rPr>
                <w:sz w:val="16"/>
              </w:rPr>
            </w:pPr>
            <w:r>
              <w:rPr>
                <w:sz w:val="16"/>
              </w:rPr>
              <w:t>(1,195)</w:t>
            </w:r>
          </w:p>
        </w:tc>
      </w:tr>
      <w:tr w:rsidR="00FA4AA8" w14:paraId="389DB082" w14:textId="77777777">
        <w:trPr>
          <w:trHeight w:val="422"/>
        </w:trPr>
        <w:tc>
          <w:tcPr>
            <w:tcW w:w="3799" w:type="dxa"/>
          </w:tcPr>
          <w:p w14:paraId="68202178" w14:textId="77777777" w:rsidR="00FA4AA8" w:rsidRDefault="0015611F">
            <w:pPr>
              <w:pStyle w:val="TableParagraph"/>
              <w:spacing w:before="24"/>
              <w:ind w:left="50" w:right="1016"/>
              <w:rPr>
                <w:sz w:val="16"/>
              </w:rPr>
            </w:pPr>
            <w:r>
              <w:rPr>
                <w:sz w:val="16"/>
              </w:rPr>
              <w:t>Available-for-sale (Listed securities) previously measured under AASB 139</w:t>
            </w:r>
          </w:p>
        </w:tc>
        <w:tc>
          <w:tcPr>
            <w:tcW w:w="1199" w:type="dxa"/>
          </w:tcPr>
          <w:p w14:paraId="33B0EB9C" w14:textId="77777777" w:rsidR="00FA4AA8" w:rsidRDefault="00FA4AA8">
            <w:pPr>
              <w:pStyle w:val="TableParagraph"/>
              <w:spacing w:before="11"/>
              <w:rPr>
                <w:b/>
                <w:sz w:val="17"/>
              </w:rPr>
            </w:pPr>
          </w:p>
          <w:p w14:paraId="254B928B" w14:textId="77777777" w:rsidR="00FA4AA8" w:rsidRDefault="0015611F">
            <w:pPr>
              <w:pStyle w:val="TableParagraph"/>
              <w:ind w:right="138"/>
              <w:jc w:val="right"/>
              <w:rPr>
                <w:sz w:val="16"/>
              </w:rPr>
            </w:pPr>
            <w:r>
              <w:rPr>
                <w:sz w:val="16"/>
              </w:rPr>
              <w:t>80,299</w:t>
            </w:r>
          </w:p>
        </w:tc>
        <w:tc>
          <w:tcPr>
            <w:tcW w:w="1425" w:type="dxa"/>
          </w:tcPr>
          <w:p w14:paraId="5F41B44A" w14:textId="77777777" w:rsidR="00FA4AA8" w:rsidRDefault="00FA4AA8">
            <w:pPr>
              <w:pStyle w:val="TableParagraph"/>
              <w:spacing w:before="11"/>
              <w:rPr>
                <w:b/>
                <w:sz w:val="17"/>
              </w:rPr>
            </w:pPr>
          </w:p>
          <w:p w14:paraId="76AE53E5" w14:textId="77777777" w:rsidR="00FA4AA8" w:rsidRDefault="0015611F">
            <w:pPr>
              <w:pStyle w:val="TableParagraph"/>
              <w:ind w:right="65"/>
              <w:jc w:val="right"/>
              <w:rPr>
                <w:sz w:val="16"/>
              </w:rPr>
            </w:pPr>
            <w:r>
              <w:rPr>
                <w:sz w:val="16"/>
              </w:rPr>
              <w:t>(80,299)</w:t>
            </w:r>
          </w:p>
        </w:tc>
        <w:tc>
          <w:tcPr>
            <w:tcW w:w="1532" w:type="dxa"/>
          </w:tcPr>
          <w:p w14:paraId="18D5704E" w14:textId="77777777" w:rsidR="00FA4AA8" w:rsidRDefault="00FA4AA8">
            <w:pPr>
              <w:pStyle w:val="TableParagraph"/>
              <w:spacing w:before="11"/>
              <w:rPr>
                <w:b/>
                <w:sz w:val="17"/>
              </w:rPr>
            </w:pPr>
          </w:p>
          <w:p w14:paraId="4F421A68" w14:textId="77777777" w:rsidR="00FA4AA8" w:rsidRDefault="0015611F">
            <w:pPr>
              <w:pStyle w:val="TableParagraph"/>
              <w:ind w:right="205"/>
              <w:jc w:val="right"/>
              <w:rPr>
                <w:b/>
                <w:sz w:val="16"/>
              </w:rPr>
            </w:pPr>
            <w:r>
              <w:rPr>
                <w:b/>
                <w:sz w:val="16"/>
              </w:rPr>
              <w:t>-</w:t>
            </w:r>
          </w:p>
        </w:tc>
        <w:tc>
          <w:tcPr>
            <w:tcW w:w="1011" w:type="dxa"/>
          </w:tcPr>
          <w:p w14:paraId="35FBD8DB" w14:textId="77777777" w:rsidR="00FA4AA8" w:rsidRDefault="00FA4AA8">
            <w:pPr>
              <w:pStyle w:val="TableParagraph"/>
              <w:spacing w:before="11"/>
              <w:rPr>
                <w:b/>
                <w:sz w:val="17"/>
              </w:rPr>
            </w:pPr>
          </w:p>
          <w:p w14:paraId="19BB1191" w14:textId="77777777" w:rsidR="00FA4AA8" w:rsidRDefault="0015611F">
            <w:pPr>
              <w:pStyle w:val="TableParagraph"/>
              <w:ind w:right="78"/>
              <w:jc w:val="right"/>
              <w:rPr>
                <w:b/>
                <w:sz w:val="16"/>
              </w:rPr>
            </w:pPr>
            <w:r>
              <w:rPr>
                <w:b/>
                <w:sz w:val="16"/>
              </w:rPr>
              <w:t>-</w:t>
            </w:r>
          </w:p>
        </w:tc>
      </w:tr>
      <w:tr w:rsidR="00FA4AA8" w14:paraId="1760CC63" w14:textId="77777777">
        <w:trPr>
          <w:trHeight w:val="423"/>
        </w:trPr>
        <w:tc>
          <w:tcPr>
            <w:tcW w:w="3799" w:type="dxa"/>
          </w:tcPr>
          <w:p w14:paraId="148933FC" w14:textId="77777777" w:rsidR="00FA4AA8" w:rsidRDefault="0015611F">
            <w:pPr>
              <w:pStyle w:val="TableParagraph"/>
              <w:spacing w:before="24"/>
              <w:ind w:left="50" w:right="1016"/>
              <w:rPr>
                <w:sz w:val="16"/>
              </w:rPr>
            </w:pPr>
            <w:r>
              <w:rPr>
                <w:sz w:val="16"/>
              </w:rPr>
              <w:t>Available-for-sale (Unlisted securities) previously measured under AASB 139</w:t>
            </w:r>
          </w:p>
        </w:tc>
        <w:tc>
          <w:tcPr>
            <w:tcW w:w="1199" w:type="dxa"/>
          </w:tcPr>
          <w:p w14:paraId="6E9C0C55" w14:textId="77777777" w:rsidR="00FA4AA8" w:rsidRDefault="00FA4AA8">
            <w:pPr>
              <w:pStyle w:val="TableParagraph"/>
              <w:spacing w:before="11"/>
              <w:rPr>
                <w:b/>
                <w:sz w:val="17"/>
              </w:rPr>
            </w:pPr>
          </w:p>
          <w:p w14:paraId="73920526" w14:textId="77777777" w:rsidR="00FA4AA8" w:rsidRDefault="0015611F">
            <w:pPr>
              <w:pStyle w:val="TableParagraph"/>
              <w:ind w:right="138"/>
              <w:jc w:val="right"/>
              <w:rPr>
                <w:sz w:val="16"/>
              </w:rPr>
            </w:pPr>
            <w:r>
              <w:rPr>
                <w:sz w:val="16"/>
              </w:rPr>
              <w:t>16,537</w:t>
            </w:r>
          </w:p>
        </w:tc>
        <w:tc>
          <w:tcPr>
            <w:tcW w:w="1425" w:type="dxa"/>
          </w:tcPr>
          <w:p w14:paraId="43DC6EC7" w14:textId="77777777" w:rsidR="00FA4AA8" w:rsidRDefault="00FA4AA8">
            <w:pPr>
              <w:pStyle w:val="TableParagraph"/>
              <w:spacing w:before="11"/>
              <w:rPr>
                <w:b/>
                <w:sz w:val="17"/>
              </w:rPr>
            </w:pPr>
          </w:p>
          <w:p w14:paraId="7A929863" w14:textId="77777777" w:rsidR="00FA4AA8" w:rsidRDefault="0015611F">
            <w:pPr>
              <w:pStyle w:val="TableParagraph"/>
              <w:ind w:right="65"/>
              <w:jc w:val="right"/>
              <w:rPr>
                <w:sz w:val="16"/>
              </w:rPr>
            </w:pPr>
            <w:r>
              <w:rPr>
                <w:sz w:val="16"/>
              </w:rPr>
              <w:t>(16,537)</w:t>
            </w:r>
          </w:p>
        </w:tc>
        <w:tc>
          <w:tcPr>
            <w:tcW w:w="1532" w:type="dxa"/>
          </w:tcPr>
          <w:p w14:paraId="64ED14D5" w14:textId="77777777" w:rsidR="00FA4AA8" w:rsidRDefault="00FA4AA8">
            <w:pPr>
              <w:pStyle w:val="TableParagraph"/>
              <w:spacing w:before="11"/>
              <w:rPr>
                <w:b/>
                <w:sz w:val="17"/>
              </w:rPr>
            </w:pPr>
          </w:p>
          <w:p w14:paraId="76452DC8" w14:textId="77777777" w:rsidR="00FA4AA8" w:rsidRDefault="0015611F">
            <w:pPr>
              <w:pStyle w:val="TableParagraph"/>
              <w:ind w:right="205"/>
              <w:jc w:val="right"/>
              <w:rPr>
                <w:b/>
                <w:sz w:val="16"/>
              </w:rPr>
            </w:pPr>
            <w:r>
              <w:rPr>
                <w:b/>
                <w:sz w:val="16"/>
              </w:rPr>
              <w:t>-</w:t>
            </w:r>
          </w:p>
        </w:tc>
        <w:tc>
          <w:tcPr>
            <w:tcW w:w="1011" w:type="dxa"/>
          </w:tcPr>
          <w:p w14:paraId="56FA3BE7" w14:textId="77777777" w:rsidR="00FA4AA8" w:rsidRDefault="00FA4AA8">
            <w:pPr>
              <w:pStyle w:val="TableParagraph"/>
              <w:spacing w:before="11"/>
              <w:rPr>
                <w:b/>
                <w:sz w:val="17"/>
              </w:rPr>
            </w:pPr>
          </w:p>
          <w:p w14:paraId="58D8FCA3" w14:textId="77777777" w:rsidR="00FA4AA8" w:rsidRDefault="0015611F">
            <w:pPr>
              <w:pStyle w:val="TableParagraph"/>
              <w:ind w:right="78"/>
              <w:jc w:val="right"/>
              <w:rPr>
                <w:b/>
                <w:sz w:val="16"/>
              </w:rPr>
            </w:pPr>
            <w:r>
              <w:rPr>
                <w:b/>
                <w:sz w:val="16"/>
              </w:rPr>
              <w:t>-</w:t>
            </w:r>
          </w:p>
        </w:tc>
      </w:tr>
      <w:tr w:rsidR="00FA4AA8" w14:paraId="23D236DE" w14:textId="77777777">
        <w:trPr>
          <w:trHeight w:val="241"/>
        </w:trPr>
        <w:tc>
          <w:tcPr>
            <w:tcW w:w="3799" w:type="dxa"/>
          </w:tcPr>
          <w:p w14:paraId="778DBD44" w14:textId="77777777" w:rsidR="00FA4AA8" w:rsidRDefault="0015611F">
            <w:pPr>
              <w:pStyle w:val="TableParagraph"/>
              <w:spacing w:before="28"/>
              <w:ind w:left="50"/>
              <w:rPr>
                <w:sz w:val="16"/>
              </w:rPr>
            </w:pPr>
            <w:r>
              <w:rPr>
                <w:sz w:val="16"/>
              </w:rPr>
              <w:t>Held-to-maturity (Amortised cost)</w:t>
            </w:r>
          </w:p>
        </w:tc>
        <w:tc>
          <w:tcPr>
            <w:tcW w:w="1199" w:type="dxa"/>
          </w:tcPr>
          <w:p w14:paraId="13A2C89A" w14:textId="77777777" w:rsidR="00FA4AA8" w:rsidRDefault="0015611F">
            <w:pPr>
              <w:pStyle w:val="TableParagraph"/>
              <w:spacing w:before="25"/>
              <w:ind w:right="138"/>
              <w:jc w:val="right"/>
              <w:rPr>
                <w:sz w:val="16"/>
              </w:rPr>
            </w:pPr>
            <w:r>
              <w:rPr>
                <w:sz w:val="16"/>
              </w:rPr>
              <w:t>11,061</w:t>
            </w:r>
          </w:p>
        </w:tc>
        <w:tc>
          <w:tcPr>
            <w:tcW w:w="1425" w:type="dxa"/>
          </w:tcPr>
          <w:p w14:paraId="66F668D3" w14:textId="77777777" w:rsidR="00FA4AA8" w:rsidRDefault="0015611F">
            <w:pPr>
              <w:pStyle w:val="TableParagraph"/>
              <w:spacing w:before="25"/>
              <w:ind w:right="65"/>
              <w:jc w:val="right"/>
              <w:rPr>
                <w:sz w:val="16"/>
              </w:rPr>
            </w:pPr>
            <w:r>
              <w:rPr>
                <w:sz w:val="16"/>
              </w:rPr>
              <w:t>(11,061)</w:t>
            </w:r>
          </w:p>
        </w:tc>
        <w:tc>
          <w:tcPr>
            <w:tcW w:w="1532" w:type="dxa"/>
          </w:tcPr>
          <w:p w14:paraId="16205F4A" w14:textId="77777777" w:rsidR="00FA4AA8" w:rsidRDefault="0015611F">
            <w:pPr>
              <w:pStyle w:val="TableParagraph"/>
              <w:spacing w:before="25"/>
              <w:ind w:right="205"/>
              <w:jc w:val="right"/>
              <w:rPr>
                <w:b/>
                <w:sz w:val="16"/>
              </w:rPr>
            </w:pPr>
            <w:r>
              <w:rPr>
                <w:b/>
                <w:sz w:val="16"/>
              </w:rPr>
              <w:t>-</w:t>
            </w:r>
          </w:p>
        </w:tc>
        <w:tc>
          <w:tcPr>
            <w:tcW w:w="1011" w:type="dxa"/>
          </w:tcPr>
          <w:p w14:paraId="72F45E4A" w14:textId="77777777" w:rsidR="00FA4AA8" w:rsidRDefault="0015611F">
            <w:pPr>
              <w:pStyle w:val="TableParagraph"/>
              <w:spacing w:before="25"/>
              <w:ind w:right="78"/>
              <w:jc w:val="right"/>
              <w:rPr>
                <w:b/>
                <w:sz w:val="16"/>
              </w:rPr>
            </w:pPr>
            <w:r>
              <w:rPr>
                <w:b/>
                <w:sz w:val="16"/>
              </w:rPr>
              <w:t>-</w:t>
            </w:r>
          </w:p>
        </w:tc>
      </w:tr>
      <w:tr w:rsidR="00FA4AA8" w14:paraId="62591F81" w14:textId="77777777">
        <w:trPr>
          <w:trHeight w:val="422"/>
        </w:trPr>
        <w:tc>
          <w:tcPr>
            <w:tcW w:w="3799" w:type="dxa"/>
          </w:tcPr>
          <w:p w14:paraId="528FB166" w14:textId="77777777" w:rsidR="00FA4AA8" w:rsidRDefault="0015611F">
            <w:pPr>
              <w:pStyle w:val="TableParagraph"/>
              <w:spacing w:before="24"/>
              <w:ind w:left="50" w:right="722"/>
              <w:rPr>
                <w:sz w:val="16"/>
              </w:rPr>
            </w:pPr>
            <w:r>
              <w:rPr>
                <w:sz w:val="16"/>
              </w:rPr>
              <w:t>Financial assets at fair value through profit or loss</w:t>
            </w:r>
          </w:p>
        </w:tc>
        <w:tc>
          <w:tcPr>
            <w:tcW w:w="1199" w:type="dxa"/>
          </w:tcPr>
          <w:p w14:paraId="6D956C38" w14:textId="77777777" w:rsidR="00FA4AA8" w:rsidRDefault="00FA4AA8">
            <w:pPr>
              <w:pStyle w:val="TableParagraph"/>
              <w:spacing w:before="11"/>
              <w:rPr>
                <w:b/>
                <w:sz w:val="17"/>
              </w:rPr>
            </w:pPr>
          </w:p>
          <w:p w14:paraId="18659C34" w14:textId="77777777" w:rsidR="00FA4AA8" w:rsidRDefault="0015611F">
            <w:pPr>
              <w:pStyle w:val="TableParagraph"/>
              <w:ind w:right="138"/>
              <w:jc w:val="right"/>
              <w:rPr>
                <w:b/>
                <w:sz w:val="16"/>
              </w:rPr>
            </w:pPr>
            <w:r>
              <w:rPr>
                <w:b/>
                <w:sz w:val="16"/>
              </w:rPr>
              <w:t>-</w:t>
            </w:r>
          </w:p>
        </w:tc>
        <w:tc>
          <w:tcPr>
            <w:tcW w:w="1425" w:type="dxa"/>
          </w:tcPr>
          <w:p w14:paraId="0D26341C" w14:textId="77777777" w:rsidR="00FA4AA8" w:rsidRDefault="00FA4AA8">
            <w:pPr>
              <w:pStyle w:val="TableParagraph"/>
              <w:spacing w:before="11"/>
              <w:rPr>
                <w:b/>
                <w:sz w:val="17"/>
              </w:rPr>
            </w:pPr>
          </w:p>
          <w:p w14:paraId="0DA9D903" w14:textId="77777777" w:rsidR="00FA4AA8" w:rsidRDefault="0015611F">
            <w:pPr>
              <w:pStyle w:val="TableParagraph"/>
              <w:ind w:right="118"/>
              <w:jc w:val="right"/>
              <w:rPr>
                <w:sz w:val="16"/>
              </w:rPr>
            </w:pPr>
            <w:r>
              <w:rPr>
                <w:sz w:val="16"/>
              </w:rPr>
              <w:t>91,360</w:t>
            </w:r>
          </w:p>
        </w:tc>
        <w:tc>
          <w:tcPr>
            <w:tcW w:w="1532" w:type="dxa"/>
          </w:tcPr>
          <w:p w14:paraId="47F6FC77" w14:textId="77777777" w:rsidR="00FA4AA8" w:rsidRDefault="00FA4AA8">
            <w:pPr>
              <w:pStyle w:val="TableParagraph"/>
              <w:spacing w:before="11"/>
              <w:rPr>
                <w:b/>
                <w:sz w:val="17"/>
              </w:rPr>
            </w:pPr>
          </w:p>
          <w:p w14:paraId="694039CB" w14:textId="77777777" w:rsidR="00FA4AA8" w:rsidRDefault="0015611F">
            <w:pPr>
              <w:pStyle w:val="TableParagraph"/>
              <w:ind w:right="206"/>
              <w:jc w:val="right"/>
              <w:rPr>
                <w:sz w:val="16"/>
              </w:rPr>
            </w:pPr>
            <w:r>
              <w:rPr>
                <w:sz w:val="16"/>
              </w:rPr>
              <w:t>150</w:t>
            </w:r>
          </w:p>
        </w:tc>
        <w:tc>
          <w:tcPr>
            <w:tcW w:w="1011" w:type="dxa"/>
          </w:tcPr>
          <w:p w14:paraId="5FF61568" w14:textId="77777777" w:rsidR="00FA4AA8" w:rsidRDefault="00FA4AA8">
            <w:pPr>
              <w:pStyle w:val="TableParagraph"/>
              <w:spacing w:before="11"/>
              <w:rPr>
                <w:b/>
                <w:sz w:val="17"/>
              </w:rPr>
            </w:pPr>
          </w:p>
          <w:p w14:paraId="7EA02FDD" w14:textId="77777777" w:rsidR="00FA4AA8" w:rsidRDefault="0015611F">
            <w:pPr>
              <w:pStyle w:val="TableParagraph"/>
              <w:ind w:right="79"/>
              <w:jc w:val="right"/>
              <w:rPr>
                <w:sz w:val="16"/>
              </w:rPr>
            </w:pPr>
            <w:r>
              <w:rPr>
                <w:sz w:val="16"/>
              </w:rPr>
              <w:t>91,510</w:t>
            </w:r>
          </w:p>
        </w:tc>
      </w:tr>
      <w:tr w:rsidR="00FA4AA8" w14:paraId="7301A367" w14:textId="77777777">
        <w:trPr>
          <w:trHeight w:val="422"/>
        </w:trPr>
        <w:tc>
          <w:tcPr>
            <w:tcW w:w="3799" w:type="dxa"/>
          </w:tcPr>
          <w:p w14:paraId="101A7933" w14:textId="77777777" w:rsidR="00FA4AA8" w:rsidRDefault="0015611F">
            <w:pPr>
              <w:pStyle w:val="TableParagraph"/>
              <w:spacing w:before="24"/>
              <w:ind w:left="50" w:right="714"/>
              <w:rPr>
                <w:sz w:val="16"/>
              </w:rPr>
            </w:pPr>
            <w:r>
              <w:rPr>
                <w:sz w:val="16"/>
              </w:rPr>
              <w:t>Financial assets at fair value through other comprehensive income *</w:t>
            </w:r>
          </w:p>
        </w:tc>
        <w:tc>
          <w:tcPr>
            <w:tcW w:w="1199" w:type="dxa"/>
          </w:tcPr>
          <w:p w14:paraId="62A84B21" w14:textId="77777777" w:rsidR="00FA4AA8" w:rsidRDefault="00FA4AA8">
            <w:pPr>
              <w:pStyle w:val="TableParagraph"/>
              <w:spacing w:before="11"/>
              <w:rPr>
                <w:b/>
                <w:sz w:val="17"/>
              </w:rPr>
            </w:pPr>
          </w:p>
          <w:p w14:paraId="6D571444" w14:textId="77777777" w:rsidR="00FA4AA8" w:rsidRDefault="0015611F">
            <w:pPr>
              <w:pStyle w:val="TableParagraph"/>
              <w:ind w:right="138"/>
              <w:jc w:val="right"/>
              <w:rPr>
                <w:b/>
                <w:sz w:val="16"/>
              </w:rPr>
            </w:pPr>
            <w:r>
              <w:rPr>
                <w:b/>
                <w:sz w:val="16"/>
              </w:rPr>
              <w:t>-</w:t>
            </w:r>
          </w:p>
        </w:tc>
        <w:tc>
          <w:tcPr>
            <w:tcW w:w="1425" w:type="dxa"/>
          </w:tcPr>
          <w:p w14:paraId="40B16865" w14:textId="77777777" w:rsidR="00FA4AA8" w:rsidRDefault="00FA4AA8">
            <w:pPr>
              <w:pStyle w:val="TableParagraph"/>
              <w:spacing w:before="11"/>
              <w:rPr>
                <w:b/>
                <w:sz w:val="17"/>
              </w:rPr>
            </w:pPr>
          </w:p>
          <w:p w14:paraId="70FEAF8C" w14:textId="77777777" w:rsidR="00FA4AA8" w:rsidRDefault="0015611F">
            <w:pPr>
              <w:pStyle w:val="TableParagraph"/>
              <w:ind w:right="118"/>
              <w:jc w:val="right"/>
              <w:rPr>
                <w:sz w:val="16"/>
              </w:rPr>
            </w:pPr>
            <w:r>
              <w:rPr>
                <w:sz w:val="16"/>
              </w:rPr>
              <w:t>16,537</w:t>
            </w:r>
          </w:p>
        </w:tc>
        <w:tc>
          <w:tcPr>
            <w:tcW w:w="1532" w:type="dxa"/>
          </w:tcPr>
          <w:p w14:paraId="75A18B49" w14:textId="77777777" w:rsidR="00FA4AA8" w:rsidRDefault="00FA4AA8">
            <w:pPr>
              <w:pStyle w:val="TableParagraph"/>
              <w:spacing w:before="11"/>
              <w:rPr>
                <w:b/>
                <w:sz w:val="17"/>
              </w:rPr>
            </w:pPr>
          </w:p>
          <w:p w14:paraId="5169726B" w14:textId="77777777" w:rsidR="00FA4AA8" w:rsidRDefault="0015611F">
            <w:pPr>
              <w:pStyle w:val="TableParagraph"/>
              <w:ind w:right="205"/>
              <w:jc w:val="right"/>
              <w:rPr>
                <w:sz w:val="16"/>
              </w:rPr>
            </w:pPr>
            <w:r>
              <w:rPr>
                <w:sz w:val="16"/>
              </w:rPr>
              <w:t>5,570</w:t>
            </w:r>
          </w:p>
        </w:tc>
        <w:tc>
          <w:tcPr>
            <w:tcW w:w="1011" w:type="dxa"/>
          </w:tcPr>
          <w:p w14:paraId="5557594C" w14:textId="77777777" w:rsidR="00FA4AA8" w:rsidRDefault="00FA4AA8">
            <w:pPr>
              <w:pStyle w:val="TableParagraph"/>
              <w:spacing w:before="11"/>
              <w:rPr>
                <w:b/>
                <w:sz w:val="17"/>
              </w:rPr>
            </w:pPr>
          </w:p>
          <w:p w14:paraId="13099E11" w14:textId="77777777" w:rsidR="00FA4AA8" w:rsidRDefault="0015611F">
            <w:pPr>
              <w:pStyle w:val="TableParagraph"/>
              <w:ind w:right="79"/>
              <w:jc w:val="right"/>
              <w:rPr>
                <w:sz w:val="16"/>
              </w:rPr>
            </w:pPr>
            <w:r>
              <w:rPr>
                <w:sz w:val="16"/>
              </w:rPr>
              <w:t>22,107</w:t>
            </w:r>
          </w:p>
        </w:tc>
      </w:tr>
      <w:tr w:rsidR="00FA4AA8" w14:paraId="193E26EF" w14:textId="77777777">
        <w:trPr>
          <w:trHeight w:val="417"/>
        </w:trPr>
        <w:tc>
          <w:tcPr>
            <w:tcW w:w="3799" w:type="dxa"/>
          </w:tcPr>
          <w:p w14:paraId="20E68D39" w14:textId="77777777" w:rsidR="00FA4AA8" w:rsidRDefault="0015611F">
            <w:pPr>
              <w:pStyle w:val="TableParagraph"/>
              <w:spacing w:before="24"/>
              <w:ind w:left="50" w:right="300"/>
              <w:rPr>
                <w:sz w:val="16"/>
              </w:rPr>
            </w:pPr>
            <w:r>
              <w:rPr>
                <w:sz w:val="16"/>
              </w:rPr>
              <w:t>Other financial assets previously measured under AASB 139</w:t>
            </w:r>
          </w:p>
        </w:tc>
        <w:tc>
          <w:tcPr>
            <w:tcW w:w="1199" w:type="dxa"/>
            <w:tcBorders>
              <w:bottom w:val="single" w:sz="8" w:space="0" w:color="000000"/>
            </w:tcBorders>
          </w:tcPr>
          <w:p w14:paraId="47C47F46" w14:textId="77777777" w:rsidR="00FA4AA8" w:rsidRDefault="00FA4AA8">
            <w:pPr>
              <w:pStyle w:val="TableParagraph"/>
              <w:spacing w:before="11"/>
              <w:rPr>
                <w:b/>
                <w:sz w:val="17"/>
              </w:rPr>
            </w:pPr>
          </w:p>
          <w:p w14:paraId="585389C7" w14:textId="77777777" w:rsidR="00FA4AA8" w:rsidRDefault="0015611F">
            <w:pPr>
              <w:pStyle w:val="TableParagraph"/>
              <w:ind w:right="138"/>
              <w:jc w:val="right"/>
              <w:rPr>
                <w:b/>
                <w:sz w:val="16"/>
              </w:rPr>
            </w:pPr>
            <w:r>
              <w:rPr>
                <w:b/>
                <w:sz w:val="16"/>
              </w:rPr>
              <w:t>-</w:t>
            </w:r>
          </w:p>
        </w:tc>
        <w:tc>
          <w:tcPr>
            <w:tcW w:w="1425" w:type="dxa"/>
            <w:tcBorders>
              <w:bottom w:val="single" w:sz="8" w:space="0" w:color="000000"/>
            </w:tcBorders>
          </w:tcPr>
          <w:p w14:paraId="17D97FF8" w14:textId="77777777" w:rsidR="00FA4AA8" w:rsidRDefault="00FA4AA8">
            <w:pPr>
              <w:pStyle w:val="TableParagraph"/>
              <w:spacing w:before="11"/>
              <w:rPr>
                <w:b/>
                <w:sz w:val="17"/>
              </w:rPr>
            </w:pPr>
          </w:p>
          <w:p w14:paraId="0E0F1D6C" w14:textId="77777777" w:rsidR="00FA4AA8" w:rsidRDefault="0015611F">
            <w:pPr>
              <w:pStyle w:val="TableParagraph"/>
              <w:ind w:right="118"/>
              <w:jc w:val="right"/>
              <w:rPr>
                <w:b/>
                <w:sz w:val="16"/>
              </w:rPr>
            </w:pPr>
            <w:r>
              <w:rPr>
                <w:b/>
                <w:sz w:val="16"/>
              </w:rPr>
              <w:t>-</w:t>
            </w:r>
          </w:p>
        </w:tc>
        <w:tc>
          <w:tcPr>
            <w:tcW w:w="1532" w:type="dxa"/>
            <w:tcBorders>
              <w:bottom w:val="single" w:sz="8" w:space="0" w:color="000000"/>
            </w:tcBorders>
          </w:tcPr>
          <w:p w14:paraId="74E860EB" w14:textId="77777777" w:rsidR="00FA4AA8" w:rsidRDefault="00FA4AA8">
            <w:pPr>
              <w:pStyle w:val="TableParagraph"/>
              <w:spacing w:before="11"/>
              <w:rPr>
                <w:b/>
                <w:sz w:val="17"/>
              </w:rPr>
            </w:pPr>
          </w:p>
          <w:p w14:paraId="11DB096A" w14:textId="77777777" w:rsidR="00FA4AA8" w:rsidRDefault="0015611F">
            <w:pPr>
              <w:pStyle w:val="TableParagraph"/>
              <w:ind w:right="153"/>
              <w:jc w:val="right"/>
              <w:rPr>
                <w:sz w:val="16"/>
              </w:rPr>
            </w:pPr>
            <w:r>
              <w:rPr>
                <w:sz w:val="16"/>
              </w:rPr>
              <w:t>(26)</w:t>
            </w:r>
          </w:p>
        </w:tc>
        <w:tc>
          <w:tcPr>
            <w:tcW w:w="1011" w:type="dxa"/>
            <w:tcBorders>
              <w:bottom w:val="single" w:sz="8" w:space="0" w:color="000000"/>
            </w:tcBorders>
          </w:tcPr>
          <w:p w14:paraId="1B04ECAB" w14:textId="77777777" w:rsidR="00FA4AA8" w:rsidRDefault="00FA4AA8">
            <w:pPr>
              <w:pStyle w:val="TableParagraph"/>
              <w:spacing w:before="11"/>
              <w:rPr>
                <w:b/>
                <w:sz w:val="17"/>
              </w:rPr>
            </w:pPr>
          </w:p>
          <w:p w14:paraId="26F828B3" w14:textId="77777777" w:rsidR="00FA4AA8" w:rsidRDefault="0015611F">
            <w:pPr>
              <w:pStyle w:val="TableParagraph"/>
              <w:ind w:right="26"/>
              <w:jc w:val="right"/>
              <w:rPr>
                <w:sz w:val="16"/>
              </w:rPr>
            </w:pPr>
            <w:r>
              <w:rPr>
                <w:sz w:val="16"/>
              </w:rPr>
              <w:t>(26)</w:t>
            </w:r>
          </w:p>
        </w:tc>
      </w:tr>
      <w:tr w:rsidR="00FA4AA8" w14:paraId="54EC7735" w14:textId="77777777">
        <w:trPr>
          <w:trHeight w:val="296"/>
        </w:trPr>
        <w:tc>
          <w:tcPr>
            <w:tcW w:w="3799" w:type="dxa"/>
          </w:tcPr>
          <w:p w14:paraId="00685261" w14:textId="77777777" w:rsidR="00FA4AA8" w:rsidRDefault="0015611F">
            <w:pPr>
              <w:pStyle w:val="TableParagraph"/>
              <w:spacing w:before="114" w:line="162" w:lineRule="exact"/>
              <w:ind w:left="50"/>
              <w:rPr>
                <w:b/>
                <w:sz w:val="16"/>
              </w:rPr>
            </w:pPr>
            <w:r>
              <w:rPr>
                <w:b/>
                <w:sz w:val="16"/>
              </w:rPr>
              <w:t>Total effect on assets</w:t>
            </w:r>
          </w:p>
        </w:tc>
        <w:tc>
          <w:tcPr>
            <w:tcW w:w="1199" w:type="dxa"/>
            <w:tcBorders>
              <w:top w:val="single" w:sz="8" w:space="0" w:color="000000"/>
              <w:bottom w:val="single" w:sz="8" w:space="0" w:color="000000"/>
            </w:tcBorders>
          </w:tcPr>
          <w:p w14:paraId="3D2D0584" w14:textId="77777777" w:rsidR="00FA4AA8" w:rsidRDefault="0015611F">
            <w:pPr>
              <w:pStyle w:val="TableParagraph"/>
              <w:spacing w:before="114" w:line="162" w:lineRule="exact"/>
              <w:ind w:right="138"/>
              <w:jc w:val="right"/>
              <w:rPr>
                <w:b/>
                <w:sz w:val="16"/>
              </w:rPr>
            </w:pPr>
            <w:r>
              <w:rPr>
                <w:b/>
                <w:sz w:val="16"/>
              </w:rPr>
              <w:t>107,159</w:t>
            </w:r>
          </w:p>
        </w:tc>
        <w:tc>
          <w:tcPr>
            <w:tcW w:w="1425" w:type="dxa"/>
            <w:tcBorders>
              <w:top w:val="single" w:sz="8" w:space="0" w:color="000000"/>
              <w:bottom w:val="single" w:sz="8" w:space="0" w:color="000000"/>
            </w:tcBorders>
          </w:tcPr>
          <w:p w14:paraId="03396E3A" w14:textId="77777777" w:rsidR="00FA4AA8" w:rsidRDefault="0015611F">
            <w:pPr>
              <w:pStyle w:val="TableParagraph"/>
              <w:spacing w:before="114" w:line="162" w:lineRule="exact"/>
              <w:ind w:right="118"/>
              <w:jc w:val="right"/>
              <w:rPr>
                <w:b/>
                <w:sz w:val="16"/>
              </w:rPr>
            </w:pPr>
            <w:r>
              <w:rPr>
                <w:b/>
                <w:sz w:val="16"/>
              </w:rPr>
              <w:t>-</w:t>
            </w:r>
          </w:p>
        </w:tc>
        <w:tc>
          <w:tcPr>
            <w:tcW w:w="1532" w:type="dxa"/>
            <w:tcBorders>
              <w:top w:val="single" w:sz="8" w:space="0" w:color="000000"/>
              <w:bottom w:val="single" w:sz="8" w:space="0" w:color="000000"/>
            </w:tcBorders>
          </w:tcPr>
          <w:p w14:paraId="4D465DB1" w14:textId="77777777" w:rsidR="00FA4AA8" w:rsidRDefault="0015611F">
            <w:pPr>
              <w:pStyle w:val="TableParagraph"/>
              <w:spacing w:before="114" w:line="162" w:lineRule="exact"/>
              <w:ind w:right="205"/>
              <w:jc w:val="right"/>
              <w:rPr>
                <w:b/>
                <w:sz w:val="16"/>
              </w:rPr>
            </w:pPr>
            <w:r>
              <w:rPr>
                <w:b/>
                <w:sz w:val="16"/>
              </w:rPr>
              <w:t>5,237</w:t>
            </w:r>
          </w:p>
        </w:tc>
        <w:tc>
          <w:tcPr>
            <w:tcW w:w="1011" w:type="dxa"/>
            <w:tcBorders>
              <w:top w:val="single" w:sz="8" w:space="0" w:color="000000"/>
              <w:bottom w:val="single" w:sz="8" w:space="0" w:color="000000"/>
            </w:tcBorders>
          </w:tcPr>
          <w:p w14:paraId="1F85391B" w14:textId="77777777" w:rsidR="00FA4AA8" w:rsidRDefault="0015611F">
            <w:pPr>
              <w:pStyle w:val="TableParagraph"/>
              <w:spacing w:before="114" w:line="162" w:lineRule="exact"/>
              <w:ind w:right="79"/>
              <w:jc w:val="right"/>
              <w:rPr>
                <w:b/>
                <w:sz w:val="16"/>
              </w:rPr>
            </w:pPr>
            <w:r>
              <w:rPr>
                <w:b/>
                <w:sz w:val="16"/>
              </w:rPr>
              <w:t>112,396</w:t>
            </w:r>
          </w:p>
        </w:tc>
      </w:tr>
      <w:tr w:rsidR="00FA4AA8" w14:paraId="6B81B923" w14:textId="77777777">
        <w:trPr>
          <w:trHeight w:val="301"/>
        </w:trPr>
        <w:tc>
          <w:tcPr>
            <w:tcW w:w="3799" w:type="dxa"/>
          </w:tcPr>
          <w:p w14:paraId="0EA60127" w14:textId="77777777" w:rsidR="00FA4AA8" w:rsidRDefault="0015611F">
            <w:pPr>
              <w:pStyle w:val="TableParagraph"/>
              <w:spacing w:before="114" w:line="167" w:lineRule="exact"/>
              <w:ind w:left="50"/>
              <w:rPr>
                <w:sz w:val="16"/>
              </w:rPr>
            </w:pPr>
            <w:r>
              <w:rPr>
                <w:sz w:val="16"/>
              </w:rPr>
              <w:t>Transfer of investment revaluation reserve</w:t>
            </w:r>
          </w:p>
        </w:tc>
        <w:tc>
          <w:tcPr>
            <w:tcW w:w="1199" w:type="dxa"/>
            <w:tcBorders>
              <w:top w:val="single" w:sz="8" w:space="0" w:color="000000"/>
            </w:tcBorders>
          </w:tcPr>
          <w:p w14:paraId="1186E0EE" w14:textId="77777777" w:rsidR="00FA4AA8" w:rsidRDefault="00FA4AA8">
            <w:pPr>
              <w:pStyle w:val="TableParagraph"/>
              <w:rPr>
                <w:rFonts w:ascii="Times New Roman"/>
                <w:sz w:val="16"/>
              </w:rPr>
            </w:pPr>
          </w:p>
        </w:tc>
        <w:tc>
          <w:tcPr>
            <w:tcW w:w="1425" w:type="dxa"/>
            <w:tcBorders>
              <w:top w:val="single" w:sz="8" w:space="0" w:color="000000"/>
            </w:tcBorders>
          </w:tcPr>
          <w:p w14:paraId="7E6FC0EE" w14:textId="77777777" w:rsidR="00FA4AA8" w:rsidRDefault="00FA4AA8">
            <w:pPr>
              <w:pStyle w:val="TableParagraph"/>
              <w:rPr>
                <w:rFonts w:ascii="Times New Roman"/>
                <w:sz w:val="16"/>
              </w:rPr>
            </w:pPr>
          </w:p>
        </w:tc>
        <w:tc>
          <w:tcPr>
            <w:tcW w:w="1532" w:type="dxa"/>
            <w:tcBorders>
              <w:top w:val="single" w:sz="8" w:space="0" w:color="000000"/>
            </w:tcBorders>
          </w:tcPr>
          <w:p w14:paraId="20496CB0" w14:textId="77777777" w:rsidR="00FA4AA8" w:rsidRDefault="00FA4AA8">
            <w:pPr>
              <w:pStyle w:val="TableParagraph"/>
              <w:rPr>
                <w:rFonts w:ascii="Times New Roman"/>
                <w:sz w:val="16"/>
              </w:rPr>
            </w:pPr>
          </w:p>
        </w:tc>
        <w:tc>
          <w:tcPr>
            <w:tcW w:w="1011" w:type="dxa"/>
            <w:tcBorders>
              <w:top w:val="single" w:sz="8" w:space="0" w:color="000000"/>
            </w:tcBorders>
          </w:tcPr>
          <w:p w14:paraId="3BDB6A17" w14:textId="77777777" w:rsidR="00FA4AA8" w:rsidRDefault="00FA4AA8">
            <w:pPr>
              <w:pStyle w:val="TableParagraph"/>
              <w:rPr>
                <w:rFonts w:ascii="Times New Roman"/>
                <w:sz w:val="16"/>
              </w:rPr>
            </w:pPr>
          </w:p>
        </w:tc>
      </w:tr>
      <w:tr w:rsidR="00FA4AA8" w14:paraId="07DCB719" w14:textId="77777777">
        <w:trPr>
          <w:trHeight w:val="184"/>
        </w:trPr>
        <w:tc>
          <w:tcPr>
            <w:tcW w:w="3799" w:type="dxa"/>
          </w:tcPr>
          <w:p w14:paraId="6AA86A2D" w14:textId="77777777" w:rsidR="00FA4AA8" w:rsidRDefault="0015611F">
            <w:pPr>
              <w:pStyle w:val="TableParagraph"/>
              <w:spacing w:line="165" w:lineRule="exact"/>
              <w:ind w:left="50"/>
              <w:rPr>
                <w:sz w:val="16"/>
              </w:rPr>
            </w:pPr>
            <w:r>
              <w:rPr>
                <w:sz w:val="16"/>
              </w:rPr>
              <w:t>balance to retained earnings as at 1</w:t>
            </w:r>
          </w:p>
        </w:tc>
        <w:tc>
          <w:tcPr>
            <w:tcW w:w="1199" w:type="dxa"/>
          </w:tcPr>
          <w:p w14:paraId="59FE20EE" w14:textId="77777777" w:rsidR="00FA4AA8" w:rsidRDefault="00FA4AA8">
            <w:pPr>
              <w:pStyle w:val="TableParagraph"/>
              <w:rPr>
                <w:rFonts w:ascii="Times New Roman"/>
                <w:sz w:val="12"/>
              </w:rPr>
            </w:pPr>
          </w:p>
        </w:tc>
        <w:tc>
          <w:tcPr>
            <w:tcW w:w="1425" w:type="dxa"/>
          </w:tcPr>
          <w:p w14:paraId="05422979" w14:textId="77777777" w:rsidR="00FA4AA8" w:rsidRDefault="00FA4AA8">
            <w:pPr>
              <w:pStyle w:val="TableParagraph"/>
              <w:rPr>
                <w:rFonts w:ascii="Times New Roman"/>
                <w:sz w:val="12"/>
              </w:rPr>
            </w:pPr>
          </w:p>
        </w:tc>
        <w:tc>
          <w:tcPr>
            <w:tcW w:w="1532" w:type="dxa"/>
          </w:tcPr>
          <w:p w14:paraId="563DC6B8" w14:textId="77777777" w:rsidR="00FA4AA8" w:rsidRDefault="00FA4AA8">
            <w:pPr>
              <w:pStyle w:val="TableParagraph"/>
              <w:rPr>
                <w:rFonts w:ascii="Times New Roman"/>
                <w:sz w:val="12"/>
              </w:rPr>
            </w:pPr>
          </w:p>
        </w:tc>
        <w:tc>
          <w:tcPr>
            <w:tcW w:w="1011" w:type="dxa"/>
          </w:tcPr>
          <w:p w14:paraId="1AFD70CA" w14:textId="77777777" w:rsidR="00FA4AA8" w:rsidRDefault="00FA4AA8">
            <w:pPr>
              <w:pStyle w:val="TableParagraph"/>
              <w:rPr>
                <w:rFonts w:ascii="Times New Roman"/>
                <w:sz w:val="12"/>
              </w:rPr>
            </w:pPr>
          </w:p>
        </w:tc>
      </w:tr>
      <w:tr w:rsidR="00FA4AA8" w14:paraId="1D44E314" w14:textId="77777777">
        <w:trPr>
          <w:trHeight w:val="199"/>
        </w:trPr>
        <w:tc>
          <w:tcPr>
            <w:tcW w:w="3799" w:type="dxa"/>
          </w:tcPr>
          <w:p w14:paraId="3968F906" w14:textId="77777777" w:rsidR="00FA4AA8" w:rsidRDefault="0015611F">
            <w:pPr>
              <w:pStyle w:val="TableParagraph"/>
              <w:spacing w:line="179" w:lineRule="exact"/>
              <w:ind w:left="50"/>
              <w:rPr>
                <w:sz w:val="16"/>
              </w:rPr>
            </w:pPr>
            <w:r>
              <w:rPr>
                <w:sz w:val="16"/>
              </w:rPr>
              <w:t>January 2018</w:t>
            </w:r>
          </w:p>
        </w:tc>
        <w:tc>
          <w:tcPr>
            <w:tcW w:w="1199" w:type="dxa"/>
          </w:tcPr>
          <w:p w14:paraId="0B2624D6" w14:textId="77777777" w:rsidR="00FA4AA8" w:rsidRDefault="00FA4AA8">
            <w:pPr>
              <w:pStyle w:val="TableParagraph"/>
              <w:rPr>
                <w:rFonts w:ascii="Times New Roman"/>
                <w:sz w:val="12"/>
              </w:rPr>
            </w:pPr>
          </w:p>
        </w:tc>
        <w:tc>
          <w:tcPr>
            <w:tcW w:w="1425" w:type="dxa"/>
          </w:tcPr>
          <w:p w14:paraId="515FEE6C" w14:textId="77777777" w:rsidR="00FA4AA8" w:rsidRDefault="00FA4AA8">
            <w:pPr>
              <w:pStyle w:val="TableParagraph"/>
              <w:rPr>
                <w:rFonts w:ascii="Times New Roman"/>
                <w:sz w:val="12"/>
              </w:rPr>
            </w:pPr>
          </w:p>
        </w:tc>
        <w:tc>
          <w:tcPr>
            <w:tcW w:w="1532" w:type="dxa"/>
          </w:tcPr>
          <w:p w14:paraId="684A866A" w14:textId="77777777" w:rsidR="00FA4AA8" w:rsidRDefault="00FA4AA8">
            <w:pPr>
              <w:pStyle w:val="TableParagraph"/>
              <w:rPr>
                <w:rFonts w:ascii="Times New Roman"/>
                <w:sz w:val="12"/>
              </w:rPr>
            </w:pPr>
          </w:p>
        </w:tc>
        <w:tc>
          <w:tcPr>
            <w:tcW w:w="1011" w:type="dxa"/>
          </w:tcPr>
          <w:p w14:paraId="0E1380E7" w14:textId="77777777" w:rsidR="00FA4AA8" w:rsidRDefault="00FA4AA8">
            <w:pPr>
              <w:pStyle w:val="TableParagraph"/>
              <w:rPr>
                <w:rFonts w:ascii="Times New Roman"/>
                <w:sz w:val="12"/>
              </w:rPr>
            </w:pPr>
          </w:p>
        </w:tc>
      </w:tr>
      <w:tr w:rsidR="00FA4AA8" w14:paraId="1FDA69A8" w14:textId="77777777">
        <w:trPr>
          <w:trHeight w:val="229"/>
        </w:trPr>
        <w:tc>
          <w:tcPr>
            <w:tcW w:w="3799" w:type="dxa"/>
          </w:tcPr>
          <w:p w14:paraId="76C842D7" w14:textId="77777777" w:rsidR="00FA4AA8" w:rsidRDefault="0015611F">
            <w:pPr>
              <w:pStyle w:val="TableParagraph"/>
              <w:spacing w:before="15"/>
              <w:ind w:left="50"/>
              <w:rPr>
                <w:sz w:val="16"/>
              </w:rPr>
            </w:pPr>
            <w:r>
              <w:rPr>
                <w:sz w:val="16"/>
              </w:rPr>
              <w:t>Retained earnings</w:t>
            </w:r>
          </w:p>
        </w:tc>
        <w:tc>
          <w:tcPr>
            <w:tcW w:w="1199" w:type="dxa"/>
          </w:tcPr>
          <w:p w14:paraId="7BB9245E" w14:textId="77777777" w:rsidR="00FA4AA8" w:rsidRDefault="0015611F">
            <w:pPr>
              <w:pStyle w:val="TableParagraph"/>
              <w:spacing w:before="12"/>
              <w:ind w:right="138"/>
              <w:jc w:val="right"/>
              <w:rPr>
                <w:sz w:val="16"/>
              </w:rPr>
            </w:pPr>
            <w:r>
              <w:rPr>
                <w:sz w:val="16"/>
              </w:rPr>
              <w:t>1,038,885</w:t>
            </w:r>
          </w:p>
        </w:tc>
        <w:tc>
          <w:tcPr>
            <w:tcW w:w="1425" w:type="dxa"/>
          </w:tcPr>
          <w:p w14:paraId="08B52A81" w14:textId="77777777" w:rsidR="00FA4AA8" w:rsidRDefault="0015611F">
            <w:pPr>
              <w:pStyle w:val="TableParagraph"/>
              <w:spacing w:before="12"/>
              <w:ind w:right="66"/>
              <w:jc w:val="right"/>
              <w:rPr>
                <w:sz w:val="16"/>
              </w:rPr>
            </w:pPr>
            <w:r>
              <w:rPr>
                <w:sz w:val="16"/>
              </w:rPr>
              <w:t>(833)</w:t>
            </w:r>
          </w:p>
        </w:tc>
        <w:tc>
          <w:tcPr>
            <w:tcW w:w="1532" w:type="dxa"/>
          </w:tcPr>
          <w:p w14:paraId="292C502F" w14:textId="77777777" w:rsidR="00FA4AA8" w:rsidRDefault="0015611F">
            <w:pPr>
              <w:pStyle w:val="TableParagraph"/>
              <w:spacing w:before="12"/>
              <w:ind w:right="153"/>
              <w:jc w:val="right"/>
              <w:rPr>
                <w:sz w:val="16"/>
              </w:rPr>
            </w:pPr>
            <w:r>
              <w:rPr>
                <w:sz w:val="16"/>
              </w:rPr>
              <w:t>(333)</w:t>
            </w:r>
          </w:p>
        </w:tc>
        <w:tc>
          <w:tcPr>
            <w:tcW w:w="1011" w:type="dxa"/>
          </w:tcPr>
          <w:p w14:paraId="240CF331" w14:textId="77777777" w:rsidR="00FA4AA8" w:rsidRDefault="0015611F">
            <w:pPr>
              <w:pStyle w:val="TableParagraph"/>
              <w:spacing w:before="12"/>
              <w:ind w:right="79"/>
              <w:jc w:val="right"/>
              <w:rPr>
                <w:sz w:val="16"/>
              </w:rPr>
            </w:pPr>
            <w:r>
              <w:rPr>
                <w:sz w:val="16"/>
              </w:rPr>
              <w:t>1,037,719</w:t>
            </w:r>
          </w:p>
        </w:tc>
      </w:tr>
      <w:tr w:rsidR="00FA4AA8" w14:paraId="7F2BF15E" w14:textId="77777777">
        <w:trPr>
          <w:trHeight w:val="236"/>
        </w:trPr>
        <w:tc>
          <w:tcPr>
            <w:tcW w:w="3799" w:type="dxa"/>
          </w:tcPr>
          <w:p w14:paraId="1914171E" w14:textId="77777777" w:rsidR="00FA4AA8" w:rsidRDefault="0015611F">
            <w:pPr>
              <w:pStyle w:val="TableParagraph"/>
              <w:spacing w:before="28"/>
              <w:ind w:left="50"/>
              <w:rPr>
                <w:sz w:val="16"/>
              </w:rPr>
            </w:pPr>
            <w:r>
              <w:rPr>
                <w:sz w:val="16"/>
              </w:rPr>
              <w:t>Investment on revaluation reserve *</w:t>
            </w:r>
          </w:p>
        </w:tc>
        <w:tc>
          <w:tcPr>
            <w:tcW w:w="1199" w:type="dxa"/>
            <w:tcBorders>
              <w:bottom w:val="single" w:sz="8" w:space="0" w:color="000000"/>
            </w:tcBorders>
          </w:tcPr>
          <w:p w14:paraId="32C79F82" w14:textId="77777777" w:rsidR="00FA4AA8" w:rsidRDefault="0015611F">
            <w:pPr>
              <w:pStyle w:val="TableParagraph"/>
              <w:spacing w:before="25"/>
              <w:ind w:right="138"/>
              <w:jc w:val="right"/>
              <w:rPr>
                <w:sz w:val="16"/>
              </w:rPr>
            </w:pPr>
            <w:r>
              <w:rPr>
                <w:sz w:val="16"/>
              </w:rPr>
              <w:t>15,447</w:t>
            </w:r>
          </w:p>
        </w:tc>
        <w:tc>
          <w:tcPr>
            <w:tcW w:w="1425" w:type="dxa"/>
            <w:tcBorders>
              <w:bottom w:val="single" w:sz="8" w:space="0" w:color="000000"/>
            </w:tcBorders>
          </w:tcPr>
          <w:p w14:paraId="2F3F0E40" w14:textId="77777777" w:rsidR="00FA4AA8" w:rsidRDefault="0015611F">
            <w:pPr>
              <w:pStyle w:val="TableParagraph"/>
              <w:spacing w:before="25"/>
              <w:ind w:right="119"/>
              <w:jc w:val="right"/>
              <w:rPr>
                <w:sz w:val="16"/>
              </w:rPr>
            </w:pPr>
            <w:r>
              <w:rPr>
                <w:sz w:val="16"/>
              </w:rPr>
              <w:t>833</w:t>
            </w:r>
          </w:p>
        </w:tc>
        <w:tc>
          <w:tcPr>
            <w:tcW w:w="1532" w:type="dxa"/>
            <w:tcBorders>
              <w:bottom w:val="single" w:sz="8" w:space="0" w:color="000000"/>
            </w:tcBorders>
          </w:tcPr>
          <w:p w14:paraId="211286CB" w14:textId="77777777" w:rsidR="00FA4AA8" w:rsidRDefault="0015611F">
            <w:pPr>
              <w:pStyle w:val="TableParagraph"/>
              <w:spacing w:before="25"/>
              <w:ind w:right="205"/>
              <w:jc w:val="right"/>
              <w:rPr>
                <w:sz w:val="16"/>
              </w:rPr>
            </w:pPr>
            <w:r>
              <w:rPr>
                <w:sz w:val="16"/>
              </w:rPr>
              <w:t>5,570</w:t>
            </w:r>
          </w:p>
        </w:tc>
        <w:tc>
          <w:tcPr>
            <w:tcW w:w="1011" w:type="dxa"/>
            <w:tcBorders>
              <w:bottom w:val="single" w:sz="8" w:space="0" w:color="000000"/>
            </w:tcBorders>
          </w:tcPr>
          <w:p w14:paraId="5EC9CF8B" w14:textId="77777777" w:rsidR="00FA4AA8" w:rsidRDefault="0015611F">
            <w:pPr>
              <w:pStyle w:val="TableParagraph"/>
              <w:spacing w:before="25"/>
              <w:ind w:right="79"/>
              <w:jc w:val="right"/>
              <w:rPr>
                <w:sz w:val="16"/>
              </w:rPr>
            </w:pPr>
            <w:r>
              <w:rPr>
                <w:sz w:val="16"/>
              </w:rPr>
              <w:t>21,850</w:t>
            </w:r>
          </w:p>
        </w:tc>
      </w:tr>
      <w:tr w:rsidR="00FA4AA8" w14:paraId="3B388AB3" w14:textId="77777777">
        <w:trPr>
          <w:trHeight w:val="296"/>
        </w:trPr>
        <w:tc>
          <w:tcPr>
            <w:tcW w:w="3799" w:type="dxa"/>
          </w:tcPr>
          <w:p w14:paraId="53D7963D" w14:textId="77777777" w:rsidR="00FA4AA8" w:rsidRDefault="0015611F">
            <w:pPr>
              <w:pStyle w:val="TableParagraph"/>
              <w:spacing w:before="114" w:line="162" w:lineRule="exact"/>
              <w:ind w:left="50"/>
              <w:rPr>
                <w:b/>
                <w:sz w:val="16"/>
              </w:rPr>
            </w:pPr>
            <w:r>
              <w:rPr>
                <w:b/>
                <w:sz w:val="16"/>
              </w:rPr>
              <w:t>Net effect on equity</w:t>
            </w:r>
          </w:p>
        </w:tc>
        <w:tc>
          <w:tcPr>
            <w:tcW w:w="1199" w:type="dxa"/>
            <w:tcBorders>
              <w:top w:val="single" w:sz="8" w:space="0" w:color="000000"/>
              <w:bottom w:val="single" w:sz="8" w:space="0" w:color="000000"/>
            </w:tcBorders>
          </w:tcPr>
          <w:p w14:paraId="10AB7C01" w14:textId="77777777" w:rsidR="00FA4AA8" w:rsidRDefault="0015611F">
            <w:pPr>
              <w:pStyle w:val="TableParagraph"/>
              <w:spacing w:before="114" w:line="162" w:lineRule="exact"/>
              <w:ind w:right="138"/>
              <w:jc w:val="right"/>
              <w:rPr>
                <w:b/>
                <w:sz w:val="16"/>
              </w:rPr>
            </w:pPr>
            <w:r>
              <w:rPr>
                <w:b/>
                <w:sz w:val="16"/>
              </w:rPr>
              <w:t>1,054,332</w:t>
            </w:r>
          </w:p>
        </w:tc>
        <w:tc>
          <w:tcPr>
            <w:tcW w:w="1425" w:type="dxa"/>
            <w:tcBorders>
              <w:top w:val="single" w:sz="8" w:space="0" w:color="000000"/>
              <w:bottom w:val="single" w:sz="8" w:space="0" w:color="000000"/>
            </w:tcBorders>
          </w:tcPr>
          <w:p w14:paraId="1DC0DDAD" w14:textId="77777777" w:rsidR="00FA4AA8" w:rsidRDefault="0015611F">
            <w:pPr>
              <w:pStyle w:val="TableParagraph"/>
              <w:spacing w:before="114" w:line="162" w:lineRule="exact"/>
              <w:ind w:right="118"/>
              <w:jc w:val="right"/>
              <w:rPr>
                <w:b/>
                <w:sz w:val="16"/>
              </w:rPr>
            </w:pPr>
            <w:r>
              <w:rPr>
                <w:b/>
                <w:sz w:val="16"/>
              </w:rPr>
              <w:t>-</w:t>
            </w:r>
          </w:p>
        </w:tc>
        <w:tc>
          <w:tcPr>
            <w:tcW w:w="1532" w:type="dxa"/>
            <w:tcBorders>
              <w:top w:val="single" w:sz="8" w:space="0" w:color="000000"/>
              <w:bottom w:val="single" w:sz="8" w:space="0" w:color="000000"/>
            </w:tcBorders>
          </w:tcPr>
          <w:p w14:paraId="0B04E8E1" w14:textId="77777777" w:rsidR="00FA4AA8" w:rsidRDefault="0015611F">
            <w:pPr>
              <w:pStyle w:val="TableParagraph"/>
              <w:spacing w:before="114" w:line="162" w:lineRule="exact"/>
              <w:ind w:right="205"/>
              <w:jc w:val="right"/>
              <w:rPr>
                <w:b/>
                <w:sz w:val="16"/>
              </w:rPr>
            </w:pPr>
            <w:r>
              <w:rPr>
                <w:b/>
                <w:sz w:val="16"/>
              </w:rPr>
              <w:t>5,237</w:t>
            </w:r>
          </w:p>
        </w:tc>
        <w:tc>
          <w:tcPr>
            <w:tcW w:w="1011" w:type="dxa"/>
            <w:tcBorders>
              <w:top w:val="single" w:sz="8" w:space="0" w:color="000000"/>
              <w:bottom w:val="single" w:sz="8" w:space="0" w:color="000000"/>
            </w:tcBorders>
          </w:tcPr>
          <w:p w14:paraId="5666A799" w14:textId="77777777" w:rsidR="00FA4AA8" w:rsidRDefault="0015611F">
            <w:pPr>
              <w:pStyle w:val="TableParagraph"/>
              <w:spacing w:before="114" w:line="162" w:lineRule="exact"/>
              <w:ind w:right="79"/>
              <w:jc w:val="right"/>
              <w:rPr>
                <w:b/>
                <w:sz w:val="16"/>
              </w:rPr>
            </w:pPr>
            <w:r>
              <w:rPr>
                <w:b/>
                <w:sz w:val="16"/>
              </w:rPr>
              <w:t>1,059,569</w:t>
            </w:r>
          </w:p>
        </w:tc>
      </w:tr>
    </w:tbl>
    <w:p w14:paraId="032DC102" w14:textId="77777777" w:rsidR="00FA4AA8" w:rsidRDefault="00FA4AA8">
      <w:pPr>
        <w:pStyle w:val="BodyText"/>
        <w:spacing w:before="5"/>
        <w:rPr>
          <w:b/>
          <w:sz w:val="24"/>
        </w:rPr>
      </w:pPr>
    </w:p>
    <w:p w14:paraId="0D522440" w14:textId="77777777" w:rsidR="00FA4AA8" w:rsidRDefault="0015611F">
      <w:pPr>
        <w:pStyle w:val="BodyText"/>
        <w:ind w:left="1130"/>
      </w:pPr>
      <w:r>
        <w:t>The nature of these adjustments are described in note 21.</w:t>
      </w:r>
    </w:p>
    <w:p w14:paraId="23455969" w14:textId="77777777" w:rsidR="00FA4AA8" w:rsidRDefault="00FA4AA8">
      <w:pPr>
        <w:sectPr w:rsidR="00FA4AA8">
          <w:pgSz w:w="11910" w:h="16840"/>
          <w:pgMar w:top="2220" w:right="840" w:bottom="720" w:left="840" w:header="1016" w:footer="523" w:gutter="0"/>
          <w:cols w:space="720"/>
        </w:sectPr>
      </w:pPr>
    </w:p>
    <w:p w14:paraId="3683D76B" w14:textId="77777777" w:rsidR="00FA4AA8" w:rsidRDefault="00FA4AA8">
      <w:pPr>
        <w:pStyle w:val="BodyText"/>
        <w:rPr>
          <w:sz w:val="20"/>
        </w:rPr>
      </w:pPr>
    </w:p>
    <w:p w14:paraId="7AEBFCFF" w14:textId="77777777" w:rsidR="00FA4AA8" w:rsidRDefault="00FA4AA8">
      <w:pPr>
        <w:pStyle w:val="BodyText"/>
        <w:spacing w:before="10"/>
        <w:rPr>
          <w:sz w:val="29"/>
        </w:rPr>
      </w:pPr>
    </w:p>
    <w:p w14:paraId="4A55B1FB" w14:textId="77777777" w:rsidR="00FA4AA8" w:rsidRDefault="0015611F">
      <w:pPr>
        <w:tabs>
          <w:tab w:val="left" w:pos="563"/>
        </w:tabs>
        <w:spacing w:before="94"/>
        <w:ind w:left="170"/>
        <w:rPr>
          <w:b/>
          <w:sz w:val="18"/>
        </w:rPr>
      </w:pPr>
      <w:r>
        <w:rPr>
          <w:b/>
          <w:sz w:val="18"/>
        </w:rPr>
        <w:t>1</w:t>
      </w:r>
      <w:r>
        <w:rPr>
          <w:b/>
          <w:sz w:val="18"/>
        </w:rPr>
        <w:tab/>
        <w:t>Summary of Significant Accounting Policies</w:t>
      </w:r>
      <w:r>
        <w:rPr>
          <w:b/>
          <w:spacing w:val="-9"/>
          <w:sz w:val="18"/>
        </w:rPr>
        <w:t xml:space="preserve"> </w:t>
      </w:r>
      <w:r>
        <w:rPr>
          <w:b/>
          <w:sz w:val="18"/>
        </w:rPr>
        <w:t>(continued)</w:t>
      </w:r>
    </w:p>
    <w:p w14:paraId="5499C106" w14:textId="77777777" w:rsidR="00FA4AA8" w:rsidRDefault="00FA4AA8">
      <w:pPr>
        <w:pStyle w:val="BodyText"/>
        <w:rPr>
          <w:b/>
          <w:sz w:val="25"/>
        </w:rPr>
      </w:pPr>
    </w:p>
    <w:p w14:paraId="298EF107" w14:textId="77777777" w:rsidR="00FA4AA8" w:rsidRDefault="0015611F">
      <w:pPr>
        <w:pStyle w:val="ListParagraph"/>
        <w:numPr>
          <w:ilvl w:val="0"/>
          <w:numId w:val="107"/>
        </w:numPr>
        <w:tabs>
          <w:tab w:val="left" w:pos="1130"/>
          <w:tab w:val="left" w:pos="1131"/>
        </w:tabs>
        <w:spacing w:line="595" w:lineRule="auto"/>
        <w:ind w:right="3454"/>
        <w:rPr>
          <w:b/>
          <w:sz w:val="18"/>
        </w:rPr>
      </w:pPr>
      <w:r>
        <w:rPr>
          <w:b/>
          <w:sz w:val="18"/>
        </w:rPr>
        <w:t>Initial application of Australian Accounting Standards (continued) AASB 9 Financial Instruments (continued)</w:t>
      </w:r>
    </w:p>
    <w:p w14:paraId="6BC157F5" w14:textId="77777777" w:rsidR="00FA4AA8" w:rsidRDefault="0015611F">
      <w:pPr>
        <w:pStyle w:val="BodyText"/>
        <w:spacing w:line="193" w:lineRule="exact"/>
        <w:ind w:left="1130"/>
      </w:pPr>
      <w:r>
        <w:t>*On 1 January 2018 the University recognised for the first time its investments in AARNet Pty Ltd, Uniprojects</w:t>
      </w:r>
    </w:p>
    <w:p w14:paraId="7358379B" w14:textId="77777777" w:rsidR="00FA4AA8" w:rsidRDefault="0015611F">
      <w:pPr>
        <w:pStyle w:val="BodyText"/>
        <w:ind w:left="1130" w:right="256"/>
      </w:pPr>
      <w:r>
        <w:t>Pty Ltd and Unisuper Ltd in accordance with the newly effective AASB 9. The three financial instruments have been assessed as Equity Instruments and measured in accordance with AASB 9 at fair value through other comprehensive income (FVOCI). Each of the instruments was independently valued with the following 1 January 2018 balances recognised:</w:t>
      </w:r>
    </w:p>
    <w:p w14:paraId="1A5A1AD7" w14:textId="77777777" w:rsidR="00FA4AA8" w:rsidRDefault="0015611F">
      <w:pPr>
        <w:pStyle w:val="BodyText"/>
        <w:spacing w:before="31"/>
        <w:ind w:right="525"/>
        <w:jc w:val="right"/>
      </w:pPr>
      <w:r>
        <w:t>$'000</w:t>
      </w:r>
    </w:p>
    <w:p w14:paraId="0DC46261" w14:textId="77777777" w:rsidR="00FA4AA8" w:rsidRDefault="00FA4AA8">
      <w:pPr>
        <w:pStyle w:val="BodyText"/>
        <w:spacing w:before="10"/>
        <w:rPr>
          <w:sz w:val="5"/>
        </w:rPr>
      </w:pPr>
    </w:p>
    <w:tbl>
      <w:tblPr>
        <w:tblW w:w="0" w:type="auto"/>
        <w:tblInd w:w="1131" w:type="dxa"/>
        <w:tblLayout w:type="fixed"/>
        <w:tblCellMar>
          <w:left w:w="0" w:type="dxa"/>
          <w:right w:w="0" w:type="dxa"/>
        </w:tblCellMar>
        <w:tblLook w:val="01E0" w:firstRow="1" w:lastRow="1" w:firstColumn="1" w:lastColumn="1" w:noHBand="0" w:noVBand="0"/>
      </w:tblPr>
      <w:tblGrid>
        <w:gridCol w:w="7665"/>
        <w:gridCol w:w="1296"/>
      </w:tblGrid>
      <w:tr w:rsidR="00FA4AA8" w14:paraId="7502847C" w14:textId="77777777">
        <w:trPr>
          <w:trHeight w:val="233"/>
        </w:trPr>
        <w:tc>
          <w:tcPr>
            <w:tcW w:w="7665" w:type="dxa"/>
          </w:tcPr>
          <w:p w14:paraId="41FEE686" w14:textId="77777777" w:rsidR="00FA4AA8" w:rsidRDefault="0015611F">
            <w:pPr>
              <w:pStyle w:val="TableParagraph"/>
              <w:spacing w:line="203" w:lineRule="exact"/>
              <w:ind w:left="50"/>
              <w:rPr>
                <w:sz w:val="18"/>
              </w:rPr>
            </w:pPr>
            <w:r>
              <w:rPr>
                <w:sz w:val="18"/>
              </w:rPr>
              <w:t>- AARNet Pty Ltd:</w:t>
            </w:r>
          </w:p>
        </w:tc>
        <w:tc>
          <w:tcPr>
            <w:tcW w:w="1296" w:type="dxa"/>
          </w:tcPr>
          <w:p w14:paraId="6ADE80DD" w14:textId="77777777" w:rsidR="00FA4AA8" w:rsidRDefault="0015611F">
            <w:pPr>
              <w:pStyle w:val="TableParagraph"/>
              <w:spacing w:line="201" w:lineRule="exact"/>
              <w:ind w:right="84"/>
              <w:jc w:val="right"/>
              <w:rPr>
                <w:sz w:val="18"/>
              </w:rPr>
            </w:pPr>
            <w:r>
              <w:rPr>
                <w:sz w:val="18"/>
              </w:rPr>
              <w:t>5,551</w:t>
            </w:r>
          </w:p>
        </w:tc>
      </w:tr>
      <w:tr w:rsidR="00FA4AA8" w14:paraId="2FA525A1" w14:textId="77777777">
        <w:trPr>
          <w:trHeight w:val="264"/>
        </w:trPr>
        <w:tc>
          <w:tcPr>
            <w:tcW w:w="7665" w:type="dxa"/>
          </w:tcPr>
          <w:p w14:paraId="7CA17FF4" w14:textId="77777777" w:rsidR="00FA4AA8" w:rsidRDefault="0015611F">
            <w:pPr>
              <w:pStyle w:val="TableParagraph"/>
              <w:spacing w:before="26"/>
              <w:ind w:left="50"/>
              <w:rPr>
                <w:sz w:val="18"/>
              </w:rPr>
            </w:pPr>
            <w:r>
              <w:rPr>
                <w:sz w:val="18"/>
              </w:rPr>
              <w:t>- Uniprojects Pty Ltd:</w:t>
            </w:r>
          </w:p>
        </w:tc>
        <w:tc>
          <w:tcPr>
            <w:tcW w:w="1296" w:type="dxa"/>
          </w:tcPr>
          <w:p w14:paraId="5AB6BE08" w14:textId="77777777" w:rsidR="00FA4AA8" w:rsidRDefault="0015611F">
            <w:pPr>
              <w:pStyle w:val="TableParagraph"/>
              <w:spacing w:before="24"/>
              <w:ind w:right="84"/>
              <w:jc w:val="right"/>
              <w:rPr>
                <w:sz w:val="18"/>
              </w:rPr>
            </w:pPr>
            <w:r>
              <w:rPr>
                <w:sz w:val="18"/>
              </w:rPr>
              <w:t>19</w:t>
            </w:r>
          </w:p>
        </w:tc>
      </w:tr>
      <w:tr w:rsidR="00FA4AA8" w14:paraId="6197C480" w14:textId="77777777">
        <w:trPr>
          <w:trHeight w:val="256"/>
        </w:trPr>
        <w:tc>
          <w:tcPr>
            <w:tcW w:w="7665" w:type="dxa"/>
          </w:tcPr>
          <w:p w14:paraId="6DA15A77" w14:textId="77777777" w:rsidR="00FA4AA8" w:rsidRDefault="0015611F">
            <w:pPr>
              <w:pStyle w:val="TableParagraph"/>
              <w:spacing w:before="26"/>
              <w:ind w:left="50"/>
              <w:rPr>
                <w:sz w:val="18"/>
              </w:rPr>
            </w:pPr>
            <w:r>
              <w:rPr>
                <w:sz w:val="18"/>
              </w:rPr>
              <w:t>- UniSuper Ltd:</w:t>
            </w:r>
          </w:p>
        </w:tc>
        <w:tc>
          <w:tcPr>
            <w:tcW w:w="1296" w:type="dxa"/>
            <w:tcBorders>
              <w:bottom w:val="single" w:sz="8" w:space="0" w:color="000000"/>
            </w:tcBorders>
          </w:tcPr>
          <w:p w14:paraId="62188449" w14:textId="77777777" w:rsidR="00FA4AA8" w:rsidRDefault="0015611F">
            <w:pPr>
              <w:pStyle w:val="TableParagraph"/>
              <w:spacing w:before="24"/>
              <w:ind w:right="84"/>
              <w:jc w:val="right"/>
              <w:rPr>
                <w:b/>
                <w:sz w:val="18"/>
              </w:rPr>
            </w:pPr>
            <w:r>
              <w:rPr>
                <w:b/>
                <w:sz w:val="18"/>
              </w:rPr>
              <w:t>-</w:t>
            </w:r>
          </w:p>
        </w:tc>
      </w:tr>
      <w:tr w:rsidR="00FA4AA8" w14:paraId="0F218407" w14:textId="77777777">
        <w:trPr>
          <w:trHeight w:val="322"/>
        </w:trPr>
        <w:tc>
          <w:tcPr>
            <w:tcW w:w="7665" w:type="dxa"/>
          </w:tcPr>
          <w:p w14:paraId="165A567E" w14:textId="77777777" w:rsidR="00FA4AA8" w:rsidRDefault="00FA4AA8">
            <w:pPr>
              <w:pStyle w:val="TableParagraph"/>
              <w:rPr>
                <w:rFonts w:ascii="Times New Roman"/>
                <w:sz w:val="16"/>
              </w:rPr>
            </w:pPr>
          </w:p>
        </w:tc>
        <w:tc>
          <w:tcPr>
            <w:tcW w:w="1296" w:type="dxa"/>
            <w:tcBorders>
              <w:top w:val="single" w:sz="8" w:space="0" w:color="000000"/>
            </w:tcBorders>
          </w:tcPr>
          <w:p w14:paraId="22B4DA25" w14:textId="77777777" w:rsidR="00FA4AA8" w:rsidRDefault="0015611F">
            <w:pPr>
              <w:pStyle w:val="TableParagraph"/>
              <w:tabs>
                <w:tab w:val="left" w:pos="755"/>
              </w:tabs>
              <w:spacing w:before="115" w:line="188" w:lineRule="exact"/>
              <w:ind w:right="84"/>
              <w:jc w:val="right"/>
              <w:rPr>
                <w:sz w:val="18"/>
              </w:rPr>
            </w:pPr>
            <w:r>
              <w:rPr>
                <w:rFonts w:ascii="Times New Roman"/>
                <w:sz w:val="18"/>
                <w:u w:val="double"/>
              </w:rPr>
              <w:t xml:space="preserve"> </w:t>
            </w:r>
            <w:r>
              <w:rPr>
                <w:rFonts w:ascii="Times New Roman"/>
                <w:sz w:val="18"/>
                <w:u w:val="double"/>
              </w:rPr>
              <w:tab/>
            </w:r>
            <w:r>
              <w:rPr>
                <w:spacing w:val="-3"/>
                <w:sz w:val="18"/>
                <w:u w:val="double"/>
              </w:rPr>
              <w:t>5,570</w:t>
            </w:r>
          </w:p>
        </w:tc>
      </w:tr>
    </w:tbl>
    <w:p w14:paraId="13D2B811" w14:textId="77777777" w:rsidR="00FA4AA8" w:rsidRDefault="00FA4AA8">
      <w:pPr>
        <w:pStyle w:val="BodyText"/>
        <w:spacing w:before="1"/>
        <w:rPr>
          <w:sz w:val="29"/>
        </w:rPr>
      </w:pPr>
    </w:p>
    <w:p w14:paraId="15EC2E82" w14:textId="77777777" w:rsidR="00FA4AA8" w:rsidRDefault="0015611F">
      <w:pPr>
        <w:pStyle w:val="BodyText"/>
        <w:ind w:left="1130" w:right="256"/>
      </w:pPr>
      <w:r>
        <w:t>In summary, upon the adoption of AASB 9, Western Sydney University had the following elected reclassifications as at 1 January 2018.</w:t>
      </w:r>
    </w:p>
    <w:p w14:paraId="20C0EBE6" w14:textId="77777777" w:rsidR="00FA4AA8" w:rsidRDefault="00FA4AA8">
      <w:pPr>
        <w:pStyle w:val="BodyText"/>
        <w:rPr>
          <w:sz w:val="20"/>
        </w:rPr>
      </w:pPr>
    </w:p>
    <w:p w14:paraId="242692A6" w14:textId="77777777" w:rsidR="00FA4AA8" w:rsidRDefault="00FA4AA8">
      <w:pPr>
        <w:pStyle w:val="BodyText"/>
        <w:spacing w:before="9"/>
        <w:rPr>
          <w:sz w:val="25"/>
        </w:rPr>
      </w:pPr>
    </w:p>
    <w:p w14:paraId="76D4B7B4" w14:textId="77777777" w:rsidR="00FA4AA8" w:rsidRDefault="0015611F">
      <w:pPr>
        <w:tabs>
          <w:tab w:val="left" w:pos="7819"/>
        </w:tabs>
        <w:ind w:left="4161"/>
        <w:rPr>
          <w:b/>
          <w:sz w:val="16"/>
        </w:rPr>
      </w:pPr>
      <w:r>
        <w:rPr>
          <w:b/>
          <w:sz w:val="16"/>
        </w:rPr>
        <w:t>Consolidated</w:t>
      </w:r>
      <w:r>
        <w:rPr>
          <w:b/>
          <w:sz w:val="16"/>
        </w:rPr>
        <w:tab/>
        <w:t>Parent</w:t>
      </w:r>
    </w:p>
    <w:p w14:paraId="59986695" w14:textId="77777777" w:rsidR="00FA4AA8" w:rsidRDefault="0015611F">
      <w:pPr>
        <w:tabs>
          <w:tab w:val="left" w:pos="6885"/>
        </w:tabs>
        <w:spacing w:before="68"/>
        <w:ind w:left="3487"/>
        <w:rPr>
          <w:b/>
          <w:sz w:val="16"/>
        </w:rPr>
      </w:pPr>
      <w:r>
        <w:rPr>
          <w:b/>
          <w:spacing w:val="-5"/>
          <w:sz w:val="16"/>
        </w:rPr>
        <w:t xml:space="preserve">AASB </w:t>
      </w:r>
      <w:r>
        <w:rPr>
          <w:b/>
          <w:sz w:val="16"/>
        </w:rPr>
        <w:t>9</w:t>
      </w:r>
      <w:r>
        <w:rPr>
          <w:b/>
          <w:spacing w:val="1"/>
          <w:sz w:val="16"/>
        </w:rPr>
        <w:t xml:space="preserve"> </w:t>
      </w:r>
      <w:r>
        <w:rPr>
          <w:b/>
          <w:sz w:val="16"/>
        </w:rPr>
        <w:t>measurement</w:t>
      </w:r>
      <w:r>
        <w:rPr>
          <w:b/>
          <w:spacing w:val="-2"/>
          <w:sz w:val="16"/>
        </w:rPr>
        <w:t xml:space="preserve"> </w:t>
      </w:r>
      <w:r>
        <w:rPr>
          <w:b/>
          <w:sz w:val="16"/>
        </w:rPr>
        <w:t>category</w:t>
      </w:r>
      <w:r>
        <w:rPr>
          <w:b/>
          <w:sz w:val="16"/>
        </w:rPr>
        <w:tab/>
      </w:r>
      <w:r>
        <w:rPr>
          <w:b/>
          <w:spacing w:val="-5"/>
          <w:sz w:val="16"/>
        </w:rPr>
        <w:t xml:space="preserve">AASB </w:t>
      </w:r>
      <w:r>
        <w:rPr>
          <w:b/>
          <w:sz w:val="16"/>
        </w:rPr>
        <w:t>9 measurement</w:t>
      </w:r>
      <w:r>
        <w:rPr>
          <w:b/>
          <w:spacing w:val="2"/>
          <w:sz w:val="16"/>
        </w:rPr>
        <w:t xml:space="preserve"> </w:t>
      </w:r>
      <w:r>
        <w:rPr>
          <w:b/>
          <w:sz w:val="16"/>
        </w:rPr>
        <w:t>category</w:t>
      </w:r>
    </w:p>
    <w:p w14:paraId="46A43513" w14:textId="77777777" w:rsidR="00FA4AA8" w:rsidRDefault="0015611F">
      <w:pPr>
        <w:tabs>
          <w:tab w:val="left" w:pos="7291"/>
        </w:tabs>
        <w:spacing w:before="68" w:after="6"/>
        <w:ind w:left="3892"/>
        <w:rPr>
          <w:sz w:val="16"/>
        </w:rPr>
      </w:pPr>
      <w:r>
        <w:rPr>
          <w:sz w:val="16"/>
        </w:rPr>
        <w:t>Fair</w:t>
      </w:r>
      <w:r>
        <w:rPr>
          <w:spacing w:val="-3"/>
          <w:sz w:val="16"/>
        </w:rPr>
        <w:t xml:space="preserve"> </w:t>
      </w:r>
      <w:r>
        <w:rPr>
          <w:sz w:val="16"/>
        </w:rPr>
        <w:t>value</w:t>
      </w:r>
      <w:r>
        <w:rPr>
          <w:sz w:val="16"/>
        </w:rPr>
        <w:tab/>
        <w:t>Fair</w:t>
      </w:r>
      <w:r>
        <w:rPr>
          <w:spacing w:val="-1"/>
          <w:sz w:val="16"/>
        </w:rPr>
        <w:t xml:space="preserve"> </w:t>
      </w:r>
      <w:r>
        <w:rPr>
          <w:sz w:val="16"/>
        </w:rPr>
        <w:t>value</w:t>
      </w:r>
    </w:p>
    <w:tbl>
      <w:tblPr>
        <w:tblW w:w="0" w:type="auto"/>
        <w:tblInd w:w="1087" w:type="dxa"/>
        <w:tblLayout w:type="fixed"/>
        <w:tblCellMar>
          <w:left w:w="0" w:type="dxa"/>
          <w:right w:w="0" w:type="dxa"/>
        </w:tblCellMar>
        <w:tblLook w:val="01E0" w:firstRow="1" w:lastRow="1" w:firstColumn="1" w:lastColumn="1" w:noHBand="0" w:noVBand="0"/>
      </w:tblPr>
      <w:tblGrid>
        <w:gridCol w:w="1891"/>
        <w:gridCol w:w="889"/>
        <w:gridCol w:w="803"/>
        <w:gridCol w:w="884"/>
        <w:gridCol w:w="844"/>
        <w:gridCol w:w="870"/>
        <w:gridCol w:w="804"/>
        <w:gridCol w:w="885"/>
        <w:gridCol w:w="826"/>
      </w:tblGrid>
      <w:tr w:rsidR="00FA4AA8" w14:paraId="00F03196" w14:textId="77777777">
        <w:trPr>
          <w:trHeight w:val="367"/>
        </w:trPr>
        <w:tc>
          <w:tcPr>
            <w:tcW w:w="1891" w:type="dxa"/>
            <w:vMerge w:val="restart"/>
          </w:tcPr>
          <w:p w14:paraId="2494F6AA" w14:textId="77777777" w:rsidR="00FA4AA8" w:rsidRDefault="00FA4AA8">
            <w:pPr>
              <w:pStyle w:val="TableParagraph"/>
              <w:rPr>
                <w:rFonts w:ascii="Times New Roman"/>
                <w:sz w:val="16"/>
              </w:rPr>
            </w:pPr>
          </w:p>
        </w:tc>
        <w:tc>
          <w:tcPr>
            <w:tcW w:w="889" w:type="dxa"/>
          </w:tcPr>
          <w:p w14:paraId="01C7ACA8" w14:textId="77777777" w:rsidR="00FA4AA8" w:rsidRDefault="00FA4AA8">
            <w:pPr>
              <w:pStyle w:val="TableParagraph"/>
              <w:spacing w:before="7"/>
              <w:rPr>
                <w:sz w:val="15"/>
              </w:rPr>
            </w:pPr>
          </w:p>
          <w:p w14:paraId="643754CA" w14:textId="77777777" w:rsidR="00FA4AA8" w:rsidRDefault="0015611F">
            <w:pPr>
              <w:pStyle w:val="TableParagraph"/>
              <w:spacing w:before="1" w:line="167" w:lineRule="exact"/>
              <w:ind w:right="111"/>
              <w:jc w:val="right"/>
              <w:rPr>
                <w:sz w:val="16"/>
              </w:rPr>
            </w:pPr>
            <w:r>
              <w:rPr>
                <w:sz w:val="16"/>
              </w:rPr>
              <w:t>1 January</w:t>
            </w:r>
          </w:p>
        </w:tc>
        <w:tc>
          <w:tcPr>
            <w:tcW w:w="803" w:type="dxa"/>
          </w:tcPr>
          <w:p w14:paraId="39BCA639" w14:textId="77777777" w:rsidR="00FA4AA8" w:rsidRDefault="0015611F">
            <w:pPr>
              <w:pStyle w:val="TableParagraph"/>
              <w:spacing w:line="179" w:lineRule="exact"/>
              <w:ind w:left="111"/>
              <w:rPr>
                <w:sz w:val="16"/>
              </w:rPr>
            </w:pPr>
            <w:r>
              <w:rPr>
                <w:sz w:val="16"/>
              </w:rPr>
              <w:t>through</w:t>
            </w:r>
          </w:p>
          <w:p w14:paraId="1541A536" w14:textId="77777777" w:rsidR="00FA4AA8" w:rsidRDefault="0015611F">
            <w:pPr>
              <w:pStyle w:val="TableParagraph"/>
              <w:spacing w:before="1" w:line="167" w:lineRule="exact"/>
              <w:ind w:left="111"/>
              <w:rPr>
                <w:sz w:val="16"/>
              </w:rPr>
            </w:pPr>
            <w:r>
              <w:rPr>
                <w:sz w:val="16"/>
              </w:rPr>
              <w:t>profit</w:t>
            </w:r>
            <w:r>
              <w:rPr>
                <w:spacing w:val="2"/>
                <w:sz w:val="16"/>
              </w:rPr>
              <w:t xml:space="preserve"> </w:t>
            </w:r>
            <w:r>
              <w:rPr>
                <w:sz w:val="16"/>
              </w:rPr>
              <w:t>or</w:t>
            </w:r>
          </w:p>
        </w:tc>
        <w:tc>
          <w:tcPr>
            <w:tcW w:w="884" w:type="dxa"/>
          </w:tcPr>
          <w:p w14:paraId="126BCD8E" w14:textId="77777777" w:rsidR="00FA4AA8" w:rsidRDefault="00FA4AA8">
            <w:pPr>
              <w:pStyle w:val="TableParagraph"/>
              <w:spacing w:before="7"/>
              <w:rPr>
                <w:sz w:val="15"/>
              </w:rPr>
            </w:pPr>
          </w:p>
          <w:p w14:paraId="4CB97842" w14:textId="77777777" w:rsidR="00FA4AA8" w:rsidRDefault="0015611F">
            <w:pPr>
              <w:pStyle w:val="TableParagraph"/>
              <w:spacing w:before="1" w:line="167" w:lineRule="exact"/>
              <w:ind w:right="86"/>
              <w:jc w:val="right"/>
              <w:rPr>
                <w:sz w:val="16"/>
              </w:rPr>
            </w:pPr>
            <w:r>
              <w:rPr>
                <w:sz w:val="16"/>
              </w:rPr>
              <w:t>Amortised</w:t>
            </w:r>
          </w:p>
        </w:tc>
        <w:tc>
          <w:tcPr>
            <w:tcW w:w="844" w:type="dxa"/>
          </w:tcPr>
          <w:p w14:paraId="0247543F" w14:textId="77777777" w:rsidR="00FA4AA8" w:rsidRDefault="0015611F">
            <w:pPr>
              <w:pStyle w:val="TableParagraph"/>
              <w:spacing w:line="179" w:lineRule="exact"/>
              <w:ind w:left="85"/>
              <w:rPr>
                <w:sz w:val="16"/>
              </w:rPr>
            </w:pPr>
            <w:r>
              <w:rPr>
                <w:sz w:val="16"/>
              </w:rPr>
              <w:t>Fair value</w:t>
            </w:r>
          </w:p>
          <w:p w14:paraId="0577A751" w14:textId="77777777" w:rsidR="00FA4AA8" w:rsidRDefault="0015611F">
            <w:pPr>
              <w:pStyle w:val="TableParagraph"/>
              <w:spacing w:before="1" w:line="167" w:lineRule="exact"/>
              <w:ind w:left="164"/>
              <w:rPr>
                <w:sz w:val="16"/>
              </w:rPr>
            </w:pPr>
            <w:r>
              <w:rPr>
                <w:sz w:val="16"/>
              </w:rPr>
              <w:t>through</w:t>
            </w:r>
          </w:p>
        </w:tc>
        <w:tc>
          <w:tcPr>
            <w:tcW w:w="870" w:type="dxa"/>
          </w:tcPr>
          <w:p w14:paraId="5A5A8B45" w14:textId="77777777" w:rsidR="00FA4AA8" w:rsidRDefault="00FA4AA8">
            <w:pPr>
              <w:pStyle w:val="TableParagraph"/>
              <w:spacing w:before="7"/>
              <w:rPr>
                <w:sz w:val="15"/>
              </w:rPr>
            </w:pPr>
          </w:p>
          <w:p w14:paraId="5E9DB36B" w14:textId="77777777" w:rsidR="00FA4AA8" w:rsidRDefault="0015611F">
            <w:pPr>
              <w:pStyle w:val="TableParagraph"/>
              <w:spacing w:before="1" w:line="167" w:lineRule="exact"/>
              <w:ind w:right="113"/>
              <w:jc w:val="right"/>
              <w:rPr>
                <w:sz w:val="16"/>
              </w:rPr>
            </w:pPr>
            <w:r>
              <w:rPr>
                <w:sz w:val="16"/>
              </w:rPr>
              <w:t>1 January</w:t>
            </w:r>
          </w:p>
        </w:tc>
        <w:tc>
          <w:tcPr>
            <w:tcW w:w="804" w:type="dxa"/>
          </w:tcPr>
          <w:p w14:paraId="62F8E6DC" w14:textId="77777777" w:rsidR="00FA4AA8" w:rsidRDefault="0015611F">
            <w:pPr>
              <w:pStyle w:val="TableParagraph"/>
              <w:spacing w:line="179" w:lineRule="exact"/>
              <w:ind w:left="109"/>
              <w:rPr>
                <w:sz w:val="16"/>
              </w:rPr>
            </w:pPr>
            <w:r>
              <w:rPr>
                <w:sz w:val="16"/>
              </w:rPr>
              <w:t>through</w:t>
            </w:r>
          </w:p>
          <w:p w14:paraId="01BD81B5" w14:textId="77777777" w:rsidR="00FA4AA8" w:rsidRDefault="0015611F">
            <w:pPr>
              <w:pStyle w:val="TableParagraph"/>
              <w:spacing w:before="1" w:line="167" w:lineRule="exact"/>
              <w:ind w:left="109"/>
              <w:rPr>
                <w:sz w:val="16"/>
              </w:rPr>
            </w:pPr>
            <w:r>
              <w:rPr>
                <w:sz w:val="16"/>
              </w:rPr>
              <w:t>profit</w:t>
            </w:r>
            <w:r>
              <w:rPr>
                <w:spacing w:val="2"/>
                <w:sz w:val="16"/>
              </w:rPr>
              <w:t xml:space="preserve"> </w:t>
            </w:r>
            <w:r>
              <w:rPr>
                <w:sz w:val="16"/>
              </w:rPr>
              <w:t>or</w:t>
            </w:r>
          </w:p>
        </w:tc>
        <w:tc>
          <w:tcPr>
            <w:tcW w:w="885" w:type="dxa"/>
          </w:tcPr>
          <w:p w14:paraId="5E25B2ED" w14:textId="77777777" w:rsidR="00FA4AA8" w:rsidRDefault="00FA4AA8">
            <w:pPr>
              <w:pStyle w:val="TableParagraph"/>
              <w:spacing w:before="7"/>
              <w:rPr>
                <w:sz w:val="15"/>
              </w:rPr>
            </w:pPr>
          </w:p>
          <w:p w14:paraId="674E1473" w14:textId="77777777" w:rsidR="00FA4AA8" w:rsidRDefault="0015611F">
            <w:pPr>
              <w:pStyle w:val="TableParagraph"/>
              <w:spacing w:before="1" w:line="167" w:lineRule="exact"/>
              <w:ind w:right="91"/>
              <w:jc w:val="right"/>
              <w:rPr>
                <w:sz w:val="16"/>
              </w:rPr>
            </w:pPr>
            <w:r>
              <w:rPr>
                <w:sz w:val="16"/>
              </w:rPr>
              <w:t>Amortised</w:t>
            </w:r>
          </w:p>
        </w:tc>
        <w:tc>
          <w:tcPr>
            <w:tcW w:w="826" w:type="dxa"/>
          </w:tcPr>
          <w:p w14:paraId="39737544" w14:textId="77777777" w:rsidR="00FA4AA8" w:rsidRDefault="0015611F">
            <w:pPr>
              <w:pStyle w:val="TableParagraph"/>
              <w:spacing w:line="179" w:lineRule="exact"/>
              <w:ind w:left="80"/>
              <w:rPr>
                <w:sz w:val="16"/>
              </w:rPr>
            </w:pPr>
            <w:r>
              <w:rPr>
                <w:sz w:val="16"/>
              </w:rPr>
              <w:t>Fair value</w:t>
            </w:r>
          </w:p>
          <w:p w14:paraId="1D66845A" w14:textId="77777777" w:rsidR="00FA4AA8" w:rsidRDefault="0015611F">
            <w:pPr>
              <w:pStyle w:val="TableParagraph"/>
              <w:spacing w:before="1" w:line="167" w:lineRule="exact"/>
              <w:ind w:left="160"/>
              <w:rPr>
                <w:sz w:val="16"/>
              </w:rPr>
            </w:pPr>
            <w:r>
              <w:rPr>
                <w:sz w:val="16"/>
              </w:rPr>
              <w:t>through</w:t>
            </w:r>
          </w:p>
        </w:tc>
      </w:tr>
      <w:tr w:rsidR="00FA4AA8" w14:paraId="07EFB0C3" w14:textId="77777777">
        <w:trPr>
          <w:trHeight w:val="218"/>
        </w:trPr>
        <w:tc>
          <w:tcPr>
            <w:tcW w:w="1891" w:type="dxa"/>
            <w:vMerge/>
            <w:tcBorders>
              <w:top w:val="nil"/>
            </w:tcBorders>
          </w:tcPr>
          <w:p w14:paraId="19AB0682" w14:textId="77777777" w:rsidR="00FA4AA8" w:rsidRDefault="00FA4AA8">
            <w:pPr>
              <w:rPr>
                <w:sz w:val="2"/>
                <w:szCs w:val="2"/>
              </w:rPr>
            </w:pPr>
          </w:p>
        </w:tc>
        <w:tc>
          <w:tcPr>
            <w:tcW w:w="889" w:type="dxa"/>
          </w:tcPr>
          <w:p w14:paraId="512579DA" w14:textId="77777777" w:rsidR="00FA4AA8" w:rsidRDefault="0015611F">
            <w:pPr>
              <w:pStyle w:val="TableParagraph"/>
              <w:spacing w:line="182" w:lineRule="exact"/>
              <w:ind w:left="244"/>
              <w:rPr>
                <w:sz w:val="16"/>
              </w:rPr>
            </w:pPr>
            <w:r>
              <w:rPr>
                <w:sz w:val="16"/>
              </w:rPr>
              <w:t>2018</w:t>
            </w:r>
          </w:p>
        </w:tc>
        <w:tc>
          <w:tcPr>
            <w:tcW w:w="803" w:type="dxa"/>
          </w:tcPr>
          <w:p w14:paraId="25C07042" w14:textId="77777777" w:rsidR="00FA4AA8" w:rsidRDefault="0015611F">
            <w:pPr>
              <w:pStyle w:val="TableParagraph"/>
              <w:spacing w:line="182" w:lineRule="exact"/>
              <w:ind w:left="238"/>
              <w:rPr>
                <w:sz w:val="16"/>
              </w:rPr>
            </w:pPr>
            <w:r>
              <w:rPr>
                <w:sz w:val="16"/>
              </w:rPr>
              <w:t>loss</w:t>
            </w:r>
          </w:p>
        </w:tc>
        <w:tc>
          <w:tcPr>
            <w:tcW w:w="884" w:type="dxa"/>
          </w:tcPr>
          <w:p w14:paraId="629F5DDB" w14:textId="77777777" w:rsidR="00FA4AA8" w:rsidRDefault="0015611F">
            <w:pPr>
              <w:pStyle w:val="TableParagraph"/>
              <w:spacing w:line="182" w:lineRule="exact"/>
              <w:ind w:left="280"/>
              <w:rPr>
                <w:sz w:val="16"/>
              </w:rPr>
            </w:pPr>
            <w:r>
              <w:rPr>
                <w:sz w:val="16"/>
              </w:rPr>
              <w:t>cost</w:t>
            </w:r>
          </w:p>
        </w:tc>
        <w:tc>
          <w:tcPr>
            <w:tcW w:w="844" w:type="dxa"/>
          </w:tcPr>
          <w:p w14:paraId="16E07826" w14:textId="77777777" w:rsidR="00FA4AA8" w:rsidRDefault="0015611F">
            <w:pPr>
              <w:pStyle w:val="TableParagraph"/>
              <w:spacing w:line="182" w:lineRule="exact"/>
              <w:ind w:left="294"/>
              <w:rPr>
                <w:sz w:val="16"/>
              </w:rPr>
            </w:pPr>
            <w:r>
              <w:rPr>
                <w:sz w:val="16"/>
              </w:rPr>
              <w:t>OCI</w:t>
            </w:r>
          </w:p>
        </w:tc>
        <w:tc>
          <w:tcPr>
            <w:tcW w:w="870" w:type="dxa"/>
          </w:tcPr>
          <w:p w14:paraId="3C6DF843" w14:textId="77777777" w:rsidR="00FA4AA8" w:rsidRDefault="0015611F">
            <w:pPr>
              <w:pStyle w:val="TableParagraph"/>
              <w:spacing w:line="182" w:lineRule="exact"/>
              <w:ind w:left="223"/>
              <w:rPr>
                <w:sz w:val="16"/>
              </w:rPr>
            </w:pPr>
            <w:r>
              <w:rPr>
                <w:sz w:val="16"/>
              </w:rPr>
              <w:t>2018</w:t>
            </w:r>
          </w:p>
        </w:tc>
        <w:tc>
          <w:tcPr>
            <w:tcW w:w="804" w:type="dxa"/>
          </w:tcPr>
          <w:p w14:paraId="61D9ED7E" w14:textId="77777777" w:rsidR="00FA4AA8" w:rsidRDefault="0015611F">
            <w:pPr>
              <w:pStyle w:val="TableParagraph"/>
              <w:spacing w:line="182" w:lineRule="exact"/>
              <w:ind w:left="236"/>
              <w:rPr>
                <w:sz w:val="16"/>
              </w:rPr>
            </w:pPr>
            <w:r>
              <w:rPr>
                <w:sz w:val="16"/>
              </w:rPr>
              <w:t>loss</w:t>
            </w:r>
          </w:p>
        </w:tc>
        <w:tc>
          <w:tcPr>
            <w:tcW w:w="885" w:type="dxa"/>
          </w:tcPr>
          <w:p w14:paraId="0078DBBC" w14:textId="77777777" w:rsidR="00FA4AA8" w:rsidRDefault="0015611F">
            <w:pPr>
              <w:pStyle w:val="TableParagraph"/>
              <w:spacing w:line="182" w:lineRule="exact"/>
              <w:ind w:left="277"/>
              <w:rPr>
                <w:sz w:val="16"/>
              </w:rPr>
            </w:pPr>
            <w:r>
              <w:rPr>
                <w:sz w:val="16"/>
              </w:rPr>
              <w:t>cost</w:t>
            </w:r>
          </w:p>
        </w:tc>
        <w:tc>
          <w:tcPr>
            <w:tcW w:w="826" w:type="dxa"/>
          </w:tcPr>
          <w:p w14:paraId="3792706C" w14:textId="77777777" w:rsidR="00FA4AA8" w:rsidRDefault="0015611F">
            <w:pPr>
              <w:pStyle w:val="TableParagraph"/>
              <w:spacing w:line="182" w:lineRule="exact"/>
              <w:ind w:left="289"/>
              <w:rPr>
                <w:sz w:val="16"/>
              </w:rPr>
            </w:pPr>
            <w:r>
              <w:rPr>
                <w:sz w:val="16"/>
              </w:rPr>
              <w:t>OCI</w:t>
            </w:r>
          </w:p>
        </w:tc>
      </w:tr>
      <w:tr w:rsidR="00FA4AA8" w14:paraId="155129E4" w14:textId="77777777">
        <w:trPr>
          <w:trHeight w:val="291"/>
        </w:trPr>
        <w:tc>
          <w:tcPr>
            <w:tcW w:w="1891" w:type="dxa"/>
            <w:vMerge/>
            <w:tcBorders>
              <w:top w:val="nil"/>
            </w:tcBorders>
          </w:tcPr>
          <w:p w14:paraId="115CD966" w14:textId="77777777" w:rsidR="00FA4AA8" w:rsidRDefault="00FA4AA8">
            <w:pPr>
              <w:rPr>
                <w:sz w:val="2"/>
                <w:szCs w:val="2"/>
              </w:rPr>
            </w:pPr>
          </w:p>
        </w:tc>
        <w:tc>
          <w:tcPr>
            <w:tcW w:w="889" w:type="dxa"/>
          </w:tcPr>
          <w:p w14:paraId="320CC624" w14:textId="77777777" w:rsidR="00FA4AA8" w:rsidRDefault="0015611F">
            <w:pPr>
              <w:pStyle w:val="TableParagraph"/>
              <w:spacing w:before="31"/>
              <w:ind w:left="230"/>
              <w:rPr>
                <w:sz w:val="16"/>
              </w:rPr>
            </w:pPr>
            <w:r>
              <w:rPr>
                <w:sz w:val="16"/>
              </w:rPr>
              <w:t>$'000</w:t>
            </w:r>
          </w:p>
        </w:tc>
        <w:tc>
          <w:tcPr>
            <w:tcW w:w="803" w:type="dxa"/>
          </w:tcPr>
          <w:p w14:paraId="2F1A33BD" w14:textId="77777777" w:rsidR="00FA4AA8" w:rsidRDefault="0015611F">
            <w:pPr>
              <w:pStyle w:val="TableParagraph"/>
              <w:spacing w:before="31"/>
              <w:ind w:left="190"/>
              <w:rPr>
                <w:sz w:val="16"/>
              </w:rPr>
            </w:pPr>
            <w:r>
              <w:rPr>
                <w:sz w:val="16"/>
              </w:rPr>
              <w:t>$'000</w:t>
            </w:r>
          </w:p>
        </w:tc>
        <w:tc>
          <w:tcPr>
            <w:tcW w:w="884" w:type="dxa"/>
          </w:tcPr>
          <w:p w14:paraId="1B3F9947" w14:textId="77777777" w:rsidR="00FA4AA8" w:rsidRDefault="0015611F">
            <w:pPr>
              <w:pStyle w:val="TableParagraph"/>
              <w:spacing w:before="31"/>
              <w:ind w:left="237"/>
              <w:rPr>
                <w:sz w:val="16"/>
              </w:rPr>
            </w:pPr>
            <w:r>
              <w:rPr>
                <w:sz w:val="16"/>
              </w:rPr>
              <w:t>$'000</w:t>
            </w:r>
          </w:p>
        </w:tc>
        <w:tc>
          <w:tcPr>
            <w:tcW w:w="844" w:type="dxa"/>
          </w:tcPr>
          <w:p w14:paraId="71E7F46F" w14:textId="77777777" w:rsidR="00FA4AA8" w:rsidRDefault="0015611F">
            <w:pPr>
              <w:pStyle w:val="TableParagraph"/>
              <w:spacing w:before="31"/>
              <w:ind w:left="243"/>
              <w:rPr>
                <w:sz w:val="16"/>
              </w:rPr>
            </w:pPr>
            <w:r>
              <w:rPr>
                <w:sz w:val="16"/>
              </w:rPr>
              <w:t>$'000</w:t>
            </w:r>
          </w:p>
        </w:tc>
        <w:tc>
          <w:tcPr>
            <w:tcW w:w="870" w:type="dxa"/>
          </w:tcPr>
          <w:p w14:paraId="6A9936A4" w14:textId="77777777" w:rsidR="00FA4AA8" w:rsidRDefault="0015611F">
            <w:pPr>
              <w:pStyle w:val="TableParagraph"/>
              <w:spacing w:before="31"/>
              <w:ind w:left="208"/>
              <w:rPr>
                <w:sz w:val="16"/>
              </w:rPr>
            </w:pPr>
            <w:r>
              <w:rPr>
                <w:sz w:val="16"/>
              </w:rPr>
              <w:t>$'000</w:t>
            </w:r>
          </w:p>
        </w:tc>
        <w:tc>
          <w:tcPr>
            <w:tcW w:w="804" w:type="dxa"/>
          </w:tcPr>
          <w:p w14:paraId="12D21636" w14:textId="77777777" w:rsidR="00FA4AA8" w:rsidRDefault="0015611F">
            <w:pPr>
              <w:pStyle w:val="TableParagraph"/>
              <w:spacing w:before="31"/>
              <w:ind w:left="188"/>
              <w:rPr>
                <w:sz w:val="16"/>
              </w:rPr>
            </w:pPr>
            <w:r>
              <w:rPr>
                <w:sz w:val="16"/>
              </w:rPr>
              <w:t>$'000</w:t>
            </w:r>
          </w:p>
        </w:tc>
        <w:tc>
          <w:tcPr>
            <w:tcW w:w="885" w:type="dxa"/>
          </w:tcPr>
          <w:p w14:paraId="20AAC6EC" w14:textId="77777777" w:rsidR="00FA4AA8" w:rsidRDefault="0015611F">
            <w:pPr>
              <w:pStyle w:val="TableParagraph"/>
              <w:spacing w:before="31"/>
              <w:ind w:left="233"/>
              <w:rPr>
                <w:sz w:val="16"/>
              </w:rPr>
            </w:pPr>
            <w:r>
              <w:rPr>
                <w:sz w:val="16"/>
              </w:rPr>
              <w:t>$'000</w:t>
            </w:r>
          </w:p>
        </w:tc>
        <w:tc>
          <w:tcPr>
            <w:tcW w:w="826" w:type="dxa"/>
          </w:tcPr>
          <w:p w14:paraId="529E1324" w14:textId="77777777" w:rsidR="00FA4AA8" w:rsidRDefault="0015611F">
            <w:pPr>
              <w:pStyle w:val="TableParagraph"/>
              <w:spacing w:before="31"/>
              <w:ind w:left="239"/>
              <w:rPr>
                <w:sz w:val="16"/>
              </w:rPr>
            </w:pPr>
            <w:r>
              <w:rPr>
                <w:sz w:val="16"/>
              </w:rPr>
              <w:t>$'000</w:t>
            </w:r>
          </w:p>
        </w:tc>
      </w:tr>
      <w:tr w:rsidR="00FA4AA8" w14:paraId="401356A0" w14:textId="77777777">
        <w:trPr>
          <w:trHeight w:val="257"/>
        </w:trPr>
        <w:tc>
          <w:tcPr>
            <w:tcW w:w="1891" w:type="dxa"/>
          </w:tcPr>
          <w:p w14:paraId="65C0D330" w14:textId="77777777" w:rsidR="00FA4AA8" w:rsidRDefault="0015611F">
            <w:pPr>
              <w:pStyle w:val="TableParagraph"/>
              <w:spacing w:before="71" w:line="167" w:lineRule="exact"/>
              <w:ind w:left="50"/>
              <w:rPr>
                <w:b/>
                <w:sz w:val="16"/>
              </w:rPr>
            </w:pPr>
            <w:r>
              <w:rPr>
                <w:b/>
                <w:sz w:val="16"/>
              </w:rPr>
              <w:t>AASB139 measurement</w:t>
            </w:r>
          </w:p>
        </w:tc>
        <w:tc>
          <w:tcPr>
            <w:tcW w:w="889" w:type="dxa"/>
          </w:tcPr>
          <w:p w14:paraId="3172BD98" w14:textId="77777777" w:rsidR="00FA4AA8" w:rsidRDefault="00FA4AA8">
            <w:pPr>
              <w:pStyle w:val="TableParagraph"/>
              <w:rPr>
                <w:rFonts w:ascii="Times New Roman"/>
                <w:sz w:val="16"/>
              </w:rPr>
            </w:pPr>
          </w:p>
        </w:tc>
        <w:tc>
          <w:tcPr>
            <w:tcW w:w="803" w:type="dxa"/>
          </w:tcPr>
          <w:p w14:paraId="19E02BF0" w14:textId="77777777" w:rsidR="00FA4AA8" w:rsidRDefault="00FA4AA8">
            <w:pPr>
              <w:pStyle w:val="TableParagraph"/>
              <w:rPr>
                <w:rFonts w:ascii="Times New Roman"/>
                <w:sz w:val="16"/>
              </w:rPr>
            </w:pPr>
          </w:p>
        </w:tc>
        <w:tc>
          <w:tcPr>
            <w:tcW w:w="884" w:type="dxa"/>
          </w:tcPr>
          <w:p w14:paraId="4802671C" w14:textId="77777777" w:rsidR="00FA4AA8" w:rsidRDefault="00FA4AA8">
            <w:pPr>
              <w:pStyle w:val="TableParagraph"/>
              <w:rPr>
                <w:rFonts w:ascii="Times New Roman"/>
                <w:sz w:val="16"/>
              </w:rPr>
            </w:pPr>
          </w:p>
        </w:tc>
        <w:tc>
          <w:tcPr>
            <w:tcW w:w="844" w:type="dxa"/>
          </w:tcPr>
          <w:p w14:paraId="1F3A7D9B" w14:textId="77777777" w:rsidR="00FA4AA8" w:rsidRDefault="00FA4AA8">
            <w:pPr>
              <w:pStyle w:val="TableParagraph"/>
              <w:rPr>
                <w:rFonts w:ascii="Times New Roman"/>
                <w:sz w:val="16"/>
              </w:rPr>
            </w:pPr>
          </w:p>
        </w:tc>
        <w:tc>
          <w:tcPr>
            <w:tcW w:w="870" w:type="dxa"/>
          </w:tcPr>
          <w:p w14:paraId="21F17462" w14:textId="77777777" w:rsidR="00FA4AA8" w:rsidRDefault="00FA4AA8">
            <w:pPr>
              <w:pStyle w:val="TableParagraph"/>
              <w:rPr>
                <w:rFonts w:ascii="Times New Roman"/>
                <w:sz w:val="16"/>
              </w:rPr>
            </w:pPr>
          </w:p>
        </w:tc>
        <w:tc>
          <w:tcPr>
            <w:tcW w:w="804" w:type="dxa"/>
          </w:tcPr>
          <w:p w14:paraId="470A9B9C" w14:textId="77777777" w:rsidR="00FA4AA8" w:rsidRDefault="00FA4AA8">
            <w:pPr>
              <w:pStyle w:val="TableParagraph"/>
              <w:rPr>
                <w:rFonts w:ascii="Times New Roman"/>
                <w:sz w:val="16"/>
              </w:rPr>
            </w:pPr>
          </w:p>
        </w:tc>
        <w:tc>
          <w:tcPr>
            <w:tcW w:w="885" w:type="dxa"/>
          </w:tcPr>
          <w:p w14:paraId="7D007880" w14:textId="77777777" w:rsidR="00FA4AA8" w:rsidRDefault="00FA4AA8">
            <w:pPr>
              <w:pStyle w:val="TableParagraph"/>
              <w:rPr>
                <w:rFonts w:ascii="Times New Roman"/>
                <w:sz w:val="16"/>
              </w:rPr>
            </w:pPr>
          </w:p>
        </w:tc>
        <w:tc>
          <w:tcPr>
            <w:tcW w:w="826" w:type="dxa"/>
          </w:tcPr>
          <w:p w14:paraId="161BB59F" w14:textId="77777777" w:rsidR="00FA4AA8" w:rsidRDefault="00FA4AA8">
            <w:pPr>
              <w:pStyle w:val="TableParagraph"/>
              <w:rPr>
                <w:rFonts w:ascii="Times New Roman"/>
                <w:sz w:val="16"/>
              </w:rPr>
            </w:pPr>
          </w:p>
        </w:tc>
      </w:tr>
      <w:tr w:rsidR="00FA4AA8" w14:paraId="57D89409" w14:textId="77777777">
        <w:trPr>
          <w:trHeight w:val="241"/>
        </w:trPr>
        <w:tc>
          <w:tcPr>
            <w:tcW w:w="1891" w:type="dxa"/>
          </w:tcPr>
          <w:p w14:paraId="40EF0500" w14:textId="77777777" w:rsidR="00FA4AA8" w:rsidRDefault="0015611F">
            <w:pPr>
              <w:pStyle w:val="TableParagraph"/>
              <w:spacing w:line="182" w:lineRule="exact"/>
              <w:ind w:left="50"/>
              <w:rPr>
                <w:b/>
                <w:sz w:val="16"/>
              </w:rPr>
            </w:pPr>
            <w:r>
              <w:rPr>
                <w:b/>
                <w:sz w:val="16"/>
              </w:rPr>
              <w:t>category</w:t>
            </w:r>
          </w:p>
        </w:tc>
        <w:tc>
          <w:tcPr>
            <w:tcW w:w="889" w:type="dxa"/>
          </w:tcPr>
          <w:p w14:paraId="2C9FB8C7" w14:textId="77777777" w:rsidR="00FA4AA8" w:rsidRDefault="00FA4AA8">
            <w:pPr>
              <w:pStyle w:val="TableParagraph"/>
              <w:rPr>
                <w:rFonts w:ascii="Times New Roman"/>
                <w:sz w:val="16"/>
              </w:rPr>
            </w:pPr>
          </w:p>
        </w:tc>
        <w:tc>
          <w:tcPr>
            <w:tcW w:w="803" w:type="dxa"/>
          </w:tcPr>
          <w:p w14:paraId="068073BA" w14:textId="77777777" w:rsidR="00FA4AA8" w:rsidRDefault="00FA4AA8">
            <w:pPr>
              <w:pStyle w:val="TableParagraph"/>
              <w:rPr>
                <w:rFonts w:ascii="Times New Roman"/>
                <w:sz w:val="16"/>
              </w:rPr>
            </w:pPr>
          </w:p>
        </w:tc>
        <w:tc>
          <w:tcPr>
            <w:tcW w:w="884" w:type="dxa"/>
          </w:tcPr>
          <w:p w14:paraId="08E45A59" w14:textId="77777777" w:rsidR="00FA4AA8" w:rsidRDefault="00FA4AA8">
            <w:pPr>
              <w:pStyle w:val="TableParagraph"/>
              <w:rPr>
                <w:rFonts w:ascii="Times New Roman"/>
                <w:sz w:val="16"/>
              </w:rPr>
            </w:pPr>
          </w:p>
        </w:tc>
        <w:tc>
          <w:tcPr>
            <w:tcW w:w="844" w:type="dxa"/>
          </w:tcPr>
          <w:p w14:paraId="3B6ACF84" w14:textId="77777777" w:rsidR="00FA4AA8" w:rsidRDefault="00FA4AA8">
            <w:pPr>
              <w:pStyle w:val="TableParagraph"/>
              <w:rPr>
                <w:rFonts w:ascii="Times New Roman"/>
                <w:sz w:val="16"/>
              </w:rPr>
            </w:pPr>
          </w:p>
        </w:tc>
        <w:tc>
          <w:tcPr>
            <w:tcW w:w="870" w:type="dxa"/>
          </w:tcPr>
          <w:p w14:paraId="0BA7C3DD" w14:textId="77777777" w:rsidR="00FA4AA8" w:rsidRDefault="00FA4AA8">
            <w:pPr>
              <w:pStyle w:val="TableParagraph"/>
              <w:rPr>
                <w:rFonts w:ascii="Times New Roman"/>
                <w:sz w:val="16"/>
              </w:rPr>
            </w:pPr>
          </w:p>
        </w:tc>
        <w:tc>
          <w:tcPr>
            <w:tcW w:w="804" w:type="dxa"/>
          </w:tcPr>
          <w:p w14:paraId="3E119EA5" w14:textId="77777777" w:rsidR="00FA4AA8" w:rsidRDefault="00FA4AA8">
            <w:pPr>
              <w:pStyle w:val="TableParagraph"/>
              <w:rPr>
                <w:rFonts w:ascii="Times New Roman"/>
                <w:sz w:val="16"/>
              </w:rPr>
            </w:pPr>
          </w:p>
        </w:tc>
        <w:tc>
          <w:tcPr>
            <w:tcW w:w="885" w:type="dxa"/>
          </w:tcPr>
          <w:p w14:paraId="450003F8" w14:textId="77777777" w:rsidR="00FA4AA8" w:rsidRDefault="00FA4AA8">
            <w:pPr>
              <w:pStyle w:val="TableParagraph"/>
              <w:rPr>
                <w:rFonts w:ascii="Times New Roman"/>
                <w:sz w:val="16"/>
              </w:rPr>
            </w:pPr>
          </w:p>
        </w:tc>
        <w:tc>
          <w:tcPr>
            <w:tcW w:w="826" w:type="dxa"/>
          </w:tcPr>
          <w:p w14:paraId="2CA52DBE" w14:textId="77777777" w:rsidR="00FA4AA8" w:rsidRDefault="00FA4AA8">
            <w:pPr>
              <w:pStyle w:val="TableParagraph"/>
              <w:rPr>
                <w:rFonts w:ascii="Times New Roman"/>
                <w:sz w:val="16"/>
              </w:rPr>
            </w:pPr>
          </w:p>
        </w:tc>
      </w:tr>
      <w:tr w:rsidR="00FA4AA8" w14:paraId="64141687" w14:textId="77777777">
        <w:trPr>
          <w:trHeight w:val="255"/>
        </w:trPr>
        <w:tc>
          <w:tcPr>
            <w:tcW w:w="1891" w:type="dxa"/>
          </w:tcPr>
          <w:p w14:paraId="2AB3F816" w14:textId="77777777" w:rsidR="00FA4AA8" w:rsidRDefault="0015611F">
            <w:pPr>
              <w:pStyle w:val="TableParagraph"/>
              <w:spacing w:before="54" w:line="181" w:lineRule="exact"/>
              <w:ind w:left="50"/>
              <w:rPr>
                <w:b/>
                <w:sz w:val="16"/>
              </w:rPr>
            </w:pPr>
            <w:r>
              <w:rPr>
                <w:b/>
                <w:sz w:val="16"/>
              </w:rPr>
              <w:t>Loans and receivables</w:t>
            </w:r>
          </w:p>
        </w:tc>
        <w:tc>
          <w:tcPr>
            <w:tcW w:w="889" w:type="dxa"/>
          </w:tcPr>
          <w:p w14:paraId="55411D29" w14:textId="77777777" w:rsidR="00FA4AA8" w:rsidRDefault="00FA4AA8">
            <w:pPr>
              <w:pStyle w:val="TableParagraph"/>
              <w:rPr>
                <w:rFonts w:ascii="Times New Roman"/>
                <w:sz w:val="16"/>
              </w:rPr>
            </w:pPr>
          </w:p>
        </w:tc>
        <w:tc>
          <w:tcPr>
            <w:tcW w:w="803" w:type="dxa"/>
          </w:tcPr>
          <w:p w14:paraId="3E089E70" w14:textId="77777777" w:rsidR="00FA4AA8" w:rsidRDefault="00FA4AA8">
            <w:pPr>
              <w:pStyle w:val="TableParagraph"/>
              <w:rPr>
                <w:rFonts w:ascii="Times New Roman"/>
                <w:sz w:val="16"/>
              </w:rPr>
            </w:pPr>
          </w:p>
        </w:tc>
        <w:tc>
          <w:tcPr>
            <w:tcW w:w="884" w:type="dxa"/>
          </w:tcPr>
          <w:p w14:paraId="6BB301C8" w14:textId="77777777" w:rsidR="00FA4AA8" w:rsidRDefault="00FA4AA8">
            <w:pPr>
              <w:pStyle w:val="TableParagraph"/>
              <w:rPr>
                <w:rFonts w:ascii="Times New Roman"/>
                <w:sz w:val="16"/>
              </w:rPr>
            </w:pPr>
          </w:p>
        </w:tc>
        <w:tc>
          <w:tcPr>
            <w:tcW w:w="844" w:type="dxa"/>
          </w:tcPr>
          <w:p w14:paraId="4D58405B" w14:textId="77777777" w:rsidR="00FA4AA8" w:rsidRDefault="00FA4AA8">
            <w:pPr>
              <w:pStyle w:val="TableParagraph"/>
              <w:rPr>
                <w:rFonts w:ascii="Times New Roman"/>
                <w:sz w:val="16"/>
              </w:rPr>
            </w:pPr>
          </w:p>
        </w:tc>
        <w:tc>
          <w:tcPr>
            <w:tcW w:w="870" w:type="dxa"/>
          </w:tcPr>
          <w:p w14:paraId="4DA9AFB6" w14:textId="77777777" w:rsidR="00FA4AA8" w:rsidRDefault="00FA4AA8">
            <w:pPr>
              <w:pStyle w:val="TableParagraph"/>
              <w:rPr>
                <w:rFonts w:ascii="Times New Roman"/>
                <w:sz w:val="16"/>
              </w:rPr>
            </w:pPr>
          </w:p>
        </w:tc>
        <w:tc>
          <w:tcPr>
            <w:tcW w:w="804" w:type="dxa"/>
          </w:tcPr>
          <w:p w14:paraId="01C6ABFE" w14:textId="77777777" w:rsidR="00FA4AA8" w:rsidRDefault="00FA4AA8">
            <w:pPr>
              <w:pStyle w:val="TableParagraph"/>
              <w:rPr>
                <w:rFonts w:ascii="Times New Roman"/>
                <w:sz w:val="16"/>
              </w:rPr>
            </w:pPr>
          </w:p>
        </w:tc>
        <w:tc>
          <w:tcPr>
            <w:tcW w:w="885" w:type="dxa"/>
          </w:tcPr>
          <w:p w14:paraId="3DC0DEB4" w14:textId="77777777" w:rsidR="00FA4AA8" w:rsidRDefault="00FA4AA8">
            <w:pPr>
              <w:pStyle w:val="TableParagraph"/>
              <w:rPr>
                <w:rFonts w:ascii="Times New Roman"/>
                <w:sz w:val="16"/>
              </w:rPr>
            </w:pPr>
          </w:p>
        </w:tc>
        <w:tc>
          <w:tcPr>
            <w:tcW w:w="826" w:type="dxa"/>
          </w:tcPr>
          <w:p w14:paraId="2B2C7869" w14:textId="77777777" w:rsidR="00FA4AA8" w:rsidRDefault="00FA4AA8">
            <w:pPr>
              <w:pStyle w:val="TableParagraph"/>
              <w:rPr>
                <w:rFonts w:ascii="Times New Roman"/>
                <w:sz w:val="16"/>
              </w:rPr>
            </w:pPr>
          </w:p>
        </w:tc>
      </w:tr>
      <w:tr w:rsidR="00FA4AA8" w14:paraId="14688847" w14:textId="77777777">
        <w:trPr>
          <w:trHeight w:val="271"/>
        </w:trPr>
        <w:tc>
          <w:tcPr>
            <w:tcW w:w="1891" w:type="dxa"/>
          </w:tcPr>
          <w:p w14:paraId="71B136B2" w14:textId="77777777" w:rsidR="00FA4AA8" w:rsidRDefault="0015611F">
            <w:pPr>
              <w:pStyle w:val="TableParagraph"/>
              <w:spacing w:before="15"/>
              <w:ind w:left="50"/>
              <w:rPr>
                <w:sz w:val="16"/>
              </w:rPr>
            </w:pPr>
            <w:r>
              <w:rPr>
                <w:sz w:val="16"/>
              </w:rPr>
              <w:t>Trade receivables**</w:t>
            </w:r>
          </w:p>
        </w:tc>
        <w:tc>
          <w:tcPr>
            <w:tcW w:w="889" w:type="dxa"/>
          </w:tcPr>
          <w:p w14:paraId="368C3BF5" w14:textId="77777777" w:rsidR="00FA4AA8" w:rsidRDefault="0015611F">
            <w:pPr>
              <w:pStyle w:val="TableParagraph"/>
              <w:spacing w:before="12"/>
              <w:ind w:right="114"/>
              <w:jc w:val="right"/>
              <w:rPr>
                <w:sz w:val="16"/>
              </w:rPr>
            </w:pPr>
            <w:r>
              <w:rPr>
                <w:sz w:val="16"/>
              </w:rPr>
              <w:t>443,631</w:t>
            </w:r>
          </w:p>
        </w:tc>
        <w:tc>
          <w:tcPr>
            <w:tcW w:w="803" w:type="dxa"/>
          </w:tcPr>
          <w:p w14:paraId="3CE4F20E" w14:textId="77777777" w:rsidR="00FA4AA8" w:rsidRDefault="0015611F">
            <w:pPr>
              <w:pStyle w:val="TableParagraph"/>
              <w:spacing w:before="12"/>
              <w:ind w:right="67"/>
              <w:jc w:val="right"/>
              <w:rPr>
                <w:sz w:val="16"/>
              </w:rPr>
            </w:pPr>
            <w:r>
              <w:rPr>
                <w:sz w:val="16"/>
              </w:rPr>
              <w:t>-</w:t>
            </w:r>
          </w:p>
        </w:tc>
        <w:tc>
          <w:tcPr>
            <w:tcW w:w="884" w:type="dxa"/>
          </w:tcPr>
          <w:p w14:paraId="3626EAF0" w14:textId="77777777" w:rsidR="00FA4AA8" w:rsidRDefault="0015611F">
            <w:pPr>
              <w:pStyle w:val="TableParagraph"/>
              <w:spacing w:before="12"/>
              <w:ind w:right="102"/>
              <w:jc w:val="right"/>
              <w:rPr>
                <w:sz w:val="16"/>
              </w:rPr>
            </w:pPr>
            <w:r>
              <w:rPr>
                <w:sz w:val="16"/>
              </w:rPr>
              <w:t>443,631</w:t>
            </w:r>
          </w:p>
        </w:tc>
        <w:tc>
          <w:tcPr>
            <w:tcW w:w="844" w:type="dxa"/>
          </w:tcPr>
          <w:p w14:paraId="0E0FC997" w14:textId="77777777" w:rsidR="00FA4AA8" w:rsidRDefault="0015611F">
            <w:pPr>
              <w:pStyle w:val="TableParagraph"/>
              <w:spacing w:before="12"/>
              <w:ind w:right="95"/>
              <w:jc w:val="right"/>
              <w:rPr>
                <w:sz w:val="16"/>
              </w:rPr>
            </w:pPr>
            <w:r>
              <w:rPr>
                <w:sz w:val="16"/>
              </w:rPr>
              <w:t>-</w:t>
            </w:r>
          </w:p>
        </w:tc>
        <w:tc>
          <w:tcPr>
            <w:tcW w:w="870" w:type="dxa"/>
          </w:tcPr>
          <w:p w14:paraId="0EB55583" w14:textId="77777777" w:rsidR="00FA4AA8" w:rsidRDefault="0015611F">
            <w:pPr>
              <w:pStyle w:val="TableParagraph"/>
              <w:spacing w:before="12"/>
              <w:ind w:right="116"/>
              <w:jc w:val="right"/>
              <w:rPr>
                <w:sz w:val="16"/>
              </w:rPr>
            </w:pPr>
            <w:r>
              <w:rPr>
                <w:sz w:val="16"/>
              </w:rPr>
              <w:t>441,957</w:t>
            </w:r>
          </w:p>
        </w:tc>
        <w:tc>
          <w:tcPr>
            <w:tcW w:w="804" w:type="dxa"/>
          </w:tcPr>
          <w:p w14:paraId="5D9E4A25" w14:textId="77777777" w:rsidR="00FA4AA8" w:rsidRDefault="0015611F">
            <w:pPr>
              <w:pStyle w:val="TableParagraph"/>
              <w:spacing w:before="12"/>
              <w:ind w:right="70"/>
              <w:jc w:val="right"/>
              <w:rPr>
                <w:sz w:val="16"/>
              </w:rPr>
            </w:pPr>
            <w:r>
              <w:rPr>
                <w:sz w:val="16"/>
              </w:rPr>
              <w:t>-</w:t>
            </w:r>
          </w:p>
        </w:tc>
        <w:tc>
          <w:tcPr>
            <w:tcW w:w="885" w:type="dxa"/>
          </w:tcPr>
          <w:p w14:paraId="1C8F5931" w14:textId="77777777" w:rsidR="00FA4AA8" w:rsidRDefault="0015611F">
            <w:pPr>
              <w:pStyle w:val="TableParagraph"/>
              <w:spacing w:before="12"/>
              <w:ind w:right="106"/>
              <w:jc w:val="right"/>
              <w:rPr>
                <w:sz w:val="16"/>
              </w:rPr>
            </w:pPr>
            <w:r>
              <w:rPr>
                <w:sz w:val="16"/>
              </w:rPr>
              <w:t>441,957</w:t>
            </w:r>
          </w:p>
        </w:tc>
        <w:tc>
          <w:tcPr>
            <w:tcW w:w="826" w:type="dxa"/>
          </w:tcPr>
          <w:p w14:paraId="425D67EB" w14:textId="77777777" w:rsidR="00FA4AA8" w:rsidRDefault="0015611F">
            <w:pPr>
              <w:pStyle w:val="TableParagraph"/>
              <w:spacing w:before="12"/>
              <w:ind w:right="82"/>
              <w:jc w:val="right"/>
              <w:rPr>
                <w:sz w:val="16"/>
              </w:rPr>
            </w:pPr>
            <w:r>
              <w:rPr>
                <w:sz w:val="16"/>
              </w:rPr>
              <w:t>-</w:t>
            </w:r>
          </w:p>
        </w:tc>
      </w:tr>
      <w:tr w:rsidR="00FA4AA8" w14:paraId="6AC0790C" w14:textId="77777777">
        <w:trPr>
          <w:trHeight w:val="268"/>
        </w:trPr>
        <w:tc>
          <w:tcPr>
            <w:tcW w:w="1891" w:type="dxa"/>
          </w:tcPr>
          <w:p w14:paraId="0940C079" w14:textId="77777777" w:rsidR="00FA4AA8" w:rsidRDefault="0015611F">
            <w:pPr>
              <w:pStyle w:val="TableParagraph"/>
              <w:spacing w:before="67" w:line="181" w:lineRule="exact"/>
              <w:ind w:left="50"/>
              <w:rPr>
                <w:b/>
                <w:sz w:val="16"/>
              </w:rPr>
            </w:pPr>
            <w:r>
              <w:rPr>
                <w:b/>
                <w:sz w:val="16"/>
              </w:rPr>
              <w:t>Available for sale</w:t>
            </w:r>
          </w:p>
        </w:tc>
        <w:tc>
          <w:tcPr>
            <w:tcW w:w="889" w:type="dxa"/>
          </w:tcPr>
          <w:p w14:paraId="142489AC" w14:textId="77777777" w:rsidR="00FA4AA8" w:rsidRDefault="00FA4AA8">
            <w:pPr>
              <w:pStyle w:val="TableParagraph"/>
              <w:rPr>
                <w:rFonts w:ascii="Times New Roman"/>
                <w:sz w:val="16"/>
              </w:rPr>
            </w:pPr>
          </w:p>
        </w:tc>
        <w:tc>
          <w:tcPr>
            <w:tcW w:w="803" w:type="dxa"/>
          </w:tcPr>
          <w:p w14:paraId="58C2494D" w14:textId="77777777" w:rsidR="00FA4AA8" w:rsidRDefault="00FA4AA8">
            <w:pPr>
              <w:pStyle w:val="TableParagraph"/>
              <w:rPr>
                <w:rFonts w:ascii="Times New Roman"/>
                <w:sz w:val="16"/>
              </w:rPr>
            </w:pPr>
          </w:p>
        </w:tc>
        <w:tc>
          <w:tcPr>
            <w:tcW w:w="884" w:type="dxa"/>
          </w:tcPr>
          <w:p w14:paraId="3082E331" w14:textId="77777777" w:rsidR="00FA4AA8" w:rsidRDefault="00FA4AA8">
            <w:pPr>
              <w:pStyle w:val="TableParagraph"/>
              <w:rPr>
                <w:rFonts w:ascii="Times New Roman"/>
                <w:sz w:val="16"/>
              </w:rPr>
            </w:pPr>
          </w:p>
        </w:tc>
        <w:tc>
          <w:tcPr>
            <w:tcW w:w="844" w:type="dxa"/>
          </w:tcPr>
          <w:p w14:paraId="2852AEF0" w14:textId="77777777" w:rsidR="00FA4AA8" w:rsidRDefault="00FA4AA8">
            <w:pPr>
              <w:pStyle w:val="TableParagraph"/>
              <w:rPr>
                <w:rFonts w:ascii="Times New Roman"/>
                <w:sz w:val="16"/>
              </w:rPr>
            </w:pPr>
          </w:p>
        </w:tc>
        <w:tc>
          <w:tcPr>
            <w:tcW w:w="870" w:type="dxa"/>
          </w:tcPr>
          <w:p w14:paraId="070DE264" w14:textId="77777777" w:rsidR="00FA4AA8" w:rsidRDefault="00FA4AA8">
            <w:pPr>
              <w:pStyle w:val="TableParagraph"/>
              <w:rPr>
                <w:rFonts w:ascii="Times New Roman"/>
                <w:sz w:val="16"/>
              </w:rPr>
            </w:pPr>
          </w:p>
        </w:tc>
        <w:tc>
          <w:tcPr>
            <w:tcW w:w="804" w:type="dxa"/>
          </w:tcPr>
          <w:p w14:paraId="3AB2C875" w14:textId="77777777" w:rsidR="00FA4AA8" w:rsidRDefault="00FA4AA8">
            <w:pPr>
              <w:pStyle w:val="TableParagraph"/>
              <w:rPr>
                <w:rFonts w:ascii="Times New Roman"/>
                <w:sz w:val="16"/>
              </w:rPr>
            </w:pPr>
          </w:p>
        </w:tc>
        <w:tc>
          <w:tcPr>
            <w:tcW w:w="885" w:type="dxa"/>
          </w:tcPr>
          <w:p w14:paraId="77C0F7D5" w14:textId="77777777" w:rsidR="00FA4AA8" w:rsidRDefault="00FA4AA8">
            <w:pPr>
              <w:pStyle w:val="TableParagraph"/>
              <w:rPr>
                <w:rFonts w:ascii="Times New Roman"/>
                <w:sz w:val="16"/>
              </w:rPr>
            </w:pPr>
          </w:p>
        </w:tc>
        <w:tc>
          <w:tcPr>
            <w:tcW w:w="826" w:type="dxa"/>
          </w:tcPr>
          <w:p w14:paraId="40F0A396" w14:textId="77777777" w:rsidR="00FA4AA8" w:rsidRDefault="00FA4AA8">
            <w:pPr>
              <w:pStyle w:val="TableParagraph"/>
              <w:rPr>
                <w:rFonts w:ascii="Times New Roman"/>
                <w:sz w:val="16"/>
              </w:rPr>
            </w:pPr>
          </w:p>
        </w:tc>
      </w:tr>
      <w:tr w:rsidR="00FA4AA8" w14:paraId="5C15CE7E" w14:textId="77777777">
        <w:trPr>
          <w:trHeight w:val="227"/>
        </w:trPr>
        <w:tc>
          <w:tcPr>
            <w:tcW w:w="1891" w:type="dxa"/>
          </w:tcPr>
          <w:p w14:paraId="74F0AD1A" w14:textId="77777777" w:rsidR="00FA4AA8" w:rsidRDefault="0015611F">
            <w:pPr>
              <w:pStyle w:val="TableParagraph"/>
              <w:spacing w:before="15"/>
              <w:ind w:left="50"/>
              <w:rPr>
                <w:sz w:val="16"/>
              </w:rPr>
            </w:pPr>
            <w:r>
              <w:rPr>
                <w:sz w:val="16"/>
              </w:rPr>
              <w:t>Listed equity investments</w:t>
            </w:r>
          </w:p>
        </w:tc>
        <w:tc>
          <w:tcPr>
            <w:tcW w:w="889" w:type="dxa"/>
          </w:tcPr>
          <w:p w14:paraId="502DC64A" w14:textId="77777777" w:rsidR="00FA4AA8" w:rsidRDefault="0015611F">
            <w:pPr>
              <w:pStyle w:val="TableParagraph"/>
              <w:spacing w:before="12"/>
              <w:ind w:right="114"/>
              <w:jc w:val="right"/>
              <w:rPr>
                <w:sz w:val="16"/>
              </w:rPr>
            </w:pPr>
            <w:r>
              <w:rPr>
                <w:sz w:val="16"/>
              </w:rPr>
              <w:t>80,299</w:t>
            </w:r>
          </w:p>
        </w:tc>
        <w:tc>
          <w:tcPr>
            <w:tcW w:w="803" w:type="dxa"/>
          </w:tcPr>
          <w:p w14:paraId="071CEADD" w14:textId="77777777" w:rsidR="00FA4AA8" w:rsidRDefault="0015611F">
            <w:pPr>
              <w:pStyle w:val="TableParagraph"/>
              <w:spacing w:before="12"/>
              <w:ind w:right="67"/>
              <w:jc w:val="right"/>
              <w:rPr>
                <w:sz w:val="16"/>
              </w:rPr>
            </w:pPr>
            <w:r>
              <w:rPr>
                <w:sz w:val="16"/>
              </w:rPr>
              <w:t>80,299</w:t>
            </w:r>
          </w:p>
        </w:tc>
        <w:tc>
          <w:tcPr>
            <w:tcW w:w="884" w:type="dxa"/>
          </w:tcPr>
          <w:p w14:paraId="7B6ADBED" w14:textId="77777777" w:rsidR="00FA4AA8" w:rsidRDefault="0015611F">
            <w:pPr>
              <w:pStyle w:val="TableParagraph"/>
              <w:spacing w:before="12"/>
              <w:ind w:right="101"/>
              <w:jc w:val="right"/>
              <w:rPr>
                <w:sz w:val="16"/>
              </w:rPr>
            </w:pPr>
            <w:r>
              <w:rPr>
                <w:sz w:val="16"/>
              </w:rPr>
              <w:t>-</w:t>
            </w:r>
          </w:p>
        </w:tc>
        <w:tc>
          <w:tcPr>
            <w:tcW w:w="844" w:type="dxa"/>
          </w:tcPr>
          <w:p w14:paraId="4D84036A" w14:textId="77777777" w:rsidR="00FA4AA8" w:rsidRDefault="0015611F">
            <w:pPr>
              <w:pStyle w:val="TableParagraph"/>
              <w:spacing w:before="12"/>
              <w:ind w:right="95"/>
              <w:jc w:val="right"/>
              <w:rPr>
                <w:sz w:val="16"/>
              </w:rPr>
            </w:pPr>
            <w:r>
              <w:rPr>
                <w:sz w:val="16"/>
              </w:rPr>
              <w:t>-</w:t>
            </w:r>
          </w:p>
        </w:tc>
        <w:tc>
          <w:tcPr>
            <w:tcW w:w="870" w:type="dxa"/>
          </w:tcPr>
          <w:p w14:paraId="5C83DE23" w14:textId="77777777" w:rsidR="00FA4AA8" w:rsidRDefault="0015611F">
            <w:pPr>
              <w:pStyle w:val="TableParagraph"/>
              <w:spacing w:before="12"/>
              <w:ind w:right="116"/>
              <w:jc w:val="right"/>
              <w:rPr>
                <w:sz w:val="16"/>
              </w:rPr>
            </w:pPr>
            <w:r>
              <w:rPr>
                <w:sz w:val="16"/>
              </w:rPr>
              <w:t>80,299</w:t>
            </w:r>
          </w:p>
        </w:tc>
        <w:tc>
          <w:tcPr>
            <w:tcW w:w="804" w:type="dxa"/>
          </w:tcPr>
          <w:p w14:paraId="49EDBC61" w14:textId="77777777" w:rsidR="00FA4AA8" w:rsidRDefault="0015611F">
            <w:pPr>
              <w:pStyle w:val="TableParagraph"/>
              <w:spacing w:before="12"/>
              <w:ind w:right="71"/>
              <w:jc w:val="right"/>
              <w:rPr>
                <w:sz w:val="16"/>
              </w:rPr>
            </w:pPr>
            <w:r>
              <w:rPr>
                <w:sz w:val="16"/>
              </w:rPr>
              <w:t>80,299</w:t>
            </w:r>
          </w:p>
        </w:tc>
        <w:tc>
          <w:tcPr>
            <w:tcW w:w="885" w:type="dxa"/>
          </w:tcPr>
          <w:p w14:paraId="4060C302" w14:textId="77777777" w:rsidR="00FA4AA8" w:rsidRDefault="0015611F">
            <w:pPr>
              <w:pStyle w:val="TableParagraph"/>
              <w:spacing w:before="12"/>
              <w:ind w:right="106"/>
              <w:jc w:val="right"/>
              <w:rPr>
                <w:sz w:val="16"/>
              </w:rPr>
            </w:pPr>
            <w:r>
              <w:rPr>
                <w:sz w:val="16"/>
              </w:rPr>
              <w:t>-</w:t>
            </w:r>
          </w:p>
        </w:tc>
        <w:tc>
          <w:tcPr>
            <w:tcW w:w="826" w:type="dxa"/>
          </w:tcPr>
          <w:p w14:paraId="5B260189" w14:textId="77777777" w:rsidR="00FA4AA8" w:rsidRDefault="0015611F">
            <w:pPr>
              <w:pStyle w:val="TableParagraph"/>
              <w:spacing w:before="12"/>
              <w:ind w:right="82"/>
              <w:jc w:val="right"/>
              <w:rPr>
                <w:sz w:val="16"/>
              </w:rPr>
            </w:pPr>
            <w:r>
              <w:rPr>
                <w:sz w:val="16"/>
              </w:rPr>
              <w:t>-</w:t>
            </w:r>
          </w:p>
        </w:tc>
      </w:tr>
      <w:tr w:rsidR="00FA4AA8" w14:paraId="08623D37" w14:textId="77777777">
        <w:trPr>
          <w:trHeight w:val="422"/>
        </w:trPr>
        <w:tc>
          <w:tcPr>
            <w:tcW w:w="1891" w:type="dxa"/>
          </w:tcPr>
          <w:p w14:paraId="4B9F9CED" w14:textId="77777777" w:rsidR="00FA4AA8" w:rsidRDefault="0015611F">
            <w:pPr>
              <w:pStyle w:val="TableParagraph"/>
              <w:spacing w:before="24"/>
              <w:ind w:left="50" w:right="629"/>
              <w:rPr>
                <w:sz w:val="16"/>
              </w:rPr>
            </w:pPr>
            <w:r>
              <w:rPr>
                <w:sz w:val="16"/>
              </w:rPr>
              <w:t>Non-listed equity investments</w:t>
            </w:r>
          </w:p>
        </w:tc>
        <w:tc>
          <w:tcPr>
            <w:tcW w:w="889" w:type="dxa"/>
          </w:tcPr>
          <w:p w14:paraId="4554122E" w14:textId="77777777" w:rsidR="00FA4AA8" w:rsidRDefault="00FA4AA8">
            <w:pPr>
              <w:pStyle w:val="TableParagraph"/>
              <w:spacing w:before="11"/>
              <w:rPr>
                <w:sz w:val="17"/>
              </w:rPr>
            </w:pPr>
          </w:p>
          <w:p w14:paraId="454A3FA2" w14:textId="77777777" w:rsidR="00FA4AA8" w:rsidRDefault="0015611F">
            <w:pPr>
              <w:pStyle w:val="TableParagraph"/>
              <w:ind w:right="114"/>
              <w:jc w:val="right"/>
              <w:rPr>
                <w:sz w:val="16"/>
              </w:rPr>
            </w:pPr>
            <w:r>
              <w:rPr>
                <w:sz w:val="16"/>
              </w:rPr>
              <w:t>22,107</w:t>
            </w:r>
          </w:p>
        </w:tc>
        <w:tc>
          <w:tcPr>
            <w:tcW w:w="803" w:type="dxa"/>
          </w:tcPr>
          <w:p w14:paraId="4C780A49" w14:textId="77777777" w:rsidR="00FA4AA8" w:rsidRDefault="00FA4AA8">
            <w:pPr>
              <w:pStyle w:val="TableParagraph"/>
              <w:spacing w:before="11"/>
              <w:rPr>
                <w:sz w:val="17"/>
              </w:rPr>
            </w:pPr>
          </w:p>
          <w:p w14:paraId="342F6398" w14:textId="77777777" w:rsidR="00FA4AA8" w:rsidRDefault="0015611F">
            <w:pPr>
              <w:pStyle w:val="TableParagraph"/>
              <w:ind w:right="67"/>
              <w:jc w:val="right"/>
              <w:rPr>
                <w:sz w:val="16"/>
              </w:rPr>
            </w:pPr>
            <w:r>
              <w:rPr>
                <w:sz w:val="16"/>
              </w:rPr>
              <w:t>-</w:t>
            </w:r>
          </w:p>
        </w:tc>
        <w:tc>
          <w:tcPr>
            <w:tcW w:w="884" w:type="dxa"/>
          </w:tcPr>
          <w:p w14:paraId="190C863A" w14:textId="77777777" w:rsidR="00FA4AA8" w:rsidRDefault="00FA4AA8">
            <w:pPr>
              <w:pStyle w:val="TableParagraph"/>
              <w:spacing w:before="11"/>
              <w:rPr>
                <w:sz w:val="17"/>
              </w:rPr>
            </w:pPr>
          </w:p>
          <w:p w14:paraId="108627E7" w14:textId="77777777" w:rsidR="00FA4AA8" w:rsidRDefault="0015611F">
            <w:pPr>
              <w:pStyle w:val="TableParagraph"/>
              <w:ind w:right="101"/>
              <w:jc w:val="right"/>
              <w:rPr>
                <w:sz w:val="16"/>
              </w:rPr>
            </w:pPr>
            <w:r>
              <w:rPr>
                <w:sz w:val="16"/>
              </w:rPr>
              <w:t>-</w:t>
            </w:r>
          </w:p>
        </w:tc>
        <w:tc>
          <w:tcPr>
            <w:tcW w:w="844" w:type="dxa"/>
          </w:tcPr>
          <w:p w14:paraId="05B591AD" w14:textId="77777777" w:rsidR="00FA4AA8" w:rsidRDefault="00FA4AA8">
            <w:pPr>
              <w:pStyle w:val="TableParagraph"/>
              <w:spacing w:before="11"/>
              <w:rPr>
                <w:sz w:val="17"/>
              </w:rPr>
            </w:pPr>
          </w:p>
          <w:p w14:paraId="21A25BA3" w14:textId="77777777" w:rsidR="00FA4AA8" w:rsidRDefault="0015611F">
            <w:pPr>
              <w:pStyle w:val="TableParagraph"/>
              <w:ind w:right="96"/>
              <w:jc w:val="right"/>
              <w:rPr>
                <w:sz w:val="16"/>
              </w:rPr>
            </w:pPr>
            <w:r>
              <w:rPr>
                <w:sz w:val="16"/>
              </w:rPr>
              <w:t>22,107</w:t>
            </w:r>
          </w:p>
        </w:tc>
        <w:tc>
          <w:tcPr>
            <w:tcW w:w="870" w:type="dxa"/>
          </w:tcPr>
          <w:p w14:paraId="6CA2421F" w14:textId="77777777" w:rsidR="00FA4AA8" w:rsidRDefault="00FA4AA8">
            <w:pPr>
              <w:pStyle w:val="TableParagraph"/>
              <w:spacing w:before="11"/>
              <w:rPr>
                <w:sz w:val="17"/>
              </w:rPr>
            </w:pPr>
          </w:p>
          <w:p w14:paraId="27CF8B29" w14:textId="77777777" w:rsidR="00FA4AA8" w:rsidRDefault="0015611F">
            <w:pPr>
              <w:pStyle w:val="TableParagraph"/>
              <w:ind w:right="116"/>
              <w:jc w:val="right"/>
              <w:rPr>
                <w:sz w:val="16"/>
              </w:rPr>
            </w:pPr>
            <w:r>
              <w:rPr>
                <w:sz w:val="16"/>
              </w:rPr>
              <w:t>22,107</w:t>
            </w:r>
          </w:p>
        </w:tc>
        <w:tc>
          <w:tcPr>
            <w:tcW w:w="804" w:type="dxa"/>
          </w:tcPr>
          <w:p w14:paraId="601A6CF3" w14:textId="77777777" w:rsidR="00FA4AA8" w:rsidRDefault="00FA4AA8">
            <w:pPr>
              <w:pStyle w:val="TableParagraph"/>
              <w:spacing w:before="11"/>
              <w:rPr>
                <w:sz w:val="17"/>
              </w:rPr>
            </w:pPr>
          </w:p>
          <w:p w14:paraId="70D283EF" w14:textId="77777777" w:rsidR="00FA4AA8" w:rsidRDefault="0015611F">
            <w:pPr>
              <w:pStyle w:val="TableParagraph"/>
              <w:ind w:right="70"/>
              <w:jc w:val="right"/>
              <w:rPr>
                <w:sz w:val="16"/>
              </w:rPr>
            </w:pPr>
            <w:r>
              <w:rPr>
                <w:sz w:val="16"/>
              </w:rPr>
              <w:t>-</w:t>
            </w:r>
          </w:p>
        </w:tc>
        <w:tc>
          <w:tcPr>
            <w:tcW w:w="885" w:type="dxa"/>
          </w:tcPr>
          <w:p w14:paraId="571C69F9" w14:textId="77777777" w:rsidR="00FA4AA8" w:rsidRDefault="00FA4AA8">
            <w:pPr>
              <w:pStyle w:val="TableParagraph"/>
              <w:spacing w:before="11"/>
              <w:rPr>
                <w:sz w:val="17"/>
              </w:rPr>
            </w:pPr>
          </w:p>
          <w:p w14:paraId="781A62ED" w14:textId="77777777" w:rsidR="00FA4AA8" w:rsidRDefault="0015611F">
            <w:pPr>
              <w:pStyle w:val="TableParagraph"/>
              <w:ind w:right="106"/>
              <w:jc w:val="right"/>
              <w:rPr>
                <w:sz w:val="16"/>
              </w:rPr>
            </w:pPr>
            <w:r>
              <w:rPr>
                <w:sz w:val="16"/>
              </w:rPr>
              <w:t>-</w:t>
            </w:r>
          </w:p>
        </w:tc>
        <w:tc>
          <w:tcPr>
            <w:tcW w:w="826" w:type="dxa"/>
          </w:tcPr>
          <w:p w14:paraId="27520666" w14:textId="77777777" w:rsidR="00FA4AA8" w:rsidRDefault="00FA4AA8">
            <w:pPr>
              <w:pStyle w:val="TableParagraph"/>
              <w:spacing w:before="11"/>
              <w:rPr>
                <w:sz w:val="17"/>
              </w:rPr>
            </w:pPr>
          </w:p>
          <w:p w14:paraId="10CC4AE7" w14:textId="77777777" w:rsidR="00FA4AA8" w:rsidRDefault="0015611F">
            <w:pPr>
              <w:pStyle w:val="TableParagraph"/>
              <w:ind w:right="82"/>
              <w:jc w:val="right"/>
              <w:rPr>
                <w:sz w:val="16"/>
              </w:rPr>
            </w:pPr>
            <w:r>
              <w:rPr>
                <w:sz w:val="16"/>
              </w:rPr>
              <w:t>22,107</w:t>
            </w:r>
          </w:p>
        </w:tc>
      </w:tr>
      <w:tr w:rsidR="00FA4AA8" w14:paraId="05DA5D80" w14:textId="77777777">
        <w:trPr>
          <w:trHeight w:val="417"/>
        </w:trPr>
        <w:tc>
          <w:tcPr>
            <w:tcW w:w="1891" w:type="dxa"/>
          </w:tcPr>
          <w:p w14:paraId="3BD30A6C" w14:textId="77777777" w:rsidR="00FA4AA8" w:rsidRDefault="0015611F">
            <w:pPr>
              <w:pStyle w:val="TableParagraph"/>
              <w:spacing w:before="24"/>
              <w:ind w:left="50" w:right="656"/>
              <w:rPr>
                <w:sz w:val="16"/>
              </w:rPr>
            </w:pPr>
            <w:r>
              <w:rPr>
                <w:sz w:val="16"/>
              </w:rPr>
              <w:t>Held-to-maturity (Amortised cost)</w:t>
            </w:r>
          </w:p>
        </w:tc>
        <w:tc>
          <w:tcPr>
            <w:tcW w:w="889" w:type="dxa"/>
            <w:tcBorders>
              <w:bottom w:val="single" w:sz="8" w:space="0" w:color="000000"/>
            </w:tcBorders>
          </w:tcPr>
          <w:p w14:paraId="2A43A7DA" w14:textId="77777777" w:rsidR="00FA4AA8" w:rsidRDefault="00FA4AA8">
            <w:pPr>
              <w:pStyle w:val="TableParagraph"/>
              <w:spacing w:before="11"/>
              <w:rPr>
                <w:sz w:val="17"/>
              </w:rPr>
            </w:pPr>
          </w:p>
          <w:p w14:paraId="008B2F24" w14:textId="77777777" w:rsidR="00FA4AA8" w:rsidRDefault="0015611F">
            <w:pPr>
              <w:pStyle w:val="TableParagraph"/>
              <w:ind w:right="114"/>
              <w:jc w:val="right"/>
              <w:rPr>
                <w:sz w:val="16"/>
              </w:rPr>
            </w:pPr>
            <w:r>
              <w:rPr>
                <w:sz w:val="16"/>
              </w:rPr>
              <w:t>11,211</w:t>
            </w:r>
          </w:p>
        </w:tc>
        <w:tc>
          <w:tcPr>
            <w:tcW w:w="803" w:type="dxa"/>
            <w:tcBorders>
              <w:bottom w:val="single" w:sz="8" w:space="0" w:color="000000"/>
            </w:tcBorders>
          </w:tcPr>
          <w:p w14:paraId="769C1C7E" w14:textId="77777777" w:rsidR="00FA4AA8" w:rsidRDefault="00FA4AA8">
            <w:pPr>
              <w:pStyle w:val="TableParagraph"/>
              <w:spacing w:before="11"/>
              <w:rPr>
                <w:sz w:val="17"/>
              </w:rPr>
            </w:pPr>
          </w:p>
          <w:p w14:paraId="5DFDF241" w14:textId="77777777" w:rsidR="00FA4AA8" w:rsidRDefault="0015611F">
            <w:pPr>
              <w:pStyle w:val="TableParagraph"/>
              <w:ind w:right="67"/>
              <w:jc w:val="right"/>
              <w:rPr>
                <w:sz w:val="16"/>
              </w:rPr>
            </w:pPr>
            <w:r>
              <w:rPr>
                <w:sz w:val="16"/>
              </w:rPr>
              <w:t>11,211</w:t>
            </w:r>
          </w:p>
        </w:tc>
        <w:tc>
          <w:tcPr>
            <w:tcW w:w="884" w:type="dxa"/>
            <w:tcBorders>
              <w:bottom w:val="single" w:sz="8" w:space="0" w:color="000000"/>
            </w:tcBorders>
          </w:tcPr>
          <w:p w14:paraId="72437CF4" w14:textId="77777777" w:rsidR="00FA4AA8" w:rsidRDefault="00FA4AA8">
            <w:pPr>
              <w:pStyle w:val="TableParagraph"/>
              <w:spacing w:before="11"/>
              <w:rPr>
                <w:sz w:val="17"/>
              </w:rPr>
            </w:pPr>
          </w:p>
          <w:p w14:paraId="221D9893" w14:textId="77777777" w:rsidR="00FA4AA8" w:rsidRDefault="0015611F">
            <w:pPr>
              <w:pStyle w:val="TableParagraph"/>
              <w:ind w:right="101"/>
              <w:jc w:val="right"/>
              <w:rPr>
                <w:sz w:val="16"/>
              </w:rPr>
            </w:pPr>
            <w:r>
              <w:rPr>
                <w:sz w:val="16"/>
              </w:rPr>
              <w:t>-</w:t>
            </w:r>
          </w:p>
        </w:tc>
        <w:tc>
          <w:tcPr>
            <w:tcW w:w="844" w:type="dxa"/>
            <w:tcBorders>
              <w:bottom w:val="single" w:sz="8" w:space="0" w:color="000000"/>
            </w:tcBorders>
          </w:tcPr>
          <w:p w14:paraId="647303A9" w14:textId="77777777" w:rsidR="00FA4AA8" w:rsidRDefault="00FA4AA8">
            <w:pPr>
              <w:pStyle w:val="TableParagraph"/>
              <w:spacing w:before="11"/>
              <w:rPr>
                <w:sz w:val="17"/>
              </w:rPr>
            </w:pPr>
          </w:p>
          <w:p w14:paraId="2B605671" w14:textId="77777777" w:rsidR="00FA4AA8" w:rsidRDefault="0015611F">
            <w:pPr>
              <w:pStyle w:val="TableParagraph"/>
              <w:ind w:right="95"/>
              <w:jc w:val="right"/>
              <w:rPr>
                <w:sz w:val="16"/>
              </w:rPr>
            </w:pPr>
            <w:r>
              <w:rPr>
                <w:sz w:val="16"/>
              </w:rPr>
              <w:t>-</w:t>
            </w:r>
          </w:p>
        </w:tc>
        <w:tc>
          <w:tcPr>
            <w:tcW w:w="870" w:type="dxa"/>
            <w:tcBorders>
              <w:bottom w:val="single" w:sz="8" w:space="0" w:color="000000"/>
            </w:tcBorders>
          </w:tcPr>
          <w:p w14:paraId="29E1040B" w14:textId="77777777" w:rsidR="00FA4AA8" w:rsidRDefault="00FA4AA8">
            <w:pPr>
              <w:pStyle w:val="TableParagraph"/>
              <w:spacing w:before="11"/>
              <w:rPr>
                <w:sz w:val="17"/>
              </w:rPr>
            </w:pPr>
          </w:p>
          <w:p w14:paraId="3864EF6A" w14:textId="77777777" w:rsidR="00FA4AA8" w:rsidRDefault="0015611F">
            <w:pPr>
              <w:pStyle w:val="TableParagraph"/>
              <w:ind w:right="116"/>
              <w:jc w:val="right"/>
              <w:rPr>
                <w:sz w:val="16"/>
              </w:rPr>
            </w:pPr>
            <w:r>
              <w:rPr>
                <w:sz w:val="16"/>
              </w:rPr>
              <w:t>11,211</w:t>
            </w:r>
          </w:p>
        </w:tc>
        <w:tc>
          <w:tcPr>
            <w:tcW w:w="804" w:type="dxa"/>
            <w:tcBorders>
              <w:bottom w:val="single" w:sz="8" w:space="0" w:color="000000"/>
            </w:tcBorders>
          </w:tcPr>
          <w:p w14:paraId="1341920C" w14:textId="77777777" w:rsidR="00FA4AA8" w:rsidRDefault="00FA4AA8">
            <w:pPr>
              <w:pStyle w:val="TableParagraph"/>
              <w:spacing w:before="11"/>
              <w:rPr>
                <w:sz w:val="17"/>
              </w:rPr>
            </w:pPr>
          </w:p>
          <w:p w14:paraId="558C9659" w14:textId="77777777" w:rsidR="00FA4AA8" w:rsidRDefault="0015611F">
            <w:pPr>
              <w:pStyle w:val="TableParagraph"/>
              <w:ind w:right="71"/>
              <w:jc w:val="right"/>
              <w:rPr>
                <w:sz w:val="16"/>
              </w:rPr>
            </w:pPr>
            <w:r>
              <w:rPr>
                <w:sz w:val="16"/>
              </w:rPr>
              <w:t>11,211</w:t>
            </w:r>
          </w:p>
        </w:tc>
        <w:tc>
          <w:tcPr>
            <w:tcW w:w="885" w:type="dxa"/>
            <w:tcBorders>
              <w:bottom w:val="single" w:sz="8" w:space="0" w:color="000000"/>
            </w:tcBorders>
          </w:tcPr>
          <w:p w14:paraId="0D70B2D2" w14:textId="77777777" w:rsidR="00FA4AA8" w:rsidRDefault="00FA4AA8">
            <w:pPr>
              <w:pStyle w:val="TableParagraph"/>
              <w:spacing w:before="11"/>
              <w:rPr>
                <w:sz w:val="17"/>
              </w:rPr>
            </w:pPr>
          </w:p>
          <w:p w14:paraId="3788D7A4" w14:textId="77777777" w:rsidR="00FA4AA8" w:rsidRDefault="0015611F">
            <w:pPr>
              <w:pStyle w:val="TableParagraph"/>
              <w:ind w:right="106"/>
              <w:jc w:val="right"/>
              <w:rPr>
                <w:sz w:val="16"/>
              </w:rPr>
            </w:pPr>
            <w:r>
              <w:rPr>
                <w:sz w:val="16"/>
              </w:rPr>
              <w:t>-</w:t>
            </w:r>
          </w:p>
        </w:tc>
        <w:tc>
          <w:tcPr>
            <w:tcW w:w="826" w:type="dxa"/>
            <w:tcBorders>
              <w:bottom w:val="single" w:sz="8" w:space="0" w:color="000000"/>
            </w:tcBorders>
          </w:tcPr>
          <w:p w14:paraId="17C56EA5" w14:textId="77777777" w:rsidR="00FA4AA8" w:rsidRDefault="00FA4AA8">
            <w:pPr>
              <w:pStyle w:val="TableParagraph"/>
              <w:spacing w:before="11"/>
              <w:rPr>
                <w:sz w:val="17"/>
              </w:rPr>
            </w:pPr>
          </w:p>
          <w:p w14:paraId="0C326F09" w14:textId="77777777" w:rsidR="00FA4AA8" w:rsidRDefault="0015611F">
            <w:pPr>
              <w:pStyle w:val="TableParagraph"/>
              <w:ind w:right="82"/>
              <w:jc w:val="right"/>
              <w:rPr>
                <w:sz w:val="16"/>
              </w:rPr>
            </w:pPr>
            <w:r>
              <w:rPr>
                <w:sz w:val="16"/>
              </w:rPr>
              <w:t>-</w:t>
            </w:r>
          </w:p>
        </w:tc>
      </w:tr>
    </w:tbl>
    <w:p w14:paraId="2541B7F1" w14:textId="77777777" w:rsidR="00FA4AA8" w:rsidRDefault="0015611F">
      <w:pPr>
        <w:tabs>
          <w:tab w:val="left" w:pos="4103"/>
          <w:tab w:val="left" w:pos="4864"/>
          <w:tab w:val="left" w:pos="5803"/>
          <w:tab w:val="left" w:pos="6563"/>
          <w:tab w:val="left" w:pos="7502"/>
          <w:tab w:val="left" w:pos="8263"/>
          <w:tab w:val="left" w:pos="9201"/>
        </w:tabs>
        <w:spacing w:before="105" w:after="3"/>
        <w:ind w:left="2971"/>
        <w:rPr>
          <w:sz w:val="16"/>
        </w:rPr>
      </w:pPr>
      <w:r>
        <w:rPr>
          <w:rFonts w:ascii="Times New Roman"/>
          <w:sz w:val="16"/>
          <w:u w:val="double"/>
        </w:rPr>
        <w:t xml:space="preserve">    </w:t>
      </w:r>
      <w:r>
        <w:rPr>
          <w:rFonts w:ascii="Times New Roman"/>
          <w:spacing w:val="-6"/>
          <w:sz w:val="16"/>
          <w:u w:val="double"/>
        </w:rPr>
        <w:t xml:space="preserve"> </w:t>
      </w:r>
      <w:r>
        <w:rPr>
          <w:sz w:val="16"/>
          <w:u w:val="single"/>
        </w:rPr>
        <w:t>557,24</w:t>
      </w:r>
      <w:r>
        <w:rPr>
          <w:sz w:val="16"/>
        </w:rPr>
        <w:t>8</w:t>
      </w:r>
      <w:r>
        <w:rPr>
          <w:sz w:val="16"/>
        </w:rPr>
        <w:tab/>
      </w:r>
      <w:r>
        <w:rPr>
          <w:sz w:val="16"/>
          <w:u w:val="single"/>
        </w:rPr>
        <w:t>91,51</w:t>
      </w:r>
      <w:r>
        <w:rPr>
          <w:sz w:val="16"/>
        </w:rPr>
        <w:t>0</w:t>
      </w:r>
      <w:r>
        <w:rPr>
          <w:sz w:val="16"/>
        </w:rPr>
        <w:tab/>
      </w:r>
      <w:r>
        <w:rPr>
          <w:sz w:val="16"/>
          <w:u w:val="single"/>
        </w:rPr>
        <w:t>443,63</w:t>
      </w:r>
      <w:r>
        <w:rPr>
          <w:sz w:val="16"/>
        </w:rPr>
        <w:t>1</w:t>
      </w:r>
      <w:r>
        <w:rPr>
          <w:sz w:val="16"/>
        </w:rPr>
        <w:tab/>
        <w:t>22,107</w:t>
      </w:r>
      <w:r>
        <w:rPr>
          <w:sz w:val="16"/>
        </w:rPr>
        <w:tab/>
        <w:t>555,574</w:t>
      </w:r>
      <w:r>
        <w:rPr>
          <w:sz w:val="16"/>
        </w:rPr>
        <w:tab/>
        <w:t>91,510</w:t>
      </w:r>
      <w:r>
        <w:rPr>
          <w:sz w:val="16"/>
        </w:rPr>
        <w:tab/>
        <w:t>441,957</w:t>
      </w:r>
      <w:r>
        <w:rPr>
          <w:sz w:val="16"/>
        </w:rPr>
        <w:tab/>
        <w:t>22,107</w:t>
      </w:r>
    </w:p>
    <w:p w14:paraId="653A541E" w14:textId="77777777" w:rsidR="00FA4AA8" w:rsidRDefault="007E2441">
      <w:pPr>
        <w:pStyle w:val="BodyText"/>
        <w:spacing w:line="44" w:lineRule="exact"/>
        <w:ind w:left="4668"/>
        <w:rPr>
          <w:sz w:val="4"/>
        </w:rPr>
      </w:pPr>
      <w:r>
        <w:rPr>
          <w:noProof/>
          <w:sz w:val="4"/>
          <w:lang w:val="en-AU" w:eastAsia="en-AU"/>
        </w:rPr>
        <mc:AlternateContent>
          <mc:Choice Requires="wpg">
            <w:drawing>
              <wp:inline distT="0" distB="0" distL="0" distR="0" wp14:anchorId="3CE7C303" wp14:editId="22311E9C">
                <wp:extent cx="3237230" cy="27940"/>
                <wp:effectExtent l="9525" t="6350" r="10795" b="3810"/>
                <wp:docPr id="3544" name="Group 3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7230" cy="27940"/>
                          <a:chOff x="0" y="0"/>
                          <a:chExt cx="5098" cy="44"/>
                        </a:xfrm>
                      </wpg:grpSpPr>
                      <wps:wsp>
                        <wps:cNvPr id="3545" name="Line 3353"/>
                        <wps:cNvCnPr>
                          <a:cxnSpLocks noChangeShapeType="1"/>
                        </wps:cNvCnPr>
                        <wps:spPr bwMode="auto">
                          <a:xfrm>
                            <a:off x="0" y="32"/>
                            <a:ext cx="85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546" name="Line 3352"/>
                        <wps:cNvCnPr>
                          <a:cxnSpLocks noChangeShapeType="1"/>
                        </wps:cNvCnPr>
                        <wps:spPr bwMode="auto">
                          <a:xfrm>
                            <a:off x="0" y="35"/>
                            <a:ext cx="85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547" name="Line 3351"/>
                        <wps:cNvCnPr>
                          <a:cxnSpLocks noChangeShapeType="1"/>
                        </wps:cNvCnPr>
                        <wps:spPr bwMode="auto">
                          <a:xfrm>
                            <a:off x="0" y="37"/>
                            <a:ext cx="85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548" name="Line 3350"/>
                        <wps:cNvCnPr>
                          <a:cxnSpLocks noChangeShapeType="1"/>
                        </wps:cNvCnPr>
                        <wps:spPr bwMode="auto">
                          <a:xfrm>
                            <a:off x="0" y="40"/>
                            <a:ext cx="85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549" name="Line 3349"/>
                        <wps:cNvCnPr>
                          <a:cxnSpLocks noChangeShapeType="1"/>
                        </wps:cNvCnPr>
                        <wps:spPr bwMode="auto">
                          <a:xfrm>
                            <a:off x="0" y="42"/>
                            <a:ext cx="85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550" name="Line 3348"/>
                        <wps:cNvCnPr>
                          <a:cxnSpLocks noChangeShapeType="1"/>
                        </wps:cNvCnPr>
                        <wps:spPr bwMode="auto">
                          <a:xfrm>
                            <a:off x="850" y="30"/>
                            <a:ext cx="849"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551" name="Line 3347"/>
                        <wps:cNvCnPr>
                          <a:cxnSpLocks noChangeShapeType="1"/>
                        </wps:cNvCnPr>
                        <wps:spPr bwMode="auto">
                          <a:xfrm>
                            <a:off x="850" y="32"/>
                            <a:ext cx="849"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552" name="Line 3346"/>
                        <wps:cNvCnPr>
                          <a:cxnSpLocks noChangeShapeType="1"/>
                        </wps:cNvCnPr>
                        <wps:spPr bwMode="auto">
                          <a:xfrm>
                            <a:off x="850" y="35"/>
                            <a:ext cx="849"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553" name="Line 3345"/>
                        <wps:cNvCnPr>
                          <a:cxnSpLocks noChangeShapeType="1"/>
                        </wps:cNvCnPr>
                        <wps:spPr bwMode="auto">
                          <a:xfrm>
                            <a:off x="850" y="37"/>
                            <a:ext cx="849"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554" name="Line 3344"/>
                        <wps:cNvCnPr>
                          <a:cxnSpLocks noChangeShapeType="1"/>
                        </wps:cNvCnPr>
                        <wps:spPr bwMode="auto">
                          <a:xfrm>
                            <a:off x="850" y="40"/>
                            <a:ext cx="849"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555" name="Line 3343"/>
                        <wps:cNvCnPr>
                          <a:cxnSpLocks noChangeShapeType="1"/>
                        </wps:cNvCnPr>
                        <wps:spPr bwMode="auto">
                          <a:xfrm>
                            <a:off x="850" y="42"/>
                            <a:ext cx="849"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556" name="Line 3342"/>
                        <wps:cNvCnPr>
                          <a:cxnSpLocks noChangeShapeType="1"/>
                        </wps:cNvCnPr>
                        <wps:spPr bwMode="auto">
                          <a:xfrm>
                            <a:off x="1699" y="30"/>
                            <a:ext cx="85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557" name="Line 3341"/>
                        <wps:cNvCnPr>
                          <a:cxnSpLocks noChangeShapeType="1"/>
                        </wps:cNvCnPr>
                        <wps:spPr bwMode="auto">
                          <a:xfrm>
                            <a:off x="1699" y="32"/>
                            <a:ext cx="85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558" name="Line 3340"/>
                        <wps:cNvCnPr>
                          <a:cxnSpLocks noChangeShapeType="1"/>
                        </wps:cNvCnPr>
                        <wps:spPr bwMode="auto">
                          <a:xfrm>
                            <a:off x="1699" y="35"/>
                            <a:ext cx="85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559" name="Line 3339"/>
                        <wps:cNvCnPr>
                          <a:cxnSpLocks noChangeShapeType="1"/>
                        </wps:cNvCnPr>
                        <wps:spPr bwMode="auto">
                          <a:xfrm>
                            <a:off x="1699" y="37"/>
                            <a:ext cx="85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560" name="Line 3338"/>
                        <wps:cNvCnPr>
                          <a:cxnSpLocks noChangeShapeType="1"/>
                        </wps:cNvCnPr>
                        <wps:spPr bwMode="auto">
                          <a:xfrm>
                            <a:off x="1699" y="40"/>
                            <a:ext cx="85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561" name="Line 3337"/>
                        <wps:cNvCnPr>
                          <a:cxnSpLocks noChangeShapeType="1"/>
                        </wps:cNvCnPr>
                        <wps:spPr bwMode="auto">
                          <a:xfrm>
                            <a:off x="1699" y="42"/>
                            <a:ext cx="85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562" name="Line 3336"/>
                        <wps:cNvCnPr>
                          <a:cxnSpLocks noChangeShapeType="1"/>
                        </wps:cNvCnPr>
                        <wps:spPr bwMode="auto">
                          <a:xfrm>
                            <a:off x="2549" y="30"/>
                            <a:ext cx="849"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563" name="Line 3335"/>
                        <wps:cNvCnPr>
                          <a:cxnSpLocks noChangeShapeType="1"/>
                        </wps:cNvCnPr>
                        <wps:spPr bwMode="auto">
                          <a:xfrm>
                            <a:off x="2549" y="32"/>
                            <a:ext cx="849"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564" name="Line 3334"/>
                        <wps:cNvCnPr>
                          <a:cxnSpLocks noChangeShapeType="1"/>
                        </wps:cNvCnPr>
                        <wps:spPr bwMode="auto">
                          <a:xfrm>
                            <a:off x="2549" y="35"/>
                            <a:ext cx="849"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565" name="Line 3333"/>
                        <wps:cNvCnPr>
                          <a:cxnSpLocks noChangeShapeType="1"/>
                        </wps:cNvCnPr>
                        <wps:spPr bwMode="auto">
                          <a:xfrm>
                            <a:off x="2549" y="37"/>
                            <a:ext cx="849"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566" name="Line 3332"/>
                        <wps:cNvCnPr>
                          <a:cxnSpLocks noChangeShapeType="1"/>
                        </wps:cNvCnPr>
                        <wps:spPr bwMode="auto">
                          <a:xfrm>
                            <a:off x="2549" y="40"/>
                            <a:ext cx="849"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567" name="Line 3331"/>
                        <wps:cNvCnPr>
                          <a:cxnSpLocks noChangeShapeType="1"/>
                        </wps:cNvCnPr>
                        <wps:spPr bwMode="auto">
                          <a:xfrm>
                            <a:off x="2549" y="42"/>
                            <a:ext cx="849"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568" name="Line 3330"/>
                        <wps:cNvCnPr>
                          <a:cxnSpLocks noChangeShapeType="1"/>
                        </wps:cNvCnPr>
                        <wps:spPr bwMode="auto">
                          <a:xfrm>
                            <a:off x="3398" y="1"/>
                            <a:ext cx="85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569" name="Line 3329"/>
                        <wps:cNvCnPr>
                          <a:cxnSpLocks noChangeShapeType="1"/>
                        </wps:cNvCnPr>
                        <wps:spPr bwMode="auto">
                          <a:xfrm>
                            <a:off x="3398" y="4"/>
                            <a:ext cx="85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570" name="Line 3328"/>
                        <wps:cNvCnPr>
                          <a:cxnSpLocks noChangeShapeType="1"/>
                        </wps:cNvCnPr>
                        <wps:spPr bwMode="auto">
                          <a:xfrm>
                            <a:off x="3398" y="6"/>
                            <a:ext cx="85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571" name="Line 3327"/>
                        <wps:cNvCnPr>
                          <a:cxnSpLocks noChangeShapeType="1"/>
                        </wps:cNvCnPr>
                        <wps:spPr bwMode="auto">
                          <a:xfrm>
                            <a:off x="3398" y="8"/>
                            <a:ext cx="85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572" name="Line 3326"/>
                        <wps:cNvCnPr>
                          <a:cxnSpLocks noChangeShapeType="1"/>
                        </wps:cNvCnPr>
                        <wps:spPr bwMode="auto">
                          <a:xfrm>
                            <a:off x="3398" y="30"/>
                            <a:ext cx="85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573" name="Line 3325"/>
                        <wps:cNvCnPr>
                          <a:cxnSpLocks noChangeShapeType="1"/>
                        </wps:cNvCnPr>
                        <wps:spPr bwMode="auto">
                          <a:xfrm>
                            <a:off x="3398" y="32"/>
                            <a:ext cx="85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574" name="Line 3324"/>
                        <wps:cNvCnPr>
                          <a:cxnSpLocks noChangeShapeType="1"/>
                        </wps:cNvCnPr>
                        <wps:spPr bwMode="auto">
                          <a:xfrm>
                            <a:off x="3398" y="35"/>
                            <a:ext cx="85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575" name="Line 3323"/>
                        <wps:cNvCnPr>
                          <a:cxnSpLocks noChangeShapeType="1"/>
                        </wps:cNvCnPr>
                        <wps:spPr bwMode="auto">
                          <a:xfrm>
                            <a:off x="3398" y="37"/>
                            <a:ext cx="85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576" name="Line 3322"/>
                        <wps:cNvCnPr>
                          <a:cxnSpLocks noChangeShapeType="1"/>
                        </wps:cNvCnPr>
                        <wps:spPr bwMode="auto">
                          <a:xfrm>
                            <a:off x="3398" y="40"/>
                            <a:ext cx="85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577" name="Line 3321"/>
                        <wps:cNvCnPr>
                          <a:cxnSpLocks noChangeShapeType="1"/>
                        </wps:cNvCnPr>
                        <wps:spPr bwMode="auto">
                          <a:xfrm>
                            <a:off x="3398" y="42"/>
                            <a:ext cx="85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578" name="Line 3320"/>
                        <wps:cNvCnPr>
                          <a:cxnSpLocks noChangeShapeType="1"/>
                        </wps:cNvCnPr>
                        <wps:spPr bwMode="auto">
                          <a:xfrm>
                            <a:off x="4248" y="1"/>
                            <a:ext cx="85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579" name="Line 3319"/>
                        <wps:cNvCnPr>
                          <a:cxnSpLocks noChangeShapeType="1"/>
                        </wps:cNvCnPr>
                        <wps:spPr bwMode="auto">
                          <a:xfrm>
                            <a:off x="4248" y="4"/>
                            <a:ext cx="85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580" name="Line 3318"/>
                        <wps:cNvCnPr>
                          <a:cxnSpLocks noChangeShapeType="1"/>
                        </wps:cNvCnPr>
                        <wps:spPr bwMode="auto">
                          <a:xfrm>
                            <a:off x="4248" y="6"/>
                            <a:ext cx="85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581" name="Line 3317"/>
                        <wps:cNvCnPr>
                          <a:cxnSpLocks noChangeShapeType="1"/>
                        </wps:cNvCnPr>
                        <wps:spPr bwMode="auto">
                          <a:xfrm>
                            <a:off x="4248" y="8"/>
                            <a:ext cx="85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582" name="Line 3316"/>
                        <wps:cNvCnPr>
                          <a:cxnSpLocks noChangeShapeType="1"/>
                        </wps:cNvCnPr>
                        <wps:spPr bwMode="auto">
                          <a:xfrm>
                            <a:off x="4248" y="30"/>
                            <a:ext cx="85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583" name="Line 3315"/>
                        <wps:cNvCnPr>
                          <a:cxnSpLocks noChangeShapeType="1"/>
                        </wps:cNvCnPr>
                        <wps:spPr bwMode="auto">
                          <a:xfrm>
                            <a:off x="4248" y="32"/>
                            <a:ext cx="85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584" name="Line 3314"/>
                        <wps:cNvCnPr>
                          <a:cxnSpLocks noChangeShapeType="1"/>
                        </wps:cNvCnPr>
                        <wps:spPr bwMode="auto">
                          <a:xfrm>
                            <a:off x="4248" y="35"/>
                            <a:ext cx="85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585" name="Line 3313"/>
                        <wps:cNvCnPr>
                          <a:cxnSpLocks noChangeShapeType="1"/>
                        </wps:cNvCnPr>
                        <wps:spPr bwMode="auto">
                          <a:xfrm>
                            <a:off x="4248" y="37"/>
                            <a:ext cx="85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586" name="Line 3312"/>
                        <wps:cNvCnPr>
                          <a:cxnSpLocks noChangeShapeType="1"/>
                        </wps:cNvCnPr>
                        <wps:spPr bwMode="auto">
                          <a:xfrm>
                            <a:off x="4248" y="40"/>
                            <a:ext cx="85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587" name="Line 3311"/>
                        <wps:cNvCnPr>
                          <a:cxnSpLocks noChangeShapeType="1"/>
                        </wps:cNvCnPr>
                        <wps:spPr bwMode="auto">
                          <a:xfrm>
                            <a:off x="4248" y="42"/>
                            <a:ext cx="85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E26BB59" id="Group 3310" o:spid="_x0000_s1026" style="width:254.9pt;height:2.2pt;mso-position-horizontal-relative:char;mso-position-vertical-relative:line" coordsize="509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">
                <v:line id="Line 3353" o:spid="_x0000_s1027" style="position:absolute;visibility:visible;mso-wrap-style:square" from="0,32" to="85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" strokeweight=".12pt"/>
                <v:line id="Line 3352" o:spid="_x0000_s1028" style="position:absolute;visibility:visible;mso-wrap-style:square" from="0,35" to="85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" strokeweight=".12pt"/>
                <v:line id="Line 3351" o:spid="_x0000_s1029" style="position:absolute;visibility:visible;mso-wrap-style:square" from="0,37" to="85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" strokeweight=".12pt"/>
                <v:line id="Line 3350" o:spid="_x0000_s1030" style="position:absolute;visibility:visible;mso-wrap-style:square" from="0,40" to="8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" strokeweight=".12pt"/>
                <v:line id="Line 3349" o:spid="_x0000_s1031" style="position:absolute;visibility:visible;mso-wrap-style:square" from="0,42" to="85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" strokeweight=".12pt"/>
                <v:line id="Line 3348" o:spid="_x0000_s1032" style="position:absolute;visibility:visible;mso-wrap-style:square" from="850,30" to="169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" strokeweight=".12pt"/>
                <v:line id="Line 3347" o:spid="_x0000_s1033" style="position:absolute;visibility:visible;mso-wrap-style:square" from="850,32" to="169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" strokeweight=".12pt"/>
                <v:line id="Line 3346" o:spid="_x0000_s1034" style="position:absolute;visibility:visible;mso-wrap-style:square" from="850,35" to="169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" strokeweight=".12pt"/>
                <v:line id="Line 3345" o:spid="_x0000_s1035" style="position:absolute;visibility:visible;mso-wrap-style:square" from="850,37" to="169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" strokeweight=".12pt"/>
                <v:line id="Line 3344" o:spid="_x0000_s1036" style="position:absolute;visibility:visible;mso-wrap-style:square" from="850,40" to="169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" strokeweight=".12pt"/>
                <v:line id="Line 3343" o:spid="_x0000_s1037" style="position:absolute;visibility:visible;mso-wrap-style:square" from="850,42" to="169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" strokeweight=".12pt"/>
                <v:line id="Line 3342" o:spid="_x0000_s1038" style="position:absolute;visibility:visible;mso-wrap-style:square" from="1699,30" to="254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" strokeweight=".12pt"/>
                <v:line id="Line 3341" o:spid="_x0000_s1039" style="position:absolute;visibility:visible;mso-wrap-style:square" from="1699,32" to="254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" strokeweight=".12pt"/>
                <v:line id="Line 3340" o:spid="_x0000_s1040" style="position:absolute;visibility:visible;mso-wrap-style:square" from="1699,35" to="254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" strokeweight=".12pt"/>
                <v:line id="Line 3339" o:spid="_x0000_s1041" style="position:absolute;visibility:visible;mso-wrap-style:square" from="1699,37" to="254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" strokeweight=".12pt"/>
                <v:line id="Line 3338" o:spid="_x0000_s1042" style="position:absolute;visibility:visible;mso-wrap-style:square" from="1699,40" to="254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" strokeweight=".12pt"/>
                <v:line id="Line 3337" o:spid="_x0000_s1043" style="position:absolute;visibility:visible;mso-wrap-style:square" from="1699,42" to="254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" strokeweight=".12pt"/>
                <v:line id="Line 3336" o:spid="_x0000_s1044" style="position:absolute;visibility:visible;mso-wrap-style:square" from="2549,30" to="339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" strokeweight=".12pt"/>
                <v:line id="Line 3335" o:spid="_x0000_s1045" style="position:absolute;visibility:visible;mso-wrap-style:square" from="2549,32" to="339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" strokeweight=".12pt"/>
                <v:line id="Line 3334" o:spid="_x0000_s1046" style="position:absolute;visibility:visible;mso-wrap-style:square" from="2549,35" to="339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" strokeweight=".12pt"/>
                <v:line id="Line 3333" o:spid="_x0000_s1047" style="position:absolute;visibility:visible;mso-wrap-style:square" from="2549,37" to="339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" strokeweight=".12pt"/>
                <v:line id="Line 3332" o:spid="_x0000_s1048" style="position:absolute;visibility:visible;mso-wrap-style:square" from="2549,40" to="339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" strokeweight=".12pt"/>
                <v:line id="Line 3331" o:spid="_x0000_s1049" style="position:absolute;visibility:visible;mso-wrap-style:square" from="2549,42" to="339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" strokeweight=".12pt"/>
                <v:line id="Line 3330" o:spid="_x0000_s1050" style="position:absolute;visibility:visible;mso-wrap-style:square" from="3398,1" to="42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" strokeweight=".12pt"/>
                <v:line id="Line 3329" o:spid="_x0000_s1051" style="position:absolute;visibility:visible;mso-wrap-style:square" from="3398,4" to="42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" strokeweight=".12pt"/>
                <v:line id="Line 3328" o:spid="_x0000_s1052" style="position:absolute;visibility:visible;mso-wrap-style:square" from="3398,6" to="42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" strokeweight=".12pt"/>
                <v:line id="Line 3327" o:spid="_x0000_s1053" style="position:absolute;visibility:visible;mso-wrap-style:square" from="3398,8" to="4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" strokeweight=".12pt"/>
                <v:line id="Line 3326" o:spid="_x0000_s1054" style="position:absolute;visibility:visible;mso-wrap-style:square" from="3398,30" to="42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" strokeweight=".12pt"/>
                <v:line id="Line 3325" o:spid="_x0000_s1055" style="position:absolute;visibility:visible;mso-wrap-style:square" from="3398,32" to="424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" strokeweight=".12pt"/>
                <v:line id="Line 3324" o:spid="_x0000_s1056" style="position:absolute;visibility:visible;mso-wrap-style:square" from="3398,35" to="424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" strokeweight=".12pt"/>
                <v:line id="Line 3323" o:spid="_x0000_s1057" style="position:absolute;visibility:visible;mso-wrap-style:square" from="3398,37" to="424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" strokeweight=".12pt"/>
                <v:line id="Line 3322" o:spid="_x0000_s1058" style="position:absolute;visibility:visible;mso-wrap-style:square" from="3398,40" to="42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" strokeweight=".12pt"/>
                <v:line id="Line 3321" o:spid="_x0000_s1059" style="position:absolute;visibility:visible;mso-wrap-style:square" from="3398,42" to="424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" strokeweight=".12pt"/>
                <v:line id="Line 3320" o:spid="_x0000_s1060" style="position:absolute;visibility:visible;mso-wrap-style:square" from="4248,1" to="50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" strokeweight=".12pt"/>
                <v:line id="Line 3319" o:spid="_x0000_s1061" style="position:absolute;visibility:visible;mso-wrap-style:square" from="4248,4" to="50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" strokeweight=".12pt"/>
                <v:line id="Line 3318" o:spid="_x0000_s1062" style="position:absolute;visibility:visible;mso-wrap-style:square" from="4248,6" to="50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" strokeweight=".12pt"/>
                <v:line id="Line 3317" o:spid="_x0000_s1063" style="position:absolute;visibility:visible;mso-wrap-style:square" from="4248,8" to="50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" strokeweight=".12pt"/>
                <v:line id="Line 3316" o:spid="_x0000_s1064" style="position:absolute;visibility:visible;mso-wrap-style:square" from="4248,30" to="509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" strokeweight=".12pt"/>
                <v:line id="Line 3315" o:spid="_x0000_s1065" style="position:absolute;visibility:visible;mso-wrap-style:square" from="4248,32" to="509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" strokeweight=".12pt"/>
                <v:line id="Line 3314" o:spid="_x0000_s1066" style="position:absolute;visibility:visible;mso-wrap-style:square" from="4248,35" to="509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" strokeweight=".12pt"/>
                <v:line id="Line 3313" o:spid="_x0000_s1067" style="position:absolute;visibility:visible;mso-wrap-style:square" from="4248,37" to="509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" strokeweight=".12pt"/>
                <v:line id="Line 3312" o:spid="_x0000_s1068" style="position:absolute;visibility:visible;mso-wrap-style:square" from="4248,40" to="509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" strokeweight=".12pt"/>
                <v:line id="Line 3311" o:spid="_x0000_s1069" style="position:absolute;visibility:visible;mso-wrap-style:square" from="4248,42" to="509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" strokeweight=".12pt"/>
                <w10:anchorlock/>
              </v:group>
            </w:pict>
          </mc:Fallback>
        </mc:AlternateContent>
      </w:r>
    </w:p>
    <w:p w14:paraId="09B9EC40" w14:textId="77777777" w:rsidR="00FA4AA8" w:rsidRDefault="00FA4AA8">
      <w:pPr>
        <w:pStyle w:val="BodyText"/>
        <w:spacing w:before="1"/>
        <w:rPr>
          <w:sz w:val="17"/>
        </w:rPr>
      </w:pPr>
    </w:p>
    <w:p w14:paraId="3CA91590" w14:textId="77777777" w:rsidR="00FA4AA8" w:rsidRDefault="0015611F">
      <w:pPr>
        <w:pStyle w:val="BodyText"/>
        <w:spacing w:before="94"/>
        <w:ind w:left="1130" w:right="256"/>
      </w:pPr>
      <w:r>
        <w:t>** The change in carrying amount is a result of additional impairment allowance. Refer to note 17 for reconciliation of changes in the provision for impairment of receivables and new accounting policy on impairment.</w:t>
      </w:r>
    </w:p>
    <w:p w14:paraId="3DAD05A3" w14:textId="77777777" w:rsidR="00FA4AA8" w:rsidRDefault="00FA4AA8">
      <w:pPr>
        <w:sectPr w:rsidR="00FA4AA8">
          <w:pgSz w:w="11910" w:h="16840"/>
          <w:pgMar w:top="2220" w:right="840" w:bottom="720" w:left="840" w:header="1016" w:footer="523" w:gutter="0"/>
          <w:cols w:space="720"/>
        </w:sectPr>
      </w:pPr>
    </w:p>
    <w:p w14:paraId="31BE0D44" w14:textId="77777777" w:rsidR="00FA4AA8" w:rsidRDefault="00FA4AA8">
      <w:pPr>
        <w:pStyle w:val="BodyText"/>
        <w:rPr>
          <w:sz w:val="20"/>
        </w:rPr>
      </w:pPr>
    </w:p>
    <w:p w14:paraId="630FB561" w14:textId="77777777" w:rsidR="00FA4AA8" w:rsidRDefault="00FA4AA8">
      <w:pPr>
        <w:pStyle w:val="BodyText"/>
        <w:spacing w:before="10"/>
        <w:rPr>
          <w:sz w:val="29"/>
        </w:rPr>
      </w:pPr>
    </w:p>
    <w:p w14:paraId="6CAE359C" w14:textId="77777777" w:rsidR="00FA4AA8" w:rsidRDefault="0015611F">
      <w:pPr>
        <w:numPr>
          <w:ilvl w:val="0"/>
          <w:numId w:val="106"/>
        </w:numPr>
        <w:tabs>
          <w:tab w:val="left" w:pos="563"/>
          <w:tab w:val="left" w:pos="564"/>
        </w:tabs>
        <w:spacing w:before="94"/>
        <w:rPr>
          <w:b/>
          <w:sz w:val="18"/>
        </w:rPr>
      </w:pPr>
      <w:bookmarkStart w:id="18" w:name="(l)_Comparative_Amounts_"/>
      <w:bookmarkEnd w:id="18"/>
      <w:r>
        <w:rPr>
          <w:b/>
          <w:sz w:val="18"/>
        </w:rPr>
        <w:t>Summary of Significant Accounting Policies</w:t>
      </w:r>
      <w:r>
        <w:rPr>
          <w:b/>
          <w:spacing w:val="-9"/>
          <w:sz w:val="18"/>
        </w:rPr>
        <w:t xml:space="preserve"> </w:t>
      </w:r>
      <w:r>
        <w:rPr>
          <w:b/>
          <w:sz w:val="18"/>
        </w:rPr>
        <w:t>(continued)</w:t>
      </w:r>
    </w:p>
    <w:p w14:paraId="724B86AC" w14:textId="77777777" w:rsidR="00FA4AA8" w:rsidRDefault="00FA4AA8">
      <w:pPr>
        <w:pStyle w:val="BodyText"/>
        <w:rPr>
          <w:b/>
          <w:sz w:val="25"/>
        </w:rPr>
      </w:pPr>
    </w:p>
    <w:p w14:paraId="567A6EFE" w14:textId="77777777" w:rsidR="00FA4AA8" w:rsidRDefault="0015611F">
      <w:pPr>
        <w:pStyle w:val="ListParagraph"/>
        <w:numPr>
          <w:ilvl w:val="0"/>
          <w:numId w:val="107"/>
        </w:numPr>
        <w:tabs>
          <w:tab w:val="left" w:pos="1130"/>
          <w:tab w:val="left" w:pos="1131"/>
        </w:tabs>
        <w:rPr>
          <w:b/>
          <w:sz w:val="18"/>
        </w:rPr>
      </w:pPr>
      <w:r>
        <w:rPr>
          <w:b/>
          <w:sz w:val="18"/>
        </w:rPr>
        <w:t>Comparative Amounts</w:t>
      </w:r>
    </w:p>
    <w:p w14:paraId="3200DF84" w14:textId="77777777" w:rsidR="00FA4AA8" w:rsidRDefault="00FA4AA8">
      <w:pPr>
        <w:pStyle w:val="BodyText"/>
        <w:rPr>
          <w:b/>
          <w:sz w:val="25"/>
        </w:rPr>
      </w:pPr>
    </w:p>
    <w:p w14:paraId="668B8B3D" w14:textId="77777777" w:rsidR="00FA4AA8" w:rsidRDefault="0015611F">
      <w:pPr>
        <w:pStyle w:val="BodyText"/>
        <w:ind w:left="1130" w:right="256"/>
      </w:pPr>
      <w:r>
        <w:t>Where necessary, comparative information has been reclassified to enhance comparability in respect of changes in presentation adopted in the current year.</w:t>
      </w:r>
    </w:p>
    <w:p w14:paraId="12699D85" w14:textId="77777777" w:rsidR="00FA4AA8" w:rsidRDefault="00FA4AA8">
      <w:pPr>
        <w:pStyle w:val="BodyText"/>
        <w:rPr>
          <w:sz w:val="20"/>
        </w:rPr>
      </w:pPr>
    </w:p>
    <w:p w14:paraId="78CCC28B" w14:textId="77777777" w:rsidR="00FA4AA8" w:rsidRDefault="00FA4AA8">
      <w:pPr>
        <w:pStyle w:val="BodyText"/>
        <w:spacing w:before="3"/>
        <w:rPr>
          <w:sz w:val="26"/>
        </w:rPr>
      </w:pPr>
    </w:p>
    <w:tbl>
      <w:tblPr>
        <w:tblW w:w="0" w:type="auto"/>
        <w:tblInd w:w="1131" w:type="dxa"/>
        <w:tblLayout w:type="fixed"/>
        <w:tblCellMar>
          <w:left w:w="0" w:type="dxa"/>
          <w:right w:w="0" w:type="dxa"/>
        </w:tblCellMar>
        <w:tblLook w:val="01E0" w:firstRow="1" w:lastRow="1" w:firstColumn="1" w:lastColumn="1" w:noHBand="0" w:noVBand="0"/>
      </w:tblPr>
      <w:tblGrid>
        <w:gridCol w:w="3770"/>
        <w:gridCol w:w="1298"/>
        <w:gridCol w:w="1380"/>
        <w:gridCol w:w="1371"/>
        <w:gridCol w:w="1133"/>
      </w:tblGrid>
      <w:tr w:rsidR="00FA4AA8" w14:paraId="394C8CA9" w14:textId="77777777">
        <w:trPr>
          <w:trHeight w:val="510"/>
        </w:trPr>
        <w:tc>
          <w:tcPr>
            <w:tcW w:w="5068" w:type="dxa"/>
            <w:gridSpan w:val="2"/>
            <w:vMerge w:val="restart"/>
          </w:tcPr>
          <w:p w14:paraId="6250366B" w14:textId="77777777" w:rsidR="00FA4AA8" w:rsidRDefault="00FA4AA8">
            <w:pPr>
              <w:pStyle w:val="TableParagraph"/>
              <w:rPr>
                <w:rFonts w:ascii="Times New Roman"/>
                <w:sz w:val="18"/>
              </w:rPr>
            </w:pPr>
          </w:p>
        </w:tc>
        <w:tc>
          <w:tcPr>
            <w:tcW w:w="1380" w:type="dxa"/>
          </w:tcPr>
          <w:p w14:paraId="3A44A4AD" w14:textId="77777777" w:rsidR="00FA4AA8" w:rsidRDefault="00FA4AA8">
            <w:pPr>
              <w:pStyle w:val="TableParagraph"/>
              <w:spacing w:before="3"/>
              <w:rPr>
                <w:sz w:val="23"/>
              </w:rPr>
            </w:pPr>
          </w:p>
          <w:p w14:paraId="766E59B6" w14:textId="77777777" w:rsidR="00FA4AA8" w:rsidRDefault="0015611F">
            <w:pPr>
              <w:pStyle w:val="TableParagraph"/>
              <w:ind w:left="295"/>
              <w:rPr>
                <w:b/>
                <w:sz w:val="18"/>
              </w:rPr>
            </w:pPr>
            <w:r>
              <w:rPr>
                <w:b/>
                <w:sz w:val="18"/>
              </w:rPr>
              <w:t>Reported</w:t>
            </w:r>
          </w:p>
        </w:tc>
        <w:tc>
          <w:tcPr>
            <w:tcW w:w="1371" w:type="dxa"/>
          </w:tcPr>
          <w:p w14:paraId="0274854B" w14:textId="77777777" w:rsidR="00FA4AA8" w:rsidRDefault="0015611F">
            <w:pPr>
              <w:pStyle w:val="TableParagraph"/>
              <w:spacing w:line="201" w:lineRule="exact"/>
              <w:ind w:left="93" w:right="246"/>
              <w:jc w:val="center"/>
              <w:rPr>
                <w:b/>
                <w:sz w:val="18"/>
              </w:rPr>
            </w:pPr>
            <w:r>
              <w:rPr>
                <w:b/>
                <w:sz w:val="18"/>
              </w:rPr>
              <w:t>2017</w:t>
            </w:r>
          </w:p>
          <w:p w14:paraId="4B2A508F" w14:textId="77777777" w:rsidR="00FA4AA8" w:rsidRDefault="0015611F">
            <w:pPr>
              <w:pStyle w:val="TableParagraph"/>
              <w:spacing w:before="66"/>
              <w:ind w:left="95" w:right="246"/>
              <w:jc w:val="center"/>
              <w:rPr>
                <w:b/>
                <w:sz w:val="18"/>
              </w:rPr>
            </w:pPr>
            <w:r>
              <w:rPr>
                <w:b/>
                <w:sz w:val="18"/>
              </w:rPr>
              <w:t>Adjustment</w:t>
            </w:r>
          </w:p>
        </w:tc>
        <w:tc>
          <w:tcPr>
            <w:tcW w:w="1133" w:type="dxa"/>
          </w:tcPr>
          <w:p w14:paraId="31614E47" w14:textId="77777777" w:rsidR="00FA4AA8" w:rsidRDefault="00FA4AA8">
            <w:pPr>
              <w:pStyle w:val="TableParagraph"/>
              <w:spacing w:before="3"/>
              <w:rPr>
                <w:sz w:val="23"/>
              </w:rPr>
            </w:pPr>
          </w:p>
          <w:p w14:paraId="7D04B97B" w14:textId="77777777" w:rsidR="00FA4AA8" w:rsidRDefault="0015611F">
            <w:pPr>
              <w:pStyle w:val="TableParagraph"/>
              <w:ind w:left="186"/>
              <w:rPr>
                <w:b/>
                <w:sz w:val="18"/>
              </w:rPr>
            </w:pPr>
            <w:r>
              <w:rPr>
                <w:b/>
                <w:sz w:val="18"/>
              </w:rPr>
              <w:t>Revised</w:t>
            </w:r>
          </w:p>
        </w:tc>
      </w:tr>
      <w:tr w:rsidR="00FA4AA8" w14:paraId="13C034AF" w14:textId="77777777">
        <w:trPr>
          <w:trHeight w:val="313"/>
        </w:trPr>
        <w:tc>
          <w:tcPr>
            <w:tcW w:w="5068" w:type="dxa"/>
            <w:gridSpan w:val="2"/>
            <w:vMerge/>
            <w:tcBorders>
              <w:top w:val="nil"/>
            </w:tcBorders>
          </w:tcPr>
          <w:p w14:paraId="48BCF54D" w14:textId="77777777" w:rsidR="00FA4AA8" w:rsidRDefault="00FA4AA8">
            <w:pPr>
              <w:rPr>
                <w:sz w:val="2"/>
                <w:szCs w:val="2"/>
              </w:rPr>
            </w:pPr>
          </w:p>
        </w:tc>
        <w:tc>
          <w:tcPr>
            <w:tcW w:w="1380" w:type="dxa"/>
          </w:tcPr>
          <w:p w14:paraId="141B76DF" w14:textId="77777777" w:rsidR="00FA4AA8" w:rsidRDefault="0015611F">
            <w:pPr>
              <w:pStyle w:val="TableParagraph"/>
              <w:spacing w:before="30"/>
              <w:ind w:left="408" w:right="406"/>
              <w:jc w:val="center"/>
              <w:rPr>
                <w:b/>
                <w:sz w:val="18"/>
              </w:rPr>
            </w:pPr>
            <w:r>
              <w:rPr>
                <w:b/>
                <w:sz w:val="18"/>
              </w:rPr>
              <w:t>$'000</w:t>
            </w:r>
          </w:p>
        </w:tc>
        <w:tc>
          <w:tcPr>
            <w:tcW w:w="1371" w:type="dxa"/>
          </w:tcPr>
          <w:p w14:paraId="7CAC1210" w14:textId="77777777" w:rsidR="00FA4AA8" w:rsidRDefault="0015611F">
            <w:pPr>
              <w:pStyle w:val="TableParagraph"/>
              <w:spacing w:before="30"/>
              <w:ind w:left="384"/>
              <w:rPr>
                <w:b/>
                <w:sz w:val="18"/>
              </w:rPr>
            </w:pPr>
            <w:r>
              <w:rPr>
                <w:b/>
                <w:sz w:val="18"/>
              </w:rPr>
              <w:t>$'000</w:t>
            </w:r>
          </w:p>
        </w:tc>
        <w:tc>
          <w:tcPr>
            <w:tcW w:w="1133" w:type="dxa"/>
          </w:tcPr>
          <w:p w14:paraId="703DF3D5" w14:textId="77777777" w:rsidR="00FA4AA8" w:rsidRDefault="0015611F">
            <w:pPr>
              <w:pStyle w:val="TableParagraph"/>
              <w:spacing w:before="30"/>
              <w:ind w:left="309"/>
              <w:rPr>
                <w:b/>
                <w:sz w:val="18"/>
              </w:rPr>
            </w:pPr>
            <w:r>
              <w:rPr>
                <w:b/>
                <w:sz w:val="18"/>
              </w:rPr>
              <w:t>$'000</w:t>
            </w:r>
          </w:p>
        </w:tc>
      </w:tr>
      <w:tr w:rsidR="00FA4AA8" w14:paraId="4C147BD8" w14:textId="77777777">
        <w:trPr>
          <w:trHeight w:val="537"/>
        </w:trPr>
        <w:tc>
          <w:tcPr>
            <w:tcW w:w="3770" w:type="dxa"/>
          </w:tcPr>
          <w:p w14:paraId="4FB1CC41" w14:textId="77777777" w:rsidR="00FA4AA8" w:rsidRDefault="0015611F">
            <w:pPr>
              <w:pStyle w:val="TableParagraph"/>
              <w:spacing w:before="70"/>
              <w:ind w:left="50"/>
              <w:rPr>
                <w:b/>
                <w:sz w:val="18"/>
              </w:rPr>
            </w:pPr>
            <w:r>
              <w:rPr>
                <w:b/>
                <w:sz w:val="18"/>
              </w:rPr>
              <w:t>Note 24 - Provisions</w:t>
            </w:r>
          </w:p>
          <w:p w14:paraId="72F5B9AB" w14:textId="77777777" w:rsidR="00FA4AA8" w:rsidRDefault="0015611F">
            <w:pPr>
              <w:pStyle w:val="TableParagraph"/>
              <w:spacing w:before="30"/>
              <w:ind w:left="50"/>
              <w:rPr>
                <w:sz w:val="18"/>
              </w:rPr>
            </w:pPr>
            <w:r>
              <w:rPr>
                <w:sz w:val="18"/>
              </w:rPr>
              <w:t>Defined benefit obligation</w:t>
            </w:r>
          </w:p>
        </w:tc>
        <w:tc>
          <w:tcPr>
            <w:tcW w:w="1298" w:type="dxa"/>
          </w:tcPr>
          <w:p w14:paraId="57E0D014" w14:textId="77777777" w:rsidR="00FA4AA8" w:rsidRDefault="00FA4AA8">
            <w:pPr>
              <w:pStyle w:val="TableParagraph"/>
              <w:rPr>
                <w:rFonts w:ascii="Times New Roman"/>
                <w:sz w:val="18"/>
              </w:rPr>
            </w:pPr>
          </w:p>
        </w:tc>
        <w:tc>
          <w:tcPr>
            <w:tcW w:w="1380" w:type="dxa"/>
            <w:tcBorders>
              <w:bottom w:val="single" w:sz="8" w:space="0" w:color="000000"/>
            </w:tcBorders>
          </w:tcPr>
          <w:p w14:paraId="669B6BF3" w14:textId="77777777" w:rsidR="00FA4AA8" w:rsidRDefault="00FA4AA8">
            <w:pPr>
              <w:pStyle w:val="TableParagraph"/>
              <w:spacing w:before="6"/>
              <w:rPr>
                <w:sz w:val="26"/>
              </w:rPr>
            </w:pPr>
          </w:p>
          <w:p w14:paraId="73893D90" w14:textId="77777777" w:rsidR="00FA4AA8" w:rsidRDefault="0015611F">
            <w:pPr>
              <w:pStyle w:val="TableParagraph"/>
              <w:ind w:right="168"/>
              <w:jc w:val="right"/>
              <w:rPr>
                <w:sz w:val="18"/>
              </w:rPr>
            </w:pPr>
            <w:r>
              <w:rPr>
                <w:sz w:val="18"/>
              </w:rPr>
              <w:t>347,795</w:t>
            </w:r>
          </w:p>
        </w:tc>
        <w:tc>
          <w:tcPr>
            <w:tcW w:w="1371" w:type="dxa"/>
            <w:tcBorders>
              <w:bottom w:val="single" w:sz="8" w:space="0" w:color="000000"/>
            </w:tcBorders>
          </w:tcPr>
          <w:p w14:paraId="730BB9EA" w14:textId="77777777" w:rsidR="00FA4AA8" w:rsidRDefault="00FA4AA8">
            <w:pPr>
              <w:pStyle w:val="TableParagraph"/>
              <w:spacing w:before="6"/>
              <w:rPr>
                <w:sz w:val="26"/>
              </w:rPr>
            </w:pPr>
          </w:p>
          <w:p w14:paraId="23E848E9" w14:textId="77777777" w:rsidR="00FA4AA8" w:rsidRDefault="0015611F">
            <w:pPr>
              <w:pStyle w:val="TableParagraph"/>
              <w:ind w:right="243"/>
              <w:jc w:val="right"/>
              <w:rPr>
                <w:sz w:val="18"/>
              </w:rPr>
            </w:pPr>
            <w:r>
              <w:rPr>
                <w:sz w:val="18"/>
              </w:rPr>
              <w:t>7,127</w:t>
            </w:r>
          </w:p>
        </w:tc>
        <w:tc>
          <w:tcPr>
            <w:tcW w:w="1133" w:type="dxa"/>
            <w:tcBorders>
              <w:bottom w:val="single" w:sz="8" w:space="0" w:color="000000"/>
            </w:tcBorders>
          </w:tcPr>
          <w:p w14:paraId="2141D2B6" w14:textId="77777777" w:rsidR="00FA4AA8" w:rsidRDefault="00FA4AA8">
            <w:pPr>
              <w:pStyle w:val="TableParagraph"/>
              <w:spacing w:before="6"/>
              <w:rPr>
                <w:sz w:val="26"/>
              </w:rPr>
            </w:pPr>
          </w:p>
          <w:p w14:paraId="753D4F34" w14:textId="77777777" w:rsidR="00FA4AA8" w:rsidRDefault="0015611F">
            <w:pPr>
              <w:pStyle w:val="TableParagraph"/>
              <w:ind w:right="80"/>
              <w:jc w:val="right"/>
              <w:rPr>
                <w:sz w:val="18"/>
              </w:rPr>
            </w:pPr>
            <w:r>
              <w:rPr>
                <w:sz w:val="18"/>
              </w:rPr>
              <w:t>354,922</w:t>
            </w:r>
          </w:p>
        </w:tc>
      </w:tr>
      <w:tr w:rsidR="00FA4AA8" w14:paraId="64C29BFC" w14:textId="77777777">
        <w:trPr>
          <w:trHeight w:val="909"/>
        </w:trPr>
        <w:tc>
          <w:tcPr>
            <w:tcW w:w="3770" w:type="dxa"/>
          </w:tcPr>
          <w:p w14:paraId="48DFF458" w14:textId="77777777" w:rsidR="00FA4AA8" w:rsidRDefault="00FA4AA8">
            <w:pPr>
              <w:pStyle w:val="TableParagraph"/>
              <w:rPr>
                <w:sz w:val="20"/>
              </w:rPr>
            </w:pPr>
          </w:p>
          <w:p w14:paraId="52ADBCDE" w14:textId="77777777" w:rsidR="00FA4AA8" w:rsidRDefault="00FA4AA8">
            <w:pPr>
              <w:pStyle w:val="TableParagraph"/>
              <w:spacing w:before="8"/>
              <w:rPr>
                <w:sz w:val="17"/>
              </w:rPr>
            </w:pPr>
          </w:p>
          <w:p w14:paraId="6E3375E0" w14:textId="77777777" w:rsidR="00FA4AA8" w:rsidRDefault="0015611F">
            <w:pPr>
              <w:pStyle w:val="TableParagraph"/>
              <w:spacing w:before="1"/>
              <w:ind w:left="50"/>
              <w:rPr>
                <w:b/>
                <w:sz w:val="18"/>
              </w:rPr>
            </w:pPr>
            <w:r>
              <w:rPr>
                <w:b/>
                <w:sz w:val="18"/>
              </w:rPr>
              <w:t>Statement of Changes in Equity (extract)</w:t>
            </w:r>
          </w:p>
          <w:p w14:paraId="473DFB6D" w14:textId="77777777" w:rsidR="00FA4AA8" w:rsidRDefault="0015611F">
            <w:pPr>
              <w:pStyle w:val="TableParagraph"/>
              <w:spacing w:before="30"/>
              <w:ind w:left="50"/>
              <w:rPr>
                <w:sz w:val="18"/>
              </w:rPr>
            </w:pPr>
            <w:r>
              <w:rPr>
                <w:sz w:val="18"/>
              </w:rPr>
              <w:t>Balance at 31 December 2017 (Consolidated)</w:t>
            </w:r>
          </w:p>
        </w:tc>
        <w:tc>
          <w:tcPr>
            <w:tcW w:w="1298" w:type="dxa"/>
          </w:tcPr>
          <w:p w14:paraId="2FE3518D" w14:textId="77777777" w:rsidR="00FA4AA8" w:rsidRDefault="00FA4AA8">
            <w:pPr>
              <w:pStyle w:val="TableParagraph"/>
              <w:rPr>
                <w:rFonts w:ascii="Times New Roman"/>
                <w:sz w:val="18"/>
              </w:rPr>
            </w:pPr>
          </w:p>
        </w:tc>
        <w:tc>
          <w:tcPr>
            <w:tcW w:w="1380" w:type="dxa"/>
            <w:tcBorders>
              <w:top w:val="single" w:sz="8" w:space="0" w:color="000000"/>
            </w:tcBorders>
          </w:tcPr>
          <w:p w14:paraId="3EBC569B" w14:textId="77777777" w:rsidR="00FA4AA8" w:rsidRDefault="00FA4AA8">
            <w:pPr>
              <w:pStyle w:val="TableParagraph"/>
              <w:rPr>
                <w:sz w:val="20"/>
              </w:rPr>
            </w:pPr>
          </w:p>
          <w:p w14:paraId="5A533D9E" w14:textId="77777777" w:rsidR="00FA4AA8" w:rsidRDefault="00FA4AA8">
            <w:pPr>
              <w:pStyle w:val="TableParagraph"/>
              <w:rPr>
                <w:sz w:val="20"/>
              </w:rPr>
            </w:pPr>
          </w:p>
          <w:p w14:paraId="466FB0E9" w14:textId="77777777" w:rsidR="00FA4AA8" w:rsidRDefault="00FA4AA8">
            <w:pPr>
              <w:pStyle w:val="TableParagraph"/>
              <w:spacing w:before="2"/>
              <w:rPr>
                <w:sz w:val="18"/>
              </w:rPr>
            </w:pPr>
          </w:p>
          <w:p w14:paraId="45E2C4AB" w14:textId="77777777" w:rsidR="00FA4AA8" w:rsidRDefault="0015611F">
            <w:pPr>
              <w:pStyle w:val="TableParagraph"/>
              <w:ind w:right="168"/>
              <w:jc w:val="right"/>
              <w:rPr>
                <w:sz w:val="18"/>
              </w:rPr>
            </w:pPr>
            <w:r>
              <w:rPr>
                <w:sz w:val="18"/>
              </w:rPr>
              <w:t>1,054,128</w:t>
            </w:r>
          </w:p>
        </w:tc>
        <w:tc>
          <w:tcPr>
            <w:tcW w:w="1371" w:type="dxa"/>
            <w:tcBorders>
              <w:top w:val="single" w:sz="8" w:space="0" w:color="000000"/>
            </w:tcBorders>
          </w:tcPr>
          <w:p w14:paraId="279FAEC9" w14:textId="77777777" w:rsidR="00FA4AA8" w:rsidRDefault="00FA4AA8">
            <w:pPr>
              <w:pStyle w:val="TableParagraph"/>
              <w:rPr>
                <w:sz w:val="20"/>
              </w:rPr>
            </w:pPr>
          </w:p>
          <w:p w14:paraId="3401269E" w14:textId="77777777" w:rsidR="00FA4AA8" w:rsidRDefault="00FA4AA8">
            <w:pPr>
              <w:pStyle w:val="TableParagraph"/>
              <w:rPr>
                <w:sz w:val="20"/>
              </w:rPr>
            </w:pPr>
          </w:p>
          <w:p w14:paraId="2B334DD2" w14:textId="77777777" w:rsidR="00FA4AA8" w:rsidRDefault="00FA4AA8">
            <w:pPr>
              <w:pStyle w:val="TableParagraph"/>
              <w:spacing w:before="2"/>
              <w:rPr>
                <w:sz w:val="18"/>
              </w:rPr>
            </w:pPr>
          </w:p>
          <w:p w14:paraId="6A3D43A2" w14:textId="77777777" w:rsidR="00FA4AA8" w:rsidRDefault="0015611F">
            <w:pPr>
              <w:pStyle w:val="TableParagraph"/>
              <w:ind w:right="182"/>
              <w:jc w:val="right"/>
              <w:rPr>
                <w:sz w:val="18"/>
              </w:rPr>
            </w:pPr>
            <w:r>
              <w:rPr>
                <w:sz w:val="18"/>
              </w:rPr>
              <w:t>(7,127)</w:t>
            </w:r>
          </w:p>
        </w:tc>
        <w:tc>
          <w:tcPr>
            <w:tcW w:w="1133" w:type="dxa"/>
            <w:tcBorders>
              <w:top w:val="single" w:sz="8" w:space="0" w:color="000000"/>
            </w:tcBorders>
          </w:tcPr>
          <w:p w14:paraId="4B588F98" w14:textId="77777777" w:rsidR="00FA4AA8" w:rsidRDefault="00FA4AA8">
            <w:pPr>
              <w:pStyle w:val="TableParagraph"/>
              <w:rPr>
                <w:sz w:val="20"/>
              </w:rPr>
            </w:pPr>
          </w:p>
          <w:p w14:paraId="1F8989B8" w14:textId="77777777" w:rsidR="00FA4AA8" w:rsidRDefault="00FA4AA8">
            <w:pPr>
              <w:pStyle w:val="TableParagraph"/>
              <w:rPr>
                <w:sz w:val="20"/>
              </w:rPr>
            </w:pPr>
          </w:p>
          <w:p w14:paraId="7A7526F7" w14:textId="77777777" w:rsidR="00FA4AA8" w:rsidRDefault="00FA4AA8">
            <w:pPr>
              <w:pStyle w:val="TableParagraph"/>
              <w:spacing w:before="2"/>
              <w:rPr>
                <w:sz w:val="18"/>
              </w:rPr>
            </w:pPr>
          </w:p>
          <w:p w14:paraId="7B64CABD" w14:textId="77777777" w:rsidR="00FA4AA8" w:rsidRDefault="0015611F">
            <w:pPr>
              <w:pStyle w:val="TableParagraph"/>
              <w:ind w:left="244"/>
              <w:rPr>
                <w:sz w:val="18"/>
              </w:rPr>
            </w:pPr>
            <w:r>
              <w:rPr>
                <w:sz w:val="18"/>
              </w:rPr>
              <w:t>1,047,001</w:t>
            </w:r>
          </w:p>
        </w:tc>
      </w:tr>
      <w:tr w:rsidR="00FA4AA8" w14:paraId="605EC6CF" w14:textId="77777777">
        <w:trPr>
          <w:trHeight w:val="513"/>
        </w:trPr>
        <w:tc>
          <w:tcPr>
            <w:tcW w:w="3770" w:type="dxa"/>
          </w:tcPr>
          <w:p w14:paraId="18E6FEF9" w14:textId="77777777" w:rsidR="00FA4AA8" w:rsidRDefault="0015611F">
            <w:pPr>
              <w:pStyle w:val="TableParagraph"/>
              <w:spacing w:before="26"/>
              <w:ind w:left="50"/>
              <w:rPr>
                <w:sz w:val="18"/>
              </w:rPr>
            </w:pPr>
            <w:r>
              <w:rPr>
                <w:sz w:val="18"/>
              </w:rPr>
              <w:t>Balance at 31 December 2017 (Parent)</w:t>
            </w:r>
          </w:p>
        </w:tc>
        <w:tc>
          <w:tcPr>
            <w:tcW w:w="1298" w:type="dxa"/>
          </w:tcPr>
          <w:p w14:paraId="70D04390" w14:textId="77777777" w:rsidR="00FA4AA8" w:rsidRDefault="00FA4AA8">
            <w:pPr>
              <w:pStyle w:val="TableParagraph"/>
              <w:rPr>
                <w:rFonts w:ascii="Times New Roman"/>
                <w:sz w:val="18"/>
              </w:rPr>
            </w:pPr>
          </w:p>
        </w:tc>
        <w:tc>
          <w:tcPr>
            <w:tcW w:w="1380" w:type="dxa"/>
          </w:tcPr>
          <w:p w14:paraId="00BCD27E" w14:textId="77777777" w:rsidR="00FA4AA8" w:rsidRDefault="0015611F">
            <w:pPr>
              <w:pStyle w:val="TableParagraph"/>
              <w:spacing w:before="24"/>
              <w:ind w:right="168"/>
              <w:jc w:val="right"/>
              <w:rPr>
                <w:sz w:val="18"/>
              </w:rPr>
            </w:pPr>
            <w:r>
              <w:rPr>
                <w:sz w:val="18"/>
              </w:rPr>
              <w:t>1,046,012</w:t>
            </w:r>
          </w:p>
        </w:tc>
        <w:tc>
          <w:tcPr>
            <w:tcW w:w="1371" w:type="dxa"/>
          </w:tcPr>
          <w:p w14:paraId="66E3E3E5" w14:textId="77777777" w:rsidR="00FA4AA8" w:rsidRDefault="0015611F">
            <w:pPr>
              <w:pStyle w:val="TableParagraph"/>
              <w:spacing w:before="24"/>
              <w:ind w:right="182"/>
              <w:jc w:val="right"/>
              <w:rPr>
                <w:sz w:val="18"/>
              </w:rPr>
            </w:pPr>
            <w:r>
              <w:rPr>
                <w:sz w:val="18"/>
              </w:rPr>
              <w:t>(7,127)</w:t>
            </w:r>
          </w:p>
        </w:tc>
        <w:tc>
          <w:tcPr>
            <w:tcW w:w="1133" w:type="dxa"/>
          </w:tcPr>
          <w:p w14:paraId="4FAAA3E7" w14:textId="77777777" w:rsidR="00FA4AA8" w:rsidRDefault="0015611F">
            <w:pPr>
              <w:pStyle w:val="TableParagraph"/>
              <w:spacing w:before="24"/>
              <w:ind w:left="244"/>
              <w:rPr>
                <w:sz w:val="18"/>
              </w:rPr>
            </w:pPr>
            <w:r>
              <w:rPr>
                <w:sz w:val="18"/>
              </w:rPr>
              <w:t>1,038,885</w:t>
            </w:r>
          </w:p>
        </w:tc>
      </w:tr>
      <w:tr w:rsidR="00FA4AA8" w14:paraId="628659C8" w14:textId="77777777">
        <w:trPr>
          <w:trHeight w:val="517"/>
        </w:trPr>
        <w:tc>
          <w:tcPr>
            <w:tcW w:w="3770" w:type="dxa"/>
          </w:tcPr>
          <w:p w14:paraId="2EFDD0A3" w14:textId="77777777" w:rsidR="00FA4AA8" w:rsidRDefault="00FA4AA8">
            <w:pPr>
              <w:pStyle w:val="TableParagraph"/>
              <w:rPr>
                <w:rFonts w:ascii="Times New Roman"/>
                <w:sz w:val="18"/>
              </w:rPr>
            </w:pPr>
          </w:p>
        </w:tc>
        <w:tc>
          <w:tcPr>
            <w:tcW w:w="1298" w:type="dxa"/>
          </w:tcPr>
          <w:p w14:paraId="5A39C419" w14:textId="77777777" w:rsidR="00FA4AA8" w:rsidRDefault="00FA4AA8">
            <w:pPr>
              <w:pStyle w:val="TableParagraph"/>
              <w:spacing w:before="9"/>
              <w:rPr>
                <w:sz w:val="23"/>
              </w:rPr>
            </w:pPr>
          </w:p>
          <w:p w14:paraId="7524C679" w14:textId="77777777" w:rsidR="00FA4AA8" w:rsidRDefault="0015611F">
            <w:pPr>
              <w:pStyle w:val="TableParagraph"/>
              <w:ind w:left="448"/>
              <w:rPr>
                <w:b/>
                <w:sz w:val="18"/>
              </w:rPr>
            </w:pPr>
            <w:r>
              <w:rPr>
                <w:b/>
                <w:sz w:val="18"/>
              </w:rPr>
              <w:t>SASS</w:t>
            </w:r>
          </w:p>
        </w:tc>
        <w:tc>
          <w:tcPr>
            <w:tcW w:w="1380" w:type="dxa"/>
          </w:tcPr>
          <w:p w14:paraId="1EDF1688" w14:textId="77777777" w:rsidR="00FA4AA8" w:rsidRDefault="00FA4AA8">
            <w:pPr>
              <w:pStyle w:val="TableParagraph"/>
              <w:spacing w:before="9"/>
              <w:rPr>
                <w:sz w:val="23"/>
              </w:rPr>
            </w:pPr>
          </w:p>
          <w:p w14:paraId="6F701B92" w14:textId="77777777" w:rsidR="00FA4AA8" w:rsidRDefault="0015611F">
            <w:pPr>
              <w:pStyle w:val="TableParagraph"/>
              <w:ind w:left="377"/>
              <w:rPr>
                <w:b/>
                <w:sz w:val="18"/>
              </w:rPr>
            </w:pPr>
            <w:r>
              <w:rPr>
                <w:b/>
                <w:sz w:val="18"/>
              </w:rPr>
              <w:t>SANCS</w:t>
            </w:r>
          </w:p>
        </w:tc>
        <w:tc>
          <w:tcPr>
            <w:tcW w:w="1371" w:type="dxa"/>
          </w:tcPr>
          <w:p w14:paraId="3ADEAAC6" w14:textId="77777777" w:rsidR="00FA4AA8" w:rsidRDefault="00FA4AA8">
            <w:pPr>
              <w:pStyle w:val="TableParagraph"/>
              <w:spacing w:before="9"/>
              <w:rPr>
                <w:sz w:val="23"/>
              </w:rPr>
            </w:pPr>
          </w:p>
          <w:p w14:paraId="0B4A35CA" w14:textId="77777777" w:rsidR="00FA4AA8" w:rsidRDefault="0015611F">
            <w:pPr>
              <w:pStyle w:val="TableParagraph"/>
              <w:ind w:left="425"/>
              <w:rPr>
                <w:b/>
                <w:sz w:val="18"/>
              </w:rPr>
            </w:pPr>
            <w:r>
              <w:rPr>
                <w:b/>
                <w:sz w:val="18"/>
              </w:rPr>
              <w:t>SSS</w:t>
            </w:r>
          </w:p>
        </w:tc>
        <w:tc>
          <w:tcPr>
            <w:tcW w:w="1133" w:type="dxa"/>
          </w:tcPr>
          <w:p w14:paraId="38FE4147" w14:textId="77777777" w:rsidR="00FA4AA8" w:rsidRDefault="00FA4AA8">
            <w:pPr>
              <w:pStyle w:val="TableParagraph"/>
              <w:spacing w:before="9"/>
              <w:rPr>
                <w:sz w:val="23"/>
              </w:rPr>
            </w:pPr>
          </w:p>
          <w:p w14:paraId="0D1B11CB" w14:textId="77777777" w:rsidR="00FA4AA8" w:rsidRDefault="0015611F">
            <w:pPr>
              <w:pStyle w:val="TableParagraph"/>
              <w:ind w:left="314"/>
              <w:rPr>
                <w:b/>
                <w:sz w:val="18"/>
              </w:rPr>
            </w:pPr>
            <w:r>
              <w:rPr>
                <w:b/>
                <w:sz w:val="18"/>
              </w:rPr>
              <w:t>Total</w:t>
            </w:r>
          </w:p>
        </w:tc>
      </w:tr>
      <w:tr w:rsidR="00FA4AA8" w14:paraId="7427BCC5" w14:textId="77777777">
        <w:trPr>
          <w:trHeight w:val="313"/>
        </w:trPr>
        <w:tc>
          <w:tcPr>
            <w:tcW w:w="3770" w:type="dxa"/>
          </w:tcPr>
          <w:p w14:paraId="572F40F8" w14:textId="77777777" w:rsidR="00FA4AA8" w:rsidRDefault="0015611F">
            <w:pPr>
              <w:pStyle w:val="TableParagraph"/>
              <w:spacing w:before="30"/>
              <w:ind w:left="50"/>
              <w:rPr>
                <w:b/>
                <w:sz w:val="18"/>
              </w:rPr>
            </w:pPr>
            <w:r>
              <w:rPr>
                <w:b/>
                <w:sz w:val="18"/>
              </w:rPr>
              <w:t>Note 37(d) - Defined Benefits Plans</w:t>
            </w:r>
          </w:p>
        </w:tc>
        <w:tc>
          <w:tcPr>
            <w:tcW w:w="1298" w:type="dxa"/>
          </w:tcPr>
          <w:p w14:paraId="4ADC58D6" w14:textId="77777777" w:rsidR="00FA4AA8" w:rsidRDefault="0015611F">
            <w:pPr>
              <w:pStyle w:val="TableParagraph"/>
              <w:spacing w:before="30"/>
              <w:ind w:left="467"/>
              <w:rPr>
                <w:b/>
                <w:sz w:val="18"/>
              </w:rPr>
            </w:pPr>
            <w:r>
              <w:rPr>
                <w:b/>
                <w:sz w:val="18"/>
              </w:rPr>
              <w:t>$'000</w:t>
            </w:r>
          </w:p>
        </w:tc>
        <w:tc>
          <w:tcPr>
            <w:tcW w:w="1380" w:type="dxa"/>
          </w:tcPr>
          <w:p w14:paraId="0248F56B" w14:textId="77777777" w:rsidR="00FA4AA8" w:rsidRDefault="0015611F">
            <w:pPr>
              <w:pStyle w:val="TableParagraph"/>
              <w:spacing w:before="30"/>
              <w:ind w:left="405" w:right="406"/>
              <w:jc w:val="center"/>
              <w:rPr>
                <w:b/>
                <w:sz w:val="18"/>
              </w:rPr>
            </w:pPr>
            <w:r>
              <w:rPr>
                <w:b/>
                <w:sz w:val="18"/>
              </w:rPr>
              <w:t>$'000</w:t>
            </w:r>
          </w:p>
        </w:tc>
        <w:tc>
          <w:tcPr>
            <w:tcW w:w="1371" w:type="dxa"/>
          </w:tcPr>
          <w:p w14:paraId="43FBBE05" w14:textId="77777777" w:rsidR="00FA4AA8" w:rsidRDefault="0015611F">
            <w:pPr>
              <w:pStyle w:val="TableParagraph"/>
              <w:spacing w:before="30"/>
              <w:ind w:left="381"/>
              <w:rPr>
                <w:b/>
                <w:sz w:val="18"/>
              </w:rPr>
            </w:pPr>
            <w:r>
              <w:rPr>
                <w:b/>
                <w:sz w:val="18"/>
              </w:rPr>
              <w:t>$'000</w:t>
            </w:r>
          </w:p>
        </w:tc>
        <w:tc>
          <w:tcPr>
            <w:tcW w:w="1133" w:type="dxa"/>
          </w:tcPr>
          <w:p w14:paraId="2BB5AFD8" w14:textId="77777777" w:rsidR="00FA4AA8" w:rsidRDefault="0015611F">
            <w:pPr>
              <w:pStyle w:val="TableParagraph"/>
              <w:spacing w:before="30"/>
              <w:ind w:left="306"/>
              <w:rPr>
                <w:b/>
                <w:sz w:val="18"/>
              </w:rPr>
            </w:pPr>
            <w:r>
              <w:rPr>
                <w:b/>
                <w:sz w:val="18"/>
              </w:rPr>
              <w:t>$'000</w:t>
            </w:r>
          </w:p>
        </w:tc>
      </w:tr>
      <w:tr w:rsidR="00FA4AA8" w14:paraId="355EAD78" w14:textId="77777777">
        <w:trPr>
          <w:trHeight w:val="544"/>
        </w:trPr>
        <w:tc>
          <w:tcPr>
            <w:tcW w:w="3770" w:type="dxa"/>
          </w:tcPr>
          <w:p w14:paraId="3381C076" w14:textId="77777777" w:rsidR="00FA4AA8" w:rsidRDefault="0015611F">
            <w:pPr>
              <w:pStyle w:val="TableParagraph"/>
              <w:spacing w:before="70"/>
              <w:ind w:left="50"/>
              <w:rPr>
                <w:b/>
                <w:sz w:val="18"/>
              </w:rPr>
            </w:pPr>
            <w:r>
              <w:rPr>
                <w:b/>
                <w:sz w:val="18"/>
              </w:rPr>
              <w:t>Net liability reconciliation - 2017</w:t>
            </w:r>
          </w:p>
          <w:p w14:paraId="13C1421E" w14:textId="77777777" w:rsidR="00FA4AA8" w:rsidRDefault="0015611F">
            <w:pPr>
              <w:pStyle w:val="TableParagraph"/>
              <w:spacing w:before="30"/>
              <w:ind w:left="50"/>
              <w:rPr>
                <w:sz w:val="18"/>
              </w:rPr>
            </w:pPr>
            <w:r>
              <w:rPr>
                <w:sz w:val="18"/>
              </w:rPr>
              <w:t>Defined benefit obligation</w:t>
            </w:r>
          </w:p>
        </w:tc>
        <w:tc>
          <w:tcPr>
            <w:tcW w:w="1298" w:type="dxa"/>
          </w:tcPr>
          <w:p w14:paraId="781224CE" w14:textId="77777777" w:rsidR="00FA4AA8" w:rsidRDefault="00FA4AA8">
            <w:pPr>
              <w:pStyle w:val="TableParagraph"/>
              <w:spacing w:before="6"/>
              <w:rPr>
                <w:sz w:val="26"/>
              </w:rPr>
            </w:pPr>
          </w:p>
          <w:p w14:paraId="6B1ADD9B" w14:textId="77777777" w:rsidR="00FA4AA8" w:rsidRDefault="0015611F">
            <w:pPr>
              <w:pStyle w:val="TableParagraph"/>
              <w:ind w:right="86"/>
              <w:jc w:val="right"/>
              <w:rPr>
                <w:sz w:val="18"/>
              </w:rPr>
            </w:pPr>
            <w:r>
              <w:rPr>
                <w:sz w:val="18"/>
              </w:rPr>
              <w:t>25,176</w:t>
            </w:r>
          </w:p>
        </w:tc>
        <w:tc>
          <w:tcPr>
            <w:tcW w:w="1380" w:type="dxa"/>
          </w:tcPr>
          <w:p w14:paraId="00B47D5F" w14:textId="77777777" w:rsidR="00FA4AA8" w:rsidRDefault="00FA4AA8">
            <w:pPr>
              <w:pStyle w:val="TableParagraph"/>
              <w:spacing w:before="6"/>
              <w:rPr>
                <w:sz w:val="26"/>
              </w:rPr>
            </w:pPr>
          </w:p>
          <w:p w14:paraId="273A54F1" w14:textId="77777777" w:rsidR="00FA4AA8" w:rsidRDefault="0015611F">
            <w:pPr>
              <w:pStyle w:val="TableParagraph"/>
              <w:ind w:right="170"/>
              <w:jc w:val="right"/>
              <w:rPr>
                <w:sz w:val="18"/>
              </w:rPr>
            </w:pPr>
            <w:r>
              <w:rPr>
                <w:sz w:val="18"/>
              </w:rPr>
              <w:t>4,349</w:t>
            </w:r>
          </w:p>
        </w:tc>
        <w:tc>
          <w:tcPr>
            <w:tcW w:w="1371" w:type="dxa"/>
          </w:tcPr>
          <w:p w14:paraId="03D97A92" w14:textId="77777777" w:rsidR="00FA4AA8" w:rsidRDefault="00FA4AA8">
            <w:pPr>
              <w:pStyle w:val="TableParagraph"/>
              <w:spacing w:before="6"/>
              <w:rPr>
                <w:sz w:val="26"/>
              </w:rPr>
            </w:pPr>
          </w:p>
          <w:p w14:paraId="493FE9EC" w14:textId="77777777" w:rsidR="00FA4AA8" w:rsidRDefault="0015611F">
            <w:pPr>
              <w:pStyle w:val="TableParagraph"/>
              <w:ind w:right="245"/>
              <w:jc w:val="right"/>
              <w:rPr>
                <w:sz w:val="18"/>
              </w:rPr>
            </w:pPr>
            <w:r>
              <w:rPr>
                <w:sz w:val="18"/>
              </w:rPr>
              <w:t>409,545</w:t>
            </w:r>
          </w:p>
        </w:tc>
        <w:tc>
          <w:tcPr>
            <w:tcW w:w="1133" w:type="dxa"/>
          </w:tcPr>
          <w:p w14:paraId="33FDF1BE" w14:textId="77777777" w:rsidR="00FA4AA8" w:rsidRDefault="00FA4AA8">
            <w:pPr>
              <w:pStyle w:val="TableParagraph"/>
              <w:spacing w:before="6"/>
              <w:rPr>
                <w:sz w:val="26"/>
              </w:rPr>
            </w:pPr>
          </w:p>
          <w:p w14:paraId="302FD081" w14:textId="77777777" w:rsidR="00FA4AA8" w:rsidRDefault="0015611F">
            <w:pPr>
              <w:pStyle w:val="TableParagraph"/>
              <w:ind w:right="82"/>
              <w:jc w:val="right"/>
              <w:rPr>
                <w:sz w:val="18"/>
              </w:rPr>
            </w:pPr>
            <w:r>
              <w:rPr>
                <w:sz w:val="18"/>
              </w:rPr>
              <w:t>439,070</w:t>
            </w:r>
          </w:p>
        </w:tc>
      </w:tr>
      <w:tr w:rsidR="00FA4AA8" w14:paraId="4BE5444C" w14:textId="77777777">
        <w:trPr>
          <w:trHeight w:val="256"/>
        </w:trPr>
        <w:tc>
          <w:tcPr>
            <w:tcW w:w="3770" w:type="dxa"/>
          </w:tcPr>
          <w:p w14:paraId="0C31AED0" w14:textId="77777777" w:rsidR="00FA4AA8" w:rsidRDefault="0015611F">
            <w:pPr>
              <w:pStyle w:val="TableParagraph"/>
              <w:spacing w:before="26"/>
              <w:ind w:left="50"/>
              <w:rPr>
                <w:sz w:val="18"/>
              </w:rPr>
            </w:pPr>
            <w:r>
              <w:rPr>
                <w:sz w:val="18"/>
              </w:rPr>
              <w:t>Fair value of plan assets</w:t>
            </w:r>
          </w:p>
        </w:tc>
        <w:tc>
          <w:tcPr>
            <w:tcW w:w="1298" w:type="dxa"/>
            <w:tcBorders>
              <w:bottom w:val="single" w:sz="8" w:space="0" w:color="000000"/>
            </w:tcBorders>
          </w:tcPr>
          <w:p w14:paraId="690C0959" w14:textId="77777777" w:rsidR="00FA4AA8" w:rsidRDefault="0015611F">
            <w:pPr>
              <w:pStyle w:val="TableParagraph"/>
              <w:spacing w:before="24"/>
              <w:ind w:right="26"/>
              <w:jc w:val="right"/>
              <w:rPr>
                <w:sz w:val="18"/>
              </w:rPr>
            </w:pPr>
            <w:r>
              <w:rPr>
                <w:sz w:val="18"/>
              </w:rPr>
              <w:t>(12,535)</w:t>
            </w:r>
          </w:p>
        </w:tc>
        <w:tc>
          <w:tcPr>
            <w:tcW w:w="1380" w:type="dxa"/>
            <w:tcBorders>
              <w:bottom w:val="single" w:sz="8" w:space="0" w:color="000000"/>
            </w:tcBorders>
          </w:tcPr>
          <w:p w14:paraId="0DCF867C" w14:textId="77777777" w:rsidR="00FA4AA8" w:rsidRDefault="0015611F">
            <w:pPr>
              <w:pStyle w:val="TableParagraph"/>
              <w:spacing w:before="24"/>
              <w:ind w:right="110"/>
              <w:jc w:val="right"/>
              <w:rPr>
                <w:sz w:val="18"/>
              </w:rPr>
            </w:pPr>
            <w:r>
              <w:rPr>
                <w:sz w:val="18"/>
              </w:rPr>
              <w:t>(105)</w:t>
            </w:r>
          </w:p>
        </w:tc>
        <w:tc>
          <w:tcPr>
            <w:tcW w:w="1371" w:type="dxa"/>
            <w:tcBorders>
              <w:bottom w:val="single" w:sz="8" w:space="0" w:color="000000"/>
            </w:tcBorders>
          </w:tcPr>
          <w:p w14:paraId="6D66ECC8" w14:textId="77777777" w:rsidR="00FA4AA8" w:rsidRDefault="0015611F">
            <w:pPr>
              <w:pStyle w:val="TableParagraph"/>
              <w:spacing w:before="24"/>
              <w:ind w:right="185"/>
              <w:jc w:val="right"/>
              <w:rPr>
                <w:sz w:val="18"/>
              </w:rPr>
            </w:pPr>
            <w:r>
              <w:rPr>
                <w:sz w:val="18"/>
              </w:rPr>
              <w:t>(78,635)</w:t>
            </w:r>
          </w:p>
        </w:tc>
        <w:tc>
          <w:tcPr>
            <w:tcW w:w="1133" w:type="dxa"/>
            <w:tcBorders>
              <w:bottom w:val="single" w:sz="8" w:space="0" w:color="000000"/>
            </w:tcBorders>
          </w:tcPr>
          <w:p w14:paraId="2096952B" w14:textId="77777777" w:rsidR="00FA4AA8" w:rsidRDefault="0015611F">
            <w:pPr>
              <w:pStyle w:val="TableParagraph"/>
              <w:spacing w:before="24"/>
              <w:ind w:right="21"/>
              <w:jc w:val="right"/>
              <w:rPr>
                <w:sz w:val="18"/>
              </w:rPr>
            </w:pPr>
            <w:r>
              <w:rPr>
                <w:sz w:val="18"/>
              </w:rPr>
              <w:t>(91,275)</w:t>
            </w:r>
          </w:p>
        </w:tc>
      </w:tr>
      <w:tr w:rsidR="00FA4AA8" w14:paraId="2B362CFB" w14:textId="77777777">
        <w:trPr>
          <w:trHeight w:val="270"/>
        </w:trPr>
        <w:tc>
          <w:tcPr>
            <w:tcW w:w="3770" w:type="dxa"/>
          </w:tcPr>
          <w:p w14:paraId="357A01DC" w14:textId="77777777" w:rsidR="00FA4AA8" w:rsidRDefault="0015611F">
            <w:pPr>
              <w:pStyle w:val="TableParagraph"/>
              <w:spacing w:before="33"/>
              <w:ind w:left="50"/>
              <w:rPr>
                <w:sz w:val="18"/>
              </w:rPr>
            </w:pPr>
            <w:r>
              <w:rPr>
                <w:sz w:val="18"/>
              </w:rPr>
              <w:t>Net liability (reported)</w:t>
            </w:r>
          </w:p>
        </w:tc>
        <w:tc>
          <w:tcPr>
            <w:tcW w:w="1298" w:type="dxa"/>
            <w:tcBorders>
              <w:top w:val="single" w:sz="8" w:space="0" w:color="000000"/>
            </w:tcBorders>
          </w:tcPr>
          <w:p w14:paraId="24A61E21" w14:textId="77777777" w:rsidR="00FA4AA8" w:rsidRDefault="0015611F">
            <w:pPr>
              <w:pStyle w:val="TableParagraph"/>
              <w:spacing w:before="31"/>
              <w:ind w:right="86"/>
              <w:jc w:val="right"/>
              <w:rPr>
                <w:sz w:val="18"/>
              </w:rPr>
            </w:pPr>
            <w:r>
              <w:rPr>
                <w:sz w:val="18"/>
              </w:rPr>
              <w:t>12,641</w:t>
            </w:r>
          </w:p>
        </w:tc>
        <w:tc>
          <w:tcPr>
            <w:tcW w:w="1380" w:type="dxa"/>
            <w:tcBorders>
              <w:top w:val="single" w:sz="8" w:space="0" w:color="000000"/>
            </w:tcBorders>
          </w:tcPr>
          <w:p w14:paraId="13DE9D3A" w14:textId="77777777" w:rsidR="00FA4AA8" w:rsidRDefault="0015611F">
            <w:pPr>
              <w:pStyle w:val="TableParagraph"/>
              <w:spacing w:before="31"/>
              <w:ind w:right="170"/>
              <w:jc w:val="right"/>
              <w:rPr>
                <w:sz w:val="18"/>
              </w:rPr>
            </w:pPr>
            <w:r>
              <w:rPr>
                <w:sz w:val="18"/>
              </w:rPr>
              <w:t>4,244</w:t>
            </w:r>
          </w:p>
        </w:tc>
        <w:tc>
          <w:tcPr>
            <w:tcW w:w="1371" w:type="dxa"/>
            <w:tcBorders>
              <w:top w:val="single" w:sz="8" w:space="0" w:color="000000"/>
            </w:tcBorders>
          </w:tcPr>
          <w:p w14:paraId="5E426740" w14:textId="77777777" w:rsidR="00FA4AA8" w:rsidRDefault="0015611F">
            <w:pPr>
              <w:pStyle w:val="TableParagraph"/>
              <w:spacing w:before="31"/>
              <w:ind w:right="245"/>
              <w:jc w:val="right"/>
              <w:rPr>
                <w:sz w:val="18"/>
              </w:rPr>
            </w:pPr>
            <w:r>
              <w:rPr>
                <w:sz w:val="18"/>
              </w:rPr>
              <w:t>330,910</w:t>
            </w:r>
          </w:p>
        </w:tc>
        <w:tc>
          <w:tcPr>
            <w:tcW w:w="1133" w:type="dxa"/>
            <w:tcBorders>
              <w:top w:val="single" w:sz="8" w:space="0" w:color="000000"/>
            </w:tcBorders>
          </w:tcPr>
          <w:p w14:paraId="347FF065" w14:textId="77777777" w:rsidR="00FA4AA8" w:rsidRDefault="0015611F">
            <w:pPr>
              <w:pStyle w:val="TableParagraph"/>
              <w:spacing w:before="31"/>
              <w:ind w:right="82"/>
              <w:jc w:val="right"/>
              <w:rPr>
                <w:sz w:val="18"/>
              </w:rPr>
            </w:pPr>
            <w:r>
              <w:rPr>
                <w:sz w:val="18"/>
              </w:rPr>
              <w:t>347,795</w:t>
            </w:r>
          </w:p>
        </w:tc>
      </w:tr>
      <w:tr w:rsidR="00FA4AA8" w14:paraId="4D706274" w14:textId="77777777">
        <w:trPr>
          <w:trHeight w:val="256"/>
        </w:trPr>
        <w:tc>
          <w:tcPr>
            <w:tcW w:w="3770" w:type="dxa"/>
          </w:tcPr>
          <w:p w14:paraId="58686E4D" w14:textId="77777777" w:rsidR="00FA4AA8" w:rsidRDefault="0015611F">
            <w:pPr>
              <w:pStyle w:val="TableParagraph"/>
              <w:spacing w:before="26"/>
              <w:ind w:left="50"/>
              <w:rPr>
                <w:sz w:val="18"/>
              </w:rPr>
            </w:pPr>
            <w:r>
              <w:rPr>
                <w:sz w:val="18"/>
              </w:rPr>
              <w:t>Payroll tax oncost estimate on net liability</w:t>
            </w:r>
          </w:p>
        </w:tc>
        <w:tc>
          <w:tcPr>
            <w:tcW w:w="1298" w:type="dxa"/>
            <w:tcBorders>
              <w:bottom w:val="single" w:sz="8" w:space="0" w:color="000000"/>
            </w:tcBorders>
          </w:tcPr>
          <w:p w14:paraId="395C6700" w14:textId="77777777" w:rsidR="00FA4AA8" w:rsidRDefault="0015611F">
            <w:pPr>
              <w:pStyle w:val="TableParagraph"/>
              <w:spacing w:before="24"/>
              <w:ind w:right="86"/>
              <w:jc w:val="right"/>
              <w:rPr>
                <w:sz w:val="18"/>
              </w:rPr>
            </w:pPr>
            <w:r>
              <w:rPr>
                <w:sz w:val="18"/>
              </w:rPr>
              <w:t>259</w:t>
            </w:r>
          </w:p>
        </w:tc>
        <w:tc>
          <w:tcPr>
            <w:tcW w:w="1380" w:type="dxa"/>
            <w:tcBorders>
              <w:bottom w:val="single" w:sz="8" w:space="0" w:color="000000"/>
            </w:tcBorders>
          </w:tcPr>
          <w:p w14:paraId="28E83B7A" w14:textId="77777777" w:rsidR="00FA4AA8" w:rsidRDefault="0015611F">
            <w:pPr>
              <w:pStyle w:val="TableParagraph"/>
              <w:spacing w:before="24"/>
              <w:ind w:right="170"/>
              <w:jc w:val="right"/>
              <w:rPr>
                <w:sz w:val="18"/>
              </w:rPr>
            </w:pPr>
            <w:r>
              <w:rPr>
                <w:sz w:val="18"/>
              </w:rPr>
              <w:t>87</w:t>
            </w:r>
          </w:p>
        </w:tc>
        <w:tc>
          <w:tcPr>
            <w:tcW w:w="1371" w:type="dxa"/>
            <w:tcBorders>
              <w:bottom w:val="single" w:sz="8" w:space="0" w:color="000000"/>
            </w:tcBorders>
          </w:tcPr>
          <w:p w14:paraId="703E6DF1" w14:textId="77777777" w:rsidR="00FA4AA8" w:rsidRDefault="0015611F">
            <w:pPr>
              <w:pStyle w:val="TableParagraph"/>
              <w:spacing w:before="24"/>
              <w:ind w:right="245"/>
              <w:jc w:val="right"/>
              <w:rPr>
                <w:sz w:val="18"/>
              </w:rPr>
            </w:pPr>
            <w:r>
              <w:rPr>
                <w:sz w:val="18"/>
              </w:rPr>
              <w:t>6,781</w:t>
            </w:r>
          </w:p>
        </w:tc>
        <w:tc>
          <w:tcPr>
            <w:tcW w:w="1133" w:type="dxa"/>
            <w:tcBorders>
              <w:bottom w:val="single" w:sz="8" w:space="0" w:color="000000"/>
            </w:tcBorders>
          </w:tcPr>
          <w:p w14:paraId="260CA05A" w14:textId="77777777" w:rsidR="00FA4AA8" w:rsidRDefault="0015611F">
            <w:pPr>
              <w:pStyle w:val="TableParagraph"/>
              <w:spacing w:before="24"/>
              <w:ind w:right="82"/>
              <w:jc w:val="right"/>
              <w:rPr>
                <w:sz w:val="18"/>
              </w:rPr>
            </w:pPr>
            <w:r>
              <w:rPr>
                <w:sz w:val="18"/>
              </w:rPr>
              <w:t>7,127</w:t>
            </w:r>
          </w:p>
        </w:tc>
      </w:tr>
      <w:tr w:rsidR="00FA4AA8" w14:paraId="06DE1270" w14:textId="77777777">
        <w:trPr>
          <w:trHeight w:val="263"/>
        </w:trPr>
        <w:tc>
          <w:tcPr>
            <w:tcW w:w="3770" w:type="dxa"/>
          </w:tcPr>
          <w:p w14:paraId="6B7DDA19" w14:textId="77777777" w:rsidR="00FA4AA8" w:rsidRDefault="0015611F">
            <w:pPr>
              <w:pStyle w:val="TableParagraph"/>
              <w:spacing w:before="33"/>
              <w:ind w:left="50"/>
              <w:rPr>
                <w:sz w:val="18"/>
              </w:rPr>
            </w:pPr>
            <w:r>
              <w:rPr>
                <w:sz w:val="18"/>
              </w:rPr>
              <w:t>Net liability (revised)</w:t>
            </w:r>
          </w:p>
        </w:tc>
        <w:tc>
          <w:tcPr>
            <w:tcW w:w="1298" w:type="dxa"/>
            <w:tcBorders>
              <w:top w:val="single" w:sz="8" w:space="0" w:color="000000"/>
              <w:bottom w:val="single" w:sz="8" w:space="0" w:color="000000"/>
            </w:tcBorders>
          </w:tcPr>
          <w:p w14:paraId="5624E8BE" w14:textId="77777777" w:rsidR="00FA4AA8" w:rsidRDefault="0015611F">
            <w:pPr>
              <w:pStyle w:val="TableParagraph"/>
              <w:spacing w:before="31"/>
              <w:ind w:right="86"/>
              <w:jc w:val="right"/>
              <w:rPr>
                <w:sz w:val="18"/>
              </w:rPr>
            </w:pPr>
            <w:r>
              <w:rPr>
                <w:sz w:val="18"/>
              </w:rPr>
              <w:t>12,900</w:t>
            </w:r>
          </w:p>
        </w:tc>
        <w:tc>
          <w:tcPr>
            <w:tcW w:w="1380" w:type="dxa"/>
            <w:tcBorders>
              <w:top w:val="single" w:sz="8" w:space="0" w:color="000000"/>
              <w:bottom w:val="single" w:sz="8" w:space="0" w:color="000000"/>
            </w:tcBorders>
          </w:tcPr>
          <w:p w14:paraId="61019E02" w14:textId="77777777" w:rsidR="00FA4AA8" w:rsidRDefault="0015611F">
            <w:pPr>
              <w:pStyle w:val="TableParagraph"/>
              <w:spacing w:before="31"/>
              <w:ind w:right="170"/>
              <w:jc w:val="right"/>
              <w:rPr>
                <w:sz w:val="18"/>
              </w:rPr>
            </w:pPr>
            <w:r>
              <w:rPr>
                <w:sz w:val="18"/>
              </w:rPr>
              <w:t>4,331</w:t>
            </w:r>
          </w:p>
        </w:tc>
        <w:tc>
          <w:tcPr>
            <w:tcW w:w="1371" w:type="dxa"/>
            <w:tcBorders>
              <w:top w:val="single" w:sz="8" w:space="0" w:color="000000"/>
              <w:bottom w:val="single" w:sz="8" w:space="0" w:color="000000"/>
            </w:tcBorders>
          </w:tcPr>
          <w:p w14:paraId="16179C87" w14:textId="77777777" w:rsidR="00FA4AA8" w:rsidRDefault="0015611F">
            <w:pPr>
              <w:pStyle w:val="TableParagraph"/>
              <w:spacing w:before="31"/>
              <w:ind w:right="245"/>
              <w:jc w:val="right"/>
              <w:rPr>
                <w:sz w:val="18"/>
              </w:rPr>
            </w:pPr>
            <w:r>
              <w:rPr>
                <w:sz w:val="18"/>
              </w:rPr>
              <w:t>337,691</w:t>
            </w:r>
          </w:p>
        </w:tc>
        <w:tc>
          <w:tcPr>
            <w:tcW w:w="1133" w:type="dxa"/>
            <w:tcBorders>
              <w:top w:val="single" w:sz="8" w:space="0" w:color="000000"/>
              <w:bottom w:val="single" w:sz="8" w:space="0" w:color="000000"/>
            </w:tcBorders>
          </w:tcPr>
          <w:p w14:paraId="22DCACCE" w14:textId="77777777" w:rsidR="00FA4AA8" w:rsidRDefault="0015611F">
            <w:pPr>
              <w:pStyle w:val="TableParagraph"/>
              <w:spacing w:before="31"/>
              <w:ind w:right="82"/>
              <w:jc w:val="right"/>
              <w:rPr>
                <w:sz w:val="18"/>
              </w:rPr>
            </w:pPr>
            <w:r>
              <w:rPr>
                <w:sz w:val="18"/>
              </w:rPr>
              <w:t>354,922</w:t>
            </w:r>
          </w:p>
        </w:tc>
      </w:tr>
      <w:tr w:rsidR="00FA4AA8" w14:paraId="6428B6A0" w14:textId="77777777">
        <w:trPr>
          <w:trHeight w:val="270"/>
        </w:trPr>
        <w:tc>
          <w:tcPr>
            <w:tcW w:w="3770" w:type="dxa"/>
          </w:tcPr>
          <w:p w14:paraId="1075FDA0" w14:textId="77777777" w:rsidR="00FA4AA8" w:rsidRDefault="0015611F">
            <w:pPr>
              <w:pStyle w:val="TableParagraph"/>
              <w:spacing w:before="33"/>
              <w:ind w:left="50"/>
              <w:rPr>
                <w:sz w:val="18"/>
              </w:rPr>
            </w:pPr>
            <w:r>
              <w:rPr>
                <w:sz w:val="18"/>
              </w:rPr>
              <w:t>Reimbursement right</w:t>
            </w:r>
          </w:p>
        </w:tc>
        <w:tc>
          <w:tcPr>
            <w:tcW w:w="1298" w:type="dxa"/>
            <w:tcBorders>
              <w:top w:val="single" w:sz="8" w:space="0" w:color="000000"/>
            </w:tcBorders>
          </w:tcPr>
          <w:p w14:paraId="198F99AD" w14:textId="77777777" w:rsidR="00FA4AA8" w:rsidRDefault="0015611F">
            <w:pPr>
              <w:pStyle w:val="TableParagraph"/>
              <w:spacing w:before="31"/>
              <w:ind w:right="26"/>
              <w:jc w:val="right"/>
              <w:rPr>
                <w:sz w:val="18"/>
              </w:rPr>
            </w:pPr>
            <w:r>
              <w:rPr>
                <w:sz w:val="18"/>
              </w:rPr>
              <w:t>(10,935)</w:t>
            </w:r>
          </w:p>
        </w:tc>
        <w:tc>
          <w:tcPr>
            <w:tcW w:w="1380" w:type="dxa"/>
            <w:tcBorders>
              <w:top w:val="single" w:sz="8" w:space="0" w:color="000000"/>
            </w:tcBorders>
          </w:tcPr>
          <w:p w14:paraId="35073E51" w14:textId="77777777" w:rsidR="00FA4AA8" w:rsidRDefault="0015611F">
            <w:pPr>
              <w:pStyle w:val="TableParagraph"/>
              <w:spacing w:before="31"/>
              <w:ind w:right="110"/>
              <w:jc w:val="right"/>
              <w:rPr>
                <w:sz w:val="18"/>
              </w:rPr>
            </w:pPr>
            <w:r>
              <w:rPr>
                <w:sz w:val="18"/>
              </w:rPr>
              <w:t>(3,858)</w:t>
            </w:r>
          </w:p>
        </w:tc>
        <w:tc>
          <w:tcPr>
            <w:tcW w:w="1371" w:type="dxa"/>
            <w:tcBorders>
              <w:top w:val="single" w:sz="8" w:space="0" w:color="000000"/>
            </w:tcBorders>
          </w:tcPr>
          <w:p w14:paraId="71EE734D" w14:textId="77777777" w:rsidR="00FA4AA8" w:rsidRDefault="0015611F">
            <w:pPr>
              <w:pStyle w:val="TableParagraph"/>
              <w:spacing w:before="31"/>
              <w:ind w:right="185"/>
              <w:jc w:val="right"/>
              <w:rPr>
                <w:sz w:val="18"/>
              </w:rPr>
            </w:pPr>
            <w:r>
              <w:rPr>
                <w:sz w:val="18"/>
              </w:rPr>
              <w:t>(330,910)</w:t>
            </w:r>
          </w:p>
        </w:tc>
        <w:tc>
          <w:tcPr>
            <w:tcW w:w="1133" w:type="dxa"/>
            <w:tcBorders>
              <w:top w:val="single" w:sz="8" w:space="0" w:color="000000"/>
            </w:tcBorders>
          </w:tcPr>
          <w:p w14:paraId="63CA54EB" w14:textId="77777777" w:rsidR="00FA4AA8" w:rsidRDefault="0015611F">
            <w:pPr>
              <w:pStyle w:val="TableParagraph"/>
              <w:spacing w:before="31"/>
              <w:ind w:right="22"/>
              <w:jc w:val="right"/>
              <w:rPr>
                <w:sz w:val="18"/>
              </w:rPr>
            </w:pPr>
            <w:r>
              <w:rPr>
                <w:sz w:val="18"/>
              </w:rPr>
              <w:t>(345,703)</w:t>
            </w:r>
          </w:p>
        </w:tc>
      </w:tr>
      <w:tr w:rsidR="00FA4AA8" w14:paraId="44C71330" w14:textId="77777777">
        <w:trPr>
          <w:trHeight w:val="258"/>
        </w:trPr>
        <w:tc>
          <w:tcPr>
            <w:tcW w:w="3770" w:type="dxa"/>
          </w:tcPr>
          <w:p w14:paraId="08F3109D" w14:textId="77777777" w:rsidR="00FA4AA8" w:rsidRDefault="0015611F">
            <w:pPr>
              <w:pStyle w:val="TableParagraph"/>
              <w:spacing w:before="26"/>
              <w:ind w:left="50"/>
              <w:rPr>
                <w:sz w:val="18"/>
              </w:rPr>
            </w:pPr>
            <w:r>
              <w:rPr>
                <w:sz w:val="18"/>
              </w:rPr>
              <w:t>Total net liability/(asset)</w:t>
            </w:r>
          </w:p>
        </w:tc>
        <w:tc>
          <w:tcPr>
            <w:tcW w:w="1298" w:type="dxa"/>
            <w:tcBorders>
              <w:bottom w:val="double" w:sz="2" w:space="0" w:color="000000"/>
            </w:tcBorders>
          </w:tcPr>
          <w:p w14:paraId="6FD10D81" w14:textId="77777777" w:rsidR="00FA4AA8" w:rsidRDefault="0015611F">
            <w:pPr>
              <w:pStyle w:val="TableParagraph"/>
              <w:spacing w:before="24"/>
              <w:ind w:right="86"/>
              <w:jc w:val="right"/>
              <w:rPr>
                <w:sz w:val="18"/>
              </w:rPr>
            </w:pPr>
            <w:r>
              <w:rPr>
                <w:sz w:val="18"/>
              </w:rPr>
              <w:t>1,965</w:t>
            </w:r>
          </w:p>
        </w:tc>
        <w:tc>
          <w:tcPr>
            <w:tcW w:w="1380" w:type="dxa"/>
            <w:tcBorders>
              <w:bottom w:val="double" w:sz="2" w:space="0" w:color="000000"/>
            </w:tcBorders>
          </w:tcPr>
          <w:p w14:paraId="42001017" w14:textId="77777777" w:rsidR="00FA4AA8" w:rsidRDefault="0015611F">
            <w:pPr>
              <w:pStyle w:val="TableParagraph"/>
              <w:spacing w:before="24"/>
              <w:ind w:right="170"/>
              <w:jc w:val="right"/>
              <w:rPr>
                <w:sz w:val="18"/>
              </w:rPr>
            </w:pPr>
            <w:r>
              <w:rPr>
                <w:sz w:val="18"/>
              </w:rPr>
              <w:t>473</w:t>
            </w:r>
          </w:p>
        </w:tc>
        <w:tc>
          <w:tcPr>
            <w:tcW w:w="1371" w:type="dxa"/>
            <w:tcBorders>
              <w:bottom w:val="double" w:sz="2" w:space="0" w:color="000000"/>
            </w:tcBorders>
          </w:tcPr>
          <w:p w14:paraId="17761082" w14:textId="77777777" w:rsidR="00FA4AA8" w:rsidRDefault="0015611F">
            <w:pPr>
              <w:pStyle w:val="TableParagraph"/>
              <w:spacing w:before="24"/>
              <w:ind w:right="245"/>
              <w:jc w:val="right"/>
              <w:rPr>
                <w:sz w:val="18"/>
              </w:rPr>
            </w:pPr>
            <w:r>
              <w:rPr>
                <w:sz w:val="18"/>
              </w:rPr>
              <w:t>6,781</w:t>
            </w:r>
          </w:p>
        </w:tc>
        <w:tc>
          <w:tcPr>
            <w:tcW w:w="1133" w:type="dxa"/>
            <w:tcBorders>
              <w:bottom w:val="double" w:sz="2" w:space="0" w:color="000000"/>
            </w:tcBorders>
          </w:tcPr>
          <w:p w14:paraId="27641003" w14:textId="77777777" w:rsidR="00FA4AA8" w:rsidRDefault="0015611F">
            <w:pPr>
              <w:pStyle w:val="TableParagraph"/>
              <w:spacing w:before="24"/>
              <w:ind w:right="82"/>
              <w:jc w:val="right"/>
              <w:rPr>
                <w:sz w:val="18"/>
              </w:rPr>
            </w:pPr>
            <w:r>
              <w:rPr>
                <w:sz w:val="18"/>
              </w:rPr>
              <w:t>9,219</w:t>
            </w:r>
          </w:p>
        </w:tc>
      </w:tr>
    </w:tbl>
    <w:p w14:paraId="2437F8F2" w14:textId="77777777" w:rsidR="00FA4AA8" w:rsidRDefault="00FA4AA8">
      <w:pPr>
        <w:jc w:val="right"/>
        <w:rPr>
          <w:sz w:val="18"/>
        </w:rPr>
        <w:sectPr w:rsidR="00FA4AA8">
          <w:pgSz w:w="11910" w:h="16840"/>
          <w:pgMar w:top="2220" w:right="840" w:bottom="720" w:left="840" w:header="1016" w:footer="523" w:gutter="0"/>
          <w:cols w:space="720"/>
        </w:sectPr>
      </w:pPr>
    </w:p>
    <w:p w14:paraId="125633F5" w14:textId="77777777" w:rsidR="00FA4AA8" w:rsidRDefault="00FA4AA8">
      <w:pPr>
        <w:pStyle w:val="BodyText"/>
        <w:rPr>
          <w:sz w:val="20"/>
        </w:rPr>
      </w:pPr>
    </w:p>
    <w:p w14:paraId="101401E4" w14:textId="77777777" w:rsidR="00FA4AA8" w:rsidRDefault="00FA4AA8">
      <w:pPr>
        <w:pStyle w:val="BodyText"/>
        <w:spacing w:before="10"/>
        <w:rPr>
          <w:sz w:val="29"/>
        </w:rPr>
      </w:pPr>
    </w:p>
    <w:p w14:paraId="6A995108" w14:textId="77777777" w:rsidR="00FA4AA8" w:rsidRDefault="0015611F">
      <w:pPr>
        <w:numPr>
          <w:ilvl w:val="0"/>
          <w:numId w:val="106"/>
        </w:numPr>
        <w:tabs>
          <w:tab w:val="left" w:pos="563"/>
          <w:tab w:val="left" w:pos="564"/>
        </w:tabs>
        <w:spacing w:before="94"/>
        <w:ind w:hanging="397"/>
        <w:rPr>
          <w:b/>
          <w:sz w:val="18"/>
        </w:rPr>
      </w:pPr>
      <w:bookmarkStart w:id="19" w:name="2_Australian_Government_financial_assist"/>
      <w:bookmarkEnd w:id="19"/>
      <w:r>
        <w:rPr>
          <w:b/>
          <w:sz w:val="18"/>
        </w:rPr>
        <w:t>Australian Government financial assistance including Australian Government loan programs (HELP)</w:t>
      </w:r>
    </w:p>
    <w:p w14:paraId="16C68B82" w14:textId="77777777" w:rsidR="00FA4AA8" w:rsidRDefault="00FA4AA8">
      <w:pPr>
        <w:pStyle w:val="BodyText"/>
        <w:rPr>
          <w:b/>
          <w:sz w:val="20"/>
        </w:rPr>
      </w:pPr>
    </w:p>
    <w:p w14:paraId="59E2A768" w14:textId="77777777" w:rsidR="00FA4AA8" w:rsidRDefault="00FA4AA8">
      <w:pPr>
        <w:pStyle w:val="BodyText"/>
        <w:spacing w:before="10"/>
        <w:rPr>
          <w:b/>
          <w:sz w:val="25"/>
        </w:rPr>
      </w:pPr>
    </w:p>
    <w:p w14:paraId="673D2EEC" w14:textId="77777777" w:rsidR="00FA4AA8" w:rsidRDefault="0015611F">
      <w:pPr>
        <w:tabs>
          <w:tab w:val="left" w:pos="8411"/>
        </w:tabs>
        <w:ind w:left="5361"/>
        <w:rPr>
          <w:b/>
          <w:sz w:val="18"/>
        </w:rPr>
      </w:pPr>
      <w:r>
        <w:rPr>
          <w:b/>
          <w:sz w:val="18"/>
        </w:rPr>
        <w:t>Consolidated</w:t>
      </w:r>
      <w:r>
        <w:rPr>
          <w:b/>
          <w:sz w:val="18"/>
        </w:rPr>
        <w:tab/>
        <w:t>Parent</w:t>
      </w:r>
    </w:p>
    <w:p w14:paraId="313E1463" w14:textId="77777777" w:rsidR="00FA4AA8" w:rsidRDefault="00FA4AA8">
      <w:pPr>
        <w:pStyle w:val="BodyText"/>
        <w:spacing w:before="3"/>
        <w:rPr>
          <w:b/>
          <w:sz w:val="6"/>
        </w:rPr>
      </w:pPr>
    </w:p>
    <w:tbl>
      <w:tblPr>
        <w:tblW w:w="0" w:type="auto"/>
        <w:tblInd w:w="547" w:type="dxa"/>
        <w:tblLayout w:type="fixed"/>
        <w:tblCellMar>
          <w:left w:w="0" w:type="dxa"/>
          <w:right w:w="0" w:type="dxa"/>
        </w:tblCellMar>
        <w:tblLook w:val="01E0" w:firstRow="1" w:lastRow="1" w:firstColumn="1" w:lastColumn="1" w:noHBand="0" w:noVBand="0"/>
      </w:tblPr>
      <w:tblGrid>
        <w:gridCol w:w="3467"/>
        <w:gridCol w:w="544"/>
        <w:gridCol w:w="1627"/>
        <w:gridCol w:w="1381"/>
        <w:gridCol w:w="1381"/>
        <w:gridCol w:w="1136"/>
      </w:tblGrid>
      <w:tr w:rsidR="00FA4AA8" w14:paraId="28ACCC9A" w14:textId="77777777">
        <w:trPr>
          <w:trHeight w:val="474"/>
        </w:trPr>
        <w:tc>
          <w:tcPr>
            <w:tcW w:w="4011" w:type="dxa"/>
            <w:gridSpan w:val="2"/>
          </w:tcPr>
          <w:p w14:paraId="35A0EF16" w14:textId="77777777" w:rsidR="00FA4AA8" w:rsidRDefault="00FA4AA8">
            <w:pPr>
              <w:pStyle w:val="TableParagraph"/>
              <w:spacing w:before="3"/>
              <w:rPr>
                <w:b/>
                <w:sz w:val="23"/>
              </w:rPr>
            </w:pPr>
          </w:p>
          <w:p w14:paraId="7A00DFA7" w14:textId="77777777" w:rsidR="00FA4AA8" w:rsidRDefault="0015611F">
            <w:pPr>
              <w:pStyle w:val="TableParagraph"/>
              <w:spacing w:line="187" w:lineRule="exact"/>
              <w:ind w:right="86"/>
              <w:jc w:val="right"/>
              <w:rPr>
                <w:b/>
                <w:sz w:val="18"/>
              </w:rPr>
            </w:pPr>
            <w:r>
              <w:rPr>
                <w:b/>
                <w:sz w:val="18"/>
              </w:rPr>
              <w:t>Note</w:t>
            </w:r>
          </w:p>
        </w:tc>
        <w:tc>
          <w:tcPr>
            <w:tcW w:w="1627" w:type="dxa"/>
          </w:tcPr>
          <w:p w14:paraId="0E910082" w14:textId="77777777" w:rsidR="00FA4AA8" w:rsidRDefault="0015611F">
            <w:pPr>
              <w:pStyle w:val="TableParagraph"/>
              <w:spacing w:line="201" w:lineRule="exact"/>
              <w:ind w:left="559" w:right="582"/>
              <w:jc w:val="center"/>
              <w:rPr>
                <w:b/>
                <w:sz w:val="18"/>
              </w:rPr>
            </w:pPr>
            <w:r>
              <w:rPr>
                <w:b/>
                <w:sz w:val="18"/>
              </w:rPr>
              <w:t>2018</w:t>
            </w:r>
          </w:p>
          <w:p w14:paraId="6BCD31FF" w14:textId="77777777" w:rsidR="00FA4AA8" w:rsidRDefault="0015611F">
            <w:pPr>
              <w:pStyle w:val="TableParagraph"/>
              <w:spacing w:before="66" w:line="187" w:lineRule="exact"/>
              <w:ind w:left="559" w:right="583"/>
              <w:jc w:val="center"/>
              <w:rPr>
                <w:b/>
                <w:sz w:val="18"/>
              </w:rPr>
            </w:pPr>
            <w:r>
              <w:rPr>
                <w:b/>
                <w:sz w:val="18"/>
              </w:rPr>
              <w:t>$'000</w:t>
            </w:r>
          </w:p>
        </w:tc>
        <w:tc>
          <w:tcPr>
            <w:tcW w:w="1381" w:type="dxa"/>
          </w:tcPr>
          <w:p w14:paraId="3A03FB5F" w14:textId="77777777" w:rsidR="00FA4AA8" w:rsidRDefault="0015611F">
            <w:pPr>
              <w:pStyle w:val="TableParagraph"/>
              <w:spacing w:line="201" w:lineRule="exact"/>
              <w:ind w:left="268"/>
              <w:rPr>
                <w:b/>
                <w:sz w:val="18"/>
              </w:rPr>
            </w:pPr>
            <w:r>
              <w:rPr>
                <w:b/>
                <w:sz w:val="18"/>
              </w:rPr>
              <w:t>2017</w:t>
            </w:r>
          </w:p>
          <w:p w14:paraId="45CF4F8A" w14:textId="77777777" w:rsidR="00FA4AA8" w:rsidRDefault="0015611F">
            <w:pPr>
              <w:pStyle w:val="TableParagraph"/>
              <w:spacing w:before="66" w:line="187" w:lineRule="exact"/>
              <w:ind w:left="246"/>
              <w:rPr>
                <w:b/>
                <w:sz w:val="18"/>
              </w:rPr>
            </w:pPr>
            <w:r>
              <w:rPr>
                <w:b/>
                <w:sz w:val="18"/>
              </w:rPr>
              <w:t>$'000</w:t>
            </w:r>
          </w:p>
        </w:tc>
        <w:tc>
          <w:tcPr>
            <w:tcW w:w="1381" w:type="dxa"/>
          </w:tcPr>
          <w:p w14:paraId="3D2B4DC8" w14:textId="77777777" w:rsidR="00FA4AA8" w:rsidRDefault="0015611F">
            <w:pPr>
              <w:pStyle w:val="TableParagraph"/>
              <w:spacing w:line="201" w:lineRule="exact"/>
              <w:ind w:left="351"/>
              <w:rPr>
                <w:b/>
                <w:sz w:val="18"/>
              </w:rPr>
            </w:pPr>
            <w:r>
              <w:rPr>
                <w:b/>
                <w:sz w:val="18"/>
              </w:rPr>
              <w:t>2018</w:t>
            </w:r>
          </w:p>
          <w:p w14:paraId="4153B3AB" w14:textId="77777777" w:rsidR="00FA4AA8" w:rsidRDefault="0015611F">
            <w:pPr>
              <w:pStyle w:val="TableParagraph"/>
              <w:spacing w:before="66" w:line="187" w:lineRule="exact"/>
              <w:ind w:left="329"/>
              <w:rPr>
                <w:b/>
                <w:sz w:val="18"/>
              </w:rPr>
            </w:pPr>
            <w:r>
              <w:rPr>
                <w:b/>
                <w:sz w:val="18"/>
              </w:rPr>
              <w:t>$'000</w:t>
            </w:r>
          </w:p>
        </w:tc>
        <w:tc>
          <w:tcPr>
            <w:tcW w:w="1136" w:type="dxa"/>
          </w:tcPr>
          <w:p w14:paraId="432081EF" w14:textId="77777777" w:rsidR="00FA4AA8" w:rsidRDefault="0015611F">
            <w:pPr>
              <w:pStyle w:val="TableParagraph"/>
              <w:spacing w:line="201" w:lineRule="exact"/>
              <w:ind w:left="266"/>
              <w:rPr>
                <w:b/>
                <w:sz w:val="18"/>
              </w:rPr>
            </w:pPr>
            <w:r>
              <w:rPr>
                <w:b/>
                <w:sz w:val="18"/>
              </w:rPr>
              <w:t>2017</w:t>
            </w:r>
          </w:p>
          <w:p w14:paraId="51258D5B" w14:textId="77777777" w:rsidR="00FA4AA8" w:rsidRDefault="0015611F">
            <w:pPr>
              <w:pStyle w:val="TableParagraph"/>
              <w:spacing w:before="66" w:line="187" w:lineRule="exact"/>
              <w:ind w:left="244"/>
              <w:rPr>
                <w:b/>
                <w:sz w:val="18"/>
              </w:rPr>
            </w:pPr>
            <w:r>
              <w:rPr>
                <w:b/>
                <w:sz w:val="18"/>
              </w:rPr>
              <w:t>$'000</w:t>
            </w:r>
          </w:p>
        </w:tc>
      </w:tr>
      <w:tr w:rsidR="00FA4AA8" w14:paraId="5B3BBB68" w14:textId="77777777">
        <w:trPr>
          <w:trHeight w:val="296"/>
        </w:trPr>
        <w:tc>
          <w:tcPr>
            <w:tcW w:w="3467" w:type="dxa"/>
          </w:tcPr>
          <w:p w14:paraId="0832030B" w14:textId="77777777" w:rsidR="00FA4AA8" w:rsidRDefault="0015611F">
            <w:pPr>
              <w:pStyle w:val="TableParagraph"/>
              <w:spacing w:before="88" w:line="188" w:lineRule="exact"/>
              <w:ind w:left="50"/>
              <w:rPr>
                <w:sz w:val="18"/>
              </w:rPr>
            </w:pPr>
            <w:r>
              <w:rPr>
                <w:sz w:val="18"/>
              </w:rPr>
              <w:t>Commonwealth Grants Scheme</w:t>
            </w:r>
          </w:p>
        </w:tc>
        <w:tc>
          <w:tcPr>
            <w:tcW w:w="544" w:type="dxa"/>
          </w:tcPr>
          <w:p w14:paraId="01AB8156" w14:textId="77777777" w:rsidR="00FA4AA8" w:rsidRDefault="00FA4AA8">
            <w:pPr>
              <w:pStyle w:val="TableParagraph"/>
              <w:rPr>
                <w:rFonts w:ascii="Times New Roman"/>
                <w:sz w:val="18"/>
              </w:rPr>
            </w:pPr>
          </w:p>
        </w:tc>
        <w:tc>
          <w:tcPr>
            <w:tcW w:w="1627" w:type="dxa"/>
          </w:tcPr>
          <w:p w14:paraId="2B8D6688" w14:textId="77777777" w:rsidR="00FA4AA8" w:rsidRDefault="00FA4AA8">
            <w:pPr>
              <w:pStyle w:val="TableParagraph"/>
              <w:rPr>
                <w:rFonts w:ascii="Times New Roman"/>
                <w:sz w:val="18"/>
              </w:rPr>
            </w:pPr>
          </w:p>
        </w:tc>
        <w:tc>
          <w:tcPr>
            <w:tcW w:w="1381" w:type="dxa"/>
          </w:tcPr>
          <w:p w14:paraId="6AA34247" w14:textId="77777777" w:rsidR="00FA4AA8" w:rsidRDefault="00FA4AA8">
            <w:pPr>
              <w:pStyle w:val="TableParagraph"/>
              <w:rPr>
                <w:rFonts w:ascii="Times New Roman"/>
                <w:sz w:val="18"/>
              </w:rPr>
            </w:pPr>
          </w:p>
        </w:tc>
        <w:tc>
          <w:tcPr>
            <w:tcW w:w="1381" w:type="dxa"/>
          </w:tcPr>
          <w:p w14:paraId="14328A98" w14:textId="77777777" w:rsidR="00FA4AA8" w:rsidRDefault="00FA4AA8">
            <w:pPr>
              <w:pStyle w:val="TableParagraph"/>
              <w:rPr>
                <w:rFonts w:ascii="Times New Roman"/>
                <w:sz w:val="18"/>
              </w:rPr>
            </w:pPr>
          </w:p>
        </w:tc>
        <w:tc>
          <w:tcPr>
            <w:tcW w:w="1136" w:type="dxa"/>
          </w:tcPr>
          <w:p w14:paraId="71FB92CD" w14:textId="77777777" w:rsidR="00FA4AA8" w:rsidRDefault="00FA4AA8">
            <w:pPr>
              <w:pStyle w:val="TableParagraph"/>
              <w:rPr>
                <w:rFonts w:ascii="Times New Roman"/>
                <w:sz w:val="18"/>
              </w:rPr>
            </w:pPr>
          </w:p>
        </w:tc>
      </w:tr>
      <w:tr w:rsidR="00FA4AA8" w14:paraId="49363D75" w14:textId="77777777">
        <w:trPr>
          <w:trHeight w:val="234"/>
        </w:trPr>
        <w:tc>
          <w:tcPr>
            <w:tcW w:w="3467" w:type="dxa"/>
          </w:tcPr>
          <w:p w14:paraId="1D916537" w14:textId="77777777" w:rsidR="00FA4AA8" w:rsidRDefault="0015611F">
            <w:pPr>
              <w:pStyle w:val="TableParagraph"/>
              <w:spacing w:line="205" w:lineRule="exact"/>
              <w:ind w:left="50"/>
              <w:rPr>
                <w:sz w:val="18"/>
              </w:rPr>
            </w:pPr>
            <w:r>
              <w:rPr>
                <w:sz w:val="18"/>
              </w:rPr>
              <w:t>(CGS) and Other Grants</w:t>
            </w:r>
          </w:p>
        </w:tc>
        <w:tc>
          <w:tcPr>
            <w:tcW w:w="544" w:type="dxa"/>
          </w:tcPr>
          <w:p w14:paraId="6DE4C00D" w14:textId="77777777" w:rsidR="00FA4AA8" w:rsidRDefault="0015611F">
            <w:pPr>
              <w:pStyle w:val="TableParagraph"/>
              <w:spacing w:line="205" w:lineRule="exact"/>
              <w:ind w:left="43"/>
              <w:rPr>
                <w:sz w:val="18"/>
              </w:rPr>
            </w:pPr>
            <w:r>
              <w:rPr>
                <w:sz w:val="18"/>
              </w:rPr>
              <w:t>37(a)</w:t>
            </w:r>
          </w:p>
        </w:tc>
        <w:tc>
          <w:tcPr>
            <w:tcW w:w="1627" w:type="dxa"/>
          </w:tcPr>
          <w:p w14:paraId="7BA8A117" w14:textId="77777777" w:rsidR="00FA4AA8" w:rsidRDefault="0015611F">
            <w:pPr>
              <w:pStyle w:val="TableParagraph"/>
              <w:spacing w:line="203" w:lineRule="exact"/>
              <w:ind w:right="251"/>
              <w:jc w:val="right"/>
              <w:rPr>
                <w:b/>
                <w:sz w:val="18"/>
              </w:rPr>
            </w:pPr>
            <w:r>
              <w:rPr>
                <w:b/>
                <w:sz w:val="18"/>
              </w:rPr>
              <w:t>298,622</w:t>
            </w:r>
          </w:p>
        </w:tc>
        <w:tc>
          <w:tcPr>
            <w:tcW w:w="1381" w:type="dxa"/>
          </w:tcPr>
          <w:p w14:paraId="0F38DEA1" w14:textId="77777777" w:rsidR="00FA4AA8" w:rsidRDefault="0015611F">
            <w:pPr>
              <w:pStyle w:val="TableParagraph"/>
              <w:spacing w:line="203" w:lineRule="exact"/>
              <w:ind w:right="336"/>
              <w:jc w:val="right"/>
              <w:rPr>
                <w:sz w:val="18"/>
              </w:rPr>
            </w:pPr>
            <w:r>
              <w:rPr>
                <w:sz w:val="18"/>
              </w:rPr>
              <w:t>300,970</w:t>
            </w:r>
          </w:p>
        </w:tc>
        <w:tc>
          <w:tcPr>
            <w:tcW w:w="1381" w:type="dxa"/>
          </w:tcPr>
          <w:p w14:paraId="13C16FED" w14:textId="77777777" w:rsidR="00FA4AA8" w:rsidRDefault="0015611F">
            <w:pPr>
              <w:pStyle w:val="TableParagraph"/>
              <w:spacing w:line="203" w:lineRule="exact"/>
              <w:ind w:right="253"/>
              <w:jc w:val="right"/>
              <w:rPr>
                <w:b/>
                <w:sz w:val="18"/>
              </w:rPr>
            </w:pPr>
            <w:r>
              <w:rPr>
                <w:b/>
                <w:sz w:val="18"/>
              </w:rPr>
              <w:t>298,622</w:t>
            </w:r>
          </w:p>
        </w:tc>
        <w:tc>
          <w:tcPr>
            <w:tcW w:w="1136" w:type="dxa"/>
          </w:tcPr>
          <w:p w14:paraId="7EEF9BBA" w14:textId="77777777" w:rsidR="00FA4AA8" w:rsidRDefault="0015611F">
            <w:pPr>
              <w:pStyle w:val="TableParagraph"/>
              <w:spacing w:line="203" w:lineRule="exact"/>
              <w:ind w:right="93"/>
              <w:jc w:val="right"/>
              <w:rPr>
                <w:sz w:val="18"/>
              </w:rPr>
            </w:pPr>
            <w:r>
              <w:rPr>
                <w:sz w:val="18"/>
              </w:rPr>
              <w:t>300,970</w:t>
            </w:r>
          </w:p>
        </w:tc>
      </w:tr>
      <w:tr w:rsidR="00FA4AA8" w14:paraId="1FE642E2" w14:textId="77777777">
        <w:trPr>
          <w:trHeight w:val="264"/>
        </w:trPr>
        <w:tc>
          <w:tcPr>
            <w:tcW w:w="3467" w:type="dxa"/>
          </w:tcPr>
          <w:p w14:paraId="40E09A54" w14:textId="77777777" w:rsidR="00FA4AA8" w:rsidRDefault="0015611F">
            <w:pPr>
              <w:pStyle w:val="TableParagraph"/>
              <w:spacing w:before="28"/>
              <w:ind w:left="50"/>
              <w:rPr>
                <w:sz w:val="18"/>
              </w:rPr>
            </w:pPr>
            <w:r>
              <w:rPr>
                <w:sz w:val="18"/>
              </w:rPr>
              <w:t>Education Research</w:t>
            </w:r>
          </w:p>
        </w:tc>
        <w:tc>
          <w:tcPr>
            <w:tcW w:w="544" w:type="dxa"/>
          </w:tcPr>
          <w:p w14:paraId="038D66C8" w14:textId="77777777" w:rsidR="00FA4AA8" w:rsidRDefault="0015611F">
            <w:pPr>
              <w:pStyle w:val="TableParagraph"/>
              <w:spacing w:before="23"/>
              <w:ind w:left="48"/>
              <w:rPr>
                <w:sz w:val="18"/>
              </w:rPr>
            </w:pPr>
            <w:r>
              <w:rPr>
                <w:sz w:val="18"/>
              </w:rPr>
              <w:t>37(c)</w:t>
            </w:r>
          </w:p>
        </w:tc>
        <w:tc>
          <w:tcPr>
            <w:tcW w:w="1627" w:type="dxa"/>
          </w:tcPr>
          <w:p w14:paraId="62ACA719" w14:textId="77777777" w:rsidR="00FA4AA8" w:rsidRDefault="0015611F">
            <w:pPr>
              <w:pStyle w:val="TableParagraph"/>
              <w:spacing w:before="25"/>
              <w:ind w:right="251"/>
              <w:jc w:val="right"/>
              <w:rPr>
                <w:b/>
                <w:sz w:val="18"/>
              </w:rPr>
            </w:pPr>
            <w:r>
              <w:rPr>
                <w:b/>
                <w:sz w:val="18"/>
              </w:rPr>
              <w:t>18,362</w:t>
            </w:r>
          </w:p>
        </w:tc>
        <w:tc>
          <w:tcPr>
            <w:tcW w:w="1381" w:type="dxa"/>
          </w:tcPr>
          <w:p w14:paraId="14935CE0" w14:textId="77777777" w:rsidR="00FA4AA8" w:rsidRDefault="0015611F">
            <w:pPr>
              <w:pStyle w:val="TableParagraph"/>
              <w:spacing w:before="25"/>
              <w:ind w:right="336"/>
              <w:jc w:val="right"/>
              <w:rPr>
                <w:sz w:val="18"/>
              </w:rPr>
            </w:pPr>
            <w:r>
              <w:rPr>
                <w:sz w:val="18"/>
              </w:rPr>
              <w:t>18,255</w:t>
            </w:r>
          </w:p>
        </w:tc>
        <w:tc>
          <w:tcPr>
            <w:tcW w:w="1381" w:type="dxa"/>
          </w:tcPr>
          <w:p w14:paraId="745EBB56" w14:textId="77777777" w:rsidR="00FA4AA8" w:rsidRDefault="0015611F">
            <w:pPr>
              <w:pStyle w:val="TableParagraph"/>
              <w:spacing w:before="25"/>
              <w:ind w:right="253"/>
              <w:jc w:val="right"/>
              <w:rPr>
                <w:b/>
                <w:sz w:val="18"/>
              </w:rPr>
            </w:pPr>
            <w:r>
              <w:rPr>
                <w:b/>
                <w:sz w:val="18"/>
              </w:rPr>
              <w:t>18,362</w:t>
            </w:r>
          </w:p>
        </w:tc>
        <w:tc>
          <w:tcPr>
            <w:tcW w:w="1136" w:type="dxa"/>
          </w:tcPr>
          <w:p w14:paraId="7145DAC2" w14:textId="77777777" w:rsidR="00FA4AA8" w:rsidRDefault="0015611F">
            <w:pPr>
              <w:pStyle w:val="TableParagraph"/>
              <w:spacing w:before="25"/>
              <w:ind w:right="93"/>
              <w:jc w:val="right"/>
              <w:rPr>
                <w:sz w:val="18"/>
              </w:rPr>
            </w:pPr>
            <w:r>
              <w:rPr>
                <w:sz w:val="18"/>
              </w:rPr>
              <w:t>18,255</w:t>
            </w:r>
          </w:p>
        </w:tc>
      </w:tr>
      <w:tr w:rsidR="00FA4AA8" w14:paraId="2DA4EB8D" w14:textId="77777777">
        <w:trPr>
          <w:trHeight w:val="257"/>
        </w:trPr>
        <w:tc>
          <w:tcPr>
            <w:tcW w:w="3467" w:type="dxa"/>
          </w:tcPr>
          <w:p w14:paraId="5FA09C0F" w14:textId="77777777" w:rsidR="00FA4AA8" w:rsidRDefault="0015611F">
            <w:pPr>
              <w:pStyle w:val="TableParagraph"/>
              <w:spacing w:before="28"/>
              <w:ind w:left="50"/>
              <w:rPr>
                <w:sz w:val="18"/>
              </w:rPr>
            </w:pPr>
            <w:r>
              <w:rPr>
                <w:sz w:val="18"/>
              </w:rPr>
              <w:t>Australian Research Council</w:t>
            </w:r>
          </w:p>
        </w:tc>
        <w:tc>
          <w:tcPr>
            <w:tcW w:w="544" w:type="dxa"/>
          </w:tcPr>
          <w:p w14:paraId="2F8FE1FD" w14:textId="77777777" w:rsidR="00FA4AA8" w:rsidRDefault="0015611F">
            <w:pPr>
              <w:pStyle w:val="TableParagraph"/>
              <w:spacing w:before="23"/>
              <w:ind w:left="43"/>
              <w:rPr>
                <w:sz w:val="18"/>
              </w:rPr>
            </w:pPr>
            <w:r>
              <w:rPr>
                <w:sz w:val="18"/>
              </w:rPr>
              <w:t>37(e)</w:t>
            </w:r>
          </w:p>
        </w:tc>
        <w:tc>
          <w:tcPr>
            <w:tcW w:w="1627" w:type="dxa"/>
            <w:tcBorders>
              <w:bottom w:val="single" w:sz="8" w:space="0" w:color="000000"/>
            </w:tcBorders>
          </w:tcPr>
          <w:p w14:paraId="3DDD6806" w14:textId="77777777" w:rsidR="00FA4AA8" w:rsidRDefault="0015611F">
            <w:pPr>
              <w:pStyle w:val="TableParagraph"/>
              <w:spacing w:before="25"/>
              <w:ind w:right="251"/>
              <w:jc w:val="right"/>
              <w:rPr>
                <w:b/>
                <w:sz w:val="18"/>
              </w:rPr>
            </w:pPr>
            <w:r>
              <w:rPr>
                <w:b/>
                <w:sz w:val="18"/>
              </w:rPr>
              <w:t>7,865</w:t>
            </w:r>
          </w:p>
        </w:tc>
        <w:tc>
          <w:tcPr>
            <w:tcW w:w="1381" w:type="dxa"/>
            <w:tcBorders>
              <w:bottom w:val="single" w:sz="8" w:space="0" w:color="000000"/>
            </w:tcBorders>
          </w:tcPr>
          <w:p w14:paraId="71EC8219" w14:textId="77777777" w:rsidR="00FA4AA8" w:rsidRDefault="0015611F">
            <w:pPr>
              <w:pStyle w:val="TableParagraph"/>
              <w:spacing w:before="25"/>
              <w:ind w:right="336"/>
              <w:jc w:val="right"/>
              <w:rPr>
                <w:sz w:val="18"/>
              </w:rPr>
            </w:pPr>
            <w:r>
              <w:rPr>
                <w:sz w:val="18"/>
              </w:rPr>
              <w:t>8,295</w:t>
            </w:r>
          </w:p>
        </w:tc>
        <w:tc>
          <w:tcPr>
            <w:tcW w:w="1381" w:type="dxa"/>
            <w:tcBorders>
              <w:bottom w:val="single" w:sz="8" w:space="0" w:color="000000"/>
            </w:tcBorders>
          </w:tcPr>
          <w:p w14:paraId="1947E3B5" w14:textId="77777777" w:rsidR="00FA4AA8" w:rsidRDefault="0015611F">
            <w:pPr>
              <w:pStyle w:val="TableParagraph"/>
              <w:spacing w:before="25"/>
              <w:ind w:right="253"/>
              <w:jc w:val="right"/>
              <w:rPr>
                <w:b/>
                <w:sz w:val="18"/>
              </w:rPr>
            </w:pPr>
            <w:r>
              <w:rPr>
                <w:b/>
                <w:sz w:val="18"/>
              </w:rPr>
              <w:t>7,865</w:t>
            </w:r>
          </w:p>
        </w:tc>
        <w:tc>
          <w:tcPr>
            <w:tcW w:w="1136" w:type="dxa"/>
            <w:tcBorders>
              <w:bottom w:val="single" w:sz="8" w:space="0" w:color="000000"/>
            </w:tcBorders>
          </w:tcPr>
          <w:p w14:paraId="75F75C82" w14:textId="77777777" w:rsidR="00FA4AA8" w:rsidRDefault="0015611F">
            <w:pPr>
              <w:pStyle w:val="TableParagraph"/>
              <w:spacing w:before="25"/>
              <w:ind w:right="93"/>
              <w:jc w:val="right"/>
              <w:rPr>
                <w:sz w:val="18"/>
              </w:rPr>
            </w:pPr>
            <w:r>
              <w:rPr>
                <w:sz w:val="18"/>
              </w:rPr>
              <w:t>8,295</w:t>
            </w:r>
          </w:p>
        </w:tc>
      </w:tr>
      <w:tr w:rsidR="00FA4AA8" w14:paraId="6AB612B6" w14:textId="77777777">
        <w:trPr>
          <w:trHeight w:val="315"/>
        </w:trPr>
        <w:tc>
          <w:tcPr>
            <w:tcW w:w="3467" w:type="dxa"/>
          </w:tcPr>
          <w:p w14:paraId="2AED51AC" w14:textId="77777777" w:rsidR="00FA4AA8" w:rsidRDefault="0015611F">
            <w:pPr>
              <w:pStyle w:val="TableParagraph"/>
              <w:spacing w:before="115" w:line="180" w:lineRule="exact"/>
              <w:ind w:left="50"/>
              <w:rPr>
                <w:b/>
                <w:sz w:val="18"/>
              </w:rPr>
            </w:pPr>
            <w:r>
              <w:rPr>
                <w:b/>
                <w:sz w:val="18"/>
              </w:rPr>
              <w:t>Total CGS and Research Grants</w:t>
            </w:r>
          </w:p>
        </w:tc>
        <w:tc>
          <w:tcPr>
            <w:tcW w:w="544" w:type="dxa"/>
          </w:tcPr>
          <w:p w14:paraId="6D62F7F7" w14:textId="77777777" w:rsidR="00FA4AA8" w:rsidRDefault="00FA4AA8">
            <w:pPr>
              <w:pStyle w:val="TableParagraph"/>
              <w:rPr>
                <w:rFonts w:ascii="Times New Roman"/>
                <w:sz w:val="18"/>
              </w:rPr>
            </w:pPr>
          </w:p>
        </w:tc>
        <w:tc>
          <w:tcPr>
            <w:tcW w:w="1627" w:type="dxa"/>
            <w:tcBorders>
              <w:top w:val="single" w:sz="8" w:space="0" w:color="000000"/>
              <w:bottom w:val="single" w:sz="18" w:space="0" w:color="000000"/>
            </w:tcBorders>
          </w:tcPr>
          <w:p w14:paraId="08CFBFB0" w14:textId="77777777" w:rsidR="00FA4AA8" w:rsidRDefault="0015611F">
            <w:pPr>
              <w:pStyle w:val="TableParagraph"/>
              <w:spacing w:before="115" w:line="180" w:lineRule="exact"/>
              <w:ind w:right="251"/>
              <w:jc w:val="right"/>
              <w:rPr>
                <w:b/>
                <w:sz w:val="18"/>
              </w:rPr>
            </w:pPr>
            <w:r>
              <w:rPr>
                <w:b/>
                <w:sz w:val="18"/>
              </w:rPr>
              <w:t>324,849</w:t>
            </w:r>
          </w:p>
        </w:tc>
        <w:tc>
          <w:tcPr>
            <w:tcW w:w="1381" w:type="dxa"/>
            <w:tcBorders>
              <w:top w:val="single" w:sz="8" w:space="0" w:color="000000"/>
              <w:bottom w:val="single" w:sz="18" w:space="0" w:color="000000"/>
            </w:tcBorders>
          </w:tcPr>
          <w:p w14:paraId="24F96748" w14:textId="77777777" w:rsidR="00FA4AA8" w:rsidRDefault="0015611F">
            <w:pPr>
              <w:pStyle w:val="TableParagraph"/>
              <w:spacing w:before="115" w:line="180" w:lineRule="exact"/>
              <w:ind w:right="336"/>
              <w:jc w:val="right"/>
              <w:rPr>
                <w:sz w:val="18"/>
              </w:rPr>
            </w:pPr>
            <w:r>
              <w:rPr>
                <w:sz w:val="18"/>
              </w:rPr>
              <w:t>327,520</w:t>
            </w:r>
          </w:p>
        </w:tc>
        <w:tc>
          <w:tcPr>
            <w:tcW w:w="1381" w:type="dxa"/>
            <w:tcBorders>
              <w:top w:val="single" w:sz="8" w:space="0" w:color="000000"/>
              <w:bottom w:val="single" w:sz="18" w:space="0" w:color="000000"/>
            </w:tcBorders>
          </w:tcPr>
          <w:p w14:paraId="0EFBEC4F" w14:textId="77777777" w:rsidR="00FA4AA8" w:rsidRDefault="0015611F">
            <w:pPr>
              <w:pStyle w:val="TableParagraph"/>
              <w:spacing w:before="115" w:line="180" w:lineRule="exact"/>
              <w:ind w:right="253"/>
              <w:jc w:val="right"/>
              <w:rPr>
                <w:b/>
                <w:sz w:val="18"/>
              </w:rPr>
            </w:pPr>
            <w:r>
              <w:rPr>
                <w:b/>
                <w:sz w:val="18"/>
              </w:rPr>
              <w:t>324,849</w:t>
            </w:r>
          </w:p>
        </w:tc>
        <w:tc>
          <w:tcPr>
            <w:tcW w:w="1136" w:type="dxa"/>
            <w:tcBorders>
              <w:top w:val="single" w:sz="8" w:space="0" w:color="000000"/>
              <w:bottom w:val="single" w:sz="18" w:space="0" w:color="000000"/>
            </w:tcBorders>
          </w:tcPr>
          <w:p w14:paraId="71A53A2F" w14:textId="77777777" w:rsidR="00FA4AA8" w:rsidRDefault="0015611F">
            <w:pPr>
              <w:pStyle w:val="TableParagraph"/>
              <w:spacing w:before="115" w:line="180" w:lineRule="exact"/>
              <w:ind w:right="93"/>
              <w:jc w:val="right"/>
              <w:rPr>
                <w:sz w:val="18"/>
              </w:rPr>
            </w:pPr>
            <w:r>
              <w:rPr>
                <w:sz w:val="18"/>
              </w:rPr>
              <w:t>327,520</w:t>
            </w:r>
          </w:p>
        </w:tc>
      </w:tr>
      <w:tr w:rsidR="00FA4AA8" w14:paraId="6EF0BF87" w14:textId="77777777">
        <w:trPr>
          <w:trHeight w:val="321"/>
        </w:trPr>
        <w:tc>
          <w:tcPr>
            <w:tcW w:w="3467" w:type="dxa"/>
          </w:tcPr>
          <w:p w14:paraId="65F8B0D9" w14:textId="77777777" w:rsidR="00FA4AA8" w:rsidRDefault="0015611F">
            <w:pPr>
              <w:pStyle w:val="TableParagraph"/>
              <w:spacing w:before="112" w:line="190" w:lineRule="exact"/>
              <w:ind w:left="50"/>
              <w:rPr>
                <w:sz w:val="18"/>
              </w:rPr>
            </w:pPr>
            <w:r>
              <w:rPr>
                <w:sz w:val="18"/>
              </w:rPr>
              <w:t>Other Australian Government financial</w:t>
            </w:r>
          </w:p>
        </w:tc>
        <w:tc>
          <w:tcPr>
            <w:tcW w:w="544" w:type="dxa"/>
          </w:tcPr>
          <w:p w14:paraId="10A561C8" w14:textId="77777777" w:rsidR="00FA4AA8" w:rsidRDefault="00FA4AA8">
            <w:pPr>
              <w:pStyle w:val="TableParagraph"/>
              <w:rPr>
                <w:rFonts w:ascii="Times New Roman"/>
                <w:sz w:val="18"/>
              </w:rPr>
            </w:pPr>
          </w:p>
        </w:tc>
        <w:tc>
          <w:tcPr>
            <w:tcW w:w="1627" w:type="dxa"/>
            <w:tcBorders>
              <w:top w:val="single" w:sz="18" w:space="0" w:color="000000"/>
            </w:tcBorders>
          </w:tcPr>
          <w:p w14:paraId="33A4ED2E" w14:textId="77777777" w:rsidR="00FA4AA8" w:rsidRDefault="00FA4AA8">
            <w:pPr>
              <w:pStyle w:val="TableParagraph"/>
              <w:rPr>
                <w:rFonts w:ascii="Times New Roman"/>
                <w:sz w:val="18"/>
              </w:rPr>
            </w:pPr>
          </w:p>
        </w:tc>
        <w:tc>
          <w:tcPr>
            <w:tcW w:w="1381" w:type="dxa"/>
            <w:tcBorders>
              <w:top w:val="single" w:sz="18" w:space="0" w:color="000000"/>
            </w:tcBorders>
          </w:tcPr>
          <w:p w14:paraId="592BC80A" w14:textId="77777777" w:rsidR="00FA4AA8" w:rsidRDefault="00FA4AA8">
            <w:pPr>
              <w:pStyle w:val="TableParagraph"/>
              <w:rPr>
                <w:rFonts w:ascii="Times New Roman"/>
                <w:sz w:val="18"/>
              </w:rPr>
            </w:pPr>
          </w:p>
        </w:tc>
        <w:tc>
          <w:tcPr>
            <w:tcW w:w="1381" w:type="dxa"/>
            <w:tcBorders>
              <w:top w:val="single" w:sz="18" w:space="0" w:color="000000"/>
            </w:tcBorders>
          </w:tcPr>
          <w:p w14:paraId="7FA608A9" w14:textId="77777777" w:rsidR="00FA4AA8" w:rsidRDefault="00FA4AA8">
            <w:pPr>
              <w:pStyle w:val="TableParagraph"/>
              <w:rPr>
                <w:rFonts w:ascii="Times New Roman"/>
                <w:sz w:val="18"/>
              </w:rPr>
            </w:pPr>
          </w:p>
        </w:tc>
        <w:tc>
          <w:tcPr>
            <w:tcW w:w="1136" w:type="dxa"/>
            <w:tcBorders>
              <w:top w:val="single" w:sz="18" w:space="0" w:color="000000"/>
            </w:tcBorders>
          </w:tcPr>
          <w:p w14:paraId="1FA74437" w14:textId="77777777" w:rsidR="00FA4AA8" w:rsidRDefault="00FA4AA8">
            <w:pPr>
              <w:pStyle w:val="TableParagraph"/>
              <w:rPr>
                <w:rFonts w:ascii="Times New Roman"/>
                <w:sz w:val="18"/>
              </w:rPr>
            </w:pPr>
          </w:p>
        </w:tc>
      </w:tr>
      <w:tr w:rsidR="00FA4AA8" w14:paraId="4858720E" w14:textId="77777777">
        <w:trPr>
          <w:trHeight w:val="200"/>
        </w:trPr>
        <w:tc>
          <w:tcPr>
            <w:tcW w:w="3467" w:type="dxa"/>
          </w:tcPr>
          <w:p w14:paraId="24F09E2C" w14:textId="77777777" w:rsidR="00FA4AA8" w:rsidRDefault="0015611F">
            <w:pPr>
              <w:pStyle w:val="TableParagraph"/>
              <w:spacing w:line="180" w:lineRule="exact"/>
              <w:ind w:left="50"/>
              <w:rPr>
                <w:sz w:val="18"/>
              </w:rPr>
            </w:pPr>
            <w:r>
              <w:rPr>
                <w:sz w:val="18"/>
              </w:rPr>
              <w:t>assistance</w:t>
            </w:r>
          </w:p>
        </w:tc>
        <w:tc>
          <w:tcPr>
            <w:tcW w:w="544" w:type="dxa"/>
          </w:tcPr>
          <w:p w14:paraId="3DF0C8D7" w14:textId="77777777" w:rsidR="00FA4AA8" w:rsidRDefault="00FA4AA8">
            <w:pPr>
              <w:pStyle w:val="TableParagraph"/>
              <w:rPr>
                <w:rFonts w:ascii="Times New Roman"/>
                <w:sz w:val="12"/>
              </w:rPr>
            </w:pPr>
          </w:p>
        </w:tc>
        <w:tc>
          <w:tcPr>
            <w:tcW w:w="1627" w:type="dxa"/>
            <w:tcBorders>
              <w:bottom w:val="single" w:sz="8" w:space="0" w:color="000000"/>
            </w:tcBorders>
          </w:tcPr>
          <w:p w14:paraId="5955A530" w14:textId="77777777" w:rsidR="00FA4AA8" w:rsidRDefault="0015611F">
            <w:pPr>
              <w:pStyle w:val="TableParagraph"/>
              <w:spacing w:line="180" w:lineRule="exact"/>
              <w:ind w:right="251"/>
              <w:jc w:val="right"/>
              <w:rPr>
                <w:sz w:val="18"/>
              </w:rPr>
            </w:pPr>
            <w:r>
              <w:rPr>
                <w:sz w:val="18"/>
              </w:rPr>
              <w:t>6,988</w:t>
            </w:r>
          </w:p>
        </w:tc>
        <w:tc>
          <w:tcPr>
            <w:tcW w:w="1381" w:type="dxa"/>
            <w:tcBorders>
              <w:bottom w:val="single" w:sz="8" w:space="0" w:color="000000"/>
            </w:tcBorders>
          </w:tcPr>
          <w:p w14:paraId="45AF0E69" w14:textId="77777777" w:rsidR="00FA4AA8" w:rsidRDefault="0015611F">
            <w:pPr>
              <w:pStyle w:val="TableParagraph"/>
              <w:spacing w:line="180" w:lineRule="exact"/>
              <w:ind w:right="336"/>
              <w:jc w:val="right"/>
              <w:rPr>
                <w:sz w:val="18"/>
              </w:rPr>
            </w:pPr>
            <w:r>
              <w:rPr>
                <w:sz w:val="18"/>
              </w:rPr>
              <w:t>6,893</w:t>
            </w:r>
          </w:p>
        </w:tc>
        <w:tc>
          <w:tcPr>
            <w:tcW w:w="1381" w:type="dxa"/>
            <w:tcBorders>
              <w:bottom w:val="single" w:sz="8" w:space="0" w:color="000000"/>
            </w:tcBorders>
          </w:tcPr>
          <w:p w14:paraId="67C8A22A" w14:textId="77777777" w:rsidR="00FA4AA8" w:rsidRDefault="0015611F">
            <w:pPr>
              <w:pStyle w:val="TableParagraph"/>
              <w:spacing w:line="180" w:lineRule="exact"/>
              <w:ind w:right="253"/>
              <w:jc w:val="right"/>
              <w:rPr>
                <w:sz w:val="18"/>
              </w:rPr>
            </w:pPr>
            <w:r>
              <w:rPr>
                <w:sz w:val="18"/>
              </w:rPr>
              <w:t>6,988</w:t>
            </w:r>
          </w:p>
        </w:tc>
        <w:tc>
          <w:tcPr>
            <w:tcW w:w="1136" w:type="dxa"/>
            <w:tcBorders>
              <w:bottom w:val="single" w:sz="8" w:space="0" w:color="000000"/>
            </w:tcBorders>
          </w:tcPr>
          <w:p w14:paraId="1702252A" w14:textId="77777777" w:rsidR="00FA4AA8" w:rsidRDefault="0015611F">
            <w:pPr>
              <w:pStyle w:val="TableParagraph"/>
              <w:spacing w:line="180" w:lineRule="exact"/>
              <w:ind w:right="93"/>
              <w:jc w:val="right"/>
              <w:rPr>
                <w:sz w:val="18"/>
              </w:rPr>
            </w:pPr>
            <w:r>
              <w:rPr>
                <w:sz w:val="18"/>
              </w:rPr>
              <w:t>6,893</w:t>
            </w:r>
          </w:p>
        </w:tc>
      </w:tr>
      <w:tr w:rsidR="00FA4AA8" w14:paraId="24924C72" w14:textId="77777777">
        <w:trPr>
          <w:trHeight w:val="263"/>
        </w:trPr>
        <w:tc>
          <w:tcPr>
            <w:tcW w:w="3467" w:type="dxa"/>
          </w:tcPr>
          <w:p w14:paraId="041C6CF7" w14:textId="77777777" w:rsidR="00FA4AA8" w:rsidRDefault="0015611F">
            <w:pPr>
              <w:pStyle w:val="TableParagraph"/>
              <w:spacing w:before="33"/>
              <w:ind w:left="50"/>
              <w:rPr>
                <w:b/>
                <w:sz w:val="18"/>
              </w:rPr>
            </w:pPr>
            <w:r>
              <w:rPr>
                <w:b/>
                <w:sz w:val="18"/>
              </w:rPr>
              <w:t>Total Australian Government Grants</w:t>
            </w:r>
          </w:p>
        </w:tc>
        <w:tc>
          <w:tcPr>
            <w:tcW w:w="544" w:type="dxa"/>
          </w:tcPr>
          <w:p w14:paraId="518CE618" w14:textId="77777777" w:rsidR="00FA4AA8" w:rsidRDefault="00FA4AA8">
            <w:pPr>
              <w:pStyle w:val="TableParagraph"/>
              <w:rPr>
                <w:rFonts w:ascii="Times New Roman"/>
                <w:sz w:val="18"/>
              </w:rPr>
            </w:pPr>
          </w:p>
        </w:tc>
        <w:tc>
          <w:tcPr>
            <w:tcW w:w="1627" w:type="dxa"/>
            <w:tcBorders>
              <w:top w:val="single" w:sz="8" w:space="0" w:color="000000"/>
              <w:bottom w:val="single" w:sz="8" w:space="0" w:color="000000"/>
            </w:tcBorders>
          </w:tcPr>
          <w:p w14:paraId="2564008F" w14:textId="77777777" w:rsidR="00FA4AA8" w:rsidRDefault="0015611F">
            <w:pPr>
              <w:pStyle w:val="TableParagraph"/>
              <w:spacing w:before="31"/>
              <w:ind w:right="248"/>
              <w:jc w:val="right"/>
              <w:rPr>
                <w:b/>
                <w:sz w:val="18"/>
              </w:rPr>
            </w:pPr>
            <w:r>
              <w:rPr>
                <w:b/>
                <w:sz w:val="18"/>
              </w:rPr>
              <w:t>331,837</w:t>
            </w:r>
          </w:p>
        </w:tc>
        <w:tc>
          <w:tcPr>
            <w:tcW w:w="1381" w:type="dxa"/>
            <w:tcBorders>
              <w:top w:val="single" w:sz="8" w:space="0" w:color="000000"/>
              <w:bottom w:val="single" w:sz="8" w:space="0" w:color="000000"/>
            </w:tcBorders>
          </w:tcPr>
          <w:p w14:paraId="08763FA0" w14:textId="77777777" w:rsidR="00FA4AA8" w:rsidRDefault="0015611F">
            <w:pPr>
              <w:pStyle w:val="TableParagraph"/>
              <w:spacing w:before="31"/>
              <w:ind w:right="333"/>
              <w:jc w:val="right"/>
              <w:rPr>
                <w:sz w:val="18"/>
              </w:rPr>
            </w:pPr>
            <w:r>
              <w:rPr>
                <w:sz w:val="18"/>
              </w:rPr>
              <w:t>334,413</w:t>
            </w:r>
          </w:p>
        </w:tc>
        <w:tc>
          <w:tcPr>
            <w:tcW w:w="1381" w:type="dxa"/>
            <w:tcBorders>
              <w:top w:val="single" w:sz="8" w:space="0" w:color="000000"/>
              <w:bottom w:val="single" w:sz="8" w:space="0" w:color="000000"/>
            </w:tcBorders>
          </w:tcPr>
          <w:p w14:paraId="3B739027" w14:textId="77777777" w:rsidR="00FA4AA8" w:rsidRDefault="0015611F">
            <w:pPr>
              <w:pStyle w:val="TableParagraph"/>
              <w:spacing w:before="31"/>
              <w:ind w:right="250"/>
              <w:jc w:val="right"/>
              <w:rPr>
                <w:b/>
                <w:sz w:val="18"/>
              </w:rPr>
            </w:pPr>
            <w:r>
              <w:rPr>
                <w:b/>
                <w:sz w:val="18"/>
              </w:rPr>
              <w:t>331,837</w:t>
            </w:r>
          </w:p>
        </w:tc>
        <w:tc>
          <w:tcPr>
            <w:tcW w:w="1136" w:type="dxa"/>
            <w:tcBorders>
              <w:top w:val="single" w:sz="8" w:space="0" w:color="000000"/>
              <w:bottom w:val="single" w:sz="8" w:space="0" w:color="000000"/>
            </w:tcBorders>
          </w:tcPr>
          <w:p w14:paraId="5B6DF664" w14:textId="77777777" w:rsidR="00FA4AA8" w:rsidRDefault="0015611F">
            <w:pPr>
              <w:pStyle w:val="TableParagraph"/>
              <w:spacing w:before="31"/>
              <w:ind w:right="90"/>
              <w:jc w:val="right"/>
              <w:rPr>
                <w:sz w:val="18"/>
              </w:rPr>
            </w:pPr>
            <w:r>
              <w:rPr>
                <w:sz w:val="18"/>
              </w:rPr>
              <w:t>334,413</w:t>
            </w:r>
          </w:p>
        </w:tc>
      </w:tr>
      <w:tr w:rsidR="00FA4AA8" w14:paraId="4E419588" w14:textId="77777777">
        <w:trPr>
          <w:trHeight w:val="757"/>
        </w:trPr>
        <w:tc>
          <w:tcPr>
            <w:tcW w:w="3467" w:type="dxa"/>
          </w:tcPr>
          <w:p w14:paraId="1B8B7D65" w14:textId="77777777" w:rsidR="00FA4AA8" w:rsidRDefault="00FA4AA8">
            <w:pPr>
              <w:pStyle w:val="TableParagraph"/>
              <w:rPr>
                <w:b/>
                <w:sz w:val="20"/>
              </w:rPr>
            </w:pPr>
          </w:p>
          <w:p w14:paraId="51564636" w14:textId="77777777" w:rsidR="00FA4AA8" w:rsidRDefault="00FA4AA8">
            <w:pPr>
              <w:pStyle w:val="TableParagraph"/>
              <w:spacing w:before="10"/>
              <w:rPr>
                <w:b/>
                <w:sz w:val="25"/>
              </w:rPr>
            </w:pPr>
          </w:p>
          <w:p w14:paraId="75D05A22" w14:textId="77777777" w:rsidR="00FA4AA8" w:rsidRDefault="0015611F">
            <w:pPr>
              <w:pStyle w:val="TableParagraph"/>
              <w:ind w:left="50"/>
              <w:rPr>
                <w:sz w:val="18"/>
              </w:rPr>
            </w:pPr>
            <w:r>
              <w:rPr>
                <w:sz w:val="18"/>
              </w:rPr>
              <w:t>Higher Education Loan Programs</w:t>
            </w:r>
          </w:p>
        </w:tc>
        <w:tc>
          <w:tcPr>
            <w:tcW w:w="544" w:type="dxa"/>
          </w:tcPr>
          <w:p w14:paraId="551EC65B" w14:textId="77777777" w:rsidR="00FA4AA8" w:rsidRDefault="00FA4AA8">
            <w:pPr>
              <w:pStyle w:val="TableParagraph"/>
              <w:rPr>
                <w:b/>
                <w:sz w:val="20"/>
              </w:rPr>
            </w:pPr>
          </w:p>
          <w:p w14:paraId="18AC8294" w14:textId="77777777" w:rsidR="00FA4AA8" w:rsidRDefault="00FA4AA8">
            <w:pPr>
              <w:pStyle w:val="TableParagraph"/>
              <w:spacing w:before="5"/>
              <w:rPr>
                <w:b/>
                <w:sz w:val="25"/>
              </w:rPr>
            </w:pPr>
          </w:p>
          <w:p w14:paraId="2D1A225C" w14:textId="77777777" w:rsidR="00FA4AA8" w:rsidRDefault="0015611F">
            <w:pPr>
              <w:pStyle w:val="TableParagraph"/>
              <w:ind w:left="43"/>
              <w:rPr>
                <w:sz w:val="18"/>
              </w:rPr>
            </w:pPr>
            <w:r>
              <w:rPr>
                <w:sz w:val="18"/>
              </w:rPr>
              <w:t>37(b)</w:t>
            </w:r>
          </w:p>
        </w:tc>
        <w:tc>
          <w:tcPr>
            <w:tcW w:w="1627" w:type="dxa"/>
            <w:tcBorders>
              <w:top w:val="single" w:sz="8" w:space="0" w:color="000000"/>
              <w:bottom w:val="single" w:sz="8" w:space="0" w:color="000000"/>
            </w:tcBorders>
          </w:tcPr>
          <w:p w14:paraId="5EA4FEE8" w14:textId="77777777" w:rsidR="00FA4AA8" w:rsidRDefault="00FA4AA8">
            <w:pPr>
              <w:pStyle w:val="TableParagraph"/>
              <w:rPr>
                <w:b/>
                <w:sz w:val="20"/>
              </w:rPr>
            </w:pPr>
          </w:p>
          <w:p w14:paraId="7AD4022A" w14:textId="77777777" w:rsidR="00FA4AA8" w:rsidRDefault="00FA4AA8">
            <w:pPr>
              <w:pStyle w:val="TableParagraph"/>
              <w:spacing w:before="8"/>
              <w:rPr>
                <w:b/>
                <w:sz w:val="25"/>
              </w:rPr>
            </w:pPr>
          </w:p>
          <w:p w14:paraId="3263F713" w14:textId="77777777" w:rsidR="00FA4AA8" w:rsidRDefault="0015611F">
            <w:pPr>
              <w:pStyle w:val="TableParagraph"/>
              <w:ind w:right="251"/>
              <w:jc w:val="right"/>
              <w:rPr>
                <w:b/>
                <w:sz w:val="18"/>
              </w:rPr>
            </w:pPr>
            <w:r>
              <w:rPr>
                <w:b/>
                <w:sz w:val="18"/>
              </w:rPr>
              <w:t>234,686</w:t>
            </w:r>
          </w:p>
        </w:tc>
        <w:tc>
          <w:tcPr>
            <w:tcW w:w="1381" w:type="dxa"/>
            <w:tcBorders>
              <w:top w:val="single" w:sz="8" w:space="0" w:color="000000"/>
              <w:bottom w:val="single" w:sz="8" w:space="0" w:color="000000"/>
            </w:tcBorders>
          </w:tcPr>
          <w:p w14:paraId="400A6A72" w14:textId="77777777" w:rsidR="00FA4AA8" w:rsidRDefault="00FA4AA8">
            <w:pPr>
              <w:pStyle w:val="TableParagraph"/>
              <w:rPr>
                <w:b/>
                <w:sz w:val="20"/>
              </w:rPr>
            </w:pPr>
          </w:p>
          <w:p w14:paraId="6AA26962" w14:textId="77777777" w:rsidR="00FA4AA8" w:rsidRDefault="00FA4AA8">
            <w:pPr>
              <w:pStyle w:val="TableParagraph"/>
              <w:spacing w:before="8"/>
              <w:rPr>
                <w:b/>
                <w:sz w:val="25"/>
              </w:rPr>
            </w:pPr>
          </w:p>
          <w:p w14:paraId="73B1C9DD" w14:textId="77777777" w:rsidR="00FA4AA8" w:rsidRDefault="0015611F">
            <w:pPr>
              <w:pStyle w:val="TableParagraph"/>
              <w:ind w:right="336"/>
              <w:jc w:val="right"/>
              <w:rPr>
                <w:sz w:val="18"/>
              </w:rPr>
            </w:pPr>
            <w:r>
              <w:rPr>
                <w:sz w:val="18"/>
              </w:rPr>
              <w:t>218,750</w:t>
            </w:r>
          </w:p>
        </w:tc>
        <w:tc>
          <w:tcPr>
            <w:tcW w:w="1381" w:type="dxa"/>
            <w:tcBorders>
              <w:top w:val="single" w:sz="8" w:space="0" w:color="000000"/>
              <w:bottom w:val="single" w:sz="8" w:space="0" w:color="000000"/>
            </w:tcBorders>
          </w:tcPr>
          <w:p w14:paraId="069A0765" w14:textId="77777777" w:rsidR="00FA4AA8" w:rsidRDefault="00FA4AA8">
            <w:pPr>
              <w:pStyle w:val="TableParagraph"/>
              <w:rPr>
                <w:b/>
                <w:sz w:val="20"/>
              </w:rPr>
            </w:pPr>
          </w:p>
          <w:p w14:paraId="5E1A5494" w14:textId="77777777" w:rsidR="00FA4AA8" w:rsidRDefault="00FA4AA8">
            <w:pPr>
              <w:pStyle w:val="TableParagraph"/>
              <w:spacing w:before="8"/>
              <w:rPr>
                <w:b/>
                <w:sz w:val="25"/>
              </w:rPr>
            </w:pPr>
          </w:p>
          <w:p w14:paraId="332B9605" w14:textId="77777777" w:rsidR="00FA4AA8" w:rsidRDefault="0015611F">
            <w:pPr>
              <w:pStyle w:val="TableParagraph"/>
              <w:ind w:right="253"/>
              <w:jc w:val="right"/>
              <w:rPr>
                <w:b/>
                <w:sz w:val="18"/>
              </w:rPr>
            </w:pPr>
            <w:r>
              <w:rPr>
                <w:b/>
                <w:sz w:val="18"/>
              </w:rPr>
              <w:t>234,686</w:t>
            </w:r>
          </w:p>
        </w:tc>
        <w:tc>
          <w:tcPr>
            <w:tcW w:w="1136" w:type="dxa"/>
            <w:tcBorders>
              <w:top w:val="single" w:sz="8" w:space="0" w:color="000000"/>
              <w:bottom w:val="single" w:sz="8" w:space="0" w:color="000000"/>
            </w:tcBorders>
          </w:tcPr>
          <w:p w14:paraId="2A271901" w14:textId="77777777" w:rsidR="00FA4AA8" w:rsidRDefault="00FA4AA8">
            <w:pPr>
              <w:pStyle w:val="TableParagraph"/>
              <w:rPr>
                <w:b/>
                <w:sz w:val="20"/>
              </w:rPr>
            </w:pPr>
          </w:p>
          <w:p w14:paraId="38F71760" w14:textId="77777777" w:rsidR="00FA4AA8" w:rsidRDefault="00FA4AA8">
            <w:pPr>
              <w:pStyle w:val="TableParagraph"/>
              <w:spacing w:before="8"/>
              <w:rPr>
                <w:b/>
                <w:sz w:val="25"/>
              </w:rPr>
            </w:pPr>
          </w:p>
          <w:p w14:paraId="7A4899CF" w14:textId="77777777" w:rsidR="00FA4AA8" w:rsidRDefault="0015611F">
            <w:pPr>
              <w:pStyle w:val="TableParagraph"/>
              <w:ind w:right="93"/>
              <w:jc w:val="right"/>
              <w:rPr>
                <w:sz w:val="18"/>
              </w:rPr>
            </w:pPr>
            <w:r>
              <w:rPr>
                <w:sz w:val="18"/>
              </w:rPr>
              <w:t>218,750</w:t>
            </w:r>
          </w:p>
        </w:tc>
      </w:tr>
      <w:tr w:rsidR="00FA4AA8" w14:paraId="20F2895E" w14:textId="77777777">
        <w:trPr>
          <w:trHeight w:val="298"/>
        </w:trPr>
        <w:tc>
          <w:tcPr>
            <w:tcW w:w="3467" w:type="dxa"/>
          </w:tcPr>
          <w:p w14:paraId="45125BA5" w14:textId="77777777" w:rsidR="00FA4AA8" w:rsidRDefault="0015611F">
            <w:pPr>
              <w:pStyle w:val="TableParagraph"/>
              <w:spacing w:before="115" w:line="163" w:lineRule="exact"/>
              <w:ind w:left="50"/>
              <w:rPr>
                <w:b/>
                <w:sz w:val="18"/>
              </w:rPr>
            </w:pPr>
            <w:bookmarkStart w:id="20" w:name="Australian_Government_Grants_received_-_"/>
            <w:bookmarkEnd w:id="20"/>
            <w:r>
              <w:rPr>
                <w:b/>
                <w:sz w:val="18"/>
              </w:rPr>
              <w:t>Total Australian Government</w:t>
            </w:r>
          </w:p>
        </w:tc>
        <w:tc>
          <w:tcPr>
            <w:tcW w:w="544" w:type="dxa"/>
          </w:tcPr>
          <w:p w14:paraId="6C52AF97" w14:textId="77777777" w:rsidR="00FA4AA8" w:rsidRDefault="00FA4AA8">
            <w:pPr>
              <w:pStyle w:val="TableParagraph"/>
              <w:rPr>
                <w:rFonts w:ascii="Times New Roman"/>
                <w:sz w:val="18"/>
              </w:rPr>
            </w:pPr>
          </w:p>
        </w:tc>
        <w:tc>
          <w:tcPr>
            <w:tcW w:w="1627" w:type="dxa"/>
          </w:tcPr>
          <w:p w14:paraId="3B272E37" w14:textId="77777777" w:rsidR="00FA4AA8" w:rsidRDefault="00FA4AA8">
            <w:pPr>
              <w:pStyle w:val="TableParagraph"/>
              <w:rPr>
                <w:rFonts w:ascii="Times New Roman"/>
                <w:sz w:val="18"/>
              </w:rPr>
            </w:pPr>
          </w:p>
        </w:tc>
        <w:tc>
          <w:tcPr>
            <w:tcW w:w="1381" w:type="dxa"/>
          </w:tcPr>
          <w:p w14:paraId="6924BF48" w14:textId="77777777" w:rsidR="00FA4AA8" w:rsidRDefault="00FA4AA8">
            <w:pPr>
              <w:pStyle w:val="TableParagraph"/>
              <w:rPr>
                <w:rFonts w:ascii="Times New Roman"/>
                <w:sz w:val="18"/>
              </w:rPr>
            </w:pPr>
          </w:p>
        </w:tc>
        <w:tc>
          <w:tcPr>
            <w:tcW w:w="1381" w:type="dxa"/>
          </w:tcPr>
          <w:p w14:paraId="41CB1C0D" w14:textId="77777777" w:rsidR="00FA4AA8" w:rsidRDefault="00FA4AA8">
            <w:pPr>
              <w:pStyle w:val="TableParagraph"/>
              <w:rPr>
                <w:rFonts w:ascii="Times New Roman"/>
                <w:sz w:val="18"/>
              </w:rPr>
            </w:pPr>
          </w:p>
        </w:tc>
        <w:tc>
          <w:tcPr>
            <w:tcW w:w="1136" w:type="dxa"/>
          </w:tcPr>
          <w:p w14:paraId="27FFF1F8" w14:textId="77777777" w:rsidR="00FA4AA8" w:rsidRDefault="00FA4AA8">
            <w:pPr>
              <w:pStyle w:val="TableParagraph"/>
              <w:rPr>
                <w:rFonts w:ascii="Times New Roman"/>
                <w:sz w:val="18"/>
              </w:rPr>
            </w:pPr>
          </w:p>
        </w:tc>
      </w:tr>
      <w:tr w:rsidR="00FA4AA8" w14:paraId="2A409010" w14:textId="77777777">
        <w:trPr>
          <w:trHeight w:val="223"/>
        </w:trPr>
        <w:tc>
          <w:tcPr>
            <w:tcW w:w="4011" w:type="dxa"/>
            <w:gridSpan w:val="2"/>
          </w:tcPr>
          <w:p w14:paraId="138C9F90" w14:textId="77777777" w:rsidR="00FA4AA8" w:rsidRDefault="0015611F">
            <w:pPr>
              <w:pStyle w:val="TableParagraph"/>
              <w:spacing w:before="23" w:line="181" w:lineRule="exact"/>
              <w:ind w:left="50"/>
              <w:rPr>
                <w:b/>
                <w:sz w:val="18"/>
              </w:rPr>
            </w:pPr>
            <w:r>
              <w:rPr>
                <w:b/>
                <w:sz w:val="18"/>
              </w:rPr>
              <w:t>financial assistance</w:t>
            </w:r>
          </w:p>
        </w:tc>
        <w:tc>
          <w:tcPr>
            <w:tcW w:w="1627" w:type="dxa"/>
            <w:tcBorders>
              <w:bottom w:val="single" w:sz="2" w:space="0" w:color="000000"/>
            </w:tcBorders>
          </w:tcPr>
          <w:p w14:paraId="14D20492" w14:textId="77777777" w:rsidR="00FA4AA8" w:rsidRDefault="0015611F">
            <w:pPr>
              <w:pStyle w:val="TableParagraph"/>
              <w:spacing w:line="201" w:lineRule="exact"/>
              <w:ind w:right="246"/>
              <w:jc w:val="right"/>
              <w:rPr>
                <w:b/>
                <w:sz w:val="18"/>
              </w:rPr>
            </w:pPr>
            <w:r>
              <w:rPr>
                <w:b/>
                <w:sz w:val="18"/>
              </w:rPr>
              <w:t>566,523</w:t>
            </w:r>
          </w:p>
        </w:tc>
        <w:tc>
          <w:tcPr>
            <w:tcW w:w="1381" w:type="dxa"/>
            <w:tcBorders>
              <w:bottom w:val="single" w:sz="6" w:space="0" w:color="000000"/>
            </w:tcBorders>
          </w:tcPr>
          <w:p w14:paraId="580623CA" w14:textId="77777777" w:rsidR="00FA4AA8" w:rsidRDefault="0015611F">
            <w:pPr>
              <w:pStyle w:val="TableParagraph"/>
              <w:spacing w:line="201" w:lineRule="exact"/>
              <w:ind w:right="331"/>
              <w:jc w:val="right"/>
              <w:rPr>
                <w:sz w:val="18"/>
              </w:rPr>
            </w:pPr>
            <w:r>
              <w:rPr>
                <w:sz w:val="18"/>
              </w:rPr>
              <w:t>553,163</w:t>
            </w:r>
          </w:p>
        </w:tc>
        <w:tc>
          <w:tcPr>
            <w:tcW w:w="1381" w:type="dxa"/>
            <w:tcBorders>
              <w:bottom w:val="thinThickMediumGap" w:sz="2" w:space="0" w:color="000000"/>
            </w:tcBorders>
          </w:tcPr>
          <w:p w14:paraId="7E97D28C" w14:textId="77777777" w:rsidR="00FA4AA8" w:rsidRDefault="0015611F">
            <w:pPr>
              <w:pStyle w:val="TableParagraph"/>
              <w:spacing w:line="201" w:lineRule="exact"/>
              <w:ind w:right="248"/>
              <w:jc w:val="right"/>
              <w:rPr>
                <w:b/>
                <w:sz w:val="18"/>
              </w:rPr>
            </w:pPr>
            <w:r>
              <w:rPr>
                <w:b/>
                <w:sz w:val="18"/>
              </w:rPr>
              <w:t>566,523</w:t>
            </w:r>
          </w:p>
        </w:tc>
        <w:tc>
          <w:tcPr>
            <w:tcW w:w="1136" w:type="dxa"/>
            <w:tcBorders>
              <w:bottom w:val="thinThickMediumGap" w:sz="2" w:space="0" w:color="000000"/>
            </w:tcBorders>
          </w:tcPr>
          <w:p w14:paraId="217540B8" w14:textId="77777777" w:rsidR="00FA4AA8" w:rsidRDefault="0015611F">
            <w:pPr>
              <w:pStyle w:val="TableParagraph"/>
              <w:spacing w:line="201" w:lineRule="exact"/>
              <w:ind w:right="88"/>
              <w:jc w:val="right"/>
              <w:rPr>
                <w:sz w:val="18"/>
              </w:rPr>
            </w:pPr>
            <w:r>
              <w:rPr>
                <w:sz w:val="18"/>
              </w:rPr>
              <w:t>553,163</w:t>
            </w:r>
          </w:p>
        </w:tc>
      </w:tr>
    </w:tbl>
    <w:p w14:paraId="09E378A7" w14:textId="77777777" w:rsidR="00FA4AA8" w:rsidRDefault="007E2441">
      <w:pPr>
        <w:pStyle w:val="BodyText"/>
        <w:spacing w:line="20" w:lineRule="exact"/>
        <w:ind w:left="4550"/>
        <w:rPr>
          <w:sz w:val="2"/>
        </w:rPr>
      </w:pPr>
      <w:r>
        <w:rPr>
          <w:noProof/>
          <w:sz w:val="2"/>
          <w:lang w:val="en-AU" w:eastAsia="en-AU"/>
        </w:rPr>
        <mc:AlternateContent>
          <mc:Choice Requires="wpg">
            <w:drawing>
              <wp:inline distT="0" distB="0" distL="0" distR="0" wp14:anchorId="51701C50" wp14:editId="54FB1A81">
                <wp:extent cx="3505200" cy="9525"/>
                <wp:effectExtent l="9525" t="12065" r="9525" b="6985"/>
                <wp:docPr id="3511" name="Group 3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5200" cy="9525"/>
                          <a:chOff x="0" y="0"/>
                          <a:chExt cx="5520" cy="15"/>
                        </a:xfrm>
                      </wpg:grpSpPr>
                      <wps:wsp>
                        <wps:cNvPr id="3512" name="Line 3309"/>
                        <wps:cNvCnPr>
                          <a:cxnSpLocks noChangeShapeType="1"/>
                        </wps:cNvCnPr>
                        <wps:spPr bwMode="auto">
                          <a:xfrm>
                            <a:off x="0" y="11"/>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513" name="Line 3308"/>
                        <wps:cNvCnPr>
                          <a:cxnSpLocks noChangeShapeType="1"/>
                        </wps:cNvCnPr>
                        <wps:spPr bwMode="auto">
                          <a:xfrm>
                            <a:off x="0" y="13"/>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514" name="Line 3307"/>
                        <wps:cNvCnPr>
                          <a:cxnSpLocks noChangeShapeType="1"/>
                        </wps:cNvCnPr>
                        <wps:spPr bwMode="auto">
                          <a:xfrm>
                            <a:off x="168" y="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515" name="Line 3306"/>
                        <wps:cNvCnPr>
                          <a:cxnSpLocks noChangeShapeType="1"/>
                        </wps:cNvCnPr>
                        <wps:spPr bwMode="auto">
                          <a:xfrm>
                            <a:off x="168" y="4"/>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516" name="Line 3305"/>
                        <wps:cNvCnPr>
                          <a:cxnSpLocks noChangeShapeType="1"/>
                        </wps:cNvCnPr>
                        <wps:spPr bwMode="auto">
                          <a:xfrm>
                            <a:off x="168" y="6"/>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517" name="Line 3304"/>
                        <wps:cNvCnPr>
                          <a:cxnSpLocks noChangeShapeType="1"/>
                        </wps:cNvCnPr>
                        <wps:spPr bwMode="auto">
                          <a:xfrm>
                            <a:off x="168" y="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518" name="Line 3303"/>
                        <wps:cNvCnPr>
                          <a:cxnSpLocks noChangeShapeType="1"/>
                        </wps:cNvCnPr>
                        <wps:spPr bwMode="auto">
                          <a:xfrm>
                            <a:off x="168" y="1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519" name="Line 3302"/>
                        <wps:cNvCnPr>
                          <a:cxnSpLocks noChangeShapeType="1"/>
                        </wps:cNvCnPr>
                        <wps:spPr bwMode="auto">
                          <a:xfrm>
                            <a:off x="168" y="1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520" name="Line 3301"/>
                        <wps:cNvCnPr>
                          <a:cxnSpLocks noChangeShapeType="1"/>
                        </wps:cNvCnPr>
                        <wps:spPr bwMode="auto">
                          <a:xfrm>
                            <a:off x="1464" y="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521" name="Line 3300"/>
                        <wps:cNvCnPr>
                          <a:cxnSpLocks noChangeShapeType="1"/>
                        </wps:cNvCnPr>
                        <wps:spPr bwMode="auto">
                          <a:xfrm>
                            <a:off x="1464" y="4"/>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522" name="Line 3299"/>
                        <wps:cNvCnPr>
                          <a:cxnSpLocks noChangeShapeType="1"/>
                        </wps:cNvCnPr>
                        <wps:spPr bwMode="auto">
                          <a:xfrm>
                            <a:off x="1464" y="6"/>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523" name="Line 3298"/>
                        <wps:cNvCnPr>
                          <a:cxnSpLocks noChangeShapeType="1"/>
                        </wps:cNvCnPr>
                        <wps:spPr bwMode="auto">
                          <a:xfrm>
                            <a:off x="1464" y="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524" name="Line 3297"/>
                        <wps:cNvCnPr>
                          <a:cxnSpLocks noChangeShapeType="1"/>
                        </wps:cNvCnPr>
                        <wps:spPr bwMode="auto">
                          <a:xfrm>
                            <a:off x="1464" y="1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525" name="Line 3296"/>
                        <wps:cNvCnPr>
                          <a:cxnSpLocks noChangeShapeType="1"/>
                        </wps:cNvCnPr>
                        <wps:spPr bwMode="auto">
                          <a:xfrm>
                            <a:off x="1464" y="1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526" name="Line 3295"/>
                        <wps:cNvCnPr>
                          <a:cxnSpLocks noChangeShapeType="1"/>
                        </wps:cNvCnPr>
                        <wps:spPr bwMode="auto">
                          <a:xfrm>
                            <a:off x="2760" y="1"/>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527" name="Line 3294"/>
                        <wps:cNvCnPr>
                          <a:cxnSpLocks noChangeShapeType="1"/>
                        </wps:cNvCnPr>
                        <wps:spPr bwMode="auto">
                          <a:xfrm>
                            <a:off x="2760" y="4"/>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528" name="Line 3293"/>
                        <wps:cNvCnPr>
                          <a:cxnSpLocks noChangeShapeType="1"/>
                        </wps:cNvCnPr>
                        <wps:spPr bwMode="auto">
                          <a:xfrm>
                            <a:off x="2760" y="6"/>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529" name="Line 3292"/>
                        <wps:cNvCnPr>
                          <a:cxnSpLocks noChangeShapeType="1"/>
                        </wps:cNvCnPr>
                        <wps:spPr bwMode="auto">
                          <a:xfrm>
                            <a:off x="2760" y="8"/>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530" name="Line 3291"/>
                        <wps:cNvCnPr>
                          <a:cxnSpLocks noChangeShapeType="1"/>
                        </wps:cNvCnPr>
                        <wps:spPr bwMode="auto">
                          <a:xfrm>
                            <a:off x="2760" y="11"/>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531" name="Line 3290"/>
                        <wps:cNvCnPr>
                          <a:cxnSpLocks noChangeShapeType="1"/>
                        </wps:cNvCnPr>
                        <wps:spPr bwMode="auto">
                          <a:xfrm>
                            <a:off x="2760" y="13"/>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532" name="Line 3289"/>
                        <wps:cNvCnPr>
                          <a:cxnSpLocks noChangeShapeType="1"/>
                        </wps:cNvCnPr>
                        <wps:spPr bwMode="auto">
                          <a:xfrm>
                            <a:off x="2928" y="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533" name="Line 3288"/>
                        <wps:cNvCnPr>
                          <a:cxnSpLocks noChangeShapeType="1"/>
                        </wps:cNvCnPr>
                        <wps:spPr bwMode="auto">
                          <a:xfrm>
                            <a:off x="2928" y="4"/>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534" name="Line 3287"/>
                        <wps:cNvCnPr>
                          <a:cxnSpLocks noChangeShapeType="1"/>
                        </wps:cNvCnPr>
                        <wps:spPr bwMode="auto">
                          <a:xfrm>
                            <a:off x="2928" y="6"/>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535" name="Line 3286"/>
                        <wps:cNvCnPr>
                          <a:cxnSpLocks noChangeShapeType="1"/>
                        </wps:cNvCnPr>
                        <wps:spPr bwMode="auto">
                          <a:xfrm>
                            <a:off x="2928" y="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536" name="Line 3285"/>
                        <wps:cNvCnPr>
                          <a:cxnSpLocks noChangeShapeType="1"/>
                        </wps:cNvCnPr>
                        <wps:spPr bwMode="auto">
                          <a:xfrm>
                            <a:off x="2928" y="1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537" name="Line 3284"/>
                        <wps:cNvCnPr>
                          <a:cxnSpLocks noChangeShapeType="1"/>
                        </wps:cNvCnPr>
                        <wps:spPr bwMode="auto">
                          <a:xfrm>
                            <a:off x="2928" y="1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538" name="Line 3283"/>
                        <wps:cNvCnPr>
                          <a:cxnSpLocks noChangeShapeType="1"/>
                        </wps:cNvCnPr>
                        <wps:spPr bwMode="auto">
                          <a:xfrm>
                            <a:off x="4224" y="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539" name="Line 3282"/>
                        <wps:cNvCnPr>
                          <a:cxnSpLocks noChangeShapeType="1"/>
                        </wps:cNvCnPr>
                        <wps:spPr bwMode="auto">
                          <a:xfrm>
                            <a:off x="4224" y="4"/>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540" name="Line 3281"/>
                        <wps:cNvCnPr>
                          <a:cxnSpLocks noChangeShapeType="1"/>
                        </wps:cNvCnPr>
                        <wps:spPr bwMode="auto">
                          <a:xfrm>
                            <a:off x="4224" y="6"/>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541" name="Line 3280"/>
                        <wps:cNvCnPr>
                          <a:cxnSpLocks noChangeShapeType="1"/>
                        </wps:cNvCnPr>
                        <wps:spPr bwMode="auto">
                          <a:xfrm>
                            <a:off x="4224" y="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542" name="Line 3279"/>
                        <wps:cNvCnPr>
                          <a:cxnSpLocks noChangeShapeType="1"/>
                        </wps:cNvCnPr>
                        <wps:spPr bwMode="auto">
                          <a:xfrm>
                            <a:off x="4224" y="1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543" name="Line 3278"/>
                        <wps:cNvCnPr>
                          <a:cxnSpLocks noChangeShapeType="1"/>
                        </wps:cNvCnPr>
                        <wps:spPr bwMode="auto">
                          <a:xfrm>
                            <a:off x="4224" y="1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9E37726" id="Group 3277" o:spid="_x0000_s1026" style="width:276pt;height:.75pt;mso-position-horizontal-relative:char;mso-position-vertical-relative:line" coordsize="552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">
                <v:line id="Line 3309" o:spid="_x0000_s1027" style="position:absolute;visibility:visible;mso-wrap-style:square" from="0,11" to="16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" strokeweight=".12pt"/>
                <v:line id="Line 3308" o:spid="_x0000_s1028" style="position:absolute;visibility:visible;mso-wrap-style:square" from="0,13" to="1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" strokeweight=".12pt"/>
                <v:line id="Line 3307" o:spid="_x0000_s1029" style="position:absolute;visibility:visible;mso-wrap-style:square" from="168,1" to="1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" strokeweight=".12pt"/>
                <v:line id="Line 3306" o:spid="_x0000_s1030" style="position:absolute;visibility:visible;mso-wrap-style:square" from="168,4" to="14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" strokeweight=".12pt"/>
                <v:line id="Line 3305" o:spid="_x0000_s1031" style="position:absolute;visibility:visible;mso-wrap-style:square" from="168,6" to="14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" strokeweight=".12pt"/>
                <v:line id="Line 3304" o:spid="_x0000_s1032" style="position:absolute;visibility:visible;mso-wrap-style:square" from="168,8" to="14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" strokeweight=".12pt"/>
                <v:line id="Line 3303" o:spid="_x0000_s1033" style="position:absolute;visibility:visible;mso-wrap-style:square" from="168,11" to="146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" strokeweight=".12pt"/>
                <v:line id="Line 3302" o:spid="_x0000_s1034" style="position:absolute;visibility:visible;mso-wrap-style:square" from="168,13" to="146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" strokeweight=".12pt"/>
                <v:line id="Line 3301" o:spid="_x0000_s1035" style="position:absolute;visibility:visible;mso-wrap-style:square" from="1464,1" to="27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" strokeweight=".12pt"/>
                <v:line id="Line 3300" o:spid="_x0000_s1036" style="position:absolute;visibility:visible;mso-wrap-style:square" from="1464,4" to="27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" strokeweight=".12pt"/>
                <v:line id="Line 3299" o:spid="_x0000_s1037" style="position:absolute;visibility:visible;mso-wrap-style:square" from="1464,6" to="27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" strokeweight=".12pt"/>
                <v:line id="Line 3298" o:spid="_x0000_s1038" style="position:absolute;visibility:visible;mso-wrap-style:square" from="1464,8" to="27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" strokeweight=".12pt"/>
                <v:line id="Line 3297" o:spid="_x0000_s1039" style="position:absolute;visibility:visible;mso-wrap-style:square" from="1464,11" to="276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" strokeweight=".12pt"/>
                <v:line id="Line 3296" o:spid="_x0000_s1040" style="position:absolute;visibility:visible;mso-wrap-style:square" from="1464,13" to="276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" strokeweight=".12pt"/>
                <v:line id="Line 3295" o:spid="_x0000_s1041" style="position:absolute;visibility:visible;mso-wrap-style:square" from="2760,1" to="29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" strokeweight=".12pt"/>
                <v:line id="Line 3294" o:spid="_x0000_s1042" style="position:absolute;visibility:visible;mso-wrap-style:square" from="2760,4" to="29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" strokeweight=".12pt"/>
                <v:line id="Line 3293" o:spid="_x0000_s1043" style="position:absolute;visibility:visible;mso-wrap-style:square" from="2760,6" to="29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" strokeweight=".12pt"/>
                <v:line id="Line 3292" o:spid="_x0000_s1044" style="position:absolute;visibility:visible;mso-wrap-style:square" from="2760,8" to="29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" strokeweight=".12pt"/>
                <v:line id="Line 3291" o:spid="_x0000_s1045" style="position:absolute;visibility:visible;mso-wrap-style:square" from="2760,11" to="292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" strokeweight=".12pt"/>
                <v:line id="Line 3290" o:spid="_x0000_s1046" style="position:absolute;visibility:visible;mso-wrap-style:square" from="2760,13" to="292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" strokeweight=".12pt"/>
                <v:line id="Line 3289" o:spid="_x0000_s1047" style="position:absolute;visibility:visible;mso-wrap-style:square" from="2928,1" to="42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" strokeweight=".12pt"/>
                <v:line id="Line 3288" o:spid="_x0000_s1048" style="position:absolute;visibility:visible;mso-wrap-style:square" from="2928,4" to="42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" strokeweight=".12pt"/>
                <v:line id="Line 3287" o:spid="_x0000_s1049" style="position:absolute;visibility:visible;mso-wrap-style:square" from="2928,6" to="42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" strokeweight=".12pt"/>
                <v:line id="Line 3286" o:spid="_x0000_s1050" style="position:absolute;visibility:visible;mso-wrap-style:square" from="2928,8" to="4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" strokeweight=".12pt"/>
                <v:line id="Line 3285" o:spid="_x0000_s1051" style="position:absolute;visibility:visible;mso-wrap-style:square" from="2928,11" to="422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" strokeweight=".12pt"/>
                <v:line id="Line 3284" o:spid="_x0000_s1052" style="position:absolute;visibility:visible;mso-wrap-style:square" from="2928,13" to="422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" strokeweight=".12pt"/>
                <v:line id="Line 3283" o:spid="_x0000_s1053" style="position:absolute;visibility:visible;mso-wrap-style:square" from="4224,1" to="55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" strokeweight=".12pt"/>
                <v:line id="Line 3282" o:spid="_x0000_s1054" style="position:absolute;visibility:visible;mso-wrap-style:square" from="4224,4" to="55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" strokeweight=".12pt"/>
                <v:line id="Line 3281" o:spid="_x0000_s1055" style="position:absolute;visibility:visible;mso-wrap-style:square" from="4224,6" to="55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" strokeweight=".12pt"/>
                <v:line id="Line 3280" o:spid="_x0000_s1056" style="position:absolute;visibility:visible;mso-wrap-style:square" from="4224,8" to="5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" strokeweight=".12pt"/>
                <v:line id="Line 3279" o:spid="_x0000_s1057" style="position:absolute;visibility:visible;mso-wrap-style:square" from="4224,11" to="552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" strokeweight=".12pt"/>
                <v:line id="Line 3278" o:spid="_x0000_s1058" style="position:absolute;visibility:visible;mso-wrap-style:square" from="4224,13" to="552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" strokeweight=".12pt"/>
                <w10:anchorlock/>
              </v:group>
            </w:pict>
          </mc:Fallback>
        </mc:AlternateContent>
      </w:r>
    </w:p>
    <w:p w14:paraId="7698530A" w14:textId="77777777" w:rsidR="00FA4AA8" w:rsidRDefault="00FA4AA8">
      <w:pPr>
        <w:pStyle w:val="BodyText"/>
        <w:rPr>
          <w:b/>
          <w:sz w:val="20"/>
        </w:rPr>
      </w:pPr>
    </w:p>
    <w:p w14:paraId="4CB6A590" w14:textId="77777777" w:rsidR="00FA4AA8" w:rsidRDefault="00FA4AA8">
      <w:pPr>
        <w:pStyle w:val="BodyText"/>
        <w:rPr>
          <w:b/>
          <w:sz w:val="20"/>
        </w:rPr>
      </w:pPr>
    </w:p>
    <w:p w14:paraId="15FA53C4" w14:textId="77777777" w:rsidR="00FA4AA8" w:rsidRDefault="00FA4AA8">
      <w:pPr>
        <w:pStyle w:val="BodyText"/>
        <w:spacing w:before="6"/>
        <w:rPr>
          <w:b/>
          <w:sz w:val="22"/>
        </w:rPr>
      </w:pPr>
    </w:p>
    <w:p w14:paraId="3F6C407F" w14:textId="77777777" w:rsidR="00FA4AA8" w:rsidRDefault="0015611F">
      <w:pPr>
        <w:spacing w:before="95"/>
        <w:ind w:left="564"/>
        <w:rPr>
          <w:b/>
          <w:sz w:val="18"/>
        </w:rPr>
      </w:pPr>
      <w:r>
        <w:rPr>
          <w:b/>
          <w:sz w:val="18"/>
        </w:rPr>
        <w:t>Australian Government Grants received - cash basis</w:t>
      </w:r>
    </w:p>
    <w:p w14:paraId="36F32E1D" w14:textId="77777777" w:rsidR="00FA4AA8" w:rsidRDefault="0015611F">
      <w:pPr>
        <w:tabs>
          <w:tab w:val="left" w:pos="8423"/>
        </w:tabs>
        <w:spacing w:before="37"/>
        <w:ind w:left="5373"/>
        <w:rPr>
          <w:b/>
          <w:sz w:val="18"/>
        </w:rPr>
      </w:pPr>
      <w:r>
        <w:rPr>
          <w:b/>
          <w:sz w:val="18"/>
        </w:rPr>
        <w:t>Consolidated</w:t>
      </w:r>
      <w:r>
        <w:rPr>
          <w:b/>
          <w:sz w:val="18"/>
        </w:rPr>
        <w:tab/>
        <w:t>Parent</w:t>
      </w:r>
    </w:p>
    <w:p w14:paraId="2A3CF08B" w14:textId="77777777" w:rsidR="00FA4AA8" w:rsidRDefault="00FA4AA8">
      <w:pPr>
        <w:pStyle w:val="BodyText"/>
        <w:spacing w:before="4"/>
        <w:rPr>
          <w:b/>
          <w:sz w:val="6"/>
        </w:rPr>
      </w:pPr>
    </w:p>
    <w:tbl>
      <w:tblPr>
        <w:tblW w:w="0" w:type="auto"/>
        <w:tblInd w:w="547" w:type="dxa"/>
        <w:tblLayout w:type="fixed"/>
        <w:tblCellMar>
          <w:left w:w="0" w:type="dxa"/>
          <w:right w:w="0" w:type="dxa"/>
        </w:tblCellMar>
        <w:tblLook w:val="01E0" w:firstRow="1" w:lastRow="1" w:firstColumn="1" w:lastColumn="1" w:noHBand="0" w:noVBand="0"/>
      </w:tblPr>
      <w:tblGrid>
        <w:gridCol w:w="3126"/>
        <w:gridCol w:w="883"/>
        <w:gridCol w:w="1620"/>
        <w:gridCol w:w="1379"/>
        <w:gridCol w:w="1379"/>
        <w:gridCol w:w="1138"/>
      </w:tblGrid>
      <w:tr w:rsidR="00FA4AA8" w14:paraId="2F932CA3" w14:textId="77777777">
        <w:trPr>
          <w:trHeight w:val="237"/>
        </w:trPr>
        <w:tc>
          <w:tcPr>
            <w:tcW w:w="3126" w:type="dxa"/>
            <w:vMerge w:val="restart"/>
          </w:tcPr>
          <w:p w14:paraId="7EE4CE72" w14:textId="77777777" w:rsidR="00FA4AA8" w:rsidRDefault="00FA4AA8">
            <w:pPr>
              <w:pStyle w:val="TableParagraph"/>
              <w:rPr>
                <w:rFonts w:ascii="Times New Roman"/>
                <w:sz w:val="18"/>
              </w:rPr>
            </w:pPr>
          </w:p>
        </w:tc>
        <w:tc>
          <w:tcPr>
            <w:tcW w:w="883" w:type="dxa"/>
          </w:tcPr>
          <w:p w14:paraId="2AD0F655" w14:textId="77777777" w:rsidR="00FA4AA8" w:rsidRDefault="00FA4AA8">
            <w:pPr>
              <w:pStyle w:val="TableParagraph"/>
              <w:rPr>
                <w:rFonts w:ascii="Times New Roman"/>
                <w:sz w:val="16"/>
              </w:rPr>
            </w:pPr>
          </w:p>
        </w:tc>
        <w:tc>
          <w:tcPr>
            <w:tcW w:w="1620" w:type="dxa"/>
          </w:tcPr>
          <w:p w14:paraId="2D86EBBA" w14:textId="77777777" w:rsidR="00FA4AA8" w:rsidRDefault="0015611F">
            <w:pPr>
              <w:pStyle w:val="TableParagraph"/>
              <w:spacing w:line="201" w:lineRule="exact"/>
              <w:ind w:left="598"/>
              <w:rPr>
                <w:b/>
                <w:sz w:val="18"/>
              </w:rPr>
            </w:pPr>
            <w:r>
              <w:rPr>
                <w:b/>
                <w:sz w:val="18"/>
              </w:rPr>
              <w:t>2018</w:t>
            </w:r>
          </w:p>
        </w:tc>
        <w:tc>
          <w:tcPr>
            <w:tcW w:w="1379" w:type="dxa"/>
          </w:tcPr>
          <w:p w14:paraId="2C0E1809" w14:textId="77777777" w:rsidR="00FA4AA8" w:rsidRDefault="0015611F">
            <w:pPr>
              <w:pStyle w:val="TableParagraph"/>
              <w:spacing w:line="201" w:lineRule="exact"/>
              <w:ind w:left="274"/>
              <w:rPr>
                <w:b/>
                <w:sz w:val="18"/>
              </w:rPr>
            </w:pPr>
            <w:r>
              <w:rPr>
                <w:b/>
                <w:sz w:val="18"/>
              </w:rPr>
              <w:t>2017</w:t>
            </w:r>
          </w:p>
        </w:tc>
        <w:tc>
          <w:tcPr>
            <w:tcW w:w="1379" w:type="dxa"/>
          </w:tcPr>
          <w:p w14:paraId="33BCE677" w14:textId="77777777" w:rsidR="00FA4AA8" w:rsidRDefault="0015611F">
            <w:pPr>
              <w:pStyle w:val="TableParagraph"/>
              <w:spacing w:line="201" w:lineRule="exact"/>
              <w:ind w:left="359"/>
              <w:rPr>
                <w:b/>
                <w:sz w:val="18"/>
              </w:rPr>
            </w:pPr>
            <w:r>
              <w:rPr>
                <w:b/>
                <w:sz w:val="18"/>
              </w:rPr>
              <w:t>2018</w:t>
            </w:r>
          </w:p>
        </w:tc>
        <w:tc>
          <w:tcPr>
            <w:tcW w:w="1138" w:type="dxa"/>
          </w:tcPr>
          <w:p w14:paraId="70E22ADC" w14:textId="77777777" w:rsidR="00FA4AA8" w:rsidRDefault="0015611F">
            <w:pPr>
              <w:pStyle w:val="TableParagraph"/>
              <w:spacing w:line="201" w:lineRule="exact"/>
              <w:ind w:left="276"/>
              <w:rPr>
                <w:b/>
                <w:sz w:val="18"/>
              </w:rPr>
            </w:pPr>
            <w:r>
              <w:rPr>
                <w:b/>
                <w:sz w:val="18"/>
              </w:rPr>
              <w:t>2017</w:t>
            </w:r>
          </w:p>
        </w:tc>
      </w:tr>
      <w:tr w:rsidR="00FA4AA8" w14:paraId="1402FC08" w14:textId="77777777">
        <w:trPr>
          <w:trHeight w:val="284"/>
        </w:trPr>
        <w:tc>
          <w:tcPr>
            <w:tcW w:w="3126" w:type="dxa"/>
            <w:vMerge/>
            <w:tcBorders>
              <w:top w:val="nil"/>
            </w:tcBorders>
          </w:tcPr>
          <w:p w14:paraId="3C2446A7" w14:textId="77777777" w:rsidR="00FA4AA8" w:rsidRDefault="00FA4AA8">
            <w:pPr>
              <w:rPr>
                <w:sz w:val="2"/>
                <w:szCs w:val="2"/>
              </w:rPr>
            </w:pPr>
          </w:p>
        </w:tc>
        <w:tc>
          <w:tcPr>
            <w:tcW w:w="883" w:type="dxa"/>
          </w:tcPr>
          <w:p w14:paraId="56B73B8D" w14:textId="77777777" w:rsidR="00FA4AA8" w:rsidRDefault="0015611F">
            <w:pPr>
              <w:pStyle w:val="TableParagraph"/>
              <w:spacing w:before="30"/>
              <w:ind w:right="84"/>
              <w:jc w:val="right"/>
              <w:rPr>
                <w:b/>
                <w:sz w:val="18"/>
              </w:rPr>
            </w:pPr>
            <w:r>
              <w:rPr>
                <w:b/>
                <w:sz w:val="18"/>
              </w:rPr>
              <w:t>Note</w:t>
            </w:r>
          </w:p>
        </w:tc>
        <w:tc>
          <w:tcPr>
            <w:tcW w:w="1620" w:type="dxa"/>
          </w:tcPr>
          <w:p w14:paraId="4E74639E" w14:textId="77777777" w:rsidR="00FA4AA8" w:rsidRDefault="0015611F">
            <w:pPr>
              <w:pStyle w:val="TableParagraph"/>
              <w:spacing w:before="30"/>
              <w:ind w:left="577"/>
              <w:rPr>
                <w:b/>
                <w:sz w:val="18"/>
              </w:rPr>
            </w:pPr>
            <w:r>
              <w:rPr>
                <w:b/>
                <w:sz w:val="18"/>
              </w:rPr>
              <w:t>$'000</w:t>
            </w:r>
          </w:p>
        </w:tc>
        <w:tc>
          <w:tcPr>
            <w:tcW w:w="1379" w:type="dxa"/>
          </w:tcPr>
          <w:p w14:paraId="621E849B" w14:textId="77777777" w:rsidR="00FA4AA8" w:rsidRDefault="0015611F">
            <w:pPr>
              <w:pStyle w:val="TableParagraph"/>
              <w:spacing w:before="30"/>
              <w:ind w:left="253"/>
              <w:rPr>
                <w:b/>
                <w:sz w:val="18"/>
              </w:rPr>
            </w:pPr>
            <w:r>
              <w:rPr>
                <w:b/>
                <w:sz w:val="18"/>
              </w:rPr>
              <w:t>$'000</w:t>
            </w:r>
          </w:p>
        </w:tc>
        <w:tc>
          <w:tcPr>
            <w:tcW w:w="1379" w:type="dxa"/>
          </w:tcPr>
          <w:p w14:paraId="47D210D7" w14:textId="77777777" w:rsidR="00FA4AA8" w:rsidRDefault="0015611F">
            <w:pPr>
              <w:pStyle w:val="TableParagraph"/>
              <w:spacing w:before="30"/>
              <w:ind w:left="338"/>
              <w:rPr>
                <w:b/>
                <w:sz w:val="18"/>
              </w:rPr>
            </w:pPr>
            <w:r>
              <w:rPr>
                <w:b/>
                <w:sz w:val="18"/>
              </w:rPr>
              <w:t>$'000</w:t>
            </w:r>
          </w:p>
        </w:tc>
        <w:tc>
          <w:tcPr>
            <w:tcW w:w="1138" w:type="dxa"/>
          </w:tcPr>
          <w:p w14:paraId="60DCDC79" w14:textId="77777777" w:rsidR="00FA4AA8" w:rsidRDefault="0015611F">
            <w:pPr>
              <w:pStyle w:val="TableParagraph"/>
              <w:spacing w:before="30"/>
              <w:ind w:left="255"/>
              <w:rPr>
                <w:b/>
                <w:sz w:val="18"/>
              </w:rPr>
            </w:pPr>
            <w:r>
              <w:rPr>
                <w:b/>
                <w:sz w:val="18"/>
              </w:rPr>
              <w:t>$'000</w:t>
            </w:r>
          </w:p>
        </w:tc>
      </w:tr>
      <w:tr w:rsidR="00FA4AA8" w14:paraId="26D626C9" w14:textId="77777777">
        <w:trPr>
          <w:trHeight w:val="283"/>
        </w:trPr>
        <w:tc>
          <w:tcPr>
            <w:tcW w:w="3126" w:type="dxa"/>
          </w:tcPr>
          <w:p w14:paraId="518B6BDD" w14:textId="77777777" w:rsidR="00FA4AA8" w:rsidRDefault="0015611F">
            <w:pPr>
              <w:pStyle w:val="TableParagraph"/>
              <w:spacing w:before="46"/>
              <w:ind w:left="50"/>
              <w:rPr>
                <w:sz w:val="18"/>
              </w:rPr>
            </w:pPr>
            <w:r>
              <w:rPr>
                <w:sz w:val="18"/>
              </w:rPr>
              <w:t>CGS and Other Education Grants</w:t>
            </w:r>
          </w:p>
        </w:tc>
        <w:tc>
          <w:tcPr>
            <w:tcW w:w="883" w:type="dxa"/>
          </w:tcPr>
          <w:p w14:paraId="6CB5D686" w14:textId="77777777" w:rsidR="00FA4AA8" w:rsidRDefault="0015611F">
            <w:pPr>
              <w:pStyle w:val="TableParagraph"/>
              <w:spacing w:before="41"/>
              <w:ind w:right="73"/>
              <w:jc w:val="right"/>
              <w:rPr>
                <w:sz w:val="18"/>
              </w:rPr>
            </w:pPr>
            <w:r>
              <w:rPr>
                <w:sz w:val="18"/>
              </w:rPr>
              <w:t>37(a)</w:t>
            </w:r>
          </w:p>
        </w:tc>
        <w:tc>
          <w:tcPr>
            <w:tcW w:w="1620" w:type="dxa"/>
          </w:tcPr>
          <w:p w14:paraId="16F3B956" w14:textId="77777777" w:rsidR="00FA4AA8" w:rsidRDefault="0015611F">
            <w:pPr>
              <w:pStyle w:val="TableParagraph"/>
              <w:spacing w:before="43"/>
              <w:ind w:right="246"/>
              <w:jc w:val="right"/>
              <w:rPr>
                <w:b/>
                <w:sz w:val="18"/>
              </w:rPr>
            </w:pPr>
            <w:r>
              <w:rPr>
                <w:b/>
                <w:sz w:val="18"/>
              </w:rPr>
              <w:t>300,755</w:t>
            </w:r>
          </w:p>
        </w:tc>
        <w:tc>
          <w:tcPr>
            <w:tcW w:w="1379" w:type="dxa"/>
          </w:tcPr>
          <w:p w14:paraId="1F19C607" w14:textId="77777777" w:rsidR="00FA4AA8" w:rsidRDefault="0015611F">
            <w:pPr>
              <w:pStyle w:val="TableParagraph"/>
              <w:spacing w:before="43"/>
              <w:ind w:right="329"/>
              <w:jc w:val="right"/>
              <w:rPr>
                <w:sz w:val="18"/>
              </w:rPr>
            </w:pPr>
            <w:r>
              <w:rPr>
                <w:sz w:val="18"/>
              </w:rPr>
              <w:t>301,161</w:t>
            </w:r>
          </w:p>
        </w:tc>
        <w:tc>
          <w:tcPr>
            <w:tcW w:w="1379" w:type="dxa"/>
          </w:tcPr>
          <w:p w14:paraId="3ACEAD58" w14:textId="77777777" w:rsidR="00FA4AA8" w:rsidRDefault="0015611F">
            <w:pPr>
              <w:pStyle w:val="TableParagraph"/>
              <w:spacing w:before="43"/>
              <w:ind w:right="244"/>
              <w:jc w:val="right"/>
              <w:rPr>
                <w:b/>
                <w:sz w:val="18"/>
              </w:rPr>
            </w:pPr>
            <w:r>
              <w:rPr>
                <w:b/>
                <w:sz w:val="18"/>
              </w:rPr>
              <w:t>300,755</w:t>
            </w:r>
          </w:p>
        </w:tc>
        <w:tc>
          <w:tcPr>
            <w:tcW w:w="1138" w:type="dxa"/>
          </w:tcPr>
          <w:p w14:paraId="25DCE8A7" w14:textId="77777777" w:rsidR="00FA4AA8" w:rsidRDefault="0015611F">
            <w:pPr>
              <w:pStyle w:val="TableParagraph"/>
              <w:spacing w:before="43"/>
              <w:ind w:right="86"/>
              <w:jc w:val="right"/>
              <w:rPr>
                <w:sz w:val="18"/>
              </w:rPr>
            </w:pPr>
            <w:r>
              <w:rPr>
                <w:sz w:val="18"/>
              </w:rPr>
              <w:t>301,161</w:t>
            </w:r>
          </w:p>
        </w:tc>
      </w:tr>
      <w:tr w:rsidR="00FA4AA8" w14:paraId="6D3503DC" w14:textId="77777777">
        <w:trPr>
          <w:trHeight w:val="262"/>
        </w:trPr>
        <w:tc>
          <w:tcPr>
            <w:tcW w:w="3126" w:type="dxa"/>
          </w:tcPr>
          <w:p w14:paraId="009AB7E1" w14:textId="77777777" w:rsidR="00FA4AA8" w:rsidRDefault="0015611F">
            <w:pPr>
              <w:pStyle w:val="TableParagraph"/>
              <w:spacing w:before="26"/>
              <w:ind w:left="50"/>
              <w:rPr>
                <w:sz w:val="18"/>
              </w:rPr>
            </w:pPr>
            <w:r>
              <w:rPr>
                <w:sz w:val="18"/>
              </w:rPr>
              <w:t>Higher Education Loan Programs</w:t>
            </w:r>
          </w:p>
        </w:tc>
        <w:tc>
          <w:tcPr>
            <w:tcW w:w="883" w:type="dxa"/>
          </w:tcPr>
          <w:p w14:paraId="4A8CD175" w14:textId="77777777" w:rsidR="00FA4AA8" w:rsidRDefault="0015611F">
            <w:pPr>
              <w:pStyle w:val="TableParagraph"/>
              <w:spacing w:before="26"/>
              <w:ind w:right="73"/>
              <w:jc w:val="right"/>
              <w:rPr>
                <w:sz w:val="18"/>
              </w:rPr>
            </w:pPr>
            <w:r>
              <w:rPr>
                <w:sz w:val="18"/>
              </w:rPr>
              <w:t>37(b)</w:t>
            </w:r>
          </w:p>
        </w:tc>
        <w:tc>
          <w:tcPr>
            <w:tcW w:w="1620" w:type="dxa"/>
          </w:tcPr>
          <w:p w14:paraId="174C617B" w14:textId="77777777" w:rsidR="00FA4AA8" w:rsidRDefault="0015611F">
            <w:pPr>
              <w:pStyle w:val="TableParagraph"/>
              <w:spacing w:before="24"/>
              <w:ind w:right="246"/>
              <w:jc w:val="right"/>
              <w:rPr>
                <w:b/>
                <w:sz w:val="18"/>
              </w:rPr>
            </w:pPr>
            <w:r>
              <w:rPr>
                <w:b/>
                <w:sz w:val="18"/>
              </w:rPr>
              <w:t>236,524</w:t>
            </w:r>
          </w:p>
        </w:tc>
        <w:tc>
          <w:tcPr>
            <w:tcW w:w="1379" w:type="dxa"/>
          </w:tcPr>
          <w:p w14:paraId="684460CE" w14:textId="77777777" w:rsidR="00FA4AA8" w:rsidRDefault="0015611F">
            <w:pPr>
              <w:pStyle w:val="TableParagraph"/>
              <w:spacing w:before="24"/>
              <w:ind w:right="329"/>
              <w:jc w:val="right"/>
              <w:rPr>
                <w:sz w:val="18"/>
              </w:rPr>
            </w:pPr>
            <w:r>
              <w:rPr>
                <w:sz w:val="18"/>
              </w:rPr>
              <w:t>215,418</w:t>
            </w:r>
          </w:p>
        </w:tc>
        <w:tc>
          <w:tcPr>
            <w:tcW w:w="1379" w:type="dxa"/>
          </w:tcPr>
          <w:p w14:paraId="2242B6B9" w14:textId="77777777" w:rsidR="00FA4AA8" w:rsidRDefault="0015611F">
            <w:pPr>
              <w:pStyle w:val="TableParagraph"/>
              <w:spacing w:before="24"/>
              <w:ind w:right="244"/>
              <w:jc w:val="right"/>
              <w:rPr>
                <w:b/>
                <w:sz w:val="18"/>
              </w:rPr>
            </w:pPr>
            <w:r>
              <w:rPr>
                <w:b/>
                <w:sz w:val="18"/>
              </w:rPr>
              <w:t>236,524</w:t>
            </w:r>
          </w:p>
        </w:tc>
        <w:tc>
          <w:tcPr>
            <w:tcW w:w="1138" w:type="dxa"/>
          </w:tcPr>
          <w:p w14:paraId="7468A2A8" w14:textId="77777777" w:rsidR="00FA4AA8" w:rsidRDefault="0015611F">
            <w:pPr>
              <w:pStyle w:val="TableParagraph"/>
              <w:spacing w:before="24"/>
              <w:ind w:right="86"/>
              <w:jc w:val="right"/>
              <w:rPr>
                <w:sz w:val="18"/>
              </w:rPr>
            </w:pPr>
            <w:r>
              <w:rPr>
                <w:sz w:val="18"/>
              </w:rPr>
              <w:t>215,418</w:t>
            </w:r>
          </w:p>
        </w:tc>
      </w:tr>
      <w:tr w:rsidR="00FA4AA8" w14:paraId="619A10E4" w14:textId="77777777">
        <w:trPr>
          <w:trHeight w:val="264"/>
        </w:trPr>
        <w:tc>
          <w:tcPr>
            <w:tcW w:w="3126" w:type="dxa"/>
          </w:tcPr>
          <w:p w14:paraId="25E20071" w14:textId="77777777" w:rsidR="00FA4AA8" w:rsidRDefault="0015611F">
            <w:pPr>
              <w:pStyle w:val="TableParagraph"/>
              <w:spacing w:before="28"/>
              <w:ind w:left="50"/>
              <w:rPr>
                <w:sz w:val="18"/>
              </w:rPr>
            </w:pPr>
            <w:r>
              <w:rPr>
                <w:sz w:val="18"/>
              </w:rPr>
              <w:t>Education Research</w:t>
            </w:r>
          </w:p>
        </w:tc>
        <w:tc>
          <w:tcPr>
            <w:tcW w:w="883" w:type="dxa"/>
          </w:tcPr>
          <w:p w14:paraId="6A37A9B8" w14:textId="77777777" w:rsidR="00FA4AA8" w:rsidRDefault="0015611F">
            <w:pPr>
              <w:pStyle w:val="TableParagraph"/>
              <w:spacing w:before="23"/>
              <w:ind w:right="78"/>
              <w:jc w:val="right"/>
              <w:rPr>
                <w:sz w:val="18"/>
              </w:rPr>
            </w:pPr>
            <w:r>
              <w:rPr>
                <w:sz w:val="18"/>
              </w:rPr>
              <w:t>37(c)</w:t>
            </w:r>
          </w:p>
        </w:tc>
        <w:tc>
          <w:tcPr>
            <w:tcW w:w="1620" w:type="dxa"/>
          </w:tcPr>
          <w:p w14:paraId="7476DA4C" w14:textId="77777777" w:rsidR="00FA4AA8" w:rsidRDefault="0015611F">
            <w:pPr>
              <w:pStyle w:val="TableParagraph"/>
              <w:spacing w:before="25"/>
              <w:ind w:right="246"/>
              <w:jc w:val="right"/>
              <w:rPr>
                <w:b/>
                <w:sz w:val="18"/>
              </w:rPr>
            </w:pPr>
            <w:r>
              <w:rPr>
                <w:b/>
                <w:sz w:val="18"/>
              </w:rPr>
              <w:t>18,362</w:t>
            </w:r>
          </w:p>
        </w:tc>
        <w:tc>
          <w:tcPr>
            <w:tcW w:w="1379" w:type="dxa"/>
          </w:tcPr>
          <w:p w14:paraId="0EA18960" w14:textId="77777777" w:rsidR="00FA4AA8" w:rsidRDefault="0015611F">
            <w:pPr>
              <w:pStyle w:val="TableParagraph"/>
              <w:spacing w:before="25"/>
              <w:ind w:right="329"/>
              <w:jc w:val="right"/>
              <w:rPr>
                <w:sz w:val="18"/>
              </w:rPr>
            </w:pPr>
            <w:r>
              <w:rPr>
                <w:sz w:val="18"/>
              </w:rPr>
              <w:t>18,255</w:t>
            </w:r>
          </w:p>
        </w:tc>
        <w:tc>
          <w:tcPr>
            <w:tcW w:w="1379" w:type="dxa"/>
          </w:tcPr>
          <w:p w14:paraId="661FF3C6" w14:textId="77777777" w:rsidR="00FA4AA8" w:rsidRDefault="0015611F">
            <w:pPr>
              <w:pStyle w:val="TableParagraph"/>
              <w:spacing w:before="25"/>
              <w:ind w:right="244"/>
              <w:jc w:val="right"/>
              <w:rPr>
                <w:b/>
                <w:sz w:val="18"/>
              </w:rPr>
            </w:pPr>
            <w:r>
              <w:rPr>
                <w:b/>
                <w:sz w:val="18"/>
              </w:rPr>
              <w:t>18,362</w:t>
            </w:r>
          </w:p>
        </w:tc>
        <w:tc>
          <w:tcPr>
            <w:tcW w:w="1138" w:type="dxa"/>
          </w:tcPr>
          <w:p w14:paraId="72D7F334" w14:textId="77777777" w:rsidR="00FA4AA8" w:rsidRDefault="0015611F">
            <w:pPr>
              <w:pStyle w:val="TableParagraph"/>
              <w:spacing w:before="25"/>
              <w:ind w:right="86"/>
              <w:jc w:val="right"/>
              <w:rPr>
                <w:sz w:val="18"/>
              </w:rPr>
            </w:pPr>
            <w:r>
              <w:rPr>
                <w:sz w:val="18"/>
              </w:rPr>
              <w:t>18,255</w:t>
            </w:r>
          </w:p>
        </w:tc>
      </w:tr>
      <w:tr w:rsidR="00FA4AA8" w14:paraId="2287915F" w14:textId="77777777">
        <w:trPr>
          <w:trHeight w:val="263"/>
        </w:trPr>
        <w:tc>
          <w:tcPr>
            <w:tcW w:w="3126" w:type="dxa"/>
          </w:tcPr>
          <w:p w14:paraId="6E86F688" w14:textId="77777777" w:rsidR="00FA4AA8" w:rsidRDefault="0015611F">
            <w:pPr>
              <w:pStyle w:val="TableParagraph"/>
              <w:spacing w:before="28"/>
              <w:ind w:left="50"/>
              <w:rPr>
                <w:sz w:val="18"/>
              </w:rPr>
            </w:pPr>
            <w:r>
              <w:rPr>
                <w:sz w:val="18"/>
              </w:rPr>
              <w:t>ARC Grants - Discovery</w:t>
            </w:r>
          </w:p>
        </w:tc>
        <w:tc>
          <w:tcPr>
            <w:tcW w:w="883" w:type="dxa"/>
          </w:tcPr>
          <w:p w14:paraId="4AACBB56" w14:textId="77777777" w:rsidR="00FA4AA8" w:rsidRDefault="0015611F">
            <w:pPr>
              <w:pStyle w:val="TableParagraph"/>
              <w:spacing w:before="23"/>
              <w:ind w:right="73"/>
              <w:jc w:val="right"/>
              <w:rPr>
                <w:sz w:val="18"/>
              </w:rPr>
            </w:pPr>
            <w:r>
              <w:rPr>
                <w:sz w:val="18"/>
              </w:rPr>
              <w:t>37(e)</w:t>
            </w:r>
          </w:p>
        </w:tc>
        <w:tc>
          <w:tcPr>
            <w:tcW w:w="1620" w:type="dxa"/>
          </w:tcPr>
          <w:p w14:paraId="5F9BBCDD" w14:textId="77777777" w:rsidR="00FA4AA8" w:rsidRDefault="0015611F">
            <w:pPr>
              <w:pStyle w:val="TableParagraph"/>
              <w:spacing w:before="25"/>
              <w:ind w:right="246"/>
              <w:jc w:val="right"/>
              <w:rPr>
                <w:b/>
                <w:sz w:val="18"/>
              </w:rPr>
            </w:pPr>
            <w:r>
              <w:rPr>
                <w:b/>
                <w:sz w:val="18"/>
              </w:rPr>
              <w:t>4,711</w:t>
            </w:r>
          </w:p>
        </w:tc>
        <w:tc>
          <w:tcPr>
            <w:tcW w:w="1379" w:type="dxa"/>
          </w:tcPr>
          <w:p w14:paraId="74A95654" w14:textId="77777777" w:rsidR="00FA4AA8" w:rsidRDefault="0015611F">
            <w:pPr>
              <w:pStyle w:val="TableParagraph"/>
              <w:spacing w:before="25"/>
              <w:ind w:right="329"/>
              <w:jc w:val="right"/>
              <w:rPr>
                <w:sz w:val="18"/>
              </w:rPr>
            </w:pPr>
            <w:r>
              <w:rPr>
                <w:sz w:val="18"/>
              </w:rPr>
              <w:t>5,484</w:t>
            </w:r>
          </w:p>
        </w:tc>
        <w:tc>
          <w:tcPr>
            <w:tcW w:w="1379" w:type="dxa"/>
          </w:tcPr>
          <w:p w14:paraId="1F61D1DF" w14:textId="77777777" w:rsidR="00FA4AA8" w:rsidRDefault="0015611F">
            <w:pPr>
              <w:pStyle w:val="TableParagraph"/>
              <w:spacing w:before="25"/>
              <w:ind w:right="244"/>
              <w:jc w:val="right"/>
              <w:rPr>
                <w:b/>
                <w:sz w:val="18"/>
              </w:rPr>
            </w:pPr>
            <w:r>
              <w:rPr>
                <w:b/>
                <w:sz w:val="18"/>
              </w:rPr>
              <w:t>4,711</w:t>
            </w:r>
          </w:p>
        </w:tc>
        <w:tc>
          <w:tcPr>
            <w:tcW w:w="1138" w:type="dxa"/>
          </w:tcPr>
          <w:p w14:paraId="06BD2D82" w14:textId="77777777" w:rsidR="00FA4AA8" w:rsidRDefault="0015611F">
            <w:pPr>
              <w:pStyle w:val="TableParagraph"/>
              <w:spacing w:before="25"/>
              <w:ind w:right="86"/>
              <w:jc w:val="right"/>
              <w:rPr>
                <w:sz w:val="18"/>
              </w:rPr>
            </w:pPr>
            <w:r>
              <w:rPr>
                <w:sz w:val="18"/>
              </w:rPr>
              <w:t>5,484</w:t>
            </w:r>
          </w:p>
        </w:tc>
      </w:tr>
      <w:tr w:rsidR="00FA4AA8" w14:paraId="02D4FE41" w14:textId="77777777">
        <w:trPr>
          <w:trHeight w:val="264"/>
        </w:trPr>
        <w:tc>
          <w:tcPr>
            <w:tcW w:w="3126" w:type="dxa"/>
          </w:tcPr>
          <w:p w14:paraId="45E0A561" w14:textId="77777777" w:rsidR="00FA4AA8" w:rsidRDefault="0015611F">
            <w:pPr>
              <w:pStyle w:val="TableParagraph"/>
              <w:spacing w:before="28"/>
              <w:ind w:left="50"/>
              <w:rPr>
                <w:sz w:val="18"/>
              </w:rPr>
            </w:pPr>
            <w:r>
              <w:rPr>
                <w:sz w:val="18"/>
              </w:rPr>
              <w:t>ARC Grants - Linkages</w:t>
            </w:r>
          </w:p>
        </w:tc>
        <w:tc>
          <w:tcPr>
            <w:tcW w:w="883" w:type="dxa"/>
          </w:tcPr>
          <w:p w14:paraId="56355919" w14:textId="77777777" w:rsidR="00FA4AA8" w:rsidRDefault="0015611F">
            <w:pPr>
              <w:pStyle w:val="TableParagraph"/>
              <w:spacing w:before="23"/>
              <w:ind w:right="73"/>
              <w:jc w:val="right"/>
              <w:rPr>
                <w:sz w:val="18"/>
              </w:rPr>
            </w:pPr>
            <w:r>
              <w:rPr>
                <w:sz w:val="18"/>
              </w:rPr>
              <w:t>37(e)</w:t>
            </w:r>
          </w:p>
        </w:tc>
        <w:tc>
          <w:tcPr>
            <w:tcW w:w="1620" w:type="dxa"/>
          </w:tcPr>
          <w:p w14:paraId="57A7EC46" w14:textId="77777777" w:rsidR="00FA4AA8" w:rsidRDefault="0015611F">
            <w:pPr>
              <w:pStyle w:val="TableParagraph"/>
              <w:spacing w:before="25"/>
              <w:ind w:right="246"/>
              <w:jc w:val="right"/>
              <w:rPr>
                <w:b/>
                <w:sz w:val="18"/>
              </w:rPr>
            </w:pPr>
            <w:r>
              <w:rPr>
                <w:b/>
                <w:sz w:val="18"/>
              </w:rPr>
              <w:t>881</w:t>
            </w:r>
          </w:p>
        </w:tc>
        <w:tc>
          <w:tcPr>
            <w:tcW w:w="1379" w:type="dxa"/>
          </w:tcPr>
          <w:p w14:paraId="60200B40" w14:textId="77777777" w:rsidR="00FA4AA8" w:rsidRDefault="0015611F">
            <w:pPr>
              <w:pStyle w:val="TableParagraph"/>
              <w:spacing w:before="25"/>
              <w:ind w:right="329"/>
              <w:jc w:val="right"/>
              <w:rPr>
                <w:sz w:val="18"/>
              </w:rPr>
            </w:pPr>
            <w:r>
              <w:rPr>
                <w:sz w:val="18"/>
              </w:rPr>
              <w:t>583</w:t>
            </w:r>
          </w:p>
        </w:tc>
        <w:tc>
          <w:tcPr>
            <w:tcW w:w="1379" w:type="dxa"/>
          </w:tcPr>
          <w:p w14:paraId="485C7D93" w14:textId="77777777" w:rsidR="00FA4AA8" w:rsidRDefault="0015611F">
            <w:pPr>
              <w:pStyle w:val="TableParagraph"/>
              <w:spacing w:before="25"/>
              <w:ind w:right="244"/>
              <w:jc w:val="right"/>
              <w:rPr>
                <w:b/>
                <w:sz w:val="18"/>
              </w:rPr>
            </w:pPr>
            <w:r>
              <w:rPr>
                <w:b/>
                <w:sz w:val="18"/>
              </w:rPr>
              <w:t>881</w:t>
            </w:r>
          </w:p>
        </w:tc>
        <w:tc>
          <w:tcPr>
            <w:tcW w:w="1138" w:type="dxa"/>
          </w:tcPr>
          <w:p w14:paraId="1F4A5CC0" w14:textId="77777777" w:rsidR="00FA4AA8" w:rsidRDefault="0015611F">
            <w:pPr>
              <w:pStyle w:val="TableParagraph"/>
              <w:spacing w:before="25"/>
              <w:ind w:right="86"/>
              <w:jc w:val="right"/>
              <w:rPr>
                <w:sz w:val="18"/>
              </w:rPr>
            </w:pPr>
            <w:r>
              <w:rPr>
                <w:sz w:val="18"/>
              </w:rPr>
              <w:t>583</w:t>
            </w:r>
          </w:p>
        </w:tc>
      </w:tr>
      <w:tr w:rsidR="00FA4AA8" w14:paraId="0E25118B" w14:textId="77777777">
        <w:trPr>
          <w:trHeight w:val="459"/>
        </w:trPr>
        <w:tc>
          <w:tcPr>
            <w:tcW w:w="3126" w:type="dxa"/>
          </w:tcPr>
          <w:p w14:paraId="402AC88C" w14:textId="77777777" w:rsidR="00FA4AA8" w:rsidRDefault="0015611F">
            <w:pPr>
              <w:pStyle w:val="TableParagraph"/>
              <w:spacing w:before="23"/>
              <w:ind w:left="50" w:right="714"/>
              <w:rPr>
                <w:sz w:val="18"/>
              </w:rPr>
            </w:pPr>
            <w:r>
              <w:rPr>
                <w:sz w:val="18"/>
              </w:rPr>
              <w:t>Other Australian Government financial assistance</w:t>
            </w:r>
          </w:p>
        </w:tc>
        <w:tc>
          <w:tcPr>
            <w:tcW w:w="883" w:type="dxa"/>
          </w:tcPr>
          <w:p w14:paraId="445C80E6" w14:textId="77777777" w:rsidR="00FA4AA8" w:rsidRDefault="00FA4AA8">
            <w:pPr>
              <w:pStyle w:val="TableParagraph"/>
              <w:rPr>
                <w:rFonts w:ascii="Times New Roman"/>
                <w:sz w:val="18"/>
              </w:rPr>
            </w:pPr>
          </w:p>
        </w:tc>
        <w:tc>
          <w:tcPr>
            <w:tcW w:w="1620" w:type="dxa"/>
            <w:tcBorders>
              <w:bottom w:val="single" w:sz="8" w:space="0" w:color="000000"/>
            </w:tcBorders>
          </w:tcPr>
          <w:p w14:paraId="2BC9C076" w14:textId="77777777" w:rsidR="00FA4AA8" w:rsidRDefault="00FA4AA8">
            <w:pPr>
              <w:pStyle w:val="TableParagraph"/>
              <w:spacing w:before="8"/>
              <w:rPr>
                <w:b/>
                <w:sz w:val="19"/>
              </w:rPr>
            </w:pPr>
          </w:p>
          <w:p w14:paraId="75E93E97" w14:textId="77777777" w:rsidR="00FA4AA8" w:rsidRDefault="0015611F">
            <w:pPr>
              <w:pStyle w:val="TableParagraph"/>
              <w:ind w:right="246"/>
              <w:jc w:val="right"/>
              <w:rPr>
                <w:b/>
                <w:sz w:val="18"/>
              </w:rPr>
            </w:pPr>
            <w:r>
              <w:rPr>
                <w:b/>
                <w:sz w:val="18"/>
              </w:rPr>
              <w:t>6,988</w:t>
            </w:r>
          </w:p>
        </w:tc>
        <w:tc>
          <w:tcPr>
            <w:tcW w:w="1379" w:type="dxa"/>
            <w:tcBorders>
              <w:bottom w:val="single" w:sz="8" w:space="0" w:color="000000"/>
            </w:tcBorders>
          </w:tcPr>
          <w:p w14:paraId="10130AE3" w14:textId="77777777" w:rsidR="00FA4AA8" w:rsidRDefault="00FA4AA8">
            <w:pPr>
              <w:pStyle w:val="TableParagraph"/>
              <w:spacing w:before="8"/>
              <w:rPr>
                <w:b/>
                <w:sz w:val="19"/>
              </w:rPr>
            </w:pPr>
          </w:p>
          <w:p w14:paraId="45956CD3" w14:textId="77777777" w:rsidR="00FA4AA8" w:rsidRDefault="0015611F">
            <w:pPr>
              <w:pStyle w:val="TableParagraph"/>
              <w:ind w:right="329"/>
              <w:jc w:val="right"/>
              <w:rPr>
                <w:sz w:val="18"/>
              </w:rPr>
            </w:pPr>
            <w:r>
              <w:rPr>
                <w:sz w:val="18"/>
              </w:rPr>
              <w:t>6,893</w:t>
            </w:r>
          </w:p>
        </w:tc>
        <w:tc>
          <w:tcPr>
            <w:tcW w:w="1379" w:type="dxa"/>
            <w:tcBorders>
              <w:bottom w:val="single" w:sz="8" w:space="0" w:color="000000"/>
            </w:tcBorders>
          </w:tcPr>
          <w:p w14:paraId="107CA3A3" w14:textId="77777777" w:rsidR="00FA4AA8" w:rsidRDefault="00FA4AA8">
            <w:pPr>
              <w:pStyle w:val="TableParagraph"/>
              <w:spacing w:before="8"/>
              <w:rPr>
                <w:b/>
                <w:sz w:val="19"/>
              </w:rPr>
            </w:pPr>
          </w:p>
          <w:p w14:paraId="189E548C" w14:textId="77777777" w:rsidR="00FA4AA8" w:rsidRDefault="0015611F">
            <w:pPr>
              <w:pStyle w:val="TableParagraph"/>
              <w:ind w:right="244"/>
              <w:jc w:val="right"/>
              <w:rPr>
                <w:b/>
                <w:sz w:val="18"/>
              </w:rPr>
            </w:pPr>
            <w:r>
              <w:rPr>
                <w:b/>
                <w:sz w:val="18"/>
              </w:rPr>
              <w:t>6,988</w:t>
            </w:r>
          </w:p>
        </w:tc>
        <w:tc>
          <w:tcPr>
            <w:tcW w:w="1138" w:type="dxa"/>
            <w:tcBorders>
              <w:bottom w:val="single" w:sz="8" w:space="0" w:color="000000"/>
            </w:tcBorders>
          </w:tcPr>
          <w:p w14:paraId="0D1E3868" w14:textId="77777777" w:rsidR="00FA4AA8" w:rsidRDefault="00FA4AA8">
            <w:pPr>
              <w:pStyle w:val="TableParagraph"/>
              <w:spacing w:before="8"/>
              <w:rPr>
                <w:b/>
                <w:sz w:val="19"/>
              </w:rPr>
            </w:pPr>
          </w:p>
          <w:p w14:paraId="5B66B470" w14:textId="77777777" w:rsidR="00FA4AA8" w:rsidRDefault="0015611F">
            <w:pPr>
              <w:pStyle w:val="TableParagraph"/>
              <w:ind w:right="86"/>
              <w:jc w:val="right"/>
              <w:rPr>
                <w:sz w:val="18"/>
              </w:rPr>
            </w:pPr>
            <w:r>
              <w:rPr>
                <w:sz w:val="18"/>
              </w:rPr>
              <w:t>6,893</w:t>
            </w:r>
          </w:p>
        </w:tc>
      </w:tr>
      <w:tr w:rsidR="00FA4AA8" w14:paraId="6C7DAB2D" w14:textId="77777777">
        <w:trPr>
          <w:trHeight w:val="324"/>
        </w:trPr>
        <w:tc>
          <w:tcPr>
            <w:tcW w:w="3126" w:type="dxa"/>
          </w:tcPr>
          <w:p w14:paraId="3F1EC7B4" w14:textId="77777777" w:rsidR="00FA4AA8" w:rsidRDefault="0015611F">
            <w:pPr>
              <w:pStyle w:val="TableParagraph"/>
              <w:spacing w:before="115" w:line="190" w:lineRule="exact"/>
              <w:ind w:left="50"/>
              <w:rPr>
                <w:b/>
                <w:sz w:val="18"/>
              </w:rPr>
            </w:pPr>
            <w:r>
              <w:rPr>
                <w:b/>
                <w:sz w:val="18"/>
              </w:rPr>
              <w:t>Total Australian Government</w:t>
            </w:r>
          </w:p>
        </w:tc>
        <w:tc>
          <w:tcPr>
            <w:tcW w:w="883" w:type="dxa"/>
          </w:tcPr>
          <w:p w14:paraId="1AE025CD" w14:textId="77777777" w:rsidR="00FA4AA8" w:rsidRDefault="00FA4AA8">
            <w:pPr>
              <w:pStyle w:val="TableParagraph"/>
              <w:rPr>
                <w:rFonts w:ascii="Times New Roman"/>
                <w:sz w:val="18"/>
              </w:rPr>
            </w:pPr>
          </w:p>
        </w:tc>
        <w:tc>
          <w:tcPr>
            <w:tcW w:w="1620" w:type="dxa"/>
            <w:tcBorders>
              <w:top w:val="single" w:sz="8" w:space="0" w:color="000000"/>
            </w:tcBorders>
          </w:tcPr>
          <w:p w14:paraId="2416E20C" w14:textId="77777777" w:rsidR="00FA4AA8" w:rsidRDefault="00FA4AA8">
            <w:pPr>
              <w:pStyle w:val="TableParagraph"/>
              <w:rPr>
                <w:rFonts w:ascii="Times New Roman"/>
                <w:sz w:val="18"/>
              </w:rPr>
            </w:pPr>
          </w:p>
        </w:tc>
        <w:tc>
          <w:tcPr>
            <w:tcW w:w="1379" w:type="dxa"/>
            <w:tcBorders>
              <w:top w:val="single" w:sz="8" w:space="0" w:color="000000"/>
            </w:tcBorders>
          </w:tcPr>
          <w:p w14:paraId="1CEA9F28" w14:textId="77777777" w:rsidR="00FA4AA8" w:rsidRDefault="00FA4AA8">
            <w:pPr>
              <w:pStyle w:val="TableParagraph"/>
              <w:rPr>
                <w:rFonts w:ascii="Times New Roman"/>
                <w:sz w:val="18"/>
              </w:rPr>
            </w:pPr>
          </w:p>
        </w:tc>
        <w:tc>
          <w:tcPr>
            <w:tcW w:w="1379" w:type="dxa"/>
            <w:tcBorders>
              <w:top w:val="single" w:sz="8" w:space="0" w:color="000000"/>
            </w:tcBorders>
          </w:tcPr>
          <w:p w14:paraId="6FE88F3B" w14:textId="77777777" w:rsidR="00FA4AA8" w:rsidRDefault="00FA4AA8">
            <w:pPr>
              <w:pStyle w:val="TableParagraph"/>
              <w:rPr>
                <w:rFonts w:ascii="Times New Roman"/>
                <w:sz w:val="18"/>
              </w:rPr>
            </w:pPr>
          </w:p>
        </w:tc>
        <w:tc>
          <w:tcPr>
            <w:tcW w:w="1138" w:type="dxa"/>
            <w:tcBorders>
              <w:top w:val="single" w:sz="8" w:space="0" w:color="000000"/>
            </w:tcBorders>
          </w:tcPr>
          <w:p w14:paraId="47CBB222" w14:textId="77777777" w:rsidR="00FA4AA8" w:rsidRDefault="00FA4AA8">
            <w:pPr>
              <w:pStyle w:val="TableParagraph"/>
              <w:rPr>
                <w:rFonts w:ascii="Times New Roman"/>
                <w:sz w:val="18"/>
              </w:rPr>
            </w:pPr>
          </w:p>
        </w:tc>
      </w:tr>
      <w:tr w:rsidR="00FA4AA8" w14:paraId="29FCBADC" w14:textId="77777777">
        <w:trPr>
          <w:trHeight w:val="200"/>
        </w:trPr>
        <w:tc>
          <w:tcPr>
            <w:tcW w:w="3126" w:type="dxa"/>
          </w:tcPr>
          <w:p w14:paraId="2C1CBB9C" w14:textId="77777777" w:rsidR="00FA4AA8" w:rsidRDefault="0015611F">
            <w:pPr>
              <w:pStyle w:val="TableParagraph"/>
              <w:spacing w:line="180" w:lineRule="exact"/>
              <w:ind w:left="50"/>
              <w:rPr>
                <w:b/>
                <w:sz w:val="18"/>
              </w:rPr>
            </w:pPr>
            <w:r>
              <w:rPr>
                <w:b/>
                <w:sz w:val="18"/>
              </w:rPr>
              <w:t>grants received - cash basis</w:t>
            </w:r>
          </w:p>
        </w:tc>
        <w:tc>
          <w:tcPr>
            <w:tcW w:w="883" w:type="dxa"/>
          </w:tcPr>
          <w:p w14:paraId="655616A1" w14:textId="77777777" w:rsidR="00FA4AA8" w:rsidRDefault="00FA4AA8">
            <w:pPr>
              <w:pStyle w:val="TableParagraph"/>
              <w:rPr>
                <w:rFonts w:ascii="Times New Roman"/>
                <w:sz w:val="12"/>
              </w:rPr>
            </w:pPr>
          </w:p>
        </w:tc>
        <w:tc>
          <w:tcPr>
            <w:tcW w:w="1620" w:type="dxa"/>
            <w:tcBorders>
              <w:bottom w:val="single" w:sz="8" w:space="0" w:color="000000"/>
            </w:tcBorders>
          </w:tcPr>
          <w:p w14:paraId="32AEF8DA" w14:textId="77777777" w:rsidR="00FA4AA8" w:rsidRDefault="0015611F">
            <w:pPr>
              <w:pStyle w:val="TableParagraph"/>
              <w:spacing w:line="180" w:lineRule="exact"/>
              <w:ind w:right="246"/>
              <w:jc w:val="right"/>
              <w:rPr>
                <w:b/>
                <w:sz w:val="18"/>
              </w:rPr>
            </w:pPr>
            <w:r>
              <w:rPr>
                <w:b/>
                <w:sz w:val="18"/>
              </w:rPr>
              <w:t>568,221</w:t>
            </w:r>
          </w:p>
        </w:tc>
        <w:tc>
          <w:tcPr>
            <w:tcW w:w="1379" w:type="dxa"/>
            <w:tcBorders>
              <w:bottom w:val="single" w:sz="8" w:space="0" w:color="000000"/>
            </w:tcBorders>
          </w:tcPr>
          <w:p w14:paraId="7D8D9F47" w14:textId="77777777" w:rsidR="00FA4AA8" w:rsidRDefault="0015611F">
            <w:pPr>
              <w:pStyle w:val="TableParagraph"/>
              <w:spacing w:line="180" w:lineRule="exact"/>
              <w:ind w:right="329"/>
              <w:jc w:val="right"/>
              <w:rPr>
                <w:sz w:val="18"/>
              </w:rPr>
            </w:pPr>
            <w:r>
              <w:rPr>
                <w:sz w:val="18"/>
              </w:rPr>
              <w:t>547,794</w:t>
            </w:r>
          </w:p>
        </w:tc>
        <w:tc>
          <w:tcPr>
            <w:tcW w:w="1379" w:type="dxa"/>
            <w:tcBorders>
              <w:bottom w:val="single" w:sz="8" w:space="0" w:color="000000"/>
            </w:tcBorders>
          </w:tcPr>
          <w:p w14:paraId="3D247010" w14:textId="77777777" w:rsidR="00FA4AA8" w:rsidRDefault="0015611F">
            <w:pPr>
              <w:pStyle w:val="TableParagraph"/>
              <w:spacing w:line="180" w:lineRule="exact"/>
              <w:ind w:right="244"/>
              <w:jc w:val="right"/>
              <w:rPr>
                <w:b/>
                <w:sz w:val="18"/>
              </w:rPr>
            </w:pPr>
            <w:r>
              <w:rPr>
                <w:b/>
                <w:sz w:val="18"/>
              </w:rPr>
              <w:t>568,221</w:t>
            </w:r>
          </w:p>
        </w:tc>
        <w:tc>
          <w:tcPr>
            <w:tcW w:w="1138" w:type="dxa"/>
            <w:tcBorders>
              <w:bottom w:val="single" w:sz="8" w:space="0" w:color="000000"/>
            </w:tcBorders>
          </w:tcPr>
          <w:p w14:paraId="39EBE6A9" w14:textId="77777777" w:rsidR="00FA4AA8" w:rsidRDefault="0015611F">
            <w:pPr>
              <w:pStyle w:val="TableParagraph"/>
              <w:spacing w:line="180" w:lineRule="exact"/>
              <w:ind w:right="86"/>
              <w:jc w:val="right"/>
              <w:rPr>
                <w:sz w:val="18"/>
              </w:rPr>
            </w:pPr>
            <w:r>
              <w:rPr>
                <w:sz w:val="18"/>
              </w:rPr>
              <w:t>547,794</w:t>
            </w:r>
          </w:p>
        </w:tc>
      </w:tr>
      <w:tr w:rsidR="00FA4AA8" w14:paraId="0C24ACB7" w14:textId="77777777">
        <w:trPr>
          <w:trHeight w:val="263"/>
        </w:trPr>
        <w:tc>
          <w:tcPr>
            <w:tcW w:w="3126" w:type="dxa"/>
          </w:tcPr>
          <w:p w14:paraId="5F995F1D" w14:textId="77777777" w:rsidR="00FA4AA8" w:rsidRDefault="0015611F">
            <w:pPr>
              <w:pStyle w:val="TableParagraph"/>
              <w:spacing w:before="33"/>
              <w:ind w:left="50"/>
              <w:rPr>
                <w:sz w:val="18"/>
              </w:rPr>
            </w:pPr>
            <w:r>
              <w:rPr>
                <w:sz w:val="18"/>
              </w:rPr>
              <w:t>OS-Help (Net)</w:t>
            </w:r>
          </w:p>
        </w:tc>
        <w:tc>
          <w:tcPr>
            <w:tcW w:w="883" w:type="dxa"/>
          </w:tcPr>
          <w:p w14:paraId="19E2C988" w14:textId="77777777" w:rsidR="00FA4AA8" w:rsidRDefault="0015611F">
            <w:pPr>
              <w:pStyle w:val="TableParagraph"/>
              <w:spacing w:before="28"/>
              <w:ind w:right="97"/>
              <w:jc w:val="right"/>
              <w:rPr>
                <w:sz w:val="18"/>
              </w:rPr>
            </w:pPr>
            <w:r>
              <w:rPr>
                <w:sz w:val="18"/>
              </w:rPr>
              <w:t>37(f)</w:t>
            </w:r>
          </w:p>
        </w:tc>
        <w:tc>
          <w:tcPr>
            <w:tcW w:w="1620" w:type="dxa"/>
            <w:tcBorders>
              <w:top w:val="single" w:sz="8" w:space="0" w:color="000000"/>
              <w:bottom w:val="single" w:sz="8" w:space="0" w:color="000000"/>
            </w:tcBorders>
          </w:tcPr>
          <w:p w14:paraId="2C5A32C2" w14:textId="77777777" w:rsidR="00FA4AA8" w:rsidRDefault="0015611F">
            <w:pPr>
              <w:pStyle w:val="TableParagraph"/>
              <w:spacing w:before="31"/>
              <w:ind w:right="246"/>
              <w:jc w:val="right"/>
              <w:rPr>
                <w:b/>
                <w:sz w:val="18"/>
              </w:rPr>
            </w:pPr>
            <w:r>
              <w:rPr>
                <w:b/>
                <w:sz w:val="18"/>
              </w:rPr>
              <w:t>432</w:t>
            </w:r>
          </w:p>
        </w:tc>
        <w:tc>
          <w:tcPr>
            <w:tcW w:w="1379" w:type="dxa"/>
            <w:tcBorders>
              <w:top w:val="single" w:sz="8" w:space="0" w:color="000000"/>
              <w:bottom w:val="single" w:sz="8" w:space="0" w:color="000000"/>
            </w:tcBorders>
          </w:tcPr>
          <w:p w14:paraId="1B5A19D7" w14:textId="77777777" w:rsidR="00FA4AA8" w:rsidRDefault="0015611F">
            <w:pPr>
              <w:pStyle w:val="TableParagraph"/>
              <w:spacing w:before="31"/>
              <w:ind w:right="329"/>
              <w:jc w:val="right"/>
              <w:rPr>
                <w:sz w:val="18"/>
              </w:rPr>
            </w:pPr>
            <w:r>
              <w:rPr>
                <w:sz w:val="18"/>
              </w:rPr>
              <w:t>106</w:t>
            </w:r>
          </w:p>
        </w:tc>
        <w:tc>
          <w:tcPr>
            <w:tcW w:w="1379" w:type="dxa"/>
            <w:tcBorders>
              <w:top w:val="single" w:sz="8" w:space="0" w:color="000000"/>
              <w:bottom w:val="single" w:sz="8" w:space="0" w:color="000000"/>
            </w:tcBorders>
          </w:tcPr>
          <w:p w14:paraId="6A9E0D04" w14:textId="77777777" w:rsidR="00FA4AA8" w:rsidRDefault="0015611F">
            <w:pPr>
              <w:pStyle w:val="TableParagraph"/>
              <w:spacing w:before="31"/>
              <w:ind w:right="244"/>
              <w:jc w:val="right"/>
              <w:rPr>
                <w:b/>
                <w:sz w:val="18"/>
              </w:rPr>
            </w:pPr>
            <w:r>
              <w:rPr>
                <w:b/>
                <w:sz w:val="18"/>
              </w:rPr>
              <w:t>432</w:t>
            </w:r>
          </w:p>
        </w:tc>
        <w:tc>
          <w:tcPr>
            <w:tcW w:w="1138" w:type="dxa"/>
            <w:tcBorders>
              <w:top w:val="single" w:sz="8" w:space="0" w:color="000000"/>
              <w:bottom w:val="single" w:sz="8" w:space="0" w:color="000000"/>
            </w:tcBorders>
          </w:tcPr>
          <w:p w14:paraId="4C665055" w14:textId="77777777" w:rsidR="00FA4AA8" w:rsidRDefault="0015611F">
            <w:pPr>
              <w:pStyle w:val="TableParagraph"/>
              <w:spacing w:before="31"/>
              <w:ind w:right="86"/>
              <w:jc w:val="right"/>
              <w:rPr>
                <w:sz w:val="18"/>
              </w:rPr>
            </w:pPr>
            <w:r>
              <w:rPr>
                <w:sz w:val="18"/>
              </w:rPr>
              <w:t>106</w:t>
            </w:r>
          </w:p>
        </w:tc>
      </w:tr>
      <w:tr w:rsidR="00FA4AA8" w14:paraId="77EB83B7" w14:textId="77777777">
        <w:trPr>
          <w:trHeight w:val="324"/>
        </w:trPr>
        <w:tc>
          <w:tcPr>
            <w:tcW w:w="3126" w:type="dxa"/>
          </w:tcPr>
          <w:p w14:paraId="7602A82B" w14:textId="77777777" w:rsidR="00FA4AA8" w:rsidRDefault="0015611F">
            <w:pPr>
              <w:pStyle w:val="TableParagraph"/>
              <w:spacing w:before="115" w:line="190" w:lineRule="exact"/>
              <w:ind w:left="50"/>
              <w:rPr>
                <w:b/>
                <w:sz w:val="18"/>
              </w:rPr>
            </w:pPr>
            <w:r>
              <w:rPr>
                <w:b/>
                <w:sz w:val="18"/>
              </w:rPr>
              <w:t>Total Australian Government</w:t>
            </w:r>
          </w:p>
        </w:tc>
        <w:tc>
          <w:tcPr>
            <w:tcW w:w="883" w:type="dxa"/>
          </w:tcPr>
          <w:p w14:paraId="5EFA6298" w14:textId="77777777" w:rsidR="00FA4AA8" w:rsidRDefault="00FA4AA8">
            <w:pPr>
              <w:pStyle w:val="TableParagraph"/>
              <w:rPr>
                <w:rFonts w:ascii="Times New Roman"/>
                <w:sz w:val="18"/>
              </w:rPr>
            </w:pPr>
          </w:p>
        </w:tc>
        <w:tc>
          <w:tcPr>
            <w:tcW w:w="1620" w:type="dxa"/>
            <w:tcBorders>
              <w:top w:val="single" w:sz="8" w:space="0" w:color="000000"/>
            </w:tcBorders>
          </w:tcPr>
          <w:p w14:paraId="46A54D7D" w14:textId="77777777" w:rsidR="00FA4AA8" w:rsidRDefault="00FA4AA8">
            <w:pPr>
              <w:pStyle w:val="TableParagraph"/>
              <w:rPr>
                <w:rFonts w:ascii="Times New Roman"/>
                <w:sz w:val="18"/>
              </w:rPr>
            </w:pPr>
          </w:p>
        </w:tc>
        <w:tc>
          <w:tcPr>
            <w:tcW w:w="1379" w:type="dxa"/>
            <w:tcBorders>
              <w:top w:val="single" w:sz="8" w:space="0" w:color="000000"/>
            </w:tcBorders>
          </w:tcPr>
          <w:p w14:paraId="4E9AA04E" w14:textId="77777777" w:rsidR="00FA4AA8" w:rsidRDefault="00FA4AA8">
            <w:pPr>
              <w:pStyle w:val="TableParagraph"/>
              <w:rPr>
                <w:rFonts w:ascii="Times New Roman"/>
                <w:sz w:val="18"/>
              </w:rPr>
            </w:pPr>
          </w:p>
        </w:tc>
        <w:tc>
          <w:tcPr>
            <w:tcW w:w="1379" w:type="dxa"/>
            <w:tcBorders>
              <w:top w:val="single" w:sz="8" w:space="0" w:color="000000"/>
            </w:tcBorders>
          </w:tcPr>
          <w:p w14:paraId="1D04BFC2" w14:textId="77777777" w:rsidR="00FA4AA8" w:rsidRDefault="00FA4AA8">
            <w:pPr>
              <w:pStyle w:val="TableParagraph"/>
              <w:rPr>
                <w:rFonts w:ascii="Times New Roman"/>
                <w:sz w:val="18"/>
              </w:rPr>
            </w:pPr>
          </w:p>
        </w:tc>
        <w:tc>
          <w:tcPr>
            <w:tcW w:w="1138" w:type="dxa"/>
            <w:tcBorders>
              <w:top w:val="single" w:sz="8" w:space="0" w:color="000000"/>
            </w:tcBorders>
          </w:tcPr>
          <w:p w14:paraId="5A3D2CC6" w14:textId="77777777" w:rsidR="00FA4AA8" w:rsidRDefault="00FA4AA8">
            <w:pPr>
              <w:pStyle w:val="TableParagraph"/>
              <w:rPr>
                <w:rFonts w:ascii="Times New Roman"/>
                <w:sz w:val="18"/>
              </w:rPr>
            </w:pPr>
          </w:p>
        </w:tc>
      </w:tr>
      <w:tr w:rsidR="00FA4AA8" w14:paraId="6C652D90" w14:textId="77777777">
        <w:trPr>
          <w:trHeight w:val="201"/>
        </w:trPr>
        <w:tc>
          <w:tcPr>
            <w:tcW w:w="3126" w:type="dxa"/>
          </w:tcPr>
          <w:p w14:paraId="2128F0E1" w14:textId="77777777" w:rsidR="00FA4AA8" w:rsidRDefault="0015611F">
            <w:pPr>
              <w:pStyle w:val="TableParagraph"/>
              <w:spacing w:line="182" w:lineRule="exact"/>
              <w:ind w:left="50"/>
              <w:rPr>
                <w:b/>
                <w:sz w:val="18"/>
              </w:rPr>
            </w:pPr>
            <w:r>
              <w:rPr>
                <w:b/>
                <w:sz w:val="18"/>
              </w:rPr>
              <w:t>funding received - cash basis</w:t>
            </w:r>
          </w:p>
        </w:tc>
        <w:tc>
          <w:tcPr>
            <w:tcW w:w="883" w:type="dxa"/>
          </w:tcPr>
          <w:p w14:paraId="3AADA2B5" w14:textId="77777777" w:rsidR="00FA4AA8" w:rsidRDefault="00FA4AA8">
            <w:pPr>
              <w:pStyle w:val="TableParagraph"/>
              <w:rPr>
                <w:rFonts w:ascii="Times New Roman"/>
                <w:sz w:val="14"/>
              </w:rPr>
            </w:pPr>
          </w:p>
        </w:tc>
        <w:tc>
          <w:tcPr>
            <w:tcW w:w="1620" w:type="dxa"/>
            <w:tcBorders>
              <w:bottom w:val="double" w:sz="2" w:space="0" w:color="000000"/>
            </w:tcBorders>
          </w:tcPr>
          <w:p w14:paraId="3247D1B9" w14:textId="77777777" w:rsidR="00FA4AA8" w:rsidRDefault="0015611F">
            <w:pPr>
              <w:pStyle w:val="TableParagraph"/>
              <w:spacing w:line="182" w:lineRule="exact"/>
              <w:ind w:right="246"/>
              <w:jc w:val="right"/>
              <w:rPr>
                <w:b/>
                <w:sz w:val="18"/>
              </w:rPr>
            </w:pPr>
            <w:r>
              <w:rPr>
                <w:b/>
                <w:sz w:val="18"/>
              </w:rPr>
              <w:t>568,653</w:t>
            </w:r>
          </w:p>
        </w:tc>
        <w:tc>
          <w:tcPr>
            <w:tcW w:w="1379" w:type="dxa"/>
            <w:tcBorders>
              <w:bottom w:val="double" w:sz="2" w:space="0" w:color="000000"/>
            </w:tcBorders>
          </w:tcPr>
          <w:p w14:paraId="08456321" w14:textId="77777777" w:rsidR="00FA4AA8" w:rsidRDefault="0015611F">
            <w:pPr>
              <w:pStyle w:val="TableParagraph"/>
              <w:spacing w:line="182" w:lineRule="exact"/>
              <w:ind w:right="329"/>
              <w:jc w:val="right"/>
              <w:rPr>
                <w:sz w:val="18"/>
              </w:rPr>
            </w:pPr>
            <w:r>
              <w:rPr>
                <w:sz w:val="18"/>
              </w:rPr>
              <w:t>547,900</w:t>
            </w:r>
          </w:p>
        </w:tc>
        <w:tc>
          <w:tcPr>
            <w:tcW w:w="1379" w:type="dxa"/>
            <w:tcBorders>
              <w:bottom w:val="double" w:sz="2" w:space="0" w:color="000000"/>
            </w:tcBorders>
          </w:tcPr>
          <w:p w14:paraId="68F88FF3" w14:textId="77777777" w:rsidR="00FA4AA8" w:rsidRDefault="0015611F">
            <w:pPr>
              <w:pStyle w:val="TableParagraph"/>
              <w:spacing w:line="182" w:lineRule="exact"/>
              <w:ind w:right="244"/>
              <w:jc w:val="right"/>
              <w:rPr>
                <w:b/>
                <w:sz w:val="18"/>
              </w:rPr>
            </w:pPr>
            <w:r>
              <w:rPr>
                <w:b/>
                <w:sz w:val="18"/>
              </w:rPr>
              <w:t>568,653</w:t>
            </w:r>
          </w:p>
        </w:tc>
        <w:tc>
          <w:tcPr>
            <w:tcW w:w="1138" w:type="dxa"/>
            <w:tcBorders>
              <w:bottom w:val="double" w:sz="2" w:space="0" w:color="000000"/>
            </w:tcBorders>
          </w:tcPr>
          <w:p w14:paraId="22B74880" w14:textId="77777777" w:rsidR="00FA4AA8" w:rsidRDefault="0015611F">
            <w:pPr>
              <w:pStyle w:val="TableParagraph"/>
              <w:spacing w:line="182" w:lineRule="exact"/>
              <w:ind w:right="86"/>
              <w:jc w:val="right"/>
              <w:rPr>
                <w:sz w:val="18"/>
              </w:rPr>
            </w:pPr>
            <w:r>
              <w:rPr>
                <w:sz w:val="18"/>
              </w:rPr>
              <w:t>547,900</w:t>
            </w:r>
          </w:p>
        </w:tc>
      </w:tr>
    </w:tbl>
    <w:p w14:paraId="0091F011" w14:textId="77777777" w:rsidR="00FA4AA8" w:rsidRDefault="00FA4AA8">
      <w:pPr>
        <w:spacing w:line="182" w:lineRule="exact"/>
        <w:jc w:val="right"/>
        <w:rPr>
          <w:sz w:val="18"/>
        </w:rPr>
        <w:sectPr w:rsidR="00FA4AA8">
          <w:pgSz w:w="11910" w:h="16840"/>
          <w:pgMar w:top="2220" w:right="840" w:bottom="720" w:left="840" w:header="1016" w:footer="523" w:gutter="0"/>
          <w:cols w:space="720"/>
        </w:sectPr>
      </w:pPr>
    </w:p>
    <w:p w14:paraId="79B36E4D" w14:textId="77777777" w:rsidR="00FA4AA8" w:rsidRDefault="00FA4AA8">
      <w:pPr>
        <w:pStyle w:val="BodyText"/>
        <w:rPr>
          <w:b/>
          <w:sz w:val="20"/>
        </w:rPr>
      </w:pPr>
    </w:p>
    <w:p w14:paraId="739B6DAB" w14:textId="77777777" w:rsidR="00FA4AA8" w:rsidRDefault="00FA4AA8">
      <w:pPr>
        <w:pStyle w:val="BodyText"/>
        <w:spacing w:before="10"/>
        <w:rPr>
          <w:b/>
          <w:sz w:val="29"/>
        </w:rPr>
      </w:pPr>
    </w:p>
    <w:p w14:paraId="2CCB1B81" w14:textId="77777777" w:rsidR="00FA4AA8" w:rsidRDefault="0015611F">
      <w:pPr>
        <w:pStyle w:val="ListParagraph"/>
        <w:numPr>
          <w:ilvl w:val="0"/>
          <w:numId w:val="105"/>
        </w:numPr>
        <w:tabs>
          <w:tab w:val="left" w:pos="563"/>
          <w:tab w:val="left" w:pos="564"/>
        </w:tabs>
        <w:spacing w:before="94"/>
        <w:ind w:right="1051"/>
        <w:rPr>
          <w:b/>
          <w:sz w:val="18"/>
        </w:rPr>
      </w:pPr>
      <w:r>
        <w:rPr>
          <w:b/>
          <w:sz w:val="18"/>
        </w:rPr>
        <w:t>Australian Government financial assistance including Australian Government loan programs (HELP) (continued)</w:t>
      </w:r>
    </w:p>
    <w:p w14:paraId="06EAEA60" w14:textId="77777777" w:rsidR="00FA4AA8" w:rsidRDefault="00FA4AA8">
      <w:pPr>
        <w:pStyle w:val="BodyText"/>
        <w:spacing w:before="7"/>
        <w:rPr>
          <w:b/>
          <w:sz w:val="26"/>
        </w:rPr>
      </w:pPr>
    </w:p>
    <w:p w14:paraId="7D2E156D" w14:textId="77777777" w:rsidR="00FA4AA8" w:rsidRDefault="0015611F">
      <w:pPr>
        <w:ind w:left="564"/>
        <w:rPr>
          <w:i/>
          <w:sz w:val="18"/>
        </w:rPr>
      </w:pPr>
      <w:r>
        <w:rPr>
          <w:i/>
          <w:sz w:val="18"/>
          <w:u w:val="single"/>
        </w:rPr>
        <w:t>Accounting Policy</w:t>
      </w:r>
    </w:p>
    <w:p w14:paraId="6BF8EB69" w14:textId="77777777" w:rsidR="00FA4AA8" w:rsidRDefault="00FA4AA8">
      <w:pPr>
        <w:pStyle w:val="BodyText"/>
        <w:spacing w:before="2"/>
        <w:rPr>
          <w:i/>
          <w:sz w:val="17"/>
        </w:rPr>
      </w:pPr>
    </w:p>
    <w:p w14:paraId="476BFBE0" w14:textId="77777777" w:rsidR="00FA4AA8" w:rsidRDefault="0015611F">
      <w:pPr>
        <w:pStyle w:val="BodyText"/>
        <w:spacing w:before="95"/>
        <w:ind w:left="564" w:right="256"/>
      </w:pPr>
      <w:r>
        <w:t>Revenue is measured at the fair value of the consideration received or receivable. Amounts disclosed as revenue are net of returns, trade allowances rebates and amounts collected on behalf of third parties.</w:t>
      </w:r>
    </w:p>
    <w:p w14:paraId="14AAAD66" w14:textId="77777777" w:rsidR="00FA4AA8" w:rsidRDefault="00FA4AA8">
      <w:pPr>
        <w:pStyle w:val="BodyText"/>
        <w:spacing w:before="10"/>
        <w:rPr>
          <w:sz w:val="24"/>
        </w:rPr>
      </w:pPr>
    </w:p>
    <w:p w14:paraId="72CAE08B" w14:textId="77777777" w:rsidR="00FA4AA8" w:rsidRDefault="0015611F">
      <w:pPr>
        <w:pStyle w:val="BodyText"/>
        <w:ind w:left="563" w:right="256"/>
      </w:pPr>
      <w:r>
        <w:t>The Group recognises revenue when the amount of revenue can be reliably measured, it is probable that future economic benefits will flow to the Group and specific criteria have been met for each of the Group's activities as described below. The amount of revenue is not considered to be reliably measurable until all contingencies relating to the sale have been resolved. The Group bases its estimates on historical results, taking into consideration the type of customer, the type of transaction and the specifics of each arrangement. This applies to revenue items recognised in notes 2 through 9.</w:t>
      </w:r>
    </w:p>
    <w:p w14:paraId="6C152111" w14:textId="77777777" w:rsidR="00FA4AA8" w:rsidRDefault="00FA4AA8">
      <w:pPr>
        <w:pStyle w:val="BodyText"/>
        <w:spacing w:before="9"/>
        <w:rPr>
          <w:sz w:val="24"/>
        </w:rPr>
      </w:pPr>
    </w:p>
    <w:p w14:paraId="01A26AA9" w14:textId="77777777" w:rsidR="00FA4AA8" w:rsidRDefault="0015611F">
      <w:pPr>
        <w:pStyle w:val="BodyText"/>
        <w:ind w:left="563" w:right="201"/>
      </w:pPr>
      <w:r>
        <w:t>Grants from the government are recognised at their fair value where the Group obtains control of the right to receive the grant, it is probable that economic benefits will flow to the Group and it can be reliably measured. In practice,</w:t>
      </w:r>
      <w:bookmarkStart w:id="21" w:name="3_State_and_Local_Government_financial_a"/>
      <w:bookmarkEnd w:id="21"/>
      <w:r>
        <w:t xml:space="preserve"> Western Sydney University treats operating grants received from Australian Government entities as income in the year of</w:t>
      </w:r>
      <w:r>
        <w:rPr>
          <w:spacing w:val="1"/>
        </w:rPr>
        <w:t xml:space="preserve"> </w:t>
      </w:r>
      <w:r>
        <w:t>receipt.</w:t>
      </w:r>
    </w:p>
    <w:p w14:paraId="4EE29502" w14:textId="77777777" w:rsidR="00FA4AA8" w:rsidRDefault="00FA4AA8">
      <w:pPr>
        <w:pStyle w:val="BodyText"/>
        <w:spacing w:before="10"/>
        <w:rPr>
          <w:sz w:val="24"/>
        </w:rPr>
      </w:pPr>
    </w:p>
    <w:p w14:paraId="657B4FBB" w14:textId="77777777" w:rsidR="00FA4AA8" w:rsidRDefault="0015611F">
      <w:pPr>
        <w:pStyle w:val="BodyText"/>
        <w:ind w:left="563" w:right="256"/>
      </w:pPr>
      <w:r>
        <w:t>Revenue from HELP is categorised into those received from the Australian Government and those received directly from students. Revenue is recognised and measured in accordance with the above disclosure.</w:t>
      </w:r>
    </w:p>
    <w:p w14:paraId="46AEB4B7" w14:textId="77777777" w:rsidR="00FA4AA8" w:rsidRDefault="00FA4AA8">
      <w:pPr>
        <w:pStyle w:val="BodyText"/>
        <w:spacing w:before="8"/>
        <w:rPr>
          <w:sz w:val="16"/>
        </w:rPr>
      </w:pPr>
    </w:p>
    <w:p w14:paraId="3757AD05" w14:textId="77777777" w:rsidR="00FA4AA8" w:rsidRDefault="0015611F">
      <w:pPr>
        <w:numPr>
          <w:ilvl w:val="0"/>
          <w:numId w:val="105"/>
        </w:numPr>
        <w:tabs>
          <w:tab w:val="left" w:pos="563"/>
          <w:tab w:val="left" w:pos="564"/>
        </w:tabs>
        <w:spacing w:before="95"/>
        <w:ind w:hanging="397"/>
        <w:rPr>
          <w:b/>
          <w:sz w:val="18"/>
        </w:rPr>
      </w:pPr>
      <w:r>
        <w:rPr>
          <w:b/>
          <w:sz w:val="18"/>
        </w:rPr>
        <w:t>State and Local Government financial assistance</w:t>
      </w:r>
    </w:p>
    <w:p w14:paraId="399558CE" w14:textId="77777777" w:rsidR="00FA4AA8" w:rsidRDefault="0015611F">
      <w:pPr>
        <w:tabs>
          <w:tab w:val="left" w:pos="8414"/>
        </w:tabs>
        <w:spacing w:before="33"/>
        <w:ind w:left="5364"/>
        <w:rPr>
          <w:b/>
          <w:sz w:val="18"/>
        </w:rPr>
      </w:pPr>
      <w:r>
        <w:rPr>
          <w:b/>
          <w:sz w:val="18"/>
        </w:rPr>
        <w:t>Consolidated</w:t>
      </w:r>
      <w:r>
        <w:rPr>
          <w:b/>
          <w:sz w:val="18"/>
        </w:rPr>
        <w:tab/>
        <w:t>Parent</w:t>
      </w:r>
    </w:p>
    <w:p w14:paraId="317CB552" w14:textId="77777777" w:rsidR="00FA4AA8" w:rsidRDefault="00FA4AA8">
      <w:pPr>
        <w:rPr>
          <w:sz w:val="18"/>
        </w:rPr>
        <w:sectPr w:rsidR="00FA4AA8">
          <w:pgSz w:w="11910" w:h="16840"/>
          <w:pgMar w:top="2220" w:right="840" w:bottom="720" w:left="840" w:header="1016" w:footer="523" w:gutter="0"/>
          <w:cols w:space="720"/>
        </w:sectPr>
      </w:pPr>
    </w:p>
    <w:p w14:paraId="1844E681" w14:textId="77777777" w:rsidR="00FA4AA8" w:rsidRDefault="00FA4AA8">
      <w:pPr>
        <w:pStyle w:val="BodyText"/>
        <w:rPr>
          <w:b/>
          <w:sz w:val="20"/>
        </w:rPr>
      </w:pPr>
    </w:p>
    <w:p w14:paraId="264BA2EE" w14:textId="77777777" w:rsidR="00FA4AA8" w:rsidRDefault="00FA4AA8">
      <w:pPr>
        <w:pStyle w:val="BodyText"/>
        <w:rPr>
          <w:b/>
          <w:sz w:val="20"/>
        </w:rPr>
      </w:pPr>
    </w:p>
    <w:p w14:paraId="3EB6438D" w14:textId="77777777" w:rsidR="00FA4AA8" w:rsidRDefault="00FA4AA8">
      <w:pPr>
        <w:pStyle w:val="BodyText"/>
        <w:spacing w:before="2"/>
        <w:rPr>
          <w:b/>
          <w:sz w:val="20"/>
        </w:rPr>
      </w:pPr>
    </w:p>
    <w:p w14:paraId="714A4FD0" w14:textId="77777777" w:rsidR="00FA4AA8" w:rsidRDefault="0015611F">
      <w:pPr>
        <w:spacing w:before="1"/>
        <w:ind w:left="590"/>
        <w:rPr>
          <w:b/>
          <w:sz w:val="18"/>
        </w:rPr>
      </w:pPr>
      <w:r>
        <w:rPr>
          <w:b/>
          <w:sz w:val="18"/>
        </w:rPr>
        <w:t>Non-capital</w:t>
      </w:r>
    </w:p>
    <w:p w14:paraId="4AE4C55D" w14:textId="77777777" w:rsidR="00FA4AA8" w:rsidRDefault="0015611F">
      <w:pPr>
        <w:spacing w:before="66"/>
        <w:ind w:left="611"/>
        <w:rPr>
          <w:b/>
          <w:sz w:val="18"/>
        </w:rPr>
      </w:pPr>
      <w:r>
        <w:br w:type="column"/>
      </w:r>
      <w:r>
        <w:rPr>
          <w:b/>
          <w:sz w:val="18"/>
        </w:rPr>
        <w:t>2018</w:t>
      </w:r>
    </w:p>
    <w:p w14:paraId="457462B7" w14:textId="77777777" w:rsidR="00FA4AA8" w:rsidRDefault="0015611F">
      <w:pPr>
        <w:spacing w:before="67"/>
        <w:ind w:left="590"/>
        <w:rPr>
          <w:b/>
          <w:sz w:val="18"/>
        </w:rPr>
      </w:pPr>
      <w:r>
        <w:rPr>
          <w:b/>
          <w:sz w:val="18"/>
        </w:rPr>
        <w:t>$'000</w:t>
      </w:r>
    </w:p>
    <w:p w14:paraId="1CFBEFD5" w14:textId="77777777" w:rsidR="00FA4AA8" w:rsidRDefault="0015611F">
      <w:pPr>
        <w:spacing w:before="66"/>
        <w:ind w:left="611"/>
        <w:rPr>
          <w:b/>
          <w:sz w:val="18"/>
        </w:rPr>
      </w:pPr>
      <w:r>
        <w:br w:type="column"/>
      </w:r>
      <w:r>
        <w:rPr>
          <w:b/>
          <w:sz w:val="18"/>
        </w:rPr>
        <w:t>2017</w:t>
      </w:r>
    </w:p>
    <w:p w14:paraId="082C80B2" w14:textId="77777777" w:rsidR="00FA4AA8" w:rsidRDefault="0015611F">
      <w:pPr>
        <w:spacing w:before="67"/>
        <w:ind w:left="590"/>
        <w:rPr>
          <w:b/>
          <w:sz w:val="18"/>
        </w:rPr>
      </w:pPr>
      <w:r>
        <w:rPr>
          <w:b/>
          <w:sz w:val="18"/>
        </w:rPr>
        <w:t>$'000</w:t>
      </w:r>
    </w:p>
    <w:p w14:paraId="2E51D6A0" w14:textId="77777777" w:rsidR="00FA4AA8" w:rsidRDefault="0015611F">
      <w:pPr>
        <w:spacing w:before="66"/>
        <w:ind w:left="611"/>
        <w:rPr>
          <w:b/>
          <w:sz w:val="18"/>
        </w:rPr>
      </w:pPr>
      <w:r>
        <w:br w:type="column"/>
      </w:r>
      <w:r>
        <w:rPr>
          <w:b/>
          <w:sz w:val="18"/>
        </w:rPr>
        <w:t>2018</w:t>
      </w:r>
    </w:p>
    <w:p w14:paraId="14A3872D" w14:textId="77777777" w:rsidR="00FA4AA8" w:rsidRDefault="0015611F">
      <w:pPr>
        <w:spacing w:before="67"/>
        <w:ind w:left="590"/>
        <w:rPr>
          <w:b/>
          <w:sz w:val="18"/>
        </w:rPr>
      </w:pPr>
      <w:r>
        <w:rPr>
          <w:b/>
          <w:sz w:val="18"/>
        </w:rPr>
        <w:t>$'000</w:t>
      </w:r>
    </w:p>
    <w:p w14:paraId="60859506" w14:textId="77777777" w:rsidR="00FA4AA8" w:rsidRDefault="0015611F">
      <w:pPr>
        <w:spacing w:before="66"/>
        <w:ind w:left="574" w:right="575"/>
        <w:jc w:val="center"/>
        <w:rPr>
          <w:b/>
          <w:sz w:val="18"/>
        </w:rPr>
      </w:pPr>
      <w:r>
        <w:br w:type="column"/>
      </w:r>
      <w:r>
        <w:rPr>
          <w:b/>
          <w:sz w:val="18"/>
        </w:rPr>
        <w:t>2017</w:t>
      </w:r>
    </w:p>
    <w:p w14:paraId="7FB2F28C" w14:textId="77777777" w:rsidR="00FA4AA8" w:rsidRDefault="0015611F">
      <w:pPr>
        <w:spacing w:before="67"/>
        <w:ind w:left="574" w:right="575"/>
        <w:jc w:val="center"/>
        <w:rPr>
          <w:b/>
          <w:sz w:val="18"/>
        </w:rPr>
      </w:pPr>
      <w:r>
        <w:rPr>
          <w:b/>
          <w:sz w:val="18"/>
        </w:rPr>
        <w:t>$'000</w:t>
      </w:r>
    </w:p>
    <w:p w14:paraId="0F0FF03B" w14:textId="77777777" w:rsidR="00FA4AA8" w:rsidRDefault="00FA4AA8">
      <w:pPr>
        <w:jc w:val="center"/>
        <w:rPr>
          <w:sz w:val="18"/>
        </w:rPr>
        <w:sectPr w:rsidR="00FA4AA8">
          <w:type w:val="continuous"/>
          <w:pgSz w:w="11910" w:h="16840"/>
          <w:pgMar w:top="20" w:right="840" w:bottom="0" w:left="840" w:header="720" w:footer="720" w:gutter="0"/>
          <w:cols w:num="5" w:space="720" w:equalWidth="0">
            <w:col w:w="1614" w:space="2926"/>
            <w:col w:w="1077" w:space="220"/>
            <w:col w:w="1077" w:space="387"/>
            <w:col w:w="1077" w:space="219"/>
            <w:col w:w="1633"/>
          </w:cols>
        </w:sectPr>
      </w:pPr>
    </w:p>
    <w:p w14:paraId="717FB536" w14:textId="77777777" w:rsidR="00FA4AA8" w:rsidRDefault="007E2441">
      <w:pPr>
        <w:pStyle w:val="BodyText"/>
        <w:tabs>
          <w:tab w:val="left" w:pos="5627"/>
          <w:tab w:val="left" w:pos="7024"/>
          <w:tab w:val="left" w:pos="8387"/>
          <w:tab w:val="right" w:pos="9986"/>
        </w:tabs>
        <w:spacing w:before="30"/>
        <w:ind w:left="590"/>
      </w:pPr>
      <w:r>
        <w:rPr>
          <w:noProof/>
          <w:lang w:val="en-AU" w:eastAsia="en-AU"/>
        </w:rPr>
        <mc:AlternateContent>
          <mc:Choice Requires="wpg">
            <w:drawing>
              <wp:anchor distT="0" distB="0" distL="114300" distR="114300" simplePos="0" relativeHeight="15736832" behindDoc="0" locked="0" layoutInCell="1" allowOverlap="1" wp14:anchorId="4034A0DA" wp14:editId="3E0BAACE">
                <wp:simplePos x="0" y="0"/>
                <wp:positionH relativeFrom="page">
                  <wp:posOffset>3424555</wp:posOffset>
                </wp:positionH>
                <wp:positionV relativeFrom="paragraph">
                  <wp:posOffset>165100</wp:posOffset>
                </wp:positionV>
                <wp:extent cx="2383155" cy="8255"/>
                <wp:effectExtent l="0" t="0" r="0" b="0"/>
                <wp:wrapNone/>
                <wp:docPr id="3462" name="Group 3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3155" cy="8255"/>
                          <a:chOff x="5393" y="260"/>
                          <a:chExt cx="5520" cy="20"/>
                        </a:xfrm>
                      </wpg:grpSpPr>
                      <wps:wsp>
                        <wps:cNvPr id="3463" name="Line 3276"/>
                        <wps:cNvCnPr>
                          <a:cxnSpLocks noChangeShapeType="1"/>
                        </wps:cNvCnPr>
                        <wps:spPr bwMode="auto">
                          <a:xfrm>
                            <a:off x="5393" y="261"/>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464" name="Line 3275"/>
                        <wps:cNvCnPr>
                          <a:cxnSpLocks noChangeShapeType="1"/>
                        </wps:cNvCnPr>
                        <wps:spPr bwMode="auto">
                          <a:xfrm>
                            <a:off x="5393" y="264"/>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465" name="Line 3274"/>
                        <wps:cNvCnPr>
                          <a:cxnSpLocks noChangeShapeType="1"/>
                        </wps:cNvCnPr>
                        <wps:spPr bwMode="auto">
                          <a:xfrm>
                            <a:off x="5393" y="266"/>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466" name="Line 3273"/>
                        <wps:cNvCnPr>
                          <a:cxnSpLocks noChangeShapeType="1"/>
                        </wps:cNvCnPr>
                        <wps:spPr bwMode="auto">
                          <a:xfrm>
                            <a:off x="5393" y="268"/>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467" name="Line 3272"/>
                        <wps:cNvCnPr>
                          <a:cxnSpLocks noChangeShapeType="1"/>
                        </wps:cNvCnPr>
                        <wps:spPr bwMode="auto">
                          <a:xfrm>
                            <a:off x="5393" y="271"/>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468" name="Line 3271"/>
                        <wps:cNvCnPr>
                          <a:cxnSpLocks noChangeShapeType="1"/>
                        </wps:cNvCnPr>
                        <wps:spPr bwMode="auto">
                          <a:xfrm>
                            <a:off x="5393" y="273"/>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469" name="Line 3270"/>
                        <wps:cNvCnPr>
                          <a:cxnSpLocks noChangeShapeType="1"/>
                        </wps:cNvCnPr>
                        <wps:spPr bwMode="auto">
                          <a:xfrm>
                            <a:off x="5393" y="276"/>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470" name="Line 3269"/>
                        <wps:cNvCnPr>
                          <a:cxnSpLocks noChangeShapeType="1"/>
                        </wps:cNvCnPr>
                        <wps:spPr bwMode="auto">
                          <a:xfrm>
                            <a:off x="5393" y="278"/>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471" name="Line 3268"/>
                        <wps:cNvCnPr>
                          <a:cxnSpLocks noChangeShapeType="1"/>
                        </wps:cNvCnPr>
                        <wps:spPr bwMode="auto">
                          <a:xfrm>
                            <a:off x="5561" y="26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472" name="Line 3267"/>
                        <wps:cNvCnPr>
                          <a:cxnSpLocks noChangeShapeType="1"/>
                        </wps:cNvCnPr>
                        <wps:spPr bwMode="auto">
                          <a:xfrm>
                            <a:off x="5561" y="264"/>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473" name="Line 3266"/>
                        <wps:cNvCnPr>
                          <a:cxnSpLocks noChangeShapeType="1"/>
                        </wps:cNvCnPr>
                        <wps:spPr bwMode="auto">
                          <a:xfrm>
                            <a:off x="5561" y="266"/>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474" name="Line 3265"/>
                        <wps:cNvCnPr>
                          <a:cxnSpLocks noChangeShapeType="1"/>
                        </wps:cNvCnPr>
                        <wps:spPr bwMode="auto">
                          <a:xfrm>
                            <a:off x="5561" y="26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475" name="Line 3264"/>
                        <wps:cNvCnPr>
                          <a:cxnSpLocks noChangeShapeType="1"/>
                        </wps:cNvCnPr>
                        <wps:spPr bwMode="auto">
                          <a:xfrm>
                            <a:off x="5561" y="27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476" name="Line 3263"/>
                        <wps:cNvCnPr>
                          <a:cxnSpLocks noChangeShapeType="1"/>
                        </wps:cNvCnPr>
                        <wps:spPr bwMode="auto">
                          <a:xfrm>
                            <a:off x="5561" y="27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477" name="Line 3262"/>
                        <wps:cNvCnPr>
                          <a:cxnSpLocks noChangeShapeType="1"/>
                        </wps:cNvCnPr>
                        <wps:spPr bwMode="auto">
                          <a:xfrm>
                            <a:off x="5561" y="276"/>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478" name="Line 3261"/>
                        <wps:cNvCnPr>
                          <a:cxnSpLocks noChangeShapeType="1"/>
                        </wps:cNvCnPr>
                        <wps:spPr bwMode="auto">
                          <a:xfrm>
                            <a:off x="5561" y="27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479" name="Line 3260"/>
                        <wps:cNvCnPr>
                          <a:cxnSpLocks noChangeShapeType="1"/>
                        </wps:cNvCnPr>
                        <wps:spPr bwMode="auto">
                          <a:xfrm>
                            <a:off x="6857" y="26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480" name="Line 3259"/>
                        <wps:cNvCnPr>
                          <a:cxnSpLocks noChangeShapeType="1"/>
                        </wps:cNvCnPr>
                        <wps:spPr bwMode="auto">
                          <a:xfrm>
                            <a:off x="6857" y="264"/>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481" name="Line 3258"/>
                        <wps:cNvCnPr>
                          <a:cxnSpLocks noChangeShapeType="1"/>
                        </wps:cNvCnPr>
                        <wps:spPr bwMode="auto">
                          <a:xfrm>
                            <a:off x="6857" y="266"/>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482" name="Line 3257"/>
                        <wps:cNvCnPr>
                          <a:cxnSpLocks noChangeShapeType="1"/>
                        </wps:cNvCnPr>
                        <wps:spPr bwMode="auto">
                          <a:xfrm>
                            <a:off x="6857" y="26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483" name="Line 3256"/>
                        <wps:cNvCnPr>
                          <a:cxnSpLocks noChangeShapeType="1"/>
                        </wps:cNvCnPr>
                        <wps:spPr bwMode="auto">
                          <a:xfrm>
                            <a:off x="6857" y="27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484" name="Line 3255"/>
                        <wps:cNvCnPr>
                          <a:cxnSpLocks noChangeShapeType="1"/>
                        </wps:cNvCnPr>
                        <wps:spPr bwMode="auto">
                          <a:xfrm>
                            <a:off x="6857" y="27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485" name="Line 3254"/>
                        <wps:cNvCnPr>
                          <a:cxnSpLocks noChangeShapeType="1"/>
                        </wps:cNvCnPr>
                        <wps:spPr bwMode="auto">
                          <a:xfrm>
                            <a:off x="6857" y="276"/>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486" name="Line 3253"/>
                        <wps:cNvCnPr>
                          <a:cxnSpLocks noChangeShapeType="1"/>
                        </wps:cNvCnPr>
                        <wps:spPr bwMode="auto">
                          <a:xfrm>
                            <a:off x="6857" y="27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487" name="Line 3252"/>
                        <wps:cNvCnPr>
                          <a:cxnSpLocks noChangeShapeType="1"/>
                        </wps:cNvCnPr>
                        <wps:spPr bwMode="auto">
                          <a:xfrm>
                            <a:off x="8153" y="261"/>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488" name="Line 3251"/>
                        <wps:cNvCnPr>
                          <a:cxnSpLocks noChangeShapeType="1"/>
                        </wps:cNvCnPr>
                        <wps:spPr bwMode="auto">
                          <a:xfrm>
                            <a:off x="8153" y="264"/>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489" name="Line 3250"/>
                        <wps:cNvCnPr>
                          <a:cxnSpLocks noChangeShapeType="1"/>
                        </wps:cNvCnPr>
                        <wps:spPr bwMode="auto">
                          <a:xfrm>
                            <a:off x="8153" y="266"/>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490" name="Line 3249"/>
                        <wps:cNvCnPr>
                          <a:cxnSpLocks noChangeShapeType="1"/>
                        </wps:cNvCnPr>
                        <wps:spPr bwMode="auto">
                          <a:xfrm>
                            <a:off x="8153" y="268"/>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491" name="Line 3248"/>
                        <wps:cNvCnPr>
                          <a:cxnSpLocks noChangeShapeType="1"/>
                        </wps:cNvCnPr>
                        <wps:spPr bwMode="auto">
                          <a:xfrm>
                            <a:off x="8153" y="271"/>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492" name="Line 3247"/>
                        <wps:cNvCnPr>
                          <a:cxnSpLocks noChangeShapeType="1"/>
                        </wps:cNvCnPr>
                        <wps:spPr bwMode="auto">
                          <a:xfrm>
                            <a:off x="8153" y="273"/>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493" name="Line 3246"/>
                        <wps:cNvCnPr>
                          <a:cxnSpLocks noChangeShapeType="1"/>
                        </wps:cNvCnPr>
                        <wps:spPr bwMode="auto">
                          <a:xfrm>
                            <a:off x="8153" y="276"/>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494" name="Line 3245"/>
                        <wps:cNvCnPr>
                          <a:cxnSpLocks noChangeShapeType="1"/>
                        </wps:cNvCnPr>
                        <wps:spPr bwMode="auto">
                          <a:xfrm>
                            <a:off x="8153" y="278"/>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495" name="Line 3244"/>
                        <wps:cNvCnPr>
                          <a:cxnSpLocks noChangeShapeType="1"/>
                        </wps:cNvCnPr>
                        <wps:spPr bwMode="auto">
                          <a:xfrm>
                            <a:off x="8321" y="26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496" name="Line 3243"/>
                        <wps:cNvCnPr>
                          <a:cxnSpLocks noChangeShapeType="1"/>
                        </wps:cNvCnPr>
                        <wps:spPr bwMode="auto">
                          <a:xfrm>
                            <a:off x="8321" y="264"/>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497" name="Line 3242"/>
                        <wps:cNvCnPr>
                          <a:cxnSpLocks noChangeShapeType="1"/>
                        </wps:cNvCnPr>
                        <wps:spPr bwMode="auto">
                          <a:xfrm>
                            <a:off x="8321" y="266"/>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498" name="Line 3241"/>
                        <wps:cNvCnPr>
                          <a:cxnSpLocks noChangeShapeType="1"/>
                        </wps:cNvCnPr>
                        <wps:spPr bwMode="auto">
                          <a:xfrm>
                            <a:off x="8321" y="26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499" name="Line 3240"/>
                        <wps:cNvCnPr>
                          <a:cxnSpLocks noChangeShapeType="1"/>
                        </wps:cNvCnPr>
                        <wps:spPr bwMode="auto">
                          <a:xfrm>
                            <a:off x="8321" y="27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500" name="Line 3239"/>
                        <wps:cNvCnPr>
                          <a:cxnSpLocks noChangeShapeType="1"/>
                        </wps:cNvCnPr>
                        <wps:spPr bwMode="auto">
                          <a:xfrm>
                            <a:off x="8321" y="27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501" name="Line 3238"/>
                        <wps:cNvCnPr>
                          <a:cxnSpLocks noChangeShapeType="1"/>
                        </wps:cNvCnPr>
                        <wps:spPr bwMode="auto">
                          <a:xfrm>
                            <a:off x="8321" y="276"/>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502" name="Line 3237"/>
                        <wps:cNvCnPr>
                          <a:cxnSpLocks noChangeShapeType="1"/>
                        </wps:cNvCnPr>
                        <wps:spPr bwMode="auto">
                          <a:xfrm>
                            <a:off x="8321" y="27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503" name="Line 3236"/>
                        <wps:cNvCnPr>
                          <a:cxnSpLocks noChangeShapeType="1"/>
                        </wps:cNvCnPr>
                        <wps:spPr bwMode="auto">
                          <a:xfrm>
                            <a:off x="9617" y="26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504" name="Line 3235"/>
                        <wps:cNvCnPr>
                          <a:cxnSpLocks noChangeShapeType="1"/>
                        </wps:cNvCnPr>
                        <wps:spPr bwMode="auto">
                          <a:xfrm>
                            <a:off x="9617" y="264"/>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505" name="Line 3234"/>
                        <wps:cNvCnPr>
                          <a:cxnSpLocks noChangeShapeType="1"/>
                        </wps:cNvCnPr>
                        <wps:spPr bwMode="auto">
                          <a:xfrm>
                            <a:off x="9617" y="266"/>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506" name="Line 3233"/>
                        <wps:cNvCnPr>
                          <a:cxnSpLocks noChangeShapeType="1"/>
                        </wps:cNvCnPr>
                        <wps:spPr bwMode="auto">
                          <a:xfrm>
                            <a:off x="9617" y="26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507" name="Line 3232"/>
                        <wps:cNvCnPr>
                          <a:cxnSpLocks noChangeShapeType="1"/>
                        </wps:cNvCnPr>
                        <wps:spPr bwMode="auto">
                          <a:xfrm>
                            <a:off x="9617" y="27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508" name="Line 3231"/>
                        <wps:cNvCnPr>
                          <a:cxnSpLocks noChangeShapeType="1"/>
                        </wps:cNvCnPr>
                        <wps:spPr bwMode="auto">
                          <a:xfrm>
                            <a:off x="9617" y="27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509" name="Line 3230"/>
                        <wps:cNvCnPr>
                          <a:cxnSpLocks noChangeShapeType="1"/>
                        </wps:cNvCnPr>
                        <wps:spPr bwMode="auto">
                          <a:xfrm>
                            <a:off x="9617" y="276"/>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510" name="Line 3229"/>
                        <wps:cNvCnPr>
                          <a:cxnSpLocks noChangeShapeType="1"/>
                        </wps:cNvCnPr>
                        <wps:spPr bwMode="auto">
                          <a:xfrm>
                            <a:off x="9617" y="27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3B7001" id="Group 3228" o:spid="_x0000_s1026" style="position:absolute;margin-left:269.65pt;margin-top:13pt;width:187.65pt;height:.65pt;z-index:15736832;mso-position-horizontal-relative:page" coordorigin="5393,260" coordsize="55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">
                <v:line id="Line 3276" o:spid="_x0000_s1027" style="position:absolute;visibility:visible;mso-wrap-style:square" from="5393,261" to="556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" strokeweight=".12pt"/>
                <v:line id="Line 3275" o:spid="_x0000_s1028" style="position:absolute;visibility:visible;mso-wrap-style:square" from="5393,264" to="556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" strokeweight=".12pt"/>
                <v:line id="Line 3274" o:spid="_x0000_s1029" style="position:absolute;visibility:visible;mso-wrap-style:square" from="5393,266" to="5561,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" strokeweight=".12pt"/>
                <v:line id="Line 3273" o:spid="_x0000_s1030" style="position:absolute;visibility:visible;mso-wrap-style:square" from="5393,268" to="5561,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" strokeweight=".12pt"/>
                <v:line id="Line 3272" o:spid="_x0000_s1031" style="position:absolute;visibility:visible;mso-wrap-style:square" from="5393,271" to="5561,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" strokeweight=".12pt"/>
                <v:line id="Line 3271" o:spid="_x0000_s1032" style="position:absolute;visibility:visible;mso-wrap-style:square" from="5393,273" to="5561,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" strokeweight=".12pt"/>
                <v:line id="Line 3270" o:spid="_x0000_s1033" style="position:absolute;visibility:visible;mso-wrap-style:square" from="5393,276" to="556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" strokeweight=".12pt"/>
                <v:line id="Line 3269" o:spid="_x0000_s1034" style="position:absolute;visibility:visible;mso-wrap-style:square" from="5393,278" to="5561,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" strokeweight=".12pt"/>
                <v:line id="Line 3268" o:spid="_x0000_s1035" style="position:absolute;visibility:visible;mso-wrap-style:square" from="5561,261" to="6857,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" strokeweight=".12pt"/>
                <v:line id="Line 3267" o:spid="_x0000_s1036" style="position:absolute;visibility:visible;mso-wrap-style:square" from="5561,264" to="6857,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" strokeweight=".12pt"/>
                <v:line id="Line 3266" o:spid="_x0000_s1037" style="position:absolute;visibility:visible;mso-wrap-style:square" from="5561,266" to="6857,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" strokeweight=".12pt"/>
                <v:line id="Line 3265" o:spid="_x0000_s1038" style="position:absolute;visibility:visible;mso-wrap-style:square" from="5561,268" to="6857,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" strokeweight=".12pt"/>
                <v:line id="Line 3264" o:spid="_x0000_s1039" style="position:absolute;visibility:visible;mso-wrap-style:square" from="5561,271" to="6857,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" strokeweight=".12pt"/>
                <v:line id="Line 3263" o:spid="_x0000_s1040" style="position:absolute;visibility:visible;mso-wrap-style:square" from="5561,273" to="6857,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" strokeweight=".12pt"/>
                <v:line id="Line 3262" o:spid="_x0000_s1041" style="position:absolute;visibility:visible;mso-wrap-style:square" from="5561,276" to="6857,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" strokeweight=".12pt"/>
                <v:line id="Line 3261" o:spid="_x0000_s1042" style="position:absolute;visibility:visible;mso-wrap-style:square" from="5561,278" to="6857,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" strokeweight=".12pt"/>
                <v:line id="Line 3260" o:spid="_x0000_s1043" style="position:absolute;visibility:visible;mso-wrap-style:square" from="6857,261" to="8153,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" strokeweight=".12pt"/>
                <v:line id="Line 3259" o:spid="_x0000_s1044" style="position:absolute;visibility:visible;mso-wrap-style:square" from="6857,264" to="8153,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" strokeweight=".12pt"/>
                <v:line id="Line 3258" o:spid="_x0000_s1045" style="position:absolute;visibility:visible;mso-wrap-style:square" from="6857,266" to="8153,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" strokeweight=".12pt"/>
                <v:line id="Line 3257" o:spid="_x0000_s1046" style="position:absolute;visibility:visible;mso-wrap-style:square" from="6857,268" to="8153,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" strokeweight=".12pt"/>
                <v:line id="Line 3256" o:spid="_x0000_s1047" style="position:absolute;visibility:visible;mso-wrap-style:square" from="6857,271" to="8153,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" strokeweight=".12pt"/>
                <v:line id="Line 3255" o:spid="_x0000_s1048" style="position:absolute;visibility:visible;mso-wrap-style:square" from="6857,273" to="8153,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" strokeweight=".12pt"/>
                <v:line id="Line 3254" o:spid="_x0000_s1049" style="position:absolute;visibility:visible;mso-wrap-style:square" from="6857,276" to="8153,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" strokeweight=".12pt"/>
                <v:line id="Line 3253" o:spid="_x0000_s1050" style="position:absolute;visibility:visible;mso-wrap-style:square" from="6857,278" to="8153,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" strokeweight=".12pt"/>
                <v:line id="Line 3252" o:spid="_x0000_s1051" style="position:absolute;visibility:visible;mso-wrap-style:square" from="8153,261" to="832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" strokeweight=".12pt"/>
                <v:line id="Line 3251" o:spid="_x0000_s1052" style="position:absolute;visibility:visible;mso-wrap-style:square" from="8153,264" to="832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" strokeweight=".12pt"/>
                <v:line id="Line 3250" o:spid="_x0000_s1053" style="position:absolute;visibility:visible;mso-wrap-style:square" from="8153,266" to="8321,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" strokeweight=".12pt"/>
                <v:line id="Line 3249" o:spid="_x0000_s1054" style="position:absolute;visibility:visible;mso-wrap-style:square" from="8153,268" to="8321,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" strokeweight=".12pt"/>
                <v:line id="Line 3248" o:spid="_x0000_s1055" style="position:absolute;visibility:visible;mso-wrap-style:square" from="8153,271" to="8321,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" strokeweight=".12pt"/>
                <v:line id="Line 3247" o:spid="_x0000_s1056" style="position:absolute;visibility:visible;mso-wrap-style:square" from="8153,273" to="8321,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" strokeweight=".12pt"/>
                <v:line id="Line 3246" o:spid="_x0000_s1057" style="position:absolute;visibility:visible;mso-wrap-style:square" from="8153,276" to="832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" strokeweight=".12pt"/>
                <v:line id="Line 3245" o:spid="_x0000_s1058" style="position:absolute;visibility:visible;mso-wrap-style:square" from="8153,278" to="8321,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" strokeweight=".12pt"/>
                <v:line id="Line 3244" o:spid="_x0000_s1059" style="position:absolute;visibility:visible;mso-wrap-style:square" from="8321,261" to="9617,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" strokeweight=".12pt"/>
                <v:line id="Line 3243" o:spid="_x0000_s1060" style="position:absolute;visibility:visible;mso-wrap-style:square" from="8321,264" to="9617,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" strokeweight=".12pt"/>
                <v:line id="Line 3242" o:spid="_x0000_s1061" style="position:absolute;visibility:visible;mso-wrap-style:square" from="8321,266" to="9617,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" strokeweight=".12pt"/>
                <v:line id="Line 3241" o:spid="_x0000_s1062" style="position:absolute;visibility:visible;mso-wrap-style:square" from="8321,268" to="9617,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" strokeweight=".12pt"/>
                <v:line id="Line 3240" o:spid="_x0000_s1063" style="position:absolute;visibility:visible;mso-wrap-style:square" from="8321,271" to="9617,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" strokeweight=".12pt"/>
                <v:line id="Line 3239" o:spid="_x0000_s1064" style="position:absolute;visibility:visible;mso-wrap-style:square" from="8321,273" to="9617,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" strokeweight=".12pt"/>
                <v:line id="Line 3238" o:spid="_x0000_s1065" style="position:absolute;visibility:visible;mso-wrap-style:square" from="8321,276" to="9617,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" strokeweight=".12pt"/>
                <v:line id="Line 3237" o:spid="_x0000_s1066" style="position:absolute;visibility:visible;mso-wrap-style:square" from="8321,278" to="9617,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" strokeweight=".12pt"/>
                <v:line id="Line 3236" o:spid="_x0000_s1067" style="position:absolute;visibility:visible;mso-wrap-style:square" from="9617,261" to="10913,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" strokeweight=".12pt"/>
                <v:line id="Line 3235" o:spid="_x0000_s1068" style="position:absolute;visibility:visible;mso-wrap-style:square" from="9617,264" to="10913,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" strokeweight=".12pt"/>
                <v:line id="Line 3234" o:spid="_x0000_s1069" style="position:absolute;visibility:visible;mso-wrap-style:square" from="9617,266" to="10913,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" strokeweight=".12pt"/>
                <v:line id="Line 3233" o:spid="_x0000_s1070" style="position:absolute;visibility:visible;mso-wrap-style:square" from="9617,268" to="10913,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" strokeweight=".12pt"/>
                <v:line id="Line 3232" o:spid="_x0000_s1071" style="position:absolute;visibility:visible;mso-wrap-style:square" from="9617,271" to="10913,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" strokeweight=".12pt"/>
                <v:line id="Line 3231" o:spid="_x0000_s1072" style="position:absolute;visibility:visible;mso-wrap-style:square" from="9617,273" to="10913,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" strokeweight=".12pt"/>
                <v:line id="Line 3230" o:spid="_x0000_s1073" style="position:absolute;visibility:visible;mso-wrap-style:square" from="9617,276" to="10913,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" strokeweight=".12pt"/>
                <v:line id="Line 3229" o:spid="_x0000_s1074" style="position:absolute;visibility:visible;mso-wrap-style:square" from="9617,278" to="10913,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" strokeweight=".12pt"/>
                <w10:wrap anchorx="page"/>
              </v:group>
            </w:pict>
          </mc:Fallback>
        </mc:AlternateContent>
      </w:r>
      <w:r w:rsidR="0015611F">
        <w:t>NSW Department of</w:t>
      </w:r>
      <w:r w:rsidR="0015611F">
        <w:rPr>
          <w:spacing w:val="8"/>
        </w:rPr>
        <w:t xml:space="preserve"> </w:t>
      </w:r>
      <w:r w:rsidR="0015611F">
        <w:t>Primary Industries</w:t>
      </w:r>
      <w:r w:rsidR="0015611F">
        <w:tab/>
      </w:r>
      <w:r w:rsidR="0015611F">
        <w:rPr>
          <w:b/>
        </w:rPr>
        <w:t>128</w:t>
      </w:r>
      <w:r w:rsidR="0015611F">
        <w:rPr>
          <w:b/>
        </w:rPr>
        <w:tab/>
      </w:r>
      <w:r w:rsidR="0015611F">
        <w:t>19</w:t>
      </w:r>
      <w:r w:rsidR="0015611F">
        <w:tab/>
      </w:r>
      <w:r w:rsidR="0015611F">
        <w:rPr>
          <w:b/>
        </w:rPr>
        <w:t>128</w:t>
      </w:r>
      <w:r w:rsidR="0015611F">
        <w:rPr>
          <w:b/>
        </w:rPr>
        <w:tab/>
      </w:r>
      <w:r w:rsidR="0015611F">
        <w:t>19</w:t>
      </w:r>
    </w:p>
    <w:p w14:paraId="4B57D825" w14:textId="77777777" w:rsidR="00FA4AA8" w:rsidRDefault="007E2441">
      <w:pPr>
        <w:tabs>
          <w:tab w:val="left" w:pos="5627"/>
          <w:tab w:val="left" w:pos="7024"/>
          <w:tab w:val="left" w:pos="8387"/>
          <w:tab w:val="right" w:pos="9986"/>
        </w:tabs>
        <w:spacing w:before="128"/>
        <w:ind w:left="590"/>
        <w:rPr>
          <w:sz w:val="18"/>
        </w:rPr>
      </w:pPr>
      <w:r>
        <w:rPr>
          <w:noProof/>
          <w:lang w:val="en-AU" w:eastAsia="en-AU"/>
        </w:rPr>
        <mc:AlternateContent>
          <mc:Choice Requires="wpg">
            <w:drawing>
              <wp:anchor distT="0" distB="0" distL="114300" distR="114300" simplePos="0" relativeHeight="15737344" behindDoc="0" locked="0" layoutInCell="1" allowOverlap="1" wp14:anchorId="60A471FB" wp14:editId="1FB59F86">
                <wp:simplePos x="0" y="0"/>
                <wp:positionH relativeFrom="page">
                  <wp:posOffset>3424555</wp:posOffset>
                </wp:positionH>
                <wp:positionV relativeFrom="paragraph">
                  <wp:posOffset>229870</wp:posOffset>
                </wp:positionV>
                <wp:extent cx="2383155" cy="8255"/>
                <wp:effectExtent l="0" t="0" r="0" b="0"/>
                <wp:wrapNone/>
                <wp:docPr id="3365" name="Group 3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3155" cy="8255"/>
                          <a:chOff x="5393" y="362"/>
                          <a:chExt cx="5520" cy="20"/>
                        </a:xfrm>
                      </wpg:grpSpPr>
                      <wps:wsp>
                        <wps:cNvPr id="3366" name="Line 3227"/>
                        <wps:cNvCnPr>
                          <a:cxnSpLocks noChangeShapeType="1"/>
                        </wps:cNvCnPr>
                        <wps:spPr bwMode="auto">
                          <a:xfrm>
                            <a:off x="5393" y="363"/>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367" name="Line 3226"/>
                        <wps:cNvCnPr>
                          <a:cxnSpLocks noChangeShapeType="1"/>
                        </wps:cNvCnPr>
                        <wps:spPr bwMode="auto">
                          <a:xfrm>
                            <a:off x="5393" y="365"/>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368" name="Line 3225"/>
                        <wps:cNvCnPr>
                          <a:cxnSpLocks noChangeShapeType="1"/>
                        </wps:cNvCnPr>
                        <wps:spPr bwMode="auto">
                          <a:xfrm>
                            <a:off x="5393" y="368"/>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369" name="Line 3224"/>
                        <wps:cNvCnPr>
                          <a:cxnSpLocks noChangeShapeType="1"/>
                        </wps:cNvCnPr>
                        <wps:spPr bwMode="auto">
                          <a:xfrm>
                            <a:off x="5393" y="370"/>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370" name="Line 3223"/>
                        <wps:cNvCnPr>
                          <a:cxnSpLocks noChangeShapeType="1"/>
                        </wps:cNvCnPr>
                        <wps:spPr bwMode="auto">
                          <a:xfrm>
                            <a:off x="5393" y="372"/>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371" name="Line 3222"/>
                        <wps:cNvCnPr>
                          <a:cxnSpLocks noChangeShapeType="1"/>
                        </wps:cNvCnPr>
                        <wps:spPr bwMode="auto">
                          <a:xfrm>
                            <a:off x="5393" y="375"/>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372" name="Line 3221"/>
                        <wps:cNvCnPr>
                          <a:cxnSpLocks noChangeShapeType="1"/>
                        </wps:cNvCnPr>
                        <wps:spPr bwMode="auto">
                          <a:xfrm>
                            <a:off x="5393" y="377"/>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373" name="Line 3220"/>
                        <wps:cNvCnPr>
                          <a:cxnSpLocks noChangeShapeType="1"/>
                        </wps:cNvCnPr>
                        <wps:spPr bwMode="auto">
                          <a:xfrm>
                            <a:off x="5393" y="380"/>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374" name="Line 3219"/>
                        <wps:cNvCnPr>
                          <a:cxnSpLocks noChangeShapeType="1"/>
                        </wps:cNvCnPr>
                        <wps:spPr bwMode="auto">
                          <a:xfrm>
                            <a:off x="5561" y="36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375" name="Line 3218"/>
                        <wps:cNvCnPr>
                          <a:cxnSpLocks noChangeShapeType="1"/>
                        </wps:cNvCnPr>
                        <wps:spPr bwMode="auto">
                          <a:xfrm>
                            <a:off x="5561" y="36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376" name="Line 3217"/>
                        <wps:cNvCnPr>
                          <a:cxnSpLocks noChangeShapeType="1"/>
                        </wps:cNvCnPr>
                        <wps:spPr bwMode="auto">
                          <a:xfrm>
                            <a:off x="5561" y="36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377" name="Line 3216"/>
                        <wps:cNvCnPr>
                          <a:cxnSpLocks noChangeShapeType="1"/>
                        </wps:cNvCnPr>
                        <wps:spPr bwMode="auto">
                          <a:xfrm>
                            <a:off x="5561" y="37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378" name="Line 3215"/>
                        <wps:cNvCnPr>
                          <a:cxnSpLocks noChangeShapeType="1"/>
                        </wps:cNvCnPr>
                        <wps:spPr bwMode="auto">
                          <a:xfrm>
                            <a:off x="5561" y="372"/>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379" name="Line 3214"/>
                        <wps:cNvCnPr>
                          <a:cxnSpLocks noChangeShapeType="1"/>
                        </wps:cNvCnPr>
                        <wps:spPr bwMode="auto">
                          <a:xfrm>
                            <a:off x="5561" y="37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380" name="Line 3213"/>
                        <wps:cNvCnPr>
                          <a:cxnSpLocks noChangeShapeType="1"/>
                        </wps:cNvCnPr>
                        <wps:spPr bwMode="auto">
                          <a:xfrm>
                            <a:off x="5561" y="377"/>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381" name="Line 3212"/>
                        <wps:cNvCnPr>
                          <a:cxnSpLocks noChangeShapeType="1"/>
                        </wps:cNvCnPr>
                        <wps:spPr bwMode="auto">
                          <a:xfrm>
                            <a:off x="5561" y="38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382" name="Line 3211"/>
                        <wps:cNvCnPr>
                          <a:cxnSpLocks noChangeShapeType="1"/>
                        </wps:cNvCnPr>
                        <wps:spPr bwMode="auto">
                          <a:xfrm>
                            <a:off x="6857" y="36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383" name="Line 3210"/>
                        <wps:cNvCnPr>
                          <a:cxnSpLocks noChangeShapeType="1"/>
                        </wps:cNvCnPr>
                        <wps:spPr bwMode="auto">
                          <a:xfrm>
                            <a:off x="6857" y="36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384" name="Line 3209"/>
                        <wps:cNvCnPr>
                          <a:cxnSpLocks noChangeShapeType="1"/>
                        </wps:cNvCnPr>
                        <wps:spPr bwMode="auto">
                          <a:xfrm>
                            <a:off x="6857" y="36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385" name="Line 3208"/>
                        <wps:cNvCnPr>
                          <a:cxnSpLocks noChangeShapeType="1"/>
                        </wps:cNvCnPr>
                        <wps:spPr bwMode="auto">
                          <a:xfrm>
                            <a:off x="6857" y="37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386" name="Line 3207"/>
                        <wps:cNvCnPr>
                          <a:cxnSpLocks noChangeShapeType="1"/>
                        </wps:cNvCnPr>
                        <wps:spPr bwMode="auto">
                          <a:xfrm>
                            <a:off x="6857" y="372"/>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387" name="Line 3206"/>
                        <wps:cNvCnPr>
                          <a:cxnSpLocks noChangeShapeType="1"/>
                        </wps:cNvCnPr>
                        <wps:spPr bwMode="auto">
                          <a:xfrm>
                            <a:off x="6857" y="37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388" name="Line 3205"/>
                        <wps:cNvCnPr>
                          <a:cxnSpLocks noChangeShapeType="1"/>
                        </wps:cNvCnPr>
                        <wps:spPr bwMode="auto">
                          <a:xfrm>
                            <a:off x="6857" y="377"/>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389" name="Line 3204"/>
                        <wps:cNvCnPr>
                          <a:cxnSpLocks noChangeShapeType="1"/>
                        </wps:cNvCnPr>
                        <wps:spPr bwMode="auto">
                          <a:xfrm>
                            <a:off x="6857" y="38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390" name="Line 3203"/>
                        <wps:cNvCnPr>
                          <a:cxnSpLocks noChangeShapeType="1"/>
                        </wps:cNvCnPr>
                        <wps:spPr bwMode="auto">
                          <a:xfrm>
                            <a:off x="8153" y="363"/>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391" name="Line 3202"/>
                        <wps:cNvCnPr>
                          <a:cxnSpLocks noChangeShapeType="1"/>
                        </wps:cNvCnPr>
                        <wps:spPr bwMode="auto">
                          <a:xfrm>
                            <a:off x="8153" y="365"/>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392" name="Line 3201"/>
                        <wps:cNvCnPr>
                          <a:cxnSpLocks noChangeShapeType="1"/>
                        </wps:cNvCnPr>
                        <wps:spPr bwMode="auto">
                          <a:xfrm>
                            <a:off x="8153" y="368"/>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393" name="Line 3200"/>
                        <wps:cNvCnPr>
                          <a:cxnSpLocks noChangeShapeType="1"/>
                        </wps:cNvCnPr>
                        <wps:spPr bwMode="auto">
                          <a:xfrm>
                            <a:off x="8153" y="370"/>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394" name="Line 3199"/>
                        <wps:cNvCnPr>
                          <a:cxnSpLocks noChangeShapeType="1"/>
                        </wps:cNvCnPr>
                        <wps:spPr bwMode="auto">
                          <a:xfrm>
                            <a:off x="8153" y="372"/>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395" name="Line 3198"/>
                        <wps:cNvCnPr>
                          <a:cxnSpLocks noChangeShapeType="1"/>
                        </wps:cNvCnPr>
                        <wps:spPr bwMode="auto">
                          <a:xfrm>
                            <a:off x="8153" y="375"/>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396" name="Line 3197"/>
                        <wps:cNvCnPr>
                          <a:cxnSpLocks noChangeShapeType="1"/>
                        </wps:cNvCnPr>
                        <wps:spPr bwMode="auto">
                          <a:xfrm>
                            <a:off x="8153" y="377"/>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397" name="Line 3196"/>
                        <wps:cNvCnPr>
                          <a:cxnSpLocks noChangeShapeType="1"/>
                        </wps:cNvCnPr>
                        <wps:spPr bwMode="auto">
                          <a:xfrm>
                            <a:off x="8153" y="380"/>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398" name="Line 3195"/>
                        <wps:cNvCnPr>
                          <a:cxnSpLocks noChangeShapeType="1"/>
                        </wps:cNvCnPr>
                        <wps:spPr bwMode="auto">
                          <a:xfrm>
                            <a:off x="8321" y="36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399" name="Line 3194"/>
                        <wps:cNvCnPr>
                          <a:cxnSpLocks noChangeShapeType="1"/>
                        </wps:cNvCnPr>
                        <wps:spPr bwMode="auto">
                          <a:xfrm>
                            <a:off x="8321" y="36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400" name="Line 3193"/>
                        <wps:cNvCnPr>
                          <a:cxnSpLocks noChangeShapeType="1"/>
                        </wps:cNvCnPr>
                        <wps:spPr bwMode="auto">
                          <a:xfrm>
                            <a:off x="8321" y="36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401" name="Line 3192"/>
                        <wps:cNvCnPr>
                          <a:cxnSpLocks noChangeShapeType="1"/>
                        </wps:cNvCnPr>
                        <wps:spPr bwMode="auto">
                          <a:xfrm>
                            <a:off x="8321" y="37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402" name="Line 3191"/>
                        <wps:cNvCnPr>
                          <a:cxnSpLocks noChangeShapeType="1"/>
                        </wps:cNvCnPr>
                        <wps:spPr bwMode="auto">
                          <a:xfrm>
                            <a:off x="8321" y="372"/>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403" name="Line 3190"/>
                        <wps:cNvCnPr>
                          <a:cxnSpLocks noChangeShapeType="1"/>
                        </wps:cNvCnPr>
                        <wps:spPr bwMode="auto">
                          <a:xfrm>
                            <a:off x="8321" y="37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404" name="Line 3189"/>
                        <wps:cNvCnPr>
                          <a:cxnSpLocks noChangeShapeType="1"/>
                        </wps:cNvCnPr>
                        <wps:spPr bwMode="auto">
                          <a:xfrm>
                            <a:off x="8321" y="377"/>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405" name="Line 3188"/>
                        <wps:cNvCnPr>
                          <a:cxnSpLocks noChangeShapeType="1"/>
                        </wps:cNvCnPr>
                        <wps:spPr bwMode="auto">
                          <a:xfrm>
                            <a:off x="8321" y="38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406" name="Line 3187"/>
                        <wps:cNvCnPr>
                          <a:cxnSpLocks noChangeShapeType="1"/>
                        </wps:cNvCnPr>
                        <wps:spPr bwMode="auto">
                          <a:xfrm>
                            <a:off x="9617" y="36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407" name="Line 3186"/>
                        <wps:cNvCnPr>
                          <a:cxnSpLocks noChangeShapeType="1"/>
                        </wps:cNvCnPr>
                        <wps:spPr bwMode="auto">
                          <a:xfrm>
                            <a:off x="9617" y="36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408" name="Line 3185"/>
                        <wps:cNvCnPr>
                          <a:cxnSpLocks noChangeShapeType="1"/>
                        </wps:cNvCnPr>
                        <wps:spPr bwMode="auto">
                          <a:xfrm>
                            <a:off x="9617" y="36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409" name="Line 3184"/>
                        <wps:cNvCnPr>
                          <a:cxnSpLocks noChangeShapeType="1"/>
                        </wps:cNvCnPr>
                        <wps:spPr bwMode="auto">
                          <a:xfrm>
                            <a:off x="9617" y="37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410" name="Line 3183"/>
                        <wps:cNvCnPr>
                          <a:cxnSpLocks noChangeShapeType="1"/>
                        </wps:cNvCnPr>
                        <wps:spPr bwMode="auto">
                          <a:xfrm>
                            <a:off x="9617" y="372"/>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411" name="Line 3182"/>
                        <wps:cNvCnPr>
                          <a:cxnSpLocks noChangeShapeType="1"/>
                        </wps:cNvCnPr>
                        <wps:spPr bwMode="auto">
                          <a:xfrm>
                            <a:off x="9617" y="37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412" name="Line 3181"/>
                        <wps:cNvCnPr>
                          <a:cxnSpLocks noChangeShapeType="1"/>
                        </wps:cNvCnPr>
                        <wps:spPr bwMode="auto">
                          <a:xfrm>
                            <a:off x="9617" y="377"/>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413" name="Line 3180"/>
                        <wps:cNvCnPr>
                          <a:cxnSpLocks noChangeShapeType="1"/>
                        </wps:cNvCnPr>
                        <wps:spPr bwMode="auto">
                          <a:xfrm>
                            <a:off x="9617" y="38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414" name="Line 3179"/>
                        <wps:cNvCnPr>
                          <a:cxnSpLocks noChangeShapeType="1"/>
                        </wps:cNvCnPr>
                        <wps:spPr bwMode="auto">
                          <a:xfrm>
                            <a:off x="5393" y="363"/>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415" name="Line 3178"/>
                        <wps:cNvCnPr>
                          <a:cxnSpLocks noChangeShapeType="1"/>
                        </wps:cNvCnPr>
                        <wps:spPr bwMode="auto">
                          <a:xfrm>
                            <a:off x="5393" y="365"/>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416" name="Line 3177"/>
                        <wps:cNvCnPr>
                          <a:cxnSpLocks noChangeShapeType="1"/>
                        </wps:cNvCnPr>
                        <wps:spPr bwMode="auto">
                          <a:xfrm>
                            <a:off x="5393" y="368"/>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417" name="Line 3176"/>
                        <wps:cNvCnPr>
                          <a:cxnSpLocks noChangeShapeType="1"/>
                        </wps:cNvCnPr>
                        <wps:spPr bwMode="auto">
                          <a:xfrm>
                            <a:off x="5393" y="370"/>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418" name="Line 3175"/>
                        <wps:cNvCnPr>
                          <a:cxnSpLocks noChangeShapeType="1"/>
                        </wps:cNvCnPr>
                        <wps:spPr bwMode="auto">
                          <a:xfrm>
                            <a:off x="5393" y="372"/>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419" name="Line 3174"/>
                        <wps:cNvCnPr>
                          <a:cxnSpLocks noChangeShapeType="1"/>
                        </wps:cNvCnPr>
                        <wps:spPr bwMode="auto">
                          <a:xfrm>
                            <a:off x="5393" y="375"/>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420" name="Line 3173"/>
                        <wps:cNvCnPr>
                          <a:cxnSpLocks noChangeShapeType="1"/>
                        </wps:cNvCnPr>
                        <wps:spPr bwMode="auto">
                          <a:xfrm>
                            <a:off x="5393" y="377"/>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421" name="Line 3172"/>
                        <wps:cNvCnPr>
                          <a:cxnSpLocks noChangeShapeType="1"/>
                        </wps:cNvCnPr>
                        <wps:spPr bwMode="auto">
                          <a:xfrm>
                            <a:off x="5393" y="380"/>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422" name="Line 3171"/>
                        <wps:cNvCnPr>
                          <a:cxnSpLocks noChangeShapeType="1"/>
                        </wps:cNvCnPr>
                        <wps:spPr bwMode="auto">
                          <a:xfrm>
                            <a:off x="5561" y="36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423" name="Line 3170"/>
                        <wps:cNvCnPr>
                          <a:cxnSpLocks noChangeShapeType="1"/>
                        </wps:cNvCnPr>
                        <wps:spPr bwMode="auto">
                          <a:xfrm>
                            <a:off x="5561" y="36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424" name="Line 3169"/>
                        <wps:cNvCnPr>
                          <a:cxnSpLocks noChangeShapeType="1"/>
                        </wps:cNvCnPr>
                        <wps:spPr bwMode="auto">
                          <a:xfrm>
                            <a:off x="5561" y="36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425" name="Line 3168"/>
                        <wps:cNvCnPr>
                          <a:cxnSpLocks noChangeShapeType="1"/>
                        </wps:cNvCnPr>
                        <wps:spPr bwMode="auto">
                          <a:xfrm>
                            <a:off x="5561" y="37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426" name="Line 3167"/>
                        <wps:cNvCnPr>
                          <a:cxnSpLocks noChangeShapeType="1"/>
                        </wps:cNvCnPr>
                        <wps:spPr bwMode="auto">
                          <a:xfrm>
                            <a:off x="5561" y="372"/>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427" name="Line 3166"/>
                        <wps:cNvCnPr>
                          <a:cxnSpLocks noChangeShapeType="1"/>
                        </wps:cNvCnPr>
                        <wps:spPr bwMode="auto">
                          <a:xfrm>
                            <a:off x="5561" y="37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428" name="Line 3165"/>
                        <wps:cNvCnPr>
                          <a:cxnSpLocks noChangeShapeType="1"/>
                        </wps:cNvCnPr>
                        <wps:spPr bwMode="auto">
                          <a:xfrm>
                            <a:off x="5561" y="377"/>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429" name="Line 3164"/>
                        <wps:cNvCnPr>
                          <a:cxnSpLocks noChangeShapeType="1"/>
                        </wps:cNvCnPr>
                        <wps:spPr bwMode="auto">
                          <a:xfrm>
                            <a:off x="5561" y="38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430" name="Line 3163"/>
                        <wps:cNvCnPr>
                          <a:cxnSpLocks noChangeShapeType="1"/>
                        </wps:cNvCnPr>
                        <wps:spPr bwMode="auto">
                          <a:xfrm>
                            <a:off x="6857" y="36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431" name="Line 3162"/>
                        <wps:cNvCnPr>
                          <a:cxnSpLocks noChangeShapeType="1"/>
                        </wps:cNvCnPr>
                        <wps:spPr bwMode="auto">
                          <a:xfrm>
                            <a:off x="6857" y="36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432" name="Line 3161"/>
                        <wps:cNvCnPr>
                          <a:cxnSpLocks noChangeShapeType="1"/>
                        </wps:cNvCnPr>
                        <wps:spPr bwMode="auto">
                          <a:xfrm>
                            <a:off x="6857" y="36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433" name="Line 3160"/>
                        <wps:cNvCnPr>
                          <a:cxnSpLocks noChangeShapeType="1"/>
                        </wps:cNvCnPr>
                        <wps:spPr bwMode="auto">
                          <a:xfrm>
                            <a:off x="6857" y="37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434" name="Line 3159"/>
                        <wps:cNvCnPr>
                          <a:cxnSpLocks noChangeShapeType="1"/>
                        </wps:cNvCnPr>
                        <wps:spPr bwMode="auto">
                          <a:xfrm>
                            <a:off x="6857" y="372"/>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435" name="Line 3158"/>
                        <wps:cNvCnPr>
                          <a:cxnSpLocks noChangeShapeType="1"/>
                        </wps:cNvCnPr>
                        <wps:spPr bwMode="auto">
                          <a:xfrm>
                            <a:off x="6857" y="37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436" name="Line 3157"/>
                        <wps:cNvCnPr>
                          <a:cxnSpLocks noChangeShapeType="1"/>
                        </wps:cNvCnPr>
                        <wps:spPr bwMode="auto">
                          <a:xfrm>
                            <a:off x="6857" y="377"/>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437" name="Line 3156"/>
                        <wps:cNvCnPr>
                          <a:cxnSpLocks noChangeShapeType="1"/>
                        </wps:cNvCnPr>
                        <wps:spPr bwMode="auto">
                          <a:xfrm>
                            <a:off x="6857" y="38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438" name="Line 3155"/>
                        <wps:cNvCnPr>
                          <a:cxnSpLocks noChangeShapeType="1"/>
                        </wps:cNvCnPr>
                        <wps:spPr bwMode="auto">
                          <a:xfrm>
                            <a:off x="8153" y="363"/>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439" name="Line 3154"/>
                        <wps:cNvCnPr>
                          <a:cxnSpLocks noChangeShapeType="1"/>
                        </wps:cNvCnPr>
                        <wps:spPr bwMode="auto">
                          <a:xfrm>
                            <a:off x="8153" y="365"/>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440" name="Line 3153"/>
                        <wps:cNvCnPr>
                          <a:cxnSpLocks noChangeShapeType="1"/>
                        </wps:cNvCnPr>
                        <wps:spPr bwMode="auto">
                          <a:xfrm>
                            <a:off x="8153" y="368"/>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441" name="Line 3152"/>
                        <wps:cNvCnPr>
                          <a:cxnSpLocks noChangeShapeType="1"/>
                        </wps:cNvCnPr>
                        <wps:spPr bwMode="auto">
                          <a:xfrm>
                            <a:off x="8153" y="370"/>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442" name="Line 3151"/>
                        <wps:cNvCnPr>
                          <a:cxnSpLocks noChangeShapeType="1"/>
                        </wps:cNvCnPr>
                        <wps:spPr bwMode="auto">
                          <a:xfrm>
                            <a:off x="8153" y="372"/>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443" name="Line 3150"/>
                        <wps:cNvCnPr>
                          <a:cxnSpLocks noChangeShapeType="1"/>
                        </wps:cNvCnPr>
                        <wps:spPr bwMode="auto">
                          <a:xfrm>
                            <a:off x="8153" y="375"/>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444" name="Line 3149"/>
                        <wps:cNvCnPr>
                          <a:cxnSpLocks noChangeShapeType="1"/>
                        </wps:cNvCnPr>
                        <wps:spPr bwMode="auto">
                          <a:xfrm>
                            <a:off x="8153" y="377"/>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445" name="Line 3148"/>
                        <wps:cNvCnPr>
                          <a:cxnSpLocks noChangeShapeType="1"/>
                        </wps:cNvCnPr>
                        <wps:spPr bwMode="auto">
                          <a:xfrm>
                            <a:off x="8153" y="380"/>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446" name="Line 3147"/>
                        <wps:cNvCnPr>
                          <a:cxnSpLocks noChangeShapeType="1"/>
                        </wps:cNvCnPr>
                        <wps:spPr bwMode="auto">
                          <a:xfrm>
                            <a:off x="8321" y="36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447" name="Line 3146"/>
                        <wps:cNvCnPr>
                          <a:cxnSpLocks noChangeShapeType="1"/>
                        </wps:cNvCnPr>
                        <wps:spPr bwMode="auto">
                          <a:xfrm>
                            <a:off x="8321" y="36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448" name="Line 3145"/>
                        <wps:cNvCnPr>
                          <a:cxnSpLocks noChangeShapeType="1"/>
                        </wps:cNvCnPr>
                        <wps:spPr bwMode="auto">
                          <a:xfrm>
                            <a:off x="8321" y="36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449" name="Line 3144"/>
                        <wps:cNvCnPr>
                          <a:cxnSpLocks noChangeShapeType="1"/>
                        </wps:cNvCnPr>
                        <wps:spPr bwMode="auto">
                          <a:xfrm>
                            <a:off x="8321" y="37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450" name="Line 3143"/>
                        <wps:cNvCnPr>
                          <a:cxnSpLocks noChangeShapeType="1"/>
                        </wps:cNvCnPr>
                        <wps:spPr bwMode="auto">
                          <a:xfrm>
                            <a:off x="8321" y="372"/>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451" name="Line 3142"/>
                        <wps:cNvCnPr>
                          <a:cxnSpLocks noChangeShapeType="1"/>
                        </wps:cNvCnPr>
                        <wps:spPr bwMode="auto">
                          <a:xfrm>
                            <a:off x="8321" y="37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452" name="Line 3141"/>
                        <wps:cNvCnPr>
                          <a:cxnSpLocks noChangeShapeType="1"/>
                        </wps:cNvCnPr>
                        <wps:spPr bwMode="auto">
                          <a:xfrm>
                            <a:off x="8321" y="377"/>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453" name="Line 3140"/>
                        <wps:cNvCnPr>
                          <a:cxnSpLocks noChangeShapeType="1"/>
                        </wps:cNvCnPr>
                        <wps:spPr bwMode="auto">
                          <a:xfrm>
                            <a:off x="8321" y="38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454" name="Line 3139"/>
                        <wps:cNvCnPr>
                          <a:cxnSpLocks noChangeShapeType="1"/>
                        </wps:cNvCnPr>
                        <wps:spPr bwMode="auto">
                          <a:xfrm>
                            <a:off x="9617" y="36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455" name="Line 3138"/>
                        <wps:cNvCnPr>
                          <a:cxnSpLocks noChangeShapeType="1"/>
                        </wps:cNvCnPr>
                        <wps:spPr bwMode="auto">
                          <a:xfrm>
                            <a:off x="9617" y="36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456" name="Line 3137"/>
                        <wps:cNvCnPr>
                          <a:cxnSpLocks noChangeShapeType="1"/>
                        </wps:cNvCnPr>
                        <wps:spPr bwMode="auto">
                          <a:xfrm>
                            <a:off x="9617" y="36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457" name="Line 3136"/>
                        <wps:cNvCnPr>
                          <a:cxnSpLocks noChangeShapeType="1"/>
                        </wps:cNvCnPr>
                        <wps:spPr bwMode="auto">
                          <a:xfrm>
                            <a:off x="9617" y="37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458" name="Line 3135"/>
                        <wps:cNvCnPr>
                          <a:cxnSpLocks noChangeShapeType="1"/>
                        </wps:cNvCnPr>
                        <wps:spPr bwMode="auto">
                          <a:xfrm>
                            <a:off x="9617" y="372"/>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459" name="Line 3134"/>
                        <wps:cNvCnPr>
                          <a:cxnSpLocks noChangeShapeType="1"/>
                        </wps:cNvCnPr>
                        <wps:spPr bwMode="auto">
                          <a:xfrm>
                            <a:off x="9617" y="37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460" name="Line 3133"/>
                        <wps:cNvCnPr>
                          <a:cxnSpLocks noChangeShapeType="1"/>
                        </wps:cNvCnPr>
                        <wps:spPr bwMode="auto">
                          <a:xfrm>
                            <a:off x="9617" y="377"/>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461" name="Line 3132"/>
                        <wps:cNvCnPr>
                          <a:cxnSpLocks noChangeShapeType="1"/>
                        </wps:cNvCnPr>
                        <wps:spPr bwMode="auto">
                          <a:xfrm>
                            <a:off x="9617" y="38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5BFD55" id="Group 3131" o:spid="_x0000_s1026" style="position:absolute;margin-left:269.65pt;margin-top:18.1pt;width:187.65pt;height:.65pt;z-index:15737344;mso-position-horizontal-relative:page" coordorigin="5393,362" coordsize="55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">
                <v:line id="Line 3227" o:spid="_x0000_s1027" style="position:absolute;visibility:visible;mso-wrap-style:square" from="5393,363" to="5561,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" strokeweight=".12pt"/>
                <v:line id="Line 3226" o:spid="_x0000_s1028" style="position:absolute;visibility:visible;mso-wrap-style:square" from="5393,365" to="5561,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" strokeweight=".12pt"/>
                <v:line id="Line 3225" o:spid="_x0000_s1029" style="position:absolute;visibility:visible;mso-wrap-style:square" from="5393,368" to="5561,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" strokeweight=".12pt"/>
                <v:line id="Line 3224" o:spid="_x0000_s1030" style="position:absolute;visibility:visible;mso-wrap-style:square" from="5393,370" to="5561,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" strokeweight=".12pt"/>
                <v:line id="Line 3223" o:spid="_x0000_s1031" style="position:absolute;visibility:visible;mso-wrap-style:square" from="5393,372" to="5561,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" strokeweight=".12pt"/>
                <v:line id="Line 3222" o:spid="_x0000_s1032" style="position:absolute;visibility:visible;mso-wrap-style:square" from="5393,375" to="5561,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" strokeweight=".12pt"/>
                <v:line id="Line 3221" o:spid="_x0000_s1033" style="position:absolute;visibility:visible;mso-wrap-style:square" from="5393,377" to="556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" strokeweight=".12pt"/>
                <v:line id="Line 3220" o:spid="_x0000_s1034" style="position:absolute;visibility:visible;mso-wrap-style:square" from="5393,380" to="5561,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" strokeweight=".12pt"/>
                <v:line id="Line 3219" o:spid="_x0000_s1035" style="position:absolute;visibility:visible;mso-wrap-style:square" from="5561,363" to="6857,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" strokeweight=".12pt"/>
                <v:line id="Line 3218" o:spid="_x0000_s1036" style="position:absolute;visibility:visible;mso-wrap-style:square" from="5561,365" to="6857,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" strokeweight=".12pt"/>
                <v:line id="Line 3217" o:spid="_x0000_s1037" style="position:absolute;visibility:visible;mso-wrap-style:square" from="5561,368" to="6857,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" strokeweight=".12pt"/>
                <v:line id="Line 3216" o:spid="_x0000_s1038" style="position:absolute;visibility:visible;mso-wrap-style:square" from="5561,370" to="6857,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" strokeweight=".12pt"/>
                <v:line id="Line 3215" o:spid="_x0000_s1039" style="position:absolute;visibility:visible;mso-wrap-style:square" from="5561,372" to="6857,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" strokeweight=".12pt"/>
                <v:line id="Line 3214" o:spid="_x0000_s1040" style="position:absolute;visibility:visible;mso-wrap-style:square" from="5561,375" to="6857,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" strokeweight=".12pt"/>
                <v:line id="Line 3213" o:spid="_x0000_s1041" style="position:absolute;visibility:visible;mso-wrap-style:square" from="5561,377" to="6857,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" strokeweight=".12pt"/>
                <v:line id="Line 3212" o:spid="_x0000_s1042" style="position:absolute;visibility:visible;mso-wrap-style:square" from="5561,380" to="6857,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" strokeweight=".12pt"/>
                <v:line id="Line 3211" o:spid="_x0000_s1043" style="position:absolute;visibility:visible;mso-wrap-style:square" from="6857,363" to="8153,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" strokeweight=".12pt"/>
                <v:line id="Line 3210" o:spid="_x0000_s1044" style="position:absolute;visibility:visible;mso-wrap-style:square" from="6857,365" to="8153,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" strokeweight=".12pt"/>
                <v:line id="Line 3209" o:spid="_x0000_s1045" style="position:absolute;visibility:visible;mso-wrap-style:square" from="6857,368" to="8153,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" strokeweight=".12pt"/>
                <v:line id="Line 3208" o:spid="_x0000_s1046" style="position:absolute;visibility:visible;mso-wrap-style:square" from="6857,370" to="815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" strokeweight=".12pt"/>
                <v:line id="Line 3207" o:spid="_x0000_s1047" style="position:absolute;visibility:visible;mso-wrap-style:square" from="6857,372" to="8153,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" strokeweight=".12pt"/>
                <v:line id="Line 3206" o:spid="_x0000_s1048" style="position:absolute;visibility:visible;mso-wrap-style:square" from="6857,375" to="8153,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" strokeweight=".12pt"/>
                <v:line id="Line 3205" o:spid="_x0000_s1049" style="position:absolute;visibility:visible;mso-wrap-style:square" from="6857,377" to="8153,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" strokeweight=".12pt"/>
                <v:line id="Line 3204" o:spid="_x0000_s1050" style="position:absolute;visibility:visible;mso-wrap-style:square" from="6857,380" to="815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" strokeweight=".12pt"/>
                <v:line id="Line 3203" o:spid="_x0000_s1051" style="position:absolute;visibility:visible;mso-wrap-style:square" from="8153,363" to="8321,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" strokeweight=".12pt"/>
                <v:line id="Line 3202" o:spid="_x0000_s1052" style="position:absolute;visibility:visible;mso-wrap-style:square" from="8153,365" to="8321,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" strokeweight=".12pt"/>
                <v:line id="Line 3201" o:spid="_x0000_s1053" style="position:absolute;visibility:visible;mso-wrap-style:square" from="8153,368" to="8321,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" strokeweight=".12pt"/>
                <v:line id="Line 3200" o:spid="_x0000_s1054" style="position:absolute;visibility:visible;mso-wrap-style:square" from="8153,370" to="8321,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" strokeweight=".12pt"/>
                <v:line id="Line 3199" o:spid="_x0000_s1055" style="position:absolute;visibility:visible;mso-wrap-style:square" from="8153,372" to="8321,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" strokeweight=".12pt"/>
                <v:line id="Line 3198" o:spid="_x0000_s1056" style="position:absolute;visibility:visible;mso-wrap-style:square" from="8153,375" to="8321,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" strokeweight=".12pt"/>
                <v:line id="Line 3197" o:spid="_x0000_s1057" style="position:absolute;visibility:visible;mso-wrap-style:square" from="8153,377" to="832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" strokeweight=".12pt"/>
                <v:line id="Line 3196" o:spid="_x0000_s1058" style="position:absolute;visibility:visible;mso-wrap-style:square" from="8153,380" to="8321,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" strokeweight=".12pt"/>
                <v:line id="Line 3195" o:spid="_x0000_s1059" style="position:absolute;visibility:visible;mso-wrap-style:square" from="8321,363" to="9617,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" strokeweight=".12pt"/>
                <v:line id="Line 3194" o:spid="_x0000_s1060" style="position:absolute;visibility:visible;mso-wrap-style:square" from="8321,365" to="9617,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" strokeweight=".12pt"/>
                <v:line id="Line 3193" o:spid="_x0000_s1061" style="position:absolute;visibility:visible;mso-wrap-style:square" from="8321,368" to="9617,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" strokeweight=".12pt"/>
                <v:line id="Line 3192" o:spid="_x0000_s1062" style="position:absolute;visibility:visible;mso-wrap-style:square" from="8321,370" to="9617,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" strokeweight=".12pt"/>
                <v:line id="Line 3191" o:spid="_x0000_s1063" style="position:absolute;visibility:visible;mso-wrap-style:square" from="8321,372" to="9617,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" strokeweight=".12pt"/>
                <v:line id="Line 3190" o:spid="_x0000_s1064" style="position:absolute;visibility:visible;mso-wrap-style:square" from="8321,375" to="9617,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" strokeweight=".12pt"/>
                <v:line id="Line 3189" o:spid="_x0000_s1065" style="position:absolute;visibility:visible;mso-wrap-style:square" from="8321,377" to="9617,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" strokeweight=".12pt"/>
                <v:line id="Line 3188" o:spid="_x0000_s1066" style="position:absolute;visibility:visible;mso-wrap-style:square" from="8321,380" to="9617,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" strokeweight=".12pt"/>
                <v:line id="Line 3187" o:spid="_x0000_s1067" style="position:absolute;visibility:visible;mso-wrap-style:square" from="9617,363" to="10913,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" strokeweight=".12pt"/>
                <v:line id="Line 3186" o:spid="_x0000_s1068" style="position:absolute;visibility:visible;mso-wrap-style:square" from="9617,365" to="10913,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" strokeweight=".12pt"/>
                <v:line id="Line 3185" o:spid="_x0000_s1069" style="position:absolute;visibility:visible;mso-wrap-style:square" from="9617,368" to="10913,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" strokeweight=".12pt"/>
                <v:line id="Line 3184" o:spid="_x0000_s1070" style="position:absolute;visibility:visible;mso-wrap-style:square" from="9617,370" to="1091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" strokeweight=".12pt"/>
                <v:line id="Line 3183" o:spid="_x0000_s1071" style="position:absolute;visibility:visible;mso-wrap-style:square" from="9617,372" to="10913,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" strokeweight=".12pt"/>
                <v:line id="Line 3182" o:spid="_x0000_s1072" style="position:absolute;visibility:visible;mso-wrap-style:square" from="9617,375" to="10913,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" strokeweight=".12pt"/>
                <v:line id="Line 3181" o:spid="_x0000_s1073" style="position:absolute;visibility:visible;mso-wrap-style:square" from="9617,377" to="10913,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" strokeweight=".12pt"/>
                <v:line id="Line 3180" o:spid="_x0000_s1074" style="position:absolute;visibility:visible;mso-wrap-style:square" from="9617,380" to="1091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" strokeweight=".12pt"/>
                <v:line id="Line 3179" o:spid="_x0000_s1075" style="position:absolute;visibility:visible;mso-wrap-style:square" from="5393,363" to="5561,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" strokeweight=".12pt"/>
                <v:line id="Line 3178" o:spid="_x0000_s1076" style="position:absolute;visibility:visible;mso-wrap-style:square" from="5393,365" to="5561,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" strokeweight=".12pt"/>
                <v:line id="Line 3177" o:spid="_x0000_s1077" style="position:absolute;visibility:visible;mso-wrap-style:square" from="5393,368" to="5561,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" strokeweight=".12pt"/>
                <v:line id="Line 3176" o:spid="_x0000_s1078" style="position:absolute;visibility:visible;mso-wrap-style:square" from="5393,370" to="5561,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" strokeweight=".12pt"/>
                <v:line id="Line 3175" o:spid="_x0000_s1079" style="position:absolute;visibility:visible;mso-wrap-style:square" from="5393,372" to="5561,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" strokeweight=".12pt"/>
                <v:line id="Line 3174" o:spid="_x0000_s1080" style="position:absolute;visibility:visible;mso-wrap-style:square" from="5393,375" to="5561,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" strokeweight=".12pt"/>
                <v:line id="Line 3173" o:spid="_x0000_s1081" style="position:absolute;visibility:visible;mso-wrap-style:square" from="5393,377" to="556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" strokeweight=".12pt"/>
                <v:line id="Line 3172" o:spid="_x0000_s1082" style="position:absolute;visibility:visible;mso-wrap-style:square" from="5393,380" to="5561,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" strokeweight=".12pt"/>
                <v:line id="Line 3171" o:spid="_x0000_s1083" style="position:absolute;visibility:visible;mso-wrap-style:square" from="5561,363" to="6857,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" strokeweight=".12pt"/>
                <v:line id="Line 3170" o:spid="_x0000_s1084" style="position:absolute;visibility:visible;mso-wrap-style:square" from="5561,365" to="6857,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" strokeweight=".12pt"/>
                <v:line id="Line 3169" o:spid="_x0000_s1085" style="position:absolute;visibility:visible;mso-wrap-style:square" from="5561,368" to="6857,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" strokeweight=".12pt"/>
                <v:line id="Line 3168" o:spid="_x0000_s1086" style="position:absolute;visibility:visible;mso-wrap-style:square" from="5561,370" to="6857,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" strokeweight=".12pt"/>
                <v:line id="Line 3167" o:spid="_x0000_s1087" style="position:absolute;visibility:visible;mso-wrap-style:square" from="5561,372" to="6857,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" strokeweight=".12pt"/>
                <v:line id="Line 3166" o:spid="_x0000_s1088" style="position:absolute;visibility:visible;mso-wrap-style:square" from="5561,375" to="6857,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" strokeweight=".12pt"/>
                <v:line id="Line 3165" o:spid="_x0000_s1089" style="position:absolute;visibility:visible;mso-wrap-style:square" from="5561,377" to="6857,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" strokeweight=".12pt"/>
                <v:line id="Line 3164" o:spid="_x0000_s1090" style="position:absolute;visibility:visible;mso-wrap-style:square" from="5561,380" to="6857,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" strokeweight=".12pt"/>
                <v:line id="Line 3163" o:spid="_x0000_s1091" style="position:absolute;visibility:visible;mso-wrap-style:square" from="6857,363" to="8153,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" strokeweight=".12pt"/>
                <v:line id="Line 3162" o:spid="_x0000_s1092" style="position:absolute;visibility:visible;mso-wrap-style:square" from="6857,365" to="8153,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" strokeweight=".12pt"/>
                <v:line id="Line 3161" o:spid="_x0000_s1093" style="position:absolute;visibility:visible;mso-wrap-style:square" from="6857,368" to="8153,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" strokeweight=".12pt"/>
                <v:line id="Line 3160" o:spid="_x0000_s1094" style="position:absolute;visibility:visible;mso-wrap-style:square" from="6857,370" to="815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" strokeweight=".12pt"/>
                <v:line id="Line 3159" o:spid="_x0000_s1095" style="position:absolute;visibility:visible;mso-wrap-style:square" from="6857,372" to="8153,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" strokeweight=".12pt"/>
                <v:line id="Line 3158" o:spid="_x0000_s1096" style="position:absolute;visibility:visible;mso-wrap-style:square" from="6857,375" to="8153,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" strokeweight=".12pt"/>
                <v:line id="Line 3157" o:spid="_x0000_s1097" style="position:absolute;visibility:visible;mso-wrap-style:square" from="6857,377" to="8153,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" strokeweight=".12pt"/>
                <v:line id="Line 3156" o:spid="_x0000_s1098" style="position:absolute;visibility:visible;mso-wrap-style:square" from="6857,380" to="815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" strokeweight=".12pt"/>
                <v:line id="Line 3155" o:spid="_x0000_s1099" style="position:absolute;visibility:visible;mso-wrap-style:square" from="8153,363" to="8321,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" strokeweight=".12pt"/>
                <v:line id="Line 3154" o:spid="_x0000_s1100" style="position:absolute;visibility:visible;mso-wrap-style:square" from="8153,365" to="8321,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" strokeweight=".12pt"/>
                <v:line id="Line 3153" o:spid="_x0000_s1101" style="position:absolute;visibility:visible;mso-wrap-style:square" from="8153,368" to="8321,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" strokeweight=".12pt"/>
                <v:line id="Line 3152" o:spid="_x0000_s1102" style="position:absolute;visibility:visible;mso-wrap-style:square" from="8153,370" to="8321,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" strokeweight=".12pt"/>
                <v:line id="Line 3151" o:spid="_x0000_s1103" style="position:absolute;visibility:visible;mso-wrap-style:square" from="8153,372" to="8321,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" strokeweight=".12pt"/>
                <v:line id="Line 3150" o:spid="_x0000_s1104" style="position:absolute;visibility:visible;mso-wrap-style:square" from="8153,375" to="8321,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" strokeweight=".12pt"/>
                <v:line id="Line 3149" o:spid="_x0000_s1105" style="position:absolute;visibility:visible;mso-wrap-style:square" from="8153,377" to="832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" strokeweight=".12pt"/>
                <v:line id="Line 3148" o:spid="_x0000_s1106" style="position:absolute;visibility:visible;mso-wrap-style:square" from="8153,380" to="8321,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" strokeweight=".12pt"/>
                <v:line id="Line 3147" o:spid="_x0000_s1107" style="position:absolute;visibility:visible;mso-wrap-style:square" from="8321,363" to="9617,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" strokeweight=".12pt"/>
                <v:line id="Line 3146" o:spid="_x0000_s1108" style="position:absolute;visibility:visible;mso-wrap-style:square" from="8321,365" to="9617,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" strokeweight=".12pt"/>
                <v:line id="Line 3145" o:spid="_x0000_s1109" style="position:absolute;visibility:visible;mso-wrap-style:square" from="8321,368" to="9617,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" strokeweight=".12pt"/>
                <v:line id="Line 3144" o:spid="_x0000_s1110" style="position:absolute;visibility:visible;mso-wrap-style:square" from="8321,370" to="9617,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" strokeweight=".12pt"/>
                <v:line id="Line 3143" o:spid="_x0000_s1111" style="position:absolute;visibility:visible;mso-wrap-style:square" from="8321,372" to="9617,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" strokeweight=".12pt"/>
                <v:line id="Line 3142" o:spid="_x0000_s1112" style="position:absolute;visibility:visible;mso-wrap-style:square" from="8321,375" to="9617,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" strokeweight=".12pt"/>
                <v:line id="Line 3141" o:spid="_x0000_s1113" style="position:absolute;visibility:visible;mso-wrap-style:square" from="8321,377" to="9617,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" strokeweight=".12pt"/>
                <v:line id="Line 3140" o:spid="_x0000_s1114" style="position:absolute;visibility:visible;mso-wrap-style:square" from="8321,380" to="9617,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" strokeweight=".12pt"/>
                <v:line id="Line 3139" o:spid="_x0000_s1115" style="position:absolute;visibility:visible;mso-wrap-style:square" from="9617,363" to="10913,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" strokeweight=".12pt"/>
                <v:line id="Line 3138" o:spid="_x0000_s1116" style="position:absolute;visibility:visible;mso-wrap-style:square" from="9617,365" to="10913,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" strokeweight=".12pt"/>
                <v:line id="Line 3137" o:spid="_x0000_s1117" style="position:absolute;visibility:visible;mso-wrap-style:square" from="9617,368" to="10913,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" strokeweight=".12pt"/>
                <v:line id="Line 3136" o:spid="_x0000_s1118" style="position:absolute;visibility:visible;mso-wrap-style:square" from="9617,370" to="1091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" strokeweight=".12pt"/>
                <v:line id="Line 3135" o:spid="_x0000_s1119" style="position:absolute;visibility:visible;mso-wrap-style:square" from="9617,372" to="10913,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" strokeweight=".12pt"/>
                <v:line id="Line 3134" o:spid="_x0000_s1120" style="position:absolute;visibility:visible;mso-wrap-style:square" from="9617,375" to="10913,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" strokeweight=".12pt"/>
                <v:line id="Line 3133" o:spid="_x0000_s1121" style="position:absolute;visibility:visible;mso-wrap-style:square" from="9617,377" to="10913,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" strokeweight=".12pt"/>
                <v:line id="Line 3132" o:spid="_x0000_s1122" style="position:absolute;visibility:visible;mso-wrap-style:square" from="9617,380" to="1091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" strokeweight=".12pt"/>
                <w10:wrap anchorx="page"/>
              </v:group>
            </w:pict>
          </mc:Fallback>
        </mc:AlternateContent>
      </w:r>
      <w:r w:rsidR="0015611F">
        <w:rPr>
          <w:b/>
          <w:sz w:val="18"/>
        </w:rPr>
        <w:t>Total Non-capital</w:t>
      </w:r>
      <w:r w:rsidR="0015611F">
        <w:rPr>
          <w:b/>
          <w:sz w:val="18"/>
        </w:rPr>
        <w:tab/>
      </w:r>
      <w:r w:rsidR="0015611F">
        <w:rPr>
          <w:b/>
          <w:position w:val="3"/>
          <w:sz w:val="18"/>
        </w:rPr>
        <w:t>128</w:t>
      </w:r>
      <w:r w:rsidR="0015611F">
        <w:rPr>
          <w:b/>
          <w:position w:val="3"/>
          <w:sz w:val="18"/>
        </w:rPr>
        <w:tab/>
      </w:r>
      <w:r w:rsidR="0015611F">
        <w:rPr>
          <w:position w:val="3"/>
          <w:sz w:val="18"/>
        </w:rPr>
        <w:t>19</w:t>
      </w:r>
      <w:r w:rsidR="0015611F">
        <w:rPr>
          <w:position w:val="3"/>
          <w:sz w:val="18"/>
        </w:rPr>
        <w:tab/>
      </w:r>
      <w:r w:rsidR="0015611F">
        <w:rPr>
          <w:b/>
          <w:position w:val="3"/>
          <w:sz w:val="18"/>
        </w:rPr>
        <w:t>128</w:t>
      </w:r>
      <w:r w:rsidR="0015611F">
        <w:rPr>
          <w:b/>
          <w:position w:val="3"/>
          <w:sz w:val="18"/>
        </w:rPr>
        <w:tab/>
      </w:r>
      <w:r w:rsidR="0015611F">
        <w:rPr>
          <w:position w:val="3"/>
          <w:sz w:val="18"/>
        </w:rPr>
        <w:t>19</w:t>
      </w:r>
    </w:p>
    <w:p w14:paraId="040BE347" w14:textId="77777777" w:rsidR="00FA4AA8" w:rsidRDefault="0015611F">
      <w:pPr>
        <w:spacing w:before="131" w:line="192" w:lineRule="exact"/>
        <w:ind w:left="590"/>
        <w:rPr>
          <w:b/>
          <w:sz w:val="18"/>
        </w:rPr>
      </w:pPr>
      <w:r>
        <w:rPr>
          <w:b/>
          <w:sz w:val="18"/>
        </w:rPr>
        <w:t>Total State and Local Government</w:t>
      </w:r>
    </w:p>
    <w:p w14:paraId="571ADA7B" w14:textId="77777777" w:rsidR="00FA4AA8" w:rsidRDefault="0015611F">
      <w:pPr>
        <w:tabs>
          <w:tab w:val="left" w:pos="5627"/>
          <w:tab w:val="left" w:pos="7024"/>
          <w:tab w:val="left" w:pos="8387"/>
          <w:tab w:val="right" w:pos="9986"/>
        </w:tabs>
        <w:spacing w:line="222" w:lineRule="exact"/>
        <w:ind w:left="590"/>
        <w:rPr>
          <w:sz w:val="18"/>
        </w:rPr>
      </w:pPr>
      <w:r>
        <w:rPr>
          <w:b/>
          <w:sz w:val="18"/>
        </w:rPr>
        <w:t>financial</w:t>
      </w:r>
      <w:r>
        <w:rPr>
          <w:b/>
          <w:spacing w:val="1"/>
          <w:sz w:val="18"/>
        </w:rPr>
        <w:t xml:space="preserve"> </w:t>
      </w:r>
      <w:r>
        <w:rPr>
          <w:b/>
          <w:sz w:val="18"/>
        </w:rPr>
        <w:t>assistance</w:t>
      </w:r>
      <w:r>
        <w:rPr>
          <w:b/>
          <w:sz w:val="18"/>
        </w:rPr>
        <w:tab/>
      </w:r>
      <w:r>
        <w:rPr>
          <w:b/>
          <w:position w:val="3"/>
          <w:sz w:val="18"/>
        </w:rPr>
        <w:t>128</w:t>
      </w:r>
      <w:r>
        <w:rPr>
          <w:b/>
          <w:position w:val="3"/>
          <w:sz w:val="18"/>
        </w:rPr>
        <w:tab/>
      </w:r>
      <w:r>
        <w:rPr>
          <w:position w:val="3"/>
          <w:sz w:val="18"/>
        </w:rPr>
        <w:t>19</w:t>
      </w:r>
      <w:r>
        <w:rPr>
          <w:position w:val="3"/>
          <w:sz w:val="18"/>
        </w:rPr>
        <w:tab/>
      </w:r>
      <w:r>
        <w:rPr>
          <w:b/>
          <w:position w:val="3"/>
          <w:sz w:val="18"/>
        </w:rPr>
        <w:t>128</w:t>
      </w:r>
      <w:r>
        <w:rPr>
          <w:b/>
          <w:position w:val="3"/>
          <w:sz w:val="18"/>
        </w:rPr>
        <w:tab/>
      </w:r>
      <w:r>
        <w:rPr>
          <w:position w:val="3"/>
          <w:sz w:val="18"/>
        </w:rPr>
        <w:t>19</w:t>
      </w:r>
    </w:p>
    <w:p w14:paraId="3C3C89A9" w14:textId="77777777" w:rsidR="00FA4AA8" w:rsidRDefault="007E2441">
      <w:pPr>
        <w:pStyle w:val="BodyText"/>
        <w:spacing w:line="49" w:lineRule="exact"/>
        <w:ind w:left="4550"/>
        <w:rPr>
          <w:sz w:val="4"/>
        </w:rPr>
      </w:pPr>
      <w:r>
        <w:rPr>
          <w:noProof/>
          <w:sz w:val="4"/>
          <w:lang w:val="en-AU" w:eastAsia="en-AU"/>
        </w:rPr>
        <mc:AlternateContent>
          <mc:Choice Requires="wpg">
            <w:drawing>
              <wp:inline distT="0" distB="0" distL="0" distR="0" wp14:anchorId="15B59C64" wp14:editId="733D7175">
                <wp:extent cx="3505200" cy="30480"/>
                <wp:effectExtent l="9525" t="10795" r="9525" b="6350"/>
                <wp:docPr id="3292" name="Group 3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5200" cy="30480"/>
                          <a:chOff x="0" y="0"/>
                          <a:chExt cx="5520" cy="48"/>
                        </a:xfrm>
                      </wpg:grpSpPr>
                      <wps:wsp>
                        <wps:cNvPr id="3293" name="Line 3130"/>
                        <wps:cNvCnPr>
                          <a:cxnSpLocks noChangeShapeType="1"/>
                        </wps:cNvCnPr>
                        <wps:spPr bwMode="auto">
                          <a:xfrm>
                            <a:off x="0" y="1"/>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294" name="Line 3129"/>
                        <wps:cNvCnPr>
                          <a:cxnSpLocks noChangeShapeType="1"/>
                        </wps:cNvCnPr>
                        <wps:spPr bwMode="auto">
                          <a:xfrm>
                            <a:off x="0" y="4"/>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295" name="Line 3128"/>
                        <wps:cNvCnPr>
                          <a:cxnSpLocks noChangeShapeType="1"/>
                        </wps:cNvCnPr>
                        <wps:spPr bwMode="auto">
                          <a:xfrm>
                            <a:off x="0" y="6"/>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296" name="Line 3127"/>
                        <wps:cNvCnPr>
                          <a:cxnSpLocks noChangeShapeType="1"/>
                        </wps:cNvCnPr>
                        <wps:spPr bwMode="auto">
                          <a:xfrm>
                            <a:off x="0" y="8"/>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297" name="Line 3126"/>
                        <wps:cNvCnPr>
                          <a:cxnSpLocks noChangeShapeType="1"/>
                        </wps:cNvCnPr>
                        <wps:spPr bwMode="auto">
                          <a:xfrm>
                            <a:off x="0" y="11"/>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298" name="Line 3125"/>
                        <wps:cNvCnPr>
                          <a:cxnSpLocks noChangeShapeType="1"/>
                        </wps:cNvCnPr>
                        <wps:spPr bwMode="auto">
                          <a:xfrm>
                            <a:off x="0" y="13"/>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299" name="Line 3124"/>
                        <wps:cNvCnPr>
                          <a:cxnSpLocks noChangeShapeType="1"/>
                        </wps:cNvCnPr>
                        <wps:spPr bwMode="auto">
                          <a:xfrm>
                            <a:off x="0" y="35"/>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300" name="Line 3123"/>
                        <wps:cNvCnPr>
                          <a:cxnSpLocks noChangeShapeType="1"/>
                        </wps:cNvCnPr>
                        <wps:spPr bwMode="auto">
                          <a:xfrm>
                            <a:off x="0" y="37"/>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301" name="Line 3122"/>
                        <wps:cNvCnPr>
                          <a:cxnSpLocks noChangeShapeType="1"/>
                        </wps:cNvCnPr>
                        <wps:spPr bwMode="auto">
                          <a:xfrm>
                            <a:off x="0" y="40"/>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302" name="Line 3121"/>
                        <wps:cNvCnPr>
                          <a:cxnSpLocks noChangeShapeType="1"/>
                        </wps:cNvCnPr>
                        <wps:spPr bwMode="auto">
                          <a:xfrm>
                            <a:off x="0" y="42"/>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303" name="Line 3120"/>
                        <wps:cNvCnPr>
                          <a:cxnSpLocks noChangeShapeType="1"/>
                        </wps:cNvCnPr>
                        <wps:spPr bwMode="auto">
                          <a:xfrm>
                            <a:off x="0" y="44"/>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304" name="Line 3119"/>
                        <wps:cNvCnPr>
                          <a:cxnSpLocks noChangeShapeType="1"/>
                        </wps:cNvCnPr>
                        <wps:spPr bwMode="auto">
                          <a:xfrm>
                            <a:off x="0" y="47"/>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305" name="Line 3118"/>
                        <wps:cNvCnPr>
                          <a:cxnSpLocks noChangeShapeType="1"/>
                        </wps:cNvCnPr>
                        <wps:spPr bwMode="auto">
                          <a:xfrm>
                            <a:off x="168" y="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306" name="Line 3117"/>
                        <wps:cNvCnPr>
                          <a:cxnSpLocks noChangeShapeType="1"/>
                        </wps:cNvCnPr>
                        <wps:spPr bwMode="auto">
                          <a:xfrm>
                            <a:off x="168" y="4"/>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307" name="Line 3116"/>
                        <wps:cNvCnPr>
                          <a:cxnSpLocks noChangeShapeType="1"/>
                        </wps:cNvCnPr>
                        <wps:spPr bwMode="auto">
                          <a:xfrm>
                            <a:off x="168" y="6"/>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308" name="Line 3115"/>
                        <wps:cNvCnPr>
                          <a:cxnSpLocks noChangeShapeType="1"/>
                        </wps:cNvCnPr>
                        <wps:spPr bwMode="auto">
                          <a:xfrm>
                            <a:off x="168" y="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309" name="Line 3114"/>
                        <wps:cNvCnPr>
                          <a:cxnSpLocks noChangeShapeType="1"/>
                        </wps:cNvCnPr>
                        <wps:spPr bwMode="auto">
                          <a:xfrm>
                            <a:off x="168" y="1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310" name="Line 3113"/>
                        <wps:cNvCnPr>
                          <a:cxnSpLocks noChangeShapeType="1"/>
                        </wps:cNvCnPr>
                        <wps:spPr bwMode="auto">
                          <a:xfrm>
                            <a:off x="168" y="1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311" name="Line 3112"/>
                        <wps:cNvCnPr>
                          <a:cxnSpLocks noChangeShapeType="1"/>
                        </wps:cNvCnPr>
                        <wps:spPr bwMode="auto">
                          <a:xfrm>
                            <a:off x="168" y="3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312" name="Line 3111"/>
                        <wps:cNvCnPr>
                          <a:cxnSpLocks noChangeShapeType="1"/>
                        </wps:cNvCnPr>
                        <wps:spPr bwMode="auto">
                          <a:xfrm>
                            <a:off x="168" y="37"/>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313" name="Line 3110"/>
                        <wps:cNvCnPr>
                          <a:cxnSpLocks noChangeShapeType="1"/>
                        </wps:cNvCnPr>
                        <wps:spPr bwMode="auto">
                          <a:xfrm>
                            <a:off x="168" y="4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314" name="Line 3109"/>
                        <wps:cNvCnPr>
                          <a:cxnSpLocks noChangeShapeType="1"/>
                        </wps:cNvCnPr>
                        <wps:spPr bwMode="auto">
                          <a:xfrm>
                            <a:off x="168" y="42"/>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315" name="Line 3108"/>
                        <wps:cNvCnPr>
                          <a:cxnSpLocks noChangeShapeType="1"/>
                        </wps:cNvCnPr>
                        <wps:spPr bwMode="auto">
                          <a:xfrm>
                            <a:off x="168" y="44"/>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316" name="Line 3107"/>
                        <wps:cNvCnPr>
                          <a:cxnSpLocks noChangeShapeType="1"/>
                        </wps:cNvCnPr>
                        <wps:spPr bwMode="auto">
                          <a:xfrm>
                            <a:off x="168" y="47"/>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317" name="Line 3106"/>
                        <wps:cNvCnPr>
                          <a:cxnSpLocks noChangeShapeType="1"/>
                        </wps:cNvCnPr>
                        <wps:spPr bwMode="auto">
                          <a:xfrm>
                            <a:off x="1464" y="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318" name="Line 3105"/>
                        <wps:cNvCnPr>
                          <a:cxnSpLocks noChangeShapeType="1"/>
                        </wps:cNvCnPr>
                        <wps:spPr bwMode="auto">
                          <a:xfrm>
                            <a:off x="1464" y="4"/>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319" name="Line 3104"/>
                        <wps:cNvCnPr>
                          <a:cxnSpLocks noChangeShapeType="1"/>
                        </wps:cNvCnPr>
                        <wps:spPr bwMode="auto">
                          <a:xfrm>
                            <a:off x="1464" y="6"/>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320" name="Line 3103"/>
                        <wps:cNvCnPr>
                          <a:cxnSpLocks noChangeShapeType="1"/>
                        </wps:cNvCnPr>
                        <wps:spPr bwMode="auto">
                          <a:xfrm>
                            <a:off x="1464" y="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321" name="Line 3102"/>
                        <wps:cNvCnPr>
                          <a:cxnSpLocks noChangeShapeType="1"/>
                        </wps:cNvCnPr>
                        <wps:spPr bwMode="auto">
                          <a:xfrm>
                            <a:off x="1464" y="1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322" name="Line 3101"/>
                        <wps:cNvCnPr>
                          <a:cxnSpLocks noChangeShapeType="1"/>
                        </wps:cNvCnPr>
                        <wps:spPr bwMode="auto">
                          <a:xfrm>
                            <a:off x="1464" y="1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323" name="Line 3100"/>
                        <wps:cNvCnPr>
                          <a:cxnSpLocks noChangeShapeType="1"/>
                        </wps:cNvCnPr>
                        <wps:spPr bwMode="auto">
                          <a:xfrm>
                            <a:off x="1464" y="3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324" name="Line 3099"/>
                        <wps:cNvCnPr>
                          <a:cxnSpLocks noChangeShapeType="1"/>
                        </wps:cNvCnPr>
                        <wps:spPr bwMode="auto">
                          <a:xfrm>
                            <a:off x="1464" y="37"/>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325" name="Line 3098"/>
                        <wps:cNvCnPr>
                          <a:cxnSpLocks noChangeShapeType="1"/>
                        </wps:cNvCnPr>
                        <wps:spPr bwMode="auto">
                          <a:xfrm>
                            <a:off x="1464" y="4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326" name="Line 3097"/>
                        <wps:cNvCnPr>
                          <a:cxnSpLocks noChangeShapeType="1"/>
                        </wps:cNvCnPr>
                        <wps:spPr bwMode="auto">
                          <a:xfrm>
                            <a:off x="1464" y="42"/>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327" name="Line 3096"/>
                        <wps:cNvCnPr>
                          <a:cxnSpLocks noChangeShapeType="1"/>
                        </wps:cNvCnPr>
                        <wps:spPr bwMode="auto">
                          <a:xfrm>
                            <a:off x="1464" y="44"/>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328" name="Line 3095"/>
                        <wps:cNvCnPr>
                          <a:cxnSpLocks noChangeShapeType="1"/>
                        </wps:cNvCnPr>
                        <wps:spPr bwMode="auto">
                          <a:xfrm>
                            <a:off x="1464" y="47"/>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329" name="Line 3094"/>
                        <wps:cNvCnPr>
                          <a:cxnSpLocks noChangeShapeType="1"/>
                        </wps:cNvCnPr>
                        <wps:spPr bwMode="auto">
                          <a:xfrm>
                            <a:off x="2760" y="1"/>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330" name="Line 3093"/>
                        <wps:cNvCnPr>
                          <a:cxnSpLocks noChangeShapeType="1"/>
                        </wps:cNvCnPr>
                        <wps:spPr bwMode="auto">
                          <a:xfrm>
                            <a:off x="2760" y="4"/>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331" name="Line 3092"/>
                        <wps:cNvCnPr>
                          <a:cxnSpLocks noChangeShapeType="1"/>
                        </wps:cNvCnPr>
                        <wps:spPr bwMode="auto">
                          <a:xfrm>
                            <a:off x="2760" y="6"/>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332" name="Line 3091"/>
                        <wps:cNvCnPr>
                          <a:cxnSpLocks noChangeShapeType="1"/>
                        </wps:cNvCnPr>
                        <wps:spPr bwMode="auto">
                          <a:xfrm>
                            <a:off x="2760" y="8"/>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333" name="Line 3090"/>
                        <wps:cNvCnPr>
                          <a:cxnSpLocks noChangeShapeType="1"/>
                        </wps:cNvCnPr>
                        <wps:spPr bwMode="auto">
                          <a:xfrm>
                            <a:off x="2760" y="11"/>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334" name="Line 3089"/>
                        <wps:cNvCnPr>
                          <a:cxnSpLocks noChangeShapeType="1"/>
                        </wps:cNvCnPr>
                        <wps:spPr bwMode="auto">
                          <a:xfrm>
                            <a:off x="2760" y="13"/>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335" name="Line 3088"/>
                        <wps:cNvCnPr>
                          <a:cxnSpLocks noChangeShapeType="1"/>
                        </wps:cNvCnPr>
                        <wps:spPr bwMode="auto">
                          <a:xfrm>
                            <a:off x="2760" y="35"/>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336" name="Line 3087"/>
                        <wps:cNvCnPr>
                          <a:cxnSpLocks noChangeShapeType="1"/>
                        </wps:cNvCnPr>
                        <wps:spPr bwMode="auto">
                          <a:xfrm>
                            <a:off x="2760" y="37"/>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337" name="Line 3086"/>
                        <wps:cNvCnPr>
                          <a:cxnSpLocks noChangeShapeType="1"/>
                        </wps:cNvCnPr>
                        <wps:spPr bwMode="auto">
                          <a:xfrm>
                            <a:off x="2760" y="40"/>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338" name="Line 3085"/>
                        <wps:cNvCnPr>
                          <a:cxnSpLocks noChangeShapeType="1"/>
                        </wps:cNvCnPr>
                        <wps:spPr bwMode="auto">
                          <a:xfrm>
                            <a:off x="2760" y="42"/>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339" name="Line 3084"/>
                        <wps:cNvCnPr>
                          <a:cxnSpLocks noChangeShapeType="1"/>
                        </wps:cNvCnPr>
                        <wps:spPr bwMode="auto">
                          <a:xfrm>
                            <a:off x="2760" y="44"/>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340" name="Line 3083"/>
                        <wps:cNvCnPr>
                          <a:cxnSpLocks noChangeShapeType="1"/>
                        </wps:cNvCnPr>
                        <wps:spPr bwMode="auto">
                          <a:xfrm>
                            <a:off x="2760" y="47"/>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341" name="Line 3082"/>
                        <wps:cNvCnPr>
                          <a:cxnSpLocks noChangeShapeType="1"/>
                        </wps:cNvCnPr>
                        <wps:spPr bwMode="auto">
                          <a:xfrm>
                            <a:off x="2928" y="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342" name="Line 3081"/>
                        <wps:cNvCnPr>
                          <a:cxnSpLocks noChangeShapeType="1"/>
                        </wps:cNvCnPr>
                        <wps:spPr bwMode="auto">
                          <a:xfrm>
                            <a:off x="2928" y="4"/>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343" name="Line 3080"/>
                        <wps:cNvCnPr>
                          <a:cxnSpLocks noChangeShapeType="1"/>
                        </wps:cNvCnPr>
                        <wps:spPr bwMode="auto">
                          <a:xfrm>
                            <a:off x="2928" y="6"/>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344" name="Line 3079"/>
                        <wps:cNvCnPr>
                          <a:cxnSpLocks noChangeShapeType="1"/>
                        </wps:cNvCnPr>
                        <wps:spPr bwMode="auto">
                          <a:xfrm>
                            <a:off x="2928" y="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345" name="Line 3078"/>
                        <wps:cNvCnPr>
                          <a:cxnSpLocks noChangeShapeType="1"/>
                        </wps:cNvCnPr>
                        <wps:spPr bwMode="auto">
                          <a:xfrm>
                            <a:off x="2928" y="1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346" name="Line 3077"/>
                        <wps:cNvCnPr>
                          <a:cxnSpLocks noChangeShapeType="1"/>
                        </wps:cNvCnPr>
                        <wps:spPr bwMode="auto">
                          <a:xfrm>
                            <a:off x="2928" y="1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347" name="Line 3076"/>
                        <wps:cNvCnPr>
                          <a:cxnSpLocks noChangeShapeType="1"/>
                        </wps:cNvCnPr>
                        <wps:spPr bwMode="auto">
                          <a:xfrm>
                            <a:off x="2928" y="3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348" name="Line 3075"/>
                        <wps:cNvCnPr>
                          <a:cxnSpLocks noChangeShapeType="1"/>
                        </wps:cNvCnPr>
                        <wps:spPr bwMode="auto">
                          <a:xfrm>
                            <a:off x="2928" y="37"/>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349" name="Line 3074"/>
                        <wps:cNvCnPr>
                          <a:cxnSpLocks noChangeShapeType="1"/>
                        </wps:cNvCnPr>
                        <wps:spPr bwMode="auto">
                          <a:xfrm>
                            <a:off x="2928" y="4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350" name="Line 3073"/>
                        <wps:cNvCnPr>
                          <a:cxnSpLocks noChangeShapeType="1"/>
                        </wps:cNvCnPr>
                        <wps:spPr bwMode="auto">
                          <a:xfrm>
                            <a:off x="2928" y="42"/>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351" name="Line 3072"/>
                        <wps:cNvCnPr>
                          <a:cxnSpLocks noChangeShapeType="1"/>
                        </wps:cNvCnPr>
                        <wps:spPr bwMode="auto">
                          <a:xfrm>
                            <a:off x="2928" y="44"/>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352" name="Line 3071"/>
                        <wps:cNvCnPr>
                          <a:cxnSpLocks noChangeShapeType="1"/>
                        </wps:cNvCnPr>
                        <wps:spPr bwMode="auto">
                          <a:xfrm>
                            <a:off x="2928" y="47"/>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353" name="Line 3070"/>
                        <wps:cNvCnPr>
                          <a:cxnSpLocks noChangeShapeType="1"/>
                        </wps:cNvCnPr>
                        <wps:spPr bwMode="auto">
                          <a:xfrm>
                            <a:off x="4224" y="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354" name="Line 3069"/>
                        <wps:cNvCnPr>
                          <a:cxnSpLocks noChangeShapeType="1"/>
                        </wps:cNvCnPr>
                        <wps:spPr bwMode="auto">
                          <a:xfrm>
                            <a:off x="4224" y="4"/>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355" name="Line 3068"/>
                        <wps:cNvCnPr>
                          <a:cxnSpLocks noChangeShapeType="1"/>
                        </wps:cNvCnPr>
                        <wps:spPr bwMode="auto">
                          <a:xfrm>
                            <a:off x="4224" y="6"/>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356" name="Line 3067"/>
                        <wps:cNvCnPr>
                          <a:cxnSpLocks noChangeShapeType="1"/>
                        </wps:cNvCnPr>
                        <wps:spPr bwMode="auto">
                          <a:xfrm>
                            <a:off x="4224" y="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357" name="Line 3066"/>
                        <wps:cNvCnPr>
                          <a:cxnSpLocks noChangeShapeType="1"/>
                        </wps:cNvCnPr>
                        <wps:spPr bwMode="auto">
                          <a:xfrm>
                            <a:off x="4224" y="1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358" name="Line 3065"/>
                        <wps:cNvCnPr>
                          <a:cxnSpLocks noChangeShapeType="1"/>
                        </wps:cNvCnPr>
                        <wps:spPr bwMode="auto">
                          <a:xfrm>
                            <a:off x="4224" y="1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359" name="Line 3064"/>
                        <wps:cNvCnPr>
                          <a:cxnSpLocks noChangeShapeType="1"/>
                        </wps:cNvCnPr>
                        <wps:spPr bwMode="auto">
                          <a:xfrm>
                            <a:off x="4224" y="3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360" name="Line 3063"/>
                        <wps:cNvCnPr>
                          <a:cxnSpLocks noChangeShapeType="1"/>
                        </wps:cNvCnPr>
                        <wps:spPr bwMode="auto">
                          <a:xfrm>
                            <a:off x="4224" y="37"/>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361" name="Line 3062"/>
                        <wps:cNvCnPr>
                          <a:cxnSpLocks noChangeShapeType="1"/>
                        </wps:cNvCnPr>
                        <wps:spPr bwMode="auto">
                          <a:xfrm>
                            <a:off x="4224" y="4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362" name="Line 3061"/>
                        <wps:cNvCnPr>
                          <a:cxnSpLocks noChangeShapeType="1"/>
                        </wps:cNvCnPr>
                        <wps:spPr bwMode="auto">
                          <a:xfrm>
                            <a:off x="4224" y="42"/>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363" name="Line 3060"/>
                        <wps:cNvCnPr>
                          <a:cxnSpLocks noChangeShapeType="1"/>
                        </wps:cNvCnPr>
                        <wps:spPr bwMode="auto">
                          <a:xfrm>
                            <a:off x="4224" y="44"/>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364" name="Line 3059"/>
                        <wps:cNvCnPr>
                          <a:cxnSpLocks noChangeShapeType="1"/>
                        </wps:cNvCnPr>
                        <wps:spPr bwMode="auto">
                          <a:xfrm>
                            <a:off x="4224" y="47"/>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0822EE2" id="Group 3058" o:spid="_x0000_s1026" style="width:276pt;height:2.4pt;mso-position-horizontal-relative:char;mso-position-vertical-relative:line" coordsize="552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">
                <v:line id="Line 3130" o:spid="_x0000_s1027" style="position:absolute;visibility:visible;mso-wrap-style:square" from="0,1" to="1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" strokeweight=".12pt"/>
                <v:line id="Line 3129" o:spid="_x0000_s1028" style="position:absolute;visibility:visible;mso-wrap-style:square" from="0,4" to="1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" strokeweight=".12pt"/>
                <v:line id="Line 3128" o:spid="_x0000_s1029" style="position:absolute;visibility:visible;mso-wrap-style:square" from="0,6" to="1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" strokeweight=".12pt"/>
                <v:line id="Line 3127" o:spid="_x0000_s1030" style="position:absolute;visibility:visible;mso-wrap-style:square" from="0,8" to="1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" strokeweight=".12pt"/>
                <v:line id="Line 3126" o:spid="_x0000_s1031" style="position:absolute;visibility:visible;mso-wrap-style:square" from="0,11" to="16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" strokeweight=".12pt"/>
                <v:line id="Line 3125" o:spid="_x0000_s1032" style="position:absolute;visibility:visible;mso-wrap-style:square" from="0,13" to="1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" strokeweight=".12pt"/>
                <v:line id="Line 3124" o:spid="_x0000_s1033" style="position:absolute;visibility:visible;mso-wrap-style:square" from="0,35" to="16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" strokeweight=".12pt"/>
                <v:line id="Line 3123" o:spid="_x0000_s1034" style="position:absolute;visibility:visible;mso-wrap-style:square" from="0,37" to="16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" strokeweight=".12pt"/>
                <v:line id="Line 3122" o:spid="_x0000_s1035" style="position:absolute;visibility:visible;mso-wrap-style:square" from="0,40" to="1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" strokeweight=".12pt"/>
                <v:line id="Line 3121" o:spid="_x0000_s1036" style="position:absolute;visibility:visible;mso-wrap-style:square" from="0,42" to="16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" strokeweight=".12pt"/>
                <v:line id="Line 3120" o:spid="_x0000_s1037" style="position:absolute;visibility:visible;mso-wrap-style:square" from="0,44" to="16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" strokeweight=".12pt"/>
                <v:line id="Line 3119" o:spid="_x0000_s1038" style="position:absolute;visibility:visible;mso-wrap-style:square" from="0,47" to="16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" strokeweight=".12pt"/>
                <v:line id="Line 3118" o:spid="_x0000_s1039" style="position:absolute;visibility:visible;mso-wrap-style:square" from="168,1" to="1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" strokeweight=".12pt"/>
                <v:line id="Line 3117" o:spid="_x0000_s1040" style="position:absolute;visibility:visible;mso-wrap-style:square" from="168,4" to="14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" strokeweight=".12pt"/>
                <v:line id="Line 3116" o:spid="_x0000_s1041" style="position:absolute;visibility:visible;mso-wrap-style:square" from="168,6" to="14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" strokeweight=".12pt"/>
                <v:line id="Line 3115" o:spid="_x0000_s1042" style="position:absolute;visibility:visible;mso-wrap-style:square" from="168,8" to="14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" strokeweight=".12pt"/>
                <v:line id="Line 3114" o:spid="_x0000_s1043" style="position:absolute;visibility:visible;mso-wrap-style:square" from="168,11" to="146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" strokeweight=".12pt"/>
                <v:line id="Line 3113" o:spid="_x0000_s1044" style="position:absolute;visibility:visible;mso-wrap-style:square" from="168,13" to="146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" strokeweight=".12pt"/>
                <v:line id="Line 3112" o:spid="_x0000_s1045" style="position:absolute;visibility:visible;mso-wrap-style:square" from="168,35" to="146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" strokeweight=".12pt"/>
                <v:line id="Line 3111" o:spid="_x0000_s1046" style="position:absolute;visibility:visible;mso-wrap-style:square" from="168,37" to="146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" strokeweight=".12pt"/>
                <v:line id="Line 3110" o:spid="_x0000_s1047" style="position:absolute;visibility:visible;mso-wrap-style:square" from="168,40" to="146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" strokeweight=".12pt"/>
                <v:line id="Line 3109" o:spid="_x0000_s1048" style="position:absolute;visibility:visible;mso-wrap-style:square" from="168,42" to="146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" strokeweight=".12pt"/>
                <v:line id="Line 3108" o:spid="_x0000_s1049" style="position:absolute;visibility:visible;mso-wrap-style:square" from="168,44" to="146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" strokeweight=".12pt"/>
                <v:line id="Line 3107" o:spid="_x0000_s1050" style="position:absolute;visibility:visible;mso-wrap-style:square" from="168,47" to="146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" strokeweight=".12pt"/>
                <v:line id="Line 3106" o:spid="_x0000_s1051" style="position:absolute;visibility:visible;mso-wrap-style:square" from="1464,1" to="27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" strokeweight=".12pt"/>
                <v:line id="Line 3105" o:spid="_x0000_s1052" style="position:absolute;visibility:visible;mso-wrap-style:square" from="1464,4" to="27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" strokeweight=".12pt"/>
                <v:line id="Line 3104" o:spid="_x0000_s1053" style="position:absolute;visibility:visible;mso-wrap-style:square" from="1464,6" to="27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" strokeweight=".12pt"/>
                <v:line id="Line 3103" o:spid="_x0000_s1054" style="position:absolute;visibility:visible;mso-wrap-style:square" from="1464,8" to="27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" strokeweight=".12pt"/>
                <v:line id="Line 3102" o:spid="_x0000_s1055" style="position:absolute;visibility:visible;mso-wrap-style:square" from="1464,11" to="276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" strokeweight=".12pt"/>
                <v:line id="Line 3101" o:spid="_x0000_s1056" style="position:absolute;visibility:visible;mso-wrap-style:square" from="1464,13" to="276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" strokeweight=".12pt"/>
                <v:line id="Line 3100" o:spid="_x0000_s1057" style="position:absolute;visibility:visible;mso-wrap-style:square" from="1464,35" to="276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" strokeweight=".12pt"/>
                <v:line id="Line 3099" o:spid="_x0000_s1058" style="position:absolute;visibility:visible;mso-wrap-style:square" from="1464,37" to="276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" strokeweight=".12pt"/>
                <v:line id="Line 3098" o:spid="_x0000_s1059" style="position:absolute;visibility:visible;mso-wrap-style:square" from="1464,40" to="276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" strokeweight=".12pt"/>
                <v:line id="Line 3097" o:spid="_x0000_s1060" style="position:absolute;visibility:visible;mso-wrap-style:square" from="1464,42" to="276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" strokeweight=".12pt"/>
                <v:line id="Line 3096" o:spid="_x0000_s1061" style="position:absolute;visibility:visible;mso-wrap-style:square" from="1464,44" to="276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" strokeweight=".12pt"/>
                <v:line id="Line 3095" o:spid="_x0000_s1062" style="position:absolute;visibility:visible;mso-wrap-style:square" from="1464,47" to="27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" strokeweight=".12pt"/>
                <v:line id="Line 3094" o:spid="_x0000_s1063" style="position:absolute;visibility:visible;mso-wrap-style:square" from="2760,1" to="29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" strokeweight=".12pt"/>
                <v:line id="Line 3093" o:spid="_x0000_s1064" style="position:absolute;visibility:visible;mso-wrap-style:square" from="2760,4" to="29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" strokeweight=".12pt"/>
                <v:line id="Line 3092" o:spid="_x0000_s1065" style="position:absolute;visibility:visible;mso-wrap-style:square" from="2760,6" to="29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" strokeweight=".12pt"/>
                <v:line id="Line 3091" o:spid="_x0000_s1066" style="position:absolute;visibility:visible;mso-wrap-style:square" from="2760,8" to="29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" strokeweight=".12pt"/>
                <v:line id="Line 3090" o:spid="_x0000_s1067" style="position:absolute;visibility:visible;mso-wrap-style:square" from="2760,11" to="292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" strokeweight=".12pt"/>
                <v:line id="Line 3089" o:spid="_x0000_s1068" style="position:absolute;visibility:visible;mso-wrap-style:square" from="2760,13" to="292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" strokeweight=".12pt"/>
                <v:line id="Line 3088" o:spid="_x0000_s1069" style="position:absolute;visibility:visible;mso-wrap-style:square" from="2760,35" to="292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" strokeweight=".12pt"/>
                <v:line id="Line 3087" o:spid="_x0000_s1070" style="position:absolute;visibility:visible;mso-wrap-style:square" from="2760,37" to="292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" strokeweight=".12pt"/>
                <v:line id="Line 3086" o:spid="_x0000_s1071" style="position:absolute;visibility:visible;mso-wrap-style:square" from="2760,40" to="292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" strokeweight=".12pt"/>
                <v:line id="Line 3085" o:spid="_x0000_s1072" style="position:absolute;visibility:visible;mso-wrap-style:square" from="2760,42" to="29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" strokeweight=".12pt"/>
                <v:line id="Line 3084" o:spid="_x0000_s1073" style="position:absolute;visibility:visible;mso-wrap-style:square" from="2760,44" to="29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" strokeweight=".12pt"/>
                <v:line id="Line 3083" o:spid="_x0000_s1074" style="position:absolute;visibility:visible;mso-wrap-style:square" from="2760,47" to="292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" strokeweight=".12pt"/>
                <v:line id="Line 3082" o:spid="_x0000_s1075" style="position:absolute;visibility:visible;mso-wrap-style:square" from="2928,1" to="42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" strokeweight=".12pt"/>
                <v:line id="Line 3081" o:spid="_x0000_s1076" style="position:absolute;visibility:visible;mso-wrap-style:square" from="2928,4" to="42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" strokeweight=".12pt"/>
                <v:line id="Line 3080" o:spid="_x0000_s1077" style="position:absolute;visibility:visible;mso-wrap-style:square" from="2928,6" to="42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" strokeweight=".12pt"/>
                <v:line id="Line 3079" o:spid="_x0000_s1078" style="position:absolute;visibility:visible;mso-wrap-style:square" from="2928,8" to="4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" strokeweight=".12pt"/>
                <v:line id="Line 3078" o:spid="_x0000_s1079" style="position:absolute;visibility:visible;mso-wrap-style:square" from="2928,11" to="422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" strokeweight=".12pt"/>
                <v:line id="Line 3077" o:spid="_x0000_s1080" style="position:absolute;visibility:visible;mso-wrap-style:square" from="2928,13" to="422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" strokeweight=".12pt"/>
                <v:line id="Line 3076" o:spid="_x0000_s1081" style="position:absolute;visibility:visible;mso-wrap-style:square" from="2928,35" to="422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" strokeweight=".12pt"/>
                <v:line id="Line 3075" o:spid="_x0000_s1082" style="position:absolute;visibility:visible;mso-wrap-style:square" from="2928,37" to="422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" strokeweight=".12pt"/>
                <v:line id="Line 3074" o:spid="_x0000_s1083" style="position:absolute;visibility:visible;mso-wrap-style:square" from="2928,40" to="42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" strokeweight=".12pt"/>
                <v:line id="Line 3073" o:spid="_x0000_s1084" style="position:absolute;visibility:visible;mso-wrap-style:square" from="2928,42" to="422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" strokeweight=".12pt"/>
                <v:line id="Line 3072" o:spid="_x0000_s1085" style="position:absolute;visibility:visible;mso-wrap-style:square" from="2928,44" to="42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" strokeweight=".12pt"/>
                <v:line id="Line 3071" o:spid="_x0000_s1086" style="position:absolute;visibility:visible;mso-wrap-style:square" from="2928,47" to="422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" strokeweight=".12pt"/>
                <v:line id="Line 3070" o:spid="_x0000_s1087" style="position:absolute;visibility:visible;mso-wrap-style:square" from="4224,1" to="55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" strokeweight=".12pt"/>
                <v:line id="Line 3069" o:spid="_x0000_s1088" style="position:absolute;visibility:visible;mso-wrap-style:square" from="4224,4" to="55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" strokeweight=".12pt"/>
                <v:line id="Line 3068" o:spid="_x0000_s1089" style="position:absolute;visibility:visible;mso-wrap-style:square" from="4224,6" to="55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" strokeweight=".12pt"/>
                <v:line id="Line 3067" o:spid="_x0000_s1090" style="position:absolute;visibility:visible;mso-wrap-style:square" from="4224,8" to="5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" strokeweight=".12pt"/>
                <v:line id="Line 3066" o:spid="_x0000_s1091" style="position:absolute;visibility:visible;mso-wrap-style:square" from="4224,11" to="552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" strokeweight=".12pt"/>
                <v:line id="Line 3065" o:spid="_x0000_s1092" style="position:absolute;visibility:visible;mso-wrap-style:square" from="4224,13" to="552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" strokeweight=".12pt"/>
                <v:line id="Line 3064" o:spid="_x0000_s1093" style="position:absolute;visibility:visible;mso-wrap-style:square" from="4224,35" to="552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" strokeweight=".12pt"/>
                <v:line id="Line 3063" o:spid="_x0000_s1094" style="position:absolute;visibility:visible;mso-wrap-style:square" from="4224,37" to="552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" strokeweight=".12pt"/>
                <v:line id="Line 3062" o:spid="_x0000_s1095" style="position:absolute;visibility:visible;mso-wrap-style:square" from="4224,40" to="552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" strokeweight=".12pt"/>
                <v:line id="Line 3061" o:spid="_x0000_s1096" style="position:absolute;visibility:visible;mso-wrap-style:square" from="4224,42" to="552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" strokeweight=".12pt"/>
                <v:line id="Line 3060" o:spid="_x0000_s1097" style="position:absolute;visibility:visible;mso-wrap-style:square" from="4224,44" to="552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" strokeweight=".12pt"/>
                <v:line id="Line 3059" o:spid="_x0000_s1098" style="position:absolute;visibility:visible;mso-wrap-style:square" from="4224,47" to="552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" strokeweight=".12pt"/>
                <w10:anchorlock/>
              </v:group>
            </w:pict>
          </mc:Fallback>
        </mc:AlternateContent>
      </w:r>
    </w:p>
    <w:p w14:paraId="7979DE39" w14:textId="77777777" w:rsidR="00FA4AA8" w:rsidRDefault="00FA4AA8">
      <w:pPr>
        <w:spacing w:line="49" w:lineRule="exact"/>
        <w:rPr>
          <w:sz w:val="4"/>
        </w:rPr>
        <w:sectPr w:rsidR="00FA4AA8">
          <w:type w:val="continuous"/>
          <w:pgSz w:w="11910" w:h="16840"/>
          <w:pgMar w:top="20" w:right="840" w:bottom="0" w:left="840" w:header="720" w:footer="720" w:gutter="0"/>
          <w:cols w:space="720"/>
        </w:sectPr>
      </w:pPr>
    </w:p>
    <w:p w14:paraId="534F3BFF" w14:textId="77777777" w:rsidR="00FA4AA8" w:rsidRDefault="00FA4AA8">
      <w:pPr>
        <w:pStyle w:val="BodyText"/>
        <w:rPr>
          <w:sz w:val="20"/>
        </w:rPr>
      </w:pPr>
    </w:p>
    <w:p w14:paraId="21BD9941" w14:textId="77777777" w:rsidR="00FA4AA8" w:rsidRDefault="00FA4AA8">
      <w:pPr>
        <w:pStyle w:val="BodyText"/>
        <w:spacing w:before="10"/>
        <w:rPr>
          <w:sz w:val="29"/>
        </w:rPr>
      </w:pPr>
    </w:p>
    <w:p w14:paraId="01AD1082" w14:textId="77777777" w:rsidR="00FA4AA8" w:rsidRDefault="0015611F">
      <w:pPr>
        <w:pStyle w:val="ListParagraph"/>
        <w:numPr>
          <w:ilvl w:val="0"/>
          <w:numId w:val="105"/>
        </w:numPr>
        <w:tabs>
          <w:tab w:val="left" w:pos="563"/>
          <w:tab w:val="left" w:pos="564"/>
        </w:tabs>
        <w:spacing w:before="94"/>
        <w:ind w:hanging="397"/>
        <w:rPr>
          <w:b/>
          <w:sz w:val="18"/>
        </w:rPr>
      </w:pPr>
      <w:bookmarkStart w:id="22" w:name="4_Fees_and_charges_"/>
      <w:bookmarkEnd w:id="22"/>
      <w:r>
        <w:rPr>
          <w:b/>
          <w:sz w:val="18"/>
        </w:rPr>
        <w:t>Fees and</w:t>
      </w:r>
      <w:r>
        <w:rPr>
          <w:b/>
          <w:spacing w:val="1"/>
          <w:sz w:val="18"/>
        </w:rPr>
        <w:t xml:space="preserve"> </w:t>
      </w:r>
      <w:r>
        <w:rPr>
          <w:b/>
          <w:sz w:val="18"/>
        </w:rPr>
        <w:t>charges</w:t>
      </w:r>
    </w:p>
    <w:p w14:paraId="675F000D" w14:textId="77777777" w:rsidR="00FA4AA8" w:rsidRDefault="0015611F">
      <w:pPr>
        <w:tabs>
          <w:tab w:val="left" w:pos="8414"/>
        </w:tabs>
        <w:spacing w:before="33"/>
        <w:ind w:left="5364"/>
        <w:rPr>
          <w:b/>
          <w:sz w:val="18"/>
        </w:rPr>
      </w:pPr>
      <w:r>
        <w:rPr>
          <w:b/>
          <w:sz w:val="18"/>
        </w:rPr>
        <w:t>Consolidated</w:t>
      </w:r>
      <w:r>
        <w:rPr>
          <w:b/>
          <w:sz w:val="18"/>
        </w:rPr>
        <w:tab/>
        <w:t>Parent</w:t>
      </w:r>
    </w:p>
    <w:p w14:paraId="4291CEBD" w14:textId="77777777" w:rsidR="00FA4AA8" w:rsidRDefault="00FA4AA8">
      <w:pPr>
        <w:pStyle w:val="BodyText"/>
        <w:spacing w:before="3"/>
        <w:rPr>
          <w:b/>
          <w:sz w:val="6"/>
        </w:rPr>
      </w:pPr>
    </w:p>
    <w:tbl>
      <w:tblPr>
        <w:tblW w:w="0" w:type="auto"/>
        <w:tblInd w:w="521" w:type="dxa"/>
        <w:tblLayout w:type="fixed"/>
        <w:tblCellMar>
          <w:left w:w="0" w:type="dxa"/>
          <w:right w:w="0" w:type="dxa"/>
        </w:tblCellMar>
        <w:tblLook w:val="01E0" w:firstRow="1" w:lastRow="1" w:firstColumn="1" w:lastColumn="1" w:noHBand="0" w:noVBand="0"/>
      </w:tblPr>
      <w:tblGrid>
        <w:gridCol w:w="4039"/>
        <w:gridCol w:w="1464"/>
        <w:gridCol w:w="1296"/>
        <w:gridCol w:w="168"/>
        <w:gridCol w:w="1458"/>
        <w:gridCol w:w="1134"/>
      </w:tblGrid>
      <w:tr w:rsidR="00FA4AA8" w14:paraId="292AB541" w14:textId="77777777">
        <w:trPr>
          <w:trHeight w:val="844"/>
        </w:trPr>
        <w:tc>
          <w:tcPr>
            <w:tcW w:w="4039" w:type="dxa"/>
          </w:tcPr>
          <w:p w14:paraId="6EB4F53C" w14:textId="77777777" w:rsidR="00FA4AA8" w:rsidRDefault="00FA4AA8">
            <w:pPr>
              <w:pStyle w:val="TableParagraph"/>
              <w:rPr>
                <w:b/>
                <w:sz w:val="20"/>
              </w:rPr>
            </w:pPr>
          </w:p>
          <w:p w14:paraId="2F30F110" w14:textId="77777777" w:rsidR="00FA4AA8" w:rsidRDefault="00FA4AA8">
            <w:pPr>
              <w:pStyle w:val="TableParagraph"/>
              <w:rPr>
                <w:b/>
                <w:sz w:val="20"/>
              </w:rPr>
            </w:pPr>
          </w:p>
          <w:p w14:paraId="039CCCCE" w14:textId="77777777" w:rsidR="00FA4AA8" w:rsidRDefault="0015611F">
            <w:pPr>
              <w:pStyle w:val="TableParagraph"/>
              <w:spacing w:before="160" w:line="204" w:lineRule="exact"/>
              <w:ind w:left="76"/>
              <w:rPr>
                <w:b/>
                <w:sz w:val="18"/>
              </w:rPr>
            </w:pPr>
            <w:r>
              <w:rPr>
                <w:b/>
                <w:sz w:val="18"/>
              </w:rPr>
              <w:t>Course Fees and Charges</w:t>
            </w:r>
          </w:p>
        </w:tc>
        <w:tc>
          <w:tcPr>
            <w:tcW w:w="1464" w:type="dxa"/>
          </w:tcPr>
          <w:p w14:paraId="3169B415" w14:textId="77777777" w:rsidR="00FA4AA8" w:rsidRDefault="0015611F">
            <w:pPr>
              <w:pStyle w:val="TableParagraph"/>
              <w:spacing w:line="201" w:lineRule="exact"/>
              <w:ind w:left="599"/>
              <w:rPr>
                <w:b/>
                <w:sz w:val="18"/>
              </w:rPr>
            </w:pPr>
            <w:r>
              <w:rPr>
                <w:b/>
                <w:sz w:val="18"/>
              </w:rPr>
              <w:t>2018</w:t>
            </w:r>
          </w:p>
          <w:p w14:paraId="3F2E5AC7" w14:textId="77777777" w:rsidR="00FA4AA8" w:rsidRDefault="0015611F">
            <w:pPr>
              <w:pStyle w:val="TableParagraph"/>
              <w:spacing w:before="66"/>
              <w:ind w:left="578"/>
              <w:rPr>
                <w:b/>
                <w:sz w:val="18"/>
              </w:rPr>
            </w:pPr>
            <w:r>
              <w:rPr>
                <w:b/>
                <w:sz w:val="18"/>
              </w:rPr>
              <w:t>$'000</w:t>
            </w:r>
          </w:p>
        </w:tc>
        <w:tc>
          <w:tcPr>
            <w:tcW w:w="1296" w:type="dxa"/>
          </w:tcPr>
          <w:p w14:paraId="705D5344" w14:textId="77777777" w:rsidR="00FA4AA8" w:rsidRDefault="0015611F">
            <w:pPr>
              <w:pStyle w:val="TableParagraph"/>
              <w:spacing w:line="201" w:lineRule="exact"/>
              <w:ind w:left="431"/>
              <w:rPr>
                <w:b/>
                <w:sz w:val="18"/>
              </w:rPr>
            </w:pPr>
            <w:r>
              <w:rPr>
                <w:b/>
                <w:sz w:val="18"/>
              </w:rPr>
              <w:t>2017</w:t>
            </w:r>
          </w:p>
          <w:p w14:paraId="475042C7" w14:textId="77777777" w:rsidR="00FA4AA8" w:rsidRDefault="0015611F">
            <w:pPr>
              <w:pStyle w:val="TableParagraph"/>
              <w:spacing w:before="66"/>
              <w:ind w:left="410"/>
              <w:rPr>
                <w:b/>
                <w:sz w:val="18"/>
              </w:rPr>
            </w:pPr>
            <w:r>
              <w:rPr>
                <w:b/>
                <w:sz w:val="18"/>
              </w:rPr>
              <w:t>$'000</w:t>
            </w:r>
          </w:p>
        </w:tc>
        <w:tc>
          <w:tcPr>
            <w:tcW w:w="168" w:type="dxa"/>
          </w:tcPr>
          <w:p w14:paraId="6D1E957F" w14:textId="77777777" w:rsidR="00FA4AA8" w:rsidRDefault="00FA4AA8">
            <w:pPr>
              <w:pStyle w:val="TableParagraph"/>
              <w:rPr>
                <w:rFonts w:ascii="Times New Roman"/>
                <w:sz w:val="18"/>
              </w:rPr>
            </w:pPr>
          </w:p>
        </w:tc>
        <w:tc>
          <w:tcPr>
            <w:tcW w:w="1458" w:type="dxa"/>
          </w:tcPr>
          <w:p w14:paraId="495A14BC" w14:textId="77777777" w:rsidR="00FA4AA8" w:rsidRDefault="0015611F">
            <w:pPr>
              <w:pStyle w:val="TableParagraph"/>
              <w:spacing w:line="201" w:lineRule="exact"/>
              <w:ind w:left="431"/>
              <w:rPr>
                <w:b/>
                <w:sz w:val="18"/>
              </w:rPr>
            </w:pPr>
            <w:r>
              <w:rPr>
                <w:b/>
                <w:sz w:val="18"/>
              </w:rPr>
              <w:t>2018</w:t>
            </w:r>
          </w:p>
          <w:p w14:paraId="1FDA43D8" w14:textId="77777777" w:rsidR="00FA4AA8" w:rsidRDefault="0015611F">
            <w:pPr>
              <w:pStyle w:val="TableParagraph"/>
              <w:spacing w:before="66"/>
              <w:ind w:left="410"/>
              <w:rPr>
                <w:b/>
                <w:sz w:val="18"/>
              </w:rPr>
            </w:pPr>
            <w:r>
              <w:rPr>
                <w:b/>
                <w:sz w:val="18"/>
              </w:rPr>
              <w:t>$'000</w:t>
            </w:r>
          </w:p>
        </w:tc>
        <w:tc>
          <w:tcPr>
            <w:tcW w:w="1134" w:type="dxa"/>
          </w:tcPr>
          <w:p w14:paraId="13697D41" w14:textId="77777777" w:rsidR="00FA4AA8" w:rsidRDefault="0015611F">
            <w:pPr>
              <w:pStyle w:val="TableParagraph"/>
              <w:spacing w:line="201" w:lineRule="exact"/>
              <w:ind w:left="269"/>
              <w:rPr>
                <w:b/>
                <w:sz w:val="18"/>
              </w:rPr>
            </w:pPr>
            <w:r>
              <w:rPr>
                <w:b/>
                <w:sz w:val="18"/>
              </w:rPr>
              <w:t>2017</w:t>
            </w:r>
          </w:p>
          <w:p w14:paraId="50F6DA8A" w14:textId="77777777" w:rsidR="00FA4AA8" w:rsidRDefault="0015611F">
            <w:pPr>
              <w:pStyle w:val="TableParagraph"/>
              <w:spacing w:before="66"/>
              <w:ind w:left="248"/>
              <w:rPr>
                <w:b/>
                <w:sz w:val="18"/>
              </w:rPr>
            </w:pPr>
            <w:r>
              <w:rPr>
                <w:b/>
                <w:sz w:val="18"/>
              </w:rPr>
              <w:t>$'000</w:t>
            </w:r>
          </w:p>
        </w:tc>
      </w:tr>
      <w:tr w:rsidR="00FA4AA8" w14:paraId="4E79B7AD" w14:textId="77777777">
        <w:trPr>
          <w:trHeight w:val="250"/>
        </w:trPr>
        <w:tc>
          <w:tcPr>
            <w:tcW w:w="4039" w:type="dxa"/>
          </w:tcPr>
          <w:p w14:paraId="66783F46" w14:textId="77777777" w:rsidR="00FA4AA8" w:rsidRDefault="0015611F">
            <w:pPr>
              <w:pStyle w:val="TableParagraph"/>
              <w:spacing w:before="13"/>
              <w:ind w:left="76"/>
              <w:rPr>
                <w:sz w:val="18"/>
              </w:rPr>
            </w:pPr>
            <w:r>
              <w:rPr>
                <w:sz w:val="18"/>
              </w:rPr>
              <w:t>Fee-paying overseas students</w:t>
            </w:r>
          </w:p>
        </w:tc>
        <w:tc>
          <w:tcPr>
            <w:tcW w:w="1464" w:type="dxa"/>
          </w:tcPr>
          <w:p w14:paraId="2E205744" w14:textId="77777777" w:rsidR="00FA4AA8" w:rsidRDefault="0015611F">
            <w:pPr>
              <w:pStyle w:val="TableParagraph"/>
              <w:spacing w:before="11"/>
              <w:ind w:right="84"/>
              <w:jc w:val="right"/>
              <w:rPr>
                <w:b/>
                <w:sz w:val="18"/>
              </w:rPr>
            </w:pPr>
            <w:r>
              <w:rPr>
                <w:b/>
                <w:sz w:val="18"/>
              </w:rPr>
              <w:t>133,600</w:t>
            </w:r>
          </w:p>
        </w:tc>
        <w:tc>
          <w:tcPr>
            <w:tcW w:w="1296" w:type="dxa"/>
          </w:tcPr>
          <w:p w14:paraId="29C0A8B1" w14:textId="77777777" w:rsidR="00FA4AA8" w:rsidRDefault="0015611F">
            <w:pPr>
              <w:pStyle w:val="TableParagraph"/>
              <w:spacing w:before="11"/>
              <w:ind w:right="84"/>
              <w:jc w:val="right"/>
              <w:rPr>
                <w:sz w:val="18"/>
              </w:rPr>
            </w:pPr>
            <w:r>
              <w:rPr>
                <w:sz w:val="18"/>
              </w:rPr>
              <w:t>97,937</w:t>
            </w:r>
          </w:p>
        </w:tc>
        <w:tc>
          <w:tcPr>
            <w:tcW w:w="168" w:type="dxa"/>
          </w:tcPr>
          <w:p w14:paraId="5F1451BC" w14:textId="77777777" w:rsidR="00FA4AA8" w:rsidRDefault="00FA4AA8">
            <w:pPr>
              <w:pStyle w:val="TableParagraph"/>
              <w:rPr>
                <w:rFonts w:ascii="Times New Roman"/>
                <w:sz w:val="18"/>
              </w:rPr>
            </w:pPr>
          </w:p>
        </w:tc>
        <w:tc>
          <w:tcPr>
            <w:tcW w:w="1458" w:type="dxa"/>
          </w:tcPr>
          <w:p w14:paraId="2990856C" w14:textId="77777777" w:rsidR="00FA4AA8" w:rsidRDefault="0015611F">
            <w:pPr>
              <w:pStyle w:val="TableParagraph"/>
              <w:spacing w:before="11"/>
              <w:ind w:right="246"/>
              <w:jc w:val="right"/>
              <w:rPr>
                <w:b/>
                <w:sz w:val="18"/>
              </w:rPr>
            </w:pPr>
            <w:r>
              <w:rPr>
                <w:b/>
                <w:sz w:val="18"/>
              </w:rPr>
              <w:t>132,618</w:t>
            </w:r>
          </w:p>
        </w:tc>
        <w:tc>
          <w:tcPr>
            <w:tcW w:w="1134" w:type="dxa"/>
          </w:tcPr>
          <w:p w14:paraId="285B37D5" w14:textId="77777777" w:rsidR="00FA4AA8" w:rsidRDefault="0015611F">
            <w:pPr>
              <w:pStyle w:val="TableParagraph"/>
              <w:spacing w:before="11"/>
              <w:ind w:right="84"/>
              <w:jc w:val="right"/>
              <w:rPr>
                <w:sz w:val="18"/>
              </w:rPr>
            </w:pPr>
            <w:r>
              <w:rPr>
                <w:sz w:val="18"/>
              </w:rPr>
              <w:t>96,960</w:t>
            </w:r>
          </w:p>
        </w:tc>
      </w:tr>
      <w:tr w:rsidR="00FA4AA8" w14:paraId="034338C5" w14:textId="77777777">
        <w:trPr>
          <w:trHeight w:val="264"/>
        </w:trPr>
        <w:tc>
          <w:tcPr>
            <w:tcW w:w="4039" w:type="dxa"/>
          </w:tcPr>
          <w:p w14:paraId="2E8844C3" w14:textId="77777777" w:rsidR="00FA4AA8" w:rsidRDefault="0015611F">
            <w:pPr>
              <w:pStyle w:val="TableParagraph"/>
              <w:spacing w:before="26"/>
              <w:ind w:left="76"/>
              <w:rPr>
                <w:sz w:val="18"/>
              </w:rPr>
            </w:pPr>
            <w:r>
              <w:rPr>
                <w:sz w:val="18"/>
              </w:rPr>
              <w:t>Fee-paying domestic students</w:t>
            </w:r>
          </w:p>
        </w:tc>
        <w:tc>
          <w:tcPr>
            <w:tcW w:w="1464" w:type="dxa"/>
          </w:tcPr>
          <w:p w14:paraId="3CC2A94F" w14:textId="77777777" w:rsidR="00FA4AA8" w:rsidRDefault="0015611F">
            <w:pPr>
              <w:pStyle w:val="TableParagraph"/>
              <w:spacing w:before="24"/>
              <w:ind w:right="84"/>
              <w:jc w:val="right"/>
              <w:rPr>
                <w:b/>
                <w:sz w:val="18"/>
              </w:rPr>
            </w:pPr>
            <w:r>
              <w:rPr>
                <w:b/>
                <w:sz w:val="18"/>
              </w:rPr>
              <w:t>5,745</w:t>
            </w:r>
          </w:p>
        </w:tc>
        <w:tc>
          <w:tcPr>
            <w:tcW w:w="1296" w:type="dxa"/>
          </w:tcPr>
          <w:p w14:paraId="12E60595" w14:textId="77777777" w:rsidR="00FA4AA8" w:rsidRDefault="0015611F">
            <w:pPr>
              <w:pStyle w:val="TableParagraph"/>
              <w:spacing w:before="24"/>
              <w:ind w:right="84"/>
              <w:jc w:val="right"/>
              <w:rPr>
                <w:sz w:val="18"/>
              </w:rPr>
            </w:pPr>
            <w:r>
              <w:rPr>
                <w:sz w:val="18"/>
              </w:rPr>
              <w:t>4,128</w:t>
            </w:r>
          </w:p>
        </w:tc>
        <w:tc>
          <w:tcPr>
            <w:tcW w:w="168" w:type="dxa"/>
          </w:tcPr>
          <w:p w14:paraId="1D70DC5A" w14:textId="77777777" w:rsidR="00FA4AA8" w:rsidRDefault="00FA4AA8">
            <w:pPr>
              <w:pStyle w:val="TableParagraph"/>
              <w:rPr>
                <w:rFonts w:ascii="Times New Roman"/>
                <w:sz w:val="18"/>
              </w:rPr>
            </w:pPr>
          </w:p>
        </w:tc>
        <w:tc>
          <w:tcPr>
            <w:tcW w:w="1458" w:type="dxa"/>
          </w:tcPr>
          <w:p w14:paraId="0DC23D84" w14:textId="77777777" w:rsidR="00FA4AA8" w:rsidRDefault="0015611F">
            <w:pPr>
              <w:pStyle w:val="TableParagraph"/>
              <w:spacing w:before="24"/>
              <w:ind w:right="246"/>
              <w:jc w:val="right"/>
              <w:rPr>
                <w:b/>
                <w:sz w:val="18"/>
              </w:rPr>
            </w:pPr>
            <w:r>
              <w:rPr>
                <w:b/>
                <w:sz w:val="18"/>
              </w:rPr>
              <w:t>4,924</w:t>
            </w:r>
          </w:p>
        </w:tc>
        <w:tc>
          <w:tcPr>
            <w:tcW w:w="1134" w:type="dxa"/>
          </w:tcPr>
          <w:p w14:paraId="6FBEBC1B" w14:textId="77777777" w:rsidR="00FA4AA8" w:rsidRDefault="0015611F">
            <w:pPr>
              <w:pStyle w:val="TableParagraph"/>
              <w:spacing w:before="24"/>
              <w:ind w:right="84"/>
              <w:jc w:val="right"/>
              <w:rPr>
                <w:sz w:val="18"/>
              </w:rPr>
            </w:pPr>
            <w:r>
              <w:rPr>
                <w:sz w:val="18"/>
              </w:rPr>
              <w:t>3,847</w:t>
            </w:r>
          </w:p>
        </w:tc>
      </w:tr>
      <w:tr w:rsidR="00FA4AA8" w14:paraId="07A26C50" w14:textId="77777777">
        <w:trPr>
          <w:trHeight w:val="264"/>
        </w:trPr>
        <w:tc>
          <w:tcPr>
            <w:tcW w:w="4039" w:type="dxa"/>
          </w:tcPr>
          <w:p w14:paraId="44E592D7" w14:textId="77777777" w:rsidR="00FA4AA8" w:rsidRDefault="0015611F">
            <w:pPr>
              <w:pStyle w:val="TableParagraph"/>
              <w:spacing w:before="26"/>
              <w:ind w:left="76"/>
              <w:rPr>
                <w:sz w:val="18"/>
              </w:rPr>
            </w:pPr>
            <w:r>
              <w:rPr>
                <w:sz w:val="18"/>
              </w:rPr>
              <w:t>Continuing education</w:t>
            </w:r>
          </w:p>
        </w:tc>
        <w:tc>
          <w:tcPr>
            <w:tcW w:w="1464" w:type="dxa"/>
          </w:tcPr>
          <w:p w14:paraId="363F2191" w14:textId="77777777" w:rsidR="00FA4AA8" w:rsidRDefault="0015611F">
            <w:pPr>
              <w:pStyle w:val="TableParagraph"/>
              <w:spacing w:before="24"/>
              <w:ind w:right="84"/>
              <w:jc w:val="right"/>
              <w:rPr>
                <w:b/>
                <w:sz w:val="18"/>
              </w:rPr>
            </w:pPr>
            <w:r>
              <w:rPr>
                <w:b/>
                <w:sz w:val="18"/>
              </w:rPr>
              <w:t>3,923</w:t>
            </w:r>
          </w:p>
        </w:tc>
        <w:tc>
          <w:tcPr>
            <w:tcW w:w="1296" w:type="dxa"/>
          </w:tcPr>
          <w:p w14:paraId="2EF791E4" w14:textId="77777777" w:rsidR="00FA4AA8" w:rsidRDefault="0015611F">
            <w:pPr>
              <w:pStyle w:val="TableParagraph"/>
              <w:spacing w:before="24"/>
              <w:ind w:right="84"/>
              <w:jc w:val="right"/>
              <w:rPr>
                <w:sz w:val="18"/>
              </w:rPr>
            </w:pPr>
            <w:r>
              <w:rPr>
                <w:sz w:val="18"/>
              </w:rPr>
              <w:t>4,007</w:t>
            </w:r>
          </w:p>
        </w:tc>
        <w:tc>
          <w:tcPr>
            <w:tcW w:w="168" w:type="dxa"/>
          </w:tcPr>
          <w:p w14:paraId="6AA4A5FA" w14:textId="77777777" w:rsidR="00FA4AA8" w:rsidRDefault="00FA4AA8">
            <w:pPr>
              <w:pStyle w:val="TableParagraph"/>
              <w:rPr>
                <w:rFonts w:ascii="Times New Roman"/>
                <w:sz w:val="18"/>
              </w:rPr>
            </w:pPr>
          </w:p>
        </w:tc>
        <w:tc>
          <w:tcPr>
            <w:tcW w:w="1458" w:type="dxa"/>
          </w:tcPr>
          <w:p w14:paraId="498052F8" w14:textId="77777777" w:rsidR="00FA4AA8" w:rsidRDefault="0015611F">
            <w:pPr>
              <w:pStyle w:val="TableParagraph"/>
              <w:spacing w:before="24"/>
              <w:ind w:right="246"/>
              <w:jc w:val="right"/>
              <w:rPr>
                <w:b/>
                <w:sz w:val="18"/>
              </w:rPr>
            </w:pPr>
            <w:r>
              <w:rPr>
                <w:b/>
                <w:sz w:val="18"/>
              </w:rPr>
              <w:t>50</w:t>
            </w:r>
          </w:p>
        </w:tc>
        <w:tc>
          <w:tcPr>
            <w:tcW w:w="1134" w:type="dxa"/>
          </w:tcPr>
          <w:p w14:paraId="5AFBC431" w14:textId="77777777" w:rsidR="00FA4AA8" w:rsidRDefault="0015611F">
            <w:pPr>
              <w:pStyle w:val="TableParagraph"/>
              <w:spacing w:before="24"/>
              <w:ind w:right="84"/>
              <w:jc w:val="right"/>
              <w:rPr>
                <w:sz w:val="18"/>
              </w:rPr>
            </w:pPr>
            <w:r>
              <w:rPr>
                <w:sz w:val="18"/>
              </w:rPr>
              <w:t>67</w:t>
            </w:r>
          </w:p>
        </w:tc>
      </w:tr>
      <w:tr w:rsidR="00FA4AA8" w14:paraId="2FE1C0B0" w14:textId="77777777">
        <w:trPr>
          <w:trHeight w:val="256"/>
        </w:trPr>
        <w:tc>
          <w:tcPr>
            <w:tcW w:w="4039" w:type="dxa"/>
          </w:tcPr>
          <w:p w14:paraId="7D21EABD" w14:textId="77777777" w:rsidR="00FA4AA8" w:rsidRDefault="0015611F">
            <w:pPr>
              <w:pStyle w:val="TableParagraph"/>
              <w:spacing w:before="26"/>
              <w:ind w:left="76"/>
              <w:rPr>
                <w:sz w:val="18"/>
              </w:rPr>
            </w:pPr>
            <w:r>
              <w:rPr>
                <w:sz w:val="18"/>
              </w:rPr>
              <w:t>Other domestic course fees and charges</w:t>
            </w:r>
          </w:p>
        </w:tc>
        <w:tc>
          <w:tcPr>
            <w:tcW w:w="1464" w:type="dxa"/>
            <w:tcBorders>
              <w:bottom w:val="single" w:sz="8" w:space="0" w:color="000000"/>
            </w:tcBorders>
          </w:tcPr>
          <w:p w14:paraId="19373EE9" w14:textId="77777777" w:rsidR="00FA4AA8" w:rsidRDefault="0015611F">
            <w:pPr>
              <w:pStyle w:val="TableParagraph"/>
              <w:spacing w:before="24"/>
              <w:ind w:right="84"/>
              <w:jc w:val="right"/>
              <w:rPr>
                <w:b/>
                <w:sz w:val="18"/>
              </w:rPr>
            </w:pPr>
            <w:r>
              <w:rPr>
                <w:b/>
                <w:sz w:val="18"/>
              </w:rPr>
              <w:t>31</w:t>
            </w:r>
          </w:p>
        </w:tc>
        <w:tc>
          <w:tcPr>
            <w:tcW w:w="1296" w:type="dxa"/>
            <w:tcBorders>
              <w:bottom w:val="single" w:sz="8" w:space="0" w:color="000000"/>
            </w:tcBorders>
          </w:tcPr>
          <w:p w14:paraId="777539FF" w14:textId="77777777" w:rsidR="00FA4AA8" w:rsidRDefault="0015611F">
            <w:pPr>
              <w:pStyle w:val="TableParagraph"/>
              <w:spacing w:before="24"/>
              <w:ind w:right="84"/>
              <w:jc w:val="right"/>
              <w:rPr>
                <w:sz w:val="18"/>
              </w:rPr>
            </w:pPr>
            <w:r>
              <w:rPr>
                <w:sz w:val="18"/>
              </w:rPr>
              <w:t>47</w:t>
            </w:r>
          </w:p>
        </w:tc>
        <w:tc>
          <w:tcPr>
            <w:tcW w:w="168" w:type="dxa"/>
            <w:tcBorders>
              <w:bottom w:val="single" w:sz="8" w:space="0" w:color="000000"/>
            </w:tcBorders>
          </w:tcPr>
          <w:p w14:paraId="673EE52B" w14:textId="77777777" w:rsidR="00FA4AA8" w:rsidRDefault="00FA4AA8">
            <w:pPr>
              <w:pStyle w:val="TableParagraph"/>
              <w:rPr>
                <w:rFonts w:ascii="Times New Roman"/>
                <w:sz w:val="18"/>
              </w:rPr>
            </w:pPr>
          </w:p>
        </w:tc>
        <w:tc>
          <w:tcPr>
            <w:tcW w:w="1458" w:type="dxa"/>
            <w:tcBorders>
              <w:bottom w:val="single" w:sz="8" w:space="0" w:color="000000"/>
            </w:tcBorders>
          </w:tcPr>
          <w:p w14:paraId="72EA946F" w14:textId="77777777" w:rsidR="00FA4AA8" w:rsidRDefault="0015611F">
            <w:pPr>
              <w:pStyle w:val="TableParagraph"/>
              <w:spacing w:before="24"/>
              <w:ind w:right="246"/>
              <w:jc w:val="right"/>
              <w:rPr>
                <w:b/>
                <w:sz w:val="18"/>
              </w:rPr>
            </w:pPr>
            <w:r>
              <w:rPr>
                <w:b/>
                <w:sz w:val="18"/>
              </w:rPr>
              <w:t>31</w:t>
            </w:r>
          </w:p>
        </w:tc>
        <w:tc>
          <w:tcPr>
            <w:tcW w:w="1134" w:type="dxa"/>
            <w:tcBorders>
              <w:bottom w:val="single" w:sz="8" w:space="0" w:color="000000"/>
            </w:tcBorders>
          </w:tcPr>
          <w:p w14:paraId="2C4D6328" w14:textId="77777777" w:rsidR="00FA4AA8" w:rsidRDefault="0015611F">
            <w:pPr>
              <w:pStyle w:val="TableParagraph"/>
              <w:spacing w:before="24"/>
              <w:ind w:right="84"/>
              <w:jc w:val="right"/>
              <w:rPr>
                <w:sz w:val="18"/>
              </w:rPr>
            </w:pPr>
            <w:r>
              <w:rPr>
                <w:sz w:val="18"/>
              </w:rPr>
              <w:t>47</w:t>
            </w:r>
          </w:p>
        </w:tc>
      </w:tr>
      <w:tr w:rsidR="00FA4AA8" w14:paraId="59786186" w14:textId="77777777">
        <w:trPr>
          <w:trHeight w:val="318"/>
        </w:trPr>
        <w:tc>
          <w:tcPr>
            <w:tcW w:w="4039" w:type="dxa"/>
          </w:tcPr>
          <w:p w14:paraId="02A9DA89" w14:textId="77777777" w:rsidR="00FA4AA8" w:rsidRDefault="0015611F">
            <w:pPr>
              <w:pStyle w:val="TableParagraph"/>
              <w:spacing w:before="115" w:line="183" w:lineRule="exact"/>
              <w:ind w:left="76"/>
              <w:rPr>
                <w:b/>
                <w:sz w:val="18"/>
              </w:rPr>
            </w:pPr>
            <w:r>
              <w:rPr>
                <w:b/>
                <w:sz w:val="18"/>
              </w:rPr>
              <w:t>Total Course Fees and Charges</w:t>
            </w:r>
          </w:p>
        </w:tc>
        <w:tc>
          <w:tcPr>
            <w:tcW w:w="1464" w:type="dxa"/>
            <w:tcBorders>
              <w:top w:val="single" w:sz="8" w:space="0" w:color="000000"/>
              <w:bottom w:val="single" w:sz="8" w:space="0" w:color="000000"/>
            </w:tcBorders>
          </w:tcPr>
          <w:p w14:paraId="49316EE5" w14:textId="77777777" w:rsidR="00FA4AA8" w:rsidRDefault="0015611F">
            <w:pPr>
              <w:pStyle w:val="TableParagraph"/>
              <w:spacing w:before="86"/>
              <w:ind w:right="84"/>
              <w:jc w:val="right"/>
              <w:rPr>
                <w:b/>
                <w:sz w:val="18"/>
              </w:rPr>
            </w:pPr>
            <w:r>
              <w:rPr>
                <w:b/>
                <w:sz w:val="18"/>
              </w:rPr>
              <w:t>143,299</w:t>
            </w:r>
          </w:p>
        </w:tc>
        <w:tc>
          <w:tcPr>
            <w:tcW w:w="1296" w:type="dxa"/>
            <w:tcBorders>
              <w:top w:val="single" w:sz="8" w:space="0" w:color="000000"/>
              <w:bottom w:val="single" w:sz="8" w:space="0" w:color="000000"/>
            </w:tcBorders>
          </w:tcPr>
          <w:p w14:paraId="087818B8" w14:textId="77777777" w:rsidR="00FA4AA8" w:rsidRDefault="0015611F">
            <w:pPr>
              <w:pStyle w:val="TableParagraph"/>
              <w:spacing w:before="86"/>
              <w:ind w:right="84"/>
              <w:jc w:val="right"/>
              <w:rPr>
                <w:sz w:val="18"/>
              </w:rPr>
            </w:pPr>
            <w:r>
              <w:rPr>
                <w:sz w:val="18"/>
              </w:rPr>
              <w:t>106,119</w:t>
            </w:r>
          </w:p>
        </w:tc>
        <w:tc>
          <w:tcPr>
            <w:tcW w:w="168" w:type="dxa"/>
            <w:tcBorders>
              <w:top w:val="single" w:sz="8" w:space="0" w:color="000000"/>
              <w:bottom w:val="single" w:sz="8" w:space="0" w:color="000000"/>
            </w:tcBorders>
          </w:tcPr>
          <w:p w14:paraId="025906F1" w14:textId="77777777" w:rsidR="00FA4AA8" w:rsidRDefault="00FA4AA8">
            <w:pPr>
              <w:pStyle w:val="TableParagraph"/>
              <w:rPr>
                <w:rFonts w:ascii="Times New Roman"/>
                <w:sz w:val="18"/>
              </w:rPr>
            </w:pPr>
          </w:p>
        </w:tc>
        <w:tc>
          <w:tcPr>
            <w:tcW w:w="1458" w:type="dxa"/>
            <w:tcBorders>
              <w:top w:val="single" w:sz="8" w:space="0" w:color="000000"/>
              <w:bottom w:val="single" w:sz="8" w:space="0" w:color="000000"/>
            </w:tcBorders>
          </w:tcPr>
          <w:p w14:paraId="2C6BF297" w14:textId="77777777" w:rsidR="00FA4AA8" w:rsidRDefault="0015611F">
            <w:pPr>
              <w:pStyle w:val="TableParagraph"/>
              <w:spacing w:before="86"/>
              <w:ind w:right="246"/>
              <w:jc w:val="right"/>
              <w:rPr>
                <w:b/>
                <w:sz w:val="18"/>
              </w:rPr>
            </w:pPr>
            <w:r>
              <w:rPr>
                <w:b/>
                <w:sz w:val="18"/>
              </w:rPr>
              <w:t>137,623</w:t>
            </w:r>
          </w:p>
        </w:tc>
        <w:tc>
          <w:tcPr>
            <w:tcW w:w="1134" w:type="dxa"/>
            <w:tcBorders>
              <w:top w:val="single" w:sz="8" w:space="0" w:color="000000"/>
              <w:bottom w:val="single" w:sz="8" w:space="0" w:color="000000"/>
            </w:tcBorders>
          </w:tcPr>
          <w:p w14:paraId="444656AF" w14:textId="77777777" w:rsidR="00FA4AA8" w:rsidRDefault="0015611F">
            <w:pPr>
              <w:pStyle w:val="TableParagraph"/>
              <w:spacing w:before="86"/>
              <w:ind w:right="84"/>
              <w:jc w:val="right"/>
              <w:rPr>
                <w:sz w:val="18"/>
              </w:rPr>
            </w:pPr>
            <w:r>
              <w:rPr>
                <w:sz w:val="18"/>
              </w:rPr>
              <w:t>100,921</w:t>
            </w:r>
          </w:p>
        </w:tc>
      </w:tr>
      <w:tr w:rsidR="00FA4AA8" w14:paraId="04433A90" w14:textId="77777777">
        <w:trPr>
          <w:trHeight w:val="589"/>
        </w:trPr>
        <w:tc>
          <w:tcPr>
            <w:tcW w:w="4039" w:type="dxa"/>
          </w:tcPr>
          <w:p w14:paraId="7A42255F" w14:textId="77777777" w:rsidR="00FA4AA8" w:rsidRDefault="0015611F">
            <w:pPr>
              <w:pStyle w:val="TableParagraph"/>
              <w:spacing w:before="115"/>
              <w:ind w:left="76"/>
              <w:rPr>
                <w:b/>
                <w:sz w:val="18"/>
              </w:rPr>
            </w:pPr>
            <w:r>
              <w:rPr>
                <w:b/>
                <w:sz w:val="18"/>
              </w:rPr>
              <w:t>Other Non-Course Fees and Charges</w:t>
            </w:r>
          </w:p>
          <w:p w14:paraId="56A0A998" w14:textId="77777777" w:rsidR="00FA4AA8" w:rsidRDefault="0015611F">
            <w:pPr>
              <w:pStyle w:val="TableParagraph"/>
              <w:spacing w:before="30"/>
              <w:ind w:left="76"/>
              <w:rPr>
                <w:sz w:val="18"/>
              </w:rPr>
            </w:pPr>
            <w:r>
              <w:rPr>
                <w:sz w:val="18"/>
              </w:rPr>
              <w:t>Student services fees from students</w:t>
            </w:r>
          </w:p>
        </w:tc>
        <w:tc>
          <w:tcPr>
            <w:tcW w:w="1464" w:type="dxa"/>
            <w:tcBorders>
              <w:top w:val="single" w:sz="8" w:space="0" w:color="000000"/>
            </w:tcBorders>
          </w:tcPr>
          <w:p w14:paraId="6C96FE43" w14:textId="77777777" w:rsidR="00FA4AA8" w:rsidRDefault="00FA4AA8">
            <w:pPr>
              <w:pStyle w:val="TableParagraph"/>
              <w:rPr>
                <w:b/>
                <w:sz w:val="20"/>
              </w:rPr>
            </w:pPr>
          </w:p>
          <w:p w14:paraId="77A54C91" w14:textId="77777777" w:rsidR="00FA4AA8" w:rsidRDefault="0015611F">
            <w:pPr>
              <w:pStyle w:val="TableParagraph"/>
              <w:spacing w:before="120"/>
              <w:ind w:right="84"/>
              <w:jc w:val="right"/>
              <w:rPr>
                <w:b/>
                <w:sz w:val="18"/>
              </w:rPr>
            </w:pPr>
            <w:r>
              <w:rPr>
                <w:b/>
                <w:sz w:val="18"/>
              </w:rPr>
              <w:t>3,836</w:t>
            </w:r>
          </w:p>
        </w:tc>
        <w:tc>
          <w:tcPr>
            <w:tcW w:w="1296" w:type="dxa"/>
            <w:tcBorders>
              <w:top w:val="single" w:sz="8" w:space="0" w:color="000000"/>
            </w:tcBorders>
          </w:tcPr>
          <w:p w14:paraId="1B775D2D" w14:textId="77777777" w:rsidR="00FA4AA8" w:rsidRDefault="00FA4AA8">
            <w:pPr>
              <w:pStyle w:val="TableParagraph"/>
              <w:rPr>
                <w:b/>
                <w:sz w:val="20"/>
              </w:rPr>
            </w:pPr>
          </w:p>
          <w:p w14:paraId="4D3E3C9F" w14:textId="77777777" w:rsidR="00FA4AA8" w:rsidRDefault="0015611F">
            <w:pPr>
              <w:pStyle w:val="TableParagraph"/>
              <w:spacing w:before="120"/>
              <w:ind w:right="84"/>
              <w:jc w:val="right"/>
              <w:rPr>
                <w:sz w:val="18"/>
              </w:rPr>
            </w:pPr>
            <w:r>
              <w:rPr>
                <w:sz w:val="18"/>
              </w:rPr>
              <w:t>3,176</w:t>
            </w:r>
          </w:p>
        </w:tc>
        <w:tc>
          <w:tcPr>
            <w:tcW w:w="168" w:type="dxa"/>
            <w:tcBorders>
              <w:top w:val="single" w:sz="8" w:space="0" w:color="000000"/>
            </w:tcBorders>
          </w:tcPr>
          <w:p w14:paraId="67A87F38" w14:textId="77777777" w:rsidR="00FA4AA8" w:rsidRDefault="00FA4AA8">
            <w:pPr>
              <w:pStyle w:val="TableParagraph"/>
              <w:rPr>
                <w:rFonts w:ascii="Times New Roman"/>
                <w:sz w:val="18"/>
              </w:rPr>
            </w:pPr>
          </w:p>
        </w:tc>
        <w:tc>
          <w:tcPr>
            <w:tcW w:w="1458" w:type="dxa"/>
            <w:tcBorders>
              <w:top w:val="single" w:sz="8" w:space="0" w:color="000000"/>
            </w:tcBorders>
          </w:tcPr>
          <w:p w14:paraId="462570EB" w14:textId="77777777" w:rsidR="00FA4AA8" w:rsidRDefault="00FA4AA8">
            <w:pPr>
              <w:pStyle w:val="TableParagraph"/>
              <w:rPr>
                <w:b/>
                <w:sz w:val="20"/>
              </w:rPr>
            </w:pPr>
          </w:p>
          <w:p w14:paraId="2569BE97" w14:textId="77777777" w:rsidR="00FA4AA8" w:rsidRDefault="0015611F">
            <w:pPr>
              <w:pStyle w:val="TableParagraph"/>
              <w:spacing w:before="120"/>
              <w:ind w:right="246"/>
              <w:jc w:val="right"/>
              <w:rPr>
                <w:b/>
                <w:sz w:val="18"/>
              </w:rPr>
            </w:pPr>
            <w:r>
              <w:rPr>
                <w:b/>
                <w:sz w:val="18"/>
              </w:rPr>
              <w:t>3,836</w:t>
            </w:r>
          </w:p>
        </w:tc>
        <w:tc>
          <w:tcPr>
            <w:tcW w:w="1134" w:type="dxa"/>
            <w:tcBorders>
              <w:top w:val="single" w:sz="8" w:space="0" w:color="000000"/>
            </w:tcBorders>
          </w:tcPr>
          <w:p w14:paraId="64C16AD0" w14:textId="77777777" w:rsidR="00FA4AA8" w:rsidRDefault="00FA4AA8">
            <w:pPr>
              <w:pStyle w:val="TableParagraph"/>
              <w:rPr>
                <w:b/>
                <w:sz w:val="20"/>
              </w:rPr>
            </w:pPr>
          </w:p>
          <w:p w14:paraId="6B2BA419" w14:textId="77777777" w:rsidR="00FA4AA8" w:rsidRDefault="0015611F">
            <w:pPr>
              <w:pStyle w:val="TableParagraph"/>
              <w:spacing w:before="120"/>
              <w:ind w:right="84"/>
              <w:jc w:val="right"/>
              <w:rPr>
                <w:sz w:val="18"/>
              </w:rPr>
            </w:pPr>
            <w:r>
              <w:rPr>
                <w:sz w:val="18"/>
              </w:rPr>
              <w:t>3,176</w:t>
            </w:r>
          </w:p>
        </w:tc>
      </w:tr>
      <w:tr w:rsidR="00FA4AA8" w14:paraId="088960EE" w14:textId="77777777">
        <w:trPr>
          <w:trHeight w:val="264"/>
        </w:trPr>
        <w:tc>
          <w:tcPr>
            <w:tcW w:w="4039" w:type="dxa"/>
          </w:tcPr>
          <w:p w14:paraId="222A53F2" w14:textId="77777777" w:rsidR="00FA4AA8" w:rsidRDefault="0015611F">
            <w:pPr>
              <w:pStyle w:val="TableParagraph"/>
              <w:spacing w:before="26"/>
              <w:ind w:left="76"/>
              <w:rPr>
                <w:sz w:val="18"/>
              </w:rPr>
            </w:pPr>
            <w:r>
              <w:rPr>
                <w:sz w:val="18"/>
              </w:rPr>
              <w:t>Deferral fees</w:t>
            </w:r>
          </w:p>
        </w:tc>
        <w:tc>
          <w:tcPr>
            <w:tcW w:w="1464" w:type="dxa"/>
          </w:tcPr>
          <w:p w14:paraId="4CE33624" w14:textId="77777777" w:rsidR="00FA4AA8" w:rsidRDefault="0015611F">
            <w:pPr>
              <w:pStyle w:val="TableParagraph"/>
              <w:spacing w:before="24"/>
              <w:ind w:right="84"/>
              <w:jc w:val="right"/>
              <w:rPr>
                <w:b/>
                <w:sz w:val="18"/>
              </w:rPr>
            </w:pPr>
            <w:r>
              <w:rPr>
                <w:b/>
                <w:sz w:val="18"/>
              </w:rPr>
              <w:t>-</w:t>
            </w:r>
          </w:p>
        </w:tc>
        <w:tc>
          <w:tcPr>
            <w:tcW w:w="1296" w:type="dxa"/>
          </w:tcPr>
          <w:p w14:paraId="43A0EB01" w14:textId="77777777" w:rsidR="00FA4AA8" w:rsidRDefault="0015611F">
            <w:pPr>
              <w:pStyle w:val="TableParagraph"/>
              <w:spacing w:before="24"/>
              <w:ind w:right="24"/>
              <w:jc w:val="right"/>
              <w:rPr>
                <w:sz w:val="18"/>
              </w:rPr>
            </w:pPr>
            <w:r>
              <w:rPr>
                <w:sz w:val="18"/>
              </w:rPr>
              <w:t>(2)</w:t>
            </w:r>
          </w:p>
        </w:tc>
        <w:tc>
          <w:tcPr>
            <w:tcW w:w="168" w:type="dxa"/>
          </w:tcPr>
          <w:p w14:paraId="0F645CBC" w14:textId="77777777" w:rsidR="00FA4AA8" w:rsidRDefault="00FA4AA8">
            <w:pPr>
              <w:pStyle w:val="TableParagraph"/>
              <w:rPr>
                <w:rFonts w:ascii="Times New Roman"/>
                <w:sz w:val="18"/>
              </w:rPr>
            </w:pPr>
          </w:p>
        </w:tc>
        <w:tc>
          <w:tcPr>
            <w:tcW w:w="1458" w:type="dxa"/>
          </w:tcPr>
          <w:p w14:paraId="184643D5" w14:textId="77777777" w:rsidR="00FA4AA8" w:rsidRDefault="0015611F">
            <w:pPr>
              <w:pStyle w:val="TableParagraph"/>
              <w:spacing w:before="24"/>
              <w:ind w:right="246"/>
              <w:jc w:val="right"/>
              <w:rPr>
                <w:b/>
                <w:sz w:val="18"/>
              </w:rPr>
            </w:pPr>
            <w:r>
              <w:rPr>
                <w:b/>
                <w:sz w:val="18"/>
              </w:rPr>
              <w:t>-</w:t>
            </w:r>
          </w:p>
        </w:tc>
        <w:tc>
          <w:tcPr>
            <w:tcW w:w="1134" w:type="dxa"/>
          </w:tcPr>
          <w:p w14:paraId="5AA50A4F" w14:textId="77777777" w:rsidR="00FA4AA8" w:rsidRDefault="0015611F">
            <w:pPr>
              <w:pStyle w:val="TableParagraph"/>
              <w:spacing w:before="24"/>
              <w:ind w:right="24"/>
              <w:jc w:val="right"/>
              <w:rPr>
                <w:sz w:val="18"/>
              </w:rPr>
            </w:pPr>
            <w:r>
              <w:rPr>
                <w:sz w:val="18"/>
              </w:rPr>
              <w:t>(2)</w:t>
            </w:r>
          </w:p>
        </w:tc>
      </w:tr>
      <w:tr w:rsidR="00FA4AA8" w14:paraId="186E39F7" w14:textId="77777777">
        <w:trPr>
          <w:trHeight w:val="264"/>
        </w:trPr>
        <w:tc>
          <w:tcPr>
            <w:tcW w:w="4039" w:type="dxa"/>
          </w:tcPr>
          <w:p w14:paraId="195830FA" w14:textId="77777777" w:rsidR="00FA4AA8" w:rsidRDefault="0015611F">
            <w:pPr>
              <w:pStyle w:val="TableParagraph"/>
              <w:spacing w:before="26"/>
              <w:ind w:left="76"/>
              <w:rPr>
                <w:sz w:val="18"/>
              </w:rPr>
            </w:pPr>
            <w:r>
              <w:rPr>
                <w:sz w:val="18"/>
              </w:rPr>
              <w:t>Library fines</w:t>
            </w:r>
          </w:p>
        </w:tc>
        <w:tc>
          <w:tcPr>
            <w:tcW w:w="1464" w:type="dxa"/>
          </w:tcPr>
          <w:p w14:paraId="675BA83B" w14:textId="77777777" w:rsidR="00FA4AA8" w:rsidRDefault="0015611F">
            <w:pPr>
              <w:pStyle w:val="TableParagraph"/>
              <w:spacing w:before="24"/>
              <w:ind w:right="84"/>
              <w:jc w:val="right"/>
              <w:rPr>
                <w:b/>
                <w:sz w:val="18"/>
              </w:rPr>
            </w:pPr>
            <w:r>
              <w:rPr>
                <w:b/>
                <w:sz w:val="18"/>
              </w:rPr>
              <w:t>173</w:t>
            </w:r>
          </w:p>
        </w:tc>
        <w:tc>
          <w:tcPr>
            <w:tcW w:w="1296" w:type="dxa"/>
          </w:tcPr>
          <w:p w14:paraId="4251CF3A" w14:textId="77777777" w:rsidR="00FA4AA8" w:rsidRDefault="0015611F">
            <w:pPr>
              <w:pStyle w:val="TableParagraph"/>
              <w:spacing w:before="24"/>
              <w:ind w:right="84"/>
              <w:jc w:val="right"/>
              <w:rPr>
                <w:sz w:val="18"/>
              </w:rPr>
            </w:pPr>
            <w:r>
              <w:rPr>
                <w:sz w:val="18"/>
              </w:rPr>
              <w:t>180</w:t>
            </w:r>
          </w:p>
        </w:tc>
        <w:tc>
          <w:tcPr>
            <w:tcW w:w="168" w:type="dxa"/>
          </w:tcPr>
          <w:p w14:paraId="5787BE35" w14:textId="77777777" w:rsidR="00FA4AA8" w:rsidRDefault="00FA4AA8">
            <w:pPr>
              <w:pStyle w:val="TableParagraph"/>
              <w:rPr>
                <w:rFonts w:ascii="Times New Roman"/>
                <w:sz w:val="18"/>
              </w:rPr>
            </w:pPr>
          </w:p>
        </w:tc>
        <w:tc>
          <w:tcPr>
            <w:tcW w:w="1458" w:type="dxa"/>
          </w:tcPr>
          <w:p w14:paraId="0D98E4CD" w14:textId="77777777" w:rsidR="00FA4AA8" w:rsidRDefault="0015611F">
            <w:pPr>
              <w:pStyle w:val="TableParagraph"/>
              <w:spacing w:before="24"/>
              <w:ind w:right="246"/>
              <w:jc w:val="right"/>
              <w:rPr>
                <w:b/>
                <w:sz w:val="18"/>
              </w:rPr>
            </w:pPr>
            <w:r>
              <w:rPr>
                <w:b/>
                <w:sz w:val="18"/>
              </w:rPr>
              <w:t>173</w:t>
            </w:r>
          </w:p>
        </w:tc>
        <w:tc>
          <w:tcPr>
            <w:tcW w:w="1134" w:type="dxa"/>
          </w:tcPr>
          <w:p w14:paraId="3D8E5561" w14:textId="77777777" w:rsidR="00FA4AA8" w:rsidRDefault="0015611F">
            <w:pPr>
              <w:pStyle w:val="TableParagraph"/>
              <w:spacing w:before="24"/>
              <w:ind w:right="84"/>
              <w:jc w:val="right"/>
              <w:rPr>
                <w:sz w:val="18"/>
              </w:rPr>
            </w:pPr>
            <w:r>
              <w:rPr>
                <w:sz w:val="18"/>
              </w:rPr>
              <w:t>180</w:t>
            </w:r>
          </w:p>
        </w:tc>
      </w:tr>
      <w:tr w:rsidR="00FA4AA8" w14:paraId="0E060EA2" w14:textId="77777777">
        <w:trPr>
          <w:trHeight w:val="263"/>
        </w:trPr>
        <w:tc>
          <w:tcPr>
            <w:tcW w:w="4039" w:type="dxa"/>
          </w:tcPr>
          <w:p w14:paraId="57B27665" w14:textId="77777777" w:rsidR="00FA4AA8" w:rsidRDefault="0015611F">
            <w:pPr>
              <w:pStyle w:val="TableParagraph"/>
              <w:spacing w:before="26"/>
              <w:ind w:left="76"/>
              <w:rPr>
                <w:sz w:val="18"/>
              </w:rPr>
            </w:pPr>
            <w:r>
              <w:rPr>
                <w:sz w:val="18"/>
              </w:rPr>
              <w:t>Student accommodation</w:t>
            </w:r>
          </w:p>
        </w:tc>
        <w:tc>
          <w:tcPr>
            <w:tcW w:w="1464" w:type="dxa"/>
          </w:tcPr>
          <w:p w14:paraId="7474ED56" w14:textId="77777777" w:rsidR="00FA4AA8" w:rsidRDefault="0015611F">
            <w:pPr>
              <w:pStyle w:val="TableParagraph"/>
              <w:spacing w:before="24"/>
              <w:ind w:right="84"/>
              <w:jc w:val="right"/>
              <w:rPr>
                <w:b/>
                <w:sz w:val="18"/>
              </w:rPr>
            </w:pPr>
            <w:r>
              <w:rPr>
                <w:b/>
                <w:sz w:val="18"/>
              </w:rPr>
              <w:t>5,135</w:t>
            </w:r>
          </w:p>
        </w:tc>
        <w:tc>
          <w:tcPr>
            <w:tcW w:w="1296" w:type="dxa"/>
          </w:tcPr>
          <w:p w14:paraId="44C1E49E" w14:textId="77777777" w:rsidR="00FA4AA8" w:rsidRDefault="0015611F">
            <w:pPr>
              <w:pStyle w:val="TableParagraph"/>
              <w:spacing w:before="24"/>
              <w:ind w:right="84"/>
              <w:jc w:val="right"/>
              <w:rPr>
                <w:sz w:val="18"/>
              </w:rPr>
            </w:pPr>
            <w:r>
              <w:rPr>
                <w:sz w:val="18"/>
              </w:rPr>
              <w:t>817</w:t>
            </w:r>
          </w:p>
        </w:tc>
        <w:tc>
          <w:tcPr>
            <w:tcW w:w="168" w:type="dxa"/>
          </w:tcPr>
          <w:p w14:paraId="5D6C5C49" w14:textId="77777777" w:rsidR="00FA4AA8" w:rsidRDefault="00FA4AA8">
            <w:pPr>
              <w:pStyle w:val="TableParagraph"/>
              <w:rPr>
                <w:rFonts w:ascii="Times New Roman"/>
                <w:sz w:val="18"/>
              </w:rPr>
            </w:pPr>
          </w:p>
        </w:tc>
        <w:tc>
          <w:tcPr>
            <w:tcW w:w="1458" w:type="dxa"/>
          </w:tcPr>
          <w:p w14:paraId="211D4306" w14:textId="77777777" w:rsidR="00FA4AA8" w:rsidRDefault="0015611F">
            <w:pPr>
              <w:pStyle w:val="TableParagraph"/>
              <w:spacing w:before="24"/>
              <w:ind w:right="246"/>
              <w:jc w:val="right"/>
              <w:rPr>
                <w:b/>
                <w:sz w:val="18"/>
              </w:rPr>
            </w:pPr>
            <w:r>
              <w:rPr>
                <w:b/>
                <w:sz w:val="18"/>
              </w:rPr>
              <w:t>5,135</w:t>
            </w:r>
          </w:p>
        </w:tc>
        <w:tc>
          <w:tcPr>
            <w:tcW w:w="1134" w:type="dxa"/>
          </w:tcPr>
          <w:p w14:paraId="7AA1033C" w14:textId="77777777" w:rsidR="00FA4AA8" w:rsidRDefault="0015611F">
            <w:pPr>
              <w:pStyle w:val="TableParagraph"/>
              <w:spacing w:before="24"/>
              <w:ind w:right="84"/>
              <w:jc w:val="right"/>
              <w:rPr>
                <w:sz w:val="18"/>
              </w:rPr>
            </w:pPr>
            <w:r>
              <w:rPr>
                <w:sz w:val="18"/>
              </w:rPr>
              <w:t>817</w:t>
            </w:r>
          </w:p>
        </w:tc>
      </w:tr>
      <w:tr w:rsidR="00FA4AA8" w14:paraId="6AE2DC1F" w14:textId="77777777">
        <w:trPr>
          <w:trHeight w:val="264"/>
        </w:trPr>
        <w:tc>
          <w:tcPr>
            <w:tcW w:w="4039" w:type="dxa"/>
          </w:tcPr>
          <w:p w14:paraId="196C1DD1" w14:textId="77777777" w:rsidR="00FA4AA8" w:rsidRDefault="0015611F">
            <w:pPr>
              <w:pStyle w:val="TableParagraph"/>
              <w:spacing w:before="26"/>
              <w:ind w:left="76"/>
              <w:rPr>
                <w:sz w:val="18"/>
              </w:rPr>
            </w:pPr>
            <w:r>
              <w:rPr>
                <w:sz w:val="18"/>
              </w:rPr>
              <w:t>Academic transcripts</w:t>
            </w:r>
          </w:p>
        </w:tc>
        <w:tc>
          <w:tcPr>
            <w:tcW w:w="1464" w:type="dxa"/>
          </w:tcPr>
          <w:p w14:paraId="63C0A0E8" w14:textId="77777777" w:rsidR="00FA4AA8" w:rsidRDefault="0015611F">
            <w:pPr>
              <w:pStyle w:val="TableParagraph"/>
              <w:spacing w:before="24"/>
              <w:ind w:right="84"/>
              <w:jc w:val="right"/>
              <w:rPr>
                <w:b/>
                <w:sz w:val="18"/>
              </w:rPr>
            </w:pPr>
            <w:r>
              <w:rPr>
                <w:b/>
                <w:sz w:val="18"/>
              </w:rPr>
              <w:t>237</w:t>
            </w:r>
          </w:p>
        </w:tc>
        <w:tc>
          <w:tcPr>
            <w:tcW w:w="1296" w:type="dxa"/>
          </w:tcPr>
          <w:p w14:paraId="6FE9D725" w14:textId="77777777" w:rsidR="00FA4AA8" w:rsidRDefault="0015611F">
            <w:pPr>
              <w:pStyle w:val="TableParagraph"/>
              <w:spacing w:before="24"/>
              <w:ind w:right="84"/>
              <w:jc w:val="right"/>
              <w:rPr>
                <w:sz w:val="18"/>
              </w:rPr>
            </w:pPr>
            <w:r>
              <w:rPr>
                <w:sz w:val="18"/>
              </w:rPr>
              <w:t>250</w:t>
            </w:r>
          </w:p>
        </w:tc>
        <w:tc>
          <w:tcPr>
            <w:tcW w:w="168" w:type="dxa"/>
          </w:tcPr>
          <w:p w14:paraId="78EF91BC" w14:textId="77777777" w:rsidR="00FA4AA8" w:rsidRDefault="00FA4AA8">
            <w:pPr>
              <w:pStyle w:val="TableParagraph"/>
              <w:rPr>
                <w:rFonts w:ascii="Times New Roman"/>
                <w:sz w:val="18"/>
              </w:rPr>
            </w:pPr>
          </w:p>
        </w:tc>
        <w:tc>
          <w:tcPr>
            <w:tcW w:w="1458" w:type="dxa"/>
          </w:tcPr>
          <w:p w14:paraId="19B6DDB3" w14:textId="77777777" w:rsidR="00FA4AA8" w:rsidRDefault="0015611F">
            <w:pPr>
              <w:pStyle w:val="TableParagraph"/>
              <w:spacing w:before="24"/>
              <w:ind w:right="246"/>
              <w:jc w:val="right"/>
              <w:rPr>
                <w:b/>
                <w:sz w:val="18"/>
              </w:rPr>
            </w:pPr>
            <w:r>
              <w:rPr>
                <w:b/>
                <w:sz w:val="18"/>
              </w:rPr>
              <w:t>237</w:t>
            </w:r>
          </w:p>
        </w:tc>
        <w:tc>
          <w:tcPr>
            <w:tcW w:w="1134" w:type="dxa"/>
          </w:tcPr>
          <w:p w14:paraId="1763CE02" w14:textId="77777777" w:rsidR="00FA4AA8" w:rsidRDefault="0015611F">
            <w:pPr>
              <w:pStyle w:val="TableParagraph"/>
              <w:spacing w:before="24"/>
              <w:ind w:right="84"/>
              <w:jc w:val="right"/>
              <w:rPr>
                <w:sz w:val="18"/>
              </w:rPr>
            </w:pPr>
            <w:r>
              <w:rPr>
                <w:sz w:val="18"/>
              </w:rPr>
              <w:t>250</w:t>
            </w:r>
          </w:p>
        </w:tc>
      </w:tr>
      <w:tr w:rsidR="00FA4AA8" w14:paraId="7EE26B80" w14:textId="77777777">
        <w:trPr>
          <w:trHeight w:val="263"/>
        </w:trPr>
        <w:tc>
          <w:tcPr>
            <w:tcW w:w="4039" w:type="dxa"/>
          </w:tcPr>
          <w:p w14:paraId="1C237059" w14:textId="77777777" w:rsidR="00FA4AA8" w:rsidRDefault="0015611F">
            <w:pPr>
              <w:pStyle w:val="TableParagraph"/>
              <w:spacing w:before="26"/>
              <w:ind w:left="76"/>
              <w:rPr>
                <w:sz w:val="18"/>
              </w:rPr>
            </w:pPr>
            <w:r>
              <w:rPr>
                <w:sz w:val="18"/>
              </w:rPr>
              <w:t>Graduation fees</w:t>
            </w:r>
          </w:p>
        </w:tc>
        <w:tc>
          <w:tcPr>
            <w:tcW w:w="1464" w:type="dxa"/>
          </w:tcPr>
          <w:p w14:paraId="1699CD24" w14:textId="77777777" w:rsidR="00FA4AA8" w:rsidRDefault="0015611F">
            <w:pPr>
              <w:pStyle w:val="TableParagraph"/>
              <w:spacing w:before="24"/>
              <w:ind w:right="84"/>
              <w:jc w:val="right"/>
              <w:rPr>
                <w:b/>
                <w:sz w:val="18"/>
              </w:rPr>
            </w:pPr>
            <w:r>
              <w:rPr>
                <w:b/>
                <w:sz w:val="18"/>
              </w:rPr>
              <w:t>362</w:t>
            </w:r>
          </w:p>
        </w:tc>
        <w:tc>
          <w:tcPr>
            <w:tcW w:w="1296" w:type="dxa"/>
          </w:tcPr>
          <w:p w14:paraId="255FAA82" w14:textId="77777777" w:rsidR="00FA4AA8" w:rsidRDefault="0015611F">
            <w:pPr>
              <w:pStyle w:val="TableParagraph"/>
              <w:spacing w:before="24"/>
              <w:ind w:right="84"/>
              <w:jc w:val="right"/>
              <w:rPr>
                <w:sz w:val="18"/>
              </w:rPr>
            </w:pPr>
            <w:r>
              <w:rPr>
                <w:sz w:val="18"/>
              </w:rPr>
              <w:t>389</w:t>
            </w:r>
          </w:p>
        </w:tc>
        <w:tc>
          <w:tcPr>
            <w:tcW w:w="168" w:type="dxa"/>
          </w:tcPr>
          <w:p w14:paraId="621CFB31" w14:textId="77777777" w:rsidR="00FA4AA8" w:rsidRDefault="00FA4AA8">
            <w:pPr>
              <w:pStyle w:val="TableParagraph"/>
              <w:rPr>
                <w:rFonts w:ascii="Times New Roman"/>
                <w:sz w:val="18"/>
              </w:rPr>
            </w:pPr>
          </w:p>
        </w:tc>
        <w:tc>
          <w:tcPr>
            <w:tcW w:w="1458" w:type="dxa"/>
          </w:tcPr>
          <w:p w14:paraId="0CDD68F6" w14:textId="77777777" w:rsidR="00FA4AA8" w:rsidRDefault="0015611F">
            <w:pPr>
              <w:pStyle w:val="TableParagraph"/>
              <w:spacing w:before="24"/>
              <w:ind w:right="246"/>
              <w:jc w:val="right"/>
              <w:rPr>
                <w:b/>
                <w:sz w:val="18"/>
              </w:rPr>
            </w:pPr>
            <w:r>
              <w:rPr>
                <w:b/>
                <w:sz w:val="18"/>
              </w:rPr>
              <w:t>362</w:t>
            </w:r>
          </w:p>
        </w:tc>
        <w:tc>
          <w:tcPr>
            <w:tcW w:w="1134" w:type="dxa"/>
          </w:tcPr>
          <w:p w14:paraId="251056E6" w14:textId="77777777" w:rsidR="00FA4AA8" w:rsidRDefault="0015611F">
            <w:pPr>
              <w:pStyle w:val="TableParagraph"/>
              <w:spacing w:before="24"/>
              <w:ind w:right="84"/>
              <w:jc w:val="right"/>
              <w:rPr>
                <w:sz w:val="18"/>
              </w:rPr>
            </w:pPr>
            <w:r>
              <w:rPr>
                <w:sz w:val="18"/>
              </w:rPr>
              <w:t>389</w:t>
            </w:r>
          </w:p>
        </w:tc>
      </w:tr>
      <w:tr w:rsidR="00FA4AA8" w14:paraId="6257D06E" w14:textId="77777777">
        <w:trPr>
          <w:trHeight w:val="264"/>
        </w:trPr>
        <w:tc>
          <w:tcPr>
            <w:tcW w:w="4039" w:type="dxa"/>
          </w:tcPr>
          <w:p w14:paraId="4F43054F" w14:textId="77777777" w:rsidR="00FA4AA8" w:rsidRDefault="0015611F">
            <w:pPr>
              <w:pStyle w:val="TableParagraph"/>
              <w:spacing w:before="26"/>
              <w:ind w:left="76"/>
              <w:rPr>
                <w:sz w:val="18"/>
              </w:rPr>
            </w:pPr>
            <w:r>
              <w:rPr>
                <w:sz w:val="18"/>
              </w:rPr>
              <w:t>Academic dress hire</w:t>
            </w:r>
          </w:p>
        </w:tc>
        <w:tc>
          <w:tcPr>
            <w:tcW w:w="1464" w:type="dxa"/>
          </w:tcPr>
          <w:p w14:paraId="592F929F" w14:textId="77777777" w:rsidR="00FA4AA8" w:rsidRDefault="0015611F">
            <w:pPr>
              <w:pStyle w:val="TableParagraph"/>
              <w:spacing w:before="24"/>
              <w:ind w:right="84"/>
              <w:jc w:val="right"/>
              <w:rPr>
                <w:b/>
                <w:sz w:val="18"/>
              </w:rPr>
            </w:pPr>
            <w:r>
              <w:rPr>
                <w:b/>
                <w:sz w:val="18"/>
              </w:rPr>
              <w:t>347</w:t>
            </w:r>
          </w:p>
        </w:tc>
        <w:tc>
          <w:tcPr>
            <w:tcW w:w="1296" w:type="dxa"/>
          </w:tcPr>
          <w:p w14:paraId="1118BF52" w14:textId="77777777" w:rsidR="00FA4AA8" w:rsidRDefault="0015611F">
            <w:pPr>
              <w:pStyle w:val="TableParagraph"/>
              <w:spacing w:before="24"/>
              <w:ind w:right="84"/>
              <w:jc w:val="right"/>
              <w:rPr>
                <w:sz w:val="18"/>
              </w:rPr>
            </w:pPr>
            <w:r>
              <w:rPr>
                <w:sz w:val="18"/>
              </w:rPr>
              <w:t>357</w:t>
            </w:r>
          </w:p>
        </w:tc>
        <w:tc>
          <w:tcPr>
            <w:tcW w:w="168" w:type="dxa"/>
          </w:tcPr>
          <w:p w14:paraId="7D70734B" w14:textId="77777777" w:rsidR="00FA4AA8" w:rsidRDefault="00FA4AA8">
            <w:pPr>
              <w:pStyle w:val="TableParagraph"/>
              <w:rPr>
                <w:rFonts w:ascii="Times New Roman"/>
                <w:sz w:val="18"/>
              </w:rPr>
            </w:pPr>
          </w:p>
        </w:tc>
        <w:tc>
          <w:tcPr>
            <w:tcW w:w="1458" w:type="dxa"/>
          </w:tcPr>
          <w:p w14:paraId="5E040186" w14:textId="77777777" w:rsidR="00FA4AA8" w:rsidRDefault="0015611F">
            <w:pPr>
              <w:pStyle w:val="TableParagraph"/>
              <w:spacing w:before="24"/>
              <w:ind w:right="246"/>
              <w:jc w:val="right"/>
              <w:rPr>
                <w:b/>
                <w:sz w:val="18"/>
              </w:rPr>
            </w:pPr>
            <w:r>
              <w:rPr>
                <w:b/>
                <w:sz w:val="18"/>
              </w:rPr>
              <w:t>347</w:t>
            </w:r>
          </w:p>
        </w:tc>
        <w:tc>
          <w:tcPr>
            <w:tcW w:w="1134" w:type="dxa"/>
          </w:tcPr>
          <w:p w14:paraId="5ABB667E" w14:textId="77777777" w:rsidR="00FA4AA8" w:rsidRDefault="0015611F">
            <w:pPr>
              <w:pStyle w:val="TableParagraph"/>
              <w:spacing w:before="24"/>
              <w:ind w:right="84"/>
              <w:jc w:val="right"/>
              <w:rPr>
                <w:sz w:val="18"/>
              </w:rPr>
            </w:pPr>
            <w:r>
              <w:rPr>
                <w:sz w:val="18"/>
              </w:rPr>
              <w:t>357</w:t>
            </w:r>
          </w:p>
        </w:tc>
      </w:tr>
      <w:tr w:rsidR="00FA4AA8" w14:paraId="246DA24B" w14:textId="77777777">
        <w:trPr>
          <w:trHeight w:val="263"/>
        </w:trPr>
        <w:tc>
          <w:tcPr>
            <w:tcW w:w="4039" w:type="dxa"/>
          </w:tcPr>
          <w:p w14:paraId="5DE3F1F0" w14:textId="77777777" w:rsidR="00FA4AA8" w:rsidRDefault="0015611F">
            <w:pPr>
              <w:pStyle w:val="TableParagraph"/>
              <w:spacing w:before="26"/>
              <w:ind w:left="76"/>
              <w:rPr>
                <w:sz w:val="18"/>
              </w:rPr>
            </w:pPr>
            <w:r>
              <w:rPr>
                <w:sz w:val="18"/>
              </w:rPr>
              <w:t>Student test fees</w:t>
            </w:r>
          </w:p>
        </w:tc>
        <w:tc>
          <w:tcPr>
            <w:tcW w:w="1464" w:type="dxa"/>
          </w:tcPr>
          <w:p w14:paraId="0CC56632" w14:textId="77777777" w:rsidR="00FA4AA8" w:rsidRDefault="0015611F">
            <w:pPr>
              <w:pStyle w:val="TableParagraph"/>
              <w:spacing w:before="24"/>
              <w:ind w:right="84"/>
              <w:jc w:val="right"/>
              <w:rPr>
                <w:b/>
                <w:sz w:val="18"/>
              </w:rPr>
            </w:pPr>
            <w:r>
              <w:rPr>
                <w:b/>
                <w:sz w:val="18"/>
              </w:rPr>
              <w:t>3,006</w:t>
            </w:r>
          </w:p>
        </w:tc>
        <w:tc>
          <w:tcPr>
            <w:tcW w:w="1296" w:type="dxa"/>
          </w:tcPr>
          <w:p w14:paraId="0BEE561F" w14:textId="77777777" w:rsidR="00FA4AA8" w:rsidRDefault="0015611F">
            <w:pPr>
              <w:pStyle w:val="TableParagraph"/>
              <w:spacing w:before="24"/>
              <w:ind w:right="84"/>
              <w:jc w:val="right"/>
              <w:rPr>
                <w:sz w:val="18"/>
              </w:rPr>
            </w:pPr>
            <w:r>
              <w:rPr>
                <w:sz w:val="18"/>
              </w:rPr>
              <w:t>3,266</w:t>
            </w:r>
          </w:p>
        </w:tc>
        <w:tc>
          <w:tcPr>
            <w:tcW w:w="168" w:type="dxa"/>
          </w:tcPr>
          <w:p w14:paraId="516AA174" w14:textId="77777777" w:rsidR="00FA4AA8" w:rsidRDefault="00FA4AA8">
            <w:pPr>
              <w:pStyle w:val="TableParagraph"/>
              <w:rPr>
                <w:rFonts w:ascii="Times New Roman"/>
                <w:sz w:val="18"/>
              </w:rPr>
            </w:pPr>
          </w:p>
        </w:tc>
        <w:tc>
          <w:tcPr>
            <w:tcW w:w="1458" w:type="dxa"/>
          </w:tcPr>
          <w:p w14:paraId="02C0AFD8" w14:textId="77777777" w:rsidR="00FA4AA8" w:rsidRDefault="0015611F">
            <w:pPr>
              <w:pStyle w:val="TableParagraph"/>
              <w:spacing w:before="24"/>
              <w:ind w:right="246"/>
              <w:jc w:val="right"/>
              <w:rPr>
                <w:b/>
                <w:sz w:val="18"/>
              </w:rPr>
            </w:pPr>
            <w:r>
              <w:rPr>
                <w:b/>
                <w:sz w:val="18"/>
              </w:rPr>
              <w:t>-</w:t>
            </w:r>
          </w:p>
        </w:tc>
        <w:tc>
          <w:tcPr>
            <w:tcW w:w="1134" w:type="dxa"/>
          </w:tcPr>
          <w:p w14:paraId="352696A2" w14:textId="77777777" w:rsidR="00FA4AA8" w:rsidRDefault="0015611F">
            <w:pPr>
              <w:pStyle w:val="TableParagraph"/>
              <w:spacing w:before="24"/>
              <w:ind w:right="84"/>
              <w:jc w:val="right"/>
              <w:rPr>
                <w:sz w:val="18"/>
              </w:rPr>
            </w:pPr>
            <w:r>
              <w:rPr>
                <w:sz w:val="18"/>
              </w:rPr>
              <w:t>-</w:t>
            </w:r>
          </w:p>
        </w:tc>
      </w:tr>
      <w:tr w:rsidR="00FA4AA8" w14:paraId="093C8C87" w14:textId="77777777">
        <w:trPr>
          <w:trHeight w:val="256"/>
        </w:trPr>
        <w:tc>
          <w:tcPr>
            <w:tcW w:w="4039" w:type="dxa"/>
          </w:tcPr>
          <w:p w14:paraId="1CF7CEC5" w14:textId="77777777" w:rsidR="00FA4AA8" w:rsidRDefault="0015611F">
            <w:pPr>
              <w:pStyle w:val="TableParagraph"/>
              <w:spacing w:before="26"/>
              <w:ind w:left="76"/>
              <w:rPr>
                <w:sz w:val="18"/>
              </w:rPr>
            </w:pPr>
            <w:r>
              <w:rPr>
                <w:sz w:val="18"/>
              </w:rPr>
              <w:t>Other</w:t>
            </w:r>
          </w:p>
        </w:tc>
        <w:tc>
          <w:tcPr>
            <w:tcW w:w="1464" w:type="dxa"/>
            <w:tcBorders>
              <w:bottom w:val="single" w:sz="8" w:space="0" w:color="000000"/>
            </w:tcBorders>
          </w:tcPr>
          <w:p w14:paraId="69C425E5" w14:textId="77777777" w:rsidR="00FA4AA8" w:rsidRDefault="0015611F">
            <w:pPr>
              <w:pStyle w:val="TableParagraph"/>
              <w:spacing w:before="24"/>
              <w:ind w:right="84"/>
              <w:jc w:val="right"/>
              <w:rPr>
                <w:b/>
                <w:sz w:val="18"/>
              </w:rPr>
            </w:pPr>
            <w:r>
              <w:rPr>
                <w:b/>
                <w:sz w:val="18"/>
              </w:rPr>
              <w:t>805</w:t>
            </w:r>
          </w:p>
        </w:tc>
        <w:tc>
          <w:tcPr>
            <w:tcW w:w="1296" w:type="dxa"/>
            <w:tcBorders>
              <w:bottom w:val="single" w:sz="8" w:space="0" w:color="000000"/>
            </w:tcBorders>
          </w:tcPr>
          <w:p w14:paraId="24EEA33A" w14:textId="77777777" w:rsidR="00FA4AA8" w:rsidRDefault="0015611F">
            <w:pPr>
              <w:pStyle w:val="TableParagraph"/>
              <w:spacing w:before="24"/>
              <w:ind w:right="84"/>
              <w:jc w:val="right"/>
              <w:rPr>
                <w:sz w:val="18"/>
              </w:rPr>
            </w:pPr>
            <w:r>
              <w:rPr>
                <w:sz w:val="18"/>
              </w:rPr>
              <w:t>739</w:t>
            </w:r>
          </w:p>
        </w:tc>
        <w:tc>
          <w:tcPr>
            <w:tcW w:w="168" w:type="dxa"/>
            <w:tcBorders>
              <w:bottom w:val="single" w:sz="8" w:space="0" w:color="000000"/>
            </w:tcBorders>
          </w:tcPr>
          <w:p w14:paraId="71F8A429" w14:textId="77777777" w:rsidR="00FA4AA8" w:rsidRDefault="00FA4AA8">
            <w:pPr>
              <w:pStyle w:val="TableParagraph"/>
              <w:rPr>
                <w:rFonts w:ascii="Times New Roman"/>
                <w:sz w:val="18"/>
              </w:rPr>
            </w:pPr>
          </w:p>
        </w:tc>
        <w:tc>
          <w:tcPr>
            <w:tcW w:w="1458" w:type="dxa"/>
            <w:tcBorders>
              <w:bottom w:val="single" w:sz="8" w:space="0" w:color="000000"/>
            </w:tcBorders>
          </w:tcPr>
          <w:p w14:paraId="6ABEACA8" w14:textId="77777777" w:rsidR="00FA4AA8" w:rsidRDefault="0015611F">
            <w:pPr>
              <w:pStyle w:val="TableParagraph"/>
              <w:spacing w:before="24"/>
              <w:ind w:right="246"/>
              <w:jc w:val="right"/>
              <w:rPr>
                <w:b/>
                <w:sz w:val="18"/>
              </w:rPr>
            </w:pPr>
            <w:r>
              <w:rPr>
                <w:b/>
                <w:sz w:val="18"/>
              </w:rPr>
              <w:t>678</w:t>
            </w:r>
          </w:p>
        </w:tc>
        <w:tc>
          <w:tcPr>
            <w:tcW w:w="1134" w:type="dxa"/>
            <w:tcBorders>
              <w:bottom w:val="single" w:sz="8" w:space="0" w:color="000000"/>
            </w:tcBorders>
          </w:tcPr>
          <w:p w14:paraId="2FF29B4C" w14:textId="77777777" w:rsidR="00FA4AA8" w:rsidRDefault="0015611F">
            <w:pPr>
              <w:pStyle w:val="TableParagraph"/>
              <w:spacing w:before="24"/>
              <w:ind w:right="84"/>
              <w:jc w:val="right"/>
              <w:rPr>
                <w:sz w:val="18"/>
              </w:rPr>
            </w:pPr>
            <w:r>
              <w:rPr>
                <w:sz w:val="18"/>
              </w:rPr>
              <w:t>512</w:t>
            </w:r>
          </w:p>
        </w:tc>
      </w:tr>
      <w:tr w:rsidR="00FA4AA8" w14:paraId="249D5F49" w14:textId="77777777">
        <w:trPr>
          <w:trHeight w:val="318"/>
        </w:trPr>
        <w:tc>
          <w:tcPr>
            <w:tcW w:w="4039" w:type="dxa"/>
          </w:tcPr>
          <w:p w14:paraId="72E7C951" w14:textId="77777777" w:rsidR="00FA4AA8" w:rsidRDefault="0015611F">
            <w:pPr>
              <w:pStyle w:val="TableParagraph"/>
              <w:spacing w:before="115" w:line="183" w:lineRule="exact"/>
              <w:ind w:left="76"/>
              <w:rPr>
                <w:b/>
                <w:sz w:val="18"/>
              </w:rPr>
            </w:pPr>
            <w:r>
              <w:rPr>
                <w:b/>
                <w:sz w:val="18"/>
              </w:rPr>
              <w:t>Total Other Fees and Charges</w:t>
            </w:r>
          </w:p>
        </w:tc>
        <w:tc>
          <w:tcPr>
            <w:tcW w:w="1464" w:type="dxa"/>
            <w:tcBorders>
              <w:top w:val="single" w:sz="8" w:space="0" w:color="000000"/>
              <w:bottom w:val="single" w:sz="8" w:space="0" w:color="000000"/>
            </w:tcBorders>
          </w:tcPr>
          <w:p w14:paraId="4123240F" w14:textId="77777777" w:rsidR="00FA4AA8" w:rsidRDefault="0015611F">
            <w:pPr>
              <w:pStyle w:val="TableParagraph"/>
              <w:spacing w:before="86"/>
              <w:ind w:right="84"/>
              <w:jc w:val="right"/>
              <w:rPr>
                <w:b/>
                <w:sz w:val="18"/>
              </w:rPr>
            </w:pPr>
            <w:r>
              <w:rPr>
                <w:b/>
                <w:sz w:val="18"/>
              </w:rPr>
              <w:t>13,901</w:t>
            </w:r>
          </w:p>
        </w:tc>
        <w:tc>
          <w:tcPr>
            <w:tcW w:w="1296" w:type="dxa"/>
            <w:tcBorders>
              <w:top w:val="single" w:sz="8" w:space="0" w:color="000000"/>
              <w:bottom w:val="single" w:sz="8" w:space="0" w:color="000000"/>
            </w:tcBorders>
          </w:tcPr>
          <w:p w14:paraId="7C2B2232" w14:textId="77777777" w:rsidR="00FA4AA8" w:rsidRDefault="0015611F">
            <w:pPr>
              <w:pStyle w:val="TableParagraph"/>
              <w:spacing w:before="86"/>
              <w:ind w:right="84"/>
              <w:jc w:val="right"/>
              <w:rPr>
                <w:sz w:val="18"/>
              </w:rPr>
            </w:pPr>
            <w:r>
              <w:rPr>
                <w:sz w:val="18"/>
              </w:rPr>
              <w:t>9,172</w:t>
            </w:r>
          </w:p>
        </w:tc>
        <w:tc>
          <w:tcPr>
            <w:tcW w:w="168" w:type="dxa"/>
            <w:tcBorders>
              <w:top w:val="single" w:sz="8" w:space="0" w:color="000000"/>
              <w:bottom w:val="single" w:sz="8" w:space="0" w:color="000000"/>
            </w:tcBorders>
          </w:tcPr>
          <w:p w14:paraId="1DCBD4B3" w14:textId="77777777" w:rsidR="00FA4AA8" w:rsidRDefault="00FA4AA8">
            <w:pPr>
              <w:pStyle w:val="TableParagraph"/>
              <w:rPr>
                <w:rFonts w:ascii="Times New Roman"/>
                <w:sz w:val="18"/>
              </w:rPr>
            </w:pPr>
          </w:p>
        </w:tc>
        <w:tc>
          <w:tcPr>
            <w:tcW w:w="1458" w:type="dxa"/>
            <w:tcBorders>
              <w:top w:val="single" w:sz="8" w:space="0" w:color="000000"/>
              <w:bottom w:val="single" w:sz="8" w:space="0" w:color="000000"/>
            </w:tcBorders>
          </w:tcPr>
          <w:p w14:paraId="2FAB864F" w14:textId="77777777" w:rsidR="00FA4AA8" w:rsidRDefault="0015611F">
            <w:pPr>
              <w:pStyle w:val="TableParagraph"/>
              <w:spacing w:before="86"/>
              <w:ind w:right="246"/>
              <w:jc w:val="right"/>
              <w:rPr>
                <w:b/>
                <w:sz w:val="18"/>
              </w:rPr>
            </w:pPr>
            <w:r>
              <w:rPr>
                <w:b/>
                <w:sz w:val="18"/>
              </w:rPr>
              <w:t>10,768</w:t>
            </w:r>
          </w:p>
        </w:tc>
        <w:tc>
          <w:tcPr>
            <w:tcW w:w="1134" w:type="dxa"/>
            <w:tcBorders>
              <w:top w:val="single" w:sz="8" w:space="0" w:color="000000"/>
              <w:bottom w:val="single" w:sz="8" w:space="0" w:color="000000"/>
            </w:tcBorders>
          </w:tcPr>
          <w:p w14:paraId="624C4FC7" w14:textId="77777777" w:rsidR="00FA4AA8" w:rsidRDefault="0015611F">
            <w:pPr>
              <w:pStyle w:val="TableParagraph"/>
              <w:spacing w:before="86"/>
              <w:ind w:right="84"/>
              <w:jc w:val="right"/>
              <w:rPr>
                <w:sz w:val="18"/>
              </w:rPr>
            </w:pPr>
            <w:r>
              <w:rPr>
                <w:sz w:val="18"/>
              </w:rPr>
              <w:t>5,679</w:t>
            </w:r>
          </w:p>
        </w:tc>
      </w:tr>
      <w:tr w:rsidR="00FA4AA8" w14:paraId="0453D30C" w14:textId="77777777">
        <w:trPr>
          <w:trHeight w:val="352"/>
        </w:trPr>
        <w:tc>
          <w:tcPr>
            <w:tcW w:w="4039" w:type="dxa"/>
          </w:tcPr>
          <w:p w14:paraId="445D2CC4" w14:textId="77777777" w:rsidR="00FA4AA8" w:rsidRDefault="0015611F">
            <w:pPr>
              <w:pStyle w:val="TableParagraph"/>
              <w:spacing w:before="115"/>
              <w:ind w:left="76"/>
              <w:rPr>
                <w:b/>
                <w:sz w:val="18"/>
              </w:rPr>
            </w:pPr>
            <w:r>
              <w:rPr>
                <w:b/>
                <w:sz w:val="18"/>
              </w:rPr>
              <w:t>Total Fees and Charges</w:t>
            </w:r>
          </w:p>
        </w:tc>
        <w:tc>
          <w:tcPr>
            <w:tcW w:w="1464" w:type="dxa"/>
            <w:tcBorders>
              <w:top w:val="single" w:sz="8" w:space="0" w:color="000000"/>
              <w:bottom w:val="single" w:sz="6" w:space="0" w:color="000000"/>
            </w:tcBorders>
          </w:tcPr>
          <w:p w14:paraId="458B2C5A" w14:textId="77777777" w:rsidR="00FA4AA8" w:rsidRDefault="0015611F">
            <w:pPr>
              <w:pStyle w:val="TableParagraph"/>
              <w:spacing w:before="86"/>
              <w:ind w:right="84"/>
              <w:jc w:val="right"/>
              <w:rPr>
                <w:b/>
                <w:sz w:val="18"/>
              </w:rPr>
            </w:pPr>
            <w:r>
              <w:rPr>
                <w:b/>
                <w:sz w:val="18"/>
              </w:rPr>
              <w:t>157,200</w:t>
            </w:r>
          </w:p>
        </w:tc>
        <w:tc>
          <w:tcPr>
            <w:tcW w:w="1296" w:type="dxa"/>
            <w:tcBorders>
              <w:top w:val="single" w:sz="8" w:space="0" w:color="000000"/>
              <w:bottom w:val="single" w:sz="4" w:space="0" w:color="000000"/>
            </w:tcBorders>
          </w:tcPr>
          <w:p w14:paraId="073147AC" w14:textId="77777777" w:rsidR="00FA4AA8" w:rsidRDefault="0015611F">
            <w:pPr>
              <w:pStyle w:val="TableParagraph"/>
              <w:spacing w:before="86"/>
              <w:ind w:right="84"/>
              <w:jc w:val="right"/>
              <w:rPr>
                <w:sz w:val="18"/>
              </w:rPr>
            </w:pPr>
            <w:r>
              <w:rPr>
                <w:sz w:val="18"/>
              </w:rPr>
              <w:t>115,291</w:t>
            </w:r>
          </w:p>
        </w:tc>
        <w:tc>
          <w:tcPr>
            <w:tcW w:w="168" w:type="dxa"/>
            <w:tcBorders>
              <w:top w:val="single" w:sz="8" w:space="0" w:color="000000"/>
              <w:bottom w:val="single" w:sz="6" w:space="0" w:color="000000"/>
            </w:tcBorders>
          </w:tcPr>
          <w:p w14:paraId="08975633" w14:textId="77777777" w:rsidR="00FA4AA8" w:rsidRDefault="00FA4AA8">
            <w:pPr>
              <w:pStyle w:val="TableParagraph"/>
              <w:rPr>
                <w:rFonts w:ascii="Times New Roman"/>
                <w:sz w:val="18"/>
              </w:rPr>
            </w:pPr>
          </w:p>
        </w:tc>
        <w:tc>
          <w:tcPr>
            <w:tcW w:w="1458" w:type="dxa"/>
            <w:tcBorders>
              <w:top w:val="single" w:sz="8" w:space="0" w:color="000000"/>
              <w:bottom w:val="single" w:sz="6" w:space="0" w:color="000000"/>
            </w:tcBorders>
          </w:tcPr>
          <w:p w14:paraId="30D2854C" w14:textId="77777777" w:rsidR="00FA4AA8" w:rsidRDefault="0015611F">
            <w:pPr>
              <w:pStyle w:val="TableParagraph"/>
              <w:spacing w:before="86"/>
              <w:ind w:right="246"/>
              <w:jc w:val="right"/>
              <w:rPr>
                <w:b/>
                <w:sz w:val="18"/>
              </w:rPr>
            </w:pPr>
            <w:r>
              <w:rPr>
                <w:b/>
                <w:sz w:val="18"/>
              </w:rPr>
              <w:t>148,391</w:t>
            </w:r>
          </w:p>
        </w:tc>
        <w:tc>
          <w:tcPr>
            <w:tcW w:w="1134" w:type="dxa"/>
            <w:tcBorders>
              <w:top w:val="single" w:sz="8" w:space="0" w:color="000000"/>
              <w:bottom w:val="single" w:sz="6" w:space="0" w:color="000000"/>
            </w:tcBorders>
          </w:tcPr>
          <w:p w14:paraId="175072E1" w14:textId="77777777" w:rsidR="00FA4AA8" w:rsidRDefault="0015611F">
            <w:pPr>
              <w:pStyle w:val="TableParagraph"/>
              <w:spacing w:before="86"/>
              <w:ind w:right="84"/>
              <w:jc w:val="right"/>
              <w:rPr>
                <w:sz w:val="18"/>
              </w:rPr>
            </w:pPr>
            <w:r>
              <w:rPr>
                <w:sz w:val="18"/>
              </w:rPr>
              <w:t>106,600</w:t>
            </w:r>
          </w:p>
        </w:tc>
      </w:tr>
      <w:tr w:rsidR="00FA4AA8" w14:paraId="69433BE0" w14:textId="77777777">
        <w:trPr>
          <w:trHeight w:val="516"/>
        </w:trPr>
        <w:tc>
          <w:tcPr>
            <w:tcW w:w="4039" w:type="dxa"/>
          </w:tcPr>
          <w:p w14:paraId="1ED41468" w14:textId="77777777" w:rsidR="00FA4AA8" w:rsidRDefault="00FA4AA8">
            <w:pPr>
              <w:pStyle w:val="TableParagraph"/>
              <w:spacing w:before="10"/>
              <w:rPr>
                <w:b/>
                <w:sz w:val="26"/>
              </w:rPr>
            </w:pPr>
          </w:p>
          <w:p w14:paraId="491F913A" w14:textId="77777777" w:rsidR="00FA4AA8" w:rsidRDefault="0015611F">
            <w:pPr>
              <w:pStyle w:val="TableParagraph"/>
              <w:spacing w:line="187" w:lineRule="exact"/>
              <w:ind w:left="50"/>
              <w:rPr>
                <w:i/>
                <w:sz w:val="18"/>
              </w:rPr>
            </w:pPr>
            <w:r>
              <w:rPr>
                <w:i/>
                <w:sz w:val="18"/>
                <w:u w:val="single"/>
              </w:rPr>
              <w:t>Accounting Policy</w:t>
            </w:r>
          </w:p>
        </w:tc>
        <w:tc>
          <w:tcPr>
            <w:tcW w:w="1464" w:type="dxa"/>
            <w:tcBorders>
              <w:top w:val="single" w:sz="6" w:space="0" w:color="000000"/>
            </w:tcBorders>
          </w:tcPr>
          <w:p w14:paraId="5B1347CB" w14:textId="77777777" w:rsidR="00FA4AA8" w:rsidRDefault="00FA4AA8">
            <w:pPr>
              <w:pStyle w:val="TableParagraph"/>
              <w:rPr>
                <w:rFonts w:ascii="Times New Roman"/>
                <w:sz w:val="18"/>
              </w:rPr>
            </w:pPr>
          </w:p>
        </w:tc>
        <w:tc>
          <w:tcPr>
            <w:tcW w:w="1296" w:type="dxa"/>
            <w:tcBorders>
              <w:top w:val="single" w:sz="4" w:space="0" w:color="000000"/>
            </w:tcBorders>
          </w:tcPr>
          <w:p w14:paraId="0DB61BE7" w14:textId="77777777" w:rsidR="00FA4AA8" w:rsidRDefault="00FA4AA8">
            <w:pPr>
              <w:pStyle w:val="TableParagraph"/>
              <w:rPr>
                <w:rFonts w:ascii="Times New Roman"/>
                <w:sz w:val="18"/>
              </w:rPr>
            </w:pPr>
          </w:p>
        </w:tc>
        <w:tc>
          <w:tcPr>
            <w:tcW w:w="168" w:type="dxa"/>
            <w:tcBorders>
              <w:top w:val="single" w:sz="6" w:space="0" w:color="000000"/>
            </w:tcBorders>
          </w:tcPr>
          <w:p w14:paraId="1E5928A3" w14:textId="77777777" w:rsidR="00FA4AA8" w:rsidRDefault="00FA4AA8">
            <w:pPr>
              <w:pStyle w:val="TableParagraph"/>
              <w:rPr>
                <w:rFonts w:ascii="Times New Roman"/>
                <w:sz w:val="18"/>
              </w:rPr>
            </w:pPr>
          </w:p>
        </w:tc>
        <w:tc>
          <w:tcPr>
            <w:tcW w:w="1458" w:type="dxa"/>
            <w:tcBorders>
              <w:top w:val="single" w:sz="6" w:space="0" w:color="000000"/>
            </w:tcBorders>
          </w:tcPr>
          <w:p w14:paraId="5D78C623" w14:textId="77777777" w:rsidR="00FA4AA8" w:rsidRDefault="00FA4AA8">
            <w:pPr>
              <w:pStyle w:val="TableParagraph"/>
              <w:rPr>
                <w:rFonts w:ascii="Times New Roman"/>
                <w:sz w:val="18"/>
              </w:rPr>
            </w:pPr>
          </w:p>
        </w:tc>
        <w:tc>
          <w:tcPr>
            <w:tcW w:w="1134" w:type="dxa"/>
            <w:tcBorders>
              <w:top w:val="single" w:sz="6" w:space="0" w:color="000000"/>
            </w:tcBorders>
          </w:tcPr>
          <w:p w14:paraId="7D560D25" w14:textId="77777777" w:rsidR="00FA4AA8" w:rsidRDefault="00FA4AA8">
            <w:pPr>
              <w:pStyle w:val="TableParagraph"/>
              <w:rPr>
                <w:rFonts w:ascii="Times New Roman"/>
                <w:sz w:val="18"/>
              </w:rPr>
            </w:pPr>
          </w:p>
        </w:tc>
      </w:tr>
    </w:tbl>
    <w:p w14:paraId="535CEEE5" w14:textId="77777777" w:rsidR="00FA4AA8" w:rsidRDefault="00FA4AA8">
      <w:pPr>
        <w:pStyle w:val="BodyText"/>
        <w:spacing w:before="3"/>
        <w:rPr>
          <w:b/>
          <w:sz w:val="17"/>
        </w:rPr>
      </w:pPr>
    </w:p>
    <w:p w14:paraId="2F459DF6" w14:textId="77777777" w:rsidR="00FA4AA8" w:rsidRDefault="007E2441">
      <w:pPr>
        <w:pStyle w:val="BodyText"/>
        <w:spacing w:before="94"/>
        <w:ind w:left="564"/>
      </w:pPr>
      <w:r>
        <w:rPr>
          <w:noProof/>
          <w:lang w:val="en-AU" w:eastAsia="en-AU"/>
        </w:rPr>
        <mc:AlternateContent>
          <mc:Choice Requires="wpg">
            <w:drawing>
              <wp:anchor distT="0" distB="0" distL="114300" distR="114300" simplePos="0" relativeHeight="462725632" behindDoc="1" locked="0" layoutInCell="1" allowOverlap="1" wp14:anchorId="17367A23" wp14:editId="1FF84218">
                <wp:simplePos x="0" y="0"/>
                <wp:positionH relativeFrom="page">
                  <wp:posOffset>3424555</wp:posOffset>
                </wp:positionH>
                <wp:positionV relativeFrom="paragraph">
                  <wp:posOffset>-484505</wp:posOffset>
                </wp:positionV>
                <wp:extent cx="2383155" cy="18415"/>
                <wp:effectExtent l="0" t="0" r="0" b="0"/>
                <wp:wrapNone/>
                <wp:docPr id="3251" name="Group 30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3155" cy="18415"/>
                          <a:chOff x="5393" y="-763"/>
                          <a:chExt cx="5520" cy="44"/>
                        </a:xfrm>
                      </wpg:grpSpPr>
                      <wps:wsp>
                        <wps:cNvPr id="3252" name="Line 3057"/>
                        <wps:cNvCnPr>
                          <a:cxnSpLocks noChangeShapeType="1"/>
                        </wps:cNvCnPr>
                        <wps:spPr bwMode="auto">
                          <a:xfrm>
                            <a:off x="5393" y="-762"/>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253" name="Line 3056"/>
                        <wps:cNvCnPr>
                          <a:cxnSpLocks noChangeShapeType="1"/>
                        </wps:cNvCnPr>
                        <wps:spPr bwMode="auto">
                          <a:xfrm>
                            <a:off x="5393" y="-760"/>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254" name="Line 3055"/>
                        <wps:cNvCnPr>
                          <a:cxnSpLocks noChangeShapeType="1"/>
                        </wps:cNvCnPr>
                        <wps:spPr bwMode="auto">
                          <a:xfrm>
                            <a:off x="5393" y="-757"/>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255" name="Line 3054"/>
                        <wps:cNvCnPr>
                          <a:cxnSpLocks noChangeShapeType="1"/>
                        </wps:cNvCnPr>
                        <wps:spPr bwMode="auto">
                          <a:xfrm>
                            <a:off x="5393" y="-755"/>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256" name="Line 3053"/>
                        <wps:cNvCnPr>
                          <a:cxnSpLocks noChangeShapeType="1"/>
                        </wps:cNvCnPr>
                        <wps:spPr bwMode="auto">
                          <a:xfrm>
                            <a:off x="5393" y="-752"/>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257" name="Line 3052"/>
                        <wps:cNvCnPr>
                          <a:cxnSpLocks noChangeShapeType="1"/>
                        </wps:cNvCnPr>
                        <wps:spPr bwMode="auto">
                          <a:xfrm>
                            <a:off x="5393" y="-750"/>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258" name="Line 3051"/>
                        <wps:cNvCnPr>
                          <a:cxnSpLocks noChangeShapeType="1"/>
                        </wps:cNvCnPr>
                        <wps:spPr bwMode="auto">
                          <a:xfrm>
                            <a:off x="5393" y="-728"/>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259" name="Line 3050"/>
                        <wps:cNvCnPr>
                          <a:cxnSpLocks noChangeShapeType="1"/>
                        </wps:cNvCnPr>
                        <wps:spPr bwMode="auto">
                          <a:xfrm>
                            <a:off x="5393" y="-726"/>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260" name="Line 3049"/>
                        <wps:cNvCnPr>
                          <a:cxnSpLocks noChangeShapeType="1"/>
                        </wps:cNvCnPr>
                        <wps:spPr bwMode="auto">
                          <a:xfrm>
                            <a:off x="5393" y="-724"/>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261" name="Line 3048"/>
                        <wps:cNvCnPr>
                          <a:cxnSpLocks noChangeShapeType="1"/>
                        </wps:cNvCnPr>
                        <wps:spPr bwMode="auto">
                          <a:xfrm>
                            <a:off x="5393" y="-721"/>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262" name="Line 3047"/>
                        <wps:cNvCnPr>
                          <a:cxnSpLocks noChangeShapeType="1"/>
                        </wps:cNvCnPr>
                        <wps:spPr bwMode="auto">
                          <a:xfrm>
                            <a:off x="5561" y="-762"/>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263" name="Line 3046"/>
                        <wps:cNvCnPr>
                          <a:cxnSpLocks noChangeShapeType="1"/>
                        </wps:cNvCnPr>
                        <wps:spPr bwMode="auto">
                          <a:xfrm>
                            <a:off x="5561" y="-76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264" name="Line 3045"/>
                        <wps:cNvCnPr>
                          <a:cxnSpLocks noChangeShapeType="1"/>
                        </wps:cNvCnPr>
                        <wps:spPr bwMode="auto">
                          <a:xfrm>
                            <a:off x="5561" y="-757"/>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265" name="Line 3044"/>
                        <wps:cNvCnPr>
                          <a:cxnSpLocks noChangeShapeType="1"/>
                        </wps:cNvCnPr>
                        <wps:spPr bwMode="auto">
                          <a:xfrm>
                            <a:off x="5561" y="-75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266" name="Line 3043"/>
                        <wps:cNvCnPr>
                          <a:cxnSpLocks noChangeShapeType="1"/>
                        </wps:cNvCnPr>
                        <wps:spPr bwMode="auto">
                          <a:xfrm>
                            <a:off x="5561" y="-752"/>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267" name="Line 3042"/>
                        <wps:cNvCnPr>
                          <a:cxnSpLocks noChangeShapeType="1"/>
                        </wps:cNvCnPr>
                        <wps:spPr bwMode="auto">
                          <a:xfrm>
                            <a:off x="5561" y="-75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268" name="Line 3041"/>
                        <wps:cNvCnPr>
                          <a:cxnSpLocks noChangeShapeType="1"/>
                        </wps:cNvCnPr>
                        <wps:spPr bwMode="auto">
                          <a:xfrm>
                            <a:off x="6857" y="-762"/>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269" name="Line 3040"/>
                        <wps:cNvCnPr>
                          <a:cxnSpLocks noChangeShapeType="1"/>
                        </wps:cNvCnPr>
                        <wps:spPr bwMode="auto">
                          <a:xfrm>
                            <a:off x="6857" y="-76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270" name="Line 3039"/>
                        <wps:cNvCnPr>
                          <a:cxnSpLocks noChangeShapeType="1"/>
                        </wps:cNvCnPr>
                        <wps:spPr bwMode="auto">
                          <a:xfrm>
                            <a:off x="6857" y="-757"/>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271" name="Line 3038"/>
                        <wps:cNvCnPr>
                          <a:cxnSpLocks noChangeShapeType="1"/>
                        </wps:cNvCnPr>
                        <wps:spPr bwMode="auto">
                          <a:xfrm>
                            <a:off x="6857" y="-75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272" name="Line 3037"/>
                        <wps:cNvCnPr>
                          <a:cxnSpLocks noChangeShapeType="1"/>
                        </wps:cNvCnPr>
                        <wps:spPr bwMode="auto">
                          <a:xfrm>
                            <a:off x="6857" y="-752"/>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273" name="Line 3036"/>
                        <wps:cNvCnPr>
                          <a:cxnSpLocks noChangeShapeType="1"/>
                        </wps:cNvCnPr>
                        <wps:spPr bwMode="auto">
                          <a:xfrm>
                            <a:off x="6857" y="-75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274" name="Line 3035"/>
                        <wps:cNvCnPr>
                          <a:cxnSpLocks noChangeShapeType="1"/>
                        </wps:cNvCnPr>
                        <wps:spPr bwMode="auto">
                          <a:xfrm>
                            <a:off x="8153" y="-762"/>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275" name="Line 3034"/>
                        <wps:cNvCnPr>
                          <a:cxnSpLocks noChangeShapeType="1"/>
                        </wps:cNvCnPr>
                        <wps:spPr bwMode="auto">
                          <a:xfrm>
                            <a:off x="8153" y="-760"/>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276" name="Line 3033"/>
                        <wps:cNvCnPr>
                          <a:cxnSpLocks noChangeShapeType="1"/>
                        </wps:cNvCnPr>
                        <wps:spPr bwMode="auto">
                          <a:xfrm>
                            <a:off x="8153" y="-757"/>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277" name="Line 3032"/>
                        <wps:cNvCnPr>
                          <a:cxnSpLocks noChangeShapeType="1"/>
                        </wps:cNvCnPr>
                        <wps:spPr bwMode="auto">
                          <a:xfrm>
                            <a:off x="8153" y="-755"/>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278" name="Line 3031"/>
                        <wps:cNvCnPr>
                          <a:cxnSpLocks noChangeShapeType="1"/>
                        </wps:cNvCnPr>
                        <wps:spPr bwMode="auto">
                          <a:xfrm>
                            <a:off x="8153" y="-752"/>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279" name="Line 3030"/>
                        <wps:cNvCnPr>
                          <a:cxnSpLocks noChangeShapeType="1"/>
                        </wps:cNvCnPr>
                        <wps:spPr bwMode="auto">
                          <a:xfrm>
                            <a:off x="8153" y="-750"/>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280" name="Line 3029"/>
                        <wps:cNvCnPr>
                          <a:cxnSpLocks noChangeShapeType="1"/>
                        </wps:cNvCnPr>
                        <wps:spPr bwMode="auto">
                          <a:xfrm>
                            <a:off x="8321" y="-762"/>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281" name="Line 3028"/>
                        <wps:cNvCnPr>
                          <a:cxnSpLocks noChangeShapeType="1"/>
                        </wps:cNvCnPr>
                        <wps:spPr bwMode="auto">
                          <a:xfrm>
                            <a:off x="8321" y="-76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282" name="Line 3027"/>
                        <wps:cNvCnPr>
                          <a:cxnSpLocks noChangeShapeType="1"/>
                        </wps:cNvCnPr>
                        <wps:spPr bwMode="auto">
                          <a:xfrm>
                            <a:off x="8321" y="-757"/>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283" name="Line 3026"/>
                        <wps:cNvCnPr>
                          <a:cxnSpLocks noChangeShapeType="1"/>
                        </wps:cNvCnPr>
                        <wps:spPr bwMode="auto">
                          <a:xfrm>
                            <a:off x="8321" y="-75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284" name="Line 3025"/>
                        <wps:cNvCnPr>
                          <a:cxnSpLocks noChangeShapeType="1"/>
                        </wps:cNvCnPr>
                        <wps:spPr bwMode="auto">
                          <a:xfrm>
                            <a:off x="8321" y="-752"/>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285" name="Line 3024"/>
                        <wps:cNvCnPr>
                          <a:cxnSpLocks noChangeShapeType="1"/>
                        </wps:cNvCnPr>
                        <wps:spPr bwMode="auto">
                          <a:xfrm>
                            <a:off x="8321" y="-75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286" name="Line 3023"/>
                        <wps:cNvCnPr>
                          <a:cxnSpLocks noChangeShapeType="1"/>
                        </wps:cNvCnPr>
                        <wps:spPr bwMode="auto">
                          <a:xfrm>
                            <a:off x="9617" y="-762"/>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287" name="Line 3022"/>
                        <wps:cNvCnPr>
                          <a:cxnSpLocks noChangeShapeType="1"/>
                        </wps:cNvCnPr>
                        <wps:spPr bwMode="auto">
                          <a:xfrm>
                            <a:off x="9617" y="-76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288" name="Line 3021"/>
                        <wps:cNvCnPr>
                          <a:cxnSpLocks noChangeShapeType="1"/>
                        </wps:cNvCnPr>
                        <wps:spPr bwMode="auto">
                          <a:xfrm>
                            <a:off x="9617" y="-757"/>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289" name="Line 3020"/>
                        <wps:cNvCnPr>
                          <a:cxnSpLocks noChangeShapeType="1"/>
                        </wps:cNvCnPr>
                        <wps:spPr bwMode="auto">
                          <a:xfrm>
                            <a:off x="9617" y="-75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290" name="Line 3019"/>
                        <wps:cNvCnPr>
                          <a:cxnSpLocks noChangeShapeType="1"/>
                        </wps:cNvCnPr>
                        <wps:spPr bwMode="auto">
                          <a:xfrm>
                            <a:off x="9617" y="-752"/>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291" name="Line 3018"/>
                        <wps:cNvCnPr>
                          <a:cxnSpLocks noChangeShapeType="1"/>
                        </wps:cNvCnPr>
                        <wps:spPr bwMode="auto">
                          <a:xfrm>
                            <a:off x="9617" y="-75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E70E07" id="Group 3017" o:spid="_x0000_s1026" style="position:absolute;margin-left:269.65pt;margin-top:-38.15pt;width:187.65pt;height:1.45pt;z-index:-40590848;mso-position-horizontal-relative:page" coordorigin="5393,-763" coordsize="55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">
                <v:line id="Line 3057" o:spid="_x0000_s1027" style="position:absolute;visibility:visible;mso-wrap-style:square" from="5393,-762" to="5561,-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" strokeweight=".12pt"/>
                <v:line id="Line 3056" o:spid="_x0000_s1028" style="position:absolute;visibility:visible;mso-wrap-style:square" from="5393,-760" to="556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" strokeweight=".12pt"/>
                <v:line id="Line 3055" o:spid="_x0000_s1029" style="position:absolute;visibility:visible;mso-wrap-style:square" from="5393,-757" to="5561,-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" strokeweight=".12pt"/>
                <v:line id="Line 3054" o:spid="_x0000_s1030" style="position:absolute;visibility:visible;mso-wrap-style:square" from="5393,-755" to="5561,-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" strokeweight=".12pt"/>
                <v:line id="Line 3053" o:spid="_x0000_s1031" style="position:absolute;visibility:visible;mso-wrap-style:square" from="5393,-752" to="556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" strokeweight=".12pt"/>
                <v:line id="Line 3052" o:spid="_x0000_s1032" style="position:absolute;visibility:visible;mso-wrap-style:square" from="5393,-750" to="5561,-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" strokeweight=".12pt"/>
                <v:line id="Line 3051" o:spid="_x0000_s1033" style="position:absolute;visibility:visible;mso-wrap-style:square" from="5393,-728" to="5561,-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" strokeweight=".12pt"/>
                <v:line id="Line 3050" o:spid="_x0000_s1034" style="position:absolute;visibility:visible;mso-wrap-style:square" from="5393,-726" to="5561,-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" strokeweight=".12pt"/>
                <v:line id="Line 3049" o:spid="_x0000_s1035" style="position:absolute;visibility:visible;mso-wrap-style:square" from="5393,-724" to="5561,-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" strokeweight=".12pt"/>
                <v:line id="Line 3048" o:spid="_x0000_s1036" style="position:absolute;visibility:visible;mso-wrap-style:square" from="5393,-721" to="5561,-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" strokeweight=".12pt"/>
                <v:line id="Line 3047" o:spid="_x0000_s1037" style="position:absolute;visibility:visible;mso-wrap-style:square" from="5561,-762" to="685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" strokeweight=".12pt"/>
                <v:line id="Line 3046" o:spid="_x0000_s1038" style="position:absolute;visibility:visible;mso-wrap-style:square" from="5561,-760" to="685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" strokeweight=".12pt"/>
                <v:line id="Line 3045" o:spid="_x0000_s1039" style="position:absolute;visibility:visible;mso-wrap-style:square" from="5561,-757" to="6857,-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" strokeweight=".12pt"/>
                <v:line id="Line 3044" o:spid="_x0000_s1040" style="position:absolute;visibility:visible;mso-wrap-style:square" from="5561,-755" to="6857,-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" strokeweight=".12pt"/>
                <v:line id="Line 3043" o:spid="_x0000_s1041" style="position:absolute;visibility:visible;mso-wrap-style:square" from="5561,-752" to="6857,-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" strokeweight=".12pt"/>
                <v:line id="Line 3042" o:spid="_x0000_s1042" style="position:absolute;visibility:visible;mso-wrap-style:square" from="5561,-750" to="6857,-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" strokeweight=".12pt"/>
                <v:line id="Line 3041" o:spid="_x0000_s1043" style="position:absolute;visibility:visible;mso-wrap-style:square" from="6857,-762" to="8153,-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" strokeweight=".12pt"/>
                <v:line id="Line 3040" o:spid="_x0000_s1044" style="position:absolute;visibility:visible;mso-wrap-style:square" from="6857,-760" to="8153,-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" strokeweight=".12pt"/>
                <v:line id="Line 3039" o:spid="_x0000_s1045" style="position:absolute;visibility:visible;mso-wrap-style:square" from="6857,-757" to="8153,-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" strokeweight=".12pt"/>
                <v:line id="Line 3038" o:spid="_x0000_s1046" style="position:absolute;visibility:visible;mso-wrap-style:square" from="6857,-755" to="8153,-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" strokeweight=".12pt"/>
                <v:line id="Line 3037" o:spid="_x0000_s1047" style="position:absolute;visibility:visible;mso-wrap-style:square" from="6857,-752" to="8153,-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" strokeweight=".12pt"/>
                <v:line id="Line 3036" o:spid="_x0000_s1048" style="position:absolute;visibility:visible;mso-wrap-style:square" from="6857,-750" to="8153,-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" strokeweight=".12pt"/>
                <v:line id="Line 3035" o:spid="_x0000_s1049" style="position:absolute;visibility:visible;mso-wrap-style:square" from="8153,-762" to="8321,-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" strokeweight=".12pt"/>
                <v:line id="Line 3034" o:spid="_x0000_s1050" style="position:absolute;visibility:visible;mso-wrap-style:square" from="8153,-760" to="832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" strokeweight=".12pt"/>
                <v:line id="Line 3033" o:spid="_x0000_s1051" style="position:absolute;visibility:visible;mso-wrap-style:square" from="8153,-757" to="8321,-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" strokeweight=".12pt"/>
                <v:line id="Line 3032" o:spid="_x0000_s1052" style="position:absolute;visibility:visible;mso-wrap-style:square" from="8153,-755" to="8321,-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" strokeweight=".12pt"/>
                <v:line id="Line 3031" o:spid="_x0000_s1053" style="position:absolute;visibility:visible;mso-wrap-style:square" from="8153,-752" to="832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" strokeweight=".12pt"/>
                <v:line id="Line 3030" o:spid="_x0000_s1054" style="position:absolute;visibility:visible;mso-wrap-style:square" from="8153,-750" to="8321,-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" strokeweight=".12pt"/>
                <v:line id="Line 3029" o:spid="_x0000_s1055" style="position:absolute;visibility:visible;mso-wrap-style:square" from="8321,-762" to="961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" strokeweight=".12pt"/>
                <v:line id="Line 3028" o:spid="_x0000_s1056" style="position:absolute;visibility:visible;mso-wrap-style:square" from="8321,-760" to="961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" strokeweight=".12pt"/>
                <v:line id="Line 3027" o:spid="_x0000_s1057" style="position:absolute;visibility:visible;mso-wrap-style:square" from="8321,-757" to="9617,-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" strokeweight=".12pt"/>
                <v:line id="Line 3026" o:spid="_x0000_s1058" style="position:absolute;visibility:visible;mso-wrap-style:square" from="8321,-755" to="9617,-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" strokeweight=".12pt"/>
                <v:line id="Line 3025" o:spid="_x0000_s1059" style="position:absolute;visibility:visible;mso-wrap-style:square" from="8321,-752" to="9617,-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" strokeweight=".12pt"/>
                <v:line id="Line 3024" o:spid="_x0000_s1060" style="position:absolute;visibility:visible;mso-wrap-style:square" from="8321,-750" to="9617,-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" strokeweight=".12pt"/>
                <v:line id="Line 3023" o:spid="_x0000_s1061" style="position:absolute;visibility:visible;mso-wrap-style:square" from="9617,-762" to="10913,-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" strokeweight=".12pt"/>
                <v:line id="Line 3022" o:spid="_x0000_s1062" style="position:absolute;visibility:visible;mso-wrap-style:square" from="9617,-760" to="10913,-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" strokeweight=".12pt"/>
                <v:line id="Line 3021" o:spid="_x0000_s1063" style="position:absolute;visibility:visible;mso-wrap-style:square" from="9617,-757" to="10913,-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" strokeweight=".12pt"/>
                <v:line id="Line 3020" o:spid="_x0000_s1064" style="position:absolute;visibility:visible;mso-wrap-style:square" from="9617,-755" to="10913,-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" strokeweight=".12pt"/>
                <v:line id="Line 3019" o:spid="_x0000_s1065" style="position:absolute;visibility:visible;mso-wrap-style:square" from="9617,-752" to="10913,-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" strokeweight=".12pt"/>
                <v:line id="Line 3018" o:spid="_x0000_s1066" style="position:absolute;visibility:visible;mso-wrap-style:square" from="9617,-750" to="10913,-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" strokeweight=".12pt"/>
                <w10:wrap anchorx="page"/>
              </v:group>
            </w:pict>
          </mc:Fallback>
        </mc:AlternateContent>
      </w:r>
      <w:r w:rsidR="0015611F">
        <w:t>Fees and charges are recognised as income in the year of receipt, except to the extent that fees and charges relate to courses to be held in future periods. Such income is treated as income in advance in liabilities. Conversely, fees and charges relating to debtors are recognised as revenue in the year to which the prescribed course</w:t>
      </w:r>
      <w:r w:rsidR="0015611F">
        <w:rPr>
          <w:spacing w:val="16"/>
        </w:rPr>
        <w:t xml:space="preserve"> </w:t>
      </w:r>
      <w:r w:rsidR="0015611F">
        <w:t>relates.</w:t>
      </w:r>
    </w:p>
    <w:p w14:paraId="1CC9A6E2" w14:textId="77777777" w:rsidR="00FA4AA8" w:rsidRDefault="00FA4AA8">
      <w:pPr>
        <w:sectPr w:rsidR="00FA4AA8">
          <w:pgSz w:w="11910" w:h="16840"/>
          <w:pgMar w:top="2220" w:right="840" w:bottom="720" w:left="840" w:header="1016" w:footer="523" w:gutter="0"/>
          <w:cols w:space="720"/>
        </w:sectPr>
      </w:pPr>
    </w:p>
    <w:p w14:paraId="7F13EEA2" w14:textId="77777777" w:rsidR="00FA4AA8" w:rsidRDefault="00FA4AA8">
      <w:pPr>
        <w:pStyle w:val="BodyText"/>
        <w:rPr>
          <w:sz w:val="20"/>
        </w:rPr>
      </w:pPr>
    </w:p>
    <w:p w14:paraId="3AB6C872" w14:textId="77777777" w:rsidR="00FA4AA8" w:rsidRDefault="00FA4AA8">
      <w:pPr>
        <w:pStyle w:val="BodyText"/>
        <w:spacing w:before="10"/>
        <w:rPr>
          <w:sz w:val="29"/>
        </w:rPr>
      </w:pPr>
    </w:p>
    <w:p w14:paraId="1134802E" w14:textId="77777777" w:rsidR="00FA4AA8" w:rsidRDefault="0015611F">
      <w:pPr>
        <w:numPr>
          <w:ilvl w:val="0"/>
          <w:numId w:val="105"/>
        </w:numPr>
        <w:tabs>
          <w:tab w:val="left" w:pos="563"/>
          <w:tab w:val="left" w:pos="564"/>
        </w:tabs>
        <w:spacing w:before="94"/>
        <w:ind w:hanging="397"/>
        <w:rPr>
          <w:b/>
          <w:sz w:val="18"/>
        </w:rPr>
      </w:pPr>
      <w:bookmarkStart w:id="23" w:name="5_Investment_income_"/>
      <w:bookmarkEnd w:id="23"/>
      <w:r>
        <w:rPr>
          <w:b/>
          <w:sz w:val="18"/>
        </w:rPr>
        <w:t>Investment income</w:t>
      </w:r>
    </w:p>
    <w:p w14:paraId="2626121F" w14:textId="77777777" w:rsidR="00FA4AA8" w:rsidRDefault="0015611F">
      <w:pPr>
        <w:tabs>
          <w:tab w:val="left" w:pos="8414"/>
        </w:tabs>
        <w:spacing w:before="33"/>
        <w:ind w:left="5364"/>
        <w:rPr>
          <w:b/>
          <w:sz w:val="18"/>
        </w:rPr>
      </w:pPr>
      <w:r>
        <w:rPr>
          <w:b/>
          <w:sz w:val="18"/>
        </w:rPr>
        <w:t>Consolidated</w:t>
      </w:r>
      <w:r>
        <w:rPr>
          <w:b/>
          <w:sz w:val="18"/>
        </w:rPr>
        <w:tab/>
        <w:t>Parent</w:t>
      </w:r>
    </w:p>
    <w:p w14:paraId="1D91E596" w14:textId="77777777" w:rsidR="00FA4AA8" w:rsidRDefault="00FA4AA8">
      <w:pPr>
        <w:pStyle w:val="BodyText"/>
        <w:spacing w:before="3"/>
        <w:rPr>
          <w:b/>
          <w:sz w:val="6"/>
        </w:rPr>
      </w:pPr>
    </w:p>
    <w:tbl>
      <w:tblPr>
        <w:tblW w:w="0" w:type="auto"/>
        <w:tblInd w:w="521" w:type="dxa"/>
        <w:tblLayout w:type="fixed"/>
        <w:tblCellMar>
          <w:left w:w="0" w:type="dxa"/>
          <w:right w:w="0" w:type="dxa"/>
        </w:tblCellMar>
        <w:tblLook w:val="01E0" w:firstRow="1" w:lastRow="1" w:firstColumn="1" w:lastColumn="1" w:noHBand="0" w:noVBand="0"/>
      </w:tblPr>
      <w:tblGrid>
        <w:gridCol w:w="4039"/>
        <w:gridCol w:w="1464"/>
        <w:gridCol w:w="1296"/>
        <w:gridCol w:w="168"/>
        <w:gridCol w:w="1488"/>
        <w:gridCol w:w="1104"/>
      </w:tblGrid>
      <w:tr w:rsidR="00FA4AA8" w14:paraId="0F9C0438" w14:textId="77777777">
        <w:trPr>
          <w:trHeight w:val="237"/>
        </w:trPr>
        <w:tc>
          <w:tcPr>
            <w:tcW w:w="4039" w:type="dxa"/>
          </w:tcPr>
          <w:p w14:paraId="0121796C" w14:textId="77777777" w:rsidR="00FA4AA8" w:rsidRDefault="00FA4AA8">
            <w:pPr>
              <w:pStyle w:val="TableParagraph"/>
              <w:rPr>
                <w:rFonts w:ascii="Times New Roman"/>
                <w:sz w:val="16"/>
              </w:rPr>
            </w:pPr>
          </w:p>
        </w:tc>
        <w:tc>
          <w:tcPr>
            <w:tcW w:w="1464" w:type="dxa"/>
          </w:tcPr>
          <w:p w14:paraId="7C3BD41C" w14:textId="77777777" w:rsidR="00FA4AA8" w:rsidRDefault="0015611F">
            <w:pPr>
              <w:pStyle w:val="TableParagraph"/>
              <w:spacing w:line="201" w:lineRule="exact"/>
              <w:ind w:left="599"/>
              <w:rPr>
                <w:b/>
                <w:sz w:val="18"/>
              </w:rPr>
            </w:pPr>
            <w:r>
              <w:rPr>
                <w:b/>
                <w:sz w:val="18"/>
              </w:rPr>
              <w:t>2018</w:t>
            </w:r>
          </w:p>
        </w:tc>
        <w:tc>
          <w:tcPr>
            <w:tcW w:w="1296" w:type="dxa"/>
          </w:tcPr>
          <w:p w14:paraId="1E453900" w14:textId="77777777" w:rsidR="00FA4AA8" w:rsidRDefault="0015611F">
            <w:pPr>
              <w:pStyle w:val="TableParagraph"/>
              <w:spacing w:line="201" w:lineRule="exact"/>
              <w:ind w:left="431"/>
              <w:rPr>
                <w:b/>
                <w:sz w:val="18"/>
              </w:rPr>
            </w:pPr>
            <w:r>
              <w:rPr>
                <w:b/>
                <w:sz w:val="18"/>
              </w:rPr>
              <w:t>2017</w:t>
            </w:r>
          </w:p>
        </w:tc>
        <w:tc>
          <w:tcPr>
            <w:tcW w:w="168" w:type="dxa"/>
          </w:tcPr>
          <w:p w14:paraId="60A8798F" w14:textId="77777777" w:rsidR="00FA4AA8" w:rsidRDefault="00FA4AA8">
            <w:pPr>
              <w:pStyle w:val="TableParagraph"/>
              <w:rPr>
                <w:rFonts w:ascii="Times New Roman"/>
                <w:sz w:val="16"/>
              </w:rPr>
            </w:pPr>
          </w:p>
        </w:tc>
        <w:tc>
          <w:tcPr>
            <w:tcW w:w="1488" w:type="dxa"/>
          </w:tcPr>
          <w:p w14:paraId="3A4C4482" w14:textId="77777777" w:rsidR="00FA4AA8" w:rsidRDefault="0015611F">
            <w:pPr>
              <w:pStyle w:val="TableParagraph"/>
              <w:spacing w:line="201" w:lineRule="exact"/>
              <w:ind w:left="431"/>
              <w:rPr>
                <w:b/>
                <w:sz w:val="18"/>
              </w:rPr>
            </w:pPr>
            <w:r>
              <w:rPr>
                <w:b/>
                <w:sz w:val="18"/>
              </w:rPr>
              <w:t>2018</w:t>
            </w:r>
          </w:p>
        </w:tc>
        <w:tc>
          <w:tcPr>
            <w:tcW w:w="1104" w:type="dxa"/>
          </w:tcPr>
          <w:p w14:paraId="1AECF5BD" w14:textId="77777777" w:rsidR="00FA4AA8" w:rsidRDefault="0015611F">
            <w:pPr>
              <w:pStyle w:val="TableParagraph"/>
              <w:spacing w:line="201" w:lineRule="exact"/>
              <w:ind w:left="239"/>
              <w:rPr>
                <w:b/>
                <w:sz w:val="18"/>
              </w:rPr>
            </w:pPr>
            <w:r>
              <w:rPr>
                <w:b/>
                <w:sz w:val="18"/>
              </w:rPr>
              <w:t>2017</w:t>
            </w:r>
          </w:p>
        </w:tc>
      </w:tr>
      <w:tr w:rsidR="00FA4AA8" w14:paraId="159B374B" w14:textId="77777777">
        <w:trPr>
          <w:trHeight w:val="430"/>
        </w:trPr>
        <w:tc>
          <w:tcPr>
            <w:tcW w:w="4039" w:type="dxa"/>
          </w:tcPr>
          <w:p w14:paraId="6F5A806E" w14:textId="77777777" w:rsidR="00FA4AA8" w:rsidRDefault="00FA4AA8">
            <w:pPr>
              <w:pStyle w:val="TableParagraph"/>
              <w:rPr>
                <w:rFonts w:ascii="Times New Roman"/>
                <w:sz w:val="18"/>
              </w:rPr>
            </w:pPr>
          </w:p>
        </w:tc>
        <w:tc>
          <w:tcPr>
            <w:tcW w:w="1464" w:type="dxa"/>
          </w:tcPr>
          <w:p w14:paraId="7DFDDC9D" w14:textId="77777777" w:rsidR="00FA4AA8" w:rsidRDefault="0015611F">
            <w:pPr>
              <w:pStyle w:val="TableParagraph"/>
              <w:spacing w:before="30"/>
              <w:ind w:left="578"/>
              <w:rPr>
                <w:b/>
                <w:sz w:val="18"/>
              </w:rPr>
            </w:pPr>
            <w:r>
              <w:rPr>
                <w:b/>
                <w:sz w:val="18"/>
              </w:rPr>
              <w:t>$'000</w:t>
            </w:r>
          </w:p>
        </w:tc>
        <w:tc>
          <w:tcPr>
            <w:tcW w:w="1296" w:type="dxa"/>
          </w:tcPr>
          <w:p w14:paraId="0F057F87" w14:textId="77777777" w:rsidR="00FA4AA8" w:rsidRDefault="0015611F">
            <w:pPr>
              <w:pStyle w:val="TableParagraph"/>
              <w:spacing w:before="30"/>
              <w:ind w:left="410"/>
              <w:rPr>
                <w:b/>
                <w:sz w:val="18"/>
              </w:rPr>
            </w:pPr>
            <w:r>
              <w:rPr>
                <w:b/>
                <w:sz w:val="18"/>
              </w:rPr>
              <w:t>$'000</w:t>
            </w:r>
          </w:p>
        </w:tc>
        <w:tc>
          <w:tcPr>
            <w:tcW w:w="168" w:type="dxa"/>
          </w:tcPr>
          <w:p w14:paraId="60FA27B2" w14:textId="77777777" w:rsidR="00FA4AA8" w:rsidRDefault="00FA4AA8">
            <w:pPr>
              <w:pStyle w:val="TableParagraph"/>
              <w:rPr>
                <w:rFonts w:ascii="Times New Roman"/>
                <w:sz w:val="18"/>
              </w:rPr>
            </w:pPr>
          </w:p>
        </w:tc>
        <w:tc>
          <w:tcPr>
            <w:tcW w:w="1488" w:type="dxa"/>
          </w:tcPr>
          <w:p w14:paraId="77D1C6B4" w14:textId="77777777" w:rsidR="00FA4AA8" w:rsidRDefault="0015611F">
            <w:pPr>
              <w:pStyle w:val="TableParagraph"/>
              <w:spacing w:before="30"/>
              <w:ind w:left="410"/>
              <w:rPr>
                <w:b/>
                <w:sz w:val="18"/>
              </w:rPr>
            </w:pPr>
            <w:r>
              <w:rPr>
                <w:b/>
                <w:sz w:val="18"/>
              </w:rPr>
              <w:t>$'000</w:t>
            </w:r>
          </w:p>
        </w:tc>
        <w:tc>
          <w:tcPr>
            <w:tcW w:w="1104" w:type="dxa"/>
          </w:tcPr>
          <w:p w14:paraId="45C0EEF0" w14:textId="77777777" w:rsidR="00FA4AA8" w:rsidRDefault="0015611F">
            <w:pPr>
              <w:pStyle w:val="TableParagraph"/>
              <w:spacing w:before="30"/>
              <w:ind w:left="218"/>
              <w:rPr>
                <w:b/>
                <w:sz w:val="18"/>
              </w:rPr>
            </w:pPr>
            <w:r>
              <w:rPr>
                <w:b/>
                <w:sz w:val="18"/>
              </w:rPr>
              <w:t>$'000</w:t>
            </w:r>
          </w:p>
        </w:tc>
      </w:tr>
      <w:tr w:rsidR="00FA4AA8" w14:paraId="5BF27550" w14:textId="77777777">
        <w:trPr>
          <w:trHeight w:val="427"/>
        </w:trPr>
        <w:tc>
          <w:tcPr>
            <w:tcW w:w="4039" w:type="dxa"/>
          </w:tcPr>
          <w:p w14:paraId="7EA5045F" w14:textId="77777777" w:rsidR="00FA4AA8" w:rsidRDefault="00FA4AA8">
            <w:pPr>
              <w:pStyle w:val="TableParagraph"/>
              <w:spacing w:before="5"/>
              <w:rPr>
                <w:b/>
                <w:sz w:val="16"/>
              </w:rPr>
            </w:pPr>
          </w:p>
          <w:p w14:paraId="1BA59F55" w14:textId="77777777" w:rsidR="00FA4AA8" w:rsidRDefault="0015611F">
            <w:pPr>
              <w:pStyle w:val="TableParagraph"/>
              <w:spacing w:before="1"/>
              <w:ind w:left="76"/>
              <w:rPr>
                <w:sz w:val="18"/>
              </w:rPr>
            </w:pPr>
            <w:r>
              <w:rPr>
                <w:sz w:val="18"/>
              </w:rPr>
              <w:t>Interest income</w:t>
            </w:r>
          </w:p>
        </w:tc>
        <w:tc>
          <w:tcPr>
            <w:tcW w:w="1464" w:type="dxa"/>
          </w:tcPr>
          <w:p w14:paraId="3BDE4C3B" w14:textId="77777777" w:rsidR="00FA4AA8" w:rsidRDefault="00FA4AA8">
            <w:pPr>
              <w:pStyle w:val="TableParagraph"/>
              <w:spacing w:before="3"/>
              <w:rPr>
                <w:b/>
                <w:sz w:val="16"/>
              </w:rPr>
            </w:pPr>
          </w:p>
          <w:p w14:paraId="5A1F50CB" w14:textId="77777777" w:rsidR="00FA4AA8" w:rsidRDefault="0015611F">
            <w:pPr>
              <w:pStyle w:val="TableParagraph"/>
              <w:ind w:right="84"/>
              <w:jc w:val="right"/>
              <w:rPr>
                <w:b/>
                <w:sz w:val="18"/>
              </w:rPr>
            </w:pPr>
            <w:r>
              <w:rPr>
                <w:b/>
                <w:sz w:val="18"/>
              </w:rPr>
              <w:t>5,637</w:t>
            </w:r>
          </w:p>
        </w:tc>
        <w:tc>
          <w:tcPr>
            <w:tcW w:w="1296" w:type="dxa"/>
          </w:tcPr>
          <w:p w14:paraId="7E6B6205" w14:textId="77777777" w:rsidR="00FA4AA8" w:rsidRDefault="00FA4AA8">
            <w:pPr>
              <w:pStyle w:val="TableParagraph"/>
              <w:spacing w:before="3"/>
              <w:rPr>
                <w:b/>
                <w:sz w:val="16"/>
              </w:rPr>
            </w:pPr>
          </w:p>
          <w:p w14:paraId="789C57B1" w14:textId="77777777" w:rsidR="00FA4AA8" w:rsidRDefault="0015611F">
            <w:pPr>
              <w:pStyle w:val="TableParagraph"/>
              <w:ind w:right="84"/>
              <w:jc w:val="right"/>
              <w:rPr>
                <w:sz w:val="18"/>
              </w:rPr>
            </w:pPr>
            <w:r>
              <w:rPr>
                <w:sz w:val="18"/>
              </w:rPr>
              <w:t>4,488</w:t>
            </w:r>
          </w:p>
        </w:tc>
        <w:tc>
          <w:tcPr>
            <w:tcW w:w="168" w:type="dxa"/>
          </w:tcPr>
          <w:p w14:paraId="20DD2780" w14:textId="77777777" w:rsidR="00FA4AA8" w:rsidRDefault="00FA4AA8">
            <w:pPr>
              <w:pStyle w:val="TableParagraph"/>
              <w:rPr>
                <w:rFonts w:ascii="Times New Roman"/>
                <w:sz w:val="18"/>
              </w:rPr>
            </w:pPr>
          </w:p>
        </w:tc>
        <w:tc>
          <w:tcPr>
            <w:tcW w:w="1488" w:type="dxa"/>
          </w:tcPr>
          <w:p w14:paraId="5F411943" w14:textId="77777777" w:rsidR="00FA4AA8" w:rsidRDefault="00FA4AA8">
            <w:pPr>
              <w:pStyle w:val="TableParagraph"/>
              <w:spacing w:before="3"/>
              <w:rPr>
                <w:b/>
                <w:sz w:val="16"/>
              </w:rPr>
            </w:pPr>
          </w:p>
          <w:p w14:paraId="5F730F48" w14:textId="77777777" w:rsidR="00FA4AA8" w:rsidRDefault="0015611F">
            <w:pPr>
              <w:pStyle w:val="TableParagraph"/>
              <w:ind w:right="276"/>
              <w:jc w:val="right"/>
              <w:rPr>
                <w:b/>
                <w:sz w:val="18"/>
              </w:rPr>
            </w:pPr>
            <w:r>
              <w:rPr>
                <w:b/>
                <w:sz w:val="18"/>
              </w:rPr>
              <w:t>5,496</w:t>
            </w:r>
          </w:p>
        </w:tc>
        <w:tc>
          <w:tcPr>
            <w:tcW w:w="1104" w:type="dxa"/>
          </w:tcPr>
          <w:p w14:paraId="5C1E253B" w14:textId="77777777" w:rsidR="00FA4AA8" w:rsidRDefault="00FA4AA8">
            <w:pPr>
              <w:pStyle w:val="TableParagraph"/>
              <w:spacing w:before="3"/>
              <w:rPr>
                <w:b/>
                <w:sz w:val="16"/>
              </w:rPr>
            </w:pPr>
          </w:p>
          <w:p w14:paraId="0B872DBD" w14:textId="77777777" w:rsidR="00FA4AA8" w:rsidRDefault="0015611F">
            <w:pPr>
              <w:pStyle w:val="TableParagraph"/>
              <w:ind w:right="84"/>
              <w:jc w:val="right"/>
              <w:rPr>
                <w:sz w:val="18"/>
              </w:rPr>
            </w:pPr>
            <w:r>
              <w:rPr>
                <w:sz w:val="18"/>
              </w:rPr>
              <w:t>4,380</w:t>
            </w:r>
          </w:p>
        </w:tc>
      </w:tr>
      <w:tr w:rsidR="00FA4AA8" w14:paraId="2D6E90E3" w14:textId="77777777">
        <w:trPr>
          <w:trHeight w:val="306"/>
        </w:trPr>
        <w:tc>
          <w:tcPr>
            <w:tcW w:w="4039" w:type="dxa"/>
          </w:tcPr>
          <w:p w14:paraId="7F8B6D1A" w14:textId="77777777" w:rsidR="00FA4AA8" w:rsidRDefault="0015611F">
            <w:pPr>
              <w:pStyle w:val="TableParagraph"/>
              <w:spacing w:before="26"/>
              <w:ind w:left="76"/>
              <w:rPr>
                <w:sz w:val="18"/>
              </w:rPr>
            </w:pPr>
            <w:r>
              <w:rPr>
                <w:sz w:val="18"/>
              </w:rPr>
              <w:t>Distribution from managed funds</w:t>
            </w:r>
          </w:p>
        </w:tc>
        <w:tc>
          <w:tcPr>
            <w:tcW w:w="1464" w:type="dxa"/>
          </w:tcPr>
          <w:p w14:paraId="22E585FE" w14:textId="77777777" w:rsidR="00FA4AA8" w:rsidRDefault="0015611F">
            <w:pPr>
              <w:pStyle w:val="TableParagraph"/>
              <w:spacing w:before="24"/>
              <w:ind w:right="84"/>
              <w:jc w:val="right"/>
              <w:rPr>
                <w:b/>
                <w:sz w:val="18"/>
              </w:rPr>
            </w:pPr>
            <w:r>
              <w:rPr>
                <w:b/>
                <w:sz w:val="18"/>
              </w:rPr>
              <w:t>10,402</w:t>
            </w:r>
          </w:p>
        </w:tc>
        <w:tc>
          <w:tcPr>
            <w:tcW w:w="1296" w:type="dxa"/>
          </w:tcPr>
          <w:p w14:paraId="5A522B60" w14:textId="77777777" w:rsidR="00FA4AA8" w:rsidRDefault="0015611F">
            <w:pPr>
              <w:pStyle w:val="TableParagraph"/>
              <w:spacing w:before="24"/>
              <w:ind w:right="84"/>
              <w:jc w:val="right"/>
              <w:rPr>
                <w:sz w:val="18"/>
              </w:rPr>
            </w:pPr>
            <w:r>
              <w:rPr>
                <w:sz w:val="18"/>
              </w:rPr>
              <w:t>7,018</w:t>
            </w:r>
          </w:p>
        </w:tc>
        <w:tc>
          <w:tcPr>
            <w:tcW w:w="168" w:type="dxa"/>
          </w:tcPr>
          <w:p w14:paraId="1D56F45E" w14:textId="77777777" w:rsidR="00FA4AA8" w:rsidRDefault="00FA4AA8">
            <w:pPr>
              <w:pStyle w:val="TableParagraph"/>
              <w:rPr>
                <w:rFonts w:ascii="Times New Roman"/>
                <w:sz w:val="18"/>
              </w:rPr>
            </w:pPr>
          </w:p>
        </w:tc>
        <w:tc>
          <w:tcPr>
            <w:tcW w:w="1488" w:type="dxa"/>
          </w:tcPr>
          <w:p w14:paraId="2BE9829B" w14:textId="77777777" w:rsidR="00FA4AA8" w:rsidRDefault="0015611F">
            <w:pPr>
              <w:pStyle w:val="TableParagraph"/>
              <w:spacing w:before="24"/>
              <w:ind w:right="276"/>
              <w:jc w:val="right"/>
              <w:rPr>
                <w:b/>
                <w:sz w:val="18"/>
              </w:rPr>
            </w:pPr>
            <w:r>
              <w:rPr>
                <w:b/>
                <w:sz w:val="18"/>
              </w:rPr>
              <w:t>10,402</w:t>
            </w:r>
          </w:p>
        </w:tc>
        <w:tc>
          <w:tcPr>
            <w:tcW w:w="1104" w:type="dxa"/>
          </w:tcPr>
          <w:p w14:paraId="38444096" w14:textId="77777777" w:rsidR="00FA4AA8" w:rsidRDefault="0015611F">
            <w:pPr>
              <w:pStyle w:val="TableParagraph"/>
              <w:spacing w:before="24"/>
              <w:ind w:right="84"/>
              <w:jc w:val="right"/>
              <w:rPr>
                <w:sz w:val="18"/>
              </w:rPr>
            </w:pPr>
            <w:r>
              <w:rPr>
                <w:sz w:val="18"/>
              </w:rPr>
              <w:t>7,018</w:t>
            </w:r>
          </w:p>
        </w:tc>
      </w:tr>
      <w:tr w:rsidR="00FA4AA8" w14:paraId="7E7780EA" w14:textId="77777777">
        <w:trPr>
          <w:trHeight w:val="290"/>
        </w:trPr>
        <w:tc>
          <w:tcPr>
            <w:tcW w:w="4039" w:type="dxa"/>
          </w:tcPr>
          <w:p w14:paraId="05B91881" w14:textId="77777777" w:rsidR="00FA4AA8" w:rsidRDefault="0015611F">
            <w:pPr>
              <w:pStyle w:val="TableParagraph"/>
              <w:spacing w:before="66" w:line="204" w:lineRule="exact"/>
              <w:ind w:left="76"/>
              <w:rPr>
                <w:sz w:val="18"/>
              </w:rPr>
            </w:pPr>
            <w:r>
              <w:rPr>
                <w:sz w:val="18"/>
              </w:rPr>
              <w:t>Dividends income</w:t>
            </w:r>
          </w:p>
        </w:tc>
        <w:tc>
          <w:tcPr>
            <w:tcW w:w="1464" w:type="dxa"/>
          </w:tcPr>
          <w:p w14:paraId="28EDBDA5" w14:textId="77777777" w:rsidR="00FA4AA8" w:rsidRDefault="0015611F">
            <w:pPr>
              <w:pStyle w:val="TableParagraph"/>
              <w:spacing w:before="66" w:line="204" w:lineRule="exact"/>
              <w:ind w:right="84"/>
              <w:jc w:val="right"/>
              <w:rPr>
                <w:b/>
                <w:sz w:val="18"/>
              </w:rPr>
            </w:pPr>
            <w:r>
              <w:rPr>
                <w:b/>
                <w:sz w:val="18"/>
              </w:rPr>
              <w:t>3,429</w:t>
            </w:r>
          </w:p>
        </w:tc>
        <w:tc>
          <w:tcPr>
            <w:tcW w:w="1296" w:type="dxa"/>
          </w:tcPr>
          <w:p w14:paraId="43911FEF" w14:textId="77777777" w:rsidR="00FA4AA8" w:rsidRDefault="0015611F">
            <w:pPr>
              <w:pStyle w:val="TableParagraph"/>
              <w:spacing w:before="66" w:line="204" w:lineRule="exact"/>
              <w:ind w:right="84"/>
              <w:jc w:val="right"/>
              <w:rPr>
                <w:sz w:val="18"/>
              </w:rPr>
            </w:pPr>
            <w:r>
              <w:rPr>
                <w:sz w:val="18"/>
              </w:rPr>
              <w:t>2,541</w:t>
            </w:r>
          </w:p>
        </w:tc>
        <w:tc>
          <w:tcPr>
            <w:tcW w:w="168" w:type="dxa"/>
          </w:tcPr>
          <w:p w14:paraId="3182E81F" w14:textId="77777777" w:rsidR="00FA4AA8" w:rsidRDefault="00FA4AA8">
            <w:pPr>
              <w:pStyle w:val="TableParagraph"/>
              <w:rPr>
                <w:rFonts w:ascii="Times New Roman"/>
                <w:sz w:val="18"/>
              </w:rPr>
            </w:pPr>
          </w:p>
        </w:tc>
        <w:tc>
          <w:tcPr>
            <w:tcW w:w="1488" w:type="dxa"/>
          </w:tcPr>
          <w:p w14:paraId="060FAE01" w14:textId="77777777" w:rsidR="00FA4AA8" w:rsidRDefault="0015611F">
            <w:pPr>
              <w:pStyle w:val="TableParagraph"/>
              <w:spacing w:before="66" w:line="204" w:lineRule="exact"/>
              <w:ind w:right="276"/>
              <w:jc w:val="right"/>
              <w:rPr>
                <w:b/>
                <w:sz w:val="18"/>
              </w:rPr>
            </w:pPr>
            <w:r>
              <w:rPr>
                <w:b/>
                <w:sz w:val="18"/>
              </w:rPr>
              <w:t>3,429</w:t>
            </w:r>
          </w:p>
        </w:tc>
        <w:tc>
          <w:tcPr>
            <w:tcW w:w="1104" w:type="dxa"/>
          </w:tcPr>
          <w:p w14:paraId="22930D72" w14:textId="77777777" w:rsidR="00FA4AA8" w:rsidRDefault="0015611F">
            <w:pPr>
              <w:pStyle w:val="TableParagraph"/>
              <w:spacing w:before="66" w:line="204" w:lineRule="exact"/>
              <w:ind w:right="84"/>
              <w:jc w:val="right"/>
              <w:rPr>
                <w:sz w:val="18"/>
              </w:rPr>
            </w:pPr>
            <w:r>
              <w:rPr>
                <w:sz w:val="18"/>
              </w:rPr>
              <w:t>2,541</w:t>
            </w:r>
          </w:p>
        </w:tc>
      </w:tr>
      <w:tr w:rsidR="00FA4AA8" w14:paraId="096DAC05" w14:textId="77777777">
        <w:trPr>
          <w:trHeight w:val="249"/>
        </w:trPr>
        <w:tc>
          <w:tcPr>
            <w:tcW w:w="4039" w:type="dxa"/>
          </w:tcPr>
          <w:p w14:paraId="49997B2E" w14:textId="77777777" w:rsidR="00FA4AA8" w:rsidRDefault="0015611F">
            <w:pPr>
              <w:pStyle w:val="TableParagraph"/>
              <w:spacing w:before="13"/>
              <w:ind w:left="76"/>
              <w:rPr>
                <w:sz w:val="18"/>
              </w:rPr>
            </w:pPr>
            <w:r>
              <w:rPr>
                <w:sz w:val="18"/>
              </w:rPr>
              <w:t>Realised investment gains/(losses)</w:t>
            </w:r>
          </w:p>
        </w:tc>
        <w:tc>
          <w:tcPr>
            <w:tcW w:w="1464" w:type="dxa"/>
          </w:tcPr>
          <w:p w14:paraId="20177C63" w14:textId="77777777" w:rsidR="00FA4AA8" w:rsidRDefault="0015611F">
            <w:pPr>
              <w:pStyle w:val="TableParagraph"/>
              <w:spacing w:before="11"/>
              <w:ind w:right="24"/>
              <w:jc w:val="right"/>
              <w:rPr>
                <w:b/>
                <w:sz w:val="18"/>
              </w:rPr>
            </w:pPr>
            <w:r>
              <w:rPr>
                <w:b/>
                <w:sz w:val="18"/>
              </w:rPr>
              <w:t>(2,714)</w:t>
            </w:r>
          </w:p>
        </w:tc>
        <w:tc>
          <w:tcPr>
            <w:tcW w:w="1296" w:type="dxa"/>
          </w:tcPr>
          <w:p w14:paraId="400BB24A" w14:textId="77777777" w:rsidR="00FA4AA8" w:rsidRDefault="0015611F">
            <w:pPr>
              <w:pStyle w:val="TableParagraph"/>
              <w:spacing w:before="11"/>
              <w:ind w:right="84"/>
              <w:jc w:val="right"/>
              <w:rPr>
                <w:sz w:val="18"/>
              </w:rPr>
            </w:pPr>
            <w:r>
              <w:rPr>
                <w:sz w:val="18"/>
              </w:rPr>
              <w:t>-</w:t>
            </w:r>
          </w:p>
        </w:tc>
        <w:tc>
          <w:tcPr>
            <w:tcW w:w="168" w:type="dxa"/>
          </w:tcPr>
          <w:p w14:paraId="1BC38FEF" w14:textId="77777777" w:rsidR="00FA4AA8" w:rsidRDefault="00FA4AA8">
            <w:pPr>
              <w:pStyle w:val="TableParagraph"/>
              <w:rPr>
                <w:rFonts w:ascii="Times New Roman"/>
                <w:sz w:val="18"/>
              </w:rPr>
            </w:pPr>
          </w:p>
        </w:tc>
        <w:tc>
          <w:tcPr>
            <w:tcW w:w="1488" w:type="dxa"/>
          </w:tcPr>
          <w:p w14:paraId="38758F81" w14:textId="77777777" w:rsidR="00FA4AA8" w:rsidRDefault="0015611F">
            <w:pPr>
              <w:pStyle w:val="TableParagraph"/>
              <w:spacing w:before="11"/>
              <w:ind w:right="216"/>
              <w:jc w:val="right"/>
              <w:rPr>
                <w:b/>
                <w:sz w:val="18"/>
              </w:rPr>
            </w:pPr>
            <w:r>
              <w:rPr>
                <w:b/>
                <w:sz w:val="18"/>
              </w:rPr>
              <w:t>(2,714)</w:t>
            </w:r>
          </w:p>
        </w:tc>
        <w:tc>
          <w:tcPr>
            <w:tcW w:w="1104" w:type="dxa"/>
          </w:tcPr>
          <w:p w14:paraId="110F0CE0" w14:textId="77777777" w:rsidR="00FA4AA8" w:rsidRDefault="0015611F">
            <w:pPr>
              <w:pStyle w:val="TableParagraph"/>
              <w:spacing w:before="11"/>
              <w:ind w:right="84"/>
              <w:jc w:val="right"/>
              <w:rPr>
                <w:sz w:val="18"/>
              </w:rPr>
            </w:pPr>
            <w:r>
              <w:rPr>
                <w:sz w:val="18"/>
              </w:rPr>
              <w:t>-</w:t>
            </w:r>
          </w:p>
        </w:tc>
      </w:tr>
      <w:tr w:rsidR="00FA4AA8" w14:paraId="4F8DB7A6" w14:textId="77777777">
        <w:trPr>
          <w:trHeight w:val="459"/>
        </w:trPr>
        <w:tc>
          <w:tcPr>
            <w:tcW w:w="4039" w:type="dxa"/>
          </w:tcPr>
          <w:p w14:paraId="4F6CE999" w14:textId="77777777" w:rsidR="00FA4AA8" w:rsidRDefault="0015611F">
            <w:pPr>
              <w:pStyle w:val="TableParagraph"/>
              <w:spacing w:before="23"/>
              <w:ind w:left="76" w:right="20"/>
              <w:rPr>
                <w:sz w:val="18"/>
              </w:rPr>
            </w:pPr>
            <w:r>
              <w:rPr>
                <w:sz w:val="18"/>
              </w:rPr>
              <w:t>Change in fair value of financial assets designated at fair value through profit or loss</w:t>
            </w:r>
          </w:p>
        </w:tc>
        <w:tc>
          <w:tcPr>
            <w:tcW w:w="1464" w:type="dxa"/>
            <w:tcBorders>
              <w:bottom w:val="single" w:sz="8" w:space="0" w:color="000000"/>
            </w:tcBorders>
          </w:tcPr>
          <w:p w14:paraId="204A6BC0" w14:textId="77777777" w:rsidR="00FA4AA8" w:rsidRDefault="00FA4AA8">
            <w:pPr>
              <w:pStyle w:val="TableParagraph"/>
              <w:spacing w:before="8"/>
              <w:rPr>
                <w:b/>
                <w:sz w:val="19"/>
              </w:rPr>
            </w:pPr>
          </w:p>
          <w:p w14:paraId="62145E12" w14:textId="77777777" w:rsidR="00FA4AA8" w:rsidRDefault="0015611F">
            <w:pPr>
              <w:pStyle w:val="TableParagraph"/>
              <w:ind w:right="24"/>
              <w:jc w:val="right"/>
              <w:rPr>
                <w:b/>
                <w:sz w:val="18"/>
              </w:rPr>
            </w:pPr>
            <w:r>
              <w:rPr>
                <w:b/>
                <w:sz w:val="18"/>
              </w:rPr>
              <w:t>(14,330)</w:t>
            </w:r>
          </w:p>
        </w:tc>
        <w:tc>
          <w:tcPr>
            <w:tcW w:w="1296" w:type="dxa"/>
            <w:tcBorders>
              <w:bottom w:val="single" w:sz="8" w:space="0" w:color="000000"/>
            </w:tcBorders>
          </w:tcPr>
          <w:p w14:paraId="4269B0A8" w14:textId="77777777" w:rsidR="00FA4AA8" w:rsidRDefault="00FA4AA8">
            <w:pPr>
              <w:pStyle w:val="TableParagraph"/>
              <w:spacing w:before="8"/>
              <w:rPr>
                <w:b/>
                <w:sz w:val="19"/>
              </w:rPr>
            </w:pPr>
          </w:p>
          <w:p w14:paraId="6BAAE7E2" w14:textId="77777777" w:rsidR="00FA4AA8" w:rsidRDefault="0015611F">
            <w:pPr>
              <w:pStyle w:val="TableParagraph"/>
              <w:ind w:right="84"/>
              <w:jc w:val="right"/>
              <w:rPr>
                <w:sz w:val="18"/>
              </w:rPr>
            </w:pPr>
            <w:r>
              <w:rPr>
                <w:sz w:val="18"/>
              </w:rPr>
              <w:t>-</w:t>
            </w:r>
          </w:p>
        </w:tc>
        <w:tc>
          <w:tcPr>
            <w:tcW w:w="168" w:type="dxa"/>
            <w:tcBorders>
              <w:bottom w:val="single" w:sz="8" w:space="0" w:color="000000"/>
            </w:tcBorders>
          </w:tcPr>
          <w:p w14:paraId="168EB48D" w14:textId="77777777" w:rsidR="00FA4AA8" w:rsidRDefault="00FA4AA8">
            <w:pPr>
              <w:pStyle w:val="TableParagraph"/>
              <w:rPr>
                <w:rFonts w:ascii="Times New Roman"/>
                <w:sz w:val="18"/>
              </w:rPr>
            </w:pPr>
          </w:p>
        </w:tc>
        <w:tc>
          <w:tcPr>
            <w:tcW w:w="1488" w:type="dxa"/>
            <w:tcBorders>
              <w:bottom w:val="single" w:sz="8" w:space="0" w:color="000000"/>
            </w:tcBorders>
          </w:tcPr>
          <w:p w14:paraId="7BB14AFA" w14:textId="77777777" w:rsidR="00FA4AA8" w:rsidRDefault="00FA4AA8">
            <w:pPr>
              <w:pStyle w:val="TableParagraph"/>
              <w:spacing w:before="8"/>
              <w:rPr>
                <w:b/>
                <w:sz w:val="19"/>
              </w:rPr>
            </w:pPr>
          </w:p>
          <w:p w14:paraId="5B965D24" w14:textId="77777777" w:rsidR="00FA4AA8" w:rsidRDefault="0015611F">
            <w:pPr>
              <w:pStyle w:val="TableParagraph"/>
              <w:ind w:right="216"/>
              <w:jc w:val="right"/>
              <w:rPr>
                <w:b/>
                <w:sz w:val="18"/>
              </w:rPr>
            </w:pPr>
            <w:r>
              <w:rPr>
                <w:b/>
                <w:sz w:val="18"/>
              </w:rPr>
              <w:t>(14,330)</w:t>
            </w:r>
          </w:p>
        </w:tc>
        <w:tc>
          <w:tcPr>
            <w:tcW w:w="1104" w:type="dxa"/>
            <w:tcBorders>
              <w:bottom w:val="single" w:sz="8" w:space="0" w:color="000000"/>
            </w:tcBorders>
          </w:tcPr>
          <w:p w14:paraId="328025E4" w14:textId="77777777" w:rsidR="00FA4AA8" w:rsidRDefault="00FA4AA8">
            <w:pPr>
              <w:pStyle w:val="TableParagraph"/>
              <w:spacing w:before="8"/>
              <w:rPr>
                <w:b/>
                <w:sz w:val="19"/>
              </w:rPr>
            </w:pPr>
          </w:p>
          <w:p w14:paraId="793A604F" w14:textId="77777777" w:rsidR="00FA4AA8" w:rsidRDefault="0015611F">
            <w:pPr>
              <w:pStyle w:val="TableParagraph"/>
              <w:ind w:right="84"/>
              <w:jc w:val="right"/>
              <w:rPr>
                <w:sz w:val="18"/>
              </w:rPr>
            </w:pPr>
            <w:r>
              <w:rPr>
                <w:sz w:val="18"/>
              </w:rPr>
              <w:t>-</w:t>
            </w:r>
          </w:p>
        </w:tc>
      </w:tr>
      <w:tr w:rsidR="00FA4AA8" w14:paraId="7832F8BD" w14:textId="77777777">
        <w:trPr>
          <w:trHeight w:val="352"/>
        </w:trPr>
        <w:tc>
          <w:tcPr>
            <w:tcW w:w="4039" w:type="dxa"/>
          </w:tcPr>
          <w:p w14:paraId="0ACB4C60" w14:textId="77777777" w:rsidR="00FA4AA8" w:rsidRDefault="0015611F">
            <w:pPr>
              <w:pStyle w:val="TableParagraph"/>
              <w:spacing w:before="115"/>
              <w:ind w:left="76"/>
              <w:rPr>
                <w:b/>
                <w:sz w:val="18"/>
              </w:rPr>
            </w:pPr>
            <w:r>
              <w:rPr>
                <w:b/>
                <w:sz w:val="18"/>
              </w:rPr>
              <w:t>Total investment income</w:t>
            </w:r>
          </w:p>
        </w:tc>
        <w:tc>
          <w:tcPr>
            <w:tcW w:w="1464" w:type="dxa"/>
            <w:tcBorders>
              <w:top w:val="single" w:sz="8" w:space="0" w:color="000000"/>
              <w:bottom w:val="single" w:sz="6" w:space="0" w:color="000000"/>
            </w:tcBorders>
          </w:tcPr>
          <w:p w14:paraId="343DB606" w14:textId="77777777" w:rsidR="00FA4AA8" w:rsidRDefault="0015611F">
            <w:pPr>
              <w:pStyle w:val="TableParagraph"/>
              <w:spacing w:before="86"/>
              <w:ind w:right="84"/>
              <w:jc w:val="right"/>
              <w:rPr>
                <w:b/>
                <w:sz w:val="18"/>
              </w:rPr>
            </w:pPr>
            <w:r>
              <w:rPr>
                <w:b/>
                <w:sz w:val="18"/>
              </w:rPr>
              <w:t>2,424</w:t>
            </w:r>
          </w:p>
        </w:tc>
        <w:tc>
          <w:tcPr>
            <w:tcW w:w="1296" w:type="dxa"/>
            <w:tcBorders>
              <w:top w:val="single" w:sz="8" w:space="0" w:color="000000"/>
              <w:bottom w:val="single" w:sz="4" w:space="0" w:color="000000"/>
            </w:tcBorders>
          </w:tcPr>
          <w:p w14:paraId="3E7CD208" w14:textId="77777777" w:rsidR="00FA4AA8" w:rsidRDefault="0015611F">
            <w:pPr>
              <w:pStyle w:val="TableParagraph"/>
              <w:spacing w:before="86"/>
              <w:ind w:right="84"/>
              <w:jc w:val="right"/>
              <w:rPr>
                <w:sz w:val="18"/>
              </w:rPr>
            </w:pPr>
            <w:r>
              <w:rPr>
                <w:sz w:val="18"/>
              </w:rPr>
              <w:t>14,047</w:t>
            </w:r>
          </w:p>
        </w:tc>
        <w:tc>
          <w:tcPr>
            <w:tcW w:w="168" w:type="dxa"/>
            <w:tcBorders>
              <w:top w:val="single" w:sz="8" w:space="0" w:color="000000"/>
              <w:bottom w:val="single" w:sz="6" w:space="0" w:color="000000"/>
            </w:tcBorders>
          </w:tcPr>
          <w:p w14:paraId="55924C2E" w14:textId="77777777" w:rsidR="00FA4AA8" w:rsidRDefault="00FA4AA8">
            <w:pPr>
              <w:pStyle w:val="TableParagraph"/>
              <w:rPr>
                <w:rFonts w:ascii="Times New Roman"/>
                <w:sz w:val="18"/>
              </w:rPr>
            </w:pPr>
          </w:p>
        </w:tc>
        <w:tc>
          <w:tcPr>
            <w:tcW w:w="1488" w:type="dxa"/>
            <w:tcBorders>
              <w:top w:val="single" w:sz="8" w:space="0" w:color="000000"/>
              <w:bottom w:val="single" w:sz="6" w:space="0" w:color="000000"/>
            </w:tcBorders>
          </w:tcPr>
          <w:p w14:paraId="6881614B" w14:textId="77777777" w:rsidR="00FA4AA8" w:rsidRDefault="0015611F">
            <w:pPr>
              <w:pStyle w:val="TableParagraph"/>
              <w:spacing w:before="86"/>
              <w:ind w:right="276"/>
              <w:jc w:val="right"/>
              <w:rPr>
                <w:b/>
                <w:sz w:val="18"/>
              </w:rPr>
            </w:pPr>
            <w:r>
              <w:rPr>
                <w:b/>
                <w:sz w:val="18"/>
              </w:rPr>
              <w:t>2,283</w:t>
            </w:r>
          </w:p>
        </w:tc>
        <w:tc>
          <w:tcPr>
            <w:tcW w:w="1104" w:type="dxa"/>
            <w:tcBorders>
              <w:top w:val="single" w:sz="8" w:space="0" w:color="000000"/>
              <w:bottom w:val="single" w:sz="6" w:space="0" w:color="000000"/>
            </w:tcBorders>
          </w:tcPr>
          <w:p w14:paraId="467E5941" w14:textId="77777777" w:rsidR="00FA4AA8" w:rsidRDefault="0015611F">
            <w:pPr>
              <w:pStyle w:val="TableParagraph"/>
              <w:spacing w:before="86"/>
              <w:ind w:right="84"/>
              <w:jc w:val="right"/>
              <w:rPr>
                <w:sz w:val="18"/>
              </w:rPr>
            </w:pPr>
            <w:r>
              <w:rPr>
                <w:sz w:val="18"/>
              </w:rPr>
              <w:t>13,939</w:t>
            </w:r>
          </w:p>
        </w:tc>
      </w:tr>
      <w:tr w:rsidR="00FA4AA8" w14:paraId="530688E7" w14:textId="77777777">
        <w:trPr>
          <w:trHeight w:val="516"/>
        </w:trPr>
        <w:tc>
          <w:tcPr>
            <w:tcW w:w="4039" w:type="dxa"/>
          </w:tcPr>
          <w:p w14:paraId="567D5A9A" w14:textId="77777777" w:rsidR="00FA4AA8" w:rsidRDefault="00FA4AA8">
            <w:pPr>
              <w:pStyle w:val="TableParagraph"/>
              <w:spacing w:before="10"/>
              <w:rPr>
                <w:b/>
                <w:sz w:val="26"/>
              </w:rPr>
            </w:pPr>
          </w:p>
          <w:p w14:paraId="2209AE2C" w14:textId="77777777" w:rsidR="00FA4AA8" w:rsidRDefault="0015611F">
            <w:pPr>
              <w:pStyle w:val="TableParagraph"/>
              <w:spacing w:line="187" w:lineRule="exact"/>
              <w:ind w:left="50"/>
              <w:rPr>
                <w:i/>
                <w:sz w:val="18"/>
              </w:rPr>
            </w:pPr>
            <w:r>
              <w:rPr>
                <w:i/>
                <w:sz w:val="18"/>
                <w:u w:val="single"/>
              </w:rPr>
              <w:t>Accounting Policy</w:t>
            </w:r>
          </w:p>
        </w:tc>
        <w:tc>
          <w:tcPr>
            <w:tcW w:w="1464" w:type="dxa"/>
            <w:tcBorders>
              <w:top w:val="single" w:sz="6" w:space="0" w:color="000000"/>
            </w:tcBorders>
          </w:tcPr>
          <w:p w14:paraId="686B9ADC" w14:textId="77777777" w:rsidR="00FA4AA8" w:rsidRDefault="00FA4AA8">
            <w:pPr>
              <w:pStyle w:val="TableParagraph"/>
              <w:rPr>
                <w:rFonts w:ascii="Times New Roman"/>
                <w:sz w:val="18"/>
              </w:rPr>
            </w:pPr>
          </w:p>
        </w:tc>
        <w:tc>
          <w:tcPr>
            <w:tcW w:w="1296" w:type="dxa"/>
            <w:tcBorders>
              <w:top w:val="single" w:sz="4" w:space="0" w:color="000000"/>
            </w:tcBorders>
          </w:tcPr>
          <w:p w14:paraId="0320D1B4" w14:textId="77777777" w:rsidR="00FA4AA8" w:rsidRDefault="00FA4AA8">
            <w:pPr>
              <w:pStyle w:val="TableParagraph"/>
              <w:rPr>
                <w:rFonts w:ascii="Times New Roman"/>
                <w:sz w:val="18"/>
              </w:rPr>
            </w:pPr>
          </w:p>
        </w:tc>
        <w:tc>
          <w:tcPr>
            <w:tcW w:w="168" w:type="dxa"/>
            <w:tcBorders>
              <w:top w:val="single" w:sz="6" w:space="0" w:color="000000"/>
            </w:tcBorders>
          </w:tcPr>
          <w:p w14:paraId="1D198976" w14:textId="77777777" w:rsidR="00FA4AA8" w:rsidRDefault="00FA4AA8">
            <w:pPr>
              <w:pStyle w:val="TableParagraph"/>
              <w:rPr>
                <w:rFonts w:ascii="Times New Roman"/>
                <w:sz w:val="18"/>
              </w:rPr>
            </w:pPr>
          </w:p>
        </w:tc>
        <w:tc>
          <w:tcPr>
            <w:tcW w:w="1488" w:type="dxa"/>
            <w:tcBorders>
              <w:top w:val="single" w:sz="6" w:space="0" w:color="000000"/>
            </w:tcBorders>
          </w:tcPr>
          <w:p w14:paraId="77BB27A4" w14:textId="77777777" w:rsidR="00FA4AA8" w:rsidRDefault="00FA4AA8">
            <w:pPr>
              <w:pStyle w:val="TableParagraph"/>
              <w:rPr>
                <w:rFonts w:ascii="Times New Roman"/>
                <w:sz w:val="18"/>
              </w:rPr>
            </w:pPr>
          </w:p>
        </w:tc>
        <w:tc>
          <w:tcPr>
            <w:tcW w:w="1104" w:type="dxa"/>
            <w:tcBorders>
              <w:top w:val="single" w:sz="6" w:space="0" w:color="000000"/>
            </w:tcBorders>
          </w:tcPr>
          <w:p w14:paraId="61ECC320" w14:textId="77777777" w:rsidR="00FA4AA8" w:rsidRDefault="00FA4AA8">
            <w:pPr>
              <w:pStyle w:val="TableParagraph"/>
              <w:rPr>
                <w:rFonts w:ascii="Times New Roman"/>
                <w:sz w:val="18"/>
              </w:rPr>
            </w:pPr>
          </w:p>
        </w:tc>
      </w:tr>
    </w:tbl>
    <w:p w14:paraId="3CBEDD6F" w14:textId="77777777" w:rsidR="00FA4AA8" w:rsidRDefault="00FA4AA8">
      <w:pPr>
        <w:pStyle w:val="BodyText"/>
        <w:spacing w:before="3"/>
        <w:rPr>
          <w:b/>
          <w:sz w:val="17"/>
        </w:rPr>
      </w:pPr>
    </w:p>
    <w:p w14:paraId="0141CB29" w14:textId="77777777" w:rsidR="00FA4AA8" w:rsidRDefault="007E2441">
      <w:pPr>
        <w:pStyle w:val="BodyText"/>
        <w:spacing w:before="94"/>
        <w:ind w:left="564"/>
      </w:pPr>
      <w:r>
        <w:rPr>
          <w:noProof/>
          <w:lang w:val="en-AU" w:eastAsia="en-AU"/>
        </w:rPr>
        <mc:AlternateContent>
          <mc:Choice Requires="wpg">
            <w:drawing>
              <wp:anchor distT="0" distB="0" distL="114300" distR="114300" simplePos="0" relativeHeight="462726144" behindDoc="1" locked="0" layoutInCell="1" allowOverlap="1" wp14:anchorId="120C6119" wp14:editId="7FF5AF68">
                <wp:simplePos x="0" y="0"/>
                <wp:positionH relativeFrom="page">
                  <wp:posOffset>3424555</wp:posOffset>
                </wp:positionH>
                <wp:positionV relativeFrom="paragraph">
                  <wp:posOffset>-484505</wp:posOffset>
                </wp:positionV>
                <wp:extent cx="2383155" cy="18415"/>
                <wp:effectExtent l="0" t="0" r="0" b="0"/>
                <wp:wrapNone/>
                <wp:docPr id="3210" name="Group 2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3155" cy="18415"/>
                          <a:chOff x="5393" y="-763"/>
                          <a:chExt cx="5520" cy="44"/>
                        </a:xfrm>
                      </wpg:grpSpPr>
                      <wps:wsp>
                        <wps:cNvPr id="3211" name="Line 3016"/>
                        <wps:cNvCnPr>
                          <a:cxnSpLocks noChangeShapeType="1"/>
                        </wps:cNvCnPr>
                        <wps:spPr bwMode="auto">
                          <a:xfrm>
                            <a:off x="5393" y="-762"/>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212" name="Line 3015"/>
                        <wps:cNvCnPr>
                          <a:cxnSpLocks noChangeShapeType="1"/>
                        </wps:cNvCnPr>
                        <wps:spPr bwMode="auto">
                          <a:xfrm>
                            <a:off x="5393" y="-760"/>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213" name="Line 3014"/>
                        <wps:cNvCnPr>
                          <a:cxnSpLocks noChangeShapeType="1"/>
                        </wps:cNvCnPr>
                        <wps:spPr bwMode="auto">
                          <a:xfrm>
                            <a:off x="5393" y="-757"/>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214" name="Line 3013"/>
                        <wps:cNvCnPr>
                          <a:cxnSpLocks noChangeShapeType="1"/>
                        </wps:cNvCnPr>
                        <wps:spPr bwMode="auto">
                          <a:xfrm>
                            <a:off x="5393" y="-755"/>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215" name="Line 3012"/>
                        <wps:cNvCnPr>
                          <a:cxnSpLocks noChangeShapeType="1"/>
                        </wps:cNvCnPr>
                        <wps:spPr bwMode="auto">
                          <a:xfrm>
                            <a:off x="5393" y="-752"/>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216" name="Line 3011"/>
                        <wps:cNvCnPr>
                          <a:cxnSpLocks noChangeShapeType="1"/>
                        </wps:cNvCnPr>
                        <wps:spPr bwMode="auto">
                          <a:xfrm>
                            <a:off x="5393" y="-750"/>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217" name="Line 3010"/>
                        <wps:cNvCnPr>
                          <a:cxnSpLocks noChangeShapeType="1"/>
                        </wps:cNvCnPr>
                        <wps:spPr bwMode="auto">
                          <a:xfrm>
                            <a:off x="5393" y="-728"/>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218" name="Line 3009"/>
                        <wps:cNvCnPr>
                          <a:cxnSpLocks noChangeShapeType="1"/>
                        </wps:cNvCnPr>
                        <wps:spPr bwMode="auto">
                          <a:xfrm>
                            <a:off x="5393" y="-726"/>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219" name="Line 3008"/>
                        <wps:cNvCnPr>
                          <a:cxnSpLocks noChangeShapeType="1"/>
                        </wps:cNvCnPr>
                        <wps:spPr bwMode="auto">
                          <a:xfrm>
                            <a:off x="5393" y="-724"/>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220" name="Line 3007"/>
                        <wps:cNvCnPr>
                          <a:cxnSpLocks noChangeShapeType="1"/>
                        </wps:cNvCnPr>
                        <wps:spPr bwMode="auto">
                          <a:xfrm>
                            <a:off x="5393" y="-721"/>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221" name="Line 3006"/>
                        <wps:cNvCnPr>
                          <a:cxnSpLocks noChangeShapeType="1"/>
                        </wps:cNvCnPr>
                        <wps:spPr bwMode="auto">
                          <a:xfrm>
                            <a:off x="5561" y="-762"/>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222" name="Line 3005"/>
                        <wps:cNvCnPr>
                          <a:cxnSpLocks noChangeShapeType="1"/>
                        </wps:cNvCnPr>
                        <wps:spPr bwMode="auto">
                          <a:xfrm>
                            <a:off x="5561" y="-76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223" name="Line 3004"/>
                        <wps:cNvCnPr>
                          <a:cxnSpLocks noChangeShapeType="1"/>
                        </wps:cNvCnPr>
                        <wps:spPr bwMode="auto">
                          <a:xfrm>
                            <a:off x="5561" y="-757"/>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224" name="Line 3003"/>
                        <wps:cNvCnPr>
                          <a:cxnSpLocks noChangeShapeType="1"/>
                        </wps:cNvCnPr>
                        <wps:spPr bwMode="auto">
                          <a:xfrm>
                            <a:off x="5561" y="-75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225" name="Line 3002"/>
                        <wps:cNvCnPr>
                          <a:cxnSpLocks noChangeShapeType="1"/>
                        </wps:cNvCnPr>
                        <wps:spPr bwMode="auto">
                          <a:xfrm>
                            <a:off x="5561" y="-752"/>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226" name="Line 3001"/>
                        <wps:cNvCnPr>
                          <a:cxnSpLocks noChangeShapeType="1"/>
                        </wps:cNvCnPr>
                        <wps:spPr bwMode="auto">
                          <a:xfrm>
                            <a:off x="5561" y="-75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227" name="Line 3000"/>
                        <wps:cNvCnPr>
                          <a:cxnSpLocks noChangeShapeType="1"/>
                        </wps:cNvCnPr>
                        <wps:spPr bwMode="auto">
                          <a:xfrm>
                            <a:off x="6857" y="-762"/>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228" name="Line 2999"/>
                        <wps:cNvCnPr>
                          <a:cxnSpLocks noChangeShapeType="1"/>
                        </wps:cNvCnPr>
                        <wps:spPr bwMode="auto">
                          <a:xfrm>
                            <a:off x="6857" y="-76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229" name="Line 2998"/>
                        <wps:cNvCnPr>
                          <a:cxnSpLocks noChangeShapeType="1"/>
                        </wps:cNvCnPr>
                        <wps:spPr bwMode="auto">
                          <a:xfrm>
                            <a:off x="6857" y="-757"/>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230" name="Line 2997"/>
                        <wps:cNvCnPr>
                          <a:cxnSpLocks noChangeShapeType="1"/>
                        </wps:cNvCnPr>
                        <wps:spPr bwMode="auto">
                          <a:xfrm>
                            <a:off x="6857" y="-75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231" name="Line 2996"/>
                        <wps:cNvCnPr>
                          <a:cxnSpLocks noChangeShapeType="1"/>
                        </wps:cNvCnPr>
                        <wps:spPr bwMode="auto">
                          <a:xfrm>
                            <a:off x="6857" y="-752"/>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232" name="Line 2995"/>
                        <wps:cNvCnPr>
                          <a:cxnSpLocks noChangeShapeType="1"/>
                        </wps:cNvCnPr>
                        <wps:spPr bwMode="auto">
                          <a:xfrm>
                            <a:off x="6857" y="-75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233" name="Line 2994"/>
                        <wps:cNvCnPr>
                          <a:cxnSpLocks noChangeShapeType="1"/>
                        </wps:cNvCnPr>
                        <wps:spPr bwMode="auto">
                          <a:xfrm>
                            <a:off x="8153" y="-762"/>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234" name="Line 2993"/>
                        <wps:cNvCnPr>
                          <a:cxnSpLocks noChangeShapeType="1"/>
                        </wps:cNvCnPr>
                        <wps:spPr bwMode="auto">
                          <a:xfrm>
                            <a:off x="8153" y="-760"/>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235" name="Line 2992"/>
                        <wps:cNvCnPr>
                          <a:cxnSpLocks noChangeShapeType="1"/>
                        </wps:cNvCnPr>
                        <wps:spPr bwMode="auto">
                          <a:xfrm>
                            <a:off x="8153" y="-757"/>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236" name="Line 2991"/>
                        <wps:cNvCnPr>
                          <a:cxnSpLocks noChangeShapeType="1"/>
                        </wps:cNvCnPr>
                        <wps:spPr bwMode="auto">
                          <a:xfrm>
                            <a:off x="8153" y="-755"/>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237" name="Line 2990"/>
                        <wps:cNvCnPr>
                          <a:cxnSpLocks noChangeShapeType="1"/>
                        </wps:cNvCnPr>
                        <wps:spPr bwMode="auto">
                          <a:xfrm>
                            <a:off x="8153" y="-752"/>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238" name="Line 2989"/>
                        <wps:cNvCnPr>
                          <a:cxnSpLocks noChangeShapeType="1"/>
                        </wps:cNvCnPr>
                        <wps:spPr bwMode="auto">
                          <a:xfrm>
                            <a:off x="8153" y="-750"/>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239" name="Line 2988"/>
                        <wps:cNvCnPr>
                          <a:cxnSpLocks noChangeShapeType="1"/>
                        </wps:cNvCnPr>
                        <wps:spPr bwMode="auto">
                          <a:xfrm>
                            <a:off x="8321" y="-762"/>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240" name="Line 2987"/>
                        <wps:cNvCnPr>
                          <a:cxnSpLocks noChangeShapeType="1"/>
                        </wps:cNvCnPr>
                        <wps:spPr bwMode="auto">
                          <a:xfrm>
                            <a:off x="8321" y="-76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241" name="Line 2986"/>
                        <wps:cNvCnPr>
                          <a:cxnSpLocks noChangeShapeType="1"/>
                        </wps:cNvCnPr>
                        <wps:spPr bwMode="auto">
                          <a:xfrm>
                            <a:off x="8321" y="-757"/>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242" name="Line 2985"/>
                        <wps:cNvCnPr>
                          <a:cxnSpLocks noChangeShapeType="1"/>
                        </wps:cNvCnPr>
                        <wps:spPr bwMode="auto">
                          <a:xfrm>
                            <a:off x="8321" y="-75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243" name="Line 2984"/>
                        <wps:cNvCnPr>
                          <a:cxnSpLocks noChangeShapeType="1"/>
                        </wps:cNvCnPr>
                        <wps:spPr bwMode="auto">
                          <a:xfrm>
                            <a:off x="8321" y="-752"/>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244" name="Line 2983"/>
                        <wps:cNvCnPr>
                          <a:cxnSpLocks noChangeShapeType="1"/>
                        </wps:cNvCnPr>
                        <wps:spPr bwMode="auto">
                          <a:xfrm>
                            <a:off x="8321" y="-75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245" name="Line 2982"/>
                        <wps:cNvCnPr>
                          <a:cxnSpLocks noChangeShapeType="1"/>
                        </wps:cNvCnPr>
                        <wps:spPr bwMode="auto">
                          <a:xfrm>
                            <a:off x="9617" y="-762"/>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246" name="Line 2981"/>
                        <wps:cNvCnPr>
                          <a:cxnSpLocks noChangeShapeType="1"/>
                        </wps:cNvCnPr>
                        <wps:spPr bwMode="auto">
                          <a:xfrm>
                            <a:off x="9617" y="-76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247" name="Line 2980"/>
                        <wps:cNvCnPr>
                          <a:cxnSpLocks noChangeShapeType="1"/>
                        </wps:cNvCnPr>
                        <wps:spPr bwMode="auto">
                          <a:xfrm>
                            <a:off x="9617" y="-757"/>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248" name="Line 2979"/>
                        <wps:cNvCnPr>
                          <a:cxnSpLocks noChangeShapeType="1"/>
                        </wps:cNvCnPr>
                        <wps:spPr bwMode="auto">
                          <a:xfrm>
                            <a:off x="9617" y="-75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249" name="Line 2978"/>
                        <wps:cNvCnPr>
                          <a:cxnSpLocks noChangeShapeType="1"/>
                        </wps:cNvCnPr>
                        <wps:spPr bwMode="auto">
                          <a:xfrm>
                            <a:off x="9617" y="-752"/>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250" name="Line 2977"/>
                        <wps:cNvCnPr>
                          <a:cxnSpLocks noChangeShapeType="1"/>
                        </wps:cNvCnPr>
                        <wps:spPr bwMode="auto">
                          <a:xfrm>
                            <a:off x="9617" y="-75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29B408" id="Group 2976" o:spid="_x0000_s1026" style="position:absolute;margin-left:269.65pt;margin-top:-38.15pt;width:187.65pt;height:1.45pt;z-index:-40590336;mso-position-horizontal-relative:page" coordorigin="5393,-763" coordsize="55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">
                <v:line id="Line 3016" o:spid="_x0000_s1027" style="position:absolute;visibility:visible;mso-wrap-style:square" from="5393,-762" to="5561,-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" strokeweight=".12pt"/>
                <v:line id="Line 3015" o:spid="_x0000_s1028" style="position:absolute;visibility:visible;mso-wrap-style:square" from="5393,-760" to="556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" strokeweight=".12pt"/>
                <v:line id="Line 3014" o:spid="_x0000_s1029" style="position:absolute;visibility:visible;mso-wrap-style:square" from="5393,-757" to="5561,-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" strokeweight=".12pt"/>
                <v:line id="Line 3013" o:spid="_x0000_s1030" style="position:absolute;visibility:visible;mso-wrap-style:square" from="5393,-755" to="5561,-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" strokeweight=".12pt"/>
                <v:line id="Line 3012" o:spid="_x0000_s1031" style="position:absolute;visibility:visible;mso-wrap-style:square" from="5393,-752" to="556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" strokeweight=".12pt"/>
                <v:line id="Line 3011" o:spid="_x0000_s1032" style="position:absolute;visibility:visible;mso-wrap-style:square" from="5393,-750" to="5561,-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" strokeweight=".12pt"/>
                <v:line id="Line 3010" o:spid="_x0000_s1033" style="position:absolute;visibility:visible;mso-wrap-style:square" from="5393,-728" to="5561,-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" strokeweight=".12pt"/>
                <v:line id="Line 3009" o:spid="_x0000_s1034" style="position:absolute;visibility:visible;mso-wrap-style:square" from="5393,-726" to="5561,-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" strokeweight=".12pt"/>
                <v:line id="Line 3008" o:spid="_x0000_s1035" style="position:absolute;visibility:visible;mso-wrap-style:square" from="5393,-724" to="5561,-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" strokeweight=".12pt"/>
                <v:line id="Line 3007" o:spid="_x0000_s1036" style="position:absolute;visibility:visible;mso-wrap-style:square" from="5393,-721" to="5561,-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" strokeweight=".12pt"/>
                <v:line id="Line 3006" o:spid="_x0000_s1037" style="position:absolute;visibility:visible;mso-wrap-style:square" from="5561,-762" to="685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" strokeweight=".12pt"/>
                <v:line id="Line 3005" o:spid="_x0000_s1038" style="position:absolute;visibility:visible;mso-wrap-style:square" from="5561,-760" to="685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" strokeweight=".12pt"/>
                <v:line id="Line 3004" o:spid="_x0000_s1039" style="position:absolute;visibility:visible;mso-wrap-style:square" from="5561,-757" to="6857,-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" strokeweight=".12pt"/>
                <v:line id="Line 3003" o:spid="_x0000_s1040" style="position:absolute;visibility:visible;mso-wrap-style:square" from="5561,-755" to="6857,-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" strokeweight=".12pt"/>
                <v:line id="Line 3002" o:spid="_x0000_s1041" style="position:absolute;visibility:visible;mso-wrap-style:square" from="5561,-752" to="6857,-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" strokeweight=".12pt"/>
                <v:line id="Line 3001" o:spid="_x0000_s1042" style="position:absolute;visibility:visible;mso-wrap-style:square" from="5561,-750" to="6857,-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" strokeweight=".12pt"/>
                <v:line id="Line 3000" o:spid="_x0000_s1043" style="position:absolute;visibility:visible;mso-wrap-style:square" from="6857,-762" to="8153,-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" strokeweight=".12pt"/>
                <v:line id="Line 2999" o:spid="_x0000_s1044" style="position:absolute;visibility:visible;mso-wrap-style:square" from="6857,-760" to="8153,-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" strokeweight=".12pt"/>
                <v:line id="Line 2998" o:spid="_x0000_s1045" style="position:absolute;visibility:visible;mso-wrap-style:square" from="6857,-757" to="8153,-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" strokeweight=".12pt"/>
                <v:line id="Line 2997" o:spid="_x0000_s1046" style="position:absolute;visibility:visible;mso-wrap-style:square" from="6857,-755" to="8153,-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" strokeweight=".12pt"/>
                <v:line id="Line 2996" o:spid="_x0000_s1047" style="position:absolute;visibility:visible;mso-wrap-style:square" from="6857,-752" to="8153,-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" strokeweight=".12pt"/>
                <v:line id="Line 2995" o:spid="_x0000_s1048" style="position:absolute;visibility:visible;mso-wrap-style:square" from="6857,-750" to="8153,-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" strokeweight=".12pt"/>
                <v:line id="Line 2994" o:spid="_x0000_s1049" style="position:absolute;visibility:visible;mso-wrap-style:square" from="8153,-762" to="8321,-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" strokeweight=".12pt"/>
                <v:line id="Line 2993" o:spid="_x0000_s1050" style="position:absolute;visibility:visible;mso-wrap-style:square" from="8153,-760" to="832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" strokeweight=".12pt"/>
                <v:line id="Line 2992" o:spid="_x0000_s1051" style="position:absolute;visibility:visible;mso-wrap-style:square" from="8153,-757" to="8321,-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" strokeweight=".12pt"/>
                <v:line id="Line 2991" o:spid="_x0000_s1052" style="position:absolute;visibility:visible;mso-wrap-style:square" from="8153,-755" to="8321,-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" strokeweight=".12pt"/>
                <v:line id="Line 2990" o:spid="_x0000_s1053" style="position:absolute;visibility:visible;mso-wrap-style:square" from="8153,-752" to="832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" strokeweight=".12pt"/>
                <v:line id="Line 2989" o:spid="_x0000_s1054" style="position:absolute;visibility:visible;mso-wrap-style:square" from="8153,-750" to="8321,-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" strokeweight=".12pt"/>
                <v:line id="Line 2988" o:spid="_x0000_s1055" style="position:absolute;visibility:visible;mso-wrap-style:square" from="8321,-762" to="961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" strokeweight=".12pt"/>
                <v:line id="Line 2987" o:spid="_x0000_s1056" style="position:absolute;visibility:visible;mso-wrap-style:square" from="8321,-760" to="961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" strokeweight=".12pt"/>
                <v:line id="Line 2986" o:spid="_x0000_s1057" style="position:absolute;visibility:visible;mso-wrap-style:square" from="8321,-757" to="9617,-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" strokeweight=".12pt"/>
                <v:line id="Line 2985" o:spid="_x0000_s1058" style="position:absolute;visibility:visible;mso-wrap-style:square" from="8321,-755" to="9617,-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" strokeweight=".12pt"/>
                <v:line id="Line 2984" o:spid="_x0000_s1059" style="position:absolute;visibility:visible;mso-wrap-style:square" from="8321,-752" to="9617,-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" strokeweight=".12pt"/>
                <v:line id="Line 2983" o:spid="_x0000_s1060" style="position:absolute;visibility:visible;mso-wrap-style:square" from="8321,-750" to="9617,-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" strokeweight=".12pt"/>
                <v:line id="Line 2982" o:spid="_x0000_s1061" style="position:absolute;visibility:visible;mso-wrap-style:square" from="9617,-762" to="10913,-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" strokeweight=".12pt"/>
                <v:line id="Line 2981" o:spid="_x0000_s1062" style="position:absolute;visibility:visible;mso-wrap-style:square" from="9617,-760" to="10913,-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" strokeweight=".12pt"/>
                <v:line id="Line 2980" o:spid="_x0000_s1063" style="position:absolute;visibility:visible;mso-wrap-style:square" from="9617,-757" to="10913,-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" strokeweight=".12pt"/>
                <v:line id="Line 2979" o:spid="_x0000_s1064" style="position:absolute;visibility:visible;mso-wrap-style:square" from="9617,-755" to="10913,-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" strokeweight=".12pt"/>
                <v:line id="Line 2978" o:spid="_x0000_s1065" style="position:absolute;visibility:visible;mso-wrap-style:square" from="9617,-752" to="10913,-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" strokeweight=".12pt"/>
                <v:line id="Line 2977" o:spid="_x0000_s1066" style="position:absolute;visibility:visible;mso-wrap-style:square" from="9617,-750" to="10913,-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" strokeweight=".12pt"/>
                <w10:wrap anchorx="page"/>
              </v:group>
            </w:pict>
          </mc:Fallback>
        </mc:AlternateContent>
      </w:r>
      <w:bookmarkStart w:id="24" w:name="6_Consultancy_and_contracts_"/>
      <w:bookmarkEnd w:id="24"/>
      <w:r w:rsidR="0015611F">
        <w:t>Revenue is recognised as the interest income is recorded using the effective interest method. Dividend revenue is recognised when the dividend is declared and the right to receive payment is established.</w:t>
      </w:r>
    </w:p>
    <w:p w14:paraId="541BA395" w14:textId="77777777" w:rsidR="00FA4AA8" w:rsidRDefault="00FA4AA8">
      <w:pPr>
        <w:pStyle w:val="BodyText"/>
        <w:spacing w:before="11"/>
        <w:rPr>
          <w:sz w:val="24"/>
        </w:rPr>
      </w:pPr>
    </w:p>
    <w:p w14:paraId="435F741B" w14:textId="77777777" w:rsidR="00FA4AA8" w:rsidRDefault="0015611F">
      <w:pPr>
        <w:pStyle w:val="BodyText"/>
        <w:ind w:left="564"/>
      </w:pPr>
      <w:r>
        <w:t>All other material revenue is accounted for on an accrual basis.</w:t>
      </w:r>
    </w:p>
    <w:p w14:paraId="3FF6011B" w14:textId="77777777" w:rsidR="00FA4AA8" w:rsidRDefault="00FA4AA8">
      <w:pPr>
        <w:pStyle w:val="BodyText"/>
        <w:spacing w:before="9"/>
        <w:rPr>
          <w:sz w:val="16"/>
        </w:rPr>
      </w:pPr>
    </w:p>
    <w:p w14:paraId="5B9545B8" w14:textId="77777777" w:rsidR="00FA4AA8" w:rsidRDefault="0015611F">
      <w:pPr>
        <w:numPr>
          <w:ilvl w:val="0"/>
          <w:numId w:val="105"/>
        </w:numPr>
        <w:tabs>
          <w:tab w:val="left" w:pos="563"/>
          <w:tab w:val="left" w:pos="564"/>
        </w:tabs>
        <w:spacing w:before="94"/>
        <w:ind w:hanging="397"/>
        <w:rPr>
          <w:b/>
          <w:sz w:val="18"/>
        </w:rPr>
      </w:pPr>
      <w:r>
        <w:rPr>
          <w:b/>
          <w:sz w:val="18"/>
        </w:rPr>
        <w:t>Consultancy and</w:t>
      </w:r>
      <w:r>
        <w:rPr>
          <w:b/>
          <w:spacing w:val="-9"/>
          <w:sz w:val="18"/>
        </w:rPr>
        <w:t xml:space="preserve"> </w:t>
      </w:r>
      <w:r>
        <w:rPr>
          <w:b/>
          <w:sz w:val="18"/>
        </w:rPr>
        <w:t>contracts</w:t>
      </w:r>
    </w:p>
    <w:p w14:paraId="08A086AE" w14:textId="77777777" w:rsidR="00FA4AA8" w:rsidRDefault="0015611F">
      <w:pPr>
        <w:tabs>
          <w:tab w:val="left" w:pos="8426"/>
        </w:tabs>
        <w:spacing w:before="33"/>
        <w:ind w:left="5376"/>
        <w:rPr>
          <w:b/>
          <w:sz w:val="18"/>
        </w:rPr>
      </w:pPr>
      <w:r>
        <w:rPr>
          <w:b/>
          <w:sz w:val="18"/>
        </w:rPr>
        <w:t>Consolidated</w:t>
      </w:r>
      <w:r>
        <w:rPr>
          <w:b/>
          <w:sz w:val="18"/>
        </w:rPr>
        <w:tab/>
        <w:t>Parent</w:t>
      </w:r>
    </w:p>
    <w:p w14:paraId="115B64BB" w14:textId="77777777" w:rsidR="00FA4AA8" w:rsidRDefault="00FA4AA8">
      <w:pPr>
        <w:pStyle w:val="BodyText"/>
        <w:spacing w:before="4"/>
        <w:rPr>
          <w:b/>
          <w:sz w:val="6"/>
        </w:rPr>
      </w:pPr>
    </w:p>
    <w:tbl>
      <w:tblPr>
        <w:tblW w:w="0" w:type="auto"/>
        <w:tblInd w:w="521" w:type="dxa"/>
        <w:tblLayout w:type="fixed"/>
        <w:tblCellMar>
          <w:left w:w="0" w:type="dxa"/>
          <w:right w:w="0" w:type="dxa"/>
        </w:tblCellMar>
        <w:tblLook w:val="01E0" w:firstRow="1" w:lastRow="1" w:firstColumn="1" w:lastColumn="1" w:noHBand="0" w:noVBand="0"/>
      </w:tblPr>
      <w:tblGrid>
        <w:gridCol w:w="4039"/>
        <w:gridCol w:w="1626"/>
        <w:gridCol w:w="1380"/>
        <w:gridCol w:w="1380"/>
        <w:gridCol w:w="1134"/>
      </w:tblGrid>
      <w:tr w:rsidR="00FA4AA8" w14:paraId="23BC8C8A" w14:textId="77777777">
        <w:trPr>
          <w:trHeight w:val="237"/>
        </w:trPr>
        <w:tc>
          <w:tcPr>
            <w:tcW w:w="4039" w:type="dxa"/>
            <w:vMerge w:val="restart"/>
          </w:tcPr>
          <w:p w14:paraId="7A341127" w14:textId="77777777" w:rsidR="00FA4AA8" w:rsidRDefault="00FA4AA8">
            <w:pPr>
              <w:pStyle w:val="TableParagraph"/>
              <w:rPr>
                <w:rFonts w:ascii="Times New Roman"/>
                <w:sz w:val="18"/>
              </w:rPr>
            </w:pPr>
          </w:p>
        </w:tc>
        <w:tc>
          <w:tcPr>
            <w:tcW w:w="1626" w:type="dxa"/>
          </w:tcPr>
          <w:p w14:paraId="3A83005A" w14:textId="77777777" w:rsidR="00FA4AA8" w:rsidRDefault="0015611F">
            <w:pPr>
              <w:pStyle w:val="TableParagraph"/>
              <w:spacing w:line="201" w:lineRule="exact"/>
              <w:ind w:left="599"/>
              <w:rPr>
                <w:b/>
                <w:sz w:val="18"/>
              </w:rPr>
            </w:pPr>
            <w:r>
              <w:rPr>
                <w:b/>
                <w:sz w:val="18"/>
              </w:rPr>
              <w:t>2018</w:t>
            </w:r>
          </w:p>
        </w:tc>
        <w:tc>
          <w:tcPr>
            <w:tcW w:w="1380" w:type="dxa"/>
          </w:tcPr>
          <w:p w14:paraId="4EB147D9" w14:textId="77777777" w:rsidR="00FA4AA8" w:rsidRDefault="0015611F">
            <w:pPr>
              <w:pStyle w:val="TableParagraph"/>
              <w:spacing w:line="201" w:lineRule="exact"/>
              <w:ind w:left="269"/>
              <w:rPr>
                <w:b/>
                <w:sz w:val="18"/>
              </w:rPr>
            </w:pPr>
            <w:r>
              <w:rPr>
                <w:b/>
                <w:sz w:val="18"/>
              </w:rPr>
              <w:t>2017</w:t>
            </w:r>
          </w:p>
        </w:tc>
        <w:tc>
          <w:tcPr>
            <w:tcW w:w="1380" w:type="dxa"/>
          </w:tcPr>
          <w:p w14:paraId="021E30CB" w14:textId="77777777" w:rsidR="00FA4AA8" w:rsidRDefault="0015611F">
            <w:pPr>
              <w:pStyle w:val="TableParagraph"/>
              <w:spacing w:line="201" w:lineRule="exact"/>
              <w:ind w:left="353"/>
              <w:rPr>
                <w:b/>
                <w:sz w:val="18"/>
              </w:rPr>
            </w:pPr>
            <w:r>
              <w:rPr>
                <w:b/>
                <w:sz w:val="18"/>
              </w:rPr>
              <w:t>2018</w:t>
            </w:r>
          </w:p>
        </w:tc>
        <w:tc>
          <w:tcPr>
            <w:tcW w:w="1134" w:type="dxa"/>
          </w:tcPr>
          <w:p w14:paraId="5B4290DE" w14:textId="77777777" w:rsidR="00FA4AA8" w:rsidRDefault="0015611F">
            <w:pPr>
              <w:pStyle w:val="TableParagraph"/>
              <w:spacing w:line="201" w:lineRule="exact"/>
              <w:ind w:left="269"/>
              <w:rPr>
                <w:b/>
                <w:sz w:val="18"/>
              </w:rPr>
            </w:pPr>
            <w:r>
              <w:rPr>
                <w:b/>
                <w:sz w:val="18"/>
              </w:rPr>
              <w:t>2017</w:t>
            </w:r>
          </w:p>
        </w:tc>
      </w:tr>
      <w:tr w:rsidR="00FA4AA8" w14:paraId="64139CAA" w14:textId="77777777">
        <w:trPr>
          <w:trHeight w:val="271"/>
        </w:trPr>
        <w:tc>
          <w:tcPr>
            <w:tcW w:w="4039" w:type="dxa"/>
            <w:vMerge/>
            <w:tcBorders>
              <w:top w:val="nil"/>
            </w:tcBorders>
          </w:tcPr>
          <w:p w14:paraId="1368463A" w14:textId="77777777" w:rsidR="00FA4AA8" w:rsidRDefault="00FA4AA8">
            <w:pPr>
              <w:rPr>
                <w:sz w:val="2"/>
                <w:szCs w:val="2"/>
              </w:rPr>
            </w:pPr>
          </w:p>
        </w:tc>
        <w:tc>
          <w:tcPr>
            <w:tcW w:w="1626" w:type="dxa"/>
          </w:tcPr>
          <w:p w14:paraId="225AEC79" w14:textId="77777777" w:rsidR="00FA4AA8" w:rsidRDefault="0015611F">
            <w:pPr>
              <w:pStyle w:val="TableParagraph"/>
              <w:spacing w:before="30"/>
              <w:ind w:left="578"/>
              <w:rPr>
                <w:b/>
                <w:sz w:val="18"/>
              </w:rPr>
            </w:pPr>
            <w:r>
              <w:rPr>
                <w:b/>
                <w:sz w:val="18"/>
              </w:rPr>
              <w:t>$'000</w:t>
            </w:r>
          </w:p>
        </w:tc>
        <w:tc>
          <w:tcPr>
            <w:tcW w:w="1380" w:type="dxa"/>
          </w:tcPr>
          <w:p w14:paraId="152EA9CA" w14:textId="77777777" w:rsidR="00FA4AA8" w:rsidRDefault="0015611F">
            <w:pPr>
              <w:pStyle w:val="TableParagraph"/>
              <w:spacing w:before="30"/>
              <w:ind w:left="248"/>
              <w:rPr>
                <w:b/>
                <w:sz w:val="18"/>
              </w:rPr>
            </w:pPr>
            <w:r>
              <w:rPr>
                <w:b/>
                <w:sz w:val="18"/>
              </w:rPr>
              <w:t>$'000</w:t>
            </w:r>
          </w:p>
        </w:tc>
        <w:tc>
          <w:tcPr>
            <w:tcW w:w="1380" w:type="dxa"/>
          </w:tcPr>
          <w:p w14:paraId="3A3456F7" w14:textId="77777777" w:rsidR="00FA4AA8" w:rsidRDefault="0015611F">
            <w:pPr>
              <w:pStyle w:val="TableParagraph"/>
              <w:spacing w:before="30"/>
              <w:ind w:left="332"/>
              <w:rPr>
                <w:b/>
                <w:sz w:val="18"/>
              </w:rPr>
            </w:pPr>
            <w:r>
              <w:rPr>
                <w:b/>
                <w:sz w:val="18"/>
              </w:rPr>
              <w:t>$'000</w:t>
            </w:r>
          </w:p>
        </w:tc>
        <w:tc>
          <w:tcPr>
            <w:tcW w:w="1134" w:type="dxa"/>
          </w:tcPr>
          <w:p w14:paraId="04F91E7F" w14:textId="77777777" w:rsidR="00FA4AA8" w:rsidRDefault="0015611F">
            <w:pPr>
              <w:pStyle w:val="TableParagraph"/>
              <w:spacing w:before="30"/>
              <w:ind w:left="248"/>
              <w:rPr>
                <w:b/>
                <w:sz w:val="18"/>
              </w:rPr>
            </w:pPr>
            <w:r>
              <w:rPr>
                <w:b/>
                <w:sz w:val="18"/>
              </w:rPr>
              <w:t>$'000</w:t>
            </w:r>
          </w:p>
        </w:tc>
      </w:tr>
      <w:tr w:rsidR="00FA4AA8" w14:paraId="3C44D662" w14:textId="77777777">
        <w:trPr>
          <w:trHeight w:val="267"/>
        </w:trPr>
        <w:tc>
          <w:tcPr>
            <w:tcW w:w="4039" w:type="dxa"/>
          </w:tcPr>
          <w:p w14:paraId="5F6E1E3E" w14:textId="77777777" w:rsidR="00FA4AA8" w:rsidRDefault="0015611F">
            <w:pPr>
              <w:pStyle w:val="TableParagraph"/>
              <w:spacing w:before="30"/>
              <w:ind w:left="76"/>
              <w:rPr>
                <w:sz w:val="18"/>
              </w:rPr>
            </w:pPr>
            <w:r>
              <w:rPr>
                <w:sz w:val="18"/>
              </w:rPr>
              <w:t>Consultancy</w:t>
            </w:r>
          </w:p>
        </w:tc>
        <w:tc>
          <w:tcPr>
            <w:tcW w:w="1626" w:type="dxa"/>
          </w:tcPr>
          <w:p w14:paraId="1E8B0D5D" w14:textId="77777777" w:rsidR="00FA4AA8" w:rsidRDefault="0015611F">
            <w:pPr>
              <w:pStyle w:val="TableParagraph"/>
              <w:spacing w:before="28"/>
              <w:ind w:right="246"/>
              <w:jc w:val="right"/>
              <w:rPr>
                <w:b/>
                <w:sz w:val="18"/>
              </w:rPr>
            </w:pPr>
            <w:r>
              <w:rPr>
                <w:b/>
                <w:sz w:val="18"/>
              </w:rPr>
              <w:t>1,649</w:t>
            </w:r>
          </w:p>
        </w:tc>
        <w:tc>
          <w:tcPr>
            <w:tcW w:w="1380" w:type="dxa"/>
          </w:tcPr>
          <w:p w14:paraId="578C5E48" w14:textId="77777777" w:rsidR="00FA4AA8" w:rsidRDefault="0015611F">
            <w:pPr>
              <w:pStyle w:val="TableParagraph"/>
              <w:spacing w:before="28"/>
              <w:ind w:right="330"/>
              <w:jc w:val="right"/>
              <w:rPr>
                <w:sz w:val="18"/>
              </w:rPr>
            </w:pPr>
            <w:r>
              <w:rPr>
                <w:sz w:val="18"/>
              </w:rPr>
              <w:t>2,881</w:t>
            </w:r>
          </w:p>
        </w:tc>
        <w:tc>
          <w:tcPr>
            <w:tcW w:w="1380" w:type="dxa"/>
          </w:tcPr>
          <w:p w14:paraId="3F09E485" w14:textId="77777777" w:rsidR="00FA4AA8" w:rsidRDefault="0015611F">
            <w:pPr>
              <w:pStyle w:val="TableParagraph"/>
              <w:spacing w:before="28"/>
              <w:ind w:right="246"/>
              <w:jc w:val="right"/>
              <w:rPr>
                <w:b/>
                <w:sz w:val="18"/>
              </w:rPr>
            </w:pPr>
            <w:r>
              <w:rPr>
                <w:b/>
                <w:sz w:val="18"/>
              </w:rPr>
              <w:t>1,641</w:t>
            </w:r>
          </w:p>
        </w:tc>
        <w:tc>
          <w:tcPr>
            <w:tcW w:w="1134" w:type="dxa"/>
          </w:tcPr>
          <w:p w14:paraId="79909F86" w14:textId="77777777" w:rsidR="00FA4AA8" w:rsidRDefault="0015611F">
            <w:pPr>
              <w:pStyle w:val="TableParagraph"/>
              <w:spacing w:before="28"/>
              <w:ind w:right="84"/>
              <w:jc w:val="right"/>
              <w:rPr>
                <w:sz w:val="18"/>
              </w:rPr>
            </w:pPr>
            <w:r>
              <w:rPr>
                <w:sz w:val="18"/>
              </w:rPr>
              <w:t>2,875</w:t>
            </w:r>
          </w:p>
        </w:tc>
      </w:tr>
      <w:tr w:rsidR="00FA4AA8" w14:paraId="6924FD22" w14:textId="77777777">
        <w:trPr>
          <w:trHeight w:val="256"/>
        </w:trPr>
        <w:tc>
          <w:tcPr>
            <w:tcW w:w="4039" w:type="dxa"/>
          </w:tcPr>
          <w:p w14:paraId="37E14D70" w14:textId="77777777" w:rsidR="00FA4AA8" w:rsidRDefault="0015611F">
            <w:pPr>
              <w:pStyle w:val="TableParagraph"/>
              <w:spacing w:before="26"/>
              <w:ind w:left="76"/>
              <w:rPr>
                <w:sz w:val="18"/>
              </w:rPr>
            </w:pPr>
            <w:r>
              <w:rPr>
                <w:sz w:val="18"/>
              </w:rPr>
              <w:t>Contract research</w:t>
            </w:r>
          </w:p>
        </w:tc>
        <w:tc>
          <w:tcPr>
            <w:tcW w:w="1626" w:type="dxa"/>
            <w:tcBorders>
              <w:bottom w:val="single" w:sz="8" w:space="0" w:color="000000"/>
            </w:tcBorders>
          </w:tcPr>
          <w:p w14:paraId="59648160" w14:textId="77777777" w:rsidR="00FA4AA8" w:rsidRDefault="0015611F">
            <w:pPr>
              <w:pStyle w:val="TableParagraph"/>
              <w:spacing w:before="24"/>
              <w:ind w:right="246"/>
              <w:jc w:val="right"/>
              <w:rPr>
                <w:b/>
                <w:sz w:val="18"/>
              </w:rPr>
            </w:pPr>
            <w:r>
              <w:rPr>
                <w:b/>
                <w:sz w:val="18"/>
              </w:rPr>
              <w:t>23,693</w:t>
            </w:r>
          </w:p>
        </w:tc>
        <w:tc>
          <w:tcPr>
            <w:tcW w:w="1380" w:type="dxa"/>
            <w:tcBorders>
              <w:bottom w:val="single" w:sz="8" w:space="0" w:color="000000"/>
            </w:tcBorders>
          </w:tcPr>
          <w:p w14:paraId="7FC428D9" w14:textId="77777777" w:rsidR="00FA4AA8" w:rsidRDefault="0015611F">
            <w:pPr>
              <w:pStyle w:val="TableParagraph"/>
              <w:spacing w:before="24"/>
              <w:ind w:right="330"/>
              <w:jc w:val="right"/>
              <w:rPr>
                <w:sz w:val="18"/>
              </w:rPr>
            </w:pPr>
            <w:r>
              <w:rPr>
                <w:sz w:val="18"/>
              </w:rPr>
              <w:t>20,193</w:t>
            </w:r>
          </w:p>
        </w:tc>
        <w:tc>
          <w:tcPr>
            <w:tcW w:w="1380" w:type="dxa"/>
            <w:tcBorders>
              <w:bottom w:val="single" w:sz="8" w:space="0" w:color="000000"/>
            </w:tcBorders>
          </w:tcPr>
          <w:p w14:paraId="235FF908" w14:textId="77777777" w:rsidR="00FA4AA8" w:rsidRDefault="0015611F">
            <w:pPr>
              <w:pStyle w:val="TableParagraph"/>
              <w:spacing w:before="24"/>
              <w:ind w:right="246"/>
              <w:jc w:val="right"/>
              <w:rPr>
                <w:b/>
                <w:sz w:val="18"/>
              </w:rPr>
            </w:pPr>
            <w:r>
              <w:rPr>
                <w:b/>
                <w:sz w:val="18"/>
              </w:rPr>
              <w:t>23,693</w:t>
            </w:r>
          </w:p>
        </w:tc>
        <w:tc>
          <w:tcPr>
            <w:tcW w:w="1134" w:type="dxa"/>
            <w:tcBorders>
              <w:bottom w:val="single" w:sz="8" w:space="0" w:color="000000"/>
            </w:tcBorders>
          </w:tcPr>
          <w:p w14:paraId="33E16679" w14:textId="77777777" w:rsidR="00FA4AA8" w:rsidRDefault="0015611F">
            <w:pPr>
              <w:pStyle w:val="TableParagraph"/>
              <w:spacing w:before="24"/>
              <w:ind w:right="84"/>
              <w:jc w:val="right"/>
              <w:rPr>
                <w:sz w:val="18"/>
              </w:rPr>
            </w:pPr>
            <w:r>
              <w:rPr>
                <w:sz w:val="18"/>
              </w:rPr>
              <w:t>20,193</w:t>
            </w:r>
          </w:p>
        </w:tc>
      </w:tr>
      <w:tr w:rsidR="00FA4AA8" w14:paraId="6EAFE310" w14:textId="77777777">
        <w:trPr>
          <w:trHeight w:val="320"/>
        </w:trPr>
        <w:tc>
          <w:tcPr>
            <w:tcW w:w="4039" w:type="dxa"/>
          </w:tcPr>
          <w:p w14:paraId="4B0FDEA3" w14:textId="77777777" w:rsidR="00FA4AA8" w:rsidRDefault="0015611F">
            <w:pPr>
              <w:pStyle w:val="TableParagraph"/>
              <w:spacing w:before="115" w:line="185" w:lineRule="exact"/>
              <w:ind w:left="76"/>
              <w:rPr>
                <w:b/>
                <w:sz w:val="18"/>
              </w:rPr>
            </w:pPr>
            <w:r>
              <w:rPr>
                <w:b/>
                <w:sz w:val="18"/>
              </w:rPr>
              <w:t>Total consultancy and contracts</w:t>
            </w:r>
          </w:p>
        </w:tc>
        <w:tc>
          <w:tcPr>
            <w:tcW w:w="1626" w:type="dxa"/>
            <w:tcBorders>
              <w:top w:val="single" w:sz="8" w:space="0" w:color="000000"/>
              <w:bottom w:val="double" w:sz="2" w:space="0" w:color="000000"/>
            </w:tcBorders>
          </w:tcPr>
          <w:p w14:paraId="3ADCF286" w14:textId="77777777" w:rsidR="00FA4AA8" w:rsidRDefault="0015611F">
            <w:pPr>
              <w:pStyle w:val="TableParagraph"/>
              <w:spacing w:before="86"/>
              <w:ind w:right="246"/>
              <w:jc w:val="right"/>
              <w:rPr>
                <w:b/>
                <w:sz w:val="18"/>
              </w:rPr>
            </w:pPr>
            <w:r>
              <w:rPr>
                <w:b/>
                <w:sz w:val="18"/>
              </w:rPr>
              <w:t>25,342</w:t>
            </w:r>
          </w:p>
        </w:tc>
        <w:tc>
          <w:tcPr>
            <w:tcW w:w="1380" w:type="dxa"/>
            <w:tcBorders>
              <w:top w:val="single" w:sz="8" w:space="0" w:color="000000"/>
              <w:bottom w:val="double" w:sz="2" w:space="0" w:color="000000"/>
            </w:tcBorders>
          </w:tcPr>
          <w:p w14:paraId="4950DA51" w14:textId="77777777" w:rsidR="00FA4AA8" w:rsidRDefault="0015611F">
            <w:pPr>
              <w:pStyle w:val="TableParagraph"/>
              <w:spacing w:before="86"/>
              <w:ind w:right="330"/>
              <w:jc w:val="right"/>
              <w:rPr>
                <w:sz w:val="18"/>
              </w:rPr>
            </w:pPr>
            <w:r>
              <w:rPr>
                <w:sz w:val="18"/>
              </w:rPr>
              <w:t>23,074</w:t>
            </w:r>
          </w:p>
        </w:tc>
        <w:tc>
          <w:tcPr>
            <w:tcW w:w="1380" w:type="dxa"/>
            <w:tcBorders>
              <w:top w:val="single" w:sz="8" w:space="0" w:color="000000"/>
              <w:bottom w:val="double" w:sz="2" w:space="0" w:color="000000"/>
            </w:tcBorders>
          </w:tcPr>
          <w:p w14:paraId="3DD434E3" w14:textId="77777777" w:rsidR="00FA4AA8" w:rsidRDefault="0015611F">
            <w:pPr>
              <w:pStyle w:val="TableParagraph"/>
              <w:spacing w:before="86"/>
              <w:ind w:right="246"/>
              <w:jc w:val="right"/>
              <w:rPr>
                <w:b/>
                <w:sz w:val="18"/>
              </w:rPr>
            </w:pPr>
            <w:r>
              <w:rPr>
                <w:b/>
                <w:sz w:val="18"/>
              </w:rPr>
              <w:t>25,334</w:t>
            </w:r>
          </w:p>
        </w:tc>
        <w:tc>
          <w:tcPr>
            <w:tcW w:w="1134" w:type="dxa"/>
            <w:tcBorders>
              <w:top w:val="single" w:sz="8" w:space="0" w:color="000000"/>
              <w:bottom w:val="double" w:sz="2" w:space="0" w:color="000000"/>
            </w:tcBorders>
          </w:tcPr>
          <w:p w14:paraId="10FDABAE" w14:textId="77777777" w:rsidR="00FA4AA8" w:rsidRDefault="0015611F">
            <w:pPr>
              <w:pStyle w:val="TableParagraph"/>
              <w:spacing w:before="86"/>
              <w:ind w:right="84"/>
              <w:jc w:val="right"/>
              <w:rPr>
                <w:sz w:val="18"/>
              </w:rPr>
            </w:pPr>
            <w:r>
              <w:rPr>
                <w:sz w:val="18"/>
              </w:rPr>
              <w:t>23,068</w:t>
            </w:r>
          </w:p>
        </w:tc>
      </w:tr>
      <w:tr w:rsidR="00FA4AA8" w14:paraId="4A21CACF" w14:textId="77777777">
        <w:trPr>
          <w:trHeight w:val="518"/>
        </w:trPr>
        <w:tc>
          <w:tcPr>
            <w:tcW w:w="4039" w:type="dxa"/>
          </w:tcPr>
          <w:p w14:paraId="6CA6C722" w14:textId="77777777" w:rsidR="00FA4AA8" w:rsidRDefault="00FA4AA8">
            <w:pPr>
              <w:pStyle w:val="TableParagraph"/>
              <w:rPr>
                <w:b/>
                <w:sz w:val="27"/>
              </w:rPr>
            </w:pPr>
          </w:p>
          <w:p w14:paraId="553259F6" w14:textId="77777777" w:rsidR="00FA4AA8" w:rsidRDefault="0015611F">
            <w:pPr>
              <w:pStyle w:val="TableParagraph"/>
              <w:spacing w:before="1" w:line="187" w:lineRule="exact"/>
              <w:ind w:left="50"/>
              <w:rPr>
                <w:i/>
                <w:sz w:val="18"/>
              </w:rPr>
            </w:pPr>
            <w:r>
              <w:rPr>
                <w:i/>
                <w:sz w:val="18"/>
                <w:u w:val="single"/>
              </w:rPr>
              <w:t>Accounting Policy</w:t>
            </w:r>
          </w:p>
        </w:tc>
        <w:tc>
          <w:tcPr>
            <w:tcW w:w="1626" w:type="dxa"/>
            <w:tcBorders>
              <w:top w:val="double" w:sz="2" w:space="0" w:color="000000"/>
            </w:tcBorders>
          </w:tcPr>
          <w:p w14:paraId="07B220E4" w14:textId="77777777" w:rsidR="00FA4AA8" w:rsidRDefault="00FA4AA8">
            <w:pPr>
              <w:pStyle w:val="TableParagraph"/>
              <w:rPr>
                <w:rFonts w:ascii="Times New Roman"/>
                <w:sz w:val="18"/>
              </w:rPr>
            </w:pPr>
          </w:p>
        </w:tc>
        <w:tc>
          <w:tcPr>
            <w:tcW w:w="1380" w:type="dxa"/>
            <w:tcBorders>
              <w:top w:val="double" w:sz="2" w:space="0" w:color="000000"/>
            </w:tcBorders>
          </w:tcPr>
          <w:p w14:paraId="57A47B3B" w14:textId="77777777" w:rsidR="00FA4AA8" w:rsidRDefault="00FA4AA8">
            <w:pPr>
              <w:pStyle w:val="TableParagraph"/>
              <w:rPr>
                <w:rFonts w:ascii="Times New Roman"/>
                <w:sz w:val="18"/>
              </w:rPr>
            </w:pPr>
          </w:p>
        </w:tc>
        <w:tc>
          <w:tcPr>
            <w:tcW w:w="1380" w:type="dxa"/>
            <w:tcBorders>
              <w:top w:val="double" w:sz="2" w:space="0" w:color="000000"/>
            </w:tcBorders>
          </w:tcPr>
          <w:p w14:paraId="5C186D4F" w14:textId="77777777" w:rsidR="00FA4AA8" w:rsidRDefault="00FA4AA8">
            <w:pPr>
              <w:pStyle w:val="TableParagraph"/>
              <w:rPr>
                <w:rFonts w:ascii="Times New Roman"/>
                <w:sz w:val="18"/>
              </w:rPr>
            </w:pPr>
          </w:p>
        </w:tc>
        <w:tc>
          <w:tcPr>
            <w:tcW w:w="1134" w:type="dxa"/>
            <w:tcBorders>
              <w:top w:val="double" w:sz="2" w:space="0" w:color="000000"/>
            </w:tcBorders>
          </w:tcPr>
          <w:p w14:paraId="3026589A" w14:textId="77777777" w:rsidR="00FA4AA8" w:rsidRDefault="00FA4AA8">
            <w:pPr>
              <w:pStyle w:val="TableParagraph"/>
              <w:rPr>
                <w:rFonts w:ascii="Times New Roman"/>
                <w:sz w:val="18"/>
              </w:rPr>
            </w:pPr>
          </w:p>
        </w:tc>
      </w:tr>
    </w:tbl>
    <w:p w14:paraId="0D6E5041" w14:textId="77777777" w:rsidR="00FA4AA8" w:rsidRDefault="00FA4AA8">
      <w:pPr>
        <w:pStyle w:val="BodyText"/>
        <w:spacing w:before="2"/>
        <w:rPr>
          <w:b/>
          <w:sz w:val="17"/>
        </w:rPr>
      </w:pPr>
    </w:p>
    <w:p w14:paraId="5C09740D" w14:textId="77777777" w:rsidR="00FA4AA8" w:rsidRDefault="0015611F">
      <w:pPr>
        <w:pStyle w:val="BodyText"/>
        <w:spacing w:before="95"/>
        <w:ind w:left="564" w:right="256"/>
      </w:pPr>
      <w:r>
        <w:t>Contract revenue is recognised in accordance with the percentage of completion method. The stage of completion is measured by reference to labour hours incurred to date as a percentage of estimated total labour hours for each contract.</w:t>
      </w:r>
    </w:p>
    <w:p w14:paraId="71B5F787" w14:textId="77777777" w:rsidR="00FA4AA8" w:rsidRDefault="00FA4AA8">
      <w:pPr>
        <w:sectPr w:rsidR="00FA4AA8">
          <w:pgSz w:w="11910" w:h="16840"/>
          <w:pgMar w:top="2220" w:right="840" w:bottom="720" w:left="840" w:header="1016" w:footer="523" w:gutter="0"/>
          <w:cols w:space="720"/>
        </w:sectPr>
      </w:pPr>
    </w:p>
    <w:p w14:paraId="6CE5E9F4" w14:textId="77777777" w:rsidR="00FA4AA8" w:rsidRDefault="00FA4AA8">
      <w:pPr>
        <w:pStyle w:val="BodyText"/>
        <w:rPr>
          <w:sz w:val="20"/>
        </w:rPr>
      </w:pPr>
    </w:p>
    <w:p w14:paraId="4B4D35D8" w14:textId="77777777" w:rsidR="00FA4AA8" w:rsidRDefault="00FA4AA8">
      <w:pPr>
        <w:pStyle w:val="BodyText"/>
        <w:spacing w:before="10"/>
        <w:rPr>
          <w:sz w:val="29"/>
        </w:rPr>
      </w:pPr>
    </w:p>
    <w:p w14:paraId="6C177137" w14:textId="77777777" w:rsidR="00FA4AA8" w:rsidRDefault="0015611F">
      <w:pPr>
        <w:numPr>
          <w:ilvl w:val="0"/>
          <w:numId w:val="105"/>
        </w:numPr>
        <w:tabs>
          <w:tab w:val="left" w:pos="563"/>
          <w:tab w:val="left" w:pos="564"/>
        </w:tabs>
        <w:spacing w:before="94"/>
        <w:ind w:hanging="397"/>
        <w:rPr>
          <w:b/>
          <w:sz w:val="18"/>
        </w:rPr>
      </w:pPr>
      <w:bookmarkStart w:id="25" w:name="7_Investments_accounted_for_using_the_eq"/>
      <w:bookmarkStart w:id="26" w:name="(a)_Restrictions"/>
      <w:bookmarkStart w:id="27" w:name="(b)_Individually_immaterial_joint_ventur"/>
      <w:bookmarkEnd w:id="25"/>
      <w:bookmarkEnd w:id="26"/>
      <w:bookmarkEnd w:id="27"/>
      <w:r>
        <w:rPr>
          <w:b/>
          <w:sz w:val="18"/>
        </w:rPr>
        <w:t>Investments accounted for using the equity</w:t>
      </w:r>
      <w:r>
        <w:rPr>
          <w:b/>
          <w:spacing w:val="-9"/>
          <w:sz w:val="18"/>
        </w:rPr>
        <w:t xml:space="preserve"> </w:t>
      </w:r>
      <w:r>
        <w:rPr>
          <w:b/>
          <w:sz w:val="18"/>
        </w:rPr>
        <w:t>method</w:t>
      </w:r>
    </w:p>
    <w:p w14:paraId="5A5F2B56" w14:textId="77777777" w:rsidR="00FA4AA8" w:rsidRDefault="00FA4AA8">
      <w:pPr>
        <w:pStyle w:val="BodyText"/>
        <w:spacing w:before="7"/>
        <w:rPr>
          <w:b/>
          <w:sz w:val="26"/>
        </w:rPr>
      </w:pPr>
    </w:p>
    <w:p w14:paraId="100E72DD" w14:textId="77777777" w:rsidR="00FA4AA8" w:rsidRDefault="0015611F">
      <w:pPr>
        <w:pStyle w:val="ListParagraph"/>
        <w:numPr>
          <w:ilvl w:val="0"/>
          <w:numId w:val="104"/>
        </w:numPr>
        <w:tabs>
          <w:tab w:val="left" w:pos="564"/>
        </w:tabs>
        <w:ind w:hanging="397"/>
        <w:rPr>
          <w:b/>
          <w:sz w:val="18"/>
        </w:rPr>
      </w:pPr>
      <w:r>
        <w:rPr>
          <w:b/>
          <w:sz w:val="18"/>
        </w:rPr>
        <w:t>Restrictions</w:t>
      </w:r>
    </w:p>
    <w:p w14:paraId="15593BFD" w14:textId="77777777" w:rsidR="00FA4AA8" w:rsidRDefault="00FA4AA8">
      <w:pPr>
        <w:pStyle w:val="BodyText"/>
        <w:spacing w:before="5"/>
        <w:rPr>
          <w:b/>
          <w:sz w:val="25"/>
        </w:rPr>
      </w:pPr>
    </w:p>
    <w:p w14:paraId="1B5F1920" w14:textId="77777777" w:rsidR="00FA4AA8" w:rsidRDefault="0015611F">
      <w:pPr>
        <w:pStyle w:val="BodyText"/>
        <w:ind w:left="564"/>
      </w:pPr>
      <w:r>
        <w:t>The Group has nil restrictions from the joint venture with Navitas Ltd.</w:t>
      </w:r>
    </w:p>
    <w:p w14:paraId="2A53ADA7" w14:textId="77777777" w:rsidR="00FA4AA8" w:rsidRDefault="00FA4AA8">
      <w:pPr>
        <w:pStyle w:val="BodyText"/>
        <w:spacing w:before="8"/>
        <w:rPr>
          <w:sz w:val="26"/>
        </w:rPr>
      </w:pPr>
    </w:p>
    <w:p w14:paraId="6739AF04" w14:textId="77777777" w:rsidR="00FA4AA8" w:rsidRDefault="0015611F">
      <w:pPr>
        <w:numPr>
          <w:ilvl w:val="0"/>
          <w:numId w:val="104"/>
        </w:numPr>
        <w:tabs>
          <w:tab w:val="left" w:pos="564"/>
        </w:tabs>
        <w:ind w:hanging="397"/>
        <w:rPr>
          <w:b/>
          <w:sz w:val="18"/>
        </w:rPr>
      </w:pPr>
      <w:r>
        <w:rPr>
          <w:b/>
          <w:sz w:val="18"/>
        </w:rPr>
        <w:t>Individually immaterial joint venture or</w:t>
      </w:r>
      <w:r>
        <w:rPr>
          <w:b/>
          <w:spacing w:val="-9"/>
          <w:sz w:val="18"/>
        </w:rPr>
        <w:t xml:space="preserve"> </w:t>
      </w:r>
      <w:r>
        <w:rPr>
          <w:b/>
          <w:sz w:val="18"/>
        </w:rPr>
        <w:t>associate</w:t>
      </w:r>
    </w:p>
    <w:p w14:paraId="2AFC1401" w14:textId="77777777" w:rsidR="00FA4AA8" w:rsidRDefault="00FA4AA8">
      <w:pPr>
        <w:pStyle w:val="BodyText"/>
        <w:spacing w:before="4"/>
        <w:rPr>
          <w:b/>
          <w:sz w:val="25"/>
        </w:rPr>
      </w:pPr>
    </w:p>
    <w:p w14:paraId="23984541" w14:textId="77777777" w:rsidR="00FA4AA8" w:rsidRDefault="0015611F">
      <w:pPr>
        <w:pStyle w:val="BodyText"/>
        <w:spacing w:before="1"/>
        <w:ind w:left="564" w:right="256"/>
      </w:pPr>
      <w:r>
        <w:t xml:space="preserve">Aggregate carrying amount of interests in joint ventures and associates accounted for using the equity method that is not </w:t>
      </w:r>
      <w:r w:rsidR="006B4CA9">
        <w:t>individually</w:t>
      </w:r>
      <w:r>
        <w:t xml:space="preserve"> material in the consolidated financial statements:</w:t>
      </w:r>
    </w:p>
    <w:p w14:paraId="23A58EC1" w14:textId="77777777" w:rsidR="00FA4AA8" w:rsidRDefault="00FA4AA8">
      <w:pPr>
        <w:sectPr w:rsidR="00FA4AA8">
          <w:pgSz w:w="11910" w:h="16840"/>
          <w:pgMar w:top="2220" w:right="840" w:bottom="720" w:left="840" w:header="1016" w:footer="523" w:gutter="0"/>
          <w:cols w:space="720"/>
        </w:sectPr>
      </w:pPr>
    </w:p>
    <w:p w14:paraId="2162482C" w14:textId="77777777" w:rsidR="00FA4AA8" w:rsidRDefault="0015611F">
      <w:pPr>
        <w:spacing w:before="169"/>
        <w:ind w:left="604"/>
        <w:rPr>
          <w:b/>
          <w:sz w:val="18"/>
        </w:rPr>
      </w:pPr>
      <w:r>
        <w:rPr>
          <w:b/>
          <w:sz w:val="18"/>
        </w:rPr>
        <w:t>Consolidated Joint Ventures</w:t>
      </w:r>
    </w:p>
    <w:p w14:paraId="52779374" w14:textId="77777777" w:rsidR="00FA4AA8" w:rsidRDefault="0015611F">
      <w:pPr>
        <w:spacing w:before="32"/>
        <w:ind w:left="626"/>
        <w:rPr>
          <w:b/>
          <w:sz w:val="18"/>
        </w:rPr>
      </w:pPr>
      <w:r>
        <w:br w:type="column"/>
      </w:r>
      <w:r>
        <w:rPr>
          <w:b/>
          <w:sz w:val="18"/>
        </w:rPr>
        <w:t>2018</w:t>
      </w:r>
    </w:p>
    <w:p w14:paraId="5060B051" w14:textId="77777777" w:rsidR="00FA4AA8" w:rsidRDefault="0015611F">
      <w:pPr>
        <w:spacing w:before="67"/>
        <w:ind w:left="604"/>
        <w:rPr>
          <w:b/>
          <w:sz w:val="18"/>
        </w:rPr>
      </w:pPr>
      <w:r>
        <w:rPr>
          <w:b/>
          <w:sz w:val="18"/>
        </w:rPr>
        <w:t>$'000</w:t>
      </w:r>
    </w:p>
    <w:p w14:paraId="2858F1D6" w14:textId="77777777" w:rsidR="00FA4AA8" w:rsidRDefault="0015611F">
      <w:pPr>
        <w:spacing w:before="32"/>
        <w:ind w:left="588" w:right="533"/>
        <w:jc w:val="center"/>
        <w:rPr>
          <w:b/>
          <w:sz w:val="18"/>
        </w:rPr>
      </w:pPr>
      <w:r>
        <w:br w:type="column"/>
      </w:r>
      <w:r>
        <w:rPr>
          <w:b/>
          <w:sz w:val="18"/>
        </w:rPr>
        <w:t>2017</w:t>
      </w:r>
    </w:p>
    <w:p w14:paraId="7742737C" w14:textId="77777777" w:rsidR="00FA4AA8" w:rsidRDefault="0015611F">
      <w:pPr>
        <w:spacing w:before="67"/>
        <w:ind w:left="588" w:right="533"/>
        <w:jc w:val="center"/>
        <w:rPr>
          <w:b/>
          <w:sz w:val="18"/>
        </w:rPr>
      </w:pPr>
      <w:r>
        <w:rPr>
          <w:b/>
          <w:sz w:val="18"/>
        </w:rPr>
        <w:t>$'000</w:t>
      </w:r>
    </w:p>
    <w:p w14:paraId="4B554698" w14:textId="77777777" w:rsidR="00FA4AA8" w:rsidRDefault="00FA4AA8">
      <w:pPr>
        <w:jc w:val="center"/>
        <w:rPr>
          <w:sz w:val="18"/>
        </w:rPr>
        <w:sectPr w:rsidR="00FA4AA8">
          <w:type w:val="continuous"/>
          <w:pgSz w:w="11910" w:h="16840"/>
          <w:pgMar w:top="20" w:right="840" w:bottom="0" w:left="840" w:header="720" w:footer="720" w:gutter="0"/>
          <w:cols w:num="3" w:space="720" w:equalWidth="0">
            <w:col w:w="3094" w:space="4235"/>
            <w:col w:w="1091" w:space="205"/>
            <w:col w:w="1605"/>
          </w:cols>
        </w:sectPr>
      </w:pPr>
    </w:p>
    <w:p w14:paraId="21821A73" w14:textId="77777777" w:rsidR="00FA4AA8" w:rsidRDefault="00FA4AA8">
      <w:pPr>
        <w:pStyle w:val="BodyText"/>
        <w:spacing w:before="10"/>
        <w:rPr>
          <w:b/>
          <w:sz w:val="5"/>
        </w:rPr>
      </w:pPr>
    </w:p>
    <w:tbl>
      <w:tblPr>
        <w:tblW w:w="0" w:type="auto"/>
        <w:tblInd w:w="562" w:type="dxa"/>
        <w:tblLayout w:type="fixed"/>
        <w:tblCellMar>
          <w:left w:w="0" w:type="dxa"/>
          <w:right w:w="0" w:type="dxa"/>
        </w:tblCellMar>
        <w:tblLook w:val="01E0" w:firstRow="1" w:lastRow="1" w:firstColumn="1" w:lastColumn="1" w:noHBand="0" w:noVBand="0"/>
      </w:tblPr>
      <w:tblGrid>
        <w:gridCol w:w="6933"/>
        <w:gridCol w:w="1676"/>
        <w:gridCol w:w="915"/>
      </w:tblGrid>
      <w:tr w:rsidR="00FA4AA8" w14:paraId="10718309" w14:textId="77777777">
        <w:trPr>
          <w:trHeight w:val="226"/>
        </w:trPr>
        <w:tc>
          <w:tcPr>
            <w:tcW w:w="6933" w:type="dxa"/>
          </w:tcPr>
          <w:p w14:paraId="173D7077" w14:textId="77777777" w:rsidR="00FA4AA8" w:rsidRDefault="0015611F">
            <w:pPr>
              <w:pStyle w:val="TableParagraph"/>
              <w:spacing w:line="203" w:lineRule="exact"/>
              <w:ind w:left="50"/>
              <w:rPr>
                <w:sz w:val="18"/>
              </w:rPr>
            </w:pPr>
            <w:r>
              <w:rPr>
                <w:sz w:val="18"/>
              </w:rPr>
              <w:t>Profit/(loss) from continuing operations</w:t>
            </w:r>
          </w:p>
        </w:tc>
        <w:tc>
          <w:tcPr>
            <w:tcW w:w="1676" w:type="dxa"/>
            <w:tcBorders>
              <w:bottom w:val="single" w:sz="8" w:space="0" w:color="000000"/>
            </w:tcBorders>
          </w:tcPr>
          <w:p w14:paraId="2B105209" w14:textId="77777777" w:rsidR="00FA4AA8" w:rsidRDefault="0015611F">
            <w:pPr>
              <w:pStyle w:val="TableParagraph"/>
              <w:spacing w:line="201" w:lineRule="exact"/>
              <w:ind w:right="464"/>
              <w:jc w:val="right"/>
              <w:rPr>
                <w:b/>
                <w:sz w:val="18"/>
              </w:rPr>
            </w:pPr>
            <w:r>
              <w:rPr>
                <w:b/>
                <w:sz w:val="18"/>
              </w:rPr>
              <w:t>190</w:t>
            </w:r>
          </w:p>
        </w:tc>
        <w:tc>
          <w:tcPr>
            <w:tcW w:w="915" w:type="dxa"/>
            <w:tcBorders>
              <w:bottom w:val="single" w:sz="8" w:space="0" w:color="000000"/>
            </w:tcBorders>
          </w:tcPr>
          <w:p w14:paraId="2C27DDB7" w14:textId="77777777" w:rsidR="00FA4AA8" w:rsidRDefault="0015611F">
            <w:pPr>
              <w:pStyle w:val="TableParagraph"/>
              <w:spacing w:line="201" w:lineRule="exact"/>
              <w:ind w:right="22"/>
              <w:jc w:val="right"/>
              <w:rPr>
                <w:sz w:val="18"/>
              </w:rPr>
            </w:pPr>
            <w:r>
              <w:rPr>
                <w:sz w:val="18"/>
              </w:rPr>
              <w:t>(834)</w:t>
            </w:r>
          </w:p>
        </w:tc>
      </w:tr>
      <w:tr w:rsidR="00FA4AA8" w14:paraId="41ED3613" w14:textId="77777777">
        <w:trPr>
          <w:trHeight w:val="263"/>
        </w:trPr>
        <w:tc>
          <w:tcPr>
            <w:tcW w:w="6933" w:type="dxa"/>
          </w:tcPr>
          <w:p w14:paraId="6DBCA3AB" w14:textId="77777777" w:rsidR="00FA4AA8" w:rsidRDefault="0015611F">
            <w:pPr>
              <w:pStyle w:val="TableParagraph"/>
              <w:spacing w:before="33"/>
              <w:ind w:left="50"/>
              <w:rPr>
                <w:sz w:val="18"/>
              </w:rPr>
            </w:pPr>
            <w:r>
              <w:rPr>
                <w:sz w:val="18"/>
              </w:rPr>
              <w:t>Profit/(loss) from continuing operations after income tax</w:t>
            </w:r>
          </w:p>
        </w:tc>
        <w:tc>
          <w:tcPr>
            <w:tcW w:w="1676" w:type="dxa"/>
            <w:tcBorders>
              <w:top w:val="single" w:sz="8" w:space="0" w:color="000000"/>
              <w:bottom w:val="single" w:sz="8" w:space="0" w:color="000000"/>
            </w:tcBorders>
          </w:tcPr>
          <w:p w14:paraId="78DFC82F" w14:textId="77777777" w:rsidR="00FA4AA8" w:rsidRDefault="0015611F">
            <w:pPr>
              <w:pStyle w:val="TableParagraph"/>
              <w:spacing w:before="31"/>
              <w:ind w:right="464"/>
              <w:jc w:val="right"/>
              <w:rPr>
                <w:b/>
                <w:sz w:val="18"/>
              </w:rPr>
            </w:pPr>
            <w:r>
              <w:rPr>
                <w:b/>
                <w:sz w:val="18"/>
              </w:rPr>
              <w:t>190</w:t>
            </w:r>
          </w:p>
        </w:tc>
        <w:tc>
          <w:tcPr>
            <w:tcW w:w="915" w:type="dxa"/>
            <w:tcBorders>
              <w:top w:val="single" w:sz="8" w:space="0" w:color="000000"/>
              <w:bottom w:val="single" w:sz="8" w:space="0" w:color="000000"/>
            </w:tcBorders>
          </w:tcPr>
          <w:p w14:paraId="3C0FB706" w14:textId="77777777" w:rsidR="00FA4AA8" w:rsidRDefault="0015611F">
            <w:pPr>
              <w:pStyle w:val="TableParagraph"/>
              <w:spacing w:before="31"/>
              <w:ind w:right="22"/>
              <w:jc w:val="right"/>
              <w:rPr>
                <w:sz w:val="18"/>
              </w:rPr>
            </w:pPr>
            <w:r>
              <w:rPr>
                <w:sz w:val="18"/>
              </w:rPr>
              <w:t>(834)</w:t>
            </w:r>
          </w:p>
        </w:tc>
      </w:tr>
      <w:tr w:rsidR="00FA4AA8" w14:paraId="0B68FA94" w14:textId="77777777">
        <w:trPr>
          <w:trHeight w:val="320"/>
        </w:trPr>
        <w:tc>
          <w:tcPr>
            <w:tcW w:w="6933" w:type="dxa"/>
          </w:tcPr>
          <w:p w14:paraId="44404906" w14:textId="77777777" w:rsidR="00FA4AA8" w:rsidRDefault="0015611F">
            <w:pPr>
              <w:pStyle w:val="TableParagraph"/>
              <w:spacing w:before="88"/>
              <w:ind w:left="50"/>
              <w:rPr>
                <w:b/>
                <w:sz w:val="18"/>
              </w:rPr>
            </w:pPr>
            <w:r>
              <w:rPr>
                <w:b/>
                <w:sz w:val="18"/>
              </w:rPr>
              <w:t>Total comprehensive income</w:t>
            </w:r>
          </w:p>
        </w:tc>
        <w:tc>
          <w:tcPr>
            <w:tcW w:w="1676" w:type="dxa"/>
            <w:tcBorders>
              <w:top w:val="single" w:sz="8" w:space="0" w:color="000000"/>
              <w:bottom w:val="double" w:sz="2" w:space="0" w:color="000000"/>
            </w:tcBorders>
          </w:tcPr>
          <w:p w14:paraId="713E4803" w14:textId="77777777" w:rsidR="00FA4AA8" w:rsidRDefault="0015611F">
            <w:pPr>
              <w:pStyle w:val="TableParagraph"/>
              <w:spacing w:before="115" w:line="185" w:lineRule="exact"/>
              <w:ind w:right="464"/>
              <w:jc w:val="right"/>
              <w:rPr>
                <w:b/>
                <w:sz w:val="18"/>
              </w:rPr>
            </w:pPr>
            <w:r>
              <w:rPr>
                <w:b/>
                <w:sz w:val="18"/>
              </w:rPr>
              <w:t>190</w:t>
            </w:r>
          </w:p>
        </w:tc>
        <w:tc>
          <w:tcPr>
            <w:tcW w:w="915" w:type="dxa"/>
            <w:tcBorders>
              <w:top w:val="single" w:sz="8" w:space="0" w:color="000000"/>
              <w:bottom w:val="double" w:sz="2" w:space="0" w:color="000000"/>
            </w:tcBorders>
          </w:tcPr>
          <w:p w14:paraId="7D5D9D50" w14:textId="77777777" w:rsidR="00FA4AA8" w:rsidRDefault="0015611F">
            <w:pPr>
              <w:pStyle w:val="TableParagraph"/>
              <w:spacing w:before="115" w:line="185" w:lineRule="exact"/>
              <w:ind w:right="22"/>
              <w:jc w:val="right"/>
              <w:rPr>
                <w:sz w:val="18"/>
              </w:rPr>
            </w:pPr>
            <w:r>
              <w:rPr>
                <w:sz w:val="18"/>
              </w:rPr>
              <w:t>(834)</w:t>
            </w:r>
          </w:p>
        </w:tc>
      </w:tr>
    </w:tbl>
    <w:p w14:paraId="5561C4A0" w14:textId="77777777" w:rsidR="00FA4AA8" w:rsidRDefault="00FA4AA8">
      <w:pPr>
        <w:pStyle w:val="BodyText"/>
        <w:spacing w:before="10"/>
        <w:rPr>
          <w:b/>
          <w:sz w:val="17"/>
        </w:rPr>
      </w:pPr>
    </w:p>
    <w:p w14:paraId="22C10532" w14:textId="77777777" w:rsidR="00FA4AA8" w:rsidRDefault="0015611F">
      <w:pPr>
        <w:pStyle w:val="BodyText"/>
        <w:spacing w:before="95"/>
        <w:ind w:left="564"/>
      </w:pPr>
      <w:r>
        <w:t>Contingent liabilities arising from the Group's interests in associates and joint arrangements, and capital commitments arising from the Group's interests in joint arrangements are disclosed in notes 30 and 31 respectively.</w:t>
      </w:r>
    </w:p>
    <w:p w14:paraId="61F10530" w14:textId="77777777" w:rsidR="00FA4AA8" w:rsidRDefault="00FA4AA8">
      <w:pPr>
        <w:pStyle w:val="BodyText"/>
        <w:spacing w:before="7"/>
        <w:rPr>
          <w:sz w:val="26"/>
        </w:rPr>
      </w:pPr>
    </w:p>
    <w:p w14:paraId="7660DADA" w14:textId="77777777" w:rsidR="00FA4AA8" w:rsidRDefault="0015611F">
      <w:pPr>
        <w:ind w:left="564"/>
        <w:rPr>
          <w:i/>
          <w:sz w:val="18"/>
        </w:rPr>
      </w:pPr>
      <w:r>
        <w:rPr>
          <w:i/>
          <w:sz w:val="18"/>
          <w:u w:val="single"/>
        </w:rPr>
        <w:t>Accounting Policy</w:t>
      </w:r>
    </w:p>
    <w:p w14:paraId="7CB8C3EB" w14:textId="77777777" w:rsidR="00FA4AA8" w:rsidRDefault="00FA4AA8">
      <w:pPr>
        <w:pStyle w:val="BodyText"/>
        <w:spacing w:before="2"/>
        <w:rPr>
          <w:i/>
          <w:sz w:val="17"/>
        </w:rPr>
      </w:pPr>
    </w:p>
    <w:p w14:paraId="57410FC5" w14:textId="77777777" w:rsidR="00FA4AA8" w:rsidRDefault="0015611F">
      <w:pPr>
        <w:pStyle w:val="BodyText"/>
        <w:spacing w:before="95"/>
        <w:ind w:left="563" w:right="222"/>
      </w:pPr>
      <w:bookmarkStart w:id="28" w:name="8_Gain_on_disposal_of_assets_"/>
      <w:bookmarkEnd w:id="28"/>
      <w:r>
        <w:t>Under the equity method, the share of the profits or losses of the entity is recognised in the income statement, and the share of movements in reserves is recognised in reserves in the statement of comprehensive income and the statement of changes in equity. If the venturer's share of losses of a joint venture equals or exceeds its interest in the joint venture, the venturer discontinues recognising its share of further losses.</w:t>
      </w:r>
    </w:p>
    <w:p w14:paraId="7606ED14" w14:textId="77777777" w:rsidR="00FA4AA8" w:rsidRDefault="00FA4AA8">
      <w:pPr>
        <w:pStyle w:val="BodyText"/>
        <w:spacing w:before="7"/>
        <w:rPr>
          <w:sz w:val="16"/>
        </w:rPr>
      </w:pPr>
    </w:p>
    <w:p w14:paraId="02C2036B" w14:textId="77777777" w:rsidR="00FA4AA8" w:rsidRDefault="0015611F">
      <w:pPr>
        <w:numPr>
          <w:ilvl w:val="0"/>
          <w:numId w:val="105"/>
        </w:numPr>
        <w:tabs>
          <w:tab w:val="left" w:pos="563"/>
          <w:tab w:val="left" w:pos="564"/>
        </w:tabs>
        <w:spacing w:before="94"/>
        <w:ind w:hanging="397"/>
        <w:rPr>
          <w:b/>
          <w:sz w:val="18"/>
        </w:rPr>
      </w:pPr>
      <w:r>
        <w:rPr>
          <w:b/>
          <w:sz w:val="18"/>
        </w:rPr>
        <w:t>Gain on disposal of assets</w:t>
      </w:r>
    </w:p>
    <w:p w14:paraId="6809C9C1" w14:textId="77777777" w:rsidR="00FA4AA8" w:rsidRDefault="007E2441">
      <w:pPr>
        <w:tabs>
          <w:tab w:val="left" w:pos="8426"/>
        </w:tabs>
        <w:spacing w:before="33"/>
        <w:ind w:left="5376"/>
        <w:rPr>
          <w:b/>
          <w:sz w:val="18"/>
        </w:rPr>
      </w:pPr>
      <w:r>
        <w:rPr>
          <w:noProof/>
          <w:lang w:val="en-AU" w:eastAsia="en-AU"/>
        </w:rPr>
        <mc:AlternateContent>
          <mc:Choice Requires="wpg">
            <w:drawing>
              <wp:anchor distT="0" distB="0" distL="114300" distR="114300" simplePos="0" relativeHeight="15738880" behindDoc="0" locked="0" layoutInCell="1" allowOverlap="1" wp14:anchorId="0F5712E2" wp14:editId="1A7C235F">
                <wp:simplePos x="0" y="0"/>
                <wp:positionH relativeFrom="page">
                  <wp:posOffset>3424555</wp:posOffset>
                </wp:positionH>
                <wp:positionV relativeFrom="paragraph">
                  <wp:posOffset>1075055</wp:posOffset>
                </wp:positionV>
                <wp:extent cx="2383155" cy="16510"/>
                <wp:effectExtent l="0" t="0" r="0" b="0"/>
                <wp:wrapNone/>
                <wp:docPr id="3175" name="Group 2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3155" cy="16510"/>
                          <a:chOff x="5393" y="1693"/>
                          <a:chExt cx="5520" cy="39"/>
                        </a:xfrm>
                      </wpg:grpSpPr>
                      <wps:wsp>
                        <wps:cNvPr id="3176" name="Line 2975"/>
                        <wps:cNvCnPr>
                          <a:cxnSpLocks noChangeShapeType="1"/>
                        </wps:cNvCnPr>
                        <wps:spPr bwMode="auto">
                          <a:xfrm>
                            <a:off x="5393" y="1728"/>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177" name="Line 2974"/>
                        <wps:cNvCnPr>
                          <a:cxnSpLocks noChangeShapeType="1"/>
                        </wps:cNvCnPr>
                        <wps:spPr bwMode="auto">
                          <a:xfrm>
                            <a:off x="5393" y="1731"/>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178" name="Line 2973"/>
                        <wps:cNvCnPr>
                          <a:cxnSpLocks noChangeShapeType="1"/>
                        </wps:cNvCnPr>
                        <wps:spPr bwMode="auto">
                          <a:xfrm>
                            <a:off x="5561" y="1719"/>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179" name="Line 2972"/>
                        <wps:cNvCnPr>
                          <a:cxnSpLocks noChangeShapeType="1"/>
                        </wps:cNvCnPr>
                        <wps:spPr bwMode="auto">
                          <a:xfrm>
                            <a:off x="5561" y="172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180" name="Line 2971"/>
                        <wps:cNvCnPr>
                          <a:cxnSpLocks noChangeShapeType="1"/>
                        </wps:cNvCnPr>
                        <wps:spPr bwMode="auto">
                          <a:xfrm>
                            <a:off x="5561" y="172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181" name="Line 2970"/>
                        <wps:cNvCnPr>
                          <a:cxnSpLocks noChangeShapeType="1"/>
                        </wps:cNvCnPr>
                        <wps:spPr bwMode="auto">
                          <a:xfrm>
                            <a:off x="5561" y="1726"/>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182" name="Line 2969"/>
                        <wps:cNvCnPr>
                          <a:cxnSpLocks noChangeShapeType="1"/>
                        </wps:cNvCnPr>
                        <wps:spPr bwMode="auto">
                          <a:xfrm>
                            <a:off x="5561" y="172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183" name="Line 2968"/>
                        <wps:cNvCnPr>
                          <a:cxnSpLocks noChangeShapeType="1"/>
                        </wps:cNvCnPr>
                        <wps:spPr bwMode="auto">
                          <a:xfrm>
                            <a:off x="5561" y="173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184" name="Line 2967"/>
                        <wps:cNvCnPr>
                          <a:cxnSpLocks noChangeShapeType="1"/>
                        </wps:cNvCnPr>
                        <wps:spPr bwMode="auto">
                          <a:xfrm>
                            <a:off x="6857" y="1719"/>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185" name="Line 2966"/>
                        <wps:cNvCnPr>
                          <a:cxnSpLocks noChangeShapeType="1"/>
                        </wps:cNvCnPr>
                        <wps:spPr bwMode="auto">
                          <a:xfrm>
                            <a:off x="6857" y="172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186" name="Line 2965"/>
                        <wps:cNvCnPr>
                          <a:cxnSpLocks noChangeShapeType="1"/>
                        </wps:cNvCnPr>
                        <wps:spPr bwMode="auto">
                          <a:xfrm>
                            <a:off x="6857" y="172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187" name="Line 2964"/>
                        <wps:cNvCnPr>
                          <a:cxnSpLocks noChangeShapeType="1"/>
                        </wps:cNvCnPr>
                        <wps:spPr bwMode="auto">
                          <a:xfrm>
                            <a:off x="6857" y="1726"/>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188" name="Line 2963"/>
                        <wps:cNvCnPr>
                          <a:cxnSpLocks noChangeShapeType="1"/>
                        </wps:cNvCnPr>
                        <wps:spPr bwMode="auto">
                          <a:xfrm>
                            <a:off x="6857" y="172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189" name="Line 2962"/>
                        <wps:cNvCnPr>
                          <a:cxnSpLocks noChangeShapeType="1"/>
                        </wps:cNvCnPr>
                        <wps:spPr bwMode="auto">
                          <a:xfrm>
                            <a:off x="6857" y="173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190" name="Line 2961"/>
                        <wps:cNvCnPr>
                          <a:cxnSpLocks noChangeShapeType="1"/>
                        </wps:cNvCnPr>
                        <wps:spPr bwMode="auto">
                          <a:xfrm>
                            <a:off x="8153" y="1719"/>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191" name="Line 2960"/>
                        <wps:cNvCnPr>
                          <a:cxnSpLocks noChangeShapeType="1"/>
                        </wps:cNvCnPr>
                        <wps:spPr bwMode="auto">
                          <a:xfrm>
                            <a:off x="8153" y="1721"/>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192" name="Line 2959"/>
                        <wps:cNvCnPr>
                          <a:cxnSpLocks noChangeShapeType="1"/>
                        </wps:cNvCnPr>
                        <wps:spPr bwMode="auto">
                          <a:xfrm>
                            <a:off x="8153" y="1723"/>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193" name="Line 2958"/>
                        <wps:cNvCnPr>
                          <a:cxnSpLocks noChangeShapeType="1"/>
                        </wps:cNvCnPr>
                        <wps:spPr bwMode="auto">
                          <a:xfrm>
                            <a:off x="8153" y="1726"/>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194" name="Line 2957"/>
                        <wps:cNvCnPr>
                          <a:cxnSpLocks noChangeShapeType="1"/>
                        </wps:cNvCnPr>
                        <wps:spPr bwMode="auto">
                          <a:xfrm>
                            <a:off x="8153" y="1728"/>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195" name="Line 2956"/>
                        <wps:cNvCnPr>
                          <a:cxnSpLocks noChangeShapeType="1"/>
                        </wps:cNvCnPr>
                        <wps:spPr bwMode="auto">
                          <a:xfrm>
                            <a:off x="8153" y="1731"/>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196" name="Line 2955"/>
                        <wps:cNvCnPr>
                          <a:cxnSpLocks noChangeShapeType="1"/>
                        </wps:cNvCnPr>
                        <wps:spPr bwMode="auto">
                          <a:xfrm>
                            <a:off x="8321" y="169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197" name="Line 2954"/>
                        <wps:cNvCnPr>
                          <a:cxnSpLocks noChangeShapeType="1"/>
                        </wps:cNvCnPr>
                        <wps:spPr bwMode="auto">
                          <a:xfrm>
                            <a:off x="8321" y="1719"/>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198" name="Line 2953"/>
                        <wps:cNvCnPr>
                          <a:cxnSpLocks noChangeShapeType="1"/>
                        </wps:cNvCnPr>
                        <wps:spPr bwMode="auto">
                          <a:xfrm>
                            <a:off x="8321" y="172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199" name="Line 2952"/>
                        <wps:cNvCnPr>
                          <a:cxnSpLocks noChangeShapeType="1"/>
                        </wps:cNvCnPr>
                        <wps:spPr bwMode="auto">
                          <a:xfrm>
                            <a:off x="8321" y="172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200" name="Line 2951"/>
                        <wps:cNvCnPr>
                          <a:cxnSpLocks noChangeShapeType="1"/>
                        </wps:cNvCnPr>
                        <wps:spPr bwMode="auto">
                          <a:xfrm>
                            <a:off x="8321" y="1726"/>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201" name="Line 2950"/>
                        <wps:cNvCnPr>
                          <a:cxnSpLocks noChangeShapeType="1"/>
                        </wps:cNvCnPr>
                        <wps:spPr bwMode="auto">
                          <a:xfrm>
                            <a:off x="8321" y="172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202" name="Line 2949"/>
                        <wps:cNvCnPr>
                          <a:cxnSpLocks noChangeShapeType="1"/>
                        </wps:cNvCnPr>
                        <wps:spPr bwMode="auto">
                          <a:xfrm>
                            <a:off x="8321" y="173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203" name="Line 2948"/>
                        <wps:cNvCnPr>
                          <a:cxnSpLocks noChangeShapeType="1"/>
                        </wps:cNvCnPr>
                        <wps:spPr bwMode="auto">
                          <a:xfrm>
                            <a:off x="9617" y="169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204" name="Line 2947"/>
                        <wps:cNvCnPr>
                          <a:cxnSpLocks noChangeShapeType="1"/>
                        </wps:cNvCnPr>
                        <wps:spPr bwMode="auto">
                          <a:xfrm>
                            <a:off x="9617" y="1719"/>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205" name="Line 2946"/>
                        <wps:cNvCnPr>
                          <a:cxnSpLocks noChangeShapeType="1"/>
                        </wps:cNvCnPr>
                        <wps:spPr bwMode="auto">
                          <a:xfrm>
                            <a:off x="9617" y="172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206" name="Line 2945"/>
                        <wps:cNvCnPr>
                          <a:cxnSpLocks noChangeShapeType="1"/>
                        </wps:cNvCnPr>
                        <wps:spPr bwMode="auto">
                          <a:xfrm>
                            <a:off x="9617" y="172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207" name="Line 2944"/>
                        <wps:cNvCnPr>
                          <a:cxnSpLocks noChangeShapeType="1"/>
                        </wps:cNvCnPr>
                        <wps:spPr bwMode="auto">
                          <a:xfrm>
                            <a:off x="9617" y="1726"/>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208" name="Line 2943"/>
                        <wps:cNvCnPr>
                          <a:cxnSpLocks noChangeShapeType="1"/>
                        </wps:cNvCnPr>
                        <wps:spPr bwMode="auto">
                          <a:xfrm>
                            <a:off x="9617" y="172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209" name="Line 2942"/>
                        <wps:cNvCnPr>
                          <a:cxnSpLocks noChangeShapeType="1"/>
                        </wps:cNvCnPr>
                        <wps:spPr bwMode="auto">
                          <a:xfrm>
                            <a:off x="9617" y="173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630C10" id="Group 2941" o:spid="_x0000_s1026" style="position:absolute;margin-left:269.65pt;margin-top:84.65pt;width:187.65pt;height:1.3pt;z-index:15738880;mso-position-horizontal-relative:page" coordorigin="5393,1693" coordsize="552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">
                <v:line id="Line 2975" o:spid="_x0000_s1027" style="position:absolute;visibility:visible;mso-wrap-style:square" from="5393,1728" to="5561,1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" strokeweight=".12pt"/>
                <v:line id="Line 2974" o:spid="_x0000_s1028" style="position:absolute;visibility:visible;mso-wrap-style:square" from="5393,1731" to="5561,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" strokeweight=".12pt"/>
                <v:line id="Line 2973" o:spid="_x0000_s1029" style="position:absolute;visibility:visible;mso-wrap-style:square" from="5561,1719" to="6857,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" strokeweight=".12pt"/>
                <v:line id="Line 2972" o:spid="_x0000_s1030" style="position:absolute;visibility:visible;mso-wrap-style:square" from="5561,1721" to="6857,1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" strokeweight=".12pt"/>
                <v:line id="Line 2971" o:spid="_x0000_s1031" style="position:absolute;visibility:visible;mso-wrap-style:square" from="5561,1723" to="6857,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" strokeweight=".12pt"/>
                <v:line id="Line 2970" o:spid="_x0000_s1032" style="position:absolute;visibility:visible;mso-wrap-style:square" from="5561,1726" to="6857,1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" strokeweight=".12pt"/>
                <v:line id="Line 2969" o:spid="_x0000_s1033" style="position:absolute;visibility:visible;mso-wrap-style:square" from="5561,1728" to="6857,1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" strokeweight=".12pt"/>
                <v:line id="Line 2968" o:spid="_x0000_s1034" style="position:absolute;visibility:visible;mso-wrap-style:square" from="5561,1731" to="6857,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" strokeweight=".12pt"/>
                <v:line id="Line 2967" o:spid="_x0000_s1035" style="position:absolute;visibility:visible;mso-wrap-style:square" from="6857,1719" to="8153,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" strokeweight=".12pt"/>
                <v:line id="Line 2966" o:spid="_x0000_s1036" style="position:absolute;visibility:visible;mso-wrap-style:square" from="6857,1721" to="8153,1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" strokeweight=".12pt"/>
                <v:line id="Line 2965" o:spid="_x0000_s1037" style="position:absolute;visibility:visible;mso-wrap-style:square" from="6857,1723" to="8153,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" strokeweight=".12pt"/>
                <v:line id="Line 2964" o:spid="_x0000_s1038" style="position:absolute;visibility:visible;mso-wrap-style:square" from="6857,1726" to="8153,1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" strokeweight=".12pt"/>
                <v:line id="Line 2963" o:spid="_x0000_s1039" style="position:absolute;visibility:visible;mso-wrap-style:square" from="6857,1728" to="8153,1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" strokeweight=".12pt"/>
                <v:line id="Line 2962" o:spid="_x0000_s1040" style="position:absolute;visibility:visible;mso-wrap-style:square" from="6857,1731" to="8153,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" strokeweight=".12pt"/>
                <v:line id="Line 2961" o:spid="_x0000_s1041" style="position:absolute;visibility:visible;mso-wrap-style:square" from="8153,1719" to="8321,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" strokeweight=".12pt"/>
                <v:line id="Line 2960" o:spid="_x0000_s1042" style="position:absolute;visibility:visible;mso-wrap-style:square" from="8153,1721" to="8321,1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" strokeweight=".12pt"/>
                <v:line id="Line 2959" o:spid="_x0000_s1043" style="position:absolute;visibility:visible;mso-wrap-style:square" from="8153,1723" to="8321,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" strokeweight=".12pt"/>
                <v:line id="Line 2958" o:spid="_x0000_s1044" style="position:absolute;visibility:visible;mso-wrap-style:square" from="8153,1726" to="8321,1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" strokeweight=".12pt"/>
                <v:line id="Line 2957" o:spid="_x0000_s1045" style="position:absolute;visibility:visible;mso-wrap-style:square" from="8153,1728" to="8321,1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" strokeweight=".12pt"/>
                <v:line id="Line 2956" o:spid="_x0000_s1046" style="position:absolute;visibility:visible;mso-wrap-style:square" from="8153,1731" to="8321,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" strokeweight=".12pt"/>
                <v:line id="Line 2955" o:spid="_x0000_s1047" style="position:absolute;visibility:visible;mso-wrap-style:square" from="8321,1695" to="9617,1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" strokeweight=".12pt"/>
                <v:line id="Line 2954" o:spid="_x0000_s1048" style="position:absolute;visibility:visible;mso-wrap-style:square" from="8321,1719" to="9617,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" strokeweight=".12pt"/>
                <v:line id="Line 2953" o:spid="_x0000_s1049" style="position:absolute;visibility:visible;mso-wrap-style:square" from="8321,1721" to="9617,1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" strokeweight=".12pt"/>
                <v:line id="Line 2952" o:spid="_x0000_s1050" style="position:absolute;visibility:visible;mso-wrap-style:square" from="8321,1723" to="9617,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" strokeweight=".12pt"/>
                <v:line id="Line 2951" o:spid="_x0000_s1051" style="position:absolute;visibility:visible;mso-wrap-style:square" from="8321,1726" to="9617,1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" strokeweight=".12pt"/>
                <v:line id="Line 2950" o:spid="_x0000_s1052" style="position:absolute;visibility:visible;mso-wrap-style:square" from="8321,1728" to="9617,1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" strokeweight=".12pt"/>
                <v:line id="Line 2949" o:spid="_x0000_s1053" style="position:absolute;visibility:visible;mso-wrap-style:square" from="8321,1731" to="9617,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" strokeweight=".12pt"/>
                <v:line id="Line 2948" o:spid="_x0000_s1054" style="position:absolute;visibility:visible;mso-wrap-style:square" from="9617,1695" to="10913,1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" strokeweight=".12pt"/>
                <v:line id="Line 2947" o:spid="_x0000_s1055" style="position:absolute;visibility:visible;mso-wrap-style:square" from="9617,1719" to="10913,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" strokeweight=".12pt"/>
                <v:line id="Line 2946" o:spid="_x0000_s1056" style="position:absolute;visibility:visible;mso-wrap-style:square" from="9617,1721" to="10913,1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" strokeweight=".12pt"/>
                <v:line id="Line 2945" o:spid="_x0000_s1057" style="position:absolute;visibility:visible;mso-wrap-style:square" from="9617,1723" to="10913,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" strokeweight=".12pt"/>
                <v:line id="Line 2944" o:spid="_x0000_s1058" style="position:absolute;visibility:visible;mso-wrap-style:square" from="9617,1726" to="10913,1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" strokeweight=".12pt"/>
                <v:line id="Line 2943" o:spid="_x0000_s1059" style="position:absolute;visibility:visible;mso-wrap-style:square" from="9617,1728" to="10913,1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" strokeweight=".12pt"/>
                <v:line id="Line 2942" o:spid="_x0000_s1060" style="position:absolute;visibility:visible;mso-wrap-style:square" from="9617,1731" to="10913,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" strokeweight=".12pt"/>
                <w10:wrap anchorx="page"/>
              </v:group>
            </w:pict>
          </mc:Fallback>
        </mc:AlternateContent>
      </w:r>
      <w:r w:rsidR="0015611F">
        <w:rPr>
          <w:b/>
          <w:sz w:val="18"/>
        </w:rPr>
        <w:t>Consolidated</w:t>
      </w:r>
      <w:r w:rsidR="0015611F">
        <w:rPr>
          <w:b/>
          <w:sz w:val="18"/>
        </w:rPr>
        <w:tab/>
        <w:t>Parent</w:t>
      </w:r>
    </w:p>
    <w:p w14:paraId="5A8DDF8F" w14:textId="77777777" w:rsidR="00FA4AA8" w:rsidRDefault="00FA4AA8">
      <w:pPr>
        <w:pStyle w:val="BodyText"/>
        <w:spacing w:before="4"/>
        <w:rPr>
          <w:b/>
          <w:sz w:val="6"/>
        </w:rPr>
      </w:pPr>
    </w:p>
    <w:tbl>
      <w:tblPr>
        <w:tblW w:w="0" w:type="auto"/>
        <w:tblInd w:w="547" w:type="dxa"/>
        <w:tblLayout w:type="fixed"/>
        <w:tblCellMar>
          <w:left w:w="0" w:type="dxa"/>
          <w:right w:w="0" w:type="dxa"/>
        </w:tblCellMar>
        <w:tblLook w:val="01E0" w:firstRow="1" w:lastRow="1" w:firstColumn="1" w:lastColumn="1" w:noHBand="0" w:noVBand="0"/>
      </w:tblPr>
      <w:tblGrid>
        <w:gridCol w:w="4012"/>
        <w:gridCol w:w="1651"/>
        <w:gridCol w:w="1380"/>
        <w:gridCol w:w="1380"/>
        <w:gridCol w:w="1109"/>
      </w:tblGrid>
      <w:tr w:rsidR="00FA4AA8" w14:paraId="2342C0D4" w14:textId="77777777">
        <w:trPr>
          <w:trHeight w:val="237"/>
        </w:trPr>
        <w:tc>
          <w:tcPr>
            <w:tcW w:w="4012" w:type="dxa"/>
            <w:vMerge w:val="restart"/>
          </w:tcPr>
          <w:p w14:paraId="0FC657C1" w14:textId="77777777" w:rsidR="00FA4AA8" w:rsidRDefault="00FA4AA8">
            <w:pPr>
              <w:pStyle w:val="TableParagraph"/>
              <w:rPr>
                <w:rFonts w:ascii="Times New Roman"/>
                <w:sz w:val="18"/>
              </w:rPr>
            </w:pPr>
          </w:p>
        </w:tc>
        <w:tc>
          <w:tcPr>
            <w:tcW w:w="1651" w:type="dxa"/>
          </w:tcPr>
          <w:p w14:paraId="472142AE" w14:textId="77777777" w:rsidR="00FA4AA8" w:rsidRDefault="0015611F">
            <w:pPr>
              <w:pStyle w:val="TableParagraph"/>
              <w:spacing w:line="201" w:lineRule="exact"/>
              <w:ind w:left="598"/>
              <w:rPr>
                <w:b/>
                <w:sz w:val="18"/>
              </w:rPr>
            </w:pPr>
            <w:r>
              <w:rPr>
                <w:b/>
                <w:sz w:val="18"/>
              </w:rPr>
              <w:t>2018</w:t>
            </w:r>
          </w:p>
        </w:tc>
        <w:tc>
          <w:tcPr>
            <w:tcW w:w="1380" w:type="dxa"/>
          </w:tcPr>
          <w:p w14:paraId="6207F68F" w14:textId="77777777" w:rsidR="00FA4AA8" w:rsidRDefault="0015611F">
            <w:pPr>
              <w:pStyle w:val="TableParagraph"/>
              <w:spacing w:line="201" w:lineRule="exact"/>
              <w:ind w:left="243"/>
              <w:rPr>
                <w:b/>
                <w:sz w:val="18"/>
              </w:rPr>
            </w:pPr>
            <w:r>
              <w:rPr>
                <w:b/>
                <w:sz w:val="18"/>
              </w:rPr>
              <w:t>2017</w:t>
            </w:r>
          </w:p>
        </w:tc>
        <w:tc>
          <w:tcPr>
            <w:tcW w:w="1380" w:type="dxa"/>
          </w:tcPr>
          <w:p w14:paraId="668AB49F" w14:textId="77777777" w:rsidR="00FA4AA8" w:rsidRDefault="0015611F">
            <w:pPr>
              <w:pStyle w:val="TableParagraph"/>
              <w:spacing w:line="201" w:lineRule="exact"/>
              <w:ind w:left="327"/>
              <w:rPr>
                <w:b/>
                <w:sz w:val="18"/>
              </w:rPr>
            </w:pPr>
            <w:r>
              <w:rPr>
                <w:b/>
                <w:sz w:val="18"/>
              </w:rPr>
              <w:t>2018</w:t>
            </w:r>
          </w:p>
        </w:tc>
        <w:tc>
          <w:tcPr>
            <w:tcW w:w="1109" w:type="dxa"/>
          </w:tcPr>
          <w:p w14:paraId="72402E72" w14:textId="77777777" w:rsidR="00FA4AA8" w:rsidRDefault="0015611F">
            <w:pPr>
              <w:pStyle w:val="TableParagraph"/>
              <w:spacing w:line="201" w:lineRule="exact"/>
              <w:ind w:left="243"/>
              <w:rPr>
                <w:b/>
                <w:sz w:val="18"/>
              </w:rPr>
            </w:pPr>
            <w:r>
              <w:rPr>
                <w:b/>
                <w:sz w:val="18"/>
              </w:rPr>
              <w:t>2017</w:t>
            </w:r>
          </w:p>
        </w:tc>
      </w:tr>
      <w:tr w:rsidR="00FA4AA8" w14:paraId="20997758" w14:textId="77777777">
        <w:trPr>
          <w:trHeight w:val="271"/>
        </w:trPr>
        <w:tc>
          <w:tcPr>
            <w:tcW w:w="4012" w:type="dxa"/>
            <w:vMerge/>
            <w:tcBorders>
              <w:top w:val="nil"/>
            </w:tcBorders>
          </w:tcPr>
          <w:p w14:paraId="52EC50C4" w14:textId="77777777" w:rsidR="00FA4AA8" w:rsidRDefault="00FA4AA8">
            <w:pPr>
              <w:rPr>
                <w:sz w:val="2"/>
                <w:szCs w:val="2"/>
              </w:rPr>
            </w:pPr>
          </w:p>
        </w:tc>
        <w:tc>
          <w:tcPr>
            <w:tcW w:w="1651" w:type="dxa"/>
          </w:tcPr>
          <w:p w14:paraId="4EE3618B" w14:textId="77777777" w:rsidR="00FA4AA8" w:rsidRDefault="0015611F">
            <w:pPr>
              <w:pStyle w:val="TableParagraph"/>
              <w:spacing w:before="30"/>
              <w:ind w:left="576"/>
              <w:rPr>
                <w:b/>
                <w:sz w:val="18"/>
              </w:rPr>
            </w:pPr>
            <w:r>
              <w:rPr>
                <w:b/>
                <w:sz w:val="18"/>
              </w:rPr>
              <w:t>$'000</w:t>
            </w:r>
          </w:p>
        </w:tc>
        <w:tc>
          <w:tcPr>
            <w:tcW w:w="1380" w:type="dxa"/>
          </w:tcPr>
          <w:p w14:paraId="0421F262" w14:textId="77777777" w:rsidR="00FA4AA8" w:rsidRDefault="0015611F">
            <w:pPr>
              <w:pStyle w:val="TableParagraph"/>
              <w:spacing w:before="30"/>
              <w:ind w:left="221"/>
              <w:rPr>
                <w:b/>
                <w:sz w:val="18"/>
              </w:rPr>
            </w:pPr>
            <w:r>
              <w:rPr>
                <w:b/>
                <w:sz w:val="18"/>
              </w:rPr>
              <w:t>$'000</w:t>
            </w:r>
          </w:p>
        </w:tc>
        <w:tc>
          <w:tcPr>
            <w:tcW w:w="1380" w:type="dxa"/>
          </w:tcPr>
          <w:p w14:paraId="255C47C2" w14:textId="77777777" w:rsidR="00FA4AA8" w:rsidRDefault="0015611F">
            <w:pPr>
              <w:pStyle w:val="TableParagraph"/>
              <w:spacing w:before="30"/>
              <w:ind w:left="305"/>
              <w:rPr>
                <w:b/>
                <w:sz w:val="18"/>
              </w:rPr>
            </w:pPr>
            <w:r>
              <w:rPr>
                <w:b/>
                <w:sz w:val="18"/>
              </w:rPr>
              <w:t>$'000</w:t>
            </w:r>
          </w:p>
        </w:tc>
        <w:tc>
          <w:tcPr>
            <w:tcW w:w="1109" w:type="dxa"/>
          </w:tcPr>
          <w:p w14:paraId="6039B31E" w14:textId="77777777" w:rsidR="00FA4AA8" w:rsidRDefault="0015611F">
            <w:pPr>
              <w:pStyle w:val="TableParagraph"/>
              <w:spacing w:before="30"/>
              <w:ind w:left="221"/>
              <w:rPr>
                <w:b/>
                <w:sz w:val="18"/>
              </w:rPr>
            </w:pPr>
            <w:r>
              <w:rPr>
                <w:b/>
                <w:sz w:val="18"/>
              </w:rPr>
              <w:t>$'000</w:t>
            </w:r>
          </w:p>
        </w:tc>
      </w:tr>
      <w:tr w:rsidR="00FA4AA8" w14:paraId="3296CC40" w14:textId="77777777">
        <w:trPr>
          <w:trHeight w:val="267"/>
        </w:trPr>
        <w:tc>
          <w:tcPr>
            <w:tcW w:w="4012" w:type="dxa"/>
          </w:tcPr>
          <w:p w14:paraId="3A841E98" w14:textId="77777777" w:rsidR="00FA4AA8" w:rsidRDefault="0015611F">
            <w:pPr>
              <w:pStyle w:val="TableParagraph"/>
              <w:spacing w:before="30"/>
              <w:ind w:left="50"/>
              <w:rPr>
                <w:sz w:val="18"/>
              </w:rPr>
            </w:pPr>
            <w:r>
              <w:rPr>
                <w:sz w:val="18"/>
              </w:rPr>
              <w:t>Proceeds from sale</w:t>
            </w:r>
          </w:p>
        </w:tc>
        <w:tc>
          <w:tcPr>
            <w:tcW w:w="1651" w:type="dxa"/>
          </w:tcPr>
          <w:p w14:paraId="79968CD3" w14:textId="77777777" w:rsidR="00FA4AA8" w:rsidRDefault="0015611F">
            <w:pPr>
              <w:pStyle w:val="TableParagraph"/>
              <w:spacing w:before="28"/>
              <w:ind w:right="278"/>
              <w:jc w:val="right"/>
              <w:rPr>
                <w:b/>
                <w:sz w:val="18"/>
              </w:rPr>
            </w:pPr>
            <w:r>
              <w:rPr>
                <w:b/>
                <w:sz w:val="18"/>
              </w:rPr>
              <w:t>98,369</w:t>
            </w:r>
          </w:p>
        </w:tc>
        <w:tc>
          <w:tcPr>
            <w:tcW w:w="1380" w:type="dxa"/>
          </w:tcPr>
          <w:p w14:paraId="1FA5722A" w14:textId="77777777" w:rsidR="00FA4AA8" w:rsidRDefault="0015611F">
            <w:pPr>
              <w:pStyle w:val="TableParagraph"/>
              <w:spacing w:before="28"/>
              <w:ind w:right="362"/>
              <w:jc w:val="right"/>
              <w:rPr>
                <w:sz w:val="18"/>
              </w:rPr>
            </w:pPr>
            <w:r>
              <w:rPr>
                <w:sz w:val="18"/>
              </w:rPr>
              <w:t>95,076</w:t>
            </w:r>
          </w:p>
        </w:tc>
        <w:tc>
          <w:tcPr>
            <w:tcW w:w="1380" w:type="dxa"/>
          </w:tcPr>
          <w:p w14:paraId="2919844F" w14:textId="77777777" w:rsidR="00FA4AA8" w:rsidRDefault="0015611F">
            <w:pPr>
              <w:pStyle w:val="TableParagraph"/>
              <w:spacing w:before="28"/>
              <w:ind w:right="278"/>
              <w:jc w:val="right"/>
              <w:rPr>
                <w:b/>
                <w:sz w:val="18"/>
              </w:rPr>
            </w:pPr>
            <w:r>
              <w:rPr>
                <w:b/>
                <w:sz w:val="18"/>
              </w:rPr>
              <w:t>98,349</w:t>
            </w:r>
          </w:p>
        </w:tc>
        <w:tc>
          <w:tcPr>
            <w:tcW w:w="1109" w:type="dxa"/>
          </w:tcPr>
          <w:p w14:paraId="52F59660" w14:textId="77777777" w:rsidR="00FA4AA8" w:rsidRDefault="0015611F">
            <w:pPr>
              <w:pStyle w:val="TableParagraph"/>
              <w:spacing w:before="28"/>
              <w:ind w:right="91"/>
              <w:jc w:val="right"/>
              <w:rPr>
                <w:sz w:val="18"/>
              </w:rPr>
            </w:pPr>
            <w:r>
              <w:rPr>
                <w:sz w:val="18"/>
              </w:rPr>
              <w:t>94,841</w:t>
            </w:r>
          </w:p>
        </w:tc>
      </w:tr>
      <w:tr w:rsidR="00FA4AA8" w14:paraId="6A4A9842" w14:textId="77777777">
        <w:trPr>
          <w:trHeight w:val="256"/>
        </w:trPr>
        <w:tc>
          <w:tcPr>
            <w:tcW w:w="4012" w:type="dxa"/>
          </w:tcPr>
          <w:p w14:paraId="5E2671E3" w14:textId="77777777" w:rsidR="00FA4AA8" w:rsidRDefault="0015611F">
            <w:pPr>
              <w:pStyle w:val="TableParagraph"/>
              <w:spacing w:before="26"/>
              <w:ind w:left="50"/>
              <w:rPr>
                <w:sz w:val="18"/>
              </w:rPr>
            </w:pPr>
            <w:r>
              <w:rPr>
                <w:sz w:val="18"/>
              </w:rPr>
              <w:t>Carrying amount of assets sold</w:t>
            </w:r>
          </w:p>
        </w:tc>
        <w:tc>
          <w:tcPr>
            <w:tcW w:w="1651" w:type="dxa"/>
            <w:tcBorders>
              <w:bottom w:val="single" w:sz="8" w:space="0" w:color="000000"/>
            </w:tcBorders>
          </w:tcPr>
          <w:p w14:paraId="03EC0BFA" w14:textId="77777777" w:rsidR="00FA4AA8" w:rsidRDefault="0015611F">
            <w:pPr>
              <w:pStyle w:val="TableParagraph"/>
              <w:spacing w:before="24"/>
              <w:ind w:right="217"/>
              <w:jc w:val="right"/>
              <w:rPr>
                <w:b/>
                <w:sz w:val="18"/>
              </w:rPr>
            </w:pPr>
            <w:r>
              <w:rPr>
                <w:b/>
                <w:sz w:val="18"/>
              </w:rPr>
              <w:t>(64,382)</w:t>
            </w:r>
          </w:p>
        </w:tc>
        <w:tc>
          <w:tcPr>
            <w:tcW w:w="1380" w:type="dxa"/>
            <w:tcBorders>
              <w:bottom w:val="single" w:sz="8" w:space="0" w:color="000000"/>
            </w:tcBorders>
          </w:tcPr>
          <w:p w14:paraId="119428A0" w14:textId="77777777" w:rsidR="00FA4AA8" w:rsidRDefault="0015611F">
            <w:pPr>
              <w:pStyle w:val="TableParagraph"/>
              <w:spacing w:before="24"/>
              <w:ind w:right="301"/>
              <w:jc w:val="right"/>
              <w:rPr>
                <w:sz w:val="18"/>
              </w:rPr>
            </w:pPr>
            <w:r>
              <w:rPr>
                <w:sz w:val="18"/>
              </w:rPr>
              <w:t>(59,053)</w:t>
            </w:r>
          </w:p>
        </w:tc>
        <w:tc>
          <w:tcPr>
            <w:tcW w:w="1380" w:type="dxa"/>
            <w:tcBorders>
              <w:bottom w:val="single" w:sz="8" w:space="0" w:color="000000"/>
            </w:tcBorders>
          </w:tcPr>
          <w:p w14:paraId="7BE73B71" w14:textId="77777777" w:rsidR="00FA4AA8" w:rsidRDefault="0015611F">
            <w:pPr>
              <w:pStyle w:val="TableParagraph"/>
              <w:spacing w:before="24"/>
              <w:ind w:right="217"/>
              <w:jc w:val="right"/>
              <w:rPr>
                <w:b/>
                <w:sz w:val="18"/>
              </w:rPr>
            </w:pPr>
            <w:r>
              <w:rPr>
                <w:b/>
                <w:sz w:val="18"/>
              </w:rPr>
              <w:t>(64,356)</w:t>
            </w:r>
          </w:p>
        </w:tc>
        <w:tc>
          <w:tcPr>
            <w:tcW w:w="1109" w:type="dxa"/>
            <w:tcBorders>
              <w:bottom w:val="single" w:sz="8" w:space="0" w:color="000000"/>
            </w:tcBorders>
          </w:tcPr>
          <w:p w14:paraId="70E05C87" w14:textId="77777777" w:rsidR="00FA4AA8" w:rsidRDefault="0015611F">
            <w:pPr>
              <w:pStyle w:val="TableParagraph"/>
              <w:spacing w:before="24"/>
              <w:ind w:right="30"/>
              <w:jc w:val="right"/>
              <w:rPr>
                <w:sz w:val="18"/>
              </w:rPr>
            </w:pPr>
            <w:r>
              <w:rPr>
                <w:sz w:val="18"/>
              </w:rPr>
              <w:t>(58,901)</w:t>
            </w:r>
          </w:p>
        </w:tc>
      </w:tr>
      <w:tr w:rsidR="00FA4AA8" w14:paraId="6CEBB169" w14:textId="77777777">
        <w:trPr>
          <w:trHeight w:val="316"/>
        </w:trPr>
        <w:tc>
          <w:tcPr>
            <w:tcW w:w="4012" w:type="dxa"/>
          </w:tcPr>
          <w:p w14:paraId="4AC00780" w14:textId="77777777" w:rsidR="00FA4AA8" w:rsidRDefault="0015611F">
            <w:pPr>
              <w:pStyle w:val="TableParagraph"/>
              <w:spacing w:before="115" w:line="181" w:lineRule="exact"/>
              <w:ind w:left="50"/>
              <w:rPr>
                <w:b/>
                <w:sz w:val="18"/>
              </w:rPr>
            </w:pPr>
            <w:r>
              <w:rPr>
                <w:b/>
                <w:sz w:val="18"/>
              </w:rPr>
              <w:t>Total gain on disposal of assets</w:t>
            </w:r>
          </w:p>
        </w:tc>
        <w:tc>
          <w:tcPr>
            <w:tcW w:w="1651" w:type="dxa"/>
            <w:tcBorders>
              <w:top w:val="single" w:sz="8" w:space="0" w:color="000000"/>
              <w:bottom w:val="single" w:sz="2" w:space="0" w:color="000000"/>
            </w:tcBorders>
          </w:tcPr>
          <w:p w14:paraId="43EC8614" w14:textId="77777777" w:rsidR="00FA4AA8" w:rsidRDefault="0015611F">
            <w:pPr>
              <w:pStyle w:val="TableParagraph"/>
              <w:spacing w:before="115" w:line="181" w:lineRule="exact"/>
              <w:ind w:right="278"/>
              <w:jc w:val="right"/>
              <w:rPr>
                <w:b/>
                <w:sz w:val="18"/>
              </w:rPr>
            </w:pPr>
            <w:r>
              <w:rPr>
                <w:b/>
                <w:sz w:val="18"/>
              </w:rPr>
              <w:t>33,987</w:t>
            </w:r>
          </w:p>
        </w:tc>
        <w:tc>
          <w:tcPr>
            <w:tcW w:w="1380" w:type="dxa"/>
            <w:tcBorders>
              <w:top w:val="single" w:sz="8" w:space="0" w:color="000000"/>
              <w:bottom w:val="single" w:sz="6" w:space="0" w:color="000000"/>
            </w:tcBorders>
          </w:tcPr>
          <w:p w14:paraId="63E0792B" w14:textId="77777777" w:rsidR="00FA4AA8" w:rsidRDefault="0015611F">
            <w:pPr>
              <w:pStyle w:val="TableParagraph"/>
              <w:spacing w:before="115" w:line="181" w:lineRule="exact"/>
              <w:ind w:right="362"/>
              <w:jc w:val="right"/>
              <w:rPr>
                <w:sz w:val="18"/>
              </w:rPr>
            </w:pPr>
            <w:r>
              <w:rPr>
                <w:sz w:val="18"/>
              </w:rPr>
              <w:t>36,023</w:t>
            </w:r>
          </w:p>
        </w:tc>
        <w:tc>
          <w:tcPr>
            <w:tcW w:w="1380" w:type="dxa"/>
            <w:tcBorders>
              <w:top w:val="single" w:sz="8" w:space="0" w:color="000000"/>
              <w:bottom w:val="thinThickMediumGap" w:sz="2" w:space="0" w:color="000000"/>
            </w:tcBorders>
          </w:tcPr>
          <w:p w14:paraId="35954089" w14:textId="77777777" w:rsidR="00FA4AA8" w:rsidRDefault="0015611F">
            <w:pPr>
              <w:pStyle w:val="TableParagraph"/>
              <w:spacing w:before="115" w:line="181" w:lineRule="exact"/>
              <w:ind w:right="278"/>
              <w:jc w:val="right"/>
              <w:rPr>
                <w:b/>
                <w:sz w:val="18"/>
              </w:rPr>
            </w:pPr>
            <w:r>
              <w:rPr>
                <w:b/>
                <w:sz w:val="18"/>
              </w:rPr>
              <w:t>33,993</w:t>
            </w:r>
          </w:p>
        </w:tc>
        <w:tc>
          <w:tcPr>
            <w:tcW w:w="1109" w:type="dxa"/>
            <w:tcBorders>
              <w:top w:val="single" w:sz="8" w:space="0" w:color="000000"/>
              <w:bottom w:val="thinThickMediumGap" w:sz="2" w:space="0" w:color="000000"/>
            </w:tcBorders>
          </w:tcPr>
          <w:p w14:paraId="39D9A069" w14:textId="77777777" w:rsidR="00FA4AA8" w:rsidRDefault="0015611F">
            <w:pPr>
              <w:pStyle w:val="TableParagraph"/>
              <w:spacing w:before="115" w:line="181" w:lineRule="exact"/>
              <w:ind w:right="91"/>
              <w:jc w:val="right"/>
              <w:rPr>
                <w:sz w:val="18"/>
              </w:rPr>
            </w:pPr>
            <w:r>
              <w:rPr>
                <w:sz w:val="18"/>
              </w:rPr>
              <w:t>35,940</w:t>
            </w:r>
          </w:p>
        </w:tc>
      </w:tr>
    </w:tbl>
    <w:p w14:paraId="2901FE1C" w14:textId="77777777" w:rsidR="00FA4AA8" w:rsidRDefault="00FA4AA8">
      <w:pPr>
        <w:spacing w:line="181" w:lineRule="exact"/>
        <w:jc w:val="right"/>
        <w:rPr>
          <w:sz w:val="18"/>
        </w:rPr>
        <w:sectPr w:rsidR="00FA4AA8">
          <w:type w:val="continuous"/>
          <w:pgSz w:w="11910" w:h="16840"/>
          <w:pgMar w:top="20" w:right="840" w:bottom="0" w:left="840" w:header="720" w:footer="720" w:gutter="0"/>
          <w:cols w:space="720"/>
        </w:sectPr>
      </w:pPr>
    </w:p>
    <w:p w14:paraId="4C7E407A" w14:textId="77777777" w:rsidR="00FA4AA8" w:rsidRDefault="00FA4AA8">
      <w:pPr>
        <w:pStyle w:val="BodyText"/>
        <w:rPr>
          <w:b/>
          <w:sz w:val="20"/>
        </w:rPr>
      </w:pPr>
    </w:p>
    <w:p w14:paraId="227C6D07" w14:textId="77777777" w:rsidR="00FA4AA8" w:rsidRDefault="00FA4AA8">
      <w:pPr>
        <w:pStyle w:val="BodyText"/>
        <w:spacing w:before="10"/>
        <w:rPr>
          <w:b/>
          <w:sz w:val="29"/>
        </w:rPr>
      </w:pPr>
    </w:p>
    <w:p w14:paraId="1A6F5DD1" w14:textId="77777777" w:rsidR="00FA4AA8" w:rsidRDefault="0015611F">
      <w:pPr>
        <w:pStyle w:val="ListParagraph"/>
        <w:numPr>
          <w:ilvl w:val="0"/>
          <w:numId w:val="105"/>
        </w:numPr>
        <w:tabs>
          <w:tab w:val="left" w:pos="563"/>
          <w:tab w:val="left" w:pos="564"/>
        </w:tabs>
        <w:spacing w:before="94"/>
        <w:ind w:hanging="397"/>
        <w:rPr>
          <w:b/>
          <w:sz w:val="18"/>
        </w:rPr>
      </w:pPr>
      <w:bookmarkStart w:id="29" w:name="9_Other_revenue_and_income_"/>
      <w:bookmarkEnd w:id="29"/>
      <w:r>
        <w:rPr>
          <w:b/>
          <w:sz w:val="18"/>
        </w:rPr>
        <w:t>Other revenue and income</w:t>
      </w:r>
    </w:p>
    <w:p w14:paraId="3D6EDE36" w14:textId="77777777" w:rsidR="00FA4AA8" w:rsidRDefault="0015611F">
      <w:pPr>
        <w:tabs>
          <w:tab w:val="left" w:pos="8579"/>
        </w:tabs>
        <w:spacing w:before="33"/>
        <w:ind w:left="5856"/>
        <w:rPr>
          <w:b/>
          <w:sz w:val="18"/>
        </w:rPr>
      </w:pPr>
      <w:r>
        <w:rPr>
          <w:b/>
          <w:sz w:val="18"/>
        </w:rPr>
        <w:t>Consolidated</w:t>
      </w:r>
      <w:r>
        <w:rPr>
          <w:b/>
          <w:sz w:val="18"/>
        </w:rPr>
        <w:tab/>
        <w:t>Parent</w:t>
      </w:r>
    </w:p>
    <w:p w14:paraId="614F9BCD" w14:textId="77777777" w:rsidR="00FA4AA8" w:rsidRDefault="00FA4AA8">
      <w:pPr>
        <w:pStyle w:val="BodyText"/>
        <w:spacing w:before="3"/>
        <w:rPr>
          <w:b/>
          <w:sz w:val="6"/>
        </w:rPr>
      </w:pPr>
    </w:p>
    <w:tbl>
      <w:tblPr>
        <w:tblW w:w="0" w:type="auto"/>
        <w:tblInd w:w="547" w:type="dxa"/>
        <w:tblLayout w:type="fixed"/>
        <w:tblCellMar>
          <w:left w:w="0" w:type="dxa"/>
          <w:right w:w="0" w:type="dxa"/>
        </w:tblCellMar>
        <w:tblLook w:val="01E0" w:firstRow="1" w:lastRow="1" w:firstColumn="1" w:lastColumn="1" w:noHBand="0" w:noVBand="0"/>
      </w:tblPr>
      <w:tblGrid>
        <w:gridCol w:w="3859"/>
        <w:gridCol w:w="811"/>
        <w:gridCol w:w="1421"/>
        <w:gridCol w:w="1217"/>
        <w:gridCol w:w="1217"/>
        <w:gridCol w:w="1013"/>
      </w:tblGrid>
      <w:tr w:rsidR="00FA4AA8" w14:paraId="3769E853" w14:textId="77777777">
        <w:trPr>
          <w:trHeight w:val="872"/>
        </w:trPr>
        <w:tc>
          <w:tcPr>
            <w:tcW w:w="3859" w:type="dxa"/>
          </w:tcPr>
          <w:p w14:paraId="4618EDAD" w14:textId="77777777" w:rsidR="00FA4AA8" w:rsidRDefault="00FA4AA8">
            <w:pPr>
              <w:pStyle w:val="TableParagraph"/>
              <w:rPr>
                <w:b/>
                <w:sz w:val="20"/>
              </w:rPr>
            </w:pPr>
          </w:p>
          <w:p w14:paraId="4562D665" w14:textId="77777777" w:rsidR="00FA4AA8" w:rsidRDefault="00FA4AA8">
            <w:pPr>
              <w:pStyle w:val="TableParagraph"/>
              <w:rPr>
                <w:b/>
                <w:sz w:val="20"/>
              </w:rPr>
            </w:pPr>
          </w:p>
          <w:p w14:paraId="7BC7C4A4" w14:textId="77777777" w:rsidR="00FA4AA8" w:rsidRDefault="00FA4AA8">
            <w:pPr>
              <w:pStyle w:val="TableParagraph"/>
              <w:spacing w:before="5"/>
              <w:rPr>
                <w:b/>
                <w:sz w:val="16"/>
              </w:rPr>
            </w:pPr>
          </w:p>
          <w:p w14:paraId="39CFD39F" w14:textId="77777777" w:rsidR="00FA4AA8" w:rsidRDefault="0015611F">
            <w:pPr>
              <w:pStyle w:val="TableParagraph"/>
              <w:spacing w:line="203" w:lineRule="exact"/>
              <w:ind w:left="50"/>
              <w:rPr>
                <w:b/>
                <w:sz w:val="18"/>
              </w:rPr>
            </w:pPr>
            <w:r>
              <w:rPr>
                <w:b/>
                <w:sz w:val="18"/>
              </w:rPr>
              <w:t>Other income</w:t>
            </w:r>
          </w:p>
        </w:tc>
        <w:tc>
          <w:tcPr>
            <w:tcW w:w="811" w:type="dxa"/>
          </w:tcPr>
          <w:p w14:paraId="74F640F7" w14:textId="77777777" w:rsidR="00FA4AA8" w:rsidRDefault="00FA4AA8">
            <w:pPr>
              <w:pStyle w:val="TableParagraph"/>
              <w:spacing w:before="3"/>
              <w:rPr>
                <w:b/>
                <w:sz w:val="23"/>
              </w:rPr>
            </w:pPr>
          </w:p>
          <w:p w14:paraId="26274B81" w14:textId="77777777" w:rsidR="00FA4AA8" w:rsidRDefault="0015611F">
            <w:pPr>
              <w:pStyle w:val="TableParagraph"/>
              <w:ind w:right="85"/>
              <w:jc w:val="right"/>
              <w:rPr>
                <w:b/>
                <w:sz w:val="18"/>
              </w:rPr>
            </w:pPr>
            <w:r>
              <w:rPr>
                <w:b/>
                <w:sz w:val="18"/>
              </w:rPr>
              <w:t>Note</w:t>
            </w:r>
          </w:p>
        </w:tc>
        <w:tc>
          <w:tcPr>
            <w:tcW w:w="1421" w:type="dxa"/>
          </w:tcPr>
          <w:p w14:paraId="4C884C6F" w14:textId="77777777" w:rsidR="00FA4AA8" w:rsidRDefault="0015611F">
            <w:pPr>
              <w:pStyle w:val="TableParagraph"/>
              <w:spacing w:line="201" w:lineRule="exact"/>
              <w:ind w:left="477" w:right="459"/>
              <w:jc w:val="center"/>
              <w:rPr>
                <w:b/>
                <w:sz w:val="18"/>
              </w:rPr>
            </w:pPr>
            <w:r>
              <w:rPr>
                <w:b/>
                <w:sz w:val="18"/>
              </w:rPr>
              <w:t>2018</w:t>
            </w:r>
          </w:p>
          <w:p w14:paraId="23E91D7C" w14:textId="77777777" w:rsidR="00FA4AA8" w:rsidRDefault="0015611F">
            <w:pPr>
              <w:pStyle w:val="TableParagraph"/>
              <w:spacing w:before="66"/>
              <w:ind w:left="477" w:right="459"/>
              <w:jc w:val="center"/>
              <w:rPr>
                <w:b/>
                <w:sz w:val="18"/>
              </w:rPr>
            </w:pPr>
            <w:r>
              <w:rPr>
                <w:b/>
                <w:sz w:val="18"/>
              </w:rPr>
              <w:t>$'000</w:t>
            </w:r>
          </w:p>
        </w:tc>
        <w:tc>
          <w:tcPr>
            <w:tcW w:w="1217" w:type="dxa"/>
          </w:tcPr>
          <w:p w14:paraId="411CEBBF" w14:textId="77777777" w:rsidR="00FA4AA8" w:rsidRDefault="0015611F">
            <w:pPr>
              <w:pStyle w:val="TableParagraph"/>
              <w:spacing w:line="201" w:lineRule="exact"/>
              <w:ind w:left="230"/>
              <w:rPr>
                <w:b/>
                <w:sz w:val="18"/>
              </w:rPr>
            </w:pPr>
            <w:r>
              <w:rPr>
                <w:b/>
                <w:sz w:val="18"/>
              </w:rPr>
              <w:t>2017</w:t>
            </w:r>
          </w:p>
          <w:p w14:paraId="0D8CE617" w14:textId="77777777" w:rsidR="00FA4AA8" w:rsidRDefault="0015611F">
            <w:pPr>
              <w:pStyle w:val="TableParagraph"/>
              <w:spacing w:before="66"/>
              <w:ind w:left="208"/>
              <w:rPr>
                <w:b/>
                <w:sz w:val="18"/>
              </w:rPr>
            </w:pPr>
            <w:r>
              <w:rPr>
                <w:b/>
                <w:sz w:val="18"/>
              </w:rPr>
              <w:t>$'000</w:t>
            </w:r>
          </w:p>
        </w:tc>
        <w:tc>
          <w:tcPr>
            <w:tcW w:w="1217" w:type="dxa"/>
          </w:tcPr>
          <w:p w14:paraId="7163C2D0" w14:textId="77777777" w:rsidR="00FA4AA8" w:rsidRDefault="0015611F">
            <w:pPr>
              <w:pStyle w:val="TableParagraph"/>
              <w:spacing w:line="201" w:lineRule="exact"/>
              <w:ind w:left="313"/>
              <w:rPr>
                <w:b/>
                <w:sz w:val="18"/>
              </w:rPr>
            </w:pPr>
            <w:r>
              <w:rPr>
                <w:b/>
                <w:sz w:val="18"/>
              </w:rPr>
              <w:t>2018</w:t>
            </w:r>
          </w:p>
          <w:p w14:paraId="1B35AA30" w14:textId="77777777" w:rsidR="00FA4AA8" w:rsidRDefault="0015611F">
            <w:pPr>
              <w:pStyle w:val="TableParagraph"/>
              <w:spacing w:before="66"/>
              <w:ind w:left="292"/>
              <w:rPr>
                <w:b/>
                <w:sz w:val="18"/>
              </w:rPr>
            </w:pPr>
            <w:r>
              <w:rPr>
                <w:b/>
                <w:sz w:val="18"/>
              </w:rPr>
              <w:t>$'000</w:t>
            </w:r>
          </w:p>
        </w:tc>
        <w:tc>
          <w:tcPr>
            <w:tcW w:w="1013" w:type="dxa"/>
          </w:tcPr>
          <w:p w14:paraId="74CEBA64" w14:textId="77777777" w:rsidR="00FA4AA8" w:rsidRDefault="0015611F">
            <w:pPr>
              <w:pStyle w:val="TableParagraph"/>
              <w:spacing w:line="201" w:lineRule="exact"/>
              <w:ind w:left="229"/>
              <w:rPr>
                <w:b/>
                <w:sz w:val="18"/>
              </w:rPr>
            </w:pPr>
            <w:r>
              <w:rPr>
                <w:b/>
                <w:sz w:val="18"/>
              </w:rPr>
              <w:t>2017</w:t>
            </w:r>
          </w:p>
          <w:p w14:paraId="39D18F0E" w14:textId="77777777" w:rsidR="00FA4AA8" w:rsidRDefault="0015611F">
            <w:pPr>
              <w:pStyle w:val="TableParagraph"/>
              <w:spacing w:before="66"/>
              <w:ind w:left="208"/>
              <w:rPr>
                <w:b/>
                <w:sz w:val="18"/>
              </w:rPr>
            </w:pPr>
            <w:r>
              <w:rPr>
                <w:b/>
                <w:sz w:val="18"/>
              </w:rPr>
              <w:t>$'000</w:t>
            </w:r>
          </w:p>
        </w:tc>
      </w:tr>
      <w:tr w:rsidR="00FA4AA8" w14:paraId="6AF6F1F5" w14:textId="77777777">
        <w:trPr>
          <w:trHeight w:val="251"/>
        </w:trPr>
        <w:tc>
          <w:tcPr>
            <w:tcW w:w="3859" w:type="dxa"/>
          </w:tcPr>
          <w:p w14:paraId="750282A1" w14:textId="77777777" w:rsidR="00FA4AA8" w:rsidRDefault="0015611F">
            <w:pPr>
              <w:pStyle w:val="TableParagraph"/>
              <w:spacing w:before="14"/>
              <w:ind w:left="50"/>
              <w:rPr>
                <w:sz w:val="18"/>
              </w:rPr>
            </w:pPr>
            <w:r>
              <w:rPr>
                <w:sz w:val="18"/>
              </w:rPr>
              <w:t>Service income</w:t>
            </w:r>
          </w:p>
        </w:tc>
        <w:tc>
          <w:tcPr>
            <w:tcW w:w="811" w:type="dxa"/>
          </w:tcPr>
          <w:p w14:paraId="7C5A4974" w14:textId="77777777" w:rsidR="00FA4AA8" w:rsidRDefault="0015611F">
            <w:pPr>
              <w:pStyle w:val="TableParagraph"/>
              <w:spacing w:before="10"/>
              <w:ind w:right="74"/>
              <w:jc w:val="right"/>
              <w:rPr>
                <w:sz w:val="18"/>
              </w:rPr>
            </w:pPr>
            <w:r>
              <w:rPr>
                <w:sz w:val="18"/>
              </w:rPr>
              <w:t>32(d)</w:t>
            </w:r>
          </w:p>
        </w:tc>
        <w:tc>
          <w:tcPr>
            <w:tcW w:w="1421" w:type="dxa"/>
          </w:tcPr>
          <w:p w14:paraId="2EC0E7CB" w14:textId="77777777" w:rsidR="00FA4AA8" w:rsidRDefault="0015611F">
            <w:pPr>
              <w:pStyle w:val="TableParagraph"/>
              <w:spacing w:before="12"/>
              <w:ind w:right="207"/>
              <w:jc w:val="right"/>
              <w:rPr>
                <w:b/>
                <w:sz w:val="18"/>
              </w:rPr>
            </w:pPr>
            <w:r>
              <w:rPr>
                <w:b/>
                <w:sz w:val="18"/>
              </w:rPr>
              <w:t>71</w:t>
            </w:r>
          </w:p>
        </w:tc>
        <w:tc>
          <w:tcPr>
            <w:tcW w:w="1217" w:type="dxa"/>
          </w:tcPr>
          <w:p w14:paraId="39892BF1" w14:textId="77777777" w:rsidR="00FA4AA8" w:rsidRDefault="0015611F">
            <w:pPr>
              <w:pStyle w:val="TableParagraph"/>
              <w:spacing w:before="12"/>
              <w:ind w:right="291"/>
              <w:jc w:val="right"/>
              <w:rPr>
                <w:sz w:val="18"/>
              </w:rPr>
            </w:pPr>
            <w:r>
              <w:rPr>
                <w:sz w:val="18"/>
              </w:rPr>
              <w:t>705</w:t>
            </w:r>
          </w:p>
        </w:tc>
        <w:tc>
          <w:tcPr>
            <w:tcW w:w="1217" w:type="dxa"/>
          </w:tcPr>
          <w:p w14:paraId="5E67842E" w14:textId="77777777" w:rsidR="00FA4AA8" w:rsidRDefault="0015611F">
            <w:pPr>
              <w:pStyle w:val="TableParagraph"/>
              <w:spacing w:before="12"/>
              <w:ind w:right="207"/>
              <w:jc w:val="right"/>
              <w:rPr>
                <w:b/>
                <w:sz w:val="18"/>
              </w:rPr>
            </w:pPr>
            <w:r>
              <w:rPr>
                <w:b/>
                <w:sz w:val="18"/>
              </w:rPr>
              <w:t>23,817</w:t>
            </w:r>
          </w:p>
        </w:tc>
        <w:tc>
          <w:tcPr>
            <w:tcW w:w="1013" w:type="dxa"/>
          </w:tcPr>
          <w:p w14:paraId="4446CB6D" w14:textId="77777777" w:rsidR="00FA4AA8" w:rsidRDefault="0015611F">
            <w:pPr>
              <w:pStyle w:val="TableParagraph"/>
              <w:spacing w:before="12"/>
              <w:ind w:right="87"/>
              <w:jc w:val="right"/>
              <w:rPr>
                <w:sz w:val="18"/>
              </w:rPr>
            </w:pPr>
            <w:r>
              <w:rPr>
                <w:sz w:val="18"/>
              </w:rPr>
              <w:t>23,027</w:t>
            </w:r>
          </w:p>
        </w:tc>
      </w:tr>
      <w:tr w:rsidR="00FA4AA8" w14:paraId="0C130EA1" w14:textId="77777777">
        <w:trPr>
          <w:trHeight w:val="264"/>
        </w:trPr>
        <w:tc>
          <w:tcPr>
            <w:tcW w:w="3859" w:type="dxa"/>
          </w:tcPr>
          <w:p w14:paraId="1EAD2A49" w14:textId="77777777" w:rsidR="00FA4AA8" w:rsidRDefault="0015611F">
            <w:pPr>
              <w:pStyle w:val="TableParagraph"/>
              <w:spacing w:before="26"/>
              <w:ind w:left="50"/>
              <w:rPr>
                <w:sz w:val="18"/>
              </w:rPr>
            </w:pPr>
            <w:r>
              <w:rPr>
                <w:sz w:val="18"/>
              </w:rPr>
              <w:t>Recoveries</w:t>
            </w:r>
          </w:p>
        </w:tc>
        <w:tc>
          <w:tcPr>
            <w:tcW w:w="811" w:type="dxa"/>
          </w:tcPr>
          <w:p w14:paraId="743BE3BF" w14:textId="77777777" w:rsidR="00FA4AA8" w:rsidRDefault="00FA4AA8">
            <w:pPr>
              <w:pStyle w:val="TableParagraph"/>
              <w:rPr>
                <w:rFonts w:ascii="Times New Roman"/>
                <w:sz w:val="18"/>
              </w:rPr>
            </w:pPr>
          </w:p>
        </w:tc>
        <w:tc>
          <w:tcPr>
            <w:tcW w:w="1421" w:type="dxa"/>
          </w:tcPr>
          <w:p w14:paraId="389CFD30" w14:textId="77777777" w:rsidR="00FA4AA8" w:rsidRDefault="0015611F">
            <w:pPr>
              <w:pStyle w:val="TableParagraph"/>
              <w:spacing w:before="24"/>
              <w:ind w:right="207"/>
              <w:jc w:val="right"/>
              <w:rPr>
                <w:b/>
                <w:sz w:val="18"/>
              </w:rPr>
            </w:pPr>
            <w:r>
              <w:rPr>
                <w:b/>
                <w:sz w:val="18"/>
              </w:rPr>
              <w:t>12,440</w:t>
            </w:r>
          </w:p>
        </w:tc>
        <w:tc>
          <w:tcPr>
            <w:tcW w:w="1217" w:type="dxa"/>
          </w:tcPr>
          <w:p w14:paraId="79A9FC5E" w14:textId="77777777" w:rsidR="00FA4AA8" w:rsidRDefault="0015611F">
            <w:pPr>
              <w:pStyle w:val="TableParagraph"/>
              <w:spacing w:before="24"/>
              <w:ind w:right="291"/>
              <w:jc w:val="right"/>
              <w:rPr>
                <w:sz w:val="18"/>
              </w:rPr>
            </w:pPr>
            <w:r>
              <w:rPr>
                <w:sz w:val="18"/>
              </w:rPr>
              <w:t>6,023</w:t>
            </w:r>
          </w:p>
        </w:tc>
        <w:tc>
          <w:tcPr>
            <w:tcW w:w="1217" w:type="dxa"/>
          </w:tcPr>
          <w:p w14:paraId="09438B80" w14:textId="77777777" w:rsidR="00FA4AA8" w:rsidRDefault="0015611F">
            <w:pPr>
              <w:pStyle w:val="TableParagraph"/>
              <w:spacing w:before="24"/>
              <w:ind w:right="207"/>
              <w:jc w:val="right"/>
              <w:rPr>
                <w:b/>
                <w:sz w:val="18"/>
              </w:rPr>
            </w:pPr>
            <w:r>
              <w:rPr>
                <w:b/>
                <w:sz w:val="18"/>
              </w:rPr>
              <w:t>12,364</w:t>
            </w:r>
          </w:p>
        </w:tc>
        <w:tc>
          <w:tcPr>
            <w:tcW w:w="1013" w:type="dxa"/>
          </w:tcPr>
          <w:p w14:paraId="7F4B6FF5" w14:textId="77777777" w:rsidR="00FA4AA8" w:rsidRDefault="0015611F">
            <w:pPr>
              <w:pStyle w:val="TableParagraph"/>
              <w:spacing w:before="24"/>
              <w:ind w:right="87"/>
              <w:jc w:val="right"/>
              <w:rPr>
                <w:sz w:val="18"/>
              </w:rPr>
            </w:pPr>
            <w:r>
              <w:rPr>
                <w:sz w:val="18"/>
              </w:rPr>
              <w:t>5,978</w:t>
            </w:r>
          </w:p>
        </w:tc>
      </w:tr>
      <w:tr w:rsidR="00FA4AA8" w14:paraId="037F739F" w14:textId="77777777">
        <w:trPr>
          <w:trHeight w:val="264"/>
        </w:trPr>
        <w:tc>
          <w:tcPr>
            <w:tcW w:w="3859" w:type="dxa"/>
          </w:tcPr>
          <w:p w14:paraId="5224FD72" w14:textId="77777777" w:rsidR="00FA4AA8" w:rsidRDefault="0015611F">
            <w:pPr>
              <w:pStyle w:val="TableParagraph"/>
              <w:spacing w:before="26"/>
              <w:ind w:left="50"/>
              <w:rPr>
                <w:sz w:val="18"/>
              </w:rPr>
            </w:pPr>
            <w:r>
              <w:rPr>
                <w:sz w:val="18"/>
              </w:rPr>
              <w:t>Commercial leases and other rental income</w:t>
            </w:r>
          </w:p>
        </w:tc>
        <w:tc>
          <w:tcPr>
            <w:tcW w:w="811" w:type="dxa"/>
          </w:tcPr>
          <w:p w14:paraId="701BD8C6" w14:textId="77777777" w:rsidR="00FA4AA8" w:rsidRDefault="00FA4AA8">
            <w:pPr>
              <w:pStyle w:val="TableParagraph"/>
              <w:rPr>
                <w:rFonts w:ascii="Times New Roman"/>
                <w:sz w:val="18"/>
              </w:rPr>
            </w:pPr>
          </w:p>
        </w:tc>
        <w:tc>
          <w:tcPr>
            <w:tcW w:w="1421" w:type="dxa"/>
          </w:tcPr>
          <w:p w14:paraId="77582660" w14:textId="77777777" w:rsidR="00FA4AA8" w:rsidRDefault="0015611F">
            <w:pPr>
              <w:pStyle w:val="TableParagraph"/>
              <w:spacing w:before="24"/>
              <w:ind w:right="207"/>
              <w:jc w:val="right"/>
              <w:rPr>
                <w:b/>
                <w:sz w:val="18"/>
              </w:rPr>
            </w:pPr>
            <w:r>
              <w:rPr>
                <w:b/>
                <w:sz w:val="18"/>
              </w:rPr>
              <w:t>11,894</w:t>
            </w:r>
          </w:p>
        </w:tc>
        <w:tc>
          <w:tcPr>
            <w:tcW w:w="1217" w:type="dxa"/>
          </w:tcPr>
          <w:p w14:paraId="0BC53A39" w14:textId="77777777" w:rsidR="00FA4AA8" w:rsidRDefault="0015611F">
            <w:pPr>
              <w:pStyle w:val="TableParagraph"/>
              <w:spacing w:before="24"/>
              <w:ind w:right="291"/>
              <w:jc w:val="right"/>
              <w:rPr>
                <w:sz w:val="18"/>
              </w:rPr>
            </w:pPr>
            <w:r>
              <w:rPr>
                <w:sz w:val="18"/>
              </w:rPr>
              <w:t>10,799</w:t>
            </w:r>
          </w:p>
        </w:tc>
        <w:tc>
          <w:tcPr>
            <w:tcW w:w="1217" w:type="dxa"/>
          </w:tcPr>
          <w:p w14:paraId="28574E3D" w14:textId="77777777" w:rsidR="00FA4AA8" w:rsidRDefault="0015611F">
            <w:pPr>
              <w:pStyle w:val="TableParagraph"/>
              <w:spacing w:before="24"/>
              <w:ind w:right="207"/>
              <w:jc w:val="right"/>
              <w:rPr>
                <w:b/>
                <w:sz w:val="18"/>
              </w:rPr>
            </w:pPr>
            <w:r>
              <w:rPr>
                <w:b/>
                <w:sz w:val="18"/>
              </w:rPr>
              <w:t>11,705</w:t>
            </w:r>
          </w:p>
        </w:tc>
        <w:tc>
          <w:tcPr>
            <w:tcW w:w="1013" w:type="dxa"/>
          </w:tcPr>
          <w:p w14:paraId="3861301C" w14:textId="77777777" w:rsidR="00FA4AA8" w:rsidRDefault="0015611F">
            <w:pPr>
              <w:pStyle w:val="TableParagraph"/>
              <w:spacing w:before="24"/>
              <w:ind w:right="87"/>
              <w:jc w:val="right"/>
              <w:rPr>
                <w:sz w:val="18"/>
              </w:rPr>
            </w:pPr>
            <w:r>
              <w:rPr>
                <w:sz w:val="18"/>
              </w:rPr>
              <w:t>10,577</w:t>
            </w:r>
          </w:p>
        </w:tc>
      </w:tr>
      <w:tr w:rsidR="00FA4AA8" w14:paraId="204E9F44" w14:textId="77777777">
        <w:trPr>
          <w:trHeight w:val="264"/>
        </w:trPr>
        <w:tc>
          <w:tcPr>
            <w:tcW w:w="3859" w:type="dxa"/>
          </w:tcPr>
          <w:p w14:paraId="4B835F3F" w14:textId="77777777" w:rsidR="00FA4AA8" w:rsidRDefault="0015611F">
            <w:pPr>
              <w:pStyle w:val="TableParagraph"/>
              <w:spacing w:before="26"/>
              <w:ind w:left="50"/>
              <w:rPr>
                <w:sz w:val="18"/>
              </w:rPr>
            </w:pPr>
            <w:r>
              <w:rPr>
                <w:sz w:val="18"/>
              </w:rPr>
              <w:t>Childcare centre fees and grants</w:t>
            </w:r>
          </w:p>
        </w:tc>
        <w:tc>
          <w:tcPr>
            <w:tcW w:w="811" w:type="dxa"/>
          </w:tcPr>
          <w:p w14:paraId="09E9CE7B" w14:textId="77777777" w:rsidR="00FA4AA8" w:rsidRDefault="00FA4AA8">
            <w:pPr>
              <w:pStyle w:val="TableParagraph"/>
              <w:rPr>
                <w:rFonts w:ascii="Times New Roman"/>
                <w:sz w:val="18"/>
              </w:rPr>
            </w:pPr>
          </w:p>
        </w:tc>
        <w:tc>
          <w:tcPr>
            <w:tcW w:w="1421" w:type="dxa"/>
          </w:tcPr>
          <w:p w14:paraId="69A2E8F2" w14:textId="77777777" w:rsidR="00FA4AA8" w:rsidRDefault="0015611F">
            <w:pPr>
              <w:pStyle w:val="TableParagraph"/>
              <w:spacing w:before="24"/>
              <w:ind w:right="207"/>
              <w:jc w:val="right"/>
              <w:rPr>
                <w:b/>
                <w:sz w:val="18"/>
              </w:rPr>
            </w:pPr>
            <w:r>
              <w:rPr>
                <w:b/>
                <w:sz w:val="18"/>
              </w:rPr>
              <w:t>7,052</w:t>
            </w:r>
          </w:p>
        </w:tc>
        <w:tc>
          <w:tcPr>
            <w:tcW w:w="1217" w:type="dxa"/>
          </w:tcPr>
          <w:p w14:paraId="29CF88D2" w14:textId="77777777" w:rsidR="00FA4AA8" w:rsidRDefault="0015611F">
            <w:pPr>
              <w:pStyle w:val="TableParagraph"/>
              <w:spacing w:before="24"/>
              <w:ind w:right="291"/>
              <w:jc w:val="right"/>
              <w:rPr>
                <w:sz w:val="18"/>
              </w:rPr>
            </w:pPr>
            <w:r>
              <w:rPr>
                <w:sz w:val="18"/>
              </w:rPr>
              <w:t>6,720</w:t>
            </w:r>
          </w:p>
        </w:tc>
        <w:tc>
          <w:tcPr>
            <w:tcW w:w="1217" w:type="dxa"/>
          </w:tcPr>
          <w:p w14:paraId="19C0B243" w14:textId="77777777" w:rsidR="00FA4AA8" w:rsidRDefault="0015611F">
            <w:pPr>
              <w:pStyle w:val="TableParagraph"/>
              <w:spacing w:before="24"/>
              <w:ind w:right="207"/>
              <w:jc w:val="right"/>
              <w:rPr>
                <w:b/>
                <w:sz w:val="18"/>
              </w:rPr>
            </w:pPr>
            <w:r>
              <w:rPr>
                <w:b/>
                <w:sz w:val="18"/>
              </w:rPr>
              <w:t>-</w:t>
            </w:r>
          </w:p>
        </w:tc>
        <w:tc>
          <w:tcPr>
            <w:tcW w:w="1013" w:type="dxa"/>
          </w:tcPr>
          <w:p w14:paraId="1083833E" w14:textId="77777777" w:rsidR="00FA4AA8" w:rsidRDefault="0015611F">
            <w:pPr>
              <w:pStyle w:val="TableParagraph"/>
              <w:spacing w:before="24"/>
              <w:ind w:right="87"/>
              <w:jc w:val="right"/>
              <w:rPr>
                <w:sz w:val="18"/>
              </w:rPr>
            </w:pPr>
            <w:r>
              <w:rPr>
                <w:sz w:val="18"/>
              </w:rPr>
              <w:t>-</w:t>
            </w:r>
          </w:p>
        </w:tc>
      </w:tr>
      <w:tr w:rsidR="00FA4AA8" w14:paraId="4E8B8903" w14:textId="77777777">
        <w:trPr>
          <w:trHeight w:val="273"/>
        </w:trPr>
        <w:tc>
          <w:tcPr>
            <w:tcW w:w="3859" w:type="dxa"/>
          </w:tcPr>
          <w:p w14:paraId="0340C0F5" w14:textId="77777777" w:rsidR="00FA4AA8" w:rsidRDefault="0015611F">
            <w:pPr>
              <w:pStyle w:val="TableParagraph"/>
              <w:spacing w:before="26"/>
              <w:ind w:left="50"/>
              <w:rPr>
                <w:sz w:val="18"/>
              </w:rPr>
            </w:pPr>
            <w:r>
              <w:rPr>
                <w:sz w:val="18"/>
              </w:rPr>
              <w:t>Donations and bequests</w:t>
            </w:r>
          </w:p>
        </w:tc>
        <w:tc>
          <w:tcPr>
            <w:tcW w:w="811" w:type="dxa"/>
          </w:tcPr>
          <w:p w14:paraId="663734E5" w14:textId="77777777" w:rsidR="00FA4AA8" w:rsidRDefault="00FA4AA8">
            <w:pPr>
              <w:pStyle w:val="TableParagraph"/>
              <w:rPr>
                <w:rFonts w:ascii="Times New Roman"/>
                <w:sz w:val="18"/>
              </w:rPr>
            </w:pPr>
          </w:p>
        </w:tc>
        <w:tc>
          <w:tcPr>
            <w:tcW w:w="1421" w:type="dxa"/>
          </w:tcPr>
          <w:p w14:paraId="6EF51061" w14:textId="77777777" w:rsidR="00FA4AA8" w:rsidRDefault="0015611F">
            <w:pPr>
              <w:pStyle w:val="TableParagraph"/>
              <w:spacing w:before="24"/>
              <w:ind w:right="207"/>
              <w:jc w:val="right"/>
              <w:rPr>
                <w:b/>
                <w:sz w:val="18"/>
              </w:rPr>
            </w:pPr>
            <w:r>
              <w:rPr>
                <w:b/>
                <w:sz w:val="18"/>
              </w:rPr>
              <w:t>10,723</w:t>
            </w:r>
          </w:p>
        </w:tc>
        <w:tc>
          <w:tcPr>
            <w:tcW w:w="1217" w:type="dxa"/>
          </w:tcPr>
          <w:p w14:paraId="4A824C41" w14:textId="77777777" w:rsidR="00FA4AA8" w:rsidRDefault="0015611F">
            <w:pPr>
              <w:pStyle w:val="TableParagraph"/>
              <w:spacing w:before="24"/>
              <w:ind w:right="291"/>
              <w:jc w:val="right"/>
              <w:rPr>
                <w:sz w:val="18"/>
              </w:rPr>
            </w:pPr>
            <w:r>
              <w:rPr>
                <w:sz w:val="18"/>
              </w:rPr>
              <w:t>4,537</w:t>
            </w:r>
          </w:p>
        </w:tc>
        <w:tc>
          <w:tcPr>
            <w:tcW w:w="1217" w:type="dxa"/>
          </w:tcPr>
          <w:p w14:paraId="03B42C90" w14:textId="77777777" w:rsidR="00FA4AA8" w:rsidRDefault="0015611F">
            <w:pPr>
              <w:pStyle w:val="TableParagraph"/>
              <w:spacing w:before="24"/>
              <w:ind w:right="207"/>
              <w:jc w:val="right"/>
              <w:rPr>
                <w:b/>
                <w:sz w:val="18"/>
              </w:rPr>
            </w:pPr>
            <w:r>
              <w:rPr>
                <w:b/>
                <w:sz w:val="18"/>
              </w:rPr>
              <w:t>10,559</w:t>
            </w:r>
          </w:p>
        </w:tc>
        <w:tc>
          <w:tcPr>
            <w:tcW w:w="1013" w:type="dxa"/>
          </w:tcPr>
          <w:p w14:paraId="321E46B6" w14:textId="77777777" w:rsidR="00FA4AA8" w:rsidRDefault="0015611F">
            <w:pPr>
              <w:pStyle w:val="TableParagraph"/>
              <w:spacing w:before="24"/>
              <w:ind w:right="87"/>
              <w:jc w:val="right"/>
              <w:rPr>
                <w:sz w:val="18"/>
              </w:rPr>
            </w:pPr>
            <w:r>
              <w:rPr>
                <w:sz w:val="18"/>
              </w:rPr>
              <w:t>4,382</w:t>
            </w:r>
          </w:p>
        </w:tc>
      </w:tr>
      <w:tr w:rsidR="00FA4AA8" w14:paraId="39A6D894" w14:textId="77777777">
        <w:trPr>
          <w:trHeight w:val="273"/>
        </w:trPr>
        <w:tc>
          <w:tcPr>
            <w:tcW w:w="3859" w:type="dxa"/>
          </w:tcPr>
          <w:p w14:paraId="5A140A36" w14:textId="77777777" w:rsidR="00FA4AA8" w:rsidRDefault="0015611F">
            <w:pPr>
              <w:pStyle w:val="TableParagraph"/>
              <w:spacing w:before="36"/>
              <w:ind w:left="50"/>
              <w:rPr>
                <w:sz w:val="18"/>
              </w:rPr>
            </w:pPr>
            <w:r>
              <w:rPr>
                <w:sz w:val="18"/>
              </w:rPr>
              <w:t>Parking fees</w:t>
            </w:r>
          </w:p>
        </w:tc>
        <w:tc>
          <w:tcPr>
            <w:tcW w:w="811" w:type="dxa"/>
          </w:tcPr>
          <w:p w14:paraId="4DD89674" w14:textId="77777777" w:rsidR="00FA4AA8" w:rsidRDefault="00FA4AA8">
            <w:pPr>
              <w:pStyle w:val="TableParagraph"/>
              <w:rPr>
                <w:rFonts w:ascii="Times New Roman"/>
                <w:sz w:val="18"/>
              </w:rPr>
            </w:pPr>
          </w:p>
        </w:tc>
        <w:tc>
          <w:tcPr>
            <w:tcW w:w="1421" w:type="dxa"/>
          </w:tcPr>
          <w:p w14:paraId="0910BC02" w14:textId="77777777" w:rsidR="00FA4AA8" w:rsidRDefault="0015611F">
            <w:pPr>
              <w:pStyle w:val="TableParagraph"/>
              <w:spacing w:before="34"/>
              <w:ind w:right="207"/>
              <w:jc w:val="right"/>
              <w:rPr>
                <w:b/>
                <w:sz w:val="18"/>
              </w:rPr>
            </w:pPr>
            <w:r>
              <w:rPr>
                <w:b/>
                <w:sz w:val="18"/>
              </w:rPr>
              <w:t>3,179</w:t>
            </w:r>
          </w:p>
        </w:tc>
        <w:tc>
          <w:tcPr>
            <w:tcW w:w="1217" w:type="dxa"/>
          </w:tcPr>
          <w:p w14:paraId="6209405D" w14:textId="77777777" w:rsidR="00FA4AA8" w:rsidRDefault="0015611F">
            <w:pPr>
              <w:pStyle w:val="TableParagraph"/>
              <w:spacing w:before="34"/>
              <w:ind w:right="291"/>
              <w:jc w:val="right"/>
              <w:rPr>
                <w:sz w:val="18"/>
              </w:rPr>
            </w:pPr>
            <w:r>
              <w:rPr>
                <w:sz w:val="18"/>
              </w:rPr>
              <w:t>3,437</w:t>
            </w:r>
          </w:p>
        </w:tc>
        <w:tc>
          <w:tcPr>
            <w:tcW w:w="1217" w:type="dxa"/>
          </w:tcPr>
          <w:p w14:paraId="17F70D00" w14:textId="77777777" w:rsidR="00FA4AA8" w:rsidRDefault="0015611F">
            <w:pPr>
              <w:pStyle w:val="TableParagraph"/>
              <w:spacing w:before="34"/>
              <w:ind w:right="207"/>
              <w:jc w:val="right"/>
              <w:rPr>
                <w:b/>
                <w:sz w:val="18"/>
              </w:rPr>
            </w:pPr>
            <w:r>
              <w:rPr>
                <w:b/>
                <w:sz w:val="18"/>
              </w:rPr>
              <w:t>3,180</w:t>
            </w:r>
          </w:p>
        </w:tc>
        <w:tc>
          <w:tcPr>
            <w:tcW w:w="1013" w:type="dxa"/>
          </w:tcPr>
          <w:p w14:paraId="7BBA6AF9" w14:textId="77777777" w:rsidR="00FA4AA8" w:rsidRDefault="0015611F">
            <w:pPr>
              <w:pStyle w:val="TableParagraph"/>
              <w:spacing w:before="34"/>
              <w:ind w:right="87"/>
              <w:jc w:val="right"/>
              <w:rPr>
                <w:sz w:val="18"/>
              </w:rPr>
            </w:pPr>
            <w:r>
              <w:rPr>
                <w:sz w:val="18"/>
              </w:rPr>
              <w:t>3,437</w:t>
            </w:r>
          </w:p>
        </w:tc>
      </w:tr>
      <w:tr w:rsidR="00FA4AA8" w14:paraId="15217982" w14:textId="77777777">
        <w:trPr>
          <w:trHeight w:val="264"/>
        </w:trPr>
        <w:tc>
          <w:tcPr>
            <w:tcW w:w="3859" w:type="dxa"/>
          </w:tcPr>
          <w:p w14:paraId="50CF8500" w14:textId="77777777" w:rsidR="00FA4AA8" w:rsidRDefault="0015611F">
            <w:pPr>
              <w:pStyle w:val="TableParagraph"/>
              <w:spacing w:before="26"/>
              <w:ind w:left="50"/>
              <w:rPr>
                <w:sz w:val="18"/>
              </w:rPr>
            </w:pPr>
            <w:r>
              <w:rPr>
                <w:sz w:val="18"/>
              </w:rPr>
              <w:t>Scholarships and prizes</w:t>
            </w:r>
          </w:p>
        </w:tc>
        <w:tc>
          <w:tcPr>
            <w:tcW w:w="811" w:type="dxa"/>
          </w:tcPr>
          <w:p w14:paraId="442E25AB" w14:textId="77777777" w:rsidR="00FA4AA8" w:rsidRDefault="00FA4AA8">
            <w:pPr>
              <w:pStyle w:val="TableParagraph"/>
              <w:rPr>
                <w:rFonts w:ascii="Times New Roman"/>
                <w:sz w:val="18"/>
              </w:rPr>
            </w:pPr>
          </w:p>
        </w:tc>
        <w:tc>
          <w:tcPr>
            <w:tcW w:w="1421" w:type="dxa"/>
          </w:tcPr>
          <w:p w14:paraId="3967F4B4" w14:textId="77777777" w:rsidR="00FA4AA8" w:rsidRDefault="0015611F">
            <w:pPr>
              <w:pStyle w:val="TableParagraph"/>
              <w:spacing w:before="24"/>
              <w:ind w:right="207"/>
              <w:jc w:val="right"/>
              <w:rPr>
                <w:b/>
                <w:sz w:val="18"/>
              </w:rPr>
            </w:pPr>
            <w:r>
              <w:rPr>
                <w:b/>
                <w:sz w:val="18"/>
              </w:rPr>
              <w:t>1,891</w:t>
            </w:r>
          </w:p>
        </w:tc>
        <w:tc>
          <w:tcPr>
            <w:tcW w:w="1217" w:type="dxa"/>
          </w:tcPr>
          <w:p w14:paraId="6423603A" w14:textId="77777777" w:rsidR="00FA4AA8" w:rsidRDefault="0015611F">
            <w:pPr>
              <w:pStyle w:val="TableParagraph"/>
              <w:spacing w:before="24"/>
              <w:ind w:right="291"/>
              <w:jc w:val="right"/>
              <w:rPr>
                <w:sz w:val="18"/>
              </w:rPr>
            </w:pPr>
            <w:r>
              <w:rPr>
                <w:sz w:val="18"/>
              </w:rPr>
              <w:t>1,268</w:t>
            </w:r>
          </w:p>
        </w:tc>
        <w:tc>
          <w:tcPr>
            <w:tcW w:w="1217" w:type="dxa"/>
          </w:tcPr>
          <w:p w14:paraId="3C2F6BCF" w14:textId="77777777" w:rsidR="00FA4AA8" w:rsidRDefault="0015611F">
            <w:pPr>
              <w:pStyle w:val="TableParagraph"/>
              <w:spacing w:before="24"/>
              <w:ind w:right="207"/>
              <w:jc w:val="right"/>
              <w:rPr>
                <w:b/>
                <w:sz w:val="18"/>
              </w:rPr>
            </w:pPr>
            <w:r>
              <w:rPr>
                <w:b/>
                <w:sz w:val="18"/>
              </w:rPr>
              <w:t>1,891</w:t>
            </w:r>
          </w:p>
        </w:tc>
        <w:tc>
          <w:tcPr>
            <w:tcW w:w="1013" w:type="dxa"/>
          </w:tcPr>
          <w:p w14:paraId="0247BCC5" w14:textId="77777777" w:rsidR="00FA4AA8" w:rsidRDefault="0015611F">
            <w:pPr>
              <w:pStyle w:val="TableParagraph"/>
              <w:spacing w:before="24"/>
              <w:ind w:right="87"/>
              <w:jc w:val="right"/>
              <w:rPr>
                <w:sz w:val="18"/>
              </w:rPr>
            </w:pPr>
            <w:r>
              <w:rPr>
                <w:sz w:val="18"/>
              </w:rPr>
              <w:t>1,259</w:t>
            </w:r>
          </w:p>
        </w:tc>
      </w:tr>
      <w:tr w:rsidR="00FA4AA8" w14:paraId="6172B26D" w14:textId="77777777">
        <w:trPr>
          <w:trHeight w:val="262"/>
        </w:trPr>
        <w:tc>
          <w:tcPr>
            <w:tcW w:w="3859" w:type="dxa"/>
          </w:tcPr>
          <w:p w14:paraId="403F1C96" w14:textId="77777777" w:rsidR="00FA4AA8" w:rsidRDefault="0015611F">
            <w:pPr>
              <w:pStyle w:val="TableParagraph"/>
              <w:spacing w:before="26"/>
              <w:ind w:left="50"/>
              <w:rPr>
                <w:sz w:val="18"/>
              </w:rPr>
            </w:pPr>
            <w:r>
              <w:rPr>
                <w:sz w:val="18"/>
              </w:rPr>
              <w:t>Sale of goods</w:t>
            </w:r>
          </w:p>
        </w:tc>
        <w:tc>
          <w:tcPr>
            <w:tcW w:w="811" w:type="dxa"/>
          </w:tcPr>
          <w:p w14:paraId="5038855A" w14:textId="77777777" w:rsidR="00FA4AA8" w:rsidRDefault="00FA4AA8">
            <w:pPr>
              <w:pStyle w:val="TableParagraph"/>
              <w:rPr>
                <w:rFonts w:ascii="Times New Roman"/>
                <w:sz w:val="18"/>
              </w:rPr>
            </w:pPr>
          </w:p>
        </w:tc>
        <w:tc>
          <w:tcPr>
            <w:tcW w:w="1421" w:type="dxa"/>
          </w:tcPr>
          <w:p w14:paraId="2360A5E3" w14:textId="77777777" w:rsidR="00FA4AA8" w:rsidRDefault="0015611F">
            <w:pPr>
              <w:pStyle w:val="TableParagraph"/>
              <w:spacing w:before="24"/>
              <w:ind w:right="207"/>
              <w:jc w:val="right"/>
              <w:rPr>
                <w:b/>
                <w:sz w:val="18"/>
              </w:rPr>
            </w:pPr>
            <w:r>
              <w:rPr>
                <w:b/>
                <w:sz w:val="18"/>
              </w:rPr>
              <w:t>3,603</w:t>
            </w:r>
          </w:p>
        </w:tc>
        <w:tc>
          <w:tcPr>
            <w:tcW w:w="1217" w:type="dxa"/>
          </w:tcPr>
          <w:p w14:paraId="4DC8C749" w14:textId="77777777" w:rsidR="00FA4AA8" w:rsidRDefault="0015611F">
            <w:pPr>
              <w:pStyle w:val="TableParagraph"/>
              <w:spacing w:before="24"/>
              <w:ind w:right="291"/>
              <w:jc w:val="right"/>
              <w:rPr>
                <w:sz w:val="18"/>
              </w:rPr>
            </w:pPr>
            <w:r>
              <w:rPr>
                <w:sz w:val="18"/>
              </w:rPr>
              <w:t>4,694</w:t>
            </w:r>
          </w:p>
        </w:tc>
        <w:tc>
          <w:tcPr>
            <w:tcW w:w="1217" w:type="dxa"/>
          </w:tcPr>
          <w:p w14:paraId="2A9222D9" w14:textId="77777777" w:rsidR="00FA4AA8" w:rsidRDefault="0015611F">
            <w:pPr>
              <w:pStyle w:val="TableParagraph"/>
              <w:spacing w:before="24"/>
              <w:ind w:right="207"/>
              <w:jc w:val="right"/>
              <w:rPr>
                <w:b/>
                <w:sz w:val="18"/>
              </w:rPr>
            </w:pPr>
            <w:r>
              <w:rPr>
                <w:b/>
                <w:sz w:val="18"/>
              </w:rPr>
              <w:t>746</w:t>
            </w:r>
          </w:p>
        </w:tc>
        <w:tc>
          <w:tcPr>
            <w:tcW w:w="1013" w:type="dxa"/>
          </w:tcPr>
          <w:p w14:paraId="434FA4D1" w14:textId="77777777" w:rsidR="00FA4AA8" w:rsidRDefault="0015611F">
            <w:pPr>
              <w:pStyle w:val="TableParagraph"/>
              <w:spacing w:before="24"/>
              <w:ind w:right="87"/>
              <w:jc w:val="right"/>
              <w:rPr>
                <w:sz w:val="18"/>
              </w:rPr>
            </w:pPr>
            <w:r>
              <w:rPr>
                <w:sz w:val="18"/>
              </w:rPr>
              <w:t>924</w:t>
            </w:r>
          </w:p>
        </w:tc>
      </w:tr>
      <w:tr w:rsidR="00FA4AA8" w14:paraId="4988CC34" w14:textId="77777777">
        <w:trPr>
          <w:trHeight w:val="466"/>
        </w:trPr>
        <w:tc>
          <w:tcPr>
            <w:tcW w:w="3859" w:type="dxa"/>
          </w:tcPr>
          <w:p w14:paraId="0833EAE6" w14:textId="77777777" w:rsidR="00FA4AA8" w:rsidRDefault="0015611F">
            <w:pPr>
              <w:pStyle w:val="TableParagraph"/>
              <w:spacing w:before="23"/>
              <w:ind w:left="50" w:right="156"/>
              <w:rPr>
                <w:sz w:val="18"/>
              </w:rPr>
            </w:pPr>
            <w:r>
              <w:rPr>
                <w:sz w:val="18"/>
              </w:rPr>
              <w:t>Gain on recognition of student accommodation assets</w:t>
            </w:r>
          </w:p>
        </w:tc>
        <w:tc>
          <w:tcPr>
            <w:tcW w:w="811" w:type="dxa"/>
          </w:tcPr>
          <w:p w14:paraId="4AC7313A" w14:textId="77777777" w:rsidR="00FA4AA8" w:rsidRDefault="00FA4AA8">
            <w:pPr>
              <w:pStyle w:val="TableParagraph"/>
              <w:rPr>
                <w:rFonts w:ascii="Times New Roman"/>
                <w:sz w:val="18"/>
              </w:rPr>
            </w:pPr>
          </w:p>
        </w:tc>
        <w:tc>
          <w:tcPr>
            <w:tcW w:w="1421" w:type="dxa"/>
          </w:tcPr>
          <w:p w14:paraId="56B85656" w14:textId="77777777" w:rsidR="00FA4AA8" w:rsidRDefault="00FA4AA8">
            <w:pPr>
              <w:pStyle w:val="TableParagraph"/>
              <w:spacing w:before="8"/>
              <w:rPr>
                <w:b/>
                <w:sz w:val="19"/>
              </w:rPr>
            </w:pPr>
          </w:p>
          <w:p w14:paraId="78D4FA07" w14:textId="77777777" w:rsidR="00FA4AA8" w:rsidRDefault="0015611F">
            <w:pPr>
              <w:pStyle w:val="TableParagraph"/>
              <w:ind w:right="207"/>
              <w:jc w:val="right"/>
              <w:rPr>
                <w:b/>
                <w:sz w:val="18"/>
              </w:rPr>
            </w:pPr>
            <w:r>
              <w:rPr>
                <w:b/>
                <w:sz w:val="18"/>
              </w:rPr>
              <w:t>48,944</w:t>
            </w:r>
          </w:p>
        </w:tc>
        <w:tc>
          <w:tcPr>
            <w:tcW w:w="1217" w:type="dxa"/>
          </w:tcPr>
          <w:p w14:paraId="1D88E81D" w14:textId="77777777" w:rsidR="00FA4AA8" w:rsidRDefault="00FA4AA8">
            <w:pPr>
              <w:pStyle w:val="TableParagraph"/>
              <w:spacing w:before="8"/>
              <w:rPr>
                <w:b/>
                <w:sz w:val="19"/>
              </w:rPr>
            </w:pPr>
          </w:p>
          <w:p w14:paraId="283D66E5" w14:textId="77777777" w:rsidR="00FA4AA8" w:rsidRDefault="0015611F">
            <w:pPr>
              <w:pStyle w:val="TableParagraph"/>
              <w:ind w:right="291"/>
              <w:jc w:val="right"/>
              <w:rPr>
                <w:sz w:val="18"/>
              </w:rPr>
            </w:pPr>
            <w:r>
              <w:rPr>
                <w:sz w:val="18"/>
              </w:rPr>
              <w:t>-</w:t>
            </w:r>
          </w:p>
        </w:tc>
        <w:tc>
          <w:tcPr>
            <w:tcW w:w="1217" w:type="dxa"/>
          </w:tcPr>
          <w:p w14:paraId="56A1282C" w14:textId="77777777" w:rsidR="00FA4AA8" w:rsidRDefault="00FA4AA8">
            <w:pPr>
              <w:pStyle w:val="TableParagraph"/>
              <w:spacing w:before="8"/>
              <w:rPr>
                <w:b/>
                <w:sz w:val="19"/>
              </w:rPr>
            </w:pPr>
          </w:p>
          <w:p w14:paraId="7F8EF6AC" w14:textId="77777777" w:rsidR="00FA4AA8" w:rsidRDefault="0015611F">
            <w:pPr>
              <w:pStyle w:val="TableParagraph"/>
              <w:ind w:right="207"/>
              <w:jc w:val="right"/>
              <w:rPr>
                <w:b/>
                <w:sz w:val="18"/>
              </w:rPr>
            </w:pPr>
            <w:r>
              <w:rPr>
                <w:b/>
                <w:sz w:val="18"/>
              </w:rPr>
              <w:t>48,944</w:t>
            </w:r>
          </w:p>
        </w:tc>
        <w:tc>
          <w:tcPr>
            <w:tcW w:w="1013" w:type="dxa"/>
          </w:tcPr>
          <w:p w14:paraId="2A9A2AC2" w14:textId="77777777" w:rsidR="00FA4AA8" w:rsidRDefault="00FA4AA8">
            <w:pPr>
              <w:pStyle w:val="TableParagraph"/>
              <w:spacing w:before="8"/>
              <w:rPr>
                <w:b/>
                <w:sz w:val="19"/>
              </w:rPr>
            </w:pPr>
          </w:p>
          <w:p w14:paraId="77671B22" w14:textId="77777777" w:rsidR="00FA4AA8" w:rsidRDefault="0015611F">
            <w:pPr>
              <w:pStyle w:val="TableParagraph"/>
              <w:ind w:right="87"/>
              <w:jc w:val="right"/>
              <w:rPr>
                <w:sz w:val="18"/>
              </w:rPr>
            </w:pPr>
            <w:r>
              <w:rPr>
                <w:sz w:val="18"/>
              </w:rPr>
              <w:t>-</w:t>
            </w:r>
          </w:p>
        </w:tc>
      </w:tr>
      <w:tr w:rsidR="00FA4AA8" w14:paraId="1ABC41A3" w14:textId="77777777">
        <w:trPr>
          <w:trHeight w:val="264"/>
        </w:trPr>
        <w:tc>
          <w:tcPr>
            <w:tcW w:w="3859" w:type="dxa"/>
          </w:tcPr>
          <w:p w14:paraId="200ED39D" w14:textId="77777777" w:rsidR="00FA4AA8" w:rsidRDefault="0015611F">
            <w:pPr>
              <w:pStyle w:val="TableParagraph"/>
              <w:spacing w:before="26"/>
              <w:ind w:left="50"/>
              <w:rPr>
                <w:sz w:val="18"/>
              </w:rPr>
            </w:pPr>
            <w:r>
              <w:rPr>
                <w:sz w:val="18"/>
              </w:rPr>
              <w:t>Non-government grants</w:t>
            </w:r>
          </w:p>
        </w:tc>
        <w:tc>
          <w:tcPr>
            <w:tcW w:w="811" w:type="dxa"/>
          </w:tcPr>
          <w:p w14:paraId="73D8F703" w14:textId="77777777" w:rsidR="00FA4AA8" w:rsidRDefault="00FA4AA8">
            <w:pPr>
              <w:pStyle w:val="TableParagraph"/>
              <w:rPr>
                <w:rFonts w:ascii="Times New Roman"/>
                <w:sz w:val="18"/>
              </w:rPr>
            </w:pPr>
          </w:p>
        </w:tc>
        <w:tc>
          <w:tcPr>
            <w:tcW w:w="1421" w:type="dxa"/>
          </w:tcPr>
          <w:p w14:paraId="65892B25" w14:textId="77777777" w:rsidR="00FA4AA8" w:rsidRDefault="0015611F">
            <w:pPr>
              <w:pStyle w:val="TableParagraph"/>
              <w:spacing w:before="24"/>
              <w:ind w:right="207"/>
              <w:jc w:val="right"/>
              <w:rPr>
                <w:b/>
                <w:sz w:val="18"/>
              </w:rPr>
            </w:pPr>
            <w:r>
              <w:rPr>
                <w:b/>
                <w:sz w:val="18"/>
              </w:rPr>
              <w:t>575</w:t>
            </w:r>
          </w:p>
        </w:tc>
        <w:tc>
          <w:tcPr>
            <w:tcW w:w="1217" w:type="dxa"/>
          </w:tcPr>
          <w:p w14:paraId="5A490A6C" w14:textId="77777777" w:rsidR="00FA4AA8" w:rsidRDefault="0015611F">
            <w:pPr>
              <w:pStyle w:val="TableParagraph"/>
              <w:spacing w:before="24"/>
              <w:ind w:right="291"/>
              <w:jc w:val="right"/>
              <w:rPr>
                <w:sz w:val="18"/>
              </w:rPr>
            </w:pPr>
            <w:r>
              <w:rPr>
                <w:sz w:val="18"/>
              </w:rPr>
              <w:t>62</w:t>
            </w:r>
          </w:p>
        </w:tc>
        <w:tc>
          <w:tcPr>
            <w:tcW w:w="1217" w:type="dxa"/>
          </w:tcPr>
          <w:p w14:paraId="3F21C539" w14:textId="77777777" w:rsidR="00FA4AA8" w:rsidRDefault="0015611F">
            <w:pPr>
              <w:pStyle w:val="TableParagraph"/>
              <w:spacing w:before="24"/>
              <w:ind w:right="207"/>
              <w:jc w:val="right"/>
              <w:rPr>
                <w:b/>
                <w:sz w:val="18"/>
              </w:rPr>
            </w:pPr>
            <w:r>
              <w:rPr>
                <w:b/>
                <w:sz w:val="18"/>
              </w:rPr>
              <w:t>575</w:t>
            </w:r>
          </w:p>
        </w:tc>
        <w:tc>
          <w:tcPr>
            <w:tcW w:w="1013" w:type="dxa"/>
          </w:tcPr>
          <w:p w14:paraId="0D97FC71" w14:textId="77777777" w:rsidR="00FA4AA8" w:rsidRDefault="0015611F">
            <w:pPr>
              <w:pStyle w:val="TableParagraph"/>
              <w:spacing w:before="24"/>
              <w:ind w:right="87"/>
              <w:jc w:val="right"/>
              <w:rPr>
                <w:sz w:val="18"/>
              </w:rPr>
            </w:pPr>
            <w:r>
              <w:rPr>
                <w:sz w:val="18"/>
              </w:rPr>
              <w:t>62</w:t>
            </w:r>
          </w:p>
        </w:tc>
      </w:tr>
      <w:tr w:rsidR="00FA4AA8" w14:paraId="4825428A" w14:textId="77777777">
        <w:trPr>
          <w:trHeight w:val="263"/>
        </w:trPr>
        <w:tc>
          <w:tcPr>
            <w:tcW w:w="3859" w:type="dxa"/>
          </w:tcPr>
          <w:p w14:paraId="432EC1BD" w14:textId="77777777" w:rsidR="00FA4AA8" w:rsidRDefault="0015611F">
            <w:pPr>
              <w:pStyle w:val="TableParagraph"/>
              <w:spacing w:before="26"/>
              <w:ind w:left="50"/>
              <w:rPr>
                <w:sz w:val="18"/>
              </w:rPr>
            </w:pPr>
            <w:r>
              <w:rPr>
                <w:sz w:val="18"/>
              </w:rPr>
              <w:t>Royalties, trademarks and licences</w:t>
            </w:r>
          </w:p>
        </w:tc>
        <w:tc>
          <w:tcPr>
            <w:tcW w:w="811" w:type="dxa"/>
          </w:tcPr>
          <w:p w14:paraId="73CB39FC" w14:textId="77777777" w:rsidR="00FA4AA8" w:rsidRDefault="00FA4AA8">
            <w:pPr>
              <w:pStyle w:val="TableParagraph"/>
              <w:rPr>
                <w:rFonts w:ascii="Times New Roman"/>
                <w:sz w:val="18"/>
              </w:rPr>
            </w:pPr>
          </w:p>
        </w:tc>
        <w:tc>
          <w:tcPr>
            <w:tcW w:w="1421" w:type="dxa"/>
          </w:tcPr>
          <w:p w14:paraId="567C7FF1" w14:textId="77777777" w:rsidR="00FA4AA8" w:rsidRDefault="0015611F">
            <w:pPr>
              <w:pStyle w:val="TableParagraph"/>
              <w:spacing w:before="24"/>
              <w:ind w:right="207"/>
              <w:jc w:val="right"/>
              <w:rPr>
                <w:b/>
                <w:sz w:val="18"/>
              </w:rPr>
            </w:pPr>
            <w:r>
              <w:rPr>
                <w:b/>
                <w:sz w:val="18"/>
              </w:rPr>
              <w:t>168</w:t>
            </w:r>
          </w:p>
        </w:tc>
        <w:tc>
          <w:tcPr>
            <w:tcW w:w="1217" w:type="dxa"/>
          </w:tcPr>
          <w:p w14:paraId="01452316" w14:textId="77777777" w:rsidR="00FA4AA8" w:rsidRDefault="0015611F">
            <w:pPr>
              <w:pStyle w:val="TableParagraph"/>
              <w:spacing w:before="24"/>
              <w:ind w:right="291"/>
              <w:jc w:val="right"/>
              <w:rPr>
                <w:sz w:val="18"/>
              </w:rPr>
            </w:pPr>
            <w:r>
              <w:rPr>
                <w:sz w:val="18"/>
              </w:rPr>
              <w:t>263</w:t>
            </w:r>
          </w:p>
        </w:tc>
        <w:tc>
          <w:tcPr>
            <w:tcW w:w="1217" w:type="dxa"/>
          </w:tcPr>
          <w:p w14:paraId="545FB0FF" w14:textId="77777777" w:rsidR="00FA4AA8" w:rsidRDefault="0015611F">
            <w:pPr>
              <w:pStyle w:val="TableParagraph"/>
              <w:spacing w:before="24"/>
              <w:ind w:right="207"/>
              <w:jc w:val="right"/>
              <w:rPr>
                <w:b/>
                <w:sz w:val="18"/>
              </w:rPr>
            </w:pPr>
            <w:r>
              <w:rPr>
                <w:b/>
                <w:sz w:val="18"/>
              </w:rPr>
              <w:t>168</w:t>
            </w:r>
          </w:p>
        </w:tc>
        <w:tc>
          <w:tcPr>
            <w:tcW w:w="1013" w:type="dxa"/>
          </w:tcPr>
          <w:p w14:paraId="761614B4" w14:textId="77777777" w:rsidR="00FA4AA8" w:rsidRDefault="0015611F">
            <w:pPr>
              <w:pStyle w:val="TableParagraph"/>
              <w:spacing w:before="24"/>
              <w:ind w:right="87"/>
              <w:jc w:val="right"/>
              <w:rPr>
                <w:sz w:val="18"/>
              </w:rPr>
            </w:pPr>
            <w:r>
              <w:rPr>
                <w:sz w:val="18"/>
              </w:rPr>
              <w:t>260</w:t>
            </w:r>
          </w:p>
        </w:tc>
      </w:tr>
      <w:tr w:rsidR="00FA4AA8" w14:paraId="3F91F040" w14:textId="77777777">
        <w:trPr>
          <w:trHeight w:val="256"/>
        </w:trPr>
        <w:tc>
          <w:tcPr>
            <w:tcW w:w="3859" w:type="dxa"/>
          </w:tcPr>
          <w:p w14:paraId="5876796E" w14:textId="77777777" w:rsidR="00FA4AA8" w:rsidRDefault="0015611F">
            <w:pPr>
              <w:pStyle w:val="TableParagraph"/>
              <w:spacing w:before="26"/>
              <w:ind w:left="50"/>
              <w:rPr>
                <w:sz w:val="18"/>
              </w:rPr>
            </w:pPr>
            <w:r>
              <w:rPr>
                <w:sz w:val="18"/>
              </w:rPr>
              <w:t>Other</w:t>
            </w:r>
          </w:p>
        </w:tc>
        <w:tc>
          <w:tcPr>
            <w:tcW w:w="811" w:type="dxa"/>
          </w:tcPr>
          <w:p w14:paraId="541D4DDF" w14:textId="77777777" w:rsidR="00FA4AA8" w:rsidRDefault="00FA4AA8">
            <w:pPr>
              <w:pStyle w:val="TableParagraph"/>
              <w:rPr>
                <w:rFonts w:ascii="Times New Roman"/>
                <w:sz w:val="18"/>
              </w:rPr>
            </w:pPr>
          </w:p>
        </w:tc>
        <w:tc>
          <w:tcPr>
            <w:tcW w:w="1421" w:type="dxa"/>
            <w:tcBorders>
              <w:bottom w:val="single" w:sz="8" w:space="0" w:color="000000"/>
            </w:tcBorders>
          </w:tcPr>
          <w:p w14:paraId="034146D9" w14:textId="77777777" w:rsidR="00FA4AA8" w:rsidRDefault="0015611F">
            <w:pPr>
              <w:pStyle w:val="TableParagraph"/>
              <w:spacing w:before="24"/>
              <w:ind w:right="207"/>
              <w:jc w:val="right"/>
              <w:rPr>
                <w:b/>
                <w:sz w:val="18"/>
              </w:rPr>
            </w:pPr>
            <w:r>
              <w:rPr>
                <w:b/>
                <w:sz w:val="18"/>
              </w:rPr>
              <w:t>5,725</w:t>
            </w:r>
          </w:p>
        </w:tc>
        <w:tc>
          <w:tcPr>
            <w:tcW w:w="1217" w:type="dxa"/>
            <w:tcBorders>
              <w:bottom w:val="single" w:sz="8" w:space="0" w:color="000000"/>
            </w:tcBorders>
          </w:tcPr>
          <w:p w14:paraId="7A479658" w14:textId="77777777" w:rsidR="00FA4AA8" w:rsidRDefault="0015611F">
            <w:pPr>
              <w:pStyle w:val="TableParagraph"/>
              <w:spacing w:before="24"/>
              <w:ind w:right="291"/>
              <w:jc w:val="right"/>
              <w:rPr>
                <w:sz w:val="18"/>
              </w:rPr>
            </w:pPr>
            <w:r>
              <w:rPr>
                <w:sz w:val="18"/>
              </w:rPr>
              <w:t>6,114</w:t>
            </w:r>
          </w:p>
        </w:tc>
        <w:tc>
          <w:tcPr>
            <w:tcW w:w="1217" w:type="dxa"/>
            <w:tcBorders>
              <w:bottom w:val="single" w:sz="8" w:space="0" w:color="000000"/>
            </w:tcBorders>
          </w:tcPr>
          <w:p w14:paraId="275FB1EC" w14:textId="77777777" w:rsidR="00FA4AA8" w:rsidRDefault="0015611F">
            <w:pPr>
              <w:pStyle w:val="TableParagraph"/>
              <w:spacing w:before="24"/>
              <w:ind w:right="207"/>
              <w:jc w:val="right"/>
              <w:rPr>
                <w:b/>
                <w:sz w:val="18"/>
              </w:rPr>
            </w:pPr>
            <w:r>
              <w:rPr>
                <w:b/>
                <w:sz w:val="18"/>
              </w:rPr>
              <w:t>4,593</w:t>
            </w:r>
          </w:p>
        </w:tc>
        <w:tc>
          <w:tcPr>
            <w:tcW w:w="1013" w:type="dxa"/>
            <w:tcBorders>
              <w:bottom w:val="single" w:sz="8" w:space="0" w:color="000000"/>
            </w:tcBorders>
          </w:tcPr>
          <w:p w14:paraId="1D397032" w14:textId="77777777" w:rsidR="00FA4AA8" w:rsidRDefault="0015611F">
            <w:pPr>
              <w:pStyle w:val="TableParagraph"/>
              <w:spacing w:before="24"/>
              <w:ind w:right="87"/>
              <w:jc w:val="right"/>
              <w:rPr>
                <w:sz w:val="18"/>
              </w:rPr>
            </w:pPr>
            <w:r>
              <w:rPr>
                <w:sz w:val="18"/>
              </w:rPr>
              <w:t>4,154</w:t>
            </w:r>
          </w:p>
        </w:tc>
      </w:tr>
      <w:tr w:rsidR="00FA4AA8" w14:paraId="5BC65411" w14:textId="77777777">
        <w:trPr>
          <w:trHeight w:val="316"/>
        </w:trPr>
        <w:tc>
          <w:tcPr>
            <w:tcW w:w="3859" w:type="dxa"/>
          </w:tcPr>
          <w:p w14:paraId="5CBAA908" w14:textId="77777777" w:rsidR="00FA4AA8" w:rsidRDefault="0015611F">
            <w:pPr>
              <w:pStyle w:val="TableParagraph"/>
              <w:spacing w:before="115" w:line="181" w:lineRule="exact"/>
              <w:ind w:left="50"/>
              <w:rPr>
                <w:b/>
                <w:sz w:val="18"/>
              </w:rPr>
            </w:pPr>
            <w:r>
              <w:rPr>
                <w:b/>
                <w:sz w:val="18"/>
              </w:rPr>
              <w:t>Total other revenue and income</w:t>
            </w:r>
          </w:p>
        </w:tc>
        <w:tc>
          <w:tcPr>
            <w:tcW w:w="811" w:type="dxa"/>
          </w:tcPr>
          <w:p w14:paraId="7FF37351" w14:textId="77777777" w:rsidR="00FA4AA8" w:rsidRDefault="00FA4AA8">
            <w:pPr>
              <w:pStyle w:val="TableParagraph"/>
              <w:rPr>
                <w:rFonts w:ascii="Times New Roman"/>
                <w:sz w:val="18"/>
              </w:rPr>
            </w:pPr>
          </w:p>
        </w:tc>
        <w:tc>
          <w:tcPr>
            <w:tcW w:w="1421" w:type="dxa"/>
            <w:tcBorders>
              <w:top w:val="single" w:sz="8" w:space="0" w:color="000000"/>
              <w:bottom w:val="single" w:sz="2" w:space="0" w:color="000000"/>
            </w:tcBorders>
          </w:tcPr>
          <w:p w14:paraId="399BDB58" w14:textId="77777777" w:rsidR="00FA4AA8" w:rsidRDefault="0015611F">
            <w:pPr>
              <w:pStyle w:val="TableParagraph"/>
              <w:spacing w:before="115" w:line="181" w:lineRule="exact"/>
              <w:ind w:right="207"/>
              <w:jc w:val="right"/>
              <w:rPr>
                <w:b/>
                <w:sz w:val="18"/>
              </w:rPr>
            </w:pPr>
            <w:r>
              <w:rPr>
                <w:b/>
                <w:sz w:val="18"/>
              </w:rPr>
              <w:t>106,265</w:t>
            </w:r>
          </w:p>
        </w:tc>
        <w:tc>
          <w:tcPr>
            <w:tcW w:w="1217" w:type="dxa"/>
            <w:tcBorders>
              <w:top w:val="single" w:sz="8" w:space="0" w:color="000000"/>
              <w:bottom w:val="single" w:sz="6" w:space="0" w:color="000000"/>
            </w:tcBorders>
          </w:tcPr>
          <w:p w14:paraId="2B3A8E9E" w14:textId="77777777" w:rsidR="00FA4AA8" w:rsidRDefault="0015611F">
            <w:pPr>
              <w:pStyle w:val="TableParagraph"/>
              <w:spacing w:before="115" w:line="181" w:lineRule="exact"/>
              <w:ind w:right="291"/>
              <w:jc w:val="right"/>
              <w:rPr>
                <w:sz w:val="18"/>
              </w:rPr>
            </w:pPr>
            <w:r>
              <w:rPr>
                <w:sz w:val="18"/>
              </w:rPr>
              <w:t>44,622</w:t>
            </w:r>
          </w:p>
        </w:tc>
        <w:tc>
          <w:tcPr>
            <w:tcW w:w="1217" w:type="dxa"/>
            <w:tcBorders>
              <w:top w:val="single" w:sz="8" w:space="0" w:color="000000"/>
              <w:bottom w:val="thinThickMediumGap" w:sz="2" w:space="0" w:color="000000"/>
            </w:tcBorders>
          </w:tcPr>
          <w:p w14:paraId="007E2077" w14:textId="77777777" w:rsidR="00FA4AA8" w:rsidRDefault="0015611F">
            <w:pPr>
              <w:pStyle w:val="TableParagraph"/>
              <w:spacing w:before="115" w:line="181" w:lineRule="exact"/>
              <w:ind w:right="207"/>
              <w:jc w:val="right"/>
              <w:rPr>
                <w:b/>
                <w:sz w:val="18"/>
              </w:rPr>
            </w:pPr>
            <w:r>
              <w:rPr>
                <w:b/>
                <w:sz w:val="18"/>
              </w:rPr>
              <w:t>118,542</w:t>
            </w:r>
          </w:p>
        </w:tc>
        <w:tc>
          <w:tcPr>
            <w:tcW w:w="1013" w:type="dxa"/>
            <w:tcBorders>
              <w:top w:val="single" w:sz="8" w:space="0" w:color="000000"/>
              <w:bottom w:val="thinThickMediumGap" w:sz="2" w:space="0" w:color="000000"/>
            </w:tcBorders>
          </w:tcPr>
          <w:p w14:paraId="01B01946" w14:textId="77777777" w:rsidR="00FA4AA8" w:rsidRDefault="0015611F">
            <w:pPr>
              <w:pStyle w:val="TableParagraph"/>
              <w:spacing w:before="115" w:line="181" w:lineRule="exact"/>
              <w:ind w:right="87"/>
              <w:jc w:val="right"/>
              <w:rPr>
                <w:sz w:val="18"/>
              </w:rPr>
            </w:pPr>
            <w:r>
              <w:rPr>
                <w:sz w:val="18"/>
              </w:rPr>
              <w:t>54,060</w:t>
            </w:r>
          </w:p>
        </w:tc>
      </w:tr>
    </w:tbl>
    <w:p w14:paraId="6293FA02" w14:textId="77777777" w:rsidR="00FA4AA8" w:rsidRDefault="00FA4AA8">
      <w:pPr>
        <w:pStyle w:val="BodyText"/>
        <w:spacing w:before="3"/>
        <w:rPr>
          <w:b/>
          <w:sz w:val="21"/>
        </w:rPr>
      </w:pPr>
    </w:p>
    <w:p w14:paraId="61EB0A8C" w14:textId="77777777" w:rsidR="00FA4AA8" w:rsidRDefault="007E2441">
      <w:pPr>
        <w:spacing w:before="95"/>
        <w:ind w:left="564"/>
        <w:rPr>
          <w:i/>
          <w:sz w:val="18"/>
        </w:rPr>
      </w:pPr>
      <w:r>
        <w:rPr>
          <w:noProof/>
          <w:lang w:val="en-AU" w:eastAsia="en-AU"/>
        </w:rPr>
        <mc:AlternateContent>
          <mc:Choice Requires="wpg">
            <w:drawing>
              <wp:anchor distT="0" distB="0" distL="114300" distR="114300" simplePos="0" relativeHeight="15739392" behindDoc="0" locked="0" layoutInCell="1" allowOverlap="1" wp14:anchorId="2765C0FD" wp14:editId="05A97CB6">
                <wp:simplePos x="0" y="0"/>
                <wp:positionH relativeFrom="page">
                  <wp:posOffset>3841750</wp:posOffset>
                </wp:positionH>
                <wp:positionV relativeFrom="paragraph">
                  <wp:posOffset>-160655</wp:posOffset>
                </wp:positionV>
                <wp:extent cx="2101850" cy="16510"/>
                <wp:effectExtent l="0" t="0" r="0" b="0"/>
                <wp:wrapNone/>
                <wp:docPr id="3140" name="Group 2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1850" cy="16510"/>
                          <a:chOff x="6050" y="-253"/>
                          <a:chExt cx="4868" cy="39"/>
                        </a:xfrm>
                      </wpg:grpSpPr>
                      <wps:wsp>
                        <wps:cNvPr id="3141" name="Line 2940"/>
                        <wps:cNvCnPr>
                          <a:cxnSpLocks noChangeShapeType="1"/>
                        </wps:cNvCnPr>
                        <wps:spPr bwMode="auto">
                          <a:xfrm>
                            <a:off x="6050" y="-219"/>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142" name="Line 2939"/>
                        <wps:cNvCnPr>
                          <a:cxnSpLocks noChangeShapeType="1"/>
                        </wps:cNvCnPr>
                        <wps:spPr bwMode="auto">
                          <a:xfrm>
                            <a:off x="6050" y="-216"/>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143" name="Line 2938"/>
                        <wps:cNvCnPr>
                          <a:cxnSpLocks noChangeShapeType="1"/>
                        </wps:cNvCnPr>
                        <wps:spPr bwMode="auto">
                          <a:xfrm>
                            <a:off x="6218" y="-228"/>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144" name="Line 2937"/>
                        <wps:cNvCnPr>
                          <a:cxnSpLocks noChangeShapeType="1"/>
                        </wps:cNvCnPr>
                        <wps:spPr bwMode="auto">
                          <a:xfrm>
                            <a:off x="6218" y="-226"/>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145" name="Line 2936"/>
                        <wps:cNvCnPr>
                          <a:cxnSpLocks noChangeShapeType="1"/>
                        </wps:cNvCnPr>
                        <wps:spPr bwMode="auto">
                          <a:xfrm>
                            <a:off x="6218" y="-223"/>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146" name="Line 2935"/>
                        <wps:cNvCnPr>
                          <a:cxnSpLocks noChangeShapeType="1"/>
                        </wps:cNvCnPr>
                        <wps:spPr bwMode="auto">
                          <a:xfrm>
                            <a:off x="6218" y="-221"/>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147" name="Line 2934"/>
                        <wps:cNvCnPr>
                          <a:cxnSpLocks noChangeShapeType="1"/>
                        </wps:cNvCnPr>
                        <wps:spPr bwMode="auto">
                          <a:xfrm>
                            <a:off x="6218" y="-219"/>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148" name="Line 2933"/>
                        <wps:cNvCnPr>
                          <a:cxnSpLocks noChangeShapeType="1"/>
                        </wps:cNvCnPr>
                        <wps:spPr bwMode="auto">
                          <a:xfrm>
                            <a:off x="6218" y="-216"/>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149" name="Line 2932"/>
                        <wps:cNvCnPr>
                          <a:cxnSpLocks noChangeShapeType="1"/>
                        </wps:cNvCnPr>
                        <wps:spPr bwMode="auto">
                          <a:xfrm>
                            <a:off x="7351" y="-228"/>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150" name="Line 2931"/>
                        <wps:cNvCnPr>
                          <a:cxnSpLocks noChangeShapeType="1"/>
                        </wps:cNvCnPr>
                        <wps:spPr bwMode="auto">
                          <a:xfrm>
                            <a:off x="7351" y="-226"/>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151" name="Line 2930"/>
                        <wps:cNvCnPr>
                          <a:cxnSpLocks noChangeShapeType="1"/>
                        </wps:cNvCnPr>
                        <wps:spPr bwMode="auto">
                          <a:xfrm>
                            <a:off x="7351" y="-223"/>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152" name="Line 2929"/>
                        <wps:cNvCnPr>
                          <a:cxnSpLocks noChangeShapeType="1"/>
                        </wps:cNvCnPr>
                        <wps:spPr bwMode="auto">
                          <a:xfrm>
                            <a:off x="7351" y="-221"/>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153" name="Line 2928"/>
                        <wps:cNvCnPr>
                          <a:cxnSpLocks noChangeShapeType="1"/>
                        </wps:cNvCnPr>
                        <wps:spPr bwMode="auto">
                          <a:xfrm>
                            <a:off x="7351" y="-219"/>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154" name="Line 2927"/>
                        <wps:cNvCnPr>
                          <a:cxnSpLocks noChangeShapeType="1"/>
                        </wps:cNvCnPr>
                        <wps:spPr bwMode="auto">
                          <a:xfrm>
                            <a:off x="7351" y="-216"/>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155" name="Line 2926"/>
                        <wps:cNvCnPr>
                          <a:cxnSpLocks noChangeShapeType="1"/>
                        </wps:cNvCnPr>
                        <wps:spPr bwMode="auto">
                          <a:xfrm>
                            <a:off x="8484" y="-228"/>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156" name="Line 2925"/>
                        <wps:cNvCnPr>
                          <a:cxnSpLocks noChangeShapeType="1"/>
                        </wps:cNvCnPr>
                        <wps:spPr bwMode="auto">
                          <a:xfrm>
                            <a:off x="8484" y="-226"/>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157" name="Line 2924"/>
                        <wps:cNvCnPr>
                          <a:cxnSpLocks noChangeShapeType="1"/>
                        </wps:cNvCnPr>
                        <wps:spPr bwMode="auto">
                          <a:xfrm>
                            <a:off x="8484" y="-223"/>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158" name="Line 2923"/>
                        <wps:cNvCnPr>
                          <a:cxnSpLocks noChangeShapeType="1"/>
                        </wps:cNvCnPr>
                        <wps:spPr bwMode="auto">
                          <a:xfrm>
                            <a:off x="8484" y="-221"/>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159" name="Line 2922"/>
                        <wps:cNvCnPr>
                          <a:cxnSpLocks noChangeShapeType="1"/>
                        </wps:cNvCnPr>
                        <wps:spPr bwMode="auto">
                          <a:xfrm>
                            <a:off x="8484" y="-219"/>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160" name="Line 2921"/>
                        <wps:cNvCnPr>
                          <a:cxnSpLocks noChangeShapeType="1"/>
                        </wps:cNvCnPr>
                        <wps:spPr bwMode="auto">
                          <a:xfrm>
                            <a:off x="8484" y="-216"/>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161" name="Line 2920"/>
                        <wps:cNvCnPr>
                          <a:cxnSpLocks noChangeShapeType="1"/>
                        </wps:cNvCnPr>
                        <wps:spPr bwMode="auto">
                          <a:xfrm>
                            <a:off x="8652" y="-252"/>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162" name="Line 2919"/>
                        <wps:cNvCnPr>
                          <a:cxnSpLocks noChangeShapeType="1"/>
                        </wps:cNvCnPr>
                        <wps:spPr bwMode="auto">
                          <a:xfrm>
                            <a:off x="8652" y="-228"/>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163" name="Line 2918"/>
                        <wps:cNvCnPr>
                          <a:cxnSpLocks noChangeShapeType="1"/>
                        </wps:cNvCnPr>
                        <wps:spPr bwMode="auto">
                          <a:xfrm>
                            <a:off x="8652" y="-226"/>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164" name="Line 2917"/>
                        <wps:cNvCnPr>
                          <a:cxnSpLocks noChangeShapeType="1"/>
                        </wps:cNvCnPr>
                        <wps:spPr bwMode="auto">
                          <a:xfrm>
                            <a:off x="8652" y="-223"/>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165" name="Line 2916"/>
                        <wps:cNvCnPr>
                          <a:cxnSpLocks noChangeShapeType="1"/>
                        </wps:cNvCnPr>
                        <wps:spPr bwMode="auto">
                          <a:xfrm>
                            <a:off x="8652" y="-221"/>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166" name="Line 2915"/>
                        <wps:cNvCnPr>
                          <a:cxnSpLocks noChangeShapeType="1"/>
                        </wps:cNvCnPr>
                        <wps:spPr bwMode="auto">
                          <a:xfrm>
                            <a:off x="8652" y="-219"/>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167" name="Line 2914"/>
                        <wps:cNvCnPr>
                          <a:cxnSpLocks noChangeShapeType="1"/>
                        </wps:cNvCnPr>
                        <wps:spPr bwMode="auto">
                          <a:xfrm>
                            <a:off x="8652" y="-216"/>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168" name="Line 2913"/>
                        <wps:cNvCnPr>
                          <a:cxnSpLocks noChangeShapeType="1"/>
                        </wps:cNvCnPr>
                        <wps:spPr bwMode="auto">
                          <a:xfrm>
                            <a:off x="9785" y="-252"/>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169" name="Line 2912"/>
                        <wps:cNvCnPr>
                          <a:cxnSpLocks noChangeShapeType="1"/>
                        </wps:cNvCnPr>
                        <wps:spPr bwMode="auto">
                          <a:xfrm>
                            <a:off x="9785" y="-228"/>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170" name="Line 2911"/>
                        <wps:cNvCnPr>
                          <a:cxnSpLocks noChangeShapeType="1"/>
                        </wps:cNvCnPr>
                        <wps:spPr bwMode="auto">
                          <a:xfrm>
                            <a:off x="9785" y="-226"/>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171" name="Line 2910"/>
                        <wps:cNvCnPr>
                          <a:cxnSpLocks noChangeShapeType="1"/>
                        </wps:cNvCnPr>
                        <wps:spPr bwMode="auto">
                          <a:xfrm>
                            <a:off x="9785" y="-223"/>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172" name="Line 2909"/>
                        <wps:cNvCnPr>
                          <a:cxnSpLocks noChangeShapeType="1"/>
                        </wps:cNvCnPr>
                        <wps:spPr bwMode="auto">
                          <a:xfrm>
                            <a:off x="9785" y="-221"/>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173" name="Line 2908"/>
                        <wps:cNvCnPr>
                          <a:cxnSpLocks noChangeShapeType="1"/>
                        </wps:cNvCnPr>
                        <wps:spPr bwMode="auto">
                          <a:xfrm>
                            <a:off x="9785" y="-219"/>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174" name="Line 2907"/>
                        <wps:cNvCnPr>
                          <a:cxnSpLocks noChangeShapeType="1"/>
                        </wps:cNvCnPr>
                        <wps:spPr bwMode="auto">
                          <a:xfrm>
                            <a:off x="9785" y="-216"/>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B2EE17" id="Group 2906" o:spid="_x0000_s1026" style="position:absolute;margin-left:302.5pt;margin-top:-12.65pt;width:165.5pt;height:1.3pt;z-index:15739392;mso-position-horizontal-relative:page" coordorigin="6050,-253" coordsize="48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">
                <v:line id="Line 2940" o:spid="_x0000_s1027" style="position:absolute;visibility:visible;mso-wrap-style:square" from="6050,-219" to="6218,-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" strokeweight=".12pt"/>
                <v:line id="Line 2939" o:spid="_x0000_s1028" style="position:absolute;visibility:visible;mso-wrap-style:square" from="6050,-216" to="6218,-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" strokeweight=".12pt"/>
                <v:line id="Line 2938" o:spid="_x0000_s1029" style="position:absolute;visibility:visible;mso-wrap-style:square" from="6218,-228" to="7351,-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" strokeweight=".12pt"/>
                <v:line id="Line 2937" o:spid="_x0000_s1030" style="position:absolute;visibility:visible;mso-wrap-style:square" from="6218,-226" to="7351,-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" strokeweight=".12pt"/>
                <v:line id="Line 2936" o:spid="_x0000_s1031" style="position:absolute;visibility:visible;mso-wrap-style:square" from="6218,-223" to="7351,-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" strokeweight=".12pt"/>
                <v:line id="Line 2935" o:spid="_x0000_s1032" style="position:absolute;visibility:visible;mso-wrap-style:square" from="6218,-221" to="735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" strokeweight=".12pt"/>
                <v:line id="Line 2934" o:spid="_x0000_s1033" style="position:absolute;visibility:visible;mso-wrap-style:square" from="6218,-219" to="7351,-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" strokeweight=".12pt"/>
                <v:line id="Line 2933" o:spid="_x0000_s1034" style="position:absolute;visibility:visible;mso-wrap-style:square" from="6218,-216" to="7351,-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" strokeweight=".12pt"/>
                <v:line id="Line 2932" o:spid="_x0000_s1035" style="position:absolute;visibility:visible;mso-wrap-style:square" from="7351,-228" to="8484,-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" strokeweight=".12pt"/>
                <v:line id="Line 2931" o:spid="_x0000_s1036" style="position:absolute;visibility:visible;mso-wrap-style:square" from="7351,-226" to="8484,-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" strokeweight=".12pt"/>
                <v:line id="Line 2930" o:spid="_x0000_s1037" style="position:absolute;visibility:visible;mso-wrap-style:square" from="7351,-223" to="8484,-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" strokeweight=".12pt"/>
                <v:line id="Line 2929" o:spid="_x0000_s1038" style="position:absolute;visibility:visible;mso-wrap-style:square" from="7351,-221" to="8484,-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" strokeweight=".12pt"/>
                <v:line id="Line 2928" o:spid="_x0000_s1039" style="position:absolute;visibility:visible;mso-wrap-style:square" from="7351,-219" to="8484,-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" strokeweight=".12pt"/>
                <v:line id="Line 2927" o:spid="_x0000_s1040" style="position:absolute;visibility:visible;mso-wrap-style:square" from="7351,-216" to="8484,-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" strokeweight=".12pt"/>
                <v:line id="Line 2926" o:spid="_x0000_s1041" style="position:absolute;visibility:visible;mso-wrap-style:square" from="8484,-228" to="8652,-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" strokeweight=".12pt"/>
                <v:line id="Line 2925" o:spid="_x0000_s1042" style="position:absolute;visibility:visible;mso-wrap-style:square" from="8484,-226" to="8652,-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" strokeweight=".12pt"/>
                <v:line id="Line 2924" o:spid="_x0000_s1043" style="position:absolute;visibility:visible;mso-wrap-style:square" from="8484,-223" to="8652,-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" strokeweight=".12pt"/>
                <v:line id="Line 2923" o:spid="_x0000_s1044" style="position:absolute;visibility:visible;mso-wrap-style:square" from="8484,-221" to="8652,-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" strokeweight=".12pt"/>
                <v:line id="Line 2922" o:spid="_x0000_s1045" style="position:absolute;visibility:visible;mso-wrap-style:square" from="8484,-219" to="8652,-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" strokeweight=".12pt"/>
                <v:line id="Line 2921" o:spid="_x0000_s1046" style="position:absolute;visibility:visible;mso-wrap-style:square" from="8484,-216" to="8652,-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" strokeweight=".12pt"/>
                <v:line id="Line 2920" o:spid="_x0000_s1047" style="position:absolute;visibility:visible;mso-wrap-style:square" from="8652,-252" to="9785,-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" strokeweight=".12pt"/>
                <v:line id="Line 2919" o:spid="_x0000_s1048" style="position:absolute;visibility:visible;mso-wrap-style:square" from="8652,-228" to="9785,-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" strokeweight=".12pt"/>
                <v:line id="Line 2918" o:spid="_x0000_s1049" style="position:absolute;visibility:visible;mso-wrap-style:square" from="8652,-226" to="9785,-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" strokeweight=".12pt"/>
                <v:line id="Line 2917" o:spid="_x0000_s1050" style="position:absolute;visibility:visible;mso-wrap-style:square" from="8652,-223" to="9785,-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" strokeweight=".12pt"/>
                <v:line id="Line 2916" o:spid="_x0000_s1051" style="position:absolute;visibility:visible;mso-wrap-style:square" from="8652,-221" to="9785,-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" strokeweight=".12pt"/>
                <v:line id="Line 2915" o:spid="_x0000_s1052" style="position:absolute;visibility:visible;mso-wrap-style:square" from="8652,-219" to="9785,-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" strokeweight=".12pt"/>
                <v:line id="Line 2914" o:spid="_x0000_s1053" style="position:absolute;visibility:visible;mso-wrap-style:square" from="8652,-216" to="9785,-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" strokeweight=".12pt"/>
                <v:line id="Line 2913" o:spid="_x0000_s1054" style="position:absolute;visibility:visible;mso-wrap-style:square" from="9785,-252" to="10918,-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" strokeweight=".12pt"/>
                <v:line id="Line 2912" o:spid="_x0000_s1055" style="position:absolute;visibility:visible;mso-wrap-style:square" from="9785,-228" to="10918,-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" strokeweight=".12pt"/>
                <v:line id="Line 2911" o:spid="_x0000_s1056" style="position:absolute;visibility:visible;mso-wrap-style:square" from="9785,-226" to="10918,-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" strokeweight=".12pt"/>
                <v:line id="Line 2910" o:spid="_x0000_s1057" style="position:absolute;visibility:visible;mso-wrap-style:square" from="9785,-223" to="10918,-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" strokeweight=".12pt"/>
                <v:line id="Line 2909" o:spid="_x0000_s1058" style="position:absolute;visibility:visible;mso-wrap-style:square" from="9785,-221" to="109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" strokeweight=".12pt"/>
                <v:line id="Line 2908" o:spid="_x0000_s1059" style="position:absolute;visibility:visible;mso-wrap-style:square" from="9785,-219" to="10918,-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" strokeweight=".12pt"/>
                <v:line id="Line 2907" o:spid="_x0000_s1060" style="position:absolute;visibility:visible;mso-wrap-style:square" from="9785,-216" to="10918,-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" strokeweight=".12pt"/>
                <w10:wrap anchorx="page"/>
              </v:group>
            </w:pict>
          </mc:Fallback>
        </mc:AlternateContent>
      </w:r>
      <w:r w:rsidR="0015611F">
        <w:rPr>
          <w:i/>
          <w:sz w:val="18"/>
          <w:u w:val="single"/>
        </w:rPr>
        <w:t>Accounting Policy</w:t>
      </w:r>
    </w:p>
    <w:p w14:paraId="11008550" w14:textId="77777777" w:rsidR="00FA4AA8" w:rsidRDefault="0015611F">
      <w:pPr>
        <w:spacing w:before="145"/>
        <w:ind w:left="564"/>
        <w:rPr>
          <w:b/>
          <w:sz w:val="18"/>
        </w:rPr>
      </w:pPr>
      <w:r>
        <w:rPr>
          <w:b/>
          <w:sz w:val="18"/>
        </w:rPr>
        <w:t>Lease income</w:t>
      </w:r>
    </w:p>
    <w:p w14:paraId="5C07097B" w14:textId="77777777" w:rsidR="00FA4AA8" w:rsidRDefault="0015611F">
      <w:pPr>
        <w:pStyle w:val="BodyText"/>
        <w:spacing w:before="141"/>
        <w:ind w:left="564"/>
      </w:pPr>
      <w:r>
        <w:t>Lease income from operating leases is recognised as income on a straight-line basis over the lease term.</w:t>
      </w:r>
    </w:p>
    <w:p w14:paraId="15038F19" w14:textId="77777777" w:rsidR="00FA4AA8" w:rsidRDefault="0015611F">
      <w:pPr>
        <w:spacing w:before="141"/>
        <w:ind w:left="564"/>
        <w:rPr>
          <w:b/>
          <w:sz w:val="18"/>
        </w:rPr>
      </w:pPr>
      <w:r>
        <w:rPr>
          <w:b/>
          <w:sz w:val="18"/>
        </w:rPr>
        <w:t>Royalties, trademarks and</w:t>
      </w:r>
      <w:r>
        <w:rPr>
          <w:b/>
          <w:spacing w:val="-11"/>
          <w:sz w:val="18"/>
        </w:rPr>
        <w:t xml:space="preserve"> </w:t>
      </w:r>
      <w:r>
        <w:rPr>
          <w:b/>
          <w:sz w:val="18"/>
        </w:rPr>
        <w:t>licences</w:t>
      </w:r>
    </w:p>
    <w:p w14:paraId="44957CA3" w14:textId="77777777" w:rsidR="00FA4AA8" w:rsidRDefault="0015611F">
      <w:pPr>
        <w:pStyle w:val="BodyText"/>
        <w:spacing w:before="142"/>
        <w:ind w:left="564" w:right="414"/>
      </w:pPr>
      <w:r>
        <w:t>Revenue from royalties, trademarks and licences are recognised on an accrual basis in accordance with the substance of the relevant</w:t>
      </w:r>
      <w:r>
        <w:rPr>
          <w:spacing w:val="4"/>
        </w:rPr>
        <w:t xml:space="preserve"> </w:t>
      </w:r>
      <w:r>
        <w:t>agreement.</w:t>
      </w:r>
    </w:p>
    <w:p w14:paraId="35DB48CA" w14:textId="77777777" w:rsidR="00FA4AA8" w:rsidRDefault="0015611F">
      <w:pPr>
        <w:spacing w:before="140"/>
        <w:ind w:left="564"/>
        <w:rPr>
          <w:b/>
          <w:sz w:val="18"/>
        </w:rPr>
      </w:pPr>
      <w:r>
        <w:rPr>
          <w:b/>
          <w:sz w:val="18"/>
        </w:rPr>
        <w:t>Other revenue and income</w:t>
      </w:r>
    </w:p>
    <w:p w14:paraId="3884437A" w14:textId="77777777" w:rsidR="00FA4AA8" w:rsidRDefault="0015611F">
      <w:pPr>
        <w:pStyle w:val="BodyText"/>
        <w:spacing w:before="141"/>
        <w:ind w:left="564" w:right="201"/>
      </w:pPr>
      <w:r>
        <w:t>Other revenue and income includes donations, bequests, scholarships and prizes and other on-campus non-academic services. Income is recognised when the Group becomes entitled to receive the revenue and the revenue can be reliably measured.</w:t>
      </w:r>
    </w:p>
    <w:p w14:paraId="451D6DD8" w14:textId="77777777" w:rsidR="00FA4AA8" w:rsidRDefault="00FA4AA8">
      <w:pPr>
        <w:sectPr w:rsidR="00FA4AA8">
          <w:pgSz w:w="11910" w:h="16840"/>
          <w:pgMar w:top="2220" w:right="840" w:bottom="720" w:left="840" w:header="1016" w:footer="523" w:gutter="0"/>
          <w:cols w:space="720"/>
        </w:sectPr>
      </w:pPr>
    </w:p>
    <w:p w14:paraId="150BDF19" w14:textId="77777777" w:rsidR="00FA4AA8" w:rsidRDefault="00FA4AA8">
      <w:pPr>
        <w:pStyle w:val="BodyText"/>
        <w:rPr>
          <w:sz w:val="20"/>
        </w:rPr>
      </w:pPr>
    </w:p>
    <w:p w14:paraId="037A7D94" w14:textId="77777777" w:rsidR="00FA4AA8" w:rsidRDefault="00FA4AA8">
      <w:pPr>
        <w:pStyle w:val="BodyText"/>
        <w:spacing w:before="10"/>
        <w:rPr>
          <w:sz w:val="29"/>
        </w:rPr>
      </w:pPr>
    </w:p>
    <w:p w14:paraId="0D3052C9" w14:textId="77777777" w:rsidR="00FA4AA8" w:rsidRDefault="0015611F">
      <w:pPr>
        <w:numPr>
          <w:ilvl w:val="0"/>
          <w:numId w:val="105"/>
        </w:numPr>
        <w:tabs>
          <w:tab w:val="left" w:pos="564"/>
        </w:tabs>
        <w:spacing w:before="94"/>
        <w:ind w:hanging="397"/>
        <w:rPr>
          <w:b/>
          <w:sz w:val="18"/>
        </w:rPr>
      </w:pPr>
      <w:bookmarkStart w:id="30" w:name="10_Employee_related_expenses_"/>
      <w:bookmarkEnd w:id="30"/>
      <w:r>
        <w:rPr>
          <w:b/>
          <w:sz w:val="18"/>
        </w:rPr>
        <w:t>Employee related</w:t>
      </w:r>
      <w:r>
        <w:rPr>
          <w:b/>
          <w:spacing w:val="-1"/>
          <w:sz w:val="18"/>
        </w:rPr>
        <w:t xml:space="preserve"> </w:t>
      </w:r>
      <w:r>
        <w:rPr>
          <w:b/>
          <w:sz w:val="18"/>
        </w:rPr>
        <w:t>expenses</w:t>
      </w:r>
    </w:p>
    <w:p w14:paraId="11E4AF75" w14:textId="77777777" w:rsidR="00FA4AA8" w:rsidRDefault="0015611F">
      <w:pPr>
        <w:tabs>
          <w:tab w:val="left" w:pos="8414"/>
        </w:tabs>
        <w:spacing w:before="33"/>
        <w:ind w:left="5364"/>
        <w:rPr>
          <w:b/>
          <w:sz w:val="18"/>
        </w:rPr>
      </w:pPr>
      <w:r>
        <w:rPr>
          <w:b/>
          <w:sz w:val="18"/>
        </w:rPr>
        <w:t>Consolidated</w:t>
      </w:r>
      <w:r>
        <w:rPr>
          <w:b/>
          <w:sz w:val="18"/>
        </w:rPr>
        <w:tab/>
        <w:t>Parent</w:t>
      </w:r>
    </w:p>
    <w:p w14:paraId="0D2BC518" w14:textId="77777777" w:rsidR="00FA4AA8" w:rsidRDefault="00FA4AA8">
      <w:pPr>
        <w:pStyle w:val="BodyText"/>
        <w:spacing w:before="3"/>
        <w:rPr>
          <w:b/>
          <w:sz w:val="6"/>
        </w:rPr>
      </w:pPr>
    </w:p>
    <w:tbl>
      <w:tblPr>
        <w:tblW w:w="0" w:type="auto"/>
        <w:tblInd w:w="547" w:type="dxa"/>
        <w:tblLayout w:type="fixed"/>
        <w:tblCellMar>
          <w:left w:w="0" w:type="dxa"/>
          <w:right w:w="0" w:type="dxa"/>
        </w:tblCellMar>
        <w:tblLook w:val="01E0" w:firstRow="1" w:lastRow="1" w:firstColumn="1" w:lastColumn="1" w:noHBand="0" w:noVBand="0"/>
      </w:tblPr>
      <w:tblGrid>
        <w:gridCol w:w="4012"/>
        <w:gridCol w:w="1626"/>
        <w:gridCol w:w="1380"/>
        <w:gridCol w:w="1380"/>
        <w:gridCol w:w="1134"/>
      </w:tblGrid>
      <w:tr w:rsidR="00FA4AA8" w14:paraId="43AABEE1" w14:textId="77777777">
        <w:trPr>
          <w:trHeight w:val="844"/>
        </w:trPr>
        <w:tc>
          <w:tcPr>
            <w:tcW w:w="4012" w:type="dxa"/>
          </w:tcPr>
          <w:p w14:paraId="6334D5ED" w14:textId="77777777" w:rsidR="00FA4AA8" w:rsidRDefault="00FA4AA8">
            <w:pPr>
              <w:pStyle w:val="TableParagraph"/>
              <w:rPr>
                <w:b/>
                <w:sz w:val="20"/>
              </w:rPr>
            </w:pPr>
          </w:p>
          <w:p w14:paraId="7CFFC561" w14:textId="77777777" w:rsidR="00FA4AA8" w:rsidRDefault="00FA4AA8">
            <w:pPr>
              <w:pStyle w:val="TableParagraph"/>
              <w:rPr>
                <w:b/>
                <w:sz w:val="20"/>
              </w:rPr>
            </w:pPr>
          </w:p>
          <w:p w14:paraId="7B4403BC" w14:textId="77777777" w:rsidR="00FA4AA8" w:rsidRDefault="0015611F">
            <w:pPr>
              <w:pStyle w:val="TableParagraph"/>
              <w:spacing w:before="160" w:line="204" w:lineRule="exact"/>
              <w:ind w:left="50"/>
              <w:rPr>
                <w:b/>
                <w:sz w:val="18"/>
              </w:rPr>
            </w:pPr>
            <w:r>
              <w:rPr>
                <w:b/>
                <w:sz w:val="18"/>
              </w:rPr>
              <w:t>Academic</w:t>
            </w:r>
          </w:p>
        </w:tc>
        <w:tc>
          <w:tcPr>
            <w:tcW w:w="1626" w:type="dxa"/>
          </w:tcPr>
          <w:p w14:paraId="7B5039E8" w14:textId="77777777" w:rsidR="00FA4AA8" w:rsidRDefault="0015611F">
            <w:pPr>
              <w:pStyle w:val="TableParagraph"/>
              <w:spacing w:line="201" w:lineRule="exact"/>
              <w:ind w:left="560" w:right="580"/>
              <w:jc w:val="center"/>
              <w:rPr>
                <w:b/>
                <w:sz w:val="18"/>
              </w:rPr>
            </w:pPr>
            <w:r>
              <w:rPr>
                <w:b/>
                <w:sz w:val="18"/>
              </w:rPr>
              <w:t>2018</w:t>
            </w:r>
          </w:p>
          <w:p w14:paraId="4FCA67CD" w14:textId="77777777" w:rsidR="00FA4AA8" w:rsidRDefault="0015611F">
            <w:pPr>
              <w:pStyle w:val="TableParagraph"/>
              <w:spacing w:before="66"/>
              <w:ind w:left="560" w:right="580"/>
              <w:jc w:val="center"/>
              <w:rPr>
                <w:b/>
                <w:sz w:val="18"/>
              </w:rPr>
            </w:pPr>
            <w:r>
              <w:rPr>
                <w:b/>
                <w:sz w:val="18"/>
              </w:rPr>
              <w:t>$'000</w:t>
            </w:r>
          </w:p>
        </w:tc>
        <w:tc>
          <w:tcPr>
            <w:tcW w:w="1380" w:type="dxa"/>
          </w:tcPr>
          <w:p w14:paraId="22FCFA51" w14:textId="77777777" w:rsidR="00FA4AA8" w:rsidRDefault="0015611F">
            <w:pPr>
              <w:pStyle w:val="TableParagraph"/>
              <w:spacing w:line="201" w:lineRule="exact"/>
              <w:ind w:left="270"/>
              <w:rPr>
                <w:b/>
                <w:sz w:val="18"/>
              </w:rPr>
            </w:pPr>
            <w:r>
              <w:rPr>
                <w:b/>
                <w:sz w:val="18"/>
              </w:rPr>
              <w:t>2017</w:t>
            </w:r>
          </w:p>
          <w:p w14:paraId="5E1BBCE8" w14:textId="77777777" w:rsidR="00FA4AA8" w:rsidRDefault="0015611F">
            <w:pPr>
              <w:pStyle w:val="TableParagraph"/>
              <w:spacing w:before="66"/>
              <w:ind w:left="248"/>
              <w:rPr>
                <w:b/>
                <w:sz w:val="18"/>
              </w:rPr>
            </w:pPr>
            <w:r>
              <w:rPr>
                <w:b/>
                <w:sz w:val="18"/>
              </w:rPr>
              <w:t>$'000</w:t>
            </w:r>
          </w:p>
        </w:tc>
        <w:tc>
          <w:tcPr>
            <w:tcW w:w="1380" w:type="dxa"/>
          </w:tcPr>
          <w:p w14:paraId="692AF50F" w14:textId="77777777" w:rsidR="00FA4AA8" w:rsidRDefault="0015611F">
            <w:pPr>
              <w:pStyle w:val="TableParagraph"/>
              <w:spacing w:line="201" w:lineRule="exact"/>
              <w:ind w:left="354"/>
              <w:rPr>
                <w:b/>
                <w:sz w:val="18"/>
              </w:rPr>
            </w:pPr>
            <w:r>
              <w:rPr>
                <w:b/>
                <w:sz w:val="18"/>
              </w:rPr>
              <w:t>2018</w:t>
            </w:r>
          </w:p>
          <w:p w14:paraId="3008260E" w14:textId="77777777" w:rsidR="00FA4AA8" w:rsidRDefault="0015611F">
            <w:pPr>
              <w:pStyle w:val="TableParagraph"/>
              <w:spacing w:before="66"/>
              <w:ind w:left="332"/>
              <w:rPr>
                <w:b/>
                <w:sz w:val="18"/>
              </w:rPr>
            </w:pPr>
            <w:r>
              <w:rPr>
                <w:b/>
                <w:sz w:val="18"/>
              </w:rPr>
              <w:t>$'000</w:t>
            </w:r>
          </w:p>
        </w:tc>
        <w:tc>
          <w:tcPr>
            <w:tcW w:w="1134" w:type="dxa"/>
          </w:tcPr>
          <w:p w14:paraId="43A8A640" w14:textId="77777777" w:rsidR="00FA4AA8" w:rsidRDefault="0015611F">
            <w:pPr>
              <w:pStyle w:val="TableParagraph"/>
              <w:spacing w:line="201" w:lineRule="exact"/>
              <w:ind w:left="270"/>
              <w:rPr>
                <w:b/>
                <w:sz w:val="18"/>
              </w:rPr>
            </w:pPr>
            <w:r>
              <w:rPr>
                <w:b/>
                <w:sz w:val="18"/>
              </w:rPr>
              <w:t>2017</w:t>
            </w:r>
          </w:p>
          <w:p w14:paraId="37FEC3CF" w14:textId="77777777" w:rsidR="00FA4AA8" w:rsidRDefault="0015611F">
            <w:pPr>
              <w:pStyle w:val="TableParagraph"/>
              <w:spacing w:before="66"/>
              <w:ind w:left="248"/>
              <w:rPr>
                <w:b/>
                <w:sz w:val="18"/>
              </w:rPr>
            </w:pPr>
            <w:r>
              <w:rPr>
                <w:b/>
                <w:sz w:val="18"/>
              </w:rPr>
              <w:t>$'000</w:t>
            </w:r>
          </w:p>
        </w:tc>
      </w:tr>
      <w:tr w:rsidR="00FA4AA8" w14:paraId="42298173" w14:textId="77777777">
        <w:trPr>
          <w:trHeight w:val="249"/>
        </w:trPr>
        <w:tc>
          <w:tcPr>
            <w:tcW w:w="4012" w:type="dxa"/>
          </w:tcPr>
          <w:p w14:paraId="0869A00C" w14:textId="77777777" w:rsidR="00FA4AA8" w:rsidRDefault="0015611F">
            <w:pPr>
              <w:pStyle w:val="TableParagraph"/>
              <w:spacing w:before="13"/>
              <w:ind w:left="50"/>
              <w:rPr>
                <w:sz w:val="18"/>
              </w:rPr>
            </w:pPr>
            <w:r>
              <w:rPr>
                <w:sz w:val="18"/>
              </w:rPr>
              <w:t>Salaries</w:t>
            </w:r>
          </w:p>
        </w:tc>
        <w:tc>
          <w:tcPr>
            <w:tcW w:w="1626" w:type="dxa"/>
          </w:tcPr>
          <w:p w14:paraId="572DABD3" w14:textId="77777777" w:rsidR="00FA4AA8" w:rsidRDefault="0015611F">
            <w:pPr>
              <w:pStyle w:val="TableParagraph"/>
              <w:spacing w:before="11"/>
              <w:ind w:right="246"/>
              <w:jc w:val="right"/>
              <w:rPr>
                <w:b/>
                <w:sz w:val="18"/>
              </w:rPr>
            </w:pPr>
            <w:r>
              <w:rPr>
                <w:b/>
                <w:sz w:val="18"/>
              </w:rPr>
              <w:t>196,045</w:t>
            </w:r>
          </w:p>
        </w:tc>
        <w:tc>
          <w:tcPr>
            <w:tcW w:w="1380" w:type="dxa"/>
          </w:tcPr>
          <w:p w14:paraId="0E2591BA" w14:textId="77777777" w:rsidR="00FA4AA8" w:rsidRDefault="0015611F">
            <w:pPr>
              <w:pStyle w:val="TableParagraph"/>
              <w:spacing w:before="11"/>
              <w:ind w:right="330"/>
              <w:jc w:val="right"/>
              <w:rPr>
                <w:sz w:val="18"/>
              </w:rPr>
            </w:pPr>
            <w:r>
              <w:rPr>
                <w:sz w:val="18"/>
              </w:rPr>
              <w:t>186,204</w:t>
            </w:r>
          </w:p>
        </w:tc>
        <w:tc>
          <w:tcPr>
            <w:tcW w:w="1380" w:type="dxa"/>
          </w:tcPr>
          <w:p w14:paraId="52543867" w14:textId="77777777" w:rsidR="00FA4AA8" w:rsidRDefault="0015611F">
            <w:pPr>
              <w:pStyle w:val="TableParagraph"/>
              <w:spacing w:before="11"/>
              <w:ind w:right="246"/>
              <w:jc w:val="right"/>
              <w:rPr>
                <w:b/>
                <w:sz w:val="18"/>
              </w:rPr>
            </w:pPr>
            <w:r>
              <w:rPr>
                <w:b/>
                <w:sz w:val="18"/>
              </w:rPr>
              <w:t>175,795</w:t>
            </w:r>
          </w:p>
        </w:tc>
        <w:tc>
          <w:tcPr>
            <w:tcW w:w="1134" w:type="dxa"/>
          </w:tcPr>
          <w:p w14:paraId="0404AB3A" w14:textId="77777777" w:rsidR="00FA4AA8" w:rsidRDefault="0015611F">
            <w:pPr>
              <w:pStyle w:val="TableParagraph"/>
              <w:spacing w:before="11"/>
              <w:ind w:right="84"/>
              <w:jc w:val="right"/>
              <w:rPr>
                <w:sz w:val="18"/>
              </w:rPr>
            </w:pPr>
            <w:r>
              <w:rPr>
                <w:sz w:val="18"/>
              </w:rPr>
              <w:t>166,257</w:t>
            </w:r>
          </w:p>
        </w:tc>
      </w:tr>
      <w:tr w:rsidR="00FA4AA8" w14:paraId="5A4C15D3" w14:textId="77777777">
        <w:trPr>
          <w:trHeight w:val="466"/>
        </w:trPr>
        <w:tc>
          <w:tcPr>
            <w:tcW w:w="4012" w:type="dxa"/>
          </w:tcPr>
          <w:p w14:paraId="4D57E727" w14:textId="77777777" w:rsidR="00FA4AA8" w:rsidRDefault="0015611F">
            <w:pPr>
              <w:pStyle w:val="TableParagraph"/>
              <w:spacing w:before="23"/>
              <w:ind w:left="50" w:right="710"/>
              <w:rPr>
                <w:sz w:val="18"/>
              </w:rPr>
            </w:pPr>
            <w:r>
              <w:rPr>
                <w:sz w:val="18"/>
              </w:rPr>
              <w:t>Contributions to superannuation &amp; pension schemes - funded</w:t>
            </w:r>
          </w:p>
        </w:tc>
        <w:tc>
          <w:tcPr>
            <w:tcW w:w="1626" w:type="dxa"/>
          </w:tcPr>
          <w:p w14:paraId="404B9CDC" w14:textId="77777777" w:rsidR="00FA4AA8" w:rsidRDefault="00FA4AA8">
            <w:pPr>
              <w:pStyle w:val="TableParagraph"/>
              <w:spacing w:before="8"/>
              <w:rPr>
                <w:b/>
                <w:sz w:val="19"/>
              </w:rPr>
            </w:pPr>
          </w:p>
          <w:p w14:paraId="2FCD67A9" w14:textId="77777777" w:rsidR="00FA4AA8" w:rsidRDefault="0015611F">
            <w:pPr>
              <w:pStyle w:val="TableParagraph"/>
              <w:ind w:right="246"/>
              <w:jc w:val="right"/>
              <w:rPr>
                <w:b/>
                <w:sz w:val="18"/>
              </w:rPr>
            </w:pPr>
            <w:r>
              <w:rPr>
                <w:b/>
                <w:sz w:val="18"/>
              </w:rPr>
              <w:t>28,304</w:t>
            </w:r>
          </w:p>
        </w:tc>
        <w:tc>
          <w:tcPr>
            <w:tcW w:w="1380" w:type="dxa"/>
          </w:tcPr>
          <w:p w14:paraId="760E79A9" w14:textId="77777777" w:rsidR="00FA4AA8" w:rsidRDefault="00FA4AA8">
            <w:pPr>
              <w:pStyle w:val="TableParagraph"/>
              <w:spacing w:before="8"/>
              <w:rPr>
                <w:b/>
                <w:sz w:val="19"/>
              </w:rPr>
            </w:pPr>
          </w:p>
          <w:p w14:paraId="245E3C3C" w14:textId="77777777" w:rsidR="00FA4AA8" w:rsidRDefault="0015611F">
            <w:pPr>
              <w:pStyle w:val="TableParagraph"/>
              <w:ind w:right="330"/>
              <w:jc w:val="right"/>
              <w:rPr>
                <w:sz w:val="18"/>
              </w:rPr>
            </w:pPr>
            <w:r>
              <w:rPr>
                <w:sz w:val="18"/>
              </w:rPr>
              <w:t>26,576</w:t>
            </w:r>
          </w:p>
        </w:tc>
        <w:tc>
          <w:tcPr>
            <w:tcW w:w="1380" w:type="dxa"/>
          </w:tcPr>
          <w:p w14:paraId="4E399CBE" w14:textId="77777777" w:rsidR="00FA4AA8" w:rsidRDefault="00FA4AA8">
            <w:pPr>
              <w:pStyle w:val="TableParagraph"/>
              <w:spacing w:before="8"/>
              <w:rPr>
                <w:b/>
                <w:sz w:val="19"/>
              </w:rPr>
            </w:pPr>
          </w:p>
          <w:p w14:paraId="133F01CA" w14:textId="77777777" w:rsidR="00FA4AA8" w:rsidRDefault="0015611F">
            <w:pPr>
              <w:pStyle w:val="TableParagraph"/>
              <w:ind w:right="246"/>
              <w:jc w:val="right"/>
              <w:rPr>
                <w:b/>
                <w:sz w:val="18"/>
              </w:rPr>
            </w:pPr>
            <w:r>
              <w:rPr>
                <w:b/>
                <w:sz w:val="18"/>
              </w:rPr>
              <w:t>25,952</w:t>
            </w:r>
          </w:p>
        </w:tc>
        <w:tc>
          <w:tcPr>
            <w:tcW w:w="1134" w:type="dxa"/>
          </w:tcPr>
          <w:p w14:paraId="733450E9" w14:textId="77777777" w:rsidR="00FA4AA8" w:rsidRDefault="00FA4AA8">
            <w:pPr>
              <w:pStyle w:val="TableParagraph"/>
              <w:spacing w:before="8"/>
              <w:rPr>
                <w:b/>
                <w:sz w:val="19"/>
              </w:rPr>
            </w:pPr>
          </w:p>
          <w:p w14:paraId="3910F321" w14:textId="77777777" w:rsidR="00FA4AA8" w:rsidRDefault="0015611F">
            <w:pPr>
              <w:pStyle w:val="TableParagraph"/>
              <w:ind w:right="84"/>
              <w:jc w:val="right"/>
              <w:rPr>
                <w:sz w:val="18"/>
              </w:rPr>
            </w:pPr>
            <w:r>
              <w:rPr>
                <w:sz w:val="18"/>
              </w:rPr>
              <w:t>24,488</w:t>
            </w:r>
          </w:p>
        </w:tc>
      </w:tr>
      <w:tr w:rsidR="00FA4AA8" w14:paraId="3FEF30A1" w14:textId="77777777">
        <w:trPr>
          <w:trHeight w:val="264"/>
        </w:trPr>
        <w:tc>
          <w:tcPr>
            <w:tcW w:w="4012" w:type="dxa"/>
          </w:tcPr>
          <w:p w14:paraId="33EE1B84" w14:textId="77777777" w:rsidR="00FA4AA8" w:rsidRDefault="0015611F">
            <w:pPr>
              <w:pStyle w:val="TableParagraph"/>
              <w:spacing w:before="26"/>
              <w:ind w:left="50"/>
              <w:rPr>
                <w:sz w:val="18"/>
              </w:rPr>
            </w:pPr>
            <w:r>
              <w:rPr>
                <w:sz w:val="18"/>
              </w:rPr>
              <w:t>Payroll tax</w:t>
            </w:r>
          </w:p>
        </w:tc>
        <w:tc>
          <w:tcPr>
            <w:tcW w:w="1626" w:type="dxa"/>
          </w:tcPr>
          <w:p w14:paraId="50A264F4" w14:textId="77777777" w:rsidR="00FA4AA8" w:rsidRDefault="0015611F">
            <w:pPr>
              <w:pStyle w:val="TableParagraph"/>
              <w:spacing w:before="24"/>
              <w:ind w:right="246"/>
              <w:jc w:val="right"/>
              <w:rPr>
                <w:b/>
                <w:sz w:val="18"/>
              </w:rPr>
            </w:pPr>
            <w:r>
              <w:rPr>
                <w:b/>
                <w:sz w:val="18"/>
              </w:rPr>
              <w:t>12,443</w:t>
            </w:r>
          </w:p>
        </w:tc>
        <w:tc>
          <w:tcPr>
            <w:tcW w:w="1380" w:type="dxa"/>
          </w:tcPr>
          <w:p w14:paraId="0107C1DB" w14:textId="77777777" w:rsidR="00FA4AA8" w:rsidRDefault="0015611F">
            <w:pPr>
              <w:pStyle w:val="TableParagraph"/>
              <w:spacing w:before="24"/>
              <w:ind w:right="330"/>
              <w:jc w:val="right"/>
              <w:rPr>
                <w:sz w:val="18"/>
              </w:rPr>
            </w:pPr>
            <w:r>
              <w:rPr>
                <w:sz w:val="18"/>
              </w:rPr>
              <w:t>11,447</w:t>
            </w:r>
          </w:p>
        </w:tc>
        <w:tc>
          <w:tcPr>
            <w:tcW w:w="1380" w:type="dxa"/>
          </w:tcPr>
          <w:p w14:paraId="21A4A08A" w14:textId="77777777" w:rsidR="00FA4AA8" w:rsidRDefault="0015611F">
            <w:pPr>
              <w:pStyle w:val="TableParagraph"/>
              <w:spacing w:before="24"/>
              <w:ind w:right="246"/>
              <w:jc w:val="right"/>
              <w:rPr>
                <w:b/>
                <w:sz w:val="18"/>
              </w:rPr>
            </w:pPr>
            <w:r>
              <w:rPr>
                <w:b/>
                <w:sz w:val="18"/>
              </w:rPr>
              <w:t>11,091</w:t>
            </w:r>
          </w:p>
        </w:tc>
        <w:tc>
          <w:tcPr>
            <w:tcW w:w="1134" w:type="dxa"/>
          </w:tcPr>
          <w:p w14:paraId="43AF8787" w14:textId="77777777" w:rsidR="00FA4AA8" w:rsidRDefault="0015611F">
            <w:pPr>
              <w:pStyle w:val="TableParagraph"/>
              <w:spacing w:before="24"/>
              <w:ind w:right="84"/>
              <w:jc w:val="right"/>
              <w:rPr>
                <w:sz w:val="18"/>
              </w:rPr>
            </w:pPr>
            <w:r>
              <w:rPr>
                <w:sz w:val="18"/>
              </w:rPr>
              <w:t>10,160</w:t>
            </w:r>
          </w:p>
        </w:tc>
      </w:tr>
      <w:tr w:rsidR="00FA4AA8" w14:paraId="754FA94A" w14:textId="77777777">
        <w:trPr>
          <w:trHeight w:val="264"/>
        </w:trPr>
        <w:tc>
          <w:tcPr>
            <w:tcW w:w="4012" w:type="dxa"/>
          </w:tcPr>
          <w:p w14:paraId="562965E8" w14:textId="77777777" w:rsidR="00FA4AA8" w:rsidRDefault="0015611F">
            <w:pPr>
              <w:pStyle w:val="TableParagraph"/>
              <w:spacing w:before="26"/>
              <w:ind w:left="50"/>
              <w:rPr>
                <w:sz w:val="18"/>
              </w:rPr>
            </w:pPr>
            <w:r>
              <w:rPr>
                <w:sz w:val="18"/>
              </w:rPr>
              <w:t>Worker's compensation</w:t>
            </w:r>
          </w:p>
        </w:tc>
        <w:tc>
          <w:tcPr>
            <w:tcW w:w="1626" w:type="dxa"/>
          </w:tcPr>
          <w:p w14:paraId="0D3751D2" w14:textId="77777777" w:rsidR="00FA4AA8" w:rsidRDefault="0015611F">
            <w:pPr>
              <w:pStyle w:val="TableParagraph"/>
              <w:spacing w:before="24"/>
              <w:ind w:right="246"/>
              <w:jc w:val="right"/>
              <w:rPr>
                <w:b/>
                <w:sz w:val="18"/>
              </w:rPr>
            </w:pPr>
            <w:r>
              <w:rPr>
                <w:b/>
                <w:sz w:val="18"/>
              </w:rPr>
              <w:t>437</w:t>
            </w:r>
          </w:p>
        </w:tc>
        <w:tc>
          <w:tcPr>
            <w:tcW w:w="1380" w:type="dxa"/>
          </w:tcPr>
          <w:p w14:paraId="1E4AA548" w14:textId="77777777" w:rsidR="00FA4AA8" w:rsidRDefault="0015611F">
            <w:pPr>
              <w:pStyle w:val="TableParagraph"/>
              <w:spacing w:before="24"/>
              <w:ind w:right="330"/>
              <w:jc w:val="right"/>
              <w:rPr>
                <w:sz w:val="18"/>
              </w:rPr>
            </w:pPr>
            <w:r>
              <w:rPr>
                <w:sz w:val="18"/>
              </w:rPr>
              <w:t>993</w:t>
            </w:r>
          </w:p>
        </w:tc>
        <w:tc>
          <w:tcPr>
            <w:tcW w:w="1380" w:type="dxa"/>
          </w:tcPr>
          <w:p w14:paraId="30B37347" w14:textId="77777777" w:rsidR="00FA4AA8" w:rsidRDefault="0015611F">
            <w:pPr>
              <w:pStyle w:val="TableParagraph"/>
              <w:spacing w:before="24"/>
              <w:ind w:right="246"/>
              <w:jc w:val="right"/>
              <w:rPr>
                <w:b/>
                <w:sz w:val="18"/>
              </w:rPr>
            </w:pPr>
            <w:r>
              <w:rPr>
                <w:b/>
                <w:sz w:val="18"/>
              </w:rPr>
              <w:t>336</w:t>
            </w:r>
          </w:p>
        </w:tc>
        <w:tc>
          <w:tcPr>
            <w:tcW w:w="1134" w:type="dxa"/>
          </w:tcPr>
          <w:p w14:paraId="6F5A4681" w14:textId="77777777" w:rsidR="00FA4AA8" w:rsidRDefault="0015611F">
            <w:pPr>
              <w:pStyle w:val="TableParagraph"/>
              <w:spacing w:before="24"/>
              <w:ind w:right="84"/>
              <w:jc w:val="right"/>
              <w:rPr>
                <w:sz w:val="18"/>
              </w:rPr>
            </w:pPr>
            <w:r>
              <w:rPr>
                <w:sz w:val="18"/>
              </w:rPr>
              <w:t>920</w:t>
            </w:r>
          </w:p>
        </w:tc>
      </w:tr>
      <w:tr w:rsidR="00FA4AA8" w14:paraId="3E14CA0C" w14:textId="77777777">
        <w:trPr>
          <w:trHeight w:val="264"/>
        </w:trPr>
        <w:tc>
          <w:tcPr>
            <w:tcW w:w="4012" w:type="dxa"/>
          </w:tcPr>
          <w:p w14:paraId="0C1E616A" w14:textId="77777777" w:rsidR="00FA4AA8" w:rsidRDefault="0015611F">
            <w:pPr>
              <w:pStyle w:val="TableParagraph"/>
              <w:spacing w:before="26"/>
              <w:ind w:left="50"/>
              <w:rPr>
                <w:sz w:val="18"/>
              </w:rPr>
            </w:pPr>
            <w:r>
              <w:rPr>
                <w:sz w:val="18"/>
              </w:rPr>
              <w:t>Long service leave expense</w:t>
            </w:r>
          </w:p>
        </w:tc>
        <w:tc>
          <w:tcPr>
            <w:tcW w:w="1626" w:type="dxa"/>
          </w:tcPr>
          <w:p w14:paraId="048BD7C8" w14:textId="77777777" w:rsidR="00FA4AA8" w:rsidRDefault="0015611F">
            <w:pPr>
              <w:pStyle w:val="TableParagraph"/>
              <w:spacing w:before="24"/>
              <w:ind w:right="246"/>
              <w:jc w:val="right"/>
              <w:rPr>
                <w:b/>
                <w:sz w:val="18"/>
              </w:rPr>
            </w:pPr>
            <w:r>
              <w:rPr>
                <w:b/>
                <w:sz w:val="18"/>
              </w:rPr>
              <w:t>7,574</w:t>
            </w:r>
          </w:p>
        </w:tc>
        <w:tc>
          <w:tcPr>
            <w:tcW w:w="1380" w:type="dxa"/>
          </w:tcPr>
          <w:p w14:paraId="03E1D6F2" w14:textId="77777777" w:rsidR="00FA4AA8" w:rsidRDefault="0015611F">
            <w:pPr>
              <w:pStyle w:val="TableParagraph"/>
              <w:spacing w:before="24"/>
              <w:ind w:right="330"/>
              <w:jc w:val="right"/>
              <w:rPr>
                <w:sz w:val="18"/>
              </w:rPr>
            </w:pPr>
            <w:r>
              <w:rPr>
                <w:sz w:val="18"/>
              </w:rPr>
              <w:t>2,483</w:t>
            </w:r>
          </w:p>
        </w:tc>
        <w:tc>
          <w:tcPr>
            <w:tcW w:w="1380" w:type="dxa"/>
          </w:tcPr>
          <w:p w14:paraId="09FFB9BD" w14:textId="77777777" w:rsidR="00FA4AA8" w:rsidRDefault="0015611F">
            <w:pPr>
              <w:pStyle w:val="TableParagraph"/>
              <w:spacing w:before="24"/>
              <w:ind w:right="246"/>
              <w:jc w:val="right"/>
              <w:rPr>
                <w:b/>
                <w:sz w:val="18"/>
              </w:rPr>
            </w:pPr>
            <w:r>
              <w:rPr>
                <w:b/>
                <w:sz w:val="18"/>
              </w:rPr>
              <w:t>7,418</w:t>
            </w:r>
          </w:p>
        </w:tc>
        <w:tc>
          <w:tcPr>
            <w:tcW w:w="1134" w:type="dxa"/>
          </w:tcPr>
          <w:p w14:paraId="32854780" w14:textId="77777777" w:rsidR="00FA4AA8" w:rsidRDefault="0015611F">
            <w:pPr>
              <w:pStyle w:val="TableParagraph"/>
              <w:spacing w:before="24"/>
              <w:ind w:right="84"/>
              <w:jc w:val="right"/>
              <w:rPr>
                <w:sz w:val="18"/>
              </w:rPr>
            </w:pPr>
            <w:r>
              <w:rPr>
                <w:sz w:val="18"/>
              </w:rPr>
              <w:t>2,211</w:t>
            </w:r>
          </w:p>
        </w:tc>
      </w:tr>
      <w:tr w:rsidR="00FA4AA8" w14:paraId="29BB2876" w14:textId="77777777">
        <w:trPr>
          <w:trHeight w:val="256"/>
        </w:trPr>
        <w:tc>
          <w:tcPr>
            <w:tcW w:w="4012" w:type="dxa"/>
          </w:tcPr>
          <w:p w14:paraId="3E981250" w14:textId="77777777" w:rsidR="00FA4AA8" w:rsidRDefault="0015611F">
            <w:pPr>
              <w:pStyle w:val="TableParagraph"/>
              <w:spacing w:before="26"/>
              <w:ind w:left="50"/>
              <w:rPr>
                <w:sz w:val="18"/>
              </w:rPr>
            </w:pPr>
            <w:r>
              <w:rPr>
                <w:sz w:val="18"/>
              </w:rPr>
              <w:t>Annual leave</w:t>
            </w:r>
          </w:p>
        </w:tc>
        <w:tc>
          <w:tcPr>
            <w:tcW w:w="1626" w:type="dxa"/>
            <w:tcBorders>
              <w:bottom w:val="single" w:sz="8" w:space="0" w:color="000000"/>
            </w:tcBorders>
          </w:tcPr>
          <w:p w14:paraId="6B036CBD" w14:textId="77777777" w:rsidR="00FA4AA8" w:rsidRDefault="0015611F">
            <w:pPr>
              <w:pStyle w:val="TableParagraph"/>
              <w:spacing w:before="24"/>
              <w:ind w:right="246"/>
              <w:jc w:val="right"/>
              <w:rPr>
                <w:b/>
                <w:sz w:val="18"/>
              </w:rPr>
            </w:pPr>
            <w:r>
              <w:rPr>
                <w:b/>
                <w:sz w:val="18"/>
              </w:rPr>
              <w:t>2,007</w:t>
            </w:r>
          </w:p>
        </w:tc>
        <w:tc>
          <w:tcPr>
            <w:tcW w:w="1380" w:type="dxa"/>
            <w:tcBorders>
              <w:bottom w:val="single" w:sz="8" w:space="0" w:color="000000"/>
            </w:tcBorders>
          </w:tcPr>
          <w:p w14:paraId="7D6F7B27" w14:textId="77777777" w:rsidR="00FA4AA8" w:rsidRDefault="0015611F">
            <w:pPr>
              <w:pStyle w:val="TableParagraph"/>
              <w:spacing w:before="24"/>
              <w:ind w:right="330"/>
              <w:jc w:val="right"/>
              <w:rPr>
                <w:sz w:val="18"/>
              </w:rPr>
            </w:pPr>
            <w:r>
              <w:rPr>
                <w:sz w:val="18"/>
              </w:rPr>
              <w:t>809</w:t>
            </w:r>
          </w:p>
        </w:tc>
        <w:tc>
          <w:tcPr>
            <w:tcW w:w="1380" w:type="dxa"/>
            <w:tcBorders>
              <w:bottom w:val="single" w:sz="8" w:space="0" w:color="000000"/>
            </w:tcBorders>
          </w:tcPr>
          <w:p w14:paraId="38D487F8" w14:textId="77777777" w:rsidR="00FA4AA8" w:rsidRDefault="0015611F">
            <w:pPr>
              <w:pStyle w:val="TableParagraph"/>
              <w:spacing w:before="24"/>
              <w:ind w:right="246"/>
              <w:jc w:val="right"/>
              <w:rPr>
                <w:b/>
                <w:sz w:val="18"/>
              </w:rPr>
            </w:pPr>
            <w:r>
              <w:rPr>
                <w:b/>
                <w:sz w:val="18"/>
              </w:rPr>
              <w:t>2,024</w:t>
            </w:r>
          </w:p>
        </w:tc>
        <w:tc>
          <w:tcPr>
            <w:tcW w:w="1134" w:type="dxa"/>
            <w:tcBorders>
              <w:bottom w:val="single" w:sz="8" w:space="0" w:color="000000"/>
            </w:tcBorders>
          </w:tcPr>
          <w:p w14:paraId="4C711839" w14:textId="77777777" w:rsidR="00FA4AA8" w:rsidRDefault="0015611F">
            <w:pPr>
              <w:pStyle w:val="TableParagraph"/>
              <w:spacing w:before="24"/>
              <w:ind w:right="84"/>
              <w:jc w:val="right"/>
              <w:rPr>
                <w:sz w:val="18"/>
              </w:rPr>
            </w:pPr>
            <w:r>
              <w:rPr>
                <w:sz w:val="18"/>
              </w:rPr>
              <w:t>754</w:t>
            </w:r>
          </w:p>
        </w:tc>
      </w:tr>
      <w:tr w:rsidR="00FA4AA8" w14:paraId="1CEFAA38" w14:textId="77777777">
        <w:trPr>
          <w:trHeight w:val="318"/>
        </w:trPr>
        <w:tc>
          <w:tcPr>
            <w:tcW w:w="4012" w:type="dxa"/>
          </w:tcPr>
          <w:p w14:paraId="0C0C03F9" w14:textId="77777777" w:rsidR="00FA4AA8" w:rsidRDefault="0015611F">
            <w:pPr>
              <w:pStyle w:val="TableParagraph"/>
              <w:spacing w:before="115" w:line="183" w:lineRule="exact"/>
              <w:ind w:left="50"/>
              <w:rPr>
                <w:b/>
                <w:sz w:val="18"/>
              </w:rPr>
            </w:pPr>
            <w:r>
              <w:rPr>
                <w:b/>
                <w:sz w:val="18"/>
              </w:rPr>
              <w:t>Total academic</w:t>
            </w:r>
          </w:p>
        </w:tc>
        <w:tc>
          <w:tcPr>
            <w:tcW w:w="1626" w:type="dxa"/>
            <w:tcBorders>
              <w:top w:val="single" w:sz="8" w:space="0" w:color="000000"/>
              <w:bottom w:val="single" w:sz="8" w:space="0" w:color="000000"/>
            </w:tcBorders>
          </w:tcPr>
          <w:p w14:paraId="44011769" w14:textId="77777777" w:rsidR="00FA4AA8" w:rsidRDefault="0015611F">
            <w:pPr>
              <w:pStyle w:val="TableParagraph"/>
              <w:spacing w:before="86"/>
              <w:ind w:right="246"/>
              <w:jc w:val="right"/>
              <w:rPr>
                <w:b/>
                <w:sz w:val="18"/>
              </w:rPr>
            </w:pPr>
            <w:r>
              <w:rPr>
                <w:b/>
                <w:sz w:val="18"/>
              </w:rPr>
              <w:t>246,810</w:t>
            </w:r>
          </w:p>
        </w:tc>
        <w:tc>
          <w:tcPr>
            <w:tcW w:w="1380" w:type="dxa"/>
            <w:tcBorders>
              <w:top w:val="single" w:sz="8" w:space="0" w:color="000000"/>
              <w:bottom w:val="single" w:sz="8" w:space="0" w:color="000000"/>
            </w:tcBorders>
          </w:tcPr>
          <w:p w14:paraId="78EBFA92" w14:textId="77777777" w:rsidR="00FA4AA8" w:rsidRDefault="0015611F">
            <w:pPr>
              <w:pStyle w:val="TableParagraph"/>
              <w:spacing w:before="86"/>
              <w:ind w:right="330"/>
              <w:jc w:val="right"/>
              <w:rPr>
                <w:sz w:val="18"/>
              </w:rPr>
            </w:pPr>
            <w:r>
              <w:rPr>
                <w:sz w:val="18"/>
              </w:rPr>
              <w:t>228,512</w:t>
            </w:r>
          </w:p>
        </w:tc>
        <w:tc>
          <w:tcPr>
            <w:tcW w:w="1380" w:type="dxa"/>
            <w:tcBorders>
              <w:top w:val="single" w:sz="8" w:space="0" w:color="000000"/>
              <w:bottom w:val="single" w:sz="8" w:space="0" w:color="000000"/>
            </w:tcBorders>
          </w:tcPr>
          <w:p w14:paraId="0FF8B4AB" w14:textId="77777777" w:rsidR="00FA4AA8" w:rsidRDefault="0015611F">
            <w:pPr>
              <w:pStyle w:val="TableParagraph"/>
              <w:spacing w:before="86"/>
              <w:ind w:right="246"/>
              <w:jc w:val="right"/>
              <w:rPr>
                <w:b/>
                <w:sz w:val="18"/>
              </w:rPr>
            </w:pPr>
            <w:r>
              <w:rPr>
                <w:b/>
                <w:sz w:val="18"/>
              </w:rPr>
              <w:t>222,616</w:t>
            </w:r>
          </w:p>
        </w:tc>
        <w:tc>
          <w:tcPr>
            <w:tcW w:w="1134" w:type="dxa"/>
            <w:tcBorders>
              <w:top w:val="single" w:sz="8" w:space="0" w:color="000000"/>
              <w:bottom w:val="single" w:sz="8" w:space="0" w:color="000000"/>
            </w:tcBorders>
          </w:tcPr>
          <w:p w14:paraId="5337C0E3" w14:textId="77777777" w:rsidR="00FA4AA8" w:rsidRDefault="0015611F">
            <w:pPr>
              <w:pStyle w:val="TableParagraph"/>
              <w:spacing w:before="86"/>
              <w:ind w:right="84"/>
              <w:jc w:val="right"/>
              <w:rPr>
                <w:sz w:val="18"/>
              </w:rPr>
            </w:pPr>
            <w:r>
              <w:rPr>
                <w:sz w:val="18"/>
              </w:rPr>
              <w:t>204,790</w:t>
            </w:r>
          </w:p>
        </w:tc>
      </w:tr>
      <w:tr w:rsidR="00FA4AA8" w14:paraId="0842366D" w14:textId="77777777">
        <w:trPr>
          <w:trHeight w:val="339"/>
        </w:trPr>
        <w:tc>
          <w:tcPr>
            <w:tcW w:w="4012" w:type="dxa"/>
          </w:tcPr>
          <w:p w14:paraId="3161F372" w14:textId="77777777" w:rsidR="00FA4AA8" w:rsidRDefault="0015611F">
            <w:pPr>
              <w:pStyle w:val="TableParagraph"/>
              <w:spacing w:before="115" w:line="204" w:lineRule="exact"/>
              <w:ind w:left="50"/>
              <w:rPr>
                <w:b/>
                <w:sz w:val="18"/>
              </w:rPr>
            </w:pPr>
            <w:r>
              <w:rPr>
                <w:b/>
                <w:sz w:val="18"/>
              </w:rPr>
              <w:t>Non-academic</w:t>
            </w:r>
          </w:p>
        </w:tc>
        <w:tc>
          <w:tcPr>
            <w:tcW w:w="1626" w:type="dxa"/>
            <w:tcBorders>
              <w:top w:val="single" w:sz="8" w:space="0" w:color="000000"/>
            </w:tcBorders>
          </w:tcPr>
          <w:p w14:paraId="15C532BC" w14:textId="77777777" w:rsidR="00FA4AA8" w:rsidRDefault="00FA4AA8">
            <w:pPr>
              <w:pStyle w:val="TableParagraph"/>
              <w:rPr>
                <w:rFonts w:ascii="Times New Roman"/>
                <w:sz w:val="18"/>
              </w:rPr>
            </w:pPr>
          </w:p>
        </w:tc>
        <w:tc>
          <w:tcPr>
            <w:tcW w:w="1380" w:type="dxa"/>
            <w:tcBorders>
              <w:top w:val="single" w:sz="8" w:space="0" w:color="000000"/>
            </w:tcBorders>
          </w:tcPr>
          <w:p w14:paraId="4938135D" w14:textId="77777777" w:rsidR="00FA4AA8" w:rsidRDefault="00FA4AA8">
            <w:pPr>
              <w:pStyle w:val="TableParagraph"/>
              <w:rPr>
                <w:rFonts w:ascii="Times New Roman"/>
                <w:sz w:val="18"/>
              </w:rPr>
            </w:pPr>
          </w:p>
        </w:tc>
        <w:tc>
          <w:tcPr>
            <w:tcW w:w="1380" w:type="dxa"/>
            <w:tcBorders>
              <w:top w:val="single" w:sz="8" w:space="0" w:color="000000"/>
            </w:tcBorders>
          </w:tcPr>
          <w:p w14:paraId="074BB20D" w14:textId="77777777" w:rsidR="00FA4AA8" w:rsidRDefault="00FA4AA8">
            <w:pPr>
              <w:pStyle w:val="TableParagraph"/>
              <w:rPr>
                <w:rFonts w:ascii="Times New Roman"/>
                <w:sz w:val="18"/>
              </w:rPr>
            </w:pPr>
          </w:p>
        </w:tc>
        <w:tc>
          <w:tcPr>
            <w:tcW w:w="1134" w:type="dxa"/>
            <w:tcBorders>
              <w:top w:val="single" w:sz="8" w:space="0" w:color="000000"/>
            </w:tcBorders>
          </w:tcPr>
          <w:p w14:paraId="7DFA5956" w14:textId="77777777" w:rsidR="00FA4AA8" w:rsidRDefault="00FA4AA8">
            <w:pPr>
              <w:pStyle w:val="TableParagraph"/>
              <w:rPr>
                <w:rFonts w:ascii="Times New Roman"/>
                <w:sz w:val="18"/>
              </w:rPr>
            </w:pPr>
          </w:p>
        </w:tc>
      </w:tr>
      <w:tr w:rsidR="00FA4AA8" w14:paraId="6D0FF180" w14:textId="77777777">
        <w:trPr>
          <w:trHeight w:val="249"/>
        </w:trPr>
        <w:tc>
          <w:tcPr>
            <w:tcW w:w="4012" w:type="dxa"/>
          </w:tcPr>
          <w:p w14:paraId="6F2EA293" w14:textId="77777777" w:rsidR="00FA4AA8" w:rsidRDefault="0015611F">
            <w:pPr>
              <w:pStyle w:val="TableParagraph"/>
              <w:spacing w:before="13"/>
              <w:ind w:left="50"/>
              <w:rPr>
                <w:sz w:val="18"/>
              </w:rPr>
            </w:pPr>
            <w:r>
              <w:rPr>
                <w:sz w:val="18"/>
              </w:rPr>
              <w:t>Salaries</w:t>
            </w:r>
          </w:p>
        </w:tc>
        <w:tc>
          <w:tcPr>
            <w:tcW w:w="1626" w:type="dxa"/>
          </w:tcPr>
          <w:p w14:paraId="6B1FDD55" w14:textId="77777777" w:rsidR="00FA4AA8" w:rsidRDefault="0015611F">
            <w:pPr>
              <w:pStyle w:val="TableParagraph"/>
              <w:spacing w:before="11"/>
              <w:ind w:right="246"/>
              <w:jc w:val="right"/>
              <w:rPr>
                <w:b/>
                <w:sz w:val="18"/>
              </w:rPr>
            </w:pPr>
            <w:r>
              <w:rPr>
                <w:b/>
                <w:sz w:val="18"/>
              </w:rPr>
              <w:t>176,286</w:t>
            </w:r>
          </w:p>
        </w:tc>
        <w:tc>
          <w:tcPr>
            <w:tcW w:w="1380" w:type="dxa"/>
          </w:tcPr>
          <w:p w14:paraId="407AF081" w14:textId="77777777" w:rsidR="00FA4AA8" w:rsidRDefault="0015611F">
            <w:pPr>
              <w:pStyle w:val="TableParagraph"/>
              <w:spacing w:before="11"/>
              <w:ind w:right="330"/>
              <w:jc w:val="right"/>
              <w:rPr>
                <w:sz w:val="18"/>
              </w:rPr>
            </w:pPr>
            <w:r>
              <w:rPr>
                <w:sz w:val="18"/>
              </w:rPr>
              <w:t>175,782</w:t>
            </w:r>
          </w:p>
        </w:tc>
        <w:tc>
          <w:tcPr>
            <w:tcW w:w="1380" w:type="dxa"/>
          </w:tcPr>
          <w:p w14:paraId="47694A9F" w14:textId="77777777" w:rsidR="00FA4AA8" w:rsidRDefault="0015611F">
            <w:pPr>
              <w:pStyle w:val="TableParagraph"/>
              <w:spacing w:before="11"/>
              <w:ind w:right="246"/>
              <w:jc w:val="right"/>
              <w:rPr>
                <w:b/>
                <w:sz w:val="18"/>
              </w:rPr>
            </w:pPr>
            <w:r>
              <w:rPr>
                <w:b/>
                <w:sz w:val="18"/>
              </w:rPr>
              <w:t>162,894</w:t>
            </w:r>
          </w:p>
        </w:tc>
        <w:tc>
          <w:tcPr>
            <w:tcW w:w="1134" w:type="dxa"/>
          </w:tcPr>
          <w:p w14:paraId="2D6093B9" w14:textId="77777777" w:rsidR="00FA4AA8" w:rsidRDefault="0015611F">
            <w:pPr>
              <w:pStyle w:val="TableParagraph"/>
              <w:spacing w:before="11"/>
              <w:ind w:right="84"/>
              <w:jc w:val="right"/>
              <w:rPr>
                <w:sz w:val="18"/>
              </w:rPr>
            </w:pPr>
            <w:r>
              <w:rPr>
                <w:sz w:val="18"/>
              </w:rPr>
              <w:t>161,484</w:t>
            </w:r>
          </w:p>
        </w:tc>
      </w:tr>
      <w:tr w:rsidR="00FA4AA8" w14:paraId="4EF61B5E" w14:textId="77777777">
        <w:trPr>
          <w:trHeight w:val="466"/>
        </w:trPr>
        <w:tc>
          <w:tcPr>
            <w:tcW w:w="4012" w:type="dxa"/>
          </w:tcPr>
          <w:p w14:paraId="17B0BEC7" w14:textId="77777777" w:rsidR="00FA4AA8" w:rsidRDefault="0015611F">
            <w:pPr>
              <w:pStyle w:val="TableParagraph"/>
              <w:spacing w:before="23"/>
              <w:ind w:left="50" w:right="710"/>
              <w:rPr>
                <w:sz w:val="18"/>
              </w:rPr>
            </w:pPr>
            <w:r>
              <w:rPr>
                <w:sz w:val="18"/>
              </w:rPr>
              <w:t>Contributions to superannuation &amp; pension schemes - funded</w:t>
            </w:r>
          </w:p>
        </w:tc>
        <w:tc>
          <w:tcPr>
            <w:tcW w:w="1626" w:type="dxa"/>
          </w:tcPr>
          <w:p w14:paraId="729394C2" w14:textId="77777777" w:rsidR="00FA4AA8" w:rsidRDefault="00FA4AA8">
            <w:pPr>
              <w:pStyle w:val="TableParagraph"/>
              <w:spacing w:before="8"/>
              <w:rPr>
                <w:b/>
                <w:sz w:val="19"/>
              </w:rPr>
            </w:pPr>
          </w:p>
          <w:p w14:paraId="22BEC6B9" w14:textId="77777777" w:rsidR="00FA4AA8" w:rsidRDefault="0015611F">
            <w:pPr>
              <w:pStyle w:val="TableParagraph"/>
              <w:ind w:right="246"/>
              <w:jc w:val="right"/>
              <w:rPr>
                <w:b/>
                <w:sz w:val="18"/>
              </w:rPr>
            </w:pPr>
            <w:r>
              <w:rPr>
                <w:b/>
                <w:sz w:val="18"/>
              </w:rPr>
              <w:t>26,716</w:t>
            </w:r>
          </w:p>
        </w:tc>
        <w:tc>
          <w:tcPr>
            <w:tcW w:w="1380" w:type="dxa"/>
          </w:tcPr>
          <w:p w14:paraId="0BDA5E95" w14:textId="77777777" w:rsidR="00FA4AA8" w:rsidRDefault="00FA4AA8">
            <w:pPr>
              <w:pStyle w:val="TableParagraph"/>
              <w:spacing w:before="8"/>
              <w:rPr>
                <w:b/>
                <w:sz w:val="19"/>
              </w:rPr>
            </w:pPr>
          </w:p>
          <w:p w14:paraId="536B3685" w14:textId="77777777" w:rsidR="00FA4AA8" w:rsidRDefault="0015611F">
            <w:pPr>
              <w:pStyle w:val="TableParagraph"/>
              <w:ind w:right="330"/>
              <w:jc w:val="right"/>
              <w:rPr>
                <w:sz w:val="18"/>
              </w:rPr>
            </w:pPr>
            <w:r>
              <w:rPr>
                <w:sz w:val="18"/>
              </w:rPr>
              <w:t>24,884</w:t>
            </w:r>
          </w:p>
        </w:tc>
        <w:tc>
          <w:tcPr>
            <w:tcW w:w="1380" w:type="dxa"/>
          </w:tcPr>
          <w:p w14:paraId="53177597" w14:textId="77777777" w:rsidR="00FA4AA8" w:rsidRDefault="00FA4AA8">
            <w:pPr>
              <w:pStyle w:val="TableParagraph"/>
              <w:spacing w:before="8"/>
              <w:rPr>
                <w:b/>
                <w:sz w:val="19"/>
              </w:rPr>
            </w:pPr>
          </w:p>
          <w:p w14:paraId="46070390" w14:textId="77777777" w:rsidR="00FA4AA8" w:rsidRDefault="0015611F">
            <w:pPr>
              <w:pStyle w:val="TableParagraph"/>
              <w:ind w:right="246"/>
              <w:jc w:val="right"/>
              <w:rPr>
                <w:b/>
                <w:sz w:val="18"/>
              </w:rPr>
            </w:pPr>
            <w:r>
              <w:rPr>
                <w:b/>
                <w:sz w:val="18"/>
              </w:rPr>
              <w:t>25,434</w:t>
            </w:r>
          </w:p>
        </w:tc>
        <w:tc>
          <w:tcPr>
            <w:tcW w:w="1134" w:type="dxa"/>
          </w:tcPr>
          <w:p w14:paraId="16207FC2" w14:textId="77777777" w:rsidR="00FA4AA8" w:rsidRDefault="00FA4AA8">
            <w:pPr>
              <w:pStyle w:val="TableParagraph"/>
              <w:spacing w:before="8"/>
              <w:rPr>
                <w:b/>
                <w:sz w:val="19"/>
              </w:rPr>
            </w:pPr>
          </w:p>
          <w:p w14:paraId="77D20426" w14:textId="77777777" w:rsidR="00FA4AA8" w:rsidRDefault="0015611F">
            <w:pPr>
              <w:pStyle w:val="TableParagraph"/>
              <w:ind w:right="84"/>
              <w:jc w:val="right"/>
              <w:rPr>
                <w:sz w:val="18"/>
              </w:rPr>
            </w:pPr>
            <w:r>
              <w:rPr>
                <w:sz w:val="18"/>
              </w:rPr>
              <w:t>23,543</w:t>
            </w:r>
          </w:p>
        </w:tc>
      </w:tr>
      <w:tr w:rsidR="00FA4AA8" w14:paraId="3AAC0B6A" w14:textId="77777777">
        <w:trPr>
          <w:trHeight w:val="264"/>
        </w:trPr>
        <w:tc>
          <w:tcPr>
            <w:tcW w:w="4012" w:type="dxa"/>
          </w:tcPr>
          <w:p w14:paraId="5284BED6" w14:textId="77777777" w:rsidR="00FA4AA8" w:rsidRDefault="0015611F">
            <w:pPr>
              <w:pStyle w:val="TableParagraph"/>
              <w:spacing w:before="26"/>
              <w:ind w:left="50"/>
              <w:rPr>
                <w:sz w:val="18"/>
              </w:rPr>
            </w:pPr>
            <w:r>
              <w:rPr>
                <w:sz w:val="18"/>
              </w:rPr>
              <w:t>Payroll tax</w:t>
            </w:r>
          </w:p>
        </w:tc>
        <w:tc>
          <w:tcPr>
            <w:tcW w:w="1626" w:type="dxa"/>
          </w:tcPr>
          <w:p w14:paraId="499A01D7" w14:textId="77777777" w:rsidR="00FA4AA8" w:rsidRDefault="0015611F">
            <w:pPr>
              <w:pStyle w:val="TableParagraph"/>
              <w:spacing w:before="24"/>
              <w:ind w:right="246"/>
              <w:jc w:val="right"/>
              <w:rPr>
                <w:b/>
                <w:sz w:val="18"/>
              </w:rPr>
            </w:pPr>
            <w:r>
              <w:rPr>
                <w:b/>
                <w:sz w:val="18"/>
              </w:rPr>
              <w:t>10,730</w:t>
            </w:r>
          </w:p>
        </w:tc>
        <w:tc>
          <w:tcPr>
            <w:tcW w:w="1380" w:type="dxa"/>
          </w:tcPr>
          <w:p w14:paraId="344576BD" w14:textId="77777777" w:rsidR="00FA4AA8" w:rsidRDefault="0015611F">
            <w:pPr>
              <w:pStyle w:val="TableParagraph"/>
              <w:spacing w:before="24"/>
              <w:ind w:right="330"/>
              <w:jc w:val="right"/>
              <w:rPr>
                <w:sz w:val="18"/>
              </w:rPr>
            </w:pPr>
            <w:r>
              <w:rPr>
                <w:sz w:val="18"/>
              </w:rPr>
              <w:t>9,964</w:t>
            </w:r>
          </w:p>
        </w:tc>
        <w:tc>
          <w:tcPr>
            <w:tcW w:w="1380" w:type="dxa"/>
          </w:tcPr>
          <w:p w14:paraId="67E8FE22" w14:textId="77777777" w:rsidR="00FA4AA8" w:rsidRDefault="0015611F">
            <w:pPr>
              <w:pStyle w:val="TableParagraph"/>
              <w:spacing w:before="24"/>
              <w:ind w:right="246"/>
              <w:jc w:val="right"/>
              <w:rPr>
                <w:b/>
                <w:sz w:val="18"/>
              </w:rPr>
            </w:pPr>
            <w:r>
              <w:rPr>
                <w:b/>
                <w:sz w:val="18"/>
              </w:rPr>
              <w:t>10,452</w:t>
            </w:r>
          </w:p>
        </w:tc>
        <w:tc>
          <w:tcPr>
            <w:tcW w:w="1134" w:type="dxa"/>
          </w:tcPr>
          <w:p w14:paraId="706A5782" w14:textId="77777777" w:rsidR="00FA4AA8" w:rsidRDefault="0015611F">
            <w:pPr>
              <w:pStyle w:val="TableParagraph"/>
              <w:spacing w:before="24"/>
              <w:ind w:right="84"/>
              <w:jc w:val="right"/>
              <w:rPr>
                <w:sz w:val="18"/>
              </w:rPr>
            </w:pPr>
            <w:r>
              <w:rPr>
                <w:sz w:val="18"/>
              </w:rPr>
              <w:t>9,670</w:t>
            </w:r>
          </w:p>
        </w:tc>
      </w:tr>
      <w:tr w:rsidR="00FA4AA8" w14:paraId="65215AFC" w14:textId="77777777">
        <w:trPr>
          <w:trHeight w:val="263"/>
        </w:trPr>
        <w:tc>
          <w:tcPr>
            <w:tcW w:w="4012" w:type="dxa"/>
          </w:tcPr>
          <w:p w14:paraId="753EBEA4" w14:textId="77777777" w:rsidR="00FA4AA8" w:rsidRDefault="0015611F">
            <w:pPr>
              <w:pStyle w:val="TableParagraph"/>
              <w:spacing w:before="26"/>
              <w:ind w:left="50"/>
              <w:rPr>
                <w:sz w:val="18"/>
              </w:rPr>
            </w:pPr>
            <w:r>
              <w:rPr>
                <w:sz w:val="18"/>
              </w:rPr>
              <w:t>Worker's compensation</w:t>
            </w:r>
          </w:p>
        </w:tc>
        <w:tc>
          <w:tcPr>
            <w:tcW w:w="1626" w:type="dxa"/>
          </w:tcPr>
          <w:p w14:paraId="03249151" w14:textId="77777777" w:rsidR="00FA4AA8" w:rsidRDefault="0015611F">
            <w:pPr>
              <w:pStyle w:val="TableParagraph"/>
              <w:spacing w:before="24"/>
              <w:ind w:right="246"/>
              <w:jc w:val="right"/>
              <w:rPr>
                <w:b/>
                <w:sz w:val="18"/>
              </w:rPr>
            </w:pPr>
            <w:r>
              <w:rPr>
                <w:b/>
                <w:sz w:val="18"/>
              </w:rPr>
              <w:t>497</w:t>
            </w:r>
          </w:p>
        </w:tc>
        <w:tc>
          <w:tcPr>
            <w:tcW w:w="1380" w:type="dxa"/>
          </w:tcPr>
          <w:p w14:paraId="2CE78E18" w14:textId="77777777" w:rsidR="00FA4AA8" w:rsidRDefault="0015611F">
            <w:pPr>
              <w:pStyle w:val="TableParagraph"/>
              <w:spacing w:before="24"/>
              <w:ind w:right="330"/>
              <w:jc w:val="right"/>
              <w:rPr>
                <w:sz w:val="18"/>
              </w:rPr>
            </w:pPr>
            <w:r>
              <w:rPr>
                <w:sz w:val="18"/>
              </w:rPr>
              <w:t>923</w:t>
            </w:r>
          </w:p>
        </w:tc>
        <w:tc>
          <w:tcPr>
            <w:tcW w:w="1380" w:type="dxa"/>
          </w:tcPr>
          <w:p w14:paraId="4A42F501" w14:textId="77777777" w:rsidR="00FA4AA8" w:rsidRDefault="0015611F">
            <w:pPr>
              <w:pStyle w:val="TableParagraph"/>
              <w:spacing w:before="24"/>
              <w:ind w:right="246"/>
              <w:jc w:val="right"/>
              <w:rPr>
                <w:b/>
                <w:sz w:val="18"/>
              </w:rPr>
            </w:pPr>
            <w:r>
              <w:rPr>
                <w:b/>
                <w:sz w:val="18"/>
              </w:rPr>
              <w:t>260</w:t>
            </w:r>
          </w:p>
        </w:tc>
        <w:tc>
          <w:tcPr>
            <w:tcW w:w="1134" w:type="dxa"/>
          </w:tcPr>
          <w:p w14:paraId="05BE0062" w14:textId="77777777" w:rsidR="00FA4AA8" w:rsidRDefault="0015611F">
            <w:pPr>
              <w:pStyle w:val="TableParagraph"/>
              <w:spacing w:before="24"/>
              <w:ind w:right="84"/>
              <w:jc w:val="right"/>
              <w:rPr>
                <w:sz w:val="18"/>
              </w:rPr>
            </w:pPr>
            <w:r>
              <w:rPr>
                <w:sz w:val="18"/>
              </w:rPr>
              <w:t>810</w:t>
            </w:r>
          </w:p>
        </w:tc>
      </w:tr>
      <w:tr w:rsidR="00FA4AA8" w14:paraId="2938E485" w14:textId="77777777">
        <w:trPr>
          <w:trHeight w:val="264"/>
        </w:trPr>
        <w:tc>
          <w:tcPr>
            <w:tcW w:w="4012" w:type="dxa"/>
          </w:tcPr>
          <w:p w14:paraId="4BAC55E7" w14:textId="77777777" w:rsidR="00FA4AA8" w:rsidRDefault="0015611F">
            <w:pPr>
              <w:pStyle w:val="TableParagraph"/>
              <w:spacing w:before="26"/>
              <w:ind w:left="50"/>
              <w:rPr>
                <w:sz w:val="18"/>
              </w:rPr>
            </w:pPr>
            <w:r>
              <w:rPr>
                <w:sz w:val="18"/>
              </w:rPr>
              <w:t>Long service leave expense</w:t>
            </w:r>
          </w:p>
        </w:tc>
        <w:tc>
          <w:tcPr>
            <w:tcW w:w="1626" w:type="dxa"/>
          </w:tcPr>
          <w:p w14:paraId="2D686F63" w14:textId="77777777" w:rsidR="00FA4AA8" w:rsidRDefault="0015611F">
            <w:pPr>
              <w:pStyle w:val="TableParagraph"/>
              <w:spacing w:before="24"/>
              <w:ind w:right="246"/>
              <w:jc w:val="right"/>
              <w:rPr>
                <w:b/>
                <w:sz w:val="18"/>
              </w:rPr>
            </w:pPr>
            <w:r>
              <w:rPr>
                <w:b/>
                <w:sz w:val="18"/>
              </w:rPr>
              <w:t>7,302</w:t>
            </w:r>
          </w:p>
        </w:tc>
        <w:tc>
          <w:tcPr>
            <w:tcW w:w="1380" w:type="dxa"/>
          </w:tcPr>
          <w:p w14:paraId="1A85F518" w14:textId="77777777" w:rsidR="00FA4AA8" w:rsidRDefault="0015611F">
            <w:pPr>
              <w:pStyle w:val="TableParagraph"/>
              <w:spacing w:before="24"/>
              <w:ind w:right="330"/>
              <w:jc w:val="right"/>
              <w:rPr>
                <w:sz w:val="18"/>
              </w:rPr>
            </w:pPr>
            <w:r>
              <w:rPr>
                <w:sz w:val="18"/>
              </w:rPr>
              <w:t>3,412</w:t>
            </w:r>
          </w:p>
        </w:tc>
        <w:tc>
          <w:tcPr>
            <w:tcW w:w="1380" w:type="dxa"/>
          </w:tcPr>
          <w:p w14:paraId="2018622D" w14:textId="77777777" w:rsidR="00FA4AA8" w:rsidRDefault="0015611F">
            <w:pPr>
              <w:pStyle w:val="TableParagraph"/>
              <w:spacing w:before="24"/>
              <w:ind w:right="246"/>
              <w:jc w:val="right"/>
              <w:rPr>
                <w:b/>
                <w:sz w:val="18"/>
              </w:rPr>
            </w:pPr>
            <w:r>
              <w:rPr>
                <w:b/>
                <w:sz w:val="18"/>
              </w:rPr>
              <w:t>7,128</w:t>
            </w:r>
          </w:p>
        </w:tc>
        <w:tc>
          <w:tcPr>
            <w:tcW w:w="1134" w:type="dxa"/>
          </w:tcPr>
          <w:p w14:paraId="627B249F" w14:textId="77777777" w:rsidR="00FA4AA8" w:rsidRDefault="0015611F">
            <w:pPr>
              <w:pStyle w:val="TableParagraph"/>
              <w:spacing w:before="24"/>
              <w:ind w:right="84"/>
              <w:jc w:val="right"/>
              <w:rPr>
                <w:sz w:val="18"/>
              </w:rPr>
            </w:pPr>
            <w:r>
              <w:rPr>
                <w:sz w:val="18"/>
              </w:rPr>
              <w:t>3,116</w:t>
            </w:r>
          </w:p>
        </w:tc>
      </w:tr>
      <w:tr w:rsidR="00FA4AA8" w14:paraId="2872D843" w14:textId="77777777">
        <w:trPr>
          <w:trHeight w:val="256"/>
        </w:trPr>
        <w:tc>
          <w:tcPr>
            <w:tcW w:w="4012" w:type="dxa"/>
          </w:tcPr>
          <w:p w14:paraId="06A3865B" w14:textId="77777777" w:rsidR="00FA4AA8" w:rsidRDefault="0015611F">
            <w:pPr>
              <w:pStyle w:val="TableParagraph"/>
              <w:spacing w:before="26"/>
              <w:ind w:left="50"/>
              <w:rPr>
                <w:sz w:val="18"/>
              </w:rPr>
            </w:pPr>
            <w:r>
              <w:rPr>
                <w:sz w:val="18"/>
              </w:rPr>
              <w:t>Annual leave</w:t>
            </w:r>
          </w:p>
        </w:tc>
        <w:tc>
          <w:tcPr>
            <w:tcW w:w="1626" w:type="dxa"/>
            <w:tcBorders>
              <w:bottom w:val="single" w:sz="8" w:space="0" w:color="000000"/>
            </w:tcBorders>
          </w:tcPr>
          <w:p w14:paraId="4A6601D6" w14:textId="77777777" w:rsidR="00FA4AA8" w:rsidRDefault="0015611F">
            <w:pPr>
              <w:pStyle w:val="TableParagraph"/>
              <w:spacing w:before="24"/>
              <w:ind w:right="246"/>
              <w:jc w:val="right"/>
              <w:rPr>
                <w:b/>
                <w:sz w:val="18"/>
              </w:rPr>
            </w:pPr>
            <w:r>
              <w:rPr>
                <w:b/>
                <w:sz w:val="18"/>
              </w:rPr>
              <w:t>2,064</w:t>
            </w:r>
          </w:p>
        </w:tc>
        <w:tc>
          <w:tcPr>
            <w:tcW w:w="1380" w:type="dxa"/>
            <w:tcBorders>
              <w:bottom w:val="single" w:sz="8" w:space="0" w:color="000000"/>
            </w:tcBorders>
          </w:tcPr>
          <w:p w14:paraId="46615219" w14:textId="77777777" w:rsidR="00FA4AA8" w:rsidRDefault="0015611F">
            <w:pPr>
              <w:pStyle w:val="TableParagraph"/>
              <w:spacing w:before="24"/>
              <w:ind w:right="330"/>
              <w:jc w:val="right"/>
              <w:rPr>
                <w:sz w:val="18"/>
              </w:rPr>
            </w:pPr>
            <w:r>
              <w:rPr>
                <w:sz w:val="18"/>
              </w:rPr>
              <w:t>621</w:t>
            </w:r>
          </w:p>
        </w:tc>
        <w:tc>
          <w:tcPr>
            <w:tcW w:w="1380" w:type="dxa"/>
            <w:tcBorders>
              <w:bottom w:val="single" w:sz="8" w:space="0" w:color="000000"/>
            </w:tcBorders>
          </w:tcPr>
          <w:p w14:paraId="1E975D61" w14:textId="77777777" w:rsidR="00FA4AA8" w:rsidRDefault="0015611F">
            <w:pPr>
              <w:pStyle w:val="TableParagraph"/>
              <w:spacing w:before="24"/>
              <w:ind w:right="246"/>
              <w:jc w:val="right"/>
              <w:rPr>
                <w:b/>
                <w:sz w:val="18"/>
              </w:rPr>
            </w:pPr>
            <w:r>
              <w:rPr>
                <w:b/>
                <w:sz w:val="18"/>
              </w:rPr>
              <w:t>2,197</w:t>
            </w:r>
          </w:p>
        </w:tc>
        <w:tc>
          <w:tcPr>
            <w:tcW w:w="1134" w:type="dxa"/>
            <w:tcBorders>
              <w:bottom w:val="single" w:sz="8" w:space="0" w:color="000000"/>
            </w:tcBorders>
          </w:tcPr>
          <w:p w14:paraId="2FE612FA" w14:textId="77777777" w:rsidR="00FA4AA8" w:rsidRDefault="0015611F">
            <w:pPr>
              <w:pStyle w:val="TableParagraph"/>
              <w:spacing w:before="24"/>
              <w:ind w:right="84"/>
              <w:jc w:val="right"/>
              <w:rPr>
                <w:sz w:val="18"/>
              </w:rPr>
            </w:pPr>
            <w:r>
              <w:rPr>
                <w:sz w:val="18"/>
              </w:rPr>
              <w:t>619</w:t>
            </w:r>
          </w:p>
        </w:tc>
      </w:tr>
      <w:tr w:rsidR="00FA4AA8" w14:paraId="53E8ADCE" w14:textId="77777777">
        <w:trPr>
          <w:trHeight w:val="318"/>
        </w:trPr>
        <w:tc>
          <w:tcPr>
            <w:tcW w:w="4012" w:type="dxa"/>
          </w:tcPr>
          <w:p w14:paraId="58DF5B34" w14:textId="77777777" w:rsidR="00FA4AA8" w:rsidRDefault="0015611F">
            <w:pPr>
              <w:pStyle w:val="TableParagraph"/>
              <w:spacing w:before="115" w:line="183" w:lineRule="exact"/>
              <w:ind w:left="50"/>
              <w:rPr>
                <w:b/>
                <w:sz w:val="18"/>
              </w:rPr>
            </w:pPr>
            <w:r>
              <w:rPr>
                <w:b/>
                <w:sz w:val="18"/>
              </w:rPr>
              <w:t>Total non-academic</w:t>
            </w:r>
          </w:p>
        </w:tc>
        <w:tc>
          <w:tcPr>
            <w:tcW w:w="1626" w:type="dxa"/>
            <w:tcBorders>
              <w:top w:val="single" w:sz="8" w:space="0" w:color="000000"/>
              <w:bottom w:val="single" w:sz="8" w:space="0" w:color="000000"/>
            </w:tcBorders>
          </w:tcPr>
          <w:p w14:paraId="0BBAC411" w14:textId="77777777" w:rsidR="00FA4AA8" w:rsidRDefault="0015611F">
            <w:pPr>
              <w:pStyle w:val="TableParagraph"/>
              <w:spacing w:before="86"/>
              <w:ind w:right="246"/>
              <w:jc w:val="right"/>
              <w:rPr>
                <w:b/>
                <w:sz w:val="18"/>
              </w:rPr>
            </w:pPr>
            <w:r>
              <w:rPr>
                <w:b/>
                <w:sz w:val="18"/>
              </w:rPr>
              <w:t>223,595</w:t>
            </w:r>
          </w:p>
        </w:tc>
        <w:tc>
          <w:tcPr>
            <w:tcW w:w="1380" w:type="dxa"/>
            <w:tcBorders>
              <w:top w:val="single" w:sz="8" w:space="0" w:color="000000"/>
              <w:bottom w:val="single" w:sz="8" w:space="0" w:color="000000"/>
            </w:tcBorders>
          </w:tcPr>
          <w:p w14:paraId="1700826A" w14:textId="77777777" w:rsidR="00FA4AA8" w:rsidRDefault="0015611F">
            <w:pPr>
              <w:pStyle w:val="TableParagraph"/>
              <w:spacing w:before="86"/>
              <w:ind w:right="330"/>
              <w:jc w:val="right"/>
              <w:rPr>
                <w:sz w:val="18"/>
              </w:rPr>
            </w:pPr>
            <w:r>
              <w:rPr>
                <w:sz w:val="18"/>
              </w:rPr>
              <w:t>215,586</w:t>
            </w:r>
          </w:p>
        </w:tc>
        <w:tc>
          <w:tcPr>
            <w:tcW w:w="1380" w:type="dxa"/>
            <w:tcBorders>
              <w:top w:val="single" w:sz="8" w:space="0" w:color="000000"/>
              <w:bottom w:val="single" w:sz="8" w:space="0" w:color="000000"/>
            </w:tcBorders>
          </w:tcPr>
          <w:p w14:paraId="0997E5DE" w14:textId="77777777" w:rsidR="00FA4AA8" w:rsidRDefault="0015611F">
            <w:pPr>
              <w:pStyle w:val="TableParagraph"/>
              <w:spacing w:before="86"/>
              <w:ind w:right="246"/>
              <w:jc w:val="right"/>
              <w:rPr>
                <w:b/>
                <w:sz w:val="18"/>
              </w:rPr>
            </w:pPr>
            <w:r>
              <w:rPr>
                <w:b/>
                <w:sz w:val="18"/>
              </w:rPr>
              <w:t>208,365</w:t>
            </w:r>
          </w:p>
        </w:tc>
        <w:tc>
          <w:tcPr>
            <w:tcW w:w="1134" w:type="dxa"/>
            <w:tcBorders>
              <w:top w:val="single" w:sz="8" w:space="0" w:color="000000"/>
              <w:bottom w:val="single" w:sz="8" w:space="0" w:color="000000"/>
            </w:tcBorders>
          </w:tcPr>
          <w:p w14:paraId="235A2275" w14:textId="77777777" w:rsidR="00FA4AA8" w:rsidRDefault="0015611F">
            <w:pPr>
              <w:pStyle w:val="TableParagraph"/>
              <w:spacing w:before="86"/>
              <w:ind w:right="84"/>
              <w:jc w:val="right"/>
              <w:rPr>
                <w:sz w:val="18"/>
              </w:rPr>
            </w:pPr>
            <w:r>
              <w:rPr>
                <w:sz w:val="18"/>
              </w:rPr>
              <w:t>199,242</w:t>
            </w:r>
          </w:p>
        </w:tc>
      </w:tr>
      <w:tr w:rsidR="00FA4AA8" w14:paraId="2A934EE0" w14:textId="77777777">
        <w:trPr>
          <w:trHeight w:val="327"/>
        </w:trPr>
        <w:tc>
          <w:tcPr>
            <w:tcW w:w="4012" w:type="dxa"/>
          </w:tcPr>
          <w:p w14:paraId="2060A6BB" w14:textId="77777777" w:rsidR="00FA4AA8" w:rsidRDefault="0015611F">
            <w:pPr>
              <w:pStyle w:val="TableParagraph"/>
              <w:spacing w:before="115" w:line="193" w:lineRule="exact"/>
              <w:ind w:left="50"/>
              <w:rPr>
                <w:b/>
                <w:sz w:val="18"/>
              </w:rPr>
            </w:pPr>
            <w:r>
              <w:rPr>
                <w:b/>
                <w:sz w:val="18"/>
              </w:rPr>
              <w:t>Total employee related expenses</w:t>
            </w:r>
          </w:p>
        </w:tc>
        <w:tc>
          <w:tcPr>
            <w:tcW w:w="1626" w:type="dxa"/>
            <w:tcBorders>
              <w:top w:val="single" w:sz="8" w:space="0" w:color="000000"/>
              <w:bottom w:val="thinThickMediumGap" w:sz="4" w:space="0" w:color="000000"/>
            </w:tcBorders>
          </w:tcPr>
          <w:p w14:paraId="36E9272E" w14:textId="77777777" w:rsidR="00FA4AA8" w:rsidRDefault="0015611F">
            <w:pPr>
              <w:pStyle w:val="TableParagraph"/>
              <w:spacing w:before="86"/>
              <w:ind w:right="246"/>
              <w:jc w:val="right"/>
              <w:rPr>
                <w:b/>
                <w:sz w:val="18"/>
              </w:rPr>
            </w:pPr>
            <w:r>
              <w:rPr>
                <w:b/>
                <w:sz w:val="18"/>
              </w:rPr>
              <w:t>470,405</w:t>
            </w:r>
          </w:p>
        </w:tc>
        <w:tc>
          <w:tcPr>
            <w:tcW w:w="1380" w:type="dxa"/>
            <w:tcBorders>
              <w:top w:val="single" w:sz="8" w:space="0" w:color="000000"/>
              <w:bottom w:val="thinThickMediumGap" w:sz="4" w:space="0" w:color="000000"/>
            </w:tcBorders>
          </w:tcPr>
          <w:p w14:paraId="2990E1FC" w14:textId="77777777" w:rsidR="00FA4AA8" w:rsidRDefault="0015611F">
            <w:pPr>
              <w:pStyle w:val="TableParagraph"/>
              <w:spacing w:before="86"/>
              <w:ind w:right="330"/>
              <w:jc w:val="right"/>
              <w:rPr>
                <w:sz w:val="18"/>
              </w:rPr>
            </w:pPr>
            <w:r>
              <w:rPr>
                <w:sz w:val="18"/>
              </w:rPr>
              <w:t>444,098</w:t>
            </w:r>
          </w:p>
        </w:tc>
        <w:tc>
          <w:tcPr>
            <w:tcW w:w="1380" w:type="dxa"/>
            <w:tcBorders>
              <w:top w:val="single" w:sz="8" w:space="0" w:color="000000"/>
              <w:bottom w:val="thinThickMediumGap" w:sz="4" w:space="0" w:color="000000"/>
            </w:tcBorders>
          </w:tcPr>
          <w:p w14:paraId="363A44F5" w14:textId="77777777" w:rsidR="00FA4AA8" w:rsidRDefault="0015611F">
            <w:pPr>
              <w:pStyle w:val="TableParagraph"/>
              <w:spacing w:before="86"/>
              <w:ind w:right="246"/>
              <w:jc w:val="right"/>
              <w:rPr>
                <w:b/>
                <w:sz w:val="18"/>
              </w:rPr>
            </w:pPr>
            <w:r>
              <w:rPr>
                <w:b/>
                <w:sz w:val="18"/>
              </w:rPr>
              <w:t>430,981</w:t>
            </w:r>
          </w:p>
        </w:tc>
        <w:tc>
          <w:tcPr>
            <w:tcW w:w="1134" w:type="dxa"/>
            <w:tcBorders>
              <w:top w:val="single" w:sz="8" w:space="0" w:color="000000"/>
              <w:bottom w:val="thinThickMediumGap" w:sz="4" w:space="0" w:color="000000"/>
            </w:tcBorders>
          </w:tcPr>
          <w:p w14:paraId="74743E9F" w14:textId="77777777" w:rsidR="00FA4AA8" w:rsidRDefault="0015611F">
            <w:pPr>
              <w:pStyle w:val="TableParagraph"/>
              <w:spacing w:before="86"/>
              <w:ind w:right="84"/>
              <w:jc w:val="right"/>
              <w:rPr>
                <w:sz w:val="18"/>
              </w:rPr>
            </w:pPr>
            <w:r>
              <w:rPr>
                <w:sz w:val="18"/>
              </w:rPr>
              <w:t>404,032</w:t>
            </w:r>
          </w:p>
        </w:tc>
      </w:tr>
      <w:tr w:rsidR="00FA4AA8" w14:paraId="45A24DD2" w14:textId="77777777">
        <w:trPr>
          <w:trHeight w:val="334"/>
        </w:trPr>
        <w:tc>
          <w:tcPr>
            <w:tcW w:w="4012" w:type="dxa"/>
          </w:tcPr>
          <w:p w14:paraId="7045BD9D" w14:textId="77777777" w:rsidR="00FA4AA8" w:rsidRDefault="0015611F">
            <w:pPr>
              <w:pStyle w:val="TableParagraph"/>
              <w:spacing w:before="124" w:line="190" w:lineRule="exact"/>
              <w:ind w:left="50"/>
              <w:rPr>
                <w:b/>
                <w:sz w:val="18"/>
              </w:rPr>
            </w:pPr>
            <w:r>
              <w:rPr>
                <w:b/>
                <w:sz w:val="18"/>
              </w:rPr>
              <w:t>Total employee related expenses,</w:t>
            </w:r>
          </w:p>
        </w:tc>
        <w:tc>
          <w:tcPr>
            <w:tcW w:w="1626" w:type="dxa"/>
            <w:tcBorders>
              <w:top w:val="thickThinMediumGap" w:sz="4" w:space="0" w:color="000000"/>
            </w:tcBorders>
          </w:tcPr>
          <w:p w14:paraId="3E8832DC" w14:textId="77777777" w:rsidR="00FA4AA8" w:rsidRDefault="00FA4AA8">
            <w:pPr>
              <w:pStyle w:val="TableParagraph"/>
              <w:rPr>
                <w:rFonts w:ascii="Times New Roman"/>
                <w:sz w:val="18"/>
              </w:rPr>
            </w:pPr>
          </w:p>
        </w:tc>
        <w:tc>
          <w:tcPr>
            <w:tcW w:w="1380" w:type="dxa"/>
            <w:tcBorders>
              <w:top w:val="thickThinMediumGap" w:sz="4" w:space="0" w:color="000000"/>
            </w:tcBorders>
          </w:tcPr>
          <w:p w14:paraId="0A140176" w14:textId="77777777" w:rsidR="00FA4AA8" w:rsidRDefault="00FA4AA8">
            <w:pPr>
              <w:pStyle w:val="TableParagraph"/>
              <w:rPr>
                <w:rFonts w:ascii="Times New Roman"/>
                <w:sz w:val="18"/>
              </w:rPr>
            </w:pPr>
          </w:p>
        </w:tc>
        <w:tc>
          <w:tcPr>
            <w:tcW w:w="1380" w:type="dxa"/>
            <w:tcBorders>
              <w:top w:val="thickThinMediumGap" w:sz="4" w:space="0" w:color="000000"/>
            </w:tcBorders>
          </w:tcPr>
          <w:p w14:paraId="3C88AFAF" w14:textId="77777777" w:rsidR="00FA4AA8" w:rsidRDefault="00FA4AA8">
            <w:pPr>
              <w:pStyle w:val="TableParagraph"/>
              <w:rPr>
                <w:rFonts w:ascii="Times New Roman"/>
                <w:sz w:val="18"/>
              </w:rPr>
            </w:pPr>
          </w:p>
        </w:tc>
        <w:tc>
          <w:tcPr>
            <w:tcW w:w="1134" w:type="dxa"/>
            <w:tcBorders>
              <w:top w:val="thickThinMediumGap" w:sz="4" w:space="0" w:color="000000"/>
            </w:tcBorders>
          </w:tcPr>
          <w:p w14:paraId="62C89FAB" w14:textId="77777777" w:rsidR="00FA4AA8" w:rsidRDefault="00FA4AA8">
            <w:pPr>
              <w:pStyle w:val="TableParagraph"/>
              <w:rPr>
                <w:rFonts w:ascii="Times New Roman"/>
                <w:sz w:val="18"/>
              </w:rPr>
            </w:pPr>
          </w:p>
        </w:tc>
      </w:tr>
      <w:tr w:rsidR="00FA4AA8" w14:paraId="201CC952" w14:textId="77777777">
        <w:trPr>
          <w:trHeight w:val="206"/>
        </w:trPr>
        <w:tc>
          <w:tcPr>
            <w:tcW w:w="4012" w:type="dxa"/>
          </w:tcPr>
          <w:p w14:paraId="7E903DF0" w14:textId="77777777" w:rsidR="00FA4AA8" w:rsidRDefault="0015611F">
            <w:pPr>
              <w:pStyle w:val="TableParagraph"/>
              <w:spacing w:line="186" w:lineRule="exact"/>
              <w:ind w:left="50"/>
              <w:rPr>
                <w:b/>
                <w:sz w:val="18"/>
              </w:rPr>
            </w:pPr>
            <w:r>
              <w:rPr>
                <w:b/>
                <w:sz w:val="18"/>
              </w:rPr>
              <w:t>including deferred government</w:t>
            </w:r>
          </w:p>
        </w:tc>
        <w:tc>
          <w:tcPr>
            <w:tcW w:w="1626" w:type="dxa"/>
          </w:tcPr>
          <w:p w14:paraId="7EA5196B" w14:textId="77777777" w:rsidR="00FA4AA8" w:rsidRDefault="00FA4AA8">
            <w:pPr>
              <w:pStyle w:val="TableParagraph"/>
              <w:rPr>
                <w:rFonts w:ascii="Times New Roman"/>
                <w:sz w:val="14"/>
              </w:rPr>
            </w:pPr>
          </w:p>
        </w:tc>
        <w:tc>
          <w:tcPr>
            <w:tcW w:w="1380" w:type="dxa"/>
          </w:tcPr>
          <w:p w14:paraId="1ECD1A2E" w14:textId="77777777" w:rsidR="00FA4AA8" w:rsidRDefault="00FA4AA8">
            <w:pPr>
              <w:pStyle w:val="TableParagraph"/>
              <w:rPr>
                <w:rFonts w:ascii="Times New Roman"/>
                <w:sz w:val="14"/>
              </w:rPr>
            </w:pPr>
          </w:p>
        </w:tc>
        <w:tc>
          <w:tcPr>
            <w:tcW w:w="1380" w:type="dxa"/>
          </w:tcPr>
          <w:p w14:paraId="3D721760" w14:textId="77777777" w:rsidR="00FA4AA8" w:rsidRDefault="00FA4AA8">
            <w:pPr>
              <w:pStyle w:val="TableParagraph"/>
              <w:rPr>
                <w:rFonts w:ascii="Times New Roman"/>
                <w:sz w:val="14"/>
              </w:rPr>
            </w:pPr>
          </w:p>
        </w:tc>
        <w:tc>
          <w:tcPr>
            <w:tcW w:w="1134" w:type="dxa"/>
          </w:tcPr>
          <w:p w14:paraId="5CF78E59" w14:textId="77777777" w:rsidR="00FA4AA8" w:rsidRDefault="00FA4AA8">
            <w:pPr>
              <w:pStyle w:val="TableParagraph"/>
              <w:rPr>
                <w:rFonts w:ascii="Times New Roman"/>
                <w:sz w:val="14"/>
              </w:rPr>
            </w:pPr>
          </w:p>
        </w:tc>
      </w:tr>
      <w:tr w:rsidR="00FA4AA8" w14:paraId="65E9A907" w14:textId="77777777">
        <w:trPr>
          <w:trHeight w:val="384"/>
        </w:trPr>
        <w:tc>
          <w:tcPr>
            <w:tcW w:w="4012" w:type="dxa"/>
          </w:tcPr>
          <w:p w14:paraId="0B64123A" w14:textId="77777777" w:rsidR="00FA4AA8" w:rsidRDefault="0015611F">
            <w:pPr>
              <w:pStyle w:val="TableParagraph"/>
              <w:spacing w:before="1" w:line="206" w:lineRule="exact"/>
              <w:ind w:left="50" w:right="2081"/>
              <w:rPr>
                <w:b/>
                <w:sz w:val="18"/>
              </w:rPr>
            </w:pPr>
            <w:r>
              <w:rPr>
                <w:b/>
                <w:sz w:val="18"/>
              </w:rPr>
              <w:t>employee benefits for superannuation</w:t>
            </w:r>
          </w:p>
        </w:tc>
        <w:tc>
          <w:tcPr>
            <w:tcW w:w="1626" w:type="dxa"/>
            <w:tcBorders>
              <w:bottom w:val="single" w:sz="24" w:space="0" w:color="000000"/>
            </w:tcBorders>
          </w:tcPr>
          <w:p w14:paraId="191C00D5" w14:textId="77777777" w:rsidR="00FA4AA8" w:rsidRDefault="0015611F">
            <w:pPr>
              <w:pStyle w:val="TableParagraph"/>
              <w:spacing w:before="174" w:line="190" w:lineRule="exact"/>
              <w:ind w:right="246"/>
              <w:jc w:val="right"/>
              <w:rPr>
                <w:b/>
                <w:sz w:val="18"/>
              </w:rPr>
            </w:pPr>
            <w:r>
              <w:rPr>
                <w:b/>
                <w:sz w:val="18"/>
              </w:rPr>
              <w:t>470,405</w:t>
            </w:r>
          </w:p>
        </w:tc>
        <w:tc>
          <w:tcPr>
            <w:tcW w:w="1380" w:type="dxa"/>
            <w:tcBorders>
              <w:bottom w:val="single" w:sz="6" w:space="0" w:color="000000"/>
            </w:tcBorders>
          </w:tcPr>
          <w:p w14:paraId="6258A2F9" w14:textId="77777777" w:rsidR="00FA4AA8" w:rsidRDefault="0015611F">
            <w:pPr>
              <w:pStyle w:val="TableParagraph"/>
              <w:spacing w:before="174" w:line="190" w:lineRule="exact"/>
              <w:ind w:right="330"/>
              <w:jc w:val="right"/>
              <w:rPr>
                <w:sz w:val="18"/>
              </w:rPr>
            </w:pPr>
            <w:r>
              <w:rPr>
                <w:sz w:val="18"/>
              </w:rPr>
              <w:t>444,098</w:t>
            </w:r>
          </w:p>
        </w:tc>
        <w:tc>
          <w:tcPr>
            <w:tcW w:w="1380" w:type="dxa"/>
            <w:tcBorders>
              <w:bottom w:val="single" w:sz="6" w:space="0" w:color="000000"/>
            </w:tcBorders>
          </w:tcPr>
          <w:p w14:paraId="7D71221D" w14:textId="77777777" w:rsidR="00FA4AA8" w:rsidRDefault="0015611F">
            <w:pPr>
              <w:pStyle w:val="TableParagraph"/>
              <w:spacing w:before="174" w:line="190" w:lineRule="exact"/>
              <w:ind w:right="246"/>
              <w:jc w:val="right"/>
              <w:rPr>
                <w:b/>
                <w:sz w:val="18"/>
              </w:rPr>
            </w:pPr>
            <w:r>
              <w:rPr>
                <w:b/>
                <w:sz w:val="18"/>
              </w:rPr>
              <w:t>430,981</w:t>
            </w:r>
          </w:p>
        </w:tc>
        <w:tc>
          <w:tcPr>
            <w:tcW w:w="1134" w:type="dxa"/>
            <w:tcBorders>
              <w:bottom w:val="single" w:sz="4" w:space="0" w:color="000000"/>
            </w:tcBorders>
          </w:tcPr>
          <w:p w14:paraId="7836B5CE" w14:textId="77777777" w:rsidR="00FA4AA8" w:rsidRDefault="0015611F">
            <w:pPr>
              <w:pStyle w:val="TableParagraph"/>
              <w:spacing w:before="174" w:line="190" w:lineRule="exact"/>
              <w:ind w:right="84"/>
              <w:jc w:val="right"/>
              <w:rPr>
                <w:sz w:val="18"/>
              </w:rPr>
            </w:pPr>
            <w:r>
              <w:rPr>
                <w:sz w:val="18"/>
              </w:rPr>
              <w:t>404,032</w:t>
            </w:r>
          </w:p>
        </w:tc>
      </w:tr>
    </w:tbl>
    <w:p w14:paraId="500661DC" w14:textId="77777777" w:rsidR="00FA4AA8" w:rsidRDefault="00FA4AA8">
      <w:pPr>
        <w:pStyle w:val="BodyText"/>
        <w:spacing w:before="4"/>
        <w:rPr>
          <w:b/>
        </w:rPr>
      </w:pPr>
    </w:p>
    <w:p w14:paraId="1FE5197A" w14:textId="77777777" w:rsidR="00FA4AA8" w:rsidRDefault="007E2441">
      <w:pPr>
        <w:spacing w:before="95"/>
        <w:ind w:left="564"/>
        <w:rPr>
          <w:i/>
          <w:sz w:val="18"/>
        </w:rPr>
      </w:pPr>
      <w:r>
        <w:rPr>
          <w:noProof/>
          <w:lang w:val="en-AU" w:eastAsia="en-AU"/>
        </w:rPr>
        <mc:AlternateContent>
          <mc:Choice Requires="wpg">
            <w:drawing>
              <wp:anchor distT="0" distB="0" distL="114300" distR="114300" simplePos="0" relativeHeight="462727680" behindDoc="1" locked="0" layoutInCell="1" allowOverlap="1" wp14:anchorId="5221FA94" wp14:editId="7C96DCE6">
                <wp:simplePos x="0" y="0"/>
                <wp:positionH relativeFrom="page">
                  <wp:posOffset>3531235</wp:posOffset>
                </wp:positionH>
                <wp:positionV relativeFrom="paragraph">
                  <wp:posOffset>-160655</wp:posOffset>
                </wp:positionV>
                <wp:extent cx="2310765" cy="16510"/>
                <wp:effectExtent l="0" t="0" r="0" b="0"/>
                <wp:wrapNone/>
                <wp:docPr id="3110" name="Group 28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0765" cy="16510"/>
                          <a:chOff x="5561" y="-253"/>
                          <a:chExt cx="5352" cy="39"/>
                        </a:xfrm>
                      </wpg:grpSpPr>
                      <wps:wsp>
                        <wps:cNvPr id="3111" name="Line 2905"/>
                        <wps:cNvCnPr>
                          <a:cxnSpLocks noChangeShapeType="1"/>
                        </wps:cNvCnPr>
                        <wps:spPr bwMode="auto">
                          <a:xfrm>
                            <a:off x="5561" y="-226"/>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112" name="Line 2904"/>
                        <wps:cNvCnPr>
                          <a:cxnSpLocks noChangeShapeType="1"/>
                        </wps:cNvCnPr>
                        <wps:spPr bwMode="auto">
                          <a:xfrm>
                            <a:off x="5561" y="-219"/>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113" name="Line 2903"/>
                        <wps:cNvCnPr>
                          <a:cxnSpLocks noChangeShapeType="1"/>
                        </wps:cNvCnPr>
                        <wps:spPr bwMode="auto">
                          <a:xfrm>
                            <a:off x="5561" y="-216"/>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114" name="Line 2902"/>
                        <wps:cNvCnPr>
                          <a:cxnSpLocks noChangeShapeType="1"/>
                        </wps:cNvCnPr>
                        <wps:spPr bwMode="auto">
                          <a:xfrm>
                            <a:off x="6857" y="-22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115" name="Line 2901"/>
                        <wps:cNvCnPr>
                          <a:cxnSpLocks noChangeShapeType="1"/>
                        </wps:cNvCnPr>
                        <wps:spPr bwMode="auto">
                          <a:xfrm>
                            <a:off x="6857" y="-226"/>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116" name="Line 2900"/>
                        <wps:cNvCnPr>
                          <a:cxnSpLocks noChangeShapeType="1"/>
                        </wps:cNvCnPr>
                        <wps:spPr bwMode="auto">
                          <a:xfrm>
                            <a:off x="6857" y="-22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117" name="Line 2899"/>
                        <wps:cNvCnPr>
                          <a:cxnSpLocks noChangeShapeType="1"/>
                        </wps:cNvCnPr>
                        <wps:spPr bwMode="auto">
                          <a:xfrm>
                            <a:off x="6857" y="-22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118" name="Line 2898"/>
                        <wps:cNvCnPr>
                          <a:cxnSpLocks noChangeShapeType="1"/>
                        </wps:cNvCnPr>
                        <wps:spPr bwMode="auto">
                          <a:xfrm>
                            <a:off x="6857" y="-219"/>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119" name="Line 2897"/>
                        <wps:cNvCnPr>
                          <a:cxnSpLocks noChangeShapeType="1"/>
                        </wps:cNvCnPr>
                        <wps:spPr bwMode="auto">
                          <a:xfrm>
                            <a:off x="6857" y="-216"/>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120" name="Line 2896"/>
                        <wps:cNvCnPr>
                          <a:cxnSpLocks noChangeShapeType="1"/>
                        </wps:cNvCnPr>
                        <wps:spPr bwMode="auto">
                          <a:xfrm>
                            <a:off x="8153" y="-228"/>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121" name="Line 2895"/>
                        <wps:cNvCnPr>
                          <a:cxnSpLocks noChangeShapeType="1"/>
                        </wps:cNvCnPr>
                        <wps:spPr bwMode="auto">
                          <a:xfrm>
                            <a:off x="8153" y="-226"/>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122" name="Line 2894"/>
                        <wps:cNvCnPr>
                          <a:cxnSpLocks noChangeShapeType="1"/>
                        </wps:cNvCnPr>
                        <wps:spPr bwMode="auto">
                          <a:xfrm>
                            <a:off x="8153" y="-223"/>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123" name="Line 2893"/>
                        <wps:cNvCnPr>
                          <a:cxnSpLocks noChangeShapeType="1"/>
                        </wps:cNvCnPr>
                        <wps:spPr bwMode="auto">
                          <a:xfrm>
                            <a:off x="8153" y="-221"/>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124" name="Line 2892"/>
                        <wps:cNvCnPr>
                          <a:cxnSpLocks noChangeShapeType="1"/>
                        </wps:cNvCnPr>
                        <wps:spPr bwMode="auto">
                          <a:xfrm>
                            <a:off x="8153" y="-219"/>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125" name="Line 2891"/>
                        <wps:cNvCnPr>
                          <a:cxnSpLocks noChangeShapeType="1"/>
                        </wps:cNvCnPr>
                        <wps:spPr bwMode="auto">
                          <a:xfrm>
                            <a:off x="8153" y="-216"/>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126" name="Line 2890"/>
                        <wps:cNvCnPr>
                          <a:cxnSpLocks noChangeShapeType="1"/>
                        </wps:cNvCnPr>
                        <wps:spPr bwMode="auto">
                          <a:xfrm>
                            <a:off x="8321" y="-22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127" name="Line 2889"/>
                        <wps:cNvCnPr>
                          <a:cxnSpLocks noChangeShapeType="1"/>
                        </wps:cNvCnPr>
                        <wps:spPr bwMode="auto">
                          <a:xfrm>
                            <a:off x="8321" y="-226"/>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128" name="Line 2888"/>
                        <wps:cNvCnPr>
                          <a:cxnSpLocks noChangeShapeType="1"/>
                        </wps:cNvCnPr>
                        <wps:spPr bwMode="auto">
                          <a:xfrm>
                            <a:off x="8321" y="-22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129" name="Line 2887"/>
                        <wps:cNvCnPr>
                          <a:cxnSpLocks noChangeShapeType="1"/>
                        </wps:cNvCnPr>
                        <wps:spPr bwMode="auto">
                          <a:xfrm>
                            <a:off x="8321" y="-22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130" name="Line 2886"/>
                        <wps:cNvCnPr>
                          <a:cxnSpLocks noChangeShapeType="1"/>
                        </wps:cNvCnPr>
                        <wps:spPr bwMode="auto">
                          <a:xfrm>
                            <a:off x="8321" y="-219"/>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131" name="Line 2885"/>
                        <wps:cNvCnPr>
                          <a:cxnSpLocks noChangeShapeType="1"/>
                        </wps:cNvCnPr>
                        <wps:spPr bwMode="auto">
                          <a:xfrm>
                            <a:off x="8321" y="-216"/>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132" name="Line 2884"/>
                        <wps:cNvCnPr>
                          <a:cxnSpLocks noChangeShapeType="1"/>
                        </wps:cNvCnPr>
                        <wps:spPr bwMode="auto">
                          <a:xfrm>
                            <a:off x="9617" y="-252"/>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133" name="Line 2883"/>
                        <wps:cNvCnPr>
                          <a:cxnSpLocks noChangeShapeType="1"/>
                        </wps:cNvCnPr>
                        <wps:spPr bwMode="auto">
                          <a:xfrm>
                            <a:off x="9617" y="-25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134" name="Line 2882"/>
                        <wps:cNvCnPr>
                          <a:cxnSpLocks noChangeShapeType="1"/>
                        </wps:cNvCnPr>
                        <wps:spPr bwMode="auto">
                          <a:xfrm>
                            <a:off x="9617" y="-22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135" name="Line 2881"/>
                        <wps:cNvCnPr>
                          <a:cxnSpLocks noChangeShapeType="1"/>
                        </wps:cNvCnPr>
                        <wps:spPr bwMode="auto">
                          <a:xfrm>
                            <a:off x="9617" y="-226"/>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136" name="Line 2880"/>
                        <wps:cNvCnPr>
                          <a:cxnSpLocks noChangeShapeType="1"/>
                        </wps:cNvCnPr>
                        <wps:spPr bwMode="auto">
                          <a:xfrm>
                            <a:off x="9617" y="-22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137" name="Line 2879"/>
                        <wps:cNvCnPr>
                          <a:cxnSpLocks noChangeShapeType="1"/>
                        </wps:cNvCnPr>
                        <wps:spPr bwMode="auto">
                          <a:xfrm>
                            <a:off x="9617" y="-22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138" name="Line 2878"/>
                        <wps:cNvCnPr>
                          <a:cxnSpLocks noChangeShapeType="1"/>
                        </wps:cNvCnPr>
                        <wps:spPr bwMode="auto">
                          <a:xfrm>
                            <a:off x="9617" y="-219"/>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139" name="Line 2877"/>
                        <wps:cNvCnPr>
                          <a:cxnSpLocks noChangeShapeType="1"/>
                        </wps:cNvCnPr>
                        <wps:spPr bwMode="auto">
                          <a:xfrm>
                            <a:off x="9617" y="-216"/>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C18725" id="Group 2876" o:spid="_x0000_s1026" style="position:absolute;margin-left:278.05pt;margin-top:-12.65pt;width:181.95pt;height:1.3pt;z-index:-40588800;mso-position-horizontal-relative:page" coordorigin="5561,-253" coordsize="535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">
                <v:line id="Line 2905" o:spid="_x0000_s1027" style="position:absolute;visibility:visible;mso-wrap-style:square" from="5561,-226" to="6857,-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" strokeweight=".12pt"/>
                <v:line id="Line 2904" o:spid="_x0000_s1028" style="position:absolute;visibility:visible;mso-wrap-style:square" from="5561,-219" to="6857,-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" strokeweight=".12pt"/>
                <v:line id="Line 2903" o:spid="_x0000_s1029" style="position:absolute;visibility:visible;mso-wrap-style:square" from="5561,-216" to="6857,-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" strokeweight=".12pt"/>
                <v:line id="Line 2902" o:spid="_x0000_s1030" style="position:absolute;visibility:visible;mso-wrap-style:square" from="6857,-228" to="8153,-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" strokeweight=".12pt"/>
                <v:line id="Line 2901" o:spid="_x0000_s1031" style="position:absolute;visibility:visible;mso-wrap-style:square" from="6857,-226" to="8153,-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" strokeweight=".12pt"/>
                <v:line id="Line 2900" o:spid="_x0000_s1032" style="position:absolute;visibility:visible;mso-wrap-style:square" from="6857,-223" to="8153,-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" strokeweight=".12pt"/>
                <v:line id="Line 2899" o:spid="_x0000_s1033" style="position:absolute;visibility:visible;mso-wrap-style:square" from="6857,-221" to="8153,-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" strokeweight=".12pt"/>
                <v:line id="Line 2898" o:spid="_x0000_s1034" style="position:absolute;visibility:visible;mso-wrap-style:square" from="6857,-219" to="8153,-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" strokeweight=".12pt"/>
                <v:line id="Line 2897" o:spid="_x0000_s1035" style="position:absolute;visibility:visible;mso-wrap-style:square" from="6857,-216" to="8153,-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" strokeweight=".12pt"/>
                <v:line id="Line 2896" o:spid="_x0000_s1036" style="position:absolute;visibility:visible;mso-wrap-style:square" from="8153,-228" to="8321,-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" strokeweight=".12pt"/>
                <v:line id="Line 2895" o:spid="_x0000_s1037" style="position:absolute;visibility:visible;mso-wrap-style:square" from="8153,-226" to="8321,-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" strokeweight=".12pt"/>
                <v:line id="Line 2894" o:spid="_x0000_s1038" style="position:absolute;visibility:visible;mso-wrap-style:square" from="8153,-223" to="8321,-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" strokeweight=".12pt"/>
                <v:line id="Line 2893" o:spid="_x0000_s1039" style="position:absolute;visibility:visible;mso-wrap-style:square" from="8153,-221" to="832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" strokeweight=".12pt"/>
                <v:line id="Line 2892" o:spid="_x0000_s1040" style="position:absolute;visibility:visible;mso-wrap-style:square" from="8153,-219" to="8321,-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" strokeweight=".12pt"/>
                <v:line id="Line 2891" o:spid="_x0000_s1041" style="position:absolute;visibility:visible;mso-wrap-style:square" from="8153,-216" to="8321,-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" strokeweight=".12pt"/>
                <v:line id="Line 2890" o:spid="_x0000_s1042" style="position:absolute;visibility:visible;mso-wrap-style:square" from="8321,-228" to="9617,-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" strokeweight=".12pt"/>
                <v:line id="Line 2889" o:spid="_x0000_s1043" style="position:absolute;visibility:visible;mso-wrap-style:square" from="8321,-226" to="9617,-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" strokeweight=".12pt"/>
                <v:line id="Line 2888" o:spid="_x0000_s1044" style="position:absolute;visibility:visible;mso-wrap-style:square" from="8321,-223" to="9617,-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" strokeweight=".12pt"/>
                <v:line id="Line 2887" o:spid="_x0000_s1045" style="position:absolute;visibility:visible;mso-wrap-style:square" from="8321,-221" to="9617,-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" strokeweight=".12pt"/>
                <v:line id="Line 2886" o:spid="_x0000_s1046" style="position:absolute;visibility:visible;mso-wrap-style:square" from="8321,-219" to="9617,-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" strokeweight=".12pt"/>
                <v:line id="Line 2885" o:spid="_x0000_s1047" style="position:absolute;visibility:visible;mso-wrap-style:square" from="8321,-216" to="9617,-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" strokeweight=".12pt"/>
                <v:line id="Line 2884" o:spid="_x0000_s1048" style="position:absolute;visibility:visible;mso-wrap-style:square" from="9617,-252" to="10913,-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" strokeweight=".12pt"/>
                <v:line id="Line 2883" o:spid="_x0000_s1049" style="position:absolute;visibility:visible;mso-wrap-style:square" from="9617,-250" to="10913,-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" strokeweight=".12pt"/>
                <v:line id="Line 2882" o:spid="_x0000_s1050" style="position:absolute;visibility:visible;mso-wrap-style:square" from="9617,-228" to="10913,-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" strokeweight=".12pt"/>
                <v:line id="Line 2881" o:spid="_x0000_s1051" style="position:absolute;visibility:visible;mso-wrap-style:square" from="9617,-226" to="10913,-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" strokeweight=".12pt"/>
                <v:line id="Line 2880" o:spid="_x0000_s1052" style="position:absolute;visibility:visible;mso-wrap-style:square" from="9617,-223" to="10913,-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" strokeweight=".12pt"/>
                <v:line id="Line 2879" o:spid="_x0000_s1053" style="position:absolute;visibility:visible;mso-wrap-style:square" from="9617,-221" to="10913,-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" strokeweight=".12pt"/>
                <v:line id="Line 2878" o:spid="_x0000_s1054" style="position:absolute;visibility:visible;mso-wrap-style:square" from="9617,-219" to="10913,-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" strokeweight=".12pt"/>
                <v:line id="Line 2877" o:spid="_x0000_s1055" style="position:absolute;visibility:visible;mso-wrap-style:square" from="9617,-216" to="10913,-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" strokeweight=".12pt"/>
                <w10:wrap anchorx="page"/>
              </v:group>
            </w:pict>
          </mc:Fallback>
        </mc:AlternateContent>
      </w:r>
      <w:r w:rsidR="0015611F">
        <w:rPr>
          <w:i/>
          <w:sz w:val="18"/>
          <w:u w:val="single"/>
        </w:rPr>
        <w:t>Accounting Policy</w:t>
      </w:r>
    </w:p>
    <w:p w14:paraId="330F2E05" w14:textId="77777777" w:rsidR="00FA4AA8" w:rsidRDefault="00FA4AA8">
      <w:pPr>
        <w:pStyle w:val="BodyText"/>
        <w:spacing w:before="2"/>
        <w:rPr>
          <w:i/>
          <w:sz w:val="17"/>
        </w:rPr>
      </w:pPr>
    </w:p>
    <w:p w14:paraId="68654158" w14:textId="77777777" w:rsidR="00FA4AA8" w:rsidRDefault="0015611F">
      <w:pPr>
        <w:pStyle w:val="BodyText"/>
        <w:spacing w:before="94"/>
        <w:ind w:left="564"/>
      </w:pPr>
      <w:r>
        <w:t>Refer to note 25 for policies on employee benefits.</w:t>
      </w:r>
    </w:p>
    <w:p w14:paraId="0F88AA68" w14:textId="77777777" w:rsidR="00FA4AA8" w:rsidRDefault="00FA4AA8">
      <w:pPr>
        <w:sectPr w:rsidR="00FA4AA8">
          <w:pgSz w:w="11910" w:h="16840"/>
          <w:pgMar w:top="2220" w:right="840" w:bottom="720" w:left="840" w:header="1016" w:footer="523" w:gutter="0"/>
          <w:cols w:space="720"/>
        </w:sectPr>
      </w:pPr>
    </w:p>
    <w:p w14:paraId="08FE1EAB" w14:textId="77777777" w:rsidR="00FA4AA8" w:rsidRDefault="00FA4AA8">
      <w:pPr>
        <w:pStyle w:val="BodyText"/>
        <w:rPr>
          <w:sz w:val="20"/>
        </w:rPr>
      </w:pPr>
    </w:p>
    <w:p w14:paraId="17EB3328" w14:textId="77777777" w:rsidR="00FA4AA8" w:rsidRDefault="00FA4AA8">
      <w:pPr>
        <w:pStyle w:val="BodyText"/>
        <w:spacing w:before="10"/>
        <w:rPr>
          <w:sz w:val="29"/>
        </w:rPr>
      </w:pPr>
    </w:p>
    <w:p w14:paraId="35163F60" w14:textId="77777777" w:rsidR="00FA4AA8" w:rsidRDefault="0015611F">
      <w:pPr>
        <w:numPr>
          <w:ilvl w:val="0"/>
          <w:numId w:val="105"/>
        </w:numPr>
        <w:tabs>
          <w:tab w:val="left" w:pos="564"/>
        </w:tabs>
        <w:spacing w:before="94"/>
        <w:ind w:hanging="397"/>
        <w:rPr>
          <w:b/>
          <w:sz w:val="18"/>
        </w:rPr>
      </w:pPr>
      <w:bookmarkStart w:id="31" w:name="11_Depreciation_and_amortisation_"/>
      <w:bookmarkEnd w:id="31"/>
      <w:r>
        <w:rPr>
          <w:b/>
          <w:sz w:val="18"/>
        </w:rPr>
        <w:t>Depreciation and amortisation</w:t>
      </w:r>
    </w:p>
    <w:p w14:paraId="318A2868" w14:textId="77777777" w:rsidR="00FA4AA8" w:rsidRDefault="0015611F">
      <w:pPr>
        <w:tabs>
          <w:tab w:val="left" w:pos="8426"/>
        </w:tabs>
        <w:spacing w:before="33"/>
        <w:ind w:left="5376"/>
        <w:rPr>
          <w:b/>
          <w:sz w:val="18"/>
        </w:rPr>
      </w:pPr>
      <w:r>
        <w:rPr>
          <w:b/>
          <w:sz w:val="18"/>
        </w:rPr>
        <w:t>Consolidated</w:t>
      </w:r>
      <w:r>
        <w:rPr>
          <w:b/>
          <w:sz w:val="18"/>
        </w:rPr>
        <w:tab/>
        <w:t>Parent</w:t>
      </w:r>
    </w:p>
    <w:p w14:paraId="1C3CF227" w14:textId="77777777" w:rsidR="00FA4AA8" w:rsidRDefault="00FA4AA8">
      <w:pPr>
        <w:pStyle w:val="BodyText"/>
        <w:spacing w:before="3"/>
        <w:rPr>
          <w:b/>
          <w:sz w:val="6"/>
        </w:rPr>
      </w:pPr>
    </w:p>
    <w:tbl>
      <w:tblPr>
        <w:tblW w:w="0" w:type="auto"/>
        <w:tblInd w:w="521" w:type="dxa"/>
        <w:tblLayout w:type="fixed"/>
        <w:tblCellMar>
          <w:left w:w="0" w:type="dxa"/>
          <w:right w:w="0" w:type="dxa"/>
        </w:tblCellMar>
        <w:tblLook w:val="01E0" w:firstRow="1" w:lastRow="1" w:firstColumn="1" w:lastColumn="1" w:noHBand="0" w:noVBand="0"/>
      </w:tblPr>
      <w:tblGrid>
        <w:gridCol w:w="4039"/>
        <w:gridCol w:w="1464"/>
        <w:gridCol w:w="1296"/>
        <w:gridCol w:w="168"/>
        <w:gridCol w:w="1458"/>
        <w:gridCol w:w="1134"/>
      </w:tblGrid>
      <w:tr w:rsidR="00FA4AA8" w14:paraId="23C683F9" w14:textId="77777777">
        <w:trPr>
          <w:trHeight w:val="844"/>
        </w:trPr>
        <w:tc>
          <w:tcPr>
            <w:tcW w:w="4039" w:type="dxa"/>
          </w:tcPr>
          <w:p w14:paraId="692289DF" w14:textId="77777777" w:rsidR="00FA4AA8" w:rsidRDefault="00FA4AA8">
            <w:pPr>
              <w:pStyle w:val="TableParagraph"/>
              <w:rPr>
                <w:b/>
                <w:sz w:val="20"/>
              </w:rPr>
            </w:pPr>
          </w:p>
          <w:p w14:paraId="6D1029B1" w14:textId="77777777" w:rsidR="00FA4AA8" w:rsidRDefault="00FA4AA8">
            <w:pPr>
              <w:pStyle w:val="TableParagraph"/>
              <w:rPr>
                <w:b/>
                <w:sz w:val="20"/>
              </w:rPr>
            </w:pPr>
          </w:p>
          <w:p w14:paraId="201C6AE8" w14:textId="77777777" w:rsidR="00FA4AA8" w:rsidRDefault="0015611F">
            <w:pPr>
              <w:pStyle w:val="TableParagraph"/>
              <w:spacing w:before="160" w:line="204" w:lineRule="exact"/>
              <w:ind w:left="76"/>
              <w:rPr>
                <w:b/>
                <w:sz w:val="18"/>
              </w:rPr>
            </w:pPr>
            <w:r>
              <w:rPr>
                <w:b/>
                <w:sz w:val="18"/>
              </w:rPr>
              <w:t>Depreciation</w:t>
            </w:r>
          </w:p>
        </w:tc>
        <w:tc>
          <w:tcPr>
            <w:tcW w:w="1464" w:type="dxa"/>
          </w:tcPr>
          <w:p w14:paraId="7D3E06A4" w14:textId="77777777" w:rsidR="00FA4AA8" w:rsidRDefault="0015611F">
            <w:pPr>
              <w:pStyle w:val="TableParagraph"/>
              <w:spacing w:line="201" w:lineRule="exact"/>
              <w:ind w:left="599"/>
              <w:rPr>
                <w:b/>
                <w:sz w:val="18"/>
              </w:rPr>
            </w:pPr>
            <w:r>
              <w:rPr>
                <w:b/>
                <w:sz w:val="18"/>
              </w:rPr>
              <w:t>2018</w:t>
            </w:r>
          </w:p>
          <w:p w14:paraId="4F91C2E7" w14:textId="77777777" w:rsidR="00FA4AA8" w:rsidRDefault="0015611F">
            <w:pPr>
              <w:pStyle w:val="TableParagraph"/>
              <w:spacing w:before="66"/>
              <w:ind w:left="578"/>
              <w:rPr>
                <w:b/>
                <w:sz w:val="18"/>
              </w:rPr>
            </w:pPr>
            <w:r>
              <w:rPr>
                <w:b/>
                <w:sz w:val="18"/>
              </w:rPr>
              <w:t>$'000</w:t>
            </w:r>
          </w:p>
        </w:tc>
        <w:tc>
          <w:tcPr>
            <w:tcW w:w="1296" w:type="dxa"/>
          </w:tcPr>
          <w:p w14:paraId="25EF058A" w14:textId="77777777" w:rsidR="00FA4AA8" w:rsidRDefault="0015611F">
            <w:pPr>
              <w:pStyle w:val="TableParagraph"/>
              <w:spacing w:line="201" w:lineRule="exact"/>
              <w:ind w:left="431"/>
              <w:rPr>
                <w:b/>
                <w:sz w:val="18"/>
              </w:rPr>
            </w:pPr>
            <w:r>
              <w:rPr>
                <w:b/>
                <w:sz w:val="18"/>
              </w:rPr>
              <w:t>2017</w:t>
            </w:r>
          </w:p>
          <w:p w14:paraId="5DB44F01" w14:textId="77777777" w:rsidR="00FA4AA8" w:rsidRDefault="0015611F">
            <w:pPr>
              <w:pStyle w:val="TableParagraph"/>
              <w:spacing w:before="66"/>
              <w:ind w:left="410"/>
              <w:rPr>
                <w:b/>
                <w:sz w:val="18"/>
              </w:rPr>
            </w:pPr>
            <w:r>
              <w:rPr>
                <w:b/>
                <w:sz w:val="18"/>
              </w:rPr>
              <w:t>$'000</w:t>
            </w:r>
          </w:p>
        </w:tc>
        <w:tc>
          <w:tcPr>
            <w:tcW w:w="1626" w:type="dxa"/>
            <w:gridSpan w:val="2"/>
          </w:tcPr>
          <w:p w14:paraId="6947CB54" w14:textId="77777777" w:rsidR="00FA4AA8" w:rsidRDefault="0015611F">
            <w:pPr>
              <w:pStyle w:val="TableParagraph"/>
              <w:spacing w:line="201" w:lineRule="exact"/>
              <w:ind w:left="560" w:right="581"/>
              <w:jc w:val="center"/>
              <w:rPr>
                <w:b/>
                <w:sz w:val="18"/>
              </w:rPr>
            </w:pPr>
            <w:r>
              <w:rPr>
                <w:b/>
                <w:sz w:val="18"/>
              </w:rPr>
              <w:t>2018</w:t>
            </w:r>
          </w:p>
          <w:p w14:paraId="025039EC" w14:textId="77777777" w:rsidR="00FA4AA8" w:rsidRDefault="0015611F">
            <w:pPr>
              <w:pStyle w:val="TableParagraph"/>
              <w:spacing w:before="66"/>
              <w:ind w:left="560" w:right="581"/>
              <w:jc w:val="center"/>
              <w:rPr>
                <w:b/>
                <w:sz w:val="18"/>
              </w:rPr>
            </w:pPr>
            <w:r>
              <w:rPr>
                <w:b/>
                <w:sz w:val="18"/>
              </w:rPr>
              <w:t>$'000</w:t>
            </w:r>
          </w:p>
        </w:tc>
        <w:tc>
          <w:tcPr>
            <w:tcW w:w="1134" w:type="dxa"/>
          </w:tcPr>
          <w:p w14:paraId="5ACAD57F" w14:textId="77777777" w:rsidR="00FA4AA8" w:rsidRDefault="0015611F">
            <w:pPr>
              <w:pStyle w:val="TableParagraph"/>
              <w:spacing w:line="201" w:lineRule="exact"/>
              <w:ind w:left="269"/>
              <w:rPr>
                <w:b/>
                <w:sz w:val="18"/>
              </w:rPr>
            </w:pPr>
            <w:r>
              <w:rPr>
                <w:b/>
                <w:sz w:val="18"/>
              </w:rPr>
              <w:t>2017</w:t>
            </w:r>
          </w:p>
          <w:p w14:paraId="326D3CE9" w14:textId="77777777" w:rsidR="00FA4AA8" w:rsidRDefault="0015611F">
            <w:pPr>
              <w:pStyle w:val="TableParagraph"/>
              <w:spacing w:before="66"/>
              <w:ind w:left="248"/>
              <w:rPr>
                <w:b/>
                <w:sz w:val="18"/>
              </w:rPr>
            </w:pPr>
            <w:r>
              <w:rPr>
                <w:b/>
                <w:sz w:val="18"/>
              </w:rPr>
              <w:t>$'000</w:t>
            </w:r>
          </w:p>
        </w:tc>
      </w:tr>
      <w:tr w:rsidR="00FA4AA8" w14:paraId="157E8A90" w14:textId="77777777">
        <w:trPr>
          <w:trHeight w:val="250"/>
        </w:trPr>
        <w:tc>
          <w:tcPr>
            <w:tcW w:w="4039" w:type="dxa"/>
          </w:tcPr>
          <w:p w14:paraId="11C1AC52" w14:textId="77777777" w:rsidR="00FA4AA8" w:rsidRDefault="0015611F">
            <w:pPr>
              <w:pStyle w:val="TableParagraph"/>
              <w:spacing w:before="13"/>
              <w:ind w:left="76"/>
              <w:rPr>
                <w:sz w:val="18"/>
              </w:rPr>
            </w:pPr>
            <w:r>
              <w:rPr>
                <w:sz w:val="18"/>
              </w:rPr>
              <w:t>Buildings and infrastructure</w:t>
            </w:r>
          </w:p>
        </w:tc>
        <w:tc>
          <w:tcPr>
            <w:tcW w:w="1464" w:type="dxa"/>
          </w:tcPr>
          <w:p w14:paraId="4DFC767E" w14:textId="77777777" w:rsidR="00FA4AA8" w:rsidRDefault="0015611F">
            <w:pPr>
              <w:pStyle w:val="TableParagraph"/>
              <w:spacing w:before="11"/>
              <w:ind w:right="84"/>
              <w:jc w:val="right"/>
              <w:rPr>
                <w:b/>
                <w:sz w:val="18"/>
              </w:rPr>
            </w:pPr>
            <w:r>
              <w:rPr>
                <w:b/>
                <w:sz w:val="18"/>
              </w:rPr>
              <w:t>29,074</w:t>
            </w:r>
          </w:p>
        </w:tc>
        <w:tc>
          <w:tcPr>
            <w:tcW w:w="1296" w:type="dxa"/>
          </w:tcPr>
          <w:p w14:paraId="695A9C28" w14:textId="77777777" w:rsidR="00FA4AA8" w:rsidRDefault="0015611F">
            <w:pPr>
              <w:pStyle w:val="TableParagraph"/>
              <w:spacing w:before="11"/>
              <w:ind w:right="84"/>
              <w:jc w:val="right"/>
              <w:rPr>
                <w:sz w:val="18"/>
              </w:rPr>
            </w:pPr>
            <w:r>
              <w:rPr>
                <w:sz w:val="18"/>
              </w:rPr>
              <w:t>26,358</w:t>
            </w:r>
          </w:p>
        </w:tc>
        <w:tc>
          <w:tcPr>
            <w:tcW w:w="1626" w:type="dxa"/>
            <w:gridSpan w:val="2"/>
          </w:tcPr>
          <w:p w14:paraId="5425A94F" w14:textId="77777777" w:rsidR="00FA4AA8" w:rsidRDefault="0015611F">
            <w:pPr>
              <w:pStyle w:val="TableParagraph"/>
              <w:spacing w:before="11"/>
              <w:ind w:left="823"/>
              <w:rPr>
                <w:b/>
                <w:sz w:val="18"/>
              </w:rPr>
            </w:pPr>
            <w:r>
              <w:rPr>
                <w:b/>
                <w:sz w:val="18"/>
              </w:rPr>
              <w:t>29,074</w:t>
            </w:r>
          </w:p>
        </w:tc>
        <w:tc>
          <w:tcPr>
            <w:tcW w:w="1134" w:type="dxa"/>
          </w:tcPr>
          <w:p w14:paraId="43DD226D" w14:textId="77777777" w:rsidR="00FA4AA8" w:rsidRDefault="0015611F">
            <w:pPr>
              <w:pStyle w:val="TableParagraph"/>
              <w:spacing w:before="11"/>
              <w:ind w:right="84"/>
              <w:jc w:val="right"/>
              <w:rPr>
                <w:sz w:val="18"/>
              </w:rPr>
            </w:pPr>
            <w:r>
              <w:rPr>
                <w:sz w:val="18"/>
              </w:rPr>
              <w:t>26,358</w:t>
            </w:r>
          </w:p>
        </w:tc>
      </w:tr>
      <w:tr w:rsidR="00FA4AA8" w14:paraId="7240B67F" w14:textId="77777777">
        <w:trPr>
          <w:trHeight w:val="264"/>
        </w:trPr>
        <w:tc>
          <w:tcPr>
            <w:tcW w:w="4039" w:type="dxa"/>
          </w:tcPr>
          <w:p w14:paraId="32967D6C" w14:textId="77777777" w:rsidR="00FA4AA8" w:rsidRDefault="0015611F">
            <w:pPr>
              <w:pStyle w:val="TableParagraph"/>
              <w:spacing w:before="26"/>
              <w:ind w:left="76"/>
              <w:rPr>
                <w:sz w:val="18"/>
              </w:rPr>
            </w:pPr>
            <w:r>
              <w:rPr>
                <w:sz w:val="18"/>
              </w:rPr>
              <w:t>Plant and equipment</w:t>
            </w:r>
          </w:p>
        </w:tc>
        <w:tc>
          <w:tcPr>
            <w:tcW w:w="1464" w:type="dxa"/>
          </w:tcPr>
          <w:p w14:paraId="52565A2C" w14:textId="77777777" w:rsidR="00FA4AA8" w:rsidRDefault="0015611F">
            <w:pPr>
              <w:pStyle w:val="TableParagraph"/>
              <w:spacing w:before="24"/>
              <w:ind w:right="84"/>
              <w:jc w:val="right"/>
              <w:rPr>
                <w:b/>
                <w:sz w:val="18"/>
              </w:rPr>
            </w:pPr>
            <w:r>
              <w:rPr>
                <w:b/>
                <w:sz w:val="18"/>
              </w:rPr>
              <w:t>12,024</w:t>
            </w:r>
          </w:p>
        </w:tc>
        <w:tc>
          <w:tcPr>
            <w:tcW w:w="1296" w:type="dxa"/>
          </w:tcPr>
          <w:p w14:paraId="55CE1DD4" w14:textId="77777777" w:rsidR="00FA4AA8" w:rsidRDefault="0015611F">
            <w:pPr>
              <w:pStyle w:val="TableParagraph"/>
              <w:spacing w:before="24"/>
              <w:ind w:right="84"/>
              <w:jc w:val="right"/>
              <w:rPr>
                <w:sz w:val="18"/>
              </w:rPr>
            </w:pPr>
            <w:r>
              <w:rPr>
                <w:sz w:val="18"/>
              </w:rPr>
              <w:t>11,994</w:t>
            </w:r>
          </w:p>
        </w:tc>
        <w:tc>
          <w:tcPr>
            <w:tcW w:w="1626" w:type="dxa"/>
            <w:gridSpan w:val="2"/>
          </w:tcPr>
          <w:p w14:paraId="5F5B31AB" w14:textId="77777777" w:rsidR="00FA4AA8" w:rsidRDefault="0015611F">
            <w:pPr>
              <w:pStyle w:val="TableParagraph"/>
              <w:spacing w:before="24"/>
              <w:ind w:left="823"/>
              <w:rPr>
                <w:b/>
                <w:sz w:val="18"/>
              </w:rPr>
            </w:pPr>
            <w:r>
              <w:rPr>
                <w:b/>
                <w:sz w:val="18"/>
              </w:rPr>
              <w:t>11,912</w:t>
            </w:r>
          </w:p>
        </w:tc>
        <w:tc>
          <w:tcPr>
            <w:tcW w:w="1134" w:type="dxa"/>
          </w:tcPr>
          <w:p w14:paraId="488D5D4A" w14:textId="77777777" w:rsidR="00FA4AA8" w:rsidRDefault="0015611F">
            <w:pPr>
              <w:pStyle w:val="TableParagraph"/>
              <w:spacing w:before="24"/>
              <w:ind w:right="84"/>
              <w:jc w:val="right"/>
              <w:rPr>
                <w:sz w:val="18"/>
              </w:rPr>
            </w:pPr>
            <w:r>
              <w:rPr>
                <w:sz w:val="18"/>
              </w:rPr>
              <w:t>11,878</w:t>
            </w:r>
          </w:p>
        </w:tc>
      </w:tr>
      <w:tr w:rsidR="00FA4AA8" w14:paraId="0AD9DFD3" w14:textId="77777777">
        <w:trPr>
          <w:trHeight w:val="256"/>
        </w:trPr>
        <w:tc>
          <w:tcPr>
            <w:tcW w:w="4039" w:type="dxa"/>
          </w:tcPr>
          <w:p w14:paraId="37A62571" w14:textId="77777777" w:rsidR="00FA4AA8" w:rsidRDefault="0015611F">
            <w:pPr>
              <w:pStyle w:val="TableParagraph"/>
              <w:spacing w:before="26"/>
              <w:ind w:left="76"/>
              <w:rPr>
                <w:sz w:val="18"/>
              </w:rPr>
            </w:pPr>
            <w:r>
              <w:rPr>
                <w:sz w:val="18"/>
              </w:rPr>
              <w:t>Library collection</w:t>
            </w:r>
          </w:p>
        </w:tc>
        <w:tc>
          <w:tcPr>
            <w:tcW w:w="1464" w:type="dxa"/>
            <w:tcBorders>
              <w:bottom w:val="single" w:sz="8" w:space="0" w:color="000000"/>
            </w:tcBorders>
          </w:tcPr>
          <w:p w14:paraId="7BF72AE7" w14:textId="77777777" w:rsidR="00FA4AA8" w:rsidRDefault="0015611F">
            <w:pPr>
              <w:pStyle w:val="TableParagraph"/>
              <w:spacing w:before="24"/>
              <w:ind w:right="84"/>
              <w:jc w:val="right"/>
              <w:rPr>
                <w:b/>
                <w:sz w:val="18"/>
              </w:rPr>
            </w:pPr>
            <w:r>
              <w:rPr>
                <w:b/>
                <w:sz w:val="18"/>
              </w:rPr>
              <w:t>2,171</w:t>
            </w:r>
          </w:p>
        </w:tc>
        <w:tc>
          <w:tcPr>
            <w:tcW w:w="1296" w:type="dxa"/>
            <w:tcBorders>
              <w:bottom w:val="single" w:sz="8" w:space="0" w:color="000000"/>
            </w:tcBorders>
          </w:tcPr>
          <w:p w14:paraId="5435CB5D" w14:textId="77777777" w:rsidR="00FA4AA8" w:rsidRDefault="0015611F">
            <w:pPr>
              <w:pStyle w:val="TableParagraph"/>
              <w:spacing w:before="24"/>
              <w:ind w:right="84"/>
              <w:jc w:val="right"/>
              <w:rPr>
                <w:sz w:val="18"/>
              </w:rPr>
            </w:pPr>
            <w:r>
              <w:rPr>
                <w:sz w:val="18"/>
              </w:rPr>
              <w:t>2,569</w:t>
            </w:r>
          </w:p>
        </w:tc>
        <w:tc>
          <w:tcPr>
            <w:tcW w:w="1626" w:type="dxa"/>
            <w:gridSpan w:val="2"/>
            <w:tcBorders>
              <w:bottom w:val="single" w:sz="8" w:space="0" w:color="000000"/>
            </w:tcBorders>
          </w:tcPr>
          <w:p w14:paraId="2EC79AE8" w14:textId="77777777" w:rsidR="00FA4AA8" w:rsidRDefault="0015611F">
            <w:pPr>
              <w:pStyle w:val="TableParagraph"/>
              <w:spacing w:before="24"/>
              <w:ind w:left="923"/>
              <w:rPr>
                <w:b/>
                <w:sz w:val="18"/>
              </w:rPr>
            </w:pPr>
            <w:r>
              <w:rPr>
                <w:b/>
                <w:sz w:val="18"/>
              </w:rPr>
              <w:t>2,171</w:t>
            </w:r>
          </w:p>
        </w:tc>
        <w:tc>
          <w:tcPr>
            <w:tcW w:w="1134" w:type="dxa"/>
            <w:tcBorders>
              <w:bottom w:val="single" w:sz="8" w:space="0" w:color="000000"/>
            </w:tcBorders>
          </w:tcPr>
          <w:p w14:paraId="3A8E943E" w14:textId="77777777" w:rsidR="00FA4AA8" w:rsidRDefault="0015611F">
            <w:pPr>
              <w:pStyle w:val="TableParagraph"/>
              <w:spacing w:before="24"/>
              <w:ind w:right="84"/>
              <w:jc w:val="right"/>
              <w:rPr>
                <w:sz w:val="18"/>
              </w:rPr>
            </w:pPr>
            <w:r>
              <w:rPr>
                <w:sz w:val="18"/>
              </w:rPr>
              <w:t>2,569</w:t>
            </w:r>
          </w:p>
        </w:tc>
      </w:tr>
      <w:tr w:rsidR="00FA4AA8" w14:paraId="4CF9B7B8" w14:textId="77777777">
        <w:trPr>
          <w:trHeight w:val="318"/>
        </w:trPr>
        <w:tc>
          <w:tcPr>
            <w:tcW w:w="4039" w:type="dxa"/>
          </w:tcPr>
          <w:p w14:paraId="636C5833" w14:textId="77777777" w:rsidR="00FA4AA8" w:rsidRDefault="0015611F">
            <w:pPr>
              <w:pStyle w:val="TableParagraph"/>
              <w:spacing w:before="115" w:line="183" w:lineRule="exact"/>
              <w:ind w:left="76"/>
              <w:rPr>
                <w:b/>
                <w:sz w:val="18"/>
              </w:rPr>
            </w:pPr>
            <w:r>
              <w:rPr>
                <w:b/>
                <w:sz w:val="18"/>
              </w:rPr>
              <w:t>Total depreciation</w:t>
            </w:r>
          </w:p>
        </w:tc>
        <w:tc>
          <w:tcPr>
            <w:tcW w:w="1464" w:type="dxa"/>
            <w:tcBorders>
              <w:top w:val="single" w:sz="8" w:space="0" w:color="000000"/>
              <w:bottom w:val="single" w:sz="8" w:space="0" w:color="000000"/>
            </w:tcBorders>
          </w:tcPr>
          <w:p w14:paraId="4E807F5B" w14:textId="77777777" w:rsidR="00FA4AA8" w:rsidRDefault="0015611F">
            <w:pPr>
              <w:pStyle w:val="TableParagraph"/>
              <w:spacing w:before="86"/>
              <w:ind w:right="84"/>
              <w:jc w:val="right"/>
              <w:rPr>
                <w:b/>
                <w:sz w:val="18"/>
              </w:rPr>
            </w:pPr>
            <w:r>
              <w:rPr>
                <w:b/>
                <w:sz w:val="18"/>
              </w:rPr>
              <w:t>43,269</w:t>
            </w:r>
          </w:p>
        </w:tc>
        <w:tc>
          <w:tcPr>
            <w:tcW w:w="1296" w:type="dxa"/>
            <w:tcBorders>
              <w:top w:val="single" w:sz="8" w:space="0" w:color="000000"/>
              <w:bottom w:val="single" w:sz="8" w:space="0" w:color="000000"/>
            </w:tcBorders>
          </w:tcPr>
          <w:p w14:paraId="32A2B64D" w14:textId="77777777" w:rsidR="00FA4AA8" w:rsidRDefault="0015611F">
            <w:pPr>
              <w:pStyle w:val="TableParagraph"/>
              <w:spacing w:before="86"/>
              <w:ind w:right="84"/>
              <w:jc w:val="right"/>
              <w:rPr>
                <w:sz w:val="18"/>
              </w:rPr>
            </w:pPr>
            <w:r>
              <w:rPr>
                <w:sz w:val="18"/>
              </w:rPr>
              <w:t>40,921</w:t>
            </w:r>
          </w:p>
        </w:tc>
        <w:tc>
          <w:tcPr>
            <w:tcW w:w="1626" w:type="dxa"/>
            <w:gridSpan w:val="2"/>
            <w:tcBorders>
              <w:top w:val="single" w:sz="8" w:space="0" w:color="000000"/>
              <w:bottom w:val="single" w:sz="8" w:space="0" w:color="000000"/>
            </w:tcBorders>
          </w:tcPr>
          <w:p w14:paraId="2738858F" w14:textId="77777777" w:rsidR="00FA4AA8" w:rsidRDefault="0015611F">
            <w:pPr>
              <w:pStyle w:val="TableParagraph"/>
              <w:spacing w:before="86"/>
              <w:ind w:left="823"/>
              <w:rPr>
                <w:b/>
                <w:sz w:val="18"/>
              </w:rPr>
            </w:pPr>
            <w:r>
              <w:rPr>
                <w:b/>
                <w:sz w:val="18"/>
              </w:rPr>
              <w:t>43,157</w:t>
            </w:r>
          </w:p>
        </w:tc>
        <w:tc>
          <w:tcPr>
            <w:tcW w:w="1134" w:type="dxa"/>
            <w:tcBorders>
              <w:top w:val="single" w:sz="8" w:space="0" w:color="000000"/>
              <w:bottom w:val="single" w:sz="8" w:space="0" w:color="000000"/>
            </w:tcBorders>
          </w:tcPr>
          <w:p w14:paraId="3E6893C5" w14:textId="77777777" w:rsidR="00FA4AA8" w:rsidRDefault="0015611F">
            <w:pPr>
              <w:pStyle w:val="TableParagraph"/>
              <w:spacing w:before="86"/>
              <w:ind w:right="84"/>
              <w:jc w:val="right"/>
              <w:rPr>
                <w:sz w:val="18"/>
              </w:rPr>
            </w:pPr>
            <w:r>
              <w:rPr>
                <w:sz w:val="18"/>
              </w:rPr>
              <w:t>40,805</w:t>
            </w:r>
          </w:p>
        </w:tc>
      </w:tr>
      <w:tr w:rsidR="00FA4AA8" w14:paraId="5990CA21" w14:textId="77777777">
        <w:trPr>
          <w:trHeight w:val="339"/>
        </w:trPr>
        <w:tc>
          <w:tcPr>
            <w:tcW w:w="4039" w:type="dxa"/>
          </w:tcPr>
          <w:p w14:paraId="2309EECE" w14:textId="77777777" w:rsidR="00FA4AA8" w:rsidRDefault="0015611F">
            <w:pPr>
              <w:pStyle w:val="TableParagraph"/>
              <w:spacing w:before="115" w:line="204" w:lineRule="exact"/>
              <w:ind w:left="76"/>
              <w:rPr>
                <w:b/>
                <w:sz w:val="18"/>
              </w:rPr>
            </w:pPr>
            <w:r>
              <w:rPr>
                <w:b/>
                <w:sz w:val="18"/>
              </w:rPr>
              <w:t>Amortisation</w:t>
            </w:r>
          </w:p>
        </w:tc>
        <w:tc>
          <w:tcPr>
            <w:tcW w:w="1464" w:type="dxa"/>
            <w:tcBorders>
              <w:top w:val="single" w:sz="8" w:space="0" w:color="000000"/>
            </w:tcBorders>
          </w:tcPr>
          <w:p w14:paraId="4F1B09F6" w14:textId="77777777" w:rsidR="00FA4AA8" w:rsidRDefault="00FA4AA8">
            <w:pPr>
              <w:pStyle w:val="TableParagraph"/>
              <w:rPr>
                <w:rFonts w:ascii="Times New Roman"/>
                <w:sz w:val="18"/>
              </w:rPr>
            </w:pPr>
          </w:p>
        </w:tc>
        <w:tc>
          <w:tcPr>
            <w:tcW w:w="1296" w:type="dxa"/>
            <w:tcBorders>
              <w:top w:val="single" w:sz="8" w:space="0" w:color="000000"/>
            </w:tcBorders>
          </w:tcPr>
          <w:p w14:paraId="5B59F3E3" w14:textId="77777777" w:rsidR="00FA4AA8" w:rsidRDefault="00FA4AA8">
            <w:pPr>
              <w:pStyle w:val="TableParagraph"/>
              <w:rPr>
                <w:rFonts w:ascii="Times New Roman"/>
                <w:sz w:val="18"/>
              </w:rPr>
            </w:pPr>
          </w:p>
        </w:tc>
        <w:tc>
          <w:tcPr>
            <w:tcW w:w="1626" w:type="dxa"/>
            <w:gridSpan w:val="2"/>
            <w:tcBorders>
              <w:top w:val="single" w:sz="8" w:space="0" w:color="000000"/>
            </w:tcBorders>
          </w:tcPr>
          <w:p w14:paraId="24EE3D48" w14:textId="77777777" w:rsidR="00FA4AA8" w:rsidRDefault="00FA4AA8">
            <w:pPr>
              <w:pStyle w:val="TableParagraph"/>
              <w:rPr>
                <w:rFonts w:ascii="Times New Roman"/>
                <w:sz w:val="18"/>
              </w:rPr>
            </w:pPr>
          </w:p>
        </w:tc>
        <w:tc>
          <w:tcPr>
            <w:tcW w:w="1134" w:type="dxa"/>
            <w:tcBorders>
              <w:top w:val="single" w:sz="8" w:space="0" w:color="000000"/>
            </w:tcBorders>
          </w:tcPr>
          <w:p w14:paraId="62B1C99F" w14:textId="77777777" w:rsidR="00FA4AA8" w:rsidRDefault="00FA4AA8">
            <w:pPr>
              <w:pStyle w:val="TableParagraph"/>
              <w:rPr>
                <w:rFonts w:ascii="Times New Roman"/>
                <w:sz w:val="18"/>
              </w:rPr>
            </w:pPr>
          </w:p>
        </w:tc>
      </w:tr>
      <w:tr w:rsidR="00FA4AA8" w14:paraId="774085EE" w14:textId="77777777">
        <w:trPr>
          <w:trHeight w:val="250"/>
        </w:trPr>
        <w:tc>
          <w:tcPr>
            <w:tcW w:w="4039" w:type="dxa"/>
          </w:tcPr>
          <w:p w14:paraId="22A72703" w14:textId="77777777" w:rsidR="00FA4AA8" w:rsidRDefault="0015611F">
            <w:pPr>
              <w:pStyle w:val="TableParagraph"/>
              <w:spacing w:before="13"/>
              <w:ind w:left="76"/>
              <w:rPr>
                <w:sz w:val="18"/>
              </w:rPr>
            </w:pPr>
            <w:r>
              <w:rPr>
                <w:sz w:val="18"/>
              </w:rPr>
              <w:t>Leasehold property</w:t>
            </w:r>
          </w:p>
        </w:tc>
        <w:tc>
          <w:tcPr>
            <w:tcW w:w="1464" w:type="dxa"/>
          </w:tcPr>
          <w:p w14:paraId="01905B76" w14:textId="77777777" w:rsidR="00FA4AA8" w:rsidRDefault="0015611F">
            <w:pPr>
              <w:pStyle w:val="TableParagraph"/>
              <w:spacing w:before="11"/>
              <w:ind w:right="84"/>
              <w:jc w:val="right"/>
              <w:rPr>
                <w:b/>
                <w:sz w:val="18"/>
              </w:rPr>
            </w:pPr>
            <w:r>
              <w:rPr>
                <w:b/>
                <w:sz w:val="18"/>
              </w:rPr>
              <w:t>6,761</w:t>
            </w:r>
          </w:p>
        </w:tc>
        <w:tc>
          <w:tcPr>
            <w:tcW w:w="1296" w:type="dxa"/>
          </w:tcPr>
          <w:p w14:paraId="1A116847" w14:textId="77777777" w:rsidR="00FA4AA8" w:rsidRDefault="0015611F">
            <w:pPr>
              <w:pStyle w:val="TableParagraph"/>
              <w:spacing w:before="11"/>
              <w:ind w:right="84"/>
              <w:jc w:val="right"/>
              <w:rPr>
                <w:sz w:val="18"/>
              </w:rPr>
            </w:pPr>
            <w:r>
              <w:rPr>
                <w:sz w:val="18"/>
              </w:rPr>
              <w:t>7,136</w:t>
            </w:r>
          </w:p>
        </w:tc>
        <w:tc>
          <w:tcPr>
            <w:tcW w:w="1626" w:type="dxa"/>
            <w:gridSpan w:val="2"/>
          </w:tcPr>
          <w:p w14:paraId="28DA3E4B" w14:textId="77777777" w:rsidR="00FA4AA8" w:rsidRDefault="0015611F">
            <w:pPr>
              <w:pStyle w:val="TableParagraph"/>
              <w:spacing w:before="11"/>
              <w:ind w:left="923"/>
              <w:rPr>
                <w:b/>
                <w:sz w:val="18"/>
              </w:rPr>
            </w:pPr>
            <w:r>
              <w:rPr>
                <w:b/>
                <w:sz w:val="18"/>
              </w:rPr>
              <w:t>5,725</w:t>
            </w:r>
          </w:p>
        </w:tc>
        <w:tc>
          <w:tcPr>
            <w:tcW w:w="1134" w:type="dxa"/>
          </w:tcPr>
          <w:p w14:paraId="579481B3" w14:textId="77777777" w:rsidR="00FA4AA8" w:rsidRDefault="0015611F">
            <w:pPr>
              <w:pStyle w:val="TableParagraph"/>
              <w:spacing w:before="11"/>
              <w:ind w:right="84"/>
              <w:jc w:val="right"/>
              <w:rPr>
                <w:sz w:val="18"/>
              </w:rPr>
            </w:pPr>
            <w:r>
              <w:rPr>
                <w:sz w:val="18"/>
              </w:rPr>
              <w:t>5,716</w:t>
            </w:r>
          </w:p>
        </w:tc>
      </w:tr>
      <w:tr w:rsidR="00FA4AA8" w14:paraId="4F26866C" w14:textId="77777777">
        <w:trPr>
          <w:trHeight w:val="256"/>
        </w:trPr>
        <w:tc>
          <w:tcPr>
            <w:tcW w:w="4039" w:type="dxa"/>
          </w:tcPr>
          <w:p w14:paraId="015EF227" w14:textId="77777777" w:rsidR="00FA4AA8" w:rsidRDefault="0015611F">
            <w:pPr>
              <w:pStyle w:val="TableParagraph"/>
              <w:spacing w:before="26"/>
              <w:ind w:left="76"/>
              <w:rPr>
                <w:sz w:val="18"/>
              </w:rPr>
            </w:pPr>
            <w:r>
              <w:rPr>
                <w:sz w:val="18"/>
              </w:rPr>
              <w:t>Intangible assets</w:t>
            </w:r>
          </w:p>
        </w:tc>
        <w:tc>
          <w:tcPr>
            <w:tcW w:w="1464" w:type="dxa"/>
            <w:tcBorders>
              <w:bottom w:val="single" w:sz="8" w:space="0" w:color="000000"/>
            </w:tcBorders>
          </w:tcPr>
          <w:p w14:paraId="327C6ADB" w14:textId="77777777" w:rsidR="00FA4AA8" w:rsidRDefault="0015611F">
            <w:pPr>
              <w:pStyle w:val="TableParagraph"/>
              <w:spacing w:before="24"/>
              <w:ind w:right="84"/>
              <w:jc w:val="right"/>
              <w:rPr>
                <w:b/>
                <w:sz w:val="18"/>
              </w:rPr>
            </w:pPr>
            <w:r>
              <w:rPr>
                <w:b/>
                <w:sz w:val="18"/>
              </w:rPr>
              <w:t>4,920</w:t>
            </w:r>
          </w:p>
        </w:tc>
        <w:tc>
          <w:tcPr>
            <w:tcW w:w="1296" w:type="dxa"/>
            <w:tcBorders>
              <w:bottom w:val="single" w:sz="8" w:space="0" w:color="000000"/>
            </w:tcBorders>
          </w:tcPr>
          <w:p w14:paraId="6A1C1F3C" w14:textId="77777777" w:rsidR="00FA4AA8" w:rsidRDefault="0015611F">
            <w:pPr>
              <w:pStyle w:val="TableParagraph"/>
              <w:spacing w:before="24"/>
              <w:ind w:right="84"/>
              <w:jc w:val="right"/>
              <w:rPr>
                <w:sz w:val="18"/>
              </w:rPr>
            </w:pPr>
            <w:r>
              <w:rPr>
                <w:sz w:val="18"/>
              </w:rPr>
              <w:t>2,468</w:t>
            </w:r>
          </w:p>
        </w:tc>
        <w:tc>
          <w:tcPr>
            <w:tcW w:w="1626" w:type="dxa"/>
            <w:gridSpan w:val="2"/>
            <w:tcBorders>
              <w:bottom w:val="single" w:sz="8" w:space="0" w:color="000000"/>
            </w:tcBorders>
          </w:tcPr>
          <w:p w14:paraId="53E737AB" w14:textId="77777777" w:rsidR="00FA4AA8" w:rsidRDefault="0015611F">
            <w:pPr>
              <w:pStyle w:val="TableParagraph"/>
              <w:spacing w:before="24"/>
              <w:ind w:left="923"/>
              <w:rPr>
                <w:b/>
                <w:sz w:val="18"/>
              </w:rPr>
            </w:pPr>
            <w:r>
              <w:rPr>
                <w:b/>
                <w:sz w:val="18"/>
              </w:rPr>
              <w:t>4,920</w:t>
            </w:r>
          </w:p>
        </w:tc>
        <w:tc>
          <w:tcPr>
            <w:tcW w:w="1134" w:type="dxa"/>
            <w:tcBorders>
              <w:bottom w:val="single" w:sz="8" w:space="0" w:color="000000"/>
            </w:tcBorders>
          </w:tcPr>
          <w:p w14:paraId="684F8ECF" w14:textId="77777777" w:rsidR="00FA4AA8" w:rsidRDefault="0015611F">
            <w:pPr>
              <w:pStyle w:val="TableParagraph"/>
              <w:spacing w:before="24"/>
              <w:ind w:right="84"/>
              <w:jc w:val="right"/>
              <w:rPr>
                <w:sz w:val="18"/>
              </w:rPr>
            </w:pPr>
            <w:r>
              <w:rPr>
                <w:sz w:val="18"/>
              </w:rPr>
              <w:t>2,314</w:t>
            </w:r>
          </w:p>
        </w:tc>
      </w:tr>
      <w:tr w:rsidR="00FA4AA8" w14:paraId="76ACBA0E" w14:textId="77777777">
        <w:trPr>
          <w:trHeight w:val="318"/>
        </w:trPr>
        <w:tc>
          <w:tcPr>
            <w:tcW w:w="4039" w:type="dxa"/>
          </w:tcPr>
          <w:p w14:paraId="13FFB44E" w14:textId="77777777" w:rsidR="00FA4AA8" w:rsidRDefault="0015611F">
            <w:pPr>
              <w:pStyle w:val="TableParagraph"/>
              <w:spacing w:before="115" w:line="183" w:lineRule="exact"/>
              <w:ind w:left="76"/>
              <w:rPr>
                <w:b/>
                <w:sz w:val="18"/>
              </w:rPr>
            </w:pPr>
            <w:r>
              <w:rPr>
                <w:b/>
                <w:sz w:val="18"/>
              </w:rPr>
              <w:t>Total amortisation</w:t>
            </w:r>
          </w:p>
        </w:tc>
        <w:tc>
          <w:tcPr>
            <w:tcW w:w="1464" w:type="dxa"/>
            <w:tcBorders>
              <w:top w:val="single" w:sz="8" w:space="0" w:color="000000"/>
              <w:bottom w:val="single" w:sz="8" w:space="0" w:color="000000"/>
            </w:tcBorders>
          </w:tcPr>
          <w:p w14:paraId="53B4CA5C" w14:textId="77777777" w:rsidR="00FA4AA8" w:rsidRDefault="0015611F">
            <w:pPr>
              <w:pStyle w:val="TableParagraph"/>
              <w:spacing w:before="115" w:line="183" w:lineRule="exact"/>
              <w:ind w:right="84"/>
              <w:jc w:val="right"/>
              <w:rPr>
                <w:b/>
                <w:sz w:val="18"/>
              </w:rPr>
            </w:pPr>
            <w:r>
              <w:rPr>
                <w:b/>
                <w:sz w:val="18"/>
              </w:rPr>
              <w:t>11,681</w:t>
            </w:r>
          </w:p>
        </w:tc>
        <w:tc>
          <w:tcPr>
            <w:tcW w:w="1296" w:type="dxa"/>
            <w:tcBorders>
              <w:top w:val="single" w:sz="8" w:space="0" w:color="000000"/>
              <w:bottom w:val="single" w:sz="8" w:space="0" w:color="000000"/>
            </w:tcBorders>
          </w:tcPr>
          <w:p w14:paraId="59C403D6" w14:textId="77777777" w:rsidR="00FA4AA8" w:rsidRDefault="0015611F">
            <w:pPr>
              <w:pStyle w:val="TableParagraph"/>
              <w:spacing w:before="115" w:line="183" w:lineRule="exact"/>
              <w:ind w:right="84"/>
              <w:jc w:val="right"/>
              <w:rPr>
                <w:sz w:val="18"/>
              </w:rPr>
            </w:pPr>
            <w:r>
              <w:rPr>
                <w:sz w:val="18"/>
              </w:rPr>
              <w:t>9,604</w:t>
            </w:r>
          </w:p>
        </w:tc>
        <w:tc>
          <w:tcPr>
            <w:tcW w:w="1626" w:type="dxa"/>
            <w:gridSpan w:val="2"/>
            <w:tcBorders>
              <w:top w:val="single" w:sz="8" w:space="0" w:color="000000"/>
              <w:bottom w:val="single" w:sz="8" w:space="0" w:color="000000"/>
            </w:tcBorders>
          </w:tcPr>
          <w:p w14:paraId="4FD40F78" w14:textId="77777777" w:rsidR="00FA4AA8" w:rsidRDefault="0015611F">
            <w:pPr>
              <w:pStyle w:val="TableParagraph"/>
              <w:spacing w:before="115" w:line="183" w:lineRule="exact"/>
              <w:ind w:left="823"/>
              <w:rPr>
                <w:b/>
                <w:sz w:val="18"/>
              </w:rPr>
            </w:pPr>
            <w:r>
              <w:rPr>
                <w:b/>
                <w:sz w:val="18"/>
              </w:rPr>
              <w:t>10,645</w:t>
            </w:r>
          </w:p>
        </w:tc>
        <w:tc>
          <w:tcPr>
            <w:tcW w:w="1134" w:type="dxa"/>
            <w:tcBorders>
              <w:top w:val="single" w:sz="8" w:space="0" w:color="000000"/>
              <w:bottom w:val="single" w:sz="8" w:space="0" w:color="000000"/>
            </w:tcBorders>
          </w:tcPr>
          <w:p w14:paraId="1562498F" w14:textId="77777777" w:rsidR="00FA4AA8" w:rsidRDefault="0015611F">
            <w:pPr>
              <w:pStyle w:val="TableParagraph"/>
              <w:spacing w:before="115" w:line="183" w:lineRule="exact"/>
              <w:ind w:right="84"/>
              <w:jc w:val="right"/>
              <w:rPr>
                <w:sz w:val="18"/>
              </w:rPr>
            </w:pPr>
            <w:r>
              <w:rPr>
                <w:sz w:val="18"/>
              </w:rPr>
              <w:t>8,030</w:t>
            </w:r>
          </w:p>
        </w:tc>
      </w:tr>
      <w:tr w:rsidR="00FA4AA8" w14:paraId="53C5815B" w14:textId="77777777">
        <w:trPr>
          <w:trHeight w:val="298"/>
        </w:trPr>
        <w:tc>
          <w:tcPr>
            <w:tcW w:w="4039" w:type="dxa"/>
          </w:tcPr>
          <w:p w14:paraId="5B6A9363" w14:textId="77777777" w:rsidR="00FA4AA8" w:rsidRDefault="0015611F">
            <w:pPr>
              <w:pStyle w:val="TableParagraph"/>
              <w:spacing w:before="115" w:line="163" w:lineRule="exact"/>
              <w:ind w:left="76"/>
              <w:rPr>
                <w:b/>
                <w:sz w:val="18"/>
              </w:rPr>
            </w:pPr>
            <w:r>
              <w:rPr>
                <w:b/>
                <w:sz w:val="18"/>
              </w:rPr>
              <w:t>Total depreciation and</w:t>
            </w:r>
          </w:p>
        </w:tc>
        <w:tc>
          <w:tcPr>
            <w:tcW w:w="1464" w:type="dxa"/>
          </w:tcPr>
          <w:p w14:paraId="22A510D0" w14:textId="77777777" w:rsidR="00FA4AA8" w:rsidRDefault="00FA4AA8">
            <w:pPr>
              <w:pStyle w:val="TableParagraph"/>
              <w:rPr>
                <w:rFonts w:ascii="Times New Roman"/>
                <w:sz w:val="18"/>
              </w:rPr>
            </w:pPr>
          </w:p>
        </w:tc>
        <w:tc>
          <w:tcPr>
            <w:tcW w:w="1296" w:type="dxa"/>
          </w:tcPr>
          <w:p w14:paraId="3182B8DB" w14:textId="77777777" w:rsidR="00FA4AA8" w:rsidRDefault="00FA4AA8">
            <w:pPr>
              <w:pStyle w:val="TableParagraph"/>
              <w:rPr>
                <w:rFonts w:ascii="Times New Roman"/>
                <w:sz w:val="18"/>
              </w:rPr>
            </w:pPr>
          </w:p>
        </w:tc>
        <w:tc>
          <w:tcPr>
            <w:tcW w:w="1626" w:type="dxa"/>
            <w:gridSpan w:val="2"/>
          </w:tcPr>
          <w:p w14:paraId="7EFA735C" w14:textId="77777777" w:rsidR="00FA4AA8" w:rsidRDefault="00FA4AA8">
            <w:pPr>
              <w:pStyle w:val="TableParagraph"/>
              <w:rPr>
                <w:rFonts w:ascii="Times New Roman"/>
                <w:sz w:val="18"/>
              </w:rPr>
            </w:pPr>
          </w:p>
        </w:tc>
        <w:tc>
          <w:tcPr>
            <w:tcW w:w="1134" w:type="dxa"/>
          </w:tcPr>
          <w:p w14:paraId="69288D66" w14:textId="77777777" w:rsidR="00FA4AA8" w:rsidRDefault="00FA4AA8">
            <w:pPr>
              <w:pStyle w:val="TableParagraph"/>
              <w:rPr>
                <w:rFonts w:ascii="Times New Roman"/>
                <w:sz w:val="18"/>
              </w:rPr>
            </w:pPr>
          </w:p>
        </w:tc>
      </w:tr>
      <w:tr w:rsidR="00FA4AA8" w14:paraId="5A9A1FBE" w14:textId="77777777">
        <w:trPr>
          <w:trHeight w:val="259"/>
        </w:trPr>
        <w:tc>
          <w:tcPr>
            <w:tcW w:w="4039" w:type="dxa"/>
          </w:tcPr>
          <w:p w14:paraId="5B007133" w14:textId="77777777" w:rsidR="00FA4AA8" w:rsidRDefault="0015611F">
            <w:pPr>
              <w:pStyle w:val="TableParagraph"/>
              <w:spacing w:before="23"/>
              <w:ind w:left="76"/>
              <w:rPr>
                <w:b/>
                <w:sz w:val="18"/>
              </w:rPr>
            </w:pPr>
            <w:r>
              <w:rPr>
                <w:b/>
                <w:sz w:val="18"/>
              </w:rPr>
              <w:t>amortisation</w:t>
            </w:r>
          </w:p>
        </w:tc>
        <w:tc>
          <w:tcPr>
            <w:tcW w:w="1464" w:type="dxa"/>
            <w:tcBorders>
              <w:bottom w:val="single" w:sz="6" w:space="0" w:color="000000"/>
            </w:tcBorders>
          </w:tcPr>
          <w:p w14:paraId="3B039602" w14:textId="77777777" w:rsidR="00FA4AA8" w:rsidRDefault="0015611F">
            <w:pPr>
              <w:pStyle w:val="TableParagraph"/>
              <w:spacing w:line="201" w:lineRule="exact"/>
              <w:ind w:right="84"/>
              <w:jc w:val="right"/>
              <w:rPr>
                <w:b/>
                <w:sz w:val="18"/>
              </w:rPr>
            </w:pPr>
            <w:r>
              <w:rPr>
                <w:b/>
                <w:sz w:val="18"/>
              </w:rPr>
              <w:t>54,950</w:t>
            </w:r>
          </w:p>
        </w:tc>
        <w:tc>
          <w:tcPr>
            <w:tcW w:w="1296" w:type="dxa"/>
            <w:tcBorders>
              <w:bottom w:val="single" w:sz="4" w:space="0" w:color="000000"/>
            </w:tcBorders>
          </w:tcPr>
          <w:p w14:paraId="139E9476" w14:textId="77777777" w:rsidR="00FA4AA8" w:rsidRDefault="0015611F">
            <w:pPr>
              <w:pStyle w:val="TableParagraph"/>
              <w:spacing w:line="201" w:lineRule="exact"/>
              <w:ind w:right="84"/>
              <w:jc w:val="right"/>
              <w:rPr>
                <w:sz w:val="18"/>
              </w:rPr>
            </w:pPr>
            <w:r>
              <w:rPr>
                <w:sz w:val="18"/>
              </w:rPr>
              <w:t>50,525</w:t>
            </w:r>
          </w:p>
        </w:tc>
        <w:tc>
          <w:tcPr>
            <w:tcW w:w="168" w:type="dxa"/>
            <w:tcBorders>
              <w:bottom w:val="single" w:sz="6" w:space="0" w:color="000000"/>
            </w:tcBorders>
          </w:tcPr>
          <w:p w14:paraId="45B21C27" w14:textId="77777777" w:rsidR="00FA4AA8" w:rsidRDefault="00FA4AA8">
            <w:pPr>
              <w:pStyle w:val="TableParagraph"/>
              <w:rPr>
                <w:rFonts w:ascii="Times New Roman"/>
                <w:sz w:val="18"/>
              </w:rPr>
            </w:pPr>
          </w:p>
        </w:tc>
        <w:tc>
          <w:tcPr>
            <w:tcW w:w="1458" w:type="dxa"/>
            <w:tcBorders>
              <w:bottom w:val="single" w:sz="6" w:space="0" w:color="000000"/>
            </w:tcBorders>
          </w:tcPr>
          <w:p w14:paraId="5CEEE13A" w14:textId="77777777" w:rsidR="00FA4AA8" w:rsidRDefault="0015611F">
            <w:pPr>
              <w:pStyle w:val="TableParagraph"/>
              <w:spacing w:line="201" w:lineRule="exact"/>
              <w:ind w:left="655"/>
              <w:rPr>
                <w:b/>
                <w:sz w:val="18"/>
              </w:rPr>
            </w:pPr>
            <w:r>
              <w:rPr>
                <w:b/>
                <w:sz w:val="18"/>
              </w:rPr>
              <w:t>53,802</w:t>
            </w:r>
          </w:p>
        </w:tc>
        <w:tc>
          <w:tcPr>
            <w:tcW w:w="1134" w:type="dxa"/>
            <w:tcBorders>
              <w:bottom w:val="single" w:sz="6" w:space="0" w:color="000000"/>
            </w:tcBorders>
          </w:tcPr>
          <w:p w14:paraId="53435ED6" w14:textId="77777777" w:rsidR="00FA4AA8" w:rsidRDefault="0015611F">
            <w:pPr>
              <w:pStyle w:val="TableParagraph"/>
              <w:spacing w:line="201" w:lineRule="exact"/>
              <w:ind w:right="84"/>
              <w:jc w:val="right"/>
              <w:rPr>
                <w:sz w:val="18"/>
              </w:rPr>
            </w:pPr>
            <w:r>
              <w:rPr>
                <w:sz w:val="18"/>
              </w:rPr>
              <w:t>48,835</w:t>
            </w:r>
          </w:p>
        </w:tc>
      </w:tr>
      <w:tr w:rsidR="00FA4AA8" w14:paraId="7A6E9CF5" w14:textId="77777777">
        <w:trPr>
          <w:trHeight w:val="516"/>
        </w:trPr>
        <w:tc>
          <w:tcPr>
            <w:tcW w:w="4039" w:type="dxa"/>
          </w:tcPr>
          <w:p w14:paraId="65C09A5B" w14:textId="77777777" w:rsidR="00FA4AA8" w:rsidRDefault="00FA4AA8">
            <w:pPr>
              <w:pStyle w:val="TableParagraph"/>
              <w:spacing w:before="10"/>
              <w:rPr>
                <w:b/>
                <w:sz w:val="26"/>
              </w:rPr>
            </w:pPr>
          </w:p>
          <w:p w14:paraId="28EE8933" w14:textId="77777777" w:rsidR="00FA4AA8" w:rsidRDefault="0015611F">
            <w:pPr>
              <w:pStyle w:val="TableParagraph"/>
              <w:spacing w:line="187" w:lineRule="exact"/>
              <w:ind w:left="50"/>
              <w:rPr>
                <w:i/>
                <w:sz w:val="18"/>
              </w:rPr>
            </w:pPr>
            <w:r>
              <w:rPr>
                <w:i/>
                <w:sz w:val="18"/>
                <w:u w:val="single"/>
              </w:rPr>
              <w:t>Accounting Policy</w:t>
            </w:r>
          </w:p>
        </w:tc>
        <w:tc>
          <w:tcPr>
            <w:tcW w:w="1464" w:type="dxa"/>
            <w:tcBorders>
              <w:top w:val="single" w:sz="6" w:space="0" w:color="000000"/>
            </w:tcBorders>
          </w:tcPr>
          <w:p w14:paraId="621231D5" w14:textId="77777777" w:rsidR="00FA4AA8" w:rsidRDefault="00FA4AA8">
            <w:pPr>
              <w:pStyle w:val="TableParagraph"/>
              <w:rPr>
                <w:rFonts w:ascii="Times New Roman"/>
                <w:sz w:val="18"/>
              </w:rPr>
            </w:pPr>
          </w:p>
        </w:tc>
        <w:tc>
          <w:tcPr>
            <w:tcW w:w="1296" w:type="dxa"/>
            <w:tcBorders>
              <w:top w:val="single" w:sz="4" w:space="0" w:color="000000"/>
            </w:tcBorders>
          </w:tcPr>
          <w:p w14:paraId="6F0E9D14" w14:textId="77777777" w:rsidR="00FA4AA8" w:rsidRDefault="00FA4AA8">
            <w:pPr>
              <w:pStyle w:val="TableParagraph"/>
              <w:rPr>
                <w:rFonts w:ascii="Times New Roman"/>
                <w:sz w:val="18"/>
              </w:rPr>
            </w:pPr>
          </w:p>
        </w:tc>
        <w:tc>
          <w:tcPr>
            <w:tcW w:w="168" w:type="dxa"/>
            <w:tcBorders>
              <w:top w:val="single" w:sz="6" w:space="0" w:color="000000"/>
            </w:tcBorders>
          </w:tcPr>
          <w:p w14:paraId="1EAD0D44" w14:textId="77777777" w:rsidR="00FA4AA8" w:rsidRDefault="00FA4AA8">
            <w:pPr>
              <w:pStyle w:val="TableParagraph"/>
              <w:rPr>
                <w:rFonts w:ascii="Times New Roman"/>
                <w:sz w:val="18"/>
              </w:rPr>
            </w:pPr>
          </w:p>
        </w:tc>
        <w:tc>
          <w:tcPr>
            <w:tcW w:w="1458" w:type="dxa"/>
            <w:tcBorders>
              <w:top w:val="single" w:sz="6" w:space="0" w:color="000000"/>
            </w:tcBorders>
          </w:tcPr>
          <w:p w14:paraId="6FE2AD10" w14:textId="77777777" w:rsidR="00FA4AA8" w:rsidRDefault="00FA4AA8">
            <w:pPr>
              <w:pStyle w:val="TableParagraph"/>
              <w:rPr>
                <w:rFonts w:ascii="Times New Roman"/>
                <w:sz w:val="18"/>
              </w:rPr>
            </w:pPr>
          </w:p>
        </w:tc>
        <w:tc>
          <w:tcPr>
            <w:tcW w:w="1134" w:type="dxa"/>
            <w:tcBorders>
              <w:top w:val="single" w:sz="6" w:space="0" w:color="000000"/>
            </w:tcBorders>
          </w:tcPr>
          <w:p w14:paraId="661623F7" w14:textId="77777777" w:rsidR="00FA4AA8" w:rsidRDefault="00FA4AA8">
            <w:pPr>
              <w:pStyle w:val="TableParagraph"/>
              <w:rPr>
                <w:rFonts w:ascii="Times New Roman"/>
                <w:sz w:val="18"/>
              </w:rPr>
            </w:pPr>
          </w:p>
        </w:tc>
      </w:tr>
    </w:tbl>
    <w:p w14:paraId="0088683B" w14:textId="77777777" w:rsidR="00FA4AA8" w:rsidRDefault="00FA4AA8">
      <w:pPr>
        <w:pStyle w:val="BodyText"/>
        <w:spacing w:before="3"/>
        <w:rPr>
          <w:b/>
          <w:sz w:val="17"/>
        </w:rPr>
      </w:pPr>
    </w:p>
    <w:p w14:paraId="0C13516A" w14:textId="77777777" w:rsidR="00FA4AA8" w:rsidRDefault="007E2441">
      <w:pPr>
        <w:pStyle w:val="BodyText"/>
        <w:spacing w:before="94"/>
        <w:ind w:left="564" w:right="256"/>
      </w:pPr>
      <w:r>
        <w:rPr>
          <w:noProof/>
          <w:lang w:val="en-AU" w:eastAsia="en-AU"/>
        </w:rPr>
        <mc:AlternateContent>
          <mc:Choice Requires="wpg">
            <w:drawing>
              <wp:anchor distT="0" distB="0" distL="114300" distR="114300" simplePos="0" relativeHeight="462728192" behindDoc="1" locked="0" layoutInCell="1" allowOverlap="1" wp14:anchorId="42A55B4A" wp14:editId="5CAC09E9">
                <wp:simplePos x="0" y="0"/>
                <wp:positionH relativeFrom="page">
                  <wp:posOffset>3424555</wp:posOffset>
                </wp:positionH>
                <wp:positionV relativeFrom="paragraph">
                  <wp:posOffset>-484505</wp:posOffset>
                </wp:positionV>
                <wp:extent cx="2383155" cy="18415"/>
                <wp:effectExtent l="0" t="0" r="0" b="0"/>
                <wp:wrapNone/>
                <wp:docPr id="3069" name="Group 28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3155" cy="18415"/>
                          <a:chOff x="5393" y="-763"/>
                          <a:chExt cx="5520" cy="44"/>
                        </a:xfrm>
                      </wpg:grpSpPr>
                      <wps:wsp>
                        <wps:cNvPr id="3070" name="Line 2875"/>
                        <wps:cNvCnPr>
                          <a:cxnSpLocks noChangeShapeType="1"/>
                        </wps:cNvCnPr>
                        <wps:spPr bwMode="auto">
                          <a:xfrm>
                            <a:off x="5393" y="-762"/>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071" name="Line 2874"/>
                        <wps:cNvCnPr>
                          <a:cxnSpLocks noChangeShapeType="1"/>
                        </wps:cNvCnPr>
                        <wps:spPr bwMode="auto">
                          <a:xfrm>
                            <a:off x="5393" y="-760"/>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072" name="Line 2873"/>
                        <wps:cNvCnPr>
                          <a:cxnSpLocks noChangeShapeType="1"/>
                        </wps:cNvCnPr>
                        <wps:spPr bwMode="auto">
                          <a:xfrm>
                            <a:off x="5393" y="-757"/>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073" name="Line 2872"/>
                        <wps:cNvCnPr>
                          <a:cxnSpLocks noChangeShapeType="1"/>
                        </wps:cNvCnPr>
                        <wps:spPr bwMode="auto">
                          <a:xfrm>
                            <a:off x="5393" y="-755"/>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074" name="Line 2871"/>
                        <wps:cNvCnPr>
                          <a:cxnSpLocks noChangeShapeType="1"/>
                        </wps:cNvCnPr>
                        <wps:spPr bwMode="auto">
                          <a:xfrm>
                            <a:off x="5393" y="-752"/>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075" name="Line 2870"/>
                        <wps:cNvCnPr>
                          <a:cxnSpLocks noChangeShapeType="1"/>
                        </wps:cNvCnPr>
                        <wps:spPr bwMode="auto">
                          <a:xfrm>
                            <a:off x="5393" y="-750"/>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076" name="Line 2869"/>
                        <wps:cNvCnPr>
                          <a:cxnSpLocks noChangeShapeType="1"/>
                        </wps:cNvCnPr>
                        <wps:spPr bwMode="auto">
                          <a:xfrm>
                            <a:off x="5393" y="-728"/>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077" name="Line 2868"/>
                        <wps:cNvCnPr>
                          <a:cxnSpLocks noChangeShapeType="1"/>
                        </wps:cNvCnPr>
                        <wps:spPr bwMode="auto">
                          <a:xfrm>
                            <a:off x="5393" y="-726"/>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078" name="Line 2867"/>
                        <wps:cNvCnPr>
                          <a:cxnSpLocks noChangeShapeType="1"/>
                        </wps:cNvCnPr>
                        <wps:spPr bwMode="auto">
                          <a:xfrm>
                            <a:off x="5393" y="-724"/>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079" name="Line 2866"/>
                        <wps:cNvCnPr>
                          <a:cxnSpLocks noChangeShapeType="1"/>
                        </wps:cNvCnPr>
                        <wps:spPr bwMode="auto">
                          <a:xfrm>
                            <a:off x="5393" y="-721"/>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080" name="Line 2865"/>
                        <wps:cNvCnPr>
                          <a:cxnSpLocks noChangeShapeType="1"/>
                        </wps:cNvCnPr>
                        <wps:spPr bwMode="auto">
                          <a:xfrm>
                            <a:off x="5561" y="-762"/>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081" name="Line 2864"/>
                        <wps:cNvCnPr>
                          <a:cxnSpLocks noChangeShapeType="1"/>
                        </wps:cNvCnPr>
                        <wps:spPr bwMode="auto">
                          <a:xfrm>
                            <a:off x="5561" y="-76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082" name="Line 2863"/>
                        <wps:cNvCnPr>
                          <a:cxnSpLocks noChangeShapeType="1"/>
                        </wps:cNvCnPr>
                        <wps:spPr bwMode="auto">
                          <a:xfrm>
                            <a:off x="5561" y="-757"/>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083" name="Line 2862"/>
                        <wps:cNvCnPr>
                          <a:cxnSpLocks noChangeShapeType="1"/>
                        </wps:cNvCnPr>
                        <wps:spPr bwMode="auto">
                          <a:xfrm>
                            <a:off x="5561" y="-75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084" name="Line 2861"/>
                        <wps:cNvCnPr>
                          <a:cxnSpLocks noChangeShapeType="1"/>
                        </wps:cNvCnPr>
                        <wps:spPr bwMode="auto">
                          <a:xfrm>
                            <a:off x="5561" y="-752"/>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085" name="Line 2860"/>
                        <wps:cNvCnPr>
                          <a:cxnSpLocks noChangeShapeType="1"/>
                        </wps:cNvCnPr>
                        <wps:spPr bwMode="auto">
                          <a:xfrm>
                            <a:off x="5561" y="-75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086" name="Line 2859"/>
                        <wps:cNvCnPr>
                          <a:cxnSpLocks noChangeShapeType="1"/>
                        </wps:cNvCnPr>
                        <wps:spPr bwMode="auto">
                          <a:xfrm>
                            <a:off x="6857" y="-762"/>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087" name="Line 2858"/>
                        <wps:cNvCnPr>
                          <a:cxnSpLocks noChangeShapeType="1"/>
                        </wps:cNvCnPr>
                        <wps:spPr bwMode="auto">
                          <a:xfrm>
                            <a:off x="6857" y="-76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088" name="Line 2857"/>
                        <wps:cNvCnPr>
                          <a:cxnSpLocks noChangeShapeType="1"/>
                        </wps:cNvCnPr>
                        <wps:spPr bwMode="auto">
                          <a:xfrm>
                            <a:off x="6857" y="-757"/>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089" name="Line 2856"/>
                        <wps:cNvCnPr>
                          <a:cxnSpLocks noChangeShapeType="1"/>
                        </wps:cNvCnPr>
                        <wps:spPr bwMode="auto">
                          <a:xfrm>
                            <a:off x="6857" y="-75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090" name="Line 2855"/>
                        <wps:cNvCnPr>
                          <a:cxnSpLocks noChangeShapeType="1"/>
                        </wps:cNvCnPr>
                        <wps:spPr bwMode="auto">
                          <a:xfrm>
                            <a:off x="6857" y="-752"/>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091" name="Line 2854"/>
                        <wps:cNvCnPr>
                          <a:cxnSpLocks noChangeShapeType="1"/>
                        </wps:cNvCnPr>
                        <wps:spPr bwMode="auto">
                          <a:xfrm>
                            <a:off x="6857" y="-75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092" name="Line 2853"/>
                        <wps:cNvCnPr>
                          <a:cxnSpLocks noChangeShapeType="1"/>
                        </wps:cNvCnPr>
                        <wps:spPr bwMode="auto">
                          <a:xfrm>
                            <a:off x="8153" y="-762"/>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093" name="Line 2852"/>
                        <wps:cNvCnPr>
                          <a:cxnSpLocks noChangeShapeType="1"/>
                        </wps:cNvCnPr>
                        <wps:spPr bwMode="auto">
                          <a:xfrm>
                            <a:off x="8153" y="-760"/>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094" name="Line 2851"/>
                        <wps:cNvCnPr>
                          <a:cxnSpLocks noChangeShapeType="1"/>
                        </wps:cNvCnPr>
                        <wps:spPr bwMode="auto">
                          <a:xfrm>
                            <a:off x="8153" y="-757"/>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095" name="Line 2850"/>
                        <wps:cNvCnPr>
                          <a:cxnSpLocks noChangeShapeType="1"/>
                        </wps:cNvCnPr>
                        <wps:spPr bwMode="auto">
                          <a:xfrm>
                            <a:off x="8153" y="-755"/>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096" name="Line 2849"/>
                        <wps:cNvCnPr>
                          <a:cxnSpLocks noChangeShapeType="1"/>
                        </wps:cNvCnPr>
                        <wps:spPr bwMode="auto">
                          <a:xfrm>
                            <a:off x="8153" y="-752"/>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097" name="Line 2848"/>
                        <wps:cNvCnPr>
                          <a:cxnSpLocks noChangeShapeType="1"/>
                        </wps:cNvCnPr>
                        <wps:spPr bwMode="auto">
                          <a:xfrm>
                            <a:off x="8153" y="-750"/>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098" name="Line 2847"/>
                        <wps:cNvCnPr>
                          <a:cxnSpLocks noChangeShapeType="1"/>
                        </wps:cNvCnPr>
                        <wps:spPr bwMode="auto">
                          <a:xfrm>
                            <a:off x="8321" y="-762"/>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099" name="Line 2846"/>
                        <wps:cNvCnPr>
                          <a:cxnSpLocks noChangeShapeType="1"/>
                        </wps:cNvCnPr>
                        <wps:spPr bwMode="auto">
                          <a:xfrm>
                            <a:off x="8321" y="-76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100" name="Line 2845"/>
                        <wps:cNvCnPr>
                          <a:cxnSpLocks noChangeShapeType="1"/>
                        </wps:cNvCnPr>
                        <wps:spPr bwMode="auto">
                          <a:xfrm>
                            <a:off x="8321" y="-757"/>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101" name="Line 2844"/>
                        <wps:cNvCnPr>
                          <a:cxnSpLocks noChangeShapeType="1"/>
                        </wps:cNvCnPr>
                        <wps:spPr bwMode="auto">
                          <a:xfrm>
                            <a:off x="8321" y="-75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102" name="Line 2843"/>
                        <wps:cNvCnPr>
                          <a:cxnSpLocks noChangeShapeType="1"/>
                        </wps:cNvCnPr>
                        <wps:spPr bwMode="auto">
                          <a:xfrm>
                            <a:off x="8321" y="-752"/>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103" name="Line 2842"/>
                        <wps:cNvCnPr>
                          <a:cxnSpLocks noChangeShapeType="1"/>
                        </wps:cNvCnPr>
                        <wps:spPr bwMode="auto">
                          <a:xfrm>
                            <a:off x="8321" y="-75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104" name="Line 2841"/>
                        <wps:cNvCnPr>
                          <a:cxnSpLocks noChangeShapeType="1"/>
                        </wps:cNvCnPr>
                        <wps:spPr bwMode="auto">
                          <a:xfrm>
                            <a:off x="9617" y="-762"/>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105" name="Line 2840"/>
                        <wps:cNvCnPr>
                          <a:cxnSpLocks noChangeShapeType="1"/>
                        </wps:cNvCnPr>
                        <wps:spPr bwMode="auto">
                          <a:xfrm>
                            <a:off x="9617" y="-76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106" name="Line 2839"/>
                        <wps:cNvCnPr>
                          <a:cxnSpLocks noChangeShapeType="1"/>
                        </wps:cNvCnPr>
                        <wps:spPr bwMode="auto">
                          <a:xfrm>
                            <a:off x="9617" y="-757"/>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107" name="Line 2838"/>
                        <wps:cNvCnPr>
                          <a:cxnSpLocks noChangeShapeType="1"/>
                        </wps:cNvCnPr>
                        <wps:spPr bwMode="auto">
                          <a:xfrm>
                            <a:off x="9617" y="-75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108" name="Line 2837"/>
                        <wps:cNvCnPr>
                          <a:cxnSpLocks noChangeShapeType="1"/>
                        </wps:cNvCnPr>
                        <wps:spPr bwMode="auto">
                          <a:xfrm>
                            <a:off x="9617" y="-752"/>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109" name="Line 2836"/>
                        <wps:cNvCnPr>
                          <a:cxnSpLocks noChangeShapeType="1"/>
                        </wps:cNvCnPr>
                        <wps:spPr bwMode="auto">
                          <a:xfrm>
                            <a:off x="9617" y="-75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E52D0E" id="Group 2835" o:spid="_x0000_s1026" style="position:absolute;margin-left:269.65pt;margin-top:-38.15pt;width:187.65pt;height:1.45pt;z-index:-40588288;mso-position-horizontal-relative:page" coordorigin="5393,-763" coordsize="55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">
                <v:line id="Line 2875" o:spid="_x0000_s1027" style="position:absolute;visibility:visible;mso-wrap-style:square" from="5393,-762" to="5561,-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" strokeweight=".12pt"/>
                <v:line id="Line 2874" o:spid="_x0000_s1028" style="position:absolute;visibility:visible;mso-wrap-style:square" from="5393,-760" to="556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" strokeweight=".12pt"/>
                <v:line id="Line 2873" o:spid="_x0000_s1029" style="position:absolute;visibility:visible;mso-wrap-style:square" from="5393,-757" to="5561,-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" strokeweight=".12pt"/>
                <v:line id="Line 2872" o:spid="_x0000_s1030" style="position:absolute;visibility:visible;mso-wrap-style:square" from="5393,-755" to="5561,-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" strokeweight=".12pt"/>
                <v:line id="Line 2871" o:spid="_x0000_s1031" style="position:absolute;visibility:visible;mso-wrap-style:square" from="5393,-752" to="556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" strokeweight=".12pt"/>
                <v:line id="Line 2870" o:spid="_x0000_s1032" style="position:absolute;visibility:visible;mso-wrap-style:square" from="5393,-750" to="5561,-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" strokeweight=".12pt"/>
                <v:line id="Line 2869" o:spid="_x0000_s1033" style="position:absolute;visibility:visible;mso-wrap-style:square" from="5393,-728" to="5561,-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" strokeweight=".12pt"/>
                <v:line id="Line 2868" o:spid="_x0000_s1034" style="position:absolute;visibility:visible;mso-wrap-style:square" from="5393,-726" to="5561,-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" strokeweight=".12pt"/>
                <v:line id="Line 2867" o:spid="_x0000_s1035" style="position:absolute;visibility:visible;mso-wrap-style:square" from="5393,-724" to="5561,-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" strokeweight=".12pt"/>
                <v:line id="Line 2866" o:spid="_x0000_s1036" style="position:absolute;visibility:visible;mso-wrap-style:square" from="5393,-721" to="5561,-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" strokeweight=".12pt"/>
                <v:line id="Line 2865" o:spid="_x0000_s1037" style="position:absolute;visibility:visible;mso-wrap-style:square" from="5561,-762" to="685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" strokeweight=".12pt"/>
                <v:line id="Line 2864" o:spid="_x0000_s1038" style="position:absolute;visibility:visible;mso-wrap-style:square" from="5561,-760" to="685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" strokeweight=".12pt"/>
                <v:line id="Line 2863" o:spid="_x0000_s1039" style="position:absolute;visibility:visible;mso-wrap-style:square" from="5561,-757" to="6857,-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" strokeweight=".12pt"/>
                <v:line id="Line 2862" o:spid="_x0000_s1040" style="position:absolute;visibility:visible;mso-wrap-style:square" from="5561,-755" to="6857,-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" strokeweight=".12pt"/>
                <v:line id="Line 2861" o:spid="_x0000_s1041" style="position:absolute;visibility:visible;mso-wrap-style:square" from="5561,-752" to="6857,-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" strokeweight=".12pt"/>
                <v:line id="Line 2860" o:spid="_x0000_s1042" style="position:absolute;visibility:visible;mso-wrap-style:square" from="5561,-750" to="6857,-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" strokeweight=".12pt"/>
                <v:line id="Line 2859" o:spid="_x0000_s1043" style="position:absolute;visibility:visible;mso-wrap-style:square" from="6857,-762" to="8153,-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" strokeweight=".12pt"/>
                <v:line id="Line 2858" o:spid="_x0000_s1044" style="position:absolute;visibility:visible;mso-wrap-style:square" from="6857,-760" to="8153,-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" strokeweight=".12pt"/>
                <v:line id="Line 2857" o:spid="_x0000_s1045" style="position:absolute;visibility:visible;mso-wrap-style:square" from="6857,-757" to="8153,-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" strokeweight=".12pt"/>
                <v:line id="Line 2856" o:spid="_x0000_s1046" style="position:absolute;visibility:visible;mso-wrap-style:square" from="6857,-755" to="8153,-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" strokeweight=".12pt"/>
                <v:line id="Line 2855" o:spid="_x0000_s1047" style="position:absolute;visibility:visible;mso-wrap-style:square" from="6857,-752" to="8153,-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" strokeweight=".12pt"/>
                <v:line id="Line 2854" o:spid="_x0000_s1048" style="position:absolute;visibility:visible;mso-wrap-style:square" from="6857,-750" to="8153,-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" strokeweight=".12pt"/>
                <v:line id="Line 2853" o:spid="_x0000_s1049" style="position:absolute;visibility:visible;mso-wrap-style:square" from="8153,-762" to="8321,-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" strokeweight=".12pt"/>
                <v:line id="Line 2852" o:spid="_x0000_s1050" style="position:absolute;visibility:visible;mso-wrap-style:square" from="8153,-760" to="832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" strokeweight=".12pt"/>
                <v:line id="Line 2851" o:spid="_x0000_s1051" style="position:absolute;visibility:visible;mso-wrap-style:square" from="8153,-757" to="8321,-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" strokeweight=".12pt"/>
                <v:line id="Line 2850" o:spid="_x0000_s1052" style="position:absolute;visibility:visible;mso-wrap-style:square" from="8153,-755" to="8321,-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" strokeweight=".12pt"/>
                <v:line id="Line 2849" o:spid="_x0000_s1053" style="position:absolute;visibility:visible;mso-wrap-style:square" from="8153,-752" to="832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" strokeweight=".12pt"/>
                <v:line id="Line 2848" o:spid="_x0000_s1054" style="position:absolute;visibility:visible;mso-wrap-style:square" from="8153,-750" to="8321,-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" strokeweight=".12pt"/>
                <v:line id="Line 2847" o:spid="_x0000_s1055" style="position:absolute;visibility:visible;mso-wrap-style:square" from="8321,-762" to="961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" strokeweight=".12pt"/>
                <v:line id="Line 2846" o:spid="_x0000_s1056" style="position:absolute;visibility:visible;mso-wrap-style:square" from="8321,-760" to="961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" strokeweight=".12pt"/>
                <v:line id="Line 2845" o:spid="_x0000_s1057" style="position:absolute;visibility:visible;mso-wrap-style:square" from="8321,-757" to="9617,-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" strokeweight=".12pt"/>
                <v:line id="Line 2844" o:spid="_x0000_s1058" style="position:absolute;visibility:visible;mso-wrap-style:square" from="8321,-755" to="9617,-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" strokeweight=".12pt"/>
                <v:line id="Line 2843" o:spid="_x0000_s1059" style="position:absolute;visibility:visible;mso-wrap-style:square" from="8321,-752" to="9617,-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" strokeweight=".12pt"/>
                <v:line id="Line 2842" o:spid="_x0000_s1060" style="position:absolute;visibility:visible;mso-wrap-style:square" from="8321,-750" to="9617,-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" strokeweight=".12pt"/>
                <v:line id="Line 2841" o:spid="_x0000_s1061" style="position:absolute;visibility:visible;mso-wrap-style:square" from="9617,-762" to="10913,-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" strokeweight=".12pt"/>
                <v:line id="Line 2840" o:spid="_x0000_s1062" style="position:absolute;visibility:visible;mso-wrap-style:square" from="9617,-760" to="10913,-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" strokeweight=".12pt"/>
                <v:line id="Line 2839" o:spid="_x0000_s1063" style="position:absolute;visibility:visible;mso-wrap-style:square" from="9617,-757" to="10913,-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" strokeweight=".12pt"/>
                <v:line id="Line 2838" o:spid="_x0000_s1064" style="position:absolute;visibility:visible;mso-wrap-style:square" from="9617,-755" to="10913,-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" strokeweight=".12pt"/>
                <v:line id="Line 2837" o:spid="_x0000_s1065" style="position:absolute;visibility:visible;mso-wrap-style:square" from="9617,-752" to="10913,-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" strokeweight=".12pt"/>
                <v:line id="Line 2836" o:spid="_x0000_s1066" style="position:absolute;visibility:visible;mso-wrap-style:square" from="9617,-750" to="10913,-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" strokeweight=".12pt"/>
                <w10:wrap anchorx="page"/>
              </v:group>
            </w:pict>
          </mc:Fallback>
        </mc:AlternateContent>
      </w:r>
      <w:r w:rsidR="0015611F">
        <w:t>Land and the art collection are not depreciated. Depreciation on other assets is calculated using the straight line method to allocate their cost or revalued amounts, over their estimated useful lives, as follows:</w:t>
      </w:r>
    </w:p>
    <w:p w14:paraId="5C2708E7" w14:textId="77777777" w:rsidR="00FA4AA8" w:rsidRDefault="00FA4AA8">
      <w:pPr>
        <w:pStyle w:val="BodyText"/>
        <w:rPr>
          <w:sz w:val="20"/>
        </w:rPr>
      </w:pPr>
    </w:p>
    <w:p w14:paraId="608D7080" w14:textId="77777777" w:rsidR="00FA4AA8" w:rsidRDefault="00FA4AA8">
      <w:pPr>
        <w:pStyle w:val="BodyText"/>
        <w:spacing w:before="4"/>
        <w:rPr>
          <w:sz w:val="26"/>
        </w:rPr>
      </w:pPr>
    </w:p>
    <w:tbl>
      <w:tblPr>
        <w:tblW w:w="0" w:type="auto"/>
        <w:tblInd w:w="521" w:type="dxa"/>
        <w:tblLayout w:type="fixed"/>
        <w:tblCellMar>
          <w:left w:w="0" w:type="dxa"/>
          <w:right w:w="0" w:type="dxa"/>
        </w:tblCellMar>
        <w:tblLook w:val="01E0" w:firstRow="1" w:lastRow="1" w:firstColumn="1" w:lastColumn="1" w:noHBand="0" w:noVBand="0"/>
      </w:tblPr>
      <w:tblGrid>
        <w:gridCol w:w="5041"/>
        <w:gridCol w:w="3015"/>
        <w:gridCol w:w="1536"/>
      </w:tblGrid>
      <w:tr w:rsidR="00FA4AA8" w14:paraId="6998B926" w14:textId="77777777">
        <w:trPr>
          <w:trHeight w:val="234"/>
        </w:trPr>
        <w:tc>
          <w:tcPr>
            <w:tcW w:w="5041" w:type="dxa"/>
          </w:tcPr>
          <w:p w14:paraId="2D21DA48" w14:textId="77777777" w:rsidR="00FA4AA8" w:rsidRDefault="0015611F">
            <w:pPr>
              <w:pStyle w:val="TableParagraph"/>
              <w:spacing w:line="201" w:lineRule="exact"/>
              <w:ind w:left="50"/>
              <w:rPr>
                <w:b/>
                <w:sz w:val="18"/>
              </w:rPr>
            </w:pPr>
            <w:r>
              <w:rPr>
                <w:b/>
                <w:sz w:val="18"/>
              </w:rPr>
              <w:t>Depreciable assets</w:t>
            </w:r>
          </w:p>
        </w:tc>
        <w:tc>
          <w:tcPr>
            <w:tcW w:w="3015" w:type="dxa"/>
          </w:tcPr>
          <w:p w14:paraId="06BFD8B2" w14:textId="77777777" w:rsidR="00FA4AA8" w:rsidRDefault="0015611F">
            <w:pPr>
              <w:pStyle w:val="TableParagraph"/>
              <w:spacing w:line="201" w:lineRule="exact"/>
              <w:ind w:left="1510" w:right="1063"/>
              <w:jc w:val="center"/>
              <w:rPr>
                <w:b/>
                <w:sz w:val="18"/>
              </w:rPr>
            </w:pPr>
            <w:r>
              <w:rPr>
                <w:b/>
                <w:sz w:val="18"/>
              </w:rPr>
              <w:t>2018</w:t>
            </w:r>
          </w:p>
        </w:tc>
        <w:tc>
          <w:tcPr>
            <w:tcW w:w="1536" w:type="dxa"/>
          </w:tcPr>
          <w:p w14:paraId="08E8E4A8" w14:textId="77777777" w:rsidR="00FA4AA8" w:rsidRDefault="0015611F">
            <w:pPr>
              <w:pStyle w:val="TableParagraph"/>
              <w:spacing w:line="201" w:lineRule="exact"/>
              <w:ind w:left="379"/>
              <w:rPr>
                <w:b/>
                <w:sz w:val="18"/>
              </w:rPr>
            </w:pPr>
            <w:r>
              <w:rPr>
                <w:b/>
                <w:sz w:val="18"/>
              </w:rPr>
              <w:t>2017</w:t>
            </w:r>
          </w:p>
        </w:tc>
      </w:tr>
      <w:tr w:rsidR="00FA4AA8" w14:paraId="62D423B5" w14:textId="77777777">
        <w:trPr>
          <w:trHeight w:val="266"/>
        </w:trPr>
        <w:tc>
          <w:tcPr>
            <w:tcW w:w="5041" w:type="dxa"/>
          </w:tcPr>
          <w:p w14:paraId="2303E8E2" w14:textId="77777777" w:rsidR="00FA4AA8" w:rsidRDefault="0015611F">
            <w:pPr>
              <w:pStyle w:val="TableParagraph"/>
              <w:spacing w:before="30"/>
              <w:ind w:left="50"/>
              <w:rPr>
                <w:sz w:val="18"/>
              </w:rPr>
            </w:pPr>
            <w:r>
              <w:rPr>
                <w:sz w:val="18"/>
              </w:rPr>
              <w:t>Audio Visual</w:t>
            </w:r>
          </w:p>
        </w:tc>
        <w:tc>
          <w:tcPr>
            <w:tcW w:w="3015" w:type="dxa"/>
          </w:tcPr>
          <w:p w14:paraId="6809E62A" w14:textId="77777777" w:rsidR="00FA4AA8" w:rsidRDefault="0015611F">
            <w:pPr>
              <w:pStyle w:val="TableParagraph"/>
              <w:spacing w:before="28"/>
              <w:ind w:right="377"/>
              <w:jc w:val="right"/>
              <w:rPr>
                <w:b/>
                <w:sz w:val="18"/>
              </w:rPr>
            </w:pPr>
            <w:r>
              <w:rPr>
                <w:b/>
                <w:sz w:val="18"/>
              </w:rPr>
              <w:t>10 years</w:t>
            </w:r>
          </w:p>
        </w:tc>
        <w:tc>
          <w:tcPr>
            <w:tcW w:w="1536" w:type="dxa"/>
          </w:tcPr>
          <w:p w14:paraId="5ECFBEB6" w14:textId="77777777" w:rsidR="00FA4AA8" w:rsidRDefault="0015611F">
            <w:pPr>
              <w:pStyle w:val="TableParagraph"/>
              <w:spacing w:before="28"/>
              <w:ind w:right="49"/>
              <w:jc w:val="right"/>
              <w:rPr>
                <w:sz w:val="18"/>
              </w:rPr>
            </w:pPr>
            <w:r>
              <w:rPr>
                <w:sz w:val="18"/>
              </w:rPr>
              <w:t>10 years</w:t>
            </w:r>
          </w:p>
        </w:tc>
      </w:tr>
      <w:tr w:rsidR="00FA4AA8" w14:paraId="3C8898BE" w14:textId="77777777">
        <w:trPr>
          <w:trHeight w:val="466"/>
        </w:trPr>
        <w:tc>
          <w:tcPr>
            <w:tcW w:w="5041" w:type="dxa"/>
          </w:tcPr>
          <w:p w14:paraId="7F6ABD8D" w14:textId="77777777" w:rsidR="00FA4AA8" w:rsidRDefault="0015611F">
            <w:pPr>
              <w:pStyle w:val="TableParagraph"/>
              <w:spacing w:before="23"/>
              <w:ind w:left="50" w:right="1419"/>
              <w:rPr>
                <w:sz w:val="18"/>
              </w:rPr>
            </w:pPr>
            <w:r>
              <w:rPr>
                <w:sz w:val="18"/>
              </w:rPr>
              <w:t>Buildings (except where a limit of useful life of a building has been identified)</w:t>
            </w:r>
          </w:p>
        </w:tc>
        <w:tc>
          <w:tcPr>
            <w:tcW w:w="3015" w:type="dxa"/>
          </w:tcPr>
          <w:p w14:paraId="3CF6D285" w14:textId="77777777" w:rsidR="00FA4AA8" w:rsidRDefault="00FA4AA8">
            <w:pPr>
              <w:pStyle w:val="TableParagraph"/>
              <w:spacing w:before="8"/>
              <w:rPr>
                <w:sz w:val="19"/>
              </w:rPr>
            </w:pPr>
          </w:p>
          <w:p w14:paraId="63F6FB60" w14:textId="77777777" w:rsidR="00FA4AA8" w:rsidRDefault="0015611F">
            <w:pPr>
              <w:pStyle w:val="TableParagraph"/>
              <w:ind w:right="377"/>
              <w:jc w:val="right"/>
              <w:rPr>
                <w:b/>
                <w:sz w:val="18"/>
              </w:rPr>
            </w:pPr>
            <w:r>
              <w:rPr>
                <w:b/>
                <w:sz w:val="18"/>
              </w:rPr>
              <w:t>5-60 years</w:t>
            </w:r>
          </w:p>
        </w:tc>
        <w:tc>
          <w:tcPr>
            <w:tcW w:w="1536" w:type="dxa"/>
          </w:tcPr>
          <w:p w14:paraId="15168185" w14:textId="77777777" w:rsidR="00FA4AA8" w:rsidRDefault="00FA4AA8">
            <w:pPr>
              <w:pStyle w:val="TableParagraph"/>
              <w:spacing w:before="8"/>
              <w:rPr>
                <w:sz w:val="19"/>
              </w:rPr>
            </w:pPr>
          </w:p>
          <w:p w14:paraId="1B739785" w14:textId="77777777" w:rsidR="00FA4AA8" w:rsidRDefault="0015611F">
            <w:pPr>
              <w:pStyle w:val="TableParagraph"/>
              <w:ind w:right="49"/>
              <w:jc w:val="right"/>
              <w:rPr>
                <w:sz w:val="18"/>
              </w:rPr>
            </w:pPr>
            <w:r>
              <w:rPr>
                <w:sz w:val="18"/>
              </w:rPr>
              <w:t>5-60 years</w:t>
            </w:r>
          </w:p>
        </w:tc>
      </w:tr>
      <w:tr w:rsidR="00FA4AA8" w14:paraId="2531AA11" w14:textId="77777777">
        <w:trPr>
          <w:trHeight w:val="264"/>
        </w:trPr>
        <w:tc>
          <w:tcPr>
            <w:tcW w:w="5041" w:type="dxa"/>
          </w:tcPr>
          <w:p w14:paraId="5F58792E" w14:textId="77777777" w:rsidR="00FA4AA8" w:rsidRDefault="0015611F">
            <w:pPr>
              <w:pStyle w:val="TableParagraph"/>
              <w:spacing w:before="26"/>
              <w:ind w:left="50"/>
              <w:rPr>
                <w:sz w:val="18"/>
              </w:rPr>
            </w:pPr>
            <w:r>
              <w:rPr>
                <w:sz w:val="18"/>
              </w:rPr>
              <w:t>Computing (Mainframe &amp; Networking)</w:t>
            </w:r>
          </w:p>
        </w:tc>
        <w:tc>
          <w:tcPr>
            <w:tcW w:w="3015" w:type="dxa"/>
          </w:tcPr>
          <w:p w14:paraId="602DB07A" w14:textId="77777777" w:rsidR="00FA4AA8" w:rsidRDefault="0015611F">
            <w:pPr>
              <w:pStyle w:val="TableParagraph"/>
              <w:spacing w:before="24"/>
              <w:ind w:right="377"/>
              <w:jc w:val="right"/>
              <w:rPr>
                <w:b/>
                <w:sz w:val="18"/>
              </w:rPr>
            </w:pPr>
            <w:r>
              <w:rPr>
                <w:b/>
                <w:sz w:val="18"/>
              </w:rPr>
              <w:t>4 years</w:t>
            </w:r>
          </w:p>
        </w:tc>
        <w:tc>
          <w:tcPr>
            <w:tcW w:w="1536" w:type="dxa"/>
          </w:tcPr>
          <w:p w14:paraId="53D81F32" w14:textId="77777777" w:rsidR="00FA4AA8" w:rsidRDefault="0015611F">
            <w:pPr>
              <w:pStyle w:val="TableParagraph"/>
              <w:spacing w:before="24"/>
              <w:ind w:right="49"/>
              <w:jc w:val="right"/>
              <w:rPr>
                <w:sz w:val="18"/>
              </w:rPr>
            </w:pPr>
            <w:r>
              <w:rPr>
                <w:sz w:val="18"/>
              </w:rPr>
              <w:t>4 years</w:t>
            </w:r>
          </w:p>
        </w:tc>
      </w:tr>
      <w:tr w:rsidR="00FA4AA8" w14:paraId="20201A6D" w14:textId="77777777">
        <w:trPr>
          <w:trHeight w:val="263"/>
        </w:trPr>
        <w:tc>
          <w:tcPr>
            <w:tcW w:w="5041" w:type="dxa"/>
          </w:tcPr>
          <w:p w14:paraId="7D560D0A" w14:textId="77777777" w:rsidR="00FA4AA8" w:rsidRDefault="0015611F">
            <w:pPr>
              <w:pStyle w:val="TableParagraph"/>
              <w:spacing w:before="26"/>
              <w:ind w:left="50"/>
              <w:rPr>
                <w:sz w:val="18"/>
              </w:rPr>
            </w:pPr>
            <w:r>
              <w:rPr>
                <w:sz w:val="18"/>
              </w:rPr>
              <w:t>Computing (Other)</w:t>
            </w:r>
          </w:p>
        </w:tc>
        <w:tc>
          <w:tcPr>
            <w:tcW w:w="3015" w:type="dxa"/>
          </w:tcPr>
          <w:p w14:paraId="693F21AE" w14:textId="77777777" w:rsidR="00FA4AA8" w:rsidRDefault="0015611F">
            <w:pPr>
              <w:pStyle w:val="TableParagraph"/>
              <w:spacing w:before="24"/>
              <w:ind w:right="377"/>
              <w:jc w:val="right"/>
              <w:rPr>
                <w:b/>
                <w:sz w:val="18"/>
              </w:rPr>
            </w:pPr>
            <w:r>
              <w:rPr>
                <w:b/>
                <w:sz w:val="18"/>
              </w:rPr>
              <w:t>3 years</w:t>
            </w:r>
          </w:p>
        </w:tc>
        <w:tc>
          <w:tcPr>
            <w:tcW w:w="1536" w:type="dxa"/>
          </w:tcPr>
          <w:p w14:paraId="35FC0387" w14:textId="77777777" w:rsidR="00FA4AA8" w:rsidRDefault="0015611F">
            <w:pPr>
              <w:pStyle w:val="TableParagraph"/>
              <w:spacing w:before="24"/>
              <w:ind w:right="49"/>
              <w:jc w:val="right"/>
              <w:rPr>
                <w:sz w:val="18"/>
              </w:rPr>
            </w:pPr>
            <w:r>
              <w:rPr>
                <w:sz w:val="18"/>
              </w:rPr>
              <w:t>3 years</w:t>
            </w:r>
          </w:p>
        </w:tc>
      </w:tr>
      <w:tr w:rsidR="00FA4AA8" w14:paraId="611C0B3A" w14:textId="77777777">
        <w:trPr>
          <w:trHeight w:val="264"/>
        </w:trPr>
        <w:tc>
          <w:tcPr>
            <w:tcW w:w="5041" w:type="dxa"/>
          </w:tcPr>
          <w:p w14:paraId="0AA28CE9" w14:textId="77777777" w:rsidR="00FA4AA8" w:rsidRDefault="0015611F">
            <w:pPr>
              <w:pStyle w:val="TableParagraph"/>
              <w:spacing w:before="26"/>
              <w:ind w:left="50"/>
              <w:rPr>
                <w:sz w:val="18"/>
              </w:rPr>
            </w:pPr>
            <w:r>
              <w:rPr>
                <w:sz w:val="18"/>
              </w:rPr>
              <w:t>Leasehold Improvements</w:t>
            </w:r>
          </w:p>
        </w:tc>
        <w:tc>
          <w:tcPr>
            <w:tcW w:w="3015" w:type="dxa"/>
          </w:tcPr>
          <w:p w14:paraId="19047ACC" w14:textId="77777777" w:rsidR="00FA4AA8" w:rsidRDefault="0015611F">
            <w:pPr>
              <w:pStyle w:val="TableParagraph"/>
              <w:spacing w:before="24"/>
              <w:ind w:right="377"/>
              <w:jc w:val="right"/>
              <w:rPr>
                <w:b/>
                <w:sz w:val="18"/>
              </w:rPr>
            </w:pPr>
            <w:r>
              <w:rPr>
                <w:b/>
                <w:sz w:val="18"/>
              </w:rPr>
              <w:t>2-6 years</w:t>
            </w:r>
          </w:p>
        </w:tc>
        <w:tc>
          <w:tcPr>
            <w:tcW w:w="1536" w:type="dxa"/>
          </w:tcPr>
          <w:p w14:paraId="5BE7A7C5" w14:textId="77777777" w:rsidR="00FA4AA8" w:rsidRDefault="0015611F">
            <w:pPr>
              <w:pStyle w:val="TableParagraph"/>
              <w:spacing w:before="24"/>
              <w:ind w:right="49"/>
              <w:jc w:val="right"/>
              <w:rPr>
                <w:sz w:val="18"/>
              </w:rPr>
            </w:pPr>
            <w:r>
              <w:rPr>
                <w:sz w:val="18"/>
              </w:rPr>
              <w:t>2-6 years</w:t>
            </w:r>
          </w:p>
        </w:tc>
      </w:tr>
      <w:tr w:rsidR="00FA4AA8" w14:paraId="3A51E6AA" w14:textId="77777777">
        <w:trPr>
          <w:trHeight w:val="263"/>
        </w:trPr>
        <w:tc>
          <w:tcPr>
            <w:tcW w:w="5041" w:type="dxa"/>
          </w:tcPr>
          <w:p w14:paraId="0BE7A809" w14:textId="77777777" w:rsidR="00FA4AA8" w:rsidRDefault="0015611F">
            <w:pPr>
              <w:pStyle w:val="TableParagraph"/>
              <w:spacing w:before="26"/>
              <w:ind w:left="50"/>
              <w:rPr>
                <w:sz w:val="18"/>
              </w:rPr>
            </w:pPr>
            <w:r>
              <w:rPr>
                <w:sz w:val="18"/>
              </w:rPr>
              <w:t>Library Collections</w:t>
            </w:r>
          </w:p>
        </w:tc>
        <w:tc>
          <w:tcPr>
            <w:tcW w:w="3015" w:type="dxa"/>
          </w:tcPr>
          <w:p w14:paraId="51260D54" w14:textId="77777777" w:rsidR="00FA4AA8" w:rsidRDefault="0015611F">
            <w:pPr>
              <w:pStyle w:val="TableParagraph"/>
              <w:spacing w:before="24"/>
              <w:ind w:right="377"/>
              <w:jc w:val="right"/>
              <w:rPr>
                <w:b/>
                <w:sz w:val="18"/>
              </w:rPr>
            </w:pPr>
            <w:r>
              <w:rPr>
                <w:b/>
                <w:sz w:val="18"/>
              </w:rPr>
              <w:t>5 years</w:t>
            </w:r>
          </w:p>
        </w:tc>
        <w:tc>
          <w:tcPr>
            <w:tcW w:w="1536" w:type="dxa"/>
          </w:tcPr>
          <w:p w14:paraId="3BDA21DD" w14:textId="77777777" w:rsidR="00FA4AA8" w:rsidRDefault="0015611F">
            <w:pPr>
              <w:pStyle w:val="TableParagraph"/>
              <w:spacing w:before="24"/>
              <w:ind w:right="49"/>
              <w:jc w:val="right"/>
              <w:rPr>
                <w:sz w:val="18"/>
              </w:rPr>
            </w:pPr>
            <w:r>
              <w:rPr>
                <w:sz w:val="18"/>
              </w:rPr>
              <w:t>5 years</w:t>
            </w:r>
          </w:p>
        </w:tc>
      </w:tr>
      <w:tr w:rsidR="00FA4AA8" w14:paraId="6B9AEF9B" w14:textId="77777777">
        <w:trPr>
          <w:trHeight w:val="264"/>
        </w:trPr>
        <w:tc>
          <w:tcPr>
            <w:tcW w:w="5041" w:type="dxa"/>
          </w:tcPr>
          <w:p w14:paraId="730AD741" w14:textId="77777777" w:rsidR="00FA4AA8" w:rsidRDefault="0015611F">
            <w:pPr>
              <w:pStyle w:val="TableParagraph"/>
              <w:spacing w:before="26"/>
              <w:ind w:left="50"/>
              <w:rPr>
                <w:sz w:val="18"/>
              </w:rPr>
            </w:pPr>
            <w:r>
              <w:rPr>
                <w:sz w:val="18"/>
              </w:rPr>
              <w:t>Printing</w:t>
            </w:r>
          </w:p>
        </w:tc>
        <w:tc>
          <w:tcPr>
            <w:tcW w:w="3015" w:type="dxa"/>
          </w:tcPr>
          <w:p w14:paraId="01F0CE1B" w14:textId="77777777" w:rsidR="00FA4AA8" w:rsidRDefault="0015611F">
            <w:pPr>
              <w:pStyle w:val="TableParagraph"/>
              <w:spacing w:before="24"/>
              <w:ind w:right="377"/>
              <w:jc w:val="right"/>
              <w:rPr>
                <w:b/>
                <w:sz w:val="18"/>
              </w:rPr>
            </w:pPr>
            <w:r>
              <w:rPr>
                <w:b/>
                <w:sz w:val="18"/>
              </w:rPr>
              <w:t>10 years</w:t>
            </w:r>
          </w:p>
        </w:tc>
        <w:tc>
          <w:tcPr>
            <w:tcW w:w="1536" w:type="dxa"/>
          </w:tcPr>
          <w:p w14:paraId="0E1F8E18" w14:textId="77777777" w:rsidR="00FA4AA8" w:rsidRDefault="0015611F">
            <w:pPr>
              <w:pStyle w:val="TableParagraph"/>
              <w:spacing w:before="24"/>
              <w:ind w:right="49"/>
              <w:jc w:val="right"/>
              <w:rPr>
                <w:sz w:val="18"/>
              </w:rPr>
            </w:pPr>
            <w:r>
              <w:rPr>
                <w:sz w:val="18"/>
              </w:rPr>
              <w:t>10 years</w:t>
            </w:r>
          </w:p>
        </w:tc>
      </w:tr>
      <w:tr w:rsidR="00FA4AA8" w14:paraId="7103DCD1" w14:textId="77777777">
        <w:trPr>
          <w:trHeight w:val="263"/>
        </w:trPr>
        <w:tc>
          <w:tcPr>
            <w:tcW w:w="5041" w:type="dxa"/>
          </w:tcPr>
          <w:p w14:paraId="31E709B1" w14:textId="77777777" w:rsidR="00FA4AA8" w:rsidRDefault="0015611F">
            <w:pPr>
              <w:pStyle w:val="TableParagraph"/>
              <w:spacing w:before="26"/>
              <w:ind w:left="50"/>
              <w:rPr>
                <w:sz w:val="18"/>
              </w:rPr>
            </w:pPr>
            <w:r>
              <w:rPr>
                <w:sz w:val="18"/>
              </w:rPr>
              <w:t>Scientific</w:t>
            </w:r>
          </w:p>
        </w:tc>
        <w:tc>
          <w:tcPr>
            <w:tcW w:w="3015" w:type="dxa"/>
          </w:tcPr>
          <w:p w14:paraId="076B92DC" w14:textId="77777777" w:rsidR="00FA4AA8" w:rsidRDefault="0015611F">
            <w:pPr>
              <w:pStyle w:val="TableParagraph"/>
              <w:spacing w:before="24"/>
              <w:ind w:right="377"/>
              <w:jc w:val="right"/>
              <w:rPr>
                <w:b/>
                <w:sz w:val="18"/>
              </w:rPr>
            </w:pPr>
            <w:r>
              <w:rPr>
                <w:b/>
                <w:sz w:val="18"/>
              </w:rPr>
              <w:t>10 years</w:t>
            </w:r>
          </w:p>
        </w:tc>
        <w:tc>
          <w:tcPr>
            <w:tcW w:w="1536" w:type="dxa"/>
          </w:tcPr>
          <w:p w14:paraId="44EDC74E" w14:textId="77777777" w:rsidR="00FA4AA8" w:rsidRDefault="0015611F">
            <w:pPr>
              <w:pStyle w:val="TableParagraph"/>
              <w:spacing w:before="24"/>
              <w:ind w:right="49"/>
              <w:jc w:val="right"/>
              <w:rPr>
                <w:sz w:val="18"/>
              </w:rPr>
            </w:pPr>
            <w:r>
              <w:rPr>
                <w:sz w:val="18"/>
              </w:rPr>
              <w:t>10 years</w:t>
            </w:r>
          </w:p>
        </w:tc>
      </w:tr>
      <w:tr w:rsidR="00FA4AA8" w14:paraId="07704314" w14:textId="77777777">
        <w:trPr>
          <w:trHeight w:val="264"/>
        </w:trPr>
        <w:tc>
          <w:tcPr>
            <w:tcW w:w="5041" w:type="dxa"/>
          </w:tcPr>
          <w:p w14:paraId="3C3B23D4" w14:textId="77777777" w:rsidR="00FA4AA8" w:rsidRDefault="0015611F">
            <w:pPr>
              <w:pStyle w:val="TableParagraph"/>
              <w:spacing w:before="26"/>
              <w:ind w:left="50"/>
              <w:rPr>
                <w:sz w:val="18"/>
              </w:rPr>
            </w:pPr>
            <w:r>
              <w:rPr>
                <w:sz w:val="18"/>
              </w:rPr>
              <w:t>Software</w:t>
            </w:r>
          </w:p>
        </w:tc>
        <w:tc>
          <w:tcPr>
            <w:tcW w:w="3015" w:type="dxa"/>
          </w:tcPr>
          <w:p w14:paraId="43DA570E" w14:textId="77777777" w:rsidR="00FA4AA8" w:rsidRDefault="0015611F">
            <w:pPr>
              <w:pStyle w:val="TableParagraph"/>
              <w:spacing w:before="24"/>
              <w:ind w:right="377"/>
              <w:jc w:val="right"/>
              <w:rPr>
                <w:b/>
                <w:sz w:val="18"/>
              </w:rPr>
            </w:pPr>
            <w:r>
              <w:rPr>
                <w:b/>
                <w:sz w:val="18"/>
              </w:rPr>
              <w:t>3-10 years</w:t>
            </w:r>
          </w:p>
        </w:tc>
        <w:tc>
          <w:tcPr>
            <w:tcW w:w="1536" w:type="dxa"/>
          </w:tcPr>
          <w:p w14:paraId="2A4A822A" w14:textId="77777777" w:rsidR="00FA4AA8" w:rsidRDefault="0015611F">
            <w:pPr>
              <w:pStyle w:val="TableParagraph"/>
              <w:spacing w:before="24"/>
              <w:ind w:right="48"/>
              <w:jc w:val="right"/>
              <w:rPr>
                <w:sz w:val="18"/>
              </w:rPr>
            </w:pPr>
            <w:r>
              <w:rPr>
                <w:sz w:val="18"/>
              </w:rPr>
              <w:t>-</w:t>
            </w:r>
          </w:p>
        </w:tc>
      </w:tr>
      <w:tr w:rsidR="00FA4AA8" w14:paraId="01FD3D0E" w14:textId="77777777">
        <w:trPr>
          <w:trHeight w:val="264"/>
        </w:trPr>
        <w:tc>
          <w:tcPr>
            <w:tcW w:w="5041" w:type="dxa"/>
          </w:tcPr>
          <w:p w14:paraId="78CA041E" w14:textId="77777777" w:rsidR="00FA4AA8" w:rsidRDefault="0015611F">
            <w:pPr>
              <w:pStyle w:val="TableParagraph"/>
              <w:spacing w:before="26"/>
              <w:ind w:left="50"/>
              <w:rPr>
                <w:sz w:val="18"/>
              </w:rPr>
            </w:pPr>
            <w:r>
              <w:rPr>
                <w:sz w:val="18"/>
              </w:rPr>
              <w:t>Vehicles</w:t>
            </w:r>
          </w:p>
        </w:tc>
        <w:tc>
          <w:tcPr>
            <w:tcW w:w="3015" w:type="dxa"/>
          </w:tcPr>
          <w:p w14:paraId="790CF964" w14:textId="77777777" w:rsidR="00FA4AA8" w:rsidRDefault="0015611F">
            <w:pPr>
              <w:pStyle w:val="TableParagraph"/>
              <w:spacing w:before="24"/>
              <w:ind w:right="377"/>
              <w:jc w:val="right"/>
              <w:rPr>
                <w:b/>
                <w:sz w:val="18"/>
              </w:rPr>
            </w:pPr>
            <w:r>
              <w:rPr>
                <w:b/>
                <w:sz w:val="18"/>
              </w:rPr>
              <w:t>6-7 years</w:t>
            </w:r>
          </w:p>
        </w:tc>
        <w:tc>
          <w:tcPr>
            <w:tcW w:w="1536" w:type="dxa"/>
          </w:tcPr>
          <w:p w14:paraId="01C87355" w14:textId="77777777" w:rsidR="00FA4AA8" w:rsidRDefault="0015611F">
            <w:pPr>
              <w:pStyle w:val="TableParagraph"/>
              <w:spacing w:before="24"/>
              <w:ind w:right="49"/>
              <w:jc w:val="right"/>
              <w:rPr>
                <w:sz w:val="18"/>
              </w:rPr>
            </w:pPr>
            <w:r>
              <w:rPr>
                <w:sz w:val="18"/>
              </w:rPr>
              <w:t>6-7 years</w:t>
            </w:r>
          </w:p>
        </w:tc>
      </w:tr>
      <w:tr w:rsidR="00FA4AA8" w14:paraId="7185D89D" w14:textId="77777777">
        <w:trPr>
          <w:trHeight w:val="233"/>
        </w:trPr>
        <w:tc>
          <w:tcPr>
            <w:tcW w:w="5041" w:type="dxa"/>
          </w:tcPr>
          <w:p w14:paraId="6B1BE5E7" w14:textId="77777777" w:rsidR="00FA4AA8" w:rsidRDefault="0015611F">
            <w:pPr>
              <w:pStyle w:val="TableParagraph"/>
              <w:spacing w:before="26" w:line="187" w:lineRule="exact"/>
              <w:ind w:left="50"/>
              <w:rPr>
                <w:sz w:val="18"/>
              </w:rPr>
            </w:pPr>
            <w:r>
              <w:rPr>
                <w:sz w:val="18"/>
              </w:rPr>
              <w:t>Other</w:t>
            </w:r>
          </w:p>
        </w:tc>
        <w:tc>
          <w:tcPr>
            <w:tcW w:w="3015" w:type="dxa"/>
          </w:tcPr>
          <w:p w14:paraId="284FB903" w14:textId="77777777" w:rsidR="00FA4AA8" w:rsidRDefault="0015611F">
            <w:pPr>
              <w:pStyle w:val="TableParagraph"/>
              <w:spacing w:before="24" w:line="189" w:lineRule="exact"/>
              <w:ind w:right="377"/>
              <w:jc w:val="right"/>
              <w:rPr>
                <w:b/>
                <w:sz w:val="18"/>
              </w:rPr>
            </w:pPr>
            <w:r>
              <w:rPr>
                <w:b/>
                <w:sz w:val="18"/>
              </w:rPr>
              <w:t>10-20 years</w:t>
            </w:r>
          </w:p>
        </w:tc>
        <w:tc>
          <w:tcPr>
            <w:tcW w:w="1536" w:type="dxa"/>
          </w:tcPr>
          <w:p w14:paraId="1579823B" w14:textId="77777777" w:rsidR="00FA4AA8" w:rsidRDefault="0015611F">
            <w:pPr>
              <w:pStyle w:val="TableParagraph"/>
              <w:spacing w:before="24" w:line="189" w:lineRule="exact"/>
              <w:ind w:right="49"/>
              <w:jc w:val="right"/>
              <w:rPr>
                <w:sz w:val="18"/>
              </w:rPr>
            </w:pPr>
            <w:r>
              <w:rPr>
                <w:sz w:val="18"/>
              </w:rPr>
              <w:t>10-20 years</w:t>
            </w:r>
          </w:p>
        </w:tc>
      </w:tr>
    </w:tbl>
    <w:p w14:paraId="36D3EE4E" w14:textId="77777777" w:rsidR="00FA4AA8" w:rsidRDefault="00FA4AA8">
      <w:pPr>
        <w:pStyle w:val="BodyText"/>
        <w:spacing w:before="1"/>
        <w:rPr>
          <w:sz w:val="19"/>
        </w:rPr>
      </w:pPr>
    </w:p>
    <w:p w14:paraId="7B69F622" w14:textId="77777777" w:rsidR="00FA4AA8" w:rsidRDefault="0015611F">
      <w:pPr>
        <w:pStyle w:val="BodyText"/>
        <w:spacing w:before="94"/>
        <w:ind w:left="564" w:right="256"/>
      </w:pPr>
      <w:r>
        <w:t>Leasehold improvements are depreciated over the shorter of the unexpired period of the lease or the estimated life of the improvements.</w:t>
      </w:r>
    </w:p>
    <w:p w14:paraId="2B14615A" w14:textId="77777777" w:rsidR="00FA4AA8" w:rsidRDefault="00FA4AA8">
      <w:pPr>
        <w:pStyle w:val="BodyText"/>
        <w:spacing w:before="11"/>
        <w:rPr>
          <w:sz w:val="24"/>
        </w:rPr>
      </w:pPr>
    </w:p>
    <w:p w14:paraId="47E77BDB" w14:textId="77777777" w:rsidR="00FA4AA8" w:rsidRDefault="0015611F">
      <w:pPr>
        <w:pStyle w:val="BodyText"/>
        <w:ind w:left="564"/>
      </w:pPr>
      <w:r>
        <w:t>Refer to note 19 for policies on depreciation and note 20 for policies on amortisation.</w:t>
      </w:r>
    </w:p>
    <w:p w14:paraId="16876950" w14:textId="77777777" w:rsidR="00FA4AA8" w:rsidRDefault="00FA4AA8">
      <w:pPr>
        <w:sectPr w:rsidR="00FA4AA8">
          <w:pgSz w:w="11910" w:h="16840"/>
          <w:pgMar w:top="2220" w:right="840" w:bottom="720" w:left="840" w:header="1016" w:footer="523" w:gutter="0"/>
          <w:cols w:space="720"/>
        </w:sectPr>
      </w:pPr>
    </w:p>
    <w:p w14:paraId="63DFD2FD" w14:textId="77777777" w:rsidR="00FA4AA8" w:rsidRDefault="00FA4AA8">
      <w:pPr>
        <w:pStyle w:val="BodyText"/>
        <w:rPr>
          <w:sz w:val="20"/>
        </w:rPr>
      </w:pPr>
    </w:p>
    <w:p w14:paraId="1CAE2534" w14:textId="77777777" w:rsidR="00FA4AA8" w:rsidRDefault="00FA4AA8">
      <w:pPr>
        <w:pStyle w:val="BodyText"/>
        <w:spacing w:before="10"/>
        <w:rPr>
          <w:sz w:val="29"/>
        </w:rPr>
      </w:pPr>
    </w:p>
    <w:p w14:paraId="5FD607F1" w14:textId="77777777" w:rsidR="00FA4AA8" w:rsidRDefault="0015611F">
      <w:pPr>
        <w:numPr>
          <w:ilvl w:val="0"/>
          <w:numId w:val="105"/>
        </w:numPr>
        <w:tabs>
          <w:tab w:val="left" w:pos="564"/>
        </w:tabs>
        <w:spacing w:before="94"/>
        <w:ind w:hanging="397"/>
        <w:rPr>
          <w:b/>
          <w:sz w:val="18"/>
        </w:rPr>
      </w:pPr>
      <w:bookmarkStart w:id="32" w:name="12_Repairs_and_maintenance_"/>
      <w:bookmarkEnd w:id="32"/>
      <w:r>
        <w:rPr>
          <w:b/>
          <w:sz w:val="18"/>
        </w:rPr>
        <w:t>Repairs and maintenance</w:t>
      </w:r>
    </w:p>
    <w:p w14:paraId="30FB9067" w14:textId="77777777" w:rsidR="00FA4AA8" w:rsidRDefault="0015611F">
      <w:pPr>
        <w:tabs>
          <w:tab w:val="left" w:pos="8426"/>
        </w:tabs>
        <w:spacing w:before="33"/>
        <w:ind w:left="5376"/>
        <w:rPr>
          <w:b/>
          <w:sz w:val="18"/>
        </w:rPr>
      </w:pPr>
      <w:r>
        <w:rPr>
          <w:b/>
          <w:sz w:val="18"/>
        </w:rPr>
        <w:t>Consolidated</w:t>
      </w:r>
      <w:r>
        <w:rPr>
          <w:b/>
          <w:sz w:val="18"/>
        </w:rPr>
        <w:tab/>
        <w:t>Parent</w:t>
      </w:r>
    </w:p>
    <w:p w14:paraId="3DDF8FD1" w14:textId="77777777" w:rsidR="00FA4AA8" w:rsidRDefault="00FA4AA8">
      <w:pPr>
        <w:pStyle w:val="BodyText"/>
        <w:spacing w:before="3"/>
        <w:rPr>
          <w:b/>
          <w:sz w:val="6"/>
        </w:rPr>
      </w:pPr>
    </w:p>
    <w:tbl>
      <w:tblPr>
        <w:tblW w:w="0" w:type="auto"/>
        <w:tblInd w:w="521" w:type="dxa"/>
        <w:tblLayout w:type="fixed"/>
        <w:tblCellMar>
          <w:left w:w="0" w:type="dxa"/>
          <w:right w:w="0" w:type="dxa"/>
        </w:tblCellMar>
        <w:tblLook w:val="01E0" w:firstRow="1" w:lastRow="1" w:firstColumn="1" w:lastColumn="1" w:noHBand="0" w:noVBand="0"/>
      </w:tblPr>
      <w:tblGrid>
        <w:gridCol w:w="4039"/>
        <w:gridCol w:w="1626"/>
        <w:gridCol w:w="1380"/>
        <w:gridCol w:w="1380"/>
        <w:gridCol w:w="1134"/>
      </w:tblGrid>
      <w:tr w:rsidR="00FA4AA8" w14:paraId="06420C3C" w14:textId="77777777">
        <w:trPr>
          <w:trHeight w:val="237"/>
        </w:trPr>
        <w:tc>
          <w:tcPr>
            <w:tcW w:w="4039" w:type="dxa"/>
            <w:vMerge w:val="restart"/>
          </w:tcPr>
          <w:p w14:paraId="449D1AF2" w14:textId="77777777" w:rsidR="00FA4AA8" w:rsidRDefault="00FA4AA8">
            <w:pPr>
              <w:pStyle w:val="TableParagraph"/>
              <w:rPr>
                <w:rFonts w:ascii="Times New Roman"/>
                <w:sz w:val="18"/>
              </w:rPr>
            </w:pPr>
          </w:p>
        </w:tc>
        <w:tc>
          <w:tcPr>
            <w:tcW w:w="1626" w:type="dxa"/>
          </w:tcPr>
          <w:p w14:paraId="5A1F7D78" w14:textId="77777777" w:rsidR="00FA4AA8" w:rsidRDefault="0015611F">
            <w:pPr>
              <w:pStyle w:val="TableParagraph"/>
              <w:spacing w:line="201" w:lineRule="exact"/>
              <w:ind w:left="599"/>
              <w:rPr>
                <w:b/>
                <w:sz w:val="18"/>
              </w:rPr>
            </w:pPr>
            <w:r>
              <w:rPr>
                <w:b/>
                <w:sz w:val="18"/>
              </w:rPr>
              <w:t>2018</w:t>
            </w:r>
          </w:p>
        </w:tc>
        <w:tc>
          <w:tcPr>
            <w:tcW w:w="1380" w:type="dxa"/>
          </w:tcPr>
          <w:p w14:paraId="051D5058" w14:textId="77777777" w:rsidR="00FA4AA8" w:rsidRDefault="0015611F">
            <w:pPr>
              <w:pStyle w:val="TableParagraph"/>
              <w:spacing w:line="201" w:lineRule="exact"/>
              <w:ind w:left="269"/>
              <w:rPr>
                <w:b/>
                <w:sz w:val="18"/>
              </w:rPr>
            </w:pPr>
            <w:r>
              <w:rPr>
                <w:b/>
                <w:sz w:val="18"/>
              </w:rPr>
              <w:t>2017</w:t>
            </w:r>
          </w:p>
        </w:tc>
        <w:tc>
          <w:tcPr>
            <w:tcW w:w="1380" w:type="dxa"/>
          </w:tcPr>
          <w:p w14:paraId="509FFB16" w14:textId="77777777" w:rsidR="00FA4AA8" w:rsidRDefault="0015611F">
            <w:pPr>
              <w:pStyle w:val="TableParagraph"/>
              <w:spacing w:line="201" w:lineRule="exact"/>
              <w:ind w:left="353"/>
              <w:rPr>
                <w:b/>
                <w:sz w:val="18"/>
              </w:rPr>
            </w:pPr>
            <w:r>
              <w:rPr>
                <w:b/>
                <w:sz w:val="18"/>
              </w:rPr>
              <w:t>2018</w:t>
            </w:r>
          </w:p>
        </w:tc>
        <w:tc>
          <w:tcPr>
            <w:tcW w:w="1134" w:type="dxa"/>
          </w:tcPr>
          <w:p w14:paraId="247060E6" w14:textId="77777777" w:rsidR="00FA4AA8" w:rsidRDefault="0015611F">
            <w:pPr>
              <w:pStyle w:val="TableParagraph"/>
              <w:spacing w:line="201" w:lineRule="exact"/>
              <w:ind w:left="269"/>
              <w:rPr>
                <w:b/>
                <w:sz w:val="18"/>
              </w:rPr>
            </w:pPr>
            <w:r>
              <w:rPr>
                <w:b/>
                <w:sz w:val="18"/>
              </w:rPr>
              <w:t>2017</w:t>
            </w:r>
          </w:p>
        </w:tc>
      </w:tr>
      <w:tr w:rsidR="00FA4AA8" w14:paraId="3DB09E80" w14:textId="77777777">
        <w:trPr>
          <w:trHeight w:val="271"/>
        </w:trPr>
        <w:tc>
          <w:tcPr>
            <w:tcW w:w="4039" w:type="dxa"/>
            <w:vMerge/>
            <w:tcBorders>
              <w:top w:val="nil"/>
            </w:tcBorders>
          </w:tcPr>
          <w:p w14:paraId="2EDC0183" w14:textId="77777777" w:rsidR="00FA4AA8" w:rsidRDefault="00FA4AA8">
            <w:pPr>
              <w:rPr>
                <w:sz w:val="2"/>
                <w:szCs w:val="2"/>
              </w:rPr>
            </w:pPr>
          </w:p>
        </w:tc>
        <w:tc>
          <w:tcPr>
            <w:tcW w:w="1626" w:type="dxa"/>
          </w:tcPr>
          <w:p w14:paraId="4932BC68" w14:textId="77777777" w:rsidR="00FA4AA8" w:rsidRDefault="0015611F">
            <w:pPr>
              <w:pStyle w:val="TableParagraph"/>
              <w:spacing w:before="30"/>
              <w:ind w:left="578"/>
              <w:rPr>
                <w:b/>
                <w:sz w:val="18"/>
              </w:rPr>
            </w:pPr>
            <w:r>
              <w:rPr>
                <w:b/>
                <w:sz w:val="18"/>
              </w:rPr>
              <w:t>$'000</w:t>
            </w:r>
          </w:p>
        </w:tc>
        <w:tc>
          <w:tcPr>
            <w:tcW w:w="1380" w:type="dxa"/>
          </w:tcPr>
          <w:p w14:paraId="3A72B600" w14:textId="77777777" w:rsidR="00FA4AA8" w:rsidRDefault="0015611F">
            <w:pPr>
              <w:pStyle w:val="TableParagraph"/>
              <w:spacing w:before="30"/>
              <w:ind w:left="248"/>
              <w:rPr>
                <w:b/>
                <w:sz w:val="18"/>
              </w:rPr>
            </w:pPr>
            <w:r>
              <w:rPr>
                <w:b/>
                <w:sz w:val="18"/>
              </w:rPr>
              <w:t>$'000</w:t>
            </w:r>
          </w:p>
        </w:tc>
        <w:tc>
          <w:tcPr>
            <w:tcW w:w="1380" w:type="dxa"/>
          </w:tcPr>
          <w:p w14:paraId="5DBCFE22" w14:textId="77777777" w:rsidR="00FA4AA8" w:rsidRDefault="0015611F">
            <w:pPr>
              <w:pStyle w:val="TableParagraph"/>
              <w:spacing w:before="30"/>
              <w:ind w:left="332"/>
              <w:rPr>
                <w:b/>
                <w:sz w:val="18"/>
              </w:rPr>
            </w:pPr>
            <w:r>
              <w:rPr>
                <w:b/>
                <w:sz w:val="18"/>
              </w:rPr>
              <w:t>$'000</w:t>
            </w:r>
          </w:p>
        </w:tc>
        <w:tc>
          <w:tcPr>
            <w:tcW w:w="1134" w:type="dxa"/>
          </w:tcPr>
          <w:p w14:paraId="366E39EA" w14:textId="77777777" w:rsidR="00FA4AA8" w:rsidRDefault="0015611F">
            <w:pPr>
              <w:pStyle w:val="TableParagraph"/>
              <w:spacing w:before="30"/>
              <w:ind w:left="248"/>
              <w:rPr>
                <w:b/>
                <w:sz w:val="18"/>
              </w:rPr>
            </w:pPr>
            <w:r>
              <w:rPr>
                <w:b/>
                <w:sz w:val="18"/>
              </w:rPr>
              <w:t>$'000</w:t>
            </w:r>
          </w:p>
        </w:tc>
      </w:tr>
      <w:tr w:rsidR="00FA4AA8" w14:paraId="043A71A9" w14:textId="77777777">
        <w:trPr>
          <w:trHeight w:val="267"/>
        </w:trPr>
        <w:tc>
          <w:tcPr>
            <w:tcW w:w="4039" w:type="dxa"/>
          </w:tcPr>
          <w:p w14:paraId="3BBD5BD5" w14:textId="77777777" w:rsidR="00FA4AA8" w:rsidRDefault="0015611F">
            <w:pPr>
              <w:pStyle w:val="TableParagraph"/>
              <w:spacing w:before="30"/>
              <w:ind w:left="76"/>
              <w:rPr>
                <w:sz w:val="18"/>
              </w:rPr>
            </w:pPr>
            <w:r>
              <w:rPr>
                <w:sz w:val="18"/>
              </w:rPr>
              <w:t>Buildings</w:t>
            </w:r>
          </w:p>
        </w:tc>
        <w:tc>
          <w:tcPr>
            <w:tcW w:w="1626" w:type="dxa"/>
          </w:tcPr>
          <w:p w14:paraId="6A78D138" w14:textId="77777777" w:rsidR="00FA4AA8" w:rsidRDefault="0015611F">
            <w:pPr>
              <w:pStyle w:val="TableParagraph"/>
              <w:spacing w:before="28"/>
              <w:ind w:right="246"/>
              <w:jc w:val="right"/>
              <w:rPr>
                <w:b/>
                <w:sz w:val="18"/>
              </w:rPr>
            </w:pPr>
            <w:r>
              <w:rPr>
                <w:b/>
                <w:sz w:val="18"/>
              </w:rPr>
              <w:t>19,792</w:t>
            </w:r>
          </w:p>
        </w:tc>
        <w:tc>
          <w:tcPr>
            <w:tcW w:w="1380" w:type="dxa"/>
          </w:tcPr>
          <w:p w14:paraId="37FF3F30" w14:textId="77777777" w:rsidR="00FA4AA8" w:rsidRDefault="0015611F">
            <w:pPr>
              <w:pStyle w:val="TableParagraph"/>
              <w:spacing w:before="28"/>
              <w:ind w:right="330"/>
              <w:jc w:val="right"/>
              <w:rPr>
                <w:sz w:val="18"/>
              </w:rPr>
            </w:pPr>
            <w:r>
              <w:rPr>
                <w:sz w:val="18"/>
              </w:rPr>
              <w:t>19,836</w:t>
            </w:r>
          </w:p>
        </w:tc>
        <w:tc>
          <w:tcPr>
            <w:tcW w:w="1380" w:type="dxa"/>
          </w:tcPr>
          <w:p w14:paraId="5627F937" w14:textId="77777777" w:rsidR="00FA4AA8" w:rsidRDefault="0015611F">
            <w:pPr>
              <w:pStyle w:val="TableParagraph"/>
              <w:spacing w:before="28"/>
              <w:ind w:right="246"/>
              <w:jc w:val="right"/>
              <w:rPr>
                <w:b/>
                <w:sz w:val="18"/>
              </w:rPr>
            </w:pPr>
            <w:r>
              <w:rPr>
                <w:b/>
                <w:sz w:val="18"/>
              </w:rPr>
              <w:t>19,739</w:t>
            </w:r>
          </w:p>
        </w:tc>
        <w:tc>
          <w:tcPr>
            <w:tcW w:w="1134" w:type="dxa"/>
          </w:tcPr>
          <w:p w14:paraId="56909895" w14:textId="77777777" w:rsidR="00FA4AA8" w:rsidRDefault="0015611F">
            <w:pPr>
              <w:pStyle w:val="TableParagraph"/>
              <w:spacing w:before="28"/>
              <w:ind w:right="84"/>
              <w:jc w:val="right"/>
              <w:rPr>
                <w:sz w:val="18"/>
              </w:rPr>
            </w:pPr>
            <w:r>
              <w:rPr>
                <w:sz w:val="18"/>
              </w:rPr>
              <w:t>19,788</w:t>
            </w:r>
          </w:p>
        </w:tc>
      </w:tr>
      <w:tr w:rsidR="00FA4AA8" w14:paraId="22DD9590" w14:textId="77777777">
        <w:trPr>
          <w:trHeight w:val="264"/>
        </w:trPr>
        <w:tc>
          <w:tcPr>
            <w:tcW w:w="4039" w:type="dxa"/>
          </w:tcPr>
          <w:p w14:paraId="51271897" w14:textId="77777777" w:rsidR="00FA4AA8" w:rsidRDefault="0015611F">
            <w:pPr>
              <w:pStyle w:val="TableParagraph"/>
              <w:spacing w:before="26"/>
              <w:ind w:left="76"/>
              <w:rPr>
                <w:sz w:val="18"/>
              </w:rPr>
            </w:pPr>
            <w:r>
              <w:rPr>
                <w:sz w:val="18"/>
              </w:rPr>
              <w:t>Plant and equipment</w:t>
            </w:r>
          </w:p>
        </w:tc>
        <w:tc>
          <w:tcPr>
            <w:tcW w:w="1626" w:type="dxa"/>
          </w:tcPr>
          <w:p w14:paraId="63E73B89" w14:textId="77777777" w:rsidR="00FA4AA8" w:rsidRDefault="0015611F">
            <w:pPr>
              <w:pStyle w:val="TableParagraph"/>
              <w:spacing w:before="24"/>
              <w:ind w:right="246"/>
              <w:jc w:val="right"/>
              <w:rPr>
                <w:b/>
                <w:sz w:val="18"/>
              </w:rPr>
            </w:pPr>
            <w:r>
              <w:rPr>
                <w:b/>
                <w:sz w:val="18"/>
              </w:rPr>
              <w:t>4,594</w:t>
            </w:r>
          </w:p>
        </w:tc>
        <w:tc>
          <w:tcPr>
            <w:tcW w:w="1380" w:type="dxa"/>
          </w:tcPr>
          <w:p w14:paraId="38E3D914" w14:textId="77777777" w:rsidR="00FA4AA8" w:rsidRDefault="0015611F">
            <w:pPr>
              <w:pStyle w:val="TableParagraph"/>
              <w:spacing w:before="24"/>
              <w:ind w:right="330"/>
              <w:jc w:val="right"/>
              <w:rPr>
                <w:sz w:val="18"/>
              </w:rPr>
            </w:pPr>
            <w:r>
              <w:rPr>
                <w:sz w:val="18"/>
              </w:rPr>
              <w:t>5,116</w:t>
            </w:r>
          </w:p>
        </w:tc>
        <w:tc>
          <w:tcPr>
            <w:tcW w:w="1380" w:type="dxa"/>
          </w:tcPr>
          <w:p w14:paraId="180B93BC" w14:textId="77777777" w:rsidR="00FA4AA8" w:rsidRDefault="0015611F">
            <w:pPr>
              <w:pStyle w:val="TableParagraph"/>
              <w:spacing w:before="24"/>
              <w:ind w:right="246"/>
              <w:jc w:val="right"/>
              <w:rPr>
                <w:b/>
                <w:sz w:val="18"/>
              </w:rPr>
            </w:pPr>
            <w:r>
              <w:rPr>
                <w:b/>
                <w:sz w:val="18"/>
              </w:rPr>
              <w:t>4,529</w:t>
            </w:r>
          </w:p>
        </w:tc>
        <w:tc>
          <w:tcPr>
            <w:tcW w:w="1134" w:type="dxa"/>
          </w:tcPr>
          <w:p w14:paraId="0F2F4102" w14:textId="77777777" w:rsidR="00FA4AA8" w:rsidRDefault="0015611F">
            <w:pPr>
              <w:pStyle w:val="TableParagraph"/>
              <w:spacing w:before="24"/>
              <w:ind w:right="84"/>
              <w:jc w:val="right"/>
              <w:rPr>
                <w:sz w:val="18"/>
              </w:rPr>
            </w:pPr>
            <w:r>
              <w:rPr>
                <w:sz w:val="18"/>
              </w:rPr>
              <w:t>5,029</w:t>
            </w:r>
          </w:p>
        </w:tc>
      </w:tr>
      <w:tr w:rsidR="00FA4AA8" w14:paraId="34F11292" w14:textId="77777777">
        <w:trPr>
          <w:trHeight w:val="264"/>
        </w:trPr>
        <w:tc>
          <w:tcPr>
            <w:tcW w:w="4039" w:type="dxa"/>
          </w:tcPr>
          <w:p w14:paraId="29BF72C1" w14:textId="77777777" w:rsidR="00FA4AA8" w:rsidRDefault="0015611F">
            <w:pPr>
              <w:pStyle w:val="TableParagraph"/>
              <w:spacing w:before="26"/>
              <w:ind w:left="76"/>
              <w:rPr>
                <w:sz w:val="18"/>
              </w:rPr>
            </w:pPr>
            <w:r>
              <w:rPr>
                <w:sz w:val="18"/>
              </w:rPr>
              <w:t>Motor vehicles</w:t>
            </w:r>
          </w:p>
        </w:tc>
        <w:tc>
          <w:tcPr>
            <w:tcW w:w="1626" w:type="dxa"/>
          </w:tcPr>
          <w:p w14:paraId="30A22DDB" w14:textId="77777777" w:rsidR="00FA4AA8" w:rsidRDefault="0015611F">
            <w:pPr>
              <w:pStyle w:val="TableParagraph"/>
              <w:spacing w:before="24"/>
              <w:ind w:right="246"/>
              <w:jc w:val="right"/>
              <w:rPr>
                <w:b/>
                <w:sz w:val="18"/>
              </w:rPr>
            </w:pPr>
            <w:r>
              <w:rPr>
                <w:b/>
                <w:sz w:val="18"/>
              </w:rPr>
              <w:t>443</w:t>
            </w:r>
          </w:p>
        </w:tc>
        <w:tc>
          <w:tcPr>
            <w:tcW w:w="1380" w:type="dxa"/>
          </w:tcPr>
          <w:p w14:paraId="58C5F8EF" w14:textId="77777777" w:rsidR="00FA4AA8" w:rsidRDefault="0015611F">
            <w:pPr>
              <w:pStyle w:val="TableParagraph"/>
              <w:spacing w:before="24"/>
              <w:ind w:right="330"/>
              <w:jc w:val="right"/>
              <w:rPr>
                <w:sz w:val="18"/>
              </w:rPr>
            </w:pPr>
            <w:r>
              <w:rPr>
                <w:sz w:val="18"/>
              </w:rPr>
              <w:t>564</w:t>
            </w:r>
          </w:p>
        </w:tc>
        <w:tc>
          <w:tcPr>
            <w:tcW w:w="1380" w:type="dxa"/>
          </w:tcPr>
          <w:p w14:paraId="3DEBC284" w14:textId="77777777" w:rsidR="00FA4AA8" w:rsidRDefault="0015611F">
            <w:pPr>
              <w:pStyle w:val="TableParagraph"/>
              <w:spacing w:before="24"/>
              <w:ind w:right="246"/>
              <w:jc w:val="right"/>
              <w:rPr>
                <w:b/>
                <w:sz w:val="18"/>
              </w:rPr>
            </w:pPr>
            <w:r>
              <w:rPr>
                <w:b/>
                <w:sz w:val="18"/>
              </w:rPr>
              <w:t>409</w:t>
            </w:r>
          </w:p>
        </w:tc>
        <w:tc>
          <w:tcPr>
            <w:tcW w:w="1134" w:type="dxa"/>
          </w:tcPr>
          <w:p w14:paraId="189205B1" w14:textId="77777777" w:rsidR="00FA4AA8" w:rsidRDefault="0015611F">
            <w:pPr>
              <w:pStyle w:val="TableParagraph"/>
              <w:spacing w:before="24"/>
              <w:ind w:right="84"/>
              <w:jc w:val="right"/>
              <w:rPr>
                <w:sz w:val="18"/>
              </w:rPr>
            </w:pPr>
            <w:r>
              <w:rPr>
                <w:sz w:val="18"/>
              </w:rPr>
              <w:t>489</w:t>
            </w:r>
          </w:p>
        </w:tc>
      </w:tr>
      <w:tr w:rsidR="00FA4AA8" w14:paraId="5DEFD5BE" w14:textId="77777777">
        <w:trPr>
          <w:trHeight w:val="256"/>
        </w:trPr>
        <w:tc>
          <w:tcPr>
            <w:tcW w:w="4039" w:type="dxa"/>
          </w:tcPr>
          <w:p w14:paraId="1F623884" w14:textId="77777777" w:rsidR="00FA4AA8" w:rsidRDefault="0015611F">
            <w:pPr>
              <w:pStyle w:val="TableParagraph"/>
              <w:spacing w:before="26"/>
              <w:ind w:left="76"/>
              <w:rPr>
                <w:sz w:val="18"/>
              </w:rPr>
            </w:pPr>
            <w:r>
              <w:rPr>
                <w:sz w:val="18"/>
              </w:rPr>
              <w:t>Information technology</w:t>
            </w:r>
          </w:p>
        </w:tc>
        <w:tc>
          <w:tcPr>
            <w:tcW w:w="1626" w:type="dxa"/>
            <w:tcBorders>
              <w:bottom w:val="single" w:sz="8" w:space="0" w:color="000000"/>
            </w:tcBorders>
          </w:tcPr>
          <w:p w14:paraId="161EF2C0" w14:textId="77777777" w:rsidR="00FA4AA8" w:rsidRDefault="0015611F">
            <w:pPr>
              <w:pStyle w:val="TableParagraph"/>
              <w:spacing w:before="24"/>
              <w:ind w:right="247"/>
              <w:jc w:val="right"/>
              <w:rPr>
                <w:b/>
                <w:sz w:val="18"/>
              </w:rPr>
            </w:pPr>
            <w:r>
              <w:rPr>
                <w:b/>
                <w:sz w:val="18"/>
              </w:rPr>
              <w:t>2</w:t>
            </w:r>
          </w:p>
        </w:tc>
        <w:tc>
          <w:tcPr>
            <w:tcW w:w="1380" w:type="dxa"/>
            <w:tcBorders>
              <w:bottom w:val="single" w:sz="8" w:space="0" w:color="000000"/>
            </w:tcBorders>
          </w:tcPr>
          <w:p w14:paraId="3C537E93" w14:textId="77777777" w:rsidR="00FA4AA8" w:rsidRDefault="0015611F">
            <w:pPr>
              <w:pStyle w:val="TableParagraph"/>
              <w:spacing w:before="24"/>
              <w:ind w:right="330"/>
              <w:jc w:val="right"/>
              <w:rPr>
                <w:sz w:val="18"/>
              </w:rPr>
            </w:pPr>
            <w:r>
              <w:rPr>
                <w:sz w:val="18"/>
              </w:rPr>
              <w:t>45</w:t>
            </w:r>
          </w:p>
        </w:tc>
        <w:tc>
          <w:tcPr>
            <w:tcW w:w="1380" w:type="dxa"/>
            <w:tcBorders>
              <w:bottom w:val="single" w:sz="8" w:space="0" w:color="000000"/>
            </w:tcBorders>
          </w:tcPr>
          <w:p w14:paraId="6A2BAA89" w14:textId="77777777" w:rsidR="00FA4AA8" w:rsidRDefault="0015611F">
            <w:pPr>
              <w:pStyle w:val="TableParagraph"/>
              <w:spacing w:before="24"/>
              <w:ind w:right="247"/>
              <w:jc w:val="right"/>
              <w:rPr>
                <w:b/>
                <w:sz w:val="18"/>
              </w:rPr>
            </w:pPr>
            <w:r>
              <w:rPr>
                <w:b/>
                <w:sz w:val="18"/>
              </w:rPr>
              <w:t>2</w:t>
            </w:r>
          </w:p>
        </w:tc>
        <w:tc>
          <w:tcPr>
            <w:tcW w:w="1134" w:type="dxa"/>
            <w:tcBorders>
              <w:bottom w:val="single" w:sz="8" w:space="0" w:color="000000"/>
            </w:tcBorders>
          </w:tcPr>
          <w:p w14:paraId="283A4182" w14:textId="77777777" w:rsidR="00FA4AA8" w:rsidRDefault="0015611F">
            <w:pPr>
              <w:pStyle w:val="TableParagraph"/>
              <w:spacing w:before="24"/>
              <w:ind w:right="84"/>
              <w:jc w:val="right"/>
              <w:rPr>
                <w:sz w:val="18"/>
              </w:rPr>
            </w:pPr>
            <w:r>
              <w:rPr>
                <w:sz w:val="18"/>
              </w:rPr>
              <w:t>45</w:t>
            </w:r>
          </w:p>
        </w:tc>
      </w:tr>
      <w:tr w:rsidR="00FA4AA8" w14:paraId="5F20C185" w14:textId="77777777">
        <w:trPr>
          <w:trHeight w:val="320"/>
        </w:trPr>
        <w:tc>
          <w:tcPr>
            <w:tcW w:w="4039" w:type="dxa"/>
          </w:tcPr>
          <w:p w14:paraId="54E7B8BB" w14:textId="77777777" w:rsidR="00FA4AA8" w:rsidRDefault="0015611F">
            <w:pPr>
              <w:pStyle w:val="TableParagraph"/>
              <w:spacing w:before="115" w:line="185" w:lineRule="exact"/>
              <w:ind w:left="76"/>
              <w:rPr>
                <w:b/>
                <w:sz w:val="18"/>
              </w:rPr>
            </w:pPr>
            <w:r>
              <w:rPr>
                <w:b/>
                <w:sz w:val="18"/>
              </w:rPr>
              <w:t>Total repairs and maintenance</w:t>
            </w:r>
          </w:p>
        </w:tc>
        <w:tc>
          <w:tcPr>
            <w:tcW w:w="1626" w:type="dxa"/>
            <w:tcBorders>
              <w:top w:val="single" w:sz="8" w:space="0" w:color="000000"/>
              <w:bottom w:val="double" w:sz="2" w:space="0" w:color="000000"/>
            </w:tcBorders>
          </w:tcPr>
          <w:p w14:paraId="58A6CE8D" w14:textId="77777777" w:rsidR="00FA4AA8" w:rsidRDefault="0015611F">
            <w:pPr>
              <w:pStyle w:val="TableParagraph"/>
              <w:spacing w:before="86"/>
              <w:ind w:right="246"/>
              <w:jc w:val="right"/>
              <w:rPr>
                <w:b/>
                <w:sz w:val="18"/>
              </w:rPr>
            </w:pPr>
            <w:r>
              <w:rPr>
                <w:b/>
                <w:sz w:val="18"/>
              </w:rPr>
              <w:t>24,831</w:t>
            </w:r>
          </w:p>
        </w:tc>
        <w:tc>
          <w:tcPr>
            <w:tcW w:w="1380" w:type="dxa"/>
            <w:tcBorders>
              <w:top w:val="single" w:sz="8" w:space="0" w:color="000000"/>
              <w:bottom w:val="double" w:sz="2" w:space="0" w:color="000000"/>
            </w:tcBorders>
          </w:tcPr>
          <w:p w14:paraId="124ED14A" w14:textId="77777777" w:rsidR="00FA4AA8" w:rsidRDefault="0015611F">
            <w:pPr>
              <w:pStyle w:val="TableParagraph"/>
              <w:spacing w:before="86"/>
              <w:ind w:right="330"/>
              <w:jc w:val="right"/>
              <w:rPr>
                <w:sz w:val="18"/>
              </w:rPr>
            </w:pPr>
            <w:r>
              <w:rPr>
                <w:sz w:val="18"/>
              </w:rPr>
              <w:t>25,561</w:t>
            </w:r>
          </w:p>
        </w:tc>
        <w:tc>
          <w:tcPr>
            <w:tcW w:w="1380" w:type="dxa"/>
            <w:tcBorders>
              <w:top w:val="single" w:sz="8" w:space="0" w:color="000000"/>
              <w:bottom w:val="double" w:sz="2" w:space="0" w:color="000000"/>
            </w:tcBorders>
          </w:tcPr>
          <w:p w14:paraId="74BFC418" w14:textId="77777777" w:rsidR="00FA4AA8" w:rsidRDefault="0015611F">
            <w:pPr>
              <w:pStyle w:val="TableParagraph"/>
              <w:spacing w:before="86"/>
              <w:ind w:right="246"/>
              <w:jc w:val="right"/>
              <w:rPr>
                <w:b/>
                <w:sz w:val="18"/>
              </w:rPr>
            </w:pPr>
            <w:r>
              <w:rPr>
                <w:b/>
                <w:sz w:val="18"/>
              </w:rPr>
              <w:t>24,679</w:t>
            </w:r>
          </w:p>
        </w:tc>
        <w:tc>
          <w:tcPr>
            <w:tcW w:w="1134" w:type="dxa"/>
            <w:tcBorders>
              <w:top w:val="single" w:sz="8" w:space="0" w:color="000000"/>
              <w:bottom w:val="double" w:sz="2" w:space="0" w:color="000000"/>
            </w:tcBorders>
          </w:tcPr>
          <w:p w14:paraId="7BD2C01B" w14:textId="77777777" w:rsidR="00FA4AA8" w:rsidRDefault="0015611F">
            <w:pPr>
              <w:pStyle w:val="TableParagraph"/>
              <w:spacing w:before="86"/>
              <w:ind w:right="84"/>
              <w:jc w:val="right"/>
              <w:rPr>
                <w:sz w:val="18"/>
              </w:rPr>
            </w:pPr>
            <w:r>
              <w:rPr>
                <w:sz w:val="18"/>
              </w:rPr>
              <w:t>25,351</w:t>
            </w:r>
          </w:p>
        </w:tc>
      </w:tr>
      <w:tr w:rsidR="00FA4AA8" w14:paraId="31980593" w14:textId="77777777">
        <w:trPr>
          <w:trHeight w:val="518"/>
        </w:trPr>
        <w:tc>
          <w:tcPr>
            <w:tcW w:w="4039" w:type="dxa"/>
          </w:tcPr>
          <w:p w14:paraId="06ACF2F2" w14:textId="77777777" w:rsidR="00FA4AA8" w:rsidRDefault="00FA4AA8">
            <w:pPr>
              <w:pStyle w:val="TableParagraph"/>
              <w:rPr>
                <w:b/>
                <w:sz w:val="27"/>
              </w:rPr>
            </w:pPr>
          </w:p>
          <w:p w14:paraId="33F0E968" w14:textId="77777777" w:rsidR="00FA4AA8" w:rsidRDefault="0015611F">
            <w:pPr>
              <w:pStyle w:val="TableParagraph"/>
              <w:spacing w:before="1" w:line="187" w:lineRule="exact"/>
              <w:ind w:left="50"/>
              <w:rPr>
                <w:i/>
                <w:sz w:val="18"/>
              </w:rPr>
            </w:pPr>
            <w:r>
              <w:rPr>
                <w:i/>
                <w:sz w:val="18"/>
                <w:u w:val="single"/>
              </w:rPr>
              <w:t>Accounting Policy</w:t>
            </w:r>
          </w:p>
        </w:tc>
        <w:tc>
          <w:tcPr>
            <w:tcW w:w="1626" w:type="dxa"/>
            <w:tcBorders>
              <w:top w:val="double" w:sz="2" w:space="0" w:color="000000"/>
            </w:tcBorders>
          </w:tcPr>
          <w:p w14:paraId="3C371D2A" w14:textId="77777777" w:rsidR="00FA4AA8" w:rsidRDefault="00FA4AA8">
            <w:pPr>
              <w:pStyle w:val="TableParagraph"/>
              <w:rPr>
                <w:rFonts w:ascii="Times New Roman"/>
                <w:sz w:val="18"/>
              </w:rPr>
            </w:pPr>
          </w:p>
        </w:tc>
        <w:tc>
          <w:tcPr>
            <w:tcW w:w="1380" w:type="dxa"/>
            <w:tcBorders>
              <w:top w:val="double" w:sz="2" w:space="0" w:color="000000"/>
            </w:tcBorders>
          </w:tcPr>
          <w:p w14:paraId="29669AB1" w14:textId="77777777" w:rsidR="00FA4AA8" w:rsidRDefault="00FA4AA8">
            <w:pPr>
              <w:pStyle w:val="TableParagraph"/>
              <w:rPr>
                <w:rFonts w:ascii="Times New Roman"/>
                <w:sz w:val="18"/>
              </w:rPr>
            </w:pPr>
          </w:p>
        </w:tc>
        <w:tc>
          <w:tcPr>
            <w:tcW w:w="1380" w:type="dxa"/>
            <w:tcBorders>
              <w:top w:val="double" w:sz="2" w:space="0" w:color="000000"/>
            </w:tcBorders>
          </w:tcPr>
          <w:p w14:paraId="6049483F" w14:textId="77777777" w:rsidR="00FA4AA8" w:rsidRDefault="00FA4AA8">
            <w:pPr>
              <w:pStyle w:val="TableParagraph"/>
              <w:rPr>
                <w:rFonts w:ascii="Times New Roman"/>
                <w:sz w:val="18"/>
              </w:rPr>
            </w:pPr>
          </w:p>
        </w:tc>
        <w:tc>
          <w:tcPr>
            <w:tcW w:w="1134" w:type="dxa"/>
            <w:tcBorders>
              <w:top w:val="double" w:sz="2" w:space="0" w:color="000000"/>
            </w:tcBorders>
          </w:tcPr>
          <w:p w14:paraId="766591D1" w14:textId="77777777" w:rsidR="00FA4AA8" w:rsidRDefault="00FA4AA8">
            <w:pPr>
              <w:pStyle w:val="TableParagraph"/>
              <w:rPr>
                <w:rFonts w:ascii="Times New Roman"/>
                <w:sz w:val="18"/>
              </w:rPr>
            </w:pPr>
          </w:p>
        </w:tc>
      </w:tr>
    </w:tbl>
    <w:p w14:paraId="301A9B9D" w14:textId="77777777" w:rsidR="00FA4AA8" w:rsidRDefault="00FA4AA8">
      <w:pPr>
        <w:pStyle w:val="BodyText"/>
        <w:spacing w:before="3"/>
        <w:rPr>
          <w:b/>
          <w:sz w:val="17"/>
        </w:rPr>
      </w:pPr>
    </w:p>
    <w:p w14:paraId="07D0AD41" w14:textId="77777777" w:rsidR="00FA4AA8" w:rsidRDefault="0015611F">
      <w:pPr>
        <w:pStyle w:val="BodyText"/>
        <w:spacing w:before="94"/>
        <w:ind w:left="564" w:right="256"/>
      </w:pPr>
      <w:bookmarkStart w:id="33" w:name="13_Borrowing_costs_"/>
      <w:bookmarkEnd w:id="33"/>
      <w:r>
        <w:t>Repairs and maintenance costs are recognised as expenses as incurred, except where they relate to the replacement of a component of an asset, in which case the carrying amount of those parts that are replaced is derecognised and the cost of the replacing part is capitalised if the recognition criteria are met. Other routine operating maintenance, repair and minor renewal costs are also recognised as expenses, as incurred.</w:t>
      </w:r>
    </w:p>
    <w:p w14:paraId="6B935A92" w14:textId="77777777" w:rsidR="00FA4AA8" w:rsidRDefault="00FA4AA8">
      <w:pPr>
        <w:pStyle w:val="BodyText"/>
        <w:spacing w:before="7"/>
        <w:rPr>
          <w:sz w:val="16"/>
        </w:rPr>
      </w:pPr>
    </w:p>
    <w:p w14:paraId="0F068994" w14:textId="77777777" w:rsidR="00FA4AA8" w:rsidRDefault="0015611F">
      <w:pPr>
        <w:numPr>
          <w:ilvl w:val="0"/>
          <w:numId w:val="105"/>
        </w:numPr>
        <w:tabs>
          <w:tab w:val="left" w:pos="564"/>
        </w:tabs>
        <w:spacing w:before="95"/>
        <w:ind w:hanging="397"/>
        <w:rPr>
          <w:b/>
          <w:sz w:val="18"/>
        </w:rPr>
      </w:pPr>
      <w:r>
        <w:rPr>
          <w:b/>
          <w:sz w:val="18"/>
        </w:rPr>
        <w:t>Borrowing costs</w:t>
      </w:r>
    </w:p>
    <w:p w14:paraId="08D8B408" w14:textId="77777777" w:rsidR="00FA4AA8" w:rsidRDefault="0015611F">
      <w:pPr>
        <w:tabs>
          <w:tab w:val="left" w:pos="8426"/>
        </w:tabs>
        <w:spacing w:before="33"/>
        <w:ind w:left="5376"/>
        <w:rPr>
          <w:b/>
          <w:sz w:val="18"/>
        </w:rPr>
      </w:pPr>
      <w:r>
        <w:rPr>
          <w:b/>
          <w:sz w:val="18"/>
        </w:rPr>
        <w:t>Consolidated</w:t>
      </w:r>
      <w:r>
        <w:rPr>
          <w:b/>
          <w:sz w:val="18"/>
        </w:rPr>
        <w:tab/>
        <w:t>Parent</w:t>
      </w:r>
    </w:p>
    <w:p w14:paraId="7C7F5265" w14:textId="77777777" w:rsidR="00FA4AA8" w:rsidRDefault="00FA4AA8">
      <w:pPr>
        <w:pStyle w:val="BodyText"/>
        <w:spacing w:before="3"/>
        <w:rPr>
          <w:b/>
          <w:sz w:val="6"/>
        </w:rPr>
      </w:pPr>
    </w:p>
    <w:tbl>
      <w:tblPr>
        <w:tblW w:w="0" w:type="auto"/>
        <w:tblInd w:w="521" w:type="dxa"/>
        <w:tblLayout w:type="fixed"/>
        <w:tblCellMar>
          <w:left w:w="0" w:type="dxa"/>
          <w:right w:w="0" w:type="dxa"/>
        </w:tblCellMar>
        <w:tblLook w:val="01E0" w:firstRow="1" w:lastRow="1" w:firstColumn="1" w:lastColumn="1" w:noHBand="0" w:noVBand="0"/>
      </w:tblPr>
      <w:tblGrid>
        <w:gridCol w:w="4039"/>
        <w:gridCol w:w="1464"/>
        <w:gridCol w:w="1296"/>
        <w:gridCol w:w="168"/>
        <w:gridCol w:w="1458"/>
        <w:gridCol w:w="1134"/>
      </w:tblGrid>
      <w:tr w:rsidR="00FA4AA8" w14:paraId="20723F5D" w14:textId="77777777">
        <w:trPr>
          <w:trHeight w:val="768"/>
        </w:trPr>
        <w:tc>
          <w:tcPr>
            <w:tcW w:w="4039" w:type="dxa"/>
          </w:tcPr>
          <w:p w14:paraId="3B88F570" w14:textId="77777777" w:rsidR="00FA4AA8" w:rsidRDefault="00FA4AA8">
            <w:pPr>
              <w:pStyle w:val="TableParagraph"/>
              <w:rPr>
                <w:b/>
                <w:sz w:val="20"/>
              </w:rPr>
            </w:pPr>
          </w:p>
          <w:p w14:paraId="103C9033" w14:textId="77777777" w:rsidR="00FA4AA8" w:rsidRDefault="00FA4AA8">
            <w:pPr>
              <w:pStyle w:val="TableParagraph"/>
              <w:spacing w:before="9"/>
              <w:rPr>
                <w:b/>
                <w:sz w:val="26"/>
              </w:rPr>
            </w:pPr>
          </w:p>
          <w:p w14:paraId="7E74A514" w14:textId="77777777" w:rsidR="00FA4AA8" w:rsidRDefault="0015611F">
            <w:pPr>
              <w:pStyle w:val="TableParagraph"/>
              <w:spacing w:before="1"/>
              <w:ind w:left="76"/>
              <w:rPr>
                <w:sz w:val="18"/>
              </w:rPr>
            </w:pPr>
            <w:r>
              <w:rPr>
                <w:sz w:val="18"/>
              </w:rPr>
              <w:t>Interest expense</w:t>
            </w:r>
          </w:p>
        </w:tc>
        <w:tc>
          <w:tcPr>
            <w:tcW w:w="1464" w:type="dxa"/>
            <w:tcBorders>
              <w:bottom w:val="single" w:sz="8" w:space="0" w:color="000000"/>
            </w:tcBorders>
          </w:tcPr>
          <w:p w14:paraId="5BEDE514" w14:textId="77777777" w:rsidR="00FA4AA8" w:rsidRDefault="0015611F">
            <w:pPr>
              <w:pStyle w:val="TableParagraph"/>
              <w:spacing w:line="201" w:lineRule="exact"/>
              <w:ind w:left="599"/>
              <w:rPr>
                <w:b/>
                <w:sz w:val="18"/>
              </w:rPr>
            </w:pPr>
            <w:r>
              <w:rPr>
                <w:b/>
                <w:sz w:val="18"/>
              </w:rPr>
              <w:t>2018</w:t>
            </w:r>
          </w:p>
          <w:p w14:paraId="507A10FF" w14:textId="77777777" w:rsidR="00FA4AA8" w:rsidRDefault="0015611F">
            <w:pPr>
              <w:pStyle w:val="TableParagraph"/>
              <w:spacing w:before="66"/>
              <w:ind w:left="578"/>
              <w:rPr>
                <w:b/>
                <w:sz w:val="18"/>
              </w:rPr>
            </w:pPr>
            <w:r>
              <w:rPr>
                <w:b/>
                <w:sz w:val="18"/>
              </w:rPr>
              <w:t>$'000</w:t>
            </w:r>
          </w:p>
          <w:p w14:paraId="75EAF394" w14:textId="77777777" w:rsidR="00FA4AA8" w:rsidRDefault="0015611F">
            <w:pPr>
              <w:pStyle w:val="TableParagraph"/>
              <w:spacing w:before="62"/>
              <w:ind w:left="923"/>
              <w:rPr>
                <w:b/>
                <w:sz w:val="18"/>
              </w:rPr>
            </w:pPr>
            <w:r>
              <w:rPr>
                <w:b/>
                <w:sz w:val="18"/>
              </w:rPr>
              <w:t>5,056</w:t>
            </w:r>
          </w:p>
        </w:tc>
        <w:tc>
          <w:tcPr>
            <w:tcW w:w="1296" w:type="dxa"/>
            <w:tcBorders>
              <w:bottom w:val="single" w:sz="8" w:space="0" w:color="000000"/>
            </w:tcBorders>
          </w:tcPr>
          <w:p w14:paraId="518F7903" w14:textId="77777777" w:rsidR="00FA4AA8" w:rsidRDefault="0015611F">
            <w:pPr>
              <w:pStyle w:val="TableParagraph"/>
              <w:spacing w:line="201" w:lineRule="exact"/>
              <w:ind w:left="431"/>
              <w:rPr>
                <w:b/>
                <w:sz w:val="18"/>
              </w:rPr>
            </w:pPr>
            <w:r>
              <w:rPr>
                <w:b/>
                <w:sz w:val="18"/>
              </w:rPr>
              <w:t>2017</w:t>
            </w:r>
          </w:p>
          <w:p w14:paraId="082258DC" w14:textId="77777777" w:rsidR="00FA4AA8" w:rsidRDefault="0015611F">
            <w:pPr>
              <w:pStyle w:val="TableParagraph"/>
              <w:spacing w:before="66"/>
              <w:ind w:left="410"/>
              <w:rPr>
                <w:b/>
                <w:sz w:val="18"/>
              </w:rPr>
            </w:pPr>
            <w:r>
              <w:rPr>
                <w:b/>
                <w:sz w:val="18"/>
              </w:rPr>
              <w:t>$'000</w:t>
            </w:r>
          </w:p>
          <w:p w14:paraId="28B7B190" w14:textId="77777777" w:rsidR="00FA4AA8" w:rsidRDefault="0015611F">
            <w:pPr>
              <w:pStyle w:val="TableParagraph"/>
              <w:spacing w:before="62"/>
              <w:ind w:left="755"/>
              <w:rPr>
                <w:sz w:val="18"/>
              </w:rPr>
            </w:pPr>
            <w:r>
              <w:rPr>
                <w:sz w:val="18"/>
              </w:rPr>
              <w:t>4,276</w:t>
            </w:r>
          </w:p>
        </w:tc>
        <w:tc>
          <w:tcPr>
            <w:tcW w:w="168" w:type="dxa"/>
            <w:tcBorders>
              <w:bottom w:val="single" w:sz="8" w:space="0" w:color="000000"/>
            </w:tcBorders>
          </w:tcPr>
          <w:p w14:paraId="2A239949" w14:textId="77777777" w:rsidR="00FA4AA8" w:rsidRDefault="00FA4AA8">
            <w:pPr>
              <w:pStyle w:val="TableParagraph"/>
              <w:rPr>
                <w:rFonts w:ascii="Times New Roman"/>
                <w:sz w:val="18"/>
              </w:rPr>
            </w:pPr>
          </w:p>
        </w:tc>
        <w:tc>
          <w:tcPr>
            <w:tcW w:w="1458" w:type="dxa"/>
            <w:tcBorders>
              <w:bottom w:val="single" w:sz="8" w:space="0" w:color="000000"/>
            </w:tcBorders>
          </w:tcPr>
          <w:p w14:paraId="32BC534C" w14:textId="77777777" w:rsidR="00FA4AA8" w:rsidRDefault="0015611F">
            <w:pPr>
              <w:pStyle w:val="TableParagraph"/>
              <w:spacing w:line="201" w:lineRule="exact"/>
              <w:ind w:left="431"/>
              <w:rPr>
                <w:b/>
                <w:sz w:val="18"/>
              </w:rPr>
            </w:pPr>
            <w:r>
              <w:rPr>
                <w:b/>
                <w:sz w:val="18"/>
              </w:rPr>
              <w:t>2018</w:t>
            </w:r>
          </w:p>
          <w:p w14:paraId="7DD452E9" w14:textId="77777777" w:rsidR="00FA4AA8" w:rsidRDefault="0015611F">
            <w:pPr>
              <w:pStyle w:val="TableParagraph"/>
              <w:spacing w:before="66"/>
              <w:ind w:left="410"/>
              <w:rPr>
                <w:b/>
                <w:sz w:val="18"/>
              </w:rPr>
            </w:pPr>
            <w:r>
              <w:rPr>
                <w:b/>
                <w:sz w:val="18"/>
              </w:rPr>
              <w:t>$'000</w:t>
            </w:r>
          </w:p>
          <w:p w14:paraId="557DBFB6" w14:textId="77777777" w:rsidR="00FA4AA8" w:rsidRDefault="0015611F">
            <w:pPr>
              <w:pStyle w:val="TableParagraph"/>
              <w:spacing w:before="62"/>
              <w:ind w:left="755"/>
              <w:rPr>
                <w:b/>
                <w:sz w:val="18"/>
              </w:rPr>
            </w:pPr>
            <w:r>
              <w:rPr>
                <w:b/>
                <w:sz w:val="18"/>
              </w:rPr>
              <w:t>5,290</w:t>
            </w:r>
          </w:p>
        </w:tc>
        <w:tc>
          <w:tcPr>
            <w:tcW w:w="1134" w:type="dxa"/>
            <w:tcBorders>
              <w:bottom w:val="single" w:sz="8" w:space="0" w:color="000000"/>
            </w:tcBorders>
          </w:tcPr>
          <w:p w14:paraId="543087C0" w14:textId="77777777" w:rsidR="00FA4AA8" w:rsidRDefault="0015611F">
            <w:pPr>
              <w:pStyle w:val="TableParagraph"/>
              <w:spacing w:line="201" w:lineRule="exact"/>
              <w:ind w:left="269"/>
              <w:rPr>
                <w:b/>
                <w:sz w:val="18"/>
              </w:rPr>
            </w:pPr>
            <w:r>
              <w:rPr>
                <w:b/>
                <w:sz w:val="18"/>
              </w:rPr>
              <w:t>2017</w:t>
            </w:r>
          </w:p>
          <w:p w14:paraId="64D4BA66" w14:textId="77777777" w:rsidR="00FA4AA8" w:rsidRDefault="0015611F">
            <w:pPr>
              <w:pStyle w:val="TableParagraph"/>
              <w:spacing w:before="66"/>
              <w:ind w:left="248"/>
              <w:rPr>
                <w:b/>
                <w:sz w:val="18"/>
              </w:rPr>
            </w:pPr>
            <w:r>
              <w:rPr>
                <w:b/>
                <w:sz w:val="18"/>
              </w:rPr>
              <w:t>$'000</w:t>
            </w:r>
          </w:p>
          <w:p w14:paraId="4FFFB93D" w14:textId="77777777" w:rsidR="00FA4AA8" w:rsidRDefault="0015611F">
            <w:pPr>
              <w:pStyle w:val="TableParagraph"/>
              <w:spacing w:before="62"/>
              <w:ind w:left="593"/>
              <w:rPr>
                <w:sz w:val="18"/>
              </w:rPr>
            </w:pPr>
            <w:r>
              <w:rPr>
                <w:sz w:val="18"/>
              </w:rPr>
              <w:t>4,476</w:t>
            </w:r>
          </w:p>
        </w:tc>
      </w:tr>
      <w:tr w:rsidR="00FA4AA8" w14:paraId="5AB02BE7" w14:textId="77777777">
        <w:trPr>
          <w:trHeight w:val="558"/>
        </w:trPr>
        <w:tc>
          <w:tcPr>
            <w:tcW w:w="4039" w:type="dxa"/>
          </w:tcPr>
          <w:p w14:paraId="59F5A355" w14:textId="77777777" w:rsidR="00FA4AA8" w:rsidRDefault="0015611F">
            <w:pPr>
              <w:pStyle w:val="TableParagraph"/>
              <w:spacing w:before="115"/>
              <w:ind w:left="76" w:right="2062"/>
              <w:rPr>
                <w:b/>
                <w:sz w:val="18"/>
              </w:rPr>
            </w:pPr>
            <w:r>
              <w:rPr>
                <w:b/>
                <w:sz w:val="18"/>
              </w:rPr>
              <w:t>Total borrowing costs expensed</w:t>
            </w:r>
          </w:p>
        </w:tc>
        <w:tc>
          <w:tcPr>
            <w:tcW w:w="1464" w:type="dxa"/>
            <w:tcBorders>
              <w:top w:val="single" w:sz="8" w:space="0" w:color="000000"/>
              <w:bottom w:val="single" w:sz="6" w:space="0" w:color="000000"/>
            </w:tcBorders>
          </w:tcPr>
          <w:p w14:paraId="3F87D7D5" w14:textId="77777777" w:rsidR="00FA4AA8" w:rsidRDefault="00FA4AA8">
            <w:pPr>
              <w:pStyle w:val="TableParagraph"/>
              <w:spacing w:before="11"/>
              <w:rPr>
                <w:b/>
                <w:sz w:val="27"/>
              </w:rPr>
            </w:pPr>
          </w:p>
          <w:p w14:paraId="596FEC0E" w14:textId="77777777" w:rsidR="00FA4AA8" w:rsidRDefault="0015611F">
            <w:pPr>
              <w:pStyle w:val="TableParagraph"/>
              <w:ind w:left="923"/>
              <w:rPr>
                <w:b/>
                <w:sz w:val="18"/>
              </w:rPr>
            </w:pPr>
            <w:r>
              <w:rPr>
                <w:b/>
                <w:sz w:val="18"/>
              </w:rPr>
              <w:t>5,056</w:t>
            </w:r>
          </w:p>
        </w:tc>
        <w:tc>
          <w:tcPr>
            <w:tcW w:w="1296" w:type="dxa"/>
            <w:tcBorders>
              <w:top w:val="single" w:sz="8" w:space="0" w:color="000000"/>
              <w:bottom w:val="single" w:sz="4" w:space="0" w:color="000000"/>
            </w:tcBorders>
          </w:tcPr>
          <w:p w14:paraId="35BFC195" w14:textId="77777777" w:rsidR="00FA4AA8" w:rsidRDefault="00FA4AA8">
            <w:pPr>
              <w:pStyle w:val="TableParagraph"/>
              <w:spacing w:before="11"/>
              <w:rPr>
                <w:b/>
                <w:sz w:val="27"/>
              </w:rPr>
            </w:pPr>
          </w:p>
          <w:p w14:paraId="18724B92" w14:textId="77777777" w:rsidR="00FA4AA8" w:rsidRDefault="0015611F">
            <w:pPr>
              <w:pStyle w:val="TableParagraph"/>
              <w:ind w:left="755"/>
              <w:rPr>
                <w:sz w:val="18"/>
              </w:rPr>
            </w:pPr>
            <w:r>
              <w:rPr>
                <w:sz w:val="18"/>
              </w:rPr>
              <w:t>4,276</w:t>
            </w:r>
          </w:p>
        </w:tc>
        <w:tc>
          <w:tcPr>
            <w:tcW w:w="168" w:type="dxa"/>
            <w:tcBorders>
              <w:top w:val="single" w:sz="8" w:space="0" w:color="000000"/>
              <w:bottom w:val="single" w:sz="6" w:space="0" w:color="000000"/>
            </w:tcBorders>
          </w:tcPr>
          <w:p w14:paraId="73C9DCBA" w14:textId="77777777" w:rsidR="00FA4AA8" w:rsidRDefault="00FA4AA8">
            <w:pPr>
              <w:pStyle w:val="TableParagraph"/>
              <w:rPr>
                <w:rFonts w:ascii="Times New Roman"/>
                <w:sz w:val="18"/>
              </w:rPr>
            </w:pPr>
          </w:p>
        </w:tc>
        <w:tc>
          <w:tcPr>
            <w:tcW w:w="1458" w:type="dxa"/>
            <w:tcBorders>
              <w:top w:val="single" w:sz="8" w:space="0" w:color="000000"/>
              <w:bottom w:val="single" w:sz="6" w:space="0" w:color="000000"/>
            </w:tcBorders>
          </w:tcPr>
          <w:p w14:paraId="2225D0B8" w14:textId="77777777" w:rsidR="00FA4AA8" w:rsidRDefault="00FA4AA8">
            <w:pPr>
              <w:pStyle w:val="TableParagraph"/>
              <w:spacing w:before="11"/>
              <w:rPr>
                <w:b/>
                <w:sz w:val="27"/>
              </w:rPr>
            </w:pPr>
          </w:p>
          <w:p w14:paraId="1FC4F425" w14:textId="77777777" w:rsidR="00FA4AA8" w:rsidRDefault="0015611F">
            <w:pPr>
              <w:pStyle w:val="TableParagraph"/>
              <w:ind w:left="755"/>
              <w:rPr>
                <w:b/>
                <w:sz w:val="18"/>
              </w:rPr>
            </w:pPr>
            <w:r>
              <w:rPr>
                <w:b/>
                <w:sz w:val="18"/>
              </w:rPr>
              <w:t>5,290</w:t>
            </w:r>
          </w:p>
        </w:tc>
        <w:tc>
          <w:tcPr>
            <w:tcW w:w="1134" w:type="dxa"/>
            <w:tcBorders>
              <w:top w:val="single" w:sz="8" w:space="0" w:color="000000"/>
              <w:bottom w:val="single" w:sz="6" w:space="0" w:color="000000"/>
            </w:tcBorders>
          </w:tcPr>
          <w:p w14:paraId="61D6E5FD" w14:textId="77777777" w:rsidR="00FA4AA8" w:rsidRDefault="00FA4AA8">
            <w:pPr>
              <w:pStyle w:val="TableParagraph"/>
              <w:spacing w:before="11"/>
              <w:rPr>
                <w:b/>
                <w:sz w:val="27"/>
              </w:rPr>
            </w:pPr>
          </w:p>
          <w:p w14:paraId="0C41FDBE" w14:textId="77777777" w:rsidR="00FA4AA8" w:rsidRDefault="0015611F">
            <w:pPr>
              <w:pStyle w:val="TableParagraph"/>
              <w:ind w:left="593"/>
              <w:rPr>
                <w:sz w:val="18"/>
              </w:rPr>
            </w:pPr>
            <w:r>
              <w:rPr>
                <w:sz w:val="18"/>
              </w:rPr>
              <w:t>4,476</w:t>
            </w:r>
          </w:p>
        </w:tc>
      </w:tr>
      <w:tr w:rsidR="00FA4AA8" w14:paraId="76ECAF79" w14:textId="77777777">
        <w:trPr>
          <w:trHeight w:val="516"/>
        </w:trPr>
        <w:tc>
          <w:tcPr>
            <w:tcW w:w="4039" w:type="dxa"/>
          </w:tcPr>
          <w:p w14:paraId="33911A81" w14:textId="77777777" w:rsidR="00FA4AA8" w:rsidRDefault="00FA4AA8">
            <w:pPr>
              <w:pStyle w:val="TableParagraph"/>
              <w:spacing w:before="10"/>
              <w:rPr>
                <w:b/>
                <w:sz w:val="26"/>
              </w:rPr>
            </w:pPr>
          </w:p>
          <w:p w14:paraId="60B29BAE" w14:textId="77777777" w:rsidR="00FA4AA8" w:rsidRDefault="0015611F">
            <w:pPr>
              <w:pStyle w:val="TableParagraph"/>
              <w:spacing w:line="187" w:lineRule="exact"/>
              <w:ind w:left="50"/>
              <w:rPr>
                <w:i/>
                <w:sz w:val="18"/>
              </w:rPr>
            </w:pPr>
            <w:bookmarkStart w:id="34" w:name="14_Impairment_of_assets_"/>
            <w:bookmarkEnd w:id="34"/>
            <w:r>
              <w:rPr>
                <w:i/>
                <w:sz w:val="18"/>
                <w:u w:val="single"/>
              </w:rPr>
              <w:t>Accounting Policy</w:t>
            </w:r>
          </w:p>
        </w:tc>
        <w:tc>
          <w:tcPr>
            <w:tcW w:w="1464" w:type="dxa"/>
            <w:tcBorders>
              <w:top w:val="single" w:sz="6" w:space="0" w:color="000000"/>
            </w:tcBorders>
          </w:tcPr>
          <w:p w14:paraId="3F0B53BA" w14:textId="77777777" w:rsidR="00FA4AA8" w:rsidRDefault="00FA4AA8">
            <w:pPr>
              <w:pStyle w:val="TableParagraph"/>
              <w:rPr>
                <w:rFonts w:ascii="Times New Roman"/>
                <w:sz w:val="18"/>
              </w:rPr>
            </w:pPr>
          </w:p>
        </w:tc>
        <w:tc>
          <w:tcPr>
            <w:tcW w:w="1296" w:type="dxa"/>
            <w:tcBorders>
              <w:top w:val="single" w:sz="4" w:space="0" w:color="000000"/>
            </w:tcBorders>
          </w:tcPr>
          <w:p w14:paraId="3097E787" w14:textId="77777777" w:rsidR="00FA4AA8" w:rsidRDefault="00FA4AA8">
            <w:pPr>
              <w:pStyle w:val="TableParagraph"/>
              <w:rPr>
                <w:rFonts w:ascii="Times New Roman"/>
                <w:sz w:val="18"/>
              </w:rPr>
            </w:pPr>
          </w:p>
        </w:tc>
        <w:tc>
          <w:tcPr>
            <w:tcW w:w="168" w:type="dxa"/>
            <w:tcBorders>
              <w:top w:val="single" w:sz="6" w:space="0" w:color="000000"/>
            </w:tcBorders>
          </w:tcPr>
          <w:p w14:paraId="4E9A0188" w14:textId="77777777" w:rsidR="00FA4AA8" w:rsidRDefault="00FA4AA8">
            <w:pPr>
              <w:pStyle w:val="TableParagraph"/>
              <w:rPr>
                <w:rFonts w:ascii="Times New Roman"/>
                <w:sz w:val="18"/>
              </w:rPr>
            </w:pPr>
          </w:p>
        </w:tc>
        <w:tc>
          <w:tcPr>
            <w:tcW w:w="1458" w:type="dxa"/>
            <w:tcBorders>
              <w:top w:val="single" w:sz="6" w:space="0" w:color="000000"/>
            </w:tcBorders>
          </w:tcPr>
          <w:p w14:paraId="05398FEF" w14:textId="77777777" w:rsidR="00FA4AA8" w:rsidRDefault="00FA4AA8">
            <w:pPr>
              <w:pStyle w:val="TableParagraph"/>
              <w:rPr>
                <w:rFonts w:ascii="Times New Roman"/>
                <w:sz w:val="18"/>
              </w:rPr>
            </w:pPr>
          </w:p>
        </w:tc>
        <w:tc>
          <w:tcPr>
            <w:tcW w:w="1134" w:type="dxa"/>
            <w:tcBorders>
              <w:top w:val="single" w:sz="6" w:space="0" w:color="000000"/>
            </w:tcBorders>
          </w:tcPr>
          <w:p w14:paraId="0C5368EB" w14:textId="77777777" w:rsidR="00FA4AA8" w:rsidRDefault="00FA4AA8">
            <w:pPr>
              <w:pStyle w:val="TableParagraph"/>
              <w:rPr>
                <w:rFonts w:ascii="Times New Roman"/>
                <w:sz w:val="18"/>
              </w:rPr>
            </w:pPr>
          </w:p>
        </w:tc>
      </w:tr>
    </w:tbl>
    <w:p w14:paraId="7114A652" w14:textId="77777777" w:rsidR="00FA4AA8" w:rsidRDefault="00FA4AA8">
      <w:pPr>
        <w:pStyle w:val="BodyText"/>
        <w:spacing w:before="3"/>
        <w:rPr>
          <w:b/>
          <w:sz w:val="17"/>
        </w:rPr>
      </w:pPr>
    </w:p>
    <w:p w14:paraId="403D9140" w14:textId="77777777" w:rsidR="00FA4AA8" w:rsidRDefault="007E2441">
      <w:pPr>
        <w:pStyle w:val="BodyText"/>
        <w:spacing w:before="94" w:line="573" w:lineRule="auto"/>
        <w:ind w:left="564" w:right="3632"/>
      </w:pPr>
      <w:r>
        <w:rPr>
          <w:noProof/>
          <w:lang w:val="en-AU" w:eastAsia="en-AU"/>
        </w:rPr>
        <mc:AlternateContent>
          <mc:Choice Requires="wpg">
            <w:drawing>
              <wp:anchor distT="0" distB="0" distL="114300" distR="114300" simplePos="0" relativeHeight="462728704" behindDoc="1" locked="0" layoutInCell="1" allowOverlap="1" wp14:anchorId="4F051C4A" wp14:editId="121B2B43">
                <wp:simplePos x="0" y="0"/>
                <wp:positionH relativeFrom="page">
                  <wp:posOffset>3424555</wp:posOffset>
                </wp:positionH>
                <wp:positionV relativeFrom="paragraph">
                  <wp:posOffset>-484505</wp:posOffset>
                </wp:positionV>
                <wp:extent cx="2383155" cy="18415"/>
                <wp:effectExtent l="0" t="0" r="0" b="0"/>
                <wp:wrapNone/>
                <wp:docPr id="3028" name="Group 2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3155" cy="18415"/>
                          <a:chOff x="5393" y="-763"/>
                          <a:chExt cx="5520" cy="44"/>
                        </a:xfrm>
                      </wpg:grpSpPr>
                      <wps:wsp>
                        <wps:cNvPr id="3029" name="Line 2834"/>
                        <wps:cNvCnPr>
                          <a:cxnSpLocks noChangeShapeType="1"/>
                        </wps:cNvCnPr>
                        <wps:spPr bwMode="auto">
                          <a:xfrm>
                            <a:off x="5393" y="-762"/>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030" name="Line 2833"/>
                        <wps:cNvCnPr>
                          <a:cxnSpLocks noChangeShapeType="1"/>
                        </wps:cNvCnPr>
                        <wps:spPr bwMode="auto">
                          <a:xfrm>
                            <a:off x="5393" y="-760"/>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031" name="Line 2832"/>
                        <wps:cNvCnPr>
                          <a:cxnSpLocks noChangeShapeType="1"/>
                        </wps:cNvCnPr>
                        <wps:spPr bwMode="auto">
                          <a:xfrm>
                            <a:off x="5393" y="-757"/>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032" name="Line 2831"/>
                        <wps:cNvCnPr>
                          <a:cxnSpLocks noChangeShapeType="1"/>
                        </wps:cNvCnPr>
                        <wps:spPr bwMode="auto">
                          <a:xfrm>
                            <a:off x="5393" y="-755"/>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033" name="Line 2830"/>
                        <wps:cNvCnPr>
                          <a:cxnSpLocks noChangeShapeType="1"/>
                        </wps:cNvCnPr>
                        <wps:spPr bwMode="auto">
                          <a:xfrm>
                            <a:off x="5393" y="-752"/>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034" name="Line 2829"/>
                        <wps:cNvCnPr>
                          <a:cxnSpLocks noChangeShapeType="1"/>
                        </wps:cNvCnPr>
                        <wps:spPr bwMode="auto">
                          <a:xfrm>
                            <a:off x="5393" y="-750"/>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035" name="Line 2828"/>
                        <wps:cNvCnPr>
                          <a:cxnSpLocks noChangeShapeType="1"/>
                        </wps:cNvCnPr>
                        <wps:spPr bwMode="auto">
                          <a:xfrm>
                            <a:off x="5393" y="-728"/>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036" name="Line 2827"/>
                        <wps:cNvCnPr>
                          <a:cxnSpLocks noChangeShapeType="1"/>
                        </wps:cNvCnPr>
                        <wps:spPr bwMode="auto">
                          <a:xfrm>
                            <a:off x="5393" y="-726"/>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037" name="Line 2826"/>
                        <wps:cNvCnPr>
                          <a:cxnSpLocks noChangeShapeType="1"/>
                        </wps:cNvCnPr>
                        <wps:spPr bwMode="auto">
                          <a:xfrm>
                            <a:off x="5393" y="-724"/>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038" name="Line 2825"/>
                        <wps:cNvCnPr>
                          <a:cxnSpLocks noChangeShapeType="1"/>
                        </wps:cNvCnPr>
                        <wps:spPr bwMode="auto">
                          <a:xfrm>
                            <a:off x="5393" y="-721"/>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039" name="Line 2824"/>
                        <wps:cNvCnPr>
                          <a:cxnSpLocks noChangeShapeType="1"/>
                        </wps:cNvCnPr>
                        <wps:spPr bwMode="auto">
                          <a:xfrm>
                            <a:off x="5561" y="-762"/>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040" name="Line 2823"/>
                        <wps:cNvCnPr>
                          <a:cxnSpLocks noChangeShapeType="1"/>
                        </wps:cNvCnPr>
                        <wps:spPr bwMode="auto">
                          <a:xfrm>
                            <a:off x="5561" y="-76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041" name="Line 2822"/>
                        <wps:cNvCnPr>
                          <a:cxnSpLocks noChangeShapeType="1"/>
                        </wps:cNvCnPr>
                        <wps:spPr bwMode="auto">
                          <a:xfrm>
                            <a:off x="5561" y="-757"/>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042" name="Line 2821"/>
                        <wps:cNvCnPr>
                          <a:cxnSpLocks noChangeShapeType="1"/>
                        </wps:cNvCnPr>
                        <wps:spPr bwMode="auto">
                          <a:xfrm>
                            <a:off x="5561" y="-75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043" name="Line 2820"/>
                        <wps:cNvCnPr>
                          <a:cxnSpLocks noChangeShapeType="1"/>
                        </wps:cNvCnPr>
                        <wps:spPr bwMode="auto">
                          <a:xfrm>
                            <a:off x="5561" y="-752"/>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044" name="Line 2819"/>
                        <wps:cNvCnPr>
                          <a:cxnSpLocks noChangeShapeType="1"/>
                        </wps:cNvCnPr>
                        <wps:spPr bwMode="auto">
                          <a:xfrm>
                            <a:off x="5561" y="-75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045" name="Line 2818"/>
                        <wps:cNvCnPr>
                          <a:cxnSpLocks noChangeShapeType="1"/>
                        </wps:cNvCnPr>
                        <wps:spPr bwMode="auto">
                          <a:xfrm>
                            <a:off x="6857" y="-762"/>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046" name="Line 2817"/>
                        <wps:cNvCnPr>
                          <a:cxnSpLocks noChangeShapeType="1"/>
                        </wps:cNvCnPr>
                        <wps:spPr bwMode="auto">
                          <a:xfrm>
                            <a:off x="6857" y="-76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047" name="Line 2816"/>
                        <wps:cNvCnPr>
                          <a:cxnSpLocks noChangeShapeType="1"/>
                        </wps:cNvCnPr>
                        <wps:spPr bwMode="auto">
                          <a:xfrm>
                            <a:off x="6857" y="-757"/>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048" name="Line 2815"/>
                        <wps:cNvCnPr>
                          <a:cxnSpLocks noChangeShapeType="1"/>
                        </wps:cNvCnPr>
                        <wps:spPr bwMode="auto">
                          <a:xfrm>
                            <a:off x="6857" y="-75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049" name="Line 2814"/>
                        <wps:cNvCnPr>
                          <a:cxnSpLocks noChangeShapeType="1"/>
                        </wps:cNvCnPr>
                        <wps:spPr bwMode="auto">
                          <a:xfrm>
                            <a:off x="6857" y="-752"/>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050" name="Line 2813"/>
                        <wps:cNvCnPr>
                          <a:cxnSpLocks noChangeShapeType="1"/>
                        </wps:cNvCnPr>
                        <wps:spPr bwMode="auto">
                          <a:xfrm>
                            <a:off x="6857" y="-75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051" name="Line 2812"/>
                        <wps:cNvCnPr>
                          <a:cxnSpLocks noChangeShapeType="1"/>
                        </wps:cNvCnPr>
                        <wps:spPr bwMode="auto">
                          <a:xfrm>
                            <a:off x="8153" y="-762"/>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052" name="Line 2811"/>
                        <wps:cNvCnPr>
                          <a:cxnSpLocks noChangeShapeType="1"/>
                        </wps:cNvCnPr>
                        <wps:spPr bwMode="auto">
                          <a:xfrm>
                            <a:off x="8153" y="-760"/>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053" name="Line 2810"/>
                        <wps:cNvCnPr>
                          <a:cxnSpLocks noChangeShapeType="1"/>
                        </wps:cNvCnPr>
                        <wps:spPr bwMode="auto">
                          <a:xfrm>
                            <a:off x="8153" y="-757"/>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054" name="Line 2809"/>
                        <wps:cNvCnPr>
                          <a:cxnSpLocks noChangeShapeType="1"/>
                        </wps:cNvCnPr>
                        <wps:spPr bwMode="auto">
                          <a:xfrm>
                            <a:off x="8153" y="-755"/>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055" name="Line 2808"/>
                        <wps:cNvCnPr>
                          <a:cxnSpLocks noChangeShapeType="1"/>
                        </wps:cNvCnPr>
                        <wps:spPr bwMode="auto">
                          <a:xfrm>
                            <a:off x="8153" y="-752"/>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056" name="Line 2807"/>
                        <wps:cNvCnPr>
                          <a:cxnSpLocks noChangeShapeType="1"/>
                        </wps:cNvCnPr>
                        <wps:spPr bwMode="auto">
                          <a:xfrm>
                            <a:off x="8153" y="-750"/>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057" name="Line 2806"/>
                        <wps:cNvCnPr>
                          <a:cxnSpLocks noChangeShapeType="1"/>
                        </wps:cNvCnPr>
                        <wps:spPr bwMode="auto">
                          <a:xfrm>
                            <a:off x="8321" y="-762"/>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058" name="Line 2805"/>
                        <wps:cNvCnPr>
                          <a:cxnSpLocks noChangeShapeType="1"/>
                        </wps:cNvCnPr>
                        <wps:spPr bwMode="auto">
                          <a:xfrm>
                            <a:off x="8321" y="-76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059" name="Line 2804"/>
                        <wps:cNvCnPr>
                          <a:cxnSpLocks noChangeShapeType="1"/>
                        </wps:cNvCnPr>
                        <wps:spPr bwMode="auto">
                          <a:xfrm>
                            <a:off x="8321" y="-757"/>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060" name="Line 2803"/>
                        <wps:cNvCnPr>
                          <a:cxnSpLocks noChangeShapeType="1"/>
                        </wps:cNvCnPr>
                        <wps:spPr bwMode="auto">
                          <a:xfrm>
                            <a:off x="8321" y="-75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061" name="Line 2802"/>
                        <wps:cNvCnPr>
                          <a:cxnSpLocks noChangeShapeType="1"/>
                        </wps:cNvCnPr>
                        <wps:spPr bwMode="auto">
                          <a:xfrm>
                            <a:off x="8321" y="-752"/>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062" name="Line 2801"/>
                        <wps:cNvCnPr>
                          <a:cxnSpLocks noChangeShapeType="1"/>
                        </wps:cNvCnPr>
                        <wps:spPr bwMode="auto">
                          <a:xfrm>
                            <a:off x="8321" y="-75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063" name="Line 2800"/>
                        <wps:cNvCnPr>
                          <a:cxnSpLocks noChangeShapeType="1"/>
                        </wps:cNvCnPr>
                        <wps:spPr bwMode="auto">
                          <a:xfrm>
                            <a:off x="9617" y="-762"/>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064" name="Line 2799"/>
                        <wps:cNvCnPr>
                          <a:cxnSpLocks noChangeShapeType="1"/>
                        </wps:cNvCnPr>
                        <wps:spPr bwMode="auto">
                          <a:xfrm>
                            <a:off x="9617" y="-76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065" name="Line 2798"/>
                        <wps:cNvCnPr>
                          <a:cxnSpLocks noChangeShapeType="1"/>
                        </wps:cNvCnPr>
                        <wps:spPr bwMode="auto">
                          <a:xfrm>
                            <a:off x="9617" y="-757"/>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066" name="Line 2797"/>
                        <wps:cNvCnPr>
                          <a:cxnSpLocks noChangeShapeType="1"/>
                        </wps:cNvCnPr>
                        <wps:spPr bwMode="auto">
                          <a:xfrm>
                            <a:off x="9617" y="-75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067" name="Line 2796"/>
                        <wps:cNvCnPr>
                          <a:cxnSpLocks noChangeShapeType="1"/>
                        </wps:cNvCnPr>
                        <wps:spPr bwMode="auto">
                          <a:xfrm>
                            <a:off x="9617" y="-752"/>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068" name="Line 2795"/>
                        <wps:cNvCnPr>
                          <a:cxnSpLocks noChangeShapeType="1"/>
                        </wps:cNvCnPr>
                        <wps:spPr bwMode="auto">
                          <a:xfrm>
                            <a:off x="9617" y="-75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53C33C" id="Group 2794" o:spid="_x0000_s1026" style="position:absolute;margin-left:269.65pt;margin-top:-38.15pt;width:187.65pt;height:1.45pt;z-index:-40587776;mso-position-horizontal-relative:page" coordorigin="5393,-763" coordsize="55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">
                <v:line id="Line 2834" o:spid="_x0000_s1027" style="position:absolute;visibility:visible;mso-wrap-style:square" from="5393,-762" to="5561,-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" strokeweight=".12pt"/>
                <v:line id="Line 2833" o:spid="_x0000_s1028" style="position:absolute;visibility:visible;mso-wrap-style:square" from="5393,-760" to="556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" strokeweight=".12pt"/>
                <v:line id="Line 2832" o:spid="_x0000_s1029" style="position:absolute;visibility:visible;mso-wrap-style:square" from="5393,-757" to="5561,-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" strokeweight=".12pt"/>
                <v:line id="Line 2831" o:spid="_x0000_s1030" style="position:absolute;visibility:visible;mso-wrap-style:square" from="5393,-755" to="5561,-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" strokeweight=".12pt"/>
                <v:line id="Line 2830" o:spid="_x0000_s1031" style="position:absolute;visibility:visible;mso-wrap-style:square" from="5393,-752" to="556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" strokeweight=".12pt"/>
                <v:line id="Line 2829" o:spid="_x0000_s1032" style="position:absolute;visibility:visible;mso-wrap-style:square" from="5393,-750" to="5561,-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" strokeweight=".12pt"/>
                <v:line id="Line 2828" o:spid="_x0000_s1033" style="position:absolute;visibility:visible;mso-wrap-style:square" from="5393,-728" to="5561,-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" strokeweight=".12pt"/>
                <v:line id="Line 2827" o:spid="_x0000_s1034" style="position:absolute;visibility:visible;mso-wrap-style:square" from="5393,-726" to="5561,-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" strokeweight=".12pt"/>
                <v:line id="Line 2826" o:spid="_x0000_s1035" style="position:absolute;visibility:visible;mso-wrap-style:square" from="5393,-724" to="5561,-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" strokeweight=".12pt"/>
                <v:line id="Line 2825" o:spid="_x0000_s1036" style="position:absolute;visibility:visible;mso-wrap-style:square" from="5393,-721" to="5561,-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" strokeweight=".12pt"/>
                <v:line id="Line 2824" o:spid="_x0000_s1037" style="position:absolute;visibility:visible;mso-wrap-style:square" from="5561,-762" to="685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" strokeweight=".12pt"/>
                <v:line id="Line 2823" o:spid="_x0000_s1038" style="position:absolute;visibility:visible;mso-wrap-style:square" from="5561,-760" to="685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" strokeweight=".12pt"/>
                <v:line id="Line 2822" o:spid="_x0000_s1039" style="position:absolute;visibility:visible;mso-wrap-style:square" from="5561,-757" to="6857,-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" strokeweight=".12pt"/>
                <v:line id="Line 2821" o:spid="_x0000_s1040" style="position:absolute;visibility:visible;mso-wrap-style:square" from="5561,-755" to="6857,-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" strokeweight=".12pt"/>
                <v:line id="Line 2820" o:spid="_x0000_s1041" style="position:absolute;visibility:visible;mso-wrap-style:square" from="5561,-752" to="6857,-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" strokeweight=".12pt"/>
                <v:line id="Line 2819" o:spid="_x0000_s1042" style="position:absolute;visibility:visible;mso-wrap-style:square" from="5561,-750" to="6857,-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" strokeweight=".12pt"/>
                <v:line id="Line 2818" o:spid="_x0000_s1043" style="position:absolute;visibility:visible;mso-wrap-style:square" from="6857,-762" to="8153,-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" strokeweight=".12pt"/>
                <v:line id="Line 2817" o:spid="_x0000_s1044" style="position:absolute;visibility:visible;mso-wrap-style:square" from="6857,-760" to="8153,-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" strokeweight=".12pt"/>
                <v:line id="Line 2816" o:spid="_x0000_s1045" style="position:absolute;visibility:visible;mso-wrap-style:square" from="6857,-757" to="8153,-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" strokeweight=".12pt"/>
                <v:line id="Line 2815" o:spid="_x0000_s1046" style="position:absolute;visibility:visible;mso-wrap-style:square" from="6857,-755" to="8153,-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" strokeweight=".12pt"/>
                <v:line id="Line 2814" o:spid="_x0000_s1047" style="position:absolute;visibility:visible;mso-wrap-style:square" from="6857,-752" to="8153,-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" strokeweight=".12pt"/>
                <v:line id="Line 2813" o:spid="_x0000_s1048" style="position:absolute;visibility:visible;mso-wrap-style:square" from="6857,-750" to="8153,-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" strokeweight=".12pt"/>
                <v:line id="Line 2812" o:spid="_x0000_s1049" style="position:absolute;visibility:visible;mso-wrap-style:square" from="8153,-762" to="8321,-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" strokeweight=".12pt"/>
                <v:line id="Line 2811" o:spid="_x0000_s1050" style="position:absolute;visibility:visible;mso-wrap-style:square" from="8153,-760" to="832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" strokeweight=".12pt"/>
                <v:line id="Line 2810" o:spid="_x0000_s1051" style="position:absolute;visibility:visible;mso-wrap-style:square" from="8153,-757" to="8321,-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" strokeweight=".12pt"/>
                <v:line id="Line 2809" o:spid="_x0000_s1052" style="position:absolute;visibility:visible;mso-wrap-style:square" from="8153,-755" to="8321,-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" strokeweight=".12pt"/>
                <v:line id="Line 2808" o:spid="_x0000_s1053" style="position:absolute;visibility:visible;mso-wrap-style:square" from="8153,-752" to="832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" strokeweight=".12pt"/>
                <v:line id="Line 2807" o:spid="_x0000_s1054" style="position:absolute;visibility:visible;mso-wrap-style:square" from="8153,-750" to="8321,-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" strokeweight=".12pt"/>
                <v:line id="Line 2806" o:spid="_x0000_s1055" style="position:absolute;visibility:visible;mso-wrap-style:square" from="8321,-762" to="961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" strokeweight=".12pt"/>
                <v:line id="Line 2805" o:spid="_x0000_s1056" style="position:absolute;visibility:visible;mso-wrap-style:square" from="8321,-760" to="961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" strokeweight=".12pt"/>
                <v:line id="Line 2804" o:spid="_x0000_s1057" style="position:absolute;visibility:visible;mso-wrap-style:square" from="8321,-757" to="9617,-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" strokeweight=".12pt"/>
                <v:line id="Line 2803" o:spid="_x0000_s1058" style="position:absolute;visibility:visible;mso-wrap-style:square" from="8321,-755" to="9617,-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" strokeweight=".12pt"/>
                <v:line id="Line 2802" o:spid="_x0000_s1059" style="position:absolute;visibility:visible;mso-wrap-style:square" from="8321,-752" to="9617,-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" strokeweight=".12pt"/>
                <v:line id="Line 2801" o:spid="_x0000_s1060" style="position:absolute;visibility:visible;mso-wrap-style:square" from="8321,-750" to="9617,-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" strokeweight=".12pt"/>
                <v:line id="Line 2800" o:spid="_x0000_s1061" style="position:absolute;visibility:visible;mso-wrap-style:square" from="9617,-762" to="10913,-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" strokeweight=".12pt"/>
                <v:line id="Line 2799" o:spid="_x0000_s1062" style="position:absolute;visibility:visible;mso-wrap-style:square" from="9617,-760" to="10913,-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" strokeweight=".12pt"/>
                <v:line id="Line 2798" o:spid="_x0000_s1063" style="position:absolute;visibility:visible;mso-wrap-style:square" from="9617,-757" to="10913,-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" strokeweight=".12pt"/>
                <v:line id="Line 2797" o:spid="_x0000_s1064" style="position:absolute;visibility:visible;mso-wrap-style:square" from="9617,-755" to="10913,-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" strokeweight=".12pt"/>
                <v:line id="Line 2796" o:spid="_x0000_s1065" style="position:absolute;visibility:visible;mso-wrap-style:square" from="9617,-752" to="10913,-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" strokeweight=".12pt"/>
                <v:line id="Line 2795" o:spid="_x0000_s1066" style="position:absolute;visibility:visible;mso-wrap-style:square" from="9617,-750" to="10913,-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" strokeweight=".12pt"/>
                <w10:wrap anchorx="page"/>
              </v:group>
            </w:pict>
          </mc:Fallback>
        </mc:AlternateContent>
      </w:r>
      <w:r w:rsidR="0015611F">
        <w:t>Borrowing costs are expensed in the period in which they are incurred. Refer to note 24 for policies on borrowings.</w:t>
      </w:r>
    </w:p>
    <w:p w14:paraId="14FA08AA" w14:textId="77777777" w:rsidR="00FA4AA8" w:rsidRDefault="0015611F">
      <w:pPr>
        <w:numPr>
          <w:ilvl w:val="0"/>
          <w:numId w:val="105"/>
        </w:numPr>
        <w:tabs>
          <w:tab w:val="left" w:pos="564"/>
        </w:tabs>
        <w:spacing w:line="207" w:lineRule="exact"/>
        <w:ind w:hanging="397"/>
        <w:rPr>
          <w:b/>
          <w:sz w:val="18"/>
        </w:rPr>
      </w:pPr>
      <w:r>
        <w:rPr>
          <w:b/>
          <w:sz w:val="18"/>
        </w:rPr>
        <w:t>Impairment of assets</w:t>
      </w:r>
    </w:p>
    <w:p w14:paraId="572B0F03" w14:textId="77777777" w:rsidR="00FA4AA8" w:rsidRDefault="0015611F">
      <w:pPr>
        <w:tabs>
          <w:tab w:val="left" w:pos="8426"/>
        </w:tabs>
        <w:spacing w:before="33"/>
        <w:ind w:left="5376"/>
        <w:rPr>
          <w:b/>
          <w:sz w:val="18"/>
        </w:rPr>
      </w:pPr>
      <w:r>
        <w:rPr>
          <w:b/>
          <w:sz w:val="18"/>
        </w:rPr>
        <w:t>Consolidated</w:t>
      </w:r>
      <w:r>
        <w:rPr>
          <w:b/>
          <w:sz w:val="18"/>
        </w:rPr>
        <w:tab/>
        <w:t>Parent</w:t>
      </w:r>
    </w:p>
    <w:p w14:paraId="29EBDB34" w14:textId="77777777" w:rsidR="00FA4AA8" w:rsidRDefault="00FA4AA8">
      <w:pPr>
        <w:pStyle w:val="BodyText"/>
        <w:spacing w:before="3"/>
        <w:rPr>
          <w:b/>
          <w:sz w:val="6"/>
        </w:rPr>
      </w:pPr>
    </w:p>
    <w:tbl>
      <w:tblPr>
        <w:tblW w:w="0" w:type="auto"/>
        <w:tblInd w:w="547" w:type="dxa"/>
        <w:tblLayout w:type="fixed"/>
        <w:tblCellMar>
          <w:left w:w="0" w:type="dxa"/>
          <w:right w:w="0" w:type="dxa"/>
        </w:tblCellMar>
        <w:tblLook w:val="01E0" w:firstRow="1" w:lastRow="1" w:firstColumn="1" w:lastColumn="1" w:noHBand="0" w:noVBand="0"/>
      </w:tblPr>
      <w:tblGrid>
        <w:gridCol w:w="2913"/>
        <w:gridCol w:w="1099"/>
        <w:gridCol w:w="1656"/>
        <w:gridCol w:w="1380"/>
        <w:gridCol w:w="1350"/>
        <w:gridCol w:w="1134"/>
      </w:tblGrid>
      <w:tr w:rsidR="00FA4AA8" w14:paraId="59CB3DF0" w14:textId="77777777">
        <w:trPr>
          <w:trHeight w:val="237"/>
        </w:trPr>
        <w:tc>
          <w:tcPr>
            <w:tcW w:w="2913" w:type="dxa"/>
            <w:vMerge w:val="restart"/>
          </w:tcPr>
          <w:p w14:paraId="5845300F" w14:textId="77777777" w:rsidR="00FA4AA8" w:rsidRDefault="00FA4AA8">
            <w:pPr>
              <w:pStyle w:val="TableParagraph"/>
              <w:rPr>
                <w:rFonts w:ascii="Times New Roman"/>
                <w:sz w:val="18"/>
              </w:rPr>
            </w:pPr>
          </w:p>
        </w:tc>
        <w:tc>
          <w:tcPr>
            <w:tcW w:w="1099" w:type="dxa"/>
          </w:tcPr>
          <w:p w14:paraId="715184F1" w14:textId="77777777" w:rsidR="00FA4AA8" w:rsidRDefault="00FA4AA8">
            <w:pPr>
              <w:pStyle w:val="TableParagraph"/>
              <w:rPr>
                <w:rFonts w:ascii="Times New Roman"/>
                <w:sz w:val="16"/>
              </w:rPr>
            </w:pPr>
          </w:p>
        </w:tc>
        <w:tc>
          <w:tcPr>
            <w:tcW w:w="1656" w:type="dxa"/>
          </w:tcPr>
          <w:p w14:paraId="5F65F50E" w14:textId="77777777" w:rsidR="00FA4AA8" w:rsidRDefault="0015611F">
            <w:pPr>
              <w:pStyle w:val="TableParagraph"/>
              <w:spacing w:line="201" w:lineRule="exact"/>
              <w:ind w:left="600"/>
              <w:rPr>
                <w:b/>
                <w:sz w:val="18"/>
              </w:rPr>
            </w:pPr>
            <w:r>
              <w:rPr>
                <w:b/>
                <w:sz w:val="18"/>
              </w:rPr>
              <w:t>2018</w:t>
            </w:r>
          </w:p>
        </w:tc>
        <w:tc>
          <w:tcPr>
            <w:tcW w:w="1380" w:type="dxa"/>
          </w:tcPr>
          <w:p w14:paraId="6576FC51" w14:textId="77777777" w:rsidR="00FA4AA8" w:rsidRDefault="0015611F">
            <w:pPr>
              <w:pStyle w:val="TableParagraph"/>
              <w:spacing w:line="201" w:lineRule="exact"/>
              <w:ind w:left="240"/>
              <w:rPr>
                <w:b/>
                <w:sz w:val="18"/>
              </w:rPr>
            </w:pPr>
            <w:r>
              <w:rPr>
                <w:b/>
                <w:sz w:val="18"/>
              </w:rPr>
              <w:t>2017</w:t>
            </w:r>
          </w:p>
        </w:tc>
        <w:tc>
          <w:tcPr>
            <w:tcW w:w="1350" w:type="dxa"/>
          </w:tcPr>
          <w:p w14:paraId="20BA8E4A" w14:textId="77777777" w:rsidR="00FA4AA8" w:rsidRDefault="0015611F">
            <w:pPr>
              <w:pStyle w:val="TableParagraph"/>
              <w:spacing w:line="201" w:lineRule="exact"/>
              <w:ind w:left="324"/>
              <w:rPr>
                <w:b/>
                <w:sz w:val="18"/>
              </w:rPr>
            </w:pPr>
            <w:r>
              <w:rPr>
                <w:b/>
                <w:sz w:val="18"/>
              </w:rPr>
              <w:t>2018</w:t>
            </w:r>
          </w:p>
        </w:tc>
        <w:tc>
          <w:tcPr>
            <w:tcW w:w="1134" w:type="dxa"/>
          </w:tcPr>
          <w:p w14:paraId="2FF15EB6" w14:textId="77777777" w:rsidR="00FA4AA8" w:rsidRDefault="0015611F">
            <w:pPr>
              <w:pStyle w:val="TableParagraph"/>
              <w:spacing w:line="201" w:lineRule="exact"/>
              <w:ind w:left="270"/>
              <w:rPr>
                <w:b/>
                <w:sz w:val="18"/>
              </w:rPr>
            </w:pPr>
            <w:r>
              <w:rPr>
                <w:b/>
                <w:sz w:val="18"/>
              </w:rPr>
              <w:t>2017</w:t>
            </w:r>
          </w:p>
        </w:tc>
      </w:tr>
      <w:tr w:rsidR="00FA4AA8" w14:paraId="4A263EBB" w14:textId="77777777">
        <w:trPr>
          <w:trHeight w:val="270"/>
        </w:trPr>
        <w:tc>
          <w:tcPr>
            <w:tcW w:w="2913" w:type="dxa"/>
            <w:vMerge/>
            <w:tcBorders>
              <w:top w:val="nil"/>
            </w:tcBorders>
          </w:tcPr>
          <w:p w14:paraId="65140783" w14:textId="77777777" w:rsidR="00FA4AA8" w:rsidRDefault="00FA4AA8">
            <w:pPr>
              <w:rPr>
                <w:sz w:val="2"/>
                <w:szCs w:val="2"/>
              </w:rPr>
            </w:pPr>
          </w:p>
        </w:tc>
        <w:tc>
          <w:tcPr>
            <w:tcW w:w="1099" w:type="dxa"/>
          </w:tcPr>
          <w:p w14:paraId="4C7118F0" w14:textId="77777777" w:rsidR="00FA4AA8" w:rsidRDefault="0015611F">
            <w:pPr>
              <w:pStyle w:val="TableParagraph"/>
              <w:spacing w:before="30"/>
              <w:ind w:right="113"/>
              <w:jc w:val="right"/>
              <w:rPr>
                <w:b/>
                <w:sz w:val="18"/>
              </w:rPr>
            </w:pPr>
            <w:r>
              <w:rPr>
                <w:b/>
                <w:sz w:val="18"/>
              </w:rPr>
              <w:t>Note</w:t>
            </w:r>
          </w:p>
        </w:tc>
        <w:tc>
          <w:tcPr>
            <w:tcW w:w="1656" w:type="dxa"/>
          </w:tcPr>
          <w:p w14:paraId="29D67BB1" w14:textId="77777777" w:rsidR="00FA4AA8" w:rsidRDefault="0015611F">
            <w:pPr>
              <w:pStyle w:val="TableParagraph"/>
              <w:spacing w:before="30"/>
              <w:ind w:left="578"/>
              <w:rPr>
                <w:b/>
                <w:sz w:val="18"/>
              </w:rPr>
            </w:pPr>
            <w:r>
              <w:rPr>
                <w:b/>
                <w:sz w:val="18"/>
              </w:rPr>
              <w:t>$'000</w:t>
            </w:r>
          </w:p>
        </w:tc>
        <w:tc>
          <w:tcPr>
            <w:tcW w:w="1380" w:type="dxa"/>
          </w:tcPr>
          <w:p w14:paraId="2453FA3D" w14:textId="77777777" w:rsidR="00FA4AA8" w:rsidRDefault="0015611F">
            <w:pPr>
              <w:pStyle w:val="TableParagraph"/>
              <w:spacing w:before="30"/>
              <w:ind w:left="218"/>
              <w:rPr>
                <w:b/>
                <w:sz w:val="18"/>
              </w:rPr>
            </w:pPr>
            <w:r>
              <w:rPr>
                <w:b/>
                <w:sz w:val="18"/>
              </w:rPr>
              <w:t>$'000</w:t>
            </w:r>
          </w:p>
        </w:tc>
        <w:tc>
          <w:tcPr>
            <w:tcW w:w="1350" w:type="dxa"/>
          </w:tcPr>
          <w:p w14:paraId="44B3ADD5" w14:textId="77777777" w:rsidR="00FA4AA8" w:rsidRDefault="0015611F">
            <w:pPr>
              <w:pStyle w:val="TableParagraph"/>
              <w:spacing w:before="30"/>
              <w:ind w:left="302"/>
              <w:rPr>
                <w:b/>
                <w:sz w:val="18"/>
              </w:rPr>
            </w:pPr>
            <w:r>
              <w:rPr>
                <w:b/>
                <w:sz w:val="18"/>
              </w:rPr>
              <w:t>$'000</w:t>
            </w:r>
          </w:p>
        </w:tc>
        <w:tc>
          <w:tcPr>
            <w:tcW w:w="1134" w:type="dxa"/>
          </w:tcPr>
          <w:p w14:paraId="3C209CA5" w14:textId="77777777" w:rsidR="00FA4AA8" w:rsidRDefault="0015611F">
            <w:pPr>
              <w:pStyle w:val="TableParagraph"/>
              <w:spacing w:before="30"/>
              <w:ind w:left="248"/>
              <w:rPr>
                <w:b/>
                <w:sz w:val="18"/>
              </w:rPr>
            </w:pPr>
            <w:r>
              <w:rPr>
                <w:b/>
                <w:sz w:val="18"/>
              </w:rPr>
              <w:t>$'000</w:t>
            </w:r>
          </w:p>
        </w:tc>
      </w:tr>
      <w:tr w:rsidR="00FA4AA8" w14:paraId="7C2D15C7" w14:textId="77777777">
        <w:trPr>
          <w:trHeight w:val="268"/>
        </w:trPr>
        <w:tc>
          <w:tcPr>
            <w:tcW w:w="2913" w:type="dxa"/>
          </w:tcPr>
          <w:p w14:paraId="38416F24" w14:textId="77777777" w:rsidR="00FA4AA8" w:rsidRDefault="0015611F">
            <w:pPr>
              <w:pStyle w:val="TableParagraph"/>
              <w:spacing w:before="31"/>
              <w:ind w:left="50"/>
              <w:rPr>
                <w:sz w:val="18"/>
              </w:rPr>
            </w:pPr>
            <w:r>
              <w:rPr>
                <w:sz w:val="18"/>
              </w:rPr>
              <w:t>Bad debts</w:t>
            </w:r>
          </w:p>
        </w:tc>
        <w:tc>
          <w:tcPr>
            <w:tcW w:w="1099" w:type="dxa"/>
          </w:tcPr>
          <w:p w14:paraId="41517E70" w14:textId="77777777" w:rsidR="00FA4AA8" w:rsidRDefault="0015611F">
            <w:pPr>
              <w:pStyle w:val="TableParagraph"/>
              <w:spacing w:before="26"/>
              <w:ind w:right="102"/>
              <w:jc w:val="right"/>
              <w:rPr>
                <w:sz w:val="18"/>
              </w:rPr>
            </w:pPr>
            <w:r>
              <w:rPr>
                <w:sz w:val="18"/>
              </w:rPr>
              <w:t>32(e)</w:t>
            </w:r>
          </w:p>
        </w:tc>
        <w:tc>
          <w:tcPr>
            <w:tcW w:w="1656" w:type="dxa"/>
          </w:tcPr>
          <w:p w14:paraId="6E6C57AA" w14:textId="77777777" w:rsidR="00FA4AA8" w:rsidRDefault="0015611F">
            <w:pPr>
              <w:pStyle w:val="TableParagraph"/>
              <w:spacing w:before="29"/>
              <w:ind w:right="276"/>
              <w:jc w:val="right"/>
              <w:rPr>
                <w:b/>
                <w:sz w:val="18"/>
              </w:rPr>
            </w:pPr>
            <w:r>
              <w:rPr>
                <w:b/>
                <w:sz w:val="18"/>
              </w:rPr>
              <w:t>87</w:t>
            </w:r>
          </w:p>
        </w:tc>
        <w:tc>
          <w:tcPr>
            <w:tcW w:w="1380" w:type="dxa"/>
          </w:tcPr>
          <w:p w14:paraId="4D6C11D0" w14:textId="77777777" w:rsidR="00FA4AA8" w:rsidRDefault="0015611F">
            <w:pPr>
              <w:pStyle w:val="TableParagraph"/>
              <w:spacing w:before="29"/>
              <w:ind w:right="299"/>
              <w:jc w:val="right"/>
              <w:rPr>
                <w:sz w:val="18"/>
              </w:rPr>
            </w:pPr>
            <w:r>
              <w:rPr>
                <w:sz w:val="18"/>
              </w:rPr>
              <w:t>(205)</w:t>
            </w:r>
          </w:p>
        </w:tc>
        <w:tc>
          <w:tcPr>
            <w:tcW w:w="1350" w:type="dxa"/>
          </w:tcPr>
          <w:p w14:paraId="45F4388C" w14:textId="77777777" w:rsidR="00FA4AA8" w:rsidRDefault="0015611F">
            <w:pPr>
              <w:pStyle w:val="TableParagraph"/>
              <w:spacing w:before="29"/>
              <w:ind w:right="246"/>
              <w:jc w:val="right"/>
              <w:rPr>
                <w:b/>
                <w:sz w:val="18"/>
              </w:rPr>
            </w:pPr>
            <w:r>
              <w:rPr>
                <w:b/>
                <w:sz w:val="18"/>
              </w:rPr>
              <w:t>75</w:t>
            </w:r>
          </w:p>
        </w:tc>
        <w:tc>
          <w:tcPr>
            <w:tcW w:w="1134" w:type="dxa"/>
          </w:tcPr>
          <w:p w14:paraId="452A207C" w14:textId="77777777" w:rsidR="00FA4AA8" w:rsidRDefault="0015611F">
            <w:pPr>
              <w:pStyle w:val="TableParagraph"/>
              <w:spacing w:before="29"/>
              <w:ind w:right="84"/>
              <w:jc w:val="right"/>
              <w:rPr>
                <w:sz w:val="18"/>
              </w:rPr>
            </w:pPr>
            <w:r>
              <w:rPr>
                <w:sz w:val="18"/>
              </w:rPr>
              <w:t>3,722</w:t>
            </w:r>
          </w:p>
        </w:tc>
      </w:tr>
      <w:tr w:rsidR="00FA4AA8" w14:paraId="48291DC4" w14:textId="77777777">
        <w:trPr>
          <w:trHeight w:val="256"/>
        </w:trPr>
        <w:tc>
          <w:tcPr>
            <w:tcW w:w="2913" w:type="dxa"/>
          </w:tcPr>
          <w:p w14:paraId="68A9603D" w14:textId="77777777" w:rsidR="00FA4AA8" w:rsidRDefault="0015611F">
            <w:pPr>
              <w:pStyle w:val="TableParagraph"/>
              <w:spacing w:before="26"/>
              <w:ind w:left="50"/>
              <w:rPr>
                <w:sz w:val="18"/>
              </w:rPr>
            </w:pPr>
            <w:r>
              <w:rPr>
                <w:sz w:val="18"/>
              </w:rPr>
              <w:t>Doubtful debts</w:t>
            </w:r>
          </w:p>
        </w:tc>
        <w:tc>
          <w:tcPr>
            <w:tcW w:w="1099" w:type="dxa"/>
          </w:tcPr>
          <w:p w14:paraId="44DDE232" w14:textId="77777777" w:rsidR="00FA4AA8" w:rsidRDefault="00FA4AA8">
            <w:pPr>
              <w:pStyle w:val="TableParagraph"/>
              <w:rPr>
                <w:rFonts w:ascii="Times New Roman"/>
                <w:sz w:val="18"/>
              </w:rPr>
            </w:pPr>
          </w:p>
        </w:tc>
        <w:tc>
          <w:tcPr>
            <w:tcW w:w="1656" w:type="dxa"/>
            <w:tcBorders>
              <w:bottom w:val="single" w:sz="8" w:space="0" w:color="000000"/>
            </w:tcBorders>
          </w:tcPr>
          <w:p w14:paraId="0F3B706F" w14:textId="77777777" w:rsidR="00FA4AA8" w:rsidRDefault="0015611F">
            <w:pPr>
              <w:pStyle w:val="TableParagraph"/>
              <w:spacing w:before="24"/>
              <w:ind w:right="215"/>
              <w:jc w:val="right"/>
              <w:rPr>
                <w:b/>
                <w:sz w:val="18"/>
              </w:rPr>
            </w:pPr>
            <w:r>
              <w:rPr>
                <w:b/>
                <w:sz w:val="18"/>
              </w:rPr>
              <w:t>(151)</w:t>
            </w:r>
          </w:p>
        </w:tc>
        <w:tc>
          <w:tcPr>
            <w:tcW w:w="1380" w:type="dxa"/>
            <w:tcBorders>
              <w:bottom w:val="single" w:sz="8" w:space="0" w:color="000000"/>
            </w:tcBorders>
          </w:tcPr>
          <w:p w14:paraId="765504BF" w14:textId="77777777" w:rsidR="00FA4AA8" w:rsidRDefault="0015611F">
            <w:pPr>
              <w:pStyle w:val="TableParagraph"/>
              <w:spacing w:before="24"/>
              <w:ind w:right="360"/>
              <w:jc w:val="right"/>
              <w:rPr>
                <w:sz w:val="18"/>
              </w:rPr>
            </w:pPr>
            <w:r>
              <w:rPr>
                <w:sz w:val="18"/>
              </w:rPr>
              <w:t>143</w:t>
            </w:r>
          </w:p>
        </w:tc>
        <w:tc>
          <w:tcPr>
            <w:tcW w:w="1350" w:type="dxa"/>
            <w:tcBorders>
              <w:bottom w:val="single" w:sz="8" w:space="0" w:color="000000"/>
            </w:tcBorders>
          </w:tcPr>
          <w:p w14:paraId="36A41CF5" w14:textId="77777777" w:rsidR="00FA4AA8" w:rsidRDefault="0015611F">
            <w:pPr>
              <w:pStyle w:val="TableParagraph"/>
              <w:spacing w:before="24"/>
              <w:ind w:right="246"/>
              <w:jc w:val="right"/>
              <w:rPr>
                <w:b/>
                <w:sz w:val="18"/>
              </w:rPr>
            </w:pPr>
            <w:r>
              <w:rPr>
                <w:b/>
                <w:sz w:val="18"/>
              </w:rPr>
              <w:t>2,446</w:t>
            </w:r>
          </w:p>
        </w:tc>
        <w:tc>
          <w:tcPr>
            <w:tcW w:w="1134" w:type="dxa"/>
            <w:tcBorders>
              <w:bottom w:val="single" w:sz="8" w:space="0" w:color="000000"/>
            </w:tcBorders>
          </w:tcPr>
          <w:p w14:paraId="50F7A95C" w14:textId="77777777" w:rsidR="00FA4AA8" w:rsidRDefault="0015611F">
            <w:pPr>
              <w:pStyle w:val="TableParagraph"/>
              <w:spacing w:before="24"/>
              <w:ind w:right="84"/>
              <w:jc w:val="right"/>
              <w:rPr>
                <w:sz w:val="18"/>
              </w:rPr>
            </w:pPr>
            <w:r>
              <w:rPr>
                <w:sz w:val="18"/>
              </w:rPr>
              <w:t>150</w:t>
            </w:r>
          </w:p>
        </w:tc>
      </w:tr>
      <w:tr w:rsidR="00FA4AA8" w14:paraId="4E7D187C" w14:textId="77777777">
        <w:trPr>
          <w:trHeight w:val="318"/>
        </w:trPr>
        <w:tc>
          <w:tcPr>
            <w:tcW w:w="2913" w:type="dxa"/>
          </w:tcPr>
          <w:p w14:paraId="6C67BEE5" w14:textId="77777777" w:rsidR="00FA4AA8" w:rsidRDefault="0015611F">
            <w:pPr>
              <w:pStyle w:val="TableParagraph"/>
              <w:spacing w:before="115" w:line="183" w:lineRule="exact"/>
              <w:ind w:left="50"/>
              <w:rPr>
                <w:b/>
                <w:sz w:val="18"/>
              </w:rPr>
            </w:pPr>
            <w:r>
              <w:rPr>
                <w:b/>
                <w:sz w:val="18"/>
              </w:rPr>
              <w:t>Total impairment of assets</w:t>
            </w:r>
          </w:p>
        </w:tc>
        <w:tc>
          <w:tcPr>
            <w:tcW w:w="1099" w:type="dxa"/>
          </w:tcPr>
          <w:p w14:paraId="63133719" w14:textId="77777777" w:rsidR="00FA4AA8" w:rsidRDefault="00FA4AA8">
            <w:pPr>
              <w:pStyle w:val="TableParagraph"/>
              <w:rPr>
                <w:rFonts w:ascii="Times New Roman"/>
                <w:sz w:val="18"/>
              </w:rPr>
            </w:pPr>
          </w:p>
        </w:tc>
        <w:tc>
          <w:tcPr>
            <w:tcW w:w="1656" w:type="dxa"/>
            <w:tcBorders>
              <w:top w:val="single" w:sz="8" w:space="0" w:color="000000"/>
              <w:bottom w:val="single" w:sz="8" w:space="0" w:color="000000"/>
            </w:tcBorders>
          </w:tcPr>
          <w:p w14:paraId="7335A71A" w14:textId="77777777" w:rsidR="00FA4AA8" w:rsidRDefault="0015611F">
            <w:pPr>
              <w:pStyle w:val="TableParagraph"/>
              <w:spacing w:before="115" w:line="183" w:lineRule="exact"/>
              <w:ind w:right="215"/>
              <w:jc w:val="right"/>
              <w:rPr>
                <w:b/>
                <w:sz w:val="18"/>
              </w:rPr>
            </w:pPr>
            <w:r>
              <w:rPr>
                <w:b/>
                <w:sz w:val="18"/>
              </w:rPr>
              <w:t>(64)</w:t>
            </w:r>
          </w:p>
        </w:tc>
        <w:tc>
          <w:tcPr>
            <w:tcW w:w="1380" w:type="dxa"/>
            <w:tcBorders>
              <w:top w:val="single" w:sz="8" w:space="0" w:color="000000"/>
              <w:bottom w:val="single" w:sz="8" w:space="0" w:color="000000"/>
            </w:tcBorders>
          </w:tcPr>
          <w:p w14:paraId="6C58754C" w14:textId="77777777" w:rsidR="00FA4AA8" w:rsidRDefault="0015611F">
            <w:pPr>
              <w:pStyle w:val="TableParagraph"/>
              <w:spacing w:before="115" w:line="183" w:lineRule="exact"/>
              <w:ind w:right="299"/>
              <w:jc w:val="right"/>
              <w:rPr>
                <w:sz w:val="18"/>
              </w:rPr>
            </w:pPr>
            <w:r>
              <w:rPr>
                <w:sz w:val="18"/>
              </w:rPr>
              <w:t>(62)</w:t>
            </w:r>
          </w:p>
        </w:tc>
        <w:tc>
          <w:tcPr>
            <w:tcW w:w="1350" w:type="dxa"/>
            <w:tcBorders>
              <w:top w:val="single" w:sz="8" w:space="0" w:color="000000"/>
              <w:bottom w:val="single" w:sz="8" w:space="0" w:color="000000"/>
            </w:tcBorders>
          </w:tcPr>
          <w:p w14:paraId="1898D155" w14:textId="77777777" w:rsidR="00FA4AA8" w:rsidRDefault="0015611F">
            <w:pPr>
              <w:pStyle w:val="TableParagraph"/>
              <w:spacing w:before="115" w:line="183" w:lineRule="exact"/>
              <w:ind w:right="246"/>
              <w:jc w:val="right"/>
              <w:rPr>
                <w:b/>
                <w:sz w:val="18"/>
              </w:rPr>
            </w:pPr>
            <w:r>
              <w:rPr>
                <w:b/>
                <w:sz w:val="18"/>
              </w:rPr>
              <w:t>2,521</w:t>
            </w:r>
          </w:p>
        </w:tc>
        <w:tc>
          <w:tcPr>
            <w:tcW w:w="1134" w:type="dxa"/>
            <w:tcBorders>
              <w:top w:val="single" w:sz="8" w:space="0" w:color="000000"/>
              <w:bottom w:val="single" w:sz="8" w:space="0" w:color="000000"/>
            </w:tcBorders>
          </w:tcPr>
          <w:p w14:paraId="39A372EF" w14:textId="77777777" w:rsidR="00FA4AA8" w:rsidRDefault="0015611F">
            <w:pPr>
              <w:pStyle w:val="TableParagraph"/>
              <w:spacing w:before="115" w:line="183" w:lineRule="exact"/>
              <w:ind w:right="84"/>
              <w:jc w:val="right"/>
              <w:rPr>
                <w:sz w:val="18"/>
              </w:rPr>
            </w:pPr>
            <w:r>
              <w:rPr>
                <w:sz w:val="18"/>
              </w:rPr>
              <w:t>3,872</w:t>
            </w:r>
          </w:p>
        </w:tc>
      </w:tr>
    </w:tbl>
    <w:p w14:paraId="302128D6" w14:textId="77777777" w:rsidR="00FA4AA8" w:rsidRDefault="00FA4AA8">
      <w:pPr>
        <w:spacing w:line="183" w:lineRule="exact"/>
        <w:jc w:val="right"/>
        <w:rPr>
          <w:sz w:val="18"/>
        </w:rPr>
        <w:sectPr w:rsidR="00FA4AA8">
          <w:pgSz w:w="11910" w:h="16840"/>
          <w:pgMar w:top="2220" w:right="840" w:bottom="720" w:left="840" w:header="1016" w:footer="523" w:gutter="0"/>
          <w:cols w:space="720"/>
        </w:sectPr>
      </w:pPr>
    </w:p>
    <w:p w14:paraId="032860C7" w14:textId="77777777" w:rsidR="00FA4AA8" w:rsidRDefault="00FA4AA8">
      <w:pPr>
        <w:pStyle w:val="BodyText"/>
        <w:rPr>
          <w:b/>
          <w:sz w:val="20"/>
        </w:rPr>
      </w:pPr>
    </w:p>
    <w:p w14:paraId="3F156D43" w14:textId="77777777" w:rsidR="00FA4AA8" w:rsidRDefault="00FA4AA8">
      <w:pPr>
        <w:pStyle w:val="BodyText"/>
        <w:spacing w:before="10"/>
        <w:rPr>
          <w:b/>
          <w:sz w:val="29"/>
        </w:rPr>
      </w:pPr>
    </w:p>
    <w:p w14:paraId="340D7B4F" w14:textId="77777777" w:rsidR="00FA4AA8" w:rsidRDefault="0015611F">
      <w:pPr>
        <w:pStyle w:val="ListParagraph"/>
        <w:numPr>
          <w:ilvl w:val="0"/>
          <w:numId w:val="103"/>
        </w:numPr>
        <w:tabs>
          <w:tab w:val="left" w:pos="564"/>
        </w:tabs>
        <w:spacing w:before="94"/>
        <w:ind w:hanging="397"/>
        <w:rPr>
          <w:b/>
          <w:sz w:val="18"/>
        </w:rPr>
      </w:pPr>
      <w:r>
        <w:rPr>
          <w:b/>
          <w:sz w:val="18"/>
        </w:rPr>
        <w:t>Impairment of assets (continued)</w:t>
      </w:r>
    </w:p>
    <w:p w14:paraId="0440599F" w14:textId="77777777" w:rsidR="00FA4AA8" w:rsidRDefault="00FA4AA8">
      <w:pPr>
        <w:pStyle w:val="BodyText"/>
        <w:spacing w:before="7"/>
        <w:rPr>
          <w:b/>
          <w:sz w:val="26"/>
        </w:rPr>
      </w:pPr>
    </w:p>
    <w:p w14:paraId="33BAED06" w14:textId="77777777" w:rsidR="00FA4AA8" w:rsidRDefault="0015611F">
      <w:pPr>
        <w:ind w:left="564"/>
        <w:rPr>
          <w:i/>
          <w:sz w:val="18"/>
        </w:rPr>
      </w:pPr>
      <w:r>
        <w:rPr>
          <w:i/>
          <w:sz w:val="18"/>
          <w:u w:val="single"/>
        </w:rPr>
        <w:t>Accounting Policy</w:t>
      </w:r>
    </w:p>
    <w:p w14:paraId="2523C4DD" w14:textId="77777777" w:rsidR="00FA4AA8" w:rsidRDefault="00FA4AA8">
      <w:pPr>
        <w:pStyle w:val="BodyText"/>
        <w:spacing w:before="3"/>
        <w:rPr>
          <w:i/>
          <w:sz w:val="17"/>
        </w:rPr>
      </w:pPr>
    </w:p>
    <w:p w14:paraId="68442946" w14:textId="77777777" w:rsidR="00FA4AA8" w:rsidRDefault="0015611F">
      <w:pPr>
        <w:pStyle w:val="BodyText"/>
        <w:spacing w:before="94"/>
        <w:ind w:left="564" w:right="256"/>
      </w:pPr>
      <w:r>
        <w:t>Intangible assets that have an indefinite useful life are not subject to amortisation and are tested annually for impairment. Other assets are reviewed for impairment whenever events or changes in circumstances indicate that the carrying amount may not be recoverable. The recoverable amount is the higher of an asset's fair value less costs of disposal and value in use.</w:t>
      </w:r>
    </w:p>
    <w:p w14:paraId="19F05E37" w14:textId="77777777" w:rsidR="00FA4AA8" w:rsidRDefault="00FA4AA8">
      <w:pPr>
        <w:pStyle w:val="BodyText"/>
        <w:spacing w:before="10"/>
        <w:rPr>
          <w:sz w:val="24"/>
        </w:rPr>
      </w:pPr>
    </w:p>
    <w:p w14:paraId="355B1A28" w14:textId="77777777" w:rsidR="00FA4AA8" w:rsidRDefault="0015611F">
      <w:pPr>
        <w:pStyle w:val="BodyText"/>
        <w:ind w:left="564" w:right="256"/>
      </w:pPr>
      <w:bookmarkStart w:id="35" w:name="15_Other_expenses_"/>
      <w:bookmarkEnd w:id="35"/>
      <w:r>
        <w:t>An impairment loss is recognised for the amount by which the asset's carrying amount exceeds its recoverable amount. For the purposes of assessing impairment, assets are grouped at the lowest levels for which there are separately identifiable cash flows which are largely independent of the cash inflows from other assets or groups of assets (cash generating units).</w:t>
      </w:r>
    </w:p>
    <w:p w14:paraId="03073086" w14:textId="77777777" w:rsidR="00FA4AA8" w:rsidRDefault="00FA4AA8">
      <w:pPr>
        <w:pStyle w:val="BodyText"/>
        <w:spacing w:before="7"/>
        <w:rPr>
          <w:sz w:val="16"/>
        </w:rPr>
      </w:pPr>
    </w:p>
    <w:p w14:paraId="45DD3CCD" w14:textId="77777777" w:rsidR="00FA4AA8" w:rsidRDefault="0015611F">
      <w:pPr>
        <w:numPr>
          <w:ilvl w:val="0"/>
          <w:numId w:val="103"/>
        </w:numPr>
        <w:tabs>
          <w:tab w:val="left" w:pos="564"/>
        </w:tabs>
        <w:spacing w:before="95"/>
        <w:ind w:hanging="397"/>
        <w:rPr>
          <w:b/>
          <w:sz w:val="18"/>
        </w:rPr>
      </w:pPr>
      <w:r>
        <w:rPr>
          <w:b/>
          <w:sz w:val="18"/>
        </w:rPr>
        <w:t>Other expenses</w:t>
      </w:r>
    </w:p>
    <w:p w14:paraId="53726030" w14:textId="77777777" w:rsidR="00FA4AA8" w:rsidRDefault="0015611F">
      <w:pPr>
        <w:tabs>
          <w:tab w:val="left" w:pos="8414"/>
        </w:tabs>
        <w:spacing w:before="33"/>
        <w:ind w:left="5364"/>
        <w:rPr>
          <w:b/>
          <w:sz w:val="18"/>
        </w:rPr>
      </w:pPr>
      <w:r>
        <w:rPr>
          <w:b/>
          <w:sz w:val="18"/>
        </w:rPr>
        <w:t>Consolidated</w:t>
      </w:r>
      <w:r>
        <w:rPr>
          <w:b/>
          <w:sz w:val="18"/>
        </w:rPr>
        <w:tab/>
        <w:t>Parent</w:t>
      </w:r>
    </w:p>
    <w:p w14:paraId="65E0E881" w14:textId="77777777" w:rsidR="00FA4AA8" w:rsidRDefault="00FA4AA8">
      <w:pPr>
        <w:pStyle w:val="BodyText"/>
        <w:spacing w:before="3"/>
        <w:rPr>
          <w:b/>
          <w:sz w:val="6"/>
        </w:rPr>
      </w:pPr>
    </w:p>
    <w:tbl>
      <w:tblPr>
        <w:tblW w:w="0" w:type="auto"/>
        <w:tblInd w:w="547" w:type="dxa"/>
        <w:tblLayout w:type="fixed"/>
        <w:tblCellMar>
          <w:left w:w="0" w:type="dxa"/>
          <w:right w:w="0" w:type="dxa"/>
        </w:tblCellMar>
        <w:tblLook w:val="01E0" w:firstRow="1" w:lastRow="1" w:firstColumn="1" w:lastColumn="1" w:noHBand="0" w:noVBand="0"/>
      </w:tblPr>
      <w:tblGrid>
        <w:gridCol w:w="4012"/>
        <w:gridCol w:w="1625"/>
        <w:gridCol w:w="1379"/>
        <w:gridCol w:w="1379"/>
        <w:gridCol w:w="1133"/>
      </w:tblGrid>
      <w:tr w:rsidR="00FA4AA8" w14:paraId="18A65779" w14:textId="77777777">
        <w:trPr>
          <w:trHeight w:val="237"/>
        </w:trPr>
        <w:tc>
          <w:tcPr>
            <w:tcW w:w="4012" w:type="dxa"/>
            <w:vMerge w:val="restart"/>
          </w:tcPr>
          <w:p w14:paraId="00447941" w14:textId="77777777" w:rsidR="00FA4AA8" w:rsidRDefault="00FA4AA8">
            <w:pPr>
              <w:pStyle w:val="TableParagraph"/>
              <w:rPr>
                <w:rFonts w:ascii="Times New Roman"/>
                <w:sz w:val="18"/>
              </w:rPr>
            </w:pPr>
          </w:p>
        </w:tc>
        <w:tc>
          <w:tcPr>
            <w:tcW w:w="1625" w:type="dxa"/>
          </w:tcPr>
          <w:p w14:paraId="5DEC64AA" w14:textId="77777777" w:rsidR="00FA4AA8" w:rsidRDefault="0015611F">
            <w:pPr>
              <w:pStyle w:val="TableParagraph"/>
              <w:spacing w:line="201" w:lineRule="exact"/>
              <w:ind w:left="600"/>
              <w:rPr>
                <w:b/>
                <w:sz w:val="18"/>
              </w:rPr>
            </w:pPr>
            <w:r>
              <w:rPr>
                <w:b/>
                <w:sz w:val="18"/>
              </w:rPr>
              <w:t>2018</w:t>
            </w:r>
          </w:p>
        </w:tc>
        <w:tc>
          <w:tcPr>
            <w:tcW w:w="1379" w:type="dxa"/>
          </w:tcPr>
          <w:p w14:paraId="50DEB47C" w14:textId="77777777" w:rsidR="00FA4AA8" w:rsidRDefault="0015611F">
            <w:pPr>
              <w:pStyle w:val="TableParagraph"/>
              <w:spacing w:line="201" w:lineRule="exact"/>
              <w:ind w:left="271"/>
              <w:rPr>
                <w:b/>
                <w:sz w:val="18"/>
              </w:rPr>
            </w:pPr>
            <w:r>
              <w:rPr>
                <w:b/>
                <w:sz w:val="18"/>
              </w:rPr>
              <w:t>2017</w:t>
            </w:r>
          </w:p>
        </w:tc>
        <w:tc>
          <w:tcPr>
            <w:tcW w:w="1379" w:type="dxa"/>
          </w:tcPr>
          <w:p w14:paraId="0ABEE266" w14:textId="77777777" w:rsidR="00FA4AA8" w:rsidRDefault="0015611F">
            <w:pPr>
              <w:pStyle w:val="TableParagraph"/>
              <w:spacing w:line="201" w:lineRule="exact"/>
              <w:ind w:left="356"/>
              <w:rPr>
                <w:b/>
                <w:sz w:val="18"/>
              </w:rPr>
            </w:pPr>
            <w:r>
              <w:rPr>
                <w:b/>
                <w:sz w:val="18"/>
              </w:rPr>
              <w:t>2018</w:t>
            </w:r>
          </w:p>
        </w:tc>
        <w:tc>
          <w:tcPr>
            <w:tcW w:w="1133" w:type="dxa"/>
          </w:tcPr>
          <w:p w14:paraId="5800255D" w14:textId="77777777" w:rsidR="00FA4AA8" w:rsidRDefault="0015611F">
            <w:pPr>
              <w:pStyle w:val="TableParagraph"/>
              <w:spacing w:line="201" w:lineRule="exact"/>
              <w:ind w:left="273"/>
              <w:rPr>
                <w:b/>
                <w:sz w:val="18"/>
              </w:rPr>
            </w:pPr>
            <w:r>
              <w:rPr>
                <w:b/>
                <w:sz w:val="18"/>
              </w:rPr>
              <w:t>2017</w:t>
            </w:r>
          </w:p>
        </w:tc>
      </w:tr>
      <w:tr w:rsidR="00FA4AA8" w14:paraId="3305BD56" w14:textId="77777777">
        <w:trPr>
          <w:trHeight w:val="271"/>
        </w:trPr>
        <w:tc>
          <w:tcPr>
            <w:tcW w:w="4012" w:type="dxa"/>
            <w:vMerge/>
            <w:tcBorders>
              <w:top w:val="nil"/>
            </w:tcBorders>
          </w:tcPr>
          <w:p w14:paraId="40768C02" w14:textId="77777777" w:rsidR="00FA4AA8" w:rsidRDefault="00FA4AA8">
            <w:pPr>
              <w:rPr>
                <w:sz w:val="2"/>
                <w:szCs w:val="2"/>
              </w:rPr>
            </w:pPr>
          </w:p>
        </w:tc>
        <w:tc>
          <w:tcPr>
            <w:tcW w:w="1625" w:type="dxa"/>
          </w:tcPr>
          <w:p w14:paraId="1EE5F468" w14:textId="77777777" w:rsidR="00FA4AA8" w:rsidRDefault="0015611F">
            <w:pPr>
              <w:pStyle w:val="TableParagraph"/>
              <w:spacing w:before="30"/>
              <w:ind w:left="578"/>
              <w:rPr>
                <w:b/>
                <w:sz w:val="18"/>
              </w:rPr>
            </w:pPr>
            <w:r>
              <w:rPr>
                <w:b/>
                <w:sz w:val="18"/>
              </w:rPr>
              <w:t>$'000</w:t>
            </w:r>
          </w:p>
        </w:tc>
        <w:tc>
          <w:tcPr>
            <w:tcW w:w="1379" w:type="dxa"/>
          </w:tcPr>
          <w:p w14:paraId="76DDFECA" w14:textId="77777777" w:rsidR="00FA4AA8" w:rsidRDefault="0015611F">
            <w:pPr>
              <w:pStyle w:val="TableParagraph"/>
              <w:spacing w:before="30"/>
              <w:ind w:left="249"/>
              <w:rPr>
                <w:b/>
                <w:sz w:val="18"/>
              </w:rPr>
            </w:pPr>
            <w:r>
              <w:rPr>
                <w:b/>
                <w:sz w:val="18"/>
              </w:rPr>
              <w:t>$'000</w:t>
            </w:r>
          </w:p>
        </w:tc>
        <w:tc>
          <w:tcPr>
            <w:tcW w:w="1379" w:type="dxa"/>
          </w:tcPr>
          <w:p w14:paraId="3D847063" w14:textId="77777777" w:rsidR="00FA4AA8" w:rsidRDefault="0015611F">
            <w:pPr>
              <w:pStyle w:val="TableParagraph"/>
              <w:spacing w:before="30"/>
              <w:ind w:left="334"/>
              <w:rPr>
                <w:b/>
                <w:sz w:val="18"/>
              </w:rPr>
            </w:pPr>
            <w:r>
              <w:rPr>
                <w:b/>
                <w:sz w:val="18"/>
              </w:rPr>
              <w:t>$'000</w:t>
            </w:r>
          </w:p>
        </w:tc>
        <w:tc>
          <w:tcPr>
            <w:tcW w:w="1133" w:type="dxa"/>
          </w:tcPr>
          <w:p w14:paraId="1CD85A1D" w14:textId="77777777" w:rsidR="00FA4AA8" w:rsidRDefault="0015611F">
            <w:pPr>
              <w:pStyle w:val="TableParagraph"/>
              <w:spacing w:before="30"/>
              <w:ind w:left="251"/>
              <w:rPr>
                <w:b/>
                <w:sz w:val="18"/>
              </w:rPr>
            </w:pPr>
            <w:r>
              <w:rPr>
                <w:b/>
                <w:sz w:val="18"/>
              </w:rPr>
              <w:t>$'000</w:t>
            </w:r>
          </w:p>
        </w:tc>
      </w:tr>
      <w:tr w:rsidR="00FA4AA8" w14:paraId="199F04E4" w14:textId="77777777">
        <w:trPr>
          <w:trHeight w:val="267"/>
        </w:trPr>
        <w:tc>
          <w:tcPr>
            <w:tcW w:w="4012" w:type="dxa"/>
          </w:tcPr>
          <w:p w14:paraId="7E3D6BEC" w14:textId="77777777" w:rsidR="00FA4AA8" w:rsidRDefault="0015611F">
            <w:pPr>
              <w:pStyle w:val="TableParagraph"/>
              <w:spacing w:before="30"/>
              <w:ind w:left="50"/>
              <w:rPr>
                <w:sz w:val="18"/>
              </w:rPr>
            </w:pPr>
            <w:r>
              <w:rPr>
                <w:sz w:val="18"/>
              </w:rPr>
              <w:t>Fees for service*</w:t>
            </w:r>
          </w:p>
        </w:tc>
        <w:tc>
          <w:tcPr>
            <w:tcW w:w="1625" w:type="dxa"/>
          </w:tcPr>
          <w:p w14:paraId="15623B37" w14:textId="77777777" w:rsidR="00FA4AA8" w:rsidRDefault="0015611F">
            <w:pPr>
              <w:pStyle w:val="TableParagraph"/>
              <w:spacing w:before="28"/>
              <w:ind w:right="245"/>
              <w:jc w:val="right"/>
              <w:rPr>
                <w:b/>
                <w:sz w:val="18"/>
              </w:rPr>
            </w:pPr>
            <w:r>
              <w:rPr>
                <w:b/>
                <w:sz w:val="18"/>
              </w:rPr>
              <w:t>106,206</w:t>
            </w:r>
          </w:p>
        </w:tc>
        <w:tc>
          <w:tcPr>
            <w:tcW w:w="1379" w:type="dxa"/>
          </w:tcPr>
          <w:p w14:paraId="748677D5" w14:textId="77777777" w:rsidR="00FA4AA8" w:rsidRDefault="0015611F">
            <w:pPr>
              <w:pStyle w:val="TableParagraph"/>
              <w:spacing w:before="28"/>
              <w:ind w:right="328"/>
              <w:jc w:val="right"/>
              <w:rPr>
                <w:sz w:val="18"/>
              </w:rPr>
            </w:pPr>
            <w:r>
              <w:rPr>
                <w:sz w:val="18"/>
              </w:rPr>
              <w:t>84,023</w:t>
            </w:r>
          </w:p>
        </w:tc>
        <w:tc>
          <w:tcPr>
            <w:tcW w:w="1379" w:type="dxa"/>
          </w:tcPr>
          <w:p w14:paraId="65B011D3" w14:textId="77777777" w:rsidR="00FA4AA8" w:rsidRDefault="0015611F">
            <w:pPr>
              <w:pStyle w:val="TableParagraph"/>
              <w:spacing w:before="28"/>
              <w:ind w:right="243"/>
              <w:jc w:val="right"/>
              <w:rPr>
                <w:b/>
                <w:sz w:val="18"/>
              </w:rPr>
            </w:pPr>
            <w:r>
              <w:rPr>
                <w:b/>
                <w:sz w:val="18"/>
              </w:rPr>
              <w:t>152,213</w:t>
            </w:r>
          </w:p>
        </w:tc>
        <w:tc>
          <w:tcPr>
            <w:tcW w:w="1133" w:type="dxa"/>
          </w:tcPr>
          <w:p w14:paraId="2EA8B7C6" w14:textId="77777777" w:rsidR="00FA4AA8" w:rsidRDefault="0015611F">
            <w:pPr>
              <w:pStyle w:val="TableParagraph"/>
              <w:spacing w:before="28"/>
              <w:ind w:right="80"/>
              <w:jc w:val="right"/>
              <w:rPr>
                <w:sz w:val="18"/>
              </w:rPr>
            </w:pPr>
            <w:r>
              <w:rPr>
                <w:sz w:val="18"/>
              </w:rPr>
              <w:t>132,088</w:t>
            </w:r>
          </w:p>
        </w:tc>
      </w:tr>
      <w:tr w:rsidR="00FA4AA8" w14:paraId="1F0EDDDF" w14:textId="77777777">
        <w:trPr>
          <w:trHeight w:val="263"/>
        </w:trPr>
        <w:tc>
          <w:tcPr>
            <w:tcW w:w="4012" w:type="dxa"/>
          </w:tcPr>
          <w:p w14:paraId="048B7021" w14:textId="77777777" w:rsidR="00FA4AA8" w:rsidRDefault="0015611F">
            <w:pPr>
              <w:pStyle w:val="TableParagraph"/>
              <w:spacing w:before="26"/>
              <w:ind w:left="50"/>
              <w:rPr>
                <w:sz w:val="18"/>
              </w:rPr>
            </w:pPr>
            <w:r>
              <w:rPr>
                <w:sz w:val="18"/>
              </w:rPr>
              <w:t>Minimum lease payments on operating lease</w:t>
            </w:r>
          </w:p>
        </w:tc>
        <w:tc>
          <w:tcPr>
            <w:tcW w:w="1625" w:type="dxa"/>
          </w:tcPr>
          <w:p w14:paraId="74595889" w14:textId="77777777" w:rsidR="00FA4AA8" w:rsidRDefault="0015611F">
            <w:pPr>
              <w:pStyle w:val="TableParagraph"/>
              <w:spacing w:before="24"/>
              <w:ind w:right="245"/>
              <w:jc w:val="right"/>
              <w:rPr>
                <w:b/>
                <w:sz w:val="18"/>
              </w:rPr>
            </w:pPr>
            <w:r>
              <w:rPr>
                <w:b/>
                <w:sz w:val="18"/>
              </w:rPr>
              <w:t>31,178</w:t>
            </w:r>
          </w:p>
        </w:tc>
        <w:tc>
          <w:tcPr>
            <w:tcW w:w="1379" w:type="dxa"/>
          </w:tcPr>
          <w:p w14:paraId="22A6629A" w14:textId="77777777" w:rsidR="00FA4AA8" w:rsidRDefault="0015611F">
            <w:pPr>
              <w:pStyle w:val="TableParagraph"/>
              <w:spacing w:before="24"/>
              <w:ind w:right="328"/>
              <w:jc w:val="right"/>
              <w:rPr>
                <w:sz w:val="18"/>
              </w:rPr>
            </w:pPr>
            <w:r>
              <w:rPr>
                <w:sz w:val="18"/>
              </w:rPr>
              <w:t>27,235</w:t>
            </w:r>
          </w:p>
        </w:tc>
        <w:tc>
          <w:tcPr>
            <w:tcW w:w="1379" w:type="dxa"/>
          </w:tcPr>
          <w:p w14:paraId="642177E6" w14:textId="77777777" w:rsidR="00FA4AA8" w:rsidRDefault="0015611F">
            <w:pPr>
              <w:pStyle w:val="TableParagraph"/>
              <w:spacing w:before="24"/>
              <w:ind w:right="243"/>
              <w:jc w:val="right"/>
              <w:rPr>
                <w:b/>
                <w:sz w:val="18"/>
              </w:rPr>
            </w:pPr>
            <w:r>
              <w:rPr>
                <w:b/>
                <w:sz w:val="18"/>
              </w:rPr>
              <w:t>30,780</w:t>
            </w:r>
          </w:p>
        </w:tc>
        <w:tc>
          <w:tcPr>
            <w:tcW w:w="1133" w:type="dxa"/>
          </w:tcPr>
          <w:p w14:paraId="7301971B" w14:textId="77777777" w:rsidR="00FA4AA8" w:rsidRDefault="0015611F">
            <w:pPr>
              <w:pStyle w:val="TableParagraph"/>
              <w:spacing w:before="24"/>
              <w:ind w:right="80"/>
              <w:jc w:val="right"/>
              <w:rPr>
                <w:sz w:val="18"/>
              </w:rPr>
            </w:pPr>
            <w:r>
              <w:rPr>
                <w:sz w:val="18"/>
              </w:rPr>
              <w:t>26,838</w:t>
            </w:r>
          </w:p>
        </w:tc>
      </w:tr>
      <w:tr w:rsidR="00FA4AA8" w14:paraId="5911776B" w14:textId="77777777">
        <w:trPr>
          <w:trHeight w:val="264"/>
        </w:trPr>
        <w:tc>
          <w:tcPr>
            <w:tcW w:w="4012" w:type="dxa"/>
          </w:tcPr>
          <w:p w14:paraId="18627F9E" w14:textId="77777777" w:rsidR="00FA4AA8" w:rsidRDefault="0015611F">
            <w:pPr>
              <w:pStyle w:val="TableParagraph"/>
              <w:spacing w:before="26"/>
              <w:ind w:left="50"/>
              <w:rPr>
                <w:sz w:val="18"/>
              </w:rPr>
            </w:pPr>
            <w:r>
              <w:rPr>
                <w:sz w:val="18"/>
              </w:rPr>
              <w:t>Scholarships, grants and prizes</w:t>
            </w:r>
          </w:p>
        </w:tc>
        <w:tc>
          <w:tcPr>
            <w:tcW w:w="1625" w:type="dxa"/>
          </w:tcPr>
          <w:p w14:paraId="15C68E71" w14:textId="77777777" w:rsidR="00FA4AA8" w:rsidRDefault="0015611F">
            <w:pPr>
              <w:pStyle w:val="TableParagraph"/>
              <w:spacing w:before="24"/>
              <w:ind w:right="245"/>
              <w:jc w:val="right"/>
              <w:rPr>
                <w:b/>
                <w:sz w:val="18"/>
              </w:rPr>
            </w:pPr>
            <w:r>
              <w:rPr>
                <w:b/>
                <w:sz w:val="18"/>
              </w:rPr>
              <w:t>26,764</w:t>
            </w:r>
          </w:p>
        </w:tc>
        <w:tc>
          <w:tcPr>
            <w:tcW w:w="1379" w:type="dxa"/>
          </w:tcPr>
          <w:p w14:paraId="7D5347CF" w14:textId="77777777" w:rsidR="00FA4AA8" w:rsidRDefault="0015611F">
            <w:pPr>
              <w:pStyle w:val="TableParagraph"/>
              <w:spacing w:before="24"/>
              <w:ind w:right="328"/>
              <w:jc w:val="right"/>
              <w:rPr>
                <w:sz w:val="18"/>
              </w:rPr>
            </w:pPr>
            <w:r>
              <w:rPr>
                <w:sz w:val="18"/>
              </w:rPr>
              <w:t>22,868</w:t>
            </w:r>
          </w:p>
        </w:tc>
        <w:tc>
          <w:tcPr>
            <w:tcW w:w="1379" w:type="dxa"/>
          </w:tcPr>
          <w:p w14:paraId="7EF6CA54" w14:textId="77777777" w:rsidR="00FA4AA8" w:rsidRDefault="0015611F">
            <w:pPr>
              <w:pStyle w:val="TableParagraph"/>
              <w:spacing w:before="24"/>
              <w:ind w:right="243"/>
              <w:jc w:val="right"/>
              <w:rPr>
                <w:b/>
                <w:sz w:val="18"/>
              </w:rPr>
            </w:pPr>
            <w:r>
              <w:rPr>
                <w:b/>
                <w:sz w:val="18"/>
              </w:rPr>
              <w:t>26,537</w:t>
            </w:r>
          </w:p>
        </w:tc>
        <w:tc>
          <w:tcPr>
            <w:tcW w:w="1133" w:type="dxa"/>
          </w:tcPr>
          <w:p w14:paraId="5CBCFBB7" w14:textId="77777777" w:rsidR="00FA4AA8" w:rsidRDefault="0015611F">
            <w:pPr>
              <w:pStyle w:val="TableParagraph"/>
              <w:spacing w:before="24"/>
              <w:ind w:right="80"/>
              <w:jc w:val="right"/>
              <w:rPr>
                <w:sz w:val="18"/>
              </w:rPr>
            </w:pPr>
            <w:r>
              <w:rPr>
                <w:sz w:val="18"/>
              </w:rPr>
              <w:t>22,445</w:t>
            </w:r>
          </w:p>
        </w:tc>
      </w:tr>
      <w:tr w:rsidR="00FA4AA8" w14:paraId="4FB92194" w14:textId="77777777">
        <w:trPr>
          <w:trHeight w:val="263"/>
        </w:trPr>
        <w:tc>
          <w:tcPr>
            <w:tcW w:w="4012" w:type="dxa"/>
          </w:tcPr>
          <w:p w14:paraId="0E1F18D8" w14:textId="77777777" w:rsidR="00FA4AA8" w:rsidRDefault="0015611F">
            <w:pPr>
              <w:pStyle w:val="TableParagraph"/>
              <w:spacing w:before="26"/>
              <w:ind w:left="50"/>
              <w:rPr>
                <w:sz w:val="18"/>
              </w:rPr>
            </w:pPr>
            <w:r>
              <w:rPr>
                <w:sz w:val="18"/>
              </w:rPr>
              <w:t>Consumables</w:t>
            </w:r>
          </w:p>
        </w:tc>
        <w:tc>
          <w:tcPr>
            <w:tcW w:w="1625" w:type="dxa"/>
          </w:tcPr>
          <w:p w14:paraId="5A08C932" w14:textId="77777777" w:rsidR="00FA4AA8" w:rsidRDefault="0015611F">
            <w:pPr>
              <w:pStyle w:val="TableParagraph"/>
              <w:spacing w:before="24"/>
              <w:ind w:right="245"/>
              <w:jc w:val="right"/>
              <w:rPr>
                <w:b/>
                <w:sz w:val="18"/>
              </w:rPr>
            </w:pPr>
            <w:r>
              <w:rPr>
                <w:b/>
                <w:sz w:val="18"/>
              </w:rPr>
              <w:t>18,935</w:t>
            </w:r>
          </w:p>
        </w:tc>
        <w:tc>
          <w:tcPr>
            <w:tcW w:w="1379" w:type="dxa"/>
          </w:tcPr>
          <w:p w14:paraId="1E1B5BE2" w14:textId="77777777" w:rsidR="00FA4AA8" w:rsidRDefault="0015611F">
            <w:pPr>
              <w:pStyle w:val="TableParagraph"/>
              <w:spacing w:before="24"/>
              <w:ind w:right="328"/>
              <w:jc w:val="right"/>
              <w:rPr>
                <w:sz w:val="18"/>
              </w:rPr>
            </w:pPr>
            <w:r>
              <w:rPr>
                <w:sz w:val="18"/>
              </w:rPr>
              <w:t>19,293</w:t>
            </w:r>
          </w:p>
        </w:tc>
        <w:tc>
          <w:tcPr>
            <w:tcW w:w="1379" w:type="dxa"/>
          </w:tcPr>
          <w:p w14:paraId="1AA0A2FA" w14:textId="77777777" w:rsidR="00FA4AA8" w:rsidRDefault="0015611F">
            <w:pPr>
              <w:pStyle w:val="TableParagraph"/>
              <w:spacing w:before="24"/>
              <w:ind w:right="243"/>
              <w:jc w:val="right"/>
              <w:rPr>
                <w:b/>
                <w:sz w:val="18"/>
              </w:rPr>
            </w:pPr>
            <w:r>
              <w:rPr>
                <w:b/>
                <w:sz w:val="18"/>
              </w:rPr>
              <w:t>17,411</w:t>
            </w:r>
          </w:p>
        </w:tc>
        <w:tc>
          <w:tcPr>
            <w:tcW w:w="1133" w:type="dxa"/>
          </w:tcPr>
          <w:p w14:paraId="1F991B4D" w14:textId="77777777" w:rsidR="00FA4AA8" w:rsidRDefault="0015611F">
            <w:pPr>
              <w:pStyle w:val="TableParagraph"/>
              <w:spacing w:before="24"/>
              <w:ind w:right="80"/>
              <w:jc w:val="right"/>
              <w:rPr>
                <w:sz w:val="18"/>
              </w:rPr>
            </w:pPr>
            <w:r>
              <w:rPr>
                <w:sz w:val="18"/>
              </w:rPr>
              <w:t>16,735</w:t>
            </w:r>
          </w:p>
        </w:tc>
      </w:tr>
      <w:tr w:rsidR="00FA4AA8" w14:paraId="7F9D5B08" w14:textId="77777777">
        <w:trPr>
          <w:trHeight w:val="262"/>
        </w:trPr>
        <w:tc>
          <w:tcPr>
            <w:tcW w:w="4012" w:type="dxa"/>
          </w:tcPr>
          <w:p w14:paraId="0C4A04FC" w14:textId="77777777" w:rsidR="00FA4AA8" w:rsidRDefault="0015611F">
            <w:pPr>
              <w:pStyle w:val="TableParagraph"/>
              <w:spacing w:before="26"/>
              <w:ind w:left="50"/>
              <w:rPr>
                <w:sz w:val="18"/>
              </w:rPr>
            </w:pPr>
            <w:r>
              <w:rPr>
                <w:sz w:val="18"/>
              </w:rPr>
              <w:t>Overheads</w:t>
            </w:r>
          </w:p>
        </w:tc>
        <w:tc>
          <w:tcPr>
            <w:tcW w:w="1625" w:type="dxa"/>
          </w:tcPr>
          <w:p w14:paraId="0EADDF56" w14:textId="77777777" w:rsidR="00FA4AA8" w:rsidRDefault="0015611F">
            <w:pPr>
              <w:pStyle w:val="TableParagraph"/>
              <w:spacing w:before="24"/>
              <w:ind w:right="245"/>
              <w:jc w:val="right"/>
              <w:rPr>
                <w:b/>
                <w:sz w:val="18"/>
              </w:rPr>
            </w:pPr>
            <w:r>
              <w:rPr>
                <w:b/>
                <w:sz w:val="18"/>
              </w:rPr>
              <w:t>17,807</w:t>
            </w:r>
          </w:p>
        </w:tc>
        <w:tc>
          <w:tcPr>
            <w:tcW w:w="1379" w:type="dxa"/>
          </w:tcPr>
          <w:p w14:paraId="3F5DAB07" w14:textId="77777777" w:rsidR="00FA4AA8" w:rsidRDefault="0015611F">
            <w:pPr>
              <w:pStyle w:val="TableParagraph"/>
              <w:spacing w:before="24"/>
              <w:ind w:right="328"/>
              <w:jc w:val="right"/>
              <w:rPr>
                <w:sz w:val="18"/>
              </w:rPr>
            </w:pPr>
            <w:r>
              <w:rPr>
                <w:sz w:val="18"/>
              </w:rPr>
              <w:t>14,789</w:t>
            </w:r>
          </w:p>
        </w:tc>
        <w:tc>
          <w:tcPr>
            <w:tcW w:w="1379" w:type="dxa"/>
          </w:tcPr>
          <w:p w14:paraId="0776FBA5" w14:textId="77777777" w:rsidR="00FA4AA8" w:rsidRDefault="0015611F">
            <w:pPr>
              <w:pStyle w:val="TableParagraph"/>
              <w:spacing w:before="24"/>
              <w:ind w:right="243"/>
              <w:jc w:val="right"/>
              <w:rPr>
                <w:b/>
                <w:sz w:val="18"/>
              </w:rPr>
            </w:pPr>
            <w:r>
              <w:rPr>
                <w:b/>
                <w:sz w:val="18"/>
              </w:rPr>
              <w:t>17,764</w:t>
            </w:r>
          </w:p>
        </w:tc>
        <w:tc>
          <w:tcPr>
            <w:tcW w:w="1133" w:type="dxa"/>
          </w:tcPr>
          <w:p w14:paraId="7AA0A315" w14:textId="77777777" w:rsidR="00FA4AA8" w:rsidRDefault="0015611F">
            <w:pPr>
              <w:pStyle w:val="TableParagraph"/>
              <w:spacing w:before="24"/>
              <w:ind w:right="80"/>
              <w:jc w:val="right"/>
              <w:rPr>
                <w:sz w:val="18"/>
              </w:rPr>
            </w:pPr>
            <w:r>
              <w:rPr>
                <w:sz w:val="18"/>
              </w:rPr>
              <w:t>14,782</w:t>
            </w:r>
          </w:p>
        </w:tc>
      </w:tr>
      <w:tr w:rsidR="00FA4AA8" w14:paraId="38FC5255" w14:textId="77777777">
        <w:trPr>
          <w:trHeight w:val="466"/>
        </w:trPr>
        <w:tc>
          <w:tcPr>
            <w:tcW w:w="4012" w:type="dxa"/>
          </w:tcPr>
          <w:p w14:paraId="52BA2C3B" w14:textId="77777777" w:rsidR="00FA4AA8" w:rsidRDefault="0015611F">
            <w:pPr>
              <w:pStyle w:val="TableParagraph"/>
              <w:spacing w:before="23"/>
              <w:ind w:left="50" w:right="710"/>
              <w:rPr>
                <w:sz w:val="18"/>
              </w:rPr>
            </w:pPr>
            <w:r>
              <w:rPr>
                <w:sz w:val="18"/>
              </w:rPr>
              <w:t>Advertising, marketing and promotional expenses</w:t>
            </w:r>
          </w:p>
        </w:tc>
        <w:tc>
          <w:tcPr>
            <w:tcW w:w="1625" w:type="dxa"/>
          </w:tcPr>
          <w:p w14:paraId="4B3FA3AE" w14:textId="77777777" w:rsidR="00FA4AA8" w:rsidRDefault="00FA4AA8">
            <w:pPr>
              <w:pStyle w:val="TableParagraph"/>
              <w:spacing w:before="8"/>
              <w:rPr>
                <w:b/>
                <w:sz w:val="19"/>
              </w:rPr>
            </w:pPr>
          </w:p>
          <w:p w14:paraId="637738A7" w14:textId="77777777" w:rsidR="00FA4AA8" w:rsidRDefault="0015611F">
            <w:pPr>
              <w:pStyle w:val="TableParagraph"/>
              <w:ind w:right="245"/>
              <w:jc w:val="right"/>
              <w:rPr>
                <w:b/>
                <w:sz w:val="18"/>
              </w:rPr>
            </w:pPr>
            <w:r>
              <w:rPr>
                <w:b/>
                <w:sz w:val="18"/>
              </w:rPr>
              <w:t>16,280</w:t>
            </w:r>
          </w:p>
        </w:tc>
        <w:tc>
          <w:tcPr>
            <w:tcW w:w="1379" w:type="dxa"/>
          </w:tcPr>
          <w:p w14:paraId="6FC554D4" w14:textId="77777777" w:rsidR="00FA4AA8" w:rsidRDefault="00FA4AA8">
            <w:pPr>
              <w:pStyle w:val="TableParagraph"/>
              <w:spacing w:before="8"/>
              <w:rPr>
                <w:b/>
                <w:sz w:val="19"/>
              </w:rPr>
            </w:pPr>
          </w:p>
          <w:p w14:paraId="00543404" w14:textId="77777777" w:rsidR="00FA4AA8" w:rsidRDefault="0015611F">
            <w:pPr>
              <w:pStyle w:val="TableParagraph"/>
              <w:ind w:right="328"/>
              <w:jc w:val="right"/>
              <w:rPr>
                <w:sz w:val="18"/>
              </w:rPr>
            </w:pPr>
            <w:r>
              <w:rPr>
                <w:sz w:val="18"/>
              </w:rPr>
              <w:t>13,682</w:t>
            </w:r>
          </w:p>
        </w:tc>
        <w:tc>
          <w:tcPr>
            <w:tcW w:w="1379" w:type="dxa"/>
          </w:tcPr>
          <w:p w14:paraId="395C3F9E" w14:textId="77777777" w:rsidR="00FA4AA8" w:rsidRDefault="00FA4AA8">
            <w:pPr>
              <w:pStyle w:val="TableParagraph"/>
              <w:spacing w:before="8"/>
              <w:rPr>
                <w:b/>
                <w:sz w:val="19"/>
              </w:rPr>
            </w:pPr>
          </w:p>
          <w:p w14:paraId="230152CA" w14:textId="77777777" w:rsidR="00FA4AA8" w:rsidRDefault="0015611F">
            <w:pPr>
              <w:pStyle w:val="TableParagraph"/>
              <w:ind w:right="243"/>
              <w:jc w:val="right"/>
              <w:rPr>
                <w:b/>
                <w:sz w:val="18"/>
              </w:rPr>
            </w:pPr>
            <w:r>
              <w:rPr>
                <w:b/>
                <w:sz w:val="18"/>
              </w:rPr>
              <w:t>15,653</w:t>
            </w:r>
          </w:p>
        </w:tc>
        <w:tc>
          <w:tcPr>
            <w:tcW w:w="1133" w:type="dxa"/>
          </w:tcPr>
          <w:p w14:paraId="04D1CEB3" w14:textId="77777777" w:rsidR="00FA4AA8" w:rsidRDefault="00FA4AA8">
            <w:pPr>
              <w:pStyle w:val="TableParagraph"/>
              <w:spacing w:before="8"/>
              <w:rPr>
                <w:b/>
                <w:sz w:val="19"/>
              </w:rPr>
            </w:pPr>
          </w:p>
          <w:p w14:paraId="7FF36F28" w14:textId="77777777" w:rsidR="00FA4AA8" w:rsidRDefault="0015611F">
            <w:pPr>
              <w:pStyle w:val="TableParagraph"/>
              <w:ind w:right="80"/>
              <w:jc w:val="right"/>
              <w:rPr>
                <w:sz w:val="18"/>
              </w:rPr>
            </w:pPr>
            <w:r>
              <w:rPr>
                <w:sz w:val="18"/>
              </w:rPr>
              <w:t>13,253</w:t>
            </w:r>
          </w:p>
        </w:tc>
      </w:tr>
      <w:tr w:rsidR="00FA4AA8" w14:paraId="14DE71A4" w14:textId="77777777">
        <w:trPr>
          <w:trHeight w:val="263"/>
        </w:trPr>
        <w:tc>
          <w:tcPr>
            <w:tcW w:w="4012" w:type="dxa"/>
          </w:tcPr>
          <w:p w14:paraId="42EF6A02" w14:textId="77777777" w:rsidR="00FA4AA8" w:rsidRDefault="0015611F">
            <w:pPr>
              <w:pStyle w:val="TableParagraph"/>
              <w:spacing w:before="26"/>
              <w:ind w:left="50"/>
              <w:rPr>
                <w:sz w:val="18"/>
              </w:rPr>
            </w:pPr>
            <w:r>
              <w:rPr>
                <w:sz w:val="18"/>
              </w:rPr>
              <w:t>Cleaning and waste removal</w:t>
            </w:r>
          </w:p>
        </w:tc>
        <w:tc>
          <w:tcPr>
            <w:tcW w:w="1625" w:type="dxa"/>
          </w:tcPr>
          <w:p w14:paraId="75C2B47A" w14:textId="77777777" w:rsidR="00FA4AA8" w:rsidRDefault="0015611F">
            <w:pPr>
              <w:pStyle w:val="TableParagraph"/>
              <w:spacing w:before="24"/>
              <w:ind w:right="245"/>
              <w:jc w:val="right"/>
              <w:rPr>
                <w:b/>
                <w:sz w:val="18"/>
              </w:rPr>
            </w:pPr>
            <w:r>
              <w:rPr>
                <w:b/>
                <w:sz w:val="18"/>
              </w:rPr>
              <w:t>9,633</w:t>
            </w:r>
          </w:p>
        </w:tc>
        <w:tc>
          <w:tcPr>
            <w:tcW w:w="1379" w:type="dxa"/>
          </w:tcPr>
          <w:p w14:paraId="49929FC9" w14:textId="77777777" w:rsidR="00FA4AA8" w:rsidRDefault="0015611F">
            <w:pPr>
              <w:pStyle w:val="TableParagraph"/>
              <w:spacing w:before="24"/>
              <w:ind w:right="328"/>
              <w:jc w:val="right"/>
              <w:rPr>
                <w:sz w:val="18"/>
              </w:rPr>
            </w:pPr>
            <w:r>
              <w:rPr>
                <w:sz w:val="18"/>
              </w:rPr>
              <w:t>8,830</w:t>
            </w:r>
          </w:p>
        </w:tc>
        <w:tc>
          <w:tcPr>
            <w:tcW w:w="1379" w:type="dxa"/>
          </w:tcPr>
          <w:p w14:paraId="1908B86A" w14:textId="77777777" w:rsidR="00FA4AA8" w:rsidRDefault="0015611F">
            <w:pPr>
              <w:pStyle w:val="TableParagraph"/>
              <w:spacing w:before="24"/>
              <w:ind w:right="243"/>
              <w:jc w:val="right"/>
              <w:rPr>
                <w:b/>
                <w:sz w:val="18"/>
              </w:rPr>
            </w:pPr>
            <w:r>
              <w:rPr>
                <w:b/>
                <w:sz w:val="18"/>
              </w:rPr>
              <w:t>9,389</w:t>
            </w:r>
          </w:p>
        </w:tc>
        <w:tc>
          <w:tcPr>
            <w:tcW w:w="1133" w:type="dxa"/>
          </w:tcPr>
          <w:p w14:paraId="7E977E8A" w14:textId="77777777" w:rsidR="00FA4AA8" w:rsidRDefault="0015611F">
            <w:pPr>
              <w:pStyle w:val="TableParagraph"/>
              <w:spacing w:before="24"/>
              <w:ind w:right="80"/>
              <w:jc w:val="right"/>
              <w:rPr>
                <w:sz w:val="18"/>
              </w:rPr>
            </w:pPr>
            <w:r>
              <w:rPr>
                <w:sz w:val="18"/>
              </w:rPr>
              <w:t>8,582</w:t>
            </w:r>
          </w:p>
        </w:tc>
      </w:tr>
      <w:tr w:rsidR="00FA4AA8" w14:paraId="5484CBC0" w14:textId="77777777">
        <w:trPr>
          <w:trHeight w:val="264"/>
        </w:trPr>
        <w:tc>
          <w:tcPr>
            <w:tcW w:w="4012" w:type="dxa"/>
          </w:tcPr>
          <w:p w14:paraId="34BA5DA5" w14:textId="77777777" w:rsidR="00FA4AA8" w:rsidRDefault="0015611F">
            <w:pPr>
              <w:pStyle w:val="TableParagraph"/>
              <w:spacing w:before="26"/>
              <w:ind w:left="50"/>
              <w:rPr>
                <w:sz w:val="18"/>
              </w:rPr>
            </w:pPr>
            <w:r>
              <w:rPr>
                <w:sz w:val="18"/>
              </w:rPr>
              <w:t>Travel and entertainment</w:t>
            </w:r>
          </w:p>
        </w:tc>
        <w:tc>
          <w:tcPr>
            <w:tcW w:w="1625" w:type="dxa"/>
          </w:tcPr>
          <w:p w14:paraId="6CA75E34" w14:textId="77777777" w:rsidR="00FA4AA8" w:rsidRDefault="0015611F">
            <w:pPr>
              <w:pStyle w:val="TableParagraph"/>
              <w:spacing w:before="24"/>
              <w:ind w:right="245"/>
              <w:jc w:val="right"/>
              <w:rPr>
                <w:b/>
                <w:sz w:val="18"/>
              </w:rPr>
            </w:pPr>
            <w:r>
              <w:rPr>
                <w:b/>
                <w:sz w:val="18"/>
              </w:rPr>
              <w:t>9,227</w:t>
            </w:r>
          </w:p>
        </w:tc>
        <w:tc>
          <w:tcPr>
            <w:tcW w:w="1379" w:type="dxa"/>
          </w:tcPr>
          <w:p w14:paraId="6BD5D3DE" w14:textId="77777777" w:rsidR="00FA4AA8" w:rsidRDefault="0015611F">
            <w:pPr>
              <w:pStyle w:val="TableParagraph"/>
              <w:spacing w:before="24"/>
              <w:ind w:right="328"/>
              <w:jc w:val="right"/>
              <w:rPr>
                <w:sz w:val="18"/>
              </w:rPr>
            </w:pPr>
            <w:r>
              <w:rPr>
                <w:sz w:val="18"/>
              </w:rPr>
              <w:t>7,931</w:t>
            </w:r>
          </w:p>
        </w:tc>
        <w:tc>
          <w:tcPr>
            <w:tcW w:w="1379" w:type="dxa"/>
          </w:tcPr>
          <w:p w14:paraId="052DE9E8" w14:textId="77777777" w:rsidR="00FA4AA8" w:rsidRDefault="0015611F">
            <w:pPr>
              <w:pStyle w:val="TableParagraph"/>
              <w:spacing w:before="24"/>
              <w:ind w:right="243"/>
              <w:jc w:val="right"/>
              <w:rPr>
                <w:b/>
                <w:sz w:val="18"/>
              </w:rPr>
            </w:pPr>
            <w:r>
              <w:rPr>
                <w:b/>
                <w:sz w:val="18"/>
              </w:rPr>
              <w:t>9,164</w:t>
            </w:r>
          </w:p>
        </w:tc>
        <w:tc>
          <w:tcPr>
            <w:tcW w:w="1133" w:type="dxa"/>
          </w:tcPr>
          <w:p w14:paraId="4D731F4E" w14:textId="77777777" w:rsidR="00FA4AA8" w:rsidRDefault="0015611F">
            <w:pPr>
              <w:pStyle w:val="TableParagraph"/>
              <w:spacing w:before="24"/>
              <w:ind w:right="80"/>
              <w:jc w:val="right"/>
              <w:rPr>
                <w:sz w:val="18"/>
              </w:rPr>
            </w:pPr>
            <w:r>
              <w:rPr>
                <w:sz w:val="18"/>
              </w:rPr>
              <w:t>7,841</w:t>
            </w:r>
          </w:p>
        </w:tc>
      </w:tr>
      <w:tr w:rsidR="00FA4AA8" w14:paraId="25565EB5" w14:textId="77777777">
        <w:trPr>
          <w:trHeight w:val="263"/>
        </w:trPr>
        <w:tc>
          <w:tcPr>
            <w:tcW w:w="4012" w:type="dxa"/>
          </w:tcPr>
          <w:p w14:paraId="05896B7B" w14:textId="77777777" w:rsidR="00FA4AA8" w:rsidRDefault="0015611F">
            <w:pPr>
              <w:pStyle w:val="TableParagraph"/>
              <w:spacing w:before="26"/>
              <w:ind w:left="50"/>
              <w:rPr>
                <w:sz w:val="18"/>
              </w:rPr>
            </w:pPr>
            <w:r>
              <w:rPr>
                <w:sz w:val="18"/>
              </w:rPr>
              <w:t>Security costs</w:t>
            </w:r>
          </w:p>
        </w:tc>
        <w:tc>
          <w:tcPr>
            <w:tcW w:w="1625" w:type="dxa"/>
          </w:tcPr>
          <w:p w14:paraId="03ED024A" w14:textId="77777777" w:rsidR="00FA4AA8" w:rsidRDefault="0015611F">
            <w:pPr>
              <w:pStyle w:val="TableParagraph"/>
              <w:spacing w:before="24"/>
              <w:ind w:right="245"/>
              <w:jc w:val="right"/>
              <w:rPr>
                <w:b/>
                <w:sz w:val="18"/>
              </w:rPr>
            </w:pPr>
            <w:r>
              <w:rPr>
                <w:b/>
                <w:sz w:val="18"/>
              </w:rPr>
              <w:t>5,339</w:t>
            </w:r>
          </w:p>
        </w:tc>
        <w:tc>
          <w:tcPr>
            <w:tcW w:w="1379" w:type="dxa"/>
          </w:tcPr>
          <w:p w14:paraId="367D71A1" w14:textId="77777777" w:rsidR="00FA4AA8" w:rsidRDefault="0015611F">
            <w:pPr>
              <w:pStyle w:val="TableParagraph"/>
              <w:spacing w:before="24"/>
              <w:ind w:right="328"/>
              <w:jc w:val="right"/>
              <w:rPr>
                <w:sz w:val="18"/>
              </w:rPr>
            </w:pPr>
            <w:r>
              <w:rPr>
                <w:sz w:val="18"/>
              </w:rPr>
              <w:t>3,965</w:t>
            </w:r>
          </w:p>
        </w:tc>
        <w:tc>
          <w:tcPr>
            <w:tcW w:w="1379" w:type="dxa"/>
          </w:tcPr>
          <w:p w14:paraId="057CEF6E" w14:textId="77777777" w:rsidR="00FA4AA8" w:rsidRDefault="0015611F">
            <w:pPr>
              <w:pStyle w:val="TableParagraph"/>
              <w:spacing w:before="24"/>
              <w:ind w:right="243"/>
              <w:jc w:val="right"/>
              <w:rPr>
                <w:b/>
                <w:sz w:val="18"/>
              </w:rPr>
            </w:pPr>
            <w:r>
              <w:rPr>
                <w:b/>
                <w:sz w:val="18"/>
              </w:rPr>
              <w:t>5,299</w:t>
            </w:r>
          </w:p>
        </w:tc>
        <w:tc>
          <w:tcPr>
            <w:tcW w:w="1133" w:type="dxa"/>
          </w:tcPr>
          <w:p w14:paraId="24F9FC72" w14:textId="77777777" w:rsidR="00FA4AA8" w:rsidRDefault="0015611F">
            <w:pPr>
              <w:pStyle w:val="TableParagraph"/>
              <w:spacing w:before="24"/>
              <w:ind w:right="80"/>
              <w:jc w:val="right"/>
              <w:rPr>
                <w:sz w:val="18"/>
              </w:rPr>
            </w:pPr>
            <w:r>
              <w:rPr>
                <w:sz w:val="18"/>
              </w:rPr>
              <w:t>3,906</w:t>
            </w:r>
          </w:p>
        </w:tc>
      </w:tr>
      <w:tr w:rsidR="00FA4AA8" w14:paraId="3C4CE6BF" w14:textId="77777777">
        <w:trPr>
          <w:trHeight w:val="264"/>
        </w:trPr>
        <w:tc>
          <w:tcPr>
            <w:tcW w:w="4012" w:type="dxa"/>
          </w:tcPr>
          <w:p w14:paraId="7D7C0F8E" w14:textId="77777777" w:rsidR="00FA4AA8" w:rsidRDefault="0015611F">
            <w:pPr>
              <w:pStyle w:val="TableParagraph"/>
              <w:spacing w:before="26"/>
              <w:ind w:left="50"/>
              <w:rPr>
                <w:sz w:val="18"/>
              </w:rPr>
            </w:pPr>
            <w:r>
              <w:rPr>
                <w:sz w:val="18"/>
              </w:rPr>
              <w:t>Student education support</w:t>
            </w:r>
          </w:p>
        </w:tc>
        <w:tc>
          <w:tcPr>
            <w:tcW w:w="1625" w:type="dxa"/>
          </w:tcPr>
          <w:p w14:paraId="1B6DB792" w14:textId="77777777" w:rsidR="00FA4AA8" w:rsidRDefault="0015611F">
            <w:pPr>
              <w:pStyle w:val="TableParagraph"/>
              <w:spacing w:before="24"/>
              <w:ind w:right="245"/>
              <w:jc w:val="right"/>
              <w:rPr>
                <w:b/>
                <w:sz w:val="18"/>
              </w:rPr>
            </w:pPr>
            <w:r>
              <w:rPr>
                <w:b/>
                <w:sz w:val="18"/>
              </w:rPr>
              <w:t>4,994</w:t>
            </w:r>
          </w:p>
        </w:tc>
        <w:tc>
          <w:tcPr>
            <w:tcW w:w="1379" w:type="dxa"/>
          </w:tcPr>
          <w:p w14:paraId="5B280E9D" w14:textId="77777777" w:rsidR="00FA4AA8" w:rsidRDefault="0015611F">
            <w:pPr>
              <w:pStyle w:val="TableParagraph"/>
              <w:spacing w:before="24"/>
              <w:ind w:right="328"/>
              <w:jc w:val="right"/>
              <w:rPr>
                <w:sz w:val="18"/>
              </w:rPr>
            </w:pPr>
            <w:r>
              <w:rPr>
                <w:sz w:val="18"/>
              </w:rPr>
              <w:t>3,689</w:t>
            </w:r>
          </w:p>
        </w:tc>
        <w:tc>
          <w:tcPr>
            <w:tcW w:w="1379" w:type="dxa"/>
          </w:tcPr>
          <w:p w14:paraId="2AC58E2E" w14:textId="77777777" w:rsidR="00FA4AA8" w:rsidRDefault="0015611F">
            <w:pPr>
              <w:pStyle w:val="TableParagraph"/>
              <w:spacing w:before="24"/>
              <w:ind w:right="243"/>
              <w:jc w:val="right"/>
              <w:rPr>
                <w:b/>
                <w:sz w:val="18"/>
              </w:rPr>
            </w:pPr>
            <w:r>
              <w:rPr>
                <w:b/>
                <w:sz w:val="18"/>
              </w:rPr>
              <w:t>4,994</w:t>
            </w:r>
          </w:p>
        </w:tc>
        <w:tc>
          <w:tcPr>
            <w:tcW w:w="1133" w:type="dxa"/>
          </w:tcPr>
          <w:p w14:paraId="77EC38D3" w14:textId="77777777" w:rsidR="00FA4AA8" w:rsidRDefault="0015611F">
            <w:pPr>
              <w:pStyle w:val="TableParagraph"/>
              <w:spacing w:before="24"/>
              <w:ind w:right="80"/>
              <w:jc w:val="right"/>
              <w:rPr>
                <w:sz w:val="18"/>
              </w:rPr>
            </w:pPr>
            <w:r>
              <w:rPr>
                <w:sz w:val="18"/>
              </w:rPr>
              <w:t>3,689</w:t>
            </w:r>
          </w:p>
        </w:tc>
      </w:tr>
      <w:tr w:rsidR="00FA4AA8" w14:paraId="03DB52D5" w14:textId="77777777">
        <w:trPr>
          <w:trHeight w:val="263"/>
        </w:trPr>
        <w:tc>
          <w:tcPr>
            <w:tcW w:w="4012" w:type="dxa"/>
          </w:tcPr>
          <w:p w14:paraId="6D3CFD08" w14:textId="77777777" w:rsidR="00FA4AA8" w:rsidRDefault="0015611F">
            <w:pPr>
              <w:pStyle w:val="TableParagraph"/>
              <w:spacing w:before="26"/>
              <w:ind w:left="50"/>
              <w:rPr>
                <w:sz w:val="18"/>
              </w:rPr>
            </w:pPr>
            <w:r>
              <w:rPr>
                <w:sz w:val="18"/>
              </w:rPr>
              <w:t>Non-capitalised equipment</w:t>
            </w:r>
          </w:p>
        </w:tc>
        <w:tc>
          <w:tcPr>
            <w:tcW w:w="1625" w:type="dxa"/>
          </w:tcPr>
          <w:p w14:paraId="57C41F54" w14:textId="77777777" w:rsidR="00FA4AA8" w:rsidRDefault="0015611F">
            <w:pPr>
              <w:pStyle w:val="TableParagraph"/>
              <w:spacing w:before="24"/>
              <w:ind w:right="245"/>
              <w:jc w:val="right"/>
              <w:rPr>
                <w:b/>
                <w:sz w:val="18"/>
              </w:rPr>
            </w:pPr>
            <w:r>
              <w:rPr>
                <w:b/>
                <w:sz w:val="18"/>
              </w:rPr>
              <w:t>3,234</w:t>
            </w:r>
          </w:p>
        </w:tc>
        <w:tc>
          <w:tcPr>
            <w:tcW w:w="1379" w:type="dxa"/>
          </w:tcPr>
          <w:p w14:paraId="19F2CA6F" w14:textId="77777777" w:rsidR="00FA4AA8" w:rsidRDefault="0015611F">
            <w:pPr>
              <w:pStyle w:val="TableParagraph"/>
              <w:spacing w:before="24"/>
              <w:ind w:right="328"/>
              <w:jc w:val="right"/>
              <w:rPr>
                <w:sz w:val="18"/>
              </w:rPr>
            </w:pPr>
            <w:r>
              <w:rPr>
                <w:sz w:val="18"/>
              </w:rPr>
              <w:t>3,151</w:t>
            </w:r>
          </w:p>
        </w:tc>
        <w:tc>
          <w:tcPr>
            <w:tcW w:w="1379" w:type="dxa"/>
          </w:tcPr>
          <w:p w14:paraId="124CD3E7" w14:textId="77777777" w:rsidR="00FA4AA8" w:rsidRDefault="0015611F">
            <w:pPr>
              <w:pStyle w:val="TableParagraph"/>
              <w:spacing w:before="24"/>
              <w:ind w:right="243"/>
              <w:jc w:val="right"/>
              <w:rPr>
                <w:b/>
                <w:sz w:val="18"/>
              </w:rPr>
            </w:pPr>
            <w:r>
              <w:rPr>
                <w:b/>
                <w:sz w:val="18"/>
              </w:rPr>
              <w:t>3,110</w:t>
            </w:r>
          </w:p>
        </w:tc>
        <w:tc>
          <w:tcPr>
            <w:tcW w:w="1133" w:type="dxa"/>
          </w:tcPr>
          <w:p w14:paraId="2869F4A6" w14:textId="77777777" w:rsidR="00FA4AA8" w:rsidRDefault="0015611F">
            <w:pPr>
              <w:pStyle w:val="TableParagraph"/>
              <w:spacing w:before="24"/>
              <w:ind w:right="80"/>
              <w:jc w:val="right"/>
              <w:rPr>
                <w:sz w:val="18"/>
              </w:rPr>
            </w:pPr>
            <w:r>
              <w:rPr>
                <w:sz w:val="18"/>
              </w:rPr>
              <w:t>3,021</w:t>
            </w:r>
          </w:p>
        </w:tc>
      </w:tr>
      <w:tr w:rsidR="00FA4AA8" w14:paraId="14B8F29D" w14:textId="77777777">
        <w:trPr>
          <w:trHeight w:val="233"/>
        </w:trPr>
        <w:tc>
          <w:tcPr>
            <w:tcW w:w="4012" w:type="dxa"/>
          </w:tcPr>
          <w:p w14:paraId="100576A5" w14:textId="77777777" w:rsidR="00FA4AA8" w:rsidRDefault="0015611F">
            <w:pPr>
              <w:pStyle w:val="TableParagraph"/>
              <w:spacing w:before="26" w:line="187" w:lineRule="exact"/>
              <w:ind w:left="50"/>
              <w:rPr>
                <w:sz w:val="18"/>
              </w:rPr>
            </w:pPr>
            <w:r>
              <w:rPr>
                <w:sz w:val="18"/>
              </w:rPr>
              <w:t>Staff development</w:t>
            </w:r>
          </w:p>
        </w:tc>
        <w:tc>
          <w:tcPr>
            <w:tcW w:w="1625" w:type="dxa"/>
          </w:tcPr>
          <w:p w14:paraId="3CA5536F" w14:textId="77777777" w:rsidR="00FA4AA8" w:rsidRDefault="0015611F">
            <w:pPr>
              <w:pStyle w:val="TableParagraph"/>
              <w:spacing w:before="24" w:line="189" w:lineRule="exact"/>
              <w:ind w:right="245"/>
              <w:jc w:val="right"/>
              <w:rPr>
                <w:b/>
                <w:sz w:val="18"/>
              </w:rPr>
            </w:pPr>
            <w:r>
              <w:rPr>
                <w:b/>
                <w:sz w:val="18"/>
              </w:rPr>
              <w:t>2,580</w:t>
            </w:r>
          </w:p>
        </w:tc>
        <w:tc>
          <w:tcPr>
            <w:tcW w:w="1379" w:type="dxa"/>
          </w:tcPr>
          <w:p w14:paraId="2D7EABB5" w14:textId="77777777" w:rsidR="00FA4AA8" w:rsidRDefault="0015611F">
            <w:pPr>
              <w:pStyle w:val="TableParagraph"/>
              <w:spacing w:before="24" w:line="189" w:lineRule="exact"/>
              <w:ind w:right="328"/>
              <w:jc w:val="right"/>
              <w:rPr>
                <w:sz w:val="18"/>
              </w:rPr>
            </w:pPr>
            <w:r>
              <w:rPr>
                <w:sz w:val="18"/>
              </w:rPr>
              <w:t>2,097</w:t>
            </w:r>
          </w:p>
        </w:tc>
        <w:tc>
          <w:tcPr>
            <w:tcW w:w="1379" w:type="dxa"/>
          </w:tcPr>
          <w:p w14:paraId="6F8E052F" w14:textId="77777777" w:rsidR="00FA4AA8" w:rsidRDefault="0015611F">
            <w:pPr>
              <w:pStyle w:val="TableParagraph"/>
              <w:spacing w:before="24" w:line="189" w:lineRule="exact"/>
              <w:ind w:right="243"/>
              <w:jc w:val="right"/>
              <w:rPr>
                <w:b/>
                <w:sz w:val="18"/>
              </w:rPr>
            </w:pPr>
            <w:r>
              <w:rPr>
                <w:b/>
                <w:sz w:val="18"/>
              </w:rPr>
              <w:t>2,521</w:t>
            </w:r>
          </w:p>
        </w:tc>
        <w:tc>
          <w:tcPr>
            <w:tcW w:w="1133" w:type="dxa"/>
          </w:tcPr>
          <w:p w14:paraId="3669D263" w14:textId="77777777" w:rsidR="00FA4AA8" w:rsidRDefault="0015611F">
            <w:pPr>
              <w:pStyle w:val="TableParagraph"/>
              <w:spacing w:before="24" w:line="189" w:lineRule="exact"/>
              <w:ind w:right="80"/>
              <w:jc w:val="right"/>
              <w:rPr>
                <w:sz w:val="18"/>
              </w:rPr>
            </w:pPr>
            <w:r>
              <w:rPr>
                <w:sz w:val="18"/>
              </w:rPr>
              <w:t>2,007</w:t>
            </w:r>
          </w:p>
        </w:tc>
      </w:tr>
      <w:tr w:rsidR="00FA4AA8" w14:paraId="37C8101D" w14:textId="77777777">
        <w:trPr>
          <w:trHeight w:val="345"/>
        </w:trPr>
        <w:tc>
          <w:tcPr>
            <w:tcW w:w="9528" w:type="dxa"/>
            <w:gridSpan w:val="5"/>
          </w:tcPr>
          <w:p w14:paraId="164031ED" w14:textId="77777777" w:rsidR="00FA4AA8" w:rsidRDefault="0015611F">
            <w:pPr>
              <w:pStyle w:val="TableParagraph"/>
              <w:tabs>
                <w:tab w:val="left" w:pos="4012"/>
                <w:tab w:val="left" w:pos="4835"/>
                <w:tab w:val="left" w:pos="6131"/>
                <w:tab w:val="left" w:pos="7595"/>
                <w:tab w:val="left" w:pos="8891"/>
              </w:tabs>
              <w:spacing w:before="138" w:line="187" w:lineRule="exact"/>
              <w:ind w:left="50"/>
              <w:rPr>
                <w:sz w:val="18"/>
              </w:rPr>
            </w:pPr>
            <w:r>
              <w:rPr>
                <w:sz w:val="18"/>
              </w:rPr>
              <w:t>Other expenses</w:t>
            </w:r>
            <w:r>
              <w:rPr>
                <w:sz w:val="18"/>
              </w:rPr>
              <w:tab/>
            </w:r>
            <w:r>
              <w:rPr>
                <w:sz w:val="18"/>
                <w:u w:val="single"/>
              </w:rPr>
              <w:t xml:space="preserve"> </w:t>
            </w:r>
            <w:r>
              <w:rPr>
                <w:sz w:val="18"/>
                <w:u w:val="single"/>
              </w:rPr>
              <w:tab/>
            </w:r>
            <w:r>
              <w:rPr>
                <w:b/>
                <w:sz w:val="18"/>
                <w:u w:val="single"/>
              </w:rPr>
              <w:t>11,068</w:t>
            </w:r>
            <w:r>
              <w:rPr>
                <w:b/>
                <w:sz w:val="18"/>
                <w:u w:val="single"/>
              </w:rPr>
              <w:tab/>
            </w:r>
            <w:r>
              <w:rPr>
                <w:sz w:val="18"/>
                <w:u w:val="single"/>
              </w:rPr>
              <w:t>11,090</w:t>
            </w:r>
            <w:r>
              <w:rPr>
                <w:sz w:val="18"/>
                <w:u w:val="single"/>
              </w:rPr>
              <w:tab/>
            </w:r>
            <w:r>
              <w:rPr>
                <w:b/>
                <w:sz w:val="18"/>
                <w:u w:val="single"/>
              </w:rPr>
              <w:t>10,390</w:t>
            </w:r>
            <w:r>
              <w:rPr>
                <w:b/>
                <w:sz w:val="18"/>
                <w:u w:val="single"/>
              </w:rPr>
              <w:tab/>
            </w:r>
            <w:r>
              <w:rPr>
                <w:sz w:val="18"/>
                <w:u w:val="single"/>
              </w:rPr>
              <w:t>10,274</w:t>
            </w:r>
          </w:p>
        </w:tc>
      </w:tr>
      <w:tr w:rsidR="00FA4AA8" w14:paraId="0D7A562C" w14:textId="77777777">
        <w:trPr>
          <w:trHeight w:val="332"/>
        </w:trPr>
        <w:tc>
          <w:tcPr>
            <w:tcW w:w="4012" w:type="dxa"/>
          </w:tcPr>
          <w:p w14:paraId="111EF929" w14:textId="77777777" w:rsidR="00FA4AA8" w:rsidRDefault="0015611F">
            <w:pPr>
              <w:pStyle w:val="TableParagraph"/>
              <w:spacing w:before="131" w:line="181" w:lineRule="exact"/>
              <w:ind w:left="50"/>
              <w:rPr>
                <w:b/>
                <w:sz w:val="18"/>
              </w:rPr>
            </w:pPr>
            <w:r>
              <w:rPr>
                <w:b/>
                <w:sz w:val="18"/>
              </w:rPr>
              <w:t>Total other expenses</w:t>
            </w:r>
          </w:p>
        </w:tc>
        <w:tc>
          <w:tcPr>
            <w:tcW w:w="1625" w:type="dxa"/>
            <w:tcBorders>
              <w:bottom w:val="single" w:sz="2" w:space="0" w:color="000000"/>
            </w:tcBorders>
          </w:tcPr>
          <w:p w14:paraId="6C495E74" w14:textId="77777777" w:rsidR="00FA4AA8" w:rsidRDefault="0015611F">
            <w:pPr>
              <w:pStyle w:val="TableParagraph"/>
              <w:spacing w:before="102"/>
              <w:ind w:right="245"/>
              <w:jc w:val="right"/>
              <w:rPr>
                <w:b/>
                <w:sz w:val="18"/>
              </w:rPr>
            </w:pPr>
            <w:r>
              <w:rPr>
                <w:b/>
                <w:sz w:val="18"/>
              </w:rPr>
              <w:t>263,245</w:t>
            </w:r>
          </w:p>
        </w:tc>
        <w:tc>
          <w:tcPr>
            <w:tcW w:w="1379" w:type="dxa"/>
            <w:tcBorders>
              <w:bottom w:val="single" w:sz="6" w:space="0" w:color="000000"/>
            </w:tcBorders>
          </w:tcPr>
          <w:p w14:paraId="55B969B2" w14:textId="77777777" w:rsidR="00FA4AA8" w:rsidRDefault="0015611F">
            <w:pPr>
              <w:pStyle w:val="TableParagraph"/>
              <w:spacing w:before="102"/>
              <w:ind w:right="328"/>
              <w:jc w:val="right"/>
              <w:rPr>
                <w:sz w:val="18"/>
              </w:rPr>
            </w:pPr>
            <w:r>
              <w:rPr>
                <w:sz w:val="18"/>
              </w:rPr>
              <w:t>222,643</w:t>
            </w:r>
          </w:p>
        </w:tc>
        <w:tc>
          <w:tcPr>
            <w:tcW w:w="1379" w:type="dxa"/>
            <w:tcBorders>
              <w:bottom w:val="thinThickMediumGap" w:sz="2" w:space="0" w:color="000000"/>
            </w:tcBorders>
          </w:tcPr>
          <w:p w14:paraId="4518BEAF" w14:textId="77777777" w:rsidR="00FA4AA8" w:rsidRDefault="0015611F">
            <w:pPr>
              <w:pStyle w:val="TableParagraph"/>
              <w:spacing w:before="102"/>
              <w:ind w:right="243"/>
              <w:jc w:val="right"/>
              <w:rPr>
                <w:b/>
                <w:sz w:val="18"/>
              </w:rPr>
            </w:pPr>
            <w:r>
              <w:rPr>
                <w:b/>
                <w:sz w:val="18"/>
              </w:rPr>
              <w:t>305,225</w:t>
            </w:r>
          </w:p>
        </w:tc>
        <w:tc>
          <w:tcPr>
            <w:tcW w:w="1133" w:type="dxa"/>
            <w:tcBorders>
              <w:bottom w:val="thinThickMediumGap" w:sz="2" w:space="0" w:color="000000"/>
            </w:tcBorders>
          </w:tcPr>
          <w:p w14:paraId="6158246D" w14:textId="77777777" w:rsidR="00FA4AA8" w:rsidRDefault="0015611F">
            <w:pPr>
              <w:pStyle w:val="TableParagraph"/>
              <w:spacing w:before="102"/>
              <w:ind w:right="80"/>
              <w:jc w:val="right"/>
              <w:rPr>
                <w:sz w:val="18"/>
              </w:rPr>
            </w:pPr>
            <w:r>
              <w:rPr>
                <w:sz w:val="18"/>
              </w:rPr>
              <w:t>265,461</w:t>
            </w:r>
          </w:p>
        </w:tc>
      </w:tr>
    </w:tbl>
    <w:p w14:paraId="29489108" w14:textId="77777777" w:rsidR="00FA4AA8" w:rsidRDefault="00FA4AA8">
      <w:pPr>
        <w:pStyle w:val="BodyText"/>
        <w:spacing w:before="7"/>
        <w:rPr>
          <w:b/>
          <w:sz w:val="19"/>
        </w:rPr>
      </w:pPr>
    </w:p>
    <w:p w14:paraId="5FF0987A" w14:textId="77777777" w:rsidR="00FA4AA8" w:rsidRDefault="007E2441">
      <w:pPr>
        <w:pStyle w:val="BodyText"/>
        <w:spacing w:before="94"/>
        <w:ind w:left="564"/>
      </w:pPr>
      <w:r>
        <w:rPr>
          <w:noProof/>
          <w:lang w:val="en-AU" w:eastAsia="en-AU"/>
        </w:rPr>
        <mc:AlternateContent>
          <mc:Choice Requires="wpg">
            <w:drawing>
              <wp:anchor distT="0" distB="0" distL="114300" distR="114300" simplePos="0" relativeHeight="15741440" behindDoc="0" locked="0" layoutInCell="1" allowOverlap="1" wp14:anchorId="37575DCA" wp14:editId="2DB5EDEB">
                <wp:simplePos x="0" y="0"/>
                <wp:positionH relativeFrom="page">
                  <wp:posOffset>3424555</wp:posOffset>
                </wp:positionH>
                <wp:positionV relativeFrom="paragraph">
                  <wp:posOffset>-149225</wp:posOffset>
                </wp:positionV>
                <wp:extent cx="2383155" cy="16510"/>
                <wp:effectExtent l="0" t="0" r="0" b="0"/>
                <wp:wrapNone/>
                <wp:docPr id="2993" name="Group 2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3155" cy="16510"/>
                          <a:chOff x="5393" y="-235"/>
                          <a:chExt cx="5520" cy="39"/>
                        </a:xfrm>
                      </wpg:grpSpPr>
                      <wps:wsp>
                        <wps:cNvPr id="2994" name="Line 2793"/>
                        <wps:cNvCnPr>
                          <a:cxnSpLocks noChangeShapeType="1"/>
                        </wps:cNvCnPr>
                        <wps:spPr bwMode="auto">
                          <a:xfrm>
                            <a:off x="5393" y="-200"/>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995" name="Line 2792"/>
                        <wps:cNvCnPr>
                          <a:cxnSpLocks noChangeShapeType="1"/>
                        </wps:cNvCnPr>
                        <wps:spPr bwMode="auto">
                          <a:xfrm>
                            <a:off x="5393" y="-198"/>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996" name="Line 2791"/>
                        <wps:cNvCnPr>
                          <a:cxnSpLocks noChangeShapeType="1"/>
                        </wps:cNvCnPr>
                        <wps:spPr bwMode="auto">
                          <a:xfrm>
                            <a:off x="5561" y="-21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997" name="Line 2790"/>
                        <wps:cNvCnPr>
                          <a:cxnSpLocks noChangeShapeType="1"/>
                        </wps:cNvCnPr>
                        <wps:spPr bwMode="auto">
                          <a:xfrm>
                            <a:off x="5561" y="-20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998" name="Line 2789"/>
                        <wps:cNvCnPr>
                          <a:cxnSpLocks noChangeShapeType="1"/>
                        </wps:cNvCnPr>
                        <wps:spPr bwMode="auto">
                          <a:xfrm>
                            <a:off x="5561" y="-20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999" name="Line 2788"/>
                        <wps:cNvCnPr>
                          <a:cxnSpLocks noChangeShapeType="1"/>
                        </wps:cNvCnPr>
                        <wps:spPr bwMode="auto">
                          <a:xfrm>
                            <a:off x="5561" y="-20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000" name="Line 2787"/>
                        <wps:cNvCnPr>
                          <a:cxnSpLocks noChangeShapeType="1"/>
                        </wps:cNvCnPr>
                        <wps:spPr bwMode="auto">
                          <a:xfrm>
                            <a:off x="5561" y="-20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001" name="Line 2786"/>
                        <wps:cNvCnPr>
                          <a:cxnSpLocks noChangeShapeType="1"/>
                        </wps:cNvCnPr>
                        <wps:spPr bwMode="auto">
                          <a:xfrm>
                            <a:off x="5561" y="-19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002" name="Line 2785"/>
                        <wps:cNvCnPr>
                          <a:cxnSpLocks noChangeShapeType="1"/>
                        </wps:cNvCnPr>
                        <wps:spPr bwMode="auto">
                          <a:xfrm>
                            <a:off x="6857" y="-21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003" name="Line 2784"/>
                        <wps:cNvCnPr>
                          <a:cxnSpLocks noChangeShapeType="1"/>
                        </wps:cNvCnPr>
                        <wps:spPr bwMode="auto">
                          <a:xfrm>
                            <a:off x="6857" y="-20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004" name="Line 2783"/>
                        <wps:cNvCnPr>
                          <a:cxnSpLocks noChangeShapeType="1"/>
                        </wps:cNvCnPr>
                        <wps:spPr bwMode="auto">
                          <a:xfrm>
                            <a:off x="6857" y="-20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005" name="Line 2782"/>
                        <wps:cNvCnPr>
                          <a:cxnSpLocks noChangeShapeType="1"/>
                        </wps:cNvCnPr>
                        <wps:spPr bwMode="auto">
                          <a:xfrm>
                            <a:off x="6857" y="-20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006" name="Line 2781"/>
                        <wps:cNvCnPr>
                          <a:cxnSpLocks noChangeShapeType="1"/>
                        </wps:cNvCnPr>
                        <wps:spPr bwMode="auto">
                          <a:xfrm>
                            <a:off x="6857" y="-20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007" name="Line 2780"/>
                        <wps:cNvCnPr>
                          <a:cxnSpLocks noChangeShapeType="1"/>
                        </wps:cNvCnPr>
                        <wps:spPr bwMode="auto">
                          <a:xfrm>
                            <a:off x="6857" y="-19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008" name="Line 2779"/>
                        <wps:cNvCnPr>
                          <a:cxnSpLocks noChangeShapeType="1"/>
                        </wps:cNvCnPr>
                        <wps:spPr bwMode="auto">
                          <a:xfrm>
                            <a:off x="8153" y="-210"/>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009" name="Line 2778"/>
                        <wps:cNvCnPr>
                          <a:cxnSpLocks noChangeShapeType="1"/>
                        </wps:cNvCnPr>
                        <wps:spPr bwMode="auto">
                          <a:xfrm>
                            <a:off x="8153" y="-208"/>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010" name="Line 2777"/>
                        <wps:cNvCnPr>
                          <a:cxnSpLocks noChangeShapeType="1"/>
                        </wps:cNvCnPr>
                        <wps:spPr bwMode="auto">
                          <a:xfrm>
                            <a:off x="8153" y="-205"/>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011" name="Line 2776"/>
                        <wps:cNvCnPr>
                          <a:cxnSpLocks noChangeShapeType="1"/>
                        </wps:cNvCnPr>
                        <wps:spPr bwMode="auto">
                          <a:xfrm>
                            <a:off x="8153" y="-203"/>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012" name="Line 2775"/>
                        <wps:cNvCnPr>
                          <a:cxnSpLocks noChangeShapeType="1"/>
                        </wps:cNvCnPr>
                        <wps:spPr bwMode="auto">
                          <a:xfrm>
                            <a:off x="8153" y="-200"/>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013" name="Line 2774"/>
                        <wps:cNvCnPr>
                          <a:cxnSpLocks noChangeShapeType="1"/>
                        </wps:cNvCnPr>
                        <wps:spPr bwMode="auto">
                          <a:xfrm>
                            <a:off x="8153" y="-198"/>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014" name="Line 2773"/>
                        <wps:cNvCnPr>
                          <a:cxnSpLocks noChangeShapeType="1"/>
                        </wps:cNvCnPr>
                        <wps:spPr bwMode="auto">
                          <a:xfrm>
                            <a:off x="8321" y="-234"/>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015" name="Line 2772"/>
                        <wps:cNvCnPr>
                          <a:cxnSpLocks noChangeShapeType="1"/>
                        </wps:cNvCnPr>
                        <wps:spPr bwMode="auto">
                          <a:xfrm>
                            <a:off x="8321" y="-21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016" name="Line 2771"/>
                        <wps:cNvCnPr>
                          <a:cxnSpLocks noChangeShapeType="1"/>
                        </wps:cNvCnPr>
                        <wps:spPr bwMode="auto">
                          <a:xfrm>
                            <a:off x="8321" y="-20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017" name="Line 2770"/>
                        <wps:cNvCnPr>
                          <a:cxnSpLocks noChangeShapeType="1"/>
                        </wps:cNvCnPr>
                        <wps:spPr bwMode="auto">
                          <a:xfrm>
                            <a:off x="8321" y="-20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018" name="Line 2769"/>
                        <wps:cNvCnPr>
                          <a:cxnSpLocks noChangeShapeType="1"/>
                        </wps:cNvCnPr>
                        <wps:spPr bwMode="auto">
                          <a:xfrm>
                            <a:off x="8321" y="-20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019" name="Line 2768"/>
                        <wps:cNvCnPr>
                          <a:cxnSpLocks noChangeShapeType="1"/>
                        </wps:cNvCnPr>
                        <wps:spPr bwMode="auto">
                          <a:xfrm>
                            <a:off x="8321" y="-20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020" name="Line 2767"/>
                        <wps:cNvCnPr>
                          <a:cxnSpLocks noChangeShapeType="1"/>
                        </wps:cNvCnPr>
                        <wps:spPr bwMode="auto">
                          <a:xfrm>
                            <a:off x="8321" y="-19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021" name="Line 2766"/>
                        <wps:cNvCnPr>
                          <a:cxnSpLocks noChangeShapeType="1"/>
                        </wps:cNvCnPr>
                        <wps:spPr bwMode="auto">
                          <a:xfrm>
                            <a:off x="9617" y="-234"/>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022" name="Line 2765"/>
                        <wps:cNvCnPr>
                          <a:cxnSpLocks noChangeShapeType="1"/>
                        </wps:cNvCnPr>
                        <wps:spPr bwMode="auto">
                          <a:xfrm>
                            <a:off x="9617" y="-21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023" name="Line 2764"/>
                        <wps:cNvCnPr>
                          <a:cxnSpLocks noChangeShapeType="1"/>
                        </wps:cNvCnPr>
                        <wps:spPr bwMode="auto">
                          <a:xfrm>
                            <a:off x="9617" y="-20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024" name="Line 2763"/>
                        <wps:cNvCnPr>
                          <a:cxnSpLocks noChangeShapeType="1"/>
                        </wps:cNvCnPr>
                        <wps:spPr bwMode="auto">
                          <a:xfrm>
                            <a:off x="9617" y="-20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025" name="Line 2762"/>
                        <wps:cNvCnPr>
                          <a:cxnSpLocks noChangeShapeType="1"/>
                        </wps:cNvCnPr>
                        <wps:spPr bwMode="auto">
                          <a:xfrm>
                            <a:off x="9617" y="-20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026" name="Line 2761"/>
                        <wps:cNvCnPr>
                          <a:cxnSpLocks noChangeShapeType="1"/>
                        </wps:cNvCnPr>
                        <wps:spPr bwMode="auto">
                          <a:xfrm>
                            <a:off x="9617" y="-20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027" name="Line 2760"/>
                        <wps:cNvCnPr>
                          <a:cxnSpLocks noChangeShapeType="1"/>
                        </wps:cNvCnPr>
                        <wps:spPr bwMode="auto">
                          <a:xfrm>
                            <a:off x="9617" y="-19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278C01" id="Group 2759" o:spid="_x0000_s1026" style="position:absolute;margin-left:269.65pt;margin-top:-11.75pt;width:187.65pt;height:1.3pt;z-index:15741440;mso-position-horizontal-relative:page" coordorigin="5393,-235" coordsize="552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">
                <v:line id="Line 2793" o:spid="_x0000_s1027" style="position:absolute;visibility:visible;mso-wrap-style:square" from="5393,-200" to="5561,-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" strokeweight=".12pt"/>
                <v:line id="Line 2792" o:spid="_x0000_s1028" style="position:absolute;visibility:visible;mso-wrap-style:square" from="5393,-198" to="5561,-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" strokeweight=".12pt"/>
                <v:line id="Line 2791" o:spid="_x0000_s1029" style="position:absolute;visibility:visible;mso-wrap-style:square" from="5561,-210" to="6857,-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" strokeweight=".12pt"/>
                <v:line id="Line 2790" o:spid="_x0000_s1030" style="position:absolute;visibility:visible;mso-wrap-style:square" from="5561,-208" to="6857,-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" strokeweight=".12pt"/>
                <v:line id="Line 2789" o:spid="_x0000_s1031" style="position:absolute;visibility:visible;mso-wrap-style:square" from="5561,-205" to="6857,-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" strokeweight=".12pt"/>
                <v:line id="Line 2788" o:spid="_x0000_s1032" style="position:absolute;visibility:visible;mso-wrap-style:square" from="5561,-203" to="6857,-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" strokeweight=".12pt"/>
                <v:line id="Line 2787" o:spid="_x0000_s1033" style="position:absolute;visibility:visible;mso-wrap-style:square" from="5561,-200" to="685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" strokeweight=".12pt"/>
                <v:line id="Line 2786" o:spid="_x0000_s1034" style="position:absolute;visibility:visible;mso-wrap-style:square" from="5561,-198" to="6857,-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" strokeweight=".12pt"/>
                <v:line id="Line 2785" o:spid="_x0000_s1035" style="position:absolute;visibility:visible;mso-wrap-style:square" from="6857,-210" to="8153,-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" strokeweight=".12pt"/>
                <v:line id="Line 2784" o:spid="_x0000_s1036" style="position:absolute;visibility:visible;mso-wrap-style:square" from="6857,-208" to="8153,-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" strokeweight=".12pt"/>
                <v:line id="Line 2783" o:spid="_x0000_s1037" style="position:absolute;visibility:visible;mso-wrap-style:square" from="6857,-205" to="8153,-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" strokeweight=".12pt"/>
                <v:line id="Line 2782" o:spid="_x0000_s1038" style="position:absolute;visibility:visible;mso-wrap-style:square" from="6857,-203" to="8153,-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" strokeweight=".12pt"/>
                <v:line id="Line 2781" o:spid="_x0000_s1039" style="position:absolute;visibility:visible;mso-wrap-style:square" from="6857,-200" to="8153,-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" strokeweight=".12pt"/>
                <v:line id="Line 2780" o:spid="_x0000_s1040" style="position:absolute;visibility:visible;mso-wrap-style:square" from="6857,-198" to="8153,-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" strokeweight=".12pt"/>
                <v:line id="Line 2779" o:spid="_x0000_s1041" style="position:absolute;visibility:visible;mso-wrap-style:square" from="8153,-210" to="8321,-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" strokeweight=".12pt"/>
                <v:line id="Line 2778" o:spid="_x0000_s1042" style="position:absolute;visibility:visible;mso-wrap-style:square" from="8153,-208" to="8321,-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" strokeweight=".12pt"/>
                <v:line id="Line 2777" o:spid="_x0000_s1043" style="position:absolute;visibility:visible;mso-wrap-style:square" from="8153,-205" to="832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" strokeweight=".12pt"/>
                <v:line id="Line 2776" o:spid="_x0000_s1044" style="position:absolute;visibility:visible;mso-wrap-style:square" from="8153,-203" to="8321,-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" strokeweight=".12pt"/>
                <v:line id="Line 2775" o:spid="_x0000_s1045" style="position:absolute;visibility:visible;mso-wrap-style:square" from="8153,-200" to="8321,-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" strokeweight=".12pt"/>
                <v:line id="Line 2774" o:spid="_x0000_s1046" style="position:absolute;visibility:visible;mso-wrap-style:square" from="8153,-198" to="8321,-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" strokeweight=".12pt"/>
                <v:line id="Line 2773" o:spid="_x0000_s1047" style="position:absolute;visibility:visible;mso-wrap-style:square" from="8321,-234" to="9617,-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" strokeweight=".12pt"/>
                <v:line id="Line 2772" o:spid="_x0000_s1048" style="position:absolute;visibility:visible;mso-wrap-style:square" from="8321,-210" to="9617,-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" strokeweight=".12pt"/>
                <v:line id="Line 2771" o:spid="_x0000_s1049" style="position:absolute;visibility:visible;mso-wrap-style:square" from="8321,-208" to="9617,-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" strokeweight=".12pt"/>
                <v:line id="Line 2770" o:spid="_x0000_s1050" style="position:absolute;visibility:visible;mso-wrap-style:square" from="8321,-205" to="9617,-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" strokeweight=".12pt"/>
                <v:line id="Line 2769" o:spid="_x0000_s1051" style="position:absolute;visibility:visible;mso-wrap-style:square" from="8321,-203" to="9617,-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" strokeweight=".12pt"/>
                <v:line id="Line 2768" o:spid="_x0000_s1052" style="position:absolute;visibility:visible;mso-wrap-style:square" from="8321,-200" to="961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" strokeweight=".12pt"/>
                <v:line id="Line 2767" o:spid="_x0000_s1053" style="position:absolute;visibility:visible;mso-wrap-style:square" from="8321,-198" to="9617,-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" strokeweight=".12pt"/>
                <v:line id="Line 2766" o:spid="_x0000_s1054" style="position:absolute;visibility:visible;mso-wrap-style:square" from="9617,-234" to="10913,-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" strokeweight=".12pt"/>
                <v:line id="Line 2765" o:spid="_x0000_s1055" style="position:absolute;visibility:visible;mso-wrap-style:square" from="9617,-210" to="10913,-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" strokeweight=".12pt"/>
                <v:line id="Line 2764" o:spid="_x0000_s1056" style="position:absolute;visibility:visible;mso-wrap-style:square" from="9617,-208" to="10913,-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" strokeweight=".12pt"/>
                <v:line id="Line 2763" o:spid="_x0000_s1057" style="position:absolute;visibility:visible;mso-wrap-style:square" from="9617,-205" to="10913,-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" strokeweight=".12pt"/>
                <v:line id="Line 2762" o:spid="_x0000_s1058" style="position:absolute;visibility:visible;mso-wrap-style:square" from="9617,-203" to="10913,-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" strokeweight=".12pt"/>
                <v:line id="Line 2761" o:spid="_x0000_s1059" style="position:absolute;visibility:visible;mso-wrap-style:square" from="9617,-200" to="10913,-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" strokeweight=".12pt"/>
                <v:line id="Line 2760" o:spid="_x0000_s1060" style="position:absolute;visibility:visible;mso-wrap-style:square" from="9617,-198" to="10913,-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" strokeweight=".12pt"/>
                <w10:wrap anchorx="page"/>
              </v:group>
            </w:pict>
          </mc:Fallback>
        </mc:AlternateContent>
      </w:r>
      <w:r w:rsidR="0015611F">
        <w:t xml:space="preserve">*Audit remuneration included in amount and disclosed under note </w:t>
      </w:r>
      <w:r w:rsidR="006B4CA9">
        <w:t>29.</w:t>
      </w:r>
    </w:p>
    <w:p w14:paraId="2C165F7B" w14:textId="77777777" w:rsidR="00FA4AA8" w:rsidRDefault="00FA4AA8">
      <w:pPr>
        <w:pStyle w:val="BodyText"/>
        <w:spacing w:before="8"/>
        <w:rPr>
          <w:sz w:val="26"/>
        </w:rPr>
      </w:pPr>
    </w:p>
    <w:p w14:paraId="7159BF62" w14:textId="77777777" w:rsidR="00FA4AA8" w:rsidRDefault="0015611F">
      <w:pPr>
        <w:ind w:left="564"/>
        <w:rPr>
          <w:i/>
          <w:sz w:val="18"/>
        </w:rPr>
      </w:pPr>
      <w:r>
        <w:rPr>
          <w:i/>
          <w:sz w:val="18"/>
          <w:u w:val="single"/>
        </w:rPr>
        <w:t>Accounting</w:t>
      </w:r>
      <w:r>
        <w:rPr>
          <w:i/>
          <w:spacing w:val="1"/>
          <w:sz w:val="18"/>
          <w:u w:val="single"/>
        </w:rPr>
        <w:t xml:space="preserve"> </w:t>
      </w:r>
      <w:r>
        <w:rPr>
          <w:i/>
          <w:sz w:val="18"/>
          <w:u w:val="single"/>
        </w:rPr>
        <w:t>Policy</w:t>
      </w:r>
    </w:p>
    <w:p w14:paraId="1B0FFA4E" w14:textId="77777777" w:rsidR="00FA4AA8" w:rsidRDefault="00FA4AA8">
      <w:pPr>
        <w:pStyle w:val="BodyText"/>
        <w:spacing w:before="2"/>
        <w:rPr>
          <w:i/>
          <w:sz w:val="17"/>
        </w:rPr>
      </w:pPr>
    </w:p>
    <w:p w14:paraId="4F0244CC" w14:textId="77777777" w:rsidR="00FA4AA8" w:rsidRDefault="0015611F">
      <w:pPr>
        <w:spacing w:before="95"/>
        <w:ind w:left="564"/>
        <w:rPr>
          <w:b/>
          <w:sz w:val="18"/>
        </w:rPr>
      </w:pPr>
      <w:r>
        <w:rPr>
          <w:b/>
          <w:sz w:val="18"/>
        </w:rPr>
        <w:t>Operating leases</w:t>
      </w:r>
    </w:p>
    <w:p w14:paraId="2516245F" w14:textId="77777777" w:rsidR="00FA4AA8" w:rsidRDefault="00FA4AA8">
      <w:pPr>
        <w:pStyle w:val="BodyText"/>
        <w:spacing w:before="11"/>
        <w:rPr>
          <w:b/>
          <w:sz w:val="24"/>
        </w:rPr>
      </w:pPr>
    </w:p>
    <w:p w14:paraId="5D7E1751" w14:textId="77777777" w:rsidR="00FA4AA8" w:rsidRDefault="0015611F">
      <w:pPr>
        <w:pStyle w:val="BodyText"/>
        <w:ind w:left="564"/>
      </w:pPr>
      <w:r>
        <w:t>Leases in which a significant portion of the risks and rewards of ownership are retained by the lessor are classified as operating</w:t>
      </w:r>
      <w:r>
        <w:rPr>
          <w:spacing w:val="1"/>
        </w:rPr>
        <w:t xml:space="preserve"> </w:t>
      </w:r>
      <w:r>
        <w:t>leases.</w:t>
      </w:r>
    </w:p>
    <w:p w14:paraId="49517137" w14:textId="77777777" w:rsidR="00FA4AA8" w:rsidRDefault="00FA4AA8">
      <w:pPr>
        <w:pStyle w:val="BodyText"/>
        <w:spacing w:before="11"/>
        <w:rPr>
          <w:sz w:val="24"/>
        </w:rPr>
      </w:pPr>
    </w:p>
    <w:p w14:paraId="54712F4F" w14:textId="77777777" w:rsidR="00FA4AA8" w:rsidRDefault="0015611F">
      <w:pPr>
        <w:pStyle w:val="BodyText"/>
        <w:ind w:left="564"/>
      </w:pPr>
      <w:r>
        <w:t>Payments made under operating leases (net of any incentives received from the lessor) are charged to the income statement on a straight-line basis, over the period of the lease.</w:t>
      </w:r>
    </w:p>
    <w:p w14:paraId="1530CBDC" w14:textId="77777777" w:rsidR="00FA4AA8" w:rsidRDefault="00FA4AA8">
      <w:pPr>
        <w:sectPr w:rsidR="00FA4AA8">
          <w:pgSz w:w="11910" w:h="16840"/>
          <w:pgMar w:top="2220" w:right="840" w:bottom="720" w:left="840" w:header="1016" w:footer="523" w:gutter="0"/>
          <w:cols w:space="720"/>
        </w:sectPr>
      </w:pPr>
    </w:p>
    <w:p w14:paraId="0C096874" w14:textId="77777777" w:rsidR="00FA4AA8" w:rsidRDefault="00FA4AA8">
      <w:pPr>
        <w:pStyle w:val="BodyText"/>
        <w:rPr>
          <w:sz w:val="20"/>
        </w:rPr>
      </w:pPr>
    </w:p>
    <w:p w14:paraId="5FF8E016" w14:textId="77777777" w:rsidR="00FA4AA8" w:rsidRDefault="00FA4AA8">
      <w:pPr>
        <w:pStyle w:val="BodyText"/>
        <w:spacing w:before="10"/>
        <w:rPr>
          <w:sz w:val="29"/>
        </w:rPr>
      </w:pPr>
    </w:p>
    <w:p w14:paraId="69B9A3CD" w14:textId="77777777" w:rsidR="00FA4AA8" w:rsidRDefault="0015611F">
      <w:pPr>
        <w:numPr>
          <w:ilvl w:val="0"/>
          <w:numId w:val="103"/>
        </w:numPr>
        <w:tabs>
          <w:tab w:val="left" w:pos="564"/>
        </w:tabs>
        <w:spacing w:before="94"/>
        <w:ind w:hanging="397"/>
        <w:rPr>
          <w:b/>
          <w:sz w:val="18"/>
        </w:rPr>
      </w:pPr>
      <w:bookmarkStart w:id="36" w:name="16_Cash_and_cash_equivalents_"/>
      <w:bookmarkEnd w:id="36"/>
      <w:r>
        <w:rPr>
          <w:b/>
          <w:sz w:val="18"/>
        </w:rPr>
        <w:t>Cash and cash equivalents</w:t>
      </w:r>
    </w:p>
    <w:p w14:paraId="11CDDA53" w14:textId="77777777" w:rsidR="00FA4AA8" w:rsidRDefault="0015611F">
      <w:pPr>
        <w:tabs>
          <w:tab w:val="left" w:pos="8414"/>
        </w:tabs>
        <w:spacing w:before="33"/>
        <w:ind w:left="5364"/>
        <w:rPr>
          <w:b/>
          <w:sz w:val="18"/>
        </w:rPr>
      </w:pPr>
      <w:r>
        <w:rPr>
          <w:b/>
          <w:sz w:val="18"/>
        </w:rPr>
        <w:t>Consolidated</w:t>
      </w:r>
      <w:r>
        <w:rPr>
          <w:b/>
          <w:sz w:val="18"/>
        </w:rPr>
        <w:tab/>
        <w:t>Parent</w:t>
      </w:r>
    </w:p>
    <w:p w14:paraId="213D5661" w14:textId="77777777" w:rsidR="00FA4AA8" w:rsidRDefault="00FA4AA8">
      <w:pPr>
        <w:pStyle w:val="BodyText"/>
        <w:spacing w:before="3"/>
        <w:rPr>
          <w:b/>
          <w:sz w:val="6"/>
        </w:rPr>
      </w:pPr>
    </w:p>
    <w:tbl>
      <w:tblPr>
        <w:tblW w:w="0" w:type="auto"/>
        <w:tblInd w:w="125" w:type="dxa"/>
        <w:tblLayout w:type="fixed"/>
        <w:tblCellMar>
          <w:left w:w="0" w:type="dxa"/>
          <w:right w:w="0" w:type="dxa"/>
        </w:tblCellMar>
        <w:tblLook w:val="01E0" w:firstRow="1" w:lastRow="1" w:firstColumn="1" w:lastColumn="1" w:noHBand="0" w:noVBand="0"/>
      </w:tblPr>
      <w:tblGrid>
        <w:gridCol w:w="359"/>
        <w:gridCol w:w="4077"/>
        <w:gridCol w:w="1465"/>
        <w:gridCol w:w="1297"/>
        <w:gridCol w:w="169"/>
        <w:gridCol w:w="1459"/>
        <w:gridCol w:w="1135"/>
      </w:tblGrid>
      <w:tr w:rsidR="00FA4AA8" w14:paraId="1DDBDE46" w14:textId="77777777">
        <w:trPr>
          <w:trHeight w:val="776"/>
        </w:trPr>
        <w:tc>
          <w:tcPr>
            <w:tcW w:w="359" w:type="dxa"/>
            <w:vMerge w:val="restart"/>
          </w:tcPr>
          <w:p w14:paraId="492791DE" w14:textId="77777777" w:rsidR="00FA4AA8" w:rsidRDefault="00FA4AA8">
            <w:pPr>
              <w:pStyle w:val="TableParagraph"/>
              <w:rPr>
                <w:rFonts w:ascii="Times New Roman"/>
                <w:sz w:val="18"/>
              </w:rPr>
            </w:pPr>
          </w:p>
        </w:tc>
        <w:tc>
          <w:tcPr>
            <w:tcW w:w="4077" w:type="dxa"/>
          </w:tcPr>
          <w:p w14:paraId="0E13C832" w14:textId="77777777" w:rsidR="00FA4AA8" w:rsidRDefault="00FA4AA8">
            <w:pPr>
              <w:pStyle w:val="TableParagraph"/>
              <w:rPr>
                <w:b/>
                <w:sz w:val="20"/>
              </w:rPr>
            </w:pPr>
          </w:p>
          <w:p w14:paraId="27F3D1C6" w14:textId="77777777" w:rsidR="00FA4AA8" w:rsidRDefault="00FA4AA8">
            <w:pPr>
              <w:pStyle w:val="TableParagraph"/>
              <w:spacing w:before="9"/>
              <w:rPr>
                <w:b/>
                <w:sz w:val="26"/>
              </w:rPr>
            </w:pPr>
          </w:p>
          <w:p w14:paraId="4FC367D4" w14:textId="77777777" w:rsidR="00FA4AA8" w:rsidRDefault="0015611F">
            <w:pPr>
              <w:pStyle w:val="TableParagraph"/>
              <w:spacing w:before="1"/>
              <w:ind w:left="113"/>
              <w:rPr>
                <w:sz w:val="18"/>
              </w:rPr>
            </w:pPr>
            <w:r>
              <w:rPr>
                <w:sz w:val="18"/>
              </w:rPr>
              <w:t>Cash at bank and on hand</w:t>
            </w:r>
          </w:p>
        </w:tc>
        <w:tc>
          <w:tcPr>
            <w:tcW w:w="1465" w:type="dxa"/>
          </w:tcPr>
          <w:p w14:paraId="1673141F" w14:textId="77777777" w:rsidR="00FA4AA8" w:rsidRDefault="0015611F">
            <w:pPr>
              <w:pStyle w:val="TableParagraph"/>
              <w:spacing w:line="201" w:lineRule="exact"/>
              <w:ind w:left="598"/>
              <w:rPr>
                <w:b/>
                <w:sz w:val="18"/>
              </w:rPr>
            </w:pPr>
            <w:r>
              <w:rPr>
                <w:b/>
                <w:sz w:val="18"/>
              </w:rPr>
              <w:t>2018</w:t>
            </w:r>
          </w:p>
          <w:p w14:paraId="57D7B683" w14:textId="77777777" w:rsidR="00FA4AA8" w:rsidRDefault="0015611F">
            <w:pPr>
              <w:pStyle w:val="TableParagraph"/>
              <w:spacing w:before="66"/>
              <w:ind w:left="577"/>
              <w:rPr>
                <w:b/>
                <w:sz w:val="18"/>
              </w:rPr>
            </w:pPr>
            <w:r>
              <w:rPr>
                <w:b/>
                <w:sz w:val="18"/>
              </w:rPr>
              <w:t>$'000</w:t>
            </w:r>
          </w:p>
          <w:p w14:paraId="0981A3D9" w14:textId="77777777" w:rsidR="00FA4AA8" w:rsidRDefault="0015611F">
            <w:pPr>
              <w:pStyle w:val="TableParagraph"/>
              <w:spacing w:before="62"/>
              <w:ind w:left="822"/>
              <w:rPr>
                <w:b/>
                <w:sz w:val="18"/>
              </w:rPr>
            </w:pPr>
            <w:r>
              <w:rPr>
                <w:b/>
                <w:sz w:val="18"/>
              </w:rPr>
              <w:t>71,123</w:t>
            </w:r>
          </w:p>
        </w:tc>
        <w:tc>
          <w:tcPr>
            <w:tcW w:w="1297" w:type="dxa"/>
          </w:tcPr>
          <w:p w14:paraId="4D7770A8" w14:textId="77777777" w:rsidR="00FA4AA8" w:rsidRDefault="0015611F">
            <w:pPr>
              <w:pStyle w:val="TableParagraph"/>
              <w:spacing w:line="201" w:lineRule="exact"/>
              <w:ind w:left="429"/>
              <w:rPr>
                <w:b/>
                <w:sz w:val="18"/>
              </w:rPr>
            </w:pPr>
            <w:r>
              <w:rPr>
                <w:b/>
                <w:sz w:val="18"/>
              </w:rPr>
              <w:t>2017</w:t>
            </w:r>
          </w:p>
          <w:p w14:paraId="7A29B90A" w14:textId="77777777" w:rsidR="00FA4AA8" w:rsidRDefault="0015611F">
            <w:pPr>
              <w:pStyle w:val="TableParagraph"/>
              <w:spacing w:before="66"/>
              <w:ind w:left="408"/>
              <w:rPr>
                <w:b/>
                <w:sz w:val="18"/>
              </w:rPr>
            </w:pPr>
            <w:r>
              <w:rPr>
                <w:b/>
                <w:sz w:val="18"/>
              </w:rPr>
              <w:t>$'000</w:t>
            </w:r>
          </w:p>
          <w:p w14:paraId="2DACB6EF" w14:textId="77777777" w:rsidR="00FA4AA8" w:rsidRDefault="0015611F">
            <w:pPr>
              <w:pStyle w:val="TableParagraph"/>
              <w:spacing w:before="62"/>
              <w:ind w:left="552"/>
              <w:rPr>
                <w:sz w:val="18"/>
              </w:rPr>
            </w:pPr>
            <w:r>
              <w:rPr>
                <w:sz w:val="18"/>
              </w:rPr>
              <w:t>124,030</w:t>
            </w:r>
          </w:p>
        </w:tc>
        <w:tc>
          <w:tcPr>
            <w:tcW w:w="169" w:type="dxa"/>
          </w:tcPr>
          <w:p w14:paraId="55F2C3DE" w14:textId="77777777" w:rsidR="00FA4AA8" w:rsidRDefault="00FA4AA8">
            <w:pPr>
              <w:pStyle w:val="TableParagraph"/>
              <w:rPr>
                <w:rFonts w:ascii="Times New Roman"/>
                <w:sz w:val="18"/>
              </w:rPr>
            </w:pPr>
          </w:p>
        </w:tc>
        <w:tc>
          <w:tcPr>
            <w:tcW w:w="1459" w:type="dxa"/>
          </w:tcPr>
          <w:p w14:paraId="5D50FBB4" w14:textId="77777777" w:rsidR="00FA4AA8" w:rsidRDefault="0015611F">
            <w:pPr>
              <w:pStyle w:val="TableParagraph"/>
              <w:spacing w:line="201" w:lineRule="exact"/>
              <w:ind w:left="427"/>
              <w:rPr>
                <w:b/>
                <w:sz w:val="18"/>
              </w:rPr>
            </w:pPr>
            <w:r>
              <w:rPr>
                <w:b/>
                <w:sz w:val="18"/>
              </w:rPr>
              <w:t>2018</w:t>
            </w:r>
          </w:p>
          <w:p w14:paraId="06D5235A" w14:textId="77777777" w:rsidR="00FA4AA8" w:rsidRDefault="0015611F">
            <w:pPr>
              <w:pStyle w:val="TableParagraph"/>
              <w:spacing w:before="66"/>
              <w:ind w:left="406"/>
              <w:rPr>
                <w:b/>
                <w:sz w:val="18"/>
              </w:rPr>
            </w:pPr>
            <w:r>
              <w:rPr>
                <w:b/>
                <w:sz w:val="18"/>
              </w:rPr>
              <w:t>$'000</w:t>
            </w:r>
          </w:p>
          <w:p w14:paraId="39B9E9F2" w14:textId="77777777" w:rsidR="00FA4AA8" w:rsidRDefault="0015611F">
            <w:pPr>
              <w:pStyle w:val="TableParagraph"/>
              <w:spacing w:before="62"/>
              <w:ind w:left="651"/>
              <w:rPr>
                <w:b/>
                <w:sz w:val="18"/>
              </w:rPr>
            </w:pPr>
            <w:r>
              <w:rPr>
                <w:b/>
                <w:sz w:val="18"/>
              </w:rPr>
              <w:t>68,006</w:t>
            </w:r>
          </w:p>
        </w:tc>
        <w:tc>
          <w:tcPr>
            <w:tcW w:w="1135" w:type="dxa"/>
          </w:tcPr>
          <w:p w14:paraId="2C50AFDF" w14:textId="77777777" w:rsidR="00FA4AA8" w:rsidRDefault="0015611F">
            <w:pPr>
              <w:pStyle w:val="TableParagraph"/>
              <w:spacing w:line="201" w:lineRule="exact"/>
              <w:ind w:left="264"/>
              <w:rPr>
                <w:b/>
                <w:sz w:val="18"/>
              </w:rPr>
            </w:pPr>
            <w:r>
              <w:rPr>
                <w:b/>
                <w:sz w:val="18"/>
              </w:rPr>
              <w:t>2017</w:t>
            </w:r>
          </w:p>
          <w:p w14:paraId="2E77D860" w14:textId="77777777" w:rsidR="00FA4AA8" w:rsidRDefault="0015611F">
            <w:pPr>
              <w:pStyle w:val="TableParagraph"/>
              <w:spacing w:before="66"/>
              <w:ind w:left="243"/>
              <w:rPr>
                <w:b/>
                <w:sz w:val="18"/>
              </w:rPr>
            </w:pPr>
            <w:r>
              <w:rPr>
                <w:b/>
                <w:sz w:val="18"/>
              </w:rPr>
              <w:t>$'000</w:t>
            </w:r>
          </w:p>
          <w:p w14:paraId="46B4B6F6" w14:textId="77777777" w:rsidR="00FA4AA8" w:rsidRDefault="0015611F">
            <w:pPr>
              <w:pStyle w:val="TableParagraph"/>
              <w:spacing w:before="62"/>
              <w:ind w:left="387"/>
              <w:rPr>
                <w:sz w:val="18"/>
              </w:rPr>
            </w:pPr>
            <w:r>
              <w:rPr>
                <w:sz w:val="18"/>
              </w:rPr>
              <w:t>122,246</w:t>
            </w:r>
          </w:p>
        </w:tc>
      </w:tr>
      <w:tr w:rsidR="00FA4AA8" w14:paraId="3F86304B" w14:textId="77777777">
        <w:trPr>
          <w:trHeight w:val="256"/>
        </w:trPr>
        <w:tc>
          <w:tcPr>
            <w:tcW w:w="359" w:type="dxa"/>
            <w:vMerge/>
            <w:tcBorders>
              <w:top w:val="nil"/>
            </w:tcBorders>
          </w:tcPr>
          <w:p w14:paraId="16EAF448" w14:textId="77777777" w:rsidR="00FA4AA8" w:rsidRDefault="00FA4AA8">
            <w:pPr>
              <w:rPr>
                <w:sz w:val="2"/>
                <w:szCs w:val="2"/>
              </w:rPr>
            </w:pPr>
          </w:p>
        </w:tc>
        <w:tc>
          <w:tcPr>
            <w:tcW w:w="4077" w:type="dxa"/>
          </w:tcPr>
          <w:p w14:paraId="4EAA2142" w14:textId="77777777" w:rsidR="00FA4AA8" w:rsidRDefault="0015611F">
            <w:pPr>
              <w:pStyle w:val="TableParagraph"/>
              <w:spacing w:before="26"/>
              <w:ind w:left="113"/>
              <w:rPr>
                <w:sz w:val="18"/>
              </w:rPr>
            </w:pPr>
            <w:bookmarkStart w:id="37" w:name="(a)_Cash_at_bank_and_on_hand"/>
            <w:bookmarkEnd w:id="37"/>
            <w:r>
              <w:rPr>
                <w:sz w:val="18"/>
              </w:rPr>
              <w:t>Short-term deposits</w:t>
            </w:r>
          </w:p>
        </w:tc>
        <w:tc>
          <w:tcPr>
            <w:tcW w:w="1465" w:type="dxa"/>
            <w:tcBorders>
              <w:bottom w:val="single" w:sz="8" w:space="0" w:color="000000"/>
            </w:tcBorders>
          </w:tcPr>
          <w:p w14:paraId="6FCAB62B" w14:textId="77777777" w:rsidR="00FA4AA8" w:rsidRDefault="0015611F">
            <w:pPr>
              <w:pStyle w:val="TableParagraph"/>
              <w:spacing w:before="24"/>
              <w:ind w:right="86"/>
              <w:jc w:val="right"/>
              <w:rPr>
                <w:b/>
                <w:sz w:val="18"/>
              </w:rPr>
            </w:pPr>
            <w:r>
              <w:rPr>
                <w:b/>
                <w:sz w:val="18"/>
              </w:rPr>
              <w:t>31,167</w:t>
            </w:r>
          </w:p>
        </w:tc>
        <w:tc>
          <w:tcPr>
            <w:tcW w:w="1297" w:type="dxa"/>
            <w:tcBorders>
              <w:bottom w:val="single" w:sz="8" w:space="0" w:color="000000"/>
            </w:tcBorders>
          </w:tcPr>
          <w:p w14:paraId="4EBB7D9E" w14:textId="77777777" w:rsidR="00FA4AA8" w:rsidRDefault="0015611F">
            <w:pPr>
              <w:pStyle w:val="TableParagraph"/>
              <w:spacing w:before="24"/>
              <w:ind w:right="87"/>
              <w:jc w:val="right"/>
              <w:rPr>
                <w:sz w:val="18"/>
              </w:rPr>
            </w:pPr>
            <w:r>
              <w:rPr>
                <w:sz w:val="18"/>
              </w:rPr>
              <w:t>97,718</w:t>
            </w:r>
          </w:p>
        </w:tc>
        <w:tc>
          <w:tcPr>
            <w:tcW w:w="169" w:type="dxa"/>
            <w:tcBorders>
              <w:bottom w:val="single" w:sz="8" w:space="0" w:color="000000"/>
            </w:tcBorders>
          </w:tcPr>
          <w:p w14:paraId="09CEE2C1" w14:textId="77777777" w:rsidR="00FA4AA8" w:rsidRDefault="00FA4AA8">
            <w:pPr>
              <w:pStyle w:val="TableParagraph"/>
              <w:rPr>
                <w:rFonts w:ascii="Times New Roman"/>
                <w:sz w:val="18"/>
              </w:rPr>
            </w:pPr>
          </w:p>
        </w:tc>
        <w:tc>
          <w:tcPr>
            <w:tcW w:w="1459" w:type="dxa"/>
            <w:tcBorders>
              <w:bottom w:val="single" w:sz="8" w:space="0" w:color="000000"/>
            </w:tcBorders>
          </w:tcPr>
          <w:p w14:paraId="60DDBD1C" w14:textId="77777777" w:rsidR="00FA4AA8" w:rsidRDefault="0015611F">
            <w:pPr>
              <w:pStyle w:val="TableParagraph"/>
              <w:spacing w:before="24"/>
              <w:ind w:right="251"/>
              <w:jc w:val="right"/>
              <w:rPr>
                <w:b/>
                <w:sz w:val="18"/>
              </w:rPr>
            </w:pPr>
            <w:r>
              <w:rPr>
                <w:b/>
                <w:sz w:val="18"/>
              </w:rPr>
              <w:t>30,747</w:t>
            </w:r>
          </w:p>
        </w:tc>
        <w:tc>
          <w:tcPr>
            <w:tcW w:w="1135" w:type="dxa"/>
            <w:tcBorders>
              <w:bottom w:val="single" w:sz="8" w:space="0" w:color="000000"/>
            </w:tcBorders>
          </w:tcPr>
          <w:p w14:paraId="35ACC173" w14:textId="77777777" w:rsidR="00FA4AA8" w:rsidRDefault="0015611F">
            <w:pPr>
              <w:pStyle w:val="TableParagraph"/>
              <w:spacing w:before="24"/>
              <w:ind w:right="90"/>
              <w:jc w:val="right"/>
              <w:rPr>
                <w:sz w:val="18"/>
              </w:rPr>
            </w:pPr>
            <w:r>
              <w:rPr>
                <w:sz w:val="18"/>
              </w:rPr>
              <w:t>97,308</w:t>
            </w:r>
          </w:p>
        </w:tc>
      </w:tr>
      <w:tr w:rsidR="00FA4AA8" w14:paraId="70827F77" w14:textId="77777777">
        <w:trPr>
          <w:trHeight w:val="764"/>
        </w:trPr>
        <w:tc>
          <w:tcPr>
            <w:tcW w:w="359" w:type="dxa"/>
            <w:vMerge/>
            <w:tcBorders>
              <w:top w:val="nil"/>
            </w:tcBorders>
          </w:tcPr>
          <w:p w14:paraId="19F78D15" w14:textId="77777777" w:rsidR="00FA4AA8" w:rsidRDefault="00FA4AA8">
            <w:pPr>
              <w:rPr>
                <w:sz w:val="2"/>
                <w:szCs w:val="2"/>
              </w:rPr>
            </w:pPr>
          </w:p>
        </w:tc>
        <w:tc>
          <w:tcPr>
            <w:tcW w:w="4077" w:type="dxa"/>
          </w:tcPr>
          <w:p w14:paraId="48EC1E51" w14:textId="77777777" w:rsidR="00FA4AA8" w:rsidRDefault="0015611F">
            <w:pPr>
              <w:pStyle w:val="TableParagraph"/>
              <w:spacing w:before="115"/>
              <w:ind w:left="113"/>
              <w:rPr>
                <w:b/>
                <w:sz w:val="18"/>
              </w:rPr>
            </w:pPr>
            <w:r>
              <w:rPr>
                <w:b/>
                <w:sz w:val="18"/>
              </w:rPr>
              <w:t>Total cash and cash equivalents in statement of financial position and statement of cash flows</w:t>
            </w:r>
          </w:p>
        </w:tc>
        <w:tc>
          <w:tcPr>
            <w:tcW w:w="1465" w:type="dxa"/>
            <w:tcBorders>
              <w:top w:val="single" w:sz="8" w:space="0" w:color="000000"/>
              <w:bottom w:val="single" w:sz="6" w:space="0" w:color="000000"/>
            </w:tcBorders>
          </w:tcPr>
          <w:p w14:paraId="2553F267" w14:textId="77777777" w:rsidR="00FA4AA8" w:rsidRDefault="00FA4AA8">
            <w:pPr>
              <w:pStyle w:val="TableParagraph"/>
              <w:rPr>
                <w:b/>
                <w:sz w:val="20"/>
              </w:rPr>
            </w:pPr>
          </w:p>
          <w:p w14:paraId="20871F41" w14:textId="77777777" w:rsidR="00FA4AA8" w:rsidRDefault="00FA4AA8">
            <w:pPr>
              <w:pStyle w:val="TableParagraph"/>
              <w:spacing w:before="10"/>
              <w:rPr>
                <w:b/>
                <w:sz w:val="25"/>
              </w:rPr>
            </w:pPr>
          </w:p>
          <w:p w14:paraId="7AC6BF2D" w14:textId="77777777" w:rsidR="00FA4AA8" w:rsidRDefault="0015611F">
            <w:pPr>
              <w:pStyle w:val="TableParagraph"/>
              <w:ind w:right="86"/>
              <w:jc w:val="right"/>
              <w:rPr>
                <w:b/>
                <w:sz w:val="18"/>
              </w:rPr>
            </w:pPr>
            <w:r>
              <w:rPr>
                <w:b/>
                <w:sz w:val="18"/>
              </w:rPr>
              <w:t>102,290</w:t>
            </w:r>
          </w:p>
        </w:tc>
        <w:tc>
          <w:tcPr>
            <w:tcW w:w="1297" w:type="dxa"/>
            <w:tcBorders>
              <w:top w:val="single" w:sz="8" w:space="0" w:color="000000"/>
              <w:bottom w:val="single" w:sz="4" w:space="0" w:color="000000"/>
            </w:tcBorders>
          </w:tcPr>
          <w:p w14:paraId="35A114E3" w14:textId="77777777" w:rsidR="00FA4AA8" w:rsidRDefault="00FA4AA8">
            <w:pPr>
              <w:pStyle w:val="TableParagraph"/>
              <w:rPr>
                <w:b/>
                <w:sz w:val="20"/>
              </w:rPr>
            </w:pPr>
          </w:p>
          <w:p w14:paraId="7FAB25E6" w14:textId="77777777" w:rsidR="00FA4AA8" w:rsidRDefault="00FA4AA8">
            <w:pPr>
              <w:pStyle w:val="TableParagraph"/>
              <w:spacing w:before="10"/>
              <w:rPr>
                <w:b/>
                <w:sz w:val="25"/>
              </w:rPr>
            </w:pPr>
          </w:p>
          <w:p w14:paraId="63D9D5CC" w14:textId="77777777" w:rsidR="00FA4AA8" w:rsidRDefault="0015611F">
            <w:pPr>
              <w:pStyle w:val="TableParagraph"/>
              <w:ind w:right="87"/>
              <w:jc w:val="right"/>
              <w:rPr>
                <w:sz w:val="18"/>
              </w:rPr>
            </w:pPr>
            <w:r>
              <w:rPr>
                <w:sz w:val="18"/>
              </w:rPr>
              <w:t>221,748</w:t>
            </w:r>
          </w:p>
        </w:tc>
        <w:tc>
          <w:tcPr>
            <w:tcW w:w="169" w:type="dxa"/>
            <w:tcBorders>
              <w:top w:val="single" w:sz="8" w:space="0" w:color="000000"/>
              <w:bottom w:val="single" w:sz="6" w:space="0" w:color="000000"/>
            </w:tcBorders>
          </w:tcPr>
          <w:p w14:paraId="36EBED05" w14:textId="77777777" w:rsidR="00FA4AA8" w:rsidRDefault="00FA4AA8">
            <w:pPr>
              <w:pStyle w:val="TableParagraph"/>
              <w:rPr>
                <w:rFonts w:ascii="Times New Roman"/>
                <w:sz w:val="18"/>
              </w:rPr>
            </w:pPr>
          </w:p>
        </w:tc>
        <w:tc>
          <w:tcPr>
            <w:tcW w:w="1459" w:type="dxa"/>
            <w:tcBorders>
              <w:top w:val="single" w:sz="8" w:space="0" w:color="000000"/>
              <w:bottom w:val="single" w:sz="6" w:space="0" w:color="000000"/>
            </w:tcBorders>
          </w:tcPr>
          <w:p w14:paraId="13F0A09A" w14:textId="77777777" w:rsidR="00FA4AA8" w:rsidRDefault="00FA4AA8">
            <w:pPr>
              <w:pStyle w:val="TableParagraph"/>
              <w:rPr>
                <w:b/>
                <w:sz w:val="20"/>
              </w:rPr>
            </w:pPr>
          </w:p>
          <w:p w14:paraId="114DE7E0" w14:textId="77777777" w:rsidR="00FA4AA8" w:rsidRDefault="00FA4AA8">
            <w:pPr>
              <w:pStyle w:val="TableParagraph"/>
              <w:spacing w:before="10"/>
              <w:rPr>
                <w:b/>
                <w:sz w:val="25"/>
              </w:rPr>
            </w:pPr>
          </w:p>
          <w:p w14:paraId="74C52B21" w14:textId="77777777" w:rsidR="00FA4AA8" w:rsidRDefault="0015611F">
            <w:pPr>
              <w:pStyle w:val="TableParagraph"/>
              <w:ind w:right="251"/>
              <w:jc w:val="right"/>
              <w:rPr>
                <w:b/>
                <w:sz w:val="18"/>
              </w:rPr>
            </w:pPr>
            <w:r>
              <w:rPr>
                <w:b/>
                <w:sz w:val="18"/>
              </w:rPr>
              <w:t>98,753</w:t>
            </w:r>
          </w:p>
        </w:tc>
        <w:tc>
          <w:tcPr>
            <w:tcW w:w="1135" w:type="dxa"/>
            <w:tcBorders>
              <w:top w:val="single" w:sz="8" w:space="0" w:color="000000"/>
              <w:bottom w:val="single" w:sz="6" w:space="0" w:color="000000"/>
            </w:tcBorders>
          </w:tcPr>
          <w:p w14:paraId="4B147804" w14:textId="77777777" w:rsidR="00FA4AA8" w:rsidRDefault="00FA4AA8">
            <w:pPr>
              <w:pStyle w:val="TableParagraph"/>
              <w:rPr>
                <w:b/>
                <w:sz w:val="20"/>
              </w:rPr>
            </w:pPr>
          </w:p>
          <w:p w14:paraId="6B4D0200" w14:textId="77777777" w:rsidR="00FA4AA8" w:rsidRDefault="00FA4AA8">
            <w:pPr>
              <w:pStyle w:val="TableParagraph"/>
              <w:spacing w:before="10"/>
              <w:rPr>
                <w:b/>
                <w:sz w:val="25"/>
              </w:rPr>
            </w:pPr>
          </w:p>
          <w:p w14:paraId="04529DF5" w14:textId="77777777" w:rsidR="00FA4AA8" w:rsidRDefault="0015611F">
            <w:pPr>
              <w:pStyle w:val="TableParagraph"/>
              <w:ind w:right="90"/>
              <w:jc w:val="right"/>
              <w:rPr>
                <w:sz w:val="18"/>
              </w:rPr>
            </w:pPr>
            <w:r>
              <w:rPr>
                <w:sz w:val="18"/>
              </w:rPr>
              <w:t>219,554</w:t>
            </w:r>
          </w:p>
        </w:tc>
      </w:tr>
      <w:tr w:rsidR="00FA4AA8" w14:paraId="4536C18B" w14:textId="77777777">
        <w:trPr>
          <w:trHeight w:val="516"/>
        </w:trPr>
        <w:tc>
          <w:tcPr>
            <w:tcW w:w="359" w:type="dxa"/>
          </w:tcPr>
          <w:p w14:paraId="5960F2A9" w14:textId="77777777" w:rsidR="00FA4AA8" w:rsidRDefault="00FA4AA8">
            <w:pPr>
              <w:pStyle w:val="TableParagraph"/>
              <w:spacing w:before="10"/>
              <w:rPr>
                <w:b/>
                <w:sz w:val="26"/>
              </w:rPr>
            </w:pPr>
          </w:p>
          <w:p w14:paraId="774A361A" w14:textId="77777777" w:rsidR="00FA4AA8" w:rsidRDefault="0015611F">
            <w:pPr>
              <w:pStyle w:val="TableParagraph"/>
              <w:spacing w:line="187" w:lineRule="exact"/>
              <w:ind w:left="50"/>
              <w:rPr>
                <w:b/>
                <w:sz w:val="18"/>
              </w:rPr>
            </w:pPr>
            <w:bookmarkStart w:id="38" w:name="(b)_Short-term_deposits"/>
            <w:bookmarkEnd w:id="38"/>
            <w:r>
              <w:rPr>
                <w:b/>
                <w:sz w:val="18"/>
              </w:rPr>
              <w:t>(a)</w:t>
            </w:r>
          </w:p>
        </w:tc>
        <w:tc>
          <w:tcPr>
            <w:tcW w:w="4077" w:type="dxa"/>
          </w:tcPr>
          <w:p w14:paraId="750A752F" w14:textId="77777777" w:rsidR="00FA4AA8" w:rsidRDefault="00FA4AA8">
            <w:pPr>
              <w:pStyle w:val="TableParagraph"/>
              <w:spacing w:before="10"/>
              <w:rPr>
                <w:b/>
                <w:sz w:val="26"/>
              </w:rPr>
            </w:pPr>
          </w:p>
          <w:p w14:paraId="2D3E8216" w14:textId="77777777" w:rsidR="00FA4AA8" w:rsidRDefault="0015611F">
            <w:pPr>
              <w:pStyle w:val="TableParagraph"/>
              <w:spacing w:line="187" w:lineRule="exact"/>
              <w:ind w:left="87"/>
              <w:rPr>
                <w:b/>
                <w:sz w:val="18"/>
              </w:rPr>
            </w:pPr>
            <w:r>
              <w:rPr>
                <w:b/>
                <w:sz w:val="18"/>
              </w:rPr>
              <w:t>Cash at bank and on hand</w:t>
            </w:r>
          </w:p>
        </w:tc>
        <w:tc>
          <w:tcPr>
            <w:tcW w:w="1465" w:type="dxa"/>
            <w:tcBorders>
              <w:top w:val="single" w:sz="6" w:space="0" w:color="000000"/>
            </w:tcBorders>
          </w:tcPr>
          <w:p w14:paraId="52116321" w14:textId="77777777" w:rsidR="00FA4AA8" w:rsidRDefault="00FA4AA8">
            <w:pPr>
              <w:pStyle w:val="TableParagraph"/>
              <w:rPr>
                <w:rFonts w:ascii="Times New Roman"/>
                <w:sz w:val="18"/>
              </w:rPr>
            </w:pPr>
          </w:p>
        </w:tc>
        <w:tc>
          <w:tcPr>
            <w:tcW w:w="1297" w:type="dxa"/>
            <w:tcBorders>
              <w:top w:val="single" w:sz="4" w:space="0" w:color="000000"/>
            </w:tcBorders>
          </w:tcPr>
          <w:p w14:paraId="0014BA5D" w14:textId="77777777" w:rsidR="00FA4AA8" w:rsidRDefault="00FA4AA8">
            <w:pPr>
              <w:pStyle w:val="TableParagraph"/>
              <w:rPr>
                <w:rFonts w:ascii="Times New Roman"/>
                <w:sz w:val="18"/>
              </w:rPr>
            </w:pPr>
          </w:p>
        </w:tc>
        <w:tc>
          <w:tcPr>
            <w:tcW w:w="169" w:type="dxa"/>
            <w:tcBorders>
              <w:top w:val="single" w:sz="6" w:space="0" w:color="000000"/>
            </w:tcBorders>
          </w:tcPr>
          <w:p w14:paraId="363E3F4D" w14:textId="77777777" w:rsidR="00FA4AA8" w:rsidRDefault="00FA4AA8">
            <w:pPr>
              <w:pStyle w:val="TableParagraph"/>
              <w:rPr>
                <w:rFonts w:ascii="Times New Roman"/>
                <w:sz w:val="18"/>
              </w:rPr>
            </w:pPr>
          </w:p>
        </w:tc>
        <w:tc>
          <w:tcPr>
            <w:tcW w:w="1459" w:type="dxa"/>
            <w:tcBorders>
              <w:top w:val="single" w:sz="6" w:space="0" w:color="000000"/>
            </w:tcBorders>
          </w:tcPr>
          <w:p w14:paraId="0D0F4BB0" w14:textId="77777777" w:rsidR="00FA4AA8" w:rsidRDefault="00FA4AA8">
            <w:pPr>
              <w:pStyle w:val="TableParagraph"/>
              <w:rPr>
                <w:rFonts w:ascii="Times New Roman"/>
                <w:sz w:val="18"/>
              </w:rPr>
            </w:pPr>
          </w:p>
        </w:tc>
        <w:tc>
          <w:tcPr>
            <w:tcW w:w="1135" w:type="dxa"/>
            <w:tcBorders>
              <w:top w:val="single" w:sz="6" w:space="0" w:color="000000"/>
            </w:tcBorders>
          </w:tcPr>
          <w:p w14:paraId="1ED75078" w14:textId="77777777" w:rsidR="00FA4AA8" w:rsidRDefault="00FA4AA8">
            <w:pPr>
              <w:pStyle w:val="TableParagraph"/>
              <w:rPr>
                <w:rFonts w:ascii="Times New Roman"/>
                <w:sz w:val="18"/>
              </w:rPr>
            </w:pPr>
          </w:p>
        </w:tc>
      </w:tr>
    </w:tbl>
    <w:p w14:paraId="60ABC2F1" w14:textId="77777777" w:rsidR="00FA4AA8" w:rsidRDefault="00FA4AA8">
      <w:pPr>
        <w:pStyle w:val="BodyText"/>
        <w:spacing w:before="3"/>
        <w:rPr>
          <w:b/>
          <w:sz w:val="17"/>
        </w:rPr>
      </w:pPr>
    </w:p>
    <w:p w14:paraId="38628266" w14:textId="77777777" w:rsidR="00FA4AA8" w:rsidRDefault="007E2441">
      <w:pPr>
        <w:pStyle w:val="BodyText"/>
        <w:spacing w:before="94"/>
        <w:ind w:left="564" w:right="256"/>
      </w:pPr>
      <w:r>
        <w:rPr>
          <w:noProof/>
          <w:lang w:val="en-AU" w:eastAsia="en-AU"/>
        </w:rPr>
        <mc:AlternateContent>
          <mc:Choice Requires="wpg">
            <w:drawing>
              <wp:anchor distT="0" distB="0" distL="114300" distR="114300" simplePos="0" relativeHeight="462729728" behindDoc="1" locked="0" layoutInCell="1" allowOverlap="1" wp14:anchorId="37751A8D" wp14:editId="22886652">
                <wp:simplePos x="0" y="0"/>
                <wp:positionH relativeFrom="page">
                  <wp:posOffset>3424555</wp:posOffset>
                </wp:positionH>
                <wp:positionV relativeFrom="paragraph">
                  <wp:posOffset>-484505</wp:posOffset>
                </wp:positionV>
                <wp:extent cx="2383155" cy="18415"/>
                <wp:effectExtent l="0" t="0" r="0" b="0"/>
                <wp:wrapNone/>
                <wp:docPr id="2952" name="Group 2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3155" cy="18415"/>
                          <a:chOff x="5393" y="-763"/>
                          <a:chExt cx="5520" cy="44"/>
                        </a:xfrm>
                      </wpg:grpSpPr>
                      <wps:wsp>
                        <wps:cNvPr id="2953" name="Line 2758"/>
                        <wps:cNvCnPr>
                          <a:cxnSpLocks noChangeShapeType="1"/>
                        </wps:cNvCnPr>
                        <wps:spPr bwMode="auto">
                          <a:xfrm>
                            <a:off x="5393" y="-762"/>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954" name="Line 2757"/>
                        <wps:cNvCnPr>
                          <a:cxnSpLocks noChangeShapeType="1"/>
                        </wps:cNvCnPr>
                        <wps:spPr bwMode="auto">
                          <a:xfrm>
                            <a:off x="5393" y="-760"/>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955" name="Line 2756"/>
                        <wps:cNvCnPr>
                          <a:cxnSpLocks noChangeShapeType="1"/>
                        </wps:cNvCnPr>
                        <wps:spPr bwMode="auto">
                          <a:xfrm>
                            <a:off x="5393" y="-757"/>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956" name="Line 2755"/>
                        <wps:cNvCnPr>
                          <a:cxnSpLocks noChangeShapeType="1"/>
                        </wps:cNvCnPr>
                        <wps:spPr bwMode="auto">
                          <a:xfrm>
                            <a:off x="5393" y="-755"/>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957" name="Line 2754"/>
                        <wps:cNvCnPr>
                          <a:cxnSpLocks noChangeShapeType="1"/>
                        </wps:cNvCnPr>
                        <wps:spPr bwMode="auto">
                          <a:xfrm>
                            <a:off x="5393" y="-752"/>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958" name="Line 2753"/>
                        <wps:cNvCnPr>
                          <a:cxnSpLocks noChangeShapeType="1"/>
                        </wps:cNvCnPr>
                        <wps:spPr bwMode="auto">
                          <a:xfrm>
                            <a:off x="5393" y="-750"/>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959" name="Line 2752"/>
                        <wps:cNvCnPr>
                          <a:cxnSpLocks noChangeShapeType="1"/>
                        </wps:cNvCnPr>
                        <wps:spPr bwMode="auto">
                          <a:xfrm>
                            <a:off x="5393" y="-728"/>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960" name="Line 2751"/>
                        <wps:cNvCnPr>
                          <a:cxnSpLocks noChangeShapeType="1"/>
                        </wps:cNvCnPr>
                        <wps:spPr bwMode="auto">
                          <a:xfrm>
                            <a:off x="5393" y="-726"/>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961" name="Line 2750"/>
                        <wps:cNvCnPr>
                          <a:cxnSpLocks noChangeShapeType="1"/>
                        </wps:cNvCnPr>
                        <wps:spPr bwMode="auto">
                          <a:xfrm>
                            <a:off x="5393" y="-724"/>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962" name="Line 2749"/>
                        <wps:cNvCnPr>
                          <a:cxnSpLocks noChangeShapeType="1"/>
                        </wps:cNvCnPr>
                        <wps:spPr bwMode="auto">
                          <a:xfrm>
                            <a:off x="5393" y="-721"/>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963" name="Line 2748"/>
                        <wps:cNvCnPr>
                          <a:cxnSpLocks noChangeShapeType="1"/>
                        </wps:cNvCnPr>
                        <wps:spPr bwMode="auto">
                          <a:xfrm>
                            <a:off x="5561" y="-762"/>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964" name="Line 2747"/>
                        <wps:cNvCnPr>
                          <a:cxnSpLocks noChangeShapeType="1"/>
                        </wps:cNvCnPr>
                        <wps:spPr bwMode="auto">
                          <a:xfrm>
                            <a:off x="5561" y="-76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965" name="Line 2746"/>
                        <wps:cNvCnPr>
                          <a:cxnSpLocks noChangeShapeType="1"/>
                        </wps:cNvCnPr>
                        <wps:spPr bwMode="auto">
                          <a:xfrm>
                            <a:off x="5561" y="-757"/>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966" name="Line 2745"/>
                        <wps:cNvCnPr>
                          <a:cxnSpLocks noChangeShapeType="1"/>
                        </wps:cNvCnPr>
                        <wps:spPr bwMode="auto">
                          <a:xfrm>
                            <a:off x="5561" y="-75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967" name="Line 2744"/>
                        <wps:cNvCnPr>
                          <a:cxnSpLocks noChangeShapeType="1"/>
                        </wps:cNvCnPr>
                        <wps:spPr bwMode="auto">
                          <a:xfrm>
                            <a:off x="5561" y="-752"/>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968" name="Line 2743"/>
                        <wps:cNvCnPr>
                          <a:cxnSpLocks noChangeShapeType="1"/>
                        </wps:cNvCnPr>
                        <wps:spPr bwMode="auto">
                          <a:xfrm>
                            <a:off x="5561" y="-75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969" name="Line 2742"/>
                        <wps:cNvCnPr>
                          <a:cxnSpLocks noChangeShapeType="1"/>
                        </wps:cNvCnPr>
                        <wps:spPr bwMode="auto">
                          <a:xfrm>
                            <a:off x="6857" y="-762"/>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970" name="Line 2741"/>
                        <wps:cNvCnPr>
                          <a:cxnSpLocks noChangeShapeType="1"/>
                        </wps:cNvCnPr>
                        <wps:spPr bwMode="auto">
                          <a:xfrm>
                            <a:off x="6857" y="-76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971" name="Line 2740"/>
                        <wps:cNvCnPr>
                          <a:cxnSpLocks noChangeShapeType="1"/>
                        </wps:cNvCnPr>
                        <wps:spPr bwMode="auto">
                          <a:xfrm>
                            <a:off x="6857" y="-757"/>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972" name="Line 2739"/>
                        <wps:cNvCnPr>
                          <a:cxnSpLocks noChangeShapeType="1"/>
                        </wps:cNvCnPr>
                        <wps:spPr bwMode="auto">
                          <a:xfrm>
                            <a:off x="6857" y="-75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973" name="Line 2738"/>
                        <wps:cNvCnPr>
                          <a:cxnSpLocks noChangeShapeType="1"/>
                        </wps:cNvCnPr>
                        <wps:spPr bwMode="auto">
                          <a:xfrm>
                            <a:off x="6857" y="-752"/>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974" name="Line 2737"/>
                        <wps:cNvCnPr>
                          <a:cxnSpLocks noChangeShapeType="1"/>
                        </wps:cNvCnPr>
                        <wps:spPr bwMode="auto">
                          <a:xfrm>
                            <a:off x="6857" y="-75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975" name="Line 2736"/>
                        <wps:cNvCnPr>
                          <a:cxnSpLocks noChangeShapeType="1"/>
                        </wps:cNvCnPr>
                        <wps:spPr bwMode="auto">
                          <a:xfrm>
                            <a:off x="8153" y="-762"/>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976" name="Line 2735"/>
                        <wps:cNvCnPr>
                          <a:cxnSpLocks noChangeShapeType="1"/>
                        </wps:cNvCnPr>
                        <wps:spPr bwMode="auto">
                          <a:xfrm>
                            <a:off x="8153" y="-760"/>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977" name="Line 2734"/>
                        <wps:cNvCnPr>
                          <a:cxnSpLocks noChangeShapeType="1"/>
                        </wps:cNvCnPr>
                        <wps:spPr bwMode="auto">
                          <a:xfrm>
                            <a:off x="8153" y="-757"/>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978" name="Line 2733"/>
                        <wps:cNvCnPr>
                          <a:cxnSpLocks noChangeShapeType="1"/>
                        </wps:cNvCnPr>
                        <wps:spPr bwMode="auto">
                          <a:xfrm>
                            <a:off x="8153" y="-755"/>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979" name="Line 2732"/>
                        <wps:cNvCnPr>
                          <a:cxnSpLocks noChangeShapeType="1"/>
                        </wps:cNvCnPr>
                        <wps:spPr bwMode="auto">
                          <a:xfrm>
                            <a:off x="8153" y="-752"/>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980" name="Line 2731"/>
                        <wps:cNvCnPr>
                          <a:cxnSpLocks noChangeShapeType="1"/>
                        </wps:cNvCnPr>
                        <wps:spPr bwMode="auto">
                          <a:xfrm>
                            <a:off x="8153" y="-750"/>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981" name="Line 2730"/>
                        <wps:cNvCnPr>
                          <a:cxnSpLocks noChangeShapeType="1"/>
                        </wps:cNvCnPr>
                        <wps:spPr bwMode="auto">
                          <a:xfrm>
                            <a:off x="8321" y="-762"/>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982" name="Line 2729"/>
                        <wps:cNvCnPr>
                          <a:cxnSpLocks noChangeShapeType="1"/>
                        </wps:cNvCnPr>
                        <wps:spPr bwMode="auto">
                          <a:xfrm>
                            <a:off x="8321" y="-76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983" name="Line 2728"/>
                        <wps:cNvCnPr>
                          <a:cxnSpLocks noChangeShapeType="1"/>
                        </wps:cNvCnPr>
                        <wps:spPr bwMode="auto">
                          <a:xfrm>
                            <a:off x="8321" y="-757"/>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984" name="Line 2727"/>
                        <wps:cNvCnPr>
                          <a:cxnSpLocks noChangeShapeType="1"/>
                        </wps:cNvCnPr>
                        <wps:spPr bwMode="auto">
                          <a:xfrm>
                            <a:off x="8321" y="-75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985" name="Line 2726"/>
                        <wps:cNvCnPr>
                          <a:cxnSpLocks noChangeShapeType="1"/>
                        </wps:cNvCnPr>
                        <wps:spPr bwMode="auto">
                          <a:xfrm>
                            <a:off x="8321" y="-752"/>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986" name="Line 2725"/>
                        <wps:cNvCnPr>
                          <a:cxnSpLocks noChangeShapeType="1"/>
                        </wps:cNvCnPr>
                        <wps:spPr bwMode="auto">
                          <a:xfrm>
                            <a:off x="8321" y="-75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987" name="Line 2724"/>
                        <wps:cNvCnPr>
                          <a:cxnSpLocks noChangeShapeType="1"/>
                        </wps:cNvCnPr>
                        <wps:spPr bwMode="auto">
                          <a:xfrm>
                            <a:off x="9617" y="-762"/>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988" name="Line 2723"/>
                        <wps:cNvCnPr>
                          <a:cxnSpLocks noChangeShapeType="1"/>
                        </wps:cNvCnPr>
                        <wps:spPr bwMode="auto">
                          <a:xfrm>
                            <a:off x="9617" y="-76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989" name="Line 2722"/>
                        <wps:cNvCnPr>
                          <a:cxnSpLocks noChangeShapeType="1"/>
                        </wps:cNvCnPr>
                        <wps:spPr bwMode="auto">
                          <a:xfrm>
                            <a:off x="9617" y="-757"/>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990" name="Line 2721"/>
                        <wps:cNvCnPr>
                          <a:cxnSpLocks noChangeShapeType="1"/>
                        </wps:cNvCnPr>
                        <wps:spPr bwMode="auto">
                          <a:xfrm>
                            <a:off x="9617" y="-75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991" name="Line 2720"/>
                        <wps:cNvCnPr>
                          <a:cxnSpLocks noChangeShapeType="1"/>
                        </wps:cNvCnPr>
                        <wps:spPr bwMode="auto">
                          <a:xfrm>
                            <a:off x="9617" y="-752"/>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992" name="Line 2719"/>
                        <wps:cNvCnPr>
                          <a:cxnSpLocks noChangeShapeType="1"/>
                        </wps:cNvCnPr>
                        <wps:spPr bwMode="auto">
                          <a:xfrm>
                            <a:off x="9617" y="-75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1F2884" id="Group 2718" o:spid="_x0000_s1026" style="position:absolute;margin-left:269.65pt;margin-top:-38.15pt;width:187.65pt;height:1.45pt;z-index:-40586752;mso-position-horizontal-relative:page" coordorigin="5393,-763" coordsize="55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">
                <v:line id="Line 2758" o:spid="_x0000_s1027" style="position:absolute;visibility:visible;mso-wrap-style:square" from="5393,-762" to="5561,-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" strokeweight=".12pt"/>
                <v:line id="Line 2757" o:spid="_x0000_s1028" style="position:absolute;visibility:visible;mso-wrap-style:square" from="5393,-760" to="556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" strokeweight=".12pt"/>
                <v:line id="Line 2756" o:spid="_x0000_s1029" style="position:absolute;visibility:visible;mso-wrap-style:square" from="5393,-757" to="5561,-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" strokeweight=".12pt"/>
                <v:line id="Line 2755" o:spid="_x0000_s1030" style="position:absolute;visibility:visible;mso-wrap-style:square" from="5393,-755" to="5561,-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" strokeweight=".12pt"/>
                <v:line id="Line 2754" o:spid="_x0000_s1031" style="position:absolute;visibility:visible;mso-wrap-style:square" from="5393,-752" to="556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" strokeweight=".12pt"/>
                <v:line id="Line 2753" o:spid="_x0000_s1032" style="position:absolute;visibility:visible;mso-wrap-style:square" from="5393,-750" to="5561,-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" strokeweight=".12pt"/>
                <v:line id="Line 2752" o:spid="_x0000_s1033" style="position:absolute;visibility:visible;mso-wrap-style:square" from="5393,-728" to="5561,-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" strokeweight=".12pt"/>
                <v:line id="Line 2751" o:spid="_x0000_s1034" style="position:absolute;visibility:visible;mso-wrap-style:square" from="5393,-726" to="5561,-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" strokeweight=".12pt"/>
                <v:line id="Line 2750" o:spid="_x0000_s1035" style="position:absolute;visibility:visible;mso-wrap-style:square" from="5393,-724" to="5561,-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" strokeweight=".12pt"/>
                <v:line id="Line 2749" o:spid="_x0000_s1036" style="position:absolute;visibility:visible;mso-wrap-style:square" from="5393,-721" to="5561,-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" strokeweight=".12pt"/>
                <v:line id="Line 2748" o:spid="_x0000_s1037" style="position:absolute;visibility:visible;mso-wrap-style:square" from="5561,-762" to="685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" strokeweight=".12pt"/>
                <v:line id="Line 2747" o:spid="_x0000_s1038" style="position:absolute;visibility:visible;mso-wrap-style:square" from="5561,-760" to="685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" strokeweight=".12pt"/>
                <v:line id="Line 2746" o:spid="_x0000_s1039" style="position:absolute;visibility:visible;mso-wrap-style:square" from="5561,-757" to="6857,-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" strokeweight=".12pt"/>
                <v:line id="Line 2745" o:spid="_x0000_s1040" style="position:absolute;visibility:visible;mso-wrap-style:square" from="5561,-755" to="6857,-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" strokeweight=".12pt"/>
                <v:line id="Line 2744" o:spid="_x0000_s1041" style="position:absolute;visibility:visible;mso-wrap-style:square" from="5561,-752" to="6857,-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" strokeweight=".12pt"/>
                <v:line id="Line 2743" o:spid="_x0000_s1042" style="position:absolute;visibility:visible;mso-wrap-style:square" from="5561,-750" to="6857,-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" strokeweight=".12pt"/>
                <v:line id="Line 2742" o:spid="_x0000_s1043" style="position:absolute;visibility:visible;mso-wrap-style:square" from="6857,-762" to="8153,-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" strokeweight=".12pt"/>
                <v:line id="Line 2741" o:spid="_x0000_s1044" style="position:absolute;visibility:visible;mso-wrap-style:square" from="6857,-760" to="8153,-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" strokeweight=".12pt"/>
                <v:line id="Line 2740" o:spid="_x0000_s1045" style="position:absolute;visibility:visible;mso-wrap-style:square" from="6857,-757" to="8153,-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" strokeweight=".12pt"/>
                <v:line id="Line 2739" o:spid="_x0000_s1046" style="position:absolute;visibility:visible;mso-wrap-style:square" from="6857,-755" to="8153,-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" strokeweight=".12pt"/>
                <v:line id="Line 2738" o:spid="_x0000_s1047" style="position:absolute;visibility:visible;mso-wrap-style:square" from="6857,-752" to="8153,-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" strokeweight=".12pt"/>
                <v:line id="Line 2737" o:spid="_x0000_s1048" style="position:absolute;visibility:visible;mso-wrap-style:square" from="6857,-750" to="8153,-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" strokeweight=".12pt"/>
                <v:line id="Line 2736" o:spid="_x0000_s1049" style="position:absolute;visibility:visible;mso-wrap-style:square" from="8153,-762" to="8321,-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" strokeweight=".12pt"/>
                <v:line id="Line 2735" o:spid="_x0000_s1050" style="position:absolute;visibility:visible;mso-wrap-style:square" from="8153,-760" to="832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" strokeweight=".12pt"/>
                <v:line id="Line 2734" o:spid="_x0000_s1051" style="position:absolute;visibility:visible;mso-wrap-style:square" from="8153,-757" to="8321,-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" strokeweight=".12pt"/>
                <v:line id="Line 2733" o:spid="_x0000_s1052" style="position:absolute;visibility:visible;mso-wrap-style:square" from="8153,-755" to="8321,-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" strokeweight=".12pt"/>
                <v:line id="Line 2732" o:spid="_x0000_s1053" style="position:absolute;visibility:visible;mso-wrap-style:square" from="8153,-752" to="832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" strokeweight=".12pt"/>
                <v:line id="Line 2731" o:spid="_x0000_s1054" style="position:absolute;visibility:visible;mso-wrap-style:square" from="8153,-750" to="8321,-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" strokeweight=".12pt"/>
                <v:line id="Line 2730" o:spid="_x0000_s1055" style="position:absolute;visibility:visible;mso-wrap-style:square" from="8321,-762" to="961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" strokeweight=".12pt"/>
                <v:line id="Line 2729" o:spid="_x0000_s1056" style="position:absolute;visibility:visible;mso-wrap-style:square" from="8321,-760" to="961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" strokeweight=".12pt"/>
                <v:line id="Line 2728" o:spid="_x0000_s1057" style="position:absolute;visibility:visible;mso-wrap-style:square" from="8321,-757" to="9617,-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" strokeweight=".12pt"/>
                <v:line id="Line 2727" o:spid="_x0000_s1058" style="position:absolute;visibility:visible;mso-wrap-style:square" from="8321,-755" to="9617,-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" strokeweight=".12pt"/>
                <v:line id="Line 2726" o:spid="_x0000_s1059" style="position:absolute;visibility:visible;mso-wrap-style:square" from="8321,-752" to="9617,-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" strokeweight=".12pt"/>
                <v:line id="Line 2725" o:spid="_x0000_s1060" style="position:absolute;visibility:visible;mso-wrap-style:square" from="8321,-750" to="9617,-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" strokeweight=".12pt"/>
                <v:line id="Line 2724" o:spid="_x0000_s1061" style="position:absolute;visibility:visible;mso-wrap-style:square" from="9617,-762" to="10913,-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" strokeweight=".12pt"/>
                <v:line id="Line 2723" o:spid="_x0000_s1062" style="position:absolute;visibility:visible;mso-wrap-style:square" from="9617,-760" to="10913,-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" strokeweight=".12pt"/>
                <v:line id="Line 2722" o:spid="_x0000_s1063" style="position:absolute;visibility:visible;mso-wrap-style:square" from="9617,-757" to="10913,-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" strokeweight=".12pt"/>
                <v:line id="Line 2721" o:spid="_x0000_s1064" style="position:absolute;visibility:visible;mso-wrap-style:square" from="9617,-755" to="10913,-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" strokeweight=".12pt"/>
                <v:line id="Line 2720" o:spid="_x0000_s1065" style="position:absolute;visibility:visible;mso-wrap-style:square" from="9617,-752" to="10913,-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" strokeweight=".12pt"/>
                <v:line id="Line 2719" o:spid="_x0000_s1066" style="position:absolute;visibility:visible;mso-wrap-style:square" from="9617,-750" to="10913,-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" strokeweight=".12pt"/>
                <w10:wrap anchorx="page"/>
              </v:group>
            </w:pict>
          </mc:Fallback>
        </mc:AlternateContent>
      </w:r>
      <w:r w:rsidR="0015611F">
        <w:t>The average interest rate during 2018 on bank accounts included in cash at bank and on hand was 2.10% (2017: 2.05%).</w:t>
      </w:r>
    </w:p>
    <w:p w14:paraId="36315DA5" w14:textId="77777777" w:rsidR="00FA4AA8" w:rsidRDefault="00FA4AA8">
      <w:pPr>
        <w:pStyle w:val="BodyText"/>
        <w:spacing w:before="7"/>
        <w:rPr>
          <w:sz w:val="26"/>
        </w:rPr>
      </w:pPr>
    </w:p>
    <w:p w14:paraId="1EE24D93" w14:textId="77777777" w:rsidR="00FA4AA8" w:rsidRDefault="0015611F">
      <w:pPr>
        <w:ind w:left="167"/>
        <w:rPr>
          <w:b/>
          <w:sz w:val="18"/>
        </w:rPr>
      </w:pPr>
      <w:r>
        <w:rPr>
          <w:b/>
          <w:sz w:val="18"/>
        </w:rPr>
        <w:t>(b) Short-term deposits</w:t>
      </w:r>
    </w:p>
    <w:p w14:paraId="6AC6B094" w14:textId="77777777" w:rsidR="00FA4AA8" w:rsidRDefault="00FA4AA8">
      <w:pPr>
        <w:pStyle w:val="BodyText"/>
        <w:spacing w:before="5"/>
        <w:rPr>
          <w:b/>
          <w:sz w:val="25"/>
        </w:rPr>
      </w:pPr>
    </w:p>
    <w:p w14:paraId="63711619" w14:textId="77777777" w:rsidR="00FA4AA8" w:rsidRDefault="0015611F">
      <w:pPr>
        <w:pStyle w:val="BodyText"/>
        <w:ind w:left="564"/>
      </w:pPr>
      <w:r>
        <w:t>The deposits are at fixed interest rates ranging between 2.25% and 2.81%.</w:t>
      </w:r>
    </w:p>
    <w:p w14:paraId="0469B280" w14:textId="77777777" w:rsidR="00FA4AA8" w:rsidRDefault="00FA4AA8">
      <w:pPr>
        <w:pStyle w:val="BodyText"/>
        <w:spacing w:before="7"/>
        <w:rPr>
          <w:sz w:val="26"/>
        </w:rPr>
      </w:pPr>
    </w:p>
    <w:p w14:paraId="65F17DD0" w14:textId="77777777" w:rsidR="00FA4AA8" w:rsidRDefault="0015611F">
      <w:pPr>
        <w:spacing w:before="1"/>
        <w:ind w:left="564"/>
        <w:rPr>
          <w:i/>
          <w:sz w:val="18"/>
        </w:rPr>
      </w:pPr>
      <w:r>
        <w:rPr>
          <w:i/>
          <w:sz w:val="18"/>
          <w:u w:val="single"/>
        </w:rPr>
        <w:t>Accounting Policy</w:t>
      </w:r>
    </w:p>
    <w:p w14:paraId="7C747FEE" w14:textId="77777777" w:rsidR="00FA4AA8" w:rsidRDefault="00FA4AA8">
      <w:pPr>
        <w:pStyle w:val="BodyText"/>
        <w:spacing w:before="2"/>
        <w:rPr>
          <w:i/>
          <w:sz w:val="17"/>
        </w:rPr>
      </w:pPr>
    </w:p>
    <w:p w14:paraId="1C5CD8D4" w14:textId="77777777" w:rsidR="00FA4AA8" w:rsidRDefault="0015611F">
      <w:pPr>
        <w:pStyle w:val="BodyText"/>
        <w:spacing w:before="94"/>
        <w:ind w:left="564" w:right="240"/>
      </w:pPr>
      <w:r>
        <w:t xml:space="preserve">For statement of cash flows presentation purposes, cash and cash equivalents includes cash on hand, deposits </w:t>
      </w:r>
      <w:r w:rsidR="006B4CA9">
        <w:t>held at</w:t>
      </w:r>
      <w:r>
        <w:t xml:space="preserve"> call with financial institutions, other short-term, highly liquid investments with original maturities of six months or less that are readily convertible to known amounts of cash and which are subject to an insignificant risk of changes </w:t>
      </w:r>
      <w:r w:rsidR="006B4CA9">
        <w:t>in value</w:t>
      </w:r>
      <w:r>
        <w:t>.</w:t>
      </w:r>
    </w:p>
    <w:p w14:paraId="30F71129" w14:textId="77777777" w:rsidR="00FA4AA8" w:rsidRDefault="00FA4AA8">
      <w:pPr>
        <w:sectPr w:rsidR="00FA4AA8">
          <w:pgSz w:w="11910" w:h="16840"/>
          <w:pgMar w:top="2220" w:right="840" w:bottom="720" w:left="840" w:header="1016" w:footer="523" w:gutter="0"/>
          <w:cols w:space="720"/>
        </w:sectPr>
      </w:pPr>
    </w:p>
    <w:p w14:paraId="115A2B10" w14:textId="77777777" w:rsidR="00FA4AA8" w:rsidRDefault="007E2441">
      <w:pPr>
        <w:pStyle w:val="BodyText"/>
        <w:rPr>
          <w:sz w:val="20"/>
        </w:rPr>
      </w:pPr>
      <w:r>
        <w:rPr>
          <w:noProof/>
          <w:lang w:val="en-AU" w:eastAsia="en-AU"/>
        </w:rPr>
        <mc:AlternateContent>
          <mc:Choice Requires="wpg">
            <w:drawing>
              <wp:anchor distT="0" distB="0" distL="114300" distR="114300" simplePos="0" relativeHeight="15742976" behindDoc="0" locked="0" layoutInCell="1" allowOverlap="1" wp14:anchorId="65CA1C1F" wp14:editId="15A5C448">
                <wp:simplePos x="0" y="0"/>
                <wp:positionH relativeFrom="page">
                  <wp:posOffset>3424555</wp:posOffset>
                </wp:positionH>
                <wp:positionV relativeFrom="page">
                  <wp:posOffset>8882380</wp:posOffset>
                </wp:positionV>
                <wp:extent cx="2383155" cy="16510"/>
                <wp:effectExtent l="0" t="0" r="0" b="0"/>
                <wp:wrapNone/>
                <wp:docPr id="2917" name="Group 2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3155" cy="16510"/>
                          <a:chOff x="5393" y="13988"/>
                          <a:chExt cx="5520" cy="39"/>
                        </a:xfrm>
                      </wpg:grpSpPr>
                      <wps:wsp>
                        <wps:cNvPr id="2918" name="Line 2717"/>
                        <wps:cNvCnPr>
                          <a:cxnSpLocks noChangeShapeType="1"/>
                        </wps:cNvCnPr>
                        <wps:spPr bwMode="auto">
                          <a:xfrm>
                            <a:off x="5393" y="14023"/>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919" name="Line 2716"/>
                        <wps:cNvCnPr>
                          <a:cxnSpLocks noChangeShapeType="1"/>
                        </wps:cNvCnPr>
                        <wps:spPr bwMode="auto">
                          <a:xfrm>
                            <a:off x="5393" y="14025"/>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920" name="Line 2715"/>
                        <wps:cNvCnPr>
                          <a:cxnSpLocks noChangeShapeType="1"/>
                        </wps:cNvCnPr>
                        <wps:spPr bwMode="auto">
                          <a:xfrm>
                            <a:off x="5561" y="1401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921" name="Line 2714"/>
                        <wps:cNvCnPr>
                          <a:cxnSpLocks noChangeShapeType="1"/>
                        </wps:cNvCnPr>
                        <wps:spPr bwMode="auto">
                          <a:xfrm>
                            <a:off x="5561" y="1401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922" name="Line 2713"/>
                        <wps:cNvCnPr>
                          <a:cxnSpLocks noChangeShapeType="1"/>
                        </wps:cNvCnPr>
                        <wps:spPr bwMode="auto">
                          <a:xfrm>
                            <a:off x="5561" y="1401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923" name="Line 2712"/>
                        <wps:cNvCnPr>
                          <a:cxnSpLocks noChangeShapeType="1"/>
                        </wps:cNvCnPr>
                        <wps:spPr bwMode="auto">
                          <a:xfrm>
                            <a:off x="5561" y="1402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924" name="Line 2711"/>
                        <wps:cNvCnPr>
                          <a:cxnSpLocks noChangeShapeType="1"/>
                        </wps:cNvCnPr>
                        <wps:spPr bwMode="auto">
                          <a:xfrm>
                            <a:off x="5561" y="1402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925" name="Line 2710"/>
                        <wps:cNvCnPr>
                          <a:cxnSpLocks noChangeShapeType="1"/>
                        </wps:cNvCnPr>
                        <wps:spPr bwMode="auto">
                          <a:xfrm>
                            <a:off x="5561" y="1402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926" name="Line 2709"/>
                        <wps:cNvCnPr>
                          <a:cxnSpLocks noChangeShapeType="1"/>
                        </wps:cNvCnPr>
                        <wps:spPr bwMode="auto">
                          <a:xfrm>
                            <a:off x="6857" y="1401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927" name="Line 2708"/>
                        <wps:cNvCnPr>
                          <a:cxnSpLocks noChangeShapeType="1"/>
                        </wps:cNvCnPr>
                        <wps:spPr bwMode="auto">
                          <a:xfrm>
                            <a:off x="6857" y="1401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928" name="Line 2707"/>
                        <wps:cNvCnPr>
                          <a:cxnSpLocks noChangeShapeType="1"/>
                        </wps:cNvCnPr>
                        <wps:spPr bwMode="auto">
                          <a:xfrm>
                            <a:off x="6857" y="1401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929" name="Line 2706"/>
                        <wps:cNvCnPr>
                          <a:cxnSpLocks noChangeShapeType="1"/>
                        </wps:cNvCnPr>
                        <wps:spPr bwMode="auto">
                          <a:xfrm>
                            <a:off x="6857" y="1402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930" name="Line 2705"/>
                        <wps:cNvCnPr>
                          <a:cxnSpLocks noChangeShapeType="1"/>
                        </wps:cNvCnPr>
                        <wps:spPr bwMode="auto">
                          <a:xfrm>
                            <a:off x="6857" y="1402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931" name="Line 2704"/>
                        <wps:cNvCnPr>
                          <a:cxnSpLocks noChangeShapeType="1"/>
                        </wps:cNvCnPr>
                        <wps:spPr bwMode="auto">
                          <a:xfrm>
                            <a:off x="6857" y="1402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932" name="Line 2703"/>
                        <wps:cNvCnPr>
                          <a:cxnSpLocks noChangeShapeType="1"/>
                        </wps:cNvCnPr>
                        <wps:spPr bwMode="auto">
                          <a:xfrm>
                            <a:off x="8153" y="14013"/>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933" name="Line 2702"/>
                        <wps:cNvCnPr>
                          <a:cxnSpLocks noChangeShapeType="1"/>
                        </wps:cNvCnPr>
                        <wps:spPr bwMode="auto">
                          <a:xfrm>
                            <a:off x="8153" y="14015"/>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934" name="Line 2701"/>
                        <wps:cNvCnPr>
                          <a:cxnSpLocks noChangeShapeType="1"/>
                        </wps:cNvCnPr>
                        <wps:spPr bwMode="auto">
                          <a:xfrm>
                            <a:off x="8153" y="14018"/>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935" name="Line 2700"/>
                        <wps:cNvCnPr>
                          <a:cxnSpLocks noChangeShapeType="1"/>
                        </wps:cNvCnPr>
                        <wps:spPr bwMode="auto">
                          <a:xfrm>
                            <a:off x="8153" y="14020"/>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936" name="Line 2699"/>
                        <wps:cNvCnPr>
                          <a:cxnSpLocks noChangeShapeType="1"/>
                        </wps:cNvCnPr>
                        <wps:spPr bwMode="auto">
                          <a:xfrm>
                            <a:off x="8153" y="14023"/>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937" name="Line 2698"/>
                        <wps:cNvCnPr>
                          <a:cxnSpLocks noChangeShapeType="1"/>
                        </wps:cNvCnPr>
                        <wps:spPr bwMode="auto">
                          <a:xfrm>
                            <a:off x="8153" y="14025"/>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938" name="Line 2697"/>
                        <wps:cNvCnPr>
                          <a:cxnSpLocks noChangeShapeType="1"/>
                        </wps:cNvCnPr>
                        <wps:spPr bwMode="auto">
                          <a:xfrm>
                            <a:off x="8321" y="13989"/>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939" name="Line 2696"/>
                        <wps:cNvCnPr>
                          <a:cxnSpLocks noChangeShapeType="1"/>
                        </wps:cNvCnPr>
                        <wps:spPr bwMode="auto">
                          <a:xfrm>
                            <a:off x="8321" y="1401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940" name="Line 2695"/>
                        <wps:cNvCnPr>
                          <a:cxnSpLocks noChangeShapeType="1"/>
                        </wps:cNvCnPr>
                        <wps:spPr bwMode="auto">
                          <a:xfrm>
                            <a:off x="8321" y="1401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941" name="Line 2694"/>
                        <wps:cNvCnPr>
                          <a:cxnSpLocks noChangeShapeType="1"/>
                        </wps:cNvCnPr>
                        <wps:spPr bwMode="auto">
                          <a:xfrm>
                            <a:off x="8321" y="1401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942" name="Line 2693"/>
                        <wps:cNvCnPr>
                          <a:cxnSpLocks noChangeShapeType="1"/>
                        </wps:cNvCnPr>
                        <wps:spPr bwMode="auto">
                          <a:xfrm>
                            <a:off x="8321" y="1402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943" name="Line 2692"/>
                        <wps:cNvCnPr>
                          <a:cxnSpLocks noChangeShapeType="1"/>
                        </wps:cNvCnPr>
                        <wps:spPr bwMode="auto">
                          <a:xfrm>
                            <a:off x="8321" y="1402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944" name="Line 2691"/>
                        <wps:cNvCnPr>
                          <a:cxnSpLocks noChangeShapeType="1"/>
                        </wps:cNvCnPr>
                        <wps:spPr bwMode="auto">
                          <a:xfrm>
                            <a:off x="8321" y="1402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945" name="Line 2690"/>
                        <wps:cNvCnPr>
                          <a:cxnSpLocks noChangeShapeType="1"/>
                        </wps:cNvCnPr>
                        <wps:spPr bwMode="auto">
                          <a:xfrm>
                            <a:off x="9617" y="13989"/>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946" name="Line 2689"/>
                        <wps:cNvCnPr>
                          <a:cxnSpLocks noChangeShapeType="1"/>
                        </wps:cNvCnPr>
                        <wps:spPr bwMode="auto">
                          <a:xfrm>
                            <a:off x="9617" y="1401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947" name="Line 2688"/>
                        <wps:cNvCnPr>
                          <a:cxnSpLocks noChangeShapeType="1"/>
                        </wps:cNvCnPr>
                        <wps:spPr bwMode="auto">
                          <a:xfrm>
                            <a:off x="9617" y="1401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948" name="Line 2687"/>
                        <wps:cNvCnPr>
                          <a:cxnSpLocks noChangeShapeType="1"/>
                        </wps:cNvCnPr>
                        <wps:spPr bwMode="auto">
                          <a:xfrm>
                            <a:off x="9617" y="1401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949" name="Line 2686"/>
                        <wps:cNvCnPr>
                          <a:cxnSpLocks noChangeShapeType="1"/>
                        </wps:cNvCnPr>
                        <wps:spPr bwMode="auto">
                          <a:xfrm>
                            <a:off x="9617" y="1402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950" name="Line 2685"/>
                        <wps:cNvCnPr>
                          <a:cxnSpLocks noChangeShapeType="1"/>
                        </wps:cNvCnPr>
                        <wps:spPr bwMode="auto">
                          <a:xfrm>
                            <a:off x="9617" y="1402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951" name="Line 2684"/>
                        <wps:cNvCnPr>
                          <a:cxnSpLocks noChangeShapeType="1"/>
                        </wps:cNvCnPr>
                        <wps:spPr bwMode="auto">
                          <a:xfrm>
                            <a:off x="9617" y="1402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0CC874" id="Group 2683" o:spid="_x0000_s1026" style="position:absolute;margin-left:269.65pt;margin-top:699.4pt;width:187.65pt;height:1.3pt;z-index:15742976;mso-position-horizontal-relative:page;mso-position-vertical-relative:page" coordorigin="5393,13988" coordsize="552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">
                <v:line id="Line 2717" o:spid="_x0000_s1027" style="position:absolute;visibility:visible;mso-wrap-style:square" from="5393,14023" to="5561,14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" strokeweight=".12pt"/>
                <v:line id="Line 2716" o:spid="_x0000_s1028" style="position:absolute;visibility:visible;mso-wrap-style:square" from="5393,14025" to="5561,14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" strokeweight=".12pt"/>
                <v:line id="Line 2715" o:spid="_x0000_s1029" style="position:absolute;visibility:visible;mso-wrap-style:square" from="5561,14013" to="6857,14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" strokeweight=".12pt"/>
                <v:line id="Line 2714" o:spid="_x0000_s1030" style="position:absolute;visibility:visible;mso-wrap-style:square" from="5561,14015" to="6857,14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" strokeweight=".12pt"/>
                <v:line id="Line 2713" o:spid="_x0000_s1031" style="position:absolute;visibility:visible;mso-wrap-style:square" from="5561,14018" to="6857,14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" strokeweight=".12pt"/>
                <v:line id="Line 2712" o:spid="_x0000_s1032" style="position:absolute;visibility:visible;mso-wrap-style:square" from="5561,14020" to="6857,14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" strokeweight=".12pt"/>
                <v:line id="Line 2711" o:spid="_x0000_s1033" style="position:absolute;visibility:visible;mso-wrap-style:square" from="5561,14023" to="6857,14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" strokeweight=".12pt"/>
                <v:line id="Line 2710" o:spid="_x0000_s1034" style="position:absolute;visibility:visible;mso-wrap-style:square" from="5561,14025" to="6857,14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" strokeweight=".12pt"/>
                <v:line id="Line 2709" o:spid="_x0000_s1035" style="position:absolute;visibility:visible;mso-wrap-style:square" from="6857,14013" to="8153,14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" strokeweight=".12pt"/>
                <v:line id="Line 2708" o:spid="_x0000_s1036" style="position:absolute;visibility:visible;mso-wrap-style:square" from="6857,14015" to="8153,14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" strokeweight=".12pt"/>
                <v:line id="Line 2707" o:spid="_x0000_s1037" style="position:absolute;visibility:visible;mso-wrap-style:square" from="6857,14018" to="8153,14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" strokeweight=".12pt"/>
                <v:line id="Line 2706" o:spid="_x0000_s1038" style="position:absolute;visibility:visible;mso-wrap-style:square" from="6857,14020" to="8153,14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" strokeweight=".12pt"/>
                <v:line id="Line 2705" o:spid="_x0000_s1039" style="position:absolute;visibility:visible;mso-wrap-style:square" from="6857,14023" to="8153,14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" strokeweight=".12pt"/>
                <v:line id="Line 2704" o:spid="_x0000_s1040" style="position:absolute;visibility:visible;mso-wrap-style:square" from="6857,14025" to="8153,14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" strokeweight=".12pt"/>
                <v:line id="Line 2703" o:spid="_x0000_s1041" style="position:absolute;visibility:visible;mso-wrap-style:square" from="8153,14013" to="8321,14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" strokeweight=".12pt"/>
                <v:line id="Line 2702" o:spid="_x0000_s1042" style="position:absolute;visibility:visible;mso-wrap-style:square" from="8153,14015" to="8321,14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" strokeweight=".12pt"/>
                <v:line id="Line 2701" o:spid="_x0000_s1043" style="position:absolute;visibility:visible;mso-wrap-style:square" from="8153,14018" to="8321,14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" strokeweight=".12pt"/>
                <v:line id="Line 2700" o:spid="_x0000_s1044" style="position:absolute;visibility:visible;mso-wrap-style:square" from="8153,14020" to="8321,14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" strokeweight=".12pt"/>
                <v:line id="Line 2699" o:spid="_x0000_s1045" style="position:absolute;visibility:visible;mso-wrap-style:square" from="8153,14023" to="8321,14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" strokeweight=".12pt"/>
                <v:line id="Line 2698" o:spid="_x0000_s1046" style="position:absolute;visibility:visible;mso-wrap-style:square" from="8153,14025" to="8321,14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" strokeweight=".12pt"/>
                <v:line id="Line 2697" o:spid="_x0000_s1047" style="position:absolute;visibility:visible;mso-wrap-style:square" from="8321,13989" to="9617,13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" strokeweight=".12pt"/>
                <v:line id="Line 2696" o:spid="_x0000_s1048" style="position:absolute;visibility:visible;mso-wrap-style:square" from="8321,14013" to="9617,14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" strokeweight=".12pt"/>
                <v:line id="Line 2695" o:spid="_x0000_s1049" style="position:absolute;visibility:visible;mso-wrap-style:square" from="8321,14015" to="9617,14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" strokeweight=".12pt"/>
                <v:line id="Line 2694" o:spid="_x0000_s1050" style="position:absolute;visibility:visible;mso-wrap-style:square" from="8321,14018" to="9617,14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" strokeweight=".12pt"/>
                <v:line id="Line 2693" o:spid="_x0000_s1051" style="position:absolute;visibility:visible;mso-wrap-style:square" from="8321,14020" to="9617,14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" strokeweight=".12pt"/>
                <v:line id="Line 2692" o:spid="_x0000_s1052" style="position:absolute;visibility:visible;mso-wrap-style:square" from="8321,14023" to="9617,14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" strokeweight=".12pt"/>
                <v:line id="Line 2691" o:spid="_x0000_s1053" style="position:absolute;visibility:visible;mso-wrap-style:square" from="8321,14025" to="9617,14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" strokeweight=".12pt"/>
                <v:line id="Line 2690" o:spid="_x0000_s1054" style="position:absolute;visibility:visible;mso-wrap-style:square" from="9617,13989" to="10913,13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" strokeweight=".12pt"/>
                <v:line id="Line 2689" o:spid="_x0000_s1055" style="position:absolute;visibility:visible;mso-wrap-style:square" from="9617,14013" to="10913,14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" strokeweight=".12pt"/>
                <v:line id="Line 2688" o:spid="_x0000_s1056" style="position:absolute;visibility:visible;mso-wrap-style:square" from="9617,14015" to="10913,14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" strokeweight=".12pt"/>
                <v:line id="Line 2687" o:spid="_x0000_s1057" style="position:absolute;visibility:visible;mso-wrap-style:square" from="9617,14018" to="10913,14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" strokeweight=".12pt"/>
                <v:line id="Line 2686" o:spid="_x0000_s1058" style="position:absolute;visibility:visible;mso-wrap-style:square" from="9617,14020" to="10913,14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" strokeweight=".12pt"/>
                <v:line id="Line 2685" o:spid="_x0000_s1059" style="position:absolute;visibility:visible;mso-wrap-style:square" from="9617,14023" to="10913,14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" strokeweight=".12pt"/>
                <v:line id="Line 2684" o:spid="_x0000_s1060" style="position:absolute;visibility:visible;mso-wrap-style:square" from="9617,14025" to="10913,14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" strokeweight=".12pt"/>
                <w10:wrap anchorx="page" anchory="page"/>
              </v:group>
            </w:pict>
          </mc:Fallback>
        </mc:AlternateContent>
      </w:r>
    </w:p>
    <w:p w14:paraId="4B32BE22" w14:textId="77777777" w:rsidR="00FA4AA8" w:rsidRDefault="00FA4AA8">
      <w:pPr>
        <w:pStyle w:val="BodyText"/>
        <w:spacing w:before="10"/>
        <w:rPr>
          <w:sz w:val="29"/>
        </w:rPr>
      </w:pPr>
    </w:p>
    <w:p w14:paraId="74B4F677" w14:textId="77777777" w:rsidR="00FA4AA8" w:rsidRDefault="0015611F">
      <w:pPr>
        <w:numPr>
          <w:ilvl w:val="0"/>
          <w:numId w:val="103"/>
        </w:numPr>
        <w:tabs>
          <w:tab w:val="left" w:pos="564"/>
        </w:tabs>
        <w:spacing w:before="94"/>
        <w:ind w:hanging="397"/>
        <w:rPr>
          <w:b/>
          <w:sz w:val="18"/>
        </w:rPr>
      </w:pPr>
      <w:bookmarkStart w:id="39" w:name="17_Trade_and_other_receivables_"/>
      <w:bookmarkEnd w:id="39"/>
      <w:r>
        <w:rPr>
          <w:b/>
          <w:sz w:val="18"/>
        </w:rPr>
        <w:t>Trade and other receivables</w:t>
      </w:r>
    </w:p>
    <w:p w14:paraId="5D602472" w14:textId="77777777" w:rsidR="00FA4AA8" w:rsidRDefault="0015611F">
      <w:pPr>
        <w:tabs>
          <w:tab w:val="left" w:pos="8423"/>
        </w:tabs>
        <w:spacing w:before="33"/>
        <w:ind w:left="5373"/>
        <w:rPr>
          <w:b/>
          <w:sz w:val="18"/>
        </w:rPr>
      </w:pPr>
      <w:r>
        <w:rPr>
          <w:b/>
          <w:sz w:val="18"/>
        </w:rPr>
        <w:t>Consolidated</w:t>
      </w:r>
      <w:r>
        <w:rPr>
          <w:b/>
          <w:sz w:val="18"/>
        </w:rPr>
        <w:tab/>
        <w:t>Parent</w:t>
      </w:r>
    </w:p>
    <w:p w14:paraId="4C6314F0" w14:textId="77777777" w:rsidR="00FA4AA8" w:rsidRDefault="00FA4AA8">
      <w:pPr>
        <w:pStyle w:val="BodyText"/>
        <w:spacing w:before="3"/>
        <w:rPr>
          <w:b/>
          <w:sz w:val="6"/>
        </w:rPr>
      </w:pPr>
    </w:p>
    <w:tbl>
      <w:tblPr>
        <w:tblW w:w="0" w:type="auto"/>
        <w:tblInd w:w="125" w:type="dxa"/>
        <w:tblLayout w:type="fixed"/>
        <w:tblCellMar>
          <w:left w:w="0" w:type="dxa"/>
          <w:right w:w="0" w:type="dxa"/>
        </w:tblCellMar>
        <w:tblLook w:val="01E0" w:firstRow="1" w:lastRow="1" w:firstColumn="1" w:lastColumn="1" w:noHBand="0" w:noVBand="0"/>
      </w:tblPr>
      <w:tblGrid>
        <w:gridCol w:w="359"/>
        <w:gridCol w:w="3445"/>
        <w:gridCol w:w="632"/>
        <w:gridCol w:w="1465"/>
        <w:gridCol w:w="1296"/>
        <w:gridCol w:w="168"/>
        <w:gridCol w:w="1486"/>
        <w:gridCol w:w="1106"/>
      </w:tblGrid>
      <w:tr w:rsidR="00FA4AA8" w14:paraId="2AFB5E46" w14:textId="77777777">
        <w:trPr>
          <w:trHeight w:val="844"/>
        </w:trPr>
        <w:tc>
          <w:tcPr>
            <w:tcW w:w="359" w:type="dxa"/>
            <w:vMerge w:val="restart"/>
          </w:tcPr>
          <w:p w14:paraId="102707C4" w14:textId="77777777" w:rsidR="00FA4AA8" w:rsidRDefault="00FA4AA8">
            <w:pPr>
              <w:pStyle w:val="TableParagraph"/>
              <w:rPr>
                <w:rFonts w:ascii="Times New Roman"/>
                <w:sz w:val="18"/>
              </w:rPr>
            </w:pPr>
          </w:p>
        </w:tc>
        <w:tc>
          <w:tcPr>
            <w:tcW w:w="3445" w:type="dxa"/>
          </w:tcPr>
          <w:p w14:paraId="4461B61B" w14:textId="77777777" w:rsidR="00FA4AA8" w:rsidRDefault="00FA4AA8">
            <w:pPr>
              <w:pStyle w:val="TableParagraph"/>
              <w:rPr>
                <w:b/>
                <w:sz w:val="20"/>
              </w:rPr>
            </w:pPr>
          </w:p>
          <w:p w14:paraId="739403B8" w14:textId="77777777" w:rsidR="00FA4AA8" w:rsidRDefault="00FA4AA8">
            <w:pPr>
              <w:pStyle w:val="TableParagraph"/>
              <w:rPr>
                <w:b/>
                <w:sz w:val="20"/>
              </w:rPr>
            </w:pPr>
          </w:p>
          <w:p w14:paraId="105FA8DA" w14:textId="77777777" w:rsidR="00FA4AA8" w:rsidRDefault="0015611F">
            <w:pPr>
              <w:pStyle w:val="TableParagraph"/>
              <w:spacing w:before="160" w:line="204" w:lineRule="exact"/>
              <w:ind w:left="113"/>
              <w:rPr>
                <w:b/>
                <w:sz w:val="18"/>
              </w:rPr>
            </w:pPr>
            <w:r>
              <w:rPr>
                <w:b/>
                <w:sz w:val="18"/>
              </w:rPr>
              <w:t>Current</w:t>
            </w:r>
          </w:p>
        </w:tc>
        <w:tc>
          <w:tcPr>
            <w:tcW w:w="632" w:type="dxa"/>
          </w:tcPr>
          <w:p w14:paraId="40DD622D" w14:textId="77777777" w:rsidR="00FA4AA8" w:rsidRDefault="00FA4AA8">
            <w:pPr>
              <w:pStyle w:val="TableParagraph"/>
              <w:spacing w:before="3"/>
              <w:rPr>
                <w:b/>
                <w:sz w:val="23"/>
              </w:rPr>
            </w:pPr>
          </w:p>
          <w:p w14:paraId="080C2DEB" w14:textId="77777777" w:rsidR="00FA4AA8" w:rsidRDefault="0015611F">
            <w:pPr>
              <w:pStyle w:val="TableParagraph"/>
              <w:ind w:left="106" w:right="85"/>
              <w:jc w:val="center"/>
              <w:rPr>
                <w:b/>
                <w:sz w:val="18"/>
              </w:rPr>
            </w:pPr>
            <w:r>
              <w:rPr>
                <w:b/>
                <w:sz w:val="18"/>
              </w:rPr>
              <w:t>Note</w:t>
            </w:r>
          </w:p>
        </w:tc>
        <w:tc>
          <w:tcPr>
            <w:tcW w:w="1465" w:type="dxa"/>
          </w:tcPr>
          <w:p w14:paraId="564A547B" w14:textId="77777777" w:rsidR="00FA4AA8" w:rsidRDefault="0015611F">
            <w:pPr>
              <w:pStyle w:val="TableParagraph"/>
              <w:spacing w:line="201" w:lineRule="exact"/>
              <w:ind w:left="596"/>
              <w:rPr>
                <w:b/>
                <w:sz w:val="18"/>
              </w:rPr>
            </w:pPr>
            <w:r>
              <w:rPr>
                <w:b/>
                <w:sz w:val="18"/>
              </w:rPr>
              <w:t>2018</w:t>
            </w:r>
          </w:p>
          <w:p w14:paraId="7C97D0CA" w14:textId="77777777" w:rsidR="00FA4AA8" w:rsidRDefault="0015611F">
            <w:pPr>
              <w:pStyle w:val="TableParagraph"/>
              <w:spacing w:before="66"/>
              <w:ind w:left="574"/>
              <w:rPr>
                <w:b/>
                <w:sz w:val="18"/>
              </w:rPr>
            </w:pPr>
            <w:r>
              <w:rPr>
                <w:b/>
                <w:sz w:val="18"/>
              </w:rPr>
              <w:t>$'000</w:t>
            </w:r>
          </w:p>
        </w:tc>
        <w:tc>
          <w:tcPr>
            <w:tcW w:w="1296" w:type="dxa"/>
          </w:tcPr>
          <w:p w14:paraId="6731DAFA" w14:textId="77777777" w:rsidR="00FA4AA8" w:rsidRDefault="0015611F">
            <w:pPr>
              <w:pStyle w:val="TableParagraph"/>
              <w:spacing w:line="201" w:lineRule="exact"/>
              <w:ind w:left="427"/>
              <w:rPr>
                <w:b/>
                <w:sz w:val="18"/>
              </w:rPr>
            </w:pPr>
            <w:r>
              <w:rPr>
                <w:b/>
                <w:sz w:val="18"/>
              </w:rPr>
              <w:t>2017</w:t>
            </w:r>
          </w:p>
          <w:p w14:paraId="7EAAA3ED" w14:textId="77777777" w:rsidR="00FA4AA8" w:rsidRDefault="0015611F">
            <w:pPr>
              <w:pStyle w:val="TableParagraph"/>
              <w:spacing w:before="66"/>
              <w:ind w:left="405"/>
              <w:rPr>
                <w:b/>
                <w:sz w:val="18"/>
              </w:rPr>
            </w:pPr>
            <w:r>
              <w:rPr>
                <w:b/>
                <w:sz w:val="18"/>
              </w:rPr>
              <w:t>$'000</w:t>
            </w:r>
          </w:p>
        </w:tc>
        <w:tc>
          <w:tcPr>
            <w:tcW w:w="168" w:type="dxa"/>
          </w:tcPr>
          <w:p w14:paraId="735FA5A5" w14:textId="77777777" w:rsidR="00FA4AA8" w:rsidRDefault="00FA4AA8">
            <w:pPr>
              <w:pStyle w:val="TableParagraph"/>
              <w:rPr>
                <w:rFonts w:ascii="Times New Roman"/>
                <w:sz w:val="18"/>
              </w:rPr>
            </w:pPr>
          </w:p>
        </w:tc>
        <w:tc>
          <w:tcPr>
            <w:tcW w:w="1486" w:type="dxa"/>
          </w:tcPr>
          <w:p w14:paraId="3762902C" w14:textId="77777777" w:rsidR="00FA4AA8" w:rsidRDefault="0015611F">
            <w:pPr>
              <w:pStyle w:val="TableParagraph"/>
              <w:spacing w:line="201" w:lineRule="exact"/>
              <w:ind w:left="427"/>
              <w:rPr>
                <w:b/>
                <w:sz w:val="18"/>
              </w:rPr>
            </w:pPr>
            <w:r>
              <w:rPr>
                <w:b/>
                <w:sz w:val="18"/>
              </w:rPr>
              <w:t>2018</w:t>
            </w:r>
          </w:p>
          <w:p w14:paraId="5B41AABF" w14:textId="77777777" w:rsidR="00FA4AA8" w:rsidRDefault="0015611F">
            <w:pPr>
              <w:pStyle w:val="TableParagraph"/>
              <w:spacing w:before="66"/>
              <w:ind w:left="405"/>
              <w:rPr>
                <w:b/>
                <w:sz w:val="18"/>
              </w:rPr>
            </w:pPr>
            <w:r>
              <w:rPr>
                <w:b/>
                <w:sz w:val="18"/>
              </w:rPr>
              <w:t>$'000</w:t>
            </w:r>
          </w:p>
        </w:tc>
        <w:tc>
          <w:tcPr>
            <w:tcW w:w="1106" w:type="dxa"/>
          </w:tcPr>
          <w:p w14:paraId="01403529" w14:textId="77777777" w:rsidR="00FA4AA8" w:rsidRDefault="0015611F">
            <w:pPr>
              <w:pStyle w:val="TableParagraph"/>
              <w:spacing w:line="201" w:lineRule="exact"/>
              <w:ind w:left="237"/>
              <w:rPr>
                <w:b/>
                <w:sz w:val="18"/>
              </w:rPr>
            </w:pPr>
            <w:r>
              <w:rPr>
                <w:b/>
                <w:sz w:val="18"/>
              </w:rPr>
              <w:t>2017</w:t>
            </w:r>
          </w:p>
          <w:p w14:paraId="17441C38" w14:textId="77777777" w:rsidR="00FA4AA8" w:rsidRDefault="0015611F">
            <w:pPr>
              <w:pStyle w:val="TableParagraph"/>
              <w:spacing w:before="66"/>
              <w:ind w:left="215"/>
              <w:rPr>
                <w:b/>
                <w:sz w:val="18"/>
              </w:rPr>
            </w:pPr>
            <w:r>
              <w:rPr>
                <w:b/>
                <w:sz w:val="18"/>
              </w:rPr>
              <w:t>$'000</w:t>
            </w:r>
          </w:p>
        </w:tc>
      </w:tr>
      <w:tr w:rsidR="00FA4AA8" w14:paraId="1697E154" w14:textId="77777777">
        <w:trPr>
          <w:trHeight w:val="250"/>
        </w:trPr>
        <w:tc>
          <w:tcPr>
            <w:tcW w:w="359" w:type="dxa"/>
            <w:vMerge/>
            <w:tcBorders>
              <w:top w:val="nil"/>
            </w:tcBorders>
          </w:tcPr>
          <w:p w14:paraId="085C5ED0" w14:textId="77777777" w:rsidR="00FA4AA8" w:rsidRDefault="00FA4AA8">
            <w:pPr>
              <w:rPr>
                <w:sz w:val="2"/>
                <w:szCs w:val="2"/>
              </w:rPr>
            </w:pPr>
          </w:p>
        </w:tc>
        <w:tc>
          <w:tcPr>
            <w:tcW w:w="3445" w:type="dxa"/>
          </w:tcPr>
          <w:p w14:paraId="5AAE164F" w14:textId="77777777" w:rsidR="00FA4AA8" w:rsidRDefault="0015611F">
            <w:pPr>
              <w:pStyle w:val="TableParagraph"/>
              <w:spacing w:before="13"/>
              <w:ind w:left="113"/>
              <w:rPr>
                <w:sz w:val="18"/>
              </w:rPr>
            </w:pPr>
            <w:r>
              <w:rPr>
                <w:sz w:val="18"/>
              </w:rPr>
              <w:t>Student fees</w:t>
            </w:r>
          </w:p>
        </w:tc>
        <w:tc>
          <w:tcPr>
            <w:tcW w:w="632" w:type="dxa"/>
          </w:tcPr>
          <w:p w14:paraId="639AB47E" w14:textId="77777777" w:rsidR="00FA4AA8" w:rsidRDefault="00FA4AA8">
            <w:pPr>
              <w:pStyle w:val="TableParagraph"/>
              <w:rPr>
                <w:rFonts w:ascii="Times New Roman"/>
                <w:sz w:val="18"/>
              </w:rPr>
            </w:pPr>
          </w:p>
        </w:tc>
        <w:tc>
          <w:tcPr>
            <w:tcW w:w="1465" w:type="dxa"/>
          </w:tcPr>
          <w:p w14:paraId="410B3B90" w14:textId="77777777" w:rsidR="00FA4AA8" w:rsidRDefault="0015611F">
            <w:pPr>
              <w:pStyle w:val="TableParagraph"/>
              <w:spacing w:before="11"/>
              <w:ind w:right="89"/>
              <w:jc w:val="right"/>
              <w:rPr>
                <w:b/>
                <w:sz w:val="18"/>
              </w:rPr>
            </w:pPr>
            <w:r>
              <w:rPr>
                <w:b/>
                <w:sz w:val="18"/>
              </w:rPr>
              <w:t>5,979</w:t>
            </w:r>
          </w:p>
        </w:tc>
        <w:tc>
          <w:tcPr>
            <w:tcW w:w="1296" w:type="dxa"/>
          </w:tcPr>
          <w:p w14:paraId="66F8CB77" w14:textId="77777777" w:rsidR="00FA4AA8" w:rsidRDefault="0015611F">
            <w:pPr>
              <w:pStyle w:val="TableParagraph"/>
              <w:spacing w:before="11"/>
              <w:ind w:right="89"/>
              <w:jc w:val="right"/>
              <w:rPr>
                <w:sz w:val="18"/>
              </w:rPr>
            </w:pPr>
            <w:r>
              <w:rPr>
                <w:sz w:val="18"/>
              </w:rPr>
              <w:t>4,496</w:t>
            </w:r>
          </w:p>
        </w:tc>
        <w:tc>
          <w:tcPr>
            <w:tcW w:w="168" w:type="dxa"/>
          </w:tcPr>
          <w:p w14:paraId="71A2915C" w14:textId="77777777" w:rsidR="00FA4AA8" w:rsidRDefault="00FA4AA8">
            <w:pPr>
              <w:pStyle w:val="TableParagraph"/>
              <w:rPr>
                <w:rFonts w:ascii="Times New Roman"/>
                <w:sz w:val="18"/>
              </w:rPr>
            </w:pPr>
          </w:p>
        </w:tc>
        <w:tc>
          <w:tcPr>
            <w:tcW w:w="1486" w:type="dxa"/>
          </w:tcPr>
          <w:p w14:paraId="04AF5D4D" w14:textId="77777777" w:rsidR="00FA4AA8" w:rsidRDefault="0015611F">
            <w:pPr>
              <w:pStyle w:val="TableParagraph"/>
              <w:spacing w:before="11"/>
              <w:ind w:right="279"/>
              <w:jc w:val="right"/>
              <w:rPr>
                <w:b/>
                <w:sz w:val="18"/>
              </w:rPr>
            </w:pPr>
            <w:r>
              <w:rPr>
                <w:b/>
                <w:sz w:val="18"/>
              </w:rPr>
              <w:t>5,801</w:t>
            </w:r>
          </w:p>
        </w:tc>
        <w:tc>
          <w:tcPr>
            <w:tcW w:w="1106" w:type="dxa"/>
          </w:tcPr>
          <w:p w14:paraId="569B1595" w14:textId="77777777" w:rsidR="00FA4AA8" w:rsidRDefault="0015611F">
            <w:pPr>
              <w:pStyle w:val="TableParagraph"/>
              <w:spacing w:before="11"/>
              <w:ind w:right="89"/>
              <w:jc w:val="right"/>
              <w:rPr>
                <w:sz w:val="18"/>
              </w:rPr>
            </w:pPr>
            <w:r>
              <w:rPr>
                <w:sz w:val="18"/>
              </w:rPr>
              <w:t>4,345</w:t>
            </w:r>
          </w:p>
        </w:tc>
      </w:tr>
      <w:tr w:rsidR="00FA4AA8" w14:paraId="498A9727" w14:textId="77777777">
        <w:trPr>
          <w:trHeight w:val="264"/>
        </w:trPr>
        <w:tc>
          <w:tcPr>
            <w:tcW w:w="359" w:type="dxa"/>
            <w:vMerge/>
            <w:tcBorders>
              <w:top w:val="nil"/>
            </w:tcBorders>
          </w:tcPr>
          <w:p w14:paraId="5BAC1214" w14:textId="77777777" w:rsidR="00FA4AA8" w:rsidRDefault="00FA4AA8">
            <w:pPr>
              <w:rPr>
                <w:sz w:val="2"/>
                <w:szCs w:val="2"/>
              </w:rPr>
            </w:pPr>
          </w:p>
        </w:tc>
        <w:tc>
          <w:tcPr>
            <w:tcW w:w="3445" w:type="dxa"/>
          </w:tcPr>
          <w:p w14:paraId="733E7CCD" w14:textId="77777777" w:rsidR="00FA4AA8" w:rsidRDefault="0015611F">
            <w:pPr>
              <w:pStyle w:val="TableParagraph"/>
              <w:spacing w:before="26"/>
              <w:ind w:left="113"/>
              <w:rPr>
                <w:sz w:val="18"/>
              </w:rPr>
            </w:pPr>
            <w:r>
              <w:rPr>
                <w:sz w:val="18"/>
              </w:rPr>
              <w:t>Trade receivables</w:t>
            </w:r>
          </w:p>
        </w:tc>
        <w:tc>
          <w:tcPr>
            <w:tcW w:w="632" w:type="dxa"/>
          </w:tcPr>
          <w:p w14:paraId="3F46C81F" w14:textId="77777777" w:rsidR="00FA4AA8" w:rsidRDefault="00FA4AA8">
            <w:pPr>
              <w:pStyle w:val="TableParagraph"/>
              <w:rPr>
                <w:rFonts w:ascii="Times New Roman"/>
                <w:sz w:val="18"/>
              </w:rPr>
            </w:pPr>
          </w:p>
        </w:tc>
        <w:tc>
          <w:tcPr>
            <w:tcW w:w="1465" w:type="dxa"/>
          </w:tcPr>
          <w:p w14:paraId="19782CA6" w14:textId="77777777" w:rsidR="00FA4AA8" w:rsidRDefault="0015611F">
            <w:pPr>
              <w:pStyle w:val="TableParagraph"/>
              <w:spacing w:before="24"/>
              <w:ind w:right="89"/>
              <w:jc w:val="right"/>
              <w:rPr>
                <w:b/>
                <w:sz w:val="18"/>
              </w:rPr>
            </w:pPr>
            <w:r>
              <w:rPr>
                <w:b/>
                <w:sz w:val="18"/>
              </w:rPr>
              <w:t>31,634</w:t>
            </w:r>
          </w:p>
        </w:tc>
        <w:tc>
          <w:tcPr>
            <w:tcW w:w="1296" w:type="dxa"/>
          </w:tcPr>
          <w:p w14:paraId="3255988C" w14:textId="77777777" w:rsidR="00FA4AA8" w:rsidRDefault="0015611F">
            <w:pPr>
              <w:pStyle w:val="TableParagraph"/>
              <w:spacing w:before="24"/>
              <w:ind w:right="89"/>
              <w:jc w:val="right"/>
              <w:rPr>
                <w:sz w:val="18"/>
              </w:rPr>
            </w:pPr>
            <w:r>
              <w:rPr>
                <w:sz w:val="18"/>
              </w:rPr>
              <w:t>22,330</w:t>
            </w:r>
          </w:p>
        </w:tc>
        <w:tc>
          <w:tcPr>
            <w:tcW w:w="168" w:type="dxa"/>
          </w:tcPr>
          <w:p w14:paraId="18CA0E33" w14:textId="77777777" w:rsidR="00FA4AA8" w:rsidRDefault="00FA4AA8">
            <w:pPr>
              <w:pStyle w:val="TableParagraph"/>
              <w:rPr>
                <w:rFonts w:ascii="Times New Roman"/>
                <w:sz w:val="18"/>
              </w:rPr>
            </w:pPr>
          </w:p>
        </w:tc>
        <w:tc>
          <w:tcPr>
            <w:tcW w:w="1486" w:type="dxa"/>
          </w:tcPr>
          <w:p w14:paraId="1A8F7E1E" w14:textId="77777777" w:rsidR="00FA4AA8" w:rsidRDefault="0015611F">
            <w:pPr>
              <w:pStyle w:val="TableParagraph"/>
              <w:spacing w:before="24"/>
              <w:ind w:right="279"/>
              <w:jc w:val="right"/>
              <w:rPr>
                <w:b/>
                <w:sz w:val="18"/>
              </w:rPr>
            </w:pPr>
            <w:r>
              <w:rPr>
                <w:b/>
                <w:sz w:val="18"/>
              </w:rPr>
              <w:t>30,847</w:t>
            </w:r>
          </w:p>
        </w:tc>
        <w:tc>
          <w:tcPr>
            <w:tcW w:w="1106" w:type="dxa"/>
          </w:tcPr>
          <w:p w14:paraId="0DE5F23C" w14:textId="77777777" w:rsidR="00FA4AA8" w:rsidRDefault="0015611F">
            <w:pPr>
              <w:pStyle w:val="TableParagraph"/>
              <w:spacing w:before="24"/>
              <w:ind w:right="89"/>
              <w:jc w:val="right"/>
              <w:rPr>
                <w:sz w:val="18"/>
              </w:rPr>
            </w:pPr>
            <w:r>
              <w:rPr>
                <w:sz w:val="18"/>
              </w:rPr>
              <w:t>20,845</w:t>
            </w:r>
          </w:p>
        </w:tc>
      </w:tr>
      <w:tr w:rsidR="00FA4AA8" w14:paraId="1BF37482" w14:textId="77777777">
        <w:trPr>
          <w:trHeight w:val="264"/>
        </w:trPr>
        <w:tc>
          <w:tcPr>
            <w:tcW w:w="359" w:type="dxa"/>
            <w:vMerge/>
            <w:tcBorders>
              <w:top w:val="nil"/>
            </w:tcBorders>
          </w:tcPr>
          <w:p w14:paraId="64D58536" w14:textId="77777777" w:rsidR="00FA4AA8" w:rsidRDefault="00FA4AA8">
            <w:pPr>
              <w:rPr>
                <w:sz w:val="2"/>
                <w:szCs w:val="2"/>
              </w:rPr>
            </w:pPr>
          </w:p>
        </w:tc>
        <w:tc>
          <w:tcPr>
            <w:tcW w:w="3445" w:type="dxa"/>
          </w:tcPr>
          <w:p w14:paraId="6E6464D9" w14:textId="77777777" w:rsidR="00FA4AA8" w:rsidRDefault="0015611F">
            <w:pPr>
              <w:pStyle w:val="TableParagraph"/>
              <w:spacing w:before="26"/>
              <w:ind w:left="113"/>
              <w:rPr>
                <w:sz w:val="18"/>
              </w:rPr>
            </w:pPr>
            <w:r>
              <w:rPr>
                <w:sz w:val="18"/>
              </w:rPr>
              <w:t>Less: Provision for impaired receivables</w:t>
            </w:r>
          </w:p>
        </w:tc>
        <w:tc>
          <w:tcPr>
            <w:tcW w:w="632" w:type="dxa"/>
          </w:tcPr>
          <w:p w14:paraId="1C7DB8D1" w14:textId="77777777" w:rsidR="00FA4AA8" w:rsidRDefault="00FA4AA8">
            <w:pPr>
              <w:pStyle w:val="TableParagraph"/>
              <w:rPr>
                <w:rFonts w:ascii="Times New Roman"/>
                <w:sz w:val="18"/>
              </w:rPr>
            </w:pPr>
          </w:p>
        </w:tc>
        <w:tc>
          <w:tcPr>
            <w:tcW w:w="1465" w:type="dxa"/>
          </w:tcPr>
          <w:p w14:paraId="1E27F7A1" w14:textId="77777777" w:rsidR="00FA4AA8" w:rsidRDefault="0015611F">
            <w:pPr>
              <w:pStyle w:val="TableParagraph"/>
              <w:spacing w:before="24"/>
              <w:ind w:right="28"/>
              <w:jc w:val="right"/>
              <w:rPr>
                <w:b/>
                <w:sz w:val="18"/>
              </w:rPr>
            </w:pPr>
            <w:r>
              <w:rPr>
                <w:b/>
                <w:sz w:val="18"/>
              </w:rPr>
              <w:t>(1,091)</w:t>
            </w:r>
          </w:p>
        </w:tc>
        <w:tc>
          <w:tcPr>
            <w:tcW w:w="1296" w:type="dxa"/>
          </w:tcPr>
          <w:p w14:paraId="7E539CD3" w14:textId="77777777" w:rsidR="00FA4AA8" w:rsidRDefault="0015611F">
            <w:pPr>
              <w:pStyle w:val="TableParagraph"/>
              <w:spacing w:before="24"/>
              <w:ind w:right="28"/>
              <w:jc w:val="right"/>
              <w:rPr>
                <w:sz w:val="18"/>
              </w:rPr>
            </w:pPr>
            <w:r>
              <w:rPr>
                <w:sz w:val="18"/>
              </w:rPr>
              <w:t>(770)</w:t>
            </w:r>
          </w:p>
        </w:tc>
        <w:tc>
          <w:tcPr>
            <w:tcW w:w="168" w:type="dxa"/>
          </w:tcPr>
          <w:p w14:paraId="68B4337A" w14:textId="77777777" w:rsidR="00FA4AA8" w:rsidRDefault="00FA4AA8">
            <w:pPr>
              <w:pStyle w:val="TableParagraph"/>
              <w:rPr>
                <w:rFonts w:ascii="Times New Roman"/>
                <w:sz w:val="18"/>
              </w:rPr>
            </w:pPr>
          </w:p>
        </w:tc>
        <w:tc>
          <w:tcPr>
            <w:tcW w:w="1486" w:type="dxa"/>
          </w:tcPr>
          <w:p w14:paraId="6427ADA7" w14:textId="77777777" w:rsidR="00FA4AA8" w:rsidRDefault="0015611F">
            <w:pPr>
              <w:pStyle w:val="TableParagraph"/>
              <w:spacing w:before="24"/>
              <w:ind w:right="218"/>
              <w:jc w:val="right"/>
              <w:rPr>
                <w:b/>
                <w:sz w:val="18"/>
              </w:rPr>
            </w:pPr>
            <w:r>
              <w:rPr>
                <w:b/>
                <w:sz w:val="18"/>
              </w:rPr>
              <w:t>(3,648)</w:t>
            </w:r>
          </w:p>
        </w:tc>
        <w:tc>
          <w:tcPr>
            <w:tcW w:w="1106" w:type="dxa"/>
          </w:tcPr>
          <w:p w14:paraId="613DD3CE" w14:textId="77777777" w:rsidR="00FA4AA8" w:rsidRDefault="0015611F">
            <w:pPr>
              <w:pStyle w:val="TableParagraph"/>
              <w:spacing w:before="24"/>
              <w:ind w:right="28"/>
              <w:jc w:val="right"/>
              <w:rPr>
                <w:sz w:val="18"/>
              </w:rPr>
            </w:pPr>
            <w:r>
              <w:rPr>
                <w:sz w:val="18"/>
              </w:rPr>
              <w:t>(738)</w:t>
            </w:r>
          </w:p>
        </w:tc>
      </w:tr>
      <w:tr w:rsidR="00FA4AA8" w14:paraId="396E5620" w14:textId="77777777">
        <w:trPr>
          <w:trHeight w:val="263"/>
        </w:trPr>
        <w:tc>
          <w:tcPr>
            <w:tcW w:w="359" w:type="dxa"/>
            <w:vMerge/>
            <w:tcBorders>
              <w:top w:val="nil"/>
            </w:tcBorders>
          </w:tcPr>
          <w:p w14:paraId="65C95D91" w14:textId="77777777" w:rsidR="00FA4AA8" w:rsidRDefault="00FA4AA8">
            <w:pPr>
              <w:rPr>
                <w:sz w:val="2"/>
                <w:szCs w:val="2"/>
              </w:rPr>
            </w:pPr>
          </w:p>
        </w:tc>
        <w:tc>
          <w:tcPr>
            <w:tcW w:w="3445" w:type="dxa"/>
          </w:tcPr>
          <w:p w14:paraId="7917624F" w14:textId="77777777" w:rsidR="00FA4AA8" w:rsidRDefault="0015611F">
            <w:pPr>
              <w:pStyle w:val="TableParagraph"/>
              <w:spacing w:before="26"/>
              <w:ind w:left="113"/>
              <w:rPr>
                <w:sz w:val="18"/>
              </w:rPr>
            </w:pPr>
            <w:r>
              <w:rPr>
                <w:sz w:val="18"/>
              </w:rPr>
              <w:t>Prepayments</w:t>
            </w:r>
          </w:p>
        </w:tc>
        <w:tc>
          <w:tcPr>
            <w:tcW w:w="632" w:type="dxa"/>
          </w:tcPr>
          <w:p w14:paraId="11235A5A" w14:textId="77777777" w:rsidR="00FA4AA8" w:rsidRDefault="00FA4AA8">
            <w:pPr>
              <w:pStyle w:val="TableParagraph"/>
              <w:rPr>
                <w:rFonts w:ascii="Times New Roman"/>
                <w:sz w:val="18"/>
              </w:rPr>
            </w:pPr>
          </w:p>
        </w:tc>
        <w:tc>
          <w:tcPr>
            <w:tcW w:w="1465" w:type="dxa"/>
          </w:tcPr>
          <w:p w14:paraId="144DE6AB" w14:textId="77777777" w:rsidR="00FA4AA8" w:rsidRDefault="0015611F">
            <w:pPr>
              <w:pStyle w:val="TableParagraph"/>
              <w:spacing w:before="24"/>
              <w:ind w:right="89"/>
              <w:jc w:val="right"/>
              <w:rPr>
                <w:b/>
                <w:sz w:val="18"/>
              </w:rPr>
            </w:pPr>
            <w:r>
              <w:rPr>
                <w:b/>
                <w:sz w:val="18"/>
              </w:rPr>
              <w:t>16,569</w:t>
            </w:r>
          </w:p>
        </w:tc>
        <w:tc>
          <w:tcPr>
            <w:tcW w:w="1296" w:type="dxa"/>
          </w:tcPr>
          <w:p w14:paraId="0B96FBE6" w14:textId="77777777" w:rsidR="00FA4AA8" w:rsidRDefault="0015611F">
            <w:pPr>
              <w:pStyle w:val="TableParagraph"/>
              <w:spacing w:before="24"/>
              <w:ind w:right="89"/>
              <w:jc w:val="right"/>
              <w:rPr>
                <w:sz w:val="18"/>
              </w:rPr>
            </w:pPr>
            <w:r>
              <w:rPr>
                <w:sz w:val="18"/>
              </w:rPr>
              <w:t>21,656</w:t>
            </w:r>
          </w:p>
        </w:tc>
        <w:tc>
          <w:tcPr>
            <w:tcW w:w="168" w:type="dxa"/>
          </w:tcPr>
          <w:p w14:paraId="3A4A6EDC" w14:textId="77777777" w:rsidR="00FA4AA8" w:rsidRDefault="00FA4AA8">
            <w:pPr>
              <w:pStyle w:val="TableParagraph"/>
              <w:rPr>
                <w:rFonts w:ascii="Times New Roman"/>
                <w:sz w:val="18"/>
              </w:rPr>
            </w:pPr>
          </w:p>
        </w:tc>
        <w:tc>
          <w:tcPr>
            <w:tcW w:w="1486" w:type="dxa"/>
          </w:tcPr>
          <w:p w14:paraId="548BD2A0" w14:textId="77777777" w:rsidR="00FA4AA8" w:rsidRDefault="0015611F">
            <w:pPr>
              <w:pStyle w:val="TableParagraph"/>
              <w:spacing w:before="24"/>
              <w:ind w:right="279"/>
              <w:jc w:val="right"/>
              <w:rPr>
                <w:b/>
                <w:sz w:val="18"/>
              </w:rPr>
            </w:pPr>
            <w:r>
              <w:rPr>
                <w:b/>
                <w:sz w:val="18"/>
              </w:rPr>
              <w:t>16,533</w:t>
            </w:r>
          </w:p>
        </w:tc>
        <w:tc>
          <w:tcPr>
            <w:tcW w:w="1106" w:type="dxa"/>
          </w:tcPr>
          <w:p w14:paraId="131C22C3" w14:textId="77777777" w:rsidR="00FA4AA8" w:rsidRDefault="0015611F">
            <w:pPr>
              <w:pStyle w:val="TableParagraph"/>
              <w:spacing w:before="24"/>
              <w:ind w:right="89"/>
              <w:jc w:val="right"/>
              <w:rPr>
                <w:sz w:val="18"/>
              </w:rPr>
            </w:pPr>
            <w:r>
              <w:rPr>
                <w:sz w:val="18"/>
              </w:rPr>
              <w:t>21,586</w:t>
            </w:r>
          </w:p>
        </w:tc>
      </w:tr>
      <w:tr w:rsidR="00FA4AA8" w14:paraId="0C1B4A8B" w14:textId="77777777">
        <w:trPr>
          <w:trHeight w:val="256"/>
        </w:trPr>
        <w:tc>
          <w:tcPr>
            <w:tcW w:w="359" w:type="dxa"/>
            <w:vMerge/>
            <w:tcBorders>
              <w:top w:val="nil"/>
            </w:tcBorders>
          </w:tcPr>
          <w:p w14:paraId="58EAE7CF" w14:textId="77777777" w:rsidR="00FA4AA8" w:rsidRDefault="00FA4AA8">
            <w:pPr>
              <w:rPr>
                <w:sz w:val="2"/>
                <w:szCs w:val="2"/>
              </w:rPr>
            </w:pPr>
          </w:p>
        </w:tc>
        <w:tc>
          <w:tcPr>
            <w:tcW w:w="3445" w:type="dxa"/>
          </w:tcPr>
          <w:p w14:paraId="46CBD667" w14:textId="77777777" w:rsidR="00FA4AA8" w:rsidRDefault="0015611F">
            <w:pPr>
              <w:pStyle w:val="TableParagraph"/>
              <w:spacing w:before="26"/>
              <w:ind w:left="113"/>
              <w:rPr>
                <w:sz w:val="18"/>
              </w:rPr>
            </w:pPr>
            <w:r>
              <w:rPr>
                <w:sz w:val="18"/>
              </w:rPr>
              <w:t>Other</w:t>
            </w:r>
          </w:p>
        </w:tc>
        <w:tc>
          <w:tcPr>
            <w:tcW w:w="632" w:type="dxa"/>
          </w:tcPr>
          <w:p w14:paraId="14ECFDF8" w14:textId="77777777" w:rsidR="00FA4AA8" w:rsidRDefault="00FA4AA8">
            <w:pPr>
              <w:pStyle w:val="TableParagraph"/>
              <w:rPr>
                <w:rFonts w:ascii="Times New Roman"/>
                <w:sz w:val="18"/>
              </w:rPr>
            </w:pPr>
          </w:p>
        </w:tc>
        <w:tc>
          <w:tcPr>
            <w:tcW w:w="1465" w:type="dxa"/>
            <w:tcBorders>
              <w:bottom w:val="single" w:sz="8" w:space="0" w:color="000000"/>
            </w:tcBorders>
          </w:tcPr>
          <w:p w14:paraId="62D7D0AF" w14:textId="77777777" w:rsidR="00FA4AA8" w:rsidRDefault="0015611F">
            <w:pPr>
              <w:pStyle w:val="TableParagraph"/>
              <w:spacing w:before="24"/>
              <w:ind w:right="89"/>
              <w:jc w:val="right"/>
              <w:rPr>
                <w:b/>
                <w:sz w:val="18"/>
              </w:rPr>
            </w:pPr>
            <w:r>
              <w:rPr>
                <w:b/>
                <w:sz w:val="18"/>
              </w:rPr>
              <w:t>1,060</w:t>
            </w:r>
          </w:p>
        </w:tc>
        <w:tc>
          <w:tcPr>
            <w:tcW w:w="1296" w:type="dxa"/>
            <w:tcBorders>
              <w:bottom w:val="single" w:sz="8" w:space="0" w:color="000000"/>
            </w:tcBorders>
          </w:tcPr>
          <w:p w14:paraId="0C6DAF41" w14:textId="77777777" w:rsidR="00FA4AA8" w:rsidRDefault="0015611F">
            <w:pPr>
              <w:pStyle w:val="TableParagraph"/>
              <w:spacing w:before="24"/>
              <w:ind w:right="89"/>
              <w:jc w:val="right"/>
              <w:rPr>
                <w:sz w:val="18"/>
              </w:rPr>
            </w:pPr>
            <w:r>
              <w:rPr>
                <w:sz w:val="18"/>
              </w:rPr>
              <w:t>8,357</w:t>
            </w:r>
          </w:p>
        </w:tc>
        <w:tc>
          <w:tcPr>
            <w:tcW w:w="168" w:type="dxa"/>
            <w:tcBorders>
              <w:bottom w:val="single" w:sz="8" w:space="0" w:color="000000"/>
            </w:tcBorders>
          </w:tcPr>
          <w:p w14:paraId="66E916BE" w14:textId="77777777" w:rsidR="00FA4AA8" w:rsidRDefault="00FA4AA8">
            <w:pPr>
              <w:pStyle w:val="TableParagraph"/>
              <w:rPr>
                <w:rFonts w:ascii="Times New Roman"/>
                <w:sz w:val="18"/>
              </w:rPr>
            </w:pPr>
          </w:p>
        </w:tc>
        <w:tc>
          <w:tcPr>
            <w:tcW w:w="1486" w:type="dxa"/>
            <w:tcBorders>
              <w:bottom w:val="single" w:sz="8" w:space="0" w:color="000000"/>
            </w:tcBorders>
          </w:tcPr>
          <w:p w14:paraId="171A77D4" w14:textId="77777777" w:rsidR="00FA4AA8" w:rsidRDefault="0015611F">
            <w:pPr>
              <w:pStyle w:val="TableParagraph"/>
              <w:spacing w:before="24"/>
              <w:ind w:right="279"/>
              <w:jc w:val="right"/>
              <w:rPr>
                <w:b/>
                <w:sz w:val="18"/>
              </w:rPr>
            </w:pPr>
            <w:r>
              <w:rPr>
                <w:b/>
                <w:sz w:val="18"/>
              </w:rPr>
              <w:t>1,060</w:t>
            </w:r>
          </w:p>
        </w:tc>
        <w:tc>
          <w:tcPr>
            <w:tcW w:w="1106" w:type="dxa"/>
            <w:tcBorders>
              <w:bottom w:val="single" w:sz="8" w:space="0" w:color="000000"/>
            </w:tcBorders>
          </w:tcPr>
          <w:p w14:paraId="6D73BCB5" w14:textId="77777777" w:rsidR="00FA4AA8" w:rsidRDefault="0015611F">
            <w:pPr>
              <w:pStyle w:val="TableParagraph"/>
              <w:spacing w:before="24"/>
              <w:ind w:right="89"/>
              <w:jc w:val="right"/>
              <w:rPr>
                <w:sz w:val="18"/>
              </w:rPr>
            </w:pPr>
            <w:r>
              <w:rPr>
                <w:sz w:val="18"/>
              </w:rPr>
              <w:t>8,357</w:t>
            </w:r>
          </w:p>
        </w:tc>
      </w:tr>
      <w:tr w:rsidR="00FA4AA8" w14:paraId="2A9D7D46" w14:textId="77777777">
        <w:trPr>
          <w:trHeight w:val="318"/>
        </w:trPr>
        <w:tc>
          <w:tcPr>
            <w:tcW w:w="359" w:type="dxa"/>
            <w:vMerge/>
            <w:tcBorders>
              <w:top w:val="nil"/>
            </w:tcBorders>
          </w:tcPr>
          <w:p w14:paraId="0E07616F" w14:textId="77777777" w:rsidR="00FA4AA8" w:rsidRDefault="00FA4AA8">
            <w:pPr>
              <w:rPr>
                <w:sz w:val="2"/>
                <w:szCs w:val="2"/>
              </w:rPr>
            </w:pPr>
          </w:p>
        </w:tc>
        <w:tc>
          <w:tcPr>
            <w:tcW w:w="3445" w:type="dxa"/>
          </w:tcPr>
          <w:p w14:paraId="4C3195DF" w14:textId="77777777" w:rsidR="00FA4AA8" w:rsidRDefault="0015611F">
            <w:pPr>
              <w:pStyle w:val="TableParagraph"/>
              <w:spacing w:before="115" w:line="183" w:lineRule="exact"/>
              <w:ind w:left="113"/>
              <w:rPr>
                <w:b/>
                <w:sz w:val="18"/>
              </w:rPr>
            </w:pPr>
            <w:r>
              <w:rPr>
                <w:b/>
                <w:sz w:val="18"/>
              </w:rPr>
              <w:t>Total current receivables</w:t>
            </w:r>
          </w:p>
        </w:tc>
        <w:tc>
          <w:tcPr>
            <w:tcW w:w="632" w:type="dxa"/>
          </w:tcPr>
          <w:p w14:paraId="254F6ED8" w14:textId="77777777" w:rsidR="00FA4AA8" w:rsidRDefault="00FA4AA8">
            <w:pPr>
              <w:pStyle w:val="TableParagraph"/>
              <w:rPr>
                <w:rFonts w:ascii="Times New Roman"/>
                <w:sz w:val="18"/>
              </w:rPr>
            </w:pPr>
          </w:p>
        </w:tc>
        <w:tc>
          <w:tcPr>
            <w:tcW w:w="1465" w:type="dxa"/>
            <w:tcBorders>
              <w:top w:val="single" w:sz="8" w:space="0" w:color="000000"/>
              <w:bottom w:val="single" w:sz="8" w:space="0" w:color="000000"/>
            </w:tcBorders>
          </w:tcPr>
          <w:p w14:paraId="735C1E58" w14:textId="77777777" w:rsidR="00FA4AA8" w:rsidRDefault="0015611F">
            <w:pPr>
              <w:pStyle w:val="TableParagraph"/>
              <w:spacing w:before="115" w:line="183" w:lineRule="exact"/>
              <w:ind w:right="89"/>
              <w:jc w:val="right"/>
              <w:rPr>
                <w:b/>
                <w:sz w:val="18"/>
              </w:rPr>
            </w:pPr>
            <w:r>
              <w:rPr>
                <w:b/>
                <w:sz w:val="18"/>
              </w:rPr>
              <w:t>54,151</w:t>
            </w:r>
          </w:p>
        </w:tc>
        <w:tc>
          <w:tcPr>
            <w:tcW w:w="1296" w:type="dxa"/>
            <w:tcBorders>
              <w:top w:val="single" w:sz="8" w:space="0" w:color="000000"/>
              <w:bottom w:val="single" w:sz="8" w:space="0" w:color="000000"/>
            </w:tcBorders>
          </w:tcPr>
          <w:p w14:paraId="300519EB" w14:textId="77777777" w:rsidR="00FA4AA8" w:rsidRDefault="0015611F">
            <w:pPr>
              <w:pStyle w:val="TableParagraph"/>
              <w:spacing w:before="115" w:line="183" w:lineRule="exact"/>
              <w:ind w:right="89"/>
              <w:jc w:val="right"/>
              <w:rPr>
                <w:sz w:val="18"/>
              </w:rPr>
            </w:pPr>
            <w:r>
              <w:rPr>
                <w:sz w:val="18"/>
              </w:rPr>
              <w:t>56,069</w:t>
            </w:r>
          </w:p>
        </w:tc>
        <w:tc>
          <w:tcPr>
            <w:tcW w:w="168" w:type="dxa"/>
            <w:tcBorders>
              <w:top w:val="single" w:sz="8" w:space="0" w:color="000000"/>
              <w:bottom w:val="single" w:sz="8" w:space="0" w:color="000000"/>
            </w:tcBorders>
          </w:tcPr>
          <w:p w14:paraId="4EC02144" w14:textId="77777777" w:rsidR="00FA4AA8" w:rsidRDefault="00FA4AA8">
            <w:pPr>
              <w:pStyle w:val="TableParagraph"/>
              <w:rPr>
                <w:rFonts w:ascii="Times New Roman"/>
                <w:sz w:val="18"/>
              </w:rPr>
            </w:pPr>
          </w:p>
        </w:tc>
        <w:tc>
          <w:tcPr>
            <w:tcW w:w="1486" w:type="dxa"/>
            <w:tcBorders>
              <w:top w:val="single" w:sz="8" w:space="0" w:color="000000"/>
              <w:bottom w:val="single" w:sz="8" w:space="0" w:color="000000"/>
            </w:tcBorders>
          </w:tcPr>
          <w:p w14:paraId="3BC8FFD3" w14:textId="77777777" w:rsidR="00FA4AA8" w:rsidRDefault="0015611F">
            <w:pPr>
              <w:pStyle w:val="TableParagraph"/>
              <w:spacing w:before="115" w:line="183" w:lineRule="exact"/>
              <w:ind w:right="279"/>
              <w:jc w:val="right"/>
              <w:rPr>
                <w:b/>
                <w:sz w:val="18"/>
              </w:rPr>
            </w:pPr>
            <w:r>
              <w:rPr>
                <w:b/>
                <w:sz w:val="18"/>
              </w:rPr>
              <w:t>50,593</w:t>
            </w:r>
          </w:p>
        </w:tc>
        <w:tc>
          <w:tcPr>
            <w:tcW w:w="1106" w:type="dxa"/>
            <w:tcBorders>
              <w:top w:val="single" w:sz="8" w:space="0" w:color="000000"/>
              <w:bottom w:val="single" w:sz="8" w:space="0" w:color="000000"/>
            </w:tcBorders>
          </w:tcPr>
          <w:p w14:paraId="290B1E7D" w14:textId="77777777" w:rsidR="00FA4AA8" w:rsidRDefault="0015611F">
            <w:pPr>
              <w:pStyle w:val="TableParagraph"/>
              <w:spacing w:before="115" w:line="183" w:lineRule="exact"/>
              <w:ind w:right="89"/>
              <w:jc w:val="right"/>
              <w:rPr>
                <w:sz w:val="18"/>
              </w:rPr>
            </w:pPr>
            <w:r>
              <w:rPr>
                <w:sz w:val="18"/>
              </w:rPr>
              <w:t>54,395</w:t>
            </w:r>
          </w:p>
        </w:tc>
      </w:tr>
      <w:tr w:rsidR="00FA4AA8" w14:paraId="00911033" w14:textId="77777777">
        <w:trPr>
          <w:trHeight w:val="339"/>
        </w:trPr>
        <w:tc>
          <w:tcPr>
            <w:tcW w:w="359" w:type="dxa"/>
            <w:vMerge/>
            <w:tcBorders>
              <w:top w:val="nil"/>
            </w:tcBorders>
          </w:tcPr>
          <w:p w14:paraId="76DBB46D" w14:textId="77777777" w:rsidR="00FA4AA8" w:rsidRDefault="00FA4AA8">
            <w:pPr>
              <w:rPr>
                <w:sz w:val="2"/>
                <w:szCs w:val="2"/>
              </w:rPr>
            </w:pPr>
          </w:p>
        </w:tc>
        <w:tc>
          <w:tcPr>
            <w:tcW w:w="3445" w:type="dxa"/>
          </w:tcPr>
          <w:p w14:paraId="65A5BD2B" w14:textId="77777777" w:rsidR="00FA4AA8" w:rsidRDefault="0015611F">
            <w:pPr>
              <w:pStyle w:val="TableParagraph"/>
              <w:spacing w:before="115" w:line="204" w:lineRule="exact"/>
              <w:ind w:left="113"/>
              <w:rPr>
                <w:b/>
                <w:sz w:val="18"/>
              </w:rPr>
            </w:pPr>
            <w:r>
              <w:rPr>
                <w:b/>
                <w:sz w:val="18"/>
              </w:rPr>
              <w:t>Non-current</w:t>
            </w:r>
          </w:p>
        </w:tc>
        <w:tc>
          <w:tcPr>
            <w:tcW w:w="632" w:type="dxa"/>
          </w:tcPr>
          <w:p w14:paraId="22571954" w14:textId="77777777" w:rsidR="00FA4AA8" w:rsidRDefault="00FA4AA8">
            <w:pPr>
              <w:pStyle w:val="TableParagraph"/>
              <w:rPr>
                <w:rFonts w:ascii="Times New Roman"/>
                <w:sz w:val="18"/>
              </w:rPr>
            </w:pPr>
          </w:p>
        </w:tc>
        <w:tc>
          <w:tcPr>
            <w:tcW w:w="1465" w:type="dxa"/>
            <w:tcBorders>
              <w:top w:val="single" w:sz="8" w:space="0" w:color="000000"/>
            </w:tcBorders>
          </w:tcPr>
          <w:p w14:paraId="027364EA" w14:textId="77777777" w:rsidR="00FA4AA8" w:rsidRDefault="00FA4AA8">
            <w:pPr>
              <w:pStyle w:val="TableParagraph"/>
              <w:rPr>
                <w:rFonts w:ascii="Times New Roman"/>
                <w:sz w:val="18"/>
              </w:rPr>
            </w:pPr>
          </w:p>
        </w:tc>
        <w:tc>
          <w:tcPr>
            <w:tcW w:w="1296" w:type="dxa"/>
            <w:tcBorders>
              <w:top w:val="single" w:sz="8" w:space="0" w:color="000000"/>
            </w:tcBorders>
          </w:tcPr>
          <w:p w14:paraId="1FF31DBB" w14:textId="77777777" w:rsidR="00FA4AA8" w:rsidRDefault="00FA4AA8">
            <w:pPr>
              <w:pStyle w:val="TableParagraph"/>
              <w:rPr>
                <w:rFonts w:ascii="Times New Roman"/>
                <w:sz w:val="18"/>
              </w:rPr>
            </w:pPr>
          </w:p>
        </w:tc>
        <w:tc>
          <w:tcPr>
            <w:tcW w:w="168" w:type="dxa"/>
            <w:tcBorders>
              <w:top w:val="single" w:sz="8" w:space="0" w:color="000000"/>
            </w:tcBorders>
          </w:tcPr>
          <w:p w14:paraId="4CC855AB" w14:textId="77777777" w:rsidR="00FA4AA8" w:rsidRDefault="00FA4AA8">
            <w:pPr>
              <w:pStyle w:val="TableParagraph"/>
              <w:rPr>
                <w:rFonts w:ascii="Times New Roman"/>
                <w:sz w:val="18"/>
              </w:rPr>
            </w:pPr>
          </w:p>
        </w:tc>
        <w:tc>
          <w:tcPr>
            <w:tcW w:w="1486" w:type="dxa"/>
            <w:tcBorders>
              <w:top w:val="single" w:sz="8" w:space="0" w:color="000000"/>
            </w:tcBorders>
          </w:tcPr>
          <w:p w14:paraId="3C8B5D95" w14:textId="77777777" w:rsidR="00FA4AA8" w:rsidRDefault="00FA4AA8">
            <w:pPr>
              <w:pStyle w:val="TableParagraph"/>
              <w:rPr>
                <w:rFonts w:ascii="Times New Roman"/>
                <w:sz w:val="18"/>
              </w:rPr>
            </w:pPr>
          </w:p>
        </w:tc>
        <w:tc>
          <w:tcPr>
            <w:tcW w:w="1106" w:type="dxa"/>
            <w:tcBorders>
              <w:top w:val="single" w:sz="8" w:space="0" w:color="000000"/>
            </w:tcBorders>
          </w:tcPr>
          <w:p w14:paraId="4991FC83" w14:textId="77777777" w:rsidR="00FA4AA8" w:rsidRDefault="00FA4AA8">
            <w:pPr>
              <w:pStyle w:val="TableParagraph"/>
              <w:rPr>
                <w:rFonts w:ascii="Times New Roman"/>
                <w:sz w:val="18"/>
              </w:rPr>
            </w:pPr>
          </w:p>
        </w:tc>
      </w:tr>
      <w:tr w:rsidR="00FA4AA8" w14:paraId="01273E08" w14:textId="77777777">
        <w:trPr>
          <w:trHeight w:val="259"/>
        </w:trPr>
        <w:tc>
          <w:tcPr>
            <w:tcW w:w="359" w:type="dxa"/>
            <w:vMerge/>
            <w:tcBorders>
              <w:top w:val="nil"/>
            </w:tcBorders>
          </w:tcPr>
          <w:p w14:paraId="58272980" w14:textId="77777777" w:rsidR="00FA4AA8" w:rsidRDefault="00FA4AA8">
            <w:pPr>
              <w:rPr>
                <w:sz w:val="2"/>
                <w:szCs w:val="2"/>
              </w:rPr>
            </w:pPr>
          </w:p>
        </w:tc>
        <w:tc>
          <w:tcPr>
            <w:tcW w:w="3445" w:type="dxa"/>
          </w:tcPr>
          <w:p w14:paraId="716FFD72" w14:textId="77777777" w:rsidR="00FA4AA8" w:rsidRDefault="0015611F">
            <w:pPr>
              <w:pStyle w:val="TableParagraph"/>
              <w:spacing w:before="13"/>
              <w:ind w:left="113"/>
              <w:rPr>
                <w:sz w:val="18"/>
              </w:rPr>
            </w:pPr>
            <w:r>
              <w:rPr>
                <w:sz w:val="18"/>
              </w:rPr>
              <w:t>Trade receivables</w:t>
            </w:r>
          </w:p>
        </w:tc>
        <w:tc>
          <w:tcPr>
            <w:tcW w:w="632" w:type="dxa"/>
          </w:tcPr>
          <w:p w14:paraId="705B03EF" w14:textId="77777777" w:rsidR="00FA4AA8" w:rsidRDefault="00FA4AA8">
            <w:pPr>
              <w:pStyle w:val="TableParagraph"/>
              <w:rPr>
                <w:rFonts w:ascii="Times New Roman"/>
                <w:sz w:val="18"/>
              </w:rPr>
            </w:pPr>
          </w:p>
        </w:tc>
        <w:tc>
          <w:tcPr>
            <w:tcW w:w="1465" w:type="dxa"/>
          </w:tcPr>
          <w:p w14:paraId="6EB2DC09" w14:textId="77777777" w:rsidR="00FA4AA8" w:rsidRDefault="0015611F">
            <w:pPr>
              <w:pStyle w:val="TableParagraph"/>
              <w:spacing w:before="11"/>
              <w:ind w:right="89"/>
              <w:jc w:val="right"/>
              <w:rPr>
                <w:b/>
                <w:sz w:val="18"/>
              </w:rPr>
            </w:pPr>
            <w:r>
              <w:rPr>
                <w:b/>
                <w:sz w:val="18"/>
              </w:rPr>
              <w:t>-</w:t>
            </w:r>
          </w:p>
        </w:tc>
        <w:tc>
          <w:tcPr>
            <w:tcW w:w="1296" w:type="dxa"/>
          </w:tcPr>
          <w:p w14:paraId="5EB03AFB" w14:textId="77777777" w:rsidR="00FA4AA8" w:rsidRDefault="0015611F">
            <w:pPr>
              <w:pStyle w:val="TableParagraph"/>
              <w:spacing w:before="11"/>
              <w:ind w:right="89"/>
              <w:jc w:val="right"/>
              <w:rPr>
                <w:sz w:val="18"/>
              </w:rPr>
            </w:pPr>
            <w:r>
              <w:rPr>
                <w:sz w:val="18"/>
              </w:rPr>
              <w:t>-</w:t>
            </w:r>
          </w:p>
        </w:tc>
        <w:tc>
          <w:tcPr>
            <w:tcW w:w="168" w:type="dxa"/>
          </w:tcPr>
          <w:p w14:paraId="29D396D0" w14:textId="77777777" w:rsidR="00FA4AA8" w:rsidRDefault="00FA4AA8">
            <w:pPr>
              <w:pStyle w:val="TableParagraph"/>
              <w:rPr>
                <w:rFonts w:ascii="Times New Roman"/>
                <w:sz w:val="18"/>
              </w:rPr>
            </w:pPr>
          </w:p>
        </w:tc>
        <w:tc>
          <w:tcPr>
            <w:tcW w:w="1486" w:type="dxa"/>
          </w:tcPr>
          <w:p w14:paraId="354D650E" w14:textId="77777777" w:rsidR="00FA4AA8" w:rsidRDefault="0015611F">
            <w:pPr>
              <w:pStyle w:val="TableParagraph"/>
              <w:spacing w:before="11"/>
              <w:ind w:right="279"/>
              <w:jc w:val="right"/>
              <w:rPr>
                <w:b/>
                <w:sz w:val="18"/>
              </w:rPr>
            </w:pPr>
            <w:r>
              <w:rPr>
                <w:b/>
                <w:sz w:val="18"/>
              </w:rPr>
              <w:t>23,100</w:t>
            </w:r>
          </w:p>
        </w:tc>
        <w:tc>
          <w:tcPr>
            <w:tcW w:w="1106" w:type="dxa"/>
          </w:tcPr>
          <w:p w14:paraId="752AAC77" w14:textId="77777777" w:rsidR="00FA4AA8" w:rsidRDefault="0015611F">
            <w:pPr>
              <w:pStyle w:val="TableParagraph"/>
              <w:spacing w:before="11"/>
              <w:ind w:right="89"/>
              <w:jc w:val="right"/>
              <w:rPr>
                <w:sz w:val="18"/>
              </w:rPr>
            </w:pPr>
            <w:r>
              <w:rPr>
                <w:sz w:val="18"/>
              </w:rPr>
              <w:t>-</w:t>
            </w:r>
          </w:p>
        </w:tc>
      </w:tr>
      <w:tr w:rsidR="00FA4AA8" w14:paraId="63CD312C" w14:textId="77777777">
        <w:trPr>
          <w:trHeight w:val="476"/>
        </w:trPr>
        <w:tc>
          <w:tcPr>
            <w:tcW w:w="359" w:type="dxa"/>
            <w:vMerge/>
            <w:tcBorders>
              <w:top w:val="nil"/>
            </w:tcBorders>
          </w:tcPr>
          <w:p w14:paraId="5983627D" w14:textId="77777777" w:rsidR="00FA4AA8" w:rsidRDefault="00FA4AA8">
            <w:pPr>
              <w:rPr>
                <w:sz w:val="2"/>
                <w:szCs w:val="2"/>
              </w:rPr>
            </w:pPr>
          </w:p>
        </w:tc>
        <w:tc>
          <w:tcPr>
            <w:tcW w:w="3445" w:type="dxa"/>
          </w:tcPr>
          <w:p w14:paraId="20664E59" w14:textId="77777777" w:rsidR="00FA4AA8" w:rsidRDefault="0015611F">
            <w:pPr>
              <w:pStyle w:val="TableParagraph"/>
              <w:spacing w:before="32"/>
              <w:ind w:left="113" w:right="760"/>
              <w:rPr>
                <w:sz w:val="18"/>
              </w:rPr>
            </w:pPr>
            <w:r>
              <w:rPr>
                <w:sz w:val="18"/>
              </w:rPr>
              <w:t>Deferred government benefit for superannuation</w:t>
            </w:r>
          </w:p>
        </w:tc>
        <w:tc>
          <w:tcPr>
            <w:tcW w:w="632" w:type="dxa"/>
          </w:tcPr>
          <w:p w14:paraId="0FD871B8" w14:textId="77777777" w:rsidR="00FA4AA8" w:rsidRDefault="00FA4AA8">
            <w:pPr>
              <w:pStyle w:val="TableParagraph"/>
              <w:spacing w:before="9"/>
              <w:rPr>
                <w:b/>
                <w:sz w:val="20"/>
              </w:rPr>
            </w:pPr>
          </w:p>
          <w:p w14:paraId="7D8F5AF5" w14:textId="77777777" w:rsidR="00FA4AA8" w:rsidRDefault="0015611F">
            <w:pPr>
              <w:pStyle w:val="TableParagraph"/>
              <w:ind w:left="104" w:right="85"/>
              <w:jc w:val="center"/>
              <w:rPr>
                <w:sz w:val="18"/>
              </w:rPr>
            </w:pPr>
            <w:r>
              <w:rPr>
                <w:sz w:val="18"/>
              </w:rPr>
              <w:t>38</w:t>
            </w:r>
          </w:p>
        </w:tc>
        <w:tc>
          <w:tcPr>
            <w:tcW w:w="1465" w:type="dxa"/>
          </w:tcPr>
          <w:p w14:paraId="7FA17544" w14:textId="77777777" w:rsidR="00FA4AA8" w:rsidRDefault="00FA4AA8">
            <w:pPr>
              <w:pStyle w:val="TableParagraph"/>
              <w:spacing w:before="6"/>
              <w:rPr>
                <w:b/>
                <w:sz w:val="20"/>
              </w:rPr>
            </w:pPr>
          </w:p>
          <w:p w14:paraId="701CB31A" w14:textId="77777777" w:rsidR="00FA4AA8" w:rsidRDefault="0015611F">
            <w:pPr>
              <w:pStyle w:val="TableParagraph"/>
              <w:ind w:right="89"/>
              <w:jc w:val="right"/>
              <w:rPr>
                <w:b/>
                <w:sz w:val="18"/>
              </w:rPr>
            </w:pPr>
            <w:r>
              <w:rPr>
                <w:b/>
                <w:sz w:val="18"/>
              </w:rPr>
              <w:t>369,942</w:t>
            </w:r>
          </w:p>
        </w:tc>
        <w:tc>
          <w:tcPr>
            <w:tcW w:w="1296" w:type="dxa"/>
          </w:tcPr>
          <w:p w14:paraId="180FE0F6" w14:textId="77777777" w:rsidR="00FA4AA8" w:rsidRDefault="00FA4AA8">
            <w:pPr>
              <w:pStyle w:val="TableParagraph"/>
              <w:spacing w:before="6"/>
              <w:rPr>
                <w:b/>
                <w:sz w:val="20"/>
              </w:rPr>
            </w:pPr>
          </w:p>
          <w:p w14:paraId="3436023A" w14:textId="77777777" w:rsidR="00FA4AA8" w:rsidRDefault="0015611F">
            <w:pPr>
              <w:pStyle w:val="TableParagraph"/>
              <w:ind w:right="89"/>
              <w:jc w:val="right"/>
              <w:rPr>
                <w:sz w:val="18"/>
              </w:rPr>
            </w:pPr>
            <w:r>
              <w:rPr>
                <w:sz w:val="18"/>
              </w:rPr>
              <w:t>345,703</w:t>
            </w:r>
          </w:p>
        </w:tc>
        <w:tc>
          <w:tcPr>
            <w:tcW w:w="168" w:type="dxa"/>
          </w:tcPr>
          <w:p w14:paraId="17004224" w14:textId="77777777" w:rsidR="00FA4AA8" w:rsidRDefault="00FA4AA8">
            <w:pPr>
              <w:pStyle w:val="TableParagraph"/>
              <w:rPr>
                <w:rFonts w:ascii="Times New Roman"/>
                <w:sz w:val="18"/>
              </w:rPr>
            </w:pPr>
          </w:p>
        </w:tc>
        <w:tc>
          <w:tcPr>
            <w:tcW w:w="1486" w:type="dxa"/>
          </w:tcPr>
          <w:p w14:paraId="7FF61519" w14:textId="77777777" w:rsidR="00FA4AA8" w:rsidRDefault="00FA4AA8">
            <w:pPr>
              <w:pStyle w:val="TableParagraph"/>
              <w:spacing w:before="6"/>
              <w:rPr>
                <w:b/>
                <w:sz w:val="20"/>
              </w:rPr>
            </w:pPr>
          </w:p>
          <w:p w14:paraId="1E945EDD" w14:textId="77777777" w:rsidR="00FA4AA8" w:rsidRDefault="0015611F">
            <w:pPr>
              <w:pStyle w:val="TableParagraph"/>
              <w:ind w:right="279"/>
              <w:jc w:val="right"/>
              <w:rPr>
                <w:b/>
                <w:sz w:val="18"/>
              </w:rPr>
            </w:pPr>
            <w:r>
              <w:rPr>
                <w:b/>
                <w:sz w:val="18"/>
              </w:rPr>
              <w:t>369,942</w:t>
            </w:r>
          </w:p>
        </w:tc>
        <w:tc>
          <w:tcPr>
            <w:tcW w:w="1106" w:type="dxa"/>
          </w:tcPr>
          <w:p w14:paraId="3D0804A6" w14:textId="77777777" w:rsidR="00FA4AA8" w:rsidRDefault="00FA4AA8">
            <w:pPr>
              <w:pStyle w:val="TableParagraph"/>
              <w:spacing w:before="6"/>
              <w:rPr>
                <w:b/>
                <w:sz w:val="20"/>
              </w:rPr>
            </w:pPr>
          </w:p>
          <w:p w14:paraId="77A72F44" w14:textId="77777777" w:rsidR="00FA4AA8" w:rsidRDefault="0015611F">
            <w:pPr>
              <w:pStyle w:val="TableParagraph"/>
              <w:ind w:left="359"/>
              <w:rPr>
                <w:sz w:val="18"/>
              </w:rPr>
            </w:pPr>
            <w:r>
              <w:rPr>
                <w:sz w:val="18"/>
              </w:rPr>
              <w:t>345,703</w:t>
            </w:r>
          </w:p>
        </w:tc>
      </w:tr>
      <w:tr w:rsidR="00FA4AA8" w14:paraId="61A5C41A" w14:textId="77777777">
        <w:trPr>
          <w:trHeight w:val="264"/>
        </w:trPr>
        <w:tc>
          <w:tcPr>
            <w:tcW w:w="359" w:type="dxa"/>
            <w:vMerge/>
            <w:tcBorders>
              <w:top w:val="nil"/>
            </w:tcBorders>
          </w:tcPr>
          <w:p w14:paraId="51E44D5C" w14:textId="77777777" w:rsidR="00FA4AA8" w:rsidRDefault="00FA4AA8">
            <w:pPr>
              <w:rPr>
                <w:sz w:val="2"/>
                <w:szCs w:val="2"/>
              </w:rPr>
            </w:pPr>
          </w:p>
        </w:tc>
        <w:tc>
          <w:tcPr>
            <w:tcW w:w="3445" w:type="dxa"/>
          </w:tcPr>
          <w:p w14:paraId="3E789D3C" w14:textId="77777777" w:rsidR="00FA4AA8" w:rsidRDefault="0015611F">
            <w:pPr>
              <w:pStyle w:val="TableParagraph"/>
              <w:spacing w:before="26"/>
              <w:ind w:left="113"/>
              <w:rPr>
                <w:sz w:val="18"/>
              </w:rPr>
            </w:pPr>
            <w:r>
              <w:rPr>
                <w:sz w:val="18"/>
              </w:rPr>
              <w:t>Prepayments</w:t>
            </w:r>
          </w:p>
        </w:tc>
        <w:tc>
          <w:tcPr>
            <w:tcW w:w="632" w:type="dxa"/>
          </w:tcPr>
          <w:p w14:paraId="3434E655" w14:textId="77777777" w:rsidR="00FA4AA8" w:rsidRDefault="00FA4AA8">
            <w:pPr>
              <w:pStyle w:val="TableParagraph"/>
              <w:rPr>
                <w:rFonts w:ascii="Times New Roman"/>
                <w:sz w:val="18"/>
              </w:rPr>
            </w:pPr>
          </w:p>
        </w:tc>
        <w:tc>
          <w:tcPr>
            <w:tcW w:w="1465" w:type="dxa"/>
          </w:tcPr>
          <w:p w14:paraId="6C75150E" w14:textId="77777777" w:rsidR="00FA4AA8" w:rsidRDefault="0015611F">
            <w:pPr>
              <w:pStyle w:val="TableParagraph"/>
              <w:spacing w:before="24"/>
              <w:ind w:right="89"/>
              <w:jc w:val="right"/>
              <w:rPr>
                <w:b/>
                <w:sz w:val="18"/>
              </w:rPr>
            </w:pPr>
            <w:r>
              <w:rPr>
                <w:b/>
                <w:sz w:val="18"/>
              </w:rPr>
              <w:t>22,716</w:t>
            </w:r>
          </w:p>
        </w:tc>
        <w:tc>
          <w:tcPr>
            <w:tcW w:w="1296" w:type="dxa"/>
          </w:tcPr>
          <w:p w14:paraId="62B5B38B" w14:textId="77777777" w:rsidR="00FA4AA8" w:rsidRDefault="0015611F">
            <w:pPr>
              <w:pStyle w:val="TableParagraph"/>
              <w:spacing w:before="24"/>
              <w:ind w:right="89"/>
              <w:jc w:val="right"/>
              <w:rPr>
                <w:sz w:val="18"/>
              </w:rPr>
            </w:pPr>
            <w:r>
              <w:rPr>
                <w:sz w:val="18"/>
              </w:rPr>
              <w:t>24,227</w:t>
            </w:r>
          </w:p>
        </w:tc>
        <w:tc>
          <w:tcPr>
            <w:tcW w:w="168" w:type="dxa"/>
          </w:tcPr>
          <w:p w14:paraId="6FB5C644" w14:textId="77777777" w:rsidR="00FA4AA8" w:rsidRDefault="00FA4AA8">
            <w:pPr>
              <w:pStyle w:val="TableParagraph"/>
              <w:rPr>
                <w:rFonts w:ascii="Times New Roman"/>
                <w:sz w:val="18"/>
              </w:rPr>
            </w:pPr>
          </w:p>
        </w:tc>
        <w:tc>
          <w:tcPr>
            <w:tcW w:w="1486" w:type="dxa"/>
          </w:tcPr>
          <w:p w14:paraId="2B8418B0" w14:textId="77777777" w:rsidR="00FA4AA8" w:rsidRDefault="0015611F">
            <w:pPr>
              <w:pStyle w:val="TableParagraph"/>
              <w:spacing w:before="24"/>
              <w:ind w:right="279"/>
              <w:jc w:val="right"/>
              <w:rPr>
                <w:b/>
                <w:sz w:val="18"/>
              </w:rPr>
            </w:pPr>
            <w:r>
              <w:rPr>
                <w:b/>
                <w:sz w:val="18"/>
              </w:rPr>
              <w:t>22,716</w:t>
            </w:r>
          </w:p>
        </w:tc>
        <w:tc>
          <w:tcPr>
            <w:tcW w:w="1106" w:type="dxa"/>
          </w:tcPr>
          <w:p w14:paraId="05B3E6B1" w14:textId="77777777" w:rsidR="00FA4AA8" w:rsidRDefault="0015611F">
            <w:pPr>
              <w:pStyle w:val="TableParagraph"/>
              <w:spacing w:before="24"/>
              <w:ind w:right="89"/>
              <w:jc w:val="right"/>
              <w:rPr>
                <w:sz w:val="18"/>
              </w:rPr>
            </w:pPr>
            <w:r>
              <w:rPr>
                <w:sz w:val="18"/>
              </w:rPr>
              <w:t>24,227</w:t>
            </w:r>
          </w:p>
        </w:tc>
      </w:tr>
      <w:tr w:rsidR="00FA4AA8" w14:paraId="2769E58D" w14:textId="77777777">
        <w:trPr>
          <w:trHeight w:val="256"/>
        </w:trPr>
        <w:tc>
          <w:tcPr>
            <w:tcW w:w="359" w:type="dxa"/>
            <w:vMerge/>
            <w:tcBorders>
              <w:top w:val="nil"/>
            </w:tcBorders>
          </w:tcPr>
          <w:p w14:paraId="2F61154E" w14:textId="77777777" w:rsidR="00FA4AA8" w:rsidRDefault="00FA4AA8">
            <w:pPr>
              <w:rPr>
                <w:sz w:val="2"/>
                <w:szCs w:val="2"/>
              </w:rPr>
            </w:pPr>
          </w:p>
        </w:tc>
        <w:tc>
          <w:tcPr>
            <w:tcW w:w="3445" w:type="dxa"/>
          </w:tcPr>
          <w:p w14:paraId="3A7B0E7A" w14:textId="77777777" w:rsidR="00FA4AA8" w:rsidRDefault="0015611F">
            <w:pPr>
              <w:pStyle w:val="TableParagraph"/>
              <w:spacing w:before="26"/>
              <w:ind w:left="113"/>
              <w:rPr>
                <w:sz w:val="18"/>
              </w:rPr>
            </w:pPr>
            <w:bookmarkStart w:id="40" w:name="(a)_Leasing_Arrangements"/>
            <w:bookmarkEnd w:id="40"/>
            <w:r>
              <w:rPr>
                <w:sz w:val="18"/>
              </w:rPr>
              <w:t>Finance lease receivables</w:t>
            </w:r>
          </w:p>
        </w:tc>
        <w:tc>
          <w:tcPr>
            <w:tcW w:w="632" w:type="dxa"/>
          </w:tcPr>
          <w:p w14:paraId="1DE7408E" w14:textId="77777777" w:rsidR="00FA4AA8" w:rsidRDefault="00FA4AA8">
            <w:pPr>
              <w:pStyle w:val="TableParagraph"/>
              <w:rPr>
                <w:rFonts w:ascii="Times New Roman"/>
                <w:sz w:val="18"/>
              </w:rPr>
            </w:pPr>
          </w:p>
        </w:tc>
        <w:tc>
          <w:tcPr>
            <w:tcW w:w="1465" w:type="dxa"/>
            <w:tcBorders>
              <w:bottom w:val="single" w:sz="8" w:space="0" w:color="000000"/>
            </w:tcBorders>
          </w:tcPr>
          <w:p w14:paraId="4BA44015" w14:textId="77777777" w:rsidR="00FA4AA8" w:rsidRDefault="0015611F">
            <w:pPr>
              <w:pStyle w:val="TableParagraph"/>
              <w:spacing w:before="24"/>
              <w:ind w:right="89"/>
              <w:jc w:val="right"/>
              <w:rPr>
                <w:b/>
                <w:sz w:val="18"/>
              </w:rPr>
            </w:pPr>
            <w:r>
              <w:rPr>
                <w:b/>
                <w:sz w:val="18"/>
              </w:rPr>
              <w:t>-</w:t>
            </w:r>
          </w:p>
        </w:tc>
        <w:tc>
          <w:tcPr>
            <w:tcW w:w="1296" w:type="dxa"/>
            <w:tcBorders>
              <w:bottom w:val="single" w:sz="8" w:space="0" w:color="000000"/>
            </w:tcBorders>
          </w:tcPr>
          <w:p w14:paraId="773B3DD1" w14:textId="77777777" w:rsidR="00FA4AA8" w:rsidRDefault="0015611F">
            <w:pPr>
              <w:pStyle w:val="TableParagraph"/>
              <w:spacing w:before="24"/>
              <w:ind w:right="89"/>
              <w:jc w:val="right"/>
              <w:rPr>
                <w:sz w:val="18"/>
              </w:rPr>
            </w:pPr>
            <w:r>
              <w:rPr>
                <w:sz w:val="18"/>
              </w:rPr>
              <w:t>18,115</w:t>
            </w:r>
          </w:p>
        </w:tc>
        <w:tc>
          <w:tcPr>
            <w:tcW w:w="168" w:type="dxa"/>
            <w:tcBorders>
              <w:bottom w:val="single" w:sz="8" w:space="0" w:color="000000"/>
            </w:tcBorders>
          </w:tcPr>
          <w:p w14:paraId="36BF731D" w14:textId="77777777" w:rsidR="00FA4AA8" w:rsidRDefault="00FA4AA8">
            <w:pPr>
              <w:pStyle w:val="TableParagraph"/>
              <w:rPr>
                <w:rFonts w:ascii="Times New Roman"/>
                <w:sz w:val="18"/>
              </w:rPr>
            </w:pPr>
          </w:p>
        </w:tc>
        <w:tc>
          <w:tcPr>
            <w:tcW w:w="1486" w:type="dxa"/>
            <w:tcBorders>
              <w:bottom w:val="single" w:sz="8" w:space="0" w:color="000000"/>
            </w:tcBorders>
          </w:tcPr>
          <w:p w14:paraId="69AFE07F" w14:textId="77777777" w:rsidR="00FA4AA8" w:rsidRDefault="0015611F">
            <w:pPr>
              <w:pStyle w:val="TableParagraph"/>
              <w:spacing w:before="24"/>
              <w:ind w:right="279"/>
              <w:jc w:val="right"/>
              <w:rPr>
                <w:b/>
                <w:sz w:val="18"/>
              </w:rPr>
            </w:pPr>
            <w:r>
              <w:rPr>
                <w:b/>
                <w:sz w:val="18"/>
              </w:rPr>
              <w:t>-</w:t>
            </w:r>
          </w:p>
        </w:tc>
        <w:tc>
          <w:tcPr>
            <w:tcW w:w="1106" w:type="dxa"/>
            <w:tcBorders>
              <w:bottom w:val="single" w:sz="8" w:space="0" w:color="000000"/>
            </w:tcBorders>
          </w:tcPr>
          <w:p w14:paraId="1B44547C" w14:textId="77777777" w:rsidR="00FA4AA8" w:rsidRDefault="0015611F">
            <w:pPr>
              <w:pStyle w:val="TableParagraph"/>
              <w:spacing w:before="24"/>
              <w:ind w:right="89"/>
              <w:jc w:val="right"/>
              <w:rPr>
                <w:sz w:val="18"/>
              </w:rPr>
            </w:pPr>
            <w:r>
              <w:rPr>
                <w:sz w:val="18"/>
              </w:rPr>
              <w:t>18,115</w:t>
            </w:r>
          </w:p>
        </w:tc>
      </w:tr>
      <w:tr w:rsidR="00FA4AA8" w14:paraId="22ADC5F2" w14:textId="77777777">
        <w:trPr>
          <w:trHeight w:val="318"/>
        </w:trPr>
        <w:tc>
          <w:tcPr>
            <w:tcW w:w="359" w:type="dxa"/>
            <w:vMerge/>
            <w:tcBorders>
              <w:top w:val="nil"/>
            </w:tcBorders>
          </w:tcPr>
          <w:p w14:paraId="24981729" w14:textId="77777777" w:rsidR="00FA4AA8" w:rsidRDefault="00FA4AA8">
            <w:pPr>
              <w:rPr>
                <w:sz w:val="2"/>
                <w:szCs w:val="2"/>
              </w:rPr>
            </w:pPr>
          </w:p>
        </w:tc>
        <w:tc>
          <w:tcPr>
            <w:tcW w:w="3445" w:type="dxa"/>
          </w:tcPr>
          <w:p w14:paraId="79BD3790" w14:textId="77777777" w:rsidR="00FA4AA8" w:rsidRDefault="0015611F">
            <w:pPr>
              <w:pStyle w:val="TableParagraph"/>
              <w:spacing w:before="115" w:line="183" w:lineRule="exact"/>
              <w:ind w:left="113"/>
              <w:rPr>
                <w:b/>
                <w:sz w:val="18"/>
              </w:rPr>
            </w:pPr>
            <w:r>
              <w:rPr>
                <w:b/>
                <w:sz w:val="18"/>
              </w:rPr>
              <w:t>Total non-current receivables</w:t>
            </w:r>
          </w:p>
        </w:tc>
        <w:tc>
          <w:tcPr>
            <w:tcW w:w="632" w:type="dxa"/>
          </w:tcPr>
          <w:p w14:paraId="6B098DF0" w14:textId="77777777" w:rsidR="00FA4AA8" w:rsidRDefault="00FA4AA8">
            <w:pPr>
              <w:pStyle w:val="TableParagraph"/>
              <w:rPr>
                <w:rFonts w:ascii="Times New Roman"/>
                <w:sz w:val="18"/>
              </w:rPr>
            </w:pPr>
          </w:p>
        </w:tc>
        <w:tc>
          <w:tcPr>
            <w:tcW w:w="1465" w:type="dxa"/>
            <w:tcBorders>
              <w:top w:val="single" w:sz="8" w:space="0" w:color="000000"/>
              <w:bottom w:val="single" w:sz="8" w:space="0" w:color="000000"/>
            </w:tcBorders>
          </w:tcPr>
          <w:p w14:paraId="68972F7D" w14:textId="77777777" w:rsidR="00FA4AA8" w:rsidRDefault="0015611F">
            <w:pPr>
              <w:pStyle w:val="TableParagraph"/>
              <w:spacing w:before="115" w:line="183" w:lineRule="exact"/>
              <w:ind w:right="89"/>
              <w:jc w:val="right"/>
              <w:rPr>
                <w:b/>
                <w:sz w:val="18"/>
              </w:rPr>
            </w:pPr>
            <w:r>
              <w:rPr>
                <w:b/>
                <w:sz w:val="18"/>
              </w:rPr>
              <w:t>392,658</w:t>
            </w:r>
          </w:p>
        </w:tc>
        <w:tc>
          <w:tcPr>
            <w:tcW w:w="1296" w:type="dxa"/>
            <w:tcBorders>
              <w:top w:val="single" w:sz="8" w:space="0" w:color="000000"/>
              <w:bottom w:val="single" w:sz="8" w:space="0" w:color="000000"/>
            </w:tcBorders>
          </w:tcPr>
          <w:p w14:paraId="0B05BFA1" w14:textId="77777777" w:rsidR="00FA4AA8" w:rsidRDefault="0015611F">
            <w:pPr>
              <w:pStyle w:val="TableParagraph"/>
              <w:spacing w:before="115" w:line="183" w:lineRule="exact"/>
              <w:ind w:right="89"/>
              <w:jc w:val="right"/>
              <w:rPr>
                <w:sz w:val="18"/>
              </w:rPr>
            </w:pPr>
            <w:r>
              <w:rPr>
                <w:sz w:val="18"/>
              </w:rPr>
              <w:t>388,045</w:t>
            </w:r>
          </w:p>
        </w:tc>
        <w:tc>
          <w:tcPr>
            <w:tcW w:w="168" w:type="dxa"/>
            <w:tcBorders>
              <w:top w:val="single" w:sz="8" w:space="0" w:color="000000"/>
              <w:bottom w:val="single" w:sz="8" w:space="0" w:color="000000"/>
            </w:tcBorders>
          </w:tcPr>
          <w:p w14:paraId="76954892" w14:textId="77777777" w:rsidR="00FA4AA8" w:rsidRDefault="00FA4AA8">
            <w:pPr>
              <w:pStyle w:val="TableParagraph"/>
              <w:rPr>
                <w:rFonts w:ascii="Times New Roman"/>
                <w:sz w:val="18"/>
              </w:rPr>
            </w:pPr>
          </w:p>
        </w:tc>
        <w:tc>
          <w:tcPr>
            <w:tcW w:w="1486" w:type="dxa"/>
            <w:tcBorders>
              <w:top w:val="single" w:sz="8" w:space="0" w:color="000000"/>
              <w:bottom w:val="single" w:sz="8" w:space="0" w:color="000000"/>
            </w:tcBorders>
          </w:tcPr>
          <w:p w14:paraId="580DF502" w14:textId="77777777" w:rsidR="00FA4AA8" w:rsidRDefault="0015611F">
            <w:pPr>
              <w:pStyle w:val="TableParagraph"/>
              <w:spacing w:before="115" w:line="183" w:lineRule="exact"/>
              <w:ind w:right="279"/>
              <w:jc w:val="right"/>
              <w:rPr>
                <w:b/>
                <w:sz w:val="18"/>
              </w:rPr>
            </w:pPr>
            <w:r>
              <w:rPr>
                <w:b/>
                <w:sz w:val="18"/>
              </w:rPr>
              <w:t>415,758</w:t>
            </w:r>
          </w:p>
        </w:tc>
        <w:tc>
          <w:tcPr>
            <w:tcW w:w="1106" w:type="dxa"/>
            <w:tcBorders>
              <w:top w:val="single" w:sz="8" w:space="0" w:color="000000"/>
              <w:bottom w:val="single" w:sz="8" w:space="0" w:color="000000"/>
            </w:tcBorders>
          </w:tcPr>
          <w:p w14:paraId="2A7D4431" w14:textId="77777777" w:rsidR="00FA4AA8" w:rsidRDefault="0015611F">
            <w:pPr>
              <w:pStyle w:val="TableParagraph"/>
              <w:spacing w:before="115" w:line="183" w:lineRule="exact"/>
              <w:ind w:left="359"/>
              <w:rPr>
                <w:sz w:val="18"/>
              </w:rPr>
            </w:pPr>
            <w:r>
              <w:rPr>
                <w:sz w:val="18"/>
              </w:rPr>
              <w:t>388,045</w:t>
            </w:r>
          </w:p>
        </w:tc>
      </w:tr>
      <w:tr w:rsidR="00FA4AA8" w14:paraId="306A58E9" w14:textId="77777777">
        <w:trPr>
          <w:trHeight w:val="352"/>
        </w:trPr>
        <w:tc>
          <w:tcPr>
            <w:tcW w:w="359" w:type="dxa"/>
            <w:vMerge/>
            <w:tcBorders>
              <w:top w:val="nil"/>
            </w:tcBorders>
          </w:tcPr>
          <w:p w14:paraId="7F8FACF4" w14:textId="77777777" w:rsidR="00FA4AA8" w:rsidRDefault="00FA4AA8">
            <w:pPr>
              <w:rPr>
                <w:sz w:val="2"/>
                <w:szCs w:val="2"/>
              </w:rPr>
            </w:pPr>
          </w:p>
        </w:tc>
        <w:tc>
          <w:tcPr>
            <w:tcW w:w="3445" w:type="dxa"/>
          </w:tcPr>
          <w:p w14:paraId="45EAF6E4" w14:textId="77777777" w:rsidR="00FA4AA8" w:rsidRDefault="0015611F">
            <w:pPr>
              <w:pStyle w:val="TableParagraph"/>
              <w:spacing w:before="115"/>
              <w:ind w:left="113"/>
              <w:rPr>
                <w:b/>
                <w:sz w:val="18"/>
              </w:rPr>
            </w:pPr>
            <w:r>
              <w:rPr>
                <w:b/>
                <w:sz w:val="18"/>
              </w:rPr>
              <w:t>Total receivables</w:t>
            </w:r>
          </w:p>
        </w:tc>
        <w:tc>
          <w:tcPr>
            <w:tcW w:w="632" w:type="dxa"/>
          </w:tcPr>
          <w:p w14:paraId="620E522E" w14:textId="77777777" w:rsidR="00FA4AA8" w:rsidRDefault="00FA4AA8">
            <w:pPr>
              <w:pStyle w:val="TableParagraph"/>
              <w:rPr>
                <w:rFonts w:ascii="Times New Roman"/>
                <w:sz w:val="18"/>
              </w:rPr>
            </w:pPr>
          </w:p>
        </w:tc>
        <w:tc>
          <w:tcPr>
            <w:tcW w:w="1465" w:type="dxa"/>
            <w:tcBorders>
              <w:top w:val="single" w:sz="8" w:space="0" w:color="000000"/>
              <w:bottom w:val="single" w:sz="6" w:space="0" w:color="000000"/>
            </w:tcBorders>
          </w:tcPr>
          <w:p w14:paraId="5A73A83E" w14:textId="77777777" w:rsidR="00FA4AA8" w:rsidRDefault="0015611F">
            <w:pPr>
              <w:pStyle w:val="TableParagraph"/>
              <w:spacing w:before="86"/>
              <w:ind w:right="89"/>
              <w:jc w:val="right"/>
              <w:rPr>
                <w:b/>
                <w:sz w:val="18"/>
              </w:rPr>
            </w:pPr>
            <w:r>
              <w:rPr>
                <w:b/>
                <w:sz w:val="18"/>
              </w:rPr>
              <w:t>446,809</w:t>
            </w:r>
          </w:p>
        </w:tc>
        <w:tc>
          <w:tcPr>
            <w:tcW w:w="1296" w:type="dxa"/>
            <w:tcBorders>
              <w:top w:val="single" w:sz="8" w:space="0" w:color="000000"/>
              <w:bottom w:val="single" w:sz="4" w:space="0" w:color="000000"/>
            </w:tcBorders>
          </w:tcPr>
          <w:p w14:paraId="220A4431" w14:textId="77777777" w:rsidR="00FA4AA8" w:rsidRDefault="0015611F">
            <w:pPr>
              <w:pStyle w:val="TableParagraph"/>
              <w:spacing w:before="86"/>
              <w:ind w:right="89"/>
              <w:jc w:val="right"/>
              <w:rPr>
                <w:sz w:val="18"/>
              </w:rPr>
            </w:pPr>
            <w:r>
              <w:rPr>
                <w:sz w:val="18"/>
              </w:rPr>
              <w:t>444,114</w:t>
            </w:r>
          </w:p>
        </w:tc>
        <w:tc>
          <w:tcPr>
            <w:tcW w:w="168" w:type="dxa"/>
            <w:tcBorders>
              <w:top w:val="single" w:sz="8" w:space="0" w:color="000000"/>
              <w:bottom w:val="single" w:sz="6" w:space="0" w:color="000000"/>
            </w:tcBorders>
          </w:tcPr>
          <w:p w14:paraId="7EE6D454" w14:textId="77777777" w:rsidR="00FA4AA8" w:rsidRDefault="00FA4AA8">
            <w:pPr>
              <w:pStyle w:val="TableParagraph"/>
              <w:rPr>
                <w:rFonts w:ascii="Times New Roman"/>
                <w:sz w:val="18"/>
              </w:rPr>
            </w:pPr>
          </w:p>
        </w:tc>
        <w:tc>
          <w:tcPr>
            <w:tcW w:w="1486" w:type="dxa"/>
            <w:tcBorders>
              <w:top w:val="single" w:sz="8" w:space="0" w:color="000000"/>
              <w:bottom w:val="single" w:sz="6" w:space="0" w:color="000000"/>
            </w:tcBorders>
          </w:tcPr>
          <w:p w14:paraId="786C941F" w14:textId="77777777" w:rsidR="00FA4AA8" w:rsidRDefault="0015611F">
            <w:pPr>
              <w:pStyle w:val="TableParagraph"/>
              <w:spacing w:before="86"/>
              <w:ind w:right="279"/>
              <w:jc w:val="right"/>
              <w:rPr>
                <w:b/>
                <w:sz w:val="18"/>
              </w:rPr>
            </w:pPr>
            <w:r>
              <w:rPr>
                <w:b/>
                <w:sz w:val="18"/>
              </w:rPr>
              <w:t>466,351</w:t>
            </w:r>
          </w:p>
        </w:tc>
        <w:tc>
          <w:tcPr>
            <w:tcW w:w="1106" w:type="dxa"/>
            <w:tcBorders>
              <w:top w:val="single" w:sz="8" w:space="0" w:color="000000"/>
              <w:bottom w:val="single" w:sz="6" w:space="0" w:color="000000"/>
            </w:tcBorders>
          </w:tcPr>
          <w:p w14:paraId="787B61F8" w14:textId="77777777" w:rsidR="00FA4AA8" w:rsidRDefault="0015611F">
            <w:pPr>
              <w:pStyle w:val="TableParagraph"/>
              <w:spacing w:before="86"/>
              <w:ind w:left="359"/>
              <w:rPr>
                <w:sz w:val="18"/>
              </w:rPr>
            </w:pPr>
            <w:r>
              <w:rPr>
                <w:sz w:val="18"/>
              </w:rPr>
              <w:t>442,440</w:t>
            </w:r>
          </w:p>
        </w:tc>
      </w:tr>
      <w:tr w:rsidR="00FA4AA8" w14:paraId="251B0A50" w14:textId="77777777">
        <w:trPr>
          <w:trHeight w:val="677"/>
        </w:trPr>
        <w:tc>
          <w:tcPr>
            <w:tcW w:w="359" w:type="dxa"/>
          </w:tcPr>
          <w:p w14:paraId="7AE1B92F" w14:textId="77777777" w:rsidR="00FA4AA8" w:rsidRDefault="00FA4AA8">
            <w:pPr>
              <w:pStyle w:val="TableParagraph"/>
              <w:rPr>
                <w:b/>
                <w:sz w:val="20"/>
              </w:rPr>
            </w:pPr>
          </w:p>
          <w:p w14:paraId="408A3869" w14:textId="77777777" w:rsidR="00FA4AA8" w:rsidRDefault="00FA4AA8">
            <w:pPr>
              <w:pStyle w:val="TableParagraph"/>
              <w:spacing w:before="10"/>
              <w:rPr>
                <w:b/>
                <w:sz w:val="20"/>
              </w:rPr>
            </w:pPr>
          </w:p>
          <w:p w14:paraId="11A2E332" w14:textId="77777777" w:rsidR="00FA4AA8" w:rsidRDefault="0015611F">
            <w:pPr>
              <w:pStyle w:val="TableParagraph"/>
              <w:spacing w:line="187" w:lineRule="exact"/>
              <w:ind w:left="50"/>
              <w:rPr>
                <w:b/>
                <w:sz w:val="18"/>
              </w:rPr>
            </w:pPr>
            <w:r>
              <w:rPr>
                <w:b/>
                <w:sz w:val="18"/>
              </w:rPr>
              <w:t>(a)</w:t>
            </w:r>
          </w:p>
        </w:tc>
        <w:tc>
          <w:tcPr>
            <w:tcW w:w="3445" w:type="dxa"/>
          </w:tcPr>
          <w:p w14:paraId="30F2C0D8" w14:textId="77777777" w:rsidR="00FA4AA8" w:rsidRDefault="00FA4AA8">
            <w:pPr>
              <w:pStyle w:val="TableParagraph"/>
              <w:rPr>
                <w:b/>
                <w:sz w:val="20"/>
              </w:rPr>
            </w:pPr>
          </w:p>
          <w:p w14:paraId="6BDCE37A" w14:textId="77777777" w:rsidR="00FA4AA8" w:rsidRDefault="00FA4AA8">
            <w:pPr>
              <w:pStyle w:val="TableParagraph"/>
              <w:spacing w:before="10"/>
              <w:rPr>
                <w:b/>
                <w:sz w:val="20"/>
              </w:rPr>
            </w:pPr>
          </w:p>
          <w:p w14:paraId="140FA454" w14:textId="77777777" w:rsidR="00FA4AA8" w:rsidRDefault="0015611F">
            <w:pPr>
              <w:pStyle w:val="TableParagraph"/>
              <w:spacing w:line="187" w:lineRule="exact"/>
              <w:ind w:left="87"/>
              <w:rPr>
                <w:b/>
                <w:sz w:val="18"/>
              </w:rPr>
            </w:pPr>
            <w:r>
              <w:rPr>
                <w:b/>
                <w:sz w:val="18"/>
              </w:rPr>
              <w:t>Leasing Arrangements</w:t>
            </w:r>
          </w:p>
        </w:tc>
        <w:tc>
          <w:tcPr>
            <w:tcW w:w="632" w:type="dxa"/>
          </w:tcPr>
          <w:p w14:paraId="371FD84C" w14:textId="77777777" w:rsidR="00FA4AA8" w:rsidRDefault="00FA4AA8">
            <w:pPr>
              <w:pStyle w:val="TableParagraph"/>
              <w:rPr>
                <w:rFonts w:ascii="Times New Roman"/>
                <w:sz w:val="18"/>
              </w:rPr>
            </w:pPr>
          </w:p>
        </w:tc>
        <w:tc>
          <w:tcPr>
            <w:tcW w:w="1465" w:type="dxa"/>
            <w:tcBorders>
              <w:top w:val="single" w:sz="6" w:space="0" w:color="000000"/>
            </w:tcBorders>
          </w:tcPr>
          <w:p w14:paraId="5BB9B4C6" w14:textId="77777777" w:rsidR="00FA4AA8" w:rsidRDefault="00FA4AA8">
            <w:pPr>
              <w:pStyle w:val="TableParagraph"/>
              <w:rPr>
                <w:rFonts w:ascii="Times New Roman"/>
                <w:sz w:val="18"/>
              </w:rPr>
            </w:pPr>
          </w:p>
        </w:tc>
        <w:tc>
          <w:tcPr>
            <w:tcW w:w="1296" w:type="dxa"/>
            <w:tcBorders>
              <w:top w:val="single" w:sz="4" w:space="0" w:color="000000"/>
            </w:tcBorders>
          </w:tcPr>
          <w:p w14:paraId="7E58EF9C" w14:textId="77777777" w:rsidR="00FA4AA8" w:rsidRDefault="00FA4AA8">
            <w:pPr>
              <w:pStyle w:val="TableParagraph"/>
              <w:rPr>
                <w:rFonts w:ascii="Times New Roman"/>
                <w:sz w:val="18"/>
              </w:rPr>
            </w:pPr>
          </w:p>
        </w:tc>
        <w:tc>
          <w:tcPr>
            <w:tcW w:w="168" w:type="dxa"/>
            <w:tcBorders>
              <w:top w:val="single" w:sz="6" w:space="0" w:color="000000"/>
            </w:tcBorders>
          </w:tcPr>
          <w:p w14:paraId="34ED3227" w14:textId="77777777" w:rsidR="00FA4AA8" w:rsidRDefault="00FA4AA8">
            <w:pPr>
              <w:pStyle w:val="TableParagraph"/>
              <w:rPr>
                <w:rFonts w:ascii="Times New Roman"/>
                <w:sz w:val="18"/>
              </w:rPr>
            </w:pPr>
          </w:p>
        </w:tc>
        <w:tc>
          <w:tcPr>
            <w:tcW w:w="1486" w:type="dxa"/>
            <w:tcBorders>
              <w:top w:val="single" w:sz="6" w:space="0" w:color="000000"/>
            </w:tcBorders>
          </w:tcPr>
          <w:p w14:paraId="0AA9CD06" w14:textId="77777777" w:rsidR="00FA4AA8" w:rsidRDefault="00FA4AA8">
            <w:pPr>
              <w:pStyle w:val="TableParagraph"/>
              <w:rPr>
                <w:rFonts w:ascii="Times New Roman"/>
                <w:sz w:val="18"/>
              </w:rPr>
            </w:pPr>
          </w:p>
        </w:tc>
        <w:tc>
          <w:tcPr>
            <w:tcW w:w="1106" w:type="dxa"/>
            <w:tcBorders>
              <w:top w:val="single" w:sz="6" w:space="0" w:color="000000"/>
            </w:tcBorders>
          </w:tcPr>
          <w:p w14:paraId="2F2B2444" w14:textId="77777777" w:rsidR="00FA4AA8" w:rsidRDefault="00FA4AA8">
            <w:pPr>
              <w:pStyle w:val="TableParagraph"/>
              <w:rPr>
                <w:rFonts w:ascii="Times New Roman"/>
                <w:sz w:val="18"/>
              </w:rPr>
            </w:pPr>
          </w:p>
        </w:tc>
      </w:tr>
    </w:tbl>
    <w:p w14:paraId="19676F17" w14:textId="77777777" w:rsidR="00FA4AA8" w:rsidRDefault="00FA4AA8">
      <w:pPr>
        <w:pStyle w:val="BodyText"/>
        <w:spacing w:before="3"/>
        <w:rPr>
          <w:b/>
          <w:sz w:val="17"/>
        </w:rPr>
      </w:pPr>
    </w:p>
    <w:p w14:paraId="301D7888" w14:textId="77777777" w:rsidR="00FA4AA8" w:rsidRDefault="007E2441">
      <w:pPr>
        <w:pStyle w:val="BodyText"/>
        <w:spacing w:before="94"/>
        <w:ind w:left="564" w:right="170"/>
      </w:pPr>
      <w:r>
        <w:rPr>
          <w:noProof/>
          <w:lang w:val="en-AU" w:eastAsia="en-AU"/>
        </w:rPr>
        <mc:AlternateContent>
          <mc:Choice Requires="wpg">
            <w:drawing>
              <wp:anchor distT="0" distB="0" distL="114300" distR="114300" simplePos="0" relativeHeight="462730240" behindDoc="1" locked="0" layoutInCell="1" allowOverlap="1" wp14:anchorId="1367AAAB" wp14:editId="0B0B118E">
                <wp:simplePos x="0" y="0"/>
                <wp:positionH relativeFrom="page">
                  <wp:posOffset>5283835</wp:posOffset>
                </wp:positionH>
                <wp:positionV relativeFrom="paragraph">
                  <wp:posOffset>-580390</wp:posOffset>
                </wp:positionV>
                <wp:extent cx="1118870" cy="1270"/>
                <wp:effectExtent l="0" t="0" r="0" b="0"/>
                <wp:wrapNone/>
                <wp:docPr id="2914" name="Group 2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8870" cy="1270"/>
                          <a:chOff x="8321" y="-914"/>
                          <a:chExt cx="2592" cy="3"/>
                        </a:xfrm>
                      </wpg:grpSpPr>
                      <wps:wsp>
                        <wps:cNvPr id="2915" name="Line 2682"/>
                        <wps:cNvCnPr>
                          <a:cxnSpLocks noChangeShapeType="1"/>
                        </wps:cNvCnPr>
                        <wps:spPr bwMode="auto">
                          <a:xfrm>
                            <a:off x="8321" y="-91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916" name="Line 2681"/>
                        <wps:cNvCnPr>
                          <a:cxnSpLocks noChangeShapeType="1"/>
                        </wps:cNvCnPr>
                        <wps:spPr bwMode="auto">
                          <a:xfrm>
                            <a:off x="9617" y="-91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1259C3" id="Group 2680" o:spid="_x0000_s1026" style="position:absolute;margin-left:416.05pt;margin-top:-45.7pt;width:88.1pt;height:.1pt;z-index:-40586240;mso-position-horizontal-relative:page" coordorigin="8321,-914" coordsize="25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">
                <v:line id="Line 2682" o:spid="_x0000_s1027" style="position:absolute;visibility:visible;mso-wrap-style:square" from="8321,-913" to="9617,-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" strokeweight=".12pt"/>
                <v:line id="Line 2681" o:spid="_x0000_s1028" style="position:absolute;visibility:visible;mso-wrap-style:square" from="9617,-913" to="10913,-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" strokeweight=".12pt"/>
                <w10:wrap anchorx="page"/>
              </v:group>
            </w:pict>
          </mc:Fallback>
        </mc:AlternateContent>
      </w:r>
      <w:bookmarkStart w:id="41" w:name="(b)_Reconciliation_of_changes_in_the_pro"/>
      <w:bookmarkEnd w:id="41"/>
      <w:r w:rsidR="0015611F">
        <w:t>In 2018, the University, as lessor, ceased the leasing arrangement with Campus Living Villages Pty Limited to manage student residence accommodation. This resulted in the University recognising land and building student accommodation assets (totalling $106.5M) reflected as additions in note 19 and a $48.9M gain on recognition shown in note</w:t>
      </w:r>
      <w:r w:rsidR="0015611F">
        <w:rPr>
          <w:spacing w:val="1"/>
        </w:rPr>
        <w:t xml:space="preserve"> </w:t>
      </w:r>
      <w:r w:rsidR="0015611F">
        <w:t>9.</w:t>
      </w:r>
    </w:p>
    <w:p w14:paraId="75A5D591" w14:textId="77777777" w:rsidR="00FA4AA8" w:rsidRDefault="00FA4AA8">
      <w:pPr>
        <w:pStyle w:val="BodyText"/>
        <w:spacing w:before="6"/>
        <w:rPr>
          <w:sz w:val="26"/>
        </w:rPr>
      </w:pPr>
    </w:p>
    <w:p w14:paraId="75FF058C" w14:textId="77777777" w:rsidR="00FA4AA8" w:rsidRDefault="0015611F">
      <w:pPr>
        <w:numPr>
          <w:ilvl w:val="0"/>
          <w:numId w:val="102"/>
        </w:numPr>
        <w:tabs>
          <w:tab w:val="left" w:pos="564"/>
        </w:tabs>
        <w:ind w:hanging="397"/>
        <w:rPr>
          <w:b/>
          <w:sz w:val="18"/>
        </w:rPr>
      </w:pPr>
      <w:r>
        <w:rPr>
          <w:b/>
          <w:sz w:val="18"/>
        </w:rPr>
        <w:t>Reconciliation of changes in the provision for impairment of receivables is as follows:</w:t>
      </w:r>
    </w:p>
    <w:p w14:paraId="5384BF06" w14:textId="77777777" w:rsidR="00FA4AA8" w:rsidRDefault="0015611F">
      <w:pPr>
        <w:tabs>
          <w:tab w:val="left" w:pos="8414"/>
        </w:tabs>
        <w:spacing w:before="38"/>
        <w:ind w:left="5364"/>
        <w:rPr>
          <w:b/>
          <w:sz w:val="18"/>
        </w:rPr>
      </w:pPr>
      <w:r>
        <w:rPr>
          <w:b/>
          <w:sz w:val="18"/>
        </w:rPr>
        <w:t>Consolidated</w:t>
      </w:r>
      <w:r>
        <w:rPr>
          <w:b/>
          <w:sz w:val="18"/>
        </w:rPr>
        <w:tab/>
        <w:t>Parent</w:t>
      </w:r>
    </w:p>
    <w:p w14:paraId="26A12A10" w14:textId="77777777" w:rsidR="00FA4AA8" w:rsidRDefault="00FA4AA8">
      <w:pPr>
        <w:pStyle w:val="BodyText"/>
        <w:spacing w:before="3"/>
        <w:rPr>
          <w:b/>
          <w:sz w:val="6"/>
        </w:rPr>
      </w:pPr>
    </w:p>
    <w:tbl>
      <w:tblPr>
        <w:tblW w:w="0" w:type="auto"/>
        <w:tblInd w:w="521" w:type="dxa"/>
        <w:tblLayout w:type="fixed"/>
        <w:tblCellMar>
          <w:left w:w="0" w:type="dxa"/>
          <w:right w:w="0" w:type="dxa"/>
        </w:tblCellMar>
        <w:tblLook w:val="01E0" w:firstRow="1" w:lastRow="1" w:firstColumn="1" w:lastColumn="1" w:noHBand="0" w:noVBand="0"/>
      </w:tblPr>
      <w:tblGrid>
        <w:gridCol w:w="4039"/>
        <w:gridCol w:w="1662"/>
        <w:gridCol w:w="688"/>
        <w:gridCol w:w="654"/>
        <w:gridCol w:w="1387"/>
        <w:gridCol w:w="1128"/>
      </w:tblGrid>
      <w:tr w:rsidR="00FA4AA8" w14:paraId="550575EB" w14:textId="77777777">
        <w:trPr>
          <w:trHeight w:val="742"/>
        </w:trPr>
        <w:tc>
          <w:tcPr>
            <w:tcW w:w="4039" w:type="dxa"/>
          </w:tcPr>
          <w:p w14:paraId="0FD77C56" w14:textId="77777777" w:rsidR="00FA4AA8" w:rsidRDefault="00FA4AA8">
            <w:pPr>
              <w:pStyle w:val="TableParagraph"/>
              <w:rPr>
                <w:b/>
                <w:sz w:val="20"/>
              </w:rPr>
            </w:pPr>
          </w:p>
          <w:p w14:paraId="58C99E85" w14:textId="77777777" w:rsidR="00FA4AA8" w:rsidRDefault="00FA4AA8">
            <w:pPr>
              <w:pStyle w:val="TableParagraph"/>
              <w:spacing w:before="5"/>
              <w:rPr>
                <w:b/>
                <w:sz w:val="26"/>
              </w:rPr>
            </w:pPr>
          </w:p>
          <w:p w14:paraId="49D345C2" w14:textId="77777777" w:rsidR="00FA4AA8" w:rsidRDefault="0015611F">
            <w:pPr>
              <w:pStyle w:val="TableParagraph"/>
              <w:spacing w:line="188" w:lineRule="exact"/>
              <w:ind w:left="50"/>
              <w:rPr>
                <w:sz w:val="18"/>
              </w:rPr>
            </w:pPr>
            <w:r>
              <w:rPr>
                <w:sz w:val="18"/>
              </w:rPr>
              <w:t>Balance at beginning of the year (calculated</w:t>
            </w:r>
          </w:p>
        </w:tc>
        <w:tc>
          <w:tcPr>
            <w:tcW w:w="1662" w:type="dxa"/>
          </w:tcPr>
          <w:p w14:paraId="4927FD77" w14:textId="77777777" w:rsidR="00FA4AA8" w:rsidRDefault="0015611F">
            <w:pPr>
              <w:pStyle w:val="TableParagraph"/>
              <w:spacing w:line="201" w:lineRule="exact"/>
              <w:ind w:left="560" w:right="617"/>
              <w:jc w:val="center"/>
              <w:rPr>
                <w:b/>
                <w:sz w:val="18"/>
              </w:rPr>
            </w:pPr>
            <w:r>
              <w:rPr>
                <w:b/>
                <w:sz w:val="18"/>
              </w:rPr>
              <w:t>2018</w:t>
            </w:r>
          </w:p>
          <w:p w14:paraId="1E339DD7" w14:textId="77777777" w:rsidR="00FA4AA8" w:rsidRDefault="0015611F">
            <w:pPr>
              <w:pStyle w:val="TableParagraph"/>
              <w:spacing w:before="66"/>
              <w:ind w:left="560" w:right="617"/>
              <w:jc w:val="center"/>
              <w:rPr>
                <w:b/>
                <w:sz w:val="18"/>
              </w:rPr>
            </w:pPr>
            <w:r>
              <w:rPr>
                <w:b/>
                <w:sz w:val="18"/>
              </w:rPr>
              <w:t>$'000</w:t>
            </w:r>
          </w:p>
        </w:tc>
        <w:tc>
          <w:tcPr>
            <w:tcW w:w="688" w:type="dxa"/>
          </w:tcPr>
          <w:p w14:paraId="3D3B1241" w14:textId="77777777" w:rsidR="00FA4AA8" w:rsidRDefault="0015611F">
            <w:pPr>
              <w:pStyle w:val="TableParagraph"/>
              <w:spacing w:line="201" w:lineRule="exact"/>
              <w:ind w:left="245"/>
              <w:rPr>
                <w:b/>
                <w:sz w:val="18"/>
              </w:rPr>
            </w:pPr>
            <w:r>
              <w:rPr>
                <w:b/>
                <w:sz w:val="18"/>
              </w:rPr>
              <w:t>2017</w:t>
            </w:r>
          </w:p>
          <w:p w14:paraId="1E381697" w14:textId="77777777" w:rsidR="00FA4AA8" w:rsidRDefault="0015611F">
            <w:pPr>
              <w:pStyle w:val="TableParagraph"/>
              <w:spacing w:before="66"/>
              <w:ind w:left="224"/>
              <w:rPr>
                <w:b/>
                <w:sz w:val="18"/>
              </w:rPr>
            </w:pPr>
            <w:r>
              <w:rPr>
                <w:b/>
                <w:sz w:val="18"/>
              </w:rPr>
              <w:t>$'000</w:t>
            </w:r>
          </w:p>
        </w:tc>
        <w:tc>
          <w:tcPr>
            <w:tcW w:w="654" w:type="dxa"/>
          </w:tcPr>
          <w:p w14:paraId="68C76390" w14:textId="77777777" w:rsidR="00FA4AA8" w:rsidRDefault="00FA4AA8">
            <w:pPr>
              <w:pStyle w:val="TableParagraph"/>
              <w:rPr>
                <w:rFonts w:ascii="Times New Roman"/>
                <w:sz w:val="18"/>
              </w:rPr>
            </w:pPr>
          </w:p>
        </w:tc>
        <w:tc>
          <w:tcPr>
            <w:tcW w:w="1387" w:type="dxa"/>
          </w:tcPr>
          <w:p w14:paraId="44437ACE" w14:textId="77777777" w:rsidR="00FA4AA8" w:rsidRDefault="0015611F">
            <w:pPr>
              <w:pStyle w:val="TableParagraph"/>
              <w:spacing w:line="201" w:lineRule="exact"/>
              <w:ind w:left="355"/>
              <w:rPr>
                <w:b/>
                <w:sz w:val="18"/>
              </w:rPr>
            </w:pPr>
            <w:r>
              <w:rPr>
                <w:b/>
                <w:sz w:val="18"/>
              </w:rPr>
              <w:t>2018</w:t>
            </w:r>
          </w:p>
          <w:p w14:paraId="6BCB1576" w14:textId="77777777" w:rsidR="00FA4AA8" w:rsidRDefault="0015611F">
            <w:pPr>
              <w:pStyle w:val="TableParagraph"/>
              <w:spacing w:before="66"/>
              <w:ind w:left="334"/>
              <w:rPr>
                <w:b/>
                <w:sz w:val="18"/>
              </w:rPr>
            </w:pPr>
            <w:r>
              <w:rPr>
                <w:b/>
                <w:sz w:val="18"/>
              </w:rPr>
              <w:t>$'000</w:t>
            </w:r>
          </w:p>
        </w:tc>
        <w:tc>
          <w:tcPr>
            <w:tcW w:w="1128" w:type="dxa"/>
          </w:tcPr>
          <w:p w14:paraId="69034DE5" w14:textId="77777777" w:rsidR="00FA4AA8" w:rsidRDefault="0015611F">
            <w:pPr>
              <w:pStyle w:val="TableParagraph"/>
              <w:spacing w:line="201" w:lineRule="exact"/>
              <w:ind w:left="276"/>
              <w:rPr>
                <w:b/>
                <w:sz w:val="18"/>
              </w:rPr>
            </w:pPr>
            <w:r>
              <w:rPr>
                <w:b/>
                <w:sz w:val="18"/>
              </w:rPr>
              <w:t>2017</w:t>
            </w:r>
          </w:p>
          <w:p w14:paraId="3ED0381D" w14:textId="77777777" w:rsidR="00FA4AA8" w:rsidRDefault="0015611F">
            <w:pPr>
              <w:pStyle w:val="TableParagraph"/>
              <w:spacing w:before="66"/>
              <w:ind w:left="255"/>
              <w:rPr>
                <w:b/>
                <w:sz w:val="18"/>
              </w:rPr>
            </w:pPr>
            <w:r>
              <w:rPr>
                <w:b/>
                <w:sz w:val="18"/>
              </w:rPr>
              <w:t>$'000</w:t>
            </w:r>
          </w:p>
        </w:tc>
      </w:tr>
      <w:tr w:rsidR="00FA4AA8" w14:paraId="0D60BF47" w14:textId="77777777">
        <w:trPr>
          <w:trHeight w:val="233"/>
        </w:trPr>
        <w:tc>
          <w:tcPr>
            <w:tcW w:w="4039" w:type="dxa"/>
          </w:tcPr>
          <w:p w14:paraId="4D8999DA" w14:textId="77777777" w:rsidR="00FA4AA8" w:rsidRDefault="0015611F">
            <w:pPr>
              <w:pStyle w:val="TableParagraph"/>
              <w:spacing w:line="205" w:lineRule="exact"/>
              <w:ind w:left="50"/>
              <w:rPr>
                <w:sz w:val="18"/>
              </w:rPr>
            </w:pPr>
            <w:r>
              <w:rPr>
                <w:sz w:val="18"/>
              </w:rPr>
              <w:t>in accordance with AASB 139)</w:t>
            </w:r>
          </w:p>
        </w:tc>
        <w:tc>
          <w:tcPr>
            <w:tcW w:w="1662" w:type="dxa"/>
          </w:tcPr>
          <w:p w14:paraId="32E02619" w14:textId="77777777" w:rsidR="00FA4AA8" w:rsidRDefault="0015611F">
            <w:pPr>
              <w:pStyle w:val="TableParagraph"/>
              <w:spacing w:line="203" w:lineRule="exact"/>
              <w:ind w:right="282"/>
              <w:jc w:val="right"/>
              <w:rPr>
                <w:b/>
                <w:sz w:val="18"/>
              </w:rPr>
            </w:pPr>
            <w:r>
              <w:rPr>
                <w:b/>
                <w:sz w:val="18"/>
              </w:rPr>
              <w:t>770</w:t>
            </w:r>
          </w:p>
        </w:tc>
        <w:tc>
          <w:tcPr>
            <w:tcW w:w="688" w:type="dxa"/>
          </w:tcPr>
          <w:p w14:paraId="5C22681E" w14:textId="77777777" w:rsidR="00FA4AA8" w:rsidRDefault="00FA4AA8">
            <w:pPr>
              <w:pStyle w:val="TableParagraph"/>
              <w:rPr>
                <w:rFonts w:ascii="Times New Roman"/>
                <w:sz w:val="16"/>
              </w:rPr>
            </w:pPr>
          </w:p>
        </w:tc>
        <w:tc>
          <w:tcPr>
            <w:tcW w:w="654" w:type="dxa"/>
          </w:tcPr>
          <w:p w14:paraId="2F013B57" w14:textId="77777777" w:rsidR="00FA4AA8" w:rsidRDefault="0015611F">
            <w:pPr>
              <w:pStyle w:val="TableParagraph"/>
              <w:spacing w:line="203" w:lineRule="exact"/>
              <w:ind w:right="331"/>
              <w:jc w:val="right"/>
              <w:rPr>
                <w:sz w:val="18"/>
              </w:rPr>
            </w:pPr>
            <w:r>
              <w:rPr>
                <w:sz w:val="18"/>
              </w:rPr>
              <w:t>618</w:t>
            </w:r>
          </w:p>
        </w:tc>
        <w:tc>
          <w:tcPr>
            <w:tcW w:w="1387" w:type="dxa"/>
          </w:tcPr>
          <w:p w14:paraId="5D4E366B" w14:textId="77777777" w:rsidR="00FA4AA8" w:rsidRDefault="0015611F">
            <w:pPr>
              <w:pStyle w:val="TableParagraph"/>
              <w:spacing w:line="203" w:lineRule="exact"/>
              <w:ind w:right="251"/>
              <w:jc w:val="right"/>
              <w:rPr>
                <w:b/>
                <w:sz w:val="18"/>
              </w:rPr>
            </w:pPr>
            <w:r>
              <w:rPr>
                <w:b/>
                <w:sz w:val="18"/>
              </w:rPr>
              <w:t>738</w:t>
            </w:r>
          </w:p>
        </w:tc>
        <w:tc>
          <w:tcPr>
            <w:tcW w:w="1128" w:type="dxa"/>
          </w:tcPr>
          <w:p w14:paraId="1C8AA175" w14:textId="77777777" w:rsidR="00FA4AA8" w:rsidRDefault="0015611F">
            <w:pPr>
              <w:pStyle w:val="TableParagraph"/>
              <w:spacing w:line="203" w:lineRule="exact"/>
              <w:ind w:right="86"/>
              <w:jc w:val="right"/>
              <w:rPr>
                <w:sz w:val="18"/>
              </w:rPr>
            </w:pPr>
            <w:r>
              <w:rPr>
                <w:sz w:val="18"/>
              </w:rPr>
              <w:t>586</w:t>
            </w:r>
          </w:p>
        </w:tc>
      </w:tr>
      <w:tr w:rsidR="00FA4AA8" w14:paraId="32309E2C" w14:textId="77777777">
        <w:trPr>
          <w:trHeight w:val="459"/>
        </w:trPr>
        <w:tc>
          <w:tcPr>
            <w:tcW w:w="4039" w:type="dxa"/>
          </w:tcPr>
          <w:p w14:paraId="5396BBFE" w14:textId="77777777" w:rsidR="00FA4AA8" w:rsidRDefault="0015611F">
            <w:pPr>
              <w:pStyle w:val="TableParagraph"/>
              <w:spacing w:before="23"/>
              <w:ind w:left="50"/>
              <w:rPr>
                <w:sz w:val="18"/>
              </w:rPr>
            </w:pPr>
            <w:r>
              <w:rPr>
                <w:sz w:val="18"/>
              </w:rPr>
              <w:t>Amount restated through opening retained earnings on adoption of AASB 9</w:t>
            </w:r>
          </w:p>
        </w:tc>
        <w:tc>
          <w:tcPr>
            <w:tcW w:w="1662" w:type="dxa"/>
            <w:tcBorders>
              <w:bottom w:val="single" w:sz="8" w:space="0" w:color="000000"/>
            </w:tcBorders>
          </w:tcPr>
          <w:p w14:paraId="58B6D7C3" w14:textId="77777777" w:rsidR="00FA4AA8" w:rsidRDefault="00FA4AA8">
            <w:pPr>
              <w:pStyle w:val="TableParagraph"/>
              <w:spacing w:before="8"/>
              <w:rPr>
                <w:b/>
                <w:sz w:val="19"/>
              </w:rPr>
            </w:pPr>
          </w:p>
          <w:p w14:paraId="79804188" w14:textId="77777777" w:rsidR="00FA4AA8" w:rsidRDefault="0015611F">
            <w:pPr>
              <w:pStyle w:val="TableParagraph"/>
              <w:ind w:right="282"/>
              <w:jc w:val="right"/>
              <w:rPr>
                <w:b/>
                <w:sz w:val="18"/>
              </w:rPr>
            </w:pPr>
            <w:r>
              <w:rPr>
                <w:b/>
                <w:sz w:val="18"/>
              </w:rPr>
              <w:t>457</w:t>
            </w:r>
          </w:p>
        </w:tc>
        <w:tc>
          <w:tcPr>
            <w:tcW w:w="688" w:type="dxa"/>
            <w:tcBorders>
              <w:bottom w:val="single" w:sz="8" w:space="0" w:color="000000"/>
            </w:tcBorders>
          </w:tcPr>
          <w:p w14:paraId="485EFB9C" w14:textId="77777777" w:rsidR="00FA4AA8" w:rsidRDefault="00FA4AA8">
            <w:pPr>
              <w:pStyle w:val="TableParagraph"/>
              <w:rPr>
                <w:rFonts w:ascii="Times New Roman"/>
                <w:sz w:val="18"/>
              </w:rPr>
            </w:pPr>
          </w:p>
        </w:tc>
        <w:tc>
          <w:tcPr>
            <w:tcW w:w="654" w:type="dxa"/>
            <w:tcBorders>
              <w:bottom w:val="single" w:sz="8" w:space="0" w:color="000000"/>
            </w:tcBorders>
          </w:tcPr>
          <w:p w14:paraId="7EE77D97" w14:textId="77777777" w:rsidR="00FA4AA8" w:rsidRDefault="00FA4AA8">
            <w:pPr>
              <w:pStyle w:val="TableParagraph"/>
              <w:spacing w:before="8"/>
              <w:rPr>
                <w:b/>
                <w:sz w:val="19"/>
              </w:rPr>
            </w:pPr>
          </w:p>
          <w:p w14:paraId="11C9F59B" w14:textId="77777777" w:rsidR="00FA4AA8" w:rsidRDefault="0015611F">
            <w:pPr>
              <w:pStyle w:val="TableParagraph"/>
              <w:ind w:right="331"/>
              <w:jc w:val="right"/>
              <w:rPr>
                <w:sz w:val="18"/>
              </w:rPr>
            </w:pPr>
            <w:r>
              <w:rPr>
                <w:sz w:val="18"/>
              </w:rPr>
              <w:t>-</w:t>
            </w:r>
          </w:p>
        </w:tc>
        <w:tc>
          <w:tcPr>
            <w:tcW w:w="1387" w:type="dxa"/>
            <w:tcBorders>
              <w:bottom w:val="single" w:sz="8" w:space="0" w:color="000000"/>
            </w:tcBorders>
          </w:tcPr>
          <w:p w14:paraId="0BDFF695" w14:textId="77777777" w:rsidR="00FA4AA8" w:rsidRDefault="00FA4AA8">
            <w:pPr>
              <w:pStyle w:val="TableParagraph"/>
              <w:spacing w:before="8"/>
              <w:rPr>
                <w:b/>
                <w:sz w:val="19"/>
              </w:rPr>
            </w:pPr>
          </w:p>
          <w:p w14:paraId="2A03593E" w14:textId="77777777" w:rsidR="00FA4AA8" w:rsidRDefault="0015611F">
            <w:pPr>
              <w:pStyle w:val="TableParagraph"/>
              <w:ind w:right="251"/>
              <w:jc w:val="right"/>
              <w:rPr>
                <w:b/>
                <w:sz w:val="18"/>
              </w:rPr>
            </w:pPr>
            <w:r>
              <w:rPr>
                <w:b/>
                <w:sz w:val="18"/>
              </w:rPr>
              <w:t>457</w:t>
            </w:r>
          </w:p>
        </w:tc>
        <w:tc>
          <w:tcPr>
            <w:tcW w:w="1128" w:type="dxa"/>
            <w:tcBorders>
              <w:bottom w:val="single" w:sz="8" w:space="0" w:color="000000"/>
            </w:tcBorders>
          </w:tcPr>
          <w:p w14:paraId="5D837251" w14:textId="77777777" w:rsidR="00FA4AA8" w:rsidRDefault="00FA4AA8">
            <w:pPr>
              <w:pStyle w:val="TableParagraph"/>
              <w:spacing w:before="8"/>
              <w:rPr>
                <w:b/>
                <w:sz w:val="19"/>
              </w:rPr>
            </w:pPr>
          </w:p>
          <w:p w14:paraId="16C5829E" w14:textId="77777777" w:rsidR="00FA4AA8" w:rsidRDefault="0015611F">
            <w:pPr>
              <w:pStyle w:val="TableParagraph"/>
              <w:ind w:right="86"/>
              <w:jc w:val="right"/>
              <w:rPr>
                <w:sz w:val="18"/>
              </w:rPr>
            </w:pPr>
            <w:r>
              <w:rPr>
                <w:sz w:val="18"/>
              </w:rPr>
              <w:t>-</w:t>
            </w:r>
          </w:p>
        </w:tc>
      </w:tr>
      <w:tr w:rsidR="00FA4AA8" w14:paraId="4A2FC051" w14:textId="77777777">
        <w:trPr>
          <w:trHeight w:val="324"/>
        </w:trPr>
        <w:tc>
          <w:tcPr>
            <w:tcW w:w="4039" w:type="dxa"/>
          </w:tcPr>
          <w:p w14:paraId="0E30CF5C" w14:textId="77777777" w:rsidR="00FA4AA8" w:rsidRDefault="0015611F">
            <w:pPr>
              <w:pStyle w:val="TableParagraph"/>
              <w:spacing w:before="115" w:line="190" w:lineRule="exact"/>
              <w:ind w:left="50"/>
              <w:rPr>
                <w:b/>
                <w:sz w:val="18"/>
              </w:rPr>
            </w:pPr>
            <w:r>
              <w:rPr>
                <w:b/>
                <w:sz w:val="18"/>
              </w:rPr>
              <w:t>Opening impairment allowance calculated</w:t>
            </w:r>
          </w:p>
        </w:tc>
        <w:tc>
          <w:tcPr>
            <w:tcW w:w="1662" w:type="dxa"/>
            <w:tcBorders>
              <w:top w:val="single" w:sz="8" w:space="0" w:color="000000"/>
            </w:tcBorders>
          </w:tcPr>
          <w:p w14:paraId="018FB9F1" w14:textId="77777777" w:rsidR="00FA4AA8" w:rsidRDefault="00FA4AA8">
            <w:pPr>
              <w:pStyle w:val="TableParagraph"/>
              <w:rPr>
                <w:rFonts w:ascii="Times New Roman"/>
                <w:sz w:val="18"/>
              </w:rPr>
            </w:pPr>
          </w:p>
        </w:tc>
        <w:tc>
          <w:tcPr>
            <w:tcW w:w="688" w:type="dxa"/>
            <w:tcBorders>
              <w:top w:val="single" w:sz="8" w:space="0" w:color="000000"/>
            </w:tcBorders>
          </w:tcPr>
          <w:p w14:paraId="01DD0AE7" w14:textId="77777777" w:rsidR="00FA4AA8" w:rsidRDefault="00FA4AA8">
            <w:pPr>
              <w:pStyle w:val="TableParagraph"/>
              <w:rPr>
                <w:rFonts w:ascii="Times New Roman"/>
                <w:sz w:val="18"/>
              </w:rPr>
            </w:pPr>
          </w:p>
        </w:tc>
        <w:tc>
          <w:tcPr>
            <w:tcW w:w="654" w:type="dxa"/>
            <w:tcBorders>
              <w:top w:val="single" w:sz="8" w:space="0" w:color="000000"/>
            </w:tcBorders>
          </w:tcPr>
          <w:p w14:paraId="17F7E3D0" w14:textId="77777777" w:rsidR="00FA4AA8" w:rsidRDefault="00FA4AA8">
            <w:pPr>
              <w:pStyle w:val="TableParagraph"/>
              <w:rPr>
                <w:rFonts w:ascii="Times New Roman"/>
                <w:sz w:val="18"/>
              </w:rPr>
            </w:pPr>
          </w:p>
        </w:tc>
        <w:tc>
          <w:tcPr>
            <w:tcW w:w="1387" w:type="dxa"/>
            <w:tcBorders>
              <w:top w:val="single" w:sz="8" w:space="0" w:color="000000"/>
            </w:tcBorders>
          </w:tcPr>
          <w:p w14:paraId="1BEB61C4" w14:textId="77777777" w:rsidR="00FA4AA8" w:rsidRDefault="00FA4AA8">
            <w:pPr>
              <w:pStyle w:val="TableParagraph"/>
              <w:rPr>
                <w:rFonts w:ascii="Times New Roman"/>
                <w:sz w:val="18"/>
              </w:rPr>
            </w:pPr>
          </w:p>
        </w:tc>
        <w:tc>
          <w:tcPr>
            <w:tcW w:w="1128" w:type="dxa"/>
            <w:tcBorders>
              <w:top w:val="single" w:sz="8" w:space="0" w:color="000000"/>
            </w:tcBorders>
          </w:tcPr>
          <w:p w14:paraId="30125410" w14:textId="77777777" w:rsidR="00FA4AA8" w:rsidRDefault="00FA4AA8">
            <w:pPr>
              <w:pStyle w:val="TableParagraph"/>
              <w:rPr>
                <w:rFonts w:ascii="Times New Roman"/>
                <w:sz w:val="18"/>
              </w:rPr>
            </w:pPr>
          </w:p>
        </w:tc>
      </w:tr>
      <w:tr w:rsidR="00FA4AA8" w14:paraId="4F51F272" w14:textId="77777777">
        <w:trPr>
          <w:trHeight w:val="220"/>
        </w:trPr>
        <w:tc>
          <w:tcPr>
            <w:tcW w:w="4039" w:type="dxa"/>
          </w:tcPr>
          <w:p w14:paraId="24F1C519" w14:textId="77777777" w:rsidR="00FA4AA8" w:rsidRDefault="0015611F">
            <w:pPr>
              <w:pStyle w:val="TableParagraph"/>
              <w:spacing w:line="201" w:lineRule="exact"/>
              <w:ind w:left="50"/>
              <w:rPr>
                <w:b/>
                <w:sz w:val="18"/>
              </w:rPr>
            </w:pPr>
            <w:r>
              <w:rPr>
                <w:b/>
                <w:sz w:val="18"/>
              </w:rPr>
              <w:t>under AASB 9</w:t>
            </w:r>
          </w:p>
        </w:tc>
        <w:tc>
          <w:tcPr>
            <w:tcW w:w="1662" w:type="dxa"/>
          </w:tcPr>
          <w:p w14:paraId="6A230DD2" w14:textId="77777777" w:rsidR="00FA4AA8" w:rsidRDefault="0015611F">
            <w:pPr>
              <w:pStyle w:val="TableParagraph"/>
              <w:spacing w:line="201" w:lineRule="exact"/>
              <w:ind w:right="282"/>
              <w:jc w:val="right"/>
              <w:rPr>
                <w:b/>
                <w:sz w:val="18"/>
              </w:rPr>
            </w:pPr>
            <w:r>
              <w:rPr>
                <w:b/>
                <w:sz w:val="18"/>
              </w:rPr>
              <w:t>1,227</w:t>
            </w:r>
          </w:p>
        </w:tc>
        <w:tc>
          <w:tcPr>
            <w:tcW w:w="688" w:type="dxa"/>
          </w:tcPr>
          <w:p w14:paraId="5DD624E7" w14:textId="77777777" w:rsidR="00FA4AA8" w:rsidRDefault="00FA4AA8">
            <w:pPr>
              <w:pStyle w:val="TableParagraph"/>
              <w:rPr>
                <w:rFonts w:ascii="Times New Roman"/>
                <w:sz w:val="14"/>
              </w:rPr>
            </w:pPr>
          </w:p>
        </w:tc>
        <w:tc>
          <w:tcPr>
            <w:tcW w:w="654" w:type="dxa"/>
          </w:tcPr>
          <w:p w14:paraId="7B52962B" w14:textId="77777777" w:rsidR="00FA4AA8" w:rsidRDefault="0015611F">
            <w:pPr>
              <w:pStyle w:val="TableParagraph"/>
              <w:spacing w:line="201" w:lineRule="exact"/>
              <w:ind w:right="331"/>
              <w:jc w:val="right"/>
              <w:rPr>
                <w:sz w:val="18"/>
              </w:rPr>
            </w:pPr>
            <w:r>
              <w:rPr>
                <w:sz w:val="18"/>
              </w:rPr>
              <w:t>618</w:t>
            </w:r>
          </w:p>
        </w:tc>
        <w:tc>
          <w:tcPr>
            <w:tcW w:w="1387" w:type="dxa"/>
          </w:tcPr>
          <w:p w14:paraId="2A57F12C" w14:textId="77777777" w:rsidR="00FA4AA8" w:rsidRDefault="0015611F">
            <w:pPr>
              <w:pStyle w:val="TableParagraph"/>
              <w:spacing w:line="201" w:lineRule="exact"/>
              <w:ind w:right="251"/>
              <w:jc w:val="right"/>
              <w:rPr>
                <w:b/>
                <w:sz w:val="18"/>
              </w:rPr>
            </w:pPr>
            <w:r>
              <w:rPr>
                <w:b/>
                <w:sz w:val="18"/>
              </w:rPr>
              <w:t>1,195</w:t>
            </w:r>
          </w:p>
        </w:tc>
        <w:tc>
          <w:tcPr>
            <w:tcW w:w="1128" w:type="dxa"/>
          </w:tcPr>
          <w:p w14:paraId="0ACC0113" w14:textId="77777777" w:rsidR="00FA4AA8" w:rsidRDefault="0015611F">
            <w:pPr>
              <w:pStyle w:val="TableParagraph"/>
              <w:spacing w:line="201" w:lineRule="exact"/>
              <w:ind w:right="86"/>
              <w:jc w:val="right"/>
              <w:rPr>
                <w:sz w:val="18"/>
              </w:rPr>
            </w:pPr>
            <w:r>
              <w:rPr>
                <w:sz w:val="18"/>
              </w:rPr>
              <w:t>586</w:t>
            </w:r>
          </w:p>
        </w:tc>
      </w:tr>
      <w:tr w:rsidR="00FA4AA8" w14:paraId="5698DD01" w14:textId="77777777">
        <w:trPr>
          <w:trHeight w:val="250"/>
        </w:trPr>
        <w:tc>
          <w:tcPr>
            <w:tcW w:w="4039" w:type="dxa"/>
          </w:tcPr>
          <w:p w14:paraId="15CED044" w14:textId="77777777" w:rsidR="00FA4AA8" w:rsidRDefault="0015611F">
            <w:pPr>
              <w:pStyle w:val="TableParagraph"/>
              <w:spacing w:before="13"/>
              <w:ind w:left="50"/>
              <w:rPr>
                <w:sz w:val="18"/>
              </w:rPr>
            </w:pPr>
            <w:r>
              <w:rPr>
                <w:sz w:val="18"/>
              </w:rPr>
              <w:t>Additional impairment loss recognised</w:t>
            </w:r>
          </w:p>
        </w:tc>
        <w:tc>
          <w:tcPr>
            <w:tcW w:w="1662" w:type="dxa"/>
          </w:tcPr>
          <w:p w14:paraId="3A1873CE" w14:textId="77777777" w:rsidR="00FA4AA8" w:rsidRDefault="0015611F">
            <w:pPr>
              <w:pStyle w:val="TableParagraph"/>
              <w:spacing w:before="11"/>
              <w:ind w:right="222"/>
              <w:jc w:val="right"/>
              <w:rPr>
                <w:b/>
                <w:sz w:val="18"/>
              </w:rPr>
            </w:pPr>
            <w:r>
              <w:rPr>
                <w:b/>
                <w:sz w:val="18"/>
              </w:rPr>
              <w:t>(223)</w:t>
            </w:r>
          </w:p>
        </w:tc>
        <w:tc>
          <w:tcPr>
            <w:tcW w:w="688" w:type="dxa"/>
          </w:tcPr>
          <w:p w14:paraId="571F7B07" w14:textId="77777777" w:rsidR="00FA4AA8" w:rsidRDefault="00FA4AA8">
            <w:pPr>
              <w:pStyle w:val="TableParagraph"/>
              <w:rPr>
                <w:rFonts w:ascii="Times New Roman"/>
                <w:sz w:val="18"/>
              </w:rPr>
            </w:pPr>
          </w:p>
        </w:tc>
        <w:tc>
          <w:tcPr>
            <w:tcW w:w="654" w:type="dxa"/>
          </w:tcPr>
          <w:p w14:paraId="6DBFA989" w14:textId="77777777" w:rsidR="00FA4AA8" w:rsidRDefault="0015611F">
            <w:pPr>
              <w:pStyle w:val="TableParagraph"/>
              <w:spacing w:before="11"/>
              <w:ind w:right="331"/>
              <w:jc w:val="right"/>
              <w:rPr>
                <w:sz w:val="18"/>
              </w:rPr>
            </w:pPr>
            <w:r>
              <w:rPr>
                <w:sz w:val="18"/>
              </w:rPr>
              <w:t>118</w:t>
            </w:r>
          </w:p>
        </w:tc>
        <w:tc>
          <w:tcPr>
            <w:tcW w:w="1387" w:type="dxa"/>
          </w:tcPr>
          <w:p w14:paraId="6CD7DF7B" w14:textId="77777777" w:rsidR="00FA4AA8" w:rsidRDefault="0015611F">
            <w:pPr>
              <w:pStyle w:val="TableParagraph"/>
              <w:spacing w:before="11"/>
              <w:ind w:right="251"/>
              <w:jc w:val="right"/>
              <w:rPr>
                <w:b/>
                <w:sz w:val="18"/>
              </w:rPr>
            </w:pPr>
            <w:r>
              <w:rPr>
                <w:b/>
                <w:sz w:val="18"/>
              </w:rPr>
              <w:t>2,378</w:t>
            </w:r>
          </w:p>
        </w:tc>
        <w:tc>
          <w:tcPr>
            <w:tcW w:w="1128" w:type="dxa"/>
          </w:tcPr>
          <w:p w14:paraId="30A5757C" w14:textId="77777777" w:rsidR="00FA4AA8" w:rsidRDefault="0015611F">
            <w:pPr>
              <w:pStyle w:val="TableParagraph"/>
              <w:spacing w:before="11"/>
              <w:ind w:right="86"/>
              <w:jc w:val="right"/>
              <w:rPr>
                <w:sz w:val="18"/>
              </w:rPr>
            </w:pPr>
            <w:r>
              <w:rPr>
                <w:sz w:val="18"/>
              </w:rPr>
              <w:t>4,061</w:t>
            </w:r>
          </w:p>
        </w:tc>
      </w:tr>
      <w:tr w:rsidR="00FA4AA8" w14:paraId="0F94AF68" w14:textId="77777777">
        <w:trPr>
          <w:trHeight w:val="263"/>
        </w:trPr>
        <w:tc>
          <w:tcPr>
            <w:tcW w:w="4039" w:type="dxa"/>
          </w:tcPr>
          <w:p w14:paraId="416349BA" w14:textId="77777777" w:rsidR="00FA4AA8" w:rsidRDefault="0015611F">
            <w:pPr>
              <w:pStyle w:val="TableParagraph"/>
              <w:spacing w:before="26"/>
              <w:ind w:left="50"/>
              <w:rPr>
                <w:sz w:val="18"/>
              </w:rPr>
            </w:pPr>
            <w:r>
              <w:rPr>
                <w:sz w:val="18"/>
              </w:rPr>
              <w:t>Amounts written off as uncollectible</w:t>
            </w:r>
          </w:p>
        </w:tc>
        <w:tc>
          <w:tcPr>
            <w:tcW w:w="1662" w:type="dxa"/>
          </w:tcPr>
          <w:p w14:paraId="191040A9" w14:textId="77777777" w:rsidR="00FA4AA8" w:rsidRDefault="0015611F">
            <w:pPr>
              <w:pStyle w:val="TableParagraph"/>
              <w:spacing w:before="24"/>
              <w:ind w:right="282"/>
              <w:jc w:val="right"/>
              <w:rPr>
                <w:b/>
                <w:sz w:val="18"/>
              </w:rPr>
            </w:pPr>
            <w:r>
              <w:rPr>
                <w:b/>
                <w:sz w:val="18"/>
              </w:rPr>
              <w:t>87</w:t>
            </w:r>
          </w:p>
        </w:tc>
        <w:tc>
          <w:tcPr>
            <w:tcW w:w="688" w:type="dxa"/>
          </w:tcPr>
          <w:p w14:paraId="1F8D4FF0" w14:textId="77777777" w:rsidR="00FA4AA8" w:rsidRDefault="00FA4AA8">
            <w:pPr>
              <w:pStyle w:val="TableParagraph"/>
              <w:rPr>
                <w:rFonts w:ascii="Times New Roman"/>
                <w:sz w:val="18"/>
              </w:rPr>
            </w:pPr>
          </w:p>
        </w:tc>
        <w:tc>
          <w:tcPr>
            <w:tcW w:w="654" w:type="dxa"/>
          </w:tcPr>
          <w:p w14:paraId="0B407B0A" w14:textId="77777777" w:rsidR="00FA4AA8" w:rsidRDefault="0015611F">
            <w:pPr>
              <w:pStyle w:val="TableParagraph"/>
              <w:spacing w:before="24"/>
              <w:ind w:right="331"/>
              <w:jc w:val="right"/>
              <w:rPr>
                <w:sz w:val="18"/>
              </w:rPr>
            </w:pPr>
            <w:r>
              <w:rPr>
                <w:sz w:val="18"/>
              </w:rPr>
              <w:t>34</w:t>
            </w:r>
          </w:p>
        </w:tc>
        <w:tc>
          <w:tcPr>
            <w:tcW w:w="1387" w:type="dxa"/>
          </w:tcPr>
          <w:p w14:paraId="43BCE1BC" w14:textId="77777777" w:rsidR="00FA4AA8" w:rsidRDefault="0015611F">
            <w:pPr>
              <w:pStyle w:val="TableParagraph"/>
              <w:spacing w:before="24"/>
              <w:ind w:right="251"/>
              <w:jc w:val="right"/>
              <w:rPr>
                <w:b/>
                <w:sz w:val="18"/>
              </w:rPr>
            </w:pPr>
            <w:r>
              <w:rPr>
                <w:b/>
                <w:sz w:val="18"/>
              </w:rPr>
              <w:t>75</w:t>
            </w:r>
          </w:p>
        </w:tc>
        <w:tc>
          <w:tcPr>
            <w:tcW w:w="1128" w:type="dxa"/>
          </w:tcPr>
          <w:p w14:paraId="402CBE7E" w14:textId="77777777" w:rsidR="00FA4AA8" w:rsidRDefault="0015611F">
            <w:pPr>
              <w:pStyle w:val="TableParagraph"/>
              <w:spacing w:before="24"/>
              <w:ind w:right="86"/>
              <w:jc w:val="right"/>
              <w:rPr>
                <w:sz w:val="18"/>
              </w:rPr>
            </w:pPr>
            <w:r>
              <w:rPr>
                <w:sz w:val="18"/>
              </w:rPr>
              <w:t>26</w:t>
            </w:r>
          </w:p>
        </w:tc>
      </w:tr>
      <w:tr w:rsidR="00FA4AA8" w14:paraId="3C825DF9" w14:textId="77777777">
        <w:trPr>
          <w:trHeight w:val="256"/>
        </w:trPr>
        <w:tc>
          <w:tcPr>
            <w:tcW w:w="4039" w:type="dxa"/>
          </w:tcPr>
          <w:p w14:paraId="5619F522" w14:textId="77777777" w:rsidR="00FA4AA8" w:rsidRDefault="0015611F">
            <w:pPr>
              <w:pStyle w:val="TableParagraph"/>
              <w:spacing w:before="26"/>
              <w:ind w:left="50"/>
              <w:rPr>
                <w:sz w:val="18"/>
              </w:rPr>
            </w:pPr>
            <w:r>
              <w:rPr>
                <w:sz w:val="18"/>
              </w:rPr>
              <w:t>Related party loan forgiven</w:t>
            </w:r>
          </w:p>
        </w:tc>
        <w:tc>
          <w:tcPr>
            <w:tcW w:w="1662" w:type="dxa"/>
            <w:tcBorders>
              <w:bottom w:val="single" w:sz="8" w:space="0" w:color="000000"/>
            </w:tcBorders>
          </w:tcPr>
          <w:p w14:paraId="3CDDF6B6" w14:textId="77777777" w:rsidR="00FA4AA8" w:rsidRDefault="0015611F">
            <w:pPr>
              <w:pStyle w:val="TableParagraph"/>
              <w:spacing w:before="24"/>
              <w:ind w:right="282"/>
              <w:jc w:val="right"/>
              <w:rPr>
                <w:b/>
                <w:sz w:val="18"/>
              </w:rPr>
            </w:pPr>
            <w:r>
              <w:rPr>
                <w:b/>
                <w:sz w:val="18"/>
              </w:rPr>
              <w:t>-</w:t>
            </w:r>
          </w:p>
        </w:tc>
        <w:tc>
          <w:tcPr>
            <w:tcW w:w="688" w:type="dxa"/>
            <w:tcBorders>
              <w:bottom w:val="single" w:sz="8" w:space="0" w:color="000000"/>
            </w:tcBorders>
          </w:tcPr>
          <w:p w14:paraId="2A4E8A65" w14:textId="77777777" w:rsidR="00FA4AA8" w:rsidRDefault="00FA4AA8">
            <w:pPr>
              <w:pStyle w:val="TableParagraph"/>
              <w:rPr>
                <w:rFonts w:ascii="Times New Roman"/>
                <w:sz w:val="18"/>
              </w:rPr>
            </w:pPr>
          </w:p>
        </w:tc>
        <w:tc>
          <w:tcPr>
            <w:tcW w:w="654" w:type="dxa"/>
            <w:tcBorders>
              <w:bottom w:val="single" w:sz="8" w:space="0" w:color="000000"/>
            </w:tcBorders>
          </w:tcPr>
          <w:p w14:paraId="22201C36" w14:textId="77777777" w:rsidR="00FA4AA8" w:rsidRDefault="0015611F">
            <w:pPr>
              <w:pStyle w:val="TableParagraph"/>
              <w:spacing w:before="24"/>
              <w:ind w:right="331"/>
              <w:jc w:val="right"/>
              <w:rPr>
                <w:sz w:val="18"/>
              </w:rPr>
            </w:pPr>
            <w:r>
              <w:rPr>
                <w:sz w:val="18"/>
              </w:rPr>
              <w:t>-</w:t>
            </w:r>
          </w:p>
        </w:tc>
        <w:tc>
          <w:tcPr>
            <w:tcW w:w="1387" w:type="dxa"/>
            <w:tcBorders>
              <w:bottom w:val="single" w:sz="8" w:space="0" w:color="000000"/>
            </w:tcBorders>
          </w:tcPr>
          <w:p w14:paraId="44E6FD16" w14:textId="77777777" w:rsidR="00FA4AA8" w:rsidRDefault="0015611F">
            <w:pPr>
              <w:pStyle w:val="TableParagraph"/>
              <w:spacing w:before="24"/>
              <w:ind w:right="251"/>
              <w:jc w:val="right"/>
              <w:rPr>
                <w:b/>
                <w:sz w:val="18"/>
              </w:rPr>
            </w:pPr>
            <w:r>
              <w:rPr>
                <w:b/>
                <w:sz w:val="18"/>
              </w:rPr>
              <w:t>-</w:t>
            </w:r>
          </w:p>
        </w:tc>
        <w:tc>
          <w:tcPr>
            <w:tcW w:w="1128" w:type="dxa"/>
            <w:tcBorders>
              <w:bottom w:val="single" w:sz="8" w:space="0" w:color="000000"/>
            </w:tcBorders>
          </w:tcPr>
          <w:p w14:paraId="6C881B0B" w14:textId="77777777" w:rsidR="00FA4AA8" w:rsidRDefault="0015611F">
            <w:pPr>
              <w:pStyle w:val="TableParagraph"/>
              <w:spacing w:before="24"/>
              <w:ind w:right="25"/>
              <w:jc w:val="right"/>
              <w:rPr>
                <w:sz w:val="18"/>
              </w:rPr>
            </w:pPr>
            <w:r>
              <w:rPr>
                <w:sz w:val="18"/>
              </w:rPr>
              <w:t>(3,935)</w:t>
            </w:r>
          </w:p>
        </w:tc>
      </w:tr>
      <w:tr w:rsidR="00FA4AA8" w14:paraId="6D67E194" w14:textId="77777777">
        <w:trPr>
          <w:trHeight w:val="316"/>
        </w:trPr>
        <w:tc>
          <w:tcPr>
            <w:tcW w:w="4039" w:type="dxa"/>
          </w:tcPr>
          <w:p w14:paraId="705BDF5D" w14:textId="77777777" w:rsidR="00FA4AA8" w:rsidRDefault="0015611F">
            <w:pPr>
              <w:pStyle w:val="TableParagraph"/>
              <w:spacing w:before="115" w:line="181" w:lineRule="exact"/>
              <w:ind w:left="50"/>
              <w:rPr>
                <w:b/>
                <w:sz w:val="18"/>
              </w:rPr>
            </w:pPr>
            <w:r>
              <w:rPr>
                <w:b/>
                <w:sz w:val="18"/>
              </w:rPr>
              <w:t>Balance at end of the year</w:t>
            </w:r>
          </w:p>
        </w:tc>
        <w:tc>
          <w:tcPr>
            <w:tcW w:w="1662" w:type="dxa"/>
            <w:tcBorders>
              <w:top w:val="single" w:sz="8" w:space="0" w:color="000000"/>
              <w:bottom w:val="single" w:sz="2" w:space="0" w:color="000000"/>
            </w:tcBorders>
          </w:tcPr>
          <w:p w14:paraId="0F94DEAF" w14:textId="77777777" w:rsidR="00FA4AA8" w:rsidRDefault="0015611F">
            <w:pPr>
              <w:pStyle w:val="TableParagraph"/>
              <w:spacing w:before="115" w:line="181" w:lineRule="exact"/>
              <w:ind w:right="282"/>
              <w:jc w:val="right"/>
              <w:rPr>
                <w:b/>
                <w:sz w:val="18"/>
              </w:rPr>
            </w:pPr>
            <w:r>
              <w:rPr>
                <w:b/>
                <w:sz w:val="18"/>
              </w:rPr>
              <w:t>1,091</w:t>
            </w:r>
          </w:p>
        </w:tc>
        <w:tc>
          <w:tcPr>
            <w:tcW w:w="688" w:type="dxa"/>
            <w:tcBorders>
              <w:top w:val="single" w:sz="8" w:space="0" w:color="000000"/>
              <w:bottom w:val="single" w:sz="6" w:space="0" w:color="000000"/>
            </w:tcBorders>
          </w:tcPr>
          <w:p w14:paraId="5D2FA8A1" w14:textId="77777777" w:rsidR="00FA4AA8" w:rsidRDefault="00FA4AA8">
            <w:pPr>
              <w:pStyle w:val="TableParagraph"/>
              <w:rPr>
                <w:rFonts w:ascii="Times New Roman"/>
                <w:sz w:val="18"/>
              </w:rPr>
            </w:pPr>
          </w:p>
        </w:tc>
        <w:tc>
          <w:tcPr>
            <w:tcW w:w="654" w:type="dxa"/>
            <w:tcBorders>
              <w:top w:val="single" w:sz="8" w:space="0" w:color="000000"/>
              <w:bottom w:val="single" w:sz="6" w:space="0" w:color="000000"/>
            </w:tcBorders>
          </w:tcPr>
          <w:p w14:paraId="08650627" w14:textId="77777777" w:rsidR="00FA4AA8" w:rsidRDefault="0015611F">
            <w:pPr>
              <w:pStyle w:val="TableParagraph"/>
              <w:spacing w:before="115" w:line="181" w:lineRule="exact"/>
              <w:ind w:right="331"/>
              <w:jc w:val="right"/>
              <w:rPr>
                <w:sz w:val="18"/>
              </w:rPr>
            </w:pPr>
            <w:r>
              <w:rPr>
                <w:sz w:val="18"/>
              </w:rPr>
              <w:t>770</w:t>
            </w:r>
          </w:p>
        </w:tc>
        <w:tc>
          <w:tcPr>
            <w:tcW w:w="1387" w:type="dxa"/>
            <w:tcBorders>
              <w:top w:val="single" w:sz="8" w:space="0" w:color="000000"/>
              <w:bottom w:val="thinThickMediumGap" w:sz="2" w:space="0" w:color="000000"/>
            </w:tcBorders>
          </w:tcPr>
          <w:p w14:paraId="26A9BB98" w14:textId="77777777" w:rsidR="00FA4AA8" w:rsidRDefault="0015611F">
            <w:pPr>
              <w:pStyle w:val="TableParagraph"/>
              <w:spacing w:before="115" w:line="181" w:lineRule="exact"/>
              <w:ind w:right="251"/>
              <w:jc w:val="right"/>
              <w:rPr>
                <w:b/>
                <w:sz w:val="18"/>
              </w:rPr>
            </w:pPr>
            <w:r>
              <w:rPr>
                <w:b/>
                <w:sz w:val="18"/>
              </w:rPr>
              <w:t>3,648</w:t>
            </w:r>
          </w:p>
        </w:tc>
        <w:tc>
          <w:tcPr>
            <w:tcW w:w="1128" w:type="dxa"/>
            <w:tcBorders>
              <w:top w:val="single" w:sz="8" w:space="0" w:color="000000"/>
              <w:bottom w:val="thinThickMediumGap" w:sz="2" w:space="0" w:color="000000"/>
            </w:tcBorders>
          </w:tcPr>
          <w:p w14:paraId="588E7D40" w14:textId="77777777" w:rsidR="00FA4AA8" w:rsidRDefault="0015611F">
            <w:pPr>
              <w:pStyle w:val="TableParagraph"/>
              <w:spacing w:before="115" w:line="181" w:lineRule="exact"/>
              <w:ind w:right="86"/>
              <w:jc w:val="right"/>
              <w:rPr>
                <w:sz w:val="18"/>
              </w:rPr>
            </w:pPr>
            <w:r>
              <w:rPr>
                <w:sz w:val="18"/>
              </w:rPr>
              <w:t>738</w:t>
            </w:r>
          </w:p>
        </w:tc>
      </w:tr>
    </w:tbl>
    <w:p w14:paraId="4545E918" w14:textId="77777777" w:rsidR="00FA4AA8" w:rsidRDefault="00FA4AA8">
      <w:pPr>
        <w:spacing w:line="181" w:lineRule="exact"/>
        <w:jc w:val="right"/>
        <w:rPr>
          <w:sz w:val="18"/>
        </w:rPr>
        <w:sectPr w:rsidR="00FA4AA8">
          <w:pgSz w:w="11910" w:h="16840"/>
          <w:pgMar w:top="2220" w:right="840" w:bottom="720" w:left="840" w:header="1016" w:footer="523" w:gutter="0"/>
          <w:cols w:space="720"/>
        </w:sectPr>
      </w:pPr>
    </w:p>
    <w:p w14:paraId="260C2127" w14:textId="77777777" w:rsidR="00FA4AA8" w:rsidRDefault="00FA4AA8">
      <w:pPr>
        <w:pStyle w:val="BodyText"/>
        <w:rPr>
          <w:b/>
          <w:sz w:val="20"/>
        </w:rPr>
      </w:pPr>
    </w:p>
    <w:p w14:paraId="3A608A11" w14:textId="77777777" w:rsidR="00FA4AA8" w:rsidRDefault="00FA4AA8">
      <w:pPr>
        <w:pStyle w:val="BodyText"/>
        <w:spacing w:before="10"/>
        <w:rPr>
          <w:b/>
          <w:sz w:val="29"/>
        </w:rPr>
      </w:pPr>
    </w:p>
    <w:p w14:paraId="249D9128" w14:textId="77777777" w:rsidR="00FA4AA8" w:rsidRDefault="0015611F">
      <w:pPr>
        <w:pStyle w:val="ListParagraph"/>
        <w:numPr>
          <w:ilvl w:val="0"/>
          <w:numId w:val="101"/>
        </w:numPr>
        <w:tabs>
          <w:tab w:val="left" w:pos="564"/>
        </w:tabs>
        <w:spacing w:before="94"/>
        <w:ind w:hanging="397"/>
        <w:rPr>
          <w:b/>
          <w:sz w:val="18"/>
        </w:rPr>
      </w:pPr>
      <w:bookmarkStart w:id="42" w:name="(c)_Amounts_receivable_under_finance_lea"/>
      <w:bookmarkEnd w:id="42"/>
      <w:r>
        <w:rPr>
          <w:b/>
          <w:sz w:val="18"/>
        </w:rPr>
        <w:t>Trade and other receivables (continued)</w:t>
      </w:r>
    </w:p>
    <w:p w14:paraId="4BD68359" w14:textId="77777777" w:rsidR="00FA4AA8" w:rsidRDefault="00FA4AA8">
      <w:pPr>
        <w:pStyle w:val="BodyText"/>
        <w:spacing w:before="5"/>
        <w:rPr>
          <w:b/>
        </w:rPr>
      </w:pPr>
    </w:p>
    <w:p w14:paraId="7F79C2AC" w14:textId="77777777" w:rsidR="00FA4AA8" w:rsidRDefault="00FA4AA8">
      <w:pPr>
        <w:sectPr w:rsidR="00FA4AA8">
          <w:pgSz w:w="11910" w:h="16840"/>
          <w:pgMar w:top="2220" w:right="840" w:bottom="720" w:left="840" w:header="1016" w:footer="523" w:gutter="0"/>
          <w:cols w:space="720"/>
        </w:sectPr>
      </w:pPr>
    </w:p>
    <w:p w14:paraId="7D2E3C6A" w14:textId="77777777" w:rsidR="00FA4AA8" w:rsidRDefault="0015611F">
      <w:pPr>
        <w:pStyle w:val="ListParagraph"/>
        <w:numPr>
          <w:ilvl w:val="0"/>
          <w:numId w:val="102"/>
        </w:numPr>
        <w:tabs>
          <w:tab w:val="left" w:pos="564"/>
        </w:tabs>
        <w:spacing w:before="94"/>
        <w:ind w:hanging="397"/>
        <w:rPr>
          <w:b/>
          <w:sz w:val="18"/>
        </w:rPr>
      </w:pPr>
      <w:r>
        <w:rPr>
          <w:b/>
          <w:sz w:val="18"/>
        </w:rPr>
        <w:t>Amounts receivable under finance leases</w:t>
      </w:r>
    </w:p>
    <w:p w14:paraId="71D09921" w14:textId="77777777" w:rsidR="00FA4AA8" w:rsidRDefault="0015611F">
      <w:pPr>
        <w:pStyle w:val="BodyText"/>
        <w:spacing w:before="6"/>
        <w:rPr>
          <w:b/>
          <w:sz w:val="29"/>
        </w:rPr>
      </w:pPr>
      <w:r>
        <w:br w:type="column"/>
      </w:r>
    </w:p>
    <w:p w14:paraId="6A8F731C" w14:textId="77777777" w:rsidR="00FA4AA8" w:rsidRDefault="0015611F">
      <w:pPr>
        <w:tabs>
          <w:tab w:val="left" w:pos="2896"/>
        </w:tabs>
        <w:spacing w:line="207" w:lineRule="exact"/>
        <w:ind w:left="167"/>
        <w:rPr>
          <w:b/>
          <w:sz w:val="18"/>
        </w:rPr>
      </w:pPr>
      <w:r>
        <w:rPr>
          <w:b/>
          <w:sz w:val="18"/>
        </w:rPr>
        <w:t>Minimum</w:t>
      </w:r>
      <w:r>
        <w:rPr>
          <w:b/>
          <w:spacing w:val="-2"/>
          <w:sz w:val="18"/>
        </w:rPr>
        <w:t xml:space="preserve"> </w:t>
      </w:r>
      <w:r>
        <w:rPr>
          <w:b/>
          <w:sz w:val="18"/>
        </w:rPr>
        <w:t>lease</w:t>
      </w:r>
      <w:r>
        <w:rPr>
          <w:b/>
          <w:spacing w:val="-1"/>
          <w:sz w:val="18"/>
        </w:rPr>
        <w:t xml:space="preserve"> </w:t>
      </w:r>
      <w:r>
        <w:rPr>
          <w:b/>
          <w:sz w:val="18"/>
        </w:rPr>
        <w:t>payments</w:t>
      </w:r>
      <w:r>
        <w:rPr>
          <w:b/>
          <w:sz w:val="18"/>
        </w:rPr>
        <w:tab/>
        <w:t>Present value of minimum</w:t>
      </w:r>
    </w:p>
    <w:p w14:paraId="1C3FD736" w14:textId="77777777" w:rsidR="00FA4AA8" w:rsidRDefault="0015611F">
      <w:pPr>
        <w:spacing w:line="207" w:lineRule="exact"/>
        <w:ind w:left="3350"/>
        <w:rPr>
          <w:b/>
          <w:sz w:val="18"/>
        </w:rPr>
      </w:pPr>
      <w:r>
        <w:rPr>
          <w:b/>
          <w:sz w:val="18"/>
        </w:rPr>
        <w:t>lease payments</w:t>
      </w:r>
    </w:p>
    <w:p w14:paraId="582FE485" w14:textId="77777777" w:rsidR="00FA4AA8" w:rsidRDefault="00FA4AA8">
      <w:pPr>
        <w:spacing w:line="207" w:lineRule="exact"/>
        <w:rPr>
          <w:sz w:val="18"/>
        </w:rPr>
        <w:sectPr w:rsidR="00FA4AA8">
          <w:type w:val="continuous"/>
          <w:pgSz w:w="11910" w:h="16840"/>
          <w:pgMar w:top="20" w:right="840" w:bottom="0" w:left="840" w:header="720" w:footer="720" w:gutter="0"/>
          <w:cols w:num="2" w:space="720" w:equalWidth="0">
            <w:col w:w="4158" w:space="527"/>
            <w:col w:w="5545"/>
          </w:cols>
        </w:sectPr>
      </w:pPr>
    </w:p>
    <w:p w14:paraId="405E9B1B" w14:textId="77777777" w:rsidR="00FA4AA8" w:rsidRDefault="00FA4AA8">
      <w:pPr>
        <w:pStyle w:val="BodyText"/>
        <w:spacing w:before="3"/>
        <w:rPr>
          <w:b/>
          <w:sz w:val="6"/>
        </w:rPr>
      </w:pPr>
    </w:p>
    <w:tbl>
      <w:tblPr>
        <w:tblW w:w="0" w:type="auto"/>
        <w:tblInd w:w="521" w:type="dxa"/>
        <w:tblLayout w:type="fixed"/>
        <w:tblCellMar>
          <w:left w:w="0" w:type="dxa"/>
          <w:right w:w="0" w:type="dxa"/>
        </w:tblCellMar>
        <w:tblLook w:val="01E0" w:firstRow="1" w:lastRow="1" w:firstColumn="1" w:lastColumn="1" w:noHBand="0" w:noVBand="0"/>
      </w:tblPr>
      <w:tblGrid>
        <w:gridCol w:w="4036"/>
        <w:gridCol w:w="1171"/>
        <w:gridCol w:w="1865"/>
        <w:gridCol w:w="895"/>
        <w:gridCol w:w="1589"/>
      </w:tblGrid>
      <w:tr w:rsidR="00FA4AA8" w14:paraId="26D02ED4" w14:textId="77777777">
        <w:trPr>
          <w:trHeight w:val="1040"/>
        </w:trPr>
        <w:tc>
          <w:tcPr>
            <w:tcW w:w="4036" w:type="dxa"/>
          </w:tcPr>
          <w:p w14:paraId="08713E04" w14:textId="77777777" w:rsidR="00FA4AA8" w:rsidRDefault="00FA4AA8">
            <w:pPr>
              <w:pStyle w:val="TableParagraph"/>
              <w:rPr>
                <w:b/>
                <w:sz w:val="20"/>
              </w:rPr>
            </w:pPr>
          </w:p>
          <w:p w14:paraId="7B64E5CF" w14:textId="77777777" w:rsidR="00FA4AA8" w:rsidRDefault="00FA4AA8">
            <w:pPr>
              <w:pStyle w:val="TableParagraph"/>
              <w:spacing w:before="9"/>
              <w:rPr>
                <w:b/>
                <w:sz w:val="26"/>
              </w:rPr>
            </w:pPr>
          </w:p>
          <w:p w14:paraId="68D1258A" w14:textId="77777777" w:rsidR="00FA4AA8" w:rsidRDefault="0015611F">
            <w:pPr>
              <w:pStyle w:val="TableParagraph"/>
              <w:numPr>
                <w:ilvl w:val="0"/>
                <w:numId w:val="100"/>
              </w:numPr>
              <w:tabs>
                <w:tab w:val="left" w:pos="188"/>
              </w:tabs>
              <w:spacing w:before="1"/>
              <w:ind w:hanging="112"/>
              <w:rPr>
                <w:sz w:val="18"/>
              </w:rPr>
            </w:pPr>
            <w:r>
              <w:rPr>
                <w:sz w:val="18"/>
              </w:rPr>
              <w:t>not later than one</w:t>
            </w:r>
            <w:r>
              <w:rPr>
                <w:spacing w:val="1"/>
                <w:sz w:val="18"/>
              </w:rPr>
              <w:t xml:space="preserve"> </w:t>
            </w:r>
            <w:r>
              <w:rPr>
                <w:sz w:val="18"/>
              </w:rPr>
              <w:t>year</w:t>
            </w:r>
          </w:p>
          <w:p w14:paraId="3A9A1C57" w14:textId="77777777" w:rsidR="00FA4AA8" w:rsidRDefault="0015611F">
            <w:pPr>
              <w:pStyle w:val="TableParagraph"/>
              <w:numPr>
                <w:ilvl w:val="0"/>
                <w:numId w:val="100"/>
              </w:numPr>
              <w:tabs>
                <w:tab w:val="left" w:pos="187"/>
              </w:tabs>
              <w:spacing w:before="57"/>
              <w:ind w:left="186"/>
              <w:rPr>
                <w:sz w:val="18"/>
              </w:rPr>
            </w:pPr>
            <w:r>
              <w:rPr>
                <w:sz w:val="18"/>
              </w:rPr>
              <w:t>between one year and five years</w:t>
            </w:r>
          </w:p>
        </w:tc>
        <w:tc>
          <w:tcPr>
            <w:tcW w:w="1171" w:type="dxa"/>
          </w:tcPr>
          <w:p w14:paraId="453DFD16" w14:textId="77777777" w:rsidR="00FA4AA8" w:rsidRDefault="0015611F">
            <w:pPr>
              <w:pStyle w:val="TableParagraph"/>
              <w:spacing w:line="201" w:lineRule="exact"/>
              <w:ind w:left="600"/>
              <w:rPr>
                <w:b/>
                <w:sz w:val="18"/>
              </w:rPr>
            </w:pPr>
            <w:r>
              <w:rPr>
                <w:b/>
                <w:sz w:val="18"/>
              </w:rPr>
              <w:t>2018</w:t>
            </w:r>
          </w:p>
          <w:p w14:paraId="762319C5" w14:textId="77777777" w:rsidR="00FA4AA8" w:rsidRDefault="0015611F">
            <w:pPr>
              <w:pStyle w:val="TableParagraph"/>
              <w:spacing w:before="66"/>
              <w:ind w:left="578"/>
              <w:rPr>
                <w:b/>
                <w:sz w:val="18"/>
              </w:rPr>
            </w:pPr>
            <w:r>
              <w:rPr>
                <w:b/>
                <w:sz w:val="18"/>
              </w:rPr>
              <w:t>$'000</w:t>
            </w:r>
          </w:p>
        </w:tc>
        <w:tc>
          <w:tcPr>
            <w:tcW w:w="1865" w:type="dxa"/>
          </w:tcPr>
          <w:p w14:paraId="3BA0802B" w14:textId="77777777" w:rsidR="00FA4AA8" w:rsidRDefault="0015611F">
            <w:pPr>
              <w:pStyle w:val="TableParagraph"/>
              <w:spacing w:line="201" w:lineRule="exact"/>
              <w:ind w:right="9"/>
              <w:jc w:val="center"/>
              <w:rPr>
                <w:b/>
                <w:sz w:val="18"/>
              </w:rPr>
            </w:pPr>
            <w:r>
              <w:rPr>
                <w:b/>
                <w:sz w:val="18"/>
              </w:rPr>
              <w:t>2017</w:t>
            </w:r>
          </w:p>
          <w:p w14:paraId="1761D727" w14:textId="77777777" w:rsidR="00FA4AA8" w:rsidRDefault="0015611F">
            <w:pPr>
              <w:pStyle w:val="TableParagraph"/>
              <w:spacing w:before="66"/>
              <w:ind w:right="9"/>
              <w:jc w:val="center"/>
              <w:rPr>
                <w:b/>
                <w:sz w:val="18"/>
              </w:rPr>
            </w:pPr>
            <w:r>
              <w:rPr>
                <w:b/>
                <w:sz w:val="18"/>
              </w:rPr>
              <w:t>$'000</w:t>
            </w:r>
          </w:p>
          <w:p w14:paraId="1F87AB5E" w14:textId="77777777" w:rsidR="00FA4AA8" w:rsidRDefault="0015611F">
            <w:pPr>
              <w:pStyle w:val="TableParagraph"/>
              <w:tabs>
                <w:tab w:val="left" w:pos="1295"/>
              </w:tabs>
              <w:spacing w:before="62"/>
              <w:ind w:right="213"/>
              <w:jc w:val="center"/>
              <w:rPr>
                <w:sz w:val="18"/>
              </w:rPr>
            </w:pPr>
            <w:r>
              <w:rPr>
                <w:b/>
                <w:sz w:val="18"/>
              </w:rPr>
              <w:t>-</w:t>
            </w:r>
            <w:r>
              <w:rPr>
                <w:b/>
                <w:sz w:val="18"/>
              </w:rPr>
              <w:tab/>
            </w:r>
            <w:r>
              <w:rPr>
                <w:sz w:val="18"/>
              </w:rPr>
              <w:t>-</w:t>
            </w:r>
          </w:p>
          <w:p w14:paraId="32C5F178" w14:textId="77777777" w:rsidR="00FA4AA8" w:rsidRDefault="0015611F">
            <w:pPr>
              <w:pStyle w:val="TableParagraph"/>
              <w:tabs>
                <w:tab w:val="left" w:pos="1295"/>
              </w:tabs>
              <w:spacing w:before="57"/>
              <w:ind w:right="213"/>
              <w:jc w:val="center"/>
              <w:rPr>
                <w:sz w:val="18"/>
              </w:rPr>
            </w:pPr>
            <w:r>
              <w:rPr>
                <w:b/>
                <w:sz w:val="18"/>
              </w:rPr>
              <w:t>-</w:t>
            </w:r>
            <w:r>
              <w:rPr>
                <w:b/>
                <w:sz w:val="18"/>
              </w:rPr>
              <w:tab/>
            </w:r>
            <w:r>
              <w:rPr>
                <w:sz w:val="18"/>
              </w:rPr>
              <w:t>-</w:t>
            </w:r>
          </w:p>
        </w:tc>
        <w:tc>
          <w:tcPr>
            <w:tcW w:w="895" w:type="dxa"/>
          </w:tcPr>
          <w:p w14:paraId="6ECD4489" w14:textId="77777777" w:rsidR="00FA4AA8" w:rsidRDefault="0015611F">
            <w:pPr>
              <w:pStyle w:val="TableParagraph"/>
              <w:spacing w:line="201" w:lineRule="exact"/>
              <w:ind w:left="324"/>
              <w:rPr>
                <w:b/>
                <w:sz w:val="18"/>
              </w:rPr>
            </w:pPr>
            <w:r>
              <w:rPr>
                <w:b/>
                <w:sz w:val="18"/>
              </w:rPr>
              <w:t>2018</w:t>
            </w:r>
          </w:p>
          <w:p w14:paraId="53CB2199" w14:textId="77777777" w:rsidR="00FA4AA8" w:rsidRDefault="0015611F">
            <w:pPr>
              <w:pStyle w:val="TableParagraph"/>
              <w:spacing w:before="66"/>
              <w:ind w:left="302"/>
              <w:rPr>
                <w:b/>
                <w:sz w:val="18"/>
              </w:rPr>
            </w:pPr>
            <w:r>
              <w:rPr>
                <w:b/>
                <w:sz w:val="18"/>
              </w:rPr>
              <w:t>$'000</w:t>
            </w:r>
          </w:p>
        </w:tc>
        <w:tc>
          <w:tcPr>
            <w:tcW w:w="1589" w:type="dxa"/>
          </w:tcPr>
          <w:p w14:paraId="32D4BEBA" w14:textId="77777777" w:rsidR="00FA4AA8" w:rsidRDefault="0015611F">
            <w:pPr>
              <w:pStyle w:val="TableParagraph"/>
              <w:spacing w:line="201" w:lineRule="exact"/>
              <w:ind w:left="725"/>
              <w:rPr>
                <w:b/>
                <w:sz w:val="18"/>
              </w:rPr>
            </w:pPr>
            <w:r>
              <w:rPr>
                <w:b/>
                <w:sz w:val="18"/>
              </w:rPr>
              <w:t>2017</w:t>
            </w:r>
          </w:p>
          <w:p w14:paraId="26A5BEBD" w14:textId="77777777" w:rsidR="00FA4AA8" w:rsidRDefault="0015611F">
            <w:pPr>
              <w:pStyle w:val="TableParagraph"/>
              <w:spacing w:before="66"/>
              <w:ind w:left="703"/>
              <w:rPr>
                <w:b/>
                <w:sz w:val="18"/>
              </w:rPr>
            </w:pPr>
            <w:r>
              <w:rPr>
                <w:b/>
                <w:sz w:val="18"/>
              </w:rPr>
              <w:t>$'000</w:t>
            </w:r>
          </w:p>
          <w:p w14:paraId="3F9311FB" w14:textId="77777777" w:rsidR="00FA4AA8" w:rsidRDefault="0015611F">
            <w:pPr>
              <w:pStyle w:val="TableParagraph"/>
              <w:tabs>
                <w:tab w:val="left" w:pos="1442"/>
              </w:tabs>
              <w:spacing w:before="62"/>
              <w:ind w:left="146"/>
              <w:rPr>
                <w:sz w:val="18"/>
              </w:rPr>
            </w:pPr>
            <w:r>
              <w:rPr>
                <w:b/>
                <w:sz w:val="18"/>
              </w:rPr>
              <w:t>-</w:t>
            </w:r>
            <w:r>
              <w:rPr>
                <w:b/>
                <w:sz w:val="18"/>
              </w:rPr>
              <w:tab/>
            </w:r>
            <w:r>
              <w:rPr>
                <w:sz w:val="18"/>
              </w:rPr>
              <w:t>-</w:t>
            </w:r>
          </w:p>
          <w:p w14:paraId="0825A24E" w14:textId="77777777" w:rsidR="00FA4AA8" w:rsidRDefault="0015611F">
            <w:pPr>
              <w:pStyle w:val="TableParagraph"/>
              <w:tabs>
                <w:tab w:val="left" w:pos="1442"/>
              </w:tabs>
              <w:spacing w:before="57"/>
              <w:ind w:left="146"/>
              <w:rPr>
                <w:sz w:val="18"/>
              </w:rPr>
            </w:pPr>
            <w:r>
              <w:rPr>
                <w:b/>
                <w:sz w:val="18"/>
              </w:rPr>
              <w:t>-</w:t>
            </w:r>
            <w:r>
              <w:rPr>
                <w:b/>
                <w:sz w:val="18"/>
              </w:rPr>
              <w:tab/>
            </w:r>
            <w:r>
              <w:rPr>
                <w:sz w:val="18"/>
              </w:rPr>
              <w:t>-</w:t>
            </w:r>
          </w:p>
        </w:tc>
      </w:tr>
      <w:tr w:rsidR="00FA4AA8" w14:paraId="5D3BF2AA" w14:textId="77777777">
        <w:trPr>
          <w:trHeight w:val="256"/>
        </w:trPr>
        <w:tc>
          <w:tcPr>
            <w:tcW w:w="4036" w:type="dxa"/>
          </w:tcPr>
          <w:p w14:paraId="1BA1401A" w14:textId="77777777" w:rsidR="00FA4AA8" w:rsidRDefault="0015611F">
            <w:pPr>
              <w:pStyle w:val="TableParagraph"/>
              <w:spacing w:before="26"/>
              <w:ind w:left="76"/>
              <w:rPr>
                <w:sz w:val="18"/>
              </w:rPr>
            </w:pPr>
            <w:r>
              <w:rPr>
                <w:sz w:val="18"/>
              </w:rPr>
              <w:t>- later than five years</w:t>
            </w:r>
          </w:p>
        </w:tc>
        <w:tc>
          <w:tcPr>
            <w:tcW w:w="1171" w:type="dxa"/>
            <w:tcBorders>
              <w:bottom w:val="single" w:sz="8" w:space="0" w:color="000000"/>
            </w:tcBorders>
          </w:tcPr>
          <w:p w14:paraId="1424EB0F" w14:textId="77777777" w:rsidR="00FA4AA8" w:rsidRDefault="00FA4AA8">
            <w:pPr>
              <w:pStyle w:val="TableParagraph"/>
              <w:rPr>
                <w:rFonts w:ascii="Times New Roman"/>
                <w:sz w:val="18"/>
              </w:rPr>
            </w:pPr>
          </w:p>
        </w:tc>
        <w:tc>
          <w:tcPr>
            <w:tcW w:w="1865" w:type="dxa"/>
            <w:tcBorders>
              <w:bottom w:val="single" w:sz="8" w:space="0" w:color="000000"/>
            </w:tcBorders>
          </w:tcPr>
          <w:p w14:paraId="675A481B" w14:textId="77777777" w:rsidR="00FA4AA8" w:rsidRDefault="0015611F">
            <w:pPr>
              <w:pStyle w:val="TableParagraph"/>
              <w:tabs>
                <w:tab w:val="left" w:pos="948"/>
              </w:tabs>
              <w:spacing w:before="24"/>
              <w:ind w:left="146"/>
              <w:rPr>
                <w:sz w:val="18"/>
              </w:rPr>
            </w:pPr>
            <w:r>
              <w:rPr>
                <w:b/>
                <w:sz w:val="18"/>
              </w:rPr>
              <w:t>-</w:t>
            </w:r>
            <w:r>
              <w:rPr>
                <w:b/>
                <w:sz w:val="18"/>
              </w:rPr>
              <w:tab/>
            </w:r>
            <w:r>
              <w:rPr>
                <w:sz w:val="18"/>
              </w:rPr>
              <w:t>42,990</w:t>
            </w:r>
          </w:p>
        </w:tc>
        <w:tc>
          <w:tcPr>
            <w:tcW w:w="895" w:type="dxa"/>
            <w:tcBorders>
              <w:bottom w:val="single" w:sz="8" w:space="0" w:color="000000"/>
            </w:tcBorders>
          </w:tcPr>
          <w:p w14:paraId="0D8D33B7" w14:textId="77777777" w:rsidR="00FA4AA8" w:rsidRDefault="00FA4AA8">
            <w:pPr>
              <w:pStyle w:val="TableParagraph"/>
              <w:rPr>
                <w:rFonts w:ascii="Times New Roman"/>
                <w:sz w:val="18"/>
              </w:rPr>
            </w:pPr>
          </w:p>
        </w:tc>
        <w:tc>
          <w:tcPr>
            <w:tcW w:w="1589" w:type="dxa"/>
            <w:tcBorders>
              <w:bottom w:val="single" w:sz="8" w:space="0" w:color="000000"/>
            </w:tcBorders>
          </w:tcPr>
          <w:p w14:paraId="7D05A947" w14:textId="77777777" w:rsidR="00FA4AA8" w:rsidRDefault="0015611F">
            <w:pPr>
              <w:pStyle w:val="TableParagraph"/>
              <w:tabs>
                <w:tab w:val="left" w:pos="862"/>
              </w:tabs>
              <w:spacing w:before="24"/>
              <w:ind w:left="60"/>
              <w:jc w:val="center"/>
              <w:rPr>
                <w:sz w:val="18"/>
              </w:rPr>
            </w:pPr>
            <w:r>
              <w:rPr>
                <w:b/>
                <w:sz w:val="18"/>
              </w:rPr>
              <w:t>-</w:t>
            </w:r>
            <w:r>
              <w:rPr>
                <w:b/>
                <w:sz w:val="18"/>
              </w:rPr>
              <w:tab/>
            </w:r>
            <w:r>
              <w:rPr>
                <w:sz w:val="18"/>
              </w:rPr>
              <w:t>18,115</w:t>
            </w:r>
          </w:p>
        </w:tc>
      </w:tr>
      <w:tr w:rsidR="00FA4AA8" w14:paraId="70B8AE06" w14:textId="77777777">
        <w:trPr>
          <w:trHeight w:val="238"/>
        </w:trPr>
        <w:tc>
          <w:tcPr>
            <w:tcW w:w="4036" w:type="dxa"/>
          </w:tcPr>
          <w:p w14:paraId="5FD956EC" w14:textId="77777777" w:rsidR="00FA4AA8" w:rsidRDefault="0015611F">
            <w:pPr>
              <w:pStyle w:val="TableParagraph"/>
              <w:spacing w:before="28" w:line="190" w:lineRule="exact"/>
              <w:ind w:left="76"/>
              <w:rPr>
                <w:b/>
                <w:sz w:val="18"/>
              </w:rPr>
            </w:pPr>
            <w:r>
              <w:rPr>
                <w:b/>
                <w:sz w:val="18"/>
              </w:rPr>
              <w:t>Amounts receivable under</w:t>
            </w:r>
          </w:p>
        </w:tc>
        <w:tc>
          <w:tcPr>
            <w:tcW w:w="1171" w:type="dxa"/>
            <w:tcBorders>
              <w:top w:val="single" w:sz="8" w:space="0" w:color="000000"/>
            </w:tcBorders>
          </w:tcPr>
          <w:p w14:paraId="2FE87C8B" w14:textId="77777777" w:rsidR="00FA4AA8" w:rsidRDefault="00FA4AA8">
            <w:pPr>
              <w:pStyle w:val="TableParagraph"/>
              <w:rPr>
                <w:rFonts w:ascii="Times New Roman"/>
                <w:sz w:val="16"/>
              </w:rPr>
            </w:pPr>
          </w:p>
        </w:tc>
        <w:tc>
          <w:tcPr>
            <w:tcW w:w="1865" w:type="dxa"/>
            <w:tcBorders>
              <w:top w:val="single" w:sz="8" w:space="0" w:color="000000"/>
            </w:tcBorders>
          </w:tcPr>
          <w:p w14:paraId="04FEAE0D" w14:textId="77777777" w:rsidR="00FA4AA8" w:rsidRDefault="00FA4AA8">
            <w:pPr>
              <w:pStyle w:val="TableParagraph"/>
              <w:rPr>
                <w:rFonts w:ascii="Times New Roman"/>
                <w:sz w:val="16"/>
              </w:rPr>
            </w:pPr>
          </w:p>
        </w:tc>
        <w:tc>
          <w:tcPr>
            <w:tcW w:w="895" w:type="dxa"/>
            <w:tcBorders>
              <w:top w:val="single" w:sz="8" w:space="0" w:color="000000"/>
            </w:tcBorders>
          </w:tcPr>
          <w:p w14:paraId="3967DC20" w14:textId="77777777" w:rsidR="00FA4AA8" w:rsidRDefault="00FA4AA8">
            <w:pPr>
              <w:pStyle w:val="TableParagraph"/>
              <w:rPr>
                <w:rFonts w:ascii="Times New Roman"/>
                <w:sz w:val="16"/>
              </w:rPr>
            </w:pPr>
          </w:p>
        </w:tc>
        <w:tc>
          <w:tcPr>
            <w:tcW w:w="1589" w:type="dxa"/>
            <w:tcBorders>
              <w:top w:val="single" w:sz="8" w:space="0" w:color="000000"/>
            </w:tcBorders>
          </w:tcPr>
          <w:p w14:paraId="60748254" w14:textId="77777777" w:rsidR="00FA4AA8" w:rsidRDefault="00FA4AA8">
            <w:pPr>
              <w:pStyle w:val="TableParagraph"/>
              <w:rPr>
                <w:rFonts w:ascii="Times New Roman"/>
                <w:sz w:val="16"/>
              </w:rPr>
            </w:pPr>
          </w:p>
        </w:tc>
      </w:tr>
      <w:tr w:rsidR="00FA4AA8" w14:paraId="56728A45" w14:textId="77777777">
        <w:trPr>
          <w:trHeight w:val="226"/>
        </w:trPr>
        <w:tc>
          <w:tcPr>
            <w:tcW w:w="4036" w:type="dxa"/>
          </w:tcPr>
          <w:p w14:paraId="77F91064" w14:textId="77777777" w:rsidR="00FA4AA8" w:rsidRDefault="0015611F">
            <w:pPr>
              <w:pStyle w:val="TableParagraph"/>
              <w:spacing w:line="204" w:lineRule="exact"/>
              <w:ind w:left="76"/>
              <w:rPr>
                <w:b/>
                <w:sz w:val="18"/>
              </w:rPr>
            </w:pPr>
            <w:r>
              <w:rPr>
                <w:b/>
                <w:sz w:val="18"/>
              </w:rPr>
              <w:t>finance leases</w:t>
            </w:r>
          </w:p>
        </w:tc>
        <w:tc>
          <w:tcPr>
            <w:tcW w:w="1171" w:type="dxa"/>
            <w:tcBorders>
              <w:bottom w:val="single" w:sz="8" w:space="0" w:color="000000"/>
            </w:tcBorders>
          </w:tcPr>
          <w:p w14:paraId="28F6C20B" w14:textId="77777777" w:rsidR="00FA4AA8" w:rsidRDefault="00FA4AA8">
            <w:pPr>
              <w:pStyle w:val="TableParagraph"/>
              <w:rPr>
                <w:rFonts w:ascii="Times New Roman"/>
                <w:sz w:val="16"/>
              </w:rPr>
            </w:pPr>
          </w:p>
        </w:tc>
        <w:tc>
          <w:tcPr>
            <w:tcW w:w="1865" w:type="dxa"/>
            <w:tcBorders>
              <w:bottom w:val="single" w:sz="8" w:space="0" w:color="000000"/>
            </w:tcBorders>
          </w:tcPr>
          <w:p w14:paraId="1D7EE143" w14:textId="77777777" w:rsidR="00FA4AA8" w:rsidRDefault="0015611F">
            <w:pPr>
              <w:pStyle w:val="TableParagraph"/>
              <w:tabs>
                <w:tab w:val="left" w:pos="948"/>
              </w:tabs>
              <w:spacing w:before="23" w:line="183" w:lineRule="exact"/>
              <w:ind w:left="146"/>
              <w:rPr>
                <w:sz w:val="18"/>
              </w:rPr>
            </w:pPr>
            <w:r>
              <w:rPr>
                <w:b/>
                <w:sz w:val="18"/>
              </w:rPr>
              <w:t>-</w:t>
            </w:r>
            <w:r>
              <w:rPr>
                <w:b/>
                <w:sz w:val="18"/>
              </w:rPr>
              <w:tab/>
            </w:r>
            <w:r>
              <w:rPr>
                <w:sz w:val="18"/>
              </w:rPr>
              <w:t>42,990</w:t>
            </w:r>
          </w:p>
        </w:tc>
        <w:tc>
          <w:tcPr>
            <w:tcW w:w="895" w:type="dxa"/>
            <w:tcBorders>
              <w:bottom w:val="single" w:sz="8" w:space="0" w:color="000000"/>
            </w:tcBorders>
          </w:tcPr>
          <w:p w14:paraId="279482D6" w14:textId="77777777" w:rsidR="00FA4AA8" w:rsidRDefault="00FA4AA8">
            <w:pPr>
              <w:pStyle w:val="TableParagraph"/>
              <w:rPr>
                <w:rFonts w:ascii="Times New Roman"/>
                <w:sz w:val="16"/>
              </w:rPr>
            </w:pPr>
          </w:p>
        </w:tc>
        <w:tc>
          <w:tcPr>
            <w:tcW w:w="1589" w:type="dxa"/>
            <w:tcBorders>
              <w:bottom w:val="single" w:sz="8" w:space="0" w:color="000000"/>
            </w:tcBorders>
          </w:tcPr>
          <w:p w14:paraId="076C07C3" w14:textId="77777777" w:rsidR="00FA4AA8" w:rsidRDefault="0015611F">
            <w:pPr>
              <w:pStyle w:val="TableParagraph"/>
              <w:tabs>
                <w:tab w:val="left" w:pos="862"/>
              </w:tabs>
              <w:spacing w:before="23" w:line="183" w:lineRule="exact"/>
              <w:ind w:left="60"/>
              <w:jc w:val="center"/>
              <w:rPr>
                <w:sz w:val="18"/>
              </w:rPr>
            </w:pPr>
            <w:r>
              <w:rPr>
                <w:b/>
                <w:sz w:val="18"/>
              </w:rPr>
              <w:t>-</w:t>
            </w:r>
            <w:r>
              <w:rPr>
                <w:b/>
                <w:sz w:val="18"/>
              </w:rPr>
              <w:tab/>
            </w:r>
            <w:r>
              <w:rPr>
                <w:sz w:val="18"/>
              </w:rPr>
              <w:t>18,115</w:t>
            </w:r>
          </w:p>
        </w:tc>
      </w:tr>
      <w:tr w:rsidR="00FA4AA8" w14:paraId="08FA62D2" w14:textId="77777777">
        <w:trPr>
          <w:trHeight w:val="269"/>
        </w:trPr>
        <w:tc>
          <w:tcPr>
            <w:tcW w:w="4036" w:type="dxa"/>
          </w:tcPr>
          <w:p w14:paraId="032F6F62" w14:textId="77777777" w:rsidR="00FA4AA8" w:rsidRDefault="0015611F">
            <w:pPr>
              <w:pStyle w:val="TableParagraph"/>
              <w:spacing w:before="33"/>
              <w:ind w:left="76"/>
              <w:rPr>
                <w:sz w:val="18"/>
              </w:rPr>
            </w:pPr>
            <w:r>
              <w:rPr>
                <w:sz w:val="18"/>
              </w:rPr>
              <w:t>Less: unearned finance income</w:t>
            </w:r>
          </w:p>
        </w:tc>
        <w:tc>
          <w:tcPr>
            <w:tcW w:w="1171" w:type="dxa"/>
            <w:tcBorders>
              <w:top w:val="single" w:sz="8" w:space="0" w:color="000000"/>
            </w:tcBorders>
          </w:tcPr>
          <w:p w14:paraId="4DD0AECF" w14:textId="77777777" w:rsidR="00FA4AA8" w:rsidRDefault="00FA4AA8">
            <w:pPr>
              <w:pStyle w:val="TableParagraph"/>
              <w:rPr>
                <w:rFonts w:ascii="Times New Roman"/>
                <w:sz w:val="18"/>
              </w:rPr>
            </w:pPr>
          </w:p>
        </w:tc>
        <w:tc>
          <w:tcPr>
            <w:tcW w:w="1865" w:type="dxa"/>
            <w:tcBorders>
              <w:top w:val="single" w:sz="8" w:space="0" w:color="000000"/>
            </w:tcBorders>
          </w:tcPr>
          <w:p w14:paraId="59CF1B7C" w14:textId="77777777" w:rsidR="00FA4AA8" w:rsidRDefault="0015611F">
            <w:pPr>
              <w:pStyle w:val="TableParagraph"/>
              <w:tabs>
                <w:tab w:val="left" w:pos="888"/>
              </w:tabs>
              <w:spacing w:before="31"/>
              <w:ind w:left="146"/>
              <w:rPr>
                <w:sz w:val="18"/>
              </w:rPr>
            </w:pPr>
            <w:r>
              <w:rPr>
                <w:b/>
                <w:sz w:val="18"/>
              </w:rPr>
              <w:t>-</w:t>
            </w:r>
            <w:r>
              <w:rPr>
                <w:b/>
                <w:sz w:val="18"/>
              </w:rPr>
              <w:tab/>
            </w:r>
            <w:r>
              <w:rPr>
                <w:sz w:val="18"/>
              </w:rPr>
              <w:t>(24,875)</w:t>
            </w:r>
          </w:p>
        </w:tc>
        <w:tc>
          <w:tcPr>
            <w:tcW w:w="895" w:type="dxa"/>
            <w:tcBorders>
              <w:top w:val="single" w:sz="8" w:space="0" w:color="000000"/>
            </w:tcBorders>
          </w:tcPr>
          <w:p w14:paraId="795E3E2F" w14:textId="77777777" w:rsidR="00FA4AA8" w:rsidRDefault="00FA4AA8">
            <w:pPr>
              <w:pStyle w:val="TableParagraph"/>
              <w:rPr>
                <w:rFonts w:ascii="Times New Roman"/>
                <w:sz w:val="18"/>
              </w:rPr>
            </w:pPr>
          </w:p>
        </w:tc>
        <w:tc>
          <w:tcPr>
            <w:tcW w:w="1589" w:type="dxa"/>
            <w:tcBorders>
              <w:top w:val="single" w:sz="8" w:space="0" w:color="000000"/>
            </w:tcBorders>
          </w:tcPr>
          <w:p w14:paraId="2F847E9F" w14:textId="77777777" w:rsidR="00FA4AA8" w:rsidRDefault="0015611F">
            <w:pPr>
              <w:pStyle w:val="TableParagraph"/>
              <w:tabs>
                <w:tab w:val="left" w:pos="1356"/>
              </w:tabs>
              <w:spacing w:before="31"/>
              <w:ind w:left="60"/>
              <w:jc w:val="center"/>
              <w:rPr>
                <w:sz w:val="18"/>
              </w:rPr>
            </w:pPr>
            <w:r>
              <w:rPr>
                <w:b/>
                <w:sz w:val="18"/>
              </w:rPr>
              <w:t>-</w:t>
            </w:r>
            <w:r>
              <w:rPr>
                <w:b/>
                <w:sz w:val="18"/>
              </w:rPr>
              <w:tab/>
            </w:r>
            <w:r>
              <w:rPr>
                <w:sz w:val="18"/>
              </w:rPr>
              <w:t>-</w:t>
            </w:r>
          </w:p>
        </w:tc>
      </w:tr>
      <w:tr w:rsidR="00FA4AA8" w14:paraId="6A5B356E" w14:textId="77777777">
        <w:trPr>
          <w:trHeight w:val="459"/>
        </w:trPr>
        <w:tc>
          <w:tcPr>
            <w:tcW w:w="4036" w:type="dxa"/>
          </w:tcPr>
          <w:p w14:paraId="08ADC997" w14:textId="77777777" w:rsidR="00FA4AA8" w:rsidRDefault="0015611F">
            <w:pPr>
              <w:pStyle w:val="TableParagraph"/>
              <w:spacing w:before="23"/>
              <w:ind w:left="76" w:right="538"/>
              <w:rPr>
                <w:sz w:val="18"/>
              </w:rPr>
            </w:pPr>
            <w:r>
              <w:rPr>
                <w:sz w:val="18"/>
              </w:rPr>
              <w:t>Allowance for uncollectable lease payments</w:t>
            </w:r>
          </w:p>
        </w:tc>
        <w:tc>
          <w:tcPr>
            <w:tcW w:w="1171" w:type="dxa"/>
            <w:tcBorders>
              <w:bottom w:val="single" w:sz="8" w:space="0" w:color="000000"/>
            </w:tcBorders>
          </w:tcPr>
          <w:p w14:paraId="0E1B5B48" w14:textId="77777777" w:rsidR="00FA4AA8" w:rsidRDefault="00FA4AA8">
            <w:pPr>
              <w:pStyle w:val="TableParagraph"/>
              <w:rPr>
                <w:rFonts w:ascii="Times New Roman"/>
                <w:sz w:val="18"/>
              </w:rPr>
            </w:pPr>
          </w:p>
        </w:tc>
        <w:tc>
          <w:tcPr>
            <w:tcW w:w="1865" w:type="dxa"/>
            <w:tcBorders>
              <w:bottom w:val="single" w:sz="8" w:space="0" w:color="000000"/>
            </w:tcBorders>
          </w:tcPr>
          <w:p w14:paraId="4A89A030" w14:textId="77777777" w:rsidR="00FA4AA8" w:rsidRDefault="00FA4AA8">
            <w:pPr>
              <w:pStyle w:val="TableParagraph"/>
              <w:spacing w:before="8"/>
              <w:rPr>
                <w:b/>
                <w:sz w:val="19"/>
              </w:rPr>
            </w:pPr>
          </w:p>
          <w:p w14:paraId="1CD332C6" w14:textId="77777777" w:rsidR="00FA4AA8" w:rsidRDefault="0015611F">
            <w:pPr>
              <w:pStyle w:val="TableParagraph"/>
              <w:tabs>
                <w:tab w:val="left" w:pos="1442"/>
              </w:tabs>
              <w:ind w:left="146"/>
              <w:rPr>
                <w:sz w:val="18"/>
              </w:rPr>
            </w:pPr>
            <w:r>
              <w:rPr>
                <w:b/>
                <w:sz w:val="18"/>
              </w:rPr>
              <w:t>-</w:t>
            </w:r>
            <w:r>
              <w:rPr>
                <w:b/>
                <w:sz w:val="18"/>
              </w:rPr>
              <w:tab/>
            </w:r>
            <w:r>
              <w:rPr>
                <w:sz w:val="18"/>
              </w:rPr>
              <w:t>-</w:t>
            </w:r>
          </w:p>
        </w:tc>
        <w:tc>
          <w:tcPr>
            <w:tcW w:w="895" w:type="dxa"/>
            <w:tcBorders>
              <w:bottom w:val="single" w:sz="8" w:space="0" w:color="000000"/>
            </w:tcBorders>
          </w:tcPr>
          <w:p w14:paraId="6D4F8788" w14:textId="77777777" w:rsidR="00FA4AA8" w:rsidRDefault="00FA4AA8">
            <w:pPr>
              <w:pStyle w:val="TableParagraph"/>
              <w:rPr>
                <w:rFonts w:ascii="Times New Roman"/>
                <w:sz w:val="18"/>
              </w:rPr>
            </w:pPr>
          </w:p>
        </w:tc>
        <w:tc>
          <w:tcPr>
            <w:tcW w:w="1589" w:type="dxa"/>
            <w:tcBorders>
              <w:bottom w:val="single" w:sz="8" w:space="0" w:color="000000"/>
            </w:tcBorders>
          </w:tcPr>
          <w:p w14:paraId="1F0F4FB0" w14:textId="77777777" w:rsidR="00FA4AA8" w:rsidRDefault="00FA4AA8">
            <w:pPr>
              <w:pStyle w:val="TableParagraph"/>
              <w:spacing w:before="8"/>
              <w:rPr>
                <w:b/>
                <w:sz w:val="19"/>
              </w:rPr>
            </w:pPr>
          </w:p>
          <w:p w14:paraId="2970E057" w14:textId="77777777" w:rsidR="00FA4AA8" w:rsidRDefault="0015611F">
            <w:pPr>
              <w:pStyle w:val="TableParagraph"/>
              <w:tabs>
                <w:tab w:val="left" w:pos="1356"/>
              </w:tabs>
              <w:ind w:left="60"/>
              <w:jc w:val="center"/>
              <w:rPr>
                <w:sz w:val="18"/>
              </w:rPr>
            </w:pPr>
            <w:r>
              <w:rPr>
                <w:b/>
                <w:sz w:val="18"/>
              </w:rPr>
              <w:t>-</w:t>
            </w:r>
            <w:r>
              <w:rPr>
                <w:b/>
                <w:sz w:val="18"/>
              </w:rPr>
              <w:tab/>
            </w:r>
            <w:r>
              <w:rPr>
                <w:sz w:val="18"/>
              </w:rPr>
              <w:t>-</w:t>
            </w:r>
          </w:p>
        </w:tc>
      </w:tr>
      <w:tr w:rsidR="00FA4AA8" w14:paraId="2F9AE17F" w14:textId="77777777">
        <w:trPr>
          <w:trHeight w:val="320"/>
        </w:trPr>
        <w:tc>
          <w:tcPr>
            <w:tcW w:w="4036" w:type="dxa"/>
          </w:tcPr>
          <w:p w14:paraId="481DB645" w14:textId="77777777" w:rsidR="00FA4AA8" w:rsidRDefault="0015611F">
            <w:pPr>
              <w:pStyle w:val="TableParagraph"/>
              <w:spacing w:before="88"/>
              <w:ind w:left="76"/>
              <w:rPr>
                <w:b/>
                <w:sz w:val="18"/>
              </w:rPr>
            </w:pPr>
            <w:r>
              <w:rPr>
                <w:b/>
                <w:sz w:val="18"/>
              </w:rPr>
              <w:t>Finance lease receivable</w:t>
            </w:r>
          </w:p>
        </w:tc>
        <w:tc>
          <w:tcPr>
            <w:tcW w:w="1171" w:type="dxa"/>
            <w:tcBorders>
              <w:top w:val="single" w:sz="8" w:space="0" w:color="000000"/>
              <w:bottom w:val="double" w:sz="2" w:space="0" w:color="000000"/>
            </w:tcBorders>
          </w:tcPr>
          <w:p w14:paraId="36E651D4" w14:textId="77777777" w:rsidR="00FA4AA8" w:rsidRDefault="00FA4AA8">
            <w:pPr>
              <w:pStyle w:val="TableParagraph"/>
              <w:rPr>
                <w:rFonts w:ascii="Times New Roman"/>
                <w:sz w:val="18"/>
              </w:rPr>
            </w:pPr>
          </w:p>
        </w:tc>
        <w:tc>
          <w:tcPr>
            <w:tcW w:w="1865" w:type="dxa"/>
            <w:tcBorders>
              <w:top w:val="single" w:sz="8" w:space="0" w:color="000000"/>
              <w:bottom w:val="double" w:sz="2" w:space="0" w:color="000000"/>
            </w:tcBorders>
          </w:tcPr>
          <w:p w14:paraId="3CDE06E9" w14:textId="77777777" w:rsidR="00FA4AA8" w:rsidRDefault="0015611F">
            <w:pPr>
              <w:pStyle w:val="TableParagraph"/>
              <w:tabs>
                <w:tab w:val="left" w:pos="948"/>
              </w:tabs>
              <w:spacing w:before="115" w:line="185" w:lineRule="exact"/>
              <w:ind w:left="146"/>
              <w:rPr>
                <w:sz w:val="18"/>
              </w:rPr>
            </w:pPr>
            <w:r>
              <w:rPr>
                <w:b/>
                <w:sz w:val="18"/>
              </w:rPr>
              <w:t>-</w:t>
            </w:r>
            <w:r>
              <w:rPr>
                <w:b/>
                <w:sz w:val="18"/>
              </w:rPr>
              <w:tab/>
            </w:r>
            <w:r>
              <w:rPr>
                <w:sz w:val="18"/>
              </w:rPr>
              <w:t>18,115</w:t>
            </w:r>
          </w:p>
        </w:tc>
        <w:tc>
          <w:tcPr>
            <w:tcW w:w="895" w:type="dxa"/>
            <w:tcBorders>
              <w:top w:val="single" w:sz="8" w:space="0" w:color="000000"/>
              <w:bottom w:val="double" w:sz="2" w:space="0" w:color="000000"/>
            </w:tcBorders>
          </w:tcPr>
          <w:p w14:paraId="2CBBEAC4" w14:textId="77777777" w:rsidR="00FA4AA8" w:rsidRDefault="00FA4AA8">
            <w:pPr>
              <w:pStyle w:val="TableParagraph"/>
              <w:rPr>
                <w:rFonts w:ascii="Times New Roman"/>
                <w:sz w:val="18"/>
              </w:rPr>
            </w:pPr>
          </w:p>
        </w:tc>
        <w:tc>
          <w:tcPr>
            <w:tcW w:w="1589" w:type="dxa"/>
            <w:tcBorders>
              <w:top w:val="single" w:sz="8" w:space="0" w:color="000000"/>
              <w:bottom w:val="double" w:sz="2" w:space="0" w:color="000000"/>
            </w:tcBorders>
          </w:tcPr>
          <w:p w14:paraId="402A3E0A" w14:textId="77777777" w:rsidR="00FA4AA8" w:rsidRDefault="0015611F">
            <w:pPr>
              <w:pStyle w:val="TableParagraph"/>
              <w:tabs>
                <w:tab w:val="left" w:pos="862"/>
              </w:tabs>
              <w:spacing w:before="115" w:line="185" w:lineRule="exact"/>
              <w:ind w:left="60"/>
              <w:jc w:val="center"/>
              <w:rPr>
                <w:sz w:val="18"/>
              </w:rPr>
            </w:pPr>
            <w:r>
              <w:rPr>
                <w:b/>
                <w:sz w:val="18"/>
              </w:rPr>
              <w:t>-</w:t>
            </w:r>
            <w:r>
              <w:rPr>
                <w:b/>
                <w:sz w:val="18"/>
              </w:rPr>
              <w:tab/>
            </w:r>
            <w:r>
              <w:rPr>
                <w:sz w:val="18"/>
              </w:rPr>
              <w:t>18,115</w:t>
            </w:r>
          </w:p>
        </w:tc>
      </w:tr>
      <w:tr w:rsidR="00FA4AA8" w14:paraId="714EEA2F" w14:textId="77777777">
        <w:trPr>
          <w:trHeight w:val="667"/>
        </w:trPr>
        <w:tc>
          <w:tcPr>
            <w:tcW w:w="4036" w:type="dxa"/>
          </w:tcPr>
          <w:p w14:paraId="63C99323" w14:textId="77777777" w:rsidR="00FA4AA8" w:rsidRDefault="00FA4AA8">
            <w:pPr>
              <w:pStyle w:val="TableParagraph"/>
              <w:rPr>
                <w:b/>
                <w:sz w:val="27"/>
              </w:rPr>
            </w:pPr>
          </w:p>
          <w:p w14:paraId="471E82ED" w14:textId="77777777" w:rsidR="00FA4AA8" w:rsidRDefault="0015611F">
            <w:pPr>
              <w:pStyle w:val="TableParagraph"/>
              <w:spacing w:before="1"/>
              <w:ind w:left="50"/>
              <w:rPr>
                <w:i/>
                <w:sz w:val="18"/>
              </w:rPr>
            </w:pPr>
            <w:r>
              <w:rPr>
                <w:i/>
                <w:sz w:val="18"/>
                <w:u w:val="single"/>
              </w:rPr>
              <w:t>Accounting Policy</w:t>
            </w:r>
          </w:p>
        </w:tc>
        <w:tc>
          <w:tcPr>
            <w:tcW w:w="1171" w:type="dxa"/>
            <w:tcBorders>
              <w:top w:val="double" w:sz="2" w:space="0" w:color="000000"/>
            </w:tcBorders>
          </w:tcPr>
          <w:p w14:paraId="7891966F" w14:textId="77777777" w:rsidR="00FA4AA8" w:rsidRDefault="00FA4AA8">
            <w:pPr>
              <w:pStyle w:val="TableParagraph"/>
              <w:rPr>
                <w:rFonts w:ascii="Times New Roman"/>
                <w:sz w:val="18"/>
              </w:rPr>
            </w:pPr>
          </w:p>
        </w:tc>
        <w:tc>
          <w:tcPr>
            <w:tcW w:w="1865" w:type="dxa"/>
            <w:tcBorders>
              <w:top w:val="double" w:sz="2" w:space="0" w:color="000000"/>
            </w:tcBorders>
          </w:tcPr>
          <w:p w14:paraId="04452673" w14:textId="77777777" w:rsidR="00FA4AA8" w:rsidRDefault="00FA4AA8">
            <w:pPr>
              <w:pStyle w:val="TableParagraph"/>
              <w:rPr>
                <w:rFonts w:ascii="Times New Roman"/>
                <w:sz w:val="18"/>
              </w:rPr>
            </w:pPr>
          </w:p>
        </w:tc>
        <w:tc>
          <w:tcPr>
            <w:tcW w:w="895" w:type="dxa"/>
            <w:tcBorders>
              <w:top w:val="double" w:sz="2" w:space="0" w:color="000000"/>
            </w:tcBorders>
          </w:tcPr>
          <w:p w14:paraId="6BE0C2A5" w14:textId="77777777" w:rsidR="00FA4AA8" w:rsidRDefault="00FA4AA8">
            <w:pPr>
              <w:pStyle w:val="TableParagraph"/>
              <w:rPr>
                <w:rFonts w:ascii="Times New Roman"/>
                <w:sz w:val="18"/>
              </w:rPr>
            </w:pPr>
          </w:p>
        </w:tc>
        <w:tc>
          <w:tcPr>
            <w:tcW w:w="1589" w:type="dxa"/>
            <w:tcBorders>
              <w:top w:val="double" w:sz="2" w:space="0" w:color="000000"/>
            </w:tcBorders>
          </w:tcPr>
          <w:p w14:paraId="28982EFA" w14:textId="77777777" w:rsidR="00FA4AA8" w:rsidRDefault="00FA4AA8">
            <w:pPr>
              <w:pStyle w:val="TableParagraph"/>
              <w:rPr>
                <w:rFonts w:ascii="Times New Roman"/>
                <w:sz w:val="18"/>
              </w:rPr>
            </w:pPr>
          </w:p>
        </w:tc>
      </w:tr>
      <w:tr w:rsidR="00FA4AA8" w14:paraId="7181C312" w14:textId="77777777">
        <w:trPr>
          <w:trHeight w:val="350"/>
        </w:trPr>
        <w:tc>
          <w:tcPr>
            <w:tcW w:w="4036" w:type="dxa"/>
          </w:tcPr>
          <w:p w14:paraId="7B7B0435" w14:textId="77777777" w:rsidR="00FA4AA8" w:rsidRDefault="0015611F">
            <w:pPr>
              <w:pStyle w:val="TableParagraph"/>
              <w:spacing w:before="143" w:line="187" w:lineRule="exact"/>
              <w:ind w:left="50"/>
              <w:rPr>
                <w:b/>
                <w:sz w:val="18"/>
              </w:rPr>
            </w:pPr>
            <w:r>
              <w:rPr>
                <w:b/>
                <w:sz w:val="18"/>
              </w:rPr>
              <w:t>Trade receivables</w:t>
            </w:r>
          </w:p>
        </w:tc>
        <w:tc>
          <w:tcPr>
            <w:tcW w:w="1171" w:type="dxa"/>
          </w:tcPr>
          <w:p w14:paraId="395D5E44" w14:textId="77777777" w:rsidR="00FA4AA8" w:rsidRDefault="00FA4AA8">
            <w:pPr>
              <w:pStyle w:val="TableParagraph"/>
              <w:rPr>
                <w:rFonts w:ascii="Times New Roman"/>
                <w:sz w:val="18"/>
              </w:rPr>
            </w:pPr>
          </w:p>
        </w:tc>
        <w:tc>
          <w:tcPr>
            <w:tcW w:w="1865" w:type="dxa"/>
          </w:tcPr>
          <w:p w14:paraId="4DF617AA" w14:textId="77777777" w:rsidR="00FA4AA8" w:rsidRDefault="00FA4AA8">
            <w:pPr>
              <w:pStyle w:val="TableParagraph"/>
              <w:rPr>
                <w:rFonts w:ascii="Times New Roman"/>
                <w:sz w:val="18"/>
              </w:rPr>
            </w:pPr>
          </w:p>
        </w:tc>
        <w:tc>
          <w:tcPr>
            <w:tcW w:w="895" w:type="dxa"/>
          </w:tcPr>
          <w:p w14:paraId="74F6C11A" w14:textId="77777777" w:rsidR="00FA4AA8" w:rsidRDefault="00FA4AA8">
            <w:pPr>
              <w:pStyle w:val="TableParagraph"/>
              <w:rPr>
                <w:rFonts w:ascii="Times New Roman"/>
                <w:sz w:val="18"/>
              </w:rPr>
            </w:pPr>
          </w:p>
        </w:tc>
        <w:tc>
          <w:tcPr>
            <w:tcW w:w="1589" w:type="dxa"/>
          </w:tcPr>
          <w:p w14:paraId="395AF550" w14:textId="77777777" w:rsidR="00FA4AA8" w:rsidRDefault="00FA4AA8">
            <w:pPr>
              <w:pStyle w:val="TableParagraph"/>
              <w:rPr>
                <w:rFonts w:ascii="Times New Roman"/>
                <w:sz w:val="18"/>
              </w:rPr>
            </w:pPr>
          </w:p>
        </w:tc>
      </w:tr>
    </w:tbl>
    <w:p w14:paraId="1A256E8C" w14:textId="77777777" w:rsidR="00FA4AA8" w:rsidRDefault="00FA4AA8">
      <w:pPr>
        <w:pStyle w:val="BodyText"/>
        <w:spacing w:before="9"/>
        <w:rPr>
          <w:b/>
          <w:sz w:val="16"/>
        </w:rPr>
      </w:pPr>
    </w:p>
    <w:p w14:paraId="290E9EA4" w14:textId="77777777" w:rsidR="00FA4AA8" w:rsidRDefault="0015611F">
      <w:pPr>
        <w:pStyle w:val="BodyText"/>
        <w:spacing w:before="95"/>
        <w:ind w:left="563" w:right="264"/>
      </w:pPr>
      <w:r>
        <w:t>Trade receivables are recognised initially at fair value and subsequently measured at amortised cost using the effective interest method, less provision for impairment. The Group's standard terms of trade is 14 days from the date of recognition with the exception of the deferred government contribution for superannuation.</w:t>
      </w:r>
    </w:p>
    <w:p w14:paraId="30E8D2BE" w14:textId="77777777" w:rsidR="00FA4AA8" w:rsidRDefault="00FA4AA8">
      <w:pPr>
        <w:pStyle w:val="BodyText"/>
        <w:spacing w:before="10"/>
        <w:rPr>
          <w:sz w:val="24"/>
        </w:rPr>
      </w:pPr>
    </w:p>
    <w:p w14:paraId="6EE9A2B4" w14:textId="77777777" w:rsidR="00FA4AA8" w:rsidRDefault="0015611F">
      <w:pPr>
        <w:pStyle w:val="BodyText"/>
        <w:ind w:left="563" w:right="192"/>
      </w:pPr>
      <w:r>
        <w:t xml:space="preserve">Collectability of trade receivables is reviewed on an ongoing basis. The adoption of AASB 9 has fundamentally changed the Western Sydney University’s accounting for impairment losses for trade receivables by replacing AASB139’s incurred loss approach with a forward-looking expected credit loss (ECL) approach. Western Sydney University measures the loss allowance for trade receivables at an amount equal to lifetime expected credit loss (ECL). The ECL on trade receivables are estimated using a provision matrix by reference to past default experience of the debtor and an analysis of the debtor’s current financial position, adjusted for factors that are specific to the debtors, general economic conditions of the industry in which the debtors operate and an assessment of both the current </w:t>
      </w:r>
      <w:r w:rsidR="006B4CA9">
        <w:t>as well</w:t>
      </w:r>
      <w:r>
        <w:t xml:space="preserve"> as the forecast direction of conditions at the reporting</w:t>
      </w:r>
      <w:r>
        <w:rPr>
          <w:spacing w:val="10"/>
        </w:rPr>
        <w:t xml:space="preserve"> </w:t>
      </w:r>
      <w:r>
        <w:t>date.</w:t>
      </w:r>
    </w:p>
    <w:p w14:paraId="1413D1DF" w14:textId="77777777" w:rsidR="00FA4AA8" w:rsidRDefault="00FA4AA8">
      <w:pPr>
        <w:pStyle w:val="BodyText"/>
        <w:spacing w:before="7"/>
        <w:rPr>
          <w:sz w:val="24"/>
        </w:rPr>
      </w:pPr>
    </w:p>
    <w:p w14:paraId="576722DD" w14:textId="77777777" w:rsidR="00FA4AA8" w:rsidRDefault="0015611F">
      <w:pPr>
        <w:pStyle w:val="BodyText"/>
        <w:ind w:left="563" w:right="256"/>
      </w:pPr>
      <w:r>
        <w:t>When a trade receivable is uncollectable the amount of the loss is recognised in the income statement within 'impairment of asset'. Subsequent recoveries of amounts previously written off are credited to 'other revenue' in the income statement.</w:t>
      </w:r>
    </w:p>
    <w:p w14:paraId="2AB163BC" w14:textId="77777777" w:rsidR="00FA4AA8" w:rsidRDefault="00FA4AA8">
      <w:pPr>
        <w:pStyle w:val="BodyText"/>
        <w:spacing w:before="10"/>
        <w:rPr>
          <w:sz w:val="24"/>
        </w:rPr>
      </w:pPr>
    </w:p>
    <w:p w14:paraId="724BE8E7" w14:textId="77777777" w:rsidR="00FA4AA8" w:rsidRDefault="0015611F">
      <w:pPr>
        <w:pStyle w:val="BodyText"/>
        <w:spacing w:before="1"/>
        <w:ind w:left="563"/>
      </w:pPr>
      <w:r>
        <w:t>Refer to note 21 for policies on the classification of Loans and receivables.</w:t>
      </w:r>
    </w:p>
    <w:p w14:paraId="6532DC4D" w14:textId="77777777" w:rsidR="00FA4AA8" w:rsidRDefault="00FA4AA8">
      <w:pPr>
        <w:pStyle w:val="BodyText"/>
        <w:spacing w:before="11"/>
        <w:rPr>
          <w:sz w:val="24"/>
        </w:rPr>
      </w:pPr>
    </w:p>
    <w:p w14:paraId="6B3A75DF" w14:textId="77777777" w:rsidR="00FA4AA8" w:rsidRDefault="0015611F">
      <w:pPr>
        <w:ind w:left="564"/>
        <w:rPr>
          <w:b/>
          <w:sz w:val="18"/>
        </w:rPr>
      </w:pPr>
      <w:r>
        <w:rPr>
          <w:b/>
          <w:sz w:val="18"/>
        </w:rPr>
        <w:t>Prepayments</w:t>
      </w:r>
    </w:p>
    <w:p w14:paraId="3CC8EE8A" w14:textId="77777777" w:rsidR="00FA4AA8" w:rsidRDefault="00FA4AA8">
      <w:pPr>
        <w:pStyle w:val="BodyText"/>
        <w:rPr>
          <w:b/>
          <w:sz w:val="25"/>
        </w:rPr>
      </w:pPr>
    </w:p>
    <w:p w14:paraId="0373E7CC" w14:textId="77777777" w:rsidR="00FA4AA8" w:rsidRDefault="0015611F">
      <w:pPr>
        <w:pStyle w:val="BodyText"/>
        <w:ind w:left="564" w:right="256"/>
      </w:pPr>
      <w:r>
        <w:t>Payments for goods and services which are to be provided in future years are recognised as prepayments. Prepayments are recorded in trade and other receivables in the statement of financial position.</w:t>
      </w:r>
    </w:p>
    <w:p w14:paraId="1090316A" w14:textId="77777777" w:rsidR="00FA4AA8" w:rsidRDefault="00FA4AA8">
      <w:pPr>
        <w:sectPr w:rsidR="00FA4AA8">
          <w:type w:val="continuous"/>
          <w:pgSz w:w="11910" w:h="16840"/>
          <w:pgMar w:top="20" w:right="840" w:bottom="0" w:left="840" w:header="720" w:footer="720" w:gutter="0"/>
          <w:cols w:space="720"/>
        </w:sectPr>
      </w:pPr>
    </w:p>
    <w:p w14:paraId="06C45ABF" w14:textId="77777777" w:rsidR="00FA4AA8" w:rsidRDefault="00FA4AA8">
      <w:pPr>
        <w:pStyle w:val="BodyText"/>
        <w:rPr>
          <w:sz w:val="20"/>
        </w:rPr>
      </w:pPr>
    </w:p>
    <w:p w14:paraId="35D9FD72" w14:textId="77777777" w:rsidR="00FA4AA8" w:rsidRDefault="00FA4AA8">
      <w:pPr>
        <w:pStyle w:val="BodyText"/>
        <w:spacing w:before="10"/>
        <w:rPr>
          <w:sz w:val="29"/>
        </w:rPr>
      </w:pPr>
    </w:p>
    <w:p w14:paraId="06DCD0C4" w14:textId="77777777" w:rsidR="00FA4AA8" w:rsidRDefault="0015611F">
      <w:pPr>
        <w:numPr>
          <w:ilvl w:val="0"/>
          <w:numId w:val="101"/>
        </w:numPr>
        <w:tabs>
          <w:tab w:val="left" w:pos="564"/>
        </w:tabs>
        <w:spacing w:before="94"/>
        <w:ind w:hanging="397"/>
        <w:rPr>
          <w:b/>
          <w:sz w:val="18"/>
        </w:rPr>
      </w:pPr>
      <w:bookmarkStart w:id="43" w:name="18_Non-current_assets_classified_as_held"/>
      <w:bookmarkEnd w:id="43"/>
      <w:r>
        <w:rPr>
          <w:b/>
          <w:sz w:val="18"/>
        </w:rPr>
        <w:t>Non-current assets classified as held for sale</w:t>
      </w:r>
    </w:p>
    <w:p w14:paraId="60419437" w14:textId="77777777" w:rsidR="00FA4AA8" w:rsidRDefault="0015611F">
      <w:pPr>
        <w:tabs>
          <w:tab w:val="left" w:pos="8426"/>
        </w:tabs>
        <w:spacing w:before="33"/>
        <w:ind w:left="5376"/>
        <w:rPr>
          <w:b/>
          <w:sz w:val="18"/>
        </w:rPr>
      </w:pPr>
      <w:r>
        <w:rPr>
          <w:b/>
          <w:sz w:val="18"/>
        </w:rPr>
        <w:t>Consolidated</w:t>
      </w:r>
      <w:r>
        <w:rPr>
          <w:b/>
          <w:sz w:val="18"/>
        </w:rPr>
        <w:tab/>
        <w:t>Parent</w:t>
      </w:r>
    </w:p>
    <w:p w14:paraId="4EDFF7D8" w14:textId="77777777" w:rsidR="00FA4AA8" w:rsidRDefault="00FA4AA8">
      <w:pPr>
        <w:pStyle w:val="BodyText"/>
        <w:spacing w:before="3"/>
        <w:rPr>
          <w:b/>
          <w:sz w:val="6"/>
        </w:rPr>
      </w:pPr>
    </w:p>
    <w:tbl>
      <w:tblPr>
        <w:tblW w:w="0" w:type="auto"/>
        <w:tblInd w:w="547" w:type="dxa"/>
        <w:tblLayout w:type="fixed"/>
        <w:tblCellMar>
          <w:left w:w="0" w:type="dxa"/>
          <w:right w:w="0" w:type="dxa"/>
        </w:tblCellMar>
        <w:tblLook w:val="01E0" w:firstRow="1" w:lastRow="1" w:firstColumn="1" w:lastColumn="1" w:noHBand="0" w:noVBand="0"/>
      </w:tblPr>
      <w:tblGrid>
        <w:gridCol w:w="4012"/>
        <w:gridCol w:w="1626"/>
        <w:gridCol w:w="1380"/>
        <w:gridCol w:w="1380"/>
        <w:gridCol w:w="1134"/>
      </w:tblGrid>
      <w:tr w:rsidR="00FA4AA8" w14:paraId="55B210B4" w14:textId="77777777">
        <w:trPr>
          <w:trHeight w:val="474"/>
        </w:trPr>
        <w:tc>
          <w:tcPr>
            <w:tcW w:w="5638" w:type="dxa"/>
            <w:gridSpan w:val="2"/>
          </w:tcPr>
          <w:p w14:paraId="0133E899" w14:textId="77777777" w:rsidR="00FA4AA8" w:rsidRDefault="0015611F">
            <w:pPr>
              <w:pStyle w:val="TableParagraph"/>
              <w:spacing w:line="201" w:lineRule="exact"/>
              <w:ind w:right="620"/>
              <w:jc w:val="right"/>
              <w:rPr>
                <w:b/>
                <w:sz w:val="18"/>
              </w:rPr>
            </w:pPr>
            <w:r>
              <w:rPr>
                <w:b/>
                <w:sz w:val="18"/>
              </w:rPr>
              <w:t>2018</w:t>
            </w:r>
          </w:p>
          <w:p w14:paraId="3F6EE1DD" w14:textId="77777777" w:rsidR="00FA4AA8" w:rsidRDefault="0015611F">
            <w:pPr>
              <w:pStyle w:val="TableParagraph"/>
              <w:spacing w:before="66" w:line="187" w:lineRule="exact"/>
              <w:ind w:right="599"/>
              <w:jc w:val="right"/>
              <w:rPr>
                <w:b/>
                <w:sz w:val="18"/>
              </w:rPr>
            </w:pPr>
            <w:r>
              <w:rPr>
                <w:b/>
                <w:sz w:val="18"/>
              </w:rPr>
              <w:t>$'000</w:t>
            </w:r>
          </w:p>
        </w:tc>
        <w:tc>
          <w:tcPr>
            <w:tcW w:w="1380" w:type="dxa"/>
          </w:tcPr>
          <w:p w14:paraId="1BDBC28A" w14:textId="77777777" w:rsidR="00FA4AA8" w:rsidRDefault="0015611F">
            <w:pPr>
              <w:pStyle w:val="TableParagraph"/>
              <w:spacing w:line="201" w:lineRule="exact"/>
              <w:ind w:left="270"/>
              <w:rPr>
                <w:b/>
                <w:sz w:val="18"/>
              </w:rPr>
            </w:pPr>
            <w:r>
              <w:rPr>
                <w:b/>
                <w:sz w:val="18"/>
              </w:rPr>
              <w:t>2017</w:t>
            </w:r>
          </w:p>
          <w:p w14:paraId="58C2F29C" w14:textId="77777777" w:rsidR="00FA4AA8" w:rsidRDefault="0015611F">
            <w:pPr>
              <w:pStyle w:val="TableParagraph"/>
              <w:spacing w:before="66" w:line="187" w:lineRule="exact"/>
              <w:ind w:left="248"/>
              <w:rPr>
                <w:b/>
                <w:sz w:val="18"/>
              </w:rPr>
            </w:pPr>
            <w:r>
              <w:rPr>
                <w:b/>
                <w:sz w:val="18"/>
              </w:rPr>
              <w:t>$'000</w:t>
            </w:r>
          </w:p>
        </w:tc>
        <w:tc>
          <w:tcPr>
            <w:tcW w:w="1380" w:type="dxa"/>
          </w:tcPr>
          <w:p w14:paraId="49E239A4" w14:textId="77777777" w:rsidR="00FA4AA8" w:rsidRDefault="0015611F">
            <w:pPr>
              <w:pStyle w:val="TableParagraph"/>
              <w:spacing w:line="201" w:lineRule="exact"/>
              <w:ind w:left="354"/>
              <w:rPr>
                <w:b/>
                <w:sz w:val="18"/>
              </w:rPr>
            </w:pPr>
            <w:r>
              <w:rPr>
                <w:b/>
                <w:sz w:val="18"/>
              </w:rPr>
              <w:t>2018</w:t>
            </w:r>
          </w:p>
          <w:p w14:paraId="06CA22CC" w14:textId="77777777" w:rsidR="00FA4AA8" w:rsidRDefault="0015611F">
            <w:pPr>
              <w:pStyle w:val="TableParagraph"/>
              <w:spacing w:before="66" w:line="187" w:lineRule="exact"/>
              <w:ind w:left="332"/>
              <w:rPr>
                <w:b/>
                <w:sz w:val="18"/>
              </w:rPr>
            </w:pPr>
            <w:r>
              <w:rPr>
                <w:b/>
                <w:sz w:val="18"/>
              </w:rPr>
              <w:t>$'000</w:t>
            </w:r>
          </w:p>
        </w:tc>
        <w:tc>
          <w:tcPr>
            <w:tcW w:w="1134" w:type="dxa"/>
          </w:tcPr>
          <w:p w14:paraId="13A593E6" w14:textId="77777777" w:rsidR="00FA4AA8" w:rsidRDefault="0015611F">
            <w:pPr>
              <w:pStyle w:val="TableParagraph"/>
              <w:spacing w:line="201" w:lineRule="exact"/>
              <w:ind w:left="270"/>
              <w:rPr>
                <w:b/>
                <w:sz w:val="18"/>
              </w:rPr>
            </w:pPr>
            <w:r>
              <w:rPr>
                <w:b/>
                <w:sz w:val="18"/>
              </w:rPr>
              <w:t>2017</w:t>
            </w:r>
          </w:p>
          <w:p w14:paraId="5227A357" w14:textId="77777777" w:rsidR="00FA4AA8" w:rsidRDefault="0015611F">
            <w:pPr>
              <w:pStyle w:val="TableParagraph"/>
              <w:spacing w:before="66" w:line="187" w:lineRule="exact"/>
              <w:ind w:left="248"/>
              <w:rPr>
                <w:b/>
                <w:sz w:val="18"/>
              </w:rPr>
            </w:pPr>
            <w:r>
              <w:rPr>
                <w:b/>
                <w:sz w:val="18"/>
              </w:rPr>
              <w:t>$'000</w:t>
            </w:r>
          </w:p>
        </w:tc>
      </w:tr>
      <w:tr w:rsidR="00FA4AA8" w14:paraId="5464A94C" w14:textId="77777777">
        <w:trPr>
          <w:trHeight w:val="369"/>
        </w:trPr>
        <w:tc>
          <w:tcPr>
            <w:tcW w:w="4012" w:type="dxa"/>
          </w:tcPr>
          <w:p w14:paraId="2B37A9E6" w14:textId="77777777" w:rsidR="00FA4AA8" w:rsidRDefault="0015611F">
            <w:pPr>
              <w:pStyle w:val="TableParagraph"/>
              <w:spacing w:before="146" w:line="204" w:lineRule="exact"/>
              <w:ind w:left="50"/>
              <w:rPr>
                <w:b/>
                <w:sz w:val="18"/>
              </w:rPr>
            </w:pPr>
            <w:r>
              <w:rPr>
                <w:b/>
                <w:sz w:val="18"/>
              </w:rPr>
              <w:t>Non-current assets held for sale</w:t>
            </w:r>
          </w:p>
        </w:tc>
        <w:tc>
          <w:tcPr>
            <w:tcW w:w="1626" w:type="dxa"/>
          </w:tcPr>
          <w:p w14:paraId="117DB499" w14:textId="77777777" w:rsidR="00FA4AA8" w:rsidRDefault="00FA4AA8">
            <w:pPr>
              <w:pStyle w:val="TableParagraph"/>
              <w:rPr>
                <w:rFonts w:ascii="Times New Roman"/>
                <w:sz w:val="18"/>
              </w:rPr>
            </w:pPr>
          </w:p>
        </w:tc>
        <w:tc>
          <w:tcPr>
            <w:tcW w:w="1380" w:type="dxa"/>
          </w:tcPr>
          <w:p w14:paraId="1E861578" w14:textId="77777777" w:rsidR="00FA4AA8" w:rsidRDefault="00FA4AA8">
            <w:pPr>
              <w:pStyle w:val="TableParagraph"/>
              <w:rPr>
                <w:rFonts w:ascii="Times New Roman"/>
                <w:sz w:val="18"/>
              </w:rPr>
            </w:pPr>
          </w:p>
        </w:tc>
        <w:tc>
          <w:tcPr>
            <w:tcW w:w="1380" w:type="dxa"/>
          </w:tcPr>
          <w:p w14:paraId="18F265CD" w14:textId="77777777" w:rsidR="00FA4AA8" w:rsidRDefault="00FA4AA8">
            <w:pPr>
              <w:pStyle w:val="TableParagraph"/>
              <w:rPr>
                <w:rFonts w:ascii="Times New Roman"/>
                <w:sz w:val="18"/>
              </w:rPr>
            </w:pPr>
          </w:p>
        </w:tc>
        <w:tc>
          <w:tcPr>
            <w:tcW w:w="1134" w:type="dxa"/>
          </w:tcPr>
          <w:p w14:paraId="26382EB5" w14:textId="77777777" w:rsidR="00FA4AA8" w:rsidRDefault="00FA4AA8">
            <w:pPr>
              <w:pStyle w:val="TableParagraph"/>
              <w:rPr>
                <w:rFonts w:ascii="Times New Roman"/>
                <w:sz w:val="18"/>
              </w:rPr>
            </w:pPr>
          </w:p>
        </w:tc>
      </w:tr>
      <w:tr w:rsidR="00FA4AA8" w14:paraId="2F7CA11E" w14:textId="77777777">
        <w:trPr>
          <w:trHeight w:val="250"/>
        </w:trPr>
        <w:tc>
          <w:tcPr>
            <w:tcW w:w="4012" w:type="dxa"/>
          </w:tcPr>
          <w:p w14:paraId="34BFB6C1" w14:textId="77777777" w:rsidR="00FA4AA8" w:rsidRDefault="0015611F">
            <w:pPr>
              <w:pStyle w:val="TableParagraph"/>
              <w:spacing w:before="13"/>
              <w:ind w:left="50"/>
              <w:rPr>
                <w:sz w:val="18"/>
              </w:rPr>
            </w:pPr>
            <w:r>
              <w:rPr>
                <w:sz w:val="18"/>
              </w:rPr>
              <w:t>Land</w:t>
            </w:r>
          </w:p>
        </w:tc>
        <w:tc>
          <w:tcPr>
            <w:tcW w:w="1626" w:type="dxa"/>
          </w:tcPr>
          <w:p w14:paraId="39D2E467" w14:textId="77777777" w:rsidR="00FA4AA8" w:rsidRDefault="0015611F">
            <w:pPr>
              <w:pStyle w:val="TableParagraph"/>
              <w:spacing w:before="11"/>
              <w:ind w:right="246"/>
              <w:jc w:val="right"/>
              <w:rPr>
                <w:b/>
                <w:sz w:val="18"/>
              </w:rPr>
            </w:pPr>
            <w:r>
              <w:rPr>
                <w:b/>
                <w:sz w:val="18"/>
              </w:rPr>
              <w:t>5,867</w:t>
            </w:r>
          </w:p>
        </w:tc>
        <w:tc>
          <w:tcPr>
            <w:tcW w:w="1380" w:type="dxa"/>
          </w:tcPr>
          <w:p w14:paraId="6A911889" w14:textId="77777777" w:rsidR="00FA4AA8" w:rsidRDefault="0015611F">
            <w:pPr>
              <w:pStyle w:val="TableParagraph"/>
              <w:spacing w:before="11"/>
              <w:ind w:right="330"/>
              <w:jc w:val="right"/>
              <w:rPr>
                <w:sz w:val="18"/>
              </w:rPr>
            </w:pPr>
            <w:r>
              <w:rPr>
                <w:sz w:val="18"/>
              </w:rPr>
              <w:t>39,671</w:t>
            </w:r>
          </w:p>
        </w:tc>
        <w:tc>
          <w:tcPr>
            <w:tcW w:w="1380" w:type="dxa"/>
          </w:tcPr>
          <w:p w14:paraId="5B6726CB" w14:textId="77777777" w:rsidR="00FA4AA8" w:rsidRDefault="0015611F">
            <w:pPr>
              <w:pStyle w:val="TableParagraph"/>
              <w:spacing w:before="11"/>
              <w:ind w:right="246"/>
              <w:jc w:val="right"/>
              <w:rPr>
                <w:b/>
                <w:sz w:val="18"/>
              </w:rPr>
            </w:pPr>
            <w:r>
              <w:rPr>
                <w:b/>
                <w:sz w:val="18"/>
              </w:rPr>
              <w:t>5,867</w:t>
            </w:r>
          </w:p>
        </w:tc>
        <w:tc>
          <w:tcPr>
            <w:tcW w:w="1134" w:type="dxa"/>
          </w:tcPr>
          <w:p w14:paraId="1F483096" w14:textId="77777777" w:rsidR="00FA4AA8" w:rsidRDefault="0015611F">
            <w:pPr>
              <w:pStyle w:val="TableParagraph"/>
              <w:spacing w:before="11"/>
              <w:ind w:right="84"/>
              <w:jc w:val="right"/>
              <w:rPr>
                <w:sz w:val="18"/>
              </w:rPr>
            </w:pPr>
            <w:r>
              <w:rPr>
                <w:sz w:val="18"/>
              </w:rPr>
              <w:t>39,671</w:t>
            </w:r>
          </w:p>
        </w:tc>
      </w:tr>
      <w:tr w:rsidR="00FA4AA8" w14:paraId="4F272F9A" w14:textId="77777777">
        <w:trPr>
          <w:trHeight w:val="256"/>
        </w:trPr>
        <w:tc>
          <w:tcPr>
            <w:tcW w:w="4012" w:type="dxa"/>
          </w:tcPr>
          <w:p w14:paraId="5B3DBF55" w14:textId="77777777" w:rsidR="00FA4AA8" w:rsidRDefault="0015611F">
            <w:pPr>
              <w:pStyle w:val="TableParagraph"/>
              <w:spacing w:before="26"/>
              <w:ind w:left="50"/>
              <w:rPr>
                <w:sz w:val="18"/>
              </w:rPr>
            </w:pPr>
            <w:r>
              <w:rPr>
                <w:sz w:val="18"/>
              </w:rPr>
              <w:t>Buildings</w:t>
            </w:r>
          </w:p>
        </w:tc>
        <w:tc>
          <w:tcPr>
            <w:tcW w:w="1626" w:type="dxa"/>
            <w:tcBorders>
              <w:bottom w:val="single" w:sz="8" w:space="0" w:color="000000"/>
            </w:tcBorders>
          </w:tcPr>
          <w:p w14:paraId="6AE20C00" w14:textId="77777777" w:rsidR="00FA4AA8" w:rsidRDefault="0015611F">
            <w:pPr>
              <w:pStyle w:val="TableParagraph"/>
              <w:spacing w:before="24"/>
              <w:ind w:right="246"/>
              <w:jc w:val="right"/>
              <w:rPr>
                <w:b/>
                <w:sz w:val="18"/>
              </w:rPr>
            </w:pPr>
            <w:r>
              <w:rPr>
                <w:b/>
                <w:sz w:val="18"/>
              </w:rPr>
              <w:t>-</w:t>
            </w:r>
          </w:p>
        </w:tc>
        <w:tc>
          <w:tcPr>
            <w:tcW w:w="1380" w:type="dxa"/>
            <w:tcBorders>
              <w:bottom w:val="single" w:sz="8" w:space="0" w:color="000000"/>
            </w:tcBorders>
          </w:tcPr>
          <w:p w14:paraId="7CF339F5" w14:textId="77777777" w:rsidR="00FA4AA8" w:rsidRDefault="0015611F">
            <w:pPr>
              <w:pStyle w:val="TableParagraph"/>
              <w:spacing w:before="24"/>
              <w:ind w:right="330"/>
              <w:jc w:val="right"/>
              <w:rPr>
                <w:sz w:val="18"/>
              </w:rPr>
            </w:pPr>
            <w:r>
              <w:rPr>
                <w:sz w:val="18"/>
              </w:rPr>
              <w:t>687</w:t>
            </w:r>
          </w:p>
        </w:tc>
        <w:tc>
          <w:tcPr>
            <w:tcW w:w="1380" w:type="dxa"/>
            <w:tcBorders>
              <w:bottom w:val="single" w:sz="8" w:space="0" w:color="000000"/>
            </w:tcBorders>
          </w:tcPr>
          <w:p w14:paraId="1A0363D1" w14:textId="77777777" w:rsidR="00FA4AA8" w:rsidRDefault="0015611F">
            <w:pPr>
              <w:pStyle w:val="TableParagraph"/>
              <w:spacing w:before="24"/>
              <w:ind w:right="246"/>
              <w:jc w:val="right"/>
              <w:rPr>
                <w:b/>
                <w:sz w:val="18"/>
              </w:rPr>
            </w:pPr>
            <w:r>
              <w:rPr>
                <w:b/>
                <w:sz w:val="18"/>
              </w:rPr>
              <w:t>-</w:t>
            </w:r>
          </w:p>
        </w:tc>
        <w:tc>
          <w:tcPr>
            <w:tcW w:w="1134" w:type="dxa"/>
            <w:tcBorders>
              <w:bottom w:val="single" w:sz="8" w:space="0" w:color="000000"/>
            </w:tcBorders>
          </w:tcPr>
          <w:p w14:paraId="0F190D7D" w14:textId="77777777" w:rsidR="00FA4AA8" w:rsidRDefault="0015611F">
            <w:pPr>
              <w:pStyle w:val="TableParagraph"/>
              <w:spacing w:before="24"/>
              <w:ind w:right="84"/>
              <w:jc w:val="right"/>
              <w:rPr>
                <w:sz w:val="18"/>
              </w:rPr>
            </w:pPr>
            <w:r>
              <w:rPr>
                <w:sz w:val="18"/>
              </w:rPr>
              <w:t>687</w:t>
            </w:r>
          </w:p>
        </w:tc>
      </w:tr>
      <w:tr w:rsidR="00FA4AA8" w14:paraId="33178FAD" w14:textId="77777777">
        <w:trPr>
          <w:trHeight w:val="522"/>
        </w:trPr>
        <w:tc>
          <w:tcPr>
            <w:tcW w:w="4012" w:type="dxa"/>
          </w:tcPr>
          <w:p w14:paraId="2D5A13D1" w14:textId="77777777" w:rsidR="00FA4AA8" w:rsidRDefault="0015611F">
            <w:pPr>
              <w:pStyle w:val="TableParagraph"/>
              <w:spacing w:before="119" w:line="206" w:lineRule="exact"/>
              <w:ind w:left="50" w:right="831"/>
              <w:rPr>
                <w:b/>
                <w:sz w:val="18"/>
              </w:rPr>
            </w:pPr>
            <w:r>
              <w:rPr>
                <w:b/>
                <w:sz w:val="18"/>
              </w:rPr>
              <w:t>Total non-current assets or disposal groups classified as held for sale</w:t>
            </w:r>
          </w:p>
        </w:tc>
        <w:tc>
          <w:tcPr>
            <w:tcW w:w="1626" w:type="dxa"/>
            <w:tcBorders>
              <w:top w:val="single" w:sz="8" w:space="0" w:color="000000"/>
              <w:bottom w:val="single" w:sz="2" w:space="0" w:color="000000"/>
            </w:tcBorders>
          </w:tcPr>
          <w:p w14:paraId="73B70FD7" w14:textId="77777777" w:rsidR="00FA4AA8" w:rsidRDefault="00FA4AA8">
            <w:pPr>
              <w:pStyle w:val="TableParagraph"/>
              <w:spacing w:before="11"/>
              <w:rPr>
                <w:b/>
                <w:sz w:val="27"/>
              </w:rPr>
            </w:pPr>
          </w:p>
          <w:p w14:paraId="50E79FEB" w14:textId="77777777" w:rsidR="00FA4AA8" w:rsidRDefault="0015611F">
            <w:pPr>
              <w:pStyle w:val="TableParagraph"/>
              <w:spacing w:line="181" w:lineRule="exact"/>
              <w:ind w:right="246"/>
              <w:jc w:val="right"/>
              <w:rPr>
                <w:b/>
                <w:sz w:val="18"/>
              </w:rPr>
            </w:pPr>
            <w:r>
              <w:rPr>
                <w:b/>
                <w:sz w:val="18"/>
              </w:rPr>
              <w:t>5,867</w:t>
            </w:r>
          </w:p>
        </w:tc>
        <w:tc>
          <w:tcPr>
            <w:tcW w:w="1380" w:type="dxa"/>
            <w:tcBorders>
              <w:top w:val="single" w:sz="8" w:space="0" w:color="000000"/>
              <w:bottom w:val="single" w:sz="6" w:space="0" w:color="000000"/>
            </w:tcBorders>
          </w:tcPr>
          <w:p w14:paraId="60EEDB1A" w14:textId="77777777" w:rsidR="00FA4AA8" w:rsidRDefault="00FA4AA8">
            <w:pPr>
              <w:pStyle w:val="TableParagraph"/>
              <w:spacing w:before="11"/>
              <w:rPr>
                <w:b/>
                <w:sz w:val="27"/>
              </w:rPr>
            </w:pPr>
          </w:p>
          <w:p w14:paraId="46586164" w14:textId="77777777" w:rsidR="00FA4AA8" w:rsidRDefault="0015611F">
            <w:pPr>
              <w:pStyle w:val="TableParagraph"/>
              <w:spacing w:line="181" w:lineRule="exact"/>
              <w:ind w:right="330"/>
              <w:jc w:val="right"/>
              <w:rPr>
                <w:sz w:val="18"/>
              </w:rPr>
            </w:pPr>
            <w:r>
              <w:rPr>
                <w:sz w:val="18"/>
              </w:rPr>
              <w:t>40,358</w:t>
            </w:r>
          </w:p>
        </w:tc>
        <w:tc>
          <w:tcPr>
            <w:tcW w:w="1380" w:type="dxa"/>
            <w:tcBorders>
              <w:top w:val="single" w:sz="8" w:space="0" w:color="000000"/>
              <w:bottom w:val="thinThickMediumGap" w:sz="2" w:space="0" w:color="000000"/>
            </w:tcBorders>
          </w:tcPr>
          <w:p w14:paraId="479D1737" w14:textId="77777777" w:rsidR="00FA4AA8" w:rsidRDefault="00FA4AA8">
            <w:pPr>
              <w:pStyle w:val="TableParagraph"/>
              <w:spacing w:before="11"/>
              <w:rPr>
                <w:b/>
                <w:sz w:val="27"/>
              </w:rPr>
            </w:pPr>
          </w:p>
          <w:p w14:paraId="7090634F" w14:textId="77777777" w:rsidR="00FA4AA8" w:rsidRDefault="0015611F">
            <w:pPr>
              <w:pStyle w:val="TableParagraph"/>
              <w:spacing w:line="181" w:lineRule="exact"/>
              <w:ind w:right="246"/>
              <w:jc w:val="right"/>
              <w:rPr>
                <w:b/>
                <w:sz w:val="18"/>
              </w:rPr>
            </w:pPr>
            <w:r>
              <w:rPr>
                <w:b/>
                <w:sz w:val="18"/>
              </w:rPr>
              <w:t>5,867</w:t>
            </w:r>
          </w:p>
        </w:tc>
        <w:tc>
          <w:tcPr>
            <w:tcW w:w="1134" w:type="dxa"/>
            <w:tcBorders>
              <w:top w:val="single" w:sz="8" w:space="0" w:color="000000"/>
              <w:bottom w:val="thinThickMediumGap" w:sz="2" w:space="0" w:color="000000"/>
            </w:tcBorders>
          </w:tcPr>
          <w:p w14:paraId="6E3EAEBB" w14:textId="77777777" w:rsidR="00FA4AA8" w:rsidRDefault="00FA4AA8">
            <w:pPr>
              <w:pStyle w:val="TableParagraph"/>
              <w:spacing w:before="11"/>
              <w:rPr>
                <w:b/>
                <w:sz w:val="27"/>
              </w:rPr>
            </w:pPr>
          </w:p>
          <w:p w14:paraId="75C21E76" w14:textId="77777777" w:rsidR="00FA4AA8" w:rsidRDefault="0015611F">
            <w:pPr>
              <w:pStyle w:val="TableParagraph"/>
              <w:spacing w:line="181" w:lineRule="exact"/>
              <w:ind w:right="84"/>
              <w:jc w:val="right"/>
              <w:rPr>
                <w:sz w:val="18"/>
              </w:rPr>
            </w:pPr>
            <w:r>
              <w:rPr>
                <w:sz w:val="18"/>
              </w:rPr>
              <w:t>40,358</w:t>
            </w:r>
          </w:p>
        </w:tc>
      </w:tr>
    </w:tbl>
    <w:p w14:paraId="29EFAE99" w14:textId="77777777" w:rsidR="00FA4AA8" w:rsidRDefault="007E2441">
      <w:pPr>
        <w:pStyle w:val="BodyText"/>
        <w:spacing w:line="20" w:lineRule="exact"/>
        <w:ind w:left="4550"/>
        <w:rPr>
          <w:sz w:val="2"/>
        </w:rPr>
      </w:pPr>
      <w:r>
        <w:rPr>
          <w:noProof/>
          <w:sz w:val="2"/>
          <w:lang w:val="en-AU" w:eastAsia="en-AU"/>
        </w:rPr>
        <mc:AlternateContent>
          <mc:Choice Requires="wpg">
            <w:drawing>
              <wp:inline distT="0" distB="0" distL="0" distR="0" wp14:anchorId="42AD273D" wp14:editId="07C720E9">
                <wp:extent cx="3505200" cy="9525"/>
                <wp:effectExtent l="9525" t="10795" r="9525" b="8255"/>
                <wp:docPr id="2881" name="Group 2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5200" cy="9525"/>
                          <a:chOff x="0" y="0"/>
                          <a:chExt cx="5520" cy="15"/>
                        </a:xfrm>
                      </wpg:grpSpPr>
                      <wps:wsp>
                        <wps:cNvPr id="2882" name="Line 2679"/>
                        <wps:cNvCnPr>
                          <a:cxnSpLocks noChangeShapeType="1"/>
                        </wps:cNvCnPr>
                        <wps:spPr bwMode="auto">
                          <a:xfrm>
                            <a:off x="0" y="11"/>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883" name="Line 2678"/>
                        <wps:cNvCnPr>
                          <a:cxnSpLocks noChangeShapeType="1"/>
                        </wps:cNvCnPr>
                        <wps:spPr bwMode="auto">
                          <a:xfrm>
                            <a:off x="0" y="13"/>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884" name="Line 2677"/>
                        <wps:cNvCnPr>
                          <a:cxnSpLocks noChangeShapeType="1"/>
                        </wps:cNvCnPr>
                        <wps:spPr bwMode="auto">
                          <a:xfrm>
                            <a:off x="168" y="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885" name="Line 2676"/>
                        <wps:cNvCnPr>
                          <a:cxnSpLocks noChangeShapeType="1"/>
                        </wps:cNvCnPr>
                        <wps:spPr bwMode="auto">
                          <a:xfrm>
                            <a:off x="168" y="4"/>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886" name="Line 2675"/>
                        <wps:cNvCnPr>
                          <a:cxnSpLocks noChangeShapeType="1"/>
                        </wps:cNvCnPr>
                        <wps:spPr bwMode="auto">
                          <a:xfrm>
                            <a:off x="168" y="6"/>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887" name="Line 2674"/>
                        <wps:cNvCnPr>
                          <a:cxnSpLocks noChangeShapeType="1"/>
                        </wps:cNvCnPr>
                        <wps:spPr bwMode="auto">
                          <a:xfrm>
                            <a:off x="168" y="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888" name="Line 2673"/>
                        <wps:cNvCnPr>
                          <a:cxnSpLocks noChangeShapeType="1"/>
                        </wps:cNvCnPr>
                        <wps:spPr bwMode="auto">
                          <a:xfrm>
                            <a:off x="168" y="1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889" name="Line 2672"/>
                        <wps:cNvCnPr>
                          <a:cxnSpLocks noChangeShapeType="1"/>
                        </wps:cNvCnPr>
                        <wps:spPr bwMode="auto">
                          <a:xfrm>
                            <a:off x="168" y="1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890" name="Line 2671"/>
                        <wps:cNvCnPr>
                          <a:cxnSpLocks noChangeShapeType="1"/>
                        </wps:cNvCnPr>
                        <wps:spPr bwMode="auto">
                          <a:xfrm>
                            <a:off x="1464" y="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891" name="Line 2670"/>
                        <wps:cNvCnPr>
                          <a:cxnSpLocks noChangeShapeType="1"/>
                        </wps:cNvCnPr>
                        <wps:spPr bwMode="auto">
                          <a:xfrm>
                            <a:off x="1464" y="4"/>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892" name="Line 2669"/>
                        <wps:cNvCnPr>
                          <a:cxnSpLocks noChangeShapeType="1"/>
                        </wps:cNvCnPr>
                        <wps:spPr bwMode="auto">
                          <a:xfrm>
                            <a:off x="1464" y="6"/>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893" name="Line 2668"/>
                        <wps:cNvCnPr>
                          <a:cxnSpLocks noChangeShapeType="1"/>
                        </wps:cNvCnPr>
                        <wps:spPr bwMode="auto">
                          <a:xfrm>
                            <a:off x="1464" y="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894" name="Line 2667"/>
                        <wps:cNvCnPr>
                          <a:cxnSpLocks noChangeShapeType="1"/>
                        </wps:cNvCnPr>
                        <wps:spPr bwMode="auto">
                          <a:xfrm>
                            <a:off x="1464" y="1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895" name="Line 2666"/>
                        <wps:cNvCnPr>
                          <a:cxnSpLocks noChangeShapeType="1"/>
                        </wps:cNvCnPr>
                        <wps:spPr bwMode="auto">
                          <a:xfrm>
                            <a:off x="1464" y="1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896" name="Line 2665"/>
                        <wps:cNvCnPr>
                          <a:cxnSpLocks noChangeShapeType="1"/>
                        </wps:cNvCnPr>
                        <wps:spPr bwMode="auto">
                          <a:xfrm>
                            <a:off x="2760" y="1"/>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897" name="Line 2664"/>
                        <wps:cNvCnPr>
                          <a:cxnSpLocks noChangeShapeType="1"/>
                        </wps:cNvCnPr>
                        <wps:spPr bwMode="auto">
                          <a:xfrm>
                            <a:off x="2760" y="4"/>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898" name="Line 2663"/>
                        <wps:cNvCnPr>
                          <a:cxnSpLocks noChangeShapeType="1"/>
                        </wps:cNvCnPr>
                        <wps:spPr bwMode="auto">
                          <a:xfrm>
                            <a:off x="2760" y="6"/>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899" name="Line 2662"/>
                        <wps:cNvCnPr>
                          <a:cxnSpLocks noChangeShapeType="1"/>
                        </wps:cNvCnPr>
                        <wps:spPr bwMode="auto">
                          <a:xfrm>
                            <a:off x="2760" y="8"/>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900" name="Line 2661"/>
                        <wps:cNvCnPr>
                          <a:cxnSpLocks noChangeShapeType="1"/>
                        </wps:cNvCnPr>
                        <wps:spPr bwMode="auto">
                          <a:xfrm>
                            <a:off x="2760" y="11"/>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901" name="Line 2660"/>
                        <wps:cNvCnPr>
                          <a:cxnSpLocks noChangeShapeType="1"/>
                        </wps:cNvCnPr>
                        <wps:spPr bwMode="auto">
                          <a:xfrm>
                            <a:off x="2760" y="13"/>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902" name="Line 2659"/>
                        <wps:cNvCnPr>
                          <a:cxnSpLocks noChangeShapeType="1"/>
                        </wps:cNvCnPr>
                        <wps:spPr bwMode="auto">
                          <a:xfrm>
                            <a:off x="2928" y="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903" name="Line 2658"/>
                        <wps:cNvCnPr>
                          <a:cxnSpLocks noChangeShapeType="1"/>
                        </wps:cNvCnPr>
                        <wps:spPr bwMode="auto">
                          <a:xfrm>
                            <a:off x="2928" y="4"/>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904" name="Line 2657"/>
                        <wps:cNvCnPr>
                          <a:cxnSpLocks noChangeShapeType="1"/>
                        </wps:cNvCnPr>
                        <wps:spPr bwMode="auto">
                          <a:xfrm>
                            <a:off x="2928" y="6"/>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905" name="Line 2656"/>
                        <wps:cNvCnPr>
                          <a:cxnSpLocks noChangeShapeType="1"/>
                        </wps:cNvCnPr>
                        <wps:spPr bwMode="auto">
                          <a:xfrm>
                            <a:off x="2928" y="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906" name="Line 2655"/>
                        <wps:cNvCnPr>
                          <a:cxnSpLocks noChangeShapeType="1"/>
                        </wps:cNvCnPr>
                        <wps:spPr bwMode="auto">
                          <a:xfrm>
                            <a:off x="2928" y="1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907" name="Line 2654"/>
                        <wps:cNvCnPr>
                          <a:cxnSpLocks noChangeShapeType="1"/>
                        </wps:cNvCnPr>
                        <wps:spPr bwMode="auto">
                          <a:xfrm>
                            <a:off x="2928" y="1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908" name="Line 2653"/>
                        <wps:cNvCnPr>
                          <a:cxnSpLocks noChangeShapeType="1"/>
                        </wps:cNvCnPr>
                        <wps:spPr bwMode="auto">
                          <a:xfrm>
                            <a:off x="4224" y="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909" name="Line 2652"/>
                        <wps:cNvCnPr>
                          <a:cxnSpLocks noChangeShapeType="1"/>
                        </wps:cNvCnPr>
                        <wps:spPr bwMode="auto">
                          <a:xfrm>
                            <a:off x="4224" y="4"/>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910" name="Line 2651"/>
                        <wps:cNvCnPr>
                          <a:cxnSpLocks noChangeShapeType="1"/>
                        </wps:cNvCnPr>
                        <wps:spPr bwMode="auto">
                          <a:xfrm>
                            <a:off x="4224" y="6"/>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911" name="Line 2650"/>
                        <wps:cNvCnPr>
                          <a:cxnSpLocks noChangeShapeType="1"/>
                        </wps:cNvCnPr>
                        <wps:spPr bwMode="auto">
                          <a:xfrm>
                            <a:off x="4224" y="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912" name="Line 2649"/>
                        <wps:cNvCnPr>
                          <a:cxnSpLocks noChangeShapeType="1"/>
                        </wps:cNvCnPr>
                        <wps:spPr bwMode="auto">
                          <a:xfrm>
                            <a:off x="4224" y="1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913" name="Line 2648"/>
                        <wps:cNvCnPr>
                          <a:cxnSpLocks noChangeShapeType="1"/>
                        </wps:cNvCnPr>
                        <wps:spPr bwMode="auto">
                          <a:xfrm>
                            <a:off x="4224" y="1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B6679EE" id="Group 2647" o:spid="_x0000_s1026" style="width:276pt;height:.75pt;mso-position-horizontal-relative:char;mso-position-vertical-relative:line" coordsize="552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">
                <v:line id="Line 2679" o:spid="_x0000_s1027" style="position:absolute;visibility:visible;mso-wrap-style:square" from="0,11" to="16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" strokeweight=".12pt"/>
                <v:line id="Line 2678" o:spid="_x0000_s1028" style="position:absolute;visibility:visible;mso-wrap-style:square" from="0,13" to="1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" strokeweight=".12pt"/>
                <v:line id="Line 2677" o:spid="_x0000_s1029" style="position:absolute;visibility:visible;mso-wrap-style:square" from="168,1" to="1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" strokeweight=".12pt"/>
                <v:line id="Line 2676" o:spid="_x0000_s1030" style="position:absolute;visibility:visible;mso-wrap-style:square" from="168,4" to="14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" strokeweight=".12pt"/>
                <v:line id="Line 2675" o:spid="_x0000_s1031" style="position:absolute;visibility:visible;mso-wrap-style:square" from="168,6" to="14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" strokeweight=".12pt"/>
                <v:line id="Line 2674" o:spid="_x0000_s1032" style="position:absolute;visibility:visible;mso-wrap-style:square" from="168,8" to="14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" strokeweight=".12pt"/>
                <v:line id="Line 2673" o:spid="_x0000_s1033" style="position:absolute;visibility:visible;mso-wrap-style:square" from="168,11" to="146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" strokeweight=".12pt"/>
                <v:line id="Line 2672" o:spid="_x0000_s1034" style="position:absolute;visibility:visible;mso-wrap-style:square" from="168,13" to="146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" strokeweight=".12pt"/>
                <v:line id="Line 2671" o:spid="_x0000_s1035" style="position:absolute;visibility:visible;mso-wrap-style:square" from="1464,1" to="27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" strokeweight=".12pt"/>
                <v:line id="Line 2670" o:spid="_x0000_s1036" style="position:absolute;visibility:visible;mso-wrap-style:square" from="1464,4" to="27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" strokeweight=".12pt"/>
                <v:line id="Line 2669" o:spid="_x0000_s1037" style="position:absolute;visibility:visible;mso-wrap-style:square" from="1464,6" to="27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" strokeweight=".12pt"/>
                <v:line id="Line 2668" o:spid="_x0000_s1038" style="position:absolute;visibility:visible;mso-wrap-style:square" from="1464,8" to="27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" strokeweight=".12pt"/>
                <v:line id="Line 2667" o:spid="_x0000_s1039" style="position:absolute;visibility:visible;mso-wrap-style:square" from="1464,11" to="276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" strokeweight=".12pt"/>
                <v:line id="Line 2666" o:spid="_x0000_s1040" style="position:absolute;visibility:visible;mso-wrap-style:square" from="1464,13" to="276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" strokeweight=".12pt"/>
                <v:line id="Line 2665" o:spid="_x0000_s1041" style="position:absolute;visibility:visible;mso-wrap-style:square" from="2760,1" to="29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" strokeweight=".12pt"/>
                <v:line id="Line 2664" o:spid="_x0000_s1042" style="position:absolute;visibility:visible;mso-wrap-style:square" from="2760,4" to="29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" strokeweight=".12pt"/>
                <v:line id="Line 2663" o:spid="_x0000_s1043" style="position:absolute;visibility:visible;mso-wrap-style:square" from="2760,6" to="29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" strokeweight=".12pt"/>
                <v:line id="Line 2662" o:spid="_x0000_s1044" style="position:absolute;visibility:visible;mso-wrap-style:square" from="2760,8" to="29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" strokeweight=".12pt"/>
                <v:line id="Line 2661" o:spid="_x0000_s1045" style="position:absolute;visibility:visible;mso-wrap-style:square" from="2760,11" to="292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" strokeweight=".12pt"/>
                <v:line id="Line 2660" o:spid="_x0000_s1046" style="position:absolute;visibility:visible;mso-wrap-style:square" from="2760,13" to="292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" strokeweight=".12pt"/>
                <v:line id="Line 2659" o:spid="_x0000_s1047" style="position:absolute;visibility:visible;mso-wrap-style:square" from="2928,1" to="42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" strokeweight=".12pt"/>
                <v:line id="Line 2658" o:spid="_x0000_s1048" style="position:absolute;visibility:visible;mso-wrap-style:square" from="2928,4" to="42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" strokeweight=".12pt"/>
                <v:line id="Line 2657" o:spid="_x0000_s1049" style="position:absolute;visibility:visible;mso-wrap-style:square" from="2928,6" to="42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" strokeweight=".12pt"/>
                <v:line id="Line 2656" o:spid="_x0000_s1050" style="position:absolute;visibility:visible;mso-wrap-style:square" from="2928,8" to="4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" strokeweight=".12pt"/>
                <v:line id="Line 2655" o:spid="_x0000_s1051" style="position:absolute;visibility:visible;mso-wrap-style:square" from="2928,11" to="422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" strokeweight=".12pt"/>
                <v:line id="Line 2654" o:spid="_x0000_s1052" style="position:absolute;visibility:visible;mso-wrap-style:square" from="2928,13" to="422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" strokeweight=".12pt"/>
                <v:line id="Line 2653" o:spid="_x0000_s1053" style="position:absolute;visibility:visible;mso-wrap-style:square" from="4224,1" to="55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" strokeweight=".12pt"/>
                <v:line id="Line 2652" o:spid="_x0000_s1054" style="position:absolute;visibility:visible;mso-wrap-style:square" from="4224,4" to="55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" strokeweight=".12pt"/>
                <v:line id="Line 2651" o:spid="_x0000_s1055" style="position:absolute;visibility:visible;mso-wrap-style:square" from="4224,6" to="55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" strokeweight=".12pt"/>
                <v:line id="Line 2650" o:spid="_x0000_s1056" style="position:absolute;visibility:visible;mso-wrap-style:square" from="4224,8" to="5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" strokeweight=".12pt"/>
                <v:line id="Line 2649" o:spid="_x0000_s1057" style="position:absolute;visibility:visible;mso-wrap-style:square" from="4224,11" to="552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" strokeweight=".12pt"/>
                <v:line id="Line 2648" o:spid="_x0000_s1058" style="position:absolute;visibility:visible;mso-wrap-style:square" from="4224,13" to="552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" strokeweight=".12pt"/>
                <w10:anchorlock/>
              </v:group>
            </w:pict>
          </mc:Fallback>
        </mc:AlternateContent>
      </w:r>
    </w:p>
    <w:p w14:paraId="6B09F9BF" w14:textId="77777777" w:rsidR="00FA4AA8" w:rsidRDefault="00FA4AA8">
      <w:pPr>
        <w:pStyle w:val="BodyText"/>
        <w:spacing w:before="10"/>
        <w:rPr>
          <w:b/>
          <w:sz w:val="17"/>
        </w:rPr>
      </w:pPr>
    </w:p>
    <w:p w14:paraId="78BF103D" w14:textId="77777777" w:rsidR="00FA4AA8" w:rsidRDefault="0015611F">
      <w:pPr>
        <w:pStyle w:val="BodyText"/>
        <w:spacing w:before="94"/>
        <w:ind w:left="564"/>
      </w:pPr>
      <w:r>
        <w:t>In 2017, the University entered into a sales agreement to sell land at its Nirimba campus. Settlement was deferred until April 2019. A gain on settlement of $3.8M will be recognised in 2019. A gain on revaluation of $4.5M was recognised in 2017 in the property development reserve and will be transferred to retained earnings in 2019 when the asset is de- recognised.</w:t>
      </w:r>
    </w:p>
    <w:p w14:paraId="54DEFE1A" w14:textId="77777777" w:rsidR="00FA4AA8" w:rsidRDefault="00FA4AA8">
      <w:pPr>
        <w:pStyle w:val="BodyText"/>
        <w:spacing w:before="10"/>
        <w:rPr>
          <w:sz w:val="24"/>
        </w:rPr>
      </w:pPr>
    </w:p>
    <w:p w14:paraId="09C714B9" w14:textId="77777777" w:rsidR="00FA4AA8" w:rsidRDefault="0015611F">
      <w:pPr>
        <w:pStyle w:val="BodyText"/>
        <w:ind w:left="563" w:right="201"/>
      </w:pPr>
      <w:r>
        <w:t xml:space="preserve">In 2016, the University entered into a sales agreement to sell land at its Westmead campus. Settlement of Lot 4 </w:t>
      </w:r>
      <w:r w:rsidR="006B4CA9">
        <w:t>occurred</w:t>
      </w:r>
      <w:r>
        <w:t xml:space="preserve"> in January 2018, with a gain on settlement of $15.5M recognised in the Statement of Comprehensive Income. The remaining gain on revaluation of $27.6M recognised in 2016 in the property development reserve was transferred to retained earnings in 2018 when the asset was de-recognised.</w:t>
      </w:r>
    </w:p>
    <w:p w14:paraId="3572B88D" w14:textId="77777777" w:rsidR="00FA4AA8" w:rsidRDefault="00FA4AA8">
      <w:pPr>
        <w:pStyle w:val="BodyText"/>
        <w:spacing w:before="6"/>
        <w:rPr>
          <w:sz w:val="26"/>
        </w:rPr>
      </w:pPr>
    </w:p>
    <w:p w14:paraId="0D1ECDAC" w14:textId="77777777" w:rsidR="00FA4AA8" w:rsidRDefault="0015611F">
      <w:pPr>
        <w:ind w:left="564"/>
        <w:rPr>
          <w:i/>
          <w:sz w:val="18"/>
        </w:rPr>
      </w:pPr>
      <w:r>
        <w:rPr>
          <w:i/>
          <w:sz w:val="18"/>
          <w:u w:val="single"/>
        </w:rPr>
        <w:t>Accounting Policy</w:t>
      </w:r>
    </w:p>
    <w:p w14:paraId="71C4E7CB" w14:textId="77777777" w:rsidR="00FA4AA8" w:rsidRDefault="00FA4AA8">
      <w:pPr>
        <w:pStyle w:val="BodyText"/>
        <w:spacing w:before="2"/>
        <w:rPr>
          <w:i/>
          <w:sz w:val="17"/>
        </w:rPr>
      </w:pPr>
    </w:p>
    <w:p w14:paraId="29FD4C4F" w14:textId="77777777" w:rsidR="00FA4AA8" w:rsidRDefault="0015611F">
      <w:pPr>
        <w:pStyle w:val="BodyText"/>
        <w:spacing w:before="95"/>
        <w:ind w:left="564" w:right="256"/>
      </w:pPr>
      <w:r>
        <w:t>Non-current assets (or disposal groups) are classified as held for sale and stated at the lower of their carrying amount and fair value less costs of disposal if their carrying amount will be recovered principally through a sale transaction rather than through continuing use.</w:t>
      </w:r>
    </w:p>
    <w:p w14:paraId="75654C63" w14:textId="77777777" w:rsidR="00FA4AA8" w:rsidRDefault="00FA4AA8">
      <w:pPr>
        <w:pStyle w:val="BodyText"/>
        <w:spacing w:before="10"/>
        <w:rPr>
          <w:sz w:val="24"/>
        </w:rPr>
      </w:pPr>
    </w:p>
    <w:p w14:paraId="4A305C10" w14:textId="77777777" w:rsidR="00FA4AA8" w:rsidRDefault="0015611F">
      <w:pPr>
        <w:pStyle w:val="BodyText"/>
        <w:ind w:left="564" w:right="256"/>
      </w:pPr>
      <w:r>
        <w:t xml:space="preserve">An impairment loss is recognised for any initial or subsequent write down of the asset (or disposal group) to fair value less costs to sell. A gain is recognised for any subsequent increases in fair value less costs to sell of an asset (or disposal group), but not in excess of any cumulative impairment loss previously recognised. A gain or loss not previously recognised by the date of the sale of the non current asset (or disposal group) is recognised at the date of </w:t>
      </w:r>
      <w:r w:rsidR="006B4CA9">
        <w:t>DE recognition</w:t>
      </w:r>
      <w:r>
        <w:t>.</w:t>
      </w:r>
    </w:p>
    <w:p w14:paraId="3C48B372" w14:textId="77777777" w:rsidR="00FA4AA8" w:rsidRDefault="00FA4AA8">
      <w:pPr>
        <w:pStyle w:val="BodyText"/>
        <w:spacing w:before="9"/>
        <w:rPr>
          <w:sz w:val="24"/>
        </w:rPr>
      </w:pPr>
    </w:p>
    <w:p w14:paraId="4C18E9E4" w14:textId="77777777" w:rsidR="00FA4AA8" w:rsidRDefault="0015611F">
      <w:pPr>
        <w:pStyle w:val="BodyText"/>
        <w:ind w:left="564" w:right="256"/>
      </w:pPr>
      <w:r>
        <w:t>Non-current assets (including those that are part of a disposal group) are not depreciated or amortised while they are classified as held for sale. Interest and other expenses attributable to the liabilities of a disposal group classified as held for sale continue to be recognised.</w:t>
      </w:r>
    </w:p>
    <w:p w14:paraId="72D1A29F" w14:textId="77777777" w:rsidR="00FA4AA8" w:rsidRDefault="00FA4AA8">
      <w:pPr>
        <w:pStyle w:val="BodyText"/>
        <w:spacing w:before="10"/>
        <w:rPr>
          <w:sz w:val="24"/>
        </w:rPr>
      </w:pPr>
    </w:p>
    <w:p w14:paraId="6F58A2F2" w14:textId="77777777" w:rsidR="00FA4AA8" w:rsidRDefault="0015611F">
      <w:pPr>
        <w:pStyle w:val="BodyText"/>
        <w:ind w:left="563" w:right="256"/>
      </w:pPr>
      <w:r>
        <w:t>Non-current assets classified as held for sale and the assets of a disposal group classified as held for sale are presented separately from the other assets in the statement of financial position. The liabilities of a disposal group classified as held for sale are presented separately from other liabilities in the statement of financial position.</w:t>
      </w:r>
    </w:p>
    <w:p w14:paraId="3670216A" w14:textId="77777777" w:rsidR="00FA4AA8" w:rsidRDefault="00FA4AA8">
      <w:pPr>
        <w:sectPr w:rsidR="00FA4AA8">
          <w:pgSz w:w="11910" w:h="16840"/>
          <w:pgMar w:top="2220" w:right="840" w:bottom="720" w:left="840" w:header="1016" w:footer="523" w:gutter="0"/>
          <w:cols w:space="720"/>
        </w:sectPr>
      </w:pPr>
    </w:p>
    <w:p w14:paraId="06BEB0F5" w14:textId="77777777" w:rsidR="00FA4AA8" w:rsidRDefault="007E2441">
      <w:pPr>
        <w:pStyle w:val="BodyText"/>
        <w:rPr>
          <w:sz w:val="20"/>
        </w:rPr>
      </w:pPr>
      <w:r>
        <w:rPr>
          <w:noProof/>
          <w:lang w:val="en-AU" w:eastAsia="en-AU"/>
        </w:rPr>
        <mc:AlternateContent>
          <mc:Choice Requires="wpg">
            <w:drawing>
              <wp:anchor distT="0" distB="0" distL="114300" distR="114300" simplePos="0" relativeHeight="15744512" behindDoc="0" locked="0" layoutInCell="1" allowOverlap="1" wp14:anchorId="7D4644A3" wp14:editId="0BC411B0">
                <wp:simplePos x="0" y="0"/>
                <wp:positionH relativeFrom="page">
                  <wp:posOffset>5685790</wp:posOffset>
                </wp:positionH>
                <wp:positionV relativeFrom="page">
                  <wp:posOffset>6452870</wp:posOffset>
                </wp:positionV>
                <wp:extent cx="2100580" cy="4445"/>
                <wp:effectExtent l="0" t="0" r="0" b="0"/>
                <wp:wrapNone/>
                <wp:docPr id="2848" name="Group 2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0580" cy="4445"/>
                          <a:chOff x="8954" y="10162"/>
                          <a:chExt cx="6893" cy="15"/>
                        </a:xfrm>
                      </wpg:grpSpPr>
                      <wps:wsp>
                        <wps:cNvPr id="2849" name="Line 2646"/>
                        <wps:cNvCnPr>
                          <a:cxnSpLocks noChangeShapeType="1"/>
                        </wps:cNvCnPr>
                        <wps:spPr bwMode="auto">
                          <a:xfrm>
                            <a:off x="8954" y="10173"/>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850" name="Line 2645"/>
                        <wps:cNvCnPr>
                          <a:cxnSpLocks noChangeShapeType="1"/>
                        </wps:cNvCnPr>
                        <wps:spPr bwMode="auto">
                          <a:xfrm>
                            <a:off x="8954" y="10175"/>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851" name="Line 2644"/>
                        <wps:cNvCnPr>
                          <a:cxnSpLocks noChangeShapeType="1"/>
                        </wps:cNvCnPr>
                        <wps:spPr bwMode="auto">
                          <a:xfrm>
                            <a:off x="10087" y="10163"/>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852" name="Line 2643"/>
                        <wps:cNvCnPr>
                          <a:cxnSpLocks noChangeShapeType="1"/>
                        </wps:cNvCnPr>
                        <wps:spPr bwMode="auto">
                          <a:xfrm>
                            <a:off x="10087" y="10165"/>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853" name="Line 2642"/>
                        <wps:cNvCnPr>
                          <a:cxnSpLocks noChangeShapeType="1"/>
                        </wps:cNvCnPr>
                        <wps:spPr bwMode="auto">
                          <a:xfrm>
                            <a:off x="10087" y="10168"/>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854" name="Line 2641"/>
                        <wps:cNvCnPr>
                          <a:cxnSpLocks noChangeShapeType="1"/>
                        </wps:cNvCnPr>
                        <wps:spPr bwMode="auto">
                          <a:xfrm>
                            <a:off x="10087" y="10170"/>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855" name="Line 2640"/>
                        <wps:cNvCnPr>
                          <a:cxnSpLocks noChangeShapeType="1"/>
                        </wps:cNvCnPr>
                        <wps:spPr bwMode="auto">
                          <a:xfrm>
                            <a:off x="10087" y="10173"/>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856" name="Line 2639"/>
                        <wps:cNvCnPr>
                          <a:cxnSpLocks noChangeShapeType="1"/>
                        </wps:cNvCnPr>
                        <wps:spPr bwMode="auto">
                          <a:xfrm>
                            <a:off x="10087" y="10175"/>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857" name="Line 2638"/>
                        <wps:cNvCnPr>
                          <a:cxnSpLocks noChangeShapeType="1"/>
                        </wps:cNvCnPr>
                        <wps:spPr bwMode="auto">
                          <a:xfrm>
                            <a:off x="11220" y="10163"/>
                            <a:ext cx="1195"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858" name="Line 2637"/>
                        <wps:cNvCnPr>
                          <a:cxnSpLocks noChangeShapeType="1"/>
                        </wps:cNvCnPr>
                        <wps:spPr bwMode="auto">
                          <a:xfrm>
                            <a:off x="11220" y="10165"/>
                            <a:ext cx="1195"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859" name="Line 2636"/>
                        <wps:cNvCnPr>
                          <a:cxnSpLocks noChangeShapeType="1"/>
                        </wps:cNvCnPr>
                        <wps:spPr bwMode="auto">
                          <a:xfrm>
                            <a:off x="11220" y="10168"/>
                            <a:ext cx="1195"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860" name="Line 2635"/>
                        <wps:cNvCnPr>
                          <a:cxnSpLocks noChangeShapeType="1"/>
                        </wps:cNvCnPr>
                        <wps:spPr bwMode="auto">
                          <a:xfrm>
                            <a:off x="11220" y="10170"/>
                            <a:ext cx="1195"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861" name="Line 2634"/>
                        <wps:cNvCnPr>
                          <a:cxnSpLocks noChangeShapeType="1"/>
                        </wps:cNvCnPr>
                        <wps:spPr bwMode="auto">
                          <a:xfrm>
                            <a:off x="11220" y="10173"/>
                            <a:ext cx="1195"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862" name="Line 2633"/>
                        <wps:cNvCnPr>
                          <a:cxnSpLocks noChangeShapeType="1"/>
                        </wps:cNvCnPr>
                        <wps:spPr bwMode="auto">
                          <a:xfrm>
                            <a:off x="11220" y="10175"/>
                            <a:ext cx="1195"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863" name="Line 2632"/>
                        <wps:cNvCnPr>
                          <a:cxnSpLocks noChangeShapeType="1"/>
                        </wps:cNvCnPr>
                        <wps:spPr bwMode="auto">
                          <a:xfrm>
                            <a:off x="12415" y="10163"/>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864" name="Line 2631"/>
                        <wps:cNvCnPr>
                          <a:cxnSpLocks noChangeShapeType="1"/>
                        </wps:cNvCnPr>
                        <wps:spPr bwMode="auto">
                          <a:xfrm>
                            <a:off x="12415" y="10165"/>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865" name="Line 2630"/>
                        <wps:cNvCnPr>
                          <a:cxnSpLocks noChangeShapeType="1"/>
                        </wps:cNvCnPr>
                        <wps:spPr bwMode="auto">
                          <a:xfrm>
                            <a:off x="12415" y="10168"/>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866" name="Line 2629"/>
                        <wps:cNvCnPr>
                          <a:cxnSpLocks noChangeShapeType="1"/>
                        </wps:cNvCnPr>
                        <wps:spPr bwMode="auto">
                          <a:xfrm>
                            <a:off x="12415" y="10170"/>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867" name="Line 2628"/>
                        <wps:cNvCnPr>
                          <a:cxnSpLocks noChangeShapeType="1"/>
                        </wps:cNvCnPr>
                        <wps:spPr bwMode="auto">
                          <a:xfrm>
                            <a:off x="12415" y="10173"/>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868" name="Line 2627"/>
                        <wps:cNvCnPr>
                          <a:cxnSpLocks noChangeShapeType="1"/>
                        </wps:cNvCnPr>
                        <wps:spPr bwMode="auto">
                          <a:xfrm>
                            <a:off x="12415" y="10175"/>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869" name="Line 2626"/>
                        <wps:cNvCnPr>
                          <a:cxnSpLocks noChangeShapeType="1"/>
                        </wps:cNvCnPr>
                        <wps:spPr bwMode="auto">
                          <a:xfrm>
                            <a:off x="13548" y="10163"/>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870" name="Line 2625"/>
                        <wps:cNvCnPr>
                          <a:cxnSpLocks noChangeShapeType="1"/>
                        </wps:cNvCnPr>
                        <wps:spPr bwMode="auto">
                          <a:xfrm>
                            <a:off x="13548" y="10165"/>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871" name="Line 2624"/>
                        <wps:cNvCnPr>
                          <a:cxnSpLocks noChangeShapeType="1"/>
                        </wps:cNvCnPr>
                        <wps:spPr bwMode="auto">
                          <a:xfrm>
                            <a:off x="13548" y="10168"/>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872" name="Line 2623"/>
                        <wps:cNvCnPr>
                          <a:cxnSpLocks noChangeShapeType="1"/>
                        </wps:cNvCnPr>
                        <wps:spPr bwMode="auto">
                          <a:xfrm>
                            <a:off x="13548" y="10170"/>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873" name="Line 2622"/>
                        <wps:cNvCnPr>
                          <a:cxnSpLocks noChangeShapeType="1"/>
                        </wps:cNvCnPr>
                        <wps:spPr bwMode="auto">
                          <a:xfrm>
                            <a:off x="13548" y="10173"/>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874" name="Line 2621"/>
                        <wps:cNvCnPr>
                          <a:cxnSpLocks noChangeShapeType="1"/>
                        </wps:cNvCnPr>
                        <wps:spPr bwMode="auto">
                          <a:xfrm>
                            <a:off x="13548" y="10175"/>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875" name="Line 2620"/>
                        <wps:cNvCnPr>
                          <a:cxnSpLocks noChangeShapeType="1"/>
                        </wps:cNvCnPr>
                        <wps:spPr bwMode="auto">
                          <a:xfrm>
                            <a:off x="14681" y="10163"/>
                            <a:ext cx="116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876" name="Line 2619"/>
                        <wps:cNvCnPr>
                          <a:cxnSpLocks noChangeShapeType="1"/>
                        </wps:cNvCnPr>
                        <wps:spPr bwMode="auto">
                          <a:xfrm>
                            <a:off x="14681" y="10165"/>
                            <a:ext cx="116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877" name="Line 2618"/>
                        <wps:cNvCnPr>
                          <a:cxnSpLocks noChangeShapeType="1"/>
                        </wps:cNvCnPr>
                        <wps:spPr bwMode="auto">
                          <a:xfrm>
                            <a:off x="14681" y="10168"/>
                            <a:ext cx="116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878" name="Line 2617"/>
                        <wps:cNvCnPr>
                          <a:cxnSpLocks noChangeShapeType="1"/>
                        </wps:cNvCnPr>
                        <wps:spPr bwMode="auto">
                          <a:xfrm>
                            <a:off x="14681" y="10170"/>
                            <a:ext cx="116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879" name="Line 2616"/>
                        <wps:cNvCnPr>
                          <a:cxnSpLocks noChangeShapeType="1"/>
                        </wps:cNvCnPr>
                        <wps:spPr bwMode="auto">
                          <a:xfrm>
                            <a:off x="14681" y="10173"/>
                            <a:ext cx="116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880" name="Line 2615"/>
                        <wps:cNvCnPr>
                          <a:cxnSpLocks noChangeShapeType="1"/>
                        </wps:cNvCnPr>
                        <wps:spPr bwMode="auto">
                          <a:xfrm>
                            <a:off x="14681" y="10175"/>
                            <a:ext cx="116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707996" id="Group 2614" o:spid="_x0000_s1026" style="position:absolute;margin-left:447.7pt;margin-top:508.1pt;width:165.4pt;height:.35pt;z-index:15744512;mso-position-horizontal-relative:page;mso-position-vertical-relative:page" coordorigin="8954,10162" coordsize="689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">
                <v:line id="Line 2646" o:spid="_x0000_s1027" style="position:absolute;visibility:visible;mso-wrap-style:square" from="8954,10173" to="10087,10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" strokeweight=".12pt"/>
                <v:line id="Line 2645" o:spid="_x0000_s1028" style="position:absolute;visibility:visible;mso-wrap-style:square" from="8954,10175" to="10087,10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" strokeweight=".12pt"/>
                <v:line id="Line 2644" o:spid="_x0000_s1029" style="position:absolute;visibility:visible;mso-wrap-style:square" from="10087,10163" to="11220,10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" strokeweight=".12pt"/>
                <v:line id="Line 2643" o:spid="_x0000_s1030" style="position:absolute;visibility:visible;mso-wrap-style:square" from="10087,10165" to="11220,10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" strokeweight=".12pt"/>
                <v:line id="Line 2642" o:spid="_x0000_s1031" style="position:absolute;visibility:visible;mso-wrap-style:square" from="10087,10168" to="11220,10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" strokeweight=".12pt"/>
                <v:line id="Line 2641" o:spid="_x0000_s1032" style="position:absolute;visibility:visible;mso-wrap-style:square" from="10087,10170" to="11220,10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" strokeweight=".12pt"/>
                <v:line id="Line 2640" o:spid="_x0000_s1033" style="position:absolute;visibility:visible;mso-wrap-style:square" from="10087,10173" to="11220,10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" strokeweight=".12pt"/>
                <v:line id="Line 2639" o:spid="_x0000_s1034" style="position:absolute;visibility:visible;mso-wrap-style:square" from="10087,10175" to="11220,10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" strokeweight=".12pt"/>
                <v:line id="Line 2638" o:spid="_x0000_s1035" style="position:absolute;visibility:visible;mso-wrap-style:square" from="11220,10163" to="12415,10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" strokeweight=".12pt"/>
                <v:line id="Line 2637" o:spid="_x0000_s1036" style="position:absolute;visibility:visible;mso-wrap-style:square" from="11220,10165" to="12415,10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" strokeweight=".12pt"/>
                <v:line id="Line 2636" o:spid="_x0000_s1037" style="position:absolute;visibility:visible;mso-wrap-style:square" from="11220,10168" to="12415,10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" strokeweight=".12pt"/>
                <v:line id="Line 2635" o:spid="_x0000_s1038" style="position:absolute;visibility:visible;mso-wrap-style:square" from="11220,10170" to="12415,10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" strokeweight=".12pt"/>
                <v:line id="Line 2634" o:spid="_x0000_s1039" style="position:absolute;visibility:visible;mso-wrap-style:square" from="11220,10173" to="12415,10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" strokeweight=".12pt"/>
                <v:line id="Line 2633" o:spid="_x0000_s1040" style="position:absolute;visibility:visible;mso-wrap-style:square" from="11220,10175" to="12415,10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" strokeweight=".12pt"/>
                <v:line id="Line 2632" o:spid="_x0000_s1041" style="position:absolute;visibility:visible;mso-wrap-style:square" from="12415,10163" to="13548,10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" strokeweight=".12pt"/>
                <v:line id="Line 2631" o:spid="_x0000_s1042" style="position:absolute;visibility:visible;mso-wrap-style:square" from="12415,10165" to="13548,10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" strokeweight=".12pt"/>
                <v:line id="Line 2630" o:spid="_x0000_s1043" style="position:absolute;visibility:visible;mso-wrap-style:square" from="12415,10168" to="13548,10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" strokeweight=".12pt"/>
                <v:line id="Line 2629" o:spid="_x0000_s1044" style="position:absolute;visibility:visible;mso-wrap-style:square" from="12415,10170" to="13548,10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" strokeweight=".12pt"/>
                <v:line id="Line 2628" o:spid="_x0000_s1045" style="position:absolute;visibility:visible;mso-wrap-style:square" from="12415,10173" to="13548,10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" strokeweight=".12pt"/>
                <v:line id="Line 2627" o:spid="_x0000_s1046" style="position:absolute;visibility:visible;mso-wrap-style:square" from="12415,10175" to="13548,10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" strokeweight=".12pt"/>
                <v:line id="Line 2626" o:spid="_x0000_s1047" style="position:absolute;visibility:visible;mso-wrap-style:square" from="13548,10163" to="14681,10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" strokeweight=".12pt"/>
                <v:line id="Line 2625" o:spid="_x0000_s1048" style="position:absolute;visibility:visible;mso-wrap-style:square" from="13548,10165" to="14681,10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" strokeweight=".12pt"/>
                <v:line id="Line 2624" o:spid="_x0000_s1049" style="position:absolute;visibility:visible;mso-wrap-style:square" from="13548,10168" to="14681,10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" strokeweight=".12pt"/>
                <v:line id="Line 2623" o:spid="_x0000_s1050" style="position:absolute;visibility:visible;mso-wrap-style:square" from="13548,10170" to="14681,10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" strokeweight=".12pt"/>
                <v:line id="Line 2622" o:spid="_x0000_s1051" style="position:absolute;visibility:visible;mso-wrap-style:square" from="13548,10173" to="14681,10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" strokeweight=".12pt"/>
                <v:line id="Line 2621" o:spid="_x0000_s1052" style="position:absolute;visibility:visible;mso-wrap-style:square" from="13548,10175" to="14681,10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" strokeweight=".12pt"/>
                <v:line id="Line 2620" o:spid="_x0000_s1053" style="position:absolute;visibility:visible;mso-wrap-style:square" from="14681,10163" to="15847,10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" strokeweight=".12pt"/>
                <v:line id="Line 2619" o:spid="_x0000_s1054" style="position:absolute;visibility:visible;mso-wrap-style:square" from="14681,10165" to="15847,10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" strokeweight=".12pt"/>
                <v:line id="Line 2618" o:spid="_x0000_s1055" style="position:absolute;visibility:visible;mso-wrap-style:square" from="14681,10168" to="15847,10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" strokeweight=".12pt"/>
                <v:line id="Line 2617" o:spid="_x0000_s1056" style="position:absolute;visibility:visible;mso-wrap-style:square" from="14681,10170" to="15847,10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" strokeweight=".12pt"/>
                <v:line id="Line 2616" o:spid="_x0000_s1057" style="position:absolute;visibility:visible;mso-wrap-style:square" from="14681,10173" to="15847,10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" strokeweight=".12pt"/>
                <v:line id="Line 2615" o:spid="_x0000_s1058" style="position:absolute;visibility:visible;mso-wrap-style:square" from="14681,10175" to="15847,10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" strokeweight=".12pt"/>
                <w10:wrap anchorx="page" anchory="page"/>
              </v:group>
            </w:pict>
          </mc:Fallback>
        </mc:AlternateContent>
      </w:r>
    </w:p>
    <w:p w14:paraId="5C976B7D" w14:textId="77777777" w:rsidR="00FA4AA8" w:rsidRDefault="00FA4AA8">
      <w:pPr>
        <w:pStyle w:val="BodyText"/>
        <w:rPr>
          <w:sz w:val="20"/>
        </w:rPr>
      </w:pPr>
    </w:p>
    <w:p w14:paraId="38037500" w14:textId="77777777" w:rsidR="00FA4AA8" w:rsidRDefault="00FA4AA8">
      <w:pPr>
        <w:pStyle w:val="BodyText"/>
        <w:spacing w:before="6"/>
      </w:pPr>
    </w:p>
    <w:tbl>
      <w:tblPr>
        <w:tblW w:w="0" w:type="auto"/>
        <w:tblInd w:w="125" w:type="dxa"/>
        <w:tblLayout w:type="fixed"/>
        <w:tblCellMar>
          <w:left w:w="0" w:type="dxa"/>
          <w:right w:w="0" w:type="dxa"/>
        </w:tblCellMar>
        <w:tblLook w:val="01E0" w:firstRow="1" w:lastRow="1" w:firstColumn="1" w:lastColumn="1" w:noHBand="0" w:noVBand="0"/>
      </w:tblPr>
      <w:tblGrid>
        <w:gridCol w:w="415"/>
        <w:gridCol w:w="3050"/>
        <w:gridCol w:w="1133"/>
        <w:gridCol w:w="1182"/>
        <w:gridCol w:w="1156"/>
        <w:gridCol w:w="1072"/>
        <w:gridCol w:w="1197"/>
        <w:gridCol w:w="1082"/>
        <w:gridCol w:w="1261"/>
        <w:gridCol w:w="1178"/>
        <w:gridCol w:w="1178"/>
        <w:gridCol w:w="991"/>
      </w:tblGrid>
      <w:tr w:rsidR="00FA4AA8" w14:paraId="29374083" w14:textId="77777777">
        <w:trPr>
          <w:trHeight w:val="466"/>
        </w:trPr>
        <w:tc>
          <w:tcPr>
            <w:tcW w:w="415" w:type="dxa"/>
          </w:tcPr>
          <w:p w14:paraId="77AC4BA0" w14:textId="77777777" w:rsidR="00FA4AA8" w:rsidRDefault="0015611F">
            <w:pPr>
              <w:pStyle w:val="TableParagraph"/>
              <w:spacing w:line="201" w:lineRule="exact"/>
              <w:ind w:left="50"/>
              <w:rPr>
                <w:b/>
                <w:sz w:val="18"/>
              </w:rPr>
            </w:pPr>
            <w:bookmarkStart w:id="44" w:name="19_Property,_plant_and_equipment_"/>
            <w:bookmarkEnd w:id="44"/>
            <w:r>
              <w:rPr>
                <w:b/>
                <w:sz w:val="18"/>
              </w:rPr>
              <w:t>19</w:t>
            </w:r>
          </w:p>
        </w:tc>
        <w:tc>
          <w:tcPr>
            <w:tcW w:w="3050" w:type="dxa"/>
          </w:tcPr>
          <w:p w14:paraId="27DE3608" w14:textId="77777777" w:rsidR="00FA4AA8" w:rsidRDefault="0015611F">
            <w:pPr>
              <w:pStyle w:val="TableParagraph"/>
              <w:spacing w:line="201" w:lineRule="exact"/>
              <w:ind w:left="30"/>
              <w:rPr>
                <w:b/>
                <w:sz w:val="18"/>
              </w:rPr>
            </w:pPr>
            <w:r>
              <w:rPr>
                <w:b/>
                <w:sz w:val="18"/>
              </w:rPr>
              <w:t>Property, plant and equipment</w:t>
            </w:r>
          </w:p>
        </w:tc>
        <w:tc>
          <w:tcPr>
            <w:tcW w:w="11430" w:type="dxa"/>
            <w:gridSpan w:val="10"/>
          </w:tcPr>
          <w:p w14:paraId="12CBA2F5" w14:textId="77777777" w:rsidR="00FA4AA8" w:rsidRDefault="00FA4AA8">
            <w:pPr>
              <w:pStyle w:val="TableParagraph"/>
              <w:rPr>
                <w:rFonts w:ascii="Times New Roman"/>
                <w:sz w:val="16"/>
              </w:rPr>
            </w:pPr>
          </w:p>
        </w:tc>
      </w:tr>
      <w:tr w:rsidR="00FA4AA8" w14:paraId="72A177B8" w14:textId="77777777">
        <w:trPr>
          <w:trHeight w:val="447"/>
        </w:trPr>
        <w:tc>
          <w:tcPr>
            <w:tcW w:w="415" w:type="dxa"/>
          </w:tcPr>
          <w:p w14:paraId="47B29B36" w14:textId="77777777" w:rsidR="00FA4AA8" w:rsidRDefault="00FA4AA8">
            <w:pPr>
              <w:pStyle w:val="TableParagraph"/>
              <w:rPr>
                <w:rFonts w:ascii="Times New Roman"/>
                <w:sz w:val="16"/>
              </w:rPr>
            </w:pPr>
          </w:p>
        </w:tc>
        <w:tc>
          <w:tcPr>
            <w:tcW w:w="3050" w:type="dxa"/>
          </w:tcPr>
          <w:p w14:paraId="29F9343F" w14:textId="77777777" w:rsidR="00FA4AA8" w:rsidRDefault="00FA4AA8">
            <w:pPr>
              <w:pStyle w:val="TableParagraph"/>
              <w:rPr>
                <w:rFonts w:ascii="Times New Roman"/>
                <w:sz w:val="16"/>
              </w:rPr>
            </w:pPr>
          </w:p>
        </w:tc>
        <w:tc>
          <w:tcPr>
            <w:tcW w:w="1133" w:type="dxa"/>
          </w:tcPr>
          <w:p w14:paraId="58560F41" w14:textId="77777777" w:rsidR="00FA4AA8" w:rsidRDefault="00FA4AA8">
            <w:pPr>
              <w:pStyle w:val="TableParagraph"/>
              <w:spacing w:before="8"/>
            </w:pPr>
          </w:p>
          <w:p w14:paraId="78941D8E" w14:textId="77777777" w:rsidR="00FA4AA8" w:rsidRDefault="0015611F">
            <w:pPr>
              <w:pStyle w:val="TableParagraph"/>
              <w:spacing w:line="167" w:lineRule="exact"/>
              <w:ind w:left="88"/>
              <w:rPr>
                <w:b/>
                <w:sz w:val="16"/>
              </w:rPr>
            </w:pPr>
            <w:r>
              <w:rPr>
                <w:b/>
                <w:sz w:val="16"/>
              </w:rPr>
              <w:t>Construction</w:t>
            </w:r>
          </w:p>
        </w:tc>
        <w:tc>
          <w:tcPr>
            <w:tcW w:w="1182" w:type="dxa"/>
          </w:tcPr>
          <w:p w14:paraId="653ED4D5" w14:textId="77777777" w:rsidR="00FA4AA8" w:rsidRDefault="00FA4AA8">
            <w:pPr>
              <w:pStyle w:val="TableParagraph"/>
              <w:spacing w:before="8"/>
            </w:pPr>
          </w:p>
          <w:p w14:paraId="3677E026" w14:textId="77777777" w:rsidR="00FA4AA8" w:rsidRDefault="0015611F">
            <w:pPr>
              <w:pStyle w:val="TableParagraph"/>
              <w:spacing w:line="167" w:lineRule="exact"/>
              <w:ind w:left="249"/>
              <w:rPr>
                <w:b/>
                <w:sz w:val="16"/>
              </w:rPr>
            </w:pPr>
            <w:r>
              <w:rPr>
                <w:b/>
                <w:sz w:val="16"/>
              </w:rPr>
              <w:t>Freehold</w:t>
            </w:r>
          </w:p>
        </w:tc>
        <w:tc>
          <w:tcPr>
            <w:tcW w:w="1156" w:type="dxa"/>
          </w:tcPr>
          <w:p w14:paraId="2FDED371" w14:textId="77777777" w:rsidR="00FA4AA8" w:rsidRDefault="00FA4AA8">
            <w:pPr>
              <w:pStyle w:val="TableParagraph"/>
              <w:rPr>
                <w:rFonts w:ascii="Times New Roman"/>
                <w:sz w:val="16"/>
              </w:rPr>
            </w:pPr>
          </w:p>
        </w:tc>
        <w:tc>
          <w:tcPr>
            <w:tcW w:w="1072" w:type="dxa"/>
          </w:tcPr>
          <w:p w14:paraId="12627463" w14:textId="77777777" w:rsidR="00FA4AA8" w:rsidRDefault="00FA4AA8">
            <w:pPr>
              <w:pStyle w:val="TableParagraph"/>
              <w:rPr>
                <w:rFonts w:ascii="Times New Roman"/>
                <w:sz w:val="16"/>
              </w:rPr>
            </w:pPr>
          </w:p>
        </w:tc>
        <w:tc>
          <w:tcPr>
            <w:tcW w:w="1197" w:type="dxa"/>
          </w:tcPr>
          <w:p w14:paraId="6617C7BD" w14:textId="77777777" w:rsidR="00FA4AA8" w:rsidRDefault="00FA4AA8">
            <w:pPr>
              <w:pStyle w:val="TableParagraph"/>
              <w:rPr>
                <w:rFonts w:ascii="Times New Roman"/>
                <w:sz w:val="16"/>
              </w:rPr>
            </w:pPr>
          </w:p>
        </w:tc>
        <w:tc>
          <w:tcPr>
            <w:tcW w:w="1082" w:type="dxa"/>
          </w:tcPr>
          <w:p w14:paraId="39568C54" w14:textId="77777777" w:rsidR="00FA4AA8" w:rsidRDefault="00FA4AA8">
            <w:pPr>
              <w:pStyle w:val="TableParagraph"/>
              <w:spacing w:before="8"/>
            </w:pPr>
          </w:p>
          <w:p w14:paraId="48525738" w14:textId="77777777" w:rsidR="00FA4AA8" w:rsidRDefault="0015611F">
            <w:pPr>
              <w:pStyle w:val="TableParagraph"/>
              <w:spacing w:line="167" w:lineRule="exact"/>
              <w:ind w:left="149"/>
              <w:rPr>
                <w:b/>
                <w:sz w:val="16"/>
              </w:rPr>
            </w:pPr>
            <w:r>
              <w:rPr>
                <w:b/>
                <w:sz w:val="16"/>
              </w:rPr>
              <w:t>Plant and</w:t>
            </w:r>
          </w:p>
        </w:tc>
        <w:tc>
          <w:tcPr>
            <w:tcW w:w="1261" w:type="dxa"/>
          </w:tcPr>
          <w:p w14:paraId="19E8DDFB" w14:textId="77777777" w:rsidR="00FA4AA8" w:rsidRDefault="00FA4AA8">
            <w:pPr>
              <w:pStyle w:val="TableParagraph"/>
              <w:spacing w:before="8"/>
            </w:pPr>
          </w:p>
          <w:p w14:paraId="1598A979" w14:textId="77777777" w:rsidR="00FA4AA8" w:rsidRDefault="0015611F">
            <w:pPr>
              <w:pStyle w:val="TableParagraph"/>
              <w:spacing w:line="167" w:lineRule="exact"/>
              <w:ind w:left="198"/>
              <w:rPr>
                <w:b/>
                <w:sz w:val="16"/>
              </w:rPr>
            </w:pPr>
            <w:r>
              <w:rPr>
                <w:b/>
                <w:sz w:val="16"/>
              </w:rPr>
              <w:t>Leasehold</w:t>
            </w:r>
          </w:p>
        </w:tc>
        <w:tc>
          <w:tcPr>
            <w:tcW w:w="1178" w:type="dxa"/>
          </w:tcPr>
          <w:p w14:paraId="1CAA3EC8" w14:textId="77777777" w:rsidR="00FA4AA8" w:rsidRDefault="00FA4AA8">
            <w:pPr>
              <w:pStyle w:val="TableParagraph"/>
              <w:spacing w:before="8"/>
            </w:pPr>
          </w:p>
          <w:p w14:paraId="4A373E7F" w14:textId="77777777" w:rsidR="00FA4AA8" w:rsidRDefault="0015611F">
            <w:pPr>
              <w:pStyle w:val="TableParagraph"/>
              <w:spacing w:line="167" w:lineRule="exact"/>
              <w:ind w:left="228"/>
              <w:rPr>
                <w:b/>
                <w:sz w:val="16"/>
              </w:rPr>
            </w:pPr>
            <w:r>
              <w:rPr>
                <w:b/>
                <w:sz w:val="16"/>
              </w:rPr>
              <w:t>Library</w:t>
            </w:r>
          </w:p>
        </w:tc>
        <w:tc>
          <w:tcPr>
            <w:tcW w:w="1178" w:type="dxa"/>
          </w:tcPr>
          <w:p w14:paraId="44655EAF" w14:textId="77777777" w:rsidR="00FA4AA8" w:rsidRDefault="00FA4AA8">
            <w:pPr>
              <w:pStyle w:val="TableParagraph"/>
              <w:rPr>
                <w:rFonts w:ascii="Times New Roman"/>
                <w:sz w:val="16"/>
              </w:rPr>
            </w:pPr>
          </w:p>
        </w:tc>
        <w:tc>
          <w:tcPr>
            <w:tcW w:w="991" w:type="dxa"/>
          </w:tcPr>
          <w:p w14:paraId="7FEE4386" w14:textId="77777777" w:rsidR="00FA4AA8" w:rsidRDefault="00FA4AA8">
            <w:pPr>
              <w:pStyle w:val="TableParagraph"/>
              <w:rPr>
                <w:rFonts w:ascii="Times New Roman"/>
                <w:sz w:val="16"/>
              </w:rPr>
            </w:pPr>
          </w:p>
        </w:tc>
      </w:tr>
      <w:tr w:rsidR="00FA4AA8" w14:paraId="4B5C1AA3" w14:textId="77777777">
        <w:trPr>
          <w:trHeight w:val="218"/>
        </w:trPr>
        <w:tc>
          <w:tcPr>
            <w:tcW w:w="415" w:type="dxa"/>
          </w:tcPr>
          <w:p w14:paraId="377ABA6A" w14:textId="77777777" w:rsidR="00FA4AA8" w:rsidRDefault="00FA4AA8">
            <w:pPr>
              <w:pStyle w:val="TableParagraph"/>
              <w:rPr>
                <w:rFonts w:ascii="Times New Roman"/>
                <w:sz w:val="14"/>
              </w:rPr>
            </w:pPr>
          </w:p>
        </w:tc>
        <w:tc>
          <w:tcPr>
            <w:tcW w:w="3050" w:type="dxa"/>
          </w:tcPr>
          <w:p w14:paraId="7A4E55FC" w14:textId="77777777" w:rsidR="00FA4AA8" w:rsidRDefault="00FA4AA8">
            <w:pPr>
              <w:pStyle w:val="TableParagraph"/>
              <w:rPr>
                <w:rFonts w:ascii="Times New Roman"/>
                <w:sz w:val="14"/>
              </w:rPr>
            </w:pPr>
          </w:p>
        </w:tc>
        <w:tc>
          <w:tcPr>
            <w:tcW w:w="1133" w:type="dxa"/>
          </w:tcPr>
          <w:p w14:paraId="2A45B0D0" w14:textId="77777777" w:rsidR="00FA4AA8" w:rsidRDefault="0015611F">
            <w:pPr>
              <w:pStyle w:val="TableParagraph"/>
              <w:spacing w:line="182" w:lineRule="exact"/>
              <w:ind w:left="146"/>
              <w:rPr>
                <w:b/>
                <w:sz w:val="16"/>
              </w:rPr>
            </w:pPr>
            <w:r>
              <w:rPr>
                <w:b/>
                <w:sz w:val="16"/>
              </w:rPr>
              <w:t>in Progress</w:t>
            </w:r>
          </w:p>
        </w:tc>
        <w:tc>
          <w:tcPr>
            <w:tcW w:w="1182" w:type="dxa"/>
          </w:tcPr>
          <w:p w14:paraId="4E9CF69A" w14:textId="77777777" w:rsidR="00FA4AA8" w:rsidRDefault="0015611F">
            <w:pPr>
              <w:pStyle w:val="TableParagraph"/>
              <w:spacing w:line="182" w:lineRule="exact"/>
              <w:ind w:left="377" w:right="381"/>
              <w:jc w:val="center"/>
              <w:rPr>
                <w:b/>
                <w:sz w:val="16"/>
              </w:rPr>
            </w:pPr>
            <w:r>
              <w:rPr>
                <w:b/>
                <w:sz w:val="16"/>
              </w:rPr>
              <w:t>Land</w:t>
            </w:r>
          </w:p>
        </w:tc>
        <w:tc>
          <w:tcPr>
            <w:tcW w:w="1156" w:type="dxa"/>
          </w:tcPr>
          <w:p w14:paraId="76AD4005" w14:textId="77777777" w:rsidR="00FA4AA8" w:rsidRDefault="0015611F">
            <w:pPr>
              <w:pStyle w:val="TableParagraph"/>
              <w:spacing w:line="182" w:lineRule="exact"/>
              <w:ind w:right="149"/>
              <w:jc w:val="right"/>
              <w:rPr>
                <w:b/>
                <w:sz w:val="16"/>
              </w:rPr>
            </w:pPr>
            <w:r>
              <w:rPr>
                <w:b/>
                <w:sz w:val="16"/>
              </w:rPr>
              <w:t>Crown Land</w:t>
            </w:r>
          </w:p>
        </w:tc>
        <w:tc>
          <w:tcPr>
            <w:tcW w:w="1072" w:type="dxa"/>
          </w:tcPr>
          <w:p w14:paraId="6F7DE3FE" w14:textId="77777777" w:rsidR="00FA4AA8" w:rsidRDefault="0015611F">
            <w:pPr>
              <w:pStyle w:val="TableParagraph"/>
              <w:spacing w:line="182" w:lineRule="exact"/>
              <w:ind w:left="148"/>
              <w:rPr>
                <w:b/>
                <w:sz w:val="16"/>
              </w:rPr>
            </w:pPr>
            <w:r>
              <w:rPr>
                <w:b/>
                <w:sz w:val="16"/>
              </w:rPr>
              <w:t>Buildings</w:t>
            </w:r>
          </w:p>
        </w:tc>
        <w:tc>
          <w:tcPr>
            <w:tcW w:w="1197" w:type="dxa"/>
          </w:tcPr>
          <w:p w14:paraId="4BA081EE" w14:textId="77777777" w:rsidR="00FA4AA8" w:rsidRDefault="0015611F">
            <w:pPr>
              <w:pStyle w:val="TableParagraph"/>
              <w:spacing w:line="182" w:lineRule="exact"/>
              <w:ind w:right="118"/>
              <w:jc w:val="right"/>
              <w:rPr>
                <w:b/>
                <w:sz w:val="16"/>
              </w:rPr>
            </w:pPr>
            <w:r>
              <w:rPr>
                <w:b/>
                <w:sz w:val="16"/>
              </w:rPr>
              <w:t>Infrastructure</w:t>
            </w:r>
          </w:p>
        </w:tc>
        <w:tc>
          <w:tcPr>
            <w:tcW w:w="1082" w:type="dxa"/>
          </w:tcPr>
          <w:p w14:paraId="67A56EA3" w14:textId="77777777" w:rsidR="00FA4AA8" w:rsidRDefault="0015611F">
            <w:pPr>
              <w:pStyle w:val="TableParagraph"/>
              <w:spacing w:line="182" w:lineRule="exact"/>
              <w:ind w:left="96"/>
              <w:rPr>
                <w:b/>
                <w:sz w:val="16"/>
              </w:rPr>
            </w:pPr>
            <w:r>
              <w:rPr>
                <w:b/>
                <w:sz w:val="16"/>
              </w:rPr>
              <w:t>Equipment</w:t>
            </w:r>
          </w:p>
        </w:tc>
        <w:tc>
          <w:tcPr>
            <w:tcW w:w="1261" w:type="dxa"/>
          </w:tcPr>
          <w:p w14:paraId="509241A0" w14:textId="77777777" w:rsidR="00FA4AA8" w:rsidRDefault="0015611F">
            <w:pPr>
              <w:pStyle w:val="TableParagraph"/>
              <w:spacing w:line="182" w:lineRule="exact"/>
              <w:ind w:right="114"/>
              <w:jc w:val="right"/>
              <w:rPr>
                <w:b/>
                <w:sz w:val="16"/>
              </w:rPr>
            </w:pPr>
            <w:r>
              <w:rPr>
                <w:b/>
                <w:sz w:val="16"/>
              </w:rPr>
              <w:t>Improvements</w:t>
            </w:r>
          </w:p>
        </w:tc>
        <w:tc>
          <w:tcPr>
            <w:tcW w:w="1178" w:type="dxa"/>
          </w:tcPr>
          <w:p w14:paraId="15EC6BDF" w14:textId="77777777" w:rsidR="00FA4AA8" w:rsidRDefault="0015611F">
            <w:pPr>
              <w:pStyle w:val="TableParagraph"/>
              <w:spacing w:line="182" w:lineRule="exact"/>
              <w:ind w:left="108"/>
              <w:rPr>
                <w:b/>
                <w:sz w:val="16"/>
              </w:rPr>
            </w:pPr>
            <w:r>
              <w:rPr>
                <w:b/>
                <w:sz w:val="16"/>
              </w:rPr>
              <w:t>Collection</w:t>
            </w:r>
          </w:p>
        </w:tc>
        <w:tc>
          <w:tcPr>
            <w:tcW w:w="1178" w:type="dxa"/>
          </w:tcPr>
          <w:p w14:paraId="29F30E33" w14:textId="77777777" w:rsidR="00FA4AA8" w:rsidRDefault="0015611F">
            <w:pPr>
              <w:pStyle w:val="TableParagraph"/>
              <w:spacing w:line="182" w:lineRule="exact"/>
              <w:ind w:left="152"/>
              <w:rPr>
                <w:b/>
                <w:sz w:val="16"/>
              </w:rPr>
            </w:pPr>
            <w:r>
              <w:rPr>
                <w:b/>
                <w:sz w:val="16"/>
              </w:rPr>
              <w:t>Artwork</w:t>
            </w:r>
          </w:p>
        </w:tc>
        <w:tc>
          <w:tcPr>
            <w:tcW w:w="991" w:type="dxa"/>
          </w:tcPr>
          <w:p w14:paraId="6C74793D" w14:textId="77777777" w:rsidR="00FA4AA8" w:rsidRDefault="0015611F">
            <w:pPr>
              <w:pStyle w:val="TableParagraph"/>
              <w:spacing w:line="182" w:lineRule="exact"/>
              <w:ind w:left="234"/>
              <w:rPr>
                <w:b/>
                <w:sz w:val="16"/>
              </w:rPr>
            </w:pPr>
            <w:r>
              <w:rPr>
                <w:b/>
                <w:sz w:val="16"/>
              </w:rPr>
              <w:t>Total</w:t>
            </w:r>
          </w:p>
        </w:tc>
      </w:tr>
      <w:tr w:rsidR="00FA4AA8" w14:paraId="729CC732" w14:textId="77777777">
        <w:trPr>
          <w:trHeight w:val="291"/>
        </w:trPr>
        <w:tc>
          <w:tcPr>
            <w:tcW w:w="415" w:type="dxa"/>
          </w:tcPr>
          <w:p w14:paraId="2776B443" w14:textId="77777777" w:rsidR="00FA4AA8" w:rsidRDefault="00FA4AA8">
            <w:pPr>
              <w:pStyle w:val="TableParagraph"/>
              <w:rPr>
                <w:rFonts w:ascii="Times New Roman"/>
                <w:sz w:val="16"/>
              </w:rPr>
            </w:pPr>
          </w:p>
        </w:tc>
        <w:tc>
          <w:tcPr>
            <w:tcW w:w="3050" w:type="dxa"/>
          </w:tcPr>
          <w:p w14:paraId="0FEE280A" w14:textId="77777777" w:rsidR="00FA4AA8" w:rsidRDefault="0015611F">
            <w:pPr>
              <w:pStyle w:val="TableParagraph"/>
              <w:spacing w:before="31"/>
              <w:ind w:left="69"/>
              <w:rPr>
                <w:b/>
                <w:sz w:val="16"/>
              </w:rPr>
            </w:pPr>
            <w:r>
              <w:rPr>
                <w:b/>
                <w:sz w:val="16"/>
              </w:rPr>
              <w:t>Consolidated</w:t>
            </w:r>
          </w:p>
        </w:tc>
        <w:tc>
          <w:tcPr>
            <w:tcW w:w="1133" w:type="dxa"/>
          </w:tcPr>
          <w:p w14:paraId="3E82B5DD" w14:textId="77777777" w:rsidR="00FA4AA8" w:rsidRDefault="0015611F">
            <w:pPr>
              <w:pStyle w:val="TableParagraph"/>
              <w:spacing w:before="31"/>
              <w:ind w:left="391"/>
              <w:rPr>
                <w:b/>
                <w:sz w:val="16"/>
              </w:rPr>
            </w:pPr>
            <w:r>
              <w:rPr>
                <w:b/>
                <w:sz w:val="16"/>
              </w:rPr>
              <w:t>$'000</w:t>
            </w:r>
          </w:p>
        </w:tc>
        <w:tc>
          <w:tcPr>
            <w:tcW w:w="1182" w:type="dxa"/>
          </w:tcPr>
          <w:p w14:paraId="3787BBE6" w14:textId="77777777" w:rsidR="00FA4AA8" w:rsidRDefault="0015611F">
            <w:pPr>
              <w:pStyle w:val="TableParagraph"/>
              <w:spacing w:before="31"/>
              <w:ind w:left="391"/>
              <w:rPr>
                <w:b/>
                <w:sz w:val="16"/>
              </w:rPr>
            </w:pPr>
            <w:r>
              <w:rPr>
                <w:b/>
                <w:sz w:val="16"/>
              </w:rPr>
              <w:t>$'000</w:t>
            </w:r>
          </w:p>
        </w:tc>
        <w:tc>
          <w:tcPr>
            <w:tcW w:w="1156" w:type="dxa"/>
          </w:tcPr>
          <w:p w14:paraId="6D402D82" w14:textId="77777777" w:rsidR="00FA4AA8" w:rsidRDefault="0015611F">
            <w:pPr>
              <w:pStyle w:val="TableParagraph"/>
              <w:spacing w:before="31"/>
              <w:ind w:left="341"/>
              <w:rPr>
                <w:b/>
                <w:sz w:val="16"/>
              </w:rPr>
            </w:pPr>
            <w:r>
              <w:rPr>
                <w:b/>
                <w:sz w:val="16"/>
              </w:rPr>
              <w:t>$'000</w:t>
            </w:r>
          </w:p>
        </w:tc>
        <w:tc>
          <w:tcPr>
            <w:tcW w:w="1072" w:type="dxa"/>
          </w:tcPr>
          <w:p w14:paraId="521ED4F4" w14:textId="77777777" w:rsidR="00FA4AA8" w:rsidRDefault="0015611F">
            <w:pPr>
              <w:pStyle w:val="TableParagraph"/>
              <w:spacing w:before="31"/>
              <w:ind w:left="318"/>
              <w:rPr>
                <w:b/>
                <w:sz w:val="16"/>
              </w:rPr>
            </w:pPr>
            <w:r>
              <w:rPr>
                <w:b/>
                <w:sz w:val="16"/>
              </w:rPr>
              <w:t>$'000</w:t>
            </w:r>
          </w:p>
        </w:tc>
        <w:tc>
          <w:tcPr>
            <w:tcW w:w="1197" w:type="dxa"/>
          </w:tcPr>
          <w:p w14:paraId="03DC70E2" w14:textId="77777777" w:rsidR="00FA4AA8" w:rsidRDefault="0015611F">
            <w:pPr>
              <w:pStyle w:val="TableParagraph"/>
              <w:spacing w:before="31"/>
              <w:ind w:left="379"/>
              <w:rPr>
                <w:b/>
                <w:sz w:val="16"/>
              </w:rPr>
            </w:pPr>
            <w:r>
              <w:rPr>
                <w:b/>
                <w:sz w:val="16"/>
              </w:rPr>
              <w:t>$'000</w:t>
            </w:r>
          </w:p>
        </w:tc>
        <w:tc>
          <w:tcPr>
            <w:tcW w:w="1082" w:type="dxa"/>
          </w:tcPr>
          <w:p w14:paraId="3AE33238" w14:textId="77777777" w:rsidR="00FA4AA8" w:rsidRDefault="0015611F">
            <w:pPr>
              <w:pStyle w:val="TableParagraph"/>
              <w:spacing w:before="31"/>
              <w:ind w:left="315"/>
              <w:rPr>
                <w:b/>
                <w:sz w:val="16"/>
              </w:rPr>
            </w:pPr>
            <w:r>
              <w:rPr>
                <w:b/>
                <w:sz w:val="16"/>
              </w:rPr>
              <w:t>$'000</w:t>
            </w:r>
          </w:p>
        </w:tc>
        <w:tc>
          <w:tcPr>
            <w:tcW w:w="1261" w:type="dxa"/>
          </w:tcPr>
          <w:p w14:paraId="390A56F3" w14:textId="77777777" w:rsidR="00FA4AA8" w:rsidRDefault="0015611F">
            <w:pPr>
              <w:pStyle w:val="TableParagraph"/>
              <w:spacing w:before="31"/>
              <w:ind w:left="397"/>
              <w:rPr>
                <w:b/>
                <w:sz w:val="16"/>
              </w:rPr>
            </w:pPr>
            <w:r>
              <w:rPr>
                <w:b/>
                <w:sz w:val="16"/>
              </w:rPr>
              <w:t>$'000</w:t>
            </w:r>
          </w:p>
        </w:tc>
        <w:tc>
          <w:tcPr>
            <w:tcW w:w="1178" w:type="dxa"/>
          </w:tcPr>
          <w:p w14:paraId="5CB6827D" w14:textId="77777777" w:rsidR="00FA4AA8" w:rsidRDefault="0015611F">
            <w:pPr>
              <w:pStyle w:val="TableParagraph"/>
              <w:spacing w:before="31"/>
              <w:ind w:left="300"/>
              <w:rPr>
                <w:b/>
                <w:sz w:val="16"/>
              </w:rPr>
            </w:pPr>
            <w:r>
              <w:rPr>
                <w:b/>
                <w:sz w:val="16"/>
              </w:rPr>
              <w:t>$'000</w:t>
            </w:r>
          </w:p>
        </w:tc>
        <w:tc>
          <w:tcPr>
            <w:tcW w:w="1178" w:type="dxa"/>
          </w:tcPr>
          <w:p w14:paraId="60B8E9EC" w14:textId="77777777" w:rsidR="00FA4AA8" w:rsidRDefault="0015611F">
            <w:pPr>
              <w:pStyle w:val="TableParagraph"/>
              <w:spacing w:before="31"/>
              <w:ind w:left="255"/>
              <w:rPr>
                <w:b/>
                <w:sz w:val="16"/>
              </w:rPr>
            </w:pPr>
            <w:r>
              <w:rPr>
                <w:b/>
                <w:sz w:val="16"/>
              </w:rPr>
              <w:t>$'000</w:t>
            </w:r>
          </w:p>
        </w:tc>
        <w:tc>
          <w:tcPr>
            <w:tcW w:w="991" w:type="dxa"/>
          </w:tcPr>
          <w:p w14:paraId="30F2EDE2" w14:textId="77777777" w:rsidR="00FA4AA8" w:rsidRDefault="0015611F">
            <w:pPr>
              <w:pStyle w:val="TableParagraph"/>
              <w:spacing w:before="31"/>
              <w:ind w:left="226"/>
              <w:rPr>
                <w:b/>
                <w:sz w:val="16"/>
              </w:rPr>
            </w:pPr>
            <w:r>
              <w:rPr>
                <w:b/>
                <w:sz w:val="16"/>
              </w:rPr>
              <w:t>$'000</w:t>
            </w:r>
          </w:p>
        </w:tc>
      </w:tr>
      <w:tr w:rsidR="00FA4AA8" w14:paraId="43A18074" w14:textId="77777777">
        <w:trPr>
          <w:trHeight w:val="272"/>
        </w:trPr>
        <w:tc>
          <w:tcPr>
            <w:tcW w:w="415" w:type="dxa"/>
          </w:tcPr>
          <w:p w14:paraId="0392D00A" w14:textId="77777777" w:rsidR="00FA4AA8" w:rsidRDefault="00FA4AA8">
            <w:pPr>
              <w:pStyle w:val="TableParagraph"/>
              <w:rPr>
                <w:rFonts w:ascii="Times New Roman"/>
                <w:sz w:val="16"/>
              </w:rPr>
            </w:pPr>
          </w:p>
        </w:tc>
        <w:tc>
          <w:tcPr>
            <w:tcW w:w="3050" w:type="dxa"/>
          </w:tcPr>
          <w:p w14:paraId="3243C150" w14:textId="77777777" w:rsidR="00FA4AA8" w:rsidRDefault="0015611F">
            <w:pPr>
              <w:pStyle w:val="TableParagraph"/>
              <w:spacing w:before="71" w:line="181" w:lineRule="exact"/>
              <w:ind w:left="69"/>
              <w:rPr>
                <w:b/>
                <w:sz w:val="16"/>
              </w:rPr>
            </w:pPr>
            <w:r>
              <w:rPr>
                <w:b/>
                <w:sz w:val="16"/>
              </w:rPr>
              <w:t>At 1 January 2017</w:t>
            </w:r>
          </w:p>
        </w:tc>
        <w:tc>
          <w:tcPr>
            <w:tcW w:w="1133" w:type="dxa"/>
          </w:tcPr>
          <w:p w14:paraId="6C5BDDF2" w14:textId="77777777" w:rsidR="00FA4AA8" w:rsidRDefault="00FA4AA8">
            <w:pPr>
              <w:pStyle w:val="TableParagraph"/>
              <w:rPr>
                <w:rFonts w:ascii="Times New Roman"/>
                <w:sz w:val="16"/>
              </w:rPr>
            </w:pPr>
          </w:p>
        </w:tc>
        <w:tc>
          <w:tcPr>
            <w:tcW w:w="1182" w:type="dxa"/>
          </w:tcPr>
          <w:p w14:paraId="1B5E7C7C" w14:textId="77777777" w:rsidR="00FA4AA8" w:rsidRDefault="00FA4AA8">
            <w:pPr>
              <w:pStyle w:val="TableParagraph"/>
              <w:rPr>
                <w:rFonts w:ascii="Times New Roman"/>
                <w:sz w:val="16"/>
              </w:rPr>
            </w:pPr>
          </w:p>
        </w:tc>
        <w:tc>
          <w:tcPr>
            <w:tcW w:w="1156" w:type="dxa"/>
          </w:tcPr>
          <w:p w14:paraId="12DA665C" w14:textId="77777777" w:rsidR="00FA4AA8" w:rsidRDefault="00FA4AA8">
            <w:pPr>
              <w:pStyle w:val="TableParagraph"/>
              <w:rPr>
                <w:rFonts w:ascii="Times New Roman"/>
                <w:sz w:val="16"/>
              </w:rPr>
            </w:pPr>
          </w:p>
        </w:tc>
        <w:tc>
          <w:tcPr>
            <w:tcW w:w="1072" w:type="dxa"/>
          </w:tcPr>
          <w:p w14:paraId="5F958B92" w14:textId="77777777" w:rsidR="00FA4AA8" w:rsidRDefault="00FA4AA8">
            <w:pPr>
              <w:pStyle w:val="TableParagraph"/>
              <w:rPr>
                <w:rFonts w:ascii="Times New Roman"/>
                <w:sz w:val="16"/>
              </w:rPr>
            </w:pPr>
          </w:p>
        </w:tc>
        <w:tc>
          <w:tcPr>
            <w:tcW w:w="1197" w:type="dxa"/>
          </w:tcPr>
          <w:p w14:paraId="07184A11" w14:textId="77777777" w:rsidR="00FA4AA8" w:rsidRDefault="00FA4AA8">
            <w:pPr>
              <w:pStyle w:val="TableParagraph"/>
              <w:rPr>
                <w:rFonts w:ascii="Times New Roman"/>
                <w:sz w:val="16"/>
              </w:rPr>
            </w:pPr>
          </w:p>
        </w:tc>
        <w:tc>
          <w:tcPr>
            <w:tcW w:w="1082" w:type="dxa"/>
          </w:tcPr>
          <w:p w14:paraId="49DE227A" w14:textId="77777777" w:rsidR="00FA4AA8" w:rsidRDefault="00FA4AA8">
            <w:pPr>
              <w:pStyle w:val="TableParagraph"/>
              <w:rPr>
                <w:rFonts w:ascii="Times New Roman"/>
                <w:sz w:val="16"/>
              </w:rPr>
            </w:pPr>
          </w:p>
        </w:tc>
        <w:tc>
          <w:tcPr>
            <w:tcW w:w="1261" w:type="dxa"/>
          </w:tcPr>
          <w:p w14:paraId="69DD73EA" w14:textId="77777777" w:rsidR="00FA4AA8" w:rsidRDefault="00FA4AA8">
            <w:pPr>
              <w:pStyle w:val="TableParagraph"/>
              <w:rPr>
                <w:rFonts w:ascii="Times New Roman"/>
                <w:sz w:val="16"/>
              </w:rPr>
            </w:pPr>
          </w:p>
        </w:tc>
        <w:tc>
          <w:tcPr>
            <w:tcW w:w="1178" w:type="dxa"/>
          </w:tcPr>
          <w:p w14:paraId="6FB4D0CA" w14:textId="77777777" w:rsidR="00FA4AA8" w:rsidRDefault="00FA4AA8">
            <w:pPr>
              <w:pStyle w:val="TableParagraph"/>
              <w:rPr>
                <w:rFonts w:ascii="Times New Roman"/>
                <w:sz w:val="16"/>
              </w:rPr>
            </w:pPr>
          </w:p>
        </w:tc>
        <w:tc>
          <w:tcPr>
            <w:tcW w:w="1178" w:type="dxa"/>
          </w:tcPr>
          <w:p w14:paraId="06BACE19" w14:textId="77777777" w:rsidR="00FA4AA8" w:rsidRDefault="00FA4AA8">
            <w:pPr>
              <w:pStyle w:val="TableParagraph"/>
              <w:rPr>
                <w:rFonts w:ascii="Times New Roman"/>
                <w:sz w:val="16"/>
              </w:rPr>
            </w:pPr>
          </w:p>
        </w:tc>
        <w:tc>
          <w:tcPr>
            <w:tcW w:w="991" w:type="dxa"/>
          </w:tcPr>
          <w:p w14:paraId="47813A2C" w14:textId="77777777" w:rsidR="00FA4AA8" w:rsidRDefault="00FA4AA8">
            <w:pPr>
              <w:pStyle w:val="TableParagraph"/>
              <w:rPr>
                <w:rFonts w:ascii="Times New Roman"/>
                <w:sz w:val="16"/>
              </w:rPr>
            </w:pPr>
          </w:p>
        </w:tc>
      </w:tr>
      <w:tr w:rsidR="00FA4AA8" w14:paraId="498646CB" w14:textId="77777777">
        <w:trPr>
          <w:trHeight w:val="229"/>
        </w:trPr>
        <w:tc>
          <w:tcPr>
            <w:tcW w:w="415" w:type="dxa"/>
          </w:tcPr>
          <w:p w14:paraId="25C9AD25" w14:textId="77777777" w:rsidR="00FA4AA8" w:rsidRDefault="00FA4AA8">
            <w:pPr>
              <w:pStyle w:val="TableParagraph"/>
              <w:rPr>
                <w:rFonts w:ascii="Times New Roman"/>
                <w:sz w:val="16"/>
              </w:rPr>
            </w:pPr>
          </w:p>
        </w:tc>
        <w:tc>
          <w:tcPr>
            <w:tcW w:w="3050" w:type="dxa"/>
          </w:tcPr>
          <w:p w14:paraId="45043776" w14:textId="77777777" w:rsidR="00FA4AA8" w:rsidRDefault="0015611F">
            <w:pPr>
              <w:pStyle w:val="TableParagraph"/>
              <w:spacing w:before="15"/>
              <w:ind w:left="69"/>
              <w:rPr>
                <w:sz w:val="16"/>
              </w:rPr>
            </w:pPr>
            <w:r>
              <w:rPr>
                <w:sz w:val="16"/>
              </w:rPr>
              <w:t>- Cost</w:t>
            </w:r>
          </w:p>
        </w:tc>
        <w:tc>
          <w:tcPr>
            <w:tcW w:w="1133" w:type="dxa"/>
          </w:tcPr>
          <w:p w14:paraId="4DD08D99" w14:textId="77777777" w:rsidR="00FA4AA8" w:rsidRDefault="0015611F">
            <w:pPr>
              <w:pStyle w:val="TableParagraph"/>
              <w:spacing w:before="12"/>
              <w:ind w:right="74"/>
              <w:jc w:val="right"/>
              <w:rPr>
                <w:sz w:val="16"/>
              </w:rPr>
            </w:pPr>
            <w:r>
              <w:rPr>
                <w:sz w:val="16"/>
              </w:rPr>
              <w:t>85,044</w:t>
            </w:r>
          </w:p>
        </w:tc>
        <w:tc>
          <w:tcPr>
            <w:tcW w:w="1182" w:type="dxa"/>
          </w:tcPr>
          <w:p w14:paraId="54D4F75B" w14:textId="77777777" w:rsidR="00FA4AA8" w:rsidRDefault="0015611F">
            <w:pPr>
              <w:pStyle w:val="TableParagraph"/>
              <w:spacing w:before="12"/>
              <w:ind w:right="123"/>
              <w:jc w:val="right"/>
              <w:rPr>
                <w:sz w:val="16"/>
              </w:rPr>
            </w:pPr>
            <w:r>
              <w:rPr>
                <w:sz w:val="16"/>
              </w:rPr>
              <w:t>-</w:t>
            </w:r>
          </w:p>
        </w:tc>
        <w:tc>
          <w:tcPr>
            <w:tcW w:w="1156" w:type="dxa"/>
          </w:tcPr>
          <w:p w14:paraId="0922308F" w14:textId="77777777" w:rsidR="00FA4AA8" w:rsidRDefault="0015611F">
            <w:pPr>
              <w:pStyle w:val="TableParagraph"/>
              <w:spacing w:before="12"/>
              <w:ind w:right="146"/>
              <w:jc w:val="right"/>
              <w:rPr>
                <w:sz w:val="16"/>
              </w:rPr>
            </w:pPr>
            <w:r>
              <w:rPr>
                <w:sz w:val="16"/>
              </w:rPr>
              <w:t>-</w:t>
            </w:r>
          </w:p>
        </w:tc>
        <w:tc>
          <w:tcPr>
            <w:tcW w:w="1072" w:type="dxa"/>
          </w:tcPr>
          <w:p w14:paraId="7FAD90E6" w14:textId="77777777" w:rsidR="00FA4AA8" w:rsidRDefault="0015611F">
            <w:pPr>
              <w:pStyle w:val="TableParagraph"/>
              <w:spacing w:before="12"/>
              <w:ind w:right="86"/>
              <w:jc w:val="right"/>
              <w:rPr>
                <w:sz w:val="16"/>
              </w:rPr>
            </w:pPr>
            <w:r>
              <w:rPr>
                <w:sz w:val="16"/>
              </w:rPr>
              <w:t>47,788</w:t>
            </w:r>
          </w:p>
        </w:tc>
        <w:tc>
          <w:tcPr>
            <w:tcW w:w="1197" w:type="dxa"/>
          </w:tcPr>
          <w:p w14:paraId="409CB52D" w14:textId="77777777" w:rsidR="00FA4AA8" w:rsidRDefault="0015611F">
            <w:pPr>
              <w:pStyle w:val="TableParagraph"/>
              <w:spacing w:before="12"/>
              <w:ind w:right="150"/>
              <w:jc w:val="right"/>
              <w:rPr>
                <w:sz w:val="16"/>
              </w:rPr>
            </w:pPr>
            <w:r>
              <w:rPr>
                <w:sz w:val="16"/>
              </w:rPr>
              <w:t>2,518</w:t>
            </w:r>
          </w:p>
        </w:tc>
        <w:tc>
          <w:tcPr>
            <w:tcW w:w="1082" w:type="dxa"/>
          </w:tcPr>
          <w:p w14:paraId="56DF4F4C" w14:textId="77777777" w:rsidR="00FA4AA8" w:rsidRDefault="0015611F">
            <w:pPr>
              <w:pStyle w:val="TableParagraph"/>
              <w:spacing w:before="12"/>
              <w:ind w:right="99"/>
              <w:jc w:val="right"/>
              <w:rPr>
                <w:sz w:val="16"/>
              </w:rPr>
            </w:pPr>
            <w:r>
              <w:rPr>
                <w:sz w:val="16"/>
              </w:rPr>
              <w:t>148,577</w:t>
            </w:r>
          </w:p>
        </w:tc>
        <w:tc>
          <w:tcPr>
            <w:tcW w:w="1261" w:type="dxa"/>
          </w:tcPr>
          <w:p w14:paraId="4FF1E92E" w14:textId="77777777" w:rsidR="00FA4AA8" w:rsidRDefault="0015611F">
            <w:pPr>
              <w:pStyle w:val="TableParagraph"/>
              <w:spacing w:before="12"/>
              <w:ind w:right="165"/>
              <w:jc w:val="right"/>
              <w:rPr>
                <w:sz w:val="16"/>
              </w:rPr>
            </w:pPr>
            <w:r>
              <w:rPr>
                <w:sz w:val="16"/>
              </w:rPr>
              <w:t>27,865</w:t>
            </w:r>
          </w:p>
        </w:tc>
        <w:tc>
          <w:tcPr>
            <w:tcW w:w="1178" w:type="dxa"/>
          </w:tcPr>
          <w:p w14:paraId="0E8B69FF" w14:textId="77777777" w:rsidR="00FA4AA8" w:rsidRDefault="0015611F">
            <w:pPr>
              <w:pStyle w:val="TableParagraph"/>
              <w:spacing w:before="12"/>
              <w:ind w:left="475"/>
              <w:rPr>
                <w:sz w:val="16"/>
              </w:rPr>
            </w:pPr>
            <w:r>
              <w:rPr>
                <w:sz w:val="16"/>
              </w:rPr>
              <w:t>81,139</w:t>
            </w:r>
          </w:p>
        </w:tc>
        <w:tc>
          <w:tcPr>
            <w:tcW w:w="1178" w:type="dxa"/>
          </w:tcPr>
          <w:p w14:paraId="156E1EC7" w14:textId="77777777" w:rsidR="00FA4AA8" w:rsidRDefault="0015611F">
            <w:pPr>
              <w:pStyle w:val="TableParagraph"/>
              <w:spacing w:before="12"/>
              <w:ind w:right="255"/>
              <w:jc w:val="right"/>
              <w:rPr>
                <w:sz w:val="16"/>
              </w:rPr>
            </w:pPr>
            <w:r>
              <w:rPr>
                <w:sz w:val="16"/>
              </w:rPr>
              <w:t>-</w:t>
            </w:r>
          </w:p>
        </w:tc>
        <w:tc>
          <w:tcPr>
            <w:tcW w:w="991" w:type="dxa"/>
          </w:tcPr>
          <w:p w14:paraId="3C9F622E" w14:textId="77777777" w:rsidR="00FA4AA8" w:rsidRDefault="0015611F">
            <w:pPr>
              <w:pStyle w:val="TableParagraph"/>
              <w:spacing w:before="12"/>
              <w:ind w:right="80"/>
              <w:jc w:val="right"/>
              <w:rPr>
                <w:sz w:val="16"/>
              </w:rPr>
            </w:pPr>
            <w:r>
              <w:rPr>
                <w:sz w:val="16"/>
              </w:rPr>
              <w:t>392,931</w:t>
            </w:r>
          </w:p>
        </w:tc>
      </w:tr>
      <w:tr w:rsidR="00FA4AA8" w14:paraId="40716AE9" w14:textId="77777777">
        <w:trPr>
          <w:trHeight w:val="241"/>
        </w:trPr>
        <w:tc>
          <w:tcPr>
            <w:tcW w:w="415" w:type="dxa"/>
          </w:tcPr>
          <w:p w14:paraId="3F56A98C" w14:textId="77777777" w:rsidR="00FA4AA8" w:rsidRDefault="00FA4AA8">
            <w:pPr>
              <w:pStyle w:val="TableParagraph"/>
              <w:rPr>
                <w:rFonts w:ascii="Times New Roman"/>
                <w:sz w:val="16"/>
              </w:rPr>
            </w:pPr>
          </w:p>
        </w:tc>
        <w:tc>
          <w:tcPr>
            <w:tcW w:w="3050" w:type="dxa"/>
          </w:tcPr>
          <w:p w14:paraId="7AB3247E" w14:textId="77777777" w:rsidR="00FA4AA8" w:rsidRDefault="0015611F">
            <w:pPr>
              <w:pStyle w:val="TableParagraph"/>
              <w:spacing w:before="28"/>
              <w:ind w:left="69"/>
              <w:rPr>
                <w:sz w:val="16"/>
              </w:rPr>
            </w:pPr>
            <w:r>
              <w:rPr>
                <w:sz w:val="16"/>
              </w:rPr>
              <w:t>- Valuation</w:t>
            </w:r>
          </w:p>
        </w:tc>
        <w:tc>
          <w:tcPr>
            <w:tcW w:w="1133" w:type="dxa"/>
          </w:tcPr>
          <w:p w14:paraId="458BDE4C" w14:textId="77777777" w:rsidR="00FA4AA8" w:rsidRDefault="0015611F">
            <w:pPr>
              <w:pStyle w:val="TableParagraph"/>
              <w:spacing w:before="25"/>
              <w:ind w:right="74"/>
              <w:jc w:val="right"/>
              <w:rPr>
                <w:sz w:val="16"/>
              </w:rPr>
            </w:pPr>
            <w:r>
              <w:rPr>
                <w:sz w:val="16"/>
              </w:rPr>
              <w:t>-</w:t>
            </w:r>
          </w:p>
        </w:tc>
        <w:tc>
          <w:tcPr>
            <w:tcW w:w="1182" w:type="dxa"/>
          </w:tcPr>
          <w:p w14:paraId="21DBF270" w14:textId="77777777" w:rsidR="00FA4AA8" w:rsidRDefault="0015611F">
            <w:pPr>
              <w:pStyle w:val="TableParagraph"/>
              <w:spacing w:before="25"/>
              <w:ind w:right="123"/>
              <w:jc w:val="right"/>
              <w:rPr>
                <w:sz w:val="16"/>
              </w:rPr>
            </w:pPr>
            <w:r>
              <w:rPr>
                <w:sz w:val="16"/>
              </w:rPr>
              <w:t>204,632</w:t>
            </w:r>
          </w:p>
        </w:tc>
        <w:tc>
          <w:tcPr>
            <w:tcW w:w="1156" w:type="dxa"/>
          </w:tcPr>
          <w:p w14:paraId="0DF06A96" w14:textId="77777777" w:rsidR="00FA4AA8" w:rsidRDefault="0015611F">
            <w:pPr>
              <w:pStyle w:val="TableParagraph"/>
              <w:spacing w:before="25"/>
              <w:ind w:right="147"/>
              <w:jc w:val="right"/>
              <w:rPr>
                <w:sz w:val="16"/>
              </w:rPr>
            </w:pPr>
            <w:r>
              <w:rPr>
                <w:sz w:val="16"/>
              </w:rPr>
              <w:t>162,335</w:t>
            </w:r>
          </w:p>
        </w:tc>
        <w:tc>
          <w:tcPr>
            <w:tcW w:w="1072" w:type="dxa"/>
          </w:tcPr>
          <w:p w14:paraId="5B35C34C" w14:textId="77777777" w:rsidR="00FA4AA8" w:rsidRDefault="0015611F">
            <w:pPr>
              <w:pStyle w:val="TableParagraph"/>
              <w:spacing w:before="25"/>
              <w:ind w:right="86"/>
              <w:jc w:val="right"/>
              <w:rPr>
                <w:sz w:val="16"/>
              </w:rPr>
            </w:pPr>
            <w:r>
              <w:rPr>
                <w:sz w:val="16"/>
              </w:rPr>
              <w:t>920,514</w:t>
            </w:r>
          </w:p>
        </w:tc>
        <w:tc>
          <w:tcPr>
            <w:tcW w:w="1197" w:type="dxa"/>
          </w:tcPr>
          <w:p w14:paraId="38922D66" w14:textId="77777777" w:rsidR="00FA4AA8" w:rsidRDefault="0015611F">
            <w:pPr>
              <w:pStyle w:val="TableParagraph"/>
              <w:spacing w:before="25"/>
              <w:ind w:right="150"/>
              <w:jc w:val="right"/>
              <w:rPr>
                <w:sz w:val="16"/>
              </w:rPr>
            </w:pPr>
            <w:r>
              <w:rPr>
                <w:sz w:val="16"/>
              </w:rPr>
              <w:t>90,256</w:t>
            </w:r>
          </w:p>
        </w:tc>
        <w:tc>
          <w:tcPr>
            <w:tcW w:w="1082" w:type="dxa"/>
          </w:tcPr>
          <w:p w14:paraId="5AE48662" w14:textId="77777777" w:rsidR="00FA4AA8" w:rsidRDefault="0015611F">
            <w:pPr>
              <w:pStyle w:val="TableParagraph"/>
              <w:spacing w:before="25"/>
              <w:ind w:right="99"/>
              <w:jc w:val="right"/>
              <w:rPr>
                <w:sz w:val="16"/>
              </w:rPr>
            </w:pPr>
            <w:r>
              <w:rPr>
                <w:sz w:val="16"/>
              </w:rPr>
              <w:t>-</w:t>
            </w:r>
          </w:p>
        </w:tc>
        <w:tc>
          <w:tcPr>
            <w:tcW w:w="1261" w:type="dxa"/>
          </w:tcPr>
          <w:p w14:paraId="0C043FC3" w14:textId="77777777" w:rsidR="00FA4AA8" w:rsidRDefault="0015611F">
            <w:pPr>
              <w:pStyle w:val="TableParagraph"/>
              <w:spacing w:before="25"/>
              <w:ind w:right="164"/>
              <w:jc w:val="right"/>
              <w:rPr>
                <w:sz w:val="16"/>
              </w:rPr>
            </w:pPr>
            <w:r>
              <w:rPr>
                <w:sz w:val="16"/>
              </w:rPr>
              <w:t>-</w:t>
            </w:r>
          </w:p>
        </w:tc>
        <w:tc>
          <w:tcPr>
            <w:tcW w:w="1178" w:type="dxa"/>
          </w:tcPr>
          <w:p w14:paraId="1A0ECD5F" w14:textId="77777777" w:rsidR="00FA4AA8" w:rsidRDefault="0015611F">
            <w:pPr>
              <w:pStyle w:val="TableParagraph"/>
              <w:spacing w:before="25"/>
              <w:ind w:right="210"/>
              <w:jc w:val="right"/>
              <w:rPr>
                <w:sz w:val="16"/>
              </w:rPr>
            </w:pPr>
            <w:r>
              <w:rPr>
                <w:sz w:val="16"/>
              </w:rPr>
              <w:t>1,712</w:t>
            </w:r>
          </w:p>
        </w:tc>
        <w:tc>
          <w:tcPr>
            <w:tcW w:w="1178" w:type="dxa"/>
          </w:tcPr>
          <w:p w14:paraId="44E96B76" w14:textId="77777777" w:rsidR="00FA4AA8" w:rsidRDefault="0015611F">
            <w:pPr>
              <w:pStyle w:val="TableParagraph"/>
              <w:spacing w:before="25"/>
              <w:ind w:right="255"/>
              <w:jc w:val="right"/>
              <w:rPr>
                <w:sz w:val="16"/>
              </w:rPr>
            </w:pPr>
            <w:r>
              <w:rPr>
                <w:sz w:val="16"/>
              </w:rPr>
              <w:t>4,204</w:t>
            </w:r>
          </w:p>
        </w:tc>
        <w:tc>
          <w:tcPr>
            <w:tcW w:w="991" w:type="dxa"/>
          </w:tcPr>
          <w:p w14:paraId="49CC5F50" w14:textId="77777777" w:rsidR="00FA4AA8" w:rsidRDefault="0015611F">
            <w:pPr>
              <w:pStyle w:val="TableParagraph"/>
              <w:spacing w:before="25"/>
              <w:ind w:right="80"/>
              <w:jc w:val="right"/>
              <w:rPr>
                <w:sz w:val="16"/>
              </w:rPr>
            </w:pPr>
            <w:r>
              <w:rPr>
                <w:sz w:val="16"/>
              </w:rPr>
              <w:t>1,383,653</w:t>
            </w:r>
          </w:p>
        </w:tc>
      </w:tr>
      <w:tr w:rsidR="00FA4AA8" w14:paraId="6F0C666E" w14:textId="77777777">
        <w:trPr>
          <w:trHeight w:val="417"/>
        </w:trPr>
        <w:tc>
          <w:tcPr>
            <w:tcW w:w="415" w:type="dxa"/>
          </w:tcPr>
          <w:p w14:paraId="5A1F473B" w14:textId="77777777" w:rsidR="00FA4AA8" w:rsidRDefault="00FA4AA8">
            <w:pPr>
              <w:pStyle w:val="TableParagraph"/>
              <w:rPr>
                <w:rFonts w:ascii="Times New Roman"/>
                <w:sz w:val="16"/>
              </w:rPr>
            </w:pPr>
          </w:p>
        </w:tc>
        <w:tc>
          <w:tcPr>
            <w:tcW w:w="3050" w:type="dxa"/>
          </w:tcPr>
          <w:p w14:paraId="7CFC936C" w14:textId="77777777" w:rsidR="00FA4AA8" w:rsidRDefault="0015611F">
            <w:pPr>
              <w:pStyle w:val="TableParagraph"/>
              <w:spacing w:before="24"/>
              <w:ind w:left="69" w:right="808"/>
              <w:rPr>
                <w:sz w:val="16"/>
              </w:rPr>
            </w:pPr>
            <w:r>
              <w:rPr>
                <w:sz w:val="16"/>
              </w:rPr>
              <w:t>Accumulated depreciation and impairment</w:t>
            </w:r>
          </w:p>
        </w:tc>
        <w:tc>
          <w:tcPr>
            <w:tcW w:w="1133" w:type="dxa"/>
            <w:tcBorders>
              <w:bottom w:val="single" w:sz="8" w:space="0" w:color="000000"/>
            </w:tcBorders>
          </w:tcPr>
          <w:p w14:paraId="00B09325" w14:textId="77777777" w:rsidR="00FA4AA8" w:rsidRDefault="00FA4AA8">
            <w:pPr>
              <w:pStyle w:val="TableParagraph"/>
              <w:spacing w:before="11"/>
              <w:rPr>
                <w:sz w:val="17"/>
              </w:rPr>
            </w:pPr>
          </w:p>
          <w:p w14:paraId="11099E21" w14:textId="77777777" w:rsidR="00FA4AA8" w:rsidRDefault="0015611F">
            <w:pPr>
              <w:pStyle w:val="TableParagraph"/>
              <w:ind w:right="74"/>
              <w:jc w:val="right"/>
              <w:rPr>
                <w:sz w:val="16"/>
              </w:rPr>
            </w:pPr>
            <w:r>
              <w:rPr>
                <w:sz w:val="16"/>
              </w:rPr>
              <w:t>-</w:t>
            </w:r>
          </w:p>
        </w:tc>
        <w:tc>
          <w:tcPr>
            <w:tcW w:w="1182" w:type="dxa"/>
            <w:tcBorders>
              <w:bottom w:val="single" w:sz="8" w:space="0" w:color="000000"/>
            </w:tcBorders>
          </w:tcPr>
          <w:p w14:paraId="3904077F" w14:textId="77777777" w:rsidR="00FA4AA8" w:rsidRDefault="00FA4AA8">
            <w:pPr>
              <w:pStyle w:val="TableParagraph"/>
              <w:spacing w:before="11"/>
              <w:rPr>
                <w:sz w:val="17"/>
              </w:rPr>
            </w:pPr>
          </w:p>
          <w:p w14:paraId="6AA05841" w14:textId="77777777" w:rsidR="00FA4AA8" w:rsidRDefault="0015611F">
            <w:pPr>
              <w:pStyle w:val="TableParagraph"/>
              <w:ind w:right="123"/>
              <w:jc w:val="right"/>
              <w:rPr>
                <w:sz w:val="16"/>
              </w:rPr>
            </w:pPr>
            <w:r>
              <w:rPr>
                <w:sz w:val="16"/>
              </w:rPr>
              <w:t>-</w:t>
            </w:r>
          </w:p>
        </w:tc>
        <w:tc>
          <w:tcPr>
            <w:tcW w:w="1156" w:type="dxa"/>
            <w:tcBorders>
              <w:bottom w:val="single" w:sz="8" w:space="0" w:color="000000"/>
            </w:tcBorders>
          </w:tcPr>
          <w:p w14:paraId="2466B84A" w14:textId="77777777" w:rsidR="00FA4AA8" w:rsidRDefault="00FA4AA8">
            <w:pPr>
              <w:pStyle w:val="TableParagraph"/>
              <w:spacing w:before="11"/>
              <w:rPr>
                <w:sz w:val="17"/>
              </w:rPr>
            </w:pPr>
          </w:p>
          <w:p w14:paraId="13B8C055" w14:textId="77777777" w:rsidR="00FA4AA8" w:rsidRDefault="0015611F">
            <w:pPr>
              <w:pStyle w:val="TableParagraph"/>
              <w:ind w:right="146"/>
              <w:jc w:val="right"/>
              <w:rPr>
                <w:sz w:val="16"/>
              </w:rPr>
            </w:pPr>
            <w:r>
              <w:rPr>
                <w:sz w:val="16"/>
              </w:rPr>
              <w:t>-</w:t>
            </w:r>
          </w:p>
        </w:tc>
        <w:tc>
          <w:tcPr>
            <w:tcW w:w="1072" w:type="dxa"/>
            <w:tcBorders>
              <w:bottom w:val="single" w:sz="8" w:space="0" w:color="000000"/>
            </w:tcBorders>
          </w:tcPr>
          <w:p w14:paraId="31B7415D" w14:textId="77777777" w:rsidR="00FA4AA8" w:rsidRDefault="00FA4AA8">
            <w:pPr>
              <w:pStyle w:val="TableParagraph"/>
              <w:spacing w:before="11"/>
              <w:rPr>
                <w:sz w:val="17"/>
              </w:rPr>
            </w:pPr>
          </w:p>
          <w:p w14:paraId="5E53675F" w14:textId="77777777" w:rsidR="00FA4AA8" w:rsidRDefault="0015611F">
            <w:pPr>
              <w:pStyle w:val="TableParagraph"/>
              <w:ind w:right="33"/>
              <w:jc w:val="right"/>
              <w:rPr>
                <w:sz w:val="16"/>
              </w:rPr>
            </w:pPr>
            <w:r>
              <w:rPr>
                <w:sz w:val="16"/>
              </w:rPr>
              <w:t>(7,545)</w:t>
            </w:r>
          </w:p>
        </w:tc>
        <w:tc>
          <w:tcPr>
            <w:tcW w:w="1197" w:type="dxa"/>
            <w:tcBorders>
              <w:bottom w:val="single" w:sz="8" w:space="0" w:color="000000"/>
            </w:tcBorders>
          </w:tcPr>
          <w:p w14:paraId="40B19881" w14:textId="77777777" w:rsidR="00FA4AA8" w:rsidRDefault="00FA4AA8">
            <w:pPr>
              <w:pStyle w:val="TableParagraph"/>
              <w:spacing w:before="11"/>
              <w:rPr>
                <w:sz w:val="17"/>
              </w:rPr>
            </w:pPr>
          </w:p>
          <w:p w14:paraId="78346367" w14:textId="77777777" w:rsidR="00FA4AA8" w:rsidRDefault="0015611F">
            <w:pPr>
              <w:pStyle w:val="TableParagraph"/>
              <w:ind w:right="97"/>
              <w:jc w:val="right"/>
              <w:rPr>
                <w:sz w:val="16"/>
              </w:rPr>
            </w:pPr>
            <w:r>
              <w:rPr>
                <w:sz w:val="16"/>
              </w:rPr>
              <w:t>(1,425)</w:t>
            </w:r>
          </w:p>
        </w:tc>
        <w:tc>
          <w:tcPr>
            <w:tcW w:w="1082" w:type="dxa"/>
            <w:tcBorders>
              <w:bottom w:val="single" w:sz="8" w:space="0" w:color="000000"/>
            </w:tcBorders>
          </w:tcPr>
          <w:p w14:paraId="0CD65EC2" w14:textId="77777777" w:rsidR="00FA4AA8" w:rsidRDefault="00FA4AA8">
            <w:pPr>
              <w:pStyle w:val="TableParagraph"/>
              <w:spacing w:before="11"/>
              <w:rPr>
                <w:sz w:val="17"/>
              </w:rPr>
            </w:pPr>
          </w:p>
          <w:p w14:paraId="16FDE12A" w14:textId="77777777" w:rsidR="00FA4AA8" w:rsidRDefault="0015611F">
            <w:pPr>
              <w:pStyle w:val="TableParagraph"/>
              <w:ind w:right="46"/>
              <w:jc w:val="right"/>
              <w:rPr>
                <w:sz w:val="16"/>
              </w:rPr>
            </w:pPr>
            <w:r>
              <w:rPr>
                <w:sz w:val="16"/>
              </w:rPr>
              <w:t>(82,412)</w:t>
            </w:r>
          </w:p>
        </w:tc>
        <w:tc>
          <w:tcPr>
            <w:tcW w:w="1261" w:type="dxa"/>
            <w:tcBorders>
              <w:bottom w:val="single" w:sz="8" w:space="0" w:color="000000"/>
            </w:tcBorders>
          </w:tcPr>
          <w:p w14:paraId="24B3D3F0" w14:textId="77777777" w:rsidR="00FA4AA8" w:rsidRDefault="00FA4AA8">
            <w:pPr>
              <w:pStyle w:val="TableParagraph"/>
              <w:spacing w:before="11"/>
              <w:rPr>
                <w:sz w:val="17"/>
              </w:rPr>
            </w:pPr>
          </w:p>
          <w:p w14:paraId="21D66333" w14:textId="77777777" w:rsidR="00FA4AA8" w:rsidRDefault="0015611F">
            <w:pPr>
              <w:pStyle w:val="TableParagraph"/>
              <w:ind w:right="112"/>
              <w:jc w:val="right"/>
              <w:rPr>
                <w:sz w:val="16"/>
              </w:rPr>
            </w:pPr>
            <w:r>
              <w:rPr>
                <w:sz w:val="16"/>
              </w:rPr>
              <w:t>(10,994)</w:t>
            </w:r>
          </w:p>
        </w:tc>
        <w:tc>
          <w:tcPr>
            <w:tcW w:w="1178" w:type="dxa"/>
            <w:tcBorders>
              <w:bottom w:val="single" w:sz="8" w:space="0" w:color="000000"/>
            </w:tcBorders>
          </w:tcPr>
          <w:p w14:paraId="38A85A2B" w14:textId="77777777" w:rsidR="00FA4AA8" w:rsidRDefault="00FA4AA8">
            <w:pPr>
              <w:pStyle w:val="TableParagraph"/>
              <w:spacing w:before="11"/>
              <w:rPr>
                <w:sz w:val="17"/>
              </w:rPr>
            </w:pPr>
          </w:p>
          <w:p w14:paraId="2D97F7C4" w14:textId="77777777" w:rsidR="00FA4AA8" w:rsidRDefault="0015611F">
            <w:pPr>
              <w:pStyle w:val="TableParagraph"/>
              <w:ind w:right="157"/>
              <w:jc w:val="right"/>
              <w:rPr>
                <w:sz w:val="16"/>
              </w:rPr>
            </w:pPr>
            <w:r>
              <w:rPr>
                <w:sz w:val="16"/>
              </w:rPr>
              <w:t>(74,142)</w:t>
            </w:r>
          </w:p>
        </w:tc>
        <w:tc>
          <w:tcPr>
            <w:tcW w:w="1178" w:type="dxa"/>
            <w:tcBorders>
              <w:bottom w:val="single" w:sz="8" w:space="0" w:color="000000"/>
            </w:tcBorders>
          </w:tcPr>
          <w:p w14:paraId="3A08F35E" w14:textId="77777777" w:rsidR="00FA4AA8" w:rsidRDefault="00FA4AA8">
            <w:pPr>
              <w:pStyle w:val="TableParagraph"/>
              <w:spacing w:before="11"/>
              <w:rPr>
                <w:sz w:val="17"/>
              </w:rPr>
            </w:pPr>
          </w:p>
          <w:p w14:paraId="046D3CD6" w14:textId="77777777" w:rsidR="00FA4AA8" w:rsidRDefault="0015611F">
            <w:pPr>
              <w:pStyle w:val="TableParagraph"/>
              <w:ind w:right="255"/>
              <w:jc w:val="right"/>
              <w:rPr>
                <w:sz w:val="16"/>
              </w:rPr>
            </w:pPr>
            <w:r>
              <w:rPr>
                <w:sz w:val="16"/>
              </w:rPr>
              <w:t>-</w:t>
            </w:r>
          </w:p>
        </w:tc>
        <w:tc>
          <w:tcPr>
            <w:tcW w:w="991" w:type="dxa"/>
            <w:tcBorders>
              <w:bottom w:val="single" w:sz="8" w:space="0" w:color="000000"/>
            </w:tcBorders>
          </w:tcPr>
          <w:p w14:paraId="6DC38F7E" w14:textId="77777777" w:rsidR="00FA4AA8" w:rsidRDefault="00FA4AA8">
            <w:pPr>
              <w:pStyle w:val="TableParagraph"/>
              <w:spacing w:before="11"/>
              <w:rPr>
                <w:sz w:val="17"/>
              </w:rPr>
            </w:pPr>
          </w:p>
          <w:p w14:paraId="0264C5FF" w14:textId="77777777" w:rsidR="00FA4AA8" w:rsidRDefault="0015611F">
            <w:pPr>
              <w:pStyle w:val="TableParagraph"/>
              <w:ind w:right="27"/>
              <w:jc w:val="right"/>
              <w:rPr>
                <w:sz w:val="16"/>
              </w:rPr>
            </w:pPr>
            <w:r>
              <w:rPr>
                <w:sz w:val="16"/>
              </w:rPr>
              <w:t>(176,518)</w:t>
            </w:r>
          </w:p>
        </w:tc>
      </w:tr>
      <w:tr w:rsidR="00FA4AA8" w14:paraId="239B4237" w14:textId="77777777">
        <w:trPr>
          <w:trHeight w:val="296"/>
        </w:trPr>
        <w:tc>
          <w:tcPr>
            <w:tcW w:w="415" w:type="dxa"/>
          </w:tcPr>
          <w:p w14:paraId="49C27CE7" w14:textId="77777777" w:rsidR="00FA4AA8" w:rsidRDefault="00FA4AA8">
            <w:pPr>
              <w:pStyle w:val="TableParagraph"/>
              <w:rPr>
                <w:rFonts w:ascii="Times New Roman"/>
                <w:sz w:val="16"/>
              </w:rPr>
            </w:pPr>
          </w:p>
        </w:tc>
        <w:tc>
          <w:tcPr>
            <w:tcW w:w="3050" w:type="dxa"/>
          </w:tcPr>
          <w:p w14:paraId="453E8CE6" w14:textId="77777777" w:rsidR="00FA4AA8" w:rsidRDefault="0015611F">
            <w:pPr>
              <w:pStyle w:val="TableParagraph"/>
              <w:spacing w:before="114" w:line="162" w:lineRule="exact"/>
              <w:ind w:left="69"/>
              <w:rPr>
                <w:b/>
                <w:sz w:val="16"/>
              </w:rPr>
            </w:pPr>
            <w:r>
              <w:rPr>
                <w:b/>
                <w:sz w:val="16"/>
              </w:rPr>
              <w:t>Net book amount</w:t>
            </w:r>
          </w:p>
        </w:tc>
        <w:tc>
          <w:tcPr>
            <w:tcW w:w="1133" w:type="dxa"/>
            <w:tcBorders>
              <w:top w:val="single" w:sz="8" w:space="0" w:color="000000"/>
              <w:bottom w:val="single" w:sz="8" w:space="0" w:color="000000"/>
            </w:tcBorders>
          </w:tcPr>
          <w:p w14:paraId="0BB02B60" w14:textId="77777777" w:rsidR="00FA4AA8" w:rsidRDefault="0015611F">
            <w:pPr>
              <w:pStyle w:val="TableParagraph"/>
              <w:spacing w:before="114" w:line="162" w:lineRule="exact"/>
              <w:ind w:right="74"/>
              <w:jc w:val="right"/>
              <w:rPr>
                <w:sz w:val="16"/>
              </w:rPr>
            </w:pPr>
            <w:r>
              <w:rPr>
                <w:sz w:val="16"/>
              </w:rPr>
              <w:t>85,044</w:t>
            </w:r>
          </w:p>
        </w:tc>
        <w:tc>
          <w:tcPr>
            <w:tcW w:w="1182" w:type="dxa"/>
            <w:tcBorders>
              <w:top w:val="single" w:sz="8" w:space="0" w:color="000000"/>
              <w:bottom w:val="single" w:sz="8" w:space="0" w:color="000000"/>
            </w:tcBorders>
          </w:tcPr>
          <w:p w14:paraId="007CB0DC" w14:textId="77777777" w:rsidR="00FA4AA8" w:rsidRDefault="0015611F">
            <w:pPr>
              <w:pStyle w:val="TableParagraph"/>
              <w:spacing w:before="114" w:line="162" w:lineRule="exact"/>
              <w:ind w:right="123"/>
              <w:jc w:val="right"/>
              <w:rPr>
                <w:sz w:val="16"/>
              </w:rPr>
            </w:pPr>
            <w:r>
              <w:rPr>
                <w:sz w:val="16"/>
              </w:rPr>
              <w:t>204,632</w:t>
            </w:r>
          </w:p>
        </w:tc>
        <w:tc>
          <w:tcPr>
            <w:tcW w:w="1156" w:type="dxa"/>
            <w:tcBorders>
              <w:top w:val="single" w:sz="8" w:space="0" w:color="000000"/>
              <w:bottom w:val="single" w:sz="8" w:space="0" w:color="000000"/>
            </w:tcBorders>
          </w:tcPr>
          <w:p w14:paraId="4A999720" w14:textId="77777777" w:rsidR="00FA4AA8" w:rsidRDefault="0015611F">
            <w:pPr>
              <w:pStyle w:val="TableParagraph"/>
              <w:spacing w:before="114" w:line="162" w:lineRule="exact"/>
              <w:ind w:right="147"/>
              <w:jc w:val="right"/>
              <w:rPr>
                <w:sz w:val="16"/>
              </w:rPr>
            </w:pPr>
            <w:r>
              <w:rPr>
                <w:sz w:val="16"/>
              </w:rPr>
              <w:t>162,335</w:t>
            </w:r>
          </w:p>
        </w:tc>
        <w:tc>
          <w:tcPr>
            <w:tcW w:w="1072" w:type="dxa"/>
            <w:tcBorders>
              <w:top w:val="single" w:sz="8" w:space="0" w:color="000000"/>
              <w:bottom w:val="single" w:sz="8" w:space="0" w:color="000000"/>
            </w:tcBorders>
          </w:tcPr>
          <w:p w14:paraId="0147911A" w14:textId="77777777" w:rsidR="00FA4AA8" w:rsidRDefault="0015611F">
            <w:pPr>
              <w:pStyle w:val="TableParagraph"/>
              <w:spacing w:before="114" w:line="162" w:lineRule="exact"/>
              <w:ind w:right="86"/>
              <w:jc w:val="right"/>
              <w:rPr>
                <w:sz w:val="16"/>
              </w:rPr>
            </w:pPr>
            <w:r>
              <w:rPr>
                <w:sz w:val="16"/>
              </w:rPr>
              <w:t>960,757</w:t>
            </w:r>
          </w:p>
        </w:tc>
        <w:tc>
          <w:tcPr>
            <w:tcW w:w="1197" w:type="dxa"/>
            <w:tcBorders>
              <w:top w:val="single" w:sz="8" w:space="0" w:color="000000"/>
              <w:bottom w:val="single" w:sz="8" w:space="0" w:color="000000"/>
            </w:tcBorders>
          </w:tcPr>
          <w:p w14:paraId="319655A8" w14:textId="77777777" w:rsidR="00FA4AA8" w:rsidRDefault="0015611F">
            <w:pPr>
              <w:pStyle w:val="TableParagraph"/>
              <w:spacing w:before="114" w:line="162" w:lineRule="exact"/>
              <w:ind w:right="150"/>
              <w:jc w:val="right"/>
              <w:rPr>
                <w:sz w:val="16"/>
              </w:rPr>
            </w:pPr>
            <w:r>
              <w:rPr>
                <w:sz w:val="16"/>
              </w:rPr>
              <w:t>91,349</w:t>
            </w:r>
          </w:p>
        </w:tc>
        <w:tc>
          <w:tcPr>
            <w:tcW w:w="1082" w:type="dxa"/>
            <w:tcBorders>
              <w:top w:val="single" w:sz="8" w:space="0" w:color="000000"/>
              <w:bottom w:val="single" w:sz="8" w:space="0" w:color="000000"/>
            </w:tcBorders>
          </w:tcPr>
          <w:p w14:paraId="6F60E53F" w14:textId="77777777" w:rsidR="00FA4AA8" w:rsidRDefault="0015611F">
            <w:pPr>
              <w:pStyle w:val="TableParagraph"/>
              <w:spacing w:before="114" w:line="162" w:lineRule="exact"/>
              <w:ind w:right="99"/>
              <w:jc w:val="right"/>
              <w:rPr>
                <w:sz w:val="16"/>
              </w:rPr>
            </w:pPr>
            <w:r>
              <w:rPr>
                <w:sz w:val="16"/>
              </w:rPr>
              <w:t>66,165</w:t>
            </w:r>
          </w:p>
        </w:tc>
        <w:tc>
          <w:tcPr>
            <w:tcW w:w="1261" w:type="dxa"/>
            <w:tcBorders>
              <w:top w:val="single" w:sz="8" w:space="0" w:color="000000"/>
              <w:bottom w:val="single" w:sz="8" w:space="0" w:color="000000"/>
            </w:tcBorders>
          </w:tcPr>
          <w:p w14:paraId="734797B5" w14:textId="77777777" w:rsidR="00FA4AA8" w:rsidRDefault="0015611F">
            <w:pPr>
              <w:pStyle w:val="TableParagraph"/>
              <w:spacing w:before="114" w:line="162" w:lineRule="exact"/>
              <w:ind w:right="165"/>
              <w:jc w:val="right"/>
              <w:rPr>
                <w:sz w:val="16"/>
              </w:rPr>
            </w:pPr>
            <w:r>
              <w:rPr>
                <w:sz w:val="16"/>
              </w:rPr>
              <w:t>16,871</w:t>
            </w:r>
          </w:p>
        </w:tc>
        <w:tc>
          <w:tcPr>
            <w:tcW w:w="1178" w:type="dxa"/>
            <w:tcBorders>
              <w:top w:val="single" w:sz="8" w:space="0" w:color="000000"/>
              <w:bottom w:val="single" w:sz="8" w:space="0" w:color="000000"/>
            </w:tcBorders>
          </w:tcPr>
          <w:p w14:paraId="1C94000E" w14:textId="77777777" w:rsidR="00FA4AA8" w:rsidRDefault="0015611F">
            <w:pPr>
              <w:pStyle w:val="TableParagraph"/>
              <w:spacing w:before="114" w:line="162" w:lineRule="exact"/>
              <w:ind w:right="210"/>
              <w:jc w:val="right"/>
              <w:rPr>
                <w:sz w:val="16"/>
              </w:rPr>
            </w:pPr>
            <w:r>
              <w:rPr>
                <w:sz w:val="16"/>
              </w:rPr>
              <w:t>8,709</w:t>
            </w:r>
          </w:p>
        </w:tc>
        <w:tc>
          <w:tcPr>
            <w:tcW w:w="1178" w:type="dxa"/>
            <w:tcBorders>
              <w:top w:val="single" w:sz="8" w:space="0" w:color="000000"/>
              <w:bottom w:val="single" w:sz="8" w:space="0" w:color="000000"/>
            </w:tcBorders>
          </w:tcPr>
          <w:p w14:paraId="74D2D1F4" w14:textId="77777777" w:rsidR="00FA4AA8" w:rsidRDefault="0015611F">
            <w:pPr>
              <w:pStyle w:val="TableParagraph"/>
              <w:spacing w:before="114" w:line="162" w:lineRule="exact"/>
              <w:ind w:right="255"/>
              <w:jc w:val="right"/>
              <w:rPr>
                <w:sz w:val="16"/>
              </w:rPr>
            </w:pPr>
            <w:r>
              <w:rPr>
                <w:sz w:val="16"/>
              </w:rPr>
              <w:t>4,204</w:t>
            </w:r>
          </w:p>
        </w:tc>
        <w:tc>
          <w:tcPr>
            <w:tcW w:w="991" w:type="dxa"/>
            <w:tcBorders>
              <w:top w:val="single" w:sz="8" w:space="0" w:color="000000"/>
              <w:bottom w:val="single" w:sz="8" w:space="0" w:color="000000"/>
            </w:tcBorders>
          </w:tcPr>
          <w:p w14:paraId="56CD78AC" w14:textId="77777777" w:rsidR="00FA4AA8" w:rsidRDefault="0015611F">
            <w:pPr>
              <w:pStyle w:val="TableParagraph"/>
              <w:spacing w:before="114" w:line="162" w:lineRule="exact"/>
              <w:ind w:right="80"/>
              <w:jc w:val="right"/>
              <w:rPr>
                <w:sz w:val="16"/>
              </w:rPr>
            </w:pPr>
            <w:r>
              <w:rPr>
                <w:sz w:val="16"/>
              </w:rPr>
              <w:t>1,600,066</w:t>
            </w:r>
          </w:p>
        </w:tc>
      </w:tr>
      <w:tr w:rsidR="00FA4AA8" w14:paraId="26C25CC1" w14:textId="77777777">
        <w:trPr>
          <w:trHeight w:val="315"/>
        </w:trPr>
        <w:tc>
          <w:tcPr>
            <w:tcW w:w="415" w:type="dxa"/>
          </w:tcPr>
          <w:p w14:paraId="164808C2" w14:textId="77777777" w:rsidR="00FA4AA8" w:rsidRDefault="00FA4AA8">
            <w:pPr>
              <w:pStyle w:val="TableParagraph"/>
              <w:rPr>
                <w:rFonts w:ascii="Times New Roman"/>
                <w:sz w:val="16"/>
              </w:rPr>
            </w:pPr>
          </w:p>
        </w:tc>
        <w:tc>
          <w:tcPr>
            <w:tcW w:w="3050" w:type="dxa"/>
          </w:tcPr>
          <w:p w14:paraId="6484A69C" w14:textId="77777777" w:rsidR="00FA4AA8" w:rsidRDefault="0015611F">
            <w:pPr>
              <w:pStyle w:val="TableParagraph"/>
              <w:spacing w:before="114" w:line="181" w:lineRule="exact"/>
              <w:ind w:left="69"/>
              <w:rPr>
                <w:b/>
                <w:sz w:val="16"/>
              </w:rPr>
            </w:pPr>
            <w:r>
              <w:rPr>
                <w:b/>
                <w:sz w:val="16"/>
              </w:rPr>
              <w:t>Year ended 31 December 2017</w:t>
            </w:r>
          </w:p>
        </w:tc>
        <w:tc>
          <w:tcPr>
            <w:tcW w:w="1133" w:type="dxa"/>
            <w:tcBorders>
              <w:top w:val="single" w:sz="8" w:space="0" w:color="000000"/>
            </w:tcBorders>
          </w:tcPr>
          <w:p w14:paraId="4FF887FC" w14:textId="77777777" w:rsidR="00FA4AA8" w:rsidRDefault="00FA4AA8">
            <w:pPr>
              <w:pStyle w:val="TableParagraph"/>
              <w:rPr>
                <w:rFonts w:ascii="Times New Roman"/>
                <w:sz w:val="16"/>
              </w:rPr>
            </w:pPr>
          </w:p>
        </w:tc>
        <w:tc>
          <w:tcPr>
            <w:tcW w:w="1182" w:type="dxa"/>
            <w:tcBorders>
              <w:top w:val="single" w:sz="8" w:space="0" w:color="000000"/>
            </w:tcBorders>
          </w:tcPr>
          <w:p w14:paraId="0C85BC2C" w14:textId="77777777" w:rsidR="00FA4AA8" w:rsidRDefault="00FA4AA8">
            <w:pPr>
              <w:pStyle w:val="TableParagraph"/>
              <w:rPr>
                <w:rFonts w:ascii="Times New Roman"/>
                <w:sz w:val="16"/>
              </w:rPr>
            </w:pPr>
          </w:p>
        </w:tc>
        <w:tc>
          <w:tcPr>
            <w:tcW w:w="1156" w:type="dxa"/>
            <w:tcBorders>
              <w:top w:val="single" w:sz="8" w:space="0" w:color="000000"/>
            </w:tcBorders>
          </w:tcPr>
          <w:p w14:paraId="01908D80" w14:textId="77777777" w:rsidR="00FA4AA8" w:rsidRDefault="00FA4AA8">
            <w:pPr>
              <w:pStyle w:val="TableParagraph"/>
              <w:rPr>
                <w:rFonts w:ascii="Times New Roman"/>
                <w:sz w:val="16"/>
              </w:rPr>
            </w:pPr>
          </w:p>
        </w:tc>
        <w:tc>
          <w:tcPr>
            <w:tcW w:w="1072" w:type="dxa"/>
            <w:tcBorders>
              <w:top w:val="single" w:sz="8" w:space="0" w:color="000000"/>
            </w:tcBorders>
          </w:tcPr>
          <w:p w14:paraId="21910CBE" w14:textId="77777777" w:rsidR="00FA4AA8" w:rsidRDefault="00FA4AA8">
            <w:pPr>
              <w:pStyle w:val="TableParagraph"/>
              <w:rPr>
                <w:rFonts w:ascii="Times New Roman"/>
                <w:sz w:val="16"/>
              </w:rPr>
            </w:pPr>
          </w:p>
        </w:tc>
        <w:tc>
          <w:tcPr>
            <w:tcW w:w="1197" w:type="dxa"/>
            <w:tcBorders>
              <w:top w:val="single" w:sz="8" w:space="0" w:color="000000"/>
            </w:tcBorders>
          </w:tcPr>
          <w:p w14:paraId="54A29310" w14:textId="77777777" w:rsidR="00FA4AA8" w:rsidRDefault="00FA4AA8">
            <w:pPr>
              <w:pStyle w:val="TableParagraph"/>
              <w:rPr>
                <w:rFonts w:ascii="Times New Roman"/>
                <w:sz w:val="16"/>
              </w:rPr>
            </w:pPr>
          </w:p>
        </w:tc>
        <w:tc>
          <w:tcPr>
            <w:tcW w:w="1082" w:type="dxa"/>
            <w:tcBorders>
              <w:top w:val="single" w:sz="8" w:space="0" w:color="000000"/>
            </w:tcBorders>
          </w:tcPr>
          <w:p w14:paraId="7BF0C16F" w14:textId="77777777" w:rsidR="00FA4AA8" w:rsidRDefault="00FA4AA8">
            <w:pPr>
              <w:pStyle w:val="TableParagraph"/>
              <w:rPr>
                <w:rFonts w:ascii="Times New Roman"/>
                <w:sz w:val="16"/>
              </w:rPr>
            </w:pPr>
          </w:p>
        </w:tc>
        <w:tc>
          <w:tcPr>
            <w:tcW w:w="1261" w:type="dxa"/>
            <w:tcBorders>
              <w:top w:val="single" w:sz="8" w:space="0" w:color="000000"/>
            </w:tcBorders>
          </w:tcPr>
          <w:p w14:paraId="5E39C824" w14:textId="77777777" w:rsidR="00FA4AA8" w:rsidRDefault="00FA4AA8">
            <w:pPr>
              <w:pStyle w:val="TableParagraph"/>
              <w:rPr>
                <w:rFonts w:ascii="Times New Roman"/>
                <w:sz w:val="16"/>
              </w:rPr>
            </w:pPr>
          </w:p>
        </w:tc>
        <w:tc>
          <w:tcPr>
            <w:tcW w:w="1178" w:type="dxa"/>
            <w:tcBorders>
              <w:top w:val="single" w:sz="8" w:space="0" w:color="000000"/>
            </w:tcBorders>
          </w:tcPr>
          <w:p w14:paraId="69C000FD" w14:textId="77777777" w:rsidR="00FA4AA8" w:rsidRDefault="00FA4AA8">
            <w:pPr>
              <w:pStyle w:val="TableParagraph"/>
              <w:rPr>
                <w:rFonts w:ascii="Times New Roman"/>
                <w:sz w:val="16"/>
              </w:rPr>
            </w:pPr>
          </w:p>
        </w:tc>
        <w:tc>
          <w:tcPr>
            <w:tcW w:w="1178" w:type="dxa"/>
            <w:tcBorders>
              <w:top w:val="single" w:sz="8" w:space="0" w:color="000000"/>
            </w:tcBorders>
          </w:tcPr>
          <w:p w14:paraId="05F2EA0B" w14:textId="77777777" w:rsidR="00FA4AA8" w:rsidRDefault="00FA4AA8">
            <w:pPr>
              <w:pStyle w:val="TableParagraph"/>
              <w:rPr>
                <w:rFonts w:ascii="Times New Roman"/>
                <w:sz w:val="16"/>
              </w:rPr>
            </w:pPr>
          </w:p>
        </w:tc>
        <w:tc>
          <w:tcPr>
            <w:tcW w:w="991" w:type="dxa"/>
            <w:tcBorders>
              <w:top w:val="single" w:sz="8" w:space="0" w:color="000000"/>
            </w:tcBorders>
          </w:tcPr>
          <w:p w14:paraId="53094C56" w14:textId="77777777" w:rsidR="00FA4AA8" w:rsidRDefault="00FA4AA8">
            <w:pPr>
              <w:pStyle w:val="TableParagraph"/>
              <w:rPr>
                <w:rFonts w:ascii="Times New Roman"/>
                <w:sz w:val="16"/>
              </w:rPr>
            </w:pPr>
          </w:p>
        </w:tc>
      </w:tr>
      <w:tr w:rsidR="00FA4AA8" w14:paraId="05C11DB4" w14:textId="77777777">
        <w:trPr>
          <w:trHeight w:val="229"/>
        </w:trPr>
        <w:tc>
          <w:tcPr>
            <w:tcW w:w="415" w:type="dxa"/>
          </w:tcPr>
          <w:p w14:paraId="096D25F8" w14:textId="77777777" w:rsidR="00FA4AA8" w:rsidRDefault="00FA4AA8">
            <w:pPr>
              <w:pStyle w:val="TableParagraph"/>
              <w:rPr>
                <w:rFonts w:ascii="Times New Roman"/>
                <w:sz w:val="16"/>
              </w:rPr>
            </w:pPr>
          </w:p>
        </w:tc>
        <w:tc>
          <w:tcPr>
            <w:tcW w:w="3050" w:type="dxa"/>
          </w:tcPr>
          <w:p w14:paraId="3B564401" w14:textId="77777777" w:rsidR="00FA4AA8" w:rsidRDefault="0015611F">
            <w:pPr>
              <w:pStyle w:val="TableParagraph"/>
              <w:spacing w:before="15"/>
              <w:ind w:left="69"/>
              <w:rPr>
                <w:sz w:val="16"/>
              </w:rPr>
            </w:pPr>
            <w:r>
              <w:rPr>
                <w:sz w:val="16"/>
              </w:rPr>
              <w:t>Opening Net book amount</w:t>
            </w:r>
          </w:p>
        </w:tc>
        <w:tc>
          <w:tcPr>
            <w:tcW w:w="1133" w:type="dxa"/>
          </w:tcPr>
          <w:p w14:paraId="777BBAF1" w14:textId="77777777" w:rsidR="00FA4AA8" w:rsidRDefault="0015611F">
            <w:pPr>
              <w:pStyle w:val="TableParagraph"/>
              <w:spacing w:before="12"/>
              <w:ind w:right="74"/>
              <w:jc w:val="right"/>
              <w:rPr>
                <w:sz w:val="16"/>
              </w:rPr>
            </w:pPr>
            <w:r>
              <w:rPr>
                <w:sz w:val="16"/>
              </w:rPr>
              <w:t>85,044</w:t>
            </w:r>
          </w:p>
        </w:tc>
        <w:tc>
          <w:tcPr>
            <w:tcW w:w="1182" w:type="dxa"/>
          </w:tcPr>
          <w:p w14:paraId="60BFB4EC" w14:textId="77777777" w:rsidR="00FA4AA8" w:rsidRDefault="0015611F">
            <w:pPr>
              <w:pStyle w:val="TableParagraph"/>
              <w:spacing w:before="12"/>
              <w:ind w:right="123"/>
              <w:jc w:val="right"/>
              <w:rPr>
                <w:sz w:val="16"/>
              </w:rPr>
            </w:pPr>
            <w:r>
              <w:rPr>
                <w:sz w:val="16"/>
              </w:rPr>
              <w:t>204,632</w:t>
            </w:r>
          </w:p>
        </w:tc>
        <w:tc>
          <w:tcPr>
            <w:tcW w:w="1156" w:type="dxa"/>
          </w:tcPr>
          <w:p w14:paraId="358CA7DD" w14:textId="77777777" w:rsidR="00FA4AA8" w:rsidRDefault="0015611F">
            <w:pPr>
              <w:pStyle w:val="TableParagraph"/>
              <w:spacing w:before="12"/>
              <w:ind w:right="147"/>
              <w:jc w:val="right"/>
              <w:rPr>
                <w:sz w:val="16"/>
              </w:rPr>
            </w:pPr>
            <w:r>
              <w:rPr>
                <w:sz w:val="16"/>
              </w:rPr>
              <w:t>162,335</w:t>
            </w:r>
          </w:p>
        </w:tc>
        <w:tc>
          <w:tcPr>
            <w:tcW w:w="1072" w:type="dxa"/>
          </w:tcPr>
          <w:p w14:paraId="701092DD" w14:textId="77777777" w:rsidR="00FA4AA8" w:rsidRDefault="0015611F">
            <w:pPr>
              <w:pStyle w:val="TableParagraph"/>
              <w:spacing w:before="12"/>
              <w:ind w:right="86"/>
              <w:jc w:val="right"/>
              <w:rPr>
                <w:sz w:val="16"/>
              </w:rPr>
            </w:pPr>
            <w:r>
              <w:rPr>
                <w:sz w:val="16"/>
              </w:rPr>
              <w:t>960,757</w:t>
            </w:r>
          </w:p>
        </w:tc>
        <w:tc>
          <w:tcPr>
            <w:tcW w:w="1197" w:type="dxa"/>
          </w:tcPr>
          <w:p w14:paraId="46DF105C" w14:textId="77777777" w:rsidR="00FA4AA8" w:rsidRDefault="0015611F">
            <w:pPr>
              <w:pStyle w:val="TableParagraph"/>
              <w:spacing w:before="12"/>
              <w:ind w:right="150"/>
              <w:jc w:val="right"/>
              <w:rPr>
                <w:sz w:val="16"/>
              </w:rPr>
            </w:pPr>
            <w:r>
              <w:rPr>
                <w:sz w:val="16"/>
              </w:rPr>
              <w:t>91,349</w:t>
            </w:r>
          </w:p>
        </w:tc>
        <w:tc>
          <w:tcPr>
            <w:tcW w:w="1082" w:type="dxa"/>
          </w:tcPr>
          <w:p w14:paraId="76837ECC" w14:textId="77777777" w:rsidR="00FA4AA8" w:rsidRDefault="0015611F">
            <w:pPr>
              <w:pStyle w:val="TableParagraph"/>
              <w:spacing w:before="12"/>
              <w:ind w:right="99"/>
              <w:jc w:val="right"/>
              <w:rPr>
                <w:sz w:val="16"/>
              </w:rPr>
            </w:pPr>
            <w:r>
              <w:rPr>
                <w:sz w:val="16"/>
              </w:rPr>
              <w:t>66,165</w:t>
            </w:r>
          </w:p>
        </w:tc>
        <w:tc>
          <w:tcPr>
            <w:tcW w:w="1261" w:type="dxa"/>
          </w:tcPr>
          <w:p w14:paraId="2DA44F19" w14:textId="77777777" w:rsidR="00FA4AA8" w:rsidRDefault="0015611F">
            <w:pPr>
              <w:pStyle w:val="TableParagraph"/>
              <w:spacing w:before="12"/>
              <w:ind w:right="165"/>
              <w:jc w:val="right"/>
              <w:rPr>
                <w:sz w:val="16"/>
              </w:rPr>
            </w:pPr>
            <w:r>
              <w:rPr>
                <w:sz w:val="16"/>
              </w:rPr>
              <w:t>16,871</w:t>
            </w:r>
          </w:p>
        </w:tc>
        <w:tc>
          <w:tcPr>
            <w:tcW w:w="1178" w:type="dxa"/>
          </w:tcPr>
          <w:p w14:paraId="137B36A5" w14:textId="77777777" w:rsidR="00FA4AA8" w:rsidRDefault="0015611F">
            <w:pPr>
              <w:pStyle w:val="TableParagraph"/>
              <w:spacing w:before="12"/>
              <w:ind w:right="210"/>
              <w:jc w:val="right"/>
              <w:rPr>
                <w:sz w:val="16"/>
              </w:rPr>
            </w:pPr>
            <w:r>
              <w:rPr>
                <w:sz w:val="16"/>
              </w:rPr>
              <w:t>8,709</w:t>
            </w:r>
          </w:p>
        </w:tc>
        <w:tc>
          <w:tcPr>
            <w:tcW w:w="1178" w:type="dxa"/>
          </w:tcPr>
          <w:p w14:paraId="78EC1322" w14:textId="77777777" w:rsidR="00FA4AA8" w:rsidRDefault="0015611F">
            <w:pPr>
              <w:pStyle w:val="TableParagraph"/>
              <w:spacing w:before="12"/>
              <w:ind w:right="255"/>
              <w:jc w:val="right"/>
              <w:rPr>
                <w:sz w:val="16"/>
              </w:rPr>
            </w:pPr>
            <w:r>
              <w:rPr>
                <w:sz w:val="16"/>
              </w:rPr>
              <w:t>4,204</w:t>
            </w:r>
          </w:p>
        </w:tc>
        <w:tc>
          <w:tcPr>
            <w:tcW w:w="991" w:type="dxa"/>
          </w:tcPr>
          <w:p w14:paraId="13A6EC3A" w14:textId="77777777" w:rsidR="00FA4AA8" w:rsidRDefault="0015611F">
            <w:pPr>
              <w:pStyle w:val="TableParagraph"/>
              <w:spacing w:before="12"/>
              <w:ind w:right="80"/>
              <w:jc w:val="right"/>
              <w:rPr>
                <w:sz w:val="16"/>
              </w:rPr>
            </w:pPr>
            <w:r>
              <w:rPr>
                <w:sz w:val="16"/>
              </w:rPr>
              <w:t>1,600,066</w:t>
            </w:r>
          </w:p>
        </w:tc>
      </w:tr>
      <w:tr w:rsidR="00FA4AA8" w14:paraId="0B3DAA97" w14:textId="77777777">
        <w:trPr>
          <w:trHeight w:val="242"/>
        </w:trPr>
        <w:tc>
          <w:tcPr>
            <w:tcW w:w="415" w:type="dxa"/>
          </w:tcPr>
          <w:p w14:paraId="5C9D3172" w14:textId="77777777" w:rsidR="00FA4AA8" w:rsidRDefault="00FA4AA8">
            <w:pPr>
              <w:pStyle w:val="TableParagraph"/>
              <w:rPr>
                <w:rFonts w:ascii="Times New Roman"/>
                <w:sz w:val="16"/>
              </w:rPr>
            </w:pPr>
          </w:p>
        </w:tc>
        <w:tc>
          <w:tcPr>
            <w:tcW w:w="3050" w:type="dxa"/>
          </w:tcPr>
          <w:p w14:paraId="157EBEF4" w14:textId="77777777" w:rsidR="00FA4AA8" w:rsidRDefault="0015611F">
            <w:pPr>
              <w:pStyle w:val="TableParagraph"/>
              <w:spacing w:before="28"/>
              <w:ind w:left="69"/>
              <w:rPr>
                <w:sz w:val="16"/>
              </w:rPr>
            </w:pPr>
            <w:r>
              <w:rPr>
                <w:sz w:val="16"/>
              </w:rPr>
              <w:t>Revaluation Surplus</w:t>
            </w:r>
          </w:p>
        </w:tc>
        <w:tc>
          <w:tcPr>
            <w:tcW w:w="1133" w:type="dxa"/>
          </w:tcPr>
          <w:p w14:paraId="3A7056A1" w14:textId="77777777" w:rsidR="00FA4AA8" w:rsidRDefault="0015611F">
            <w:pPr>
              <w:pStyle w:val="TableParagraph"/>
              <w:spacing w:before="25"/>
              <w:ind w:right="74"/>
              <w:jc w:val="right"/>
              <w:rPr>
                <w:sz w:val="16"/>
              </w:rPr>
            </w:pPr>
            <w:r>
              <w:rPr>
                <w:sz w:val="16"/>
              </w:rPr>
              <w:t>-</w:t>
            </w:r>
          </w:p>
        </w:tc>
        <w:tc>
          <w:tcPr>
            <w:tcW w:w="1182" w:type="dxa"/>
          </w:tcPr>
          <w:p w14:paraId="02B83CFA" w14:textId="77777777" w:rsidR="00FA4AA8" w:rsidRDefault="0015611F">
            <w:pPr>
              <w:pStyle w:val="TableParagraph"/>
              <w:spacing w:before="25"/>
              <w:ind w:right="123"/>
              <w:jc w:val="right"/>
              <w:rPr>
                <w:sz w:val="16"/>
              </w:rPr>
            </w:pPr>
            <w:r>
              <w:rPr>
                <w:sz w:val="16"/>
              </w:rPr>
              <w:t>107,122</w:t>
            </w:r>
          </w:p>
        </w:tc>
        <w:tc>
          <w:tcPr>
            <w:tcW w:w="1156" w:type="dxa"/>
          </w:tcPr>
          <w:p w14:paraId="7107F82B" w14:textId="77777777" w:rsidR="00FA4AA8" w:rsidRDefault="0015611F">
            <w:pPr>
              <w:pStyle w:val="TableParagraph"/>
              <w:spacing w:before="25"/>
              <w:ind w:right="146"/>
              <w:jc w:val="right"/>
              <w:rPr>
                <w:sz w:val="16"/>
              </w:rPr>
            </w:pPr>
            <w:r>
              <w:rPr>
                <w:sz w:val="16"/>
              </w:rPr>
              <w:t>59,405</w:t>
            </w:r>
          </w:p>
        </w:tc>
        <w:tc>
          <w:tcPr>
            <w:tcW w:w="1072" w:type="dxa"/>
          </w:tcPr>
          <w:p w14:paraId="59C8700D" w14:textId="77777777" w:rsidR="00FA4AA8" w:rsidRDefault="0015611F">
            <w:pPr>
              <w:pStyle w:val="TableParagraph"/>
              <w:spacing w:before="25"/>
              <w:ind w:right="86"/>
              <w:jc w:val="right"/>
              <w:rPr>
                <w:sz w:val="16"/>
              </w:rPr>
            </w:pPr>
            <w:r>
              <w:rPr>
                <w:sz w:val="16"/>
              </w:rPr>
              <w:t>19,269</w:t>
            </w:r>
          </w:p>
        </w:tc>
        <w:tc>
          <w:tcPr>
            <w:tcW w:w="1197" w:type="dxa"/>
          </w:tcPr>
          <w:p w14:paraId="797F78D0" w14:textId="77777777" w:rsidR="00FA4AA8" w:rsidRDefault="0015611F">
            <w:pPr>
              <w:pStyle w:val="TableParagraph"/>
              <w:spacing w:before="25"/>
              <w:ind w:right="150"/>
              <w:jc w:val="right"/>
              <w:rPr>
                <w:sz w:val="16"/>
              </w:rPr>
            </w:pPr>
            <w:r>
              <w:rPr>
                <w:sz w:val="16"/>
              </w:rPr>
              <w:t>14,507</w:t>
            </w:r>
          </w:p>
        </w:tc>
        <w:tc>
          <w:tcPr>
            <w:tcW w:w="1082" w:type="dxa"/>
          </w:tcPr>
          <w:p w14:paraId="2A4AB874" w14:textId="77777777" w:rsidR="00FA4AA8" w:rsidRDefault="0015611F">
            <w:pPr>
              <w:pStyle w:val="TableParagraph"/>
              <w:spacing w:before="25"/>
              <w:ind w:right="99"/>
              <w:jc w:val="right"/>
              <w:rPr>
                <w:sz w:val="16"/>
              </w:rPr>
            </w:pPr>
            <w:r>
              <w:rPr>
                <w:sz w:val="16"/>
              </w:rPr>
              <w:t>-</w:t>
            </w:r>
          </w:p>
        </w:tc>
        <w:tc>
          <w:tcPr>
            <w:tcW w:w="1261" w:type="dxa"/>
          </w:tcPr>
          <w:p w14:paraId="0F92FB68" w14:textId="77777777" w:rsidR="00FA4AA8" w:rsidRDefault="0015611F">
            <w:pPr>
              <w:pStyle w:val="TableParagraph"/>
              <w:spacing w:before="25"/>
              <w:ind w:right="164"/>
              <w:jc w:val="right"/>
              <w:rPr>
                <w:sz w:val="16"/>
              </w:rPr>
            </w:pPr>
            <w:r>
              <w:rPr>
                <w:sz w:val="16"/>
              </w:rPr>
              <w:t>-</w:t>
            </w:r>
          </w:p>
        </w:tc>
        <w:tc>
          <w:tcPr>
            <w:tcW w:w="1178" w:type="dxa"/>
          </w:tcPr>
          <w:p w14:paraId="14C38047" w14:textId="77777777" w:rsidR="00FA4AA8" w:rsidRDefault="0015611F">
            <w:pPr>
              <w:pStyle w:val="TableParagraph"/>
              <w:spacing w:before="25"/>
              <w:ind w:right="210"/>
              <w:jc w:val="right"/>
              <w:rPr>
                <w:sz w:val="16"/>
              </w:rPr>
            </w:pPr>
            <w:r>
              <w:rPr>
                <w:sz w:val="16"/>
              </w:rPr>
              <w:t>-</w:t>
            </w:r>
          </w:p>
        </w:tc>
        <w:tc>
          <w:tcPr>
            <w:tcW w:w="1178" w:type="dxa"/>
          </w:tcPr>
          <w:p w14:paraId="2B1CDFD0" w14:textId="77777777" w:rsidR="00FA4AA8" w:rsidRDefault="0015611F">
            <w:pPr>
              <w:pStyle w:val="TableParagraph"/>
              <w:spacing w:before="25"/>
              <w:ind w:right="255"/>
              <w:jc w:val="right"/>
              <w:rPr>
                <w:sz w:val="16"/>
              </w:rPr>
            </w:pPr>
            <w:r>
              <w:rPr>
                <w:sz w:val="16"/>
              </w:rPr>
              <w:t>-</w:t>
            </w:r>
          </w:p>
        </w:tc>
        <w:tc>
          <w:tcPr>
            <w:tcW w:w="991" w:type="dxa"/>
          </w:tcPr>
          <w:p w14:paraId="0DC2F500" w14:textId="77777777" w:rsidR="00FA4AA8" w:rsidRDefault="0015611F">
            <w:pPr>
              <w:pStyle w:val="TableParagraph"/>
              <w:spacing w:before="25"/>
              <w:ind w:right="80"/>
              <w:jc w:val="right"/>
              <w:rPr>
                <w:sz w:val="16"/>
              </w:rPr>
            </w:pPr>
            <w:r>
              <w:rPr>
                <w:sz w:val="16"/>
              </w:rPr>
              <w:t>200,303</w:t>
            </w:r>
          </w:p>
        </w:tc>
      </w:tr>
      <w:tr w:rsidR="00FA4AA8" w14:paraId="4DD14B6E" w14:textId="77777777">
        <w:trPr>
          <w:trHeight w:val="242"/>
        </w:trPr>
        <w:tc>
          <w:tcPr>
            <w:tcW w:w="415" w:type="dxa"/>
          </w:tcPr>
          <w:p w14:paraId="57C60F10" w14:textId="77777777" w:rsidR="00FA4AA8" w:rsidRDefault="00FA4AA8">
            <w:pPr>
              <w:pStyle w:val="TableParagraph"/>
              <w:rPr>
                <w:rFonts w:ascii="Times New Roman"/>
                <w:sz w:val="16"/>
              </w:rPr>
            </w:pPr>
          </w:p>
        </w:tc>
        <w:tc>
          <w:tcPr>
            <w:tcW w:w="3050" w:type="dxa"/>
          </w:tcPr>
          <w:p w14:paraId="643CB918" w14:textId="77777777" w:rsidR="00FA4AA8" w:rsidRDefault="0015611F">
            <w:pPr>
              <w:pStyle w:val="TableParagraph"/>
              <w:spacing w:before="28"/>
              <w:ind w:left="69"/>
              <w:rPr>
                <w:sz w:val="16"/>
              </w:rPr>
            </w:pPr>
            <w:r>
              <w:rPr>
                <w:sz w:val="16"/>
              </w:rPr>
              <w:t>Additions</w:t>
            </w:r>
          </w:p>
        </w:tc>
        <w:tc>
          <w:tcPr>
            <w:tcW w:w="1133" w:type="dxa"/>
          </w:tcPr>
          <w:p w14:paraId="0895B739" w14:textId="77777777" w:rsidR="00FA4AA8" w:rsidRDefault="0015611F">
            <w:pPr>
              <w:pStyle w:val="TableParagraph"/>
              <w:spacing w:before="25"/>
              <w:ind w:right="74"/>
              <w:jc w:val="right"/>
              <w:rPr>
                <w:sz w:val="16"/>
              </w:rPr>
            </w:pPr>
            <w:r>
              <w:rPr>
                <w:sz w:val="16"/>
              </w:rPr>
              <w:t>91,531</w:t>
            </w:r>
          </w:p>
        </w:tc>
        <w:tc>
          <w:tcPr>
            <w:tcW w:w="1182" w:type="dxa"/>
          </w:tcPr>
          <w:p w14:paraId="72A2AF97" w14:textId="77777777" w:rsidR="00FA4AA8" w:rsidRDefault="0015611F">
            <w:pPr>
              <w:pStyle w:val="TableParagraph"/>
              <w:spacing w:before="25"/>
              <w:ind w:right="123"/>
              <w:jc w:val="right"/>
              <w:rPr>
                <w:sz w:val="16"/>
              </w:rPr>
            </w:pPr>
            <w:r>
              <w:rPr>
                <w:sz w:val="16"/>
              </w:rPr>
              <w:t>-</w:t>
            </w:r>
          </w:p>
        </w:tc>
        <w:tc>
          <w:tcPr>
            <w:tcW w:w="1156" w:type="dxa"/>
          </w:tcPr>
          <w:p w14:paraId="6637224C" w14:textId="77777777" w:rsidR="00FA4AA8" w:rsidRDefault="0015611F">
            <w:pPr>
              <w:pStyle w:val="TableParagraph"/>
              <w:spacing w:before="25"/>
              <w:ind w:right="146"/>
              <w:jc w:val="right"/>
              <w:rPr>
                <w:sz w:val="16"/>
              </w:rPr>
            </w:pPr>
            <w:r>
              <w:rPr>
                <w:sz w:val="16"/>
              </w:rPr>
              <w:t>-</w:t>
            </w:r>
          </w:p>
        </w:tc>
        <w:tc>
          <w:tcPr>
            <w:tcW w:w="1072" w:type="dxa"/>
          </w:tcPr>
          <w:p w14:paraId="6C2BB3EB" w14:textId="77777777" w:rsidR="00FA4AA8" w:rsidRDefault="0015611F">
            <w:pPr>
              <w:pStyle w:val="TableParagraph"/>
              <w:spacing w:before="25"/>
              <w:ind w:right="85"/>
              <w:jc w:val="right"/>
              <w:rPr>
                <w:sz w:val="16"/>
              </w:rPr>
            </w:pPr>
            <w:r>
              <w:rPr>
                <w:sz w:val="16"/>
              </w:rPr>
              <w:t>-</w:t>
            </w:r>
          </w:p>
        </w:tc>
        <w:tc>
          <w:tcPr>
            <w:tcW w:w="1197" w:type="dxa"/>
          </w:tcPr>
          <w:p w14:paraId="63A2374E" w14:textId="77777777" w:rsidR="00FA4AA8" w:rsidRDefault="0015611F">
            <w:pPr>
              <w:pStyle w:val="TableParagraph"/>
              <w:spacing w:before="25"/>
              <w:ind w:right="149"/>
              <w:jc w:val="right"/>
              <w:rPr>
                <w:sz w:val="16"/>
              </w:rPr>
            </w:pPr>
            <w:r>
              <w:rPr>
                <w:sz w:val="16"/>
              </w:rPr>
              <w:t>-</w:t>
            </w:r>
          </w:p>
        </w:tc>
        <w:tc>
          <w:tcPr>
            <w:tcW w:w="1082" w:type="dxa"/>
          </w:tcPr>
          <w:p w14:paraId="61308BC4" w14:textId="77777777" w:rsidR="00FA4AA8" w:rsidRDefault="0015611F">
            <w:pPr>
              <w:pStyle w:val="TableParagraph"/>
              <w:spacing w:before="25"/>
              <w:ind w:right="99"/>
              <w:jc w:val="right"/>
              <w:rPr>
                <w:sz w:val="16"/>
              </w:rPr>
            </w:pPr>
            <w:r>
              <w:rPr>
                <w:sz w:val="16"/>
              </w:rPr>
              <w:t>8,359</w:t>
            </w:r>
          </w:p>
        </w:tc>
        <w:tc>
          <w:tcPr>
            <w:tcW w:w="1261" w:type="dxa"/>
          </w:tcPr>
          <w:p w14:paraId="1E6ED5A4" w14:textId="77777777" w:rsidR="00FA4AA8" w:rsidRDefault="0015611F">
            <w:pPr>
              <w:pStyle w:val="TableParagraph"/>
              <w:spacing w:before="25"/>
              <w:ind w:right="164"/>
              <w:jc w:val="right"/>
              <w:rPr>
                <w:sz w:val="16"/>
              </w:rPr>
            </w:pPr>
            <w:r>
              <w:rPr>
                <w:sz w:val="16"/>
              </w:rPr>
              <w:t>-</w:t>
            </w:r>
          </w:p>
        </w:tc>
        <w:tc>
          <w:tcPr>
            <w:tcW w:w="1178" w:type="dxa"/>
          </w:tcPr>
          <w:p w14:paraId="1D06BC96" w14:textId="77777777" w:rsidR="00FA4AA8" w:rsidRDefault="0015611F">
            <w:pPr>
              <w:pStyle w:val="TableParagraph"/>
              <w:spacing w:before="25"/>
              <w:ind w:right="210"/>
              <w:jc w:val="right"/>
              <w:rPr>
                <w:sz w:val="16"/>
              </w:rPr>
            </w:pPr>
            <w:r>
              <w:rPr>
                <w:sz w:val="16"/>
              </w:rPr>
              <w:t>1,991</w:t>
            </w:r>
          </w:p>
        </w:tc>
        <w:tc>
          <w:tcPr>
            <w:tcW w:w="1178" w:type="dxa"/>
          </w:tcPr>
          <w:p w14:paraId="267D8F53" w14:textId="77777777" w:rsidR="00FA4AA8" w:rsidRDefault="0015611F">
            <w:pPr>
              <w:pStyle w:val="TableParagraph"/>
              <w:spacing w:before="25"/>
              <w:ind w:right="256"/>
              <w:jc w:val="right"/>
              <w:rPr>
                <w:sz w:val="16"/>
              </w:rPr>
            </w:pPr>
            <w:r>
              <w:rPr>
                <w:sz w:val="16"/>
              </w:rPr>
              <w:t>87</w:t>
            </w:r>
          </w:p>
        </w:tc>
        <w:tc>
          <w:tcPr>
            <w:tcW w:w="991" w:type="dxa"/>
          </w:tcPr>
          <w:p w14:paraId="39F02BE9" w14:textId="77777777" w:rsidR="00FA4AA8" w:rsidRDefault="0015611F">
            <w:pPr>
              <w:pStyle w:val="TableParagraph"/>
              <w:spacing w:before="25"/>
              <w:ind w:right="80"/>
              <w:jc w:val="right"/>
              <w:rPr>
                <w:sz w:val="16"/>
              </w:rPr>
            </w:pPr>
            <w:r>
              <w:rPr>
                <w:sz w:val="16"/>
              </w:rPr>
              <w:t>101,968</w:t>
            </w:r>
          </w:p>
        </w:tc>
      </w:tr>
      <w:tr w:rsidR="00FA4AA8" w14:paraId="4441C8EE" w14:textId="77777777">
        <w:trPr>
          <w:trHeight w:val="242"/>
        </w:trPr>
        <w:tc>
          <w:tcPr>
            <w:tcW w:w="415" w:type="dxa"/>
          </w:tcPr>
          <w:p w14:paraId="7147A73B" w14:textId="77777777" w:rsidR="00FA4AA8" w:rsidRDefault="00FA4AA8">
            <w:pPr>
              <w:pStyle w:val="TableParagraph"/>
              <w:rPr>
                <w:rFonts w:ascii="Times New Roman"/>
                <w:sz w:val="16"/>
              </w:rPr>
            </w:pPr>
          </w:p>
        </w:tc>
        <w:tc>
          <w:tcPr>
            <w:tcW w:w="3050" w:type="dxa"/>
          </w:tcPr>
          <w:p w14:paraId="64E76E54" w14:textId="77777777" w:rsidR="00FA4AA8" w:rsidRDefault="0015611F">
            <w:pPr>
              <w:pStyle w:val="TableParagraph"/>
              <w:spacing w:before="28"/>
              <w:ind w:left="69"/>
              <w:rPr>
                <w:sz w:val="16"/>
              </w:rPr>
            </w:pPr>
            <w:r>
              <w:rPr>
                <w:sz w:val="16"/>
              </w:rPr>
              <w:t>Disposals</w:t>
            </w:r>
          </w:p>
        </w:tc>
        <w:tc>
          <w:tcPr>
            <w:tcW w:w="1133" w:type="dxa"/>
          </w:tcPr>
          <w:p w14:paraId="1D807BF0" w14:textId="77777777" w:rsidR="00FA4AA8" w:rsidRDefault="0015611F">
            <w:pPr>
              <w:pStyle w:val="TableParagraph"/>
              <w:spacing w:before="25"/>
              <w:ind w:right="21"/>
              <w:jc w:val="right"/>
              <w:rPr>
                <w:sz w:val="16"/>
              </w:rPr>
            </w:pPr>
            <w:r>
              <w:rPr>
                <w:sz w:val="16"/>
              </w:rPr>
              <w:t>(6,803)</w:t>
            </w:r>
          </w:p>
        </w:tc>
        <w:tc>
          <w:tcPr>
            <w:tcW w:w="1182" w:type="dxa"/>
          </w:tcPr>
          <w:p w14:paraId="651F5D7C" w14:textId="77777777" w:rsidR="00FA4AA8" w:rsidRDefault="0015611F">
            <w:pPr>
              <w:pStyle w:val="TableParagraph"/>
              <w:spacing w:before="25"/>
              <w:ind w:right="123"/>
              <w:jc w:val="right"/>
              <w:rPr>
                <w:sz w:val="16"/>
              </w:rPr>
            </w:pPr>
            <w:r>
              <w:rPr>
                <w:sz w:val="16"/>
              </w:rPr>
              <w:t>-</w:t>
            </w:r>
          </w:p>
        </w:tc>
        <w:tc>
          <w:tcPr>
            <w:tcW w:w="1156" w:type="dxa"/>
          </w:tcPr>
          <w:p w14:paraId="7F5239D5" w14:textId="77777777" w:rsidR="00FA4AA8" w:rsidRDefault="0015611F">
            <w:pPr>
              <w:pStyle w:val="TableParagraph"/>
              <w:spacing w:before="25"/>
              <w:ind w:right="146"/>
              <w:jc w:val="right"/>
              <w:rPr>
                <w:sz w:val="16"/>
              </w:rPr>
            </w:pPr>
            <w:r>
              <w:rPr>
                <w:sz w:val="16"/>
              </w:rPr>
              <w:t>-</w:t>
            </w:r>
          </w:p>
        </w:tc>
        <w:tc>
          <w:tcPr>
            <w:tcW w:w="1072" w:type="dxa"/>
          </w:tcPr>
          <w:p w14:paraId="10818DC7" w14:textId="77777777" w:rsidR="00FA4AA8" w:rsidRDefault="0015611F">
            <w:pPr>
              <w:pStyle w:val="TableParagraph"/>
              <w:spacing w:before="25"/>
              <w:ind w:right="85"/>
              <w:jc w:val="right"/>
              <w:rPr>
                <w:sz w:val="16"/>
              </w:rPr>
            </w:pPr>
            <w:r>
              <w:rPr>
                <w:sz w:val="16"/>
              </w:rPr>
              <w:t>-</w:t>
            </w:r>
          </w:p>
        </w:tc>
        <w:tc>
          <w:tcPr>
            <w:tcW w:w="1197" w:type="dxa"/>
          </w:tcPr>
          <w:p w14:paraId="5528C643" w14:textId="77777777" w:rsidR="00FA4AA8" w:rsidRDefault="0015611F">
            <w:pPr>
              <w:pStyle w:val="TableParagraph"/>
              <w:spacing w:before="25"/>
              <w:ind w:right="149"/>
              <w:jc w:val="right"/>
              <w:rPr>
                <w:sz w:val="16"/>
              </w:rPr>
            </w:pPr>
            <w:r>
              <w:rPr>
                <w:sz w:val="16"/>
              </w:rPr>
              <w:t>-</w:t>
            </w:r>
          </w:p>
        </w:tc>
        <w:tc>
          <w:tcPr>
            <w:tcW w:w="1082" w:type="dxa"/>
          </w:tcPr>
          <w:p w14:paraId="184AD04F" w14:textId="77777777" w:rsidR="00FA4AA8" w:rsidRDefault="0015611F">
            <w:pPr>
              <w:pStyle w:val="TableParagraph"/>
              <w:spacing w:before="25"/>
              <w:ind w:right="46"/>
              <w:jc w:val="right"/>
              <w:rPr>
                <w:sz w:val="16"/>
              </w:rPr>
            </w:pPr>
            <w:r>
              <w:rPr>
                <w:sz w:val="16"/>
              </w:rPr>
              <w:t>(240)</w:t>
            </w:r>
          </w:p>
        </w:tc>
        <w:tc>
          <w:tcPr>
            <w:tcW w:w="1261" w:type="dxa"/>
          </w:tcPr>
          <w:p w14:paraId="0926239F" w14:textId="77777777" w:rsidR="00FA4AA8" w:rsidRDefault="0015611F">
            <w:pPr>
              <w:pStyle w:val="TableParagraph"/>
              <w:spacing w:before="25"/>
              <w:ind w:right="164"/>
              <w:jc w:val="right"/>
              <w:rPr>
                <w:sz w:val="16"/>
              </w:rPr>
            </w:pPr>
            <w:r>
              <w:rPr>
                <w:sz w:val="16"/>
              </w:rPr>
              <w:t>-</w:t>
            </w:r>
          </w:p>
        </w:tc>
        <w:tc>
          <w:tcPr>
            <w:tcW w:w="1178" w:type="dxa"/>
          </w:tcPr>
          <w:p w14:paraId="173131BA" w14:textId="77777777" w:rsidR="00FA4AA8" w:rsidRDefault="0015611F">
            <w:pPr>
              <w:pStyle w:val="TableParagraph"/>
              <w:spacing w:before="25"/>
              <w:ind w:right="157"/>
              <w:jc w:val="right"/>
              <w:rPr>
                <w:sz w:val="16"/>
              </w:rPr>
            </w:pPr>
            <w:r>
              <w:rPr>
                <w:sz w:val="16"/>
              </w:rPr>
              <w:t>(285)</w:t>
            </w:r>
          </w:p>
        </w:tc>
        <w:tc>
          <w:tcPr>
            <w:tcW w:w="1178" w:type="dxa"/>
          </w:tcPr>
          <w:p w14:paraId="554D716E" w14:textId="77777777" w:rsidR="00FA4AA8" w:rsidRDefault="0015611F">
            <w:pPr>
              <w:pStyle w:val="TableParagraph"/>
              <w:spacing w:before="25"/>
              <w:ind w:right="203"/>
              <w:jc w:val="right"/>
              <w:rPr>
                <w:sz w:val="16"/>
              </w:rPr>
            </w:pPr>
            <w:r>
              <w:rPr>
                <w:sz w:val="16"/>
              </w:rPr>
              <w:t>(13)</w:t>
            </w:r>
          </w:p>
        </w:tc>
        <w:tc>
          <w:tcPr>
            <w:tcW w:w="991" w:type="dxa"/>
          </w:tcPr>
          <w:p w14:paraId="17056008" w14:textId="77777777" w:rsidR="00FA4AA8" w:rsidRDefault="0015611F">
            <w:pPr>
              <w:pStyle w:val="TableParagraph"/>
              <w:spacing w:before="25"/>
              <w:ind w:right="27"/>
              <w:jc w:val="right"/>
              <w:rPr>
                <w:sz w:val="16"/>
              </w:rPr>
            </w:pPr>
            <w:r>
              <w:rPr>
                <w:sz w:val="16"/>
              </w:rPr>
              <w:t>(7,341)</w:t>
            </w:r>
          </w:p>
        </w:tc>
      </w:tr>
      <w:tr w:rsidR="00FA4AA8" w14:paraId="1DE08DEA" w14:textId="77777777">
        <w:trPr>
          <w:trHeight w:val="242"/>
        </w:trPr>
        <w:tc>
          <w:tcPr>
            <w:tcW w:w="415" w:type="dxa"/>
          </w:tcPr>
          <w:p w14:paraId="2AC62AE1" w14:textId="77777777" w:rsidR="00FA4AA8" w:rsidRDefault="00FA4AA8">
            <w:pPr>
              <w:pStyle w:val="TableParagraph"/>
              <w:rPr>
                <w:rFonts w:ascii="Times New Roman"/>
                <w:sz w:val="16"/>
              </w:rPr>
            </w:pPr>
          </w:p>
        </w:tc>
        <w:tc>
          <w:tcPr>
            <w:tcW w:w="3050" w:type="dxa"/>
          </w:tcPr>
          <w:p w14:paraId="0F67BA1B" w14:textId="77777777" w:rsidR="00FA4AA8" w:rsidRDefault="0015611F">
            <w:pPr>
              <w:pStyle w:val="TableParagraph"/>
              <w:spacing w:before="28"/>
              <w:ind w:left="69"/>
              <w:rPr>
                <w:sz w:val="16"/>
              </w:rPr>
            </w:pPr>
            <w:r>
              <w:rPr>
                <w:sz w:val="16"/>
              </w:rPr>
              <w:t>Depreciation Charge</w:t>
            </w:r>
          </w:p>
        </w:tc>
        <w:tc>
          <w:tcPr>
            <w:tcW w:w="1133" w:type="dxa"/>
          </w:tcPr>
          <w:p w14:paraId="195B5269" w14:textId="77777777" w:rsidR="00FA4AA8" w:rsidRDefault="0015611F">
            <w:pPr>
              <w:pStyle w:val="TableParagraph"/>
              <w:spacing w:before="25"/>
              <w:ind w:right="74"/>
              <w:jc w:val="right"/>
              <w:rPr>
                <w:sz w:val="16"/>
              </w:rPr>
            </w:pPr>
            <w:r>
              <w:rPr>
                <w:sz w:val="16"/>
              </w:rPr>
              <w:t>-</w:t>
            </w:r>
          </w:p>
        </w:tc>
        <w:tc>
          <w:tcPr>
            <w:tcW w:w="1182" w:type="dxa"/>
          </w:tcPr>
          <w:p w14:paraId="5F754D40" w14:textId="77777777" w:rsidR="00FA4AA8" w:rsidRDefault="0015611F">
            <w:pPr>
              <w:pStyle w:val="TableParagraph"/>
              <w:spacing w:before="25"/>
              <w:ind w:right="123"/>
              <w:jc w:val="right"/>
              <w:rPr>
                <w:sz w:val="16"/>
              </w:rPr>
            </w:pPr>
            <w:r>
              <w:rPr>
                <w:sz w:val="16"/>
              </w:rPr>
              <w:t>-</w:t>
            </w:r>
          </w:p>
        </w:tc>
        <w:tc>
          <w:tcPr>
            <w:tcW w:w="1156" w:type="dxa"/>
          </w:tcPr>
          <w:p w14:paraId="3221788D" w14:textId="77777777" w:rsidR="00FA4AA8" w:rsidRDefault="0015611F">
            <w:pPr>
              <w:pStyle w:val="TableParagraph"/>
              <w:spacing w:before="25"/>
              <w:ind w:right="146"/>
              <w:jc w:val="right"/>
              <w:rPr>
                <w:sz w:val="16"/>
              </w:rPr>
            </w:pPr>
            <w:r>
              <w:rPr>
                <w:sz w:val="16"/>
              </w:rPr>
              <w:t>-</w:t>
            </w:r>
          </w:p>
        </w:tc>
        <w:tc>
          <w:tcPr>
            <w:tcW w:w="1072" w:type="dxa"/>
          </w:tcPr>
          <w:p w14:paraId="491A8D11" w14:textId="77777777" w:rsidR="00FA4AA8" w:rsidRDefault="0015611F">
            <w:pPr>
              <w:pStyle w:val="TableParagraph"/>
              <w:spacing w:before="25"/>
              <w:ind w:right="33"/>
              <w:jc w:val="right"/>
              <w:rPr>
                <w:sz w:val="16"/>
              </w:rPr>
            </w:pPr>
            <w:r>
              <w:rPr>
                <w:sz w:val="16"/>
              </w:rPr>
              <w:t>(23,179)</w:t>
            </w:r>
          </w:p>
        </w:tc>
        <w:tc>
          <w:tcPr>
            <w:tcW w:w="1197" w:type="dxa"/>
          </w:tcPr>
          <w:p w14:paraId="1AA2A8D5" w14:textId="77777777" w:rsidR="00FA4AA8" w:rsidRDefault="0015611F">
            <w:pPr>
              <w:pStyle w:val="TableParagraph"/>
              <w:spacing w:before="25"/>
              <w:ind w:right="97"/>
              <w:jc w:val="right"/>
              <w:rPr>
                <w:sz w:val="16"/>
              </w:rPr>
            </w:pPr>
            <w:r>
              <w:rPr>
                <w:sz w:val="16"/>
              </w:rPr>
              <w:t>(3,179)</w:t>
            </w:r>
          </w:p>
        </w:tc>
        <w:tc>
          <w:tcPr>
            <w:tcW w:w="1082" w:type="dxa"/>
          </w:tcPr>
          <w:p w14:paraId="6D33BD2E" w14:textId="77777777" w:rsidR="00FA4AA8" w:rsidRDefault="0015611F">
            <w:pPr>
              <w:pStyle w:val="TableParagraph"/>
              <w:spacing w:before="25"/>
              <w:ind w:right="46"/>
              <w:jc w:val="right"/>
              <w:rPr>
                <w:sz w:val="16"/>
              </w:rPr>
            </w:pPr>
            <w:r>
              <w:rPr>
                <w:sz w:val="16"/>
              </w:rPr>
              <w:t>(11,994)</w:t>
            </w:r>
          </w:p>
        </w:tc>
        <w:tc>
          <w:tcPr>
            <w:tcW w:w="1261" w:type="dxa"/>
          </w:tcPr>
          <w:p w14:paraId="74ED8AB0" w14:textId="77777777" w:rsidR="00FA4AA8" w:rsidRDefault="0015611F">
            <w:pPr>
              <w:pStyle w:val="TableParagraph"/>
              <w:spacing w:before="25"/>
              <w:ind w:right="112"/>
              <w:jc w:val="right"/>
              <w:rPr>
                <w:sz w:val="16"/>
              </w:rPr>
            </w:pPr>
            <w:r>
              <w:rPr>
                <w:sz w:val="16"/>
              </w:rPr>
              <w:t>(7,136)</w:t>
            </w:r>
          </w:p>
        </w:tc>
        <w:tc>
          <w:tcPr>
            <w:tcW w:w="1178" w:type="dxa"/>
          </w:tcPr>
          <w:p w14:paraId="57EE813D" w14:textId="77777777" w:rsidR="00FA4AA8" w:rsidRDefault="0015611F">
            <w:pPr>
              <w:pStyle w:val="TableParagraph"/>
              <w:spacing w:before="25"/>
              <w:ind w:right="157"/>
              <w:jc w:val="right"/>
              <w:rPr>
                <w:sz w:val="16"/>
              </w:rPr>
            </w:pPr>
            <w:r>
              <w:rPr>
                <w:sz w:val="16"/>
              </w:rPr>
              <w:t>(2,569)</w:t>
            </w:r>
          </w:p>
        </w:tc>
        <w:tc>
          <w:tcPr>
            <w:tcW w:w="1178" w:type="dxa"/>
          </w:tcPr>
          <w:p w14:paraId="73E0F260" w14:textId="77777777" w:rsidR="00FA4AA8" w:rsidRDefault="0015611F">
            <w:pPr>
              <w:pStyle w:val="TableParagraph"/>
              <w:spacing w:before="25"/>
              <w:ind w:right="255"/>
              <w:jc w:val="right"/>
              <w:rPr>
                <w:sz w:val="16"/>
              </w:rPr>
            </w:pPr>
            <w:r>
              <w:rPr>
                <w:sz w:val="16"/>
              </w:rPr>
              <w:t>-</w:t>
            </w:r>
          </w:p>
        </w:tc>
        <w:tc>
          <w:tcPr>
            <w:tcW w:w="991" w:type="dxa"/>
          </w:tcPr>
          <w:p w14:paraId="17BF3853" w14:textId="77777777" w:rsidR="00FA4AA8" w:rsidRDefault="0015611F">
            <w:pPr>
              <w:pStyle w:val="TableParagraph"/>
              <w:spacing w:before="25"/>
              <w:ind w:right="27"/>
              <w:jc w:val="right"/>
              <w:rPr>
                <w:sz w:val="16"/>
              </w:rPr>
            </w:pPr>
            <w:r>
              <w:rPr>
                <w:sz w:val="16"/>
              </w:rPr>
              <w:t>(48,057)</w:t>
            </w:r>
          </w:p>
        </w:tc>
      </w:tr>
      <w:tr w:rsidR="00FA4AA8" w14:paraId="4072E9AD" w14:textId="77777777">
        <w:trPr>
          <w:trHeight w:val="241"/>
        </w:trPr>
        <w:tc>
          <w:tcPr>
            <w:tcW w:w="415" w:type="dxa"/>
          </w:tcPr>
          <w:p w14:paraId="4AB1019B" w14:textId="77777777" w:rsidR="00FA4AA8" w:rsidRDefault="00FA4AA8">
            <w:pPr>
              <w:pStyle w:val="TableParagraph"/>
              <w:rPr>
                <w:rFonts w:ascii="Times New Roman"/>
                <w:sz w:val="16"/>
              </w:rPr>
            </w:pPr>
          </w:p>
        </w:tc>
        <w:tc>
          <w:tcPr>
            <w:tcW w:w="3050" w:type="dxa"/>
          </w:tcPr>
          <w:p w14:paraId="0397689C" w14:textId="77777777" w:rsidR="00FA4AA8" w:rsidRDefault="0015611F">
            <w:pPr>
              <w:pStyle w:val="TableParagraph"/>
              <w:spacing w:before="28"/>
              <w:ind w:left="69"/>
              <w:rPr>
                <w:sz w:val="16"/>
              </w:rPr>
            </w:pPr>
            <w:r>
              <w:rPr>
                <w:sz w:val="16"/>
              </w:rPr>
              <w:t>Non-Cash Adjustments</w:t>
            </w:r>
          </w:p>
        </w:tc>
        <w:tc>
          <w:tcPr>
            <w:tcW w:w="1133" w:type="dxa"/>
          </w:tcPr>
          <w:p w14:paraId="6294DF38" w14:textId="77777777" w:rsidR="00FA4AA8" w:rsidRDefault="0015611F">
            <w:pPr>
              <w:pStyle w:val="TableParagraph"/>
              <w:spacing w:before="25"/>
              <w:ind w:right="74"/>
              <w:jc w:val="right"/>
              <w:rPr>
                <w:sz w:val="16"/>
              </w:rPr>
            </w:pPr>
            <w:r>
              <w:rPr>
                <w:sz w:val="16"/>
              </w:rPr>
              <w:t>-</w:t>
            </w:r>
          </w:p>
        </w:tc>
        <w:tc>
          <w:tcPr>
            <w:tcW w:w="1182" w:type="dxa"/>
          </w:tcPr>
          <w:p w14:paraId="04444A2E" w14:textId="77777777" w:rsidR="00FA4AA8" w:rsidRDefault="0015611F">
            <w:pPr>
              <w:pStyle w:val="TableParagraph"/>
              <w:spacing w:before="25"/>
              <w:ind w:right="123"/>
              <w:jc w:val="right"/>
              <w:rPr>
                <w:sz w:val="16"/>
              </w:rPr>
            </w:pPr>
            <w:r>
              <w:rPr>
                <w:sz w:val="16"/>
              </w:rPr>
              <w:t>-</w:t>
            </w:r>
          </w:p>
        </w:tc>
        <w:tc>
          <w:tcPr>
            <w:tcW w:w="1156" w:type="dxa"/>
          </w:tcPr>
          <w:p w14:paraId="4ADE6A3A" w14:textId="77777777" w:rsidR="00FA4AA8" w:rsidRDefault="0015611F">
            <w:pPr>
              <w:pStyle w:val="TableParagraph"/>
              <w:spacing w:before="25"/>
              <w:ind w:right="146"/>
              <w:jc w:val="right"/>
              <w:rPr>
                <w:sz w:val="16"/>
              </w:rPr>
            </w:pPr>
            <w:r>
              <w:rPr>
                <w:sz w:val="16"/>
              </w:rPr>
              <w:t>-</w:t>
            </w:r>
          </w:p>
        </w:tc>
        <w:tc>
          <w:tcPr>
            <w:tcW w:w="1072" w:type="dxa"/>
          </w:tcPr>
          <w:p w14:paraId="519E10A8" w14:textId="77777777" w:rsidR="00FA4AA8" w:rsidRDefault="0015611F">
            <w:pPr>
              <w:pStyle w:val="TableParagraph"/>
              <w:spacing w:before="25"/>
              <w:ind w:right="85"/>
              <w:jc w:val="right"/>
              <w:rPr>
                <w:sz w:val="16"/>
              </w:rPr>
            </w:pPr>
            <w:r>
              <w:rPr>
                <w:sz w:val="16"/>
              </w:rPr>
              <w:t>-</w:t>
            </w:r>
          </w:p>
        </w:tc>
        <w:tc>
          <w:tcPr>
            <w:tcW w:w="1197" w:type="dxa"/>
          </w:tcPr>
          <w:p w14:paraId="37F1D1DA" w14:textId="77777777" w:rsidR="00FA4AA8" w:rsidRDefault="0015611F">
            <w:pPr>
              <w:pStyle w:val="TableParagraph"/>
              <w:spacing w:before="25"/>
              <w:ind w:right="149"/>
              <w:jc w:val="right"/>
              <w:rPr>
                <w:sz w:val="16"/>
              </w:rPr>
            </w:pPr>
            <w:r>
              <w:rPr>
                <w:sz w:val="16"/>
              </w:rPr>
              <w:t>-</w:t>
            </w:r>
          </w:p>
        </w:tc>
        <w:tc>
          <w:tcPr>
            <w:tcW w:w="1082" w:type="dxa"/>
          </w:tcPr>
          <w:p w14:paraId="530C6359" w14:textId="77777777" w:rsidR="00FA4AA8" w:rsidRDefault="0015611F">
            <w:pPr>
              <w:pStyle w:val="TableParagraph"/>
              <w:spacing w:before="25"/>
              <w:ind w:right="99"/>
              <w:jc w:val="right"/>
              <w:rPr>
                <w:sz w:val="16"/>
              </w:rPr>
            </w:pPr>
            <w:r>
              <w:rPr>
                <w:sz w:val="16"/>
              </w:rPr>
              <w:t>7</w:t>
            </w:r>
          </w:p>
        </w:tc>
        <w:tc>
          <w:tcPr>
            <w:tcW w:w="1261" w:type="dxa"/>
          </w:tcPr>
          <w:p w14:paraId="1D4C2E4B" w14:textId="77777777" w:rsidR="00FA4AA8" w:rsidRDefault="0015611F">
            <w:pPr>
              <w:pStyle w:val="TableParagraph"/>
              <w:spacing w:before="25"/>
              <w:ind w:right="164"/>
              <w:jc w:val="right"/>
              <w:rPr>
                <w:sz w:val="16"/>
              </w:rPr>
            </w:pPr>
            <w:r>
              <w:rPr>
                <w:sz w:val="16"/>
              </w:rPr>
              <w:t>-</w:t>
            </w:r>
          </w:p>
        </w:tc>
        <w:tc>
          <w:tcPr>
            <w:tcW w:w="1178" w:type="dxa"/>
          </w:tcPr>
          <w:p w14:paraId="0E98A860" w14:textId="77777777" w:rsidR="00FA4AA8" w:rsidRDefault="0015611F">
            <w:pPr>
              <w:pStyle w:val="TableParagraph"/>
              <w:spacing w:before="25"/>
              <w:ind w:right="157"/>
              <w:jc w:val="right"/>
              <w:rPr>
                <w:sz w:val="16"/>
              </w:rPr>
            </w:pPr>
            <w:r>
              <w:rPr>
                <w:sz w:val="16"/>
              </w:rPr>
              <w:t>(1)</w:t>
            </w:r>
          </w:p>
        </w:tc>
        <w:tc>
          <w:tcPr>
            <w:tcW w:w="1178" w:type="dxa"/>
          </w:tcPr>
          <w:p w14:paraId="11801609" w14:textId="77777777" w:rsidR="00FA4AA8" w:rsidRDefault="0015611F">
            <w:pPr>
              <w:pStyle w:val="TableParagraph"/>
              <w:spacing w:before="25"/>
              <w:ind w:right="255"/>
              <w:jc w:val="right"/>
              <w:rPr>
                <w:sz w:val="16"/>
              </w:rPr>
            </w:pPr>
            <w:r>
              <w:rPr>
                <w:sz w:val="16"/>
              </w:rPr>
              <w:t>-</w:t>
            </w:r>
          </w:p>
        </w:tc>
        <w:tc>
          <w:tcPr>
            <w:tcW w:w="991" w:type="dxa"/>
          </w:tcPr>
          <w:p w14:paraId="79DA22B8" w14:textId="77777777" w:rsidR="00FA4AA8" w:rsidRDefault="0015611F">
            <w:pPr>
              <w:pStyle w:val="TableParagraph"/>
              <w:spacing w:before="25"/>
              <w:ind w:right="79"/>
              <w:jc w:val="right"/>
              <w:rPr>
                <w:sz w:val="16"/>
              </w:rPr>
            </w:pPr>
            <w:r>
              <w:rPr>
                <w:sz w:val="16"/>
              </w:rPr>
              <w:t>6</w:t>
            </w:r>
          </w:p>
        </w:tc>
      </w:tr>
      <w:tr w:rsidR="00FA4AA8" w14:paraId="6FCC7020" w14:textId="77777777">
        <w:trPr>
          <w:trHeight w:val="423"/>
        </w:trPr>
        <w:tc>
          <w:tcPr>
            <w:tcW w:w="415" w:type="dxa"/>
          </w:tcPr>
          <w:p w14:paraId="137B5D01" w14:textId="77777777" w:rsidR="00FA4AA8" w:rsidRDefault="00FA4AA8">
            <w:pPr>
              <w:pStyle w:val="TableParagraph"/>
              <w:rPr>
                <w:rFonts w:ascii="Times New Roman"/>
                <w:sz w:val="16"/>
              </w:rPr>
            </w:pPr>
          </w:p>
        </w:tc>
        <w:tc>
          <w:tcPr>
            <w:tcW w:w="3050" w:type="dxa"/>
          </w:tcPr>
          <w:p w14:paraId="7EABA9F4" w14:textId="77777777" w:rsidR="00FA4AA8" w:rsidRDefault="0015611F">
            <w:pPr>
              <w:pStyle w:val="TableParagraph"/>
              <w:spacing w:before="24"/>
              <w:ind w:left="69"/>
              <w:rPr>
                <w:sz w:val="16"/>
              </w:rPr>
            </w:pPr>
            <w:r>
              <w:rPr>
                <w:sz w:val="16"/>
              </w:rPr>
              <w:t>Assets capitalised from Construction in Progress</w:t>
            </w:r>
          </w:p>
        </w:tc>
        <w:tc>
          <w:tcPr>
            <w:tcW w:w="1133" w:type="dxa"/>
          </w:tcPr>
          <w:p w14:paraId="1AA3F77E" w14:textId="77777777" w:rsidR="00FA4AA8" w:rsidRDefault="00FA4AA8">
            <w:pPr>
              <w:pStyle w:val="TableParagraph"/>
              <w:spacing w:before="11"/>
              <w:rPr>
                <w:sz w:val="17"/>
              </w:rPr>
            </w:pPr>
          </w:p>
          <w:p w14:paraId="1F5A6E5F" w14:textId="77777777" w:rsidR="00FA4AA8" w:rsidRDefault="0015611F">
            <w:pPr>
              <w:pStyle w:val="TableParagraph"/>
              <w:ind w:right="21"/>
              <w:jc w:val="right"/>
              <w:rPr>
                <w:sz w:val="16"/>
              </w:rPr>
            </w:pPr>
            <w:r>
              <w:rPr>
                <w:sz w:val="16"/>
              </w:rPr>
              <w:t>(88,821)</w:t>
            </w:r>
          </w:p>
        </w:tc>
        <w:tc>
          <w:tcPr>
            <w:tcW w:w="1182" w:type="dxa"/>
          </w:tcPr>
          <w:p w14:paraId="6B4904EE" w14:textId="77777777" w:rsidR="00FA4AA8" w:rsidRDefault="00FA4AA8">
            <w:pPr>
              <w:pStyle w:val="TableParagraph"/>
              <w:spacing w:before="11"/>
              <w:rPr>
                <w:sz w:val="17"/>
              </w:rPr>
            </w:pPr>
          </w:p>
          <w:p w14:paraId="6B4F172B" w14:textId="77777777" w:rsidR="00FA4AA8" w:rsidRDefault="0015611F">
            <w:pPr>
              <w:pStyle w:val="TableParagraph"/>
              <w:ind w:right="123"/>
              <w:jc w:val="right"/>
              <w:rPr>
                <w:sz w:val="16"/>
              </w:rPr>
            </w:pPr>
            <w:r>
              <w:rPr>
                <w:sz w:val="16"/>
              </w:rPr>
              <w:t>-</w:t>
            </w:r>
          </w:p>
        </w:tc>
        <w:tc>
          <w:tcPr>
            <w:tcW w:w="1156" w:type="dxa"/>
          </w:tcPr>
          <w:p w14:paraId="5438BE70" w14:textId="77777777" w:rsidR="00FA4AA8" w:rsidRDefault="00FA4AA8">
            <w:pPr>
              <w:pStyle w:val="TableParagraph"/>
              <w:spacing w:before="11"/>
              <w:rPr>
                <w:sz w:val="17"/>
              </w:rPr>
            </w:pPr>
          </w:p>
          <w:p w14:paraId="1FEEA53B" w14:textId="77777777" w:rsidR="00FA4AA8" w:rsidRDefault="0015611F">
            <w:pPr>
              <w:pStyle w:val="TableParagraph"/>
              <w:ind w:right="146"/>
              <w:jc w:val="right"/>
              <w:rPr>
                <w:sz w:val="16"/>
              </w:rPr>
            </w:pPr>
            <w:r>
              <w:rPr>
                <w:sz w:val="16"/>
              </w:rPr>
              <w:t>-</w:t>
            </w:r>
          </w:p>
        </w:tc>
        <w:tc>
          <w:tcPr>
            <w:tcW w:w="1072" w:type="dxa"/>
          </w:tcPr>
          <w:p w14:paraId="21459A68" w14:textId="77777777" w:rsidR="00FA4AA8" w:rsidRDefault="00FA4AA8">
            <w:pPr>
              <w:pStyle w:val="TableParagraph"/>
              <w:spacing w:before="11"/>
              <w:rPr>
                <w:sz w:val="17"/>
              </w:rPr>
            </w:pPr>
          </w:p>
          <w:p w14:paraId="064156AF" w14:textId="77777777" w:rsidR="00FA4AA8" w:rsidRDefault="0015611F">
            <w:pPr>
              <w:pStyle w:val="TableParagraph"/>
              <w:ind w:right="86"/>
              <w:jc w:val="right"/>
              <w:rPr>
                <w:sz w:val="16"/>
              </w:rPr>
            </w:pPr>
            <w:r>
              <w:rPr>
                <w:sz w:val="16"/>
              </w:rPr>
              <w:t>25,364</w:t>
            </w:r>
          </w:p>
        </w:tc>
        <w:tc>
          <w:tcPr>
            <w:tcW w:w="1197" w:type="dxa"/>
          </w:tcPr>
          <w:p w14:paraId="13A73551" w14:textId="77777777" w:rsidR="00FA4AA8" w:rsidRDefault="00FA4AA8">
            <w:pPr>
              <w:pStyle w:val="TableParagraph"/>
              <w:spacing w:before="11"/>
              <w:rPr>
                <w:sz w:val="17"/>
              </w:rPr>
            </w:pPr>
          </w:p>
          <w:p w14:paraId="10B531AE" w14:textId="77777777" w:rsidR="00FA4AA8" w:rsidRDefault="0015611F">
            <w:pPr>
              <w:pStyle w:val="TableParagraph"/>
              <w:ind w:right="150"/>
              <w:jc w:val="right"/>
              <w:rPr>
                <w:sz w:val="16"/>
              </w:rPr>
            </w:pPr>
            <w:r>
              <w:rPr>
                <w:sz w:val="16"/>
              </w:rPr>
              <w:t>6,358</w:t>
            </w:r>
          </w:p>
        </w:tc>
        <w:tc>
          <w:tcPr>
            <w:tcW w:w="1082" w:type="dxa"/>
          </w:tcPr>
          <w:p w14:paraId="123F9E1B" w14:textId="77777777" w:rsidR="00FA4AA8" w:rsidRDefault="00FA4AA8">
            <w:pPr>
              <w:pStyle w:val="TableParagraph"/>
              <w:spacing w:before="11"/>
              <w:rPr>
                <w:sz w:val="17"/>
              </w:rPr>
            </w:pPr>
          </w:p>
          <w:p w14:paraId="2DA126A2" w14:textId="77777777" w:rsidR="00FA4AA8" w:rsidRDefault="0015611F">
            <w:pPr>
              <w:pStyle w:val="TableParagraph"/>
              <w:ind w:right="99"/>
              <w:jc w:val="right"/>
              <w:rPr>
                <w:sz w:val="16"/>
              </w:rPr>
            </w:pPr>
            <w:r>
              <w:rPr>
                <w:sz w:val="16"/>
              </w:rPr>
              <w:t>1,369</w:t>
            </w:r>
          </w:p>
        </w:tc>
        <w:tc>
          <w:tcPr>
            <w:tcW w:w="1261" w:type="dxa"/>
          </w:tcPr>
          <w:p w14:paraId="1A53F0DE" w14:textId="77777777" w:rsidR="00FA4AA8" w:rsidRDefault="00FA4AA8">
            <w:pPr>
              <w:pStyle w:val="TableParagraph"/>
              <w:spacing w:before="11"/>
              <w:rPr>
                <w:sz w:val="17"/>
              </w:rPr>
            </w:pPr>
          </w:p>
          <w:p w14:paraId="214C2A39" w14:textId="77777777" w:rsidR="00FA4AA8" w:rsidRDefault="0015611F">
            <w:pPr>
              <w:pStyle w:val="TableParagraph"/>
              <w:ind w:right="165"/>
              <w:jc w:val="right"/>
              <w:rPr>
                <w:sz w:val="16"/>
              </w:rPr>
            </w:pPr>
            <w:r>
              <w:rPr>
                <w:sz w:val="16"/>
              </w:rPr>
              <w:t>55,598</w:t>
            </w:r>
          </w:p>
        </w:tc>
        <w:tc>
          <w:tcPr>
            <w:tcW w:w="1178" w:type="dxa"/>
          </w:tcPr>
          <w:p w14:paraId="01FCA1AE" w14:textId="77777777" w:rsidR="00FA4AA8" w:rsidRDefault="00FA4AA8">
            <w:pPr>
              <w:pStyle w:val="TableParagraph"/>
              <w:spacing w:before="11"/>
              <w:rPr>
                <w:sz w:val="17"/>
              </w:rPr>
            </w:pPr>
          </w:p>
          <w:p w14:paraId="53D342F0" w14:textId="77777777" w:rsidR="00FA4AA8" w:rsidRDefault="0015611F">
            <w:pPr>
              <w:pStyle w:val="TableParagraph"/>
              <w:ind w:right="210"/>
              <w:jc w:val="right"/>
              <w:rPr>
                <w:sz w:val="16"/>
              </w:rPr>
            </w:pPr>
            <w:r>
              <w:rPr>
                <w:sz w:val="16"/>
              </w:rPr>
              <w:t>-</w:t>
            </w:r>
          </w:p>
        </w:tc>
        <w:tc>
          <w:tcPr>
            <w:tcW w:w="1178" w:type="dxa"/>
          </w:tcPr>
          <w:p w14:paraId="6ABBC9E7" w14:textId="77777777" w:rsidR="00FA4AA8" w:rsidRDefault="00FA4AA8">
            <w:pPr>
              <w:pStyle w:val="TableParagraph"/>
              <w:spacing w:before="11"/>
              <w:rPr>
                <w:sz w:val="17"/>
              </w:rPr>
            </w:pPr>
          </w:p>
          <w:p w14:paraId="413D9628" w14:textId="77777777" w:rsidR="00FA4AA8" w:rsidRDefault="0015611F">
            <w:pPr>
              <w:pStyle w:val="TableParagraph"/>
              <w:ind w:right="256"/>
              <w:jc w:val="right"/>
              <w:rPr>
                <w:sz w:val="16"/>
              </w:rPr>
            </w:pPr>
            <w:r>
              <w:rPr>
                <w:sz w:val="16"/>
              </w:rPr>
              <w:t>132</w:t>
            </w:r>
          </w:p>
        </w:tc>
        <w:tc>
          <w:tcPr>
            <w:tcW w:w="991" w:type="dxa"/>
          </w:tcPr>
          <w:p w14:paraId="72B6644E" w14:textId="77777777" w:rsidR="00FA4AA8" w:rsidRDefault="00FA4AA8">
            <w:pPr>
              <w:pStyle w:val="TableParagraph"/>
              <w:spacing w:before="11"/>
              <w:rPr>
                <w:sz w:val="17"/>
              </w:rPr>
            </w:pPr>
          </w:p>
          <w:p w14:paraId="5A32F421" w14:textId="77777777" w:rsidR="00FA4AA8" w:rsidRDefault="0015611F">
            <w:pPr>
              <w:pStyle w:val="TableParagraph"/>
              <w:ind w:right="79"/>
              <w:jc w:val="right"/>
              <w:rPr>
                <w:sz w:val="16"/>
              </w:rPr>
            </w:pPr>
            <w:r>
              <w:rPr>
                <w:sz w:val="16"/>
              </w:rPr>
              <w:t>-</w:t>
            </w:r>
          </w:p>
        </w:tc>
      </w:tr>
      <w:tr w:rsidR="00FA4AA8" w14:paraId="70C1B1EE" w14:textId="77777777">
        <w:trPr>
          <w:trHeight w:val="236"/>
        </w:trPr>
        <w:tc>
          <w:tcPr>
            <w:tcW w:w="415" w:type="dxa"/>
          </w:tcPr>
          <w:p w14:paraId="10F6692C" w14:textId="77777777" w:rsidR="00FA4AA8" w:rsidRDefault="00FA4AA8">
            <w:pPr>
              <w:pStyle w:val="TableParagraph"/>
              <w:rPr>
                <w:rFonts w:ascii="Times New Roman"/>
                <w:sz w:val="16"/>
              </w:rPr>
            </w:pPr>
          </w:p>
        </w:tc>
        <w:tc>
          <w:tcPr>
            <w:tcW w:w="3050" w:type="dxa"/>
          </w:tcPr>
          <w:p w14:paraId="582D860A" w14:textId="77777777" w:rsidR="00FA4AA8" w:rsidRDefault="0015611F">
            <w:pPr>
              <w:pStyle w:val="TableParagraph"/>
              <w:spacing w:before="28"/>
              <w:ind w:left="69"/>
              <w:rPr>
                <w:sz w:val="16"/>
              </w:rPr>
            </w:pPr>
            <w:r>
              <w:rPr>
                <w:sz w:val="16"/>
              </w:rPr>
              <w:t>Transfers to Held for Sale Assets</w:t>
            </w:r>
          </w:p>
        </w:tc>
        <w:tc>
          <w:tcPr>
            <w:tcW w:w="1133" w:type="dxa"/>
            <w:tcBorders>
              <w:bottom w:val="single" w:sz="8" w:space="0" w:color="000000"/>
            </w:tcBorders>
          </w:tcPr>
          <w:p w14:paraId="657C0B4B" w14:textId="77777777" w:rsidR="00FA4AA8" w:rsidRDefault="0015611F">
            <w:pPr>
              <w:pStyle w:val="TableParagraph"/>
              <w:spacing w:before="25"/>
              <w:ind w:right="74"/>
              <w:jc w:val="right"/>
              <w:rPr>
                <w:sz w:val="16"/>
              </w:rPr>
            </w:pPr>
            <w:r>
              <w:rPr>
                <w:sz w:val="16"/>
              </w:rPr>
              <w:t>-</w:t>
            </w:r>
          </w:p>
        </w:tc>
        <w:tc>
          <w:tcPr>
            <w:tcW w:w="1182" w:type="dxa"/>
            <w:tcBorders>
              <w:bottom w:val="single" w:sz="8" w:space="0" w:color="000000"/>
            </w:tcBorders>
          </w:tcPr>
          <w:p w14:paraId="62CA1808" w14:textId="77777777" w:rsidR="00FA4AA8" w:rsidRDefault="0015611F">
            <w:pPr>
              <w:pStyle w:val="TableParagraph"/>
              <w:spacing w:before="25"/>
              <w:ind w:right="70"/>
              <w:jc w:val="right"/>
              <w:rPr>
                <w:sz w:val="16"/>
              </w:rPr>
            </w:pPr>
            <w:r>
              <w:rPr>
                <w:sz w:val="16"/>
              </w:rPr>
              <w:t>(5,180)</w:t>
            </w:r>
          </w:p>
        </w:tc>
        <w:tc>
          <w:tcPr>
            <w:tcW w:w="1156" w:type="dxa"/>
            <w:tcBorders>
              <w:bottom w:val="single" w:sz="8" w:space="0" w:color="000000"/>
            </w:tcBorders>
          </w:tcPr>
          <w:p w14:paraId="7E08D84C" w14:textId="77777777" w:rsidR="00FA4AA8" w:rsidRDefault="0015611F">
            <w:pPr>
              <w:pStyle w:val="TableParagraph"/>
              <w:spacing w:before="25"/>
              <w:ind w:right="146"/>
              <w:jc w:val="right"/>
              <w:rPr>
                <w:sz w:val="16"/>
              </w:rPr>
            </w:pPr>
            <w:r>
              <w:rPr>
                <w:sz w:val="16"/>
              </w:rPr>
              <w:t>-</w:t>
            </w:r>
          </w:p>
        </w:tc>
        <w:tc>
          <w:tcPr>
            <w:tcW w:w="1072" w:type="dxa"/>
            <w:tcBorders>
              <w:bottom w:val="single" w:sz="8" w:space="0" w:color="000000"/>
            </w:tcBorders>
          </w:tcPr>
          <w:p w14:paraId="345EE34E" w14:textId="77777777" w:rsidR="00FA4AA8" w:rsidRDefault="0015611F">
            <w:pPr>
              <w:pStyle w:val="TableParagraph"/>
              <w:spacing w:before="25"/>
              <w:ind w:right="33"/>
              <w:jc w:val="right"/>
              <w:rPr>
                <w:sz w:val="16"/>
              </w:rPr>
            </w:pPr>
            <w:r>
              <w:rPr>
                <w:sz w:val="16"/>
              </w:rPr>
              <w:t>(687)</w:t>
            </w:r>
          </w:p>
        </w:tc>
        <w:tc>
          <w:tcPr>
            <w:tcW w:w="1197" w:type="dxa"/>
            <w:tcBorders>
              <w:bottom w:val="single" w:sz="8" w:space="0" w:color="000000"/>
            </w:tcBorders>
          </w:tcPr>
          <w:p w14:paraId="3742FF61" w14:textId="77777777" w:rsidR="00FA4AA8" w:rsidRDefault="0015611F">
            <w:pPr>
              <w:pStyle w:val="TableParagraph"/>
              <w:spacing w:before="25"/>
              <w:ind w:right="149"/>
              <w:jc w:val="right"/>
              <w:rPr>
                <w:sz w:val="16"/>
              </w:rPr>
            </w:pPr>
            <w:r>
              <w:rPr>
                <w:sz w:val="16"/>
              </w:rPr>
              <w:t>-</w:t>
            </w:r>
          </w:p>
        </w:tc>
        <w:tc>
          <w:tcPr>
            <w:tcW w:w="1082" w:type="dxa"/>
            <w:tcBorders>
              <w:bottom w:val="single" w:sz="8" w:space="0" w:color="000000"/>
            </w:tcBorders>
          </w:tcPr>
          <w:p w14:paraId="204BF020" w14:textId="77777777" w:rsidR="00FA4AA8" w:rsidRDefault="0015611F">
            <w:pPr>
              <w:pStyle w:val="TableParagraph"/>
              <w:spacing w:before="25"/>
              <w:ind w:right="99"/>
              <w:jc w:val="right"/>
              <w:rPr>
                <w:sz w:val="16"/>
              </w:rPr>
            </w:pPr>
            <w:r>
              <w:rPr>
                <w:sz w:val="16"/>
              </w:rPr>
              <w:t>-</w:t>
            </w:r>
          </w:p>
        </w:tc>
        <w:tc>
          <w:tcPr>
            <w:tcW w:w="1261" w:type="dxa"/>
            <w:tcBorders>
              <w:bottom w:val="single" w:sz="8" w:space="0" w:color="000000"/>
            </w:tcBorders>
          </w:tcPr>
          <w:p w14:paraId="1C47C4D5" w14:textId="77777777" w:rsidR="00FA4AA8" w:rsidRDefault="0015611F">
            <w:pPr>
              <w:pStyle w:val="TableParagraph"/>
              <w:spacing w:before="25"/>
              <w:ind w:right="164"/>
              <w:jc w:val="right"/>
              <w:rPr>
                <w:sz w:val="16"/>
              </w:rPr>
            </w:pPr>
            <w:r>
              <w:rPr>
                <w:sz w:val="16"/>
              </w:rPr>
              <w:t>-</w:t>
            </w:r>
          </w:p>
        </w:tc>
        <w:tc>
          <w:tcPr>
            <w:tcW w:w="1178" w:type="dxa"/>
            <w:tcBorders>
              <w:bottom w:val="single" w:sz="8" w:space="0" w:color="000000"/>
            </w:tcBorders>
          </w:tcPr>
          <w:p w14:paraId="0856E49E" w14:textId="77777777" w:rsidR="00FA4AA8" w:rsidRDefault="0015611F">
            <w:pPr>
              <w:pStyle w:val="TableParagraph"/>
              <w:spacing w:before="25"/>
              <w:ind w:right="210"/>
              <w:jc w:val="right"/>
              <w:rPr>
                <w:sz w:val="16"/>
              </w:rPr>
            </w:pPr>
            <w:r>
              <w:rPr>
                <w:sz w:val="16"/>
              </w:rPr>
              <w:t>-</w:t>
            </w:r>
          </w:p>
        </w:tc>
        <w:tc>
          <w:tcPr>
            <w:tcW w:w="1178" w:type="dxa"/>
            <w:tcBorders>
              <w:bottom w:val="single" w:sz="8" w:space="0" w:color="000000"/>
            </w:tcBorders>
          </w:tcPr>
          <w:p w14:paraId="088D2E95" w14:textId="77777777" w:rsidR="00FA4AA8" w:rsidRDefault="0015611F">
            <w:pPr>
              <w:pStyle w:val="TableParagraph"/>
              <w:spacing w:before="25"/>
              <w:ind w:right="255"/>
              <w:jc w:val="right"/>
              <w:rPr>
                <w:sz w:val="16"/>
              </w:rPr>
            </w:pPr>
            <w:r>
              <w:rPr>
                <w:sz w:val="16"/>
              </w:rPr>
              <w:t>-</w:t>
            </w:r>
          </w:p>
        </w:tc>
        <w:tc>
          <w:tcPr>
            <w:tcW w:w="991" w:type="dxa"/>
            <w:tcBorders>
              <w:bottom w:val="single" w:sz="8" w:space="0" w:color="000000"/>
            </w:tcBorders>
          </w:tcPr>
          <w:p w14:paraId="2B40D1E9" w14:textId="77777777" w:rsidR="00FA4AA8" w:rsidRDefault="0015611F">
            <w:pPr>
              <w:pStyle w:val="TableParagraph"/>
              <w:spacing w:before="25"/>
              <w:ind w:right="27"/>
              <w:jc w:val="right"/>
              <w:rPr>
                <w:sz w:val="16"/>
              </w:rPr>
            </w:pPr>
            <w:r>
              <w:rPr>
                <w:sz w:val="16"/>
              </w:rPr>
              <w:t>(5,867)</w:t>
            </w:r>
          </w:p>
        </w:tc>
      </w:tr>
      <w:tr w:rsidR="00FA4AA8" w14:paraId="76DA9E47" w14:textId="77777777">
        <w:trPr>
          <w:trHeight w:val="315"/>
        </w:trPr>
        <w:tc>
          <w:tcPr>
            <w:tcW w:w="3465" w:type="dxa"/>
            <w:gridSpan w:val="2"/>
          </w:tcPr>
          <w:p w14:paraId="51D3F2F1" w14:textId="77777777" w:rsidR="00FA4AA8" w:rsidRDefault="0015611F">
            <w:pPr>
              <w:pStyle w:val="TableParagraph"/>
              <w:spacing w:before="105" w:line="181" w:lineRule="exact"/>
              <w:ind w:left="484"/>
              <w:rPr>
                <w:b/>
                <w:sz w:val="16"/>
              </w:rPr>
            </w:pPr>
            <w:r>
              <w:rPr>
                <w:b/>
                <w:sz w:val="16"/>
              </w:rPr>
              <w:t>Closing net book amount</w:t>
            </w:r>
          </w:p>
        </w:tc>
        <w:tc>
          <w:tcPr>
            <w:tcW w:w="1133" w:type="dxa"/>
            <w:tcBorders>
              <w:bottom w:val="double" w:sz="2" w:space="0" w:color="000000"/>
            </w:tcBorders>
          </w:tcPr>
          <w:p w14:paraId="4B1BEE94" w14:textId="77777777" w:rsidR="00FA4AA8" w:rsidRDefault="0015611F">
            <w:pPr>
              <w:pStyle w:val="TableParagraph"/>
              <w:spacing w:before="105" w:line="147" w:lineRule="exact"/>
              <w:ind w:right="74"/>
              <w:jc w:val="right"/>
              <w:rPr>
                <w:sz w:val="16"/>
              </w:rPr>
            </w:pPr>
            <w:r>
              <w:rPr>
                <w:sz w:val="16"/>
              </w:rPr>
              <w:t>80,951</w:t>
            </w:r>
          </w:p>
        </w:tc>
        <w:tc>
          <w:tcPr>
            <w:tcW w:w="1182" w:type="dxa"/>
            <w:tcBorders>
              <w:bottom w:val="single" w:sz="4" w:space="0" w:color="000000"/>
            </w:tcBorders>
          </w:tcPr>
          <w:p w14:paraId="099C743E" w14:textId="77777777" w:rsidR="00FA4AA8" w:rsidRDefault="0015611F">
            <w:pPr>
              <w:pStyle w:val="TableParagraph"/>
              <w:spacing w:before="105" w:line="181" w:lineRule="exact"/>
              <w:ind w:right="123"/>
              <w:jc w:val="right"/>
              <w:rPr>
                <w:sz w:val="16"/>
              </w:rPr>
            </w:pPr>
            <w:r>
              <w:rPr>
                <w:sz w:val="16"/>
              </w:rPr>
              <w:t>306,574</w:t>
            </w:r>
          </w:p>
        </w:tc>
        <w:tc>
          <w:tcPr>
            <w:tcW w:w="1156" w:type="dxa"/>
            <w:tcBorders>
              <w:bottom w:val="single" w:sz="6" w:space="0" w:color="000000"/>
            </w:tcBorders>
          </w:tcPr>
          <w:p w14:paraId="52242525" w14:textId="77777777" w:rsidR="00FA4AA8" w:rsidRDefault="0015611F">
            <w:pPr>
              <w:pStyle w:val="TableParagraph"/>
              <w:spacing w:before="105" w:line="181" w:lineRule="exact"/>
              <w:ind w:right="147"/>
              <w:jc w:val="right"/>
              <w:rPr>
                <w:sz w:val="16"/>
              </w:rPr>
            </w:pPr>
            <w:r>
              <w:rPr>
                <w:sz w:val="16"/>
              </w:rPr>
              <w:t>221,740</w:t>
            </w:r>
          </w:p>
        </w:tc>
        <w:tc>
          <w:tcPr>
            <w:tcW w:w="7959" w:type="dxa"/>
            <w:gridSpan w:val="7"/>
            <w:tcBorders>
              <w:bottom w:val="single" w:sz="6" w:space="0" w:color="000000"/>
            </w:tcBorders>
          </w:tcPr>
          <w:p w14:paraId="4FB1E63D" w14:textId="77777777" w:rsidR="00FA4AA8" w:rsidRDefault="0015611F">
            <w:pPr>
              <w:pStyle w:val="TableParagraph"/>
              <w:tabs>
                <w:tab w:val="left" w:pos="1537"/>
                <w:tab w:val="left" w:pos="2759"/>
                <w:tab w:val="left" w:pos="3954"/>
                <w:tab w:val="left" w:pos="5176"/>
                <w:tab w:val="left" w:pos="6309"/>
                <w:tab w:val="left" w:pos="7163"/>
              </w:tabs>
              <w:spacing w:before="105" w:line="181" w:lineRule="exact"/>
              <w:ind w:left="405"/>
              <w:rPr>
                <w:sz w:val="16"/>
              </w:rPr>
            </w:pPr>
            <w:r>
              <w:rPr>
                <w:sz w:val="16"/>
              </w:rPr>
              <w:t>981,524</w:t>
            </w:r>
            <w:r>
              <w:rPr>
                <w:sz w:val="16"/>
                <w:u w:val="single"/>
              </w:rPr>
              <w:t xml:space="preserve"> </w:t>
            </w:r>
            <w:r>
              <w:rPr>
                <w:sz w:val="16"/>
                <w:u w:val="single"/>
              </w:rPr>
              <w:tab/>
              <w:t>109,035</w:t>
            </w:r>
            <w:r>
              <w:rPr>
                <w:sz w:val="16"/>
                <w:u w:val="single"/>
              </w:rPr>
              <w:tab/>
              <w:t>63,666</w:t>
            </w:r>
            <w:r>
              <w:rPr>
                <w:sz w:val="16"/>
                <w:u w:val="single"/>
              </w:rPr>
              <w:tab/>
              <w:t>65,333</w:t>
            </w:r>
            <w:r>
              <w:rPr>
                <w:sz w:val="16"/>
                <w:u w:val="single"/>
              </w:rPr>
              <w:tab/>
              <w:t>7,845</w:t>
            </w:r>
            <w:r>
              <w:rPr>
                <w:sz w:val="16"/>
                <w:u w:val="single"/>
              </w:rPr>
              <w:tab/>
              <w:t>4,410</w:t>
            </w:r>
            <w:r>
              <w:rPr>
                <w:sz w:val="16"/>
                <w:u w:val="single"/>
              </w:rPr>
              <w:tab/>
              <w:t>1,841,078</w:t>
            </w:r>
          </w:p>
        </w:tc>
      </w:tr>
      <w:tr w:rsidR="00FA4AA8" w14:paraId="0CD984E5" w14:textId="77777777">
        <w:trPr>
          <w:trHeight w:val="300"/>
        </w:trPr>
        <w:tc>
          <w:tcPr>
            <w:tcW w:w="3465" w:type="dxa"/>
            <w:gridSpan w:val="2"/>
          </w:tcPr>
          <w:p w14:paraId="3BF70E1E" w14:textId="77777777" w:rsidR="00FA4AA8" w:rsidRDefault="0015611F">
            <w:pPr>
              <w:pStyle w:val="TableParagraph"/>
              <w:spacing w:before="92" w:line="181" w:lineRule="exact"/>
              <w:ind w:left="484"/>
              <w:rPr>
                <w:b/>
                <w:sz w:val="16"/>
              </w:rPr>
            </w:pPr>
            <w:r>
              <w:rPr>
                <w:b/>
                <w:sz w:val="16"/>
              </w:rPr>
              <w:t>At 31 December 2017</w:t>
            </w:r>
          </w:p>
        </w:tc>
        <w:tc>
          <w:tcPr>
            <w:tcW w:w="1133" w:type="dxa"/>
          </w:tcPr>
          <w:p w14:paraId="0FE56659" w14:textId="77777777" w:rsidR="00FA4AA8" w:rsidRDefault="00FA4AA8">
            <w:pPr>
              <w:pStyle w:val="TableParagraph"/>
              <w:rPr>
                <w:rFonts w:ascii="Times New Roman"/>
                <w:sz w:val="16"/>
              </w:rPr>
            </w:pPr>
          </w:p>
        </w:tc>
        <w:tc>
          <w:tcPr>
            <w:tcW w:w="1182" w:type="dxa"/>
          </w:tcPr>
          <w:p w14:paraId="6E9428D0" w14:textId="77777777" w:rsidR="00FA4AA8" w:rsidRDefault="00FA4AA8">
            <w:pPr>
              <w:pStyle w:val="TableParagraph"/>
              <w:rPr>
                <w:rFonts w:ascii="Times New Roman"/>
                <w:sz w:val="16"/>
              </w:rPr>
            </w:pPr>
          </w:p>
        </w:tc>
        <w:tc>
          <w:tcPr>
            <w:tcW w:w="1156" w:type="dxa"/>
          </w:tcPr>
          <w:p w14:paraId="44EEB484" w14:textId="77777777" w:rsidR="00FA4AA8" w:rsidRDefault="00FA4AA8">
            <w:pPr>
              <w:pStyle w:val="TableParagraph"/>
              <w:rPr>
                <w:rFonts w:ascii="Times New Roman"/>
                <w:sz w:val="16"/>
              </w:rPr>
            </w:pPr>
          </w:p>
        </w:tc>
        <w:tc>
          <w:tcPr>
            <w:tcW w:w="1072" w:type="dxa"/>
          </w:tcPr>
          <w:p w14:paraId="148FF6A9" w14:textId="77777777" w:rsidR="00FA4AA8" w:rsidRDefault="00FA4AA8">
            <w:pPr>
              <w:pStyle w:val="TableParagraph"/>
              <w:rPr>
                <w:rFonts w:ascii="Times New Roman"/>
                <w:sz w:val="16"/>
              </w:rPr>
            </w:pPr>
          </w:p>
        </w:tc>
        <w:tc>
          <w:tcPr>
            <w:tcW w:w="1197" w:type="dxa"/>
          </w:tcPr>
          <w:p w14:paraId="71F6688A" w14:textId="77777777" w:rsidR="00FA4AA8" w:rsidRDefault="00FA4AA8">
            <w:pPr>
              <w:pStyle w:val="TableParagraph"/>
              <w:rPr>
                <w:rFonts w:ascii="Times New Roman"/>
                <w:sz w:val="16"/>
              </w:rPr>
            </w:pPr>
          </w:p>
        </w:tc>
        <w:tc>
          <w:tcPr>
            <w:tcW w:w="1082" w:type="dxa"/>
          </w:tcPr>
          <w:p w14:paraId="15156A59" w14:textId="77777777" w:rsidR="00FA4AA8" w:rsidRDefault="00FA4AA8">
            <w:pPr>
              <w:pStyle w:val="TableParagraph"/>
              <w:rPr>
                <w:rFonts w:ascii="Times New Roman"/>
                <w:sz w:val="16"/>
              </w:rPr>
            </w:pPr>
          </w:p>
        </w:tc>
        <w:tc>
          <w:tcPr>
            <w:tcW w:w="1261" w:type="dxa"/>
          </w:tcPr>
          <w:p w14:paraId="719DA7AE" w14:textId="77777777" w:rsidR="00FA4AA8" w:rsidRDefault="00FA4AA8">
            <w:pPr>
              <w:pStyle w:val="TableParagraph"/>
              <w:rPr>
                <w:rFonts w:ascii="Times New Roman"/>
                <w:sz w:val="16"/>
              </w:rPr>
            </w:pPr>
          </w:p>
        </w:tc>
        <w:tc>
          <w:tcPr>
            <w:tcW w:w="1178" w:type="dxa"/>
          </w:tcPr>
          <w:p w14:paraId="4836A5C3" w14:textId="77777777" w:rsidR="00FA4AA8" w:rsidRDefault="00FA4AA8">
            <w:pPr>
              <w:pStyle w:val="TableParagraph"/>
              <w:rPr>
                <w:rFonts w:ascii="Times New Roman"/>
                <w:sz w:val="16"/>
              </w:rPr>
            </w:pPr>
          </w:p>
        </w:tc>
        <w:tc>
          <w:tcPr>
            <w:tcW w:w="1178" w:type="dxa"/>
          </w:tcPr>
          <w:p w14:paraId="738204E0" w14:textId="77777777" w:rsidR="00FA4AA8" w:rsidRDefault="00FA4AA8">
            <w:pPr>
              <w:pStyle w:val="TableParagraph"/>
              <w:rPr>
                <w:rFonts w:ascii="Times New Roman"/>
                <w:sz w:val="16"/>
              </w:rPr>
            </w:pPr>
          </w:p>
        </w:tc>
        <w:tc>
          <w:tcPr>
            <w:tcW w:w="991" w:type="dxa"/>
          </w:tcPr>
          <w:p w14:paraId="5E01F9D0" w14:textId="77777777" w:rsidR="00FA4AA8" w:rsidRDefault="00FA4AA8">
            <w:pPr>
              <w:pStyle w:val="TableParagraph"/>
              <w:rPr>
                <w:rFonts w:ascii="Times New Roman"/>
                <w:sz w:val="16"/>
              </w:rPr>
            </w:pPr>
          </w:p>
        </w:tc>
      </w:tr>
      <w:tr w:rsidR="00FA4AA8" w14:paraId="12BA36B4" w14:textId="77777777">
        <w:trPr>
          <w:trHeight w:val="229"/>
        </w:trPr>
        <w:tc>
          <w:tcPr>
            <w:tcW w:w="3465" w:type="dxa"/>
            <w:gridSpan w:val="2"/>
          </w:tcPr>
          <w:p w14:paraId="0FCC00FD" w14:textId="77777777" w:rsidR="00FA4AA8" w:rsidRDefault="0015611F">
            <w:pPr>
              <w:pStyle w:val="TableParagraph"/>
              <w:spacing w:before="15"/>
              <w:ind w:left="484"/>
              <w:rPr>
                <w:sz w:val="16"/>
              </w:rPr>
            </w:pPr>
            <w:r>
              <w:rPr>
                <w:sz w:val="16"/>
              </w:rPr>
              <w:t>- Cost</w:t>
            </w:r>
          </w:p>
        </w:tc>
        <w:tc>
          <w:tcPr>
            <w:tcW w:w="1133" w:type="dxa"/>
          </w:tcPr>
          <w:p w14:paraId="204E9B71" w14:textId="77777777" w:rsidR="00FA4AA8" w:rsidRDefault="0015611F">
            <w:pPr>
              <w:pStyle w:val="TableParagraph"/>
              <w:spacing w:before="12"/>
              <w:ind w:right="74"/>
              <w:jc w:val="right"/>
              <w:rPr>
                <w:sz w:val="16"/>
              </w:rPr>
            </w:pPr>
            <w:r>
              <w:rPr>
                <w:sz w:val="16"/>
              </w:rPr>
              <w:t>80,951</w:t>
            </w:r>
          </w:p>
        </w:tc>
        <w:tc>
          <w:tcPr>
            <w:tcW w:w="1182" w:type="dxa"/>
          </w:tcPr>
          <w:p w14:paraId="02ADF401" w14:textId="77777777" w:rsidR="00FA4AA8" w:rsidRDefault="0015611F">
            <w:pPr>
              <w:pStyle w:val="TableParagraph"/>
              <w:spacing w:before="12"/>
              <w:ind w:right="123"/>
              <w:jc w:val="right"/>
              <w:rPr>
                <w:sz w:val="16"/>
              </w:rPr>
            </w:pPr>
            <w:r>
              <w:rPr>
                <w:sz w:val="16"/>
              </w:rPr>
              <w:t>-</w:t>
            </w:r>
          </w:p>
        </w:tc>
        <w:tc>
          <w:tcPr>
            <w:tcW w:w="1156" w:type="dxa"/>
          </w:tcPr>
          <w:p w14:paraId="66767572" w14:textId="77777777" w:rsidR="00FA4AA8" w:rsidRDefault="0015611F">
            <w:pPr>
              <w:pStyle w:val="TableParagraph"/>
              <w:spacing w:before="12"/>
              <w:ind w:right="146"/>
              <w:jc w:val="right"/>
              <w:rPr>
                <w:sz w:val="16"/>
              </w:rPr>
            </w:pPr>
            <w:r>
              <w:rPr>
                <w:sz w:val="16"/>
              </w:rPr>
              <w:t>-</w:t>
            </w:r>
          </w:p>
        </w:tc>
        <w:tc>
          <w:tcPr>
            <w:tcW w:w="1072" w:type="dxa"/>
          </w:tcPr>
          <w:p w14:paraId="69848143" w14:textId="77777777" w:rsidR="00FA4AA8" w:rsidRDefault="0015611F">
            <w:pPr>
              <w:pStyle w:val="TableParagraph"/>
              <w:spacing w:before="12"/>
              <w:ind w:right="86"/>
              <w:jc w:val="right"/>
              <w:rPr>
                <w:sz w:val="16"/>
              </w:rPr>
            </w:pPr>
            <w:r>
              <w:rPr>
                <w:sz w:val="16"/>
              </w:rPr>
              <w:t>7,576</w:t>
            </w:r>
          </w:p>
        </w:tc>
        <w:tc>
          <w:tcPr>
            <w:tcW w:w="1197" w:type="dxa"/>
          </w:tcPr>
          <w:p w14:paraId="1B5FD8EF" w14:textId="77777777" w:rsidR="00FA4AA8" w:rsidRDefault="0015611F">
            <w:pPr>
              <w:pStyle w:val="TableParagraph"/>
              <w:spacing w:before="12"/>
              <w:ind w:right="150"/>
              <w:jc w:val="right"/>
              <w:rPr>
                <w:sz w:val="16"/>
              </w:rPr>
            </w:pPr>
            <w:r>
              <w:rPr>
                <w:sz w:val="16"/>
              </w:rPr>
              <w:t>18</w:t>
            </w:r>
          </w:p>
        </w:tc>
        <w:tc>
          <w:tcPr>
            <w:tcW w:w="1082" w:type="dxa"/>
          </w:tcPr>
          <w:p w14:paraId="47120A63" w14:textId="77777777" w:rsidR="00FA4AA8" w:rsidRDefault="0015611F">
            <w:pPr>
              <w:pStyle w:val="TableParagraph"/>
              <w:spacing w:before="12"/>
              <w:ind w:right="99"/>
              <w:jc w:val="right"/>
              <w:rPr>
                <w:sz w:val="16"/>
              </w:rPr>
            </w:pPr>
            <w:r>
              <w:rPr>
                <w:sz w:val="16"/>
              </w:rPr>
              <w:t>147,465</w:t>
            </w:r>
          </w:p>
        </w:tc>
        <w:tc>
          <w:tcPr>
            <w:tcW w:w="1261" w:type="dxa"/>
          </w:tcPr>
          <w:p w14:paraId="1A254F55" w14:textId="77777777" w:rsidR="00FA4AA8" w:rsidRDefault="0015611F">
            <w:pPr>
              <w:pStyle w:val="TableParagraph"/>
              <w:spacing w:before="12"/>
              <w:ind w:right="165"/>
              <w:jc w:val="right"/>
              <w:rPr>
                <w:sz w:val="16"/>
              </w:rPr>
            </w:pPr>
            <w:r>
              <w:rPr>
                <w:sz w:val="16"/>
              </w:rPr>
              <w:t>82,283</w:t>
            </w:r>
          </w:p>
        </w:tc>
        <w:tc>
          <w:tcPr>
            <w:tcW w:w="1178" w:type="dxa"/>
          </w:tcPr>
          <w:p w14:paraId="246141C7" w14:textId="77777777" w:rsidR="00FA4AA8" w:rsidRDefault="0015611F">
            <w:pPr>
              <w:pStyle w:val="TableParagraph"/>
              <w:spacing w:before="12"/>
              <w:ind w:left="475"/>
              <w:rPr>
                <w:sz w:val="16"/>
              </w:rPr>
            </w:pPr>
            <w:r>
              <w:rPr>
                <w:sz w:val="16"/>
              </w:rPr>
              <w:t>77,877</w:t>
            </w:r>
          </w:p>
        </w:tc>
        <w:tc>
          <w:tcPr>
            <w:tcW w:w="1178" w:type="dxa"/>
          </w:tcPr>
          <w:p w14:paraId="42253739" w14:textId="77777777" w:rsidR="00FA4AA8" w:rsidRDefault="0015611F">
            <w:pPr>
              <w:pStyle w:val="TableParagraph"/>
              <w:spacing w:before="12"/>
              <w:ind w:right="255"/>
              <w:jc w:val="right"/>
              <w:rPr>
                <w:sz w:val="16"/>
              </w:rPr>
            </w:pPr>
            <w:r>
              <w:rPr>
                <w:sz w:val="16"/>
              </w:rPr>
              <w:t>-</w:t>
            </w:r>
          </w:p>
        </w:tc>
        <w:tc>
          <w:tcPr>
            <w:tcW w:w="991" w:type="dxa"/>
          </w:tcPr>
          <w:p w14:paraId="28C46DEF" w14:textId="77777777" w:rsidR="00FA4AA8" w:rsidRDefault="0015611F">
            <w:pPr>
              <w:pStyle w:val="TableParagraph"/>
              <w:spacing w:before="12"/>
              <w:ind w:right="80"/>
              <w:jc w:val="right"/>
              <w:rPr>
                <w:sz w:val="16"/>
              </w:rPr>
            </w:pPr>
            <w:r>
              <w:rPr>
                <w:sz w:val="16"/>
              </w:rPr>
              <w:t>396,170</w:t>
            </w:r>
          </w:p>
        </w:tc>
      </w:tr>
      <w:tr w:rsidR="00FA4AA8" w14:paraId="48F2D473" w14:textId="77777777">
        <w:trPr>
          <w:trHeight w:val="241"/>
        </w:trPr>
        <w:tc>
          <w:tcPr>
            <w:tcW w:w="3465" w:type="dxa"/>
            <w:gridSpan w:val="2"/>
          </w:tcPr>
          <w:p w14:paraId="0CD158CE" w14:textId="77777777" w:rsidR="00FA4AA8" w:rsidRDefault="0015611F">
            <w:pPr>
              <w:pStyle w:val="TableParagraph"/>
              <w:spacing w:before="28"/>
              <w:ind w:left="484"/>
              <w:rPr>
                <w:sz w:val="16"/>
              </w:rPr>
            </w:pPr>
            <w:r>
              <w:rPr>
                <w:sz w:val="16"/>
              </w:rPr>
              <w:t>- Valuation</w:t>
            </w:r>
          </w:p>
        </w:tc>
        <w:tc>
          <w:tcPr>
            <w:tcW w:w="1133" w:type="dxa"/>
          </w:tcPr>
          <w:p w14:paraId="5648A044" w14:textId="77777777" w:rsidR="00FA4AA8" w:rsidRDefault="0015611F">
            <w:pPr>
              <w:pStyle w:val="TableParagraph"/>
              <w:spacing w:before="25"/>
              <w:ind w:right="74"/>
              <w:jc w:val="right"/>
              <w:rPr>
                <w:sz w:val="16"/>
              </w:rPr>
            </w:pPr>
            <w:r>
              <w:rPr>
                <w:sz w:val="16"/>
              </w:rPr>
              <w:t>-</w:t>
            </w:r>
          </w:p>
        </w:tc>
        <w:tc>
          <w:tcPr>
            <w:tcW w:w="1182" w:type="dxa"/>
          </w:tcPr>
          <w:p w14:paraId="3B392AD8" w14:textId="77777777" w:rsidR="00FA4AA8" w:rsidRDefault="0015611F">
            <w:pPr>
              <w:pStyle w:val="TableParagraph"/>
              <w:spacing w:before="25"/>
              <w:ind w:right="123"/>
              <w:jc w:val="right"/>
              <w:rPr>
                <w:sz w:val="16"/>
              </w:rPr>
            </w:pPr>
            <w:r>
              <w:rPr>
                <w:sz w:val="16"/>
              </w:rPr>
              <w:t>306,574</w:t>
            </w:r>
          </w:p>
        </w:tc>
        <w:tc>
          <w:tcPr>
            <w:tcW w:w="1156" w:type="dxa"/>
          </w:tcPr>
          <w:p w14:paraId="1B2D67A7" w14:textId="77777777" w:rsidR="00FA4AA8" w:rsidRDefault="0015611F">
            <w:pPr>
              <w:pStyle w:val="TableParagraph"/>
              <w:spacing w:before="25"/>
              <w:ind w:right="147"/>
              <w:jc w:val="right"/>
              <w:rPr>
                <w:sz w:val="16"/>
              </w:rPr>
            </w:pPr>
            <w:r>
              <w:rPr>
                <w:sz w:val="16"/>
              </w:rPr>
              <w:t>221,740</w:t>
            </w:r>
          </w:p>
        </w:tc>
        <w:tc>
          <w:tcPr>
            <w:tcW w:w="1072" w:type="dxa"/>
          </w:tcPr>
          <w:p w14:paraId="37EE3A93" w14:textId="77777777" w:rsidR="00FA4AA8" w:rsidRDefault="0015611F">
            <w:pPr>
              <w:pStyle w:val="TableParagraph"/>
              <w:spacing w:before="25"/>
              <w:ind w:right="86"/>
              <w:jc w:val="right"/>
              <w:rPr>
                <w:sz w:val="16"/>
              </w:rPr>
            </w:pPr>
            <w:r>
              <w:rPr>
                <w:sz w:val="16"/>
              </w:rPr>
              <w:t>983,669</w:t>
            </w:r>
          </w:p>
        </w:tc>
        <w:tc>
          <w:tcPr>
            <w:tcW w:w="1197" w:type="dxa"/>
          </w:tcPr>
          <w:p w14:paraId="4949E920" w14:textId="77777777" w:rsidR="00FA4AA8" w:rsidRDefault="0015611F">
            <w:pPr>
              <w:pStyle w:val="TableParagraph"/>
              <w:spacing w:before="25"/>
              <w:ind w:right="150"/>
              <w:jc w:val="right"/>
              <w:rPr>
                <w:sz w:val="16"/>
              </w:rPr>
            </w:pPr>
            <w:r>
              <w:rPr>
                <w:sz w:val="16"/>
              </w:rPr>
              <w:t>110,808</w:t>
            </w:r>
          </w:p>
        </w:tc>
        <w:tc>
          <w:tcPr>
            <w:tcW w:w="1082" w:type="dxa"/>
          </w:tcPr>
          <w:p w14:paraId="338154A8" w14:textId="77777777" w:rsidR="00FA4AA8" w:rsidRDefault="0015611F">
            <w:pPr>
              <w:pStyle w:val="TableParagraph"/>
              <w:spacing w:before="25"/>
              <w:ind w:right="99"/>
              <w:jc w:val="right"/>
              <w:rPr>
                <w:sz w:val="16"/>
              </w:rPr>
            </w:pPr>
            <w:r>
              <w:rPr>
                <w:sz w:val="16"/>
              </w:rPr>
              <w:t>-</w:t>
            </w:r>
          </w:p>
        </w:tc>
        <w:tc>
          <w:tcPr>
            <w:tcW w:w="1261" w:type="dxa"/>
          </w:tcPr>
          <w:p w14:paraId="03997751" w14:textId="77777777" w:rsidR="00FA4AA8" w:rsidRDefault="0015611F">
            <w:pPr>
              <w:pStyle w:val="TableParagraph"/>
              <w:spacing w:before="25"/>
              <w:ind w:right="164"/>
              <w:jc w:val="right"/>
              <w:rPr>
                <w:sz w:val="16"/>
              </w:rPr>
            </w:pPr>
            <w:r>
              <w:rPr>
                <w:sz w:val="16"/>
              </w:rPr>
              <w:t>-</w:t>
            </w:r>
          </w:p>
        </w:tc>
        <w:tc>
          <w:tcPr>
            <w:tcW w:w="1178" w:type="dxa"/>
          </w:tcPr>
          <w:p w14:paraId="31832070" w14:textId="77777777" w:rsidR="00FA4AA8" w:rsidRDefault="0015611F">
            <w:pPr>
              <w:pStyle w:val="TableParagraph"/>
              <w:spacing w:before="25"/>
              <w:ind w:right="210"/>
              <w:jc w:val="right"/>
              <w:rPr>
                <w:sz w:val="16"/>
              </w:rPr>
            </w:pPr>
            <w:r>
              <w:rPr>
                <w:sz w:val="16"/>
              </w:rPr>
              <w:t>1,742</w:t>
            </w:r>
          </w:p>
        </w:tc>
        <w:tc>
          <w:tcPr>
            <w:tcW w:w="1178" w:type="dxa"/>
          </w:tcPr>
          <w:p w14:paraId="0E804381" w14:textId="77777777" w:rsidR="00FA4AA8" w:rsidRDefault="0015611F">
            <w:pPr>
              <w:pStyle w:val="TableParagraph"/>
              <w:spacing w:before="25"/>
              <w:ind w:right="255"/>
              <w:jc w:val="right"/>
              <w:rPr>
                <w:sz w:val="16"/>
              </w:rPr>
            </w:pPr>
            <w:r>
              <w:rPr>
                <w:sz w:val="16"/>
              </w:rPr>
              <w:t>4,410</w:t>
            </w:r>
          </w:p>
        </w:tc>
        <w:tc>
          <w:tcPr>
            <w:tcW w:w="991" w:type="dxa"/>
          </w:tcPr>
          <w:p w14:paraId="69AA6508" w14:textId="77777777" w:rsidR="00FA4AA8" w:rsidRDefault="0015611F">
            <w:pPr>
              <w:pStyle w:val="TableParagraph"/>
              <w:spacing w:before="25"/>
              <w:ind w:right="80"/>
              <w:jc w:val="right"/>
              <w:rPr>
                <w:sz w:val="16"/>
              </w:rPr>
            </w:pPr>
            <w:r>
              <w:rPr>
                <w:sz w:val="16"/>
              </w:rPr>
              <w:t>1,628,943</w:t>
            </w:r>
          </w:p>
        </w:tc>
      </w:tr>
      <w:tr w:rsidR="00FA4AA8" w14:paraId="7F2EDB75" w14:textId="77777777">
        <w:trPr>
          <w:trHeight w:val="417"/>
        </w:trPr>
        <w:tc>
          <w:tcPr>
            <w:tcW w:w="3465" w:type="dxa"/>
            <w:gridSpan w:val="2"/>
          </w:tcPr>
          <w:p w14:paraId="26CD12E0" w14:textId="77777777" w:rsidR="00FA4AA8" w:rsidRDefault="0015611F">
            <w:pPr>
              <w:pStyle w:val="TableParagraph"/>
              <w:spacing w:before="24"/>
              <w:ind w:left="484" w:right="808"/>
              <w:rPr>
                <w:sz w:val="16"/>
              </w:rPr>
            </w:pPr>
            <w:r>
              <w:rPr>
                <w:sz w:val="16"/>
              </w:rPr>
              <w:t>Accumulated depreciation and impairment</w:t>
            </w:r>
          </w:p>
        </w:tc>
        <w:tc>
          <w:tcPr>
            <w:tcW w:w="1133" w:type="dxa"/>
            <w:tcBorders>
              <w:bottom w:val="single" w:sz="8" w:space="0" w:color="000000"/>
            </w:tcBorders>
          </w:tcPr>
          <w:p w14:paraId="2459DFB6" w14:textId="77777777" w:rsidR="00FA4AA8" w:rsidRDefault="00FA4AA8">
            <w:pPr>
              <w:pStyle w:val="TableParagraph"/>
              <w:spacing w:before="11"/>
              <w:rPr>
                <w:sz w:val="17"/>
              </w:rPr>
            </w:pPr>
          </w:p>
          <w:p w14:paraId="26E815C5" w14:textId="77777777" w:rsidR="00FA4AA8" w:rsidRDefault="0015611F">
            <w:pPr>
              <w:pStyle w:val="TableParagraph"/>
              <w:ind w:right="74"/>
              <w:jc w:val="right"/>
              <w:rPr>
                <w:sz w:val="16"/>
              </w:rPr>
            </w:pPr>
            <w:r>
              <w:rPr>
                <w:sz w:val="16"/>
              </w:rPr>
              <w:t>-</w:t>
            </w:r>
          </w:p>
        </w:tc>
        <w:tc>
          <w:tcPr>
            <w:tcW w:w="1182" w:type="dxa"/>
            <w:tcBorders>
              <w:bottom w:val="single" w:sz="8" w:space="0" w:color="000000"/>
            </w:tcBorders>
          </w:tcPr>
          <w:p w14:paraId="3097F970" w14:textId="77777777" w:rsidR="00FA4AA8" w:rsidRDefault="00FA4AA8">
            <w:pPr>
              <w:pStyle w:val="TableParagraph"/>
              <w:spacing w:before="11"/>
              <w:rPr>
                <w:sz w:val="17"/>
              </w:rPr>
            </w:pPr>
          </w:p>
          <w:p w14:paraId="5149137B" w14:textId="77777777" w:rsidR="00FA4AA8" w:rsidRDefault="0015611F">
            <w:pPr>
              <w:pStyle w:val="TableParagraph"/>
              <w:ind w:right="123"/>
              <w:jc w:val="right"/>
              <w:rPr>
                <w:sz w:val="16"/>
              </w:rPr>
            </w:pPr>
            <w:r>
              <w:rPr>
                <w:sz w:val="16"/>
              </w:rPr>
              <w:t>-</w:t>
            </w:r>
          </w:p>
        </w:tc>
        <w:tc>
          <w:tcPr>
            <w:tcW w:w="1156" w:type="dxa"/>
            <w:tcBorders>
              <w:bottom w:val="single" w:sz="8" w:space="0" w:color="000000"/>
            </w:tcBorders>
          </w:tcPr>
          <w:p w14:paraId="7B7D2EB2" w14:textId="77777777" w:rsidR="00FA4AA8" w:rsidRDefault="00FA4AA8">
            <w:pPr>
              <w:pStyle w:val="TableParagraph"/>
              <w:spacing w:before="11"/>
              <w:rPr>
                <w:sz w:val="17"/>
              </w:rPr>
            </w:pPr>
          </w:p>
          <w:p w14:paraId="0C755AC7" w14:textId="77777777" w:rsidR="00FA4AA8" w:rsidRDefault="0015611F">
            <w:pPr>
              <w:pStyle w:val="TableParagraph"/>
              <w:ind w:right="146"/>
              <w:jc w:val="right"/>
              <w:rPr>
                <w:sz w:val="16"/>
              </w:rPr>
            </w:pPr>
            <w:r>
              <w:rPr>
                <w:sz w:val="16"/>
              </w:rPr>
              <w:t>-</w:t>
            </w:r>
          </w:p>
        </w:tc>
        <w:tc>
          <w:tcPr>
            <w:tcW w:w="1072" w:type="dxa"/>
            <w:tcBorders>
              <w:bottom w:val="single" w:sz="8" w:space="0" w:color="000000"/>
            </w:tcBorders>
          </w:tcPr>
          <w:p w14:paraId="0D283E5E" w14:textId="77777777" w:rsidR="00FA4AA8" w:rsidRDefault="00FA4AA8">
            <w:pPr>
              <w:pStyle w:val="TableParagraph"/>
              <w:spacing w:before="11"/>
              <w:rPr>
                <w:sz w:val="17"/>
              </w:rPr>
            </w:pPr>
          </w:p>
          <w:p w14:paraId="5BED46DB" w14:textId="77777777" w:rsidR="00FA4AA8" w:rsidRDefault="0015611F">
            <w:pPr>
              <w:pStyle w:val="TableParagraph"/>
              <w:ind w:right="33"/>
              <w:jc w:val="right"/>
              <w:rPr>
                <w:sz w:val="16"/>
              </w:rPr>
            </w:pPr>
            <w:r>
              <w:rPr>
                <w:sz w:val="16"/>
              </w:rPr>
              <w:t>(9,721)</w:t>
            </w:r>
          </w:p>
        </w:tc>
        <w:tc>
          <w:tcPr>
            <w:tcW w:w="1197" w:type="dxa"/>
            <w:tcBorders>
              <w:bottom w:val="single" w:sz="8" w:space="0" w:color="000000"/>
            </w:tcBorders>
          </w:tcPr>
          <w:p w14:paraId="38C42DEE" w14:textId="77777777" w:rsidR="00FA4AA8" w:rsidRDefault="00FA4AA8">
            <w:pPr>
              <w:pStyle w:val="TableParagraph"/>
              <w:spacing w:before="11"/>
              <w:rPr>
                <w:sz w:val="17"/>
              </w:rPr>
            </w:pPr>
          </w:p>
          <w:p w14:paraId="5922CC4A" w14:textId="77777777" w:rsidR="00FA4AA8" w:rsidRDefault="0015611F">
            <w:pPr>
              <w:pStyle w:val="TableParagraph"/>
              <w:ind w:right="97"/>
              <w:jc w:val="right"/>
              <w:rPr>
                <w:sz w:val="16"/>
              </w:rPr>
            </w:pPr>
            <w:r>
              <w:rPr>
                <w:sz w:val="16"/>
              </w:rPr>
              <w:t>(1,791)</w:t>
            </w:r>
          </w:p>
        </w:tc>
        <w:tc>
          <w:tcPr>
            <w:tcW w:w="1082" w:type="dxa"/>
            <w:tcBorders>
              <w:bottom w:val="single" w:sz="8" w:space="0" w:color="000000"/>
            </w:tcBorders>
          </w:tcPr>
          <w:p w14:paraId="27042201" w14:textId="77777777" w:rsidR="00FA4AA8" w:rsidRDefault="00FA4AA8">
            <w:pPr>
              <w:pStyle w:val="TableParagraph"/>
              <w:spacing w:before="11"/>
              <w:rPr>
                <w:sz w:val="17"/>
              </w:rPr>
            </w:pPr>
          </w:p>
          <w:p w14:paraId="64994226" w14:textId="77777777" w:rsidR="00FA4AA8" w:rsidRDefault="0015611F">
            <w:pPr>
              <w:pStyle w:val="TableParagraph"/>
              <w:ind w:right="46"/>
              <w:jc w:val="right"/>
              <w:rPr>
                <w:sz w:val="16"/>
              </w:rPr>
            </w:pPr>
            <w:r>
              <w:rPr>
                <w:sz w:val="16"/>
              </w:rPr>
              <w:t>(83,799)</w:t>
            </w:r>
          </w:p>
        </w:tc>
        <w:tc>
          <w:tcPr>
            <w:tcW w:w="1261" w:type="dxa"/>
            <w:tcBorders>
              <w:bottom w:val="single" w:sz="8" w:space="0" w:color="000000"/>
            </w:tcBorders>
          </w:tcPr>
          <w:p w14:paraId="668B9813" w14:textId="77777777" w:rsidR="00FA4AA8" w:rsidRDefault="00FA4AA8">
            <w:pPr>
              <w:pStyle w:val="TableParagraph"/>
              <w:spacing w:before="11"/>
              <w:rPr>
                <w:sz w:val="17"/>
              </w:rPr>
            </w:pPr>
          </w:p>
          <w:p w14:paraId="1455FCCD" w14:textId="77777777" w:rsidR="00FA4AA8" w:rsidRDefault="0015611F">
            <w:pPr>
              <w:pStyle w:val="TableParagraph"/>
              <w:ind w:right="112"/>
              <w:jc w:val="right"/>
              <w:rPr>
                <w:sz w:val="16"/>
              </w:rPr>
            </w:pPr>
            <w:r>
              <w:rPr>
                <w:sz w:val="16"/>
              </w:rPr>
              <w:t>(16,950)</w:t>
            </w:r>
          </w:p>
        </w:tc>
        <w:tc>
          <w:tcPr>
            <w:tcW w:w="1178" w:type="dxa"/>
            <w:tcBorders>
              <w:bottom w:val="single" w:sz="8" w:space="0" w:color="000000"/>
            </w:tcBorders>
          </w:tcPr>
          <w:p w14:paraId="41D00D87" w14:textId="77777777" w:rsidR="00FA4AA8" w:rsidRDefault="00FA4AA8">
            <w:pPr>
              <w:pStyle w:val="TableParagraph"/>
              <w:spacing w:before="11"/>
              <w:rPr>
                <w:sz w:val="17"/>
              </w:rPr>
            </w:pPr>
          </w:p>
          <w:p w14:paraId="65A3D1B4" w14:textId="77777777" w:rsidR="00FA4AA8" w:rsidRDefault="0015611F">
            <w:pPr>
              <w:pStyle w:val="TableParagraph"/>
              <w:ind w:right="157"/>
              <w:jc w:val="right"/>
              <w:rPr>
                <w:sz w:val="16"/>
              </w:rPr>
            </w:pPr>
            <w:r>
              <w:rPr>
                <w:sz w:val="16"/>
              </w:rPr>
              <w:t>(71,774)</w:t>
            </w:r>
          </w:p>
        </w:tc>
        <w:tc>
          <w:tcPr>
            <w:tcW w:w="1178" w:type="dxa"/>
            <w:tcBorders>
              <w:bottom w:val="single" w:sz="8" w:space="0" w:color="000000"/>
            </w:tcBorders>
          </w:tcPr>
          <w:p w14:paraId="58B0C22D" w14:textId="77777777" w:rsidR="00FA4AA8" w:rsidRDefault="00FA4AA8">
            <w:pPr>
              <w:pStyle w:val="TableParagraph"/>
              <w:spacing w:before="11"/>
              <w:rPr>
                <w:sz w:val="17"/>
              </w:rPr>
            </w:pPr>
          </w:p>
          <w:p w14:paraId="101625BF" w14:textId="77777777" w:rsidR="00FA4AA8" w:rsidRDefault="0015611F">
            <w:pPr>
              <w:pStyle w:val="TableParagraph"/>
              <w:ind w:right="255"/>
              <w:jc w:val="right"/>
              <w:rPr>
                <w:sz w:val="16"/>
              </w:rPr>
            </w:pPr>
            <w:r>
              <w:rPr>
                <w:sz w:val="16"/>
              </w:rPr>
              <w:t>-</w:t>
            </w:r>
          </w:p>
        </w:tc>
        <w:tc>
          <w:tcPr>
            <w:tcW w:w="991" w:type="dxa"/>
            <w:tcBorders>
              <w:bottom w:val="single" w:sz="8" w:space="0" w:color="000000"/>
            </w:tcBorders>
          </w:tcPr>
          <w:p w14:paraId="3CB2CB5B" w14:textId="77777777" w:rsidR="00FA4AA8" w:rsidRDefault="00FA4AA8">
            <w:pPr>
              <w:pStyle w:val="TableParagraph"/>
              <w:spacing w:before="11"/>
              <w:rPr>
                <w:sz w:val="17"/>
              </w:rPr>
            </w:pPr>
          </w:p>
          <w:p w14:paraId="32303A07" w14:textId="77777777" w:rsidR="00FA4AA8" w:rsidRDefault="0015611F">
            <w:pPr>
              <w:pStyle w:val="TableParagraph"/>
              <w:ind w:right="27"/>
              <w:jc w:val="right"/>
              <w:rPr>
                <w:sz w:val="16"/>
              </w:rPr>
            </w:pPr>
            <w:r>
              <w:rPr>
                <w:sz w:val="16"/>
              </w:rPr>
              <w:t>(184,035)</w:t>
            </w:r>
          </w:p>
        </w:tc>
      </w:tr>
      <w:tr w:rsidR="00FA4AA8" w14:paraId="415FE3BB" w14:textId="77777777">
        <w:trPr>
          <w:trHeight w:val="293"/>
        </w:trPr>
        <w:tc>
          <w:tcPr>
            <w:tcW w:w="3465" w:type="dxa"/>
            <w:gridSpan w:val="2"/>
          </w:tcPr>
          <w:p w14:paraId="43A60B31" w14:textId="77777777" w:rsidR="00FA4AA8" w:rsidRDefault="0015611F">
            <w:pPr>
              <w:pStyle w:val="TableParagraph"/>
              <w:spacing w:before="114" w:line="158" w:lineRule="exact"/>
              <w:ind w:left="484"/>
              <w:rPr>
                <w:b/>
                <w:sz w:val="16"/>
              </w:rPr>
            </w:pPr>
            <w:r>
              <w:rPr>
                <w:b/>
                <w:sz w:val="16"/>
              </w:rPr>
              <w:t>Net book amount</w:t>
            </w:r>
          </w:p>
        </w:tc>
        <w:tc>
          <w:tcPr>
            <w:tcW w:w="1133" w:type="dxa"/>
            <w:tcBorders>
              <w:top w:val="single" w:sz="8" w:space="0" w:color="000000"/>
              <w:bottom w:val="thinThickMediumGap" w:sz="3" w:space="0" w:color="000000"/>
            </w:tcBorders>
          </w:tcPr>
          <w:p w14:paraId="54084206" w14:textId="77777777" w:rsidR="00FA4AA8" w:rsidRDefault="0015611F">
            <w:pPr>
              <w:pStyle w:val="TableParagraph"/>
              <w:spacing w:before="114" w:line="158" w:lineRule="exact"/>
              <w:ind w:right="74"/>
              <w:jc w:val="right"/>
              <w:rPr>
                <w:sz w:val="16"/>
              </w:rPr>
            </w:pPr>
            <w:r>
              <w:rPr>
                <w:sz w:val="16"/>
              </w:rPr>
              <w:t>80,951</w:t>
            </w:r>
          </w:p>
        </w:tc>
        <w:tc>
          <w:tcPr>
            <w:tcW w:w="1182" w:type="dxa"/>
            <w:tcBorders>
              <w:top w:val="single" w:sz="8" w:space="0" w:color="000000"/>
              <w:bottom w:val="single" w:sz="6" w:space="0" w:color="000000"/>
            </w:tcBorders>
          </w:tcPr>
          <w:p w14:paraId="5BD9B73F" w14:textId="77777777" w:rsidR="00FA4AA8" w:rsidRDefault="0015611F">
            <w:pPr>
              <w:pStyle w:val="TableParagraph"/>
              <w:spacing w:before="114" w:line="158" w:lineRule="exact"/>
              <w:ind w:right="123"/>
              <w:jc w:val="right"/>
              <w:rPr>
                <w:sz w:val="16"/>
              </w:rPr>
            </w:pPr>
            <w:r>
              <w:rPr>
                <w:sz w:val="16"/>
              </w:rPr>
              <w:t>306,574</w:t>
            </w:r>
          </w:p>
        </w:tc>
        <w:tc>
          <w:tcPr>
            <w:tcW w:w="1156" w:type="dxa"/>
            <w:tcBorders>
              <w:top w:val="single" w:sz="8" w:space="0" w:color="000000"/>
              <w:bottom w:val="single" w:sz="6" w:space="0" w:color="000000"/>
            </w:tcBorders>
          </w:tcPr>
          <w:p w14:paraId="4A57C846" w14:textId="77777777" w:rsidR="00FA4AA8" w:rsidRDefault="0015611F">
            <w:pPr>
              <w:pStyle w:val="TableParagraph"/>
              <w:spacing w:before="114" w:line="158" w:lineRule="exact"/>
              <w:ind w:right="147"/>
              <w:jc w:val="right"/>
              <w:rPr>
                <w:sz w:val="16"/>
              </w:rPr>
            </w:pPr>
            <w:r>
              <w:rPr>
                <w:sz w:val="16"/>
              </w:rPr>
              <w:t>221,740</w:t>
            </w:r>
          </w:p>
        </w:tc>
        <w:tc>
          <w:tcPr>
            <w:tcW w:w="1072" w:type="dxa"/>
            <w:tcBorders>
              <w:top w:val="single" w:sz="8" w:space="0" w:color="000000"/>
              <w:bottom w:val="single" w:sz="6" w:space="0" w:color="000000"/>
            </w:tcBorders>
          </w:tcPr>
          <w:p w14:paraId="24AAFDD9" w14:textId="77777777" w:rsidR="00FA4AA8" w:rsidRDefault="0015611F">
            <w:pPr>
              <w:pStyle w:val="TableParagraph"/>
              <w:spacing w:before="114" w:line="158" w:lineRule="exact"/>
              <w:ind w:right="86"/>
              <w:jc w:val="right"/>
              <w:rPr>
                <w:sz w:val="16"/>
              </w:rPr>
            </w:pPr>
            <w:r>
              <w:rPr>
                <w:sz w:val="16"/>
              </w:rPr>
              <w:t>981,524</w:t>
            </w:r>
          </w:p>
        </w:tc>
        <w:tc>
          <w:tcPr>
            <w:tcW w:w="1197" w:type="dxa"/>
            <w:tcBorders>
              <w:top w:val="single" w:sz="8" w:space="0" w:color="000000"/>
              <w:bottom w:val="single" w:sz="6" w:space="0" w:color="000000"/>
            </w:tcBorders>
          </w:tcPr>
          <w:p w14:paraId="4ED92E32" w14:textId="77777777" w:rsidR="00FA4AA8" w:rsidRDefault="0015611F">
            <w:pPr>
              <w:pStyle w:val="TableParagraph"/>
              <w:spacing w:before="114" w:line="158" w:lineRule="exact"/>
              <w:ind w:right="150"/>
              <w:jc w:val="right"/>
              <w:rPr>
                <w:sz w:val="16"/>
              </w:rPr>
            </w:pPr>
            <w:r>
              <w:rPr>
                <w:sz w:val="16"/>
              </w:rPr>
              <w:t>109,035</w:t>
            </w:r>
          </w:p>
        </w:tc>
        <w:tc>
          <w:tcPr>
            <w:tcW w:w="1082" w:type="dxa"/>
            <w:tcBorders>
              <w:top w:val="single" w:sz="8" w:space="0" w:color="000000"/>
              <w:bottom w:val="single" w:sz="6" w:space="0" w:color="000000"/>
            </w:tcBorders>
          </w:tcPr>
          <w:p w14:paraId="7CCE0F20" w14:textId="77777777" w:rsidR="00FA4AA8" w:rsidRDefault="0015611F">
            <w:pPr>
              <w:pStyle w:val="TableParagraph"/>
              <w:spacing w:before="114" w:line="158" w:lineRule="exact"/>
              <w:ind w:right="99"/>
              <w:jc w:val="right"/>
              <w:rPr>
                <w:sz w:val="16"/>
              </w:rPr>
            </w:pPr>
            <w:r>
              <w:rPr>
                <w:sz w:val="16"/>
              </w:rPr>
              <w:t>63,666</w:t>
            </w:r>
          </w:p>
        </w:tc>
        <w:tc>
          <w:tcPr>
            <w:tcW w:w="1261" w:type="dxa"/>
            <w:tcBorders>
              <w:top w:val="single" w:sz="8" w:space="0" w:color="000000"/>
              <w:bottom w:val="single" w:sz="2" w:space="0" w:color="000000"/>
            </w:tcBorders>
          </w:tcPr>
          <w:p w14:paraId="08272C19" w14:textId="77777777" w:rsidR="00FA4AA8" w:rsidRDefault="0015611F">
            <w:pPr>
              <w:pStyle w:val="TableParagraph"/>
              <w:spacing w:before="114" w:line="158" w:lineRule="exact"/>
              <w:ind w:right="165"/>
              <w:jc w:val="right"/>
              <w:rPr>
                <w:sz w:val="16"/>
              </w:rPr>
            </w:pPr>
            <w:r>
              <w:rPr>
                <w:sz w:val="16"/>
              </w:rPr>
              <w:t>65,333</w:t>
            </w:r>
          </w:p>
        </w:tc>
        <w:tc>
          <w:tcPr>
            <w:tcW w:w="1178" w:type="dxa"/>
            <w:tcBorders>
              <w:top w:val="single" w:sz="8" w:space="0" w:color="000000"/>
              <w:bottom w:val="single" w:sz="2" w:space="0" w:color="000000"/>
            </w:tcBorders>
          </w:tcPr>
          <w:p w14:paraId="61D37D18" w14:textId="77777777" w:rsidR="00FA4AA8" w:rsidRDefault="0015611F">
            <w:pPr>
              <w:pStyle w:val="TableParagraph"/>
              <w:spacing w:before="114" w:line="158" w:lineRule="exact"/>
              <w:ind w:right="210"/>
              <w:jc w:val="right"/>
              <w:rPr>
                <w:sz w:val="16"/>
              </w:rPr>
            </w:pPr>
            <w:r>
              <w:rPr>
                <w:sz w:val="16"/>
              </w:rPr>
              <w:t>7,845</w:t>
            </w:r>
          </w:p>
        </w:tc>
        <w:tc>
          <w:tcPr>
            <w:tcW w:w="1178" w:type="dxa"/>
            <w:tcBorders>
              <w:top w:val="single" w:sz="8" w:space="0" w:color="000000"/>
              <w:bottom w:val="single" w:sz="2" w:space="0" w:color="000000"/>
            </w:tcBorders>
          </w:tcPr>
          <w:p w14:paraId="0972DC89" w14:textId="77777777" w:rsidR="00FA4AA8" w:rsidRDefault="0015611F">
            <w:pPr>
              <w:pStyle w:val="TableParagraph"/>
              <w:spacing w:before="114" w:line="158" w:lineRule="exact"/>
              <w:ind w:right="255"/>
              <w:jc w:val="right"/>
              <w:rPr>
                <w:sz w:val="16"/>
              </w:rPr>
            </w:pPr>
            <w:r>
              <w:rPr>
                <w:sz w:val="16"/>
              </w:rPr>
              <w:t>4,410</w:t>
            </w:r>
          </w:p>
        </w:tc>
        <w:tc>
          <w:tcPr>
            <w:tcW w:w="991" w:type="dxa"/>
            <w:tcBorders>
              <w:top w:val="single" w:sz="8" w:space="0" w:color="000000"/>
              <w:bottom w:val="single" w:sz="2" w:space="0" w:color="000000"/>
            </w:tcBorders>
          </w:tcPr>
          <w:p w14:paraId="16832CF1" w14:textId="77777777" w:rsidR="00FA4AA8" w:rsidRDefault="0015611F">
            <w:pPr>
              <w:pStyle w:val="TableParagraph"/>
              <w:spacing w:before="114" w:line="158" w:lineRule="exact"/>
              <w:ind w:right="80"/>
              <w:jc w:val="right"/>
              <w:rPr>
                <w:sz w:val="16"/>
              </w:rPr>
            </w:pPr>
            <w:r>
              <w:rPr>
                <w:sz w:val="16"/>
              </w:rPr>
              <w:t>1,841,078</w:t>
            </w:r>
          </w:p>
        </w:tc>
      </w:tr>
    </w:tbl>
    <w:p w14:paraId="16B05008" w14:textId="77777777" w:rsidR="00FA4AA8" w:rsidRDefault="007E2441">
      <w:pPr>
        <w:pStyle w:val="BodyText"/>
        <w:spacing w:line="20" w:lineRule="exact"/>
        <w:ind w:left="3581"/>
        <w:rPr>
          <w:sz w:val="2"/>
        </w:rPr>
      </w:pPr>
      <w:r>
        <w:rPr>
          <w:noProof/>
          <w:sz w:val="2"/>
          <w:lang w:val="en-AU" w:eastAsia="en-AU"/>
        </w:rPr>
        <mc:AlternateContent>
          <mc:Choice Requires="wpg">
            <w:drawing>
              <wp:inline distT="0" distB="0" distL="0" distR="0" wp14:anchorId="7BE732C6" wp14:editId="6F93CBB7">
                <wp:extent cx="3596640" cy="9525"/>
                <wp:effectExtent l="9525" t="9525" r="13335" b="9525"/>
                <wp:docPr id="2823" name="Group 2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6640" cy="9525"/>
                          <a:chOff x="0" y="0"/>
                          <a:chExt cx="5664" cy="15"/>
                        </a:xfrm>
                      </wpg:grpSpPr>
                      <wps:wsp>
                        <wps:cNvPr id="2824" name="Line 2613"/>
                        <wps:cNvCnPr>
                          <a:cxnSpLocks noChangeShapeType="1"/>
                        </wps:cNvCnPr>
                        <wps:spPr bwMode="auto">
                          <a:xfrm>
                            <a:off x="0" y="11"/>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825" name="Line 2612"/>
                        <wps:cNvCnPr>
                          <a:cxnSpLocks noChangeShapeType="1"/>
                        </wps:cNvCnPr>
                        <wps:spPr bwMode="auto">
                          <a:xfrm>
                            <a:off x="0" y="13"/>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826" name="Line 2611"/>
                        <wps:cNvCnPr>
                          <a:cxnSpLocks noChangeShapeType="1"/>
                        </wps:cNvCnPr>
                        <wps:spPr bwMode="auto">
                          <a:xfrm>
                            <a:off x="1133" y="1"/>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827" name="Line 2610"/>
                        <wps:cNvCnPr>
                          <a:cxnSpLocks noChangeShapeType="1"/>
                        </wps:cNvCnPr>
                        <wps:spPr bwMode="auto">
                          <a:xfrm>
                            <a:off x="1133" y="4"/>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828" name="Line 2609"/>
                        <wps:cNvCnPr>
                          <a:cxnSpLocks noChangeShapeType="1"/>
                        </wps:cNvCnPr>
                        <wps:spPr bwMode="auto">
                          <a:xfrm>
                            <a:off x="1133" y="6"/>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829" name="Line 2608"/>
                        <wps:cNvCnPr>
                          <a:cxnSpLocks noChangeShapeType="1"/>
                        </wps:cNvCnPr>
                        <wps:spPr bwMode="auto">
                          <a:xfrm>
                            <a:off x="1133" y="8"/>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830" name="Line 2607"/>
                        <wps:cNvCnPr>
                          <a:cxnSpLocks noChangeShapeType="1"/>
                        </wps:cNvCnPr>
                        <wps:spPr bwMode="auto">
                          <a:xfrm>
                            <a:off x="1133" y="11"/>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831" name="Line 2606"/>
                        <wps:cNvCnPr>
                          <a:cxnSpLocks noChangeShapeType="1"/>
                        </wps:cNvCnPr>
                        <wps:spPr bwMode="auto">
                          <a:xfrm>
                            <a:off x="1133" y="13"/>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832" name="Line 2605"/>
                        <wps:cNvCnPr>
                          <a:cxnSpLocks noChangeShapeType="1"/>
                        </wps:cNvCnPr>
                        <wps:spPr bwMode="auto">
                          <a:xfrm>
                            <a:off x="2266" y="1"/>
                            <a:ext cx="1132"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833" name="Line 2604"/>
                        <wps:cNvCnPr>
                          <a:cxnSpLocks noChangeShapeType="1"/>
                        </wps:cNvCnPr>
                        <wps:spPr bwMode="auto">
                          <a:xfrm>
                            <a:off x="2266" y="4"/>
                            <a:ext cx="1132"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834" name="Line 2603"/>
                        <wps:cNvCnPr>
                          <a:cxnSpLocks noChangeShapeType="1"/>
                        </wps:cNvCnPr>
                        <wps:spPr bwMode="auto">
                          <a:xfrm>
                            <a:off x="2266" y="6"/>
                            <a:ext cx="1132"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835" name="Line 2602"/>
                        <wps:cNvCnPr>
                          <a:cxnSpLocks noChangeShapeType="1"/>
                        </wps:cNvCnPr>
                        <wps:spPr bwMode="auto">
                          <a:xfrm>
                            <a:off x="2266" y="8"/>
                            <a:ext cx="1132"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836" name="Line 2601"/>
                        <wps:cNvCnPr>
                          <a:cxnSpLocks noChangeShapeType="1"/>
                        </wps:cNvCnPr>
                        <wps:spPr bwMode="auto">
                          <a:xfrm>
                            <a:off x="2266" y="11"/>
                            <a:ext cx="1132"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837" name="Line 2600"/>
                        <wps:cNvCnPr>
                          <a:cxnSpLocks noChangeShapeType="1"/>
                        </wps:cNvCnPr>
                        <wps:spPr bwMode="auto">
                          <a:xfrm>
                            <a:off x="2266" y="13"/>
                            <a:ext cx="1132"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838" name="Line 2599"/>
                        <wps:cNvCnPr>
                          <a:cxnSpLocks noChangeShapeType="1"/>
                        </wps:cNvCnPr>
                        <wps:spPr bwMode="auto">
                          <a:xfrm>
                            <a:off x="3398" y="1"/>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839" name="Line 2598"/>
                        <wps:cNvCnPr>
                          <a:cxnSpLocks noChangeShapeType="1"/>
                        </wps:cNvCnPr>
                        <wps:spPr bwMode="auto">
                          <a:xfrm>
                            <a:off x="3398" y="4"/>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840" name="Line 2597"/>
                        <wps:cNvCnPr>
                          <a:cxnSpLocks noChangeShapeType="1"/>
                        </wps:cNvCnPr>
                        <wps:spPr bwMode="auto">
                          <a:xfrm>
                            <a:off x="3398" y="6"/>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841" name="Line 2596"/>
                        <wps:cNvCnPr>
                          <a:cxnSpLocks noChangeShapeType="1"/>
                        </wps:cNvCnPr>
                        <wps:spPr bwMode="auto">
                          <a:xfrm>
                            <a:off x="3398" y="8"/>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842" name="Line 2595"/>
                        <wps:cNvCnPr>
                          <a:cxnSpLocks noChangeShapeType="1"/>
                        </wps:cNvCnPr>
                        <wps:spPr bwMode="auto">
                          <a:xfrm>
                            <a:off x="3398" y="11"/>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843" name="Line 2594"/>
                        <wps:cNvCnPr>
                          <a:cxnSpLocks noChangeShapeType="1"/>
                        </wps:cNvCnPr>
                        <wps:spPr bwMode="auto">
                          <a:xfrm>
                            <a:off x="3398" y="13"/>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844" name="Line 2593"/>
                        <wps:cNvCnPr>
                          <a:cxnSpLocks noChangeShapeType="1"/>
                        </wps:cNvCnPr>
                        <wps:spPr bwMode="auto">
                          <a:xfrm>
                            <a:off x="4531" y="1"/>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845" name="Line 2592"/>
                        <wps:cNvCnPr>
                          <a:cxnSpLocks noChangeShapeType="1"/>
                        </wps:cNvCnPr>
                        <wps:spPr bwMode="auto">
                          <a:xfrm>
                            <a:off x="4531" y="4"/>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846" name="Line 2591"/>
                        <wps:cNvCnPr>
                          <a:cxnSpLocks noChangeShapeType="1"/>
                        </wps:cNvCnPr>
                        <wps:spPr bwMode="auto">
                          <a:xfrm>
                            <a:off x="4531" y="6"/>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847" name="Line 2590"/>
                        <wps:cNvCnPr>
                          <a:cxnSpLocks noChangeShapeType="1"/>
                        </wps:cNvCnPr>
                        <wps:spPr bwMode="auto">
                          <a:xfrm>
                            <a:off x="4531" y="8"/>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B58E445" id="Group 2589" o:spid="_x0000_s1026" style="width:283.2pt;height:.75pt;mso-position-horizontal-relative:char;mso-position-vertical-relative:line" coordsize="566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">
                <v:line id="Line 2613" o:spid="_x0000_s1027" style="position:absolute;visibility:visible;mso-wrap-style:square" from="0,11" to="113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" strokeweight=".12pt"/>
                <v:line id="Line 2612" o:spid="_x0000_s1028" style="position:absolute;visibility:visible;mso-wrap-style:square" from="0,13" to="113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" strokeweight=".12pt"/>
                <v:line id="Line 2611" o:spid="_x0000_s1029" style="position:absolute;visibility:visible;mso-wrap-style:square" from="1133,1" to="22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" strokeweight=".12pt"/>
                <v:line id="Line 2610" o:spid="_x0000_s1030" style="position:absolute;visibility:visible;mso-wrap-style:square" from="1133,4" to="2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" strokeweight=".12pt"/>
                <v:line id="Line 2609" o:spid="_x0000_s1031" style="position:absolute;visibility:visible;mso-wrap-style:square" from="1133,6" to="22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" strokeweight=".12pt"/>
                <v:line id="Line 2608" o:spid="_x0000_s1032" style="position:absolute;visibility:visible;mso-wrap-style:square" from="1133,8" to="22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" strokeweight=".12pt"/>
                <v:line id="Line 2607" o:spid="_x0000_s1033" style="position:absolute;visibility:visible;mso-wrap-style:square" from="1133,11" to="226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" strokeweight=".12pt"/>
                <v:line id="Line 2606" o:spid="_x0000_s1034" style="position:absolute;visibility:visible;mso-wrap-style:square" from="1133,13" to="226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" strokeweight=".12pt"/>
                <v:line id="Line 2605" o:spid="_x0000_s1035" style="position:absolute;visibility:visible;mso-wrap-style:square" from="2266,1" to="33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" strokeweight=".12pt"/>
                <v:line id="Line 2604" o:spid="_x0000_s1036" style="position:absolute;visibility:visible;mso-wrap-style:square" from="2266,4" to="33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" strokeweight=".12pt"/>
                <v:line id="Line 2603" o:spid="_x0000_s1037" style="position:absolute;visibility:visible;mso-wrap-style:square" from="2266,6" to="33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" strokeweight=".12pt"/>
                <v:line id="Line 2602" o:spid="_x0000_s1038" style="position:absolute;visibility:visible;mso-wrap-style:square" from="2266,8" to="33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" strokeweight=".12pt"/>
                <v:line id="Line 2601" o:spid="_x0000_s1039" style="position:absolute;visibility:visible;mso-wrap-style:square" from="2266,11" to="339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" strokeweight=".12pt"/>
                <v:line id="Line 2600" o:spid="_x0000_s1040" style="position:absolute;visibility:visible;mso-wrap-style:square" from="2266,13" to="339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" strokeweight=".12pt"/>
                <v:line id="Line 2599" o:spid="_x0000_s1041" style="position:absolute;visibility:visible;mso-wrap-style:square" from="3398,1" to="45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" strokeweight=".12pt"/>
                <v:line id="Line 2598" o:spid="_x0000_s1042" style="position:absolute;visibility:visible;mso-wrap-style:square" from="3398,4" to="45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" strokeweight=".12pt"/>
                <v:line id="Line 2597" o:spid="_x0000_s1043" style="position:absolute;visibility:visible;mso-wrap-style:square" from="3398,6" to="4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" strokeweight=".12pt"/>
                <v:line id="Line 2596" o:spid="_x0000_s1044" style="position:absolute;visibility:visible;mso-wrap-style:square" from="3398,8" to="45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" strokeweight=".12pt"/>
                <v:line id="Line 2595" o:spid="_x0000_s1045" style="position:absolute;visibility:visible;mso-wrap-style:square" from="3398,11" to="45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" strokeweight=".12pt"/>
                <v:line id="Line 2594" o:spid="_x0000_s1046" style="position:absolute;visibility:visible;mso-wrap-style:square" from="3398,13" to="453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" strokeweight=".12pt"/>
                <v:line id="Line 2593" o:spid="_x0000_s1047" style="position:absolute;visibility:visible;mso-wrap-style:square" from="4531,1" to="56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" strokeweight=".12pt"/>
                <v:line id="Line 2592" o:spid="_x0000_s1048" style="position:absolute;visibility:visible;mso-wrap-style:square" from="4531,4" to="56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" strokeweight=".12pt"/>
                <v:line id="Line 2591" o:spid="_x0000_s1049" style="position:absolute;visibility:visible;mso-wrap-style:square" from="4531,6" to="56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" strokeweight=".12pt"/>
                <v:line id="Line 2590" o:spid="_x0000_s1050" style="position:absolute;visibility:visible;mso-wrap-style:square" from="4531,8" to="56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" strokeweight=".12pt"/>
                <w10:anchorlock/>
              </v:group>
            </w:pict>
          </mc:Fallback>
        </mc:AlternateContent>
      </w:r>
    </w:p>
    <w:p w14:paraId="04FB073F" w14:textId="77777777" w:rsidR="00FA4AA8" w:rsidRDefault="00FA4AA8">
      <w:pPr>
        <w:spacing w:line="20" w:lineRule="exact"/>
        <w:rPr>
          <w:sz w:val="2"/>
        </w:rPr>
        <w:sectPr w:rsidR="00FA4AA8">
          <w:headerReference w:type="default" r:id="rId37"/>
          <w:footerReference w:type="default" r:id="rId38"/>
          <w:pgSz w:w="16840" w:h="11910" w:orient="landscape"/>
          <w:pgMar w:top="2220" w:right="880" w:bottom="720" w:left="840" w:header="1016" w:footer="523" w:gutter="0"/>
          <w:pgNumType w:start="35"/>
          <w:cols w:space="720"/>
        </w:sectPr>
      </w:pPr>
    </w:p>
    <w:p w14:paraId="2D51A22D" w14:textId="77777777" w:rsidR="00FA4AA8" w:rsidRDefault="00FA4AA8">
      <w:pPr>
        <w:pStyle w:val="BodyText"/>
        <w:rPr>
          <w:sz w:val="20"/>
        </w:rPr>
      </w:pPr>
    </w:p>
    <w:p w14:paraId="2FC76B38" w14:textId="77777777" w:rsidR="00FA4AA8" w:rsidRDefault="00FA4AA8">
      <w:pPr>
        <w:pStyle w:val="BodyText"/>
        <w:spacing w:before="10"/>
        <w:rPr>
          <w:sz w:val="29"/>
        </w:rPr>
      </w:pPr>
    </w:p>
    <w:p w14:paraId="10691924" w14:textId="77777777" w:rsidR="00FA4AA8" w:rsidRDefault="0015611F">
      <w:pPr>
        <w:numPr>
          <w:ilvl w:val="0"/>
          <w:numId w:val="101"/>
        </w:numPr>
        <w:tabs>
          <w:tab w:val="left" w:pos="564"/>
        </w:tabs>
        <w:spacing w:before="94" w:after="37"/>
        <w:ind w:hanging="397"/>
        <w:rPr>
          <w:b/>
          <w:sz w:val="18"/>
        </w:rPr>
      </w:pPr>
      <w:r>
        <w:rPr>
          <w:b/>
          <w:sz w:val="18"/>
        </w:rPr>
        <w:t>Property, plant and equipment</w:t>
      </w:r>
      <w:r>
        <w:rPr>
          <w:b/>
          <w:spacing w:val="-1"/>
          <w:sz w:val="18"/>
        </w:rPr>
        <w:t xml:space="preserve"> </w:t>
      </w:r>
      <w:r>
        <w:rPr>
          <w:b/>
          <w:sz w:val="18"/>
        </w:rPr>
        <w:t>(continued)</w:t>
      </w:r>
    </w:p>
    <w:tbl>
      <w:tblPr>
        <w:tblW w:w="0" w:type="auto"/>
        <w:tblInd w:w="559" w:type="dxa"/>
        <w:tblLayout w:type="fixed"/>
        <w:tblCellMar>
          <w:left w:w="0" w:type="dxa"/>
          <w:right w:w="0" w:type="dxa"/>
        </w:tblCellMar>
        <w:tblLook w:val="01E0" w:firstRow="1" w:lastRow="1" w:firstColumn="1" w:lastColumn="1" w:noHBand="0" w:noVBand="0"/>
      </w:tblPr>
      <w:tblGrid>
        <w:gridCol w:w="3031"/>
        <w:gridCol w:w="1333"/>
        <w:gridCol w:w="957"/>
        <w:gridCol w:w="1183"/>
        <w:gridCol w:w="1072"/>
        <w:gridCol w:w="1197"/>
        <w:gridCol w:w="1082"/>
        <w:gridCol w:w="1261"/>
        <w:gridCol w:w="1178"/>
        <w:gridCol w:w="1178"/>
        <w:gridCol w:w="991"/>
      </w:tblGrid>
      <w:tr w:rsidR="00FA4AA8" w14:paraId="6135D22E" w14:textId="77777777">
        <w:trPr>
          <w:trHeight w:val="400"/>
        </w:trPr>
        <w:tc>
          <w:tcPr>
            <w:tcW w:w="5321" w:type="dxa"/>
            <w:gridSpan w:val="3"/>
          </w:tcPr>
          <w:p w14:paraId="2AF62CBB" w14:textId="77777777" w:rsidR="00FA4AA8" w:rsidRDefault="0015611F">
            <w:pPr>
              <w:pStyle w:val="TableParagraph"/>
              <w:tabs>
                <w:tab w:val="left" w:pos="4413"/>
                <w:tab w:val="left" w:pos="4559"/>
              </w:tabs>
              <w:ind w:left="3177" w:right="226" w:hanging="58"/>
              <w:rPr>
                <w:b/>
                <w:sz w:val="16"/>
              </w:rPr>
            </w:pPr>
            <w:r>
              <w:rPr>
                <w:b/>
                <w:sz w:val="16"/>
              </w:rPr>
              <w:t>Construction</w:t>
            </w:r>
            <w:r>
              <w:rPr>
                <w:b/>
                <w:sz w:val="16"/>
              </w:rPr>
              <w:tab/>
            </w:r>
            <w:r>
              <w:rPr>
                <w:b/>
                <w:spacing w:val="-3"/>
                <w:sz w:val="16"/>
              </w:rPr>
              <w:t xml:space="preserve">Freehold </w:t>
            </w:r>
            <w:r>
              <w:rPr>
                <w:b/>
                <w:sz w:val="16"/>
              </w:rPr>
              <w:t>in</w:t>
            </w:r>
            <w:r>
              <w:rPr>
                <w:b/>
                <w:spacing w:val="1"/>
                <w:sz w:val="16"/>
              </w:rPr>
              <w:t xml:space="preserve"> </w:t>
            </w:r>
            <w:r>
              <w:rPr>
                <w:b/>
                <w:sz w:val="16"/>
              </w:rPr>
              <w:t>Progress</w:t>
            </w:r>
            <w:r>
              <w:rPr>
                <w:b/>
                <w:sz w:val="16"/>
              </w:rPr>
              <w:tab/>
            </w:r>
            <w:r>
              <w:rPr>
                <w:b/>
                <w:sz w:val="16"/>
              </w:rPr>
              <w:tab/>
              <w:t>Land</w:t>
            </w:r>
          </w:p>
        </w:tc>
        <w:tc>
          <w:tcPr>
            <w:tcW w:w="1183" w:type="dxa"/>
          </w:tcPr>
          <w:p w14:paraId="411ED3AE" w14:textId="77777777" w:rsidR="00FA4AA8" w:rsidRDefault="00FA4AA8">
            <w:pPr>
              <w:pStyle w:val="TableParagraph"/>
              <w:spacing w:before="7"/>
              <w:rPr>
                <w:b/>
                <w:sz w:val="15"/>
              </w:rPr>
            </w:pPr>
          </w:p>
          <w:p w14:paraId="56AB9A91" w14:textId="77777777" w:rsidR="00FA4AA8" w:rsidRDefault="0015611F">
            <w:pPr>
              <w:pStyle w:val="TableParagraph"/>
              <w:spacing w:before="1"/>
              <w:ind w:right="152"/>
              <w:jc w:val="right"/>
              <w:rPr>
                <w:b/>
                <w:sz w:val="16"/>
              </w:rPr>
            </w:pPr>
            <w:r>
              <w:rPr>
                <w:b/>
                <w:sz w:val="16"/>
              </w:rPr>
              <w:t>Crown Land</w:t>
            </w:r>
          </w:p>
        </w:tc>
        <w:tc>
          <w:tcPr>
            <w:tcW w:w="1072" w:type="dxa"/>
          </w:tcPr>
          <w:p w14:paraId="10559D25" w14:textId="77777777" w:rsidR="00FA4AA8" w:rsidRDefault="00FA4AA8">
            <w:pPr>
              <w:pStyle w:val="TableParagraph"/>
              <w:spacing w:before="7"/>
              <w:rPr>
                <w:b/>
                <w:sz w:val="15"/>
              </w:rPr>
            </w:pPr>
          </w:p>
          <w:p w14:paraId="3F7A6092" w14:textId="77777777" w:rsidR="00FA4AA8" w:rsidRDefault="0015611F">
            <w:pPr>
              <w:pStyle w:val="TableParagraph"/>
              <w:spacing w:before="1"/>
              <w:ind w:left="145"/>
              <w:rPr>
                <w:b/>
                <w:sz w:val="16"/>
              </w:rPr>
            </w:pPr>
            <w:r>
              <w:rPr>
                <w:b/>
                <w:sz w:val="16"/>
              </w:rPr>
              <w:t>Buildings</w:t>
            </w:r>
          </w:p>
        </w:tc>
        <w:tc>
          <w:tcPr>
            <w:tcW w:w="1197" w:type="dxa"/>
          </w:tcPr>
          <w:p w14:paraId="54D7897E" w14:textId="77777777" w:rsidR="00FA4AA8" w:rsidRDefault="00FA4AA8">
            <w:pPr>
              <w:pStyle w:val="TableParagraph"/>
              <w:spacing w:before="7"/>
              <w:rPr>
                <w:b/>
                <w:sz w:val="15"/>
              </w:rPr>
            </w:pPr>
          </w:p>
          <w:p w14:paraId="6BC29969" w14:textId="77777777" w:rsidR="00FA4AA8" w:rsidRDefault="0015611F">
            <w:pPr>
              <w:pStyle w:val="TableParagraph"/>
              <w:spacing w:before="1"/>
              <w:ind w:right="120"/>
              <w:jc w:val="right"/>
              <w:rPr>
                <w:b/>
                <w:sz w:val="16"/>
              </w:rPr>
            </w:pPr>
            <w:r>
              <w:rPr>
                <w:b/>
                <w:sz w:val="16"/>
              </w:rPr>
              <w:t>Infrastructure</w:t>
            </w:r>
          </w:p>
        </w:tc>
        <w:tc>
          <w:tcPr>
            <w:tcW w:w="1082" w:type="dxa"/>
          </w:tcPr>
          <w:p w14:paraId="23844DE7" w14:textId="77777777" w:rsidR="00FA4AA8" w:rsidRDefault="0015611F">
            <w:pPr>
              <w:pStyle w:val="TableParagraph"/>
              <w:ind w:left="94" w:right="141" w:firstLine="52"/>
              <w:rPr>
                <w:b/>
                <w:sz w:val="16"/>
              </w:rPr>
            </w:pPr>
            <w:r>
              <w:rPr>
                <w:b/>
                <w:sz w:val="16"/>
              </w:rPr>
              <w:t>Plant and Equipment</w:t>
            </w:r>
          </w:p>
        </w:tc>
        <w:tc>
          <w:tcPr>
            <w:tcW w:w="1261" w:type="dxa"/>
          </w:tcPr>
          <w:p w14:paraId="25AD5B08" w14:textId="77777777" w:rsidR="00FA4AA8" w:rsidRDefault="0015611F">
            <w:pPr>
              <w:pStyle w:val="TableParagraph"/>
              <w:ind w:left="42" w:right="105" w:firstLine="153"/>
              <w:rPr>
                <w:b/>
                <w:sz w:val="16"/>
              </w:rPr>
            </w:pPr>
            <w:r>
              <w:rPr>
                <w:b/>
                <w:sz w:val="16"/>
              </w:rPr>
              <w:t>Leasehold Improvements</w:t>
            </w:r>
          </w:p>
        </w:tc>
        <w:tc>
          <w:tcPr>
            <w:tcW w:w="1178" w:type="dxa"/>
          </w:tcPr>
          <w:p w14:paraId="0689F9A8" w14:textId="77777777" w:rsidR="00FA4AA8" w:rsidRDefault="0015611F">
            <w:pPr>
              <w:pStyle w:val="TableParagraph"/>
              <w:ind w:left="105" w:right="279" w:firstLine="120"/>
              <w:rPr>
                <w:b/>
                <w:sz w:val="16"/>
              </w:rPr>
            </w:pPr>
            <w:r>
              <w:rPr>
                <w:b/>
                <w:sz w:val="16"/>
              </w:rPr>
              <w:t>Library Collection</w:t>
            </w:r>
          </w:p>
        </w:tc>
        <w:tc>
          <w:tcPr>
            <w:tcW w:w="1178" w:type="dxa"/>
          </w:tcPr>
          <w:p w14:paraId="763B5AE6" w14:textId="77777777" w:rsidR="00FA4AA8" w:rsidRDefault="00FA4AA8">
            <w:pPr>
              <w:pStyle w:val="TableParagraph"/>
              <w:spacing w:before="7"/>
              <w:rPr>
                <w:b/>
                <w:sz w:val="15"/>
              </w:rPr>
            </w:pPr>
          </w:p>
          <w:p w14:paraId="5E1B2496" w14:textId="77777777" w:rsidR="00FA4AA8" w:rsidRDefault="0015611F">
            <w:pPr>
              <w:pStyle w:val="TableParagraph"/>
              <w:spacing w:before="1"/>
              <w:ind w:left="149"/>
              <w:rPr>
                <w:b/>
                <w:sz w:val="16"/>
              </w:rPr>
            </w:pPr>
            <w:r>
              <w:rPr>
                <w:b/>
                <w:sz w:val="16"/>
              </w:rPr>
              <w:t>Artwork</w:t>
            </w:r>
          </w:p>
        </w:tc>
        <w:tc>
          <w:tcPr>
            <w:tcW w:w="991" w:type="dxa"/>
          </w:tcPr>
          <w:p w14:paraId="52577239" w14:textId="77777777" w:rsidR="00FA4AA8" w:rsidRDefault="00FA4AA8">
            <w:pPr>
              <w:pStyle w:val="TableParagraph"/>
              <w:spacing w:before="7"/>
              <w:rPr>
                <w:b/>
                <w:sz w:val="15"/>
              </w:rPr>
            </w:pPr>
          </w:p>
          <w:p w14:paraId="7FC5C57A" w14:textId="77777777" w:rsidR="00FA4AA8" w:rsidRDefault="0015611F">
            <w:pPr>
              <w:pStyle w:val="TableParagraph"/>
              <w:spacing w:before="1"/>
              <w:ind w:left="231"/>
              <w:rPr>
                <w:b/>
                <w:sz w:val="16"/>
              </w:rPr>
            </w:pPr>
            <w:r>
              <w:rPr>
                <w:b/>
                <w:sz w:val="16"/>
              </w:rPr>
              <w:t>Total</w:t>
            </w:r>
          </w:p>
        </w:tc>
      </w:tr>
      <w:tr w:rsidR="00FA4AA8" w14:paraId="6CF76EAB" w14:textId="77777777">
        <w:trPr>
          <w:trHeight w:val="215"/>
        </w:trPr>
        <w:tc>
          <w:tcPr>
            <w:tcW w:w="5321" w:type="dxa"/>
            <w:gridSpan w:val="3"/>
          </w:tcPr>
          <w:p w14:paraId="68CD0819" w14:textId="77777777" w:rsidR="00FA4AA8" w:rsidRDefault="0015611F">
            <w:pPr>
              <w:pStyle w:val="TableParagraph"/>
              <w:tabs>
                <w:tab w:val="left" w:pos="3421"/>
                <w:tab w:val="left" w:pos="4554"/>
              </w:tabs>
              <w:spacing w:before="31" w:line="164" w:lineRule="exact"/>
              <w:ind w:left="50"/>
              <w:rPr>
                <w:b/>
                <w:sz w:val="16"/>
              </w:rPr>
            </w:pPr>
            <w:r>
              <w:rPr>
                <w:b/>
                <w:sz w:val="16"/>
              </w:rPr>
              <w:t>Consolidated</w:t>
            </w:r>
            <w:r>
              <w:rPr>
                <w:b/>
                <w:sz w:val="16"/>
              </w:rPr>
              <w:tab/>
              <w:t>$'000</w:t>
            </w:r>
            <w:r>
              <w:rPr>
                <w:b/>
                <w:sz w:val="16"/>
              </w:rPr>
              <w:tab/>
              <w:t>$'000</w:t>
            </w:r>
          </w:p>
        </w:tc>
        <w:tc>
          <w:tcPr>
            <w:tcW w:w="1183" w:type="dxa"/>
          </w:tcPr>
          <w:p w14:paraId="1CBC9BAC" w14:textId="77777777" w:rsidR="00FA4AA8" w:rsidRDefault="0015611F">
            <w:pPr>
              <w:pStyle w:val="TableParagraph"/>
              <w:spacing w:before="31" w:line="164" w:lineRule="exact"/>
              <w:ind w:left="366"/>
              <w:rPr>
                <w:b/>
                <w:sz w:val="16"/>
              </w:rPr>
            </w:pPr>
            <w:r>
              <w:rPr>
                <w:b/>
                <w:sz w:val="16"/>
              </w:rPr>
              <w:t>$'000</w:t>
            </w:r>
          </w:p>
        </w:tc>
        <w:tc>
          <w:tcPr>
            <w:tcW w:w="1072" w:type="dxa"/>
          </w:tcPr>
          <w:p w14:paraId="0AACE13E" w14:textId="77777777" w:rsidR="00FA4AA8" w:rsidRDefault="0015611F">
            <w:pPr>
              <w:pStyle w:val="TableParagraph"/>
              <w:spacing w:before="31" w:line="164" w:lineRule="exact"/>
              <w:ind w:left="316"/>
              <w:rPr>
                <w:b/>
                <w:sz w:val="16"/>
              </w:rPr>
            </w:pPr>
            <w:r>
              <w:rPr>
                <w:b/>
                <w:sz w:val="16"/>
              </w:rPr>
              <w:t>$'000</w:t>
            </w:r>
          </w:p>
        </w:tc>
        <w:tc>
          <w:tcPr>
            <w:tcW w:w="1197" w:type="dxa"/>
          </w:tcPr>
          <w:p w14:paraId="2549AD24" w14:textId="77777777" w:rsidR="00FA4AA8" w:rsidRDefault="0015611F">
            <w:pPr>
              <w:pStyle w:val="TableParagraph"/>
              <w:spacing w:before="31" w:line="164" w:lineRule="exact"/>
              <w:ind w:left="377"/>
              <w:rPr>
                <w:b/>
                <w:sz w:val="16"/>
              </w:rPr>
            </w:pPr>
            <w:r>
              <w:rPr>
                <w:b/>
                <w:sz w:val="16"/>
              </w:rPr>
              <w:t>$'000</w:t>
            </w:r>
          </w:p>
        </w:tc>
        <w:tc>
          <w:tcPr>
            <w:tcW w:w="1082" w:type="dxa"/>
          </w:tcPr>
          <w:p w14:paraId="1683F89A" w14:textId="77777777" w:rsidR="00FA4AA8" w:rsidRDefault="0015611F">
            <w:pPr>
              <w:pStyle w:val="TableParagraph"/>
              <w:spacing w:before="31" w:line="164" w:lineRule="exact"/>
              <w:ind w:left="312"/>
              <w:rPr>
                <w:b/>
                <w:sz w:val="16"/>
              </w:rPr>
            </w:pPr>
            <w:r>
              <w:rPr>
                <w:b/>
                <w:sz w:val="16"/>
              </w:rPr>
              <w:t>$'000</w:t>
            </w:r>
          </w:p>
        </w:tc>
        <w:tc>
          <w:tcPr>
            <w:tcW w:w="1261" w:type="dxa"/>
          </w:tcPr>
          <w:p w14:paraId="5FE4DA19" w14:textId="77777777" w:rsidR="00FA4AA8" w:rsidRDefault="0015611F">
            <w:pPr>
              <w:pStyle w:val="TableParagraph"/>
              <w:spacing w:before="31" w:line="164" w:lineRule="exact"/>
              <w:ind w:left="394"/>
              <w:rPr>
                <w:b/>
                <w:sz w:val="16"/>
              </w:rPr>
            </w:pPr>
            <w:r>
              <w:rPr>
                <w:b/>
                <w:sz w:val="16"/>
              </w:rPr>
              <w:t>$'000</w:t>
            </w:r>
          </w:p>
        </w:tc>
        <w:tc>
          <w:tcPr>
            <w:tcW w:w="1178" w:type="dxa"/>
          </w:tcPr>
          <w:p w14:paraId="698FED16" w14:textId="77777777" w:rsidR="00FA4AA8" w:rsidRDefault="0015611F">
            <w:pPr>
              <w:pStyle w:val="TableParagraph"/>
              <w:spacing w:before="31" w:line="164" w:lineRule="exact"/>
              <w:ind w:left="297"/>
              <w:rPr>
                <w:b/>
                <w:sz w:val="16"/>
              </w:rPr>
            </w:pPr>
            <w:r>
              <w:rPr>
                <w:b/>
                <w:sz w:val="16"/>
              </w:rPr>
              <w:t>$'000</w:t>
            </w:r>
          </w:p>
        </w:tc>
        <w:tc>
          <w:tcPr>
            <w:tcW w:w="1178" w:type="dxa"/>
          </w:tcPr>
          <w:p w14:paraId="5187566F" w14:textId="77777777" w:rsidR="00FA4AA8" w:rsidRDefault="0015611F">
            <w:pPr>
              <w:pStyle w:val="TableParagraph"/>
              <w:spacing w:before="31" w:line="164" w:lineRule="exact"/>
              <w:ind w:left="252"/>
              <w:rPr>
                <w:b/>
                <w:sz w:val="16"/>
              </w:rPr>
            </w:pPr>
            <w:r>
              <w:rPr>
                <w:b/>
                <w:sz w:val="16"/>
              </w:rPr>
              <w:t>$'000</w:t>
            </w:r>
          </w:p>
        </w:tc>
        <w:tc>
          <w:tcPr>
            <w:tcW w:w="991" w:type="dxa"/>
          </w:tcPr>
          <w:p w14:paraId="500BBA50" w14:textId="77777777" w:rsidR="00FA4AA8" w:rsidRDefault="0015611F">
            <w:pPr>
              <w:pStyle w:val="TableParagraph"/>
              <w:spacing w:before="31" w:line="164" w:lineRule="exact"/>
              <w:ind w:left="224"/>
              <w:rPr>
                <w:b/>
                <w:sz w:val="16"/>
              </w:rPr>
            </w:pPr>
            <w:r>
              <w:rPr>
                <w:b/>
                <w:sz w:val="16"/>
              </w:rPr>
              <w:t>$'000</w:t>
            </w:r>
          </w:p>
        </w:tc>
      </w:tr>
      <w:tr w:rsidR="00FA4AA8" w14:paraId="06CD091B" w14:textId="77777777">
        <w:trPr>
          <w:trHeight w:val="235"/>
        </w:trPr>
        <w:tc>
          <w:tcPr>
            <w:tcW w:w="3031" w:type="dxa"/>
          </w:tcPr>
          <w:p w14:paraId="6B5D8DA1" w14:textId="77777777" w:rsidR="00FA4AA8" w:rsidRDefault="0015611F">
            <w:pPr>
              <w:pStyle w:val="TableParagraph"/>
              <w:spacing w:before="34" w:line="181" w:lineRule="exact"/>
              <w:ind w:left="50"/>
              <w:rPr>
                <w:b/>
                <w:sz w:val="16"/>
              </w:rPr>
            </w:pPr>
            <w:r>
              <w:rPr>
                <w:b/>
                <w:sz w:val="16"/>
              </w:rPr>
              <w:t>Year ended 31 December 2018</w:t>
            </w:r>
          </w:p>
        </w:tc>
        <w:tc>
          <w:tcPr>
            <w:tcW w:w="1333" w:type="dxa"/>
          </w:tcPr>
          <w:p w14:paraId="7F0F4EE6" w14:textId="77777777" w:rsidR="00FA4AA8" w:rsidRDefault="00FA4AA8">
            <w:pPr>
              <w:pStyle w:val="TableParagraph"/>
              <w:rPr>
                <w:rFonts w:ascii="Times New Roman"/>
                <w:sz w:val="16"/>
              </w:rPr>
            </w:pPr>
          </w:p>
        </w:tc>
        <w:tc>
          <w:tcPr>
            <w:tcW w:w="957" w:type="dxa"/>
          </w:tcPr>
          <w:p w14:paraId="0952BFAD" w14:textId="77777777" w:rsidR="00FA4AA8" w:rsidRDefault="00FA4AA8">
            <w:pPr>
              <w:pStyle w:val="TableParagraph"/>
              <w:rPr>
                <w:rFonts w:ascii="Times New Roman"/>
                <w:sz w:val="16"/>
              </w:rPr>
            </w:pPr>
          </w:p>
        </w:tc>
        <w:tc>
          <w:tcPr>
            <w:tcW w:w="1183" w:type="dxa"/>
          </w:tcPr>
          <w:p w14:paraId="468FF589" w14:textId="77777777" w:rsidR="00FA4AA8" w:rsidRDefault="00FA4AA8">
            <w:pPr>
              <w:pStyle w:val="TableParagraph"/>
              <w:rPr>
                <w:rFonts w:ascii="Times New Roman"/>
                <w:sz w:val="16"/>
              </w:rPr>
            </w:pPr>
          </w:p>
        </w:tc>
        <w:tc>
          <w:tcPr>
            <w:tcW w:w="1072" w:type="dxa"/>
          </w:tcPr>
          <w:p w14:paraId="1BCB709F" w14:textId="77777777" w:rsidR="00FA4AA8" w:rsidRDefault="00FA4AA8">
            <w:pPr>
              <w:pStyle w:val="TableParagraph"/>
              <w:rPr>
                <w:rFonts w:ascii="Times New Roman"/>
                <w:sz w:val="16"/>
              </w:rPr>
            </w:pPr>
          </w:p>
        </w:tc>
        <w:tc>
          <w:tcPr>
            <w:tcW w:w="1197" w:type="dxa"/>
          </w:tcPr>
          <w:p w14:paraId="66AC5428" w14:textId="77777777" w:rsidR="00FA4AA8" w:rsidRDefault="00FA4AA8">
            <w:pPr>
              <w:pStyle w:val="TableParagraph"/>
              <w:rPr>
                <w:rFonts w:ascii="Times New Roman"/>
                <w:sz w:val="16"/>
              </w:rPr>
            </w:pPr>
          </w:p>
        </w:tc>
        <w:tc>
          <w:tcPr>
            <w:tcW w:w="1082" w:type="dxa"/>
          </w:tcPr>
          <w:p w14:paraId="7C257EE9" w14:textId="77777777" w:rsidR="00FA4AA8" w:rsidRDefault="00FA4AA8">
            <w:pPr>
              <w:pStyle w:val="TableParagraph"/>
              <w:rPr>
                <w:rFonts w:ascii="Times New Roman"/>
                <w:sz w:val="16"/>
              </w:rPr>
            </w:pPr>
          </w:p>
        </w:tc>
        <w:tc>
          <w:tcPr>
            <w:tcW w:w="1261" w:type="dxa"/>
          </w:tcPr>
          <w:p w14:paraId="45829E90" w14:textId="77777777" w:rsidR="00FA4AA8" w:rsidRDefault="00FA4AA8">
            <w:pPr>
              <w:pStyle w:val="TableParagraph"/>
              <w:rPr>
                <w:rFonts w:ascii="Times New Roman"/>
                <w:sz w:val="16"/>
              </w:rPr>
            </w:pPr>
          </w:p>
        </w:tc>
        <w:tc>
          <w:tcPr>
            <w:tcW w:w="1178" w:type="dxa"/>
          </w:tcPr>
          <w:p w14:paraId="3F09E622" w14:textId="77777777" w:rsidR="00FA4AA8" w:rsidRDefault="00FA4AA8">
            <w:pPr>
              <w:pStyle w:val="TableParagraph"/>
              <w:rPr>
                <w:rFonts w:ascii="Times New Roman"/>
                <w:sz w:val="16"/>
              </w:rPr>
            </w:pPr>
          </w:p>
        </w:tc>
        <w:tc>
          <w:tcPr>
            <w:tcW w:w="1178" w:type="dxa"/>
          </w:tcPr>
          <w:p w14:paraId="79CE8ECC" w14:textId="77777777" w:rsidR="00FA4AA8" w:rsidRDefault="00FA4AA8">
            <w:pPr>
              <w:pStyle w:val="TableParagraph"/>
              <w:rPr>
                <w:rFonts w:ascii="Times New Roman"/>
                <w:sz w:val="16"/>
              </w:rPr>
            </w:pPr>
          </w:p>
        </w:tc>
        <w:tc>
          <w:tcPr>
            <w:tcW w:w="991" w:type="dxa"/>
          </w:tcPr>
          <w:p w14:paraId="04493042" w14:textId="77777777" w:rsidR="00FA4AA8" w:rsidRDefault="00FA4AA8">
            <w:pPr>
              <w:pStyle w:val="TableParagraph"/>
              <w:rPr>
                <w:rFonts w:ascii="Times New Roman"/>
                <w:sz w:val="16"/>
              </w:rPr>
            </w:pPr>
          </w:p>
        </w:tc>
      </w:tr>
      <w:tr w:rsidR="00FA4AA8" w14:paraId="79B790F1" w14:textId="77777777">
        <w:trPr>
          <w:trHeight w:val="229"/>
        </w:trPr>
        <w:tc>
          <w:tcPr>
            <w:tcW w:w="3031" w:type="dxa"/>
          </w:tcPr>
          <w:p w14:paraId="02E2FBF9" w14:textId="77777777" w:rsidR="00FA4AA8" w:rsidRDefault="0015611F">
            <w:pPr>
              <w:pStyle w:val="TableParagraph"/>
              <w:spacing w:before="15"/>
              <w:ind w:left="50"/>
              <w:rPr>
                <w:sz w:val="16"/>
              </w:rPr>
            </w:pPr>
            <w:r>
              <w:rPr>
                <w:sz w:val="16"/>
              </w:rPr>
              <w:t>Opening net book amount</w:t>
            </w:r>
          </w:p>
        </w:tc>
        <w:tc>
          <w:tcPr>
            <w:tcW w:w="1333" w:type="dxa"/>
          </w:tcPr>
          <w:p w14:paraId="58E9248C" w14:textId="77777777" w:rsidR="00FA4AA8" w:rsidRDefault="0015611F">
            <w:pPr>
              <w:pStyle w:val="TableParagraph"/>
              <w:spacing w:before="12"/>
              <w:ind w:left="566"/>
              <w:rPr>
                <w:sz w:val="16"/>
              </w:rPr>
            </w:pPr>
            <w:r>
              <w:rPr>
                <w:sz w:val="16"/>
              </w:rPr>
              <w:t>80,951</w:t>
            </w:r>
          </w:p>
        </w:tc>
        <w:tc>
          <w:tcPr>
            <w:tcW w:w="957" w:type="dxa"/>
          </w:tcPr>
          <w:p w14:paraId="032BE555" w14:textId="77777777" w:rsidR="00FA4AA8" w:rsidRDefault="0015611F">
            <w:pPr>
              <w:pStyle w:val="TableParagraph"/>
              <w:spacing w:before="12"/>
              <w:ind w:right="99"/>
              <w:jc w:val="right"/>
              <w:rPr>
                <w:sz w:val="16"/>
              </w:rPr>
            </w:pPr>
            <w:r>
              <w:rPr>
                <w:sz w:val="16"/>
              </w:rPr>
              <w:t>306,574</w:t>
            </w:r>
          </w:p>
        </w:tc>
        <w:tc>
          <w:tcPr>
            <w:tcW w:w="1183" w:type="dxa"/>
          </w:tcPr>
          <w:p w14:paraId="4609A986" w14:textId="77777777" w:rsidR="00FA4AA8" w:rsidRDefault="0015611F">
            <w:pPr>
              <w:pStyle w:val="TableParagraph"/>
              <w:spacing w:before="12"/>
              <w:ind w:right="149"/>
              <w:jc w:val="right"/>
              <w:rPr>
                <w:sz w:val="16"/>
              </w:rPr>
            </w:pPr>
            <w:r>
              <w:rPr>
                <w:sz w:val="16"/>
              </w:rPr>
              <w:t>221,740</w:t>
            </w:r>
          </w:p>
        </w:tc>
        <w:tc>
          <w:tcPr>
            <w:tcW w:w="1072" w:type="dxa"/>
          </w:tcPr>
          <w:p w14:paraId="7BB943A2" w14:textId="77777777" w:rsidR="00FA4AA8" w:rsidRDefault="0015611F">
            <w:pPr>
              <w:pStyle w:val="TableParagraph"/>
              <w:spacing w:before="12"/>
              <w:ind w:right="88"/>
              <w:jc w:val="right"/>
              <w:rPr>
                <w:sz w:val="16"/>
              </w:rPr>
            </w:pPr>
            <w:r>
              <w:rPr>
                <w:sz w:val="16"/>
              </w:rPr>
              <w:t>981,524</w:t>
            </w:r>
          </w:p>
        </w:tc>
        <w:tc>
          <w:tcPr>
            <w:tcW w:w="1197" w:type="dxa"/>
          </w:tcPr>
          <w:p w14:paraId="0D649969" w14:textId="77777777" w:rsidR="00FA4AA8" w:rsidRDefault="0015611F">
            <w:pPr>
              <w:pStyle w:val="TableParagraph"/>
              <w:spacing w:before="12"/>
              <w:ind w:right="152"/>
              <w:jc w:val="right"/>
              <w:rPr>
                <w:sz w:val="16"/>
              </w:rPr>
            </w:pPr>
            <w:r>
              <w:rPr>
                <w:sz w:val="16"/>
              </w:rPr>
              <w:t>109,035</w:t>
            </w:r>
          </w:p>
        </w:tc>
        <w:tc>
          <w:tcPr>
            <w:tcW w:w="1082" w:type="dxa"/>
          </w:tcPr>
          <w:p w14:paraId="675E18D9" w14:textId="77777777" w:rsidR="00FA4AA8" w:rsidRDefault="0015611F">
            <w:pPr>
              <w:pStyle w:val="TableParagraph"/>
              <w:spacing w:before="12"/>
              <w:ind w:right="101"/>
              <w:jc w:val="right"/>
              <w:rPr>
                <w:sz w:val="16"/>
              </w:rPr>
            </w:pPr>
            <w:r>
              <w:rPr>
                <w:sz w:val="16"/>
              </w:rPr>
              <w:t>63,666</w:t>
            </w:r>
          </w:p>
        </w:tc>
        <w:tc>
          <w:tcPr>
            <w:tcW w:w="1261" w:type="dxa"/>
          </w:tcPr>
          <w:p w14:paraId="1FEC3685" w14:textId="77777777" w:rsidR="00FA4AA8" w:rsidRDefault="0015611F">
            <w:pPr>
              <w:pStyle w:val="TableParagraph"/>
              <w:spacing w:before="12"/>
              <w:ind w:right="167"/>
              <w:jc w:val="right"/>
              <w:rPr>
                <w:sz w:val="16"/>
              </w:rPr>
            </w:pPr>
            <w:r>
              <w:rPr>
                <w:sz w:val="16"/>
              </w:rPr>
              <w:t>65,333</w:t>
            </w:r>
          </w:p>
        </w:tc>
        <w:tc>
          <w:tcPr>
            <w:tcW w:w="1178" w:type="dxa"/>
          </w:tcPr>
          <w:p w14:paraId="43F43F31" w14:textId="77777777" w:rsidR="00FA4AA8" w:rsidRDefault="0015611F">
            <w:pPr>
              <w:pStyle w:val="TableParagraph"/>
              <w:spacing w:before="12"/>
              <w:ind w:right="212"/>
              <w:jc w:val="right"/>
              <w:rPr>
                <w:sz w:val="16"/>
              </w:rPr>
            </w:pPr>
            <w:r>
              <w:rPr>
                <w:sz w:val="16"/>
              </w:rPr>
              <w:t>7,845</w:t>
            </w:r>
          </w:p>
        </w:tc>
        <w:tc>
          <w:tcPr>
            <w:tcW w:w="1178" w:type="dxa"/>
          </w:tcPr>
          <w:p w14:paraId="0C292175" w14:textId="77777777" w:rsidR="00FA4AA8" w:rsidRDefault="0015611F">
            <w:pPr>
              <w:pStyle w:val="TableParagraph"/>
              <w:spacing w:before="12"/>
              <w:ind w:right="258"/>
              <w:jc w:val="right"/>
              <w:rPr>
                <w:sz w:val="16"/>
              </w:rPr>
            </w:pPr>
            <w:r>
              <w:rPr>
                <w:sz w:val="16"/>
              </w:rPr>
              <w:t>4,410</w:t>
            </w:r>
          </w:p>
        </w:tc>
        <w:tc>
          <w:tcPr>
            <w:tcW w:w="991" w:type="dxa"/>
          </w:tcPr>
          <w:p w14:paraId="20F53323" w14:textId="77777777" w:rsidR="00FA4AA8" w:rsidRDefault="0015611F">
            <w:pPr>
              <w:pStyle w:val="TableParagraph"/>
              <w:spacing w:before="12"/>
              <w:ind w:right="82"/>
              <w:jc w:val="right"/>
              <w:rPr>
                <w:sz w:val="16"/>
              </w:rPr>
            </w:pPr>
            <w:r>
              <w:rPr>
                <w:sz w:val="16"/>
              </w:rPr>
              <w:t>1,841,078</w:t>
            </w:r>
          </w:p>
        </w:tc>
      </w:tr>
      <w:tr w:rsidR="00FA4AA8" w14:paraId="390D6175" w14:textId="77777777">
        <w:trPr>
          <w:trHeight w:val="242"/>
        </w:trPr>
        <w:tc>
          <w:tcPr>
            <w:tcW w:w="3031" w:type="dxa"/>
          </w:tcPr>
          <w:p w14:paraId="1240557B" w14:textId="77777777" w:rsidR="00FA4AA8" w:rsidRDefault="0015611F">
            <w:pPr>
              <w:pStyle w:val="TableParagraph"/>
              <w:spacing w:before="28"/>
              <w:ind w:left="50"/>
              <w:rPr>
                <w:sz w:val="16"/>
              </w:rPr>
            </w:pPr>
            <w:r>
              <w:rPr>
                <w:sz w:val="16"/>
              </w:rPr>
              <w:t>Revaluation Surplus</w:t>
            </w:r>
          </w:p>
        </w:tc>
        <w:tc>
          <w:tcPr>
            <w:tcW w:w="1333" w:type="dxa"/>
          </w:tcPr>
          <w:p w14:paraId="491C00C3" w14:textId="77777777" w:rsidR="00FA4AA8" w:rsidRDefault="0015611F">
            <w:pPr>
              <w:pStyle w:val="TableParagraph"/>
              <w:spacing w:before="25"/>
              <w:ind w:right="274"/>
              <w:jc w:val="right"/>
              <w:rPr>
                <w:b/>
                <w:sz w:val="16"/>
              </w:rPr>
            </w:pPr>
            <w:r>
              <w:rPr>
                <w:b/>
                <w:sz w:val="16"/>
              </w:rPr>
              <w:t>-</w:t>
            </w:r>
          </w:p>
        </w:tc>
        <w:tc>
          <w:tcPr>
            <w:tcW w:w="957" w:type="dxa"/>
          </w:tcPr>
          <w:p w14:paraId="525611B4" w14:textId="77777777" w:rsidR="00FA4AA8" w:rsidRDefault="0015611F">
            <w:pPr>
              <w:pStyle w:val="TableParagraph"/>
              <w:spacing w:before="25"/>
              <w:ind w:right="99"/>
              <w:jc w:val="right"/>
              <w:rPr>
                <w:sz w:val="16"/>
              </w:rPr>
            </w:pPr>
            <w:r>
              <w:rPr>
                <w:sz w:val="16"/>
              </w:rPr>
              <w:t>23,501</w:t>
            </w:r>
          </w:p>
        </w:tc>
        <w:tc>
          <w:tcPr>
            <w:tcW w:w="1183" w:type="dxa"/>
          </w:tcPr>
          <w:p w14:paraId="4AF21090" w14:textId="77777777" w:rsidR="00FA4AA8" w:rsidRDefault="0015611F">
            <w:pPr>
              <w:pStyle w:val="TableParagraph"/>
              <w:spacing w:before="25"/>
              <w:ind w:right="149"/>
              <w:jc w:val="right"/>
              <w:rPr>
                <w:sz w:val="16"/>
              </w:rPr>
            </w:pPr>
            <w:r>
              <w:rPr>
                <w:sz w:val="16"/>
              </w:rPr>
              <w:t>11,120</w:t>
            </w:r>
          </w:p>
        </w:tc>
        <w:tc>
          <w:tcPr>
            <w:tcW w:w="1072" w:type="dxa"/>
          </w:tcPr>
          <w:p w14:paraId="43724CEA" w14:textId="77777777" w:rsidR="00FA4AA8" w:rsidRDefault="0015611F">
            <w:pPr>
              <w:pStyle w:val="TableParagraph"/>
              <w:spacing w:before="25"/>
              <w:ind w:right="88"/>
              <w:jc w:val="right"/>
              <w:rPr>
                <w:sz w:val="16"/>
              </w:rPr>
            </w:pPr>
            <w:r>
              <w:rPr>
                <w:sz w:val="16"/>
              </w:rPr>
              <w:t>27,289</w:t>
            </w:r>
          </w:p>
        </w:tc>
        <w:tc>
          <w:tcPr>
            <w:tcW w:w="1197" w:type="dxa"/>
          </w:tcPr>
          <w:p w14:paraId="12FD765E" w14:textId="77777777" w:rsidR="00FA4AA8" w:rsidRDefault="0015611F">
            <w:pPr>
              <w:pStyle w:val="TableParagraph"/>
              <w:spacing w:before="25"/>
              <w:ind w:right="152"/>
              <w:jc w:val="right"/>
              <w:rPr>
                <w:sz w:val="16"/>
              </w:rPr>
            </w:pPr>
            <w:r>
              <w:rPr>
                <w:sz w:val="16"/>
              </w:rPr>
              <w:t>7,166</w:t>
            </w:r>
          </w:p>
        </w:tc>
        <w:tc>
          <w:tcPr>
            <w:tcW w:w="1082" w:type="dxa"/>
          </w:tcPr>
          <w:p w14:paraId="20B2A0F5" w14:textId="77777777" w:rsidR="00FA4AA8" w:rsidRDefault="0015611F">
            <w:pPr>
              <w:pStyle w:val="TableParagraph"/>
              <w:spacing w:before="25"/>
              <w:ind w:right="101"/>
              <w:jc w:val="right"/>
              <w:rPr>
                <w:b/>
                <w:sz w:val="16"/>
              </w:rPr>
            </w:pPr>
            <w:r>
              <w:rPr>
                <w:b/>
                <w:sz w:val="16"/>
              </w:rPr>
              <w:t>-</w:t>
            </w:r>
          </w:p>
        </w:tc>
        <w:tc>
          <w:tcPr>
            <w:tcW w:w="1261" w:type="dxa"/>
          </w:tcPr>
          <w:p w14:paraId="7FD5A24E" w14:textId="77777777" w:rsidR="00FA4AA8" w:rsidRDefault="0015611F">
            <w:pPr>
              <w:pStyle w:val="TableParagraph"/>
              <w:spacing w:before="25"/>
              <w:ind w:right="167"/>
              <w:jc w:val="right"/>
              <w:rPr>
                <w:b/>
                <w:sz w:val="16"/>
              </w:rPr>
            </w:pPr>
            <w:r>
              <w:rPr>
                <w:b/>
                <w:sz w:val="16"/>
              </w:rPr>
              <w:t>-</w:t>
            </w:r>
          </w:p>
        </w:tc>
        <w:tc>
          <w:tcPr>
            <w:tcW w:w="1178" w:type="dxa"/>
          </w:tcPr>
          <w:p w14:paraId="41C0793B" w14:textId="77777777" w:rsidR="00FA4AA8" w:rsidRDefault="0015611F">
            <w:pPr>
              <w:pStyle w:val="TableParagraph"/>
              <w:spacing w:before="25"/>
              <w:ind w:right="212"/>
              <w:jc w:val="right"/>
              <w:rPr>
                <w:b/>
                <w:sz w:val="16"/>
              </w:rPr>
            </w:pPr>
            <w:r>
              <w:rPr>
                <w:b/>
                <w:sz w:val="16"/>
              </w:rPr>
              <w:t>-</w:t>
            </w:r>
          </w:p>
        </w:tc>
        <w:tc>
          <w:tcPr>
            <w:tcW w:w="1178" w:type="dxa"/>
          </w:tcPr>
          <w:p w14:paraId="0FF79FAF" w14:textId="77777777" w:rsidR="00FA4AA8" w:rsidRDefault="0015611F">
            <w:pPr>
              <w:pStyle w:val="TableParagraph"/>
              <w:spacing w:before="25"/>
              <w:ind w:right="257"/>
              <w:jc w:val="right"/>
              <w:rPr>
                <w:b/>
                <w:sz w:val="16"/>
              </w:rPr>
            </w:pPr>
            <w:r>
              <w:rPr>
                <w:b/>
                <w:sz w:val="16"/>
              </w:rPr>
              <w:t>-</w:t>
            </w:r>
          </w:p>
        </w:tc>
        <w:tc>
          <w:tcPr>
            <w:tcW w:w="991" w:type="dxa"/>
          </w:tcPr>
          <w:p w14:paraId="29B5A87C" w14:textId="77777777" w:rsidR="00FA4AA8" w:rsidRDefault="0015611F">
            <w:pPr>
              <w:pStyle w:val="TableParagraph"/>
              <w:spacing w:before="25"/>
              <w:ind w:right="82"/>
              <w:jc w:val="right"/>
              <w:rPr>
                <w:sz w:val="16"/>
              </w:rPr>
            </w:pPr>
            <w:r>
              <w:rPr>
                <w:sz w:val="16"/>
              </w:rPr>
              <w:t>69,076</w:t>
            </w:r>
          </w:p>
        </w:tc>
      </w:tr>
      <w:tr w:rsidR="00FA4AA8" w14:paraId="27762535" w14:textId="77777777">
        <w:trPr>
          <w:trHeight w:val="242"/>
        </w:trPr>
        <w:tc>
          <w:tcPr>
            <w:tcW w:w="3031" w:type="dxa"/>
          </w:tcPr>
          <w:p w14:paraId="51609920" w14:textId="77777777" w:rsidR="00FA4AA8" w:rsidRDefault="0015611F">
            <w:pPr>
              <w:pStyle w:val="TableParagraph"/>
              <w:spacing w:before="28"/>
              <w:ind w:left="50"/>
              <w:rPr>
                <w:sz w:val="16"/>
              </w:rPr>
            </w:pPr>
            <w:r>
              <w:rPr>
                <w:sz w:val="16"/>
              </w:rPr>
              <w:t>Additions</w:t>
            </w:r>
          </w:p>
        </w:tc>
        <w:tc>
          <w:tcPr>
            <w:tcW w:w="1333" w:type="dxa"/>
          </w:tcPr>
          <w:p w14:paraId="01DF2F61" w14:textId="77777777" w:rsidR="00FA4AA8" w:rsidRDefault="0015611F">
            <w:pPr>
              <w:pStyle w:val="TableParagraph"/>
              <w:spacing w:before="25"/>
              <w:ind w:left="566"/>
              <w:rPr>
                <w:sz w:val="16"/>
              </w:rPr>
            </w:pPr>
            <w:r>
              <w:rPr>
                <w:sz w:val="16"/>
              </w:rPr>
              <w:t>62,469</w:t>
            </w:r>
          </w:p>
        </w:tc>
        <w:tc>
          <w:tcPr>
            <w:tcW w:w="957" w:type="dxa"/>
          </w:tcPr>
          <w:p w14:paraId="6A294C0A" w14:textId="77777777" w:rsidR="00FA4AA8" w:rsidRDefault="0015611F">
            <w:pPr>
              <w:pStyle w:val="TableParagraph"/>
              <w:spacing w:before="25"/>
              <w:ind w:right="99"/>
              <w:jc w:val="right"/>
              <w:rPr>
                <w:sz w:val="16"/>
              </w:rPr>
            </w:pPr>
            <w:r>
              <w:rPr>
                <w:sz w:val="16"/>
              </w:rPr>
              <w:t>29,935</w:t>
            </w:r>
          </w:p>
        </w:tc>
        <w:tc>
          <w:tcPr>
            <w:tcW w:w="1183" w:type="dxa"/>
          </w:tcPr>
          <w:p w14:paraId="4D57177E" w14:textId="77777777" w:rsidR="00FA4AA8" w:rsidRDefault="0015611F">
            <w:pPr>
              <w:pStyle w:val="TableParagraph"/>
              <w:spacing w:before="25"/>
              <w:ind w:right="149"/>
              <w:jc w:val="right"/>
              <w:rPr>
                <w:sz w:val="16"/>
              </w:rPr>
            </w:pPr>
            <w:r>
              <w:rPr>
                <w:sz w:val="16"/>
              </w:rPr>
              <w:t>1,130</w:t>
            </w:r>
          </w:p>
        </w:tc>
        <w:tc>
          <w:tcPr>
            <w:tcW w:w="1072" w:type="dxa"/>
          </w:tcPr>
          <w:p w14:paraId="212D10EC" w14:textId="77777777" w:rsidR="00FA4AA8" w:rsidRDefault="0015611F">
            <w:pPr>
              <w:pStyle w:val="TableParagraph"/>
              <w:spacing w:before="25"/>
              <w:ind w:right="88"/>
              <w:jc w:val="right"/>
              <w:rPr>
                <w:sz w:val="16"/>
              </w:rPr>
            </w:pPr>
            <w:r>
              <w:rPr>
                <w:sz w:val="16"/>
              </w:rPr>
              <w:t>94,944</w:t>
            </w:r>
          </w:p>
        </w:tc>
        <w:tc>
          <w:tcPr>
            <w:tcW w:w="1197" w:type="dxa"/>
          </w:tcPr>
          <w:p w14:paraId="58EEE089" w14:textId="77777777" w:rsidR="00FA4AA8" w:rsidRDefault="0015611F">
            <w:pPr>
              <w:pStyle w:val="TableParagraph"/>
              <w:spacing w:before="25"/>
              <w:ind w:right="152"/>
              <w:jc w:val="right"/>
              <w:rPr>
                <w:b/>
                <w:sz w:val="16"/>
              </w:rPr>
            </w:pPr>
            <w:r>
              <w:rPr>
                <w:b/>
                <w:sz w:val="16"/>
              </w:rPr>
              <w:t>-</w:t>
            </w:r>
          </w:p>
        </w:tc>
        <w:tc>
          <w:tcPr>
            <w:tcW w:w="1082" w:type="dxa"/>
          </w:tcPr>
          <w:p w14:paraId="5F28C774" w14:textId="77777777" w:rsidR="00FA4AA8" w:rsidRDefault="0015611F">
            <w:pPr>
              <w:pStyle w:val="TableParagraph"/>
              <w:spacing w:before="25"/>
              <w:ind w:right="101"/>
              <w:jc w:val="right"/>
              <w:rPr>
                <w:sz w:val="16"/>
              </w:rPr>
            </w:pPr>
            <w:r>
              <w:rPr>
                <w:sz w:val="16"/>
              </w:rPr>
              <w:t>6,791</w:t>
            </w:r>
          </w:p>
        </w:tc>
        <w:tc>
          <w:tcPr>
            <w:tcW w:w="1261" w:type="dxa"/>
          </w:tcPr>
          <w:p w14:paraId="3A788542" w14:textId="77777777" w:rsidR="00FA4AA8" w:rsidRDefault="0015611F">
            <w:pPr>
              <w:pStyle w:val="TableParagraph"/>
              <w:spacing w:before="25"/>
              <w:ind w:right="167"/>
              <w:jc w:val="right"/>
              <w:rPr>
                <w:b/>
                <w:sz w:val="16"/>
              </w:rPr>
            </w:pPr>
            <w:r>
              <w:rPr>
                <w:b/>
                <w:sz w:val="16"/>
              </w:rPr>
              <w:t>-</w:t>
            </w:r>
          </w:p>
        </w:tc>
        <w:tc>
          <w:tcPr>
            <w:tcW w:w="1178" w:type="dxa"/>
          </w:tcPr>
          <w:p w14:paraId="3C9CFFD5" w14:textId="77777777" w:rsidR="00FA4AA8" w:rsidRDefault="0015611F">
            <w:pPr>
              <w:pStyle w:val="TableParagraph"/>
              <w:spacing w:before="25"/>
              <w:ind w:right="212"/>
              <w:jc w:val="right"/>
              <w:rPr>
                <w:sz w:val="16"/>
              </w:rPr>
            </w:pPr>
            <w:r>
              <w:rPr>
                <w:sz w:val="16"/>
              </w:rPr>
              <w:t>1,791</w:t>
            </w:r>
          </w:p>
        </w:tc>
        <w:tc>
          <w:tcPr>
            <w:tcW w:w="1178" w:type="dxa"/>
          </w:tcPr>
          <w:p w14:paraId="6E0F5376" w14:textId="77777777" w:rsidR="00FA4AA8" w:rsidRDefault="0015611F">
            <w:pPr>
              <w:pStyle w:val="TableParagraph"/>
              <w:spacing w:before="25"/>
              <w:ind w:right="258"/>
              <w:jc w:val="right"/>
              <w:rPr>
                <w:sz w:val="16"/>
              </w:rPr>
            </w:pPr>
            <w:r>
              <w:rPr>
                <w:sz w:val="16"/>
              </w:rPr>
              <w:t>222</w:t>
            </w:r>
          </w:p>
        </w:tc>
        <w:tc>
          <w:tcPr>
            <w:tcW w:w="991" w:type="dxa"/>
          </w:tcPr>
          <w:p w14:paraId="5D01C1D6" w14:textId="77777777" w:rsidR="00FA4AA8" w:rsidRDefault="0015611F">
            <w:pPr>
              <w:pStyle w:val="TableParagraph"/>
              <w:spacing w:before="25"/>
              <w:ind w:right="82"/>
              <w:jc w:val="right"/>
              <w:rPr>
                <w:sz w:val="16"/>
              </w:rPr>
            </w:pPr>
            <w:r>
              <w:rPr>
                <w:sz w:val="16"/>
              </w:rPr>
              <w:t>197,282</w:t>
            </w:r>
          </w:p>
        </w:tc>
      </w:tr>
      <w:tr w:rsidR="00FA4AA8" w14:paraId="3B05E7F4" w14:textId="77777777">
        <w:trPr>
          <w:trHeight w:val="242"/>
        </w:trPr>
        <w:tc>
          <w:tcPr>
            <w:tcW w:w="3031" w:type="dxa"/>
          </w:tcPr>
          <w:p w14:paraId="7A7E1C65" w14:textId="77777777" w:rsidR="00FA4AA8" w:rsidRDefault="0015611F">
            <w:pPr>
              <w:pStyle w:val="TableParagraph"/>
              <w:spacing w:before="28"/>
              <w:ind w:left="50"/>
              <w:rPr>
                <w:sz w:val="16"/>
              </w:rPr>
            </w:pPr>
            <w:r>
              <w:rPr>
                <w:sz w:val="16"/>
              </w:rPr>
              <w:t>Disposals</w:t>
            </w:r>
          </w:p>
        </w:tc>
        <w:tc>
          <w:tcPr>
            <w:tcW w:w="1333" w:type="dxa"/>
          </w:tcPr>
          <w:p w14:paraId="53144D18" w14:textId="77777777" w:rsidR="00FA4AA8" w:rsidRDefault="0015611F">
            <w:pPr>
              <w:pStyle w:val="TableParagraph"/>
              <w:spacing w:before="25"/>
              <w:ind w:right="222"/>
              <w:jc w:val="right"/>
              <w:rPr>
                <w:sz w:val="16"/>
              </w:rPr>
            </w:pPr>
            <w:r>
              <w:rPr>
                <w:sz w:val="16"/>
              </w:rPr>
              <w:t>(21,410)</w:t>
            </w:r>
          </w:p>
        </w:tc>
        <w:tc>
          <w:tcPr>
            <w:tcW w:w="957" w:type="dxa"/>
          </w:tcPr>
          <w:p w14:paraId="4CDE7C0B" w14:textId="77777777" w:rsidR="00FA4AA8" w:rsidRDefault="0015611F">
            <w:pPr>
              <w:pStyle w:val="TableParagraph"/>
              <w:spacing w:before="25"/>
              <w:ind w:right="98"/>
              <w:jc w:val="right"/>
              <w:rPr>
                <w:b/>
                <w:sz w:val="16"/>
              </w:rPr>
            </w:pPr>
            <w:r>
              <w:rPr>
                <w:b/>
                <w:sz w:val="16"/>
              </w:rPr>
              <w:t>-</w:t>
            </w:r>
          </w:p>
        </w:tc>
        <w:tc>
          <w:tcPr>
            <w:tcW w:w="1183" w:type="dxa"/>
          </w:tcPr>
          <w:p w14:paraId="0E49822C" w14:textId="77777777" w:rsidR="00FA4AA8" w:rsidRDefault="0015611F">
            <w:pPr>
              <w:pStyle w:val="TableParagraph"/>
              <w:spacing w:before="25"/>
              <w:ind w:right="148"/>
              <w:jc w:val="right"/>
              <w:rPr>
                <w:b/>
                <w:sz w:val="16"/>
              </w:rPr>
            </w:pPr>
            <w:r>
              <w:rPr>
                <w:b/>
                <w:sz w:val="16"/>
              </w:rPr>
              <w:t>-</w:t>
            </w:r>
          </w:p>
        </w:tc>
        <w:tc>
          <w:tcPr>
            <w:tcW w:w="1072" w:type="dxa"/>
          </w:tcPr>
          <w:p w14:paraId="35139319" w14:textId="77777777" w:rsidR="00FA4AA8" w:rsidRDefault="0015611F">
            <w:pPr>
              <w:pStyle w:val="TableParagraph"/>
              <w:spacing w:before="25"/>
              <w:ind w:right="88"/>
              <w:jc w:val="right"/>
              <w:rPr>
                <w:b/>
                <w:sz w:val="16"/>
              </w:rPr>
            </w:pPr>
            <w:r>
              <w:rPr>
                <w:b/>
                <w:sz w:val="16"/>
              </w:rPr>
              <w:t>-</w:t>
            </w:r>
          </w:p>
        </w:tc>
        <w:tc>
          <w:tcPr>
            <w:tcW w:w="1197" w:type="dxa"/>
          </w:tcPr>
          <w:p w14:paraId="4AFEFA00" w14:textId="77777777" w:rsidR="00FA4AA8" w:rsidRDefault="0015611F">
            <w:pPr>
              <w:pStyle w:val="TableParagraph"/>
              <w:spacing w:before="25"/>
              <w:ind w:right="152"/>
              <w:jc w:val="right"/>
              <w:rPr>
                <w:b/>
                <w:sz w:val="16"/>
              </w:rPr>
            </w:pPr>
            <w:r>
              <w:rPr>
                <w:b/>
                <w:sz w:val="16"/>
              </w:rPr>
              <w:t>-</w:t>
            </w:r>
          </w:p>
        </w:tc>
        <w:tc>
          <w:tcPr>
            <w:tcW w:w="1082" w:type="dxa"/>
          </w:tcPr>
          <w:p w14:paraId="32C9BCA0" w14:textId="77777777" w:rsidR="00FA4AA8" w:rsidRDefault="0015611F">
            <w:pPr>
              <w:pStyle w:val="TableParagraph"/>
              <w:spacing w:before="25"/>
              <w:ind w:right="49"/>
              <w:jc w:val="right"/>
              <w:rPr>
                <w:sz w:val="16"/>
              </w:rPr>
            </w:pPr>
            <w:r>
              <w:rPr>
                <w:sz w:val="16"/>
              </w:rPr>
              <w:t>(679)</w:t>
            </w:r>
          </w:p>
        </w:tc>
        <w:tc>
          <w:tcPr>
            <w:tcW w:w="1261" w:type="dxa"/>
          </w:tcPr>
          <w:p w14:paraId="00560BD0" w14:textId="77777777" w:rsidR="00FA4AA8" w:rsidRDefault="0015611F">
            <w:pPr>
              <w:pStyle w:val="TableParagraph"/>
              <w:spacing w:before="25"/>
              <w:ind w:right="114"/>
              <w:jc w:val="right"/>
              <w:rPr>
                <w:sz w:val="16"/>
              </w:rPr>
            </w:pPr>
            <w:r>
              <w:rPr>
                <w:sz w:val="16"/>
              </w:rPr>
              <w:t>(7,226)</w:t>
            </w:r>
          </w:p>
        </w:tc>
        <w:tc>
          <w:tcPr>
            <w:tcW w:w="1178" w:type="dxa"/>
          </w:tcPr>
          <w:p w14:paraId="000FDB32" w14:textId="77777777" w:rsidR="00FA4AA8" w:rsidRDefault="0015611F">
            <w:pPr>
              <w:pStyle w:val="TableParagraph"/>
              <w:spacing w:before="25"/>
              <w:ind w:right="160"/>
              <w:jc w:val="right"/>
              <w:rPr>
                <w:sz w:val="16"/>
              </w:rPr>
            </w:pPr>
            <w:r>
              <w:rPr>
                <w:sz w:val="16"/>
              </w:rPr>
              <w:t>(45)</w:t>
            </w:r>
          </w:p>
        </w:tc>
        <w:tc>
          <w:tcPr>
            <w:tcW w:w="1178" w:type="dxa"/>
          </w:tcPr>
          <w:p w14:paraId="7B58BC38" w14:textId="77777777" w:rsidR="00FA4AA8" w:rsidRDefault="0015611F">
            <w:pPr>
              <w:pStyle w:val="TableParagraph"/>
              <w:spacing w:before="25"/>
              <w:ind w:right="205"/>
              <w:jc w:val="right"/>
              <w:rPr>
                <w:sz w:val="16"/>
              </w:rPr>
            </w:pPr>
            <w:r>
              <w:rPr>
                <w:sz w:val="16"/>
              </w:rPr>
              <w:t>(3)</w:t>
            </w:r>
          </w:p>
        </w:tc>
        <w:tc>
          <w:tcPr>
            <w:tcW w:w="991" w:type="dxa"/>
          </w:tcPr>
          <w:p w14:paraId="16399B42" w14:textId="77777777" w:rsidR="00FA4AA8" w:rsidRDefault="0015611F">
            <w:pPr>
              <w:pStyle w:val="TableParagraph"/>
              <w:spacing w:before="25"/>
              <w:ind w:right="29"/>
              <w:jc w:val="right"/>
              <w:rPr>
                <w:sz w:val="16"/>
              </w:rPr>
            </w:pPr>
            <w:r>
              <w:rPr>
                <w:sz w:val="16"/>
              </w:rPr>
              <w:t>(29,363)</w:t>
            </w:r>
          </w:p>
        </w:tc>
      </w:tr>
      <w:tr w:rsidR="00FA4AA8" w14:paraId="6BFBD45F" w14:textId="77777777">
        <w:trPr>
          <w:trHeight w:val="242"/>
        </w:trPr>
        <w:tc>
          <w:tcPr>
            <w:tcW w:w="3031" w:type="dxa"/>
          </w:tcPr>
          <w:p w14:paraId="6CA03F39" w14:textId="77777777" w:rsidR="00FA4AA8" w:rsidRDefault="0015611F">
            <w:pPr>
              <w:pStyle w:val="TableParagraph"/>
              <w:spacing w:before="28"/>
              <w:ind w:left="50"/>
              <w:rPr>
                <w:sz w:val="16"/>
              </w:rPr>
            </w:pPr>
            <w:r>
              <w:rPr>
                <w:sz w:val="16"/>
              </w:rPr>
              <w:t>Depreciation Charge</w:t>
            </w:r>
          </w:p>
        </w:tc>
        <w:tc>
          <w:tcPr>
            <w:tcW w:w="1333" w:type="dxa"/>
          </w:tcPr>
          <w:p w14:paraId="5AA667C4" w14:textId="77777777" w:rsidR="00FA4AA8" w:rsidRDefault="0015611F">
            <w:pPr>
              <w:pStyle w:val="TableParagraph"/>
              <w:spacing w:before="25"/>
              <w:ind w:right="274"/>
              <w:jc w:val="right"/>
              <w:rPr>
                <w:b/>
                <w:sz w:val="16"/>
              </w:rPr>
            </w:pPr>
            <w:r>
              <w:rPr>
                <w:b/>
                <w:sz w:val="16"/>
              </w:rPr>
              <w:t>-</w:t>
            </w:r>
          </w:p>
        </w:tc>
        <w:tc>
          <w:tcPr>
            <w:tcW w:w="957" w:type="dxa"/>
          </w:tcPr>
          <w:p w14:paraId="3CE79FFF" w14:textId="77777777" w:rsidR="00FA4AA8" w:rsidRDefault="0015611F">
            <w:pPr>
              <w:pStyle w:val="TableParagraph"/>
              <w:spacing w:before="25"/>
              <w:ind w:right="98"/>
              <w:jc w:val="right"/>
              <w:rPr>
                <w:b/>
                <w:sz w:val="16"/>
              </w:rPr>
            </w:pPr>
            <w:r>
              <w:rPr>
                <w:b/>
                <w:sz w:val="16"/>
              </w:rPr>
              <w:t>-</w:t>
            </w:r>
          </w:p>
        </w:tc>
        <w:tc>
          <w:tcPr>
            <w:tcW w:w="1183" w:type="dxa"/>
          </w:tcPr>
          <w:p w14:paraId="1CF1D2A7" w14:textId="77777777" w:rsidR="00FA4AA8" w:rsidRDefault="0015611F">
            <w:pPr>
              <w:pStyle w:val="TableParagraph"/>
              <w:spacing w:before="25"/>
              <w:ind w:right="148"/>
              <w:jc w:val="right"/>
              <w:rPr>
                <w:b/>
                <w:sz w:val="16"/>
              </w:rPr>
            </w:pPr>
            <w:r>
              <w:rPr>
                <w:b/>
                <w:sz w:val="16"/>
              </w:rPr>
              <w:t>-</w:t>
            </w:r>
          </w:p>
        </w:tc>
        <w:tc>
          <w:tcPr>
            <w:tcW w:w="1072" w:type="dxa"/>
          </w:tcPr>
          <w:p w14:paraId="042B226B" w14:textId="77777777" w:rsidR="00FA4AA8" w:rsidRDefault="0015611F">
            <w:pPr>
              <w:pStyle w:val="TableParagraph"/>
              <w:spacing w:before="25"/>
              <w:ind w:right="35"/>
              <w:jc w:val="right"/>
              <w:rPr>
                <w:sz w:val="16"/>
              </w:rPr>
            </w:pPr>
            <w:r>
              <w:rPr>
                <w:sz w:val="16"/>
              </w:rPr>
              <w:t>(25,445)</w:t>
            </w:r>
          </w:p>
        </w:tc>
        <w:tc>
          <w:tcPr>
            <w:tcW w:w="1197" w:type="dxa"/>
          </w:tcPr>
          <w:p w14:paraId="05D41CDF" w14:textId="77777777" w:rsidR="00FA4AA8" w:rsidRDefault="0015611F">
            <w:pPr>
              <w:pStyle w:val="TableParagraph"/>
              <w:spacing w:before="25"/>
              <w:ind w:right="99"/>
              <w:jc w:val="right"/>
              <w:rPr>
                <w:sz w:val="16"/>
              </w:rPr>
            </w:pPr>
            <w:r>
              <w:rPr>
                <w:sz w:val="16"/>
              </w:rPr>
              <w:t>(3,629)</w:t>
            </w:r>
          </w:p>
        </w:tc>
        <w:tc>
          <w:tcPr>
            <w:tcW w:w="1082" w:type="dxa"/>
          </w:tcPr>
          <w:p w14:paraId="35643AC1" w14:textId="77777777" w:rsidR="00FA4AA8" w:rsidRDefault="0015611F">
            <w:pPr>
              <w:pStyle w:val="TableParagraph"/>
              <w:spacing w:before="25"/>
              <w:ind w:right="49"/>
              <w:jc w:val="right"/>
              <w:rPr>
                <w:sz w:val="16"/>
              </w:rPr>
            </w:pPr>
            <w:r>
              <w:rPr>
                <w:sz w:val="16"/>
              </w:rPr>
              <w:t>(12,024)</w:t>
            </w:r>
          </w:p>
        </w:tc>
        <w:tc>
          <w:tcPr>
            <w:tcW w:w="1261" w:type="dxa"/>
          </w:tcPr>
          <w:p w14:paraId="612ECA3D" w14:textId="77777777" w:rsidR="00FA4AA8" w:rsidRDefault="0015611F">
            <w:pPr>
              <w:pStyle w:val="TableParagraph"/>
              <w:spacing w:before="25"/>
              <w:ind w:right="114"/>
              <w:jc w:val="right"/>
              <w:rPr>
                <w:sz w:val="16"/>
              </w:rPr>
            </w:pPr>
            <w:r>
              <w:rPr>
                <w:sz w:val="16"/>
              </w:rPr>
              <w:t>(6,761)</w:t>
            </w:r>
          </w:p>
        </w:tc>
        <w:tc>
          <w:tcPr>
            <w:tcW w:w="1178" w:type="dxa"/>
          </w:tcPr>
          <w:p w14:paraId="5B1174FA" w14:textId="77777777" w:rsidR="00FA4AA8" w:rsidRDefault="0015611F">
            <w:pPr>
              <w:pStyle w:val="TableParagraph"/>
              <w:spacing w:before="25"/>
              <w:ind w:right="159"/>
              <w:jc w:val="right"/>
              <w:rPr>
                <w:sz w:val="16"/>
              </w:rPr>
            </w:pPr>
            <w:r>
              <w:rPr>
                <w:sz w:val="16"/>
              </w:rPr>
              <w:t>(2,171)</w:t>
            </w:r>
          </w:p>
        </w:tc>
        <w:tc>
          <w:tcPr>
            <w:tcW w:w="1178" w:type="dxa"/>
          </w:tcPr>
          <w:p w14:paraId="47C18D76" w14:textId="77777777" w:rsidR="00FA4AA8" w:rsidRDefault="0015611F">
            <w:pPr>
              <w:pStyle w:val="TableParagraph"/>
              <w:spacing w:before="25"/>
              <w:ind w:right="257"/>
              <w:jc w:val="right"/>
              <w:rPr>
                <w:b/>
                <w:sz w:val="16"/>
              </w:rPr>
            </w:pPr>
            <w:r>
              <w:rPr>
                <w:b/>
                <w:sz w:val="16"/>
              </w:rPr>
              <w:t>-</w:t>
            </w:r>
          </w:p>
        </w:tc>
        <w:tc>
          <w:tcPr>
            <w:tcW w:w="991" w:type="dxa"/>
          </w:tcPr>
          <w:p w14:paraId="675CBE42" w14:textId="77777777" w:rsidR="00FA4AA8" w:rsidRDefault="0015611F">
            <w:pPr>
              <w:pStyle w:val="TableParagraph"/>
              <w:spacing w:before="25"/>
              <w:ind w:right="29"/>
              <w:jc w:val="right"/>
              <w:rPr>
                <w:sz w:val="16"/>
              </w:rPr>
            </w:pPr>
            <w:r>
              <w:rPr>
                <w:sz w:val="16"/>
              </w:rPr>
              <w:t>(50,030)</w:t>
            </w:r>
          </w:p>
        </w:tc>
      </w:tr>
      <w:tr w:rsidR="00FA4AA8" w14:paraId="23BD1C42" w14:textId="77777777">
        <w:trPr>
          <w:trHeight w:val="241"/>
        </w:trPr>
        <w:tc>
          <w:tcPr>
            <w:tcW w:w="3031" w:type="dxa"/>
          </w:tcPr>
          <w:p w14:paraId="370F3E04" w14:textId="77777777" w:rsidR="00FA4AA8" w:rsidRDefault="0015611F">
            <w:pPr>
              <w:pStyle w:val="TableParagraph"/>
              <w:spacing w:before="28"/>
              <w:ind w:left="50"/>
              <w:rPr>
                <w:sz w:val="16"/>
              </w:rPr>
            </w:pPr>
            <w:r>
              <w:rPr>
                <w:sz w:val="16"/>
              </w:rPr>
              <w:t>Non-Cash Adjustments</w:t>
            </w:r>
          </w:p>
        </w:tc>
        <w:tc>
          <w:tcPr>
            <w:tcW w:w="1333" w:type="dxa"/>
          </w:tcPr>
          <w:p w14:paraId="5ECB02E2" w14:textId="77777777" w:rsidR="00FA4AA8" w:rsidRDefault="0015611F">
            <w:pPr>
              <w:pStyle w:val="TableParagraph"/>
              <w:spacing w:before="25"/>
              <w:ind w:right="274"/>
              <w:jc w:val="right"/>
              <w:rPr>
                <w:b/>
                <w:sz w:val="16"/>
              </w:rPr>
            </w:pPr>
            <w:r>
              <w:rPr>
                <w:b/>
                <w:sz w:val="16"/>
              </w:rPr>
              <w:t>-</w:t>
            </w:r>
          </w:p>
        </w:tc>
        <w:tc>
          <w:tcPr>
            <w:tcW w:w="957" w:type="dxa"/>
          </w:tcPr>
          <w:p w14:paraId="2D3A735E" w14:textId="77777777" w:rsidR="00FA4AA8" w:rsidRDefault="0015611F">
            <w:pPr>
              <w:pStyle w:val="TableParagraph"/>
              <w:spacing w:before="25"/>
              <w:ind w:right="98"/>
              <w:jc w:val="right"/>
              <w:rPr>
                <w:b/>
                <w:sz w:val="16"/>
              </w:rPr>
            </w:pPr>
            <w:r>
              <w:rPr>
                <w:b/>
                <w:sz w:val="16"/>
              </w:rPr>
              <w:t>-</w:t>
            </w:r>
          </w:p>
        </w:tc>
        <w:tc>
          <w:tcPr>
            <w:tcW w:w="1183" w:type="dxa"/>
          </w:tcPr>
          <w:p w14:paraId="366899C4" w14:textId="77777777" w:rsidR="00FA4AA8" w:rsidRDefault="0015611F">
            <w:pPr>
              <w:pStyle w:val="TableParagraph"/>
              <w:spacing w:before="25"/>
              <w:ind w:right="148"/>
              <w:jc w:val="right"/>
              <w:rPr>
                <w:b/>
                <w:sz w:val="16"/>
              </w:rPr>
            </w:pPr>
            <w:r>
              <w:rPr>
                <w:b/>
                <w:sz w:val="16"/>
              </w:rPr>
              <w:t>-</w:t>
            </w:r>
          </w:p>
        </w:tc>
        <w:tc>
          <w:tcPr>
            <w:tcW w:w="1072" w:type="dxa"/>
          </w:tcPr>
          <w:p w14:paraId="65DFCC04" w14:textId="77777777" w:rsidR="00FA4AA8" w:rsidRDefault="0015611F">
            <w:pPr>
              <w:pStyle w:val="TableParagraph"/>
              <w:spacing w:before="25"/>
              <w:ind w:right="88"/>
              <w:jc w:val="right"/>
              <w:rPr>
                <w:b/>
                <w:sz w:val="16"/>
              </w:rPr>
            </w:pPr>
            <w:r>
              <w:rPr>
                <w:b/>
                <w:sz w:val="16"/>
              </w:rPr>
              <w:t>-</w:t>
            </w:r>
          </w:p>
        </w:tc>
        <w:tc>
          <w:tcPr>
            <w:tcW w:w="1197" w:type="dxa"/>
          </w:tcPr>
          <w:p w14:paraId="55A2B129" w14:textId="77777777" w:rsidR="00FA4AA8" w:rsidRDefault="0015611F">
            <w:pPr>
              <w:pStyle w:val="TableParagraph"/>
              <w:spacing w:before="25"/>
              <w:ind w:right="153"/>
              <w:jc w:val="right"/>
              <w:rPr>
                <w:sz w:val="16"/>
              </w:rPr>
            </w:pPr>
            <w:r>
              <w:rPr>
                <w:sz w:val="16"/>
              </w:rPr>
              <w:t>10</w:t>
            </w:r>
          </w:p>
        </w:tc>
        <w:tc>
          <w:tcPr>
            <w:tcW w:w="1082" w:type="dxa"/>
          </w:tcPr>
          <w:p w14:paraId="5D734776" w14:textId="77777777" w:rsidR="00FA4AA8" w:rsidRDefault="0015611F">
            <w:pPr>
              <w:pStyle w:val="TableParagraph"/>
              <w:spacing w:before="25"/>
              <w:ind w:right="49"/>
              <w:jc w:val="right"/>
              <w:rPr>
                <w:sz w:val="16"/>
              </w:rPr>
            </w:pPr>
            <w:r>
              <w:rPr>
                <w:sz w:val="16"/>
              </w:rPr>
              <w:t>(10)</w:t>
            </w:r>
          </w:p>
        </w:tc>
        <w:tc>
          <w:tcPr>
            <w:tcW w:w="1261" w:type="dxa"/>
          </w:tcPr>
          <w:p w14:paraId="2A896458" w14:textId="77777777" w:rsidR="00FA4AA8" w:rsidRDefault="0015611F">
            <w:pPr>
              <w:pStyle w:val="TableParagraph"/>
              <w:spacing w:before="25"/>
              <w:ind w:right="167"/>
              <w:jc w:val="right"/>
              <w:rPr>
                <w:b/>
                <w:sz w:val="16"/>
              </w:rPr>
            </w:pPr>
            <w:r>
              <w:rPr>
                <w:b/>
                <w:sz w:val="16"/>
              </w:rPr>
              <w:t>-</w:t>
            </w:r>
          </w:p>
        </w:tc>
        <w:tc>
          <w:tcPr>
            <w:tcW w:w="1178" w:type="dxa"/>
          </w:tcPr>
          <w:p w14:paraId="73DB3BB6" w14:textId="77777777" w:rsidR="00FA4AA8" w:rsidRDefault="0015611F">
            <w:pPr>
              <w:pStyle w:val="TableParagraph"/>
              <w:spacing w:before="25"/>
              <w:ind w:right="212"/>
              <w:jc w:val="right"/>
              <w:rPr>
                <w:b/>
                <w:sz w:val="16"/>
              </w:rPr>
            </w:pPr>
            <w:r>
              <w:rPr>
                <w:b/>
                <w:sz w:val="16"/>
              </w:rPr>
              <w:t>-</w:t>
            </w:r>
          </w:p>
        </w:tc>
        <w:tc>
          <w:tcPr>
            <w:tcW w:w="1178" w:type="dxa"/>
          </w:tcPr>
          <w:p w14:paraId="3C8EBAB7" w14:textId="77777777" w:rsidR="00FA4AA8" w:rsidRDefault="0015611F">
            <w:pPr>
              <w:pStyle w:val="TableParagraph"/>
              <w:spacing w:before="25"/>
              <w:ind w:right="257"/>
              <w:jc w:val="right"/>
              <w:rPr>
                <w:b/>
                <w:sz w:val="16"/>
              </w:rPr>
            </w:pPr>
            <w:r>
              <w:rPr>
                <w:b/>
                <w:sz w:val="16"/>
              </w:rPr>
              <w:t>-</w:t>
            </w:r>
          </w:p>
        </w:tc>
        <w:tc>
          <w:tcPr>
            <w:tcW w:w="991" w:type="dxa"/>
          </w:tcPr>
          <w:p w14:paraId="4A9DD339" w14:textId="77777777" w:rsidR="00FA4AA8" w:rsidRDefault="0015611F">
            <w:pPr>
              <w:pStyle w:val="TableParagraph"/>
              <w:spacing w:before="25"/>
              <w:ind w:right="82"/>
              <w:jc w:val="right"/>
              <w:rPr>
                <w:b/>
                <w:sz w:val="16"/>
              </w:rPr>
            </w:pPr>
            <w:r>
              <w:rPr>
                <w:b/>
                <w:sz w:val="16"/>
              </w:rPr>
              <w:t>-</w:t>
            </w:r>
          </w:p>
        </w:tc>
      </w:tr>
      <w:tr w:rsidR="00FA4AA8" w14:paraId="23561FCB" w14:textId="77777777">
        <w:trPr>
          <w:trHeight w:val="423"/>
        </w:trPr>
        <w:tc>
          <w:tcPr>
            <w:tcW w:w="3031" w:type="dxa"/>
          </w:tcPr>
          <w:p w14:paraId="28F1CEB1" w14:textId="77777777" w:rsidR="00FA4AA8" w:rsidRDefault="0015611F">
            <w:pPr>
              <w:pStyle w:val="TableParagraph"/>
              <w:spacing w:before="24"/>
              <w:ind w:left="50" w:right="426"/>
              <w:rPr>
                <w:sz w:val="16"/>
              </w:rPr>
            </w:pPr>
            <w:r>
              <w:rPr>
                <w:sz w:val="16"/>
              </w:rPr>
              <w:t>Transfers to Freehold Buildings and Plant and Equipment</w:t>
            </w:r>
          </w:p>
        </w:tc>
        <w:tc>
          <w:tcPr>
            <w:tcW w:w="1333" w:type="dxa"/>
          </w:tcPr>
          <w:p w14:paraId="5F933769" w14:textId="77777777" w:rsidR="00FA4AA8" w:rsidRDefault="00FA4AA8">
            <w:pPr>
              <w:pStyle w:val="TableParagraph"/>
              <w:spacing w:before="11"/>
              <w:rPr>
                <w:b/>
                <w:sz w:val="17"/>
              </w:rPr>
            </w:pPr>
          </w:p>
          <w:p w14:paraId="2DC1B28E" w14:textId="77777777" w:rsidR="00FA4AA8" w:rsidRDefault="0015611F">
            <w:pPr>
              <w:pStyle w:val="TableParagraph"/>
              <w:ind w:right="222"/>
              <w:jc w:val="right"/>
              <w:rPr>
                <w:sz w:val="16"/>
              </w:rPr>
            </w:pPr>
            <w:r>
              <w:rPr>
                <w:sz w:val="16"/>
              </w:rPr>
              <w:t>(53,756)</w:t>
            </w:r>
          </w:p>
        </w:tc>
        <w:tc>
          <w:tcPr>
            <w:tcW w:w="957" w:type="dxa"/>
          </w:tcPr>
          <w:p w14:paraId="7AEBAB47" w14:textId="77777777" w:rsidR="00FA4AA8" w:rsidRDefault="00FA4AA8">
            <w:pPr>
              <w:pStyle w:val="TableParagraph"/>
              <w:spacing w:before="11"/>
              <w:rPr>
                <w:b/>
                <w:sz w:val="17"/>
              </w:rPr>
            </w:pPr>
          </w:p>
          <w:p w14:paraId="3E16BDC0" w14:textId="77777777" w:rsidR="00FA4AA8" w:rsidRDefault="0015611F">
            <w:pPr>
              <w:pStyle w:val="TableParagraph"/>
              <w:ind w:right="98"/>
              <w:jc w:val="right"/>
              <w:rPr>
                <w:b/>
                <w:sz w:val="16"/>
              </w:rPr>
            </w:pPr>
            <w:r>
              <w:rPr>
                <w:b/>
                <w:sz w:val="16"/>
              </w:rPr>
              <w:t>-</w:t>
            </w:r>
          </w:p>
        </w:tc>
        <w:tc>
          <w:tcPr>
            <w:tcW w:w="1183" w:type="dxa"/>
          </w:tcPr>
          <w:p w14:paraId="097A4B71" w14:textId="77777777" w:rsidR="00FA4AA8" w:rsidRDefault="00FA4AA8">
            <w:pPr>
              <w:pStyle w:val="TableParagraph"/>
              <w:spacing w:before="11"/>
              <w:rPr>
                <w:b/>
                <w:sz w:val="17"/>
              </w:rPr>
            </w:pPr>
          </w:p>
          <w:p w14:paraId="33ACD59D" w14:textId="77777777" w:rsidR="00FA4AA8" w:rsidRDefault="0015611F">
            <w:pPr>
              <w:pStyle w:val="TableParagraph"/>
              <w:ind w:right="148"/>
              <w:jc w:val="right"/>
              <w:rPr>
                <w:b/>
                <w:sz w:val="16"/>
              </w:rPr>
            </w:pPr>
            <w:r>
              <w:rPr>
                <w:b/>
                <w:sz w:val="16"/>
              </w:rPr>
              <w:t>-</w:t>
            </w:r>
          </w:p>
        </w:tc>
        <w:tc>
          <w:tcPr>
            <w:tcW w:w="1072" w:type="dxa"/>
          </w:tcPr>
          <w:p w14:paraId="088BBE48" w14:textId="77777777" w:rsidR="00FA4AA8" w:rsidRDefault="00FA4AA8">
            <w:pPr>
              <w:pStyle w:val="TableParagraph"/>
              <w:spacing w:before="11"/>
              <w:rPr>
                <w:b/>
                <w:sz w:val="17"/>
              </w:rPr>
            </w:pPr>
          </w:p>
          <w:p w14:paraId="740F8640" w14:textId="77777777" w:rsidR="00FA4AA8" w:rsidRDefault="0015611F">
            <w:pPr>
              <w:pStyle w:val="TableParagraph"/>
              <w:ind w:right="88"/>
              <w:jc w:val="right"/>
              <w:rPr>
                <w:b/>
                <w:sz w:val="16"/>
              </w:rPr>
            </w:pPr>
            <w:r>
              <w:rPr>
                <w:b/>
                <w:sz w:val="16"/>
              </w:rPr>
              <w:t>-</w:t>
            </w:r>
          </w:p>
        </w:tc>
        <w:tc>
          <w:tcPr>
            <w:tcW w:w="1197" w:type="dxa"/>
          </w:tcPr>
          <w:p w14:paraId="129E4B00" w14:textId="77777777" w:rsidR="00FA4AA8" w:rsidRDefault="00FA4AA8">
            <w:pPr>
              <w:pStyle w:val="TableParagraph"/>
              <w:spacing w:before="11"/>
              <w:rPr>
                <w:b/>
                <w:sz w:val="17"/>
              </w:rPr>
            </w:pPr>
          </w:p>
          <w:p w14:paraId="5DAFFB51" w14:textId="77777777" w:rsidR="00FA4AA8" w:rsidRDefault="0015611F">
            <w:pPr>
              <w:pStyle w:val="TableParagraph"/>
              <w:ind w:right="152"/>
              <w:jc w:val="right"/>
              <w:rPr>
                <w:b/>
                <w:sz w:val="16"/>
              </w:rPr>
            </w:pPr>
            <w:r>
              <w:rPr>
                <w:b/>
                <w:sz w:val="16"/>
              </w:rPr>
              <w:t>-</w:t>
            </w:r>
          </w:p>
        </w:tc>
        <w:tc>
          <w:tcPr>
            <w:tcW w:w="1082" w:type="dxa"/>
          </w:tcPr>
          <w:p w14:paraId="434934BB" w14:textId="77777777" w:rsidR="00FA4AA8" w:rsidRDefault="00FA4AA8">
            <w:pPr>
              <w:pStyle w:val="TableParagraph"/>
              <w:spacing w:before="11"/>
              <w:rPr>
                <w:b/>
                <w:sz w:val="17"/>
              </w:rPr>
            </w:pPr>
          </w:p>
          <w:p w14:paraId="6A78CFC2" w14:textId="77777777" w:rsidR="00FA4AA8" w:rsidRDefault="0015611F">
            <w:pPr>
              <w:pStyle w:val="TableParagraph"/>
              <w:ind w:right="101"/>
              <w:jc w:val="right"/>
              <w:rPr>
                <w:b/>
                <w:sz w:val="16"/>
              </w:rPr>
            </w:pPr>
            <w:r>
              <w:rPr>
                <w:b/>
                <w:sz w:val="16"/>
              </w:rPr>
              <w:t>-</w:t>
            </w:r>
          </w:p>
        </w:tc>
        <w:tc>
          <w:tcPr>
            <w:tcW w:w="1261" w:type="dxa"/>
          </w:tcPr>
          <w:p w14:paraId="37C73FE9" w14:textId="77777777" w:rsidR="00FA4AA8" w:rsidRDefault="00FA4AA8">
            <w:pPr>
              <w:pStyle w:val="TableParagraph"/>
              <w:spacing w:before="11"/>
              <w:rPr>
                <w:b/>
                <w:sz w:val="17"/>
              </w:rPr>
            </w:pPr>
          </w:p>
          <w:p w14:paraId="71EB9FD7" w14:textId="77777777" w:rsidR="00FA4AA8" w:rsidRDefault="0015611F">
            <w:pPr>
              <w:pStyle w:val="TableParagraph"/>
              <w:ind w:right="167"/>
              <w:jc w:val="right"/>
              <w:rPr>
                <w:b/>
                <w:sz w:val="16"/>
              </w:rPr>
            </w:pPr>
            <w:r>
              <w:rPr>
                <w:b/>
                <w:sz w:val="16"/>
              </w:rPr>
              <w:t>-</w:t>
            </w:r>
          </w:p>
        </w:tc>
        <w:tc>
          <w:tcPr>
            <w:tcW w:w="1178" w:type="dxa"/>
          </w:tcPr>
          <w:p w14:paraId="775FDEE8" w14:textId="77777777" w:rsidR="00FA4AA8" w:rsidRDefault="00FA4AA8">
            <w:pPr>
              <w:pStyle w:val="TableParagraph"/>
              <w:spacing w:before="11"/>
              <w:rPr>
                <w:b/>
                <w:sz w:val="17"/>
              </w:rPr>
            </w:pPr>
          </w:p>
          <w:p w14:paraId="33F76863" w14:textId="77777777" w:rsidR="00FA4AA8" w:rsidRDefault="0015611F">
            <w:pPr>
              <w:pStyle w:val="TableParagraph"/>
              <w:ind w:right="212"/>
              <w:jc w:val="right"/>
              <w:rPr>
                <w:b/>
                <w:sz w:val="16"/>
              </w:rPr>
            </w:pPr>
            <w:r>
              <w:rPr>
                <w:b/>
                <w:sz w:val="16"/>
              </w:rPr>
              <w:t>-</w:t>
            </w:r>
          </w:p>
        </w:tc>
        <w:tc>
          <w:tcPr>
            <w:tcW w:w="1178" w:type="dxa"/>
          </w:tcPr>
          <w:p w14:paraId="356C6C6A" w14:textId="77777777" w:rsidR="00FA4AA8" w:rsidRDefault="00FA4AA8">
            <w:pPr>
              <w:pStyle w:val="TableParagraph"/>
              <w:spacing w:before="11"/>
              <w:rPr>
                <w:b/>
                <w:sz w:val="17"/>
              </w:rPr>
            </w:pPr>
          </w:p>
          <w:p w14:paraId="1B87FF2B" w14:textId="77777777" w:rsidR="00FA4AA8" w:rsidRDefault="0015611F">
            <w:pPr>
              <w:pStyle w:val="TableParagraph"/>
              <w:ind w:right="257"/>
              <w:jc w:val="right"/>
              <w:rPr>
                <w:b/>
                <w:sz w:val="16"/>
              </w:rPr>
            </w:pPr>
            <w:r>
              <w:rPr>
                <w:b/>
                <w:sz w:val="16"/>
              </w:rPr>
              <w:t>-</w:t>
            </w:r>
          </w:p>
        </w:tc>
        <w:tc>
          <w:tcPr>
            <w:tcW w:w="991" w:type="dxa"/>
          </w:tcPr>
          <w:p w14:paraId="4B54D43C" w14:textId="77777777" w:rsidR="00FA4AA8" w:rsidRDefault="00FA4AA8">
            <w:pPr>
              <w:pStyle w:val="TableParagraph"/>
              <w:spacing w:before="11"/>
              <w:rPr>
                <w:b/>
                <w:sz w:val="17"/>
              </w:rPr>
            </w:pPr>
          </w:p>
          <w:p w14:paraId="105EE3CE" w14:textId="77777777" w:rsidR="00FA4AA8" w:rsidRDefault="0015611F">
            <w:pPr>
              <w:pStyle w:val="TableParagraph"/>
              <w:ind w:right="29"/>
              <w:jc w:val="right"/>
              <w:rPr>
                <w:sz w:val="16"/>
              </w:rPr>
            </w:pPr>
            <w:r>
              <w:rPr>
                <w:sz w:val="16"/>
              </w:rPr>
              <w:t>(53,756)</w:t>
            </w:r>
          </w:p>
        </w:tc>
      </w:tr>
      <w:tr w:rsidR="00FA4AA8" w14:paraId="701BDCF5" w14:textId="77777777">
        <w:trPr>
          <w:trHeight w:val="236"/>
        </w:trPr>
        <w:tc>
          <w:tcPr>
            <w:tcW w:w="3031" w:type="dxa"/>
          </w:tcPr>
          <w:p w14:paraId="3A0E6CF0" w14:textId="77777777" w:rsidR="00FA4AA8" w:rsidRDefault="0015611F">
            <w:pPr>
              <w:pStyle w:val="TableParagraph"/>
              <w:spacing w:before="28"/>
              <w:ind w:left="50"/>
              <w:rPr>
                <w:sz w:val="16"/>
              </w:rPr>
            </w:pPr>
            <w:r>
              <w:rPr>
                <w:sz w:val="16"/>
              </w:rPr>
              <w:t>Transfers from Construction in Progress</w:t>
            </w:r>
          </w:p>
        </w:tc>
        <w:tc>
          <w:tcPr>
            <w:tcW w:w="1333" w:type="dxa"/>
            <w:tcBorders>
              <w:bottom w:val="single" w:sz="8" w:space="0" w:color="000000"/>
            </w:tcBorders>
          </w:tcPr>
          <w:p w14:paraId="567603E2" w14:textId="77777777" w:rsidR="00FA4AA8" w:rsidRDefault="0015611F">
            <w:pPr>
              <w:pStyle w:val="TableParagraph"/>
              <w:spacing w:before="25"/>
              <w:ind w:right="274"/>
              <w:jc w:val="right"/>
              <w:rPr>
                <w:b/>
                <w:sz w:val="16"/>
              </w:rPr>
            </w:pPr>
            <w:r>
              <w:rPr>
                <w:b/>
                <w:sz w:val="16"/>
              </w:rPr>
              <w:t>-</w:t>
            </w:r>
          </w:p>
        </w:tc>
        <w:tc>
          <w:tcPr>
            <w:tcW w:w="957" w:type="dxa"/>
            <w:tcBorders>
              <w:bottom w:val="single" w:sz="8" w:space="0" w:color="000000"/>
            </w:tcBorders>
          </w:tcPr>
          <w:p w14:paraId="087FE6FF" w14:textId="77777777" w:rsidR="00FA4AA8" w:rsidRDefault="0015611F">
            <w:pPr>
              <w:pStyle w:val="TableParagraph"/>
              <w:spacing w:before="25"/>
              <w:ind w:right="98"/>
              <w:jc w:val="right"/>
              <w:rPr>
                <w:b/>
                <w:sz w:val="16"/>
              </w:rPr>
            </w:pPr>
            <w:r>
              <w:rPr>
                <w:b/>
                <w:sz w:val="16"/>
              </w:rPr>
              <w:t>-</w:t>
            </w:r>
          </w:p>
        </w:tc>
        <w:tc>
          <w:tcPr>
            <w:tcW w:w="1183" w:type="dxa"/>
            <w:tcBorders>
              <w:bottom w:val="single" w:sz="8" w:space="0" w:color="000000"/>
            </w:tcBorders>
          </w:tcPr>
          <w:p w14:paraId="2DCD7BB6" w14:textId="77777777" w:rsidR="00FA4AA8" w:rsidRDefault="0015611F">
            <w:pPr>
              <w:pStyle w:val="TableParagraph"/>
              <w:spacing w:before="25"/>
              <w:ind w:right="148"/>
              <w:jc w:val="right"/>
              <w:rPr>
                <w:b/>
                <w:sz w:val="16"/>
              </w:rPr>
            </w:pPr>
            <w:r>
              <w:rPr>
                <w:b/>
                <w:sz w:val="16"/>
              </w:rPr>
              <w:t>-</w:t>
            </w:r>
          </w:p>
        </w:tc>
        <w:tc>
          <w:tcPr>
            <w:tcW w:w="1072" w:type="dxa"/>
            <w:tcBorders>
              <w:bottom w:val="single" w:sz="8" w:space="0" w:color="000000"/>
            </w:tcBorders>
          </w:tcPr>
          <w:p w14:paraId="3F0FBC00" w14:textId="77777777" w:rsidR="00FA4AA8" w:rsidRDefault="0015611F">
            <w:pPr>
              <w:pStyle w:val="TableParagraph"/>
              <w:spacing w:before="25"/>
              <w:ind w:right="88"/>
              <w:jc w:val="right"/>
              <w:rPr>
                <w:sz w:val="16"/>
              </w:rPr>
            </w:pPr>
            <w:r>
              <w:rPr>
                <w:sz w:val="16"/>
              </w:rPr>
              <w:t>49,439</w:t>
            </w:r>
          </w:p>
        </w:tc>
        <w:tc>
          <w:tcPr>
            <w:tcW w:w="1197" w:type="dxa"/>
            <w:tcBorders>
              <w:bottom w:val="single" w:sz="8" w:space="0" w:color="000000"/>
            </w:tcBorders>
          </w:tcPr>
          <w:p w14:paraId="59AC1F65" w14:textId="77777777" w:rsidR="00FA4AA8" w:rsidRDefault="0015611F">
            <w:pPr>
              <w:pStyle w:val="TableParagraph"/>
              <w:spacing w:before="25"/>
              <w:ind w:right="152"/>
              <w:jc w:val="right"/>
              <w:rPr>
                <w:sz w:val="16"/>
              </w:rPr>
            </w:pPr>
            <w:r>
              <w:rPr>
                <w:sz w:val="16"/>
              </w:rPr>
              <w:t>3,915</w:t>
            </w:r>
          </w:p>
        </w:tc>
        <w:tc>
          <w:tcPr>
            <w:tcW w:w="1082" w:type="dxa"/>
            <w:tcBorders>
              <w:bottom w:val="single" w:sz="8" w:space="0" w:color="000000"/>
            </w:tcBorders>
          </w:tcPr>
          <w:p w14:paraId="3B3D45E6" w14:textId="77777777" w:rsidR="00FA4AA8" w:rsidRDefault="0015611F">
            <w:pPr>
              <w:pStyle w:val="TableParagraph"/>
              <w:spacing w:before="25"/>
              <w:ind w:right="102"/>
              <w:jc w:val="right"/>
              <w:rPr>
                <w:sz w:val="16"/>
              </w:rPr>
            </w:pPr>
            <w:r>
              <w:rPr>
                <w:sz w:val="16"/>
              </w:rPr>
              <w:t>215</w:t>
            </w:r>
          </w:p>
        </w:tc>
        <w:tc>
          <w:tcPr>
            <w:tcW w:w="1261" w:type="dxa"/>
            <w:tcBorders>
              <w:bottom w:val="single" w:sz="8" w:space="0" w:color="000000"/>
            </w:tcBorders>
          </w:tcPr>
          <w:p w14:paraId="38AF6B16" w14:textId="77777777" w:rsidR="00FA4AA8" w:rsidRDefault="0015611F">
            <w:pPr>
              <w:pStyle w:val="TableParagraph"/>
              <w:spacing w:before="25"/>
              <w:ind w:right="168"/>
              <w:jc w:val="right"/>
              <w:rPr>
                <w:sz w:val="16"/>
              </w:rPr>
            </w:pPr>
            <w:r>
              <w:rPr>
                <w:sz w:val="16"/>
              </w:rPr>
              <w:t>187</w:t>
            </w:r>
          </w:p>
        </w:tc>
        <w:tc>
          <w:tcPr>
            <w:tcW w:w="1178" w:type="dxa"/>
            <w:tcBorders>
              <w:bottom w:val="single" w:sz="8" w:space="0" w:color="000000"/>
            </w:tcBorders>
          </w:tcPr>
          <w:p w14:paraId="3CABFF5D" w14:textId="77777777" w:rsidR="00FA4AA8" w:rsidRDefault="0015611F">
            <w:pPr>
              <w:pStyle w:val="TableParagraph"/>
              <w:spacing w:before="25"/>
              <w:ind w:right="212"/>
              <w:jc w:val="right"/>
              <w:rPr>
                <w:b/>
                <w:sz w:val="16"/>
              </w:rPr>
            </w:pPr>
            <w:r>
              <w:rPr>
                <w:b/>
                <w:sz w:val="16"/>
              </w:rPr>
              <w:t>-</w:t>
            </w:r>
          </w:p>
        </w:tc>
        <w:tc>
          <w:tcPr>
            <w:tcW w:w="1178" w:type="dxa"/>
            <w:tcBorders>
              <w:bottom w:val="single" w:sz="8" w:space="0" w:color="000000"/>
            </w:tcBorders>
          </w:tcPr>
          <w:p w14:paraId="2D705A7E" w14:textId="77777777" w:rsidR="00FA4AA8" w:rsidRDefault="0015611F">
            <w:pPr>
              <w:pStyle w:val="TableParagraph"/>
              <w:spacing w:before="25"/>
              <w:ind w:right="257"/>
              <w:jc w:val="right"/>
              <w:rPr>
                <w:b/>
                <w:sz w:val="16"/>
              </w:rPr>
            </w:pPr>
            <w:r>
              <w:rPr>
                <w:b/>
                <w:sz w:val="16"/>
              </w:rPr>
              <w:t>-</w:t>
            </w:r>
          </w:p>
        </w:tc>
        <w:tc>
          <w:tcPr>
            <w:tcW w:w="991" w:type="dxa"/>
            <w:tcBorders>
              <w:bottom w:val="single" w:sz="8" w:space="0" w:color="000000"/>
            </w:tcBorders>
          </w:tcPr>
          <w:p w14:paraId="4A4C6718" w14:textId="77777777" w:rsidR="00FA4AA8" w:rsidRDefault="0015611F">
            <w:pPr>
              <w:pStyle w:val="TableParagraph"/>
              <w:spacing w:before="25"/>
              <w:ind w:right="82"/>
              <w:jc w:val="right"/>
              <w:rPr>
                <w:sz w:val="16"/>
              </w:rPr>
            </w:pPr>
            <w:r>
              <w:rPr>
                <w:sz w:val="16"/>
              </w:rPr>
              <w:t>53,756</w:t>
            </w:r>
          </w:p>
        </w:tc>
      </w:tr>
      <w:tr w:rsidR="00FA4AA8" w14:paraId="323065BB" w14:textId="77777777">
        <w:trPr>
          <w:trHeight w:val="298"/>
        </w:trPr>
        <w:tc>
          <w:tcPr>
            <w:tcW w:w="3031" w:type="dxa"/>
          </w:tcPr>
          <w:p w14:paraId="77F889A7" w14:textId="77777777" w:rsidR="00FA4AA8" w:rsidRDefault="0015611F">
            <w:pPr>
              <w:pStyle w:val="TableParagraph"/>
              <w:spacing w:before="114" w:line="164" w:lineRule="exact"/>
              <w:ind w:left="50"/>
              <w:rPr>
                <w:b/>
                <w:sz w:val="16"/>
              </w:rPr>
            </w:pPr>
            <w:r>
              <w:rPr>
                <w:b/>
                <w:sz w:val="16"/>
              </w:rPr>
              <w:t>Closing net book amount</w:t>
            </w:r>
          </w:p>
        </w:tc>
        <w:tc>
          <w:tcPr>
            <w:tcW w:w="1333" w:type="dxa"/>
            <w:tcBorders>
              <w:top w:val="single" w:sz="8" w:space="0" w:color="000000"/>
              <w:bottom w:val="double" w:sz="2" w:space="0" w:color="000000"/>
            </w:tcBorders>
          </w:tcPr>
          <w:p w14:paraId="14C5C62E" w14:textId="77777777" w:rsidR="00FA4AA8" w:rsidRDefault="0015611F">
            <w:pPr>
              <w:pStyle w:val="TableParagraph"/>
              <w:spacing w:before="114" w:line="164" w:lineRule="exact"/>
              <w:ind w:left="566"/>
              <w:rPr>
                <w:b/>
                <w:sz w:val="16"/>
              </w:rPr>
            </w:pPr>
            <w:r>
              <w:rPr>
                <w:b/>
                <w:sz w:val="16"/>
              </w:rPr>
              <w:t>68,254</w:t>
            </w:r>
          </w:p>
        </w:tc>
        <w:tc>
          <w:tcPr>
            <w:tcW w:w="957" w:type="dxa"/>
            <w:tcBorders>
              <w:top w:val="single" w:sz="8" w:space="0" w:color="000000"/>
              <w:bottom w:val="double" w:sz="2" w:space="0" w:color="000000"/>
            </w:tcBorders>
          </w:tcPr>
          <w:p w14:paraId="02508597" w14:textId="77777777" w:rsidR="00FA4AA8" w:rsidRDefault="0015611F">
            <w:pPr>
              <w:pStyle w:val="TableParagraph"/>
              <w:spacing w:before="114" w:line="164" w:lineRule="exact"/>
              <w:ind w:right="99"/>
              <w:jc w:val="right"/>
              <w:rPr>
                <w:b/>
                <w:sz w:val="16"/>
              </w:rPr>
            </w:pPr>
            <w:r>
              <w:rPr>
                <w:b/>
                <w:sz w:val="16"/>
              </w:rPr>
              <w:t>360,010</w:t>
            </w:r>
          </w:p>
        </w:tc>
        <w:tc>
          <w:tcPr>
            <w:tcW w:w="1183" w:type="dxa"/>
            <w:tcBorders>
              <w:top w:val="single" w:sz="8" w:space="0" w:color="000000"/>
              <w:bottom w:val="double" w:sz="2" w:space="0" w:color="000000"/>
            </w:tcBorders>
          </w:tcPr>
          <w:p w14:paraId="6621B224" w14:textId="77777777" w:rsidR="00FA4AA8" w:rsidRDefault="0015611F">
            <w:pPr>
              <w:pStyle w:val="TableParagraph"/>
              <w:spacing w:before="114" w:line="164" w:lineRule="exact"/>
              <w:ind w:right="149"/>
              <w:jc w:val="right"/>
              <w:rPr>
                <w:b/>
                <w:sz w:val="16"/>
              </w:rPr>
            </w:pPr>
            <w:r>
              <w:rPr>
                <w:b/>
                <w:sz w:val="16"/>
              </w:rPr>
              <w:t>233,990</w:t>
            </w:r>
          </w:p>
        </w:tc>
        <w:tc>
          <w:tcPr>
            <w:tcW w:w="1072" w:type="dxa"/>
            <w:tcBorders>
              <w:top w:val="single" w:sz="8" w:space="0" w:color="000000"/>
              <w:bottom w:val="double" w:sz="2" w:space="0" w:color="000000"/>
            </w:tcBorders>
          </w:tcPr>
          <w:p w14:paraId="35BC0970" w14:textId="77777777" w:rsidR="00FA4AA8" w:rsidRDefault="0015611F">
            <w:pPr>
              <w:pStyle w:val="TableParagraph"/>
              <w:spacing w:before="114" w:line="164" w:lineRule="exact"/>
              <w:ind w:left="268"/>
              <w:rPr>
                <w:b/>
                <w:sz w:val="16"/>
              </w:rPr>
            </w:pPr>
            <w:r>
              <w:rPr>
                <w:b/>
                <w:sz w:val="16"/>
              </w:rPr>
              <w:t>1,127,751</w:t>
            </w:r>
          </w:p>
        </w:tc>
        <w:tc>
          <w:tcPr>
            <w:tcW w:w="1197" w:type="dxa"/>
            <w:tcBorders>
              <w:top w:val="single" w:sz="8" w:space="0" w:color="000000"/>
              <w:bottom w:val="double" w:sz="2" w:space="0" w:color="000000"/>
            </w:tcBorders>
          </w:tcPr>
          <w:p w14:paraId="09C2EFEC" w14:textId="77777777" w:rsidR="00FA4AA8" w:rsidRDefault="0015611F">
            <w:pPr>
              <w:pStyle w:val="TableParagraph"/>
              <w:spacing w:before="114" w:line="164" w:lineRule="exact"/>
              <w:ind w:right="152"/>
              <w:jc w:val="right"/>
              <w:rPr>
                <w:b/>
                <w:sz w:val="16"/>
              </w:rPr>
            </w:pPr>
            <w:r>
              <w:rPr>
                <w:b/>
                <w:sz w:val="16"/>
              </w:rPr>
              <w:t>116,497</w:t>
            </w:r>
          </w:p>
        </w:tc>
        <w:tc>
          <w:tcPr>
            <w:tcW w:w="1082" w:type="dxa"/>
            <w:tcBorders>
              <w:top w:val="single" w:sz="8" w:space="0" w:color="000000"/>
              <w:bottom w:val="double" w:sz="2" w:space="0" w:color="000000"/>
            </w:tcBorders>
          </w:tcPr>
          <w:p w14:paraId="167AE93C" w14:textId="77777777" w:rsidR="00FA4AA8" w:rsidRDefault="0015611F">
            <w:pPr>
              <w:pStyle w:val="TableParagraph"/>
              <w:spacing w:before="114" w:line="164" w:lineRule="exact"/>
              <w:ind w:right="101"/>
              <w:jc w:val="right"/>
              <w:rPr>
                <w:b/>
                <w:sz w:val="16"/>
              </w:rPr>
            </w:pPr>
            <w:r>
              <w:rPr>
                <w:b/>
                <w:sz w:val="16"/>
              </w:rPr>
              <w:t>57,959</w:t>
            </w:r>
          </w:p>
        </w:tc>
        <w:tc>
          <w:tcPr>
            <w:tcW w:w="1261" w:type="dxa"/>
            <w:tcBorders>
              <w:top w:val="single" w:sz="8" w:space="0" w:color="000000"/>
              <w:bottom w:val="double" w:sz="2" w:space="0" w:color="000000"/>
            </w:tcBorders>
          </w:tcPr>
          <w:p w14:paraId="045254A1" w14:textId="77777777" w:rsidR="00FA4AA8" w:rsidRDefault="0015611F">
            <w:pPr>
              <w:pStyle w:val="TableParagraph"/>
              <w:spacing w:before="114" w:line="164" w:lineRule="exact"/>
              <w:ind w:right="167"/>
              <w:jc w:val="right"/>
              <w:rPr>
                <w:b/>
                <w:sz w:val="16"/>
              </w:rPr>
            </w:pPr>
            <w:r>
              <w:rPr>
                <w:b/>
                <w:sz w:val="16"/>
              </w:rPr>
              <w:t>51,533</w:t>
            </w:r>
          </w:p>
        </w:tc>
        <w:tc>
          <w:tcPr>
            <w:tcW w:w="1178" w:type="dxa"/>
            <w:tcBorders>
              <w:top w:val="single" w:sz="8" w:space="0" w:color="000000"/>
              <w:bottom w:val="double" w:sz="2" w:space="0" w:color="000000"/>
            </w:tcBorders>
          </w:tcPr>
          <w:p w14:paraId="65854FF2" w14:textId="77777777" w:rsidR="00FA4AA8" w:rsidRDefault="0015611F">
            <w:pPr>
              <w:pStyle w:val="TableParagraph"/>
              <w:spacing w:before="114" w:line="164" w:lineRule="exact"/>
              <w:ind w:right="212"/>
              <w:jc w:val="right"/>
              <w:rPr>
                <w:b/>
                <w:sz w:val="16"/>
              </w:rPr>
            </w:pPr>
            <w:r>
              <w:rPr>
                <w:b/>
                <w:sz w:val="16"/>
              </w:rPr>
              <w:t>7,420</w:t>
            </w:r>
          </w:p>
        </w:tc>
        <w:tc>
          <w:tcPr>
            <w:tcW w:w="1178" w:type="dxa"/>
            <w:tcBorders>
              <w:top w:val="single" w:sz="8" w:space="0" w:color="000000"/>
              <w:bottom w:val="double" w:sz="2" w:space="0" w:color="000000"/>
            </w:tcBorders>
          </w:tcPr>
          <w:p w14:paraId="4658DE3D" w14:textId="77777777" w:rsidR="00FA4AA8" w:rsidRDefault="0015611F">
            <w:pPr>
              <w:pStyle w:val="TableParagraph"/>
              <w:spacing w:before="114" w:line="164" w:lineRule="exact"/>
              <w:ind w:right="258"/>
              <w:jc w:val="right"/>
              <w:rPr>
                <w:b/>
                <w:sz w:val="16"/>
              </w:rPr>
            </w:pPr>
            <w:r>
              <w:rPr>
                <w:b/>
                <w:sz w:val="16"/>
              </w:rPr>
              <w:t>4,629</w:t>
            </w:r>
          </w:p>
        </w:tc>
        <w:tc>
          <w:tcPr>
            <w:tcW w:w="991" w:type="dxa"/>
            <w:tcBorders>
              <w:top w:val="single" w:sz="8" w:space="0" w:color="000000"/>
              <w:bottom w:val="double" w:sz="2" w:space="0" w:color="000000"/>
            </w:tcBorders>
          </w:tcPr>
          <w:p w14:paraId="5A52B681" w14:textId="77777777" w:rsidR="00FA4AA8" w:rsidRDefault="0015611F">
            <w:pPr>
              <w:pStyle w:val="TableParagraph"/>
              <w:spacing w:before="114" w:line="164" w:lineRule="exact"/>
              <w:ind w:right="82"/>
              <w:jc w:val="right"/>
              <w:rPr>
                <w:b/>
                <w:sz w:val="16"/>
              </w:rPr>
            </w:pPr>
            <w:r>
              <w:rPr>
                <w:b/>
                <w:sz w:val="16"/>
              </w:rPr>
              <w:t>2,028,043</w:t>
            </w:r>
          </w:p>
        </w:tc>
      </w:tr>
      <w:tr w:rsidR="00FA4AA8" w14:paraId="76BF3239" w14:textId="77777777">
        <w:trPr>
          <w:trHeight w:val="317"/>
        </w:trPr>
        <w:tc>
          <w:tcPr>
            <w:tcW w:w="3031" w:type="dxa"/>
          </w:tcPr>
          <w:p w14:paraId="05BB7BDF" w14:textId="77777777" w:rsidR="00FA4AA8" w:rsidRDefault="0015611F">
            <w:pPr>
              <w:pStyle w:val="TableParagraph"/>
              <w:spacing w:before="116" w:line="181" w:lineRule="exact"/>
              <w:ind w:left="50"/>
              <w:rPr>
                <w:b/>
                <w:sz w:val="16"/>
              </w:rPr>
            </w:pPr>
            <w:r>
              <w:rPr>
                <w:b/>
                <w:sz w:val="16"/>
              </w:rPr>
              <w:t>At 31 December 2018</w:t>
            </w:r>
          </w:p>
        </w:tc>
        <w:tc>
          <w:tcPr>
            <w:tcW w:w="1333" w:type="dxa"/>
            <w:tcBorders>
              <w:top w:val="double" w:sz="2" w:space="0" w:color="000000"/>
            </w:tcBorders>
          </w:tcPr>
          <w:p w14:paraId="048BD1B0" w14:textId="77777777" w:rsidR="00FA4AA8" w:rsidRDefault="00FA4AA8">
            <w:pPr>
              <w:pStyle w:val="TableParagraph"/>
              <w:rPr>
                <w:rFonts w:ascii="Times New Roman"/>
                <w:sz w:val="16"/>
              </w:rPr>
            </w:pPr>
          </w:p>
        </w:tc>
        <w:tc>
          <w:tcPr>
            <w:tcW w:w="957" w:type="dxa"/>
            <w:tcBorders>
              <w:top w:val="double" w:sz="2" w:space="0" w:color="000000"/>
            </w:tcBorders>
          </w:tcPr>
          <w:p w14:paraId="02F7FED8" w14:textId="77777777" w:rsidR="00FA4AA8" w:rsidRDefault="00FA4AA8">
            <w:pPr>
              <w:pStyle w:val="TableParagraph"/>
              <w:rPr>
                <w:rFonts w:ascii="Times New Roman"/>
                <w:sz w:val="16"/>
              </w:rPr>
            </w:pPr>
          </w:p>
        </w:tc>
        <w:tc>
          <w:tcPr>
            <w:tcW w:w="1183" w:type="dxa"/>
            <w:tcBorders>
              <w:top w:val="double" w:sz="2" w:space="0" w:color="000000"/>
            </w:tcBorders>
          </w:tcPr>
          <w:p w14:paraId="7EF856E4" w14:textId="77777777" w:rsidR="00FA4AA8" w:rsidRDefault="00FA4AA8">
            <w:pPr>
              <w:pStyle w:val="TableParagraph"/>
              <w:rPr>
                <w:rFonts w:ascii="Times New Roman"/>
                <w:sz w:val="16"/>
              </w:rPr>
            </w:pPr>
          </w:p>
        </w:tc>
        <w:tc>
          <w:tcPr>
            <w:tcW w:w="1072" w:type="dxa"/>
            <w:tcBorders>
              <w:top w:val="double" w:sz="2" w:space="0" w:color="000000"/>
            </w:tcBorders>
          </w:tcPr>
          <w:p w14:paraId="182A7267" w14:textId="77777777" w:rsidR="00FA4AA8" w:rsidRDefault="00FA4AA8">
            <w:pPr>
              <w:pStyle w:val="TableParagraph"/>
              <w:rPr>
                <w:rFonts w:ascii="Times New Roman"/>
                <w:sz w:val="16"/>
              </w:rPr>
            </w:pPr>
          </w:p>
        </w:tc>
        <w:tc>
          <w:tcPr>
            <w:tcW w:w="1197" w:type="dxa"/>
            <w:tcBorders>
              <w:top w:val="double" w:sz="2" w:space="0" w:color="000000"/>
            </w:tcBorders>
          </w:tcPr>
          <w:p w14:paraId="2F73907E" w14:textId="77777777" w:rsidR="00FA4AA8" w:rsidRDefault="00FA4AA8">
            <w:pPr>
              <w:pStyle w:val="TableParagraph"/>
              <w:rPr>
                <w:rFonts w:ascii="Times New Roman"/>
                <w:sz w:val="16"/>
              </w:rPr>
            </w:pPr>
          </w:p>
        </w:tc>
        <w:tc>
          <w:tcPr>
            <w:tcW w:w="1082" w:type="dxa"/>
            <w:tcBorders>
              <w:top w:val="double" w:sz="2" w:space="0" w:color="000000"/>
            </w:tcBorders>
          </w:tcPr>
          <w:p w14:paraId="7F7AF8A7" w14:textId="77777777" w:rsidR="00FA4AA8" w:rsidRDefault="00FA4AA8">
            <w:pPr>
              <w:pStyle w:val="TableParagraph"/>
              <w:rPr>
                <w:rFonts w:ascii="Times New Roman"/>
                <w:sz w:val="16"/>
              </w:rPr>
            </w:pPr>
          </w:p>
        </w:tc>
        <w:tc>
          <w:tcPr>
            <w:tcW w:w="1261" w:type="dxa"/>
            <w:tcBorders>
              <w:top w:val="double" w:sz="2" w:space="0" w:color="000000"/>
            </w:tcBorders>
          </w:tcPr>
          <w:p w14:paraId="2BA2186E" w14:textId="77777777" w:rsidR="00FA4AA8" w:rsidRDefault="00FA4AA8">
            <w:pPr>
              <w:pStyle w:val="TableParagraph"/>
              <w:rPr>
                <w:rFonts w:ascii="Times New Roman"/>
                <w:sz w:val="16"/>
              </w:rPr>
            </w:pPr>
          </w:p>
        </w:tc>
        <w:tc>
          <w:tcPr>
            <w:tcW w:w="1178" w:type="dxa"/>
            <w:tcBorders>
              <w:top w:val="double" w:sz="2" w:space="0" w:color="000000"/>
            </w:tcBorders>
          </w:tcPr>
          <w:p w14:paraId="048FEDE2" w14:textId="77777777" w:rsidR="00FA4AA8" w:rsidRDefault="00FA4AA8">
            <w:pPr>
              <w:pStyle w:val="TableParagraph"/>
              <w:rPr>
                <w:rFonts w:ascii="Times New Roman"/>
                <w:sz w:val="16"/>
              </w:rPr>
            </w:pPr>
          </w:p>
        </w:tc>
        <w:tc>
          <w:tcPr>
            <w:tcW w:w="1178" w:type="dxa"/>
            <w:tcBorders>
              <w:top w:val="double" w:sz="2" w:space="0" w:color="000000"/>
            </w:tcBorders>
          </w:tcPr>
          <w:p w14:paraId="20A5BA3D" w14:textId="77777777" w:rsidR="00FA4AA8" w:rsidRDefault="00FA4AA8">
            <w:pPr>
              <w:pStyle w:val="TableParagraph"/>
              <w:rPr>
                <w:rFonts w:ascii="Times New Roman"/>
                <w:sz w:val="16"/>
              </w:rPr>
            </w:pPr>
          </w:p>
        </w:tc>
        <w:tc>
          <w:tcPr>
            <w:tcW w:w="991" w:type="dxa"/>
            <w:tcBorders>
              <w:top w:val="double" w:sz="2" w:space="0" w:color="000000"/>
            </w:tcBorders>
          </w:tcPr>
          <w:p w14:paraId="10E68669" w14:textId="77777777" w:rsidR="00FA4AA8" w:rsidRDefault="00FA4AA8">
            <w:pPr>
              <w:pStyle w:val="TableParagraph"/>
              <w:rPr>
                <w:rFonts w:ascii="Times New Roman"/>
                <w:sz w:val="16"/>
              </w:rPr>
            </w:pPr>
          </w:p>
        </w:tc>
      </w:tr>
      <w:tr w:rsidR="00FA4AA8" w14:paraId="5A5329A0" w14:textId="77777777">
        <w:trPr>
          <w:trHeight w:val="229"/>
        </w:trPr>
        <w:tc>
          <w:tcPr>
            <w:tcW w:w="3031" w:type="dxa"/>
          </w:tcPr>
          <w:p w14:paraId="1FF6AADF" w14:textId="77777777" w:rsidR="00FA4AA8" w:rsidRDefault="0015611F">
            <w:pPr>
              <w:pStyle w:val="TableParagraph"/>
              <w:spacing w:before="15"/>
              <w:ind w:left="50"/>
              <w:rPr>
                <w:sz w:val="16"/>
              </w:rPr>
            </w:pPr>
            <w:r>
              <w:rPr>
                <w:sz w:val="16"/>
              </w:rPr>
              <w:t>- Cost</w:t>
            </w:r>
          </w:p>
        </w:tc>
        <w:tc>
          <w:tcPr>
            <w:tcW w:w="1333" w:type="dxa"/>
          </w:tcPr>
          <w:p w14:paraId="5505F1B8" w14:textId="77777777" w:rsidR="00FA4AA8" w:rsidRDefault="0015611F">
            <w:pPr>
              <w:pStyle w:val="TableParagraph"/>
              <w:spacing w:before="12"/>
              <w:ind w:left="566"/>
              <w:rPr>
                <w:sz w:val="16"/>
              </w:rPr>
            </w:pPr>
            <w:r>
              <w:rPr>
                <w:sz w:val="16"/>
              </w:rPr>
              <w:t>68,254</w:t>
            </w:r>
          </w:p>
        </w:tc>
        <w:tc>
          <w:tcPr>
            <w:tcW w:w="957" w:type="dxa"/>
          </w:tcPr>
          <w:p w14:paraId="60170F56" w14:textId="77777777" w:rsidR="00FA4AA8" w:rsidRDefault="0015611F">
            <w:pPr>
              <w:pStyle w:val="TableParagraph"/>
              <w:spacing w:before="12"/>
              <w:ind w:right="98"/>
              <w:jc w:val="right"/>
              <w:rPr>
                <w:b/>
                <w:sz w:val="16"/>
              </w:rPr>
            </w:pPr>
            <w:r>
              <w:rPr>
                <w:b/>
                <w:sz w:val="16"/>
              </w:rPr>
              <w:t>-</w:t>
            </w:r>
          </w:p>
        </w:tc>
        <w:tc>
          <w:tcPr>
            <w:tcW w:w="1183" w:type="dxa"/>
          </w:tcPr>
          <w:p w14:paraId="6FB43ADE" w14:textId="77777777" w:rsidR="00FA4AA8" w:rsidRDefault="0015611F">
            <w:pPr>
              <w:pStyle w:val="TableParagraph"/>
              <w:spacing w:before="12"/>
              <w:ind w:right="148"/>
              <w:jc w:val="right"/>
              <w:rPr>
                <w:b/>
                <w:sz w:val="16"/>
              </w:rPr>
            </w:pPr>
            <w:r>
              <w:rPr>
                <w:b/>
                <w:sz w:val="16"/>
              </w:rPr>
              <w:t>-</w:t>
            </w:r>
          </w:p>
        </w:tc>
        <w:tc>
          <w:tcPr>
            <w:tcW w:w="1072" w:type="dxa"/>
          </w:tcPr>
          <w:p w14:paraId="704354AD" w14:textId="77777777" w:rsidR="00FA4AA8" w:rsidRDefault="0015611F">
            <w:pPr>
              <w:pStyle w:val="TableParagraph"/>
              <w:spacing w:before="12"/>
              <w:ind w:right="88"/>
              <w:jc w:val="right"/>
              <w:rPr>
                <w:sz w:val="16"/>
              </w:rPr>
            </w:pPr>
            <w:r>
              <w:rPr>
                <w:sz w:val="16"/>
              </w:rPr>
              <w:t>9,996</w:t>
            </w:r>
          </w:p>
        </w:tc>
        <w:tc>
          <w:tcPr>
            <w:tcW w:w="1197" w:type="dxa"/>
          </w:tcPr>
          <w:p w14:paraId="62145EC4" w14:textId="77777777" w:rsidR="00FA4AA8" w:rsidRDefault="0015611F">
            <w:pPr>
              <w:pStyle w:val="TableParagraph"/>
              <w:spacing w:before="12"/>
              <w:ind w:right="152"/>
              <w:jc w:val="right"/>
              <w:rPr>
                <w:b/>
                <w:sz w:val="16"/>
              </w:rPr>
            </w:pPr>
            <w:r>
              <w:rPr>
                <w:b/>
                <w:sz w:val="16"/>
              </w:rPr>
              <w:t>-</w:t>
            </w:r>
          </w:p>
        </w:tc>
        <w:tc>
          <w:tcPr>
            <w:tcW w:w="1082" w:type="dxa"/>
          </w:tcPr>
          <w:p w14:paraId="42847106" w14:textId="77777777" w:rsidR="00FA4AA8" w:rsidRDefault="0015611F">
            <w:pPr>
              <w:pStyle w:val="TableParagraph"/>
              <w:spacing w:before="12"/>
              <w:ind w:right="102"/>
              <w:jc w:val="right"/>
              <w:rPr>
                <w:sz w:val="16"/>
              </w:rPr>
            </w:pPr>
            <w:r>
              <w:rPr>
                <w:sz w:val="16"/>
              </w:rPr>
              <w:t>144,158</w:t>
            </w:r>
          </w:p>
        </w:tc>
        <w:tc>
          <w:tcPr>
            <w:tcW w:w="1261" w:type="dxa"/>
          </w:tcPr>
          <w:p w14:paraId="6DF0DBA1" w14:textId="77777777" w:rsidR="00FA4AA8" w:rsidRDefault="0015611F">
            <w:pPr>
              <w:pStyle w:val="TableParagraph"/>
              <w:spacing w:before="12"/>
              <w:ind w:right="167"/>
              <w:jc w:val="right"/>
              <w:rPr>
                <w:sz w:val="16"/>
              </w:rPr>
            </w:pPr>
            <w:r>
              <w:rPr>
                <w:sz w:val="16"/>
              </w:rPr>
              <w:t>72,273</w:t>
            </w:r>
          </w:p>
        </w:tc>
        <w:tc>
          <w:tcPr>
            <w:tcW w:w="1178" w:type="dxa"/>
          </w:tcPr>
          <w:p w14:paraId="4C269145" w14:textId="77777777" w:rsidR="00FA4AA8" w:rsidRDefault="0015611F">
            <w:pPr>
              <w:pStyle w:val="TableParagraph"/>
              <w:spacing w:before="12"/>
              <w:ind w:left="473"/>
              <w:rPr>
                <w:sz w:val="16"/>
              </w:rPr>
            </w:pPr>
            <w:r>
              <w:rPr>
                <w:sz w:val="16"/>
              </w:rPr>
              <w:t>78,739</w:t>
            </w:r>
          </w:p>
        </w:tc>
        <w:tc>
          <w:tcPr>
            <w:tcW w:w="1178" w:type="dxa"/>
          </w:tcPr>
          <w:p w14:paraId="7E9FDF8D" w14:textId="77777777" w:rsidR="00FA4AA8" w:rsidRDefault="0015611F">
            <w:pPr>
              <w:pStyle w:val="TableParagraph"/>
              <w:spacing w:before="12"/>
              <w:ind w:right="257"/>
              <w:jc w:val="right"/>
              <w:rPr>
                <w:b/>
                <w:sz w:val="16"/>
              </w:rPr>
            </w:pPr>
            <w:r>
              <w:rPr>
                <w:b/>
                <w:sz w:val="16"/>
              </w:rPr>
              <w:t>-</w:t>
            </w:r>
          </w:p>
        </w:tc>
        <w:tc>
          <w:tcPr>
            <w:tcW w:w="991" w:type="dxa"/>
          </w:tcPr>
          <w:p w14:paraId="56501C1B" w14:textId="77777777" w:rsidR="00FA4AA8" w:rsidRDefault="0015611F">
            <w:pPr>
              <w:pStyle w:val="TableParagraph"/>
              <w:spacing w:before="12"/>
              <w:ind w:right="82"/>
              <w:jc w:val="right"/>
              <w:rPr>
                <w:sz w:val="16"/>
              </w:rPr>
            </w:pPr>
            <w:r>
              <w:rPr>
                <w:sz w:val="16"/>
              </w:rPr>
              <w:t>373,420</w:t>
            </w:r>
          </w:p>
        </w:tc>
      </w:tr>
      <w:tr w:rsidR="00FA4AA8" w14:paraId="0ECB95B3" w14:textId="77777777">
        <w:trPr>
          <w:trHeight w:val="241"/>
        </w:trPr>
        <w:tc>
          <w:tcPr>
            <w:tcW w:w="3031" w:type="dxa"/>
          </w:tcPr>
          <w:p w14:paraId="4370B598" w14:textId="77777777" w:rsidR="00FA4AA8" w:rsidRDefault="0015611F">
            <w:pPr>
              <w:pStyle w:val="TableParagraph"/>
              <w:spacing w:before="28"/>
              <w:ind w:left="50"/>
              <w:rPr>
                <w:sz w:val="16"/>
              </w:rPr>
            </w:pPr>
            <w:r>
              <w:rPr>
                <w:sz w:val="16"/>
              </w:rPr>
              <w:t>- Valuation</w:t>
            </w:r>
          </w:p>
        </w:tc>
        <w:tc>
          <w:tcPr>
            <w:tcW w:w="1333" w:type="dxa"/>
          </w:tcPr>
          <w:p w14:paraId="55F35339" w14:textId="77777777" w:rsidR="00FA4AA8" w:rsidRDefault="0015611F">
            <w:pPr>
              <w:pStyle w:val="TableParagraph"/>
              <w:spacing w:before="25"/>
              <w:ind w:right="274"/>
              <w:jc w:val="right"/>
              <w:rPr>
                <w:b/>
                <w:sz w:val="16"/>
              </w:rPr>
            </w:pPr>
            <w:r>
              <w:rPr>
                <w:b/>
                <w:sz w:val="16"/>
              </w:rPr>
              <w:t>-</w:t>
            </w:r>
          </w:p>
        </w:tc>
        <w:tc>
          <w:tcPr>
            <w:tcW w:w="957" w:type="dxa"/>
          </w:tcPr>
          <w:p w14:paraId="72CC84BA" w14:textId="77777777" w:rsidR="00FA4AA8" w:rsidRDefault="0015611F">
            <w:pPr>
              <w:pStyle w:val="TableParagraph"/>
              <w:spacing w:before="25"/>
              <w:ind w:right="99"/>
              <w:jc w:val="right"/>
              <w:rPr>
                <w:sz w:val="16"/>
              </w:rPr>
            </w:pPr>
            <w:r>
              <w:rPr>
                <w:sz w:val="16"/>
              </w:rPr>
              <w:t>360,010</w:t>
            </w:r>
          </w:p>
        </w:tc>
        <w:tc>
          <w:tcPr>
            <w:tcW w:w="1183" w:type="dxa"/>
          </w:tcPr>
          <w:p w14:paraId="2B0CB74D" w14:textId="77777777" w:rsidR="00FA4AA8" w:rsidRDefault="0015611F">
            <w:pPr>
              <w:pStyle w:val="TableParagraph"/>
              <w:spacing w:before="25"/>
              <w:ind w:right="149"/>
              <w:jc w:val="right"/>
              <w:rPr>
                <w:sz w:val="16"/>
              </w:rPr>
            </w:pPr>
            <w:r>
              <w:rPr>
                <w:sz w:val="16"/>
              </w:rPr>
              <w:t>233,990</w:t>
            </w:r>
          </w:p>
        </w:tc>
        <w:tc>
          <w:tcPr>
            <w:tcW w:w="1072" w:type="dxa"/>
          </w:tcPr>
          <w:p w14:paraId="21E0D5D3" w14:textId="77777777" w:rsidR="00FA4AA8" w:rsidRDefault="0015611F">
            <w:pPr>
              <w:pStyle w:val="TableParagraph"/>
              <w:spacing w:before="25"/>
              <w:ind w:left="268"/>
              <w:rPr>
                <w:sz w:val="16"/>
              </w:rPr>
            </w:pPr>
            <w:r>
              <w:rPr>
                <w:sz w:val="16"/>
              </w:rPr>
              <w:t>1,126,274</w:t>
            </w:r>
          </w:p>
        </w:tc>
        <w:tc>
          <w:tcPr>
            <w:tcW w:w="1197" w:type="dxa"/>
          </w:tcPr>
          <w:p w14:paraId="4977B2C1" w14:textId="77777777" w:rsidR="00FA4AA8" w:rsidRDefault="0015611F">
            <w:pPr>
              <w:pStyle w:val="TableParagraph"/>
              <w:spacing w:before="25"/>
              <w:ind w:right="152"/>
              <w:jc w:val="right"/>
              <w:rPr>
                <w:sz w:val="16"/>
              </w:rPr>
            </w:pPr>
            <w:r>
              <w:rPr>
                <w:sz w:val="16"/>
              </w:rPr>
              <w:t>117,742</w:t>
            </w:r>
          </w:p>
        </w:tc>
        <w:tc>
          <w:tcPr>
            <w:tcW w:w="1082" w:type="dxa"/>
          </w:tcPr>
          <w:p w14:paraId="10116B4F" w14:textId="77777777" w:rsidR="00FA4AA8" w:rsidRDefault="0015611F">
            <w:pPr>
              <w:pStyle w:val="TableParagraph"/>
              <w:spacing w:before="25"/>
              <w:ind w:right="101"/>
              <w:jc w:val="right"/>
              <w:rPr>
                <w:b/>
                <w:sz w:val="16"/>
              </w:rPr>
            </w:pPr>
            <w:r>
              <w:rPr>
                <w:b/>
                <w:sz w:val="16"/>
              </w:rPr>
              <w:t>-</w:t>
            </w:r>
          </w:p>
        </w:tc>
        <w:tc>
          <w:tcPr>
            <w:tcW w:w="1261" w:type="dxa"/>
          </w:tcPr>
          <w:p w14:paraId="074E7D56" w14:textId="77777777" w:rsidR="00FA4AA8" w:rsidRDefault="0015611F">
            <w:pPr>
              <w:pStyle w:val="TableParagraph"/>
              <w:spacing w:before="25"/>
              <w:ind w:right="167"/>
              <w:jc w:val="right"/>
              <w:rPr>
                <w:b/>
                <w:sz w:val="16"/>
              </w:rPr>
            </w:pPr>
            <w:r>
              <w:rPr>
                <w:b/>
                <w:sz w:val="16"/>
              </w:rPr>
              <w:t>-</w:t>
            </w:r>
          </w:p>
        </w:tc>
        <w:tc>
          <w:tcPr>
            <w:tcW w:w="1178" w:type="dxa"/>
          </w:tcPr>
          <w:p w14:paraId="692AF23B" w14:textId="77777777" w:rsidR="00FA4AA8" w:rsidRDefault="0015611F">
            <w:pPr>
              <w:pStyle w:val="TableParagraph"/>
              <w:spacing w:before="25"/>
              <w:ind w:right="212"/>
              <w:jc w:val="right"/>
              <w:rPr>
                <w:sz w:val="16"/>
              </w:rPr>
            </w:pPr>
            <w:r>
              <w:rPr>
                <w:sz w:val="16"/>
              </w:rPr>
              <w:t>1,778</w:t>
            </w:r>
          </w:p>
        </w:tc>
        <w:tc>
          <w:tcPr>
            <w:tcW w:w="1178" w:type="dxa"/>
          </w:tcPr>
          <w:p w14:paraId="2F9B9ECC" w14:textId="77777777" w:rsidR="00FA4AA8" w:rsidRDefault="0015611F">
            <w:pPr>
              <w:pStyle w:val="TableParagraph"/>
              <w:spacing w:before="25"/>
              <w:ind w:right="258"/>
              <w:jc w:val="right"/>
              <w:rPr>
                <w:sz w:val="16"/>
              </w:rPr>
            </w:pPr>
            <w:r>
              <w:rPr>
                <w:sz w:val="16"/>
              </w:rPr>
              <w:t>4,629</w:t>
            </w:r>
          </w:p>
        </w:tc>
        <w:tc>
          <w:tcPr>
            <w:tcW w:w="991" w:type="dxa"/>
          </w:tcPr>
          <w:p w14:paraId="0027B807" w14:textId="77777777" w:rsidR="00FA4AA8" w:rsidRDefault="0015611F">
            <w:pPr>
              <w:pStyle w:val="TableParagraph"/>
              <w:spacing w:before="25"/>
              <w:ind w:right="82"/>
              <w:jc w:val="right"/>
              <w:rPr>
                <w:sz w:val="16"/>
              </w:rPr>
            </w:pPr>
            <w:r>
              <w:rPr>
                <w:sz w:val="16"/>
              </w:rPr>
              <w:t>1,844,423</w:t>
            </w:r>
          </w:p>
        </w:tc>
      </w:tr>
      <w:tr w:rsidR="00FA4AA8" w14:paraId="7352C90F" w14:textId="77777777">
        <w:trPr>
          <w:trHeight w:val="417"/>
        </w:trPr>
        <w:tc>
          <w:tcPr>
            <w:tcW w:w="3031" w:type="dxa"/>
          </w:tcPr>
          <w:p w14:paraId="333AAD80" w14:textId="77777777" w:rsidR="00FA4AA8" w:rsidRDefault="0015611F">
            <w:pPr>
              <w:pStyle w:val="TableParagraph"/>
              <w:spacing w:before="24"/>
              <w:ind w:left="50" w:right="808"/>
              <w:rPr>
                <w:sz w:val="16"/>
              </w:rPr>
            </w:pPr>
            <w:r>
              <w:rPr>
                <w:sz w:val="16"/>
              </w:rPr>
              <w:t>Accumulated depreciation and impairment</w:t>
            </w:r>
          </w:p>
        </w:tc>
        <w:tc>
          <w:tcPr>
            <w:tcW w:w="1333" w:type="dxa"/>
            <w:tcBorders>
              <w:bottom w:val="single" w:sz="8" w:space="0" w:color="000000"/>
            </w:tcBorders>
          </w:tcPr>
          <w:p w14:paraId="6D1ED58E" w14:textId="77777777" w:rsidR="00FA4AA8" w:rsidRDefault="00FA4AA8">
            <w:pPr>
              <w:pStyle w:val="TableParagraph"/>
              <w:spacing w:before="11"/>
              <w:rPr>
                <w:b/>
                <w:sz w:val="17"/>
              </w:rPr>
            </w:pPr>
          </w:p>
          <w:p w14:paraId="52F394A2" w14:textId="77777777" w:rsidR="00FA4AA8" w:rsidRDefault="0015611F">
            <w:pPr>
              <w:pStyle w:val="TableParagraph"/>
              <w:ind w:right="274"/>
              <w:jc w:val="right"/>
              <w:rPr>
                <w:b/>
                <w:sz w:val="16"/>
              </w:rPr>
            </w:pPr>
            <w:r>
              <w:rPr>
                <w:b/>
                <w:sz w:val="16"/>
              </w:rPr>
              <w:t>-</w:t>
            </w:r>
          </w:p>
        </w:tc>
        <w:tc>
          <w:tcPr>
            <w:tcW w:w="957" w:type="dxa"/>
            <w:tcBorders>
              <w:bottom w:val="single" w:sz="8" w:space="0" w:color="000000"/>
            </w:tcBorders>
          </w:tcPr>
          <w:p w14:paraId="6599E1FE" w14:textId="77777777" w:rsidR="00FA4AA8" w:rsidRDefault="00FA4AA8">
            <w:pPr>
              <w:pStyle w:val="TableParagraph"/>
              <w:spacing w:before="11"/>
              <w:rPr>
                <w:b/>
                <w:sz w:val="17"/>
              </w:rPr>
            </w:pPr>
          </w:p>
          <w:p w14:paraId="5B7FB0A1" w14:textId="77777777" w:rsidR="00FA4AA8" w:rsidRDefault="0015611F">
            <w:pPr>
              <w:pStyle w:val="TableParagraph"/>
              <w:ind w:right="98"/>
              <w:jc w:val="right"/>
              <w:rPr>
                <w:b/>
                <w:sz w:val="16"/>
              </w:rPr>
            </w:pPr>
            <w:r>
              <w:rPr>
                <w:b/>
                <w:sz w:val="16"/>
              </w:rPr>
              <w:t>-</w:t>
            </w:r>
          </w:p>
        </w:tc>
        <w:tc>
          <w:tcPr>
            <w:tcW w:w="1183" w:type="dxa"/>
            <w:tcBorders>
              <w:bottom w:val="single" w:sz="8" w:space="0" w:color="000000"/>
            </w:tcBorders>
          </w:tcPr>
          <w:p w14:paraId="4CA7E4C8" w14:textId="77777777" w:rsidR="00FA4AA8" w:rsidRDefault="00FA4AA8">
            <w:pPr>
              <w:pStyle w:val="TableParagraph"/>
              <w:spacing w:before="11"/>
              <w:rPr>
                <w:b/>
                <w:sz w:val="17"/>
              </w:rPr>
            </w:pPr>
          </w:p>
          <w:p w14:paraId="6000B3C2" w14:textId="77777777" w:rsidR="00FA4AA8" w:rsidRDefault="0015611F">
            <w:pPr>
              <w:pStyle w:val="TableParagraph"/>
              <w:ind w:right="148"/>
              <w:jc w:val="right"/>
              <w:rPr>
                <w:b/>
                <w:sz w:val="16"/>
              </w:rPr>
            </w:pPr>
            <w:r>
              <w:rPr>
                <w:b/>
                <w:sz w:val="16"/>
              </w:rPr>
              <w:t>-</w:t>
            </w:r>
          </w:p>
        </w:tc>
        <w:tc>
          <w:tcPr>
            <w:tcW w:w="1072" w:type="dxa"/>
            <w:tcBorders>
              <w:bottom w:val="single" w:sz="8" w:space="0" w:color="000000"/>
            </w:tcBorders>
          </w:tcPr>
          <w:p w14:paraId="15FCF0EC" w14:textId="77777777" w:rsidR="00FA4AA8" w:rsidRDefault="00FA4AA8">
            <w:pPr>
              <w:pStyle w:val="TableParagraph"/>
              <w:spacing w:before="11"/>
              <w:rPr>
                <w:b/>
                <w:sz w:val="17"/>
              </w:rPr>
            </w:pPr>
          </w:p>
          <w:p w14:paraId="23B3403D" w14:textId="77777777" w:rsidR="00FA4AA8" w:rsidRDefault="0015611F">
            <w:pPr>
              <w:pStyle w:val="TableParagraph"/>
              <w:ind w:right="35"/>
              <w:jc w:val="right"/>
              <w:rPr>
                <w:sz w:val="16"/>
              </w:rPr>
            </w:pPr>
            <w:r>
              <w:rPr>
                <w:sz w:val="16"/>
              </w:rPr>
              <w:t>(8,519)</w:t>
            </w:r>
          </w:p>
        </w:tc>
        <w:tc>
          <w:tcPr>
            <w:tcW w:w="1197" w:type="dxa"/>
            <w:tcBorders>
              <w:bottom w:val="single" w:sz="8" w:space="0" w:color="000000"/>
            </w:tcBorders>
          </w:tcPr>
          <w:p w14:paraId="2EB427F9" w14:textId="77777777" w:rsidR="00FA4AA8" w:rsidRDefault="00FA4AA8">
            <w:pPr>
              <w:pStyle w:val="TableParagraph"/>
              <w:spacing w:before="11"/>
              <w:rPr>
                <w:b/>
                <w:sz w:val="17"/>
              </w:rPr>
            </w:pPr>
          </w:p>
          <w:p w14:paraId="506E3DB1" w14:textId="77777777" w:rsidR="00FA4AA8" w:rsidRDefault="0015611F">
            <w:pPr>
              <w:pStyle w:val="TableParagraph"/>
              <w:ind w:right="99"/>
              <w:jc w:val="right"/>
              <w:rPr>
                <w:sz w:val="16"/>
              </w:rPr>
            </w:pPr>
            <w:r>
              <w:rPr>
                <w:sz w:val="16"/>
              </w:rPr>
              <w:t>(1,245)</w:t>
            </w:r>
          </w:p>
        </w:tc>
        <w:tc>
          <w:tcPr>
            <w:tcW w:w="1082" w:type="dxa"/>
            <w:tcBorders>
              <w:bottom w:val="single" w:sz="8" w:space="0" w:color="000000"/>
            </w:tcBorders>
          </w:tcPr>
          <w:p w14:paraId="30419F05" w14:textId="77777777" w:rsidR="00FA4AA8" w:rsidRDefault="00FA4AA8">
            <w:pPr>
              <w:pStyle w:val="TableParagraph"/>
              <w:spacing w:before="11"/>
              <w:rPr>
                <w:b/>
                <w:sz w:val="17"/>
              </w:rPr>
            </w:pPr>
          </w:p>
          <w:p w14:paraId="607E55FC" w14:textId="77777777" w:rsidR="00FA4AA8" w:rsidRDefault="0015611F">
            <w:pPr>
              <w:pStyle w:val="TableParagraph"/>
              <w:ind w:right="49"/>
              <w:jc w:val="right"/>
              <w:rPr>
                <w:sz w:val="16"/>
              </w:rPr>
            </w:pPr>
            <w:r>
              <w:rPr>
                <w:sz w:val="16"/>
              </w:rPr>
              <w:t>(86,199)</w:t>
            </w:r>
          </w:p>
        </w:tc>
        <w:tc>
          <w:tcPr>
            <w:tcW w:w="1261" w:type="dxa"/>
            <w:tcBorders>
              <w:bottom w:val="single" w:sz="8" w:space="0" w:color="000000"/>
            </w:tcBorders>
          </w:tcPr>
          <w:p w14:paraId="69B59636" w14:textId="77777777" w:rsidR="00FA4AA8" w:rsidRDefault="00FA4AA8">
            <w:pPr>
              <w:pStyle w:val="TableParagraph"/>
              <w:spacing w:before="11"/>
              <w:rPr>
                <w:b/>
                <w:sz w:val="17"/>
              </w:rPr>
            </w:pPr>
          </w:p>
          <w:p w14:paraId="76508482" w14:textId="77777777" w:rsidR="00FA4AA8" w:rsidRDefault="0015611F">
            <w:pPr>
              <w:pStyle w:val="TableParagraph"/>
              <w:ind w:right="114"/>
              <w:jc w:val="right"/>
              <w:rPr>
                <w:sz w:val="16"/>
              </w:rPr>
            </w:pPr>
            <w:r>
              <w:rPr>
                <w:sz w:val="16"/>
              </w:rPr>
              <w:t>(20,740)</w:t>
            </w:r>
          </w:p>
        </w:tc>
        <w:tc>
          <w:tcPr>
            <w:tcW w:w="1178" w:type="dxa"/>
            <w:tcBorders>
              <w:bottom w:val="single" w:sz="8" w:space="0" w:color="000000"/>
            </w:tcBorders>
          </w:tcPr>
          <w:p w14:paraId="09F868D7" w14:textId="77777777" w:rsidR="00FA4AA8" w:rsidRDefault="00FA4AA8">
            <w:pPr>
              <w:pStyle w:val="TableParagraph"/>
              <w:spacing w:before="11"/>
              <w:rPr>
                <w:b/>
                <w:sz w:val="17"/>
              </w:rPr>
            </w:pPr>
          </w:p>
          <w:p w14:paraId="19DAAC17" w14:textId="77777777" w:rsidR="00FA4AA8" w:rsidRDefault="0015611F">
            <w:pPr>
              <w:pStyle w:val="TableParagraph"/>
              <w:ind w:right="159"/>
              <w:jc w:val="right"/>
              <w:rPr>
                <w:sz w:val="16"/>
              </w:rPr>
            </w:pPr>
            <w:r>
              <w:rPr>
                <w:sz w:val="16"/>
              </w:rPr>
              <w:t>(73,097)</w:t>
            </w:r>
          </w:p>
        </w:tc>
        <w:tc>
          <w:tcPr>
            <w:tcW w:w="1178" w:type="dxa"/>
            <w:tcBorders>
              <w:bottom w:val="single" w:sz="8" w:space="0" w:color="000000"/>
            </w:tcBorders>
          </w:tcPr>
          <w:p w14:paraId="7508B9BB" w14:textId="77777777" w:rsidR="00FA4AA8" w:rsidRDefault="00FA4AA8">
            <w:pPr>
              <w:pStyle w:val="TableParagraph"/>
              <w:spacing w:before="11"/>
              <w:rPr>
                <w:b/>
                <w:sz w:val="17"/>
              </w:rPr>
            </w:pPr>
          </w:p>
          <w:p w14:paraId="6ACA30CB" w14:textId="77777777" w:rsidR="00FA4AA8" w:rsidRDefault="0015611F">
            <w:pPr>
              <w:pStyle w:val="TableParagraph"/>
              <w:ind w:right="257"/>
              <w:jc w:val="right"/>
              <w:rPr>
                <w:b/>
                <w:sz w:val="16"/>
              </w:rPr>
            </w:pPr>
            <w:r>
              <w:rPr>
                <w:b/>
                <w:sz w:val="16"/>
              </w:rPr>
              <w:t>-</w:t>
            </w:r>
          </w:p>
        </w:tc>
        <w:tc>
          <w:tcPr>
            <w:tcW w:w="991" w:type="dxa"/>
            <w:tcBorders>
              <w:bottom w:val="single" w:sz="8" w:space="0" w:color="000000"/>
            </w:tcBorders>
          </w:tcPr>
          <w:p w14:paraId="69BED14E" w14:textId="77777777" w:rsidR="00FA4AA8" w:rsidRDefault="00FA4AA8">
            <w:pPr>
              <w:pStyle w:val="TableParagraph"/>
              <w:spacing w:before="11"/>
              <w:rPr>
                <w:b/>
                <w:sz w:val="17"/>
              </w:rPr>
            </w:pPr>
          </w:p>
          <w:p w14:paraId="58709D63" w14:textId="77777777" w:rsidR="00FA4AA8" w:rsidRDefault="0015611F">
            <w:pPr>
              <w:pStyle w:val="TableParagraph"/>
              <w:ind w:right="29"/>
              <w:jc w:val="right"/>
              <w:rPr>
                <w:sz w:val="16"/>
              </w:rPr>
            </w:pPr>
            <w:r>
              <w:rPr>
                <w:sz w:val="16"/>
              </w:rPr>
              <w:t>(189,800)</w:t>
            </w:r>
          </w:p>
        </w:tc>
      </w:tr>
      <w:tr w:rsidR="00FA4AA8" w14:paraId="06A38392" w14:textId="77777777">
        <w:trPr>
          <w:trHeight w:val="298"/>
        </w:trPr>
        <w:tc>
          <w:tcPr>
            <w:tcW w:w="3031" w:type="dxa"/>
          </w:tcPr>
          <w:p w14:paraId="49F84C72" w14:textId="77777777" w:rsidR="00FA4AA8" w:rsidRDefault="0015611F">
            <w:pPr>
              <w:pStyle w:val="TableParagraph"/>
              <w:spacing w:before="114" w:line="164" w:lineRule="exact"/>
              <w:ind w:left="50"/>
              <w:rPr>
                <w:b/>
                <w:sz w:val="16"/>
              </w:rPr>
            </w:pPr>
            <w:r>
              <w:rPr>
                <w:b/>
                <w:sz w:val="16"/>
              </w:rPr>
              <w:t>Net book amount</w:t>
            </w:r>
          </w:p>
        </w:tc>
        <w:tc>
          <w:tcPr>
            <w:tcW w:w="1333" w:type="dxa"/>
            <w:tcBorders>
              <w:top w:val="single" w:sz="8" w:space="0" w:color="000000"/>
              <w:bottom w:val="double" w:sz="2" w:space="0" w:color="000000"/>
            </w:tcBorders>
          </w:tcPr>
          <w:p w14:paraId="55997EF7" w14:textId="77777777" w:rsidR="00FA4AA8" w:rsidRDefault="0015611F">
            <w:pPr>
              <w:pStyle w:val="TableParagraph"/>
              <w:spacing w:before="114" w:line="164" w:lineRule="exact"/>
              <w:ind w:left="566"/>
              <w:rPr>
                <w:b/>
                <w:sz w:val="16"/>
              </w:rPr>
            </w:pPr>
            <w:r>
              <w:rPr>
                <w:b/>
                <w:sz w:val="16"/>
              </w:rPr>
              <w:t>68,254</w:t>
            </w:r>
          </w:p>
        </w:tc>
        <w:tc>
          <w:tcPr>
            <w:tcW w:w="957" w:type="dxa"/>
            <w:tcBorders>
              <w:top w:val="single" w:sz="8" w:space="0" w:color="000000"/>
              <w:bottom w:val="double" w:sz="2" w:space="0" w:color="000000"/>
            </w:tcBorders>
          </w:tcPr>
          <w:p w14:paraId="7CA8A37E" w14:textId="77777777" w:rsidR="00FA4AA8" w:rsidRDefault="0015611F">
            <w:pPr>
              <w:pStyle w:val="TableParagraph"/>
              <w:spacing w:before="114" w:line="164" w:lineRule="exact"/>
              <w:ind w:right="99"/>
              <w:jc w:val="right"/>
              <w:rPr>
                <w:b/>
                <w:sz w:val="16"/>
              </w:rPr>
            </w:pPr>
            <w:r>
              <w:rPr>
                <w:b/>
                <w:sz w:val="16"/>
              </w:rPr>
              <w:t>360,010</w:t>
            </w:r>
          </w:p>
        </w:tc>
        <w:tc>
          <w:tcPr>
            <w:tcW w:w="1183" w:type="dxa"/>
            <w:tcBorders>
              <w:top w:val="single" w:sz="8" w:space="0" w:color="000000"/>
              <w:bottom w:val="double" w:sz="2" w:space="0" w:color="000000"/>
            </w:tcBorders>
          </w:tcPr>
          <w:p w14:paraId="6C9509D6" w14:textId="77777777" w:rsidR="00FA4AA8" w:rsidRDefault="0015611F">
            <w:pPr>
              <w:pStyle w:val="TableParagraph"/>
              <w:spacing w:before="114" w:line="164" w:lineRule="exact"/>
              <w:ind w:right="149"/>
              <w:jc w:val="right"/>
              <w:rPr>
                <w:b/>
                <w:sz w:val="16"/>
              </w:rPr>
            </w:pPr>
            <w:r>
              <w:rPr>
                <w:b/>
                <w:sz w:val="16"/>
              </w:rPr>
              <w:t>233,990</w:t>
            </w:r>
          </w:p>
        </w:tc>
        <w:tc>
          <w:tcPr>
            <w:tcW w:w="1072" w:type="dxa"/>
            <w:tcBorders>
              <w:top w:val="single" w:sz="8" w:space="0" w:color="000000"/>
              <w:bottom w:val="double" w:sz="2" w:space="0" w:color="000000"/>
            </w:tcBorders>
          </w:tcPr>
          <w:p w14:paraId="2CA75AB1" w14:textId="77777777" w:rsidR="00FA4AA8" w:rsidRDefault="0015611F">
            <w:pPr>
              <w:pStyle w:val="TableParagraph"/>
              <w:spacing w:before="114" w:line="164" w:lineRule="exact"/>
              <w:ind w:left="268"/>
              <w:rPr>
                <w:b/>
                <w:sz w:val="16"/>
              </w:rPr>
            </w:pPr>
            <w:r>
              <w:rPr>
                <w:b/>
                <w:sz w:val="16"/>
              </w:rPr>
              <w:t>1,127,751</w:t>
            </w:r>
          </w:p>
        </w:tc>
        <w:tc>
          <w:tcPr>
            <w:tcW w:w="1197" w:type="dxa"/>
            <w:tcBorders>
              <w:top w:val="single" w:sz="8" w:space="0" w:color="000000"/>
              <w:bottom w:val="double" w:sz="2" w:space="0" w:color="000000"/>
            </w:tcBorders>
          </w:tcPr>
          <w:p w14:paraId="2B4F0D32" w14:textId="77777777" w:rsidR="00FA4AA8" w:rsidRDefault="0015611F">
            <w:pPr>
              <w:pStyle w:val="TableParagraph"/>
              <w:spacing w:before="114" w:line="164" w:lineRule="exact"/>
              <w:ind w:right="152"/>
              <w:jc w:val="right"/>
              <w:rPr>
                <w:b/>
                <w:sz w:val="16"/>
              </w:rPr>
            </w:pPr>
            <w:r>
              <w:rPr>
                <w:b/>
                <w:sz w:val="16"/>
              </w:rPr>
              <w:t>116,497</w:t>
            </w:r>
          </w:p>
        </w:tc>
        <w:tc>
          <w:tcPr>
            <w:tcW w:w="1082" w:type="dxa"/>
            <w:tcBorders>
              <w:top w:val="single" w:sz="8" w:space="0" w:color="000000"/>
              <w:bottom w:val="double" w:sz="2" w:space="0" w:color="000000"/>
            </w:tcBorders>
          </w:tcPr>
          <w:p w14:paraId="12BA094A" w14:textId="77777777" w:rsidR="00FA4AA8" w:rsidRDefault="0015611F">
            <w:pPr>
              <w:pStyle w:val="TableParagraph"/>
              <w:spacing w:before="114" w:line="164" w:lineRule="exact"/>
              <w:ind w:right="101"/>
              <w:jc w:val="right"/>
              <w:rPr>
                <w:b/>
                <w:sz w:val="16"/>
              </w:rPr>
            </w:pPr>
            <w:r>
              <w:rPr>
                <w:b/>
                <w:sz w:val="16"/>
              </w:rPr>
              <w:t>57,959</w:t>
            </w:r>
          </w:p>
        </w:tc>
        <w:tc>
          <w:tcPr>
            <w:tcW w:w="1261" w:type="dxa"/>
            <w:tcBorders>
              <w:top w:val="single" w:sz="8" w:space="0" w:color="000000"/>
              <w:bottom w:val="double" w:sz="2" w:space="0" w:color="000000"/>
            </w:tcBorders>
          </w:tcPr>
          <w:p w14:paraId="0603125C" w14:textId="77777777" w:rsidR="00FA4AA8" w:rsidRDefault="0015611F">
            <w:pPr>
              <w:pStyle w:val="TableParagraph"/>
              <w:spacing w:before="114" w:line="164" w:lineRule="exact"/>
              <w:ind w:right="167"/>
              <w:jc w:val="right"/>
              <w:rPr>
                <w:b/>
                <w:sz w:val="16"/>
              </w:rPr>
            </w:pPr>
            <w:r>
              <w:rPr>
                <w:b/>
                <w:sz w:val="16"/>
              </w:rPr>
              <w:t>51,533</w:t>
            </w:r>
          </w:p>
        </w:tc>
        <w:tc>
          <w:tcPr>
            <w:tcW w:w="1178" w:type="dxa"/>
            <w:tcBorders>
              <w:top w:val="single" w:sz="8" w:space="0" w:color="000000"/>
              <w:bottom w:val="double" w:sz="2" w:space="0" w:color="000000"/>
            </w:tcBorders>
          </w:tcPr>
          <w:p w14:paraId="3EE408EC" w14:textId="77777777" w:rsidR="00FA4AA8" w:rsidRDefault="0015611F">
            <w:pPr>
              <w:pStyle w:val="TableParagraph"/>
              <w:spacing w:before="114" w:line="164" w:lineRule="exact"/>
              <w:ind w:right="212"/>
              <w:jc w:val="right"/>
              <w:rPr>
                <w:b/>
                <w:sz w:val="16"/>
              </w:rPr>
            </w:pPr>
            <w:r>
              <w:rPr>
                <w:b/>
                <w:sz w:val="16"/>
              </w:rPr>
              <w:t>7,420</w:t>
            </w:r>
          </w:p>
        </w:tc>
        <w:tc>
          <w:tcPr>
            <w:tcW w:w="1178" w:type="dxa"/>
            <w:tcBorders>
              <w:top w:val="single" w:sz="8" w:space="0" w:color="000000"/>
              <w:bottom w:val="double" w:sz="2" w:space="0" w:color="000000"/>
            </w:tcBorders>
          </w:tcPr>
          <w:p w14:paraId="4D3713BC" w14:textId="77777777" w:rsidR="00FA4AA8" w:rsidRDefault="0015611F">
            <w:pPr>
              <w:pStyle w:val="TableParagraph"/>
              <w:spacing w:before="114" w:line="164" w:lineRule="exact"/>
              <w:ind w:right="258"/>
              <w:jc w:val="right"/>
              <w:rPr>
                <w:b/>
                <w:sz w:val="16"/>
              </w:rPr>
            </w:pPr>
            <w:r>
              <w:rPr>
                <w:b/>
                <w:sz w:val="16"/>
              </w:rPr>
              <w:t>4,629</w:t>
            </w:r>
          </w:p>
        </w:tc>
        <w:tc>
          <w:tcPr>
            <w:tcW w:w="991" w:type="dxa"/>
            <w:tcBorders>
              <w:top w:val="single" w:sz="8" w:space="0" w:color="000000"/>
              <w:bottom w:val="double" w:sz="2" w:space="0" w:color="000000"/>
            </w:tcBorders>
          </w:tcPr>
          <w:p w14:paraId="54FCF082" w14:textId="77777777" w:rsidR="00FA4AA8" w:rsidRDefault="0015611F">
            <w:pPr>
              <w:pStyle w:val="TableParagraph"/>
              <w:spacing w:before="114" w:line="164" w:lineRule="exact"/>
              <w:ind w:right="82"/>
              <w:jc w:val="right"/>
              <w:rPr>
                <w:b/>
                <w:sz w:val="16"/>
              </w:rPr>
            </w:pPr>
            <w:r>
              <w:rPr>
                <w:b/>
                <w:sz w:val="16"/>
              </w:rPr>
              <w:t>2,028,043</w:t>
            </w:r>
          </w:p>
        </w:tc>
      </w:tr>
    </w:tbl>
    <w:p w14:paraId="49FB316F" w14:textId="77777777" w:rsidR="00FA4AA8" w:rsidRDefault="00FA4AA8">
      <w:pPr>
        <w:spacing w:line="164" w:lineRule="exact"/>
        <w:jc w:val="right"/>
        <w:rPr>
          <w:sz w:val="16"/>
        </w:rPr>
        <w:sectPr w:rsidR="00FA4AA8">
          <w:pgSz w:w="16840" w:h="11910" w:orient="landscape"/>
          <w:pgMar w:top="2220" w:right="880" w:bottom="720" w:left="840" w:header="1016" w:footer="523" w:gutter="0"/>
          <w:cols w:space="720"/>
        </w:sectPr>
      </w:pPr>
    </w:p>
    <w:p w14:paraId="44A44E69" w14:textId="77777777" w:rsidR="00FA4AA8" w:rsidRDefault="007E2441">
      <w:pPr>
        <w:pStyle w:val="BodyText"/>
        <w:rPr>
          <w:b/>
          <w:sz w:val="20"/>
        </w:rPr>
      </w:pPr>
      <w:r>
        <w:rPr>
          <w:noProof/>
          <w:lang w:val="en-AU" w:eastAsia="en-AU"/>
        </w:rPr>
        <mc:AlternateContent>
          <mc:Choice Requires="wpg">
            <w:drawing>
              <wp:anchor distT="0" distB="0" distL="114300" distR="114300" simplePos="0" relativeHeight="15745536" behindDoc="0" locked="0" layoutInCell="1" allowOverlap="1" wp14:anchorId="13FB1A01" wp14:editId="232148D8">
                <wp:simplePos x="0" y="0"/>
                <wp:positionH relativeFrom="page">
                  <wp:posOffset>5715000</wp:posOffset>
                </wp:positionH>
                <wp:positionV relativeFrom="page">
                  <wp:posOffset>6256020</wp:posOffset>
                </wp:positionV>
                <wp:extent cx="2087245" cy="4445"/>
                <wp:effectExtent l="0" t="0" r="0" b="0"/>
                <wp:wrapNone/>
                <wp:docPr id="2790" name="Group 2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7245" cy="4445"/>
                          <a:chOff x="9000" y="9852"/>
                          <a:chExt cx="6848" cy="15"/>
                        </a:xfrm>
                      </wpg:grpSpPr>
                      <wps:wsp>
                        <wps:cNvPr id="2791" name="Line 2588"/>
                        <wps:cNvCnPr>
                          <a:cxnSpLocks noChangeShapeType="1"/>
                        </wps:cNvCnPr>
                        <wps:spPr bwMode="auto">
                          <a:xfrm>
                            <a:off x="9000" y="9863"/>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792" name="Line 2587"/>
                        <wps:cNvCnPr>
                          <a:cxnSpLocks noChangeShapeType="1"/>
                        </wps:cNvCnPr>
                        <wps:spPr bwMode="auto">
                          <a:xfrm>
                            <a:off x="9000" y="9865"/>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793" name="Line 2586"/>
                        <wps:cNvCnPr>
                          <a:cxnSpLocks noChangeShapeType="1"/>
                        </wps:cNvCnPr>
                        <wps:spPr bwMode="auto">
                          <a:xfrm>
                            <a:off x="10133" y="9853"/>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794" name="Line 2585"/>
                        <wps:cNvCnPr>
                          <a:cxnSpLocks noChangeShapeType="1"/>
                        </wps:cNvCnPr>
                        <wps:spPr bwMode="auto">
                          <a:xfrm>
                            <a:off x="10133" y="9856"/>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795" name="Line 2584"/>
                        <wps:cNvCnPr>
                          <a:cxnSpLocks noChangeShapeType="1"/>
                        </wps:cNvCnPr>
                        <wps:spPr bwMode="auto">
                          <a:xfrm>
                            <a:off x="10133" y="9858"/>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796" name="Line 2583"/>
                        <wps:cNvCnPr>
                          <a:cxnSpLocks noChangeShapeType="1"/>
                        </wps:cNvCnPr>
                        <wps:spPr bwMode="auto">
                          <a:xfrm>
                            <a:off x="10133" y="9861"/>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797" name="Line 2582"/>
                        <wps:cNvCnPr>
                          <a:cxnSpLocks noChangeShapeType="1"/>
                        </wps:cNvCnPr>
                        <wps:spPr bwMode="auto">
                          <a:xfrm>
                            <a:off x="10133" y="9863"/>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798" name="Line 2581"/>
                        <wps:cNvCnPr>
                          <a:cxnSpLocks noChangeShapeType="1"/>
                        </wps:cNvCnPr>
                        <wps:spPr bwMode="auto">
                          <a:xfrm>
                            <a:off x="10133" y="9865"/>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799" name="Line 2580"/>
                        <wps:cNvCnPr>
                          <a:cxnSpLocks noChangeShapeType="1"/>
                        </wps:cNvCnPr>
                        <wps:spPr bwMode="auto">
                          <a:xfrm>
                            <a:off x="11266" y="9853"/>
                            <a:ext cx="118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800" name="Line 2579"/>
                        <wps:cNvCnPr>
                          <a:cxnSpLocks noChangeShapeType="1"/>
                        </wps:cNvCnPr>
                        <wps:spPr bwMode="auto">
                          <a:xfrm>
                            <a:off x="11266" y="9856"/>
                            <a:ext cx="118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801" name="Line 2578"/>
                        <wps:cNvCnPr>
                          <a:cxnSpLocks noChangeShapeType="1"/>
                        </wps:cNvCnPr>
                        <wps:spPr bwMode="auto">
                          <a:xfrm>
                            <a:off x="11266" y="9858"/>
                            <a:ext cx="118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802" name="Line 2577"/>
                        <wps:cNvCnPr>
                          <a:cxnSpLocks noChangeShapeType="1"/>
                        </wps:cNvCnPr>
                        <wps:spPr bwMode="auto">
                          <a:xfrm>
                            <a:off x="11266" y="9861"/>
                            <a:ext cx="118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803" name="Line 2576"/>
                        <wps:cNvCnPr>
                          <a:cxnSpLocks noChangeShapeType="1"/>
                        </wps:cNvCnPr>
                        <wps:spPr bwMode="auto">
                          <a:xfrm>
                            <a:off x="11266" y="9863"/>
                            <a:ext cx="118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804" name="Line 2575"/>
                        <wps:cNvCnPr>
                          <a:cxnSpLocks noChangeShapeType="1"/>
                        </wps:cNvCnPr>
                        <wps:spPr bwMode="auto">
                          <a:xfrm>
                            <a:off x="11266" y="9865"/>
                            <a:ext cx="118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805" name="Line 2574"/>
                        <wps:cNvCnPr>
                          <a:cxnSpLocks noChangeShapeType="1"/>
                        </wps:cNvCnPr>
                        <wps:spPr bwMode="auto">
                          <a:xfrm>
                            <a:off x="12449" y="9853"/>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806" name="Line 2573"/>
                        <wps:cNvCnPr>
                          <a:cxnSpLocks noChangeShapeType="1"/>
                        </wps:cNvCnPr>
                        <wps:spPr bwMode="auto">
                          <a:xfrm>
                            <a:off x="12449" y="9856"/>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807" name="Line 2572"/>
                        <wps:cNvCnPr>
                          <a:cxnSpLocks noChangeShapeType="1"/>
                        </wps:cNvCnPr>
                        <wps:spPr bwMode="auto">
                          <a:xfrm>
                            <a:off x="12449" y="9858"/>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808" name="Line 2571"/>
                        <wps:cNvCnPr>
                          <a:cxnSpLocks noChangeShapeType="1"/>
                        </wps:cNvCnPr>
                        <wps:spPr bwMode="auto">
                          <a:xfrm>
                            <a:off x="12449" y="9861"/>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809" name="Line 2570"/>
                        <wps:cNvCnPr>
                          <a:cxnSpLocks noChangeShapeType="1"/>
                        </wps:cNvCnPr>
                        <wps:spPr bwMode="auto">
                          <a:xfrm>
                            <a:off x="12449" y="9863"/>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810" name="Line 2569"/>
                        <wps:cNvCnPr>
                          <a:cxnSpLocks noChangeShapeType="1"/>
                        </wps:cNvCnPr>
                        <wps:spPr bwMode="auto">
                          <a:xfrm>
                            <a:off x="12449" y="9865"/>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811" name="Line 2568"/>
                        <wps:cNvCnPr>
                          <a:cxnSpLocks noChangeShapeType="1"/>
                        </wps:cNvCnPr>
                        <wps:spPr bwMode="auto">
                          <a:xfrm>
                            <a:off x="13582" y="9853"/>
                            <a:ext cx="1132"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812" name="Line 2567"/>
                        <wps:cNvCnPr>
                          <a:cxnSpLocks noChangeShapeType="1"/>
                        </wps:cNvCnPr>
                        <wps:spPr bwMode="auto">
                          <a:xfrm>
                            <a:off x="13582" y="9856"/>
                            <a:ext cx="1132"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813" name="Line 2566"/>
                        <wps:cNvCnPr>
                          <a:cxnSpLocks noChangeShapeType="1"/>
                        </wps:cNvCnPr>
                        <wps:spPr bwMode="auto">
                          <a:xfrm>
                            <a:off x="13582" y="9858"/>
                            <a:ext cx="1132"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814" name="Line 2565"/>
                        <wps:cNvCnPr>
                          <a:cxnSpLocks noChangeShapeType="1"/>
                        </wps:cNvCnPr>
                        <wps:spPr bwMode="auto">
                          <a:xfrm>
                            <a:off x="13582" y="9861"/>
                            <a:ext cx="1132"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815" name="Line 2564"/>
                        <wps:cNvCnPr>
                          <a:cxnSpLocks noChangeShapeType="1"/>
                        </wps:cNvCnPr>
                        <wps:spPr bwMode="auto">
                          <a:xfrm>
                            <a:off x="13582" y="9863"/>
                            <a:ext cx="1132"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816" name="Line 2563"/>
                        <wps:cNvCnPr>
                          <a:cxnSpLocks noChangeShapeType="1"/>
                        </wps:cNvCnPr>
                        <wps:spPr bwMode="auto">
                          <a:xfrm>
                            <a:off x="13582" y="9865"/>
                            <a:ext cx="1132"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817" name="Line 2562"/>
                        <wps:cNvCnPr>
                          <a:cxnSpLocks noChangeShapeType="1"/>
                        </wps:cNvCnPr>
                        <wps:spPr bwMode="auto">
                          <a:xfrm>
                            <a:off x="14714" y="9853"/>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818" name="Line 2561"/>
                        <wps:cNvCnPr>
                          <a:cxnSpLocks noChangeShapeType="1"/>
                        </wps:cNvCnPr>
                        <wps:spPr bwMode="auto">
                          <a:xfrm>
                            <a:off x="14714" y="9856"/>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819" name="Line 2560"/>
                        <wps:cNvCnPr>
                          <a:cxnSpLocks noChangeShapeType="1"/>
                        </wps:cNvCnPr>
                        <wps:spPr bwMode="auto">
                          <a:xfrm>
                            <a:off x="14714" y="9858"/>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820" name="Line 2559"/>
                        <wps:cNvCnPr>
                          <a:cxnSpLocks noChangeShapeType="1"/>
                        </wps:cNvCnPr>
                        <wps:spPr bwMode="auto">
                          <a:xfrm>
                            <a:off x="14714" y="9861"/>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821" name="Line 2558"/>
                        <wps:cNvCnPr>
                          <a:cxnSpLocks noChangeShapeType="1"/>
                        </wps:cNvCnPr>
                        <wps:spPr bwMode="auto">
                          <a:xfrm>
                            <a:off x="14714" y="9863"/>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822" name="Line 2557"/>
                        <wps:cNvCnPr>
                          <a:cxnSpLocks noChangeShapeType="1"/>
                        </wps:cNvCnPr>
                        <wps:spPr bwMode="auto">
                          <a:xfrm>
                            <a:off x="14714" y="9865"/>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11F169" id="Group 2556" o:spid="_x0000_s1026" style="position:absolute;margin-left:450pt;margin-top:492.6pt;width:164.35pt;height:.35pt;z-index:15745536;mso-position-horizontal-relative:page;mso-position-vertical-relative:page" coordorigin="9000,9852" coordsize="684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">
                <v:line id="Line 2588" o:spid="_x0000_s1027" style="position:absolute;visibility:visible;mso-wrap-style:square" from="9000,9863" to="10133,9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" strokeweight=".12pt"/>
                <v:line id="Line 2587" o:spid="_x0000_s1028" style="position:absolute;visibility:visible;mso-wrap-style:square" from="9000,9865" to="10133,9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" strokeweight=".12pt"/>
                <v:line id="Line 2586" o:spid="_x0000_s1029" style="position:absolute;visibility:visible;mso-wrap-style:square" from="10133,9853" to="11266,9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" strokeweight=".12pt"/>
                <v:line id="Line 2585" o:spid="_x0000_s1030" style="position:absolute;visibility:visible;mso-wrap-style:square" from="10133,9856" to="11266,9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" strokeweight=".12pt"/>
                <v:line id="Line 2584" o:spid="_x0000_s1031" style="position:absolute;visibility:visible;mso-wrap-style:square" from="10133,9858" to="11266,9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" strokeweight=".12pt"/>
                <v:line id="Line 2583" o:spid="_x0000_s1032" style="position:absolute;visibility:visible;mso-wrap-style:square" from="10133,9861" to="11266,9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" strokeweight=".12pt"/>
                <v:line id="Line 2582" o:spid="_x0000_s1033" style="position:absolute;visibility:visible;mso-wrap-style:square" from="10133,9863" to="11266,9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" strokeweight=".12pt"/>
                <v:line id="Line 2581" o:spid="_x0000_s1034" style="position:absolute;visibility:visible;mso-wrap-style:square" from="10133,9865" to="11266,9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" strokeweight=".12pt"/>
                <v:line id="Line 2580" o:spid="_x0000_s1035" style="position:absolute;visibility:visible;mso-wrap-style:square" from="11266,9853" to="12449,9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" strokeweight=".12pt"/>
                <v:line id="Line 2579" o:spid="_x0000_s1036" style="position:absolute;visibility:visible;mso-wrap-style:square" from="11266,9856" to="12449,9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" strokeweight=".12pt"/>
                <v:line id="Line 2578" o:spid="_x0000_s1037" style="position:absolute;visibility:visible;mso-wrap-style:square" from="11266,9858" to="12449,9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" strokeweight=".12pt"/>
                <v:line id="Line 2577" o:spid="_x0000_s1038" style="position:absolute;visibility:visible;mso-wrap-style:square" from="11266,9861" to="12449,9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" strokeweight=".12pt"/>
                <v:line id="Line 2576" o:spid="_x0000_s1039" style="position:absolute;visibility:visible;mso-wrap-style:square" from="11266,9863" to="12449,9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" strokeweight=".12pt"/>
                <v:line id="Line 2575" o:spid="_x0000_s1040" style="position:absolute;visibility:visible;mso-wrap-style:square" from="11266,9865" to="12449,9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" strokeweight=".12pt"/>
                <v:line id="Line 2574" o:spid="_x0000_s1041" style="position:absolute;visibility:visible;mso-wrap-style:square" from="12449,9853" to="13582,9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" strokeweight=".12pt"/>
                <v:line id="Line 2573" o:spid="_x0000_s1042" style="position:absolute;visibility:visible;mso-wrap-style:square" from="12449,9856" to="13582,9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" strokeweight=".12pt"/>
                <v:line id="Line 2572" o:spid="_x0000_s1043" style="position:absolute;visibility:visible;mso-wrap-style:square" from="12449,9858" to="13582,9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" strokeweight=".12pt"/>
                <v:line id="Line 2571" o:spid="_x0000_s1044" style="position:absolute;visibility:visible;mso-wrap-style:square" from="12449,9861" to="13582,9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" strokeweight=".12pt"/>
                <v:line id="Line 2570" o:spid="_x0000_s1045" style="position:absolute;visibility:visible;mso-wrap-style:square" from="12449,9863" to="13582,9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" strokeweight=".12pt"/>
                <v:line id="Line 2569" o:spid="_x0000_s1046" style="position:absolute;visibility:visible;mso-wrap-style:square" from="12449,9865" to="13582,9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" strokeweight=".12pt"/>
                <v:line id="Line 2568" o:spid="_x0000_s1047" style="position:absolute;visibility:visible;mso-wrap-style:square" from="13582,9853" to="14714,9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" strokeweight=".12pt"/>
                <v:line id="Line 2567" o:spid="_x0000_s1048" style="position:absolute;visibility:visible;mso-wrap-style:square" from="13582,9856" to="14714,9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" strokeweight=".12pt"/>
                <v:line id="Line 2566" o:spid="_x0000_s1049" style="position:absolute;visibility:visible;mso-wrap-style:square" from="13582,9858" to="14714,9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" strokeweight=".12pt"/>
                <v:line id="Line 2565" o:spid="_x0000_s1050" style="position:absolute;visibility:visible;mso-wrap-style:square" from="13582,9861" to="14714,9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" strokeweight=".12pt"/>
                <v:line id="Line 2564" o:spid="_x0000_s1051" style="position:absolute;visibility:visible;mso-wrap-style:square" from="13582,9863" to="14714,9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" strokeweight=".12pt"/>
                <v:line id="Line 2563" o:spid="_x0000_s1052" style="position:absolute;visibility:visible;mso-wrap-style:square" from="13582,9865" to="14714,9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" strokeweight=".12pt"/>
                <v:line id="Line 2562" o:spid="_x0000_s1053" style="position:absolute;visibility:visible;mso-wrap-style:square" from="14714,9853" to="15847,9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" strokeweight=".12pt"/>
                <v:line id="Line 2561" o:spid="_x0000_s1054" style="position:absolute;visibility:visible;mso-wrap-style:square" from="14714,9856" to="15847,9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" strokeweight=".12pt"/>
                <v:line id="Line 2560" o:spid="_x0000_s1055" style="position:absolute;visibility:visible;mso-wrap-style:square" from="14714,9858" to="15847,9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" strokeweight=".12pt"/>
                <v:line id="Line 2559" o:spid="_x0000_s1056" style="position:absolute;visibility:visible;mso-wrap-style:square" from="14714,9861" to="15847,9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" strokeweight=".12pt"/>
                <v:line id="Line 2558" o:spid="_x0000_s1057" style="position:absolute;visibility:visible;mso-wrap-style:square" from="14714,9863" to="15847,9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" strokeweight=".12pt"/>
                <v:line id="Line 2557" o:spid="_x0000_s1058" style="position:absolute;visibility:visible;mso-wrap-style:square" from="14714,9865" to="15847,9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" strokeweight=".12pt"/>
                <w10:wrap anchorx="page" anchory="page"/>
              </v:group>
            </w:pict>
          </mc:Fallback>
        </mc:AlternateContent>
      </w:r>
    </w:p>
    <w:p w14:paraId="6E60D8E0" w14:textId="77777777" w:rsidR="00FA4AA8" w:rsidRDefault="00FA4AA8">
      <w:pPr>
        <w:pStyle w:val="BodyText"/>
        <w:rPr>
          <w:b/>
          <w:sz w:val="20"/>
        </w:rPr>
      </w:pPr>
    </w:p>
    <w:p w14:paraId="146CF533" w14:textId="77777777" w:rsidR="00FA4AA8" w:rsidRDefault="00FA4AA8">
      <w:pPr>
        <w:pStyle w:val="BodyText"/>
        <w:spacing w:before="6"/>
        <w:rPr>
          <w:b/>
        </w:rPr>
      </w:pPr>
    </w:p>
    <w:tbl>
      <w:tblPr>
        <w:tblW w:w="0" w:type="auto"/>
        <w:tblInd w:w="125" w:type="dxa"/>
        <w:tblLayout w:type="fixed"/>
        <w:tblCellMar>
          <w:left w:w="0" w:type="dxa"/>
          <w:right w:w="0" w:type="dxa"/>
        </w:tblCellMar>
        <w:tblLook w:val="01E0" w:firstRow="1" w:lastRow="1" w:firstColumn="1" w:lastColumn="1" w:noHBand="0" w:noVBand="0"/>
      </w:tblPr>
      <w:tblGrid>
        <w:gridCol w:w="415"/>
        <w:gridCol w:w="3062"/>
        <w:gridCol w:w="1133"/>
        <w:gridCol w:w="1190"/>
        <w:gridCol w:w="1182"/>
        <w:gridCol w:w="1084"/>
        <w:gridCol w:w="1186"/>
        <w:gridCol w:w="1114"/>
        <w:gridCol w:w="1216"/>
        <w:gridCol w:w="1178"/>
        <w:gridCol w:w="1161"/>
        <w:gridCol w:w="974"/>
      </w:tblGrid>
      <w:tr w:rsidR="00FA4AA8" w14:paraId="55FE4E62" w14:textId="77777777">
        <w:trPr>
          <w:trHeight w:val="823"/>
        </w:trPr>
        <w:tc>
          <w:tcPr>
            <w:tcW w:w="415" w:type="dxa"/>
          </w:tcPr>
          <w:p w14:paraId="330767B1" w14:textId="77777777" w:rsidR="00FA4AA8" w:rsidRDefault="0015611F">
            <w:pPr>
              <w:pStyle w:val="TableParagraph"/>
              <w:spacing w:line="201" w:lineRule="exact"/>
              <w:ind w:left="50"/>
              <w:rPr>
                <w:b/>
                <w:sz w:val="18"/>
              </w:rPr>
            </w:pPr>
            <w:r>
              <w:rPr>
                <w:b/>
                <w:sz w:val="18"/>
              </w:rPr>
              <w:t>19</w:t>
            </w:r>
          </w:p>
        </w:tc>
        <w:tc>
          <w:tcPr>
            <w:tcW w:w="4195" w:type="dxa"/>
            <w:gridSpan w:val="2"/>
          </w:tcPr>
          <w:p w14:paraId="3E21B3B0" w14:textId="77777777" w:rsidR="00FA4AA8" w:rsidRDefault="0015611F">
            <w:pPr>
              <w:pStyle w:val="TableParagraph"/>
              <w:spacing w:line="201" w:lineRule="exact"/>
              <w:ind w:left="30"/>
              <w:rPr>
                <w:b/>
                <w:sz w:val="18"/>
              </w:rPr>
            </w:pPr>
            <w:r>
              <w:rPr>
                <w:b/>
                <w:sz w:val="18"/>
              </w:rPr>
              <w:t>Property, plant and equipment (continued)</w:t>
            </w:r>
          </w:p>
          <w:p w14:paraId="2DF73E3B" w14:textId="77777777" w:rsidR="00FA4AA8" w:rsidRDefault="00FA4AA8">
            <w:pPr>
              <w:pStyle w:val="TableParagraph"/>
              <w:spacing w:before="10"/>
              <w:rPr>
                <w:b/>
                <w:sz w:val="18"/>
              </w:rPr>
            </w:pPr>
          </w:p>
          <w:p w14:paraId="011B285E" w14:textId="77777777" w:rsidR="00FA4AA8" w:rsidRDefault="0015611F">
            <w:pPr>
              <w:pStyle w:val="TableParagraph"/>
              <w:ind w:left="3208" w:right="29" w:hanging="58"/>
              <w:rPr>
                <w:b/>
                <w:sz w:val="16"/>
              </w:rPr>
            </w:pPr>
            <w:r>
              <w:rPr>
                <w:b/>
                <w:sz w:val="16"/>
              </w:rPr>
              <w:t>Construction in Progress</w:t>
            </w:r>
          </w:p>
        </w:tc>
        <w:tc>
          <w:tcPr>
            <w:tcW w:w="1190" w:type="dxa"/>
          </w:tcPr>
          <w:p w14:paraId="09E843D7" w14:textId="77777777" w:rsidR="00FA4AA8" w:rsidRDefault="00FA4AA8">
            <w:pPr>
              <w:pStyle w:val="TableParagraph"/>
              <w:rPr>
                <w:b/>
                <w:sz w:val="18"/>
              </w:rPr>
            </w:pPr>
          </w:p>
          <w:p w14:paraId="2E7F5098" w14:textId="77777777" w:rsidR="00FA4AA8" w:rsidRDefault="00FA4AA8">
            <w:pPr>
              <w:pStyle w:val="TableParagraph"/>
              <w:spacing w:before="4"/>
              <w:rPr>
                <w:b/>
                <w:sz w:val="18"/>
              </w:rPr>
            </w:pPr>
          </w:p>
          <w:p w14:paraId="6543B31E" w14:textId="77777777" w:rsidR="00FA4AA8" w:rsidRDefault="0015611F">
            <w:pPr>
              <w:pStyle w:val="TableParagraph"/>
              <w:ind w:left="396" w:right="245" w:hanging="147"/>
              <w:rPr>
                <w:b/>
                <w:sz w:val="16"/>
              </w:rPr>
            </w:pPr>
            <w:r>
              <w:rPr>
                <w:b/>
                <w:sz w:val="16"/>
              </w:rPr>
              <w:t>Freehold Land</w:t>
            </w:r>
          </w:p>
        </w:tc>
        <w:tc>
          <w:tcPr>
            <w:tcW w:w="1182" w:type="dxa"/>
          </w:tcPr>
          <w:p w14:paraId="713B6A90" w14:textId="77777777" w:rsidR="00FA4AA8" w:rsidRDefault="00FA4AA8">
            <w:pPr>
              <w:pStyle w:val="TableParagraph"/>
              <w:rPr>
                <w:b/>
                <w:sz w:val="18"/>
              </w:rPr>
            </w:pPr>
          </w:p>
          <w:p w14:paraId="0F74049C" w14:textId="77777777" w:rsidR="00FA4AA8" w:rsidRDefault="00FA4AA8">
            <w:pPr>
              <w:pStyle w:val="TableParagraph"/>
              <w:rPr>
                <w:b/>
                <w:sz w:val="18"/>
              </w:rPr>
            </w:pPr>
          </w:p>
          <w:p w14:paraId="70E19688" w14:textId="77777777" w:rsidR="00FA4AA8" w:rsidRDefault="00FA4AA8">
            <w:pPr>
              <w:pStyle w:val="TableParagraph"/>
              <w:spacing w:before="5"/>
              <w:rPr>
                <w:b/>
                <w:sz w:val="16"/>
              </w:rPr>
            </w:pPr>
          </w:p>
          <w:p w14:paraId="1958D2A6" w14:textId="77777777" w:rsidR="00FA4AA8" w:rsidRDefault="0015611F">
            <w:pPr>
              <w:pStyle w:val="TableParagraph"/>
              <w:ind w:right="169"/>
              <w:jc w:val="right"/>
              <w:rPr>
                <w:b/>
                <w:sz w:val="16"/>
              </w:rPr>
            </w:pPr>
            <w:r>
              <w:rPr>
                <w:b/>
                <w:sz w:val="16"/>
              </w:rPr>
              <w:t>Crown Land</w:t>
            </w:r>
          </w:p>
        </w:tc>
        <w:tc>
          <w:tcPr>
            <w:tcW w:w="1084" w:type="dxa"/>
          </w:tcPr>
          <w:p w14:paraId="7F95EBDD" w14:textId="77777777" w:rsidR="00FA4AA8" w:rsidRDefault="00FA4AA8">
            <w:pPr>
              <w:pStyle w:val="TableParagraph"/>
              <w:rPr>
                <w:b/>
                <w:sz w:val="18"/>
              </w:rPr>
            </w:pPr>
          </w:p>
          <w:p w14:paraId="35867B04" w14:textId="77777777" w:rsidR="00FA4AA8" w:rsidRDefault="00FA4AA8">
            <w:pPr>
              <w:pStyle w:val="TableParagraph"/>
              <w:rPr>
                <w:b/>
                <w:sz w:val="18"/>
              </w:rPr>
            </w:pPr>
          </w:p>
          <w:p w14:paraId="032A1A81" w14:textId="77777777" w:rsidR="00FA4AA8" w:rsidRDefault="00FA4AA8">
            <w:pPr>
              <w:pStyle w:val="TableParagraph"/>
              <w:spacing w:before="5"/>
              <w:rPr>
                <w:b/>
                <w:sz w:val="16"/>
              </w:rPr>
            </w:pPr>
          </w:p>
          <w:p w14:paraId="0147765F" w14:textId="77777777" w:rsidR="00FA4AA8" w:rsidRDefault="0015611F">
            <w:pPr>
              <w:pStyle w:val="TableParagraph"/>
              <w:ind w:left="147"/>
              <w:rPr>
                <w:b/>
                <w:sz w:val="16"/>
              </w:rPr>
            </w:pPr>
            <w:r>
              <w:rPr>
                <w:b/>
                <w:sz w:val="16"/>
              </w:rPr>
              <w:t>Buildings</w:t>
            </w:r>
          </w:p>
        </w:tc>
        <w:tc>
          <w:tcPr>
            <w:tcW w:w="1186" w:type="dxa"/>
          </w:tcPr>
          <w:p w14:paraId="2D94D423" w14:textId="77777777" w:rsidR="00FA4AA8" w:rsidRDefault="00FA4AA8">
            <w:pPr>
              <w:pStyle w:val="TableParagraph"/>
              <w:rPr>
                <w:b/>
                <w:sz w:val="18"/>
              </w:rPr>
            </w:pPr>
          </w:p>
          <w:p w14:paraId="419B00FA" w14:textId="77777777" w:rsidR="00FA4AA8" w:rsidRDefault="00FA4AA8">
            <w:pPr>
              <w:pStyle w:val="TableParagraph"/>
              <w:rPr>
                <w:b/>
                <w:sz w:val="18"/>
              </w:rPr>
            </w:pPr>
          </w:p>
          <w:p w14:paraId="72813B57" w14:textId="77777777" w:rsidR="00FA4AA8" w:rsidRDefault="00FA4AA8">
            <w:pPr>
              <w:pStyle w:val="TableParagraph"/>
              <w:spacing w:before="5"/>
              <w:rPr>
                <w:b/>
                <w:sz w:val="16"/>
              </w:rPr>
            </w:pPr>
          </w:p>
          <w:p w14:paraId="62CE69E5" w14:textId="77777777" w:rsidR="00FA4AA8" w:rsidRDefault="0015611F">
            <w:pPr>
              <w:pStyle w:val="TableParagraph"/>
              <w:ind w:right="98"/>
              <w:jc w:val="right"/>
              <w:rPr>
                <w:b/>
                <w:sz w:val="16"/>
              </w:rPr>
            </w:pPr>
            <w:r>
              <w:rPr>
                <w:b/>
                <w:sz w:val="16"/>
              </w:rPr>
              <w:t>Infrastructure</w:t>
            </w:r>
          </w:p>
        </w:tc>
        <w:tc>
          <w:tcPr>
            <w:tcW w:w="1114" w:type="dxa"/>
          </w:tcPr>
          <w:p w14:paraId="23C1689C" w14:textId="77777777" w:rsidR="00FA4AA8" w:rsidRDefault="00FA4AA8">
            <w:pPr>
              <w:pStyle w:val="TableParagraph"/>
              <w:rPr>
                <w:b/>
                <w:sz w:val="18"/>
              </w:rPr>
            </w:pPr>
          </w:p>
          <w:p w14:paraId="4DD6EA29" w14:textId="77777777" w:rsidR="00FA4AA8" w:rsidRDefault="00FA4AA8">
            <w:pPr>
              <w:pStyle w:val="TableParagraph"/>
              <w:spacing w:before="4"/>
              <w:rPr>
                <w:b/>
                <w:sz w:val="18"/>
              </w:rPr>
            </w:pPr>
          </w:p>
          <w:p w14:paraId="48E1F74B" w14:textId="77777777" w:rsidR="00FA4AA8" w:rsidRDefault="0015611F">
            <w:pPr>
              <w:pStyle w:val="TableParagraph"/>
              <w:ind w:left="95" w:right="172" w:firstLine="52"/>
              <w:rPr>
                <w:b/>
                <w:sz w:val="16"/>
              </w:rPr>
            </w:pPr>
            <w:r>
              <w:rPr>
                <w:b/>
                <w:sz w:val="16"/>
              </w:rPr>
              <w:t>Plant and Equipment</w:t>
            </w:r>
          </w:p>
        </w:tc>
        <w:tc>
          <w:tcPr>
            <w:tcW w:w="1216" w:type="dxa"/>
          </w:tcPr>
          <w:p w14:paraId="1FD8CE44" w14:textId="77777777" w:rsidR="00FA4AA8" w:rsidRDefault="00FA4AA8">
            <w:pPr>
              <w:pStyle w:val="TableParagraph"/>
              <w:spacing w:before="3"/>
              <w:rPr>
                <w:b/>
                <w:sz w:val="20"/>
              </w:rPr>
            </w:pPr>
          </w:p>
          <w:p w14:paraId="5B6DCE42" w14:textId="77777777" w:rsidR="00FA4AA8" w:rsidRDefault="0015611F">
            <w:pPr>
              <w:pStyle w:val="TableParagraph"/>
              <w:ind w:left="76" w:right="126" w:hanging="54"/>
              <w:jc w:val="center"/>
              <w:rPr>
                <w:b/>
                <w:sz w:val="16"/>
              </w:rPr>
            </w:pPr>
            <w:r>
              <w:rPr>
                <w:b/>
                <w:sz w:val="16"/>
              </w:rPr>
              <w:t>Leasehold Improvement s</w:t>
            </w:r>
          </w:p>
        </w:tc>
        <w:tc>
          <w:tcPr>
            <w:tcW w:w="1178" w:type="dxa"/>
          </w:tcPr>
          <w:p w14:paraId="1E8EA5BA" w14:textId="77777777" w:rsidR="00FA4AA8" w:rsidRDefault="00FA4AA8">
            <w:pPr>
              <w:pStyle w:val="TableParagraph"/>
              <w:rPr>
                <w:b/>
                <w:sz w:val="18"/>
              </w:rPr>
            </w:pPr>
          </w:p>
          <w:p w14:paraId="61788BB0" w14:textId="77777777" w:rsidR="00FA4AA8" w:rsidRDefault="00FA4AA8">
            <w:pPr>
              <w:pStyle w:val="TableParagraph"/>
              <w:spacing w:before="4"/>
              <w:rPr>
                <w:b/>
                <w:sz w:val="18"/>
              </w:rPr>
            </w:pPr>
          </w:p>
          <w:p w14:paraId="6893C4D6" w14:textId="77777777" w:rsidR="00FA4AA8" w:rsidRDefault="0015611F">
            <w:pPr>
              <w:pStyle w:val="TableParagraph"/>
              <w:ind w:left="107" w:right="277" w:firstLine="120"/>
              <w:rPr>
                <w:b/>
                <w:sz w:val="16"/>
              </w:rPr>
            </w:pPr>
            <w:r>
              <w:rPr>
                <w:b/>
                <w:sz w:val="16"/>
              </w:rPr>
              <w:t>Library Collection</w:t>
            </w:r>
          </w:p>
        </w:tc>
        <w:tc>
          <w:tcPr>
            <w:tcW w:w="1161" w:type="dxa"/>
          </w:tcPr>
          <w:p w14:paraId="07F34726" w14:textId="77777777" w:rsidR="00FA4AA8" w:rsidRDefault="00FA4AA8">
            <w:pPr>
              <w:pStyle w:val="TableParagraph"/>
              <w:rPr>
                <w:b/>
                <w:sz w:val="18"/>
              </w:rPr>
            </w:pPr>
          </w:p>
          <w:p w14:paraId="1AFD2485" w14:textId="77777777" w:rsidR="00FA4AA8" w:rsidRDefault="00FA4AA8">
            <w:pPr>
              <w:pStyle w:val="TableParagraph"/>
              <w:rPr>
                <w:b/>
                <w:sz w:val="18"/>
              </w:rPr>
            </w:pPr>
          </w:p>
          <w:p w14:paraId="7C6EC021" w14:textId="77777777" w:rsidR="00FA4AA8" w:rsidRDefault="00FA4AA8">
            <w:pPr>
              <w:pStyle w:val="TableParagraph"/>
              <w:spacing w:before="5"/>
              <w:rPr>
                <w:b/>
                <w:sz w:val="16"/>
              </w:rPr>
            </w:pPr>
          </w:p>
          <w:p w14:paraId="3FCDAC92" w14:textId="77777777" w:rsidR="00FA4AA8" w:rsidRDefault="0015611F">
            <w:pPr>
              <w:pStyle w:val="TableParagraph"/>
              <w:ind w:left="151"/>
              <w:rPr>
                <w:b/>
                <w:sz w:val="16"/>
              </w:rPr>
            </w:pPr>
            <w:r>
              <w:rPr>
                <w:b/>
                <w:sz w:val="16"/>
              </w:rPr>
              <w:t>Artwork</w:t>
            </w:r>
          </w:p>
        </w:tc>
        <w:tc>
          <w:tcPr>
            <w:tcW w:w="974" w:type="dxa"/>
          </w:tcPr>
          <w:p w14:paraId="50623D2C" w14:textId="77777777" w:rsidR="00FA4AA8" w:rsidRDefault="00FA4AA8">
            <w:pPr>
              <w:pStyle w:val="TableParagraph"/>
              <w:rPr>
                <w:b/>
                <w:sz w:val="18"/>
              </w:rPr>
            </w:pPr>
          </w:p>
          <w:p w14:paraId="63D19C8B" w14:textId="77777777" w:rsidR="00FA4AA8" w:rsidRDefault="00FA4AA8">
            <w:pPr>
              <w:pStyle w:val="TableParagraph"/>
              <w:rPr>
                <w:b/>
                <w:sz w:val="18"/>
              </w:rPr>
            </w:pPr>
          </w:p>
          <w:p w14:paraId="7B6F7F59" w14:textId="77777777" w:rsidR="00FA4AA8" w:rsidRDefault="00FA4AA8">
            <w:pPr>
              <w:pStyle w:val="TableParagraph"/>
              <w:spacing w:before="5"/>
              <w:rPr>
                <w:b/>
                <w:sz w:val="16"/>
              </w:rPr>
            </w:pPr>
          </w:p>
          <w:p w14:paraId="7F756706" w14:textId="77777777" w:rsidR="00FA4AA8" w:rsidRDefault="0015611F">
            <w:pPr>
              <w:pStyle w:val="TableParagraph"/>
              <w:ind w:left="233"/>
              <w:rPr>
                <w:b/>
                <w:sz w:val="16"/>
              </w:rPr>
            </w:pPr>
            <w:r>
              <w:rPr>
                <w:b/>
                <w:sz w:val="16"/>
              </w:rPr>
              <w:t>Total</w:t>
            </w:r>
          </w:p>
        </w:tc>
      </w:tr>
      <w:tr w:rsidR="00FA4AA8" w14:paraId="4A3492C9" w14:textId="77777777">
        <w:trPr>
          <w:trHeight w:val="291"/>
        </w:trPr>
        <w:tc>
          <w:tcPr>
            <w:tcW w:w="415" w:type="dxa"/>
          </w:tcPr>
          <w:p w14:paraId="1811F386" w14:textId="77777777" w:rsidR="00FA4AA8" w:rsidRDefault="00FA4AA8">
            <w:pPr>
              <w:pStyle w:val="TableParagraph"/>
              <w:rPr>
                <w:rFonts w:ascii="Times New Roman"/>
                <w:sz w:val="16"/>
              </w:rPr>
            </w:pPr>
          </w:p>
        </w:tc>
        <w:tc>
          <w:tcPr>
            <w:tcW w:w="4195" w:type="dxa"/>
            <w:gridSpan w:val="2"/>
          </w:tcPr>
          <w:p w14:paraId="03B82111" w14:textId="77777777" w:rsidR="00FA4AA8" w:rsidRDefault="0015611F">
            <w:pPr>
              <w:pStyle w:val="TableParagraph"/>
              <w:tabs>
                <w:tab w:val="left" w:pos="3453"/>
              </w:tabs>
              <w:spacing w:before="31"/>
              <w:ind w:left="69"/>
              <w:rPr>
                <w:b/>
                <w:sz w:val="16"/>
              </w:rPr>
            </w:pPr>
            <w:r>
              <w:rPr>
                <w:b/>
                <w:sz w:val="16"/>
              </w:rPr>
              <w:t>Parent</w:t>
            </w:r>
            <w:r>
              <w:rPr>
                <w:b/>
                <w:sz w:val="16"/>
              </w:rPr>
              <w:tab/>
              <w:t>$'000</w:t>
            </w:r>
          </w:p>
        </w:tc>
        <w:tc>
          <w:tcPr>
            <w:tcW w:w="1190" w:type="dxa"/>
          </w:tcPr>
          <w:p w14:paraId="49D9444B" w14:textId="77777777" w:rsidR="00FA4AA8" w:rsidRDefault="0015611F">
            <w:pPr>
              <w:pStyle w:val="TableParagraph"/>
              <w:spacing w:before="31"/>
              <w:ind w:left="391"/>
              <w:rPr>
                <w:b/>
                <w:sz w:val="16"/>
              </w:rPr>
            </w:pPr>
            <w:r>
              <w:rPr>
                <w:b/>
                <w:sz w:val="16"/>
              </w:rPr>
              <w:t>$'000</w:t>
            </w:r>
          </w:p>
        </w:tc>
        <w:tc>
          <w:tcPr>
            <w:tcW w:w="1182" w:type="dxa"/>
          </w:tcPr>
          <w:p w14:paraId="2F1DD726" w14:textId="77777777" w:rsidR="00FA4AA8" w:rsidRDefault="0015611F">
            <w:pPr>
              <w:pStyle w:val="TableParagraph"/>
              <w:spacing w:before="31"/>
              <w:ind w:left="348"/>
              <w:rPr>
                <w:b/>
                <w:sz w:val="16"/>
              </w:rPr>
            </w:pPr>
            <w:r>
              <w:rPr>
                <w:b/>
                <w:sz w:val="16"/>
              </w:rPr>
              <w:t>$'000</w:t>
            </w:r>
          </w:p>
        </w:tc>
        <w:tc>
          <w:tcPr>
            <w:tcW w:w="1084" w:type="dxa"/>
          </w:tcPr>
          <w:p w14:paraId="26D3A7D8" w14:textId="77777777" w:rsidR="00FA4AA8" w:rsidRDefault="0015611F">
            <w:pPr>
              <w:pStyle w:val="TableParagraph"/>
              <w:spacing w:before="31"/>
              <w:ind w:left="318"/>
              <w:rPr>
                <w:b/>
                <w:sz w:val="16"/>
              </w:rPr>
            </w:pPr>
            <w:r>
              <w:rPr>
                <w:b/>
                <w:sz w:val="16"/>
              </w:rPr>
              <w:t>$'000</w:t>
            </w:r>
          </w:p>
        </w:tc>
        <w:tc>
          <w:tcPr>
            <w:tcW w:w="1186" w:type="dxa"/>
          </w:tcPr>
          <w:p w14:paraId="20DAD78C" w14:textId="77777777" w:rsidR="00FA4AA8" w:rsidRDefault="0015611F">
            <w:pPr>
              <w:pStyle w:val="TableParagraph"/>
              <w:spacing w:before="31"/>
              <w:ind w:left="367"/>
              <w:rPr>
                <w:b/>
                <w:sz w:val="16"/>
              </w:rPr>
            </w:pPr>
            <w:r>
              <w:rPr>
                <w:b/>
                <w:sz w:val="16"/>
              </w:rPr>
              <w:t>$'000</w:t>
            </w:r>
          </w:p>
        </w:tc>
        <w:tc>
          <w:tcPr>
            <w:tcW w:w="1114" w:type="dxa"/>
          </w:tcPr>
          <w:p w14:paraId="068BD3AE" w14:textId="77777777" w:rsidR="00FA4AA8" w:rsidRDefault="0015611F">
            <w:pPr>
              <w:pStyle w:val="TableParagraph"/>
              <w:spacing w:before="31"/>
              <w:ind w:left="313"/>
              <w:rPr>
                <w:b/>
                <w:sz w:val="16"/>
              </w:rPr>
            </w:pPr>
            <w:r>
              <w:rPr>
                <w:b/>
                <w:sz w:val="16"/>
              </w:rPr>
              <w:t>$'000</w:t>
            </w:r>
          </w:p>
        </w:tc>
        <w:tc>
          <w:tcPr>
            <w:tcW w:w="1216" w:type="dxa"/>
          </w:tcPr>
          <w:p w14:paraId="3D446811" w14:textId="77777777" w:rsidR="00FA4AA8" w:rsidRDefault="0015611F">
            <w:pPr>
              <w:pStyle w:val="TableParagraph"/>
              <w:spacing w:before="31"/>
              <w:ind w:left="356"/>
              <w:rPr>
                <w:b/>
                <w:sz w:val="16"/>
              </w:rPr>
            </w:pPr>
            <w:r>
              <w:rPr>
                <w:b/>
                <w:sz w:val="16"/>
              </w:rPr>
              <w:t>$'000</w:t>
            </w:r>
          </w:p>
        </w:tc>
        <w:tc>
          <w:tcPr>
            <w:tcW w:w="1178" w:type="dxa"/>
          </w:tcPr>
          <w:p w14:paraId="04593450" w14:textId="77777777" w:rsidR="00FA4AA8" w:rsidRDefault="0015611F">
            <w:pPr>
              <w:pStyle w:val="TableParagraph"/>
              <w:spacing w:before="31"/>
              <w:ind w:left="300"/>
              <w:rPr>
                <w:b/>
                <w:sz w:val="16"/>
              </w:rPr>
            </w:pPr>
            <w:r>
              <w:rPr>
                <w:b/>
                <w:sz w:val="16"/>
              </w:rPr>
              <w:t>$'000</w:t>
            </w:r>
          </w:p>
        </w:tc>
        <w:tc>
          <w:tcPr>
            <w:tcW w:w="1161" w:type="dxa"/>
          </w:tcPr>
          <w:p w14:paraId="6D389642" w14:textId="77777777" w:rsidR="00FA4AA8" w:rsidRDefault="0015611F">
            <w:pPr>
              <w:pStyle w:val="TableParagraph"/>
              <w:spacing w:before="31"/>
              <w:ind w:left="254"/>
              <w:rPr>
                <w:b/>
                <w:sz w:val="16"/>
              </w:rPr>
            </w:pPr>
            <w:r>
              <w:rPr>
                <w:b/>
                <w:sz w:val="16"/>
              </w:rPr>
              <w:t>$'000</w:t>
            </w:r>
          </w:p>
        </w:tc>
        <w:tc>
          <w:tcPr>
            <w:tcW w:w="974" w:type="dxa"/>
          </w:tcPr>
          <w:p w14:paraId="2EE960D5" w14:textId="77777777" w:rsidR="00FA4AA8" w:rsidRDefault="0015611F">
            <w:pPr>
              <w:pStyle w:val="TableParagraph"/>
              <w:spacing w:before="31"/>
              <w:ind w:left="226"/>
              <w:rPr>
                <w:b/>
                <w:sz w:val="16"/>
              </w:rPr>
            </w:pPr>
            <w:r>
              <w:rPr>
                <w:b/>
                <w:sz w:val="16"/>
              </w:rPr>
              <w:t>$'000</w:t>
            </w:r>
          </w:p>
        </w:tc>
      </w:tr>
      <w:tr w:rsidR="00FA4AA8" w14:paraId="420AE6F7" w14:textId="77777777">
        <w:trPr>
          <w:trHeight w:val="272"/>
        </w:trPr>
        <w:tc>
          <w:tcPr>
            <w:tcW w:w="415" w:type="dxa"/>
          </w:tcPr>
          <w:p w14:paraId="5DF006D4" w14:textId="77777777" w:rsidR="00FA4AA8" w:rsidRDefault="00FA4AA8">
            <w:pPr>
              <w:pStyle w:val="TableParagraph"/>
              <w:rPr>
                <w:rFonts w:ascii="Times New Roman"/>
                <w:sz w:val="16"/>
              </w:rPr>
            </w:pPr>
          </w:p>
        </w:tc>
        <w:tc>
          <w:tcPr>
            <w:tcW w:w="4195" w:type="dxa"/>
            <w:gridSpan w:val="2"/>
          </w:tcPr>
          <w:p w14:paraId="5C42DCBD" w14:textId="77777777" w:rsidR="00FA4AA8" w:rsidRDefault="0015611F">
            <w:pPr>
              <w:pStyle w:val="TableParagraph"/>
              <w:spacing w:before="71" w:line="181" w:lineRule="exact"/>
              <w:ind w:left="69"/>
              <w:rPr>
                <w:b/>
                <w:sz w:val="16"/>
              </w:rPr>
            </w:pPr>
            <w:r>
              <w:rPr>
                <w:b/>
                <w:sz w:val="16"/>
              </w:rPr>
              <w:t>At 1 January 2017</w:t>
            </w:r>
          </w:p>
        </w:tc>
        <w:tc>
          <w:tcPr>
            <w:tcW w:w="1190" w:type="dxa"/>
          </w:tcPr>
          <w:p w14:paraId="0C1B23D1" w14:textId="77777777" w:rsidR="00FA4AA8" w:rsidRDefault="00FA4AA8">
            <w:pPr>
              <w:pStyle w:val="TableParagraph"/>
              <w:rPr>
                <w:rFonts w:ascii="Times New Roman"/>
                <w:sz w:val="16"/>
              </w:rPr>
            </w:pPr>
          </w:p>
        </w:tc>
        <w:tc>
          <w:tcPr>
            <w:tcW w:w="1182" w:type="dxa"/>
          </w:tcPr>
          <w:p w14:paraId="0839C4A6" w14:textId="77777777" w:rsidR="00FA4AA8" w:rsidRDefault="00FA4AA8">
            <w:pPr>
              <w:pStyle w:val="TableParagraph"/>
              <w:rPr>
                <w:rFonts w:ascii="Times New Roman"/>
                <w:sz w:val="16"/>
              </w:rPr>
            </w:pPr>
          </w:p>
        </w:tc>
        <w:tc>
          <w:tcPr>
            <w:tcW w:w="1084" w:type="dxa"/>
          </w:tcPr>
          <w:p w14:paraId="2B39BEDE" w14:textId="77777777" w:rsidR="00FA4AA8" w:rsidRDefault="00FA4AA8">
            <w:pPr>
              <w:pStyle w:val="TableParagraph"/>
              <w:rPr>
                <w:rFonts w:ascii="Times New Roman"/>
                <w:sz w:val="16"/>
              </w:rPr>
            </w:pPr>
          </w:p>
        </w:tc>
        <w:tc>
          <w:tcPr>
            <w:tcW w:w="1186" w:type="dxa"/>
          </w:tcPr>
          <w:p w14:paraId="615C04B7" w14:textId="77777777" w:rsidR="00FA4AA8" w:rsidRDefault="00FA4AA8">
            <w:pPr>
              <w:pStyle w:val="TableParagraph"/>
              <w:rPr>
                <w:rFonts w:ascii="Times New Roman"/>
                <w:sz w:val="16"/>
              </w:rPr>
            </w:pPr>
          </w:p>
        </w:tc>
        <w:tc>
          <w:tcPr>
            <w:tcW w:w="1114" w:type="dxa"/>
          </w:tcPr>
          <w:p w14:paraId="222DD7EB" w14:textId="77777777" w:rsidR="00FA4AA8" w:rsidRDefault="00FA4AA8">
            <w:pPr>
              <w:pStyle w:val="TableParagraph"/>
              <w:rPr>
                <w:rFonts w:ascii="Times New Roman"/>
                <w:sz w:val="16"/>
              </w:rPr>
            </w:pPr>
          </w:p>
        </w:tc>
        <w:tc>
          <w:tcPr>
            <w:tcW w:w="1216" w:type="dxa"/>
          </w:tcPr>
          <w:p w14:paraId="53C11A60" w14:textId="77777777" w:rsidR="00FA4AA8" w:rsidRDefault="00FA4AA8">
            <w:pPr>
              <w:pStyle w:val="TableParagraph"/>
              <w:rPr>
                <w:rFonts w:ascii="Times New Roman"/>
                <w:sz w:val="16"/>
              </w:rPr>
            </w:pPr>
          </w:p>
        </w:tc>
        <w:tc>
          <w:tcPr>
            <w:tcW w:w="1178" w:type="dxa"/>
          </w:tcPr>
          <w:p w14:paraId="321DC412" w14:textId="77777777" w:rsidR="00FA4AA8" w:rsidRDefault="00FA4AA8">
            <w:pPr>
              <w:pStyle w:val="TableParagraph"/>
              <w:rPr>
                <w:rFonts w:ascii="Times New Roman"/>
                <w:sz w:val="16"/>
              </w:rPr>
            </w:pPr>
          </w:p>
        </w:tc>
        <w:tc>
          <w:tcPr>
            <w:tcW w:w="1161" w:type="dxa"/>
          </w:tcPr>
          <w:p w14:paraId="3AF7AF4C" w14:textId="77777777" w:rsidR="00FA4AA8" w:rsidRDefault="00FA4AA8">
            <w:pPr>
              <w:pStyle w:val="TableParagraph"/>
              <w:rPr>
                <w:rFonts w:ascii="Times New Roman"/>
                <w:sz w:val="16"/>
              </w:rPr>
            </w:pPr>
          </w:p>
        </w:tc>
        <w:tc>
          <w:tcPr>
            <w:tcW w:w="974" w:type="dxa"/>
          </w:tcPr>
          <w:p w14:paraId="4B0CB865" w14:textId="77777777" w:rsidR="00FA4AA8" w:rsidRDefault="00FA4AA8">
            <w:pPr>
              <w:pStyle w:val="TableParagraph"/>
              <w:rPr>
                <w:rFonts w:ascii="Times New Roman"/>
                <w:sz w:val="16"/>
              </w:rPr>
            </w:pPr>
          </w:p>
        </w:tc>
      </w:tr>
      <w:tr w:rsidR="00FA4AA8" w14:paraId="15DCEF37" w14:textId="77777777">
        <w:trPr>
          <w:trHeight w:val="229"/>
        </w:trPr>
        <w:tc>
          <w:tcPr>
            <w:tcW w:w="415" w:type="dxa"/>
          </w:tcPr>
          <w:p w14:paraId="374B5744" w14:textId="77777777" w:rsidR="00FA4AA8" w:rsidRDefault="00FA4AA8">
            <w:pPr>
              <w:pStyle w:val="TableParagraph"/>
              <w:rPr>
                <w:rFonts w:ascii="Times New Roman"/>
                <w:sz w:val="16"/>
              </w:rPr>
            </w:pPr>
          </w:p>
        </w:tc>
        <w:tc>
          <w:tcPr>
            <w:tcW w:w="4195" w:type="dxa"/>
            <w:gridSpan w:val="2"/>
          </w:tcPr>
          <w:p w14:paraId="605F94C2" w14:textId="77777777" w:rsidR="00FA4AA8" w:rsidRDefault="0015611F">
            <w:pPr>
              <w:pStyle w:val="TableParagraph"/>
              <w:tabs>
                <w:tab w:val="left" w:pos="3628"/>
              </w:tabs>
              <w:spacing w:before="15"/>
              <w:ind w:left="69"/>
              <w:rPr>
                <w:sz w:val="16"/>
              </w:rPr>
            </w:pPr>
            <w:r>
              <w:rPr>
                <w:sz w:val="16"/>
              </w:rPr>
              <w:t>-</w:t>
            </w:r>
            <w:r>
              <w:rPr>
                <w:spacing w:val="-1"/>
                <w:sz w:val="16"/>
              </w:rPr>
              <w:t xml:space="preserve"> </w:t>
            </w:r>
            <w:r>
              <w:rPr>
                <w:sz w:val="16"/>
              </w:rPr>
              <w:t>Cost</w:t>
            </w:r>
            <w:r>
              <w:rPr>
                <w:sz w:val="16"/>
              </w:rPr>
              <w:tab/>
              <w:t>84,171</w:t>
            </w:r>
          </w:p>
        </w:tc>
        <w:tc>
          <w:tcPr>
            <w:tcW w:w="1190" w:type="dxa"/>
          </w:tcPr>
          <w:p w14:paraId="4DDAB423" w14:textId="77777777" w:rsidR="00FA4AA8" w:rsidRDefault="0015611F">
            <w:pPr>
              <w:pStyle w:val="TableParagraph"/>
              <w:spacing w:before="12"/>
              <w:ind w:right="131"/>
              <w:jc w:val="right"/>
              <w:rPr>
                <w:sz w:val="16"/>
              </w:rPr>
            </w:pPr>
            <w:r>
              <w:rPr>
                <w:sz w:val="16"/>
              </w:rPr>
              <w:t>-</w:t>
            </w:r>
          </w:p>
        </w:tc>
        <w:tc>
          <w:tcPr>
            <w:tcW w:w="1182" w:type="dxa"/>
          </w:tcPr>
          <w:p w14:paraId="5A3D7E80" w14:textId="77777777" w:rsidR="00FA4AA8" w:rsidRDefault="0015611F">
            <w:pPr>
              <w:pStyle w:val="TableParagraph"/>
              <w:spacing w:before="12"/>
              <w:ind w:right="149"/>
              <w:jc w:val="right"/>
              <w:rPr>
                <w:sz w:val="16"/>
              </w:rPr>
            </w:pPr>
            <w:r>
              <w:rPr>
                <w:sz w:val="16"/>
              </w:rPr>
              <w:t>-</w:t>
            </w:r>
          </w:p>
        </w:tc>
        <w:tc>
          <w:tcPr>
            <w:tcW w:w="1084" w:type="dxa"/>
          </w:tcPr>
          <w:p w14:paraId="042AE1E6" w14:textId="77777777" w:rsidR="00FA4AA8" w:rsidRDefault="0015611F">
            <w:pPr>
              <w:pStyle w:val="TableParagraph"/>
              <w:spacing w:before="12"/>
              <w:ind w:right="98"/>
              <w:jc w:val="right"/>
              <w:rPr>
                <w:sz w:val="16"/>
              </w:rPr>
            </w:pPr>
            <w:r>
              <w:rPr>
                <w:sz w:val="16"/>
              </w:rPr>
              <w:t>47,788</w:t>
            </w:r>
          </w:p>
        </w:tc>
        <w:tc>
          <w:tcPr>
            <w:tcW w:w="1186" w:type="dxa"/>
          </w:tcPr>
          <w:p w14:paraId="7C28EF85" w14:textId="77777777" w:rsidR="00FA4AA8" w:rsidRDefault="0015611F">
            <w:pPr>
              <w:pStyle w:val="TableParagraph"/>
              <w:spacing w:before="12"/>
              <w:ind w:right="151"/>
              <w:jc w:val="right"/>
              <w:rPr>
                <w:sz w:val="16"/>
              </w:rPr>
            </w:pPr>
            <w:r>
              <w:rPr>
                <w:sz w:val="16"/>
              </w:rPr>
              <w:t>2,518</w:t>
            </w:r>
          </w:p>
        </w:tc>
        <w:tc>
          <w:tcPr>
            <w:tcW w:w="1114" w:type="dxa"/>
          </w:tcPr>
          <w:p w14:paraId="4979BFA5" w14:textId="77777777" w:rsidR="00FA4AA8" w:rsidRDefault="0015611F">
            <w:pPr>
              <w:pStyle w:val="TableParagraph"/>
              <w:spacing w:before="12"/>
              <w:ind w:left="400"/>
              <w:rPr>
                <w:sz w:val="16"/>
              </w:rPr>
            </w:pPr>
            <w:r>
              <w:rPr>
                <w:sz w:val="16"/>
              </w:rPr>
              <w:t>147,150</w:t>
            </w:r>
          </w:p>
        </w:tc>
        <w:tc>
          <w:tcPr>
            <w:tcW w:w="1216" w:type="dxa"/>
          </w:tcPr>
          <w:p w14:paraId="5EBA005F" w14:textId="77777777" w:rsidR="00FA4AA8" w:rsidRDefault="0015611F">
            <w:pPr>
              <w:pStyle w:val="TableParagraph"/>
              <w:spacing w:before="12"/>
              <w:ind w:right="165"/>
              <w:jc w:val="right"/>
              <w:rPr>
                <w:sz w:val="16"/>
              </w:rPr>
            </w:pPr>
            <w:r>
              <w:rPr>
                <w:sz w:val="16"/>
              </w:rPr>
              <w:t>19,122</w:t>
            </w:r>
          </w:p>
        </w:tc>
        <w:tc>
          <w:tcPr>
            <w:tcW w:w="1178" w:type="dxa"/>
          </w:tcPr>
          <w:p w14:paraId="20AD17C7" w14:textId="77777777" w:rsidR="00FA4AA8" w:rsidRDefault="0015611F">
            <w:pPr>
              <w:pStyle w:val="TableParagraph"/>
              <w:spacing w:before="12"/>
              <w:ind w:right="210"/>
              <w:jc w:val="right"/>
              <w:rPr>
                <w:sz w:val="16"/>
              </w:rPr>
            </w:pPr>
            <w:r>
              <w:rPr>
                <w:sz w:val="16"/>
              </w:rPr>
              <w:t>81,139</w:t>
            </w:r>
          </w:p>
        </w:tc>
        <w:tc>
          <w:tcPr>
            <w:tcW w:w="1161" w:type="dxa"/>
          </w:tcPr>
          <w:p w14:paraId="2B75E9E9" w14:textId="77777777" w:rsidR="00FA4AA8" w:rsidRDefault="0015611F">
            <w:pPr>
              <w:pStyle w:val="TableParagraph"/>
              <w:spacing w:before="12"/>
              <w:ind w:right="238"/>
              <w:jc w:val="right"/>
              <w:rPr>
                <w:sz w:val="16"/>
              </w:rPr>
            </w:pPr>
            <w:r>
              <w:rPr>
                <w:sz w:val="16"/>
              </w:rPr>
              <w:t>-</w:t>
            </w:r>
          </w:p>
        </w:tc>
        <w:tc>
          <w:tcPr>
            <w:tcW w:w="974" w:type="dxa"/>
          </w:tcPr>
          <w:p w14:paraId="659B6775" w14:textId="77777777" w:rsidR="00FA4AA8" w:rsidRDefault="0015611F">
            <w:pPr>
              <w:pStyle w:val="TableParagraph"/>
              <w:spacing w:before="12"/>
              <w:ind w:right="80"/>
              <w:jc w:val="right"/>
              <w:rPr>
                <w:sz w:val="16"/>
              </w:rPr>
            </w:pPr>
            <w:r>
              <w:rPr>
                <w:sz w:val="16"/>
              </w:rPr>
              <w:t>381,888</w:t>
            </w:r>
          </w:p>
        </w:tc>
      </w:tr>
      <w:tr w:rsidR="00FA4AA8" w14:paraId="4A6B6B59" w14:textId="77777777">
        <w:trPr>
          <w:trHeight w:val="241"/>
        </w:trPr>
        <w:tc>
          <w:tcPr>
            <w:tcW w:w="415" w:type="dxa"/>
          </w:tcPr>
          <w:p w14:paraId="57D1C02F" w14:textId="77777777" w:rsidR="00FA4AA8" w:rsidRDefault="00FA4AA8">
            <w:pPr>
              <w:pStyle w:val="TableParagraph"/>
              <w:rPr>
                <w:rFonts w:ascii="Times New Roman"/>
                <w:sz w:val="16"/>
              </w:rPr>
            </w:pPr>
          </w:p>
        </w:tc>
        <w:tc>
          <w:tcPr>
            <w:tcW w:w="4195" w:type="dxa"/>
            <w:gridSpan w:val="2"/>
          </w:tcPr>
          <w:p w14:paraId="24C6B58D" w14:textId="77777777" w:rsidR="00FA4AA8" w:rsidRDefault="0015611F">
            <w:pPr>
              <w:pStyle w:val="TableParagraph"/>
              <w:tabs>
                <w:tab w:val="left" w:pos="4065"/>
              </w:tabs>
              <w:spacing w:before="28"/>
              <w:ind w:left="69"/>
              <w:rPr>
                <w:sz w:val="16"/>
              </w:rPr>
            </w:pPr>
            <w:r>
              <w:rPr>
                <w:sz w:val="16"/>
              </w:rPr>
              <w:t>-</w:t>
            </w:r>
            <w:r>
              <w:rPr>
                <w:spacing w:val="1"/>
                <w:sz w:val="16"/>
              </w:rPr>
              <w:t xml:space="preserve"> </w:t>
            </w:r>
            <w:r>
              <w:rPr>
                <w:sz w:val="16"/>
              </w:rPr>
              <w:t>Valuation</w:t>
            </w:r>
            <w:r>
              <w:rPr>
                <w:sz w:val="16"/>
              </w:rPr>
              <w:tab/>
              <w:t>-</w:t>
            </w:r>
          </w:p>
        </w:tc>
        <w:tc>
          <w:tcPr>
            <w:tcW w:w="1190" w:type="dxa"/>
          </w:tcPr>
          <w:p w14:paraId="762F99F7" w14:textId="77777777" w:rsidR="00FA4AA8" w:rsidRDefault="0015611F">
            <w:pPr>
              <w:pStyle w:val="TableParagraph"/>
              <w:spacing w:before="25"/>
              <w:ind w:right="131"/>
              <w:jc w:val="right"/>
              <w:rPr>
                <w:sz w:val="16"/>
              </w:rPr>
            </w:pPr>
            <w:r>
              <w:rPr>
                <w:sz w:val="16"/>
              </w:rPr>
              <w:t>204,632</w:t>
            </w:r>
          </w:p>
        </w:tc>
        <w:tc>
          <w:tcPr>
            <w:tcW w:w="1182" w:type="dxa"/>
          </w:tcPr>
          <w:p w14:paraId="1B329E55" w14:textId="77777777" w:rsidR="00FA4AA8" w:rsidRDefault="0015611F">
            <w:pPr>
              <w:pStyle w:val="TableParagraph"/>
              <w:spacing w:before="25"/>
              <w:ind w:right="149"/>
              <w:jc w:val="right"/>
              <w:rPr>
                <w:sz w:val="16"/>
              </w:rPr>
            </w:pPr>
            <w:r>
              <w:rPr>
                <w:sz w:val="16"/>
              </w:rPr>
              <w:t>162,335</w:t>
            </w:r>
          </w:p>
        </w:tc>
        <w:tc>
          <w:tcPr>
            <w:tcW w:w="1084" w:type="dxa"/>
          </w:tcPr>
          <w:p w14:paraId="7FF0D142" w14:textId="77777777" w:rsidR="00FA4AA8" w:rsidRDefault="0015611F">
            <w:pPr>
              <w:pStyle w:val="TableParagraph"/>
              <w:spacing w:before="25"/>
              <w:ind w:right="98"/>
              <w:jc w:val="right"/>
              <w:rPr>
                <w:sz w:val="16"/>
              </w:rPr>
            </w:pPr>
            <w:r>
              <w:rPr>
                <w:sz w:val="16"/>
              </w:rPr>
              <w:t>920,514</w:t>
            </w:r>
          </w:p>
        </w:tc>
        <w:tc>
          <w:tcPr>
            <w:tcW w:w="1186" w:type="dxa"/>
          </w:tcPr>
          <w:p w14:paraId="5498BB86" w14:textId="77777777" w:rsidR="00FA4AA8" w:rsidRDefault="0015611F">
            <w:pPr>
              <w:pStyle w:val="TableParagraph"/>
              <w:spacing w:before="25"/>
              <w:ind w:right="151"/>
              <w:jc w:val="right"/>
              <w:rPr>
                <w:sz w:val="16"/>
              </w:rPr>
            </w:pPr>
            <w:r>
              <w:rPr>
                <w:sz w:val="16"/>
              </w:rPr>
              <w:t>90,256</w:t>
            </w:r>
          </w:p>
        </w:tc>
        <w:tc>
          <w:tcPr>
            <w:tcW w:w="1114" w:type="dxa"/>
          </w:tcPr>
          <w:p w14:paraId="025EE8E9" w14:textId="77777777" w:rsidR="00FA4AA8" w:rsidRDefault="0015611F">
            <w:pPr>
              <w:pStyle w:val="TableParagraph"/>
              <w:spacing w:before="25"/>
              <w:ind w:right="132"/>
              <w:jc w:val="right"/>
              <w:rPr>
                <w:sz w:val="16"/>
              </w:rPr>
            </w:pPr>
            <w:r>
              <w:rPr>
                <w:sz w:val="16"/>
              </w:rPr>
              <w:t>-</w:t>
            </w:r>
          </w:p>
        </w:tc>
        <w:tc>
          <w:tcPr>
            <w:tcW w:w="1216" w:type="dxa"/>
          </w:tcPr>
          <w:p w14:paraId="0E19F556" w14:textId="77777777" w:rsidR="00FA4AA8" w:rsidRDefault="0015611F">
            <w:pPr>
              <w:pStyle w:val="TableParagraph"/>
              <w:spacing w:before="25"/>
              <w:ind w:right="165"/>
              <w:jc w:val="right"/>
              <w:rPr>
                <w:sz w:val="16"/>
              </w:rPr>
            </w:pPr>
            <w:r>
              <w:rPr>
                <w:sz w:val="16"/>
              </w:rPr>
              <w:t>-</w:t>
            </w:r>
          </w:p>
        </w:tc>
        <w:tc>
          <w:tcPr>
            <w:tcW w:w="1178" w:type="dxa"/>
          </w:tcPr>
          <w:p w14:paraId="14E58AB0" w14:textId="77777777" w:rsidR="00FA4AA8" w:rsidRDefault="0015611F">
            <w:pPr>
              <w:pStyle w:val="TableParagraph"/>
              <w:spacing w:before="25"/>
              <w:ind w:right="211"/>
              <w:jc w:val="right"/>
              <w:rPr>
                <w:sz w:val="16"/>
              </w:rPr>
            </w:pPr>
            <w:r>
              <w:rPr>
                <w:sz w:val="16"/>
              </w:rPr>
              <w:t>881</w:t>
            </w:r>
          </w:p>
        </w:tc>
        <w:tc>
          <w:tcPr>
            <w:tcW w:w="1161" w:type="dxa"/>
          </w:tcPr>
          <w:p w14:paraId="45062D05" w14:textId="77777777" w:rsidR="00FA4AA8" w:rsidRDefault="0015611F">
            <w:pPr>
              <w:pStyle w:val="TableParagraph"/>
              <w:spacing w:before="25"/>
              <w:ind w:right="239"/>
              <w:jc w:val="right"/>
              <w:rPr>
                <w:sz w:val="16"/>
              </w:rPr>
            </w:pPr>
            <w:r>
              <w:rPr>
                <w:sz w:val="16"/>
              </w:rPr>
              <w:t>4,192</w:t>
            </w:r>
          </w:p>
        </w:tc>
        <w:tc>
          <w:tcPr>
            <w:tcW w:w="974" w:type="dxa"/>
          </w:tcPr>
          <w:p w14:paraId="18FA03AB" w14:textId="77777777" w:rsidR="00FA4AA8" w:rsidRDefault="0015611F">
            <w:pPr>
              <w:pStyle w:val="TableParagraph"/>
              <w:spacing w:before="25"/>
              <w:ind w:right="80"/>
              <w:jc w:val="right"/>
              <w:rPr>
                <w:sz w:val="16"/>
              </w:rPr>
            </w:pPr>
            <w:r>
              <w:rPr>
                <w:sz w:val="16"/>
              </w:rPr>
              <w:t>1,382,810</w:t>
            </w:r>
          </w:p>
        </w:tc>
      </w:tr>
      <w:tr w:rsidR="00FA4AA8" w14:paraId="4CF9786D" w14:textId="77777777">
        <w:trPr>
          <w:trHeight w:val="417"/>
        </w:trPr>
        <w:tc>
          <w:tcPr>
            <w:tcW w:w="415" w:type="dxa"/>
          </w:tcPr>
          <w:p w14:paraId="1601FFF7" w14:textId="77777777" w:rsidR="00FA4AA8" w:rsidRDefault="00FA4AA8">
            <w:pPr>
              <w:pStyle w:val="TableParagraph"/>
              <w:rPr>
                <w:rFonts w:ascii="Times New Roman"/>
                <w:sz w:val="16"/>
              </w:rPr>
            </w:pPr>
          </w:p>
        </w:tc>
        <w:tc>
          <w:tcPr>
            <w:tcW w:w="4195" w:type="dxa"/>
            <w:gridSpan w:val="2"/>
          </w:tcPr>
          <w:p w14:paraId="65C556E8" w14:textId="77777777" w:rsidR="00FA4AA8" w:rsidRDefault="0015611F">
            <w:pPr>
              <w:pStyle w:val="TableParagraph"/>
              <w:spacing w:before="24"/>
              <w:ind w:left="69"/>
              <w:rPr>
                <w:sz w:val="16"/>
              </w:rPr>
            </w:pPr>
            <w:r>
              <w:rPr>
                <w:sz w:val="16"/>
              </w:rPr>
              <w:t>Accumulated depreciation and</w:t>
            </w:r>
          </w:p>
          <w:p w14:paraId="5EA3FA9D" w14:textId="77777777" w:rsidR="00FA4AA8" w:rsidRDefault="0015611F">
            <w:pPr>
              <w:pStyle w:val="TableParagraph"/>
              <w:tabs>
                <w:tab w:val="left" w:pos="4065"/>
              </w:tabs>
              <w:spacing w:before="1"/>
              <w:ind w:left="69"/>
              <w:rPr>
                <w:sz w:val="16"/>
              </w:rPr>
            </w:pPr>
            <w:r>
              <w:rPr>
                <w:sz w:val="16"/>
              </w:rPr>
              <w:t>impairment</w:t>
            </w:r>
            <w:r>
              <w:rPr>
                <w:sz w:val="16"/>
              </w:rPr>
              <w:tab/>
              <w:t>-</w:t>
            </w:r>
          </w:p>
        </w:tc>
        <w:tc>
          <w:tcPr>
            <w:tcW w:w="1190" w:type="dxa"/>
            <w:tcBorders>
              <w:bottom w:val="single" w:sz="8" w:space="0" w:color="000000"/>
            </w:tcBorders>
          </w:tcPr>
          <w:p w14:paraId="53D24E4C" w14:textId="77777777" w:rsidR="00FA4AA8" w:rsidRDefault="00FA4AA8">
            <w:pPr>
              <w:pStyle w:val="TableParagraph"/>
              <w:spacing w:before="11"/>
              <w:rPr>
                <w:b/>
                <w:sz w:val="17"/>
              </w:rPr>
            </w:pPr>
          </w:p>
          <w:p w14:paraId="46129DB7" w14:textId="77777777" w:rsidR="00FA4AA8" w:rsidRDefault="0015611F">
            <w:pPr>
              <w:pStyle w:val="TableParagraph"/>
              <w:ind w:right="131"/>
              <w:jc w:val="right"/>
              <w:rPr>
                <w:sz w:val="16"/>
              </w:rPr>
            </w:pPr>
            <w:r>
              <w:rPr>
                <w:sz w:val="16"/>
              </w:rPr>
              <w:t>-</w:t>
            </w:r>
          </w:p>
        </w:tc>
        <w:tc>
          <w:tcPr>
            <w:tcW w:w="1182" w:type="dxa"/>
            <w:tcBorders>
              <w:bottom w:val="single" w:sz="8" w:space="0" w:color="000000"/>
            </w:tcBorders>
          </w:tcPr>
          <w:p w14:paraId="533942BB" w14:textId="77777777" w:rsidR="00FA4AA8" w:rsidRDefault="00FA4AA8">
            <w:pPr>
              <w:pStyle w:val="TableParagraph"/>
              <w:spacing w:before="11"/>
              <w:rPr>
                <w:b/>
                <w:sz w:val="17"/>
              </w:rPr>
            </w:pPr>
          </w:p>
          <w:p w14:paraId="56C1E430" w14:textId="77777777" w:rsidR="00FA4AA8" w:rsidRDefault="0015611F">
            <w:pPr>
              <w:pStyle w:val="TableParagraph"/>
              <w:ind w:right="149"/>
              <w:jc w:val="right"/>
              <w:rPr>
                <w:sz w:val="16"/>
              </w:rPr>
            </w:pPr>
            <w:r>
              <w:rPr>
                <w:sz w:val="16"/>
              </w:rPr>
              <w:t>-</w:t>
            </w:r>
          </w:p>
        </w:tc>
        <w:tc>
          <w:tcPr>
            <w:tcW w:w="1084" w:type="dxa"/>
            <w:tcBorders>
              <w:bottom w:val="single" w:sz="8" w:space="0" w:color="000000"/>
            </w:tcBorders>
          </w:tcPr>
          <w:p w14:paraId="675BE0A0" w14:textId="77777777" w:rsidR="00FA4AA8" w:rsidRDefault="00FA4AA8">
            <w:pPr>
              <w:pStyle w:val="TableParagraph"/>
              <w:spacing w:before="11"/>
              <w:rPr>
                <w:b/>
                <w:sz w:val="17"/>
              </w:rPr>
            </w:pPr>
          </w:p>
          <w:p w14:paraId="4AC53623" w14:textId="77777777" w:rsidR="00FA4AA8" w:rsidRDefault="0015611F">
            <w:pPr>
              <w:pStyle w:val="TableParagraph"/>
              <w:ind w:right="45"/>
              <w:jc w:val="right"/>
              <w:rPr>
                <w:sz w:val="16"/>
              </w:rPr>
            </w:pPr>
            <w:r>
              <w:rPr>
                <w:sz w:val="16"/>
              </w:rPr>
              <w:t>(7,545)</w:t>
            </w:r>
          </w:p>
        </w:tc>
        <w:tc>
          <w:tcPr>
            <w:tcW w:w="1186" w:type="dxa"/>
            <w:tcBorders>
              <w:bottom w:val="single" w:sz="8" w:space="0" w:color="000000"/>
            </w:tcBorders>
          </w:tcPr>
          <w:p w14:paraId="0ABAB8A8" w14:textId="77777777" w:rsidR="00FA4AA8" w:rsidRDefault="00FA4AA8">
            <w:pPr>
              <w:pStyle w:val="TableParagraph"/>
              <w:spacing w:before="11"/>
              <w:rPr>
                <w:b/>
                <w:sz w:val="17"/>
              </w:rPr>
            </w:pPr>
          </w:p>
          <w:p w14:paraId="384AB3A3" w14:textId="77777777" w:rsidR="00FA4AA8" w:rsidRDefault="0015611F">
            <w:pPr>
              <w:pStyle w:val="TableParagraph"/>
              <w:ind w:right="98"/>
              <w:jc w:val="right"/>
              <w:rPr>
                <w:sz w:val="16"/>
              </w:rPr>
            </w:pPr>
            <w:r>
              <w:rPr>
                <w:sz w:val="16"/>
              </w:rPr>
              <w:t>(1,425)</w:t>
            </w:r>
          </w:p>
        </w:tc>
        <w:tc>
          <w:tcPr>
            <w:tcW w:w="1114" w:type="dxa"/>
            <w:tcBorders>
              <w:bottom w:val="single" w:sz="8" w:space="0" w:color="000000"/>
            </w:tcBorders>
          </w:tcPr>
          <w:p w14:paraId="24DA4D4E" w14:textId="77777777" w:rsidR="00FA4AA8" w:rsidRDefault="00FA4AA8">
            <w:pPr>
              <w:pStyle w:val="TableParagraph"/>
              <w:spacing w:before="11"/>
              <w:rPr>
                <w:b/>
                <w:sz w:val="17"/>
              </w:rPr>
            </w:pPr>
          </w:p>
          <w:p w14:paraId="65D4820D" w14:textId="77777777" w:rsidR="00FA4AA8" w:rsidRDefault="0015611F">
            <w:pPr>
              <w:pStyle w:val="TableParagraph"/>
              <w:ind w:right="80"/>
              <w:jc w:val="right"/>
              <w:rPr>
                <w:sz w:val="16"/>
              </w:rPr>
            </w:pPr>
            <w:r>
              <w:rPr>
                <w:sz w:val="16"/>
              </w:rPr>
              <w:t>(81,400)</w:t>
            </w:r>
          </w:p>
        </w:tc>
        <w:tc>
          <w:tcPr>
            <w:tcW w:w="1216" w:type="dxa"/>
            <w:tcBorders>
              <w:bottom w:val="single" w:sz="8" w:space="0" w:color="000000"/>
            </w:tcBorders>
          </w:tcPr>
          <w:p w14:paraId="248E08F6" w14:textId="77777777" w:rsidR="00FA4AA8" w:rsidRDefault="00FA4AA8">
            <w:pPr>
              <w:pStyle w:val="TableParagraph"/>
              <w:spacing w:before="11"/>
              <w:rPr>
                <w:b/>
                <w:sz w:val="17"/>
              </w:rPr>
            </w:pPr>
          </w:p>
          <w:p w14:paraId="77FA8FD8" w14:textId="77777777" w:rsidR="00FA4AA8" w:rsidRDefault="0015611F">
            <w:pPr>
              <w:pStyle w:val="TableParagraph"/>
              <w:ind w:right="112"/>
              <w:jc w:val="right"/>
              <w:rPr>
                <w:sz w:val="16"/>
              </w:rPr>
            </w:pPr>
            <w:r>
              <w:rPr>
                <w:sz w:val="16"/>
              </w:rPr>
              <w:t>(7,152)</w:t>
            </w:r>
          </w:p>
        </w:tc>
        <w:tc>
          <w:tcPr>
            <w:tcW w:w="1178" w:type="dxa"/>
            <w:tcBorders>
              <w:bottom w:val="single" w:sz="8" w:space="0" w:color="000000"/>
            </w:tcBorders>
          </w:tcPr>
          <w:p w14:paraId="626D4070" w14:textId="77777777" w:rsidR="00FA4AA8" w:rsidRDefault="00FA4AA8">
            <w:pPr>
              <w:pStyle w:val="TableParagraph"/>
              <w:spacing w:before="11"/>
              <w:rPr>
                <w:b/>
                <w:sz w:val="17"/>
              </w:rPr>
            </w:pPr>
          </w:p>
          <w:p w14:paraId="144DE2FB" w14:textId="77777777" w:rsidR="00FA4AA8" w:rsidRDefault="0015611F">
            <w:pPr>
              <w:pStyle w:val="TableParagraph"/>
              <w:ind w:right="158"/>
              <w:jc w:val="right"/>
              <w:rPr>
                <w:sz w:val="16"/>
              </w:rPr>
            </w:pPr>
            <w:r>
              <w:rPr>
                <w:sz w:val="16"/>
              </w:rPr>
              <w:t>(74,142)</w:t>
            </w:r>
          </w:p>
        </w:tc>
        <w:tc>
          <w:tcPr>
            <w:tcW w:w="1161" w:type="dxa"/>
            <w:tcBorders>
              <w:bottom w:val="single" w:sz="8" w:space="0" w:color="000000"/>
            </w:tcBorders>
          </w:tcPr>
          <w:p w14:paraId="0B0965F1" w14:textId="77777777" w:rsidR="00FA4AA8" w:rsidRDefault="00FA4AA8">
            <w:pPr>
              <w:pStyle w:val="TableParagraph"/>
              <w:spacing w:before="11"/>
              <w:rPr>
                <w:b/>
                <w:sz w:val="17"/>
              </w:rPr>
            </w:pPr>
          </w:p>
          <w:p w14:paraId="02988F38" w14:textId="77777777" w:rsidR="00FA4AA8" w:rsidRDefault="0015611F">
            <w:pPr>
              <w:pStyle w:val="TableParagraph"/>
              <w:ind w:right="238"/>
              <w:jc w:val="right"/>
              <w:rPr>
                <w:sz w:val="16"/>
              </w:rPr>
            </w:pPr>
            <w:r>
              <w:rPr>
                <w:sz w:val="16"/>
              </w:rPr>
              <w:t>-</w:t>
            </w:r>
          </w:p>
        </w:tc>
        <w:tc>
          <w:tcPr>
            <w:tcW w:w="974" w:type="dxa"/>
            <w:tcBorders>
              <w:bottom w:val="single" w:sz="8" w:space="0" w:color="000000"/>
            </w:tcBorders>
          </w:tcPr>
          <w:p w14:paraId="31BB0174" w14:textId="77777777" w:rsidR="00FA4AA8" w:rsidRDefault="00FA4AA8">
            <w:pPr>
              <w:pStyle w:val="TableParagraph"/>
              <w:spacing w:before="11"/>
              <w:rPr>
                <w:b/>
                <w:sz w:val="17"/>
              </w:rPr>
            </w:pPr>
          </w:p>
          <w:p w14:paraId="6E339C20" w14:textId="77777777" w:rsidR="00FA4AA8" w:rsidRDefault="0015611F">
            <w:pPr>
              <w:pStyle w:val="TableParagraph"/>
              <w:ind w:right="27"/>
              <w:jc w:val="right"/>
              <w:rPr>
                <w:sz w:val="16"/>
              </w:rPr>
            </w:pPr>
            <w:r>
              <w:rPr>
                <w:sz w:val="16"/>
              </w:rPr>
              <w:t>(171,664)</w:t>
            </w:r>
          </w:p>
        </w:tc>
      </w:tr>
      <w:tr w:rsidR="00FA4AA8" w14:paraId="04EDEC9B" w14:textId="77777777">
        <w:trPr>
          <w:trHeight w:val="296"/>
        </w:trPr>
        <w:tc>
          <w:tcPr>
            <w:tcW w:w="415" w:type="dxa"/>
          </w:tcPr>
          <w:p w14:paraId="198DD0BB" w14:textId="77777777" w:rsidR="00FA4AA8" w:rsidRDefault="00FA4AA8">
            <w:pPr>
              <w:pStyle w:val="TableParagraph"/>
              <w:rPr>
                <w:rFonts w:ascii="Times New Roman"/>
                <w:sz w:val="16"/>
              </w:rPr>
            </w:pPr>
          </w:p>
        </w:tc>
        <w:tc>
          <w:tcPr>
            <w:tcW w:w="4195" w:type="dxa"/>
            <w:gridSpan w:val="2"/>
          </w:tcPr>
          <w:p w14:paraId="708D5552" w14:textId="77777777" w:rsidR="00FA4AA8" w:rsidRDefault="0015611F">
            <w:pPr>
              <w:pStyle w:val="TableParagraph"/>
              <w:tabs>
                <w:tab w:val="left" w:pos="3628"/>
              </w:tabs>
              <w:spacing w:before="114" w:line="162" w:lineRule="exact"/>
              <w:ind w:left="69"/>
              <w:rPr>
                <w:sz w:val="16"/>
              </w:rPr>
            </w:pPr>
            <w:r>
              <w:rPr>
                <w:b/>
                <w:sz w:val="16"/>
              </w:rPr>
              <w:t>Net</w:t>
            </w:r>
            <w:r>
              <w:rPr>
                <w:b/>
                <w:spacing w:val="1"/>
                <w:sz w:val="16"/>
              </w:rPr>
              <w:t xml:space="preserve"> </w:t>
            </w:r>
            <w:r>
              <w:rPr>
                <w:b/>
                <w:sz w:val="16"/>
              </w:rPr>
              <w:t>book amount</w:t>
            </w:r>
            <w:r>
              <w:rPr>
                <w:b/>
                <w:sz w:val="16"/>
              </w:rPr>
              <w:tab/>
            </w:r>
            <w:r>
              <w:rPr>
                <w:sz w:val="16"/>
              </w:rPr>
              <w:t>84,171</w:t>
            </w:r>
          </w:p>
        </w:tc>
        <w:tc>
          <w:tcPr>
            <w:tcW w:w="1190" w:type="dxa"/>
            <w:tcBorders>
              <w:top w:val="single" w:sz="8" w:space="0" w:color="000000"/>
              <w:bottom w:val="single" w:sz="8" w:space="0" w:color="000000"/>
            </w:tcBorders>
          </w:tcPr>
          <w:p w14:paraId="790F1E40" w14:textId="77777777" w:rsidR="00FA4AA8" w:rsidRDefault="0015611F">
            <w:pPr>
              <w:pStyle w:val="TableParagraph"/>
              <w:spacing w:before="114" w:line="162" w:lineRule="exact"/>
              <w:ind w:right="131"/>
              <w:jc w:val="right"/>
              <w:rPr>
                <w:sz w:val="16"/>
              </w:rPr>
            </w:pPr>
            <w:r>
              <w:rPr>
                <w:sz w:val="16"/>
              </w:rPr>
              <w:t>204,632</w:t>
            </w:r>
          </w:p>
        </w:tc>
        <w:tc>
          <w:tcPr>
            <w:tcW w:w="1182" w:type="dxa"/>
            <w:tcBorders>
              <w:top w:val="single" w:sz="8" w:space="0" w:color="000000"/>
              <w:bottom w:val="single" w:sz="8" w:space="0" w:color="000000"/>
            </w:tcBorders>
          </w:tcPr>
          <w:p w14:paraId="54087A01" w14:textId="77777777" w:rsidR="00FA4AA8" w:rsidRDefault="0015611F">
            <w:pPr>
              <w:pStyle w:val="TableParagraph"/>
              <w:spacing w:before="114" w:line="162" w:lineRule="exact"/>
              <w:ind w:right="149"/>
              <w:jc w:val="right"/>
              <w:rPr>
                <w:sz w:val="16"/>
              </w:rPr>
            </w:pPr>
            <w:r>
              <w:rPr>
                <w:sz w:val="16"/>
              </w:rPr>
              <w:t>162,335</w:t>
            </w:r>
          </w:p>
        </w:tc>
        <w:tc>
          <w:tcPr>
            <w:tcW w:w="1084" w:type="dxa"/>
            <w:tcBorders>
              <w:top w:val="single" w:sz="8" w:space="0" w:color="000000"/>
              <w:bottom w:val="single" w:sz="8" w:space="0" w:color="000000"/>
            </w:tcBorders>
          </w:tcPr>
          <w:p w14:paraId="643D62D6" w14:textId="77777777" w:rsidR="00FA4AA8" w:rsidRDefault="0015611F">
            <w:pPr>
              <w:pStyle w:val="TableParagraph"/>
              <w:spacing w:before="114" w:line="162" w:lineRule="exact"/>
              <w:ind w:right="98"/>
              <w:jc w:val="right"/>
              <w:rPr>
                <w:sz w:val="16"/>
              </w:rPr>
            </w:pPr>
            <w:r>
              <w:rPr>
                <w:sz w:val="16"/>
              </w:rPr>
              <w:t>960,757</w:t>
            </w:r>
          </w:p>
        </w:tc>
        <w:tc>
          <w:tcPr>
            <w:tcW w:w="1186" w:type="dxa"/>
            <w:tcBorders>
              <w:top w:val="single" w:sz="8" w:space="0" w:color="000000"/>
              <w:bottom w:val="single" w:sz="8" w:space="0" w:color="000000"/>
            </w:tcBorders>
          </w:tcPr>
          <w:p w14:paraId="220589DB" w14:textId="77777777" w:rsidR="00FA4AA8" w:rsidRDefault="0015611F">
            <w:pPr>
              <w:pStyle w:val="TableParagraph"/>
              <w:spacing w:before="114" w:line="162" w:lineRule="exact"/>
              <w:ind w:right="151"/>
              <w:jc w:val="right"/>
              <w:rPr>
                <w:sz w:val="16"/>
              </w:rPr>
            </w:pPr>
            <w:r>
              <w:rPr>
                <w:sz w:val="16"/>
              </w:rPr>
              <w:t>91,349</w:t>
            </w:r>
          </w:p>
        </w:tc>
        <w:tc>
          <w:tcPr>
            <w:tcW w:w="1114" w:type="dxa"/>
            <w:tcBorders>
              <w:top w:val="single" w:sz="8" w:space="0" w:color="000000"/>
              <w:bottom w:val="single" w:sz="8" w:space="0" w:color="000000"/>
            </w:tcBorders>
          </w:tcPr>
          <w:p w14:paraId="49864F6E" w14:textId="77777777" w:rsidR="00FA4AA8" w:rsidRDefault="0015611F">
            <w:pPr>
              <w:pStyle w:val="TableParagraph"/>
              <w:spacing w:before="114" w:line="162" w:lineRule="exact"/>
              <w:ind w:left="489"/>
              <w:rPr>
                <w:sz w:val="16"/>
              </w:rPr>
            </w:pPr>
            <w:r>
              <w:rPr>
                <w:sz w:val="16"/>
              </w:rPr>
              <w:t>65,750</w:t>
            </w:r>
          </w:p>
        </w:tc>
        <w:tc>
          <w:tcPr>
            <w:tcW w:w="1216" w:type="dxa"/>
            <w:tcBorders>
              <w:top w:val="single" w:sz="8" w:space="0" w:color="000000"/>
              <w:bottom w:val="single" w:sz="8" w:space="0" w:color="000000"/>
            </w:tcBorders>
          </w:tcPr>
          <w:p w14:paraId="40A203A1" w14:textId="77777777" w:rsidR="00FA4AA8" w:rsidRDefault="0015611F">
            <w:pPr>
              <w:pStyle w:val="TableParagraph"/>
              <w:spacing w:before="114" w:line="162" w:lineRule="exact"/>
              <w:ind w:right="165"/>
              <w:jc w:val="right"/>
              <w:rPr>
                <w:sz w:val="16"/>
              </w:rPr>
            </w:pPr>
            <w:r>
              <w:rPr>
                <w:sz w:val="16"/>
              </w:rPr>
              <w:t>11,970</w:t>
            </w:r>
          </w:p>
        </w:tc>
        <w:tc>
          <w:tcPr>
            <w:tcW w:w="1178" w:type="dxa"/>
            <w:tcBorders>
              <w:top w:val="single" w:sz="8" w:space="0" w:color="000000"/>
              <w:bottom w:val="single" w:sz="8" w:space="0" w:color="000000"/>
            </w:tcBorders>
          </w:tcPr>
          <w:p w14:paraId="22721B12" w14:textId="77777777" w:rsidR="00FA4AA8" w:rsidRDefault="0015611F">
            <w:pPr>
              <w:pStyle w:val="TableParagraph"/>
              <w:spacing w:before="114" w:line="162" w:lineRule="exact"/>
              <w:ind w:right="210"/>
              <w:jc w:val="right"/>
              <w:rPr>
                <w:sz w:val="16"/>
              </w:rPr>
            </w:pPr>
            <w:r>
              <w:rPr>
                <w:sz w:val="16"/>
              </w:rPr>
              <w:t>7,878</w:t>
            </w:r>
          </w:p>
        </w:tc>
        <w:tc>
          <w:tcPr>
            <w:tcW w:w="1161" w:type="dxa"/>
            <w:tcBorders>
              <w:top w:val="single" w:sz="8" w:space="0" w:color="000000"/>
              <w:bottom w:val="single" w:sz="8" w:space="0" w:color="000000"/>
            </w:tcBorders>
          </w:tcPr>
          <w:p w14:paraId="0E854461" w14:textId="77777777" w:rsidR="00FA4AA8" w:rsidRDefault="0015611F">
            <w:pPr>
              <w:pStyle w:val="TableParagraph"/>
              <w:spacing w:before="114" w:line="162" w:lineRule="exact"/>
              <w:ind w:right="239"/>
              <w:jc w:val="right"/>
              <w:rPr>
                <w:sz w:val="16"/>
              </w:rPr>
            </w:pPr>
            <w:r>
              <w:rPr>
                <w:sz w:val="16"/>
              </w:rPr>
              <w:t>4,192</w:t>
            </w:r>
          </w:p>
        </w:tc>
        <w:tc>
          <w:tcPr>
            <w:tcW w:w="974" w:type="dxa"/>
            <w:tcBorders>
              <w:top w:val="single" w:sz="8" w:space="0" w:color="000000"/>
              <w:bottom w:val="single" w:sz="8" w:space="0" w:color="000000"/>
            </w:tcBorders>
          </w:tcPr>
          <w:p w14:paraId="299CF19D" w14:textId="77777777" w:rsidR="00FA4AA8" w:rsidRDefault="0015611F">
            <w:pPr>
              <w:pStyle w:val="TableParagraph"/>
              <w:spacing w:before="114" w:line="162" w:lineRule="exact"/>
              <w:ind w:right="80"/>
              <w:jc w:val="right"/>
              <w:rPr>
                <w:sz w:val="16"/>
              </w:rPr>
            </w:pPr>
            <w:r>
              <w:rPr>
                <w:sz w:val="16"/>
              </w:rPr>
              <w:t>1,593,034</w:t>
            </w:r>
          </w:p>
        </w:tc>
      </w:tr>
      <w:tr w:rsidR="00FA4AA8" w14:paraId="38BF29EC" w14:textId="77777777">
        <w:trPr>
          <w:trHeight w:val="315"/>
        </w:trPr>
        <w:tc>
          <w:tcPr>
            <w:tcW w:w="415" w:type="dxa"/>
          </w:tcPr>
          <w:p w14:paraId="369A9E3F" w14:textId="77777777" w:rsidR="00FA4AA8" w:rsidRDefault="00FA4AA8">
            <w:pPr>
              <w:pStyle w:val="TableParagraph"/>
              <w:rPr>
                <w:rFonts w:ascii="Times New Roman"/>
                <w:sz w:val="16"/>
              </w:rPr>
            </w:pPr>
          </w:p>
        </w:tc>
        <w:tc>
          <w:tcPr>
            <w:tcW w:w="4195" w:type="dxa"/>
            <w:gridSpan w:val="2"/>
          </w:tcPr>
          <w:p w14:paraId="64B5A99B" w14:textId="77777777" w:rsidR="00FA4AA8" w:rsidRDefault="0015611F">
            <w:pPr>
              <w:pStyle w:val="TableParagraph"/>
              <w:spacing w:before="114" w:line="181" w:lineRule="exact"/>
              <w:ind w:left="69"/>
              <w:rPr>
                <w:b/>
                <w:sz w:val="16"/>
              </w:rPr>
            </w:pPr>
            <w:r>
              <w:rPr>
                <w:b/>
                <w:sz w:val="16"/>
              </w:rPr>
              <w:t>Year ended 31 December 2017</w:t>
            </w:r>
          </w:p>
        </w:tc>
        <w:tc>
          <w:tcPr>
            <w:tcW w:w="1190" w:type="dxa"/>
            <w:tcBorders>
              <w:top w:val="single" w:sz="8" w:space="0" w:color="000000"/>
            </w:tcBorders>
          </w:tcPr>
          <w:p w14:paraId="28388D88" w14:textId="77777777" w:rsidR="00FA4AA8" w:rsidRDefault="00FA4AA8">
            <w:pPr>
              <w:pStyle w:val="TableParagraph"/>
              <w:rPr>
                <w:rFonts w:ascii="Times New Roman"/>
                <w:sz w:val="16"/>
              </w:rPr>
            </w:pPr>
          </w:p>
        </w:tc>
        <w:tc>
          <w:tcPr>
            <w:tcW w:w="1182" w:type="dxa"/>
            <w:tcBorders>
              <w:top w:val="single" w:sz="8" w:space="0" w:color="000000"/>
            </w:tcBorders>
          </w:tcPr>
          <w:p w14:paraId="1C9A554D" w14:textId="77777777" w:rsidR="00FA4AA8" w:rsidRDefault="00FA4AA8">
            <w:pPr>
              <w:pStyle w:val="TableParagraph"/>
              <w:rPr>
                <w:rFonts w:ascii="Times New Roman"/>
                <w:sz w:val="16"/>
              </w:rPr>
            </w:pPr>
          </w:p>
        </w:tc>
        <w:tc>
          <w:tcPr>
            <w:tcW w:w="1084" w:type="dxa"/>
            <w:tcBorders>
              <w:top w:val="single" w:sz="8" w:space="0" w:color="000000"/>
            </w:tcBorders>
          </w:tcPr>
          <w:p w14:paraId="67C73BF8" w14:textId="77777777" w:rsidR="00FA4AA8" w:rsidRDefault="00FA4AA8">
            <w:pPr>
              <w:pStyle w:val="TableParagraph"/>
              <w:rPr>
                <w:rFonts w:ascii="Times New Roman"/>
                <w:sz w:val="16"/>
              </w:rPr>
            </w:pPr>
          </w:p>
        </w:tc>
        <w:tc>
          <w:tcPr>
            <w:tcW w:w="1186" w:type="dxa"/>
            <w:tcBorders>
              <w:top w:val="single" w:sz="8" w:space="0" w:color="000000"/>
            </w:tcBorders>
          </w:tcPr>
          <w:p w14:paraId="6154807E" w14:textId="77777777" w:rsidR="00FA4AA8" w:rsidRDefault="00FA4AA8">
            <w:pPr>
              <w:pStyle w:val="TableParagraph"/>
              <w:rPr>
                <w:rFonts w:ascii="Times New Roman"/>
                <w:sz w:val="16"/>
              </w:rPr>
            </w:pPr>
          </w:p>
        </w:tc>
        <w:tc>
          <w:tcPr>
            <w:tcW w:w="1114" w:type="dxa"/>
            <w:tcBorders>
              <w:top w:val="single" w:sz="8" w:space="0" w:color="000000"/>
            </w:tcBorders>
          </w:tcPr>
          <w:p w14:paraId="01D25518" w14:textId="77777777" w:rsidR="00FA4AA8" w:rsidRDefault="00FA4AA8">
            <w:pPr>
              <w:pStyle w:val="TableParagraph"/>
              <w:rPr>
                <w:rFonts w:ascii="Times New Roman"/>
                <w:sz w:val="16"/>
              </w:rPr>
            </w:pPr>
          </w:p>
        </w:tc>
        <w:tc>
          <w:tcPr>
            <w:tcW w:w="1216" w:type="dxa"/>
            <w:tcBorders>
              <w:top w:val="single" w:sz="8" w:space="0" w:color="000000"/>
            </w:tcBorders>
          </w:tcPr>
          <w:p w14:paraId="7D171BBC" w14:textId="77777777" w:rsidR="00FA4AA8" w:rsidRDefault="00FA4AA8">
            <w:pPr>
              <w:pStyle w:val="TableParagraph"/>
              <w:rPr>
                <w:rFonts w:ascii="Times New Roman"/>
                <w:sz w:val="16"/>
              </w:rPr>
            </w:pPr>
          </w:p>
        </w:tc>
        <w:tc>
          <w:tcPr>
            <w:tcW w:w="1178" w:type="dxa"/>
            <w:tcBorders>
              <w:top w:val="single" w:sz="8" w:space="0" w:color="000000"/>
            </w:tcBorders>
          </w:tcPr>
          <w:p w14:paraId="7A8FE6F8" w14:textId="77777777" w:rsidR="00FA4AA8" w:rsidRDefault="00FA4AA8">
            <w:pPr>
              <w:pStyle w:val="TableParagraph"/>
              <w:rPr>
                <w:rFonts w:ascii="Times New Roman"/>
                <w:sz w:val="16"/>
              </w:rPr>
            </w:pPr>
          </w:p>
        </w:tc>
        <w:tc>
          <w:tcPr>
            <w:tcW w:w="1161" w:type="dxa"/>
            <w:tcBorders>
              <w:top w:val="single" w:sz="8" w:space="0" w:color="000000"/>
            </w:tcBorders>
          </w:tcPr>
          <w:p w14:paraId="7D9CA99B" w14:textId="77777777" w:rsidR="00FA4AA8" w:rsidRDefault="00FA4AA8">
            <w:pPr>
              <w:pStyle w:val="TableParagraph"/>
              <w:rPr>
                <w:rFonts w:ascii="Times New Roman"/>
                <w:sz w:val="16"/>
              </w:rPr>
            </w:pPr>
          </w:p>
        </w:tc>
        <w:tc>
          <w:tcPr>
            <w:tcW w:w="974" w:type="dxa"/>
            <w:tcBorders>
              <w:top w:val="single" w:sz="8" w:space="0" w:color="000000"/>
            </w:tcBorders>
          </w:tcPr>
          <w:p w14:paraId="7E23A6B3" w14:textId="77777777" w:rsidR="00FA4AA8" w:rsidRDefault="00FA4AA8">
            <w:pPr>
              <w:pStyle w:val="TableParagraph"/>
              <w:rPr>
                <w:rFonts w:ascii="Times New Roman"/>
                <w:sz w:val="16"/>
              </w:rPr>
            </w:pPr>
          </w:p>
        </w:tc>
      </w:tr>
      <w:tr w:rsidR="00FA4AA8" w14:paraId="0C51CEC2" w14:textId="77777777">
        <w:trPr>
          <w:trHeight w:val="229"/>
        </w:trPr>
        <w:tc>
          <w:tcPr>
            <w:tcW w:w="415" w:type="dxa"/>
          </w:tcPr>
          <w:p w14:paraId="18B8172E" w14:textId="77777777" w:rsidR="00FA4AA8" w:rsidRDefault="00FA4AA8">
            <w:pPr>
              <w:pStyle w:val="TableParagraph"/>
              <w:rPr>
                <w:rFonts w:ascii="Times New Roman"/>
                <w:sz w:val="16"/>
              </w:rPr>
            </w:pPr>
          </w:p>
        </w:tc>
        <w:tc>
          <w:tcPr>
            <w:tcW w:w="4195" w:type="dxa"/>
            <w:gridSpan w:val="2"/>
          </w:tcPr>
          <w:p w14:paraId="695E0E62" w14:textId="77777777" w:rsidR="00FA4AA8" w:rsidRDefault="0015611F">
            <w:pPr>
              <w:pStyle w:val="TableParagraph"/>
              <w:tabs>
                <w:tab w:val="left" w:pos="3628"/>
              </w:tabs>
              <w:spacing w:before="15"/>
              <w:ind w:left="69"/>
              <w:rPr>
                <w:sz w:val="16"/>
              </w:rPr>
            </w:pPr>
            <w:r>
              <w:rPr>
                <w:sz w:val="16"/>
              </w:rPr>
              <w:t>Opening net</w:t>
            </w:r>
            <w:r>
              <w:rPr>
                <w:spacing w:val="-1"/>
                <w:sz w:val="16"/>
              </w:rPr>
              <w:t xml:space="preserve"> </w:t>
            </w:r>
            <w:r>
              <w:rPr>
                <w:sz w:val="16"/>
              </w:rPr>
              <w:t>book amount</w:t>
            </w:r>
            <w:r>
              <w:rPr>
                <w:sz w:val="16"/>
              </w:rPr>
              <w:tab/>
              <w:t>84,171</w:t>
            </w:r>
          </w:p>
        </w:tc>
        <w:tc>
          <w:tcPr>
            <w:tcW w:w="1190" w:type="dxa"/>
          </w:tcPr>
          <w:p w14:paraId="585ABB2A" w14:textId="77777777" w:rsidR="00FA4AA8" w:rsidRDefault="0015611F">
            <w:pPr>
              <w:pStyle w:val="TableParagraph"/>
              <w:spacing w:before="12"/>
              <w:ind w:right="131"/>
              <w:jc w:val="right"/>
              <w:rPr>
                <w:sz w:val="16"/>
              </w:rPr>
            </w:pPr>
            <w:r>
              <w:rPr>
                <w:sz w:val="16"/>
              </w:rPr>
              <w:t>204,632</w:t>
            </w:r>
          </w:p>
        </w:tc>
        <w:tc>
          <w:tcPr>
            <w:tcW w:w="1182" w:type="dxa"/>
          </w:tcPr>
          <w:p w14:paraId="2BCB13E0" w14:textId="77777777" w:rsidR="00FA4AA8" w:rsidRDefault="0015611F">
            <w:pPr>
              <w:pStyle w:val="TableParagraph"/>
              <w:spacing w:before="12"/>
              <w:ind w:right="149"/>
              <w:jc w:val="right"/>
              <w:rPr>
                <w:sz w:val="16"/>
              </w:rPr>
            </w:pPr>
            <w:r>
              <w:rPr>
                <w:sz w:val="16"/>
              </w:rPr>
              <w:t>162,335</w:t>
            </w:r>
          </w:p>
        </w:tc>
        <w:tc>
          <w:tcPr>
            <w:tcW w:w="1084" w:type="dxa"/>
          </w:tcPr>
          <w:p w14:paraId="28C63525" w14:textId="77777777" w:rsidR="00FA4AA8" w:rsidRDefault="0015611F">
            <w:pPr>
              <w:pStyle w:val="TableParagraph"/>
              <w:spacing w:before="12"/>
              <w:ind w:right="98"/>
              <w:jc w:val="right"/>
              <w:rPr>
                <w:sz w:val="16"/>
              </w:rPr>
            </w:pPr>
            <w:r>
              <w:rPr>
                <w:sz w:val="16"/>
              </w:rPr>
              <w:t>960,757</w:t>
            </w:r>
          </w:p>
        </w:tc>
        <w:tc>
          <w:tcPr>
            <w:tcW w:w="1186" w:type="dxa"/>
          </w:tcPr>
          <w:p w14:paraId="56F18BD4" w14:textId="77777777" w:rsidR="00FA4AA8" w:rsidRDefault="0015611F">
            <w:pPr>
              <w:pStyle w:val="TableParagraph"/>
              <w:spacing w:before="12"/>
              <w:ind w:right="151"/>
              <w:jc w:val="right"/>
              <w:rPr>
                <w:sz w:val="16"/>
              </w:rPr>
            </w:pPr>
            <w:r>
              <w:rPr>
                <w:sz w:val="16"/>
              </w:rPr>
              <w:t>91,349</w:t>
            </w:r>
          </w:p>
        </w:tc>
        <w:tc>
          <w:tcPr>
            <w:tcW w:w="1114" w:type="dxa"/>
          </w:tcPr>
          <w:p w14:paraId="0B8E377C" w14:textId="77777777" w:rsidR="00FA4AA8" w:rsidRDefault="0015611F">
            <w:pPr>
              <w:pStyle w:val="TableParagraph"/>
              <w:spacing w:before="12"/>
              <w:ind w:left="489"/>
              <w:rPr>
                <w:sz w:val="16"/>
              </w:rPr>
            </w:pPr>
            <w:r>
              <w:rPr>
                <w:sz w:val="16"/>
              </w:rPr>
              <w:t>65,750</w:t>
            </w:r>
          </w:p>
        </w:tc>
        <w:tc>
          <w:tcPr>
            <w:tcW w:w="1216" w:type="dxa"/>
          </w:tcPr>
          <w:p w14:paraId="69F34000" w14:textId="77777777" w:rsidR="00FA4AA8" w:rsidRDefault="0015611F">
            <w:pPr>
              <w:pStyle w:val="TableParagraph"/>
              <w:spacing w:before="12"/>
              <w:ind w:right="165"/>
              <w:jc w:val="right"/>
              <w:rPr>
                <w:sz w:val="16"/>
              </w:rPr>
            </w:pPr>
            <w:r>
              <w:rPr>
                <w:sz w:val="16"/>
              </w:rPr>
              <w:t>11,970</w:t>
            </w:r>
          </w:p>
        </w:tc>
        <w:tc>
          <w:tcPr>
            <w:tcW w:w="1178" w:type="dxa"/>
          </w:tcPr>
          <w:p w14:paraId="33EB236E" w14:textId="77777777" w:rsidR="00FA4AA8" w:rsidRDefault="0015611F">
            <w:pPr>
              <w:pStyle w:val="TableParagraph"/>
              <w:spacing w:before="12"/>
              <w:ind w:right="210"/>
              <w:jc w:val="right"/>
              <w:rPr>
                <w:sz w:val="16"/>
              </w:rPr>
            </w:pPr>
            <w:r>
              <w:rPr>
                <w:sz w:val="16"/>
              </w:rPr>
              <w:t>7,878</w:t>
            </w:r>
          </w:p>
        </w:tc>
        <w:tc>
          <w:tcPr>
            <w:tcW w:w="1161" w:type="dxa"/>
          </w:tcPr>
          <w:p w14:paraId="5EBB0E39" w14:textId="77777777" w:rsidR="00FA4AA8" w:rsidRDefault="0015611F">
            <w:pPr>
              <w:pStyle w:val="TableParagraph"/>
              <w:spacing w:before="12"/>
              <w:ind w:right="239"/>
              <w:jc w:val="right"/>
              <w:rPr>
                <w:sz w:val="16"/>
              </w:rPr>
            </w:pPr>
            <w:r>
              <w:rPr>
                <w:sz w:val="16"/>
              </w:rPr>
              <w:t>4,192</w:t>
            </w:r>
          </w:p>
        </w:tc>
        <w:tc>
          <w:tcPr>
            <w:tcW w:w="974" w:type="dxa"/>
          </w:tcPr>
          <w:p w14:paraId="491D83B0" w14:textId="77777777" w:rsidR="00FA4AA8" w:rsidRDefault="0015611F">
            <w:pPr>
              <w:pStyle w:val="TableParagraph"/>
              <w:spacing w:before="12"/>
              <w:ind w:right="80"/>
              <w:jc w:val="right"/>
              <w:rPr>
                <w:sz w:val="16"/>
              </w:rPr>
            </w:pPr>
            <w:r>
              <w:rPr>
                <w:sz w:val="16"/>
              </w:rPr>
              <w:t>1,593,034</w:t>
            </w:r>
          </w:p>
        </w:tc>
      </w:tr>
      <w:tr w:rsidR="00FA4AA8" w14:paraId="2DB16095" w14:textId="77777777">
        <w:trPr>
          <w:trHeight w:val="242"/>
        </w:trPr>
        <w:tc>
          <w:tcPr>
            <w:tcW w:w="415" w:type="dxa"/>
          </w:tcPr>
          <w:p w14:paraId="39759775" w14:textId="77777777" w:rsidR="00FA4AA8" w:rsidRDefault="00FA4AA8">
            <w:pPr>
              <w:pStyle w:val="TableParagraph"/>
              <w:rPr>
                <w:rFonts w:ascii="Times New Roman"/>
                <w:sz w:val="16"/>
              </w:rPr>
            </w:pPr>
          </w:p>
        </w:tc>
        <w:tc>
          <w:tcPr>
            <w:tcW w:w="4195" w:type="dxa"/>
            <w:gridSpan w:val="2"/>
          </w:tcPr>
          <w:p w14:paraId="6F403912" w14:textId="77777777" w:rsidR="00FA4AA8" w:rsidRDefault="0015611F">
            <w:pPr>
              <w:pStyle w:val="TableParagraph"/>
              <w:tabs>
                <w:tab w:val="left" w:pos="4065"/>
              </w:tabs>
              <w:spacing w:before="28"/>
              <w:ind w:left="69"/>
              <w:rPr>
                <w:sz w:val="16"/>
              </w:rPr>
            </w:pPr>
            <w:r>
              <w:rPr>
                <w:sz w:val="16"/>
              </w:rPr>
              <w:t>Revaluation</w:t>
            </w:r>
            <w:r>
              <w:rPr>
                <w:spacing w:val="-4"/>
                <w:sz w:val="16"/>
              </w:rPr>
              <w:t xml:space="preserve"> </w:t>
            </w:r>
            <w:r>
              <w:rPr>
                <w:sz w:val="16"/>
              </w:rPr>
              <w:t>Surplus</w:t>
            </w:r>
            <w:r>
              <w:rPr>
                <w:sz w:val="16"/>
              </w:rPr>
              <w:tab/>
              <w:t>-</w:t>
            </w:r>
          </w:p>
        </w:tc>
        <w:tc>
          <w:tcPr>
            <w:tcW w:w="1190" w:type="dxa"/>
          </w:tcPr>
          <w:p w14:paraId="0DDA5204" w14:textId="77777777" w:rsidR="00FA4AA8" w:rsidRDefault="0015611F">
            <w:pPr>
              <w:pStyle w:val="TableParagraph"/>
              <w:spacing w:before="25"/>
              <w:ind w:right="131"/>
              <w:jc w:val="right"/>
              <w:rPr>
                <w:sz w:val="16"/>
              </w:rPr>
            </w:pPr>
            <w:r>
              <w:rPr>
                <w:sz w:val="16"/>
              </w:rPr>
              <w:t>107,122</w:t>
            </w:r>
          </w:p>
        </w:tc>
        <w:tc>
          <w:tcPr>
            <w:tcW w:w="1182" w:type="dxa"/>
          </w:tcPr>
          <w:p w14:paraId="0B891B47" w14:textId="77777777" w:rsidR="00FA4AA8" w:rsidRDefault="0015611F">
            <w:pPr>
              <w:pStyle w:val="TableParagraph"/>
              <w:spacing w:before="25"/>
              <w:ind w:right="149"/>
              <w:jc w:val="right"/>
              <w:rPr>
                <w:sz w:val="16"/>
              </w:rPr>
            </w:pPr>
            <w:r>
              <w:rPr>
                <w:sz w:val="16"/>
              </w:rPr>
              <w:t>59,405</w:t>
            </w:r>
          </w:p>
        </w:tc>
        <w:tc>
          <w:tcPr>
            <w:tcW w:w="1084" w:type="dxa"/>
          </w:tcPr>
          <w:p w14:paraId="25E832A2" w14:textId="77777777" w:rsidR="00FA4AA8" w:rsidRDefault="0015611F">
            <w:pPr>
              <w:pStyle w:val="TableParagraph"/>
              <w:spacing w:before="25"/>
              <w:ind w:right="98"/>
              <w:jc w:val="right"/>
              <w:rPr>
                <w:sz w:val="16"/>
              </w:rPr>
            </w:pPr>
            <w:r>
              <w:rPr>
                <w:sz w:val="16"/>
              </w:rPr>
              <w:t>19,269</w:t>
            </w:r>
          </w:p>
        </w:tc>
        <w:tc>
          <w:tcPr>
            <w:tcW w:w="1186" w:type="dxa"/>
          </w:tcPr>
          <w:p w14:paraId="57EB4166" w14:textId="77777777" w:rsidR="00FA4AA8" w:rsidRDefault="0015611F">
            <w:pPr>
              <w:pStyle w:val="TableParagraph"/>
              <w:spacing w:before="25"/>
              <w:ind w:right="151"/>
              <w:jc w:val="right"/>
              <w:rPr>
                <w:sz w:val="16"/>
              </w:rPr>
            </w:pPr>
            <w:r>
              <w:rPr>
                <w:sz w:val="16"/>
              </w:rPr>
              <w:t>14,507</w:t>
            </w:r>
          </w:p>
        </w:tc>
        <w:tc>
          <w:tcPr>
            <w:tcW w:w="1114" w:type="dxa"/>
          </w:tcPr>
          <w:p w14:paraId="7738CA02" w14:textId="77777777" w:rsidR="00FA4AA8" w:rsidRDefault="0015611F">
            <w:pPr>
              <w:pStyle w:val="TableParagraph"/>
              <w:spacing w:before="25"/>
              <w:ind w:right="132"/>
              <w:jc w:val="right"/>
              <w:rPr>
                <w:sz w:val="16"/>
              </w:rPr>
            </w:pPr>
            <w:r>
              <w:rPr>
                <w:sz w:val="16"/>
              </w:rPr>
              <w:t>-</w:t>
            </w:r>
          </w:p>
        </w:tc>
        <w:tc>
          <w:tcPr>
            <w:tcW w:w="1216" w:type="dxa"/>
          </w:tcPr>
          <w:p w14:paraId="58AA9467" w14:textId="77777777" w:rsidR="00FA4AA8" w:rsidRDefault="0015611F">
            <w:pPr>
              <w:pStyle w:val="TableParagraph"/>
              <w:spacing w:before="25"/>
              <w:ind w:right="165"/>
              <w:jc w:val="right"/>
              <w:rPr>
                <w:sz w:val="16"/>
              </w:rPr>
            </w:pPr>
            <w:r>
              <w:rPr>
                <w:sz w:val="16"/>
              </w:rPr>
              <w:t>-</w:t>
            </w:r>
          </w:p>
        </w:tc>
        <w:tc>
          <w:tcPr>
            <w:tcW w:w="1178" w:type="dxa"/>
          </w:tcPr>
          <w:p w14:paraId="230C1FFE" w14:textId="77777777" w:rsidR="00FA4AA8" w:rsidRDefault="0015611F">
            <w:pPr>
              <w:pStyle w:val="TableParagraph"/>
              <w:spacing w:before="25"/>
              <w:ind w:right="210"/>
              <w:jc w:val="right"/>
              <w:rPr>
                <w:sz w:val="16"/>
              </w:rPr>
            </w:pPr>
            <w:r>
              <w:rPr>
                <w:sz w:val="16"/>
              </w:rPr>
              <w:t>-</w:t>
            </w:r>
          </w:p>
        </w:tc>
        <w:tc>
          <w:tcPr>
            <w:tcW w:w="1161" w:type="dxa"/>
          </w:tcPr>
          <w:p w14:paraId="23340E52" w14:textId="77777777" w:rsidR="00FA4AA8" w:rsidRDefault="0015611F">
            <w:pPr>
              <w:pStyle w:val="TableParagraph"/>
              <w:spacing w:before="25"/>
              <w:ind w:right="238"/>
              <w:jc w:val="right"/>
              <w:rPr>
                <w:sz w:val="16"/>
              </w:rPr>
            </w:pPr>
            <w:r>
              <w:rPr>
                <w:sz w:val="16"/>
              </w:rPr>
              <w:t>-</w:t>
            </w:r>
          </w:p>
        </w:tc>
        <w:tc>
          <w:tcPr>
            <w:tcW w:w="974" w:type="dxa"/>
          </w:tcPr>
          <w:p w14:paraId="1F16185D" w14:textId="77777777" w:rsidR="00FA4AA8" w:rsidRDefault="0015611F">
            <w:pPr>
              <w:pStyle w:val="TableParagraph"/>
              <w:spacing w:before="25"/>
              <w:ind w:right="80"/>
              <w:jc w:val="right"/>
              <w:rPr>
                <w:sz w:val="16"/>
              </w:rPr>
            </w:pPr>
            <w:r>
              <w:rPr>
                <w:sz w:val="16"/>
              </w:rPr>
              <w:t>200,303</w:t>
            </w:r>
          </w:p>
        </w:tc>
      </w:tr>
      <w:tr w:rsidR="00FA4AA8" w14:paraId="3AE58776" w14:textId="77777777">
        <w:trPr>
          <w:trHeight w:val="242"/>
        </w:trPr>
        <w:tc>
          <w:tcPr>
            <w:tcW w:w="415" w:type="dxa"/>
          </w:tcPr>
          <w:p w14:paraId="08D301D5" w14:textId="77777777" w:rsidR="00FA4AA8" w:rsidRDefault="00FA4AA8">
            <w:pPr>
              <w:pStyle w:val="TableParagraph"/>
              <w:rPr>
                <w:rFonts w:ascii="Times New Roman"/>
                <w:sz w:val="16"/>
              </w:rPr>
            </w:pPr>
          </w:p>
        </w:tc>
        <w:tc>
          <w:tcPr>
            <w:tcW w:w="4195" w:type="dxa"/>
            <w:gridSpan w:val="2"/>
          </w:tcPr>
          <w:p w14:paraId="21FA09B8" w14:textId="77777777" w:rsidR="00FA4AA8" w:rsidRDefault="0015611F">
            <w:pPr>
              <w:pStyle w:val="TableParagraph"/>
              <w:tabs>
                <w:tab w:val="left" w:pos="3628"/>
              </w:tabs>
              <w:spacing w:before="28"/>
              <w:ind w:left="69"/>
              <w:rPr>
                <w:sz w:val="16"/>
              </w:rPr>
            </w:pPr>
            <w:r>
              <w:rPr>
                <w:sz w:val="16"/>
              </w:rPr>
              <w:t>Additions</w:t>
            </w:r>
            <w:r>
              <w:rPr>
                <w:sz w:val="16"/>
              </w:rPr>
              <w:tab/>
              <w:t>91,528</w:t>
            </w:r>
          </w:p>
        </w:tc>
        <w:tc>
          <w:tcPr>
            <w:tcW w:w="1190" w:type="dxa"/>
          </w:tcPr>
          <w:p w14:paraId="10539A4F" w14:textId="77777777" w:rsidR="00FA4AA8" w:rsidRDefault="0015611F">
            <w:pPr>
              <w:pStyle w:val="TableParagraph"/>
              <w:spacing w:before="25"/>
              <w:ind w:right="131"/>
              <w:jc w:val="right"/>
              <w:rPr>
                <w:sz w:val="16"/>
              </w:rPr>
            </w:pPr>
            <w:r>
              <w:rPr>
                <w:sz w:val="16"/>
              </w:rPr>
              <w:t>-</w:t>
            </w:r>
          </w:p>
        </w:tc>
        <w:tc>
          <w:tcPr>
            <w:tcW w:w="1182" w:type="dxa"/>
          </w:tcPr>
          <w:p w14:paraId="72538098" w14:textId="77777777" w:rsidR="00FA4AA8" w:rsidRDefault="0015611F">
            <w:pPr>
              <w:pStyle w:val="TableParagraph"/>
              <w:spacing w:before="25"/>
              <w:ind w:right="149"/>
              <w:jc w:val="right"/>
              <w:rPr>
                <w:sz w:val="16"/>
              </w:rPr>
            </w:pPr>
            <w:r>
              <w:rPr>
                <w:sz w:val="16"/>
              </w:rPr>
              <w:t>-</w:t>
            </w:r>
          </w:p>
        </w:tc>
        <w:tc>
          <w:tcPr>
            <w:tcW w:w="1084" w:type="dxa"/>
          </w:tcPr>
          <w:p w14:paraId="08793465" w14:textId="77777777" w:rsidR="00FA4AA8" w:rsidRDefault="0015611F">
            <w:pPr>
              <w:pStyle w:val="TableParagraph"/>
              <w:spacing w:before="25"/>
              <w:ind w:right="98"/>
              <w:jc w:val="right"/>
              <w:rPr>
                <w:sz w:val="16"/>
              </w:rPr>
            </w:pPr>
            <w:r>
              <w:rPr>
                <w:sz w:val="16"/>
              </w:rPr>
              <w:t>-</w:t>
            </w:r>
          </w:p>
        </w:tc>
        <w:tc>
          <w:tcPr>
            <w:tcW w:w="1186" w:type="dxa"/>
          </w:tcPr>
          <w:p w14:paraId="2CDBACD5" w14:textId="77777777" w:rsidR="00FA4AA8" w:rsidRDefault="0015611F">
            <w:pPr>
              <w:pStyle w:val="TableParagraph"/>
              <w:spacing w:before="25"/>
              <w:ind w:right="151"/>
              <w:jc w:val="right"/>
              <w:rPr>
                <w:sz w:val="16"/>
              </w:rPr>
            </w:pPr>
            <w:r>
              <w:rPr>
                <w:sz w:val="16"/>
              </w:rPr>
              <w:t>-</w:t>
            </w:r>
          </w:p>
        </w:tc>
        <w:tc>
          <w:tcPr>
            <w:tcW w:w="1114" w:type="dxa"/>
          </w:tcPr>
          <w:p w14:paraId="02822C51" w14:textId="77777777" w:rsidR="00FA4AA8" w:rsidRDefault="0015611F">
            <w:pPr>
              <w:pStyle w:val="TableParagraph"/>
              <w:spacing w:before="25"/>
              <w:ind w:right="132"/>
              <w:jc w:val="right"/>
              <w:rPr>
                <w:sz w:val="16"/>
              </w:rPr>
            </w:pPr>
            <w:r>
              <w:rPr>
                <w:sz w:val="16"/>
              </w:rPr>
              <w:t>8,316</w:t>
            </w:r>
          </w:p>
        </w:tc>
        <w:tc>
          <w:tcPr>
            <w:tcW w:w="1216" w:type="dxa"/>
          </w:tcPr>
          <w:p w14:paraId="56EAD719" w14:textId="77777777" w:rsidR="00FA4AA8" w:rsidRDefault="0015611F">
            <w:pPr>
              <w:pStyle w:val="TableParagraph"/>
              <w:spacing w:before="25"/>
              <w:ind w:right="165"/>
              <w:jc w:val="right"/>
              <w:rPr>
                <w:sz w:val="16"/>
              </w:rPr>
            </w:pPr>
            <w:r>
              <w:rPr>
                <w:sz w:val="16"/>
              </w:rPr>
              <w:t>-</w:t>
            </w:r>
          </w:p>
        </w:tc>
        <w:tc>
          <w:tcPr>
            <w:tcW w:w="1178" w:type="dxa"/>
          </w:tcPr>
          <w:p w14:paraId="0A4AB25A" w14:textId="77777777" w:rsidR="00FA4AA8" w:rsidRDefault="0015611F">
            <w:pPr>
              <w:pStyle w:val="TableParagraph"/>
              <w:spacing w:before="25"/>
              <w:ind w:right="210"/>
              <w:jc w:val="right"/>
              <w:rPr>
                <w:sz w:val="16"/>
              </w:rPr>
            </w:pPr>
            <w:r>
              <w:rPr>
                <w:sz w:val="16"/>
              </w:rPr>
              <w:t>1,960</w:t>
            </w:r>
          </w:p>
        </w:tc>
        <w:tc>
          <w:tcPr>
            <w:tcW w:w="1161" w:type="dxa"/>
          </w:tcPr>
          <w:p w14:paraId="6EA8F01F" w14:textId="77777777" w:rsidR="00FA4AA8" w:rsidRDefault="0015611F">
            <w:pPr>
              <w:pStyle w:val="TableParagraph"/>
              <w:spacing w:before="25"/>
              <w:ind w:right="239"/>
              <w:jc w:val="right"/>
              <w:rPr>
                <w:sz w:val="16"/>
              </w:rPr>
            </w:pPr>
            <w:r>
              <w:rPr>
                <w:sz w:val="16"/>
              </w:rPr>
              <w:t>87</w:t>
            </w:r>
          </w:p>
        </w:tc>
        <w:tc>
          <w:tcPr>
            <w:tcW w:w="974" w:type="dxa"/>
          </w:tcPr>
          <w:p w14:paraId="6210D5C3" w14:textId="77777777" w:rsidR="00FA4AA8" w:rsidRDefault="0015611F">
            <w:pPr>
              <w:pStyle w:val="TableParagraph"/>
              <w:spacing w:before="25"/>
              <w:ind w:right="80"/>
              <w:jc w:val="right"/>
              <w:rPr>
                <w:sz w:val="16"/>
              </w:rPr>
            </w:pPr>
            <w:r>
              <w:rPr>
                <w:sz w:val="16"/>
              </w:rPr>
              <w:t>101,891</w:t>
            </w:r>
          </w:p>
        </w:tc>
      </w:tr>
      <w:tr w:rsidR="00FA4AA8" w14:paraId="56244C9F" w14:textId="77777777">
        <w:trPr>
          <w:trHeight w:val="242"/>
        </w:trPr>
        <w:tc>
          <w:tcPr>
            <w:tcW w:w="415" w:type="dxa"/>
          </w:tcPr>
          <w:p w14:paraId="128A89BE" w14:textId="77777777" w:rsidR="00FA4AA8" w:rsidRDefault="00FA4AA8">
            <w:pPr>
              <w:pStyle w:val="TableParagraph"/>
              <w:rPr>
                <w:rFonts w:ascii="Times New Roman"/>
                <w:sz w:val="16"/>
              </w:rPr>
            </w:pPr>
          </w:p>
        </w:tc>
        <w:tc>
          <w:tcPr>
            <w:tcW w:w="4195" w:type="dxa"/>
            <w:gridSpan w:val="2"/>
          </w:tcPr>
          <w:p w14:paraId="67D309A0" w14:textId="77777777" w:rsidR="00FA4AA8" w:rsidRDefault="0015611F">
            <w:pPr>
              <w:pStyle w:val="TableParagraph"/>
              <w:tabs>
                <w:tab w:val="left" w:pos="3664"/>
              </w:tabs>
              <w:spacing w:before="28"/>
              <w:ind w:left="69"/>
              <w:rPr>
                <w:sz w:val="16"/>
              </w:rPr>
            </w:pPr>
            <w:r>
              <w:rPr>
                <w:sz w:val="16"/>
              </w:rPr>
              <w:t>Disposals</w:t>
            </w:r>
            <w:r>
              <w:rPr>
                <w:sz w:val="16"/>
              </w:rPr>
              <w:tab/>
              <w:t>(6,803)</w:t>
            </w:r>
          </w:p>
        </w:tc>
        <w:tc>
          <w:tcPr>
            <w:tcW w:w="1190" w:type="dxa"/>
          </w:tcPr>
          <w:p w14:paraId="26252388" w14:textId="77777777" w:rsidR="00FA4AA8" w:rsidRDefault="0015611F">
            <w:pPr>
              <w:pStyle w:val="TableParagraph"/>
              <w:spacing w:before="25"/>
              <w:ind w:right="131"/>
              <w:jc w:val="right"/>
              <w:rPr>
                <w:sz w:val="16"/>
              </w:rPr>
            </w:pPr>
            <w:r>
              <w:rPr>
                <w:sz w:val="16"/>
              </w:rPr>
              <w:t>-</w:t>
            </w:r>
          </w:p>
        </w:tc>
        <w:tc>
          <w:tcPr>
            <w:tcW w:w="1182" w:type="dxa"/>
          </w:tcPr>
          <w:p w14:paraId="79D0DB2A" w14:textId="77777777" w:rsidR="00FA4AA8" w:rsidRDefault="0015611F">
            <w:pPr>
              <w:pStyle w:val="TableParagraph"/>
              <w:spacing w:before="25"/>
              <w:ind w:right="149"/>
              <w:jc w:val="right"/>
              <w:rPr>
                <w:sz w:val="16"/>
              </w:rPr>
            </w:pPr>
            <w:r>
              <w:rPr>
                <w:sz w:val="16"/>
              </w:rPr>
              <w:t>-</w:t>
            </w:r>
          </w:p>
        </w:tc>
        <w:tc>
          <w:tcPr>
            <w:tcW w:w="1084" w:type="dxa"/>
          </w:tcPr>
          <w:p w14:paraId="5C74D464" w14:textId="77777777" w:rsidR="00FA4AA8" w:rsidRDefault="0015611F">
            <w:pPr>
              <w:pStyle w:val="TableParagraph"/>
              <w:spacing w:before="25"/>
              <w:ind w:right="98"/>
              <w:jc w:val="right"/>
              <w:rPr>
                <w:sz w:val="16"/>
              </w:rPr>
            </w:pPr>
            <w:r>
              <w:rPr>
                <w:sz w:val="16"/>
              </w:rPr>
              <w:t>-</w:t>
            </w:r>
          </w:p>
        </w:tc>
        <w:tc>
          <w:tcPr>
            <w:tcW w:w="1186" w:type="dxa"/>
          </w:tcPr>
          <w:p w14:paraId="0904DD2B" w14:textId="77777777" w:rsidR="00FA4AA8" w:rsidRDefault="0015611F">
            <w:pPr>
              <w:pStyle w:val="TableParagraph"/>
              <w:spacing w:before="25"/>
              <w:ind w:right="151"/>
              <w:jc w:val="right"/>
              <w:rPr>
                <w:sz w:val="16"/>
              </w:rPr>
            </w:pPr>
            <w:r>
              <w:rPr>
                <w:sz w:val="16"/>
              </w:rPr>
              <w:t>-</w:t>
            </w:r>
          </w:p>
        </w:tc>
        <w:tc>
          <w:tcPr>
            <w:tcW w:w="1114" w:type="dxa"/>
          </w:tcPr>
          <w:p w14:paraId="1AA5701F" w14:textId="77777777" w:rsidR="00FA4AA8" w:rsidRDefault="0015611F">
            <w:pPr>
              <w:pStyle w:val="TableParagraph"/>
              <w:spacing w:before="25"/>
              <w:ind w:right="80"/>
              <w:jc w:val="right"/>
              <w:rPr>
                <w:sz w:val="16"/>
              </w:rPr>
            </w:pPr>
            <w:r>
              <w:rPr>
                <w:sz w:val="16"/>
              </w:rPr>
              <w:t>(223)</w:t>
            </w:r>
          </w:p>
        </w:tc>
        <w:tc>
          <w:tcPr>
            <w:tcW w:w="1216" w:type="dxa"/>
          </w:tcPr>
          <w:p w14:paraId="57CB2343" w14:textId="77777777" w:rsidR="00FA4AA8" w:rsidRDefault="0015611F">
            <w:pPr>
              <w:pStyle w:val="TableParagraph"/>
              <w:spacing w:before="25"/>
              <w:ind w:right="165"/>
              <w:jc w:val="right"/>
              <w:rPr>
                <w:sz w:val="16"/>
              </w:rPr>
            </w:pPr>
            <w:r>
              <w:rPr>
                <w:sz w:val="16"/>
              </w:rPr>
              <w:t>-</w:t>
            </w:r>
          </w:p>
        </w:tc>
        <w:tc>
          <w:tcPr>
            <w:tcW w:w="1178" w:type="dxa"/>
          </w:tcPr>
          <w:p w14:paraId="27149E8D" w14:textId="77777777" w:rsidR="00FA4AA8" w:rsidRDefault="0015611F">
            <w:pPr>
              <w:pStyle w:val="TableParagraph"/>
              <w:spacing w:before="25"/>
              <w:ind w:right="158"/>
              <w:jc w:val="right"/>
              <w:rPr>
                <w:sz w:val="16"/>
              </w:rPr>
            </w:pPr>
            <w:r>
              <w:rPr>
                <w:sz w:val="16"/>
              </w:rPr>
              <w:t>(285)</w:t>
            </w:r>
          </w:p>
        </w:tc>
        <w:tc>
          <w:tcPr>
            <w:tcW w:w="1161" w:type="dxa"/>
          </w:tcPr>
          <w:p w14:paraId="5D135F90" w14:textId="77777777" w:rsidR="00FA4AA8" w:rsidRDefault="0015611F">
            <w:pPr>
              <w:pStyle w:val="TableParagraph"/>
              <w:spacing w:before="25"/>
              <w:ind w:right="186"/>
              <w:jc w:val="right"/>
              <w:rPr>
                <w:sz w:val="16"/>
              </w:rPr>
            </w:pPr>
            <w:r>
              <w:rPr>
                <w:sz w:val="16"/>
              </w:rPr>
              <w:t>(13)</w:t>
            </w:r>
          </w:p>
        </w:tc>
        <w:tc>
          <w:tcPr>
            <w:tcW w:w="974" w:type="dxa"/>
          </w:tcPr>
          <w:p w14:paraId="4B45F712" w14:textId="77777777" w:rsidR="00FA4AA8" w:rsidRDefault="0015611F">
            <w:pPr>
              <w:pStyle w:val="TableParagraph"/>
              <w:spacing w:before="25"/>
              <w:ind w:right="27"/>
              <w:jc w:val="right"/>
              <w:rPr>
                <w:sz w:val="16"/>
              </w:rPr>
            </w:pPr>
            <w:r>
              <w:rPr>
                <w:sz w:val="16"/>
              </w:rPr>
              <w:t>(7,324)</w:t>
            </w:r>
          </w:p>
        </w:tc>
      </w:tr>
      <w:tr w:rsidR="00FA4AA8" w14:paraId="3B712726" w14:textId="77777777">
        <w:trPr>
          <w:trHeight w:val="242"/>
        </w:trPr>
        <w:tc>
          <w:tcPr>
            <w:tcW w:w="415" w:type="dxa"/>
          </w:tcPr>
          <w:p w14:paraId="499C5CDB" w14:textId="77777777" w:rsidR="00FA4AA8" w:rsidRDefault="00FA4AA8">
            <w:pPr>
              <w:pStyle w:val="TableParagraph"/>
              <w:rPr>
                <w:rFonts w:ascii="Times New Roman"/>
                <w:sz w:val="16"/>
              </w:rPr>
            </w:pPr>
          </w:p>
        </w:tc>
        <w:tc>
          <w:tcPr>
            <w:tcW w:w="4195" w:type="dxa"/>
            <w:gridSpan w:val="2"/>
          </w:tcPr>
          <w:p w14:paraId="0EA32962" w14:textId="77777777" w:rsidR="00FA4AA8" w:rsidRDefault="0015611F">
            <w:pPr>
              <w:pStyle w:val="TableParagraph"/>
              <w:tabs>
                <w:tab w:val="left" w:pos="4065"/>
              </w:tabs>
              <w:spacing w:before="28"/>
              <w:ind w:left="69"/>
              <w:rPr>
                <w:sz w:val="16"/>
              </w:rPr>
            </w:pPr>
            <w:r>
              <w:rPr>
                <w:sz w:val="16"/>
              </w:rPr>
              <w:t>Depreciation</w:t>
            </w:r>
            <w:r>
              <w:rPr>
                <w:spacing w:val="-4"/>
                <w:sz w:val="16"/>
              </w:rPr>
              <w:t xml:space="preserve"> </w:t>
            </w:r>
            <w:r>
              <w:rPr>
                <w:sz w:val="16"/>
              </w:rPr>
              <w:t>Charge</w:t>
            </w:r>
            <w:r>
              <w:rPr>
                <w:sz w:val="16"/>
              </w:rPr>
              <w:tab/>
              <w:t>-</w:t>
            </w:r>
          </w:p>
        </w:tc>
        <w:tc>
          <w:tcPr>
            <w:tcW w:w="1190" w:type="dxa"/>
          </w:tcPr>
          <w:p w14:paraId="247756B1" w14:textId="77777777" w:rsidR="00FA4AA8" w:rsidRDefault="0015611F">
            <w:pPr>
              <w:pStyle w:val="TableParagraph"/>
              <w:spacing w:before="25"/>
              <w:ind w:right="131"/>
              <w:jc w:val="right"/>
              <w:rPr>
                <w:sz w:val="16"/>
              </w:rPr>
            </w:pPr>
            <w:r>
              <w:rPr>
                <w:sz w:val="16"/>
              </w:rPr>
              <w:t>-</w:t>
            </w:r>
          </w:p>
        </w:tc>
        <w:tc>
          <w:tcPr>
            <w:tcW w:w="1182" w:type="dxa"/>
          </w:tcPr>
          <w:p w14:paraId="11457FB9" w14:textId="77777777" w:rsidR="00FA4AA8" w:rsidRDefault="0015611F">
            <w:pPr>
              <w:pStyle w:val="TableParagraph"/>
              <w:spacing w:before="25"/>
              <w:ind w:right="149"/>
              <w:jc w:val="right"/>
              <w:rPr>
                <w:sz w:val="16"/>
              </w:rPr>
            </w:pPr>
            <w:r>
              <w:rPr>
                <w:sz w:val="16"/>
              </w:rPr>
              <w:t>-</w:t>
            </w:r>
          </w:p>
        </w:tc>
        <w:tc>
          <w:tcPr>
            <w:tcW w:w="1084" w:type="dxa"/>
          </w:tcPr>
          <w:p w14:paraId="32419142" w14:textId="77777777" w:rsidR="00FA4AA8" w:rsidRDefault="0015611F">
            <w:pPr>
              <w:pStyle w:val="TableParagraph"/>
              <w:spacing w:before="25"/>
              <w:ind w:right="45"/>
              <w:jc w:val="right"/>
              <w:rPr>
                <w:sz w:val="16"/>
              </w:rPr>
            </w:pPr>
            <w:r>
              <w:rPr>
                <w:sz w:val="16"/>
              </w:rPr>
              <w:t>(23,179)</w:t>
            </w:r>
          </w:p>
        </w:tc>
        <w:tc>
          <w:tcPr>
            <w:tcW w:w="1186" w:type="dxa"/>
          </w:tcPr>
          <w:p w14:paraId="186E5B88" w14:textId="77777777" w:rsidR="00FA4AA8" w:rsidRDefault="0015611F">
            <w:pPr>
              <w:pStyle w:val="TableParagraph"/>
              <w:spacing w:before="25"/>
              <w:ind w:right="98"/>
              <w:jc w:val="right"/>
              <w:rPr>
                <w:sz w:val="16"/>
              </w:rPr>
            </w:pPr>
            <w:r>
              <w:rPr>
                <w:sz w:val="16"/>
              </w:rPr>
              <w:t>(3,179)</w:t>
            </w:r>
          </w:p>
        </w:tc>
        <w:tc>
          <w:tcPr>
            <w:tcW w:w="1114" w:type="dxa"/>
          </w:tcPr>
          <w:p w14:paraId="5CBA3FFB" w14:textId="77777777" w:rsidR="00FA4AA8" w:rsidRDefault="0015611F">
            <w:pPr>
              <w:pStyle w:val="TableParagraph"/>
              <w:spacing w:before="25"/>
              <w:ind w:right="80"/>
              <w:jc w:val="right"/>
              <w:rPr>
                <w:sz w:val="16"/>
              </w:rPr>
            </w:pPr>
            <w:r>
              <w:rPr>
                <w:sz w:val="16"/>
              </w:rPr>
              <w:t>(11,878)</w:t>
            </w:r>
          </w:p>
        </w:tc>
        <w:tc>
          <w:tcPr>
            <w:tcW w:w="1216" w:type="dxa"/>
          </w:tcPr>
          <w:p w14:paraId="70355646" w14:textId="77777777" w:rsidR="00FA4AA8" w:rsidRDefault="0015611F">
            <w:pPr>
              <w:pStyle w:val="TableParagraph"/>
              <w:spacing w:before="25"/>
              <w:ind w:right="112"/>
              <w:jc w:val="right"/>
              <w:rPr>
                <w:sz w:val="16"/>
              </w:rPr>
            </w:pPr>
            <w:r>
              <w:rPr>
                <w:sz w:val="16"/>
              </w:rPr>
              <w:t>(5,716)</w:t>
            </w:r>
          </w:p>
        </w:tc>
        <w:tc>
          <w:tcPr>
            <w:tcW w:w="1178" w:type="dxa"/>
          </w:tcPr>
          <w:p w14:paraId="493BB051" w14:textId="77777777" w:rsidR="00FA4AA8" w:rsidRDefault="0015611F">
            <w:pPr>
              <w:pStyle w:val="TableParagraph"/>
              <w:spacing w:before="25"/>
              <w:ind w:right="157"/>
              <w:jc w:val="right"/>
              <w:rPr>
                <w:sz w:val="16"/>
              </w:rPr>
            </w:pPr>
            <w:r>
              <w:rPr>
                <w:sz w:val="16"/>
              </w:rPr>
              <w:t>(2,569)</w:t>
            </w:r>
          </w:p>
        </w:tc>
        <w:tc>
          <w:tcPr>
            <w:tcW w:w="1161" w:type="dxa"/>
          </w:tcPr>
          <w:p w14:paraId="11E7FB0E" w14:textId="77777777" w:rsidR="00FA4AA8" w:rsidRDefault="0015611F">
            <w:pPr>
              <w:pStyle w:val="TableParagraph"/>
              <w:spacing w:before="25"/>
              <w:ind w:right="238"/>
              <w:jc w:val="right"/>
              <w:rPr>
                <w:sz w:val="16"/>
              </w:rPr>
            </w:pPr>
            <w:r>
              <w:rPr>
                <w:sz w:val="16"/>
              </w:rPr>
              <w:t>-</w:t>
            </w:r>
          </w:p>
        </w:tc>
        <w:tc>
          <w:tcPr>
            <w:tcW w:w="974" w:type="dxa"/>
          </w:tcPr>
          <w:p w14:paraId="0B970395" w14:textId="77777777" w:rsidR="00FA4AA8" w:rsidRDefault="0015611F">
            <w:pPr>
              <w:pStyle w:val="TableParagraph"/>
              <w:spacing w:before="25"/>
              <w:ind w:right="27"/>
              <w:jc w:val="right"/>
              <w:rPr>
                <w:sz w:val="16"/>
              </w:rPr>
            </w:pPr>
            <w:r>
              <w:rPr>
                <w:sz w:val="16"/>
              </w:rPr>
              <w:t>(46,521)</w:t>
            </w:r>
          </w:p>
        </w:tc>
      </w:tr>
      <w:tr w:rsidR="00FA4AA8" w14:paraId="4534D54D" w14:textId="77777777">
        <w:trPr>
          <w:trHeight w:val="241"/>
        </w:trPr>
        <w:tc>
          <w:tcPr>
            <w:tcW w:w="415" w:type="dxa"/>
          </w:tcPr>
          <w:p w14:paraId="7EF7A33C" w14:textId="77777777" w:rsidR="00FA4AA8" w:rsidRDefault="00FA4AA8">
            <w:pPr>
              <w:pStyle w:val="TableParagraph"/>
              <w:rPr>
                <w:rFonts w:ascii="Times New Roman"/>
                <w:sz w:val="16"/>
              </w:rPr>
            </w:pPr>
          </w:p>
        </w:tc>
        <w:tc>
          <w:tcPr>
            <w:tcW w:w="4195" w:type="dxa"/>
            <w:gridSpan w:val="2"/>
          </w:tcPr>
          <w:p w14:paraId="7D3E2B1B" w14:textId="77777777" w:rsidR="00FA4AA8" w:rsidRDefault="0015611F">
            <w:pPr>
              <w:pStyle w:val="TableParagraph"/>
              <w:tabs>
                <w:tab w:val="left" w:pos="4065"/>
              </w:tabs>
              <w:spacing w:before="28"/>
              <w:ind w:left="69"/>
              <w:rPr>
                <w:sz w:val="16"/>
              </w:rPr>
            </w:pPr>
            <w:r>
              <w:rPr>
                <w:sz w:val="16"/>
              </w:rPr>
              <w:t>Non-Cash</w:t>
            </w:r>
            <w:r>
              <w:rPr>
                <w:spacing w:val="2"/>
                <w:sz w:val="16"/>
              </w:rPr>
              <w:t xml:space="preserve"> </w:t>
            </w:r>
            <w:r>
              <w:rPr>
                <w:sz w:val="16"/>
              </w:rPr>
              <w:t>Adjustments</w:t>
            </w:r>
            <w:r>
              <w:rPr>
                <w:sz w:val="16"/>
              </w:rPr>
              <w:tab/>
              <w:t>-</w:t>
            </w:r>
          </w:p>
        </w:tc>
        <w:tc>
          <w:tcPr>
            <w:tcW w:w="1190" w:type="dxa"/>
          </w:tcPr>
          <w:p w14:paraId="5508A3D1" w14:textId="77777777" w:rsidR="00FA4AA8" w:rsidRDefault="0015611F">
            <w:pPr>
              <w:pStyle w:val="TableParagraph"/>
              <w:spacing w:before="25"/>
              <w:ind w:right="131"/>
              <w:jc w:val="right"/>
              <w:rPr>
                <w:sz w:val="16"/>
              </w:rPr>
            </w:pPr>
            <w:r>
              <w:rPr>
                <w:sz w:val="16"/>
              </w:rPr>
              <w:t>-</w:t>
            </w:r>
          </w:p>
        </w:tc>
        <w:tc>
          <w:tcPr>
            <w:tcW w:w="1182" w:type="dxa"/>
          </w:tcPr>
          <w:p w14:paraId="47817040" w14:textId="77777777" w:rsidR="00FA4AA8" w:rsidRDefault="0015611F">
            <w:pPr>
              <w:pStyle w:val="TableParagraph"/>
              <w:spacing w:before="25"/>
              <w:ind w:right="149"/>
              <w:jc w:val="right"/>
              <w:rPr>
                <w:sz w:val="16"/>
              </w:rPr>
            </w:pPr>
            <w:r>
              <w:rPr>
                <w:sz w:val="16"/>
              </w:rPr>
              <w:t>-</w:t>
            </w:r>
          </w:p>
        </w:tc>
        <w:tc>
          <w:tcPr>
            <w:tcW w:w="1084" w:type="dxa"/>
          </w:tcPr>
          <w:p w14:paraId="4BBC3399" w14:textId="77777777" w:rsidR="00FA4AA8" w:rsidRDefault="0015611F">
            <w:pPr>
              <w:pStyle w:val="TableParagraph"/>
              <w:spacing w:before="25"/>
              <w:ind w:right="98"/>
              <w:jc w:val="right"/>
              <w:rPr>
                <w:sz w:val="16"/>
              </w:rPr>
            </w:pPr>
            <w:r>
              <w:rPr>
                <w:sz w:val="16"/>
              </w:rPr>
              <w:t>-</w:t>
            </w:r>
          </w:p>
        </w:tc>
        <w:tc>
          <w:tcPr>
            <w:tcW w:w="1186" w:type="dxa"/>
          </w:tcPr>
          <w:p w14:paraId="0E144116" w14:textId="77777777" w:rsidR="00FA4AA8" w:rsidRDefault="0015611F">
            <w:pPr>
              <w:pStyle w:val="TableParagraph"/>
              <w:spacing w:before="25"/>
              <w:ind w:right="151"/>
              <w:jc w:val="right"/>
              <w:rPr>
                <w:sz w:val="16"/>
              </w:rPr>
            </w:pPr>
            <w:r>
              <w:rPr>
                <w:sz w:val="16"/>
              </w:rPr>
              <w:t>-</w:t>
            </w:r>
          </w:p>
        </w:tc>
        <w:tc>
          <w:tcPr>
            <w:tcW w:w="1114" w:type="dxa"/>
          </w:tcPr>
          <w:p w14:paraId="3A11ADED" w14:textId="77777777" w:rsidR="00FA4AA8" w:rsidRDefault="0015611F">
            <w:pPr>
              <w:pStyle w:val="TableParagraph"/>
              <w:spacing w:before="25"/>
              <w:ind w:right="132"/>
              <w:jc w:val="right"/>
              <w:rPr>
                <w:sz w:val="16"/>
              </w:rPr>
            </w:pPr>
            <w:r>
              <w:rPr>
                <w:sz w:val="16"/>
              </w:rPr>
              <w:t>-</w:t>
            </w:r>
          </w:p>
        </w:tc>
        <w:tc>
          <w:tcPr>
            <w:tcW w:w="1216" w:type="dxa"/>
          </w:tcPr>
          <w:p w14:paraId="534A3B22" w14:textId="77777777" w:rsidR="00FA4AA8" w:rsidRDefault="0015611F">
            <w:pPr>
              <w:pStyle w:val="TableParagraph"/>
              <w:spacing w:before="25"/>
              <w:ind w:right="165"/>
              <w:jc w:val="right"/>
              <w:rPr>
                <w:sz w:val="16"/>
              </w:rPr>
            </w:pPr>
            <w:r>
              <w:rPr>
                <w:sz w:val="16"/>
              </w:rPr>
              <w:t>1</w:t>
            </w:r>
          </w:p>
        </w:tc>
        <w:tc>
          <w:tcPr>
            <w:tcW w:w="1178" w:type="dxa"/>
          </w:tcPr>
          <w:p w14:paraId="61CB5F9E" w14:textId="77777777" w:rsidR="00FA4AA8" w:rsidRDefault="0015611F">
            <w:pPr>
              <w:pStyle w:val="TableParagraph"/>
              <w:spacing w:before="25"/>
              <w:ind w:right="210"/>
              <w:jc w:val="right"/>
              <w:rPr>
                <w:sz w:val="16"/>
              </w:rPr>
            </w:pPr>
            <w:r>
              <w:rPr>
                <w:sz w:val="16"/>
              </w:rPr>
              <w:t>-</w:t>
            </w:r>
          </w:p>
        </w:tc>
        <w:tc>
          <w:tcPr>
            <w:tcW w:w="1161" w:type="dxa"/>
          </w:tcPr>
          <w:p w14:paraId="52200930" w14:textId="77777777" w:rsidR="00FA4AA8" w:rsidRDefault="0015611F">
            <w:pPr>
              <w:pStyle w:val="TableParagraph"/>
              <w:spacing w:before="25"/>
              <w:ind w:right="238"/>
              <w:jc w:val="right"/>
              <w:rPr>
                <w:sz w:val="16"/>
              </w:rPr>
            </w:pPr>
            <w:r>
              <w:rPr>
                <w:sz w:val="16"/>
              </w:rPr>
              <w:t>-</w:t>
            </w:r>
          </w:p>
        </w:tc>
        <w:tc>
          <w:tcPr>
            <w:tcW w:w="974" w:type="dxa"/>
          </w:tcPr>
          <w:p w14:paraId="320D59A5" w14:textId="77777777" w:rsidR="00FA4AA8" w:rsidRDefault="0015611F">
            <w:pPr>
              <w:pStyle w:val="TableParagraph"/>
              <w:spacing w:before="25"/>
              <w:ind w:right="79"/>
              <w:jc w:val="right"/>
              <w:rPr>
                <w:sz w:val="16"/>
              </w:rPr>
            </w:pPr>
            <w:r>
              <w:rPr>
                <w:sz w:val="16"/>
              </w:rPr>
              <w:t>1</w:t>
            </w:r>
          </w:p>
        </w:tc>
      </w:tr>
      <w:tr w:rsidR="00FA4AA8" w14:paraId="7B0CF0D0" w14:textId="77777777">
        <w:trPr>
          <w:trHeight w:val="423"/>
        </w:trPr>
        <w:tc>
          <w:tcPr>
            <w:tcW w:w="415" w:type="dxa"/>
          </w:tcPr>
          <w:p w14:paraId="16E7B3F5" w14:textId="77777777" w:rsidR="00FA4AA8" w:rsidRDefault="00FA4AA8">
            <w:pPr>
              <w:pStyle w:val="TableParagraph"/>
              <w:rPr>
                <w:rFonts w:ascii="Times New Roman"/>
                <w:sz w:val="16"/>
              </w:rPr>
            </w:pPr>
          </w:p>
        </w:tc>
        <w:tc>
          <w:tcPr>
            <w:tcW w:w="4195" w:type="dxa"/>
            <w:gridSpan w:val="2"/>
          </w:tcPr>
          <w:p w14:paraId="51EF6E55" w14:textId="77777777" w:rsidR="00FA4AA8" w:rsidRDefault="0015611F">
            <w:pPr>
              <w:pStyle w:val="TableParagraph"/>
              <w:spacing w:before="24"/>
              <w:ind w:left="69"/>
              <w:rPr>
                <w:sz w:val="16"/>
              </w:rPr>
            </w:pPr>
            <w:r>
              <w:rPr>
                <w:sz w:val="16"/>
              </w:rPr>
              <w:t>Assets capitalised from Construction in</w:t>
            </w:r>
          </w:p>
          <w:p w14:paraId="696892C9" w14:textId="77777777" w:rsidR="00FA4AA8" w:rsidRDefault="0015611F">
            <w:pPr>
              <w:pStyle w:val="TableParagraph"/>
              <w:tabs>
                <w:tab w:val="left" w:pos="3575"/>
              </w:tabs>
              <w:spacing w:before="1"/>
              <w:ind w:left="69"/>
              <w:rPr>
                <w:sz w:val="16"/>
              </w:rPr>
            </w:pPr>
            <w:r>
              <w:rPr>
                <w:sz w:val="16"/>
              </w:rPr>
              <w:t>Progress</w:t>
            </w:r>
            <w:r>
              <w:rPr>
                <w:sz w:val="16"/>
              </w:rPr>
              <w:tab/>
              <w:t>(88,356)</w:t>
            </w:r>
          </w:p>
        </w:tc>
        <w:tc>
          <w:tcPr>
            <w:tcW w:w="1190" w:type="dxa"/>
          </w:tcPr>
          <w:p w14:paraId="6BD4160A" w14:textId="77777777" w:rsidR="00FA4AA8" w:rsidRDefault="00FA4AA8">
            <w:pPr>
              <w:pStyle w:val="TableParagraph"/>
              <w:spacing w:before="11"/>
              <w:rPr>
                <w:b/>
                <w:sz w:val="17"/>
              </w:rPr>
            </w:pPr>
          </w:p>
          <w:p w14:paraId="425E627D" w14:textId="77777777" w:rsidR="00FA4AA8" w:rsidRDefault="0015611F">
            <w:pPr>
              <w:pStyle w:val="TableParagraph"/>
              <w:ind w:right="131"/>
              <w:jc w:val="right"/>
              <w:rPr>
                <w:sz w:val="16"/>
              </w:rPr>
            </w:pPr>
            <w:r>
              <w:rPr>
                <w:sz w:val="16"/>
              </w:rPr>
              <w:t>-</w:t>
            </w:r>
          </w:p>
        </w:tc>
        <w:tc>
          <w:tcPr>
            <w:tcW w:w="1182" w:type="dxa"/>
          </w:tcPr>
          <w:p w14:paraId="39F51BC5" w14:textId="77777777" w:rsidR="00FA4AA8" w:rsidRDefault="00FA4AA8">
            <w:pPr>
              <w:pStyle w:val="TableParagraph"/>
              <w:spacing w:before="11"/>
              <w:rPr>
                <w:b/>
                <w:sz w:val="17"/>
              </w:rPr>
            </w:pPr>
          </w:p>
          <w:p w14:paraId="0B371D8D" w14:textId="77777777" w:rsidR="00FA4AA8" w:rsidRDefault="0015611F">
            <w:pPr>
              <w:pStyle w:val="TableParagraph"/>
              <w:ind w:right="149"/>
              <w:jc w:val="right"/>
              <w:rPr>
                <w:sz w:val="16"/>
              </w:rPr>
            </w:pPr>
            <w:r>
              <w:rPr>
                <w:sz w:val="16"/>
              </w:rPr>
              <w:t>-</w:t>
            </w:r>
          </w:p>
        </w:tc>
        <w:tc>
          <w:tcPr>
            <w:tcW w:w="1084" w:type="dxa"/>
          </w:tcPr>
          <w:p w14:paraId="5C755A8D" w14:textId="77777777" w:rsidR="00FA4AA8" w:rsidRDefault="00FA4AA8">
            <w:pPr>
              <w:pStyle w:val="TableParagraph"/>
              <w:spacing w:before="11"/>
              <w:rPr>
                <w:b/>
                <w:sz w:val="17"/>
              </w:rPr>
            </w:pPr>
          </w:p>
          <w:p w14:paraId="1D1FB322" w14:textId="77777777" w:rsidR="00FA4AA8" w:rsidRDefault="0015611F">
            <w:pPr>
              <w:pStyle w:val="TableParagraph"/>
              <w:ind w:right="98"/>
              <w:jc w:val="right"/>
              <w:rPr>
                <w:sz w:val="16"/>
              </w:rPr>
            </w:pPr>
            <w:r>
              <w:rPr>
                <w:sz w:val="16"/>
              </w:rPr>
              <w:t>25,364</w:t>
            </w:r>
          </w:p>
        </w:tc>
        <w:tc>
          <w:tcPr>
            <w:tcW w:w="1186" w:type="dxa"/>
          </w:tcPr>
          <w:p w14:paraId="6427E602" w14:textId="77777777" w:rsidR="00FA4AA8" w:rsidRDefault="00FA4AA8">
            <w:pPr>
              <w:pStyle w:val="TableParagraph"/>
              <w:spacing w:before="11"/>
              <w:rPr>
                <w:b/>
                <w:sz w:val="17"/>
              </w:rPr>
            </w:pPr>
          </w:p>
          <w:p w14:paraId="69AFBF94" w14:textId="77777777" w:rsidR="00FA4AA8" w:rsidRDefault="0015611F">
            <w:pPr>
              <w:pStyle w:val="TableParagraph"/>
              <w:ind w:right="151"/>
              <w:jc w:val="right"/>
              <w:rPr>
                <w:sz w:val="16"/>
              </w:rPr>
            </w:pPr>
            <w:r>
              <w:rPr>
                <w:sz w:val="16"/>
              </w:rPr>
              <w:t>6,358</w:t>
            </w:r>
          </w:p>
        </w:tc>
        <w:tc>
          <w:tcPr>
            <w:tcW w:w="1114" w:type="dxa"/>
          </w:tcPr>
          <w:p w14:paraId="16557D57" w14:textId="77777777" w:rsidR="00FA4AA8" w:rsidRDefault="00FA4AA8">
            <w:pPr>
              <w:pStyle w:val="TableParagraph"/>
              <w:spacing w:before="11"/>
              <w:rPr>
                <w:b/>
                <w:sz w:val="17"/>
              </w:rPr>
            </w:pPr>
          </w:p>
          <w:p w14:paraId="68B62DA6" w14:textId="77777777" w:rsidR="00FA4AA8" w:rsidRDefault="0015611F">
            <w:pPr>
              <w:pStyle w:val="TableParagraph"/>
              <w:ind w:right="132"/>
              <w:jc w:val="right"/>
              <w:rPr>
                <w:sz w:val="16"/>
              </w:rPr>
            </w:pPr>
            <w:r>
              <w:rPr>
                <w:sz w:val="16"/>
              </w:rPr>
              <w:t>1,368</w:t>
            </w:r>
          </w:p>
        </w:tc>
        <w:tc>
          <w:tcPr>
            <w:tcW w:w="1216" w:type="dxa"/>
          </w:tcPr>
          <w:p w14:paraId="3002183D" w14:textId="77777777" w:rsidR="00FA4AA8" w:rsidRDefault="00FA4AA8">
            <w:pPr>
              <w:pStyle w:val="TableParagraph"/>
              <w:spacing w:before="11"/>
              <w:rPr>
                <w:b/>
                <w:sz w:val="17"/>
              </w:rPr>
            </w:pPr>
          </w:p>
          <w:p w14:paraId="5B68BB51" w14:textId="77777777" w:rsidR="00FA4AA8" w:rsidRDefault="0015611F">
            <w:pPr>
              <w:pStyle w:val="TableParagraph"/>
              <w:ind w:right="165"/>
              <w:jc w:val="right"/>
              <w:rPr>
                <w:sz w:val="16"/>
              </w:rPr>
            </w:pPr>
            <w:r>
              <w:rPr>
                <w:sz w:val="16"/>
              </w:rPr>
              <w:t>55,134</w:t>
            </w:r>
          </w:p>
        </w:tc>
        <w:tc>
          <w:tcPr>
            <w:tcW w:w="1178" w:type="dxa"/>
          </w:tcPr>
          <w:p w14:paraId="5BE7067D" w14:textId="77777777" w:rsidR="00FA4AA8" w:rsidRDefault="00FA4AA8">
            <w:pPr>
              <w:pStyle w:val="TableParagraph"/>
              <w:spacing w:before="11"/>
              <w:rPr>
                <w:b/>
                <w:sz w:val="17"/>
              </w:rPr>
            </w:pPr>
          </w:p>
          <w:p w14:paraId="48F0D11C" w14:textId="77777777" w:rsidR="00FA4AA8" w:rsidRDefault="0015611F">
            <w:pPr>
              <w:pStyle w:val="TableParagraph"/>
              <w:ind w:right="210"/>
              <w:jc w:val="right"/>
              <w:rPr>
                <w:sz w:val="16"/>
              </w:rPr>
            </w:pPr>
            <w:r>
              <w:rPr>
                <w:sz w:val="16"/>
              </w:rPr>
              <w:t>-</w:t>
            </w:r>
          </w:p>
        </w:tc>
        <w:tc>
          <w:tcPr>
            <w:tcW w:w="1161" w:type="dxa"/>
          </w:tcPr>
          <w:p w14:paraId="599307FF" w14:textId="77777777" w:rsidR="00FA4AA8" w:rsidRDefault="00FA4AA8">
            <w:pPr>
              <w:pStyle w:val="TableParagraph"/>
              <w:spacing w:before="11"/>
              <w:rPr>
                <w:b/>
                <w:sz w:val="17"/>
              </w:rPr>
            </w:pPr>
          </w:p>
          <w:p w14:paraId="78A69FE5" w14:textId="77777777" w:rsidR="00FA4AA8" w:rsidRDefault="0015611F">
            <w:pPr>
              <w:pStyle w:val="TableParagraph"/>
              <w:ind w:right="239"/>
              <w:jc w:val="right"/>
              <w:rPr>
                <w:sz w:val="16"/>
              </w:rPr>
            </w:pPr>
            <w:r>
              <w:rPr>
                <w:sz w:val="16"/>
              </w:rPr>
              <w:t>132</w:t>
            </w:r>
          </w:p>
        </w:tc>
        <w:tc>
          <w:tcPr>
            <w:tcW w:w="974" w:type="dxa"/>
          </w:tcPr>
          <w:p w14:paraId="2B51015D" w14:textId="77777777" w:rsidR="00FA4AA8" w:rsidRDefault="00FA4AA8">
            <w:pPr>
              <w:pStyle w:val="TableParagraph"/>
              <w:spacing w:before="11"/>
              <w:rPr>
                <w:b/>
                <w:sz w:val="17"/>
              </w:rPr>
            </w:pPr>
          </w:p>
          <w:p w14:paraId="5DAE1949" w14:textId="77777777" w:rsidR="00FA4AA8" w:rsidRDefault="0015611F">
            <w:pPr>
              <w:pStyle w:val="TableParagraph"/>
              <w:ind w:right="79"/>
              <w:jc w:val="right"/>
              <w:rPr>
                <w:sz w:val="16"/>
              </w:rPr>
            </w:pPr>
            <w:r>
              <w:rPr>
                <w:sz w:val="16"/>
              </w:rPr>
              <w:t>-</w:t>
            </w:r>
          </w:p>
        </w:tc>
      </w:tr>
      <w:tr w:rsidR="00FA4AA8" w14:paraId="5335D5A7" w14:textId="77777777">
        <w:trPr>
          <w:trHeight w:val="236"/>
        </w:trPr>
        <w:tc>
          <w:tcPr>
            <w:tcW w:w="415" w:type="dxa"/>
          </w:tcPr>
          <w:p w14:paraId="3A7F5FF6" w14:textId="77777777" w:rsidR="00FA4AA8" w:rsidRDefault="00FA4AA8">
            <w:pPr>
              <w:pStyle w:val="TableParagraph"/>
              <w:rPr>
                <w:rFonts w:ascii="Times New Roman"/>
                <w:sz w:val="16"/>
              </w:rPr>
            </w:pPr>
          </w:p>
        </w:tc>
        <w:tc>
          <w:tcPr>
            <w:tcW w:w="4195" w:type="dxa"/>
            <w:gridSpan w:val="2"/>
          </w:tcPr>
          <w:p w14:paraId="439138B5" w14:textId="77777777" w:rsidR="00FA4AA8" w:rsidRDefault="0015611F">
            <w:pPr>
              <w:pStyle w:val="TableParagraph"/>
              <w:tabs>
                <w:tab w:val="left" w:pos="4065"/>
              </w:tabs>
              <w:spacing w:before="28"/>
              <w:ind w:left="69"/>
              <w:rPr>
                <w:sz w:val="16"/>
              </w:rPr>
            </w:pPr>
            <w:r>
              <w:rPr>
                <w:sz w:val="16"/>
              </w:rPr>
              <w:t>Transfers to Held for</w:t>
            </w:r>
            <w:r>
              <w:rPr>
                <w:spacing w:val="6"/>
                <w:sz w:val="16"/>
              </w:rPr>
              <w:t xml:space="preserve"> </w:t>
            </w:r>
            <w:r>
              <w:rPr>
                <w:sz w:val="16"/>
              </w:rPr>
              <w:t>Sale</w:t>
            </w:r>
            <w:r>
              <w:rPr>
                <w:spacing w:val="1"/>
                <w:sz w:val="16"/>
              </w:rPr>
              <w:t xml:space="preserve"> </w:t>
            </w:r>
            <w:r>
              <w:rPr>
                <w:sz w:val="16"/>
              </w:rPr>
              <w:t>Assets</w:t>
            </w:r>
            <w:r>
              <w:rPr>
                <w:sz w:val="16"/>
              </w:rPr>
              <w:tab/>
              <w:t>-</w:t>
            </w:r>
          </w:p>
        </w:tc>
        <w:tc>
          <w:tcPr>
            <w:tcW w:w="1190" w:type="dxa"/>
            <w:tcBorders>
              <w:bottom w:val="single" w:sz="8" w:space="0" w:color="000000"/>
            </w:tcBorders>
          </w:tcPr>
          <w:p w14:paraId="35395783" w14:textId="77777777" w:rsidR="00FA4AA8" w:rsidRDefault="0015611F">
            <w:pPr>
              <w:pStyle w:val="TableParagraph"/>
              <w:spacing w:before="25"/>
              <w:ind w:right="78"/>
              <w:jc w:val="right"/>
              <w:rPr>
                <w:sz w:val="16"/>
              </w:rPr>
            </w:pPr>
            <w:r>
              <w:rPr>
                <w:sz w:val="16"/>
              </w:rPr>
              <w:t>(5,180)</w:t>
            </w:r>
          </w:p>
        </w:tc>
        <w:tc>
          <w:tcPr>
            <w:tcW w:w="1182" w:type="dxa"/>
            <w:tcBorders>
              <w:bottom w:val="single" w:sz="8" w:space="0" w:color="000000"/>
            </w:tcBorders>
          </w:tcPr>
          <w:p w14:paraId="73DF1BAC" w14:textId="77777777" w:rsidR="00FA4AA8" w:rsidRDefault="0015611F">
            <w:pPr>
              <w:pStyle w:val="TableParagraph"/>
              <w:spacing w:before="25"/>
              <w:ind w:right="149"/>
              <w:jc w:val="right"/>
              <w:rPr>
                <w:sz w:val="16"/>
              </w:rPr>
            </w:pPr>
            <w:r>
              <w:rPr>
                <w:sz w:val="16"/>
              </w:rPr>
              <w:t>-</w:t>
            </w:r>
          </w:p>
        </w:tc>
        <w:tc>
          <w:tcPr>
            <w:tcW w:w="1084" w:type="dxa"/>
            <w:tcBorders>
              <w:bottom w:val="single" w:sz="8" w:space="0" w:color="000000"/>
            </w:tcBorders>
          </w:tcPr>
          <w:p w14:paraId="51358294" w14:textId="77777777" w:rsidR="00FA4AA8" w:rsidRDefault="0015611F">
            <w:pPr>
              <w:pStyle w:val="TableParagraph"/>
              <w:spacing w:before="25"/>
              <w:ind w:right="45"/>
              <w:jc w:val="right"/>
              <w:rPr>
                <w:sz w:val="16"/>
              </w:rPr>
            </w:pPr>
            <w:r>
              <w:rPr>
                <w:sz w:val="16"/>
              </w:rPr>
              <w:t>(687)</w:t>
            </w:r>
          </w:p>
        </w:tc>
        <w:tc>
          <w:tcPr>
            <w:tcW w:w="1186" w:type="dxa"/>
            <w:tcBorders>
              <w:bottom w:val="single" w:sz="8" w:space="0" w:color="000000"/>
            </w:tcBorders>
          </w:tcPr>
          <w:p w14:paraId="0CDF5397" w14:textId="77777777" w:rsidR="00FA4AA8" w:rsidRDefault="0015611F">
            <w:pPr>
              <w:pStyle w:val="TableParagraph"/>
              <w:spacing w:before="25"/>
              <w:ind w:right="151"/>
              <w:jc w:val="right"/>
              <w:rPr>
                <w:sz w:val="16"/>
              </w:rPr>
            </w:pPr>
            <w:r>
              <w:rPr>
                <w:sz w:val="16"/>
              </w:rPr>
              <w:t>-</w:t>
            </w:r>
          </w:p>
        </w:tc>
        <w:tc>
          <w:tcPr>
            <w:tcW w:w="1114" w:type="dxa"/>
            <w:tcBorders>
              <w:bottom w:val="single" w:sz="8" w:space="0" w:color="000000"/>
            </w:tcBorders>
          </w:tcPr>
          <w:p w14:paraId="6E9689F1" w14:textId="77777777" w:rsidR="00FA4AA8" w:rsidRDefault="0015611F">
            <w:pPr>
              <w:pStyle w:val="TableParagraph"/>
              <w:spacing w:before="25"/>
              <w:ind w:right="132"/>
              <w:jc w:val="right"/>
              <w:rPr>
                <w:sz w:val="16"/>
              </w:rPr>
            </w:pPr>
            <w:r>
              <w:rPr>
                <w:sz w:val="16"/>
              </w:rPr>
              <w:t>-</w:t>
            </w:r>
          </w:p>
        </w:tc>
        <w:tc>
          <w:tcPr>
            <w:tcW w:w="1216" w:type="dxa"/>
            <w:tcBorders>
              <w:bottom w:val="single" w:sz="8" w:space="0" w:color="000000"/>
            </w:tcBorders>
          </w:tcPr>
          <w:p w14:paraId="2036C456" w14:textId="77777777" w:rsidR="00FA4AA8" w:rsidRDefault="0015611F">
            <w:pPr>
              <w:pStyle w:val="TableParagraph"/>
              <w:spacing w:before="25"/>
              <w:ind w:right="165"/>
              <w:jc w:val="right"/>
              <w:rPr>
                <w:sz w:val="16"/>
              </w:rPr>
            </w:pPr>
            <w:r>
              <w:rPr>
                <w:sz w:val="16"/>
              </w:rPr>
              <w:t>-</w:t>
            </w:r>
          </w:p>
        </w:tc>
        <w:tc>
          <w:tcPr>
            <w:tcW w:w="1178" w:type="dxa"/>
            <w:tcBorders>
              <w:bottom w:val="single" w:sz="8" w:space="0" w:color="000000"/>
            </w:tcBorders>
          </w:tcPr>
          <w:p w14:paraId="7016CC5D" w14:textId="77777777" w:rsidR="00FA4AA8" w:rsidRDefault="0015611F">
            <w:pPr>
              <w:pStyle w:val="TableParagraph"/>
              <w:spacing w:before="25"/>
              <w:ind w:right="210"/>
              <w:jc w:val="right"/>
              <w:rPr>
                <w:sz w:val="16"/>
              </w:rPr>
            </w:pPr>
            <w:r>
              <w:rPr>
                <w:sz w:val="16"/>
              </w:rPr>
              <w:t>-</w:t>
            </w:r>
          </w:p>
        </w:tc>
        <w:tc>
          <w:tcPr>
            <w:tcW w:w="1161" w:type="dxa"/>
            <w:tcBorders>
              <w:bottom w:val="single" w:sz="8" w:space="0" w:color="000000"/>
            </w:tcBorders>
          </w:tcPr>
          <w:p w14:paraId="35AB03AC" w14:textId="77777777" w:rsidR="00FA4AA8" w:rsidRDefault="0015611F">
            <w:pPr>
              <w:pStyle w:val="TableParagraph"/>
              <w:spacing w:before="25"/>
              <w:ind w:right="238"/>
              <w:jc w:val="right"/>
              <w:rPr>
                <w:sz w:val="16"/>
              </w:rPr>
            </w:pPr>
            <w:r>
              <w:rPr>
                <w:sz w:val="16"/>
              </w:rPr>
              <w:t>-</w:t>
            </w:r>
          </w:p>
        </w:tc>
        <w:tc>
          <w:tcPr>
            <w:tcW w:w="974" w:type="dxa"/>
            <w:tcBorders>
              <w:bottom w:val="single" w:sz="8" w:space="0" w:color="000000"/>
            </w:tcBorders>
          </w:tcPr>
          <w:p w14:paraId="7CB8A8EF" w14:textId="77777777" w:rsidR="00FA4AA8" w:rsidRDefault="0015611F">
            <w:pPr>
              <w:pStyle w:val="TableParagraph"/>
              <w:spacing w:before="25"/>
              <w:ind w:right="27"/>
              <w:jc w:val="right"/>
              <w:rPr>
                <w:sz w:val="16"/>
              </w:rPr>
            </w:pPr>
            <w:r>
              <w:rPr>
                <w:sz w:val="16"/>
              </w:rPr>
              <w:t>(5,867)</w:t>
            </w:r>
          </w:p>
        </w:tc>
      </w:tr>
      <w:tr w:rsidR="00FA4AA8" w14:paraId="4F34A8CA" w14:textId="77777777">
        <w:trPr>
          <w:trHeight w:val="315"/>
        </w:trPr>
        <w:tc>
          <w:tcPr>
            <w:tcW w:w="3477" w:type="dxa"/>
            <w:gridSpan w:val="2"/>
          </w:tcPr>
          <w:p w14:paraId="5352592F" w14:textId="77777777" w:rsidR="00FA4AA8" w:rsidRDefault="0015611F">
            <w:pPr>
              <w:pStyle w:val="TableParagraph"/>
              <w:spacing w:before="105" w:line="181" w:lineRule="exact"/>
              <w:ind w:left="484"/>
              <w:rPr>
                <w:b/>
                <w:sz w:val="16"/>
              </w:rPr>
            </w:pPr>
            <w:r>
              <w:rPr>
                <w:b/>
                <w:sz w:val="16"/>
              </w:rPr>
              <w:t>Closing net book amount</w:t>
            </w:r>
          </w:p>
        </w:tc>
        <w:tc>
          <w:tcPr>
            <w:tcW w:w="1133" w:type="dxa"/>
            <w:tcBorders>
              <w:bottom w:val="double" w:sz="2" w:space="0" w:color="000000"/>
            </w:tcBorders>
          </w:tcPr>
          <w:p w14:paraId="19344109" w14:textId="77777777" w:rsidR="00FA4AA8" w:rsidRDefault="0015611F">
            <w:pPr>
              <w:pStyle w:val="TableParagraph"/>
              <w:spacing w:before="105" w:line="147" w:lineRule="exact"/>
              <w:ind w:right="74"/>
              <w:jc w:val="right"/>
              <w:rPr>
                <w:sz w:val="16"/>
              </w:rPr>
            </w:pPr>
            <w:r>
              <w:rPr>
                <w:sz w:val="16"/>
              </w:rPr>
              <w:t>80,540</w:t>
            </w:r>
          </w:p>
        </w:tc>
        <w:tc>
          <w:tcPr>
            <w:tcW w:w="1190" w:type="dxa"/>
            <w:tcBorders>
              <w:bottom w:val="single" w:sz="4" w:space="0" w:color="000000"/>
            </w:tcBorders>
          </w:tcPr>
          <w:p w14:paraId="04AFAB66" w14:textId="77777777" w:rsidR="00FA4AA8" w:rsidRDefault="0015611F">
            <w:pPr>
              <w:pStyle w:val="TableParagraph"/>
              <w:spacing w:before="105" w:line="181" w:lineRule="exact"/>
              <w:ind w:right="131"/>
              <w:jc w:val="right"/>
              <w:rPr>
                <w:sz w:val="16"/>
              </w:rPr>
            </w:pPr>
            <w:r>
              <w:rPr>
                <w:sz w:val="16"/>
              </w:rPr>
              <w:t>306,574</w:t>
            </w:r>
          </w:p>
        </w:tc>
        <w:tc>
          <w:tcPr>
            <w:tcW w:w="1182" w:type="dxa"/>
            <w:tcBorders>
              <w:bottom w:val="single" w:sz="6" w:space="0" w:color="000000"/>
            </w:tcBorders>
          </w:tcPr>
          <w:p w14:paraId="624F1336" w14:textId="77777777" w:rsidR="00FA4AA8" w:rsidRDefault="0015611F">
            <w:pPr>
              <w:pStyle w:val="TableParagraph"/>
              <w:spacing w:before="105" w:line="181" w:lineRule="exact"/>
              <w:ind w:right="149"/>
              <w:jc w:val="right"/>
              <w:rPr>
                <w:sz w:val="16"/>
              </w:rPr>
            </w:pPr>
            <w:r>
              <w:rPr>
                <w:sz w:val="16"/>
              </w:rPr>
              <w:t>221,740</w:t>
            </w:r>
          </w:p>
        </w:tc>
        <w:tc>
          <w:tcPr>
            <w:tcW w:w="7913" w:type="dxa"/>
            <w:gridSpan w:val="7"/>
            <w:tcBorders>
              <w:bottom w:val="single" w:sz="6" w:space="0" w:color="000000"/>
            </w:tcBorders>
          </w:tcPr>
          <w:p w14:paraId="0EA0F070" w14:textId="77777777" w:rsidR="00FA4AA8" w:rsidRDefault="0015611F">
            <w:pPr>
              <w:pStyle w:val="TableParagraph"/>
              <w:tabs>
                <w:tab w:val="left" w:pos="1537"/>
                <w:tab w:val="left" w:pos="2759"/>
                <w:tab w:val="left" w:pos="3942"/>
                <w:tab w:val="left" w:pos="5163"/>
                <w:tab w:val="left" w:pos="6296"/>
                <w:tab w:val="left" w:pos="7117"/>
              </w:tabs>
              <w:spacing w:before="105" w:line="181" w:lineRule="exact"/>
              <w:ind w:left="404"/>
              <w:rPr>
                <w:sz w:val="16"/>
              </w:rPr>
            </w:pPr>
            <w:r>
              <w:rPr>
                <w:sz w:val="16"/>
              </w:rPr>
              <w:t>981,524</w:t>
            </w:r>
            <w:r>
              <w:rPr>
                <w:sz w:val="16"/>
                <w:u w:val="single"/>
              </w:rPr>
              <w:t xml:space="preserve"> </w:t>
            </w:r>
            <w:r>
              <w:rPr>
                <w:sz w:val="16"/>
                <w:u w:val="single"/>
              </w:rPr>
              <w:tab/>
              <w:t>109,035</w:t>
            </w:r>
            <w:r>
              <w:rPr>
                <w:sz w:val="16"/>
                <w:u w:val="single"/>
              </w:rPr>
              <w:tab/>
              <w:t>63,333</w:t>
            </w:r>
            <w:r>
              <w:rPr>
                <w:sz w:val="16"/>
                <w:u w:val="single"/>
              </w:rPr>
              <w:tab/>
              <w:t>61,389</w:t>
            </w:r>
            <w:r>
              <w:rPr>
                <w:sz w:val="16"/>
                <w:u w:val="single"/>
              </w:rPr>
              <w:tab/>
              <w:t>6,984</w:t>
            </w:r>
            <w:r>
              <w:rPr>
                <w:sz w:val="16"/>
                <w:u w:val="single"/>
              </w:rPr>
              <w:tab/>
              <w:t>4,398</w:t>
            </w:r>
            <w:r>
              <w:rPr>
                <w:sz w:val="16"/>
                <w:u w:val="single"/>
              </w:rPr>
              <w:tab/>
              <w:t>1,835,517</w:t>
            </w:r>
          </w:p>
        </w:tc>
      </w:tr>
      <w:tr w:rsidR="00FA4AA8" w14:paraId="60A93E94" w14:textId="77777777">
        <w:trPr>
          <w:trHeight w:val="300"/>
        </w:trPr>
        <w:tc>
          <w:tcPr>
            <w:tcW w:w="3477" w:type="dxa"/>
            <w:gridSpan w:val="2"/>
          </w:tcPr>
          <w:p w14:paraId="323C3EC0" w14:textId="77777777" w:rsidR="00FA4AA8" w:rsidRDefault="0015611F">
            <w:pPr>
              <w:pStyle w:val="TableParagraph"/>
              <w:spacing w:before="92" w:line="181" w:lineRule="exact"/>
              <w:ind w:left="484"/>
              <w:rPr>
                <w:b/>
                <w:sz w:val="16"/>
              </w:rPr>
            </w:pPr>
            <w:r>
              <w:rPr>
                <w:b/>
                <w:sz w:val="16"/>
              </w:rPr>
              <w:t>At 31 December 2017</w:t>
            </w:r>
          </w:p>
        </w:tc>
        <w:tc>
          <w:tcPr>
            <w:tcW w:w="1133" w:type="dxa"/>
          </w:tcPr>
          <w:p w14:paraId="4C401EC5" w14:textId="77777777" w:rsidR="00FA4AA8" w:rsidRDefault="00FA4AA8">
            <w:pPr>
              <w:pStyle w:val="TableParagraph"/>
              <w:rPr>
                <w:rFonts w:ascii="Times New Roman"/>
                <w:sz w:val="16"/>
              </w:rPr>
            </w:pPr>
          </w:p>
        </w:tc>
        <w:tc>
          <w:tcPr>
            <w:tcW w:w="1190" w:type="dxa"/>
          </w:tcPr>
          <w:p w14:paraId="52E94F4C" w14:textId="77777777" w:rsidR="00FA4AA8" w:rsidRDefault="00FA4AA8">
            <w:pPr>
              <w:pStyle w:val="TableParagraph"/>
              <w:rPr>
                <w:rFonts w:ascii="Times New Roman"/>
                <w:sz w:val="16"/>
              </w:rPr>
            </w:pPr>
          </w:p>
        </w:tc>
        <w:tc>
          <w:tcPr>
            <w:tcW w:w="1182" w:type="dxa"/>
          </w:tcPr>
          <w:p w14:paraId="5B93E761" w14:textId="77777777" w:rsidR="00FA4AA8" w:rsidRDefault="00FA4AA8">
            <w:pPr>
              <w:pStyle w:val="TableParagraph"/>
              <w:rPr>
                <w:rFonts w:ascii="Times New Roman"/>
                <w:sz w:val="16"/>
              </w:rPr>
            </w:pPr>
          </w:p>
        </w:tc>
        <w:tc>
          <w:tcPr>
            <w:tcW w:w="1084" w:type="dxa"/>
          </w:tcPr>
          <w:p w14:paraId="54206D19" w14:textId="77777777" w:rsidR="00FA4AA8" w:rsidRDefault="00FA4AA8">
            <w:pPr>
              <w:pStyle w:val="TableParagraph"/>
              <w:rPr>
                <w:rFonts w:ascii="Times New Roman"/>
                <w:sz w:val="16"/>
              </w:rPr>
            </w:pPr>
          </w:p>
        </w:tc>
        <w:tc>
          <w:tcPr>
            <w:tcW w:w="1186" w:type="dxa"/>
          </w:tcPr>
          <w:p w14:paraId="7B063165" w14:textId="77777777" w:rsidR="00FA4AA8" w:rsidRDefault="00FA4AA8">
            <w:pPr>
              <w:pStyle w:val="TableParagraph"/>
              <w:rPr>
                <w:rFonts w:ascii="Times New Roman"/>
                <w:sz w:val="16"/>
              </w:rPr>
            </w:pPr>
          </w:p>
        </w:tc>
        <w:tc>
          <w:tcPr>
            <w:tcW w:w="1114" w:type="dxa"/>
          </w:tcPr>
          <w:p w14:paraId="37A1DD50" w14:textId="77777777" w:rsidR="00FA4AA8" w:rsidRDefault="00FA4AA8">
            <w:pPr>
              <w:pStyle w:val="TableParagraph"/>
              <w:rPr>
                <w:rFonts w:ascii="Times New Roman"/>
                <w:sz w:val="16"/>
              </w:rPr>
            </w:pPr>
          </w:p>
        </w:tc>
        <w:tc>
          <w:tcPr>
            <w:tcW w:w="1216" w:type="dxa"/>
          </w:tcPr>
          <w:p w14:paraId="57B41603" w14:textId="77777777" w:rsidR="00FA4AA8" w:rsidRDefault="00FA4AA8">
            <w:pPr>
              <w:pStyle w:val="TableParagraph"/>
              <w:rPr>
                <w:rFonts w:ascii="Times New Roman"/>
                <w:sz w:val="16"/>
              </w:rPr>
            </w:pPr>
          </w:p>
        </w:tc>
        <w:tc>
          <w:tcPr>
            <w:tcW w:w="1178" w:type="dxa"/>
          </w:tcPr>
          <w:p w14:paraId="32BD43A9" w14:textId="77777777" w:rsidR="00FA4AA8" w:rsidRDefault="00FA4AA8">
            <w:pPr>
              <w:pStyle w:val="TableParagraph"/>
              <w:rPr>
                <w:rFonts w:ascii="Times New Roman"/>
                <w:sz w:val="16"/>
              </w:rPr>
            </w:pPr>
          </w:p>
        </w:tc>
        <w:tc>
          <w:tcPr>
            <w:tcW w:w="1161" w:type="dxa"/>
          </w:tcPr>
          <w:p w14:paraId="21D98AAE" w14:textId="77777777" w:rsidR="00FA4AA8" w:rsidRDefault="00FA4AA8">
            <w:pPr>
              <w:pStyle w:val="TableParagraph"/>
              <w:rPr>
                <w:rFonts w:ascii="Times New Roman"/>
                <w:sz w:val="16"/>
              </w:rPr>
            </w:pPr>
          </w:p>
        </w:tc>
        <w:tc>
          <w:tcPr>
            <w:tcW w:w="974" w:type="dxa"/>
          </w:tcPr>
          <w:p w14:paraId="31A9F859" w14:textId="77777777" w:rsidR="00FA4AA8" w:rsidRDefault="00FA4AA8">
            <w:pPr>
              <w:pStyle w:val="TableParagraph"/>
              <w:rPr>
                <w:rFonts w:ascii="Times New Roman"/>
                <w:sz w:val="16"/>
              </w:rPr>
            </w:pPr>
          </w:p>
        </w:tc>
      </w:tr>
      <w:tr w:rsidR="00FA4AA8" w14:paraId="225E15E0" w14:textId="77777777">
        <w:trPr>
          <w:trHeight w:val="229"/>
        </w:trPr>
        <w:tc>
          <w:tcPr>
            <w:tcW w:w="3477" w:type="dxa"/>
            <w:gridSpan w:val="2"/>
          </w:tcPr>
          <w:p w14:paraId="57D2A235" w14:textId="77777777" w:rsidR="00FA4AA8" w:rsidRDefault="0015611F">
            <w:pPr>
              <w:pStyle w:val="TableParagraph"/>
              <w:spacing w:before="15"/>
              <w:ind w:left="484"/>
              <w:rPr>
                <w:sz w:val="16"/>
              </w:rPr>
            </w:pPr>
            <w:r>
              <w:rPr>
                <w:sz w:val="16"/>
              </w:rPr>
              <w:t>- Cost</w:t>
            </w:r>
          </w:p>
        </w:tc>
        <w:tc>
          <w:tcPr>
            <w:tcW w:w="1133" w:type="dxa"/>
          </w:tcPr>
          <w:p w14:paraId="46A5C16A" w14:textId="77777777" w:rsidR="00FA4AA8" w:rsidRDefault="0015611F">
            <w:pPr>
              <w:pStyle w:val="TableParagraph"/>
              <w:spacing w:before="12"/>
              <w:ind w:right="74"/>
              <w:jc w:val="right"/>
              <w:rPr>
                <w:sz w:val="16"/>
              </w:rPr>
            </w:pPr>
            <w:r>
              <w:rPr>
                <w:sz w:val="16"/>
              </w:rPr>
              <w:t>80,540</w:t>
            </w:r>
          </w:p>
        </w:tc>
        <w:tc>
          <w:tcPr>
            <w:tcW w:w="1190" w:type="dxa"/>
          </w:tcPr>
          <w:p w14:paraId="5FF9EA81" w14:textId="77777777" w:rsidR="00FA4AA8" w:rsidRDefault="0015611F">
            <w:pPr>
              <w:pStyle w:val="TableParagraph"/>
              <w:spacing w:before="12"/>
              <w:ind w:right="131"/>
              <w:jc w:val="right"/>
              <w:rPr>
                <w:sz w:val="16"/>
              </w:rPr>
            </w:pPr>
            <w:r>
              <w:rPr>
                <w:sz w:val="16"/>
              </w:rPr>
              <w:t>-</w:t>
            </w:r>
          </w:p>
        </w:tc>
        <w:tc>
          <w:tcPr>
            <w:tcW w:w="1182" w:type="dxa"/>
          </w:tcPr>
          <w:p w14:paraId="11A63F64" w14:textId="77777777" w:rsidR="00FA4AA8" w:rsidRDefault="0015611F">
            <w:pPr>
              <w:pStyle w:val="TableParagraph"/>
              <w:spacing w:before="12"/>
              <w:ind w:right="149"/>
              <w:jc w:val="right"/>
              <w:rPr>
                <w:sz w:val="16"/>
              </w:rPr>
            </w:pPr>
            <w:r>
              <w:rPr>
                <w:sz w:val="16"/>
              </w:rPr>
              <w:t>-</w:t>
            </w:r>
          </w:p>
        </w:tc>
        <w:tc>
          <w:tcPr>
            <w:tcW w:w="1084" w:type="dxa"/>
          </w:tcPr>
          <w:p w14:paraId="31DAA1B7" w14:textId="77777777" w:rsidR="00FA4AA8" w:rsidRDefault="0015611F">
            <w:pPr>
              <w:pStyle w:val="TableParagraph"/>
              <w:spacing w:before="12"/>
              <w:ind w:right="98"/>
              <w:jc w:val="right"/>
              <w:rPr>
                <w:sz w:val="16"/>
              </w:rPr>
            </w:pPr>
            <w:r>
              <w:rPr>
                <w:sz w:val="16"/>
              </w:rPr>
              <w:t>7,576</w:t>
            </w:r>
          </w:p>
        </w:tc>
        <w:tc>
          <w:tcPr>
            <w:tcW w:w="1186" w:type="dxa"/>
          </w:tcPr>
          <w:p w14:paraId="2B7AC0C6" w14:textId="77777777" w:rsidR="00FA4AA8" w:rsidRDefault="0015611F">
            <w:pPr>
              <w:pStyle w:val="TableParagraph"/>
              <w:spacing w:before="12"/>
              <w:ind w:right="152"/>
              <w:jc w:val="right"/>
              <w:rPr>
                <w:sz w:val="16"/>
              </w:rPr>
            </w:pPr>
            <w:r>
              <w:rPr>
                <w:sz w:val="16"/>
              </w:rPr>
              <w:t>18</w:t>
            </w:r>
          </w:p>
        </w:tc>
        <w:tc>
          <w:tcPr>
            <w:tcW w:w="1114" w:type="dxa"/>
          </w:tcPr>
          <w:p w14:paraId="1F4236DC" w14:textId="77777777" w:rsidR="00FA4AA8" w:rsidRDefault="0015611F">
            <w:pPr>
              <w:pStyle w:val="TableParagraph"/>
              <w:spacing w:before="12"/>
              <w:ind w:left="400"/>
              <w:rPr>
                <w:sz w:val="16"/>
              </w:rPr>
            </w:pPr>
            <w:r>
              <w:rPr>
                <w:sz w:val="16"/>
              </w:rPr>
              <w:t>146,268</w:t>
            </w:r>
          </w:p>
        </w:tc>
        <w:tc>
          <w:tcPr>
            <w:tcW w:w="1216" w:type="dxa"/>
          </w:tcPr>
          <w:p w14:paraId="4A3F61F9" w14:textId="77777777" w:rsidR="00FA4AA8" w:rsidRDefault="0015611F">
            <w:pPr>
              <w:pStyle w:val="TableParagraph"/>
              <w:spacing w:before="12"/>
              <w:ind w:right="165"/>
              <w:jc w:val="right"/>
              <w:rPr>
                <w:sz w:val="16"/>
              </w:rPr>
            </w:pPr>
            <w:r>
              <w:rPr>
                <w:sz w:val="16"/>
              </w:rPr>
              <w:t>74,257</w:t>
            </w:r>
          </w:p>
        </w:tc>
        <w:tc>
          <w:tcPr>
            <w:tcW w:w="1178" w:type="dxa"/>
          </w:tcPr>
          <w:p w14:paraId="7C9E754E" w14:textId="77777777" w:rsidR="00FA4AA8" w:rsidRDefault="0015611F">
            <w:pPr>
              <w:pStyle w:val="TableParagraph"/>
              <w:spacing w:before="12"/>
              <w:ind w:right="210"/>
              <w:jc w:val="right"/>
              <w:rPr>
                <w:sz w:val="16"/>
              </w:rPr>
            </w:pPr>
            <w:r>
              <w:rPr>
                <w:sz w:val="16"/>
              </w:rPr>
              <w:t>77,877</w:t>
            </w:r>
          </w:p>
        </w:tc>
        <w:tc>
          <w:tcPr>
            <w:tcW w:w="1161" w:type="dxa"/>
          </w:tcPr>
          <w:p w14:paraId="66072818" w14:textId="77777777" w:rsidR="00FA4AA8" w:rsidRDefault="0015611F">
            <w:pPr>
              <w:pStyle w:val="TableParagraph"/>
              <w:spacing w:before="12"/>
              <w:ind w:right="238"/>
              <w:jc w:val="right"/>
              <w:rPr>
                <w:sz w:val="16"/>
              </w:rPr>
            </w:pPr>
            <w:r>
              <w:rPr>
                <w:sz w:val="16"/>
              </w:rPr>
              <w:t>-</w:t>
            </w:r>
          </w:p>
        </w:tc>
        <w:tc>
          <w:tcPr>
            <w:tcW w:w="974" w:type="dxa"/>
          </w:tcPr>
          <w:p w14:paraId="3B9A1D2D" w14:textId="77777777" w:rsidR="00FA4AA8" w:rsidRDefault="0015611F">
            <w:pPr>
              <w:pStyle w:val="TableParagraph"/>
              <w:spacing w:before="12"/>
              <w:ind w:right="80"/>
              <w:jc w:val="right"/>
              <w:rPr>
                <w:sz w:val="16"/>
              </w:rPr>
            </w:pPr>
            <w:r>
              <w:rPr>
                <w:sz w:val="16"/>
              </w:rPr>
              <w:t>386,536</w:t>
            </w:r>
          </w:p>
        </w:tc>
      </w:tr>
      <w:tr w:rsidR="00FA4AA8" w14:paraId="09FED1E8" w14:textId="77777777">
        <w:trPr>
          <w:trHeight w:val="241"/>
        </w:trPr>
        <w:tc>
          <w:tcPr>
            <w:tcW w:w="3477" w:type="dxa"/>
            <w:gridSpan w:val="2"/>
          </w:tcPr>
          <w:p w14:paraId="0E79F3A4" w14:textId="77777777" w:rsidR="00FA4AA8" w:rsidRDefault="0015611F">
            <w:pPr>
              <w:pStyle w:val="TableParagraph"/>
              <w:spacing w:before="28"/>
              <w:ind w:left="484"/>
              <w:rPr>
                <w:sz w:val="16"/>
              </w:rPr>
            </w:pPr>
            <w:r>
              <w:rPr>
                <w:sz w:val="16"/>
              </w:rPr>
              <w:t>- Valuation</w:t>
            </w:r>
          </w:p>
        </w:tc>
        <w:tc>
          <w:tcPr>
            <w:tcW w:w="1133" w:type="dxa"/>
          </w:tcPr>
          <w:p w14:paraId="77849611" w14:textId="77777777" w:rsidR="00FA4AA8" w:rsidRDefault="0015611F">
            <w:pPr>
              <w:pStyle w:val="TableParagraph"/>
              <w:spacing w:before="25"/>
              <w:ind w:right="74"/>
              <w:jc w:val="right"/>
              <w:rPr>
                <w:sz w:val="16"/>
              </w:rPr>
            </w:pPr>
            <w:r>
              <w:rPr>
                <w:sz w:val="16"/>
              </w:rPr>
              <w:t>-</w:t>
            </w:r>
          </w:p>
        </w:tc>
        <w:tc>
          <w:tcPr>
            <w:tcW w:w="1190" w:type="dxa"/>
          </w:tcPr>
          <w:p w14:paraId="347E12EC" w14:textId="77777777" w:rsidR="00FA4AA8" w:rsidRDefault="0015611F">
            <w:pPr>
              <w:pStyle w:val="TableParagraph"/>
              <w:spacing w:before="25"/>
              <w:ind w:right="131"/>
              <w:jc w:val="right"/>
              <w:rPr>
                <w:sz w:val="16"/>
              </w:rPr>
            </w:pPr>
            <w:r>
              <w:rPr>
                <w:sz w:val="16"/>
              </w:rPr>
              <w:t>306,574</w:t>
            </w:r>
          </w:p>
        </w:tc>
        <w:tc>
          <w:tcPr>
            <w:tcW w:w="1182" w:type="dxa"/>
          </w:tcPr>
          <w:p w14:paraId="63A8AE3D" w14:textId="77777777" w:rsidR="00FA4AA8" w:rsidRDefault="0015611F">
            <w:pPr>
              <w:pStyle w:val="TableParagraph"/>
              <w:spacing w:before="25"/>
              <w:ind w:right="149"/>
              <w:jc w:val="right"/>
              <w:rPr>
                <w:sz w:val="16"/>
              </w:rPr>
            </w:pPr>
            <w:r>
              <w:rPr>
                <w:sz w:val="16"/>
              </w:rPr>
              <w:t>221,740</w:t>
            </w:r>
          </w:p>
        </w:tc>
        <w:tc>
          <w:tcPr>
            <w:tcW w:w="1084" w:type="dxa"/>
          </w:tcPr>
          <w:p w14:paraId="59315770" w14:textId="77777777" w:rsidR="00FA4AA8" w:rsidRDefault="0015611F">
            <w:pPr>
              <w:pStyle w:val="TableParagraph"/>
              <w:spacing w:before="25"/>
              <w:ind w:right="98"/>
              <w:jc w:val="right"/>
              <w:rPr>
                <w:sz w:val="16"/>
              </w:rPr>
            </w:pPr>
            <w:r>
              <w:rPr>
                <w:sz w:val="16"/>
              </w:rPr>
              <w:t>983,669</w:t>
            </w:r>
          </w:p>
        </w:tc>
        <w:tc>
          <w:tcPr>
            <w:tcW w:w="1186" w:type="dxa"/>
          </w:tcPr>
          <w:p w14:paraId="54F45880" w14:textId="77777777" w:rsidR="00FA4AA8" w:rsidRDefault="0015611F">
            <w:pPr>
              <w:pStyle w:val="TableParagraph"/>
              <w:spacing w:before="25"/>
              <w:ind w:right="151"/>
              <w:jc w:val="right"/>
              <w:rPr>
                <w:sz w:val="16"/>
              </w:rPr>
            </w:pPr>
            <w:r>
              <w:rPr>
                <w:sz w:val="16"/>
              </w:rPr>
              <w:t>110,808</w:t>
            </w:r>
          </w:p>
        </w:tc>
        <w:tc>
          <w:tcPr>
            <w:tcW w:w="1114" w:type="dxa"/>
          </w:tcPr>
          <w:p w14:paraId="3CF40728" w14:textId="77777777" w:rsidR="00FA4AA8" w:rsidRDefault="0015611F">
            <w:pPr>
              <w:pStyle w:val="TableParagraph"/>
              <w:spacing w:before="25"/>
              <w:ind w:right="132"/>
              <w:jc w:val="right"/>
              <w:rPr>
                <w:sz w:val="16"/>
              </w:rPr>
            </w:pPr>
            <w:r>
              <w:rPr>
                <w:sz w:val="16"/>
              </w:rPr>
              <w:t>-</w:t>
            </w:r>
          </w:p>
        </w:tc>
        <w:tc>
          <w:tcPr>
            <w:tcW w:w="1216" w:type="dxa"/>
          </w:tcPr>
          <w:p w14:paraId="78C36F81" w14:textId="77777777" w:rsidR="00FA4AA8" w:rsidRDefault="0015611F">
            <w:pPr>
              <w:pStyle w:val="TableParagraph"/>
              <w:spacing w:before="25"/>
              <w:ind w:right="165"/>
              <w:jc w:val="right"/>
              <w:rPr>
                <w:sz w:val="16"/>
              </w:rPr>
            </w:pPr>
            <w:r>
              <w:rPr>
                <w:sz w:val="16"/>
              </w:rPr>
              <w:t>-</w:t>
            </w:r>
          </w:p>
        </w:tc>
        <w:tc>
          <w:tcPr>
            <w:tcW w:w="1178" w:type="dxa"/>
          </w:tcPr>
          <w:p w14:paraId="7C99B03B" w14:textId="77777777" w:rsidR="00FA4AA8" w:rsidRDefault="0015611F">
            <w:pPr>
              <w:pStyle w:val="TableParagraph"/>
              <w:spacing w:before="25"/>
              <w:ind w:right="211"/>
              <w:jc w:val="right"/>
              <w:rPr>
                <w:sz w:val="16"/>
              </w:rPr>
            </w:pPr>
            <w:r>
              <w:rPr>
                <w:sz w:val="16"/>
              </w:rPr>
              <w:t>881</w:t>
            </w:r>
          </w:p>
        </w:tc>
        <w:tc>
          <w:tcPr>
            <w:tcW w:w="1161" w:type="dxa"/>
          </w:tcPr>
          <w:p w14:paraId="2F0AB7C1" w14:textId="77777777" w:rsidR="00FA4AA8" w:rsidRDefault="0015611F">
            <w:pPr>
              <w:pStyle w:val="TableParagraph"/>
              <w:spacing w:before="25"/>
              <w:ind w:right="239"/>
              <w:jc w:val="right"/>
              <w:rPr>
                <w:sz w:val="16"/>
              </w:rPr>
            </w:pPr>
            <w:r>
              <w:rPr>
                <w:sz w:val="16"/>
              </w:rPr>
              <w:t>4,398</w:t>
            </w:r>
          </w:p>
        </w:tc>
        <w:tc>
          <w:tcPr>
            <w:tcW w:w="974" w:type="dxa"/>
          </w:tcPr>
          <w:p w14:paraId="49382561" w14:textId="77777777" w:rsidR="00FA4AA8" w:rsidRDefault="0015611F">
            <w:pPr>
              <w:pStyle w:val="TableParagraph"/>
              <w:spacing w:before="25"/>
              <w:ind w:right="80"/>
              <w:jc w:val="right"/>
              <w:rPr>
                <w:sz w:val="16"/>
              </w:rPr>
            </w:pPr>
            <w:r>
              <w:rPr>
                <w:sz w:val="16"/>
              </w:rPr>
              <w:t>1,628,070</w:t>
            </w:r>
          </w:p>
        </w:tc>
      </w:tr>
      <w:tr w:rsidR="00FA4AA8" w14:paraId="441991BE" w14:textId="77777777">
        <w:trPr>
          <w:trHeight w:val="417"/>
        </w:trPr>
        <w:tc>
          <w:tcPr>
            <w:tcW w:w="3477" w:type="dxa"/>
            <w:gridSpan w:val="2"/>
          </w:tcPr>
          <w:p w14:paraId="0FC778B1" w14:textId="77777777" w:rsidR="00FA4AA8" w:rsidRDefault="0015611F">
            <w:pPr>
              <w:pStyle w:val="TableParagraph"/>
              <w:spacing w:before="24"/>
              <w:ind w:left="484" w:right="820"/>
              <w:rPr>
                <w:sz w:val="16"/>
              </w:rPr>
            </w:pPr>
            <w:r>
              <w:rPr>
                <w:sz w:val="16"/>
              </w:rPr>
              <w:t>Accumulated depreciation and impairment</w:t>
            </w:r>
          </w:p>
        </w:tc>
        <w:tc>
          <w:tcPr>
            <w:tcW w:w="1133" w:type="dxa"/>
            <w:tcBorders>
              <w:bottom w:val="single" w:sz="8" w:space="0" w:color="000000"/>
            </w:tcBorders>
          </w:tcPr>
          <w:p w14:paraId="726DD5BF" w14:textId="77777777" w:rsidR="00FA4AA8" w:rsidRDefault="00FA4AA8">
            <w:pPr>
              <w:pStyle w:val="TableParagraph"/>
              <w:spacing w:before="11"/>
              <w:rPr>
                <w:b/>
                <w:sz w:val="17"/>
              </w:rPr>
            </w:pPr>
          </w:p>
          <w:p w14:paraId="7AADEA1B" w14:textId="77777777" w:rsidR="00FA4AA8" w:rsidRDefault="0015611F">
            <w:pPr>
              <w:pStyle w:val="TableParagraph"/>
              <w:ind w:right="74"/>
              <w:jc w:val="right"/>
              <w:rPr>
                <w:sz w:val="16"/>
              </w:rPr>
            </w:pPr>
            <w:r>
              <w:rPr>
                <w:sz w:val="16"/>
              </w:rPr>
              <w:t>-</w:t>
            </w:r>
          </w:p>
        </w:tc>
        <w:tc>
          <w:tcPr>
            <w:tcW w:w="1190" w:type="dxa"/>
            <w:tcBorders>
              <w:bottom w:val="single" w:sz="8" w:space="0" w:color="000000"/>
            </w:tcBorders>
          </w:tcPr>
          <w:p w14:paraId="7CFB1966" w14:textId="77777777" w:rsidR="00FA4AA8" w:rsidRDefault="00FA4AA8">
            <w:pPr>
              <w:pStyle w:val="TableParagraph"/>
              <w:spacing w:before="11"/>
              <w:rPr>
                <w:b/>
                <w:sz w:val="17"/>
              </w:rPr>
            </w:pPr>
          </w:p>
          <w:p w14:paraId="480A472E" w14:textId="77777777" w:rsidR="00FA4AA8" w:rsidRDefault="0015611F">
            <w:pPr>
              <w:pStyle w:val="TableParagraph"/>
              <w:ind w:right="131"/>
              <w:jc w:val="right"/>
              <w:rPr>
                <w:sz w:val="16"/>
              </w:rPr>
            </w:pPr>
            <w:r>
              <w:rPr>
                <w:sz w:val="16"/>
              </w:rPr>
              <w:t>-</w:t>
            </w:r>
          </w:p>
        </w:tc>
        <w:tc>
          <w:tcPr>
            <w:tcW w:w="1182" w:type="dxa"/>
            <w:tcBorders>
              <w:bottom w:val="single" w:sz="8" w:space="0" w:color="000000"/>
            </w:tcBorders>
          </w:tcPr>
          <w:p w14:paraId="4D59838E" w14:textId="77777777" w:rsidR="00FA4AA8" w:rsidRDefault="00FA4AA8">
            <w:pPr>
              <w:pStyle w:val="TableParagraph"/>
              <w:spacing w:before="11"/>
              <w:rPr>
                <w:b/>
                <w:sz w:val="17"/>
              </w:rPr>
            </w:pPr>
          </w:p>
          <w:p w14:paraId="7E18C23D" w14:textId="77777777" w:rsidR="00FA4AA8" w:rsidRDefault="0015611F">
            <w:pPr>
              <w:pStyle w:val="TableParagraph"/>
              <w:ind w:right="149"/>
              <w:jc w:val="right"/>
              <w:rPr>
                <w:sz w:val="16"/>
              </w:rPr>
            </w:pPr>
            <w:r>
              <w:rPr>
                <w:sz w:val="16"/>
              </w:rPr>
              <w:t>-</w:t>
            </w:r>
          </w:p>
        </w:tc>
        <w:tc>
          <w:tcPr>
            <w:tcW w:w="1084" w:type="dxa"/>
            <w:tcBorders>
              <w:bottom w:val="single" w:sz="8" w:space="0" w:color="000000"/>
            </w:tcBorders>
          </w:tcPr>
          <w:p w14:paraId="16E08E55" w14:textId="77777777" w:rsidR="00FA4AA8" w:rsidRDefault="00FA4AA8">
            <w:pPr>
              <w:pStyle w:val="TableParagraph"/>
              <w:spacing w:before="11"/>
              <w:rPr>
                <w:b/>
                <w:sz w:val="17"/>
              </w:rPr>
            </w:pPr>
          </w:p>
          <w:p w14:paraId="3FC10335" w14:textId="77777777" w:rsidR="00FA4AA8" w:rsidRDefault="0015611F">
            <w:pPr>
              <w:pStyle w:val="TableParagraph"/>
              <w:ind w:right="45"/>
              <w:jc w:val="right"/>
              <w:rPr>
                <w:sz w:val="16"/>
              </w:rPr>
            </w:pPr>
            <w:r>
              <w:rPr>
                <w:sz w:val="16"/>
              </w:rPr>
              <w:t>(9,721)</w:t>
            </w:r>
          </w:p>
        </w:tc>
        <w:tc>
          <w:tcPr>
            <w:tcW w:w="1186" w:type="dxa"/>
            <w:tcBorders>
              <w:bottom w:val="single" w:sz="8" w:space="0" w:color="000000"/>
            </w:tcBorders>
          </w:tcPr>
          <w:p w14:paraId="6AA4E829" w14:textId="77777777" w:rsidR="00FA4AA8" w:rsidRDefault="00FA4AA8">
            <w:pPr>
              <w:pStyle w:val="TableParagraph"/>
              <w:spacing w:before="11"/>
              <w:rPr>
                <w:b/>
                <w:sz w:val="17"/>
              </w:rPr>
            </w:pPr>
          </w:p>
          <w:p w14:paraId="536B59EA" w14:textId="77777777" w:rsidR="00FA4AA8" w:rsidRDefault="0015611F">
            <w:pPr>
              <w:pStyle w:val="TableParagraph"/>
              <w:ind w:right="98"/>
              <w:jc w:val="right"/>
              <w:rPr>
                <w:sz w:val="16"/>
              </w:rPr>
            </w:pPr>
            <w:r>
              <w:rPr>
                <w:sz w:val="16"/>
              </w:rPr>
              <w:t>(1,791)</w:t>
            </w:r>
          </w:p>
        </w:tc>
        <w:tc>
          <w:tcPr>
            <w:tcW w:w="1114" w:type="dxa"/>
            <w:tcBorders>
              <w:bottom w:val="single" w:sz="8" w:space="0" w:color="000000"/>
            </w:tcBorders>
          </w:tcPr>
          <w:p w14:paraId="58654ADC" w14:textId="77777777" w:rsidR="00FA4AA8" w:rsidRDefault="00FA4AA8">
            <w:pPr>
              <w:pStyle w:val="TableParagraph"/>
              <w:spacing w:before="11"/>
              <w:rPr>
                <w:b/>
                <w:sz w:val="17"/>
              </w:rPr>
            </w:pPr>
          </w:p>
          <w:p w14:paraId="40F5C67E" w14:textId="77777777" w:rsidR="00FA4AA8" w:rsidRDefault="0015611F">
            <w:pPr>
              <w:pStyle w:val="TableParagraph"/>
              <w:ind w:right="80"/>
              <w:jc w:val="right"/>
              <w:rPr>
                <w:sz w:val="16"/>
              </w:rPr>
            </w:pPr>
            <w:r>
              <w:rPr>
                <w:sz w:val="16"/>
              </w:rPr>
              <w:t>(82,935)</w:t>
            </w:r>
          </w:p>
        </w:tc>
        <w:tc>
          <w:tcPr>
            <w:tcW w:w="1216" w:type="dxa"/>
            <w:tcBorders>
              <w:bottom w:val="single" w:sz="8" w:space="0" w:color="000000"/>
            </w:tcBorders>
          </w:tcPr>
          <w:p w14:paraId="2FCCB12E" w14:textId="77777777" w:rsidR="00FA4AA8" w:rsidRDefault="00FA4AA8">
            <w:pPr>
              <w:pStyle w:val="TableParagraph"/>
              <w:spacing w:before="11"/>
              <w:rPr>
                <w:b/>
                <w:sz w:val="17"/>
              </w:rPr>
            </w:pPr>
          </w:p>
          <w:p w14:paraId="5AB610A5" w14:textId="77777777" w:rsidR="00FA4AA8" w:rsidRDefault="0015611F">
            <w:pPr>
              <w:pStyle w:val="TableParagraph"/>
              <w:ind w:right="112"/>
              <w:jc w:val="right"/>
              <w:rPr>
                <w:sz w:val="16"/>
              </w:rPr>
            </w:pPr>
            <w:r>
              <w:rPr>
                <w:sz w:val="16"/>
              </w:rPr>
              <w:t>(12,868)</w:t>
            </w:r>
          </w:p>
        </w:tc>
        <w:tc>
          <w:tcPr>
            <w:tcW w:w="1178" w:type="dxa"/>
            <w:tcBorders>
              <w:bottom w:val="single" w:sz="8" w:space="0" w:color="000000"/>
            </w:tcBorders>
          </w:tcPr>
          <w:p w14:paraId="15A9691A" w14:textId="77777777" w:rsidR="00FA4AA8" w:rsidRDefault="00FA4AA8">
            <w:pPr>
              <w:pStyle w:val="TableParagraph"/>
              <w:spacing w:before="11"/>
              <w:rPr>
                <w:b/>
                <w:sz w:val="17"/>
              </w:rPr>
            </w:pPr>
          </w:p>
          <w:p w14:paraId="1F31D826" w14:textId="77777777" w:rsidR="00FA4AA8" w:rsidRDefault="0015611F">
            <w:pPr>
              <w:pStyle w:val="TableParagraph"/>
              <w:ind w:right="157"/>
              <w:jc w:val="right"/>
              <w:rPr>
                <w:sz w:val="16"/>
              </w:rPr>
            </w:pPr>
            <w:r>
              <w:rPr>
                <w:sz w:val="16"/>
              </w:rPr>
              <w:t>(71,774)</w:t>
            </w:r>
          </w:p>
        </w:tc>
        <w:tc>
          <w:tcPr>
            <w:tcW w:w="1161" w:type="dxa"/>
            <w:tcBorders>
              <w:bottom w:val="single" w:sz="8" w:space="0" w:color="000000"/>
            </w:tcBorders>
          </w:tcPr>
          <w:p w14:paraId="563DEB24" w14:textId="77777777" w:rsidR="00FA4AA8" w:rsidRDefault="00FA4AA8">
            <w:pPr>
              <w:pStyle w:val="TableParagraph"/>
              <w:spacing w:before="11"/>
              <w:rPr>
                <w:b/>
                <w:sz w:val="17"/>
              </w:rPr>
            </w:pPr>
          </w:p>
          <w:p w14:paraId="2072ACE8" w14:textId="77777777" w:rsidR="00FA4AA8" w:rsidRDefault="0015611F">
            <w:pPr>
              <w:pStyle w:val="TableParagraph"/>
              <w:ind w:right="238"/>
              <w:jc w:val="right"/>
              <w:rPr>
                <w:sz w:val="16"/>
              </w:rPr>
            </w:pPr>
            <w:r>
              <w:rPr>
                <w:sz w:val="16"/>
              </w:rPr>
              <w:t>-</w:t>
            </w:r>
          </w:p>
        </w:tc>
        <w:tc>
          <w:tcPr>
            <w:tcW w:w="974" w:type="dxa"/>
            <w:tcBorders>
              <w:bottom w:val="single" w:sz="8" w:space="0" w:color="000000"/>
            </w:tcBorders>
          </w:tcPr>
          <w:p w14:paraId="6A5FF82D" w14:textId="77777777" w:rsidR="00FA4AA8" w:rsidRDefault="00FA4AA8">
            <w:pPr>
              <w:pStyle w:val="TableParagraph"/>
              <w:spacing w:before="11"/>
              <w:rPr>
                <w:b/>
                <w:sz w:val="17"/>
              </w:rPr>
            </w:pPr>
          </w:p>
          <w:p w14:paraId="7EC0C384" w14:textId="77777777" w:rsidR="00FA4AA8" w:rsidRDefault="0015611F">
            <w:pPr>
              <w:pStyle w:val="TableParagraph"/>
              <w:ind w:right="27"/>
              <w:jc w:val="right"/>
              <w:rPr>
                <w:sz w:val="16"/>
              </w:rPr>
            </w:pPr>
            <w:r>
              <w:rPr>
                <w:sz w:val="16"/>
              </w:rPr>
              <w:t>(179,089)</w:t>
            </w:r>
          </w:p>
        </w:tc>
      </w:tr>
      <w:tr w:rsidR="00FA4AA8" w14:paraId="6D196385" w14:textId="77777777">
        <w:trPr>
          <w:trHeight w:val="293"/>
        </w:trPr>
        <w:tc>
          <w:tcPr>
            <w:tcW w:w="3477" w:type="dxa"/>
            <w:gridSpan w:val="2"/>
          </w:tcPr>
          <w:p w14:paraId="23F90A5B" w14:textId="77777777" w:rsidR="00FA4AA8" w:rsidRDefault="0015611F">
            <w:pPr>
              <w:pStyle w:val="TableParagraph"/>
              <w:spacing w:before="114" w:line="158" w:lineRule="exact"/>
              <w:ind w:left="484"/>
              <w:rPr>
                <w:b/>
                <w:sz w:val="16"/>
              </w:rPr>
            </w:pPr>
            <w:r>
              <w:rPr>
                <w:b/>
                <w:sz w:val="16"/>
              </w:rPr>
              <w:t>Net book amount</w:t>
            </w:r>
          </w:p>
        </w:tc>
        <w:tc>
          <w:tcPr>
            <w:tcW w:w="1133" w:type="dxa"/>
            <w:tcBorders>
              <w:top w:val="single" w:sz="8" w:space="0" w:color="000000"/>
              <w:bottom w:val="thinThickMediumGap" w:sz="3" w:space="0" w:color="000000"/>
            </w:tcBorders>
          </w:tcPr>
          <w:p w14:paraId="240F00DA" w14:textId="77777777" w:rsidR="00FA4AA8" w:rsidRDefault="0015611F">
            <w:pPr>
              <w:pStyle w:val="TableParagraph"/>
              <w:spacing w:before="114" w:line="158" w:lineRule="exact"/>
              <w:ind w:right="74"/>
              <w:jc w:val="right"/>
              <w:rPr>
                <w:sz w:val="16"/>
              </w:rPr>
            </w:pPr>
            <w:r>
              <w:rPr>
                <w:sz w:val="16"/>
              </w:rPr>
              <w:t>80,540</w:t>
            </w:r>
          </w:p>
        </w:tc>
        <w:tc>
          <w:tcPr>
            <w:tcW w:w="1190" w:type="dxa"/>
            <w:tcBorders>
              <w:top w:val="single" w:sz="8" w:space="0" w:color="000000"/>
              <w:bottom w:val="single" w:sz="6" w:space="0" w:color="000000"/>
            </w:tcBorders>
          </w:tcPr>
          <w:p w14:paraId="6EA08315" w14:textId="77777777" w:rsidR="00FA4AA8" w:rsidRDefault="0015611F">
            <w:pPr>
              <w:pStyle w:val="TableParagraph"/>
              <w:spacing w:before="114" w:line="158" w:lineRule="exact"/>
              <w:ind w:right="131"/>
              <w:jc w:val="right"/>
              <w:rPr>
                <w:sz w:val="16"/>
              </w:rPr>
            </w:pPr>
            <w:r>
              <w:rPr>
                <w:sz w:val="16"/>
              </w:rPr>
              <w:t>306,574</w:t>
            </w:r>
          </w:p>
        </w:tc>
        <w:tc>
          <w:tcPr>
            <w:tcW w:w="1182" w:type="dxa"/>
            <w:tcBorders>
              <w:top w:val="single" w:sz="8" w:space="0" w:color="000000"/>
              <w:bottom w:val="single" w:sz="6" w:space="0" w:color="000000"/>
            </w:tcBorders>
          </w:tcPr>
          <w:p w14:paraId="1ED1BF4E" w14:textId="77777777" w:rsidR="00FA4AA8" w:rsidRDefault="0015611F">
            <w:pPr>
              <w:pStyle w:val="TableParagraph"/>
              <w:spacing w:before="114" w:line="158" w:lineRule="exact"/>
              <w:ind w:right="149"/>
              <w:jc w:val="right"/>
              <w:rPr>
                <w:sz w:val="16"/>
              </w:rPr>
            </w:pPr>
            <w:r>
              <w:rPr>
                <w:sz w:val="16"/>
              </w:rPr>
              <w:t>221,740</w:t>
            </w:r>
          </w:p>
        </w:tc>
        <w:tc>
          <w:tcPr>
            <w:tcW w:w="1084" w:type="dxa"/>
            <w:tcBorders>
              <w:top w:val="single" w:sz="8" w:space="0" w:color="000000"/>
              <w:bottom w:val="single" w:sz="6" w:space="0" w:color="000000"/>
            </w:tcBorders>
          </w:tcPr>
          <w:p w14:paraId="6FA4E4C8" w14:textId="77777777" w:rsidR="00FA4AA8" w:rsidRDefault="0015611F">
            <w:pPr>
              <w:pStyle w:val="TableParagraph"/>
              <w:spacing w:before="114" w:line="158" w:lineRule="exact"/>
              <w:ind w:right="98"/>
              <w:jc w:val="right"/>
              <w:rPr>
                <w:sz w:val="16"/>
              </w:rPr>
            </w:pPr>
            <w:r>
              <w:rPr>
                <w:sz w:val="16"/>
              </w:rPr>
              <w:t>981,524</w:t>
            </w:r>
          </w:p>
        </w:tc>
        <w:tc>
          <w:tcPr>
            <w:tcW w:w="1186" w:type="dxa"/>
            <w:tcBorders>
              <w:top w:val="single" w:sz="8" w:space="0" w:color="000000"/>
              <w:bottom w:val="single" w:sz="6" w:space="0" w:color="000000"/>
            </w:tcBorders>
          </w:tcPr>
          <w:p w14:paraId="23E9B782" w14:textId="77777777" w:rsidR="00FA4AA8" w:rsidRDefault="0015611F">
            <w:pPr>
              <w:pStyle w:val="TableParagraph"/>
              <w:spacing w:before="114" w:line="158" w:lineRule="exact"/>
              <w:ind w:right="151"/>
              <w:jc w:val="right"/>
              <w:rPr>
                <w:sz w:val="16"/>
              </w:rPr>
            </w:pPr>
            <w:r>
              <w:rPr>
                <w:sz w:val="16"/>
              </w:rPr>
              <w:t>109,035</w:t>
            </w:r>
          </w:p>
        </w:tc>
        <w:tc>
          <w:tcPr>
            <w:tcW w:w="1114" w:type="dxa"/>
            <w:tcBorders>
              <w:top w:val="single" w:sz="8" w:space="0" w:color="000000"/>
              <w:bottom w:val="single" w:sz="6" w:space="0" w:color="000000"/>
            </w:tcBorders>
          </w:tcPr>
          <w:p w14:paraId="5831AA9A" w14:textId="77777777" w:rsidR="00FA4AA8" w:rsidRDefault="0015611F">
            <w:pPr>
              <w:pStyle w:val="TableParagraph"/>
              <w:spacing w:before="114" w:line="158" w:lineRule="exact"/>
              <w:ind w:left="489"/>
              <w:rPr>
                <w:sz w:val="16"/>
              </w:rPr>
            </w:pPr>
            <w:r>
              <w:rPr>
                <w:sz w:val="16"/>
              </w:rPr>
              <w:t>63,333</w:t>
            </w:r>
          </w:p>
        </w:tc>
        <w:tc>
          <w:tcPr>
            <w:tcW w:w="1216" w:type="dxa"/>
            <w:tcBorders>
              <w:top w:val="single" w:sz="8" w:space="0" w:color="000000"/>
              <w:bottom w:val="single" w:sz="2" w:space="0" w:color="000000"/>
            </w:tcBorders>
          </w:tcPr>
          <w:p w14:paraId="046AAE84" w14:textId="77777777" w:rsidR="00FA4AA8" w:rsidRDefault="0015611F">
            <w:pPr>
              <w:pStyle w:val="TableParagraph"/>
              <w:spacing w:before="114" w:line="158" w:lineRule="exact"/>
              <w:ind w:right="165"/>
              <w:jc w:val="right"/>
              <w:rPr>
                <w:sz w:val="16"/>
              </w:rPr>
            </w:pPr>
            <w:r>
              <w:rPr>
                <w:sz w:val="16"/>
              </w:rPr>
              <w:t>61,389</w:t>
            </w:r>
          </w:p>
        </w:tc>
        <w:tc>
          <w:tcPr>
            <w:tcW w:w="1178" w:type="dxa"/>
            <w:tcBorders>
              <w:top w:val="single" w:sz="8" w:space="0" w:color="000000"/>
              <w:bottom w:val="single" w:sz="2" w:space="0" w:color="000000"/>
            </w:tcBorders>
          </w:tcPr>
          <w:p w14:paraId="0BB5A5E5" w14:textId="77777777" w:rsidR="00FA4AA8" w:rsidRDefault="0015611F">
            <w:pPr>
              <w:pStyle w:val="TableParagraph"/>
              <w:spacing w:before="114" w:line="158" w:lineRule="exact"/>
              <w:ind w:right="210"/>
              <w:jc w:val="right"/>
              <w:rPr>
                <w:sz w:val="16"/>
              </w:rPr>
            </w:pPr>
            <w:r>
              <w:rPr>
                <w:sz w:val="16"/>
              </w:rPr>
              <w:t>6,984</w:t>
            </w:r>
          </w:p>
        </w:tc>
        <w:tc>
          <w:tcPr>
            <w:tcW w:w="1161" w:type="dxa"/>
            <w:tcBorders>
              <w:top w:val="single" w:sz="8" w:space="0" w:color="000000"/>
              <w:bottom w:val="single" w:sz="2" w:space="0" w:color="000000"/>
            </w:tcBorders>
          </w:tcPr>
          <w:p w14:paraId="52A9EE8C" w14:textId="77777777" w:rsidR="00FA4AA8" w:rsidRDefault="0015611F">
            <w:pPr>
              <w:pStyle w:val="TableParagraph"/>
              <w:spacing w:before="114" w:line="158" w:lineRule="exact"/>
              <w:ind w:right="239"/>
              <w:jc w:val="right"/>
              <w:rPr>
                <w:sz w:val="16"/>
              </w:rPr>
            </w:pPr>
            <w:r>
              <w:rPr>
                <w:sz w:val="16"/>
              </w:rPr>
              <w:t>4,398</w:t>
            </w:r>
          </w:p>
        </w:tc>
        <w:tc>
          <w:tcPr>
            <w:tcW w:w="974" w:type="dxa"/>
            <w:tcBorders>
              <w:top w:val="single" w:sz="8" w:space="0" w:color="000000"/>
              <w:bottom w:val="single" w:sz="2" w:space="0" w:color="000000"/>
            </w:tcBorders>
          </w:tcPr>
          <w:p w14:paraId="5C315F14" w14:textId="77777777" w:rsidR="00FA4AA8" w:rsidRDefault="0015611F">
            <w:pPr>
              <w:pStyle w:val="TableParagraph"/>
              <w:spacing w:before="114" w:line="158" w:lineRule="exact"/>
              <w:ind w:right="80"/>
              <w:jc w:val="right"/>
              <w:rPr>
                <w:sz w:val="16"/>
              </w:rPr>
            </w:pPr>
            <w:r>
              <w:rPr>
                <w:sz w:val="16"/>
              </w:rPr>
              <w:t>1,835,517</w:t>
            </w:r>
          </w:p>
        </w:tc>
      </w:tr>
    </w:tbl>
    <w:p w14:paraId="020BDCAE" w14:textId="77777777" w:rsidR="00FA4AA8" w:rsidRDefault="007E2441">
      <w:pPr>
        <w:pStyle w:val="BodyText"/>
        <w:spacing w:line="20" w:lineRule="exact"/>
        <w:ind w:left="3593"/>
        <w:rPr>
          <w:sz w:val="2"/>
        </w:rPr>
      </w:pPr>
      <w:r>
        <w:rPr>
          <w:noProof/>
          <w:sz w:val="2"/>
          <w:lang w:val="en-AU" w:eastAsia="en-AU"/>
        </w:rPr>
        <mc:AlternateContent>
          <mc:Choice Requires="wpg">
            <w:drawing>
              <wp:inline distT="0" distB="0" distL="0" distR="0" wp14:anchorId="4EF44DF3" wp14:editId="0D5F480F">
                <wp:extent cx="3618230" cy="9525"/>
                <wp:effectExtent l="9525" t="8255" r="10795" b="10795"/>
                <wp:docPr id="2765" name="Group 2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8230" cy="9525"/>
                          <a:chOff x="0" y="0"/>
                          <a:chExt cx="5698" cy="15"/>
                        </a:xfrm>
                      </wpg:grpSpPr>
                      <wps:wsp>
                        <wps:cNvPr id="2766" name="Line 2555"/>
                        <wps:cNvCnPr>
                          <a:cxnSpLocks noChangeShapeType="1"/>
                        </wps:cNvCnPr>
                        <wps:spPr bwMode="auto">
                          <a:xfrm>
                            <a:off x="0" y="11"/>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767" name="Line 2554"/>
                        <wps:cNvCnPr>
                          <a:cxnSpLocks noChangeShapeType="1"/>
                        </wps:cNvCnPr>
                        <wps:spPr bwMode="auto">
                          <a:xfrm>
                            <a:off x="0" y="13"/>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768" name="Line 2553"/>
                        <wps:cNvCnPr>
                          <a:cxnSpLocks noChangeShapeType="1"/>
                        </wps:cNvCnPr>
                        <wps:spPr bwMode="auto">
                          <a:xfrm>
                            <a:off x="1133" y="1"/>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769" name="Line 2552"/>
                        <wps:cNvCnPr>
                          <a:cxnSpLocks noChangeShapeType="1"/>
                        </wps:cNvCnPr>
                        <wps:spPr bwMode="auto">
                          <a:xfrm>
                            <a:off x="1133" y="4"/>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770" name="Line 2551"/>
                        <wps:cNvCnPr>
                          <a:cxnSpLocks noChangeShapeType="1"/>
                        </wps:cNvCnPr>
                        <wps:spPr bwMode="auto">
                          <a:xfrm>
                            <a:off x="1133" y="6"/>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771" name="Line 2550"/>
                        <wps:cNvCnPr>
                          <a:cxnSpLocks noChangeShapeType="1"/>
                        </wps:cNvCnPr>
                        <wps:spPr bwMode="auto">
                          <a:xfrm>
                            <a:off x="1133" y="8"/>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772" name="Line 2549"/>
                        <wps:cNvCnPr>
                          <a:cxnSpLocks noChangeShapeType="1"/>
                        </wps:cNvCnPr>
                        <wps:spPr bwMode="auto">
                          <a:xfrm>
                            <a:off x="1133" y="11"/>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773" name="Line 2548"/>
                        <wps:cNvCnPr>
                          <a:cxnSpLocks noChangeShapeType="1"/>
                        </wps:cNvCnPr>
                        <wps:spPr bwMode="auto">
                          <a:xfrm>
                            <a:off x="1133" y="13"/>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774" name="Line 2547"/>
                        <wps:cNvCnPr>
                          <a:cxnSpLocks noChangeShapeType="1"/>
                        </wps:cNvCnPr>
                        <wps:spPr bwMode="auto">
                          <a:xfrm>
                            <a:off x="2266" y="1"/>
                            <a:ext cx="116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775" name="Line 2546"/>
                        <wps:cNvCnPr>
                          <a:cxnSpLocks noChangeShapeType="1"/>
                        </wps:cNvCnPr>
                        <wps:spPr bwMode="auto">
                          <a:xfrm>
                            <a:off x="2266" y="4"/>
                            <a:ext cx="116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776" name="Line 2545"/>
                        <wps:cNvCnPr>
                          <a:cxnSpLocks noChangeShapeType="1"/>
                        </wps:cNvCnPr>
                        <wps:spPr bwMode="auto">
                          <a:xfrm>
                            <a:off x="2266" y="6"/>
                            <a:ext cx="116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777" name="Line 2544"/>
                        <wps:cNvCnPr>
                          <a:cxnSpLocks noChangeShapeType="1"/>
                        </wps:cNvCnPr>
                        <wps:spPr bwMode="auto">
                          <a:xfrm>
                            <a:off x="2266" y="8"/>
                            <a:ext cx="116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778" name="Line 2543"/>
                        <wps:cNvCnPr>
                          <a:cxnSpLocks noChangeShapeType="1"/>
                        </wps:cNvCnPr>
                        <wps:spPr bwMode="auto">
                          <a:xfrm>
                            <a:off x="2266" y="11"/>
                            <a:ext cx="116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779" name="Line 2542"/>
                        <wps:cNvCnPr>
                          <a:cxnSpLocks noChangeShapeType="1"/>
                        </wps:cNvCnPr>
                        <wps:spPr bwMode="auto">
                          <a:xfrm>
                            <a:off x="2266" y="13"/>
                            <a:ext cx="116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780" name="Line 2541"/>
                        <wps:cNvCnPr>
                          <a:cxnSpLocks noChangeShapeType="1"/>
                        </wps:cNvCnPr>
                        <wps:spPr bwMode="auto">
                          <a:xfrm>
                            <a:off x="3432" y="1"/>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781" name="Line 2540"/>
                        <wps:cNvCnPr>
                          <a:cxnSpLocks noChangeShapeType="1"/>
                        </wps:cNvCnPr>
                        <wps:spPr bwMode="auto">
                          <a:xfrm>
                            <a:off x="3432" y="4"/>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782" name="Line 2539"/>
                        <wps:cNvCnPr>
                          <a:cxnSpLocks noChangeShapeType="1"/>
                        </wps:cNvCnPr>
                        <wps:spPr bwMode="auto">
                          <a:xfrm>
                            <a:off x="3432" y="6"/>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783" name="Line 2538"/>
                        <wps:cNvCnPr>
                          <a:cxnSpLocks noChangeShapeType="1"/>
                        </wps:cNvCnPr>
                        <wps:spPr bwMode="auto">
                          <a:xfrm>
                            <a:off x="3432" y="8"/>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784" name="Line 2537"/>
                        <wps:cNvCnPr>
                          <a:cxnSpLocks noChangeShapeType="1"/>
                        </wps:cNvCnPr>
                        <wps:spPr bwMode="auto">
                          <a:xfrm>
                            <a:off x="3432" y="11"/>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785" name="Line 2536"/>
                        <wps:cNvCnPr>
                          <a:cxnSpLocks noChangeShapeType="1"/>
                        </wps:cNvCnPr>
                        <wps:spPr bwMode="auto">
                          <a:xfrm>
                            <a:off x="3432" y="13"/>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786" name="Line 2535"/>
                        <wps:cNvCnPr>
                          <a:cxnSpLocks noChangeShapeType="1"/>
                        </wps:cNvCnPr>
                        <wps:spPr bwMode="auto">
                          <a:xfrm>
                            <a:off x="4565" y="1"/>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787" name="Line 2534"/>
                        <wps:cNvCnPr>
                          <a:cxnSpLocks noChangeShapeType="1"/>
                        </wps:cNvCnPr>
                        <wps:spPr bwMode="auto">
                          <a:xfrm>
                            <a:off x="4565" y="4"/>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788" name="Line 2533"/>
                        <wps:cNvCnPr>
                          <a:cxnSpLocks noChangeShapeType="1"/>
                        </wps:cNvCnPr>
                        <wps:spPr bwMode="auto">
                          <a:xfrm>
                            <a:off x="4565" y="6"/>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789" name="Line 2532"/>
                        <wps:cNvCnPr>
                          <a:cxnSpLocks noChangeShapeType="1"/>
                        </wps:cNvCnPr>
                        <wps:spPr bwMode="auto">
                          <a:xfrm>
                            <a:off x="4565" y="8"/>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52E27BB" id="Group 2531" o:spid="_x0000_s1026" style="width:284.9pt;height:.75pt;mso-position-horizontal-relative:char;mso-position-vertical-relative:line" coordsize="5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">
                <v:line id="Line 2555" o:spid="_x0000_s1027" style="position:absolute;visibility:visible;mso-wrap-style:square" from="0,11" to="113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" strokeweight=".12pt"/>
                <v:line id="Line 2554" o:spid="_x0000_s1028" style="position:absolute;visibility:visible;mso-wrap-style:square" from="0,13" to="113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" strokeweight=".12pt"/>
                <v:line id="Line 2553" o:spid="_x0000_s1029" style="position:absolute;visibility:visible;mso-wrap-style:square" from="1133,1" to="22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" strokeweight=".12pt"/>
                <v:line id="Line 2552" o:spid="_x0000_s1030" style="position:absolute;visibility:visible;mso-wrap-style:square" from="1133,4" to="2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" strokeweight=".12pt"/>
                <v:line id="Line 2551" o:spid="_x0000_s1031" style="position:absolute;visibility:visible;mso-wrap-style:square" from="1133,6" to="22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" strokeweight=".12pt"/>
                <v:line id="Line 2550" o:spid="_x0000_s1032" style="position:absolute;visibility:visible;mso-wrap-style:square" from="1133,8" to="22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" strokeweight=".12pt"/>
                <v:line id="Line 2549" o:spid="_x0000_s1033" style="position:absolute;visibility:visible;mso-wrap-style:square" from="1133,11" to="226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" strokeweight=".12pt"/>
                <v:line id="Line 2548" o:spid="_x0000_s1034" style="position:absolute;visibility:visible;mso-wrap-style:square" from="1133,13" to="226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" strokeweight=".12pt"/>
                <v:line id="Line 2547" o:spid="_x0000_s1035" style="position:absolute;visibility:visible;mso-wrap-style:square" from="2266,1" to="34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" strokeweight=".12pt"/>
                <v:line id="Line 2546" o:spid="_x0000_s1036" style="position:absolute;visibility:visible;mso-wrap-style:square" from="2266,4" to="34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" strokeweight=".12pt"/>
                <v:line id="Line 2545" o:spid="_x0000_s1037" style="position:absolute;visibility:visible;mso-wrap-style:square" from="2266,6" to="34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" strokeweight=".12pt"/>
                <v:line id="Line 2544" o:spid="_x0000_s1038" style="position:absolute;visibility:visible;mso-wrap-style:square" from="2266,8" to="3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" strokeweight=".12pt"/>
                <v:line id="Line 2543" o:spid="_x0000_s1039" style="position:absolute;visibility:visible;mso-wrap-style:square" from="2266,11" to="343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" strokeweight=".12pt"/>
                <v:line id="Line 2542" o:spid="_x0000_s1040" style="position:absolute;visibility:visible;mso-wrap-style:square" from="2266,13" to="343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" strokeweight=".12pt"/>
                <v:line id="Line 2541" o:spid="_x0000_s1041" style="position:absolute;visibility:visible;mso-wrap-style:square" from="3432,1" to="45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" strokeweight=".12pt"/>
                <v:line id="Line 2540" o:spid="_x0000_s1042" style="position:absolute;visibility:visible;mso-wrap-style:square" from="3432,4" to="45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" strokeweight=".12pt"/>
                <v:line id="Line 2539" o:spid="_x0000_s1043" style="position:absolute;visibility:visible;mso-wrap-style:square" from="3432,6" to="45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" strokeweight=".12pt"/>
                <v:line id="Line 2538" o:spid="_x0000_s1044" style="position:absolute;visibility:visible;mso-wrap-style:square" from="3432,8" to="45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" strokeweight=".12pt"/>
                <v:line id="Line 2537" o:spid="_x0000_s1045" style="position:absolute;visibility:visible;mso-wrap-style:square" from="3432,11" to="456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" strokeweight=".12pt"/>
                <v:line id="Line 2536" o:spid="_x0000_s1046" style="position:absolute;visibility:visible;mso-wrap-style:square" from="3432,13" to="456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" strokeweight=".12pt"/>
                <v:line id="Line 2535" o:spid="_x0000_s1047" style="position:absolute;visibility:visible;mso-wrap-style:square" from="4565,1" to="56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" strokeweight=".12pt"/>
                <v:line id="Line 2534" o:spid="_x0000_s1048" style="position:absolute;visibility:visible;mso-wrap-style:square" from="4565,4" to="56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" strokeweight=".12pt"/>
                <v:line id="Line 2533" o:spid="_x0000_s1049" style="position:absolute;visibility:visible;mso-wrap-style:square" from="4565,6" to="56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" strokeweight=".12pt"/>
                <v:line id="Line 2532" o:spid="_x0000_s1050" style="position:absolute;visibility:visible;mso-wrap-style:square" from="4565,8" to="56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" strokeweight=".12pt"/>
                <w10:anchorlock/>
              </v:group>
            </w:pict>
          </mc:Fallback>
        </mc:AlternateContent>
      </w:r>
    </w:p>
    <w:p w14:paraId="1C1DC053" w14:textId="77777777" w:rsidR="00FA4AA8" w:rsidRDefault="00FA4AA8">
      <w:pPr>
        <w:spacing w:line="20" w:lineRule="exact"/>
        <w:rPr>
          <w:sz w:val="2"/>
        </w:rPr>
        <w:sectPr w:rsidR="00FA4AA8">
          <w:pgSz w:w="16840" w:h="11910" w:orient="landscape"/>
          <w:pgMar w:top="2220" w:right="880" w:bottom="720" w:left="840" w:header="1016" w:footer="523" w:gutter="0"/>
          <w:cols w:space="720"/>
        </w:sectPr>
      </w:pPr>
    </w:p>
    <w:p w14:paraId="3C680413" w14:textId="77777777" w:rsidR="00FA4AA8" w:rsidRDefault="00FA4AA8">
      <w:pPr>
        <w:pStyle w:val="BodyText"/>
        <w:rPr>
          <w:b/>
          <w:sz w:val="20"/>
        </w:rPr>
      </w:pPr>
    </w:p>
    <w:p w14:paraId="7D712829" w14:textId="77777777" w:rsidR="00FA4AA8" w:rsidRDefault="00FA4AA8">
      <w:pPr>
        <w:pStyle w:val="BodyText"/>
        <w:rPr>
          <w:b/>
          <w:sz w:val="20"/>
        </w:rPr>
      </w:pPr>
    </w:p>
    <w:p w14:paraId="791EB63C" w14:textId="77777777" w:rsidR="00FA4AA8" w:rsidRDefault="00FA4AA8">
      <w:pPr>
        <w:pStyle w:val="BodyText"/>
        <w:spacing w:before="6"/>
        <w:rPr>
          <w:b/>
        </w:rPr>
      </w:pPr>
    </w:p>
    <w:tbl>
      <w:tblPr>
        <w:tblW w:w="0" w:type="auto"/>
        <w:tblInd w:w="125" w:type="dxa"/>
        <w:tblLayout w:type="fixed"/>
        <w:tblCellMar>
          <w:left w:w="0" w:type="dxa"/>
          <w:right w:w="0" w:type="dxa"/>
        </w:tblCellMar>
        <w:tblLook w:val="01E0" w:firstRow="1" w:lastRow="1" w:firstColumn="1" w:lastColumn="1" w:noHBand="0" w:noVBand="0"/>
      </w:tblPr>
      <w:tblGrid>
        <w:gridCol w:w="349"/>
        <w:gridCol w:w="4374"/>
        <w:gridCol w:w="1050"/>
        <w:gridCol w:w="1207"/>
        <w:gridCol w:w="1083"/>
        <w:gridCol w:w="1185"/>
        <w:gridCol w:w="1113"/>
        <w:gridCol w:w="1215"/>
        <w:gridCol w:w="1177"/>
        <w:gridCol w:w="1160"/>
        <w:gridCol w:w="973"/>
      </w:tblGrid>
      <w:tr w:rsidR="00FA4AA8" w14:paraId="7BDE0C37" w14:textId="77777777">
        <w:trPr>
          <w:trHeight w:val="219"/>
        </w:trPr>
        <w:tc>
          <w:tcPr>
            <w:tcW w:w="349" w:type="dxa"/>
          </w:tcPr>
          <w:p w14:paraId="2A421A0D" w14:textId="77777777" w:rsidR="00FA4AA8" w:rsidRDefault="0015611F">
            <w:pPr>
              <w:pStyle w:val="TableParagraph"/>
              <w:spacing w:line="200" w:lineRule="exact"/>
              <w:ind w:left="50"/>
              <w:rPr>
                <w:b/>
                <w:sz w:val="18"/>
              </w:rPr>
            </w:pPr>
            <w:r>
              <w:rPr>
                <w:b/>
                <w:sz w:val="18"/>
              </w:rPr>
              <w:t>19</w:t>
            </w:r>
          </w:p>
        </w:tc>
        <w:tc>
          <w:tcPr>
            <w:tcW w:w="4374" w:type="dxa"/>
          </w:tcPr>
          <w:p w14:paraId="44EE411C" w14:textId="77777777" w:rsidR="00FA4AA8" w:rsidRDefault="0015611F">
            <w:pPr>
              <w:pStyle w:val="TableParagraph"/>
              <w:spacing w:line="200" w:lineRule="exact"/>
              <w:ind w:left="97"/>
              <w:rPr>
                <w:b/>
                <w:sz w:val="18"/>
              </w:rPr>
            </w:pPr>
            <w:r>
              <w:rPr>
                <w:b/>
                <w:sz w:val="18"/>
              </w:rPr>
              <w:t>Property, plant and equipment (continued)</w:t>
            </w:r>
          </w:p>
        </w:tc>
        <w:tc>
          <w:tcPr>
            <w:tcW w:w="10163" w:type="dxa"/>
            <w:gridSpan w:val="9"/>
          </w:tcPr>
          <w:p w14:paraId="0344A797" w14:textId="77777777" w:rsidR="00FA4AA8" w:rsidRDefault="00FA4AA8">
            <w:pPr>
              <w:pStyle w:val="TableParagraph"/>
              <w:rPr>
                <w:rFonts w:ascii="Times New Roman"/>
                <w:sz w:val="14"/>
              </w:rPr>
            </w:pPr>
          </w:p>
        </w:tc>
      </w:tr>
      <w:tr w:rsidR="00FA4AA8" w14:paraId="035342CC" w14:textId="77777777">
        <w:trPr>
          <w:trHeight w:val="200"/>
        </w:trPr>
        <w:tc>
          <w:tcPr>
            <w:tcW w:w="349" w:type="dxa"/>
          </w:tcPr>
          <w:p w14:paraId="10879B50" w14:textId="77777777" w:rsidR="00FA4AA8" w:rsidRDefault="00FA4AA8">
            <w:pPr>
              <w:pStyle w:val="TableParagraph"/>
              <w:rPr>
                <w:rFonts w:ascii="Times New Roman"/>
                <w:sz w:val="12"/>
              </w:rPr>
            </w:pPr>
          </w:p>
        </w:tc>
        <w:tc>
          <w:tcPr>
            <w:tcW w:w="4374" w:type="dxa"/>
          </w:tcPr>
          <w:p w14:paraId="3D5E03E2" w14:textId="77777777" w:rsidR="00FA4AA8" w:rsidRDefault="00FA4AA8">
            <w:pPr>
              <w:pStyle w:val="TableParagraph"/>
              <w:rPr>
                <w:rFonts w:ascii="Times New Roman"/>
                <w:sz w:val="12"/>
              </w:rPr>
            </w:pPr>
          </w:p>
        </w:tc>
        <w:tc>
          <w:tcPr>
            <w:tcW w:w="1050" w:type="dxa"/>
          </w:tcPr>
          <w:p w14:paraId="5AC7DB4D" w14:textId="77777777" w:rsidR="00FA4AA8" w:rsidRDefault="00FA4AA8">
            <w:pPr>
              <w:pStyle w:val="TableParagraph"/>
              <w:rPr>
                <w:rFonts w:ascii="Times New Roman"/>
                <w:sz w:val="12"/>
              </w:rPr>
            </w:pPr>
          </w:p>
        </w:tc>
        <w:tc>
          <w:tcPr>
            <w:tcW w:w="1207" w:type="dxa"/>
          </w:tcPr>
          <w:p w14:paraId="40350FE2" w14:textId="77777777" w:rsidR="00FA4AA8" w:rsidRDefault="00FA4AA8">
            <w:pPr>
              <w:pStyle w:val="TableParagraph"/>
              <w:rPr>
                <w:rFonts w:ascii="Times New Roman"/>
                <w:sz w:val="12"/>
              </w:rPr>
            </w:pPr>
          </w:p>
        </w:tc>
        <w:tc>
          <w:tcPr>
            <w:tcW w:w="1083" w:type="dxa"/>
          </w:tcPr>
          <w:p w14:paraId="4EAF350E" w14:textId="77777777" w:rsidR="00FA4AA8" w:rsidRDefault="00FA4AA8">
            <w:pPr>
              <w:pStyle w:val="TableParagraph"/>
              <w:rPr>
                <w:rFonts w:ascii="Times New Roman"/>
                <w:sz w:val="12"/>
              </w:rPr>
            </w:pPr>
          </w:p>
        </w:tc>
        <w:tc>
          <w:tcPr>
            <w:tcW w:w="1185" w:type="dxa"/>
          </w:tcPr>
          <w:p w14:paraId="32933FC4" w14:textId="77777777" w:rsidR="00FA4AA8" w:rsidRDefault="00FA4AA8">
            <w:pPr>
              <w:pStyle w:val="TableParagraph"/>
              <w:rPr>
                <w:rFonts w:ascii="Times New Roman"/>
                <w:sz w:val="12"/>
              </w:rPr>
            </w:pPr>
          </w:p>
        </w:tc>
        <w:tc>
          <w:tcPr>
            <w:tcW w:w="1113" w:type="dxa"/>
          </w:tcPr>
          <w:p w14:paraId="56020856" w14:textId="77777777" w:rsidR="00FA4AA8" w:rsidRDefault="00FA4AA8">
            <w:pPr>
              <w:pStyle w:val="TableParagraph"/>
              <w:rPr>
                <w:rFonts w:ascii="Times New Roman"/>
                <w:sz w:val="12"/>
              </w:rPr>
            </w:pPr>
          </w:p>
        </w:tc>
        <w:tc>
          <w:tcPr>
            <w:tcW w:w="1215" w:type="dxa"/>
          </w:tcPr>
          <w:p w14:paraId="2706A5AF" w14:textId="77777777" w:rsidR="00FA4AA8" w:rsidRDefault="0015611F">
            <w:pPr>
              <w:pStyle w:val="TableParagraph"/>
              <w:spacing w:before="14" w:line="167" w:lineRule="exact"/>
              <w:ind w:left="162"/>
              <w:rPr>
                <w:b/>
                <w:sz w:val="16"/>
              </w:rPr>
            </w:pPr>
            <w:r>
              <w:rPr>
                <w:b/>
                <w:sz w:val="16"/>
              </w:rPr>
              <w:t>Leasehold</w:t>
            </w:r>
          </w:p>
        </w:tc>
        <w:tc>
          <w:tcPr>
            <w:tcW w:w="1177" w:type="dxa"/>
          </w:tcPr>
          <w:p w14:paraId="450EE744" w14:textId="77777777" w:rsidR="00FA4AA8" w:rsidRDefault="00FA4AA8">
            <w:pPr>
              <w:pStyle w:val="TableParagraph"/>
              <w:rPr>
                <w:rFonts w:ascii="Times New Roman"/>
                <w:sz w:val="12"/>
              </w:rPr>
            </w:pPr>
          </w:p>
        </w:tc>
        <w:tc>
          <w:tcPr>
            <w:tcW w:w="1160" w:type="dxa"/>
          </w:tcPr>
          <w:p w14:paraId="67CAFA7C" w14:textId="77777777" w:rsidR="00FA4AA8" w:rsidRDefault="00FA4AA8">
            <w:pPr>
              <w:pStyle w:val="TableParagraph"/>
              <w:rPr>
                <w:rFonts w:ascii="Times New Roman"/>
                <w:sz w:val="12"/>
              </w:rPr>
            </w:pPr>
          </w:p>
        </w:tc>
        <w:tc>
          <w:tcPr>
            <w:tcW w:w="973" w:type="dxa"/>
          </w:tcPr>
          <w:p w14:paraId="70F85EA1" w14:textId="77777777" w:rsidR="00FA4AA8" w:rsidRDefault="00FA4AA8">
            <w:pPr>
              <w:pStyle w:val="TableParagraph"/>
              <w:rPr>
                <w:rFonts w:ascii="Times New Roman"/>
                <w:sz w:val="12"/>
              </w:rPr>
            </w:pPr>
          </w:p>
        </w:tc>
      </w:tr>
      <w:tr w:rsidR="00FA4AA8" w14:paraId="35D3B7C1" w14:textId="77777777">
        <w:trPr>
          <w:trHeight w:val="184"/>
        </w:trPr>
        <w:tc>
          <w:tcPr>
            <w:tcW w:w="349" w:type="dxa"/>
          </w:tcPr>
          <w:p w14:paraId="2C364CC6" w14:textId="77777777" w:rsidR="00FA4AA8" w:rsidRDefault="00FA4AA8">
            <w:pPr>
              <w:pStyle w:val="TableParagraph"/>
              <w:rPr>
                <w:rFonts w:ascii="Times New Roman"/>
                <w:sz w:val="12"/>
              </w:rPr>
            </w:pPr>
          </w:p>
        </w:tc>
        <w:tc>
          <w:tcPr>
            <w:tcW w:w="4374" w:type="dxa"/>
          </w:tcPr>
          <w:p w14:paraId="3A2C1868" w14:textId="77777777" w:rsidR="00FA4AA8" w:rsidRDefault="0015611F">
            <w:pPr>
              <w:pStyle w:val="TableParagraph"/>
              <w:spacing w:line="165" w:lineRule="exact"/>
              <w:ind w:right="157"/>
              <w:jc w:val="right"/>
              <w:rPr>
                <w:b/>
                <w:sz w:val="16"/>
              </w:rPr>
            </w:pPr>
            <w:r>
              <w:rPr>
                <w:b/>
                <w:sz w:val="16"/>
              </w:rPr>
              <w:t>Construction</w:t>
            </w:r>
          </w:p>
        </w:tc>
        <w:tc>
          <w:tcPr>
            <w:tcW w:w="1050" w:type="dxa"/>
          </w:tcPr>
          <w:p w14:paraId="48B11B68" w14:textId="77777777" w:rsidR="00FA4AA8" w:rsidRDefault="0015611F">
            <w:pPr>
              <w:pStyle w:val="TableParagraph"/>
              <w:spacing w:line="165" w:lineRule="exact"/>
              <w:ind w:left="136"/>
              <w:rPr>
                <w:b/>
                <w:sz w:val="16"/>
              </w:rPr>
            </w:pPr>
            <w:r>
              <w:rPr>
                <w:b/>
                <w:sz w:val="16"/>
              </w:rPr>
              <w:t>Freehold</w:t>
            </w:r>
          </w:p>
        </w:tc>
        <w:tc>
          <w:tcPr>
            <w:tcW w:w="1207" w:type="dxa"/>
          </w:tcPr>
          <w:p w14:paraId="4D754583" w14:textId="77777777" w:rsidR="00FA4AA8" w:rsidRDefault="00FA4AA8">
            <w:pPr>
              <w:pStyle w:val="TableParagraph"/>
              <w:rPr>
                <w:rFonts w:ascii="Times New Roman"/>
                <w:sz w:val="12"/>
              </w:rPr>
            </w:pPr>
          </w:p>
        </w:tc>
        <w:tc>
          <w:tcPr>
            <w:tcW w:w="1083" w:type="dxa"/>
          </w:tcPr>
          <w:p w14:paraId="26F89F8A" w14:textId="77777777" w:rsidR="00FA4AA8" w:rsidRDefault="00FA4AA8">
            <w:pPr>
              <w:pStyle w:val="TableParagraph"/>
              <w:rPr>
                <w:rFonts w:ascii="Times New Roman"/>
                <w:sz w:val="12"/>
              </w:rPr>
            </w:pPr>
          </w:p>
        </w:tc>
        <w:tc>
          <w:tcPr>
            <w:tcW w:w="1185" w:type="dxa"/>
          </w:tcPr>
          <w:p w14:paraId="2B0D28A8" w14:textId="77777777" w:rsidR="00FA4AA8" w:rsidRDefault="00FA4AA8">
            <w:pPr>
              <w:pStyle w:val="TableParagraph"/>
              <w:rPr>
                <w:rFonts w:ascii="Times New Roman"/>
                <w:sz w:val="12"/>
              </w:rPr>
            </w:pPr>
          </w:p>
        </w:tc>
        <w:tc>
          <w:tcPr>
            <w:tcW w:w="1113" w:type="dxa"/>
          </w:tcPr>
          <w:p w14:paraId="32DD7F5C" w14:textId="77777777" w:rsidR="00FA4AA8" w:rsidRDefault="0015611F">
            <w:pPr>
              <w:pStyle w:val="TableParagraph"/>
              <w:spacing w:line="165" w:lineRule="exact"/>
              <w:ind w:left="152"/>
              <w:rPr>
                <w:b/>
                <w:sz w:val="16"/>
              </w:rPr>
            </w:pPr>
            <w:r>
              <w:rPr>
                <w:b/>
                <w:sz w:val="16"/>
              </w:rPr>
              <w:t>Plant and</w:t>
            </w:r>
          </w:p>
        </w:tc>
        <w:tc>
          <w:tcPr>
            <w:tcW w:w="1215" w:type="dxa"/>
          </w:tcPr>
          <w:p w14:paraId="766BCD73" w14:textId="77777777" w:rsidR="00FA4AA8" w:rsidRDefault="0015611F">
            <w:pPr>
              <w:pStyle w:val="TableParagraph"/>
              <w:spacing w:line="165" w:lineRule="exact"/>
              <w:ind w:right="120"/>
              <w:jc w:val="right"/>
              <w:rPr>
                <w:b/>
                <w:sz w:val="16"/>
              </w:rPr>
            </w:pPr>
            <w:r>
              <w:rPr>
                <w:b/>
                <w:sz w:val="16"/>
              </w:rPr>
              <w:t>Improvement</w:t>
            </w:r>
          </w:p>
        </w:tc>
        <w:tc>
          <w:tcPr>
            <w:tcW w:w="1177" w:type="dxa"/>
          </w:tcPr>
          <w:p w14:paraId="20B5BD99" w14:textId="77777777" w:rsidR="00FA4AA8" w:rsidRDefault="0015611F">
            <w:pPr>
              <w:pStyle w:val="TableParagraph"/>
              <w:spacing w:line="165" w:lineRule="exact"/>
              <w:ind w:left="234"/>
              <w:rPr>
                <w:b/>
                <w:sz w:val="16"/>
              </w:rPr>
            </w:pPr>
            <w:r>
              <w:rPr>
                <w:b/>
                <w:sz w:val="16"/>
              </w:rPr>
              <w:t>Library</w:t>
            </w:r>
          </w:p>
        </w:tc>
        <w:tc>
          <w:tcPr>
            <w:tcW w:w="1160" w:type="dxa"/>
          </w:tcPr>
          <w:p w14:paraId="77376421" w14:textId="77777777" w:rsidR="00FA4AA8" w:rsidRDefault="00FA4AA8">
            <w:pPr>
              <w:pStyle w:val="TableParagraph"/>
              <w:rPr>
                <w:rFonts w:ascii="Times New Roman"/>
                <w:sz w:val="12"/>
              </w:rPr>
            </w:pPr>
          </w:p>
        </w:tc>
        <w:tc>
          <w:tcPr>
            <w:tcW w:w="973" w:type="dxa"/>
          </w:tcPr>
          <w:p w14:paraId="2309461E" w14:textId="77777777" w:rsidR="00FA4AA8" w:rsidRDefault="00FA4AA8">
            <w:pPr>
              <w:pStyle w:val="TableParagraph"/>
              <w:rPr>
                <w:rFonts w:ascii="Times New Roman"/>
                <w:sz w:val="12"/>
              </w:rPr>
            </w:pPr>
          </w:p>
        </w:tc>
      </w:tr>
      <w:tr w:rsidR="00FA4AA8" w14:paraId="0D57EC8D" w14:textId="77777777">
        <w:trPr>
          <w:trHeight w:val="218"/>
        </w:trPr>
        <w:tc>
          <w:tcPr>
            <w:tcW w:w="349" w:type="dxa"/>
          </w:tcPr>
          <w:p w14:paraId="163D2C33" w14:textId="77777777" w:rsidR="00FA4AA8" w:rsidRDefault="00FA4AA8">
            <w:pPr>
              <w:pStyle w:val="TableParagraph"/>
              <w:rPr>
                <w:rFonts w:ascii="Times New Roman"/>
                <w:sz w:val="14"/>
              </w:rPr>
            </w:pPr>
          </w:p>
        </w:tc>
        <w:tc>
          <w:tcPr>
            <w:tcW w:w="4374" w:type="dxa"/>
          </w:tcPr>
          <w:p w14:paraId="43D56623" w14:textId="77777777" w:rsidR="00FA4AA8" w:rsidRDefault="0015611F">
            <w:pPr>
              <w:pStyle w:val="TableParagraph"/>
              <w:spacing w:line="182" w:lineRule="exact"/>
              <w:ind w:right="211"/>
              <w:jc w:val="right"/>
              <w:rPr>
                <w:b/>
                <w:sz w:val="16"/>
              </w:rPr>
            </w:pPr>
            <w:r>
              <w:rPr>
                <w:b/>
                <w:sz w:val="16"/>
              </w:rPr>
              <w:t>in Progress</w:t>
            </w:r>
          </w:p>
        </w:tc>
        <w:tc>
          <w:tcPr>
            <w:tcW w:w="1050" w:type="dxa"/>
          </w:tcPr>
          <w:p w14:paraId="6CBC1CBC" w14:textId="77777777" w:rsidR="00FA4AA8" w:rsidRDefault="0015611F">
            <w:pPr>
              <w:pStyle w:val="TableParagraph"/>
              <w:spacing w:line="182" w:lineRule="exact"/>
              <w:ind w:left="283"/>
              <w:rPr>
                <w:b/>
                <w:sz w:val="16"/>
              </w:rPr>
            </w:pPr>
            <w:r>
              <w:rPr>
                <w:b/>
                <w:sz w:val="16"/>
              </w:rPr>
              <w:t>Land</w:t>
            </w:r>
          </w:p>
        </w:tc>
        <w:tc>
          <w:tcPr>
            <w:tcW w:w="1207" w:type="dxa"/>
          </w:tcPr>
          <w:p w14:paraId="07A75834" w14:textId="77777777" w:rsidR="00FA4AA8" w:rsidRDefault="0015611F">
            <w:pPr>
              <w:pStyle w:val="TableParagraph"/>
              <w:spacing w:line="182" w:lineRule="exact"/>
              <w:ind w:right="167"/>
              <w:jc w:val="right"/>
              <w:rPr>
                <w:b/>
                <w:sz w:val="16"/>
              </w:rPr>
            </w:pPr>
            <w:r>
              <w:rPr>
                <w:b/>
                <w:sz w:val="16"/>
              </w:rPr>
              <w:t>Crown Land</w:t>
            </w:r>
          </w:p>
        </w:tc>
        <w:tc>
          <w:tcPr>
            <w:tcW w:w="1083" w:type="dxa"/>
          </w:tcPr>
          <w:p w14:paraId="39EF78C4" w14:textId="77777777" w:rsidR="00FA4AA8" w:rsidRDefault="0015611F">
            <w:pPr>
              <w:pStyle w:val="TableParagraph"/>
              <w:spacing w:line="182" w:lineRule="exact"/>
              <w:ind w:left="150"/>
              <w:rPr>
                <w:b/>
                <w:sz w:val="16"/>
              </w:rPr>
            </w:pPr>
            <w:r>
              <w:rPr>
                <w:b/>
                <w:sz w:val="16"/>
              </w:rPr>
              <w:t>Buildings</w:t>
            </w:r>
          </w:p>
        </w:tc>
        <w:tc>
          <w:tcPr>
            <w:tcW w:w="1185" w:type="dxa"/>
          </w:tcPr>
          <w:p w14:paraId="32F8C1AF" w14:textId="77777777" w:rsidR="00FA4AA8" w:rsidRDefault="0015611F">
            <w:pPr>
              <w:pStyle w:val="TableParagraph"/>
              <w:spacing w:line="182" w:lineRule="exact"/>
              <w:ind w:right="94"/>
              <w:jc w:val="right"/>
              <w:rPr>
                <w:b/>
                <w:sz w:val="16"/>
              </w:rPr>
            </w:pPr>
            <w:r>
              <w:rPr>
                <w:b/>
                <w:sz w:val="16"/>
              </w:rPr>
              <w:t>Infrastructure</w:t>
            </w:r>
          </w:p>
        </w:tc>
        <w:tc>
          <w:tcPr>
            <w:tcW w:w="1113" w:type="dxa"/>
          </w:tcPr>
          <w:p w14:paraId="0C2B1F2F" w14:textId="77777777" w:rsidR="00FA4AA8" w:rsidRDefault="0015611F">
            <w:pPr>
              <w:pStyle w:val="TableParagraph"/>
              <w:spacing w:line="182" w:lineRule="exact"/>
              <w:ind w:left="99"/>
              <w:rPr>
                <w:b/>
                <w:sz w:val="16"/>
              </w:rPr>
            </w:pPr>
            <w:r>
              <w:rPr>
                <w:b/>
                <w:sz w:val="16"/>
              </w:rPr>
              <w:t>Equipment</w:t>
            </w:r>
          </w:p>
        </w:tc>
        <w:tc>
          <w:tcPr>
            <w:tcW w:w="1215" w:type="dxa"/>
          </w:tcPr>
          <w:p w14:paraId="6D5801EC" w14:textId="77777777" w:rsidR="00FA4AA8" w:rsidRDefault="0015611F">
            <w:pPr>
              <w:pStyle w:val="TableParagraph"/>
              <w:spacing w:line="182" w:lineRule="exact"/>
              <w:ind w:right="92"/>
              <w:jc w:val="center"/>
              <w:rPr>
                <w:b/>
                <w:sz w:val="16"/>
              </w:rPr>
            </w:pPr>
            <w:r>
              <w:rPr>
                <w:b/>
                <w:sz w:val="16"/>
              </w:rPr>
              <w:t>s</w:t>
            </w:r>
          </w:p>
        </w:tc>
        <w:tc>
          <w:tcPr>
            <w:tcW w:w="1177" w:type="dxa"/>
          </w:tcPr>
          <w:p w14:paraId="644EAF3F" w14:textId="77777777" w:rsidR="00FA4AA8" w:rsidRDefault="0015611F">
            <w:pPr>
              <w:pStyle w:val="TableParagraph"/>
              <w:spacing w:line="182" w:lineRule="exact"/>
              <w:ind w:left="114"/>
              <w:rPr>
                <w:b/>
                <w:sz w:val="16"/>
              </w:rPr>
            </w:pPr>
            <w:r>
              <w:rPr>
                <w:b/>
                <w:sz w:val="16"/>
              </w:rPr>
              <w:t>Collection</w:t>
            </w:r>
          </w:p>
        </w:tc>
        <w:tc>
          <w:tcPr>
            <w:tcW w:w="1160" w:type="dxa"/>
          </w:tcPr>
          <w:p w14:paraId="39A5EF1C" w14:textId="77777777" w:rsidR="00FA4AA8" w:rsidRDefault="0015611F">
            <w:pPr>
              <w:pStyle w:val="TableParagraph"/>
              <w:spacing w:line="182" w:lineRule="exact"/>
              <w:ind w:left="158"/>
              <w:rPr>
                <w:b/>
                <w:sz w:val="16"/>
              </w:rPr>
            </w:pPr>
            <w:r>
              <w:rPr>
                <w:b/>
                <w:sz w:val="16"/>
              </w:rPr>
              <w:t>Artwork</w:t>
            </w:r>
          </w:p>
        </w:tc>
        <w:tc>
          <w:tcPr>
            <w:tcW w:w="973" w:type="dxa"/>
          </w:tcPr>
          <w:p w14:paraId="2DD2DC3D" w14:textId="77777777" w:rsidR="00FA4AA8" w:rsidRDefault="0015611F">
            <w:pPr>
              <w:pStyle w:val="TableParagraph"/>
              <w:spacing w:line="182" w:lineRule="exact"/>
              <w:ind w:left="241"/>
              <w:rPr>
                <w:b/>
                <w:sz w:val="16"/>
              </w:rPr>
            </w:pPr>
            <w:r>
              <w:rPr>
                <w:b/>
                <w:sz w:val="16"/>
              </w:rPr>
              <w:t>Total</w:t>
            </w:r>
          </w:p>
        </w:tc>
      </w:tr>
      <w:tr w:rsidR="00FA4AA8" w14:paraId="72508D0A" w14:textId="77777777">
        <w:trPr>
          <w:trHeight w:val="235"/>
        </w:trPr>
        <w:tc>
          <w:tcPr>
            <w:tcW w:w="349" w:type="dxa"/>
          </w:tcPr>
          <w:p w14:paraId="011A8F47" w14:textId="77777777" w:rsidR="00FA4AA8" w:rsidRDefault="00FA4AA8">
            <w:pPr>
              <w:pStyle w:val="TableParagraph"/>
              <w:rPr>
                <w:rFonts w:ascii="Times New Roman"/>
                <w:sz w:val="16"/>
              </w:rPr>
            </w:pPr>
          </w:p>
        </w:tc>
        <w:tc>
          <w:tcPr>
            <w:tcW w:w="4374" w:type="dxa"/>
          </w:tcPr>
          <w:p w14:paraId="72F75727" w14:textId="77777777" w:rsidR="00FA4AA8" w:rsidRDefault="0015611F">
            <w:pPr>
              <w:pStyle w:val="TableParagraph"/>
              <w:tabs>
                <w:tab w:val="left" w:pos="3519"/>
              </w:tabs>
              <w:spacing w:before="31" w:line="184" w:lineRule="exact"/>
              <w:ind w:left="135"/>
              <w:rPr>
                <w:b/>
                <w:sz w:val="16"/>
              </w:rPr>
            </w:pPr>
            <w:r>
              <w:rPr>
                <w:b/>
                <w:sz w:val="16"/>
              </w:rPr>
              <w:t>Parent</w:t>
            </w:r>
            <w:r>
              <w:rPr>
                <w:b/>
                <w:sz w:val="16"/>
              </w:rPr>
              <w:tab/>
              <w:t>$'000</w:t>
            </w:r>
          </w:p>
        </w:tc>
        <w:tc>
          <w:tcPr>
            <w:tcW w:w="1050" w:type="dxa"/>
          </w:tcPr>
          <w:p w14:paraId="15D77480" w14:textId="77777777" w:rsidR="00FA4AA8" w:rsidRDefault="0015611F">
            <w:pPr>
              <w:pStyle w:val="TableParagraph"/>
              <w:spacing w:before="31" w:line="184" w:lineRule="exact"/>
              <w:ind w:left="278"/>
              <w:rPr>
                <w:b/>
                <w:sz w:val="16"/>
              </w:rPr>
            </w:pPr>
            <w:r>
              <w:rPr>
                <w:b/>
                <w:sz w:val="16"/>
              </w:rPr>
              <w:t>$'000</w:t>
            </w:r>
          </w:p>
        </w:tc>
        <w:tc>
          <w:tcPr>
            <w:tcW w:w="1207" w:type="dxa"/>
          </w:tcPr>
          <w:p w14:paraId="059CFEC9" w14:textId="77777777" w:rsidR="00FA4AA8" w:rsidRDefault="0015611F">
            <w:pPr>
              <w:pStyle w:val="TableParagraph"/>
              <w:spacing w:before="31" w:line="184" w:lineRule="exact"/>
              <w:ind w:left="375"/>
              <w:rPr>
                <w:b/>
                <w:sz w:val="16"/>
              </w:rPr>
            </w:pPr>
            <w:r>
              <w:rPr>
                <w:b/>
                <w:sz w:val="16"/>
              </w:rPr>
              <w:t>$'000</w:t>
            </w:r>
          </w:p>
        </w:tc>
        <w:tc>
          <w:tcPr>
            <w:tcW w:w="1083" w:type="dxa"/>
          </w:tcPr>
          <w:p w14:paraId="72E725E8" w14:textId="77777777" w:rsidR="00FA4AA8" w:rsidRDefault="0015611F">
            <w:pPr>
              <w:pStyle w:val="TableParagraph"/>
              <w:spacing w:before="31" w:line="184" w:lineRule="exact"/>
              <w:ind w:left="320"/>
              <w:rPr>
                <w:b/>
                <w:sz w:val="16"/>
              </w:rPr>
            </w:pPr>
            <w:r>
              <w:rPr>
                <w:b/>
                <w:sz w:val="16"/>
              </w:rPr>
              <w:t>$'000</w:t>
            </w:r>
          </w:p>
        </w:tc>
        <w:tc>
          <w:tcPr>
            <w:tcW w:w="1185" w:type="dxa"/>
          </w:tcPr>
          <w:p w14:paraId="28A61AA9" w14:textId="77777777" w:rsidR="00FA4AA8" w:rsidRDefault="0015611F">
            <w:pPr>
              <w:pStyle w:val="TableParagraph"/>
              <w:spacing w:before="31" w:line="184" w:lineRule="exact"/>
              <w:ind w:left="370"/>
              <w:rPr>
                <w:b/>
                <w:sz w:val="16"/>
              </w:rPr>
            </w:pPr>
            <w:r>
              <w:rPr>
                <w:b/>
                <w:sz w:val="16"/>
              </w:rPr>
              <w:t>$'000</w:t>
            </w:r>
          </w:p>
        </w:tc>
        <w:tc>
          <w:tcPr>
            <w:tcW w:w="1113" w:type="dxa"/>
          </w:tcPr>
          <w:p w14:paraId="07599619" w14:textId="77777777" w:rsidR="00FA4AA8" w:rsidRDefault="0015611F">
            <w:pPr>
              <w:pStyle w:val="TableParagraph"/>
              <w:spacing w:before="31" w:line="184" w:lineRule="exact"/>
              <w:ind w:left="317"/>
              <w:rPr>
                <w:b/>
                <w:sz w:val="16"/>
              </w:rPr>
            </w:pPr>
            <w:r>
              <w:rPr>
                <w:b/>
                <w:sz w:val="16"/>
              </w:rPr>
              <w:t>$'000</w:t>
            </w:r>
          </w:p>
        </w:tc>
        <w:tc>
          <w:tcPr>
            <w:tcW w:w="1215" w:type="dxa"/>
          </w:tcPr>
          <w:p w14:paraId="12DFE240" w14:textId="77777777" w:rsidR="00FA4AA8" w:rsidRDefault="0015611F">
            <w:pPr>
              <w:pStyle w:val="TableParagraph"/>
              <w:spacing w:before="31" w:line="184" w:lineRule="exact"/>
              <w:ind w:left="361"/>
              <w:rPr>
                <w:b/>
                <w:sz w:val="16"/>
              </w:rPr>
            </w:pPr>
            <w:r>
              <w:rPr>
                <w:b/>
                <w:sz w:val="16"/>
              </w:rPr>
              <w:t>$'000</w:t>
            </w:r>
          </w:p>
        </w:tc>
        <w:tc>
          <w:tcPr>
            <w:tcW w:w="1177" w:type="dxa"/>
          </w:tcPr>
          <w:p w14:paraId="31F76853" w14:textId="77777777" w:rsidR="00FA4AA8" w:rsidRDefault="0015611F">
            <w:pPr>
              <w:pStyle w:val="TableParagraph"/>
              <w:spacing w:before="31" w:line="184" w:lineRule="exact"/>
              <w:ind w:left="306"/>
              <w:rPr>
                <w:b/>
                <w:sz w:val="16"/>
              </w:rPr>
            </w:pPr>
            <w:r>
              <w:rPr>
                <w:b/>
                <w:sz w:val="16"/>
              </w:rPr>
              <w:t>$'000</w:t>
            </w:r>
          </w:p>
        </w:tc>
        <w:tc>
          <w:tcPr>
            <w:tcW w:w="1160" w:type="dxa"/>
          </w:tcPr>
          <w:p w14:paraId="7B69FF08" w14:textId="77777777" w:rsidR="00FA4AA8" w:rsidRDefault="0015611F">
            <w:pPr>
              <w:pStyle w:val="TableParagraph"/>
              <w:spacing w:before="31" w:line="184" w:lineRule="exact"/>
              <w:ind w:left="261"/>
              <w:rPr>
                <w:b/>
                <w:sz w:val="16"/>
              </w:rPr>
            </w:pPr>
            <w:r>
              <w:rPr>
                <w:b/>
                <w:sz w:val="16"/>
              </w:rPr>
              <w:t>$'000</w:t>
            </w:r>
          </w:p>
        </w:tc>
        <w:tc>
          <w:tcPr>
            <w:tcW w:w="973" w:type="dxa"/>
          </w:tcPr>
          <w:p w14:paraId="2C69CFAB" w14:textId="77777777" w:rsidR="00FA4AA8" w:rsidRDefault="0015611F">
            <w:pPr>
              <w:pStyle w:val="TableParagraph"/>
              <w:spacing w:before="31" w:line="184" w:lineRule="exact"/>
              <w:ind w:left="234"/>
              <w:rPr>
                <w:b/>
                <w:sz w:val="16"/>
              </w:rPr>
            </w:pPr>
            <w:r>
              <w:rPr>
                <w:b/>
                <w:sz w:val="16"/>
              </w:rPr>
              <w:t>$'000</w:t>
            </w:r>
          </w:p>
        </w:tc>
      </w:tr>
      <w:tr w:rsidR="00FA4AA8" w14:paraId="72881BA6" w14:textId="77777777">
        <w:trPr>
          <w:trHeight w:val="216"/>
        </w:trPr>
        <w:tc>
          <w:tcPr>
            <w:tcW w:w="349" w:type="dxa"/>
          </w:tcPr>
          <w:p w14:paraId="173FA222" w14:textId="77777777" w:rsidR="00FA4AA8" w:rsidRDefault="00FA4AA8">
            <w:pPr>
              <w:pStyle w:val="TableParagraph"/>
              <w:rPr>
                <w:rFonts w:ascii="Times New Roman"/>
                <w:sz w:val="14"/>
              </w:rPr>
            </w:pPr>
          </w:p>
        </w:tc>
        <w:tc>
          <w:tcPr>
            <w:tcW w:w="4374" w:type="dxa"/>
          </w:tcPr>
          <w:p w14:paraId="7F3BC299" w14:textId="77777777" w:rsidR="00FA4AA8" w:rsidRDefault="0015611F">
            <w:pPr>
              <w:pStyle w:val="TableParagraph"/>
              <w:spacing w:before="15" w:line="181" w:lineRule="exact"/>
              <w:ind w:left="135"/>
              <w:rPr>
                <w:b/>
                <w:sz w:val="16"/>
              </w:rPr>
            </w:pPr>
            <w:r>
              <w:rPr>
                <w:b/>
                <w:sz w:val="16"/>
              </w:rPr>
              <w:t>Year ended 31 December 2018</w:t>
            </w:r>
          </w:p>
        </w:tc>
        <w:tc>
          <w:tcPr>
            <w:tcW w:w="1050" w:type="dxa"/>
          </w:tcPr>
          <w:p w14:paraId="32A55607" w14:textId="77777777" w:rsidR="00FA4AA8" w:rsidRDefault="00FA4AA8">
            <w:pPr>
              <w:pStyle w:val="TableParagraph"/>
              <w:rPr>
                <w:rFonts w:ascii="Times New Roman"/>
                <w:sz w:val="14"/>
              </w:rPr>
            </w:pPr>
          </w:p>
        </w:tc>
        <w:tc>
          <w:tcPr>
            <w:tcW w:w="1207" w:type="dxa"/>
          </w:tcPr>
          <w:p w14:paraId="0BE21A7F" w14:textId="77777777" w:rsidR="00FA4AA8" w:rsidRDefault="00FA4AA8">
            <w:pPr>
              <w:pStyle w:val="TableParagraph"/>
              <w:rPr>
                <w:rFonts w:ascii="Times New Roman"/>
                <w:sz w:val="14"/>
              </w:rPr>
            </w:pPr>
          </w:p>
        </w:tc>
        <w:tc>
          <w:tcPr>
            <w:tcW w:w="1083" w:type="dxa"/>
          </w:tcPr>
          <w:p w14:paraId="7C1F2657" w14:textId="77777777" w:rsidR="00FA4AA8" w:rsidRDefault="00FA4AA8">
            <w:pPr>
              <w:pStyle w:val="TableParagraph"/>
              <w:rPr>
                <w:rFonts w:ascii="Times New Roman"/>
                <w:sz w:val="14"/>
              </w:rPr>
            </w:pPr>
          </w:p>
        </w:tc>
        <w:tc>
          <w:tcPr>
            <w:tcW w:w="1185" w:type="dxa"/>
          </w:tcPr>
          <w:p w14:paraId="520EDE40" w14:textId="77777777" w:rsidR="00FA4AA8" w:rsidRDefault="00FA4AA8">
            <w:pPr>
              <w:pStyle w:val="TableParagraph"/>
              <w:rPr>
                <w:rFonts w:ascii="Times New Roman"/>
                <w:sz w:val="14"/>
              </w:rPr>
            </w:pPr>
          </w:p>
        </w:tc>
        <w:tc>
          <w:tcPr>
            <w:tcW w:w="1113" w:type="dxa"/>
          </w:tcPr>
          <w:p w14:paraId="1F7126D4" w14:textId="77777777" w:rsidR="00FA4AA8" w:rsidRDefault="00FA4AA8">
            <w:pPr>
              <w:pStyle w:val="TableParagraph"/>
              <w:rPr>
                <w:rFonts w:ascii="Times New Roman"/>
                <w:sz w:val="14"/>
              </w:rPr>
            </w:pPr>
          </w:p>
        </w:tc>
        <w:tc>
          <w:tcPr>
            <w:tcW w:w="1215" w:type="dxa"/>
          </w:tcPr>
          <w:p w14:paraId="52EB43DE" w14:textId="77777777" w:rsidR="00FA4AA8" w:rsidRDefault="00FA4AA8">
            <w:pPr>
              <w:pStyle w:val="TableParagraph"/>
              <w:rPr>
                <w:rFonts w:ascii="Times New Roman"/>
                <w:sz w:val="14"/>
              </w:rPr>
            </w:pPr>
          </w:p>
        </w:tc>
        <w:tc>
          <w:tcPr>
            <w:tcW w:w="1177" w:type="dxa"/>
          </w:tcPr>
          <w:p w14:paraId="269785F9" w14:textId="77777777" w:rsidR="00FA4AA8" w:rsidRDefault="00FA4AA8">
            <w:pPr>
              <w:pStyle w:val="TableParagraph"/>
              <w:rPr>
                <w:rFonts w:ascii="Times New Roman"/>
                <w:sz w:val="14"/>
              </w:rPr>
            </w:pPr>
          </w:p>
        </w:tc>
        <w:tc>
          <w:tcPr>
            <w:tcW w:w="1160" w:type="dxa"/>
          </w:tcPr>
          <w:p w14:paraId="1DFB71A2" w14:textId="77777777" w:rsidR="00FA4AA8" w:rsidRDefault="00FA4AA8">
            <w:pPr>
              <w:pStyle w:val="TableParagraph"/>
              <w:rPr>
                <w:rFonts w:ascii="Times New Roman"/>
                <w:sz w:val="14"/>
              </w:rPr>
            </w:pPr>
          </w:p>
        </w:tc>
        <w:tc>
          <w:tcPr>
            <w:tcW w:w="973" w:type="dxa"/>
          </w:tcPr>
          <w:p w14:paraId="524314F7" w14:textId="77777777" w:rsidR="00FA4AA8" w:rsidRDefault="00FA4AA8">
            <w:pPr>
              <w:pStyle w:val="TableParagraph"/>
              <w:rPr>
                <w:rFonts w:ascii="Times New Roman"/>
                <w:sz w:val="14"/>
              </w:rPr>
            </w:pPr>
          </w:p>
        </w:tc>
      </w:tr>
      <w:tr w:rsidR="00FA4AA8" w14:paraId="459E44C2" w14:textId="77777777">
        <w:trPr>
          <w:trHeight w:val="229"/>
        </w:trPr>
        <w:tc>
          <w:tcPr>
            <w:tcW w:w="349" w:type="dxa"/>
          </w:tcPr>
          <w:p w14:paraId="6A9999ED" w14:textId="77777777" w:rsidR="00FA4AA8" w:rsidRDefault="00FA4AA8">
            <w:pPr>
              <w:pStyle w:val="TableParagraph"/>
              <w:rPr>
                <w:rFonts w:ascii="Times New Roman"/>
                <w:sz w:val="16"/>
              </w:rPr>
            </w:pPr>
          </w:p>
        </w:tc>
        <w:tc>
          <w:tcPr>
            <w:tcW w:w="4374" w:type="dxa"/>
          </w:tcPr>
          <w:p w14:paraId="21B30539" w14:textId="77777777" w:rsidR="00FA4AA8" w:rsidRDefault="0015611F">
            <w:pPr>
              <w:pStyle w:val="TableParagraph"/>
              <w:tabs>
                <w:tab w:val="left" w:pos="3694"/>
              </w:tabs>
              <w:spacing w:before="15"/>
              <w:ind w:left="135"/>
              <w:rPr>
                <w:sz w:val="16"/>
              </w:rPr>
            </w:pPr>
            <w:r>
              <w:rPr>
                <w:sz w:val="16"/>
              </w:rPr>
              <w:t>Opening net</w:t>
            </w:r>
            <w:r>
              <w:rPr>
                <w:spacing w:val="-1"/>
                <w:sz w:val="16"/>
              </w:rPr>
              <w:t xml:space="preserve"> </w:t>
            </w:r>
            <w:r>
              <w:rPr>
                <w:sz w:val="16"/>
              </w:rPr>
              <w:t>book amount</w:t>
            </w:r>
            <w:r>
              <w:rPr>
                <w:sz w:val="16"/>
              </w:rPr>
              <w:tab/>
              <w:t>80,540</w:t>
            </w:r>
          </w:p>
        </w:tc>
        <w:tc>
          <w:tcPr>
            <w:tcW w:w="1050" w:type="dxa"/>
          </w:tcPr>
          <w:p w14:paraId="6BDC134D" w14:textId="77777777" w:rsidR="00FA4AA8" w:rsidRDefault="0015611F">
            <w:pPr>
              <w:pStyle w:val="TableParagraph"/>
              <w:spacing w:before="12"/>
              <w:ind w:right="104"/>
              <w:jc w:val="right"/>
              <w:rPr>
                <w:sz w:val="16"/>
              </w:rPr>
            </w:pPr>
            <w:r>
              <w:rPr>
                <w:sz w:val="16"/>
              </w:rPr>
              <w:t>306,574</w:t>
            </w:r>
          </w:p>
        </w:tc>
        <w:tc>
          <w:tcPr>
            <w:tcW w:w="1207" w:type="dxa"/>
          </w:tcPr>
          <w:p w14:paraId="74DD68A1" w14:textId="77777777" w:rsidR="00FA4AA8" w:rsidRDefault="0015611F">
            <w:pPr>
              <w:pStyle w:val="TableParagraph"/>
              <w:spacing w:before="12"/>
              <w:ind w:right="147"/>
              <w:jc w:val="right"/>
              <w:rPr>
                <w:sz w:val="16"/>
              </w:rPr>
            </w:pPr>
            <w:r>
              <w:rPr>
                <w:sz w:val="16"/>
              </w:rPr>
              <w:t>221,740</w:t>
            </w:r>
          </w:p>
        </w:tc>
        <w:tc>
          <w:tcPr>
            <w:tcW w:w="1083" w:type="dxa"/>
          </w:tcPr>
          <w:p w14:paraId="6D03EBD6" w14:textId="77777777" w:rsidR="00FA4AA8" w:rsidRDefault="0015611F">
            <w:pPr>
              <w:pStyle w:val="TableParagraph"/>
              <w:spacing w:before="12"/>
              <w:ind w:right="95"/>
              <w:jc w:val="right"/>
              <w:rPr>
                <w:sz w:val="16"/>
              </w:rPr>
            </w:pPr>
            <w:r>
              <w:rPr>
                <w:sz w:val="16"/>
              </w:rPr>
              <w:t>981,524</w:t>
            </w:r>
          </w:p>
        </w:tc>
        <w:tc>
          <w:tcPr>
            <w:tcW w:w="1185" w:type="dxa"/>
          </w:tcPr>
          <w:p w14:paraId="4A7B5A9E" w14:textId="77777777" w:rsidR="00FA4AA8" w:rsidRDefault="0015611F">
            <w:pPr>
              <w:pStyle w:val="TableParagraph"/>
              <w:spacing w:before="12"/>
              <w:ind w:right="147"/>
              <w:jc w:val="right"/>
              <w:rPr>
                <w:sz w:val="16"/>
              </w:rPr>
            </w:pPr>
            <w:r>
              <w:rPr>
                <w:sz w:val="16"/>
              </w:rPr>
              <w:t>109,035</w:t>
            </w:r>
          </w:p>
        </w:tc>
        <w:tc>
          <w:tcPr>
            <w:tcW w:w="1113" w:type="dxa"/>
          </w:tcPr>
          <w:p w14:paraId="79502C32" w14:textId="77777777" w:rsidR="00FA4AA8" w:rsidRDefault="0015611F">
            <w:pPr>
              <w:pStyle w:val="TableParagraph"/>
              <w:spacing w:before="12"/>
              <w:ind w:left="493"/>
              <w:rPr>
                <w:sz w:val="16"/>
              </w:rPr>
            </w:pPr>
            <w:r>
              <w:rPr>
                <w:sz w:val="16"/>
              </w:rPr>
              <w:t>63,333</w:t>
            </w:r>
          </w:p>
        </w:tc>
        <w:tc>
          <w:tcPr>
            <w:tcW w:w="1215" w:type="dxa"/>
          </w:tcPr>
          <w:p w14:paraId="13BC8156" w14:textId="77777777" w:rsidR="00FA4AA8" w:rsidRDefault="0015611F">
            <w:pPr>
              <w:pStyle w:val="TableParagraph"/>
              <w:spacing w:before="12"/>
              <w:ind w:right="159"/>
              <w:jc w:val="right"/>
              <w:rPr>
                <w:sz w:val="16"/>
              </w:rPr>
            </w:pPr>
            <w:r>
              <w:rPr>
                <w:sz w:val="16"/>
              </w:rPr>
              <w:t>61,389</w:t>
            </w:r>
          </w:p>
        </w:tc>
        <w:tc>
          <w:tcPr>
            <w:tcW w:w="1177" w:type="dxa"/>
          </w:tcPr>
          <w:p w14:paraId="41BA8DCB" w14:textId="77777777" w:rsidR="00FA4AA8" w:rsidRDefault="0015611F">
            <w:pPr>
              <w:pStyle w:val="TableParagraph"/>
              <w:spacing w:before="12"/>
              <w:ind w:right="203"/>
              <w:jc w:val="right"/>
              <w:rPr>
                <w:sz w:val="16"/>
              </w:rPr>
            </w:pPr>
            <w:r>
              <w:rPr>
                <w:sz w:val="16"/>
              </w:rPr>
              <w:t>6,984</w:t>
            </w:r>
          </w:p>
        </w:tc>
        <w:tc>
          <w:tcPr>
            <w:tcW w:w="1160" w:type="dxa"/>
          </w:tcPr>
          <w:p w14:paraId="2CDE7E83" w14:textId="77777777" w:rsidR="00FA4AA8" w:rsidRDefault="0015611F">
            <w:pPr>
              <w:pStyle w:val="TableParagraph"/>
              <w:spacing w:before="12"/>
              <w:ind w:right="231"/>
              <w:jc w:val="right"/>
              <w:rPr>
                <w:sz w:val="16"/>
              </w:rPr>
            </w:pPr>
            <w:r>
              <w:rPr>
                <w:sz w:val="16"/>
              </w:rPr>
              <w:t>4,398</w:t>
            </w:r>
          </w:p>
        </w:tc>
        <w:tc>
          <w:tcPr>
            <w:tcW w:w="973" w:type="dxa"/>
          </w:tcPr>
          <w:p w14:paraId="6EA8324A" w14:textId="77777777" w:rsidR="00FA4AA8" w:rsidRDefault="0015611F">
            <w:pPr>
              <w:pStyle w:val="TableParagraph"/>
              <w:spacing w:before="12"/>
              <w:ind w:right="71"/>
              <w:jc w:val="right"/>
              <w:rPr>
                <w:sz w:val="16"/>
              </w:rPr>
            </w:pPr>
            <w:r>
              <w:rPr>
                <w:sz w:val="16"/>
              </w:rPr>
              <w:t>1,835,517</w:t>
            </w:r>
          </w:p>
        </w:tc>
      </w:tr>
      <w:tr w:rsidR="00FA4AA8" w14:paraId="7867053D" w14:textId="77777777">
        <w:trPr>
          <w:trHeight w:val="242"/>
        </w:trPr>
        <w:tc>
          <w:tcPr>
            <w:tcW w:w="349" w:type="dxa"/>
          </w:tcPr>
          <w:p w14:paraId="63C09453" w14:textId="77777777" w:rsidR="00FA4AA8" w:rsidRDefault="00FA4AA8">
            <w:pPr>
              <w:pStyle w:val="TableParagraph"/>
              <w:rPr>
                <w:rFonts w:ascii="Times New Roman"/>
                <w:sz w:val="16"/>
              </w:rPr>
            </w:pPr>
          </w:p>
        </w:tc>
        <w:tc>
          <w:tcPr>
            <w:tcW w:w="4374" w:type="dxa"/>
          </w:tcPr>
          <w:p w14:paraId="6E0729CA" w14:textId="77777777" w:rsidR="00FA4AA8" w:rsidRDefault="0015611F">
            <w:pPr>
              <w:pStyle w:val="TableParagraph"/>
              <w:tabs>
                <w:tab w:val="left" w:pos="4131"/>
              </w:tabs>
              <w:spacing w:before="28"/>
              <w:ind w:left="135"/>
              <w:rPr>
                <w:b/>
                <w:sz w:val="16"/>
              </w:rPr>
            </w:pPr>
            <w:r>
              <w:rPr>
                <w:sz w:val="16"/>
              </w:rPr>
              <w:t>Revaluation</w:t>
            </w:r>
            <w:r>
              <w:rPr>
                <w:spacing w:val="-4"/>
                <w:sz w:val="16"/>
              </w:rPr>
              <w:t xml:space="preserve"> </w:t>
            </w:r>
            <w:r>
              <w:rPr>
                <w:sz w:val="16"/>
              </w:rPr>
              <w:t>Surplus</w:t>
            </w:r>
            <w:r>
              <w:rPr>
                <w:sz w:val="16"/>
              </w:rPr>
              <w:tab/>
            </w:r>
            <w:r>
              <w:rPr>
                <w:b/>
                <w:sz w:val="16"/>
              </w:rPr>
              <w:t>-</w:t>
            </w:r>
          </w:p>
        </w:tc>
        <w:tc>
          <w:tcPr>
            <w:tcW w:w="1050" w:type="dxa"/>
          </w:tcPr>
          <w:p w14:paraId="23DB0AF8" w14:textId="77777777" w:rsidR="00FA4AA8" w:rsidRDefault="0015611F">
            <w:pPr>
              <w:pStyle w:val="TableParagraph"/>
              <w:spacing w:before="25"/>
              <w:ind w:right="104"/>
              <w:jc w:val="right"/>
              <w:rPr>
                <w:sz w:val="16"/>
              </w:rPr>
            </w:pPr>
            <w:r>
              <w:rPr>
                <w:sz w:val="16"/>
              </w:rPr>
              <w:t>23,501</w:t>
            </w:r>
          </w:p>
        </w:tc>
        <w:tc>
          <w:tcPr>
            <w:tcW w:w="1207" w:type="dxa"/>
          </w:tcPr>
          <w:p w14:paraId="254084D1" w14:textId="77777777" w:rsidR="00FA4AA8" w:rsidRDefault="0015611F">
            <w:pPr>
              <w:pStyle w:val="TableParagraph"/>
              <w:spacing w:before="25"/>
              <w:ind w:right="147"/>
              <w:jc w:val="right"/>
              <w:rPr>
                <w:sz w:val="16"/>
              </w:rPr>
            </w:pPr>
            <w:r>
              <w:rPr>
                <w:sz w:val="16"/>
              </w:rPr>
              <w:t>11,120</w:t>
            </w:r>
          </w:p>
        </w:tc>
        <w:tc>
          <w:tcPr>
            <w:tcW w:w="1083" w:type="dxa"/>
          </w:tcPr>
          <w:p w14:paraId="37340CA9" w14:textId="77777777" w:rsidR="00FA4AA8" w:rsidRDefault="0015611F">
            <w:pPr>
              <w:pStyle w:val="TableParagraph"/>
              <w:spacing w:before="25"/>
              <w:ind w:right="95"/>
              <w:jc w:val="right"/>
              <w:rPr>
                <w:sz w:val="16"/>
              </w:rPr>
            </w:pPr>
            <w:r>
              <w:rPr>
                <w:sz w:val="16"/>
              </w:rPr>
              <w:t>27,289</w:t>
            </w:r>
          </w:p>
        </w:tc>
        <w:tc>
          <w:tcPr>
            <w:tcW w:w="1185" w:type="dxa"/>
          </w:tcPr>
          <w:p w14:paraId="62D674DA" w14:textId="77777777" w:rsidR="00FA4AA8" w:rsidRDefault="0015611F">
            <w:pPr>
              <w:pStyle w:val="TableParagraph"/>
              <w:spacing w:before="25"/>
              <w:ind w:right="147"/>
              <w:jc w:val="right"/>
              <w:rPr>
                <w:sz w:val="16"/>
              </w:rPr>
            </w:pPr>
            <w:r>
              <w:rPr>
                <w:sz w:val="16"/>
              </w:rPr>
              <w:t>7,166</w:t>
            </w:r>
          </w:p>
        </w:tc>
        <w:tc>
          <w:tcPr>
            <w:tcW w:w="1113" w:type="dxa"/>
          </w:tcPr>
          <w:p w14:paraId="584DB7A5" w14:textId="77777777" w:rsidR="00FA4AA8" w:rsidRDefault="0015611F">
            <w:pPr>
              <w:pStyle w:val="TableParagraph"/>
              <w:spacing w:before="25"/>
              <w:ind w:right="127"/>
              <w:jc w:val="right"/>
              <w:rPr>
                <w:b/>
                <w:sz w:val="16"/>
              </w:rPr>
            </w:pPr>
            <w:r>
              <w:rPr>
                <w:b/>
                <w:sz w:val="16"/>
              </w:rPr>
              <w:t>-</w:t>
            </w:r>
          </w:p>
        </w:tc>
        <w:tc>
          <w:tcPr>
            <w:tcW w:w="1215" w:type="dxa"/>
          </w:tcPr>
          <w:p w14:paraId="388B16B9" w14:textId="77777777" w:rsidR="00FA4AA8" w:rsidRDefault="0015611F">
            <w:pPr>
              <w:pStyle w:val="TableParagraph"/>
              <w:spacing w:before="25"/>
              <w:ind w:right="159"/>
              <w:jc w:val="right"/>
              <w:rPr>
                <w:b/>
                <w:sz w:val="16"/>
              </w:rPr>
            </w:pPr>
            <w:r>
              <w:rPr>
                <w:b/>
                <w:sz w:val="16"/>
              </w:rPr>
              <w:t>-</w:t>
            </w:r>
          </w:p>
        </w:tc>
        <w:tc>
          <w:tcPr>
            <w:tcW w:w="1177" w:type="dxa"/>
          </w:tcPr>
          <w:p w14:paraId="4AF3929F" w14:textId="77777777" w:rsidR="00FA4AA8" w:rsidRDefault="0015611F">
            <w:pPr>
              <w:pStyle w:val="TableParagraph"/>
              <w:spacing w:before="25"/>
              <w:ind w:right="203"/>
              <w:jc w:val="right"/>
              <w:rPr>
                <w:b/>
                <w:sz w:val="16"/>
              </w:rPr>
            </w:pPr>
            <w:r>
              <w:rPr>
                <w:b/>
                <w:sz w:val="16"/>
              </w:rPr>
              <w:t>-</w:t>
            </w:r>
          </w:p>
        </w:tc>
        <w:tc>
          <w:tcPr>
            <w:tcW w:w="1160" w:type="dxa"/>
          </w:tcPr>
          <w:p w14:paraId="7D4CA850" w14:textId="77777777" w:rsidR="00FA4AA8" w:rsidRDefault="0015611F">
            <w:pPr>
              <w:pStyle w:val="TableParagraph"/>
              <w:spacing w:before="25"/>
              <w:ind w:right="230"/>
              <w:jc w:val="right"/>
              <w:rPr>
                <w:b/>
                <w:sz w:val="16"/>
              </w:rPr>
            </w:pPr>
            <w:r>
              <w:rPr>
                <w:b/>
                <w:sz w:val="16"/>
              </w:rPr>
              <w:t>-</w:t>
            </w:r>
          </w:p>
        </w:tc>
        <w:tc>
          <w:tcPr>
            <w:tcW w:w="973" w:type="dxa"/>
          </w:tcPr>
          <w:p w14:paraId="00E1FB01" w14:textId="77777777" w:rsidR="00FA4AA8" w:rsidRDefault="0015611F">
            <w:pPr>
              <w:pStyle w:val="TableParagraph"/>
              <w:spacing w:before="25"/>
              <w:ind w:right="71"/>
              <w:jc w:val="right"/>
              <w:rPr>
                <w:sz w:val="16"/>
              </w:rPr>
            </w:pPr>
            <w:r>
              <w:rPr>
                <w:sz w:val="16"/>
              </w:rPr>
              <w:t>69,076</w:t>
            </w:r>
          </w:p>
        </w:tc>
      </w:tr>
      <w:tr w:rsidR="00FA4AA8" w14:paraId="190BBCD5" w14:textId="77777777">
        <w:trPr>
          <w:trHeight w:val="242"/>
        </w:trPr>
        <w:tc>
          <w:tcPr>
            <w:tcW w:w="349" w:type="dxa"/>
          </w:tcPr>
          <w:p w14:paraId="2340F7FD" w14:textId="77777777" w:rsidR="00FA4AA8" w:rsidRDefault="00FA4AA8">
            <w:pPr>
              <w:pStyle w:val="TableParagraph"/>
              <w:rPr>
                <w:rFonts w:ascii="Times New Roman"/>
                <w:sz w:val="16"/>
              </w:rPr>
            </w:pPr>
          </w:p>
        </w:tc>
        <w:tc>
          <w:tcPr>
            <w:tcW w:w="4374" w:type="dxa"/>
          </w:tcPr>
          <w:p w14:paraId="0E766979" w14:textId="77777777" w:rsidR="00FA4AA8" w:rsidRDefault="0015611F">
            <w:pPr>
              <w:pStyle w:val="TableParagraph"/>
              <w:tabs>
                <w:tab w:val="left" w:pos="3694"/>
              </w:tabs>
              <w:spacing w:before="28"/>
              <w:ind w:left="135"/>
              <w:rPr>
                <w:sz w:val="16"/>
              </w:rPr>
            </w:pPr>
            <w:r>
              <w:rPr>
                <w:sz w:val="16"/>
              </w:rPr>
              <w:t>Additions</w:t>
            </w:r>
            <w:r>
              <w:rPr>
                <w:sz w:val="16"/>
              </w:rPr>
              <w:tab/>
              <w:t>62,556</w:t>
            </w:r>
          </w:p>
        </w:tc>
        <w:tc>
          <w:tcPr>
            <w:tcW w:w="1050" w:type="dxa"/>
          </w:tcPr>
          <w:p w14:paraId="6FB90226" w14:textId="77777777" w:rsidR="00FA4AA8" w:rsidRDefault="0015611F">
            <w:pPr>
              <w:pStyle w:val="TableParagraph"/>
              <w:spacing w:before="25"/>
              <w:ind w:right="104"/>
              <w:jc w:val="right"/>
              <w:rPr>
                <w:sz w:val="16"/>
              </w:rPr>
            </w:pPr>
            <w:r>
              <w:rPr>
                <w:sz w:val="16"/>
              </w:rPr>
              <w:t>9,935</w:t>
            </w:r>
          </w:p>
        </w:tc>
        <w:tc>
          <w:tcPr>
            <w:tcW w:w="1207" w:type="dxa"/>
          </w:tcPr>
          <w:p w14:paraId="279458AD" w14:textId="77777777" w:rsidR="00FA4AA8" w:rsidRDefault="0015611F">
            <w:pPr>
              <w:pStyle w:val="TableParagraph"/>
              <w:spacing w:before="25"/>
              <w:ind w:right="147"/>
              <w:jc w:val="right"/>
              <w:rPr>
                <w:sz w:val="16"/>
              </w:rPr>
            </w:pPr>
            <w:r>
              <w:rPr>
                <w:sz w:val="16"/>
              </w:rPr>
              <w:t>1,130</w:t>
            </w:r>
          </w:p>
        </w:tc>
        <w:tc>
          <w:tcPr>
            <w:tcW w:w="1083" w:type="dxa"/>
          </w:tcPr>
          <w:p w14:paraId="011ABBD8" w14:textId="77777777" w:rsidR="00FA4AA8" w:rsidRDefault="0015611F">
            <w:pPr>
              <w:pStyle w:val="TableParagraph"/>
              <w:spacing w:before="25"/>
              <w:ind w:right="95"/>
              <w:jc w:val="right"/>
              <w:rPr>
                <w:sz w:val="16"/>
              </w:rPr>
            </w:pPr>
            <w:r>
              <w:rPr>
                <w:sz w:val="16"/>
              </w:rPr>
              <w:t>94,944</w:t>
            </w:r>
          </w:p>
        </w:tc>
        <w:tc>
          <w:tcPr>
            <w:tcW w:w="1185" w:type="dxa"/>
          </w:tcPr>
          <w:p w14:paraId="79A4FC85" w14:textId="77777777" w:rsidR="00FA4AA8" w:rsidRDefault="0015611F">
            <w:pPr>
              <w:pStyle w:val="TableParagraph"/>
              <w:spacing w:before="25"/>
              <w:ind w:right="147"/>
              <w:jc w:val="right"/>
              <w:rPr>
                <w:b/>
                <w:sz w:val="16"/>
              </w:rPr>
            </w:pPr>
            <w:r>
              <w:rPr>
                <w:b/>
                <w:sz w:val="16"/>
              </w:rPr>
              <w:t>-</w:t>
            </w:r>
          </w:p>
        </w:tc>
        <w:tc>
          <w:tcPr>
            <w:tcW w:w="1113" w:type="dxa"/>
          </w:tcPr>
          <w:p w14:paraId="49787D38" w14:textId="77777777" w:rsidR="00FA4AA8" w:rsidRDefault="0015611F">
            <w:pPr>
              <w:pStyle w:val="TableParagraph"/>
              <w:spacing w:before="25"/>
              <w:ind w:left="582"/>
              <w:rPr>
                <w:sz w:val="16"/>
              </w:rPr>
            </w:pPr>
            <w:r>
              <w:rPr>
                <w:sz w:val="16"/>
              </w:rPr>
              <w:t>6,746</w:t>
            </w:r>
          </w:p>
        </w:tc>
        <w:tc>
          <w:tcPr>
            <w:tcW w:w="1215" w:type="dxa"/>
          </w:tcPr>
          <w:p w14:paraId="2E6898F3" w14:textId="77777777" w:rsidR="00FA4AA8" w:rsidRDefault="0015611F">
            <w:pPr>
              <w:pStyle w:val="TableParagraph"/>
              <w:spacing w:before="25"/>
              <w:ind w:right="159"/>
              <w:jc w:val="right"/>
              <w:rPr>
                <w:b/>
                <w:sz w:val="16"/>
              </w:rPr>
            </w:pPr>
            <w:r>
              <w:rPr>
                <w:b/>
                <w:sz w:val="16"/>
              </w:rPr>
              <w:t>-</w:t>
            </w:r>
          </w:p>
        </w:tc>
        <w:tc>
          <w:tcPr>
            <w:tcW w:w="1177" w:type="dxa"/>
          </w:tcPr>
          <w:p w14:paraId="7DC06051" w14:textId="77777777" w:rsidR="00FA4AA8" w:rsidRDefault="0015611F">
            <w:pPr>
              <w:pStyle w:val="TableParagraph"/>
              <w:spacing w:before="25"/>
              <w:ind w:right="203"/>
              <w:jc w:val="right"/>
              <w:rPr>
                <w:sz w:val="16"/>
              </w:rPr>
            </w:pPr>
            <w:r>
              <w:rPr>
                <w:sz w:val="16"/>
              </w:rPr>
              <w:t>1,755</w:t>
            </w:r>
          </w:p>
        </w:tc>
        <w:tc>
          <w:tcPr>
            <w:tcW w:w="1160" w:type="dxa"/>
          </w:tcPr>
          <w:p w14:paraId="583BEC8D" w14:textId="77777777" w:rsidR="00FA4AA8" w:rsidRDefault="0015611F">
            <w:pPr>
              <w:pStyle w:val="TableParagraph"/>
              <w:spacing w:before="25"/>
              <w:ind w:right="231"/>
              <w:jc w:val="right"/>
              <w:rPr>
                <w:sz w:val="16"/>
              </w:rPr>
            </w:pPr>
            <w:r>
              <w:rPr>
                <w:sz w:val="16"/>
              </w:rPr>
              <w:t>222</w:t>
            </w:r>
          </w:p>
        </w:tc>
        <w:tc>
          <w:tcPr>
            <w:tcW w:w="973" w:type="dxa"/>
          </w:tcPr>
          <w:p w14:paraId="0DEEB112" w14:textId="77777777" w:rsidR="00FA4AA8" w:rsidRDefault="0015611F">
            <w:pPr>
              <w:pStyle w:val="TableParagraph"/>
              <w:spacing w:before="25"/>
              <w:ind w:right="71"/>
              <w:jc w:val="right"/>
              <w:rPr>
                <w:sz w:val="16"/>
              </w:rPr>
            </w:pPr>
            <w:r>
              <w:rPr>
                <w:sz w:val="16"/>
              </w:rPr>
              <w:t>177,288</w:t>
            </w:r>
          </w:p>
        </w:tc>
      </w:tr>
      <w:tr w:rsidR="00FA4AA8" w14:paraId="31363EB4" w14:textId="77777777">
        <w:trPr>
          <w:trHeight w:val="242"/>
        </w:trPr>
        <w:tc>
          <w:tcPr>
            <w:tcW w:w="349" w:type="dxa"/>
          </w:tcPr>
          <w:p w14:paraId="7258012E" w14:textId="77777777" w:rsidR="00FA4AA8" w:rsidRDefault="00FA4AA8">
            <w:pPr>
              <w:pStyle w:val="TableParagraph"/>
              <w:rPr>
                <w:rFonts w:ascii="Times New Roman"/>
                <w:sz w:val="16"/>
              </w:rPr>
            </w:pPr>
          </w:p>
        </w:tc>
        <w:tc>
          <w:tcPr>
            <w:tcW w:w="4374" w:type="dxa"/>
          </w:tcPr>
          <w:p w14:paraId="35323EB1" w14:textId="77777777" w:rsidR="00FA4AA8" w:rsidRDefault="0015611F">
            <w:pPr>
              <w:pStyle w:val="TableParagraph"/>
              <w:tabs>
                <w:tab w:val="left" w:pos="3641"/>
              </w:tabs>
              <w:spacing w:before="28"/>
              <w:ind w:left="135"/>
              <w:rPr>
                <w:sz w:val="16"/>
              </w:rPr>
            </w:pPr>
            <w:r>
              <w:rPr>
                <w:sz w:val="16"/>
              </w:rPr>
              <w:t>Disposals</w:t>
            </w:r>
            <w:r>
              <w:rPr>
                <w:sz w:val="16"/>
              </w:rPr>
              <w:tab/>
              <w:t>(21,410)</w:t>
            </w:r>
          </w:p>
        </w:tc>
        <w:tc>
          <w:tcPr>
            <w:tcW w:w="1050" w:type="dxa"/>
          </w:tcPr>
          <w:p w14:paraId="639BE53D" w14:textId="77777777" w:rsidR="00FA4AA8" w:rsidRDefault="0015611F">
            <w:pPr>
              <w:pStyle w:val="TableParagraph"/>
              <w:spacing w:before="25"/>
              <w:ind w:right="104"/>
              <w:jc w:val="right"/>
              <w:rPr>
                <w:b/>
                <w:sz w:val="16"/>
              </w:rPr>
            </w:pPr>
            <w:r>
              <w:rPr>
                <w:b/>
                <w:sz w:val="16"/>
              </w:rPr>
              <w:t>-</w:t>
            </w:r>
          </w:p>
        </w:tc>
        <w:tc>
          <w:tcPr>
            <w:tcW w:w="1207" w:type="dxa"/>
          </w:tcPr>
          <w:p w14:paraId="6EB6464D" w14:textId="77777777" w:rsidR="00FA4AA8" w:rsidRDefault="0015611F">
            <w:pPr>
              <w:pStyle w:val="TableParagraph"/>
              <w:spacing w:before="25"/>
              <w:ind w:right="147"/>
              <w:jc w:val="right"/>
              <w:rPr>
                <w:b/>
                <w:sz w:val="16"/>
              </w:rPr>
            </w:pPr>
            <w:r>
              <w:rPr>
                <w:b/>
                <w:sz w:val="16"/>
              </w:rPr>
              <w:t>-</w:t>
            </w:r>
          </w:p>
        </w:tc>
        <w:tc>
          <w:tcPr>
            <w:tcW w:w="1083" w:type="dxa"/>
          </w:tcPr>
          <w:p w14:paraId="61B3DC73" w14:textId="77777777" w:rsidR="00FA4AA8" w:rsidRDefault="0015611F">
            <w:pPr>
              <w:pStyle w:val="TableParagraph"/>
              <w:spacing w:before="25"/>
              <w:ind w:right="95"/>
              <w:jc w:val="right"/>
              <w:rPr>
                <w:b/>
                <w:sz w:val="16"/>
              </w:rPr>
            </w:pPr>
            <w:r>
              <w:rPr>
                <w:b/>
                <w:sz w:val="16"/>
              </w:rPr>
              <w:t>-</w:t>
            </w:r>
          </w:p>
        </w:tc>
        <w:tc>
          <w:tcPr>
            <w:tcW w:w="1185" w:type="dxa"/>
          </w:tcPr>
          <w:p w14:paraId="4C1D17F2" w14:textId="77777777" w:rsidR="00FA4AA8" w:rsidRDefault="0015611F">
            <w:pPr>
              <w:pStyle w:val="TableParagraph"/>
              <w:spacing w:before="25"/>
              <w:ind w:right="147"/>
              <w:jc w:val="right"/>
              <w:rPr>
                <w:b/>
                <w:sz w:val="16"/>
              </w:rPr>
            </w:pPr>
            <w:r>
              <w:rPr>
                <w:b/>
                <w:sz w:val="16"/>
              </w:rPr>
              <w:t>-</w:t>
            </w:r>
          </w:p>
        </w:tc>
        <w:tc>
          <w:tcPr>
            <w:tcW w:w="1113" w:type="dxa"/>
          </w:tcPr>
          <w:p w14:paraId="132C7589" w14:textId="77777777" w:rsidR="00FA4AA8" w:rsidRDefault="0015611F">
            <w:pPr>
              <w:pStyle w:val="TableParagraph"/>
              <w:spacing w:before="25"/>
              <w:ind w:right="75"/>
              <w:jc w:val="right"/>
              <w:rPr>
                <w:sz w:val="16"/>
              </w:rPr>
            </w:pPr>
            <w:r>
              <w:rPr>
                <w:sz w:val="16"/>
              </w:rPr>
              <w:t>(677)</w:t>
            </w:r>
          </w:p>
        </w:tc>
        <w:tc>
          <w:tcPr>
            <w:tcW w:w="1215" w:type="dxa"/>
          </w:tcPr>
          <w:p w14:paraId="2BA5BB59" w14:textId="77777777" w:rsidR="00FA4AA8" w:rsidRDefault="0015611F">
            <w:pPr>
              <w:pStyle w:val="TableParagraph"/>
              <w:spacing w:before="25"/>
              <w:ind w:right="106"/>
              <w:jc w:val="right"/>
              <w:rPr>
                <w:sz w:val="16"/>
              </w:rPr>
            </w:pPr>
            <w:r>
              <w:rPr>
                <w:sz w:val="16"/>
              </w:rPr>
              <w:t>(7,202)</w:t>
            </w:r>
          </w:p>
        </w:tc>
        <w:tc>
          <w:tcPr>
            <w:tcW w:w="1177" w:type="dxa"/>
          </w:tcPr>
          <w:p w14:paraId="1011101D" w14:textId="77777777" w:rsidR="00FA4AA8" w:rsidRDefault="0015611F">
            <w:pPr>
              <w:pStyle w:val="TableParagraph"/>
              <w:spacing w:before="25"/>
              <w:ind w:right="151"/>
              <w:jc w:val="right"/>
              <w:rPr>
                <w:sz w:val="16"/>
              </w:rPr>
            </w:pPr>
            <w:r>
              <w:rPr>
                <w:sz w:val="16"/>
              </w:rPr>
              <w:t>(45)</w:t>
            </w:r>
          </w:p>
        </w:tc>
        <w:tc>
          <w:tcPr>
            <w:tcW w:w="1160" w:type="dxa"/>
          </w:tcPr>
          <w:p w14:paraId="79A3E6A6" w14:textId="77777777" w:rsidR="00FA4AA8" w:rsidRDefault="0015611F">
            <w:pPr>
              <w:pStyle w:val="TableParagraph"/>
              <w:spacing w:before="25"/>
              <w:ind w:right="178"/>
              <w:jc w:val="right"/>
              <w:rPr>
                <w:sz w:val="16"/>
              </w:rPr>
            </w:pPr>
            <w:r>
              <w:rPr>
                <w:sz w:val="16"/>
              </w:rPr>
              <w:t>(3)</w:t>
            </w:r>
          </w:p>
        </w:tc>
        <w:tc>
          <w:tcPr>
            <w:tcW w:w="973" w:type="dxa"/>
          </w:tcPr>
          <w:p w14:paraId="1FD45E66" w14:textId="77777777" w:rsidR="00FA4AA8" w:rsidRDefault="0015611F">
            <w:pPr>
              <w:pStyle w:val="TableParagraph"/>
              <w:spacing w:before="25"/>
              <w:ind w:right="18"/>
              <w:jc w:val="right"/>
              <w:rPr>
                <w:sz w:val="16"/>
              </w:rPr>
            </w:pPr>
            <w:r>
              <w:rPr>
                <w:sz w:val="16"/>
              </w:rPr>
              <w:t>(29,337)</w:t>
            </w:r>
          </w:p>
        </w:tc>
      </w:tr>
      <w:tr w:rsidR="00FA4AA8" w14:paraId="2620D286" w14:textId="77777777">
        <w:trPr>
          <w:trHeight w:val="242"/>
        </w:trPr>
        <w:tc>
          <w:tcPr>
            <w:tcW w:w="349" w:type="dxa"/>
          </w:tcPr>
          <w:p w14:paraId="09105C75" w14:textId="77777777" w:rsidR="00FA4AA8" w:rsidRDefault="00FA4AA8">
            <w:pPr>
              <w:pStyle w:val="TableParagraph"/>
              <w:rPr>
                <w:rFonts w:ascii="Times New Roman"/>
                <w:sz w:val="16"/>
              </w:rPr>
            </w:pPr>
          </w:p>
        </w:tc>
        <w:tc>
          <w:tcPr>
            <w:tcW w:w="4374" w:type="dxa"/>
          </w:tcPr>
          <w:p w14:paraId="53B7988B" w14:textId="77777777" w:rsidR="00FA4AA8" w:rsidRDefault="0015611F">
            <w:pPr>
              <w:pStyle w:val="TableParagraph"/>
              <w:tabs>
                <w:tab w:val="left" w:pos="4131"/>
              </w:tabs>
              <w:spacing w:before="28"/>
              <w:ind w:left="135"/>
              <w:rPr>
                <w:b/>
                <w:sz w:val="16"/>
              </w:rPr>
            </w:pPr>
            <w:r>
              <w:rPr>
                <w:sz w:val="16"/>
              </w:rPr>
              <w:t>Depreciation</w:t>
            </w:r>
            <w:r>
              <w:rPr>
                <w:spacing w:val="-4"/>
                <w:sz w:val="16"/>
              </w:rPr>
              <w:t xml:space="preserve"> </w:t>
            </w:r>
            <w:r>
              <w:rPr>
                <w:sz w:val="16"/>
              </w:rPr>
              <w:t>Charge</w:t>
            </w:r>
            <w:r>
              <w:rPr>
                <w:sz w:val="16"/>
              </w:rPr>
              <w:tab/>
            </w:r>
            <w:r>
              <w:rPr>
                <w:b/>
                <w:sz w:val="16"/>
              </w:rPr>
              <w:t>-</w:t>
            </w:r>
          </w:p>
        </w:tc>
        <w:tc>
          <w:tcPr>
            <w:tcW w:w="1050" w:type="dxa"/>
          </w:tcPr>
          <w:p w14:paraId="4563F47F" w14:textId="77777777" w:rsidR="00FA4AA8" w:rsidRDefault="0015611F">
            <w:pPr>
              <w:pStyle w:val="TableParagraph"/>
              <w:spacing w:before="25"/>
              <w:ind w:right="104"/>
              <w:jc w:val="right"/>
              <w:rPr>
                <w:b/>
                <w:sz w:val="16"/>
              </w:rPr>
            </w:pPr>
            <w:r>
              <w:rPr>
                <w:b/>
                <w:sz w:val="16"/>
              </w:rPr>
              <w:t>-</w:t>
            </w:r>
          </w:p>
        </w:tc>
        <w:tc>
          <w:tcPr>
            <w:tcW w:w="1207" w:type="dxa"/>
          </w:tcPr>
          <w:p w14:paraId="26A78A79" w14:textId="77777777" w:rsidR="00FA4AA8" w:rsidRDefault="0015611F">
            <w:pPr>
              <w:pStyle w:val="TableParagraph"/>
              <w:spacing w:before="25"/>
              <w:ind w:right="147"/>
              <w:jc w:val="right"/>
              <w:rPr>
                <w:b/>
                <w:sz w:val="16"/>
              </w:rPr>
            </w:pPr>
            <w:r>
              <w:rPr>
                <w:b/>
                <w:sz w:val="16"/>
              </w:rPr>
              <w:t>-</w:t>
            </w:r>
          </w:p>
        </w:tc>
        <w:tc>
          <w:tcPr>
            <w:tcW w:w="1083" w:type="dxa"/>
          </w:tcPr>
          <w:p w14:paraId="047811BD" w14:textId="77777777" w:rsidR="00FA4AA8" w:rsidRDefault="0015611F">
            <w:pPr>
              <w:pStyle w:val="TableParagraph"/>
              <w:spacing w:before="25"/>
              <w:ind w:right="42"/>
              <w:jc w:val="right"/>
              <w:rPr>
                <w:sz w:val="16"/>
              </w:rPr>
            </w:pPr>
            <w:r>
              <w:rPr>
                <w:sz w:val="16"/>
              </w:rPr>
              <w:t>(25,445)</w:t>
            </w:r>
          </w:p>
        </w:tc>
        <w:tc>
          <w:tcPr>
            <w:tcW w:w="1185" w:type="dxa"/>
          </w:tcPr>
          <w:p w14:paraId="0D4D219B" w14:textId="77777777" w:rsidR="00FA4AA8" w:rsidRDefault="0015611F">
            <w:pPr>
              <w:pStyle w:val="TableParagraph"/>
              <w:spacing w:before="25"/>
              <w:ind w:right="94"/>
              <w:jc w:val="right"/>
              <w:rPr>
                <w:sz w:val="16"/>
              </w:rPr>
            </w:pPr>
            <w:r>
              <w:rPr>
                <w:sz w:val="16"/>
              </w:rPr>
              <w:t>(3,629)</w:t>
            </w:r>
          </w:p>
        </w:tc>
        <w:tc>
          <w:tcPr>
            <w:tcW w:w="1113" w:type="dxa"/>
          </w:tcPr>
          <w:p w14:paraId="630EF5A6" w14:textId="77777777" w:rsidR="00FA4AA8" w:rsidRDefault="0015611F">
            <w:pPr>
              <w:pStyle w:val="TableParagraph"/>
              <w:spacing w:before="25"/>
              <w:ind w:right="75"/>
              <w:jc w:val="right"/>
              <w:rPr>
                <w:sz w:val="16"/>
              </w:rPr>
            </w:pPr>
            <w:r>
              <w:rPr>
                <w:sz w:val="16"/>
              </w:rPr>
              <w:t>(11,912)</w:t>
            </w:r>
          </w:p>
        </w:tc>
        <w:tc>
          <w:tcPr>
            <w:tcW w:w="1215" w:type="dxa"/>
          </w:tcPr>
          <w:p w14:paraId="4FF2BFF0" w14:textId="77777777" w:rsidR="00FA4AA8" w:rsidRDefault="0015611F">
            <w:pPr>
              <w:pStyle w:val="TableParagraph"/>
              <w:spacing w:before="25"/>
              <w:ind w:right="106"/>
              <w:jc w:val="right"/>
              <w:rPr>
                <w:sz w:val="16"/>
              </w:rPr>
            </w:pPr>
            <w:r>
              <w:rPr>
                <w:sz w:val="16"/>
              </w:rPr>
              <w:t>(5,725)</w:t>
            </w:r>
          </w:p>
        </w:tc>
        <w:tc>
          <w:tcPr>
            <w:tcW w:w="1177" w:type="dxa"/>
          </w:tcPr>
          <w:p w14:paraId="2EBA43D6" w14:textId="77777777" w:rsidR="00FA4AA8" w:rsidRDefault="0015611F">
            <w:pPr>
              <w:pStyle w:val="TableParagraph"/>
              <w:spacing w:before="25"/>
              <w:ind w:right="150"/>
              <w:jc w:val="right"/>
              <w:rPr>
                <w:sz w:val="16"/>
              </w:rPr>
            </w:pPr>
            <w:r>
              <w:rPr>
                <w:sz w:val="16"/>
              </w:rPr>
              <w:t>(2,171)</w:t>
            </w:r>
          </w:p>
        </w:tc>
        <w:tc>
          <w:tcPr>
            <w:tcW w:w="1160" w:type="dxa"/>
          </w:tcPr>
          <w:p w14:paraId="3AC946ED" w14:textId="77777777" w:rsidR="00FA4AA8" w:rsidRDefault="0015611F">
            <w:pPr>
              <w:pStyle w:val="TableParagraph"/>
              <w:spacing w:before="25"/>
              <w:ind w:right="230"/>
              <w:jc w:val="right"/>
              <w:rPr>
                <w:b/>
                <w:sz w:val="16"/>
              </w:rPr>
            </w:pPr>
            <w:r>
              <w:rPr>
                <w:b/>
                <w:sz w:val="16"/>
              </w:rPr>
              <w:t>-</w:t>
            </w:r>
          </w:p>
        </w:tc>
        <w:tc>
          <w:tcPr>
            <w:tcW w:w="973" w:type="dxa"/>
          </w:tcPr>
          <w:p w14:paraId="56B2D84C" w14:textId="77777777" w:rsidR="00FA4AA8" w:rsidRDefault="0015611F">
            <w:pPr>
              <w:pStyle w:val="TableParagraph"/>
              <w:spacing w:before="25"/>
              <w:ind w:right="18"/>
              <w:jc w:val="right"/>
              <w:rPr>
                <w:sz w:val="16"/>
              </w:rPr>
            </w:pPr>
            <w:r>
              <w:rPr>
                <w:sz w:val="16"/>
              </w:rPr>
              <w:t>(48,882)</w:t>
            </w:r>
          </w:p>
        </w:tc>
      </w:tr>
      <w:tr w:rsidR="00FA4AA8" w14:paraId="20354134" w14:textId="77777777">
        <w:trPr>
          <w:trHeight w:val="241"/>
        </w:trPr>
        <w:tc>
          <w:tcPr>
            <w:tcW w:w="349" w:type="dxa"/>
          </w:tcPr>
          <w:p w14:paraId="54391C45" w14:textId="77777777" w:rsidR="00FA4AA8" w:rsidRDefault="00FA4AA8">
            <w:pPr>
              <w:pStyle w:val="TableParagraph"/>
              <w:rPr>
                <w:rFonts w:ascii="Times New Roman"/>
                <w:sz w:val="16"/>
              </w:rPr>
            </w:pPr>
          </w:p>
        </w:tc>
        <w:tc>
          <w:tcPr>
            <w:tcW w:w="4374" w:type="dxa"/>
          </w:tcPr>
          <w:p w14:paraId="2DFE68BF" w14:textId="77777777" w:rsidR="00FA4AA8" w:rsidRDefault="0015611F">
            <w:pPr>
              <w:pStyle w:val="TableParagraph"/>
              <w:tabs>
                <w:tab w:val="left" w:pos="4131"/>
              </w:tabs>
              <w:spacing w:before="28"/>
              <w:ind w:left="135"/>
              <w:rPr>
                <w:b/>
                <w:sz w:val="16"/>
              </w:rPr>
            </w:pPr>
            <w:r>
              <w:rPr>
                <w:sz w:val="16"/>
              </w:rPr>
              <w:t>Non-Cash</w:t>
            </w:r>
            <w:r>
              <w:rPr>
                <w:spacing w:val="2"/>
                <w:sz w:val="16"/>
              </w:rPr>
              <w:t xml:space="preserve"> </w:t>
            </w:r>
            <w:r>
              <w:rPr>
                <w:sz w:val="16"/>
              </w:rPr>
              <w:t>Adjustments</w:t>
            </w:r>
            <w:r>
              <w:rPr>
                <w:sz w:val="16"/>
              </w:rPr>
              <w:tab/>
            </w:r>
            <w:r>
              <w:rPr>
                <w:b/>
                <w:sz w:val="16"/>
              </w:rPr>
              <w:t>-</w:t>
            </w:r>
          </w:p>
        </w:tc>
        <w:tc>
          <w:tcPr>
            <w:tcW w:w="1050" w:type="dxa"/>
          </w:tcPr>
          <w:p w14:paraId="14052D86" w14:textId="77777777" w:rsidR="00FA4AA8" w:rsidRDefault="0015611F">
            <w:pPr>
              <w:pStyle w:val="TableParagraph"/>
              <w:spacing w:before="25"/>
              <w:ind w:right="104"/>
              <w:jc w:val="right"/>
              <w:rPr>
                <w:b/>
                <w:sz w:val="16"/>
              </w:rPr>
            </w:pPr>
            <w:r>
              <w:rPr>
                <w:b/>
                <w:sz w:val="16"/>
              </w:rPr>
              <w:t>-</w:t>
            </w:r>
          </w:p>
        </w:tc>
        <w:tc>
          <w:tcPr>
            <w:tcW w:w="1207" w:type="dxa"/>
          </w:tcPr>
          <w:p w14:paraId="25B021C2" w14:textId="77777777" w:rsidR="00FA4AA8" w:rsidRDefault="0015611F">
            <w:pPr>
              <w:pStyle w:val="TableParagraph"/>
              <w:spacing w:before="25"/>
              <w:ind w:right="147"/>
              <w:jc w:val="right"/>
              <w:rPr>
                <w:b/>
                <w:sz w:val="16"/>
              </w:rPr>
            </w:pPr>
            <w:r>
              <w:rPr>
                <w:b/>
                <w:sz w:val="16"/>
              </w:rPr>
              <w:t>-</w:t>
            </w:r>
          </w:p>
        </w:tc>
        <w:tc>
          <w:tcPr>
            <w:tcW w:w="1083" w:type="dxa"/>
          </w:tcPr>
          <w:p w14:paraId="710BCC2A" w14:textId="77777777" w:rsidR="00FA4AA8" w:rsidRDefault="0015611F">
            <w:pPr>
              <w:pStyle w:val="TableParagraph"/>
              <w:spacing w:before="25"/>
              <w:ind w:right="95"/>
              <w:jc w:val="right"/>
              <w:rPr>
                <w:b/>
                <w:sz w:val="16"/>
              </w:rPr>
            </w:pPr>
            <w:r>
              <w:rPr>
                <w:b/>
                <w:sz w:val="16"/>
              </w:rPr>
              <w:t>-</w:t>
            </w:r>
          </w:p>
        </w:tc>
        <w:tc>
          <w:tcPr>
            <w:tcW w:w="1185" w:type="dxa"/>
          </w:tcPr>
          <w:p w14:paraId="6CA46C67" w14:textId="77777777" w:rsidR="00FA4AA8" w:rsidRDefault="0015611F">
            <w:pPr>
              <w:pStyle w:val="TableParagraph"/>
              <w:spacing w:before="25"/>
              <w:ind w:right="148"/>
              <w:jc w:val="right"/>
              <w:rPr>
                <w:sz w:val="16"/>
              </w:rPr>
            </w:pPr>
            <w:r>
              <w:rPr>
                <w:sz w:val="16"/>
              </w:rPr>
              <w:t>10</w:t>
            </w:r>
          </w:p>
        </w:tc>
        <w:tc>
          <w:tcPr>
            <w:tcW w:w="1113" w:type="dxa"/>
          </w:tcPr>
          <w:p w14:paraId="7ADFA313" w14:textId="77777777" w:rsidR="00FA4AA8" w:rsidRDefault="0015611F">
            <w:pPr>
              <w:pStyle w:val="TableParagraph"/>
              <w:spacing w:before="25"/>
              <w:ind w:right="75"/>
              <w:jc w:val="right"/>
              <w:rPr>
                <w:sz w:val="16"/>
              </w:rPr>
            </w:pPr>
            <w:r>
              <w:rPr>
                <w:sz w:val="16"/>
              </w:rPr>
              <w:t>(10)</w:t>
            </w:r>
          </w:p>
        </w:tc>
        <w:tc>
          <w:tcPr>
            <w:tcW w:w="1215" w:type="dxa"/>
          </w:tcPr>
          <w:p w14:paraId="70801340" w14:textId="77777777" w:rsidR="00FA4AA8" w:rsidRDefault="0015611F">
            <w:pPr>
              <w:pStyle w:val="TableParagraph"/>
              <w:spacing w:before="25"/>
              <w:ind w:right="159"/>
              <w:jc w:val="right"/>
              <w:rPr>
                <w:b/>
                <w:sz w:val="16"/>
              </w:rPr>
            </w:pPr>
            <w:r>
              <w:rPr>
                <w:b/>
                <w:sz w:val="16"/>
              </w:rPr>
              <w:t>-</w:t>
            </w:r>
          </w:p>
        </w:tc>
        <w:tc>
          <w:tcPr>
            <w:tcW w:w="1177" w:type="dxa"/>
          </w:tcPr>
          <w:p w14:paraId="7C6F681F" w14:textId="77777777" w:rsidR="00FA4AA8" w:rsidRDefault="0015611F">
            <w:pPr>
              <w:pStyle w:val="TableParagraph"/>
              <w:spacing w:before="25"/>
              <w:ind w:right="203"/>
              <w:jc w:val="right"/>
              <w:rPr>
                <w:b/>
                <w:sz w:val="16"/>
              </w:rPr>
            </w:pPr>
            <w:r>
              <w:rPr>
                <w:b/>
                <w:sz w:val="16"/>
              </w:rPr>
              <w:t>-</w:t>
            </w:r>
          </w:p>
        </w:tc>
        <w:tc>
          <w:tcPr>
            <w:tcW w:w="1160" w:type="dxa"/>
          </w:tcPr>
          <w:p w14:paraId="58FA606D" w14:textId="77777777" w:rsidR="00FA4AA8" w:rsidRDefault="0015611F">
            <w:pPr>
              <w:pStyle w:val="TableParagraph"/>
              <w:spacing w:before="25"/>
              <w:ind w:right="230"/>
              <w:jc w:val="right"/>
              <w:rPr>
                <w:b/>
                <w:sz w:val="16"/>
              </w:rPr>
            </w:pPr>
            <w:r>
              <w:rPr>
                <w:b/>
                <w:sz w:val="16"/>
              </w:rPr>
              <w:t>-</w:t>
            </w:r>
          </w:p>
        </w:tc>
        <w:tc>
          <w:tcPr>
            <w:tcW w:w="973" w:type="dxa"/>
          </w:tcPr>
          <w:p w14:paraId="1852167C" w14:textId="77777777" w:rsidR="00FA4AA8" w:rsidRDefault="0015611F">
            <w:pPr>
              <w:pStyle w:val="TableParagraph"/>
              <w:spacing w:before="25"/>
              <w:ind w:right="70"/>
              <w:jc w:val="right"/>
              <w:rPr>
                <w:b/>
                <w:sz w:val="16"/>
              </w:rPr>
            </w:pPr>
            <w:r>
              <w:rPr>
                <w:b/>
                <w:sz w:val="16"/>
              </w:rPr>
              <w:t>-</w:t>
            </w:r>
          </w:p>
        </w:tc>
      </w:tr>
      <w:tr w:rsidR="00FA4AA8" w14:paraId="628BA8E8" w14:textId="77777777">
        <w:trPr>
          <w:trHeight w:val="423"/>
        </w:trPr>
        <w:tc>
          <w:tcPr>
            <w:tcW w:w="349" w:type="dxa"/>
          </w:tcPr>
          <w:p w14:paraId="36133D89" w14:textId="77777777" w:rsidR="00FA4AA8" w:rsidRDefault="00FA4AA8">
            <w:pPr>
              <w:pStyle w:val="TableParagraph"/>
              <w:rPr>
                <w:rFonts w:ascii="Times New Roman"/>
                <w:sz w:val="16"/>
              </w:rPr>
            </w:pPr>
          </w:p>
        </w:tc>
        <w:tc>
          <w:tcPr>
            <w:tcW w:w="4374" w:type="dxa"/>
          </w:tcPr>
          <w:p w14:paraId="1B2C7BDA" w14:textId="77777777" w:rsidR="00FA4AA8" w:rsidRDefault="0015611F">
            <w:pPr>
              <w:pStyle w:val="TableParagraph"/>
              <w:spacing w:before="24"/>
              <w:ind w:left="135"/>
              <w:rPr>
                <w:sz w:val="16"/>
              </w:rPr>
            </w:pPr>
            <w:r>
              <w:rPr>
                <w:sz w:val="16"/>
              </w:rPr>
              <w:t>Transfers to Freehold Buildings and</w:t>
            </w:r>
          </w:p>
          <w:p w14:paraId="14980DD3" w14:textId="77777777" w:rsidR="00FA4AA8" w:rsidRDefault="0015611F">
            <w:pPr>
              <w:pStyle w:val="TableParagraph"/>
              <w:tabs>
                <w:tab w:val="left" w:pos="3641"/>
              </w:tabs>
              <w:spacing w:before="1"/>
              <w:ind w:left="135"/>
              <w:rPr>
                <w:sz w:val="16"/>
              </w:rPr>
            </w:pPr>
            <w:r>
              <w:rPr>
                <w:sz w:val="16"/>
              </w:rPr>
              <w:t>Plant</w:t>
            </w:r>
            <w:r>
              <w:rPr>
                <w:spacing w:val="1"/>
                <w:sz w:val="16"/>
              </w:rPr>
              <w:t xml:space="preserve"> </w:t>
            </w:r>
            <w:r>
              <w:rPr>
                <w:sz w:val="16"/>
              </w:rPr>
              <w:t>&amp;</w:t>
            </w:r>
            <w:r>
              <w:rPr>
                <w:spacing w:val="2"/>
                <w:sz w:val="16"/>
              </w:rPr>
              <w:t xml:space="preserve"> </w:t>
            </w:r>
            <w:r>
              <w:rPr>
                <w:sz w:val="16"/>
              </w:rPr>
              <w:t>Equipment</w:t>
            </w:r>
            <w:r>
              <w:rPr>
                <w:sz w:val="16"/>
              </w:rPr>
              <w:tab/>
              <w:t>(53,756)</w:t>
            </w:r>
          </w:p>
        </w:tc>
        <w:tc>
          <w:tcPr>
            <w:tcW w:w="1050" w:type="dxa"/>
          </w:tcPr>
          <w:p w14:paraId="285710E6" w14:textId="77777777" w:rsidR="00FA4AA8" w:rsidRDefault="00FA4AA8">
            <w:pPr>
              <w:pStyle w:val="TableParagraph"/>
              <w:spacing w:before="11"/>
              <w:rPr>
                <w:b/>
                <w:sz w:val="17"/>
              </w:rPr>
            </w:pPr>
          </w:p>
          <w:p w14:paraId="2F3018B4" w14:textId="77777777" w:rsidR="00FA4AA8" w:rsidRDefault="0015611F">
            <w:pPr>
              <w:pStyle w:val="TableParagraph"/>
              <w:ind w:right="104"/>
              <w:jc w:val="right"/>
              <w:rPr>
                <w:b/>
                <w:sz w:val="16"/>
              </w:rPr>
            </w:pPr>
            <w:r>
              <w:rPr>
                <w:b/>
                <w:sz w:val="16"/>
              </w:rPr>
              <w:t>-</w:t>
            </w:r>
          </w:p>
        </w:tc>
        <w:tc>
          <w:tcPr>
            <w:tcW w:w="1207" w:type="dxa"/>
          </w:tcPr>
          <w:p w14:paraId="6330805D" w14:textId="77777777" w:rsidR="00FA4AA8" w:rsidRDefault="00FA4AA8">
            <w:pPr>
              <w:pStyle w:val="TableParagraph"/>
              <w:spacing w:before="11"/>
              <w:rPr>
                <w:b/>
                <w:sz w:val="17"/>
              </w:rPr>
            </w:pPr>
          </w:p>
          <w:p w14:paraId="56B95ADB" w14:textId="77777777" w:rsidR="00FA4AA8" w:rsidRDefault="0015611F">
            <w:pPr>
              <w:pStyle w:val="TableParagraph"/>
              <w:ind w:right="147"/>
              <w:jc w:val="right"/>
              <w:rPr>
                <w:b/>
                <w:sz w:val="16"/>
              </w:rPr>
            </w:pPr>
            <w:r>
              <w:rPr>
                <w:b/>
                <w:sz w:val="16"/>
              </w:rPr>
              <w:t>-</w:t>
            </w:r>
          </w:p>
        </w:tc>
        <w:tc>
          <w:tcPr>
            <w:tcW w:w="1083" w:type="dxa"/>
          </w:tcPr>
          <w:p w14:paraId="1FDF730E" w14:textId="77777777" w:rsidR="00FA4AA8" w:rsidRDefault="00FA4AA8">
            <w:pPr>
              <w:pStyle w:val="TableParagraph"/>
              <w:spacing w:before="11"/>
              <w:rPr>
                <w:b/>
                <w:sz w:val="17"/>
              </w:rPr>
            </w:pPr>
          </w:p>
          <w:p w14:paraId="5A4D9E5A" w14:textId="77777777" w:rsidR="00FA4AA8" w:rsidRDefault="0015611F">
            <w:pPr>
              <w:pStyle w:val="TableParagraph"/>
              <w:ind w:right="95"/>
              <w:jc w:val="right"/>
              <w:rPr>
                <w:b/>
                <w:sz w:val="16"/>
              </w:rPr>
            </w:pPr>
            <w:r>
              <w:rPr>
                <w:b/>
                <w:sz w:val="16"/>
              </w:rPr>
              <w:t>-</w:t>
            </w:r>
          </w:p>
        </w:tc>
        <w:tc>
          <w:tcPr>
            <w:tcW w:w="1185" w:type="dxa"/>
          </w:tcPr>
          <w:p w14:paraId="6EC0BA5C" w14:textId="77777777" w:rsidR="00FA4AA8" w:rsidRDefault="00FA4AA8">
            <w:pPr>
              <w:pStyle w:val="TableParagraph"/>
              <w:spacing w:before="11"/>
              <w:rPr>
                <w:b/>
                <w:sz w:val="17"/>
              </w:rPr>
            </w:pPr>
          </w:p>
          <w:p w14:paraId="72BA4930" w14:textId="77777777" w:rsidR="00FA4AA8" w:rsidRDefault="0015611F">
            <w:pPr>
              <w:pStyle w:val="TableParagraph"/>
              <w:ind w:right="147"/>
              <w:jc w:val="right"/>
              <w:rPr>
                <w:b/>
                <w:sz w:val="16"/>
              </w:rPr>
            </w:pPr>
            <w:r>
              <w:rPr>
                <w:b/>
                <w:sz w:val="16"/>
              </w:rPr>
              <w:t>-</w:t>
            </w:r>
          </w:p>
        </w:tc>
        <w:tc>
          <w:tcPr>
            <w:tcW w:w="1113" w:type="dxa"/>
          </w:tcPr>
          <w:p w14:paraId="6F96BAAF" w14:textId="77777777" w:rsidR="00FA4AA8" w:rsidRDefault="00FA4AA8">
            <w:pPr>
              <w:pStyle w:val="TableParagraph"/>
              <w:spacing w:before="11"/>
              <w:rPr>
                <w:b/>
                <w:sz w:val="17"/>
              </w:rPr>
            </w:pPr>
          </w:p>
          <w:p w14:paraId="0484BC58" w14:textId="77777777" w:rsidR="00FA4AA8" w:rsidRDefault="0015611F">
            <w:pPr>
              <w:pStyle w:val="TableParagraph"/>
              <w:ind w:right="127"/>
              <w:jc w:val="right"/>
              <w:rPr>
                <w:b/>
                <w:sz w:val="16"/>
              </w:rPr>
            </w:pPr>
            <w:r>
              <w:rPr>
                <w:b/>
                <w:sz w:val="16"/>
              </w:rPr>
              <w:t>-</w:t>
            </w:r>
          </w:p>
        </w:tc>
        <w:tc>
          <w:tcPr>
            <w:tcW w:w="1215" w:type="dxa"/>
          </w:tcPr>
          <w:p w14:paraId="733A3DAE" w14:textId="77777777" w:rsidR="00FA4AA8" w:rsidRDefault="00FA4AA8">
            <w:pPr>
              <w:pStyle w:val="TableParagraph"/>
              <w:spacing w:before="11"/>
              <w:rPr>
                <w:b/>
                <w:sz w:val="17"/>
              </w:rPr>
            </w:pPr>
          </w:p>
          <w:p w14:paraId="1C5D2184" w14:textId="77777777" w:rsidR="00FA4AA8" w:rsidRDefault="0015611F">
            <w:pPr>
              <w:pStyle w:val="TableParagraph"/>
              <w:ind w:right="159"/>
              <w:jc w:val="right"/>
              <w:rPr>
                <w:b/>
                <w:sz w:val="16"/>
              </w:rPr>
            </w:pPr>
            <w:r>
              <w:rPr>
                <w:b/>
                <w:sz w:val="16"/>
              </w:rPr>
              <w:t>-</w:t>
            </w:r>
          </w:p>
        </w:tc>
        <w:tc>
          <w:tcPr>
            <w:tcW w:w="1177" w:type="dxa"/>
          </w:tcPr>
          <w:p w14:paraId="3BDB8E9C" w14:textId="77777777" w:rsidR="00FA4AA8" w:rsidRDefault="00FA4AA8">
            <w:pPr>
              <w:pStyle w:val="TableParagraph"/>
              <w:spacing w:before="11"/>
              <w:rPr>
                <w:b/>
                <w:sz w:val="17"/>
              </w:rPr>
            </w:pPr>
          </w:p>
          <w:p w14:paraId="70FABF5A" w14:textId="77777777" w:rsidR="00FA4AA8" w:rsidRDefault="0015611F">
            <w:pPr>
              <w:pStyle w:val="TableParagraph"/>
              <w:ind w:right="203"/>
              <w:jc w:val="right"/>
              <w:rPr>
                <w:b/>
                <w:sz w:val="16"/>
              </w:rPr>
            </w:pPr>
            <w:r>
              <w:rPr>
                <w:b/>
                <w:sz w:val="16"/>
              </w:rPr>
              <w:t>-</w:t>
            </w:r>
          </w:p>
        </w:tc>
        <w:tc>
          <w:tcPr>
            <w:tcW w:w="1160" w:type="dxa"/>
          </w:tcPr>
          <w:p w14:paraId="5E8BC0E0" w14:textId="77777777" w:rsidR="00FA4AA8" w:rsidRDefault="00FA4AA8">
            <w:pPr>
              <w:pStyle w:val="TableParagraph"/>
              <w:spacing w:before="11"/>
              <w:rPr>
                <w:b/>
                <w:sz w:val="17"/>
              </w:rPr>
            </w:pPr>
          </w:p>
          <w:p w14:paraId="327341D8" w14:textId="77777777" w:rsidR="00FA4AA8" w:rsidRDefault="0015611F">
            <w:pPr>
              <w:pStyle w:val="TableParagraph"/>
              <w:ind w:right="230"/>
              <w:jc w:val="right"/>
              <w:rPr>
                <w:b/>
                <w:sz w:val="16"/>
              </w:rPr>
            </w:pPr>
            <w:r>
              <w:rPr>
                <w:b/>
                <w:sz w:val="16"/>
              </w:rPr>
              <w:t>-</w:t>
            </w:r>
          </w:p>
        </w:tc>
        <w:tc>
          <w:tcPr>
            <w:tcW w:w="973" w:type="dxa"/>
          </w:tcPr>
          <w:p w14:paraId="0AB1C799" w14:textId="77777777" w:rsidR="00FA4AA8" w:rsidRDefault="00FA4AA8">
            <w:pPr>
              <w:pStyle w:val="TableParagraph"/>
              <w:spacing w:before="11"/>
              <w:rPr>
                <w:b/>
                <w:sz w:val="17"/>
              </w:rPr>
            </w:pPr>
          </w:p>
          <w:p w14:paraId="61430109" w14:textId="77777777" w:rsidR="00FA4AA8" w:rsidRDefault="0015611F">
            <w:pPr>
              <w:pStyle w:val="TableParagraph"/>
              <w:ind w:right="18"/>
              <w:jc w:val="right"/>
              <w:rPr>
                <w:sz w:val="16"/>
              </w:rPr>
            </w:pPr>
            <w:r>
              <w:rPr>
                <w:sz w:val="16"/>
              </w:rPr>
              <w:t>(53,756)</w:t>
            </w:r>
          </w:p>
        </w:tc>
      </w:tr>
      <w:tr w:rsidR="00FA4AA8" w14:paraId="72A5A714" w14:textId="77777777">
        <w:trPr>
          <w:trHeight w:val="236"/>
        </w:trPr>
        <w:tc>
          <w:tcPr>
            <w:tcW w:w="349" w:type="dxa"/>
          </w:tcPr>
          <w:p w14:paraId="22DBC90A" w14:textId="77777777" w:rsidR="00FA4AA8" w:rsidRDefault="00FA4AA8">
            <w:pPr>
              <w:pStyle w:val="TableParagraph"/>
              <w:rPr>
                <w:rFonts w:ascii="Times New Roman"/>
                <w:sz w:val="16"/>
              </w:rPr>
            </w:pPr>
          </w:p>
        </w:tc>
        <w:tc>
          <w:tcPr>
            <w:tcW w:w="4374" w:type="dxa"/>
            <w:tcBorders>
              <w:bottom w:val="single" w:sz="8" w:space="0" w:color="000000"/>
            </w:tcBorders>
          </w:tcPr>
          <w:p w14:paraId="64BC48AA" w14:textId="77777777" w:rsidR="00FA4AA8" w:rsidRDefault="0015611F">
            <w:pPr>
              <w:pStyle w:val="TableParagraph"/>
              <w:tabs>
                <w:tab w:val="left" w:pos="4131"/>
              </w:tabs>
              <w:spacing w:before="28"/>
              <w:ind w:left="135"/>
              <w:rPr>
                <w:b/>
                <w:sz w:val="16"/>
              </w:rPr>
            </w:pPr>
            <w:r>
              <w:rPr>
                <w:sz w:val="16"/>
              </w:rPr>
              <w:t>Transfers from Construction</w:t>
            </w:r>
            <w:r>
              <w:rPr>
                <w:spacing w:val="6"/>
                <w:sz w:val="16"/>
              </w:rPr>
              <w:t xml:space="preserve"> </w:t>
            </w:r>
            <w:r>
              <w:rPr>
                <w:sz w:val="16"/>
              </w:rPr>
              <w:t>in</w:t>
            </w:r>
            <w:r>
              <w:rPr>
                <w:spacing w:val="2"/>
                <w:sz w:val="16"/>
              </w:rPr>
              <w:t xml:space="preserve"> </w:t>
            </w:r>
            <w:r>
              <w:rPr>
                <w:sz w:val="16"/>
              </w:rPr>
              <w:t>Progress</w:t>
            </w:r>
            <w:r>
              <w:rPr>
                <w:sz w:val="16"/>
              </w:rPr>
              <w:tab/>
            </w:r>
            <w:r>
              <w:rPr>
                <w:b/>
                <w:sz w:val="16"/>
              </w:rPr>
              <w:t>-</w:t>
            </w:r>
          </w:p>
        </w:tc>
        <w:tc>
          <w:tcPr>
            <w:tcW w:w="1050" w:type="dxa"/>
            <w:tcBorders>
              <w:bottom w:val="single" w:sz="8" w:space="0" w:color="000000"/>
            </w:tcBorders>
          </w:tcPr>
          <w:p w14:paraId="263C9F44" w14:textId="77777777" w:rsidR="00FA4AA8" w:rsidRDefault="0015611F">
            <w:pPr>
              <w:pStyle w:val="TableParagraph"/>
              <w:spacing w:before="25"/>
              <w:ind w:right="104"/>
              <w:jc w:val="right"/>
              <w:rPr>
                <w:b/>
                <w:sz w:val="16"/>
              </w:rPr>
            </w:pPr>
            <w:r>
              <w:rPr>
                <w:b/>
                <w:sz w:val="16"/>
              </w:rPr>
              <w:t>-</w:t>
            </w:r>
          </w:p>
        </w:tc>
        <w:tc>
          <w:tcPr>
            <w:tcW w:w="1207" w:type="dxa"/>
            <w:tcBorders>
              <w:bottom w:val="single" w:sz="8" w:space="0" w:color="000000"/>
            </w:tcBorders>
          </w:tcPr>
          <w:p w14:paraId="7EB6B0B1" w14:textId="77777777" w:rsidR="00FA4AA8" w:rsidRDefault="0015611F">
            <w:pPr>
              <w:pStyle w:val="TableParagraph"/>
              <w:spacing w:before="25"/>
              <w:ind w:right="147"/>
              <w:jc w:val="right"/>
              <w:rPr>
                <w:b/>
                <w:sz w:val="16"/>
              </w:rPr>
            </w:pPr>
            <w:r>
              <w:rPr>
                <w:b/>
                <w:sz w:val="16"/>
              </w:rPr>
              <w:t>-</w:t>
            </w:r>
          </w:p>
        </w:tc>
        <w:tc>
          <w:tcPr>
            <w:tcW w:w="1083" w:type="dxa"/>
            <w:tcBorders>
              <w:bottom w:val="single" w:sz="8" w:space="0" w:color="000000"/>
            </w:tcBorders>
          </w:tcPr>
          <w:p w14:paraId="41A570F5" w14:textId="77777777" w:rsidR="00FA4AA8" w:rsidRDefault="0015611F">
            <w:pPr>
              <w:pStyle w:val="TableParagraph"/>
              <w:spacing w:before="25"/>
              <w:ind w:right="95"/>
              <w:jc w:val="right"/>
              <w:rPr>
                <w:sz w:val="16"/>
              </w:rPr>
            </w:pPr>
            <w:r>
              <w:rPr>
                <w:sz w:val="16"/>
              </w:rPr>
              <w:t>49,439</w:t>
            </w:r>
          </w:p>
        </w:tc>
        <w:tc>
          <w:tcPr>
            <w:tcW w:w="1185" w:type="dxa"/>
            <w:tcBorders>
              <w:bottom w:val="single" w:sz="8" w:space="0" w:color="000000"/>
            </w:tcBorders>
          </w:tcPr>
          <w:p w14:paraId="02EB4E2F" w14:textId="77777777" w:rsidR="00FA4AA8" w:rsidRDefault="0015611F">
            <w:pPr>
              <w:pStyle w:val="TableParagraph"/>
              <w:spacing w:before="25"/>
              <w:ind w:right="147"/>
              <w:jc w:val="right"/>
              <w:rPr>
                <w:sz w:val="16"/>
              </w:rPr>
            </w:pPr>
            <w:r>
              <w:rPr>
                <w:sz w:val="16"/>
              </w:rPr>
              <w:t>3,915</w:t>
            </w:r>
          </w:p>
        </w:tc>
        <w:tc>
          <w:tcPr>
            <w:tcW w:w="1113" w:type="dxa"/>
            <w:tcBorders>
              <w:bottom w:val="single" w:sz="8" w:space="0" w:color="000000"/>
            </w:tcBorders>
          </w:tcPr>
          <w:p w14:paraId="18231920" w14:textId="77777777" w:rsidR="00FA4AA8" w:rsidRDefault="0015611F">
            <w:pPr>
              <w:pStyle w:val="TableParagraph"/>
              <w:spacing w:before="25"/>
              <w:ind w:left="716"/>
              <w:rPr>
                <w:sz w:val="16"/>
              </w:rPr>
            </w:pPr>
            <w:r>
              <w:rPr>
                <w:sz w:val="16"/>
              </w:rPr>
              <w:t>215</w:t>
            </w:r>
          </w:p>
        </w:tc>
        <w:tc>
          <w:tcPr>
            <w:tcW w:w="1215" w:type="dxa"/>
            <w:tcBorders>
              <w:bottom w:val="single" w:sz="8" w:space="0" w:color="000000"/>
            </w:tcBorders>
          </w:tcPr>
          <w:p w14:paraId="15878F03" w14:textId="77777777" w:rsidR="00FA4AA8" w:rsidRDefault="0015611F">
            <w:pPr>
              <w:pStyle w:val="TableParagraph"/>
              <w:spacing w:before="25"/>
              <w:ind w:right="160"/>
              <w:jc w:val="right"/>
              <w:rPr>
                <w:sz w:val="16"/>
              </w:rPr>
            </w:pPr>
            <w:r>
              <w:rPr>
                <w:sz w:val="16"/>
              </w:rPr>
              <w:t>187</w:t>
            </w:r>
          </w:p>
        </w:tc>
        <w:tc>
          <w:tcPr>
            <w:tcW w:w="1177" w:type="dxa"/>
            <w:tcBorders>
              <w:bottom w:val="single" w:sz="8" w:space="0" w:color="000000"/>
            </w:tcBorders>
          </w:tcPr>
          <w:p w14:paraId="0C861AEB" w14:textId="77777777" w:rsidR="00FA4AA8" w:rsidRDefault="0015611F">
            <w:pPr>
              <w:pStyle w:val="TableParagraph"/>
              <w:spacing w:before="25"/>
              <w:ind w:right="203"/>
              <w:jc w:val="right"/>
              <w:rPr>
                <w:b/>
                <w:sz w:val="16"/>
              </w:rPr>
            </w:pPr>
            <w:r>
              <w:rPr>
                <w:b/>
                <w:sz w:val="16"/>
              </w:rPr>
              <w:t>-</w:t>
            </w:r>
          </w:p>
        </w:tc>
        <w:tc>
          <w:tcPr>
            <w:tcW w:w="1160" w:type="dxa"/>
            <w:tcBorders>
              <w:bottom w:val="single" w:sz="8" w:space="0" w:color="000000"/>
            </w:tcBorders>
          </w:tcPr>
          <w:p w14:paraId="0FC35F06" w14:textId="77777777" w:rsidR="00FA4AA8" w:rsidRDefault="0015611F">
            <w:pPr>
              <w:pStyle w:val="TableParagraph"/>
              <w:spacing w:before="25"/>
              <w:ind w:right="230"/>
              <w:jc w:val="right"/>
              <w:rPr>
                <w:b/>
                <w:sz w:val="16"/>
              </w:rPr>
            </w:pPr>
            <w:r>
              <w:rPr>
                <w:b/>
                <w:sz w:val="16"/>
              </w:rPr>
              <w:t>-</w:t>
            </w:r>
          </w:p>
        </w:tc>
        <w:tc>
          <w:tcPr>
            <w:tcW w:w="973" w:type="dxa"/>
            <w:tcBorders>
              <w:bottom w:val="single" w:sz="8" w:space="0" w:color="000000"/>
            </w:tcBorders>
          </w:tcPr>
          <w:p w14:paraId="55211EC1" w14:textId="77777777" w:rsidR="00FA4AA8" w:rsidRDefault="0015611F">
            <w:pPr>
              <w:pStyle w:val="TableParagraph"/>
              <w:spacing w:before="25"/>
              <w:ind w:right="71"/>
              <w:jc w:val="right"/>
              <w:rPr>
                <w:sz w:val="16"/>
              </w:rPr>
            </w:pPr>
            <w:r>
              <w:rPr>
                <w:sz w:val="16"/>
              </w:rPr>
              <w:t>53,756</w:t>
            </w:r>
          </w:p>
        </w:tc>
      </w:tr>
      <w:tr w:rsidR="00FA4AA8" w14:paraId="23BDEAB6" w14:textId="77777777">
        <w:trPr>
          <w:trHeight w:val="298"/>
        </w:trPr>
        <w:tc>
          <w:tcPr>
            <w:tcW w:w="349" w:type="dxa"/>
          </w:tcPr>
          <w:p w14:paraId="5807A9B8" w14:textId="77777777" w:rsidR="00FA4AA8" w:rsidRDefault="00FA4AA8">
            <w:pPr>
              <w:pStyle w:val="TableParagraph"/>
              <w:rPr>
                <w:rFonts w:ascii="Times New Roman"/>
                <w:sz w:val="16"/>
              </w:rPr>
            </w:pPr>
          </w:p>
        </w:tc>
        <w:tc>
          <w:tcPr>
            <w:tcW w:w="4374" w:type="dxa"/>
            <w:tcBorders>
              <w:top w:val="single" w:sz="8" w:space="0" w:color="000000"/>
              <w:bottom w:val="double" w:sz="2" w:space="0" w:color="000000"/>
            </w:tcBorders>
          </w:tcPr>
          <w:p w14:paraId="3906D0A2" w14:textId="77777777" w:rsidR="00FA4AA8" w:rsidRDefault="0015611F">
            <w:pPr>
              <w:pStyle w:val="TableParagraph"/>
              <w:tabs>
                <w:tab w:val="left" w:pos="3694"/>
              </w:tabs>
              <w:spacing w:before="114" w:line="164" w:lineRule="exact"/>
              <w:ind w:left="135"/>
              <w:rPr>
                <w:b/>
                <w:sz w:val="16"/>
              </w:rPr>
            </w:pPr>
            <w:r>
              <w:rPr>
                <w:b/>
                <w:sz w:val="16"/>
              </w:rPr>
              <w:t>Closing net</w:t>
            </w:r>
            <w:r>
              <w:rPr>
                <w:b/>
                <w:spacing w:val="3"/>
                <w:sz w:val="16"/>
              </w:rPr>
              <w:t xml:space="preserve"> </w:t>
            </w:r>
            <w:r>
              <w:rPr>
                <w:b/>
                <w:sz w:val="16"/>
              </w:rPr>
              <w:t>book</w:t>
            </w:r>
            <w:r>
              <w:rPr>
                <w:b/>
                <w:spacing w:val="2"/>
                <w:sz w:val="16"/>
              </w:rPr>
              <w:t xml:space="preserve"> </w:t>
            </w:r>
            <w:r>
              <w:rPr>
                <w:b/>
                <w:sz w:val="16"/>
              </w:rPr>
              <w:t>amount</w:t>
            </w:r>
            <w:r>
              <w:rPr>
                <w:b/>
                <w:sz w:val="16"/>
              </w:rPr>
              <w:tab/>
              <w:t>67,930</w:t>
            </w:r>
          </w:p>
        </w:tc>
        <w:tc>
          <w:tcPr>
            <w:tcW w:w="1050" w:type="dxa"/>
            <w:tcBorders>
              <w:top w:val="single" w:sz="8" w:space="0" w:color="000000"/>
              <w:bottom w:val="double" w:sz="2" w:space="0" w:color="000000"/>
            </w:tcBorders>
          </w:tcPr>
          <w:p w14:paraId="557EBA0E" w14:textId="77777777" w:rsidR="00FA4AA8" w:rsidRDefault="0015611F">
            <w:pPr>
              <w:pStyle w:val="TableParagraph"/>
              <w:spacing w:before="114" w:line="164" w:lineRule="exact"/>
              <w:ind w:right="104"/>
              <w:jc w:val="right"/>
              <w:rPr>
                <w:b/>
                <w:sz w:val="16"/>
              </w:rPr>
            </w:pPr>
            <w:r>
              <w:rPr>
                <w:b/>
                <w:sz w:val="16"/>
              </w:rPr>
              <w:t>340,010</w:t>
            </w:r>
          </w:p>
        </w:tc>
        <w:tc>
          <w:tcPr>
            <w:tcW w:w="1207" w:type="dxa"/>
            <w:tcBorders>
              <w:top w:val="single" w:sz="8" w:space="0" w:color="000000"/>
              <w:bottom w:val="double" w:sz="2" w:space="0" w:color="000000"/>
            </w:tcBorders>
          </w:tcPr>
          <w:p w14:paraId="79B497CE" w14:textId="77777777" w:rsidR="00FA4AA8" w:rsidRDefault="0015611F">
            <w:pPr>
              <w:pStyle w:val="TableParagraph"/>
              <w:spacing w:before="114" w:line="164" w:lineRule="exact"/>
              <w:ind w:right="147"/>
              <w:jc w:val="right"/>
              <w:rPr>
                <w:b/>
                <w:sz w:val="16"/>
              </w:rPr>
            </w:pPr>
            <w:r>
              <w:rPr>
                <w:b/>
                <w:sz w:val="16"/>
              </w:rPr>
              <w:t>233,990</w:t>
            </w:r>
          </w:p>
        </w:tc>
        <w:tc>
          <w:tcPr>
            <w:tcW w:w="1083" w:type="dxa"/>
            <w:tcBorders>
              <w:top w:val="single" w:sz="8" w:space="0" w:color="000000"/>
              <w:bottom w:val="double" w:sz="2" w:space="0" w:color="000000"/>
            </w:tcBorders>
          </w:tcPr>
          <w:p w14:paraId="2030A92F" w14:textId="77777777" w:rsidR="00FA4AA8" w:rsidRDefault="0015611F">
            <w:pPr>
              <w:pStyle w:val="TableParagraph"/>
              <w:spacing w:before="114" w:line="164" w:lineRule="exact"/>
              <w:ind w:right="95"/>
              <w:jc w:val="right"/>
              <w:rPr>
                <w:b/>
                <w:sz w:val="16"/>
              </w:rPr>
            </w:pPr>
            <w:r>
              <w:rPr>
                <w:b/>
                <w:sz w:val="16"/>
              </w:rPr>
              <w:t>1,127,751</w:t>
            </w:r>
          </w:p>
        </w:tc>
        <w:tc>
          <w:tcPr>
            <w:tcW w:w="1185" w:type="dxa"/>
            <w:tcBorders>
              <w:top w:val="single" w:sz="8" w:space="0" w:color="000000"/>
              <w:bottom w:val="double" w:sz="2" w:space="0" w:color="000000"/>
            </w:tcBorders>
          </w:tcPr>
          <w:p w14:paraId="05D7208F" w14:textId="77777777" w:rsidR="00FA4AA8" w:rsidRDefault="0015611F">
            <w:pPr>
              <w:pStyle w:val="TableParagraph"/>
              <w:spacing w:before="114" w:line="164" w:lineRule="exact"/>
              <w:ind w:right="147"/>
              <w:jc w:val="right"/>
              <w:rPr>
                <w:b/>
                <w:sz w:val="16"/>
              </w:rPr>
            </w:pPr>
            <w:r>
              <w:rPr>
                <w:b/>
                <w:sz w:val="16"/>
              </w:rPr>
              <w:t>116,497</w:t>
            </w:r>
          </w:p>
        </w:tc>
        <w:tc>
          <w:tcPr>
            <w:tcW w:w="1113" w:type="dxa"/>
            <w:tcBorders>
              <w:top w:val="single" w:sz="8" w:space="0" w:color="000000"/>
              <w:bottom w:val="double" w:sz="2" w:space="0" w:color="000000"/>
            </w:tcBorders>
          </w:tcPr>
          <w:p w14:paraId="2908AF12" w14:textId="77777777" w:rsidR="00FA4AA8" w:rsidRDefault="0015611F">
            <w:pPr>
              <w:pStyle w:val="TableParagraph"/>
              <w:spacing w:before="114" w:line="164" w:lineRule="exact"/>
              <w:ind w:left="493"/>
              <w:rPr>
                <w:b/>
                <w:sz w:val="16"/>
              </w:rPr>
            </w:pPr>
            <w:r>
              <w:rPr>
                <w:b/>
                <w:sz w:val="16"/>
              </w:rPr>
              <w:t>57,695</w:t>
            </w:r>
          </w:p>
        </w:tc>
        <w:tc>
          <w:tcPr>
            <w:tcW w:w="1215" w:type="dxa"/>
            <w:tcBorders>
              <w:top w:val="single" w:sz="8" w:space="0" w:color="000000"/>
              <w:bottom w:val="double" w:sz="2" w:space="0" w:color="000000"/>
            </w:tcBorders>
          </w:tcPr>
          <w:p w14:paraId="4D3103F4" w14:textId="77777777" w:rsidR="00FA4AA8" w:rsidRDefault="0015611F">
            <w:pPr>
              <w:pStyle w:val="TableParagraph"/>
              <w:spacing w:before="114" w:line="164" w:lineRule="exact"/>
              <w:ind w:right="159"/>
              <w:jc w:val="right"/>
              <w:rPr>
                <w:b/>
                <w:sz w:val="16"/>
              </w:rPr>
            </w:pPr>
            <w:r>
              <w:rPr>
                <w:b/>
                <w:sz w:val="16"/>
              </w:rPr>
              <w:t>48,649</w:t>
            </w:r>
          </w:p>
        </w:tc>
        <w:tc>
          <w:tcPr>
            <w:tcW w:w="1177" w:type="dxa"/>
            <w:tcBorders>
              <w:top w:val="single" w:sz="8" w:space="0" w:color="000000"/>
              <w:bottom w:val="double" w:sz="2" w:space="0" w:color="000000"/>
            </w:tcBorders>
          </w:tcPr>
          <w:p w14:paraId="6C718D3E" w14:textId="77777777" w:rsidR="00FA4AA8" w:rsidRDefault="0015611F">
            <w:pPr>
              <w:pStyle w:val="TableParagraph"/>
              <w:spacing w:before="114" w:line="164" w:lineRule="exact"/>
              <w:ind w:right="203"/>
              <w:jc w:val="right"/>
              <w:rPr>
                <w:b/>
                <w:sz w:val="16"/>
              </w:rPr>
            </w:pPr>
            <w:r>
              <w:rPr>
                <w:b/>
                <w:sz w:val="16"/>
              </w:rPr>
              <w:t>6,523</w:t>
            </w:r>
          </w:p>
        </w:tc>
        <w:tc>
          <w:tcPr>
            <w:tcW w:w="1160" w:type="dxa"/>
            <w:tcBorders>
              <w:top w:val="single" w:sz="8" w:space="0" w:color="000000"/>
              <w:bottom w:val="double" w:sz="2" w:space="0" w:color="000000"/>
            </w:tcBorders>
          </w:tcPr>
          <w:p w14:paraId="5B44690D" w14:textId="77777777" w:rsidR="00FA4AA8" w:rsidRDefault="0015611F">
            <w:pPr>
              <w:pStyle w:val="TableParagraph"/>
              <w:spacing w:before="114" w:line="164" w:lineRule="exact"/>
              <w:ind w:right="231"/>
              <w:jc w:val="right"/>
              <w:rPr>
                <w:b/>
                <w:sz w:val="16"/>
              </w:rPr>
            </w:pPr>
            <w:r>
              <w:rPr>
                <w:b/>
                <w:sz w:val="16"/>
              </w:rPr>
              <w:t>4,617</w:t>
            </w:r>
          </w:p>
        </w:tc>
        <w:tc>
          <w:tcPr>
            <w:tcW w:w="973" w:type="dxa"/>
            <w:tcBorders>
              <w:top w:val="single" w:sz="8" w:space="0" w:color="000000"/>
              <w:bottom w:val="double" w:sz="2" w:space="0" w:color="000000"/>
            </w:tcBorders>
          </w:tcPr>
          <w:p w14:paraId="6A7EF65B" w14:textId="77777777" w:rsidR="00FA4AA8" w:rsidRDefault="0015611F">
            <w:pPr>
              <w:pStyle w:val="TableParagraph"/>
              <w:spacing w:before="114" w:line="164" w:lineRule="exact"/>
              <w:ind w:right="71"/>
              <w:jc w:val="right"/>
              <w:rPr>
                <w:b/>
                <w:sz w:val="16"/>
              </w:rPr>
            </w:pPr>
            <w:r>
              <w:rPr>
                <w:b/>
                <w:sz w:val="16"/>
              </w:rPr>
              <w:t>2,003,662</w:t>
            </w:r>
          </w:p>
        </w:tc>
      </w:tr>
      <w:tr w:rsidR="00FA4AA8" w14:paraId="12F9E4CD" w14:textId="77777777">
        <w:trPr>
          <w:trHeight w:val="317"/>
        </w:trPr>
        <w:tc>
          <w:tcPr>
            <w:tcW w:w="349" w:type="dxa"/>
          </w:tcPr>
          <w:p w14:paraId="47E1FFF0" w14:textId="77777777" w:rsidR="00FA4AA8" w:rsidRDefault="00FA4AA8">
            <w:pPr>
              <w:pStyle w:val="TableParagraph"/>
              <w:rPr>
                <w:rFonts w:ascii="Times New Roman"/>
                <w:sz w:val="16"/>
              </w:rPr>
            </w:pPr>
          </w:p>
        </w:tc>
        <w:tc>
          <w:tcPr>
            <w:tcW w:w="4374" w:type="dxa"/>
            <w:tcBorders>
              <w:top w:val="double" w:sz="2" w:space="0" w:color="000000"/>
            </w:tcBorders>
          </w:tcPr>
          <w:p w14:paraId="44248064" w14:textId="77777777" w:rsidR="00FA4AA8" w:rsidRDefault="0015611F">
            <w:pPr>
              <w:pStyle w:val="TableParagraph"/>
              <w:spacing w:before="116" w:line="181" w:lineRule="exact"/>
              <w:ind w:left="135"/>
              <w:rPr>
                <w:b/>
                <w:sz w:val="16"/>
              </w:rPr>
            </w:pPr>
            <w:r>
              <w:rPr>
                <w:b/>
                <w:sz w:val="16"/>
              </w:rPr>
              <w:t>At 31 December 2018</w:t>
            </w:r>
          </w:p>
        </w:tc>
        <w:tc>
          <w:tcPr>
            <w:tcW w:w="1050" w:type="dxa"/>
            <w:tcBorders>
              <w:top w:val="double" w:sz="2" w:space="0" w:color="000000"/>
            </w:tcBorders>
          </w:tcPr>
          <w:p w14:paraId="475E4CE0" w14:textId="77777777" w:rsidR="00FA4AA8" w:rsidRDefault="00FA4AA8">
            <w:pPr>
              <w:pStyle w:val="TableParagraph"/>
              <w:rPr>
                <w:rFonts w:ascii="Times New Roman"/>
                <w:sz w:val="16"/>
              </w:rPr>
            </w:pPr>
          </w:p>
        </w:tc>
        <w:tc>
          <w:tcPr>
            <w:tcW w:w="1207" w:type="dxa"/>
            <w:tcBorders>
              <w:top w:val="double" w:sz="2" w:space="0" w:color="000000"/>
            </w:tcBorders>
          </w:tcPr>
          <w:p w14:paraId="07B81155" w14:textId="77777777" w:rsidR="00FA4AA8" w:rsidRDefault="00FA4AA8">
            <w:pPr>
              <w:pStyle w:val="TableParagraph"/>
              <w:rPr>
                <w:rFonts w:ascii="Times New Roman"/>
                <w:sz w:val="16"/>
              </w:rPr>
            </w:pPr>
          </w:p>
        </w:tc>
        <w:tc>
          <w:tcPr>
            <w:tcW w:w="1083" w:type="dxa"/>
            <w:tcBorders>
              <w:top w:val="double" w:sz="2" w:space="0" w:color="000000"/>
            </w:tcBorders>
          </w:tcPr>
          <w:p w14:paraId="3B7DA932" w14:textId="77777777" w:rsidR="00FA4AA8" w:rsidRDefault="00FA4AA8">
            <w:pPr>
              <w:pStyle w:val="TableParagraph"/>
              <w:rPr>
                <w:rFonts w:ascii="Times New Roman"/>
                <w:sz w:val="16"/>
              </w:rPr>
            </w:pPr>
          </w:p>
        </w:tc>
        <w:tc>
          <w:tcPr>
            <w:tcW w:w="1185" w:type="dxa"/>
            <w:tcBorders>
              <w:top w:val="double" w:sz="2" w:space="0" w:color="000000"/>
            </w:tcBorders>
          </w:tcPr>
          <w:p w14:paraId="5ED0A94C" w14:textId="77777777" w:rsidR="00FA4AA8" w:rsidRDefault="00FA4AA8">
            <w:pPr>
              <w:pStyle w:val="TableParagraph"/>
              <w:rPr>
                <w:rFonts w:ascii="Times New Roman"/>
                <w:sz w:val="16"/>
              </w:rPr>
            </w:pPr>
          </w:p>
        </w:tc>
        <w:tc>
          <w:tcPr>
            <w:tcW w:w="1113" w:type="dxa"/>
            <w:tcBorders>
              <w:top w:val="double" w:sz="2" w:space="0" w:color="000000"/>
            </w:tcBorders>
          </w:tcPr>
          <w:p w14:paraId="05FBA30D" w14:textId="77777777" w:rsidR="00FA4AA8" w:rsidRDefault="00FA4AA8">
            <w:pPr>
              <w:pStyle w:val="TableParagraph"/>
              <w:rPr>
                <w:rFonts w:ascii="Times New Roman"/>
                <w:sz w:val="16"/>
              </w:rPr>
            </w:pPr>
          </w:p>
        </w:tc>
        <w:tc>
          <w:tcPr>
            <w:tcW w:w="1215" w:type="dxa"/>
            <w:tcBorders>
              <w:top w:val="double" w:sz="2" w:space="0" w:color="000000"/>
            </w:tcBorders>
          </w:tcPr>
          <w:p w14:paraId="21AAE66B" w14:textId="77777777" w:rsidR="00FA4AA8" w:rsidRDefault="00FA4AA8">
            <w:pPr>
              <w:pStyle w:val="TableParagraph"/>
              <w:rPr>
                <w:rFonts w:ascii="Times New Roman"/>
                <w:sz w:val="16"/>
              </w:rPr>
            </w:pPr>
          </w:p>
        </w:tc>
        <w:tc>
          <w:tcPr>
            <w:tcW w:w="1177" w:type="dxa"/>
            <w:tcBorders>
              <w:top w:val="double" w:sz="2" w:space="0" w:color="000000"/>
            </w:tcBorders>
          </w:tcPr>
          <w:p w14:paraId="34564F4B" w14:textId="77777777" w:rsidR="00FA4AA8" w:rsidRDefault="00FA4AA8">
            <w:pPr>
              <w:pStyle w:val="TableParagraph"/>
              <w:rPr>
                <w:rFonts w:ascii="Times New Roman"/>
                <w:sz w:val="16"/>
              </w:rPr>
            </w:pPr>
          </w:p>
        </w:tc>
        <w:tc>
          <w:tcPr>
            <w:tcW w:w="1160" w:type="dxa"/>
            <w:tcBorders>
              <w:top w:val="double" w:sz="2" w:space="0" w:color="000000"/>
            </w:tcBorders>
          </w:tcPr>
          <w:p w14:paraId="6E2CC177" w14:textId="77777777" w:rsidR="00FA4AA8" w:rsidRDefault="00FA4AA8">
            <w:pPr>
              <w:pStyle w:val="TableParagraph"/>
              <w:rPr>
                <w:rFonts w:ascii="Times New Roman"/>
                <w:sz w:val="16"/>
              </w:rPr>
            </w:pPr>
          </w:p>
        </w:tc>
        <w:tc>
          <w:tcPr>
            <w:tcW w:w="973" w:type="dxa"/>
            <w:tcBorders>
              <w:top w:val="double" w:sz="2" w:space="0" w:color="000000"/>
            </w:tcBorders>
          </w:tcPr>
          <w:p w14:paraId="4606EE89" w14:textId="77777777" w:rsidR="00FA4AA8" w:rsidRDefault="00FA4AA8">
            <w:pPr>
              <w:pStyle w:val="TableParagraph"/>
              <w:rPr>
                <w:rFonts w:ascii="Times New Roman"/>
                <w:sz w:val="16"/>
              </w:rPr>
            </w:pPr>
          </w:p>
        </w:tc>
      </w:tr>
      <w:tr w:rsidR="00FA4AA8" w14:paraId="4260F5D0" w14:textId="77777777">
        <w:trPr>
          <w:trHeight w:val="229"/>
        </w:trPr>
        <w:tc>
          <w:tcPr>
            <w:tcW w:w="349" w:type="dxa"/>
          </w:tcPr>
          <w:p w14:paraId="17CB3696" w14:textId="77777777" w:rsidR="00FA4AA8" w:rsidRDefault="00FA4AA8">
            <w:pPr>
              <w:pStyle w:val="TableParagraph"/>
              <w:rPr>
                <w:rFonts w:ascii="Times New Roman"/>
                <w:sz w:val="16"/>
              </w:rPr>
            </w:pPr>
          </w:p>
        </w:tc>
        <w:tc>
          <w:tcPr>
            <w:tcW w:w="4374" w:type="dxa"/>
          </w:tcPr>
          <w:p w14:paraId="69F9CF1D" w14:textId="77777777" w:rsidR="00FA4AA8" w:rsidRDefault="0015611F">
            <w:pPr>
              <w:pStyle w:val="TableParagraph"/>
              <w:tabs>
                <w:tab w:val="left" w:pos="3694"/>
              </w:tabs>
              <w:spacing w:before="15"/>
              <w:ind w:left="135"/>
              <w:rPr>
                <w:sz w:val="16"/>
              </w:rPr>
            </w:pPr>
            <w:r>
              <w:rPr>
                <w:sz w:val="16"/>
              </w:rPr>
              <w:t>-</w:t>
            </w:r>
            <w:r>
              <w:rPr>
                <w:spacing w:val="-1"/>
                <w:sz w:val="16"/>
              </w:rPr>
              <w:t xml:space="preserve"> </w:t>
            </w:r>
            <w:r>
              <w:rPr>
                <w:sz w:val="16"/>
              </w:rPr>
              <w:t>Cost</w:t>
            </w:r>
            <w:r>
              <w:rPr>
                <w:sz w:val="16"/>
              </w:rPr>
              <w:tab/>
              <w:t>67,930</w:t>
            </w:r>
          </w:p>
        </w:tc>
        <w:tc>
          <w:tcPr>
            <w:tcW w:w="1050" w:type="dxa"/>
          </w:tcPr>
          <w:p w14:paraId="2F8B7556" w14:textId="77777777" w:rsidR="00FA4AA8" w:rsidRDefault="0015611F">
            <w:pPr>
              <w:pStyle w:val="TableParagraph"/>
              <w:spacing w:before="12"/>
              <w:ind w:right="104"/>
              <w:jc w:val="right"/>
              <w:rPr>
                <w:b/>
                <w:sz w:val="16"/>
              </w:rPr>
            </w:pPr>
            <w:r>
              <w:rPr>
                <w:b/>
                <w:sz w:val="16"/>
              </w:rPr>
              <w:t>-</w:t>
            </w:r>
          </w:p>
        </w:tc>
        <w:tc>
          <w:tcPr>
            <w:tcW w:w="1207" w:type="dxa"/>
          </w:tcPr>
          <w:p w14:paraId="14212A01" w14:textId="77777777" w:rsidR="00FA4AA8" w:rsidRDefault="0015611F">
            <w:pPr>
              <w:pStyle w:val="TableParagraph"/>
              <w:spacing w:before="12"/>
              <w:ind w:right="147"/>
              <w:jc w:val="right"/>
              <w:rPr>
                <w:b/>
                <w:sz w:val="16"/>
              </w:rPr>
            </w:pPr>
            <w:r>
              <w:rPr>
                <w:b/>
                <w:sz w:val="16"/>
              </w:rPr>
              <w:t>-</w:t>
            </w:r>
          </w:p>
        </w:tc>
        <w:tc>
          <w:tcPr>
            <w:tcW w:w="1083" w:type="dxa"/>
          </w:tcPr>
          <w:p w14:paraId="57551FF5" w14:textId="77777777" w:rsidR="00FA4AA8" w:rsidRDefault="0015611F">
            <w:pPr>
              <w:pStyle w:val="TableParagraph"/>
              <w:spacing w:before="12"/>
              <w:ind w:right="95"/>
              <w:jc w:val="right"/>
              <w:rPr>
                <w:sz w:val="16"/>
              </w:rPr>
            </w:pPr>
            <w:r>
              <w:rPr>
                <w:sz w:val="16"/>
              </w:rPr>
              <w:t>9,996</w:t>
            </w:r>
          </w:p>
        </w:tc>
        <w:tc>
          <w:tcPr>
            <w:tcW w:w="1185" w:type="dxa"/>
          </w:tcPr>
          <w:p w14:paraId="77B7F1A9" w14:textId="77777777" w:rsidR="00FA4AA8" w:rsidRDefault="0015611F">
            <w:pPr>
              <w:pStyle w:val="TableParagraph"/>
              <w:spacing w:before="12"/>
              <w:ind w:right="147"/>
              <w:jc w:val="right"/>
              <w:rPr>
                <w:b/>
                <w:sz w:val="16"/>
              </w:rPr>
            </w:pPr>
            <w:r>
              <w:rPr>
                <w:b/>
                <w:sz w:val="16"/>
              </w:rPr>
              <w:t>-</w:t>
            </w:r>
          </w:p>
        </w:tc>
        <w:tc>
          <w:tcPr>
            <w:tcW w:w="1113" w:type="dxa"/>
          </w:tcPr>
          <w:p w14:paraId="66BEE3AB" w14:textId="77777777" w:rsidR="00FA4AA8" w:rsidRDefault="0015611F">
            <w:pPr>
              <w:pStyle w:val="TableParagraph"/>
              <w:spacing w:before="12"/>
              <w:ind w:left="404"/>
              <w:rPr>
                <w:sz w:val="16"/>
              </w:rPr>
            </w:pPr>
            <w:r>
              <w:rPr>
                <w:sz w:val="16"/>
              </w:rPr>
              <w:t>143,017</w:t>
            </w:r>
          </w:p>
        </w:tc>
        <w:tc>
          <w:tcPr>
            <w:tcW w:w="1215" w:type="dxa"/>
          </w:tcPr>
          <w:p w14:paraId="4430F9F4" w14:textId="77777777" w:rsidR="00FA4AA8" w:rsidRDefault="0015611F">
            <w:pPr>
              <w:pStyle w:val="TableParagraph"/>
              <w:spacing w:before="12"/>
              <w:ind w:right="159"/>
              <w:jc w:val="right"/>
              <w:rPr>
                <w:sz w:val="16"/>
              </w:rPr>
            </w:pPr>
            <w:r>
              <w:rPr>
                <w:sz w:val="16"/>
              </w:rPr>
              <w:t>64,567</w:t>
            </w:r>
          </w:p>
        </w:tc>
        <w:tc>
          <w:tcPr>
            <w:tcW w:w="1177" w:type="dxa"/>
          </w:tcPr>
          <w:p w14:paraId="25F1CF86" w14:textId="77777777" w:rsidR="00FA4AA8" w:rsidRDefault="0015611F">
            <w:pPr>
              <w:pStyle w:val="TableParagraph"/>
              <w:spacing w:before="12"/>
              <w:ind w:right="203"/>
              <w:jc w:val="right"/>
              <w:rPr>
                <w:sz w:val="16"/>
              </w:rPr>
            </w:pPr>
            <w:r>
              <w:rPr>
                <w:sz w:val="16"/>
              </w:rPr>
              <w:t>78,739</w:t>
            </w:r>
          </w:p>
        </w:tc>
        <w:tc>
          <w:tcPr>
            <w:tcW w:w="1160" w:type="dxa"/>
          </w:tcPr>
          <w:p w14:paraId="48B2FEE7" w14:textId="77777777" w:rsidR="00FA4AA8" w:rsidRDefault="0015611F">
            <w:pPr>
              <w:pStyle w:val="TableParagraph"/>
              <w:spacing w:before="12"/>
              <w:ind w:right="230"/>
              <w:jc w:val="right"/>
              <w:rPr>
                <w:b/>
                <w:sz w:val="16"/>
              </w:rPr>
            </w:pPr>
            <w:r>
              <w:rPr>
                <w:b/>
                <w:sz w:val="16"/>
              </w:rPr>
              <w:t>-</w:t>
            </w:r>
          </w:p>
        </w:tc>
        <w:tc>
          <w:tcPr>
            <w:tcW w:w="973" w:type="dxa"/>
          </w:tcPr>
          <w:p w14:paraId="15E9B8BD" w14:textId="77777777" w:rsidR="00FA4AA8" w:rsidRDefault="0015611F">
            <w:pPr>
              <w:pStyle w:val="TableParagraph"/>
              <w:spacing w:before="12"/>
              <w:ind w:right="71"/>
              <w:jc w:val="right"/>
              <w:rPr>
                <w:sz w:val="16"/>
              </w:rPr>
            </w:pPr>
            <w:r>
              <w:rPr>
                <w:sz w:val="16"/>
              </w:rPr>
              <w:t>364,249</w:t>
            </w:r>
          </w:p>
        </w:tc>
      </w:tr>
      <w:tr w:rsidR="00FA4AA8" w14:paraId="686141C5" w14:textId="77777777">
        <w:trPr>
          <w:trHeight w:val="241"/>
        </w:trPr>
        <w:tc>
          <w:tcPr>
            <w:tcW w:w="349" w:type="dxa"/>
          </w:tcPr>
          <w:p w14:paraId="1CC30D86" w14:textId="77777777" w:rsidR="00FA4AA8" w:rsidRDefault="00FA4AA8">
            <w:pPr>
              <w:pStyle w:val="TableParagraph"/>
              <w:rPr>
                <w:rFonts w:ascii="Times New Roman"/>
                <w:sz w:val="16"/>
              </w:rPr>
            </w:pPr>
          </w:p>
        </w:tc>
        <w:tc>
          <w:tcPr>
            <w:tcW w:w="4374" w:type="dxa"/>
          </w:tcPr>
          <w:p w14:paraId="01EA82CF" w14:textId="77777777" w:rsidR="00FA4AA8" w:rsidRDefault="0015611F">
            <w:pPr>
              <w:pStyle w:val="TableParagraph"/>
              <w:tabs>
                <w:tab w:val="left" w:pos="4131"/>
              </w:tabs>
              <w:spacing w:before="28"/>
              <w:ind w:left="135"/>
              <w:rPr>
                <w:b/>
                <w:sz w:val="16"/>
              </w:rPr>
            </w:pPr>
            <w:r>
              <w:rPr>
                <w:sz w:val="16"/>
              </w:rPr>
              <w:t>-</w:t>
            </w:r>
            <w:r>
              <w:rPr>
                <w:spacing w:val="1"/>
                <w:sz w:val="16"/>
              </w:rPr>
              <w:t xml:space="preserve"> </w:t>
            </w:r>
            <w:r>
              <w:rPr>
                <w:sz w:val="16"/>
              </w:rPr>
              <w:t>Valuation</w:t>
            </w:r>
            <w:r>
              <w:rPr>
                <w:sz w:val="16"/>
              </w:rPr>
              <w:tab/>
            </w:r>
            <w:r>
              <w:rPr>
                <w:b/>
                <w:sz w:val="16"/>
              </w:rPr>
              <w:t>-</w:t>
            </w:r>
          </w:p>
        </w:tc>
        <w:tc>
          <w:tcPr>
            <w:tcW w:w="1050" w:type="dxa"/>
          </w:tcPr>
          <w:p w14:paraId="1CA8EA5C" w14:textId="77777777" w:rsidR="00FA4AA8" w:rsidRDefault="0015611F">
            <w:pPr>
              <w:pStyle w:val="TableParagraph"/>
              <w:spacing w:before="25"/>
              <w:ind w:right="104"/>
              <w:jc w:val="right"/>
              <w:rPr>
                <w:sz w:val="16"/>
              </w:rPr>
            </w:pPr>
            <w:r>
              <w:rPr>
                <w:sz w:val="16"/>
              </w:rPr>
              <w:t>340,010</w:t>
            </w:r>
          </w:p>
        </w:tc>
        <w:tc>
          <w:tcPr>
            <w:tcW w:w="1207" w:type="dxa"/>
          </w:tcPr>
          <w:p w14:paraId="173396E1" w14:textId="77777777" w:rsidR="00FA4AA8" w:rsidRDefault="0015611F">
            <w:pPr>
              <w:pStyle w:val="TableParagraph"/>
              <w:spacing w:before="25"/>
              <w:ind w:right="147"/>
              <w:jc w:val="right"/>
              <w:rPr>
                <w:sz w:val="16"/>
              </w:rPr>
            </w:pPr>
            <w:r>
              <w:rPr>
                <w:sz w:val="16"/>
              </w:rPr>
              <w:t>233,990</w:t>
            </w:r>
          </w:p>
        </w:tc>
        <w:tc>
          <w:tcPr>
            <w:tcW w:w="1083" w:type="dxa"/>
          </w:tcPr>
          <w:p w14:paraId="312FFCD9" w14:textId="77777777" w:rsidR="00FA4AA8" w:rsidRDefault="0015611F">
            <w:pPr>
              <w:pStyle w:val="TableParagraph"/>
              <w:spacing w:before="25"/>
              <w:ind w:right="95"/>
              <w:jc w:val="right"/>
              <w:rPr>
                <w:sz w:val="16"/>
              </w:rPr>
            </w:pPr>
            <w:r>
              <w:rPr>
                <w:sz w:val="16"/>
              </w:rPr>
              <w:t>1,126,274</w:t>
            </w:r>
          </w:p>
        </w:tc>
        <w:tc>
          <w:tcPr>
            <w:tcW w:w="1185" w:type="dxa"/>
          </w:tcPr>
          <w:p w14:paraId="1903D2C6" w14:textId="77777777" w:rsidR="00FA4AA8" w:rsidRDefault="0015611F">
            <w:pPr>
              <w:pStyle w:val="TableParagraph"/>
              <w:spacing w:before="25"/>
              <w:ind w:right="147"/>
              <w:jc w:val="right"/>
              <w:rPr>
                <w:sz w:val="16"/>
              </w:rPr>
            </w:pPr>
            <w:r>
              <w:rPr>
                <w:sz w:val="16"/>
              </w:rPr>
              <w:t>117,742</w:t>
            </w:r>
          </w:p>
        </w:tc>
        <w:tc>
          <w:tcPr>
            <w:tcW w:w="1113" w:type="dxa"/>
          </w:tcPr>
          <w:p w14:paraId="42B9A369" w14:textId="77777777" w:rsidR="00FA4AA8" w:rsidRDefault="0015611F">
            <w:pPr>
              <w:pStyle w:val="TableParagraph"/>
              <w:spacing w:before="25"/>
              <w:ind w:right="127"/>
              <w:jc w:val="right"/>
              <w:rPr>
                <w:b/>
                <w:sz w:val="16"/>
              </w:rPr>
            </w:pPr>
            <w:r>
              <w:rPr>
                <w:b/>
                <w:sz w:val="16"/>
              </w:rPr>
              <w:t>-</w:t>
            </w:r>
          </w:p>
        </w:tc>
        <w:tc>
          <w:tcPr>
            <w:tcW w:w="1215" w:type="dxa"/>
          </w:tcPr>
          <w:p w14:paraId="66BED6CC" w14:textId="77777777" w:rsidR="00FA4AA8" w:rsidRDefault="0015611F">
            <w:pPr>
              <w:pStyle w:val="TableParagraph"/>
              <w:spacing w:before="25"/>
              <w:ind w:right="159"/>
              <w:jc w:val="right"/>
              <w:rPr>
                <w:b/>
                <w:sz w:val="16"/>
              </w:rPr>
            </w:pPr>
            <w:r>
              <w:rPr>
                <w:b/>
                <w:sz w:val="16"/>
              </w:rPr>
              <w:t>-</w:t>
            </w:r>
          </w:p>
        </w:tc>
        <w:tc>
          <w:tcPr>
            <w:tcW w:w="1177" w:type="dxa"/>
          </w:tcPr>
          <w:p w14:paraId="42434047" w14:textId="77777777" w:rsidR="00FA4AA8" w:rsidRDefault="0015611F">
            <w:pPr>
              <w:pStyle w:val="TableParagraph"/>
              <w:spacing w:before="25"/>
              <w:ind w:right="204"/>
              <w:jc w:val="right"/>
              <w:rPr>
                <w:sz w:val="16"/>
              </w:rPr>
            </w:pPr>
            <w:r>
              <w:rPr>
                <w:sz w:val="16"/>
              </w:rPr>
              <w:t>881</w:t>
            </w:r>
          </w:p>
        </w:tc>
        <w:tc>
          <w:tcPr>
            <w:tcW w:w="1160" w:type="dxa"/>
          </w:tcPr>
          <w:p w14:paraId="2905BA69" w14:textId="77777777" w:rsidR="00FA4AA8" w:rsidRDefault="0015611F">
            <w:pPr>
              <w:pStyle w:val="TableParagraph"/>
              <w:spacing w:before="25"/>
              <w:ind w:right="231"/>
              <w:jc w:val="right"/>
              <w:rPr>
                <w:sz w:val="16"/>
              </w:rPr>
            </w:pPr>
            <w:r>
              <w:rPr>
                <w:sz w:val="16"/>
              </w:rPr>
              <w:t>4,617</w:t>
            </w:r>
          </w:p>
        </w:tc>
        <w:tc>
          <w:tcPr>
            <w:tcW w:w="973" w:type="dxa"/>
          </w:tcPr>
          <w:p w14:paraId="5BCD2715" w14:textId="77777777" w:rsidR="00FA4AA8" w:rsidRDefault="0015611F">
            <w:pPr>
              <w:pStyle w:val="TableParagraph"/>
              <w:spacing w:before="25"/>
              <w:ind w:right="71"/>
              <w:jc w:val="right"/>
              <w:rPr>
                <w:sz w:val="16"/>
              </w:rPr>
            </w:pPr>
            <w:r>
              <w:rPr>
                <w:sz w:val="16"/>
              </w:rPr>
              <w:t>1,823,514</w:t>
            </w:r>
          </w:p>
        </w:tc>
      </w:tr>
      <w:tr w:rsidR="00FA4AA8" w14:paraId="70A7BC3E" w14:textId="77777777">
        <w:trPr>
          <w:trHeight w:val="417"/>
        </w:trPr>
        <w:tc>
          <w:tcPr>
            <w:tcW w:w="349" w:type="dxa"/>
          </w:tcPr>
          <w:p w14:paraId="7625070B" w14:textId="77777777" w:rsidR="00FA4AA8" w:rsidRDefault="00FA4AA8">
            <w:pPr>
              <w:pStyle w:val="TableParagraph"/>
              <w:rPr>
                <w:rFonts w:ascii="Times New Roman"/>
                <w:sz w:val="16"/>
              </w:rPr>
            </w:pPr>
          </w:p>
        </w:tc>
        <w:tc>
          <w:tcPr>
            <w:tcW w:w="4374" w:type="dxa"/>
            <w:tcBorders>
              <w:bottom w:val="single" w:sz="8" w:space="0" w:color="000000"/>
            </w:tcBorders>
          </w:tcPr>
          <w:p w14:paraId="058C2118" w14:textId="77777777" w:rsidR="00FA4AA8" w:rsidRDefault="0015611F">
            <w:pPr>
              <w:pStyle w:val="TableParagraph"/>
              <w:spacing w:before="24"/>
              <w:ind w:left="135"/>
              <w:rPr>
                <w:sz w:val="16"/>
              </w:rPr>
            </w:pPr>
            <w:r>
              <w:rPr>
                <w:sz w:val="16"/>
              </w:rPr>
              <w:t>Accumulated depreciation and</w:t>
            </w:r>
          </w:p>
          <w:p w14:paraId="6BDE3F00" w14:textId="77777777" w:rsidR="00FA4AA8" w:rsidRDefault="0015611F">
            <w:pPr>
              <w:pStyle w:val="TableParagraph"/>
              <w:tabs>
                <w:tab w:val="left" w:pos="4131"/>
              </w:tabs>
              <w:spacing w:before="1"/>
              <w:ind w:left="135"/>
              <w:rPr>
                <w:b/>
                <w:sz w:val="16"/>
              </w:rPr>
            </w:pPr>
            <w:r>
              <w:rPr>
                <w:sz w:val="16"/>
              </w:rPr>
              <w:t>impairment</w:t>
            </w:r>
            <w:r>
              <w:rPr>
                <w:sz w:val="16"/>
              </w:rPr>
              <w:tab/>
            </w:r>
            <w:r>
              <w:rPr>
                <w:b/>
                <w:sz w:val="16"/>
              </w:rPr>
              <w:t>-</w:t>
            </w:r>
          </w:p>
        </w:tc>
        <w:tc>
          <w:tcPr>
            <w:tcW w:w="1050" w:type="dxa"/>
            <w:tcBorders>
              <w:bottom w:val="single" w:sz="8" w:space="0" w:color="000000"/>
            </w:tcBorders>
          </w:tcPr>
          <w:p w14:paraId="4823E66D" w14:textId="77777777" w:rsidR="00FA4AA8" w:rsidRDefault="00FA4AA8">
            <w:pPr>
              <w:pStyle w:val="TableParagraph"/>
              <w:spacing w:before="11"/>
              <w:rPr>
                <w:b/>
                <w:sz w:val="17"/>
              </w:rPr>
            </w:pPr>
          </w:p>
          <w:p w14:paraId="244BAE27" w14:textId="77777777" w:rsidR="00FA4AA8" w:rsidRDefault="0015611F">
            <w:pPr>
              <w:pStyle w:val="TableParagraph"/>
              <w:ind w:right="104"/>
              <w:jc w:val="right"/>
              <w:rPr>
                <w:b/>
                <w:sz w:val="16"/>
              </w:rPr>
            </w:pPr>
            <w:r>
              <w:rPr>
                <w:b/>
                <w:sz w:val="16"/>
              </w:rPr>
              <w:t>-</w:t>
            </w:r>
          </w:p>
        </w:tc>
        <w:tc>
          <w:tcPr>
            <w:tcW w:w="1207" w:type="dxa"/>
            <w:tcBorders>
              <w:bottom w:val="single" w:sz="8" w:space="0" w:color="000000"/>
            </w:tcBorders>
          </w:tcPr>
          <w:p w14:paraId="0664DDBF" w14:textId="77777777" w:rsidR="00FA4AA8" w:rsidRDefault="00FA4AA8">
            <w:pPr>
              <w:pStyle w:val="TableParagraph"/>
              <w:spacing w:before="11"/>
              <w:rPr>
                <w:b/>
                <w:sz w:val="17"/>
              </w:rPr>
            </w:pPr>
          </w:p>
          <w:p w14:paraId="669B981D" w14:textId="77777777" w:rsidR="00FA4AA8" w:rsidRDefault="0015611F">
            <w:pPr>
              <w:pStyle w:val="TableParagraph"/>
              <w:ind w:right="147"/>
              <w:jc w:val="right"/>
              <w:rPr>
                <w:b/>
                <w:sz w:val="16"/>
              </w:rPr>
            </w:pPr>
            <w:r>
              <w:rPr>
                <w:b/>
                <w:sz w:val="16"/>
              </w:rPr>
              <w:t>-</w:t>
            </w:r>
          </w:p>
        </w:tc>
        <w:tc>
          <w:tcPr>
            <w:tcW w:w="1083" w:type="dxa"/>
            <w:tcBorders>
              <w:bottom w:val="single" w:sz="8" w:space="0" w:color="000000"/>
            </w:tcBorders>
          </w:tcPr>
          <w:p w14:paraId="7A27856C" w14:textId="77777777" w:rsidR="00FA4AA8" w:rsidRDefault="00FA4AA8">
            <w:pPr>
              <w:pStyle w:val="TableParagraph"/>
              <w:spacing w:before="11"/>
              <w:rPr>
                <w:b/>
                <w:sz w:val="17"/>
              </w:rPr>
            </w:pPr>
          </w:p>
          <w:p w14:paraId="593667DC" w14:textId="77777777" w:rsidR="00FA4AA8" w:rsidRDefault="0015611F">
            <w:pPr>
              <w:pStyle w:val="TableParagraph"/>
              <w:ind w:right="42"/>
              <w:jc w:val="right"/>
              <w:rPr>
                <w:sz w:val="16"/>
              </w:rPr>
            </w:pPr>
            <w:r>
              <w:rPr>
                <w:sz w:val="16"/>
              </w:rPr>
              <w:t>(8,519)</w:t>
            </w:r>
          </w:p>
        </w:tc>
        <w:tc>
          <w:tcPr>
            <w:tcW w:w="1185" w:type="dxa"/>
            <w:tcBorders>
              <w:bottom w:val="single" w:sz="8" w:space="0" w:color="000000"/>
            </w:tcBorders>
          </w:tcPr>
          <w:p w14:paraId="173B44DB" w14:textId="77777777" w:rsidR="00FA4AA8" w:rsidRDefault="00FA4AA8">
            <w:pPr>
              <w:pStyle w:val="TableParagraph"/>
              <w:spacing w:before="11"/>
              <w:rPr>
                <w:b/>
                <w:sz w:val="17"/>
              </w:rPr>
            </w:pPr>
          </w:p>
          <w:p w14:paraId="57CD488B" w14:textId="77777777" w:rsidR="00FA4AA8" w:rsidRDefault="0015611F">
            <w:pPr>
              <w:pStyle w:val="TableParagraph"/>
              <w:ind w:right="94"/>
              <w:jc w:val="right"/>
              <w:rPr>
                <w:sz w:val="16"/>
              </w:rPr>
            </w:pPr>
            <w:r>
              <w:rPr>
                <w:sz w:val="16"/>
              </w:rPr>
              <w:t>(1,245)</w:t>
            </w:r>
          </w:p>
        </w:tc>
        <w:tc>
          <w:tcPr>
            <w:tcW w:w="1113" w:type="dxa"/>
            <w:tcBorders>
              <w:bottom w:val="single" w:sz="8" w:space="0" w:color="000000"/>
            </w:tcBorders>
          </w:tcPr>
          <w:p w14:paraId="7964E52B" w14:textId="77777777" w:rsidR="00FA4AA8" w:rsidRDefault="00FA4AA8">
            <w:pPr>
              <w:pStyle w:val="TableParagraph"/>
              <w:spacing w:before="11"/>
              <w:rPr>
                <w:b/>
                <w:sz w:val="17"/>
              </w:rPr>
            </w:pPr>
          </w:p>
          <w:p w14:paraId="2EB8994F" w14:textId="77777777" w:rsidR="00FA4AA8" w:rsidRDefault="0015611F">
            <w:pPr>
              <w:pStyle w:val="TableParagraph"/>
              <w:ind w:right="75"/>
              <w:jc w:val="right"/>
              <w:rPr>
                <w:sz w:val="16"/>
              </w:rPr>
            </w:pPr>
            <w:r>
              <w:rPr>
                <w:sz w:val="16"/>
              </w:rPr>
              <w:t>(85,322)</w:t>
            </w:r>
          </w:p>
        </w:tc>
        <w:tc>
          <w:tcPr>
            <w:tcW w:w="1215" w:type="dxa"/>
            <w:tcBorders>
              <w:bottom w:val="single" w:sz="8" w:space="0" w:color="000000"/>
            </w:tcBorders>
          </w:tcPr>
          <w:p w14:paraId="7ADE3ABF" w14:textId="77777777" w:rsidR="00FA4AA8" w:rsidRDefault="00FA4AA8">
            <w:pPr>
              <w:pStyle w:val="TableParagraph"/>
              <w:spacing w:before="11"/>
              <w:rPr>
                <w:b/>
                <w:sz w:val="17"/>
              </w:rPr>
            </w:pPr>
          </w:p>
          <w:p w14:paraId="3A80A36E" w14:textId="77777777" w:rsidR="00FA4AA8" w:rsidRDefault="0015611F">
            <w:pPr>
              <w:pStyle w:val="TableParagraph"/>
              <w:ind w:right="106"/>
              <w:jc w:val="right"/>
              <w:rPr>
                <w:sz w:val="16"/>
              </w:rPr>
            </w:pPr>
            <w:r>
              <w:rPr>
                <w:sz w:val="16"/>
              </w:rPr>
              <w:t>(15,918)</w:t>
            </w:r>
          </w:p>
        </w:tc>
        <w:tc>
          <w:tcPr>
            <w:tcW w:w="1177" w:type="dxa"/>
            <w:tcBorders>
              <w:bottom w:val="single" w:sz="8" w:space="0" w:color="000000"/>
            </w:tcBorders>
          </w:tcPr>
          <w:p w14:paraId="740A781E" w14:textId="77777777" w:rsidR="00FA4AA8" w:rsidRDefault="00FA4AA8">
            <w:pPr>
              <w:pStyle w:val="TableParagraph"/>
              <w:spacing w:before="11"/>
              <w:rPr>
                <w:b/>
                <w:sz w:val="17"/>
              </w:rPr>
            </w:pPr>
          </w:p>
          <w:p w14:paraId="50AF09D6" w14:textId="77777777" w:rsidR="00FA4AA8" w:rsidRDefault="0015611F">
            <w:pPr>
              <w:pStyle w:val="TableParagraph"/>
              <w:ind w:right="150"/>
              <w:jc w:val="right"/>
              <w:rPr>
                <w:sz w:val="16"/>
              </w:rPr>
            </w:pPr>
            <w:r>
              <w:rPr>
                <w:sz w:val="16"/>
              </w:rPr>
              <w:t>(73,097)</w:t>
            </w:r>
          </w:p>
        </w:tc>
        <w:tc>
          <w:tcPr>
            <w:tcW w:w="1160" w:type="dxa"/>
            <w:tcBorders>
              <w:bottom w:val="single" w:sz="8" w:space="0" w:color="000000"/>
            </w:tcBorders>
          </w:tcPr>
          <w:p w14:paraId="66194928" w14:textId="77777777" w:rsidR="00FA4AA8" w:rsidRDefault="00FA4AA8">
            <w:pPr>
              <w:pStyle w:val="TableParagraph"/>
              <w:spacing w:before="11"/>
              <w:rPr>
                <w:b/>
                <w:sz w:val="17"/>
              </w:rPr>
            </w:pPr>
          </w:p>
          <w:p w14:paraId="73186B61" w14:textId="77777777" w:rsidR="00FA4AA8" w:rsidRDefault="0015611F">
            <w:pPr>
              <w:pStyle w:val="TableParagraph"/>
              <w:ind w:right="230"/>
              <w:jc w:val="right"/>
              <w:rPr>
                <w:b/>
                <w:sz w:val="16"/>
              </w:rPr>
            </w:pPr>
            <w:r>
              <w:rPr>
                <w:b/>
                <w:sz w:val="16"/>
              </w:rPr>
              <w:t>-</w:t>
            </w:r>
          </w:p>
        </w:tc>
        <w:tc>
          <w:tcPr>
            <w:tcW w:w="973" w:type="dxa"/>
            <w:tcBorders>
              <w:bottom w:val="single" w:sz="8" w:space="0" w:color="000000"/>
            </w:tcBorders>
          </w:tcPr>
          <w:p w14:paraId="0ADC5F01" w14:textId="77777777" w:rsidR="00FA4AA8" w:rsidRDefault="00FA4AA8">
            <w:pPr>
              <w:pStyle w:val="TableParagraph"/>
              <w:spacing w:before="11"/>
              <w:rPr>
                <w:b/>
                <w:sz w:val="17"/>
              </w:rPr>
            </w:pPr>
          </w:p>
          <w:p w14:paraId="43355918" w14:textId="77777777" w:rsidR="00FA4AA8" w:rsidRDefault="0015611F">
            <w:pPr>
              <w:pStyle w:val="TableParagraph"/>
              <w:ind w:right="18"/>
              <w:jc w:val="right"/>
              <w:rPr>
                <w:sz w:val="16"/>
              </w:rPr>
            </w:pPr>
            <w:r>
              <w:rPr>
                <w:sz w:val="16"/>
              </w:rPr>
              <w:t>(184,101)</w:t>
            </w:r>
          </w:p>
        </w:tc>
      </w:tr>
      <w:tr w:rsidR="00FA4AA8" w14:paraId="525D298A" w14:textId="77777777">
        <w:trPr>
          <w:trHeight w:val="298"/>
        </w:trPr>
        <w:tc>
          <w:tcPr>
            <w:tcW w:w="349" w:type="dxa"/>
          </w:tcPr>
          <w:p w14:paraId="6DED7E26" w14:textId="77777777" w:rsidR="00FA4AA8" w:rsidRDefault="00FA4AA8">
            <w:pPr>
              <w:pStyle w:val="TableParagraph"/>
              <w:rPr>
                <w:rFonts w:ascii="Times New Roman"/>
                <w:sz w:val="16"/>
              </w:rPr>
            </w:pPr>
          </w:p>
        </w:tc>
        <w:tc>
          <w:tcPr>
            <w:tcW w:w="4374" w:type="dxa"/>
            <w:tcBorders>
              <w:top w:val="single" w:sz="8" w:space="0" w:color="000000"/>
              <w:bottom w:val="double" w:sz="2" w:space="0" w:color="000000"/>
            </w:tcBorders>
          </w:tcPr>
          <w:p w14:paraId="4B0D59BC" w14:textId="77777777" w:rsidR="00FA4AA8" w:rsidRDefault="0015611F">
            <w:pPr>
              <w:pStyle w:val="TableParagraph"/>
              <w:tabs>
                <w:tab w:val="left" w:pos="3694"/>
              </w:tabs>
              <w:spacing w:before="114" w:line="164" w:lineRule="exact"/>
              <w:ind w:left="135"/>
              <w:rPr>
                <w:b/>
                <w:sz w:val="16"/>
              </w:rPr>
            </w:pPr>
            <w:r>
              <w:rPr>
                <w:b/>
                <w:sz w:val="16"/>
              </w:rPr>
              <w:t>Net</w:t>
            </w:r>
            <w:r>
              <w:rPr>
                <w:b/>
                <w:spacing w:val="1"/>
                <w:sz w:val="16"/>
              </w:rPr>
              <w:t xml:space="preserve"> </w:t>
            </w:r>
            <w:r>
              <w:rPr>
                <w:b/>
                <w:sz w:val="16"/>
              </w:rPr>
              <w:t>book</w:t>
            </w:r>
            <w:r>
              <w:rPr>
                <w:b/>
                <w:spacing w:val="1"/>
                <w:sz w:val="16"/>
              </w:rPr>
              <w:t xml:space="preserve"> </w:t>
            </w:r>
            <w:r>
              <w:rPr>
                <w:b/>
                <w:sz w:val="16"/>
              </w:rPr>
              <w:t>amount</w:t>
            </w:r>
            <w:r>
              <w:rPr>
                <w:b/>
                <w:sz w:val="16"/>
              </w:rPr>
              <w:tab/>
              <w:t>67,930</w:t>
            </w:r>
          </w:p>
        </w:tc>
        <w:tc>
          <w:tcPr>
            <w:tcW w:w="1050" w:type="dxa"/>
            <w:tcBorders>
              <w:top w:val="single" w:sz="8" w:space="0" w:color="000000"/>
              <w:bottom w:val="double" w:sz="2" w:space="0" w:color="000000"/>
            </w:tcBorders>
          </w:tcPr>
          <w:p w14:paraId="5A386AB8" w14:textId="77777777" w:rsidR="00FA4AA8" w:rsidRDefault="0015611F">
            <w:pPr>
              <w:pStyle w:val="TableParagraph"/>
              <w:spacing w:before="114" w:line="164" w:lineRule="exact"/>
              <w:ind w:right="104"/>
              <w:jc w:val="right"/>
              <w:rPr>
                <w:b/>
                <w:sz w:val="16"/>
              </w:rPr>
            </w:pPr>
            <w:r>
              <w:rPr>
                <w:b/>
                <w:sz w:val="16"/>
              </w:rPr>
              <w:t>340,010</w:t>
            </w:r>
          </w:p>
        </w:tc>
        <w:tc>
          <w:tcPr>
            <w:tcW w:w="1207" w:type="dxa"/>
            <w:tcBorders>
              <w:top w:val="single" w:sz="8" w:space="0" w:color="000000"/>
              <w:bottom w:val="double" w:sz="2" w:space="0" w:color="000000"/>
            </w:tcBorders>
          </w:tcPr>
          <w:p w14:paraId="4163047D" w14:textId="77777777" w:rsidR="00FA4AA8" w:rsidRDefault="0015611F">
            <w:pPr>
              <w:pStyle w:val="TableParagraph"/>
              <w:spacing w:before="114" w:line="164" w:lineRule="exact"/>
              <w:ind w:right="147"/>
              <w:jc w:val="right"/>
              <w:rPr>
                <w:b/>
                <w:sz w:val="16"/>
              </w:rPr>
            </w:pPr>
            <w:r>
              <w:rPr>
                <w:b/>
                <w:sz w:val="16"/>
              </w:rPr>
              <w:t>233,990</w:t>
            </w:r>
          </w:p>
        </w:tc>
        <w:tc>
          <w:tcPr>
            <w:tcW w:w="1083" w:type="dxa"/>
            <w:tcBorders>
              <w:top w:val="single" w:sz="8" w:space="0" w:color="000000"/>
              <w:bottom w:val="double" w:sz="2" w:space="0" w:color="000000"/>
            </w:tcBorders>
          </w:tcPr>
          <w:p w14:paraId="0EAFFB9E" w14:textId="77777777" w:rsidR="00FA4AA8" w:rsidRDefault="0015611F">
            <w:pPr>
              <w:pStyle w:val="TableParagraph"/>
              <w:spacing w:before="114" w:line="164" w:lineRule="exact"/>
              <w:ind w:right="95"/>
              <w:jc w:val="right"/>
              <w:rPr>
                <w:b/>
                <w:sz w:val="16"/>
              </w:rPr>
            </w:pPr>
            <w:r>
              <w:rPr>
                <w:b/>
                <w:sz w:val="16"/>
              </w:rPr>
              <w:t>1,127,751</w:t>
            </w:r>
          </w:p>
        </w:tc>
        <w:tc>
          <w:tcPr>
            <w:tcW w:w="1185" w:type="dxa"/>
            <w:tcBorders>
              <w:top w:val="single" w:sz="8" w:space="0" w:color="000000"/>
              <w:bottom w:val="double" w:sz="2" w:space="0" w:color="000000"/>
            </w:tcBorders>
          </w:tcPr>
          <w:p w14:paraId="10548576" w14:textId="77777777" w:rsidR="00FA4AA8" w:rsidRDefault="0015611F">
            <w:pPr>
              <w:pStyle w:val="TableParagraph"/>
              <w:spacing w:before="114" w:line="164" w:lineRule="exact"/>
              <w:ind w:right="147"/>
              <w:jc w:val="right"/>
              <w:rPr>
                <w:b/>
                <w:sz w:val="16"/>
              </w:rPr>
            </w:pPr>
            <w:r>
              <w:rPr>
                <w:b/>
                <w:sz w:val="16"/>
              </w:rPr>
              <w:t>116,497</w:t>
            </w:r>
          </w:p>
        </w:tc>
        <w:tc>
          <w:tcPr>
            <w:tcW w:w="1113" w:type="dxa"/>
            <w:tcBorders>
              <w:top w:val="single" w:sz="8" w:space="0" w:color="000000"/>
              <w:bottom w:val="double" w:sz="2" w:space="0" w:color="000000"/>
            </w:tcBorders>
          </w:tcPr>
          <w:p w14:paraId="1590C807" w14:textId="77777777" w:rsidR="00FA4AA8" w:rsidRDefault="0015611F">
            <w:pPr>
              <w:pStyle w:val="TableParagraph"/>
              <w:spacing w:before="114" w:line="164" w:lineRule="exact"/>
              <w:ind w:left="493"/>
              <w:rPr>
                <w:b/>
                <w:sz w:val="16"/>
              </w:rPr>
            </w:pPr>
            <w:r>
              <w:rPr>
                <w:b/>
                <w:sz w:val="16"/>
              </w:rPr>
              <w:t>57,695</w:t>
            </w:r>
          </w:p>
        </w:tc>
        <w:tc>
          <w:tcPr>
            <w:tcW w:w="1215" w:type="dxa"/>
            <w:tcBorders>
              <w:top w:val="single" w:sz="8" w:space="0" w:color="000000"/>
              <w:bottom w:val="double" w:sz="2" w:space="0" w:color="000000"/>
            </w:tcBorders>
          </w:tcPr>
          <w:p w14:paraId="6E5664F2" w14:textId="77777777" w:rsidR="00FA4AA8" w:rsidRDefault="0015611F">
            <w:pPr>
              <w:pStyle w:val="TableParagraph"/>
              <w:spacing w:before="114" w:line="164" w:lineRule="exact"/>
              <w:ind w:right="159"/>
              <w:jc w:val="right"/>
              <w:rPr>
                <w:b/>
                <w:sz w:val="16"/>
              </w:rPr>
            </w:pPr>
            <w:r>
              <w:rPr>
                <w:b/>
                <w:sz w:val="16"/>
              </w:rPr>
              <w:t>48,649</w:t>
            </w:r>
          </w:p>
        </w:tc>
        <w:tc>
          <w:tcPr>
            <w:tcW w:w="1177" w:type="dxa"/>
            <w:tcBorders>
              <w:top w:val="single" w:sz="8" w:space="0" w:color="000000"/>
              <w:bottom w:val="double" w:sz="2" w:space="0" w:color="000000"/>
            </w:tcBorders>
          </w:tcPr>
          <w:p w14:paraId="036B7ECB" w14:textId="77777777" w:rsidR="00FA4AA8" w:rsidRDefault="0015611F">
            <w:pPr>
              <w:pStyle w:val="TableParagraph"/>
              <w:spacing w:before="114" w:line="164" w:lineRule="exact"/>
              <w:ind w:right="203"/>
              <w:jc w:val="right"/>
              <w:rPr>
                <w:b/>
                <w:sz w:val="16"/>
              </w:rPr>
            </w:pPr>
            <w:r>
              <w:rPr>
                <w:b/>
                <w:sz w:val="16"/>
              </w:rPr>
              <w:t>6,523</w:t>
            </w:r>
          </w:p>
        </w:tc>
        <w:tc>
          <w:tcPr>
            <w:tcW w:w="1160" w:type="dxa"/>
            <w:tcBorders>
              <w:top w:val="single" w:sz="8" w:space="0" w:color="000000"/>
              <w:bottom w:val="double" w:sz="2" w:space="0" w:color="000000"/>
            </w:tcBorders>
          </w:tcPr>
          <w:p w14:paraId="4DEBF45B" w14:textId="77777777" w:rsidR="00FA4AA8" w:rsidRDefault="0015611F">
            <w:pPr>
              <w:pStyle w:val="TableParagraph"/>
              <w:spacing w:before="114" w:line="164" w:lineRule="exact"/>
              <w:ind w:right="231"/>
              <w:jc w:val="right"/>
              <w:rPr>
                <w:b/>
                <w:sz w:val="16"/>
              </w:rPr>
            </w:pPr>
            <w:r>
              <w:rPr>
                <w:b/>
                <w:sz w:val="16"/>
              </w:rPr>
              <w:t>4,617</w:t>
            </w:r>
          </w:p>
        </w:tc>
        <w:tc>
          <w:tcPr>
            <w:tcW w:w="973" w:type="dxa"/>
            <w:tcBorders>
              <w:top w:val="single" w:sz="8" w:space="0" w:color="000000"/>
              <w:bottom w:val="double" w:sz="2" w:space="0" w:color="000000"/>
            </w:tcBorders>
          </w:tcPr>
          <w:p w14:paraId="700A3341" w14:textId="77777777" w:rsidR="00FA4AA8" w:rsidRDefault="0015611F">
            <w:pPr>
              <w:pStyle w:val="TableParagraph"/>
              <w:spacing w:before="114" w:line="164" w:lineRule="exact"/>
              <w:ind w:right="71"/>
              <w:jc w:val="right"/>
              <w:rPr>
                <w:b/>
                <w:sz w:val="16"/>
              </w:rPr>
            </w:pPr>
            <w:r>
              <w:rPr>
                <w:b/>
                <w:sz w:val="16"/>
              </w:rPr>
              <w:t>2,003,662</w:t>
            </w:r>
          </w:p>
        </w:tc>
      </w:tr>
    </w:tbl>
    <w:p w14:paraId="5B0F86BF" w14:textId="77777777" w:rsidR="00FA4AA8" w:rsidRDefault="00FA4AA8">
      <w:pPr>
        <w:spacing w:line="164" w:lineRule="exact"/>
        <w:jc w:val="right"/>
        <w:rPr>
          <w:sz w:val="16"/>
        </w:rPr>
        <w:sectPr w:rsidR="00FA4AA8">
          <w:pgSz w:w="16840" w:h="11910" w:orient="landscape"/>
          <w:pgMar w:top="2220" w:right="880" w:bottom="720" w:left="840" w:header="1016" w:footer="523" w:gutter="0"/>
          <w:cols w:space="720"/>
        </w:sectPr>
      </w:pPr>
    </w:p>
    <w:p w14:paraId="7DB131A3" w14:textId="77777777" w:rsidR="00FA4AA8" w:rsidRDefault="00FA4AA8">
      <w:pPr>
        <w:pStyle w:val="BodyText"/>
        <w:rPr>
          <w:b/>
          <w:sz w:val="20"/>
        </w:rPr>
      </w:pPr>
    </w:p>
    <w:p w14:paraId="11CA3BC5" w14:textId="77777777" w:rsidR="00FA4AA8" w:rsidRDefault="00FA4AA8">
      <w:pPr>
        <w:pStyle w:val="BodyText"/>
        <w:spacing w:before="10"/>
        <w:rPr>
          <w:b/>
          <w:sz w:val="29"/>
        </w:rPr>
      </w:pPr>
    </w:p>
    <w:p w14:paraId="1663AA4B" w14:textId="77777777" w:rsidR="00FA4AA8" w:rsidRDefault="0015611F">
      <w:pPr>
        <w:spacing w:before="94"/>
        <w:ind w:left="167"/>
        <w:rPr>
          <w:b/>
          <w:sz w:val="18"/>
        </w:rPr>
      </w:pPr>
      <w:r>
        <w:rPr>
          <w:b/>
          <w:sz w:val="18"/>
        </w:rPr>
        <w:t>19 Property, plant and equipment (continued)</w:t>
      </w:r>
    </w:p>
    <w:p w14:paraId="0888BBCB" w14:textId="77777777" w:rsidR="00FA4AA8" w:rsidRDefault="00FA4AA8">
      <w:pPr>
        <w:pStyle w:val="BodyText"/>
        <w:spacing w:before="7"/>
        <w:rPr>
          <w:b/>
          <w:sz w:val="26"/>
        </w:rPr>
      </w:pPr>
    </w:p>
    <w:p w14:paraId="0099053C" w14:textId="77777777" w:rsidR="00FA4AA8" w:rsidRDefault="0015611F">
      <w:pPr>
        <w:ind w:left="564"/>
        <w:rPr>
          <w:i/>
          <w:sz w:val="18"/>
        </w:rPr>
      </w:pPr>
      <w:r>
        <w:rPr>
          <w:i/>
          <w:sz w:val="18"/>
          <w:u w:val="single"/>
        </w:rPr>
        <w:t>Accounting Policy</w:t>
      </w:r>
    </w:p>
    <w:p w14:paraId="096A81E7" w14:textId="77777777" w:rsidR="00FA4AA8" w:rsidRDefault="00FA4AA8">
      <w:pPr>
        <w:pStyle w:val="BodyText"/>
        <w:spacing w:before="3"/>
        <w:rPr>
          <w:i/>
          <w:sz w:val="17"/>
        </w:rPr>
      </w:pPr>
    </w:p>
    <w:p w14:paraId="560629C0" w14:textId="77777777" w:rsidR="00FA4AA8" w:rsidRDefault="0015611F">
      <w:pPr>
        <w:pStyle w:val="BodyText"/>
        <w:spacing w:before="94"/>
        <w:ind w:left="564" w:right="132"/>
      </w:pPr>
      <w:r>
        <w:t>Land, buildings and the art collection are capitalised and shown at fair value, based on periodic, but at least triennial, valuations by external independent valuers, less subsequent depreciation for buildings. Any accumulated depreciation at the date of revaluation is eliminated against the gross carrying amount of the asset and the carrying amount is adjusted to the revalued amount of the asset.</w:t>
      </w:r>
    </w:p>
    <w:p w14:paraId="457C7DE2" w14:textId="77777777" w:rsidR="00FA4AA8" w:rsidRDefault="00FA4AA8">
      <w:pPr>
        <w:pStyle w:val="BodyText"/>
        <w:spacing w:before="10"/>
        <w:rPr>
          <w:sz w:val="24"/>
        </w:rPr>
      </w:pPr>
    </w:p>
    <w:p w14:paraId="53F62210" w14:textId="77777777" w:rsidR="00FA4AA8" w:rsidRDefault="0015611F">
      <w:pPr>
        <w:pStyle w:val="BodyText"/>
        <w:ind w:left="564" w:right="132"/>
      </w:pPr>
      <w:r>
        <w:t>The Group undertakes regular reviews of its land holdings in light of the future economic footprint of the University. Re- evaluation may be undertaken from time to time on land originally designated for educational use with a view to realising monies via sale or joint development, following appropriate rezoning of the land to allow for alternate</w:t>
      </w:r>
      <w:r>
        <w:rPr>
          <w:spacing w:val="17"/>
        </w:rPr>
        <w:t xml:space="preserve"> </w:t>
      </w:r>
      <w:r>
        <w:t>uses.</w:t>
      </w:r>
    </w:p>
    <w:p w14:paraId="2485AD49" w14:textId="77777777" w:rsidR="00FA4AA8" w:rsidRDefault="00FA4AA8">
      <w:pPr>
        <w:pStyle w:val="BodyText"/>
        <w:spacing w:before="10"/>
        <w:rPr>
          <w:sz w:val="24"/>
        </w:rPr>
      </w:pPr>
    </w:p>
    <w:p w14:paraId="37558B75" w14:textId="77777777" w:rsidR="00FA4AA8" w:rsidRDefault="0015611F">
      <w:pPr>
        <w:pStyle w:val="BodyText"/>
        <w:ind w:left="564" w:right="132"/>
      </w:pPr>
      <w:r>
        <w:t>The fair value of land is the amount for which the land could be exchanged between willing parties in an arms length transaction, based on market prices for similar properties, with similar zoning, in comparable locations and condition. The Group expects that the fair value of land already rezoned to allow for alternate use shall be different to land available for educational use only. Valuers engaged to determine the fair value of the land have taken into account the intended use and ultimate disposal of the land, as applicable.</w:t>
      </w:r>
    </w:p>
    <w:p w14:paraId="67D3DB59" w14:textId="77777777" w:rsidR="00FA4AA8" w:rsidRDefault="00FA4AA8">
      <w:pPr>
        <w:pStyle w:val="BodyText"/>
        <w:spacing w:before="9"/>
        <w:rPr>
          <w:sz w:val="24"/>
        </w:rPr>
      </w:pPr>
    </w:p>
    <w:p w14:paraId="4592C8FD" w14:textId="77777777" w:rsidR="00FA4AA8" w:rsidRDefault="0015611F">
      <w:pPr>
        <w:pStyle w:val="BodyText"/>
        <w:ind w:left="564"/>
      </w:pPr>
      <w:r>
        <w:t>Valuation for land and new or refurbished buildings was undertaken as at 31 August 2018 by external experts in accordance with AASB 13. Land and buildings were revalued on the basis of highest and best use.</w:t>
      </w:r>
    </w:p>
    <w:p w14:paraId="2B355BB7" w14:textId="77777777" w:rsidR="00FA4AA8" w:rsidRDefault="00FA4AA8">
      <w:pPr>
        <w:pStyle w:val="BodyText"/>
        <w:spacing w:before="11"/>
        <w:rPr>
          <w:sz w:val="24"/>
        </w:rPr>
      </w:pPr>
    </w:p>
    <w:p w14:paraId="390C5219" w14:textId="77777777" w:rsidR="00FA4AA8" w:rsidRDefault="0015611F">
      <w:pPr>
        <w:pStyle w:val="BodyText"/>
        <w:ind w:left="564" w:right="99"/>
      </w:pPr>
      <w:r>
        <w:t xml:space="preserve">For non-completed assets, construction costs totalling $9.996M incurred up to the reporting date were capitalised subsequent to the buildings revaluation. The scope of the valuation did not include revaluation of these buildings. The value of these refurbished buildings is based on the 31 August 2017 revaluation by the Valuer plus the construction costs capitalised in 2018. Due to the specialised nature of buildings and the lack of directly comparable sales   evidence, the 31 August 2018 valuation for new and refurbished buildings was undertaken utilising the Summation Valuation approach, whereby the cost to construct improvements as new is estimated and that amount depreciated, after taking into consideration the nature and design of the improvements, their age and the current condition. In determining the value of each building, the exterior dimensions of each building were calculated from the detailed room specifications maintained by the University and extrapolated by the valuer's knowledge of current building rates on a square metre basis. The resultant value as at reporting date was then adjusted for the estimated remaining useful </w:t>
      </w:r>
      <w:r w:rsidR="00BD3B1F">
        <w:t>life of</w:t>
      </w:r>
      <w:r>
        <w:t xml:space="preserve"> each building. The depreciated replacement cost of the improvements was then added to the underlying land value, which was derived after analysis of comparable sales</w:t>
      </w:r>
      <w:r>
        <w:rPr>
          <w:spacing w:val="2"/>
        </w:rPr>
        <w:t xml:space="preserve"> </w:t>
      </w:r>
      <w:r>
        <w:t>evidence.</w:t>
      </w:r>
    </w:p>
    <w:p w14:paraId="28B66206" w14:textId="77777777" w:rsidR="00FA4AA8" w:rsidRDefault="00FA4AA8">
      <w:pPr>
        <w:pStyle w:val="BodyText"/>
        <w:spacing w:before="5"/>
        <w:rPr>
          <w:sz w:val="24"/>
        </w:rPr>
      </w:pPr>
    </w:p>
    <w:p w14:paraId="77DB4AF4" w14:textId="77777777" w:rsidR="00FA4AA8" w:rsidRDefault="0015611F">
      <w:pPr>
        <w:pStyle w:val="BodyText"/>
        <w:ind w:left="564" w:right="132"/>
      </w:pPr>
      <w:r>
        <w:t>In valuing the art collection, the Valuer utilised certain historical facts and relevant market data available up to the date of the valuation. The most recent valuation was completed as at 31 December</w:t>
      </w:r>
      <w:r>
        <w:rPr>
          <w:spacing w:val="13"/>
        </w:rPr>
        <w:t xml:space="preserve"> </w:t>
      </w:r>
      <w:r>
        <w:t>2016.</w:t>
      </w:r>
    </w:p>
    <w:p w14:paraId="32D77D7C" w14:textId="77777777" w:rsidR="00FA4AA8" w:rsidRDefault="00FA4AA8">
      <w:pPr>
        <w:pStyle w:val="BodyText"/>
        <w:spacing w:before="11"/>
        <w:rPr>
          <w:sz w:val="24"/>
        </w:rPr>
      </w:pPr>
    </w:p>
    <w:p w14:paraId="0FF5C7DB" w14:textId="77777777" w:rsidR="00FA4AA8" w:rsidRDefault="0015611F">
      <w:pPr>
        <w:pStyle w:val="BodyText"/>
        <w:ind w:left="564" w:right="220"/>
      </w:pPr>
      <w:r>
        <w:t>All other property, plant and equipment is stated at historical cost less depreciation. Historical cost includes expenditure that is directly attributable to the acquisition and installation of the</w:t>
      </w:r>
      <w:r>
        <w:rPr>
          <w:spacing w:val="12"/>
        </w:rPr>
        <w:t xml:space="preserve"> </w:t>
      </w:r>
      <w:r>
        <w:t>items.</w:t>
      </w:r>
    </w:p>
    <w:p w14:paraId="6300CCD0" w14:textId="77777777" w:rsidR="00FA4AA8" w:rsidRDefault="00FA4AA8">
      <w:pPr>
        <w:pStyle w:val="BodyText"/>
        <w:spacing w:before="11"/>
        <w:rPr>
          <w:sz w:val="24"/>
        </w:rPr>
      </w:pPr>
    </w:p>
    <w:p w14:paraId="30BE2081" w14:textId="77777777" w:rsidR="00FA4AA8" w:rsidRDefault="0015611F">
      <w:pPr>
        <w:pStyle w:val="BodyText"/>
        <w:ind w:left="563" w:right="220"/>
      </w:pPr>
      <w:r>
        <w:t>Subsequent costs are included in the asset's carrying amount or recognised as a separate asset, as appropriate, only when it is probable that future economic benefits associated with the item will flow to the Group and the cost of the item can be measured reliably. All other repairs and maintenance are charged to the income statement during the financial period in which they are incurred.</w:t>
      </w:r>
    </w:p>
    <w:p w14:paraId="08F1BFA5" w14:textId="77777777" w:rsidR="00FA4AA8" w:rsidRDefault="00FA4AA8">
      <w:pPr>
        <w:pStyle w:val="BodyText"/>
        <w:spacing w:before="9"/>
        <w:rPr>
          <w:sz w:val="24"/>
        </w:rPr>
      </w:pPr>
    </w:p>
    <w:p w14:paraId="3D51DB0F" w14:textId="77777777" w:rsidR="00FA4AA8" w:rsidRDefault="0015611F">
      <w:pPr>
        <w:pStyle w:val="BodyText"/>
        <w:spacing w:before="1"/>
        <w:ind w:left="564" w:right="220"/>
      </w:pPr>
      <w:r>
        <w:t>Increases in the carrying amounts arising on revaluation of land and buildings are recognised, net of tax, in other comprehensive income and accumulated in equity under the heading of revaluation surplus. To the extent that the increase reverses a decrease previously recognised in profit or loss, the increase is first recognised in profit or loss. Decreases that reverse previous increases of the same asset class are also recognised in other comprehensive income to the extent of the remaining reserve attributable to the asset class. All other decreases are charged to the income statement.</w:t>
      </w:r>
    </w:p>
    <w:p w14:paraId="084D982F" w14:textId="77777777" w:rsidR="00FA4AA8" w:rsidRDefault="00FA4AA8">
      <w:pPr>
        <w:sectPr w:rsidR="00FA4AA8">
          <w:headerReference w:type="default" r:id="rId39"/>
          <w:footerReference w:type="default" r:id="rId40"/>
          <w:pgSz w:w="11910" w:h="16840"/>
          <w:pgMar w:top="2220" w:right="880" w:bottom="720" w:left="840" w:header="1016" w:footer="523" w:gutter="0"/>
          <w:pgNumType w:start="39"/>
          <w:cols w:space="720"/>
        </w:sectPr>
      </w:pPr>
    </w:p>
    <w:p w14:paraId="23D3EC5D" w14:textId="77777777" w:rsidR="00FA4AA8" w:rsidRDefault="00FA4AA8">
      <w:pPr>
        <w:pStyle w:val="BodyText"/>
        <w:rPr>
          <w:sz w:val="20"/>
        </w:rPr>
      </w:pPr>
    </w:p>
    <w:p w14:paraId="141F627C" w14:textId="77777777" w:rsidR="00FA4AA8" w:rsidRDefault="00FA4AA8">
      <w:pPr>
        <w:pStyle w:val="BodyText"/>
        <w:spacing w:before="10"/>
        <w:rPr>
          <w:sz w:val="29"/>
        </w:rPr>
      </w:pPr>
    </w:p>
    <w:p w14:paraId="1311F974" w14:textId="77777777" w:rsidR="00FA4AA8" w:rsidRDefault="0015611F">
      <w:pPr>
        <w:spacing w:before="94"/>
        <w:ind w:left="167"/>
        <w:rPr>
          <w:b/>
          <w:sz w:val="18"/>
        </w:rPr>
      </w:pPr>
      <w:r>
        <w:rPr>
          <w:b/>
          <w:sz w:val="18"/>
        </w:rPr>
        <w:t>19 Property, plant and equipment (continued)</w:t>
      </w:r>
    </w:p>
    <w:p w14:paraId="339B98C7" w14:textId="77777777" w:rsidR="00FA4AA8" w:rsidRDefault="00FA4AA8">
      <w:pPr>
        <w:pStyle w:val="BodyText"/>
        <w:spacing w:before="7"/>
        <w:rPr>
          <w:b/>
          <w:sz w:val="26"/>
        </w:rPr>
      </w:pPr>
    </w:p>
    <w:p w14:paraId="7340E8A0" w14:textId="77777777" w:rsidR="00FA4AA8" w:rsidRDefault="0015611F">
      <w:pPr>
        <w:ind w:left="564"/>
        <w:rPr>
          <w:i/>
          <w:sz w:val="18"/>
        </w:rPr>
      </w:pPr>
      <w:r>
        <w:rPr>
          <w:i/>
          <w:sz w:val="18"/>
          <w:u w:val="single"/>
        </w:rPr>
        <w:t>Accounting Policy (continued)</w:t>
      </w:r>
    </w:p>
    <w:p w14:paraId="1C293644" w14:textId="77777777" w:rsidR="00FA4AA8" w:rsidRDefault="00FA4AA8">
      <w:pPr>
        <w:pStyle w:val="BodyText"/>
        <w:spacing w:before="3"/>
        <w:rPr>
          <w:i/>
          <w:sz w:val="17"/>
        </w:rPr>
      </w:pPr>
    </w:p>
    <w:p w14:paraId="74139728" w14:textId="77777777" w:rsidR="00FA4AA8" w:rsidRDefault="0015611F">
      <w:pPr>
        <w:pStyle w:val="BodyText"/>
        <w:spacing w:before="94"/>
        <w:ind w:left="564" w:right="132"/>
      </w:pPr>
      <w:r>
        <w:t>The assets' residual values and useful lives are reviewed, and adjusted if appropriate, at the end of each reporting period.</w:t>
      </w:r>
    </w:p>
    <w:p w14:paraId="2E9ACC2C" w14:textId="77777777" w:rsidR="00FA4AA8" w:rsidRDefault="00FA4AA8">
      <w:pPr>
        <w:pStyle w:val="BodyText"/>
        <w:spacing w:before="11"/>
        <w:rPr>
          <w:sz w:val="24"/>
        </w:rPr>
      </w:pPr>
    </w:p>
    <w:p w14:paraId="03978A88" w14:textId="77777777" w:rsidR="00FA4AA8" w:rsidRDefault="0015611F">
      <w:pPr>
        <w:pStyle w:val="BodyText"/>
        <w:ind w:left="564" w:right="132"/>
      </w:pPr>
      <w:r>
        <w:t>An asset's carrying amount is written down immediately to its recoverable amount if the asset's carrying amount is greater than its estimated recoverable amount.</w:t>
      </w:r>
    </w:p>
    <w:p w14:paraId="67AA2F03" w14:textId="77777777" w:rsidR="00FA4AA8" w:rsidRDefault="00FA4AA8">
      <w:pPr>
        <w:pStyle w:val="BodyText"/>
        <w:spacing w:before="11"/>
        <w:rPr>
          <w:sz w:val="24"/>
        </w:rPr>
      </w:pPr>
    </w:p>
    <w:p w14:paraId="06DA7B5B" w14:textId="77777777" w:rsidR="00FA4AA8" w:rsidRDefault="0015611F">
      <w:pPr>
        <w:pStyle w:val="BodyText"/>
        <w:ind w:left="564" w:right="220"/>
      </w:pPr>
      <w:r>
        <w:t>Gains and losses on disposals are determined by comparing proceeds with carrying amounts. These are included in the income statement. When revalued assets are sold, it is Group policy to transfer the amount in reserves in respect of those assets to retained earnings.</w:t>
      </w:r>
    </w:p>
    <w:p w14:paraId="06BB0FCE" w14:textId="77777777" w:rsidR="00FA4AA8" w:rsidRDefault="00FA4AA8">
      <w:pPr>
        <w:pStyle w:val="BodyText"/>
        <w:spacing w:before="10"/>
        <w:rPr>
          <w:sz w:val="24"/>
        </w:rPr>
      </w:pPr>
    </w:p>
    <w:p w14:paraId="5159F8B9" w14:textId="77777777" w:rsidR="00FA4AA8" w:rsidRDefault="0015611F">
      <w:pPr>
        <w:ind w:left="564"/>
        <w:rPr>
          <w:b/>
          <w:sz w:val="18"/>
        </w:rPr>
      </w:pPr>
      <w:r>
        <w:rPr>
          <w:b/>
          <w:sz w:val="18"/>
        </w:rPr>
        <w:t>Finance leases</w:t>
      </w:r>
    </w:p>
    <w:p w14:paraId="03A7B577" w14:textId="77777777" w:rsidR="00FA4AA8" w:rsidRDefault="00FA4AA8">
      <w:pPr>
        <w:pStyle w:val="BodyText"/>
        <w:rPr>
          <w:b/>
          <w:sz w:val="25"/>
        </w:rPr>
      </w:pPr>
    </w:p>
    <w:p w14:paraId="53E94B0E" w14:textId="77777777" w:rsidR="00FA4AA8" w:rsidRDefault="0015611F">
      <w:pPr>
        <w:pStyle w:val="BodyText"/>
        <w:ind w:left="564" w:right="150"/>
      </w:pPr>
      <w:r>
        <w:t>Leases of property, plant and equipment where the University, as lessee, has substantially all the risks and rewards of ownership are classified as finance leases. Finance leases are capitalised at the lease’s inception at the lower of the fair value of the leased property and the present value of the minimum lease payments. The corresponding rental obligations, net of finance charges, are included in other short term and long term payables. Each lease payment is allocated between the liability and finance cost. The finance cost is charged to the income statement over the lease period so as to produce a constant periodic rate of interest on the remaining balance of the liability for each period.</w:t>
      </w:r>
    </w:p>
    <w:p w14:paraId="37F13419" w14:textId="77777777" w:rsidR="00FA4AA8" w:rsidRDefault="0015611F">
      <w:pPr>
        <w:pStyle w:val="BodyText"/>
        <w:ind w:left="564"/>
      </w:pPr>
      <w:r>
        <w:t>The property, plant and equipment acquired under finance leases are depreciated over the shorter of the asset’s useful life and the lease term.</w:t>
      </w:r>
    </w:p>
    <w:p w14:paraId="3B687F05" w14:textId="77777777" w:rsidR="00FA4AA8" w:rsidRDefault="00FA4AA8">
      <w:pPr>
        <w:sectPr w:rsidR="00FA4AA8">
          <w:pgSz w:w="11910" w:h="16840"/>
          <w:pgMar w:top="2220" w:right="880" w:bottom="720" w:left="840" w:header="1016" w:footer="523" w:gutter="0"/>
          <w:cols w:space="720"/>
        </w:sectPr>
      </w:pPr>
    </w:p>
    <w:p w14:paraId="32DDB7C9" w14:textId="77777777" w:rsidR="00FA4AA8" w:rsidRDefault="007E2441">
      <w:pPr>
        <w:pStyle w:val="BodyText"/>
        <w:rPr>
          <w:sz w:val="20"/>
        </w:rPr>
      </w:pPr>
      <w:r>
        <w:rPr>
          <w:noProof/>
          <w:lang w:val="en-AU" w:eastAsia="en-AU"/>
        </w:rPr>
        <mc:AlternateContent>
          <mc:Choice Requires="wpg">
            <w:drawing>
              <wp:anchor distT="0" distB="0" distL="114300" distR="114300" simplePos="0" relativeHeight="15746048" behindDoc="0" locked="0" layoutInCell="1" allowOverlap="1" wp14:anchorId="1B5C26B1" wp14:editId="39451377">
                <wp:simplePos x="0" y="0"/>
                <wp:positionH relativeFrom="page">
                  <wp:posOffset>3234055</wp:posOffset>
                </wp:positionH>
                <wp:positionV relativeFrom="page">
                  <wp:posOffset>8110855</wp:posOffset>
                </wp:positionV>
                <wp:extent cx="2516505" cy="16510"/>
                <wp:effectExtent l="0" t="0" r="0" b="0"/>
                <wp:wrapNone/>
                <wp:docPr id="2736" name="Group 2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6505" cy="16510"/>
                          <a:chOff x="5093" y="12773"/>
                          <a:chExt cx="5828" cy="39"/>
                        </a:xfrm>
                      </wpg:grpSpPr>
                      <wps:wsp>
                        <wps:cNvPr id="2737" name="Line 2530"/>
                        <wps:cNvCnPr>
                          <a:cxnSpLocks noChangeShapeType="1"/>
                        </wps:cNvCnPr>
                        <wps:spPr bwMode="auto">
                          <a:xfrm>
                            <a:off x="5093" y="12808"/>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738" name="Line 2529"/>
                        <wps:cNvCnPr>
                          <a:cxnSpLocks noChangeShapeType="1"/>
                        </wps:cNvCnPr>
                        <wps:spPr bwMode="auto">
                          <a:xfrm>
                            <a:off x="5093" y="12811"/>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739" name="Line 2528"/>
                        <wps:cNvCnPr>
                          <a:cxnSpLocks noChangeShapeType="1"/>
                        </wps:cNvCnPr>
                        <wps:spPr bwMode="auto">
                          <a:xfrm>
                            <a:off x="6226" y="12799"/>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740" name="Line 2527"/>
                        <wps:cNvCnPr>
                          <a:cxnSpLocks noChangeShapeType="1"/>
                        </wps:cNvCnPr>
                        <wps:spPr bwMode="auto">
                          <a:xfrm>
                            <a:off x="6226" y="1280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741" name="Line 2526"/>
                        <wps:cNvCnPr>
                          <a:cxnSpLocks noChangeShapeType="1"/>
                        </wps:cNvCnPr>
                        <wps:spPr bwMode="auto">
                          <a:xfrm>
                            <a:off x="6226" y="1280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742" name="Line 2525"/>
                        <wps:cNvCnPr>
                          <a:cxnSpLocks noChangeShapeType="1"/>
                        </wps:cNvCnPr>
                        <wps:spPr bwMode="auto">
                          <a:xfrm>
                            <a:off x="6226" y="12806"/>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743" name="Line 2524"/>
                        <wps:cNvCnPr>
                          <a:cxnSpLocks noChangeShapeType="1"/>
                        </wps:cNvCnPr>
                        <wps:spPr bwMode="auto">
                          <a:xfrm>
                            <a:off x="6226" y="1280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744" name="Line 2523"/>
                        <wps:cNvCnPr>
                          <a:cxnSpLocks noChangeShapeType="1"/>
                        </wps:cNvCnPr>
                        <wps:spPr bwMode="auto">
                          <a:xfrm>
                            <a:off x="6226" y="1281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745" name="Line 2522"/>
                        <wps:cNvCnPr>
                          <a:cxnSpLocks noChangeShapeType="1"/>
                        </wps:cNvCnPr>
                        <wps:spPr bwMode="auto">
                          <a:xfrm>
                            <a:off x="7522" y="12799"/>
                            <a:ext cx="1132"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746" name="Line 2521"/>
                        <wps:cNvCnPr>
                          <a:cxnSpLocks noChangeShapeType="1"/>
                        </wps:cNvCnPr>
                        <wps:spPr bwMode="auto">
                          <a:xfrm>
                            <a:off x="7522" y="12801"/>
                            <a:ext cx="1132"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747" name="Line 2520"/>
                        <wps:cNvCnPr>
                          <a:cxnSpLocks noChangeShapeType="1"/>
                        </wps:cNvCnPr>
                        <wps:spPr bwMode="auto">
                          <a:xfrm>
                            <a:off x="7522" y="12803"/>
                            <a:ext cx="1132"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748" name="Line 2519"/>
                        <wps:cNvCnPr>
                          <a:cxnSpLocks noChangeShapeType="1"/>
                        </wps:cNvCnPr>
                        <wps:spPr bwMode="auto">
                          <a:xfrm>
                            <a:off x="7522" y="12806"/>
                            <a:ext cx="1132"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749" name="Line 2518"/>
                        <wps:cNvCnPr>
                          <a:cxnSpLocks noChangeShapeType="1"/>
                        </wps:cNvCnPr>
                        <wps:spPr bwMode="auto">
                          <a:xfrm>
                            <a:off x="7522" y="12808"/>
                            <a:ext cx="1132"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750" name="Line 2517"/>
                        <wps:cNvCnPr>
                          <a:cxnSpLocks noChangeShapeType="1"/>
                        </wps:cNvCnPr>
                        <wps:spPr bwMode="auto">
                          <a:xfrm>
                            <a:off x="7522" y="12811"/>
                            <a:ext cx="1132"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751" name="Line 2516"/>
                        <wps:cNvCnPr>
                          <a:cxnSpLocks noChangeShapeType="1"/>
                        </wps:cNvCnPr>
                        <wps:spPr bwMode="auto">
                          <a:xfrm>
                            <a:off x="8654" y="12799"/>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752" name="Line 2515"/>
                        <wps:cNvCnPr>
                          <a:cxnSpLocks noChangeShapeType="1"/>
                        </wps:cNvCnPr>
                        <wps:spPr bwMode="auto">
                          <a:xfrm>
                            <a:off x="8654" y="12801"/>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753" name="Line 2514"/>
                        <wps:cNvCnPr>
                          <a:cxnSpLocks noChangeShapeType="1"/>
                        </wps:cNvCnPr>
                        <wps:spPr bwMode="auto">
                          <a:xfrm>
                            <a:off x="8654" y="12803"/>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754" name="Line 2513"/>
                        <wps:cNvCnPr>
                          <a:cxnSpLocks noChangeShapeType="1"/>
                        </wps:cNvCnPr>
                        <wps:spPr bwMode="auto">
                          <a:xfrm>
                            <a:off x="8654" y="12806"/>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755" name="Line 2512"/>
                        <wps:cNvCnPr>
                          <a:cxnSpLocks noChangeShapeType="1"/>
                        </wps:cNvCnPr>
                        <wps:spPr bwMode="auto">
                          <a:xfrm>
                            <a:off x="8654" y="12808"/>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756" name="Line 2511"/>
                        <wps:cNvCnPr>
                          <a:cxnSpLocks noChangeShapeType="1"/>
                        </wps:cNvCnPr>
                        <wps:spPr bwMode="auto">
                          <a:xfrm>
                            <a:off x="8654" y="12811"/>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757" name="Line 2510"/>
                        <wps:cNvCnPr>
                          <a:cxnSpLocks noChangeShapeType="1"/>
                        </wps:cNvCnPr>
                        <wps:spPr bwMode="auto">
                          <a:xfrm>
                            <a:off x="9787" y="12775"/>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758" name="Line 2509"/>
                        <wps:cNvCnPr>
                          <a:cxnSpLocks noChangeShapeType="1"/>
                        </wps:cNvCnPr>
                        <wps:spPr bwMode="auto">
                          <a:xfrm>
                            <a:off x="9787" y="12777"/>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759" name="Line 2508"/>
                        <wps:cNvCnPr>
                          <a:cxnSpLocks noChangeShapeType="1"/>
                        </wps:cNvCnPr>
                        <wps:spPr bwMode="auto">
                          <a:xfrm>
                            <a:off x="9787" y="12799"/>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760" name="Line 2507"/>
                        <wps:cNvCnPr>
                          <a:cxnSpLocks noChangeShapeType="1"/>
                        </wps:cNvCnPr>
                        <wps:spPr bwMode="auto">
                          <a:xfrm>
                            <a:off x="9787" y="12801"/>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761" name="Line 2506"/>
                        <wps:cNvCnPr>
                          <a:cxnSpLocks noChangeShapeType="1"/>
                        </wps:cNvCnPr>
                        <wps:spPr bwMode="auto">
                          <a:xfrm>
                            <a:off x="9787" y="12803"/>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762" name="Line 2505"/>
                        <wps:cNvCnPr>
                          <a:cxnSpLocks noChangeShapeType="1"/>
                        </wps:cNvCnPr>
                        <wps:spPr bwMode="auto">
                          <a:xfrm>
                            <a:off x="9787" y="12806"/>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763" name="Line 2504"/>
                        <wps:cNvCnPr>
                          <a:cxnSpLocks noChangeShapeType="1"/>
                        </wps:cNvCnPr>
                        <wps:spPr bwMode="auto">
                          <a:xfrm>
                            <a:off x="9787" y="12808"/>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764" name="Line 2503"/>
                        <wps:cNvCnPr>
                          <a:cxnSpLocks noChangeShapeType="1"/>
                        </wps:cNvCnPr>
                        <wps:spPr bwMode="auto">
                          <a:xfrm>
                            <a:off x="9787" y="12811"/>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696103" id="Group 2502" o:spid="_x0000_s1026" style="position:absolute;margin-left:254.65pt;margin-top:638.65pt;width:198.15pt;height:1.3pt;z-index:15746048;mso-position-horizontal-relative:page;mso-position-vertical-relative:page" coordorigin="5093,12773" coordsize="582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">
                <v:line id="Line 2530" o:spid="_x0000_s1027" style="position:absolute;visibility:visible;mso-wrap-style:square" from="5093,12808" to="6226,1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" strokeweight=".12pt"/>
                <v:line id="Line 2529" o:spid="_x0000_s1028" style="position:absolute;visibility:visible;mso-wrap-style:square" from="5093,12811" to="6226,12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" strokeweight=".12pt"/>
                <v:line id="Line 2528" o:spid="_x0000_s1029" style="position:absolute;visibility:visible;mso-wrap-style:square" from="6226,12799" to="7522,12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" strokeweight=".12pt"/>
                <v:line id="Line 2527" o:spid="_x0000_s1030" style="position:absolute;visibility:visible;mso-wrap-style:square" from="6226,12801" to="7522,1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" strokeweight=".12pt"/>
                <v:line id="Line 2526" o:spid="_x0000_s1031" style="position:absolute;visibility:visible;mso-wrap-style:square" from="6226,12803" to="7522,12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" strokeweight=".12pt"/>
                <v:line id="Line 2525" o:spid="_x0000_s1032" style="position:absolute;visibility:visible;mso-wrap-style:square" from="6226,12806" to="7522,12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" strokeweight=".12pt"/>
                <v:line id="Line 2524" o:spid="_x0000_s1033" style="position:absolute;visibility:visible;mso-wrap-style:square" from="6226,12808" to="7522,1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" strokeweight=".12pt"/>
                <v:line id="Line 2523" o:spid="_x0000_s1034" style="position:absolute;visibility:visible;mso-wrap-style:square" from="6226,12811" to="7522,12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" strokeweight=".12pt"/>
                <v:line id="Line 2522" o:spid="_x0000_s1035" style="position:absolute;visibility:visible;mso-wrap-style:square" from="7522,12799" to="8654,12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" strokeweight=".12pt"/>
                <v:line id="Line 2521" o:spid="_x0000_s1036" style="position:absolute;visibility:visible;mso-wrap-style:square" from="7522,12801" to="8654,1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" strokeweight=".12pt"/>
                <v:line id="Line 2520" o:spid="_x0000_s1037" style="position:absolute;visibility:visible;mso-wrap-style:square" from="7522,12803" to="8654,12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" strokeweight=".12pt"/>
                <v:line id="Line 2519" o:spid="_x0000_s1038" style="position:absolute;visibility:visible;mso-wrap-style:square" from="7522,12806" to="8654,12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" strokeweight=".12pt"/>
                <v:line id="Line 2518" o:spid="_x0000_s1039" style="position:absolute;visibility:visible;mso-wrap-style:square" from="7522,12808" to="8654,1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" strokeweight=".12pt"/>
                <v:line id="Line 2517" o:spid="_x0000_s1040" style="position:absolute;visibility:visible;mso-wrap-style:square" from="7522,12811" to="8654,12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" strokeweight=".12pt"/>
                <v:line id="Line 2516" o:spid="_x0000_s1041" style="position:absolute;visibility:visible;mso-wrap-style:square" from="8654,12799" to="9787,12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" strokeweight=".12pt"/>
                <v:line id="Line 2515" o:spid="_x0000_s1042" style="position:absolute;visibility:visible;mso-wrap-style:square" from="8654,12801" to="9787,1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" strokeweight=".12pt"/>
                <v:line id="Line 2514" o:spid="_x0000_s1043" style="position:absolute;visibility:visible;mso-wrap-style:square" from="8654,12803" to="9787,12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" strokeweight=".12pt"/>
                <v:line id="Line 2513" o:spid="_x0000_s1044" style="position:absolute;visibility:visible;mso-wrap-style:square" from="8654,12806" to="9787,12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" strokeweight=".12pt"/>
                <v:line id="Line 2512" o:spid="_x0000_s1045" style="position:absolute;visibility:visible;mso-wrap-style:square" from="8654,12808" to="9787,1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" strokeweight=".12pt"/>
                <v:line id="Line 2511" o:spid="_x0000_s1046" style="position:absolute;visibility:visible;mso-wrap-style:square" from="8654,12811" to="9787,12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" strokeweight=".12pt"/>
                <v:line id="Line 2510" o:spid="_x0000_s1047" style="position:absolute;visibility:visible;mso-wrap-style:square" from="9787,12775" to="10920,12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" strokeweight=".12pt"/>
                <v:line id="Line 2509" o:spid="_x0000_s1048" style="position:absolute;visibility:visible;mso-wrap-style:square" from="9787,12777" to="10920,12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" strokeweight=".12pt"/>
                <v:line id="Line 2508" o:spid="_x0000_s1049" style="position:absolute;visibility:visible;mso-wrap-style:square" from="9787,12799" to="10920,12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" strokeweight=".12pt"/>
                <v:line id="Line 2507" o:spid="_x0000_s1050" style="position:absolute;visibility:visible;mso-wrap-style:square" from="9787,12801" to="10920,1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" strokeweight=".12pt"/>
                <v:line id="Line 2506" o:spid="_x0000_s1051" style="position:absolute;visibility:visible;mso-wrap-style:square" from="9787,12803" to="10920,12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" strokeweight=".12pt"/>
                <v:line id="Line 2505" o:spid="_x0000_s1052" style="position:absolute;visibility:visible;mso-wrap-style:square" from="9787,12806" to="10920,12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" strokeweight=".12pt"/>
                <v:line id="Line 2504" o:spid="_x0000_s1053" style="position:absolute;visibility:visible;mso-wrap-style:square" from="9787,12808" to="10920,1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" strokeweight=".12pt"/>
                <v:line id="Line 2503" o:spid="_x0000_s1054" style="position:absolute;visibility:visible;mso-wrap-style:square" from="9787,12811" to="10920,12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" strokeweight=".12pt"/>
                <w10:wrap anchorx="page" anchory="page"/>
              </v:group>
            </w:pict>
          </mc:Fallback>
        </mc:AlternateContent>
      </w:r>
    </w:p>
    <w:p w14:paraId="7EE0731B" w14:textId="77777777" w:rsidR="00FA4AA8" w:rsidRDefault="00FA4AA8">
      <w:pPr>
        <w:pStyle w:val="BodyText"/>
        <w:rPr>
          <w:sz w:val="20"/>
        </w:rPr>
      </w:pPr>
    </w:p>
    <w:p w14:paraId="03ACD1E4" w14:textId="77777777" w:rsidR="00FA4AA8" w:rsidRDefault="00FA4AA8">
      <w:pPr>
        <w:pStyle w:val="BodyText"/>
        <w:spacing w:before="6"/>
      </w:pPr>
    </w:p>
    <w:tbl>
      <w:tblPr>
        <w:tblW w:w="0" w:type="auto"/>
        <w:tblInd w:w="125" w:type="dxa"/>
        <w:tblLayout w:type="fixed"/>
        <w:tblCellMar>
          <w:left w:w="0" w:type="dxa"/>
          <w:right w:w="0" w:type="dxa"/>
        </w:tblCellMar>
        <w:tblLook w:val="01E0" w:firstRow="1" w:lastRow="1" w:firstColumn="1" w:lastColumn="1" w:noHBand="0" w:noVBand="0"/>
      </w:tblPr>
      <w:tblGrid>
        <w:gridCol w:w="349"/>
        <w:gridCol w:w="3786"/>
        <w:gridCol w:w="1170"/>
        <w:gridCol w:w="1345"/>
        <w:gridCol w:w="1107"/>
        <w:gridCol w:w="1239"/>
        <w:gridCol w:w="964"/>
      </w:tblGrid>
      <w:tr w:rsidR="00FA4AA8" w14:paraId="3647A931" w14:textId="77777777">
        <w:trPr>
          <w:trHeight w:val="1178"/>
        </w:trPr>
        <w:tc>
          <w:tcPr>
            <w:tcW w:w="349" w:type="dxa"/>
          </w:tcPr>
          <w:p w14:paraId="17FCCDB4" w14:textId="77777777" w:rsidR="00FA4AA8" w:rsidRDefault="0015611F">
            <w:pPr>
              <w:pStyle w:val="TableParagraph"/>
              <w:spacing w:line="201" w:lineRule="exact"/>
              <w:ind w:left="50"/>
              <w:rPr>
                <w:b/>
                <w:sz w:val="18"/>
              </w:rPr>
            </w:pPr>
            <w:bookmarkStart w:id="45" w:name="20_Intangible_Assets_"/>
            <w:bookmarkEnd w:id="45"/>
            <w:r>
              <w:rPr>
                <w:b/>
                <w:sz w:val="18"/>
              </w:rPr>
              <w:t>20</w:t>
            </w:r>
          </w:p>
        </w:tc>
        <w:tc>
          <w:tcPr>
            <w:tcW w:w="3786" w:type="dxa"/>
          </w:tcPr>
          <w:p w14:paraId="586C3CDE" w14:textId="77777777" w:rsidR="00FA4AA8" w:rsidRDefault="0015611F">
            <w:pPr>
              <w:pStyle w:val="TableParagraph"/>
              <w:spacing w:line="201" w:lineRule="exact"/>
              <w:ind w:left="97"/>
              <w:rPr>
                <w:b/>
                <w:sz w:val="18"/>
              </w:rPr>
            </w:pPr>
            <w:r>
              <w:rPr>
                <w:b/>
                <w:sz w:val="18"/>
              </w:rPr>
              <w:t>Intangible Assets</w:t>
            </w:r>
          </w:p>
        </w:tc>
        <w:tc>
          <w:tcPr>
            <w:tcW w:w="1170" w:type="dxa"/>
          </w:tcPr>
          <w:p w14:paraId="4B67FF9E" w14:textId="77777777" w:rsidR="00FA4AA8" w:rsidRDefault="00FA4AA8">
            <w:pPr>
              <w:pStyle w:val="TableParagraph"/>
              <w:rPr>
                <w:sz w:val="20"/>
              </w:rPr>
            </w:pPr>
          </w:p>
          <w:p w14:paraId="6FC62A9C" w14:textId="77777777" w:rsidR="00FA4AA8" w:rsidRDefault="00FA4AA8">
            <w:pPr>
              <w:pStyle w:val="TableParagraph"/>
              <w:rPr>
                <w:sz w:val="20"/>
              </w:rPr>
            </w:pPr>
          </w:p>
          <w:p w14:paraId="205D9730" w14:textId="77777777" w:rsidR="00FA4AA8" w:rsidRDefault="00FA4AA8">
            <w:pPr>
              <w:pStyle w:val="TableParagraph"/>
              <w:rPr>
                <w:sz w:val="20"/>
              </w:rPr>
            </w:pPr>
          </w:p>
          <w:p w14:paraId="417DD14C" w14:textId="77777777" w:rsidR="00FA4AA8" w:rsidRDefault="00FA4AA8">
            <w:pPr>
              <w:pStyle w:val="TableParagraph"/>
              <w:spacing w:before="3"/>
              <w:rPr>
                <w:sz w:val="21"/>
              </w:rPr>
            </w:pPr>
          </w:p>
          <w:p w14:paraId="12D327AE" w14:textId="77777777" w:rsidR="00FA4AA8" w:rsidRDefault="0015611F">
            <w:pPr>
              <w:pStyle w:val="TableParagraph"/>
              <w:ind w:left="206"/>
              <w:rPr>
                <w:b/>
                <w:sz w:val="18"/>
              </w:rPr>
            </w:pPr>
            <w:r>
              <w:rPr>
                <w:b/>
                <w:sz w:val="18"/>
              </w:rPr>
              <w:t>Software</w:t>
            </w:r>
          </w:p>
        </w:tc>
        <w:tc>
          <w:tcPr>
            <w:tcW w:w="1345" w:type="dxa"/>
          </w:tcPr>
          <w:p w14:paraId="49A5F43C" w14:textId="77777777" w:rsidR="00FA4AA8" w:rsidRDefault="00FA4AA8">
            <w:pPr>
              <w:pStyle w:val="TableParagraph"/>
              <w:rPr>
                <w:sz w:val="20"/>
              </w:rPr>
            </w:pPr>
          </w:p>
          <w:p w14:paraId="7E977A35" w14:textId="77777777" w:rsidR="00FA4AA8" w:rsidRDefault="00FA4AA8">
            <w:pPr>
              <w:pStyle w:val="TableParagraph"/>
              <w:rPr>
                <w:sz w:val="20"/>
              </w:rPr>
            </w:pPr>
          </w:p>
          <w:p w14:paraId="14385059" w14:textId="77777777" w:rsidR="00FA4AA8" w:rsidRDefault="00FA4AA8">
            <w:pPr>
              <w:pStyle w:val="TableParagraph"/>
              <w:spacing w:before="4"/>
              <w:rPr>
                <w:sz w:val="23"/>
              </w:rPr>
            </w:pPr>
          </w:p>
          <w:p w14:paraId="4F6F1B02" w14:textId="77777777" w:rsidR="00FA4AA8" w:rsidRDefault="0015611F">
            <w:pPr>
              <w:pStyle w:val="TableParagraph"/>
              <w:ind w:left="397" w:right="129" w:hanging="332"/>
              <w:rPr>
                <w:b/>
                <w:sz w:val="18"/>
              </w:rPr>
            </w:pPr>
            <w:r>
              <w:rPr>
                <w:b/>
                <w:sz w:val="18"/>
              </w:rPr>
              <w:t>Development costs</w:t>
            </w:r>
          </w:p>
        </w:tc>
        <w:tc>
          <w:tcPr>
            <w:tcW w:w="1107" w:type="dxa"/>
          </w:tcPr>
          <w:p w14:paraId="746BE9CD" w14:textId="77777777" w:rsidR="00FA4AA8" w:rsidRDefault="00FA4AA8">
            <w:pPr>
              <w:pStyle w:val="TableParagraph"/>
              <w:rPr>
                <w:sz w:val="20"/>
              </w:rPr>
            </w:pPr>
          </w:p>
          <w:p w14:paraId="6AF541A6" w14:textId="77777777" w:rsidR="00FA4AA8" w:rsidRDefault="00FA4AA8">
            <w:pPr>
              <w:pStyle w:val="TableParagraph"/>
              <w:rPr>
                <w:sz w:val="20"/>
              </w:rPr>
            </w:pPr>
          </w:p>
          <w:p w14:paraId="5DE477F6" w14:textId="77777777" w:rsidR="00FA4AA8" w:rsidRDefault="00FA4AA8">
            <w:pPr>
              <w:pStyle w:val="TableParagraph"/>
              <w:rPr>
                <w:sz w:val="20"/>
              </w:rPr>
            </w:pPr>
          </w:p>
          <w:p w14:paraId="20DAFF8C" w14:textId="77777777" w:rsidR="00FA4AA8" w:rsidRDefault="00FA4AA8">
            <w:pPr>
              <w:pStyle w:val="TableParagraph"/>
              <w:spacing w:before="3"/>
              <w:rPr>
                <w:sz w:val="21"/>
              </w:rPr>
            </w:pPr>
          </w:p>
          <w:p w14:paraId="0C8A55E9" w14:textId="77777777" w:rsidR="00FA4AA8" w:rsidRDefault="0015611F">
            <w:pPr>
              <w:pStyle w:val="TableParagraph"/>
              <w:ind w:left="115"/>
              <w:rPr>
                <w:b/>
                <w:sz w:val="18"/>
              </w:rPr>
            </w:pPr>
            <w:r>
              <w:rPr>
                <w:b/>
                <w:sz w:val="18"/>
              </w:rPr>
              <w:t>Licences</w:t>
            </w:r>
          </w:p>
        </w:tc>
        <w:tc>
          <w:tcPr>
            <w:tcW w:w="1239" w:type="dxa"/>
          </w:tcPr>
          <w:p w14:paraId="320E7A07" w14:textId="77777777" w:rsidR="00FA4AA8" w:rsidRDefault="00FA4AA8">
            <w:pPr>
              <w:pStyle w:val="TableParagraph"/>
              <w:rPr>
                <w:sz w:val="20"/>
              </w:rPr>
            </w:pPr>
          </w:p>
          <w:p w14:paraId="706C22BA" w14:textId="77777777" w:rsidR="00FA4AA8" w:rsidRDefault="00FA4AA8">
            <w:pPr>
              <w:pStyle w:val="TableParagraph"/>
              <w:rPr>
                <w:sz w:val="20"/>
              </w:rPr>
            </w:pPr>
          </w:p>
          <w:p w14:paraId="7F7D1EA5" w14:textId="77777777" w:rsidR="00FA4AA8" w:rsidRDefault="00FA4AA8">
            <w:pPr>
              <w:pStyle w:val="TableParagraph"/>
              <w:spacing w:before="4"/>
              <w:rPr>
                <w:sz w:val="23"/>
              </w:rPr>
            </w:pPr>
          </w:p>
          <w:p w14:paraId="7E0DA17D" w14:textId="77777777" w:rsidR="00FA4AA8" w:rsidRDefault="0015611F">
            <w:pPr>
              <w:pStyle w:val="TableParagraph"/>
              <w:ind w:left="136" w:right="258" w:hanging="46"/>
              <w:rPr>
                <w:b/>
                <w:sz w:val="18"/>
              </w:rPr>
            </w:pPr>
            <w:r>
              <w:rPr>
                <w:b/>
                <w:sz w:val="18"/>
              </w:rPr>
              <w:t>Electronic Materials</w:t>
            </w:r>
          </w:p>
        </w:tc>
        <w:tc>
          <w:tcPr>
            <w:tcW w:w="964" w:type="dxa"/>
          </w:tcPr>
          <w:p w14:paraId="6BF93ADC" w14:textId="77777777" w:rsidR="00FA4AA8" w:rsidRDefault="00FA4AA8">
            <w:pPr>
              <w:pStyle w:val="TableParagraph"/>
              <w:rPr>
                <w:sz w:val="20"/>
              </w:rPr>
            </w:pPr>
          </w:p>
          <w:p w14:paraId="5353ECE7" w14:textId="77777777" w:rsidR="00FA4AA8" w:rsidRDefault="00FA4AA8">
            <w:pPr>
              <w:pStyle w:val="TableParagraph"/>
              <w:rPr>
                <w:sz w:val="20"/>
              </w:rPr>
            </w:pPr>
          </w:p>
          <w:p w14:paraId="55B431CF" w14:textId="77777777" w:rsidR="00FA4AA8" w:rsidRDefault="00FA4AA8">
            <w:pPr>
              <w:pStyle w:val="TableParagraph"/>
              <w:rPr>
                <w:sz w:val="20"/>
              </w:rPr>
            </w:pPr>
          </w:p>
          <w:p w14:paraId="7CE7AE82" w14:textId="77777777" w:rsidR="00FA4AA8" w:rsidRDefault="00FA4AA8">
            <w:pPr>
              <w:pStyle w:val="TableParagraph"/>
              <w:spacing w:before="3"/>
              <w:rPr>
                <w:sz w:val="21"/>
              </w:rPr>
            </w:pPr>
          </w:p>
          <w:p w14:paraId="5F1EA909" w14:textId="77777777" w:rsidR="00FA4AA8" w:rsidRDefault="0015611F">
            <w:pPr>
              <w:pStyle w:val="TableParagraph"/>
              <w:ind w:left="205"/>
              <w:rPr>
                <w:b/>
                <w:sz w:val="18"/>
              </w:rPr>
            </w:pPr>
            <w:r>
              <w:rPr>
                <w:b/>
                <w:sz w:val="18"/>
              </w:rPr>
              <w:t>Total</w:t>
            </w:r>
          </w:p>
        </w:tc>
      </w:tr>
      <w:tr w:rsidR="00FA4AA8" w14:paraId="3A47FAD9" w14:textId="77777777">
        <w:trPr>
          <w:trHeight w:val="313"/>
        </w:trPr>
        <w:tc>
          <w:tcPr>
            <w:tcW w:w="349" w:type="dxa"/>
          </w:tcPr>
          <w:p w14:paraId="76329E5B" w14:textId="77777777" w:rsidR="00FA4AA8" w:rsidRDefault="00FA4AA8">
            <w:pPr>
              <w:pStyle w:val="TableParagraph"/>
              <w:rPr>
                <w:rFonts w:ascii="Times New Roman"/>
                <w:sz w:val="18"/>
              </w:rPr>
            </w:pPr>
          </w:p>
        </w:tc>
        <w:tc>
          <w:tcPr>
            <w:tcW w:w="3786" w:type="dxa"/>
          </w:tcPr>
          <w:p w14:paraId="0EF1F5EF" w14:textId="77777777" w:rsidR="00FA4AA8" w:rsidRDefault="0015611F">
            <w:pPr>
              <w:pStyle w:val="TableParagraph"/>
              <w:spacing w:before="30"/>
              <w:ind w:left="140"/>
              <w:rPr>
                <w:b/>
                <w:sz w:val="18"/>
              </w:rPr>
            </w:pPr>
            <w:r>
              <w:rPr>
                <w:b/>
                <w:sz w:val="18"/>
              </w:rPr>
              <w:t>Consolidated</w:t>
            </w:r>
          </w:p>
        </w:tc>
        <w:tc>
          <w:tcPr>
            <w:tcW w:w="1170" w:type="dxa"/>
          </w:tcPr>
          <w:p w14:paraId="73748273" w14:textId="77777777" w:rsidR="00FA4AA8" w:rsidRDefault="0015611F">
            <w:pPr>
              <w:pStyle w:val="TableParagraph"/>
              <w:spacing w:before="30"/>
              <w:ind w:left="364"/>
              <w:rPr>
                <w:b/>
                <w:sz w:val="18"/>
              </w:rPr>
            </w:pPr>
            <w:r>
              <w:rPr>
                <w:b/>
                <w:sz w:val="18"/>
              </w:rPr>
              <w:t>$'000</w:t>
            </w:r>
          </w:p>
        </w:tc>
        <w:tc>
          <w:tcPr>
            <w:tcW w:w="1345" w:type="dxa"/>
          </w:tcPr>
          <w:p w14:paraId="57BD718F" w14:textId="77777777" w:rsidR="00FA4AA8" w:rsidRDefault="0015611F">
            <w:pPr>
              <w:pStyle w:val="TableParagraph"/>
              <w:spacing w:before="30"/>
              <w:ind w:left="409"/>
              <w:rPr>
                <w:b/>
                <w:sz w:val="18"/>
              </w:rPr>
            </w:pPr>
            <w:r>
              <w:rPr>
                <w:b/>
                <w:sz w:val="18"/>
              </w:rPr>
              <w:t>$'000</w:t>
            </w:r>
          </w:p>
        </w:tc>
        <w:tc>
          <w:tcPr>
            <w:tcW w:w="1107" w:type="dxa"/>
          </w:tcPr>
          <w:p w14:paraId="19BA577D" w14:textId="77777777" w:rsidR="00FA4AA8" w:rsidRDefault="0015611F">
            <w:pPr>
              <w:pStyle w:val="TableParagraph"/>
              <w:spacing w:before="30"/>
              <w:ind w:left="278"/>
              <w:rPr>
                <w:b/>
                <w:sz w:val="18"/>
              </w:rPr>
            </w:pPr>
            <w:r>
              <w:rPr>
                <w:b/>
                <w:sz w:val="18"/>
              </w:rPr>
              <w:t>$'000</w:t>
            </w:r>
          </w:p>
        </w:tc>
        <w:tc>
          <w:tcPr>
            <w:tcW w:w="1239" w:type="dxa"/>
          </w:tcPr>
          <w:p w14:paraId="1CBB1667" w14:textId="77777777" w:rsidR="00FA4AA8" w:rsidRDefault="0015611F">
            <w:pPr>
              <w:pStyle w:val="TableParagraph"/>
              <w:spacing w:before="30"/>
              <w:ind w:left="304"/>
              <w:rPr>
                <w:b/>
                <w:sz w:val="18"/>
              </w:rPr>
            </w:pPr>
            <w:r>
              <w:rPr>
                <w:b/>
                <w:sz w:val="18"/>
              </w:rPr>
              <w:t>$'000</w:t>
            </w:r>
          </w:p>
        </w:tc>
        <w:tc>
          <w:tcPr>
            <w:tcW w:w="964" w:type="dxa"/>
          </w:tcPr>
          <w:p w14:paraId="5057258A" w14:textId="77777777" w:rsidR="00FA4AA8" w:rsidRDefault="0015611F">
            <w:pPr>
              <w:pStyle w:val="TableParagraph"/>
              <w:spacing w:before="30"/>
              <w:ind w:left="197"/>
              <w:rPr>
                <w:b/>
                <w:sz w:val="18"/>
              </w:rPr>
            </w:pPr>
            <w:r>
              <w:rPr>
                <w:b/>
                <w:sz w:val="18"/>
              </w:rPr>
              <w:t>$'000</w:t>
            </w:r>
          </w:p>
        </w:tc>
      </w:tr>
      <w:tr w:rsidR="00FA4AA8" w14:paraId="76D067C7" w14:textId="77777777">
        <w:trPr>
          <w:trHeight w:val="293"/>
        </w:trPr>
        <w:tc>
          <w:tcPr>
            <w:tcW w:w="349" w:type="dxa"/>
          </w:tcPr>
          <w:p w14:paraId="766F16E5" w14:textId="77777777" w:rsidR="00FA4AA8" w:rsidRDefault="00FA4AA8">
            <w:pPr>
              <w:pStyle w:val="TableParagraph"/>
              <w:rPr>
                <w:rFonts w:ascii="Times New Roman"/>
                <w:sz w:val="18"/>
              </w:rPr>
            </w:pPr>
          </w:p>
        </w:tc>
        <w:tc>
          <w:tcPr>
            <w:tcW w:w="3786" w:type="dxa"/>
          </w:tcPr>
          <w:p w14:paraId="1ECE34A6" w14:textId="77777777" w:rsidR="00FA4AA8" w:rsidRDefault="0015611F">
            <w:pPr>
              <w:pStyle w:val="TableParagraph"/>
              <w:spacing w:before="70" w:line="204" w:lineRule="exact"/>
              <w:ind w:left="140"/>
              <w:rPr>
                <w:b/>
                <w:sz w:val="18"/>
              </w:rPr>
            </w:pPr>
            <w:r>
              <w:rPr>
                <w:b/>
                <w:sz w:val="18"/>
              </w:rPr>
              <w:t>At 1 January 2017</w:t>
            </w:r>
          </w:p>
        </w:tc>
        <w:tc>
          <w:tcPr>
            <w:tcW w:w="1170" w:type="dxa"/>
          </w:tcPr>
          <w:p w14:paraId="67C675AE" w14:textId="77777777" w:rsidR="00FA4AA8" w:rsidRDefault="00FA4AA8">
            <w:pPr>
              <w:pStyle w:val="TableParagraph"/>
              <w:rPr>
                <w:rFonts w:ascii="Times New Roman"/>
                <w:sz w:val="18"/>
              </w:rPr>
            </w:pPr>
          </w:p>
        </w:tc>
        <w:tc>
          <w:tcPr>
            <w:tcW w:w="1345" w:type="dxa"/>
          </w:tcPr>
          <w:p w14:paraId="439D88F3" w14:textId="77777777" w:rsidR="00FA4AA8" w:rsidRDefault="00FA4AA8">
            <w:pPr>
              <w:pStyle w:val="TableParagraph"/>
              <w:rPr>
                <w:rFonts w:ascii="Times New Roman"/>
                <w:sz w:val="18"/>
              </w:rPr>
            </w:pPr>
          </w:p>
        </w:tc>
        <w:tc>
          <w:tcPr>
            <w:tcW w:w="1107" w:type="dxa"/>
          </w:tcPr>
          <w:p w14:paraId="0D9BABF8" w14:textId="77777777" w:rsidR="00FA4AA8" w:rsidRDefault="00FA4AA8">
            <w:pPr>
              <w:pStyle w:val="TableParagraph"/>
              <w:rPr>
                <w:rFonts w:ascii="Times New Roman"/>
                <w:sz w:val="18"/>
              </w:rPr>
            </w:pPr>
          </w:p>
        </w:tc>
        <w:tc>
          <w:tcPr>
            <w:tcW w:w="1239" w:type="dxa"/>
          </w:tcPr>
          <w:p w14:paraId="28210CD5" w14:textId="77777777" w:rsidR="00FA4AA8" w:rsidRDefault="00FA4AA8">
            <w:pPr>
              <w:pStyle w:val="TableParagraph"/>
              <w:rPr>
                <w:rFonts w:ascii="Times New Roman"/>
                <w:sz w:val="18"/>
              </w:rPr>
            </w:pPr>
          </w:p>
        </w:tc>
        <w:tc>
          <w:tcPr>
            <w:tcW w:w="964" w:type="dxa"/>
          </w:tcPr>
          <w:p w14:paraId="16F602A6" w14:textId="77777777" w:rsidR="00FA4AA8" w:rsidRDefault="00FA4AA8">
            <w:pPr>
              <w:pStyle w:val="TableParagraph"/>
              <w:rPr>
                <w:rFonts w:ascii="Times New Roman"/>
                <w:sz w:val="18"/>
              </w:rPr>
            </w:pPr>
          </w:p>
        </w:tc>
      </w:tr>
      <w:tr w:rsidR="00FA4AA8" w14:paraId="2C34AB35" w14:textId="77777777">
        <w:trPr>
          <w:trHeight w:val="249"/>
        </w:trPr>
        <w:tc>
          <w:tcPr>
            <w:tcW w:w="349" w:type="dxa"/>
          </w:tcPr>
          <w:p w14:paraId="342A3674" w14:textId="77777777" w:rsidR="00FA4AA8" w:rsidRDefault="00FA4AA8">
            <w:pPr>
              <w:pStyle w:val="TableParagraph"/>
              <w:rPr>
                <w:rFonts w:ascii="Times New Roman"/>
                <w:sz w:val="18"/>
              </w:rPr>
            </w:pPr>
          </w:p>
        </w:tc>
        <w:tc>
          <w:tcPr>
            <w:tcW w:w="3786" w:type="dxa"/>
          </w:tcPr>
          <w:p w14:paraId="5277CF0A" w14:textId="77777777" w:rsidR="00FA4AA8" w:rsidRDefault="0015611F">
            <w:pPr>
              <w:pStyle w:val="TableParagraph"/>
              <w:spacing w:before="13"/>
              <w:ind w:left="140"/>
              <w:rPr>
                <w:sz w:val="18"/>
              </w:rPr>
            </w:pPr>
            <w:r>
              <w:rPr>
                <w:sz w:val="18"/>
              </w:rPr>
              <w:t>- Cost</w:t>
            </w:r>
          </w:p>
        </w:tc>
        <w:tc>
          <w:tcPr>
            <w:tcW w:w="1170" w:type="dxa"/>
          </w:tcPr>
          <w:p w14:paraId="594E96BC" w14:textId="77777777" w:rsidR="00FA4AA8" w:rsidRDefault="0015611F">
            <w:pPr>
              <w:pStyle w:val="TableParagraph"/>
              <w:spacing w:before="11"/>
              <w:ind w:right="124"/>
              <w:jc w:val="right"/>
              <w:rPr>
                <w:sz w:val="18"/>
              </w:rPr>
            </w:pPr>
            <w:r>
              <w:rPr>
                <w:sz w:val="18"/>
              </w:rPr>
              <w:t>-</w:t>
            </w:r>
          </w:p>
        </w:tc>
        <w:tc>
          <w:tcPr>
            <w:tcW w:w="1345" w:type="dxa"/>
          </w:tcPr>
          <w:p w14:paraId="36F99DE9" w14:textId="77777777" w:rsidR="00FA4AA8" w:rsidRDefault="0015611F">
            <w:pPr>
              <w:pStyle w:val="TableParagraph"/>
              <w:spacing w:before="11"/>
              <w:ind w:right="173"/>
              <w:jc w:val="right"/>
              <w:rPr>
                <w:sz w:val="18"/>
              </w:rPr>
            </w:pPr>
            <w:r>
              <w:rPr>
                <w:sz w:val="18"/>
              </w:rPr>
              <w:t>264</w:t>
            </w:r>
          </w:p>
        </w:tc>
        <w:tc>
          <w:tcPr>
            <w:tcW w:w="1107" w:type="dxa"/>
          </w:tcPr>
          <w:p w14:paraId="212BD7E7" w14:textId="77777777" w:rsidR="00FA4AA8" w:rsidRDefault="0015611F">
            <w:pPr>
              <w:pStyle w:val="TableParagraph"/>
              <w:spacing w:before="11"/>
              <w:ind w:right="147"/>
              <w:jc w:val="right"/>
              <w:rPr>
                <w:sz w:val="18"/>
              </w:rPr>
            </w:pPr>
            <w:r>
              <w:rPr>
                <w:sz w:val="18"/>
              </w:rPr>
              <w:t>331</w:t>
            </w:r>
          </w:p>
        </w:tc>
        <w:tc>
          <w:tcPr>
            <w:tcW w:w="1239" w:type="dxa"/>
          </w:tcPr>
          <w:p w14:paraId="2A066DBE" w14:textId="77777777" w:rsidR="00FA4AA8" w:rsidRDefault="0015611F">
            <w:pPr>
              <w:pStyle w:val="TableParagraph"/>
              <w:spacing w:before="11"/>
              <w:ind w:right="253"/>
              <w:jc w:val="right"/>
              <w:rPr>
                <w:sz w:val="18"/>
              </w:rPr>
            </w:pPr>
            <w:r>
              <w:rPr>
                <w:sz w:val="18"/>
              </w:rPr>
              <w:t>11,425</w:t>
            </w:r>
          </w:p>
        </w:tc>
        <w:tc>
          <w:tcPr>
            <w:tcW w:w="964" w:type="dxa"/>
          </w:tcPr>
          <w:p w14:paraId="53ACEE09" w14:textId="77777777" w:rsidR="00FA4AA8" w:rsidRDefault="0015611F">
            <w:pPr>
              <w:pStyle w:val="TableParagraph"/>
              <w:spacing w:before="11"/>
              <w:ind w:left="322"/>
              <w:rPr>
                <w:sz w:val="18"/>
              </w:rPr>
            </w:pPr>
            <w:r>
              <w:rPr>
                <w:sz w:val="18"/>
              </w:rPr>
              <w:t>12,020</w:t>
            </w:r>
          </w:p>
        </w:tc>
      </w:tr>
      <w:tr w:rsidR="00FA4AA8" w14:paraId="6F82E22D" w14:textId="77777777">
        <w:trPr>
          <w:trHeight w:val="459"/>
        </w:trPr>
        <w:tc>
          <w:tcPr>
            <w:tcW w:w="349" w:type="dxa"/>
          </w:tcPr>
          <w:p w14:paraId="7B98E538" w14:textId="77777777" w:rsidR="00FA4AA8" w:rsidRDefault="00FA4AA8">
            <w:pPr>
              <w:pStyle w:val="TableParagraph"/>
              <w:rPr>
                <w:rFonts w:ascii="Times New Roman"/>
                <w:sz w:val="18"/>
              </w:rPr>
            </w:pPr>
          </w:p>
        </w:tc>
        <w:tc>
          <w:tcPr>
            <w:tcW w:w="3786" w:type="dxa"/>
          </w:tcPr>
          <w:p w14:paraId="339E94CC" w14:textId="77777777" w:rsidR="00FA4AA8" w:rsidRDefault="0015611F">
            <w:pPr>
              <w:pStyle w:val="TableParagraph"/>
              <w:spacing w:before="23"/>
              <w:ind w:left="140" w:right="244"/>
              <w:rPr>
                <w:sz w:val="18"/>
              </w:rPr>
            </w:pPr>
            <w:r>
              <w:rPr>
                <w:sz w:val="18"/>
              </w:rPr>
              <w:t>- Accumulated amortisation and impairment</w:t>
            </w:r>
          </w:p>
        </w:tc>
        <w:tc>
          <w:tcPr>
            <w:tcW w:w="1170" w:type="dxa"/>
            <w:tcBorders>
              <w:bottom w:val="single" w:sz="8" w:space="0" w:color="000000"/>
            </w:tcBorders>
          </w:tcPr>
          <w:p w14:paraId="65BF2EE6" w14:textId="77777777" w:rsidR="00FA4AA8" w:rsidRDefault="00FA4AA8">
            <w:pPr>
              <w:pStyle w:val="TableParagraph"/>
              <w:spacing w:before="8"/>
              <w:rPr>
                <w:sz w:val="19"/>
              </w:rPr>
            </w:pPr>
          </w:p>
          <w:p w14:paraId="727710C2" w14:textId="77777777" w:rsidR="00FA4AA8" w:rsidRDefault="0015611F">
            <w:pPr>
              <w:pStyle w:val="TableParagraph"/>
              <w:ind w:right="124"/>
              <w:jc w:val="right"/>
              <w:rPr>
                <w:sz w:val="18"/>
              </w:rPr>
            </w:pPr>
            <w:r>
              <w:rPr>
                <w:sz w:val="18"/>
              </w:rPr>
              <w:t>-</w:t>
            </w:r>
          </w:p>
        </w:tc>
        <w:tc>
          <w:tcPr>
            <w:tcW w:w="1345" w:type="dxa"/>
            <w:tcBorders>
              <w:bottom w:val="single" w:sz="8" w:space="0" w:color="000000"/>
            </w:tcBorders>
          </w:tcPr>
          <w:p w14:paraId="5CCACF32" w14:textId="77777777" w:rsidR="00FA4AA8" w:rsidRDefault="00FA4AA8">
            <w:pPr>
              <w:pStyle w:val="TableParagraph"/>
              <w:spacing w:before="8"/>
              <w:rPr>
                <w:sz w:val="19"/>
              </w:rPr>
            </w:pPr>
          </w:p>
          <w:p w14:paraId="6B7BA095" w14:textId="77777777" w:rsidR="00FA4AA8" w:rsidRDefault="0015611F">
            <w:pPr>
              <w:pStyle w:val="TableParagraph"/>
              <w:ind w:right="112"/>
              <w:jc w:val="right"/>
              <w:rPr>
                <w:sz w:val="18"/>
              </w:rPr>
            </w:pPr>
            <w:r>
              <w:rPr>
                <w:sz w:val="18"/>
              </w:rPr>
              <w:t>(110)</w:t>
            </w:r>
          </w:p>
        </w:tc>
        <w:tc>
          <w:tcPr>
            <w:tcW w:w="1107" w:type="dxa"/>
            <w:tcBorders>
              <w:bottom w:val="single" w:sz="8" w:space="0" w:color="000000"/>
            </w:tcBorders>
          </w:tcPr>
          <w:p w14:paraId="00CC51CB" w14:textId="77777777" w:rsidR="00FA4AA8" w:rsidRDefault="00FA4AA8">
            <w:pPr>
              <w:pStyle w:val="TableParagraph"/>
              <w:spacing w:before="8"/>
              <w:rPr>
                <w:sz w:val="19"/>
              </w:rPr>
            </w:pPr>
          </w:p>
          <w:p w14:paraId="396A8E52" w14:textId="77777777" w:rsidR="00FA4AA8" w:rsidRDefault="0015611F">
            <w:pPr>
              <w:pStyle w:val="TableParagraph"/>
              <w:ind w:right="86"/>
              <w:jc w:val="right"/>
              <w:rPr>
                <w:sz w:val="18"/>
              </w:rPr>
            </w:pPr>
            <w:r>
              <w:rPr>
                <w:sz w:val="18"/>
              </w:rPr>
              <w:t>(110)</w:t>
            </w:r>
          </w:p>
        </w:tc>
        <w:tc>
          <w:tcPr>
            <w:tcW w:w="1239" w:type="dxa"/>
            <w:tcBorders>
              <w:bottom w:val="single" w:sz="8" w:space="0" w:color="000000"/>
            </w:tcBorders>
          </w:tcPr>
          <w:p w14:paraId="47E2B4C2" w14:textId="77777777" w:rsidR="00FA4AA8" w:rsidRDefault="00FA4AA8">
            <w:pPr>
              <w:pStyle w:val="TableParagraph"/>
              <w:spacing w:before="8"/>
              <w:rPr>
                <w:sz w:val="19"/>
              </w:rPr>
            </w:pPr>
          </w:p>
          <w:p w14:paraId="5F3D5B07" w14:textId="77777777" w:rsidR="00FA4AA8" w:rsidRDefault="0015611F">
            <w:pPr>
              <w:pStyle w:val="TableParagraph"/>
              <w:ind w:right="193"/>
              <w:jc w:val="right"/>
              <w:rPr>
                <w:sz w:val="18"/>
              </w:rPr>
            </w:pPr>
            <w:r>
              <w:rPr>
                <w:sz w:val="18"/>
              </w:rPr>
              <w:t>(1,506)</w:t>
            </w:r>
          </w:p>
        </w:tc>
        <w:tc>
          <w:tcPr>
            <w:tcW w:w="964" w:type="dxa"/>
            <w:tcBorders>
              <w:bottom w:val="single" w:sz="8" w:space="0" w:color="000000"/>
            </w:tcBorders>
          </w:tcPr>
          <w:p w14:paraId="4FDA129A" w14:textId="77777777" w:rsidR="00FA4AA8" w:rsidRDefault="00FA4AA8">
            <w:pPr>
              <w:pStyle w:val="TableParagraph"/>
              <w:spacing w:before="8"/>
              <w:rPr>
                <w:sz w:val="19"/>
              </w:rPr>
            </w:pPr>
          </w:p>
          <w:p w14:paraId="7C088FD5" w14:textId="77777777" w:rsidR="00FA4AA8" w:rsidRDefault="0015611F">
            <w:pPr>
              <w:pStyle w:val="TableParagraph"/>
              <w:ind w:right="24"/>
              <w:jc w:val="right"/>
              <w:rPr>
                <w:sz w:val="18"/>
              </w:rPr>
            </w:pPr>
            <w:r>
              <w:rPr>
                <w:sz w:val="18"/>
              </w:rPr>
              <w:t>(1,726)</w:t>
            </w:r>
          </w:p>
        </w:tc>
      </w:tr>
      <w:tr w:rsidR="00FA4AA8" w14:paraId="3F85DB60" w14:textId="77777777">
        <w:trPr>
          <w:trHeight w:val="318"/>
        </w:trPr>
        <w:tc>
          <w:tcPr>
            <w:tcW w:w="349" w:type="dxa"/>
          </w:tcPr>
          <w:p w14:paraId="0B2BC5AC" w14:textId="77777777" w:rsidR="00FA4AA8" w:rsidRDefault="00FA4AA8">
            <w:pPr>
              <w:pStyle w:val="TableParagraph"/>
              <w:rPr>
                <w:rFonts w:ascii="Times New Roman"/>
                <w:sz w:val="18"/>
              </w:rPr>
            </w:pPr>
          </w:p>
        </w:tc>
        <w:tc>
          <w:tcPr>
            <w:tcW w:w="3786" w:type="dxa"/>
          </w:tcPr>
          <w:p w14:paraId="294B0B90" w14:textId="77777777" w:rsidR="00FA4AA8" w:rsidRDefault="0015611F">
            <w:pPr>
              <w:pStyle w:val="TableParagraph"/>
              <w:spacing w:before="115" w:line="183" w:lineRule="exact"/>
              <w:ind w:left="140"/>
              <w:rPr>
                <w:b/>
                <w:sz w:val="18"/>
              </w:rPr>
            </w:pPr>
            <w:r>
              <w:rPr>
                <w:b/>
                <w:sz w:val="18"/>
              </w:rPr>
              <w:t>Net book amount at 1 January 2017</w:t>
            </w:r>
          </w:p>
        </w:tc>
        <w:tc>
          <w:tcPr>
            <w:tcW w:w="1170" w:type="dxa"/>
            <w:tcBorders>
              <w:top w:val="single" w:sz="8" w:space="0" w:color="000000"/>
              <w:bottom w:val="single" w:sz="8" w:space="0" w:color="000000"/>
            </w:tcBorders>
          </w:tcPr>
          <w:p w14:paraId="3F075001" w14:textId="77777777" w:rsidR="00FA4AA8" w:rsidRDefault="0015611F">
            <w:pPr>
              <w:pStyle w:val="TableParagraph"/>
              <w:spacing w:before="115" w:line="183" w:lineRule="exact"/>
              <w:ind w:right="124"/>
              <w:jc w:val="right"/>
              <w:rPr>
                <w:sz w:val="18"/>
              </w:rPr>
            </w:pPr>
            <w:r>
              <w:rPr>
                <w:sz w:val="18"/>
              </w:rPr>
              <w:t>-</w:t>
            </w:r>
          </w:p>
        </w:tc>
        <w:tc>
          <w:tcPr>
            <w:tcW w:w="1345" w:type="dxa"/>
            <w:tcBorders>
              <w:top w:val="single" w:sz="8" w:space="0" w:color="000000"/>
              <w:bottom w:val="single" w:sz="8" w:space="0" w:color="000000"/>
            </w:tcBorders>
          </w:tcPr>
          <w:p w14:paraId="16951527" w14:textId="77777777" w:rsidR="00FA4AA8" w:rsidRDefault="0015611F">
            <w:pPr>
              <w:pStyle w:val="TableParagraph"/>
              <w:spacing w:before="115" w:line="183" w:lineRule="exact"/>
              <w:ind w:right="173"/>
              <w:jc w:val="right"/>
              <w:rPr>
                <w:sz w:val="18"/>
              </w:rPr>
            </w:pPr>
            <w:r>
              <w:rPr>
                <w:sz w:val="18"/>
              </w:rPr>
              <w:t>154</w:t>
            </w:r>
          </w:p>
        </w:tc>
        <w:tc>
          <w:tcPr>
            <w:tcW w:w="1107" w:type="dxa"/>
            <w:tcBorders>
              <w:top w:val="single" w:sz="8" w:space="0" w:color="000000"/>
              <w:bottom w:val="single" w:sz="8" w:space="0" w:color="000000"/>
            </w:tcBorders>
          </w:tcPr>
          <w:p w14:paraId="70592406" w14:textId="77777777" w:rsidR="00FA4AA8" w:rsidRDefault="0015611F">
            <w:pPr>
              <w:pStyle w:val="TableParagraph"/>
              <w:spacing w:before="115" w:line="183" w:lineRule="exact"/>
              <w:ind w:right="147"/>
              <w:jc w:val="right"/>
              <w:rPr>
                <w:sz w:val="18"/>
              </w:rPr>
            </w:pPr>
            <w:r>
              <w:rPr>
                <w:sz w:val="18"/>
              </w:rPr>
              <w:t>221</w:t>
            </w:r>
          </w:p>
        </w:tc>
        <w:tc>
          <w:tcPr>
            <w:tcW w:w="1239" w:type="dxa"/>
            <w:tcBorders>
              <w:top w:val="single" w:sz="8" w:space="0" w:color="000000"/>
              <w:bottom w:val="single" w:sz="8" w:space="0" w:color="000000"/>
            </w:tcBorders>
          </w:tcPr>
          <w:p w14:paraId="26C7F67D" w14:textId="77777777" w:rsidR="00FA4AA8" w:rsidRDefault="0015611F">
            <w:pPr>
              <w:pStyle w:val="TableParagraph"/>
              <w:spacing w:before="115" w:line="183" w:lineRule="exact"/>
              <w:ind w:right="253"/>
              <w:jc w:val="right"/>
              <w:rPr>
                <w:sz w:val="18"/>
              </w:rPr>
            </w:pPr>
            <w:r>
              <w:rPr>
                <w:sz w:val="18"/>
              </w:rPr>
              <w:t>9,919</w:t>
            </w:r>
          </w:p>
        </w:tc>
        <w:tc>
          <w:tcPr>
            <w:tcW w:w="964" w:type="dxa"/>
            <w:tcBorders>
              <w:top w:val="single" w:sz="8" w:space="0" w:color="000000"/>
              <w:bottom w:val="single" w:sz="8" w:space="0" w:color="000000"/>
            </w:tcBorders>
          </w:tcPr>
          <w:p w14:paraId="6047DA12" w14:textId="77777777" w:rsidR="00FA4AA8" w:rsidRDefault="0015611F">
            <w:pPr>
              <w:pStyle w:val="TableParagraph"/>
              <w:spacing w:before="115" w:line="183" w:lineRule="exact"/>
              <w:ind w:left="322"/>
              <w:rPr>
                <w:sz w:val="18"/>
              </w:rPr>
            </w:pPr>
            <w:r>
              <w:rPr>
                <w:sz w:val="18"/>
              </w:rPr>
              <w:t>10,294</w:t>
            </w:r>
          </w:p>
        </w:tc>
      </w:tr>
      <w:tr w:rsidR="00FA4AA8" w14:paraId="744E4747" w14:textId="77777777">
        <w:trPr>
          <w:trHeight w:val="658"/>
        </w:trPr>
        <w:tc>
          <w:tcPr>
            <w:tcW w:w="349" w:type="dxa"/>
          </w:tcPr>
          <w:p w14:paraId="0D3DCEDD" w14:textId="77777777" w:rsidR="00FA4AA8" w:rsidRDefault="00FA4AA8">
            <w:pPr>
              <w:pStyle w:val="TableParagraph"/>
              <w:rPr>
                <w:rFonts w:ascii="Times New Roman"/>
                <w:sz w:val="18"/>
              </w:rPr>
            </w:pPr>
          </w:p>
        </w:tc>
        <w:tc>
          <w:tcPr>
            <w:tcW w:w="3786" w:type="dxa"/>
          </w:tcPr>
          <w:p w14:paraId="1735B7B9" w14:textId="77777777" w:rsidR="00FA4AA8" w:rsidRDefault="00FA4AA8">
            <w:pPr>
              <w:pStyle w:val="TableParagraph"/>
              <w:rPr>
                <w:sz w:val="20"/>
              </w:rPr>
            </w:pPr>
          </w:p>
          <w:p w14:paraId="02D5F9F8" w14:textId="77777777" w:rsidR="00FA4AA8" w:rsidRDefault="00FA4AA8">
            <w:pPr>
              <w:pStyle w:val="TableParagraph"/>
              <w:spacing w:before="8"/>
              <w:rPr>
                <w:sz w:val="17"/>
              </w:rPr>
            </w:pPr>
          </w:p>
          <w:p w14:paraId="65E356B0" w14:textId="77777777" w:rsidR="00FA4AA8" w:rsidRDefault="0015611F">
            <w:pPr>
              <w:pStyle w:val="TableParagraph"/>
              <w:spacing w:before="1" w:line="204" w:lineRule="exact"/>
              <w:ind w:left="140"/>
              <w:rPr>
                <w:b/>
                <w:sz w:val="18"/>
              </w:rPr>
            </w:pPr>
            <w:r>
              <w:rPr>
                <w:b/>
                <w:sz w:val="18"/>
              </w:rPr>
              <w:t>Year ended 31 December 2017</w:t>
            </w:r>
          </w:p>
        </w:tc>
        <w:tc>
          <w:tcPr>
            <w:tcW w:w="1170" w:type="dxa"/>
            <w:tcBorders>
              <w:top w:val="single" w:sz="8" w:space="0" w:color="000000"/>
            </w:tcBorders>
          </w:tcPr>
          <w:p w14:paraId="5D819599" w14:textId="77777777" w:rsidR="00FA4AA8" w:rsidRDefault="00FA4AA8">
            <w:pPr>
              <w:pStyle w:val="TableParagraph"/>
              <w:rPr>
                <w:rFonts w:ascii="Times New Roman"/>
                <w:sz w:val="18"/>
              </w:rPr>
            </w:pPr>
          </w:p>
        </w:tc>
        <w:tc>
          <w:tcPr>
            <w:tcW w:w="1345" w:type="dxa"/>
            <w:tcBorders>
              <w:top w:val="single" w:sz="8" w:space="0" w:color="000000"/>
            </w:tcBorders>
          </w:tcPr>
          <w:p w14:paraId="4F55027F" w14:textId="77777777" w:rsidR="00FA4AA8" w:rsidRDefault="00FA4AA8">
            <w:pPr>
              <w:pStyle w:val="TableParagraph"/>
              <w:rPr>
                <w:rFonts w:ascii="Times New Roman"/>
                <w:sz w:val="18"/>
              </w:rPr>
            </w:pPr>
          </w:p>
        </w:tc>
        <w:tc>
          <w:tcPr>
            <w:tcW w:w="1107" w:type="dxa"/>
            <w:tcBorders>
              <w:top w:val="single" w:sz="8" w:space="0" w:color="000000"/>
            </w:tcBorders>
          </w:tcPr>
          <w:p w14:paraId="0B4D9BE8" w14:textId="77777777" w:rsidR="00FA4AA8" w:rsidRDefault="00FA4AA8">
            <w:pPr>
              <w:pStyle w:val="TableParagraph"/>
              <w:rPr>
                <w:rFonts w:ascii="Times New Roman"/>
                <w:sz w:val="18"/>
              </w:rPr>
            </w:pPr>
          </w:p>
        </w:tc>
        <w:tc>
          <w:tcPr>
            <w:tcW w:w="1239" w:type="dxa"/>
            <w:tcBorders>
              <w:top w:val="single" w:sz="8" w:space="0" w:color="000000"/>
            </w:tcBorders>
          </w:tcPr>
          <w:p w14:paraId="3B62B79F" w14:textId="77777777" w:rsidR="00FA4AA8" w:rsidRDefault="00FA4AA8">
            <w:pPr>
              <w:pStyle w:val="TableParagraph"/>
              <w:rPr>
                <w:rFonts w:ascii="Times New Roman"/>
                <w:sz w:val="18"/>
              </w:rPr>
            </w:pPr>
          </w:p>
        </w:tc>
        <w:tc>
          <w:tcPr>
            <w:tcW w:w="964" w:type="dxa"/>
            <w:tcBorders>
              <w:top w:val="single" w:sz="8" w:space="0" w:color="000000"/>
            </w:tcBorders>
          </w:tcPr>
          <w:p w14:paraId="552B2C45" w14:textId="77777777" w:rsidR="00FA4AA8" w:rsidRDefault="00FA4AA8">
            <w:pPr>
              <w:pStyle w:val="TableParagraph"/>
              <w:rPr>
                <w:rFonts w:ascii="Times New Roman"/>
                <w:sz w:val="18"/>
              </w:rPr>
            </w:pPr>
          </w:p>
        </w:tc>
      </w:tr>
      <w:tr w:rsidR="00FA4AA8" w14:paraId="7C0C7E61" w14:textId="77777777">
        <w:trPr>
          <w:trHeight w:val="250"/>
        </w:trPr>
        <w:tc>
          <w:tcPr>
            <w:tcW w:w="349" w:type="dxa"/>
          </w:tcPr>
          <w:p w14:paraId="7A11646D" w14:textId="77777777" w:rsidR="00FA4AA8" w:rsidRDefault="00FA4AA8">
            <w:pPr>
              <w:pStyle w:val="TableParagraph"/>
              <w:rPr>
                <w:rFonts w:ascii="Times New Roman"/>
                <w:sz w:val="18"/>
              </w:rPr>
            </w:pPr>
          </w:p>
        </w:tc>
        <w:tc>
          <w:tcPr>
            <w:tcW w:w="3786" w:type="dxa"/>
          </w:tcPr>
          <w:p w14:paraId="0846B0B2" w14:textId="77777777" w:rsidR="00FA4AA8" w:rsidRDefault="0015611F">
            <w:pPr>
              <w:pStyle w:val="TableParagraph"/>
              <w:spacing w:before="13"/>
              <w:ind w:left="140"/>
              <w:rPr>
                <w:sz w:val="18"/>
              </w:rPr>
            </w:pPr>
            <w:r>
              <w:rPr>
                <w:sz w:val="18"/>
              </w:rPr>
              <w:t>Opening net book amount</w:t>
            </w:r>
          </w:p>
        </w:tc>
        <w:tc>
          <w:tcPr>
            <w:tcW w:w="1170" w:type="dxa"/>
          </w:tcPr>
          <w:p w14:paraId="1AF56353" w14:textId="77777777" w:rsidR="00FA4AA8" w:rsidRDefault="0015611F">
            <w:pPr>
              <w:pStyle w:val="TableParagraph"/>
              <w:spacing w:before="11"/>
              <w:ind w:right="124"/>
              <w:jc w:val="right"/>
              <w:rPr>
                <w:sz w:val="18"/>
              </w:rPr>
            </w:pPr>
            <w:r>
              <w:rPr>
                <w:sz w:val="18"/>
              </w:rPr>
              <w:t>-</w:t>
            </w:r>
          </w:p>
        </w:tc>
        <w:tc>
          <w:tcPr>
            <w:tcW w:w="1345" w:type="dxa"/>
          </w:tcPr>
          <w:p w14:paraId="52F025A4" w14:textId="77777777" w:rsidR="00FA4AA8" w:rsidRDefault="0015611F">
            <w:pPr>
              <w:pStyle w:val="TableParagraph"/>
              <w:spacing w:before="11"/>
              <w:ind w:right="173"/>
              <w:jc w:val="right"/>
              <w:rPr>
                <w:sz w:val="18"/>
              </w:rPr>
            </w:pPr>
            <w:r>
              <w:rPr>
                <w:sz w:val="18"/>
              </w:rPr>
              <w:t>154</w:t>
            </w:r>
          </w:p>
        </w:tc>
        <w:tc>
          <w:tcPr>
            <w:tcW w:w="1107" w:type="dxa"/>
          </w:tcPr>
          <w:p w14:paraId="61E0F126" w14:textId="77777777" w:rsidR="00FA4AA8" w:rsidRDefault="0015611F">
            <w:pPr>
              <w:pStyle w:val="TableParagraph"/>
              <w:spacing w:before="11"/>
              <w:ind w:right="147"/>
              <w:jc w:val="right"/>
              <w:rPr>
                <w:sz w:val="18"/>
              </w:rPr>
            </w:pPr>
            <w:r>
              <w:rPr>
                <w:sz w:val="18"/>
              </w:rPr>
              <w:t>221</w:t>
            </w:r>
          </w:p>
        </w:tc>
        <w:tc>
          <w:tcPr>
            <w:tcW w:w="1239" w:type="dxa"/>
          </w:tcPr>
          <w:p w14:paraId="0D902037" w14:textId="77777777" w:rsidR="00FA4AA8" w:rsidRDefault="0015611F">
            <w:pPr>
              <w:pStyle w:val="TableParagraph"/>
              <w:spacing w:before="11"/>
              <w:ind w:right="253"/>
              <w:jc w:val="right"/>
              <w:rPr>
                <w:sz w:val="18"/>
              </w:rPr>
            </w:pPr>
            <w:r>
              <w:rPr>
                <w:sz w:val="18"/>
              </w:rPr>
              <w:t>9,919</w:t>
            </w:r>
          </w:p>
        </w:tc>
        <w:tc>
          <w:tcPr>
            <w:tcW w:w="964" w:type="dxa"/>
          </w:tcPr>
          <w:p w14:paraId="6D30968D" w14:textId="77777777" w:rsidR="00FA4AA8" w:rsidRDefault="0015611F">
            <w:pPr>
              <w:pStyle w:val="TableParagraph"/>
              <w:spacing w:before="11"/>
              <w:ind w:left="322"/>
              <w:rPr>
                <w:sz w:val="18"/>
              </w:rPr>
            </w:pPr>
            <w:r>
              <w:rPr>
                <w:sz w:val="18"/>
              </w:rPr>
              <w:t>10,294</w:t>
            </w:r>
          </w:p>
        </w:tc>
      </w:tr>
      <w:tr w:rsidR="00FA4AA8" w14:paraId="51903D22" w14:textId="77777777">
        <w:trPr>
          <w:trHeight w:val="264"/>
        </w:trPr>
        <w:tc>
          <w:tcPr>
            <w:tcW w:w="349" w:type="dxa"/>
          </w:tcPr>
          <w:p w14:paraId="06594375" w14:textId="77777777" w:rsidR="00FA4AA8" w:rsidRDefault="00FA4AA8">
            <w:pPr>
              <w:pStyle w:val="TableParagraph"/>
              <w:rPr>
                <w:rFonts w:ascii="Times New Roman"/>
                <w:sz w:val="18"/>
              </w:rPr>
            </w:pPr>
          </w:p>
        </w:tc>
        <w:tc>
          <w:tcPr>
            <w:tcW w:w="3786" w:type="dxa"/>
          </w:tcPr>
          <w:p w14:paraId="297D887E" w14:textId="77777777" w:rsidR="00FA4AA8" w:rsidRDefault="0015611F">
            <w:pPr>
              <w:pStyle w:val="TableParagraph"/>
              <w:spacing w:before="26"/>
              <w:ind w:left="140"/>
              <w:rPr>
                <w:sz w:val="18"/>
              </w:rPr>
            </w:pPr>
            <w:r>
              <w:rPr>
                <w:sz w:val="18"/>
              </w:rPr>
              <w:t>Additions</w:t>
            </w:r>
          </w:p>
        </w:tc>
        <w:tc>
          <w:tcPr>
            <w:tcW w:w="1170" w:type="dxa"/>
          </w:tcPr>
          <w:p w14:paraId="4FEA0AF6" w14:textId="77777777" w:rsidR="00FA4AA8" w:rsidRDefault="0015611F">
            <w:pPr>
              <w:pStyle w:val="TableParagraph"/>
              <w:spacing w:before="24"/>
              <w:ind w:right="124"/>
              <w:jc w:val="right"/>
              <w:rPr>
                <w:sz w:val="18"/>
              </w:rPr>
            </w:pPr>
            <w:r>
              <w:rPr>
                <w:sz w:val="18"/>
              </w:rPr>
              <w:t>-</w:t>
            </w:r>
          </w:p>
        </w:tc>
        <w:tc>
          <w:tcPr>
            <w:tcW w:w="1345" w:type="dxa"/>
          </w:tcPr>
          <w:p w14:paraId="60B35A41" w14:textId="77777777" w:rsidR="00FA4AA8" w:rsidRDefault="0015611F">
            <w:pPr>
              <w:pStyle w:val="TableParagraph"/>
              <w:spacing w:before="24"/>
              <w:ind w:right="173"/>
              <w:jc w:val="right"/>
              <w:rPr>
                <w:sz w:val="18"/>
              </w:rPr>
            </w:pPr>
            <w:r>
              <w:rPr>
                <w:sz w:val="18"/>
              </w:rPr>
              <w:t>-</w:t>
            </w:r>
          </w:p>
        </w:tc>
        <w:tc>
          <w:tcPr>
            <w:tcW w:w="1107" w:type="dxa"/>
          </w:tcPr>
          <w:p w14:paraId="5B9A561D" w14:textId="77777777" w:rsidR="00FA4AA8" w:rsidRDefault="0015611F">
            <w:pPr>
              <w:pStyle w:val="TableParagraph"/>
              <w:spacing w:before="24"/>
              <w:ind w:right="147"/>
              <w:jc w:val="right"/>
              <w:rPr>
                <w:sz w:val="18"/>
              </w:rPr>
            </w:pPr>
            <w:r>
              <w:rPr>
                <w:sz w:val="18"/>
              </w:rPr>
              <w:t>-</w:t>
            </w:r>
          </w:p>
        </w:tc>
        <w:tc>
          <w:tcPr>
            <w:tcW w:w="1239" w:type="dxa"/>
          </w:tcPr>
          <w:p w14:paraId="4AE682F5" w14:textId="77777777" w:rsidR="00FA4AA8" w:rsidRDefault="0015611F">
            <w:pPr>
              <w:pStyle w:val="TableParagraph"/>
              <w:spacing w:before="24"/>
              <w:ind w:right="253"/>
              <w:jc w:val="right"/>
              <w:rPr>
                <w:sz w:val="18"/>
              </w:rPr>
            </w:pPr>
            <w:r>
              <w:rPr>
                <w:sz w:val="18"/>
              </w:rPr>
              <w:t>6,962</w:t>
            </w:r>
          </w:p>
        </w:tc>
        <w:tc>
          <w:tcPr>
            <w:tcW w:w="964" w:type="dxa"/>
          </w:tcPr>
          <w:p w14:paraId="083AC47A" w14:textId="77777777" w:rsidR="00FA4AA8" w:rsidRDefault="0015611F">
            <w:pPr>
              <w:pStyle w:val="TableParagraph"/>
              <w:spacing w:before="24"/>
              <w:ind w:right="85"/>
              <w:jc w:val="right"/>
              <w:rPr>
                <w:sz w:val="18"/>
              </w:rPr>
            </w:pPr>
            <w:r>
              <w:rPr>
                <w:sz w:val="18"/>
              </w:rPr>
              <w:t>6,962</w:t>
            </w:r>
          </w:p>
        </w:tc>
      </w:tr>
      <w:tr w:rsidR="00FA4AA8" w14:paraId="2490BBBD" w14:textId="77777777">
        <w:trPr>
          <w:trHeight w:val="256"/>
        </w:trPr>
        <w:tc>
          <w:tcPr>
            <w:tcW w:w="349" w:type="dxa"/>
          </w:tcPr>
          <w:p w14:paraId="25861FC3" w14:textId="77777777" w:rsidR="00FA4AA8" w:rsidRDefault="00FA4AA8">
            <w:pPr>
              <w:pStyle w:val="TableParagraph"/>
              <w:rPr>
                <w:rFonts w:ascii="Times New Roman"/>
                <w:sz w:val="18"/>
              </w:rPr>
            </w:pPr>
          </w:p>
        </w:tc>
        <w:tc>
          <w:tcPr>
            <w:tcW w:w="3786" w:type="dxa"/>
          </w:tcPr>
          <w:p w14:paraId="257D5096" w14:textId="77777777" w:rsidR="00FA4AA8" w:rsidRDefault="0015611F">
            <w:pPr>
              <w:pStyle w:val="TableParagraph"/>
              <w:spacing w:before="26"/>
              <w:ind w:left="140"/>
              <w:rPr>
                <w:sz w:val="18"/>
              </w:rPr>
            </w:pPr>
            <w:r>
              <w:rPr>
                <w:sz w:val="18"/>
              </w:rPr>
              <w:t>Amortisation charge</w:t>
            </w:r>
          </w:p>
        </w:tc>
        <w:tc>
          <w:tcPr>
            <w:tcW w:w="1170" w:type="dxa"/>
            <w:tcBorders>
              <w:bottom w:val="single" w:sz="8" w:space="0" w:color="000000"/>
            </w:tcBorders>
          </w:tcPr>
          <w:p w14:paraId="53894EAD" w14:textId="77777777" w:rsidR="00FA4AA8" w:rsidRDefault="0015611F">
            <w:pPr>
              <w:pStyle w:val="TableParagraph"/>
              <w:spacing w:before="24"/>
              <w:ind w:right="124"/>
              <w:jc w:val="right"/>
              <w:rPr>
                <w:sz w:val="18"/>
              </w:rPr>
            </w:pPr>
            <w:r>
              <w:rPr>
                <w:sz w:val="18"/>
              </w:rPr>
              <w:t>-</w:t>
            </w:r>
          </w:p>
        </w:tc>
        <w:tc>
          <w:tcPr>
            <w:tcW w:w="1345" w:type="dxa"/>
            <w:tcBorders>
              <w:bottom w:val="single" w:sz="8" w:space="0" w:color="000000"/>
            </w:tcBorders>
          </w:tcPr>
          <w:p w14:paraId="559C27ED" w14:textId="77777777" w:rsidR="00FA4AA8" w:rsidRDefault="0015611F">
            <w:pPr>
              <w:pStyle w:val="TableParagraph"/>
              <w:spacing w:before="24"/>
              <w:ind w:right="112"/>
              <w:jc w:val="right"/>
              <w:rPr>
                <w:sz w:val="18"/>
              </w:rPr>
            </w:pPr>
            <w:r>
              <w:rPr>
                <w:sz w:val="18"/>
              </w:rPr>
              <w:t>(154)</w:t>
            </w:r>
          </w:p>
        </w:tc>
        <w:tc>
          <w:tcPr>
            <w:tcW w:w="1107" w:type="dxa"/>
            <w:tcBorders>
              <w:bottom w:val="single" w:sz="8" w:space="0" w:color="000000"/>
            </w:tcBorders>
          </w:tcPr>
          <w:p w14:paraId="62B48A35" w14:textId="77777777" w:rsidR="00FA4AA8" w:rsidRDefault="0015611F">
            <w:pPr>
              <w:pStyle w:val="TableParagraph"/>
              <w:spacing w:before="24"/>
              <w:ind w:right="86"/>
              <w:jc w:val="right"/>
              <w:rPr>
                <w:sz w:val="18"/>
              </w:rPr>
            </w:pPr>
            <w:r>
              <w:rPr>
                <w:sz w:val="18"/>
              </w:rPr>
              <w:t>(30)</w:t>
            </w:r>
          </w:p>
        </w:tc>
        <w:tc>
          <w:tcPr>
            <w:tcW w:w="1239" w:type="dxa"/>
            <w:tcBorders>
              <w:bottom w:val="single" w:sz="8" w:space="0" w:color="000000"/>
            </w:tcBorders>
          </w:tcPr>
          <w:p w14:paraId="43270EA9" w14:textId="77777777" w:rsidR="00FA4AA8" w:rsidRDefault="0015611F">
            <w:pPr>
              <w:pStyle w:val="TableParagraph"/>
              <w:spacing w:before="24"/>
              <w:ind w:right="193"/>
              <w:jc w:val="right"/>
              <w:rPr>
                <w:sz w:val="18"/>
              </w:rPr>
            </w:pPr>
            <w:r>
              <w:rPr>
                <w:sz w:val="18"/>
              </w:rPr>
              <w:t>(2,284)</w:t>
            </w:r>
          </w:p>
        </w:tc>
        <w:tc>
          <w:tcPr>
            <w:tcW w:w="964" w:type="dxa"/>
            <w:tcBorders>
              <w:bottom w:val="single" w:sz="8" w:space="0" w:color="000000"/>
            </w:tcBorders>
          </w:tcPr>
          <w:p w14:paraId="4C6A4974" w14:textId="77777777" w:rsidR="00FA4AA8" w:rsidRDefault="0015611F">
            <w:pPr>
              <w:pStyle w:val="TableParagraph"/>
              <w:spacing w:before="24"/>
              <w:ind w:right="24"/>
              <w:jc w:val="right"/>
              <w:rPr>
                <w:sz w:val="18"/>
              </w:rPr>
            </w:pPr>
            <w:r>
              <w:rPr>
                <w:sz w:val="18"/>
              </w:rPr>
              <w:t>(2,468)</w:t>
            </w:r>
          </w:p>
        </w:tc>
      </w:tr>
      <w:tr w:rsidR="00FA4AA8" w14:paraId="62C41494" w14:textId="77777777">
        <w:trPr>
          <w:trHeight w:val="318"/>
        </w:trPr>
        <w:tc>
          <w:tcPr>
            <w:tcW w:w="349" w:type="dxa"/>
          </w:tcPr>
          <w:p w14:paraId="5F7EF7E8" w14:textId="77777777" w:rsidR="00FA4AA8" w:rsidRDefault="00FA4AA8">
            <w:pPr>
              <w:pStyle w:val="TableParagraph"/>
              <w:rPr>
                <w:rFonts w:ascii="Times New Roman"/>
                <w:sz w:val="18"/>
              </w:rPr>
            </w:pPr>
          </w:p>
        </w:tc>
        <w:tc>
          <w:tcPr>
            <w:tcW w:w="3786" w:type="dxa"/>
          </w:tcPr>
          <w:p w14:paraId="24F96C9B" w14:textId="77777777" w:rsidR="00FA4AA8" w:rsidRDefault="0015611F">
            <w:pPr>
              <w:pStyle w:val="TableParagraph"/>
              <w:spacing w:before="115" w:line="183" w:lineRule="exact"/>
              <w:ind w:left="140"/>
              <w:rPr>
                <w:b/>
                <w:sz w:val="18"/>
              </w:rPr>
            </w:pPr>
            <w:r>
              <w:rPr>
                <w:b/>
                <w:sz w:val="18"/>
              </w:rPr>
              <w:t>Net book amount at 31 December 2017</w:t>
            </w:r>
          </w:p>
        </w:tc>
        <w:tc>
          <w:tcPr>
            <w:tcW w:w="1170" w:type="dxa"/>
            <w:tcBorders>
              <w:top w:val="single" w:sz="8" w:space="0" w:color="000000"/>
              <w:bottom w:val="single" w:sz="8" w:space="0" w:color="000000"/>
            </w:tcBorders>
          </w:tcPr>
          <w:p w14:paraId="0FC82A50" w14:textId="77777777" w:rsidR="00FA4AA8" w:rsidRDefault="0015611F">
            <w:pPr>
              <w:pStyle w:val="TableParagraph"/>
              <w:spacing w:before="115" w:line="183" w:lineRule="exact"/>
              <w:ind w:right="124"/>
              <w:jc w:val="right"/>
              <w:rPr>
                <w:sz w:val="18"/>
              </w:rPr>
            </w:pPr>
            <w:r>
              <w:rPr>
                <w:sz w:val="18"/>
              </w:rPr>
              <w:t>-</w:t>
            </w:r>
          </w:p>
        </w:tc>
        <w:tc>
          <w:tcPr>
            <w:tcW w:w="1345" w:type="dxa"/>
            <w:tcBorders>
              <w:top w:val="single" w:sz="8" w:space="0" w:color="000000"/>
              <w:bottom w:val="single" w:sz="8" w:space="0" w:color="000000"/>
            </w:tcBorders>
          </w:tcPr>
          <w:p w14:paraId="0D0BF4CA" w14:textId="77777777" w:rsidR="00FA4AA8" w:rsidRDefault="0015611F">
            <w:pPr>
              <w:pStyle w:val="TableParagraph"/>
              <w:spacing w:before="115" w:line="183" w:lineRule="exact"/>
              <w:ind w:right="173"/>
              <w:jc w:val="right"/>
              <w:rPr>
                <w:sz w:val="18"/>
              </w:rPr>
            </w:pPr>
            <w:r>
              <w:rPr>
                <w:sz w:val="18"/>
              </w:rPr>
              <w:t>-</w:t>
            </w:r>
          </w:p>
        </w:tc>
        <w:tc>
          <w:tcPr>
            <w:tcW w:w="1107" w:type="dxa"/>
            <w:tcBorders>
              <w:top w:val="single" w:sz="8" w:space="0" w:color="000000"/>
              <w:bottom w:val="single" w:sz="8" w:space="0" w:color="000000"/>
            </w:tcBorders>
          </w:tcPr>
          <w:p w14:paraId="1EBAA5ED" w14:textId="77777777" w:rsidR="00FA4AA8" w:rsidRDefault="0015611F">
            <w:pPr>
              <w:pStyle w:val="TableParagraph"/>
              <w:spacing w:before="115" w:line="183" w:lineRule="exact"/>
              <w:ind w:right="147"/>
              <w:jc w:val="right"/>
              <w:rPr>
                <w:sz w:val="18"/>
              </w:rPr>
            </w:pPr>
            <w:r>
              <w:rPr>
                <w:sz w:val="18"/>
              </w:rPr>
              <w:t>191</w:t>
            </w:r>
          </w:p>
        </w:tc>
        <w:tc>
          <w:tcPr>
            <w:tcW w:w="1239" w:type="dxa"/>
            <w:tcBorders>
              <w:top w:val="single" w:sz="8" w:space="0" w:color="000000"/>
              <w:bottom w:val="single" w:sz="8" w:space="0" w:color="000000"/>
            </w:tcBorders>
          </w:tcPr>
          <w:p w14:paraId="797C45F1" w14:textId="77777777" w:rsidR="00FA4AA8" w:rsidRDefault="0015611F">
            <w:pPr>
              <w:pStyle w:val="TableParagraph"/>
              <w:spacing w:before="115" w:line="183" w:lineRule="exact"/>
              <w:ind w:right="253"/>
              <w:jc w:val="right"/>
              <w:rPr>
                <w:sz w:val="18"/>
              </w:rPr>
            </w:pPr>
            <w:r>
              <w:rPr>
                <w:sz w:val="18"/>
              </w:rPr>
              <w:t>14,597</w:t>
            </w:r>
          </w:p>
        </w:tc>
        <w:tc>
          <w:tcPr>
            <w:tcW w:w="964" w:type="dxa"/>
            <w:tcBorders>
              <w:top w:val="single" w:sz="8" w:space="0" w:color="000000"/>
              <w:bottom w:val="single" w:sz="8" w:space="0" w:color="000000"/>
            </w:tcBorders>
          </w:tcPr>
          <w:p w14:paraId="2F942E61" w14:textId="77777777" w:rsidR="00FA4AA8" w:rsidRDefault="0015611F">
            <w:pPr>
              <w:pStyle w:val="TableParagraph"/>
              <w:spacing w:before="115" w:line="183" w:lineRule="exact"/>
              <w:ind w:left="322"/>
              <w:rPr>
                <w:sz w:val="18"/>
              </w:rPr>
            </w:pPr>
            <w:r>
              <w:rPr>
                <w:sz w:val="18"/>
              </w:rPr>
              <w:t>14,788</w:t>
            </w:r>
          </w:p>
        </w:tc>
      </w:tr>
      <w:tr w:rsidR="00FA4AA8" w14:paraId="060303F4" w14:textId="77777777">
        <w:trPr>
          <w:trHeight w:val="658"/>
        </w:trPr>
        <w:tc>
          <w:tcPr>
            <w:tcW w:w="349" w:type="dxa"/>
          </w:tcPr>
          <w:p w14:paraId="17566DB3" w14:textId="77777777" w:rsidR="00FA4AA8" w:rsidRDefault="00FA4AA8">
            <w:pPr>
              <w:pStyle w:val="TableParagraph"/>
              <w:rPr>
                <w:rFonts w:ascii="Times New Roman"/>
                <w:sz w:val="18"/>
              </w:rPr>
            </w:pPr>
          </w:p>
        </w:tc>
        <w:tc>
          <w:tcPr>
            <w:tcW w:w="3786" w:type="dxa"/>
          </w:tcPr>
          <w:p w14:paraId="69BB3023" w14:textId="77777777" w:rsidR="00FA4AA8" w:rsidRDefault="00FA4AA8">
            <w:pPr>
              <w:pStyle w:val="TableParagraph"/>
              <w:rPr>
                <w:sz w:val="20"/>
              </w:rPr>
            </w:pPr>
          </w:p>
          <w:p w14:paraId="4D328CD3" w14:textId="77777777" w:rsidR="00FA4AA8" w:rsidRDefault="00FA4AA8">
            <w:pPr>
              <w:pStyle w:val="TableParagraph"/>
              <w:spacing w:before="8"/>
              <w:rPr>
                <w:sz w:val="17"/>
              </w:rPr>
            </w:pPr>
          </w:p>
          <w:p w14:paraId="275159E3" w14:textId="77777777" w:rsidR="00FA4AA8" w:rsidRDefault="0015611F">
            <w:pPr>
              <w:pStyle w:val="TableParagraph"/>
              <w:spacing w:before="1" w:line="204" w:lineRule="exact"/>
              <w:ind w:left="140"/>
              <w:rPr>
                <w:b/>
                <w:sz w:val="18"/>
              </w:rPr>
            </w:pPr>
            <w:r>
              <w:rPr>
                <w:b/>
                <w:sz w:val="18"/>
              </w:rPr>
              <w:t>At 31 December 2017</w:t>
            </w:r>
          </w:p>
        </w:tc>
        <w:tc>
          <w:tcPr>
            <w:tcW w:w="1170" w:type="dxa"/>
            <w:tcBorders>
              <w:top w:val="single" w:sz="8" w:space="0" w:color="000000"/>
            </w:tcBorders>
          </w:tcPr>
          <w:p w14:paraId="76F22E21" w14:textId="77777777" w:rsidR="00FA4AA8" w:rsidRDefault="00FA4AA8">
            <w:pPr>
              <w:pStyle w:val="TableParagraph"/>
              <w:rPr>
                <w:rFonts w:ascii="Times New Roman"/>
                <w:sz w:val="18"/>
              </w:rPr>
            </w:pPr>
          </w:p>
        </w:tc>
        <w:tc>
          <w:tcPr>
            <w:tcW w:w="1345" w:type="dxa"/>
            <w:tcBorders>
              <w:top w:val="single" w:sz="8" w:space="0" w:color="000000"/>
            </w:tcBorders>
          </w:tcPr>
          <w:p w14:paraId="43E0B1EE" w14:textId="77777777" w:rsidR="00FA4AA8" w:rsidRDefault="00FA4AA8">
            <w:pPr>
              <w:pStyle w:val="TableParagraph"/>
              <w:rPr>
                <w:rFonts w:ascii="Times New Roman"/>
                <w:sz w:val="18"/>
              </w:rPr>
            </w:pPr>
          </w:p>
        </w:tc>
        <w:tc>
          <w:tcPr>
            <w:tcW w:w="1107" w:type="dxa"/>
            <w:tcBorders>
              <w:top w:val="single" w:sz="8" w:space="0" w:color="000000"/>
            </w:tcBorders>
          </w:tcPr>
          <w:p w14:paraId="1E16E0BD" w14:textId="77777777" w:rsidR="00FA4AA8" w:rsidRDefault="00FA4AA8">
            <w:pPr>
              <w:pStyle w:val="TableParagraph"/>
              <w:rPr>
                <w:rFonts w:ascii="Times New Roman"/>
                <w:sz w:val="18"/>
              </w:rPr>
            </w:pPr>
          </w:p>
        </w:tc>
        <w:tc>
          <w:tcPr>
            <w:tcW w:w="1239" w:type="dxa"/>
            <w:tcBorders>
              <w:top w:val="single" w:sz="8" w:space="0" w:color="000000"/>
            </w:tcBorders>
          </w:tcPr>
          <w:p w14:paraId="6EB86E00" w14:textId="77777777" w:rsidR="00FA4AA8" w:rsidRDefault="00FA4AA8">
            <w:pPr>
              <w:pStyle w:val="TableParagraph"/>
              <w:rPr>
                <w:rFonts w:ascii="Times New Roman"/>
                <w:sz w:val="18"/>
              </w:rPr>
            </w:pPr>
          </w:p>
        </w:tc>
        <w:tc>
          <w:tcPr>
            <w:tcW w:w="964" w:type="dxa"/>
            <w:tcBorders>
              <w:top w:val="single" w:sz="8" w:space="0" w:color="000000"/>
            </w:tcBorders>
          </w:tcPr>
          <w:p w14:paraId="3460F0CF" w14:textId="77777777" w:rsidR="00FA4AA8" w:rsidRDefault="00FA4AA8">
            <w:pPr>
              <w:pStyle w:val="TableParagraph"/>
              <w:rPr>
                <w:rFonts w:ascii="Times New Roman"/>
                <w:sz w:val="18"/>
              </w:rPr>
            </w:pPr>
          </w:p>
        </w:tc>
      </w:tr>
      <w:tr w:rsidR="00FA4AA8" w14:paraId="256CCFA3" w14:textId="77777777">
        <w:trPr>
          <w:trHeight w:val="249"/>
        </w:trPr>
        <w:tc>
          <w:tcPr>
            <w:tcW w:w="349" w:type="dxa"/>
          </w:tcPr>
          <w:p w14:paraId="3CBB5772" w14:textId="77777777" w:rsidR="00FA4AA8" w:rsidRDefault="00FA4AA8">
            <w:pPr>
              <w:pStyle w:val="TableParagraph"/>
              <w:rPr>
                <w:rFonts w:ascii="Times New Roman"/>
                <w:sz w:val="18"/>
              </w:rPr>
            </w:pPr>
          </w:p>
        </w:tc>
        <w:tc>
          <w:tcPr>
            <w:tcW w:w="3786" w:type="dxa"/>
          </w:tcPr>
          <w:p w14:paraId="7A1685E7" w14:textId="77777777" w:rsidR="00FA4AA8" w:rsidRDefault="0015611F">
            <w:pPr>
              <w:pStyle w:val="TableParagraph"/>
              <w:spacing w:before="13"/>
              <w:ind w:left="140"/>
              <w:rPr>
                <w:sz w:val="18"/>
              </w:rPr>
            </w:pPr>
            <w:r>
              <w:rPr>
                <w:sz w:val="18"/>
              </w:rPr>
              <w:t>- Cost</w:t>
            </w:r>
          </w:p>
        </w:tc>
        <w:tc>
          <w:tcPr>
            <w:tcW w:w="1170" w:type="dxa"/>
          </w:tcPr>
          <w:p w14:paraId="4D1BF8C9" w14:textId="77777777" w:rsidR="00FA4AA8" w:rsidRDefault="0015611F">
            <w:pPr>
              <w:pStyle w:val="TableParagraph"/>
              <w:spacing w:before="11"/>
              <w:ind w:right="124"/>
              <w:jc w:val="right"/>
              <w:rPr>
                <w:sz w:val="18"/>
              </w:rPr>
            </w:pPr>
            <w:r>
              <w:rPr>
                <w:sz w:val="18"/>
              </w:rPr>
              <w:t>-</w:t>
            </w:r>
          </w:p>
        </w:tc>
        <w:tc>
          <w:tcPr>
            <w:tcW w:w="1345" w:type="dxa"/>
          </w:tcPr>
          <w:p w14:paraId="45241940" w14:textId="77777777" w:rsidR="00FA4AA8" w:rsidRDefault="0015611F">
            <w:pPr>
              <w:pStyle w:val="TableParagraph"/>
              <w:spacing w:before="11"/>
              <w:ind w:right="173"/>
              <w:jc w:val="right"/>
              <w:rPr>
                <w:sz w:val="18"/>
              </w:rPr>
            </w:pPr>
            <w:r>
              <w:rPr>
                <w:sz w:val="18"/>
              </w:rPr>
              <w:t>264</w:t>
            </w:r>
          </w:p>
        </w:tc>
        <w:tc>
          <w:tcPr>
            <w:tcW w:w="1107" w:type="dxa"/>
          </w:tcPr>
          <w:p w14:paraId="14E98B1D" w14:textId="77777777" w:rsidR="00FA4AA8" w:rsidRDefault="0015611F">
            <w:pPr>
              <w:pStyle w:val="TableParagraph"/>
              <w:spacing w:before="11"/>
              <w:ind w:right="147"/>
              <w:jc w:val="right"/>
              <w:rPr>
                <w:sz w:val="18"/>
              </w:rPr>
            </w:pPr>
            <w:r>
              <w:rPr>
                <w:sz w:val="18"/>
              </w:rPr>
              <w:t>316</w:t>
            </w:r>
          </w:p>
        </w:tc>
        <w:tc>
          <w:tcPr>
            <w:tcW w:w="1239" w:type="dxa"/>
          </w:tcPr>
          <w:p w14:paraId="5E8A895C" w14:textId="77777777" w:rsidR="00FA4AA8" w:rsidRDefault="0015611F">
            <w:pPr>
              <w:pStyle w:val="TableParagraph"/>
              <w:spacing w:before="11"/>
              <w:ind w:right="253"/>
              <w:jc w:val="right"/>
              <w:rPr>
                <w:sz w:val="18"/>
              </w:rPr>
            </w:pPr>
            <w:r>
              <w:rPr>
                <w:sz w:val="18"/>
              </w:rPr>
              <w:t>18,387</w:t>
            </w:r>
          </w:p>
        </w:tc>
        <w:tc>
          <w:tcPr>
            <w:tcW w:w="964" w:type="dxa"/>
          </w:tcPr>
          <w:p w14:paraId="03C4869C" w14:textId="77777777" w:rsidR="00FA4AA8" w:rsidRDefault="0015611F">
            <w:pPr>
              <w:pStyle w:val="TableParagraph"/>
              <w:spacing w:before="11"/>
              <w:ind w:left="322"/>
              <w:rPr>
                <w:sz w:val="18"/>
              </w:rPr>
            </w:pPr>
            <w:r>
              <w:rPr>
                <w:sz w:val="18"/>
              </w:rPr>
              <w:t>18,967</w:t>
            </w:r>
          </w:p>
        </w:tc>
      </w:tr>
      <w:tr w:rsidR="00FA4AA8" w14:paraId="38B1140A" w14:textId="77777777">
        <w:trPr>
          <w:trHeight w:val="459"/>
        </w:trPr>
        <w:tc>
          <w:tcPr>
            <w:tcW w:w="349" w:type="dxa"/>
          </w:tcPr>
          <w:p w14:paraId="5A666632" w14:textId="77777777" w:rsidR="00FA4AA8" w:rsidRDefault="00FA4AA8">
            <w:pPr>
              <w:pStyle w:val="TableParagraph"/>
              <w:rPr>
                <w:rFonts w:ascii="Times New Roman"/>
                <w:sz w:val="18"/>
              </w:rPr>
            </w:pPr>
          </w:p>
        </w:tc>
        <w:tc>
          <w:tcPr>
            <w:tcW w:w="3786" w:type="dxa"/>
          </w:tcPr>
          <w:p w14:paraId="256B7F08" w14:textId="77777777" w:rsidR="00FA4AA8" w:rsidRDefault="0015611F">
            <w:pPr>
              <w:pStyle w:val="TableParagraph"/>
              <w:spacing w:before="23"/>
              <w:ind w:left="140" w:right="244"/>
              <w:rPr>
                <w:sz w:val="18"/>
              </w:rPr>
            </w:pPr>
            <w:r>
              <w:rPr>
                <w:sz w:val="18"/>
              </w:rPr>
              <w:t>- Accumulated amortisation and impairment</w:t>
            </w:r>
          </w:p>
        </w:tc>
        <w:tc>
          <w:tcPr>
            <w:tcW w:w="1170" w:type="dxa"/>
            <w:tcBorders>
              <w:bottom w:val="single" w:sz="8" w:space="0" w:color="000000"/>
            </w:tcBorders>
          </w:tcPr>
          <w:p w14:paraId="27F51AD8" w14:textId="77777777" w:rsidR="00FA4AA8" w:rsidRDefault="00FA4AA8">
            <w:pPr>
              <w:pStyle w:val="TableParagraph"/>
              <w:spacing w:before="8"/>
              <w:rPr>
                <w:sz w:val="19"/>
              </w:rPr>
            </w:pPr>
          </w:p>
          <w:p w14:paraId="01138825" w14:textId="77777777" w:rsidR="00FA4AA8" w:rsidRDefault="0015611F">
            <w:pPr>
              <w:pStyle w:val="TableParagraph"/>
              <w:ind w:right="124"/>
              <w:jc w:val="right"/>
              <w:rPr>
                <w:sz w:val="18"/>
              </w:rPr>
            </w:pPr>
            <w:r>
              <w:rPr>
                <w:sz w:val="18"/>
              </w:rPr>
              <w:t>-</w:t>
            </w:r>
          </w:p>
        </w:tc>
        <w:tc>
          <w:tcPr>
            <w:tcW w:w="1345" w:type="dxa"/>
            <w:tcBorders>
              <w:bottom w:val="single" w:sz="8" w:space="0" w:color="000000"/>
            </w:tcBorders>
          </w:tcPr>
          <w:p w14:paraId="655AA557" w14:textId="77777777" w:rsidR="00FA4AA8" w:rsidRDefault="00FA4AA8">
            <w:pPr>
              <w:pStyle w:val="TableParagraph"/>
              <w:spacing w:before="8"/>
              <w:rPr>
                <w:sz w:val="19"/>
              </w:rPr>
            </w:pPr>
          </w:p>
          <w:p w14:paraId="6185F9C2" w14:textId="77777777" w:rsidR="00FA4AA8" w:rsidRDefault="0015611F">
            <w:pPr>
              <w:pStyle w:val="TableParagraph"/>
              <w:ind w:right="112"/>
              <w:jc w:val="right"/>
              <w:rPr>
                <w:sz w:val="18"/>
              </w:rPr>
            </w:pPr>
            <w:r>
              <w:rPr>
                <w:sz w:val="18"/>
              </w:rPr>
              <w:t>(264)</w:t>
            </w:r>
          </w:p>
        </w:tc>
        <w:tc>
          <w:tcPr>
            <w:tcW w:w="1107" w:type="dxa"/>
            <w:tcBorders>
              <w:bottom w:val="single" w:sz="8" w:space="0" w:color="000000"/>
            </w:tcBorders>
          </w:tcPr>
          <w:p w14:paraId="6BCB7625" w14:textId="77777777" w:rsidR="00FA4AA8" w:rsidRDefault="00FA4AA8">
            <w:pPr>
              <w:pStyle w:val="TableParagraph"/>
              <w:spacing w:before="8"/>
              <w:rPr>
                <w:sz w:val="19"/>
              </w:rPr>
            </w:pPr>
          </w:p>
          <w:p w14:paraId="77804E24" w14:textId="77777777" w:rsidR="00FA4AA8" w:rsidRDefault="0015611F">
            <w:pPr>
              <w:pStyle w:val="TableParagraph"/>
              <w:ind w:right="86"/>
              <w:jc w:val="right"/>
              <w:rPr>
                <w:sz w:val="18"/>
              </w:rPr>
            </w:pPr>
            <w:r>
              <w:rPr>
                <w:sz w:val="18"/>
              </w:rPr>
              <w:t>(125)</w:t>
            </w:r>
          </w:p>
        </w:tc>
        <w:tc>
          <w:tcPr>
            <w:tcW w:w="1239" w:type="dxa"/>
            <w:tcBorders>
              <w:bottom w:val="single" w:sz="8" w:space="0" w:color="000000"/>
            </w:tcBorders>
          </w:tcPr>
          <w:p w14:paraId="1042C014" w14:textId="77777777" w:rsidR="00FA4AA8" w:rsidRDefault="00FA4AA8">
            <w:pPr>
              <w:pStyle w:val="TableParagraph"/>
              <w:spacing w:before="8"/>
              <w:rPr>
                <w:sz w:val="19"/>
              </w:rPr>
            </w:pPr>
          </w:p>
          <w:p w14:paraId="6BCF82A0" w14:textId="77777777" w:rsidR="00FA4AA8" w:rsidRDefault="0015611F">
            <w:pPr>
              <w:pStyle w:val="TableParagraph"/>
              <w:ind w:right="193"/>
              <w:jc w:val="right"/>
              <w:rPr>
                <w:sz w:val="18"/>
              </w:rPr>
            </w:pPr>
            <w:r>
              <w:rPr>
                <w:sz w:val="18"/>
              </w:rPr>
              <w:t>(3,790)</w:t>
            </w:r>
          </w:p>
        </w:tc>
        <w:tc>
          <w:tcPr>
            <w:tcW w:w="964" w:type="dxa"/>
            <w:tcBorders>
              <w:bottom w:val="single" w:sz="8" w:space="0" w:color="000000"/>
            </w:tcBorders>
          </w:tcPr>
          <w:p w14:paraId="12D31948" w14:textId="77777777" w:rsidR="00FA4AA8" w:rsidRDefault="00FA4AA8">
            <w:pPr>
              <w:pStyle w:val="TableParagraph"/>
              <w:spacing w:before="8"/>
              <w:rPr>
                <w:sz w:val="19"/>
              </w:rPr>
            </w:pPr>
          </w:p>
          <w:p w14:paraId="477D9B06" w14:textId="77777777" w:rsidR="00FA4AA8" w:rsidRDefault="0015611F">
            <w:pPr>
              <w:pStyle w:val="TableParagraph"/>
              <w:ind w:right="24"/>
              <w:jc w:val="right"/>
              <w:rPr>
                <w:sz w:val="18"/>
              </w:rPr>
            </w:pPr>
            <w:r>
              <w:rPr>
                <w:sz w:val="18"/>
              </w:rPr>
              <w:t>(4,179)</w:t>
            </w:r>
          </w:p>
        </w:tc>
      </w:tr>
      <w:tr w:rsidR="00FA4AA8" w14:paraId="2E1E9306" w14:textId="77777777">
        <w:trPr>
          <w:trHeight w:val="318"/>
        </w:trPr>
        <w:tc>
          <w:tcPr>
            <w:tcW w:w="349" w:type="dxa"/>
          </w:tcPr>
          <w:p w14:paraId="7C5A9BD2" w14:textId="77777777" w:rsidR="00FA4AA8" w:rsidRDefault="00FA4AA8">
            <w:pPr>
              <w:pStyle w:val="TableParagraph"/>
              <w:rPr>
                <w:rFonts w:ascii="Times New Roman"/>
                <w:sz w:val="18"/>
              </w:rPr>
            </w:pPr>
          </w:p>
        </w:tc>
        <w:tc>
          <w:tcPr>
            <w:tcW w:w="3786" w:type="dxa"/>
          </w:tcPr>
          <w:p w14:paraId="3B18BF7A" w14:textId="77777777" w:rsidR="00FA4AA8" w:rsidRDefault="0015611F">
            <w:pPr>
              <w:pStyle w:val="TableParagraph"/>
              <w:spacing w:before="115" w:line="183" w:lineRule="exact"/>
              <w:ind w:left="140"/>
              <w:rPr>
                <w:b/>
                <w:sz w:val="18"/>
              </w:rPr>
            </w:pPr>
            <w:r>
              <w:rPr>
                <w:b/>
                <w:sz w:val="18"/>
              </w:rPr>
              <w:t>Net book amount at 31 December 2017</w:t>
            </w:r>
          </w:p>
        </w:tc>
        <w:tc>
          <w:tcPr>
            <w:tcW w:w="1170" w:type="dxa"/>
            <w:tcBorders>
              <w:top w:val="single" w:sz="8" w:space="0" w:color="000000"/>
              <w:bottom w:val="single" w:sz="8" w:space="0" w:color="000000"/>
            </w:tcBorders>
          </w:tcPr>
          <w:p w14:paraId="3F766C49" w14:textId="77777777" w:rsidR="00FA4AA8" w:rsidRDefault="0015611F">
            <w:pPr>
              <w:pStyle w:val="TableParagraph"/>
              <w:spacing w:before="115" w:line="183" w:lineRule="exact"/>
              <w:ind w:right="124"/>
              <w:jc w:val="right"/>
              <w:rPr>
                <w:sz w:val="18"/>
              </w:rPr>
            </w:pPr>
            <w:r>
              <w:rPr>
                <w:sz w:val="18"/>
              </w:rPr>
              <w:t>-</w:t>
            </w:r>
          </w:p>
        </w:tc>
        <w:tc>
          <w:tcPr>
            <w:tcW w:w="1345" w:type="dxa"/>
            <w:tcBorders>
              <w:top w:val="single" w:sz="8" w:space="0" w:color="000000"/>
              <w:bottom w:val="single" w:sz="8" w:space="0" w:color="000000"/>
            </w:tcBorders>
          </w:tcPr>
          <w:p w14:paraId="3D24F281" w14:textId="77777777" w:rsidR="00FA4AA8" w:rsidRDefault="0015611F">
            <w:pPr>
              <w:pStyle w:val="TableParagraph"/>
              <w:spacing w:before="115" w:line="183" w:lineRule="exact"/>
              <w:ind w:right="173"/>
              <w:jc w:val="right"/>
              <w:rPr>
                <w:sz w:val="18"/>
              </w:rPr>
            </w:pPr>
            <w:r>
              <w:rPr>
                <w:sz w:val="18"/>
              </w:rPr>
              <w:t>-</w:t>
            </w:r>
          </w:p>
        </w:tc>
        <w:tc>
          <w:tcPr>
            <w:tcW w:w="1107" w:type="dxa"/>
            <w:tcBorders>
              <w:top w:val="single" w:sz="8" w:space="0" w:color="000000"/>
              <w:bottom w:val="single" w:sz="8" w:space="0" w:color="000000"/>
            </w:tcBorders>
          </w:tcPr>
          <w:p w14:paraId="4D780B5D" w14:textId="77777777" w:rsidR="00FA4AA8" w:rsidRDefault="0015611F">
            <w:pPr>
              <w:pStyle w:val="TableParagraph"/>
              <w:spacing w:before="115" w:line="183" w:lineRule="exact"/>
              <w:ind w:right="147"/>
              <w:jc w:val="right"/>
              <w:rPr>
                <w:sz w:val="18"/>
              </w:rPr>
            </w:pPr>
            <w:r>
              <w:rPr>
                <w:sz w:val="18"/>
              </w:rPr>
              <w:t>191</w:t>
            </w:r>
          </w:p>
        </w:tc>
        <w:tc>
          <w:tcPr>
            <w:tcW w:w="1239" w:type="dxa"/>
            <w:tcBorders>
              <w:top w:val="single" w:sz="8" w:space="0" w:color="000000"/>
              <w:bottom w:val="single" w:sz="8" w:space="0" w:color="000000"/>
            </w:tcBorders>
          </w:tcPr>
          <w:p w14:paraId="1158DA16" w14:textId="77777777" w:rsidR="00FA4AA8" w:rsidRDefault="0015611F">
            <w:pPr>
              <w:pStyle w:val="TableParagraph"/>
              <w:spacing w:before="115" w:line="183" w:lineRule="exact"/>
              <w:ind w:right="253"/>
              <w:jc w:val="right"/>
              <w:rPr>
                <w:sz w:val="18"/>
              </w:rPr>
            </w:pPr>
            <w:r>
              <w:rPr>
                <w:sz w:val="18"/>
              </w:rPr>
              <w:t>14,597</w:t>
            </w:r>
          </w:p>
        </w:tc>
        <w:tc>
          <w:tcPr>
            <w:tcW w:w="964" w:type="dxa"/>
            <w:tcBorders>
              <w:top w:val="single" w:sz="8" w:space="0" w:color="000000"/>
              <w:bottom w:val="single" w:sz="8" w:space="0" w:color="000000"/>
            </w:tcBorders>
          </w:tcPr>
          <w:p w14:paraId="18B335AB" w14:textId="77777777" w:rsidR="00FA4AA8" w:rsidRDefault="0015611F">
            <w:pPr>
              <w:pStyle w:val="TableParagraph"/>
              <w:spacing w:before="115" w:line="183" w:lineRule="exact"/>
              <w:ind w:left="322"/>
              <w:rPr>
                <w:sz w:val="18"/>
              </w:rPr>
            </w:pPr>
            <w:r>
              <w:rPr>
                <w:sz w:val="18"/>
              </w:rPr>
              <w:t>14,788</w:t>
            </w:r>
          </w:p>
        </w:tc>
      </w:tr>
      <w:tr w:rsidR="00FA4AA8" w14:paraId="0D1A9BCB" w14:textId="77777777">
        <w:trPr>
          <w:trHeight w:val="658"/>
        </w:trPr>
        <w:tc>
          <w:tcPr>
            <w:tcW w:w="349" w:type="dxa"/>
          </w:tcPr>
          <w:p w14:paraId="65FB25F8" w14:textId="77777777" w:rsidR="00FA4AA8" w:rsidRDefault="00FA4AA8">
            <w:pPr>
              <w:pStyle w:val="TableParagraph"/>
              <w:rPr>
                <w:rFonts w:ascii="Times New Roman"/>
                <w:sz w:val="18"/>
              </w:rPr>
            </w:pPr>
          </w:p>
        </w:tc>
        <w:tc>
          <w:tcPr>
            <w:tcW w:w="3786" w:type="dxa"/>
          </w:tcPr>
          <w:p w14:paraId="6EEC7E4C" w14:textId="77777777" w:rsidR="00FA4AA8" w:rsidRDefault="00FA4AA8">
            <w:pPr>
              <w:pStyle w:val="TableParagraph"/>
              <w:rPr>
                <w:sz w:val="20"/>
              </w:rPr>
            </w:pPr>
          </w:p>
          <w:p w14:paraId="01B61656" w14:textId="77777777" w:rsidR="00FA4AA8" w:rsidRDefault="00FA4AA8">
            <w:pPr>
              <w:pStyle w:val="TableParagraph"/>
              <w:spacing w:before="8"/>
              <w:rPr>
                <w:sz w:val="17"/>
              </w:rPr>
            </w:pPr>
          </w:p>
          <w:p w14:paraId="418383EF" w14:textId="77777777" w:rsidR="00FA4AA8" w:rsidRDefault="0015611F">
            <w:pPr>
              <w:pStyle w:val="TableParagraph"/>
              <w:spacing w:before="1" w:line="204" w:lineRule="exact"/>
              <w:ind w:left="140"/>
              <w:rPr>
                <w:b/>
                <w:sz w:val="18"/>
              </w:rPr>
            </w:pPr>
            <w:r>
              <w:rPr>
                <w:b/>
                <w:sz w:val="18"/>
              </w:rPr>
              <w:t>Year ended 31 December 2018</w:t>
            </w:r>
          </w:p>
        </w:tc>
        <w:tc>
          <w:tcPr>
            <w:tcW w:w="1170" w:type="dxa"/>
            <w:tcBorders>
              <w:top w:val="single" w:sz="8" w:space="0" w:color="000000"/>
            </w:tcBorders>
          </w:tcPr>
          <w:p w14:paraId="6D69457C" w14:textId="77777777" w:rsidR="00FA4AA8" w:rsidRDefault="00FA4AA8">
            <w:pPr>
              <w:pStyle w:val="TableParagraph"/>
              <w:rPr>
                <w:rFonts w:ascii="Times New Roman"/>
                <w:sz w:val="18"/>
              </w:rPr>
            </w:pPr>
          </w:p>
        </w:tc>
        <w:tc>
          <w:tcPr>
            <w:tcW w:w="1345" w:type="dxa"/>
            <w:tcBorders>
              <w:top w:val="single" w:sz="8" w:space="0" w:color="000000"/>
            </w:tcBorders>
          </w:tcPr>
          <w:p w14:paraId="7A9B98D5" w14:textId="77777777" w:rsidR="00FA4AA8" w:rsidRDefault="00FA4AA8">
            <w:pPr>
              <w:pStyle w:val="TableParagraph"/>
              <w:rPr>
                <w:rFonts w:ascii="Times New Roman"/>
                <w:sz w:val="18"/>
              </w:rPr>
            </w:pPr>
          </w:p>
        </w:tc>
        <w:tc>
          <w:tcPr>
            <w:tcW w:w="1107" w:type="dxa"/>
            <w:tcBorders>
              <w:top w:val="single" w:sz="8" w:space="0" w:color="000000"/>
            </w:tcBorders>
          </w:tcPr>
          <w:p w14:paraId="3E432E12" w14:textId="77777777" w:rsidR="00FA4AA8" w:rsidRDefault="00FA4AA8">
            <w:pPr>
              <w:pStyle w:val="TableParagraph"/>
              <w:rPr>
                <w:rFonts w:ascii="Times New Roman"/>
                <w:sz w:val="18"/>
              </w:rPr>
            </w:pPr>
          </w:p>
        </w:tc>
        <w:tc>
          <w:tcPr>
            <w:tcW w:w="1239" w:type="dxa"/>
            <w:tcBorders>
              <w:top w:val="single" w:sz="8" w:space="0" w:color="000000"/>
            </w:tcBorders>
          </w:tcPr>
          <w:p w14:paraId="324B4AC5" w14:textId="77777777" w:rsidR="00FA4AA8" w:rsidRDefault="00FA4AA8">
            <w:pPr>
              <w:pStyle w:val="TableParagraph"/>
              <w:rPr>
                <w:rFonts w:ascii="Times New Roman"/>
                <w:sz w:val="18"/>
              </w:rPr>
            </w:pPr>
          </w:p>
        </w:tc>
        <w:tc>
          <w:tcPr>
            <w:tcW w:w="964" w:type="dxa"/>
            <w:tcBorders>
              <w:top w:val="single" w:sz="8" w:space="0" w:color="000000"/>
            </w:tcBorders>
          </w:tcPr>
          <w:p w14:paraId="0D80466E" w14:textId="77777777" w:rsidR="00FA4AA8" w:rsidRDefault="00FA4AA8">
            <w:pPr>
              <w:pStyle w:val="TableParagraph"/>
              <w:rPr>
                <w:rFonts w:ascii="Times New Roman"/>
                <w:sz w:val="18"/>
              </w:rPr>
            </w:pPr>
          </w:p>
        </w:tc>
      </w:tr>
      <w:tr w:rsidR="00FA4AA8" w14:paraId="61D4370C" w14:textId="77777777">
        <w:trPr>
          <w:trHeight w:val="250"/>
        </w:trPr>
        <w:tc>
          <w:tcPr>
            <w:tcW w:w="349" w:type="dxa"/>
          </w:tcPr>
          <w:p w14:paraId="50D76634" w14:textId="77777777" w:rsidR="00FA4AA8" w:rsidRDefault="00FA4AA8">
            <w:pPr>
              <w:pStyle w:val="TableParagraph"/>
              <w:rPr>
                <w:rFonts w:ascii="Times New Roman"/>
                <w:sz w:val="18"/>
              </w:rPr>
            </w:pPr>
          </w:p>
        </w:tc>
        <w:tc>
          <w:tcPr>
            <w:tcW w:w="3786" w:type="dxa"/>
          </w:tcPr>
          <w:p w14:paraId="7278C037" w14:textId="77777777" w:rsidR="00FA4AA8" w:rsidRDefault="0015611F">
            <w:pPr>
              <w:pStyle w:val="TableParagraph"/>
              <w:spacing w:before="13"/>
              <w:ind w:left="140"/>
              <w:rPr>
                <w:sz w:val="18"/>
              </w:rPr>
            </w:pPr>
            <w:r>
              <w:rPr>
                <w:sz w:val="18"/>
              </w:rPr>
              <w:t>Opening net book amount</w:t>
            </w:r>
          </w:p>
        </w:tc>
        <w:tc>
          <w:tcPr>
            <w:tcW w:w="1170" w:type="dxa"/>
          </w:tcPr>
          <w:p w14:paraId="1D72EA54" w14:textId="77777777" w:rsidR="00FA4AA8" w:rsidRDefault="0015611F">
            <w:pPr>
              <w:pStyle w:val="TableParagraph"/>
              <w:spacing w:before="11"/>
              <w:ind w:right="124"/>
              <w:jc w:val="right"/>
              <w:rPr>
                <w:b/>
                <w:sz w:val="18"/>
              </w:rPr>
            </w:pPr>
            <w:r>
              <w:rPr>
                <w:b/>
                <w:sz w:val="18"/>
              </w:rPr>
              <w:t>-</w:t>
            </w:r>
          </w:p>
        </w:tc>
        <w:tc>
          <w:tcPr>
            <w:tcW w:w="1345" w:type="dxa"/>
          </w:tcPr>
          <w:p w14:paraId="5C94652A" w14:textId="77777777" w:rsidR="00FA4AA8" w:rsidRDefault="0015611F">
            <w:pPr>
              <w:pStyle w:val="TableParagraph"/>
              <w:spacing w:before="11"/>
              <w:ind w:right="173"/>
              <w:jc w:val="right"/>
              <w:rPr>
                <w:b/>
                <w:sz w:val="18"/>
              </w:rPr>
            </w:pPr>
            <w:r>
              <w:rPr>
                <w:b/>
                <w:sz w:val="18"/>
              </w:rPr>
              <w:t>-</w:t>
            </w:r>
          </w:p>
        </w:tc>
        <w:tc>
          <w:tcPr>
            <w:tcW w:w="1107" w:type="dxa"/>
          </w:tcPr>
          <w:p w14:paraId="43F9F57E" w14:textId="77777777" w:rsidR="00FA4AA8" w:rsidRDefault="0015611F">
            <w:pPr>
              <w:pStyle w:val="TableParagraph"/>
              <w:spacing w:before="11"/>
              <w:ind w:right="147"/>
              <w:jc w:val="right"/>
              <w:rPr>
                <w:b/>
                <w:sz w:val="18"/>
              </w:rPr>
            </w:pPr>
            <w:r>
              <w:rPr>
                <w:b/>
                <w:sz w:val="18"/>
              </w:rPr>
              <w:t>191</w:t>
            </w:r>
          </w:p>
        </w:tc>
        <w:tc>
          <w:tcPr>
            <w:tcW w:w="1239" w:type="dxa"/>
          </w:tcPr>
          <w:p w14:paraId="674BB890" w14:textId="77777777" w:rsidR="00FA4AA8" w:rsidRDefault="0015611F">
            <w:pPr>
              <w:pStyle w:val="TableParagraph"/>
              <w:spacing w:before="11"/>
              <w:ind w:right="253"/>
              <w:jc w:val="right"/>
              <w:rPr>
                <w:b/>
                <w:sz w:val="18"/>
              </w:rPr>
            </w:pPr>
            <w:r>
              <w:rPr>
                <w:b/>
                <w:sz w:val="18"/>
              </w:rPr>
              <w:t>14,597</w:t>
            </w:r>
          </w:p>
        </w:tc>
        <w:tc>
          <w:tcPr>
            <w:tcW w:w="964" w:type="dxa"/>
          </w:tcPr>
          <w:p w14:paraId="5EF46BB0" w14:textId="77777777" w:rsidR="00FA4AA8" w:rsidRDefault="0015611F">
            <w:pPr>
              <w:pStyle w:val="TableParagraph"/>
              <w:spacing w:before="11"/>
              <w:ind w:left="322"/>
              <w:rPr>
                <w:b/>
                <w:sz w:val="18"/>
              </w:rPr>
            </w:pPr>
            <w:r>
              <w:rPr>
                <w:b/>
                <w:sz w:val="18"/>
              </w:rPr>
              <w:t>14,788</w:t>
            </w:r>
          </w:p>
        </w:tc>
      </w:tr>
      <w:tr w:rsidR="00FA4AA8" w14:paraId="6EACBBAE" w14:textId="77777777">
        <w:trPr>
          <w:trHeight w:val="264"/>
        </w:trPr>
        <w:tc>
          <w:tcPr>
            <w:tcW w:w="349" w:type="dxa"/>
          </w:tcPr>
          <w:p w14:paraId="2550A7B8" w14:textId="77777777" w:rsidR="00FA4AA8" w:rsidRDefault="00FA4AA8">
            <w:pPr>
              <w:pStyle w:val="TableParagraph"/>
              <w:rPr>
                <w:rFonts w:ascii="Times New Roman"/>
                <w:sz w:val="18"/>
              </w:rPr>
            </w:pPr>
          </w:p>
        </w:tc>
        <w:tc>
          <w:tcPr>
            <w:tcW w:w="3786" w:type="dxa"/>
          </w:tcPr>
          <w:p w14:paraId="223F07F3" w14:textId="77777777" w:rsidR="00FA4AA8" w:rsidRDefault="0015611F">
            <w:pPr>
              <w:pStyle w:val="TableParagraph"/>
              <w:spacing w:before="26"/>
              <w:ind w:left="140"/>
              <w:rPr>
                <w:sz w:val="18"/>
              </w:rPr>
            </w:pPr>
            <w:r>
              <w:rPr>
                <w:sz w:val="18"/>
              </w:rPr>
              <w:t>Additions</w:t>
            </w:r>
          </w:p>
        </w:tc>
        <w:tc>
          <w:tcPr>
            <w:tcW w:w="1170" w:type="dxa"/>
          </w:tcPr>
          <w:p w14:paraId="6720C167" w14:textId="77777777" w:rsidR="00FA4AA8" w:rsidRDefault="0015611F">
            <w:pPr>
              <w:pStyle w:val="TableParagraph"/>
              <w:spacing w:before="24"/>
              <w:ind w:right="124"/>
              <w:jc w:val="right"/>
              <w:rPr>
                <w:b/>
                <w:sz w:val="18"/>
              </w:rPr>
            </w:pPr>
            <w:r>
              <w:rPr>
                <w:b/>
                <w:sz w:val="18"/>
              </w:rPr>
              <w:t>3,637</w:t>
            </w:r>
          </w:p>
        </w:tc>
        <w:tc>
          <w:tcPr>
            <w:tcW w:w="1345" w:type="dxa"/>
          </w:tcPr>
          <w:p w14:paraId="6EA87B3C" w14:textId="77777777" w:rsidR="00FA4AA8" w:rsidRDefault="0015611F">
            <w:pPr>
              <w:pStyle w:val="TableParagraph"/>
              <w:spacing w:before="24"/>
              <w:ind w:right="173"/>
              <w:jc w:val="right"/>
              <w:rPr>
                <w:b/>
                <w:sz w:val="18"/>
              </w:rPr>
            </w:pPr>
            <w:r>
              <w:rPr>
                <w:b/>
                <w:sz w:val="18"/>
              </w:rPr>
              <w:t>-</w:t>
            </w:r>
          </w:p>
        </w:tc>
        <w:tc>
          <w:tcPr>
            <w:tcW w:w="1107" w:type="dxa"/>
          </w:tcPr>
          <w:p w14:paraId="508C9F70" w14:textId="77777777" w:rsidR="00FA4AA8" w:rsidRDefault="0015611F">
            <w:pPr>
              <w:pStyle w:val="TableParagraph"/>
              <w:spacing w:before="24"/>
              <w:ind w:right="147"/>
              <w:jc w:val="right"/>
              <w:rPr>
                <w:b/>
                <w:sz w:val="18"/>
              </w:rPr>
            </w:pPr>
            <w:r>
              <w:rPr>
                <w:b/>
                <w:sz w:val="18"/>
              </w:rPr>
              <w:t>-</w:t>
            </w:r>
          </w:p>
        </w:tc>
        <w:tc>
          <w:tcPr>
            <w:tcW w:w="1239" w:type="dxa"/>
          </w:tcPr>
          <w:p w14:paraId="3DCD623B" w14:textId="77777777" w:rsidR="00FA4AA8" w:rsidRDefault="0015611F">
            <w:pPr>
              <w:pStyle w:val="TableParagraph"/>
              <w:spacing w:before="24"/>
              <w:ind w:right="253"/>
              <w:jc w:val="right"/>
              <w:rPr>
                <w:b/>
                <w:sz w:val="18"/>
              </w:rPr>
            </w:pPr>
            <w:r>
              <w:rPr>
                <w:b/>
                <w:sz w:val="18"/>
              </w:rPr>
              <w:t>7,803</w:t>
            </w:r>
          </w:p>
        </w:tc>
        <w:tc>
          <w:tcPr>
            <w:tcW w:w="964" w:type="dxa"/>
          </w:tcPr>
          <w:p w14:paraId="0B3E4369" w14:textId="77777777" w:rsidR="00FA4AA8" w:rsidRDefault="0015611F">
            <w:pPr>
              <w:pStyle w:val="TableParagraph"/>
              <w:spacing w:before="24"/>
              <w:ind w:left="322"/>
              <w:rPr>
                <w:b/>
                <w:sz w:val="18"/>
              </w:rPr>
            </w:pPr>
            <w:r>
              <w:rPr>
                <w:b/>
                <w:sz w:val="18"/>
              </w:rPr>
              <w:t>11,440</w:t>
            </w:r>
          </w:p>
        </w:tc>
      </w:tr>
      <w:tr w:rsidR="00FA4AA8" w14:paraId="01FC0AD9" w14:textId="77777777">
        <w:trPr>
          <w:trHeight w:val="256"/>
        </w:trPr>
        <w:tc>
          <w:tcPr>
            <w:tcW w:w="349" w:type="dxa"/>
          </w:tcPr>
          <w:p w14:paraId="73A8E650" w14:textId="77777777" w:rsidR="00FA4AA8" w:rsidRDefault="00FA4AA8">
            <w:pPr>
              <w:pStyle w:val="TableParagraph"/>
              <w:rPr>
                <w:rFonts w:ascii="Times New Roman"/>
                <w:sz w:val="18"/>
              </w:rPr>
            </w:pPr>
          </w:p>
        </w:tc>
        <w:tc>
          <w:tcPr>
            <w:tcW w:w="3786" w:type="dxa"/>
          </w:tcPr>
          <w:p w14:paraId="31987EAE" w14:textId="77777777" w:rsidR="00FA4AA8" w:rsidRDefault="0015611F">
            <w:pPr>
              <w:pStyle w:val="TableParagraph"/>
              <w:spacing w:before="26"/>
              <w:ind w:left="140"/>
              <w:rPr>
                <w:sz w:val="18"/>
              </w:rPr>
            </w:pPr>
            <w:r>
              <w:rPr>
                <w:sz w:val="18"/>
              </w:rPr>
              <w:t>Amortisation charge</w:t>
            </w:r>
          </w:p>
        </w:tc>
        <w:tc>
          <w:tcPr>
            <w:tcW w:w="1170" w:type="dxa"/>
            <w:tcBorders>
              <w:bottom w:val="single" w:sz="8" w:space="0" w:color="000000"/>
            </w:tcBorders>
          </w:tcPr>
          <w:p w14:paraId="4240972D" w14:textId="77777777" w:rsidR="00FA4AA8" w:rsidRDefault="0015611F">
            <w:pPr>
              <w:pStyle w:val="TableParagraph"/>
              <w:spacing w:before="24"/>
              <w:ind w:right="63"/>
              <w:jc w:val="right"/>
              <w:rPr>
                <w:b/>
                <w:sz w:val="18"/>
              </w:rPr>
            </w:pPr>
            <w:r>
              <w:rPr>
                <w:b/>
                <w:sz w:val="18"/>
              </w:rPr>
              <w:t>(1,212)</w:t>
            </w:r>
          </w:p>
        </w:tc>
        <w:tc>
          <w:tcPr>
            <w:tcW w:w="1345" w:type="dxa"/>
            <w:tcBorders>
              <w:bottom w:val="single" w:sz="8" w:space="0" w:color="000000"/>
            </w:tcBorders>
          </w:tcPr>
          <w:p w14:paraId="42F47B81" w14:textId="77777777" w:rsidR="00FA4AA8" w:rsidRDefault="0015611F">
            <w:pPr>
              <w:pStyle w:val="TableParagraph"/>
              <w:spacing w:before="24"/>
              <w:ind w:right="173"/>
              <w:jc w:val="right"/>
              <w:rPr>
                <w:b/>
                <w:sz w:val="18"/>
              </w:rPr>
            </w:pPr>
            <w:r>
              <w:rPr>
                <w:b/>
                <w:sz w:val="18"/>
              </w:rPr>
              <w:t>-</w:t>
            </w:r>
          </w:p>
        </w:tc>
        <w:tc>
          <w:tcPr>
            <w:tcW w:w="1107" w:type="dxa"/>
            <w:tcBorders>
              <w:bottom w:val="single" w:sz="8" w:space="0" w:color="000000"/>
            </w:tcBorders>
          </w:tcPr>
          <w:p w14:paraId="3832DBC1" w14:textId="77777777" w:rsidR="00FA4AA8" w:rsidRDefault="0015611F">
            <w:pPr>
              <w:pStyle w:val="TableParagraph"/>
              <w:spacing w:before="24"/>
              <w:ind w:right="86"/>
              <w:jc w:val="right"/>
              <w:rPr>
                <w:b/>
                <w:sz w:val="18"/>
              </w:rPr>
            </w:pPr>
            <w:r>
              <w:rPr>
                <w:b/>
                <w:sz w:val="18"/>
              </w:rPr>
              <w:t>(29)</w:t>
            </w:r>
          </w:p>
        </w:tc>
        <w:tc>
          <w:tcPr>
            <w:tcW w:w="1239" w:type="dxa"/>
            <w:tcBorders>
              <w:bottom w:val="single" w:sz="8" w:space="0" w:color="000000"/>
            </w:tcBorders>
          </w:tcPr>
          <w:p w14:paraId="1225576E" w14:textId="77777777" w:rsidR="00FA4AA8" w:rsidRDefault="0015611F">
            <w:pPr>
              <w:pStyle w:val="TableParagraph"/>
              <w:spacing w:before="24"/>
              <w:ind w:right="193"/>
              <w:jc w:val="right"/>
              <w:rPr>
                <w:b/>
                <w:sz w:val="18"/>
              </w:rPr>
            </w:pPr>
            <w:r>
              <w:rPr>
                <w:b/>
                <w:sz w:val="18"/>
              </w:rPr>
              <w:t>(3,679)</w:t>
            </w:r>
          </w:p>
        </w:tc>
        <w:tc>
          <w:tcPr>
            <w:tcW w:w="964" w:type="dxa"/>
            <w:tcBorders>
              <w:bottom w:val="single" w:sz="8" w:space="0" w:color="000000"/>
            </w:tcBorders>
          </w:tcPr>
          <w:p w14:paraId="3D97C20C" w14:textId="77777777" w:rsidR="00FA4AA8" w:rsidRDefault="0015611F">
            <w:pPr>
              <w:pStyle w:val="TableParagraph"/>
              <w:spacing w:before="24"/>
              <w:ind w:right="24"/>
              <w:jc w:val="right"/>
              <w:rPr>
                <w:b/>
                <w:sz w:val="18"/>
              </w:rPr>
            </w:pPr>
            <w:r>
              <w:rPr>
                <w:b/>
                <w:sz w:val="18"/>
              </w:rPr>
              <w:t>(4,920)</w:t>
            </w:r>
          </w:p>
        </w:tc>
      </w:tr>
      <w:tr w:rsidR="00FA4AA8" w14:paraId="7AB77464" w14:textId="77777777">
        <w:trPr>
          <w:trHeight w:val="318"/>
        </w:trPr>
        <w:tc>
          <w:tcPr>
            <w:tcW w:w="349" w:type="dxa"/>
          </w:tcPr>
          <w:p w14:paraId="3D38DB0F" w14:textId="77777777" w:rsidR="00FA4AA8" w:rsidRDefault="00FA4AA8">
            <w:pPr>
              <w:pStyle w:val="TableParagraph"/>
              <w:rPr>
                <w:rFonts w:ascii="Times New Roman"/>
                <w:sz w:val="18"/>
              </w:rPr>
            </w:pPr>
          </w:p>
        </w:tc>
        <w:tc>
          <w:tcPr>
            <w:tcW w:w="3786" w:type="dxa"/>
          </w:tcPr>
          <w:p w14:paraId="49389914" w14:textId="77777777" w:rsidR="00FA4AA8" w:rsidRDefault="0015611F">
            <w:pPr>
              <w:pStyle w:val="TableParagraph"/>
              <w:spacing w:before="115" w:line="183" w:lineRule="exact"/>
              <w:ind w:left="140"/>
              <w:rPr>
                <w:b/>
                <w:sz w:val="18"/>
              </w:rPr>
            </w:pPr>
            <w:r>
              <w:rPr>
                <w:b/>
                <w:sz w:val="18"/>
              </w:rPr>
              <w:t>Net book amount at 31 December 2018</w:t>
            </w:r>
          </w:p>
        </w:tc>
        <w:tc>
          <w:tcPr>
            <w:tcW w:w="1170" w:type="dxa"/>
            <w:tcBorders>
              <w:top w:val="single" w:sz="8" w:space="0" w:color="000000"/>
              <w:bottom w:val="single" w:sz="8" w:space="0" w:color="000000"/>
            </w:tcBorders>
          </w:tcPr>
          <w:p w14:paraId="1B5581D0" w14:textId="77777777" w:rsidR="00FA4AA8" w:rsidRDefault="0015611F">
            <w:pPr>
              <w:pStyle w:val="TableParagraph"/>
              <w:spacing w:before="115" w:line="183" w:lineRule="exact"/>
              <w:ind w:right="124"/>
              <w:jc w:val="right"/>
              <w:rPr>
                <w:b/>
                <w:sz w:val="18"/>
              </w:rPr>
            </w:pPr>
            <w:r>
              <w:rPr>
                <w:b/>
                <w:sz w:val="18"/>
              </w:rPr>
              <w:t>2,425</w:t>
            </w:r>
          </w:p>
        </w:tc>
        <w:tc>
          <w:tcPr>
            <w:tcW w:w="1345" w:type="dxa"/>
            <w:tcBorders>
              <w:top w:val="single" w:sz="8" w:space="0" w:color="000000"/>
              <w:bottom w:val="single" w:sz="8" w:space="0" w:color="000000"/>
            </w:tcBorders>
          </w:tcPr>
          <w:p w14:paraId="3A61D178" w14:textId="77777777" w:rsidR="00FA4AA8" w:rsidRDefault="0015611F">
            <w:pPr>
              <w:pStyle w:val="TableParagraph"/>
              <w:spacing w:before="115" w:line="183" w:lineRule="exact"/>
              <w:ind w:right="173"/>
              <w:jc w:val="right"/>
              <w:rPr>
                <w:b/>
                <w:sz w:val="18"/>
              </w:rPr>
            </w:pPr>
            <w:r>
              <w:rPr>
                <w:b/>
                <w:sz w:val="18"/>
              </w:rPr>
              <w:t>-</w:t>
            </w:r>
          </w:p>
        </w:tc>
        <w:tc>
          <w:tcPr>
            <w:tcW w:w="1107" w:type="dxa"/>
            <w:tcBorders>
              <w:top w:val="single" w:sz="8" w:space="0" w:color="000000"/>
              <w:bottom w:val="single" w:sz="8" w:space="0" w:color="000000"/>
            </w:tcBorders>
          </w:tcPr>
          <w:p w14:paraId="55ADB851" w14:textId="77777777" w:rsidR="00FA4AA8" w:rsidRDefault="0015611F">
            <w:pPr>
              <w:pStyle w:val="TableParagraph"/>
              <w:spacing w:before="115" w:line="183" w:lineRule="exact"/>
              <w:ind w:right="147"/>
              <w:jc w:val="right"/>
              <w:rPr>
                <w:b/>
                <w:sz w:val="18"/>
              </w:rPr>
            </w:pPr>
            <w:r>
              <w:rPr>
                <w:b/>
                <w:sz w:val="18"/>
              </w:rPr>
              <w:t>162</w:t>
            </w:r>
          </w:p>
        </w:tc>
        <w:tc>
          <w:tcPr>
            <w:tcW w:w="1239" w:type="dxa"/>
            <w:tcBorders>
              <w:top w:val="single" w:sz="8" w:space="0" w:color="000000"/>
              <w:bottom w:val="single" w:sz="8" w:space="0" w:color="000000"/>
            </w:tcBorders>
          </w:tcPr>
          <w:p w14:paraId="0484DF76" w14:textId="77777777" w:rsidR="00FA4AA8" w:rsidRDefault="0015611F">
            <w:pPr>
              <w:pStyle w:val="TableParagraph"/>
              <w:spacing w:before="115" w:line="183" w:lineRule="exact"/>
              <w:ind w:right="253"/>
              <w:jc w:val="right"/>
              <w:rPr>
                <w:b/>
                <w:sz w:val="18"/>
              </w:rPr>
            </w:pPr>
            <w:r>
              <w:rPr>
                <w:b/>
                <w:sz w:val="18"/>
              </w:rPr>
              <w:t>18,721</w:t>
            </w:r>
          </w:p>
        </w:tc>
        <w:tc>
          <w:tcPr>
            <w:tcW w:w="964" w:type="dxa"/>
            <w:tcBorders>
              <w:top w:val="single" w:sz="8" w:space="0" w:color="000000"/>
              <w:bottom w:val="single" w:sz="8" w:space="0" w:color="000000"/>
            </w:tcBorders>
          </w:tcPr>
          <w:p w14:paraId="787D51C9" w14:textId="77777777" w:rsidR="00FA4AA8" w:rsidRDefault="0015611F">
            <w:pPr>
              <w:pStyle w:val="TableParagraph"/>
              <w:spacing w:before="115" w:line="183" w:lineRule="exact"/>
              <w:ind w:left="322"/>
              <w:rPr>
                <w:b/>
                <w:sz w:val="18"/>
              </w:rPr>
            </w:pPr>
            <w:r>
              <w:rPr>
                <w:b/>
                <w:sz w:val="18"/>
              </w:rPr>
              <w:t>21,308</w:t>
            </w:r>
          </w:p>
        </w:tc>
      </w:tr>
      <w:tr w:rsidR="00FA4AA8" w14:paraId="19FF4C8C" w14:textId="77777777">
        <w:trPr>
          <w:trHeight w:val="658"/>
        </w:trPr>
        <w:tc>
          <w:tcPr>
            <w:tcW w:w="349" w:type="dxa"/>
          </w:tcPr>
          <w:p w14:paraId="6AF92194" w14:textId="77777777" w:rsidR="00FA4AA8" w:rsidRDefault="00FA4AA8">
            <w:pPr>
              <w:pStyle w:val="TableParagraph"/>
              <w:rPr>
                <w:rFonts w:ascii="Times New Roman"/>
                <w:sz w:val="18"/>
              </w:rPr>
            </w:pPr>
          </w:p>
        </w:tc>
        <w:tc>
          <w:tcPr>
            <w:tcW w:w="3786" w:type="dxa"/>
          </w:tcPr>
          <w:p w14:paraId="728A1157" w14:textId="77777777" w:rsidR="00FA4AA8" w:rsidRDefault="00FA4AA8">
            <w:pPr>
              <w:pStyle w:val="TableParagraph"/>
              <w:rPr>
                <w:sz w:val="20"/>
              </w:rPr>
            </w:pPr>
          </w:p>
          <w:p w14:paraId="35C82A12" w14:textId="77777777" w:rsidR="00FA4AA8" w:rsidRDefault="00FA4AA8">
            <w:pPr>
              <w:pStyle w:val="TableParagraph"/>
              <w:spacing w:before="8"/>
              <w:rPr>
                <w:sz w:val="17"/>
              </w:rPr>
            </w:pPr>
          </w:p>
          <w:p w14:paraId="5B02CAEE" w14:textId="77777777" w:rsidR="00FA4AA8" w:rsidRDefault="0015611F">
            <w:pPr>
              <w:pStyle w:val="TableParagraph"/>
              <w:spacing w:before="1" w:line="204" w:lineRule="exact"/>
              <w:ind w:left="140"/>
              <w:rPr>
                <w:b/>
                <w:sz w:val="18"/>
              </w:rPr>
            </w:pPr>
            <w:r>
              <w:rPr>
                <w:b/>
                <w:sz w:val="18"/>
              </w:rPr>
              <w:t>At 31 December 2018</w:t>
            </w:r>
          </w:p>
        </w:tc>
        <w:tc>
          <w:tcPr>
            <w:tcW w:w="1170" w:type="dxa"/>
            <w:tcBorders>
              <w:top w:val="single" w:sz="8" w:space="0" w:color="000000"/>
            </w:tcBorders>
          </w:tcPr>
          <w:p w14:paraId="152FF6DD" w14:textId="77777777" w:rsidR="00FA4AA8" w:rsidRDefault="00FA4AA8">
            <w:pPr>
              <w:pStyle w:val="TableParagraph"/>
              <w:rPr>
                <w:rFonts w:ascii="Times New Roman"/>
                <w:sz w:val="18"/>
              </w:rPr>
            </w:pPr>
          </w:p>
        </w:tc>
        <w:tc>
          <w:tcPr>
            <w:tcW w:w="1345" w:type="dxa"/>
            <w:tcBorders>
              <w:top w:val="single" w:sz="8" w:space="0" w:color="000000"/>
            </w:tcBorders>
          </w:tcPr>
          <w:p w14:paraId="6C1E2D10" w14:textId="77777777" w:rsidR="00FA4AA8" w:rsidRDefault="00FA4AA8">
            <w:pPr>
              <w:pStyle w:val="TableParagraph"/>
              <w:rPr>
                <w:rFonts w:ascii="Times New Roman"/>
                <w:sz w:val="18"/>
              </w:rPr>
            </w:pPr>
          </w:p>
        </w:tc>
        <w:tc>
          <w:tcPr>
            <w:tcW w:w="1107" w:type="dxa"/>
            <w:tcBorders>
              <w:top w:val="single" w:sz="8" w:space="0" w:color="000000"/>
            </w:tcBorders>
          </w:tcPr>
          <w:p w14:paraId="5CB3A22A" w14:textId="77777777" w:rsidR="00FA4AA8" w:rsidRDefault="00FA4AA8">
            <w:pPr>
              <w:pStyle w:val="TableParagraph"/>
              <w:rPr>
                <w:rFonts w:ascii="Times New Roman"/>
                <w:sz w:val="18"/>
              </w:rPr>
            </w:pPr>
          </w:p>
        </w:tc>
        <w:tc>
          <w:tcPr>
            <w:tcW w:w="1239" w:type="dxa"/>
            <w:tcBorders>
              <w:top w:val="single" w:sz="8" w:space="0" w:color="000000"/>
            </w:tcBorders>
          </w:tcPr>
          <w:p w14:paraId="72612010" w14:textId="77777777" w:rsidR="00FA4AA8" w:rsidRDefault="00FA4AA8">
            <w:pPr>
              <w:pStyle w:val="TableParagraph"/>
              <w:rPr>
                <w:rFonts w:ascii="Times New Roman"/>
                <w:sz w:val="18"/>
              </w:rPr>
            </w:pPr>
          </w:p>
        </w:tc>
        <w:tc>
          <w:tcPr>
            <w:tcW w:w="964" w:type="dxa"/>
            <w:tcBorders>
              <w:top w:val="single" w:sz="8" w:space="0" w:color="000000"/>
            </w:tcBorders>
          </w:tcPr>
          <w:p w14:paraId="1317FADB" w14:textId="77777777" w:rsidR="00FA4AA8" w:rsidRDefault="00FA4AA8">
            <w:pPr>
              <w:pStyle w:val="TableParagraph"/>
              <w:rPr>
                <w:rFonts w:ascii="Times New Roman"/>
                <w:sz w:val="18"/>
              </w:rPr>
            </w:pPr>
          </w:p>
        </w:tc>
      </w:tr>
      <w:tr w:rsidR="00FA4AA8" w14:paraId="07C9B04C" w14:textId="77777777">
        <w:trPr>
          <w:trHeight w:val="249"/>
        </w:trPr>
        <w:tc>
          <w:tcPr>
            <w:tcW w:w="349" w:type="dxa"/>
          </w:tcPr>
          <w:p w14:paraId="7228580B" w14:textId="77777777" w:rsidR="00FA4AA8" w:rsidRDefault="00FA4AA8">
            <w:pPr>
              <w:pStyle w:val="TableParagraph"/>
              <w:rPr>
                <w:rFonts w:ascii="Times New Roman"/>
                <w:sz w:val="18"/>
              </w:rPr>
            </w:pPr>
          </w:p>
        </w:tc>
        <w:tc>
          <w:tcPr>
            <w:tcW w:w="3786" w:type="dxa"/>
          </w:tcPr>
          <w:p w14:paraId="10C69F40" w14:textId="77777777" w:rsidR="00FA4AA8" w:rsidRDefault="0015611F">
            <w:pPr>
              <w:pStyle w:val="TableParagraph"/>
              <w:spacing w:before="13"/>
              <w:ind w:left="140"/>
              <w:rPr>
                <w:sz w:val="18"/>
              </w:rPr>
            </w:pPr>
            <w:r>
              <w:rPr>
                <w:sz w:val="18"/>
              </w:rPr>
              <w:t>- Cost</w:t>
            </w:r>
          </w:p>
        </w:tc>
        <w:tc>
          <w:tcPr>
            <w:tcW w:w="1170" w:type="dxa"/>
          </w:tcPr>
          <w:p w14:paraId="2ED81A77" w14:textId="77777777" w:rsidR="00FA4AA8" w:rsidRDefault="0015611F">
            <w:pPr>
              <w:pStyle w:val="TableParagraph"/>
              <w:spacing w:before="11"/>
              <w:ind w:right="124"/>
              <w:jc w:val="right"/>
              <w:rPr>
                <w:b/>
                <w:sz w:val="18"/>
              </w:rPr>
            </w:pPr>
            <w:r>
              <w:rPr>
                <w:b/>
                <w:sz w:val="18"/>
              </w:rPr>
              <w:t>3,637</w:t>
            </w:r>
          </w:p>
        </w:tc>
        <w:tc>
          <w:tcPr>
            <w:tcW w:w="1345" w:type="dxa"/>
          </w:tcPr>
          <w:p w14:paraId="337C1442" w14:textId="77777777" w:rsidR="00FA4AA8" w:rsidRDefault="0015611F">
            <w:pPr>
              <w:pStyle w:val="TableParagraph"/>
              <w:spacing w:before="11"/>
              <w:ind w:right="173"/>
              <w:jc w:val="right"/>
              <w:rPr>
                <w:b/>
                <w:sz w:val="18"/>
              </w:rPr>
            </w:pPr>
            <w:r>
              <w:rPr>
                <w:b/>
                <w:sz w:val="18"/>
              </w:rPr>
              <w:t>-</w:t>
            </w:r>
          </w:p>
        </w:tc>
        <w:tc>
          <w:tcPr>
            <w:tcW w:w="1107" w:type="dxa"/>
          </w:tcPr>
          <w:p w14:paraId="3A21F754" w14:textId="77777777" w:rsidR="00FA4AA8" w:rsidRDefault="0015611F">
            <w:pPr>
              <w:pStyle w:val="TableParagraph"/>
              <w:spacing w:before="11"/>
              <w:ind w:right="147"/>
              <w:jc w:val="right"/>
              <w:rPr>
                <w:b/>
                <w:sz w:val="18"/>
              </w:rPr>
            </w:pPr>
            <w:r>
              <w:rPr>
                <w:b/>
                <w:sz w:val="18"/>
              </w:rPr>
              <w:t>250</w:t>
            </w:r>
          </w:p>
        </w:tc>
        <w:tc>
          <w:tcPr>
            <w:tcW w:w="1239" w:type="dxa"/>
          </w:tcPr>
          <w:p w14:paraId="441A12B4" w14:textId="77777777" w:rsidR="00FA4AA8" w:rsidRDefault="0015611F">
            <w:pPr>
              <w:pStyle w:val="TableParagraph"/>
              <w:spacing w:before="11"/>
              <w:ind w:right="253"/>
              <w:jc w:val="right"/>
              <w:rPr>
                <w:b/>
                <w:sz w:val="18"/>
              </w:rPr>
            </w:pPr>
            <w:r>
              <w:rPr>
                <w:b/>
                <w:sz w:val="18"/>
              </w:rPr>
              <w:t>26,189</w:t>
            </w:r>
          </w:p>
        </w:tc>
        <w:tc>
          <w:tcPr>
            <w:tcW w:w="964" w:type="dxa"/>
          </w:tcPr>
          <w:p w14:paraId="374C5E48" w14:textId="77777777" w:rsidR="00FA4AA8" w:rsidRDefault="0015611F">
            <w:pPr>
              <w:pStyle w:val="TableParagraph"/>
              <w:spacing w:before="11"/>
              <w:ind w:left="322"/>
              <w:rPr>
                <w:b/>
                <w:sz w:val="18"/>
              </w:rPr>
            </w:pPr>
            <w:r>
              <w:rPr>
                <w:b/>
                <w:sz w:val="18"/>
              </w:rPr>
              <w:t>30,076</w:t>
            </w:r>
          </w:p>
        </w:tc>
      </w:tr>
      <w:tr w:rsidR="00FA4AA8" w14:paraId="480CCBDC" w14:textId="77777777">
        <w:trPr>
          <w:trHeight w:val="459"/>
        </w:trPr>
        <w:tc>
          <w:tcPr>
            <w:tcW w:w="349" w:type="dxa"/>
          </w:tcPr>
          <w:p w14:paraId="5F7D19AA" w14:textId="77777777" w:rsidR="00FA4AA8" w:rsidRDefault="00FA4AA8">
            <w:pPr>
              <w:pStyle w:val="TableParagraph"/>
              <w:rPr>
                <w:rFonts w:ascii="Times New Roman"/>
                <w:sz w:val="18"/>
              </w:rPr>
            </w:pPr>
          </w:p>
        </w:tc>
        <w:tc>
          <w:tcPr>
            <w:tcW w:w="3786" w:type="dxa"/>
          </w:tcPr>
          <w:p w14:paraId="5D4E8897" w14:textId="77777777" w:rsidR="00FA4AA8" w:rsidRDefault="0015611F">
            <w:pPr>
              <w:pStyle w:val="TableParagraph"/>
              <w:spacing w:before="23"/>
              <w:ind w:left="140" w:right="244"/>
              <w:rPr>
                <w:sz w:val="18"/>
              </w:rPr>
            </w:pPr>
            <w:r>
              <w:rPr>
                <w:sz w:val="18"/>
              </w:rPr>
              <w:t>- Accumulated amortisation and impairment</w:t>
            </w:r>
          </w:p>
        </w:tc>
        <w:tc>
          <w:tcPr>
            <w:tcW w:w="1170" w:type="dxa"/>
            <w:tcBorders>
              <w:bottom w:val="single" w:sz="8" w:space="0" w:color="000000"/>
            </w:tcBorders>
          </w:tcPr>
          <w:p w14:paraId="28DAF009" w14:textId="77777777" w:rsidR="00FA4AA8" w:rsidRDefault="00FA4AA8">
            <w:pPr>
              <w:pStyle w:val="TableParagraph"/>
              <w:spacing w:before="8"/>
              <w:rPr>
                <w:sz w:val="19"/>
              </w:rPr>
            </w:pPr>
          </w:p>
          <w:p w14:paraId="72374150" w14:textId="77777777" w:rsidR="00FA4AA8" w:rsidRDefault="0015611F">
            <w:pPr>
              <w:pStyle w:val="TableParagraph"/>
              <w:ind w:right="63"/>
              <w:jc w:val="right"/>
              <w:rPr>
                <w:b/>
                <w:sz w:val="18"/>
              </w:rPr>
            </w:pPr>
            <w:r>
              <w:rPr>
                <w:b/>
                <w:sz w:val="18"/>
              </w:rPr>
              <w:t>(1,212)</w:t>
            </w:r>
          </w:p>
        </w:tc>
        <w:tc>
          <w:tcPr>
            <w:tcW w:w="1345" w:type="dxa"/>
            <w:tcBorders>
              <w:bottom w:val="single" w:sz="8" w:space="0" w:color="000000"/>
            </w:tcBorders>
          </w:tcPr>
          <w:p w14:paraId="4CD1952B" w14:textId="77777777" w:rsidR="00FA4AA8" w:rsidRDefault="00FA4AA8">
            <w:pPr>
              <w:pStyle w:val="TableParagraph"/>
              <w:spacing w:before="8"/>
              <w:rPr>
                <w:sz w:val="19"/>
              </w:rPr>
            </w:pPr>
          </w:p>
          <w:p w14:paraId="1F547D3F" w14:textId="77777777" w:rsidR="00FA4AA8" w:rsidRDefault="0015611F">
            <w:pPr>
              <w:pStyle w:val="TableParagraph"/>
              <w:ind w:right="173"/>
              <w:jc w:val="right"/>
              <w:rPr>
                <w:b/>
                <w:sz w:val="18"/>
              </w:rPr>
            </w:pPr>
            <w:r>
              <w:rPr>
                <w:b/>
                <w:sz w:val="18"/>
              </w:rPr>
              <w:t>-</w:t>
            </w:r>
          </w:p>
        </w:tc>
        <w:tc>
          <w:tcPr>
            <w:tcW w:w="1107" w:type="dxa"/>
            <w:tcBorders>
              <w:bottom w:val="single" w:sz="8" w:space="0" w:color="000000"/>
            </w:tcBorders>
          </w:tcPr>
          <w:p w14:paraId="07559F93" w14:textId="77777777" w:rsidR="00FA4AA8" w:rsidRDefault="00FA4AA8">
            <w:pPr>
              <w:pStyle w:val="TableParagraph"/>
              <w:spacing w:before="8"/>
              <w:rPr>
                <w:sz w:val="19"/>
              </w:rPr>
            </w:pPr>
          </w:p>
          <w:p w14:paraId="7AD77B07" w14:textId="77777777" w:rsidR="00FA4AA8" w:rsidRDefault="0015611F">
            <w:pPr>
              <w:pStyle w:val="TableParagraph"/>
              <w:ind w:right="86"/>
              <w:jc w:val="right"/>
              <w:rPr>
                <w:b/>
                <w:sz w:val="18"/>
              </w:rPr>
            </w:pPr>
            <w:r>
              <w:rPr>
                <w:b/>
                <w:sz w:val="18"/>
              </w:rPr>
              <w:t>(88)</w:t>
            </w:r>
          </w:p>
        </w:tc>
        <w:tc>
          <w:tcPr>
            <w:tcW w:w="1239" w:type="dxa"/>
            <w:tcBorders>
              <w:bottom w:val="single" w:sz="8" w:space="0" w:color="000000"/>
            </w:tcBorders>
          </w:tcPr>
          <w:p w14:paraId="3797B753" w14:textId="77777777" w:rsidR="00FA4AA8" w:rsidRDefault="00FA4AA8">
            <w:pPr>
              <w:pStyle w:val="TableParagraph"/>
              <w:spacing w:before="8"/>
              <w:rPr>
                <w:sz w:val="19"/>
              </w:rPr>
            </w:pPr>
          </w:p>
          <w:p w14:paraId="5260C7B0" w14:textId="77777777" w:rsidR="00FA4AA8" w:rsidRDefault="0015611F">
            <w:pPr>
              <w:pStyle w:val="TableParagraph"/>
              <w:ind w:right="193"/>
              <w:jc w:val="right"/>
              <w:rPr>
                <w:b/>
                <w:sz w:val="18"/>
              </w:rPr>
            </w:pPr>
            <w:r>
              <w:rPr>
                <w:b/>
                <w:sz w:val="18"/>
              </w:rPr>
              <w:t>(7,468)</w:t>
            </w:r>
          </w:p>
        </w:tc>
        <w:tc>
          <w:tcPr>
            <w:tcW w:w="964" w:type="dxa"/>
            <w:tcBorders>
              <w:bottom w:val="single" w:sz="8" w:space="0" w:color="000000"/>
            </w:tcBorders>
          </w:tcPr>
          <w:p w14:paraId="65D9914A" w14:textId="77777777" w:rsidR="00FA4AA8" w:rsidRDefault="00FA4AA8">
            <w:pPr>
              <w:pStyle w:val="TableParagraph"/>
              <w:spacing w:before="8"/>
              <w:rPr>
                <w:sz w:val="19"/>
              </w:rPr>
            </w:pPr>
          </w:p>
          <w:p w14:paraId="66A7A25E" w14:textId="77777777" w:rsidR="00FA4AA8" w:rsidRDefault="0015611F">
            <w:pPr>
              <w:pStyle w:val="TableParagraph"/>
              <w:ind w:right="24"/>
              <w:jc w:val="right"/>
              <w:rPr>
                <w:b/>
                <w:sz w:val="18"/>
              </w:rPr>
            </w:pPr>
            <w:r>
              <w:rPr>
                <w:b/>
                <w:sz w:val="18"/>
              </w:rPr>
              <w:t>(8,768)</w:t>
            </w:r>
          </w:p>
        </w:tc>
      </w:tr>
      <w:tr w:rsidR="00FA4AA8" w14:paraId="458AB57C" w14:textId="77777777">
        <w:trPr>
          <w:trHeight w:val="314"/>
        </w:trPr>
        <w:tc>
          <w:tcPr>
            <w:tcW w:w="349" w:type="dxa"/>
          </w:tcPr>
          <w:p w14:paraId="2DF59D5A" w14:textId="77777777" w:rsidR="00FA4AA8" w:rsidRDefault="00FA4AA8">
            <w:pPr>
              <w:pStyle w:val="TableParagraph"/>
              <w:rPr>
                <w:rFonts w:ascii="Times New Roman"/>
                <w:sz w:val="18"/>
              </w:rPr>
            </w:pPr>
          </w:p>
        </w:tc>
        <w:tc>
          <w:tcPr>
            <w:tcW w:w="3786" w:type="dxa"/>
          </w:tcPr>
          <w:p w14:paraId="42A244C9" w14:textId="77777777" w:rsidR="00FA4AA8" w:rsidRDefault="0015611F">
            <w:pPr>
              <w:pStyle w:val="TableParagraph"/>
              <w:spacing w:before="115" w:line="180" w:lineRule="exact"/>
              <w:ind w:left="140"/>
              <w:rPr>
                <w:b/>
                <w:sz w:val="18"/>
              </w:rPr>
            </w:pPr>
            <w:r>
              <w:rPr>
                <w:b/>
                <w:sz w:val="18"/>
              </w:rPr>
              <w:t>Net book amount at 31 December 2018</w:t>
            </w:r>
          </w:p>
        </w:tc>
        <w:tc>
          <w:tcPr>
            <w:tcW w:w="1170" w:type="dxa"/>
            <w:tcBorders>
              <w:top w:val="single" w:sz="8" w:space="0" w:color="000000"/>
              <w:bottom w:val="thinThickMediumGap" w:sz="3" w:space="0" w:color="000000"/>
            </w:tcBorders>
          </w:tcPr>
          <w:p w14:paraId="6635AA9C" w14:textId="77777777" w:rsidR="00FA4AA8" w:rsidRDefault="0015611F">
            <w:pPr>
              <w:pStyle w:val="TableParagraph"/>
              <w:spacing w:before="115" w:line="180" w:lineRule="exact"/>
              <w:ind w:right="124"/>
              <w:jc w:val="right"/>
              <w:rPr>
                <w:b/>
                <w:sz w:val="18"/>
              </w:rPr>
            </w:pPr>
            <w:r>
              <w:rPr>
                <w:b/>
                <w:sz w:val="18"/>
              </w:rPr>
              <w:t>2,425</w:t>
            </w:r>
          </w:p>
        </w:tc>
        <w:tc>
          <w:tcPr>
            <w:tcW w:w="1345" w:type="dxa"/>
            <w:tcBorders>
              <w:top w:val="single" w:sz="8" w:space="0" w:color="000000"/>
              <w:bottom w:val="single" w:sz="6" w:space="0" w:color="000000"/>
            </w:tcBorders>
          </w:tcPr>
          <w:p w14:paraId="33DF0979" w14:textId="77777777" w:rsidR="00FA4AA8" w:rsidRDefault="0015611F">
            <w:pPr>
              <w:pStyle w:val="TableParagraph"/>
              <w:spacing w:before="115" w:line="180" w:lineRule="exact"/>
              <w:ind w:right="173"/>
              <w:jc w:val="right"/>
              <w:rPr>
                <w:b/>
                <w:sz w:val="18"/>
              </w:rPr>
            </w:pPr>
            <w:r>
              <w:rPr>
                <w:b/>
                <w:sz w:val="18"/>
              </w:rPr>
              <w:t>-</w:t>
            </w:r>
          </w:p>
        </w:tc>
        <w:tc>
          <w:tcPr>
            <w:tcW w:w="1107" w:type="dxa"/>
            <w:tcBorders>
              <w:top w:val="single" w:sz="8" w:space="0" w:color="000000"/>
              <w:bottom w:val="single" w:sz="6" w:space="0" w:color="000000"/>
            </w:tcBorders>
          </w:tcPr>
          <w:p w14:paraId="0E7B48E4" w14:textId="77777777" w:rsidR="00FA4AA8" w:rsidRDefault="0015611F">
            <w:pPr>
              <w:pStyle w:val="TableParagraph"/>
              <w:spacing w:before="115" w:line="180" w:lineRule="exact"/>
              <w:ind w:right="147"/>
              <w:jc w:val="right"/>
              <w:rPr>
                <w:b/>
                <w:sz w:val="18"/>
              </w:rPr>
            </w:pPr>
            <w:r>
              <w:rPr>
                <w:b/>
                <w:sz w:val="18"/>
              </w:rPr>
              <w:t>162</w:t>
            </w:r>
          </w:p>
        </w:tc>
        <w:tc>
          <w:tcPr>
            <w:tcW w:w="1239" w:type="dxa"/>
            <w:tcBorders>
              <w:top w:val="single" w:sz="8" w:space="0" w:color="000000"/>
              <w:bottom w:val="single" w:sz="6" w:space="0" w:color="000000"/>
            </w:tcBorders>
          </w:tcPr>
          <w:p w14:paraId="2AA815D1" w14:textId="77777777" w:rsidR="00FA4AA8" w:rsidRDefault="0015611F">
            <w:pPr>
              <w:pStyle w:val="TableParagraph"/>
              <w:spacing w:before="115" w:line="180" w:lineRule="exact"/>
              <w:ind w:right="253"/>
              <w:jc w:val="right"/>
              <w:rPr>
                <w:b/>
                <w:sz w:val="18"/>
              </w:rPr>
            </w:pPr>
            <w:r>
              <w:rPr>
                <w:b/>
                <w:sz w:val="18"/>
              </w:rPr>
              <w:t>18,721</w:t>
            </w:r>
          </w:p>
        </w:tc>
        <w:tc>
          <w:tcPr>
            <w:tcW w:w="964" w:type="dxa"/>
            <w:tcBorders>
              <w:top w:val="single" w:sz="8" w:space="0" w:color="000000"/>
              <w:bottom w:val="single" w:sz="4" w:space="0" w:color="000000"/>
            </w:tcBorders>
          </w:tcPr>
          <w:p w14:paraId="0D59B53E" w14:textId="77777777" w:rsidR="00FA4AA8" w:rsidRDefault="0015611F">
            <w:pPr>
              <w:pStyle w:val="TableParagraph"/>
              <w:spacing w:before="115" w:line="180" w:lineRule="exact"/>
              <w:ind w:left="322"/>
              <w:rPr>
                <w:b/>
                <w:sz w:val="18"/>
              </w:rPr>
            </w:pPr>
            <w:r>
              <w:rPr>
                <w:b/>
                <w:sz w:val="18"/>
              </w:rPr>
              <w:t>21,308</w:t>
            </w:r>
          </w:p>
        </w:tc>
      </w:tr>
    </w:tbl>
    <w:p w14:paraId="75612518" w14:textId="77777777" w:rsidR="00FA4AA8" w:rsidRDefault="00FA4AA8">
      <w:pPr>
        <w:spacing w:line="180" w:lineRule="exact"/>
        <w:rPr>
          <w:sz w:val="18"/>
        </w:rPr>
        <w:sectPr w:rsidR="00FA4AA8">
          <w:pgSz w:w="11910" w:h="16840"/>
          <w:pgMar w:top="2220" w:right="880" w:bottom="720" w:left="840" w:header="1016" w:footer="523" w:gutter="0"/>
          <w:cols w:space="720"/>
        </w:sectPr>
      </w:pPr>
    </w:p>
    <w:p w14:paraId="2AD8FBC3" w14:textId="77777777" w:rsidR="00FA4AA8" w:rsidRDefault="00FA4AA8">
      <w:pPr>
        <w:pStyle w:val="BodyText"/>
        <w:rPr>
          <w:sz w:val="20"/>
        </w:rPr>
      </w:pPr>
    </w:p>
    <w:p w14:paraId="613F2CFF" w14:textId="77777777" w:rsidR="00FA4AA8" w:rsidRDefault="00FA4AA8">
      <w:pPr>
        <w:pStyle w:val="BodyText"/>
        <w:rPr>
          <w:sz w:val="20"/>
        </w:rPr>
      </w:pPr>
    </w:p>
    <w:p w14:paraId="4FAE2593" w14:textId="77777777" w:rsidR="00FA4AA8" w:rsidRDefault="00FA4AA8">
      <w:pPr>
        <w:pStyle w:val="BodyText"/>
        <w:spacing w:before="6"/>
      </w:pPr>
    </w:p>
    <w:tbl>
      <w:tblPr>
        <w:tblW w:w="0" w:type="auto"/>
        <w:tblInd w:w="125" w:type="dxa"/>
        <w:tblLayout w:type="fixed"/>
        <w:tblCellMar>
          <w:left w:w="0" w:type="dxa"/>
          <w:right w:w="0" w:type="dxa"/>
        </w:tblCellMar>
        <w:tblLook w:val="01E0" w:firstRow="1" w:lastRow="1" w:firstColumn="1" w:lastColumn="1" w:noHBand="0" w:noVBand="0"/>
      </w:tblPr>
      <w:tblGrid>
        <w:gridCol w:w="349"/>
        <w:gridCol w:w="3786"/>
        <w:gridCol w:w="1170"/>
        <w:gridCol w:w="1258"/>
        <w:gridCol w:w="1132"/>
        <w:gridCol w:w="1132"/>
        <w:gridCol w:w="1132"/>
      </w:tblGrid>
      <w:tr w:rsidR="00FA4AA8" w14:paraId="7C30121F" w14:textId="77777777">
        <w:trPr>
          <w:trHeight w:val="683"/>
        </w:trPr>
        <w:tc>
          <w:tcPr>
            <w:tcW w:w="349" w:type="dxa"/>
          </w:tcPr>
          <w:p w14:paraId="66E46AAA" w14:textId="77777777" w:rsidR="00FA4AA8" w:rsidRDefault="0015611F">
            <w:pPr>
              <w:pStyle w:val="TableParagraph"/>
              <w:spacing w:line="201" w:lineRule="exact"/>
              <w:ind w:left="50"/>
              <w:rPr>
                <w:b/>
                <w:sz w:val="18"/>
              </w:rPr>
            </w:pPr>
            <w:r>
              <w:rPr>
                <w:b/>
                <w:sz w:val="18"/>
              </w:rPr>
              <w:t>20</w:t>
            </w:r>
          </w:p>
        </w:tc>
        <w:tc>
          <w:tcPr>
            <w:tcW w:w="3786" w:type="dxa"/>
          </w:tcPr>
          <w:p w14:paraId="63DCFC08" w14:textId="77777777" w:rsidR="00FA4AA8" w:rsidRDefault="0015611F">
            <w:pPr>
              <w:pStyle w:val="TableParagraph"/>
              <w:spacing w:line="201" w:lineRule="exact"/>
              <w:ind w:left="97"/>
              <w:rPr>
                <w:b/>
                <w:sz w:val="18"/>
              </w:rPr>
            </w:pPr>
            <w:r>
              <w:rPr>
                <w:b/>
                <w:sz w:val="18"/>
              </w:rPr>
              <w:t>Intangible Assets (continued)</w:t>
            </w:r>
          </w:p>
        </w:tc>
        <w:tc>
          <w:tcPr>
            <w:tcW w:w="1170" w:type="dxa"/>
          </w:tcPr>
          <w:p w14:paraId="2FBDBDE9" w14:textId="77777777" w:rsidR="00FA4AA8" w:rsidRDefault="00FA4AA8">
            <w:pPr>
              <w:pStyle w:val="TableParagraph"/>
              <w:rPr>
                <w:sz w:val="20"/>
              </w:rPr>
            </w:pPr>
          </w:p>
          <w:p w14:paraId="1D2B68EA" w14:textId="77777777" w:rsidR="00FA4AA8" w:rsidRDefault="00FA4AA8">
            <w:pPr>
              <w:pStyle w:val="TableParagraph"/>
              <w:spacing w:before="3"/>
              <w:rPr>
                <w:sz w:val="18"/>
              </w:rPr>
            </w:pPr>
          </w:p>
          <w:p w14:paraId="2564A79C" w14:textId="77777777" w:rsidR="00FA4AA8" w:rsidRDefault="0015611F">
            <w:pPr>
              <w:pStyle w:val="TableParagraph"/>
              <w:ind w:left="206"/>
              <w:rPr>
                <w:b/>
                <w:sz w:val="18"/>
              </w:rPr>
            </w:pPr>
            <w:r>
              <w:rPr>
                <w:b/>
                <w:sz w:val="18"/>
              </w:rPr>
              <w:t>Software</w:t>
            </w:r>
          </w:p>
        </w:tc>
        <w:tc>
          <w:tcPr>
            <w:tcW w:w="1258" w:type="dxa"/>
          </w:tcPr>
          <w:p w14:paraId="217ED3E8" w14:textId="77777777" w:rsidR="00FA4AA8" w:rsidRDefault="00FA4AA8">
            <w:pPr>
              <w:pStyle w:val="TableParagraph"/>
              <w:spacing w:before="4"/>
              <w:rPr>
                <w:sz w:val="20"/>
              </w:rPr>
            </w:pPr>
          </w:p>
          <w:p w14:paraId="199422A8" w14:textId="77777777" w:rsidR="00FA4AA8" w:rsidRDefault="0015611F">
            <w:pPr>
              <w:pStyle w:val="TableParagraph"/>
              <w:ind w:left="397" w:right="42" w:hanging="332"/>
              <w:rPr>
                <w:b/>
                <w:sz w:val="18"/>
              </w:rPr>
            </w:pPr>
            <w:r>
              <w:rPr>
                <w:b/>
                <w:sz w:val="18"/>
              </w:rPr>
              <w:t>Development costs</w:t>
            </w:r>
          </w:p>
        </w:tc>
        <w:tc>
          <w:tcPr>
            <w:tcW w:w="1132" w:type="dxa"/>
          </w:tcPr>
          <w:p w14:paraId="6302436C" w14:textId="77777777" w:rsidR="00FA4AA8" w:rsidRDefault="00FA4AA8">
            <w:pPr>
              <w:pStyle w:val="TableParagraph"/>
              <w:rPr>
                <w:sz w:val="20"/>
              </w:rPr>
            </w:pPr>
          </w:p>
          <w:p w14:paraId="68E16F82" w14:textId="77777777" w:rsidR="00FA4AA8" w:rsidRDefault="00FA4AA8">
            <w:pPr>
              <w:pStyle w:val="TableParagraph"/>
              <w:spacing w:before="3"/>
              <w:rPr>
                <w:sz w:val="18"/>
              </w:rPr>
            </w:pPr>
          </w:p>
          <w:p w14:paraId="2B7FAFEF" w14:textId="77777777" w:rsidR="00FA4AA8" w:rsidRDefault="0015611F">
            <w:pPr>
              <w:pStyle w:val="TableParagraph"/>
              <w:ind w:left="202"/>
              <w:rPr>
                <w:b/>
                <w:sz w:val="18"/>
              </w:rPr>
            </w:pPr>
            <w:r>
              <w:rPr>
                <w:b/>
                <w:sz w:val="18"/>
              </w:rPr>
              <w:t>Licences</w:t>
            </w:r>
          </w:p>
        </w:tc>
        <w:tc>
          <w:tcPr>
            <w:tcW w:w="1132" w:type="dxa"/>
          </w:tcPr>
          <w:p w14:paraId="5C8D3844" w14:textId="77777777" w:rsidR="00FA4AA8" w:rsidRDefault="00FA4AA8">
            <w:pPr>
              <w:pStyle w:val="TableParagraph"/>
              <w:spacing w:before="4"/>
              <w:rPr>
                <w:sz w:val="20"/>
              </w:rPr>
            </w:pPr>
          </w:p>
          <w:p w14:paraId="30B47DBE" w14:textId="77777777" w:rsidR="00FA4AA8" w:rsidRDefault="0015611F">
            <w:pPr>
              <w:pStyle w:val="TableParagraph"/>
              <w:ind w:left="198" w:right="89" w:hanging="46"/>
              <w:rPr>
                <w:b/>
                <w:sz w:val="18"/>
              </w:rPr>
            </w:pPr>
            <w:r>
              <w:rPr>
                <w:b/>
                <w:sz w:val="18"/>
              </w:rPr>
              <w:t>Electronic Materials</w:t>
            </w:r>
          </w:p>
        </w:tc>
        <w:tc>
          <w:tcPr>
            <w:tcW w:w="1132" w:type="dxa"/>
          </w:tcPr>
          <w:p w14:paraId="1748B13A" w14:textId="77777777" w:rsidR="00FA4AA8" w:rsidRDefault="00FA4AA8">
            <w:pPr>
              <w:pStyle w:val="TableParagraph"/>
              <w:rPr>
                <w:sz w:val="20"/>
              </w:rPr>
            </w:pPr>
          </w:p>
          <w:p w14:paraId="5AC3B152" w14:textId="77777777" w:rsidR="00FA4AA8" w:rsidRDefault="00FA4AA8">
            <w:pPr>
              <w:pStyle w:val="TableParagraph"/>
              <w:spacing w:before="3"/>
              <w:rPr>
                <w:sz w:val="18"/>
              </w:rPr>
            </w:pPr>
          </w:p>
          <w:p w14:paraId="207679EC" w14:textId="77777777" w:rsidR="00FA4AA8" w:rsidRDefault="0015611F">
            <w:pPr>
              <w:pStyle w:val="TableParagraph"/>
              <w:ind w:left="374"/>
              <w:rPr>
                <w:b/>
                <w:sz w:val="18"/>
              </w:rPr>
            </w:pPr>
            <w:r>
              <w:rPr>
                <w:b/>
                <w:sz w:val="18"/>
              </w:rPr>
              <w:t>Total</w:t>
            </w:r>
          </w:p>
        </w:tc>
      </w:tr>
      <w:tr w:rsidR="00FA4AA8" w14:paraId="60560698" w14:textId="77777777">
        <w:trPr>
          <w:trHeight w:val="313"/>
        </w:trPr>
        <w:tc>
          <w:tcPr>
            <w:tcW w:w="349" w:type="dxa"/>
          </w:tcPr>
          <w:p w14:paraId="5B3422BA" w14:textId="77777777" w:rsidR="00FA4AA8" w:rsidRDefault="00FA4AA8">
            <w:pPr>
              <w:pStyle w:val="TableParagraph"/>
              <w:rPr>
                <w:rFonts w:ascii="Times New Roman"/>
                <w:sz w:val="18"/>
              </w:rPr>
            </w:pPr>
          </w:p>
        </w:tc>
        <w:tc>
          <w:tcPr>
            <w:tcW w:w="3786" w:type="dxa"/>
          </w:tcPr>
          <w:p w14:paraId="7A250FF6" w14:textId="77777777" w:rsidR="00FA4AA8" w:rsidRDefault="0015611F">
            <w:pPr>
              <w:pStyle w:val="TableParagraph"/>
              <w:spacing w:before="30"/>
              <w:ind w:left="140"/>
              <w:rPr>
                <w:b/>
                <w:sz w:val="18"/>
              </w:rPr>
            </w:pPr>
            <w:r>
              <w:rPr>
                <w:b/>
                <w:sz w:val="18"/>
              </w:rPr>
              <w:t>Parent</w:t>
            </w:r>
          </w:p>
        </w:tc>
        <w:tc>
          <w:tcPr>
            <w:tcW w:w="1170" w:type="dxa"/>
          </w:tcPr>
          <w:p w14:paraId="7AE23AC3" w14:textId="77777777" w:rsidR="00FA4AA8" w:rsidRDefault="0015611F">
            <w:pPr>
              <w:pStyle w:val="TableParagraph"/>
              <w:spacing w:before="30"/>
              <w:ind w:left="364"/>
              <w:rPr>
                <w:b/>
                <w:sz w:val="18"/>
              </w:rPr>
            </w:pPr>
            <w:r>
              <w:rPr>
                <w:b/>
                <w:sz w:val="18"/>
              </w:rPr>
              <w:t>$'000</w:t>
            </w:r>
          </w:p>
        </w:tc>
        <w:tc>
          <w:tcPr>
            <w:tcW w:w="1258" w:type="dxa"/>
          </w:tcPr>
          <w:p w14:paraId="53F54858" w14:textId="77777777" w:rsidR="00FA4AA8" w:rsidRDefault="0015611F">
            <w:pPr>
              <w:pStyle w:val="TableParagraph"/>
              <w:spacing w:before="30"/>
              <w:ind w:left="409"/>
              <w:rPr>
                <w:b/>
                <w:sz w:val="18"/>
              </w:rPr>
            </w:pPr>
            <w:r>
              <w:rPr>
                <w:b/>
                <w:sz w:val="18"/>
              </w:rPr>
              <w:t>$'000</w:t>
            </w:r>
          </w:p>
        </w:tc>
        <w:tc>
          <w:tcPr>
            <w:tcW w:w="1132" w:type="dxa"/>
          </w:tcPr>
          <w:p w14:paraId="03E53B67" w14:textId="77777777" w:rsidR="00FA4AA8" w:rsidRDefault="0015611F">
            <w:pPr>
              <w:pStyle w:val="TableParagraph"/>
              <w:spacing w:before="30"/>
              <w:ind w:left="365"/>
              <w:rPr>
                <w:b/>
                <w:sz w:val="18"/>
              </w:rPr>
            </w:pPr>
            <w:r>
              <w:rPr>
                <w:b/>
                <w:sz w:val="18"/>
              </w:rPr>
              <w:t>$'000</w:t>
            </w:r>
          </w:p>
        </w:tc>
        <w:tc>
          <w:tcPr>
            <w:tcW w:w="1132" w:type="dxa"/>
          </w:tcPr>
          <w:p w14:paraId="0C249352" w14:textId="77777777" w:rsidR="00FA4AA8" w:rsidRDefault="0015611F">
            <w:pPr>
              <w:pStyle w:val="TableParagraph"/>
              <w:spacing w:before="30"/>
              <w:ind w:left="366"/>
              <w:rPr>
                <w:b/>
                <w:sz w:val="18"/>
              </w:rPr>
            </w:pPr>
            <w:r>
              <w:rPr>
                <w:b/>
                <w:sz w:val="18"/>
              </w:rPr>
              <w:t>$'000</w:t>
            </w:r>
          </w:p>
        </w:tc>
        <w:tc>
          <w:tcPr>
            <w:tcW w:w="1132" w:type="dxa"/>
          </w:tcPr>
          <w:p w14:paraId="72346D67" w14:textId="77777777" w:rsidR="00FA4AA8" w:rsidRDefault="0015611F">
            <w:pPr>
              <w:pStyle w:val="TableParagraph"/>
              <w:spacing w:before="30"/>
              <w:ind w:left="366"/>
              <w:rPr>
                <w:b/>
                <w:sz w:val="18"/>
              </w:rPr>
            </w:pPr>
            <w:r>
              <w:rPr>
                <w:b/>
                <w:sz w:val="18"/>
              </w:rPr>
              <w:t>$'000</w:t>
            </w:r>
          </w:p>
        </w:tc>
      </w:tr>
      <w:tr w:rsidR="00FA4AA8" w14:paraId="382D85C5" w14:textId="77777777">
        <w:trPr>
          <w:trHeight w:val="294"/>
        </w:trPr>
        <w:tc>
          <w:tcPr>
            <w:tcW w:w="349" w:type="dxa"/>
          </w:tcPr>
          <w:p w14:paraId="5F47F0EC" w14:textId="77777777" w:rsidR="00FA4AA8" w:rsidRDefault="00FA4AA8">
            <w:pPr>
              <w:pStyle w:val="TableParagraph"/>
              <w:rPr>
                <w:rFonts w:ascii="Times New Roman"/>
                <w:sz w:val="18"/>
              </w:rPr>
            </w:pPr>
          </w:p>
        </w:tc>
        <w:tc>
          <w:tcPr>
            <w:tcW w:w="3786" w:type="dxa"/>
          </w:tcPr>
          <w:p w14:paraId="65F289AA" w14:textId="77777777" w:rsidR="00FA4AA8" w:rsidRDefault="0015611F">
            <w:pPr>
              <w:pStyle w:val="TableParagraph"/>
              <w:spacing w:before="70" w:line="204" w:lineRule="exact"/>
              <w:ind w:left="140"/>
              <w:rPr>
                <w:b/>
                <w:sz w:val="18"/>
              </w:rPr>
            </w:pPr>
            <w:r>
              <w:rPr>
                <w:b/>
                <w:sz w:val="18"/>
              </w:rPr>
              <w:t>At 1 January 2017</w:t>
            </w:r>
          </w:p>
        </w:tc>
        <w:tc>
          <w:tcPr>
            <w:tcW w:w="1170" w:type="dxa"/>
          </w:tcPr>
          <w:p w14:paraId="2498293C" w14:textId="77777777" w:rsidR="00FA4AA8" w:rsidRDefault="00FA4AA8">
            <w:pPr>
              <w:pStyle w:val="TableParagraph"/>
              <w:rPr>
                <w:rFonts w:ascii="Times New Roman"/>
                <w:sz w:val="18"/>
              </w:rPr>
            </w:pPr>
          </w:p>
        </w:tc>
        <w:tc>
          <w:tcPr>
            <w:tcW w:w="1258" w:type="dxa"/>
          </w:tcPr>
          <w:p w14:paraId="7C729A8A" w14:textId="77777777" w:rsidR="00FA4AA8" w:rsidRDefault="00FA4AA8">
            <w:pPr>
              <w:pStyle w:val="TableParagraph"/>
              <w:rPr>
                <w:rFonts w:ascii="Times New Roman"/>
                <w:sz w:val="18"/>
              </w:rPr>
            </w:pPr>
          </w:p>
        </w:tc>
        <w:tc>
          <w:tcPr>
            <w:tcW w:w="1132" w:type="dxa"/>
          </w:tcPr>
          <w:p w14:paraId="539FA5BB" w14:textId="77777777" w:rsidR="00FA4AA8" w:rsidRDefault="00FA4AA8">
            <w:pPr>
              <w:pStyle w:val="TableParagraph"/>
              <w:rPr>
                <w:rFonts w:ascii="Times New Roman"/>
                <w:sz w:val="18"/>
              </w:rPr>
            </w:pPr>
          </w:p>
        </w:tc>
        <w:tc>
          <w:tcPr>
            <w:tcW w:w="1132" w:type="dxa"/>
          </w:tcPr>
          <w:p w14:paraId="2EA5CBAE" w14:textId="77777777" w:rsidR="00FA4AA8" w:rsidRDefault="00FA4AA8">
            <w:pPr>
              <w:pStyle w:val="TableParagraph"/>
              <w:rPr>
                <w:rFonts w:ascii="Times New Roman"/>
                <w:sz w:val="18"/>
              </w:rPr>
            </w:pPr>
          </w:p>
        </w:tc>
        <w:tc>
          <w:tcPr>
            <w:tcW w:w="1132" w:type="dxa"/>
          </w:tcPr>
          <w:p w14:paraId="29839666" w14:textId="77777777" w:rsidR="00FA4AA8" w:rsidRDefault="00FA4AA8">
            <w:pPr>
              <w:pStyle w:val="TableParagraph"/>
              <w:rPr>
                <w:rFonts w:ascii="Times New Roman"/>
                <w:sz w:val="18"/>
              </w:rPr>
            </w:pPr>
          </w:p>
        </w:tc>
      </w:tr>
      <w:tr w:rsidR="00FA4AA8" w14:paraId="7B775ECF" w14:textId="77777777">
        <w:trPr>
          <w:trHeight w:val="249"/>
        </w:trPr>
        <w:tc>
          <w:tcPr>
            <w:tcW w:w="349" w:type="dxa"/>
          </w:tcPr>
          <w:p w14:paraId="4571B1AE" w14:textId="77777777" w:rsidR="00FA4AA8" w:rsidRDefault="00FA4AA8">
            <w:pPr>
              <w:pStyle w:val="TableParagraph"/>
              <w:rPr>
                <w:rFonts w:ascii="Times New Roman"/>
                <w:sz w:val="18"/>
              </w:rPr>
            </w:pPr>
          </w:p>
        </w:tc>
        <w:tc>
          <w:tcPr>
            <w:tcW w:w="3786" w:type="dxa"/>
          </w:tcPr>
          <w:p w14:paraId="35BA3541" w14:textId="77777777" w:rsidR="00FA4AA8" w:rsidRDefault="0015611F">
            <w:pPr>
              <w:pStyle w:val="TableParagraph"/>
              <w:spacing w:before="13"/>
              <w:ind w:left="140"/>
              <w:rPr>
                <w:sz w:val="18"/>
              </w:rPr>
            </w:pPr>
            <w:r>
              <w:rPr>
                <w:sz w:val="18"/>
              </w:rPr>
              <w:t>- Cost</w:t>
            </w:r>
          </w:p>
        </w:tc>
        <w:tc>
          <w:tcPr>
            <w:tcW w:w="1170" w:type="dxa"/>
          </w:tcPr>
          <w:p w14:paraId="4399DEAC" w14:textId="77777777" w:rsidR="00FA4AA8" w:rsidRDefault="0015611F">
            <w:pPr>
              <w:pStyle w:val="TableParagraph"/>
              <w:spacing w:before="11"/>
              <w:ind w:right="124"/>
              <w:jc w:val="right"/>
              <w:rPr>
                <w:sz w:val="18"/>
              </w:rPr>
            </w:pPr>
            <w:r>
              <w:rPr>
                <w:sz w:val="18"/>
              </w:rPr>
              <w:t>-</w:t>
            </w:r>
          </w:p>
        </w:tc>
        <w:tc>
          <w:tcPr>
            <w:tcW w:w="1258" w:type="dxa"/>
          </w:tcPr>
          <w:p w14:paraId="01004115" w14:textId="77777777" w:rsidR="00FA4AA8" w:rsidRDefault="0015611F">
            <w:pPr>
              <w:pStyle w:val="TableParagraph"/>
              <w:spacing w:before="11"/>
              <w:ind w:right="86"/>
              <w:jc w:val="right"/>
              <w:rPr>
                <w:sz w:val="18"/>
              </w:rPr>
            </w:pPr>
            <w:r>
              <w:rPr>
                <w:sz w:val="18"/>
              </w:rPr>
              <w:t>-</w:t>
            </w:r>
          </w:p>
        </w:tc>
        <w:tc>
          <w:tcPr>
            <w:tcW w:w="1132" w:type="dxa"/>
          </w:tcPr>
          <w:p w14:paraId="01CD78E2" w14:textId="77777777" w:rsidR="00FA4AA8" w:rsidRDefault="0015611F">
            <w:pPr>
              <w:pStyle w:val="TableParagraph"/>
              <w:spacing w:before="11"/>
              <w:ind w:right="85"/>
              <w:jc w:val="right"/>
              <w:rPr>
                <w:sz w:val="18"/>
              </w:rPr>
            </w:pPr>
            <w:r>
              <w:rPr>
                <w:sz w:val="18"/>
              </w:rPr>
              <w:t>250</w:t>
            </w:r>
          </w:p>
        </w:tc>
        <w:tc>
          <w:tcPr>
            <w:tcW w:w="1132" w:type="dxa"/>
          </w:tcPr>
          <w:p w14:paraId="42A316B2" w14:textId="77777777" w:rsidR="00FA4AA8" w:rsidRDefault="0015611F">
            <w:pPr>
              <w:pStyle w:val="TableParagraph"/>
              <w:spacing w:before="11"/>
              <w:ind w:right="84"/>
              <w:jc w:val="right"/>
              <w:rPr>
                <w:sz w:val="18"/>
              </w:rPr>
            </w:pPr>
            <w:r>
              <w:rPr>
                <w:sz w:val="18"/>
              </w:rPr>
              <w:t>11,425</w:t>
            </w:r>
          </w:p>
        </w:tc>
        <w:tc>
          <w:tcPr>
            <w:tcW w:w="1132" w:type="dxa"/>
          </w:tcPr>
          <w:p w14:paraId="05AA9088" w14:textId="77777777" w:rsidR="00FA4AA8" w:rsidRDefault="0015611F">
            <w:pPr>
              <w:pStyle w:val="TableParagraph"/>
              <w:spacing w:before="11"/>
              <w:ind w:right="84"/>
              <w:jc w:val="right"/>
              <w:rPr>
                <w:sz w:val="18"/>
              </w:rPr>
            </w:pPr>
            <w:r>
              <w:rPr>
                <w:sz w:val="18"/>
              </w:rPr>
              <w:t>11,675</w:t>
            </w:r>
          </w:p>
        </w:tc>
      </w:tr>
      <w:tr w:rsidR="00FA4AA8" w14:paraId="164BC5CA" w14:textId="77777777">
        <w:trPr>
          <w:trHeight w:val="459"/>
        </w:trPr>
        <w:tc>
          <w:tcPr>
            <w:tcW w:w="349" w:type="dxa"/>
          </w:tcPr>
          <w:p w14:paraId="2D7D2E40" w14:textId="77777777" w:rsidR="00FA4AA8" w:rsidRDefault="00FA4AA8">
            <w:pPr>
              <w:pStyle w:val="TableParagraph"/>
              <w:rPr>
                <w:rFonts w:ascii="Times New Roman"/>
                <w:sz w:val="18"/>
              </w:rPr>
            </w:pPr>
          </w:p>
        </w:tc>
        <w:tc>
          <w:tcPr>
            <w:tcW w:w="3786" w:type="dxa"/>
          </w:tcPr>
          <w:p w14:paraId="36641B40" w14:textId="77777777" w:rsidR="00FA4AA8" w:rsidRDefault="0015611F">
            <w:pPr>
              <w:pStyle w:val="TableParagraph"/>
              <w:spacing w:before="23"/>
              <w:ind w:left="140" w:right="244"/>
              <w:rPr>
                <w:sz w:val="18"/>
              </w:rPr>
            </w:pPr>
            <w:r>
              <w:rPr>
                <w:sz w:val="18"/>
              </w:rPr>
              <w:t>- Accumulated amortisation and impairment</w:t>
            </w:r>
          </w:p>
        </w:tc>
        <w:tc>
          <w:tcPr>
            <w:tcW w:w="1170" w:type="dxa"/>
            <w:tcBorders>
              <w:bottom w:val="single" w:sz="8" w:space="0" w:color="000000"/>
            </w:tcBorders>
          </w:tcPr>
          <w:p w14:paraId="39764376" w14:textId="77777777" w:rsidR="00FA4AA8" w:rsidRDefault="00FA4AA8">
            <w:pPr>
              <w:pStyle w:val="TableParagraph"/>
              <w:spacing w:before="8"/>
              <w:rPr>
                <w:sz w:val="19"/>
              </w:rPr>
            </w:pPr>
          </w:p>
          <w:p w14:paraId="0906DE36" w14:textId="77777777" w:rsidR="00FA4AA8" w:rsidRDefault="0015611F">
            <w:pPr>
              <w:pStyle w:val="TableParagraph"/>
              <w:ind w:right="124"/>
              <w:jc w:val="right"/>
              <w:rPr>
                <w:sz w:val="18"/>
              </w:rPr>
            </w:pPr>
            <w:r>
              <w:rPr>
                <w:sz w:val="18"/>
              </w:rPr>
              <w:t>-</w:t>
            </w:r>
          </w:p>
        </w:tc>
        <w:tc>
          <w:tcPr>
            <w:tcW w:w="1258" w:type="dxa"/>
            <w:tcBorders>
              <w:bottom w:val="single" w:sz="8" w:space="0" w:color="000000"/>
            </w:tcBorders>
          </w:tcPr>
          <w:p w14:paraId="67877703" w14:textId="77777777" w:rsidR="00FA4AA8" w:rsidRDefault="00FA4AA8">
            <w:pPr>
              <w:pStyle w:val="TableParagraph"/>
              <w:spacing w:before="8"/>
              <w:rPr>
                <w:sz w:val="19"/>
              </w:rPr>
            </w:pPr>
          </w:p>
          <w:p w14:paraId="52ED8D2C" w14:textId="77777777" w:rsidR="00FA4AA8" w:rsidRDefault="0015611F">
            <w:pPr>
              <w:pStyle w:val="TableParagraph"/>
              <w:ind w:right="86"/>
              <w:jc w:val="right"/>
              <w:rPr>
                <w:sz w:val="18"/>
              </w:rPr>
            </w:pPr>
            <w:r>
              <w:rPr>
                <w:sz w:val="18"/>
              </w:rPr>
              <w:t>-</w:t>
            </w:r>
          </w:p>
        </w:tc>
        <w:tc>
          <w:tcPr>
            <w:tcW w:w="1132" w:type="dxa"/>
            <w:tcBorders>
              <w:bottom w:val="single" w:sz="8" w:space="0" w:color="000000"/>
            </w:tcBorders>
          </w:tcPr>
          <w:p w14:paraId="7E4DBE14" w14:textId="77777777" w:rsidR="00FA4AA8" w:rsidRDefault="00FA4AA8">
            <w:pPr>
              <w:pStyle w:val="TableParagraph"/>
              <w:spacing w:before="8"/>
              <w:rPr>
                <w:sz w:val="19"/>
              </w:rPr>
            </w:pPr>
          </w:p>
          <w:p w14:paraId="0781F117" w14:textId="77777777" w:rsidR="00FA4AA8" w:rsidRDefault="0015611F">
            <w:pPr>
              <w:pStyle w:val="TableParagraph"/>
              <w:ind w:right="24"/>
              <w:jc w:val="right"/>
              <w:rPr>
                <w:sz w:val="18"/>
              </w:rPr>
            </w:pPr>
            <w:r>
              <w:rPr>
                <w:sz w:val="18"/>
              </w:rPr>
              <w:t>(29)</w:t>
            </w:r>
          </w:p>
        </w:tc>
        <w:tc>
          <w:tcPr>
            <w:tcW w:w="1132" w:type="dxa"/>
            <w:tcBorders>
              <w:bottom w:val="single" w:sz="8" w:space="0" w:color="000000"/>
            </w:tcBorders>
          </w:tcPr>
          <w:p w14:paraId="1F0AC185" w14:textId="77777777" w:rsidR="00FA4AA8" w:rsidRDefault="00FA4AA8">
            <w:pPr>
              <w:pStyle w:val="TableParagraph"/>
              <w:spacing w:before="8"/>
              <w:rPr>
                <w:sz w:val="19"/>
              </w:rPr>
            </w:pPr>
          </w:p>
          <w:p w14:paraId="7AAECDB3" w14:textId="77777777" w:rsidR="00FA4AA8" w:rsidRDefault="0015611F">
            <w:pPr>
              <w:pStyle w:val="TableParagraph"/>
              <w:ind w:right="24"/>
              <w:jc w:val="right"/>
              <w:rPr>
                <w:sz w:val="18"/>
              </w:rPr>
            </w:pPr>
            <w:r>
              <w:rPr>
                <w:sz w:val="18"/>
              </w:rPr>
              <w:t>(1,506)</w:t>
            </w:r>
          </w:p>
        </w:tc>
        <w:tc>
          <w:tcPr>
            <w:tcW w:w="1132" w:type="dxa"/>
            <w:tcBorders>
              <w:bottom w:val="single" w:sz="8" w:space="0" w:color="000000"/>
            </w:tcBorders>
          </w:tcPr>
          <w:p w14:paraId="1F1649AF" w14:textId="77777777" w:rsidR="00FA4AA8" w:rsidRDefault="00FA4AA8">
            <w:pPr>
              <w:pStyle w:val="TableParagraph"/>
              <w:spacing w:before="8"/>
              <w:rPr>
                <w:sz w:val="19"/>
              </w:rPr>
            </w:pPr>
          </w:p>
          <w:p w14:paraId="35158994" w14:textId="77777777" w:rsidR="00FA4AA8" w:rsidRDefault="0015611F">
            <w:pPr>
              <w:pStyle w:val="TableParagraph"/>
              <w:ind w:right="23"/>
              <w:jc w:val="right"/>
              <w:rPr>
                <w:sz w:val="18"/>
              </w:rPr>
            </w:pPr>
            <w:r>
              <w:rPr>
                <w:sz w:val="18"/>
              </w:rPr>
              <w:t>(1,535)</w:t>
            </w:r>
          </w:p>
        </w:tc>
      </w:tr>
      <w:tr w:rsidR="00FA4AA8" w14:paraId="3703101E" w14:textId="77777777">
        <w:trPr>
          <w:trHeight w:val="318"/>
        </w:trPr>
        <w:tc>
          <w:tcPr>
            <w:tcW w:w="349" w:type="dxa"/>
          </w:tcPr>
          <w:p w14:paraId="73EF93BF" w14:textId="77777777" w:rsidR="00FA4AA8" w:rsidRDefault="00FA4AA8">
            <w:pPr>
              <w:pStyle w:val="TableParagraph"/>
              <w:rPr>
                <w:rFonts w:ascii="Times New Roman"/>
                <w:sz w:val="18"/>
              </w:rPr>
            </w:pPr>
          </w:p>
        </w:tc>
        <w:tc>
          <w:tcPr>
            <w:tcW w:w="3786" w:type="dxa"/>
          </w:tcPr>
          <w:p w14:paraId="4903FD86" w14:textId="77777777" w:rsidR="00FA4AA8" w:rsidRDefault="0015611F">
            <w:pPr>
              <w:pStyle w:val="TableParagraph"/>
              <w:spacing w:before="115" w:line="183" w:lineRule="exact"/>
              <w:ind w:left="140"/>
              <w:rPr>
                <w:b/>
                <w:sz w:val="18"/>
              </w:rPr>
            </w:pPr>
            <w:r>
              <w:rPr>
                <w:b/>
                <w:sz w:val="18"/>
              </w:rPr>
              <w:t>Net book amount at 1 January 2017</w:t>
            </w:r>
          </w:p>
        </w:tc>
        <w:tc>
          <w:tcPr>
            <w:tcW w:w="1170" w:type="dxa"/>
            <w:tcBorders>
              <w:top w:val="single" w:sz="8" w:space="0" w:color="000000"/>
              <w:bottom w:val="single" w:sz="8" w:space="0" w:color="000000"/>
            </w:tcBorders>
          </w:tcPr>
          <w:p w14:paraId="3921D054" w14:textId="77777777" w:rsidR="00FA4AA8" w:rsidRDefault="0015611F">
            <w:pPr>
              <w:pStyle w:val="TableParagraph"/>
              <w:spacing w:before="115" w:line="183" w:lineRule="exact"/>
              <w:ind w:right="124"/>
              <w:jc w:val="right"/>
              <w:rPr>
                <w:sz w:val="18"/>
              </w:rPr>
            </w:pPr>
            <w:r>
              <w:rPr>
                <w:sz w:val="18"/>
              </w:rPr>
              <w:t>-</w:t>
            </w:r>
          </w:p>
        </w:tc>
        <w:tc>
          <w:tcPr>
            <w:tcW w:w="1258" w:type="dxa"/>
            <w:tcBorders>
              <w:top w:val="single" w:sz="8" w:space="0" w:color="000000"/>
              <w:bottom w:val="single" w:sz="8" w:space="0" w:color="000000"/>
            </w:tcBorders>
          </w:tcPr>
          <w:p w14:paraId="6141E767" w14:textId="77777777" w:rsidR="00FA4AA8" w:rsidRDefault="0015611F">
            <w:pPr>
              <w:pStyle w:val="TableParagraph"/>
              <w:spacing w:before="115" w:line="183" w:lineRule="exact"/>
              <w:ind w:right="86"/>
              <w:jc w:val="right"/>
              <w:rPr>
                <w:sz w:val="18"/>
              </w:rPr>
            </w:pPr>
            <w:r>
              <w:rPr>
                <w:sz w:val="18"/>
              </w:rPr>
              <w:t>-</w:t>
            </w:r>
          </w:p>
        </w:tc>
        <w:tc>
          <w:tcPr>
            <w:tcW w:w="1132" w:type="dxa"/>
            <w:tcBorders>
              <w:top w:val="single" w:sz="8" w:space="0" w:color="000000"/>
              <w:bottom w:val="single" w:sz="8" w:space="0" w:color="000000"/>
            </w:tcBorders>
          </w:tcPr>
          <w:p w14:paraId="38573FCC" w14:textId="77777777" w:rsidR="00FA4AA8" w:rsidRDefault="0015611F">
            <w:pPr>
              <w:pStyle w:val="TableParagraph"/>
              <w:spacing w:before="115" w:line="183" w:lineRule="exact"/>
              <w:ind w:right="85"/>
              <w:jc w:val="right"/>
              <w:rPr>
                <w:sz w:val="18"/>
              </w:rPr>
            </w:pPr>
            <w:r>
              <w:rPr>
                <w:sz w:val="18"/>
              </w:rPr>
              <w:t>221</w:t>
            </w:r>
          </w:p>
        </w:tc>
        <w:tc>
          <w:tcPr>
            <w:tcW w:w="1132" w:type="dxa"/>
            <w:tcBorders>
              <w:top w:val="single" w:sz="8" w:space="0" w:color="000000"/>
              <w:bottom w:val="single" w:sz="8" w:space="0" w:color="000000"/>
            </w:tcBorders>
          </w:tcPr>
          <w:p w14:paraId="063745BC" w14:textId="77777777" w:rsidR="00FA4AA8" w:rsidRDefault="0015611F">
            <w:pPr>
              <w:pStyle w:val="TableParagraph"/>
              <w:spacing w:before="115" w:line="183" w:lineRule="exact"/>
              <w:ind w:right="84"/>
              <w:jc w:val="right"/>
              <w:rPr>
                <w:sz w:val="18"/>
              </w:rPr>
            </w:pPr>
            <w:r>
              <w:rPr>
                <w:sz w:val="18"/>
              </w:rPr>
              <w:t>9,919</w:t>
            </w:r>
          </w:p>
        </w:tc>
        <w:tc>
          <w:tcPr>
            <w:tcW w:w="1132" w:type="dxa"/>
            <w:tcBorders>
              <w:top w:val="single" w:sz="8" w:space="0" w:color="000000"/>
              <w:bottom w:val="single" w:sz="8" w:space="0" w:color="000000"/>
            </w:tcBorders>
          </w:tcPr>
          <w:p w14:paraId="117B01DC" w14:textId="77777777" w:rsidR="00FA4AA8" w:rsidRDefault="0015611F">
            <w:pPr>
              <w:pStyle w:val="TableParagraph"/>
              <w:spacing w:before="115" w:line="183" w:lineRule="exact"/>
              <w:ind w:right="84"/>
              <w:jc w:val="right"/>
              <w:rPr>
                <w:sz w:val="18"/>
              </w:rPr>
            </w:pPr>
            <w:r>
              <w:rPr>
                <w:sz w:val="18"/>
              </w:rPr>
              <w:t>10,140</w:t>
            </w:r>
          </w:p>
        </w:tc>
      </w:tr>
      <w:tr w:rsidR="00FA4AA8" w14:paraId="7A135E4D" w14:textId="77777777">
        <w:trPr>
          <w:trHeight w:val="658"/>
        </w:trPr>
        <w:tc>
          <w:tcPr>
            <w:tcW w:w="349" w:type="dxa"/>
          </w:tcPr>
          <w:p w14:paraId="0B8E1569" w14:textId="77777777" w:rsidR="00FA4AA8" w:rsidRDefault="00FA4AA8">
            <w:pPr>
              <w:pStyle w:val="TableParagraph"/>
              <w:rPr>
                <w:rFonts w:ascii="Times New Roman"/>
                <w:sz w:val="18"/>
              </w:rPr>
            </w:pPr>
          </w:p>
        </w:tc>
        <w:tc>
          <w:tcPr>
            <w:tcW w:w="3786" w:type="dxa"/>
          </w:tcPr>
          <w:p w14:paraId="64D80DB2" w14:textId="77777777" w:rsidR="00FA4AA8" w:rsidRDefault="00FA4AA8">
            <w:pPr>
              <w:pStyle w:val="TableParagraph"/>
              <w:rPr>
                <w:sz w:val="20"/>
              </w:rPr>
            </w:pPr>
          </w:p>
          <w:p w14:paraId="4F925A7A" w14:textId="77777777" w:rsidR="00FA4AA8" w:rsidRDefault="00FA4AA8">
            <w:pPr>
              <w:pStyle w:val="TableParagraph"/>
              <w:spacing w:before="8"/>
              <w:rPr>
                <w:sz w:val="17"/>
              </w:rPr>
            </w:pPr>
          </w:p>
          <w:p w14:paraId="3CA5DAFA" w14:textId="77777777" w:rsidR="00FA4AA8" w:rsidRDefault="0015611F">
            <w:pPr>
              <w:pStyle w:val="TableParagraph"/>
              <w:spacing w:before="1" w:line="204" w:lineRule="exact"/>
              <w:ind w:left="140"/>
              <w:rPr>
                <w:b/>
                <w:sz w:val="18"/>
              </w:rPr>
            </w:pPr>
            <w:r>
              <w:rPr>
                <w:b/>
                <w:sz w:val="18"/>
              </w:rPr>
              <w:t>Year ended 31 December 2017</w:t>
            </w:r>
          </w:p>
        </w:tc>
        <w:tc>
          <w:tcPr>
            <w:tcW w:w="1170" w:type="dxa"/>
            <w:tcBorders>
              <w:top w:val="single" w:sz="8" w:space="0" w:color="000000"/>
            </w:tcBorders>
          </w:tcPr>
          <w:p w14:paraId="41CE8ECC" w14:textId="77777777" w:rsidR="00FA4AA8" w:rsidRDefault="00FA4AA8">
            <w:pPr>
              <w:pStyle w:val="TableParagraph"/>
              <w:rPr>
                <w:rFonts w:ascii="Times New Roman"/>
                <w:sz w:val="18"/>
              </w:rPr>
            </w:pPr>
          </w:p>
        </w:tc>
        <w:tc>
          <w:tcPr>
            <w:tcW w:w="1258" w:type="dxa"/>
            <w:tcBorders>
              <w:top w:val="single" w:sz="8" w:space="0" w:color="000000"/>
            </w:tcBorders>
          </w:tcPr>
          <w:p w14:paraId="2C490A1E" w14:textId="77777777" w:rsidR="00FA4AA8" w:rsidRDefault="00FA4AA8">
            <w:pPr>
              <w:pStyle w:val="TableParagraph"/>
              <w:rPr>
                <w:rFonts w:ascii="Times New Roman"/>
                <w:sz w:val="18"/>
              </w:rPr>
            </w:pPr>
          </w:p>
        </w:tc>
        <w:tc>
          <w:tcPr>
            <w:tcW w:w="1132" w:type="dxa"/>
            <w:tcBorders>
              <w:top w:val="single" w:sz="8" w:space="0" w:color="000000"/>
            </w:tcBorders>
          </w:tcPr>
          <w:p w14:paraId="0915EADB" w14:textId="77777777" w:rsidR="00FA4AA8" w:rsidRDefault="00FA4AA8">
            <w:pPr>
              <w:pStyle w:val="TableParagraph"/>
              <w:rPr>
                <w:rFonts w:ascii="Times New Roman"/>
                <w:sz w:val="18"/>
              </w:rPr>
            </w:pPr>
          </w:p>
        </w:tc>
        <w:tc>
          <w:tcPr>
            <w:tcW w:w="1132" w:type="dxa"/>
            <w:tcBorders>
              <w:top w:val="single" w:sz="8" w:space="0" w:color="000000"/>
            </w:tcBorders>
          </w:tcPr>
          <w:p w14:paraId="28DF91C0" w14:textId="77777777" w:rsidR="00FA4AA8" w:rsidRDefault="00FA4AA8">
            <w:pPr>
              <w:pStyle w:val="TableParagraph"/>
              <w:rPr>
                <w:rFonts w:ascii="Times New Roman"/>
                <w:sz w:val="18"/>
              </w:rPr>
            </w:pPr>
          </w:p>
        </w:tc>
        <w:tc>
          <w:tcPr>
            <w:tcW w:w="1132" w:type="dxa"/>
            <w:tcBorders>
              <w:top w:val="single" w:sz="8" w:space="0" w:color="000000"/>
            </w:tcBorders>
          </w:tcPr>
          <w:p w14:paraId="23E74373" w14:textId="77777777" w:rsidR="00FA4AA8" w:rsidRDefault="00FA4AA8">
            <w:pPr>
              <w:pStyle w:val="TableParagraph"/>
              <w:rPr>
                <w:rFonts w:ascii="Times New Roman"/>
                <w:sz w:val="18"/>
              </w:rPr>
            </w:pPr>
          </w:p>
        </w:tc>
      </w:tr>
      <w:tr w:rsidR="00FA4AA8" w14:paraId="4A9AB08F" w14:textId="77777777">
        <w:trPr>
          <w:trHeight w:val="250"/>
        </w:trPr>
        <w:tc>
          <w:tcPr>
            <w:tcW w:w="349" w:type="dxa"/>
          </w:tcPr>
          <w:p w14:paraId="5415B3C5" w14:textId="77777777" w:rsidR="00FA4AA8" w:rsidRDefault="00FA4AA8">
            <w:pPr>
              <w:pStyle w:val="TableParagraph"/>
              <w:rPr>
                <w:rFonts w:ascii="Times New Roman"/>
                <w:sz w:val="18"/>
              </w:rPr>
            </w:pPr>
          </w:p>
        </w:tc>
        <w:tc>
          <w:tcPr>
            <w:tcW w:w="3786" w:type="dxa"/>
          </w:tcPr>
          <w:p w14:paraId="5F9E79E3" w14:textId="77777777" w:rsidR="00FA4AA8" w:rsidRDefault="0015611F">
            <w:pPr>
              <w:pStyle w:val="TableParagraph"/>
              <w:spacing w:before="13"/>
              <w:ind w:left="140"/>
              <w:rPr>
                <w:sz w:val="18"/>
              </w:rPr>
            </w:pPr>
            <w:r>
              <w:rPr>
                <w:sz w:val="18"/>
              </w:rPr>
              <w:t>Opening net book amount</w:t>
            </w:r>
          </w:p>
        </w:tc>
        <w:tc>
          <w:tcPr>
            <w:tcW w:w="1170" w:type="dxa"/>
          </w:tcPr>
          <w:p w14:paraId="5DB6D3D4" w14:textId="77777777" w:rsidR="00FA4AA8" w:rsidRDefault="0015611F">
            <w:pPr>
              <w:pStyle w:val="TableParagraph"/>
              <w:spacing w:before="11"/>
              <w:ind w:right="124"/>
              <w:jc w:val="right"/>
              <w:rPr>
                <w:sz w:val="18"/>
              </w:rPr>
            </w:pPr>
            <w:r>
              <w:rPr>
                <w:sz w:val="18"/>
              </w:rPr>
              <w:t>-</w:t>
            </w:r>
          </w:p>
        </w:tc>
        <w:tc>
          <w:tcPr>
            <w:tcW w:w="1258" w:type="dxa"/>
          </w:tcPr>
          <w:p w14:paraId="49E9481A" w14:textId="77777777" w:rsidR="00FA4AA8" w:rsidRDefault="0015611F">
            <w:pPr>
              <w:pStyle w:val="TableParagraph"/>
              <w:spacing w:before="11"/>
              <w:ind w:right="86"/>
              <w:jc w:val="right"/>
              <w:rPr>
                <w:sz w:val="18"/>
              </w:rPr>
            </w:pPr>
            <w:r>
              <w:rPr>
                <w:sz w:val="18"/>
              </w:rPr>
              <w:t>-</w:t>
            </w:r>
          </w:p>
        </w:tc>
        <w:tc>
          <w:tcPr>
            <w:tcW w:w="1132" w:type="dxa"/>
          </w:tcPr>
          <w:p w14:paraId="157FF05B" w14:textId="77777777" w:rsidR="00FA4AA8" w:rsidRDefault="0015611F">
            <w:pPr>
              <w:pStyle w:val="TableParagraph"/>
              <w:spacing w:before="11"/>
              <w:ind w:right="85"/>
              <w:jc w:val="right"/>
              <w:rPr>
                <w:sz w:val="18"/>
              </w:rPr>
            </w:pPr>
            <w:r>
              <w:rPr>
                <w:sz w:val="18"/>
              </w:rPr>
              <w:t>221</w:t>
            </w:r>
          </w:p>
        </w:tc>
        <w:tc>
          <w:tcPr>
            <w:tcW w:w="1132" w:type="dxa"/>
          </w:tcPr>
          <w:p w14:paraId="68347D8A" w14:textId="77777777" w:rsidR="00FA4AA8" w:rsidRDefault="0015611F">
            <w:pPr>
              <w:pStyle w:val="TableParagraph"/>
              <w:spacing w:before="11"/>
              <w:ind w:right="84"/>
              <w:jc w:val="right"/>
              <w:rPr>
                <w:sz w:val="18"/>
              </w:rPr>
            </w:pPr>
            <w:r>
              <w:rPr>
                <w:sz w:val="18"/>
              </w:rPr>
              <w:t>9,919</w:t>
            </w:r>
          </w:p>
        </w:tc>
        <w:tc>
          <w:tcPr>
            <w:tcW w:w="1132" w:type="dxa"/>
          </w:tcPr>
          <w:p w14:paraId="40C116F6" w14:textId="77777777" w:rsidR="00FA4AA8" w:rsidRDefault="0015611F">
            <w:pPr>
              <w:pStyle w:val="TableParagraph"/>
              <w:spacing w:before="11"/>
              <w:ind w:right="84"/>
              <w:jc w:val="right"/>
              <w:rPr>
                <w:sz w:val="18"/>
              </w:rPr>
            </w:pPr>
            <w:r>
              <w:rPr>
                <w:sz w:val="18"/>
              </w:rPr>
              <w:t>10,140</w:t>
            </w:r>
          </w:p>
        </w:tc>
      </w:tr>
      <w:tr w:rsidR="00FA4AA8" w14:paraId="6628CB4A" w14:textId="77777777">
        <w:trPr>
          <w:trHeight w:val="264"/>
        </w:trPr>
        <w:tc>
          <w:tcPr>
            <w:tcW w:w="349" w:type="dxa"/>
          </w:tcPr>
          <w:p w14:paraId="2B744BF2" w14:textId="77777777" w:rsidR="00FA4AA8" w:rsidRDefault="00FA4AA8">
            <w:pPr>
              <w:pStyle w:val="TableParagraph"/>
              <w:rPr>
                <w:rFonts w:ascii="Times New Roman"/>
                <w:sz w:val="18"/>
              </w:rPr>
            </w:pPr>
          </w:p>
        </w:tc>
        <w:tc>
          <w:tcPr>
            <w:tcW w:w="3786" w:type="dxa"/>
          </w:tcPr>
          <w:p w14:paraId="27924F45" w14:textId="77777777" w:rsidR="00FA4AA8" w:rsidRDefault="0015611F">
            <w:pPr>
              <w:pStyle w:val="TableParagraph"/>
              <w:spacing w:before="26"/>
              <w:ind w:left="140"/>
              <w:rPr>
                <w:sz w:val="18"/>
              </w:rPr>
            </w:pPr>
            <w:r>
              <w:rPr>
                <w:sz w:val="18"/>
              </w:rPr>
              <w:t>Additions</w:t>
            </w:r>
          </w:p>
        </w:tc>
        <w:tc>
          <w:tcPr>
            <w:tcW w:w="1170" w:type="dxa"/>
          </w:tcPr>
          <w:p w14:paraId="32F7C111" w14:textId="77777777" w:rsidR="00FA4AA8" w:rsidRDefault="0015611F">
            <w:pPr>
              <w:pStyle w:val="TableParagraph"/>
              <w:spacing w:before="24"/>
              <w:ind w:right="124"/>
              <w:jc w:val="right"/>
              <w:rPr>
                <w:sz w:val="18"/>
              </w:rPr>
            </w:pPr>
            <w:r>
              <w:rPr>
                <w:sz w:val="18"/>
              </w:rPr>
              <w:t>-</w:t>
            </w:r>
          </w:p>
        </w:tc>
        <w:tc>
          <w:tcPr>
            <w:tcW w:w="1258" w:type="dxa"/>
          </w:tcPr>
          <w:p w14:paraId="65B66916" w14:textId="77777777" w:rsidR="00FA4AA8" w:rsidRDefault="0015611F">
            <w:pPr>
              <w:pStyle w:val="TableParagraph"/>
              <w:spacing w:before="24"/>
              <w:ind w:right="86"/>
              <w:jc w:val="right"/>
              <w:rPr>
                <w:sz w:val="18"/>
              </w:rPr>
            </w:pPr>
            <w:r>
              <w:rPr>
                <w:sz w:val="18"/>
              </w:rPr>
              <w:t>-</w:t>
            </w:r>
          </w:p>
        </w:tc>
        <w:tc>
          <w:tcPr>
            <w:tcW w:w="1132" w:type="dxa"/>
          </w:tcPr>
          <w:p w14:paraId="21EA6EE0" w14:textId="77777777" w:rsidR="00FA4AA8" w:rsidRDefault="0015611F">
            <w:pPr>
              <w:pStyle w:val="TableParagraph"/>
              <w:spacing w:before="24"/>
              <w:ind w:right="85"/>
              <w:jc w:val="right"/>
              <w:rPr>
                <w:sz w:val="18"/>
              </w:rPr>
            </w:pPr>
            <w:r>
              <w:rPr>
                <w:sz w:val="18"/>
              </w:rPr>
              <w:t>-</w:t>
            </w:r>
          </w:p>
        </w:tc>
        <w:tc>
          <w:tcPr>
            <w:tcW w:w="1132" w:type="dxa"/>
          </w:tcPr>
          <w:p w14:paraId="39AC40D9" w14:textId="77777777" w:rsidR="00FA4AA8" w:rsidRDefault="0015611F">
            <w:pPr>
              <w:pStyle w:val="TableParagraph"/>
              <w:spacing w:before="24"/>
              <w:ind w:right="84"/>
              <w:jc w:val="right"/>
              <w:rPr>
                <w:sz w:val="18"/>
              </w:rPr>
            </w:pPr>
            <w:r>
              <w:rPr>
                <w:sz w:val="18"/>
              </w:rPr>
              <w:t>6,962</w:t>
            </w:r>
          </w:p>
        </w:tc>
        <w:tc>
          <w:tcPr>
            <w:tcW w:w="1132" w:type="dxa"/>
          </w:tcPr>
          <w:p w14:paraId="20408486" w14:textId="77777777" w:rsidR="00FA4AA8" w:rsidRDefault="0015611F">
            <w:pPr>
              <w:pStyle w:val="TableParagraph"/>
              <w:spacing w:before="24"/>
              <w:ind w:right="84"/>
              <w:jc w:val="right"/>
              <w:rPr>
                <w:sz w:val="18"/>
              </w:rPr>
            </w:pPr>
            <w:r>
              <w:rPr>
                <w:sz w:val="18"/>
              </w:rPr>
              <w:t>6,962</w:t>
            </w:r>
          </w:p>
        </w:tc>
      </w:tr>
      <w:tr w:rsidR="00FA4AA8" w14:paraId="07A02CE5" w14:textId="77777777">
        <w:trPr>
          <w:trHeight w:val="256"/>
        </w:trPr>
        <w:tc>
          <w:tcPr>
            <w:tcW w:w="349" w:type="dxa"/>
          </w:tcPr>
          <w:p w14:paraId="460BC214" w14:textId="77777777" w:rsidR="00FA4AA8" w:rsidRDefault="00FA4AA8">
            <w:pPr>
              <w:pStyle w:val="TableParagraph"/>
              <w:rPr>
                <w:rFonts w:ascii="Times New Roman"/>
                <w:sz w:val="18"/>
              </w:rPr>
            </w:pPr>
          </w:p>
        </w:tc>
        <w:tc>
          <w:tcPr>
            <w:tcW w:w="3786" w:type="dxa"/>
          </w:tcPr>
          <w:p w14:paraId="4C215E32" w14:textId="77777777" w:rsidR="00FA4AA8" w:rsidRDefault="0015611F">
            <w:pPr>
              <w:pStyle w:val="TableParagraph"/>
              <w:spacing w:before="26"/>
              <w:ind w:left="140"/>
              <w:rPr>
                <w:sz w:val="18"/>
              </w:rPr>
            </w:pPr>
            <w:r>
              <w:rPr>
                <w:sz w:val="18"/>
              </w:rPr>
              <w:t>Amortisation charge</w:t>
            </w:r>
          </w:p>
        </w:tc>
        <w:tc>
          <w:tcPr>
            <w:tcW w:w="1170" w:type="dxa"/>
            <w:tcBorders>
              <w:bottom w:val="single" w:sz="8" w:space="0" w:color="000000"/>
            </w:tcBorders>
          </w:tcPr>
          <w:p w14:paraId="37277157" w14:textId="77777777" w:rsidR="00FA4AA8" w:rsidRDefault="0015611F">
            <w:pPr>
              <w:pStyle w:val="TableParagraph"/>
              <w:spacing w:before="24"/>
              <w:ind w:right="124"/>
              <w:jc w:val="right"/>
              <w:rPr>
                <w:sz w:val="18"/>
              </w:rPr>
            </w:pPr>
            <w:r>
              <w:rPr>
                <w:sz w:val="18"/>
              </w:rPr>
              <w:t>-</w:t>
            </w:r>
          </w:p>
        </w:tc>
        <w:tc>
          <w:tcPr>
            <w:tcW w:w="1258" w:type="dxa"/>
            <w:tcBorders>
              <w:bottom w:val="single" w:sz="8" w:space="0" w:color="000000"/>
            </w:tcBorders>
          </w:tcPr>
          <w:p w14:paraId="7F33F3E3" w14:textId="77777777" w:rsidR="00FA4AA8" w:rsidRDefault="0015611F">
            <w:pPr>
              <w:pStyle w:val="TableParagraph"/>
              <w:spacing w:before="24"/>
              <w:ind w:right="86"/>
              <w:jc w:val="right"/>
              <w:rPr>
                <w:sz w:val="18"/>
              </w:rPr>
            </w:pPr>
            <w:r>
              <w:rPr>
                <w:sz w:val="18"/>
              </w:rPr>
              <w:t>-</w:t>
            </w:r>
          </w:p>
        </w:tc>
        <w:tc>
          <w:tcPr>
            <w:tcW w:w="1132" w:type="dxa"/>
            <w:tcBorders>
              <w:bottom w:val="single" w:sz="8" w:space="0" w:color="000000"/>
            </w:tcBorders>
          </w:tcPr>
          <w:p w14:paraId="07205124" w14:textId="77777777" w:rsidR="00FA4AA8" w:rsidRDefault="0015611F">
            <w:pPr>
              <w:pStyle w:val="TableParagraph"/>
              <w:spacing w:before="24"/>
              <w:ind w:right="24"/>
              <w:jc w:val="right"/>
              <w:rPr>
                <w:sz w:val="18"/>
              </w:rPr>
            </w:pPr>
            <w:r>
              <w:rPr>
                <w:sz w:val="18"/>
              </w:rPr>
              <w:t>(30)</w:t>
            </w:r>
          </w:p>
        </w:tc>
        <w:tc>
          <w:tcPr>
            <w:tcW w:w="1132" w:type="dxa"/>
            <w:tcBorders>
              <w:bottom w:val="single" w:sz="8" w:space="0" w:color="000000"/>
            </w:tcBorders>
          </w:tcPr>
          <w:p w14:paraId="7DD58759" w14:textId="77777777" w:rsidR="00FA4AA8" w:rsidRDefault="0015611F">
            <w:pPr>
              <w:pStyle w:val="TableParagraph"/>
              <w:spacing w:before="24"/>
              <w:ind w:right="24"/>
              <w:jc w:val="right"/>
              <w:rPr>
                <w:sz w:val="18"/>
              </w:rPr>
            </w:pPr>
            <w:r>
              <w:rPr>
                <w:sz w:val="18"/>
              </w:rPr>
              <w:t>(2,284)</w:t>
            </w:r>
          </w:p>
        </w:tc>
        <w:tc>
          <w:tcPr>
            <w:tcW w:w="1132" w:type="dxa"/>
            <w:tcBorders>
              <w:bottom w:val="single" w:sz="8" w:space="0" w:color="000000"/>
            </w:tcBorders>
          </w:tcPr>
          <w:p w14:paraId="03B66728" w14:textId="77777777" w:rsidR="00FA4AA8" w:rsidRDefault="0015611F">
            <w:pPr>
              <w:pStyle w:val="TableParagraph"/>
              <w:spacing w:before="24"/>
              <w:ind w:right="23"/>
              <w:jc w:val="right"/>
              <w:rPr>
                <w:sz w:val="18"/>
              </w:rPr>
            </w:pPr>
            <w:r>
              <w:rPr>
                <w:sz w:val="18"/>
              </w:rPr>
              <w:t>(2,314)</w:t>
            </w:r>
          </w:p>
        </w:tc>
      </w:tr>
      <w:tr w:rsidR="00FA4AA8" w14:paraId="52D6FFD2" w14:textId="77777777">
        <w:trPr>
          <w:trHeight w:val="318"/>
        </w:trPr>
        <w:tc>
          <w:tcPr>
            <w:tcW w:w="349" w:type="dxa"/>
          </w:tcPr>
          <w:p w14:paraId="26E70BFC" w14:textId="77777777" w:rsidR="00FA4AA8" w:rsidRDefault="00FA4AA8">
            <w:pPr>
              <w:pStyle w:val="TableParagraph"/>
              <w:rPr>
                <w:rFonts w:ascii="Times New Roman"/>
                <w:sz w:val="18"/>
              </w:rPr>
            </w:pPr>
          </w:p>
        </w:tc>
        <w:tc>
          <w:tcPr>
            <w:tcW w:w="3786" w:type="dxa"/>
          </w:tcPr>
          <w:p w14:paraId="08C37E45" w14:textId="77777777" w:rsidR="00FA4AA8" w:rsidRDefault="0015611F">
            <w:pPr>
              <w:pStyle w:val="TableParagraph"/>
              <w:spacing w:before="115" w:line="183" w:lineRule="exact"/>
              <w:ind w:left="140"/>
              <w:rPr>
                <w:b/>
                <w:sz w:val="18"/>
              </w:rPr>
            </w:pPr>
            <w:r>
              <w:rPr>
                <w:b/>
                <w:sz w:val="18"/>
              </w:rPr>
              <w:t>Net book amount at 31 December 2017</w:t>
            </w:r>
          </w:p>
        </w:tc>
        <w:tc>
          <w:tcPr>
            <w:tcW w:w="1170" w:type="dxa"/>
            <w:tcBorders>
              <w:top w:val="single" w:sz="8" w:space="0" w:color="000000"/>
              <w:bottom w:val="single" w:sz="8" w:space="0" w:color="000000"/>
            </w:tcBorders>
          </w:tcPr>
          <w:p w14:paraId="4ECFC7A0" w14:textId="77777777" w:rsidR="00FA4AA8" w:rsidRDefault="0015611F">
            <w:pPr>
              <w:pStyle w:val="TableParagraph"/>
              <w:spacing w:before="115" w:line="183" w:lineRule="exact"/>
              <w:ind w:right="124"/>
              <w:jc w:val="right"/>
              <w:rPr>
                <w:sz w:val="18"/>
              </w:rPr>
            </w:pPr>
            <w:r>
              <w:rPr>
                <w:sz w:val="18"/>
              </w:rPr>
              <w:t>-</w:t>
            </w:r>
          </w:p>
        </w:tc>
        <w:tc>
          <w:tcPr>
            <w:tcW w:w="1258" w:type="dxa"/>
            <w:tcBorders>
              <w:top w:val="single" w:sz="8" w:space="0" w:color="000000"/>
              <w:bottom w:val="single" w:sz="8" w:space="0" w:color="000000"/>
            </w:tcBorders>
          </w:tcPr>
          <w:p w14:paraId="142A2590" w14:textId="77777777" w:rsidR="00FA4AA8" w:rsidRDefault="0015611F">
            <w:pPr>
              <w:pStyle w:val="TableParagraph"/>
              <w:spacing w:before="115" w:line="183" w:lineRule="exact"/>
              <w:ind w:right="86"/>
              <w:jc w:val="right"/>
              <w:rPr>
                <w:sz w:val="18"/>
              </w:rPr>
            </w:pPr>
            <w:r>
              <w:rPr>
                <w:sz w:val="18"/>
              </w:rPr>
              <w:t>-</w:t>
            </w:r>
          </w:p>
        </w:tc>
        <w:tc>
          <w:tcPr>
            <w:tcW w:w="1132" w:type="dxa"/>
            <w:tcBorders>
              <w:top w:val="single" w:sz="8" w:space="0" w:color="000000"/>
              <w:bottom w:val="single" w:sz="8" w:space="0" w:color="000000"/>
            </w:tcBorders>
          </w:tcPr>
          <w:p w14:paraId="2FEFB006" w14:textId="77777777" w:rsidR="00FA4AA8" w:rsidRDefault="0015611F">
            <w:pPr>
              <w:pStyle w:val="TableParagraph"/>
              <w:spacing w:before="115" w:line="183" w:lineRule="exact"/>
              <w:ind w:right="85"/>
              <w:jc w:val="right"/>
              <w:rPr>
                <w:sz w:val="18"/>
              </w:rPr>
            </w:pPr>
            <w:r>
              <w:rPr>
                <w:sz w:val="18"/>
              </w:rPr>
              <w:t>191</w:t>
            </w:r>
          </w:p>
        </w:tc>
        <w:tc>
          <w:tcPr>
            <w:tcW w:w="1132" w:type="dxa"/>
            <w:tcBorders>
              <w:top w:val="single" w:sz="8" w:space="0" w:color="000000"/>
              <w:bottom w:val="single" w:sz="8" w:space="0" w:color="000000"/>
            </w:tcBorders>
          </w:tcPr>
          <w:p w14:paraId="19409E30" w14:textId="77777777" w:rsidR="00FA4AA8" w:rsidRDefault="0015611F">
            <w:pPr>
              <w:pStyle w:val="TableParagraph"/>
              <w:spacing w:before="115" w:line="183" w:lineRule="exact"/>
              <w:ind w:right="84"/>
              <w:jc w:val="right"/>
              <w:rPr>
                <w:sz w:val="18"/>
              </w:rPr>
            </w:pPr>
            <w:r>
              <w:rPr>
                <w:sz w:val="18"/>
              </w:rPr>
              <w:t>14,597</w:t>
            </w:r>
          </w:p>
        </w:tc>
        <w:tc>
          <w:tcPr>
            <w:tcW w:w="1132" w:type="dxa"/>
            <w:tcBorders>
              <w:top w:val="single" w:sz="8" w:space="0" w:color="000000"/>
              <w:bottom w:val="single" w:sz="8" w:space="0" w:color="000000"/>
            </w:tcBorders>
          </w:tcPr>
          <w:p w14:paraId="5F016044" w14:textId="77777777" w:rsidR="00FA4AA8" w:rsidRDefault="0015611F">
            <w:pPr>
              <w:pStyle w:val="TableParagraph"/>
              <w:spacing w:before="115" w:line="183" w:lineRule="exact"/>
              <w:ind w:right="84"/>
              <w:jc w:val="right"/>
              <w:rPr>
                <w:sz w:val="18"/>
              </w:rPr>
            </w:pPr>
            <w:r>
              <w:rPr>
                <w:sz w:val="18"/>
              </w:rPr>
              <w:t>14,788</w:t>
            </w:r>
          </w:p>
        </w:tc>
      </w:tr>
      <w:tr w:rsidR="00FA4AA8" w14:paraId="73EA2C97" w14:textId="77777777">
        <w:trPr>
          <w:trHeight w:val="658"/>
        </w:trPr>
        <w:tc>
          <w:tcPr>
            <w:tcW w:w="349" w:type="dxa"/>
          </w:tcPr>
          <w:p w14:paraId="1D210371" w14:textId="77777777" w:rsidR="00FA4AA8" w:rsidRDefault="00FA4AA8">
            <w:pPr>
              <w:pStyle w:val="TableParagraph"/>
              <w:rPr>
                <w:rFonts w:ascii="Times New Roman"/>
                <w:sz w:val="18"/>
              </w:rPr>
            </w:pPr>
          </w:p>
        </w:tc>
        <w:tc>
          <w:tcPr>
            <w:tcW w:w="3786" w:type="dxa"/>
          </w:tcPr>
          <w:p w14:paraId="168DCBF6" w14:textId="77777777" w:rsidR="00FA4AA8" w:rsidRDefault="00FA4AA8">
            <w:pPr>
              <w:pStyle w:val="TableParagraph"/>
              <w:rPr>
                <w:sz w:val="20"/>
              </w:rPr>
            </w:pPr>
          </w:p>
          <w:p w14:paraId="58D661E6" w14:textId="77777777" w:rsidR="00FA4AA8" w:rsidRDefault="00FA4AA8">
            <w:pPr>
              <w:pStyle w:val="TableParagraph"/>
              <w:spacing w:before="8"/>
              <w:rPr>
                <w:sz w:val="17"/>
              </w:rPr>
            </w:pPr>
          </w:p>
          <w:p w14:paraId="3376A3F9" w14:textId="77777777" w:rsidR="00FA4AA8" w:rsidRDefault="0015611F">
            <w:pPr>
              <w:pStyle w:val="TableParagraph"/>
              <w:spacing w:before="1" w:line="204" w:lineRule="exact"/>
              <w:ind w:left="140"/>
              <w:rPr>
                <w:b/>
                <w:sz w:val="18"/>
              </w:rPr>
            </w:pPr>
            <w:r>
              <w:rPr>
                <w:b/>
                <w:sz w:val="18"/>
              </w:rPr>
              <w:t>At 31 December 2017</w:t>
            </w:r>
          </w:p>
        </w:tc>
        <w:tc>
          <w:tcPr>
            <w:tcW w:w="1170" w:type="dxa"/>
            <w:tcBorders>
              <w:top w:val="single" w:sz="8" w:space="0" w:color="000000"/>
            </w:tcBorders>
          </w:tcPr>
          <w:p w14:paraId="697D651D" w14:textId="77777777" w:rsidR="00FA4AA8" w:rsidRDefault="00FA4AA8">
            <w:pPr>
              <w:pStyle w:val="TableParagraph"/>
              <w:rPr>
                <w:rFonts w:ascii="Times New Roman"/>
                <w:sz w:val="18"/>
              </w:rPr>
            </w:pPr>
          </w:p>
        </w:tc>
        <w:tc>
          <w:tcPr>
            <w:tcW w:w="1258" w:type="dxa"/>
            <w:tcBorders>
              <w:top w:val="single" w:sz="8" w:space="0" w:color="000000"/>
            </w:tcBorders>
          </w:tcPr>
          <w:p w14:paraId="0A9D0BB0" w14:textId="77777777" w:rsidR="00FA4AA8" w:rsidRDefault="00FA4AA8">
            <w:pPr>
              <w:pStyle w:val="TableParagraph"/>
              <w:rPr>
                <w:rFonts w:ascii="Times New Roman"/>
                <w:sz w:val="18"/>
              </w:rPr>
            </w:pPr>
          </w:p>
        </w:tc>
        <w:tc>
          <w:tcPr>
            <w:tcW w:w="1132" w:type="dxa"/>
            <w:tcBorders>
              <w:top w:val="single" w:sz="8" w:space="0" w:color="000000"/>
            </w:tcBorders>
          </w:tcPr>
          <w:p w14:paraId="45D625F8" w14:textId="77777777" w:rsidR="00FA4AA8" w:rsidRDefault="00FA4AA8">
            <w:pPr>
              <w:pStyle w:val="TableParagraph"/>
              <w:rPr>
                <w:rFonts w:ascii="Times New Roman"/>
                <w:sz w:val="18"/>
              </w:rPr>
            </w:pPr>
          </w:p>
        </w:tc>
        <w:tc>
          <w:tcPr>
            <w:tcW w:w="1132" w:type="dxa"/>
            <w:tcBorders>
              <w:top w:val="single" w:sz="8" w:space="0" w:color="000000"/>
            </w:tcBorders>
          </w:tcPr>
          <w:p w14:paraId="437B7C6D" w14:textId="77777777" w:rsidR="00FA4AA8" w:rsidRDefault="00FA4AA8">
            <w:pPr>
              <w:pStyle w:val="TableParagraph"/>
              <w:rPr>
                <w:rFonts w:ascii="Times New Roman"/>
                <w:sz w:val="18"/>
              </w:rPr>
            </w:pPr>
          </w:p>
        </w:tc>
        <w:tc>
          <w:tcPr>
            <w:tcW w:w="1132" w:type="dxa"/>
            <w:tcBorders>
              <w:top w:val="single" w:sz="8" w:space="0" w:color="000000"/>
            </w:tcBorders>
          </w:tcPr>
          <w:p w14:paraId="73613990" w14:textId="77777777" w:rsidR="00FA4AA8" w:rsidRDefault="00FA4AA8">
            <w:pPr>
              <w:pStyle w:val="TableParagraph"/>
              <w:rPr>
                <w:rFonts w:ascii="Times New Roman"/>
                <w:sz w:val="18"/>
              </w:rPr>
            </w:pPr>
          </w:p>
        </w:tc>
      </w:tr>
      <w:tr w:rsidR="00FA4AA8" w14:paraId="666769D4" w14:textId="77777777">
        <w:trPr>
          <w:trHeight w:val="249"/>
        </w:trPr>
        <w:tc>
          <w:tcPr>
            <w:tcW w:w="349" w:type="dxa"/>
          </w:tcPr>
          <w:p w14:paraId="79BD909E" w14:textId="77777777" w:rsidR="00FA4AA8" w:rsidRDefault="00FA4AA8">
            <w:pPr>
              <w:pStyle w:val="TableParagraph"/>
              <w:rPr>
                <w:rFonts w:ascii="Times New Roman"/>
                <w:sz w:val="18"/>
              </w:rPr>
            </w:pPr>
          </w:p>
        </w:tc>
        <w:tc>
          <w:tcPr>
            <w:tcW w:w="3786" w:type="dxa"/>
          </w:tcPr>
          <w:p w14:paraId="7861EFA9" w14:textId="77777777" w:rsidR="00FA4AA8" w:rsidRDefault="0015611F">
            <w:pPr>
              <w:pStyle w:val="TableParagraph"/>
              <w:spacing w:before="13"/>
              <w:ind w:left="140"/>
              <w:rPr>
                <w:sz w:val="18"/>
              </w:rPr>
            </w:pPr>
            <w:r>
              <w:rPr>
                <w:sz w:val="18"/>
              </w:rPr>
              <w:t>- Cost</w:t>
            </w:r>
          </w:p>
        </w:tc>
        <w:tc>
          <w:tcPr>
            <w:tcW w:w="1170" w:type="dxa"/>
          </w:tcPr>
          <w:p w14:paraId="603426BF" w14:textId="77777777" w:rsidR="00FA4AA8" w:rsidRDefault="0015611F">
            <w:pPr>
              <w:pStyle w:val="TableParagraph"/>
              <w:spacing w:before="11"/>
              <w:ind w:right="124"/>
              <w:jc w:val="right"/>
              <w:rPr>
                <w:sz w:val="18"/>
              </w:rPr>
            </w:pPr>
            <w:r>
              <w:rPr>
                <w:sz w:val="18"/>
              </w:rPr>
              <w:t>-</w:t>
            </w:r>
          </w:p>
        </w:tc>
        <w:tc>
          <w:tcPr>
            <w:tcW w:w="1258" w:type="dxa"/>
          </w:tcPr>
          <w:p w14:paraId="4BBF4D12" w14:textId="77777777" w:rsidR="00FA4AA8" w:rsidRDefault="0015611F">
            <w:pPr>
              <w:pStyle w:val="TableParagraph"/>
              <w:spacing w:before="11"/>
              <w:ind w:right="86"/>
              <w:jc w:val="right"/>
              <w:rPr>
                <w:sz w:val="18"/>
              </w:rPr>
            </w:pPr>
            <w:r>
              <w:rPr>
                <w:sz w:val="18"/>
              </w:rPr>
              <w:t>-</w:t>
            </w:r>
          </w:p>
        </w:tc>
        <w:tc>
          <w:tcPr>
            <w:tcW w:w="1132" w:type="dxa"/>
          </w:tcPr>
          <w:p w14:paraId="04FC83A9" w14:textId="77777777" w:rsidR="00FA4AA8" w:rsidRDefault="0015611F">
            <w:pPr>
              <w:pStyle w:val="TableParagraph"/>
              <w:spacing w:before="11"/>
              <w:ind w:right="85"/>
              <w:jc w:val="right"/>
              <w:rPr>
                <w:sz w:val="18"/>
              </w:rPr>
            </w:pPr>
            <w:r>
              <w:rPr>
                <w:sz w:val="18"/>
              </w:rPr>
              <w:t>250</w:t>
            </w:r>
          </w:p>
        </w:tc>
        <w:tc>
          <w:tcPr>
            <w:tcW w:w="1132" w:type="dxa"/>
          </w:tcPr>
          <w:p w14:paraId="66538EE2" w14:textId="77777777" w:rsidR="00FA4AA8" w:rsidRDefault="0015611F">
            <w:pPr>
              <w:pStyle w:val="TableParagraph"/>
              <w:spacing w:before="11"/>
              <w:ind w:right="84"/>
              <w:jc w:val="right"/>
              <w:rPr>
                <w:sz w:val="18"/>
              </w:rPr>
            </w:pPr>
            <w:r>
              <w:rPr>
                <w:sz w:val="18"/>
              </w:rPr>
              <w:t>18,387</w:t>
            </w:r>
          </w:p>
        </w:tc>
        <w:tc>
          <w:tcPr>
            <w:tcW w:w="1132" w:type="dxa"/>
          </w:tcPr>
          <w:p w14:paraId="2E9D5F8D" w14:textId="77777777" w:rsidR="00FA4AA8" w:rsidRDefault="0015611F">
            <w:pPr>
              <w:pStyle w:val="TableParagraph"/>
              <w:spacing w:before="11"/>
              <w:ind w:right="84"/>
              <w:jc w:val="right"/>
              <w:rPr>
                <w:sz w:val="18"/>
              </w:rPr>
            </w:pPr>
            <w:r>
              <w:rPr>
                <w:sz w:val="18"/>
              </w:rPr>
              <w:t>18,637</w:t>
            </w:r>
          </w:p>
        </w:tc>
      </w:tr>
      <w:tr w:rsidR="00FA4AA8" w14:paraId="28A0CA9F" w14:textId="77777777">
        <w:trPr>
          <w:trHeight w:val="459"/>
        </w:trPr>
        <w:tc>
          <w:tcPr>
            <w:tcW w:w="349" w:type="dxa"/>
          </w:tcPr>
          <w:p w14:paraId="2853E067" w14:textId="77777777" w:rsidR="00FA4AA8" w:rsidRDefault="00FA4AA8">
            <w:pPr>
              <w:pStyle w:val="TableParagraph"/>
              <w:rPr>
                <w:rFonts w:ascii="Times New Roman"/>
                <w:sz w:val="18"/>
              </w:rPr>
            </w:pPr>
          </w:p>
        </w:tc>
        <w:tc>
          <w:tcPr>
            <w:tcW w:w="3786" w:type="dxa"/>
          </w:tcPr>
          <w:p w14:paraId="34D4A8F5" w14:textId="77777777" w:rsidR="00FA4AA8" w:rsidRDefault="0015611F">
            <w:pPr>
              <w:pStyle w:val="TableParagraph"/>
              <w:spacing w:before="23"/>
              <w:ind w:left="140" w:right="244"/>
              <w:rPr>
                <w:sz w:val="18"/>
              </w:rPr>
            </w:pPr>
            <w:r>
              <w:rPr>
                <w:sz w:val="18"/>
              </w:rPr>
              <w:t>- Accumulated amortisation and impairment</w:t>
            </w:r>
          </w:p>
        </w:tc>
        <w:tc>
          <w:tcPr>
            <w:tcW w:w="1170" w:type="dxa"/>
            <w:tcBorders>
              <w:bottom w:val="single" w:sz="8" w:space="0" w:color="000000"/>
            </w:tcBorders>
          </w:tcPr>
          <w:p w14:paraId="5D629B2A" w14:textId="77777777" w:rsidR="00FA4AA8" w:rsidRDefault="00FA4AA8">
            <w:pPr>
              <w:pStyle w:val="TableParagraph"/>
              <w:spacing w:before="8"/>
              <w:rPr>
                <w:sz w:val="19"/>
              </w:rPr>
            </w:pPr>
          </w:p>
          <w:p w14:paraId="2AE78422" w14:textId="77777777" w:rsidR="00FA4AA8" w:rsidRDefault="0015611F">
            <w:pPr>
              <w:pStyle w:val="TableParagraph"/>
              <w:ind w:right="124"/>
              <w:jc w:val="right"/>
              <w:rPr>
                <w:sz w:val="18"/>
              </w:rPr>
            </w:pPr>
            <w:r>
              <w:rPr>
                <w:sz w:val="18"/>
              </w:rPr>
              <w:t>-</w:t>
            </w:r>
          </w:p>
        </w:tc>
        <w:tc>
          <w:tcPr>
            <w:tcW w:w="1258" w:type="dxa"/>
            <w:tcBorders>
              <w:bottom w:val="single" w:sz="8" w:space="0" w:color="000000"/>
            </w:tcBorders>
          </w:tcPr>
          <w:p w14:paraId="0EC4D915" w14:textId="77777777" w:rsidR="00FA4AA8" w:rsidRDefault="00FA4AA8">
            <w:pPr>
              <w:pStyle w:val="TableParagraph"/>
              <w:spacing w:before="8"/>
              <w:rPr>
                <w:sz w:val="19"/>
              </w:rPr>
            </w:pPr>
          </w:p>
          <w:p w14:paraId="30C8AE1B" w14:textId="77777777" w:rsidR="00FA4AA8" w:rsidRDefault="0015611F">
            <w:pPr>
              <w:pStyle w:val="TableParagraph"/>
              <w:ind w:right="86"/>
              <w:jc w:val="right"/>
              <w:rPr>
                <w:sz w:val="18"/>
              </w:rPr>
            </w:pPr>
            <w:r>
              <w:rPr>
                <w:sz w:val="18"/>
              </w:rPr>
              <w:t>-</w:t>
            </w:r>
          </w:p>
        </w:tc>
        <w:tc>
          <w:tcPr>
            <w:tcW w:w="1132" w:type="dxa"/>
            <w:tcBorders>
              <w:bottom w:val="single" w:sz="8" w:space="0" w:color="000000"/>
            </w:tcBorders>
          </w:tcPr>
          <w:p w14:paraId="1DCC137C" w14:textId="77777777" w:rsidR="00FA4AA8" w:rsidRDefault="00FA4AA8">
            <w:pPr>
              <w:pStyle w:val="TableParagraph"/>
              <w:spacing w:before="8"/>
              <w:rPr>
                <w:sz w:val="19"/>
              </w:rPr>
            </w:pPr>
          </w:p>
          <w:p w14:paraId="39142F13" w14:textId="77777777" w:rsidR="00FA4AA8" w:rsidRDefault="0015611F">
            <w:pPr>
              <w:pStyle w:val="TableParagraph"/>
              <w:ind w:right="24"/>
              <w:jc w:val="right"/>
              <w:rPr>
                <w:sz w:val="18"/>
              </w:rPr>
            </w:pPr>
            <w:r>
              <w:rPr>
                <w:sz w:val="18"/>
              </w:rPr>
              <w:t>(59)</w:t>
            </w:r>
          </w:p>
        </w:tc>
        <w:tc>
          <w:tcPr>
            <w:tcW w:w="1132" w:type="dxa"/>
            <w:tcBorders>
              <w:bottom w:val="single" w:sz="8" w:space="0" w:color="000000"/>
            </w:tcBorders>
          </w:tcPr>
          <w:p w14:paraId="565EBA20" w14:textId="77777777" w:rsidR="00FA4AA8" w:rsidRDefault="00FA4AA8">
            <w:pPr>
              <w:pStyle w:val="TableParagraph"/>
              <w:spacing w:before="8"/>
              <w:rPr>
                <w:sz w:val="19"/>
              </w:rPr>
            </w:pPr>
          </w:p>
          <w:p w14:paraId="0B174FBF" w14:textId="77777777" w:rsidR="00FA4AA8" w:rsidRDefault="0015611F">
            <w:pPr>
              <w:pStyle w:val="TableParagraph"/>
              <w:ind w:right="24"/>
              <w:jc w:val="right"/>
              <w:rPr>
                <w:sz w:val="18"/>
              </w:rPr>
            </w:pPr>
            <w:r>
              <w:rPr>
                <w:sz w:val="18"/>
              </w:rPr>
              <w:t>(3,790)</w:t>
            </w:r>
          </w:p>
        </w:tc>
        <w:tc>
          <w:tcPr>
            <w:tcW w:w="1132" w:type="dxa"/>
            <w:tcBorders>
              <w:bottom w:val="single" w:sz="8" w:space="0" w:color="000000"/>
            </w:tcBorders>
          </w:tcPr>
          <w:p w14:paraId="185AF801" w14:textId="77777777" w:rsidR="00FA4AA8" w:rsidRDefault="00FA4AA8">
            <w:pPr>
              <w:pStyle w:val="TableParagraph"/>
              <w:spacing w:before="8"/>
              <w:rPr>
                <w:sz w:val="19"/>
              </w:rPr>
            </w:pPr>
          </w:p>
          <w:p w14:paraId="74E8F8E1" w14:textId="77777777" w:rsidR="00FA4AA8" w:rsidRDefault="0015611F">
            <w:pPr>
              <w:pStyle w:val="TableParagraph"/>
              <w:ind w:right="23"/>
              <w:jc w:val="right"/>
              <w:rPr>
                <w:sz w:val="18"/>
              </w:rPr>
            </w:pPr>
            <w:r>
              <w:rPr>
                <w:sz w:val="18"/>
              </w:rPr>
              <w:t>(3,849)</w:t>
            </w:r>
          </w:p>
        </w:tc>
      </w:tr>
      <w:tr w:rsidR="00FA4AA8" w14:paraId="62A62758" w14:textId="77777777">
        <w:trPr>
          <w:trHeight w:val="318"/>
        </w:trPr>
        <w:tc>
          <w:tcPr>
            <w:tcW w:w="349" w:type="dxa"/>
          </w:tcPr>
          <w:p w14:paraId="3B8A0B68" w14:textId="77777777" w:rsidR="00FA4AA8" w:rsidRDefault="00FA4AA8">
            <w:pPr>
              <w:pStyle w:val="TableParagraph"/>
              <w:rPr>
                <w:rFonts w:ascii="Times New Roman"/>
                <w:sz w:val="18"/>
              </w:rPr>
            </w:pPr>
          </w:p>
        </w:tc>
        <w:tc>
          <w:tcPr>
            <w:tcW w:w="3786" w:type="dxa"/>
          </w:tcPr>
          <w:p w14:paraId="39E45FDC" w14:textId="77777777" w:rsidR="00FA4AA8" w:rsidRDefault="0015611F">
            <w:pPr>
              <w:pStyle w:val="TableParagraph"/>
              <w:spacing w:before="115" w:line="183" w:lineRule="exact"/>
              <w:ind w:left="140"/>
              <w:rPr>
                <w:b/>
                <w:sz w:val="18"/>
              </w:rPr>
            </w:pPr>
            <w:r>
              <w:rPr>
                <w:b/>
                <w:sz w:val="18"/>
              </w:rPr>
              <w:t>Net book amount at 31 December 2017</w:t>
            </w:r>
          </w:p>
        </w:tc>
        <w:tc>
          <w:tcPr>
            <w:tcW w:w="1170" w:type="dxa"/>
            <w:tcBorders>
              <w:top w:val="single" w:sz="8" w:space="0" w:color="000000"/>
              <w:bottom w:val="single" w:sz="8" w:space="0" w:color="000000"/>
            </w:tcBorders>
          </w:tcPr>
          <w:p w14:paraId="093E54EA" w14:textId="77777777" w:rsidR="00FA4AA8" w:rsidRDefault="0015611F">
            <w:pPr>
              <w:pStyle w:val="TableParagraph"/>
              <w:spacing w:before="115" w:line="183" w:lineRule="exact"/>
              <w:ind w:right="124"/>
              <w:jc w:val="right"/>
              <w:rPr>
                <w:sz w:val="18"/>
              </w:rPr>
            </w:pPr>
            <w:r>
              <w:rPr>
                <w:sz w:val="18"/>
              </w:rPr>
              <w:t>-</w:t>
            </w:r>
          </w:p>
        </w:tc>
        <w:tc>
          <w:tcPr>
            <w:tcW w:w="1258" w:type="dxa"/>
            <w:tcBorders>
              <w:top w:val="single" w:sz="8" w:space="0" w:color="000000"/>
              <w:bottom w:val="single" w:sz="8" w:space="0" w:color="000000"/>
            </w:tcBorders>
          </w:tcPr>
          <w:p w14:paraId="374C4E41" w14:textId="77777777" w:rsidR="00FA4AA8" w:rsidRDefault="0015611F">
            <w:pPr>
              <w:pStyle w:val="TableParagraph"/>
              <w:spacing w:before="115" w:line="183" w:lineRule="exact"/>
              <w:ind w:right="86"/>
              <w:jc w:val="right"/>
              <w:rPr>
                <w:sz w:val="18"/>
              </w:rPr>
            </w:pPr>
            <w:r>
              <w:rPr>
                <w:sz w:val="18"/>
              </w:rPr>
              <w:t>-</w:t>
            </w:r>
          </w:p>
        </w:tc>
        <w:tc>
          <w:tcPr>
            <w:tcW w:w="1132" w:type="dxa"/>
            <w:tcBorders>
              <w:top w:val="single" w:sz="8" w:space="0" w:color="000000"/>
              <w:bottom w:val="single" w:sz="8" w:space="0" w:color="000000"/>
            </w:tcBorders>
          </w:tcPr>
          <w:p w14:paraId="0562E4C4" w14:textId="77777777" w:rsidR="00FA4AA8" w:rsidRDefault="0015611F">
            <w:pPr>
              <w:pStyle w:val="TableParagraph"/>
              <w:spacing w:before="115" w:line="183" w:lineRule="exact"/>
              <w:ind w:right="85"/>
              <w:jc w:val="right"/>
              <w:rPr>
                <w:sz w:val="18"/>
              </w:rPr>
            </w:pPr>
            <w:r>
              <w:rPr>
                <w:sz w:val="18"/>
              </w:rPr>
              <w:t>191</w:t>
            </w:r>
          </w:p>
        </w:tc>
        <w:tc>
          <w:tcPr>
            <w:tcW w:w="1132" w:type="dxa"/>
            <w:tcBorders>
              <w:top w:val="single" w:sz="8" w:space="0" w:color="000000"/>
              <w:bottom w:val="single" w:sz="8" w:space="0" w:color="000000"/>
            </w:tcBorders>
          </w:tcPr>
          <w:p w14:paraId="3DEEDBD1" w14:textId="77777777" w:rsidR="00FA4AA8" w:rsidRDefault="0015611F">
            <w:pPr>
              <w:pStyle w:val="TableParagraph"/>
              <w:spacing w:before="115" w:line="183" w:lineRule="exact"/>
              <w:ind w:right="84"/>
              <w:jc w:val="right"/>
              <w:rPr>
                <w:sz w:val="18"/>
              </w:rPr>
            </w:pPr>
            <w:r>
              <w:rPr>
                <w:sz w:val="18"/>
              </w:rPr>
              <w:t>14,597</w:t>
            </w:r>
          </w:p>
        </w:tc>
        <w:tc>
          <w:tcPr>
            <w:tcW w:w="1132" w:type="dxa"/>
            <w:tcBorders>
              <w:top w:val="single" w:sz="8" w:space="0" w:color="000000"/>
              <w:bottom w:val="single" w:sz="8" w:space="0" w:color="000000"/>
            </w:tcBorders>
          </w:tcPr>
          <w:p w14:paraId="0F73A5A3" w14:textId="77777777" w:rsidR="00FA4AA8" w:rsidRDefault="0015611F">
            <w:pPr>
              <w:pStyle w:val="TableParagraph"/>
              <w:spacing w:before="115" w:line="183" w:lineRule="exact"/>
              <w:ind w:right="84"/>
              <w:jc w:val="right"/>
              <w:rPr>
                <w:sz w:val="18"/>
              </w:rPr>
            </w:pPr>
            <w:r>
              <w:rPr>
                <w:sz w:val="18"/>
              </w:rPr>
              <w:t>14,788</w:t>
            </w:r>
          </w:p>
        </w:tc>
      </w:tr>
      <w:tr w:rsidR="00FA4AA8" w14:paraId="2CE1741A" w14:textId="77777777">
        <w:trPr>
          <w:trHeight w:val="658"/>
        </w:trPr>
        <w:tc>
          <w:tcPr>
            <w:tcW w:w="349" w:type="dxa"/>
          </w:tcPr>
          <w:p w14:paraId="1B403F9A" w14:textId="77777777" w:rsidR="00FA4AA8" w:rsidRDefault="00FA4AA8">
            <w:pPr>
              <w:pStyle w:val="TableParagraph"/>
              <w:rPr>
                <w:rFonts w:ascii="Times New Roman"/>
                <w:sz w:val="18"/>
              </w:rPr>
            </w:pPr>
          </w:p>
        </w:tc>
        <w:tc>
          <w:tcPr>
            <w:tcW w:w="3786" w:type="dxa"/>
          </w:tcPr>
          <w:p w14:paraId="0AD4A840" w14:textId="77777777" w:rsidR="00FA4AA8" w:rsidRDefault="00FA4AA8">
            <w:pPr>
              <w:pStyle w:val="TableParagraph"/>
              <w:rPr>
                <w:sz w:val="20"/>
              </w:rPr>
            </w:pPr>
          </w:p>
          <w:p w14:paraId="1B4766A9" w14:textId="77777777" w:rsidR="00FA4AA8" w:rsidRDefault="00FA4AA8">
            <w:pPr>
              <w:pStyle w:val="TableParagraph"/>
              <w:spacing w:before="8"/>
              <w:rPr>
                <w:sz w:val="17"/>
              </w:rPr>
            </w:pPr>
          </w:p>
          <w:p w14:paraId="1D3A18D8" w14:textId="77777777" w:rsidR="00FA4AA8" w:rsidRDefault="0015611F">
            <w:pPr>
              <w:pStyle w:val="TableParagraph"/>
              <w:spacing w:before="1" w:line="204" w:lineRule="exact"/>
              <w:ind w:left="140"/>
              <w:rPr>
                <w:b/>
                <w:sz w:val="18"/>
              </w:rPr>
            </w:pPr>
            <w:r>
              <w:rPr>
                <w:b/>
                <w:sz w:val="18"/>
              </w:rPr>
              <w:t>Year ended 31 December 2018</w:t>
            </w:r>
          </w:p>
        </w:tc>
        <w:tc>
          <w:tcPr>
            <w:tcW w:w="1170" w:type="dxa"/>
            <w:tcBorders>
              <w:top w:val="single" w:sz="8" w:space="0" w:color="000000"/>
            </w:tcBorders>
          </w:tcPr>
          <w:p w14:paraId="58D7D9D4" w14:textId="77777777" w:rsidR="00FA4AA8" w:rsidRDefault="00FA4AA8">
            <w:pPr>
              <w:pStyle w:val="TableParagraph"/>
              <w:rPr>
                <w:rFonts w:ascii="Times New Roman"/>
                <w:sz w:val="18"/>
              </w:rPr>
            </w:pPr>
          </w:p>
        </w:tc>
        <w:tc>
          <w:tcPr>
            <w:tcW w:w="1258" w:type="dxa"/>
            <w:tcBorders>
              <w:top w:val="single" w:sz="8" w:space="0" w:color="000000"/>
            </w:tcBorders>
          </w:tcPr>
          <w:p w14:paraId="6BCC7F2B" w14:textId="77777777" w:rsidR="00FA4AA8" w:rsidRDefault="00FA4AA8">
            <w:pPr>
              <w:pStyle w:val="TableParagraph"/>
              <w:rPr>
                <w:rFonts w:ascii="Times New Roman"/>
                <w:sz w:val="18"/>
              </w:rPr>
            </w:pPr>
          </w:p>
        </w:tc>
        <w:tc>
          <w:tcPr>
            <w:tcW w:w="1132" w:type="dxa"/>
            <w:tcBorders>
              <w:top w:val="single" w:sz="8" w:space="0" w:color="000000"/>
            </w:tcBorders>
          </w:tcPr>
          <w:p w14:paraId="1F3776B4" w14:textId="77777777" w:rsidR="00FA4AA8" w:rsidRDefault="00FA4AA8">
            <w:pPr>
              <w:pStyle w:val="TableParagraph"/>
              <w:rPr>
                <w:rFonts w:ascii="Times New Roman"/>
                <w:sz w:val="18"/>
              </w:rPr>
            </w:pPr>
          </w:p>
        </w:tc>
        <w:tc>
          <w:tcPr>
            <w:tcW w:w="1132" w:type="dxa"/>
            <w:tcBorders>
              <w:top w:val="single" w:sz="8" w:space="0" w:color="000000"/>
            </w:tcBorders>
          </w:tcPr>
          <w:p w14:paraId="2DD1A864" w14:textId="77777777" w:rsidR="00FA4AA8" w:rsidRDefault="00FA4AA8">
            <w:pPr>
              <w:pStyle w:val="TableParagraph"/>
              <w:rPr>
                <w:rFonts w:ascii="Times New Roman"/>
                <w:sz w:val="18"/>
              </w:rPr>
            </w:pPr>
          </w:p>
        </w:tc>
        <w:tc>
          <w:tcPr>
            <w:tcW w:w="1132" w:type="dxa"/>
            <w:tcBorders>
              <w:top w:val="single" w:sz="8" w:space="0" w:color="000000"/>
            </w:tcBorders>
          </w:tcPr>
          <w:p w14:paraId="5F35C55D" w14:textId="77777777" w:rsidR="00FA4AA8" w:rsidRDefault="00FA4AA8">
            <w:pPr>
              <w:pStyle w:val="TableParagraph"/>
              <w:rPr>
                <w:rFonts w:ascii="Times New Roman"/>
                <w:sz w:val="18"/>
              </w:rPr>
            </w:pPr>
          </w:p>
        </w:tc>
      </w:tr>
      <w:tr w:rsidR="00FA4AA8" w14:paraId="093CF651" w14:textId="77777777">
        <w:trPr>
          <w:trHeight w:val="250"/>
        </w:trPr>
        <w:tc>
          <w:tcPr>
            <w:tcW w:w="349" w:type="dxa"/>
          </w:tcPr>
          <w:p w14:paraId="602FD1D3" w14:textId="77777777" w:rsidR="00FA4AA8" w:rsidRDefault="00FA4AA8">
            <w:pPr>
              <w:pStyle w:val="TableParagraph"/>
              <w:rPr>
                <w:rFonts w:ascii="Times New Roman"/>
                <w:sz w:val="18"/>
              </w:rPr>
            </w:pPr>
          </w:p>
        </w:tc>
        <w:tc>
          <w:tcPr>
            <w:tcW w:w="3786" w:type="dxa"/>
          </w:tcPr>
          <w:p w14:paraId="25917754" w14:textId="77777777" w:rsidR="00FA4AA8" w:rsidRDefault="0015611F">
            <w:pPr>
              <w:pStyle w:val="TableParagraph"/>
              <w:spacing w:before="13"/>
              <w:ind w:left="140"/>
              <w:rPr>
                <w:sz w:val="18"/>
              </w:rPr>
            </w:pPr>
            <w:r>
              <w:rPr>
                <w:sz w:val="18"/>
              </w:rPr>
              <w:t>Opening net book amount</w:t>
            </w:r>
          </w:p>
        </w:tc>
        <w:tc>
          <w:tcPr>
            <w:tcW w:w="1170" w:type="dxa"/>
          </w:tcPr>
          <w:p w14:paraId="589B85AA" w14:textId="77777777" w:rsidR="00FA4AA8" w:rsidRDefault="0015611F">
            <w:pPr>
              <w:pStyle w:val="TableParagraph"/>
              <w:spacing w:before="11"/>
              <w:ind w:right="124"/>
              <w:jc w:val="right"/>
              <w:rPr>
                <w:b/>
                <w:sz w:val="18"/>
              </w:rPr>
            </w:pPr>
            <w:r>
              <w:rPr>
                <w:b/>
                <w:sz w:val="18"/>
              </w:rPr>
              <w:t>-</w:t>
            </w:r>
          </w:p>
        </w:tc>
        <w:tc>
          <w:tcPr>
            <w:tcW w:w="1258" w:type="dxa"/>
          </w:tcPr>
          <w:p w14:paraId="6163B4C8" w14:textId="77777777" w:rsidR="00FA4AA8" w:rsidRDefault="0015611F">
            <w:pPr>
              <w:pStyle w:val="TableParagraph"/>
              <w:spacing w:before="11"/>
              <w:ind w:right="86"/>
              <w:jc w:val="right"/>
              <w:rPr>
                <w:b/>
                <w:sz w:val="18"/>
              </w:rPr>
            </w:pPr>
            <w:r>
              <w:rPr>
                <w:b/>
                <w:sz w:val="18"/>
              </w:rPr>
              <w:t>-</w:t>
            </w:r>
          </w:p>
        </w:tc>
        <w:tc>
          <w:tcPr>
            <w:tcW w:w="1132" w:type="dxa"/>
          </w:tcPr>
          <w:p w14:paraId="491B3752" w14:textId="77777777" w:rsidR="00FA4AA8" w:rsidRDefault="0015611F">
            <w:pPr>
              <w:pStyle w:val="TableParagraph"/>
              <w:spacing w:before="11"/>
              <w:ind w:right="85"/>
              <w:jc w:val="right"/>
              <w:rPr>
                <w:b/>
                <w:sz w:val="18"/>
              </w:rPr>
            </w:pPr>
            <w:r>
              <w:rPr>
                <w:b/>
                <w:sz w:val="18"/>
              </w:rPr>
              <w:t>191</w:t>
            </w:r>
          </w:p>
        </w:tc>
        <w:tc>
          <w:tcPr>
            <w:tcW w:w="1132" w:type="dxa"/>
          </w:tcPr>
          <w:p w14:paraId="34261663" w14:textId="77777777" w:rsidR="00FA4AA8" w:rsidRDefault="0015611F">
            <w:pPr>
              <w:pStyle w:val="TableParagraph"/>
              <w:spacing w:before="11"/>
              <w:ind w:right="84"/>
              <w:jc w:val="right"/>
              <w:rPr>
                <w:b/>
                <w:sz w:val="18"/>
              </w:rPr>
            </w:pPr>
            <w:r>
              <w:rPr>
                <w:b/>
                <w:sz w:val="18"/>
              </w:rPr>
              <w:t>14,597</w:t>
            </w:r>
          </w:p>
        </w:tc>
        <w:tc>
          <w:tcPr>
            <w:tcW w:w="1132" w:type="dxa"/>
          </w:tcPr>
          <w:p w14:paraId="3435A663" w14:textId="77777777" w:rsidR="00FA4AA8" w:rsidRDefault="0015611F">
            <w:pPr>
              <w:pStyle w:val="TableParagraph"/>
              <w:spacing w:before="11"/>
              <w:ind w:right="84"/>
              <w:jc w:val="right"/>
              <w:rPr>
                <w:b/>
                <w:sz w:val="18"/>
              </w:rPr>
            </w:pPr>
            <w:r>
              <w:rPr>
                <w:b/>
                <w:sz w:val="18"/>
              </w:rPr>
              <w:t>14,788</w:t>
            </w:r>
          </w:p>
        </w:tc>
      </w:tr>
      <w:tr w:rsidR="00FA4AA8" w14:paraId="57638CD8" w14:textId="77777777">
        <w:trPr>
          <w:trHeight w:val="263"/>
        </w:trPr>
        <w:tc>
          <w:tcPr>
            <w:tcW w:w="349" w:type="dxa"/>
          </w:tcPr>
          <w:p w14:paraId="02C22672" w14:textId="77777777" w:rsidR="00FA4AA8" w:rsidRDefault="00FA4AA8">
            <w:pPr>
              <w:pStyle w:val="TableParagraph"/>
              <w:rPr>
                <w:rFonts w:ascii="Times New Roman"/>
                <w:sz w:val="18"/>
              </w:rPr>
            </w:pPr>
          </w:p>
        </w:tc>
        <w:tc>
          <w:tcPr>
            <w:tcW w:w="3786" w:type="dxa"/>
          </w:tcPr>
          <w:p w14:paraId="6D498C8C" w14:textId="77777777" w:rsidR="00FA4AA8" w:rsidRDefault="0015611F">
            <w:pPr>
              <w:pStyle w:val="TableParagraph"/>
              <w:spacing w:before="26"/>
              <w:ind w:left="140"/>
              <w:rPr>
                <w:sz w:val="18"/>
              </w:rPr>
            </w:pPr>
            <w:r>
              <w:rPr>
                <w:sz w:val="18"/>
              </w:rPr>
              <w:t>Additions</w:t>
            </w:r>
          </w:p>
        </w:tc>
        <w:tc>
          <w:tcPr>
            <w:tcW w:w="1170" w:type="dxa"/>
          </w:tcPr>
          <w:p w14:paraId="39A1CC5A" w14:textId="77777777" w:rsidR="00FA4AA8" w:rsidRDefault="0015611F">
            <w:pPr>
              <w:pStyle w:val="TableParagraph"/>
              <w:spacing w:before="24"/>
              <w:ind w:right="124"/>
              <w:jc w:val="right"/>
              <w:rPr>
                <w:b/>
                <w:sz w:val="18"/>
              </w:rPr>
            </w:pPr>
            <w:r>
              <w:rPr>
                <w:b/>
                <w:sz w:val="18"/>
              </w:rPr>
              <w:t>3,637</w:t>
            </w:r>
          </w:p>
        </w:tc>
        <w:tc>
          <w:tcPr>
            <w:tcW w:w="1258" w:type="dxa"/>
          </w:tcPr>
          <w:p w14:paraId="0F295C0F" w14:textId="77777777" w:rsidR="00FA4AA8" w:rsidRDefault="0015611F">
            <w:pPr>
              <w:pStyle w:val="TableParagraph"/>
              <w:spacing w:before="24"/>
              <w:ind w:right="86"/>
              <w:jc w:val="right"/>
              <w:rPr>
                <w:b/>
                <w:sz w:val="18"/>
              </w:rPr>
            </w:pPr>
            <w:r>
              <w:rPr>
                <w:b/>
                <w:sz w:val="18"/>
              </w:rPr>
              <w:t>-</w:t>
            </w:r>
          </w:p>
        </w:tc>
        <w:tc>
          <w:tcPr>
            <w:tcW w:w="1132" w:type="dxa"/>
          </w:tcPr>
          <w:p w14:paraId="40BD6A3D" w14:textId="77777777" w:rsidR="00FA4AA8" w:rsidRDefault="0015611F">
            <w:pPr>
              <w:pStyle w:val="TableParagraph"/>
              <w:spacing w:before="24"/>
              <w:ind w:right="85"/>
              <w:jc w:val="right"/>
              <w:rPr>
                <w:b/>
                <w:sz w:val="18"/>
              </w:rPr>
            </w:pPr>
            <w:r>
              <w:rPr>
                <w:b/>
                <w:sz w:val="18"/>
              </w:rPr>
              <w:t>-</w:t>
            </w:r>
          </w:p>
        </w:tc>
        <w:tc>
          <w:tcPr>
            <w:tcW w:w="1132" w:type="dxa"/>
          </w:tcPr>
          <w:p w14:paraId="3DA1883E" w14:textId="77777777" w:rsidR="00FA4AA8" w:rsidRDefault="0015611F">
            <w:pPr>
              <w:pStyle w:val="TableParagraph"/>
              <w:spacing w:before="24"/>
              <w:ind w:right="84"/>
              <w:jc w:val="right"/>
              <w:rPr>
                <w:b/>
                <w:sz w:val="18"/>
              </w:rPr>
            </w:pPr>
            <w:r>
              <w:rPr>
                <w:b/>
                <w:sz w:val="18"/>
              </w:rPr>
              <w:t>7,803</w:t>
            </w:r>
          </w:p>
        </w:tc>
        <w:tc>
          <w:tcPr>
            <w:tcW w:w="1132" w:type="dxa"/>
          </w:tcPr>
          <w:p w14:paraId="78F48371" w14:textId="77777777" w:rsidR="00FA4AA8" w:rsidRDefault="0015611F">
            <w:pPr>
              <w:pStyle w:val="TableParagraph"/>
              <w:spacing w:before="24"/>
              <w:ind w:right="84"/>
              <w:jc w:val="right"/>
              <w:rPr>
                <w:b/>
                <w:sz w:val="18"/>
              </w:rPr>
            </w:pPr>
            <w:r>
              <w:rPr>
                <w:b/>
                <w:sz w:val="18"/>
              </w:rPr>
              <w:t>11,440</w:t>
            </w:r>
          </w:p>
        </w:tc>
      </w:tr>
      <w:tr w:rsidR="00FA4AA8" w14:paraId="1380B670" w14:textId="77777777">
        <w:trPr>
          <w:trHeight w:val="256"/>
        </w:trPr>
        <w:tc>
          <w:tcPr>
            <w:tcW w:w="349" w:type="dxa"/>
          </w:tcPr>
          <w:p w14:paraId="211F31FB" w14:textId="77777777" w:rsidR="00FA4AA8" w:rsidRDefault="00FA4AA8">
            <w:pPr>
              <w:pStyle w:val="TableParagraph"/>
              <w:rPr>
                <w:rFonts w:ascii="Times New Roman"/>
                <w:sz w:val="18"/>
              </w:rPr>
            </w:pPr>
          </w:p>
        </w:tc>
        <w:tc>
          <w:tcPr>
            <w:tcW w:w="3786" w:type="dxa"/>
          </w:tcPr>
          <w:p w14:paraId="44CD3928" w14:textId="77777777" w:rsidR="00FA4AA8" w:rsidRDefault="0015611F">
            <w:pPr>
              <w:pStyle w:val="TableParagraph"/>
              <w:spacing w:before="26"/>
              <w:ind w:left="140"/>
              <w:rPr>
                <w:sz w:val="18"/>
              </w:rPr>
            </w:pPr>
            <w:r>
              <w:rPr>
                <w:sz w:val="18"/>
              </w:rPr>
              <w:t>Amortisation charge</w:t>
            </w:r>
          </w:p>
        </w:tc>
        <w:tc>
          <w:tcPr>
            <w:tcW w:w="1170" w:type="dxa"/>
            <w:tcBorders>
              <w:bottom w:val="single" w:sz="8" w:space="0" w:color="000000"/>
            </w:tcBorders>
          </w:tcPr>
          <w:p w14:paraId="10169E9B" w14:textId="77777777" w:rsidR="00FA4AA8" w:rsidRDefault="0015611F">
            <w:pPr>
              <w:pStyle w:val="TableParagraph"/>
              <w:spacing w:before="24"/>
              <w:ind w:right="63"/>
              <w:jc w:val="right"/>
              <w:rPr>
                <w:b/>
                <w:sz w:val="18"/>
              </w:rPr>
            </w:pPr>
            <w:r>
              <w:rPr>
                <w:b/>
                <w:sz w:val="18"/>
              </w:rPr>
              <w:t>(1,212)</w:t>
            </w:r>
          </w:p>
        </w:tc>
        <w:tc>
          <w:tcPr>
            <w:tcW w:w="1258" w:type="dxa"/>
            <w:tcBorders>
              <w:bottom w:val="single" w:sz="8" w:space="0" w:color="000000"/>
            </w:tcBorders>
          </w:tcPr>
          <w:p w14:paraId="4ECF6970" w14:textId="77777777" w:rsidR="00FA4AA8" w:rsidRDefault="0015611F">
            <w:pPr>
              <w:pStyle w:val="TableParagraph"/>
              <w:spacing w:before="24"/>
              <w:ind w:right="86"/>
              <w:jc w:val="right"/>
              <w:rPr>
                <w:b/>
                <w:sz w:val="18"/>
              </w:rPr>
            </w:pPr>
            <w:r>
              <w:rPr>
                <w:b/>
                <w:sz w:val="18"/>
              </w:rPr>
              <w:t>-</w:t>
            </w:r>
          </w:p>
        </w:tc>
        <w:tc>
          <w:tcPr>
            <w:tcW w:w="1132" w:type="dxa"/>
            <w:tcBorders>
              <w:bottom w:val="single" w:sz="8" w:space="0" w:color="000000"/>
            </w:tcBorders>
          </w:tcPr>
          <w:p w14:paraId="060CD252" w14:textId="77777777" w:rsidR="00FA4AA8" w:rsidRDefault="0015611F">
            <w:pPr>
              <w:pStyle w:val="TableParagraph"/>
              <w:spacing w:before="24"/>
              <w:ind w:right="24"/>
              <w:jc w:val="right"/>
              <w:rPr>
                <w:b/>
                <w:sz w:val="18"/>
              </w:rPr>
            </w:pPr>
            <w:r>
              <w:rPr>
                <w:b/>
                <w:sz w:val="18"/>
              </w:rPr>
              <w:t>(29)</w:t>
            </w:r>
          </w:p>
        </w:tc>
        <w:tc>
          <w:tcPr>
            <w:tcW w:w="1132" w:type="dxa"/>
            <w:tcBorders>
              <w:bottom w:val="single" w:sz="8" w:space="0" w:color="000000"/>
            </w:tcBorders>
          </w:tcPr>
          <w:p w14:paraId="34ED4518" w14:textId="77777777" w:rsidR="00FA4AA8" w:rsidRDefault="0015611F">
            <w:pPr>
              <w:pStyle w:val="TableParagraph"/>
              <w:spacing w:before="24"/>
              <w:ind w:right="24"/>
              <w:jc w:val="right"/>
              <w:rPr>
                <w:b/>
                <w:sz w:val="18"/>
              </w:rPr>
            </w:pPr>
            <w:r>
              <w:rPr>
                <w:b/>
                <w:sz w:val="18"/>
              </w:rPr>
              <w:t>(3,679)</w:t>
            </w:r>
          </w:p>
        </w:tc>
        <w:tc>
          <w:tcPr>
            <w:tcW w:w="1132" w:type="dxa"/>
            <w:tcBorders>
              <w:bottom w:val="single" w:sz="8" w:space="0" w:color="000000"/>
            </w:tcBorders>
          </w:tcPr>
          <w:p w14:paraId="0D807121" w14:textId="77777777" w:rsidR="00FA4AA8" w:rsidRDefault="0015611F">
            <w:pPr>
              <w:pStyle w:val="TableParagraph"/>
              <w:spacing w:before="24"/>
              <w:ind w:right="23"/>
              <w:jc w:val="right"/>
              <w:rPr>
                <w:b/>
                <w:sz w:val="18"/>
              </w:rPr>
            </w:pPr>
            <w:r>
              <w:rPr>
                <w:b/>
                <w:sz w:val="18"/>
              </w:rPr>
              <w:t>(4,920)</w:t>
            </w:r>
          </w:p>
        </w:tc>
      </w:tr>
      <w:tr w:rsidR="00FA4AA8" w14:paraId="4ECDB3CA" w14:textId="77777777">
        <w:trPr>
          <w:trHeight w:val="318"/>
        </w:trPr>
        <w:tc>
          <w:tcPr>
            <w:tcW w:w="349" w:type="dxa"/>
          </w:tcPr>
          <w:p w14:paraId="4BE3AA0C" w14:textId="77777777" w:rsidR="00FA4AA8" w:rsidRDefault="00FA4AA8">
            <w:pPr>
              <w:pStyle w:val="TableParagraph"/>
              <w:rPr>
                <w:rFonts w:ascii="Times New Roman"/>
                <w:sz w:val="18"/>
              </w:rPr>
            </w:pPr>
          </w:p>
        </w:tc>
        <w:tc>
          <w:tcPr>
            <w:tcW w:w="3786" w:type="dxa"/>
          </w:tcPr>
          <w:p w14:paraId="77FF7382" w14:textId="77777777" w:rsidR="00FA4AA8" w:rsidRDefault="0015611F">
            <w:pPr>
              <w:pStyle w:val="TableParagraph"/>
              <w:spacing w:before="115" w:line="183" w:lineRule="exact"/>
              <w:ind w:left="140"/>
              <w:rPr>
                <w:b/>
                <w:sz w:val="18"/>
              </w:rPr>
            </w:pPr>
            <w:r>
              <w:rPr>
                <w:b/>
                <w:sz w:val="18"/>
              </w:rPr>
              <w:t>Net book amount at 31 December 2018</w:t>
            </w:r>
          </w:p>
        </w:tc>
        <w:tc>
          <w:tcPr>
            <w:tcW w:w="1170" w:type="dxa"/>
            <w:tcBorders>
              <w:top w:val="single" w:sz="8" w:space="0" w:color="000000"/>
              <w:bottom w:val="single" w:sz="8" w:space="0" w:color="000000"/>
            </w:tcBorders>
          </w:tcPr>
          <w:p w14:paraId="1DFF4AAC" w14:textId="77777777" w:rsidR="00FA4AA8" w:rsidRDefault="0015611F">
            <w:pPr>
              <w:pStyle w:val="TableParagraph"/>
              <w:spacing w:before="115" w:line="183" w:lineRule="exact"/>
              <w:ind w:right="124"/>
              <w:jc w:val="right"/>
              <w:rPr>
                <w:b/>
                <w:sz w:val="18"/>
              </w:rPr>
            </w:pPr>
            <w:r>
              <w:rPr>
                <w:b/>
                <w:sz w:val="18"/>
              </w:rPr>
              <w:t>2,425</w:t>
            </w:r>
          </w:p>
        </w:tc>
        <w:tc>
          <w:tcPr>
            <w:tcW w:w="1258" w:type="dxa"/>
            <w:tcBorders>
              <w:top w:val="single" w:sz="8" w:space="0" w:color="000000"/>
              <w:bottom w:val="single" w:sz="8" w:space="0" w:color="000000"/>
            </w:tcBorders>
          </w:tcPr>
          <w:p w14:paraId="65E0797B" w14:textId="77777777" w:rsidR="00FA4AA8" w:rsidRDefault="0015611F">
            <w:pPr>
              <w:pStyle w:val="TableParagraph"/>
              <w:spacing w:before="115" w:line="183" w:lineRule="exact"/>
              <w:ind w:right="86"/>
              <w:jc w:val="right"/>
              <w:rPr>
                <w:b/>
                <w:sz w:val="18"/>
              </w:rPr>
            </w:pPr>
            <w:r>
              <w:rPr>
                <w:b/>
                <w:sz w:val="18"/>
              </w:rPr>
              <w:t>-</w:t>
            </w:r>
          </w:p>
        </w:tc>
        <w:tc>
          <w:tcPr>
            <w:tcW w:w="1132" w:type="dxa"/>
            <w:tcBorders>
              <w:top w:val="single" w:sz="8" w:space="0" w:color="000000"/>
              <w:bottom w:val="single" w:sz="8" w:space="0" w:color="000000"/>
            </w:tcBorders>
          </w:tcPr>
          <w:p w14:paraId="6FA14B15" w14:textId="77777777" w:rsidR="00FA4AA8" w:rsidRDefault="0015611F">
            <w:pPr>
              <w:pStyle w:val="TableParagraph"/>
              <w:spacing w:before="115" w:line="183" w:lineRule="exact"/>
              <w:ind w:right="85"/>
              <w:jc w:val="right"/>
              <w:rPr>
                <w:b/>
                <w:sz w:val="18"/>
              </w:rPr>
            </w:pPr>
            <w:r>
              <w:rPr>
                <w:b/>
                <w:sz w:val="18"/>
              </w:rPr>
              <w:t>162</w:t>
            </w:r>
          </w:p>
        </w:tc>
        <w:tc>
          <w:tcPr>
            <w:tcW w:w="1132" w:type="dxa"/>
            <w:tcBorders>
              <w:top w:val="single" w:sz="8" w:space="0" w:color="000000"/>
              <w:bottom w:val="single" w:sz="8" w:space="0" w:color="000000"/>
            </w:tcBorders>
          </w:tcPr>
          <w:p w14:paraId="19CA57F2" w14:textId="77777777" w:rsidR="00FA4AA8" w:rsidRDefault="0015611F">
            <w:pPr>
              <w:pStyle w:val="TableParagraph"/>
              <w:spacing w:before="115" w:line="183" w:lineRule="exact"/>
              <w:ind w:right="84"/>
              <w:jc w:val="right"/>
              <w:rPr>
                <w:b/>
                <w:sz w:val="18"/>
              </w:rPr>
            </w:pPr>
            <w:r>
              <w:rPr>
                <w:b/>
                <w:sz w:val="18"/>
              </w:rPr>
              <w:t>18,721</w:t>
            </w:r>
          </w:p>
        </w:tc>
        <w:tc>
          <w:tcPr>
            <w:tcW w:w="1132" w:type="dxa"/>
            <w:tcBorders>
              <w:top w:val="single" w:sz="8" w:space="0" w:color="000000"/>
              <w:bottom w:val="single" w:sz="8" w:space="0" w:color="000000"/>
            </w:tcBorders>
          </w:tcPr>
          <w:p w14:paraId="029CA760" w14:textId="77777777" w:rsidR="00FA4AA8" w:rsidRDefault="0015611F">
            <w:pPr>
              <w:pStyle w:val="TableParagraph"/>
              <w:spacing w:before="115" w:line="183" w:lineRule="exact"/>
              <w:ind w:right="84"/>
              <w:jc w:val="right"/>
              <w:rPr>
                <w:b/>
                <w:sz w:val="18"/>
              </w:rPr>
            </w:pPr>
            <w:r>
              <w:rPr>
                <w:b/>
                <w:sz w:val="18"/>
              </w:rPr>
              <w:t>21,308</w:t>
            </w:r>
          </w:p>
        </w:tc>
      </w:tr>
      <w:tr w:rsidR="00FA4AA8" w14:paraId="2465FCC7" w14:textId="77777777">
        <w:trPr>
          <w:trHeight w:val="658"/>
        </w:trPr>
        <w:tc>
          <w:tcPr>
            <w:tcW w:w="349" w:type="dxa"/>
          </w:tcPr>
          <w:p w14:paraId="447722C7" w14:textId="77777777" w:rsidR="00FA4AA8" w:rsidRDefault="00FA4AA8">
            <w:pPr>
              <w:pStyle w:val="TableParagraph"/>
              <w:rPr>
                <w:rFonts w:ascii="Times New Roman"/>
                <w:sz w:val="18"/>
              </w:rPr>
            </w:pPr>
          </w:p>
        </w:tc>
        <w:tc>
          <w:tcPr>
            <w:tcW w:w="3786" w:type="dxa"/>
          </w:tcPr>
          <w:p w14:paraId="297E0755" w14:textId="77777777" w:rsidR="00FA4AA8" w:rsidRDefault="00FA4AA8">
            <w:pPr>
              <w:pStyle w:val="TableParagraph"/>
              <w:rPr>
                <w:sz w:val="20"/>
              </w:rPr>
            </w:pPr>
          </w:p>
          <w:p w14:paraId="62EC15F4" w14:textId="77777777" w:rsidR="00FA4AA8" w:rsidRDefault="00FA4AA8">
            <w:pPr>
              <w:pStyle w:val="TableParagraph"/>
              <w:spacing w:before="8"/>
              <w:rPr>
                <w:sz w:val="17"/>
              </w:rPr>
            </w:pPr>
          </w:p>
          <w:p w14:paraId="161315D3" w14:textId="77777777" w:rsidR="00FA4AA8" w:rsidRDefault="0015611F">
            <w:pPr>
              <w:pStyle w:val="TableParagraph"/>
              <w:spacing w:before="1" w:line="204" w:lineRule="exact"/>
              <w:ind w:left="140"/>
              <w:rPr>
                <w:b/>
                <w:sz w:val="18"/>
              </w:rPr>
            </w:pPr>
            <w:r>
              <w:rPr>
                <w:b/>
                <w:sz w:val="18"/>
              </w:rPr>
              <w:t>At 31 December 2018</w:t>
            </w:r>
          </w:p>
        </w:tc>
        <w:tc>
          <w:tcPr>
            <w:tcW w:w="1170" w:type="dxa"/>
            <w:tcBorders>
              <w:top w:val="single" w:sz="8" w:space="0" w:color="000000"/>
            </w:tcBorders>
          </w:tcPr>
          <w:p w14:paraId="7538ED81" w14:textId="77777777" w:rsidR="00FA4AA8" w:rsidRDefault="00FA4AA8">
            <w:pPr>
              <w:pStyle w:val="TableParagraph"/>
              <w:rPr>
                <w:rFonts w:ascii="Times New Roman"/>
                <w:sz w:val="18"/>
              </w:rPr>
            </w:pPr>
          </w:p>
        </w:tc>
        <w:tc>
          <w:tcPr>
            <w:tcW w:w="1258" w:type="dxa"/>
            <w:tcBorders>
              <w:top w:val="single" w:sz="8" w:space="0" w:color="000000"/>
            </w:tcBorders>
          </w:tcPr>
          <w:p w14:paraId="23FC745D" w14:textId="77777777" w:rsidR="00FA4AA8" w:rsidRDefault="00FA4AA8">
            <w:pPr>
              <w:pStyle w:val="TableParagraph"/>
              <w:rPr>
                <w:rFonts w:ascii="Times New Roman"/>
                <w:sz w:val="18"/>
              </w:rPr>
            </w:pPr>
          </w:p>
        </w:tc>
        <w:tc>
          <w:tcPr>
            <w:tcW w:w="1132" w:type="dxa"/>
            <w:tcBorders>
              <w:top w:val="single" w:sz="8" w:space="0" w:color="000000"/>
            </w:tcBorders>
          </w:tcPr>
          <w:p w14:paraId="2708C910" w14:textId="77777777" w:rsidR="00FA4AA8" w:rsidRDefault="00FA4AA8">
            <w:pPr>
              <w:pStyle w:val="TableParagraph"/>
              <w:rPr>
                <w:rFonts w:ascii="Times New Roman"/>
                <w:sz w:val="18"/>
              </w:rPr>
            </w:pPr>
          </w:p>
        </w:tc>
        <w:tc>
          <w:tcPr>
            <w:tcW w:w="1132" w:type="dxa"/>
            <w:tcBorders>
              <w:top w:val="single" w:sz="8" w:space="0" w:color="000000"/>
            </w:tcBorders>
          </w:tcPr>
          <w:p w14:paraId="171623E9" w14:textId="77777777" w:rsidR="00FA4AA8" w:rsidRDefault="00FA4AA8">
            <w:pPr>
              <w:pStyle w:val="TableParagraph"/>
              <w:rPr>
                <w:rFonts w:ascii="Times New Roman"/>
                <w:sz w:val="18"/>
              </w:rPr>
            </w:pPr>
          </w:p>
        </w:tc>
        <w:tc>
          <w:tcPr>
            <w:tcW w:w="1132" w:type="dxa"/>
            <w:tcBorders>
              <w:top w:val="single" w:sz="8" w:space="0" w:color="000000"/>
            </w:tcBorders>
          </w:tcPr>
          <w:p w14:paraId="476C64DB" w14:textId="77777777" w:rsidR="00FA4AA8" w:rsidRDefault="00FA4AA8">
            <w:pPr>
              <w:pStyle w:val="TableParagraph"/>
              <w:rPr>
                <w:rFonts w:ascii="Times New Roman"/>
                <w:sz w:val="18"/>
              </w:rPr>
            </w:pPr>
          </w:p>
        </w:tc>
      </w:tr>
      <w:tr w:rsidR="00FA4AA8" w14:paraId="423D8E76" w14:textId="77777777">
        <w:trPr>
          <w:trHeight w:val="249"/>
        </w:trPr>
        <w:tc>
          <w:tcPr>
            <w:tcW w:w="349" w:type="dxa"/>
          </w:tcPr>
          <w:p w14:paraId="779F2240" w14:textId="77777777" w:rsidR="00FA4AA8" w:rsidRDefault="00FA4AA8">
            <w:pPr>
              <w:pStyle w:val="TableParagraph"/>
              <w:rPr>
                <w:rFonts w:ascii="Times New Roman"/>
                <w:sz w:val="18"/>
              </w:rPr>
            </w:pPr>
          </w:p>
        </w:tc>
        <w:tc>
          <w:tcPr>
            <w:tcW w:w="3786" w:type="dxa"/>
          </w:tcPr>
          <w:p w14:paraId="2EF1E7CA" w14:textId="77777777" w:rsidR="00FA4AA8" w:rsidRDefault="0015611F">
            <w:pPr>
              <w:pStyle w:val="TableParagraph"/>
              <w:spacing w:before="13"/>
              <w:ind w:left="140"/>
              <w:rPr>
                <w:sz w:val="18"/>
              </w:rPr>
            </w:pPr>
            <w:r>
              <w:rPr>
                <w:sz w:val="18"/>
              </w:rPr>
              <w:t>- Cost</w:t>
            </w:r>
          </w:p>
        </w:tc>
        <w:tc>
          <w:tcPr>
            <w:tcW w:w="1170" w:type="dxa"/>
          </w:tcPr>
          <w:p w14:paraId="1155F1A6" w14:textId="77777777" w:rsidR="00FA4AA8" w:rsidRDefault="0015611F">
            <w:pPr>
              <w:pStyle w:val="TableParagraph"/>
              <w:spacing w:before="11"/>
              <w:ind w:right="124"/>
              <w:jc w:val="right"/>
              <w:rPr>
                <w:b/>
                <w:sz w:val="18"/>
              </w:rPr>
            </w:pPr>
            <w:r>
              <w:rPr>
                <w:b/>
                <w:sz w:val="18"/>
              </w:rPr>
              <w:t>3,637</w:t>
            </w:r>
          </w:p>
        </w:tc>
        <w:tc>
          <w:tcPr>
            <w:tcW w:w="1258" w:type="dxa"/>
          </w:tcPr>
          <w:p w14:paraId="292428CD" w14:textId="77777777" w:rsidR="00FA4AA8" w:rsidRDefault="0015611F">
            <w:pPr>
              <w:pStyle w:val="TableParagraph"/>
              <w:spacing w:before="11"/>
              <w:ind w:right="86"/>
              <w:jc w:val="right"/>
              <w:rPr>
                <w:b/>
                <w:sz w:val="18"/>
              </w:rPr>
            </w:pPr>
            <w:r>
              <w:rPr>
                <w:b/>
                <w:sz w:val="18"/>
              </w:rPr>
              <w:t>-</w:t>
            </w:r>
          </w:p>
        </w:tc>
        <w:tc>
          <w:tcPr>
            <w:tcW w:w="1132" w:type="dxa"/>
          </w:tcPr>
          <w:p w14:paraId="6B3DFC7D" w14:textId="77777777" w:rsidR="00FA4AA8" w:rsidRDefault="0015611F">
            <w:pPr>
              <w:pStyle w:val="TableParagraph"/>
              <w:spacing w:before="11"/>
              <w:ind w:right="85"/>
              <w:jc w:val="right"/>
              <w:rPr>
                <w:b/>
                <w:sz w:val="18"/>
              </w:rPr>
            </w:pPr>
            <w:r>
              <w:rPr>
                <w:b/>
                <w:sz w:val="18"/>
              </w:rPr>
              <w:t>316</w:t>
            </w:r>
          </w:p>
        </w:tc>
        <w:tc>
          <w:tcPr>
            <w:tcW w:w="1132" w:type="dxa"/>
          </w:tcPr>
          <w:p w14:paraId="440C3435" w14:textId="77777777" w:rsidR="00FA4AA8" w:rsidRDefault="0015611F">
            <w:pPr>
              <w:pStyle w:val="TableParagraph"/>
              <w:spacing w:before="11"/>
              <w:ind w:right="84"/>
              <w:jc w:val="right"/>
              <w:rPr>
                <w:b/>
                <w:sz w:val="18"/>
              </w:rPr>
            </w:pPr>
            <w:r>
              <w:rPr>
                <w:b/>
                <w:sz w:val="18"/>
              </w:rPr>
              <w:t>26,189</w:t>
            </w:r>
          </w:p>
        </w:tc>
        <w:tc>
          <w:tcPr>
            <w:tcW w:w="1132" w:type="dxa"/>
          </w:tcPr>
          <w:p w14:paraId="233BA534" w14:textId="77777777" w:rsidR="00FA4AA8" w:rsidRDefault="0015611F">
            <w:pPr>
              <w:pStyle w:val="TableParagraph"/>
              <w:spacing w:before="11"/>
              <w:ind w:right="84"/>
              <w:jc w:val="right"/>
              <w:rPr>
                <w:b/>
                <w:sz w:val="18"/>
              </w:rPr>
            </w:pPr>
            <w:r>
              <w:rPr>
                <w:b/>
                <w:sz w:val="18"/>
              </w:rPr>
              <w:t>30,142</w:t>
            </w:r>
          </w:p>
        </w:tc>
      </w:tr>
      <w:tr w:rsidR="00FA4AA8" w14:paraId="7502E981" w14:textId="77777777">
        <w:trPr>
          <w:trHeight w:val="459"/>
        </w:trPr>
        <w:tc>
          <w:tcPr>
            <w:tcW w:w="349" w:type="dxa"/>
          </w:tcPr>
          <w:p w14:paraId="4E8F2526" w14:textId="77777777" w:rsidR="00FA4AA8" w:rsidRDefault="00FA4AA8">
            <w:pPr>
              <w:pStyle w:val="TableParagraph"/>
              <w:rPr>
                <w:rFonts w:ascii="Times New Roman"/>
                <w:sz w:val="18"/>
              </w:rPr>
            </w:pPr>
          </w:p>
        </w:tc>
        <w:tc>
          <w:tcPr>
            <w:tcW w:w="3786" w:type="dxa"/>
          </w:tcPr>
          <w:p w14:paraId="64910C4D" w14:textId="77777777" w:rsidR="00FA4AA8" w:rsidRDefault="0015611F">
            <w:pPr>
              <w:pStyle w:val="TableParagraph"/>
              <w:spacing w:before="23"/>
              <w:ind w:left="140" w:right="244"/>
              <w:rPr>
                <w:sz w:val="18"/>
              </w:rPr>
            </w:pPr>
            <w:r>
              <w:rPr>
                <w:sz w:val="18"/>
              </w:rPr>
              <w:t>- Accumulated amortisation and impairment</w:t>
            </w:r>
          </w:p>
        </w:tc>
        <w:tc>
          <w:tcPr>
            <w:tcW w:w="1170" w:type="dxa"/>
            <w:tcBorders>
              <w:bottom w:val="single" w:sz="8" w:space="0" w:color="000000"/>
            </w:tcBorders>
          </w:tcPr>
          <w:p w14:paraId="2B91DC96" w14:textId="77777777" w:rsidR="00FA4AA8" w:rsidRDefault="00FA4AA8">
            <w:pPr>
              <w:pStyle w:val="TableParagraph"/>
              <w:spacing w:before="8"/>
              <w:rPr>
                <w:sz w:val="19"/>
              </w:rPr>
            </w:pPr>
          </w:p>
          <w:p w14:paraId="15C82E93" w14:textId="77777777" w:rsidR="00FA4AA8" w:rsidRDefault="0015611F">
            <w:pPr>
              <w:pStyle w:val="TableParagraph"/>
              <w:ind w:right="63"/>
              <w:jc w:val="right"/>
              <w:rPr>
                <w:b/>
                <w:sz w:val="18"/>
              </w:rPr>
            </w:pPr>
            <w:r>
              <w:rPr>
                <w:b/>
                <w:sz w:val="18"/>
              </w:rPr>
              <w:t>(1,212)</w:t>
            </w:r>
          </w:p>
        </w:tc>
        <w:tc>
          <w:tcPr>
            <w:tcW w:w="1258" w:type="dxa"/>
            <w:tcBorders>
              <w:bottom w:val="single" w:sz="8" w:space="0" w:color="000000"/>
            </w:tcBorders>
          </w:tcPr>
          <w:p w14:paraId="3BAF8D34" w14:textId="77777777" w:rsidR="00FA4AA8" w:rsidRDefault="00FA4AA8">
            <w:pPr>
              <w:pStyle w:val="TableParagraph"/>
              <w:spacing w:before="8"/>
              <w:rPr>
                <w:sz w:val="19"/>
              </w:rPr>
            </w:pPr>
          </w:p>
          <w:p w14:paraId="58C8C886" w14:textId="77777777" w:rsidR="00FA4AA8" w:rsidRDefault="0015611F">
            <w:pPr>
              <w:pStyle w:val="TableParagraph"/>
              <w:ind w:right="86"/>
              <w:jc w:val="right"/>
              <w:rPr>
                <w:b/>
                <w:sz w:val="18"/>
              </w:rPr>
            </w:pPr>
            <w:r>
              <w:rPr>
                <w:b/>
                <w:sz w:val="18"/>
              </w:rPr>
              <w:t>-</w:t>
            </w:r>
          </w:p>
        </w:tc>
        <w:tc>
          <w:tcPr>
            <w:tcW w:w="1132" w:type="dxa"/>
            <w:tcBorders>
              <w:bottom w:val="single" w:sz="8" w:space="0" w:color="000000"/>
            </w:tcBorders>
          </w:tcPr>
          <w:p w14:paraId="29C1A535" w14:textId="77777777" w:rsidR="00FA4AA8" w:rsidRDefault="00FA4AA8">
            <w:pPr>
              <w:pStyle w:val="TableParagraph"/>
              <w:spacing w:before="8"/>
              <w:rPr>
                <w:sz w:val="19"/>
              </w:rPr>
            </w:pPr>
          </w:p>
          <w:p w14:paraId="04EBA4A5" w14:textId="77777777" w:rsidR="00FA4AA8" w:rsidRDefault="0015611F">
            <w:pPr>
              <w:pStyle w:val="TableParagraph"/>
              <w:ind w:right="25"/>
              <w:jc w:val="right"/>
              <w:rPr>
                <w:b/>
                <w:sz w:val="18"/>
              </w:rPr>
            </w:pPr>
            <w:r>
              <w:rPr>
                <w:b/>
                <w:sz w:val="18"/>
              </w:rPr>
              <w:t>(154)</w:t>
            </w:r>
          </w:p>
        </w:tc>
        <w:tc>
          <w:tcPr>
            <w:tcW w:w="1132" w:type="dxa"/>
            <w:tcBorders>
              <w:bottom w:val="single" w:sz="8" w:space="0" w:color="000000"/>
            </w:tcBorders>
          </w:tcPr>
          <w:p w14:paraId="5F17FEDE" w14:textId="77777777" w:rsidR="00FA4AA8" w:rsidRDefault="00FA4AA8">
            <w:pPr>
              <w:pStyle w:val="TableParagraph"/>
              <w:spacing w:before="8"/>
              <w:rPr>
                <w:sz w:val="19"/>
              </w:rPr>
            </w:pPr>
          </w:p>
          <w:p w14:paraId="36997BF1" w14:textId="77777777" w:rsidR="00FA4AA8" w:rsidRDefault="0015611F">
            <w:pPr>
              <w:pStyle w:val="TableParagraph"/>
              <w:ind w:right="24"/>
              <w:jc w:val="right"/>
              <w:rPr>
                <w:b/>
                <w:sz w:val="18"/>
              </w:rPr>
            </w:pPr>
            <w:r>
              <w:rPr>
                <w:b/>
                <w:sz w:val="18"/>
              </w:rPr>
              <w:t>(7,468)</w:t>
            </w:r>
          </w:p>
        </w:tc>
        <w:tc>
          <w:tcPr>
            <w:tcW w:w="1132" w:type="dxa"/>
            <w:tcBorders>
              <w:bottom w:val="single" w:sz="8" w:space="0" w:color="000000"/>
            </w:tcBorders>
          </w:tcPr>
          <w:p w14:paraId="3934989B" w14:textId="77777777" w:rsidR="00FA4AA8" w:rsidRDefault="00FA4AA8">
            <w:pPr>
              <w:pStyle w:val="TableParagraph"/>
              <w:spacing w:before="8"/>
              <w:rPr>
                <w:sz w:val="19"/>
              </w:rPr>
            </w:pPr>
          </w:p>
          <w:p w14:paraId="31CF33CC" w14:textId="77777777" w:rsidR="00FA4AA8" w:rsidRDefault="0015611F">
            <w:pPr>
              <w:pStyle w:val="TableParagraph"/>
              <w:ind w:right="23"/>
              <w:jc w:val="right"/>
              <w:rPr>
                <w:b/>
                <w:sz w:val="18"/>
              </w:rPr>
            </w:pPr>
            <w:r>
              <w:rPr>
                <w:b/>
                <w:sz w:val="18"/>
              </w:rPr>
              <w:t>(8,834)</w:t>
            </w:r>
          </w:p>
        </w:tc>
      </w:tr>
      <w:tr w:rsidR="00FA4AA8" w14:paraId="6AF0CCEC" w14:textId="77777777">
        <w:trPr>
          <w:trHeight w:val="352"/>
        </w:trPr>
        <w:tc>
          <w:tcPr>
            <w:tcW w:w="349" w:type="dxa"/>
          </w:tcPr>
          <w:p w14:paraId="0BC4F63F" w14:textId="77777777" w:rsidR="00FA4AA8" w:rsidRDefault="00FA4AA8">
            <w:pPr>
              <w:pStyle w:val="TableParagraph"/>
              <w:rPr>
                <w:rFonts w:ascii="Times New Roman"/>
                <w:sz w:val="18"/>
              </w:rPr>
            </w:pPr>
          </w:p>
        </w:tc>
        <w:tc>
          <w:tcPr>
            <w:tcW w:w="3786" w:type="dxa"/>
          </w:tcPr>
          <w:p w14:paraId="1E279672" w14:textId="77777777" w:rsidR="00FA4AA8" w:rsidRDefault="0015611F">
            <w:pPr>
              <w:pStyle w:val="TableParagraph"/>
              <w:spacing w:before="115"/>
              <w:ind w:left="140"/>
              <w:rPr>
                <w:b/>
                <w:sz w:val="18"/>
              </w:rPr>
            </w:pPr>
            <w:r>
              <w:rPr>
                <w:b/>
                <w:sz w:val="18"/>
              </w:rPr>
              <w:t>Net book amount at 31 December 2018</w:t>
            </w:r>
          </w:p>
        </w:tc>
        <w:tc>
          <w:tcPr>
            <w:tcW w:w="1170" w:type="dxa"/>
            <w:tcBorders>
              <w:top w:val="single" w:sz="8" w:space="0" w:color="000000"/>
              <w:bottom w:val="single" w:sz="2" w:space="0" w:color="000000"/>
            </w:tcBorders>
          </w:tcPr>
          <w:p w14:paraId="6FC358CC" w14:textId="77777777" w:rsidR="00FA4AA8" w:rsidRDefault="0015611F">
            <w:pPr>
              <w:pStyle w:val="TableParagraph"/>
              <w:spacing w:before="115"/>
              <w:ind w:right="124"/>
              <w:jc w:val="right"/>
              <w:rPr>
                <w:b/>
                <w:sz w:val="18"/>
              </w:rPr>
            </w:pPr>
            <w:r>
              <w:rPr>
                <w:b/>
                <w:sz w:val="18"/>
              </w:rPr>
              <w:t>2,425</w:t>
            </w:r>
          </w:p>
        </w:tc>
        <w:tc>
          <w:tcPr>
            <w:tcW w:w="1258" w:type="dxa"/>
            <w:tcBorders>
              <w:top w:val="single" w:sz="8" w:space="0" w:color="000000"/>
              <w:bottom w:val="single" w:sz="6" w:space="0" w:color="000000"/>
            </w:tcBorders>
          </w:tcPr>
          <w:p w14:paraId="34326B98" w14:textId="77777777" w:rsidR="00FA4AA8" w:rsidRDefault="0015611F">
            <w:pPr>
              <w:pStyle w:val="TableParagraph"/>
              <w:spacing w:before="115"/>
              <w:ind w:right="86"/>
              <w:jc w:val="right"/>
              <w:rPr>
                <w:b/>
                <w:sz w:val="18"/>
              </w:rPr>
            </w:pPr>
            <w:r>
              <w:rPr>
                <w:b/>
                <w:sz w:val="18"/>
              </w:rPr>
              <w:t>-</w:t>
            </w:r>
          </w:p>
        </w:tc>
        <w:tc>
          <w:tcPr>
            <w:tcW w:w="1132" w:type="dxa"/>
            <w:tcBorders>
              <w:top w:val="single" w:sz="8" w:space="0" w:color="000000"/>
              <w:bottom w:val="single" w:sz="2" w:space="0" w:color="000000"/>
            </w:tcBorders>
          </w:tcPr>
          <w:p w14:paraId="0D5665D6" w14:textId="77777777" w:rsidR="00FA4AA8" w:rsidRDefault="0015611F">
            <w:pPr>
              <w:pStyle w:val="TableParagraph"/>
              <w:spacing w:before="115"/>
              <w:ind w:right="85"/>
              <w:jc w:val="right"/>
              <w:rPr>
                <w:b/>
                <w:sz w:val="18"/>
              </w:rPr>
            </w:pPr>
            <w:r>
              <w:rPr>
                <w:b/>
                <w:sz w:val="18"/>
              </w:rPr>
              <w:t>162</w:t>
            </w:r>
          </w:p>
        </w:tc>
        <w:tc>
          <w:tcPr>
            <w:tcW w:w="1132" w:type="dxa"/>
            <w:tcBorders>
              <w:top w:val="single" w:sz="8" w:space="0" w:color="000000"/>
              <w:bottom w:val="single" w:sz="6" w:space="0" w:color="000000"/>
            </w:tcBorders>
          </w:tcPr>
          <w:p w14:paraId="468D7E63" w14:textId="77777777" w:rsidR="00FA4AA8" w:rsidRDefault="0015611F">
            <w:pPr>
              <w:pStyle w:val="TableParagraph"/>
              <w:spacing w:before="115"/>
              <w:ind w:right="84"/>
              <w:jc w:val="right"/>
              <w:rPr>
                <w:b/>
                <w:sz w:val="18"/>
              </w:rPr>
            </w:pPr>
            <w:r>
              <w:rPr>
                <w:b/>
                <w:sz w:val="18"/>
              </w:rPr>
              <w:t>18,721</w:t>
            </w:r>
          </w:p>
        </w:tc>
        <w:tc>
          <w:tcPr>
            <w:tcW w:w="1132" w:type="dxa"/>
            <w:tcBorders>
              <w:top w:val="single" w:sz="8" w:space="0" w:color="000000"/>
              <w:bottom w:val="single" w:sz="6" w:space="0" w:color="000000"/>
            </w:tcBorders>
          </w:tcPr>
          <w:p w14:paraId="3D3665EB" w14:textId="77777777" w:rsidR="00FA4AA8" w:rsidRDefault="0015611F">
            <w:pPr>
              <w:pStyle w:val="TableParagraph"/>
              <w:spacing w:before="115"/>
              <w:ind w:right="84"/>
              <w:jc w:val="right"/>
              <w:rPr>
                <w:b/>
                <w:sz w:val="18"/>
              </w:rPr>
            </w:pPr>
            <w:r>
              <w:rPr>
                <w:b/>
                <w:sz w:val="18"/>
              </w:rPr>
              <w:t>21,308</w:t>
            </w:r>
          </w:p>
        </w:tc>
      </w:tr>
      <w:tr w:rsidR="00FA4AA8" w14:paraId="3949D531" w14:textId="77777777">
        <w:trPr>
          <w:trHeight w:val="634"/>
        </w:trPr>
        <w:tc>
          <w:tcPr>
            <w:tcW w:w="349" w:type="dxa"/>
          </w:tcPr>
          <w:p w14:paraId="32F270CC" w14:textId="77777777" w:rsidR="00FA4AA8" w:rsidRDefault="00FA4AA8">
            <w:pPr>
              <w:pStyle w:val="TableParagraph"/>
              <w:rPr>
                <w:rFonts w:ascii="Times New Roman"/>
                <w:sz w:val="18"/>
              </w:rPr>
            </w:pPr>
          </w:p>
        </w:tc>
        <w:tc>
          <w:tcPr>
            <w:tcW w:w="3786" w:type="dxa"/>
          </w:tcPr>
          <w:p w14:paraId="19DE0DB7" w14:textId="77777777" w:rsidR="00FA4AA8" w:rsidRDefault="00FA4AA8">
            <w:pPr>
              <w:pStyle w:val="TableParagraph"/>
              <w:spacing w:before="10"/>
              <w:rPr>
                <w:sz w:val="26"/>
              </w:rPr>
            </w:pPr>
          </w:p>
          <w:p w14:paraId="76C0E385" w14:textId="77777777" w:rsidR="00FA4AA8" w:rsidRDefault="0015611F">
            <w:pPr>
              <w:pStyle w:val="TableParagraph"/>
              <w:ind w:left="97"/>
              <w:rPr>
                <w:i/>
                <w:sz w:val="18"/>
              </w:rPr>
            </w:pPr>
            <w:r>
              <w:rPr>
                <w:i/>
                <w:sz w:val="18"/>
                <w:u w:val="single"/>
              </w:rPr>
              <w:t>Accounting Policy</w:t>
            </w:r>
          </w:p>
        </w:tc>
        <w:tc>
          <w:tcPr>
            <w:tcW w:w="1170" w:type="dxa"/>
            <w:tcBorders>
              <w:top w:val="single" w:sz="2" w:space="0" w:color="000000"/>
            </w:tcBorders>
          </w:tcPr>
          <w:p w14:paraId="60E54E70" w14:textId="77777777" w:rsidR="00FA4AA8" w:rsidRDefault="00FA4AA8">
            <w:pPr>
              <w:pStyle w:val="TableParagraph"/>
              <w:rPr>
                <w:rFonts w:ascii="Times New Roman"/>
                <w:sz w:val="18"/>
              </w:rPr>
            </w:pPr>
          </w:p>
        </w:tc>
        <w:tc>
          <w:tcPr>
            <w:tcW w:w="1258" w:type="dxa"/>
            <w:tcBorders>
              <w:top w:val="single" w:sz="6" w:space="0" w:color="000000"/>
            </w:tcBorders>
          </w:tcPr>
          <w:p w14:paraId="57FF18E5" w14:textId="77777777" w:rsidR="00FA4AA8" w:rsidRDefault="00FA4AA8">
            <w:pPr>
              <w:pStyle w:val="TableParagraph"/>
              <w:rPr>
                <w:rFonts w:ascii="Times New Roman"/>
                <w:sz w:val="18"/>
              </w:rPr>
            </w:pPr>
          </w:p>
        </w:tc>
        <w:tc>
          <w:tcPr>
            <w:tcW w:w="1132" w:type="dxa"/>
            <w:tcBorders>
              <w:top w:val="single" w:sz="2" w:space="0" w:color="000000"/>
            </w:tcBorders>
          </w:tcPr>
          <w:p w14:paraId="706AECD8" w14:textId="77777777" w:rsidR="00FA4AA8" w:rsidRDefault="00FA4AA8">
            <w:pPr>
              <w:pStyle w:val="TableParagraph"/>
              <w:rPr>
                <w:rFonts w:ascii="Times New Roman"/>
                <w:sz w:val="18"/>
              </w:rPr>
            </w:pPr>
          </w:p>
        </w:tc>
        <w:tc>
          <w:tcPr>
            <w:tcW w:w="1132" w:type="dxa"/>
            <w:tcBorders>
              <w:top w:val="single" w:sz="6" w:space="0" w:color="000000"/>
            </w:tcBorders>
          </w:tcPr>
          <w:p w14:paraId="510D0AA3" w14:textId="77777777" w:rsidR="00FA4AA8" w:rsidRDefault="00FA4AA8">
            <w:pPr>
              <w:pStyle w:val="TableParagraph"/>
              <w:rPr>
                <w:rFonts w:ascii="Times New Roman"/>
                <w:sz w:val="18"/>
              </w:rPr>
            </w:pPr>
          </w:p>
        </w:tc>
        <w:tc>
          <w:tcPr>
            <w:tcW w:w="1132" w:type="dxa"/>
            <w:tcBorders>
              <w:top w:val="single" w:sz="6" w:space="0" w:color="000000"/>
            </w:tcBorders>
          </w:tcPr>
          <w:p w14:paraId="7C5DE5E7" w14:textId="77777777" w:rsidR="00FA4AA8" w:rsidRDefault="00FA4AA8">
            <w:pPr>
              <w:pStyle w:val="TableParagraph"/>
              <w:rPr>
                <w:rFonts w:ascii="Times New Roman"/>
                <w:sz w:val="18"/>
              </w:rPr>
            </w:pPr>
          </w:p>
        </w:tc>
      </w:tr>
      <w:tr w:rsidR="00FA4AA8" w14:paraId="3463E49F" w14:textId="77777777">
        <w:trPr>
          <w:trHeight w:val="318"/>
        </w:trPr>
        <w:tc>
          <w:tcPr>
            <w:tcW w:w="349" w:type="dxa"/>
          </w:tcPr>
          <w:p w14:paraId="60847F75" w14:textId="77777777" w:rsidR="00FA4AA8" w:rsidRDefault="00FA4AA8">
            <w:pPr>
              <w:pStyle w:val="TableParagraph"/>
              <w:rPr>
                <w:rFonts w:ascii="Times New Roman"/>
                <w:sz w:val="18"/>
              </w:rPr>
            </w:pPr>
          </w:p>
        </w:tc>
        <w:tc>
          <w:tcPr>
            <w:tcW w:w="3786" w:type="dxa"/>
          </w:tcPr>
          <w:p w14:paraId="561A905B" w14:textId="77777777" w:rsidR="00FA4AA8" w:rsidRDefault="0015611F">
            <w:pPr>
              <w:pStyle w:val="TableParagraph"/>
              <w:spacing w:before="112" w:line="187" w:lineRule="exact"/>
              <w:ind w:left="97"/>
              <w:rPr>
                <w:b/>
                <w:sz w:val="18"/>
              </w:rPr>
            </w:pPr>
            <w:r>
              <w:rPr>
                <w:b/>
                <w:sz w:val="18"/>
              </w:rPr>
              <w:t>Trademarks and licences</w:t>
            </w:r>
          </w:p>
        </w:tc>
        <w:tc>
          <w:tcPr>
            <w:tcW w:w="1170" w:type="dxa"/>
          </w:tcPr>
          <w:p w14:paraId="5420DFA1" w14:textId="77777777" w:rsidR="00FA4AA8" w:rsidRDefault="00FA4AA8">
            <w:pPr>
              <w:pStyle w:val="TableParagraph"/>
              <w:rPr>
                <w:rFonts w:ascii="Times New Roman"/>
                <w:sz w:val="18"/>
              </w:rPr>
            </w:pPr>
          </w:p>
        </w:tc>
        <w:tc>
          <w:tcPr>
            <w:tcW w:w="1258" w:type="dxa"/>
          </w:tcPr>
          <w:p w14:paraId="0C3004E6" w14:textId="77777777" w:rsidR="00FA4AA8" w:rsidRDefault="00FA4AA8">
            <w:pPr>
              <w:pStyle w:val="TableParagraph"/>
              <w:rPr>
                <w:rFonts w:ascii="Times New Roman"/>
                <w:sz w:val="18"/>
              </w:rPr>
            </w:pPr>
          </w:p>
        </w:tc>
        <w:tc>
          <w:tcPr>
            <w:tcW w:w="1132" w:type="dxa"/>
          </w:tcPr>
          <w:p w14:paraId="2938A421" w14:textId="77777777" w:rsidR="00FA4AA8" w:rsidRDefault="00FA4AA8">
            <w:pPr>
              <w:pStyle w:val="TableParagraph"/>
              <w:rPr>
                <w:rFonts w:ascii="Times New Roman"/>
                <w:sz w:val="18"/>
              </w:rPr>
            </w:pPr>
          </w:p>
        </w:tc>
        <w:tc>
          <w:tcPr>
            <w:tcW w:w="1132" w:type="dxa"/>
          </w:tcPr>
          <w:p w14:paraId="7CFD3EC8" w14:textId="77777777" w:rsidR="00FA4AA8" w:rsidRDefault="00FA4AA8">
            <w:pPr>
              <w:pStyle w:val="TableParagraph"/>
              <w:rPr>
                <w:rFonts w:ascii="Times New Roman"/>
                <w:sz w:val="18"/>
              </w:rPr>
            </w:pPr>
          </w:p>
        </w:tc>
        <w:tc>
          <w:tcPr>
            <w:tcW w:w="1132" w:type="dxa"/>
          </w:tcPr>
          <w:p w14:paraId="1A5E72B9" w14:textId="77777777" w:rsidR="00FA4AA8" w:rsidRDefault="00FA4AA8">
            <w:pPr>
              <w:pStyle w:val="TableParagraph"/>
              <w:rPr>
                <w:rFonts w:ascii="Times New Roman"/>
                <w:sz w:val="18"/>
              </w:rPr>
            </w:pPr>
          </w:p>
        </w:tc>
      </w:tr>
    </w:tbl>
    <w:p w14:paraId="77467130" w14:textId="77777777" w:rsidR="00FA4AA8" w:rsidRDefault="00FA4AA8">
      <w:pPr>
        <w:pStyle w:val="BodyText"/>
        <w:spacing w:before="9"/>
        <w:rPr>
          <w:sz w:val="16"/>
        </w:rPr>
      </w:pPr>
    </w:p>
    <w:p w14:paraId="64713EF0" w14:textId="77777777" w:rsidR="00FA4AA8" w:rsidRDefault="007E2441">
      <w:pPr>
        <w:pStyle w:val="BodyText"/>
        <w:spacing w:before="94"/>
        <w:ind w:left="564" w:right="132"/>
      </w:pPr>
      <w:r>
        <w:rPr>
          <w:noProof/>
          <w:lang w:val="en-AU" w:eastAsia="en-AU"/>
        </w:rPr>
        <mc:AlternateContent>
          <mc:Choice Requires="wpg">
            <w:drawing>
              <wp:anchor distT="0" distB="0" distL="114300" distR="114300" simplePos="0" relativeHeight="462734336" behindDoc="1" locked="0" layoutInCell="1" allowOverlap="1" wp14:anchorId="2A089ACB" wp14:editId="27271A11">
                <wp:simplePos x="0" y="0"/>
                <wp:positionH relativeFrom="page">
                  <wp:posOffset>3234055</wp:posOffset>
                </wp:positionH>
                <wp:positionV relativeFrom="paragraph">
                  <wp:posOffset>-758825</wp:posOffset>
                </wp:positionV>
                <wp:extent cx="2516505" cy="18415"/>
                <wp:effectExtent l="0" t="0" r="0" b="0"/>
                <wp:wrapNone/>
                <wp:docPr id="2700" name="Group 2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6505" cy="18415"/>
                          <a:chOff x="5093" y="-1195"/>
                          <a:chExt cx="5828" cy="44"/>
                        </a:xfrm>
                      </wpg:grpSpPr>
                      <wps:wsp>
                        <wps:cNvPr id="2701" name="Line 2501"/>
                        <wps:cNvCnPr>
                          <a:cxnSpLocks noChangeShapeType="1"/>
                        </wps:cNvCnPr>
                        <wps:spPr bwMode="auto">
                          <a:xfrm>
                            <a:off x="5093" y="-1194"/>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702" name="Line 2500"/>
                        <wps:cNvCnPr>
                          <a:cxnSpLocks noChangeShapeType="1"/>
                        </wps:cNvCnPr>
                        <wps:spPr bwMode="auto">
                          <a:xfrm>
                            <a:off x="5093" y="-1192"/>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703" name="Line 2499"/>
                        <wps:cNvCnPr>
                          <a:cxnSpLocks noChangeShapeType="1"/>
                        </wps:cNvCnPr>
                        <wps:spPr bwMode="auto">
                          <a:xfrm>
                            <a:off x="5093" y="-1189"/>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704" name="Line 2498"/>
                        <wps:cNvCnPr>
                          <a:cxnSpLocks noChangeShapeType="1"/>
                        </wps:cNvCnPr>
                        <wps:spPr bwMode="auto">
                          <a:xfrm>
                            <a:off x="5093" y="-1187"/>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705" name="Line 2497"/>
                        <wps:cNvCnPr>
                          <a:cxnSpLocks noChangeShapeType="1"/>
                        </wps:cNvCnPr>
                        <wps:spPr bwMode="auto">
                          <a:xfrm>
                            <a:off x="5093" y="-1184"/>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706" name="Line 2496"/>
                        <wps:cNvCnPr>
                          <a:cxnSpLocks noChangeShapeType="1"/>
                        </wps:cNvCnPr>
                        <wps:spPr bwMode="auto">
                          <a:xfrm>
                            <a:off x="5093" y="-1182"/>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707" name="Line 2495"/>
                        <wps:cNvCnPr>
                          <a:cxnSpLocks noChangeShapeType="1"/>
                        </wps:cNvCnPr>
                        <wps:spPr bwMode="auto">
                          <a:xfrm>
                            <a:off x="5093" y="-1160"/>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708" name="Line 2494"/>
                        <wps:cNvCnPr>
                          <a:cxnSpLocks noChangeShapeType="1"/>
                        </wps:cNvCnPr>
                        <wps:spPr bwMode="auto">
                          <a:xfrm>
                            <a:off x="5093" y="-1158"/>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709" name="Line 2493"/>
                        <wps:cNvCnPr>
                          <a:cxnSpLocks noChangeShapeType="1"/>
                        </wps:cNvCnPr>
                        <wps:spPr bwMode="auto">
                          <a:xfrm>
                            <a:off x="5093" y="-1156"/>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710" name="Line 2492"/>
                        <wps:cNvCnPr>
                          <a:cxnSpLocks noChangeShapeType="1"/>
                        </wps:cNvCnPr>
                        <wps:spPr bwMode="auto">
                          <a:xfrm>
                            <a:off x="5093" y="-1153"/>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711" name="Line 2491"/>
                        <wps:cNvCnPr>
                          <a:cxnSpLocks noChangeShapeType="1"/>
                        </wps:cNvCnPr>
                        <wps:spPr bwMode="auto">
                          <a:xfrm>
                            <a:off x="6226" y="-1194"/>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712" name="Line 2490"/>
                        <wps:cNvCnPr>
                          <a:cxnSpLocks noChangeShapeType="1"/>
                        </wps:cNvCnPr>
                        <wps:spPr bwMode="auto">
                          <a:xfrm>
                            <a:off x="6226" y="-1192"/>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713" name="Line 2489"/>
                        <wps:cNvCnPr>
                          <a:cxnSpLocks noChangeShapeType="1"/>
                        </wps:cNvCnPr>
                        <wps:spPr bwMode="auto">
                          <a:xfrm>
                            <a:off x="6226" y="-1189"/>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714" name="Line 2488"/>
                        <wps:cNvCnPr>
                          <a:cxnSpLocks noChangeShapeType="1"/>
                        </wps:cNvCnPr>
                        <wps:spPr bwMode="auto">
                          <a:xfrm>
                            <a:off x="6226" y="-1187"/>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715" name="Line 2487"/>
                        <wps:cNvCnPr>
                          <a:cxnSpLocks noChangeShapeType="1"/>
                        </wps:cNvCnPr>
                        <wps:spPr bwMode="auto">
                          <a:xfrm>
                            <a:off x="6226" y="-1184"/>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716" name="Line 2486"/>
                        <wps:cNvCnPr>
                          <a:cxnSpLocks noChangeShapeType="1"/>
                        </wps:cNvCnPr>
                        <wps:spPr bwMode="auto">
                          <a:xfrm>
                            <a:off x="6226" y="-1182"/>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717" name="Line 2485"/>
                        <wps:cNvCnPr>
                          <a:cxnSpLocks noChangeShapeType="1"/>
                        </wps:cNvCnPr>
                        <wps:spPr bwMode="auto">
                          <a:xfrm>
                            <a:off x="7522" y="-1194"/>
                            <a:ext cx="1132"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718" name="Line 2484"/>
                        <wps:cNvCnPr>
                          <a:cxnSpLocks noChangeShapeType="1"/>
                        </wps:cNvCnPr>
                        <wps:spPr bwMode="auto">
                          <a:xfrm>
                            <a:off x="7522" y="-1192"/>
                            <a:ext cx="1132"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719" name="Line 2483"/>
                        <wps:cNvCnPr>
                          <a:cxnSpLocks noChangeShapeType="1"/>
                        </wps:cNvCnPr>
                        <wps:spPr bwMode="auto">
                          <a:xfrm>
                            <a:off x="7522" y="-1189"/>
                            <a:ext cx="1132"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720" name="Line 2482"/>
                        <wps:cNvCnPr>
                          <a:cxnSpLocks noChangeShapeType="1"/>
                        </wps:cNvCnPr>
                        <wps:spPr bwMode="auto">
                          <a:xfrm>
                            <a:off x="7522" y="-1187"/>
                            <a:ext cx="1132"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721" name="Line 2481"/>
                        <wps:cNvCnPr>
                          <a:cxnSpLocks noChangeShapeType="1"/>
                        </wps:cNvCnPr>
                        <wps:spPr bwMode="auto">
                          <a:xfrm>
                            <a:off x="7522" y="-1184"/>
                            <a:ext cx="1132"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722" name="Line 2480"/>
                        <wps:cNvCnPr>
                          <a:cxnSpLocks noChangeShapeType="1"/>
                        </wps:cNvCnPr>
                        <wps:spPr bwMode="auto">
                          <a:xfrm>
                            <a:off x="7522" y="-1182"/>
                            <a:ext cx="1132"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723" name="Line 2479"/>
                        <wps:cNvCnPr>
                          <a:cxnSpLocks noChangeShapeType="1"/>
                        </wps:cNvCnPr>
                        <wps:spPr bwMode="auto">
                          <a:xfrm>
                            <a:off x="7522" y="-1153"/>
                            <a:ext cx="1132"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724" name="Line 2478"/>
                        <wps:cNvCnPr>
                          <a:cxnSpLocks noChangeShapeType="1"/>
                        </wps:cNvCnPr>
                        <wps:spPr bwMode="auto">
                          <a:xfrm>
                            <a:off x="8654" y="-1194"/>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725" name="Line 2477"/>
                        <wps:cNvCnPr>
                          <a:cxnSpLocks noChangeShapeType="1"/>
                        </wps:cNvCnPr>
                        <wps:spPr bwMode="auto">
                          <a:xfrm>
                            <a:off x="8654" y="-1192"/>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726" name="Line 2476"/>
                        <wps:cNvCnPr>
                          <a:cxnSpLocks noChangeShapeType="1"/>
                        </wps:cNvCnPr>
                        <wps:spPr bwMode="auto">
                          <a:xfrm>
                            <a:off x="8654" y="-1189"/>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727" name="Line 2475"/>
                        <wps:cNvCnPr>
                          <a:cxnSpLocks noChangeShapeType="1"/>
                        </wps:cNvCnPr>
                        <wps:spPr bwMode="auto">
                          <a:xfrm>
                            <a:off x="8654" y="-1187"/>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728" name="Line 2474"/>
                        <wps:cNvCnPr>
                          <a:cxnSpLocks noChangeShapeType="1"/>
                        </wps:cNvCnPr>
                        <wps:spPr bwMode="auto">
                          <a:xfrm>
                            <a:off x="8654" y="-1184"/>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729" name="Line 2473"/>
                        <wps:cNvCnPr>
                          <a:cxnSpLocks noChangeShapeType="1"/>
                        </wps:cNvCnPr>
                        <wps:spPr bwMode="auto">
                          <a:xfrm>
                            <a:off x="8654" y="-1182"/>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730" name="Line 2472"/>
                        <wps:cNvCnPr>
                          <a:cxnSpLocks noChangeShapeType="1"/>
                        </wps:cNvCnPr>
                        <wps:spPr bwMode="auto">
                          <a:xfrm>
                            <a:off x="9787" y="-1194"/>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731" name="Line 2471"/>
                        <wps:cNvCnPr>
                          <a:cxnSpLocks noChangeShapeType="1"/>
                        </wps:cNvCnPr>
                        <wps:spPr bwMode="auto">
                          <a:xfrm>
                            <a:off x="9787" y="-1192"/>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732" name="Line 2470"/>
                        <wps:cNvCnPr>
                          <a:cxnSpLocks noChangeShapeType="1"/>
                        </wps:cNvCnPr>
                        <wps:spPr bwMode="auto">
                          <a:xfrm>
                            <a:off x="9787" y="-1189"/>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733" name="Line 2469"/>
                        <wps:cNvCnPr>
                          <a:cxnSpLocks noChangeShapeType="1"/>
                        </wps:cNvCnPr>
                        <wps:spPr bwMode="auto">
                          <a:xfrm>
                            <a:off x="9787" y="-1187"/>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734" name="Line 2468"/>
                        <wps:cNvCnPr>
                          <a:cxnSpLocks noChangeShapeType="1"/>
                        </wps:cNvCnPr>
                        <wps:spPr bwMode="auto">
                          <a:xfrm>
                            <a:off x="9787" y="-1184"/>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735" name="Line 2467"/>
                        <wps:cNvCnPr>
                          <a:cxnSpLocks noChangeShapeType="1"/>
                        </wps:cNvCnPr>
                        <wps:spPr bwMode="auto">
                          <a:xfrm>
                            <a:off x="9787" y="-1182"/>
                            <a:ext cx="113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6C5D99" id="Group 2466" o:spid="_x0000_s1026" style="position:absolute;margin-left:254.65pt;margin-top:-59.75pt;width:198.15pt;height:1.45pt;z-index:-40582144;mso-position-horizontal-relative:page" coordorigin="5093,-1195" coordsize="582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">
                <v:line id="Line 2501" o:spid="_x0000_s1027" style="position:absolute;visibility:visible;mso-wrap-style:square" from="5093,-1194" to="6226,-1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" strokeweight=".12pt"/>
                <v:line id="Line 2500" o:spid="_x0000_s1028" style="position:absolute;visibility:visible;mso-wrap-style:square" from="5093,-1192" to="6226,-1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" strokeweight=".12pt"/>
                <v:line id="Line 2499" o:spid="_x0000_s1029" style="position:absolute;visibility:visible;mso-wrap-style:square" from="5093,-1189" to="6226,-1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" strokeweight=".12pt"/>
                <v:line id="Line 2498" o:spid="_x0000_s1030" style="position:absolute;visibility:visible;mso-wrap-style:square" from="5093,-1187" to="6226,-1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" strokeweight=".12pt"/>
                <v:line id="Line 2497" o:spid="_x0000_s1031" style="position:absolute;visibility:visible;mso-wrap-style:square" from="5093,-1184" to="6226,-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" strokeweight=".12pt"/>
                <v:line id="Line 2496" o:spid="_x0000_s1032" style="position:absolute;visibility:visible;mso-wrap-style:square" from="5093,-1182" to="6226,-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" strokeweight=".12pt"/>
                <v:line id="Line 2495" o:spid="_x0000_s1033" style="position:absolute;visibility:visible;mso-wrap-style:square" from="5093,-1160" to="6226,-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" strokeweight=".12pt"/>
                <v:line id="Line 2494" o:spid="_x0000_s1034" style="position:absolute;visibility:visible;mso-wrap-style:square" from="5093,-1158" to="6226,-1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" strokeweight=".12pt"/>
                <v:line id="Line 2493" o:spid="_x0000_s1035" style="position:absolute;visibility:visible;mso-wrap-style:square" from="5093,-1156" to="6226,-1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" strokeweight=".12pt"/>
                <v:line id="Line 2492" o:spid="_x0000_s1036" style="position:absolute;visibility:visible;mso-wrap-style:square" from="5093,-1153" to="6226,-1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" strokeweight=".12pt"/>
                <v:line id="Line 2491" o:spid="_x0000_s1037" style="position:absolute;visibility:visible;mso-wrap-style:square" from="6226,-1194" to="7522,-1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" strokeweight=".12pt"/>
                <v:line id="Line 2490" o:spid="_x0000_s1038" style="position:absolute;visibility:visible;mso-wrap-style:square" from="6226,-1192" to="7522,-1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" strokeweight=".12pt"/>
                <v:line id="Line 2489" o:spid="_x0000_s1039" style="position:absolute;visibility:visible;mso-wrap-style:square" from="6226,-1189" to="7522,-1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" strokeweight=".12pt"/>
                <v:line id="Line 2488" o:spid="_x0000_s1040" style="position:absolute;visibility:visible;mso-wrap-style:square" from="6226,-1187" to="7522,-1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" strokeweight=".12pt"/>
                <v:line id="Line 2487" o:spid="_x0000_s1041" style="position:absolute;visibility:visible;mso-wrap-style:square" from="6226,-1184" to="7522,-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" strokeweight=".12pt"/>
                <v:line id="Line 2486" o:spid="_x0000_s1042" style="position:absolute;visibility:visible;mso-wrap-style:square" from="6226,-1182" to="7522,-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" strokeweight=".12pt"/>
                <v:line id="Line 2485" o:spid="_x0000_s1043" style="position:absolute;visibility:visible;mso-wrap-style:square" from="7522,-1194" to="8654,-1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" strokeweight=".12pt"/>
                <v:line id="Line 2484" o:spid="_x0000_s1044" style="position:absolute;visibility:visible;mso-wrap-style:square" from="7522,-1192" to="8654,-1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" strokeweight=".12pt"/>
                <v:line id="Line 2483" o:spid="_x0000_s1045" style="position:absolute;visibility:visible;mso-wrap-style:square" from="7522,-1189" to="8654,-1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" strokeweight=".12pt"/>
                <v:line id="Line 2482" o:spid="_x0000_s1046" style="position:absolute;visibility:visible;mso-wrap-style:square" from="7522,-1187" to="8654,-1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" strokeweight=".12pt"/>
                <v:line id="Line 2481" o:spid="_x0000_s1047" style="position:absolute;visibility:visible;mso-wrap-style:square" from="7522,-1184" to="8654,-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" strokeweight=".12pt"/>
                <v:line id="Line 2480" o:spid="_x0000_s1048" style="position:absolute;visibility:visible;mso-wrap-style:square" from="7522,-1182" to="8654,-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" strokeweight=".12pt"/>
                <v:line id="Line 2479" o:spid="_x0000_s1049" style="position:absolute;visibility:visible;mso-wrap-style:square" from="7522,-1153" to="8654,-1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" strokeweight=".12pt"/>
                <v:line id="Line 2478" o:spid="_x0000_s1050" style="position:absolute;visibility:visible;mso-wrap-style:square" from="8654,-1194" to="9787,-1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" strokeweight=".12pt"/>
                <v:line id="Line 2477" o:spid="_x0000_s1051" style="position:absolute;visibility:visible;mso-wrap-style:square" from="8654,-1192" to="9787,-1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" strokeweight=".12pt"/>
                <v:line id="Line 2476" o:spid="_x0000_s1052" style="position:absolute;visibility:visible;mso-wrap-style:square" from="8654,-1189" to="9787,-1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" strokeweight=".12pt"/>
                <v:line id="Line 2475" o:spid="_x0000_s1053" style="position:absolute;visibility:visible;mso-wrap-style:square" from="8654,-1187" to="9787,-1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" strokeweight=".12pt"/>
                <v:line id="Line 2474" o:spid="_x0000_s1054" style="position:absolute;visibility:visible;mso-wrap-style:square" from="8654,-1184" to="9787,-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" strokeweight=".12pt"/>
                <v:line id="Line 2473" o:spid="_x0000_s1055" style="position:absolute;visibility:visible;mso-wrap-style:square" from="8654,-1182" to="9787,-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" strokeweight=".12pt"/>
                <v:line id="Line 2472" o:spid="_x0000_s1056" style="position:absolute;visibility:visible;mso-wrap-style:square" from="9787,-1194" to="10920,-1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" strokeweight=".12pt"/>
                <v:line id="Line 2471" o:spid="_x0000_s1057" style="position:absolute;visibility:visible;mso-wrap-style:square" from="9787,-1192" to="10920,-1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" strokeweight=".12pt"/>
                <v:line id="Line 2470" o:spid="_x0000_s1058" style="position:absolute;visibility:visible;mso-wrap-style:square" from="9787,-1189" to="10920,-1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" strokeweight=".12pt"/>
                <v:line id="Line 2469" o:spid="_x0000_s1059" style="position:absolute;visibility:visible;mso-wrap-style:square" from="9787,-1187" to="10920,-1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" strokeweight=".12pt"/>
                <v:line id="Line 2468" o:spid="_x0000_s1060" style="position:absolute;visibility:visible;mso-wrap-style:square" from="9787,-1184" to="10920,-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" strokeweight=".12pt"/>
                <v:line id="Line 2467" o:spid="_x0000_s1061" style="position:absolute;visibility:visible;mso-wrap-style:square" from="9787,-1182" to="10920,-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" strokeweight=".12pt"/>
                <w10:wrap anchorx="page"/>
              </v:group>
            </w:pict>
          </mc:Fallback>
        </mc:AlternateContent>
      </w:r>
      <w:r w:rsidR="0015611F">
        <w:t>Trademarks and licences have a finite useful life and are carried at cost less accumulated amortisation and impairment losses. Amortisation is calculated using the straight-line method to allocate the cost of trademarks and licences over their estimated useful lives, which vary from 3-5 years.</w:t>
      </w:r>
    </w:p>
    <w:p w14:paraId="67886ACE" w14:textId="77777777" w:rsidR="00FA4AA8" w:rsidRDefault="00FA4AA8">
      <w:pPr>
        <w:pStyle w:val="BodyText"/>
        <w:spacing w:before="10"/>
        <w:rPr>
          <w:sz w:val="24"/>
        </w:rPr>
      </w:pPr>
    </w:p>
    <w:p w14:paraId="77765712" w14:textId="77777777" w:rsidR="00FA4AA8" w:rsidRDefault="0015611F">
      <w:pPr>
        <w:ind w:left="564"/>
        <w:rPr>
          <w:b/>
          <w:sz w:val="18"/>
        </w:rPr>
      </w:pPr>
      <w:r>
        <w:rPr>
          <w:b/>
          <w:sz w:val="18"/>
        </w:rPr>
        <w:t>Leasehold improvements</w:t>
      </w:r>
    </w:p>
    <w:p w14:paraId="11F73F82" w14:textId="77777777" w:rsidR="00FA4AA8" w:rsidRDefault="00FA4AA8">
      <w:pPr>
        <w:pStyle w:val="BodyText"/>
        <w:rPr>
          <w:b/>
          <w:sz w:val="25"/>
        </w:rPr>
      </w:pPr>
    </w:p>
    <w:p w14:paraId="554C1C57" w14:textId="77777777" w:rsidR="00FA4AA8" w:rsidRDefault="0015611F">
      <w:pPr>
        <w:pStyle w:val="BodyText"/>
        <w:ind w:left="564"/>
      </w:pPr>
      <w:r>
        <w:t>Leasehold improvements are capitalised and amortised over the shorter of their useful life or the remaining life of the lease.</w:t>
      </w:r>
    </w:p>
    <w:p w14:paraId="63E825B2" w14:textId="77777777" w:rsidR="00FA4AA8" w:rsidRDefault="00FA4AA8">
      <w:pPr>
        <w:sectPr w:rsidR="00FA4AA8">
          <w:pgSz w:w="11910" w:h="16840"/>
          <w:pgMar w:top="2220" w:right="880" w:bottom="720" w:left="840" w:header="1016" w:footer="523" w:gutter="0"/>
          <w:cols w:space="720"/>
        </w:sectPr>
      </w:pPr>
    </w:p>
    <w:p w14:paraId="5BFB13AD" w14:textId="77777777" w:rsidR="00FA4AA8" w:rsidRDefault="00FA4AA8">
      <w:pPr>
        <w:pStyle w:val="BodyText"/>
        <w:rPr>
          <w:sz w:val="20"/>
        </w:rPr>
      </w:pPr>
    </w:p>
    <w:p w14:paraId="4A2EB0E9" w14:textId="77777777" w:rsidR="00FA4AA8" w:rsidRDefault="00FA4AA8">
      <w:pPr>
        <w:pStyle w:val="BodyText"/>
        <w:spacing w:before="10"/>
        <w:rPr>
          <w:sz w:val="29"/>
        </w:rPr>
      </w:pPr>
    </w:p>
    <w:p w14:paraId="7C45A50C" w14:textId="77777777" w:rsidR="00FA4AA8" w:rsidRDefault="0015611F">
      <w:pPr>
        <w:spacing w:before="94"/>
        <w:ind w:left="167"/>
        <w:rPr>
          <w:b/>
          <w:sz w:val="18"/>
        </w:rPr>
      </w:pPr>
      <w:bookmarkStart w:id="46" w:name="21_Other_financial_assets_"/>
      <w:bookmarkEnd w:id="46"/>
      <w:r>
        <w:rPr>
          <w:b/>
          <w:sz w:val="18"/>
        </w:rPr>
        <w:t>21 Other financial assets</w:t>
      </w:r>
    </w:p>
    <w:p w14:paraId="16D9A55D" w14:textId="77777777" w:rsidR="00FA4AA8" w:rsidRDefault="0015611F">
      <w:pPr>
        <w:tabs>
          <w:tab w:val="left" w:pos="8414"/>
        </w:tabs>
        <w:spacing w:before="33"/>
        <w:ind w:left="5364"/>
        <w:rPr>
          <w:b/>
          <w:sz w:val="18"/>
        </w:rPr>
      </w:pPr>
      <w:r>
        <w:rPr>
          <w:b/>
          <w:sz w:val="18"/>
        </w:rPr>
        <w:t>Consolidated</w:t>
      </w:r>
      <w:r>
        <w:rPr>
          <w:b/>
          <w:sz w:val="18"/>
        </w:rPr>
        <w:tab/>
        <w:t>Parent</w:t>
      </w:r>
    </w:p>
    <w:p w14:paraId="36A998C2" w14:textId="77777777" w:rsidR="00FA4AA8" w:rsidRDefault="00FA4AA8">
      <w:pPr>
        <w:pStyle w:val="BodyText"/>
        <w:spacing w:before="3"/>
        <w:rPr>
          <w:b/>
          <w:sz w:val="6"/>
        </w:rPr>
      </w:pPr>
    </w:p>
    <w:tbl>
      <w:tblPr>
        <w:tblW w:w="0" w:type="auto"/>
        <w:tblInd w:w="547" w:type="dxa"/>
        <w:tblLayout w:type="fixed"/>
        <w:tblCellMar>
          <w:left w:w="0" w:type="dxa"/>
          <w:right w:w="0" w:type="dxa"/>
        </w:tblCellMar>
        <w:tblLook w:val="01E0" w:firstRow="1" w:lastRow="1" w:firstColumn="1" w:lastColumn="1" w:noHBand="0" w:noVBand="0"/>
      </w:tblPr>
      <w:tblGrid>
        <w:gridCol w:w="4012"/>
        <w:gridCol w:w="1626"/>
        <w:gridCol w:w="1380"/>
        <w:gridCol w:w="1380"/>
        <w:gridCol w:w="1134"/>
      </w:tblGrid>
      <w:tr w:rsidR="00FA4AA8" w14:paraId="2B8B4713" w14:textId="77777777">
        <w:trPr>
          <w:trHeight w:val="1061"/>
        </w:trPr>
        <w:tc>
          <w:tcPr>
            <w:tcW w:w="4012" w:type="dxa"/>
          </w:tcPr>
          <w:p w14:paraId="23561841" w14:textId="77777777" w:rsidR="00FA4AA8" w:rsidRDefault="00FA4AA8">
            <w:pPr>
              <w:pStyle w:val="TableParagraph"/>
              <w:rPr>
                <w:b/>
                <w:sz w:val="20"/>
              </w:rPr>
            </w:pPr>
          </w:p>
          <w:p w14:paraId="38ED3DEB" w14:textId="77777777" w:rsidR="00FA4AA8" w:rsidRDefault="00FA4AA8">
            <w:pPr>
              <w:pStyle w:val="TableParagraph"/>
              <w:rPr>
                <w:b/>
                <w:sz w:val="20"/>
              </w:rPr>
            </w:pPr>
          </w:p>
          <w:p w14:paraId="006D4514" w14:textId="77777777" w:rsidR="00FA4AA8" w:rsidRDefault="0015611F">
            <w:pPr>
              <w:pStyle w:val="TableParagraph"/>
              <w:spacing w:before="160"/>
              <w:ind w:left="50"/>
              <w:rPr>
                <w:b/>
                <w:sz w:val="18"/>
              </w:rPr>
            </w:pPr>
            <w:r>
              <w:rPr>
                <w:b/>
                <w:sz w:val="18"/>
              </w:rPr>
              <w:t>Non-current</w:t>
            </w:r>
          </w:p>
          <w:p w14:paraId="7AFFC889" w14:textId="77777777" w:rsidR="00FA4AA8" w:rsidRDefault="0015611F">
            <w:pPr>
              <w:pStyle w:val="TableParagraph"/>
              <w:spacing w:before="26" w:line="188" w:lineRule="exact"/>
              <w:ind w:left="50"/>
              <w:rPr>
                <w:sz w:val="18"/>
              </w:rPr>
            </w:pPr>
            <w:r>
              <w:rPr>
                <w:sz w:val="18"/>
              </w:rPr>
              <w:t>Financial assets at fair value through</w:t>
            </w:r>
          </w:p>
        </w:tc>
        <w:tc>
          <w:tcPr>
            <w:tcW w:w="1626" w:type="dxa"/>
          </w:tcPr>
          <w:p w14:paraId="41BD196B" w14:textId="77777777" w:rsidR="00FA4AA8" w:rsidRDefault="0015611F">
            <w:pPr>
              <w:pStyle w:val="TableParagraph"/>
              <w:spacing w:line="201" w:lineRule="exact"/>
              <w:ind w:left="560" w:right="580"/>
              <w:jc w:val="center"/>
              <w:rPr>
                <w:b/>
                <w:sz w:val="18"/>
              </w:rPr>
            </w:pPr>
            <w:r>
              <w:rPr>
                <w:b/>
                <w:sz w:val="18"/>
              </w:rPr>
              <w:t>2018</w:t>
            </w:r>
          </w:p>
          <w:p w14:paraId="0E850799" w14:textId="77777777" w:rsidR="00FA4AA8" w:rsidRDefault="0015611F">
            <w:pPr>
              <w:pStyle w:val="TableParagraph"/>
              <w:spacing w:before="66"/>
              <w:ind w:left="560" w:right="580"/>
              <w:jc w:val="center"/>
              <w:rPr>
                <w:b/>
                <w:sz w:val="18"/>
              </w:rPr>
            </w:pPr>
            <w:r>
              <w:rPr>
                <w:b/>
                <w:sz w:val="18"/>
              </w:rPr>
              <w:t>$'000</w:t>
            </w:r>
          </w:p>
        </w:tc>
        <w:tc>
          <w:tcPr>
            <w:tcW w:w="1380" w:type="dxa"/>
          </w:tcPr>
          <w:p w14:paraId="20813760" w14:textId="77777777" w:rsidR="00FA4AA8" w:rsidRDefault="0015611F">
            <w:pPr>
              <w:pStyle w:val="TableParagraph"/>
              <w:spacing w:line="201" w:lineRule="exact"/>
              <w:ind w:left="270"/>
              <w:rPr>
                <w:b/>
                <w:sz w:val="18"/>
              </w:rPr>
            </w:pPr>
            <w:r>
              <w:rPr>
                <w:b/>
                <w:sz w:val="18"/>
              </w:rPr>
              <w:t>2017</w:t>
            </w:r>
          </w:p>
          <w:p w14:paraId="18361998" w14:textId="77777777" w:rsidR="00FA4AA8" w:rsidRDefault="0015611F">
            <w:pPr>
              <w:pStyle w:val="TableParagraph"/>
              <w:spacing w:before="66"/>
              <w:ind w:left="248"/>
              <w:rPr>
                <w:b/>
                <w:sz w:val="18"/>
              </w:rPr>
            </w:pPr>
            <w:r>
              <w:rPr>
                <w:b/>
                <w:sz w:val="18"/>
              </w:rPr>
              <w:t>$'000</w:t>
            </w:r>
          </w:p>
        </w:tc>
        <w:tc>
          <w:tcPr>
            <w:tcW w:w="1380" w:type="dxa"/>
          </w:tcPr>
          <w:p w14:paraId="6E80AD24" w14:textId="77777777" w:rsidR="00FA4AA8" w:rsidRDefault="0015611F">
            <w:pPr>
              <w:pStyle w:val="TableParagraph"/>
              <w:spacing w:line="201" w:lineRule="exact"/>
              <w:ind w:left="354"/>
              <w:rPr>
                <w:b/>
                <w:sz w:val="18"/>
              </w:rPr>
            </w:pPr>
            <w:r>
              <w:rPr>
                <w:b/>
                <w:sz w:val="18"/>
              </w:rPr>
              <w:t>2018</w:t>
            </w:r>
          </w:p>
          <w:p w14:paraId="597F1E82" w14:textId="77777777" w:rsidR="00FA4AA8" w:rsidRDefault="0015611F">
            <w:pPr>
              <w:pStyle w:val="TableParagraph"/>
              <w:spacing w:before="66"/>
              <w:ind w:left="332"/>
              <w:rPr>
                <w:b/>
                <w:sz w:val="18"/>
              </w:rPr>
            </w:pPr>
            <w:r>
              <w:rPr>
                <w:b/>
                <w:sz w:val="18"/>
              </w:rPr>
              <w:t>$'000</w:t>
            </w:r>
          </w:p>
        </w:tc>
        <w:tc>
          <w:tcPr>
            <w:tcW w:w="1134" w:type="dxa"/>
          </w:tcPr>
          <w:p w14:paraId="7CC258BC" w14:textId="77777777" w:rsidR="00FA4AA8" w:rsidRDefault="0015611F">
            <w:pPr>
              <w:pStyle w:val="TableParagraph"/>
              <w:spacing w:line="201" w:lineRule="exact"/>
              <w:ind w:left="270"/>
              <w:rPr>
                <w:b/>
                <w:sz w:val="18"/>
              </w:rPr>
            </w:pPr>
            <w:r>
              <w:rPr>
                <w:b/>
                <w:sz w:val="18"/>
              </w:rPr>
              <w:t>2017</w:t>
            </w:r>
          </w:p>
          <w:p w14:paraId="46D319A2" w14:textId="77777777" w:rsidR="00FA4AA8" w:rsidRDefault="0015611F">
            <w:pPr>
              <w:pStyle w:val="TableParagraph"/>
              <w:spacing w:before="66"/>
              <w:ind w:left="248"/>
              <w:rPr>
                <w:b/>
                <w:sz w:val="18"/>
              </w:rPr>
            </w:pPr>
            <w:r>
              <w:rPr>
                <w:b/>
                <w:sz w:val="18"/>
              </w:rPr>
              <w:t>$'000</w:t>
            </w:r>
          </w:p>
        </w:tc>
      </w:tr>
      <w:tr w:rsidR="00FA4AA8" w14:paraId="03D11A3D" w14:textId="77777777">
        <w:trPr>
          <w:trHeight w:val="233"/>
        </w:trPr>
        <w:tc>
          <w:tcPr>
            <w:tcW w:w="4012" w:type="dxa"/>
          </w:tcPr>
          <w:p w14:paraId="19327AF9" w14:textId="77777777" w:rsidR="00FA4AA8" w:rsidRDefault="0015611F">
            <w:pPr>
              <w:pStyle w:val="TableParagraph"/>
              <w:spacing w:line="205" w:lineRule="exact"/>
              <w:ind w:left="50"/>
              <w:rPr>
                <w:sz w:val="18"/>
              </w:rPr>
            </w:pPr>
            <w:r>
              <w:rPr>
                <w:sz w:val="18"/>
              </w:rPr>
              <w:t>profit or loss</w:t>
            </w:r>
          </w:p>
        </w:tc>
        <w:tc>
          <w:tcPr>
            <w:tcW w:w="1626" w:type="dxa"/>
          </w:tcPr>
          <w:p w14:paraId="40A4587B" w14:textId="77777777" w:rsidR="00FA4AA8" w:rsidRDefault="0015611F">
            <w:pPr>
              <w:pStyle w:val="TableParagraph"/>
              <w:spacing w:line="203" w:lineRule="exact"/>
              <w:ind w:right="246"/>
              <w:jc w:val="right"/>
              <w:rPr>
                <w:b/>
                <w:sz w:val="18"/>
              </w:rPr>
            </w:pPr>
            <w:r>
              <w:rPr>
                <w:b/>
                <w:sz w:val="18"/>
              </w:rPr>
              <w:t>246,893</w:t>
            </w:r>
          </w:p>
        </w:tc>
        <w:tc>
          <w:tcPr>
            <w:tcW w:w="1380" w:type="dxa"/>
          </w:tcPr>
          <w:p w14:paraId="7BE33F18" w14:textId="77777777" w:rsidR="00FA4AA8" w:rsidRDefault="0015611F">
            <w:pPr>
              <w:pStyle w:val="TableParagraph"/>
              <w:spacing w:line="203" w:lineRule="exact"/>
              <w:ind w:right="330"/>
              <w:jc w:val="right"/>
              <w:rPr>
                <w:sz w:val="18"/>
              </w:rPr>
            </w:pPr>
            <w:r>
              <w:rPr>
                <w:sz w:val="18"/>
              </w:rPr>
              <w:t>-</w:t>
            </w:r>
          </w:p>
        </w:tc>
        <w:tc>
          <w:tcPr>
            <w:tcW w:w="1380" w:type="dxa"/>
          </w:tcPr>
          <w:p w14:paraId="57F888CF" w14:textId="77777777" w:rsidR="00FA4AA8" w:rsidRDefault="0015611F">
            <w:pPr>
              <w:pStyle w:val="TableParagraph"/>
              <w:spacing w:line="203" w:lineRule="exact"/>
              <w:ind w:right="246"/>
              <w:jc w:val="right"/>
              <w:rPr>
                <w:b/>
                <w:sz w:val="18"/>
              </w:rPr>
            </w:pPr>
            <w:r>
              <w:rPr>
                <w:b/>
                <w:sz w:val="18"/>
              </w:rPr>
              <w:t>246,893</w:t>
            </w:r>
          </w:p>
        </w:tc>
        <w:tc>
          <w:tcPr>
            <w:tcW w:w="1134" w:type="dxa"/>
          </w:tcPr>
          <w:p w14:paraId="74A5483C" w14:textId="77777777" w:rsidR="00FA4AA8" w:rsidRDefault="0015611F">
            <w:pPr>
              <w:pStyle w:val="TableParagraph"/>
              <w:spacing w:line="203" w:lineRule="exact"/>
              <w:ind w:right="84"/>
              <w:jc w:val="right"/>
              <w:rPr>
                <w:sz w:val="18"/>
              </w:rPr>
            </w:pPr>
            <w:r>
              <w:rPr>
                <w:sz w:val="18"/>
              </w:rPr>
              <w:t>-</w:t>
            </w:r>
          </w:p>
        </w:tc>
      </w:tr>
      <w:tr w:rsidR="00FA4AA8" w14:paraId="0532E6E3" w14:textId="77777777">
        <w:trPr>
          <w:trHeight w:val="505"/>
        </w:trPr>
        <w:tc>
          <w:tcPr>
            <w:tcW w:w="4012" w:type="dxa"/>
          </w:tcPr>
          <w:p w14:paraId="07E85421" w14:textId="77777777" w:rsidR="00FA4AA8" w:rsidRDefault="0015611F">
            <w:pPr>
              <w:pStyle w:val="TableParagraph"/>
              <w:spacing w:before="23"/>
              <w:ind w:left="50" w:right="710"/>
              <w:rPr>
                <w:sz w:val="18"/>
              </w:rPr>
            </w:pPr>
            <w:r>
              <w:rPr>
                <w:sz w:val="18"/>
              </w:rPr>
              <w:t>Financial assets at fair value through other comprehensive income</w:t>
            </w:r>
          </w:p>
        </w:tc>
        <w:tc>
          <w:tcPr>
            <w:tcW w:w="1626" w:type="dxa"/>
          </w:tcPr>
          <w:p w14:paraId="76F031C7" w14:textId="77777777" w:rsidR="00FA4AA8" w:rsidRDefault="00FA4AA8">
            <w:pPr>
              <w:pStyle w:val="TableParagraph"/>
              <w:spacing w:before="8"/>
              <w:rPr>
                <w:b/>
                <w:sz w:val="19"/>
              </w:rPr>
            </w:pPr>
          </w:p>
          <w:p w14:paraId="77B29D8B" w14:textId="77777777" w:rsidR="00FA4AA8" w:rsidRDefault="0015611F">
            <w:pPr>
              <w:pStyle w:val="TableParagraph"/>
              <w:ind w:right="246"/>
              <w:jc w:val="right"/>
              <w:rPr>
                <w:b/>
                <w:sz w:val="18"/>
              </w:rPr>
            </w:pPr>
            <w:r>
              <w:rPr>
                <w:b/>
                <w:sz w:val="18"/>
              </w:rPr>
              <w:t>29,217</w:t>
            </w:r>
          </w:p>
        </w:tc>
        <w:tc>
          <w:tcPr>
            <w:tcW w:w="1380" w:type="dxa"/>
          </w:tcPr>
          <w:p w14:paraId="1A52E040" w14:textId="77777777" w:rsidR="00FA4AA8" w:rsidRDefault="00FA4AA8">
            <w:pPr>
              <w:pStyle w:val="TableParagraph"/>
              <w:spacing w:before="8"/>
              <w:rPr>
                <w:b/>
                <w:sz w:val="19"/>
              </w:rPr>
            </w:pPr>
          </w:p>
          <w:p w14:paraId="7871A960" w14:textId="77777777" w:rsidR="00FA4AA8" w:rsidRDefault="0015611F">
            <w:pPr>
              <w:pStyle w:val="TableParagraph"/>
              <w:ind w:right="330"/>
              <w:jc w:val="right"/>
              <w:rPr>
                <w:sz w:val="18"/>
              </w:rPr>
            </w:pPr>
            <w:r>
              <w:rPr>
                <w:sz w:val="18"/>
              </w:rPr>
              <w:t>-</w:t>
            </w:r>
          </w:p>
        </w:tc>
        <w:tc>
          <w:tcPr>
            <w:tcW w:w="1380" w:type="dxa"/>
          </w:tcPr>
          <w:p w14:paraId="3B7BB592" w14:textId="77777777" w:rsidR="00FA4AA8" w:rsidRDefault="00FA4AA8">
            <w:pPr>
              <w:pStyle w:val="TableParagraph"/>
              <w:spacing w:before="8"/>
              <w:rPr>
                <w:b/>
                <w:sz w:val="19"/>
              </w:rPr>
            </w:pPr>
          </w:p>
          <w:p w14:paraId="13F178E2" w14:textId="77777777" w:rsidR="00FA4AA8" w:rsidRDefault="0015611F">
            <w:pPr>
              <w:pStyle w:val="TableParagraph"/>
              <w:ind w:right="246"/>
              <w:jc w:val="right"/>
              <w:rPr>
                <w:b/>
                <w:sz w:val="18"/>
              </w:rPr>
            </w:pPr>
            <w:r>
              <w:rPr>
                <w:b/>
                <w:sz w:val="18"/>
              </w:rPr>
              <w:t>29,217</w:t>
            </w:r>
          </w:p>
        </w:tc>
        <w:tc>
          <w:tcPr>
            <w:tcW w:w="1134" w:type="dxa"/>
          </w:tcPr>
          <w:p w14:paraId="31B73D96" w14:textId="77777777" w:rsidR="00FA4AA8" w:rsidRDefault="00FA4AA8">
            <w:pPr>
              <w:pStyle w:val="TableParagraph"/>
              <w:spacing w:before="8"/>
              <w:rPr>
                <w:b/>
                <w:sz w:val="19"/>
              </w:rPr>
            </w:pPr>
          </w:p>
          <w:p w14:paraId="5DC261E8" w14:textId="77777777" w:rsidR="00FA4AA8" w:rsidRDefault="0015611F">
            <w:pPr>
              <w:pStyle w:val="TableParagraph"/>
              <w:ind w:right="84"/>
              <w:jc w:val="right"/>
              <w:rPr>
                <w:sz w:val="18"/>
              </w:rPr>
            </w:pPr>
            <w:r>
              <w:rPr>
                <w:sz w:val="18"/>
              </w:rPr>
              <w:t>-</w:t>
            </w:r>
          </w:p>
        </w:tc>
      </w:tr>
      <w:tr w:rsidR="00FA4AA8" w14:paraId="06A87687" w14:textId="77777777">
        <w:trPr>
          <w:trHeight w:val="322"/>
        </w:trPr>
        <w:tc>
          <w:tcPr>
            <w:tcW w:w="4012" w:type="dxa"/>
          </w:tcPr>
          <w:p w14:paraId="0CD051A2" w14:textId="77777777" w:rsidR="00FA4AA8" w:rsidRDefault="0015611F">
            <w:pPr>
              <w:pStyle w:val="TableParagraph"/>
              <w:spacing w:before="62"/>
              <w:ind w:left="50"/>
              <w:rPr>
                <w:sz w:val="18"/>
              </w:rPr>
            </w:pPr>
            <w:r>
              <w:rPr>
                <w:sz w:val="18"/>
              </w:rPr>
              <w:t>Available-for-sale</w:t>
            </w:r>
          </w:p>
        </w:tc>
        <w:tc>
          <w:tcPr>
            <w:tcW w:w="1626" w:type="dxa"/>
          </w:tcPr>
          <w:p w14:paraId="2ED86C0D" w14:textId="77777777" w:rsidR="00FA4AA8" w:rsidRDefault="0015611F">
            <w:pPr>
              <w:pStyle w:val="TableParagraph"/>
              <w:spacing w:before="89"/>
              <w:ind w:right="246"/>
              <w:jc w:val="right"/>
              <w:rPr>
                <w:b/>
                <w:sz w:val="18"/>
              </w:rPr>
            </w:pPr>
            <w:r>
              <w:rPr>
                <w:b/>
                <w:sz w:val="18"/>
              </w:rPr>
              <w:t>-</w:t>
            </w:r>
          </w:p>
        </w:tc>
        <w:tc>
          <w:tcPr>
            <w:tcW w:w="1380" w:type="dxa"/>
          </w:tcPr>
          <w:p w14:paraId="3FB5EB0A" w14:textId="77777777" w:rsidR="00FA4AA8" w:rsidRDefault="0015611F">
            <w:pPr>
              <w:pStyle w:val="TableParagraph"/>
              <w:spacing w:before="89"/>
              <w:ind w:right="330"/>
              <w:jc w:val="right"/>
              <w:rPr>
                <w:sz w:val="18"/>
              </w:rPr>
            </w:pPr>
            <w:r>
              <w:rPr>
                <w:sz w:val="18"/>
              </w:rPr>
              <w:t>96,836</w:t>
            </w:r>
          </w:p>
        </w:tc>
        <w:tc>
          <w:tcPr>
            <w:tcW w:w="1380" w:type="dxa"/>
          </w:tcPr>
          <w:p w14:paraId="4106C0F0" w14:textId="77777777" w:rsidR="00FA4AA8" w:rsidRDefault="0015611F">
            <w:pPr>
              <w:pStyle w:val="TableParagraph"/>
              <w:spacing w:before="89"/>
              <w:ind w:right="246"/>
              <w:jc w:val="right"/>
              <w:rPr>
                <w:b/>
                <w:sz w:val="18"/>
              </w:rPr>
            </w:pPr>
            <w:r>
              <w:rPr>
                <w:b/>
                <w:sz w:val="18"/>
              </w:rPr>
              <w:t>-</w:t>
            </w:r>
          </w:p>
        </w:tc>
        <w:tc>
          <w:tcPr>
            <w:tcW w:w="1134" w:type="dxa"/>
          </w:tcPr>
          <w:p w14:paraId="3B249D04" w14:textId="77777777" w:rsidR="00FA4AA8" w:rsidRDefault="0015611F">
            <w:pPr>
              <w:pStyle w:val="TableParagraph"/>
              <w:spacing w:before="89"/>
              <w:ind w:right="84"/>
              <w:jc w:val="right"/>
              <w:rPr>
                <w:sz w:val="18"/>
              </w:rPr>
            </w:pPr>
            <w:r>
              <w:rPr>
                <w:sz w:val="18"/>
              </w:rPr>
              <w:t>96,836</w:t>
            </w:r>
          </w:p>
        </w:tc>
      </w:tr>
      <w:tr w:rsidR="00FA4AA8" w14:paraId="7743B990" w14:textId="77777777">
        <w:trPr>
          <w:trHeight w:val="252"/>
        </w:trPr>
        <w:tc>
          <w:tcPr>
            <w:tcW w:w="4012" w:type="dxa"/>
          </w:tcPr>
          <w:p w14:paraId="07D7C4E1" w14:textId="77777777" w:rsidR="00FA4AA8" w:rsidRDefault="0015611F">
            <w:pPr>
              <w:pStyle w:val="TableParagraph"/>
              <w:spacing w:before="23"/>
              <w:ind w:left="50"/>
              <w:rPr>
                <w:sz w:val="18"/>
              </w:rPr>
            </w:pPr>
            <w:r>
              <w:rPr>
                <w:sz w:val="18"/>
              </w:rPr>
              <w:t>Held-to-maturity (Amortised cost)</w:t>
            </w:r>
          </w:p>
        </w:tc>
        <w:tc>
          <w:tcPr>
            <w:tcW w:w="1626" w:type="dxa"/>
            <w:tcBorders>
              <w:bottom w:val="single" w:sz="8" w:space="0" w:color="000000"/>
            </w:tcBorders>
          </w:tcPr>
          <w:p w14:paraId="7BA8A92D" w14:textId="77777777" w:rsidR="00FA4AA8" w:rsidRDefault="0015611F">
            <w:pPr>
              <w:pStyle w:val="TableParagraph"/>
              <w:spacing w:before="20"/>
              <w:ind w:right="246"/>
              <w:jc w:val="right"/>
              <w:rPr>
                <w:b/>
                <w:sz w:val="18"/>
              </w:rPr>
            </w:pPr>
            <w:r>
              <w:rPr>
                <w:b/>
                <w:sz w:val="18"/>
              </w:rPr>
              <w:t>-</w:t>
            </w:r>
          </w:p>
        </w:tc>
        <w:tc>
          <w:tcPr>
            <w:tcW w:w="1380" w:type="dxa"/>
            <w:tcBorders>
              <w:bottom w:val="single" w:sz="8" w:space="0" w:color="000000"/>
            </w:tcBorders>
          </w:tcPr>
          <w:p w14:paraId="106F2175" w14:textId="77777777" w:rsidR="00FA4AA8" w:rsidRDefault="0015611F">
            <w:pPr>
              <w:pStyle w:val="TableParagraph"/>
              <w:spacing w:before="20"/>
              <w:ind w:right="330"/>
              <w:jc w:val="right"/>
              <w:rPr>
                <w:sz w:val="18"/>
              </w:rPr>
            </w:pPr>
            <w:r>
              <w:rPr>
                <w:sz w:val="18"/>
              </w:rPr>
              <w:t>11,061</w:t>
            </w:r>
          </w:p>
        </w:tc>
        <w:tc>
          <w:tcPr>
            <w:tcW w:w="1380" w:type="dxa"/>
            <w:tcBorders>
              <w:bottom w:val="single" w:sz="8" w:space="0" w:color="000000"/>
            </w:tcBorders>
          </w:tcPr>
          <w:p w14:paraId="12632D98" w14:textId="77777777" w:rsidR="00FA4AA8" w:rsidRDefault="0015611F">
            <w:pPr>
              <w:pStyle w:val="TableParagraph"/>
              <w:spacing w:before="20"/>
              <w:ind w:right="246"/>
              <w:jc w:val="right"/>
              <w:rPr>
                <w:b/>
                <w:sz w:val="18"/>
              </w:rPr>
            </w:pPr>
            <w:r>
              <w:rPr>
                <w:b/>
                <w:sz w:val="18"/>
              </w:rPr>
              <w:t>-</w:t>
            </w:r>
          </w:p>
        </w:tc>
        <w:tc>
          <w:tcPr>
            <w:tcW w:w="1134" w:type="dxa"/>
            <w:tcBorders>
              <w:bottom w:val="single" w:sz="8" w:space="0" w:color="000000"/>
            </w:tcBorders>
          </w:tcPr>
          <w:p w14:paraId="01D8DA84" w14:textId="77777777" w:rsidR="00FA4AA8" w:rsidRDefault="0015611F">
            <w:pPr>
              <w:pStyle w:val="TableParagraph"/>
              <w:spacing w:before="20"/>
              <w:ind w:right="84"/>
              <w:jc w:val="right"/>
              <w:rPr>
                <w:sz w:val="18"/>
              </w:rPr>
            </w:pPr>
            <w:r>
              <w:rPr>
                <w:sz w:val="18"/>
              </w:rPr>
              <w:t>11,061</w:t>
            </w:r>
          </w:p>
        </w:tc>
      </w:tr>
      <w:tr w:rsidR="00FA4AA8" w14:paraId="706F5EDC" w14:textId="77777777">
        <w:trPr>
          <w:trHeight w:val="322"/>
        </w:trPr>
        <w:tc>
          <w:tcPr>
            <w:tcW w:w="4012" w:type="dxa"/>
          </w:tcPr>
          <w:p w14:paraId="7C32D1AE" w14:textId="77777777" w:rsidR="00FA4AA8" w:rsidRDefault="0015611F">
            <w:pPr>
              <w:pStyle w:val="TableParagraph"/>
              <w:spacing w:before="115" w:line="187" w:lineRule="exact"/>
              <w:ind w:left="50"/>
              <w:rPr>
                <w:b/>
                <w:sz w:val="18"/>
              </w:rPr>
            </w:pPr>
            <w:r>
              <w:rPr>
                <w:b/>
                <w:sz w:val="18"/>
              </w:rPr>
              <w:t>Total non-current other financial</w:t>
            </w:r>
          </w:p>
        </w:tc>
        <w:tc>
          <w:tcPr>
            <w:tcW w:w="1626" w:type="dxa"/>
            <w:tcBorders>
              <w:top w:val="single" w:sz="8" w:space="0" w:color="000000"/>
            </w:tcBorders>
          </w:tcPr>
          <w:p w14:paraId="44A3079B" w14:textId="77777777" w:rsidR="00FA4AA8" w:rsidRDefault="00FA4AA8">
            <w:pPr>
              <w:pStyle w:val="TableParagraph"/>
              <w:rPr>
                <w:rFonts w:ascii="Times New Roman"/>
                <w:sz w:val="18"/>
              </w:rPr>
            </w:pPr>
          </w:p>
        </w:tc>
        <w:tc>
          <w:tcPr>
            <w:tcW w:w="1380" w:type="dxa"/>
            <w:tcBorders>
              <w:top w:val="single" w:sz="8" w:space="0" w:color="000000"/>
            </w:tcBorders>
          </w:tcPr>
          <w:p w14:paraId="3D67A7D7" w14:textId="77777777" w:rsidR="00FA4AA8" w:rsidRDefault="00FA4AA8">
            <w:pPr>
              <w:pStyle w:val="TableParagraph"/>
              <w:rPr>
                <w:rFonts w:ascii="Times New Roman"/>
                <w:sz w:val="18"/>
              </w:rPr>
            </w:pPr>
          </w:p>
        </w:tc>
        <w:tc>
          <w:tcPr>
            <w:tcW w:w="1380" w:type="dxa"/>
            <w:tcBorders>
              <w:top w:val="single" w:sz="8" w:space="0" w:color="000000"/>
            </w:tcBorders>
          </w:tcPr>
          <w:p w14:paraId="4C9EB779" w14:textId="77777777" w:rsidR="00FA4AA8" w:rsidRDefault="00FA4AA8">
            <w:pPr>
              <w:pStyle w:val="TableParagraph"/>
              <w:rPr>
                <w:rFonts w:ascii="Times New Roman"/>
                <w:sz w:val="18"/>
              </w:rPr>
            </w:pPr>
          </w:p>
        </w:tc>
        <w:tc>
          <w:tcPr>
            <w:tcW w:w="1134" w:type="dxa"/>
            <w:tcBorders>
              <w:top w:val="single" w:sz="8" w:space="0" w:color="000000"/>
            </w:tcBorders>
          </w:tcPr>
          <w:p w14:paraId="7FF18B06" w14:textId="77777777" w:rsidR="00FA4AA8" w:rsidRDefault="00FA4AA8">
            <w:pPr>
              <w:pStyle w:val="TableParagraph"/>
              <w:rPr>
                <w:rFonts w:ascii="Times New Roman"/>
                <w:sz w:val="18"/>
              </w:rPr>
            </w:pPr>
          </w:p>
        </w:tc>
      </w:tr>
      <w:tr w:rsidR="00FA4AA8" w14:paraId="186864D2" w14:textId="77777777">
        <w:trPr>
          <w:trHeight w:val="207"/>
        </w:trPr>
        <w:tc>
          <w:tcPr>
            <w:tcW w:w="4012" w:type="dxa"/>
          </w:tcPr>
          <w:p w14:paraId="7B971D85" w14:textId="77777777" w:rsidR="00FA4AA8" w:rsidRDefault="0015611F">
            <w:pPr>
              <w:pStyle w:val="TableParagraph"/>
              <w:spacing w:line="182" w:lineRule="exact"/>
              <w:ind w:left="50"/>
              <w:rPr>
                <w:b/>
                <w:sz w:val="18"/>
              </w:rPr>
            </w:pPr>
            <w:r>
              <w:rPr>
                <w:b/>
                <w:sz w:val="18"/>
              </w:rPr>
              <w:t>assets</w:t>
            </w:r>
          </w:p>
        </w:tc>
        <w:tc>
          <w:tcPr>
            <w:tcW w:w="5520" w:type="dxa"/>
            <w:gridSpan w:val="4"/>
          </w:tcPr>
          <w:p w14:paraId="6F548467" w14:textId="77777777" w:rsidR="00FA4AA8" w:rsidRDefault="0015611F">
            <w:pPr>
              <w:pStyle w:val="TableParagraph"/>
              <w:tabs>
                <w:tab w:val="left" w:pos="722"/>
                <w:tab w:val="left" w:pos="2018"/>
                <w:tab w:val="left" w:pos="3482"/>
                <w:tab w:val="left" w:pos="4778"/>
              </w:tabs>
              <w:spacing w:line="182" w:lineRule="exact"/>
              <w:rPr>
                <w:sz w:val="18"/>
              </w:rPr>
            </w:pPr>
            <w:r>
              <w:rPr>
                <w:rFonts w:ascii="Times New Roman"/>
                <w:sz w:val="18"/>
                <w:u w:val="double"/>
              </w:rPr>
              <w:t xml:space="preserve"> </w:t>
            </w:r>
            <w:r>
              <w:rPr>
                <w:rFonts w:ascii="Times New Roman"/>
                <w:sz w:val="18"/>
                <w:u w:val="double"/>
              </w:rPr>
              <w:tab/>
            </w:r>
            <w:r>
              <w:rPr>
                <w:b/>
                <w:sz w:val="18"/>
                <w:u w:val="single"/>
              </w:rPr>
              <w:t>276,11</w:t>
            </w:r>
            <w:r>
              <w:rPr>
                <w:b/>
                <w:sz w:val="18"/>
              </w:rPr>
              <w:t>0</w:t>
            </w:r>
            <w:r>
              <w:rPr>
                <w:b/>
                <w:sz w:val="18"/>
              </w:rPr>
              <w:tab/>
            </w:r>
            <w:r>
              <w:rPr>
                <w:sz w:val="18"/>
                <w:u w:val="single"/>
              </w:rPr>
              <w:t>107,89</w:t>
            </w:r>
            <w:r>
              <w:rPr>
                <w:sz w:val="18"/>
              </w:rPr>
              <w:t>7</w:t>
            </w:r>
            <w:r>
              <w:rPr>
                <w:sz w:val="18"/>
              </w:rPr>
              <w:tab/>
            </w:r>
            <w:r>
              <w:rPr>
                <w:b/>
                <w:sz w:val="18"/>
                <w:u w:val="single"/>
              </w:rPr>
              <w:t>276,11</w:t>
            </w:r>
            <w:r>
              <w:rPr>
                <w:b/>
                <w:sz w:val="18"/>
              </w:rPr>
              <w:t>0</w:t>
            </w:r>
            <w:r>
              <w:rPr>
                <w:b/>
                <w:sz w:val="18"/>
              </w:rPr>
              <w:tab/>
            </w:r>
            <w:r>
              <w:rPr>
                <w:sz w:val="18"/>
              </w:rPr>
              <w:t>107,897</w:t>
            </w:r>
          </w:p>
        </w:tc>
      </w:tr>
    </w:tbl>
    <w:p w14:paraId="77F09A70" w14:textId="77777777" w:rsidR="00FA4AA8" w:rsidRDefault="00FA4AA8">
      <w:pPr>
        <w:pStyle w:val="BodyText"/>
        <w:rPr>
          <w:b/>
          <w:sz w:val="20"/>
        </w:rPr>
      </w:pPr>
    </w:p>
    <w:p w14:paraId="6461A5D5" w14:textId="77777777" w:rsidR="00FA4AA8" w:rsidRDefault="00FA4AA8">
      <w:pPr>
        <w:pStyle w:val="BodyText"/>
        <w:spacing w:before="5"/>
        <w:rPr>
          <w:b/>
          <w:sz w:val="26"/>
        </w:rPr>
      </w:pPr>
    </w:p>
    <w:p w14:paraId="1123D2FE" w14:textId="77777777" w:rsidR="00FA4AA8" w:rsidRDefault="0015611F">
      <w:pPr>
        <w:spacing w:before="94"/>
        <w:ind w:left="564"/>
        <w:rPr>
          <w:i/>
          <w:sz w:val="18"/>
        </w:rPr>
      </w:pPr>
      <w:r>
        <w:rPr>
          <w:i/>
          <w:sz w:val="18"/>
          <w:u w:val="single"/>
        </w:rPr>
        <w:t>Accounting Policy</w:t>
      </w:r>
    </w:p>
    <w:p w14:paraId="2662225B" w14:textId="77777777" w:rsidR="00FA4AA8" w:rsidRDefault="00FA4AA8">
      <w:pPr>
        <w:pStyle w:val="BodyText"/>
        <w:spacing w:before="2"/>
        <w:rPr>
          <w:i/>
          <w:sz w:val="17"/>
        </w:rPr>
      </w:pPr>
    </w:p>
    <w:p w14:paraId="1DCCCCDC" w14:textId="77777777" w:rsidR="00FA4AA8" w:rsidRDefault="0015611F">
      <w:pPr>
        <w:spacing w:before="95"/>
        <w:ind w:left="564"/>
        <w:rPr>
          <w:b/>
          <w:sz w:val="18"/>
        </w:rPr>
      </w:pPr>
      <w:r>
        <w:rPr>
          <w:b/>
          <w:sz w:val="18"/>
        </w:rPr>
        <w:t>Classification and measurement</w:t>
      </w:r>
    </w:p>
    <w:p w14:paraId="54DBD88E" w14:textId="77777777" w:rsidR="00FA4AA8" w:rsidRDefault="00FA4AA8">
      <w:pPr>
        <w:pStyle w:val="BodyText"/>
        <w:spacing w:before="11"/>
        <w:rPr>
          <w:b/>
          <w:sz w:val="24"/>
        </w:rPr>
      </w:pPr>
    </w:p>
    <w:p w14:paraId="110FA81D" w14:textId="77777777" w:rsidR="00FA4AA8" w:rsidRDefault="0015611F">
      <w:pPr>
        <w:pStyle w:val="BodyText"/>
        <w:ind w:left="564" w:right="151"/>
      </w:pPr>
      <w:r>
        <w:t xml:space="preserve">From 1 January 2018, the University classifies its investments into the following categories: financial assets at </w:t>
      </w:r>
      <w:r w:rsidR="00BD3B1F">
        <w:t>fair value</w:t>
      </w:r>
      <w:r>
        <w:t xml:space="preserve"> through profit or loss, amortised cost, or fair value through other comprehensive income in accordance with the newly effective AASB 9. The classification is based on two criteria: the University’s business model for managing the assets; and whether the instruments’ contractual cash flows represent ‘solely payments of principal and interest’ on the principal amount</w:t>
      </w:r>
      <w:r>
        <w:rPr>
          <w:spacing w:val="2"/>
        </w:rPr>
        <w:t xml:space="preserve"> </w:t>
      </w:r>
      <w:r>
        <w:t>outstanding.</w:t>
      </w:r>
    </w:p>
    <w:p w14:paraId="20B122ED" w14:textId="77777777" w:rsidR="00FA4AA8" w:rsidRDefault="00FA4AA8">
      <w:pPr>
        <w:pStyle w:val="BodyText"/>
        <w:spacing w:before="9"/>
        <w:rPr>
          <w:sz w:val="24"/>
        </w:rPr>
      </w:pPr>
    </w:p>
    <w:p w14:paraId="46958F07" w14:textId="77777777" w:rsidR="00FA4AA8" w:rsidRDefault="0015611F">
      <w:pPr>
        <w:pStyle w:val="BodyText"/>
        <w:ind w:left="564" w:right="132"/>
      </w:pPr>
      <w:r>
        <w:t>The assessment of Western Sydney University’s business model was made as of the date of initial application, 1 January 2018.</w:t>
      </w:r>
    </w:p>
    <w:p w14:paraId="729CCA78" w14:textId="77777777" w:rsidR="00FA4AA8" w:rsidRDefault="00FA4AA8">
      <w:pPr>
        <w:pStyle w:val="BodyText"/>
        <w:spacing w:before="11"/>
        <w:rPr>
          <w:sz w:val="24"/>
        </w:rPr>
      </w:pPr>
    </w:p>
    <w:p w14:paraId="04105003" w14:textId="77777777" w:rsidR="00FA4AA8" w:rsidRDefault="0015611F">
      <w:pPr>
        <w:numPr>
          <w:ilvl w:val="0"/>
          <w:numId w:val="13"/>
        </w:numPr>
        <w:tabs>
          <w:tab w:val="left" w:pos="783"/>
        </w:tabs>
        <w:rPr>
          <w:b/>
          <w:i/>
          <w:sz w:val="18"/>
        </w:rPr>
      </w:pPr>
      <w:r>
        <w:rPr>
          <w:b/>
          <w:i/>
          <w:sz w:val="18"/>
        </w:rPr>
        <w:t>Financial assets at fair value through profit or loss</w:t>
      </w:r>
    </w:p>
    <w:p w14:paraId="00DA44A8" w14:textId="77777777" w:rsidR="00FA4AA8" w:rsidRDefault="00FA4AA8">
      <w:pPr>
        <w:pStyle w:val="BodyText"/>
        <w:rPr>
          <w:b/>
          <w:i/>
          <w:sz w:val="25"/>
        </w:rPr>
      </w:pPr>
    </w:p>
    <w:p w14:paraId="50889209" w14:textId="77777777" w:rsidR="00FA4AA8" w:rsidRDefault="0015611F">
      <w:pPr>
        <w:pStyle w:val="BodyText"/>
        <w:ind w:left="563"/>
      </w:pPr>
      <w:r>
        <w:t>This classification applies from 1 January 2018.</w:t>
      </w:r>
    </w:p>
    <w:p w14:paraId="2257352B" w14:textId="77777777" w:rsidR="00FA4AA8" w:rsidRDefault="00FA4AA8">
      <w:pPr>
        <w:pStyle w:val="BodyText"/>
        <w:rPr>
          <w:sz w:val="25"/>
        </w:rPr>
      </w:pPr>
    </w:p>
    <w:p w14:paraId="069F8605" w14:textId="77777777" w:rsidR="00FA4AA8" w:rsidRDefault="0015611F">
      <w:pPr>
        <w:pStyle w:val="BodyText"/>
        <w:ind w:left="564"/>
      </w:pPr>
      <w:r>
        <w:t>Financial assets which do not meet the criteria of the objective of the Group's business model for managing financial assets or the characteristics of the contractual cash flows, are measured at fair value through profit or loss.</w:t>
      </w:r>
    </w:p>
    <w:p w14:paraId="30E527AA" w14:textId="77777777" w:rsidR="00FA4AA8" w:rsidRDefault="00FA4AA8">
      <w:pPr>
        <w:pStyle w:val="BodyText"/>
        <w:spacing w:before="11"/>
        <w:rPr>
          <w:sz w:val="24"/>
        </w:rPr>
      </w:pPr>
    </w:p>
    <w:p w14:paraId="622F60EC" w14:textId="77777777" w:rsidR="00FA4AA8" w:rsidRDefault="0015611F">
      <w:pPr>
        <w:pStyle w:val="BodyText"/>
        <w:ind w:left="564" w:right="132"/>
      </w:pPr>
      <w:r>
        <w:t>The fair values of quoted investments are based on current bid prices. These include reference to the fair values of recent arm’s length transactions, involving the same instruments or other instruments that are substantially the same, discounted cash flow analysis, and option pricing models refined to reflect the issuer’s specific circumstances.</w:t>
      </w:r>
    </w:p>
    <w:p w14:paraId="4EA63877" w14:textId="77777777" w:rsidR="00FA4AA8" w:rsidRDefault="00FA4AA8">
      <w:pPr>
        <w:pStyle w:val="BodyText"/>
        <w:spacing w:before="10"/>
        <w:rPr>
          <w:sz w:val="24"/>
        </w:rPr>
      </w:pPr>
    </w:p>
    <w:p w14:paraId="59D11B4D" w14:textId="77777777" w:rsidR="00FA4AA8" w:rsidRDefault="0015611F">
      <w:pPr>
        <w:numPr>
          <w:ilvl w:val="0"/>
          <w:numId w:val="13"/>
        </w:numPr>
        <w:tabs>
          <w:tab w:val="left" w:pos="833"/>
        </w:tabs>
        <w:ind w:left="832" w:hanging="269"/>
        <w:rPr>
          <w:b/>
          <w:i/>
          <w:sz w:val="18"/>
        </w:rPr>
      </w:pPr>
      <w:r>
        <w:rPr>
          <w:b/>
          <w:i/>
          <w:sz w:val="18"/>
        </w:rPr>
        <w:t>Financial assets at fair value through other comprehensive income</w:t>
      </w:r>
    </w:p>
    <w:p w14:paraId="46112C4B" w14:textId="77777777" w:rsidR="00FA4AA8" w:rsidRDefault="00FA4AA8">
      <w:pPr>
        <w:pStyle w:val="BodyText"/>
        <w:rPr>
          <w:b/>
          <w:i/>
          <w:sz w:val="25"/>
        </w:rPr>
      </w:pPr>
    </w:p>
    <w:p w14:paraId="1BDD127D" w14:textId="77777777" w:rsidR="00FA4AA8" w:rsidRDefault="0015611F">
      <w:pPr>
        <w:pStyle w:val="BodyText"/>
        <w:ind w:left="564"/>
      </w:pPr>
      <w:r>
        <w:t>This classification applies from 1 January 2018.</w:t>
      </w:r>
    </w:p>
    <w:p w14:paraId="0B1B05B4" w14:textId="77777777" w:rsidR="00FA4AA8" w:rsidRDefault="00FA4AA8">
      <w:pPr>
        <w:pStyle w:val="BodyText"/>
        <w:rPr>
          <w:sz w:val="25"/>
        </w:rPr>
      </w:pPr>
    </w:p>
    <w:p w14:paraId="26B67806" w14:textId="77777777" w:rsidR="00FA4AA8" w:rsidRDefault="0015611F">
      <w:pPr>
        <w:pStyle w:val="BodyText"/>
        <w:ind w:left="564"/>
      </w:pPr>
      <w:r>
        <w:t>On initial recognition of an equity instrument obtained for purposes other than simply a financial return, the Group irrevocably adopts to recognise changes in the fair value of the instrument in other comprehensive income. The Group does not define any other financial assets as not held for trading. Gains or losses on these financial assets are never recycled to the profit or loss.</w:t>
      </w:r>
    </w:p>
    <w:p w14:paraId="41274968" w14:textId="77777777" w:rsidR="00FA4AA8" w:rsidRDefault="00FA4AA8">
      <w:pPr>
        <w:sectPr w:rsidR="00FA4AA8">
          <w:pgSz w:w="11910" w:h="16840"/>
          <w:pgMar w:top="2220" w:right="880" w:bottom="720" w:left="840" w:header="1016" w:footer="523" w:gutter="0"/>
          <w:cols w:space="720"/>
        </w:sectPr>
      </w:pPr>
    </w:p>
    <w:p w14:paraId="1B3802B6" w14:textId="77777777" w:rsidR="00FA4AA8" w:rsidRDefault="00FA4AA8">
      <w:pPr>
        <w:pStyle w:val="BodyText"/>
        <w:rPr>
          <w:sz w:val="20"/>
        </w:rPr>
      </w:pPr>
    </w:p>
    <w:p w14:paraId="4ECCB11F" w14:textId="77777777" w:rsidR="00FA4AA8" w:rsidRDefault="00FA4AA8">
      <w:pPr>
        <w:pStyle w:val="BodyText"/>
        <w:spacing w:before="10"/>
        <w:rPr>
          <w:sz w:val="29"/>
        </w:rPr>
      </w:pPr>
    </w:p>
    <w:p w14:paraId="1DB3C429" w14:textId="77777777" w:rsidR="00FA4AA8" w:rsidRDefault="0015611F">
      <w:pPr>
        <w:spacing w:before="94"/>
        <w:ind w:left="167"/>
        <w:rPr>
          <w:b/>
          <w:sz w:val="18"/>
        </w:rPr>
      </w:pPr>
      <w:r>
        <w:rPr>
          <w:b/>
          <w:sz w:val="18"/>
        </w:rPr>
        <w:t>21 Other financial assets (continued)</w:t>
      </w:r>
    </w:p>
    <w:p w14:paraId="147920D4" w14:textId="77777777" w:rsidR="00FA4AA8" w:rsidRDefault="00FA4AA8">
      <w:pPr>
        <w:pStyle w:val="BodyText"/>
        <w:spacing w:before="7"/>
        <w:rPr>
          <w:b/>
          <w:sz w:val="26"/>
        </w:rPr>
      </w:pPr>
    </w:p>
    <w:p w14:paraId="05ED26E2" w14:textId="77777777" w:rsidR="00FA4AA8" w:rsidRDefault="0015611F">
      <w:pPr>
        <w:ind w:left="564"/>
        <w:rPr>
          <w:i/>
          <w:sz w:val="18"/>
        </w:rPr>
      </w:pPr>
      <w:r>
        <w:rPr>
          <w:i/>
          <w:sz w:val="18"/>
          <w:u w:val="single"/>
        </w:rPr>
        <w:t>Accounting Policy (continued)</w:t>
      </w:r>
    </w:p>
    <w:p w14:paraId="75F9529D" w14:textId="77777777" w:rsidR="00FA4AA8" w:rsidRDefault="00FA4AA8">
      <w:pPr>
        <w:pStyle w:val="BodyText"/>
        <w:spacing w:before="3"/>
        <w:rPr>
          <w:i/>
          <w:sz w:val="17"/>
        </w:rPr>
      </w:pPr>
    </w:p>
    <w:p w14:paraId="78E338CF" w14:textId="77777777" w:rsidR="00FA4AA8" w:rsidRDefault="0015611F">
      <w:pPr>
        <w:numPr>
          <w:ilvl w:val="0"/>
          <w:numId w:val="13"/>
        </w:numPr>
        <w:tabs>
          <w:tab w:val="left" w:pos="884"/>
        </w:tabs>
        <w:spacing w:before="94"/>
        <w:ind w:left="883" w:hanging="320"/>
        <w:rPr>
          <w:b/>
          <w:i/>
          <w:sz w:val="18"/>
        </w:rPr>
      </w:pPr>
      <w:r>
        <w:rPr>
          <w:b/>
          <w:i/>
          <w:sz w:val="18"/>
        </w:rPr>
        <w:t>Financial assets at amortised</w:t>
      </w:r>
      <w:r>
        <w:rPr>
          <w:b/>
          <w:i/>
          <w:spacing w:val="1"/>
          <w:sz w:val="18"/>
        </w:rPr>
        <w:t xml:space="preserve"> </w:t>
      </w:r>
      <w:r>
        <w:rPr>
          <w:b/>
          <w:i/>
          <w:sz w:val="18"/>
        </w:rPr>
        <w:t>cost</w:t>
      </w:r>
    </w:p>
    <w:p w14:paraId="40074D11" w14:textId="77777777" w:rsidR="00FA4AA8" w:rsidRDefault="00FA4AA8">
      <w:pPr>
        <w:pStyle w:val="BodyText"/>
        <w:rPr>
          <w:b/>
          <w:i/>
          <w:sz w:val="25"/>
        </w:rPr>
      </w:pPr>
    </w:p>
    <w:p w14:paraId="7324665B" w14:textId="77777777" w:rsidR="00FA4AA8" w:rsidRDefault="0015611F">
      <w:pPr>
        <w:pStyle w:val="BodyText"/>
        <w:ind w:left="564"/>
      </w:pPr>
      <w:r>
        <w:t>This classification applies from 1 January 2018.</w:t>
      </w:r>
    </w:p>
    <w:p w14:paraId="5677A173" w14:textId="77777777" w:rsidR="00FA4AA8" w:rsidRDefault="00FA4AA8">
      <w:pPr>
        <w:pStyle w:val="BodyText"/>
        <w:rPr>
          <w:sz w:val="25"/>
        </w:rPr>
      </w:pPr>
    </w:p>
    <w:p w14:paraId="4679A44D" w14:textId="77777777" w:rsidR="00FA4AA8" w:rsidRDefault="0015611F">
      <w:pPr>
        <w:pStyle w:val="BodyText"/>
        <w:ind w:left="563" w:right="132"/>
      </w:pPr>
      <w:r>
        <w:t>Where the main objective of the Group holding an asset or portfolio of assets is to collect contractual cash flows on specific dates and those cash flows are generally in the form of principal and/or interest, they are measured at amortised cost using the effective interest method and net of any impairment loss.</w:t>
      </w:r>
    </w:p>
    <w:p w14:paraId="43A0EA8D" w14:textId="77777777" w:rsidR="00FA4AA8" w:rsidRDefault="00FA4AA8">
      <w:pPr>
        <w:pStyle w:val="BodyText"/>
        <w:spacing w:before="10"/>
        <w:rPr>
          <w:sz w:val="24"/>
        </w:rPr>
      </w:pPr>
    </w:p>
    <w:p w14:paraId="0F52EF21" w14:textId="77777777" w:rsidR="00FA4AA8" w:rsidRDefault="0015611F">
      <w:pPr>
        <w:pStyle w:val="BodyText"/>
        <w:ind w:left="563"/>
      </w:pPr>
      <w:r>
        <w:t>When a financial asset at amortised cost is reclassified, its fair value at the reclassification date becomes its new gross carrying amount. Financial assets at amortised costs are assessed for evidence of impairment at the end of each reporting period.</w:t>
      </w:r>
    </w:p>
    <w:p w14:paraId="7BAC7889" w14:textId="77777777" w:rsidR="00FA4AA8" w:rsidRDefault="00FA4AA8">
      <w:pPr>
        <w:pStyle w:val="BodyText"/>
        <w:spacing w:before="10"/>
        <w:rPr>
          <w:sz w:val="24"/>
        </w:rPr>
      </w:pPr>
    </w:p>
    <w:p w14:paraId="22991EC6" w14:textId="77777777" w:rsidR="00FA4AA8" w:rsidRDefault="0015611F">
      <w:pPr>
        <w:numPr>
          <w:ilvl w:val="0"/>
          <w:numId w:val="13"/>
        </w:numPr>
        <w:tabs>
          <w:tab w:val="left" w:pos="884"/>
        </w:tabs>
        <w:spacing w:before="1"/>
        <w:ind w:left="883" w:hanging="320"/>
        <w:rPr>
          <w:b/>
          <w:i/>
          <w:sz w:val="18"/>
        </w:rPr>
      </w:pPr>
      <w:r>
        <w:rPr>
          <w:b/>
          <w:i/>
          <w:sz w:val="18"/>
        </w:rPr>
        <w:t>Held-to-maturity investments</w:t>
      </w:r>
    </w:p>
    <w:p w14:paraId="673E6745" w14:textId="77777777" w:rsidR="00FA4AA8" w:rsidRDefault="00FA4AA8">
      <w:pPr>
        <w:pStyle w:val="BodyText"/>
        <w:spacing w:before="11"/>
        <w:rPr>
          <w:b/>
          <w:i/>
          <w:sz w:val="24"/>
        </w:rPr>
      </w:pPr>
    </w:p>
    <w:p w14:paraId="600CBDFF" w14:textId="77777777" w:rsidR="00FA4AA8" w:rsidRDefault="0015611F">
      <w:pPr>
        <w:pStyle w:val="BodyText"/>
        <w:ind w:left="564"/>
      </w:pPr>
      <w:r>
        <w:t>This classification applies to 31 December 2017.</w:t>
      </w:r>
    </w:p>
    <w:p w14:paraId="63E1CA1C" w14:textId="77777777" w:rsidR="00FA4AA8" w:rsidRDefault="00FA4AA8">
      <w:pPr>
        <w:pStyle w:val="BodyText"/>
        <w:rPr>
          <w:sz w:val="25"/>
        </w:rPr>
      </w:pPr>
    </w:p>
    <w:p w14:paraId="68137248" w14:textId="77777777" w:rsidR="00FA4AA8" w:rsidRDefault="0015611F">
      <w:pPr>
        <w:pStyle w:val="BodyText"/>
        <w:ind w:left="564" w:right="132"/>
      </w:pPr>
      <w:r>
        <w:t>Held-to-maturity investments are non-derivative financial assets with fixed or determinable payments and fixed maturities that the Group's management has the positive intention and ability to hold to maturity.</w:t>
      </w:r>
    </w:p>
    <w:p w14:paraId="4D141364" w14:textId="77777777" w:rsidR="00FA4AA8" w:rsidRDefault="00FA4AA8">
      <w:pPr>
        <w:pStyle w:val="BodyText"/>
        <w:spacing w:before="11"/>
        <w:rPr>
          <w:sz w:val="24"/>
        </w:rPr>
      </w:pPr>
    </w:p>
    <w:p w14:paraId="1638B800" w14:textId="77777777" w:rsidR="00FA4AA8" w:rsidRDefault="0015611F">
      <w:pPr>
        <w:pStyle w:val="BodyText"/>
        <w:ind w:left="563" w:right="132"/>
      </w:pPr>
      <w:r>
        <w:t>The Group has designated as held-to-maturity investments its investment in a fixed income portfolio managed by JBWere Limited.</w:t>
      </w:r>
    </w:p>
    <w:p w14:paraId="18F79538" w14:textId="77777777" w:rsidR="00FA4AA8" w:rsidRDefault="00FA4AA8">
      <w:pPr>
        <w:pStyle w:val="BodyText"/>
        <w:spacing w:before="11"/>
        <w:rPr>
          <w:sz w:val="24"/>
        </w:rPr>
      </w:pPr>
    </w:p>
    <w:p w14:paraId="6D24482D" w14:textId="77777777" w:rsidR="00FA4AA8" w:rsidRDefault="0015611F">
      <w:pPr>
        <w:numPr>
          <w:ilvl w:val="0"/>
          <w:numId w:val="13"/>
        </w:numPr>
        <w:tabs>
          <w:tab w:val="left" w:pos="833"/>
        </w:tabs>
        <w:ind w:left="832" w:hanging="269"/>
        <w:rPr>
          <w:b/>
          <w:i/>
          <w:sz w:val="18"/>
        </w:rPr>
      </w:pPr>
      <w:r>
        <w:rPr>
          <w:b/>
          <w:i/>
          <w:sz w:val="18"/>
        </w:rPr>
        <w:t>Loans and</w:t>
      </w:r>
      <w:r>
        <w:rPr>
          <w:b/>
          <w:i/>
          <w:spacing w:val="1"/>
          <w:sz w:val="18"/>
        </w:rPr>
        <w:t xml:space="preserve"> </w:t>
      </w:r>
      <w:r>
        <w:rPr>
          <w:b/>
          <w:i/>
          <w:sz w:val="18"/>
        </w:rPr>
        <w:t>receivables</w:t>
      </w:r>
    </w:p>
    <w:p w14:paraId="23F1E773" w14:textId="77777777" w:rsidR="00FA4AA8" w:rsidRDefault="00FA4AA8">
      <w:pPr>
        <w:pStyle w:val="BodyText"/>
        <w:spacing w:before="11"/>
        <w:rPr>
          <w:b/>
          <w:i/>
          <w:sz w:val="24"/>
        </w:rPr>
      </w:pPr>
    </w:p>
    <w:p w14:paraId="1248FF6C" w14:textId="77777777" w:rsidR="00FA4AA8" w:rsidRDefault="0015611F">
      <w:pPr>
        <w:pStyle w:val="BodyText"/>
        <w:ind w:left="564" w:right="161"/>
      </w:pPr>
      <w:r>
        <w:t>Loans and receivables are non-derivative financial assets with fixed or determinable payments that are not quoted in an active market. They are included in current assets, except for those with maturities greater than 12 months after the end of the reporting period which are classified as non-current assets. Loans and receivables are included in receivables in the statement of financial</w:t>
      </w:r>
      <w:r>
        <w:rPr>
          <w:spacing w:val="6"/>
        </w:rPr>
        <w:t xml:space="preserve"> </w:t>
      </w:r>
      <w:r>
        <w:t>position.</w:t>
      </w:r>
    </w:p>
    <w:p w14:paraId="157B8124" w14:textId="77777777" w:rsidR="00FA4AA8" w:rsidRDefault="00FA4AA8">
      <w:pPr>
        <w:pStyle w:val="BodyText"/>
        <w:spacing w:before="10"/>
        <w:rPr>
          <w:sz w:val="24"/>
        </w:rPr>
      </w:pPr>
    </w:p>
    <w:p w14:paraId="3E1610AE" w14:textId="77777777" w:rsidR="00FA4AA8" w:rsidRDefault="0015611F">
      <w:pPr>
        <w:numPr>
          <w:ilvl w:val="0"/>
          <w:numId w:val="13"/>
        </w:numPr>
        <w:tabs>
          <w:tab w:val="left" w:pos="884"/>
        </w:tabs>
        <w:ind w:left="883" w:hanging="320"/>
        <w:rPr>
          <w:b/>
          <w:i/>
          <w:sz w:val="18"/>
        </w:rPr>
      </w:pPr>
      <w:r>
        <w:rPr>
          <w:b/>
          <w:i/>
          <w:sz w:val="18"/>
        </w:rPr>
        <w:t>Available-for-sale financial assets</w:t>
      </w:r>
    </w:p>
    <w:p w14:paraId="6F8AAB70" w14:textId="77777777" w:rsidR="00FA4AA8" w:rsidRDefault="00FA4AA8">
      <w:pPr>
        <w:pStyle w:val="BodyText"/>
        <w:rPr>
          <w:b/>
          <w:i/>
          <w:sz w:val="25"/>
        </w:rPr>
      </w:pPr>
    </w:p>
    <w:p w14:paraId="35DFEBC9" w14:textId="77777777" w:rsidR="00FA4AA8" w:rsidRDefault="0015611F">
      <w:pPr>
        <w:pStyle w:val="BodyText"/>
        <w:ind w:left="564"/>
      </w:pPr>
      <w:r>
        <w:t>This classification applies to 31 December 2017.</w:t>
      </w:r>
    </w:p>
    <w:p w14:paraId="6A6560D9" w14:textId="77777777" w:rsidR="00FA4AA8" w:rsidRDefault="00FA4AA8">
      <w:pPr>
        <w:pStyle w:val="BodyText"/>
        <w:rPr>
          <w:sz w:val="25"/>
        </w:rPr>
      </w:pPr>
    </w:p>
    <w:p w14:paraId="4E415513" w14:textId="77777777" w:rsidR="00FA4AA8" w:rsidRDefault="0015611F">
      <w:pPr>
        <w:pStyle w:val="BodyText"/>
        <w:ind w:left="564" w:right="132"/>
      </w:pPr>
      <w:r>
        <w:t>Available-for-sale financial assets, comprising principally marketable equity securities, are non-derivatives that are either designated in this category.</w:t>
      </w:r>
    </w:p>
    <w:p w14:paraId="3B69977D" w14:textId="77777777" w:rsidR="00FA4AA8" w:rsidRDefault="00FA4AA8">
      <w:pPr>
        <w:pStyle w:val="BodyText"/>
        <w:spacing w:before="10"/>
        <w:rPr>
          <w:sz w:val="24"/>
        </w:rPr>
      </w:pPr>
    </w:p>
    <w:p w14:paraId="5CE56B3A" w14:textId="77777777" w:rsidR="00FA4AA8" w:rsidRDefault="0015611F">
      <w:pPr>
        <w:pStyle w:val="BodyText"/>
        <w:spacing w:before="1"/>
        <w:ind w:left="564"/>
      </w:pPr>
      <w:r>
        <w:t>The Group has designated as available-for-sale:</w:t>
      </w:r>
    </w:p>
    <w:p w14:paraId="684F8196" w14:textId="77777777" w:rsidR="00FA4AA8" w:rsidRDefault="00FA4AA8">
      <w:pPr>
        <w:pStyle w:val="BodyText"/>
        <w:spacing w:before="11"/>
        <w:rPr>
          <w:sz w:val="24"/>
        </w:rPr>
      </w:pPr>
    </w:p>
    <w:p w14:paraId="4D2B3873" w14:textId="77777777" w:rsidR="00FA4AA8" w:rsidRDefault="0015611F">
      <w:pPr>
        <w:pStyle w:val="ListParagraph"/>
        <w:numPr>
          <w:ilvl w:val="0"/>
          <w:numId w:val="99"/>
        </w:numPr>
        <w:tabs>
          <w:tab w:val="left" w:pos="777"/>
        </w:tabs>
        <w:ind w:hanging="163"/>
        <w:rPr>
          <w:sz w:val="18"/>
        </w:rPr>
      </w:pPr>
      <w:r>
        <w:rPr>
          <w:sz w:val="18"/>
        </w:rPr>
        <w:t>units held in Acadian Australian Equity High Yield Fund, a managed investment fund;</w:t>
      </w:r>
      <w:r>
        <w:rPr>
          <w:spacing w:val="13"/>
          <w:sz w:val="18"/>
        </w:rPr>
        <w:t xml:space="preserve"> </w:t>
      </w:r>
      <w:r>
        <w:rPr>
          <w:sz w:val="18"/>
        </w:rPr>
        <w:t>and</w:t>
      </w:r>
    </w:p>
    <w:p w14:paraId="0E216F45" w14:textId="77777777" w:rsidR="00FA4AA8" w:rsidRDefault="00FA4AA8">
      <w:pPr>
        <w:pStyle w:val="BodyText"/>
        <w:rPr>
          <w:sz w:val="25"/>
        </w:rPr>
      </w:pPr>
    </w:p>
    <w:p w14:paraId="33B6553A" w14:textId="77777777" w:rsidR="00FA4AA8" w:rsidRDefault="0015611F">
      <w:pPr>
        <w:pStyle w:val="ListParagraph"/>
        <w:numPr>
          <w:ilvl w:val="0"/>
          <w:numId w:val="99"/>
        </w:numPr>
        <w:tabs>
          <w:tab w:val="left" w:pos="777"/>
        </w:tabs>
        <w:ind w:hanging="163"/>
        <w:rPr>
          <w:sz w:val="18"/>
        </w:rPr>
      </w:pPr>
      <w:r>
        <w:rPr>
          <w:sz w:val="18"/>
        </w:rPr>
        <w:t>unlisted</w:t>
      </w:r>
      <w:r>
        <w:rPr>
          <w:spacing w:val="1"/>
          <w:sz w:val="18"/>
        </w:rPr>
        <w:t xml:space="preserve"> </w:t>
      </w:r>
      <w:r>
        <w:rPr>
          <w:sz w:val="18"/>
        </w:rPr>
        <w:t>securities</w:t>
      </w:r>
    </w:p>
    <w:p w14:paraId="74F05D85" w14:textId="77777777" w:rsidR="00FA4AA8" w:rsidRDefault="00FA4AA8">
      <w:pPr>
        <w:pStyle w:val="BodyText"/>
        <w:rPr>
          <w:sz w:val="25"/>
        </w:rPr>
      </w:pPr>
    </w:p>
    <w:p w14:paraId="4440B426" w14:textId="77777777" w:rsidR="00FA4AA8" w:rsidRDefault="0015611F">
      <w:pPr>
        <w:pStyle w:val="BodyText"/>
        <w:ind w:left="564"/>
      </w:pPr>
      <w:r>
        <w:t>The Acadian Australian Equity High Yield Fund units and unlisted securities are included as non-current assets in the statement of financial</w:t>
      </w:r>
      <w:r>
        <w:rPr>
          <w:spacing w:val="3"/>
        </w:rPr>
        <w:t xml:space="preserve"> </w:t>
      </w:r>
      <w:r>
        <w:t>position.</w:t>
      </w:r>
    </w:p>
    <w:p w14:paraId="014BE0F6" w14:textId="77777777" w:rsidR="00FA4AA8" w:rsidRDefault="00FA4AA8">
      <w:pPr>
        <w:pStyle w:val="BodyText"/>
        <w:spacing w:before="11"/>
        <w:rPr>
          <w:sz w:val="24"/>
        </w:rPr>
      </w:pPr>
    </w:p>
    <w:p w14:paraId="5701F7F6" w14:textId="77777777" w:rsidR="00FA4AA8" w:rsidRDefault="0015611F">
      <w:pPr>
        <w:pStyle w:val="BodyText"/>
        <w:ind w:left="564" w:right="220"/>
      </w:pPr>
      <w:r>
        <w:t>Unrealised gains and losses arising from changes in the fair value of financial assets classified as available-for-sale are recognised in equity in the available-for-sale investments revaluation reserve (note 27).</w:t>
      </w:r>
    </w:p>
    <w:p w14:paraId="019273DC" w14:textId="77777777" w:rsidR="00FA4AA8" w:rsidRDefault="00FA4AA8">
      <w:pPr>
        <w:sectPr w:rsidR="00FA4AA8">
          <w:pgSz w:w="11910" w:h="16840"/>
          <w:pgMar w:top="2220" w:right="880" w:bottom="720" w:left="840" w:header="1016" w:footer="523" w:gutter="0"/>
          <w:cols w:space="720"/>
        </w:sectPr>
      </w:pPr>
    </w:p>
    <w:p w14:paraId="6A73758B" w14:textId="77777777" w:rsidR="00FA4AA8" w:rsidRDefault="00FA4AA8">
      <w:pPr>
        <w:pStyle w:val="BodyText"/>
        <w:rPr>
          <w:sz w:val="20"/>
        </w:rPr>
      </w:pPr>
    </w:p>
    <w:p w14:paraId="6A713F4B" w14:textId="77777777" w:rsidR="00FA4AA8" w:rsidRDefault="00FA4AA8">
      <w:pPr>
        <w:pStyle w:val="BodyText"/>
        <w:spacing w:before="10"/>
        <w:rPr>
          <w:sz w:val="29"/>
        </w:rPr>
      </w:pPr>
    </w:p>
    <w:p w14:paraId="159617D6" w14:textId="77777777" w:rsidR="00FA4AA8" w:rsidRDefault="0015611F">
      <w:pPr>
        <w:numPr>
          <w:ilvl w:val="0"/>
          <w:numId w:val="98"/>
        </w:numPr>
        <w:tabs>
          <w:tab w:val="left" w:pos="564"/>
        </w:tabs>
        <w:spacing w:before="94"/>
        <w:ind w:hanging="397"/>
        <w:rPr>
          <w:b/>
          <w:sz w:val="18"/>
        </w:rPr>
      </w:pPr>
      <w:r>
        <w:rPr>
          <w:b/>
          <w:sz w:val="18"/>
        </w:rPr>
        <w:t>Other financial assets (continued)</w:t>
      </w:r>
    </w:p>
    <w:p w14:paraId="3A1D1C53" w14:textId="77777777" w:rsidR="00FA4AA8" w:rsidRDefault="00FA4AA8">
      <w:pPr>
        <w:pStyle w:val="BodyText"/>
        <w:spacing w:before="7"/>
        <w:rPr>
          <w:b/>
          <w:sz w:val="26"/>
        </w:rPr>
      </w:pPr>
    </w:p>
    <w:p w14:paraId="09D45CBF" w14:textId="77777777" w:rsidR="00FA4AA8" w:rsidRDefault="0015611F">
      <w:pPr>
        <w:ind w:left="564"/>
        <w:rPr>
          <w:i/>
          <w:sz w:val="18"/>
        </w:rPr>
      </w:pPr>
      <w:r>
        <w:rPr>
          <w:i/>
          <w:sz w:val="18"/>
          <w:u w:val="single"/>
        </w:rPr>
        <w:t>Accounting Policy (continued)</w:t>
      </w:r>
    </w:p>
    <w:p w14:paraId="32F6AE87" w14:textId="77777777" w:rsidR="00FA4AA8" w:rsidRDefault="00FA4AA8">
      <w:pPr>
        <w:pStyle w:val="BodyText"/>
        <w:spacing w:before="3"/>
        <w:rPr>
          <w:i/>
          <w:sz w:val="17"/>
        </w:rPr>
      </w:pPr>
    </w:p>
    <w:p w14:paraId="3C925227" w14:textId="77777777" w:rsidR="00FA4AA8" w:rsidRDefault="0015611F">
      <w:pPr>
        <w:spacing w:before="94"/>
        <w:ind w:left="564"/>
        <w:rPr>
          <w:b/>
          <w:sz w:val="18"/>
        </w:rPr>
      </w:pPr>
      <w:r>
        <w:rPr>
          <w:b/>
          <w:sz w:val="18"/>
        </w:rPr>
        <w:t>Impairment</w:t>
      </w:r>
    </w:p>
    <w:p w14:paraId="5466653A" w14:textId="77777777" w:rsidR="00FA4AA8" w:rsidRDefault="00FA4AA8">
      <w:pPr>
        <w:pStyle w:val="BodyText"/>
        <w:rPr>
          <w:b/>
          <w:sz w:val="25"/>
        </w:rPr>
      </w:pPr>
    </w:p>
    <w:p w14:paraId="774651B6" w14:textId="77777777" w:rsidR="00FA4AA8" w:rsidRDefault="0015611F">
      <w:pPr>
        <w:pStyle w:val="BodyText"/>
        <w:ind w:left="563" w:right="132"/>
      </w:pPr>
      <w:r>
        <w:t>The adoption of AASB9 has fundamentally changed the Group’s accounting for impairment losses for financial assets by replacing AASB139’s incurred loss approach with a forward-looking expected credit loss (ECL) approach.</w:t>
      </w:r>
    </w:p>
    <w:p w14:paraId="5FB9A5AE" w14:textId="77777777" w:rsidR="00FA4AA8" w:rsidRDefault="00FA4AA8">
      <w:pPr>
        <w:pStyle w:val="BodyText"/>
        <w:spacing w:before="11"/>
        <w:rPr>
          <w:sz w:val="24"/>
        </w:rPr>
      </w:pPr>
    </w:p>
    <w:p w14:paraId="7015FA12" w14:textId="77777777" w:rsidR="00FA4AA8" w:rsidRDefault="0015611F">
      <w:pPr>
        <w:pStyle w:val="BodyText"/>
        <w:ind w:left="564" w:right="132"/>
      </w:pPr>
      <w:bookmarkStart w:id="47" w:name="22_Other_non-financial_assets_"/>
      <w:bookmarkEnd w:id="47"/>
      <w:r>
        <w:t>AASB9 requires the Group to recognise an allowance for ECLs for all debt instruments not held at fair value through profit or loss and contract assets. ECLs are based on the difference between the contractual cash flows due in accordance with the contract and all the cash flows that the Group expects to receive, discounted at an approximation of the original effective interest</w:t>
      </w:r>
      <w:r>
        <w:rPr>
          <w:spacing w:val="5"/>
        </w:rPr>
        <w:t xml:space="preserve"> </w:t>
      </w:r>
      <w:r>
        <w:t>rate.</w:t>
      </w:r>
    </w:p>
    <w:p w14:paraId="16277A08" w14:textId="77777777" w:rsidR="00FA4AA8" w:rsidRDefault="00FA4AA8">
      <w:pPr>
        <w:pStyle w:val="BodyText"/>
        <w:spacing w:before="7"/>
        <w:rPr>
          <w:sz w:val="16"/>
        </w:rPr>
      </w:pPr>
    </w:p>
    <w:p w14:paraId="03813131" w14:textId="77777777" w:rsidR="00FA4AA8" w:rsidRDefault="0015611F">
      <w:pPr>
        <w:numPr>
          <w:ilvl w:val="0"/>
          <w:numId w:val="98"/>
        </w:numPr>
        <w:tabs>
          <w:tab w:val="left" w:pos="564"/>
        </w:tabs>
        <w:spacing w:before="95"/>
        <w:ind w:hanging="397"/>
        <w:rPr>
          <w:b/>
          <w:sz w:val="18"/>
        </w:rPr>
      </w:pPr>
      <w:r>
        <w:rPr>
          <w:b/>
          <w:sz w:val="18"/>
        </w:rPr>
        <w:t>Other non-financial assets</w:t>
      </w:r>
    </w:p>
    <w:p w14:paraId="0E48E5B1" w14:textId="77777777" w:rsidR="00FA4AA8" w:rsidRDefault="0015611F">
      <w:pPr>
        <w:tabs>
          <w:tab w:val="left" w:pos="8426"/>
        </w:tabs>
        <w:spacing w:before="33"/>
        <w:ind w:left="5376"/>
        <w:rPr>
          <w:b/>
          <w:sz w:val="18"/>
        </w:rPr>
      </w:pPr>
      <w:r>
        <w:rPr>
          <w:b/>
          <w:sz w:val="18"/>
        </w:rPr>
        <w:t>Consolidated</w:t>
      </w:r>
      <w:r>
        <w:rPr>
          <w:b/>
          <w:sz w:val="18"/>
        </w:rPr>
        <w:tab/>
        <w:t>Parent</w:t>
      </w:r>
    </w:p>
    <w:p w14:paraId="1DA07651" w14:textId="77777777" w:rsidR="00FA4AA8" w:rsidRDefault="00FA4AA8">
      <w:pPr>
        <w:pStyle w:val="BodyText"/>
        <w:spacing w:before="3"/>
        <w:rPr>
          <w:b/>
          <w:sz w:val="6"/>
        </w:rPr>
      </w:pPr>
    </w:p>
    <w:tbl>
      <w:tblPr>
        <w:tblW w:w="0" w:type="auto"/>
        <w:tblInd w:w="521" w:type="dxa"/>
        <w:tblLayout w:type="fixed"/>
        <w:tblCellMar>
          <w:left w:w="0" w:type="dxa"/>
          <w:right w:w="0" w:type="dxa"/>
        </w:tblCellMar>
        <w:tblLook w:val="01E0" w:firstRow="1" w:lastRow="1" w:firstColumn="1" w:lastColumn="1" w:noHBand="0" w:noVBand="0"/>
      </w:tblPr>
      <w:tblGrid>
        <w:gridCol w:w="4039"/>
        <w:gridCol w:w="1464"/>
        <w:gridCol w:w="1296"/>
        <w:gridCol w:w="168"/>
        <w:gridCol w:w="1458"/>
        <w:gridCol w:w="1134"/>
      </w:tblGrid>
      <w:tr w:rsidR="00FA4AA8" w14:paraId="32BB812E" w14:textId="77777777">
        <w:trPr>
          <w:trHeight w:val="844"/>
        </w:trPr>
        <w:tc>
          <w:tcPr>
            <w:tcW w:w="4039" w:type="dxa"/>
          </w:tcPr>
          <w:p w14:paraId="2FE7D20D" w14:textId="77777777" w:rsidR="00FA4AA8" w:rsidRDefault="00FA4AA8">
            <w:pPr>
              <w:pStyle w:val="TableParagraph"/>
              <w:rPr>
                <w:b/>
                <w:sz w:val="20"/>
              </w:rPr>
            </w:pPr>
          </w:p>
          <w:p w14:paraId="6B720148" w14:textId="77777777" w:rsidR="00FA4AA8" w:rsidRDefault="00FA4AA8">
            <w:pPr>
              <w:pStyle w:val="TableParagraph"/>
              <w:rPr>
                <w:b/>
                <w:sz w:val="20"/>
              </w:rPr>
            </w:pPr>
          </w:p>
          <w:p w14:paraId="0FA808B7" w14:textId="77777777" w:rsidR="00FA4AA8" w:rsidRDefault="0015611F">
            <w:pPr>
              <w:pStyle w:val="TableParagraph"/>
              <w:spacing w:before="160" w:line="204" w:lineRule="exact"/>
              <w:ind w:left="76"/>
              <w:rPr>
                <w:b/>
                <w:sz w:val="18"/>
              </w:rPr>
            </w:pPr>
            <w:r>
              <w:rPr>
                <w:b/>
                <w:sz w:val="18"/>
              </w:rPr>
              <w:t>Current</w:t>
            </w:r>
          </w:p>
        </w:tc>
        <w:tc>
          <w:tcPr>
            <w:tcW w:w="1464" w:type="dxa"/>
          </w:tcPr>
          <w:p w14:paraId="3C631B23" w14:textId="77777777" w:rsidR="00FA4AA8" w:rsidRDefault="0015611F">
            <w:pPr>
              <w:pStyle w:val="TableParagraph"/>
              <w:spacing w:line="201" w:lineRule="exact"/>
              <w:ind w:left="599"/>
              <w:rPr>
                <w:b/>
                <w:sz w:val="18"/>
              </w:rPr>
            </w:pPr>
            <w:r>
              <w:rPr>
                <w:b/>
                <w:sz w:val="18"/>
              </w:rPr>
              <w:t>2018</w:t>
            </w:r>
          </w:p>
          <w:p w14:paraId="4114F292" w14:textId="77777777" w:rsidR="00FA4AA8" w:rsidRDefault="0015611F">
            <w:pPr>
              <w:pStyle w:val="TableParagraph"/>
              <w:spacing w:before="66"/>
              <w:ind w:left="578"/>
              <w:rPr>
                <w:b/>
                <w:sz w:val="18"/>
              </w:rPr>
            </w:pPr>
            <w:r>
              <w:rPr>
                <w:b/>
                <w:sz w:val="18"/>
              </w:rPr>
              <w:t>$'000</w:t>
            </w:r>
          </w:p>
        </w:tc>
        <w:tc>
          <w:tcPr>
            <w:tcW w:w="1296" w:type="dxa"/>
          </w:tcPr>
          <w:p w14:paraId="5BAA913F" w14:textId="77777777" w:rsidR="00FA4AA8" w:rsidRDefault="0015611F">
            <w:pPr>
              <w:pStyle w:val="TableParagraph"/>
              <w:spacing w:line="201" w:lineRule="exact"/>
              <w:ind w:left="431"/>
              <w:rPr>
                <w:b/>
                <w:sz w:val="18"/>
              </w:rPr>
            </w:pPr>
            <w:r>
              <w:rPr>
                <w:b/>
                <w:sz w:val="18"/>
              </w:rPr>
              <w:t>2017</w:t>
            </w:r>
          </w:p>
          <w:p w14:paraId="3992FF4B" w14:textId="77777777" w:rsidR="00FA4AA8" w:rsidRDefault="0015611F">
            <w:pPr>
              <w:pStyle w:val="TableParagraph"/>
              <w:spacing w:before="66"/>
              <w:ind w:left="410"/>
              <w:rPr>
                <w:b/>
                <w:sz w:val="18"/>
              </w:rPr>
            </w:pPr>
            <w:r>
              <w:rPr>
                <w:b/>
                <w:sz w:val="18"/>
              </w:rPr>
              <w:t>$'000</w:t>
            </w:r>
          </w:p>
        </w:tc>
        <w:tc>
          <w:tcPr>
            <w:tcW w:w="168" w:type="dxa"/>
          </w:tcPr>
          <w:p w14:paraId="5758BF2E" w14:textId="77777777" w:rsidR="00FA4AA8" w:rsidRDefault="00FA4AA8">
            <w:pPr>
              <w:pStyle w:val="TableParagraph"/>
              <w:rPr>
                <w:rFonts w:ascii="Times New Roman"/>
                <w:sz w:val="18"/>
              </w:rPr>
            </w:pPr>
          </w:p>
        </w:tc>
        <w:tc>
          <w:tcPr>
            <w:tcW w:w="1458" w:type="dxa"/>
          </w:tcPr>
          <w:p w14:paraId="02AB26E0" w14:textId="77777777" w:rsidR="00FA4AA8" w:rsidRDefault="0015611F">
            <w:pPr>
              <w:pStyle w:val="TableParagraph"/>
              <w:spacing w:line="201" w:lineRule="exact"/>
              <w:ind w:left="431"/>
              <w:rPr>
                <w:b/>
                <w:sz w:val="18"/>
              </w:rPr>
            </w:pPr>
            <w:r>
              <w:rPr>
                <w:b/>
                <w:sz w:val="18"/>
              </w:rPr>
              <w:t>2018</w:t>
            </w:r>
          </w:p>
          <w:p w14:paraId="7AFF06B6" w14:textId="77777777" w:rsidR="00FA4AA8" w:rsidRDefault="0015611F">
            <w:pPr>
              <w:pStyle w:val="TableParagraph"/>
              <w:spacing w:before="66"/>
              <w:ind w:left="410"/>
              <w:rPr>
                <w:b/>
                <w:sz w:val="18"/>
              </w:rPr>
            </w:pPr>
            <w:r>
              <w:rPr>
                <w:b/>
                <w:sz w:val="18"/>
              </w:rPr>
              <w:t>$'000</w:t>
            </w:r>
          </w:p>
        </w:tc>
        <w:tc>
          <w:tcPr>
            <w:tcW w:w="1134" w:type="dxa"/>
          </w:tcPr>
          <w:p w14:paraId="24B15BD3" w14:textId="77777777" w:rsidR="00FA4AA8" w:rsidRDefault="0015611F">
            <w:pPr>
              <w:pStyle w:val="TableParagraph"/>
              <w:spacing w:line="201" w:lineRule="exact"/>
              <w:ind w:left="269"/>
              <w:rPr>
                <w:b/>
                <w:sz w:val="18"/>
              </w:rPr>
            </w:pPr>
            <w:r>
              <w:rPr>
                <w:b/>
                <w:sz w:val="18"/>
              </w:rPr>
              <w:t>2017</w:t>
            </w:r>
          </w:p>
          <w:p w14:paraId="431C60D4" w14:textId="77777777" w:rsidR="00FA4AA8" w:rsidRDefault="0015611F">
            <w:pPr>
              <w:pStyle w:val="TableParagraph"/>
              <w:spacing w:before="66"/>
              <w:ind w:left="248"/>
              <w:rPr>
                <w:b/>
                <w:sz w:val="18"/>
              </w:rPr>
            </w:pPr>
            <w:r>
              <w:rPr>
                <w:b/>
                <w:sz w:val="18"/>
              </w:rPr>
              <w:t>$'000</w:t>
            </w:r>
          </w:p>
        </w:tc>
      </w:tr>
      <w:tr w:rsidR="00FA4AA8" w14:paraId="76DD1AFC" w14:textId="77777777">
        <w:trPr>
          <w:trHeight w:val="243"/>
        </w:trPr>
        <w:tc>
          <w:tcPr>
            <w:tcW w:w="4039" w:type="dxa"/>
          </w:tcPr>
          <w:p w14:paraId="5E578538" w14:textId="77777777" w:rsidR="00FA4AA8" w:rsidRDefault="0015611F">
            <w:pPr>
              <w:pStyle w:val="TableParagraph"/>
              <w:spacing w:before="13"/>
              <w:ind w:left="76"/>
              <w:rPr>
                <w:sz w:val="18"/>
              </w:rPr>
            </w:pPr>
            <w:r>
              <w:rPr>
                <w:sz w:val="18"/>
              </w:rPr>
              <w:t>Lease incentives</w:t>
            </w:r>
          </w:p>
        </w:tc>
        <w:tc>
          <w:tcPr>
            <w:tcW w:w="1464" w:type="dxa"/>
            <w:tcBorders>
              <w:bottom w:val="single" w:sz="8" w:space="0" w:color="000000"/>
            </w:tcBorders>
          </w:tcPr>
          <w:p w14:paraId="5E9EA86F" w14:textId="77777777" w:rsidR="00FA4AA8" w:rsidRDefault="0015611F">
            <w:pPr>
              <w:pStyle w:val="TableParagraph"/>
              <w:spacing w:before="11"/>
              <w:ind w:right="84"/>
              <w:jc w:val="right"/>
              <w:rPr>
                <w:b/>
                <w:sz w:val="18"/>
              </w:rPr>
            </w:pPr>
            <w:r>
              <w:rPr>
                <w:b/>
                <w:sz w:val="18"/>
              </w:rPr>
              <w:t>1,137</w:t>
            </w:r>
          </w:p>
        </w:tc>
        <w:tc>
          <w:tcPr>
            <w:tcW w:w="1296" w:type="dxa"/>
            <w:tcBorders>
              <w:bottom w:val="single" w:sz="8" w:space="0" w:color="000000"/>
            </w:tcBorders>
          </w:tcPr>
          <w:p w14:paraId="07B0842B" w14:textId="77777777" w:rsidR="00FA4AA8" w:rsidRDefault="0015611F">
            <w:pPr>
              <w:pStyle w:val="TableParagraph"/>
              <w:spacing w:before="11"/>
              <w:ind w:right="84"/>
              <w:jc w:val="right"/>
              <w:rPr>
                <w:sz w:val="18"/>
              </w:rPr>
            </w:pPr>
            <w:r>
              <w:rPr>
                <w:sz w:val="18"/>
              </w:rPr>
              <w:t>1,196</w:t>
            </w:r>
          </w:p>
        </w:tc>
        <w:tc>
          <w:tcPr>
            <w:tcW w:w="168" w:type="dxa"/>
            <w:tcBorders>
              <w:bottom w:val="single" w:sz="8" w:space="0" w:color="000000"/>
            </w:tcBorders>
          </w:tcPr>
          <w:p w14:paraId="19CB10EF" w14:textId="77777777" w:rsidR="00FA4AA8" w:rsidRDefault="00FA4AA8">
            <w:pPr>
              <w:pStyle w:val="TableParagraph"/>
              <w:rPr>
                <w:rFonts w:ascii="Times New Roman"/>
                <w:sz w:val="16"/>
              </w:rPr>
            </w:pPr>
          </w:p>
        </w:tc>
        <w:tc>
          <w:tcPr>
            <w:tcW w:w="1458" w:type="dxa"/>
            <w:tcBorders>
              <w:bottom w:val="single" w:sz="8" w:space="0" w:color="000000"/>
            </w:tcBorders>
          </w:tcPr>
          <w:p w14:paraId="1E5553DA" w14:textId="77777777" w:rsidR="00FA4AA8" w:rsidRDefault="0015611F">
            <w:pPr>
              <w:pStyle w:val="TableParagraph"/>
              <w:spacing w:before="11"/>
              <w:ind w:right="246"/>
              <w:jc w:val="right"/>
              <w:rPr>
                <w:b/>
                <w:sz w:val="18"/>
              </w:rPr>
            </w:pPr>
            <w:r>
              <w:rPr>
                <w:b/>
                <w:sz w:val="18"/>
              </w:rPr>
              <w:t>1,137</w:t>
            </w:r>
          </w:p>
        </w:tc>
        <w:tc>
          <w:tcPr>
            <w:tcW w:w="1134" w:type="dxa"/>
            <w:tcBorders>
              <w:bottom w:val="single" w:sz="8" w:space="0" w:color="000000"/>
            </w:tcBorders>
          </w:tcPr>
          <w:p w14:paraId="4A7EA06C" w14:textId="77777777" w:rsidR="00FA4AA8" w:rsidRDefault="0015611F">
            <w:pPr>
              <w:pStyle w:val="TableParagraph"/>
              <w:spacing w:before="11"/>
              <w:ind w:right="84"/>
              <w:jc w:val="right"/>
              <w:rPr>
                <w:sz w:val="18"/>
              </w:rPr>
            </w:pPr>
            <w:r>
              <w:rPr>
                <w:sz w:val="18"/>
              </w:rPr>
              <w:t>1,196</w:t>
            </w:r>
          </w:p>
        </w:tc>
      </w:tr>
      <w:tr w:rsidR="00FA4AA8" w14:paraId="1B305ED2" w14:textId="77777777">
        <w:trPr>
          <w:trHeight w:val="524"/>
        </w:trPr>
        <w:tc>
          <w:tcPr>
            <w:tcW w:w="4039" w:type="dxa"/>
          </w:tcPr>
          <w:p w14:paraId="1B6127E4" w14:textId="77777777" w:rsidR="00FA4AA8" w:rsidRDefault="0015611F">
            <w:pPr>
              <w:pStyle w:val="TableParagraph"/>
              <w:spacing w:before="119" w:line="206" w:lineRule="exact"/>
              <w:ind w:left="76" w:right="1903"/>
              <w:rPr>
                <w:b/>
                <w:sz w:val="18"/>
              </w:rPr>
            </w:pPr>
            <w:r>
              <w:rPr>
                <w:b/>
                <w:sz w:val="18"/>
              </w:rPr>
              <w:t>Total current other non- financial assets</w:t>
            </w:r>
          </w:p>
        </w:tc>
        <w:tc>
          <w:tcPr>
            <w:tcW w:w="1464" w:type="dxa"/>
            <w:tcBorders>
              <w:top w:val="single" w:sz="8" w:space="0" w:color="000000"/>
              <w:bottom w:val="single" w:sz="8" w:space="0" w:color="000000"/>
            </w:tcBorders>
          </w:tcPr>
          <w:p w14:paraId="7944107E" w14:textId="77777777" w:rsidR="00FA4AA8" w:rsidRDefault="00FA4AA8">
            <w:pPr>
              <w:pStyle w:val="TableParagraph"/>
              <w:spacing w:before="11"/>
              <w:rPr>
                <w:b/>
                <w:sz w:val="27"/>
              </w:rPr>
            </w:pPr>
          </w:p>
          <w:p w14:paraId="4339BA98" w14:textId="77777777" w:rsidR="00FA4AA8" w:rsidRDefault="0015611F">
            <w:pPr>
              <w:pStyle w:val="TableParagraph"/>
              <w:spacing w:line="183" w:lineRule="exact"/>
              <w:ind w:right="84"/>
              <w:jc w:val="right"/>
              <w:rPr>
                <w:b/>
                <w:sz w:val="18"/>
              </w:rPr>
            </w:pPr>
            <w:r>
              <w:rPr>
                <w:b/>
                <w:sz w:val="18"/>
              </w:rPr>
              <w:t>1,137</w:t>
            </w:r>
          </w:p>
        </w:tc>
        <w:tc>
          <w:tcPr>
            <w:tcW w:w="1296" w:type="dxa"/>
            <w:tcBorders>
              <w:top w:val="single" w:sz="8" w:space="0" w:color="000000"/>
              <w:bottom w:val="single" w:sz="8" w:space="0" w:color="000000"/>
            </w:tcBorders>
          </w:tcPr>
          <w:p w14:paraId="18B826C6" w14:textId="77777777" w:rsidR="00FA4AA8" w:rsidRDefault="00FA4AA8">
            <w:pPr>
              <w:pStyle w:val="TableParagraph"/>
              <w:spacing w:before="11"/>
              <w:rPr>
                <w:b/>
                <w:sz w:val="27"/>
              </w:rPr>
            </w:pPr>
          </w:p>
          <w:p w14:paraId="6BB42D54" w14:textId="77777777" w:rsidR="00FA4AA8" w:rsidRDefault="0015611F">
            <w:pPr>
              <w:pStyle w:val="TableParagraph"/>
              <w:spacing w:line="183" w:lineRule="exact"/>
              <w:ind w:right="84"/>
              <w:jc w:val="right"/>
              <w:rPr>
                <w:sz w:val="18"/>
              </w:rPr>
            </w:pPr>
            <w:r>
              <w:rPr>
                <w:sz w:val="18"/>
              </w:rPr>
              <w:t>1,196</w:t>
            </w:r>
          </w:p>
        </w:tc>
        <w:tc>
          <w:tcPr>
            <w:tcW w:w="168" w:type="dxa"/>
            <w:tcBorders>
              <w:top w:val="single" w:sz="8" w:space="0" w:color="000000"/>
              <w:bottom w:val="single" w:sz="8" w:space="0" w:color="000000"/>
            </w:tcBorders>
          </w:tcPr>
          <w:p w14:paraId="7A3BE094" w14:textId="77777777" w:rsidR="00FA4AA8" w:rsidRDefault="00FA4AA8">
            <w:pPr>
              <w:pStyle w:val="TableParagraph"/>
              <w:rPr>
                <w:rFonts w:ascii="Times New Roman"/>
                <w:sz w:val="18"/>
              </w:rPr>
            </w:pPr>
          </w:p>
        </w:tc>
        <w:tc>
          <w:tcPr>
            <w:tcW w:w="1458" w:type="dxa"/>
            <w:tcBorders>
              <w:top w:val="single" w:sz="8" w:space="0" w:color="000000"/>
              <w:bottom w:val="single" w:sz="8" w:space="0" w:color="000000"/>
            </w:tcBorders>
          </w:tcPr>
          <w:p w14:paraId="662391B6" w14:textId="77777777" w:rsidR="00FA4AA8" w:rsidRDefault="00FA4AA8">
            <w:pPr>
              <w:pStyle w:val="TableParagraph"/>
              <w:spacing w:before="11"/>
              <w:rPr>
                <w:b/>
                <w:sz w:val="27"/>
              </w:rPr>
            </w:pPr>
          </w:p>
          <w:p w14:paraId="7D99EE5F" w14:textId="77777777" w:rsidR="00FA4AA8" w:rsidRDefault="0015611F">
            <w:pPr>
              <w:pStyle w:val="TableParagraph"/>
              <w:spacing w:line="183" w:lineRule="exact"/>
              <w:ind w:right="246"/>
              <w:jc w:val="right"/>
              <w:rPr>
                <w:b/>
                <w:sz w:val="18"/>
              </w:rPr>
            </w:pPr>
            <w:r>
              <w:rPr>
                <w:b/>
                <w:sz w:val="18"/>
              </w:rPr>
              <w:t>1,137</w:t>
            </w:r>
          </w:p>
        </w:tc>
        <w:tc>
          <w:tcPr>
            <w:tcW w:w="1134" w:type="dxa"/>
            <w:tcBorders>
              <w:top w:val="single" w:sz="8" w:space="0" w:color="000000"/>
              <w:bottom w:val="single" w:sz="8" w:space="0" w:color="000000"/>
            </w:tcBorders>
          </w:tcPr>
          <w:p w14:paraId="155AAB00" w14:textId="77777777" w:rsidR="00FA4AA8" w:rsidRDefault="00FA4AA8">
            <w:pPr>
              <w:pStyle w:val="TableParagraph"/>
              <w:spacing w:before="11"/>
              <w:rPr>
                <w:b/>
                <w:sz w:val="27"/>
              </w:rPr>
            </w:pPr>
          </w:p>
          <w:p w14:paraId="525ED579" w14:textId="77777777" w:rsidR="00FA4AA8" w:rsidRDefault="0015611F">
            <w:pPr>
              <w:pStyle w:val="TableParagraph"/>
              <w:spacing w:line="183" w:lineRule="exact"/>
              <w:ind w:right="84"/>
              <w:jc w:val="right"/>
              <w:rPr>
                <w:sz w:val="18"/>
              </w:rPr>
            </w:pPr>
            <w:r>
              <w:rPr>
                <w:sz w:val="18"/>
              </w:rPr>
              <w:t>1,196</w:t>
            </w:r>
          </w:p>
        </w:tc>
      </w:tr>
      <w:tr w:rsidR="00FA4AA8" w14:paraId="7E31FB0F" w14:textId="77777777">
        <w:trPr>
          <w:trHeight w:val="333"/>
        </w:trPr>
        <w:tc>
          <w:tcPr>
            <w:tcW w:w="4039" w:type="dxa"/>
          </w:tcPr>
          <w:p w14:paraId="29B26C4B" w14:textId="77777777" w:rsidR="00FA4AA8" w:rsidRDefault="0015611F">
            <w:pPr>
              <w:pStyle w:val="TableParagraph"/>
              <w:spacing w:before="109" w:line="204" w:lineRule="exact"/>
              <w:ind w:left="76"/>
              <w:rPr>
                <w:b/>
                <w:sz w:val="18"/>
              </w:rPr>
            </w:pPr>
            <w:r>
              <w:rPr>
                <w:b/>
                <w:sz w:val="18"/>
              </w:rPr>
              <w:t>Non-current</w:t>
            </w:r>
          </w:p>
        </w:tc>
        <w:tc>
          <w:tcPr>
            <w:tcW w:w="1464" w:type="dxa"/>
            <w:tcBorders>
              <w:top w:val="single" w:sz="8" w:space="0" w:color="000000"/>
            </w:tcBorders>
          </w:tcPr>
          <w:p w14:paraId="3CF13018" w14:textId="77777777" w:rsidR="00FA4AA8" w:rsidRDefault="00FA4AA8">
            <w:pPr>
              <w:pStyle w:val="TableParagraph"/>
              <w:rPr>
                <w:rFonts w:ascii="Times New Roman"/>
                <w:sz w:val="18"/>
              </w:rPr>
            </w:pPr>
          </w:p>
        </w:tc>
        <w:tc>
          <w:tcPr>
            <w:tcW w:w="1296" w:type="dxa"/>
            <w:tcBorders>
              <w:top w:val="single" w:sz="8" w:space="0" w:color="000000"/>
            </w:tcBorders>
          </w:tcPr>
          <w:p w14:paraId="0BCEE110" w14:textId="77777777" w:rsidR="00FA4AA8" w:rsidRDefault="00FA4AA8">
            <w:pPr>
              <w:pStyle w:val="TableParagraph"/>
              <w:rPr>
                <w:rFonts w:ascii="Times New Roman"/>
                <w:sz w:val="18"/>
              </w:rPr>
            </w:pPr>
          </w:p>
        </w:tc>
        <w:tc>
          <w:tcPr>
            <w:tcW w:w="168" w:type="dxa"/>
            <w:tcBorders>
              <w:top w:val="single" w:sz="8" w:space="0" w:color="000000"/>
            </w:tcBorders>
          </w:tcPr>
          <w:p w14:paraId="1A9CDC36" w14:textId="77777777" w:rsidR="00FA4AA8" w:rsidRDefault="00FA4AA8">
            <w:pPr>
              <w:pStyle w:val="TableParagraph"/>
              <w:rPr>
                <w:rFonts w:ascii="Times New Roman"/>
                <w:sz w:val="18"/>
              </w:rPr>
            </w:pPr>
          </w:p>
        </w:tc>
        <w:tc>
          <w:tcPr>
            <w:tcW w:w="1458" w:type="dxa"/>
            <w:tcBorders>
              <w:top w:val="single" w:sz="8" w:space="0" w:color="000000"/>
            </w:tcBorders>
          </w:tcPr>
          <w:p w14:paraId="0EB8BC57" w14:textId="77777777" w:rsidR="00FA4AA8" w:rsidRDefault="00FA4AA8">
            <w:pPr>
              <w:pStyle w:val="TableParagraph"/>
              <w:rPr>
                <w:rFonts w:ascii="Times New Roman"/>
                <w:sz w:val="18"/>
              </w:rPr>
            </w:pPr>
          </w:p>
        </w:tc>
        <w:tc>
          <w:tcPr>
            <w:tcW w:w="1134" w:type="dxa"/>
            <w:tcBorders>
              <w:top w:val="single" w:sz="8" w:space="0" w:color="000000"/>
            </w:tcBorders>
          </w:tcPr>
          <w:p w14:paraId="601E1C56" w14:textId="77777777" w:rsidR="00FA4AA8" w:rsidRDefault="00FA4AA8">
            <w:pPr>
              <w:pStyle w:val="TableParagraph"/>
              <w:rPr>
                <w:rFonts w:ascii="Times New Roman"/>
                <w:sz w:val="18"/>
              </w:rPr>
            </w:pPr>
          </w:p>
        </w:tc>
      </w:tr>
      <w:tr w:rsidR="00FA4AA8" w14:paraId="66D654A7" w14:textId="77777777">
        <w:trPr>
          <w:trHeight w:val="250"/>
        </w:trPr>
        <w:tc>
          <w:tcPr>
            <w:tcW w:w="4039" w:type="dxa"/>
          </w:tcPr>
          <w:p w14:paraId="5E797D43" w14:textId="77777777" w:rsidR="00FA4AA8" w:rsidRDefault="0015611F">
            <w:pPr>
              <w:pStyle w:val="TableParagraph"/>
              <w:spacing w:before="13"/>
              <w:ind w:left="76"/>
              <w:rPr>
                <w:sz w:val="18"/>
              </w:rPr>
            </w:pPr>
            <w:r>
              <w:rPr>
                <w:sz w:val="18"/>
              </w:rPr>
              <w:t>Lease incentives</w:t>
            </w:r>
          </w:p>
        </w:tc>
        <w:tc>
          <w:tcPr>
            <w:tcW w:w="1464" w:type="dxa"/>
          </w:tcPr>
          <w:p w14:paraId="75C75545" w14:textId="77777777" w:rsidR="00FA4AA8" w:rsidRDefault="0015611F">
            <w:pPr>
              <w:pStyle w:val="TableParagraph"/>
              <w:spacing w:before="11"/>
              <w:ind w:right="84"/>
              <w:jc w:val="right"/>
              <w:rPr>
                <w:b/>
                <w:sz w:val="18"/>
              </w:rPr>
            </w:pPr>
            <w:r>
              <w:rPr>
                <w:b/>
                <w:sz w:val="18"/>
              </w:rPr>
              <w:t>3,567</w:t>
            </w:r>
          </w:p>
        </w:tc>
        <w:tc>
          <w:tcPr>
            <w:tcW w:w="1296" w:type="dxa"/>
          </w:tcPr>
          <w:p w14:paraId="7B1F216A" w14:textId="77777777" w:rsidR="00FA4AA8" w:rsidRDefault="0015611F">
            <w:pPr>
              <w:pStyle w:val="TableParagraph"/>
              <w:spacing w:before="11"/>
              <w:ind w:right="84"/>
              <w:jc w:val="right"/>
              <w:rPr>
                <w:sz w:val="18"/>
              </w:rPr>
            </w:pPr>
            <w:r>
              <w:rPr>
                <w:sz w:val="18"/>
              </w:rPr>
              <w:t>4,670</w:t>
            </w:r>
          </w:p>
        </w:tc>
        <w:tc>
          <w:tcPr>
            <w:tcW w:w="168" w:type="dxa"/>
          </w:tcPr>
          <w:p w14:paraId="7451C854" w14:textId="77777777" w:rsidR="00FA4AA8" w:rsidRDefault="00FA4AA8">
            <w:pPr>
              <w:pStyle w:val="TableParagraph"/>
              <w:rPr>
                <w:rFonts w:ascii="Times New Roman"/>
                <w:sz w:val="18"/>
              </w:rPr>
            </w:pPr>
          </w:p>
        </w:tc>
        <w:tc>
          <w:tcPr>
            <w:tcW w:w="1458" w:type="dxa"/>
          </w:tcPr>
          <w:p w14:paraId="007F4338" w14:textId="77777777" w:rsidR="00FA4AA8" w:rsidRDefault="0015611F">
            <w:pPr>
              <w:pStyle w:val="TableParagraph"/>
              <w:spacing w:before="11"/>
              <w:ind w:right="246"/>
              <w:jc w:val="right"/>
              <w:rPr>
                <w:b/>
                <w:sz w:val="18"/>
              </w:rPr>
            </w:pPr>
            <w:r>
              <w:rPr>
                <w:b/>
                <w:sz w:val="18"/>
              </w:rPr>
              <w:t>3,567</w:t>
            </w:r>
          </w:p>
        </w:tc>
        <w:tc>
          <w:tcPr>
            <w:tcW w:w="1134" w:type="dxa"/>
          </w:tcPr>
          <w:p w14:paraId="2D4262D5" w14:textId="77777777" w:rsidR="00FA4AA8" w:rsidRDefault="0015611F">
            <w:pPr>
              <w:pStyle w:val="TableParagraph"/>
              <w:spacing w:before="11"/>
              <w:ind w:right="84"/>
              <w:jc w:val="right"/>
              <w:rPr>
                <w:sz w:val="18"/>
              </w:rPr>
            </w:pPr>
            <w:r>
              <w:rPr>
                <w:sz w:val="18"/>
              </w:rPr>
              <w:t>4,670</w:t>
            </w:r>
          </w:p>
        </w:tc>
      </w:tr>
      <w:tr w:rsidR="00FA4AA8" w14:paraId="1E6A6002" w14:textId="77777777">
        <w:trPr>
          <w:trHeight w:val="256"/>
        </w:trPr>
        <w:tc>
          <w:tcPr>
            <w:tcW w:w="4039" w:type="dxa"/>
          </w:tcPr>
          <w:p w14:paraId="477A76C0" w14:textId="77777777" w:rsidR="00FA4AA8" w:rsidRDefault="0015611F">
            <w:pPr>
              <w:pStyle w:val="TableParagraph"/>
              <w:spacing w:before="26"/>
              <w:ind w:left="76"/>
              <w:rPr>
                <w:sz w:val="18"/>
              </w:rPr>
            </w:pPr>
            <w:r>
              <w:rPr>
                <w:sz w:val="18"/>
              </w:rPr>
              <w:t>Livestock holdings</w:t>
            </w:r>
          </w:p>
        </w:tc>
        <w:tc>
          <w:tcPr>
            <w:tcW w:w="1464" w:type="dxa"/>
            <w:tcBorders>
              <w:bottom w:val="single" w:sz="8" w:space="0" w:color="000000"/>
            </w:tcBorders>
          </w:tcPr>
          <w:p w14:paraId="402A9172" w14:textId="77777777" w:rsidR="00FA4AA8" w:rsidRDefault="0015611F">
            <w:pPr>
              <w:pStyle w:val="TableParagraph"/>
              <w:spacing w:before="24"/>
              <w:ind w:right="84"/>
              <w:jc w:val="right"/>
              <w:rPr>
                <w:b/>
                <w:sz w:val="18"/>
              </w:rPr>
            </w:pPr>
            <w:r>
              <w:rPr>
                <w:b/>
                <w:sz w:val="18"/>
              </w:rPr>
              <w:t>479</w:t>
            </w:r>
          </w:p>
        </w:tc>
        <w:tc>
          <w:tcPr>
            <w:tcW w:w="1296" w:type="dxa"/>
            <w:tcBorders>
              <w:bottom w:val="single" w:sz="8" w:space="0" w:color="000000"/>
            </w:tcBorders>
          </w:tcPr>
          <w:p w14:paraId="3C1A9942" w14:textId="77777777" w:rsidR="00FA4AA8" w:rsidRDefault="0015611F">
            <w:pPr>
              <w:pStyle w:val="TableParagraph"/>
              <w:spacing w:before="24"/>
              <w:ind w:right="84"/>
              <w:jc w:val="right"/>
              <w:rPr>
                <w:sz w:val="18"/>
              </w:rPr>
            </w:pPr>
            <w:r>
              <w:rPr>
                <w:sz w:val="18"/>
              </w:rPr>
              <w:t>611</w:t>
            </w:r>
          </w:p>
        </w:tc>
        <w:tc>
          <w:tcPr>
            <w:tcW w:w="168" w:type="dxa"/>
            <w:tcBorders>
              <w:bottom w:val="single" w:sz="8" w:space="0" w:color="000000"/>
            </w:tcBorders>
          </w:tcPr>
          <w:p w14:paraId="63764075" w14:textId="77777777" w:rsidR="00FA4AA8" w:rsidRDefault="00FA4AA8">
            <w:pPr>
              <w:pStyle w:val="TableParagraph"/>
              <w:rPr>
                <w:rFonts w:ascii="Times New Roman"/>
                <w:sz w:val="18"/>
              </w:rPr>
            </w:pPr>
          </w:p>
        </w:tc>
        <w:tc>
          <w:tcPr>
            <w:tcW w:w="1458" w:type="dxa"/>
            <w:tcBorders>
              <w:bottom w:val="single" w:sz="8" w:space="0" w:color="000000"/>
            </w:tcBorders>
          </w:tcPr>
          <w:p w14:paraId="4A93AD48" w14:textId="77777777" w:rsidR="00FA4AA8" w:rsidRDefault="0015611F">
            <w:pPr>
              <w:pStyle w:val="TableParagraph"/>
              <w:spacing w:before="24"/>
              <w:ind w:right="246"/>
              <w:jc w:val="right"/>
              <w:rPr>
                <w:b/>
                <w:sz w:val="18"/>
              </w:rPr>
            </w:pPr>
            <w:r>
              <w:rPr>
                <w:b/>
                <w:sz w:val="18"/>
              </w:rPr>
              <w:t>479</w:t>
            </w:r>
          </w:p>
        </w:tc>
        <w:tc>
          <w:tcPr>
            <w:tcW w:w="1134" w:type="dxa"/>
            <w:tcBorders>
              <w:bottom w:val="single" w:sz="8" w:space="0" w:color="000000"/>
            </w:tcBorders>
          </w:tcPr>
          <w:p w14:paraId="1E6B88C3" w14:textId="77777777" w:rsidR="00FA4AA8" w:rsidRDefault="0015611F">
            <w:pPr>
              <w:pStyle w:val="TableParagraph"/>
              <w:spacing w:before="24"/>
              <w:ind w:right="84"/>
              <w:jc w:val="right"/>
              <w:rPr>
                <w:sz w:val="18"/>
              </w:rPr>
            </w:pPr>
            <w:r>
              <w:rPr>
                <w:sz w:val="18"/>
              </w:rPr>
              <w:t>611</w:t>
            </w:r>
          </w:p>
        </w:tc>
      </w:tr>
      <w:tr w:rsidR="00FA4AA8" w14:paraId="3989695A" w14:textId="77777777">
        <w:trPr>
          <w:trHeight w:val="524"/>
        </w:trPr>
        <w:tc>
          <w:tcPr>
            <w:tcW w:w="4039" w:type="dxa"/>
          </w:tcPr>
          <w:p w14:paraId="71F1E4EC" w14:textId="77777777" w:rsidR="00FA4AA8" w:rsidRDefault="0015611F">
            <w:pPr>
              <w:pStyle w:val="TableParagraph"/>
              <w:spacing w:before="119" w:line="206" w:lineRule="exact"/>
              <w:ind w:left="76" w:right="1513"/>
              <w:rPr>
                <w:b/>
                <w:sz w:val="18"/>
              </w:rPr>
            </w:pPr>
            <w:r>
              <w:rPr>
                <w:b/>
                <w:sz w:val="18"/>
              </w:rPr>
              <w:t>Total non-current other non- financial assets</w:t>
            </w:r>
          </w:p>
        </w:tc>
        <w:tc>
          <w:tcPr>
            <w:tcW w:w="1464" w:type="dxa"/>
            <w:tcBorders>
              <w:top w:val="single" w:sz="8" w:space="0" w:color="000000"/>
              <w:bottom w:val="single" w:sz="8" w:space="0" w:color="000000"/>
            </w:tcBorders>
          </w:tcPr>
          <w:p w14:paraId="67E8146A" w14:textId="77777777" w:rsidR="00FA4AA8" w:rsidRDefault="00FA4AA8">
            <w:pPr>
              <w:pStyle w:val="TableParagraph"/>
              <w:spacing w:before="11"/>
              <w:rPr>
                <w:b/>
                <w:sz w:val="27"/>
              </w:rPr>
            </w:pPr>
          </w:p>
          <w:p w14:paraId="4D6408E3" w14:textId="77777777" w:rsidR="00FA4AA8" w:rsidRDefault="0015611F">
            <w:pPr>
              <w:pStyle w:val="TableParagraph"/>
              <w:spacing w:line="183" w:lineRule="exact"/>
              <w:ind w:right="84"/>
              <w:jc w:val="right"/>
              <w:rPr>
                <w:b/>
                <w:sz w:val="18"/>
              </w:rPr>
            </w:pPr>
            <w:r>
              <w:rPr>
                <w:b/>
                <w:sz w:val="18"/>
              </w:rPr>
              <w:t>4,046</w:t>
            </w:r>
          </w:p>
        </w:tc>
        <w:tc>
          <w:tcPr>
            <w:tcW w:w="1296" w:type="dxa"/>
            <w:tcBorders>
              <w:top w:val="single" w:sz="8" w:space="0" w:color="000000"/>
              <w:bottom w:val="single" w:sz="8" w:space="0" w:color="000000"/>
            </w:tcBorders>
          </w:tcPr>
          <w:p w14:paraId="11B5D944" w14:textId="77777777" w:rsidR="00FA4AA8" w:rsidRDefault="00FA4AA8">
            <w:pPr>
              <w:pStyle w:val="TableParagraph"/>
              <w:spacing w:before="11"/>
              <w:rPr>
                <w:b/>
                <w:sz w:val="27"/>
              </w:rPr>
            </w:pPr>
          </w:p>
          <w:p w14:paraId="085CAF4B" w14:textId="77777777" w:rsidR="00FA4AA8" w:rsidRDefault="0015611F">
            <w:pPr>
              <w:pStyle w:val="TableParagraph"/>
              <w:spacing w:line="183" w:lineRule="exact"/>
              <w:ind w:right="84"/>
              <w:jc w:val="right"/>
              <w:rPr>
                <w:sz w:val="18"/>
              </w:rPr>
            </w:pPr>
            <w:r>
              <w:rPr>
                <w:sz w:val="18"/>
              </w:rPr>
              <w:t>5,281</w:t>
            </w:r>
          </w:p>
        </w:tc>
        <w:tc>
          <w:tcPr>
            <w:tcW w:w="168" w:type="dxa"/>
            <w:tcBorders>
              <w:top w:val="single" w:sz="8" w:space="0" w:color="000000"/>
              <w:bottom w:val="single" w:sz="8" w:space="0" w:color="000000"/>
            </w:tcBorders>
          </w:tcPr>
          <w:p w14:paraId="66BD7C74" w14:textId="77777777" w:rsidR="00FA4AA8" w:rsidRDefault="00FA4AA8">
            <w:pPr>
              <w:pStyle w:val="TableParagraph"/>
              <w:rPr>
                <w:rFonts w:ascii="Times New Roman"/>
                <w:sz w:val="18"/>
              </w:rPr>
            </w:pPr>
          </w:p>
        </w:tc>
        <w:tc>
          <w:tcPr>
            <w:tcW w:w="1458" w:type="dxa"/>
            <w:tcBorders>
              <w:top w:val="single" w:sz="8" w:space="0" w:color="000000"/>
              <w:bottom w:val="single" w:sz="8" w:space="0" w:color="000000"/>
            </w:tcBorders>
          </w:tcPr>
          <w:p w14:paraId="0E5C4E6D" w14:textId="77777777" w:rsidR="00FA4AA8" w:rsidRDefault="00FA4AA8">
            <w:pPr>
              <w:pStyle w:val="TableParagraph"/>
              <w:spacing w:before="11"/>
              <w:rPr>
                <w:b/>
                <w:sz w:val="27"/>
              </w:rPr>
            </w:pPr>
          </w:p>
          <w:p w14:paraId="06396EBD" w14:textId="77777777" w:rsidR="00FA4AA8" w:rsidRDefault="0015611F">
            <w:pPr>
              <w:pStyle w:val="TableParagraph"/>
              <w:spacing w:line="183" w:lineRule="exact"/>
              <w:ind w:right="246"/>
              <w:jc w:val="right"/>
              <w:rPr>
                <w:b/>
                <w:sz w:val="18"/>
              </w:rPr>
            </w:pPr>
            <w:r>
              <w:rPr>
                <w:b/>
                <w:sz w:val="18"/>
              </w:rPr>
              <w:t>4,046</w:t>
            </w:r>
          </w:p>
        </w:tc>
        <w:tc>
          <w:tcPr>
            <w:tcW w:w="1134" w:type="dxa"/>
            <w:tcBorders>
              <w:top w:val="single" w:sz="8" w:space="0" w:color="000000"/>
              <w:bottom w:val="single" w:sz="8" w:space="0" w:color="000000"/>
            </w:tcBorders>
          </w:tcPr>
          <w:p w14:paraId="6459F28B" w14:textId="77777777" w:rsidR="00FA4AA8" w:rsidRDefault="00FA4AA8">
            <w:pPr>
              <w:pStyle w:val="TableParagraph"/>
              <w:spacing w:before="11"/>
              <w:rPr>
                <w:b/>
                <w:sz w:val="27"/>
              </w:rPr>
            </w:pPr>
          </w:p>
          <w:p w14:paraId="69BAACF0" w14:textId="77777777" w:rsidR="00FA4AA8" w:rsidRDefault="0015611F">
            <w:pPr>
              <w:pStyle w:val="TableParagraph"/>
              <w:spacing w:line="183" w:lineRule="exact"/>
              <w:ind w:right="84"/>
              <w:jc w:val="right"/>
              <w:rPr>
                <w:sz w:val="18"/>
              </w:rPr>
            </w:pPr>
            <w:r>
              <w:rPr>
                <w:sz w:val="18"/>
              </w:rPr>
              <w:t>5,281</w:t>
            </w:r>
          </w:p>
        </w:tc>
      </w:tr>
      <w:tr w:rsidR="00FA4AA8" w14:paraId="689DFCFC" w14:textId="77777777">
        <w:trPr>
          <w:trHeight w:val="346"/>
        </w:trPr>
        <w:tc>
          <w:tcPr>
            <w:tcW w:w="4039" w:type="dxa"/>
          </w:tcPr>
          <w:p w14:paraId="679B6654" w14:textId="77777777" w:rsidR="00FA4AA8" w:rsidRDefault="0015611F">
            <w:pPr>
              <w:pStyle w:val="TableParagraph"/>
              <w:spacing w:before="109"/>
              <w:ind w:left="76"/>
              <w:rPr>
                <w:b/>
                <w:sz w:val="18"/>
              </w:rPr>
            </w:pPr>
            <w:r>
              <w:rPr>
                <w:b/>
                <w:sz w:val="18"/>
              </w:rPr>
              <w:t>Total other non-financial assets</w:t>
            </w:r>
          </w:p>
        </w:tc>
        <w:tc>
          <w:tcPr>
            <w:tcW w:w="1464" w:type="dxa"/>
            <w:tcBorders>
              <w:top w:val="single" w:sz="8" w:space="0" w:color="000000"/>
              <w:bottom w:val="single" w:sz="6" w:space="0" w:color="000000"/>
            </w:tcBorders>
          </w:tcPr>
          <w:p w14:paraId="4FB18D0A" w14:textId="77777777" w:rsidR="00FA4AA8" w:rsidRDefault="0015611F">
            <w:pPr>
              <w:pStyle w:val="TableParagraph"/>
              <w:spacing w:before="80"/>
              <w:ind w:right="84"/>
              <w:jc w:val="right"/>
              <w:rPr>
                <w:b/>
                <w:sz w:val="18"/>
              </w:rPr>
            </w:pPr>
            <w:r>
              <w:rPr>
                <w:b/>
                <w:sz w:val="18"/>
              </w:rPr>
              <w:t>5,183</w:t>
            </w:r>
          </w:p>
        </w:tc>
        <w:tc>
          <w:tcPr>
            <w:tcW w:w="1296" w:type="dxa"/>
            <w:tcBorders>
              <w:top w:val="single" w:sz="8" w:space="0" w:color="000000"/>
              <w:bottom w:val="single" w:sz="4" w:space="0" w:color="000000"/>
            </w:tcBorders>
          </w:tcPr>
          <w:p w14:paraId="697CA161" w14:textId="77777777" w:rsidR="00FA4AA8" w:rsidRDefault="0015611F">
            <w:pPr>
              <w:pStyle w:val="TableParagraph"/>
              <w:spacing w:before="80"/>
              <w:ind w:right="84"/>
              <w:jc w:val="right"/>
              <w:rPr>
                <w:sz w:val="18"/>
              </w:rPr>
            </w:pPr>
            <w:r>
              <w:rPr>
                <w:sz w:val="18"/>
              </w:rPr>
              <w:t>6,477</w:t>
            </w:r>
          </w:p>
        </w:tc>
        <w:tc>
          <w:tcPr>
            <w:tcW w:w="168" w:type="dxa"/>
            <w:tcBorders>
              <w:top w:val="single" w:sz="8" w:space="0" w:color="000000"/>
              <w:bottom w:val="single" w:sz="6" w:space="0" w:color="000000"/>
            </w:tcBorders>
          </w:tcPr>
          <w:p w14:paraId="6D4803E4" w14:textId="77777777" w:rsidR="00FA4AA8" w:rsidRDefault="00FA4AA8">
            <w:pPr>
              <w:pStyle w:val="TableParagraph"/>
              <w:rPr>
                <w:rFonts w:ascii="Times New Roman"/>
                <w:sz w:val="18"/>
              </w:rPr>
            </w:pPr>
          </w:p>
        </w:tc>
        <w:tc>
          <w:tcPr>
            <w:tcW w:w="1458" w:type="dxa"/>
            <w:tcBorders>
              <w:top w:val="single" w:sz="8" w:space="0" w:color="000000"/>
              <w:bottom w:val="single" w:sz="6" w:space="0" w:color="000000"/>
            </w:tcBorders>
          </w:tcPr>
          <w:p w14:paraId="7ECA331E" w14:textId="77777777" w:rsidR="00FA4AA8" w:rsidRDefault="0015611F">
            <w:pPr>
              <w:pStyle w:val="TableParagraph"/>
              <w:spacing w:before="80"/>
              <w:ind w:right="246"/>
              <w:jc w:val="right"/>
              <w:rPr>
                <w:b/>
                <w:sz w:val="18"/>
              </w:rPr>
            </w:pPr>
            <w:r>
              <w:rPr>
                <w:b/>
                <w:sz w:val="18"/>
              </w:rPr>
              <w:t>5,183</w:t>
            </w:r>
          </w:p>
        </w:tc>
        <w:tc>
          <w:tcPr>
            <w:tcW w:w="1134" w:type="dxa"/>
            <w:tcBorders>
              <w:top w:val="single" w:sz="8" w:space="0" w:color="000000"/>
              <w:bottom w:val="single" w:sz="6" w:space="0" w:color="000000"/>
            </w:tcBorders>
          </w:tcPr>
          <w:p w14:paraId="2E17F851" w14:textId="77777777" w:rsidR="00FA4AA8" w:rsidRDefault="0015611F">
            <w:pPr>
              <w:pStyle w:val="TableParagraph"/>
              <w:spacing w:before="80"/>
              <w:ind w:right="84"/>
              <w:jc w:val="right"/>
              <w:rPr>
                <w:sz w:val="18"/>
              </w:rPr>
            </w:pPr>
            <w:r>
              <w:rPr>
                <w:sz w:val="18"/>
              </w:rPr>
              <w:t>6,477</w:t>
            </w:r>
          </w:p>
        </w:tc>
      </w:tr>
      <w:tr w:rsidR="00FA4AA8" w14:paraId="580B67C9" w14:textId="77777777">
        <w:trPr>
          <w:trHeight w:val="644"/>
        </w:trPr>
        <w:tc>
          <w:tcPr>
            <w:tcW w:w="4039" w:type="dxa"/>
          </w:tcPr>
          <w:p w14:paraId="0FFF4D48" w14:textId="77777777" w:rsidR="00FA4AA8" w:rsidRDefault="00FA4AA8">
            <w:pPr>
              <w:pStyle w:val="TableParagraph"/>
              <w:spacing w:before="2"/>
              <w:rPr>
                <w:b/>
                <w:sz w:val="25"/>
              </w:rPr>
            </w:pPr>
          </w:p>
          <w:p w14:paraId="50446EB0" w14:textId="77777777" w:rsidR="00FA4AA8" w:rsidRDefault="0015611F">
            <w:pPr>
              <w:pStyle w:val="TableParagraph"/>
              <w:spacing w:before="1"/>
              <w:ind w:left="50"/>
              <w:rPr>
                <w:i/>
                <w:sz w:val="18"/>
              </w:rPr>
            </w:pPr>
            <w:r>
              <w:rPr>
                <w:i/>
                <w:sz w:val="18"/>
                <w:u w:val="single"/>
              </w:rPr>
              <w:t>Accounting Policy</w:t>
            </w:r>
          </w:p>
        </w:tc>
        <w:tc>
          <w:tcPr>
            <w:tcW w:w="1464" w:type="dxa"/>
            <w:tcBorders>
              <w:top w:val="single" w:sz="6" w:space="0" w:color="000000"/>
            </w:tcBorders>
          </w:tcPr>
          <w:p w14:paraId="6C57443B" w14:textId="77777777" w:rsidR="00FA4AA8" w:rsidRDefault="00FA4AA8">
            <w:pPr>
              <w:pStyle w:val="TableParagraph"/>
              <w:rPr>
                <w:rFonts w:ascii="Times New Roman"/>
                <w:sz w:val="18"/>
              </w:rPr>
            </w:pPr>
          </w:p>
        </w:tc>
        <w:tc>
          <w:tcPr>
            <w:tcW w:w="1296" w:type="dxa"/>
            <w:tcBorders>
              <w:top w:val="single" w:sz="4" w:space="0" w:color="000000"/>
            </w:tcBorders>
          </w:tcPr>
          <w:p w14:paraId="6AE173A8" w14:textId="77777777" w:rsidR="00FA4AA8" w:rsidRDefault="00FA4AA8">
            <w:pPr>
              <w:pStyle w:val="TableParagraph"/>
              <w:rPr>
                <w:rFonts w:ascii="Times New Roman"/>
                <w:sz w:val="18"/>
              </w:rPr>
            </w:pPr>
          </w:p>
        </w:tc>
        <w:tc>
          <w:tcPr>
            <w:tcW w:w="168" w:type="dxa"/>
            <w:tcBorders>
              <w:top w:val="single" w:sz="6" w:space="0" w:color="000000"/>
            </w:tcBorders>
          </w:tcPr>
          <w:p w14:paraId="661EE758" w14:textId="77777777" w:rsidR="00FA4AA8" w:rsidRDefault="00FA4AA8">
            <w:pPr>
              <w:pStyle w:val="TableParagraph"/>
              <w:rPr>
                <w:rFonts w:ascii="Times New Roman"/>
                <w:sz w:val="18"/>
              </w:rPr>
            </w:pPr>
          </w:p>
        </w:tc>
        <w:tc>
          <w:tcPr>
            <w:tcW w:w="1458" w:type="dxa"/>
            <w:tcBorders>
              <w:top w:val="single" w:sz="6" w:space="0" w:color="000000"/>
            </w:tcBorders>
          </w:tcPr>
          <w:p w14:paraId="4A9E09CA" w14:textId="77777777" w:rsidR="00FA4AA8" w:rsidRDefault="00FA4AA8">
            <w:pPr>
              <w:pStyle w:val="TableParagraph"/>
              <w:rPr>
                <w:rFonts w:ascii="Times New Roman"/>
                <w:sz w:val="18"/>
              </w:rPr>
            </w:pPr>
          </w:p>
        </w:tc>
        <w:tc>
          <w:tcPr>
            <w:tcW w:w="1134" w:type="dxa"/>
            <w:tcBorders>
              <w:top w:val="single" w:sz="6" w:space="0" w:color="000000"/>
            </w:tcBorders>
          </w:tcPr>
          <w:p w14:paraId="2BEA56A9" w14:textId="77777777" w:rsidR="00FA4AA8" w:rsidRDefault="00FA4AA8">
            <w:pPr>
              <w:pStyle w:val="TableParagraph"/>
              <w:rPr>
                <w:rFonts w:ascii="Times New Roman"/>
                <w:sz w:val="18"/>
              </w:rPr>
            </w:pPr>
          </w:p>
        </w:tc>
      </w:tr>
      <w:tr w:rsidR="00FA4AA8" w14:paraId="56266ADD" w14:textId="77777777">
        <w:trPr>
          <w:trHeight w:val="347"/>
        </w:trPr>
        <w:tc>
          <w:tcPr>
            <w:tcW w:w="4039" w:type="dxa"/>
          </w:tcPr>
          <w:p w14:paraId="4899746B" w14:textId="77777777" w:rsidR="00FA4AA8" w:rsidRDefault="0015611F">
            <w:pPr>
              <w:pStyle w:val="TableParagraph"/>
              <w:spacing w:before="140" w:line="187" w:lineRule="exact"/>
              <w:ind w:left="50"/>
              <w:rPr>
                <w:b/>
                <w:sz w:val="18"/>
              </w:rPr>
            </w:pPr>
            <w:r>
              <w:rPr>
                <w:b/>
                <w:sz w:val="18"/>
              </w:rPr>
              <w:t>Livestock</w:t>
            </w:r>
          </w:p>
        </w:tc>
        <w:tc>
          <w:tcPr>
            <w:tcW w:w="1464" w:type="dxa"/>
          </w:tcPr>
          <w:p w14:paraId="42140403" w14:textId="77777777" w:rsidR="00FA4AA8" w:rsidRDefault="00FA4AA8">
            <w:pPr>
              <w:pStyle w:val="TableParagraph"/>
              <w:rPr>
                <w:rFonts w:ascii="Times New Roman"/>
                <w:sz w:val="18"/>
              </w:rPr>
            </w:pPr>
          </w:p>
        </w:tc>
        <w:tc>
          <w:tcPr>
            <w:tcW w:w="1296" w:type="dxa"/>
          </w:tcPr>
          <w:p w14:paraId="14EACA73" w14:textId="77777777" w:rsidR="00FA4AA8" w:rsidRDefault="00FA4AA8">
            <w:pPr>
              <w:pStyle w:val="TableParagraph"/>
              <w:rPr>
                <w:rFonts w:ascii="Times New Roman"/>
                <w:sz w:val="18"/>
              </w:rPr>
            </w:pPr>
          </w:p>
        </w:tc>
        <w:tc>
          <w:tcPr>
            <w:tcW w:w="168" w:type="dxa"/>
          </w:tcPr>
          <w:p w14:paraId="0E654BB6" w14:textId="77777777" w:rsidR="00FA4AA8" w:rsidRDefault="00FA4AA8">
            <w:pPr>
              <w:pStyle w:val="TableParagraph"/>
              <w:rPr>
                <w:rFonts w:ascii="Times New Roman"/>
                <w:sz w:val="18"/>
              </w:rPr>
            </w:pPr>
          </w:p>
        </w:tc>
        <w:tc>
          <w:tcPr>
            <w:tcW w:w="1458" w:type="dxa"/>
          </w:tcPr>
          <w:p w14:paraId="5F1645DB" w14:textId="77777777" w:rsidR="00FA4AA8" w:rsidRDefault="00FA4AA8">
            <w:pPr>
              <w:pStyle w:val="TableParagraph"/>
              <w:rPr>
                <w:rFonts w:ascii="Times New Roman"/>
                <w:sz w:val="18"/>
              </w:rPr>
            </w:pPr>
          </w:p>
        </w:tc>
        <w:tc>
          <w:tcPr>
            <w:tcW w:w="1134" w:type="dxa"/>
          </w:tcPr>
          <w:p w14:paraId="7482B9FF" w14:textId="77777777" w:rsidR="00FA4AA8" w:rsidRDefault="00FA4AA8">
            <w:pPr>
              <w:pStyle w:val="TableParagraph"/>
              <w:rPr>
                <w:rFonts w:ascii="Times New Roman"/>
                <w:sz w:val="18"/>
              </w:rPr>
            </w:pPr>
          </w:p>
        </w:tc>
      </w:tr>
    </w:tbl>
    <w:p w14:paraId="1ADE8A9C" w14:textId="77777777" w:rsidR="00FA4AA8" w:rsidRDefault="00FA4AA8">
      <w:pPr>
        <w:pStyle w:val="BodyText"/>
        <w:spacing w:before="9"/>
        <w:rPr>
          <w:b/>
          <w:sz w:val="16"/>
        </w:rPr>
      </w:pPr>
    </w:p>
    <w:p w14:paraId="667852D8" w14:textId="77777777" w:rsidR="00FA4AA8" w:rsidRDefault="007E2441">
      <w:pPr>
        <w:pStyle w:val="BodyText"/>
        <w:spacing w:before="95"/>
        <w:ind w:left="564" w:right="220"/>
      </w:pPr>
      <w:r>
        <w:rPr>
          <w:noProof/>
          <w:lang w:val="en-AU" w:eastAsia="en-AU"/>
        </w:rPr>
        <mc:AlternateContent>
          <mc:Choice Requires="wpg">
            <w:drawing>
              <wp:anchor distT="0" distB="0" distL="114300" distR="114300" simplePos="0" relativeHeight="462734848" behindDoc="1" locked="0" layoutInCell="1" allowOverlap="1" wp14:anchorId="221FBA1F" wp14:editId="3633F6BA">
                <wp:simplePos x="0" y="0"/>
                <wp:positionH relativeFrom="page">
                  <wp:posOffset>3424555</wp:posOffset>
                </wp:positionH>
                <wp:positionV relativeFrom="paragraph">
                  <wp:posOffset>-782955</wp:posOffset>
                </wp:positionV>
                <wp:extent cx="2383155" cy="18415"/>
                <wp:effectExtent l="0" t="0" r="0" b="0"/>
                <wp:wrapNone/>
                <wp:docPr id="2659" name="Group 2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3155" cy="18415"/>
                          <a:chOff x="5393" y="-1233"/>
                          <a:chExt cx="5520" cy="44"/>
                        </a:xfrm>
                      </wpg:grpSpPr>
                      <wps:wsp>
                        <wps:cNvPr id="2660" name="Line 2465"/>
                        <wps:cNvCnPr>
                          <a:cxnSpLocks noChangeShapeType="1"/>
                        </wps:cNvCnPr>
                        <wps:spPr bwMode="auto">
                          <a:xfrm>
                            <a:off x="5393" y="-1231"/>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661" name="Line 2464"/>
                        <wps:cNvCnPr>
                          <a:cxnSpLocks noChangeShapeType="1"/>
                        </wps:cNvCnPr>
                        <wps:spPr bwMode="auto">
                          <a:xfrm>
                            <a:off x="5393" y="-1229"/>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662" name="Line 2463"/>
                        <wps:cNvCnPr>
                          <a:cxnSpLocks noChangeShapeType="1"/>
                        </wps:cNvCnPr>
                        <wps:spPr bwMode="auto">
                          <a:xfrm>
                            <a:off x="5393" y="-1227"/>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663" name="Line 2462"/>
                        <wps:cNvCnPr>
                          <a:cxnSpLocks noChangeShapeType="1"/>
                        </wps:cNvCnPr>
                        <wps:spPr bwMode="auto">
                          <a:xfrm>
                            <a:off x="5393" y="-1224"/>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664" name="Line 2461"/>
                        <wps:cNvCnPr>
                          <a:cxnSpLocks noChangeShapeType="1"/>
                        </wps:cNvCnPr>
                        <wps:spPr bwMode="auto">
                          <a:xfrm>
                            <a:off x="5393" y="-1222"/>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665" name="Line 2460"/>
                        <wps:cNvCnPr>
                          <a:cxnSpLocks noChangeShapeType="1"/>
                        </wps:cNvCnPr>
                        <wps:spPr bwMode="auto">
                          <a:xfrm>
                            <a:off x="5393" y="-1219"/>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666" name="Line 2459"/>
                        <wps:cNvCnPr>
                          <a:cxnSpLocks noChangeShapeType="1"/>
                        </wps:cNvCnPr>
                        <wps:spPr bwMode="auto">
                          <a:xfrm>
                            <a:off x="5393" y="-1198"/>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667" name="Line 2458"/>
                        <wps:cNvCnPr>
                          <a:cxnSpLocks noChangeShapeType="1"/>
                        </wps:cNvCnPr>
                        <wps:spPr bwMode="auto">
                          <a:xfrm>
                            <a:off x="5393" y="-1195"/>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668" name="Line 2457"/>
                        <wps:cNvCnPr>
                          <a:cxnSpLocks noChangeShapeType="1"/>
                        </wps:cNvCnPr>
                        <wps:spPr bwMode="auto">
                          <a:xfrm>
                            <a:off x="5393" y="-1193"/>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669" name="Line 2456"/>
                        <wps:cNvCnPr>
                          <a:cxnSpLocks noChangeShapeType="1"/>
                        </wps:cNvCnPr>
                        <wps:spPr bwMode="auto">
                          <a:xfrm>
                            <a:off x="5393" y="-1191"/>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670" name="Line 2455"/>
                        <wps:cNvCnPr>
                          <a:cxnSpLocks noChangeShapeType="1"/>
                        </wps:cNvCnPr>
                        <wps:spPr bwMode="auto">
                          <a:xfrm>
                            <a:off x="5561" y="-123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671" name="Line 2454"/>
                        <wps:cNvCnPr>
                          <a:cxnSpLocks noChangeShapeType="1"/>
                        </wps:cNvCnPr>
                        <wps:spPr bwMode="auto">
                          <a:xfrm>
                            <a:off x="5561" y="-1229"/>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672" name="Line 2453"/>
                        <wps:cNvCnPr>
                          <a:cxnSpLocks noChangeShapeType="1"/>
                        </wps:cNvCnPr>
                        <wps:spPr bwMode="auto">
                          <a:xfrm>
                            <a:off x="5561" y="-1227"/>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673" name="Line 2452"/>
                        <wps:cNvCnPr>
                          <a:cxnSpLocks noChangeShapeType="1"/>
                        </wps:cNvCnPr>
                        <wps:spPr bwMode="auto">
                          <a:xfrm>
                            <a:off x="5561" y="-1224"/>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674" name="Line 2451"/>
                        <wps:cNvCnPr>
                          <a:cxnSpLocks noChangeShapeType="1"/>
                        </wps:cNvCnPr>
                        <wps:spPr bwMode="auto">
                          <a:xfrm>
                            <a:off x="5561" y="-1222"/>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675" name="Line 2450"/>
                        <wps:cNvCnPr>
                          <a:cxnSpLocks noChangeShapeType="1"/>
                        </wps:cNvCnPr>
                        <wps:spPr bwMode="auto">
                          <a:xfrm>
                            <a:off x="5561" y="-1219"/>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676" name="Line 2449"/>
                        <wps:cNvCnPr>
                          <a:cxnSpLocks noChangeShapeType="1"/>
                        </wps:cNvCnPr>
                        <wps:spPr bwMode="auto">
                          <a:xfrm>
                            <a:off x="6857" y="-123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677" name="Line 2448"/>
                        <wps:cNvCnPr>
                          <a:cxnSpLocks noChangeShapeType="1"/>
                        </wps:cNvCnPr>
                        <wps:spPr bwMode="auto">
                          <a:xfrm>
                            <a:off x="6857" y="-1229"/>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678" name="Line 2447"/>
                        <wps:cNvCnPr>
                          <a:cxnSpLocks noChangeShapeType="1"/>
                        </wps:cNvCnPr>
                        <wps:spPr bwMode="auto">
                          <a:xfrm>
                            <a:off x="6857" y="-1227"/>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679" name="Line 2446"/>
                        <wps:cNvCnPr>
                          <a:cxnSpLocks noChangeShapeType="1"/>
                        </wps:cNvCnPr>
                        <wps:spPr bwMode="auto">
                          <a:xfrm>
                            <a:off x="6857" y="-1224"/>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680" name="Line 2445"/>
                        <wps:cNvCnPr>
                          <a:cxnSpLocks noChangeShapeType="1"/>
                        </wps:cNvCnPr>
                        <wps:spPr bwMode="auto">
                          <a:xfrm>
                            <a:off x="6857" y="-1222"/>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681" name="Line 2444"/>
                        <wps:cNvCnPr>
                          <a:cxnSpLocks noChangeShapeType="1"/>
                        </wps:cNvCnPr>
                        <wps:spPr bwMode="auto">
                          <a:xfrm>
                            <a:off x="6857" y="-1219"/>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682" name="Line 2443"/>
                        <wps:cNvCnPr>
                          <a:cxnSpLocks noChangeShapeType="1"/>
                        </wps:cNvCnPr>
                        <wps:spPr bwMode="auto">
                          <a:xfrm>
                            <a:off x="8153" y="-1231"/>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683" name="Line 2442"/>
                        <wps:cNvCnPr>
                          <a:cxnSpLocks noChangeShapeType="1"/>
                        </wps:cNvCnPr>
                        <wps:spPr bwMode="auto">
                          <a:xfrm>
                            <a:off x="8153" y="-1229"/>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684" name="Line 2441"/>
                        <wps:cNvCnPr>
                          <a:cxnSpLocks noChangeShapeType="1"/>
                        </wps:cNvCnPr>
                        <wps:spPr bwMode="auto">
                          <a:xfrm>
                            <a:off x="8153" y="-1227"/>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685" name="Line 2440"/>
                        <wps:cNvCnPr>
                          <a:cxnSpLocks noChangeShapeType="1"/>
                        </wps:cNvCnPr>
                        <wps:spPr bwMode="auto">
                          <a:xfrm>
                            <a:off x="8153" y="-1224"/>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686" name="Line 2439"/>
                        <wps:cNvCnPr>
                          <a:cxnSpLocks noChangeShapeType="1"/>
                        </wps:cNvCnPr>
                        <wps:spPr bwMode="auto">
                          <a:xfrm>
                            <a:off x="8153" y="-1222"/>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687" name="Line 2438"/>
                        <wps:cNvCnPr>
                          <a:cxnSpLocks noChangeShapeType="1"/>
                        </wps:cNvCnPr>
                        <wps:spPr bwMode="auto">
                          <a:xfrm>
                            <a:off x="8153" y="-1219"/>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688" name="Line 2437"/>
                        <wps:cNvCnPr>
                          <a:cxnSpLocks noChangeShapeType="1"/>
                        </wps:cNvCnPr>
                        <wps:spPr bwMode="auto">
                          <a:xfrm>
                            <a:off x="8321" y="-123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689" name="Line 2436"/>
                        <wps:cNvCnPr>
                          <a:cxnSpLocks noChangeShapeType="1"/>
                        </wps:cNvCnPr>
                        <wps:spPr bwMode="auto">
                          <a:xfrm>
                            <a:off x="8321" y="-1229"/>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690" name="Line 2435"/>
                        <wps:cNvCnPr>
                          <a:cxnSpLocks noChangeShapeType="1"/>
                        </wps:cNvCnPr>
                        <wps:spPr bwMode="auto">
                          <a:xfrm>
                            <a:off x="8321" y="-1227"/>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691" name="Line 2434"/>
                        <wps:cNvCnPr>
                          <a:cxnSpLocks noChangeShapeType="1"/>
                        </wps:cNvCnPr>
                        <wps:spPr bwMode="auto">
                          <a:xfrm>
                            <a:off x="8321" y="-1224"/>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692" name="Line 2433"/>
                        <wps:cNvCnPr>
                          <a:cxnSpLocks noChangeShapeType="1"/>
                        </wps:cNvCnPr>
                        <wps:spPr bwMode="auto">
                          <a:xfrm>
                            <a:off x="8321" y="-1222"/>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693" name="Line 2432"/>
                        <wps:cNvCnPr>
                          <a:cxnSpLocks noChangeShapeType="1"/>
                        </wps:cNvCnPr>
                        <wps:spPr bwMode="auto">
                          <a:xfrm>
                            <a:off x="8321" y="-1219"/>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694" name="Line 2431"/>
                        <wps:cNvCnPr>
                          <a:cxnSpLocks noChangeShapeType="1"/>
                        </wps:cNvCnPr>
                        <wps:spPr bwMode="auto">
                          <a:xfrm>
                            <a:off x="9617" y="-123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695" name="Line 2430"/>
                        <wps:cNvCnPr>
                          <a:cxnSpLocks noChangeShapeType="1"/>
                        </wps:cNvCnPr>
                        <wps:spPr bwMode="auto">
                          <a:xfrm>
                            <a:off x="9617" y="-1229"/>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696" name="Line 2429"/>
                        <wps:cNvCnPr>
                          <a:cxnSpLocks noChangeShapeType="1"/>
                        </wps:cNvCnPr>
                        <wps:spPr bwMode="auto">
                          <a:xfrm>
                            <a:off x="9617" y="-1227"/>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697" name="Line 2428"/>
                        <wps:cNvCnPr>
                          <a:cxnSpLocks noChangeShapeType="1"/>
                        </wps:cNvCnPr>
                        <wps:spPr bwMode="auto">
                          <a:xfrm>
                            <a:off x="9617" y="-1224"/>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698" name="Line 2427"/>
                        <wps:cNvCnPr>
                          <a:cxnSpLocks noChangeShapeType="1"/>
                        </wps:cNvCnPr>
                        <wps:spPr bwMode="auto">
                          <a:xfrm>
                            <a:off x="9617" y="-1222"/>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699" name="Line 2426"/>
                        <wps:cNvCnPr>
                          <a:cxnSpLocks noChangeShapeType="1"/>
                        </wps:cNvCnPr>
                        <wps:spPr bwMode="auto">
                          <a:xfrm>
                            <a:off x="9617" y="-1219"/>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D15225" id="Group 2425" o:spid="_x0000_s1026" style="position:absolute;margin-left:269.65pt;margin-top:-61.65pt;width:187.65pt;height:1.45pt;z-index:-40581632;mso-position-horizontal-relative:page" coordorigin="5393,-1233" coordsize="55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">
                <v:line id="Line 2465" o:spid="_x0000_s1027" style="position:absolute;visibility:visible;mso-wrap-style:square" from="5393,-1231" to="5561,-1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" strokeweight=".12pt"/>
                <v:line id="Line 2464" o:spid="_x0000_s1028" style="position:absolute;visibility:visible;mso-wrap-style:square" from="5393,-1229" to="5561,-1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" strokeweight=".12pt"/>
                <v:line id="Line 2463" o:spid="_x0000_s1029" style="position:absolute;visibility:visible;mso-wrap-style:square" from="5393,-1227" to="5561,-1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" strokeweight=".12pt"/>
                <v:line id="Line 2462" o:spid="_x0000_s1030" style="position:absolute;visibility:visible;mso-wrap-style:square" from="5393,-1224" to="5561,-1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" strokeweight=".12pt"/>
                <v:line id="Line 2461" o:spid="_x0000_s1031" style="position:absolute;visibility:visible;mso-wrap-style:square" from="5393,-1222" to="5561,-1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" strokeweight=".12pt"/>
                <v:line id="Line 2460" o:spid="_x0000_s1032" style="position:absolute;visibility:visible;mso-wrap-style:square" from="5393,-1219" to="5561,-1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" strokeweight=".12pt"/>
                <v:line id="Line 2459" o:spid="_x0000_s1033" style="position:absolute;visibility:visible;mso-wrap-style:square" from="5393,-1198" to="5561,-1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" strokeweight=".12pt"/>
                <v:line id="Line 2458" o:spid="_x0000_s1034" style="position:absolute;visibility:visible;mso-wrap-style:square" from="5393,-1195" to="5561,-1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" strokeweight=".12pt"/>
                <v:line id="Line 2457" o:spid="_x0000_s1035" style="position:absolute;visibility:visible;mso-wrap-style:square" from="5393,-1193" to="5561,-1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" strokeweight=".12pt"/>
                <v:line id="Line 2456" o:spid="_x0000_s1036" style="position:absolute;visibility:visible;mso-wrap-style:square" from="5393,-1191" to="5561,-1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" strokeweight=".12pt"/>
                <v:line id="Line 2455" o:spid="_x0000_s1037" style="position:absolute;visibility:visible;mso-wrap-style:square" from="5561,-1231" to="6857,-1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" strokeweight=".12pt"/>
                <v:line id="Line 2454" o:spid="_x0000_s1038" style="position:absolute;visibility:visible;mso-wrap-style:square" from="5561,-1229" to="6857,-1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" strokeweight=".12pt"/>
                <v:line id="Line 2453" o:spid="_x0000_s1039" style="position:absolute;visibility:visible;mso-wrap-style:square" from="5561,-1227" to="6857,-1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" strokeweight=".12pt"/>
                <v:line id="Line 2452" o:spid="_x0000_s1040" style="position:absolute;visibility:visible;mso-wrap-style:square" from="5561,-1224" to="6857,-1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" strokeweight=".12pt"/>
                <v:line id="Line 2451" o:spid="_x0000_s1041" style="position:absolute;visibility:visible;mso-wrap-style:square" from="5561,-1222" to="6857,-1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" strokeweight=".12pt"/>
                <v:line id="Line 2450" o:spid="_x0000_s1042" style="position:absolute;visibility:visible;mso-wrap-style:square" from="5561,-1219" to="6857,-1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" strokeweight=".12pt"/>
                <v:line id="Line 2449" o:spid="_x0000_s1043" style="position:absolute;visibility:visible;mso-wrap-style:square" from="6857,-1231" to="8153,-1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" strokeweight=".12pt"/>
                <v:line id="Line 2448" o:spid="_x0000_s1044" style="position:absolute;visibility:visible;mso-wrap-style:square" from="6857,-1229" to="8153,-1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" strokeweight=".12pt"/>
                <v:line id="Line 2447" o:spid="_x0000_s1045" style="position:absolute;visibility:visible;mso-wrap-style:square" from="6857,-1227" to="8153,-1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" strokeweight=".12pt"/>
                <v:line id="Line 2446" o:spid="_x0000_s1046" style="position:absolute;visibility:visible;mso-wrap-style:square" from="6857,-1224" to="8153,-1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" strokeweight=".12pt"/>
                <v:line id="Line 2445" o:spid="_x0000_s1047" style="position:absolute;visibility:visible;mso-wrap-style:square" from="6857,-1222" to="8153,-1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" strokeweight=".12pt"/>
                <v:line id="Line 2444" o:spid="_x0000_s1048" style="position:absolute;visibility:visible;mso-wrap-style:square" from="6857,-1219" to="8153,-1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" strokeweight=".12pt"/>
                <v:line id="Line 2443" o:spid="_x0000_s1049" style="position:absolute;visibility:visible;mso-wrap-style:square" from="8153,-1231" to="8321,-1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" strokeweight=".12pt"/>
                <v:line id="Line 2442" o:spid="_x0000_s1050" style="position:absolute;visibility:visible;mso-wrap-style:square" from="8153,-1229" to="8321,-1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" strokeweight=".12pt"/>
                <v:line id="Line 2441" o:spid="_x0000_s1051" style="position:absolute;visibility:visible;mso-wrap-style:square" from="8153,-1227" to="8321,-1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" strokeweight=".12pt"/>
                <v:line id="Line 2440" o:spid="_x0000_s1052" style="position:absolute;visibility:visible;mso-wrap-style:square" from="8153,-1224" to="8321,-1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" strokeweight=".12pt"/>
                <v:line id="Line 2439" o:spid="_x0000_s1053" style="position:absolute;visibility:visible;mso-wrap-style:square" from="8153,-1222" to="8321,-1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" strokeweight=".12pt"/>
                <v:line id="Line 2438" o:spid="_x0000_s1054" style="position:absolute;visibility:visible;mso-wrap-style:square" from="8153,-1219" to="8321,-1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" strokeweight=".12pt"/>
                <v:line id="Line 2437" o:spid="_x0000_s1055" style="position:absolute;visibility:visible;mso-wrap-style:square" from="8321,-1231" to="9617,-1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" strokeweight=".12pt"/>
                <v:line id="Line 2436" o:spid="_x0000_s1056" style="position:absolute;visibility:visible;mso-wrap-style:square" from="8321,-1229" to="9617,-1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" strokeweight=".12pt"/>
                <v:line id="Line 2435" o:spid="_x0000_s1057" style="position:absolute;visibility:visible;mso-wrap-style:square" from="8321,-1227" to="9617,-1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" strokeweight=".12pt"/>
                <v:line id="Line 2434" o:spid="_x0000_s1058" style="position:absolute;visibility:visible;mso-wrap-style:square" from="8321,-1224" to="9617,-1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" strokeweight=".12pt"/>
                <v:line id="Line 2433" o:spid="_x0000_s1059" style="position:absolute;visibility:visible;mso-wrap-style:square" from="8321,-1222" to="9617,-1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" strokeweight=".12pt"/>
                <v:line id="Line 2432" o:spid="_x0000_s1060" style="position:absolute;visibility:visible;mso-wrap-style:square" from="8321,-1219" to="9617,-1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" strokeweight=".12pt"/>
                <v:line id="Line 2431" o:spid="_x0000_s1061" style="position:absolute;visibility:visible;mso-wrap-style:square" from="9617,-1231" to="10913,-1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" strokeweight=".12pt"/>
                <v:line id="Line 2430" o:spid="_x0000_s1062" style="position:absolute;visibility:visible;mso-wrap-style:square" from="9617,-1229" to="10913,-1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" strokeweight=".12pt"/>
                <v:line id="Line 2429" o:spid="_x0000_s1063" style="position:absolute;visibility:visible;mso-wrap-style:square" from="9617,-1227" to="10913,-1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" strokeweight=".12pt"/>
                <v:line id="Line 2428" o:spid="_x0000_s1064" style="position:absolute;visibility:visible;mso-wrap-style:square" from="9617,-1224" to="10913,-1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" strokeweight=".12pt"/>
                <v:line id="Line 2427" o:spid="_x0000_s1065" style="position:absolute;visibility:visible;mso-wrap-style:square" from="9617,-1222" to="10913,-1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" strokeweight=".12pt"/>
                <v:line id="Line 2426" o:spid="_x0000_s1066" style="position:absolute;visibility:visible;mso-wrap-style:square" from="9617,-1219" to="10913,-1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" strokeweight=".12pt"/>
                <w10:wrap anchorx="page"/>
              </v:group>
            </w:pict>
          </mc:Fallback>
        </mc:AlternateContent>
      </w:r>
      <w:r w:rsidR="0015611F">
        <w:t>The University maintains livestock for research, teaching and commercial purposes. Livestock is valued on the fair value basis based on current market price. A stocktake of livestock holdings was undertaken at year</w:t>
      </w:r>
      <w:r w:rsidR="0015611F">
        <w:rPr>
          <w:spacing w:val="16"/>
        </w:rPr>
        <w:t xml:space="preserve"> </w:t>
      </w:r>
      <w:r w:rsidR="0015611F">
        <w:t>end.</w:t>
      </w:r>
    </w:p>
    <w:p w14:paraId="310F0FF2" w14:textId="77777777" w:rsidR="00FA4AA8" w:rsidRDefault="00FA4AA8">
      <w:pPr>
        <w:sectPr w:rsidR="00FA4AA8">
          <w:pgSz w:w="11910" w:h="16840"/>
          <w:pgMar w:top="2220" w:right="880" w:bottom="720" w:left="840" w:header="1016" w:footer="523" w:gutter="0"/>
          <w:cols w:space="720"/>
        </w:sectPr>
      </w:pPr>
    </w:p>
    <w:p w14:paraId="29E38AD6" w14:textId="77777777" w:rsidR="00FA4AA8" w:rsidRDefault="00FA4AA8">
      <w:pPr>
        <w:pStyle w:val="BodyText"/>
        <w:rPr>
          <w:sz w:val="20"/>
        </w:rPr>
      </w:pPr>
    </w:p>
    <w:p w14:paraId="1951F801" w14:textId="77777777" w:rsidR="00FA4AA8" w:rsidRDefault="00FA4AA8">
      <w:pPr>
        <w:pStyle w:val="BodyText"/>
        <w:spacing w:before="10"/>
        <w:rPr>
          <w:sz w:val="29"/>
        </w:rPr>
      </w:pPr>
    </w:p>
    <w:p w14:paraId="78A4040B" w14:textId="77777777" w:rsidR="00FA4AA8" w:rsidRDefault="0015611F">
      <w:pPr>
        <w:numPr>
          <w:ilvl w:val="0"/>
          <w:numId w:val="98"/>
        </w:numPr>
        <w:tabs>
          <w:tab w:val="left" w:pos="564"/>
        </w:tabs>
        <w:spacing w:before="94"/>
        <w:ind w:hanging="397"/>
        <w:rPr>
          <w:b/>
          <w:sz w:val="18"/>
        </w:rPr>
      </w:pPr>
      <w:bookmarkStart w:id="48" w:name="23_Trade_and_other_payables_"/>
      <w:bookmarkEnd w:id="48"/>
      <w:r>
        <w:rPr>
          <w:b/>
          <w:sz w:val="18"/>
        </w:rPr>
        <w:t>Trade and other</w:t>
      </w:r>
      <w:r>
        <w:rPr>
          <w:b/>
          <w:spacing w:val="-1"/>
          <w:sz w:val="18"/>
        </w:rPr>
        <w:t xml:space="preserve"> </w:t>
      </w:r>
      <w:r>
        <w:rPr>
          <w:b/>
          <w:sz w:val="18"/>
        </w:rPr>
        <w:t>payables</w:t>
      </w:r>
    </w:p>
    <w:p w14:paraId="473C175A" w14:textId="77777777" w:rsidR="00FA4AA8" w:rsidRDefault="0015611F">
      <w:pPr>
        <w:tabs>
          <w:tab w:val="left" w:pos="8426"/>
        </w:tabs>
        <w:spacing w:before="33"/>
        <w:ind w:left="5376"/>
        <w:rPr>
          <w:b/>
          <w:sz w:val="18"/>
        </w:rPr>
      </w:pPr>
      <w:r>
        <w:rPr>
          <w:b/>
          <w:sz w:val="18"/>
        </w:rPr>
        <w:t>Consolidated</w:t>
      </w:r>
      <w:r>
        <w:rPr>
          <w:b/>
          <w:sz w:val="18"/>
        </w:rPr>
        <w:tab/>
        <w:t>Parent</w:t>
      </w:r>
    </w:p>
    <w:p w14:paraId="6758AD30" w14:textId="77777777" w:rsidR="00FA4AA8" w:rsidRDefault="00FA4AA8">
      <w:pPr>
        <w:pStyle w:val="BodyText"/>
        <w:spacing w:before="3"/>
        <w:rPr>
          <w:b/>
          <w:sz w:val="6"/>
        </w:rPr>
      </w:pPr>
    </w:p>
    <w:tbl>
      <w:tblPr>
        <w:tblW w:w="0" w:type="auto"/>
        <w:tblInd w:w="547" w:type="dxa"/>
        <w:tblLayout w:type="fixed"/>
        <w:tblCellMar>
          <w:left w:w="0" w:type="dxa"/>
          <w:right w:w="0" w:type="dxa"/>
        </w:tblCellMar>
        <w:tblLook w:val="01E0" w:firstRow="1" w:lastRow="1" w:firstColumn="1" w:lastColumn="1" w:noHBand="0" w:noVBand="0"/>
      </w:tblPr>
      <w:tblGrid>
        <w:gridCol w:w="4012"/>
        <w:gridCol w:w="1626"/>
        <w:gridCol w:w="1380"/>
        <w:gridCol w:w="1380"/>
        <w:gridCol w:w="1134"/>
      </w:tblGrid>
      <w:tr w:rsidR="00FA4AA8" w14:paraId="4827C069" w14:textId="77777777">
        <w:trPr>
          <w:trHeight w:val="844"/>
        </w:trPr>
        <w:tc>
          <w:tcPr>
            <w:tcW w:w="4012" w:type="dxa"/>
          </w:tcPr>
          <w:p w14:paraId="4FF8EDF1" w14:textId="77777777" w:rsidR="00FA4AA8" w:rsidRDefault="00FA4AA8">
            <w:pPr>
              <w:pStyle w:val="TableParagraph"/>
              <w:rPr>
                <w:b/>
                <w:sz w:val="20"/>
              </w:rPr>
            </w:pPr>
          </w:p>
          <w:p w14:paraId="1BCD18C9" w14:textId="77777777" w:rsidR="00FA4AA8" w:rsidRDefault="00FA4AA8">
            <w:pPr>
              <w:pStyle w:val="TableParagraph"/>
              <w:rPr>
                <w:b/>
                <w:sz w:val="20"/>
              </w:rPr>
            </w:pPr>
          </w:p>
          <w:p w14:paraId="263C8F84" w14:textId="77777777" w:rsidR="00FA4AA8" w:rsidRDefault="0015611F">
            <w:pPr>
              <w:pStyle w:val="TableParagraph"/>
              <w:spacing w:before="160" w:line="204" w:lineRule="exact"/>
              <w:ind w:left="50"/>
              <w:rPr>
                <w:b/>
                <w:sz w:val="18"/>
              </w:rPr>
            </w:pPr>
            <w:r>
              <w:rPr>
                <w:b/>
                <w:sz w:val="18"/>
              </w:rPr>
              <w:t>Current</w:t>
            </w:r>
          </w:p>
        </w:tc>
        <w:tc>
          <w:tcPr>
            <w:tcW w:w="1626" w:type="dxa"/>
          </w:tcPr>
          <w:p w14:paraId="7C5A9324" w14:textId="77777777" w:rsidR="00FA4AA8" w:rsidRDefault="0015611F">
            <w:pPr>
              <w:pStyle w:val="TableParagraph"/>
              <w:spacing w:line="201" w:lineRule="exact"/>
              <w:ind w:left="560" w:right="580"/>
              <w:jc w:val="center"/>
              <w:rPr>
                <w:b/>
                <w:sz w:val="18"/>
              </w:rPr>
            </w:pPr>
            <w:r>
              <w:rPr>
                <w:b/>
                <w:sz w:val="18"/>
              </w:rPr>
              <w:t>2018</w:t>
            </w:r>
          </w:p>
          <w:p w14:paraId="39CBC444" w14:textId="77777777" w:rsidR="00FA4AA8" w:rsidRDefault="0015611F">
            <w:pPr>
              <w:pStyle w:val="TableParagraph"/>
              <w:spacing w:before="66"/>
              <w:ind w:left="560" w:right="580"/>
              <w:jc w:val="center"/>
              <w:rPr>
                <w:b/>
                <w:sz w:val="18"/>
              </w:rPr>
            </w:pPr>
            <w:r>
              <w:rPr>
                <w:b/>
                <w:sz w:val="18"/>
              </w:rPr>
              <w:t>$'000</w:t>
            </w:r>
          </w:p>
        </w:tc>
        <w:tc>
          <w:tcPr>
            <w:tcW w:w="1380" w:type="dxa"/>
          </w:tcPr>
          <w:p w14:paraId="593525AA" w14:textId="77777777" w:rsidR="00FA4AA8" w:rsidRDefault="0015611F">
            <w:pPr>
              <w:pStyle w:val="TableParagraph"/>
              <w:spacing w:line="201" w:lineRule="exact"/>
              <w:ind w:left="270"/>
              <w:rPr>
                <w:b/>
                <w:sz w:val="18"/>
              </w:rPr>
            </w:pPr>
            <w:r>
              <w:rPr>
                <w:b/>
                <w:sz w:val="18"/>
              </w:rPr>
              <w:t>2017</w:t>
            </w:r>
          </w:p>
          <w:p w14:paraId="66F2D71A" w14:textId="77777777" w:rsidR="00FA4AA8" w:rsidRDefault="0015611F">
            <w:pPr>
              <w:pStyle w:val="TableParagraph"/>
              <w:spacing w:before="66"/>
              <w:ind w:left="248"/>
              <w:rPr>
                <w:b/>
                <w:sz w:val="18"/>
              </w:rPr>
            </w:pPr>
            <w:r>
              <w:rPr>
                <w:b/>
                <w:sz w:val="18"/>
              </w:rPr>
              <w:t>$'000</w:t>
            </w:r>
          </w:p>
        </w:tc>
        <w:tc>
          <w:tcPr>
            <w:tcW w:w="1380" w:type="dxa"/>
          </w:tcPr>
          <w:p w14:paraId="0D32F350" w14:textId="77777777" w:rsidR="00FA4AA8" w:rsidRDefault="0015611F">
            <w:pPr>
              <w:pStyle w:val="TableParagraph"/>
              <w:spacing w:line="201" w:lineRule="exact"/>
              <w:ind w:left="354"/>
              <w:rPr>
                <w:b/>
                <w:sz w:val="18"/>
              </w:rPr>
            </w:pPr>
            <w:r>
              <w:rPr>
                <w:b/>
                <w:sz w:val="18"/>
              </w:rPr>
              <w:t>2018</w:t>
            </w:r>
          </w:p>
          <w:p w14:paraId="76AD08FE" w14:textId="77777777" w:rsidR="00FA4AA8" w:rsidRDefault="0015611F">
            <w:pPr>
              <w:pStyle w:val="TableParagraph"/>
              <w:spacing w:before="66"/>
              <w:ind w:left="332"/>
              <w:rPr>
                <w:b/>
                <w:sz w:val="18"/>
              </w:rPr>
            </w:pPr>
            <w:r>
              <w:rPr>
                <w:b/>
                <w:sz w:val="18"/>
              </w:rPr>
              <w:t>$'000</w:t>
            </w:r>
          </w:p>
        </w:tc>
        <w:tc>
          <w:tcPr>
            <w:tcW w:w="1134" w:type="dxa"/>
          </w:tcPr>
          <w:p w14:paraId="673EFCAB" w14:textId="77777777" w:rsidR="00FA4AA8" w:rsidRDefault="0015611F">
            <w:pPr>
              <w:pStyle w:val="TableParagraph"/>
              <w:spacing w:line="201" w:lineRule="exact"/>
              <w:ind w:left="270"/>
              <w:rPr>
                <w:b/>
                <w:sz w:val="18"/>
              </w:rPr>
            </w:pPr>
            <w:r>
              <w:rPr>
                <w:b/>
                <w:sz w:val="18"/>
              </w:rPr>
              <w:t>2017</w:t>
            </w:r>
          </w:p>
          <w:p w14:paraId="76702AD2" w14:textId="77777777" w:rsidR="00FA4AA8" w:rsidRDefault="0015611F">
            <w:pPr>
              <w:pStyle w:val="TableParagraph"/>
              <w:spacing w:before="66"/>
              <w:ind w:left="248"/>
              <w:rPr>
                <w:b/>
                <w:sz w:val="18"/>
              </w:rPr>
            </w:pPr>
            <w:r>
              <w:rPr>
                <w:b/>
                <w:sz w:val="18"/>
              </w:rPr>
              <w:t>$'000</w:t>
            </w:r>
          </w:p>
        </w:tc>
      </w:tr>
      <w:tr w:rsidR="00FA4AA8" w14:paraId="452ADA75" w14:textId="77777777">
        <w:trPr>
          <w:trHeight w:val="249"/>
        </w:trPr>
        <w:tc>
          <w:tcPr>
            <w:tcW w:w="4012" w:type="dxa"/>
          </w:tcPr>
          <w:p w14:paraId="380D5B61" w14:textId="77777777" w:rsidR="00FA4AA8" w:rsidRDefault="0015611F">
            <w:pPr>
              <w:pStyle w:val="TableParagraph"/>
              <w:spacing w:before="13"/>
              <w:ind w:left="50"/>
              <w:rPr>
                <w:sz w:val="18"/>
              </w:rPr>
            </w:pPr>
            <w:r>
              <w:rPr>
                <w:sz w:val="18"/>
              </w:rPr>
              <w:t>Payables</w:t>
            </w:r>
          </w:p>
        </w:tc>
        <w:tc>
          <w:tcPr>
            <w:tcW w:w="1626" w:type="dxa"/>
          </w:tcPr>
          <w:p w14:paraId="73776CE8" w14:textId="77777777" w:rsidR="00FA4AA8" w:rsidRDefault="0015611F">
            <w:pPr>
              <w:pStyle w:val="TableParagraph"/>
              <w:spacing w:before="11"/>
              <w:ind w:right="246"/>
              <w:jc w:val="right"/>
              <w:rPr>
                <w:b/>
                <w:sz w:val="18"/>
              </w:rPr>
            </w:pPr>
            <w:r>
              <w:rPr>
                <w:b/>
                <w:sz w:val="18"/>
              </w:rPr>
              <w:t>58,991</w:t>
            </w:r>
          </w:p>
        </w:tc>
        <w:tc>
          <w:tcPr>
            <w:tcW w:w="1380" w:type="dxa"/>
          </w:tcPr>
          <w:p w14:paraId="4799E3DC" w14:textId="77777777" w:rsidR="00FA4AA8" w:rsidRDefault="0015611F">
            <w:pPr>
              <w:pStyle w:val="TableParagraph"/>
              <w:spacing w:before="11"/>
              <w:ind w:right="330"/>
              <w:jc w:val="right"/>
              <w:rPr>
                <w:sz w:val="18"/>
              </w:rPr>
            </w:pPr>
            <w:r>
              <w:rPr>
                <w:sz w:val="18"/>
              </w:rPr>
              <w:t>56,297</w:t>
            </w:r>
          </w:p>
        </w:tc>
        <w:tc>
          <w:tcPr>
            <w:tcW w:w="1380" w:type="dxa"/>
          </w:tcPr>
          <w:p w14:paraId="75C75831" w14:textId="77777777" w:rsidR="00FA4AA8" w:rsidRDefault="0015611F">
            <w:pPr>
              <w:pStyle w:val="TableParagraph"/>
              <w:spacing w:before="11"/>
              <w:ind w:right="246"/>
              <w:jc w:val="right"/>
              <w:rPr>
                <w:b/>
                <w:sz w:val="18"/>
              </w:rPr>
            </w:pPr>
            <w:r>
              <w:rPr>
                <w:b/>
                <w:sz w:val="18"/>
              </w:rPr>
              <w:t>57,739</w:t>
            </w:r>
          </w:p>
        </w:tc>
        <w:tc>
          <w:tcPr>
            <w:tcW w:w="1134" w:type="dxa"/>
          </w:tcPr>
          <w:p w14:paraId="7B8F57DE" w14:textId="77777777" w:rsidR="00FA4AA8" w:rsidRDefault="0015611F">
            <w:pPr>
              <w:pStyle w:val="TableParagraph"/>
              <w:spacing w:before="11"/>
              <w:ind w:right="84"/>
              <w:jc w:val="right"/>
              <w:rPr>
                <w:sz w:val="18"/>
              </w:rPr>
            </w:pPr>
            <w:r>
              <w:rPr>
                <w:sz w:val="18"/>
              </w:rPr>
              <w:t>55,805</w:t>
            </w:r>
          </w:p>
        </w:tc>
      </w:tr>
      <w:tr w:rsidR="00FA4AA8" w14:paraId="38D9170C" w14:textId="77777777">
        <w:trPr>
          <w:trHeight w:val="459"/>
        </w:trPr>
        <w:tc>
          <w:tcPr>
            <w:tcW w:w="4012" w:type="dxa"/>
          </w:tcPr>
          <w:p w14:paraId="180B8942" w14:textId="77777777" w:rsidR="00FA4AA8" w:rsidRDefault="0015611F">
            <w:pPr>
              <w:pStyle w:val="TableParagraph"/>
              <w:spacing w:before="23"/>
              <w:ind w:left="50" w:right="1450"/>
              <w:rPr>
                <w:sz w:val="18"/>
              </w:rPr>
            </w:pPr>
            <w:r>
              <w:rPr>
                <w:sz w:val="18"/>
              </w:rPr>
              <w:t>OS-HELP Liability to Australian Government</w:t>
            </w:r>
          </w:p>
        </w:tc>
        <w:tc>
          <w:tcPr>
            <w:tcW w:w="1626" w:type="dxa"/>
            <w:tcBorders>
              <w:bottom w:val="single" w:sz="8" w:space="0" w:color="000000"/>
            </w:tcBorders>
          </w:tcPr>
          <w:p w14:paraId="0D9D58C9" w14:textId="77777777" w:rsidR="00FA4AA8" w:rsidRDefault="00FA4AA8">
            <w:pPr>
              <w:pStyle w:val="TableParagraph"/>
              <w:spacing w:before="8"/>
              <w:rPr>
                <w:b/>
                <w:sz w:val="19"/>
              </w:rPr>
            </w:pPr>
          </w:p>
          <w:p w14:paraId="6863C626" w14:textId="77777777" w:rsidR="00FA4AA8" w:rsidRDefault="0015611F">
            <w:pPr>
              <w:pStyle w:val="TableParagraph"/>
              <w:ind w:right="246"/>
              <w:jc w:val="right"/>
              <w:rPr>
                <w:b/>
                <w:sz w:val="18"/>
              </w:rPr>
            </w:pPr>
            <w:r>
              <w:rPr>
                <w:b/>
                <w:sz w:val="18"/>
              </w:rPr>
              <w:t>432</w:t>
            </w:r>
          </w:p>
        </w:tc>
        <w:tc>
          <w:tcPr>
            <w:tcW w:w="1380" w:type="dxa"/>
            <w:tcBorders>
              <w:bottom w:val="single" w:sz="8" w:space="0" w:color="000000"/>
            </w:tcBorders>
          </w:tcPr>
          <w:p w14:paraId="56B5834F" w14:textId="77777777" w:rsidR="00FA4AA8" w:rsidRDefault="00FA4AA8">
            <w:pPr>
              <w:pStyle w:val="TableParagraph"/>
              <w:spacing w:before="8"/>
              <w:rPr>
                <w:b/>
                <w:sz w:val="19"/>
              </w:rPr>
            </w:pPr>
          </w:p>
          <w:p w14:paraId="0C7B4FEF" w14:textId="77777777" w:rsidR="00FA4AA8" w:rsidRDefault="0015611F">
            <w:pPr>
              <w:pStyle w:val="TableParagraph"/>
              <w:ind w:right="330"/>
              <w:jc w:val="right"/>
              <w:rPr>
                <w:sz w:val="18"/>
              </w:rPr>
            </w:pPr>
            <w:r>
              <w:rPr>
                <w:sz w:val="18"/>
              </w:rPr>
              <w:t>106</w:t>
            </w:r>
          </w:p>
        </w:tc>
        <w:tc>
          <w:tcPr>
            <w:tcW w:w="1380" w:type="dxa"/>
            <w:tcBorders>
              <w:bottom w:val="single" w:sz="8" w:space="0" w:color="000000"/>
            </w:tcBorders>
          </w:tcPr>
          <w:p w14:paraId="71B63C51" w14:textId="77777777" w:rsidR="00FA4AA8" w:rsidRDefault="00FA4AA8">
            <w:pPr>
              <w:pStyle w:val="TableParagraph"/>
              <w:spacing w:before="8"/>
              <w:rPr>
                <w:b/>
                <w:sz w:val="19"/>
              </w:rPr>
            </w:pPr>
          </w:p>
          <w:p w14:paraId="7734EDFA" w14:textId="77777777" w:rsidR="00FA4AA8" w:rsidRDefault="0015611F">
            <w:pPr>
              <w:pStyle w:val="TableParagraph"/>
              <w:ind w:right="246"/>
              <w:jc w:val="right"/>
              <w:rPr>
                <w:b/>
                <w:sz w:val="18"/>
              </w:rPr>
            </w:pPr>
            <w:r>
              <w:rPr>
                <w:b/>
                <w:sz w:val="18"/>
              </w:rPr>
              <w:t>432</w:t>
            </w:r>
          </w:p>
        </w:tc>
        <w:tc>
          <w:tcPr>
            <w:tcW w:w="1134" w:type="dxa"/>
            <w:tcBorders>
              <w:bottom w:val="single" w:sz="8" w:space="0" w:color="000000"/>
            </w:tcBorders>
          </w:tcPr>
          <w:p w14:paraId="449A8815" w14:textId="77777777" w:rsidR="00FA4AA8" w:rsidRDefault="00FA4AA8">
            <w:pPr>
              <w:pStyle w:val="TableParagraph"/>
              <w:spacing w:before="8"/>
              <w:rPr>
                <w:b/>
                <w:sz w:val="19"/>
              </w:rPr>
            </w:pPr>
          </w:p>
          <w:p w14:paraId="776355A2" w14:textId="77777777" w:rsidR="00FA4AA8" w:rsidRDefault="0015611F">
            <w:pPr>
              <w:pStyle w:val="TableParagraph"/>
              <w:ind w:right="84"/>
              <w:jc w:val="right"/>
              <w:rPr>
                <w:sz w:val="18"/>
              </w:rPr>
            </w:pPr>
            <w:r>
              <w:rPr>
                <w:sz w:val="18"/>
              </w:rPr>
              <w:t>106</w:t>
            </w:r>
          </w:p>
        </w:tc>
      </w:tr>
      <w:tr w:rsidR="00FA4AA8" w14:paraId="040B8EF6" w14:textId="77777777">
        <w:trPr>
          <w:trHeight w:val="318"/>
        </w:trPr>
        <w:tc>
          <w:tcPr>
            <w:tcW w:w="4012" w:type="dxa"/>
          </w:tcPr>
          <w:p w14:paraId="7B55F01D" w14:textId="77777777" w:rsidR="00FA4AA8" w:rsidRDefault="0015611F">
            <w:pPr>
              <w:pStyle w:val="TableParagraph"/>
              <w:spacing w:before="115" w:line="183" w:lineRule="exact"/>
              <w:ind w:left="50"/>
              <w:rPr>
                <w:b/>
                <w:sz w:val="18"/>
              </w:rPr>
            </w:pPr>
            <w:r>
              <w:rPr>
                <w:b/>
                <w:sz w:val="18"/>
              </w:rPr>
              <w:t>Total current payables</w:t>
            </w:r>
          </w:p>
        </w:tc>
        <w:tc>
          <w:tcPr>
            <w:tcW w:w="1626" w:type="dxa"/>
            <w:tcBorders>
              <w:top w:val="single" w:sz="8" w:space="0" w:color="000000"/>
              <w:bottom w:val="single" w:sz="8" w:space="0" w:color="000000"/>
            </w:tcBorders>
          </w:tcPr>
          <w:p w14:paraId="2AE970B0" w14:textId="77777777" w:rsidR="00FA4AA8" w:rsidRDefault="0015611F">
            <w:pPr>
              <w:pStyle w:val="TableParagraph"/>
              <w:spacing w:before="115" w:line="183" w:lineRule="exact"/>
              <w:ind w:right="246"/>
              <w:jc w:val="right"/>
              <w:rPr>
                <w:b/>
                <w:sz w:val="18"/>
              </w:rPr>
            </w:pPr>
            <w:r>
              <w:rPr>
                <w:b/>
                <w:sz w:val="18"/>
              </w:rPr>
              <w:t>59,423</w:t>
            </w:r>
          </w:p>
        </w:tc>
        <w:tc>
          <w:tcPr>
            <w:tcW w:w="1380" w:type="dxa"/>
            <w:tcBorders>
              <w:top w:val="single" w:sz="8" w:space="0" w:color="000000"/>
              <w:bottom w:val="single" w:sz="8" w:space="0" w:color="000000"/>
            </w:tcBorders>
          </w:tcPr>
          <w:p w14:paraId="5894D5FF" w14:textId="77777777" w:rsidR="00FA4AA8" w:rsidRDefault="0015611F">
            <w:pPr>
              <w:pStyle w:val="TableParagraph"/>
              <w:spacing w:before="115" w:line="183" w:lineRule="exact"/>
              <w:ind w:right="330"/>
              <w:jc w:val="right"/>
              <w:rPr>
                <w:sz w:val="18"/>
              </w:rPr>
            </w:pPr>
            <w:r>
              <w:rPr>
                <w:sz w:val="18"/>
              </w:rPr>
              <w:t>56,403</w:t>
            </w:r>
          </w:p>
        </w:tc>
        <w:tc>
          <w:tcPr>
            <w:tcW w:w="1380" w:type="dxa"/>
            <w:tcBorders>
              <w:top w:val="single" w:sz="8" w:space="0" w:color="000000"/>
              <w:bottom w:val="single" w:sz="8" w:space="0" w:color="000000"/>
            </w:tcBorders>
          </w:tcPr>
          <w:p w14:paraId="60E26B1B" w14:textId="77777777" w:rsidR="00FA4AA8" w:rsidRDefault="0015611F">
            <w:pPr>
              <w:pStyle w:val="TableParagraph"/>
              <w:spacing w:before="115" w:line="183" w:lineRule="exact"/>
              <w:ind w:right="246"/>
              <w:jc w:val="right"/>
              <w:rPr>
                <w:b/>
                <w:sz w:val="18"/>
              </w:rPr>
            </w:pPr>
            <w:r>
              <w:rPr>
                <w:b/>
                <w:sz w:val="18"/>
              </w:rPr>
              <w:t>58,171</w:t>
            </w:r>
          </w:p>
        </w:tc>
        <w:tc>
          <w:tcPr>
            <w:tcW w:w="1134" w:type="dxa"/>
            <w:tcBorders>
              <w:top w:val="single" w:sz="8" w:space="0" w:color="000000"/>
              <w:bottom w:val="single" w:sz="8" w:space="0" w:color="000000"/>
            </w:tcBorders>
          </w:tcPr>
          <w:p w14:paraId="6933D1FC" w14:textId="77777777" w:rsidR="00FA4AA8" w:rsidRDefault="0015611F">
            <w:pPr>
              <w:pStyle w:val="TableParagraph"/>
              <w:spacing w:before="115" w:line="183" w:lineRule="exact"/>
              <w:ind w:right="84"/>
              <w:jc w:val="right"/>
              <w:rPr>
                <w:sz w:val="18"/>
              </w:rPr>
            </w:pPr>
            <w:r>
              <w:rPr>
                <w:sz w:val="18"/>
              </w:rPr>
              <w:t>55,911</w:t>
            </w:r>
          </w:p>
        </w:tc>
      </w:tr>
      <w:tr w:rsidR="00FA4AA8" w14:paraId="7D0E0F2B" w14:textId="77777777">
        <w:trPr>
          <w:trHeight w:val="339"/>
        </w:trPr>
        <w:tc>
          <w:tcPr>
            <w:tcW w:w="4012" w:type="dxa"/>
          </w:tcPr>
          <w:p w14:paraId="4A7821BF" w14:textId="77777777" w:rsidR="00FA4AA8" w:rsidRDefault="0015611F">
            <w:pPr>
              <w:pStyle w:val="TableParagraph"/>
              <w:spacing w:before="115" w:line="204" w:lineRule="exact"/>
              <w:ind w:left="50"/>
              <w:rPr>
                <w:b/>
                <w:sz w:val="18"/>
              </w:rPr>
            </w:pPr>
            <w:r>
              <w:rPr>
                <w:b/>
                <w:sz w:val="18"/>
              </w:rPr>
              <w:t>Non-current</w:t>
            </w:r>
          </w:p>
        </w:tc>
        <w:tc>
          <w:tcPr>
            <w:tcW w:w="1626" w:type="dxa"/>
            <w:tcBorders>
              <w:top w:val="single" w:sz="8" w:space="0" w:color="000000"/>
            </w:tcBorders>
          </w:tcPr>
          <w:p w14:paraId="7DB386EE" w14:textId="77777777" w:rsidR="00FA4AA8" w:rsidRDefault="00FA4AA8">
            <w:pPr>
              <w:pStyle w:val="TableParagraph"/>
              <w:rPr>
                <w:rFonts w:ascii="Times New Roman"/>
                <w:sz w:val="18"/>
              </w:rPr>
            </w:pPr>
          </w:p>
        </w:tc>
        <w:tc>
          <w:tcPr>
            <w:tcW w:w="1380" w:type="dxa"/>
            <w:tcBorders>
              <w:top w:val="single" w:sz="8" w:space="0" w:color="000000"/>
            </w:tcBorders>
          </w:tcPr>
          <w:p w14:paraId="6B4C63E6" w14:textId="77777777" w:rsidR="00FA4AA8" w:rsidRDefault="00FA4AA8">
            <w:pPr>
              <w:pStyle w:val="TableParagraph"/>
              <w:rPr>
                <w:rFonts w:ascii="Times New Roman"/>
                <w:sz w:val="18"/>
              </w:rPr>
            </w:pPr>
          </w:p>
        </w:tc>
        <w:tc>
          <w:tcPr>
            <w:tcW w:w="1380" w:type="dxa"/>
            <w:tcBorders>
              <w:top w:val="single" w:sz="8" w:space="0" w:color="000000"/>
            </w:tcBorders>
          </w:tcPr>
          <w:p w14:paraId="6CA1701A" w14:textId="77777777" w:rsidR="00FA4AA8" w:rsidRDefault="00FA4AA8">
            <w:pPr>
              <w:pStyle w:val="TableParagraph"/>
              <w:rPr>
                <w:rFonts w:ascii="Times New Roman"/>
                <w:sz w:val="18"/>
              </w:rPr>
            </w:pPr>
          </w:p>
        </w:tc>
        <w:tc>
          <w:tcPr>
            <w:tcW w:w="1134" w:type="dxa"/>
            <w:tcBorders>
              <w:top w:val="single" w:sz="8" w:space="0" w:color="000000"/>
            </w:tcBorders>
          </w:tcPr>
          <w:p w14:paraId="085697E6" w14:textId="77777777" w:rsidR="00FA4AA8" w:rsidRDefault="00FA4AA8">
            <w:pPr>
              <w:pStyle w:val="TableParagraph"/>
              <w:rPr>
                <w:rFonts w:ascii="Times New Roman"/>
                <w:sz w:val="18"/>
              </w:rPr>
            </w:pPr>
          </w:p>
        </w:tc>
      </w:tr>
      <w:tr w:rsidR="00FA4AA8" w14:paraId="7123B1DE" w14:textId="77777777">
        <w:trPr>
          <w:trHeight w:val="243"/>
        </w:trPr>
        <w:tc>
          <w:tcPr>
            <w:tcW w:w="4012" w:type="dxa"/>
          </w:tcPr>
          <w:p w14:paraId="1F68E2CD" w14:textId="77777777" w:rsidR="00FA4AA8" w:rsidRDefault="0015611F">
            <w:pPr>
              <w:pStyle w:val="TableParagraph"/>
              <w:spacing w:before="13"/>
              <w:ind w:left="50"/>
              <w:rPr>
                <w:sz w:val="18"/>
              </w:rPr>
            </w:pPr>
            <w:r>
              <w:rPr>
                <w:sz w:val="18"/>
              </w:rPr>
              <w:t>Payables</w:t>
            </w:r>
          </w:p>
        </w:tc>
        <w:tc>
          <w:tcPr>
            <w:tcW w:w="1626" w:type="dxa"/>
            <w:tcBorders>
              <w:bottom w:val="single" w:sz="8" w:space="0" w:color="000000"/>
            </w:tcBorders>
          </w:tcPr>
          <w:p w14:paraId="15D1A7D2" w14:textId="77777777" w:rsidR="00FA4AA8" w:rsidRDefault="0015611F">
            <w:pPr>
              <w:pStyle w:val="TableParagraph"/>
              <w:spacing w:before="11"/>
              <w:ind w:right="246"/>
              <w:jc w:val="right"/>
              <w:rPr>
                <w:b/>
                <w:sz w:val="18"/>
              </w:rPr>
            </w:pPr>
            <w:r>
              <w:rPr>
                <w:b/>
                <w:sz w:val="18"/>
              </w:rPr>
              <w:t>3,943</w:t>
            </w:r>
          </w:p>
        </w:tc>
        <w:tc>
          <w:tcPr>
            <w:tcW w:w="1380" w:type="dxa"/>
            <w:tcBorders>
              <w:bottom w:val="single" w:sz="8" w:space="0" w:color="000000"/>
            </w:tcBorders>
          </w:tcPr>
          <w:p w14:paraId="271FD27F" w14:textId="77777777" w:rsidR="00FA4AA8" w:rsidRDefault="0015611F">
            <w:pPr>
              <w:pStyle w:val="TableParagraph"/>
              <w:spacing w:before="11"/>
              <w:ind w:right="330"/>
              <w:jc w:val="right"/>
              <w:rPr>
                <w:sz w:val="18"/>
              </w:rPr>
            </w:pPr>
            <w:r>
              <w:rPr>
                <w:sz w:val="18"/>
              </w:rPr>
              <w:t>3,520</w:t>
            </w:r>
          </w:p>
        </w:tc>
        <w:tc>
          <w:tcPr>
            <w:tcW w:w="1380" w:type="dxa"/>
            <w:tcBorders>
              <w:bottom w:val="single" w:sz="8" w:space="0" w:color="000000"/>
            </w:tcBorders>
          </w:tcPr>
          <w:p w14:paraId="0ADB1640" w14:textId="77777777" w:rsidR="00FA4AA8" w:rsidRDefault="0015611F">
            <w:pPr>
              <w:pStyle w:val="TableParagraph"/>
              <w:spacing w:before="11"/>
              <w:ind w:right="246"/>
              <w:jc w:val="right"/>
              <w:rPr>
                <w:b/>
                <w:sz w:val="18"/>
              </w:rPr>
            </w:pPr>
            <w:r>
              <w:rPr>
                <w:b/>
                <w:sz w:val="18"/>
              </w:rPr>
              <w:t>3,943</w:t>
            </w:r>
          </w:p>
        </w:tc>
        <w:tc>
          <w:tcPr>
            <w:tcW w:w="1134" w:type="dxa"/>
            <w:tcBorders>
              <w:bottom w:val="single" w:sz="8" w:space="0" w:color="000000"/>
            </w:tcBorders>
          </w:tcPr>
          <w:p w14:paraId="11F14D00" w14:textId="77777777" w:rsidR="00FA4AA8" w:rsidRDefault="0015611F">
            <w:pPr>
              <w:pStyle w:val="TableParagraph"/>
              <w:spacing w:before="11"/>
              <w:ind w:right="84"/>
              <w:jc w:val="right"/>
              <w:rPr>
                <w:sz w:val="18"/>
              </w:rPr>
            </w:pPr>
            <w:r>
              <w:rPr>
                <w:sz w:val="18"/>
              </w:rPr>
              <w:t>3,520</w:t>
            </w:r>
          </w:p>
        </w:tc>
      </w:tr>
      <w:tr w:rsidR="00FA4AA8" w14:paraId="5225A82B" w14:textId="77777777">
        <w:trPr>
          <w:trHeight w:val="318"/>
        </w:trPr>
        <w:tc>
          <w:tcPr>
            <w:tcW w:w="4012" w:type="dxa"/>
          </w:tcPr>
          <w:p w14:paraId="016B8CAF" w14:textId="77777777" w:rsidR="00FA4AA8" w:rsidRDefault="0015611F">
            <w:pPr>
              <w:pStyle w:val="TableParagraph"/>
              <w:spacing w:before="115" w:line="183" w:lineRule="exact"/>
              <w:ind w:left="50"/>
              <w:rPr>
                <w:b/>
                <w:sz w:val="18"/>
              </w:rPr>
            </w:pPr>
            <w:r>
              <w:rPr>
                <w:b/>
                <w:sz w:val="18"/>
              </w:rPr>
              <w:t>Total non-current payables</w:t>
            </w:r>
          </w:p>
        </w:tc>
        <w:tc>
          <w:tcPr>
            <w:tcW w:w="1626" w:type="dxa"/>
            <w:tcBorders>
              <w:top w:val="single" w:sz="8" w:space="0" w:color="000000"/>
              <w:bottom w:val="single" w:sz="8" w:space="0" w:color="000000"/>
            </w:tcBorders>
          </w:tcPr>
          <w:p w14:paraId="1600D2F2" w14:textId="77777777" w:rsidR="00FA4AA8" w:rsidRDefault="0015611F">
            <w:pPr>
              <w:pStyle w:val="TableParagraph"/>
              <w:spacing w:before="115" w:line="183" w:lineRule="exact"/>
              <w:ind w:right="246"/>
              <w:jc w:val="right"/>
              <w:rPr>
                <w:b/>
                <w:sz w:val="18"/>
              </w:rPr>
            </w:pPr>
            <w:r>
              <w:rPr>
                <w:b/>
                <w:sz w:val="18"/>
              </w:rPr>
              <w:t>3,943</w:t>
            </w:r>
          </w:p>
        </w:tc>
        <w:tc>
          <w:tcPr>
            <w:tcW w:w="1380" w:type="dxa"/>
            <w:tcBorders>
              <w:top w:val="single" w:sz="8" w:space="0" w:color="000000"/>
              <w:bottom w:val="single" w:sz="8" w:space="0" w:color="000000"/>
            </w:tcBorders>
          </w:tcPr>
          <w:p w14:paraId="38A93853" w14:textId="77777777" w:rsidR="00FA4AA8" w:rsidRDefault="0015611F">
            <w:pPr>
              <w:pStyle w:val="TableParagraph"/>
              <w:spacing w:before="115" w:line="183" w:lineRule="exact"/>
              <w:ind w:right="330"/>
              <w:jc w:val="right"/>
              <w:rPr>
                <w:sz w:val="18"/>
              </w:rPr>
            </w:pPr>
            <w:r>
              <w:rPr>
                <w:sz w:val="18"/>
              </w:rPr>
              <w:t>3,520</w:t>
            </w:r>
          </w:p>
        </w:tc>
        <w:tc>
          <w:tcPr>
            <w:tcW w:w="1380" w:type="dxa"/>
            <w:tcBorders>
              <w:top w:val="single" w:sz="8" w:space="0" w:color="000000"/>
              <w:bottom w:val="single" w:sz="8" w:space="0" w:color="000000"/>
            </w:tcBorders>
          </w:tcPr>
          <w:p w14:paraId="4EE2A626" w14:textId="77777777" w:rsidR="00FA4AA8" w:rsidRDefault="0015611F">
            <w:pPr>
              <w:pStyle w:val="TableParagraph"/>
              <w:spacing w:before="115" w:line="183" w:lineRule="exact"/>
              <w:ind w:right="246"/>
              <w:jc w:val="right"/>
              <w:rPr>
                <w:b/>
                <w:sz w:val="18"/>
              </w:rPr>
            </w:pPr>
            <w:r>
              <w:rPr>
                <w:b/>
                <w:sz w:val="18"/>
              </w:rPr>
              <w:t>3,943</w:t>
            </w:r>
          </w:p>
        </w:tc>
        <w:tc>
          <w:tcPr>
            <w:tcW w:w="1134" w:type="dxa"/>
            <w:tcBorders>
              <w:top w:val="single" w:sz="8" w:space="0" w:color="000000"/>
              <w:bottom w:val="single" w:sz="8" w:space="0" w:color="000000"/>
            </w:tcBorders>
          </w:tcPr>
          <w:p w14:paraId="680CE7CE" w14:textId="77777777" w:rsidR="00FA4AA8" w:rsidRDefault="0015611F">
            <w:pPr>
              <w:pStyle w:val="TableParagraph"/>
              <w:spacing w:before="115" w:line="183" w:lineRule="exact"/>
              <w:ind w:right="84"/>
              <w:jc w:val="right"/>
              <w:rPr>
                <w:sz w:val="18"/>
              </w:rPr>
            </w:pPr>
            <w:r>
              <w:rPr>
                <w:sz w:val="18"/>
              </w:rPr>
              <w:t>3,520</w:t>
            </w:r>
          </w:p>
        </w:tc>
      </w:tr>
      <w:tr w:rsidR="00FA4AA8" w14:paraId="043A9D69" w14:textId="77777777">
        <w:trPr>
          <w:trHeight w:val="316"/>
        </w:trPr>
        <w:tc>
          <w:tcPr>
            <w:tcW w:w="4012" w:type="dxa"/>
          </w:tcPr>
          <w:p w14:paraId="09B16DC3" w14:textId="77777777" w:rsidR="00FA4AA8" w:rsidRDefault="0015611F">
            <w:pPr>
              <w:pStyle w:val="TableParagraph"/>
              <w:spacing w:before="115" w:line="181" w:lineRule="exact"/>
              <w:ind w:left="50"/>
              <w:rPr>
                <w:b/>
                <w:sz w:val="18"/>
              </w:rPr>
            </w:pPr>
            <w:r>
              <w:rPr>
                <w:b/>
                <w:sz w:val="18"/>
              </w:rPr>
              <w:t>Total trade and other payables</w:t>
            </w:r>
          </w:p>
        </w:tc>
        <w:tc>
          <w:tcPr>
            <w:tcW w:w="1626" w:type="dxa"/>
            <w:tcBorders>
              <w:top w:val="single" w:sz="8" w:space="0" w:color="000000"/>
              <w:bottom w:val="single" w:sz="2" w:space="0" w:color="000000"/>
            </w:tcBorders>
          </w:tcPr>
          <w:p w14:paraId="76CC9A25" w14:textId="77777777" w:rsidR="00FA4AA8" w:rsidRDefault="0015611F">
            <w:pPr>
              <w:pStyle w:val="TableParagraph"/>
              <w:spacing w:before="86"/>
              <w:ind w:right="248"/>
              <w:jc w:val="right"/>
              <w:rPr>
                <w:b/>
                <w:sz w:val="18"/>
              </w:rPr>
            </w:pPr>
            <w:r>
              <w:rPr>
                <w:b/>
                <w:sz w:val="18"/>
              </w:rPr>
              <w:t>63,366</w:t>
            </w:r>
          </w:p>
        </w:tc>
        <w:tc>
          <w:tcPr>
            <w:tcW w:w="1380" w:type="dxa"/>
            <w:tcBorders>
              <w:top w:val="single" w:sz="8" w:space="0" w:color="000000"/>
              <w:bottom w:val="single" w:sz="6" w:space="0" w:color="000000"/>
            </w:tcBorders>
          </w:tcPr>
          <w:p w14:paraId="22426226" w14:textId="77777777" w:rsidR="00FA4AA8" w:rsidRDefault="0015611F">
            <w:pPr>
              <w:pStyle w:val="TableParagraph"/>
              <w:spacing w:before="86"/>
              <w:ind w:right="332"/>
              <w:jc w:val="right"/>
              <w:rPr>
                <w:sz w:val="18"/>
              </w:rPr>
            </w:pPr>
            <w:r>
              <w:rPr>
                <w:sz w:val="18"/>
              </w:rPr>
              <w:t>59,923</w:t>
            </w:r>
          </w:p>
        </w:tc>
        <w:tc>
          <w:tcPr>
            <w:tcW w:w="1380" w:type="dxa"/>
            <w:tcBorders>
              <w:top w:val="single" w:sz="8" w:space="0" w:color="000000"/>
              <w:bottom w:val="thinThickMediumGap" w:sz="2" w:space="0" w:color="000000"/>
            </w:tcBorders>
          </w:tcPr>
          <w:p w14:paraId="67BC0413" w14:textId="77777777" w:rsidR="00FA4AA8" w:rsidRDefault="0015611F">
            <w:pPr>
              <w:pStyle w:val="TableParagraph"/>
              <w:spacing w:before="86"/>
              <w:ind w:right="248"/>
              <w:jc w:val="right"/>
              <w:rPr>
                <w:b/>
                <w:sz w:val="18"/>
              </w:rPr>
            </w:pPr>
            <w:r>
              <w:rPr>
                <w:b/>
                <w:sz w:val="18"/>
              </w:rPr>
              <w:t>62,114</w:t>
            </w:r>
          </w:p>
        </w:tc>
        <w:tc>
          <w:tcPr>
            <w:tcW w:w="1134" w:type="dxa"/>
            <w:tcBorders>
              <w:top w:val="single" w:sz="8" w:space="0" w:color="000000"/>
              <w:bottom w:val="thinThickMediumGap" w:sz="2" w:space="0" w:color="000000"/>
            </w:tcBorders>
          </w:tcPr>
          <w:p w14:paraId="32F5368D" w14:textId="77777777" w:rsidR="00FA4AA8" w:rsidRDefault="0015611F">
            <w:pPr>
              <w:pStyle w:val="TableParagraph"/>
              <w:spacing w:before="86"/>
              <w:ind w:right="86"/>
              <w:jc w:val="right"/>
              <w:rPr>
                <w:sz w:val="18"/>
              </w:rPr>
            </w:pPr>
            <w:r>
              <w:rPr>
                <w:sz w:val="18"/>
              </w:rPr>
              <w:t>59,431</w:t>
            </w:r>
          </w:p>
        </w:tc>
      </w:tr>
    </w:tbl>
    <w:p w14:paraId="57B584FB" w14:textId="77777777" w:rsidR="00FA4AA8" w:rsidRDefault="00FA4AA8">
      <w:pPr>
        <w:pStyle w:val="BodyText"/>
        <w:spacing w:before="7"/>
        <w:rPr>
          <w:b/>
          <w:sz w:val="19"/>
        </w:rPr>
      </w:pPr>
    </w:p>
    <w:p w14:paraId="69BB8818" w14:textId="77777777" w:rsidR="00FA4AA8" w:rsidRDefault="007E2441">
      <w:pPr>
        <w:pStyle w:val="BodyText"/>
        <w:spacing w:before="94"/>
        <w:ind w:left="563" w:right="132"/>
      </w:pPr>
      <w:r>
        <w:rPr>
          <w:noProof/>
          <w:lang w:val="en-AU" w:eastAsia="en-AU"/>
        </w:rPr>
        <mc:AlternateContent>
          <mc:Choice Requires="wpg">
            <w:drawing>
              <wp:anchor distT="0" distB="0" distL="114300" distR="114300" simplePos="0" relativeHeight="15747584" behindDoc="0" locked="0" layoutInCell="1" allowOverlap="1" wp14:anchorId="028D11A5" wp14:editId="78EA92C5">
                <wp:simplePos x="0" y="0"/>
                <wp:positionH relativeFrom="page">
                  <wp:posOffset>3424555</wp:posOffset>
                </wp:positionH>
                <wp:positionV relativeFrom="paragraph">
                  <wp:posOffset>-149225</wp:posOffset>
                </wp:positionV>
                <wp:extent cx="2383155" cy="16510"/>
                <wp:effectExtent l="0" t="0" r="0" b="0"/>
                <wp:wrapNone/>
                <wp:docPr id="2624" name="Group 2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3155" cy="16510"/>
                          <a:chOff x="5393" y="-235"/>
                          <a:chExt cx="5520" cy="39"/>
                        </a:xfrm>
                      </wpg:grpSpPr>
                      <wps:wsp>
                        <wps:cNvPr id="2625" name="Line 2424"/>
                        <wps:cNvCnPr>
                          <a:cxnSpLocks noChangeShapeType="1"/>
                        </wps:cNvCnPr>
                        <wps:spPr bwMode="auto">
                          <a:xfrm>
                            <a:off x="5393" y="-200"/>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626" name="Line 2423"/>
                        <wps:cNvCnPr>
                          <a:cxnSpLocks noChangeShapeType="1"/>
                        </wps:cNvCnPr>
                        <wps:spPr bwMode="auto">
                          <a:xfrm>
                            <a:off x="5393" y="-198"/>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627" name="Line 2422"/>
                        <wps:cNvCnPr>
                          <a:cxnSpLocks noChangeShapeType="1"/>
                        </wps:cNvCnPr>
                        <wps:spPr bwMode="auto">
                          <a:xfrm>
                            <a:off x="5561" y="-21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628" name="Line 2421"/>
                        <wps:cNvCnPr>
                          <a:cxnSpLocks noChangeShapeType="1"/>
                        </wps:cNvCnPr>
                        <wps:spPr bwMode="auto">
                          <a:xfrm>
                            <a:off x="5561" y="-20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629" name="Line 2420"/>
                        <wps:cNvCnPr>
                          <a:cxnSpLocks noChangeShapeType="1"/>
                        </wps:cNvCnPr>
                        <wps:spPr bwMode="auto">
                          <a:xfrm>
                            <a:off x="5561" y="-20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630" name="Line 2419"/>
                        <wps:cNvCnPr>
                          <a:cxnSpLocks noChangeShapeType="1"/>
                        </wps:cNvCnPr>
                        <wps:spPr bwMode="auto">
                          <a:xfrm>
                            <a:off x="5561" y="-20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631" name="Line 2418"/>
                        <wps:cNvCnPr>
                          <a:cxnSpLocks noChangeShapeType="1"/>
                        </wps:cNvCnPr>
                        <wps:spPr bwMode="auto">
                          <a:xfrm>
                            <a:off x="5561" y="-20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632" name="Line 2417"/>
                        <wps:cNvCnPr>
                          <a:cxnSpLocks noChangeShapeType="1"/>
                        </wps:cNvCnPr>
                        <wps:spPr bwMode="auto">
                          <a:xfrm>
                            <a:off x="5561" y="-19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633" name="Line 2416"/>
                        <wps:cNvCnPr>
                          <a:cxnSpLocks noChangeShapeType="1"/>
                        </wps:cNvCnPr>
                        <wps:spPr bwMode="auto">
                          <a:xfrm>
                            <a:off x="6857" y="-21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634" name="Line 2415"/>
                        <wps:cNvCnPr>
                          <a:cxnSpLocks noChangeShapeType="1"/>
                        </wps:cNvCnPr>
                        <wps:spPr bwMode="auto">
                          <a:xfrm>
                            <a:off x="6857" y="-20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635" name="Line 2414"/>
                        <wps:cNvCnPr>
                          <a:cxnSpLocks noChangeShapeType="1"/>
                        </wps:cNvCnPr>
                        <wps:spPr bwMode="auto">
                          <a:xfrm>
                            <a:off x="6857" y="-20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636" name="Line 2413"/>
                        <wps:cNvCnPr>
                          <a:cxnSpLocks noChangeShapeType="1"/>
                        </wps:cNvCnPr>
                        <wps:spPr bwMode="auto">
                          <a:xfrm>
                            <a:off x="6857" y="-20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637" name="Line 2412"/>
                        <wps:cNvCnPr>
                          <a:cxnSpLocks noChangeShapeType="1"/>
                        </wps:cNvCnPr>
                        <wps:spPr bwMode="auto">
                          <a:xfrm>
                            <a:off x="6857" y="-20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638" name="Line 2411"/>
                        <wps:cNvCnPr>
                          <a:cxnSpLocks noChangeShapeType="1"/>
                        </wps:cNvCnPr>
                        <wps:spPr bwMode="auto">
                          <a:xfrm>
                            <a:off x="6857" y="-19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639" name="Line 2410"/>
                        <wps:cNvCnPr>
                          <a:cxnSpLocks noChangeShapeType="1"/>
                        </wps:cNvCnPr>
                        <wps:spPr bwMode="auto">
                          <a:xfrm>
                            <a:off x="8153" y="-210"/>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640" name="Line 2409"/>
                        <wps:cNvCnPr>
                          <a:cxnSpLocks noChangeShapeType="1"/>
                        </wps:cNvCnPr>
                        <wps:spPr bwMode="auto">
                          <a:xfrm>
                            <a:off x="8153" y="-208"/>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641" name="Line 2408"/>
                        <wps:cNvCnPr>
                          <a:cxnSpLocks noChangeShapeType="1"/>
                        </wps:cNvCnPr>
                        <wps:spPr bwMode="auto">
                          <a:xfrm>
                            <a:off x="8153" y="-205"/>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642" name="Line 2407"/>
                        <wps:cNvCnPr>
                          <a:cxnSpLocks noChangeShapeType="1"/>
                        </wps:cNvCnPr>
                        <wps:spPr bwMode="auto">
                          <a:xfrm>
                            <a:off x="8153" y="-203"/>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643" name="Line 2406"/>
                        <wps:cNvCnPr>
                          <a:cxnSpLocks noChangeShapeType="1"/>
                        </wps:cNvCnPr>
                        <wps:spPr bwMode="auto">
                          <a:xfrm>
                            <a:off x="8153" y="-200"/>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644" name="Line 2405"/>
                        <wps:cNvCnPr>
                          <a:cxnSpLocks noChangeShapeType="1"/>
                        </wps:cNvCnPr>
                        <wps:spPr bwMode="auto">
                          <a:xfrm>
                            <a:off x="8153" y="-198"/>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645" name="Line 2404"/>
                        <wps:cNvCnPr>
                          <a:cxnSpLocks noChangeShapeType="1"/>
                        </wps:cNvCnPr>
                        <wps:spPr bwMode="auto">
                          <a:xfrm>
                            <a:off x="8321" y="-234"/>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646" name="Line 2403"/>
                        <wps:cNvCnPr>
                          <a:cxnSpLocks noChangeShapeType="1"/>
                        </wps:cNvCnPr>
                        <wps:spPr bwMode="auto">
                          <a:xfrm>
                            <a:off x="8321" y="-21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647" name="Line 2402"/>
                        <wps:cNvCnPr>
                          <a:cxnSpLocks noChangeShapeType="1"/>
                        </wps:cNvCnPr>
                        <wps:spPr bwMode="auto">
                          <a:xfrm>
                            <a:off x="8321" y="-20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648" name="Line 2401"/>
                        <wps:cNvCnPr>
                          <a:cxnSpLocks noChangeShapeType="1"/>
                        </wps:cNvCnPr>
                        <wps:spPr bwMode="auto">
                          <a:xfrm>
                            <a:off x="8321" y="-20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649" name="Line 2400"/>
                        <wps:cNvCnPr>
                          <a:cxnSpLocks noChangeShapeType="1"/>
                        </wps:cNvCnPr>
                        <wps:spPr bwMode="auto">
                          <a:xfrm>
                            <a:off x="8321" y="-20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650" name="Line 2399"/>
                        <wps:cNvCnPr>
                          <a:cxnSpLocks noChangeShapeType="1"/>
                        </wps:cNvCnPr>
                        <wps:spPr bwMode="auto">
                          <a:xfrm>
                            <a:off x="8321" y="-20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651" name="Line 2398"/>
                        <wps:cNvCnPr>
                          <a:cxnSpLocks noChangeShapeType="1"/>
                        </wps:cNvCnPr>
                        <wps:spPr bwMode="auto">
                          <a:xfrm>
                            <a:off x="8321" y="-19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652" name="Line 2397"/>
                        <wps:cNvCnPr>
                          <a:cxnSpLocks noChangeShapeType="1"/>
                        </wps:cNvCnPr>
                        <wps:spPr bwMode="auto">
                          <a:xfrm>
                            <a:off x="9617" y="-234"/>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653" name="Line 2396"/>
                        <wps:cNvCnPr>
                          <a:cxnSpLocks noChangeShapeType="1"/>
                        </wps:cNvCnPr>
                        <wps:spPr bwMode="auto">
                          <a:xfrm>
                            <a:off x="9617" y="-21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654" name="Line 2395"/>
                        <wps:cNvCnPr>
                          <a:cxnSpLocks noChangeShapeType="1"/>
                        </wps:cNvCnPr>
                        <wps:spPr bwMode="auto">
                          <a:xfrm>
                            <a:off x="9617" y="-20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655" name="Line 2394"/>
                        <wps:cNvCnPr>
                          <a:cxnSpLocks noChangeShapeType="1"/>
                        </wps:cNvCnPr>
                        <wps:spPr bwMode="auto">
                          <a:xfrm>
                            <a:off x="9617" y="-20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656" name="Line 2393"/>
                        <wps:cNvCnPr>
                          <a:cxnSpLocks noChangeShapeType="1"/>
                        </wps:cNvCnPr>
                        <wps:spPr bwMode="auto">
                          <a:xfrm>
                            <a:off x="9617" y="-20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657" name="Line 2392"/>
                        <wps:cNvCnPr>
                          <a:cxnSpLocks noChangeShapeType="1"/>
                        </wps:cNvCnPr>
                        <wps:spPr bwMode="auto">
                          <a:xfrm>
                            <a:off x="9617" y="-20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658" name="Line 2391"/>
                        <wps:cNvCnPr>
                          <a:cxnSpLocks noChangeShapeType="1"/>
                        </wps:cNvCnPr>
                        <wps:spPr bwMode="auto">
                          <a:xfrm>
                            <a:off x="9617" y="-19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94EE12" id="Group 2390" o:spid="_x0000_s1026" style="position:absolute;margin-left:269.65pt;margin-top:-11.75pt;width:187.65pt;height:1.3pt;z-index:15747584;mso-position-horizontal-relative:page" coordorigin="5393,-235" coordsize="552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">
                <v:line id="Line 2424" o:spid="_x0000_s1027" style="position:absolute;visibility:visible;mso-wrap-style:square" from="5393,-200" to="5561,-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" strokeweight=".12pt"/>
                <v:line id="Line 2423" o:spid="_x0000_s1028" style="position:absolute;visibility:visible;mso-wrap-style:square" from="5393,-198" to="5561,-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" strokeweight=".12pt"/>
                <v:line id="Line 2422" o:spid="_x0000_s1029" style="position:absolute;visibility:visible;mso-wrap-style:square" from="5561,-210" to="6857,-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" strokeweight=".12pt"/>
                <v:line id="Line 2421" o:spid="_x0000_s1030" style="position:absolute;visibility:visible;mso-wrap-style:square" from="5561,-208" to="6857,-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" strokeweight=".12pt"/>
                <v:line id="Line 2420" o:spid="_x0000_s1031" style="position:absolute;visibility:visible;mso-wrap-style:square" from="5561,-205" to="6857,-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" strokeweight=".12pt"/>
                <v:line id="Line 2419" o:spid="_x0000_s1032" style="position:absolute;visibility:visible;mso-wrap-style:square" from="5561,-203" to="6857,-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" strokeweight=".12pt"/>
                <v:line id="Line 2418" o:spid="_x0000_s1033" style="position:absolute;visibility:visible;mso-wrap-style:square" from="5561,-200" to="685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" strokeweight=".12pt"/>
                <v:line id="Line 2417" o:spid="_x0000_s1034" style="position:absolute;visibility:visible;mso-wrap-style:square" from="5561,-198" to="6857,-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" strokeweight=".12pt"/>
                <v:line id="Line 2416" o:spid="_x0000_s1035" style="position:absolute;visibility:visible;mso-wrap-style:square" from="6857,-210" to="8153,-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" strokeweight=".12pt"/>
                <v:line id="Line 2415" o:spid="_x0000_s1036" style="position:absolute;visibility:visible;mso-wrap-style:square" from="6857,-208" to="8153,-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" strokeweight=".12pt"/>
                <v:line id="Line 2414" o:spid="_x0000_s1037" style="position:absolute;visibility:visible;mso-wrap-style:square" from="6857,-205" to="8153,-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" strokeweight=".12pt"/>
                <v:line id="Line 2413" o:spid="_x0000_s1038" style="position:absolute;visibility:visible;mso-wrap-style:square" from="6857,-203" to="8153,-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" strokeweight=".12pt"/>
                <v:line id="Line 2412" o:spid="_x0000_s1039" style="position:absolute;visibility:visible;mso-wrap-style:square" from="6857,-200" to="8153,-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" strokeweight=".12pt"/>
                <v:line id="Line 2411" o:spid="_x0000_s1040" style="position:absolute;visibility:visible;mso-wrap-style:square" from="6857,-198" to="8153,-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" strokeweight=".12pt"/>
                <v:line id="Line 2410" o:spid="_x0000_s1041" style="position:absolute;visibility:visible;mso-wrap-style:square" from="8153,-210" to="8321,-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" strokeweight=".12pt"/>
                <v:line id="Line 2409" o:spid="_x0000_s1042" style="position:absolute;visibility:visible;mso-wrap-style:square" from="8153,-208" to="8321,-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" strokeweight=".12pt"/>
                <v:line id="Line 2408" o:spid="_x0000_s1043" style="position:absolute;visibility:visible;mso-wrap-style:square" from="8153,-205" to="832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" strokeweight=".12pt"/>
                <v:line id="Line 2407" o:spid="_x0000_s1044" style="position:absolute;visibility:visible;mso-wrap-style:square" from="8153,-203" to="8321,-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" strokeweight=".12pt"/>
                <v:line id="Line 2406" o:spid="_x0000_s1045" style="position:absolute;visibility:visible;mso-wrap-style:square" from="8153,-200" to="8321,-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" strokeweight=".12pt"/>
                <v:line id="Line 2405" o:spid="_x0000_s1046" style="position:absolute;visibility:visible;mso-wrap-style:square" from="8153,-198" to="8321,-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" strokeweight=".12pt"/>
                <v:line id="Line 2404" o:spid="_x0000_s1047" style="position:absolute;visibility:visible;mso-wrap-style:square" from="8321,-234" to="9617,-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" strokeweight=".12pt"/>
                <v:line id="Line 2403" o:spid="_x0000_s1048" style="position:absolute;visibility:visible;mso-wrap-style:square" from="8321,-210" to="9617,-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" strokeweight=".12pt"/>
                <v:line id="Line 2402" o:spid="_x0000_s1049" style="position:absolute;visibility:visible;mso-wrap-style:square" from="8321,-208" to="9617,-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" strokeweight=".12pt"/>
                <v:line id="Line 2401" o:spid="_x0000_s1050" style="position:absolute;visibility:visible;mso-wrap-style:square" from="8321,-205" to="9617,-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" strokeweight=".12pt"/>
                <v:line id="Line 2400" o:spid="_x0000_s1051" style="position:absolute;visibility:visible;mso-wrap-style:square" from="8321,-203" to="9617,-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" strokeweight=".12pt"/>
                <v:line id="Line 2399" o:spid="_x0000_s1052" style="position:absolute;visibility:visible;mso-wrap-style:square" from="8321,-200" to="961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" strokeweight=".12pt"/>
                <v:line id="Line 2398" o:spid="_x0000_s1053" style="position:absolute;visibility:visible;mso-wrap-style:square" from="8321,-198" to="9617,-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" strokeweight=".12pt"/>
                <v:line id="Line 2397" o:spid="_x0000_s1054" style="position:absolute;visibility:visible;mso-wrap-style:square" from="9617,-234" to="10913,-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" strokeweight=".12pt"/>
                <v:line id="Line 2396" o:spid="_x0000_s1055" style="position:absolute;visibility:visible;mso-wrap-style:square" from="9617,-210" to="10913,-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" strokeweight=".12pt"/>
                <v:line id="Line 2395" o:spid="_x0000_s1056" style="position:absolute;visibility:visible;mso-wrap-style:square" from="9617,-208" to="10913,-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" strokeweight=".12pt"/>
                <v:line id="Line 2394" o:spid="_x0000_s1057" style="position:absolute;visibility:visible;mso-wrap-style:square" from="9617,-205" to="10913,-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" strokeweight=".12pt"/>
                <v:line id="Line 2393" o:spid="_x0000_s1058" style="position:absolute;visibility:visible;mso-wrap-style:square" from="9617,-203" to="10913,-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" strokeweight=".12pt"/>
                <v:line id="Line 2392" o:spid="_x0000_s1059" style="position:absolute;visibility:visible;mso-wrap-style:square" from="9617,-200" to="10913,-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" strokeweight=".12pt"/>
                <v:line id="Line 2391" o:spid="_x0000_s1060" style="position:absolute;visibility:visible;mso-wrap-style:square" from="9617,-198" to="10913,-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" strokeweight=".12pt"/>
                <w10:wrap anchorx="page"/>
              </v:group>
            </w:pict>
          </mc:Fallback>
        </mc:AlternateContent>
      </w:r>
      <w:r w:rsidR="0015611F">
        <w:t>Total trade and other payables include $3.181M (2017: $5.686M) denominated in currencies other than Australian dollars. For an analysis of the sensitivity of trade and other payables to foreign currency risk refer to note 33.</w:t>
      </w:r>
    </w:p>
    <w:p w14:paraId="5A60E4AC" w14:textId="77777777" w:rsidR="00FA4AA8" w:rsidRDefault="00FA4AA8">
      <w:pPr>
        <w:pStyle w:val="BodyText"/>
        <w:spacing w:before="7"/>
        <w:rPr>
          <w:sz w:val="26"/>
        </w:rPr>
      </w:pPr>
    </w:p>
    <w:p w14:paraId="52318029" w14:textId="77777777" w:rsidR="00FA4AA8" w:rsidRDefault="0015611F">
      <w:pPr>
        <w:ind w:left="564"/>
        <w:rPr>
          <w:i/>
          <w:sz w:val="18"/>
        </w:rPr>
      </w:pPr>
      <w:r>
        <w:rPr>
          <w:i/>
          <w:sz w:val="18"/>
          <w:u w:val="single"/>
        </w:rPr>
        <w:t>Accounting Policy</w:t>
      </w:r>
    </w:p>
    <w:p w14:paraId="500E9164" w14:textId="77777777" w:rsidR="00FA4AA8" w:rsidRDefault="00FA4AA8">
      <w:pPr>
        <w:pStyle w:val="BodyText"/>
        <w:spacing w:before="3"/>
        <w:rPr>
          <w:i/>
          <w:sz w:val="17"/>
        </w:rPr>
      </w:pPr>
    </w:p>
    <w:p w14:paraId="59EC83C4" w14:textId="77777777" w:rsidR="00FA4AA8" w:rsidRDefault="0015611F">
      <w:pPr>
        <w:pStyle w:val="BodyText"/>
        <w:spacing w:before="94"/>
        <w:ind w:left="563" w:right="131"/>
      </w:pPr>
      <w:bookmarkStart w:id="49" w:name="24_Borrowings_"/>
      <w:bookmarkEnd w:id="49"/>
      <w:r>
        <w:t>Trade and other payables are carried at amortised cost and due to their short term nature they are not discounted.  They represent liabilities for goods and services provided to the Group prior to the end of the financial year, that are unpaid and arise when the Group becomes obliged to make future payments in respect of the purchase of these goods and services. The Group's standard terms of payment are 30 days from date of recognition. The Group applies 14 day terms for invoices received under the Building and Construction Industry Security of Payment Act (1999)</w:t>
      </w:r>
      <w:r>
        <w:rPr>
          <w:spacing w:val="9"/>
        </w:rPr>
        <w:t xml:space="preserve"> </w:t>
      </w:r>
      <w:r>
        <w:rPr>
          <w:spacing w:val="2"/>
        </w:rPr>
        <w:t>NSW.</w:t>
      </w:r>
    </w:p>
    <w:p w14:paraId="6187D942" w14:textId="77777777" w:rsidR="00FA4AA8" w:rsidRDefault="00FA4AA8">
      <w:pPr>
        <w:pStyle w:val="BodyText"/>
        <w:spacing w:before="7"/>
        <w:rPr>
          <w:sz w:val="16"/>
        </w:rPr>
      </w:pPr>
    </w:p>
    <w:p w14:paraId="33A697C3" w14:textId="77777777" w:rsidR="00FA4AA8" w:rsidRDefault="0015611F">
      <w:pPr>
        <w:numPr>
          <w:ilvl w:val="0"/>
          <w:numId w:val="98"/>
        </w:numPr>
        <w:tabs>
          <w:tab w:val="left" w:pos="564"/>
        </w:tabs>
        <w:spacing w:before="94"/>
        <w:ind w:hanging="397"/>
        <w:rPr>
          <w:b/>
          <w:sz w:val="18"/>
        </w:rPr>
      </w:pPr>
      <w:r>
        <w:rPr>
          <w:b/>
          <w:sz w:val="18"/>
        </w:rPr>
        <w:t>Borrowings</w:t>
      </w:r>
    </w:p>
    <w:p w14:paraId="1918E511" w14:textId="77777777" w:rsidR="00FA4AA8" w:rsidRDefault="0015611F">
      <w:pPr>
        <w:tabs>
          <w:tab w:val="left" w:pos="8426"/>
        </w:tabs>
        <w:spacing w:before="33"/>
        <w:ind w:left="5376"/>
        <w:rPr>
          <w:b/>
          <w:sz w:val="18"/>
        </w:rPr>
      </w:pPr>
      <w:r>
        <w:rPr>
          <w:b/>
          <w:sz w:val="18"/>
        </w:rPr>
        <w:t>Consolidated</w:t>
      </w:r>
      <w:r>
        <w:rPr>
          <w:b/>
          <w:sz w:val="18"/>
        </w:rPr>
        <w:tab/>
        <w:t>Parent</w:t>
      </w:r>
    </w:p>
    <w:p w14:paraId="6B186CC1" w14:textId="77777777" w:rsidR="00FA4AA8" w:rsidRDefault="00FA4AA8">
      <w:pPr>
        <w:pStyle w:val="BodyText"/>
        <w:spacing w:before="4"/>
        <w:rPr>
          <w:b/>
          <w:sz w:val="6"/>
        </w:rPr>
      </w:pPr>
    </w:p>
    <w:tbl>
      <w:tblPr>
        <w:tblW w:w="0" w:type="auto"/>
        <w:tblInd w:w="547" w:type="dxa"/>
        <w:tblLayout w:type="fixed"/>
        <w:tblCellMar>
          <w:left w:w="0" w:type="dxa"/>
          <w:right w:w="0" w:type="dxa"/>
        </w:tblCellMar>
        <w:tblLook w:val="01E0" w:firstRow="1" w:lastRow="1" w:firstColumn="1" w:lastColumn="1" w:noHBand="0" w:noVBand="0"/>
      </w:tblPr>
      <w:tblGrid>
        <w:gridCol w:w="4010"/>
        <w:gridCol w:w="1628"/>
        <w:gridCol w:w="1380"/>
        <w:gridCol w:w="1380"/>
        <w:gridCol w:w="1132"/>
      </w:tblGrid>
      <w:tr w:rsidR="00FA4AA8" w14:paraId="627C0010" w14:textId="77777777">
        <w:trPr>
          <w:trHeight w:val="1087"/>
        </w:trPr>
        <w:tc>
          <w:tcPr>
            <w:tcW w:w="4010" w:type="dxa"/>
          </w:tcPr>
          <w:p w14:paraId="23110F11" w14:textId="77777777" w:rsidR="00FA4AA8" w:rsidRDefault="00FA4AA8">
            <w:pPr>
              <w:pStyle w:val="TableParagraph"/>
              <w:rPr>
                <w:b/>
                <w:sz w:val="20"/>
              </w:rPr>
            </w:pPr>
          </w:p>
          <w:p w14:paraId="607BC8D4" w14:textId="77777777" w:rsidR="00FA4AA8" w:rsidRDefault="00FA4AA8">
            <w:pPr>
              <w:pStyle w:val="TableParagraph"/>
              <w:rPr>
                <w:b/>
                <w:sz w:val="20"/>
              </w:rPr>
            </w:pPr>
          </w:p>
          <w:p w14:paraId="07D45C10" w14:textId="77777777" w:rsidR="00FA4AA8" w:rsidRDefault="0015611F">
            <w:pPr>
              <w:pStyle w:val="TableParagraph"/>
              <w:spacing w:before="160"/>
              <w:ind w:left="50"/>
              <w:rPr>
                <w:b/>
                <w:sz w:val="18"/>
              </w:rPr>
            </w:pPr>
            <w:r>
              <w:rPr>
                <w:b/>
                <w:sz w:val="18"/>
              </w:rPr>
              <w:t>Current</w:t>
            </w:r>
          </w:p>
          <w:p w14:paraId="78DC8CA1" w14:textId="77777777" w:rsidR="00FA4AA8" w:rsidRDefault="0015611F">
            <w:pPr>
              <w:pStyle w:val="TableParagraph"/>
              <w:spacing w:before="31"/>
              <w:ind w:left="50"/>
              <w:rPr>
                <w:sz w:val="18"/>
              </w:rPr>
            </w:pPr>
            <w:r>
              <w:rPr>
                <w:sz w:val="18"/>
              </w:rPr>
              <w:t>Unsecured other financial liabilities (i)</w:t>
            </w:r>
          </w:p>
        </w:tc>
        <w:tc>
          <w:tcPr>
            <w:tcW w:w="1628" w:type="dxa"/>
            <w:tcBorders>
              <w:bottom w:val="single" w:sz="8" w:space="0" w:color="000000"/>
            </w:tcBorders>
          </w:tcPr>
          <w:p w14:paraId="400BECE2" w14:textId="77777777" w:rsidR="00FA4AA8" w:rsidRDefault="0015611F">
            <w:pPr>
              <w:pStyle w:val="TableParagraph"/>
              <w:spacing w:line="201" w:lineRule="exact"/>
              <w:ind w:left="563" w:right="581"/>
              <w:jc w:val="center"/>
              <w:rPr>
                <w:b/>
                <w:sz w:val="18"/>
              </w:rPr>
            </w:pPr>
            <w:r>
              <w:rPr>
                <w:b/>
                <w:sz w:val="18"/>
              </w:rPr>
              <w:t>2018</w:t>
            </w:r>
          </w:p>
          <w:p w14:paraId="248B5F43" w14:textId="77777777" w:rsidR="00FA4AA8" w:rsidRDefault="0015611F">
            <w:pPr>
              <w:pStyle w:val="TableParagraph"/>
              <w:spacing w:before="66"/>
              <w:ind w:left="563" w:right="581"/>
              <w:jc w:val="center"/>
              <w:rPr>
                <w:b/>
                <w:sz w:val="18"/>
              </w:rPr>
            </w:pPr>
            <w:r>
              <w:rPr>
                <w:b/>
                <w:sz w:val="18"/>
              </w:rPr>
              <w:t>$'000</w:t>
            </w:r>
          </w:p>
          <w:p w14:paraId="11D259EB" w14:textId="77777777" w:rsidR="00FA4AA8" w:rsidRDefault="0015611F">
            <w:pPr>
              <w:pStyle w:val="TableParagraph"/>
              <w:spacing w:before="117"/>
              <w:ind w:left="1320"/>
              <w:rPr>
                <w:b/>
                <w:sz w:val="18"/>
              </w:rPr>
            </w:pPr>
            <w:r>
              <w:rPr>
                <w:b/>
                <w:sz w:val="18"/>
              </w:rPr>
              <w:t>-</w:t>
            </w:r>
          </w:p>
          <w:p w14:paraId="4DD05846" w14:textId="77777777" w:rsidR="00FA4AA8" w:rsidRDefault="0015611F">
            <w:pPr>
              <w:pStyle w:val="TableParagraph"/>
              <w:spacing w:before="57"/>
              <w:ind w:left="1320"/>
              <w:rPr>
                <w:b/>
                <w:sz w:val="18"/>
              </w:rPr>
            </w:pPr>
            <w:r>
              <w:rPr>
                <w:b/>
                <w:sz w:val="18"/>
              </w:rPr>
              <w:t>-</w:t>
            </w:r>
          </w:p>
        </w:tc>
        <w:tc>
          <w:tcPr>
            <w:tcW w:w="1380" w:type="dxa"/>
            <w:tcBorders>
              <w:bottom w:val="single" w:sz="8" w:space="0" w:color="000000"/>
            </w:tcBorders>
          </w:tcPr>
          <w:p w14:paraId="4CD74F58" w14:textId="77777777" w:rsidR="00FA4AA8" w:rsidRDefault="0015611F">
            <w:pPr>
              <w:pStyle w:val="TableParagraph"/>
              <w:spacing w:line="201" w:lineRule="exact"/>
              <w:ind w:left="270"/>
              <w:rPr>
                <w:b/>
                <w:sz w:val="18"/>
              </w:rPr>
            </w:pPr>
            <w:r>
              <w:rPr>
                <w:b/>
                <w:sz w:val="18"/>
              </w:rPr>
              <w:t>2017</w:t>
            </w:r>
          </w:p>
          <w:p w14:paraId="7B0BBB9B" w14:textId="77777777" w:rsidR="00FA4AA8" w:rsidRDefault="0015611F">
            <w:pPr>
              <w:pStyle w:val="TableParagraph"/>
              <w:spacing w:before="66"/>
              <w:ind w:left="248"/>
              <w:rPr>
                <w:b/>
                <w:sz w:val="18"/>
              </w:rPr>
            </w:pPr>
            <w:r>
              <w:rPr>
                <w:b/>
                <w:sz w:val="18"/>
              </w:rPr>
              <w:t>$'000</w:t>
            </w:r>
          </w:p>
          <w:p w14:paraId="0C2924F2" w14:textId="77777777" w:rsidR="00FA4AA8" w:rsidRDefault="0015611F">
            <w:pPr>
              <w:pStyle w:val="TableParagraph"/>
              <w:spacing w:before="117"/>
              <w:ind w:left="988"/>
              <w:rPr>
                <w:sz w:val="18"/>
              </w:rPr>
            </w:pPr>
            <w:r>
              <w:rPr>
                <w:sz w:val="18"/>
              </w:rPr>
              <w:t>-</w:t>
            </w:r>
          </w:p>
          <w:p w14:paraId="217B004D" w14:textId="77777777" w:rsidR="00FA4AA8" w:rsidRDefault="0015611F">
            <w:pPr>
              <w:pStyle w:val="TableParagraph"/>
              <w:spacing w:before="57"/>
              <w:ind w:left="987"/>
              <w:rPr>
                <w:sz w:val="18"/>
              </w:rPr>
            </w:pPr>
            <w:r>
              <w:rPr>
                <w:sz w:val="18"/>
              </w:rPr>
              <w:t>-</w:t>
            </w:r>
          </w:p>
        </w:tc>
        <w:tc>
          <w:tcPr>
            <w:tcW w:w="1380" w:type="dxa"/>
            <w:tcBorders>
              <w:bottom w:val="single" w:sz="8" w:space="0" w:color="000000"/>
            </w:tcBorders>
          </w:tcPr>
          <w:p w14:paraId="06C76025" w14:textId="77777777" w:rsidR="00FA4AA8" w:rsidRDefault="0015611F">
            <w:pPr>
              <w:pStyle w:val="TableParagraph"/>
              <w:spacing w:line="201" w:lineRule="exact"/>
              <w:ind w:left="354"/>
              <w:rPr>
                <w:b/>
                <w:sz w:val="18"/>
              </w:rPr>
            </w:pPr>
            <w:r>
              <w:rPr>
                <w:b/>
                <w:sz w:val="18"/>
              </w:rPr>
              <w:t>2018</w:t>
            </w:r>
          </w:p>
          <w:p w14:paraId="29C01A93" w14:textId="77777777" w:rsidR="00FA4AA8" w:rsidRDefault="0015611F">
            <w:pPr>
              <w:pStyle w:val="TableParagraph"/>
              <w:spacing w:before="66"/>
              <w:ind w:left="332"/>
              <w:rPr>
                <w:b/>
                <w:sz w:val="18"/>
              </w:rPr>
            </w:pPr>
            <w:r>
              <w:rPr>
                <w:b/>
                <w:sz w:val="18"/>
              </w:rPr>
              <w:t>$'000</w:t>
            </w:r>
          </w:p>
          <w:p w14:paraId="49C8368B" w14:textId="77777777" w:rsidR="00FA4AA8" w:rsidRDefault="0015611F">
            <w:pPr>
              <w:pStyle w:val="TableParagraph"/>
              <w:spacing w:before="64" w:line="260" w:lineRule="atLeast"/>
              <w:ind w:left="577" w:right="229" w:firstLine="494"/>
              <w:rPr>
                <w:b/>
                <w:sz w:val="18"/>
              </w:rPr>
            </w:pPr>
            <w:r>
              <w:rPr>
                <w:b/>
                <w:sz w:val="18"/>
              </w:rPr>
              <w:t>- 12,031</w:t>
            </w:r>
          </w:p>
        </w:tc>
        <w:tc>
          <w:tcPr>
            <w:tcW w:w="1132" w:type="dxa"/>
            <w:tcBorders>
              <w:bottom w:val="single" w:sz="8" w:space="0" w:color="000000"/>
            </w:tcBorders>
          </w:tcPr>
          <w:p w14:paraId="20E154BB" w14:textId="77777777" w:rsidR="00FA4AA8" w:rsidRDefault="0015611F">
            <w:pPr>
              <w:pStyle w:val="TableParagraph"/>
              <w:spacing w:line="201" w:lineRule="exact"/>
              <w:ind w:left="270"/>
              <w:rPr>
                <w:b/>
                <w:sz w:val="18"/>
              </w:rPr>
            </w:pPr>
            <w:r>
              <w:rPr>
                <w:b/>
                <w:sz w:val="18"/>
              </w:rPr>
              <w:t>2017</w:t>
            </w:r>
          </w:p>
          <w:p w14:paraId="7F7C426D" w14:textId="77777777" w:rsidR="00FA4AA8" w:rsidRDefault="0015611F">
            <w:pPr>
              <w:pStyle w:val="TableParagraph"/>
              <w:spacing w:before="66"/>
              <w:ind w:left="248"/>
              <w:rPr>
                <w:b/>
                <w:sz w:val="18"/>
              </w:rPr>
            </w:pPr>
            <w:r>
              <w:rPr>
                <w:b/>
                <w:sz w:val="18"/>
              </w:rPr>
              <w:t>$'000</w:t>
            </w:r>
          </w:p>
          <w:p w14:paraId="5D0D4E26" w14:textId="77777777" w:rsidR="00FA4AA8" w:rsidRDefault="0015611F">
            <w:pPr>
              <w:pStyle w:val="TableParagraph"/>
              <w:spacing w:before="64" w:line="260" w:lineRule="atLeast"/>
              <w:ind w:left="594" w:right="65" w:firstLine="393"/>
              <w:rPr>
                <w:sz w:val="18"/>
              </w:rPr>
            </w:pPr>
            <w:r>
              <w:rPr>
                <w:sz w:val="18"/>
              </w:rPr>
              <w:t>- 9,201</w:t>
            </w:r>
          </w:p>
        </w:tc>
      </w:tr>
      <w:tr w:rsidR="00FA4AA8" w14:paraId="5AE6BFF0" w14:textId="77777777">
        <w:trPr>
          <w:trHeight w:val="318"/>
        </w:trPr>
        <w:tc>
          <w:tcPr>
            <w:tcW w:w="4010" w:type="dxa"/>
          </w:tcPr>
          <w:p w14:paraId="4A1B541B" w14:textId="77777777" w:rsidR="00FA4AA8" w:rsidRDefault="0015611F">
            <w:pPr>
              <w:pStyle w:val="TableParagraph"/>
              <w:spacing w:before="115" w:line="183" w:lineRule="exact"/>
              <w:ind w:left="50"/>
              <w:rPr>
                <w:b/>
                <w:sz w:val="18"/>
              </w:rPr>
            </w:pPr>
            <w:r>
              <w:rPr>
                <w:b/>
                <w:sz w:val="18"/>
              </w:rPr>
              <w:t>Total current borrowings</w:t>
            </w:r>
          </w:p>
        </w:tc>
        <w:tc>
          <w:tcPr>
            <w:tcW w:w="1628" w:type="dxa"/>
            <w:tcBorders>
              <w:top w:val="single" w:sz="8" w:space="0" w:color="000000"/>
              <w:bottom w:val="single" w:sz="8" w:space="0" w:color="000000"/>
            </w:tcBorders>
          </w:tcPr>
          <w:p w14:paraId="15767809" w14:textId="77777777" w:rsidR="00FA4AA8" w:rsidRDefault="0015611F">
            <w:pPr>
              <w:pStyle w:val="TableParagraph"/>
              <w:spacing w:before="115" w:line="183" w:lineRule="exact"/>
              <w:ind w:right="246"/>
              <w:jc w:val="right"/>
              <w:rPr>
                <w:b/>
                <w:sz w:val="18"/>
              </w:rPr>
            </w:pPr>
            <w:r>
              <w:rPr>
                <w:b/>
                <w:sz w:val="18"/>
              </w:rPr>
              <w:t>-</w:t>
            </w:r>
          </w:p>
        </w:tc>
        <w:tc>
          <w:tcPr>
            <w:tcW w:w="1380" w:type="dxa"/>
            <w:tcBorders>
              <w:top w:val="single" w:sz="8" w:space="0" w:color="000000"/>
              <w:bottom w:val="single" w:sz="8" w:space="0" w:color="000000"/>
            </w:tcBorders>
          </w:tcPr>
          <w:p w14:paraId="7CE7BE24" w14:textId="77777777" w:rsidR="00FA4AA8" w:rsidRDefault="0015611F">
            <w:pPr>
              <w:pStyle w:val="TableParagraph"/>
              <w:spacing w:before="115" w:line="183" w:lineRule="exact"/>
              <w:ind w:right="330"/>
              <w:jc w:val="right"/>
              <w:rPr>
                <w:sz w:val="18"/>
              </w:rPr>
            </w:pPr>
            <w:r>
              <w:rPr>
                <w:sz w:val="18"/>
              </w:rPr>
              <w:t>-</w:t>
            </w:r>
          </w:p>
        </w:tc>
        <w:tc>
          <w:tcPr>
            <w:tcW w:w="1380" w:type="dxa"/>
            <w:tcBorders>
              <w:top w:val="single" w:sz="8" w:space="0" w:color="000000"/>
              <w:bottom w:val="single" w:sz="8" w:space="0" w:color="000000"/>
            </w:tcBorders>
          </w:tcPr>
          <w:p w14:paraId="61767937" w14:textId="77777777" w:rsidR="00FA4AA8" w:rsidRDefault="0015611F">
            <w:pPr>
              <w:pStyle w:val="TableParagraph"/>
              <w:spacing w:before="115" w:line="183" w:lineRule="exact"/>
              <w:ind w:right="246"/>
              <w:jc w:val="right"/>
              <w:rPr>
                <w:b/>
                <w:sz w:val="18"/>
              </w:rPr>
            </w:pPr>
            <w:r>
              <w:rPr>
                <w:b/>
                <w:sz w:val="18"/>
              </w:rPr>
              <w:t>12,031</w:t>
            </w:r>
          </w:p>
        </w:tc>
        <w:tc>
          <w:tcPr>
            <w:tcW w:w="1132" w:type="dxa"/>
            <w:tcBorders>
              <w:top w:val="single" w:sz="8" w:space="0" w:color="000000"/>
              <w:bottom w:val="single" w:sz="8" w:space="0" w:color="000000"/>
            </w:tcBorders>
          </w:tcPr>
          <w:p w14:paraId="191522DA" w14:textId="77777777" w:rsidR="00FA4AA8" w:rsidRDefault="0015611F">
            <w:pPr>
              <w:pStyle w:val="TableParagraph"/>
              <w:spacing w:before="115" w:line="183" w:lineRule="exact"/>
              <w:ind w:right="82"/>
              <w:jc w:val="right"/>
              <w:rPr>
                <w:sz w:val="18"/>
              </w:rPr>
            </w:pPr>
            <w:r>
              <w:rPr>
                <w:sz w:val="18"/>
              </w:rPr>
              <w:t>9,201</w:t>
            </w:r>
          </w:p>
        </w:tc>
      </w:tr>
      <w:tr w:rsidR="00FA4AA8" w14:paraId="419944E9" w14:textId="77777777">
        <w:trPr>
          <w:trHeight w:val="582"/>
        </w:trPr>
        <w:tc>
          <w:tcPr>
            <w:tcW w:w="4010" w:type="dxa"/>
          </w:tcPr>
          <w:p w14:paraId="615E439C" w14:textId="77777777" w:rsidR="00FA4AA8" w:rsidRDefault="0015611F">
            <w:pPr>
              <w:pStyle w:val="TableParagraph"/>
              <w:spacing w:before="115"/>
              <w:ind w:left="50"/>
              <w:rPr>
                <w:b/>
                <w:sz w:val="18"/>
              </w:rPr>
            </w:pPr>
            <w:r>
              <w:rPr>
                <w:b/>
                <w:sz w:val="18"/>
              </w:rPr>
              <w:t>Non-Current</w:t>
            </w:r>
          </w:p>
          <w:p w14:paraId="7854A750" w14:textId="77777777" w:rsidR="00FA4AA8" w:rsidRDefault="0015611F">
            <w:pPr>
              <w:pStyle w:val="TableParagraph"/>
              <w:spacing w:before="30"/>
              <w:ind w:left="50"/>
              <w:rPr>
                <w:sz w:val="18"/>
              </w:rPr>
            </w:pPr>
            <w:r>
              <w:rPr>
                <w:sz w:val="18"/>
              </w:rPr>
              <w:t>Unsecured bank loans (ii)</w:t>
            </w:r>
          </w:p>
        </w:tc>
        <w:tc>
          <w:tcPr>
            <w:tcW w:w="1628" w:type="dxa"/>
            <w:tcBorders>
              <w:top w:val="single" w:sz="8" w:space="0" w:color="000000"/>
              <w:bottom w:val="single" w:sz="8" w:space="0" w:color="000000"/>
            </w:tcBorders>
          </w:tcPr>
          <w:p w14:paraId="62A39AA0" w14:textId="77777777" w:rsidR="00FA4AA8" w:rsidRDefault="00FA4AA8">
            <w:pPr>
              <w:pStyle w:val="TableParagraph"/>
              <w:rPr>
                <w:b/>
                <w:sz w:val="20"/>
              </w:rPr>
            </w:pPr>
          </w:p>
          <w:p w14:paraId="396FE1FD" w14:textId="77777777" w:rsidR="00FA4AA8" w:rsidRDefault="0015611F">
            <w:pPr>
              <w:pStyle w:val="TableParagraph"/>
              <w:spacing w:before="120"/>
              <w:ind w:right="248"/>
              <w:jc w:val="right"/>
              <w:rPr>
                <w:b/>
                <w:sz w:val="18"/>
              </w:rPr>
            </w:pPr>
            <w:r>
              <w:rPr>
                <w:b/>
                <w:sz w:val="18"/>
              </w:rPr>
              <w:t>162,500</w:t>
            </w:r>
          </w:p>
        </w:tc>
        <w:tc>
          <w:tcPr>
            <w:tcW w:w="1380" w:type="dxa"/>
            <w:tcBorders>
              <w:top w:val="single" w:sz="8" w:space="0" w:color="000000"/>
              <w:bottom w:val="single" w:sz="8" w:space="0" w:color="000000"/>
            </w:tcBorders>
          </w:tcPr>
          <w:p w14:paraId="143D760A" w14:textId="77777777" w:rsidR="00FA4AA8" w:rsidRDefault="00FA4AA8">
            <w:pPr>
              <w:pStyle w:val="TableParagraph"/>
              <w:rPr>
                <w:b/>
                <w:sz w:val="20"/>
              </w:rPr>
            </w:pPr>
          </w:p>
          <w:p w14:paraId="14E609EB" w14:textId="77777777" w:rsidR="00FA4AA8" w:rsidRDefault="0015611F">
            <w:pPr>
              <w:pStyle w:val="TableParagraph"/>
              <w:spacing w:before="120"/>
              <w:ind w:right="332"/>
              <w:jc w:val="right"/>
              <w:rPr>
                <w:sz w:val="18"/>
              </w:rPr>
            </w:pPr>
            <w:r>
              <w:rPr>
                <w:sz w:val="18"/>
              </w:rPr>
              <w:t>163,500</w:t>
            </w:r>
          </w:p>
        </w:tc>
        <w:tc>
          <w:tcPr>
            <w:tcW w:w="1380" w:type="dxa"/>
            <w:tcBorders>
              <w:top w:val="single" w:sz="8" w:space="0" w:color="000000"/>
              <w:bottom w:val="single" w:sz="8" w:space="0" w:color="000000"/>
            </w:tcBorders>
          </w:tcPr>
          <w:p w14:paraId="58173D42" w14:textId="77777777" w:rsidR="00FA4AA8" w:rsidRDefault="00FA4AA8">
            <w:pPr>
              <w:pStyle w:val="TableParagraph"/>
              <w:rPr>
                <w:b/>
                <w:sz w:val="20"/>
              </w:rPr>
            </w:pPr>
          </w:p>
          <w:p w14:paraId="0E95F25C" w14:textId="77777777" w:rsidR="00FA4AA8" w:rsidRDefault="0015611F">
            <w:pPr>
              <w:pStyle w:val="TableParagraph"/>
              <w:spacing w:before="120"/>
              <w:ind w:right="248"/>
              <w:jc w:val="right"/>
              <w:rPr>
                <w:b/>
                <w:sz w:val="18"/>
              </w:rPr>
            </w:pPr>
            <w:r>
              <w:rPr>
                <w:b/>
                <w:sz w:val="18"/>
              </w:rPr>
              <w:t>162,500</w:t>
            </w:r>
          </w:p>
        </w:tc>
        <w:tc>
          <w:tcPr>
            <w:tcW w:w="1132" w:type="dxa"/>
            <w:tcBorders>
              <w:top w:val="single" w:sz="8" w:space="0" w:color="000000"/>
              <w:bottom w:val="single" w:sz="8" w:space="0" w:color="000000"/>
            </w:tcBorders>
          </w:tcPr>
          <w:p w14:paraId="297F5DAF" w14:textId="77777777" w:rsidR="00FA4AA8" w:rsidRDefault="00FA4AA8">
            <w:pPr>
              <w:pStyle w:val="TableParagraph"/>
              <w:rPr>
                <w:b/>
                <w:sz w:val="20"/>
              </w:rPr>
            </w:pPr>
          </w:p>
          <w:p w14:paraId="1639C723" w14:textId="77777777" w:rsidR="00FA4AA8" w:rsidRDefault="0015611F">
            <w:pPr>
              <w:pStyle w:val="TableParagraph"/>
              <w:spacing w:before="120"/>
              <w:ind w:right="84"/>
              <w:jc w:val="right"/>
              <w:rPr>
                <w:sz w:val="18"/>
              </w:rPr>
            </w:pPr>
            <w:r>
              <w:rPr>
                <w:sz w:val="18"/>
              </w:rPr>
              <w:t>163,500</w:t>
            </w:r>
          </w:p>
        </w:tc>
      </w:tr>
      <w:tr w:rsidR="00FA4AA8" w14:paraId="5F968BD4" w14:textId="77777777">
        <w:trPr>
          <w:trHeight w:val="318"/>
        </w:trPr>
        <w:tc>
          <w:tcPr>
            <w:tcW w:w="4010" w:type="dxa"/>
          </w:tcPr>
          <w:p w14:paraId="2FF56527" w14:textId="77777777" w:rsidR="00FA4AA8" w:rsidRDefault="0015611F">
            <w:pPr>
              <w:pStyle w:val="TableParagraph"/>
              <w:spacing w:before="115" w:line="183" w:lineRule="exact"/>
              <w:ind w:left="50"/>
              <w:rPr>
                <w:b/>
                <w:sz w:val="18"/>
              </w:rPr>
            </w:pPr>
            <w:r>
              <w:rPr>
                <w:b/>
                <w:sz w:val="18"/>
              </w:rPr>
              <w:t>Total non-current borrowings</w:t>
            </w:r>
          </w:p>
        </w:tc>
        <w:tc>
          <w:tcPr>
            <w:tcW w:w="1628" w:type="dxa"/>
            <w:tcBorders>
              <w:top w:val="single" w:sz="8" w:space="0" w:color="000000"/>
              <w:bottom w:val="single" w:sz="8" w:space="0" w:color="000000"/>
            </w:tcBorders>
          </w:tcPr>
          <w:p w14:paraId="74366015" w14:textId="77777777" w:rsidR="00FA4AA8" w:rsidRDefault="0015611F">
            <w:pPr>
              <w:pStyle w:val="TableParagraph"/>
              <w:spacing w:before="115" w:line="183" w:lineRule="exact"/>
              <w:ind w:right="248"/>
              <w:jc w:val="right"/>
              <w:rPr>
                <w:b/>
                <w:sz w:val="18"/>
              </w:rPr>
            </w:pPr>
            <w:r>
              <w:rPr>
                <w:b/>
                <w:sz w:val="18"/>
              </w:rPr>
              <w:t>162,500</w:t>
            </w:r>
          </w:p>
        </w:tc>
        <w:tc>
          <w:tcPr>
            <w:tcW w:w="1380" w:type="dxa"/>
            <w:tcBorders>
              <w:top w:val="single" w:sz="8" w:space="0" w:color="000000"/>
              <w:bottom w:val="single" w:sz="8" w:space="0" w:color="000000"/>
            </w:tcBorders>
          </w:tcPr>
          <w:p w14:paraId="6510FA71" w14:textId="77777777" w:rsidR="00FA4AA8" w:rsidRDefault="0015611F">
            <w:pPr>
              <w:pStyle w:val="TableParagraph"/>
              <w:spacing w:before="115" w:line="183" w:lineRule="exact"/>
              <w:ind w:right="332"/>
              <w:jc w:val="right"/>
              <w:rPr>
                <w:sz w:val="18"/>
              </w:rPr>
            </w:pPr>
            <w:r>
              <w:rPr>
                <w:sz w:val="18"/>
              </w:rPr>
              <w:t>163,500</w:t>
            </w:r>
          </w:p>
        </w:tc>
        <w:tc>
          <w:tcPr>
            <w:tcW w:w="1380" w:type="dxa"/>
            <w:tcBorders>
              <w:top w:val="single" w:sz="8" w:space="0" w:color="000000"/>
              <w:bottom w:val="single" w:sz="8" w:space="0" w:color="000000"/>
            </w:tcBorders>
          </w:tcPr>
          <w:p w14:paraId="5764A1C8" w14:textId="77777777" w:rsidR="00FA4AA8" w:rsidRDefault="0015611F">
            <w:pPr>
              <w:pStyle w:val="TableParagraph"/>
              <w:spacing w:before="115" w:line="183" w:lineRule="exact"/>
              <w:ind w:right="248"/>
              <w:jc w:val="right"/>
              <w:rPr>
                <w:b/>
                <w:sz w:val="18"/>
              </w:rPr>
            </w:pPr>
            <w:r>
              <w:rPr>
                <w:b/>
                <w:sz w:val="18"/>
              </w:rPr>
              <w:t>162,500</w:t>
            </w:r>
          </w:p>
        </w:tc>
        <w:tc>
          <w:tcPr>
            <w:tcW w:w="1132" w:type="dxa"/>
            <w:tcBorders>
              <w:top w:val="single" w:sz="8" w:space="0" w:color="000000"/>
              <w:bottom w:val="single" w:sz="8" w:space="0" w:color="000000"/>
            </w:tcBorders>
          </w:tcPr>
          <w:p w14:paraId="4A9F629A" w14:textId="77777777" w:rsidR="00FA4AA8" w:rsidRDefault="0015611F">
            <w:pPr>
              <w:pStyle w:val="TableParagraph"/>
              <w:spacing w:before="115" w:line="183" w:lineRule="exact"/>
              <w:ind w:right="84"/>
              <w:jc w:val="right"/>
              <w:rPr>
                <w:sz w:val="18"/>
              </w:rPr>
            </w:pPr>
            <w:r>
              <w:rPr>
                <w:sz w:val="18"/>
              </w:rPr>
              <w:t>163,500</w:t>
            </w:r>
          </w:p>
        </w:tc>
      </w:tr>
      <w:tr w:rsidR="00FA4AA8" w14:paraId="7DA72336" w14:textId="77777777">
        <w:trPr>
          <w:trHeight w:val="320"/>
        </w:trPr>
        <w:tc>
          <w:tcPr>
            <w:tcW w:w="4010" w:type="dxa"/>
          </w:tcPr>
          <w:p w14:paraId="2D7F34B6" w14:textId="77777777" w:rsidR="00FA4AA8" w:rsidRDefault="0015611F">
            <w:pPr>
              <w:pStyle w:val="TableParagraph"/>
              <w:spacing w:before="115" w:line="185" w:lineRule="exact"/>
              <w:ind w:left="50"/>
              <w:rPr>
                <w:b/>
                <w:sz w:val="18"/>
              </w:rPr>
            </w:pPr>
            <w:r>
              <w:rPr>
                <w:b/>
                <w:sz w:val="18"/>
              </w:rPr>
              <w:t>Total borrowings</w:t>
            </w:r>
          </w:p>
        </w:tc>
        <w:tc>
          <w:tcPr>
            <w:tcW w:w="1628" w:type="dxa"/>
            <w:tcBorders>
              <w:top w:val="single" w:sz="8" w:space="0" w:color="000000"/>
              <w:bottom w:val="double" w:sz="2" w:space="0" w:color="000000"/>
            </w:tcBorders>
          </w:tcPr>
          <w:p w14:paraId="0415E4CA" w14:textId="77777777" w:rsidR="00FA4AA8" w:rsidRDefault="0015611F">
            <w:pPr>
              <w:pStyle w:val="TableParagraph"/>
              <w:spacing w:before="115" w:line="185" w:lineRule="exact"/>
              <w:ind w:right="248"/>
              <w:jc w:val="right"/>
              <w:rPr>
                <w:b/>
                <w:sz w:val="18"/>
              </w:rPr>
            </w:pPr>
            <w:r>
              <w:rPr>
                <w:b/>
                <w:sz w:val="18"/>
              </w:rPr>
              <w:t>162,500</w:t>
            </w:r>
          </w:p>
        </w:tc>
        <w:tc>
          <w:tcPr>
            <w:tcW w:w="1380" w:type="dxa"/>
            <w:tcBorders>
              <w:top w:val="single" w:sz="8" w:space="0" w:color="000000"/>
              <w:bottom w:val="double" w:sz="2" w:space="0" w:color="000000"/>
            </w:tcBorders>
          </w:tcPr>
          <w:p w14:paraId="56F6D579" w14:textId="77777777" w:rsidR="00FA4AA8" w:rsidRDefault="0015611F">
            <w:pPr>
              <w:pStyle w:val="TableParagraph"/>
              <w:spacing w:before="115" w:line="185" w:lineRule="exact"/>
              <w:ind w:right="332"/>
              <w:jc w:val="right"/>
              <w:rPr>
                <w:sz w:val="18"/>
              </w:rPr>
            </w:pPr>
            <w:r>
              <w:rPr>
                <w:sz w:val="18"/>
              </w:rPr>
              <w:t>163,500</w:t>
            </w:r>
          </w:p>
        </w:tc>
        <w:tc>
          <w:tcPr>
            <w:tcW w:w="1380" w:type="dxa"/>
            <w:tcBorders>
              <w:top w:val="single" w:sz="8" w:space="0" w:color="000000"/>
              <w:bottom w:val="double" w:sz="2" w:space="0" w:color="000000"/>
            </w:tcBorders>
          </w:tcPr>
          <w:p w14:paraId="566876B8" w14:textId="77777777" w:rsidR="00FA4AA8" w:rsidRDefault="0015611F">
            <w:pPr>
              <w:pStyle w:val="TableParagraph"/>
              <w:spacing w:before="115" w:line="185" w:lineRule="exact"/>
              <w:ind w:right="248"/>
              <w:jc w:val="right"/>
              <w:rPr>
                <w:b/>
                <w:sz w:val="18"/>
              </w:rPr>
            </w:pPr>
            <w:r>
              <w:rPr>
                <w:b/>
                <w:sz w:val="18"/>
              </w:rPr>
              <w:t>174,531</w:t>
            </w:r>
          </w:p>
        </w:tc>
        <w:tc>
          <w:tcPr>
            <w:tcW w:w="1132" w:type="dxa"/>
            <w:tcBorders>
              <w:top w:val="single" w:sz="8" w:space="0" w:color="000000"/>
              <w:bottom w:val="double" w:sz="2" w:space="0" w:color="000000"/>
            </w:tcBorders>
          </w:tcPr>
          <w:p w14:paraId="009F630A" w14:textId="77777777" w:rsidR="00FA4AA8" w:rsidRDefault="0015611F">
            <w:pPr>
              <w:pStyle w:val="TableParagraph"/>
              <w:spacing w:before="115" w:line="185" w:lineRule="exact"/>
              <w:ind w:right="84"/>
              <w:jc w:val="right"/>
              <w:rPr>
                <w:sz w:val="18"/>
              </w:rPr>
            </w:pPr>
            <w:r>
              <w:rPr>
                <w:sz w:val="18"/>
              </w:rPr>
              <w:t>172,701</w:t>
            </w:r>
          </w:p>
        </w:tc>
      </w:tr>
    </w:tbl>
    <w:p w14:paraId="0FFED1BF" w14:textId="77777777" w:rsidR="00FA4AA8" w:rsidRDefault="00FA4AA8">
      <w:pPr>
        <w:pStyle w:val="BodyText"/>
        <w:spacing w:before="10"/>
        <w:rPr>
          <w:b/>
          <w:sz w:val="17"/>
        </w:rPr>
      </w:pPr>
    </w:p>
    <w:p w14:paraId="3DC14675" w14:textId="77777777" w:rsidR="00FA4AA8" w:rsidRDefault="0015611F">
      <w:pPr>
        <w:pStyle w:val="ListParagraph"/>
        <w:numPr>
          <w:ilvl w:val="1"/>
          <w:numId w:val="98"/>
        </w:numPr>
        <w:tabs>
          <w:tab w:val="left" w:pos="848"/>
        </w:tabs>
        <w:spacing w:before="95"/>
        <w:ind w:right="136" w:firstLine="0"/>
        <w:rPr>
          <w:sz w:val="18"/>
        </w:rPr>
      </w:pPr>
      <w:r>
        <w:rPr>
          <w:sz w:val="18"/>
        </w:rPr>
        <w:t>Relates to the transfer of Western Sydney University Enterprises Pty Limited trading as Western Sydney University The College and Western Sydney University Early Learning Limited surplus funds to the</w:t>
      </w:r>
      <w:r>
        <w:rPr>
          <w:spacing w:val="2"/>
          <w:sz w:val="18"/>
        </w:rPr>
        <w:t xml:space="preserve"> </w:t>
      </w:r>
      <w:r>
        <w:rPr>
          <w:sz w:val="18"/>
        </w:rPr>
        <w:t>University.</w:t>
      </w:r>
    </w:p>
    <w:p w14:paraId="3AB8C794" w14:textId="77777777" w:rsidR="00FA4AA8" w:rsidRDefault="00FA4AA8">
      <w:pPr>
        <w:pStyle w:val="BodyText"/>
        <w:spacing w:before="10"/>
        <w:rPr>
          <w:sz w:val="24"/>
        </w:rPr>
      </w:pPr>
    </w:p>
    <w:p w14:paraId="5DCD40C5" w14:textId="77777777" w:rsidR="00FA4AA8" w:rsidRDefault="0015611F">
      <w:pPr>
        <w:pStyle w:val="ListParagraph"/>
        <w:numPr>
          <w:ilvl w:val="1"/>
          <w:numId w:val="98"/>
        </w:numPr>
        <w:tabs>
          <w:tab w:val="left" w:pos="848"/>
        </w:tabs>
        <w:spacing w:before="1"/>
        <w:ind w:right="208" w:firstLine="0"/>
        <w:rPr>
          <w:sz w:val="18"/>
        </w:rPr>
      </w:pPr>
      <w:r>
        <w:rPr>
          <w:sz w:val="18"/>
        </w:rPr>
        <w:t>The University has borrowing facilities of $298M used for the construction of new facilities, other infrastructure and working capital purposes. The balance of the loan outstanding as at 31 December 2018 was $162.5M</w:t>
      </w:r>
      <w:r>
        <w:rPr>
          <w:spacing w:val="11"/>
          <w:sz w:val="18"/>
        </w:rPr>
        <w:t xml:space="preserve"> </w:t>
      </w:r>
      <w:r>
        <w:rPr>
          <w:sz w:val="18"/>
        </w:rPr>
        <w:t>(2017:</w:t>
      </w:r>
    </w:p>
    <w:p w14:paraId="263AB4C3" w14:textId="77777777" w:rsidR="00FA4AA8" w:rsidRDefault="0015611F">
      <w:pPr>
        <w:pStyle w:val="BodyText"/>
        <w:spacing w:line="206" w:lineRule="exact"/>
        <w:ind w:left="563"/>
      </w:pPr>
      <w:r>
        <w:t>$163.5M).</w:t>
      </w:r>
    </w:p>
    <w:p w14:paraId="35356599" w14:textId="77777777" w:rsidR="00FA4AA8" w:rsidRDefault="00FA4AA8">
      <w:pPr>
        <w:spacing w:line="206" w:lineRule="exact"/>
        <w:sectPr w:rsidR="00FA4AA8">
          <w:pgSz w:w="11910" w:h="16840"/>
          <w:pgMar w:top="2220" w:right="880" w:bottom="720" w:left="840" w:header="1016" w:footer="523" w:gutter="0"/>
          <w:cols w:space="720"/>
        </w:sectPr>
      </w:pPr>
    </w:p>
    <w:p w14:paraId="5C87605E" w14:textId="77777777" w:rsidR="00FA4AA8" w:rsidRDefault="00FA4AA8">
      <w:pPr>
        <w:pStyle w:val="BodyText"/>
        <w:rPr>
          <w:sz w:val="20"/>
        </w:rPr>
      </w:pPr>
    </w:p>
    <w:p w14:paraId="5088E26B" w14:textId="77777777" w:rsidR="00FA4AA8" w:rsidRDefault="00FA4AA8">
      <w:pPr>
        <w:pStyle w:val="BodyText"/>
        <w:spacing w:before="10"/>
        <w:rPr>
          <w:sz w:val="29"/>
        </w:rPr>
      </w:pPr>
    </w:p>
    <w:p w14:paraId="2E630EC5" w14:textId="77777777" w:rsidR="00FA4AA8" w:rsidRDefault="0015611F">
      <w:pPr>
        <w:spacing w:before="94"/>
        <w:ind w:left="167"/>
        <w:rPr>
          <w:b/>
          <w:sz w:val="18"/>
        </w:rPr>
      </w:pPr>
      <w:r>
        <w:rPr>
          <w:b/>
          <w:sz w:val="18"/>
        </w:rPr>
        <w:t>24 Borrowings (continued)</w:t>
      </w:r>
    </w:p>
    <w:p w14:paraId="293A64A0" w14:textId="77777777" w:rsidR="00FA4AA8" w:rsidRDefault="00FA4AA8">
      <w:pPr>
        <w:pStyle w:val="BodyText"/>
        <w:rPr>
          <w:b/>
          <w:sz w:val="25"/>
        </w:rPr>
      </w:pPr>
    </w:p>
    <w:p w14:paraId="4033056C" w14:textId="77777777" w:rsidR="00FA4AA8" w:rsidRDefault="0015611F">
      <w:pPr>
        <w:pStyle w:val="BodyText"/>
        <w:ind w:left="564"/>
      </w:pPr>
      <w:bookmarkStart w:id="50" w:name="(a)_Financing_arrangements"/>
      <w:bookmarkEnd w:id="50"/>
      <w:r>
        <w:t>The interest rate of the loan is variable being based on the BBSY bid rate plus a margin. The interest rate averaged 3.09% during 2018 and is not benchmarked for liability management performance. The loan facilities are unsecured.</w:t>
      </w:r>
    </w:p>
    <w:p w14:paraId="0063DC07" w14:textId="77777777" w:rsidR="00FA4AA8" w:rsidRDefault="00FA4AA8">
      <w:pPr>
        <w:pStyle w:val="BodyText"/>
        <w:spacing w:before="10"/>
        <w:rPr>
          <w:sz w:val="24"/>
        </w:rPr>
      </w:pPr>
    </w:p>
    <w:p w14:paraId="11FC9937" w14:textId="77777777" w:rsidR="00FA4AA8" w:rsidRDefault="0015611F">
      <w:pPr>
        <w:pStyle w:val="BodyText"/>
        <w:spacing w:before="1"/>
        <w:ind w:left="564" w:right="132"/>
      </w:pPr>
      <w:r>
        <w:t>The fair value of borrowings equals their carrying amount, as the impact of discounting is not significant. Refer to note 33 for an analysis of the sensitivity of borrowings to interest rate risk.</w:t>
      </w:r>
    </w:p>
    <w:p w14:paraId="228E8DF4" w14:textId="77777777" w:rsidR="00FA4AA8" w:rsidRDefault="00FA4AA8">
      <w:pPr>
        <w:pStyle w:val="BodyText"/>
        <w:spacing w:before="6"/>
        <w:rPr>
          <w:sz w:val="26"/>
        </w:rPr>
      </w:pPr>
    </w:p>
    <w:p w14:paraId="51E8899C" w14:textId="77777777" w:rsidR="00FA4AA8" w:rsidRDefault="0015611F">
      <w:pPr>
        <w:spacing w:before="1"/>
        <w:ind w:left="167"/>
        <w:rPr>
          <w:b/>
          <w:sz w:val="18"/>
        </w:rPr>
      </w:pPr>
      <w:r>
        <w:rPr>
          <w:b/>
          <w:sz w:val="18"/>
        </w:rPr>
        <w:t>(a) Financing arrangements</w:t>
      </w:r>
    </w:p>
    <w:p w14:paraId="60F40C06" w14:textId="77777777" w:rsidR="00FA4AA8" w:rsidRDefault="00FA4AA8">
      <w:pPr>
        <w:pStyle w:val="BodyText"/>
        <w:spacing w:before="4"/>
        <w:rPr>
          <w:b/>
          <w:sz w:val="25"/>
        </w:rPr>
      </w:pPr>
    </w:p>
    <w:p w14:paraId="0D7E20AB" w14:textId="77777777" w:rsidR="00FA4AA8" w:rsidRDefault="0015611F">
      <w:pPr>
        <w:pStyle w:val="BodyText"/>
        <w:ind w:left="564"/>
      </w:pPr>
      <w:r>
        <w:t>Unrestricted access was available at reporting date to the following lines of credit:</w:t>
      </w:r>
    </w:p>
    <w:p w14:paraId="3AB7F578" w14:textId="77777777" w:rsidR="00FA4AA8" w:rsidRDefault="0015611F">
      <w:pPr>
        <w:tabs>
          <w:tab w:val="left" w:pos="8426"/>
        </w:tabs>
        <w:spacing w:before="33"/>
        <w:ind w:left="5376"/>
        <w:rPr>
          <w:b/>
          <w:sz w:val="18"/>
        </w:rPr>
      </w:pPr>
      <w:r>
        <w:rPr>
          <w:b/>
          <w:sz w:val="18"/>
        </w:rPr>
        <w:t>Consolidated</w:t>
      </w:r>
      <w:r>
        <w:rPr>
          <w:b/>
          <w:sz w:val="18"/>
        </w:rPr>
        <w:tab/>
        <w:t>Parent</w:t>
      </w:r>
    </w:p>
    <w:p w14:paraId="3E50E305" w14:textId="77777777" w:rsidR="00FA4AA8" w:rsidRDefault="00FA4AA8">
      <w:pPr>
        <w:pStyle w:val="BodyText"/>
        <w:spacing w:before="4"/>
        <w:rPr>
          <w:b/>
          <w:sz w:val="6"/>
        </w:rPr>
      </w:pPr>
    </w:p>
    <w:tbl>
      <w:tblPr>
        <w:tblW w:w="0" w:type="auto"/>
        <w:tblInd w:w="521" w:type="dxa"/>
        <w:tblLayout w:type="fixed"/>
        <w:tblCellMar>
          <w:left w:w="0" w:type="dxa"/>
          <w:right w:w="0" w:type="dxa"/>
        </w:tblCellMar>
        <w:tblLook w:val="01E0" w:firstRow="1" w:lastRow="1" w:firstColumn="1" w:lastColumn="1" w:noHBand="0" w:noVBand="0"/>
      </w:tblPr>
      <w:tblGrid>
        <w:gridCol w:w="4039"/>
        <w:gridCol w:w="1656"/>
        <w:gridCol w:w="1380"/>
        <w:gridCol w:w="1380"/>
        <w:gridCol w:w="1104"/>
      </w:tblGrid>
      <w:tr w:rsidR="00FA4AA8" w14:paraId="38427BB2" w14:textId="77777777">
        <w:trPr>
          <w:trHeight w:val="1461"/>
        </w:trPr>
        <w:tc>
          <w:tcPr>
            <w:tcW w:w="4039" w:type="dxa"/>
          </w:tcPr>
          <w:p w14:paraId="40221C45" w14:textId="77777777" w:rsidR="00FA4AA8" w:rsidRDefault="00FA4AA8">
            <w:pPr>
              <w:pStyle w:val="TableParagraph"/>
              <w:spacing w:before="10"/>
              <w:rPr>
                <w:b/>
                <w:sz w:val="18"/>
              </w:rPr>
            </w:pPr>
          </w:p>
          <w:p w14:paraId="77A35AA8" w14:textId="77777777" w:rsidR="00FA4AA8" w:rsidRDefault="0015611F">
            <w:pPr>
              <w:pStyle w:val="TableParagraph"/>
              <w:spacing w:line="610" w:lineRule="atLeast"/>
              <w:ind w:left="76" w:right="1442"/>
              <w:rPr>
                <w:b/>
                <w:sz w:val="18"/>
              </w:rPr>
            </w:pPr>
            <w:r>
              <w:rPr>
                <w:b/>
                <w:sz w:val="18"/>
              </w:rPr>
              <w:t>Credit standby arrangements Total facilities</w:t>
            </w:r>
          </w:p>
        </w:tc>
        <w:tc>
          <w:tcPr>
            <w:tcW w:w="1656" w:type="dxa"/>
          </w:tcPr>
          <w:p w14:paraId="50D9C5D5" w14:textId="77777777" w:rsidR="00FA4AA8" w:rsidRDefault="0015611F">
            <w:pPr>
              <w:pStyle w:val="TableParagraph"/>
              <w:spacing w:line="201" w:lineRule="exact"/>
              <w:ind w:left="560" w:right="611"/>
              <w:jc w:val="center"/>
              <w:rPr>
                <w:b/>
                <w:sz w:val="18"/>
              </w:rPr>
            </w:pPr>
            <w:r>
              <w:rPr>
                <w:b/>
                <w:sz w:val="18"/>
              </w:rPr>
              <w:t>2018</w:t>
            </w:r>
          </w:p>
          <w:p w14:paraId="4D875E4F" w14:textId="77777777" w:rsidR="00FA4AA8" w:rsidRDefault="0015611F">
            <w:pPr>
              <w:pStyle w:val="TableParagraph"/>
              <w:spacing w:before="66"/>
              <w:ind w:left="560" w:right="611"/>
              <w:jc w:val="center"/>
              <w:rPr>
                <w:b/>
                <w:sz w:val="18"/>
              </w:rPr>
            </w:pPr>
            <w:r>
              <w:rPr>
                <w:b/>
                <w:sz w:val="18"/>
              </w:rPr>
              <w:t>$'000</w:t>
            </w:r>
          </w:p>
        </w:tc>
        <w:tc>
          <w:tcPr>
            <w:tcW w:w="1380" w:type="dxa"/>
          </w:tcPr>
          <w:p w14:paraId="5D39E60C" w14:textId="77777777" w:rsidR="00FA4AA8" w:rsidRDefault="0015611F">
            <w:pPr>
              <w:pStyle w:val="TableParagraph"/>
              <w:spacing w:line="201" w:lineRule="exact"/>
              <w:ind w:left="239"/>
              <w:rPr>
                <w:b/>
                <w:sz w:val="18"/>
              </w:rPr>
            </w:pPr>
            <w:r>
              <w:rPr>
                <w:b/>
                <w:sz w:val="18"/>
              </w:rPr>
              <w:t>2017</w:t>
            </w:r>
          </w:p>
          <w:p w14:paraId="113B430A" w14:textId="77777777" w:rsidR="00FA4AA8" w:rsidRDefault="0015611F">
            <w:pPr>
              <w:pStyle w:val="TableParagraph"/>
              <w:spacing w:before="66"/>
              <w:ind w:left="218"/>
              <w:rPr>
                <w:b/>
                <w:sz w:val="18"/>
              </w:rPr>
            </w:pPr>
            <w:r>
              <w:rPr>
                <w:b/>
                <w:sz w:val="18"/>
              </w:rPr>
              <w:t>$'000</w:t>
            </w:r>
          </w:p>
        </w:tc>
        <w:tc>
          <w:tcPr>
            <w:tcW w:w="1380" w:type="dxa"/>
          </w:tcPr>
          <w:p w14:paraId="29878098" w14:textId="77777777" w:rsidR="00FA4AA8" w:rsidRDefault="0015611F">
            <w:pPr>
              <w:pStyle w:val="TableParagraph"/>
              <w:spacing w:line="201" w:lineRule="exact"/>
              <w:ind w:left="323"/>
              <w:rPr>
                <w:b/>
                <w:sz w:val="18"/>
              </w:rPr>
            </w:pPr>
            <w:r>
              <w:rPr>
                <w:b/>
                <w:sz w:val="18"/>
              </w:rPr>
              <w:t>2018</w:t>
            </w:r>
          </w:p>
          <w:p w14:paraId="4E5D1644" w14:textId="77777777" w:rsidR="00FA4AA8" w:rsidRDefault="0015611F">
            <w:pPr>
              <w:pStyle w:val="TableParagraph"/>
              <w:spacing w:before="66"/>
              <w:ind w:left="302"/>
              <w:rPr>
                <w:b/>
                <w:sz w:val="18"/>
              </w:rPr>
            </w:pPr>
            <w:r>
              <w:rPr>
                <w:b/>
                <w:sz w:val="18"/>
              </w:rPr>
              <w:t>$'000</w:t>
            </w:r>
          </w:p>
        </w:tc>
        <w:tc>
          <w:tcPr>
            <w:tcW w:w="1104" w:type="dxa"/>
          </w:tcPr>
          <w:p w14:paraId="642C20BE" w14:textId="77777777" w:rsidR="00FA4AA8" w:rsidRDefault="0015611F">
            <w:pPr>
              <w:pStyle w:val="TableParagraph"/>
              <w:spacing w:line="201" w:lineRule="exact"/>
              <w:ind w:left="239"/>
              <w:rPr>
                <w:b/>
                <w:sz w:val="18"/>
              </w:rPr>
            </w:pPr>
            <w:r>
              <w:rPr>
                <w:b/>
                <w:sz w:val="18"/>
              </w:rPr>
              <w:t>2017</w:t>
            </w:r>
          </w:p>
          <w:p w14:paraId="0BF10466" w14:textId="77777777" w:rsidR="00FA4AA8" w:rsidRDefault="0015611F">
            <w:pPr>
              <w:pStyle w:val="TableParagraph"/>
              <w:spacing w:before="66"/>
              <w:ind w:left="218"/>
              <w:rPr>
                <w:b/>
                <w:sz w:val="18"/>
              </w:rPr>
            </w:pPr>
            <w:r>
              <w:rPr>
                <w:b/>
                <w:sz w:val="18"/>
              </w:rPr>
              <w:t>$'000</w:t>
            </w:r>
          </w:p>
        </w:tc>
      </w:tr>
      <w:tr w:rsidR="00FA4AA8" w14:paraId="1F7A5C8B" w14:textId="77777777">
        <w:trPr>
          <w:trHeight w:val="250"/>
        </w:trPr>
        <w:tc>
          <w:tcPr>
            <w:tcW w:w="4039" w:type="dxa"/>
          </w:tcPr>
          <w:p w14:paraId="69902FCE" w14:textId="77777777" w:rsidR="00FA4AA8" w:rsidRDefault="0015611F">
            <w:pPr>
              <w:pStyle w:val="TableParagraph"/>
              <w:spacing w:before="13"/>
              <w:ind w:left="217"/>
              <w:rPr>
                <w:sz w:val="18"/>
              </w:rPr>
            </w:pPr>
            <w:r>
              <w:rPr>
                <w:sz w:val="18"/>
              </w:rPr>
              <w:t>Bank guarantees</w:t>
            </w:r>
          </w:p>
        </w:tc>
        <w:tc>
          <w:tcPr>
            <w:tcW w:w="1656" w:type="dxa"/>
          </w:tcPr>
          <w:p w14:paraId="5B86F15D" w14:textId="77777777" w:rsidR="00FA4AA8" w:rsidRDefault="0015611F">
            <w:pPr>
              <w:pStyle w:val="TableParagraph"/>
              <w:spacing w:before="11"/>
              <w:ind w:right="276"/>
              <w:jc w:val="right"/>
              <w:rPr>
                <w:b/>
                <w:sz w:val="18"/>
              </w:rPr>
            </w:pPr>
            <w:r>
              <w:rPr>
                <w:b/>
                <w:sz w:val="18"/>
              </w:rPr>
              <w:t>2,000</w:t>
            </w:r>
          </w:p>
        </w:tc>
        <w:tc>
          <w:tcPr>
            <w:tcW w:w="1380" w:type="dxa"/>
          </w:tcPr>
          <w:p w14:paraId="62E65C77" w14:textId="77777777" w:rsidR="00FA4AA8" w:rsidRDefault="0015611F">
            <w:pPr>
              <w:pStyle w:val="TableParagraph"/>
              <w:spacing w:before="11"/>
              <w:ind w:left="563"/>
              <w:rPr>
                <w:sz w:val="18"/>
              </w:rPr>
            </w:pPr>
            <w:r>
              <w:rPr>
                <w:sz w:val="18"/>
              </w:rPr>
              <w:t>2,000</w:t>
            </w:r>
          </w:p>
        </w:tc>
        <w:tc>
          <w:tcPr>
            <w:tcW w:w="1380" w:type="dxa"/>
          </w:tcPr>
          <w:p w14:paraId="3A763FB6" w14:textId="77777777" w:rsidR="00FA4AA8" w:rsidRDefault="0015611F">
            <w:pPr>
              <w:pStyle w:val="TableParagraph"/>
              <w:spacing w:before="11"/>
              <w:ind w:right="276"/>
              <w:jc w:val="right"/>
              <w:rPr>
                <w:b/>
                <w:sz w:val="18"/>
              </w:rPr>
            </w:pPr>
            <w:r>
              <w:rPr>
                <w:b/>
                <w:sz w:val="18"/>
              </w:rPr>
              <w:t>2,000</w:t>
            </w:r>
          </w:p>
        </w:tc>
        <w:tc>
          <w:tcPr>
            <w:tcW w:w="1104" w:type="dxa"/>
          </w:tcPr>
          <w:p w14:paraId="6576F3F8" w14:textId="77777777" w:rsidR="00FA4AA8" w:rsidRDefault="0015611F">
            <w:pPr>
              <w:pStyle w:val="TableParagraph"/>
              <w:spacing w:before="11"/>
              <w:ind w:right="84"/>
              <w:jc w:val="right"/>
              <w:rPr>
                <w:sz w:val="18"/>
              </w:rPr>
            </w:pPr>
            <w:r>
              <w:rPr>
                <w:sz w:val="18"/>
              </w:rPr>
              <w:t>2,000</w:t>
            </w:r>
          </w:p>
        </w:tc>
      </w:tr>
      <w:tr w:rsidR="00FA4AA8" w14:paraId="79E3AD9F" w14:textId="77777777">
        <w:trPr>
          <w:trHeight w:val="264"/>
        </w:trPr>
        <w:tc>
          <w:tcPr>
            <w:tcW w:w="4039" w:type="dxa"/>
          </w:tcPr>
          <w:p w14:paraId="343D061B" w14:textId="77777777" w:rsidR="00FA4AA8" w:rsidRDefault="0015611F">
            <w:pPr>
              <w:pStyle w:val="TableParagraph"/>
              <w:spacing w:before="26"/>
              <w:ind w:left="217"/>
              <w:rPr>
                <w:sz w:val="18"/>
              </w:rPr>
            </w:pPr>
            <w:r>
              <w:rPr>
                <w:sz w:val="18"/>
              </w:rPr>
              <w:t>Credit cards</w:t>
            </w:r>
          </w:p>
        </w:tc>
        <w:tc>
          <w:tcPr>
            <w:tcW w:w="1656" w:type="dxa"/>
          </w:tcPr>
          <w:p w14:paraId="242009D6" w14:textId="77777777" w:rsidR="00FA4AA8" w:rsidRDefault="0015611F">
            <w:pPr>
              <w:pStyle w:val="TableParagraph"/>
              <w:spacing w:before="24"/>
              <w:ind w:right="276"/>
              <w:jc w:val="right"/>
              <w:rPr>
                <w:b/>
                <w:sz w:val="18"/>
              </w:rPr>
            </w:pPr>
            <w:r>
              <w:rPr>
                <w:b/>
                <w:sz w:val="18"/>
              </w:rPr>
              <w:t>4,500</w:t>
            </w:r>
          </w:p>
        </w:tc>
        <w:tc>
          <w:tcPr>
            <w:tcW w:w="1380" w:type="dxa"/>
          </w:tcPr>
          <w:p w14:paraId="7C2609EA" w14:textId="77777777" w:rsidR="00FA4AA8" w:rsidRDefault="0015611F">
            <w:pPr>
              <w:pStyle w:val="TableParagraph"/>
              <w:spacing w:before="24"/>
              <w:ind w:left="563"/>
              <w:rPr>
                <w:sz w:val="18"/>
              </w:rPr>
            </w:pPr>
            <w:r>
              <w:rPr>
                <w:sz w:val="18"/>
              </w:rPr>
              <w:t>4,500</w:t>
            </w:r>
          </w:p>
        </w:tc>
        <w:tc>
          <w:tcPr>
            <w:tcW w:w="1380" w:type="dxa"/>
          </w:tcPr>
          <w:p w14:paraId="5A575888" w14:textId="77777777" w:rsidR="00FA4AA8" w:rsidRDefault="0015611F">
            <w:pPr>
              <w:pStyle w:val="TableParagraph"/>
              <w:spacing w:before="24"/>
              <w:ind w:right="276"/>
              <w:jc w:val="right"/>
              <w:rPr>
                <w:b/>
                <w:sz w:val="18"/>
              </w:rPr>
            </w:pPr>
            <w:r>
              <w:rPr>
                <w:b/>
                <w:sz w:val="18"/>
              </w:rPr>
              <w:t>4,500</w:t>
            </w:r>
          </w:p>
        </w:tc>
        <w:tc>
          <w:tcPr>
            <w:tcW w:w="1104" w:type="dxa"/>
          </w:tcPr>
          <w:p w14:paraId="63EC436E" w14:textId="77777777" w:rsidR="00FA4AA8" w:rsidRDefault="0015611F">
            <w:pPr>
              <w:pStyle w:val="TableParagraph"/>
              <w:spacing w:before="24"/>
              <w:ind w:right="84"/>
              <w:jc w:val="right"/>
              <w:rPr>
                <w:sz w:val="18"/>
              </w:rPr>
            </w:pPr>
            <w:r>
              <w:rPr>
                <w:sz w:val="18"/>
              </w:rPr>
              <w:t>4,500</w:t>
            </w:r>
          </w:p>
        </w:tc>
      </w:tr>
      <w:tr w:rsidR="00FA4AA8" w14:paraId="027B9156" w14:textId="77777777">
        <w:trPr>
          <w:trHeight w:val="256"/>
        </w:trPr>
        <w:tc>
          <w:tcPr>
            <w:tcW w:w="4039" w:type="dxa"/>
          </w:tcPr>
          <w:p w14:paraId="2E88A4B9" w14:textId="77777777" w:rsidR="00FA4AA8" w:rsidRDefault="0015611F">
            <w:pPr>
              <w:pStyle w:val="TableParagraph"/>
              <w:spacing w:before="26"/>
              <w:ind w:left="217"/>
              <w:rPr>
                <w:sz w:val="18"/>
              </w:rPr>
            </w:pPr>
            <w:r>
              <w:rPr>
                <w:sz w:val="18"/>
              </w:rPr>
              <w:t>Leasing facilities</w:t>
            </w:r>
          </w:p>
        </w:tc>
        <w:tc>
          <w:tcPr>
            <w:tcW w:w="1656" w:type="dxa"/>
            <w:tcBorders>
              <w:bottom w:val="single" w:sz="8" w:space="0" w:color="000000"/>
            </w:tcBorders>
          </w:tcPr>
          <w:p w14:paraId="4B241FB4" w14:textId="77777777" w:rsidR="00FA4AA8" w:rsidRDefault="0015611F">
            <w:pPr>
              <w:pStyle w:val="TableParagraph"/>
              <w:spacing w:before="24"/>
              <w:ind w:right="276"/>
              <w:jc w:val="right"/>
              <w:rPr>
                <w:b/>
                <w:sz w:val="18"/>
              </w:rPr>
            </w:pPr>
            <w:r>
              <w:rPr>
                <w:b/>
                <w:sz w:val="18"/>
              </w:rPr>
              <w:t>34,000</w:t>
            </w:r>
          </w:p>
        </w:tc>
        <w:tc>
          <w:tcPr>
            <w:tcW w:w="1380" w:type="dxa"/>
            <w:tcBorders>
              <w:bottom w:val="single" w:sz="8" w:space="0" w:color="000000"/>
            </w:tcBorders>
          </w:tcPr>
          <w:p w14:paraId="43E115B5" w14:textId="77777777" w:rsidR="00FA4AA8" w:rsidRDefault="0015611F">
            <w:pPr>
              <w:pStyle w:val="TableParagraph"/>
              <w:spacing w:before="24"/>
              <w:ind w:left="462"/>
              <w:rPr>
                <w:sz w:val="18"/>
              </w:rPr>
            </w:pPr>
            <w:r>
              <w:rPr>
                <w:sz w:val="18"/>
              </w:rPr>
              <w:t>31,000</w:t>
            </w:r>
          </w:p>
        </w:tc>
        <w:tc>
          <w:tcPr>
            <w:tcW w:w="1380" w:type="dxa"/>
            <w:tcBorders>
              <w:bottom w:val="single" w:sz="8" w:space="0" w:color="000000"/>
            </w:tcBorders>
          </w:tcPr>
          <w:p w14:paraId="2D0A8803" w14:textId="77777777" w:rsidR="00FA4AA8" w:rsidRDefault="0015611F">
            <w:pPr>
              <w:pStyle w:val="TableParagraph"/>
              <w:spacing w:before="24"/>
              <w:ind w:right="276"/>
              <w:jc w:val="right"/>
              <w:rPr>
                <w:b/>
                <w:sz w:val="18"/>
              </w:rPr>
            </w:pPr>
            <w:r>
              <w:rPr>
                <w:b/>
                <w:sz w:val="18"/>
              </w:rPr>
              <w:t>34,000</w:t>
            </w:r>
          </w:p>
        </w:tc>
        <w:tc>
          <w:tcPr>
            <w:tcW w:w="1104" w:type="dxa"/>
            <w:tcBorders>
              <w:bottom w:val="single" w:sz="8" w:space="0" w:color="000000"/>
            </w:tcBorders>
          </w:tcPr>
          <w:p w14:paraId="0810AAF8" w14:textId="77777777" w:rsidR="00FA4AA8" w:rsidRDefault="0015611F">
            <w:pPr>
              <w:pStyle w:val="TableParagraph"/>
              <w:spacing w:before="24"/>
              <w:ind w:right="84"/>
              <w:jc w:val="right"/>
              <w:rPr>
                <w:sz w:val="18"/>
              </w:rPr>
            </w:pPr>
            <w:r>
              <w:rPr>
                <w:sz w:val="18"/>
              </w:rPr>
              <w:t>31,000</w:t>
            </w:r>
          </w:p>
        </w:tc>
      </w:tr>
      <w:tr w:rsidR="00FA4AA8" w14:paraId="48C8445A" w14:textId="77777777">
        <w:trPr>
          <w:trHeight w:val="526"/>
        </w:trPr>
        <w:tc>
          <w:tcPr>
            <w:tcW w:w="4039" w:type="dxa"/>
          </w:tcPr>
          <w:p w14:paraId="59834E48" w14:textId="77777777" w:rsidR="00FA4AA8" w:rsidRDefault="0015611F">
            <w:pPr>
              <w:pStyle w:val="TableParagraph"/>
              <w:spacing w:before="119" w:line="206" w:lineRule="exact"/>
              <w:ind w:left="76" w:right="2232"/>
              <w:rPr>
                <w:b/>
                <w:sz w:val="18"/>
              </w:rPr>
            </w:pPr>
            <w:r>
              <w:rPr>
                <w:b/>
                <w:sz w:val="18"/>
              </w:rPr>
              <w:t>Total credit standby arrangements</w:t>
            </w:r>
          </w:p>
        </w:tc>
        <w:tc>
          <w:tcPr>
            <w:tcW w:w="1656" w:type="dxa"/>
            <w:tcBorders>
              <w:top w:val="single" w:sz="8" w:space="0" w:color="000000"/>
              <w:bottom w:val="double" w:sz="2" w:space="0" w:color="000000"/>
            </w:tcBorders>
          </w:tcPr>
          <w:p w14:paraId="1D5F0949" w14:textId="77777777" w:rsidR="00FA4AA8" w:rsidRDefault="00FA4AA8">
            <w:pPr>
              <w:pStyle w:val="TableParagraph"/>
              <w:spacing w:before="11"/>
              <w:rPr>
                <w:b/>
                <w:sz w:val="27"/>
              </w:rPr>
            </w:pPr>
          </w:p>
          <w:p w14:paraId="61F3F9ED" w14:textId="77777777" w:rsidR="00FA4AA8" w:rsidRDefault="0015611F">
            <w:pPr>
              <w:pStyle w:val="TableParagraph"/>
              <w:spacing w:line="185" w:lineRule="exact"/>
              <w:ind w:right="276"/>
              <w:jc w:val="right"/>
              <w:rPr>
                <w:b/>
                <w:sz w:val="18"/>
              </w:rPr>
            </w:pPr>
            <w:r>
              <w:rPr>
                <w:b/>
                <w:sz w:val="18"/>
              </w:rPr>
              <w:t>40,500</w:t>
            </w:r>
          </w:p>
        </w:tc>
        <w:tc>
          <w:tcPr>
            <w:tcW w:w="1380" w:type="dxa"/>
            <w:tcBorders>
              <w:top w:val="single" w:sz="8" w:space="0" w:color="000000"/>
              <w:bottom w:val="double" w:sz="2" w:space="0" w:color="000000"/>
            </w:tcBorders>
          </w:tcPr>
          <w:p w14:paraId="67C7F314" w14:textId="77777777" w:rsidR="00FA4AA8" w:rsidRDefault="00FA4AA8">
            <w:pPr>
              <w:pStyle w:val="TableParagraph"/>
              <w:spacing w:before="11"/>
              <w:rPr>
                <w:b/>
                <w:sz w:val="27"/>
              </w:rPr>
            </w:pPr>
          </w:p>
          <w:p w14:paraId="7CC53B60" w14:textId="77777777" w:rsidR="00FA4AA8" w:rsidRDefault="0015611F">
            <w:pPr>
              <w:pStyle w:val="TableParagraph"/>
              <w:spacing w:line="185" w:lineRule="exact"/>
              <w:ind w:left="463"/>
              <w:rPr>
                <w:sz w:val="18"/>
              </w:rPr>
            </w:pPr>
            <w:r>
              <w:rPr>
                <w:sz w:val="18"/>
              </w:rPr>
              <w:t>37,500</w:t>
            </w:r>
          </w:p>
        </w:tc>
        <w:tc>
          <w:tcPr>
            <w:tcW w:w="1380" w:type="dxa"/>
            <w:tcBorders>
              <w:top w:val="single" w:sz="8" w:space="0" w:color="000000"/>
              <w:bottom w:val="double" w:sz="2" w:space="0" w:color="000000"/>
            </w:tcBorders>
          </w:tcPr>
          <w:p w14:paraId="3583CE68" w14:textId="77777777" w:rsidR="00FA4AA8" w:rsidRDefault="00FA4AA8">
            <w:pPr>
              <w:pStyle w:val="TableParagraph"/>
              <w:spacing w:before="11"/>
              <w:rPr>
                <w:b/>
                <w:sz w:val="27"/>
              </w:rPr>
            </w:pPr>
          </w:p>
          <w:p w14:paraId="1C92416D" w14:textId="77777777" w:rsidR="00FA4AA8" w:rsidRDefault="0015611F">
            <w:pPr>
              <w:pStyle w:val="TableParagraph"/>
              <w:spacing w:line="185" w:lineRule="exact"/>
              <w:ind w:right="276"/>
              <w:jc w:val="right"/>
              <w:rPr>
                <w:b/>
                <w:sz w:val="18"/>
              </w:rPr>
            </w:pPr>
            <w:r>
              <w:rPr>
                <w:b/>
                <w:sz w:val="18"/>
              </w:rPr>
              <w:t>40,500</w:t>
            </w:r>
          </w:p>
        </w:tc>
        <w:tc>
          <w:tcPr>
            <w:tcW w:w="1104" w:type="dxa"/>
            <w:tcBorders>
              <w:top w:val="single" w:sz="8" w:space="0" w:color="000000"/>
              <w:bottom w:val="double" w:sz="2" w:space="0" w:color="000000"/>
            </w:tcBorders>
          </w:tcPr>
          <w:p w14:paraId="31E4BDAD" w14:textId="77777777" w:rsidR="00FA4AA8" w:rsidRDefault="00FA4AA8">
            <w:pPr>
              <w:pStyle w:val="TableParagraph"/>
              <w:spacing w:before="11"/>
              <w:rPr>
                <w:b/>
                <w:sz w:val="27"/>
              </w:rPr>
            </w:pPr>
          </w:p>
          <w:p w14:paraId="2F4D6FD6" w14:textId="77777777" w:rsidR="00FA4AA8" w:rsidRDefault="0015611F">
            <w:pPr>
              <w:pStyle w:val="TableParagraph"/>
              <w:spacing w:line="185" w:lineRule="exact"/>
              <w:ind w:right="84"/>
              <w:jc w:val="right"/>
              <w:rPr>
                <w:sz w:val="18"/>
              </w:rPr>
            </w:pPr>
            <w:r>
              <w:rPr>
                <w:sz w:val="18"/>
              </w:rPr>
              <w:t>37,500</w:t>
            </w:r>
          </w:p>
        </w:tc>
      </w:tr>
      <w:tr w:rsidR="00FA4AA8" w14:paraId="3EE100B1" w14:textId="77777777">
        <w:trPr>
          <w:trHeight w:val="337"/>
        </w:trPr>
        <w:tc>
          <w:tcPr>
            <w:tcW w:w="4039" w:type="dxa"/>
          </w:tcPr>
          <w:p w14:paraId="45F301D8" w14:textId="77777777" w:rsidR="00FA4AA8" w:rsidRDefault="0015611F">
            <w:pPr>
              <w:pStyle w:val="TableParagraph"/>
              <w:spacing w:before="112" w:line="204" w:lineRule="exact"/>
              <w:ind w:left="76"/>
              <w:rPr>
                <w:b/>
                <w:sz w:val="18"/>
              </w:rPr>
            </w:pPr>
            <w:r>
              <w:rPr>
                <w:b/>
                <w:sz w:val="18"/>
              </w:rPr>
              <w:t>Used at balance date</w:t>
            </w:r>
          </w:p>
        </w:tc>
        <w:tc>
          <w:tcPr>
            <w:tcW w:w="1656" w:type="dxa"/>
            <w:tcBorders>
              <w:top w:val="double" w:sz="2" w:space="0" w:color="000000"/>
            </w:tcBorders>
          </w:tcPr>
          <w:p w14:paraId="169A8A72" w14:textId="77777777" w:rsidR="00FA4AA8" w:rsidRDefault="00FA4AA8">
            <w:pPr>
              <w:pStyle w:val="TableParagraph"/>
              <w:rPr>
                <w:rFonts w:ascii="Times New Roman"/>
                <w:sz w:val="18"/>
              </w:rPr>
            </w:pPr>
          </w:p>
        </w:tc>
        <w:tc>
          <w:tcPr>
            <w:tcW w:w="1380" w:type="dxa"/>
            <w:tcBorders>
              <w:top w:val="double" w:sz="2" w:space="0" w:color="000000"/>
            </w:tcBorders>
          </w:tcPr>
          <w:p w14:paraId="41BDFC20" w14:textId="77777777" w:rsidR="00FA4AA8" w:rsidRDefault="00FA4AA8">
            <w:pPr>
              <w:pStyle w:val="TableParagraph"/>
              <w:rPr>
                <w:rFonts w:ascii="Times New Roman"/>
                <w:sz w:val="18"/>
              </w:rPr>
            </w:pPr>
          </w:p>
        </w:tc>
        <w:tc>
          <w:tcPr>
            <w:tcW w:w="1380" w:type="dxa"/>
            <w:tcBorders>
              <w:top w:val="double" w:sz="2" w:space="0" w:color="000000"/>
            </w:tcBorders>
          </w:tcPr>
          <w:p w14:paraId="307E20C2" w14:textId="77777777" w:rsidR="00FA4AA8" w:rsidRDefault="00FA4AA8">
            <w:pPr>
              <w:pStyle w:val="TableParagraph"/>
              <w:rPr>
                <w:rFonts w:ascii="Times New Roman"/>
                <w:sz w:val="18"/>
              </w:rPr>
            </w:pPr>
          </w:p>
        </w:tc>
        <w:tc>
          <w:tcPr>
            <w:tcW w:w="1104" w:type="dxa"/>
            <w:tcBorders>
              <w:top w:val="double" w:sz="2" w:space="0" w:color="000000"/>
            </w:tcBorders>
          </w:tcPr>
          <w:p w14:paraId="71BB70BD" w14:textId="77777777" w:rsidR="00FA4AA8" w:rsidRDefault="00FA4AA8">
            <w:pPr>
              <w:pStyle w:val="TableParagraph"/>
              <w:rPr>
                <w:rFonts w:ascii="Times New Roman"/>
                <w:sz w:val="18"/>
              </w:rPr>
            </w:pPr>
          </w:p>
        </w:tc>
      </w:tr>
      <w:tr w:rsidR="00FA4AA8" w14:paraId="5A63A129" w14:textId="77777777">
        <w:trPr>
          <w:trHeight w:val="250"/>
        </w:trPr>
        <w:tc>
          <w:tcPr>
            <w:tcW w:w="4039" w:type="dxa"/>
          </w:tcPr>
          <w:p w14:paraId="58E44DDB" w14:textId="77777777" w:rsidR="00FA4AA8" w:rsidRDefault="0015611F">
            <w:pPr>
              <w:pStyle w:val="TableParagraph"/>
              <w:spacing w:before="13"/>
              <w:ind w:left="217"/>
              <w:rPr>
                <w:sz w:val="18"/>
              </w:rPr>
            </w:pPr>
            <w:r>
              <w:rPr>
                <w:sz w:val="18"/>
              </w:rPr>
              <w:t>Bank guarantees</w:t>
            </w:r>
          </w:p>
        </w:tc>
        <w:tc>
          <w:tcPr>
            <w:tcW w:w="1656" w:type="dxa"/>
          </w:tcPr>
          <w:p w14:paraId="498BB64E" w14:textId="77777777" w:rsidR="00FA4AA8" w:rsidRDefault="0015611F">
            <w:pPr>
              <w:pStyle w:val="TableParagraph"/>
              <w:spacing w:before="11"/>
              <w:ind w:right="276"/>
              <w:jc w:val="right"/>
              <w:rPr>
                <w:b/>
                <w:sz w:val="18"/>
              </w:rPr>
            </w:pPr>
            <w:r>
              <w:rPr>
                <w:b/>
                <w:sz w:val="18"/>
              </w:rPr>
              <w:t>1,707</w:t>
            </w:r>
          </w:p>
        </w:tc>
        <w:tc>
          <w:tcPr>
            <w:tcW w:w="1380" w:type="dxa"/>
          </w:tcPr>
          <w:p w14:paraId="0FDDAFD2" w14:textId="77777777" w:rsidR="00FA4AA8" w:rsidRDefault="0015611F">
            <w:pPr>
              <w:pStyle w:val="TableParagraph"/>
              <w:spacing w:before="11"/>
              <w:ind w:left="563"/>
              <w:rPr>
                <w:sz w:val="18"/>
              </w:rPr>
            </w:pPr>
            <w:r>
              <w:rPr>
                <w:sz w:val="18"/>
              </w:rPr>
              <w:t>1,715</w:t>
            </w:r>
          </w:p>
        </w:tc>
        <w:tc>
          <w:tcPr>
            <w:tcW w:w="1380" w:type="dxa"/>
          </w:tcPr>
          <w:p w14:paraId="46AECAD4" w14:textId="77777777" w:rsidR="00FA4AA8" w:rsidRDefault="0015611F">
            <w:pPr>
              <w:pStyle w:val="TableParagraph"/>
              <w:spacing w:before="11"/>
              <w:ind w:right="276"/>
              <w:jc w:val="right"/>
              <w:rPr>
                <w:b/>
                <w:sz w:val="18"/>
              </w:rPr>
            </w:pPr>
            <w:r>
              <w:rPr>
                <w:b/>
                <w:sz w:val="18"/>
              </w:rPr>
              <w:t>1,707</w:t>
            </w:r>
          </w:p>
        </w:tc>
        <w:tc>
          <w:tcPr>
            <w:tcW w:w="1104" w:type="dxa"/>
          </w:tcPr>
          <w:p w14:paraId="3AA8020E" w14:textId="77777777" w:rsidR="00FA4AA8" w:rsidRDefault="0015611F">
            <w:pPr>
              <w:pStyle w:val="TableParagraph"/>
              <w:spacing w:before="11"/>
              <w:ind w:right="84"/>
              <w:jc w:val="right"/>
              <w:rPr>
                <w:sz w:val="18"/>
              </w:rPr>
            </w:pPr>
            <w:r>
              <w:rPr>
                <w:sz w:val="18"/>
              </w:rPr>
              <w:t>1,715</w:t>
            </w:r>
          </w:p>
        </w:tc>
      </w:tr>
      <w:tr w:rsidR="00FA4AA8" w14:paraId="3376A324" w14:textId="77777777">
        <w:trPr>
          <w:trHeight w:val="263"/>
        </w:trPr>
        <w:tc>
          <w:tcPr>
            <w:tcW w:w="4039" w:type="dxa"/>
          </w:tcPr>
          <w:p w14:paraId="3B2A8613" w14:textId="77777777" w:rsidR="00FA4AA8" w:rsidRDefault="0015611F">
            <w:pPr>
              <w:pStyle w:val="TableParagraph"/>
              <w:spacing w:before="26"/>
              <w:ind w:left="217"/>
              <w:rPr>
                <w:sz w:val="18"/>
              </w:rPr>
            </w:pPr>
            <w:r>
              <w:rPr>
                <w:sz w:val="18"/>
              </w:rPr>
              <w:t>Credit cards</w:t>
            </w:r>
          </w:p>
        </w:tc>
        <w:tc>
          <w:tcPr>
            <w:tcW w:w="1656" w:type="dxa"/>
          </w:tcPr>
          <w:p w14:paraId="69665B1F" w14:textId="77777777" w:rsidR="00FA4AA8" w:rsidRDefault="0015611F">
            <w:pPr>
              <w:pStyle w:val="TableParagraph"/>
              <w:spacing w:before="24"/>
              <w:ind w:right="276"/>
              <w:jc w:val="right"/>
              <w:rPr>
                <w:b/>
                <w:sz w:val="18"/>
              </w:rPr>
            </w:pPr>
            <w:r>
              <w:rPr>
                <w:b/>
                <w:sz w:val="18"/>
              </w:rPr>
              <w:t>282</w:t>
            </w:r>
          </w:p>
        </w:tc>
        <w:tc>
          <w:tcPr>
            <w:tcW w:w="1380" w:type="dxa"/>
          </w:tcPr>
          <w:p w14:paraId="16C29466" w14:textId="77777777" w:rsidR="00FA4AA8" w:rsidRDefault="0015611F">
            <w:pPr>
              <w:pStyle w:val="TableParagraph"/>
              <w:spacing w:before="24"/>
              <w:ind w:right="360"/>
              <w:jc w:val="right"/>
              <w:rPr>
                <w:sz w:val="18"/>
              </w:rPr>
            </w:pPr>
            <w:r>
              <w:rPr>
                <w:sz w:val="18"/>
              </w:rPr>
              <w:t>442</w:t>
            </w:r>
          </w:p>
        </w:tc>
        <w:tc>
          <w:tcPr>
            <w:tcW w:w="1380" w:type="dxa"/>
          </w:tcPr>
          <w:p w14:paraId="41C3C241" w14:textId="77777777" w:rsidR="00FA4AA8" w:rsidRDefault="0015611F">
            <w:pPr>
              <w:pStyle w:val="TableParagraph"/>
              <w:spacing w:before="24"/>
              <w:ind w:right="276"/>
              <w:jc w:val="right"/>
              <w:rPr>
                <w:b/>
                <w:sz w:val="18"/>
              </w:rPr>
            </w:pPr>
            <w:r>
              <w:rPr>
                <w:b/>
                <w:sz w:val="18"/>
              </w:rPr>
              <w:t>282</w:t>
            </w:r>
          </w:p>
        </w:tc>
        <w:tc>
          <w:tcPr>
            <w:tcW w:w="1104" w:type="dxa"/>
          </w:tcPr>
          <w:p w14:paraId="0E00101B" w14:textId="77777777" w:rsidR="00FA4AA8" w:rsidRDefault="0015611F">
            <w:pPr>
              <w:pStyle w:val="TableParagraph"/>
              <w:spacing w:before="24"/>
              <w:ind w:right="84"/>
              <w:jc w:val="right"/>
              <w:rPr>
                <w:sz w:val="18"/>
              </w:rPr>
            </w:pPr>
            <w:r>
              <w:rPr>
                <w:sz w:val="18"/>
              </w:rPr>
              <w:t>442</w:t>
            </w:r>
          </w:p>
        </w:tc>
      </w:tr>
      <w:tr w:rsidR="00FA4AA8" w14:paraId="0C3A3F4F" w14:textId="77777777">
        <w:trPr>
          <w:trHeight w:val="256"/>
        </w:trPr>
        <w:tc>
          <w:tcPr>
            <w:tcW w:w="4039" w:type="dxa"/>
          </w:tcPr>
          <w:p w14:paraId="695D72EB" w14:textId="77777777" w:rsidR="00FA4AA8" w:rsidRDefault="0015611F">
            <w:pPr>
              <w:pStyle w:val="TableParagraph"/>
              <w:spacing w:before="26"/>
              <w:ind w:left="217"/>
              <w:rPr>
                <w:sz w:val="18"/>
              </w:rPr>
            </w:pPr>
            <w:r>
              <w:rPr>
                <w:sz w:val="18"/>
              </w:rPr>
              <w:t>Leasing facilities</w:t>
            </w:r>
          </w:p>
        </w:tc>
        <w:tc>
          <w:tcPr>
            <w:tcW w:w="1656" w:type="dxa"/>
            <w:tcBorders>
              <w:bottom w:val="single" w:sz="8" w:space="0" w:color="000000"/>
            </w:tcBorders>
          </w:tcPr>
          <w:p w14:paraId="410E8F37" w14:textId="77777777" w:rsidR="00FA4AA8" w:rsidRDefault="0015611F">
            <w:pPr>
              <w:pStyle w:val="TableParagraph"/>
              <w:spacing w:before="24"/>
              <w:ind w:right="276"/>
              <w:jc w:val="right"/>
              <w:rPr>
                <w:b/>
                <w:sz w:val="18"/>
              </w:rPr>
            </w:pPr>
            <w:r>
              <w:rPr>
                <w:b/>
                <w:sz w:val="18"/>
              </w:rPr>
              <w:t>15,717</w:t>
            </w:r>
          </w:p>
        </w:tc>
        <w:tc>
          <w:tcPr>
            <w:tcW w:w="1380" w:type="dxa"/>
            <w:tcBorders>
              <w:bottom w:val="single" w:sz="8" w:space="0" w:color="000000"/>
            </w:tcBorders>
          </w:tcPr>
          <w:p w14:paraId="669915C2" w14:textId="77777777" w:rsidR="00FA4AA8" w:rsidRDefault="0015611F">
            <w:pPr>
              <w:pStyle w:val="TableParagraph"/>
              <w:spacing w:before="24"/>
              <w:ind w:left="462"/>
              <w:rPr>
                <w:sz w:val="18"/>
              </w:rPr>
            </w:pPr>
            <w:r>
              <w:rPr>
                <w:sz w:val="18"/>
              </w:rPr>
              <w:t>17,818</w:t>
            </w:r>
          </w:p>
        </w:tc>
        <w:tc>
          <w:tcPr>
            <w:tcW w:w="1380" w:type="dxa"/>
            <w:tcBorders>
              <w:bottom w:val="single" w:sz="8" w:space="0" w:color="000000"/>
            </w:tcBorders>
          </w:tcPr>
          <w:p w14:paraId="19E49915" w14:textId="77777777" w:rsidR="00FA4AA8" w:rsidRDefault="0015611F">
            <w:pPr>
              <w:pStyle w:val="TableParagraph"/>
              <w:spacing w:before="24"/>
              <w:ind w:right="276"/>
              <w:jc w:val="right"/>
              <w:rPr>
                <w:b/>
                <w:sz w:val="18"/>
              </w:rPr>
            </w:pPr>
            <w:r>
              <w:rPr>
                <w:b/>
                <w:sz w:val="18"/>
              </w:rPr>
              <w:t>15,717</w:t>
            </w:r>
          </w:p>
        </w:tc>
        <w:tc>
          <w:tcPr>
            <w:tcW w:w="1104" w:type="dxa"/>
            <w:tcBorders>
              <w:bottom w:val="single" w:sz="8" w:space="0" w:color="000000"/>
            </w:tcBorders>
          </w:tcPr>
          <w:p w14:paraId="71D179CA" w14:textId="77777777" w:rsidR="00FA4AA8" w:rsidRDefault="0015611F">
            <w:pPr>
              <w:pStyle w:val="TableParagraph"/>
              <w:spacing w:before="24"/>
              <w:ind w:right="84"/>
              <w:jc w:val="right"/>
              <w:rPr>
                <w:sz w:val="18"/>
              </w:rPr>
            </w:pPr>
            <w:r>
              <w:rPr>
                <w:sz w:val="18"/>
              </w:rPr>
              <w:t>17,818</w:t>
            </w:r>
          </w:p>
        </w:tc>
      </w:tr>
      <w:tr w:rsidR="00FA4AA8" w14:paraId="7FF2706F" w14:textId="77777777">
        <w:trPr>
          <w:trHeight w:val="320"/>
        </w:trPr>
        <w:tc>
          <w:tcPr>
            <w:tcW w:w="4039" w:type="dxa"/>
          </w:tcPr>
          <w:p w14:paraId="319B762B" w14:textId="77777777" w:rsidR="00FA4AA8" w:rsidRDefault="0015611F">
            <w:pPr>
              <w:pStyle w:val="TableParagraph"/>
              <w:spacing w:before="115" w:line="185" w:lineRule="exact"/>
              <w:ind w:left="76"/>
              <w:rPr>
                <w:b/>
                <w:sz w:val="18"/>
              </w:rPr>
            </w:pPr>
            <w:r>
              <w:rPr>
                <w:b/>
                <w:sz w:val="18"/>
              </w:rPr>
              <w:t>Total used at balance date</w:t>
            </w:r>
          </w:p>
        </w:tc>
        <w:tc>
          <w:tcPr>
            <w:tcW w:w="1656" w:type="dxa"/>
            <w:tcBorders>
              <w:top w:val="single" w:sz="8" w:space="0" w:color="000000"/>
              <w:bottom w:val="double" w:sz="2" w:space="0" w:color="000000"/>
            </w:tcBorders>
          </w:tcPr>
          <w:p w14:paraId="34111980" w14:textId="77777777" w:rsidR="00FA4AA8" w:rsidRDefault="0015611F">
            <w:pPr>
              <w:pStyle w:val="TableParagraph"/>
              <w:spacing w:before="115" w:line="185" w:lineRule="exact"/>
              <w:ind w:right="276"/>
              <w:jc w:val="right"/>
              <w:rPr>
                <w:b/>
                <w:sz w:val="18"/>
              </w:rPr>
            </w:pPr>
            <w:r>
              <w:rPr>
                <w:b/>
                <w:sz w:val="18"/>
              </w:rPr>
              <w:t>17,706</w:t>
            </w:r>
          </w:p>
        </w:tc>
        <w:tc>
          <w:tcPr>
            <w:tcW w:w="1380" w:type="dxa"/>
            <w:tcBorders>
              <w:top w:val="single" w:sz="8" w:space="0" w:color="000000"/>
              <w:bottom w:val="double" w:sz="2" w:space="0" w:color="000000"/>
            </w:tcBorders>
          </w:tcPr>
          <w:p w14:paraId="0F0C2117" w14:textId="77777777" w:rsidR="00FA4AA8" w:rsidRDefault="0015611F">
            <w:pPr>
              <w:pStyle w:val="TableParagraph"/>
              <w:spacing w:before="115" w:line="185" w:lineRule="exact"/>
              <w:ind w:left="463"/>
              <w:rPr>
                <w:sz w:val="18"/>
              </w:rPr>
            </w:pPr>
            <w:r>
              <w:rPr>
                <w:sz w:val="18"/>
              </w:rPr>
              <w:t>19,975</w:t>
            </w:r>
          </w:p>
        </w:tc>
        <w:tc>
          <w:tcPr>
            <w:tcW w:w="1380" w:type="dxa"/>
            <w:tcBorders>
              <w:top w:val="single" w:sz="8" w:space="0" w:color="000000"/>
              <w:bottom w:val="double" w:sz="2" w:space="0" w:color="000000"/>
            </w:tcBorders>
          </w:tcPr>
          <w:p w14:paraId="5F5E1DCF" w14:textId="77777777" w:rsidR="00FA4AA8" w:rsidRDefault="0015611F">
            <w:pPr>
              <w:pStyle w:val="TableParagraph"/>
              <w:spacing w:before="115" w:line="185" w:lineRule="exact"/>
              <w:ind w:right="276"/>
              <w:jc w:val="right"/>
              <w:rPr>
                <w:b/>
                <w:sz w:val="18"/>
              </w:rPr>
            </w:pPr>
            <w:r>
              <w:rPr>
                <w:b/>
                <w:sz w:val="18"/>
              </w:rPr>
              <w:t>17,706</w:t>
            </w:r>
          </w:p>
        </w:tc>
        <w:tc>
          <w:tcPr>
            <w:tcW w:w="1104" w:type="dxa"/>
            <w:tcBorders>
              <w:top w:val="single" w:sz="8" w:space="0" w:color="000000"/>
              <w:bottom w:val="double" w:sz="2" w:space="0" w:color="000000"/>
            </w:tcBorders>
          </w:tcPr>
          <w:p w14:paraId="38AA7FB7" w14:textId="77777777" w:rsidR="00FA4AA8" w:rsidRDefault="0015611F">
            <w:pPr>
              <w:pStyle w:val="TableParagraph"/>
              <w:spacing w:before="115" w:line="185" w:lineRule="exact"/>
              <w:ind w:right="84"/>
              <w:jc w:val="right"/>
              <w:rPr>
                <w:sz w:val="18"/>
              </w:rPr>
            </w:pPr>
            <w:r>
              <w:rPr>
                <w:sz w:val="18"/>
              </w:rPr>
              <w:t>19,975</w:t>
            </w:r>
          </w:p>
        </w:tc>
      </w:tr>
      <w:tr w:rsidR="00FA4AA8" w14:paraId="6300174B" w14:textId="77777777">
        <w:trPr>
          <w:trHeight w:val="341"/>
        </w:trPr>
        <w:tc>
          <w:tcPr>
            <w:tcW w:w="4039" w:type="dxa"/>
          </w:tcPr>
          <w:p w14:paraId="12D0542E" w14:textId="77777777" w:rsidR="00FA4AA8" w:rsidRDefault="0015611F">
            <w:pPr>
              <w:pStyle w:val="TableParagraph"/>
              <w:spacing w:before="117" w:line="204" w:lineRule="exact"/>
              <w:ind w:left="76"/>
              <w:rPr>
                <w:b/>
                <w:sz w:val="18"/>
              </w:rPr>
            </w:pPr>
            <w:r>
              <w:rPr>
                <w:b/>
                <w:sz w:val="18"/>
              </w:rPr>
              <w:t>Unused at balance date</w:t>
            </w:r>
          </w:p>
        </w:tc>
        <w:tc>
          <w:tcPr>
            <w:tcW w:w="1656" w:type="dxa"/>
            <w:tcBorders>
              <w:top w:val="double" w:sz="2" w:space="0" w:color="000000"/>
            </w:tcBorders>
          </w:tcPr>
          <w:p w14:paraId="5D3A13F1" w14:textId="77777777" w:rsidR="00FA4AA8" w:rsidRDefault="00FA4AA8">
            <w:pPr>
              <w:pStyle w:val="TableParagraph"/>
              <w:rPr>
                <w:rFonts w:ascii="Times New Roman"/>
                <w:sz w:val="18"/>
              </w:rPr>
            </w:pPr>
          </w:p>
        </w:tc>
        <w:tc>
          <w:tcPr>
            <w:tcW w:w="1380" w:type="dxa"/>
            <w:tcBorders>
              <w:top w:val="double" w:sz="2" w:space="0" w:color="000000"/>
            </w:tcBorders>
          </w:tcPr>
          <w:p w14:paraId="181BFD57" w14:textId="77777777" w:rsidR="00FA4AA8" w:rsidRDefault="00FA4AA8">
            <w:pPr>
              <w:pStyle w:val="TableParagraph"/>
              <w:rPr>
                <w:rFonts w:ascii="Times New Roman"/>
                <w:sz w:val="18"/>
              </w:rPr>
            </w:pPr>
          </w:p>
        </w:tc>
        <w:tc>
          <w:tcPr>
            <w:tcW w:w="1380" w:type="dxa"/>
            <w:tcBorders>
              <w:top w:val="double" w:sz="2" w:space="0" w:color="000000"/>
            </w:tcBorders>
          </w:tcPr>
          <w:p w14:paraId="04D29E98" w14:textId="77777777" w:rsidR="00FA4AA8" w:rsidRDefault="00FA4AA8">
            <w:pPr>
              <w:pStyle w:val="TableParagraph"/>
              <w:rPr>
                <w:rFonts w:ascii="Times New Roman"/>
                <w:sz w:val="18"/>
              </w:rPr>
            </w:pPr>
          </w:p>
        </w:tc>
        <w:tc>
          <w:tcPr>
            <w:tcW w:w="1104" w:type="dxa"/>
            <w:tcBorders>
              <w:top w:val="double" w:sz="2" w:space="0" w:color="000000"/>
            </w:tcBorders>
          </w:tcPr>
          <w:p w14:paraId="1F1AD23C" w14:textId="77777777" w:rsidR="00FA4AA8" w:rsidRDefault="00FA4AA8">
            <w:pPr>
              <w:pStyle w:val="TableParagraph"/>
              <w:rPr>
                <w:rFonts w:ascii="Times New Roman"/>
                <w:sz w:val="18"/>
              </w:rPr>
            </w:pPr>
          </w:p>
        </w:tc>
      </w:tr>
      <w:tr w:rsidR="00FA4AA8" w14:paraId="5339DF80" w14:textId="77777777">
        <w:trPr>
          <w:trHeight w:val="250"/>
        </w:trPr>
        <w:tc>
          <w:tcPr>
            <w:tcW w:w="4039" w:type="dxa"/>
          </w:tcPr>
          <w:p w14:paraId="158A8DBD" w14:textId="77777777" w:rsidR="00FA4AA8" w:rsidRDefault="0015611F">
            <w:pPr>
              <w:pStyle w:val="TableParagraph"/>
              <w:spacing w:before="13"/>
              <w:ind w:left="217"/>
              <w:rPr>
                <w:sz w:val="18"/>
              </w:rPr>
            </w:pPr>
            <w:r>
              <w:rPr>
                <w:sz w:val="18"/>
              </w:rPr>
              <w:t>Bank guarantees</w:t>
            </w:r>
          </w:p>
        </w:tc>
        <w:tc>
          <w:tcPr>
            <w:tcW w:w="1656" w:type="dxa"/>
          </w:tcPr>
          <w:p w14:paraId="7F6C37F0" w14:textId="77777777" w:rsidR="00FA4AA8" w:rsidRDefault="0015611F">
            <w:pPr>
              <w:pStyle w:val="TableParagraph"/>
              <w:spacing w:before="11"/>
              <w:ind w:right="276"/>
              <w:jc w:val="right"/>
              <w:rPr>
                <w:b/>
                <w:sz w:val="18"/>
              </w:rPr>
            </w:pPr>
            <w:r>
              <w:rPr>
                <w:b/>
                <w:sz w:val="18"/>
              </w:rPr>
              <w:t>293</w:t>
            </w:r>
          </w:p>
        </w:tc>
        <w:tc>
          <w:tcPr>
            <w:tcW w:w="1380" w:type="dxa"/>
          </w:tcPr>
          <w:p w14:paraId="75AAFFCD" w14:textId="77777777" w:rsidR="00FA4AA8" w:rsidRDefault="0015611F">
            <w:pPr>
              <w:pStyle w:val="TableParagraph"/>
              <w:spacing w:before="11"/>
              <w:ind w:right="360"/>
              <w:jc w:val="right"/>
              <w:rPr>
                <w:sz w:val="18"/>
              </w:rPr>
            </w:pPr>
            <w:r>
              <w:rPr>
                <w:sz w:val="18"/>
              </w:rPr>
              <w:t>285</w:t>
            </w:r>
          </w:p>
        </w:tc>
        <w:tc>
          <w:tcPr>
            <w:tcW w:w="1380" w:type="dxa"/>
          </w:tcPr>
          <w:p w14:paraId="3C244100" w14:textId="77777777" w:rsidR="00FA4AA8" w:rsidRDefault="0015611F">
            <w:pPr>
              <w:pStyle w:val="TableParagraph"/>
              <w:spacing w:before="11"/>
              <w:ind w:right="276"/>
              <w:jc w:val="right"/>
              <w:rPr>
                <w:b/>
                <w:sz w:val="18"/>
              </w:rPr>
            </w:pPr>
            <w:r>
              <w:rPr>
                <w:b/>
                <w:sz w:val="18"/>
              </w:rPr>
              <w:t>293</w:t>
            </w:r>
          </w:p>
        </w:tc>
        <w:tc>
          <w:tcPr>
            <w:tcW w:w="1104" w:type="dxa"/>
          </w:tcPr>
          <w:p w14:paraId="55DE7BA2" w14:textId="77777777" w:rsidR="00FA4AA8" w:rsidRDefault="0015611F">
            <w:pPr>
              <w:pStyle w:val="TableParagraph"/>
              <w:spacing w:before="11"/>
              <w:ind w:right="84"/>
              <w:jc w:val="right"/>
              <w:rPr>
                <w:sz w:val="18"/>
              </w:rPr>
            </w:pPr>
            <w:r>
              <w:rPr>
                <w:sz w:val="18"/>
              </w:rPr>
              <w:t>285</w:t>
            </w:r>
          </w:p>
        </w:tc>
      </w:tr>
      <w:tr w:rsidR="00FA4AA8" w14:paraId="2A47811F" w14:textId="77777777">
        <w:trPr>
          <w:trHeight w:val="263"/>
        </w:trPr>
        <w:tc>
          <w:tcPr>
            <w:tcW w:w="4039" w:type="dxa"/>
          </w:tcPr>
          <w:p w14:paraId="6E400FAF" w14:textId="77777777" w:rsidR="00FA4AA8" w:rsidRDefault="0015611F">
            <w:pPr>
              <w:pStyle w:val="TableParagraph"/>
              <w:spacing w:before="26"/>
              <w:ind w:left="217"/>
              <w:rPr>
                <w:sz w:val="18"/>
              </w:rPr>
            </w:pPr>
            <w:r>
              <w:rPr>
                <w:sz w:val="18"/>
              </w:rPr>
              <w:t>Credit cards</w:t>
            </w:r>
          </w:p>
        </w:tc>
        <w:tc>
          <w:tcPr>
            <w:tcW w:w="1656" w:type="dxa"/>
          </w:tcPr>
          <w:p w14:paraId="2AA692C7" w14:textId="77777777" w:rsidR="00FA4AA8" w:rsidRDefault="0015611F">
            <w:pPr>
              <w:pStyle w:val="TableParagraph"/>
              <w:spacing w:before="24"/>
              <w:ind w:right="276"/>
              <w:jc w:val="right"/>
              <w:rPr>
                <w:b/>
                <w:sz w:val="18"/>
              </w:rPr>
            </w:pPr>
            <w:r>
              <w:rPr>
                <w:b/>
                <w:sz w:val="18"/>
              </w:rPr>
              <w:t>4,218</w:t>
            </w:r>
          </w:p>
        </w:tc>
        <w:tc>
          <w:tcPr>
            <w:tcW w:w="1380" w:type="dxa"/>
          </w:tcPr>
          <w:p w14:paraId="5359ACD7" w14:textId="77777777" w:rsidR="00FA4AA8" w:rsidRDefault="0015611F">
            <w:pPr>
              <w:pStyle w:val="TableParagraph"/>
              <w:spacing w:before="24"/>
              <w:ind w:left="563"/>
              <w:rPr>
                <w:sz w:val="18"/>
              </w:rPr>
            </w:pPr>
            <w:r>
              <w:rPr>
                <w:sz w:val="18"/>
              </w:rPr>
              <w:t>4,058</w:t>
            </w:r>
          </w:p>
        </w:tc>
        <w:tc>
          <w:tcPr>
            <w:tcW w:w="1380" w:type="dxa"/>
          </w:tcPr>
          <w:p w14:paraId="32489810" w14:textId="77777777" w:rsidR="00FA4AA8" w:rsidRDefault="0015611F">
            <w:pPr>
              <w:pStyle w:val="TableParagraph"/>
              <w:spacing w:before="24"/>
              <w:ind w:right="276"/>
              <w:jc w:val="right"/>
              <w:rPr>
                <w:b/>
                <w:sz w:val="18"/>
              </w:rPr>
            </w:pPr>
            <w:r>
              <w:rPr>
                <w:b/>
                <w:sz w:val="18"/>
              </w:rPr>
              <w:t>4,218</w:t>
            </w:r>
          </w:p>
        </w:tc>
        <w:tc>
          <w:tcPr>
            <w:tcW w:w="1104" w:type="dxa"/>
          </w:tcPr>
          <w:p w14:paraId="25FE5D21" w14:textId="77777777" w:rsidR="00FA4AA8" w:rsidRDefault="0015611F">
            <w:pPr>
              <w:pStyle w:val="TableParagraph"/>
              <w:spacing w:before="24"/>
              <w:ind w:right="84"/>
              <w:jc w:val="right"/>
              <w:rPr>
                <w:sz w:val="18"/>
              </w:rPr>
            </w:pPr>
            <w:r>
              <w:rPr>
                <w:sz w:val="18"/>
              </w:rPr>
              <w:t>4,058</w:t>
            </w:r>
          </w:p>
        </w:tc>
      </w:tr>
      <w:tr w:rsidR="00FA4AA8" w14:paraId="458F6854" w14:textId="77777777">
        <w:trPr>
          <w:trHeight w:val="256"/>
        </w:trPr>
        <w:tc>
          <w:tcPr>
            <w:tcW w:w="4039" w:type="dxa"/>
          </w:tcPr>
          <w:p w14:paraId="14315CB4" w14:textId="77777777" w:rsidR="00FA4AA8" w:rsidRDefault="0015611F">
            <w:pPr>
              <w:pStyle w:val="TableParagraph"/>
              <w:spacing w:before="26"/>
              <w:ind w:left="217"/>
              <w:rPr>
                <w:sz w:val="18"/>
              </w:rPr>
            </w:pPr>
            <w:r>
              <w:rPr>
                <w:sz w:val="18"/>
              </w:rPr>
              <w:t>Leasing facilities</w:t>
            </w:r>
          </w:p>
        </w:tc>
        <w:tc>
          <w:tcPr>
            <w:tcW w:w="1656" w:type="dxa"/>
            <w:tcBorders>
              <w:bottom w:val="single" w:sz="8" w:space="0" w:color="000000"/>
            </w:tcBorders>
          </w:tcPr>
          <w:p w14:paraId="44BE2215" w14:textId="77777777" w:rsidR="00FA4AA8" w:rsidRDefault="0015611F">
            <w:pPr>
              <w:pStyle w:val="TableParagraph"/>
              <w:spacing w:before="24"/>
              <w:ind w:right="276"/>
              <w:jc w:val="right"/>
              <w:rPr>
                <w:b/>
                <w:sz w:val="18"/>
              </w:rPr>
            </w:pPr>
            <w:r>
              <w:rPr>
                <w:b/>
                <w:sz w:val="18"/>
              </w:rPr>
              <w:t>18,283</w:t>
            </w:r>
          </w:p>
        </w:tc>
        <w:tc>
          <w:tcPr>
            <w:tcW w:w="1380" w:type="dxa"/>
            <w:tcBorders>
              <w:bottom w:val="single" w:sz="8" w:space="0" w:color="000000"/>
            </w:tcBorders>
          </w:tcPr>
          <w:p w14:paraId="4D2E5E6A" w14:textId="77777777" w:rsidR="00FA4AA8" w:rsidRDefault="0015611F">
            <w:pPr>
              <w:pStyle w:val="TableParagraph"/>
              <w:spacing w:before="24"/>
              <w:ind w:left="462"/>
              <w:rPr>
                <w:sz w:val="18"/>
              </w:rPr>
            </w:pPr>
            <w:r>
              <w:rPr>
                <w:sz w:val="18"/>
              </w:rPr>
              <w:t>13,182</w:t>
            </w:r>
          </w:p>
        </w:tc>
        <w:tc>
          <w:tcPr>
            <w:tcW w:w="1380" w:type="dxa"/>
            <w:tcBorders>
              <w:bottom w:val="single" w:sz="8" w:space="0" w:color="000000"/>
            </w:tcBorders>
          </w:tcPr>
          <w:p w14:paraId="06E8D9BC" w14:textId="77777777" w:rsidR="00FA4AA8" w:rsidRDefault="0015611F">
            <w:pPr>
              <w:pStyle w:val="TableParagraph"/>
              <w:spacing w:before="24"/>
              <w:ind w:right="276"/>
              <w:jc w:val="right"/>
              <w:rPr>
                <w:b/>
                <w:sz w:val="18"/>
              </w:rPr>
            </w:pPr>
            <w:r>
              <w:rPr>
                <w:b/>
                <w:sz w:val="18"/>
              </w:rPr>
              <w:t>18,283</w:t>
            </w:r>
          </w:p>
        </w:tc>
        <w:tc>
          <w:tcPr>
            <w:tcW w:w="1104" w:type="dxa"/>
            <w:tcBorders>
              <w:bottom w:val="single" w:sz="8" w:space="0" w:color="000000"/>
            </w:tcBorders>
          </w:tcPr>
          <w:p w14:paraId="2DF5B0E1" w14:textId="77777777" w:rsidR="00FA4AA8" w:rsidRDefault="0015611F">
            <w:pPr>
              <w:pStyle w:val="TableParagraph"/>
              <w:spacing w:before="24"/>
              <w:ind w:right="84"/>
              <w:jc w:val="right"/>
              <w:rPr>
                <w:sz w:val="18"/>
              </w:rPr>
            </w:pPr>
            <w:r>
              <w:rPr>
                <w:sz w:val="18"/>
              </w:rPr>
              <w:t>13,182</w:t>
            </w:r>
          </w:p>
        </w:tc>
      </w:tr>
      <w:tr w:rsidR="00FA4AA8" w14:paraId="4BB1FBA5" w14:textId="77777777">
        <w:trPr>
          <w:trHeight w:val="320"/>
        </w:trPr>
        <w:tc>
          <w:tcPr>
            <w:tcW w:w="4039" w:type="dxa"/>
          </w:tcPr>
          <w:p w14:paraId="29A22806" w14:textId="77777777" w:rsidR="00FA4AA8" w:rsidRDefault="0015611F">
            <w:pPr>
              <w:pStyle w:val="TableParagraph"/>
              <w:spacing w:before="115" w:line="185" w:lineRule="exact"/>
              <w:ind w:left="76"/>
              <w:rPr>
                <w:b/>
                <w:sz w:val="18"/>
              </w:rPr>
            </w:pPr>
            <w:r>
              <w:rPr>
                <w:b/>
                <w:sz w:val="18"/>
              </w:rPr>
              <w:t>Total unused at balance date</w:t>
            </w:r>
          </w:p>
        </w:tc>
        <w:tc>
          <w:tcPr>
            <w:tcW w:w="1656" w:type="dxa"/>
            <w:tcBorders>
              <w:top w:val="single" w:sz="8" w:space="0" w:color="000000"/>
              <w:bottom w:val="double" w:sz="2" w:space="0" w:color="000000"/>
            </w:tcBorders>
          </w:tcPr>
          <w:p w14:paraId="4CE628EC" w14:textId="77777777" w:rsidR="00FA4AA8" w:rsidRDefault="0015611F">
            <w:pPr>
              <w:pStyle w:val="TableParagraph"/>
              <w:spacing w:before="115" w:line="185" w:lineRule="exact"/>
              <w:ind w:right="276"/>
              <w:jc w:val="right"/>
              <w:rPr>
                <w:b/>
                <w:sz w:val="18"/>
              </w:rPr>
            </w:pPr>
            <w:r>
              <w:rPr>
                <w:b/>
                <w:sz w:val="18"/>
              </w:rPr>
              <w:t>22,794</w:t>
            </w:r>
          </w:p>
        </w:tc>
        <w:tc>
          <w:tcPr>
            <w:tcW w:w="1380" w:type="dxa"/>
            <w:tcBorders>
              <w:top w:val="single" w:sz="8" w:space="0" w:color="000000"/>
              <w:bottom w:val="double" w:sz="2" w:space="0" w:color="000000"/>
            </w:tcBorders>
          </w:tcPr>
          <w:p w14:paraId="34BCCF29" w14:textId="77777777" w:rsidR="00FA4AA8" w:rsidRDefault="0015611F">
            <w:pPr>
              <w:pStyle w:val="TableParagraph"/>
              <w:spacing w:before="115" w:line="185" w:lineRule="exact"/>
              <w:ind w:left="463"/>
              <w:rPr>
                <w:sz w:val="18"/>
              </w:rPr>
            </w:pPr>
            <w:r>
              <w:rPr>
                <w:sz w:val="18"/>
              </w:rPr>
              <w:t>17,525</w:t>
            </w:r>
          </w:p>
        </w:tc>
        <w:tc>
          <w:tcPr>
            <w:tcW w:w="1380" w:type="dxa"/>
            <w:tcBorders>
              <w:top w:val="single" w:sz="8" w:space="0" w:color="000000"/>
              <w:bottom w:val="double" w:sz="2" w:space="0" w:color="000000"/>
            </w:tcBorders>
          </w:tcPr>
          <w:p w14:paraId="4A64212D" w14:textId="77777777" w:rsidR="00FA4AA8" w:rsidRDefault="0015611F">
            <w:pPr>
              <w:pStyle w:val="TableParagraph"/>
              <w:spacing w:before="115" w:line="185" w:lineRule="exact"/>
              <w:ind w:right="276"/>
              <w:jc w:val="right"/>
              <w:rPr>
                <w:b/>
                <w:sz w:val="18"/>
              </w:rPr>
            </w:pPr>
            <w:r>
              <w:rPr>
                <w:b/>
                <w:sz w:val="18"/>
              </w:rPr>
              <w:t>22,794</w:t>
            </w:r>
          </w:p>
        </w:tc>
        <w:tc>
          <w:tcPr>
            <w:tcW w:w="1104" w:type="dxa"/>
            <w:tcBorders>
              <w:top w:val="single" w:sz="8" w:space="0" w:color="000000"/>
              <w:bottom w:val="double" w:sz="2" w:space="0" w:color="000000"/>
            </w:tcBorders>
          </w:tcPr>
          <w:p w14:paraId="7E59878C" w14:textId="77777777" w:rsidR="00FA4AA8" w:rsidRDefault="0015611F">
            <w:pPr>
              <w:pStyle w:val="TableParagraph"/>
              <w:spacing w:before="115" w:line="185" w:lineRule="exact"/>
              <w:ind w:right="84"/>
              <w:jc w:val="right"/>
              <w:rPr>
                <w:sz w:val="18"/>
              </w:rPr>
            </w:pPr>
            <w:r>
              <w:rPr>
                <w:sz w:val="18"/>
              </w:rPr>
              <w:t>17,525</w:t>
            </w:r>
          </w:p>
        </w:tc>
      </w:tr>
      <w:tr w:rsidR="00FA4AA8" w14:paraId="472E4A57" w14:textId="77777777">
        <w:trPr>
          <w:trHeight w:val="341"/>
        </w:trPr>
        <w:tc>
          <w:tcPr>
            <w:tcW w:w="4039" w:type="dxa"/>
          </w:tcPr>
          <w:p w14:paraId="060FD777" w14:textId="77777777" w:rsidR="00FA4AA8" w:rsidRDefault="0015611F">
            <w:pPr>
              <w:pStyle w:val="TableParagraph"/>
              <w:spacing w:before="117" w:line="204" w:lineRule="exact"/>
              <w:ind w:left="76"/>
              <w:rPr>
                <w:b/>
                <w:sz w:val="18"/>
              </w:rPr>
            </w:pPr>
            <w:bookmarkStart w:id="51" w:name="Financial_guarantee_contracts"/>
            <w:bookmarkEnd w:id="51"/>
            <w:r>
              <w:rPr>
                <w:b/>
                <w:sz w:val="18"/>
              </w:rPr>
              <w:t>Bank loan facilities</w:t>
            </w:r>
          </w:p>
        </w:tc>
        <w:tc>
          <w:tcPr>
            <w:tcW w:w="1656" w:type="dxa"/>
            <w:tcBorders>
              <w:top w:val="double" w:sz="2" w:space="0" w:color="000000"/>
            </w:tcBorders>
          </w:tcPr>
          <w:p w14:paraId="28C9A0A3" w14:textId="77777777" w:rsidR="00FA4AA8" w:rsidRDefault="00FA4AA8">
            <w:pPr>
              <w:pStyle w:val="TableParagraph"/>
              <w:rPr>
                <w:rFonts w:ascii="Times New Roman"/>
                <w:sz w:val="18"/>
              </w:rPr>
            </w:pPr>
          </w:p>
        </w:tc>
        <w:tc>
          <w:tcPr>
            <w:tcW w:w="1380" w:type="dxa"/>
            <w:tcBorders>
              <w:top w:val="double" w:sz="2" w:space="0" w:color="000000"/>
            </w:tcBorders>
          </w:tcPr>
          <w:p w14:paraId="5A244DBA" w14:textId="77777777" w:rsidR="00FA4AA8" w:rsidRDefault="00FA4AA8">
            <w:pPr>
              <w:pStyle w:val="TableParagraph"/>
              <w:rPr>
                <w:rFonts w:ascii="Times New Roman"/>
                <w:sz w:val="18"/>
              </w:rPr>
            </w:pPr>
          </w:p>
        </w:tc>
        <w:tc>
          <w:tcPr>
            <w:tcW w:w="1380" w:type="dxa"/>
            <w:tcBorders>
              <w:top w:val="double" w:sz="2" w:space="0" w:color="000000"/>
            </w:tcBorders>
          </w:tcPr>
          <w:p w14:paraId="3DC6C178" w14:textId="77777777" w:rsidR="00FA4AA8" w:rsidRDefault="00FA4AA8">
            <w:pPr>
              <w:pStyle w:val="TableParagraph"/>
              <w:rPr>
                <w:rFonts w:ascii="Times New Roman"/>
                <w:sz w:val="18"/>
              </w:rPr>
            </w:pPr>
          </w:p>
        </w:tc>
        <w:tc>
          <w:tcPr>
            <w:tcW w:w="1104" w:type="dxa"/>
            <w:tcBorders>
              <w:top w:val="double" w:sz="2" w:space="0" w:color="000000"/>
            </w:tcBorders>
          </w:tcPr>
          <w:p w14:paraId="0CF8FDD3" w14:textId="77777777" w:rsidR="00FA4AA8" w:rsidRDefault="00FA4AA8">
            <w:pPr>
              <w:pStyle w:val="TableParagraph"/>
              <w:rPr>
                <w:rFonts w:ascii="Times New Roman"/>
                <w:sz w:val="18"/>
              </w:rPr>
            </w:pPr>
          </w:p>
        </w:tc>
      </w:tr>
      <w:tr w:rsidR="00FA4AA8" w14:paraId="4CFAFDD3" w14:textId="77777777">
        <w:trPr>
          <w:trHeight w:val="250"/>
        </w:trPr>
        <w:tc>
          <w:tcPr>
            <w:tcW w:w="4039" w:type="dxa"/>
          </w:tcPr>
          <w:p w14:paraId="55E6B868" w14:textId="77777777" w:rsidR="00FA4AA8" w:rsidRDefault="0015611F">
            <w:pPr>
              <w:pStyle w:val="TableParagraph"/>
              <w:spacing w:before="13"/>
              <w:ind w:left="76"/>
              <w:rPr>
                <w:sz w:val="18"/>
              </w:rPr>
            </w:pPr>
            <w:r>
              <w:rPr>
                <w:sz w:val="18"/>
              </w:rPr>
              <w:t>Total facilities</w:t>
            </w:r>
          </w:p>
        </w:tc>
        <w:tc>
          <w:tcPr>
            <w:tcW w:w="1656" w:type="dxa"/>
          </w:tcPr>
          <w:p w14:paraId="0F3D4E98" w14:textId="77777777" w:rsidR="00FA4AA8" w:rsidRDefault="0015611F">
            <w:pPr>
              <w:pStyle w:val="TableParagraph"/>
              <w:spacing w:before="11"/>
              <w:ind w:right="276"/>
              <w:jc w:val="right"/>
              <w:rPr>
                <w:b/>
                <w:sz w:val="18"/>
              </w:rPr>
            </w:pPr>
            <w:r>
              <w:rPr>
                <w:b/>
                <w:sz w:val="18"/>
              </w:rPr>
              <w:t>298,000</w:t>
            </w:r>
          </w:p>
        </w:tc>
        <w:tc>
          <w:tcPr>
            <w:tcW w:w="1380" w:type="dxa"/>
          </w:tcPr>
          <w:p w14:paraId="3DFCC468" w14:textId="77777777" w:rsidR="00FA4AA8" w:rsidRDefault="0015611F">
            <w:pPr>
              <w:pStyle w:val="TableParagraph"/>
              <w:spacing w:before="11"/>
              <w:ind w:left="362"/>
              <w:rPr>
                <w:sz w:val="18"/>
              </w:rPr>
            </w:pPr>
            <w:r>
              <w:rPr>
                <w:sz w:val="18"/>
              </w:rPr>
              <w:t>298,000</w:t>
            </w:r>
          </w:p>
        </w:tc>
        <w:tc>
          <w:tcPr>
            <w:tcW w:w="1380" w:type="dxa"/>
          </w:tcPr>
          <w:p w14:paraId="2507A38C" w14:textId="77777777" w:rsidR="00FA4AA8" w:rsidRDefault="0015611F">
            <w:pPr>
              <w:pStyle w:val="TableParagraph"/>
              <w:spacing w:before="11"/>
              <w:ind w:right="276"/>
              <w:jc w:val="right"/>
              <w:rPr>
                <w:b/>
                <w:sz w:val="18"/>
              </w:rPr>
            </w:pPr>
            <w:r>
              <w:rPr>
                <w:b/>
                <w:sz w:val="18"/>
              </w:rPr>
              <w:t>298,000</w:t>
            </w:r>
          </w:p>
        </w:tc>
        <w:tc>
          <w:tcPr>
            <w:tcW w:w="1104" w:type="dxa"/>
          </w:tcPr>
          <w:p w14:paraId="3119FC90" w14:textId="77777777" w:rsidR="00FA4AA8" w:rsidRDefault="0015611F">
            <w:pPr>
              <w:pStyle w:val="TableParagraph"/>
              <w:spacing w:before="11"/>
              <w:ind w:left="362"/>
              <w:rPr>
                <w:sz w:val="18"/>
              </w:rPr>
            </w:pPr>
            <w:r>
              <w:rPr>
                <w:sz w:val="18"/>
              </w:rPr>
              <w:t>298,000</w:t>
            </w:r>
          </w:p>
        </w:tc>
      </w:tr>
      <w:tr w:rsidR="00FA4AA8" w14:paraId="34D0EDA0" w14:textId="77777777">
        <w:trPr>
          <w:trHeight w:val="256"/>
        </w:trPr>
        <w:tc>
          <w:tcPr>
            <w:tcW w:w="4039" w:type="dxa"/>
          </w:tcPr>
          <w:p w14:paraId="53E85580" w14:textId="77777777" w:rsidR="00FA4AA8" w:rsidRDefault="0015611F">
            <w:pPr>
              <w:pStyle w:val="TableParagraph"/>
              <w:spacing w:before="26"/>
              <w:ind w:left="76"/>
              <w:rPr>
                <w:sz w:val="18"/>
              </w:rPr>
            </w:pPr>
            <w:r>
              <w:rPr>
                <w:sz w:val="18"/>
              </w:rPr>
              <w:t>Used at balance date</w:t>
            </w:r>
          </w:p>
        </w:tc>
        <w:tc>
          <w:tcPr>
            <w:tcW w:w="1656" w:type="dxa"/>
            <w:tcBorders>
              <w:bottom w:val="single" w:sz="8" w:space="0" w:color="000000"/>
            </w:tcBorders>
          </w:tcPr>
          <w:p w14:paraId="13250524" w14:textId="77777777" w:rsidR="00FA4AA8" w:rsidRDefault="0015611F">
            <w:pPr>
              <w:pStyle w:val="TableParagraph"/>
              <w:spacing w:before="24"/>
              <w:ind w:right="216"/>
              <w:jc w:val="right"/>
              <w:rPr>
                <w:b/>
                <w:sz w:val="18"/>
              </w:rPr>
            </w:pPr>
            <w:r>
              <w:rPr>
                <w:b/>
                <w:sz w:val="18"/>
              </w:rPr>
              <w:t>(162,500)</w:t>
            </w:r>
          </w:p>
        </w:tc>
        <w:tc>
          <w:tcPr>
            <w:tcW w:w="1380" w:type="dxa"/>
            <w:tcBorders>
              <w:bottom w:val="single" w:sz="8" w:space="0" w:color="000000"/>
            </w:tcBorders>
          </w:tcPr>
          <w:p w14:paraId="0E42F04D" w14:textId="77777777" w:rsidR="00FA4AA8" w:rsidRDefault="0015611F">
            <w:pPr>
              <w:pStyle w:val="TableParagraph"/>
              <w:spacing w:before="24"/>
              <w:ind w:right="300"/>
              <w:jc w:val="right"/>
              <w:rPr>
                <w:sz w:val="18"/>
              </w:rPr>
            </w:pPr>
            <w:r>
              <w:rPr>
                <w:sz w:val="18"/>
              </w:rPr>
              <w:t>(163,500)</w:t>
            </w:r>
          </w:p>
        </w:tc>
        <w:tc>
          <w:tcPr>
            <w:tcW w:w="1380" w:type="dxa"/>
            <w:tcBorders>
              <w:bottom w:val="single" w:sz="8" w:space="0" w:color="000000"/>
            </w:tcBorders>
          </w:tcPr>
          <w:p w14:paraId="3909729F" w14:textId="77777777" w:rsidR="00FA4AA8" w:rsidRDefault="0015611F">
            <w:pPr>
              <w:pStyle w:val="TableParagraph"/>
              <w:spacing w:before="24"/>
              <w:ind w:right="216"/>
              <w:jc w:val="right"/>
              <w:rPr>
                <w:b/>
                <w:sz w:val="18"/>
              </w:rPr>
            </w:pPr>
            <w:r>
              <w:rPr>
                <w:b/>
                <w:sz w:val="18"/>
              </w:rPr>
              <w:t>(162,500)</w:t>
            </w:r>
          </w:p>
        </w:tc>
        <w:tc>
          <w:tcPr>
            <w:tcW w:w="1104" w:type="dxa"/>
            <w:tcBorders>
              <w:bottom w:val="single" w:sz="8" w:space="0" w:color="000000"/>
            </w:tcBorders>
          </w:tcPr>
          <w:p w14:paraId="3A7EFD87" w14:textId="77777777" w:rsidR="00FA4AA8" w:rsidRDefault="0015611F">
            <w:pPr>
              <w:pStyle w:val="TableParagraph"/>
              <w:spacing w:before="24"/>
              <w:ind w:right="24"/>
              <w:jc w:val="right"/>
              <w:rPr>
                <w:sz w:val="18"/>
              </w:rPr>
            </w:pPr>
            <w:r>
              <w:rPr>
                <w:sz w:val="18"/>
              </w:rPr>
              <w:t>(163,500)</w:t>
            </w:r>
          </w:p>
        </w:tc>
      </w:tr>
      <w:tr w:rsidR="00FA4AA8" w14:paraId="3A9CFBB1" w14:textId="77777777">
        <w:trPr>
          <w:trHeight w:val="320"/>
        </w:trPr>
        <w:tc>
          <w:tcPr>
            <w:tcW w:w="4039" w:type="dxa"/>
          </w:tcPr>
          <w:p w14:paraId="4E38D4D6" w14:textId="77777777" w:rsidR="00FA4AA8" w:rsidRDefault="0015611F">
            <w:pPr>
              <w:pStyle w:val="TableParagraph"/>
              <w:spacing w:before="115" w:line="185" w:lineRule="exact"/>
              <w:ind w:left="76"/>
              <w:rPr>
                <w:b/>
                <w:sz w:val="18"/>
              </w:rPr>
            </w:pPr>
            <w:r>
              <w:rPr>
                <w:b/>
                <w:sz w:val="18"/>
              </w:rPr>
              <w:t>Total unused at balance date</w:t>
            </w:r>
          </w:p>
        </w:tc>
        <w:tc>
          <w:tcPr>
            <w:tcW w:w="1656" w:type="dxa"/>
            <w:tcBorders>
              <w:top w:val="single" w:sz="8" w:space="0" w:color="000000"/>
              <w:bottom w:val="double" w:sz="2" w:space="0" w:color="000000"/>
            </w:tcBorders>
          </w:tcPr>
          <w:p w14:paraId="7549FB0B" w14:textId="77777777" w:rsidR="00FA4AA8" w:rsidRDefault="0015611F">
            <w:pPr>
              <w:pStyle w:val="TableParagraph"/>
              <w:spacing w:before="115" w:line="185" w:lineRule="exact"/>
              <w:ind w:right="276"/>
              <w:jc w:val="right"/>
              <w:rPr>
                <w:b/>
                <w:sz w:val="18"/>
              </w:rPr>
            </w:pPr>
            <w:r>
              <w:rPr>
                <w:b/>
                <w:sz w:val="18"/>
              </w:rPr>
              <w:t>135,500</w:t>
            </w:r>
          </w:p>
        </w:tc>
        <w:tc>
          <w:tcPr>
            <w:tcW w:w="1380" w:type="dxa"/>
            <w:tcBorders>
              <w:top w:val="single" w:sz="8" w:space="0" w:color="000000"/>
              <w:bottom w:val="double" w:sz="2" w:space="0" w:color="000000"/>
            </w:tcBorders>
          </w:tcPr>
          <w:p w14:paraId="3230C504" w14:textId="77777777" w:rsidR="00FA4AA8" w:rsidRDefault="0015611F">
            <w:pPr>
              <w:pStyle w:val="TableParagraph"/>
              <w:spacing w:before="115" w:line="185" w:lineRule="exact"/>
              <w:ind w:left="362"/>
              <w:rPr>
                <w:sz w:val="18"/>
              </w:rPr>
            </w:pPr>
            <w:r>
              <w:rPr>
                <w:sz w:val="18"/>
              </w:rPr>
              <w:t>134,500</w:t>
            </w:r>
          </w:p>
        </w:tc>
        <w:tc>
          <w:tcPr>
            <w:tcW w:w="1380" w:type="dxa"/>
            <w:tcBorders>
              <w:top w:val="single" w:sz="8" w:space="0" w:color="000000"/>
              <w:bottom w:val="double" w:sz="2" w:space="0" w:color="000000"/>
            </w:tcBorders>
          </w:tcPr>
          <w:p w14:paraId="1402F336" w14:textId="77777777" w:rsidR="00FA4AA8" w:rsidRDefault="0015611F">
            <w:pPr>
              <w:pStyle w:val="TableParagraph"/>
              <w:spacing w:before="115" w:line="185" w:lineRule="exact"/>
              <w:ind w:right="276"/>
              <w:jc w:val="right"/>
              <w:rPr>
                <w:b/>
                <w:sz w:val="18"/>
              </w:rPr>
            </w:pPr>
            <w:r>
              <w:rPr>
                <w:b/>
                <w:sz w:val="18"/>
              </w:rPr>
              <w:t>135,500</w:t>
            </w:r>
          </w:p>
        </w:tc>
        <w:tc>
          <w:tcPr>
            <w:tcW w:w="1104" w:type="dxa"/>
            <w:tcBorders>
              <w:top w:val="single" w:sz="8" w:space="0" w:color="000000"/>
              <w:bottom w:val="double" w:sz="2" w:space="0" w:color="000000"/>
            </w:tcBorders>
          </w:tcPr>
          <w:p w14:paraId="50392067" w14:textId="77777777" w:rsidR="00FA4AA8" w:rsidRDefault="0015611F">
            <w:pPr>
              <w:pStyle w:val="TableParagraph"/>
              <w:spacing w:before="115" w:line="185" w:lineRule="exact"/>
              <w:ind w:left="362"/>
              <w:rPr>
                <w:sz w:val="18"/>
              </w:rPr>
            </w:pPr>
            <w:r>
              <w:rPr>
                <w:sz w:val="18"/>
              </w:rPr>
              <w:t>134,500</w:t>
            </w:r>
          </w:p>
        </w:tc>
      </w:tr>
      <w:tr w:rsidR="00FA4AA8" w14:paraId="6F79390C" w14:textId="77777777">
        <w:trPr>
          <w:trHeight w:val="518"/>
        </w:trPr>
        <w:tc>
          <w:tcPr>
            <w:tcW w:w="4039" w:type="dxa"/>
          </w:tcPr>
          <w:p w14:paraId="33707AD6" w14:textId="77777777" w:rsidR="00FA4AA8" w:rsidRDefault="00FA4AA8">
            <w:pPr>
              <w:pStyle w:val="TableParagraph"/>
              <w:rPr>
                <w:b/>
                <w:sz w:val="27"/>
              </w:rPr>
            </w:pPr>
          </w:p>
          <w:p w14:paraId="7D252CCB" w14:textId="77777777" w:rsidR="00FA4AA8" w:rsidRDefault="0015611F">
            <w:pPr>
              <w:pStyle w:val="TableParagraph"/>
              <w:spacing w:before="1" w:line="187" w:lineRule="exact"/>
              <w:ind w:left="50"/>
              <w:rPr>
                <w:b/>
                <w:sz w:val="18"/>
              </w:rPr>
            </w:pPr>
            <w:r>
              <w:rPr>
                <w:b/>
                <w:sz w:val="18"/>
              </w:rPr>
              <w:t>Financial guarantee contracts</w:t>
            </w:r>
          </w:p>
        </w:tc>
        <w:tc>
          <w:tcPr>
            <w:tcW w:w="1656" w:type="dxa"/>
            <w:tcBorders>
              <w:top w:val="double" w:sz="2" w:space="0" w:color="000000"/>
            </w:tcBorders>
          </w:tcPr>
          <w:p w14:paraId="16346BC6" w14:textId="77777777" w:rsidR="00FA4AA8" w:rsidRDefault="00FA4AA8">
            <w:pPr>
              <w:pStyle w:val="TableParagraph"/>
              <w:rPr>
                <w:rFonts w:ascii="Times New Roman"/>
                <w:sz w:val="18"/>
              </w:rPr>
            </w:pPr>
          </w:p>
        </w:tc>
        <w:tc>
          <w:tcPr>
            <w:tcW w:w="1380" w:type="dxa"/>
            <w:tcBorders>
              <w:top w:val="double" w:sz="2" w:space="0" w:color="000000"/>
            </w:tcBorders>
          </w:tcPr>
          <w:p w14:paraId="74174080" w14:textId="77777777" w:rsidR="00FA4AA8" w:rsidRDefault="00FA4AA8">
            <w:pPr>
              <w:pStyle w:val="TableParagraph"/>
              <w:rPr>
                <w:rFonts w:ascii="Times New Roman"/>
                <w:sz w:val="18"/>
              </w:rPr>
            </w:pPr>
          </w:p>
        </w:tc>
        <w:tc>
          <w:tcPr>
            <w:tcW w:w="1380" w:type="dxa"/>
            <w:tcBorders>
              <w:top w:val="double" w:sz="2" w:space="0" w:color="000000"/>
            </w:tcBorders>
          </w:tcPr>
          <w:p w14:paraId="3B1269D5" w14:textId="77777777" w:rsidR="00FA4AA8" w:rsidRDefault="00FA4AA8">
            <w:pPr>
              <w:pStyle w:val="TableParagraph"/>
              <w:rPr>
                <w:rFonts w:ascii="Times New Roman"/>
                <w:sz w:val="18"/>
              </w:rPr>
            </w:pPr>
          </w:p>
        </w:tc>
        <w:tc>
          <w:tcPr>
            <w:tcW w:w="1104" w:type="dxa"/>
            <w:tcBorders>
              <w:top w:val="double" w:sz="2" w:space="0" w:color="000000"/>
            </w:tcBorders>
          </w:tcPr>
          <w:p w14:paraId="4C72E99E" w14:textId="77777777" w:rsidR="00FA4AA8" w:rsidRDefault="00FA4AA8">
            <w:pPr>
              <w:pStyle w:val="TableParagraph"/>
              <w:rPr>
                <w:rFonts w:ascii="Times New Roman"/>
                <w:sz w:val="18"/>
              </w:rPr>
            </w:pPr>
          </w:p>
        </w:tc>
      </w:tr>
    </w:tbl>
    <w:p w14:paraId="188E7BB8" w14:textId="77777777" w:rsidR="00FA4AA8" w:rsidRDefault="00FA4AA8">
      <w:pPr>
        <w:pStyle w:val="BodyText"/>
        <w:spacing w:before="5"/>
        <w:rPr>
          <w:b/>
          <w:sz w:val="25"/>
        </w:rPr>
      </w:pPr>
    </w:p>
    <w:p w14:paraId="2D2D0D26" w14:textId="77777777" w:rsidR="00FA4AA8" w:rsidRDefault="0015611F">
      <w:pPr>
        <w:pStyle w:val="BodyText"/>
        <w:ind w:left="564" w:right="220"/>
      </w:pPr>
      <w:r>
        <w:t>Financial guarantee contracts are recognised as a liability at the time the guarantee is issued. The fair value of financial guarantees is determined as the present value of the difference in net cash flows between the contractual payments under the debt instrument and the payments that would be required without the guarantee, or the estimated amount that would be payable to a third party for assuming the obligations.</w:t>
      </w:r>
    </w:p>
    <w:p w14:paraId="345E3356" w14:textId="77777777" w:rsidR="00FA4AA8" w:rsidRDefault="00FA4AA8">
      <w:pPr>
        <w:pStyle w:val="BodyText"/>
        <w:spacing w:before="9"/>
        <w:rPr>
          <w:sz w:val="24"/>
        </w:rPr>
      </w:pPr>
    </w:p>
    <w:p w14:paraId="1CE43D7D" w14:textId="77777777" w:rsidR="00FA4AA8" w:rsidRDefault="0015611F">
      <w:pPr>
        <w:pStyle w:val="BodyText"/>
        <w:ind w:left="564" w:right="220"/>
      </w:pPr>
      <w:r>
        <w:t>Where guarantees in relation to loans or other payables of subsidiaries or associates are provided for no compensation, the fair values are accounted for as contributions and recognised as part of the cost of the investment.</w:t>
      </w:r>
    </w:p>
    <w:p w14:paraId="7B17B6AE" w14:textId="77777777" w:rsidR="00FA4AA8" w:rsidRDefault="00FA4AA8">
      <w:pPr>
        <w:sectPr w:rsidR="00FA4AA8">
          <w:pgSz w:w="11910" w:h="16840"/>
          <w:pgMar w:top="2220" w:right="880" w:bottom="720" w:left="840" w:header="1016" w:footer="523" w:gutter="0"/>
          <w:cols w:space="720"/>
        </w:sectPr>
      </w:pPr>
    </w:p>
    <w:p w14:paraId="57C81BFC" w14:textId="77777777" w:rsidR="00FA4AA8" w:rsidRDefault="00FA4AA8">
      <w:pPr>
        <w:pStyle w:val="BodyText"/>
        <w:rPr>
          <w:sz w:val="20"/>
        </w:rPr>
      </w:pPr>
    </w:p>
    <w:p w14:paraId="32E6663E" w14:textId="77777777" w:rsidR="00FA4AA8" w:rsidRDefault="00FA4AA8">
      <w:pPr>
        <w:pStyle w:val="BodyText"/>
        <w:spacing w:before="10"/>
        <w:rPr>
          <w:sz w:val="29"/>
        </w:rPr>
      </w:pPr>
    </w:p>
    <w:p w14:paraId="4BED2E3E" w14:textId="77777777" w:rsidR="00FA4AA8" w:rsidRDefault="0015611F">
      <w:pPr>
        <w:numPr>
          <w:ilvl w:val="0"/>
          <w:numId w:val="97"/>
        </w:numPr>
        <w:tabs>
          <w:tab w:val="left" w:pos="564"/>
        </w:tabs>
        <w:spacing w:before="94"/>
        <w:ind w:hanging="397"/>
        <w:rPr>
          <w:b/>
          <w:sz w:val="18"/>
        </w:rPr>
      </w:pPr>
      <w:r>
        <w:rPr>
          <w:b/>
          <w:sz w:val="18"/>
        </w:rPr>
        <w:t>Borrowings (continued)</w:t>
      </w:r>
    </w:p>
    <w:p w14:paraId="6513D291" w14:textId="77777777" w:rsidR="00FA4AA8" w:rsidRDefault="00FA4AA8">
      <w:pPr>
        <w:pStyle w:val="BodyText"/>
        <w:spacing w:before="7"/>
        <w:rPr>
          <w:b/>
          <w:sz w:val="26"/>
        </w:rPr>
      </w:pPr>
    </w:p>
    <w:p w14:paraId="448200E8" w14:textId="77777777" w:rsidR="00FA4AA8" w:rsidRDefault="0015611F">
      <w:pPr>
        <w:ind w:left="564"/>
        <w:rPr>
          <w:i/>
          <w:sz w:val="18"/>
        </w:rPr>
      </w:pPr>
      <w:r>
        <w:rPr>
          <w:i/>
          <w:sz w:val="18"/>
          <w:u w:val="single"/>
        </w:rPr>
        <w:t>Accounting Policy</w:t>
      </w:r>
    </w:p>
    <w:p w14:paraId="4A69A444" w14:textId="77777777" w:rsidR="00FA4AA8" w:rsidRDefault="00FA4AA8">
      <w:pPr>
        <w:pStyle w:val="BodyText"/>
        <w:spacing w:before="3"/>
        <w:rPr>
          <w:i/>
          <w:sz w:val="17"/>
        </w:rPr>
      </w:pPr>
    </w:p>
    <w:p w14:paraId="51CF9254" w14:textId="77777777" w:rsidR="00FA4AA8" w:rsidRDefault="0015611F">
      <w:pPr>
        <w:pStyle w:val="BodyText"/>
        <w:spacing w:before="94"/>
        <w:ind w:left="563" w:right="151"/>
      </w:pPr>
      <w:r>
        <w:t xml:space="preserve">Borrowings are initially recognised at fair value, net of transaction costs incurred and subsequently measured at amortised cost. Any difference between the proceeds (net of transaction costs) and the redemption amount is recognised in the income statement over the period of the borrowings using the effective interest method. Fees paid on the establishment of loan facilities, which are not an incremental cost relating to the actual draw-down of the </w:t>
      </w:r>
      <w:r w:rsidR="00733831">
        <w:t>facility, are</w:t>
      </w:r>
      <w:r>
        <w:t xml:space="preserve"> recognised as prepayments and amortised on a straight-line basis over the term of the</w:t>
      </w:r>
      <w:r>
        <w:rPr>
          <w:spacing w:val="15"/>
        </w:rPr>
        <w:t xml:space="preserve"> </w:t>
      </w:r>
      <w:r>
        <w:t>facility.</w:t>
      </w:r>
    </w:p>
    <w:p w14:paraId="232D8140" w14:textId="77777777" w:rsidR="00FA4AA8" w:rsidRDefault="00FA4AA8">
      <w:pPr>
        <w:pStyle w:val="BodyText"/>
        <w:spacing w:before="9"/>
        <w:rPr>
          <w:sz w:val="24"/>
        </w:rPr>
      </w:pPr>
    </w:p>
    <w:p w14:paraId="23C43AD6" w14:textId="77777777" w:rsidR="00FA4AA8" w:rsidRDefault="0015611F">
      <w:pPr>
        <w:pStyle w:val="BodyText"/>
        <w:ind w:left="563"/>
      </w:pPr>
      <w:r>
        <w:t>Borrowings are removed from the statement of financial position when the obligation specified in the contract is discharged, cancelled or expired. The difference between the carrying amount of a financial liability that has been extinguished or transferred to another party and the consideration paid, including any non-cash assets transferred or</w:t>
      </w:r>
      <w:bookmarkStart w:id="52" w:name="25_Provisions_"/>
      <w:bookmarkEnd w:id="52"/>
      <w:r>
        <w:t xml:space="preserve"> liabilities assumed, is recognised in other income or other expenses.</w:t>
      </w:r>
    </w:p>
    <w:p w14:paraId="3A11DB44" w14:textId="77777777" w:rsidR="00FA4AA8" w:rsidRDefault="00FA4AA8">
      <w:pPr>
        <w:pStyle w:val="BodyText"/>
        <w:spacing w:before="10"/>
        <w:rPr>
          <w:sz w:val="24"/>
        </w:rPr>
      </w:pPr>
    </w:p>
    <w:p w14:paraId="5A158A08" w14:textId="77777777" w:rsidR="00FA4AA8" w:rsidRDefault="0015611F">
      <w:pPr>
        <w:pStyle w:val="BodyText"/>
        <w:ind w:left="563" w:right="132"/>
      </w:pPr>
      <w:r>
        <w:t>Borrowings are classified as current liabilities unless the Group has an unconditional right to defer settlement of the liability for at least 12 months after the end of the reporting period and does not expect to settle the liability for at least 12 months after the end of the reporting period.</w:t>
      </w:r>
    </w:p>
    <w:p w14:paraId="075D35F1" w14:textId="77777777" w:rsidR="00FA4AA8" w:rsidRDefault="00FA4AA8">
      <w:pPr>
        <w:pStyle w:val="BodyText"/>
        <w:spacing w:before="8"/>
        <w:rPr>
          <w:sz w:val="16"/>
        </w:rPr>
      </w:pPr>
    </w:p>
    <w:p w14:paraId="1DEB1AA5" w14:textId="77777777" w:rsidR="00FA4AA8" w:rsidRDefault="0015611F">
      <w:pPr>
        <w:numPr>
          <w:ilvl w:val="0"/>
          <w:numId w:val="97"/>
        </w:numPr>
        <w:tabs>
          <w:tab w:val="left" w:pos="564"/>
        </w:tabs>
        <w:spacing w:before="94"/>
        <w:ind w:hanging="397"/>
        <w:rPr>
          <w:b/>
          <w:sz w:val="18"/>
        </w:rPr>
      </w:pPr>
      <w:r>
        <w:rPr>
          <w:b/>
          <w:sz w:val="18"/>
        </w:rPr>
        <w:t>Provisions</w:t>
      </w:r>
    </w:p>
    <w:p w14:paraId="5F69F957" w14:textId="77777777" w:rsidR="00FA4AA8" w:rsidRDefault="0015611F">
      <w:pPr>
        <w:tabs>
          <w:tab w:val="left" w:pos="8577"/>
        </w:tabs>
        <w:spacing w:before="33"/>
        <w:ind w:left="5853"/>
        <w:rPr>
          <w:b/>
          <w:sz w:val="18"/>
        </w:rPr>
      </w:pPr>
      <w:r>
        <w:rPr>
          <w:b/>
          <w:sz w:val="18"/>
        </w:rPr>
        <w:t>Consolidated</w:t>
      </w:r>
      <w:r>
        <w:rPr>
          <w:b/>
          <w:sz w:val="18"/>
        </w:rPr>
        <w:tab/>
        <w:t>Parent</w:t>
      </w:r>
    </w:p>
    <w:p w14:paraId="7F8F70CB" w14:textId="77777777" w:rsidR="00FA4AA8" w:rsidRDefault="00FA4AA8">
      <w:pPr>
        <w:pStyle w:val="BodyText"/>
        <w:spacing w:before="4"/>
        <w:rPr>
          <w:b/>
          <w:sz w:val="6"/>
        </w:rPr>
      </w:pPr>
    </w:p>
    <w:tbl>
      <w:tblPr>
        <w:tblW w:w="0" w:type="auto"/>
        <w:tblInd w:w="547" w:type="dxa"/>
        <w:tblLayout w:type="fixed"/>
        <w:tblCellMar>
          <w:left w:w="0" w:type="dxa"/>
          <w:right w:w="0" w:type="dxa"/>
        </w:tblCellMar>
        <w:tblLook w:val="01E0" w:firstRow="1" w:lastRow="1" w:firstColumn="1" w:lastColumn="1" w:noHBand="0" w:noVBand="0"/>
      </w:tblPr>
      <w:tblGrid>
        <w:gridCol w:w="3895"/>
        <w:gridCol w:w="773"/>
        <w:gridCol w:w="1421"/>
        <w:gridCol w:w="1217"/>
        <w:gridCol w:w="1217"/>
        <w:gridCol w:w="1014"/>
      </w:tblGrid>
      <w:tr w:rsidR="00FA4AA8" w14:paraId="1B4A67AD" w14:textId="77777777">
        <w:trPr>
          <w:trHeight w:val="237"/>
        </w:trPr>
        <w:tc>
          <w:tcPr>
            <w:tcW w:w="3895" w:type="dxa"/>
            <w:vMerge w:val="restart"/>
          </w:tcPr>
          <w:p w14:paraId="3CE7150E" w14:textId="77777777" w:rsidR="00FA4AA8" w:rsidRDefault="00FA4AA8">
            <w:pPr>
              <w:pStyle w:val="TableParagraph"/>
              <w:rPr>
                <w:rFonts w:ascii="Times New Roman"/>
                <w:sz w:val="18"/>
              </w:rPr>
            </w:pPr>
          </w:p>
        </w:tc>
        <w:tc>
          <w:tcPr>
            <w:tcW w:w="773" w:type="dxa"/>
          </w:tcPr>
          <w:p w14:paraId="081F96ED" w14:textId="77777777" w:rsidR="00FA4AA8" w:rsidRDefault="00FA4AA8">
            <w:pPr>
              <w:pStyle w:val="TableParagraph"/>
              <w:rPr>
                <w:rFonts w:ascii="Times New Roman"/>
                <w:sz w:val="16"/>
              </w:rPr>
            </w:pPr>
          </w:p>
        </w:tc>
        <w:tc>
          <w:tcPr>
            <w:tcW w:w="1421" w:type="dxa"/>
          </w:tcPr>
          <w:p w14:paraId="3EEDB799" w14:textId="77777777" w:rsidR="00FA4AA8" w:rsidRDefault="0015611F">
            <w:pPr>
              <w:pStyle w:val="TableParagraph"/>
              <w:spacing w:line="201" w:lineRule="exact"/>
              <w:ind w:left="515"/>
              <w:rPr>
                <w:b/>
                <w:sz w:val="18"/>
              </w:rPr>
            </w:pPr>
            <w:r>
              <w:rPr>
                <w:b/>
                <w:sz w:val="18"/>
              </w:rPr>
              <w:t>2018</w:t>
            </w:r>
          </w:p>
        </w:tc>
        <w:tc>
          <w:tcPr>
            <w:tcW w:w="1217" w:type="dxa"/>
          </w:tcPr>
          <w:p w14:paraId="40A93695" w14:textId="77777777" w:rsidR="00FA4AA8" w:rsidRDefault="0015611F">
            <w:pPr>
              <w:pStyle w:val="TableParagraph"/>
              <w:spacing w:line="201" w:lineRule="exact"/>
              <w:ind w:left="227"/>
              <w:rPr>
                <w:b/>
                <w:sz w:val="18"/>
              </w:rPr>
            </w:pPr>
            <w:r>
              <w:rPr>
                <w:b/>
                <w:sz w:val="18"/>
              </w:rPr>
              <w:t>2017</w:t>
            </w:r>
          </w:p>
        </w:tc>
        <w:tc>
          <w:tcPr>
            <w:tcW w:w="1217" w:type="dxa"/>
          </w:tcPr>
          <w:p w14:paraId="369FCF57" w14:textId="77777777" w:rsidR="00FA4AA8" w:rsidRDefault="0015611F">
            <w:pPr>
              <w:pStyle w:val="TableParagraph"/>
              <w:spacing w:line="201" w:lineRule="exact"/>
              <w:ind w:left="311"/>
              <w:rPr>
                <w:b/>
                <w:sz w:val="18"/>
              </w:rPr>
            </w:pPr>
            <w:r>
              <w:rPr>
                <w:b/>
                <w:sz w:val="18"/>
              </w:rPr>
              <w:t>2018</w:t>
            </w:r>
          </w:p>
        </w:tc>
        <w:tc>
          <w:tcPr>
            <w:tcW w:w="1014" w:type="dxa"/>
          </w:tcPr>
          <w:p w14:paraId="2BE214F3" w14:textId="77777777" w:rsidR="00FA4AA8" w:rsidRDefault="0015611F">
            <w:pPr>
              <w:pStyle w:val="TableParagraph"/>
              <w:spacing w:line="201" w:lineRule="exact"/>
              <w:ind w:left="227"/>
              <w:rPr>
                <w:b/>
                <w:sz w:val="18"/>
              </w:rPr>
            </w:pPr>
            <w:r>
              <w:rPr>
                <w:b/>
                <w:sz w:val="18"/>
              </w:rPr>
              <w:t>2017</w:t>
            </w:r>
          </w:p>
        </w:tc>
      </w:tr>
      <w:tr w:rsidR="00FA4AA8" w14:paraId="7E8B1E29" w14:textId="77777777">
        <w:trPr>
          <w:trHeight w:val="327"/>
        </w:trPr>
        <w:tc>
          <w:tcPr>
            <w:tcW w:w="3895" w:type="dxa"/>
            <w:vMerge/>
            <w:tcBorders>
              <w:top w:val="nil"/>
            </w:tcBorders>
          </w:tcPr>
          <w:p w14:paraId="10781092" w14:textId="77777777" w:rsidR="00FA4AA8" w:rsidRDefault="00FA4AA8">
            <w:pPr>
              <w:rPr>
                <w:sz w:val="2"/>
                <w:szCs w:val="2"/>
              </w:rPr>
            </w:pPr>
          </w:p>
        </w:tc>
        <w:tc>
          <w:tcPr>
            <w:tcW w:w="773" w:type="dxa"/>
          </w:tcPr>
          <w:p w14:paraId="692077C5" w14:textId="77777777" w:rsidR="00FA4AA8" w:rsidRDefault="0015611F">
            <w:pPr>
              <w:pStyle w:val="TableParagraph"/>
              <w:spacing w:before="30"/>
              <w:ind w:right="92"/>
              <w:jc w:val="right"/>
              <w:rPr>
                <w:b/>
                <w:sz w:val="18"/>
              </w:rPr>
            </w:pPr>
            <w:r>
              <w:rPr>
                <w:b/>
                <w:sz w:val="18"/>
              </w:rPr>
              <w:t>Note</w:t>
            </w:r>
          </w:p>
        </w:tc>
        <w:tc>
          <w:tcPr>
            <w:tcW w:w="1421" w:type="dxa"/>
          </w:tcPr>
          <w:p w14:paraId="1D9FAC64" w14:textId="77777777" w:rsidR="00FA4AA8" w:rsidRDefault="0015611F">
            <w:pPr>
              <w:pStyle w:val="TableParagraph"/>
              <w:spacing w:before="30"/>
              <w:ind w:left="494"/>
              <w:rPr>
                <w:b/>
                <w:sz w:val="18"/>
              </w:rPr>
            </w:pPr>
            <w:r>
              <w:rPr>
                <w:b/>
                <w:sz w:val="18"/>
              </w:rPr>
              <w:t>$'000</w:t>
            </w:r>
          </w:p>
        </w:tc>
        <w:tc>
          <w:tcPr>
            <w:tcW w:w="1217" w:type="dxa"/>
          </w:tcPr>
          <w:p w14:paraId="11A53A6B" w14:textId="77777777" w:rsidR="00FA4AA8" w:rsidRDefault="0015611F">
            <w:pPr>
              <w:pStyle w:val="TableParagraph"/>
              <w:spacing w:before="30"/>
              <w:ind w:left="205"/>
              <w:rPr>
                <w:b/>
                <w:sz w:val="18"/>
              </w:rPr>
            </w:pPr>
            <w:r>
              <w:rPr>
                <w:b/>
                <w:sz w:val="18"/>
              </w:rPr>
              <w:t>$'000</w:t>
            </w:r>
          </w:p>
        </w:tc>
        <w:tc>
          <w:tcPr>
            <w:tcW w:w="1217" w:type="dxa"/>
          </w:tcPr>
          <w:p w14:paraId="0ABED64B" w14:textId="77777777" w:rsidR="00FA4AA8" w:rsidRDefault="0015611F">
            <w:pPr>
              <w:pStyle w:val="TableParagraph"/>
              <w:spacing w:before="30"/>
              <w:ind w:left="289"/>
              <w:rPr>
                <w:b/>
                <w:sz w:val="18"/>
              </w:rPr>
            </w:pPr>
            <w:r>
              <w:rPr>
                <w:b/>
                <w:sz w:val="18"/>
              </w:rPr>
              <w:t>$'000</w:t>
            </w:r>
          </w:p>
        </w:tc>
        <w:tc>
          <w:tcPr>
            <w:tcW w:w="1014" w:type="dxa"/>
          </w:tcPr>
          <w:p w14:paraId="562FB04B" w14:textId="77777777" w:rsidR="00FA4AA8" w:rsidRDefault="0015611F">
            <w:pPr>
              <w:pStyle w:val="TableParagraph"/>
              <w:spacing w:before="30"/>
              <w:ind w:left="205"/>
              <w:rPr>
                <w:b/>
                <w:sz w:val="18"/>
              </w:rPr>
            </w:pPr>
            <w:r>
              <w:rPr>
                <w:b/>
                <w:sz w:val="18"/>
              </w:rPr>
              <w:t>$'000</w:t>
            </w:r>
          </w:p>
        </w:tc>
      </w:tr>
      <w:tr w:rsidR="00FA4AA8" w14:paraId="13301E58" w14:textId="77777777">
        <w:trPr>
          <w:trHeight w:val="513"/>
        </w:trPr>
        <w:tc>
          <w:tcPr>
            <w:tcW w:w="3895" w:type="dxa"/>
          </w:tcPr>
          <w:p w14:paraId="3A1100D5" w14:textId="77777777" w:rsidR="00FA4AA8" w:rsidRDefault="0015611F">
            <w:pPr>
              <w:pStyle w:val="TableParagraph"/>
              <w:spacing w:before="88" w:line="206" w:lineRule="exact"/>
              <w:ind w:left="57" w:right="267"/>
              <w:rPr>
                <w:b/>
                <w:sz w:val="18"/>
              </w:rPr>
            </w:pPr>
            <w:r>
              <w:rPr>
                <w:b/>
                <w:sz w:val="18"/>
              </w:rPr>
              <w:t>Current provisions expected to be settled within 12 months</w:t>
            </w:r>
          </w:p>
        </w:tc>
        <w:tc>
          <w:tcPr>
            <w:tcW w:w="773" w:type="dxa"/>
          </w:tcPr>
          <w:p w14:paraId="3959C19F" w14:textId="77777777" w:rsidR="00FA4AA8" w:rsidRDefault="00FA4AA8">
            <w:pPr>
              <w:pStyle w:val="TableParagraph"/>
              <w:rPr>
                <w:rFonts w:ascii="Times New Roman"/>
                <w:sz w:val="18"/>
              </w:rPr>
            </w:pPr>
          </w:p>
        </w:tc>
        <w:tc>
          <w:tcPr>
            <w:tcW w:w="1421" w:type="dxa"/>
          </w:tcPr>
          <w:p w14:paraId="4365CD39" w14:textId="77777777" w:rsidR="00FA4AA8" w:rsidRDefault="00FA4AA8">
            <w:pPr>
              <w:pStyle w:val="TableParagraph"/>
              <w:rPr>
                <w:rFonts w:ascii="Times New Roman"/>
                <w:sz w:val="18"/>
              </w:rPr>
            </w:pPr>
          </w:p>
        </w:tc>
        <w:tc>
          <w:tcPr>
            <w:tcW w:w="1217" w:type="dxa"/>
          </w:tcPr>
          <w:p w14:paraId="337EE318" w14:textId="77777777" w:rsidR="00FA4AA8" w:rsidRDefault="00FA4AA8">
            <w:pPr>
              <w:pStyle w:val="TableParagraph"/>
              <w:rPr>
                <w:rFonts w:ascii="Times New Roman"/>
                <w:sz w:val="18"/>
              </w:rPr>
            </w:pPr>
          </w:p>
        </w:tc>
        <w:tc>
          <w:tcPr>
            <w:tcW w:w="1217" w:type="dxa"/>
          </w:tcPr>
          <w:p w14:paraId="25DACBF7" w14:textId="77777777" w:rsidR="00FA4AA8" w:rsidRDefault="00FA4AA8">
            <w:pPr>
              <w:pStyle w:val="TableParagraph"/>
              <w:rPr>
                <w:rFonts w:ascii="Times New Roman"/>
                <w:sz w:val="18"/>
              </w:rPr>
            </w:pPr>
          </w:p>
        </w:tc>
        <w:tc>
          <w:tcPr>
            <w:tcW w:w="1014" w:type="dxa"/>
          </w:tcPr>
          <w:p w14:paraId="55CF77B4" w14:textId="77777777" w:rsidR="00FA4AA8" w:rsidRDefault="00FA4AA8">
            <w:pPr>
              <w:pStyle w:val="TableParagraph"/>
              <w:rPr>
                <w:rFonts w:ascii="Times New Roman"/>
                <w:sz w:val="18"/>
              </w:rPr>
            </w:pPr>
          </w:p>
        </w:tc>
      </w:tr>
      <w:tr w:rsidR="00FA4AA8" w14:paraId="5BEFC7B6" w14:textId="77777777">
        <w:trPr>
          <w:trHeight w:val="247"/>
        </w:trPr>
        <w:tc>
          <w:tcPr>
            <w:tcW w:w="3895" w:type="dxa"/>
          </w:tcPr>
          <w:p w14:paraId="3808C34D" w14:textId="77777777" w:rsidR="00FA4AA8" w:rsidRDefault="0015611F">
            <w:pPr>
              <w:pStyle w:val="TableParagraph"/>
              <w:spacing w:before="10"/>
              <w:ind w:left="57"/>
              <w:rPr>
                <w:sz w:val="18"/>
              </w:rPr>
            </w:pPr>
            <w:r>
              <w:rPr>
                <w:sz w:val="18"/>
              </w:rPr>
              <w:t>Employee benefits</w:t>
            </w:r>
          </w:p>
        </w:tc>
        <w:tc>
          <w:tcPr>
            <w:tcW w:w="773" w:type="dxa"/>
          </w:tcPr>
          <w:p w14:paraId="433936B1" w14:textId="77777777" w:rsidR="00FA4AA8" w:rsidRDefault="00FA4AA8">
            <w:pPr>
              <w:pStyle w:val="TableParagraph"/>
              <w:rPr>
                <w:rFonts w:ascii="Times New Roman"/>
                <w:sz w:val="18"/>
              </w:rPr>
            </w:pPr>
          </w:p>
        </w:tc>
        <w:tc>
          <w:tcPr>
            <w:tcW w:w="1421" w:type="dxa"/>
          </w:tcPr>
          <w:p w14:paraId="04F3F65A" w14:textId="77777777" w:rsidR="00FA4AA8" w:rsidRDefault="00FA4AA8">
            <w:pPr>
              <w:pStyle w:val="TableParagraph"/>
              <w:rPr>
                <w:rFonts w:ascii="Times New Roman"/>
                <w:sz w:val="18"/>
              </w:rPr>
            </w:pPr>
          </w:p>
        </w:tc>
        <w:tc>
          <w:tcPr>
            <w:tcW w:w="1217" w:type="dxa"/>
          </w:tcPr>
          <w:p w14:paraId="1E3E8A34" w14:textId="77777777" w:rsidR="00FA4AA8" w:rsidRDefault="00FA4AA8">
            <w:pPr>
              <w:pStyle w:val="TableParagraph"/>
              <w:rPr>
                <w:rFonts w:ascii="Times New Roman"/>
                <w:sz w:val="18"/>
              </w:rPr>
            </w:pPr>
          </w:p>
        </w:tc>
        <w:tc>
          <w:tcPr>
            <w:tcW w:w="1217" w:type="dxa"/>
          </w:tcPr>
          <w:p w14:paraId="6048A682" w14:textId="77777777" w:rsidR="00FA4AA8" w:rsidRDefault="00FA4AA8">
            <w:pPr>
              <w:pStyle w:val="TableParagraph"/>
              <w:rPr>
                <w:rFonts w:ascii="Times New Roman"/>
                <w:sz w:val="18"/>
              </w:rPr>
            </w:pPr>
          </w:p>
        </w:tc>
        <w:tc>
          <w:tcPr>
            <w:tcW w:w="1014" w:type="dxa"/>
          </w:tcPr>
          <w:p w14:paraId="5E28BD37" w14:textId="77777777" w:rsidR="00FA4AA8" w:rsidRDefault="00FA4AA8">
            <w:pPr>
              <w:pStyle w:val="TableParagraph"/>
              <w:rPr>
                <w:rFonts w:ascii="Times New Roman"/>
                <w:sz w:val="18"/>
              </w:rPr>
            </w:pPr>
          </w:p>
        </w:tc>
      </w:tr>
      <w:tr w:rsidR="00FA4AA8" w14:paraId="65BDF1A1" w14:textId="77777777">
        <w:trPr>
          <w:trHeight w:val="264"/>
        </w:trPr>
        <w:tc>
          <w:tcPr>
            <w:tcW w:w="3895" w:type="dxa"/>
          </w:tcPr>
          <w:p w14:paraId="18CD7E11" w14:textId="77777777" w:rsidR="00FA4AA8" w:rsidRDefault="0015611F">
            <w:pPr>
              <w:pStyle w:val="TableParagraph"/>
              <w:spacing w:before="26"/>
              <w:ind w:left="198"/>
              <w:rPr>
                <w:sz w:val="18"/>
              </w:rPr>
            </w:pPr>
            <w:r>
              <w:rPr>
                <w:sz w:val="18"/>
              </w:rPr>
              <w:t>Annual leave</w:t>
            </w:r>
          </w:p>
        </w:tc>
        <w:tc>
          <w:tcPr>
            <w:tcW w:w="773" w:type="dxa"/>
          </w:tcPr>
          <w:p w14:paraId="1E6A09B3" w14:textId="77777777" w:rsidR="00FA4AA8" w:rsidRDefault="00FA4AA8">
            <w:pPr>
              <w:pStyle w:val="TableParagraph"/>
              <w:rPr>
                <w:rFonts w:ascii="Times New Roman"/>
                <w:sz w:val="18"/>
              </w:rPr>
            </w:pPr>
          </w:p>
        </w:tc>
        <w:tc>
          <w:tcPr>
            <w:tcW w:w="1421" w:type="dxa"/>
          </w:tcPr>
          <w:p w14:paraId="6502E25B" w14:textId="77777777" w:rsidR="00FA4AA8" w:rsidRDefault="0015611F">
            <w:pPr>
              <w:pStyle w:val="TableParagraph"/>
              <w:spacing w:before="24"/>
              <w:ind w:right="212"/>
              <w:jc w:val="right"/>
              <w:rPr>
                <w:b/>
                <w:sz w:val="18"/>
              </w:rPr>
            </w:pPr>
            <w:r>
              <w:rPr>
                <w:b/>
                <w:sz w:val="18"/>
              </w:rPr>
              <w:t>22,530</w:t>
            </w:r>
          </w:p>
        </w:tc>
        <w:tc>
          <w:tcPr>
            <w:tcW w:w="1217" w:type="dxa"/>
          </w:tcPr>
          <w:p w14:paraId="3AB29E17" w14:textId="77777777" w:rsidR="00FA4AA8" w:rsidRDefault="0015611F">
            <w:pPr>
              <w:pStyle w:val="TableParagraph"/>
              <w:spacing w:before="24"/>
              <w:ind w:right="296"/>
              <w:jc w:val="right"/>
              <w:rPr>
                <w:sz w:val="18"/>
              </w:rPr>
            </w:pPr>
            <w:r>
              <w:rPr>
                <w:sz w:val="18"/>
              </w:rPr>
              <w:t>22,707</w:t>
            </w:r>
          </w:p>
        </w:tc>
        <w:tc>
          <w:tcPr>
            <w:tcW w:w="1217" w:type="dxa"/>
          </w:tcPr>
          <w:p w14:paraId="7167BACF" w14:textId="77777777" w:rsidR="00FA4AA8" w:rsidRDefault="0015611F">
            <w:pPr>
              <w:pStyle w:val="TableParagraph"/>
              <w:spacing w:before="24"/>
              <w:ind w:right="212"/>
              <w:jc w:val="right"/>
              <w:rPr>
                <w:b/>
                <w:sz w:val="18"/>
              </w:rPr>
            </w:pPr>
            <w:r>
              <w:rPr>
                <w:b/>
                <w:sz w:val="18"/>
              </w:rPr>
              <w:t>20,852</w:t>
            </w:r>
          </w:p>
        </w:tc>
        <w:tc>
          <w:tcPr>
            <w:tcW w:w="1014" w:type="dxa"/>
          </w:tcPr>
          <w:p w14:paraId="33768AF7" w14:textId="77777777" w:rsidR="00FA4AA8" w:rsidRDefault="0015611F">
            <w:pPr>
              <w:pStyle w:val="TableParagraph"/>
              <w:spacing w:before="24"/>
              <w:ind w:right="94"/>
              <w:jc w:val="right"/>
              <w:rPr>
                <w:sz w:val="18"/>
              </w:rPr>
            </w:pPr>
            <w:r>
              <w:rPr>
                <w:sz w:val="18"/>
              </w:rPr>
              <w:t>20,876</w:t>
            </w:r>
          </w:p>
        </w:tc>
      </w:tr>
      <w:tr w:rsidR="00FA4AA8" w14:paraId="76008EAF" w14:textId="77777777">
        <w:trPr>
          <w:trHeight w:val="256"/>
        </w:trPr>
        <w:tc>
          <w:tcPr>
            <w:tcW w:w="3895" w:type="dxa"/>
          </w:tcPr>
          <w:p w14:paraId="42EBADC4" w14:textId="77777777" w:rsidR="00FA4AA8" w:rsidRDefault="0015611F">
            <w:pPr>
              <w:pStyle w:val="TableParagraph"/>
              <w:spacing w:before="26"/>
              <w:ind w:left="198"/>
              <w:rPr>
                <w:sz w:val="18"/>
              </w:rPr>
            </w:pPr>
            <w:r>
              <w:rPr>
                <w:sz w:val="18"/>
              </w:rPr>
              <w:t>Long service leave</w:t>
            </w:r>
          </w:p>
        </w:tc>
        <w:tc>
          <w:tcPr>
            <w:tcW w:w="773" w:type="dxa"/>
          </w:tcPr>
          <w:p w14:paraId="667610D7" w14:textId="77777777" w:rsidR="00FA4AA8" w:rsidRDefault="00FA4AA8">
            <w:pPr>
              <w:pStyle w:val="TableParagraph"/>
              <w:rPr>
                <w:rFonts w:ascii="Times New Roman"/>
                <w:sz w:val="18"/>
              </w:rPr>
            </w:pPr>
          </w:p>
        </w:tc>
        <w:tc>
          <w:tcPr>
            <w:tcW w:w="1421" w:type="dxa"/>
            <w:tcBorders>
              <w:bottom w:val="single" w:sz="8" w:space="0" w:color="000000"/>
            </w:tcBorders>
          </w:tcPr>
          <w:p w14:paraId="5A7103BC" w14:textId="77777777" w:rsidR="00FA4AA8" w:rsidRDefault="0015611F">
            <w:pPr>
              <w:pStyle w:val="TableParagraph"/>
              <w:spacing w:before="24"/>
              <w:ind w:right="212"/>
              <w:jc w:val="right"/>
              <w:rPr>
                <w:b/>
                <w:sz w:val="18"/>
              </w:rPr>
            </w:pPr>
            <w:r>
              <w:rPr>
                <w:b/>
                <w:sz w:val="18"/>
              </w:rPr>
              <w:t>6,509</w:t>
            </w:r>
          </w:p>
        </w:tc>
        <w:tc>
          <w:tcPr>
            <w:tcW w:w="1217" w:type="dxa"/>
            <w:tcBorders>
              <w:bottom w:val="single" w:sz="8" w:space="0" w:color="000000"/>
            </w:tcBorders>
          </w:tcPr>
          <w:p w14:paraId="3CA93843" w14:textId="77777777" w:rsidR="00FA4AA8" w:rsidRDefault="0015611F">
            <w:pPr>
              <w:pStyle w:val="TableParagraph"/>
              <w:spacing w:before="24"/>
              <w:ind w:right="296"/>
              <w:jc w:val="right"/>
              <w:rPr>
                <w:sz w:val="18"/>
              </w:rPr>
            </w:pPr>
            <w:r>
              <w:rPr>
                <w:sz w:val="18"/>
              </w:rPr>
              <w:t>9,517</w:t>
            </w:r>
          </w:p>
        </w:tc>
        <w:tc>
          <w:tcPr>
            <w:tcW w:w="1217" w:type="dxa"/>
            <w:tcBorders>
              <w:bottom w:val="single" w:sz="8" w:space="0" w:color="000000"/>
            </w:tcBorders>
          </w:tcPr>
          <w:p w14:paraId="42E02A92" w14:textId="77777777" w:rsidR="00FA4AA8" w:rsidRDefault="0015611F">
            <w:pPr>
              <w:pStyle w:val="TableParagraph"/>
              <w:spacing w:before="24"/>
              <w:ind w:right="212"/>
              <w:jc w:val="right"/>
              <w:rPr>
                <w:b/>
                <w:sz w:val="18"/>
              </w:rPr>
            </w:pPr>
            <w:r>
              <w:rPr>
                <w:b/>
                <w:sz w:val="18"/>
              </w:rPr>
              <w:t>6,234</w:t>
            </w:r>
          </w:p>
        </w:tc>
        <w:tc>
          <w:tcPr>
            <w:tcW w:w="1014" w:type="dxa"/>
            <w:tcBorders>
              <w:bottom w:val="single" w:sz="8" w:space="0" w:color="000000"/>
            </w:tcBorders>
          </w:tcPr>
          <w:p w14:paraId="2CCE00C7" w14:textId="77777777" w:rsidR="00FA4AA8" w:rsidRDefault="0015611F">
            <w:pPr>
              <w:pStyle w:val="TableParagraph"/>
              <w:spacing w:before="24"/>
              <w:ind w:right="94"/>
              <w:jc w:val="right"/>
              <w:rPr>
                <w:sz w:val="18"/>
              </w:rPr>
            </w:pPr>
            <w:r>
              <w:rPr>
                <w:sz w:val="18"/>
              </w:rPr>
              <w:t>8,987</w:t>
            </w:r>
          </w:p>
        </w:tc>
      </w:tr>
      <w:tr w:rsidR="00FA4AA8" w14:paraId="4D729652" w14:textId="77777777">
        <w:trPr>
          <w:trHeight w:val="318"/>
        </w:trPr>
        <w:tc>
          <w:tcPr>
            <w:tcW w:w="3895" w:type="dxa"/>
          </w:tcPr>
          <w:p w14:paraId="0E6EB8DA" w14:textId="77777777" w:rsidR="00FA4AA8" w:rsidRDefault="00FA4AA8">
            <w:pPr>
              <w:pStyle w:val="TableParagraph"/>
              <w:rPr>
                <w:rFonts w:ascii="Times New Roman"/>
                <w:sz w:val="18"/>
              </w:rPr>
            </w:pPr>
          </w:p>
        </w:tc>
        <w:tc>
          <w:tcPr>
            <w:tcW w:w="773" w:type="dxa"/>
          </w:tcPr>
          <w:p w14:paraId="48B63E9D" w14:textId="77777777" w:rsidR="00FA4AA8" w:rsidRDefault="00FA4AA8">
            <w:pPr>
              <w:pStyle w:val="TableParagraph"/>
              <w:rPr>
                <w:rFonts w:ascii="Times New Roman"/>
                <w:sz w:val="18"/>
              </w:rPr>
            </w:pPr>
          </w:p>
        </w:tc>
        <w:tc>
          <w:tcPr>
            <w:tcW w:w="1421" w:type="dxa"/>
            <w:tcBorders>
              <w:top w:val="single" w:sz="8" w:space="0" w:color="000000"/>
              <w:bottom w:val="single" w:sz="8" w:space="0" w:color="000000"/>
            </w:tcBorders>
          </w:tcPr>
          <w:p w14:paraId="128CE873" w14:textId="77777777" w:rsidR="00FA4AA8" w:rsidRDefault="0015611F">
            <w:pPr>
              <w:pStyle w:val="TableParagraph"/>
              <w:spacing w:before="115" w:line="183" w:lineRule="exact"/>
              <w:ind w:right="212"/>
              <w:jc w:val="right"/>
              <w:rPr>
                <w:b/>
                <w:sz w:val="18"/>
              </w:rPr>
            </w:pPr>
            <w:r>
              <w:rPr>
                <w:b/>
                <w:sz w:val="18"/>
              </w:rPr>
              <w:t>29,039</w:t>
            </w:r>
          </w:p>
        </w:tc>
        <w:tc>
          <w:tcPr>
            <w:tcW w:w="1217" w:type="dxa"/>
            <w:tcBorders>
              <w:top w:val="single" w:sz="8" w:space="0" w:color="000000"/>
              <w:bottom w:val="single" w:sz="8" w:space="0" w:color="000000"/>
            </w:tcBorders>
          </w:tcPr>
          <w:p w14:paraId="42BE4E55" w14:textId="77777777" w:rsidR="00FA4AA8" w:rsidRDefault="0015611F">
            <w:pPr>
              <w:pStyle w:val="TableParagraph"/>
              <w:spacing w:before="115" w:line="183" w:lineRule="exact"/>
              <w:ind w:right="296"/>
              <w:jc w:val="right"/>
              <w:rPr>
                <w:sz w:val="18"/>
              </w:rPr>
            </w:pPr>
            <w:r>
              <w:rPr>
                <w:sz w:val="18"/>
              </w:rPr>
              <w:t>32,224</w:t>
            </w:r>
          </w:p>
        </w:tc>
        <w:tc>
          <w:tcPr>
            <w:tcW w:w="1217" w:type="dxa"/>
            <w:tcBorders>
              <w:top w:val="single" w:sz="8" w:space="0" w:color="000000"/>
              <w:bottom w:val="single" w:sz="8" w:space="0" w:color="000000"/>
            </w:tcBorders>
          </w:tcPr>
          <w:p w14:paraId="19CFE275" w14:textId="77777777" w:rsidR="00FA4AA8" w:rsidRDefault="0015611F">
            <w:pPr>
              <w:pStyle w:val="TableParagraph"/>
              <w:spacing w:before="115" w:line="183" w:lineRule="exact"/>
              <w:ind w:right="212"/>
              <w:jc w:val="right"/>
              <w:rPr>
                <w:b/>
                <w:sz w:val="18"/>
              </w:rPr>
            </w:pPr>
            <w:r>
              <w:rPr>
                <w:b/>
                <w:sz w:val="18"/>
              </w:rPr>
              <w:t>27,086</w:t>
            </w:r>
          </w:p>
        </w:tc>
        <w:tc>
          <w:tcPr>
            <w:tcW w:w="1014" w:type="dxa"/>
            <w:tcBorders>
              <w:top w:val="single" w:sz="8" w:space="0" w:color="000000"/>
              <w:bottom w:val="single" w:sz="8" w:space="0" w:color="000000"/>
            </w:tcBorders>
          </w:tcPr>
          <w:p w14:paraId="572F523B" w14:textId="77777777" w:rsidR="00FA4AA8" w:rsidRDefault="0015611F">
            <w:pPr>
              <w:pStyle w:val="TableParagraph"/>
              <w:spacing w:before="115" w:line="183" w:lineRule="exact"/>
              <w:ind w:right="94"/>
              <w:jc w:val="right"/>
              <w:rPr>
                <w:sz w:val="18"/>
              </w:rPr>
            </w:pPr>
            <w:r>
              <w:rPr>
                <w:sz w:val="18"/>
              </w:rPr>
              <w:t>29,863</w:t>
            </w:r>
          </w:p>
        </w:tc>
      </w:tr>
      <w:tr w:rsidR="00FA4AA8" w14:paraId="78EAB9D2" w14:textId="77777777">
        <w:trPr>
          <w:trHeight w:val="544"/>
        </w:trPr>
        <w:tc>
          <w:tcPr>
            <w:tcW w:w="3895" w:type="dxa"/>
          </w:tcPr>
          <w:p w14:paraId="3FFDAF6A" w14:textId="77777777" w:rsidR="00FA4AA8" w:rsidRDefault="0015611F">
            <w:pPr>
              <w:pStyle w:val="TableParagraph"/>
              <w:spacing w:before="119" w:line="206" w:lineRule="exact"/>
              <w:ind w:left="57" w:right="267"/>
              <w:rPr>
                <w:b/>
                <w:sz w:val="18"/>
              </w:rPr>
            </w:pPr>
            <w:r>
              <w:rPr>
                <w:b/>
                <w:sz w:val="18"/>
              </w:rPr>
              <w:t>Current provisions expected to be settled after more than 12 months</w:t>
            </w:r>
          </w:p>
        </w:tc>
        <w:tc>
          <w:tcPr>
            <w:tcW w:w="773" w:type="dxa"/>
          </w:tcPr>
          <w:p w14:paraId="023F575E" w14:textId="77777777" w:rsidR="00FA4AA8" w:rsidRDefault="00FA4AA8">
            <w:pPr>
              <w:pStyle w:val="TableParagraph"/>
              <w:rPr>
                <w:rFonts w:ascii="Times New Roman"/>
                <w:sz w:val="18"/>
              </w:rPr>
            </w:pPr>
          </w:p>
        </w:tc>
        <w:tc>
          <w:tcPr>
            <w:tcW w:w="1421" w:type="dxa"/>
            <w:tcBorders>
              <w:top w:val="single" w:sz="8" w:space="0" w:color="000000"/>
            </w:tcBorders>
          </w:tcPr>
          <w:p w14:paraId="53076D2A" w14:textId="77777777" w:rsidR="00FA4AA8" w:rsidRDefault="00FA4AA8">
            <w:pPr>
              <w:pStyle w:val="TableParagraph"/>
              <w:rPr>
                <w:rFonts w:ascii="Times New Roman"/>
                <w:sz w:val="18"/>
              </w:rPr>
            </w:pPr>
          </w:p>
        </w:tc>
        <w:tc>
          <w:tcPr>
            <w:tcW w:w="1217" w:type="dxa"/>
            <w:tcBorders>
              <w:top w:val="single" w:sz="8" w:space="0" w:color="000000"/>
            </w:tcBorders>
          </w:tcPr>
          <w:p w14:paraId="5EF3D10E" w14:textId="77777777" w:rsidR="00FA4AA8" w:rsidRDefault="00FA4AA8">
            <w:pPr>
              <w:pStyle w:val="TableParagraph"/>
              <w:rPr>
                <w:rFonts w:ascii="Times New Roman"/>
                <w:sz w:val="18"/>
              </w:rPr>
            </w:pPr>
          </w:p>
        </w:tc>
        <w:tc>
          <w:tcPr>
            <w:tcW w:w="1217" w:type="dxa"/>
            <w:tcBorders>
              <w:top w:val="single" w:sz="8" w:space="0" w:color="000000"/>
            </w:tcBorders>
          </w:tcPr>
          <w:p w14:paraId="4AA7ED09" w14:textId="77777777" w:rsidR="00FA4AA8" w:rsidRDefault="00FA4AA8">
            <w:pPr>
              <w:pStyle w:val="TableParagraph"/>
              <w:rPr>
                <w:rFonts w:ascii="Times New Roman"/>
                <w:sz w:val="18"/>
              </w:rPr>
            </w:pPr>
          </w:p>
        </w:tc>
        <w:tc>
          <w:tcPr>
            <w:tcW w:w="1014" w:type="dxa"/>
            <w:tcBorders>
              <w:top w:val="single" w:sz="8" w:space="0" w:color="000000"/>
            </w:tcBorders>
          </w:tcPr>
          <w:p w14:paraId="273D6224" w14:textId="77777777" w:rsidR="00FA4AA8" w:rsidRDefault="00FA4AA8">
            <w:pPr>
              <w:pStyle w:val="TableParagraph"/>
              <w:rPr>
                <w:rFonts w:ascii="Times New Roman"/>
                <w:sz w:val="18"/>
              </w:rPr>
            </w:pPr>
          </w:p>
        </w:tc>
      </w:tr>
      <w:tr w:rsidR="00FA4AA8" w14:paraId="70A16D80" w14:textId="77777777">
        <w:trPr>
          <w:trHeight w:val="247"/>
        </w:trPr>
        <w:tc>
          <w:tcPr>
            <w:tcW w:w="3895" w:type="dxa"/>
          </w:tcPr>
          <w:p w14:paraId="5FE796B6" w14:textId="77777777" w:rsidR="00FA4AA8" w:rsidRDefault="0015611F">
            <w:pPr>
              <w:pStyle w:val="TableParagraph"/>
              <w:spacing w:before="10"/>
              <w:ind w:left="57"/>
              <w:rPr>
                <w:sz w:val="18"/>
              </w:rPr>
            </w:pPr>
            <w:r>
              <w:rPr>
                <w:sz w:val="18"/>
              </w:rPr>
              <w:t>Employee benefits</w:t>
            </w:r>
          </w:p>
        </w:tc>
        <w:tc>
          <w:tcPr>
            <w:tcW w:w="773" w:type="dxa"/>
          </w:tcPr>
          <w:p w14:paraId="528DB3D6" w14:textId="77777777" w:rsidR="00FA4AA8" w:rsidRDefault="00FA4AA8">
            <w:pPr>
              <w:pStyle w:val="TableParagraph"/>
              <w:rPr>
                <w:rFonts w:ascii="Times New Roman"/>
                <w:sz w:val="18"/>
              </w:rPr>
            </w:pPr>
          </w:p>
        </w:tc>
        <w:tc>
          <w:tcPr>
            <w:tcW w:w="1421" w:type="dxa"/>
          </w:tcPr>
          <w:p w14:paraId="2138EBEA" w14:textId="77777777" w:rsidR="00FA4AA8" w:rsidRDefault="00FA4AA8">
            <w:pPr>
              <w:pStyle w:val="TableParagraph"/>
              <w:rPr>
                <w:rFonts w:ascii="Times New Roman"/>
                <w:sz w:val="18"/>
              </w:rPr>
            </w:pPr>
          </w:p>
        </w:tc>
        <w:tc>
          <w:tcPr>
            <w:tcW w:w="1217" w:type="dxa"/>
          </w:tcPr>
          <w:p w14:paraId="1FBF3B50" w14:textId="77777777" w:rsidR="00FA4AA8" w:rsidRDefault="00FA4AA8">
            <w:pPr>
              <w:pStyle w:val="TableParagraph"/>
              <w:rPr>
                <w:rFonts w:ascii="Times New Roman"/>
                <w:sz w:val="18"/>
              </w:rPr>
            </w:pPr>
          </w:p>
        </w:tc>
        <w:tc>
          <w:tcPr>
            <w:tcW w:w="1217" w:type="dxa"/>
          </w:tcPr>
          <w:p w14:paraId="06533499" w14:textId="77777777" w:rsidR="00FA4AA8" w:rsidRDefault="00FA4AA8">
            <w:pPr>
              <w:pStyle w:val="TableParagraph"/>
              <w:rPr>
                <w:rFonts w:ascii="Times New Roman"/>
                <w:sz w:val="18"/>
              </w:rPr>
            </w:pPr>
          </w:p>
        </w:tc>
        <w:tc>
          <w:tcPr>
            <w:tcW w:w="1014" w:type="dxa"/>
          </w:tcPr>
          <w:p w14:paraId="41157E77" w14:textId="77777777" w:rsidR="00FA4AA8" w:rsidRDefault="00FA4AA8">
            <w:pPr>
              <w:pStyle w:val="TableParagraph"/>
              <w:rPr>
                <w:rFonts w:ascii="Times New Roman"/>
                <w:sz w:val="18"/>
              </w:rPr>
            </w:pPr>
          </w:p>
        </w:tc>
      </w:tr>
      <w:tr w:rsidR="00FA4AA8" w14:paraId="072736EE" w14:textId="77777777">
        <w:trPr>
          <w:trHeight w:val="263"/>
        </w:trPr>
        <w:tc>
          <w:tcPr>
            <w:tcW w:w="3895" w:type="dxa"/>
          </w:tcPr>
          <w:p w14:paraId="7BF2B245" w14:textId="77777777" w:rsidR="00FA4AA8" w:rsidRDefault="0015611F">
            <w:pPr>
              <w:pStyle w:val="TableParagraph"/>
              <w:spacing w:before="26"/>
              <w:ind w:left="198"/>
              <w:rPr>
                <w:sz w:val="18"/>
              </w:rPr>
            </w:pPr>
            <w:r>
              <w:rPr>
                <w:sz w:val="18"/>
              </w:rPr>
              <w:t>Annual leave</w:t>
            </w:r>
          </w:p>
        </w:tc>
        <w:tc>
          <w:tcPr>
            <w:tcW w:w="773" w:type="dxa"/>
          </w:tcPr>
          <w:p w14:paraId="28ADFB20" w14:textId="77777777" w:rsidR="00FA4AA8" w:rsidRDefault="00FA4AA8">
            <w:pPr>
              <w:pStyle w:val="TableParagraph"/>
              <w:rPr>
                <w:rFonts w:ascii="Times New Roman"/>
                <w:sz w:val="18"/>
              </w:rPr>
            </w:pPr>
          </w:p>
        </w:tc>
        <w:tc>
          <w:tcPr>
            <w:tcW w:w="1421" w:type="dxa"/>
          </w:tcPr>
          <w:p w14:paraId="3587D06B" w14:textId="77777777" w:rsidR="00FA4AA8" w:rsidRDefault="0015611F">
            <w:pPr>
              <w:pStyle w:val="TableParagraph"/>
              <w:spacing w:before="24"/>
              <w:ind w:right="212"/>
              <w:jc w:val="right"/>
              <w:rPr>
                <w:b/>
                <w:sz w:val="18"/>
              </w:rPr>
            </w:pPr>
            <w:r>
              <w:rPr>
                <w:b/>
                <w:sz w:val="18"/>
              </w:rPr>
              <w:t>10,699</w:t>
            </w:r>
          </w:p>
        </w:tc>
        <w:tc>
          <w:tcPr>
            <w:tcW w:w="1217" w:type="dxa"/>
          </w:tcPr>
          <w:p w14:paraId="365371E3" w14:textId="77777777" w:rsidR="00FA4AA8" w:rsidRDefault="0015611F">
            <w:pPr>
              <w:pStyle w:val="TableParagraph"/>
              <w:spacing w:before="24"/>
              <w:ind w:right="296"/>
              <w:jc w:val="right"/>
              <w:rPr>
                <w:sz w:val="18"/>
              </w:rPr>
            </w:pPr>
            <w:r>
              <w:rPr>
                <w:sz w:val="18"/>
              </w:rPr>
              <w:t>6,831</w:t>
            </w:r>
          </w:p>
        </w:tc>
        <w:tc>
          <w:tcPr>
            <w:tcW w:w="1217" w:type="dxa"/>
          </w:tcPr>
          <w:p w14:paraId="3A44E336" w14:textId="77777777" w:rsidR="00FA4AA8" w:rsidRDefault="0015611F">
            <w:pPr>
              <w:pStyle w:val="TableParagraph"/>
              <w:spacing w:before="24"/>
              <w:ind w:right="212"/>
              <w:jc w:val="right"/>
              <w:rPr>
                <w:b/>
                <w:sz w:val="18"/>
              </w:rPr>
            </w:pPr>
            <w:r>
              <w:rPr>
                <w:b/>
                <w:sz w:val="18"/>
              </w:rPr>
              <w:t>10,479</w:t>
            </w:r>
          </w:p>
        </w:tc>
        <w:tc>
          <w:tcPr>
            <w:tcW w:w="1014" w:type="dxa"/>
          </w:tcPr>
          <w:p w14:paraId="7FCD6EF9" w14:textId="77777777" w:rsidR="00FA4AA8" w:rsidRDefault="0015611F">
            <w:pPr>
              <w:pStyle w:val="TableParagraph"/>
              <w:spacing w:before="24"/>
              <w:ind w:right="94"/>
              <w:jc w:val="right"/>
              <w:rPr>
                <w:sz w:val="18"/>
              </w:rPr>
            </w:pPr>
            <w:r>
              <w:rPr>
                <w:sz w:val="18"/>
              </w:rPr>
              <w:t>6,582</w:t>
            </w:r>
          </w:p>
        </w:tc>
      </w:tr>
      <w:tr w:rsidR="00FA4AA8" w14:paraId="0D5721D2" w14:textId="77777777">
        <w:trPr>
          <w:trHeight w:val="256"/>
        </w:trPr>
        <w:tc>
          <w:tcPr>
            <w:tcW w:w="3895" w:type="dxa"/>
          </w:tcPr>
          <w:p w14:paraId="0672EE4E" w14:textId="77777777" w:rsidR="00FA4AA8" w:rsidRDefault="0015611F">
            <w:pPr>
              <w:pStyle w:val="TableParagraph"/>
              <w:spacing w:before="26"/>
              <w:ind w:left="198"/>
              <w:rPr>
                <w:sz w:val="18"/>
              </w:rPr>
            </w:pPr>
            <w:r>
              <w:rPr>
                <w:sz w:val="18"/>
              </w:rPr>
              <w:t>Long service leave</w:t>
            </w:r>
          </w:p>
        </w:tc>
        <w:tc>
          <w:tcPr>
            <w:tcW w:w="773" w:type="dxa"/>
          </w:tcPr>
          <w:p w14:paraId="022CCF67" w14:textId="77777777" w:rsidR="00FA4AA8" w:rsidRDefault="00FA4AA8">
            <w:pPr>
              <w:pStyle w:val="TableParagraph"/>
              <w:rPr>
                <w:rFonts w:ascii="Times New Roman"/>
                <w:sz w:val="18"/>
              </w:rPr>
            </w:pPr>
          </w:p>
        </w:tc>
        <w:tc>
          <w:tcPr>
            <w:tcW w:w="1421" w:type="dxa"/>
            <w:tcBorders>
              <w:bottom w:val="single" w:sz="8" w:space="0" w:color="000000"/>
            </w:tcBorders>
          </w:tcPr>
          <w:p w14:paraId="0C1D4437" w14:textId="77777777" w:rsidR="00FA4AA8" w:rsidRDefault="0015611F">
            <w:pPr>
              <w:pStyle w:val="TableParagraph"/>
              <w:spacing w:before="24"/>
              <w:ind w:right="212"/>
              <w:jc w:val="right"/>
              <w:rPr>
                <w:b/>
                <w:sz w:val="18"/>
              </w:rPr>
            </w:pPr>
            <w:r>
              <w:rPr>
                <w:b/>
                <w:sz w:val="18"/>
              </w:rPr>
              <w:t>40,321</w:t>
            </w:r>
          </w:p>
        </w:tc>
        <w:tc>
          <w:tcPr>
            <w:tcW w:w="1217" w:type="dxa"/>
            <w:tcBorders>
              <w:bottom w:val="single" w:sz="8" w:space="0" w:color="000000"/>
            </w:tcBorders>
          </w:tcPr>
          <w:p w14:paraId="59CEA263" w14:textId="77777777" w:rsidR="00FA4AA8" w:rsidRDefault="0015611F">
            <w:pPr>
              <w:pStyle w:val="TableParagraph"/>
              <w:spacing w:before="24"/>
              <w:ind w:right="296"/>
              <w:jc w:val="right"/>
              <w:rPr>
                <w:sz w:val="18"/>
              </w:rPr>
            </w:pPr>
            <w:r>
              <w:rPr>
                <w:sz w:val="18"/>
              </w:rPr>
              <w:t>33,826</w:t>
            </w:r>
          </w:p>
        </w:tc>
        <w:tc>
          <w:tcPr>
            <w:tcW w:w="1217" w:type="dxa"/>
            <w:tcBorders>
              <w:bottom w:val="single" w:sz="8" w:space="0" w:color="000000"/>
            </w:tcBorders>
          </w:tcPr>
          <w:p w14:paraId="67388778" w14:textId="77777777" w:rsidR="00FA4AA8" w:rsidRDefault="0015611F">
            <w:pPr>
              <w:pStyle w:val="TableParagraph"/>
              <w:spacing w:before="24"/>
              <w:ind w:right="212"/>
              <w:jc w:val="right"/>
              <w:rPr>
                <w:b/>
                <w:sz w:val="18"/>
              </w:rPr>
            </w:pPr>
            <w:r>
              <w:rPr>
                <w:b/>
                <w:sz w:val="18"/>
              </w:rPr>
              <w:t>39,614</w:t>
            </w:r>
          </w:p>
        </w:tc>
        <w:tc>
          <w:tcPr>
            <w:tcW w:w="1014" w:type="dxa"/>
            <w:tcBorders>
              <w:bottom w:val="single" w:sz="8" w:space="0" w:color="000000"/>
            </w:tcBorders>
          </w:tcPr>
          <w:p w14:paraId="7EB1FD80" w14:textId="77777777" w:rsidR="00FA4AA8" w:rsidRDefault="0015611F">
            <w:pPr>
              <w:pStyle w:val="TableParagraph"/>
              <w:spacing w:before="24"/>
              <w:ind w:right="94"/>
              <w:jc w:val="right"/>
              <w:rPr>
                <w:sz w:val="18"/>
              </w:rPr>
            </w:pPr>
            <w:r>
              <w:rPr>
                <w:sz w:val="18"/>
              </w:rPr>
              <w:t>33,282</w:t>
            </w:r>
          </w:p>
        </w:tc>
      </w:tr>
      <w:tr w:rsidR="00FA4AA8" w14:paraId="0F1FAC4E" w14:textId="77777777">
        <w:trPr>
          <w:trHeight w:val="318"/>
        </w:trPr>
        <w:tc>
          <w:tcPr>
            <w:tcW w:w="3895" w:type="dxa"/>
          </w:tcPr>
          <w:p w14:paraId="62B934C0" w14:textId="77777777" w:rsidR="00FA4AA8" w:rsidRDefault="00FA4AA8">
            <w:pPr>
              <w:pStyle w:val="TableParagraph"/>
              <w:rPr>
                <w:rFonts w:ascii="Times New Roman"/>
                <w:sz w:val="18"/>
              </w:rPr>
            </w:pPr>
          </w:p>
        </w:tc>
        <w:tc>
          <w:tcPr>
            <w:tcW w:w="773" w:type="dxa"/>
          </w:tcPr>
          <w:p w14:paraId="7629A42E" w14:textId="77777777" w:rsidR="00FA4AA8" w:rsidRDefault="00FA4AA8">
            <w:pPr>
              <w:pStyle w:val="TableParagraph"/>
              <w:rPr>
                <w:rFonts w:ascii="Times New Roman"/>
                <w:sz w:val="18"/>
              </w:rPr>
            </w:pPr>
          </w:p>
        </w:tc>
        <w:tc>
          <w:tcPr>
            <w:tcW w:w="1421" w:type="dxa"/>
            <w:tcBorders>
              <w:top w:val="single" w:sz="8" w:space="0" w:color="000000"/>
              <w:bottom w:val="single" w:sz="8" w:space="0" w:color="000000"/>
            </w:tcBorders>
          </w:tcPr>
          <w:p w14:paraId="368C7145" w14:textId="77777777" w:rsidR="00FA4AA8" w:rsidRDefault="0015611F">
            <w:pPr>
              <w:pStyle w:val="TableParagraph"/>
              <w:spacing w:before="115" w:line="183" w:lineRule="exact"/>
              <w:ind w:right="212"/>
              <w:jc w:val="right"/>
              <w:rPr>
                <w:b/>
                <w:sz w:val="18"/>
              </w:rPr>
            </w:pPr>
            <w:r>
              <w:rPr>
                <w:b/>
                <w:sz w:val="18"/>
              </w:rPr>
              <w:t>51,020</w:t>
            </w:r>
          </w:p>
        </w:tc>
        <w:tc>
          <w:tcPr>
            <w:tcW w:w="1217" w:type="dxa"/>
            <w:tcBorders>
              <w:top w:val="single" w:sz="8" w:space="0" w:color="000000"/>
              <w:bottom w:val="single" w:sz="8" w:space="0" w:color="000000"/>
            </w:tcBorders>
          </w:tcPr>
          <w:p w14:paraId="44E247F2" w14:textId="77777777" w:rsidR="00FA4AA8" w:rsidRDefault="0015611F">
            <w:pPr>
              <w:pStyle w:val="TableParagraph"/>
              <w:spacing w:before="115" w:line="183" w:lineRule="exact"/>
              <w:ind w:right="296"/>
              <w:jc w:val="right"/>
              <w:rPr>
                <w:sz w:val="18"/>
              </w:rPr>
            </w:pPr>
            <w:r>
              <w:rPr>
                <w:sz w:val="18"/>
              </w:rPr>
              <w:t>40,657</w:t>
            </w:r>
          </w:p>
        </w:tc>
        <w:tc>
          <w:tcPr>
            <w:tcW w:w="1217" w:type="dxa"/>
            <w:tcBorders>
              <w:top w:val="single" w:sz="8" w:space="0" w:color="000000"/>
              <w:bottom w:val="single" w:sz="8" w:space="0" w:color="000000"/>
            </w:tcBorders>
          </w:tcPr>
          <w:p w14:paraId="37EEEDA0" w14:textId="77777777" w:rsidR="00FA4AA8" w:rsidRDefault="0015611F">
            <w:pPr>
              <w:pStyle w:val="TableParagraph"/>
              <w:spacing w:before="115" w:line="183" w:lineRule="exact"/>
              <w:ind w:right="212"/>
              <w:jc w:val="right"/>
              <w:rPr>
                <w:b/>
                <w:sz w:val="18"/>
              </w:rPr>
            </w:pPr>
            <w:r>
              <w:rPr>
                <w:b/>
                <w:sz w:val="18"/>
              </w:rPr>
              <w:t>50,093</w:t>
            </w:r>
          </w:p>
        </w:tc>
        <w:tc>
          <w:tcPr>
            <w:tcW w:w="1014" w:type="dxa"/>
            <w:tcBorders>
              <w:top w:val="single" w:sz="8" w:space="0" w:color="000000"/>
              <w:bottom w:val="single" w:sz="8" w:space="0" w:color="000000"/>
            </w:tcBorders>
          </w:tcPr>
          <w:p w14:paraId="641EDD61" w14:textId="77777777" w:rsidR="00FA4AA8" w:rsidRDefault="0015611F">
            <w:pPr>
              <w:pStyle w:val="TableParagraph"/>
              <w:spacing w:before="115" w:line="183" w:lineRule="exact"/>
              <w:ind w:right="94"/>
              <w:jc w:val="right"/>
              <w:rPr>
                <w:sz w:val="18"/>
              </w:rPr>
            </w:pPr>
            <w:r>
              <w:rPr>
                <w:sz w:val="18"/>
              </w:rPr>
              <w:t>39,864</w:t>
            </w:r>
          </w:p>
        </w:tc>
      </w:tr>
      <w:tr w:rsidR="00FA4AA8" w14:paraId="02D7BC3E" w14:textId="77777777">
        <w:trPr>
          <w:trHeight w:val="318"/>
        </w:trPr>
        <w:tc>
          <w:tcPr>
            <w:tcW w:w="6089" w:type="dxa"/>
            <w:gridSpan w:val="3"/>
          </w:tcPr>
          <w:p w14:paraId="4D21EC8D" w14:textId="77777777" w:rsidR="00FA4AA8" w:rsidRDefault="0015611F">
            <w:pPr>
              <w:pStyle w:val="TableParagraph"/>
              <w:tabs>
                <w:tab w:val="left" w:pos="5320"/>
              </w:tabs>
              <w:spacing w:before="105" w:line="183" w:lineRule="exact"/>
              <w:ind w:left="57"/>
              <w:rPr>
                <w:b/>
                <w:sz w:val="18"/>
              </w:rPr>
            </w:pPr>
            <w:r>
              <w:rPr>
                <w:b/>
                <w:sz w:val="18"/>
              </w:rPr>
              <w:t>Total current provisions</w:t>
            </w:r>
            <w:r>
              <w:rPr>
                <w:b/>
                <w:sz w:val="18"/>
              </w:rPr>
              <w:tab/>
              <w:t>80,059</w:t>
            </w:r>
          </w:p>
        </w:tc>
        <w:tc>
          <w:tcPr>
            <w:tcW w:w="1217" w:type="dxa"/>
            <w:tcBorders>
              <w:bottom w:val="single" w:sz="8" w:space="0" w:color="000000"/>
            </w:tcBorders>
          </w:tcPr>
          <w:p w14:paraId="297CAA40" w14:textId="77777777" w:rsidR="00FA4AA8" w:rsidRDefault="0015611F">
            <w:pPr>
              <w:pStyle w:val="TableParagraph"/>
              <w:spacing w:before="105" w:line="183" w:lineRule="exact"/>
              <w:ind w:right="296"/>
              <w:jc w:val="right"/>
              <w:rPr>
                <w:sz w:val="18"/>
              </w:rPr>
            </w:pPr>
            <w:r>
              <w:rPr>
                <w:sz w:val="18"/>
              </w:rPr>
              <w:t>72,881</w:t>
            </w:r>
          </w:p>
        </w:tc>
        <w:tc>
          <w:tcPr>
            <w:tcW w:w="1217" w:type="dxa"/>
            <w:tcBorders>
              <w:bottom w:val="single" w:sz="8" w:space="0" w:color="000000"/>
            </w:tcBorders>
          </w:tcPr>
          <w:p w14:paraId="2E9C289A" w14:textId="77777777" w:rsidR="00FA4AA8" w:rsidRDefault="0015611F">
            <w:pPr>
              <w:pStyle w:val="TableParagraph"/>
              <w:spacing w:before="105" w:line="183" w:lineRule="exact"/>
              <w:ind w:right="212"/>
              <w:jc w:val="right"/>
              <w:rPr>
                <w:b/>
                <w:sz w:val="18"/>
              </w:rPr>
            </w:pPr>
            <w:r>
              <w:rPr>
                <w:b/>
                <w:sz w:val="18"/>
              </w:rPr>
              <w:t>77,179</w:t>
            </w:r>
          </w:p>
        </w:tc>
        <w:tc>
          <w:tcPr>
            <w:tcW w:w="1014" w:type="dxa"/>
            <w:tcBorders>
              <w:bottom w:val="single" w:sz="8" w:space="0" w:color="000000"/>
            </w:tcBorders>
          </w:tcPr>
          <w:p w14:paraId="37CE5D22" w14:textId="77777777" w:rsidR="00FA4AA8" w:rsidRDefault="0015611F">
            <w:pPr>
              <w:pStyle w:val="TableParagraph"/>
              <w:spacing w:before="105" w:line="183" w:lineRule="exact"/>
              <w:ind w:right="94"/>
              <w:jc w:val="right"/>
              <w:rPr>
                <w:sz w:val="18"/>
              </w:rPr>
            </w:pPr>
            <w:r>
              <w:rPr>
                <w:sz w:val="18"/>
              </w:rPr>
              <w:t>69,727</w:t>
            </w:r>
          </w:p>
        </w:tc>
      </w:tr>
      <w:tr w:rsidR="00FA4AA8" w14:paraId="2AF0B2D6" w14:textId="77777777">
        <w:trPr>
          <w:trHeight w:val="337"/>
        </w:trPr>
        <w:tc>
          <w:tcPr>
            <w:tcW w:w="3895" w:type="dxa"/>
          </w:tcPr>
          <w:p w14:paraId="295D56AA" w14:textId="77777777" w:rsidR="00FA4AA8" w:rsidRDefault="0015611F">
            <w:pPr>
              <w:pStyle w:val="TableParagraph"/>
              <w:spacing w:before="105" w:line="203" w:lineRule="exact"/>
              <w:ind w:left="57"/>
              <w:rPr>
                <w:b/>
                <w:sz w:val="18"/>
              </w:rPr>
            </w:pPr>
            <w:r>
              <w:rPr>
                <w:b/>
                <w:sz w:val="18"/>
              </w:rPr>
              <w:t>Non-current provisions</w:t>
            </w:r>
          </w:p>
        </w:tc>
        <w:tc>
          <w:tcPr>
            <w:tcW w:w="773" w:type="dxa"/>
          </w:tcPr>
          <w:p w14:paraId="7CD27DD1" w14:textId="77777777" w:rsidR="00FA4AA8" w:rsidRDefault="00FA4AA8">
            <w:pPr>
              <w:pStyle w:val="TableParagraph"/>
              <w:rPr>
                <w:rFonts w:ascii="Times New Roman"/>
                <w:sz w:val="18"/>
              </w:rPr>
            </w:pPr>
          </w:p>
        </w:tc>
        <w:tc>
          <w:tcPr>
            <w:tcW w:w="1421" w:type="dxa"/>
          </w:tcPr>
          <w:p w14:paraId="3231A566" w14:textId="77777777" w:rsidR="00FA4AA8" w:rsidRDefault="00FA4AA8">
            <w:pPr>
              <w:pStyle w:val="TableParagraph"/>
              <w:rPr>
                <w:rFonts w:ascii="Times New Roman"/>
                <w:sz w:val="18"/>
              </w:rPr>
            </w:pPr>
          </w:p>
        </w:tc>
        <w:tc>
          <w:tcPr>
            <w:tcW w:w="1217" w:type="dxa"/>
          </w:tcPr>
          <w:p w14:paraId="35A3183E" w14:textId="77777777" w:rsidR="00FA4AA8" w:rsidRDefault="00FA4AA8">
            <w:pPr>
              <w:pStyle w:val="TableParagraph"/>
              <w:rPr>
                <w:rFonts w:ascii="Times New Roman"/>
                <w:sz w:val="18"/>
              </w:rPr>
            </w:pPr>
          </w:p>
        </w:tc>
        <w:tc>
          <w:tcPr>
            <w:tcW w:w="1217" w:type="dxa"/>
          </w:tcPr>
          <w:p w14:paraId="4CE5C25D" w14:textId="77777777" w:rsidR="00FA4AA8" w:rsidRDefault="00FA4AA8">
            <w:pPr>
              <w:pStyle w:val="TableParagraph"/>
              <w:rPr>
                <w:rFonts w:ascii="Times New Roman"/>
                <w:sz w:val="18"/>
              </w:rPr>
            </w:pPr>
          </w:p>
        </w:tc>
        <w:tc>
          <w:tcPr>
            <w:tcW w:w="1014" w:type="dxa"/>
          </w:tcPr>
          <w:p w14:paraId="255E3A56" w14:textId="77777777" w:rsidR="00FA4AA8" w:rsidRDefault="00FA4AA8">
            <w:pPr>
              <w:pStyle w:val="TableParagraph"/>
              <w:rPr>
                <w:rFonts w:ascii="Times New Roman"/>
                <w:sz w:val="18"/>
              </w:rPr>
            </w:pPr>
          </w:p>
        </w:tc>
      </w:tr>
      <w:tr w:rsidR="00FA4AA8" w14:paraId="0D02FD1F" w14:textId="77777777">
        <w:trPr>
          <w:trHeight w:val="247"/>
        </w:trPr>
        <w:tc>
          <w:tcPr>
            <w:tcW w:w="3895" w:type="dxa"/>
          </w:tcPr>
          <w:p w14:paraId="6F097B0E" w14:textId="77777777" w:rsidR="00FA4AA8" w:rsidRDefault="0015611F">
            <w:pPr>
              <w:pStyle w:val="TableParagraph"/>
              <w:spacing w:before="10"/>
              <w:ind w:left="57"/>
              <w:rPr>
                <w:sz w:val="18"/>
              </w:rPr>
            </w:pPr>
            <w:r>
              <w:rPr>
                <w:sz w:val="18"/>
              </w:rPr>
              <w:t>Employee benefits</w:t>
            </w:r>
          </w:p>
        </w:tc>
        <w:tc>
          <w:tcPr>
            <w:tcW w:w="773" w:type="dxa"/>
          </w:tcPr>
          <w:p w14:paraId="59C2B495" w14:textId="77777777" w:rsidR="00FA4AA8" w:rsidRDefault="00FA4AA8">
            <w:pPr>
              <w:pStyle w:val="TableParagraph"/>
              <w:rPr>
                <w:rFonts w:ascii="Times New Roman"/>
                <w:sz w:val="18"/>
              </w:rPr>
            </w:pPr>
          </w:p>
        </w:tc>
        <w:tc>
          <w:tcPr>
            <w:tcW w:w="1421" w:type="dxa"/>
          </w:tcPr>
          <w:p w14:paraId="1D969292" w14:textId="77777777" w:rsidR="00FA4AA8" w:rsidRDefault="00FA4AA8">
            <w:pPr>
              <w:pStyle w:val="TableParagraph"/>
              <w:rPr>
                <w:rFonts w:ascii="Times New Roman"/>
                <w:sz w:val="18"/>
              </w:rPr>
            </w:pPr>
          </w:p>
        </w:tc>
        <w:tc>
          <w:tcPr>
            <w:tcW w:w="1217" w:type="dxa"/>
          </w:tcPr>
          <w:p w14:paraId="3481A7BB" w14:textId="77777777" w:rsidR="00FA4AA8" w:rsidRDefault="00FA4AA8">
            <w:pPr>
              <w:pStyle w:val="TableParagraph"/>
              <w:rPr>
                <w:rFonts w:ascii="Times New Roman"/>
                <w:sz w:val="18"/>
              </w:rPr>
            </w:pPr>
          </w:p>
        </w:tc>
        <w:tc>
          <w:tcPr>
            <w:tcW w:w="1217" w:type="dxa"/>
          </w:tcPr>
          <w:p w14:paraId="6D0C8FB7" w14:textId="77777777" w:rsidR="00FA4AA8" w:rsidRDefault="00FA4AA8">
            <w:pPr>
              <w:pStyle w:val="TableParagraph"/>
              <w:rPr>
                <w:rFonts w:ascii="Times New Roman"/>
                <w:sz w:val="18"/>
              </w:rPr>
            </w:pPr>
          </w:p>
        </w:tc>
        <w:tc>
          <w:tcPr>
            <w:tcW w:w="1014" w:type="dxa"/>
          </w:tcPr>
          <w:p w14:paraId="15F25712" w14:textId="77777777" w:rsidR="00FA4AA8" w:rsidRDefault="00FA4AA8">
            <w:pPr>
              <w:pStyle w:val="TableParagraph"/>
              <w:rPr>
                <w:rFonts w:ascii="Times New Roman"/>
                <w:sz w:val="18"/>
              </w:rPr>
            </w:pPr>
          </w:p>
        </w:tc>
      </w:tr>
      <w:tr w:rsidR="00FA4AA8" w14:paraId="3F505EBC" w14:textId="77777777">
        <w:trPr>
          <w:trHeight w:val="262"/>
        </w:trPr>
        <w:tc>
          <w:tcPr>
            <w:tcW w:w="3895" w:type="dxa"/>
          </w:tcPr>
          <w:p w14:paraId="46B54EDA" w14:textId="77777777" w:rsidR="00FA4AA8" w:rsidRDefault="0015611F">
            <w:pPr>
              <w:pStyle w:val="TableParagraph"/>
              <w:spacing w:before="26"/>
              <w:ind w:left="198"/>
              <w:rPr>
                <w:sz w:val="18"/>
              </w:rPr>
            </w:pPr>
            <w:r>
              <w:rPr>
                <w:sz w:val="18"/>
              </w:rPr>
              <w:t>Long service leave</w:t>
            </w:r>
          </w:p>
        </w:tc>
        <w:tc>
          <w:tcPr>
            <w:tcW w:w="773" w:type="dxa"/>
          </w:tcPr>
          <w:p w14:paraId="349ECAB3" w14:textId="77777777" w:rsidR="00FA4AA8" w:rsidRDefault="00FA4AA8">
            <w:pPr>
              <w:pStyle w:val="TableParagraph"/>
              <w:rPr>
                <w:rFonts w:ascii="Times New Roman"/>
                <w:sz w:val="18"/>
              </w:rPr>
            </w:pPr>
          </w:p>
        </w:tc>
        <w:tc>
          <w:tcPr>
            <w:tcW w:w="1421" w:type="dxa"/>
          </w:tcPr>
          <w:p w14:paraId="4AD31622" w14:textId="77777777" w:rsidR="00FA4AA8" w:rsidRDefault="0015611F">
            <w:pPr>
              <w:pStyle w:val="TableParagraph"/>
              <w:spacing w:before="24"/>
              <w:ind w:right="207"/>
              <w:jc w:val="right"/>
              <w:rPr>
                <w:b/>
                <w:sz w:val="18"/>
              </w:rPr>
            </w:pPr>
            <w:r>
              <w:rPr>
                <w:b/>
                <w:sz w:val="18"/>
              </w:rPr>
              <w:t>16,933</w:t>
            </w:r>
          </w:p>
        </w:tc>
        <w:tc>
          <w:tcPr>
            <w:tcW w:w="1217" w:type="dxa"/>
          </w:tcPr>
          <w:p w14:paraId="1F04FFC7" w14:textId="77777777" w:rsidR="00FA4AA8" w:rsidRDefault="0015611F">
            <w:pPr>
              <w:pStyle w:val="TableParagraph"/>
              <w:spacing w:before="24"/>
              <w:ind w:right="291"/>
              <w:jc w:val="right"/>
              <w:rPr>
                <w:sz w:val="18"/>
              </w:rPr>
            </w:pPr>
            <w:r>
              <w:rPr>
                <w:sz w:val="18"/>
              </w:rPr>
              <w:t>12,026</w:t>
            </w:r>
          </w:p>
        </w:tc>
        <w:tc>
          <w:tcPr>
            <w:tcW w:w="1217" w:type="dxa"/>
          </w:tcPr>
          <w:p w14:paraId="1DD53E93" w14:textId="77777777" w:rsidR="00FA4AA8" w:rsidRDefault="0015611F">
            <w:pPr>
              <w:pStyle w:val="TableParagraph"/>
              <w:spacing w:before="24"/>
              <w:ind w:right="208"/>
              <w:jc w:val="right"/>
              <w:rPr>
                <w:b/>
                <w:sz w:val="18"/>
              </w:rPr>
            </w:pPr>
            <w:r>
              <w:rPr>
                <w:b/>
                <w:sz w:val="18"/>
              </w:rPr>
              <w:t>15,918</w:t>
            </w:r>
          </w:p>
        </w:tc>
        <w:tc>
          <w:tcPr>
            <w:tcW w:w="1014" w:type="dxa"/>
          </w:tcPr>
          <w:p w14:paraId="18CE599B" w14:textId="77777777" w:rsidR="00FA4AA8" w:rsidRDefault="0015611F">
            <w:pPr>
              <w:pStyle w:val="TableParagraph"/>
              <w:spacing w:before="24"/>
              <w:ind w:right="89"/>
              <w:jc w:val="right"/>
              <w:rPr>
                <w:sz w:val="18"/>
              </w:rPr>
            </w:pPr>
            <w:r>
              <w:rPr>
                <w:sz w:val="18"/>
              </w:rPr>
              <w:t>11,116</w:t>
            </w:r>
          </w:p>
        </w:tc>
      </w:tr>
      <w:tr w:rsidR="00FA4AA8" w14:paraId="4378A336" w14:textId="77777777">
        <w:trPr>
          <w:trHeight w:val="257"/>
        </w:trPr>
        <w:tc>
          <w:tcPr>
            <w:tcW w:w="3895" w:type="dxa"/>
          </w:tcPr>
          <w:p w14:paraId="094F1A75" w14:textId="77777777" w:rsidR="00FA4AA8" w:rsidRDefault="0015611F">
            <w:pPr>
              <w:pStyle w:val="TableParagraph"/>
              <w:spacing w:before="28"/>
              <w:ind w:left="198"/>
              <w:rPr>
                <w:sz w:val="18"/>
              </w:rPr>
            </w:pPr>
            <w:r>
              <w:rPr>
                <w:sz w:val="18"/>
              </w:rPr>
              <w:t>Defined benefit obligation</w:t>
            </w:r>
          </w:p>
        </w:tc>
        <w:tc>
          <w:tcPr>
            <w:tcW w:w="773" w:type="dxa"/>
          </w:tcPr>
          <w:p w14:paraId="3AB6AAE9" w14:textId="77777777" w:rsidR="00FA4AA8" w:rsidRDefault="0015611F">
            <w:pPr>
              <w:pStyle w:val="TableParagraph"/>
              <w:spacing w:before="23"/>
              <w:ind w:right="74"/>
              <w:jc w:val="right"/>
              <w:rPr>
                <w:sz w:val="18"/>
              </w:rPr>
            </w:pPr>
            <w:r>
              <w:rPr>
                <w:sz w:val="18"/>
              </w:rPr>
              <w:t>38(d)</w:t>
            </w:r>
          </w:p>
        </w:tc>
        <w:tc>
          <w:tcPr>
            <w:tcW w:w="1421" w:type="dxa"/>
            <w:tcBorders>
              <w:bottom w:val="single" w:sz="8" w:space="0" w:color="000000"/>
            </w:tcBorders>
          </w:tcPr>
          <w:p w14:paraId="0CC76D29" w14:textId="77777777" w:rsidR="00FA4AA8" w:rsidRDefault="0015611F">
            <w:pPr>
              <w:pStyle w:val="TableParagraph"/>
              <w:spacing w:before="25"/>
              <w:ind w:right="207"/>
              <w:jc w:val="right"/>
              <w:rPr>
                <w:b/>
                <w:sz w:val="18"/>
              </w:rPr>
            </w:pPr>
            <w:r>
              <w:rPr>
                <w:b/>
                <w:sz w:val="18"/>
              </w:rPr>
              <w:t>380,027</w:t>
            </w:r>
          </w:p>
        </w:tc>
        <w:tc>
          <w:tcPr>
            <w:tcW w:w="1217" w:type="dxa"/>
            <w:tcBorders>
              <w:bottom w:val="single" w:sz="8" w:space="0" w:color="000000"/>
            </w:tcBorders>
          </w:tcPr>
          <w:p w14:paraId="59B3806E" w14:textId="77777777" w:rsidR="00FA4AA8" w:rsidRDefault="0015611F">
            <w:pPr>
              <w:pStyle w:val="TableParagraph"/>
              <w:spacing w:before="25"/>
              <w:ind w:left="268"/>
              <w:rPr>
                <w:sz w:val="18"/>
              </w:rPr>
            </w:pPr>
            <w:r>
              <w:rPr>
                <w:sz w:val="18"/>
              </w:rPr>
              <w:t>354,922</w:t>
            </w:r>
          </w:p>
        </w:tc>
        <w:tc>
          <w:tcPr>
            <w:tcW w:w="1217" w:type="dxa"/>
            <w:tcBorders>
              <w:bottom w:val="single" w:sz="8" w:space="0" w:color="000000"/>
            </w:tcBorders>
          </w:tcPr>
          <w:p w14:paraId="5652E130" w14:textId="77777777" w:rsidR="00FA4AA8" w:rsidRDefault="0015611F">
            <w:pPr>
              <w:pStyle w:val="TableParagraph"/>
              <w:spacing w:before="25"/>
              <w:ind w:left="352"/>
              <w:rPr>
                <w:b/>
                <w:sz w:val="18"/>
              </w:rPr>
            </w:pPr>
            <w:r>
              <w:rPr>
                <w:b/>
                <w:sz w:val="18"/>
              </w:rPr>
              <w:t>380,027</w:t>
            </w:r>
          </w:p>
        </w:tc>
        <w:tc>
          <w:tcPr>
            <w:tcW w:w="1014" w:type="dxa"/>
            <w:tcBorders>
              <w:bottom w:val="single" w:sz="8" w:space="0" w:color="000000"/>
            </w:tcBorders>
          </w:tcPr>
          <w:p w14:paraId="4495D77D" w14:textId="77777777" w:rsidR="00FA4AA8" w:rsidRDefault="0015611F">
            <w:pPr>
              <w:pStyle w:val="TableParagraph"/>
              <w:spacing w:before="25"/>
              <w:ind w:right="89"/>
              <w:jc w:val="right"/>
              <w:rPr>
                <w:sz w:val="18"/>
              </w:rPr>
            </w:pPr>
            <w:r>
              <w:rPr>
                <w:sz w:val="18"/>
              </w:rPr>
              <w:t>354,922</w:t>
            </w:r>
          </w:p>
        </w:tc>
      </w:tr>
      <w:tr w:rsidR="00FA4AA8" w14:paraId="49A5B47F" w14:textId="77777777">
        <w:trPr>
          <w:trHeight w:val="524"/>
        </w:trPr>
        <w:tc>
          <w:tcPr>
            <w:tcW w:w="3895" w:type="dxa"/>
          </w:tcPr>
          <w:p w14:paraId="061A2F6E" w14:textId="77777777" w:rsidR="00FA4AA8" w:rsidRDefault="0015611F">
            <w:pPr>
              <w:pStyle w:val="TableParagraph"/>
              <w:spacing w:before="119" w:line="206" w:lineRule="exact"/>
              <w:ind w:left="57" w:right="807"/>
              <w:rPr>
                <w:b/>
                <w:sz w:val="18"/>
              </w:rPr>
            </w:pPr>
            <w:r>
              <w:rPr>
                <w:b/>
                <w:sz w:val="18"/>
              </w:rPr>
              <w:t>Total non-current employee benefit provisions</w:t>
            </w:r>
          </w:p>
        </w:tc>
        <w:tc>
          <w:tcPr>
            <w:tcW w:w="773" w:type="dxa"/>
          </w:tcPr>
          <w:p w14:paraId="359A3626" w14:textId="77777777" w:rsidR="00FA4AA8" w:rsidRDefault="00FA4AA8">
            <w:pPr>
              <w:pStyle w:val="TableParagraph"/>
              <w:rPr>
                <w:rFonts w:ascii="Times New Roman"/>
                <w:sz w:val="18"/>
              </w:rPr>
            </w:pPr>
          </w:p>
        </w:tc>
        <w:tc>
          <w:tcPr>
            <w:tcW w:w="1421" w:type="dxa"/>
            <w:tcBorders>
              <w:top w:val="single" w:sz="8" w:space="0" w:color="000000"/>
              <w:bottom w:val="single" w:sz="8" w:space="0" w:color="000000"/>
            </w:tcBorders>
          </w:tcPr>
          <w:p w14:paraId="781C2991" w14:textId="77777777" w:rsidR="00FA4AA8" w:rsidRDefault="00FA4AA8">
            <w:pPr>
              <w:pStyle w:val="TableParagraph"/>
              <w:spacing w:before="11"/>
              <w:rPr>
                <w:b/>
                <w:sz w:val="27"/>
              </w:rPr>
            </w:pPr>
          </w:p>
          <w:p w14:paraId="6B7390BE" w14:textId="77777777" w:rsidR="00FA4AA8" w:rsidRDefault="0015611F">
            <w:pPr>
              <w:pStyle w:val="TableParagraph"/>
              <w:spacing w:line="183" w:lineRule="exact"/>
              <w:ind w:right="207"/>
              <w:jc w:val="right"/>
              <w:rPr>
                <w:b/>
                <w:sz w:val="18"/>
              </w:rPr>
            </w:pPr>
            <w:r>
              <w:rPr>
                <w:b/>
                <w:sz w:val="18"/>
              </w:rPr>
              <w:t>396,960</w:t>
            </w:r>
          </w:p>
        </w:tc>
        <w:tc>
          <w:tcPr>
            <w:tcW w:w="1217" w:type="dxa"/>
            <w:tcBorders>
              <w:top w:val="single" w:sz="8" w:space="0" w:color="000000"/>
              <w:bottom w:val="single" w:sz="8" w:space="0" w:color="000000"/>
            </w:tcBorders>
          </w:tcPr>
          <w:p w14:paraId="4B84A69C" w14:textId="77777777" w:rsidR="00FA4AA8" w:rsidRDefault="00FA4AA8">
            <w:pPr>
              <w:pStyle w:val="TableParagraph"/>
              <w:spacing w:before="11"/>
              <w:rPr>
                <w:b/>
                <w:sz w:val="27"/>
              </w:rPr>
            </w:pPr>
          </w:p>
          <w:p w14:paraId="3AF88391" w14:textId="77777777" w:rsidR="00FA4AA8" w:rsidRDefault="0015611F">
            <w:pPr>
              <w:pStyle w:val="TableParagraph"/>
              <w:spacing w:line="183" w:lineRule="exact"/>
              <w:ind w:left="268"/>
              <w:rPr>
                <w:sz w:val="18"/>
              </w:rPr>
            </w:pPr>
            <w:r>
              <w:rPr>
                <w:sz w:val="18"/>
              </w:rPr>
              <w:t>366,948</w:t>
            </w:r>
          </w:p>
        </w:tc>
        <w:tc>
          <w:tcPr>
            <w:tcW w:w="1217" w:type="dxa"/>
            <w:tcBorders>
              <w:top w:val="single" w:sz="8" w:space="0" w:color="000000"/>
              <w:bottom w:val="single" w:sz="8" w:space="0" w:color="000000"/>
            </w:tcBorders>
          </w:tcPr>
          <w:p w14:paraId="6ADC23CB" w14:textId="77777777" w:rsidR="00FA4AA8" w:rsidRDefault="00FA4AA8">
            <w:pPr>
              <w:pStyle w:val="TableParagraph"/>
              <w:spacing w:before="11"/>
              <w:rPr>
                <w:b/>
                <w:sz w:val="27"/>
              </w:rPr>
            </w:pPr>
          </w:p>
          <w:p w14:paraId="1A5625F3" w14:textId="77777777" w:rsidR="00FA4AA8" w:rsidRDefault="0015611F">
            <w:pPr>
              <w:pStyle w:val="TableParagraph"/>
              <w:spacing w:line="183" w:lineRule="exact"/>
              <w:ind w:left="352"/>
              <w:rPr>
                <w:b/>
                <w:sz w:val="18"/>
              </w:rPr>
            </w:pPr>
            <w:r>
              <w:rPr>
                <w:b/>
                <w:sz w:val="18"/>
              </w:rPr>
              <w:t>395,945</w:t>
            </w:r>
          </w:p>
        </w:tc>
        <w:tc>
          <w:tcPr>
            <w:tcW w:w="1014" w:type="dxa"/>
            <w:tcBorders>
              <w:top w:val="single" w:sz="8" w:space="0" w:color="000000"/>
              <w:bottom w:val="single" w:sz="8" w:space="0" w:color="000000"/>
            </w:tcBorders>
          </w:tcPr>
          <w:p w14:paraId="75FA90D9" w14:textId="77777777" w:rsidR="00FA4AA8" w:rsidRDefault="00FA4AA8">
            <w:pPr>
              <w:pStyle w:val="TableParagraph"/>
              <w:spacing w:before="11"/>
              <w:rPr>
                <w:b/>
                <w:sz w:val="27"/>
              </w:rPr>
            </w:pPr>
          </w:p>
          <w:p w14:paraId="2893D02A" w14:textId="77777777" w:rsidR="00FA4AA8" w:rsidRDefault="0015611F">
            <w:pPr>
              <w:pStyle w:val="TableParagraph"/>
              <w:spacing w:line="183" w:lineRule="exact"/>
              <w:ind w:right="89"/>
              <w:jc w:val="right"/>
              <w:rPr>
                <w:sz w:val="18"/>
              </w:rPr>
            </w:pPr>
            <w:r>
              <w:rPr>
                <w:sz w:val="18"/>
              </w:rPr>
              <w:t>366,038</w:t>
            </w:r>
          </w:p>
        </w:tc>
      </w:tr>
      <w:tr w:rsidR="00FA4AA8" w14:paraId="430E2F71" w14:textId="77777777">
        <w:trPr>
          <w:trHeight w:val="259"/>
        </w:trPr>
        <w:tc>
          <w:tcPr>
            <w:tcW w:w="3895" w:type="dxa"/>
          </w:tcPr>
          <w:p w14:paraId="750A52C9" w14:textId="77777777" w:rsidR="00FA4AA8" w:rsidRDefault="0015611F">
            <w:pPr>
              <w:pStyle w:val="TableParagraph"/>
              <w:spacing w:before="22"/>
              <w:ind w:left="57"/>
              <w:rPr>
                <w:sz w:val="18"/>
              </w:rPr>
            </w:pPr>
            <w:r>
              <w:rPr>
                <w:sz w:val="18"/>
              </w:rPr>
              <w:t>Long-term provisions</w:t>
            </w:r>
          </w:p>
        </w:tc>
        <w:tc>
          <w:tcPr>
            <w:tcW w:w="773" w:type="dxa"/>
          </w:tcPr>
          <w:p w14:paraId="2816E361" w14:textId="77777777" w:rsidR="00FA4AA8" w:rsidRDefault="00FA4AA8">
            <w:pPr>
              <w:pStyle w:val="TableParagraph"/>
              <w:rPr>
                <w:rFonts w:ascii="Times New Roman"/>
                <w:sz w:val="18"/>
              </w:rPr>
            </w:pPr>
          </w:p>
        </w:tc>
        <w:tc>
          <w:tcPr>
            <w:tcW w:w="1421" w:type="dxa"/>
            <w:tcBorders>
              <w:top w:val="single" w:sz="8" w:space="0" w:color="000000"/>
            </w:tcBorders>
          </w:tcPr>
          <w:p w14:paraId="111DCB8B" w14:textId="77777777" w:rsidR="00FA4AA8" w:rsidRDefault="00FA4AA8">
            <w:pPr>
              <w:pStyle w:val="TableParagraph"/>
              <w:rPr>
                <w:rFonts w:ascii="Times New Roman"/>
                <w:sz w:val="18"/>
              </w:rPr>
            </w:pPr>
          </w:p>
        </w:tc>
        <w:tc>
          <w:tcPr>
            <w:tcW w:w="1217" w:type="dxa"/>
            <w:tcBorders>
              <w:top w:val="single" w:sz="8" w:space="0" w:color="000000"/>
            </w:tcBorders>
          </w:tcPr>
          <w:p w14:paraId="3F165C07" w14:textId="77777777" w:rsidR="00FA4AA8" w:rsidRDefault="00FA4AA8">
            <w:pPr>
              <w:pStyle w:val="TableParagraph"/>
              <w:rPr>
                <w:rFonts w:ascii="Times New Roman"/>
                <w:sz w:val="18"/>
              </w:rPr>
            </w:pPr>
          </w:p>
        </w:tc>
        <w:tc>
          <w:tcPr>
            <w:tcW w:w="1217" w:type="dxa"/>
            <w:tcBorders>
              <w:top w:val="single" w:sz="8" w:space="0" w:color="000000"/>
            </w:tcBorders>
          </w:tcPr>
          <w:p w14:paraId="57D54BCA" w14:textId="77777777" w:rsidR="00FA4AA8" w:rsidRDefault="00FA4AA8">
            <w:pPr>
              <w:pStyle w:val="TableParagraph"/>
              <w:rPr>
                <w:rFonts w:ascii="Times New Roman"/>
                <w:sz w:val="18"/>
              </w:rPr>
            </w:pPr>
          </w:p>
        </w:tc>
        <w:tc>
          <w:tcPr>
            <w:tcW w:w="1014" w:type="dxa"/>
            <w:tcBorders>
              <w:top w:val="single" w:sz="8" w:space="0" w:color="000000"/>
            </w:tcBorders>
          </w:tcPr>
          <w:p w14:paraId="2CC956A8" w14:textId="77777777" w:rsidR="00FA4AA8" w:rsidRDefault="00FA4AA8">
            <w:pPr>
              <w:pStyle w:val="TableParagraph"/>
              <w:rPr>
                <w:rFonts w:ascii="Times New Roman"/>
                <w:sz w:val="18"/>
              </w:rPr>
            </w:pPr>
          </w:p>
        </w:tc>
      </w:tr>
      <w:tr w:rsidR="00FA4AA8" w14:paraId="0C5974C5" w14:textId="77777777">
        <w:trPr>
          <w:trHeight w:val="256"/>
        </w:trPr>
        <w:tc>
          <w:tcPr>
            <w:tcW w:w="3895" w:type="dxa"/>
          </w:tcPr>
          <w:p w14:paraId="123ED5AD" w14:textId="77777777" w:rsidR="00FA4AA8" w:rsidRDefault="0015611F">
            <w:pPr>
              <w:pStyle w:val="TableParagraph"/>
              <w:spacing w:before="26"/>
              <w:ind w:left="198"/>
              <w:rPr>
                <w:sz w:val="18"/>
              </w:rPr>
            </w:pPr>
            <w:r>
              <w:rPr>
                <w:sz w:val="18"/>
              </w:rPr>
              <w:t>Make good on leases</w:t>
            </w:r>
          </w:p>
        </w:tc>
        <w:tc>
          <w:tcPr>
            <w:tcW w:w="773" w:type="dxa"/>
          </w:tcPr>
          <w:p w14:paraId="0F97F63D" w14:textId="77777777" w:rsidR="00FA4AA8" w:rsidRDefault="00FA4AA8">
            <w:pPr>
              <w:pStyle w:val="TableParagraph"/>
              <w:rPr>
                <w:rFonts w:ascii="Times New Roman"/>
                <w:sz w:val="18"/>
              </w:rPr>
            </w:pPr>
          </w:p>
        </w:tc>
        <w:tc>
          <w:tcPr>
            <w:tcW w:w="1421" w:type="dxa"/>
            <w:tcBorders>
              <w:bottom w:val="single" w:sz="8" w:space="0" w:color="000000"/>
            </w:tcBorders>
          </w:tcPr>
          <w:p w14:paraId="53CE31F7" w14:textId="77777777" w:rsidR="00FA4AA8" w:rsidRDefault="0015611F">
            <w:pPr>
              <w:pStyle w:val="TableParagraph"/>
              <w:spacing w:before="24"/>
              <w:ind w:right="207"/>
              <w:jc w:val="right"/>
              <w:rPr>
                <w:b/>
                <w:sz w:val="18"/>
              </w:rPr>
            </w:pPr>
            <w:r>
              <w:rPr>
                <w:b/>
                <w:sz w:val="18"/>
              </w:rPr>
              <w:t>892</w:t>
            </w:r>
          </w:p>
        </w:tc>
        <w:tc>
          <w:tcPr>
            <w:tcW w:w="1217" w:type="dxa"/>
            <w:tcBorders>
              <w:bottom w:val="single" w:sz="8" w:space="0" w:color="000000"/>
            </w:tcBorders>
          </w:tcPr>
          <w:p w14:paraId="285FA63A" w14:textId="77777777" w:rsidR="00FA4AA8" w:rsidRDefault="0015611F">
            <w:pPr>
              <w:pStyle w:val="TableParagraph"/>
              <w:spacing w:before="24"/>
              <w:ind w:right="291"/>
              <w:jc w:val="right"/>
              <w:rPr>
                <w:sz w:val="18"/>
              </w:rPr>
            </w:pPr>
            <w:r>
              <w:rPr>
                <w:sz w:val="18"/>
              </w:rPr>
              <w:t>826</w:t>
            </w:r>
          </w:p>
        </w:tc>
        <w:tc>
          <w:tcPr>
            <w:tcW w:w="1217" w:type="dxa"/>
            <w:tcBorders>
              <w:bottom w:val="single" w:sz="8" w:space="0" w:color="000000"/>
            </w:tcBorders>
          </w:tcPr>
          <w:p w14:paraId="7878BC35" w14:textId="77777777" w:rsidR="00FA4AA8" w:rsidRDefault="0015611F">
            <w:pPr>
              <w:pStyle w:val="TableParagraph"/>
              <w:spacing w:before="24"/>
              <w:ind w:right="207"/>
              <w:jc w:val="right"/>
              <w:rPr>
                <w:b/>
                <w:sz w:val="18"/>
              </w:rPr>
            </w:pPr>
            <w:r>
              <w:rPr>
                <w:b/>
                <w:sz w:val="18"/>
              </w:rPr>
              <w:t>892</w:t>
            </w:r>
          </w:p>
        </w:tc>
        <w:tc>
          <w:tcPr>
            <w:tcW w:w="1014" w:type="dxa"/>
            <w:tcBorders>
              <w:bottom w:val="single" w:sz="8" w:space="0" w:color="000000"/>
            </w:tcBorders>
          </w:tcPr>
          <w:p w14:paraId="4AD945D9" w14:textId="77777777" w:rsidR="00FA4AA8" w:rsidRDefault="0015611F">
            <w:pPr>
              <w:pStyle w:val="TableParagraph"/>
              <w:spacing w:before="24"/>
              <w:ind w:right="89"/>
              <w:jc w:val="right"/>
              <w:rPr>
                <w:sz w:val="18"/>
              </w:rPr>
            </w:pPr>
            <w:r>
              <w:rPr>
                <w:sz w:val="18"/>
              </w:rPr>
              <w:t>826</w:t>
            </w:r>
          </w:p>
        </w:tc>
      </w:tr>
      <w:tr w:rsidR="00FA4AA8" w14:paraId="372CC32E" w14:textId="77777777">
        <w:trPr>
          <w:trHeight w:val="318"/>
        </w:trPr>
        <w:tc>
          <w:tcPr>
            <w:tcW w:w="3895" w:type="dxa"/>
          </w:tcPr>
          <w:p w14:paraId="5EE1625C" w14:textId="77777777" w:rsidR="00FA4AA8" w:rsidRDefault="0015611F">
            <w:pPr>
              <w:pStyle w:val="TableParagraph"/>
              <w:spacing w:before="115" w:line="183" w:lineRule="exact"/>
              <w:ind w:left="57"/>
              <w:rPr>
                <w:b/>
                <w:sz w:val="18"/>
              </w:rPr>
            </w:pPr>
            <w:r>
              <w:rPr>
                <w:b/>
                <w:sz w:val="18"/>
              </w:rPr>
              <w:t>Total non-current long-term provisions</w:t>
            </w:r>
          </w:p>
        </w:tc>
        <w:tc>
          <w:tcPr>
            <w:tcW w:w="773" w:type="dxa"/>
          </w:tcPr>
          <w:p w14:paraId="0787577D" w14:textId="77777777" w:rsidR="00FA4AA8" w:rsidRDefault="00FA4AA8">
            <w:pPr>
              <w:pStyle w:val="TableParagraph"/>
              <w:rPr>
                <w:rFonts w:ascii="Times New Roman"/>
                <w:sz w:val="18"/>
              </w:rPr>
            </w:pPr>
          </w:p>
        </w:tc>
        <w:tc>
          <w:tcPr>
            <w:tcW w:w="1421" w:type="dxa"/>
            <w:tcBorders>
              <w:top w:val="single" w:sz="8" w:space="0" w:color="000000"/>
              <w:bottom w:val="single" w:sz="8" w:space="0" w:color="000000"/>
            </w:tcBorders>
          </w:tcPr>
          <w:p w14:paraId="6E3417BF" w14:textId="77777777" w:rsidR="00FA4AA8" w:rsidRDefault="0015611F">
            <w:pPr>
              <w:pStyle w:val="TableParagraph"/>
              <w:spacing w:before="115" w:line="183" w:lineRule="exact"/>
              <w:ind w:right="207"/>
              <w:jc w:val="right"/>
              <w:rPr>
                <w:b/>
                <w:sz w:val="18"/>
              </w:rPr>
            </w:pPr>
            <w:r>
              <w:rPr>
                <w:b/>
                <w:sz w:val="18"/>
              </w:rPr>
              <w:t>892</w:t>
            </w:r>
          </w:p>
        </w:tc>
        <w:tc>
          <w:tcPr>
            <w:tcW w:w="1217" w:type="dxa"/>
            <w:tcBorders>
              <w:top w:val="single" w:sz="8" w:space="0" w:color="000000"/>
              <w:bottom w:val="single" w:sz="8" w:space="0" w:color="000000"/>
            </w:tcBorders>
          </w:tcPr>
          <w:p w14:paraId="5F7FE336" w14:textId="77777777" w:rsidR="00FA4AA8" w:rsidRDefault="0015611F">
            <w:pPr>
              <w:pStyle w:val="TableParagraph"/>
              <w:spacing w:before="115" w:line="183" w:lineRule="exact"/>
              <w:ind w:right="291"/>
              <w:jc w:val="right"/>
              <w:rPr>
                <w:sz w:val="18"/>
              </w:rPr>
            </w:pPr>
            <w:r>
              <w:rPr>
                <w:sz w:val="18"/>
              </w:rPr>
              <w:t>826</w:t>
            </w:r>
          </w:p>
        </w:tc>
        <w:tc>
          <w:tcPr>
            <w:tcW w:w="1217" w:type="dxa"/>
            <w:tcBorders>
              <w:top w:val="single" w:sz="8" w:space="0" w:color="000000"/>
              <w:bottom w:val="single" w:sz="8" w:space="0" w:color="000000"/>
            </w:tcBorders>
          </w:tcPr>
          <w:p w14:paraId="483C6CF4" w14:textId="77777777" w:rsidR="00FA4AA8" w:rsidRDefault="0015611F">
            <w:pPr>
              <w:pStyle w:val="TableParagraph"/>
              <w:spacing w:before="115" w:line="183" w:lineRule="exact"/>
              <w:ind w:right="207"/>
              <w:jc w:val="right"/>
              <w:rPr>
                <w:b/>
                <w:sz w:val="18"/>
              </w:rPr>
            </w:pPr>
            <w:r>
              <w:rPr>
                <w:b/>
                <w:sz w:val="18"/>
              </w:rPr>
              <w:t>892</w:t>
            </w:r>
          </w:p>
        </w:tc>
        <w:tc>
          <w:tcPr>
            <w:tcW w:w="1014" w:type="dxa"/>
            <w:tcBorders>
              <w:top w:val="single" w:sz="8" w:space="0" w:color="000000"/>
              <w:bottom w:val="single" w:sz="8" w:space="0" w:color="000000"/>
            </w:tcBorders>
          </w:tcPr>
          <w:p w14:paraId="512C9A6A" w14:textId="77777777" w:rsidR="00FA4AA8" w:rsidRDefault="0015611F">
            <w:pPr>
              <w:pStyle w:val="TableParagraph"/>
              <w:spacing w:before="115" w:line="183" w:lineRule="exact"/>
              <w:ind w:right="89"/>
              <w:jc w:val="right"/>
              <w:rPr>
                <w:sz w:val="18"/>
              </w:rPr>
            </w:pPr>
            <w:r>
              <w:rPr>
                <w:sz w:val="18"/>
              </w:rPr>
              <w:t>826</w:t>
            </w:r>
          </w:p>
        </w:tc>
      </w:tr>
      <w:tr w:rsidR="00FA4AA8" w14:paraId="1AEDBA68" w14:textId="77777777">
        <w:trPr>
          <w:trHeight w:val="318"/>
        </w:trPr>
        <w:tc>
          <w:tcPr>
            <w:tcW w:w="3895" w:type="dxa"/>
          </w:tcPr>
          <w:p w14:paraId="4B487A0D" w14:textId="77777777" w:rsidR="00FA4AA8" w:rsidRDefault="0015611F">
            <w:pPr>
              <w:pStyle w:val="TableParagraph"/>
              <w:spacing w:before="115" w:line="183" w:lineRule="exact"/>
              <w:ind w:left="57"/>
              <w:rPr>
                <w:b/>
                <w:sz w:val="18"/>
              </w:rPr>
            </w:pPr>
            <w:r>
              <w:rPr>
                <w:b/>
                <w:sz w:val="18"/>
              </w:rPr>
              <w:t>Total non-current provisions</w:t>
            </w:r>
          </w:p>
        </w:tc>
        <w:tc>
          <w:tcPr>
            <w:tcW w:w="773" w:type="dxa"/>
          </w:tcPr>
          <w:p w14:paraId="367F235C" w14:textId="77777777" w:rsidR="00FA4AA8" w:rsidRDefault="00FA4AA8">
            <w:pPr>
              <w:pStyle w:val="TableParagraph"/>
              <w:rPr>
                <w:rFonts w:ascii="Times New Roman"/>
                <w:sz w:val="18"/>
              </w:rPr>
            </w:pPr>
          </w:p>
        </w:tc>
        <w:tc>
          <w:tcPr>
            <w:tcW w:w="1421" w:type="dxa"/>
            <w:tcBorders>
              <w:top w:val="single" w:sz="8" w:space="0" w:color="000000"/>
              <w:bottom w:val="single" w:sz="8" w:space="0" w:color="000000"/>
            </w:tcBorders>
          </w:tcPr>
          <w:p w14:paraId="467C43B5" w14:textId="77777777" w:rsidR="00FA4AA8" w:rsidRDefault="0015611F">
            <w:pPr>
              <w:pStyle w:val="TableParagraph"/>
              <w:spacing w:before="115" w:line="183" w:lineRule="exact"/>
              <w:ind w:right="207"/>
              <w:jc w:val="right"/>
              <w:rPr>
                <w:b/>
                <w:sz w:val="18"/>
              </w:rPr>
            </w:pPr>
            <w:r>
              <w:rPr>
                <w:b/>
                <w:sz w:val="18"/>
              </w:rPr>
              <w:t>397,852</w:t>
            </w:r>
          </w:p>
        </w:tc>
        <w:tc>
          <w:tcPr>
            <w:tcW w:w="1217" w:type="dxa"/>
            <w:tcBorders>
              <w:top w:val="single" w:sz="8" w:space="0" w:color="000000"/>
              <w:bottom w:val="single" w:sz="8" w:space="0" w:color="000000"/>
            </w:tcBorders>
          </w:tcPr>
          <w:p w14:paraId="283E54F1" w14:textId="77777777" w:rsidR="00FA4AA8" w:rsidRDefault="0015611F">
            <w:pPr>
              <w:pStyle w:val="TableParagraph"/>
              <w:spacing w:before="115" w:line="183" w:lineRule="exact"/>
              <w:ind w:left="268"/>
              <w:rPr>
                <w:sz w:val="18"/>
              </w:rPr>
            </w:pPr>
            <w:r>
              <w:rPr>
                <w:sz w:val="18"/>
              </w:rPr>
              <w:t>367,774</w:t>
            </w:r>
          </w:p>
        </w:tc>
        <w:tc>
          <w:tcPr>
            <w:tcW w:w="1217" w:type="dxa"/>
            <w:tcBorders>
              <w:top w:val="single" w:sz="8" w:space="0" w:color="000000"/>
              <w:bottom w:val="single" w:sz="8" w:space="0" w:color="000000"/>
            </w:tcBorders>
          </w:tcPr>
          <w:p w14:paraId="7A4D6163" w14:textId="77777777" w:rsidR="00FA4AA8" w:rsidRDefault="0015611F">
            <w:pPr>
              <w:pStyle w:val="TableParagraph"/>
              <w:spacing w:before="115" w:line="183" w:lineRule="exact"/>
              <w:ind w:left="352"/>
              <w:rPr>
                <w:b/>
                <w:sz w:val="18"/>
              </w:rPr>
            </w:pPr>
            <w:r>
              <w:rPr>
                <w:b/>
                <w:sz w:val="18"/>
              </w:rPr>
              <w:t>396,837</w:t>
            </w:r>
          </w:p>
        </w:tc>
        <w:tc>
          <w:tcPr>
            <w:tcW w:w="1014" w:type="dxa"/>
            <w:tcBorders>
              <w:top w:val="single" w:sz="8" w:space="0" w:color="000000"/>
              <w:bottom w:val="single" w:sz="8" w:space="0" w:color="000000"/>
            </w:tcBorders>
          </w:tcPr>
          <w:p w14:paraId="059E09E1" w14:textId="77777777" w:rsidR="00FA4AA8" w:rsidRDefault="0015611F">
            <w:pPr>
              <w:pStyle w:val="TableParagraph"/>
              <w:spacing w:before="115" w:line="183" w:lineRule="exact"/>
              <w:ind w:right="89"/>
              <w:jc w:val="right"/>
              <w:rPr>
                <w:sz w:val="18"/>
              </w:rPr>
            </w:pPr>
            <w:r>
              <w:rPr>
                <w:sz w:val="18"/>
              </w:rPr>
              <w:t>366,864</w:t>
            </w:r>
          </w:p>
        </w:tc>
      </w:tr>
      <w:tr w:rsidR="00FA4AA8" w14:paraId="33A47876" w14:textId="77777777">
        <w:trPr>
          <w:trHeight w:val="320"/>
        </w:trPr>
        <w:tc>
          <w:tcPr>
            <w:tcW w:w="3895" w:type="dxa"/>
          </w:tcPr>
          <w:p w14:paraId="2D14EE11" w14:textId="77777777" w:rsidR="00FA4AA8" w:rsidRDefault="0015611F">
            <w:pPr>
              <w:pStyle w:val="TableParagraph"/>
              <w:spacing w:before="115" w:line="185" w:lineRule="exact"/>
              <w:ind w:left="50"/>
              <w:rPr>
                <w:b/>
                <w:sz w:val="18"/>
              </w:rPr>
            </w:pPr>
            <w:r>
              <w:rPr>
                <w:b/>
                <w:sz w:val="18"/>
              </w:rPr>
              <w:t>Total provisions</w:t>
            </w:r>
          </w:p>
        </w:tc>
        <w:tc>
          <w:tcPr>
            <w:tcW w:w="773" w:type="dxa"/>
          </w:tcPr>
          <w:p w14:paraId="16FDC431" w14:textId="77777777" w:rsidR="00FA4AA8" w:rsidRDefault="00FA4AA8">
            <w:pPr>
              <w:pStyle w:val="TableParagraph"/>
              <w:rPr>
                <w:rFonts w:ascii="Times New Roman"/>
                <w:sz w:val="18"/>
              </w:rPr>
            </w:pPr>
          </w:p>
        </w:tc>
        <w:tc>
          <w:tcPr>
            <w:tcW w:w="1421" w:type="dxa"/>
            <w:tcBorders>
              <w:top w:val="single" w:sz="8" w:space="0" w:color="000000"/>
              <w:bottom w:val="double" w:sz="2" w:space="0" w:color="000000"/>
            </w:tcBorders>
          </w:tcPr>
          <w:p w14:paraId="205C4041" w14:textId="77777777" w:rsidR="00FA4AA8" w:rsidRDefault="0015611F">
            <w:pPr>
              <w:pStyle w:val="TableParagraph"/>
              <w:spacing w:before="86"/>
              <w:ind w:right="205"/>
              <w:jc w:val="right"/>
              <w:rPr>
                <w:b/>
                <w:sz w:val="18"/>
              </w:rPr>
            </w:pPr>
            <w:r>
              <w:rPr>
                <w:b/>
                <w:sz w:val="18"/>
              </w:rPr>
              <w:t>477,911</w:t>
            </w:r>
          </w:p>
        </w:tc>
        <w:tc>
          <w:tcPr>
            <w:tcW w:w="1217" w:type="dxa"/>
            <w:tcBorders>
              <w:top w:val="single" w:sz="8" w:space="0" w:color="000000"/>
              <w:bottom w:val="double" w:sz="2" w:space="0" w:color="000000"/>
            </w:tcBorders>
          </w:tcPr>
          <w:p w14:paraId="0E19B6C9" w14:textId="77777777" w:rsidR="00FA4AA8" w:rsidRDefault="0015611F">
            <w:pPr>
              <w:pStyle w:val="TableParagraph"/>
              <w:spacing w:before="86"/>
              <w:ind w:left="270"/>
              <w:rPr>
                <w:sz w:val="18"/>
              </w:rPr>
            </w:pPr>
            <w:r>
              <w:rPr>
                <w:sz w:val="18"/>
              </w:rPr>
              <w:t>440,655</w:t>
            </w:r>
          </w:p>
        </w:tc>
        <w:tc>
          <w:tcPr>
            <w:tcW w:w="1217" w:type="dxa"/>
            <w:tcBorders>
              <w:top w:val="single" w:sz="8" w:space="0" w:color="000000"/>
              <w:bottom w:val="double" w:sz="2" w:space="0" w:color="000000"/>
            </w:tcBorders>
          </w:tcPr>
          <w:p w14:paraId="0B860734" w14:textId="77777777" w:rsidR="00FA4AA8" w:rsidRDefault="0015611F">
            <w:pPr>
              <w:pStyle w:val="TableParagraph"/>
              <w:spacing w:before="86"/>
              <w:ind w:right="205"/>
              <w:jc w:val="right"/>
              <w:rPr>
                <w:b/>
                <w:sz w:val="18"/>
              </w:rPr>
            </w:pPr>
            <w:r>
              <w:rPr>
                <w:b/>
                <w:sz w:val="18"/>
              </w:rPr>
              <w:t>474,016</w:t>
            </w:r>
          </w:p>
        </w:tc>
        <w:tc>
          <w:tcPr>
            <w:tcW w:w="1014" w:type="dxa"/>
            <w:tcBorders>
              <w:top w:val="single" w:sz="8" w:space="0" w:color="000000"/>
              <w:bottom w:val="double" w:sz="2" w:space="0" w:color="000000"/>
            </w:tcBorders>
          </w:tcPr>
          <w:p w14:paraId="2FCF02A0" w14:textId="77777777" w:rsidR="00FA4AA8" w:rsidRDefault="0015611F">
            <w:pPr>
              <w:pStyle w:val="TableParagraph"/>
              <w:spacing w:before="86"/>
              <w:ind w:right="86"/>
              <w:jc w:val="right"/>
              <w:rPr>
                <w:sz w:val="18"/>
              </w:rPr>
            </w:pPr>
            <w:r>
              <w:rPr>
                <w:sz w:val="18"/>
              </w:rPr>
              <w:t>436,591</w:t>
            </w:r>
          </w:p>
        </w:tc>
      </w:tr>
    </w:tbl>
    <w:p w14:paraId="47AE1385" w14:textId="77777777" w:rsidR="00FA4AA8" w:rsidRDefault="00FA4AA8">
      <w:pPr>
        <w:jc w:val="right"/>
        <w:rPr>
          <w:sz w:val="18"/>
        </w:rPr>
        <w:sectPr w:rsidR="00FA4AA8">
          <w:pgSz w:w="11910" w:h="16840"/>
          <w:pgMar w:top="2220" w:right="880" w:bottom="720" w:left="840" w:header="1016" w:footer="523" w:gutter="0"/>
          <w:cols w:space="720"/>
        </w:sectPr>
      </w:pPr>
    </w:p>
    <w:p w14:paraId="7C2FA82F" w14:textId="77777777" w:rsidR="00FA4AA8" w:rsidRDefault="00FA4AA8">
      <w:pPr>
        <w:pStyle w:val="BodyText"/>
        <w:rPr>
          <w:b/>
          <w:sz w:val="20"/>
        </w:rPr>
      </w:pPr>
    </w:p>
    <w:p w14:paraId="4B540F3B" w14:textId="77777777" w:rsidR="00FA4AA8" w:rsidRDefault="00FA4AA8">
      <w:pPr>
        <w:pStyle w:val="BodyText"/>
        <w:spacing w:before="10"/>
        <w:rPr>
          <w:b/>
          <w:sz w:val="29"/>
        </w:rPr>
      </w:pPr>
    </w:p>
    <w:p w14:paraId="72D92385" w14:textId="77777777" w:rsidR="00FA4AA8" w:rsidRDefault="0015611F">
      <w:pPr>
        <w:spacing w:before="94"/>
        <w:ind w:left="167"/>
        <w:rPr>
          <w:b/>
          <w:sz w:val="18"/>
        </w:rPr>
      </w:pPr>
      <w:r>
        <w:rPr>
          <w:b/>
          <w:sz w:val="18"/>
        </w:rPr>
        <w:t>25 Provisions (continued)</w:t>
      </w:r>
    </w:p>
    <w:p w14:paraId="0F34A466" w14:textId="77777777" w:rsidR="00FA4AA8" w:rsidRDefault="00FA4AA8">
      <w:pPr>
        <w:pStyle w:val="BodyText"/>
        <w:rPr>
          <w:b/>
          <w:sz w:val="25"/>
        </w:rPr>
      </w:pPr>
    </w:p>
    <w:p w14:paraId="719392ED" w14:textId="77777777" w:rsidR="00FA4AA8" w:rsidRDefault="0015611F">
      <w:pPr>
        <w:pStyle w:val="BodyText"/>
        <w:ind w:left="564" w:right="132"/>
      </w:pPr>
      <w:r>
        <w:t>Movements in each class of provision during the financial year, other than employee related provisions, are set out below:</w:t>
      </w:r>
    </w:p>
    <w:p w14:paraId="45787EF1" w14:textId="77777777" w:rsidR="00FA4AA8" w:rsidRDefault="0015611F">
      <w:pPr>
        <w:spacing w:before="111"/>
        <w:ind w:left="564"/>
        <w:rPr>
          <w:b/>
          <w:sz w:val="18"/>
        </w:rPr>
      </w:pPr>
      <w:r>
        <w:rPr>
          <w:b/>
          <w:sz w:val="18"/>
        </w:rPr>
        <w:t>Parent &amp; Consolidated</w:t>
      </w:r>
    </w:p>
    <w:p w14:paraId="3AAAAC4F" w14:textId="77777777" w:rsidR="00FA4AA8" w:rsidRDefault="0015611F">
      <w:pPr>
        <w:spacing w:before="33"/>
        <w:ind w:left="9204"/>
        <w:rPr>
          <w:b/>
          <w:sz w:val="18"/>
        </w:rPr>
      </w:pPr>
      <w:r>
        <w:rPr>
          <w:b/>
          <w:sz w:val="18"/>
        </w:rPr>
        <w:t>Total</w:t>
      </w:r>
    </w:p>
    <w:p w14:paraId="40A1147D" w14:textId="77777777" w:rsidR="00FA4AA8" w:rsidRDefault="0015611F">
      <w:pPr>
        <w:spacing w:before="67"/>
        <w:ind w:left="9196"/>
        <w:rPr>
          <w:b/>
          <w:sz w:val="18"/>
        </w:rPr>
      </w:pPr>
      <w:r>
        <w:rPr>
          <w:b/>
          <w:sz w:val="18"/>
        </w:rPr>
        <w:t>$'000</w:t>
      </w:r>
    </w:p>
    <w:p w14:paraId="7E9BC551" w14:textId="77777777" w:rsidR="00FA4AA8" w:rsidRDefault="007E2441">
      <w:pPr>
        <w:spacing w:before="146" w:line="369" w:lineRule="auto"/>
        <w:ind w:left="564" w:right="7797"/>
        <w:rPr>
          <w:b/>
          <w:sz w:val="18"/>
        </w:rPr>
      </w:pPr>
      <w:r>
        <w:rPr>
          <w:noProof/>
          <w:lang w:val="en-AU" w:eastAsia="en-AU"/>
        </w:rPr>
        <mc:AlternateContent>
          <mc:Choice Requires="wps">
            <w:drawing>
              <wp:anchor distT="0" distB="0" distL="114300" distR="114300" simplePos="0" relativeHeight="15748096" behindDoc="0" locked="0" layoutInCell="1" allowOverlap="1" wp14:anchorId="5A0D99BC" wp14:editId="56CFB01D">
                <wp:simplePos x="0" y="0"/>
                <wp:positionH relativeFrom="page">
                  <wp:posOffset>859790</wp:posOffset>
                </wp:positionH>
                <wp:positionV relativeFrom="paragraph">
                  <wp:posOffset>447040</wp:posOffset>
                </wp:positionV>
                <wp:extent cx="4131310" cy="360680"/>
                <wp:effectExtent l="0" t="0" r="0" b="0"/>
                <wp:wrapNone/>
                <wp:docPr id="2623" name="Text Box 2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131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8104"/>
                              <w:gridCol w:w="1464"/>
                            </w:tblGrid>
                            <w:tr w:rsidR="001F3ACE" w14:paraId="1E86AA6A" w14:textId="77777777">
                              <w:trPr>
                                <w:trHeight w:val="233"/>
                              </w:trPr>
                              <w:tc>
                                <w:tcPr>
                                  <w:tcW w:w="8104" w:type="dxa"/>
                                </w:tcPr>
                                <w:p w14:paraId="24A8134E" w14:textId="77777777" w:rsidR="001F3ACE" w:rsidRDefault="001F3ACE">
                                  <w:pPr>
                                    <w:pStyle w:val="TableParagraph"/>
                                    <w:spacing w:line="201" w:lineRule="exact"/>
                                    <w:ind w:left="50"/>
                                    <w:rPr>
                                      <w:sz w:val="18"/>
                                    </w:rPr>
                                  </w:pPr>
                                  <w:r>
                                    <w:rPr>
                                      <w:sz w:val="18"/>
                                    </w:rPr>
                                    <w:t>Carrying amount at start of year</w:t>
                                  </w:r>
                                </w:p>
                              </w:tc>
                              <w:tc>
                                <w:tcPr>
                                  <w:tcW w:w="1464" w:type="dxa"/>
                                </w:tcPr>
                                <w:p w14:paraId="5EF956E0" w14:textId="77777777" w:rsidR="001F3ACE" w:rsidRDefault="001F3ACE">
                                  <w:pPr>
                                    <w:pStyle w:val="TableParagraph"/>
                                    <w:spacing w:line="203" w:lineRule="exact"/>
                                    <w:ind w:right="84"/>
                                    <w:jc w:val="right"/>
                                    <w:rPr>
                                      <w:b/>
                                      <w:sz w:val="18"/>
                                    </w:rPr>
                                  </w:pPr>
                                  <w:r>
                                    <w:rPr>
                                      <w:b/>
                                      <w:sz w:val="18"/>
                                    </w:rPr>
                                    <w:t>826</w:t>
                                  </w:r>
                                </w:p>
                              </w:tc>
                            </w:tr>
                            <w:tr w:rsidR="001F3ACE" w14:paraId="641B84EB" w14:textId="77777777">
                              <w:trPr>
                                <w:trHeight w:val="258"/>
                              </w:trPr>
                              <w:tc>
                                <w:tcPr>
                                  <w:tcW w:w="8104" w:type="dxa"/>
                                </w:tcPr>
                                <w:p w14:paraId="2F447296" w14:textId="77777777" w:rsidR="001F3ACE" w:rsidRDefault="001F3ACE">
                                  <w:pPr>
                                    <w:pStyle w:val="TableParagraph"/>
                                    <w:spacing w:before="24"/>
                                    <w:ind w:left="50"/>
                                    <w:rPr>
                                      <w:sz w:val="18"/>
                                    </w:rPr>
                                  </w:pPr>
                                  <w:r>
                                    <w:rPr>
                                      <w:sz w:val="18"/>
                                    </w:rPr>
                                    <w:t>Additional provisions</w:t>
                                  </w:r>
                                </w:p>
                              </w:tc>
                              <w:tc>
                                <w:tcPr>
                                  <w:tcW w:w="1464" w:type="dxa"/>
                                  <w:tcBorders>
                                    <w:bottom w:val="single" w:sz="8" w:space="0" w:color="000000"/>
                                  </w:tcBorders>
                                </w:tcPr>
                                <w:p w14:paraId="6FECA24E" w14:textId="77777777" w:rsidR="001F3ACE" w:rsidRDefault="001F3ACE">
                                  <w:pPr>
                                    <w:pStyle w:val="TableParagraph"/>
                                    <w:spacing w:before="26"/>
                                    <w:ind w:right="84"/>
                                    <w:jc w:val="right"/>
                                    <w:rPr>
                                      <w:b/>
                                      <w:sz w:val="18"/>
                                    </w:rPr>
                                  </w:pPr>
                                  <w:r>
                                    <w:rPr>
                                      <w:b/>
                                      <w:sz w:val="18"/>
                                    </w:rPr>
                                    <w:t>66</w:t>
                                  </w:r>
                                </w:p>
                              </w:tc>
                            </w:tr>
                            <w:tr w:rsidR="001F3ACE" w14:paraId="7F554116" w14:textId="77777777">
                              <w:trPr>
                                <w:trHeight w:val="322"/>
                              </w:trPr>
                              <w:tc>
                                <w:tcPr>
                                  <w:tcW w:w="8104" w:type="dxa"/>
                                </w:tcPr>
                                <w:p w14:paraId="0EC70B82" w14:textId="77777777" w:rsidR="001F3ACE" w:rsidRDefault="001F3ACE">
                                  <w:pPr>
                                    <w:pStyle w:val="TableParagraph"/>
                                    <w:spacing w:before="115" w:line="188" w:lineRule="exact"/>
                                    <w:ind w:left="50"/>
                                    <w:rPr>
                                      <w:b/>
                                      <w:sz w:val="18"/>
                                    </w:rPr>
                                  </w:pPr>
                                  <w:r>
                                    <w:rPr>
                                      <w:b/>
                                      <w:sz w:val="18"/>
                                    </w:rPr>
                                    <w:t>Balance at 31 December 2018</w:t>
                                  </w:r>
                                </w:p>
                              </w:tc>
                              <w:tc>
                                <w:tcPr>
                                  <w:tcW w:w="1464" w:type="dxa"/>
                                  <w:tcBorders>
                                    <w:top w:val="single" w:sz="8" w:space="0" w:color="000000"/>
                                  </w:tcBorders>
                                </w:tcPr>
                                <w:p w14:paraId="05112F6E" w14:textId="77777777" w:rsidR="001F3ACE" w:rsidRDefault="001F3ACE">
                                  <w:pPr>
                                    <w:pStyle w:val="TableParagraph"/>
                                    <w:tabs>
                                      <w:tab w:val="left" w:pos="1075"/>
                                    </w:tabs>
                                    <w:spacing w:before="115" w:line="188" w:lineRule="exact"/>
                                    <w:ind w:right="84"/>
                                    <w:jc w:val="right"/>
                                    <w:rPr>
                                      <w:b/>
                                      <w:sz w:val="18"/>
                                    </w:rPr>
                                  </w:pPr>
                                  <w:r>
                                    <w:rPr>
                                      <w:rFonts w:ascii="Times New Roman"/>
                                      <w:sz w:val="18"/>
                                      <w:u w:val="double"/>
                                    </w:rPr>
                                    <w:t xml:space="preserve"> </w:t>
                                  </w:r>
                                  <w:r>
                                    <w:rPr>
                                      <w:rFonts w:ascii="Times New Roman"/>
                                      <w:sz w:val="18"/>
                                      <w:u w:val="double"/>
                                    </w:rPr>
                                    <w:tab/>
                                  </w:r>
                                  <w:r>
                                    <w:rPr>
                                      <w:b/>
                                      <w:spacing w:val="-6"/>
                                      <w:sz w:val="18"/>
                                      <w:u w:val="double"/>
                                    </w:rPr>
                                    <w:t>892</w:t>
                                  </w:r>
                                </w:p>
                              </w:tc>
                            </w:tr>
                          </w:tbl>
                          <w:p w14:paraId="04AED6B1" w14:textId="77777777" w:rsidR="001F3ACE" w:rsidRDefault="001F3AC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D99BC" id="Text Box 2389" o:spid="_x0000_s1033" type="#_x0000_t202" style="position:absolute;left:0;text-align:left;margin-left:67.7pt;margin-top:35.2pt;width:325.3pt;height:28.4pt;z-index:1574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8104"/>
                        <w:gridCol w:w="1464"/>
                      </w:tblGrid>
                      <w:tr w:rsidR="001F3ACE" w14:paraId="1E86AA6A" w14:textId="77777777">
                        <w:trPr>
                          <w:trHeight w:val="233"/>
                        </w:trPr>
                        <w:tc>
                          <w:tcPr>
                            <w:tcW w:w="8104" w:type="dxa"/>
                          </w:tcPr>
                          <w:p w14:paraId="24A8134E" w14:textId="77777777" w:rsidR="001F3ACE" w:rsidRDefault="001F3ACE">
                            <w:pPr>
                              <w:pStyle w:val="TableParagraph"/>
                              <w:spacing w:line="201" w:lineRule="exact"/>
                              <w:ind w:left="50"/>
                              <w:rPr>
                                <w:sz w:val="18"/>
                              </w:rPr>
                            </w:pPr>
                            <w:r>
                              <w:rPr>
                                <w:sz w:val="18"/>
                              </w:rPr>
                              <w:t>Carrying amount at start of year</w:t>
                            </w:r>
                          </w:p>
                        </w:tc>
                        <w:tc>
                          <w:tcPr>
                            <w:tcW w:w="1464" w:type="dxa"/>
                          </w:tcPr>
                          <w:p w14:paraId="5EF956E0" w14:textId="77777777" w:rsidR="001F3ACE" w:rsidRDefault="001F3ACE">
                            <w:pPr>
                              <w:pStyle w:val="TableParagraph"/>
                              <w:spacing w:line="203" w:lineRule="exact"/>
                              <w:ind w:right="84"/>
                              <w:jc w:val="right"/>
                              <w:rPr>
                                <w:b/>
                                <w:sz w:val="18"/>
                              </w:rPr>
                            </w:pPr>
                            <w:r>
                              <w:rPr>
                                <w:b/>
                                <w:sz w:val="18"/>
                              </w:rPr>
                              <w:t>826</w:t>
                            </w:r>
                          </w:p>
                        </w:tc>
                      </w:tr>
                      <w:tr w:rsidR="001F3ACE" w14:paraId="641B84EB" w14:textId="77777777">
                        <w:trPr>
                          <w:trHeight w:val="258"/>
                        </w:trPr>
                        <w:tc>
                          <w:tcPr>
                            <w:tcW w:w="8104" w:type="dxa"/>
                          </w:tcPr>
                          <w:p w14:paraId="2F447296" w14:textId="77777777" w:rsidR="001F3ACE" w:rsidRDefault="001F3ACE">
                            <w:pPr>
                              <w:pStyle w:val="TableParagraph"/>
                              <w:spacing w:before="24"/>
                              <w:ind w:left="50"/>
                              <w:rPr>
                                <w:sz w:val="18"/>
                              </w:rPr>
                            </w:pPr>
                            <w:r>
                              <w:rPr>
                                <w:sz w:val="18"/>
                              </w:rPr>
                              <w:t>Additional provisions</w:t>
                            </w:r>
                          </w:p>
                        </w:tc>
                        <w:tc>
                          <w:tcPr>
                            <w:tcW w:w="1464" w:type="dxa"/>
                            <w:tcBorders>
                              <w:bottom w:val="single" w:sz="8" w:space="0" w:color="000000"/>
                            </w:tcBorders>
                          </w:tcPr>
                          <w:p w14:paraId="6FECA24E" w14:textId="77777777" w:rsidR="001F3ACE" w:rsidRDefault="001F3ACE">
                            <w:pPr>
                              <w:pStyle w:val="TableParagraph"/>
                              <w:spacing w:before="26"/>
                              <w:ind w:right="84"/>
                              <w:jc w:val="right"/>
                              <w:rPr>
                                <w:b/>
                                <w:sz w:val="18"/>
                              </w:rPr>
                            </w:pPr>
                            <w:r>
                              <w:rPr>
                                <w:b/>
                                <w:sz w:val="18"/>
                              </w:rPr>
                              <w:t>66</w:t>
                            </w:r>
                          </w:p>
                        </w:tc>
                      </w:tr>
                      <w:tr w:rsidR="001F3ACE" w14:paraId="7F554116" w14:textId="77777777">
                        <w:trPr>
                          <w:trHeight w:val="322"/>
                        </w:trPr>
                        <w:tc>
                          <w:tcPr>
                            <w:tcW w:w="8104" w:type="dxa"/>
                          </w:tcPr>
                          <w:p w14:paraId="0EC70B82" w14:textId="77777777" w:rsidR="001F3ACE" w:rsidRDefault="001F3ACE">
                            <w:pPr>
                              <w:pStyle w:val="TableParagraph"/>
                              <w:spacing w:before="115" w:line="188" w:lineRule="exact"/>
                              <w:ind w:left="50"/>
                              <w:rPr>
                                <w:b/>
                                <w:sz w:val="18"/>
                              </w:rPr>
                            </w:pPr>
                            <w:r>
                              <w:rPr>
                                <w:b/>
                                <w:sz w:val="18"/>
                              </w:rPr>
                              <w:t>Balance at 31 December 2018</w:t>
                            </w:r>
                          </w:p>
                        </w:tc>
                        <w:tc>
                          <w:tcPr>
                            <w:tcW w:w="1464" w:type="dxa"/>
                            <w:tcBorders>
                              <w:top w:val="single" w:sz="8" w:space="0" w:color="000000"/>
                            </w:tcBorders>
                          </w:tcPr>
                          <w:p w14:paraId="05112F6E" w14:textId="77777777" w:rsidR="001F3ACE" w:rsidRDefault="001F3ACE">
                            <w:pPr>
                              <w:pStyle w:val="TableParagraph"/>
                              <w:tabs>
                                <w:tab w:val="left" w:pos="1075"/>
                              </w:tabs>
                              <w:spacing w:before="115" w:line="188" w:lineRule="exact"/>
                              <w:ind w:right="84"/>
                              <w:jc w:val="right"/>
                              <w:rPr>
                                <w:b/>
                                <w:sz w:val="18"/>
                              </w:rPr>
                            </w:pPr>
                            <w:r>
                              <w:rPr>
                                <w:rFonts w:ascii="Times New Roman"/>
                                <w:sz w:val="18"/>
                                <w:u w:val="double"/>
                              </w:rPr>
                              <w:t xml:space="preserve"> </w:t>
                            </w:r>
                            <w:r>
                              <w:rPr>
                                <w:rFonts w:ascii="Times New Roman"/>
                                <w:sz w:val="18"/>
                                <w:u w:val="double"/>
                              </w:rPr>
                              <w:tab/>
                            </w:r>
                            <w:r>
                              <w:rPr>
                                <w:b/>
                                <w:spacing w:val="-6"/>
                                <w:sz w:val="18"/>
                                <w:u w:val="double"/>
                              </w:rPr>
                              <w:t>892</w:t>
                            </w:r>
                          </w:p>
                        </w:tc>
                      </w:tr>
                    </w:tbl>
                    <w:p w14:paraId="04AED6B1" w14:textId="77777777" w:rsidR="001F3ACE" w:rsidRDefault="001F3ACE">
                      <w:pPr>
                        <w:pStyle w:val="BodyText"/>
                      </w:pPr>
                    </w:p>
                  </w:txbxContent>
                </v:textbox>
                <w10:wrap anchorx="page"/>
              </v:shape>
            </w:pict>
          </mc:Fallback>
        </mc:AlternateContent>
      </w:r>
      <w:r w:rsidR="0015611F">
        <w:rPr>
          <w:b/>
          <w:sz w:val="18"/>
        </w:rPr>
        <w:t>Make good on leases Non-current</w:t>
      </w:r>
    </w:p>
    <w:p w14:paraId="38EDA053" w14:textId="77777777" w:rsidR="00FA4AA8" w:rsidRDefault="00FA4AA8">
      <w:pPr>
        <w:pStyle w:val="BodyText"/>
        <w:rPr>
          <w:b/>
          <w:sz w:val="20"/>
        </w:rPr>
      </w:pPr>
    </w:p>
    <w:p w14:paraId="0F2C5936" w14:textId="77777777" w:rsidR="00FA4AA8" w:rsidRDefault="00FA4AA8">
      <w:pPr>
        <w:pStyle w:val="BodyText"/>
        <w:rPr>
          <w:b/>
          <w:sz w:val="20"/>
        </w:rPr>
      </w:pPr>
    </w:p>
    <w:p w14:paraId="336723EA" w14:textId="77777777" w:rsidR="00FA4AA8" w:rsidRDefault="00FA4AA8">
      <w:pPr>
        <w:pStyle w:val="BodyText"/>
        <w:rPr>
          <w:b/>
          <w:sz w:val="20"/>
        </w:rPr>
      </w:pPr>
    </w:p>
    <w:p w14:paraId="16D9A3CC" w14:textId="77777777" w:rsidR="00FA4AA8" w:rsidRDefault="00FA4AA8">
      <w:pPr>
        <w:pStyle w:val="BodyText"/>
        <w:spacing w:before="7"/>
        <w:rPr>
          <w:b/>
          <w:sz w:val="26"/>
        </w:rPr>
      </w:pPr>
    </w:p>
    <w:p w14:paraId="366D9024" w14:textId="77777777" w:rsidR="00FA4AA8" w:rsidRDefault="0015611F">
      <w:pPr>
        <w:pStyle w:val="BodyText"/>
        <w:spacing w:before="94"/>
        <w:ind w:left="564"/>
      </w:pPr>
      <w:r>
        <w:t>The University has an obligation to make good on leased premises at the end of certain rental agreements. A provision has been made factoring in the cost of bringing the premises back to the conditions specified in the lease agreements.</w:t>
      </w:r>
    </w:p>
    <w:p w14:paraId="243F9669" w14:textId="77777777" w:rsidR="00FA4AA8" w:rsidRDefault="00FA4AA8">
      <w:pPr>
        <w:pStyle w:val="BodyText"/>
        <w:rPr>
          <w:sz w:val="20"/>
        </w:rPr>
      </w:pPr>
    </w:p>
    <w:p w14:paraId="367A121C" w14:textId="77777777" w:rsidR="00FA4AA8" w:rsidRDefault="00FA4AA8">
      <w:pPr>
        <w:pStyle w:val="BodyText"/>
        <w:spacing w:before="6"/>
        <w:rPr>
          <w:sz w:val="17"/>
        </w:rPr>
      </w:pPr>
    </w:p>
    <w:p w14:paraId="04159F75" w14:textId="77777777" w:rsidR="00FA4AA8" w:rsidRDefault="0015611F">
      <w:pPr>
        <w:ind w:left="564"/>
        <w:rPr>
          <w:i/>
          <w:sz w:val="18"/>
        </w:rPr>
      </w:pPr>
      <w:r>
        <w:rPr>
          <w:i/>
          <w:sz w:val="18"/>
          <w:u w:val="single"/>
        </w:rPr>
        <w:t>Accounting Policy</w:t>
      </w:r>
    </w:p>
    <w:p w14:paraId="4C92F277" w14:textId="77777777" w:rsidR="00FA4AA8" w:rsidRDefault="00FA4AA8">
      <w:pPr>
        <w:pStyle w:val="BodyText"/>
        <w:spacing w:before="2"/>
        <w:rPr>
          <w:i/>
          <w:sz w:val="17"/>
        </w:rPr>
      </w:pPr>
    </w:p>
    <w:p w14:paraId="3C6CAA74" w14:textId="77777777" w:rsidR="00FA4AA8" w:rsidRDefault="0015611F">
      <w:pPr>
        <w:pStyle w:val="BodyText"/>
        <w:spacing w:before="95"/>
        <w:ind w:left="563" w:right="265"/>
        <w:jc w:val="both"/>
      </w:pPr>
      <w:r>
        <w:t>Provisions for legal claims and service warranties are recognised when the Group has a present legal or constructive obligation as a result of past events; it is probable that an outflow of resources will be required to settle the obligation and the amount can be reliably estimated.</w:t>
      </w:r>
    </w:p>
    <w:p w14:paraId="2FD3FB35" w14:textId="77777777" w:rsidR="00FA4AA8" w:rsidRDefault="00FA4AA8">
      <w:pPr>
        <w:pStyle w:val="BodyText"/>
        <w:spacing w:before="10"/>
        <w:rPr>
          <w:sz w:val="24"/>
        </w:rPr>
      </w:pPr>
    </w:p>
    <w:p w14:paraId="7258FCA3" w14:textId="77777777" w:rsidR="00FA4AA8" w:rsidRDefault="0015611F">
      <w:pPr>
        <w:pStyle w:val="BodyText"/>
        <w:ind w:left="563" w:right="271"/>
      </w:pPr>
      <w:r>
        <w:t>Provisions are not recognised for future operating losses. Where there are a number of similar obligations, the likelihood that an outflow will be required in settlement is determined by considering the class of obligations as a whole. A provision is recognised even if the likelihood of an outflow with respect to any one item included in the same class of obligations may be small.</w:t>
      </w:r>
    </w:p>
    <w:p w14:paraId="5AE0F7FE" w14:textId="77777777" w:rsidR="00FA4AA8" w:rsidRDefault="00FA4AA8">
      <w:pPr>
        <w:pStyle w:val="BodyText"/>
        <w:spacing w:before="9"/>
        <w:rPr>
          <w:sz w:val="24"/>
        </w:rPr>
      </w:pPr>
    </w:p>
    <w:p w14:paraId="0396B201" w14:textId="77777777" w:rsidR="00FA4AA8" w:rsidRDefault="0015611F">
      <w:pPr>
        <w:pStyle w:val="BodyText"/>
        <w:spacing w:before="1"/>
        <w:ind w:left="563" w:right="132"/>
      </w:pPr>
      <w:r>
        <w:t>Provisions are measured at the present value of management's best estimate of the expenditure required to settle the present obligation at the end of the reporting period. The discount rate used to determine the present value reflects current market assessments of the time value of money and the risks specific to the liability. The increase in the provision due to the passage of time is recognised as a finance cost.</w:t>
      </w:r>
    </w:p>
    <w:p w14:paraId="473784F6" w14:textId="77777777" w:rsidR="00FA4AA8" w:rsidRDefault="00FA4AA8">
      <w:pPr>
        <w:pStyle w:val="BodyText"/>
        <w:spacing w:before="9"/>
        <w:rPr>
          <w:sz w:val="24"/>
        </w:rPr>
      </w:pPr>
    </w:p>
    <w:p w14:paraId="37F4BED7" w14:textId="77777777" w:rsidR="00FA4AA8" w:rsidRDefault="0015611F">
      <w:pPr>
        <w:ind w:left="563"/>
        <w:rPr>
          <w:b/>
          <w:sz w:val="18"/>
        </w:rPr>
      </w:pPr>
      <w:r>
        <w:rPr>
          <w:b/>
          <w:sz w:val="18"/>
        </w:rPr>
        <w:t>Employee benefits</w:t>
      </w:r>
    </w:p>
    <w:p w14:paraId="434A000B" w14:textId="77777777" w:rsidR="00FA4AA8" w:rsidRDefault="00FA4AA8">
      <w:pPr>
        <w:pStyle w:val="BodyText"/>
        <w:rPr>
          <w:b/>
          <w:sz w:val="25"/>
        </w:rPr>
      </w:pPr>
    </w:p>
    <w:p w14:paraId="08F079D8" w14:textId="77777777" w:rsidR="00FA4AA8" w:rsidRDefault="0015611F">
      <w:pPr>
        <w:pStyle w:val="BodyText"/>
        <w:ind w:left="563" w:right="132"/>
      </w:pPr>
      <w:r>
        <w:t>Provision is made for benefits accruing to employees in respect of wages and salaries, annual leave and long service leave when it is probable that settlement will be required and they are capable of being measured reliably. The calculation of employee benefits includes all relevant on-costs and is calculated as follows at reporting date.</w:t>
      </w:r>
    </w:p>
    <w:p w14:paraId="0C7F10C3" w14:textId="77777777" w:rsidR="00FA4AA8" w:rsidRDefault="00FA4AA8">
      <w:pPr>
        <w:pStyle w:val="BodyText"/>
        <w:spacing w:before="10"/>
        <w:rPr>
          <w:sz w:val="24"/>
        </w:rPr>
      </w:pPr>
    </w:p>
    <w:p w14:paraId="01B2D2A6" w14:textId="77777777" w:rsidR="00FA4AA8" w:rsidRDefault="0015611F">
      <w:pPr>
        <w:numPr>
          <w:ilvl w:val="0"/>
          <w:numId w:val="12"/>
        </w:numPr>
        <w:tabs>
          <w:tab w:val="left" w:pos="848"/>
        </w:tabs>
        <w:rPr>
          <w:b/>
          <w:i/>
          <w:sz w:val="18"/>
        </w:rPr>
      </w:pPr>
      <w:r>
        <w:rPr>
          <w:b/>
          <w:i/>
          <w:sz w:val="18"/>
        </w:rPr>
        <w:t>Wages and</w:t>
      </w:r>
      <w:r>
        <w:rPr>
          <w:b/>
          <w:i/>
          <w:spacing w:val="1"/>
          <w:sz w:val="18"/>
        </w:rPr>
        <w:t xml:space="preserve"> </w:t>
      </w:r>
      <w:r>
        <w:rPr>
          <w:b/>
          <w:i/>
          <w:sz w:val="18"/>
        </w:rPr>
        <w:t>salaries</w:t>
      </w:r>
    </w:p>
    <w:p w14:paraId="4447DA8F" w14:textId="77777777" w:rsidR="00FA4AA8" w:rsidRDefault="00FA4AA8">
      <w:pPr>
        <w:pStyle w:val="BodyText"/>
        <w:rPr>
          <w:b/>
          <w:i/>
          <w:sz w:val="25"/>
        </w:rPr>
      </w:pPr>
    </w:p>
    <w:p w14:paraId="139878E5" w14:textId="77777777" w:rsidR="00FA4AA8" w:rsidRDefault="0015611F">
      <w:pPr>
        <w:pStyle w:val="BodyText"/>
        <w:ind w:left="564" w:right="132"/>
      </w:pPr>
      <w:r>
        <w:t>Liabilities for short-term employee benefits including wages and salaries and non-monetary benefits are measured at the amount expected to be paid when the liability is settled, if it is expected to be settled wholly before 12 months after the end of the reporting period, and is recognised in other payables.</w:t>
      </w:r>
    </w:p>
    <w:p w14:paraId="5B62A49C" w14:textId="77777777" w:rsidR="00FA4AA8" w:rsidRDefault="00FA4AA8">
      <w:pPr>
        <w:sectPr w:rsidR="00FA4AA8">
          <w:pgSz w:w="11910" w:h="16840"/>
          <w:pgMar w:top="2220" w:right="880" w:bottom="720" w:left="840" w:header="1016" w:footer="523" w:gutter="0"/>
          <w:cols w:space="720"/>
        </w:sectPr>
      </w:pPr>
    </w:p>
    <w:p w14:paraId="7251D015" w14:textId="77777777" w:rsidR="00FA4AA8" w:rsidRDefault="00FA4AA8">
      <w:pPr>
        <w:pStyle w:val="BodyText"/>
        <w:rPr>
          <w:sz w:val="20"/>
        </w:rPr>
      </w:pPr>
    </w:p>
    <w:p w14:paraId="47A8A68C" w14:textId="77777777" w:rsidR="00FA4AA8" w:rsidRDefault="00FA4AA8">
      <w:pPr>
        <w:pStyle w:val="BodyText"/>
        <w:spacing w:before="10"/>
        <w:rPr>
          <w:sz w:val="29"/>
        </w:rPr>
      </w:pPr>
    </w:p>
    <w:p w14:paraId="2C0A1882" w14:textId="77777777" w:rsidR="00FA4AA8" w:rsidRDefault="0015611F">
      <w:pPr>
        <w:spacing w:before="94"/>
        <w:ind w:left="167"/>
        <w:rPr>
          <w:b/>
          <w:sz w:val="18"/>
        </w:rPr>
      </w:pPr>
      <w:r>
        <w:rPr>
          <w:b/>
          <w:sz w:val="18"/>
        </w:rPr>
        <w:t>25 Provisions (continued)</w:t>
      </w:r>
    </w:p>
    <w:p w14:paraId="1A5B104A" w14:textId="77777777" w:rsidR="00FA4AA8" w:rsidRDefault="00FA4AA8">
      <w:pPr>
        <w:pStyle w:val="BodyText"/>
        <w:spacing w:before="7"/>
        <w:rPr>
          <w:b/>
          <w:sz w:val="26"/>
        </w:rPr>
      </w:pPr>
    </w:p>
    <w:p w14:paraId="328CB14A" w14:textId="77777777" w:rsidR="00FA4AA8" w:rsidRDefault="0015611F">
      <w:pPr>
        <w:ind w:left="564"/>
        <w:rPr>
          <w:i/>
          <w:sz w:val="18"/>
        </w:rPr>
      </w:pPr>
      <w:r>
        <w:rPr>
          <w:i/>
          <w:sz w:val="18"/>
          <w:u w:val="single"/>
        </w:rPr>
        <w:t>Accounting Policy (continued)</w:t>
      </w:r>
    </w:p>
    <w:p w14:paraId="5A7A2585" w14:textId="77777777" w:rsidR="00FA4AA8" w:rsidRDefault="00FA4AA8">
      <w:pPr>
        <w:pStyle w:val="BodyText"/>
        <w:spacing w:before="3"/>
        <w:rPr>
          <w:i/>
          <w:sz w:val="17"/>
        </w:rPr>
      </w:pPr>
    </w:p>
    <w:p w14:paraId="1AFE3DA7" w14:textId="77777777" w:rsidR="00FA4AA8" w:rsidRDefault="0015611F">
      <w:pPr>
        <w:numPr>
          <w:ilvl w:val="0"/>
          <w:numId w:val="12"/>
        </w:numPr>
        <w:tabs>
          <w:tab w:val="left" w:pos="848"/>
        </w:tabs>
        <w:spacing w:before="94"/>
        <w:rPr>
          <w:b/>
          <w:i/>
          <w:sz w:val="18"/>
        </w:rPr>
      </w:pPr>
      <w:r>
        <w:rPr>
          <w:b/>
          <w:i/>
          <w:sz w:val="18"/>
        </w:rPr>
        <w:t>Annual leave and sick</w:t>
      </w:r>
      <w:r>
        <w:rPr>
          <w:b/>
          <w:i/>
          <w:spacing w:val="1"/>
          <w:sz w:val="18"/>
        </w:rPr>
        <w:t xml:space="preserve"> </w:t>
      </w:r>
      <w:r>
        <w:rPr>
          <w:b/>
          <w:i/>
          <w:sz w:val="18"/>
        </w:rPr>
        <w:t>leave</w:t>
      </w:r>
    </w:p>
    <w:p w14:paraId="268FFD72" w14:textId="77777777" w:rsidR="00FA4AA8" w:rsidRDefault="00FA4AA8">
      <w:pPr>
        <w:pStyle w:val="BodyText"/>
        <w:rPr>
          <w:b/>
          <w:i/>
          <w:sz w:val="25"/>
        </w:rPr>
      </w:pPr>
    </w:p>
    <w:p w14:paraId="7CFAC6B7" w14:textId="77777777" w:rsidR="00FA4AA8" w:rsidRDefault="0015611F">
      <w:pPr>
        <w:pStyle w:val="BodyText"/>
        <w:ind w:left="564"/>
      </w:pPr>
      <w:r>
        <w:t>Annual leave is measured at the amount expected to be paid when the liability is settled.</w:t>
      </w:r>
    </w:p>
    <w:p w14:paraId="3BA6658C" w14:textId="77777777" w:rsidR="00FA4AA8" w:rsidRDefault="00FA4AA8">
      <w:pPr>
        <w:pStyle w:val="BodyText"/>
        <w:rPr>
          <w:sz w:val="25"/>
        </w:rPr>
      </w:pPr>
    </w:p>
    <w:p w14:paraId="79928A7E" w14:textId="77777777" w:rsidR="00FA4AA8" w:rsidRDefault="0015611F">
      <w:pPr>
        <w:pStyle w:val="BodyText"/>
        <w:ind w:left="564" w:right="220"/>
      </w:pPr>
      <w:r>
        <w:t>Sick leave is cumulative but not vesting and therefore is not recognised in employee provisions. Liabilities for sick leave are recognised when the leave is taken and measured at the rates paid or payable.</w:t>
      </w:r>
    </w:p>
    <w:p w14:paraId="05D7ED6D" w14:textId="77777777" w:rsidR="00FA4AA8" w:rsidRDefault="00FA4AA8">
      <w:pPr>
        <w:pStyle w:val="BodyText"/>
        <w:spacing w:before="11"/>
        <w:rPr>
          <w:sz w:val="24"/>
        </w:rPr>
      </w:pPr>
    </w:p>
    <w:p w14:paraId="47BC2692" w14:textId="77777777" w:rsidR="00FA4AA8" w:rsidRDefault="0015611F">
      <w:pPr>
        <w:pStyle w:val="BodyText"/>
        <w:ind w:left="564" w:right="132"/>
      </w:pPr>
      <w:r>
        <w:t>It is measured at the present value of expected future payments to be made in respect of services provided by employees up to the reporting date using the projected unit credit method. Consideration is given to expected future wage and salary levels, experience of employee departures and periods of service. Expected future payments are discounted using market yields at the reporting date on national government bonds with terms to maturity and currency that match, as closely as possible, the estimated future cash outflows.</w:t>
      </w:r>
    </w:p>
    <w:p w14:paraId="18207CD1" w14:textId="77777777" w:rsidR="00FA4AA8" w:rsidRDefault="00FA4AA8">
      <w:pPr>
        <w:pStyle w:val="BodyText"/>
        <w:spacing w:before="9"/>
        <w:rPr>
          <w:sz w:val="24"/>
        </w:rPr>
      </w:pPr>
    </w:p>
    <w:p w14:paraId="3161263C" w14:textId="77777777" w:rsidR="00FA4AA8" w:rsidRDefault="0015611F">
      <w:pPr>
        <w:pStyle w:val="BodyText"/>
        <w:ind w:left="564" w:right="217"/>
        <w:jc w:val="both"/>
      </w:pPr>
      <w:r>
        <w:t>Regardless of the expected timing of settlements, provisions made in respect of employee benefits are classified as a current liability, unless there is an unconditional right to defer the settlement of the liability for at least 12 months after the reporting date, in which case it would be classified as a non-current liability.</w:t>
      </w:r>
    </w:p>
    <w:p w14:paraId="77048A22" w14:textId="77777777" w:rsidR="00FA4AA8" w:rsidRDefault="00FA4AA8">
      <w:pPr>
        <w:pStyle w:val="BodyText"/>
        <w:spacing w:before="10"/>
        <w:rPr>
          <w:sz w:val="24"/>
        </w:rPr>
      </w:pPr>
    </w:p>
    <w:p w14:paraId="04343F5A" w14:textId="77777777" w:rsidR="00FA4AA8" w:rsidRDefault="0015611F">
      <w:pPr>
        <w:numPr>
          <w:ilvl w:val="0"/>
          <w:numId w:val="12"/>
        </w:numPr>
        <w:tabs>
          <w:tab w:val="left" w:pos="848"/>
        </w:tabs>
        <w:rPr>
          <w:b/>
          <w:i/>
          <w:sz w:val="16"/>
        </w:rPr>
      </w:pPr>
      <w:r>
        <w:rPr>
          <w:b/>
          <w:i/>
          <w:sz w:val="18"/>
        </w:rPr>
        <w:t>Long service</w:t>
      </w:r>
      <w:r>
        <w:rPr>
          <w:b/>
          <w:i/>
          <w:spacing w:val="1"/>
          <w:sz w:val="18"/>
        </w:rPr>
        <w:t xml:space="preserve"> </w:t>
      </w:r>
      <w:r>
        <w:rPr>
          <w:b/>
          <w:i/>
          <w:sz w:val="18"/>
        </w:rPr>
        <w:t>leave</w:t>
      </w:r>
    </w:p>
    <w:p w14:paraId="636F230E" w14:textId="77777777" w:rsidR="00FA4AA8" w:rsidRDefault="00FA4AA8">
      <w:pPr>
        <w:pStyle w:val="BodyText"/>
        <w:rPr>
          <w:b/>
          <w:i/>
          <w:sz w:val="25"/>
        </w:rPr>
      </w:pPr>
    </w:p>
    <w:p w14:paraId="39A0B53D" w14:textId="77777777" w:rsidR="00FA4AA8" w:rsidRDefault="0015611F">
      <w:pPr>
        <w:pStyle w:val="BodyText"/>
        <w:ind w:left="564" w:right="132"/>
      </w:pPr>
      <w:r>
        <w:t>The liability for long service leave is measured at the present value of expected future payments to be made in respect of services provided by employees up to the reporting date using the projected unit credit method. Consideration is given to expected future wage and salary levels, experience of employee departures and periods of service. Expected future payments are discounted using market yields at the reporting date on national government bonds with terms to maturity and currency that match, as closely as possible, the estimated future cash outflows.</w:t>
      </w:r>
    </w:p>
    <w:p w14:paraId="6555C73D" w14:textId="77777777" w:rsidR="00FA4AA8" w:rsidRDefault="00FA4AA8">
      <w:pPr>
        <w:pStyle w:val="BodyText"/>
        <w:spacing w:before="9"/>
        <w:rPr>
          <w:sz w:val="24"/>
        </w:rPr>
      </w:pPr>
    </w:p>
    <w:p w14:paraId="26C96673" w14:textId="77777777" w:rsidR="00FA4AA8" w:rsidRDefault="0015611F">
      <w:pPr>
        <w:pStyle w:val="BodyText"/>
        <w:ind w:left="564" w:right="217"/>
        <w:jc w:val="both"/>
      </w:pPr>
      <w:r>
        <w:t>Regardless of the expected timing of settlements, provisions made in respect of employee benefits are classified as a current liability, unless there is an unconditional right to defer the settlement of the liability for at least 12 months after the reporting date, in which case it would be classified as a non-current liability.</w:t>
      </w:r>
    </w:p>
    <w:p w14:paraId="176C03D9" w14:textId="77777777" w:rsidR="00FA4AA8" w:rsidRDefault="00FA4AA8">
      <w:pPr>
        <w:pStyle w:val="BodyText"/>
        <w:spacing w:before="10"/>
        <w:rPr>
          <w:sz w:val="24"/>
        </w:rPr>
      </w:pPr>
    </w:p>
    <w:p w14:paraId="25DC6CE8" w14:textId="77777777" w:rsidR="00FA4AA8" w:rsidRDefault="0015611F">
      <w:pPr>
        <w:numPr>
          <w:ilvl w:val="0"/>
          <w:numId w:val="12"/>
        </w:numPr>
        <w:tabs>
          <w:tab w:val="left" w:pos="848"/>
        </w:tabs>
        <w:spacing w:before="1"/>
        <w:rPr>
          <w:b/>
          <w:i/>
          <w:sz w:val="18"/>
        </w:rPr>
      </w:pPr>
      <w:r>
        <w:rPr>
          <w:b/>
          <w:i/>
          <w:sz w:val="18"/>
        </w:rPr>
        <w:t>Retirement benefit obligations</w:t>
      </w:r>
    </w:p>
    <w:p w14:paraId="144AC84A" w14:textId="77777777" w:rsidR="00FA4AA8" w:rsidRDefault="00FA4AA8">
      <w:pPr>
        <w:pStyle w:val="BodyText"/>
        <w:spacing w:before="11"/>
        <w:rPr>
          <w:b/>
          <w:i/>
          <w:sz w:val="24"/>
        </w:rPr>
      </w:pPr>
    </w:p>
    <w:p w14:paraId="13F287B7" w14:textId="77777777" w:rsidR="00FA4AA8" w:rsidRDefault="0015611F">
      <w:pPr>
        <w:pStyle w:val="BodyText"/>
        <w:ind w:left="563" w:right="132"/>
      </w:pPr>
      <w:r>
        <w:t>Members of the closed NSW Public Sector Superannuation schemes (SASS, SSS and SANCS) are entitled to benefits on retirement, disability or death from the Group's superannuation plan. The Group has a defined benefit section and a defined contribution section within its plan. The defined benefit section provides defined lump sum benefits based on years of service and final average salary. The defined contribution section receives fixed contributions from Group companies and the Group's legal or constructive obligation is limited to these contributions. The employees of the parent entity are all members of the defined contribution section of the Group's plan.</w:t>
      </w:r>
    </w:p>
    <w:p w14:paraId="5A4D403C" w14:textId="77777777" w:rsidR="00FA4AA8" w:rsidRDefault="00FA4AA8">
      <w:pPr>
        <w:pStyle w:val="BodyText"/>
        <w:spacing w:before="8"/>
        <w:rPr>
          <w:sz w:val="24"/>
        </w:rPr>
      </w:pPr>
    </w:p>
    <w:p w14:paraId="60A625F2" w14:textId="77777777" w:rsidR="00FA4AA8" w:rsidRDefault="0015611F">
      <w:pPr>
        <w:pStyle w:val="BodyText"/>
        <w:spacing w:before="1"/>
        <w:ind w:left="564"/>
        <w:jc w:val="both"/>
      </w:pPr>
      <w:r>
        <w:t>Refer to note 38 for specific treatment and policies on defined benefit superannuation plans.</w:t>
      </w:r>
    </w:p>
    <w:p w14:paraId="610AA12F" w14:textId="77777777" w:rsidR="00FA4AA8" w:rsidRDefault="00FA4AA8">
      <w:pPr>
        <w:jc w:val="both"/>
        <w:sectPr w:rsidR="00FA4AA8">
          <w:pgSz w:w="11910" w:h="16840"/>
          <w:pgMar w:top="2220" w:right="880" w:bottom="720" w:left="840" w:header="1016" w:footer="523" w:gutter="0"/>
          <w:cols w:space="720"/>
        </w:sectPr>
      </w:pPr>
    </w:p>
    <w:p w14:paraId="6FD673F8" w14:textId="77777777" w:rsidR="00FA4AA8" w:rsidRDefault="00FA4AA8">
      <w:pPr>
        <w:pStyle w:val="BodyText"/>
        <w:rPr>
          <w:sz w:val="20"/>
        </w:rPr>
      </w:pPr>
    </w:p>
    <w:p w14:paraId="112BE084" w14:textId="77777777" w:rsidR="00FA4AA8" w:rsidRDefault="00FA4AA8">
      <w:pPr>
        <w:pStyle w:val="BodyText"/>
        <w:spacing w:before="10"/>
        <w:rPr>
          <w:sz w:val="29"/>
        </w:rPr>
      </w:pPr>
    </w:p>
    <w:p w14:paraId="5B50DF53" w14:textId="77777777" w:rsidR="00FA4AA8" w:rsidRDefault="0015611F">
      <w:pPr>
        <w:numPr>
          <w:ilvl w:val="0"/>
          <w:numId w:val="96"/>
        </w:numPr>
        <w:tabs>
          <w:tab w:val="left" w:pos="564"/>
        </w:tabs>
        <w:spacing w:before="94"/>
        <w:ind w:hanging="397"/>
        <w:rPr>
          <w:b/>
          <w:sz w:val="18"/>
        </w:rPr>
      </w:pPr>
      <w:r>
        <w:rPr>
          <w:b/>
          <w:sz w:val="18"/>
        </w:rPr>
        <w:t>Provisions (continued)</w:t>
      </w:r>
    </w:p>
    <w:p w14:paraId="489455E8" w14:textId="77777777" w:rsidR="00FA4AA8" w:rsidRDefault="00FA4AA8">
      <w:pPr>
        <w:pStyle w:val="BodyText"/>
        <w:spacing w:before="7"/>
        <w:rPr>
          <w:b/>
          <w:sz w:val="26"/>
        </w:rPr>
      </w:pPr>
    </w:p>
    <w:p w14:paraId="7DB08E8D" w14:textId="77777777" w:rsidR="00FA4AA8" w:rsidRDefault="0015611F">
      <w:pPr>
        <w:ind w:left="564"/>
        <w:rPr>
          <w:i/>
          <w:sz w:val="18"/>
        </w:rPr>
      </w:pPr>
      <w:r>
        <w:rPr>
          <w:i/>
          <w:sz w:val="18"/>
          <w:u w:val="single"/>
        </w:rPr>
        <w:t>Accounting Policy (continued)</w:t>
      </w:r>
    </w:p>
    <w:p w14:paraId="7959BF4A" w14:textId="77777777" w:rsidR="00FA4AA8" w:rsidRDefault="00FA4AA8">
      <w:pPr>
        <w:pStyle w:val="BodyText"/>
        <w:spacing w:before="3"/>
        <w:rPr>
          <w:i/>
          <w:sz w:val="17"/>
        </w:rPr>
      </w:pPr>
    </w:p>
    <w:p w14:paraId="030C74B2" w14:textId="77777777" w:rsidR="00FA4AA8" w:rsidRDefault="0015611F">
      <w:pPr>
        <w:numPr>
          <w:ilvl w:val="0"/>
          <w:numId w:val="12"/>
        </w:numPr>
        <w:tabs>
          <w:tab w:val="left" w:pos="848"/>
        </w:tabs>
        <w:spacing w:before="94"/>
        <w:rPr>
          <w:b/>
          <w:i/>
          <w:sz w:val="18"/>
        </w:rPr>
      </w:pPr>
      <w:r>
        <w:rPr>
          <w:b/>
          <w:i/>
          <w:sz w:val="18"/>
        </w:rPr>
        <w:t>Termination benefits</w:t>
      </w:r>
    </w:p>
    <w:p w14:paraId="0FE5790E" w14:textId="77777777" w:rsidR="00FA4AA8" w:rsidRDefault="00FA4AA8">
      <w:pPr>
        <w:pStyle w:val="BodyText"/>
        <w:rPr>
          <w:b/>
          <w:i/>
          <w:sz w:val="25"/>
        </w:rPr>
      </w:pPr>
    </w:p>
    <w:p w14:paraId="7161BDE4" w14:textId="77777777" w:rsidR="00FA4AA8" w:rsidRDefault="0015611F">
      <w:pPr>
        <w:pStyle w:val="BodyText"/>
        <w:ind w:left="563" w:right="132"/>
      </w:pPr>
      <w:r>
        <w:t>Termination benefits are payable when employment is terminated before the normal retirement date, or when an employee accepts an offer of benefits in exchange for the termination of employment. The Group recognises the expense and liability for termination benefits either when it can no longer withdraw the offer of those benefits or when it has recognised costs for restructuring within the scope of AASB 137 that involves the payment of termination benefits. The expense and liability are recognised when the Group is demonstrably committed to either terminating the employment of current employees according to a detailed formal plan without possibility of withdrawal or providing termination benefits as a result of an offer made to encourage voluntary redundancy.</w:t>
      </w:r>
    </w:p>
    <w:p w14:paraId="4DBEC053" w14:textId="77777777" w:rsidR="00FA4AA8" w:rsidRDefault="00FA4AA8">
      <w:pPr>
        <w:pStyle w:val="BodyText"/>
        <w:spacing w:before="8"/>
        <w:rPr>
          <w:sz w:val="24"/>
        </w:rPr>
      </w:pPr>
    </w:p>
    <w:p w14:paraId="29E50A98" w14:textId="77777777" w:rsidR="00FA4AA8" w:rsidRDefault="0015611F">
      <w:pPr>
        <w:pStyle w:val="BodyText"/>
        <w:ind w:left="564"/>
      </w:pPr>
      <w:bookmarkStart w:id="53" w:name="26_Other_liabilities_"/>
      <w:bookmarkEnd w:id="53"/>
      <w:r>
        <w:t>Termination benefits are measured on initial recognition and subsequent changes are measured and recognised in accordance with the nature of the employee benefit. Benefits expected to be settled wholly within 12 months are measured at the undiscounted amount expected to be paid. Benefits not expected to be settled before 12 months after the end of the reporting period are discounted to present value.</w:t>
      </w:r>
    </w:p>
    <w:p w14:paraId="52D425E9" w14:textId="77777777" w:rsidR="00FA4AA8" w:rsidRDefault="00FA4AA8">
      <w:pPr>
        <w:pStyle w:val="BodyText"/>
        <w:spacing w:before="7"/>
        <w:rPr>
          <w:sz w:val="16"/>
        </w:rPr>
      </w:pPr>
    </w:p>
    <w:p w14:paraId="2FBF3A6E" w14:textId="77777777" w:rsidR="00FA4AA8" w:rsidRDefault="0015611F">
      <w:pPr>
        <w:numPr>
          <w:ilvl w:val="0"/>
          <w:numId w:val="96"/>
        </w:numPr>
        <w:tabs>
          <w:tab w:val="left" w:pos="564"/>
        </w:tabs>
        <w:spacing w:before="95"/>
        <w:ind w:hanging="397"/>
        <w:rPr>
          <w:b/>
          <w:sz w:val="18"/>
        </w:rPr>
      </w:pPr>
      <w:r>
        <w:rPr>
          <w:b/>
          <w:sz w:val="18"/>
        </w:rPr>
        <w:t>Other liabilities</w:t>
      </w:r>
    </w:p>
    <w:p w14:paraId="56315F2F" w14:textId="77777777" w:rsidR="00FA4AA8" w:rsidRDefault="0015611F">
      <w:pPr>
        <w:tabs>
          <w:tab w:val="left" w:pos="8428"/>
        </w:tabs>
        <w:spacing w:before="33"/>
        <w:ind w:left="5378"/>
        <w:rPr>
          <w:b/>
          <w:sz w:val="18"/>
        </w:rPr>
      </w:pPr>
      <w:r>
        <w:rPr>
          <w:b/>
          <w:sz w:val="18"/>
        </w:rPr>
        <w:t>Consolidated</w:t>
      </w:r>
      <w:r>
        <w:rPr>
          <w:b/>
          <w:sz w:val="18"/>
        </w:rPr>
        <w:tab/>
        <w:t>Parent</w:t>
      </w:r>
    </w:p>
    <w:p w14:paraId="3F1D6404" w14:textId="77777777" w:rsidR="00FA4AA8" w:rsidRDefault="00FA4AA8">
      <w:pPr>
        <w:pStyle w:val="BodyText"/>
        <w:spacing w:before="3"/>
        <w:rPr>
          <w:b/>
          <w:sz w:val="6"/>
        </w:rPr>
      </w:pPr>
    </w:p>
    <w:tbl>
      <w:tblPr>
        <w:tblW w:w="0" w:type="auto"/>
        <w:tblInd w:w="521" w:type="dxa"/>
        <w:tblLayout w:type="fixed"/>
        <w:tblCellMar>
          <w:left w:w="0" w:type="dxa"/>
          <w:right w:w="0" w:type="dxa"/>
        </w:tblCellMar>
        <w:tblLook w:val="01E0" w:firstRow="1" w:lastRow="1" w:firstColumn="1" w:lastColumn="1" w:noHBand="0" w:noVBand="0"/>
      </w:tblPr>
      <w:tblGrid>
        <w:gridCol w:w="4041"/>
        <w:gridCol w:w="1464"/>
        <w:gridCol w:w="1296"/>
        <w:gridCol w:w="168"/>
        <w:gridCol w:w="1458"/>
        <w:gridCol w:w="1134"/>
      </w:tblGrid>
      <w:tr w:rsidR="00FA4AA8" w14:paraId="256C9CE9" w14:textId="77777777">
        <w:trPr>
          <w:trHeight w:val="844"/>
        </w:trPr>
        <w:tc>
          <w:tcPr>
            <w:tcW w:w="4041" w:type="dxa"/>
          </w:tcPr>
          <w:p w14:paraId="6592D467" w14:textId="77777777" w:rsidR="00FA4AA8" w:rsidRDefault="00FA4AA8">
            <w:pPr>
              <w:pStyle w:val="TableParagraph"/>
              <w:rPr>
                <w:b/>
                <w:sz w:val="20"/>
              </w:rPr>
            </w:pPr>
          </w:p>
          <w:p w14:paraId="4CEB6349" w14:textId="77777777" w:rsidR="00FA4AA8" w:rsidRDefault="00FA4AA8">
            <w:pPr>
              <w:pStyle w:val="TableParagraph"/>
              <w:rPr>
                <w:b/>
                <w:sz w:val="20"/>
              </w:rPr>
            </w:pPr>
          </w:p>
          <w:p w14:paraId="7D4CC8A0" w14:textId="77777777" w:rsidR="00FA4AA8" w:rsidRDefault="0015611F">
            <w:pPr>
              <w:pStyle w:val="TableParagraph"/>
              <w:spacing w:before="160" w:line="204" w:lineRule="exact"/>
              <w:ind w:left="76"/>
              <w:rPr>
                <w:b/>
                <w:sz w:val="18"/>
              </w:rPr>
            </w:pPr>
            <w:r>
              <w:rPr>
                <w:b/>
                <w:sz w:val="18"/>
              </w:rPr>
              <w:t>Current</w:t>
            </w:r>
          </w:p>
        </w:tc>
        <w:tc>
          <w:tcPr>
            <w:tcW w:w="1464" w:type="dxa"/>
          </w:tcPr>
          <w:p w14:paraId="05B98B8E" w14:textId="77777777" w:rsidR="00FA4AA8" w:rsidRDefault="0015611F">
            <w:pPr>
              <w:pStyle w:val="TableParagraph"/>
              <w:spacing w:line="201" w:lineRule="exact"/>
              <w:ind w:left="600"/>
              <w:rPr>
                <w:b/>
                <w:sz w:val="18"/>
              </w:rPr>
            </w:pPr>
            <w:r>
              <w:rPr>
                <w:b/>
                <w:sz w:val="18"/>
              </w:rPr>
              <w:t>2018</w:t>
            </w:r>
          </w:p>
          <w:p w14:paraId="3A2B6994" w14:textId="77777777" w:rsidR="00FA4AA8" w:rsidRDefault="0015611F">
            <w:pPr>
              <w:pStyle w:val="TableParagraph"/>
              <w:spacing w:before="66"/>
              <w:ind w:left="578"/>
              <w:rPr>
                <w:b/>
                <w:sz w:val="18"/>
              </w:rPr>
            </w:pPr>
            <w:r>
              <w:rPr>
                <w:b/>
                <w:sz w:val="18"/>
              </w:rPr>
              <w:t>$'000</w:t>
            </w:r>
          </w:p>
        </w:tc>
        <w:tc>
          <w:tcPr>
            <w:tcW w:w="1296" w:type="dxa"/>
          </w:tcPr>
          <w:p w14:paraId="2E7E25F0" w14:textId="77777777" w:rsidR="00FA4AA8" w:rsidRDefault="0015611F">
            <w:pPr>
              <w:pStyle w:val="TableParagraph"/>
              <w:spacing w:line="201" w:lineRule="exact"/>
              <w:ind w:left="393" w:right="419"/>
              <w:jc w:val="center"/>
              <w:rPr>
                <w:b/>
                <w:sz w:val="18"/>
              </w:rPr>
            </w:pPr>
            <w:r>
              <w:rPr>
                <w:b/>
                <w:sz w:val="18"/>
              </w:rPr>
              <w:t>2017</w:t>
            </w:r>
          </w:p>
          <w:p w14:paraId="3882337E" w14:textId="77777777" w:rsidR="00FA4AA8" w:rsidRDefault="0015611F">
            <w:pPr>
              <w:pStyle w:val="TableParagraph"/>
              <w:spacing w:before="66"/>
              <w:ind w:left="393" w:right="419"/>
              <w:jc w:val="center"/>
              <w:rPr>
                <w:b/>
                <w:sz w:val="18"/>
              </w:rPr>
            </w:pPr>
            <w:r>
              <w:rPr>
                <w:b/>
                <w:sz w:val="18"/>
              </w:rPr>
              <w:t>$'000</w:t>
            </w:r>
          </w:p>
        </w:tc>
        <w:tc>
          <w:tcPr>
            <w:tcW w:w="168" w:type="dxa"/>
          </w:tcPr>
          <w:p w14:paraId="75FE314D" w14:textId="77777777" w:rsidR="00FA4AA8" w:rsidRDefault="00FA4AA8">
            <w:pPr>
              <w:pStyle w:val="TableParagraph"/>
              <w:rPr>
                <w:rFonts w:ascii="Times New Roman"/>
                <w:sz w:val="18"/>
              </w:rPr>
            </w:pPr>
          </w:p>
        </w:tc>
        <w:tc>
          <w:tcPr>
            <w:tcW w:w="1458" w:type="dxa"/>
          </w:tcPr>
          <w:p w14:paraId="33B65095" w14:textId="77777777" w:rsidR="00FA4AA8" w:rsidRDefault="0015611F">
            <w:pPr>
              <w:pStyle w:val="TableParagraph"/>
              <w:spacing w:line="201" w:lineRule="exact"/>
              <w:ind w:left="432"/>
              <w:rPr>
                <w:b/>
                <w:sz w:val="18"/>
              </w:rPr>
            </w:pPr>
            <w:r>
              <w:rPr>
                <w:b/>
                <w:sz w:val="18"/>
              </w:rPr>
              <w:t>2018</w:t>
            </w:r>
          </w:p>
          <w:p w14:paraId="743E3679" w14:textId="77777777" w:rsidR="00FA4AA8" w:rsidRDefault="0015611F">
            <w:pPr>
              <w:pStyle w:val="TableParagraph"/>
              <w:spacing w:before="66"/>
              <w:ind w:left="410"/>
              <w:rPr>
                <w:b/>
                <w:sz w:val="18"/>
              </w:rPr>
            </w:pPr>
            <w:r>
              <w:rPr>
                <w:b/>
                <w:sz w:val="18"/>
              </w:rPr>
              <w:t>$'000</w:t>
            </w:r>
          </w:p>
        </w:tc>
        <w:tc>
          <w:tcPr>
            <w:tcW w:w="1134" w:type="dxa"/>
          </w:tcPr>
          <w:p w14:paraId="11BCB1B4" w14:textId="77777777" w:rsidR="00FA4AA8" w:rsidRDefault="0015611F">
            <w:pPr>
              <w:pStyle w:val="TableParagraph"/>
              <w:spacing w:line="201" w:lineRule="exact"/>
              <w:ind w:left="270"/>
              <w:rPr>
                <w:b/>
                <w:sz w:val="18"/>
              </w:rPr>
            </w:pPr>
            <w:r>
              <w:rPr>
                <w:b/>
                <w:sz w:val="18"/>
              </w:rPr>
              <w:t>2017</w:t>
            </w:r>
          </w:p>
          <w:p w14:paraId="0EF9EFAE" w14:textId="77777777" w:rsidR="00FA4AA8" w:rsidRDefault="0015611F">
            <w:pPr>
              <w:pStyle w:val="TableParagraph"/>
              <w:spacing w:before="66"/>
              <w:ind w:left="248"/>
              <w:rPr>
                <w:b/>
                <w:sz w:val="18"/>
              </w:rPr>
            </w:pPr>
            <w:r>
              <w:rPr>
                <w:b/>
                <w:sz w:val="18"/>
              </w:rPr>
              <w:t>$'000</w:t>
            </w:r>
          </w:p>
        </w:tc>
      </w:tr>
      <w:tr w:rsidR="00FA4AA8" w14:paraId="12E8248A" w14:textId="77777777">
        <w:trPr>
          <w:trHeight w:val="250"/>
        </w:trPr>
        <w:tc>
          <w:tcPr>
            <w:tcW w:w="4041" w:type="dxa"/>
          </w:tcPr>
          <w:p w14:paraId="52CC610C" w14:textId="77777777" w:rsidR="00FA4AA8" w:rsidRDefault="0015611F">
            <w:pPr>
              <w:pStyle w:val="TableParagraph"/>
              <w:spacing w:before="13"/>
              <w:ind w:left="76"/>
              <w:rPr>
                <w:sz w:val="18"/>
              </w:rPr>
            </w:pPr>
            <w:r>
              <w:rPr>
                <w:sz w:val="18"/>
              </w:rPr>
              <w:t>Deferred income</w:t>
            </w:r>
          </w:p>
        </w:tc>
        <w:tc>
          <w:tcPr>
            <w:tcW w:w="1464" w:type="dxa"/>
          </w:tcPr>
          <w:p w14:paraId="05B3F15D" w14:textId="77777777" w:rsidR="00FA4AA8" w:rsidRDefault="0015611F">
            <w:pPr>
              <w:pStyle w:val="TableParagraph"/>
              <w:spacing w:before="11"/>
              <w:ind w:right="84"/>
              <w:jc w:val="right"/>
              <w:rPr>
                <w:b/>
                <w:sz w:val="18"/>
              </w:rPr>
            </w:pPr>
            <w:r>
              <w:rPr>
                <w:b/>
                <w:sz w:val="18"/>
              </w:rPr>
              <w:t>23,105</w:t>
            </w:r>
          </w:p>
        </w:tc>
        <w:tc>
          <w:tcPr>
            <w:tcW w:w="1296" w:type="dxa"/>
          </w:tcPr>
          <w:p w14:paraId="633F34C1" w14:textId="77777777" w:rsidR="00FA4AA8" w:rsidRDefault="0015611F">
            <w:pPr>
              <w:pStyle w:val="TableParagraph"/>
              <w:spacing w:before="11"/>
              <w:ind w:right="84"/>
              <w:jc w:val="right"/>
              <w:rPr>
                <w:sz w:val="18"/>
              </w:rPr>
            </w:pPr>
            <w:r>
              <w:rPr>
                <w:sz w:val="18"/>
              </w:rPr>
              <w:t>23,052</w:t>
            </w:r>
          </w:p>
        </w:tc>
        <w:tc>
          <w:tcPr>
            <w:tcW w:w="168" w:type="dxa"/>
          </w:tcPr>
          <w:p w14:paraId="0AD7C441" w14:textId="77777777" w:rsidR="00FA4AA8" w:rsidRDefault="00FA4AA8">
            <w:pPr>
              <w:pStyle w:val="TableParagraph"/>
              <w:rPr>
                <w:rFonts w:ascii="Times New Roman"/>
                <w:sz w:val="18"/>
              </w:rPr>
            </w:pPr>
          </w:p>
        </w:tc>
        <w:tc>
          <w:tcPr>
            <w:tcW w:w="1458" w:type="dxa"/>
          </w:tcPr>
          <w:p w14:paraId="1290B9EC" w14:textId="77777777" w:rsidR="00FA4AA8" w:rsidRDefault="0015611F">
            <w:pPr>
              <w:pStyle w:val="TableParagraph"/>
              <w:spacing w:before="11"/>
              <w:ind w:right="246"/>
              <w:jc w:val="right"/>
              <w:rPr>
                <w:b/>
                <w:sz w:val="18"/>
              </w:rPr>
            </w:pPr>
            <w:r>
              <w:rPr>
                <w:b/>
                <w:sz w:val="18"/>
              </w:rPr>
              <w:t>23,086</w:t>
            </w:r>
          </w:p>
        </w:tc>
        <w:tc>
          <w:tcPr>
            <w:tcW w:w="1134" w:type="dxa"/>
          </w:tcPr>
          <w:p w14:paraId="55395113" w14:textId="77777777" w:rsidR="00FA4AA8" w:rsidRDefault="0015611F">
            <w:pPr>
              <w:pStyle w:val="TableParagraph"/>
              <w:spacing w:before="11"/>
              <w:ind w:right="84"/>
              <w:jc w:val="right"/>
              <w:rPr>
                <w:sz w:val="18"/>
              </w:rPr>
            </w:pPr>
            <w:r>
              <w:rPr>
                <w:sz w:val="18"/>
              </w:rPr>
              <w:t>23,028</w:t>
            </w:r>
          </w:p>
        </w:tc>
      </w:tr>
      <w:tr w:rsidR="00FA4AA8" w14:paraId="20527C71" w14:textId="77777777">
        <w:trPr>
          <w:trHeight w:val="264"/>
        </w:trPr>
        <w:tc>
          <w:tcPr>
            <w:tcW w:w="4041" w:type="dxa"/>
          </w:tcPr>
          <w:p w14:paraId="6ECE856A" w14:textId="77777777" w:rsidR="00FA4AA8" w:rsidRDefault="0015611F">
            <w:pPr>
              <w:pStyle w:val="TableParagraph"/>
              <w:spacing w:before="26"/>
              <w:ind w:left="76"/>
              <w:rPr>
                <w:sz w:val="18"/>
              </w:rPr>
            </w:pPr>
            <w:r>
              <w:rPr>
                <w:sz w:val="18"/>
              </w:rPr>
              <w:t>Fees received in advance</w:t>
            </w:r>
          </w:p>
        </w:tc>
        <w:tc>
          <w:tcPr>
            <w:tcW w:w="1464" w:type="dxa"/>
          </w:tcPr>
          <w:p w14:paraId="03E1380F" w14:textId="77777777" w:rsidR="00FA4AA8" w:rsidRDefault="0015611F">
            <w:pPr>
              <w:pStyle w:val="TableParagraph"/>
              <w:spacing w:before="24"/>
              <w:ind w:right="84"/>
              <w:jc w:val="right"/>
              <w:rPr>
                <w:b/>
                <w:sz w:val="18"/>
              </w:rPr>
            </w:pPr>
            <w:r>
              <w:rPr>
                <w:b/>
                <w:sz w:val="18"/>
              </w:rPr>
              <w:t>23,668</w:t>
            </w:r>
          </w:p>
        </w:tc>
        <w:tc>
          <w:tcPr>
            <w:tcW w:w="1296" w:type="dxa"/>
          </w:tcPr>
          <w:p w14:paraId="7230575C" w14:textId="77777777" w:rsidR="00FA4AA8" w:rsidRDefault="0015611F">
            <w:pPr>
              <w:pStyle w:val="TableParagraph"/>
              <w:spacing w:before="24"/>
              <w:ind w:right="84"/>
              <w:jc w:val="right"/>
              <w:rPr>
                <w:sz w:val="18"/>
              </w:rPr>
            </w:pPr>
            <w:r>
              <w:rPr>
                <w:sz w:val="18"/>
              </w:rPr>
              <w:t>20,924</w:t>
            </w:r>
          </w:p>
        </w:tc>
        <w:tc>
          <w:tcPr>
            <w:tcW w:w="168" w:type="dxa"/>
          </w:tcPr>
          <w:p w14:paraId="4394624D" w14:textId="77777777" w:rsidR="00FA4AA8" w:rsidRDefault="00FA4AA8">
            <w:pPr>
              <w:pStyle w:val="TableParagraph"/>
              <w:rPr>
                <w:rFonts w:ascii="Times New Roman"/>
                <w:sz w:val="18"/>
              </w:rPr>
            </w:pPr>
          </w:p>
        </w:tc>
        <w:tc>
          <w:tcPr>
            <w:tcW w:w="1458" w:type="dxa"/>
          </w:tcPr>
          <w:p w14:paraId="2E8C03CF" w14:textId="77777777" w:rsidR="00FA4AA8" w:rsidRDefault="0015611F">
            <w:pPr>
              <w:pStyle w:val="TableParagraph"/>
              <w:spacing w:before="24"/>
              <w:ind w:right="246"/>
              <w:jc w:val="right"/>
              <w:rPr>
                <w:b/>
                <w:sz w:val="18"/>
              </w:rPr>
            </w:pPr>
            <w:r>
              <w:rPr>
                <w:b/>
                <w:sz w:val="18"/>
              </w:rPr>
              <w:t>22,220</w:t>
            </w:r>
          </w:p>
        </w:tc>
        <w:tc>
          <w:tcPr>
            <w:tcW w:w="1134" w:type="dxa"/>
          </w:tcPr>
          <w:p w14:paraId="4C7ADBE3" w14:textId="77777777" w:rsidR="00FA4AA8" w:rsidRDefault="0015611F">
            <w:pPr>
              <w:pStyle w:val="TableParagraph"/>
              <w:spacing w:before="24"/>
              <w:ind w:right="84"/>
              <w:jc w:val="right"/>
              <w:rPr>
                <w:sz w:val="18"/>
              </w:rPr>
            </w:pPr>
            <w:r>
              <w:rPr>
                <w:sz w:val="18"/>
              </w:rPr>
              <w:t>19,744</w:t>
            </w:r>
          </w:p>
        </w:tc>
      </w:tr>
      <w:tr w:rsidR="00FA4AA8" w14:paraId="4FCCA945" w14:textId="77777777">
        <w:trPr>
          <w:trHeight w:val="263"/>
        </w:trPr>
        <w:tc>
          <w:tcPr>
            <w:tcW w:w="4041" w:type="dxa"/>
          </w:tcPr>
          <w:p w14:paraId="177CC0E3" w14:textId="77777777" w:rsidR="00FA4AA8" w:rsidRDefault="0015611F">
            <w:pPr>
              <w:pStyle w:val="TableParagraph"/>
              <w:spacing w:before="26"/>
              <w:ind w:left="76"/>
              <w:rPr>
                <w:sz w:val="18"/>
              </w:rPr>
            </w:pPr>
            <w:r>
              <w:rPr>
                <w:sz w:val="18"/>
              </w:rPr>
              <w:t>Lease incentives</w:t>
            </w:r>
          </w:p>
        </w:tc>
        <w:tc>
          <w:tcPr>
            <w:tcW w:w="1464" w:type="dxa"/>
          </w:tcPr>
          <w:p w14:paraId="28008308" w14:textId="77777777" w:rsidR="00FA4AA8" w:rsidRDefault="0015611F">
            <w:pPr>
              <w:pStyle w:val="TableParagraph"/>
              <w:spacing w:before="24"/>
              <w:ind w:right="84"/>
              <w:jc w:val="right"/>
              <w:rPr>
                <w:b/>
                <w:sz w:val="18"/>
              </w:rPr>
            </w:pPr>
            <w:r>
              <w:rPr>
                <w:b/>
                <w:sz w:val="18"/>
              </w:rPr>
              <w:t>2,170</w:t>
            </w:r>
          </w:p>
        </w:tc>
        <w:tc>
          <w:tcPr>
            <w:tcW w:w="1296" w:type="dxa"/>
          </w:tcPr>
          <w:p w14:paraId="36AF9715" w14:textId="77777777" w:rsidR="00FA4AA8" w:rsidRDefault="0015611F">
            <w:pPr>
              <w:pStyle w:val="TableParagraph"/>
              <w:spacing w:before="24"/>
              <w:ind w:right="84"/>
              <w:jc w:val="right"/>
              <w:rPr>
                <w:sz w:val="18"/>
              </w:rPr>
            </w:pPr>
            <w:r>
              <w:rPr>
                <w:sz w:val="18"/>
              </w:rPr>
              <w:t>2,227</w:t>
            </w:r>
          </w:p>
        </w:tc>
        <w:tc>
          <w:tcPr>
            <w:tcW w:w="168" w:type="dxa"/>
          </w:tcPr>
          <w:p w14:paraId="0943DDEB" w14:textId="77777777" w:rsidR="00FA4AA8" w:rsidRDefault="00FA4AA8">
            <w:pPr>
              <w:pStyle w:val="TableParagraph"/>
              <w:rPr>
                <w:rFonts w:ascii="Times New Roman"/>
                <w:sz w:val="18"/>
              </w:rPr>
            </w:pPr>
          </w:p>
        </w:tc>
        <w:tc>
          <w:tcPr>
            <w:tcW w:w="1458" w:type="dxa"/>
          </w:tcPr>
          <w:p w14:paraId="0BA53952" w14:textId="77777777" w:rsidR="00FA4AA8" w:rsidRDefault="0015611F">
            <w:pPr>
              <w:pStyle w:val="TableParagraph"/>
              <w:spacing w:before="24"/>
              <w:ind w:right="246"/>
              <w:jc w:val="right"/>
              <w:rPr>
                <w:b/>
                <w:sz w:val="18"/>
              </w:rPr>
            </w:pPr>
            <w:r>
              <w:rPr>
                <w:b/>
                <w:sz w:val="18"/>
              </w:rPr>
              <w:t>2,170</w:t>
            </w:r>
          </w:p>
        </w:tc>
        <w:tc>
          <w:tcPr>
            <w:tcW w:w="1134" w:type="dxa"/>
          </w:tcPr>
          <w:p w14:paraId="5C94B410" w14:textId="77777777" w:rsidR="00FA4AA8" w:rsidRDefault="0015611F">
            <w:pPr>
              <w:pStyle w:val="TableParagraph"/>
              <w:spacing w:before="24"/>
              <w:ind w:right="84"/>
              <w:jc w:val="right"/>
              <w:rPr>
                <w:sz w:val="18"/>
              </w:rPr>
            </w:pPr>
            <w:r>
              <w:rPr>
                <w:sz w:val="18"/>
              </w:rPr>
              <w:t>2,227</w:t>
            </w:r>
          </w:p>
        </w:tc>
      </w:tr>
      <w:tr w:rsidR="00FA4AA8" w14:paraId="78E17FFD" w14:textId="77777777">
        <w:trPr>
          <w:trHeight w:val="256"/>
        </w:trPr>
        <w:tc>
          <w:tcPr>
            <w:tcW w:w="4041" w:type="dxa"/>
          </w:tcPr>
          <w:p w14:paraId="7986A5A3" w14:textId="77777777" w:rsidR="00FA4AA8" w:rsidRDefault="0015611F">
            <w:pPr>
              <w:pStyle w:val="TableParagraph"/>
              <w:spacing w:before="26"/>
              <w:ind w:left="76"/>
              <w:rPr>
                <w:sz w:val="18"/>
              </w:rPr>
            </w:pPr>
            <w:r>
              <w:rPr>
                <w:sz w:val="18"/>
              </w:rPr>
              <w:t>Other</w:t>
            </w:r>
          </w:p>
        </w:tc>
        <w:tc>
          <w:tcPr>
            <w:tcW w:w="1464" w:type="dxa"/>
            <w:tcBorders>
              <w:bottom w:val="single" w:sz="8" w:space="0" w:color="000000"/>
            </w:tcBorders>
          </w:tcPr>
          <w:p w14:paraId="3D8D5BCC" w14:textId="77777777" w:rsidR="00FA4AA8" w:rsidRDefault="0015611F">
            <w:pPr>
              <w:pStyle w:val="TableParagraph"/>
              <w:spacing w:before="24"/>
              <w:ind w:right="84"/>
              <w:jc w:val="right"/>
              <w:rPr>
                <w:b/>
                <w:sz w:val="18"/>
              </w:rPr>
            </w:pPr>
            <w:r>
              <w:rPr>
                <w:b/>
                <w:sz w:val="18"/>
              </w:rPr>
              <w:t>4,353</w:t>
            </w:r>
          </w:p>
        </w:tc>
        <w:tc>
          <w:tcPr>
            <w:tcW w:w="1296" w:type="dxa"/>
            <w:tcBorders>
              <w:bottom w:val="single" w:sz="8" w:space="0" w:color="000000"/>
            </w:tcBorders>
          </w:tcPr>
          <w:p w14:paraId="73076511" w14:textId="77777777" w:rsidR="00FA4AA8" w:rsidRDefault="0015611F">
            <w:pPr>
              <w:pStyle w:val="TableParagraph"/>
              <w:spacing w:before="24"/>
              <w:ind w:right="84"/>
              <w:jc w:val="right"/>
              <w:rPr>
                <w:sz w:val="18"/>
              </w:rPr>
            </w:pPr>
            <w:r>
              <w:rPr>
                <w:sz w:val="18"/>
              </w:rPr>
              <w:t>4,321</w:t>
            </w:r>
          </w:p>
        </w:tc>
        <w:tc>
          <w:tcPr>
            <w:tcW w:w="168" w:type="dxa"/>
            <w:tcBorders>
              <w:bottom w:val="single" w:sz="8" w:space="0" w:color="000000"/>
            </w:tcBorders>
          </w:tcPr>
          <w:p w14:paraId="7DBD33B5" w14:textId="77777777" w:rsidR="00FA4AA8" w:rsidRDefault="00FA4AA8">
            <w:pPr>
              <w:pStyle w:val="TableParagraph"/>
              <w:rPr>
                <w:rFonts w:ascii="Times New Roman"/>
                <w:sz w:val="18"/>
              </w:rPr>
            </w:pPr>
          </w:p>
        </w:tc>
        <w:tc>
          <w:tcPr>
            <w:tcW w:w="1458" w:type="dxa"/>
            <w:tcBorders>
              <w:bottom w:val="single" w:sz="8" w:space="0" w:color="000000"/>
            </w:tcBorders>
          </w:tcPr>
          <w:p w14:paraId="5E75B4BE" w14:textId="77777777" w:rsidR="00FA4AA8" w:rsidRDefault="0015611F">
            <w:pPr>
              <w:pStyle w:val="TableParagraph"/>
              <w:spacing w:before="24"/>
              <w:ind w:right="246"/>
              <w:jc w:val="right"/>
              <w:rPr>
                <w:b/>
                <w:sz w:val="18"/>
              </w:rPr>
            </w:pPr>
            <w:r>
              <w:rPr>
                <w:b/>
                <w:sz w:val="18"/>
              </w:rPr>
              <w:t>3,843</w:t>
            </w:r>
          </w:p>
        </w:tc>
        <w:tc>
          <w:tcPr>
            <w:tcW w:w="1134" w:type="dxa"/>
            <w:tcBorders>
              <w:bottom w:val="single" w:sz="8" w:space="0" w:color="000000"/>
            </w:tcBorders>
          </w:tcPr>
          <w:p w14:paraId="64A3BEF4" w14:textId="77777777" w:rsidR="00FA4AA8" w:rsidRDefault="0015611F">
            <w:pPr>
              <w:pStyle w:val="TableParagraph"/>
              <w:spacing w:before="24"/>
              <w:ind w:right="84"/>
              <w:jc w:val="right"/>
              <w:rPr>
                <w:sz w:val="18"/>
              </w:rPr>
            </w:pPr>
            <w:r>
              <w:rPr>
                <w:sz w:val="18"/>
              </w:rPr>
              <w:t>3,758</w:t>
            </w:r>
          </w:p>
        </w:tc>
      </w:tr>
      <w:tr w:rsidR="00FA4AA8" w14:paraId="47584A01" w14:textId="77777777">
        <w:trPr>
          <w:trHeight w:val="318"/>
        </w:trPr>
        <w:tc>
          <w:tcPr>
            <w:tcW w:w="4041" w:type="dxa"/>
          </w:tcPr>
          <w:p w14:paraId="7DF7F595" w14:textId="77777777" w:rsidR="00FA4AA8" w:rsidRDefault="0015611F">
            <w:pPr>
              <w:pStyle w:val="TableParagraph"/>
              <w:spacing w:before="115" w:line="183" w:lineRule="exact"/>
              <w:ind w:left="76"/>
              <w:rPr>
                <w:b/>
                <w:sz w:val="18"/>
              </w:rPr>
            </w:pPr>
            <w:r>
              <w:rPr>
                <w:b/>
                <w:sz w:val="18"/>
              </w:rPr>
              <w:t>Total current other liabilities</w:t>
            </w:r>
          </w:p>
        </w:tc>
        <w:tc>
          <w:tcPr>
            <w:tcW w:w="1464" w:type="dxa"/>
            <w:tcBorders>
              <w:top w:val="single" w:sz="8" w:space="0" w:color="000000"/>
              <w:bottom w:val="single" w:sz="8" w:space="0" w:color="000000"/>
            </w:tcBorders>
          </w:tcPr>
          <w:p w14:paraId="2C954BE4" w14:textId="77777777" w:rsidR="00FA4AA8" w:rsidRDefault="0015611F">
            <w:pPr>
              <w:pStyle w:val="TableParagraph"/>
              <w:spacing w:before="115" w:line="183" w:lineRule="exact"/>
              <w:ind w:right="84"/>
              <w:jc w:val="right"/>
              <w:rPr>
                <w:b/>
                <w:sz w:val="18"/>
              </w:rPr>
            </w:pPr>
            <w:r>
              <w:rPr>
                <w:b/>
                <w:sz w:val="18"/>
              </w:rPr>
              <w:t>53,296</w:t>
            </w:r>
          </w:p>
        </w:tc>
        <w:tc>
          <w:tcPr>
            <w:tcW w:w="1296" w:type="dxa"/>
            <w:tcBorders>
              <w:top w:val="single" w:sz="8" w:space="0" w:color="000000"/>
              <w:bottom w:val="single" w:sz="8" w:space="0" w:color="000000"/>
            </w:tcBorders>
          </w:tcPr>
          <w:p w14:paraId="768D3FEB" w14:textId="77777777" w:rsidR="00FA4AA8" w:rsidRDefault="0015611F">
            <w:pPr>
              <w:pStyle w:val="TableParagraph"/>
              <w:spacing w:before="115" w:line="183" w:lineRule="exact"/>
              <w:ind w:right="84"/>
              <w:jc w:val="right"/>
              <w:rPr>
                <w:sz w:val="18"/>
              </w:rPr>
            </w:pPr>
            <w:r>
              <w:rPr>
                <w:sz w:val="18"/>
              </w:rPr>
              <w:t>50,524</w:t>
            </w:r>
          </w:p>
        </w:tc>
        <w:tc>
          <w:tcPr>
            <w:tcW w:w="168" w:type="dxa"/>
            <w:tcBorders>
              <w:top w:val="single" w:sz="8" w:space="0" w:color="000000"/>
              <w:bottom w:val="single" w:sz="8" w:space="0" w:color="000000"/>
            </w:tcBorders>
          </w:tcPr>
          <w:p w14:paraId="23DA0F43" w14:textId="77777777" w:rsidR="00FA4AA8" w:rsidRDefault="00FA4AA8">
            <w:pPr>
              <w:pStyle w:val="TableParagraph"/>
              <w:rPr>
                <w:rFonts w:ascii="Times New Roman"/>
                <w:sz w:val="18"/>
              </w:rPr>
            </w:pPr>
          </w:p>
        </w:tc>
        <w:tc>
          <w:tcPr>
            <w:tcW w:w="1458" w:type="dxa"/>
            <w:tcBorders>
              <w:top w:val="single" w:sz="8" w:space="0" w:color="000000"/>
              <w:bottom w:val="single" w:sz="8" w:space="0" w:color="000000"/>
            </w:tcBorders>
          </w:tcPr>
          <w:p w14:paraId="7F883E99" w14:textId="77777777" w:rsidR="00FA4AA8" w:rsidRDefault="0015611F">
            <w:pPr>
              <w:pStyle w:val="TableParagraph"/>
              <w:spacing w:before="115" w:line="183" w:lineRule="exact"/>
              <w:ind w:right="246"/>
              <w:jc w:val="right"/>
              <w:rPr>
                <w:b/>
                <w:sz w:val="18"/>
              </w:rPr>
            </w:pPr>
            <w:r>
              <w:rPr>
                <w:b/>
                <w:sz w:val="18"/>
              </w:rPr>
              <w:t>51,319</w:t>
            </w:r>
          </w:p>
        </w:tc>
        <w:tc>
          <w:tcPr>
            <w:tcW w:w="1134" w:type="dxa"/>
            <w:tcBorders>
              <w:top w:val="single" w:sz="8" w:space="0" w:color="000000"/>
              <w:bottom w:val="single" w:sz="8" w:space="0" w:color="000000"/>
            </w:tcBorders>
          </w:tcPr>
          <w:p w14:paraId="28D67BCE" w14:textId="77777777" w:rsidR="00FA4AA8" w:rsidRDefault="0015611F">
            <w:pPr>
              <w:pStyle w:val="TableParagraph"/>
              <w:spacing w:before="115" w:line="183" w:lineRule="exact"/>
              <w:ind w:right="84"/>
              <w:jc w:val="right"/>
              <w:rPr>
                <w:sz w:val="18"/>
              </w:rPr>
            </w:pPr>
            <w:r>
              <w:rPr>
                <w:sz w:val="18"/>
              </w:rPr>
              <w:t>48,757</w:t>
            </w:r>
          </w:p>
        </w:tc>
      </w:tr>
      <w:tr w:rsidR="00FA4AA8" w14:paraId="246F00E9" w14:textId="77777777">
        <w:trPr>
          <w:trHeight w:val="589"/>
        </w:trPr>
        <w:tc>
          <w:tcPr>
            <w:tcW w:w="4041" w:type="dxa"/>
          </w:tcPr>
          <w:p w14:paraId="211BDCBC" w14:textId="77777777" w:rsidR="00FA4AA8" w:rsidRDefault="0015611F">
            <w:pPr>
              <w:pStyle w:val="TableParagraph"/>
              <w:spacing w:before="115"/>
              <w:ind w:left="76"/>
              <w:rPr>
                <w:b/>
                <w:sz w:val="18"/>
              </w:rPr>
            </w:pPr>
            <w:r>
              <w:rPr>
                <w:b/>
                <w:sz w:val="18"/>
              </w:rPr>
              <w:t>Non-current</w:t>
            </w:r>
          </w:p>
          <w:p w14:paraId="44EFE001" w14:textId="77777777" w:rsidR="00FA4AA8" w:rsidRDefault="0015611F">
            <w:pPr>
              <w:pStyle w:val="TableParagraph"/>
              <w:spacing w:before="30"/>
              <w:ind w:left="76"/>
              <w:rPr>
                <w:sz w:val="18"/>
              </w:rPr>
            </w:pPr>
            <w:r>
              <w:rPr>
                <w:sz w:val="18"/>
              </w:rPr>
              <w:t>Deferred income</w:t>
            </w:r>
          </w:p>
        </w:tc>
        <w:tc>
          <w:tcPr>
            <w:tcW w:w="1464" w:type="dxa"/>
            <w:tcBorders>
              <w:top w:val="single" w:sz="8" w:space="0" w:color="000000"/>
            </w:tcBorders>
          </w:tcPr>
          <w:p w14:paraId="417159AF" w14:textId="77777777" w:rsidR="00FA4AA8" w:rsidRDefault="00FA4AA8">
            <w:pPr>
              <w:pStyle w:val="TableParagraph"/>
              <w:rPr>
                <w:b/>
                <w:sz w:val="20"/>
              </w:rPr>
            </w:pPr>
          </w:p>
          <w:p w14:paraId="348A67D1" w14:textId="77777777" w:rsidR="00FA4AA8" w:rsidRDefault="0015611F">
            <w:pPr>
              <w:pStyle w:val="TableParagraph"/>
              <w:spacing w:before="120"/>
              <w:ind w:right="84"/>
              <w:jc w:val="right"/>
              <w:rPr>
                <w:b/>
                <w:sz w:val="18"/>
              </w:rPr>
            </w:pPr>
            <w:r>
              <w:rPr>
                <w:b/>
                <w:sz w:val="18"/>
              </w:rPr>
              <w:t>2,668</w:t>
            </w:r>
          </w:p>
        </w:tc>
        <w:tc>
          <w:tcPr>
            <w:tcW w:w="1296" w:type="dxa"/>
            <w:tcBorders>
              <w:top w:val="single" w:sz="8" w:space="0" w:color="000000"/>
            </w:tcBorders>
          </w:tcPr>
          <w:p w14:paraId="3CBD7D37" w14:textId="77777777" w:rsidR="00FA4AA8" w:rsidRDefault="00FA4AA8">
            <w:pPr>
              <w:pStyle w:val="TableParagraph"/>
              <w:rPr>
                <w:b/>
                <w:sz w:val="20"/>
              </w:rPr>
            </w:pPr>
          </w:p>
          <w:p w14:paraId="4C797AFA" w14:textId="77777777" w:rsidR="00FA4AA8" w:rsidRDefault="0015611F">
            <w:pPr>
              <w:pStyle w:val="TableParagraph"/>
              <w:spacing w:before="120"/>
              <w:ind w:right="84"/>
              <w:jc w:val="right"/>
              <w:rPr>
                <w:sz w:val="18"/>
              </w:rPr>
            </w:pPr>
            <w:r>
              <w:rPr>
                <w:sz w:val="18"/>
              </w:rPr>
              <w:t>2,619</w:t>
            </w:r>
          </w:p>
        </w:tc>
        <w:tc>
          <w:tcPr>
            <w:tcW w:w="168" w:type="dxa"/>
            <w:tcBorders>
              <w:top w:val="single" w:sz="8" w:space="0" w:color="000000"/>
            </w:tcBorders>
          </w:tcPr>
          <w:p w14:paraId="6B6F940C" w14:textId="77777777" w:rsidR="00FA4AA8" w:rsidRDefault="00FA4AA8">
            <w:pPr>
              <w:pStyle w:val="TableParagraph"/>
              <w:rPr>
                <w:rFonts w:ascii="Times New Roman"/>
                <w:sz w:val="18"/>
              </w:rPr>
            </w:pPr>
          </w:p>
        </w:tc>
        <w:tc>
          <w:tcPr>
            <w:tcW w:w="1458" w:type="dxa"/>
            <w:tcBorders>
              <w:top w:val="single" w:sz="8" w:space="0" w:color="000000"/>
            </w:tcBorders>
          </w:tcPr>
          <w:p w14:paraId="328F7849" w14:textId="77777777" w:rsidR="00FA4AA8" w:rsidRDefault="00FA4AA8">
            <w:pPr>
              <w:pStyle w:val="TableParagraph"/>
              <w:rPr>
                <w:b/>
                <w:sz w:val="20"/>
              </w:rPr>
            </w:pPr>
          </w:p>
          <w:p w14:paraId="45065FF6" w14:textId="77777777" w:rsidR="00FA4AA8" w:rsidRDefault="0015611F">
            <w:pPr>
              <w:pStyle w:val="TableParagraph"/>
              <w:spacing w:before="120"/>
              <w:ind w:right="246"/>
              <w:jc w:val="right"/>
              <w:rPr>
                <w:b/>
                <w:sz w:val="18"/>
              </w:rPr>
            </w:pPr>
            <w:r>
              <w:rPr>
                <w:b/>
                <w:sz w:val="18"/>
              </w:rPr>
              <w:t>2,668</w:t>
            </w:r>
          </w:p>
        </w:tc>
        <w:tc>
          <w:tcPr>
            <w:tcW w:w="1134" w:type="dxa"/>
            <w:tcBorders>
              <w:top w:val="single" w:sz="8" w:space="0" w:color="000000"/>
            </w:tcBorders>
          </w:tcPr>
          <w:p w14:paraId="209C393C" w14:textId="77777777" w:rsidR="00FA4AA8" w:rsidRDefault="00FA4AA8">
            <w:pPr>
              <w:pStyle w:val="TableParagraph"/>
              <w:rPr>
                <w:b/>
                <w:sz w:val="20"/>
              </w:rPr>
            </w:pPr>
          </w:p>
          <w:p w14:paraId="244C769C" w14:textId="77777777" w:rsidR="00FA4AA8" w:rsidRDefault="0015611F">
            <w:pPr>
              <w:pStyle w:val="TableParagraph"/>
              <w:spacing w:before="120"/>
              <w:ind w:right="84"/>
              <w:jc w:val="right"/>
              <w:rPr>
                <w:sz w:val="18"/>
              </w:rPr>
            </w:pPr>
            <w:r>
              <w:rPr>
                <w:sz w:val="18"/>
              </w:rPr>
              <w:t>2,619</w:t>
            </w:r>
          </w:p>
        </w:tc>
      </w:tr>
      <w:tr w:rsidR="00FA4AA8" w14:paraId="7FD3D65F" w14:textId="77777777">
        <w:trPr>
          <w:trHeight w:val="256"/>
        </w:trPr>
        <w:tc>
          <w:tcPr>
            <w:tcW w:w="4041" w:type="dxa"/>
          </w:tcPr>
          <w:p w14:paraId="5182B400" w14:textId="77777777" w:rsidR="00FA4AA8" w:rsidRDefault="0015611F">
            <w:pPr>
              <w:pStyle w:val="TableParagraph"/>
              <w:spacing w:before="26"/>
              <w:ind w:left="76"/>
              <w:rPr>
                <w:sz w:val="18"/>
              </w:rPr>
            </w:pPr>
            <w:r>
              <w:rPr>
                <w:sz w:val="18"/>
              </w:rPr>
              <w:t>Lease incentives</w:t>
            </w:r>
          </w:p>
        </w:tc>
        <w:tc>
          <w:tcPr>
            <w:tcW w:w="1464" w:type="dxa"/>
            <w:tcBorders>
              <w:bottom w:val="single" w:sz="8" w:space="0" w:color="000000"/>
            </w:tcBorders>
          </w:tcPr>
          <w:p w14:paraId="1E40372C" w14:textId="77777777" w:rsidR="00FA4AA8" w:rsidRDefault="0015611F">
            <w:pPr>
              <w:pStyle w:val="TableParagraph"/>
              <w:spacing w:before="24"/>
              <w:ind w:right="84"/>
              <w:jc w:val="right"/>
              <w:rPr>
                <w:b/>
                <w:sz w:val="18"/>
              </w:rPr>
            </w:pPr>
            <w:r>
              <w:rPr>
                <w:b/>
                <w:sz w:val="18"/>
              </w:rPr>
              <w:t>44,396</w:t>
            </w:r>
          </w:p>
        </w:tc>
        <w:tc>
          <w:tcPr>
            <w:tcW w:w="1296" w:type="dxa"/>
            <w:tcBorders>
              <w:bottom w:val="single" w:sz="8" w:space="0" w:color="000000"/>
            </w:tcBorders>
          </w:tcPr>
          <w:p w14:paraId="20915E4A" w14:textId="77777777" w:rsidR="00FA4AA8" w:rsidRDefault="0015611F">
            <w:pPr>
              <w:pStyle w:val="TableParagraph"/>
              <w:spacing w:before="24"/>
              <w:ind w:right="84"/>
              <w:jc w:val="right"/>
              <w:rPr>
                <w:sz w:val="18"/>
              </w:rPr>
            </w:pPr>
            <w:r>
              <w:rPr>
                <w:sz w:val="18"/>
              </w:rPr>
              <w:t>46,506</w:t>
            </w:r>
          </w:p>
        </w:tc>
        <w:tc>
          <w:tcPr>
            <w:tcW w:w="168" w:type="dxa"/>
            <w:tcBorders>
              <w:bottom w:val="single" w:sz="8" w:space="0" w:color="000000"/>
            </w:tcBorders>
          </w:tcPr>
          <w:p w14:paraId="03DB056B" w14:textId="77777777" w:rsidR="00FA4AA8" w:rsidRDefault="00FA4AA8">
            <w:pPr>
              <w:pStyle w:val="TableParagraph"/>
              <w:rPr>
                <w:rFonts w:ascii="Times New Roman"/>
                <w:sz w:val="18"/>
              </w:rPr>
            </w:pPr>
          </w:p>
        </w:tc>
        <w:tc>
          <w:tcPr>
            <w:tcW w:w="1458" w:type="dxa"/>
            <w:tcBorders>
              <w:bottom w:val="single" w:sz="8" w:space="0" w:color="000000"/>
            </w:tcBorders>
          </w:tcPr>
          <w:p w14:paraId="046B86C2" w14:textId="77777777" w:rsidR="00FA4AA8" w:rsidRDefault="0015611F">
            <w:pPr>
              <w:pStyle w:val="TableParagraph"/>
              <w:spacing w:before="24"/>
              <w:ind w:right="246"/>
              <w:jc w:val="right"/>
              <w:rPr>
                <w:b/>
                <w:sz w:val="18"/>
              </w:rPr>
            </w:pPr>
            <w:r>
              <w:rPr>
                <w:b/>
                <w:sz w:val="18"/>
              </w:rPr>
              <w:t>44,396</w:t>
            </w:r>
          </w:p>
        </w:tc>
        <w:tc>
          <w:tcPr>
            <w:tcW w:w="1134" w:type="dxa"/>
            <w:tcBorders>
              <w:bottom w:val="single" w:sz="8" w:space="0" w:color="000000"/>
            </w:tcBorders>
          </w:tcPr>
          <w:p w14:paraId="2C1D6C63" w14:textId="77777777" w:rsidR="00FA4AA8" w:rsidRDefault="0015611F">
            <w:pPr>
              <w:pStyle w:val="TableParagraph"/>
              <w:spacing w:before="24"/>
              <w:ind w:right="84"/>
              <w:jc w:val="right"/>
              <w:rPr>
                <w:sz w:val="18"/>
              </w:rPr>
            </w:pPr>
            <w:r>
              <w:rPr>
                <w:sz w:val="18"/>
              </w:rPr>
              <w:t>46,506</w:t>
            </w:r>
          </w:p>
        </w:tc>
      </w:tr>
      <w:tr w:rsidR="00FA4AA8" w14:paraId="4C34BEAA" w14:textId="77777777">
        <w:trPr>
          <w:trHeight w:val="318"/>
        </w:trPr>
        <w:tc>
          <w:tcPr>
            <w:tcW w:w="4041" w:type="dxa"/>
          </w:tcPr>
          <w:p w14:paraId="7CD3F47E" w14:textId="77777777" w:rsidR="00FA4AA8" w:rsidRDefault="0015611F">
            <w:pPr>
              <w:pStyle w:val="TableParagraph"/>
              <w:spacing w:before="115" w:line="183" w:lineRule="exact"/>
              <w:ind w:left="76"/>
              <w:rPr>
                <w:b/>
                <w:sz w:val="18"/>
              </w:rPr>
            </w:pPr>
            <w:r>
              <w:rPr>
                <w:b/>
                <w:sz w:val="18"/>
              </w:rPr>
              <w:t>Total non-current other liabilities</w:t>
            </w:r>
          </w:p>
        </w:tc>
        <w:tc>
          <w:tcPr>
            <w:tcW w:w="1464" w:type="dxa"/>
            <w:tcBorders>
              <w:top w:val="single" w:sz="8" w:space="0" w:color="000000"/>
              <w:bottom w:val="single" w:sz="8" w:space="0" w:color="000000"/>
            </w:tcBorders>
          </w:tcPr>
          <w:p w14:paraId="6A577AE2" w14:textId="77777777" w:rsidR="00FA4AA8" w:rsidRDefault="0015611F">
            <w:pPr>
              <w:pStyle w:val="TableParagraph"/>
              <w:spacing w:before="115" w:line="183" w:lineRule="exact"/>
              <w:ind w:right="84"/>
              <w:jc w:val="right"/>
              <w:rPr>
                <w:b/>
                <w:sz w:val="18"/>
              </w:rPr>
            </w:pPr>
            <w:r>
              <w:rPr>
                <w:b/>
                <w:sz w:val="18"/>
              </w:rPr>
              <w:t>47,064</w:t>
            </w:r>
          </w:p>
        </w:tc>
        <w:tc>
          <w:tcPr>
            <w:tcW w:w="1296" w:type="dxa"/>
            <w:tcBorders>
              <w:top w:val="single" w:sz="8" w:space="0" w:color="000000"/>
              <w:bottom w:val="single" w:sz="8" w:space="0" w:color="000000"/>
            </w:tcBorders>
          </w:tcPr>
          <w:p w14:paraId="39122CB5" w14:textId="77777777" w:rsidR="00FA4AA8" w:rsidRDefault="0015611F">
            <w:pPr>
              <w:pStyle w:val="TableParagraph"/>
              <w:spacing w:before="115" w:line="183" w:lineRule="exact"/>
              <w:ind w:right="84"/>
              <w:jc w:val="right"/>
              <w:rPr>
                <w:sz w:val="18"/>
              </w:rPr>
            </w:pPr>
            <w:r>
              <w:rPr>
                <w:sz w:val="18"/>
              </w:rPr>
              <w:t>49,125</w:t>
            </w:r>
          </w:p>
        </w:tc>
        <w:tc>
          <w:tcPr>
            <w:tcW w:w="168" w:type="dxa"/>
            <w:tcBorders>
              <w:top w:val="single" w:sz="8" w:space="0" w:color="000000"/>
              <w:bottom w:val="single" w:sz="8" w:space="0" w:color="000000"/>
            </w:tcBorders>
          </w:tcPr>
          <w:p w14:paraId="0949F838" w14:textId="77777777" w:rsidR="00FA4AA8" w:rsidRDefault="00FA4AA8">
            <w:pPr>
              <w:pStyle w:val="TableParagraph"/>
              <w:rPr>
                <w:rFonts w:ascii="Times New Roman"/>
                <w:sz w:val="18"/>
              </w:rPr>
            </w:pPr>
          </w:p>
        </w:tc>
        <w:tc>
          <w:tcPr>
            <w:tcW w:w="1458" w:type="dxa"/>
            <w:tcBorders>
              <w:top w:val="single" w:sz="8" w:space="0" w:color="000000"/>
              <w:bottom w:val="single" w:sz="8" w:space="0" w:color="000000"/>
            </w:tcBorders>
          </w:tcPr>
          <w:p w14:paraId="75C4355C" w14:textId="77777777" w:rsidR="00FA4AA8" w:rsidRDefault="0015611F">
            <w:pPr>
              <w:pStyle w:val="TableParagraph"/>
              <w:spacing w:before="115" w:line="183" w:lineRule="exact"/>
              <w:ind w:right="246"/>
              <w:jc w:val="right"/>
              <w:rPr>
                <w:b/>
                <w:sz w:val="18"/>
              </w:rPr>
            </w:pPr>
            <w:r>
              <w:rPr>
                <w:b/>
                <w:sz w:val="18"/>
              </w:rPr>
              <w:t>47,064</w:t>
            </w:r>
          </w:p>
        </w:tc>
        <w:tc>
          <w:tcPr>
            <w:tcW w:w="1134" w:type="dxa"/>
            <w:tcBorders>
              <w:top w:val="single" w:sz="8" w:space="0" w:color="000000"/>
              <w:bottom w:val="single" w:sz="8" w:space="0" w:color="000000"/>
            </w:tcBorders>
          </w:tcPr>
          <w:p w14:paraId="03401365" w14:textId="77777777" w:rsidR="00FA4AA8" w:rsidRDefault="0015611F">
            <w:pPr>
              <w:pStyle w:val="TableParagraph"/>
              <w:spacing w:before="115" w:line="183" w:lineRule="exact"/>
              <w:ind w:right="84"/>
              <w:jc w:val="right"/>
              <w:rPr>
                <w:sz w:val="18"/>
              </w:rPr>
            </w:pPr>
            <w:r>
              <w:rPr>
                <w:sz w:val="18"/>
              </w:rPr>
              <w:t>49,125</w:t>
            </w:r>
          </w:p>
        </w:tc>
      </w:tr>
      <w:tr w:rsidR="00FA4AA8" w14:paraId="08FFB5AD" w14:textId="77777777">
        <w:trPr>
          <w:trHeight w:val="352"/>
        </w:trPr>
        <w:tc>
          <w:tcPr>
            <w:tcW w:w="4041" w:type="dxa"/>
          </w:tcPr>
          <w:p w14:paraId="1E8369B6" w14:textId="77777777" w:rsidR="00FA4AA8" w:rsidRDefault="0015611F">
            <w:pPr>
              <w:pStyle w:val="TableParagraph"/>
              <w:spacing w:before="115"/>
              <w:ind w:left="76"/>
              <w:rPr>
                <w:b/>
                <w:sz w:val="18"/>
              </w:rPr>
            </w:pPr>
            <w:r>
              <w:rPr>
                <w:b/>
                <w:sz w:val="18"/>
              </w:rPr>
              <w:t>Total other liabilities</w:t>
            </w:r>
          </w:p>
        </w:tc>
        <w:tc>
          <w:tcPr>
            <w:tcW w:w="1464" w:type="dxa"/>
            <w:tcBorders>
              <w:top w:val="single" w:sz="8" w:space="0" w:color="000000"/>
              <w:bottom w:val="single" w:sz="6" w:space="0" w:color="000000"/>
            </w:tcBorders>
          </w:tcPr>
          <w:p w14:paraId="327B2F74" w14:textId="77777777" w:rsidR="00FA4AA8" w:rsidRDefault="0015611F">
            <w:pPr>
              <w:pStyle w:val="TableParagraph"/>
              <w:spacing w:before="86"/>
              <w:ind w:right="84"/>
              <w:jc w:val="right"/>
              <w:rPr>
                <w:b/>
                <w:sz w:val="18"/>
              </w:rPr>
            </w:pPr>
            <w:r>
              <w:rPr>
                <w:b/>
                <w:sz w:val="18"/>
              </w:rPr>
              <w:t>100,360</w:t>
            </w:r>
          </w:p>
        </w:tc>
        <w:tc>
          <w:tcPr>
            <w:tcW w:w="1296" w:type="dxa"/>
            <w:tcBorders>
              <w:top w:val="single" w:sz="8" w:space="0" w:color="000000"/>
              <w:bottom w:val="single" w:sz="4" w:space="0" w:color="000000"/>
            </w:tcBorders>
          </w:tcPr>
          <w:p w14:paraId="3AD841CB" w14:textId="77777777" w:rsidR="00FA4AA8" w:rsidRDefault="0015611F">
            <w:pPr>
              <w:pStyle w:val="TableParagraph"/>
              <w:spacing w:before="86"/>
              <w:ind w:right="84"/>
              <w:jc w:val="right"/>
              <w:rPr>
                <w:sz w:val="18"/>
              </w:rPr>
            </w:pPr>
            <w:r>
              <w:rPr>
                <w:sz w:val="18"/>
              </w:rPr>
              <w:t>99,649</w:t>
            </w:r>
          </w:p>
        </w:tc>
        <w:tc>
          <w:tcPr>
            <w:tcW w:w="168" w:type="dxa"/>
            <w:tcBorders>
              <w:top w:val="single" w:sz="8" w:space="0" w:color="000000"/>
              <w:bottom w:val="single" w:sz="6" w:space="0" w:color="000000"/>
            </w:tcBorders>
          </w:tcPr>
          <w:p w14:paraId="1560DB9F" w14:textId="77777777" w:rsidR="00FA4AA8" w:rsidRDefault="00FA4AA8">
            <w:pPr>
              <w:pStyle w:val="TableParagraph"/>
              <w:rPr>
                <w:rFonts w:ascii="Times New Roman"/>
                <w:sz w:val="18"/>
              </w:rPr>
            </w:pPr>
          </w:p>
        </w:tc>
        <w:tc>
          <w:tcPr>
            <w:tcW w:w="1458" w:type="dxa"/>
            <w:tcBorders>
              <w:top w:val="single" w:sz="8" w:space="0" w:color="000000"/>
              <w:bottom w:val="single" w:sz="6" w:space="0" w:color="000000"/>
            </w:tcBorders>
          </w:tcPr>
          <w:p w14:paraId="3FD61231" w14:textId="77777777" w:rsidR="00FA4AA8" w:rsidRDefault="0015611F">
            <w:pPr>
              <w:pStyle w:val="TableParagraph"/>
              <w:spacing w:before="86"/>
              <w:ind w:right="246"/>
              <w:jc w:val="right"/>
              <w:rPr>
                <w:b/>
                <w:sz w:val="18"/>
              </w:rPr>
            </w:pPr>
            <w:r>
              <w:rPr>
                <w:b/>
                <w:sz w:val="18"/>
              </w:rPr>
              <w:t>98,383</w:t>
            </w:r>
          </w:p>
        </w:tc>
        <w:tc>
          <w:tcPr>
            <w:tcW w:w="1134" w:type="dxa"/>
            <w:tcBorders>
              <w:top w:val="single" w:sz="8" w:space="0" w:color="000000"/>
              <w:bottom w:val="single" w:sz="6" w:space="0" w:color="000000"/>
            </w:tcBorders>
          </w:tcPr>
          <w:p w14:paraId="1284BAD2" w14:textId="77777777" w:rsidR="00FA4AA8" w:rsidRDefault="0015611F">
            <w:pPr>
              <w:pStyle w:val="TableParagraph"/>
              <w:spacing w:before="86"/>
              <w:ind w:right="84"/>
              <w:jc w:val="right"/>
              <w:rPr>
                <w:sz w:val="18"/>
              </w:rPr>
            </w:pPr>
            <w:r>
              <w:rPr>
                <w:sz w:val="18"/>
              </w:rPr>
              <w:t>97,882</w:t>
            </w:r>
          </w:p>
        </w:tc>
      </w:tr>
      <w:tr w:rsidR="00FA4AA8" w14:paraId="4CF18A86" w14:textId="77777777">
        <w:trPr>
          <w:trHeight w:val="497"/>
        </w:trPr>
        <w:tc>
          <w:tcPr>
            <w:tcW w:w="4041" w:type="dxa"/>
          </w:tcPr>
          <w:p w14:paraId="54E967D7" w14:textId="77777777" w:rsidR="00FA4AA8" w:rsidRDefault="00FA4AA8">
            <w:pPr>
              <w:pStyle w:val="TableParagraph"/>
              <w:spacing w:before="2"/>
              <w:rPr>
                <w:b/>
                <w:sz w:val="25"/>
              </w:rPr>
            </w:pPr>
          </w:p>
          <w:p w14:paraId="19419393" w14:textId="77777777" w:rsidR="00FA4AA8" w:rsidRDefault="0015611F">
            <w:pPr>
              <w:pStyle w:val="TableParagraph"/>
              <w:spacing w:before="1" w:line="187" w:lineRule="exact"/>
              <w:ind w:left="50"/>
              <w:rPr>
                <w:i/>
                <w:sz w:val="18"/>
              </w:rPr>
            </w:pPr>
            <w:r>
              <w:rPr>
                <w:i/>
                <w:sz w:val="18"/>
                <w:u w:val="single"/>
              </w:rPr>
              <w:t>Accounting Policy</w:t>
            </w:r>
          </w:p>
        </w:tc>
        <w:tc>
          <w:tcPr>
            <w:tcW w:w="1464" w:type="dxa"/>
            <w:tcBorders>
              <w:top w:val="single" w:sz="6" w:space="0" w:color="000000"/>
            </w:tcBorders>
          </w:tcPr>
          <w:p w14:paraId="03C73A89" w14:textId="77777777" w:rsidR="00FA4AA8" w:rsidRDefault="00FA4AA8">
            <w:pPr>
              <w:pStyle w:val="TableParagraph"/>
              <w:rPr>
                <w:rFonts w:ascii="Times New Roman"/>
                <w:sz w:val="18"/>
              </w:rPr>
            </w:pPr>
          </w:p>
        </w:tc>
        <w:tc>
          <w:tcPr>
            <w:tcW w:w="1296" w:type="dxa"/>
            <w:tcBorders>
              <w:top w:val="single" w:sz="4" w:space="0" w:color="000000"/>
            </w:tcBorders>
          </w:tcPr>
          <w:p w14:paraId="0D1D3BDE" w14:textId="77777777" w:rsidR="00FA4AA8" w:rsidRDefault="00FA4AA8">
            <w:pPr>
              <w:pStyle w:val="TableParagraph"/>
              <w:rPr>
                <w:rFonts w:ascii="Times New Roman"/>
                <w:sz w:val="18"/>
              </w:rPr>
            </w:pPr>
          </w:p>
        </w:tc>
        <w:tc>
          <w:tcPr>
            <w:tcW w:w="168" w:type="dxa"/>
            <w:tcBorders>
              <w:top w:val="single" w:sz="6" w:space="0" w:color="000000"/>
            </w:tcBorders>
          </w:tcPr>
          <w:p w14:paraId="358E5990" w14:textId="77777777" w:rsidR="00FA4AA8" w:rsidRDefault="00FA4AA8">
            <w:pPr>
              <w:pStyle w:val="TableParagraph"/>
              <w:rPr>
                <w:rFonts w:ascii="Times New Roman"/>
                <w:sz w:val="18"/>
              </w:rPr>
            </w:pPr>
          </w:p>
        </w:tc>
        <w:tc>
          <w:tcPr>
            <w:tcW w:w="1458" w:type="dxa"/>
            <w:tcBorders>
              <w:top w:val="single" w:sz="6" w:space="0" w:color="000000"/>
            </w:tcBorders>
          </w:tcPr>
          <w:p w14:paraId="310EBFB5" w14:textId="77777777" w:rsidR="00FA4AA8" w:rsidRDefault="00FA4AA8">
            <w:pPr>
              <w:pStyle w:val="TableParagraph"/>
              <w:rPr>
                <w:rFonts w:ascii="Times New Roman"/>
                <w:sz w:val="18"/>
              </w:rPr>
            </w:pPr>
          </w:p>
        </w:tc>
        <w:tc>
          <w:tcPr>
            <w:tcW w:w="1134" w:type="dxa"/>
            <w:tcBorders>
              <w:top w:val="single" w:sz="6" w:space="0" w:color="000000"/>
            </w:tcBorders>
          </w:tcPr>
          <w:p w14:paraId="1DDD46CB" w14:textId="77777777" w:rsidR="00FA4AA8" w:rsidRDefault="00FA4AA8">
            <w:pPr>
              <w:pStyle w:val="TableParagraph"/>
              <w:rPr>
                <w:rFonts w:ascii="Times New Roman"/>
                <w:sz w:val="18"/>
              </w:rPr>
            </w:pPr>
          </w:p>
        </w:tc>
      </w:tr>
    </w:tbl>
    <w:p w14:paraId="695C1A08" w14:textId="77777777" w:rsidR="00FA4AA8" w:rsidRDefault="00FA4AA8">
      <w:pPr>
        <w:pStyle w:val="BodyText"/>
        <w:spacing w:before="9"/>
        <w:rPr>
          <w:b/>
          <w:sz w:val="16"/>
        </w:rPr>
      </w:pPr>
    </w:p>
    <w:p w14:paraId="0D5F9F91" w14:textId="77777777" w:rsidR="00FA4AA8" w:rsidRDefault="007E2441">
      <w:pPr>
        <w:pStyle w:val="BodyText"/>
        <w:spacing w:before="95"/>
        <w:ind w:left="564" w:right="271"/>
      </w:pPr>
      <w:r>
        <w:rPr>
          <w:noProof/>
          <w:lang w:val="en-AU" w:eastAsia="en-AU"/>
        </w:rPr>
        <mc:AlternateContent>
          <mc:Choice Requires="wpg">
            <w:drawing>
              <wp:anchor distT="0" distB="0" distL="114300" distR="114300" simplePos="0" relativeHeight="462736384" behindDoc="1" locked="0" layoutInCell="1" allowOverlap="1" wp14:anchorId="78A43B2C" wp14:editId="4F7F03BD">
                <wp:simplePos x="0" y="0"/>
                <wp:positionH relativeFrom="page">
                  <wp:posOffset>3425825</wp:posOffset>
                </wp:positionH>
                <wp:positionV relativeFrom="paragraph">
                  <wp:posOffset>-468630</wp:posOffset>
                </wp:positionV>
                <wp:extent cx="2383155" cy="18415"/>
                <wp:effectExtent l="0" t="0" r="0" b="0"/>
                <wp:wrapNone/>
                <wp:docPr id="2582" name="Group 2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3155" cy="18415"/>
                          <a:chOff x="5395" y="-738"/>
                          <a:chExt cx="5520" cy="44"/>
                        </a:xfrm>
                      </wpg:grpSpPr>
                      <wps:wsp>
                        <wps:cNvPr id="2583" name="Line 2388"/>
                        <wps:cNvCnPr>
                          <a:cxnSpLocks noChangeShapeType="1"/>
                        </wps:cNvCnPr>
                        <wps:spPr bwMode="auto">
                          <a:xfrm>
                            <a:off x="5395" y="-737"/>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584" name="Line 2387"/>
                        <wps:cNvCnPr>
                          <a:cxnSpLocks noChangeShapeType="1"/>
                        </wps:cNvCnPr>
                        <wps:spPr bwMode="auto">
                          <a:xfrm>
                            <a:off x="5395" y="-735"/>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585" name="Line 2386"/>
                        <wps:cNvCnPr>
                          <a:cxnSpLocks noChangeShapeType="1"/>
                        </wps:cNvCnPr>
                        <wps:spPr bwMode="auto">
                          <a:xfrm>
                            <a:off x="5395" y="-732"/>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586" name="Line 2385"/>
                        <wps:cNvCnPr>
                          <a:cxnSpLocks noChangeShapeType="1"/>
                        </wps:cNvCnPr>
                        <wps:spPr bwMode="auto">
                          <a:xfrm>
                            <a:off x="5395" y="-730"/>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587" name="Line 2384"/>
                        <wps:cNvCnPr>
                          <a:cxnSpLocks noChangeShapeType="1"/>
                        </wps:cNvCnPr>
                        <wps:spPr bwMode="auto">
                          <a:xfrm>
                            <a:off x="5395" y="-727"/>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588" name="Line 2383"/>
                        <wps:cNvCnPr>
                          <a:cxnSpLocks noChangeShapeType="1"/>
                        </wps:cNvCnPr>
                        <wps:spPr bwMode="auto">
                          <a:xfrm>
                            <a:off x="5395" y="-725"/>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589" name="Line 2382"/>
                        <wps:cNvCnPr>
                          <a:cxnSpLocks noChangeShapeType="1"/>
                        </wps:cNvCnPr>
                        <wps:spPr bwMode="auto">
                          <a:xfrm>
                            <a:off x="5395" y="-703"/>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590" name="Line 2381"/>
                        <wps:cNvCnPr>
                          <a:cxnSpLocks noChangeShapeType="1"/>
                        </wps:cNvCnPr>
                        <wps:spPr bwMode="auto">
                          <a:xfrm>
                            <a:off x="5395" y="-701"/>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591" name="Line 2380"/>
                        <wps:cNvCnPr>
                          <a:cxnSpLocks noChangeShapeType="1"/>
                        </wps:cNvCnPr>
                        <wps:spPr bwMode="auto">
                          <a:xfrm>
                            <a:off x="5395" y="-699"/>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592" name="Line 2379"/>
                        <wps:cNvCnPr>
                          <a:cxnSpLocks noChangeShapeType="1"/>
                        </wps:cNvCnPr>
                        <wps:spPr bwMode="auto">
                          <a:xfrm>
                            <a:off x="5395" y="-696"/>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593" name="Line 2378"/>
                        <wps:cNvCnPr>
                          <a:cxnSpLocks noChangeShapeType="1"/>
                        </wps:cNvCnPr>
                        <wps:spPr bwMode="auto">
                          <a:xfrm>
                            <a:off x="5563" y="-737"/>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594" name="Line 2377"/>
                        <wps:cNvCnPr>
                          <a:cxnSpLocks noChangeShapeType="1"/>
                        </wps:cNvCnPr>
                        <wps:spPr bwMode="auto">
                          <a:xfrm>
                            <a:off x="5563" y="-73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595" name="Line 2376"/>
                        <wps:cNvCnPr>
                          <a:cxnSpLocks noChangeShapeType="1"/>
                        </wps:cNvCnPr>
                        <wps:spPr bwMode="auto">
                          <a:xfrm>
                            <a:off x="5563" y="-732"/>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596" name="Line 2375"/>
                        <wps:cNvCnPr>
                          <a:cxnSpLocks noChangeShapeType="1"/>
                        </wps:cNvCnPr>
                        <wps:spPr bwMode="auto">
                          <a:xfrm>
                            <a:off x="5563" y="-73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597" name="Line 2374"/>
                        <wps:cNvCnPr>
                          <a:cxnSpLocks noChangeShapeType="1"/>
                        </wps:cNvCnPr>
                        <wps:spPr bwMode="auto">
                          <a:xfrm>
                            <a:off x="5563" y="-727"/>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598" name="Line 2373"/>
                        <wps:cNvCnPr>
                          <a:cxnSpLocks noChangeShapeType="1"/>
                        </wps:cNvCnPr>
                        <wps:spPr bwMode="auto">
                          <a:xfrm>
                            <a:off x="5563" y="-72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599" name="Line 2372"/>
                        <wps:cNvCnPr>
                          <a:cxnSpLocks noChangeShapeType="1"/>
                        </wps:cNvCnPr>
                        <wps:spPr bwMode="auto">
                          <a:xfrm>
                            <a:off x="6859" y="-737"/>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600" name="Line 2371"/>
                        <wps:cNvCnPr>
                          <a:cxnSpLocks noChangeShapeType="1"/>
                        </wps:cNvCnPr>
                        <wps:spPr bwMode="auto">
                          <a:xfrm>
                            <a:off x="6859" y="-73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601" name="Line 2370"/>
                        <wps:cNvCnPr>
                          <a:cxnSpLocks noChangeShapeType="1"/>
                        </wps:cNvCnPr>
                        <wps:spPr bwMode="auto">
                          <a:xfrm>
                            <a:off x="6859" y="-732"/>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602" name="Line 2369"/>
                        <wps:cNvCnPr>
                          <a:cxnSpLocks noChangeShapeType="1"/>
                        </wps:cNvCnPr>
                        <wps:spPr bwMode="auto">
                          <a:xfrm>
                            <a:off x="6859" y="-73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603" name="Line 2368"/>
                        <wps:cNvCnPr>
                          <a:cxnSpLocks noChangeShapeType="1"/>
                        </wps:cNvCnPr>
                        <wps:spPr bwMode="auto">
                          <a:xfrm>
                            <a:off x="6859" y="-727"/>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604" name="Line 2367"/>
                        <wps:cNvCnPr>
                          <a:cxnSpLocks noChangeShapeType="1"/>
                        </wps:cNvCnPr>
                        <wps:spPr bwMode="auto">
                          <a:xfrm>
                            <a:off x="6859" y="-72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605" name="Line 2366"/>
                        <wps:cNvCnPr>
                          <a:cxnSpLocks noChangeShapeType="1"/>
                        </wps:cNvCnPr>
                        <wps:spPr bwMode="auto">
                          <a:xfrm>
                            <a:off x="8155" y="-737"/>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606" name="Line 2365"/>
                        <wps:cNvCnPr>
                          <a:cxnSpLocks noChangeShapeType="1"/>
                        </wps:cNvCnPr>
                        <wps:spPr bwMode="auto">
                          <a:xfrm>
                            <a:off x="8155" y="-735"/>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607" name="Line 2364"/>
                        <wps:cNvCnPr>
                          <a:cxnSpLocks noChangeShapeType="1"/>
                        </wps:cNvCnPr>
                        <wps:spPr bwMode="auto">
                          <a:xfrm>
                            <a:off x="8155" y="-732"/>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608" name="Line 2363"/>
                        <wps:cNvCnPr>
                          <a:cxnSpLocks noChangeShapeType="1"/>
                        </wps:cNvCnPr>
                        <wps:spPr bwMode="auto">
                          <a:xfrm>
                            <a:off x="8155" y="-730"/>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609" name="Line 2362"/>
                        <wps:cNvCnPr>
                          <a:cxnSpLocks noChangeShapeType="1"/>
                        </wps:cNvCnPr>
                        <wps:spPr bwMode="auto">
                          <a:xfrm>
                            <a:off x="8155" y="-727"/>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610" name="Line 2361"/>
                        <wps:cNvCnPr>
                          <a:cxnSpLocks noChangeShapeType="1"/>
                        </wps:cNvCnPr>
                        <wps:spPr bwMode="auto">
                          <a:xfrm>
                            <a:off x="8155" y="-725"/>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611" name="Line 2360"/>
                        <wps:cNvCnPr>
                          <a:cxnSpLocks noChangeShapeType="1"/>
                        </wps:cNvCnPr>
                        <wps:spPr bwMode="auto">
                          <a:xfrm>
                            <a:off x="8323" y="-737"/>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612" name="Line 2359"/>
                        <wps:cNvCnPr>
                          <a:cxnSpLocks noChangeShapeType="1"/>
                        </wps:cNvCnPr>
                        <wps:spPr bwMode="auto">
                          <a:xfrm>
                            <a:off x="8323" y="-73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613" name="Line 2358"/>
                        <wps:cNvCnPr>
                          <a:cxnSpLocks noChangeShapeType="1"/>
                        </wps:cNvCnPr>
                        <wps:spPr bwMode="auto">
                          <a:xfrm>
                            <a:off x="8323" y="-732"/>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614" name="Line 2357"/>
                        <wps:cNvCnPr>
                          <a:cxnSpLocks noChangeShapeType="1"/>
                        </wps:cNvCnPr>
                        <wps:spPr bwMode="auto">
                          <a:xfrm>
                            <a:off x="8323" y="-73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615" name="Line 2356"/>
                        <wps:cNvCnPr>
                          <a:cxnSpLocks noChangeShapeType="1"/>
                        </wps:cNvCnPr>
                        <wps:spPr bwMode="auto">
                          <a:xfrm>
                            <a:off x="8323" y="-727"/>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616" name="Line 2355"/>
                        <wps:cNvCnPr>
                          <a:cxnSpLocks noChangeShapeType="1"/>
                        </wps:cNvCnPr>
                        <wps:spPr bwMode="auto">
                          <a:xfrm>
                            <a:off x="8323" y="-72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617" name="Line 2354"/>
                        <wps:cNvCnPr>
                          <a:cxnSpLocks noChangeShapeType="1"/>
                        </wps:cNvCnPr>
                        <wps:spPr bwMode="auto">
                          <a:xfrm>
                            <a:off x="9619" y="-737"/>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618" name="Line 2353"/>
                        <wps:cNvCnPr>
                          <a:cxnSpLocks noChangeShapeType="1"/>
                        </wps:cNvCnPr>
                        <wps:spPr bwMode="auto">
                          <a:xfrm>
                            <a:off x="9619" y="-73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619" name="Line 2352"/>
                        <wps:cNvCnPr>
                          <a:cxnSpLocks noChangeShapeType="1"/>
                        </wps:cNvCnPr>
                        <wps:spPr bwMode="auto">
                          <a:xfrm>
                            <a:off x="9619" y="-732"/>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620" name="Line 2351"/>
                        <wps:cNvCnPr>
                          <a:cxnSpLocks noChangeShapeType="1"/>
                        </wps:cNvCnPr>
                        <wps:spPr bwMode="auto">
                          <a:xfrm>
                            <a:off x="9619" y="-73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621" name="Line 2350"/>
                        <wps:cNvCnPr>
                          <a:cxnSpLocks noChangeShapeType="1"/>
                        </wps:cNvCnPr>
                        <wps:spPr bwMode="auto">
                          <a:xfrm>
                            <a:off x="9619" y="-727"/>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622" name="Line 2349"/>
                        <wps:cNvCnPr>
                          <a:cxnSpLocks noChangeShapeType="1"/>
                        </wps:cNvCnPr>
                        <wps:spPr bwMode="auto">
                          <a:xfrm>
                            <a:off x="9619" y="-72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578DB2" id="Group 2348" o:spid="_x0000_s1026" style="position:absolute;margin-left:269.75pt;margin-top:-36.9pt;width:187.65pt;height:1.45pt;z-index:-40580096;mso-position-horizontal-relative:page" coordorigin="5395,-738" coordsize="55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">
                <v:line id="Line 2388" o:spid="_x0000_s1027" style="position:absolute;visibility:visible;mso-wrap-style:square" from="5395,-737" to="5563,-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" strokeweight=".12pt"/>
                <v:line id="Line 2387" o:spid="_x0000_s1028" style="position:absolute;visibility:visible;mso-wrap-style:square" from="5395,-735" to="5563,-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" strokeweight=".12pt"/>
                <v:line id="Line 2386" o:spid="_x0000_s1029" style="position:absolute;visibility:visible;mso-wrap-style:square" from="5395,-732" to="5563,-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" strokeweight=".12pt"/>
                <v:line id="Line 2385" o:spid="_x0000_s1030" style="position:absolute;visibility:visible;mso-wrap-style:square" from="5395,-730" to="5563,-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" strokeweight=".12pt"/>
                <v:line id="Line 2384" o:spid="_x0000_s1031" style="position:absolute;visibility:visible;mso-wrap-style:square" from="5395,-727" to="5563,-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" strokeweight=".12pt"/>
                <v:line id="Line 2383" o:spid="_x0000_s1032" style="position:absolute;visibility:visible;mso-wrap-style:square" from="5395,-725" to="5563,-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" strokeweight=".12pt"/>
                <v:line id="Line 2382" o:spid="_x0000_s1033" style="position:absolute;visibility:visible;mso-wrap-style:square" from="5395,-703" to="5563,-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" strokeweight=".12pt"/>
                <v:line id="Line 2381" o:spid="_x0000_s1034" style="position:absolute;visibility:visible;mso-wrap-style:square" from="5395,-701" to="5563,-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" strokeweight=".12pt"/>
                <v:line id="Line 2380" o:spid="_x0000_s1035" style="position:absolute;visibility:visible;mso-wrap-style:square" from="5395,-699" to="5563,-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" strokeweight=".12pt"/>
                <v:line id="Line 2379" o:spid="_x0000_s1036" style="position:absolute;visibility:visible;mso-wrap-style:square" from="5395,-696" to="5563,-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" strokeweight=".12pt"/>
                <v:line id="Line 2378" o:spid="_x0000_s1037" style="position:absolute;visibility:visible;mso-wrap-style:square" from="5563,-737" to="6859,-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" strokeweight=".12pt"/>
                <v:line id="Line 2377" o:spid="_x0000_s1038" style="position:absolute;visibility:visible;mso-wrap-style:square" from="5563,-735" to="6859,-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" strokeweight=".12pt"/>
                <v:line id="Line 2376" o:spid="_x0000_s1039" style="position:absolute;visibility:visible;mso-wrap-style:square" from="5563,-732" to="6859,-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" strokeweight=".12pt"/>
                <v:line id="Line 2375" o:spid="_x0000_s1040" style="position:absolute;visibility:visible;mso-wrap-style:square" from="5563,-730" to="6859,-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" strokeweight=".12pt"/>
                <v:line id="Line 2374" o:spid="_x0000_s1041" style="position:absolute;visibility:visible;mso-wrap-style:square" from="5563,-727" to="6859,-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" strokeweight=".12pt"/>
                <v:line id="Line 2373" o:spid="_x0000_s1042" style="position:absolute;visibility:visible;mso-wrap-style:square" from="5563,-725" to="6859,-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" strokeweight=".12pt"/>
                <v:line id="Line 2372" o:spid="_x0000_s1043" style="position:absolute;visibility:visible;mso-wrap-style:square" from="6859,-737" to="8155,-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" strokeweight=".12pt"/>
                <v:line id="Line 2371" o:spid="_x0000_s1044" style="position:absolute;visibility:visible;mso-wrap-style:square" from="6859,-735" to="8155,-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" strokeweight=".12pt"/>
                <v:line id="Line 2370" o:spid="_x0000_s1045" style="position:absolute;visibility:visible;mso-wrap-style:square" from="6859,-732" to="8155,-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" strokeweight=".12pt"/>
                <v:line id="Line 2369" o:spid="_x0000_s1046" style="position:absolute;visibility:visible;mso-wrap-style:square" from="6859,-730" to="815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" strokeweight=".12pt"/>
                <v:line id="Line 2368" o:spid="_x0000_s1047" style="position:absolute;visibility:visible;mso-wrap-style:square" from="6859,-727" to="8155,-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" strokeweight=".12pt"/>
                <v:line id="Line 2367" o:spid="_x0000_s1048" style="position:absolute;visibility:visible;mso-wrap-style:square" from="6859,-725" to="8155,-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" strokeweight=".12pt"/>
                <v:line id="Line 2366" o:spid="_x0000_s1049" style="position:absolute;visibility:visible;mso-wrap-style:square" from="8155,-737" to="8323,-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" strokeweight=".12pt"/>
                <v:line id="Line 2365" o:spid="_x0000_s1050" style="position:absolute;visibility:visible;mso-wrap-style:square" from="8155,-735" to="8323,-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" strokeweight=".12pt"/>
                <v:line id="Line 2364" o:spid="_x0000_s1051" style="position:absolute;visibility:visible;mso-wrap-style:square" from="8155,-732" to="8323,-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" strokeweight=".12pt"/>
                <v:line id="Line 2363" o:spid="_x0000_s1052" style="position:absolute;visibility:visible;mso-wrap-style:square" from="8155,-730" to="8323,-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" strokeweight=".12pt"/>
                <v:line id="Line 2362" o:spid="_x0000_s1053" style="position:absolute;visibility:visible;mso-wrap-style:square" from="8155,-727" to="8323,-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" strokeweight=".12pt"/>
                <v:line id="Line 2361" o:spid="_x0000_s1054" style="position:absolute;visibility:visible;mso-wrap-style:square" from="8155,-725" to="8323,-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" strokeweight=".12pt"/>
                <v:line id="Line 2360" o:spid="_x0000_s1055" style="position:absolute;visibility:visible;mso-wrap-style:square" from="8323,-737" to="9619,-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" strokeweight=".12pt"/>
                <v:line id="Line 2359" o:spid="_x0000_s1056" style="position:absolute;visibility:visible;mso-wrap-style:square" from="8323,-735" to="9619,-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" strokeweight=".12pt"/>
                <v:line id="Line 2358" o:spid="_x0000_s1057" style="position:absolute;visibility:visible;mso-wrap-style:square" from="8323,-732" to="9619,-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" strokeweight=".12pt"/>
                <v:line id="Line 2357" o:spid="_x0000_s1058" style="position:absolute;visibility:visible;mso-wrap-style:square" from="8323,-730" to="9619,-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" strokeweight=".12pt"/>
                <v:line id="Line 2356" o:spid="_x0000_s1059" style="position:absolute;visibility:visible;mso-wrap-style:square" from="8323,-727" to="9619,-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" strokeweight=".12pt"/>
                <v:line id="Line 2355" o:spid="_x0000_s1060" style="position:absolute;visibility:visible;mso-wrap-style:square" from="8323,-725" to="9619,-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" strokeweight=".12pt"/>
                <v:line id="Line 2354" o:spid="_x0000_s1061" style="position:absolute;visibility:visible;mso-wrap-style:square" from="9619,-737" to="10915,-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" strokeweight=".12pt"/>
                <v:line id="Line 2353" o:spid="_x0000_s1062" style="position:absolute;visibility:visible;mso-wrap-style:square" from="9619,-735" to="10915,-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" strokeweight=".12pt"/>
                <v:line id="Line 2352" o:spid="_x0000_s1063" style="position:absolute;visibility:visible;mso-wrap-style:square" from="9619,-732" to="10915,-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" strokeweight=".12pt"/>
                <v:line id="Line 2351" o:spid="_x0000_s1064" style="position:absolute;visibility:visible;mso-wrap-style:square" from="9619,-730" to="1091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" strokeweight=".12pt"/>
                <v:line id="Line 2350" o:spid="_x0000_s1065" style="position:absolute;visibility:visible;mso-wrap-style:square" from="9619,-727" to="10915,-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" strokeweight=".12pt"/>
                <v:line id="Line 2349" o:spid="_x0000_s1066" style="position:absolute;visibility:visible;mso-wrap-style:square" from="9619,-725" to="10915,-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" strokeweight=".12pt"/>
                <w10:wrap anchorx="page"/>
              </v:group>
            </w:pict>
          </mc:Fallback>
        </mc:AlternateContent>
      </w:r>
      <w:r w:rsidR="0015611F">
        <w:t>Lease incentives under operating leases are recognised as a liability and amortised on a straight-line basis over the life of the lease term.</w:t>
      </w:r>
    </w:p>
    <w:p w14:paraId="28793E6A" w14:textId="77777777" w:rsidR="00FA4AA8" w:rsidRDefault="00FA4AA8">
      <w:pPr>
        <w:sectPr w:rsidR="00FA4AA8">
          <w:pgSz w:w="11910" w:h="16840"/>
          <w:pgMar w:top="2220" w:right="880" w:bottom="720" w:left="840" w:header="1016" w:footer="523" w:gutter="0"/>
          <w:cols w:space="720"/>
        </w:sectPr>
      </w:pPr>
    </w:p>
    <w:p w14:paraId="4E5C3FF3" w14:textId="77777777" w:rsidR="00FA4AA8" w:rsidRDefault="00FA4AA8">
      <w:pPr>
        <w:pStyle w:val="BodyText"/>
        <w:rPr>
          <w:sz w:val="20"/>
        </w:rPr>
      </w:pPr>
    </w:p>
    <w:p w14:paraId="440E2624" w14:textId="77777777" w:rsidR="00FA4AA8" w:rsidRDefault="00FA4AA8">
      <w:pPr>
        <w:pStyle w:val="BodyText"/>
        <w:spacing w:before="10"/>
        <w:rPr>
          <w:sz w:val="29"/>
        </w:rPr>
      </w:pPr>
    </w:p>
    <w:p w14:paraId="6DDA1D40" w14:textId="77777777" w:rsidR="00FA4AA8" w:rsidRDefault="0015611F">
      <w:pPr>
        <w:numPr>
          <w:ilvl w:val="0"/>
          <w:numId w:val="96"/>
        </w:numPr>
        <w:tabs>
          <w:tab w:val="left" w:pos="564"/>
        </w:tabs>
        <w:spacing w:before="94"/>
        <w:ind w:hanging="397"/>
        <w:rPr>
          <w:b/>
          <w:sz w:val="18"/>
        </w:rPr>
      </w:pPr>
      <w:bookmarkStart w:id="54" w:name="27_Reserves_and_retained_earnings_"/>
      <w:bookmarkStart w:id="55" w:name="(a)_Reserves"/>
      <w:bookmarkEnd w:id="54"/>
      <w:bookmarkEnd w:id="55"/>
      <w:r>
        <w:rPr>
          <w:b/>
          <w:sz w:val="18"/>
        </w:rPr>
        <w:t>Reserves and retained earnings</w:t>
      </w:r>
    </w:p>
    <w:p w14:paraId="63A108D9" w14:textId="77777777" w:rsidR="00FA4AA8" w:rsidRDefault="00FA4AA8">
      <w:pPr>
        <w:pStyle w:val="BodyText"/>
        <w:spacing w:before="5"/>
        <w:rPr>
          <w:b/>
        </w:rPr>
      </w:pPr>
    </w:p>
    <w:p w14:paraId="33DD5C8D" w14:textId="77777777" w:rsidR="00FA4AA8" w:rsidRDefault="0015611F">
      <w:pPr>
        <w:spacing w:before="94"/>
        <w:ind w:left="167"/>
        <w:rPr>
          <w:b/>
          <w:sz w:val="18"/>
        </w:rPr>
      </w:pPr>
      <w:r>
        <w:rPr>
          <w:b/>
          <w:sz w:val="18"/>
        </w:rPr>
        <w:t>(a) Reserves</w:t>
      </w:r>
    </w:p>
    <w:p w14:paraId="4E346064" w14:textId="77777777" w:rsidR="00FA4AA8" w:rsidRDefault="0015611F">
      <w:pPr>
        <w:tabs>
          <w:tab w:val="left" w:pos="8423"/>
        </w:tabs>
        <w:spacing w:before="38"/>
        <w:ind w:left="5373"/>
        <w:rPr>
          <w:b/>
          <w:sz w:val="18"/>
        </w:rPr>
      </w:pPr>
      <w:r>
        <w:rPr>
          <w:b/>
          <w:sz w:val="18"/>
        </w:rPr>
        <w:t>Consolidated</w:t>
      </w:r>
      <w:r>
        <w:rPr>
          <w:b/>
          <w:sz w:val="18"/>
        </w:rPr>
        <w:tab/>
        <w:t>Parent</w:t>
      </w:r>
    </w:p>
    <w:p w14:paraId="4A62CDFE" w14:textId="77777777" w:rsidR="00FA4AA8" w:rsidRDefault="00FA4AA8">
      <w:pPr>
        <w:pStyle w:val="BodyText"/>
        <w:spacing w:before="4"/>
        <w:rPr>
          <w:b/>
          <w:sz w:val="6"/>
        </w:rPr>
      </w:pPr>
    </w:p>
    <w:tbl>
      <w:tblPr>
        <w:tblW w:w="0" w:type="auto"/>
        <w:tblInd w:w="125" w:type="dxa"/>
        <w:tblLayout w:type="fixed"/>
        <w:tblCellMar>
          <w:left w:w="0" w:type="dxa"/>
          <w:right w:w="0" w:type="dxa"/>
        </w:tblCellMar>
        <w:tblLook w:val="01E0" w:firstRow="1" w:lastRow="1" w:firstColumn="1" w:lastColumn="1" w:noHBand="0" w:noVBand="0"/>
      </w:tblPr>
      <w:tblGrid>
        <w:gridCol w:w="363"/>
        <w:gridCol w:w="4069"/>
        <w:gridCol w:w="1464"/>
        <w:gridCol w:w="1296"/>
        <w:gridCol w:w="168"/>
        <w:gridCol w:w="1488"/>
        <w:gridCol w:w="1104"/>
      </w:tblGrid>
      <w:tr w:rsidR="00FA4AA8" w14:paraId="10B1F9D6" w14:textId="77777777">
        <w:trPr>
          <w:trHeight w:val="844"/>
        </w:trPr>
        <w:tc>
          <w:tcPr>
            <w:tcW w:w="363" w:type="dxa"/>
            <w:vMerge w:val="restart"/>
          </w:tcPr>
          <w:p w14:paraId="4B85782B" w14:textId="77777777" w:rsidR="00FA4AA8" w:rsidRDefault="00FA4AA8">
            <w:pPr>
              <w:pStyle w:val="TableParagraph"/>
              <w:rPr>
                <w:rFonts w:ascii="Times New Roman"/>
                <w:sz w:val="18"/>
              </w:rPr>
            </w:pPr>
          </w:p>
        </w:tc>
        <w:tc>
          <w:tcPr>
            <w:tcW w:w="4069" w:type="dxa"/>
          </w:tcPr>
          <w:p w14:paraId="5A5FDCDD" w14:textId="77777777" w:rsidR="00FA4AA8" w:rsidRDefault="00FA4AA8">
            <w:pPr>
              <w:pStyle w:val="TableParagraph"/>
              <w:rPr>
                <w:b/>
                <w:sz w:val="20"/>
              </w:rPr>
            </w:pPr>
          </w:p>
          <w:p w14:paraId="2AA902EC" w14:textId="77777777" w:rsidR="00FA4AA8" w:rsidRDefault="00FA4AA8">
            <w:pPr>
              <w:pStyle w:val="TableParagraph"/>
              <w:rPr>
                <w:b/>
                <w:sz w:val="20"/>
              </w:rPr>
            </w:pPr>
          </w:p>
          <w:p w14:paraId="30E1DC25" w14:textId="77777777" w:rsidR="00FA4AA8" w:rsidRDefault="0015611F">
            <w:pPr>
              <w:pStyle w:val="TableParagraph"/>
              <w:spacing w:before="160" w:line="204" w:lineRule="exact"/>
              <w:ind w:left="109"/>
              <w:rPr>
                <w:b/>
                <w:sz w:val="18"/>
              </w:rPr>
            </w:pPr>
            <w:r>
              <w:rPr>
                <w:b/>
                <w:sz w:val="18"/>
              </w:rPr>
              <w:t>Reserves</w:t>
            </w:r>
          </w:p>
        </w:tc>
        <w:tc>
          <w:tcPr>
            <w:tcW w:w="1464" w:type="dxa"/>
          </w:tcPr>
          <w:p w14:paraId="63C74B0F" w14:textId="77777777" w:rsidR="00FA4AA8" w:rsidRDefault="0015611F">
            <w:pPr>
              <w:pStyle w:val="TableParagraph"/>
              <w:spacing w:line="201" w:lineRule="exact"/>
              <w:ind w:left="600"/>
              <w:rPr>
                <w:b/>
                <w:sz w:val="18"/>
              </w:rPr>
            </w:pPr>
            <w:r>
              <w:rPr>
                <w:b/>
                <w:sz w:val="18"/>
              </w:rPr>
              <w:t>2018</w:t>
            </w:r>
          </w:p>
          <w:p w14:paraId="6F97738F" w14:textId="77777777" w:rsidR="00FA4AA8" w:rsidRDefault="0015611F">
            <w:pPr>
              <w:pStyle w:val="TableParagraph"/>
              <w:spacing w:before="66"/>
              <w:ind w:left="578"/>
              <w:rPr>
                <w:b/>
                <w:sz w:val="18"/>
              </w:rPr>
            </w:pPr>
            <w:r>
              <w:rPr>
                <w:b/>
                <w:sz w:val="18"/>
              </w:rPr>
              <w:t>$'000</w:t>
            </w:r>
          </w:p>
        </w:tc>
        <w:tc>
          <w:tcPr>
            <w:tcW w:w="1296" w:type="dxa"/>
          </w:tcPr>
          <w:p w14:paraId="2039317B" w14:textId="77777777" w:rsidR="00FA4AA8" w:rsidRDefault="0015611F">
            <w:pPr>
              <w:pStyle w:val="TableParagraph"/>
              <w:spacing w:line="201" w:lineRule="exact"/>
              <w:ind w:left="393" w:right="419"/>
              <w:jc w:val="center"/>
              <w:rPr>
                <w:b/>
                <w:sz w:val="18"/>
              </w:rPr>
            </w:pPr>
            <w:r>
              <w:rPr>
                <w:b/>
                <w:sz w:val="18"/>
              </w:rPr>
              <w:t>2017</w:t>
            </w:r>
          </w:p>
          <w:p w14:paraId="4D2C1153" w14:textId="77777777" w:rsidR="00FA4AA8" w:rsidRDefault="0015611F">
            <w:pPr>
              <w:pStyle w:val="TableParagraph"/>
              <w:spacing w:before="66"/>
              <w:ind w:left="393" w:right="419"/>
              <w:jc w:val="center"/>
              <w:rPr>
                <w:b/>
                <w:sz w:val="18"/>
              </w:rPr>
            </w:pPr>
            <w:r>
              <w:rPr>
                <w:b/>
                <w:sz w:val="18"/>
              </w:rPr>
              <w:t>$'000</w:t>
            </w:r>
          </w:p>
        </w:tc>
        <w:tc>
          <w:tcPr>
            <w:tcW w:w="168" w:type="dxa"/>
          </w:tcPr>
          <w:p w14:paraId="2EA18E98" w14:textId="77777777" w:rsidR="00FA4AA8" w:rsidRDefault="00FA4AA8">
            <w:pPr>
              <w:pStyle w:val="TableParagraph"/>
              <w:rPr>
                <w:rFonts w:ascii="Times New Roman"/>
                <w:sz w:val="18"/>
              </w:rPr>
            </w:pPr>
          </w:p>
        </w:tc>
        <w:tc>
          <w:tcPr>
            <w:tcW w:w="1488" w:type="dxa"/>
          </w:tcPr>
          <w:p w14:paraId="06E83736" w14:textId="77777777" w:rsidR="00FA4AA8" w:rsidRDefault="0015611F">
            <w:pPr>
              <w:pStyle w:val="TableParagraph"/>
              <w:spacing w:line="201" w:lineRule="exact"/>
              <w:ind w:left="432"/>
              <w:rPr>
                <w:b/>
                <w:sz w:val="18"/>
              </w:rPr>
            </w:pPr>
            <w:r>
              <w:rPr>
                <w:b/>
                <w:sz w:val="18"/>
              </w:rPr>
              <w:t>2018</w:t>
            </w:r>
          </w:p>
          <w:p w14:paraId="159ACBDE" w14:textId="77777777" w:rsidR="00FA4AA8" w:rsidRDefault="0015611F">
            <w:pPr>
              <w:pStyle w:val="TableParagraph"/>
              <w:spacing w:before="66"/>
              <w:ind w:left="410"/>
              <w:rPr>
                <w:b/>
                <w:sz w:val="18"/>
              </w:rPr>
            </w:pPr>
            <w:r>
              <w:rPr>
                <w:b/>
                <w:sz w:val="18"/>
              </w:rPr>
              <w:t>$'000</w:t>
            </w:r>
          </w:p>
        </w:tc>
        <w:tc>
          <w:tcPr>
            <w:tcW w:w="1104" w:type="dxa"/>
          </w:tcPr>
          <w:p w14:paraId="6E8BAE6E" w14:textId="77777777" w:rsidR="00FA4AA8" w:rsidRDefault="0015611F">
            <w:pPr>
              <w:pStyle w:val="TableParagraph"/>
              <w:spacing w:line="201" w:lineRule="exact"/>
              <w:ind w:left="240"/>
              <w:rPr>
                <w:b/>
                <w:sz w:val="18"/>
              </w:rPr>
            </w:pPr>
            <w:r>
              <w:rPr>
                <w:b/>
                <w:sz w:val="18"/>
              </w:rPr>
              <w:t>2017</w:t>
            </w:r>
          </w:p>
          <w:p w14:paraId="7FAFA74C" w14:textId="77777777" w:rsidR="00FA4AA8" w:rsidRDefault="0015611F">
            <w:pPr>
              <w:pStyle w:val="TableParagraph"/>
              <w:spacing w:before="66"/>
              <w:ind w:left="218"/>
              <w:rPr>
                <w:b/>
                <w:sz w:val="18"/>
              </w:rPr>
            </w:pPr>
            <w:r>
              <w:rPr>
                <w:b/>
                <w:sz w:val="18"/>
              </w:rPr>
              <w:t>$'000</w:t>
            </w:r>
          </w:p>
        </w:tc>
      </w:tr>
      <w:tr w:rsidR="00FA4AA8" w14:paraId="149054A9" w14:textId="77777777">
        <w:trPr>
          <w:trHeight w:val="249"/>
        </w:trPr>
        <w:tc>
          <w:tcPr>
            <w:tcW w:w="363" w:type="dxa"/>
            <w:vMerge/>
            <w:tcBorders>
              <w:top w:val="nil"/>
            </w:tcBorders>
          </w:tcPr>
          <w:p w14:paraId="16CA3786" w14:textId="77777777" w:rsidR="00FA4AA8" w:rsidRDefault="00FA4AA8">
            <w:pPr>
              <w:rPr>
                <w:sz w:val="2"/>
                <w:szCs w:val="2"/>
              </w:rPr>
            </w:pPr>
          </w:p>
        </w:tc>
        <w:tc>
          <w:tcPr>
            <w:tcW w:w="4069" w:type="dxa"/>
          </w:tcPr>
          <w:p w14:paraId="66C0CCAB" w14:textId="77777777" w:rsidR="00FA4AA8" w:rsidRDefault="0015611F">
            <w:pPr>
              <w:pStyle w:val="TableParagraph"/>
              <w:spacing w:before="13"/>
              <w:ind w:left="109"/>
              <w:rPr>
                <w:sz w:val="18"/>
              </w:rPr>
            </w:pPr>
            <w:r>
              <w:rPr>
                <w:sz w:val="18"/>
              </w:rPr>
              <w:t>Deferred superannuation reserve</w:t>
            </w:r>
          </w:p>
        </w:tc>
        <w:tc>
          <w:tcPr>
            <w:tcW w:w="1464" w:type="dxa"/>
          </w:tcPr>
          <w:p w14:paraId="0D78B6C8" w14:textId="77777777" w:rsidR="00FA4AA8" w:rsidRDefault="0015611F">
            <w:pPr>
              <w:pStyle w:val="TableParagraph"/>
              <w:spacing w:before="11"/>
              <w:ind w:right="23"/>
              <w:jc w:val="right"/>
              <w:rPr>
                <w:b/>
                <w:sz w:val="18"/>
              </w:rPr>
            </w:pPr>
            <w:r>
              <w:rPr>
                <w:b/>
                <w:sz w:val="18"/>
              </w:rPr>
              <w:t>(2,428)</w:t>
            </w:r>
          </w:p>
        </w:tc>
        <w:tc>
          <w:tcPr>
            <w:tcW w:w="1296" w:type="dxa"/>
          </w:tcPr>
          <w:p w14:paraId="6B08D764" w14:textId="77777777" w:rsidR="00FA4AA8" w:rsidRDefault="0015611F">
            <w:pPr>
              <w:pStyle w:val="TableParagraph"/>
              <w:spacing w:before="11"/>
              <w:ind w:right="23"/>
              <w:jc w:val="right"/>
              <w:rPr>
                <w:sz w:val="18"/>
              </w:rPr>
            </w:pPr>
            <w:r>
              <w:rPr>
                <w:sz w:val="18"/>
              </w:rPr>
              <w:t>(2,093)</w:t>
            </w:r>
          </w:p>
        </w:tc>
        <w:tc>
          <w:tcPr>
            <w:tcW w:w="168" w:type="dxa"/>
          </w:tcPr>
          <w:p w14:paraId="4D3C1522" w14:textId="77777777" w:rsidR="00FA4AA8" w:rsidRDefault="00FA4AA8">
            <w:pPr>
              <w:pStyle w:val="TableParagraph"/>
              <w:rPr>
                <w:rFonts w:ascii="Times New Roman"/>
                <w:sz w:val="18"/>
              </w:rPr>
            </w:pPr>
          </w:p>
        </w:tc>
        <w:tc>
          <w:tcPr>
            <w:tcW w:w="1488" w:type="dxa"/>
          </w:tcPr>
          <w:p w14:paraId="1503924B" w14:textId="77777777" w:rsidR="00FA4AA8" w:rsidRDefault="0015611F">
            <w:pPr>
              <w:pStyle w:val="TableParagraph"/>
              <w:spacing w:before="11"/>
              <w:ind w:right="215"/>
              <w:jc w:val="right"/>
              <w:rPr>
                <w:b/>
                <w:sz w:val="18"/>
              </w:rPr>
            </w:pPr>
            <w:r>
              <w:rPr>
                <w:b/>
                <w:sz w:val="18"/>
              </w:rPr>
              <w:t>(2,428)</w:t>
            </w:r>
          </w:p>
        </w:tc>
        <w:tc>
          <w:tcPr>
            <w:tcW w:w="1104" w:type="dxa"/>
          </w:tcPr>
          <w:p w14:paraId="45101206" w14:textId="77777777" w:rsidR="00FA4AA8" w:rsidRDefault="0015611F">
            <w:pPr>
              <w:pStyle w:val="TableParagraph"/>
              <w:spacing w:before="11"/>
              <w:ind w:right="23"/>
              <w:jc w:val="right"/>
              <w:rPr>
                <w:sz w:val="18"/>
              </w:rPr>
            </w:pPr>
            <w:r>
              <w:rPr>
                <w:sz w:val="18"/>
              </w:rPr>
              <w:t>(2,093)</w:t>
            </w:r>
          </w:p>
        </w:tc>
      </w:tr>
      <w:tr w:rsidR="00FA4AA8" w14:paraId="4FCC44C2" w14:textId="77777777">
        <w:trPr>
          <w:trHeight w:val="465"/>
        </w:trPr>
        <w:tc>
          <w:tcPr>
            <w:tcW w:w="363" w:type="dxa"/>
            <w:vMerge/>
            <w:tcBorders>
              <w:top w:val="nil"/>
            </w:tcBorders>
          </w:tcPr>
          <w:p w14:paraId="000CA121" w14:textId="77777777" w:rsidR="00FA4AA8" w:rsidRDefault="00FA4AA8">
            <w:pPr>
              <w:rPr>
                <w:sz w:val="2"/>
                <w:szCs w:val="2"/>
              </w:rPr>
            </w:pPr>
          </w:p>
        </w:tc>
        <w:tc>
          <w:tcPr>
            <w:tcW w:w="4069" w:type="dxa"/>
          </w:tcPr>
          <w:p w14:paraId="7F8E1845" w14:textId="77777777" w:rsidR="00FA4AA8" w:rsidRDefault="0015611F">
            <w:pPr>
              <w:pStyle w:val="TableParagraph"/>
              <w:spacing w:before="23"/>
              <w:ind w:left="109" w:right="1248"/>
              <w:rPr>
                <w:sz w:val="18"/>
              </w:rPr>
            </w:pPr>
            <w:r>
              <w:rPr>
                <w:sz w:val="18"/>
              </w:rPr>
              <w:t>Property development revaluation reserve</w:t>
            </w:r>
          </w:p>
        </w:tc>
        <w:tc>
          <w:tcPr>
            <w:tcW w:w="1464" w:type="dxa"/>
          </w:tcPr>
          <w:p w14:paraId="0946127F" w14:textId="77777777" w:rsidR="00FA4AA8" w:rsidRDefault="00FA4AA8">
            <w:pPr>
              <w:pStyle w:val="TableParagraph"/>
              <w:spacing w:before="8"/>
              <w:rPr>
                <w:b/>
                <w:sz w:val="19"/>
              </w:rPr>
            </w:pPr>
          </w:p>
          <w:p w14:paraId="604043F6" w14:textId="77777777" w:rsidR="00FA4AA8" w:rsidRDefault="0015611F">
            <w:pPr>
              <w:pStyle w:val="TableParagraph"/>
              <w:ind w:right="84"/>
              <w:jc w:val="right"/>
              <w:rPr>
                <w:b/>
                <w:sz w:val="18"/>
              </w:rPr>
            </w:pPr>
            <w:r>
              <w:rPr>
                <w:b/>
                <w:sz w:val="18"/>
              </w:rPr>
              <w:t>4,547</w:t>
            </w:r>
          </w:p>
        </w:tc>
        <w:tc>
          <w:tcPr>
            <w:tcW w:w="1296" w:type="dxa"/>
          </w:tcPr>
          <w:p w14:paraId="1C7C2C8E" w14:textId="77777777" w:rsidR="00FA4AA8" w:rsidRDefault="00FA4AA8">
            <w:pPr>
              <w:pStyle w:val="TableParagraph"/>
              <w:spacing w:before="8"/>
              <w:rPr>
                <w:b/>
                <w:sz w:val="19"/>
              </w:rPr>
            </w:pPr>
          </w:p>
          <w:p w14:paraId="62C6048C" w14:textId="77777777" w:rsidR="00FA4AA8" w:rsidRDefault="0015611F">
            <w:pPr>
              <w:pStyle w:val="TableParagraph"/>
              <w:ind w:right="84"/>
              <w:jc w:val="right"/>
              <w:rPr>
                <w:sz w:val="18"/>
              </w:rPr>
            </w:pPr>
            <w:r>
              <w:rPr>
                <w:sz w:val="18"/>
              </w:rPr>
              <w:t>32,158</w:t>
            </w:r>
          </w:p>
        </w:tc>
        <w:tc>
          <w:tcPr>
            <w:tcW w:w="168" w:type="dxa"/>
          </w:tcPr>
          <w:p w14:paraId="61A95B34" w14:textId="77777777" w:rsidR="00FA4AA8" w:rsidRDefault="00FA4AA8">
            <w:pPr>
              <w:pStyle w:val="TableParagraph"/>
              <w:rPr>
                <w:rFonts w:ascii="Times New Roman"/>
                <w:sz w:val="18"/>
              </w:rPr>
            </w:pPr>
          </w:p>
        </w:tc>
        <w:tc>
          <w:tcPr>
            <w:tcW w:w="1488" w:type="dxa"/>
          </w:tcPr>
          <w:p w14:paraId="391CCCC2" w14:textId="77777777" w:rsidR="00FA4AA8" w:rsidRDefault="00FA4AA8">
            <w:pPr>
              <w:pStyle w:val="TableParagraph"/>
              <w:spacing w:before="8"/>
              <w:rPr>
                <w:b/>
                <w:sz w:val="19"/>
              </w:rPr>
            </w:pPr>
          </w:p>
          <w:p w14:paraId="20E7F36A" w14:textId="77777777" w:rsidR="00FA4AA8" w:rsidRDefault="0015611F">
            <w:pPr>
              <w:pStyle w:val="TableParagraph"/>
              <w:ind w:right="276"/>
              <w:jc w:val="right"/>
              <w:rPr>
                <w:b/>
                <w:sz w:val="18"/>
              </w:rPr>
            </w:pPr>
            <w:r>
              <w:rPr>
                <w:b/>
                <w:sz w:val="18"/>
              </w:rPr>
              <w:t>4,547</w:t>
            </w:r>
          </w:p>
        </w:tc>
        <w:tc>
          <w:tcPr>
            <w:tcW w:w="1104" w:type="dxa"/>
          </w:tcPr>
          <w:p w14:paraId="7D71E12D" w14:textId="77777777" w:rsidR="00FA4AA8" w:rsidRDefault="00FA4AA8">
            <w:pPr>
              <w:pStyle w:val="TableParagraph"/>
              <w:spacing w:before="8"/>
              <w:rPr>
                <w:b/>
                <w:sz w:val="19"/>
              </w:rPr>
            </w:pPr>
          </w:p>
          <w:p w14:paraId="14D879FB" w14:textId="77777777" w:rsidR="00FA4AA8" w:rsidRDefault="0015611F">
            <w:pPr>
              <w:pStyle w:val="TableParagraph"/>
              <w:ind w:right="84"/>
              <w:jc w:val="right"/>
              <w:rPr>
                <w:sz w:val="18"/>
              </w:rPr>
            </w:pPr>
            <w:r>
              <w:rPr>
                <w:sz w:val="18"/>
              </w:rPr>
              <w:t>32,158</w:t>
            </w:r>
          </w:p>
        </w:tc>
      </w:tr>
      <w:tr w:rsidR="00FA4AA8" w14:paraId="5970F406" w14:textId="77777777">
        <w:trPr>
          <w:trHeight w:val="466"/>
        </w:trPr>
        <w:tc>
          <w:tcPr>
            <w:tcW w:w="363" w:type="dxa"/>
            <w:vMerge/>
            <w:tcBorders>
              <w:top w:val="nil"/>
            </w:tcBorders>
          </w:tcPr>
          <w:p w14:paraId="6A76B79E" w14:textId="77777777" w:rsidR="00FA4AA8" w:rsidRDefault="00FA4AA8">
            <w:pPr>
              <w:rPr>
                <w:sz w:val="2"/>
                <w:szCs w:val="2"/>
              </w:rPr>
            </w:pPr>
          </w:p>
        </w:tc>
        <w:tc>
          <w:tcPr>
            <w:tcW w:w="4069" w:type="dxa"/>
          </w:tcPr>
          <w:p w14:paraId="676F0CE0" w14:textId="77777777" w:rsidR="00FA4AA8" w:rsidRDefault="0015611F">
            <w:pPr>
              <w:pStyle w:val="TableParagraph"/>
              <w:spacing w:before="23"/>
              <w:ind w:left="109" w:right="1528"/>
              <w:rPr>
                <w:sz w:val="18"/>
              </w:rPr>
            </w:pPr>
            <w:r>
              <w:rPr>
                <w:sz w:val="18"/>
              </w:rPr>
              <w:t>Property, plant and equipment revaluation surplus</w:t>
            </w:r>
          </w:p>
        </w:tc>
        <w:tc>
          <w:tcPr>
            <w:tcW w:w="1464" w:type="dxa"/>
          </w:tcPr>
          <w:p w14:paraId="2A4DDD78" w14:textId="77777777" w:rsidR="00FA4AA8" w:rsidRDefault="00FA4AA8">
            <w:pPr>
              <w:pStyle w:val="TableParagraph"/>
              <w:spacing w:before="8"/>
              <w:rPr>
                <w:b/>
                <w:sz w:val="19"/>
              </w:rPr>
            </w:pPr>
          </w:p>
          <w:p w14:paraId="0836143F" w14:textId="77777777" w:rsidR="00FA4AA8" w:rsidRDefault="0015611F">
            <w:pPr>
              <w:pStyle w:val="TableParagraph"/>
              <w:ind w:right="84"/>
              <w:jc w:val="right"/>
              <w:rPr>
                <w:b/>
                <w:sz w:val="18"/>
              </w:rPr>
            </w:pPr>
            <w:r>
              <w:rPr>
                <w:b/>
                <w:sz w:val="18"/>
              </w:rPr>
              <w:t>882,348</w:t>
            </w:r>
          </w:p>
        </w:tc>
        <w:tc>
          <w:tcPr>
            <w:tcW w:w="1296" w:type="dxa"/>
          </w:tcPr>
          <w:p w14:paraId="1DB36B96" w14:textId="77777777" w:rsidR="00FA4AA8" w:rsidRDefault="00FA4AA8">
            <w:pPr>
              <w:pStyle w:val="TableParagraph"/>
              <w:spacing w:before="8"/>
              <w:rPr>
                <w:b/>
                <w:sz w:val="19"/>
              </w:rPr>
            </w:pPr>
          </w:p>
          <w:p w14:paraId="073323E6" w14:textId="77777777" w:rsidR="00FA4AA8" w:rsidRDefault="0015611F">
            <w:pPr>
              <w:pStyle w:val="TableParagraph"/>
              <w:ind w:right="84"/>
              <w:jc w:val="right"/>
              <w:rPr>
                <w:sz w:val="18"/>
              </w:rPr>
            </w:pPr>
            <w:r>
              <w:rPr>
                <w:sz w:val="18"/>
              </w:rPr>
              <w:t>813,272</w:t>
            </w:r>
          </w:p>
        </w:tc>
        <w:tc>
          <w:tcPr>
            <w:tcW w:w="168" w:type="dxa"/>
          </w:tcPr>
          <w:p w14:paraId="4FF4F031" w14:textId="77777777" w:rsidR="00FA4AA8" w:rsidRDefault="00FA4AA8">
            <w:pPr>
              <w:pStyle w:val="TableParagraph"/>
              <w:rPr>
                <w:rFonts w:ascii="Times New Roman"/>
                <w:sz w:val="18"/>
              </w:rPr>
            </w:pPr>
          </w:p>
        </w:tc>
        <w:tc>
          <w:tcPr>
            <w:tcW w:w="1488" w:type="dxa"/>
          </w:tcPr>
          <w:p w14:paraId="02AF6624" w14:textId="77777777" w:rsidR="00FA4AA8" w:rsidRDefault="00FA4AA8">
            <w:pPr>
              <w:pStyle w:val="TableParagraph"/>
              <w:spacing w:before="8"/>
              <w:rPr>
                <w:b/>
                <w:sz w:val="19"/>
              </w:rPr>
            </w:pPr>
          </w:p>
          <w:p w14:paraId="1DEE1A7E" w14:textId="77777777" w:rsidR="00FA4AA8" w:rsidRDefault="0015611F">
            <w:pPr>
              <w:pStyle w:val="TableParagraph"/>
              <w:ind w:right="276"/>
              <w:jc w:val="right"/>
              <w:rPr>
                <w:b/>
                <w:sz w:val="18"/>
              </w:rPr>
            </w:pPr>
            <w:r>
              <w:rPr>
                <w:b/>
                <w:sz w:val="18"/>
              </w:rPr>
              <w:t>882,152</w:t>
            </w:r>
          </w:p>
        </w:tc>
        <w:tc>
          <w:tcPr>
            <w:tcW w:w="1104" w:type="dxa"/>
          </w:tcPr>
          <w:p w14:paraId="527B1C15" w14:textId="77777777" w:rsidR="00FA4AA8" w:rsidRDefault="00FA4AA8">
            <w:pPr>
              <w:pStyle w:val="TableParagraph"/>
              <w:spacing w:before="8"/>
              <w:rPr>
                <w:b/>
                <w:sz w:val="19"/>
              </w:rPr>
            </w:pPr>
          </w:p>
          <w:p w14:paraId="57F126F9" w14:textId="77777777" w:rsidR="00FA4AA8" w:rsidRDefault="0015611F">
            <w:pPr>
              <w:pStyle w:val="TableParagraph"/>
              <w:ind w:left="362"/>
              <w:rPr>
                <w:sz w:val="18"/>
              </w:rPr>
            </w:pPr>
            <w:r>
              <w:rPr>
                <w:sz w:val="18"/>
              </w:rPr>
              <w:t>813,076</w:t>
            </w:r>
          </w:p>
        </w:tc>
      </w:tr>
      <w:tr w:rsidR="00FA4AA8" w14:paraId="079A4BA4" w14:textId="77777777">
        <w:trPr>
          <w:trHeight w:val="264"/>
        </w:trPr>
        <w:tc>
          <w:tcPr>
            <w:tcW w:w="363" w:type="dxa"/>
            <w:vMerge/>
            <w:tcBorders>
              <w:top w:val="nil"/>
            </w:tcBorders>
          </w:tcPr>
          <w:p w14:paraId="5D4E74A7" w14:textId="77777777" w:rsidR="00FA4AA8" w:rsidRDefault="00FA4AA8">
            <w:pPr>
              <w:rPr>
                <w:sz w:val="2"/>
                <w:szCs w:val="2"/>
              </w:rPr>
            </w:pPr>
          </w:p>
        </w:tc>
        <w:tc>
          <w:tcPr>
            <w:tcW w:w="4069" w:type="dxa"/>
          </w:tcPr>
          <w:p w14:paraId="25DE08C8" w14:textId="77777777" w:rsidR="00FA4AA8" w:rsidRDefault="0015611F">
            <w:pPr>
              <w:pStyle w:val="TableParagraph"/>
              <w:spacing w:before="26"/>
              <w:ind w:left="109"/>
              <w:rPr>
                <w:sz w:val="18"/>
              </w:rPr>
            </w:pPr>
            <w:r>
              <w:rPr>
                <w:sz w:val="18"/>
              </w:rPr>
              <w:t>Investment revaluation reserve</w:t>
            </w:r>
          </w:p>
        </w:tc>
        <w:tc>
          <w:tcPr>
            <w:tcW w:w="1464" w:type="dxa"/>
          </w:tcPr>
          <w:p w14:paraId="52039987" w14:textId="77777777" w:rsidR="00FA4AA8" w:rsidRDefault="0015611F">
            <w:pPr>
              <w:pStyle w:val="TableParagraph"/>
              <w:spacing w:before="24"/>
              <w:ind w:right="84"/>
              <w:jc w:val="right"/>
              <w:rPr>
                <w:b/>
                <w:sz w:val="18"/>
              </w:rPr>
            </w:pPr>
            <w:r>
              <w:rPr>
                <w:b/>
                <w:sz w:val="18"/>
              </w:rPr>
              <w:t>28,961</w:t>
            </w:r>
          </w:p>
        </w:tc>
        <w:tc>
          <w:tcPr>
            <w:tcW w:w="1296" w:type="dxa"/>
          </w:tcPr>
          <w:p w14:paraId="6F25A4B6" w14:textId="77777777" w:rsidR="00FA4AA8" w:rsidRDefault="0015611F">
            <w:pPr>
              <w:pStyle w:val="TableParagraph"/>
              <w:spacing w:before="24"/>
              <w:ind w:right="84"/>
              <w:jc w:val="right"/>
              <w:rPr>
                <w:sz w:val="18"/>
              </w:rPr>
            </w:pPr>
            <w:r>
              <w:rPr>
                <w:sz w:val="18"/>
              </w:rPr>
              <w:t>19,500</w:t>
            </w:r>
          </w:p>
        </w:tc>
        <w:tc>
          <w:tcPr>
            <w:tcW w:w="168" w:type="dxa"/>
          </w:tcPr>
          <w:p w14:paraId="122CBDB3" w14:textId="77777777" w:rsidR="00FA4AA8" w:rsidRDefault="00FA4AA8">
            <w:pPr>
              <w:pStyle w:val="TableParagraph"/>
              <w:rPr>
                <w:rFonts w:ascii="Times New Roman"/>
                <w:sz w:val="18"/>
              </w:rPr>
            </w:pPr>
          </w:p>
        </w:tc>
        <w:tc>
          <w:tcPr>
            <w:tcW w:w="1488" w:type="dxa"/>
          </w:tcPr>
          <w:p w14:paraId="59763EF0" w14:textId="77777777" w:rsidR="00FA4AA8" w:rsidRDefault="0015611F">
            <w:pPr>
              <w:pStyle w:val="TableParagraph"/>
              <w:spacing w:before="24"/>
              <w:ind w:right="276"/>
              <w:jc w:val="right"/>
              <w:rPr>
                <w:b/>
                <w:sz w:val="18"/>
              </w:rPr>
            </w:pPr>
            <w:r>
              <w:rPr>
                <w:b/>
                <w:sz w:val="18"/>
              </w:rPr>
              <w:t>28,961</w:t>
            </w:r>
          </w:p>
        </w:tc>
        <w:tc>
          <w:tcPr>
            <w:tcW w:w="1104" w:type="dxa"/>
          </w:tcPr>
          <w:p w14:paraId="28595EE5" w14:textId="77777777" w:rsidR="00FA4AA8" w:rsidRDefault="0015611F">
            <w:pPr>
              <w:pStyle w:val="TableParagraph"/>
              <w:spacing w:before="24"/>
              <w:ind w:right="84"/>
              <w:jc w:val="right"/>
              <w:rPr>
                <w:sz w:val="18"/>
              </w:rPr>
            </w:pPr>
            <w:r>
              <w:rPr>
                <w:sz w:val="18"/>
              </w:rPr>
              <w:t>15,447</w:t>
            </w:r>
          </w:p>
        </w:tc>
      </w:tr>
      <w:tr w:rsidR="00FA4AA8" w14:paraId="10AD8CAB" w14:textId="77777777">
        <w:trPr>
          <w:trHeight w:val="264"/>
        </w:trPr>
        <w:tc>
          <w:tcPr>
            <w:tcW w:w="363" w:type="dxa"/>
            <w:vMerge/>
            <w:tcBorders>
              <w:top w:val="nil"/>
            </w:tcBorders>
          </w:tcPr>
          <w:p w14:paraId="45547AE4" w14:textId="77777777" w:rsidR="00FA4AA8" w:rsidRDefault="00FA4AA8">
            <w:pPr>
              <w:rPr>
                <w:sz w:val="2"/>
                <w:szCs w:val="2"/>
              </w:rPr>
            </w:pPr>
          </w:p>
        </w:tc>
        <w:tc>
          <w:tcPr>
            <w:tcW w:w="4069" w:type="dxa"/>
          </w:tcPr>
          <w:p w14:paraId="54FB4C07" w14:textId="77777777" w:rsidR="00FA4AA8" w:rsidRDefault="0015611F">
            <w:pPr>
              <w:pStyle w:val="TableParagraph"/>
              <w:spacing w:before="26"/>
              <w:ind w:left="109"/>
              <w:rPr>
                <w:sz w:val="18"/>
              </w:rPr>
            </w:pPr>
            <w:bookmarkStart w:id="56" w:name="(b)_Nature_and_purpose_of_reserves"/>
            <w:bookmarkEnd w:id="56"/>
            <w:r>
              <w:rPr>
                <w:sz w:val="18"/>
              </w:rPr>
              <w:t>Art collection revaluation reserve</w:t>
            </w:r>
          </w:p>
        </w:tc>
        <w:tc>
          <w:tcPr>
            <w:tcW w:w="1464" w:type="dxa"/>
          </w:tcPr>
          <w:p w14:paraId="47A08228" w14:textId="77777777" w:rsidR="00FA4AA8" w:rsidRDefault="0015611F">
            <w:pPr>
              <w:pStyle w:val="TableParagraph"/>
              <w:spacing w:before="24"/>
              <w:ind w:right="84"/>
              <w:jc w:val="right"/>
              <w:rPr>
                <w:b/>
                <w:sz w:val="18"/>
              </w:rPr>
            </w:pPr>
            <w:r>
              <w:rPr>
                <w:b/>
                <w:sz w:val="18"/>
              </w:rPr>
              <w:t>2,417</w:t>
            </w:r>
          </w:p>
        </w:tc>
        <w:tc>
          <w:tcPr>
            <w:tcW w:w="1296" w:type="dxa"/>
          </w:tcPr>
          <w:p w14:paraId="73AE1BA9" w14:textId="77777777" w:rsidR="00FA4AA8" w:rsidRDefault="0015611F">
            <w:pPr>
              <w:pStyle w:val="TableParagraph"/>
              <w:spacing w:before="24"/>
              <w:ind w:right="84"/>
              <w:jc w:val="right"/>
              <w:rPr>
                <w:sz w:val="18"/>
              </w:rPr>
            </w:pPr>
            <w:r>
              <w:rPr>
                <w:sz w:val="18"/>
              </w:rPr>
              <w:t>2,417</w:t>
            </w:r>
          </w:p>
        </w:tc>
        <w:tc>
          <w:tcPr>
            <w:tcW w:w="168" w:type="dxa"/>
          </w:tcPr>
          <w:p w14:paraId="79680825" w14:textId="77777777" w:rsidR="00FA4AA8" w:rsidRDefault="00FA4AA8">
            <w:pPr>
              <w:pStyle w:val="TableParagraph"/>
              <w:rPr>
                <w:rFonts w:ascii="Times New Roman"/>
                <w:sz w:val="18"/>
              </w:rPr>
            </w:pPr>
          </w:p>
        </w:tc>
        <w:tc>
          <w:tcPr>
            <w:tcW w:w="1488" w:type="dxa"/>
          </w:tcPr>
          <w:p w14:paraId="270D670F" w14:textId="77777777" w:rsidR="00FA4AA8" w:rsidRDefault="0015611F">
            <w:pPr>
              <w:pStyle w:val="TableParagraph"/>
              <w:spacing w:before="24"/>
              <w:ind w:right="276"/>
              <w:jc w:val="right"/>
              <w:rPr>
                <w:b/>
                <w:sz w:val="18"/>
              </w:rPr>
            </w:pPr>
            <w:r>
              <w:rPr>
                <w:b/>
                <w:sz w:val="18"/>
              </w:rPr>
              <w:t>2,417</w:t>
            </w:r>
          </w:p>
        </w:tc>
        <w:tc>
          <w:tcPr>
            <w:tcW w:w="1104" w:type="dxa"/>
          </w:tcPr>
          <w:p w14:paraId="4837686A" w14:textId="77777777" w:rsidR="00FA4AA8" w:rsidRDefault="0015611F">
            <w:pPr>
              <w:pStyle w:val="TableParagraph"/>
              <w:spacing w:before="24"/>
              <w:ind w:right="84"/>
              <w:jc w:val="right"/>
              <w:rPr>
                <w:sz w:val="18"/>
              </w:rPr>
            </w:pPr>
            <w:r>
              <w:rPr>
                <w:sz w:val="18"/>
              </w:rPr>
              <w:t>2,417</w:t>
            </w:r>
          </w:p>
        </w:tc>
      </w:tr>
      <w:tr w:rsidR="00FA4AA8" w14:paraId="1B5525D9" w14:textId="77777777">
        <w:trPr>
          <w:trHeight w:val="264"/>
        </w:trPr>
        <w:tc>
          <w:tcPr>
            <w:tcW w:w="363" w:type="dxa"/>
            <w:vMerge/>
            <w:tcBorders>
              <w:top w:val="nil"/>
            </w:tcBorders>
          </w:tcPr>
          <w:p w14:paraId="6CFA2DA5" w14:textId="77777777" w:rsidR="00FA4AA8" w:rsidRDefault="00FA4AA8">
            <w:pPr>
              <w:rPr>
                <w:sz w:val="2"/>
                <w:szCs w:val="2"/>
              </w:rPr>
            </w:pPr>
          </w:p>
        </w:tc>
        <w:tc>
          <w:tcPr>
            <w:tcW w:w="4069" w:type="dxa"/>
          </w:tcPr>
          <w:p w14:paraId="54B6159E" w14:textId="77777777" w:rsidR="00FA4AA8" w:rsidRDefault="0015611F">
            <w:pPr>
              <w:pStyle w:val="TableParagraph"/>
              <w:spacing w:before="26"/>
              <w:ind w:left="109"/>
              <w:rPr>
                <w:sz w:val="18"/>
              </w:rPr>
            </w:pPr>
            <w:r>
              <w:rPr>
                <w:sz w:val="18"/>
              </w:rPr>
              <w:t>Livestock revaluation reserve</w:t>
            </w:r>
          </w:p>
        </w:tc>
        <w:tc>
          <w:tcPr>
            <w:tcW w:w="1464" w:type="dxa"/>
          </w:tcPr>
          <w:p w14:paraId="68681FD8" w14:textId="77777777" w:rsidR="00FA4AA8" w:rsidRDefault="0015611F">
            <w:pPr>
              <w:pStyle w:val="TableParagraph"/>
              <w:spacing w:before="24"/>
              <w:ind w:right="84"/>
              <w:jc w:val="right"/>
              <w:rPr>
                <w:b/>
                <w:sz w:val="18"/>
              </w:rPr>
            </w:pPr>
            <w:r>
              <w:rPr>
                <w:b/>
                <w:sz w:val="18"/>
              </w:rPr>
              <w:t>193</w:t>
            </w:r>
          </w:p>
        </w:tc>
        <w:tc>
          <w:tcPr>
            <w:tcW w:w="1296" w:type="dxa"/>
          </w:tcPr>
          <w:p w14:paraId="7D9A8C50" w14:textId="77777777" w:rsidR="00FA4AA8" w:rsidRDefault="0015611F">
            <w:pPr>
              <w:pStyle w:val="TableParagraph"/>
              <w:spacing w:before="24"/>
              <w:ind w:right="84"/>
              <w:jc w:val="right"/>
              <w:rPr>
                <w:sz w:val="18"/>
              </w:rPr>
            </w:pPr>
            <w:r>
              <w:rPr>
                <w:sz w:val="18"/>
              </w:rPr>
              <w:t>286</w:t>
            </w:r>
          </w:p>
        </w:tc>
        <w:tc>
          <w:tcPr>
            <w:tcW w:w="168" w:type="dxa"/>
          </w:tcPr>
          <w:p w14:paraId="2D05DA04" w14:textId="77777777" w:rsidR="00FA4AA8" w:rsidRDefault="00FA4AA8">
            <w:pPr>
              <w:pStyle w:val="TableParagraph"/>
              <w:rPr>
                <w:rFonts w:ascii="Times New Roman"/>
                <w:sz w:val="18"/>
              </w:rPr>
            </w:pPr>
          </w:p>
        </w:tc>
        <w:tc>
          <w:tcPr>
            <w:tcW w:w="1488" w:type="dxa"/>
          </w:tcPr>
          <w:p w14:paraId="54899628" w14:textId="77777777" w:rsidR="00FA4AA8" w:rsidRDefault="0015611F">
            <w:pPr>
              <w:pStyle w:val="TableParagraph"/>
              <w:spacing w:before="24"/>
              <w:ind w:right="276"/>
              <w:jc w:val="right"/>
              <w:rPr>
                <w:b/>
                <w:sz w:val="18"/>
              </w:rPr>
            </w:pPr>
            <w:r>
              <w:rPr>
                <w:b/>
                <w:sz w:val="18"/>
              </w:rPr>
              <w:t>193</w:t>
            </w:r>
          </w:p>
        </w:tc>
        <w:tc>
          <w:tcPr>
            <w:tcW w:w="1104" w:type="dxa"/>
          </w:tcPr>
          <w:p w14:paraId="3D525A0B" w14:textId="77777777" w:rsidR="00FA4AA8" w:rsidRDefault="0015611F">
            <w:pPr>
              <w:pStyle w:val="TableParagraph"/>
              <w:spacing w:before="24"/>
              <w:ind w:right="84"/>
              <w:jc w:val="right"/>
              <w:rPr>
                <w:sz w:val="18"/>
              </w:rPr>
            </w:pPr>
            <w:r>
              <w:rPr>
                <w:sz w:val="18"/>
              </w:rPr>
              <w:t>286</w:t>
            </w:r>
          </w:p>
        </w:tc>
      </w:tr>
      <w:tr w:rsidR="00FA4AA8" w14:paraId="074E5C90" w14:textId="77777777">
        <w:trPr>
          <w:trHeight w:val="256"/>
        </w:trPr>
        <w:tc>
          <w:tcPr>
            <w:tcW w:w="363" w:type="dxa"/>
            <w:vMerge/>
            <w:tcBorders>
              <w:top w:val="nil"/>
            </w:tcBorders>
          </w:tcPr>
          <w:p w14:paraId="2C99C51C" w14:textId="77777777" w:rsidR="00FA4AA8" w:rsidRDefault="00FA4AA8">
            <w:pPr>
              <w:rPr>
                <w:sz w:val="2"/>
                <w:szCs w:val="2"/>
              </w:rPr>
            </w:pPr>
          </w:p>
        </w:tc>
        <w:tc>
          <w:tcPr>
            <w:tcW w:w="4069" w:type="dxa"/>
          </w:tcPr>
          <w:p w14:paraId="222B7D65" w14:textId="77777777" w:rsidR="00FA4AA8" w:rsidRDefault="0015611F">
            <w:pPr>
              <w:pStyle w:val="TableParagraph"/>
              <w:spacing w:before="26"/>
              <w:ind w:left="109"/>
              <w:rPr>
                <w:sz w:val="18"/>
              </w:rPr>
            </w:pPr>
            <w:r>
              <w:rPr>
                <w:sz w:val="18"/>
              </w:rPr>
              <w:t>Licences revaluation reserve</w:t>
            </w:r>
          </w:p>
        </w:tc>
        <w:tc>
          <w:tcPr>
            <w:tcW w:w="1464" w:type="dxa"/>
            <w:tcBorders>
              <w:bottom w:val="single" w:sz="8" w:space="0" w:color="000000"/>
            </w:tcBorders>
          </w:tcPr>
          <w:p w14:paraId="79764456" w14:textId="77777777" w:rsidR="00FA4AA8" w:rsidRDefault="0015611F">
            <w:pPr>
              <w:pStyle w:val="TableParagraph"/>
              <w:spacing w:before="24"/>
              <w:ind w:right="84"/>
              <w:jc w:val="right"/>
              <w:rPr>
                <w:b/>
                <w:sz w:val="18"/>
              </w:rPr>
            </w:pPr>
            <w:r>
              <w:rPr>
                <w:b/>
                <w:sz w:val="18"/>
              </w:rPr>
              <w:t>250</w:t>
            </w:r>
          </w:p>
        </w:tc>
        <w:tc>
          <w:tcPr>
            <w:tcW w:w="1296" w:type="dxa"/>
            <w:tcBorders>
              <w:bottom w:val="single" w:sz="8" w:space="0" w:color="000000"/>
            </w:tcBorders>
          </w:tcPr>
          <w:p w14:paraId="49287D5F" w14:textId="77777777" w:rsidR="00FA4AA8" w:rsidRDefault="0015611F">
            <w:pPr>
              <w:pStyle w:val="TableParagraph"/>
              <w:spacing w:before="24"/>
              <w:ind w:right="84"/>
              <w:jc w:val="right"/>
              <w:rPr>
                <w:sz w:val="18"/>
              </w:rPr>
            </w:pPr>
            <w:r>
              <w:rPr>
                <w:sz w:val="18"/>
              </w:rPr>
              <w:t>250</w:t>
            </w:r>
          </w:p>
        </w:tc>
        <w:tc>
          <w:tcPr>
            <w:tcW w:w="168" w:type="dxa"/>
            <w:tcBorders>
              <w:bottom w:val="single" w:sz="8" w:space="0" w:color="000000"/>
            </w:tcBorders>
          </w:tcPr>
          <w:p w14:paraId="315E6F2B" w14:textId="77777777" w:rsidR="00FA4AA8" w:rsidRDefault="00FA4AA8">
            <w:pPr>
              <w:pStyle w:val="TableParagraph"/>
              <w:rPr>
                <w:rFonts w:ascii="Times New Roman"/>
                <w:sz w:val="18"/>
              </w:rPr>
            </w:pPr>
          </w:p>
        </w:tc>
        <w:tc>
          <w:tcPr>
            <w:tcW w:w="1488" w:type="dxa"/>
            <w:tcBorders>
              <w:bottom w:val="single" w:sz="8" w:space="0" w:color="000000"/>
            </w:tcBorders>
          </w:tcPr>
          <w:p w14:paraId="0EDB8D4E" w14:textId="77777777" w:rsidR="00FA4AA8" w:rsidRDefault="0015611F">
            <w:pPr>
              <w:pStyle w:val="TableParagraph"/>
              <w:spacing w:before="24"/>
              <w:ind w:right="276"/>
              <w:jc w:val="right"/>
              <w:rPr>
                <w:b/>
                <w:sz w:val="18"/>
              </w:rPr>
            </w:pPr>
            <w:r>
              <w:rPr>
                <w:b/>
                <w:sz w:val="18"/>
              </w:rPr>
              <w:t>250</w:t>
            </w:r>
          </w:p>
        </w:tc>
        <w:tc>
          <w:tcPr>
            <w:tcW w:w="1104" w:type="dxa"/>
            <w:tcBorders>
              <w:bottom w:val="single" w:sz="8" w:space="0" w:color="000000"/>
            </w:tcBorders>
          </w:tcPr>
          <w:p w14:paraId="17C8A428" w14:textId="77777777" w:rsidR="00FA4AA8" w:rsidRDefault="0015611F">
            <w:pPr>
              <w:pStyle w:val="TableParagraph"/>
              <w:spacing w:before="24"/>
              <w:ind w:right="84"/>
              <w:jc w:val="right"/>
              <w:rPr>
                <w:sz w:val="18"/>
              </w:rPr>
            </w:pPr>
            <w:r>
              <w:rPr>
                <w:sz w:val="18"/>
              </w:rPr>
              <w:t>250</w:t>
            </w:r>
          </w:p>
        </w:tc>
      </w:tr>
      <w:tr w:rsidR="00FA4AA8" w14:paraId="4B42ACD4" w14:textId="77777777">
        <w:trPr>
          <w:trHeight w:val="352"/>
        </w:trPr>
        <w:tc>
          <w:tcPr>
            <w:tcW w:w="363" w:type="dxa"/>
            <w:vMerge/>
            <w:tcBorders>
              <w:top w:val="nil"/>
            </w:tcBorders>
          </w:tcPr>
          <w:p w14:paraId="6441C578" w14:textId="77777777" w:rsidR="00FA4AA8" w:rsidRDefault="00FA4AA8">
            <w:pPr>
              <w:rPr>
                <w:sz w:val="2"/>
                <w:szCs w:val="2"/>
              </w:rPr>
            </w:pPr>
          </w:p>
        </w:tc>
        <w:tc>
          <w:tcPr>
            <w:tcW w:w="4069" w:type="dxa"/>
          </w:tcPr>
          <w:p w14:paraId="4A417F89" w14:textId="77777777" w:rsidR="00FA4AA8" w:rsidRDefault="0015611F">
            <w:pPr>
              <w:pStyle w:val="TableParagraph"/>
              <w:spacing w:before="115"/>
              <w:ind w:left="109"/>
              <w:rPr>
                <w:b/>
                <w:sz w:val="18"/>
              </w:rPr>
            </w:pPr>
            <w:r>
              <w:rPr>
                <w:b/>
                <w:sz w:val="18"/>
              </w:rPr>
              <w:t>Total Reserves</w:t>
            </w:r>
          </w:p>
        </w:tc>
        <w:tc>
          <w:tcPr>
            <w:tcW w:w="1464" w:type="dxa"/>
            <w:tcBorders>
              <w:top w:val="single" w:sz="8" w:space="0" w:color="000000"/>
              <w:bottom w:val="single" w:sz="6" w:space="0" w:color="000000"/>
            </w:tcBorders>
          </w:tcPr>
          <w:p w14:paraId="4DC676AC" w14:textId="77777777" w:rsidR="00FA4AA8" w:rsidRDefault="0015611F">
            <w:pPr>
              <w:pStyle w:val="TableParagraph"/>
              <w:spacing w:before="115"/>
              <w:ind w:right="84"/>
              <w:jc w:val="right"/>
              <w:rPr>
                <w:b/>
                <w:sz w:val="18"/>
              </w:rPr>
            </w:pPr>
            <w:r>
              <w:rPr>
                <w:b/>
                <w:sz w:val="18"/>
              </w:rPr>
              <w:t>916,288</w:t>
            </w:r>
          </w:p>
        </w:tc>
        <w:tc>
          <w:tcPr>
            <w:tcW w:w="1296" w:type="dxa"/>
            <w:tcBorders>
              <w:top w:val="single" w:sz="8" w:space="0" w:color="000000"/>
              <w:bottom w:val="single" w:sz="4" w:space="0" w:color="000000"/>
            </w:tcBorders>
          </w:tcPr>
          <w:p w14:paraId="51C37E66" w14:textId="77777777" w:rsidR="00FA4AA8" w:rsidRDefault="0015611F">
            <w:pPr>
              <w:pStyle w:val="TableParagraph"/>
              <w:spacing w:before="115"/>
              <w:ind w:right="84"/>
              <w:jc w:val="right"/>
              <w:rPr>
                <w:sz w:val="18"/>
              </w:rPr>
            </w:pPr>
            <w:r>
              <w:rPr>
                <w:sz w:val="18"/>
              </w:rPr>
              <w:t>865,790</w:t>
            </w:r>
          </w:p>
        </w:tc>
        <w:tc>
          <w:tcPr>
            <w:tcW w:w="168" w:type="dxa"/>
            <w:tcBorders>
              <w:top w:val="single" w:sz="8" w:space="0" w:color="000000"/>
              <w:bottom w:val="single" w:sz="6" w:space="0" w:color="000000"/>
            </w:tcBorders>
          </w:tcPr>
          <w:p w14:paraId="53D4E7B2" w14:textId="77777777" w:rsidR="00FA4AA8" w:rsidRDefault="00FA4AA8">
            <w:pPr>
              <w:pStyle w:val="TableParagraph"/>
              <w:rPr>
                <w:rFonts w:ascii="Times New Roman"/>
                <w:sz w:val="18"/>
              </w:rPr>
            </w:pPr>
          </w:p>
        </w:tc>
        <w:tc>
          <w:tcPr>
            <w:tcW w:w="1488" w:type="dxa"/>
            <w:tcBorders>
              <w:top w:val="single" w:sz="8" w:space="0" w:color="000000"/>
              <w:bottom w:val="single" w:sz="6" w:space="0" w:color="000000"/>
            </w:tcBorders>
          </w:tcPr>
          <w:p w14:paraId="29C96CEF" w14:textId="77777777" w:rsidR="00FA4AA8" w:rsidRDefault="0015611F">
            <w:pPr>
              <w:pStyle w:val="TableParagraph"/>
              <w:spacing w:before="115"/>
              <w:ind w:right="276"/>
              <w:jc w:val="right"/>
              <w:rPr>
                <w:b/>
                <w:sz w:val="18"/>
              </w:rPr>
            </w:pPr>
            <w:r>
              <w:rPr>
                <w:b/>
                <w:sz w:val="18"/>
              </w:rPr>
              <w:t>916,092</w:t>
            </w:r>
          </w:p>
        </w:tc>
        <w:tc>
          <w:tcPr>
            <w:tcW w:w="1104" w:type="dxa"/>
            <w:tcBorders>
              <w:top w:val="single" w:sz="8" w:space="0" w:color="000000"/>
              <w:bottom w:val="single" w:sz="6" w:space="0" w:color="000000"/>
            </w:tcBorders>
          </w:tcPr>
          <w:p w14:paraId="2F64DB6D" w14:textId="77777777" w:rsidR="00FA4AA8" w:rsidRDefault="0015611F">
            <w:pPr>
              <w:pStyle w:val="TableParagraph"/>
              <w:spacing w:before="115"/>
              <w:ind w:left="362"/>
              <w:rPr>
                <w:sz w:val="18"/>
              </w:rPr>
            </w:pPr>
            <w:r>
              <w:rPr>
                <w:sz w:val="18"/>
              </w:rPr>
              <w:t>861,541</w:t>
            </w:r>
          </w:p>
        </w:tc>
      </w:tr>
      <w:tr w:rsidR="00FA4AA8" w14:paraId="31040CC7" w14:textId="77777777">
        <w:trPr>
          <w:trHeight w:val="516"/>
        </w:trPr>
        <w:tc>
          <w:tcPr>
            <w:tcW w:w="363" w:type="dxa"/>
          </w:tcPr>
          <w:p w14:paraId="57ED1EC0" w14:textId="77777777" w:rsidR="00FA4AA8" w:rsidRDefault="00FA4AA8">
            <w:pPr>
              <w:pStyle w:val="TableParagraph"/>
              <w:spacing w:before="10"/>
              <w:rPr>
                <w:b/>
                <w:sz w:val="26"/>
              </w:rPr>
            </w:pPr>
          </w:p>
          <w:p w14:paraId="3EC18E82" w14:textId="77777777" w:rsidR="00FA4AA8" w:rsidRDefault="0015611F">
            <w:pPr>
              <w:pStyle w:val="TableParagraph"/>
              <w:spacing w:line="187" w:lineRule="exact"/>
              <w:ind w:left="50"/>
              <w:rPr>
                <w:b/>
                <w:sz w:val="18"/>
              </w:rPr>
            </w:pPr>
            <w:r>
              <w:rPr>
                <w:b/>
                <w:sz w:val="18"/>
              </w:rPr>
              <w:t>(b)</w:t>
            </w:r>
          </w:p>
        </w:tc>
        <w:tc>
          <w:tcPr>
            <w:tcW w:w="4069" w:type="dxa"/>
          </w:tcPr>
          <w:p w14:paraId="2284D424" w14:textId="77777777" w:rsidR="00FA4AA8" w:rsidRDefault="00FA4AA8">
            <w:pPr>
              <w:pStyle w:val="TableParagraph"/>
              <w:spacing w:before="10"/>
              <w:rPr>
                <w:b/>
                <w:sz w:val="26"/>
              </w:rPr>
            </w:pPr>
          </w:p>
          <w:p w14:paraId="5CCB246B" w14:textId="77777777" w:rsidR="00FA4AA8" w:rsidRDefault="0015611F">
            <w:pPr>
              <w:pStyle w:val="TableParagraph"/>
              <w:spacing w:line="187" w:lineRule="exact"/>
              <w:ind w:left="83"/>
              <w:rPr>
                <w:b/>
                <w:sz w:val="18"/>
              </w:rPr>
            </w:pPr>
            <w:r>
              <w:rPr>
                <w:b/>
                <w:sz w:val="18"/>
              </w:rPr>
              <w:t>Nature and purpose of reserves</w:t>
            </w:r>
          </w:p>
        </w:tc>
        <w:tc>
          <w:tcPr>
            <w:tcW w:w="1464" w:type="dxa"/>
            <w:tcBorders>
              <w:top w:val="single" w:sz="6" w:space="0" w:color="000000"/>
            </w:tcBorders>
          </w:tcPr>
          <w:p w14:paraId="784117AD" w14:textId="77777777" w:rsidR="00FA4AA8" w:rsidRDefault="00FA4AA8">
            <w:pPr>
              <w:pStyle w:val="TableParagraph"/>
              <w:rPr>
                <w:rFonts w:ascii="Times New Roman"/>
                <w:sz w:val="18"/>
              </w:rPr>
            </w:pPr>
          </w:p>
        </w:tc>
        <w:tc>
          <w:tcPr>
            <w:tcW w:w="1296" w:type="dxa"/>
            <w:tcBorders>
              <w:top w:val="single" w:sz="4" w:space="0" w:color="000000"/>
            </w:tcBorders>
          </w:tcPr>
          <w:p w14:paraId="74363CE2" w14:textId="77777777" w:rsidR="00FA4AA8" w:rsidRDefault="00FA4AA8">
            <w:pPr>
              <w:pStyle w:val="TableParagraph"/>
              <w:rPr>
                <w:rFonts w:ascii="Times New Roman"/>
                <w:sz w:val="18"/>
              </w:rPr>
            </w:pPr>
          </w:p>
        </w:tc>
        <w:tc>
          <w:tcPr>
            <w:tcW w:w="168" w:type="dxa"/>
            <w:tcBorders>
              <w:top w:val="single" w:sz="6" w:space="0" w:color="000000"/>
            </w:tcBorders>
          </w:tcPr>
          <w:p w14:paraId="5FCA9FD0" w14:textId="77777777" w:rsidR="00FA4AA8" w:rsidRDefault="00FA4AA8">
            <w:pPr>
              <w:pStyle w:val="TableParagraph"/>
              <w:rPr>
                <w:rFonts w:ascii="Times New Roman"/>
                <w:sz w:val="18"/>
              </w:rPr>
            </w:pPr>
          </w:p>
        </w:tc>
        <w:tc>
          <w:tcPr>
            <w:tcW w:w="1488" w:type="dxa"/>
            <w:tcBorders>
              <w:top w:val="single" w:sz="6" w:space="0" w:color="000000"/>
            </w:tcBorders>
          </w:tcPr>
          <w:p w14:paraId="7B61D62F" w14:textId="77777777" w:rsidR="00FA4AA8" w:rsidRDefault="00FA4AA8">
            <w:pPr>
              <w:pStyle w:val="TableParagraph"/>
              <w:rPr>
                <w:rFonts w:ascii="Times New Roman"/>
                <w:sz w:val="18"/>
              </w:rPr>
            </w:pPr>
          </w:p>
        </w:tc>
        <w:tc>
          <w:tcPr>
            <w:tcW w:w="1104" w:type="dxa"/>
            <w:tcBorders>
              <w:top w:val="single" w:sz="6" w:space="0" w:color="000000"/>
            </w:tcBorders>
          </w:tcPr>
          <w:p w14:paraId="7362D14B" w14:textId="77777777" w:rsidR="00FA4AA8" w:rsidRDefault="00FA4AA8">
            <w:pPr>
              <w:pStyle w:val="TableParagraph"/>
              <w:rPr>
                <w:rFonts w:ascii="Times New Roman"/>
                <w:sz w:val="18"/>
              </w:rPr>
            </w:pPr>
          </w:p>
        </w:tc>
      </w:tr>
    </w:tbl>
    <w:p w14:paraId="036B02BE" w14:textId="77777777" w:rsidR="00FA4AA8" w:rsidRDefault="00FA4AA8">
      <w:pPr>
        <w:pStyle w:val="BodyText"/>
        <w:spacing w:before="2"/>
        <w:rPr>
          <w:b/>
          <w:sz w:val="17"/>
        </w:rPr>
      </w:pPr>
    </w:p>
    <w:p w14:paraId="3B54DB56" w14:textId="77777777" w:rsidR="00FA4AA8" w:rsidRDefault="007E2441">
      <w:pPr>
        <w:pStyle w:val="BodyText"/>
        <w:spacing w:before="95"/>
        <w:ind w:left="564" w:right="271"/>
      </w:pPr>
      <w:r>
        <w:rPr>
          <w:noProof/>
          <w:lang w:val="en-AU" w:eastAsia="en-AU"/>
        </w:rPr>
        <mc:AlternateContent>
          <mc:Choice Requires="wpg">
            <w:drawing>
              <wp:anchor distT="0" distB="0" distL="114300" distR="114300" simplePos="0" relativeHeight="462736896" behindDoc="1" locked="0" layoutInCell="1" allowOverlap="1" wp14:anchorId="56BF5422" wp14:editId="050B7A77">
                <wp:simplePos x="0" y="0"/>
                <wp:positionH relativeFrom="page">
                  <wp:posOffset>3422650</wp:posOffset>
                </wp:positionH>
                <wp:positionV relativeFrom="paragraph">
                  <wp:posOffset>-483870</wp:posOffset>
                </wp:positionV>
                <wp:extent cx="2383155" cy="18415"/>
                <wp:effectExtent l="0" t="0" r="0" b="0"/>
                <wp:wrapNone/>
                <wp:docPr id="2541" name="Group 2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3155" cy="18415"/>
                          <a:chOff x="5390" y="-762"/>
                          <a:chExt cx="5520" cy="44"/>
                        </a:xfrm>
                      </wpg:grpSpPr>
                      <wps:wsp>
                        <wps:cNvPr id="2542" name="Line 2347"/>
                        <wps:cNvCnPr>
                          <a:cxnSpLocks noChangeShapeType="1"/>
                        </wps:cNvCnPr>
                        <wps:spPr bwMode="auto">
                          <a:xfrm>
                            <a:off x="5390" y="-761"/>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543" name="Line 2346"/>
                        <wps:cNvCnPr>
                          <a:cxnSpLocks noChangeShapeType="1"/>
                        </wps:cNvCnPr>
                        <wps:spPr bwMode="auto">
                          <a:xfrm>
                            <a:off x="5390" y="-759"/>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544" name="Line 2345"/>
                        <wps:cNvCnPr>
                          <a:cxnSpLocks noChangeShapeType="1"/>
                        </wps:cNvCnPr>
                        <wps:spPr bwMode="auto">
                          <a:xfrm>
                            <a:off x="5390" y="-756"/>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545" name="Line 2344"/>
                        <wps:cNvCnPr>
                          <a:cxnSpLocks noChangeShapeType="1"/>
                        </wps:cNvCnPr>
                        <wps:spPr bwMode="auto">
                          <a:xfrm>
                            <a:off x="5390" y="-754"/>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546" name="Line 2343"/>
                        <wps:cNvCnPr>
                          <a:cxnSpLocks noChangeShapeType="1"/>
                        </wps:cNvCnPr>
                        <wps:spPr bwMode="auto">
                          <a:xfrm>
                            <a:off x="5390" y="-751"/>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547" name="Line 2342"/>
                        <wps:cNvCnPr>
                          <a:cxnSpLocks noChangeShapeType="1"/>
                        </wps:cNvCnPr>
                        <wps:spPr bwMode="auto">
                          <a:xfrm>
                            <a:off x="5390" y="-749"/>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548" name="Line 2341"/>
                        <wps:cNvCnPr>
                          <a:cxnSpLocks noChangeShapeType="1"/>
                        </wps:cNvCnPr>
                        <wps:spPr bwMode="auto">
                          <a:xfrm>
                            <a:off x="5390" y="-727"/>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549" name="Line 2340"/>
                        <wps:cNvCnPr>
                          <a:cxnSpLocks noChangeShapeType="1"/>
                        </wps:cNvCnPr>
                        <wps:spPr bwMode="auto">
                          <a:xfrm>
                            <a:off x="5390" y="-725"/>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550" name="Line 2339"/>
                        <wps:cNvCnPr>
                          <a:cxnSpLocks noChangeShapeType="1"/>
                        </wps:cNvCnPr>
                        <wps:spPr bwMode="auto">
                          <a:xfrm>
                            <a:off x="5390" y="-723"/>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551" name="Line 2338"/>
                        <wps:cNvCnPr>
                          <a:cxnSpLocks noChangeShapeType="1"/>
                        </wps:cNvCnPr>
                        <wps:spPr bwMode="auto">
                          <a:xfrm>
                            <a:off x="5390" y="-720"/>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552" name="Line 2337"/>
                        <wps:cNvCnPr>
                          <a:cxnSpLocks noChangeShapeType="1"/>
                        </wps:cNvCnPr>
                        <wps:spPr bwMode="auto">
                          <a:xfrm>
                            <a:off x="5558" y="-76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553" name="Line 2336"/>
                        <wps:cNvCnPr>
                          <a:cxnSpLocks noChangeShapeType="1"/>
                        </wps:cNvCnPr>
                        <wps:spPr bwMode="auto">
                          <a:xfrm>
                            <a:off x="5558" y="-759"/>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554" name="Line 2335"/>
                        <wps:cNvCnPr>
                          <a:cxnSpLocks noChangeShapeType="1"/>
                        </wps:cNvCnPr>
                        <wps:spPr bwMode="auto">
                          <a:xfrm>
                            <a:off x="5558" y="-756"/>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555" name="Line 2334"/>
                        <wps:cNvCnPr>
                          <a:cxnSpLocks noChangeShapeType="1"/>
                        </wps:cNvCnPr>
                        <wps:spPr bwMode="auto">
                          <a:xfrm>
                            <a:off x="5558" y="-754"/>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556" name="Line 2333"/>
                        <wps:cNvCnPr>
                          <a:cxnSpLocks noChangeShapeType="1"/>
                        </wps:cNvCnPr>
                        <wps:spPr bwMode="auto">
                          <a:xfrm>
                            <a:off x="5558" y="-75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557" name="Line 2332"/>
                        <wps:cNvCnPr>
                          <a:cxnSpLocks noChangeShapeType="1"/>
                        </wps:cNvCnPr>
                        <wps:spPr bwMode="auto">
                          <a:xfrm>
                            <a:off x="5558" y="-749"/>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558" name="Line 2331"/>
                        <wps:cNvCnPr>
                          <a:cxnSpLocks noChangeShapeType="1"/>
                        </wps:cNvCnPr>
                        <wps:spPr bwMode="auto">
                          <a:xfrm>
                            <a:off x="6854" y="-76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559" name="Line 2330"/>
                        <wps:cNvCnPr>
                          <a:cxnSpLocks noChangeShapeType="1"/>
                        </wps:cNvCnPr>
                        <wps:spPr bwMode="auto">
                          <a:xfrm>
                            <a:off x="6854" y="-759"/>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560" name="Line 2329"/>
                        <wps:cNvCnPr>
                          <a:cxnSpLocks noChangeShapeType="1"/>
                        </wps:cNvCnPr>
                        <wps:spPr bwMode="auto">
                          <a:xfrm>
                            <a:off x="6854" y="-756"/>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561" name="Line 2328"/>
                        <wps:cNvCnPr>
                          <a:cxnSpLocks noChangeShapeType="1"/>
                        </wps:cNvCnPr>
                        <wps:spPr bwMode="auto">
                          <a:xfrm>
                            <a:off x="6854" y="-754"/>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562" name="Line 2327"/>
                        <wps:cNvCnPr>
                          <a:cxnSpLocks noChangeShapeType="1"/>
                        </wps:cNvCnPr>
                        <wps:spPr bwMode="auto">
                          <a:xfrm>
                            <a:off x="6854" y="-75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563" name="Line 2326"/>
                        <wps:cNvCnPr>
                          <a:cxnSpLocks noChangeShapeType="1"/>
                        </wps:cNvCnPr>
                        <wps:spPr bwMode="auto">
                          <a:xfrm>
                            <a:off x="6854" y="-749"/>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564" name="Line 2325"/>
                        <wps:cNvCnPr>
                          <a:cxnSpLocks noChangeShapeType="1"/>
                        </wps:cNvCnPr>
                        <wps:spPr bwMode="auto">
                          <a:xfrm>
                            <a:off x="8150" y="-761"/>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565" name="Line 2324"/>
                        <wps:cNvCnPr>
                          <a:cxnSpLocks noChangeShapeType="1"/>
                        </wps:cNvCnPr>
                        <wps:spPr bwMode="auto">
                          <a:xfrm>
                            <a:off x="8150" y="-759"/>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566" name="Line 2323"/>
                        <wps:cNvCnPr>
                          <a:cxnSpLocks noChangeShapeType="1"/>
                        </wps:cNvCnPr>
                        <wps:spPr bwMode="auto">
                          <a:xfrm>
                            <a:off x="8150" y="-756"/>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567" name="Line 2322"/>
                        <wps:cNvCnPr>
                          <a:cxnSpLocks noChangeShapeType="1"/>
                        </wps:cNvCnPr>
                        <wps:spPr bwMode="auto">
                          <a:xfrm>
                            <a:off x="8150" y="-754"/>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568" name="Line 2321"/>
                        <wps:cNvCnPr>
                          <a:cxnSpLocks noChangeShapeType="1"/>
                        </wps:cNvCnPr>
                        <wps:spPr bwMode="auto">
                          <a:xfrm>
                            <a:off x="8150" y="-751"/>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569" name="Line 2320"/>
                        <wps:cNvCnPr>
                          <a:cxnSpLocks noChangeShapeType="1"/>
                        </wps:cNvCnPr>
                        <wps:spPr bwMode="auto">
                          <a:xfrm>
                            <a:off x="8150" y="-749"/>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570" name="Line 2319"/>
                        <wps:cNvCnPr>
                          <a:cxnSpLocks noChangeShapeType="1"/>
                        </wps:cNvCnPr>
                        <wps:spPr bwMode="auto">
                          <a:xfrm>
                            <a:off x="8318" y="-76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571" name="Line 2318"/>
                        <wps:cNvCnPr>
                          <a:cxnSpLocks noChangeShapeType="1"/>
                        </wps:cNvCnPr>
                        <wps:spPr bwMode="auto">
                          <a:xfrm>
                            <a:off x="8318" y="-759"/>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572" name="Line 2317"/>
                        <wps:cNvCnPr>
                          <a:cxnSpLocks noChangeShapeType="1"/>
                        </wps:cNvCnPr>
                        <wps:spPr bwMode="auto">
                          <a:xfrm>
                            <a:off x="8318" y="-756"/>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573" name="Line 2316"/>
                        <wps:cNvCnPr>
                          <a:cxnSpLocks noChangeShapeType="1"/>
                        </wps:cNvCnPr>
                        <wps:spPr bwMode="auto">
                          <a:xfrm>
                            <a:off x="8318" y="-754"/>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574" name="Line 2315"/>
                        <wps:cNvCnPr>
                          <a:cxnSpLocks noChangeShapeType="1"/>
                        </wps:cNvCnPr>
                        <wps:spPr bwMode="auto">
                          <a:xfrm>
                            <a:off x="8318" y="-75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575" name="Line 2314"/>
                        <wps:cNvCnPr>
                          <a:cxnSpLocks noChangeShapeType="1"/>
                        </wps:cNvCnPr>
                        <wps:spPr bwMode="auto">
                          <a:xfrm>
                            <a:off x="8318" y="-749"/>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576" name="Line 2313"/>
                        <wps:cNvCnPr>
                          <a:cxnSpLocks noChangeShapeType="1"/>
                        </wps:cNvCnPr>
                        <wps:spPr bwMode="auto">
                          <a:xfrm>
                            <a:off x="9614" y="-76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577" name="Line 2312"/>
                        <wps:cNvCnPr>
                          <a:cxnSpLocks noChangeShapeType="1"/>
                        </wps:cNvCnPr>
                        <wps:spPr bwMode="auto">
                          <a:xfrm>
                            <a:off x="9614" y="-759"/>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578" name="Line 2311"/>
                        <wps:cNvCnPr>
                          <a:cxnSpLocks noChangeShapeType="1"/>
                        </wps:cNvCnPr>
                        <wps:spPr bwMode="auto">
                          <a:xfrm>
                            <a:off x="9614" y="-756"/>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579" name="Line 2310"/>
                        <wps:cNvCnPr>
                          <a:cxnSpLocks noChangeShapeType="1"/>
                        </wps:cNvCnPr>
                        <wps:spPr bwMode="auto">
                          <a:xfrm>
                            <a:off x="9614" y="-754"/>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580" name="Line 2309"/>
                        <wps:cNvCnPr>
                          <a:cxnSpLocks noChangeShapeType="1"/>
                        </wps:cNvCnPr>
                        <wps:spPr bwMode="auto">
                          <a:xfrm>
                            <a:off x="9614" y="-75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581" name="Line 2308"/>
                        <wps:cNvCnPr>
                          <a:cxnSpLocks noChangeShapeType="1"/>
                        </wps:cNvCnPr>
                        <wps:spPr bwMode="auto">
                          <a:xfrm>
                            <a:off x="9614" y="-749"/>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6E3287" id="Group 2307" o:spid="_x0000_s1026" style="position:absolute;margin-left:269.5pt;margin-top:-38.1pt;width:187.65pt;height:1.45pt;z-index:-40579584;mso-position-horizontal-relative:page" coordorigin="5390,-762" coordsize="55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">
                <v:line id="Line 2347" o:spid="_x0000_s1027" style="position:absolute;visibility:visible;mso-wrap-style:square" from="5390,-761" to="5558,-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" strokeweight=".12pt"/>
                <v:line id="Line 2346" o:spid="_x0000_s1028" style="position:absolute;visibility:visible;mso-wrap-style:square" from="5390,-759" to="5558,-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" strokeweight=".12pt"/>
                <v:line id="Line 2345" o:spid="_x0000_s1029" style="position:absolute;visibility:visible;mso-wrap-style:square" from="5390,-756" to="5558,-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" strokeweight=".12pt"/>
                <v:line id="Line 2344" o:spid="_x0000_s1030" style="position:absolute;visibility:visible;mso-wrap-style:square" from="5390,-754" to="5558,-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" strokeweight=".12pt"/>
                <v:line id="Line 2343" o:spid="_x0000_s1031" style="position:absolute;visibility:visible;mso-wrap-style:square" from="5390,-751" to="5558,-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" strokeweight=".12pt"/>
                <v:line id="Line 2342" o:spid="_x0000_s1032" style="position:absolute;visibility:visible;mso-wrap-style:square" from="5390,-749" to="5558,-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" strokeweight=".12pt"/>
                <v:line id="Line 2341" o:spid="_x0000_s1033" style="position:absolute;visibility:visible;mso-wrap-style:square" from="5390,-727" to="5558,-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" strokeweight=".12pt"/>
                <v:line id="Line 2340" o:spid="_x0000_s1034" style="position:absolute;visibility:visible;mso-wrap-style:square" from="5390,-725" to="5558,-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" strokeweight=".12pt"/>
                <v:line id="Line 2339" o:spid="_x0000_s1035" style="position:absolute;visibility:visible;mso-wrap-style:square" from="5390,-723" to="5558,-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" strokeweight=".12pt"/>
                <v:line id="Line 2338" o:spid="_x0000_s1036" style="position:absolute;visibility:visible;mso-wrap-style:square" from="5390,-720" to="555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" strokeweight=".12pt"/>
                <v:line id="Line 2337" o:spid="_x0000_s1037" style="position:absolute;visibility:visible;mso-wrap-style:square" from="5558,-761" to="6854,-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" strokeweight=".12pt"/>
                <v:line id="Line 2336" o:spid="_x0000_s1038" style="position:absolute;visibility:visible;mso-wrap-style:square" from="5558,-759" to="6854,-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" strokeweight=".12pt"/>
                <v:line id="Line 2335" o:spid="_x0000_s1039" style="position:absolute;visibility:visible;mso-wrap-style:square" from="5558,-756" to="685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" strokeweight=".12pt"/>
                <v:line id="Line 2334" o:spid="_x0000_s1040" style="position:absolute;visibility:visible;mso-wrap-style:square" from="5558,-754" to="6854,-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" strokeweight=".12pt"/>
                <v:line id="Line 2333" o:spid="_x0000_s1041" style="position:absolute;visibility:visible;mso-wrap-style:square" from="5558,-751" to="6854,-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" strokeweight=".12pt"/>
                <v:line id="Line 2332" o:spid="_x0000_s1042" style="position:absolute;visibility:visible;mso-wrap-style:square" from="5558,-749" to="6854,-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" strokeweight=".12pt"/>
                <v:line id="Line 2331" o:spid="_x0000_s1043" style="position:absolute;visibility:visible;mso-wrap-style:square" from="6854,-761" to="8150,-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" strokeweight=".12pt"/>
                <v:line id="Line 2330" o:spid="_x0000_s1044" style="position:absolute;visibility:visible;mso-wrap-style:square" from="6854,-759" to="8150,-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" strokeweight=".12pt"/>
                <v:line id="Line 2329" o:spid="_x0000_s1045" style="position:absolute;visibility:visible;mso-wrap-style:square" from="6854,-756" to="8150,-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" strokeweight=".12pt"/>
                <v:line id="Line 2328" o:spid="_x0000_s1046" style="position:absolute;visibility:visible;mso-wrap-style:square" from="6854,-754" to="8150,-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" strokeweight=".12pt"/>
                <v:line id="Line 2327" o:spid="_x0000_s1047" style="position:absolute;visibility:visible;mso-wrap-style:square" from="6854,-751" to="8150,-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" strokeweight=".12pt"/>
                <v:line id="Line 2326" o:spid="_x0000_s1048" style="position:absolute;visibility:visible;mso-wrap-style:square" from="6854,-749" to="8150,-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" strokeweight=".12pt"/>
                <v:line id="Line 2325" o:spid="_x0000_s1049" style="position:absolute;visibility:visible;mso-wrap-style:square" from="8150,-761" to="8318,-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" strokeweight=".12pt"/>
                <v:line id="Line 2324" o:spid="_x0000_s1050" style="position:absolute;visibility:visible;mso-wrap-style:square" from="8150,-759" to="8318,-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" strokeweight=".12pt"/>
                <v:line id="Line 2323" o:spid="_x0000_s1051" style="position:absolute;visibility:visible;mso-wrap-style:square" from="8150,-756" to="8318,-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" strokeweight=".12pt"/>
                <v:line id="Line 2322" o:spid="_x0000_s1052" style="position:absolute;visibility:visible;mso-wrap-style:square" from="8150,-754" to="8318,-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" strokeweight=".12pt"/>
                <v:line id="Line 2321" o:spid="_x0000_s1053" style="position:absolute;visibility:visible;mso-wrap-style:square" from="8150,-751" to="8318,-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" strokeweight=".12pt"/>
                <v:line id="Line 2320" o:spid="_x0000_s1054" style="position:absolute;visibility:visible;mso-wrap-style:square" from="8150,-749" to="8318,-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" strokeweight=".12pt"/>
                <v:line id="Line 2319" o:spid="_x0000_s1055" style="position:absolute;visibility:visible;mso-wrap-style:square" from="8318,-761" to="9614,-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" strokeweight=".12pt"/>
                <v:line id="Line 2318" o:spid="_x0000_s1056" style="position:absolute;visibility:visible;mso-wrap-style:square" from="8318,-759" to="9614,-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" strokeweight=".12pt"/>
                <v:line id="Line 2317" o:spid="_x0000_s1057" style="position:absolute;visibility:visible;mso-wrap-style:square" from="8318,-756" to="961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" strokeweight=".12pt"/>
                <v:line id="Line 2316" o:spid="_x0000_s1058" style="position:absolute;visibility:visible;mso-wrap-style:square" from="8318,-754" to="9614,-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" strokeweight=".12pt"/>
                <v:line id="Line 2315" o:spid="_x0000_s1059" style="position:absolute;visibility:visible;mso-wrap-style:square" from="8318,-751" to="9614,-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" strokeweight=".12pt"/>
                <v:line id="Line 2314" o:spid="_x0000_s1060" style="position:absolute;visibility:visible;mso-wrap-style:square" from="8318,-749" to="9614,-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" strokeweight=".12pt"/>
                <v:line id="Line 2313" o:spid="_x0000_s1061" style="position:absolute;visibility:visible;mso-wrap-style:square" from="9614,-761" to="10910,-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" strokeweight=".12pt"/>
                <v:line id="Line 2312" o:spid="_x0000_s1062" style="position:absolute;visibility:visible;mso-wrap-style:square" from="9614,-759" to="10910,-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" strokeweight=".12pt"/>
                <v:line id="Line 2311" o:spid="_x0000_s1063" style="position:absolute;visibility:visible;mso-wrap-style:square" from="9614,-756" to="10910,-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" strokeweight=".12pt"/>
                <v:line id="Line 2310" o:spid="_x0000_s1064" style="position:absolute;visibility:visible;mso-wrap-style:square" from="9614,-754" to="10910,-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" strokeweight=".12pt"/>
                <v:line id="Line 2309" o:spid="_x0000_s1065" style="position:absolute;visibility:visible;mso-wrap-style:square" from="9614,-751" to="10910,-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" strokeweight=".12pt"/>
                <v:line id="Line 2308" o:spid="_x0000_s1066" style="position:absolute;visibility:visible;mso-wrap-style:square" from="9614,-749" to="10910,-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" strokeweight=".12pt"/>
                <w10:wrap anchorx="page"/>
              </v:group>
            </w:pict>
          </mc:Fallback>
        </mc:AlternateContent>
      </w:r>
      <w:r w:rsidR="0015611F">
        <w:t>The property development revaluation reserve represents the gain on revaluation of land held for sale at date of transfer. The gain on revaluation will be transferred to retained earnings when the sale is completed, and the asset is de-recognised.</w:t>
      </w:r>
    </w:p>
    <w:p w14:paraId="416F4171" w14:textId="77777777" w:rsidR="00FA4AA8" w:rsidRDefault="00FA4AA8">
      <w:pPr>
        <w:pStyle w:val="BodyText"/>
        <w:spacing w:before="10"/>
        <w:rPr>
          <w:sz w:val="24"/>
        </w:rPr>
      </w:pPr>
    </w:p>
    <w:p w14:paraId="642E65AA" w14:textId="77777777" w:rsidR="00FA4AA8" w:rsidRDefault="0015611F">
      <w:pPr>
        <w:pStyle w:val="BodyText"/>
        <w:ind w:left="564" w:right="201"/>
      </w:pPr>
      <w:r>
        <w:t>The asset revaluation reserve for property, plant and equipment reflects revaluation of all Group land, buildings and the rare library collection. The reserve is the difference between the valuation and the book value as at valuation</w:t>
      </w:r>
      <w:r>
        <w:rPr>
          <w:spacing w:val="9"/>
        </w:rPr>
        <w:t xml:space="preserve"> </w:t>
      </w:r>
      <w:r>
        <w:t>date.</w:t>
      </w:r>
    </w:p>
    <w:p w14:paraId="62FF0DE3" w14:textId="77777777" w:rsidR="00FA4AA8" w:rsidRDefault="00FA4AA8">
      <w:pPr>
        <w:pStyle w:val="BodyText"/>
        <w:spacing w:before="10"/>
        <w:rPr>
          <w:sz w:val="24"/>
        </w:rPr>
      </w:pPr>
    </w:p>
    <w:p w14:paraId="6DC4A337" w14:textId="77777777" w:rsidR="00FA4AA8" w:rsidRDefault="0015611F">
      <w:pPr>
        <w:pStyle w:val="BodyText"/>
        <w:spacing w:before="1"/>
        <w:ind w:left="564" w:right="150"/>
      </w:pPr>
      <w:r>
        <w:t>The deferred superannuation reserve represents an emerging liability for the University in respect of any excess salary component relating to continuing members of SASS or SSS State Superannuation funds. Such a liability will arise where a continuing member of SASS or SSS has received a salary increase that causes their actual salary to be greater than their notional salary. The Commonwealth and State will guarantee to fund the State Superannuation Fund defined benefit obligation of each university, except to the extent that there is an excess salary</w:t>
      </w:r>
      <w:r>
        <w:rPr>
          <w:spacing w:val="4"/>
        </w:rPr>
        <w:t xml:space="preserve"> </w:t>
      </w:r>
      <w:r>
        <w:t>component.</w:t>
      </w:r>
    </w:p>
    <w:p w14:paraId="2BB66872" w14:textId="77777777" w:rsidR="00FA4AA8" w:rsidRDefault="00FA4AA8">
      <w:pPr>
        <w:pStyle w:val="BodyText"/>
        <w:spacing w:before="9"/>
        <w:rPr>
          <w:sz w:val="24"/>
        </w:rPr>
      </w:pPr>
    </w:p>
    <w:p w14:paraId="0FD1B3CF" w14:textId="77777777" w:rsidR="00FA4AA8" w:rsidRDefault="0015611F">
      <w:pPr>
        <w:pStyle w:val="BodyText"/>
        <w:ind w:left="564"/>
      </w:pPr>
      <w:r>
        <w:t>The investment revaluation reserve is equal to the unrealised gains/(losses) on investments with the University's Fund Managers and unlisted securities for 2018 together with accumulated prior years unrealised</w:t>
      </w:r>
      <w:r>
        <w:rPr>
          <w:spacing w:val="12"/>
        </w:rPr>
        <w:t xml:space="preserve"> </w:t>
      </w:r>
      <w:r>
        <w:t>gains/(losses).</w:t>
      </w:r>
    </w:p>
    <w:p w14:paraId="7AEBD03B" w14:textId="77777777" w:rsidR="00FA4AA8" w:rsidRDefault="00FA4AA8">
      <w:pPr>
        <w:pStyle w:val="BodyText"/>
        <w:spacing w:before="10"/>
        <w:rPr>
          <w:sz w:val="24"/>
        </w:rPr>
      </w:pPr>
    </w:p>
    <w:p w14:paraId="43A064F0" w14:textId="77777777" w:rsidR="00FA4AA8" w:rsidRDefault="0015611F">
      <w:pPr>
        <w:pStyle w:val="BodyText"/>
        <w:spacing w:before="1"/>
        <w:ind w:left="563" w:right="132"/>
      </w:pPr>
      <w:r>
        <w:t>The asset revaluation reserve for art collection reflects the revaluation of all Group artworks. The reserve is the difference between the valuation and the book value at the valuation date.</w:t>
      </w:r>
    </w:p>
    <w:p w14:paraId="7B4D2E9D" w14:textId="77777777" w:rsidR="00FA4AA8" w:rsidRDefault="00FA4AA8">
      <w:pPr>
        <w:pStyle w:val="BodyText"/>
        <w:spacing w:before="10"/>
        <w:rPr>
          <w:sz w:val="24"/>
        </w:rPr>
      </w:pPr>
    </w:p>
    <w:p w14:paraId="5B023EA9" w14:textId="77777777" w:rsidR="00FA4AA8" w:rsidRDefault="0015611F">
      <w:pPr>
        <w:pStyle w:val="BodyText"/>
        <w:ind w:left="563"/>
      </w:pPr>
      <w:r>
        <w:t>The livestock revaluation reserve reflects the revaluation of Group livestock at fair (market) value. The reserve is the difference between the revaluation and the book value at the valuation date. See note 22.</w:t>
      </w:r>
    </w:p>
    <w:p w14:paraId="002ABC87" w14:textId="77777777" w:rsidR="00FA4AA8" w:rsidRDefault="00FA4AA8">
      <w:pPr>
        <w:pStyle w:val="BodyText"/>
        <w:rPr>
          <w:sz w:val="25"/>
        </w:rPr>
      </w:pPr>
    </w:p>
    <w:p w14:paraId="028F4670" w14:textId="77777777" w:rsidR="00FA4AA8" w:rsidRDefault="0015611F">
      <w:pPr>
        <w:pStyle w:val="BodyText"/>
        <w:ind w:left="563"/>
      </w:pPr>
      <w:r>
        <w:t>The licence revaluation reserve reflects the revaluation of the University's water licence. The reserve is the difference between the valuation and the book value at the valuation date.</w:t>
      </w:r>
    </w:p>
    <w:p w14:paraId="4D8DDD6D" w14:textId="77777777" w:rsidR="00FA4AA8" w:rsidRDefault="00FA4AA8">
      <w:pPr>
        <w:sectPr w:rsidR="00FA4AA8">
          <w:pgSz w:w="11910" w:h="16840"/>
          <w:pgMar w:top="2220" w:right="880" w:bottom="720" w:left="840" w:header="1016" w:footer="523" w:gutter="0"/>
          <w:cols w:space="720"/>
        </w:sectPr>
      </w:pPr>
    </w:p>
    <w:p w14:paraId="5674834A" w14:textId="77777777" w:rsidR="00FA4AA8" w:rsidRDefault="007E2441">
      <w:pPr>
        <w:pStyle w:val="BodyText"/>
        <w:rPr>
          <w:sz w:val="20"/>
        </w:rPr>
      </w:pPr>
      <w:r>
        <w:rPr>
          <w:noProof/>
          <w:lang w:val="en-AU" w:eastAsia="en-AU"/>
        </w:rPr>
        <mc:AlternateContent>
          <mc:Choice Requires="wpg">
            <w:drawing>
              <wp:anchor distT="0" distB="0" distL="114300" distR="114300" simplePos="0" relativeHeight="15750144" behindDoc="0" locked="0" layoutInCell="1" allowOverlap="1" wp14:anchorId="2465E01A" wp14:editId="73531A1D">
                <wp:simplePos x="0" y="0"/>
                <wp:positionH relativeFrom="page">
                  <wp:posOffset>4354195</wp:posOffset>
                </wp:positionH>
                <wp:positionV relativeFrom="page">
                  <wp:posOffset>9511665</wp:posOffset>
                </wp:positionV>
                <wp:extent cx="1751330" cy="6350"/>
                <wp:effectExtent l="0" t="0" r="0" b="0"/>
                <wp:wrapNone/>
                <wp:docPr id="2520" name="Group 2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1330" cy="6350"/>
                          <a:chOff x="6857" y="14979"/>
                          <a:chExt cx="4056" cy="15"/>
                        </a:xfrm>
                      </wpg:grpSpPr>
                      <wps:wsp>
                        <wps:cNvPr id="2521" name="Line 2306"/>
                        <wps:cNvCnPr>
                          <a:cxnSpLocks noChangeShapeType="1"/>
                        </wps:cNvCnPr>
                        <wps:spPr bwMode="auto">
                          <a:xfrm>
                            <a:off x="6857" y="1499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522" name="Line 2305"/>
                        <wps:cNvCnPr>
                          <a:cxnSpLocks noChangeShapeType="1"/>
                        </wps:cNvCnPr>
                        <wps:spPr bwMode="auto">
                          <a:xfrm>
                            <a:off x="6857" y="14992"/>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523" name="Line 2304"/>
                        <wps:cNvCnPr>
                          <a:cxnSpLocks noChangeShapeType="1"/>
                        </wps:cNvCnPr>
                        <wps:spPr bwMode="auto">
                          <a:xfrm>
                            <a:off x="8153" y="14980"/>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524" name="Line 2303"/>
                        <wps:cNvCnPr>
                          <a:cxnSpLocks noChangeShapeType="1"/>
                        </wps:cNvCnPr>
                        <wps:spPr bwMode="auto">
                          <a:xfrm>
                            <a:off x="8153" y="14983"/>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525" name="Line 2302"/>
                        <wps:cNvCnPr>
                          <a:cxnSpLocks noChangeShapeType="1"/>
                        </wps:cNvCnPr>
                        <wps:spPr bwMode="auto">
                          <a:xfrm>
                            <a:off x="8153" y="14985"/>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526" name="Line 2301"/>
                        <wps:cNvCnPr>
                          <a:cxnSpLocks noChangeShapeType="1"/>
                        </wps:cNvCnPr>
                        <wps:spPr bwMode="auto">
                          <a:xfrm>
                            <a:off x="8153" y="14987"/>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527" name="Line 2300"/>
                        <wps:cNvCnPr>
                          <a:cxnSpLocks noChangeShapeType="1"/>
                        </wps:cNvCnPr>
                        <wps:spPr bwMode="auto">
                          <a:xfrm>
                            <a:off x="8153" y="14990"/>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528" name="Line 2299"/>
                        <wps:cNvCnPr>
                          <a:cxnSpLocks noChangeShapeType="1"/>
                        </wps:cNvCnPr>
                        <wps:spPr bwMode="auto">
                          <a:xfrm>
                            <a:off x="8153" y="14992"/>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529" name="Line 2298"/>
                        <wps:cNvCnPr>
                          <a:cxnSpLocks noChangeShapeType="1"/>
                        </wps:cNvCnPr>
                        <wps:spPr bwMode="auto">
                          <a:xfrm>
                            <a:off x="8321" y="1498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530" name="Line 2297"/>
                        <wps:cNvCnPr>
                          <a:cxnSpLocks noChangeShapeType="1"/>
                        </wps:cNvCnPr>
                        <wps:spPr bwMode="auto">
                          <a:xfrm>
                            <a:off x="8321" y="1498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531" name="Line 2296"/>
                        <wps:cNvCnPr>
                          <a:cxnSpLocks noChangeShapeType="1"/>
                        </wps:cNvCnPr>
                        <wps:spPr bwMode="auto">
                          <a:xfrm>
                            <a:off x="8321" y="1498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532" name="Line 2295"/>
                        <wps:cNvCnPr>
                          <a:cxnSpLocks noChangeShapeType="1"/>
                        </wps:cNvCnPr>
                        <wps:spPr bwMode="auto">
                          <a:xfrm>
                            <a:off x="8321" y="14987"/>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533" name="Line 2294"/>
                        <wps:cNvCnPr>
                          <a:cxnSpLocks noChangeShapeType="1"/>
                        </wps:cNvCnPr>
                        <wps:spPr bwMode="auto">
                          <a:xfrm>
                            <a:off x="8321" y="1499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534" name="Line 2293"/>
                        <wps:cNvCnPr>
                          <a:cxnSpLocks noChangeShapeType="1"/>
                        </wps:cNvCnPr>
                        <wps:spPr bwMode="auto">
                          <a:xfrm>
                            <a:off x="8321" y="14992"/>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535" name="Line 2292"/>
                        <wps:cNvCnPr>
                          <a:cxnSpLocks noChangeShapeType="1"/>
                        </wps:cNvCnPr>
                        <wps:spPr bwMode="auto">
                          <a:xfrm>
                            <a:off x="9617" y="1498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536" name="Line 2291"/>
                        <wps:cNvCnPr>
                          <a:cxnSpLocks noChangeShapeType="1"/>
                        </wps:cNvCnPr>
                        <wps:spPr bwMode="auto">
                          <a:xfrm>
                            <a:off x="9617" y="1498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537" name="Line 2290"/>
                        <wps:cNvCnPr>
                          <a:cxnSpLocks noChangeShapeType="1"/>
                        </wps:cNvCnPr>
                        <wps:spPr bwMode="auto">
                          <a:xfrm>
                            <a:off x="9617" y="1498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538" name="Line 2289"/>
                        <wps:cNvCnPr>
                          <a:cxnSpLocks noChangeShapeType="1"/>
                        </wps:cNvCnPr>
                        <wps:spPr bwMode="auto">
                          <a:xfrm>
                            <a:off x="9617" y="14987"/>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539" name="Line 2288"/>
                        <wps:cNvCnPr>
                          <a:cxnSpLocks noChangeShapeType="1"/>
                        </wps:cNvCnPr>
                        <wps:spPr bwMode="auto">
                          <a:xfrm>
                            <a:off x="9617" y="1499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540" name="Line 2287"/>
                        <wps:cNvCnPr>
                          <a:cxnSpLocks noChangeShapeType="1"/>
                        </wps:cNvCnPr>
                        <wps:spPr bwMode="auto">
                          <a:xfrm>
                            <a:off x="9617" y="14992"/>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0B1297" id="Group 2286" o:spid="_x0000_s1026" style="position:absolute;margin-left:342.85pt;margin-top:748.95pt;width:137.9pt;height:.5pt;z-index:15750144;mso-position-horizontal-relative:page;mso-position-vertical-relative:page" coordorigin="6857,14979" coordsize="405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">
                <v:line id="Line 2306" o:spid="_x0000_s1027" style="position:absolute;visibility:visible;mso-wrap-style:square" from="6857,14990" to="8153,14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" strokeweight=".12pt"/>
                <v:line id="Line 2305" o:spid="_x0000_s1028" style="position:absolute;visibility:visible;mso-wrap-style:square" from="6857,14992" to="8153,14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" strokeweight=".12pt"/>
                <v:line id="Line 2304" o:spid="_x0000_s1029" style="position:absolute;visibility:visible;mso-wrap-style:square" from="8153,14980" to="8321,14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" strokeweight=".12pt"/>
                <v:line id="Line 2303" o:spid="_x0000_s1030" style="position:absolute;visibility:visible;mso-wrap-style:square" from="8153,14983" to="8321,1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" strokeweight=".12pt"/>
                <v:line id="Line 2302" o:spid="_x0000_s1031" style="position:absolute;visibility:visible;mso-wrap-style:square" from="8153,14985" to="8321,14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" strokeweight=".12pt"/>
                <v:line id="Line 2301" o:spid="_x0000_s1032" style="position:absolute;visibility:visible;mso-wrap-style:square" from="8153,14987" to="8321,14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" strokeweight=".12pt"/>
                <v:line id="Line 2300" o:spid="_x0000_s1033" style="position:absolute;visibility:visible;mso-wrap-style:square" from="8153,14990" to="8321,14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" strokeweight=".12pt"/>
                <v:line id="Line 2299" o:spid="_x0000_s1034" style="position:absolute;visibility:visible;mso-wrap-style:square" from="8153,14992" to="8321,14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" strokeweight=".12pt"/>
                <v:line id="Line 2298" o:spid="_x0000_s1035" style="position:absolute;visibility:visible;mso-wrap-style:square" from="8321,14980" to="9617,14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" strokeweight=".12pt"/>
                <v:line id="Line 2297" o:spid="_x0000_s1036" style="position:absolute;visibility:visible;mso-wrap-style:square" from="8321,14983" to="9617,1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" strokeweight=".12pt"/>
                <v:line id="Line 2296" o:spid="_x0000_s1037" style="position:absolute;visibility:visible;mso-wrap-style:square" from="8321,14985" to="9617,14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" strokeweight=".12pt"/>
                <v:line id="Line 2295" o:spid="_x0000_s1038" style="position:absolute;visibility:visible;mso-wrap-style:square" from="8321,14987" to="9617,14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" strokeweight=".12pt"/>
                <v:line id="Line 2294" o:spid="_x0000_s1039" style="position:absolute;visibility:visible;mso-wrap-style:square" from="8321,14990" to="9617,14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" strokeweight=".12pt"/>
                <v:line id="Line 2293" o:spid="_x0000_s1040" style="position:absolute;visibility:visible;mso-wrap-style:square" from="8321,14992" to="9617,14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" strokeweight=".12pt"/>
                <v:line id="Line 2292" o:spid="_x0000_s1041" style="position:absolute;visibility:visible;mso-wrap-style:square" from="9617,14980" to="10913,14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" strokeweight=".12pt"/>
                <v:line id="Line 2291" o:spid="_x0000_s1042" style="position:absolute;visibility:visible;mso-wrap-style:square" from="9617,14983" to="10913,1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" strokeweight=".12pt"/>
                <v:line id="Line 2290" o:spid="_x0000_s1043" style="position:absolute;visibility:visible;mso-wrap-style:square" from="9617,14985" to="10913,14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" strokeweight=".12pt"/>
                <v:line id="Line 2289" o:spid="_x0000_s1044" style="position:absolute;visibility:visible;mso-wrap-style:square" from="9617,14987" to="10913,14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" strokeweight=".12pt"/>
                <v:line id="Line 2288" o:spid="_x0000_s1045" style="position:absolute;visibility:visible;mso-wrap-style:square" from="9617,14990" to="10913,14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" strokeweight=".12pt"/>
                <v:line id="Line 2287" o:spid="_x0000_s1046" style="position:absolute;visibility:visible;mso-wrap-style:square" from="9617,14992" to="10913,14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" strokeweight=".12pt"/>
                <w10:wrap anchorx="page" anchory="page"/>
              </v:group>
            </w:pict>
          </mc:Fallback>
        </mc:AlternateContent>
      </w:r>
      <w:r>
        <w:rPr>
          <w:noProof/>
          <w:lang w:val="en-AU" w:eastAsia="en-AU"/>
        </w:rPr>
        <mc:AlternateContent>
          <mc:Choice Requires="wpg">
            <w:drawing>
              <wp:anchor distT="0" distB="0" distL="114300" distR="114300" simplePos="0" relativeHeight="15750656" behindDoc="0" locked="0" layoutInCell="1" allowOverlap="1" wp14:anchorId="561DAE1D" wp14:editId="4BAD77CF">
                <wp:simplePos x="0" y="0"/>
                <wp:positionH relativeFrom="page">
                  <wp:posOffset>5283835</wp:posOffset>
                </wp:positionH>
                <wp:positionV relativeFrom="page">
                  <wp:posOffset>9496425</wp:posOffset>
                </wp:positionV>
                <wp:extent cx="1118870" cy="1270"/>
                <wp:effectExtent l="0" t="0" r="0" b="0"/>
                <wp:wrapNone/>
                <wp:docPr id="2517" name="Group 2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8870" cy="1270"/>
                          <a:chOff x="8321" y="14955"/>
                          <a:chExt cx="2592" cy="3"/>
                        </a:xfrm>
                      </wpg:grpSpPr>
                      <wps:wsp>
                        <wps:cNvPr id="2518" name="Line 2285"/>
                        <wps:cNvCnPr>
                          <a:cxnSpLocks noChangeShapeType="1"/>
                        </wps:cNvCnPr>
                        <wps:spPr bwMode="auto">
                          <a:xfrm>
                            <a:off x="8321" y="14956"/>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519" name="Line 2284"/>
                        <wps:cNvCnPr>
                          <a:cxnSpLocks noChangeShapeType="1"/>
                        </wps:cNvCnPr>
                        <wps:spPr bwMode="auto">
                          <a:xfrm>
                            <a:off x="9617" y="14956"/>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B4BFEA" id="Group 2283" o:spid="_x0000_s1026" style="position:absolute;margin-left:416.05pt;margin-top:747.75pt;width:88.1pt;height:.1pt;z-index:15750656;mso-position-horizontal-relative:page;mso-position-vertical-relative:page" coordorigin="8321,14955" coordsize="25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">
                <v:line id="Line 2285" o:spid="_x0000_s1027" style="position:absolute;visibility:visible;mso-wrap-style:square" from="8321,14956" to="9617,14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" strokeweight=".12pt"/>
                <v:line id="Line 2284" o:spid="_x0000_s1028" style="position:absolute;visibility:visible;mso-wrap-style:square" from="9617,14956" to="10913,14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" strokeweight=".12pt"/>
                <w10:wrap anchorx="page" anchory="page"/>
              </v:group>
            </w:pict>
          </mc:Fallback>
        </mc:AlternateContent>
      </w:r>
    </w:p>
    <w:p w14:paraId="4EDD8C97" w14:textId="77777777" w:rsidR="00FA4AA8" w:rsidRDefault="00FA4AA8">
      <w:pPr>
        <w:pStyle w:val="BodyText"/>
        <w:spacing w:before="10"/>
        <w:rPr>
          <w:sz w:val="29"/>
        </w:rPr>
      </w:pPr>
    </w:p>
    <w:p w14:paraId="24676D7A" w14:textId="77777777" w:rsidR="00FA4AA8" w:rsidRDefault="0015611F">
      <w:pPr>
        <w:numPr>
          <w:ilvl w:val="0"/>
          <w:numId w:val="95"/>
        </w:numPr>
        <w:tabs>
          <w:tab w:val="left" w:pos="564"/>
        </w:tabs>
        <w:spacing w:before="94"/>
        <w:ind w:hanging="397"/>
        <w:rPr>
          <w:b/>
          <w:sz w:val="18"/>
        </w:rPr>
      </w:pPr>
      <w:bookmarkStart w:id="57" w:name="(c)_______Movements_in_Reserves"/>
      <w:bookmarkEnd w:id="57"/>
      <w:r>
        <w:rPr>
          <w:b/>
          <w:sz w:val="18"/>
        </w:rPr>
        <w:t>Reserves and retained earnings (continued)</w:t>
      </w:r>
    </w:p>
    <w:p w14:paraId="2EDF9506" w14:textId="77777777" w:rsidR="00FA4AA8" w:rsidRDefault="00FA4AA8">
      <w:pPr>
        <w:pStyle w:val="BodyText"/>
        <w:spacing w:before="5"/>
        <w:rPr>
          <w:b/>
        </w:rPr>
      </w:pPr>
    </w:p>
    <w:p w14:paraId="5264C764" w14:textId="77777777" w:rsidR="00FA4AA8" w:rsidRDefault="0015611F">
      <w:pPr>
        <w:tabs>
          <w:tab w:val="left" w:pos="1149"/>
        </w:tabs>
        <w:spacing w:before="94"/>
        <w:ind w:left="564"/>
        <w:rPr>
          <w:b/>
          <w:sz w:val="18"/>
        </w:rPr>
      </w:pPr>
      <w:r>
        <w:rPr>
          <w:b/>
          <w:sz w:val="18"/>
        </w:rPr>
        <w:t>(c)</w:t>
      </w:r>
      <w:r>
        <w:rPr>
          <w:b/>
          <w:sz w:val="18"/>
        </w:rPr>
        <w:tab/>
        <w:t>Movements in Reserves</w:t>
      </w:r>
    </w:p>
    <w:p w14:paraId="7F423AB7" w14:textId="77777777" w:rsidR="00FA4AA8" w:rsidRDefault="0015611F">
      <w:pPr>
        <w:tabs>
          <w:tab w:val="left" w:pos="8414"/>
        </w:tabs>
        <w:spacing w:before="38"/>
        <w:ind w:left="5364"/>
        <w:rPr>
          <w:b/>
          <w:sz w:val="18"/>
        </w:rPr>
      </w:pPr>
      <w:r>
        <w:rPr>
          <w:b/>
          <w:sz w:val="18"/>
        </w:rPr>
        <w:t>Consolidated</w:t>
      </w:r>
      <w:r>
        <w:rPr>
          <w:b/>
          <w:sz w:val="18"/>
        </w:rPr>
        <w:tab/>
        <w:t>Parent</w:t>
      </w:r>
    </w:p>
    <w:p w14:paraId="2AD37432" w14:textId="77777777" w:rsidR="00FA4AA8" w:rsidRDefault="00FA4AA8">
      <w:pPr>
        <w:pStyle w:val="BodyText"/>
        <w:spacing w:before="4"/>
        <w:rPr>
          <w:b/>
          <w:sz w:val="6"/>
        </w:rPr>
      </w:pPr>
    </w:p>
    <w:tbl>
      <w:tblPr>
        <w:tblW w:w="0" w:type="auto"/>
        <w:tblInd w:w="547" w:type="dxa"/>
        <w:tblLayout w:type="fixed"/>
        <w:tblCellMar>
          <w:left w:w="0" w:type="dxa"/>
          <w:right w:w="0" w:type="dxa"/>
        </w:tblCellMar>
        <w:tblLook w:val="01E0" w:firstRow="1" w:lastRow="1" w:firstColumn="1" w:lastColumn="1" w:noHBand="0" w:noVBand="0"/>
      </w:tblPr>
      <w:tblGrid>
        <w:gridCol w:w="4012"/>
        <w:gridCol w:w="1656"/>
        <w:gridCol w:w="1380"/>
        <w:gridCol w:w="1380"/>
        <w:gridCol w:w="1104"/>
      </w:tblGrid>
      <w:tr w:rsidR="00FA4AA8" w14:paraId="69EEBA00" w14:textId="77777777">
        <w:trPr>
          <w:trHeight w:val="1050"/>
        </w:trPr>
        <w:tc>
          <w:tcPr>
            <w:tcW w:w="4012" w:type="dxa"/>
          </w:tcPr>
          <w:p w14:paraId="0D1D636E" w14:textId="77777777" w:rsidR="00FA4AA8" w:rsidRDefault="00FA4AA8">
            <w:pPr>
              <w:pStyle w:val="TableParagraph"/>
              <w:rPr>
                <w:b/>
                <w:sz w:val="20"/>
              </w:rPr>
            </w:pPr>
          </w:p>
          <w:p w14:paraId="3B7C2E74" w14:textId="77777777" w:rsidR="00FA4AA8" w:rsidRDefault="00FA4AA8">
            <w:pPr>
              <w:pStyle w:val="TableParagraph"/>
              <w:rPr>
                <w:b/>
                <w:sz w:val="20"/>
              </w:rPr>
            </w:pPr>
          </w:p>
          <w:p w14:paraId="260EFA86" w14:textId="77777777" w:rsidR="00FA4AA8" w:rsidRDefault="0015611F">
            <w:pPr>
              <w:pStyle w:val="TableParagraph"/>
              <w:spacing w:before="164" w:line="206" w:lineRule="exact"/>
              <w:ind w:left="50" w:right="1031"/>
              <w:rPr>
                <w:b/>
                <w:sz w:val="18"/>
              </w:rPr>
            </w:pPr>
            <w:r>
              <w:rPr>
                <w:b/>
                <w:sz w:val="18"/>
              </w:rPr>
              <w:t>Property development revaluation reserve</w:t>
            </w:r>
          </w:p>
        </w:tc>
        <w:tc>
          <w:tcPr>
            <w:tcW w:w="1656" w:type="dxa"/>
          </w:tcPr>
          <w:p w14:paraId="27ADAD1D" w14:textId="77777777" w:rsidR="00FA4AA8" w:rsidRDefault="0015611F">
            <w:pPr>
              <w:pStyle w:val="TableParagraph"/>
              <w:spacing w:line="201" w:lineRule="exact"/>
              <w:ind w:left="560" w:right="610"/>
              <w:jc w:val="center"/>
              <w:rPr>
                <w:b/>
                <w:sz w:val="18"/>
              </w:rPr>
            </w:pPr>
            <w:r>
              <w:rPr>
                <w:b/>
                <w:sz w:val="18"/>
              </w:rPr>
              <w:t>2018</w:t>
            </w:r>
          </w:p>
          <w:p w14:paraId="4CD7017C" w14:textId="77777777" w:rsidR="00FA4AA8" w:rsidRDefault="0015611F">
            <w:pPr>
              <w:pStyle w:val="TableParagraph"/>
              <w:spacing w:before="66"/>
              <w:ind w:left="560" w:right="610"/>
              <w:jc w:val="center"/>
              <w:rPr>
                <w:b/>
                <w:sz w:val="18"/>
              </w:rPr>
            </w:pPr>
            <w:r>
              <w:rPr>
                <w:b/>
                <w:sz w:val="18"/>
              </w:rPr>
              <w:t>$'000</w:t>
            </w:r>
          </w:p>
        </w:tc>
        <w:tc>
          <w:tcPr>
            <w:tcW w:w="1380" w:type="dxa"/>
          </w:tcPr>
          <w:p w14:paraId="6F60C49E" w14:textId="77777777" w:rsidR="00FA4AA8" w:rsidRDefault="0015611F">
            <w:pPr>
              <w:pStyle w:val="TableParagraph"/>
              <w:spacing w:line="201" w:lineRule="exact"/>
              <w:ind w:left="240"/>
              <w:rPr>
                <w:b/>
                <w:sz w:val="18"/>
              </w:rPr>
            </w:pPr>
            <w:r>
              <w:rPr>
                <w:b/>
                <w:sz w:val="18"/>
              </w:rPr>
              <w:t>2017</w:t>
            </w:r>
          </w:p>
          <w:p w14:paraId="6E63C1AE" w14:textId="77777777" w:rsidR="00FA4AA8" w:rsidRDefault="0015611F">
            <w:pPr>
              <w:pStyle w:val="TableParagraph"/>
              <w:spacing w:before="66"/>
              <w:ind w:left="218"/>
              <w:rPr>
                <w:b/>
                <w:sz w:val="18"/>
              </w:rPr>
            </w:pPr>
            <w:r>
              <w:rPr>
                <w:b/>
                <w:sz w:val="18"/>
              </w:rPr>
              <w:t>$'000</w:t>
            </w:r>
          </w:p>
        </w:tc>
        <w:tc>
          <w:tcPr>
            <w:tcW w:w="1380" w:type="dxa"/>
          </w:tcPr>
          <w:p w14:paraId="040A19CA" w14:textId="77777777" w:rsidR="00FA4AA8" w:rsidRDefault="0015611F">
            <w:pPr>
              <w:pStyle w:val="TableParagraph"/>
              <w:spacing w:line="201" w:lineRule="exact"/>
              <w:ind w:left="324"/>
              <w:rPr>
                <w:b/>
                <w:sz w:val="18"/>
              </w:rPr>
            </w:pPr>
            <w:r>
              <w:rPr>
                <w:b/>
                <w:sz w:val="18"/>
              </w:rPr>
              <w:t>2018</w:t>
            </w:r>
          </w:p>
          <w:p w14:paraId="128C0B50" w14:textId="77777777" w:rsidR="00FA4AA8" w:rsidRDefault="0015611F">
            <w:pPr>
              <w:pStyle w:val="TableParagraph"/>
              <w:spacing w:before="66"/>
              <w:ind w:left="302"/>
              <w:rPr>
                <w:b/>
                <w:sz w:val="18"/>
              </w:rPr>
            </w:pPr>
            <w:r>
              <w:rPr>
                <w:b/>
                <w:sz w:val="18"/>
              </w:rPr>
              <w:t>$'000</w:t>
            </w:r>
          </w:p>
        </w:tc>
        <w:tc>
          <w:tcPr>
            <w:tcW w:w="1104" w:type="dxa"/>
          </w:tcPr>
          <w:p w14:paraId="219AC6FE" w14:textId="77777777" w:rsidR="00FA4AA8" w:rsidRDefault="0015611F">
            <w:pPr>
              <w:pStyle w:val="TableParagraph"/>
              <w:spacing w:line="201" w:lineRule="exact"/>
              <w:ind w:left="240"/>
              <w:rPr>
                <w:b/>
                <w:sz w:val="18"/>
              </w:rPr>
            </w:pPr>
            <w:r>
              <w:rPr>
                <w:b/>
                <w:sz w:val="18"/>
              </w:rPr>
              <w:t>2017</w:t>
            </w:r>
          </w:p>
          <w:p w14:paraId="49D0CA53" w14:textId="77777777" w:rsidR="00FA4AA8" w:rsidRDefault="0015611F">
            <w:pPr>
              <w:pStyle w:val="TableParagraph"/>
              <w:spacing w:before="66"/>
              <w:ind w:left="218"/>
              <w:rPr>
                <w:b/>
                <w:sz w:val="18"/>
              </w:rPr>
            </w:pPr>
            <w:r>
              <w:rPr>
                <w:b/>
                <w:sz w:val="18"/>
              </w:rPr>
              <w:t>$'000</w:t>
            </w:r>
          </w:p>
        </w:tc>
      </w:tr>
      <w:tr w:rsidR="00FA4AA8" w14:paraId="1B0450AD" w14:textId="77777777">
        <w:trPr>
          <w:trHeight w:val="249"/>
        </w:trPr>
        <w:tc>
          <w:tcPr>
            <w:tcW w:w="4012" w:type="dxa"/>
          </w:tcPr>
          <w:p w14:paraId="066288C4" w14:textId="77777777" w:rsidR="00FA4AA8" w:rsidRDefault="0015611F">
            <w:pPr>
              <w:pStyle w:val="TableParagraph"/>
              <w:spacing w:before="13"/>
              <w:ind w:left="50"/>
              <w:rPr>
                <w:sz w:val="18"/>
              </w:rPr>
            </w:pPr>
            <w:r>
              <w:rPr>
                <w:sz w:val="18"/>
              </w:rPr>
              <w:t>Balance at 1 January</w:t>
            </w:r>
          </w:p>
        </w:tc>
        <w:tc>
          <w:tcPr>
            <w:tcW w:w="1656" w:type="dxa"/>
          </w:tcPr>
          <w:p w14:paraId="0D2576DC" w14:textId="77777777" w:rsidR="00FA4AA8" w:rsidRDefault="0015611F">
            <w:pPr>
              <w:pStyle w:val="TableParagraph"/>
              <w:spacing w:before="11"/>
              <w:ind w:right="276"/>
              <w:jc w:val="right"/>
              <w:rPr>
                <w:b/>
                <w:sz w:val="18"/>
              </w:rPr>
            </w:pPr>
            <w:r>
              <w:rPr>
                <w:b/>
                <w:sz w:val="18"/>
              </w:rPr>
              <w:t>32,158</w:t>
            </w:r>
          </w:p>
        </w:tc>
        <w:tc>
          <w:tcPr>
            <w:tcW w:w="1380" w:type="dxa"/>
          </w:tcPr>
          <w:p w14:paraId="714D9D7A" w14:textId="77777777" w:rsidR="00FA4AA8" w:rsidRDefault="0015611F">
            <w:pPr>
              <w:pStyle w:val="TableParagraph"/>
              <w:spacing w:before="11"/>
              <w:ind w:left="463"/>
              <w:rPr>
                <w:sz w:val="18"/>
              </w:rPr>
            </w:pPr>
            <w:r>
              <w:rPr>
                <w:sz w:val="18"/>
              </w:rPr>
              <w:t>71,459</w:t>
            </w:r>
          </w:p>
        </w:tc>
        <w:tc>
          <w:tcPr>
            <w:tcW w:w="1380" w:type="dxa"/>
          </w:tcPr>
          <w:p w14:paraId="499F3D11" w14:textId="77777777" w:rsidR="00FA4AA8" w:rsidRDefault="0015611F">
            <w:pPr>
              <w:pStyle w:val="TableParagraph"/>
              <w:spacing w:before="11"/>
              <w:ind w:right="276"/>
              <w:jc w:val="right"/>
              <w:rPr>
                <w:b/>
                <w:sz w:val="18"/>
              </w:rPr>
            </w:pPr>
            <w:r>
              <w:rPr>
                <w:b/>
                <w:sz w:val="18"/>
              </w:rPr>
              <w:t>32,158</w:t>
            </w:r>
          </w:p>
        </w:tc>
        <w:tc>
          <w:tcPr>
            <w:tcW w:w="1104" w:type="dxa"/>
          </w:tcPr>
          <w:p w14:paraId="7CF696CE" w14:textId="77777777" w:rsidR="00FA4AA8" w:rsidRDefault="0015611F">
            <w:pPr>
              <w:pStyle w:val="TableParagraph"/>
              <w:spacing w:before="11"/>
              <w:ind w:right="84"/>
              <w:jc w:val="right"/>
              <w:rPr>
                <w:sz w:val="18"/>
              </w:rPr>
            </w:pPr>
            <w:r>
              <w:rPr>
                <w:sz w:val="18"/>
              </w:rPr>
              <w:t>71,459</w:t>
            </w:r>
          </w:p>
        </w:tc>
      </w:tr>
      <w:tr w:rsidR="00FA4AA8" w14:paraId="7D4D2CDF" w14:textId="77777777">
        <w:trPr>
          <w:trHeight w:val="465"/>
        </w:trPr>
        <w:tc>
          <w:tcPr>
            <w:tcW w:w="4012" w:type="dxa"/>
          </w:tcPr>
          <w:p w14:paraId="0F97CFCC" w14:textId="77777777" w:rsidR="00FA4AA8" w:rsidRDefault="0015611F">
            <w:pPr>
              <w:pStyle w:val="TableParagraph"/>
              <w:spacing w:before="23"/>
              <w:ind w:left="50" w:right="1310"/>
              <w:rPr>
                <w:sz w:val="18"/>
              </w:rPr>
            </w:pPr>
            <w:r>
              <w:rPr>
                <w:sz w:val="18"/>
              </w:rPr>
              <w:t>Transfer from property, plant and equipment revaluation surplus</w:t>
            </w:r>
          </w:p>
        </w:tc>
        <w:tc>
          <w:tcPr>
            <w:tcW w:w="1656" w:type="dxa"/>
          </w:tcPr>
          <w:p w14:paraId="4E0B7B82" w14:textId="77777777" w:rsidR="00FA4AA8" w:rsidRDefault="00FA4AA8">
            <w:pPr>
              <w:pStyle w:val="TableParagraph"/>
              <w:spacing w:before="8"/>
              <w:rPr>
                <w:b/>
                <w:sz w:val="19"/>
              </w:rPr>
            </w:pPr>
          </w:p>
          <w:p w14:paraId="298DFF1F" w14:textId="77777777" w:rsidR="00FA4AA8" w:rsidRDefault="0015611F">
            <w:pPr>
              <w:pStyle w:val="TableParagraph"/>
              <w:ind w:right="276"/>
              <w:jc w:val="right"/>
              <w:rPr>
                <w:b/>
                <w:sz w:val="18"/>
              </w:rPr>
            </w:pPr>
            <w:r>
              <w:rPr>
                <w:b/>
                <w:sz w:val="18"/>
              </w:rPr>
              <w:t>-</w:t>
            </w:r>
          </w:p>
        </w:tc>
        <w:tc>
          <w:tcPr>
            <w:tcW w:w="1380" w:type="dxa"/>
          </w:tcPr>
          <w:p w14:paraId="47811A62" w14:textId="77777777" w:rsidR="00FA4AA8" w:rsidRDefault="00FA4AA8">
            <w:pPr>
              <w:pStyle w:val="TableParagraph"/>
              <w:spacing w:before="8"/>
              <w:rPr>
                <w:b/>
                <w:sz w:val="19"/>
              </w:rPr>
            </w:pPr>
          </w:p>
          <w:p w14:paraId="3EDDFE70" w14:textId="77777777" w:rsidR="00FA4AA8" w:rsidRDefault="0015611F">
            <w:pPr>
              <w:pStyle w:val="TableParagraph"/>
              <w:ind w:left="564"/>
              <w:rPr>
                <w:sz w:val="18"/>
              </w:rPr>
            </w:pPr>
            <w:r>
              <w:rPr>
                <w:sz w:val="18"/>
              </w:rPr>
              <w:t>4,547</w:t>
            </w:r>
          </w:p>
        </w:tc>
        <w:tc>
          <w:tcPr>
            <w:tcW w:w="1380" w:type="dxa"/>
          </w:tcPr>
          <w:p w14:paraId="6576EA8C" w14:textId="77777777" w:rsidR="00FA4AA8" w:rsidRDefault="00FA4AA8">
            <w:pPr>
              <w:pStyle w:val="TableParagraph"/>
              <w:spacing w:before="8"/>
              <w:rPr>
                <w:b/>
                <w:sz w:val="19"/>
              </w:rPr>
            </w:pPr>
          </w:p>
          <w:p w14:paraId="1E10F13A" w14:textId="77777777" w:rsidR="00FA4AA8" w:rsidRDefault="0015611F">
            <w:pPr>
              <w:pStyle w:val="TableParagraph"/>
              <w:ind w:right="276"/>
              <w:jc w:val="right"/>
              <w:rPr>
                <w:b/>
                <w:sz w:val="18"/>
              </w:rPr>
            </w:pPr>
            <w:r>
              <w:rPr>
                <w:b/>
                <w:sz w:val="18"/>
              </w:rPr>
              <w:t>-</w:t>
            </w:r>
          </w:p>
        </w:tc>
        <w:tc>
          <w:tcPr>
            <w:tcW w:w="1104" w:type="dxa"/>
          </w:tcPr>
          <w:p w14:paraId="0B02F4EC" w14:textId="77777777" w:rsidR="00FA4AA8" w:rsidRDefault="00FA4AA8">
            <w:pPr>
              <w:pStyle w:val="TableParagraph"/>
              <w:spacing w:before="8"/>
              <w:rPr>
                <w:b/>
                <w:sz w:val="19"/>
              </w:rPr>
            </w:pPr>
          </w:p>
          <w:p w14:paraId="0B7AB3B7" w14:textId="77777777" w:rsidR="00FA4AA8" w:rsidRDefault="0015611F">
            <w:pPr>
              <w:pStyle w:val="TableParagraph"/>
              <w:ind w:right="84"/>
              <w:jc w:val="right"/>
              <w:rPr>
                <w:sz w:val="18"/>
              </w:rPr>
            </w:pPr>
            <w:r>
              <w:rPr>
                <w:sz w:val="18"/>
              </w:rPr>
              <w:t>4,547</w:t>
            </w:r>
          </w:p>
        </w:tc>
      </w:tr>
      <w:tr w:rsidR="00FA4AA8" w14:paraId="72F0319B" w14:textId="77777777">
        <w:trPr>
          <w:trHeight w:val="459"/>
        </w:trPr>
        <w:tc>
          <w:tcPr>
            <w:tcW w:w="4012" w:type="dxa"/>
          </w:tcPr>
          <w:p w14:paraId="14BF6C76" w14:textId="77777777" w:rsidR="00FA4AA8" w:rsidRDefault="0015611F">
            <w:pPr>
              <w:pStyle w:val="TableParagraph"/>
              <w:spacing w:before="23"/>
              <w:ind w:left="50" w:right="710"/>
              <w:rPr>
                <w:sz w:val="18"/>
              </w:rPr>
            </w:pPr>
            <w:r>
              <w:rPr>
                <w:sz w:val="18"/>
              </w:rPr>
              <w:t>Write back on disposal of revalued assets</w:t>
            </w:r>
          </w:p>
        </w:tc>
        <w:tc>
          <w:tcPr>
            <w:tcW w:w="1656" w:type="dxa"/>
            <w:tcBorders>
              <w:bottom w:val="single" w:sz="8" w:space="0" w:color="000000"/>
            </w:tcBorders>
          </w:tcPr>
          <w:p w14:paraId="0EB0B1AE" w14:textId="77777777" w:rsidR="00FA4AA8" w:rsidRDefault="00FA4AA8">
            <w:pPr>
              <w:pStyle w:val="TableParagraph"/>
              <w:spacing w:before="8"/>
              <w:rPr>
                <w:b/>
                <w:sz w:val="19"/>
              </w:rPr>
            </w:pPr>
          </w:p>
          <w:p w14:paraId="2B9D0647" w14:textId="77777777" w:rsidR="00FA4AA8" w:rsidRDefault="0015611F">
            <w:pPr>
              <w:pStyle w:val="TableParagraph"/>
              <w:ind w:right="215"/>
              <w:jc w:val="right"/>
              <w:rPr>
                <w:b/>
                <w:sz w:val="18"/>
              </w:rPr>
            </w:pPr>
            <w:r>
              <w:rPr>
                <w:b/>
                <w:sz w:val="18"/>
              </w:rPr>
              <w:t>(27,611)</w:t>
            </w:r>
          </w:p>
        </w:tc>
        <w:tc>
          <w:tcPr>
            <w:tcW w:w="1380" w:type="dxa"/>
            <w:tcBorders>
              <w:bottom w:val="single" w:sz="8" w:space="0" w:color="000000"/>
            </w:tcBorders>
          </w:tcPr>
          <w:p w14:paraId="42068FC2" w14:textId="77777777" w:rsidR="00FA4AA8" w:rsidRDefault="00FA4AA8">
            <w:pPr>
              <w:pStyle w:val="TableParagraph"/>
              <w:spacing w:before="8"/>
              <w:rPr>
                <w:b/>
                <w:sz w:val="19"/>
              </w:rPr>
            </w:pPr>
          </w:p>
          <w:p w14:paraId="10C5E7A3" w14:textId="77777777" w:rsidR="00FA4AA8" w:rsidRDefault="0015611F">
            <w:pPr>
              <w:pStyle w:val="TableParagraph"/>
              <w:ind w:right="299"/>
              <w:jc w:val="right"/>
              <w:rPr>
                <w:sz w:val="18"/>
              </w:rPr>
            </w:pPr>
            <w:r>
              <w:rPr>
                <w:sz w:val="18"/>
              </w:rPr>
              <w:t>(43,848)</w:t>
            </w:r>
          </w:p>
        </w:tc>
        <w:tc>
          <w:tcPr>
            <w:tcW w:w="1380" w:type="dxa"/>
            <w:tcBorders>
              <w:bottom w:val="single" w:sz="8" w:space="0" w:color="000000"/>
            </w:tcBorders>
          </w:tcPr>
          <w:p w14:paraId="135409BF" w14:textId="77777777" w:rsidR="00FA4AA8" w:rsidRDefault="00FA4AA8">
            <w:pPr>
              <w:pStyle w:val="TableParagraph"/>
              <w:spacing w:before="8"/>
              <w:rPr>
                <w:b/>
                <w:sz w:val="19"/>
              </w:rPr>
            </w:pPr>
          </w:p>
          <w:p w14:paraId="1A069A56" w14:textId="77777777" w:rsidR="00FA4AA8" w:rsidRDefault="0015611F">
            <w:pPr>
              <w:pStyle w:val="TableParagraph"/>
              <w:ind w:right="215"/>
              <w:jc w:val="right"/>
              <w:rPr>
                <w:b/>
                <w:sz w:val="18"/>
              </w:rPr>
            </w:pPr>
            <w:r>
              <w:rPr>
                <w:b/>
                <w:sz w:val="18"/>
              </w:rPr>
              <w:t>(27,611)</w:t>
            </w:r>
          </w:p>
        </w:tc>
        <w:tc>
          <w:tcPr>
            <w:tcW w:w="1104" w:type="dxa"/>
            <w:tcBorders>
              <w:bottom w:val="single" w:sz="8" w:space="0" w:color="000000"/>
            </w:tcBorders>
          </w:tcPr>
          <w:p w14:paraId="0A5BA6B1" w14:textId="77777777" w:rsidR="00FA4AA8" w:rsidRDefault="00FA4AA8">
            <w:pPr>
              <w:pStyle w:val="TableParagraph"/>
              <w:spacing w:before="8"/>
              <w:rPr>
                <w:b/>
                <w:sz w:val="19"/>
              </w:rPr>
            </w:pPr>
          </w:p>
          <w:p w14:paraId="791698C8" w14:textId="77777777" w:rsidR="00FA4AA8" w:rsidRDefault="0015611F">
            <w:pPr>
              <w:pStyle w:val="TableParagraph"/>
              <w:ind w:right="23"/>
              <w:jc w:val="right"/>
              <w:rPr>
                <w:sz w:val="18"/>
              </w:rPr>
            </w:pPr>
            <w:r>
              <w:rPr>
                <w:sz w:val="18"/>
              </w:rPr>
              <w:t>(43,848)</w:t>
            </w:r>
          </w:p>
        </w:tc>
      </w:tr>
      <w:tr w:rsidR="00FA4AA8" w14:paraId="5D1D29B3" w14:textId="77777777">
        <w:trPr>
          <w:trHeight w:val="318"/>
        </w:trPr>
        <w:tc>
          <w:tcPr>
            <w:tcW w:w="4012" w:type="dxa"/>
          </w:tcPr>
          <w:p w14:paraId="03ABF861" w14:textId="77777777" w:rsidR="00FA4AA8" w:rsidRDefault="0015611F">
            <w:pPr>
              <w:pStyle w:val="TableParagraph"/>
              <w:spacing w:before="115" w:line="183" w:lineRule="exact"/>
              <w:ind w:left="50"/>
              <w:rPr>
                <w:b/>
                <w:sz w:val="18"/>
              </w:rPr>
            </w:pPr>
            <w:r>
              <w:rPr>
                <w:b/>
                <w:sz w:val="18"/>
              </w:rPr>
              <w:t>Balance at 31 December</w:t>
            </w:r>
          </w:p>
        </w:tc>
        <w:tc>
          <w:tcPr>
            <w:tcW w:w="1656" w:type="dxa"/>
            <w:tcBorders>
              <w:top w:val="single" w:sz="8" w:space="0" w:color="000000"/>
              <w:bottom w:val="single" w:sz="8" w:space="0" w:color="000000"/>
            </w:tcBorders>
          </w:tcPr>
          <w:p w14:paraId="77645875" w14:textId="77777777" w:rsidR="00FA4AA8" w:rsidRDefault="0015611F">
            <w:pPr>
              <w:pStyle w:val="TableParagraph"/>
              <w:spacing w:before="115" w:line="183" w:lineRule="exact"/>
              <w:ind w:right="276"/>
              <w:jc w:val="right"/>
              <w:rPr>
                <w:b/>
                <w:sz w:val="18"/>
              </w:rPr>
            </w:pPr>
            <w:r>
              <w:rPr>
                <w:b/>
                <w:sz w:val="18"/>
              </w:rPr>
              <w:t>4,547</w:t>
            </w:r>
          </w:p>
        </w:tc>
        <w:tc>
          <w:tcPr>
            <w:tcW w:w="1380" w:type="dxa"/>
            <w:tcBorders>
              <w:top w:val="single" w:sz="8" w:space="0" w:color="000000"/>
              <w:bottom w:val="single" w:sz="8" w:space="0" w:color="000000"/>
            </w:tcBorders>
          </w:tcPr>
          <w:p w14:paraId="5FA27BAF" w14:textId="77777777" w:rsidR="00FA4AA8" w:rsidRDefault="0015611F">
            <w:pPr>
              <w:pStyle w:val="TableParagraph"/>
              <w:spacing w:before="115" w:line="183" w:lineRule="exact"/>
              <w:ind w:left="463"/>
              <w:rPr>
                <w:sz w:val="18"/>
              </w:rPr>
            </w:pPr>
            <w:r>
              <w:rPr>
                <w:sz w:val="18"/>
              </w:rPr>
              <w:t>32,158</w:t>
            </w:r>
          </w:p>
        </w:tc>
        <w:tc>
          <w:tcPr>
            <w:tcW w:w="1380" w:type="dxa"/>
            <w:tcBorders>
              <w:top w:val="single" w:sz="8" w:space="0" w:color="000000"/>
              <w:bottom w:val="single" w:sz="8" w:space="0" w:color="000000"/>
            </w:tcBorders>
          </w:tcPr>
          <w:p w14:paraId="776FDA16" w14:textId="77777777" w:rsidR="00FA4AA8" w:rsidRDefault="0015611F">
            <w:pPr>
              <w:pStyle w:val="TableParagraph"/>
              <w:spacing w:before="115" w:line="183" w:lineRule="exact"/>
              <w:ind w:right="276"/>
              <w:jc w:val="right"/>
              <w:rPr>
                <w:b/>
                <w:sz w:val="18"/>
              </w:rPr>
            </w:pPr>
            <w:r>
              <w:rPr>
                <w:b/>
                <w:sz w:val="18"/>
              </w:rPr>
              <w:t>4,547</w:t>
            </w:r>
          </w:p>
        </w:tc>
        <w:tc>
          <w:tcPr>
            <w:tcW w:w="1104" w:type="dxa"/>
            <w:tcBorders>
              <w:top w:val="single" w:sz="8" w:space="0" w:color="000000"/>
              <w:bottom w:val="single" w:sz="8" w:space="0" w:color="000000"/>
            </w:tcBorders>
          </w:tcPr>
          <w:p w14:paraId="190E8551" w14:textId="77777777" w:rsidR="00FA4AA8" w:rsidRDefault="0015611F">
            <w:pPr>
              <w:pStyle w:val="TableParagraph"/>
              <w:spacing w:before="115" w:line="183" w:lineRule="exact"/>
              <w:ind w:right="84"/>
              <w:jc w:val="right"/>
              <w:rPr>
                <w:sz w:val="18"/>
              </w:rPr>
            </w:pPr>
            <w:r>
              <w:rPr>
                <w:sz w:val="18"/>
              </w:rPr>
              <w:t>32,158</w:t>
            </w:r>
          </w:p>
        </w:tc>
      </w:tr>
      <w:tr w:rsidR="00FA4AA8" w14:paraId="4D0F8162" w14:textId="77777777">
        <w:trPr>
          <w:trHeight w:val="324"/>
        </w:trPr>
        <w:tc>
          <w:tcPr>
            <w:tcW w:w="4012" w:type="dxa"/>
          </w:tcPr>
          <w:p w14:paraId="42D5977C" w14:textId="77777777" w:rsidR="00FA4AA8" w:rsidRDefault="0015611F">
            <w:pPr>
              <w:pStyle w:val="TableParagraph"/>
              <w:spacing w:before="115" w:line="190" w:lineRule="exact"/>
              <w:ind w:left="50"/>
              <w:rPr>
                <w:b/>
                <w:sz w:val="18"/>
              </w:rPr>
            </w:pPr>
            <w:r>
              <w:rPr>
                <w:b/>
                <w:sz w:val="18"/>
              </w:rPr>
              <w:t>Property, plant and equipment</w:t>
            </w:r>
          </w:p>
        </w:tc>
        <w:tc>
          <w:tcPr>
            <w:tcW w:w="1656" w:type="dxa"/>
            <w:tcBorders>
              <w:top w:val="single" w:sz="8" w:space="0" w:color="000000"/>
            </w:tcBorders>
          </w:tcPr>
          <w:p w14:paraId="172159A0" w14:textId="77777777" w:rsidR="00FA4AA8" w:rsidRDefault="00FA4AA8">
            <w:pPr>
              <w:pStyle w:val="TableParagraph"/>
              <w:rPr>
                <w:rFonts w:ascii="Times New Roman"/>
                <w:sz w:val="18"/>
              </w:rPr>
            </w:pPr>
          </w:p>
        </w:tc>
        <w:tc>
          <w:tcPr>
            <w:tcW w:w="1380" w:type="dxa"/>
            <w:tcBorders>
              <w:top w:val="single" w:sz="8" w:space="0" w:color="000000"/>
            </w:tcBorders>
          </w:tcPr>
          <w:p w14:paraId="7577FFFA" w14:textId="77777777" w:rsidR="00FA4AA8" w:rsidRDefault="00FA4AA8">
            <w:pPr>
              <w:pStyle w:val="TableParagraph"/>
              <w:rPr>
                <w:rFonts w:ascii="Times New Roman"/>
                <w:sz w:val="18"/>
              </w:rPr>
            </w:pPr>
          </w:p>
        </w:tc>
        <w:tc>
          <w:tcPr>
            <w:tcW w:w="1380" w:type="dxa"/>
            <w:tcBorders>
              <w:top w:val="single" w:sz="8" w:space="0" w:color="000000"/>
            </w:tcBorders>
          </w:tcPr>
          <w:p w14:paraId="17A40425" w14:textId="77777777" w:rsidR="00FA4AA8" w:rsidRDefault="00FA4AA8">
            <w:pPr>
              <w:pStyle w:val="TableParagraph"/>
              <w:rPr>
                <w:rFonts w:ascii="Times New Roman"/>
                <w:sz w:val="18"/>
              </w:rPr>
            </w:pPr>
          </w:p>
        </w:tc>
        <w:tc>
          <w:tcPr>
            <w:tcW w:w="1104" w:type="dxa"/>
            <w:tcBorders>
              <w:top w:val="single" w:sz="8" w:space="0" w:color="000000"/>
            </w:tcBorders>
          </w:tcPr>
          <w:p w14:paraId="0A3FCFB1" w14:textId="77777777" w:rsidR="00FA4AA8" w:rsidRDefault="00FA4AA8">
            <w:pPr>
              <w:pStyle w:val="TableParagraph"/>
              <w:rPr>
                <w:rFonts w:ascii="Times New Roman"/>
                <w:sz w:val="18"/>
              </w:rPr>
            </w:pPr>
          </w:p>
        </w:tc>
      </w:tr>
      <w:tr w:rsidR="00FA4AA8" w14:paraId="096981E7" w14:textId="77777777">
        <w:trPr>
          <w:trHeight w:val="220"/>
        </w:trPr>
        <w:tc>
          <w:tcPr>
            <w:tcW w:w="4012" w:type="dxa"/>
          </w:tcPr>
          <w:p w14:paraId="66E35C66" w14:textId="77777777" w:rsidR="00FA4AA8" w:rsidRDefault="0015611F">
            <w:pPr>
              <w:pStyle w:val="TableParagraph"/>
              <w:spacing w:line="201" w:lineRule="exact"/>
              <w:ind w:left="50"/>
              <w:rPr>
                <w:b/>
                <w:sz w:val="18"/>
              </w:rPr>
            </w:pPr>
            <w:r>
              <w:rPr>
                <w:b/>
                <w:sz w:val="18"/>
              </w:rPr>
              <w:t>revaluation surplus</w:t>
            </w:r>
          </w:p>
        </w:tc>
        <w:tc>
          <w:tcPr>
            <w:tcW w:w="1656" w:type="dxa"/>
          </w:tcPr>
          <w:p w14:paraId="3B5CA00E" w14:textId="77777777" w:rsidR="00FA4AA8" w:rsidRDefault="00FA4AA8">
            <w:pPr>
              <w:pStyle w:val="TableParagraph"/>
              <w:rPr>
                <w:rFonts w:ascii="Times New Roman"/>
                <w:sz w:val="14"/>
              </w:rPr>
            </w:pPr>
          </w:p>
        </w:tc>
        <w:tc>
          <w:tcPr>
            <w:tcW w:w="1380" w:type="dxa"/>
          </w:tcPr>
          <w:p w14:paraId="6B74FB3F" w14:textId="77777777" w:rsidR="00FA4AA8" w:rsidRDefault="00FA4AA8">
            <w:pPr>
              <w:pStyle w:val="TableParagraph"/>
              <w:rPr>
                <w:rFonts w:ascii="Times New Roman"/>
                <w:sz w:val="14"/>
              </w:rPr>
            </w:pPr>
          </w:p>
        </w:tc>
        <w:tc>
          <w:tcPr>
            <w:tcW w:w="1380" w:type="dxa"/>
          </w:tcPr>
          <w:p w14:paraId="01D788A4" w14:textId="77777777" w:rsidR="00FA4AA8" w:rsidRDefault="00FA4AA8">
            <w:pPr>
              <w:pStyle w:val="TableParagraph"/>
              <w:rPr>
                <w:rFonts w:ascii="Times New Roman"/>
                <w:sz w:val="14"/>
              </w:rPr>
            </w:pPr>
          </w:p>
        </w:tc>
        <w:tc>
          <w:tcPr>
            <w:tcW w:w="1104" w:type="dxa"/>
          </w:tcPr>
          <w:p w14:paraId="44A1ACA8" w14:textId="77777777" w:rsidR="00FA4AA8" w:rsidRDefault="00FA4AA8">
            <w:pPr>
              <w:pStyle w:val="TableParagraph"/>
              <w:rPr>
                <w:rFonts w:ascii="Times New Roman"/>
                <w:sz w:val="14"/>
              </w:rPr>
            </w:pPr>
          </w:p>
        </w:tc>
      </w:tr>
      <w:tr w:rsidR="00FA4AA8" w14:paraId="15E57A4C" w14:textId="77777777">
        <w:trPr>
          <w:trHeight w:val="250"/>
        </w:trPr>
        <w:tc>
          <w:tcPr>
            <w:tcW w:w="4012" w:type="dxa"/>
          </w:tcPr>
          <w:p w14:paraId="2FA92F5E" w14:textId="77777777" w:rsidR="00FA4AA8" w:rsidRDefault="0015611F">
            <w:pPr>
              <w:pStyle w:val="TableParagraph"/>
              <w:spacing w:before="13"/>
              <w:ind w:left="50"/>
              <w:rPr>
                <w:sz w:val="18"/>
              </w:rPr>
            </w:pPr>
            <w:r>
              <w:rPr>
                <w:sz w:val="18"/>
              </w:rPr>
              <w:t>Balance at 1 January</w:t>
            </w:r>
          </w:p>
        </w:tc>
        <w:tc>
          <w:tcPr>
            <w:tcW w:w="1656" w:type="dxa"/>
          </w:tcPr>
          <w:p w14:paraId="088B08B0" w14:textId="77777777" w:rsidR="00FA4AA8" w:rsidRDefault="0015611F">
            <w:pPr>
              <w:pStyle w:val="TableParagraph"/>
              <w:spacing w:before="11"/>
              <w:ind w:right="276"/>
              <w:jc w:val="right"/>
              <w:rPr>
                <w:b/>
                <w:sz w:val="18"/>
              </w:rPr>
            </w:pPr>
            <w:r>
              <w:rPr>
                <w:b/>
                <w:sz w:val="18"/>
              </w:rPr>
              <w:t>813,272</w:t>
            </w:r>
          </w:p>
        </w:tc>
        <w:tc>
          <w:tcPr>
            <w:tcW w:w="1380" w:type="dxa"/>
          </w:tcPr>
          <w:p w14:paraId="58D8EBC1" w14:textId="77777777" w:rsidR="00FA4AA8" w:rsidRDefault="0015611F">
            <w:pPr>
              <w:pStyle w:val="TableParagraph"/>
              <w:spacing w:before="11"/>
              <w:ind w:left="362"/>
              <w:rPr>
                <w:sz w:val="18"/>
              </w:rPr>
            </w:pPr>
            <w:r>
              <w:rPr>
                <w:sz w:val="18"/>
              </w:rPr>
              <w:t>617,516</w:t>
            </w:r>
          </w:p>
        </w:tc>
        <w:tc>
          <w:tcPr>
            <w:tcW w:w="1380" w:type="dxa"/>
          </w:tcPr>
          <w:p w14:paraId="14D91E36" w14:textId="77777777" w:rsidR="00FA4AA8" w:rsidRDefault="0015611F">
            <w:pPr>
              <w:pStyle w:val="TableParagraph"/>
              <w:spacing w:before="11"/>
              <w:ind w:right="276"/>
              <w:jc w:val="right"/>
              <w:rPr>
                <w:b/>
                <w:sz w:val="18"/>
              </w:rPr>
            </w:pPr>
            <w:r>
              <w:rPr>
                <w:b/>
                <w:sz w:val="18"/>
              </w:rPr>
              <w:t>813,076</w:t>
            </w:r>
          </w:p>
        </w:tc>
        <w:tc>
          <w:tcPr>
            <w:tcW w:w="1104" w:type="dxa"/>
          </w:tcPr>
          <w:p w14:paraId="6868C1F3" w14:textId="77777777" w:rsidR="00FA4AA8" w:rsidRDefault="0015611F">
            <w:pPr>
              <w:pStyle w:val="TableParagraph"/>
              <w:spacing w:before="11"/>
              <w:ind w:left="362"/>
              <w:rPr>
                <w:sz w:val="18"/>
              </w:rPr>
            </w:pPr>
            <w:r>
              <w:rPr>
                <w:sz w:val="18"/>
              </w:rPr>
              <w:t>617,320</w:t>
            </w:r>
          </w:p>
        </w:tc>
      </w:tr>
      <w:tr w:rsidR="00FA4AA8" w14:paraId="15F41814" w14:textId="77777777">
        <w:trPr>
          <w:trHeight w:val="264"/>
        </w:trPr>
        <w:tc>
          <w:tcPr>
            <w:tcW w:w="4012" w:type="dxa"/>
          </w:tcPr>
          <w:p w14:paraId="1F91621E" w14:textId="77777777" w:rsidR="00FA4AA8" w:rsidRDefault="0015611F">
            <w:pPr>
              <w:pStyle w:val="TableParagraph"/>
              <w:spacing w:before="26"/>
              <w:ind w:left="50"/>
              <w:rPr>
                <w:sz w:val="18"/>
              </w:rPr>
            </w:pPr>
            <w:r>
              <w:rPr>
                <w:sz w:val="18"/>
              </w:rPr>
              <w:t>Revaluation - gross</w:t>
            </w:r>
          </w:p>
        </w:tc>
        <w:tc>
          <w:tcPr>
            <w:tcW w:w="1656" w:type="dxa"/>
          </w:tcPr>
          <w:p w14:paraId="276DEEB1" w14:textId="77777777" w:rsidR="00FA4AA8" w:rsidRDefault="0015611F">
            <w:pPr>
              <w:pStyle w:val="TableParagraph"/>
              <w:spacing w:before="24"/>
              <w:ind w:right="276"/>
              <w:jc w:val="right"/>
              <w:rPr>
                <w:b/>
                <w:sz w:val="18"/>
              </w:rPr>
            </w:pPr>
            <w:r>
              <w:rPr>
                <w:b/>
                <w:sz w:val="18"/>
              </w:rPr>
              <w:t>69,076</w:t>
            </w:r>
          </w:p>
        </w:tc>
        <w:tc>
          <w:tcPr>
            <w:tcW w:w="1380" w:type="dxa"/>
          </w:tcPr>
          <w:p w14:paraId="3F6AD551" w14:textId="77777777" w:rsidR="00FA4AA8" w:rsidRDefault="0015611F">
            <w:pPr>
              <w:pStyle w:val="TableParagraph"/>
              <w:spacing w:before="24"/>
              <w:ind w:left="362"/>
              <w:rPr>
                <w:sz w:val="18"/>
              </w:rPr>
            </w:pPr>
            <w:r>
              <w:rPr>
                <w:sz w:val="18"/>
              </w:rPr>
              <w:t>200,303</w:t>
            </w:r>
          </w:p>
        </w:tc>
        <w:tc>
          <w:tcPr>
            <w:tcW w:w="1380" w:type="dxa"/>
          </w:tcPr>
          <w:p w14:paraId="0086562D" w14:textId="77777777" w:rsidR="00FA4AA8" w:rsidRDefault="0015611F">
            <w:pPr>
              <w:pStyle w:val="TableParagraph"/>
              <w:spacing w:before="24"/>
              <w:ind w:right="276"/>
              <w:jc w:val="right"/>
              <w:rPr>
                <w:b/>
                <w:sz w:val="18"/>
              </w:rPr>
            </w:pPr>
            <w:r>
              <w:rPr>
                <w:b/>
                <w:sz w:val="18"/>
              </w:rPr>
              <w:t>69,076</w:t>
            </w:r>
          </w:p>
        </w:tc>
        <w:tc>
          <w:tcPr>
            <w:tcW w:w="1104" w:type="dxa"/>
          </w:tcPr>
          <w:p w14:paraId="3CA4B658" w14:textId="77777777" w:rsidR="00FA4AA8" w:rsidRDefault="0015611F">
            <w:pPr>
              <w:pStyle w:val="TableParagraph"/>
              <w:spacing w:before="24"/>
              <w:ind w:left="362"/>
              <w:rPr>
                <w:sz w:val="18"/>
              </w:rPr>
            </w:pPr>
            <w:r>
              <w:rPr>
                <w:sz w:val="18"/>
              </w:rPr>
              <w:t>200,303</w:t>
            </w:r>
          </w:p>
        </w:tc>
      </w:tr>
      <w:tr w:rsidR="00FA4AA8" w14:paraId="21A677B6" w14:textId="77777777">
        <w:trPr>
          <w:trHeight w:val="256"/>
        </w:trPr>
        <w:tc>
          <w:tcPr>
            <w:tcW w:w="4012" w:type="dxa"/>
          </w:tcPr>
          <w:p w14:paraId="504C687E" w14:textId="77777777" w:rsidR="00FA4AA8" w:rsidRDefault="0015611F">
            <w:pPr>
              <w:pStyle w:val="TableParagraph"/>
              <w:spacing w:before="26"/>
              <w:ind w:left="50"/>
              <w:rPr>
                <w:sz w:val="18"/>
              </w:rPr>
            </w:pPr>
            <w:r>
              <w:rPr>
                <w:sz w:val="18"/>
              </w:rPr>
              <w:t>Transfer to assets held-for-sale reserve</w:t>
            </w:r>
          </w:p>
        </w:tc>
        <w:tc>
          <w:tcPr>
            <w:tcW w:w="1656" w:type="dxa"/>
            <w:tcBorders>
              <w:bottom w:val="single" w:sz="8" w:space="0" w:color="000000"/>
            </w:tcBorders>
          </w:tcPr>
          <w:p w14:paraId="1E519094" w14:textId="77777777" w:rsidR="00FA4AA8" w:rsidRDefault="0015611F">
            <w:pPr>
              <w:pStyle w:val="TableParagraph"/>
              <w:spacing w:before="24"/>
              <w:ind w:right="276"/>
              <w:jc w:val="right"/>
              <w:rPr>
                <w:b/>
                <w:sz w:val="18"/>
              </w:rPr>
            </w:pPr>
            <w:r>
              <w:rPr>
                <w:b/>
                <w:sz w:val="18"/>
              </w:rPr>
              <w:t>-</w:t>
            </w:r>
          </w:p>
        </w:tc>
        <w:tc>
          <w:tcPr>
            <w:tcW w:w="1380" w:type="dxa"/>
            <w:tcBorders>
              <w:bottom w:val="single" w:sz="8" w:space="0" w:color="000000"/>
            </w:tcBorders>
          </w:tcPr>
          <w:p w14:paraId="3A243956" w14:textId="77777777" w:rsidR="00FA4AA8" w:rsidRDefault="0015611F">
            <w:pPr>
              <w:pStyle w:val="TableParagraph"/>
              <w:spacing w:before="24"/>
              <w:ind w:right="299"/>
              <w:jc w:val="right"/>
              <w:rPr>
                <w:sz w:val="18"/>
              </w:rPr>
            </w:pPr>
            <w:r>
              <w:rPr>
                <w:sz w:val="18"/>
              </w:rPr>
              <w:t>(4,547)</w:t>
            </w:r>
          </w:p>
        </w:tc>
        <w:tc>
          <w:tcPr>
            <w:tcW w:w="1380" w:type="dxa"/>
            <w:tcBorders>
              <w:bottom w:val="single" w:sz="8" w:space="0" w:color="000000"/>
            </w:tcBorders>
          </w:tcPr>
          <w:p w14:paraId="1AB85B3B" w14:textId="77777777" w:rsidR="00FA4AA8" w:rsidRDefault="0015611F">
            <w:pPr>
              <w:pStyle w:val="TableParagraph"/>
              <w:spacing w:before="24"/>
              <w:ind w:right="276"/>
              <w:jc w:val="right"/>
              <w:rPr>
                <w:b/>
                <w:sz w:val="18"/>
              </w:rPr>
            </w:pPr>
            <w:r>
              <w:rPr>
                <w:b/>
                <w:sz w:val="18"/>
              </w:rPr>
              <w:t>-</w:t>
            </w:r>
          </w:p>
        </w:tc>
        <w:tc>
          <w:tcPr>
            <w:tcW w:w="1104" w:type="dxa"/>
            <w:tcBorders>
              <w:bottom w:val="single" w:sz="8" w:space="0" w:color="000000"/>
            </w:tcBorders>
          </w:tcPr>
          <w:p w14:paraId="2D90A8BF" w14:textId="77777777" w:rsidR="00FA4AA8" w:rsidRDefault="0015611F">
            <w:pPr>
              <w:pStyle w:val="TableParagraph"/>
              <w:spacing w:before="24"/>
              <w:ind w:right="23"/>
              <w:jc w:val="right"/>
              <w:rPr>
                <w:sz w:val="18"/>
              </w:rPr>
            </w:pPr>
            <w:r>
              <w:rPr>
                <w:sz w:val="18"/>
              </w:rPr>
              <w:t>(4,547)</w:t>
            </w:r>
          </w:p>
        </w:tc>
      </w:tr>
      <w:tr w:rsidR="00FA4AA8" w14:paraId="09EB734D" w14:textId="77777777">
        <w:trPr>
          <w:trHeight w:val="318"/>
        </w:trPr>
        <w:tc>
          <w:tcPr>
            <w:tcW w:w="4012" w:type="dxa"/>
          </w:tcPr>
          <w:p w14:paraId="0A4B502C" w14:textId="77777777" w:rsidR="00FA4AA8" w:rsidRDefault="0015611F">
            <w:pPr>
              <w:pStyle w:val="TableParagraph"/>
              <w:spacing w:before="115" w:line="183" w:lineRule="exact"/>
              <w:ind w:left="50"/>
              <w:rPr>
                <w:b/>
                <w:sz w:val="18"/>
              </w:rPr>
            </w:pPr>
            <w:r>
              <w:rPr>
                <w:b/>
                <w:sz w:val="18"/>
              </w:rPr>
              <w:t>Balance at 31 December</w:t>
            </w:r>
          </w:p>
        </w:tc>
        <w:tc>
          <w:tcPr>
            <w:tcW w:w="1656" w:type="dxa"/>
            <w:tcBorders>
              <w:top w:val="single" w:sz="8" w:space="0" w:color="000000"/>
              <w:bottom w:val="single" w:sz="8" w:space="0" w:color="000000"/>
            </w:tcBorders>
          </w:tcPr>
          <w:p w14:paraId="064F4D4D" w14:textId="77777777" w:rsidR="00FA4AA8" w:rsidRDefault="0015611F">
            <w:pPr>
              <w:pStyle w:val="TableParagraph"/>
              <w:spacing w:before="115" w:line="183" w:lineRule="exact"/>
              <w:ind w:right="276"/>
              <w:jc w:val="right"/>
              <w:rPr>
                <w:b/>
                <w:sz w:val="18"/>
              </w:rPr>
            </w:pPr>
            <w:r>
              <w:rPr>
                <w:b/>
                <w:sz w:val="18"/>
              </w:rPr>
              <w:t>882,348</w:t>
            </w:r>
          </w:p>
        </w:tc>
        <w:tc>
          <w:tcPr>
            <w:tcW w:w="1380" w:type="dxa"/>
            <w:tcBorders>
              <w:top w:val="single" w:sz="8" w:space="0" w:color="000000"/>
              <w:bottom w:val="single" w:sz="8" w:space="0" w:color="000000"/>
            </w:tcBorders>
          </w:tcPr>
          <w:p w14:paraId="2B5547FC" w14:textId="77777777" w:rsidR="00FA4AA8" w:rsidRDefault="0015611F">
            <w:pPr>
              <w:pStyle w:val="TableParagraph"/>
              <w:spacing w:before="115" w:line="183" w:lineRule="exact"/>
              <w:ind w:left="362"/>
              <w:rPr>
                <w:sz w:val="18"/>
              </w:rPr>
            </w:pPr>
            <w:r>
              <w:rPr>
                <w:sz w:val="18"/>
              </w:rPr>
              <w:t>813,272</w:t>
            </w:r>
          </w:p>
        </w:tc>
        <w:tc>
          <w:tcPr>
            <w:tcW w:w="1380" w:type="dxa"/>
            <w:tcBorders>
              <w:top w:val="single" w:sz="8" w:space="0" w:color="000000"/>
              <w:bottom w:val="single" w:sz="8" w:space="0" w:color="000000"/>
            </w:tcBorders>
          </w:tcPr>
          <w:p w14:paraId="01B74D31" w14:textId="77777777" w:rsidR="00FA4AA8" w:rsidRDefault="0015611F">
            <w:pPr>
              <w:pStyle w:val="TableParagraph"/>
              <w:spacing w:before="115" w:line="183" w:lineRule="exact"/>
              <w:ind w:right="276"/>
              <w:jc w:val="right"/>
              <w:rPr>
                <w:b/>
                <w:sz w:val="18"/>
              </w:rPr>
            </w:pPr>
            <w:r>
              <w:rPr>
                <w:b/>
                <w:sz w:val="18"/>
              </w:rPr>
              <w:t>882,152</w:t>
            </w:r>
          </w:p>
        </w:tc>
        <w:tc>
          <w:tcPr>
            <w:tcW w:w="1104" w:type="dxa"/>
            <w:tcBorders>
              <w:top w:val="single" w:sz="8" w:space="0" w:color="000000"/>
              <w:bottom w:val="single" w:sz="8" w:space="0" w:color="000000"/>
            </w:tcBorders>
          </w:tcPr>
          <w:p w14:paraId="7018FE94" w14:textId="77777777" w:rsidR="00FA4AA8" w:rsidRDefault="0015611F">
            <w:pPr>
              <w:pStyle w:val="TableParagraph"/>
              <w:spacing w:before="115" w:line="183" w:lineRule="exact"/>
              <w:ind w:left="362"/>
              <w:rPr>
                <w:sz w:val="18"/>
              </w:rPr>
            </w:pPr>
            <w:r>
              <w:rPr>
                <w:sz w:val="18"/>
              </w:rPr>
              <w:t>813,076</w:t>
            </w:r>
          </w:p>
        </w:tc>
      </w:tr>
      <w:tr w:rsidR="00FA4AA8" w14:paraId="0777034D" w14:textId="77777777">
        <w:trPr>
          <w:trHeight w:val="324"/>
        </w:trPr>
        <w:tc>
          <w:tcPr>
            <w:tcW w:w="4012" w:type="dxa"/>
          </w:tcPr>
          <w:p w14:paraId="28B2FB02" w14:textId="77777777" w:rsidR="00FA4AA8" w:rsidRDefault="0015611F">
            <w:pPr>
              <w:pStyle w:val="TableParagraph"/>
              <w:spacing w:before="115" w:line="190" w:lineRule="exact"/>
              <w:ind w:left="50"/>
              <w:rPr>
                <w:b/>
                <w:sz w:val="18"/>
              </w:rPr>
            </w:pPr>
            <w:r>
              <w:rPr>
                <w:b/>
                <w:sz w:val="18"/>
              </w:rPr>
              <w:t>State superannuation funds</w:t>
            </w:r>
          </w:p>
        </w:tc>
        <w:tc>
          <w:tcPr>
            <w:tcW w:w="1656" w:type="dxa"/>
            <w:tcBorders>
              <w:top w:val="single" w:sz="8" w:space="0" w:color="000000"/>
            </w:tcBorders>
          </w:tcPr>
          <w:p w14:paraId="755451BE" w14:textId="77777777" w:rsidR="00FA4AA8" w:rsidRDefault="00FA4AA8">
            <w:pPr>
              <w:pStyle w:val="TableParagraph"/>
              <w:rPr>
                <w:rFonts w:ascii="Times New Roman"/>
                <w:sz w:val="18"/>
              </w:rPr>
            </w:pPr>
          </w:p>
        </w:tc>
        <w:tc>
          <w:tcPr>
            <w:tcW w:w="1380" w:type="dxa"/>
            <w:tcBorders>
              <w:top w:val="single" w:sz="8" w:space="0" w:color="000000"/>
            </w:tcBorders>
          </w:tcPr>
          <w:p w14:paraId="3ED0D3F2" w14:textId="77777777" w:rsidR="00FA4AA8" w:rsidRDefault="00FA4AA8">
            <w:pPr>
              <w:pStyle w:val="TableParagraph"/>
              <w:rPr>
                <w:rFonts w:ascii="Times New Roman"/>
                <w:sz w:val="18"/>
              </w:rPr>
            </w:pPr>
          </w:p>
        </w:tc>
        <w:tc>
          <w:tcPr>
            <w:tcW w:w="1380" w:type="dxa"/>
            <w:tcBorders>
              <w:top w:val="single" w:sz="8" w:space="0" w:color="000000"/>
            </w:tcBorders>
          </w:tcPr>
          <w:p w14:paraId="6C5FB05F" w14:textId="77777777" w:rsidR="00FA4AA8" w:rsidRDefault="00FA4AA8">
            <w:pPr>
              <w:pStyle w:val="TableParagraph"/>
              <w:rPr>
                <w:rFonts w:ascii="Times New Roman"/>
                <w:sz w:val="18"/>
              </w:rPr>
            </w:pPr>
          </w:p>
        </w:tc>
        <w:tc>
          <w:tcPr>
            <w:tcW w:w="1104" w:type="dxa"/>
            <w:tcBorders>
              <w:top w:val="single" w:sz="8" w:space="0" w:color="000000"/>
            </w:tcBorders>
          </w:tcPr>
          <w:p w14:paraId="2DFE14F7" w14:textId="77777777" w:rsidR="00FA4AA8" w:rsidRDefault="00FA4AA8">
            <w:pPr>
              <w:pStyle w:val="TableParagraph"/>
              <w:rPr>
                <w:rFonts w:ascii="Times New Roman"/>
                <w:sz w:val="18"/>
              </w:rPr>
            </w:pPr>
          </w:p>
        </w:tc>
      </w:tr>
      <w:tr w:rsidR="00FA4AA8" w14:paraId="4123014E" w14:textId="77777777">
        <w:trPr>
          <w:trHeight w:val="220"/>
        </w:trPr>
        <w:tc>
          <w:tcPr>
            <w:tcW w:w="4012" w:type="dxa"/>
          </w:tcPr>
          <w:p w14:paraId="7BC663F5" w14:textId="77777777" w:rsidR="00FA4AA8" w:rsidRDefault="0015611F">
            <w:pPr>
              <w:pStyle w:val="TableParagraph"/>
              <w:spacing w:line="201" w:lineRule="exact"/>
              <w:ind w:left="50"/>
              <w:rPr>
                <w:b/>
                <w:sz w:val="18"/>
              </w:rPr>
            </w:pPr>
            <w:r>
              <w:rPr>
                <w:b/>
                <w:sz w:val="18"/>
              </w:rPr>
              <w:t>revaluation reserve</w:t>
            </w:r>
          </w:p>
        </w:tc>
        <w:tc>
          <w:tcPr>
            <w:tcW w:w="1656" w:type="dxa"/>
          </w:tcPr>
          <w:p w14:paraId="04F596AF" w14:textId="77777777" w:rsidR="00FA4AA8" w:rsidRDefault="00FA4AA8">
            <w:pPr>
              <w:pStyle w:val="TableParagraph"/>
              <w:rPr>
                <w:rFonts w:ascii="Times New Roman"/>
                <w:sz w:val="14"/>
              </w:rPr>
            </w:pPr>
          </w:p>
        </w:tc>
        <w:tc>
          <w:tcPr>
            <w:tcW w:w="1380" w:type="dxa"/>
          </w:tcPr>
          <w:p w14:paraId="5CA2619C" w14:textId="77777777" w:rsidR="00FA4AA8" w:rsidRDefault="00FA4AA8">
            <w:pPr>
              <w:pStyle w:val="TableParagraph"/>
              <w:rPr>
                <w:rFonts w:ascii="Times New Roman"/>
                <w:sz w:val="14"/>
              </w:rPr>
            </w:pPr>
          </w:p>
        </w:tc>
        <w:tc>
          <w:tcPr>
            <w:tcW w:w="1380" w:type="dxa"/>
          </w:tcPr>
          <w:p w14:paraId="5C8773B0" w14:textId="77777777" w:rsidR="00FA4AA8" w:rsidRDefault="00FA4AA8">
            <w:pPr>
              <w:pStyle w:val="TableParagraph"/>
              <w:rPr>
                <w:rFonts w:ascii="Times New Roman"/>
                <w:sz w:val="14"/>
              </w:rPr>
            </w:pPr>
          </w:p>
        </w:tc>
        <w:tc>
          <w:tcPr>
            <w:tcW w:w="1104" w:type="dxa"/>
          </w:tcPr>
          <w:p w14:paraId="536E14DB" w14:textId="77777777" w:rsidR="00FA4AA8" w:rsidRDefault="00FA4AA8">
            <w:pPr>
              <w:pStyle w:val="TableParagraph"/>
              <w:rPr>
                <w:rFonts w:ascii="Times New Roman"/>
                <w:sz w:val="14"/>
              </w:rPr>
            </w:pPr>
          </w:p>
        </w:tc>
      </w:tr>
      <w:tr w:rsidR="00FA4AA8" w14:paraId="7B1CAE1E" w14:textId="77777777">
        <w:trPr>
          <w:trHeight w:val="250"/>
        </w:trPr>
        <w:tc>
          <w:tcPr>
            <w:tcW w:w="4012" w:type="dxa"/>
          </w:tcPr>
          <w:p w14:paraId="76F5EED1" w14:textId="77777777" w:rsidR="00FA4AA8" w:rsidRDefault="0015611F">
            <w:pPr>
              <w:pStyle w:val="TableParagraph"/>
              <w:spacing w:before="13"/>
              <w:ind w:left="50"/>
              <w:rPr>
                <w:sz w:val="18"/>
              </w:rPr>
            </w:pPr>
            <w:r>
              <w:rPr>
                <w:sz w:val="18"/>
              </w:rPr>
              <w:t>Balance at 1 January</w:t>
            </w:r>
          </w:p>
        </w:tc>
        <w:tc>
          <w:tcPr>
            <w:tcW w:w="1656" w:type="dxa"/>
          </w:tcPr>
          <w:p w14:paraId="53D7ADD4" w14:textId="77777777" w:rsidR="00FA4AA8" w:rsidRDefault="0015611F">
            <w:pPr>
              <w:pStyle w:val="TableParagraph"/>
              <w:spacing w:before="11"/>
              <w:ind w:right="215"/>
              <w:jc w:val="right"/>
              <w:rPr>
                <w:b/>
                <w:sz w:val="18"/>
              </w:rPr>
            </w:pPr>
            <w:r>
              <w:rPr>
                <w:b/>
                <w:sz w:val="18"/>
              </w:rPr>
              <w:t>(2,093)</w:t>
            </w:r>
          </w:p>
        </w:tc>
        <w:tc>
          <w:tcPr>
            <w:tcW w:w="1380" w:type="dxa"/>
          </w:tcPr>
          <w:p w14:paraId="1434790E" w14:textId="77777777" w:rsidR="00FA4AA8" w:rsidRDefault="0015611F">
            <w:pPr>
              <w:pStyle w:val="TableParagraph"/>
              <w:spacing w:before="11"/>
              <w:ind w:right="299"/>
              <w:jc w:val="right"/>
              <w:rPr>
                <w:sz w:val="18"/>
              </w:rPr>
            </w:pPr>
            <w:r>
              <w:rPr>
                <w:sz w:val="18"/>
              </w:rPr>
              <w:t>(646)</w:t>
            </w:r>
          </w:p>
        </w:tc>
        <w:tc>
          <w:tcPr>
            <w:tcW w:w="1380" w:type="dxa"/>
          </w:tcPr>
          <w:p w14:paraId="3C14DC29" w14:textId="77777777" w:rsidR="00FA4AA8" w:rsidRDefault="0015611F">
            <w:pPr>
              <w:pStyle w:val="TableParagraph"/>
              <w:spacing w:before="11"/>
              <w:ind w:right="215"/>
              <w:jc w:val="right"/>
              <w:rPr>
                <w:b/>
                <w:sz w:val="18"/>
              </w:rPr>
            </w:pPr>
            <w:r>
              <w:rPr>
                <w:b/>
                <w:sz w:val="18"/>
              </w:rPr>
              <w:t>(2,093)</w:t>
            </w:r>
          </w:p>
        </w:tc>
        <w:tc>
          <w:tcPr>
            <w:tcW w:w="1104" w:type="dxa"/>
          </w:tcPr>
          <w:p w14:paraId="074EF514" w14:textId="77777777" w:rsidR="00FA4AA8" w:rsidRDefault="0015611F">
            <w:pPr>
              <w:pStyle w:val="TableParagraph"/>
              <w:spacing w:before="11"/>
              <w:ind w:right="23"/>
              <w:jc w:val="right"/>
              <w:rPr>
                <w:sz w:val="18"/>
              </w:rPr>
            </w:pPr>
            <w:r>
              <w:rPr>
                <w:sz w:val="18"/>
              </w:rPr>
              <w:t>(646)</w:t>
            </w:r>
          </w:p>
        </w:tc>
      </w:tr>
      <w:tr w:rsidR="00FA4AA8" w14:paraId="44ED8196" w14:textId="77777777">
        <w:trPr>
          <w:trHeight w:val="256"/>
        </w:trPr>
        <w:tc>
          <w:tcPr>
            <w:tcW w:w="4012" w:type="dxa"/>
          </w:tcPr>
          <w:p w14:paraId="1650BB66" w14:textId="77777777" w:rsidR="00FA4AA8" w:rsidRDefault="0015611F">
            <w:pPr>
              <w:pStyle w:val="TableParagraph"/>
              <w:spacing w:before="26"/>
              <w:ind w:left="50"/>
              <w:rPr>
                <w:sz w:val="18"/>
              </w:rPr>
            </w:pPr>
            <w:r>
              <w:rPr>
                <w:sz w:val="18"/>
              </w:rPr>
              <w:t>Revaluation - gross</w:t>
            </w:r>
          </w:p>
        </w:tc>
        <w:tc>
          <w:tcPr>
            <w:tcW w:w="1656" w:type="dxa"/>
            <w:tcBorders>
              <w:bottom w:val="single" w:sz="8" w:space="0" w:color="000000"/>
            </w:tcBorders>
          </w:tcPr>
          <w:p w14:paraId="3231ED54" w14:textId="77777777" w:rsidR="00FA4AA8" w:rsidRDefault="0015611F">
            <w:pPr>
              <w:pStyle w:val="TableParagraph"/>
              <w:spacing w:before="24"/>
              <w:ind w:right="215"/>
              <w:jc w:val="right"/>
              <w:rPr>
                <w:b/>
                <w:sz w:val="18"/>
              </w:rPr>
            </w:pPr>
            <w:r>
              <w:rPr>
                <w:b/>
                <w:sz w:val="18"/>
              </w:rPr>
              <w:t>(335)</w:t>
            </w:r>
          </w:p>
        </w:tc>
        <w:tc>
          <w:tcPr>
            <w:tcW w:w="1380" w:type="dxa"/>
            <w:tcBorders>
              <w:bottom w:val="single" w:sz="8" w:space="0" w:color="000000"/>
            </w:tcBorders>
          </w:tcPr>
          <w:p w14:paraId="406A8EF9" w14:textId="77777777" w:rsidR="00FA4AA8" w:rsidRDefault="0015611F">
            <w:pPr>
              <w:pStyle w:val="TableParagraph"/>
              <w:spacing w:before="24"/>
              <w:ind w:right="299"/>
              <w:jc w:val="right"/>
              <w:rPr>
                <w:sz w:val="18"/>
              </w:rPr>
            </w:pPr>
            <w:r>
              <w:rPr>
                <w:sz w:val="18"/>
              </w:rPr>
              <w:t>(1,447)</w:t>
            </w:r>
          </w:p>
        </w:tc>
        <w:tc>
          <w:tcPr>
            <w:tcW w:w="1380" w:type="dxa"/>
            <w:tcBorders>
              <w:bottom w:val="single" w:sz="8" w:space="0" w:color="000000"/>
            </w:tcBorders>
          </w:tcPr>
          <w:p w14:paraId="52FBD008" w14:textId="77777777" w:rsidR="00FA4AA8" w:rsidRDefault="0015611F">
            <w:pPr>
              <w:pStyle w:val="TableParagraph"/>
              <w:spacing w:before="24"/>
              <w:ind w:right="215"/>
              <w:jc w:val="right"/>
              <w:rPr>
                <w:b/>
                <w:sz w:val="18"/>
              </w:rPr>
            </w:pPr>
            <w:r>
              <w:rPr>
                <w:b/>
                <w:sz w:val="18"/>
              </w:rPr>
              <w:t>(335)</w:t>
            </w:r>
          </w:p>
        </w:tc>
        <w:tc>
          <w:tcPr>
            <w:tcW w:w="1104" w:type="dxa"/>
            <w:tcBorders>
              <w:bottom w:val="single" w:sz="8" w:space="0" w:color="000000"/>
            </w:tcBorders>
          </w:tcPr>
          <w:p w14:paraId="21689A20" w14:textId="77777777" w:rsidR="00FA4AA8" w:rsidRDefault="0015611F">
            <w:pPr>
              <w:pStyle w:val="TableParagraph"/>
              <w:spacing w:before="24"/>
              <w:ind w:right="23"/>
              <w:jc w:val="right"/>
              <w:rPr>
                <w:sz w:val="18"/>
              </w:rPr>
            </w:pPr>
            <w:r>
              <w:rPr>
                <w:sz w:val="18"/>
              </w:rPr>
              <w:t>(1,447)</w:t>
            </w:r>
          </w:p>
        </w:tc>
      </w:tr>
      <w:tr w:rsidR="00FA4AA8" w14:paraId="134235A4" w14:textId="77777777">
        <w:trPr>
          <w:trHeight w:val="318"/>
        </w:trPr>
        <w:tc>
          <w:tcPr>
            <w:tcW w:w="4012" w:type="dxa"/>
          </w:tcPr>
          <w:p w14:paraId="669127AA" w14:textId="77777777" w:rsidR="00FA4AA8" w:rsidRDefault="0015611F">
            <w:pPr>
              <w:pStyle w:val="TableParagraph"/>
              <w:spacing w:before="115" w:line="183" w:lineRule="exact"/>
              <w:ind w:left="50"/>
              <w:rPr>
                <w:b/>
                <w:sz w:val="18"/>
              </w:rPr>
            </w:pPr>
            <w:r>
              <w:rPr>
                <w:b/>
                <w:sz w:val="18"/>
              </w:rPr>
              <w:t>Balance at 31 December</w:t>
            </w:r>
          </w:p>
        </w:tc>
        <w:tc>
          <w:tcPr>
            <w:tcW w:w="1656" w:type="dxa"/>
            <w:tcBorders>
              <w:top w:val="single" w:sz="8" w:space="0" w:color="000000"/>
              <w:bottom w:val="single" w:sz="8" w:space="0" w:color="000000"/>
            </w:tcBorders>
          </w:tcPr>
          <w:p w14:paraId="69AB8C3B" w14:textId="77777777" w:rsidR="00FA4AA8" w:rsidRDefault="0015611F">
            <w:pPr>
              <w:pStyle w:val="TableParagraph"/>
              <w:spacing w:before="115" w:line="183" w:lineRule="exact"/>
              <w:ind w:right="215"/>
              <w:jc w:val="right"/>
              <w:rPr>
                <w:b/>
                <w:sz w:val="18"/>
              </w:rPr>
            </w:pPr>
            <w:r>
              <w:rPr>
                <w:b/>
                <w:sz w:val="18"/>
              </w:rPr>
              <w:t>(2,428)</w:t>
            </w:r>
          </w:p>
        </w:tc>
        <w:tc>
          <w:tcPr>
            <w:tcW w:w="1380" w:type="dxa"/>
            <w:tcBorders>
              <w:top w:val="single" w:sz="8" w:space="0" w:color="000000"/>
              <w:bottom w:val="single" w:sz="8" w:space="0" w:color="000000"/>
            </w:tcBorders>
          </w:tcPr>
          <w:p w14:paraId="752FADB7" w14:textId="77777777" w:rsidR="00FA4AA8" w:rsidRDefault="0015611F">
            <w:pPr>
              <w:pStyle w:val="TableParagraph"/>
              <w:spacing w:before="115" w:line="183" w:lineRule="exact"/>
              <w:ind w:right="299"/>
              <w:jc w:val="right"/>
              <w:rPr>
                <w:sz w:val="18"/>
              </w:rPr>
            </w:pPr>
            <w:r>
              <w:rPr>
                <w:sz w:val="18"/>
              </w:rPr>
              <w:t>(2,093)</w:t>
            </w:r>
          </w:p>
        </w:tc>
        <w:tc>
          <w:tcPr>
            <w:tcW w:w="1380" w:type="dxa"/>
            <w:tcBorders>
              <w:top w:val="single" w:sz="8" w:space="0" w:color="000000"/>
              <w:bottom w:val="single" w:sz="8" w:space="0" w:color="000000"/>
            </w:tcBorders>
          </w:tcPr>
          <w:p w14:paraId="4128301B" w14:textId="77777777" w:rsidR="00FA4AA8" w:rsidRDefault="0015611F">
            <w:pPr>
              <w:pStyle w:val="TableParagraph"/>
              <w:spacing w:before="115" w:line="183" w:lineRule="exact"/>
              <w:ind w:right="215"/>
              <w:jc w:val="right"/>
              <w:rPr>
                <w:b/>
                <w:sz w:val="18"/>
              </w:rPr>
            </w:pPr>
            <w:r>
              <w:rPr>
                <w:b/>
                <w:sz w:val="18"/>
              </w:rPr>
              <w:t>(2,428)</w:t>
            </w:r>
          </w:p>
        </w:tc>
        <w:tc>
          <w:tcPr>
            <w:tcW w:w="1104" w:type="dxa"/>
            <w:tcBorders>
              <w:top w:val="single" w:sz="8" w:space="0" w:color="000000"/>
              <w:bottom w:val="single" w:sz="8" w:space="0" w:color="000000"/>
            </w:tcBorders>
          </w:tcPr>
          <w:p w14:paraId="3DCA4191" w14:textId="77777777" w:rsidR="00FA4AA8" w:rsidRDefault="0015611F">
            <w:pPr>
              <w:pStyle w:val="TableParagraph"/>
              <w:spacing w:before="115" w:line="183" w:lineRule="exact"/>
              <w:ind w:right="23"/>
              <w:jc w:val="right"/>
              <w:rPr>
                <w:sz w:val="18"/>
              </w:rPr>
            </w:pPr>
            <w:r>
              <w:rPr>
                <w:sz w:val="18"/>
              </w:rPr>
              <w:t>(2,093)</w:t>
            </w:r>
          </w:p>
        </w:tc>
      </w:tr>
      <w:tr w:rsidR="00FA4AA8" w14:paraId="308E66A2" w14:textId="77777777">
        <w:trPr>
          <w:trHeight w:val="339"/>
        </w:trPr>
        <w:tc>
          <w:tcPr>
            <w:tcW w:w="4012" w:type="dxa"/>
          </w:tcPr>
          <w:p w14:paraId="6E107F82" w14:textId="77777777" w:rsidR="00FA4AA8" w:rsidRDefault="0015611F">
            <w:pPr>
              <w:pStyle w:val="TableParagraph"/>
              <w:spacing w:before="115" w:line="204" w:lineRule="exact"/>
              <w:ind w:left="50"/>
              <w:rPr>
                <w:b/>
                <w:sz w:val="18"/>
              </w:rPr>
            </w:pPr>
            <w:r>
              <w:rPr>
                <w:b/>
                <w:sz w:val="18"/>
              </w:rPr>
              <w:t>Investment revaluation reserve</w:t>
            </w:r>
          </w:p>
        </w:tc>
        <w:tc>
          <w:tcPr>
            <w:tcW w:w="1656" w:type="dxa"/>
            <w:tcBorders>
              <w:top w:val="single" w:sz="8" w:space="0" w:color="000000"/>
            </w:tcBorders>
          </w:tcPr>
          <w:p w14:paraId="09F8A181" w14:textId="77777777" w:rsidR="00FA4AA8" w:rsidRDefault="00FA4AA8">
            <w:pPr>
              <w:pStyle w:val="TableParagraph"/>
              <w:rPr>
                <w:rFonts w:ascii="Times New Roman"/>
                <w:sz w:val="18"/>
              </w:rPr>
            </w:pPr>
          </w:p>
        </w:tc>
        <w:tc>
          <w:tcPr>
            <w:tcW w:w="1380" w:type="dxa"/>
            <w:tcBorders>
              <w:top w:val="single" w:sz="8" w:space="0" w:color="000000"/>
            </w:tcBorders>
          </w:tcPr>
          <w:p w14:paraId="22588E55" w14:textId="77777777" w:rsidR="00FA4AA8" w:rsidRDefault="00FA4AA8">
            <w:pPr>
              <w:pStyle w:val="TableParagraph"/>
              <w:rPr>
                <w:rFonts w:ascii="Times New Roman"/>
                <w:sz w:val="18"/>
              </w:rPr>
            </w:pPr>
          </w:p>
        </w:tc>
        <w:tc>
          <w:tcPr>
            <w:tcW w:w="1380" w:type="dxa"/>
            <w:tcBorders>
              <w:top w:val="single" w:sz="8" w:space="0" w:color="000000"/>
            </w:tcBorders>
          </w:tcPr>
          <w:p w14:paraId="3A591CC2" w14:textId="77777777" w:rsidR="00FA4AA8" w:rsidRDefault="00FA4AA8">
            <w:pPr>
              <w:pStyle w:val="TableParagraph"/>
              <w:rPr>
                <w:rFonts w:ascii="Times New Roman"/>
                <w:sz w:val="18"/>
              </w:rPr>
            </w:pPr>
          </w:p>
        </w:tc>
        <w:tc>
          <w:tcPr>
            <w:tcW w:w="1104" w:type="dxa"/>
            <w:tcBorders>
              <w:top w:val="single" w:sz="8" w:space="0" w:color="000000"/>
            </w:tcBorders>
          </w:tcPr>
          <w:p w14:paraId="07B11C11" w14:textId="77777777" w:rsidR="00FA4AA8" w:rsidRDefault="00FA4AA8">
            <w:pPr>
              <w:pStyle w:val="TableParagraph"/>
              <w:rPr>
                <w:rFonts w:ascii="Times New Roman"/>
                <w:sz w:val="18"/>
              </w:rPr>
            </w:pPr>
          </w:p>
        </w:tc>
      </w:tr>
      <w:tr w:rsidR="00FA4AA8" w14:paraId="6C87F134" w14:textId="77777777">
        <w:trPr>
          <w:trHeight w:val="250"/>
        </w:trPr>
        <w:tc>
          <w:tcPr>
            <w:tcW w:w="4012" w:type="dxa"/>
          </w:tcPr>
          <w:p w14:paraId="62042001" w14:textId="77777777" w:rsidR="00FA4AA8" w:rsidRDefault="0015611F">
            <w:pPr>
              <w:pStyle w:val="TableParagraph"/>
              <w:spacing w:before="13"/>
              <w:ind w:left="50"/>
              <w:rPr>
                <w:sz w:val="18"/>
              </w:rPr>
            </w:pPr>
            <w:r>
              <w:rPr>
                <w:sz w:val="18"/>
              </w:rPr>
              <w:t>Balance at 1 January</w:t>
            </w:r>
          </w:p>
        </w:tc>
        <w:tc>
          <w:tcPr>
            <w:tcW w:w="1656" w:type="dxa"/>
          </w:tcPr>
          <w:p w14:paraId="534CA752" w14:textId="77777777" w:rsidR="00FA4AA8" w:rsidRDefault="0015611F">
            <w:pPr>
              <w:pStyle w:val="TableParagraph"/>
              <w:spacing w:before="11"/>
              <w:ind w:right="276"/>
              <w:jc w:val="right"/>
              <w:rPr>
                <w:b/>
                <w:sz w:val="18"/>
              </w:rPr>
            </w:pPr>
            <w:r>
              <w:rPr>
                <w:b/>
                <w:sz w:val="18"/>
              </w:rPr>
              <w:t>19,500</w:t>
            </w:r>
          </w:p>
        </w:tc>
        <w:tc>
          <w:tcPr>
            <w:tcW w:w="1380" w:type="dxa"/>
          </w:tcPr>
          <w:p w14:paraId="3EBBD047" w14:textId="77777777" w:rsidR="00FA4AA8" w:rsidRDefault="0015611F">
            <w:pPr>
              <w:pStyle w:val="TableParagraph"/>
              <w:spacing w:before="11"/>
              <w:ind w:left="463"/>
              <w:rPr>
                <w:sz w:val="18"/>
              </w:rPr>
            </w:pPr>
            <w:r>
              <w:rPr>
                <w:sz w:val="18"/>
              </w:rPr>
              <w:t>16,767</w:t>
            </w:r>
          </w:p>
        </w:tc>
        <w:tc>
          <w:tcPr>
            <w:tcW w:w="1380" w:type="dxa"/>
          </w:tcPr>
          <w:p w14:paraId="46320551" w14:textId="77777777" w:rsidR="00FA4AA8" w:rsidRDefault="0015611F">
            <w:pPr>
              <w:pStyle w:val="TableParagraph"/>
              <w:spacing w:before="11"/>
              <w:ind w:right="276"/>
              <w:jc w:val="right"/>
              <w:rPr>
                <w:b/>
                <w:sz w:val="18"/>
              </w:rPr>
            </w:pPr>
            <w:r>
              <w:rPr>
                <w:b/>
                <w:sz w:val="18"/>
              </w:rPr>
              <w:t>15,447</w:t>
            </w:r>
          </w:p>
        </w:tc>
        <w:tc>
          <w:tcPr>
            <w:tcW w:w="1104" w:type="dxa"/>
          </w:tcPr>
          <w:p w14:paraId="0802BFE2" w14:textId="77777777" w:rsidR="00FA4AA8" w:rsidRDefault="0015611F">
            <w:pPr>
              <w:pStyle w:val="TableParagraph"/>
              <w:spacing w:before="11"/>
              <w:ind w:right="84"/>
              <w:jc w:val="right"/>
              <w:rPr>
                <w:sz w:val="18"/>
              </w:rPr>
            </w:pPr>
            <w:r>
              <w:rPr>
                <w:sz w:val="18"/>
              </w:rPr>
              <w:t>12,714</w:t>
            </w:r>
          </w:p>
        </w:tc>
      </w:tr>
      <w:tr w:rsidR="00FA4AA8" w14:paraId="20B13B45" w14:textId="77777777">
        <w:trPr>
          <w:trHeight w:val="262"/>
        </w:trPr>
        <w:tc>
          <w:tcPr>
            <w:tcW w:w="4012" w:type="dxa"/>
          </w:tcPr>
          <w:p w14:paraId="363D4942" w14:textId="77777777" w:rsidR="00FA4AA8" w:rsidRDefault="0015611F">
            <w:pPr>
              <w:pStyle w:val="TableParagraph"/>
              <w:spacing w:before="26"/>
              <w:ind w:left="50"/>
              <w:rPr>
                <w:sz w:val="18"/>
              </w:rPr>
            </w:pPr>
            <w:r>
              <w:rPr>
                <w:sz w:val="18"/>
              </w:rPr>
              <w:t>Revaluation - gross</w:t>
            </w:r>
          </w:p>
        </w:tc>
        <w:tc>
          <w:tcPr>
            <w:tcW w:w="1656" w:type="dxa"/>
          </w:tcPr>
          <w:p w14:paraId="68303C12" w14:textId="77777777" w:rsidR="00FA4AA8" w:rsidRDefault="0015611F">
            <w:pPr>
              <w:pStyle w:val="TableParagraph"/>
              <w:spacing w:before="24"/>
              <w:ind w:right="276"/>
              <w:jc w:val="right"/>
              <w:rPr>
                <w:b/>
                <w:sz w:val="18"/>
              </w:rPr>
            </w:pPr>
            <w:r>
              <w:rPr>
                <w:b/>
                <w:sz w:val="18"/>
              </w:rPr>
              <w:t>7,111</w:t>
            </w:r>
          </w:p>
        </w:tc>
        <w:tc>
          <w:tcPr>
            <w:tcW w:w="1380" w:type="dxa"/>
          </w:tcPr>
          <w:p w14:paraId="1D7D693D" w14:textId="77777777" w:rsidR="00FA4AA8" w:rsidRDefault="0015611F">
            <w:pPr>
              <w:pStyle w:val="TableParagraph"/>
              <w:spacing w:before="24"/>
              <w:ind w:left="564"/>
              <w:rPr>
                <w:sz w:val="18"/>
              </w:rPr>
            </w:pPr>
            <w:r>
              <w:rPr>
                <w:sz w:val="18"/>
              </w:rPr>
              <w:t>2,733</w:t>
            </w:r>
          </w:p>
        </w:tc>
        <w:tc>
          <w:tcPr>
            <w:tcW w:w="1380" w:type="dxa"/>
          </w:tcPr>
          <w:p w14:paraId="6F3B15CF" w14:textId="77777777" w:rsidR="00FA4AA8" w:rsidRDefault="0015611F">
            <w:pPr>
              <w:pStyle w:val="TableParagraph"/>
              <w:spacing w:before="24"/>
              <w:ind w:right="276"/>
              <w:jc w:val="right"/>
              <w:rPr>
                <w:b/>
                <w:sz w:val="18"/>
              </w:rPr>
            </w:pPr>
            <w:r>
              <w:rPr>
                <w:b/>
                <w:sz w:val="18"/>
              </w:rPr>
              <w:t>7,111</w:t>
            </w:r>
          </w:p>
        </w:tc>
        <w:tc>
          <w:tcPr>
            <w:tcW w:w="1104" w:type="dxa"/>
          </w:tcPr>
          <w:p w14:paraId="48C09F6F" w14:textId="77777777" w:rsidR="00FA4AA8" w:rsidRDefault="0015611F">
            <w:pPr>
              <w:pStyle w:val="TableParagraph"/>
              <w:spacing w:before="24"/>
              <w:ind w:right="84"/>
              <w:jc w:val="right"/>
              <w:rPr>
                <w:sz w:val="18"/>
              </w:rPr>
            </w:pPr>
            <w:r>
              <w:rPr>
                <w:sz w:val="18"/>
              </w:rPr>
              <w:t>2,733</w:t>
            </w:r>
          </w:p>
        </w:tc>
      </w:tr>
      <w:tr w:rsidR="00FA4AA8" w14:paraId="14CCFCBF" w14:textId="77777777">
        <w:trPr>
          <w:trHeight w:val="459"/>
        </w:trPr>
        <w:tc>
          <w:tcPr>
            <w:tcW w:w="4012" w:type="dxa"/>
          </w:tcPr>
          <w:p w14:paraId="4A3B86A8" w14:textId="77777777" w:rsidR="00FA4AA8" w:rsidRDefault="0015611F">
            <w:pPr>
              <w:pStyle w:val="TableParagraph"/>
              <w:spacing w:before="23"/>
              <w:ind w:left="50" w:right="710"/>
              <w:rPr>
                <w:sz w:val="18"/>
              </w:rPr>
            </w:pPr>
            <w:r>
              <w:rPr>
                <w:sz w:val="18"/>
              </w:rPr>
              <w:t>Adjustments on adoption of new accounting policy</w:t>
            </w:r>
          </w:p>
        </w:tc>
        <w:tc>
          <w:tcPr>
            <w:tcW w:w="1656" w:type="dxa"/>
            <w:tcBorders>
              <w:bottom w:val="single" w:sz="8" w:space="0" w:color="000000"/>
            </w:tcBorders>
          </w:tcPr>
          <w:p w14:paraId="68A9A489" w14:textId="77777777" w:rsidR="00FA4AA8" w:rsidRDefault="00FA4AA8">
            <w:pPr>
              <w:pStyle w:val="TableParagraph"/>
              <w:spacing w:before="8"/>
              <w:rPr>
                <w:b/>
                <w:sz w:val="19"/>
              </w:rPr>
            </w:pPr>
          </w:p>
          <w:p w14:paraId="4F19FCE0" w14:textId="77777777" w:rsidR="00FA4AA8" w:rsidRDefault="0015611F">
            <w:pPr>
              <w:pStyle w:val="TableParagraph"/>
              <w:ind w:right="276"/>
              <w:jc w:val="right"/>
              <w:rPr>
                <w:b/>
                <w:sz w:val="18"/>
              </w:rPr>
            </w:pPr>
            <w:r>
              <w:rPr>
                <w:b/>
                <w:sz w:val="18"/>
              </w:rPr>
              <w:t>2,350</w:t>
            </w:r>
          </w:p>
        </w:tc>
        <w:tc>
          <w:tcPr>
            <w:tcW w:w="1380" w:type="dxa"/>
            <w:tcBorders>
              <w:bottom w:val="single" w:sz="8" w:space="0" w:color="000000"/>
            </w:tcBorders>
          </w:tcPr>
          <w:p w14:paraId="330706CD" w14:textId="77777777" w:rsidR="00FA4AA8" w:rsidRDefault="00FA4AA8">
            <w:pPr>
              <w:pStyle w:val="TableParagraph"/>
              <w:spacing w:before="8"/>
              <w:rPr>
                <w:b/>
                <w:sz w:val="19"/>
              </w:rPr>
            </w:pPr>
          </w:p>
          <w:p w14:paraId="2F9CAFC1" w14:textId="77777777" w:rsidR="00FA4AA8" w:rsidRDefault="0015611F">
            <w:pPr>
              <w:pStyle w:val="TableParagraph"/>
              <w:ind w:right="360"/>
              <w:jc w:val="right"/>
              <w:rPr>
                <w:sz w:val="18"/>
              </w:rPr>
            </w:pPr>
            <w:r>
              <w:rPr>
                <w:sz w:val="18"/>
              </w:rPr>
              <w:t>-</w:t>
            </w:r>
          </w:p>
        </w:tc>
        <w:tc>
          <w:tcPr>
            <w:tcW w:w="1380" w:type="dxa"/>
            <w:tcBorders>
              <w:bottom w:val="single" w:sz="8" w:space="0" w:color="000000"/>
            </w:tcBorders>
          </w:tcPr>
          <w:p w14:paraId="290F4B51" w14:textId="77777777" w:rsidR="00FA4AA8" w:rsidRDefault="00FA4AA8">
            <w:pPr>
              <w:pStyle w:val="TableParagraph"/>
              <w:spacing w:before="8"/>
              <w:rPr>
                <w:b/>
                <w:sz w:val="19"/>
              </w:rPr>
            </w:pPr>
          </w:p>
          <w:p w14:paraId="4AC931D9" w14:textId="77777777" w:rsidR="00FA4AA8" w:rsidRDefault="0015611F">
            <w:pPr>
              <w:pStyle w:val="TableParagraph"/>
              <w:ind w:right="276"/>
              <w:jc w:val="right"/>
              <w:rPr>
                <w:b/>
                <w:sz w:val="18"/>
              </w:rPr>
            </w:pPr>
            <w:r>
              <w:rPr>
                <w:b/>
                <w:sz w:val="18"/>
              </w:rPr>
              <w:t>6,403</w:t>
            </w:r>
          </w:p>
        </w:tc>
        <w:tc>
          <w:tcPr>
            <w:tcW w:w="1104" w:type="dxa"/>
            <w:tcBorders>
              <w:bottom w:val="single" w:sz="8" w:space="0" w:color="000000"/>
            </w:tcBorders>
          </w:tcPr>
          <w:p w14:paraId="238A405A" w14:textId="77777777" w:rsidR="00FA4AA8" w:rsidRDefault="00FA4AA8">
            <w:pPr>
              <w:pStyle w:val="TableParagraph"/>
              <w:spacing w:before="8"/>
              <w:rPr>
                <w:b/>
                <w:sz w:val="19"/>
              </w:rPr>
            </w:pPr>
          </w:p>
          <w:p w14:paraId="09D39377" w14:textId="77777777" w:rsidR="00FA4AA8" w:rsidRDefault="0015611F">
            <w:pPr>
              <w:pStyle w:val="TableParagraph"/>
              <w:ind w:right="84"/>
              <w:jc w:val="right"/>
              <w:rPr>
                <w:sz w:val="18"/>
              </w:rPr>
            </w:pPr>
            <w:r>
              <w:rPr>
                <w:sz w:val="18"/>
              </w:rPr>
              <w:t>-</w:t>
            </w:r>
          </w:p>
        </w:tc>
      </w:tr>
      <w:tr w:rsidR="00FA4AA8" w14:paraId="23BD1BCD" w14:textId="77777777">
        <w:trPr>
          <w:trHeight w:val="318"/>
        </w:trPr>
        <w:tc>
          <w:tcPr>
            <w:tcW w:w="4012" w:type="dxa"/>
          </w:tcPr>
          <w:p w14:paraId="1708EDED" w14:textId="77777777" w:rsidR="00FA4AA8" w:rsidRDefault="0015611F">
            <w:pPr>
              <w:pStyle w:val="TableParagraph"/>
              <w:spacing w:before="115" w:line="183" w:lineRule="exact"/>
              <w:ind w:left="50"/>
              <w:rPr>
                <w:b/>
                <w:sz w:val="18"/>
              </w:rPr>
            </w:pPr>
            <w:r>
              <w:rPr>
                <w:b/>
                <w:sz w:val="18"/>
              </w:rPr>
              <w:t>Balance at 31 December</w:t>
            </w:r>
          </w:p>
        </w:tc>
        <w:tc>
          <w:tcPr>
            <w:tcW w:w="1656" w:type="dxa"/>
            <w:tcBorders>
              <w:top w:val="single" w:sz="8" w:space="0" w:color="000000"/>
              <w:bottom w:val="single" w:sz="8" w:space="0" w:color="000000"/>
            </w:tcBorders>
          </w:tcPr>
          <w:p w14:paraId="4C9C5BF6" w14:textId="77777777" w:rsidR="00FA4AA8" w:rsidRDefault="0015611F">
            <w:pPr>
              <w:pStyle w:val="TableParagraph"/>
              <w:spacing w:before="115" w:line="183" w:lineRule="exact"/>
              <w:ind w:right="276"/>
              <w:jc w:val="right"/>
              <w:rPr>
                <w:b/>
                <w:sz w:val="18"/>
              </w:rPr>
            </w:pPr>
            <w:r>
              <w:rPr>
                <w:b/>
                <w:sz w:val="18"/>
              </w:rPr>
              <w:t>28,961</w:t>
            </w:r>
          </w:p>
        </w:tc>
        <w:tc>
          <w:tcPr>
            <w:tcW w:w="1380" w:type="dxa"/>
            <w:tcBorders>
              <w:top w:val="single" w:sz="8" w:space="0" w:color="000000"/>
              <w:bottom w:val="single" w:sz="8" w:space="0" w:color="000000"/>
            </w:tcBorders>
          </w:tcPr>
          <w:p w14:paraId="2580D56B" w14:textId="77777777" w:rsidR="00FA4AA8" w:rsidRDefault="0015611F">
            <w:pPr>
              <w:pStyle w:val="TableParagraph"/>
              <w:spacing w:before="115" w:line="183" w:lineRule="exact"/>
              <w:ind w:left="463"/>
              <w:rPr>
                <w:sz w:val="18"/>
              </w:rPr>
            </w:pPr>
            <w:r>
              <w:rPr>
                <w:sz w:val="18"/>
              </w:rPr>
              <w:t>19,500</w:t>
            </w:r>
          </w:p>
        </w:tc>
        <w:tc>
          <w:tcPr>
            <w:tcW w:w="1380" w:type="dxa"/>
            <w:tcBorders>
              <w:top w:val="single" w:sz="8" w:space="0" w:color="000000"/>
              <w:bottom w:val="single" w:sz="8" w:space="0" w:color="000000"/>
            </w:tcBorders>
          </w:tcPr>
          <w:p w14:paraId="5A8836AC" w14:textId="77777777" w:rsidR="00FA4AA8" w:rsidRDefault="0015611F">
            <w:pPr>
              <w:pStyle w:val="TableParagraph"/>
              <w:spacing w:before="115" w:line="183" w:lineRule="exact"/>
              <w:ind w:right="276"/>
              <w:jc w:val="right"/>
              <w:rPr>
                <w:b/>
                <w:sz w:val="18"/>
              </w:rPr>
            </w:pPr>
            <w:r>
              <w:rPr>
                <w:b/>
                <w:sz w:val="18"/>
              </w:rPr>
              <w:t>28,961</w:t>
            </w:r>
          </w:p>
        </w:tc>
        <w:tc>
          <w:tcPr>
            <w:tcW w:w="1104" w:type="dxa"/>
            <w:tcBorders>
              <w:top w:val="single" w:sz="8" w:space="0" w:color="000000"/>
              <w:bottom w:val="single" w:sz="8" w:space="0" w:color="000000"/>
            </w:tcBorders>
          </w:tcPr>
          <w:p w14:paraId="36A6454B" w14:textId="77777777" w:rsidR="00FA4AA8" w:rsidRDefault="0015611F">
            <w:pPr>
              <w:pStyle w:val="TableParagraph"/>
              <w:spacing w:before="115" w:line="183" w:lineRule="exact"/>
              <w:ind w:right="84"/>
              <w:jc w:val="right"/>
              <w:rPr>
                <w:sz w:val="18"/>
              </w:rPr>
            </w:pPr>
            <w:r>
              <w:rPr>
                <w:sz w:val="18"/>
              </w:rPr>
              <w:t>15,447</w:t>
            </w:r>
          </w:p>
        </w:tc>
      </w:tr>
      <w:tr w:rsidR="00FA4AA8" w14:paraId="5C00B910" w14:textId="77777777">
        <w:trPr>
          <w:trHeight w:val="339"/>
        </w:trPr>
        <w:tc>
          <w:tcPr>
            <w:tcW w:w="4012" w:type="dxa"/>
          </w:tcPr>
          <w:p w14:paraId="28E03AE0" w14:textId="77777777" w:rsidR="00FA4AA8" w:rsidRDefault="0015611F">
            <w:pPr>
              <w:pStyle w:val="TableParagraph"/>
              <w:spacing w:before="115" w:line="204" w:lineRule="exact"/>
              <w:ind w:left="50"/>
              <w:rPr>
                <w:b/>
                <w:sz w:val="18"/>
              </w:rPr>
            </w:pPr>
            <w:r>
              <w:rPr>
                <w:b/>
                <w:sz w:val="18"/>
              </w:rPr>
              <w:t>Art collection revaluation reserve</w:t>
            </w:r>
          </w:p>
        </w:tc>
        <w:tc>
          <w:tcPr>
            <w:tcW w:w="1656" w:type="dxa"/>
            <w:tcBorders>
              <w:top w:val="single" w:sz="8" w:space="0" w:color="000000"/>
            </w:tcBorders>
          </w:tcPr>
          <w:p w14:paraId="3D3F6E14" w14:textId="77777777" w:rsidR="00FA4AA8" w:rsidRDefault="00FA4AA8">
            <w:pPr>
              <w:pStyle w:val="TableParagraph"/>
              <w:rPr>
                <w:rFonts w:ascii="Times New Roman"/>
                <w:sz w:val="18"/>
              </w:rPr>
            </w:pPr>
          </w:p>
        </w:tc>
        <w:tc>
          <w:tcPr>
            <w:tcW w:w="1380" w:type="dxa"/>
            <w:tcBorders>
              <w:top w:val="single" w:sz="8" w:space="0" w:color="000000"/>
            </w:tcBorders>
          </w:tcPr>
          <w:p w14:paraId="456ED2C7" w14:textId="77777777" w:rsidR="00FA4AA8" w:rsidRDefault="00FA4AA8">
            <w:pPr>
              <w:pStyle w:val="TableParagraph"/>
              <w:rPr>
                <w:rFonts w:ascii="Times New Roman"/>
                <w:sz w:val="18"/>
              </w:rPr>
            </w:pPr>
          </w:p>
        </w:tc>
        <w:tc>
          <w:tcPr>
            <w:tcW w:w="1380" w:type="dxa"/>
            <w:tcBorders>
              <w:top w:val="single" w:sz="8" w:space="0" w:color="000000"/>
            </w:tcBorders>
          </w:tcPr>
          <w:p w14:paraId="4798EA25" w14:textId="77777777" w:rsidR="00FA4AA8" w:rsidRDefault="00FA4AA8">
            <w:pPr>
              <w:pStyle w:val="TableParagraph"/>
              <w:rPr>
                <w:rFonts w:ascii="Times New Roman"/>
                <w:sz w:val="18"/>
              </w:rPr>
            </w:pPr>
          </w:p>
        </w:tc>
        <w:tc>
          <w:tcPr>
            <w:tcW w:w="1104" w:type="dxa"/>
            <w:tcBorders>
              <w:top w:val="single" w:sz="8" w:space="0" w:color="000000"/>
            </w:tcBorders>
          </w:tcPr>
          <w:p w14:paraId="505B5CB7" w14:textId="77777777" w:rsidR="00FA4AA8" w:rsidRDefault="00FA4AA8">
            <w:pPr>
              <w:pStyle w:val="TableParagraph"/>
              <w:rPr>
                <w:rFonts w:ascii="Times New Roman"/>
                <w:sz w:val="18"/>
              </w:rPr>
            </w:pPr>
          </w:p>
        </w:tc>
      </w:tr>
      <w:tr w:rsidR="00FA4AA8" w14:paraId="57397416" w14:textId="77777777">
        <w:trPr>
          <w:trHeight w:val="250"/>
        </w:trPr>
        <w:tc>
          <w:tcPr>
            <w:tcW w:w="4012" w:type="dxa"/>
          </w:tcPr>
          <w:p w14:paraId="22C879D3" w14:textId="77777777" w:rsidR="00FA4AA8" w:rsidRDefault="0015611F">
            <w:pPr>
              <w:pStyle w:val="TableParagraph"/>
              <w:spacing w:before="13"/>
              <w:ind w:left="50"/>
              <w:rPr>
                <w:sz w:val="18"/>
              </w:rPr>
            </w:pPr>
            <w:r>
              <w:rPr>
                <w:sz w:val="18"/>
              </w:rPr>
              <w:t>Balance at 1 January</w:t>
            </w:r>
          </w:p>
        </w:tc>
        <w:tc>
          <w:tcPr>
            <w:tcW w:w="1656" w:type="dxa"/>
          </w:tcPr>
          <w:p w14:paraId="7FF6536A" w14:textId="77777777" w:rsidR="00FA4AA8" w:rsidRDefault="0015611F">
            <w:pPr>
              <w:pStyle w:val="TableParagraph"/>
              <w:spacing w:before="11"/>
              <w:ind w:right="276"/>
              <w:jc w:val="right"/>
              <w:rPr>
                <w:b/>
                <w:sz w:val="18"/>
              </w:rPr>
            </w:pPr>
            <w:r>
              <w:rPr>
                <w:b/>
                <w:sz w:val="18"/>
              </w:rPr>
              <w:t>2,417</w:t>
            </w:r>
          </w:p>
        </w:tc>
        <w:tc>
          <w:tcPr>
            <w:tcW w:w="1380" w:type="dxa"/>
          </w:tcPr>
          <w:p w14:paraId="27EAF974" w14:textId="77777777" w:rsidR="00FA4AA8" w:rsidRDefault="0015611F">
            <w:pPr>
              <w:pStyle w:val="TableParagraph"/>
              <w:spacing w:before="11"/>
              <w:ind w:left="564"/>
              <w:rPr>
                <w:sz w:val="18"/>
              </w:rPr>
            </w:pPr>
            <w:r>
              <w:rPr>
                <w:sz w:val="18"/>
              </w:rPr>
              <w:t>2,420</w:t>
            </w:r>
          </w:p>
        </w:tc>
        <w:tc>
          <w:tcPr>
            <w:tcW w:w="1380" w:type="dxa"/>
          </w:tcPr>
          <w:p w14:paraId="7C709900" w14:textId="77777777" w:rsidR="00FA4AA8" w:rsidRDefault="0015611F">
            <w:pPr>
              <w:pStyle w:val="TableParagraph"/>
              <w:spacing w:before="11"/>
              <w:ind w:right="276"/>
              <w:jc w:val="right"/>
              <w:rPr>
                <w:b/>
                <w:sz w:val="18"/>
              </w:rPr>
            </w:pPr>
            <w:r>
              <w:rPr>
                <w:b/>
                <w:sz w:val="18"/>
              </w:rPr>
              <w:t>2,417</w:t>
            </w:r>
          </w:p>
        </w:tc>
        <w:tc>
          <w:tcPr>
            <w:tcW w:w="1104" w:type="dxa"/>
          </w:tcPr>
          <w:p w14:paraId="06AA883E" w14:textId="77777777" w:rsidR="00FA4AA8" w:rsidRDefault="0015611F">
            <w:pPr>
              <w:pStyle w:val="TableParagraph"/>
              <w:spacing w:before="11"/>
              <w:ind w:right="84"/>
              <w:jc w:val="right"/>
              <w:rPr>
                <w:sz w:val="18"/>
              </w:rPr>
            </w:pPr>
            <w:r>
              <w:rPr>
                <w:sz w:val="18"/>
              </w:rPr>
              <w:t>2,420</w:t>
            </w:r>
          </w:p>
        </w:tc>
      </w:tr>
      <w:tr w:rsidR="00FA4AA8" w14:paraId="348B1B49" w14:textId="77777777">
        <w:trPr>
          <w:trHeight w:val="256"/>
        </w:trPr>
        <w:tc>
          <w:tcPr>
            <w:tcW w:w="4012" w:type="dxa"/>
          </w:tcPr>
          <w:p w14:paraId="5227475C" w14:textId="77777777" w:rsidR="00FA4AA8" w:rsidRDefault="0015611F">
            <w:pPr>
              <w:pStyle w:val="TableParagraph"/>
              <w:spacing w:before="26"/>
              <w:ind w:left="50"/>
              <w:rPr>
                <w:sz w:val="18"/>
              </w:rPr>
            </w:pPr>
            <w:r>
              <w:rPr>
                <w:sz w:val="18"/>
              </w:rPr>
              <w:t>Revaluation - gross</w:t>
            </w:r>
          </w:p>
        </w:tc>
        <w:tc>
          <w:tcPr>
            <w:tcW w:w="1656" w:type="dxa"/>
            <w:tcBorders>
              <w:bottom w:val="single" w:sz="8" w:space="0" w:color="000000"/>
            </w:tcBorders>
          </w:tcPr>
          <w:p w14:paraId="47E96651" w14:textId="77777777" w:rsidR="00FA4AA8" w:rsidRDefault="0015611F">
            <w:pPr>
              <w:pStyle w:val="TableParagraph"/>
              <w:spacing w:before="24"/>
              <w:ind w:right="276"/>
              <w:jc w:val="right"/>
              <w:rPr>
                <w:b/>
                <w:sz w:val="18"/>
              </w:rPr>
            </w:pPr>
            <w:r>
              <w:rPr>
                <w:b/>
                <w:sz w:val="18"/>
              </w:rPr>
              <w:t>-</w:t>
            </w:r>
          </w:p>
        </w:tc>
        <w:tc>
          <w:tcPr>
            <w:tcW w:w="1380" w:type="dxa"/>
            <w:tcBorders>
              <w:bottom w:val="single" w:sz="8" w:space="0" w:color="000000"/>
            </w:tcBorders>
          </w:tcPr>
          <w:p w14:paraId="60071FB8" w14:textId="77777777" w:rsidR="00FA4AA8" w:rsidRDefault="0015611F">
            <w:pPr>
              <w:pStyle w:val="TableParagraph"/>
              <w:spacing w:before="24"/>
              <w:ind w:right="299"/>
              <w:jc w:val="right"/>
              <w:rPr>
                <w:sz w:val="18"/>
              </w:rPr>
            </w:pPr>
            <w:r>
              <w:rPr>
                <w:sz w:val="18"/>
              </w:rPr>
              <w:t>(3)</w:t>
            </w:r>
          </w:p>
        </w:tc>
        <w:tc>
          <w:tcPr>
            <w:tcW w:w="1380" w:type="dxa"/>
            <w:tcBorders>
              <w:bottom w:val="single" w:sz="8" w:space="0" w:color="000000"/>
            </w:tcBorders>
          </w:tcPr>
          <w:p w14:paraId="0C58BE13" w14:textId="77777777" w:rsidR="00FA4AA8" w:rsidRDefault="0015611F">
            <w:pPr>
              <w:pStyle w:val="TableParagraph"/>
              <w:spacing w:before="24"/>
              <w:ind w:right="276"/>
              <w:jc w:val="right"/>
              <w:rPr>
                <w:b/>
                <w:sz w:val="18"/>
              </w:rPr>
            </w:pPr>
            <w:r>
              <w:rPr>
                <w:b/>
                <w:sz w:val="18"/>
              </w:rPr>
              <w:t>-</w:t>
            </w:r>
          </w:p>
        </w:tc>
        <w:tc>
          <w:tcPr>
            <w:tcW w:w="1104" w:type="dxa"/>
            <w:tcBorders>
              <w:bottom w:val="single" w:sz="8" w:space="0" w:color="000000"/>
            </w:tcBorders>
          </w:tcPr>
          <w:p w14:paraId="4380856A" w14:textId="77777777" w:rsidR="00FA4AA8" w:rsidRDefault="0015611F">
            <w:pPr>
              <w:pStyle w:val="TableParagraph"/>
              <w:spacing w:before="24"/>
              <w:ind w:right="23"/>
              <w:jc w:val="right"/>
              <w:rPr>
                <w:sz w:val="18"/>
              </w:rPr>
            </w:pPr>
            <w:r>
              <w:rPr>
                <w:sz w:val="18"/>
              </w:rPr>
              <w:t>(3)</w:t>
            </w:r>
          </w:p>
        </w:tc>
      </w:tr>
      <w:tr w:rsidR="00FA4AA8" w14:paraId="109042AB" w14:textId="77777777">
        <w:trPr>
          <w:trHeight w:val="318"/>
        </w:trPr>
        <w:tc>
          <w:tcPr>
            <w:tcW w:w="4012" w:type="dxa"/>
          </w:tcPr>
          <w:p w14:paraId="57A288F3" w14:textId="77777777" w:rsidR="00FA4AA8" w:rsidRDefault="0015611F">
            <w:pPr>
              <w:pStyle w:val="TableParagraph"/>
              <w:spacing w:before="115" w:line="183" w:lineRule="exact"/>
              <w:ind w:left="50"/>
              <w:rPr>
                <w:b/>
                <w:sz w:val="18"/>
              </w:rPr>
            </w:pPr>
            <w:r>
              <w:rPr>
                <w:b/>
                <w:sz w:val="18"/>
              </w:rPr>
              <w:t>Balance at 31 December</w:t>
            </w:r>
          </w:p>
        </w:tc>
        <w:tc>
          <w:tcPr>
            <w:tcW w:w="1656" w:type="dxa"/>
            <w:tcBorders>
              <w:top w:val="single" w:sz="8" w:space="0" w:color="000000"/>
              <w:bottom w:val="single" w:sz="8" w:space="0" w:color="000000"/>
            </w:tcBorders>
          </w:tcPr>
          <w:p w14:paraId="116CAC6B" w14:textId="77777777" w:rsidR="00FA4AA8" w:rsidRDefault="0015611F">
            <w:pPr>
              <w:pStyle w:val="TableParagraph"/>
              <w:spacing w:before="115" w:line="183" w:lineRule="exact"/>
              <w:ind w:right="276"/>
              <w:jc w:val="right"/>
              <w:rPr>
                <w:b/>
                <w:sz w:val="18"/>
              </w:rPr>
            </w:pPr>
            <w:r>
              <w:rPr>
                <w:b/>
                <w:sz w:val="18"/>
              </w:rPr>
              <w:t>2,417</w:t>
            </w:r>
          </w:p>
        </w:tc>
        <w:tc>
          <w:tcPr>
            <w:tcW w:w="1380" w:type="dxa"/>
            <w:tcBorders>
              <w:top w:val="single" w:sz="8" w:space="0" w:color="000000"/>
              <w:bottom w:val="single" w:sz="8" w:space="0" w:color="000000"/>
            </w:tcBorders>
          </w:tcPr>
          <w:p w14:paraId="111F4C0E" w14:textId="77777777" w:rsidR="00FA4AA8" w:rsidRDefault="0015611F">
            <w:pPr>
              <w:pStyle w:val="TableParagraph"/>
              <w:spacing w:before="115" w:line="183" w:lineRule="exact"/>
              <w:ind w:left="564"/>
              <w:rPr>
                <w:sz w:val="18"/>
              </w:rPr>
            </w:pPr>
            <w:r>
              <w:rPr>
                <w:sz w:val="18"/>
              </w:rPr>
              <w:t>2,417</w:t>
            </w:r>
          </w:p>
        </w:tc>
        <w:tc>
          <w:tcPr>
            <w:tcW w:w="1380" w:type="dxa"/>
            <w:tcBorders>
              <w:top w:val="single" w:sz="8" w:space="0" w:color="000000"/>
              <w:bottom w:val="single" w:sz="8" w:space="0" w:color="000000"/>
            </w:tcBorders>
          </w:tcPr>
          <w:p w14:paraId="78B57DFD" w14:textId="77777777" w:rsidR="00FA4AA8" w:rsidRDefault="0015611F">
            <w:pPr>
              <w:pStyle w:val="TableParagraph"/>
              <w:spacing w:before="115" w:line="183" w:lineRule="exact"/>
              <w:ind w:right="276"/>
              <w:jc w:val="right"/>
              <w:rPr>
                <w:b/>
                <w:sz w:val="18"/>
              </w:rPr>
            </w:pPr>
            <w:r>
              <w:rPr>
                <w:b/>
                <w:sz w:val="18"/>
              </w:rPr>
              <w:t>2,417</w:t>
            </w:r>
          </w:p>
        </w:tc>
        <w:tc>
          <w:tcPr>
            <w:tcW w:w="1104" w:type="dxa"/>
            <w:tcBorders>
              <w:top w:val="single" w:sz="8" w:space="0" w:color="000000"/>
              <w:bottom w:val="single" w:sz="8" w:space="0" w:color="000000"/>
            </w:tcBorders>
          </w:tcPr>
          <w:p w14:paraId="65AF48FF" w14:textId="77777777" w:rsidR="00FA4AA8" w:rsidRDefault="0015611F">
            <w:pPr>
              <w:pStyle w:val="TableParagraph"/>
              <w:spacing w:before="115" w:line="183" w:lineRule="exact"/>
              <w:ind w:right="84"/>
              <w:jc w:val="right"/>
              <w:rPr>
                <w:sz w:val="18"/>
              </w:rPr>
            </w:pPr>
            <w:r>
              <w:rPr>
                <w:sz w:val="18"/>
              </w:rPr>
              <w:t>2,417</w:t>
            </w:r>
          </w:p>
        </w:tc>
      </w:tr>
      <w:tr w:rsidR="00FA4AA8" w14:paraId="6A33C150" w14:textId="77777777">
        <w:trPr>
          <w:trHeight w:val="339"/>
        </w:trPr>
        <w:tc>
          <w:tcPr>
            <w:tcW w:w="4012" w:type="dxa"/>
          </w:tcPr>
          <w:p w14:paraId="095A6068" w14:textId="77777777" w:rsidR="00FA4AA8" w:rsidRDefault="0015611F">
            <w:pPr>
              <w:pStyle w:val="TableParagraph"/>
              <w:spacing w:before="115" w:line="204" w:lineRule="exact"/>
              <w:ind w:left="50"/>
              <w:rPr>
                <w:b/>
                <w:sz w:val="18"/>
              </w:rPr>
            </w:pPr>
            <w:r>
              <w:rPr>
                <w:b/>
                <w:sz w:val="18"/>
              </w:rPr>
              <w:t>Livestock revaluation reserve</w:t>
            </w:r>
          </w:p>
        </w:tc>
        <w:tc>
          <w:tcPr>
            <w:tcW w:w="1656" w:type="dxa"/>
            <w:tcBorders>
              <w:top w:val="single" w:sz="8" w:space="0" w:color="000000"/>
            </w:tcBorders>
          </w:tcPr>
          <w:p w14:paraId="6B3137CA" w14:textId="77777777" w:rsidR="00FA4AA8" w:rsidRDefault="00FA4AA8">
            <w:pPr>
              <w:pStyle w:val="TableParagraph"/>
              <w:rPr>
                <w:rFonts w:ascii="Times New Roman"/>
                <w:sz w:val="18"/>
              </w:rPr>
            </w:pPr>
          </w:p>
        </w:tc>
        <w:tc>
          <w:tcPr>
            <w:tcW w:w="1380" w:type="dxa"/>
            <w:tcBorders>
              <w:top w:val="single" w:sz="8" w:space="0" w:color="000000"/>
            </w:tcBorders>
          </w:tcPr>
          <w:p w14:paraId="5A36418F" w14:textId="77777777" w:rsidR="00FA4AA8" w:rsidRDefault="00FA4AA8">
            <w:pPr>
              <w:pStyle w:val="TableParagraph"/>
              <w:rPr>
                <w:rFonts w:ascii="Times New Roman"/>
                <w:sz w:val="18"/>
              </w:rPr>
            </w:pPr>
          </w:p>
        </w:tc>
        <w:tc>
          <w:tcPr>
            <w:tcW w:w="1380" w:type="dxa"/>
            <w:tcBorders>
              <w:top w:val="single" w:sz="8" w:space="0" w:color="000000"/>
            </w:tcBorders>
          </w:tcPr>
          <w:p w14:paraId="6E7DEA7B" w14:textId="77777777" w:rsidR="00FA4AA8" w:rsidRDefault="00FA4AA8">
            <w:pPr>
              <w:pStyle w:val="TableParagraph"/>
              <w:rPr>
                <w:rFonts w:ascii="Times New Roman"/>
                <w:sz w:val="18"/>
              </w:rPr>
            </w:pPr>
          </w:p>
        </w:tc>
        <w:tc>
          <w:tcPr>
            <w:tcW w:w="1104" w:type="dxa"/>
            <w:tcBorders>
              <w:top w:val="single" w:sz="8" w:space="0" w:color="000000"/>
            </w:tcBorders>
          </w:tcPr>
          <w:p w14:paraId="6F996139" w14:textId="77777777" w:rsidR="00FA4AA8" w:rsidRDefault="00FA4AA8">
            <w:pPr>
              <w:pStyle w:val="TableParagraph"/>
              <w:rPr>
                <w:rFonts w:ascii="Times New Roman"/>
                <w:sz w:val="18"/>
              </w:rPr>
            </w:pPr>
          </w:p>
        </w:tc>
      </w:tr>
      <w:tr w:rsidR="00FA4AA8" w14:paraId="1EA01351" w14:textId="77777777">
        <w:trPr>
          <w:trHeight w:val="250"/>
        </w:trPr>
        <w:tc>
          <w:tcPr>
            <w:tcW w:w="4012" w:type="dxa"/>
          </w:tcPr>
          <w:p w14:paraId="5E8C12C5" w14:textId="77777777" w:rsidR="00FA4AA8" w:rsidRDefault="0015611F">
            <w:pPr>
              <w:pStyle w:val="TableParagraph"/>
              <w:spacing w:before="13"/>
              <w:ind w:left="50"/>
              <w:rPr>
                <w:sz w:val="18"/>
              </w:rPr>
            </w:pPr>
            <w:r>
              <w:rPr>
                <w:sz w:val="18"/>
              </w:rPr>
              <w:t>Balance at 1 January</w:t>
            </w:r>
          </w:p>
        </w:tc>
        <w:tc>
          <w:tcPr>
            <w:tcW w:w="1656" w:type="dxa"/>
          </w:tcPr>
          <w:p w14:paraId="3EB9014F" w14:textId="77777777" w:rsidR="00FA4AA8" w:rsidRDefault="0015611F">
            <w:pPr>
              <w:pStyle w:val="TableParagraph"/>
              <w:spacing w:before="11"/>
              <w:ind w:right="276"/>
              <w:jc w:val="right"/>
              <w:rPr>
                <w:b/>
                <w:sz w:val="18"/>
              </w:rPr>
            </w:pPr>
            <w:r>
              <w:rPr>
                <w:b/>
                <w:sz w:val="18"/>
              </w:rPr>
              <w:t>286</w:t>
            </w:r>
          </w:p>
        </w:tc>
        <w:tc>
          <w:tcPr>
            <w:tcW w:w="1380" w:type="dxa"/>
          </w:tcPr>
          <w:p w14:paraId="5A740332" w14:textId="77777777" w:rsidR="00FA4AA8" w:rsidRDefault="0015611F">
            <w:pPr>
              <w:pStyle w:val="TableParagraph"/>
              <w:spacing w:before="11"/>
              <w:ind w:right="360"/>
              <w:jc w:val="right"/>
              <w:rPr>
                <w:sz w:val="18"/>
              </w:rPr>
            </w:pPr>
            <w:r>
              <w:rPr>
                <w:sz w:val="18"/>
              </w:rPr>
              <w:t>238</w:t>
            </w:r>
          </w:p>
        </w:tc>
        <w:tc>
          <w:tcPr>
            <w:tcW w:w="1380" w:type="dxa"/>
          </w:tcPr>
          <w:p w14:paraId="2FAB8AA7" w14:textId="77777777" w:rsidR="00FA4AA8" w:rsidRDefault="0015611F">
            <w:pPr>
              <w:pStyle w:val="TableParagraph"/>
              <w:spacing w:before="11"/>
              <w:ind w:right="276"/>
              <w:jc w:val="right"/>
              <w:rPr>
                <w:b/>
                <w:sz w:val="18"/>
              </w:rPr>
            </w:pPr>
            <w:r>
              <w:rPr>
                <w:b/>
                <w:sz w:val="18"/>
              </w:rPr>
              <w:t>286</w:t>
            </w:r>
          </w:p>
        </w:tc>
        <w:tc>
          <w:tcPr>
            <w:tcW w:w="1104" w:type="dxa"/>
          </w:tcPr>
          <w:p w14:paraId="62F2FB50" w14:textId="77777777" w:rsidR="00FA4AA8" w:rsidRDefault="0015611F">
            <w:pPr>
              <w:pStyle w:val="TableParagraph"/>
              <w:spacing w:before="11"/>
              <w:ind w:right="84"/>
              <w:jc w:val="right"/>
              <w:rPr>
                <w:sz w:val="18"/>
              </w:rPr>
            </w:pPr>
            <w:r>
              <w:rPr>
                <w:sz w:val="18"/>
              </w:rPr>
              <w:t>238</w:t>
            </w:r>
          </w:p>
        </w:tc>
      </w:tr>
      <w:tr w:rsidR="00FA4AA8" w14:paraId="62CA6744" w14:textId="77777777">
        <w:trPr>
          <w:trHeight w:val="256"/>
        </w:trPr>
        <w:tc>
          <w:tcPr>
            <w:tcW w:w="4012" w:type="dxa"/>
          </w:tcPr>
          <w:p w14:paraId="7E11C970" w14:textId="77777777" w:rsidR="00FA4AA8" w:rsidRDefault="0015611F">
            <w:pPr>
              <w:pStyle w:val="TableParagraph"/>
              <w:spacing w:before="26"/>
              <w:ind w:left="50"/>
              <w:rPr>
                <w:sz w:val="18"/>
              </w:rPr>
            </w:pPr>
            <w:r>
              <w:rPr>
                <w:sz w:val="18"/>
              </w:rPr>
              <w:t>Revaluation - gross</w:t>
            </w:r>
          </w:p>
        </w:tc>
        <w:tc>
          <w:tcPr>
            <w:tcW w:w="1656" w:type="dxa"/>
            <w:tcBorders>
              <w:bottom w:val="single" w:sz="8" w:space="0" w:color="000000"/>
            </w:tcBorders>
          </w:tcPr>
          <w:p w14:paraId="0B69C4AD" w14:textId="77777777" w:rsidR="00FA4AA8" w:rsidRDefault="0015611F">
            <w:pPr>
              <w:pStyle w:val="TableParagraph"/>
              <w:spacing w:before="24"/>
              <w:ind w:right="215"/>
              <w:jc w:val="right"/>
              <w:rPr>
                <w:b/>
                <w:sz w:val="18"/>
              </w:rPr>
            </w:pPr>
            <w:r>
              <w:rPr>
                <w:b/>
                <w:sz w:val="18"/>
              </w:rPr>
              <w:t>(93)</w:t>
            </w:r>
          </w:p>
        </w:tc>
        <w:tc>
          <w:tcPr>
            <w:tcW w:w="1380" w:type="dxa"/>
            <w:tcBorders>
              <w:bottom w:val="single" w:sz="8" w:space="0" w:color="000000"/>
            </w:tcBorders>
          </w:tcPr>
          <w:p w14:paraId="73AAE567" w14:textId="77777777" w:rsidR="00FA4AA8" w:rsidRDefault="0015611F">
            <w:pPr>
              <w:pStyle w:val="TableParagraph"/>
              <w:spacing w:before="24"/>
              <w:ind w:right="360"/>
              <w:jc w:val="right"/>
              <w:rPr>
                <w:sz w:val="18"/>
              </w:rPr>
            </w:pPr>
            <w:r>
              <w:rPr>
                <w:sz w:val="18"/>
              </w:rPr>
              <w:t>48</w:t>
            </w:r>
          </w:p>
        </w:tc>
        <w:tc>
          <w:tcPr>
            <w:tcW w:w="1380" w:type="dxa"/>
            <w:tcBorders>
              <w:bottom w:val="single" w:sz="8" w:space="0" w:color="000000"/>
            </w:tcBorders>
          </w:tcPr>
          <w:p w14:paraId="7E2FA856" w14:textId="77777777" w:rsidR="00FA4AA8" w:rsidRDefault="0015611F">
            <w:pPr>
              <w:pStyle w:val="TableParagraph"/>
              <w:spacing w:before="24"/>
              <w:ind w:right="215"/>
              <w:jc w:val="right"/>
              <w:rPr>
                <w:b/>
                <w:sz w:val="18"/>
              </w:rPr>
            </w:pPr>
            <w:r>
              <w:rPr>
                <w:b/>
                <w:sz w:val="18"/>
              </w:rPr>
              <w:t>(93)</w:t>
            </w:r>
          </w:p>
        </w:tc>
        <w:tc>
          <w:tcPr>
            <w:tcW w:w="1104" w:type="dxa"/>
            <w:tcBorders>
              <w:bottom w:val="single" w:sz="8" w:space="0" w:color="000000"/>
            </w:tcBorders>
          </w:tcPr>
          <w:p w14:paraId="0559D844" w14:textId="77777777" w:rsidR="00FA4AA8" w:rsidRDefault="0015611F">
            <w:pPr>
              <w:pStyle w:val="TableParagraph"/>
              <w:spacing w:before="24"/>
              <w:ind w:right="84"/>
              <w:jc w:val="right"/>
              <w:rPr>
                <w:sz w:val="18"/>
              </w:rPr>
            </w:pPr>
            <w:r>
              <w:rPr>
                <w:sz w:val="18"/>
              </w:rPr>
              <w:t>48</w:t>
            </w:r>
          </w:p>
        </w:tc>
      </w:tr>
      <w:tr w:rsidR="00FA4AA8" w14:paraId="70607FBF" w14:textId="77777777">
        <w:trPr>
          <w:trHeight w:val="318"/>
        </w:trPr>
        <w:tc>
          <w:tcPr>
            <w:tcW w:w="4012" w:type="dxa"/>
          </w:tcPr>
          <w:p w14:paraId="09E88F3F" w14:textId="77777777" w:rsidR="00FA4AA8" w:rsidRDefault="0015611F">
            <w:pPr>
              <w:pStyle w:val="TableParagraph"/>
              <w:spacing w:before="115" w:line="183" w:lineRule="exact"/>
              <w:ind w:left="50"/>
              <w:rPr>
                <w:b/>
                <w:sz w:val="18"/>
              </w:rPr>
            </w:pPr>
            <w:r>
              <w:rPr>
                <w:b/>
                <w:sz w:val="18"/>
              </w:rPr>
              <w:t>Balance at 31 December</w:t>
            </w:r>
          </w:p>
        </w:tc>
        <w:tc>
          <w:tcPr>
            <w:tcW w:w="1656" w:type="dxa"/>
            <w:tcBorders>
              <w:top w:val="single" w:sz="8" w:space="0" w:color="000000"/>
              <w:bottom w:val="single" w:sz="8" w:space="0" w:color="000000"/>
            </w:tcBorders>
          </w:tcPr>
          <w:p w14:paraId="39CC1ACF" w14:textId="77777777" w:rsidR="00FA4AA8" w:rsidRDefault="0015611F">
            <w:pPr>
              <w:pStyle w:val="TableParagraph"/>
              <w:spacing w:before="115" w:line="183" w:lineRule="exact"/>
              <w:ind w:right="276"/>
              <w:jc w:val="right"/>
              <w:rPr>
                <w:b/>
                <w:sz w:val="18"/>
              </w:rPr>
            </w:pPr>
            <w:r>
              <w:rPr>
                <w:b/>
                <w:sz w:val="18"/>
              </w:rPr>
              <w:t>193</w:t>
            </w:r>
          </w:p>
        </w:tc>
        <w:tc>
          <w:tcPr>
            <w:tcW w:w="1380" w:type="dxa"/>
            <w:tcBorders>
              <w:top w:val="single" w:sz="8" w:space="0" w:color="000000"/>
              <w:bottom w:val="single" w:sz="8" w:space="0" w:color="000000"/>
            </w:tcBorders>
          </w:tcPr>
          <w:p w14:paraId="662D5682" w14:textId="77777777" w:rsidR="00FA4AA8" w:rsidRDefault="0015611F">
            <w:pPr>
              <w:pStyle w:val="TableParagraph"/>
              <w:spacing w:before="115" w:line="183" w:lineRule="exact"/>
              <w:ind w:right="360"/>
              <w:jc w:val="right"/>
              <w:rPr>
                <w:sz w:val="18"/>
              </w:rPr>
            </w:pPr>
            <w:r>
              <w:rPr>
                <w:sz w:val="18"/>
              </w:rPr>
              <w:t>286</w:t>
            </w:r>
          </w:p>
        </w:tc>
        <w:tc>
          <w:tcPr>
            <w:tcW w:w="1380" w:type="dxa"/>
            <w:tcBorders>
              <w:top w:val="single" w:sz="8" w:space="0" w:color="000000"/>
              <w:bottom w:val="single" w:sz="8" w:space="0" w:color="000000"/>
            </w:tcBorders>
          </w:tcPr>
          <w:p w14:paraId="745C94DC" w14:textId="77777777" w:rsidR="00FA4AA8" w:rsidRDefault="0015611F">
            <w:pPr>
              <w:pStyle w:val="TableParagraph"/>
              <w:spacing w:before="115" w:line="183" w:lineRule="exact"/>
              <w:ind w:right="276"/>
              <w:jc w:val="right"/>
              <w:rPr>
                <w:b/>
                <w:sz w:val="18"/>
              </w:rPr>
            </w:pPr>
            <w:r>
              <w:rPr>
                <w:b/>
                <w:sz w:val="18"/>
              </w:rPr>
              <w:t>193</w:t>
            </w:r>
          </w:p>
        </w:tc>
        <w:tc>
          <w:tcPr>
            <w:tcW w:w="1104" w:type="dxa"/>
            <w:tcBorders>
              <w:top w:val="single" w:sz="8" w:space="0" w:color="000000"/>
              <w:bottom w:val="single" w:sz="8" w:space="0" w:color="000000"/>
            </w:tcBorders>
          </w:tcPr>
          <w:p w14:paraId="1EC7C1BF" w14:textId="77777777" w:rsidR="00FA4AA8" w:rsidRDefault="0015611F">
            <w:pPr>
              <w:pStyle w:val="TableParagraph"/>
              <w:spacing w:before="115" w:line="183" w:lineRule="exact"/>
              <w:ind w:right="84"/>
              <w:jc w:val="right"/>
              <w:rPr>
                <w:sz w:val="18"/>
              </w:rPr>
            </w:pPr>
            <w:r>
              <w:rPr>
                <w:sz w:val="18"/>
              </w:rPr>
              <w:t>286</w:t>
            </w:r>
          </w:p>
        </w:tc>
      </w:tr>
      <w:tr w:rsidR="00FA4AA8" w14:paraId="34635450" w14:textId="77777777">
        <w:trPr>
          <w:trHeight w:val="339"/>
        </w:trPr>
        <w:tc>
          <w:tcPr>
            <w:tcW w:w="4012" w:type="dxa"/>
          </w:tcPr>
          <w:p w14:paraId="4111A78A" w14:textId="77777777" w:rsidR="00FA4AA8" w:rsidRDefault="0015611F">
            <w:pPr>
              <w:pStyle w:val="TableParagraph"/>
              <w:spacing w:before="115" w:line="204" w:lineRule="exact"/>
              <w:ind w:left="50"/>
              <w:rPr>
                <w:b/>
                <w:sz w:val="18"/>
              </w:rPr>
            </w:pPr>
            <w:r>
              <w:rPr>
                <w:b/>
                <w:sz w:val="18"/>
              </w:rPr>
              <w:t>Licences revaluation reserve</w:t>
            </w:r>
          </w:p>
        </w:tc>
        <w:tc>
          <w:tcPr>
            <w:tcW w:w="1656" w:type="dxa"/>
            <w:tcBorders>
              <w:top w:val="single" w:sz="8" w:space="0" w:color="000000"/>
            </w:tcBorders>
          </w:tcPr>
          <w:p w14:paraId="5D553B5D" w14:textId="77777777" w:rsidR="00FA4AA8" w:rsidRDefault="00FA4AA8">
            <w:pPr>
              <w:pStyle w:val="TableParagraph"/>
              <w:rPr>
                <w:rFonts w:ascii="Times New Roman"/>
                <w:sz w:val="18"/>
              </w:rPr>
            </w:pPr>
          </w:p>
        </w:tc>
        <w:tc>
          <w:tcPr>
            <w:tcW w:w="1380" w:type="dxa"/>
            <w:tcBorders>
              <w:top w:val="single" w:sz="8" w:space="0" w:color="000000"/>
            </w:tcBorders>
          </w:tcPr>
          <w:p w14:paraId="29D33DA5" w14:textId="77777777" w:rsidR="00FA4AA8" w:rsidRDefault="00FA4AA8">
            <w:pPr>
              <w:pStyle w:val="TableParagraph"/>
              <w:rPr>
                <w:rFonts w:ascii="Times New Roman"/>
                <w:sz w:val="18"/>
              </w:rPr>
            </w:pPr>
          </w:p>
        </w:tc>
        <w:tc>
          <w:tcPr>
            <w:tcW w:w="1380" w:type="dxa"/>
            <w:tcBorders>
              <w:top w:val="single" w:sz="8" w:space="0" w:color="000000"/>
            </w:tcBorders>
          </w:tcPr>
          <w:p w14:paraId="27F0BB22" w14:textId="77777777" w:rsidR="00FA4AA8" w:rsidRDefault="00FA4AA8">
            <w:pPr>
              <w:pStyle w:val="TableParagraph"/>
              <w:rPr>
                <w:rFonts w:ascii="Times New Roman"/>
                <w:sz w:val="18"/>
              </w:rPr>
            </w:pPr>
          </w:p>
        </w:tc>
        <w:tc>
          <w:tcPr>
            <w:tcW w:w="1104" w:type="dxa"/>
            <w:tcBorders>
              <w:top w:val="single" w:sz="8" w:space="0" w:color="000000"/>
            </w:tcBorders>
          </w:tcPr>
          <w:p w14:paraId="5947D92C" w14:textId="77777777" w:rsidR="00FA4AA8" w:rsidRDefault="00FA4AA8">
            <w:pPr>
              <w:pStyle w:val="TableParagraph"/>
              <w:rPr>
                <w:rFonts w:ascii="Times New Roman"/>
                <w:sz w:val="18"/>
              </w:rPr>
            </w:pPr>
          </w:p>
        </w:tc>
      </w:tr>
      <w:tr w:rsidR="00FA4AA8" w14:paraId="6D468A27" w14:textId="77777777">
        <w:trPr>
          <w:trHeight w:val="243"/>
        </w:trPr>
        <w:tc>
          <w:tcPr>
            <w:tcW w:w="4012" w:type="dxa"/>
          </w:tcPr>
          <w:p w14:paraId="61A6470B" w14:textId="77777777" w:rsidR="00FA4AA8" w:rsidRDefault="0015611F">
            <w:pPr>
              <w:pStyle w:val="TableParagraph"/>
              <w:spacing w:before="13"/>
              <w:ind w:left="50"/>
              <w:rPr>
                <w:sz w:val="18"/>
              </w:rPr>
            </w:pPr>
            <w:r>
              <w:rPr>
                <w:sz w:val="18"/>
              </w:rPr>
              <w:t>Balance 1 January</w:t>
            </w:r>
          </w:p>
        </w:tc>
        <w:tc>
          <w:tcPr>
            <w:tcW w:w="1656" w:type="dxa"/>
            <w:tcBorders>
              <w:bottom w:val="single" w:sz="8" w:space="0" w:color="000000"/>
            </w:tcBorders>
          </w:tcPr>
          <w:p w14:paraId="430063DC" w14:textId="77777777" w:rsidR="00FA4AA8" w:rsidRDefault="0015611F">
            <w:pPr>
              <w:pStyle w:val="TableParagraph"/>
              <w:spacing w:before="11"/>
              <w:ind w:right="276"/>
              <w:jc w:val="right"/>
              <w:rPr>
                <w:b/>
                <w:sz w:val="18"/>
              </w:rPr>
            </w:pPr>
            <w:r>
              <w:rPr>
                <w:b/>
                <w:sz w:val="18"/>
              </w:rPr>
              <w:t>250</w:t>
            </w:r>
          </w:p>
        </w:tc>
        <w:tc>
          <w:tcPr>
            <w:tcW w:w="1380" w:type="dxa"/>
            <w:tcBorders>
              <w:bottom w:val="single" w:sz="8" w:space="0" w:color="000000"/>
            </w:tcBorders>
          </w:tcPr>
          <w:p w14:paraId="0103DA39" w14:textId="77777777" w:rsidR="00FA4AA8" w:rsidRDefault="0015611F">
            <w:pPr>
              <w:pStyle w:val="TableParagraph"/>
              <w:spacing w:before="11"/>
              <w:ind w:right="360"/>
              <w:jc w:val="right"/>
              <w:rPr>
                <w:sz w:val="18"/>
              </w:rPr>
            </w:pPr>
            <w:r>
              <w:rPr>
                <w:sz w:val="18"/>
              </w:rPr>
              <w:t>250</w:t>
            </w:r>
          </w:p>
        </w:tc>
        <w:tc>
          <w:tcPr>
            <w:tcW w:w="1380" w:type="dxa"/>
            <w:tcBorders>
              <w:bottom w:val="single" w:sz="8" w:space="0" w:color="000000"/>
            </w:tcBorders>
          </w:tcPr>
          <w:p w14:paraId="0BD77462" w14:textId="77777777" w:rsidR="00FA4AA8" w:rsidRDefault="0015611F">
            <w:pPr>
              <w:pStyle w:val="TableParagraph"/>
              <w:spacing w:before="11"/>
              <w:ind w:right="276"/>
              <w:jc w:val="right"/>
              <w:rPr>
                <w:b/>
                <w:sz w:val="18"/>
              </w:rPr>
            </w:pPr>
            <w:r>
              <w:rPr>
                <w:b/>
                <w:sz w:val="18"/>
              </w:rPr>
              <w:t>250</w:t>
            </w:r>
          </w:p>
        </w:tc>
        <w:tc>
          <w:tcPr>
            <w:tcW w:w="1104" w:type="dxa"/>
            <w:tcBorders>
              <w:bottom w:val="single" w:sz="8" w:space="0" w:color="000000"/>
            </w:tcBorders>
          </w:tcPr>
          <w:p w14:paraId="63988581" w14:textId="77777777" w:rsidR="00FA4AA8" w:rsidRDefault="0015611F">
            <w:pPr>
              <w:pStyle w:val="TableParagraph"/>
              <w:spacing w:before="11"/>
              <w:ind w:right="84"/>
              <w:jc w:val="right"/>
              <w:rPr>
                <w:sz w:val="18"/>
              </w:rPr>
            </w:pPr>
            <w:r>
              <w:rPr>
                <w:sz w:val="18"/>
              </w:rPr>
              <w:t>250</w:t>
            </w:r>
          </w:p>
        </w:tc>
      </w:tr>
      <w:tr w:rsidR="00FA4AA8" w14:paraId="1DFDA34A" w14:textId="77777777">
        <w:trPr>
          <w:trHeight w:val="318"/>
        </w:trPr>
        <w:tc>
          <w:tcPr>
            <w:tcW w:w="4012" w:type="dxa"/>
          </w:tcPr>
          <w:p w14:paraId="462EEC0F" w14:textId="77777777" w:rsidR="00FA4AA8" w:rsidRDefault="0015611F">
            <w:pPr>
              <w:pStyle w:val="TableParagraph"/>
              <w:spacing w:before="115" w:line="183" w:lineRule="exact"/>
              <w:ind w:left="50"/>
              <w:rPr>
                <w:b/>
                <w:sz w:val="18"/>
              </w:rPr>
            </w:pPr>
            <w:r>
              <w:rPr>
                <w:b/>
                <w:sz w:val="18"/>
              </w:rPr>
              <w:t>Balance at 31 December</w:t>
            </w:r>
          </w:p>
        </w:tc>
        <w:tc>
          <w:tcPr>
            <w:tcW w:w="1656" w:type="dxa"/>
            <w:tcBorders>
              <w:top w:val="single" w:sz="8" w:space="0" w:color="000000"/>
              <w:bottom w:val="single" w:sz="8" w:space="0" w:color="000000"/>
            </w:tcBorders>
          </w:tcPr>
          <w:p w14:paraId="1122D8E3" w14:textId="77777777" w:rsidR="00FA4AA8" w:rsidRDefault="0015611F">
            <w:pPr>
              <w:pStyle w:val="TableParagraph"/>
              <w:spacing w:before="115" w:line="183" w:lineRule="exact"/>
              <w:ind w:right="276"/>
              <w:jc w:val="right"/>
              <w:rPr>
                <w:b/>
                <w:sz w:val="18"/>
              </w:rPr>
            </w:pPr>
            <w:r>
              <w:rPr>
                <w:b/>
                <w:sz w:val="18"/>
              </w:rPr>
              <w:t>250</w:t>
            </w:r>
          </w:p>
        </w:tc>
        <w:tc>
          <w:tcPr>
            <w:tcW w:w="1380" w:type="dxa"/>
            <w:tcBorders>
              <w:top w:val="single" w:sz="8" w:space="0" w:color="000000"/>
              <w:bottom w:val="single" w:sz="8" w:space="0" w:color="000000"/>
            </w:tcBorders>
          </w:tcPr>
          <w:p w14:paraId="00E7435A" w14:textId="77777777" w:rsidR="00FA4AA8" w:rsidRDefault="0015611F">
            <w:pPr>
              <w:pStyle w:val="TableParagraph"/>
              <w:spacing w:before="115" w:line="183" w:lineRule="exact"/>
              <w:ind w:right="360"/>
              <w:jc w:val="right"/>
              <w:rPr>
                <w:sz w:val="18"/>
              </w:rPr>
            </w:pPr>
            <w:r>
              <w:rPr>
                <w:sz w:val="18"/>
              </w:rPr>
              <w:t>250</w:t>
            </w:r>
          </w:p>
        </w:tc>
        <w:tc>
          <w:tcPr>
            <w:tcW w:w="1380" w:type="dxa"/>
            <w:tcBorders>
              <w:top w:val="single" w:sz="8" w:space="0" w:color="000000"/>
              <w:bottom w:val="single" w:sz="8" w:space="0" w:color="000000"/>
            </w:tcBorders>
          </w:tcPr>
          <w:p w14:paraId="430F80BA" w14:textId="77777777" w:rsidR="00FA4AA8" w:rsidRDefault="0015611F">
            <w:pPr>
              <w:pStyle w:val="TableParagraph"/>
              <w:spacing w:before="115" w:line="183" w:lineRule="exact"/>
              <w:ind w:right="276"/>
              <w:jc w:val="right"/>
              <w:rPr>
                <w:b/>
                <w:sz w:val="18"/>
              </w:rPr>
            </w:pPr>
            <w:r>
              <w:rPr>
                <w:b/>
                <w:sz w:val="18"/>
              </w:rPr>
              <w:t>250</w:t>
            </w:r>
          </w:p>
        </w:tc>
        <w:tc>
          <w:tcPr>
            <w:tcW w:w="1104" w:type="dxa"/>
            <w:tcBorders>
              <w:top w:val="single" w:sz="8" w:space="0" w:color="000000"/>
              <w:bottom w:val="single" w:sz="8" w:space="0" w:color="000000"/>
            </w:tcBorders>
          </w:tcPr>
          <w:p w14:paraId="44CA3FC8" w14:textId="77777777" w:rsidR="00FA4AA8" w:rsidRDefault="0015611F">
            <w:pPr>
              <w:pStyle w:val="TableParagraph"/>
              <w:spacing w:before="115" w:line="183" w:lineRule="exact"/>
              <w:ind w:right="84"/>
              <w:jc w:val="right"/>
              <w:rPr>
                <w:sz w:val="18"/>
              </w:rPr>
            </w:pPr>
            <w:r>
              <w:rPr>
                <w:sz w:val="18"/>
              </w:rPr>
              <w:t>250</w:t>
            </w:r>
          </w:p>
        </w:tc>
      </w:tr>
      <w:tr w:rsidR="00FA4AA8" w14:paraId="67598C1D" w14:textId="77777777">
        <w:trPr>
          <w:trHeight w:val="316"/>
        </w:trPr>
        <w:tc>
          <w:tcPr>
            <w:tcW w:w="4012" w:type="dxa"/>
          </w:tcPr>
          <w:p w14:paraId="266E1A3D" w14:textId="77777777" w:rsidR="00FA4AA8" w:rsidRDefault="0015611F">
            <w:pPr>
              <w:pStyle w:val="TableParagraph"/>
              <w:spacing w:before="115" w:line="181" w:lineRule="exact"/>
              <w:ind w:left="50"/>
              <w:rPr>
                <w:b/>
                <w:sz w:val="18"/>
              </w:rPr>
            </w:pPr>
            <w:r>
              <w:rPr>
                <w:b/>
                <w:sz w:val="18"/>
              </w:rPr>
              <w:t>Total Reserves</w:t>
            </w:r>
          </w:p>
        </w:tc>
        <w:tc>
          <w:tcPr>
            <w:tcW w:w="1656" w:type="dxa"/>
            <w:tcBorders>
              <w:top w:val="single" w:sz="8" w:space="0" w:color="000000"/>
              <w:bottom w:val="single" w:sz="2" w:space="0" w:color="000000"/>
            </w:tcBorders>
          </w:tcPr>
          <w:p w14:paraId="68F14D28" w14:textId="77777777" w:rsidR="00FA4AA8" w:rsidRDefault="0015611F">
            <w:pPr>
              <w:pStyle w:val="TableParagraph"/>
              <w:spacing w:before="115" w:line="181" w:lineRule="exact"/>
              <w:ind w:right="276"/>
              <w:jc w:val="right"/>
              <w:rPr>
                <w:b/>
                <w:sz w:val="18"/>
              </w:rPr>
            </w:pPr>
            <w:r>
              <w:rPr>
                <w:b/>
                <w:sz w:val="18"/>
              </w:rPr>
              <w:t>916,288</w:t>
            </w:r>
          </w:p>
        </w:tc>
        <w:tc>
          <w:tcPr>
            <w:tcW w:w="1380" w:type="dxa"/>
            <w:tcBorders>
              <w:top w:val="single" w:sz="8" w:space="0" w:color="000000"/>
              <w:bottom w:val="single" w:sz="6" w:space="0" w:color="000000"/>
            </w:tcBorders>
          </w:tcPr>
          <w:p w14:paraId="0C29DDD0" w14:textId="77777777" w:rsidR="00FA4AA8" w:rsidRDefault="0015611F">
            <w:pPr>
              <w:pStyle w:val="TableParagraph"/>
              <w:spacing w:before="115" w:line="181" w:lineRule="exact"/>
              <w:ind w:left="362"/>
              <w:rPr>
                <w:sz w:val="18"/>
              </w:rPr>
            </w:pPr>
            <w:r>
              <w:rPr>
                <w:sz w:val="18"/>
              </w:rPr>
              <w:t>865,790</w:t>
            </w:r>
          </w:p>
        </w:tc>
        <w:tc>
          <w:tcPr>
            <w:tcW w:w="1380" w:type="dxa"/>
            <w:tcBorders>
              <w:top w:val="single" w:sz="8" w:space="0" w:color="000000"/>
              <w:bottom w:val="thinThickMediumGap" w:sz="2" w:space="0" w:color="000000"/>
            </w:tcBorders>
          </w:tcPr>
          <w:p w14:paraId="3D2F25B7" w14:textId="77777777" w:rsidR="00FA4AA8" w:rsidRDefault="0015611F">
            <w:pPr>
              <w:pStyle w:val="TableParagraph"/>
              <w:spacing w:before="115" w:line="181" w:lineRule="exact"/>
              <w:ind w:right="276"/>
              <w:jc w:val="right"/>
              <w:rPr>
                <w:b/>
                <w:sz w:val="18"/>
              </w:rPr>
            </w:pPr>
            <w:r>
              <w:rPr>
                <w:b/>
                <w:sz w:val="18"/>
              </w:rPr>
              <w:t>916,092</w:t>
            </w:r>
          </w:p>
        </w:tc>
        <w:tc>
          <w:tcPr>
            <w:tcW w:w="1104" w:type="dxa"/>
            <w:tcBorders>
              <w:top w:val="single" w:sz="8" w:space="0" w:color="000000"/>
              <w:bottom w:val="thinThickMediumGap" w:sz="2" w:space="0" w:color="000000"/>
            </w:tcBorders>
          </w:tcPr>
          <w:p w14:paraId="54C6BD50" w14:textId="77777777" w:rsidR="00FA4AA8" w:rsidRDefault="0015611F">
            <w:pPr>
              <w:pStyle w:val="TableParagraph"/>
              <w:spacing w:before="115" w:line="181" w:lineRule="exact"/>
              <w:ind w:left="362"/>
              <w:rPr>
                <w:sz w:val="18"/>
              </w:rPr>
            </w:pPr>
            <w:r>
              <w:rPr>
                <w:sz w:val="18"/>
              </w:rPr>
              <w:t>861,541</w:t>
            </w:r>
          </w:p>
        </w:tc>
      </w:tr>
    </w:tbl>
    <w:p w14:paraId="71611D82" w14:textId="77777777" w:rsidR="00FA4AA8" w:rsidRDefault="007E2441">
      <w:pPr>
        <w:pStyle w:val="BodyText"/>
        <w:spacing w:line="20" w:lineRule="exact"/>
        <w:ind w:left="4550"/>
        <w:rPr>
          <w:sz w:val="2"/>
        </w:rPr>
      </w:pPr>
      <w:r>
        <w:rPr>
          <w:noProof/>
          <w:sz w:val="2"/>
          <w:lang w:val="en-AU" w:eastAsia="en-AU"/>
        </w:rPr>
        <mc:AlternateContent>
          <mc:Choice Requires="wpg">
            <w:drawing>
              <wp:inline distT="0" distB="0" distL="0" distR="0" wp14:anchorId="58DA21E8" wp14:editId="435395BA">
                <wp:extent cx="1752600" cy="9525"/>
                <wp:effectExtent l="12700" t="6350" r="6350" b="12700"/>
                <wp:docPr id="2504" name="Group 2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0" cy="9525"/>
                          <a:chOff x="0" y="0"/>
                          <a:chExt cx="2760" cy="15"/>
                        </a:xfrm>
                      </wpg:grpSpPr>
                      <wps:wsp>
                        <wps:cNvPr id="2505" name="Line 2282"/>
                        <wps:cNvCnPr>
                          <a:cxnSpLocks noChangeShapeType="1"/>
                        </wps:cNvCnPr>
                        <wps:spPr bwMode="auto">
                          <a:xfrm>
                            <a:off x="0" y="11"/>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506" name="Line 2281"/>
                        <wps:cNvCnPr>
                          <a:cxnSpLocks noChangeShapeType="1"/>
                        </wps:cNvCnPr>
                        <wps:spPr bwMode="auto">
                          <a:xfrm>
                            <a:off x="0" y="13"/>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507" name="Line 2280"/>
                        <wps:cNvCnPr>
                          <a:cxnSpLocks noChangeShapeType="1"/>
                        </wps:cNvCnPr>
                        <wps:spPr bwMode="auto">
                          <a:xfrm>
                            <a:off x="168" y="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508" name="Line 2279"/>
                        <wps:cNvCnPr>
                          <a:cxnSpLocks noChangeShapeType="1"/>
                        </wps:cNvCnPr>
                        <wps:spPr bwMode="auto">
                          <a:xfrm>
                            <a:off x="168" y="4"/>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509" name="Line 2278"/>
                        <wps:cNvCnPr>
                          <a:cxnSpLocks noChangeShapeType="1"/>
                        </wps:cNvCnPr>
                        <wps:spPr bwMode="auto">
                          <a:xfrm>
                            <a:off x="168" y="6"/>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510" name="Line 2277"/>
                        <wps:cNvCnPr>
                          <a:cxnSpLocks noChangeShapeType="1"/>
                        </wps:cNvCnPr>
                        <wps:spPr bwMode="auto">
                          <a:xfrm>
                            <a:off x="168" y="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511" name="Line 2276"/>
                        <wps:cNvCnPr>
                          <a:cxnSpLocks noChangeShapeType="1"/>
                        </wps:cNvCnPr>
                        <wps:spPr bwMode="auto">
                          <a:xfrm>
                            <a:off x="168" y="1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512" name="Line 2275"/>
                        <wps:cNvCnPr>
                          <a:cxnSpLocks noChangeShapeType="1"/>
                        </wps:cNvCnPr>
                        <wps:spPr bwMode="auto">
                          <a:xfrm>
                            <a:off x="168" y="1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513" name="Line 2274"/>
                        <wps:cNvCnPr>
                          <a:cxnSpLocks noChangeShapeType="1"/>
                        </wps:cNvCnPr>
                        <wps:spPr bwMode="auto">
                          <a:xfrm>
                            <a:off x="1464" y="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514" name="Line 2273"/>
                        <wps:cNvCnPr>
                          <a:cxnSpLocks noChangeShapeType="1"/>
                        </wps:cNvCnPr>
                        <wps:spPr bwMode="auto">
                          <a:xfrm>
                            <a:off x="1464" y="4"/>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515" name="Line 2272"/>
                        <wps:cNvCnPr>
                          <a:cxnSpLocks noChangeShapeType="1"/>
                        </wps:cNvCnPr>
                        <wps:spPr bwMode="auto">
                          <a:xfrm>
                            <a:off x="1464" y="6"/>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516" name="Line 2271"/>
                        <wps:cNvCnPr>
                          <a:cxnSpLocks noChangeShapeType="1"/>
                        </wps:cNvCnPr>
                        <wps:spPr bwMode="auto">
                          <a:xfrm>
                            <a:off x="1464" y="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A4988E5" id="Group 2270" o:spid="_x0000_s1026" style="width:138pt;height:.75pt;mso-position-horizontal-relative:char;mso-position-vertical-relative:line" coordsize="276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">
                <v:line id="Line 2282" o:spid="_x0000_s1027" style="position:absolute;visibility:visible;mso-wrap-style:square" from="0,11" to="16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" strokeweight=".12pt"/>
                <v:line id="Line 2281" o:spid="_x0000_s1028" style="position:absolute;visibility:visible;mso-wrap-style:square" from="0,13" to="1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" strokeweight=".12pt"/>
                <v:line id="Line 2280" o:spid="_x0000_s1029" style="position:absolute;visibility:visible;mso-wrap-style:square" from="168,1" to="1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" strokeweight=".12pt"/>
                <v:line id="Line 2279" o:spid="_x0000_s1030" style="position:absolute;visibility:visible;mso-wrap-style:square" from="168,4" to="14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" strokeweight=".12pt"/>
                <v:line id="Line 2278" o:spid="_x0000_s1031" style="position:absolute;visibility:visible;mso-wrap-style:square" from="168,6" to="14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" strokeweight=".12pt"/>
                <v:line id="Line 2277" o:spid="_x0000_s1032" style="position:absolute;visibility:visible;mso-wrap-style:square" from="168,8" to="14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" strokeweight=".12pt"/>
                <v:line id="Line 2276" o:spid="_x0000_s1033" style="position:absolute;visibility:visible;mso-wrap-style:square" from="168,11" to="146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" strokeweight=".12pt"/>
                <v:line id="Line 2275" o:spid="_x0000_s1034" style="position:absolute;visibility:visible;mso-wrap-style:square" from="168,13" to="146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" strokeweight=".12pt"/>
                <v:line id="Line 2274" o:spid="_x0000_s1035" style="position:absolute;visibility:visible;mso-wrap-style:square" from="1464,1" to="27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" strokeweight=".12pt"/>
                <v:line id="Line 2273" o:spid="_x0000_s1036" style="position:absolute;visibility:visible;mso-wrap-style:square" from="1464,4" to="27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" strokeweight=".12pt"/>
                <v:line id="Line 2272" o:spid="_x0000_s1037" style="position:absolute;visibility:visible;mso-wrap-style:square" from="1464,6" to="27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" strokeweight=".12pt"/>
                <v:line id="Line 2271" o:spid="_x0000_s1038" style="position:absolute;visibility:visible;mso-wrap-style:square" from="1464,8" to="27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" strokeweight=".12pt"/>
                <w10:anchorlock/>
              </v:group>
            </w:pict>
          </mc:Fallback>
        </mc:AlternateContent>
      </w:r>
    </w:p>
    <w:p w14:paraId="35B5F06D" w14:textId="77777777" w:rsidR="00FA4AA8" w:rsidRDefault="00FA4AA8">
      <w:pPr>
        <w:spacing w:line="20" w:lineRule="exact"/>
        <w:rPr>
          <w:sz w:val="2"/>
        </w:rPr>
        <w:sectPr w:rsidR="00FA4AA8">
          <w:pgSz w:w="11910" w:h="16840"/>
          <w:pgMar w:top="2220" w:right="880" w:bottom="720" w:left="840" w:header="1016" w:footer="523" w:gutter="0"/>
          <w:cols w:space="720"/>
        </w:sectPr>
      </w:pPr>
    </w:p>
    <w:p w14:paraId="1FD5442A" w14:textId="77777777" w:rsidR="00FA4AA8" w:rsidRDefault="00FA4AA8">
      <w:pPr>
        <w:pStyle w:val="BodyText"/>
        <w:rPr>
          <w:b/>
          <w:sz w:val="20"/>
        </w:rPr>
      </w:pPr>
    </w:p>
    <w:p w14:paraId="53A4CC6F" w14:textId="77777777" w:rsidR="00FA4AA8" w:rsidRDefault="00FA4AA8">
      <w:pPr>
        <w:pStyle w:val="BodyText"/>
        <w:spacing w:before="10"/>
        <w:rPr>
          <w:b/>
          <w:sz w:val="29"/>
        </w:rPr>
      </w:pPr>
    </w:p>
    <w:p w14:paraId="74439B9B" w14:textId="77777777" w:rsidR="00FA4AA8" w:rsidRDefault="0015611F">
      <w:pPr>
        <w:pStyle w:val="ListParagraph"/>
        <w:numPr>
          <w:ilvl w:val="0"/>
          <w:numId w:val="95"/>
        </w:numPr>
        <w:tabs>
          <w:tab w:val="left" w:pos="564"/>
        </w:tabs>
        <w:spacing w:before="94"/>
        <w:ind w:hanging="397"/>
        <w:rPr>
          <w:b/>
          <w:sz w:val="18"/>
        </w:rPr>
      </w:pPr>
      <w:bookmarkStart w:id="58" w:name="28_Key_Management_Personnel_Disclosures_"/>
      <w:bookmarkEnd w:id="58"/>
      <w:r>
        <w:rPr>
          <w:b/>
          <w:sz w:val="18"/>
        </w:rPr>
        <w:t>Key Management Personnel</w:t>
      </w:r>
      <w:r>
        <w:rPr>
          <w:b/>
          <w:spacing w:val="-9"/>
          <w:sz w:val="18"/>
        </w:rPr>
        <w:t xml:space="preserve"> </w:t>
      </w:r>
      <w:r>
        <w:rPr>
          <w:b/>
          <w:sz w:val="18"/>
        </w:rPr>
        <w:t>Disclosures</w:t>
      </w:r>
    </w:p>
    <w:p w14:paraId="60B58EFB" w14:textId="77777777" w:rsidR="00FA4AA8" w:rsidRDefault="00FA4AA8">
      <w:pPr>
        <w:pStyle w:val="BodyText"/>
        <w:spacing w:before="7"/>
        <w:rPr>
          <w:b/>
          <w:sz w:val="26"/>
        </w:rPr>
      </w:pPr>
    </w:p>
    <w:p w14:paraId="303B0ED2" w14:textId="77777777" w:rsidR="00FA4AA8" w:rsidRDefault="0015611F">
      <w:pPr>
        <w:pStyle w:val="ListParagraph"/>
        <w:numPr>
          <w:ilvl w:val="0"/>
          <w:numId w:val="94"/>
        </w:numPr>
        <w:tabs>
          <w:tab w:val="left" w:pos="564"/>
        </w:tabs>
        <w:ind w:hanging="397"/>
        <w:rPr>
          <w:b/>
          <w:sz w:val="18"/>
        </w:rPr>
      </w:pPr>
      <w:r>
        <w:rPr>
          <w:b/>
          <w:sz w:val="18"/>
        </w:rPr>
        <w:t>Names of responsible persons and executive officers</w:t>
      </w:r>
    </w:p>
    <w:p w14:paraId="64B46DBF" w14:textId="77777777" w:rsidR="00FA4AA8" w:rsidRDefault="00FA4AA8">
      <w:pPr>
        <w:pStyle w:val="BodyText"/>
        <w:spacing w:before="5"/>
        <w:rPr>
          <w:b/>
          <w:sz w:val="25"/>
        </w:rPr>
      </w:pPr>
    </w:p>
    <w:p w14:paraId="78E321F5" w14:textId="77777777" w:rsidR="00FA4AA8" w:rsidRDefault="0015611F">
      <w:pPr>
        <w:pStyle w:val="BodyText"/>
        <w:ind w:left="563" w:right="132"/>
      </w:pPr>
      <w:r>
        <w:t>The following persons were responsible persons and executive officers of Western Sydney University during the financial year:</w:t>
      </w:r>
    </w:p>
    <w:p w14:paraId="3C9AB196" w14:textId="77777777" w:rsidR="00FA4AA8" w:rsidRDefault="00FA4AA8">
      <w:pPr>
        <w:pStyle w:val="BodyText"/>
        <w:spacing w:before="11"/>
        <w:rPr>
          <w:sz w:val="24"/>
        </w:rPr>
      </w:pPr>
    </w:p>
    <w:p w14:paraId="159B8B74" w14:textId="77777777" w:rsidR="00FA4AA8" w:rsidRDefault="0015611F">
      <w:pPr>
        <w:numPr>
          <w:ilvl w:val="1"/>
          <w:numId w:val="94"/>
        </w:numPr>
        <w:tabs>
          <w:tab w:val="left" w:pos="785"/>
        </w:tabs>
        <w:rPr>
          <w:b/>
          <w:sz w:val="18"/>
        </w:rPr>
      </w:pPr>
      <w:r>
        <w:rPr>
          <w:b/>
          <w:sz w:val="18"/>
        </w:rPr>
        <w:t>Names of Responsible Persons</w:t>
      </w:r>
    </w:p>
    <w:p w14:paraId="0B41B151" w14:textId="77777777" w:rsidR="00FA4AA8" w:rsidRDefault="00FA4AA8">
      <w:pPr>
        <w:pStyle w:val="BodyText"/>
        <w:rPr>
          <w:b/>
          <w:sz w:val="25"/>
        </w:rPr>
      </w:pPr>
    </w:p>
    <w:p w14:paraId="723C3189" w14:textId="77777777" w:rsidR="00FA4AA8" w:rsidRDefault="0015611F">
      <w:pPr>
        <w:pStyle w:val="BodyText"/>
        <w:ind w:left="564"/>
      </w:pPr>
      <w:r>
        <w:t>'Responsible person' is defined to mean a member of the University's Board of Trustees who had authority and responsibility for planning, directing and controlling activities of the University in 2018.</w:t>
      </w:r>
    </w:p>
    <w:p w14:paraId="0A454F0E" w14:textId="77777777" w:rsidR="00FA4AA8" w:rsidRDefault="00FA4AA8">
      <w:pPr>
        <w:pStyle w:val="BodyText"/>
        <w:spacing w:before="4"/>
        <w:rPr>
          <w:sz w:val="29"/>
        </w:rPr>
      </w:pPr>
    </w:p>
    <w:p w14:paraId="1FF69059" w14:textId="77777777" w:rsidR="00FA4AA8" w:rsidRDefault="0015611F">
      <w:pPr>
        <w:pStyle w:val="BodyText"/>
        <w:spacing w:line="300" w:lineRule="auto"/>
        <w:ind w:left="563" w:right="8056"/>
      </w:pPr>
      <w:r>
        <w:t>Peter Shergold, AC Barney Glover, AO</w:t>
      </w:r>
    </w:p>
    <w:p w14:paraId="510C6C04" w14:textId="77777777" w:rsidR="00FA4AA8" w:rsidRDefault="0015611F">
      <w:pPr>
        <w:pStyle w:val="BodyText"/>
        <w:spacing w:before="1" w:line="300" w:lineRule="auto"/>
        <w:ind w:left="563" w:right="5013"/>
      </w:pPr>
      <w:r>
        <w:t>Alphia Possamai-Inesedy - commenced 1 February 2018 Paul Wormell - ceased 31 January 2018</w:t>
      </w:r>
    </w:p>
    <w:p w14:paraId="6498AC71" w14:textId="77777777" w:rsidR="00FA4AA8" w:rsidRDefault="0015611F">
      <w:pPr>
        <w:pStyle w:val="BodyText"/>
        <w:spacing w:before="1" w:line="300" w:lineRule="auto"/>
        <w:ind w:left="563" w:right="7746"/>
      </w:pPr>
      <w:r>
        <w:t>Christopher Brown, AM Peeyush Gupta, AM Gabrielle Trainor, AO Kerry Stubbs</w:t>
      </w:r>
    </w:p>
    <w:p w14:paraId="501C66D5" w14:textId="77777777" w:rsidR="00FA4AA8" w:rsidRDefault="0015611F">
      <w:pPr>
        <w:pStyle w:val="BodyText"/>
        <w:spacing w:before="2" w:line="300" w:lineRule="auto"/>
        <w:ind w:left="563" w:right="8136"/>
      </w:pPr>
      <w:r>
        <w:t>Carmel Hourigan Elizabeth Dibbs Genevieve Gregor</w:t>
      </w:r>
    </w:p>
    <w:p w14:paraId="6CA1D5EA" w14:textId="77777777" w:rsidR="00FA4AA8" w:rsidRDefault="0015611F">
      <w:pPr>
        <w:pStyle w:val="BodyText"/>
        <w:spacing w:before="1" w:line="300" w:lineRule="auto"/>
        <w:ind w:left="564" w:right="5719"/>
      </w:pPr>
      <w:r>
        <w:t>Linda O'Brien, AM - commenced 1 January 2018 Joseph Carrozzi - commenced 1 January 2018 Holly Kramer - commenced 1 January 2018 Mary Ann Bin-Sallik, AM</w:t>
      </w:r>
    </w:p>
    <w:p w14:paraId="1798585D" w14:textId="77777777" w:rsidR="00FA4AA8" w:rsidRDefault="0015611F">
      <w:pPr>
        <w:pStyle w:val="BodyText"/>
        <w:spacing w:before="2" w:line="300" w:lineRule="auto"/>
        <w:ind w:left="564" w:right="8025"/>
      </w:pPr>
      <w:r>
        <w:t>Alexandra Coleman Ben Etherington</w:t>
      </w:r>
    </w:p>
    <w:p w14:paraId="4A82A00E" w14:textId="77777777" w:rsidR="00FA4AA8" w:rsidRDefault="0015611F">
      <w:pPr>
        <w:pStyle w:val="BodyText"/>
        <w:spacing w:before="1" w:line="300" w:lineRule="auto"/>
        <w:ind w:left="564" w:right="5562"/>
      </w:pPr>
      <w:r>
        <w:t>Nicole Gismondo - commenced 1 January 2018 David Harland - commenced 1 January 2018</w:t>
      </w:r>
    </w:p>
    <w:p w14:paraId="104322BD" w14:textId="77777777" w:rsidR="00FA4AA8" w:rsidRDefault="00FA4AA8">
      <w:pPr>
        <w:spacing w:line="300" w:lineRule="auto"/>
        <w:sectPr w:rsidR="00FA4AA8">
          <w:pgSz w:w="11910" w:h="16840"/>
          <w:pgMar w:top="2220" w:right="880" w:bottom="720" w:left="840" w:header="1016" w:footer="523" w:gutter="0"/>
          <w:cols w:space="720"/>
        </w:sectPr>
      </w:pPr>
    </w:p>
    <w:p w14:paraId="7A98647A" w14:textId="77777777" w:rsidR="00FA4AA8" w:rsidRDefault="00FA4AA8">
      <w:pPr>
        <w:pStyle w:val="BodyText"/>
        <w:rPr>
          <w:sz w:val="20"/>
        </w:rPr>
      </w:pPr>
    </w:p>
    <w:p w14:paraId="4353A8E3" w14:textId="77777777" w:rsidR="00FA4AA8" w:rsidRDefault="00FA4AA8">
      <w:pPr>
        <w:pStyle w:val="BodyText"/>
        <w:spacing w:before="10"/>
        <w:rPr>
          <w:sz w:val="29"/>
        </w:rPr>
      </w:pPr>
    </w:p>
    <w:p w14:paraId="7B82DD02" w14:textId="77777777" w:rsidR="00FA4AA8" w:rsidRDefault="0015611F">
      <w:pPr>
        <w:spacing w:before="94"/>
        <w:ind w:left="167"/>
        <w:rPr>
          <w:b/>
          <w:sz w:val="18"/>
        </w:rPr>
      </w:pPr>
      <w:r>
        <w:rPr>
          <w:b/>
          <w:sz w:val="18"/>
        </w:rPr>
        <w:t>28 Key Management Personnel Disclosures (continued)</w:t>
      </w:r>
    </w:p>
    <w:p w14:paraId="6665A00B" w14:textId="77777777" w:rsidR="00FA4AA8" w:rsidRDefault="00FA4AA8">
      <w:pPr>
        <w:pStyle w:val="BodyText"/>
        <w:spacing w:before="7"/>
        <w:rPr>
          <w:b/>
          <w:sz w:val="26"/>
        </w:rPr>
      </w:pPr>
    </w:p>
    <w:p w14:paraId="63B9ABD2" w14:textId="77777777" w:rsidR="00FA4AA8" w:rsidRDefault="0015611F">
      <w:pPr>
        <w:pStyle w:val="ListParagraph"/>
        <w:numPr>
          <w:ilvl w:val="0"/>
          <w:numId w:val="93"/>
        </w:numPr>
        <w:tabs>
          <w:tab w:val="left" w:pos="564"/>
        </w:tabs>
        <w:ind w:hanging="397"/>
        <w:rPr>
          <w:b/>
          <w:sz w:val="18"/>
        </w:rPr>
      </w:pPr>
      <w:r>
        <w:rPr>
          <w:b/>
          <w:sz w:val="18"/>
        </w:rPr>
        <w:t>Names of responsible persons and executive officers (continued)</w:t>
      </w:r>
    </w:p>
    <w:p w14:paraId="650191B8" w14:textId="77777777" w:rsidR="00FA4AA8" w:rsidRDefault="00FA4AA8">
      <w:pPr>
        <w:pStyle w:val="BodyText"/>
        <w:spacing w:before="5"/>
        <w:rPr>
          <w:b/>
          <w:sz w:val="25"/>
        </w:rPr>
      </w:pPr>
    </w:p>
    <w:p w14:paraId="08403868" w14:textId="77777777" w:rsidR="00FA4AA8" w:rsidRDefault="0015611F">
      <w:pPr>
        <w:pStyle w:val="ListParagraph"/>
        <w:numPr>
          <w:ilvl w:val="1"/>
          <w:numId w:val="94"/>
        </w:numPr>
        <w:tabs>
          <w:tab w:val="left" w:pos="836"/>
        </w:tabs>
        <w:ind w:left="835" w:hanging="272"/>
        <w:rPr>
          <w:b/>
          <w:sz w:val="18"/>
        </w:rPr>
      </w:pPr>
      <w:r>
        <w:rPr>
          <w:b/>
          <w:sz w:val="18"/>
        </w:rPr>
        <w:t>Names of Executive Officers</w:t>
      </w:r>
    </w:p>
    <w:p w14:paraId="22C0AB39" w14:textId="77777777" w:rsidR="00FA4AA8" w:rsidRDefault="00FA4AA8">
      <w:pPr>
        <w:pStyle w:val="BodyText"/>
        <w:rPr>
          <w:b/>
          <w:sz w:val="25"/>
        </w:rPr>
      </w:pPr>
    </w:p>
    <w:p w14:paraId="54758172" w14:textId="77777777" w:rsidR="00FA4AA8" w:rsidRDefault="0015611F">
      <w:pPr>
        <w:pStyle w:val="BodyText"/>
        <w:ind w:left="563" w:right="132"/>
      </w:pPr>
      <w:r>
        <w:t>'Executive' is defined to mean the Chief Executive Officer plus the members of the Executive Committee of the University. In 2018 these were:</w:t>
      </w:r>
    </w:p>
    <w:p w14:paraId="3AF3E727" w14:textId="77777777" w:rsidR="00FA4AA8" w:rsidRDefault="00FA4AA8">
      <w:pPr>
        <w:pStyle w:val="BodyText"/>
        <w:spacing w:before="4"/>
        <w:rPr>
          <w:sz w:val="29"/>
        </w:rPr>
      </w:pPr>
    </w:p>
    <w:p w14:paraId="39F79CDC" w14:textId="77777777" w:rsidR="00FA4AA8" w:rsidRDefault="0015611F">
      <w:pPr>
        <w:pStyle w:val="BodyText"/>
        <w:spacing w:line="300" w:lineRule="auto"/>
        <w:ind w:left="564" w:right="8111"/>
      </w:pPr>
      <w:r>
        <w:t xml:space="preserve">Barney Glover, </w:t>
      </w:r>
      <w:r>
        <w:rPr>
          <w:spacing w:val="-8"/>
        </w:rPr>
        <w:t xml:space="preserve">AO </w:t>
      </w:r>
      <w:r>
        <w:t>Scott Holmes Denise Kirkpatrick Sharon Bell Angelo Kourtis Peter Pickering Deborah Sweeney Linda Taylor</w:t>
      </w:r>
    </w:p>
    <w:p w14:paraId="6B4967A8" w14:textId="77777777" w:rsidR="00FA4AA8" w:rsidRDefault="0015611F">
      <w:pPr>
        <w:pStyle w:val="BodyText"/>
        <w:spacing w:before="4" w:line="300" w:lineRule="auto"/>
        <w:ind w:left="564" w:right="5562"/>
      </w:pPr>
      <w:r>
        <w:t>Lisa Jackson-Pulver - ceased 12 October 2018 Simon Barrie</w:t>
      </w:r>
    </w:p>
    <w:p w14:paraId="7A1A79A9" w14:textId="77777777" w:rsidR="00FA4AA8" w:rsidRDefault="0015611F">
      <w:pPr>
        <w:pStyle w:val="BodyText"/>
        <w:spacing w:before="1" w:line="300" w:lineRule="auto"/>
        <w:ind w:left="564" w:right="8225"/>
      </w:pPr>
      <w:r>
        <w:t>Kevin Bell Michael</w:t>
      </w:r>
      <w:r>
        <w:rPr>
          <w:spacing w:val="-13"/>
        </w:rPr>
        <w:t xml:space="preserve"> </w:t>
      </w:r>
      <w:r>
        <w:t>Burgess</w:t>
      </w:r>
    </w:p>
    <w:p w14:paraId="64BA3C4F" w14:textId="77777777" w:rsidR="00FA4AA8" w:rsidRDefault="0015611F">
      <w:pPr>
        <w:pStyle w:val="BodyText"/>
        <w:spacing w:before="1" w:line="300" w:lineRule="auto"/>
        <w:ind w:left="564" w:right="5013"/>
      </w:pPr>
      <w:r>
        <w:t>James Arvanitakis - commenced 14 February 2018 Steven Freeland</w:t>
      </w:r>
    </w:p>
    <w:p w14:paraId="57A87C8A" w14:textId="77777777" w:rsidR="00FA4AA8" w:rsidRDefault="0015611F">
      <w:pPr>
        <w:pStyle w:val="BodyText"/>
        <w:spacing w:before="1" w:line="300" w:lineRule="auto"/>
        <w:ind w:left="564" w:right="7885"/>
      </w:pPr>
      <w:r>
        <w:t>Annemarie Hennessy Deborah Hatcher Kevin Dunn</w:t>
      </w:r>
    </w:p>
    <w:p w14:paraId="75BE8BCD" w14:textId="77777777" w:rsidR="00FA4AA8" w:rsidRDefault="0015611F">
      <w:pPr>
        <w:pStyle w:val="BodyText"/>
        <w:spacing w:before="1" w:line="300" w:lineRule="auto"/>
        <w:ind w:left="564" w:right="8325"/>
      </w:pPr>
      <w:r>
        <w:t>Gregory Kolt Michele Simons</w:t>
      </w:r>
      <w:bookmarkStart w:id="59" w:name="(b)_Remuneration_of_Board_Members_and_Ex"/>
      <w:bookmarkEnd w:id="59"/>
      <w:r>
        <w:t xml:space="preserve"> Peter Hutchings Simeon Simoff Kerry Holling</w:t>
      </w:r>
    </w:p>
    <w:p w14:paraId="2A06373A" w14:textId="77777777" w:rsidR="00FA4AA8" w:rsidRDefault="0015611F">
      <w:pPr>
        <w:pStyle w:val="BodyText"/>
        <w:spacing w:before="2"/>
        <w:ind w:left="564"/>
      </w:pPr>
      <w:r>
        <w:t>Amir Mahmood - commenced 15 October 2018</w:t>
      </w:r>
    </w:p>
    <w:p w14:paraId="4B817A5F" w14:textId="77777777" w:rsidR="00FA4AA8" w:rsidRDefault="00FA4AA8">
      <w:pPr>
        <w:pStyle w:val="BodyText"/>
        <w:rPr>
          <w:sz w:val="29"/>
        </w:rPr>
      </w:pPr>
    </w:p>
    <w:p w14:paraId="4140613C" w14:textId="77777777" w:rsidR="00FA4AA8" w:rsidRDefault="0015611F">
      <w:pPr>
        <w:numPr>
          <w:ilvl w:val="0"/>
          <w:numId w:val="93"/>
        </w:numPr>
        <w:tabs>
          <w:tab w:val="left" w:pos="564"/>
        </w:tabs>
        <w:ind w:hanging="397"/>
        <w:rPr>
          <w:b/>
          <w:sz w:val="18"/>
        </w:rPr>
      </w:pPr>
      <w:r>
        <w:rPr>
          <w:b/>
          <w:sz w:val="18"/>
        </w:rPr>
        <w:t>Remuneration of Board Members and Executives</w:t>
      </w:r>
    </w:p>
    <w:p w14:paraId="5DDF02A7" w14:textId="77777777" w:rsidR="00FA4AA8" w:rsidRDefault="00FA4AA8">
      <w:pPr>
        <w:pStyle w:val="BodyText"/>
        <w:rPr>
          <w:b/>
          <w:sz w:val="20"/>
        </w:rPr>
      </w:pPr>
    </w:p>
    <w:p w14:paraId="4F75A1ED" w14:textId="77777777" w:rsidR="00FA4AA8" w:rsidRDefault="00FA4AA8">
      <w:pPr>
        <w:pStyle w:val="BodyText"/>
        <w:spacing w:before="1"/>
        <w:rPr>
          <w:b/>
        </w:rPr>
      </w:pPr>
    </w:p>
    <w:p w14:paraId="6ED1D218" w14:textId="77777777" w:rsidR="00FA4AA8" w:rsidRDefault="0015611F">
      <w:pPr>
        <w:tabs>
          <w:tab w:val="left" w:pos="8426"/>
        </w:tabs>
        <w:spacing w:before="94"/>
        <w:ind w:left="5376"/>
        <w:rPr>
          <w:b/>
          <w:sz w:val="18"/>
        </w:rPr>
      </w:pPr>
      <w:r>
        <w:rPr>
          <w:b/>
          <w:sz w:val="18"/>
        </w:rPr>
        <w:t>Consolidated</w:t>
      </w:r>
      <w:r>
        <w:rPr>
          <w:b/>
          <w:sz w:val="18"/>
        </w:rPr>
        <w:tab/>
        <w:t>Parent</w:t>
      </w:r>
    </w:p>
    <w:p w14:paraId="0275CA20" w14:textId="77777777" w:rsidR="00FA4AA8" w:rsidRDefault="0015611F">
      <w:pPr>
        <w:tabs>
          <w:tab w:val="left" w:pos="6448"/>
          <w:tab w:val="left" w:pos="7912"/>
          <w:tab w:val="left" w:pos="9208"/>
        </w:tabs>
        <w:spacing w:before="67"/>
        <w:ind w:left="5152"/>
        <w:rPr>
          <w:b/>
          <w:sz w:val="18"/>
        </w:rPr>
      </w:pPr>
      <w:r>
        <w:rPr>
          <w:b/>
          <w:sz w:val="18"/>
        </w:rPr>
        <w:t>2018</w:t>
      </w:r>
      <w:r>
        <w:rPr>
          <w:b/>
          <w:sz w:val="18"/>
        </w:rPr>
        <w:tab/>
        <w:t>2017</w:t>
      </w:r>
      <w:r>
        <w:rPr>
          <w:b/>
          <w:sz w:val="18"/>
        </w:rPr>
        <w:tab/>
        <w:t>2018</w:t>
      </w:r>
      <w:r>
        <w:rPr>
          <w:b/>
          <w:sz w:val="18"/>
        </w:rPr>
        <w:tab/>
        <w:t>2017</w:t>
      </w:r>
    </w:p>
    <w:p w14:paraId="7BD7D436" w14:textId="77777777" w:rsidR="00FA4AA8" w:rsidRDefault="0015611F">
      <w:pPr>
        <w:spacing w:before="146"/>
        <w:ind w:left="590"/>
        <w:rPr>
          <w:b/>
          <w:sz w:val="18"/>
        </w:rPr>
      </w:pPr>
      <w:r>
        <w:rPr>
          <w:b/>
          <w:sz w:val="18"/>
        </w:rPr>
        <w:t>Remuneration of Board Members</w:t>
      </w:r>
    </w:p>
    <w:p w14:paraId="21F50A5E" w14:textId="77777777" w:rsidR="00FA4AA8" w:rsidRDefault="0015611F">
      <w:pPr>
        <w:pStyle w:val="BodyText"/>
        <w:tabs>
          <w:tab w:val="left" w:pos="5829"/>
          <w:tab w:val="left" w:pos="7125"/>
          <w:tab w:val="left" w:pos="8630"/>
          <w:tab w:val="left" w:pos="9926"/>
        </w:tabs>
        <w:spacing w:before="30"/>
        <w:ind w:left="590"/>
      </w:pPr>
      <w:r>
        <w:t>Nil</w:t>
      </w:r>
      <w:r>
        <w:rPr>
          <w:spacing w:val="1"/>
        </w:rPr>
        <w:t xml:space="preserve"> </w:t>
      </w:r>
      <w:r>
        <w:t>to</w:t>
      </w:r>
      <w:r>
        <w:rPr>
          <w:spacing w:val="1"/>
        </w:rPr>
        <w:t xml:space="preserve"> </w:t>
      </w:r>
      <w:r>
        <w:t>$14,999</w:t>
      </w:r>
      <w:r>
        <w:tab/>
      </w:r>
      <w:r>
        <w:rPr>
          <w:b/>
        </w:rPr>
        <w:t>5</w:t>
      </w:r>
      <w:r>
        <w:rPr>
          <w:b/>
        </w:rPr>
        <w:tab/>
      </w:r>
      <w:r>
        <w:t>4</w:t>
      </w:r>
      <w:r>
        <w:tab/>
      </w:r>
      <w:r>
        <w:rPr>
          <w:b/>
        </w:rPr>
        <w:t>-</w:t>
      </w:r>
      <w:r>
        <w:rPr>
          <w:b/>
        </w:rPr>
        <w:tab/>
      </w:r>
      <w:r>
        <w:t>-</w:t>
      </w:r>
    </w:p>
    <w:p w14:paraId="509B6E2C" w14:textId="77777777" w:rsidR="00FA4AA8" w:rsidRDefault="0015611F">
      <w:pPr>
        <w:pStyle w:val="BodyText"/>
        <w:tabs>
          <w:tab w:val="left" w:pos="5829"/>
          <w:tab w:val="left" w:pos="7166"/>
          <w:tab w:val="left" w:pos="8630"/>
          <w:tab w:val="left" w:pos="9926"/>
        </w:tabs>
        <w:spacing w:before="57"/>
        <w:ind w:left="590"/>
      </w:pPr>
      <w:r>
        <w:t>$15,000</w:t>
      </w:r>
      <w:r>
        <w:rPr>
          <w:spacing w:val="1"/>
        </w:rPr>
        <w:t xml:space="preserve"> </w:t>
      </w:r>
      <w:r>
        <w:t>to</w:t>
      </w:r>
      <w:r>
        <w:rPr>
          <w:spacing w:val="1"/>
        </w:rPr>
        <w:t xml:space="preserve"> </w:t>
      </w:r>
      <w:r>
        <w:t>$29,999</w:t>
      </w:r>
      <w:r>
        <w:tab/>
      </w:r>
      <w:r>
        <w:rPr>
          <w:b/>
        </w:rPr>
        <w:t>1</w:t>
      </w:r>
      <w:r>
        <w:rPr>
          <w:b/>
        </w:rPr>
        <w:tab/>
      </w:r>
      <w:r>
        <w:t>-</w:t>
      </w:r>
      <w:r>
        <w:tab/>
      </w:r>
      <w:r>
        <w:rPr>
          <w:b/>
        </w:rPr>
        <w:t>-</w:t>
      </w:r>
      <w:r>
        <w:rPr>
          <w:b/>
        </w:rPr>
        <w:tab/>
      </w:r>
      <w:r>
        <w:t>-</w:t>
      </w:r>
    </w:p>
    <w:p w14:paraId="75DE6666" w14:textId="77777777" w:rsidR="00FA4AA8" w:rsidRDefault="007E2441">
      <w:pPr>
        <w:pStyle w:val="BodyText"/>
        <w:tabs>
          <w:tab w:val="left" w:pos="5829"/>
          <w:tab w:val="left" w:pos="7125"/>
          <w:tab w:val="left" w:pos="8589"/>
          <w:tab w:val="right" w:pos="9985"/>
        </w:tabs>
        <w:spacing w:before="57"/>
        <w:ind w:left="590"/>
      </w:pPr>
      <w:r>
        <w:rPr>
          <w:noProof/>
          <w:lang w:val="en-AU" w:eastAsia="en-AU"/>
        </w:rPr>
        <mc:AlternateContent>
          <mc:Choice Requires="wpg">
            <w:drawing>
              <wp:anchor distT="0" distB="0" distL="114300" distR="114300" simplePos="0" relativeHeight="15751168" behindDoc="0" locked="0" layoutInCell="1" allowOverlap="1" wp14:anchorId="78A3CF3E" wp14:editId="3F527316">
                <wp:simplePos x="0" y="0"/>
                <wp:positionH relativeFrom="page">
                  <wp:posOffset>3424555</wp:posOffset>
                </wp:positionH>
                <wp:positionV relativeFrom="paragraph">
                  <wp:posOffset>182245</wp:posOffset>
                </wp:positionV>
                <wp:extent cx="2383155" cy="8255"/>
                <wp:effectExtent l="0" t="0" r="0" b="0"/>
                <wp:wrapNone/>
                <wp:docPr id="2407" name="Group 2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3155" cy="8255"/>
                          <a:chOff x="5393" y="287"/>
                          <a:chExt cx="5520" cy="20"/>
                        </a:xfrm>
                      </wpg:grpSpPr>
                      <wps:wsp>
                        <wps:cNvPr id="2408" name="Line 2269"/>
                        <wps:cNvCnPr>
                          <a:cxnSpLocks noChangeShapeType="1"/>
                        </wps:cNvCnPr>
                        <wps:spPr bwMode="auto">
                          <a:xfrm>
                            <a:off x="5393" y="288"/>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409" name="Line 2268"/>
                        <wps:cNvCnPr>
                          <a:cxnSpLocks noChangeShapeType="1"/>
                        </wps:cNvCnPr>
                        <wps:spPr bwMode="auto">
                          <a:xfrm>
                            <a:off x="5393" y="291"/>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410" name="Line 2267"/>
                        <wps:cNvCnPr>
                          <a:cxnSpLocks noChangeShapeType="1"/>
                        </wps:cNvCnPr>
                        <wps:spPr bwMode="auto">
                          <a:xfrm>
                            <a:off x="5393" y="293"/>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411" name="Line 2266"/>
                        <wps:cNvCnPr>
                          <a:cxnSpLocks noChangeShapeType="1"/>
                        </wps:cNvCnPr>
                        <wps:spPr bwMode="auto">
                          <a:xfrm>
                            <a:off x="5393" y="295"/>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412" name="Line 2265"/>
                        <wps:cNvCnPr>
                          <a:cxnSpLocks noChangeShapeType="1"/>
                        </wps:cNvCnPr>
                        <wps:spPr bwMode="auto">
                          <a:xfrm>
                            <a:off x="5393" y="298"/>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413" name="Line 2264"/>
                        <wps:cNvCnPr>
                          <a:cxnSpLocks noChangeShapeType="1"/>
                        </wps:cNvCnPr>
                        <wps:spPr bwMode="auto">
                          <a:xfrm>
                            <a:off x="5393" y="300"/>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414" name="Line 2263"/>
                        <wps:cNvCnPr>
                          <a:cxnSpLocks noChangeShapeType="1"/>
                        </wps:cNvCnPr>
                        <wps:spPr bwMode="auto">
                          <a:xfrm>
                            <a:off x="5393" y="303"/>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415" name="Line 2262"/>
                        <wps:cNvCnPr>
                          <a:cxnSpLocks noChangeShapeType="1"/>
                        </wps:cNvCnPr>
                        <wps:spPr bwMode="auto">
                          <a:xfrm>
                            <a:off x="5393" y="305"/>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416" name="Line 2261"/>
                        <wps:cNvCnPr>
                          <a:cxnSpLocks noChangeShapeType="1"/>
                        </wps:cNvCnPr>
                        <wps:spPr bwMode="auto">
                          <a:xfrm>
                            <a:off x="5561" y="28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417" name="Line 2260"/>
                        <wps:cNvCnPr>
                          <a:cxnSpLocks noChangeShapeType="1"/>
                        </wps:cNvCnPr>
                        <wps:spPr bwMode="auto">
                          <a:xfrm>
                            <a:off x="5561" y="29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418" name="Line 2259"/>
                        <wps:cNvCnPr>
                          <a:cxnSpLocks noChangeShapeType="1"/>
                        </wps:cNvCnPr>
                        <wps:spPr bwMode="auto">
                          <a:xfrm>
                            <a:off x="5561" y="29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419" name="Line 2258"/>
                        <wps:cNvCnPr>
                          <a:cxnSpLocks noChangeShapeType="1"/>
                        </wps:cNvCnPr>
                        <wps:spPr bwMode="auto">
                          <a:xfrm>
                            <a:off x="5561" y="29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420" name="Line 2257"/>
                        <wps:cNvCnPr>
                          <a:cxnSpLocks noChangeShapeType="1"/>
                        </wps:cNvCnPr>
                        <wps:spPr bwMode="auto">
                          <a:xfrm>
                            <a:off x="5561" y="29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421" name="Line 2256"/>
                        <wps:cNvCnPr>
                          <a:cxnSpLocks noChangeShapeType="1"/>
                        </wps:cNvCnPr>
                        <wps:spPr bwMode="auto">
                          <a:xfrm>
                            <a:off x="5561" y="30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422" name="Line 2255"/>
                        <wps:cNvCnPr>
                          <a:cxnSpLocks noChangeShapeType="1"/>
                        </wps:cNvCnPr>
                        <wps:spPr bwMode="auto">
                          <a:xfrm>
                            <a:off x="5561" y="30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423" name="Line 2254"/>
                        <wps:cNvCnPr>
                          <a:cxnSpLocks noChangeShapeType="1"/>
                        </wps:cNvCnPr>
                        <wps:spPr bwMode="auto">
                          <a:xfrm>
                            <a:off x="5561" y="30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424" name="Line 2253"/>
                        <wps:cNvCnPr>
                          <a:cxnSpLocks noChangeShapeType="1"/>
                        </wps:cNvCnPr>
                        <wps:spPr bwMode="auto">
                          <a:xfrm>
                            <a:off x="6857" y="28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425" name="Line 2252"/>
                        <wps:cNvCnPr>
                          <a:cxnSpLocks noChangeShapeType="1"/>
                        </wps:cNvCnPr>
                        <wps:spPr bwMode="auto">
                          <a:xfrm>
                            <a:off x="6857" y="29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426" name="Line 2251"/>
                        <wps:cNvCnPr>
                          <a:cxnSpLocks noChangeShapeType="1"/>
                        </wps:cNvCnPr>
                        <wps:spPr bwMode="auto">
                          <a:xfrm>
                            <a:off x="6857" y="29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427" name="Line 2250"/>
                        <wps:cNvCnPr>
                          <a:cxnSpLocks noChangeShapeType="1"/>
                        </wps:cNvCnPr>
                        <wps:spPr bwMode="auto">
                          <a:xfrm>
                            <a:off x="6857" y="29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428" name="Line 2249"/>
                        <wps:cNvCnPr>
                          <a:cxnSpLocks noChangeShapeType="1"/>
                        </wps:cNvCnPr>
                        <wps:spPr bwMode="auto">
                          <a:xfrm>
                            <a:off x="6857" y="29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429" name="Line 2248"/>
                        <wps:cNvCnPr>
                          <a:cxnSpLocks noChangeShapeType="1"/>
                        </wps:cNvCnPr>
                        <wps:spPr bwMode="auto">
                          <a:xfrm>
                            <a:off x="6857" y="30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430" name="Line 2247"/>
                        <wps:cNvCnPr>
                          <a:cxnSpLocks noChangeShapeType="1"/>
                        </wps:cNvCnPr>
                        <wps:spPr bwMode="auto">
                          <a:xfrm>
                            <a:off x="6857" y="30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431" name="Line 2246"/>
                        <wps:cNvCnPr>
                          <a:cxnSpLocks noChangeShapeType="1"/>
                        </wps:cNvCnPr>
                        <wps:spPr bwMode="auto">
                          <a:xfrm>
                            <a:off x="6857" y="30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432" name="Line 2245"/>
                        <wps:cNvCnPr>
                          <a:cxnSpLocks noChangeShapeType="1"/>
                        </wps:cNvCnPr>
                        <wps:spPr bwMode="auto">
                          <a:xfrm>
                            <a:off x="8153" y="288"/>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433" name="Line 2244"/>
                        <wps:cNvCnPr>
                          <a:cxnSpLocks noChangeShapeType="1"/>
                        </wps:cNvCnPr>
                        <wps:spPr bwMode="auto">
                          <a:xfrm>
                            <a:off x="8153" y="291"/>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434" name="Line 2243"/>
                        <wps:cNvCnPr>
                          <a:cxnSpLocks noChangeShapeType="1"/>
                        </wps:cNvCnPr>
                        <wps:spPr bwMode="auto">
                          <a:xfrm>
                            <a:off x="8153" y="293"/>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435" name="Line 2242"/>
                        <wps:cNvCnPr>
                          <a:cxnSpLocks noChangeShapeType="1"/>
                        </wps:cNvCnPr>
                        <wps:spPr bwMode="auto">
                          <a:xfrm>
                            <a:off x="8153" y="295"/>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436" name="Line 2241"/>
                        <wps:cNvCnPr>
                          <a:cxnSpLocks noChangeShapeType="1"/>
                        </wps:cNvCnPr>
                        <wps:spPr bwMode="auto">
                          <a:xfrm>
                            <a:off x="8153" y="298"/>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437" name="Line 2240"/>
                        <wps:cNvCnPr>
                          <a:cxnSpLocks noChangeShapeType="1"/>
                        </wps:cNvCnPr>
                        <wps:spPr bwMode="auto">
                          <a:xfrm>
                            <a:off x="8153" y="300"/>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438" name="Line 2239"/>
                        <wps:cNvCnPr>
                          <a:cxnSpLocks noChangeShapeType="1"/>
                        </wps:cNvCnPr>
                        <wps:spPr bwMode="auto">
                          <a:xfrm>
                            <a:off x="8153" y="303"/>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439" name="Line 2238"/>
                        <wps:cNvCnPr>
                          <a:cxnSpLocks noChangeShapeType="1"/>
                        </wps:cNvCnPr>
                        <wps:spPr bwMode="auto">
                          <a:xfrm>
                            <a:off x="8153" y="305"/>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440" name="Line 2237"/>
                        <wps:cNvCnPr>
                          <a:cxnSpLocks noChangeShapeType="1"/>
                        </wps:cNvCnPr>
                        <wps:spPr bwMode="auto">
                          <a:xfrm>
                            <a:off x="8321" y="28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441" name="Line 2236"/>
                        <wps:cNvCnPr>
                          <a:cxnSpLocks noChangeShapeType="1"/>
                        </wps:cNvCnPr>
                        <wps:spPr bwMode="auto">
                          <a:xfrm>
                            <a:off x="8321" y="29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442" name="Line 2235"/>
                        <wps:cNvCnPr>
                          <a:cxnSpLocks noChangeShapeType="1"/>
                        </wps:cNvCnPr>
                        <wps:spPr bwMode="auto">
                          <a:xfrm>
                            <a:off x="8321" y="29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443" name="Line 2234"/>
                        <wps:cNvCnPr>
                          <a:cxnSpLocks noChangeShapeType="1"/>
                        </wps:cNvCnPr>
                        <wps:spPr bwMode="auto">
                          <a:xfrm>
                            <a:off x="8321" y="29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444" name="Line 2233"/>
                        <wps:cNvCnPr>
                          <a:cxnSpLocks noChangeShapeType="1"/>
                        </wps:cNvCnPr>
                        <wps:spPr bwMode="auto">
                          <a:xfrm>
                            <a:off x="8321" y="29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445" name="Line 2232"/>
                        <wps:cNvCnPr>
                          <a:cxnSpLocks noChangeShapeType="1"/>
                        </wps:cNvCnPr>
                        <wps:spPr bwMode="auto">
                          <a:xfrm>
                            <a:off x="8321" y="30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446" name="Line 2231"/>
                        <wps:cNvCnPr>
                          <a:cxnSpLocks noChangeShapeType="1"/>
                        </wps:cNvCnPr>
                        <wps:spPr bwMode="auto">
                          <a:xfrm>
                            <a:off x="8321" y="30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447" name="Line 2230"/>
                        <wps:cNvCnPr>
                          <a:cxnSpLocks noChangeShapeType="1"/>
                        </wps:cNvCnPr>
                        <wps:spPr bwMode="auto">
                          <a:xfrm>
                            <a:off x="8321" y="30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448" name="Line 2229"/>
                        <wps:cNvCnPr>
                          <a:cxnSpLocks noChangeShapeType="1"/>
                        </wps:cNvCnPr>
                        <wps:spPr bwMode="auto">
                          <a:xfrm>
                            <a:off x="9617" y="28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449" name="Line 2228"/>
                        <wps:cNvCnPr>
                          <a:cxnSpLocks noChangeShapeType="1"/>
                        </wps:cNvCnPr>
                        <wps:spPr bwMode="auto">
                          <a:xfrm>
                            <a:off x="9617" y="29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450" name="Line 2227"/>
                        <wps:cNvCnPr>
                          <a:cxnSpLocks noChangeShapeType="1"/>
                        </wps:cNvCnPr>
                        <wps:spPr bwMode="auto">
                          <a:xfrm>
                            <a:off x="9617" y="29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451" name="Line 2226"/>
                        <wps:cNvCnPr>
                          <a:cxnSpLocks noChangeShapeType="1"/>
                        </wps:cNvCnPr>
                        <wps:spPr bwMode="auto">
                          <a:xfrm>
                            <a:off x="9617" y="29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452" name="Line 2225"/>
                        <wps:cNvCnPr>
                          <a:cxnSpLocks noChangeShapeType="1"/>
                        </wps:cNvCnPr>
                        <wps:spPr bwMode="auto">
                          <a:xfrm>
                            <a:off x="9617" y="29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453" name="Line 2224"/>
                        <wps:cNvCnPr>
                          <a:cxnSpLocks noChangeShapeType="1"/>
                        </wps:cNvCnPr>
                        <wps:spPr bwMode="auto">
                          <a:xfrm>
                            <a:off x="9617" y="30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454" name="Line 2223"/>
                        <wps:cNvCnPr>
                          <a:cxnSpLocks noChangeShapeType="1"/>
                        </wps:cNvCnPr>
                        <wps:spPr bwMode="auto">
                          <a:xfrm>
                            <a:off x="9617" y="30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455" name="Line 2222"/>
                        <wps:cNvCnPr>
                          <a:cxnSpLocks noChangeShapeType="1"/>
                        </wps:cNvCnPr>
                        <wps:spPr bwMode="auto">
                          <a:xfrm>
                            <a:off x="9617" y="30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456" name="Line 2221"/>
                        <wps:cNvCnPr>
                          <a:cxnSpLocks noChangeShapeType="1"/>
                        </wps:cNvCnPr>
                        <wps:spPr bwMode="auto">
                          <a:xfrm>
                            <a:off x="5393" y="288"/>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457" name="Line 2220"/>
                        <wps:cNvCnPr>
                          <a:cxnSpLocks noChangeShapeType="1"/>
                        </wps:cNvCnPr>
                        <wps:spPr bwMode="auto">
                          <a:xfrm>
                            <a:off x="5393" y="291"/>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458" name="Line 2219"/>
                        <wps:cNvCnPr>
                          <a:cxnSpLocks noChangeShapeType="1"/>
                        </wps:cNvCnPr>
                        <wps:spPr bwMode="auto">
                          <a:xfrm>
                            <a:off x="5393" y="293"/>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459" name="Line 2218"/>
                        <wps:cNvCnPr>
                          <a:cxnSpLocks noChangeShapeType="1"/>
                        </wps:cNvCnPr>
                        <wps:spPr bwMode="auto">
                          <a:xfrm>
                            <a:off x="5393" y="295"/>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460" name="Line 2217"/>
                        <wps:cNvCnPr>
                          <a:cxnSpLocks noChangeShapeType="1"/>
                        </wps:cNvCnPr>
                        <wps:spPr bwMode="auto">
                          <a:xfrm>
                            <a:off x="5393" y="298"/>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461" name="Line 2216"/>
                        <wps:cNvCnPr>
                          <a:cxnSpLocks noChangeShapeType="1"/>
                        </wps:cNvCnPr>
                        <wps:spPr bwMode="auto">
                          <a:xfrm>
                            <a:off x="5393" y="300"/>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462" name="Line 2215"/>
                        <wps:cNvCnPr>
                          <a:cxnSpLocks noChangeShapeType="1"/>
                        </wps:cNvCnPr>
                        <wps:spPr bwMode="auto">
                          <a:xfrm>
                            <a:off x="5393" y="303"/>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463" name="Line 2214"/>
                        <wps:cNvCnPr>
                          <a:cxnSpLocks noChangeShapeType="1"/>
                        </wps:cNvCnPr>
                        <wps:spPr bwMode="auto">
                          <a:xfrm>
                            <a:off x="5393" y="305"/>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464" name="Line 2213"/>
                        <wps:cNvCnPr>
                          <a:cxnSpLocks noChangeShapeType="1"/>
                        </wps:cNvCnPr>
                        <wps:spPr bwMode="auto">
                          <a:xfrm>
                            <a:off x="5561" y="28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465" name="Line 2212"/>
                        <wps:cNvCnPr>
                          <a:cxnSpLocks noChangeShapeType="1"/>
                        </wps:cNvCnPr>
                        <wps:spPr bwMode="auto">
                          <a:xfrm>
                            <a:off x="5561" y="29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466" name="Line 2211"/>
                        <wps:cNvCnPr>
                          <a:cxnSpLocks noChangeShapeType="1"/>
                        </wps:cNvCnPr>
                        <wps:spPr bwMode="auto">
                          <a:xfrm>
                            <a:off x="5561" y="29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467" name="Line 2210"/>
                        <wps:cNvCnPr>
                          <a:cxnSpLocks noChangeShapeType="1"/>
                        </wps:cNvCnPr>
                        <wps:spPr bwMode="auto">
                          <a:xfrm>
                            <a:off x="5561" y="29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468" name="Line 2209"/>
                        <wps:cNvCnPr>
                          <a:cxnSpLocks noChangeShapeType="1"/>
                        </wps:cNvCnPr>
                        <wps:spPr bwMode="auto">
                          <a:xfrm>
                            <a:off x="5561" y="29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469" name="Line 2208"/>
                        <wps:cNvCnPr>
                          <a:cxnSpLocks noChangeShapeType="1"/>
                        </wps:cNvCnPr>
                        <wps:spPr bwMode="auto">
                          <a:xfrm>
                            <a:off x="5561" y="30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470" name="Line 2207"/>
                        <wps:cNvCnPr>
                          <a:cxnSpLocks noChangeShapeType="1"/>
                        </wps:cNvCnPr>
                        <wps:spPr bwMode="auto">
                          <a:xfrm>
                            <a:off x="5561" y="30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471" name="Line 2206"/>
                        <wps:cNvCnPr>
                          <a:cxnSpLocks noChangeShapeType="1"/>
                        </wps:cNvCnPr>
                        <wps:spPr bwMode="auto">
                          <a:xfrm>
                            <a:off x="5561" y="30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472" name="Line 2205"/>
                        <wps:cNvCnPr>
                          <a:cxnSpLocks noChangeShapeType="1"/>
                        </wps:cNvCnPr>
                        <wps:spPr bwMode="auto">
                          <a:xfrm>
                            <a:off x="6857" y="28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473" name="Line 2204"/>
                        <wps:cNvCnPr>
                          <a:cxnSpLocks noChangeShapeType="1"/>
                        </wps:cNvCnPr>
                        <wps:spPr bwMode="auto">
                          <a:xfrm>
                            <a:off x="6857" y="29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474" name="Line 2203"/>
                        <wps:cNvCnPr>
                          <a:cxnSpLocks noChangeShapeType="1"/>
                        </wps:cNvCnPr>
                        <wps:spPr bwMode="auto">
                          <a:xfrm>
                            <a:off x="6857" y="29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475" name="Line 2202"/>
                        <wps:cNvCnPr>
                          <a:cxnSpLocks noChangeShapeType="1"/>
                        </wps:cNvCnPr>
                        <wps:spPr bwMode="auto">
                          <a:xfrm>
                            <a:off x="6857" y="29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476" name="Line 2201"/>
                        <wps:cNvCnPr>
                          <a:cxnSpLocks noChangeShapeType="1"/>
                        </wps:cNvCnPr>
                        <wps:spPr bwMode="auto">
                          <a:xfrm>
                            <a:off x="6857" y="29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477" name="Line 2200"/>
                        <wps:cNvCnPr>
                          <a:cxnSpLocks noChangeShapeType="1"/>
                        </wps:cNvCnPr>
                        <wps:spPr bwMode="auto">
                          <a:xfrm>
                            <a:off x="6857" y="30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478" name="Line 2199"/>
                        <wps:cNvCnPr>
                          <a:cxnSpLocks noChangeShapeType="1"/>
                        </wps:cNvCnPr>
                        <wps:spPr bwMode="auto">
                          <a:xfrm>
                            <a:off x="6857" y="30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479" name="Line 2198"/>
                        <wps:cNvCnPr>
                          <a:cxnSpLocks noChangeShapeType="1"/>
                        </wps:cNvCnPr>
                        <wps:spPr bwMode="auto">
                          <a:xfrm>
                            <a:off x="6857" y="30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480" name="Line 2197"/>
                        <wps:cNvCnPr>
                          <a:cxnSpLocks noChangeShapeType="1"/>
                        </wps:cNvCnPr>
                        <wps:spPr bwMode="auto">
                          <a:xfrm>
                            <a:off x="8153" y="288"/>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481" name="Line 2196"/>
                        <wps:cNvCnPr>
                          <a:cxnSpLocks noChangeShapeType="1"/>
                        </wps:cNvCnPr>
                        <wps:spPr bwMode="auto">
                          <a:xfrm>
                            <a:off x="8153" y="291"/>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482" name="Line 2195"/>
                        <wps:cNvCnPr>
                          <a:cxnSpLocks noChangeShapeType="1"/>
                        </wps:cNvCnPr>
                        <wps:spPr bwMode="auto">
                          <a:xfrm>
                            <a:off x="8153" y="293"/>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483" name="Line 2194"/>
                        <wps:cNvCnPr>
                          <a:cxnSpLocks noChangeShapeType="1"/>
                        </wps:cNvCnPr>
                        <wps:spPr bwMode="auto">
                          <a:xfrm>
                            <a:off x="8153" y="295"/>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484" name="Line 2193"/>
                        <wps:cNvCnPr>
                          <a:cxnSpLocks noChangeShapeType="1"/>
                        </wps:cNvCnPr>
                        <wps:spPr bwMode="auto">
                          <a:xfrm>
                            <a:off x="8153" y="298"/>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485" name="Line 2192"/>
                        <wps:cNvCnPr>
                          <a:cxnSpLocks noChangeShapeType="1"/>
                        </wps:cNvCnPr>
                        <wps:spPr bwMode="auto">
                          <a:xfrm>
                            <a:off x="8153" y="300"/>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486" name="Line 2191"/>
                        <wps:cNvCnPr>
                          <a:cxnSpLocks noChangeShapeType="1"/>
                        </wps:cNvCnPr>
                        <wps:spPr bwMode="auto">
                          <a:xfrm>
                            <a:off x="8153" y="303"/>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487" name="Line 2190"/>
                        <wps:cNvCnPr>
                          <a:cxnSpLocks noChangeShapeType="1"/>
                        </wps:cNvCnPr>
                        <wps:spPr bwMode="auto">
                          <a:xfrm>
                            <a:off x="8153" y="305"/>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488" name="Line 2189"/>
                        <wps:cNvCnPr>
                          <a:cxnSpLocks noChangeShapeType="1"/>
                        </wps:cNvCnPr>
                        <wps:spPr bwMode="auto">
                          <a:xfrm>
                            <a:off x="8321" y="28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489" name="Line 2188"/>
                        <wps:cNvCnPr>
                          <a:cxnSpLocks noChangeShapeType="1"/>
                        </wps:cNvCnPr>
                        <wps:spPr bwMode="auto">
                          <a:xfrm>
                            <a:off x="8321" y="29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490" name="Line 2187"/>
                        <wps:cNvCnPr>
                          <a:cxnSpLocks noChangeShapeType="1"/>
                        </wps:cNvCnPr>
                        <wps:spPr bwMode="auto">
                          <a:xfrm>
                            <a:off x="8321" y="29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491" name="Line 2186"/>
                        <wps:cNvCnPr>
                          <a:cxnSpLocks noChangeShapeType="1"/>
                        </wps:cNvCnPr>
                        <wps:spPr bwMode="auto">
                          <a:xfrm>
                            <a:off x="8321" y="29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492" name="Line 2185"/>
                        <wps:cNvCnPr>
                          <a:cxnSpLocks noChangeShapeType="1"/>
                        </wps:cNvCnPr>
                        <wps:spPr bwMode="auto">
                          <a:xfrm>
                            <a:off x="8321" y="29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493" name="Line 2184"/>
                        <wps:cNvCnPr>
                          <a:cxnSpLocks noChangeShapeType="1"/>
                        </wps:cNvCnPr>
                        <wps:spPr bwMode="auto">
                          <a:xfrm>
                            <a:off x="8321" y="30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494" name="Line 2183"/>
                        <wps:cNvCnPr>
                          <a:cxnSpLocks noChangeShapeType="1"/>
                        </wps:cNvCnPr>
                        <wps:spPr bwMode="auto">
                          <a:xfrm>
                            <a:off x="8321" y="30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495" name="Line 2182"/>
                        <wps:cNvCnPr>
                          <a:cxnSpLocks noChangeShapeType="1"/>
                        </wps:cNvCnPr>
                        <wps:spPr bwMode="auto">
                          <a:xfrm>
                            <a:off x="8321" y="30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496" name="Line 2181"/>
                        <wps:cNvCnPr>
                          <a:cxnSpLocks noChangeShapeType="1"/>
                        </wps:cNvCnPr>
                        <wps:spPr bwMode="auto">
                          <a:xfrm>
                            <a:off x="9617" y="28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497" name="Line 2180"/>
                        <wps:cNvCnPr>
                          <a:cxnSpLocks noChangeShapeType="1"/>
                        </wps:cNvCnPr>
                        <wps:spPr bwMode="auto">
                          <a:xfrm>
                            <a:off x="9617" y="29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498" name="Line 2179"/>
                        <wps:cNvCnPr>
                          <a:cxnSpLocks noChangeShapeType="1"/>
                        </wps:cNvCnPr>
                        <wps:spPr bwMode="auto">
                          <a:xfrm>
                            <a:off x="9617" y="29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499" name="Line 2178"/>
                        <wps:cNvCnPr>
                          <a:cxnSpLocks noChangeShapeType="1"/>
                        </wps:cNvCnPr>
                        <wps:spPr bwMode="auto">
                          <a:xfrm>
                            <a:off x="9617" y="29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500" name="Line 2177"/>
                        <wps:cNvCnPr>
                          <a:cxnSpLocks noChangeShapeType="1"/>
                        </wps:cNvCnPr>
                        <wps:spPr bwMode="auto">
                          <a:xfrm>
                            <a:off x="9617" y="29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501" name="Line 2176"/>
                        <wps:cNvCnPr>
                          <a:cxnSpLocks noChangeShapeType="1"/>
                        </wps:cNvCnPr>
                        <wps:spPr bwMode="auto">
                          <a:xfrm>
                            <a:off x="9617" y="30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502" name="Line 2175"/>
                        <wps:cNvCnPr>
                          <a:cxnSpLocks noChangeShapeType="1"/>
                        </wps:cNvCnPr>
                        <wps:spPr bwMode="auto">
                          <a:xfrm>
                            <a:off x="9617" y="30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503" name="Line 2174"/>
                        <wps:cNvCnPr>
                          <a:cxnSpLocks noChangeShapeType="1"/>
                        </wps:cNvCnPr>
                        <wps:spPr bwMode="auto">
                          <a:xfrm>
                            <a:off x="9617" y="30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EBB31C" id="Group 2173" o:spid="_x0000_s1026" style="position:absolute;margin-left:269.65pt;margin-top:14.35pt;width:187.65pt;height:.65pt;z-index:15751168;mso-position-horizontal-relative:page" coordorigin="5393,287" coordsize="55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">
                <v:line id="Line 2269" o:spid="_x0000_s1027" style="position:absolute;visibility:visible;mso-wrap-style:square" from="5393,288" to="5561,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" strokeweight=".12pt"/>
                <v:line id="Line 2268" o:spid="_x0000_s1028" style="position:absolute;visibility:visible;mso-wrap-style:square" from="5393,291" to="5561,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" strokeweight=".12pt"/>
                <v:line id="Line 2267" o:spid="_x0000_s1029" style="position:absolute;visibility:visible;mso-wrap-style:square" from="5393,293" to="5561,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" strokeweight=".12pt"/>
                <v:line id="Line 2266" o:spid="_x0000_s1030" style="position:absolute;visibility:visible;mso-wrap-style:square" from="5393,295" to="5561,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" strokeweight=".12pt"/>
                <v:line id="Line 2265" o:spid="_x0000_s1031" style="position:absolute;visibility:visible;mso-wrap-style:square" from="5393,298" to="5561,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" strokeweight=".12pt"/>
                <v:line id="Line 2264" o:spid="_x0000_s1032" style="position:absolute;visibility:visible;mso-wrap-style:square" from="5393,300" to="556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" strokeweight=".12pt"/>
                <v:line id="Line 2263" o:spid="_x0000_s1033" style="position:absolute;visibility:visible;mso-wrap-style:square" from="5393,303" to="5561,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" strokeweight=".12pt"/>
                <v:line id="Line 2262" o:spid="_x0000_s1034" style="position:absolute;visibility:visible;mso-wrap-style:square" from="5393,305" to="556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" strokeweight=".12pt"/>
                <v:line id="Line 2261" o:spid="_x0000_s1035" style="position:absolute;visibility:visible;mso-wrap-style:square" from="5561,288" to="6857,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" strokeweight=".12pt"/>
                <v:line id="Line 2260" o:spid="_x0000_s1036" style="position:absolute;visibility:visible;mso-wrap-style:square" from="5561,291" to="6857,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" strokeweight=".12pt"/>
                <v:line id="Line 2259" o:spid="_x0000_s1037" style="position:absolute;visibility:visible;mso-wrap-style:square" from="5561,293" to="6857,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" strokeweight=".12pt"/>
                <v:line id="Line 2258" o:spid="_x0000_s1038" style="position:absolute;visibility:visible;mso-wrap-style:square" from="5561,295" to="6857,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" strokeweight=".12pt"/>
                <v:line id="Line 2257" o:spid="_x0000_s1039" style="position:absolute;visibility:visible;mso-wrap-style:square" from="5561,298" to="6857,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" strokeweight=".12pt"/>
                <v:line id="Line 2256" o:spid="_x0000_s1040" style="position:absolute;visibility:visible;mso-wrap-style:square" from="5561,300" to="6857,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" strokeweight=".12pt"/>
                <v:line id="Line 2255" o:spid="_x0000_s1041" style="position:absolute;visibility:visible;mso-wrap-style:square" from="5561,303" to="6857,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" strokeweight=".12pt"/>
                <v:line id="Line 2254" o:spid="_x0000_s1042" style="position:absolute;visibility:visible;mso-wrap-style:square" from="5561,305" to="6857,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" strokeweight=".12pt"/>
                <v:line id="Line 2253" o:spid="_x0000_s1043" style="position:absolute;visibility:visible;mso-wrap-style:square" from="6857,288" to="8153,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" strokeweight=".12pt"/>
                <v:line id="Line 2252" o:spid="_x0000_s1044" style="position:absolute;visibility:visible;mso-wrap-style:square" from="6857,291" to="815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" strokeweight=".12pt"/>
                <v:line id="Line 2251" o:spid="_x0000_s1045" style="position:absolute;visibility:visible;mso-wrap-style:square" from="6857,293" to="8153,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" strokeweight=".12pt"/>
                <v:line id="Line 2250" o:spid="_x0000_s1046" style="position:absolute;visibility:visible;mso-wrap-style:square" from="6857,295" to="8153,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" strokeweight=".12pt"/>
                <v:line id="Line 2249" o:spid="_x0000_s1047" style="position:absolute;visibility:visible;mso-wrap-style:square" from="6857,298" to="8153,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" strokeweight=".12pt"/>
                <v:line id="Line 2248" o:spid="_x0000_s1048" style="position:absolute;visibility:visible;mso-wrap-style:square" from="6857,300" to="815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" strokeweight=".12pt"/>
                <v:line id="Line 2247" o:spid="_x0000_s1049" style="position:absolute;visibility:visible;mso-wrap-style:square" from="6857,303" to="815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" strokeweight=".12pt"/>
                <v:line id="Line 2246" o:spid="_x0000_s1050" style="position:absolute;visibility:visible;mso-wrap-style:square" from="6857,305" to="8153,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" strokeweight=".12pt"/>
                <v:line id="Line 2245" o:spid="_x0000_s1051" style="position:absolute;visibility:visible;mso-wrap-style:square" from="8153,288" to="8321,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" strokeweight=".12pt"/>
                <v:line id="Line 2244" o:spid="_x0000_s1052" style="position:absolute;visibility:visible;mso-wrap-style:square" from="8153,291" to="8321,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" strokeweight=".12pt"/>
                <v:line id="Line 2243" o:spid="_x0000_s1053" style="position:absolute;visibility:visible;mso-wrap-style:square" from="8153,293" to="8321,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" strokeweight=".12pt"/>
                <v:line id="Line 2242" o:spid="_x0000_s1054" style="position:absolute;visibility:visible;mso-wrap-style:square" from="8153,295" to="8321,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" strokeweight=".12pt"/>
                <v:line id="Line 2241" o:spid="_x0000_s1055" style="position:absolute;visibility:visible;mso-wrap-style:square" from="8153,298" to="8321,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" strokeweight=".12pt"/>
                <v:line id="Line 2240" o:spid="_x0000_s1056" style="position:absolute;visibility:visible;mso-wrap-style:square" from="8153,300" to="832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" strokeweight=".12pt"/>
                <v:line id="Line 2239" o:spid="_x0000_s1057" style="position:absolute;visibility:visible;mso-wrap-style:square" from="8153,303" to="8321,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" strokeweight=".12pt"/>
                <v:line id="Line 2238" o:spid="_x0000_s1058" style="position:absolute;visibility:visible;mso-wrap-style:square" from="8153,305" to="832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" strokeweight=".12pt"/>
                <v:line id="Line 2237" o:spid="_x0000_s1059" style="position:absolute;visibility:visible;mso-wrap-style:square" from="8321,288" to="9617,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" strokeweight=".12pt"/>
                <v:line id="Line 2236" o:spid="_x0000_s1060" style="position:absolute;visibility:visible;mso-wrap-style:square" from="8321,291" to="9617,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" strokeweight=".12pt"/>
                <v:line id="Line 2235" o:spid="_x0000_s1061" style="position:absolute;visibility:visible;mso-wrap-style:square" from="8321,293" to="9617,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" strokeweight=".12pt"/>
                <v:line id="Line 2234" o:spid="_x0000_s1062" style="position:absolute;visibility:visible;mso-wrap-style:square" from="8321,295" to="9617,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" strokeweight=".12pt"/>
                <v:line id="Line 2233" o:spid="_x0000_s1063" style="position:absolute;visibility:visible;mso-wrap-style:square" from="8321,298" to="9617,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" strokeweight=".12pt"/>
                <v:line id="Line 2232" o:spid="_x0000_s1064" style="position:absolute;visibility:visible;mso-wrap-style:square" from="8321,300" to="9617,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" strokeweight=".12pt"/>
                <v:line id="Line 2231" o:spid="_x0000_s1065" style="position:absolute;visibility:visible;mso-wrap-style:square" from="8321,303" to="9617,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" strokeweight=".12pt"/>
                <v:line id="Line 2230" o:spid="_x0000_s1066" style="position:absolute;visibility:visible;mso-wrap-style:square" from="8321,305" to="9617,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" strokeweight=".12pt"/>
                <v:line id="Line 2229" o:spid="_x0000_s1067" style="position:absolute;visibility:visible;mso-wrap-style:square" from="9617,288" to="10913,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" strokeweight=".12pt"/>
                <v:line id="Line 2228" o:spid="_x0000_s1068" style="position:absolute;visibility:visible;mso-wrap-style:square" from="9617,291" to="1091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" strokeweight=".12pt"/>
                <v:line id="Line 2227" o:spid="_x0000_s1069" style="position:absolute;visibility:visible;mso-wrap-style:square" from="9617,293" to="10913,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" strokeweight=".12pt"/>
                <v:line id="Line 2226" o:spid="_x0000_s1070" style="position:absolute;visibility:visible;mso-wrap-style:square" from="9617,295" to="10913,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" strokeweight=".12pt"/>
                <v:line id="Line 2225" o:spid="_x0000_s1071" style="position:absolute;visibility:visible;mso-wrap-style:square" from="9617,298" to="10913,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" strokeweight=".12pt"/>
                <v:line id="Line 2224" o:spid="_x0000_s1072" style="position:absolute;visibility:visible;mso-wrap-style:square" from="9617,300" to="1091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" strokeweight=".12pt"/>
                <v:line id="Line 2223" o:spid="_x0000_s1073" style="position:absolute;visibility:visible;mso-wrap-style:square" from="9617,303" to="1091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" strokeweight=".12pt"/>
                <v:line id="Line 2222" o:spid="_x0000_s1074" style="position:absolute;visibility:visible;mso-wrap-style:square" from="9617,305" to="10913,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" strokeweight=".12pt"/>
                <v:line id="Line 2221" o:spid="_x0000_s1075" style="position:absolute;visibility:visible;mso-wrap-style:square" from="5393,288" to="5561,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" strokeweight=".12pt"/>
                <v:line id="Line 2220" o:spid="_x0000_s1076" style="position:absolute;visibility:visible;mso-wrap-style:square" from="5393,291" to="5561,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" strokeweight=".12pt"/>
                <v:line id="Line 2219" o:spid="_x0000_s1077" style="position:absolute;visibility:visible;mso-wrap-style:square" from="5393,293" to="5561,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" strokeweight=".12pt"/>
                <v:line id="Line 2218" o:spid="_x0000_s1078" style="position:absolute;visibility:visible;mso-wrap-style:square" from="5393,295" to="5561,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" strokeweight=".12pt"/>
                <v:line id="Line 2217" o:spid="_x0000_s1079" style="position:absolute;visibility:visible;mso-wrap-style:square" from="5393,298" to="5561,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" strokeweight=".12pt"/>
                <v:line id="Line 2216" o:spid="_x0000_s1080" style="position:absolute;visibility:visible;mso-wrap-style:square" from="5393,300" to="556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" strokeweight=".12pt"/>
                <v:line id="Line 2215" o:spid="_x0000_s1081" style="position:absolute;visibility:visible;mso-wrap-style:square" from="5393,303" to="5561,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" strokeweight=".12pt"/>
                <v:line id="Line 2214" o:spid="_x0000_s1082" style="position:absolute;visibility:visible;mso-wrap-style:square" from="5393,305" to="556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" strokeweight=".12pt"/>
                <v:line id="Line 2213" o:spid="_x0000_s1083" style="position:absolute;visibility:visible;mso-wrap-style:square" from="5561,288" to="6857,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" strokeweight=".12pt"/>
                <v:line id="Line 2212" o:spid="_x0000_s1084" style="position:absolute;visibility:visible;mso-wrap-style:square" from="5561,291" to="6857,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" strokeweight=".12pt"/>
                <v:line id="Line 2211" o:spid="_x0000_s1085" style="position:absolute;visibility:visible;mso-wrap-style:square" from="5561,293" to="6857,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" strokeweight=".12pt"/>
                <v:line id="Line 2210" o:spid="_x0000_s1086" style="position:absolute;visibility:visible;mso-wrap-style:square" from="5561,295" to="6857,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" strokeweight=".12pt"/>
                <v:line id="Line 2209" o:spid="_x0000_s1087" style="position:absolute;visibility:visible;mso-wrap-style:square" from="5561,298" to="6857,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" strokeweight=".12pt"/>
                <v:line id="Line 2208" o:spid="_x0000_s1088" style="position:absolute;visibility:visible;mso-wrap-style:square" from="5561,300" to="6857,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" strokeweight=".12pt"/>
                <v:line id="Line 2207" o:spid="_x0000_s1089" style="position:absolute;visibility:visible;mso-wrap-style:square" from="5561,303" to="6857,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" strokeweight=".12pt"/>
                <v:line id="Line 2206" o:spid="_x0000_s1090" style="position:absolute;visibility:visible;mso-wrap-style:square" from="5561,305" to="6857,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" strokeweight=".12pt"/>
                <v:line id="Line 2205" o:spid="_x0000_s1091" style="position:absolute;visibility:visible;mso-wrap-style:square" from="6857,288" to="8153,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" strokeweight=".12pt"/>
                <v:line id="Line 2204" o:spid="_x0000_s1092" style="position:absolute;visibility:visible;mso-wrap-style:square" from="6857,291" to="815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" strokeweight=".12pt"/>
                <v:line id="Line 2203" o:spid="_x0000_s1093" style="position:absolute;visibility:visible;mso-wrap-style:square" from="6857,293" to="8153,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" strokeweight=".12pt"/>
                <v:line id="Line 2202" o:spid="_x0000_s1094" style="position:absolute;visibility:visible;mso-wrap-style:square" from="6857,295" to="8153,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" strokeweight=".12pt"/>
                <v:line id="Line 2201" o:spid="_x0000_s1095" style="position:absolute;visibility:visible;mso-wrap-style:square" from="6857,298" to="8153,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" strokeweight=".12pt"/>
                <v:line id="Line 2200" o:spid="_x0000_s1096" style="position:absolute;visibility:visible;mso-wrap-style:square" from="6857,300" to="815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" strokeweight=".12pt"/>
                <v:line id="Line 2199" o:spid="_x0000_s1097" style="position:absolute;visibility:visible;mso-wrap-style:square" from="6857,303" to="815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" strokeweight=".12pt"/>
                <v:line id="Line 2198" o:spid="_x0000_s1098" style="position:absolute;visibility:visible;mso-wrap-style:square" from="6857,305" to="8153,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" strokeweight=".12pt"/>
                <v:line id="Line 2197" o:spid="_x0000_s1099" style="position:absolute;visibility:visible;mso-wrap-style:square" from="8153,288" to="8321,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" strokeweight=".12pt"/>
                <v:line id="Line 2196" o:spid="_x0000_s1100" style="position:absolute;visibility:visible;mso-wrap-style:square" from="8153,291" to="8321,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" strokeweight=".12pt"/>
                <v:line id="Line 2195" o:spid="_x0000_s1101" style="position:absolute;visibility:visible;mso-wrap-style:square" from="8153,293" to="8321,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" strokeweight=".12pt"/>
                <v:line id="Line 2194" o:spid="_x0000_s1102" style="position:absolute;visibility:visible;mso-wrap-style:square" from="8153,295" to="8321,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" strokeweight=".12pt"/>
                <v:line id="Line 2193" o:spid="_x0000_s1103" style="position:absolute;visibility:visible;mso-wrap-style:square" from="8153,298" to="8321,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" strokeweight=".12pt"/>
                <v:line id="Line 2192" o:spid="_x0000_s1104" style="position:absolute;visibility:visible;mso-wrap-style:square" from="8153,300" to="832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" strokeweight=".12pt"/>
                <v:line id="Line 2191" o:spid="_x0000_s1105" style="position:absolute;visibility:visible;mso-wrap-style:square" from="8153,303" to="8321,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" strokeweight=".12pt"/>
                <v:line id="Line 2190" o:spid="_x0000_s1106" style="position:absolute;visibility:visible;mso-wrap-style:square" from="8153,305" to="832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" strokeweight=".12pt"/>
                <v:line id="Line 2189" o:spid="_x0000_s1107" style="position:absolute;visibility:visible;mso-wrap-style:square" from="8321,288" to="9617,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" strokeweight=".12pt"/>
                <v:line id="Line 2188" o:spid="_x0000_s1108" style="position:absolute;visibility:visible;mso-wrap-style:square" from="8321,291" to="9617,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" strokeweight=".12pt"/>
                <v:line id="Line 2187" o:spid="_x0000_s1109" style="position:absolute;visibility:visible;mso-wrap-style:square" from="8321,293" to="9617,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" strokeweight=".12pt"/>
                <v:line id="Line 2186" o:spid="_x0000_s1110" style="position:absolute;visibility:visible;mso-wrap-style:square" from="8321,295" to="9617,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" strokeweight=".12pt"/>
                <v:line id="Line 2185" o:spid="_x0000_s1111" style="position:absolute;visibility:visible;mso-wrap-style:square" from="8321,298" to="9617,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" strokeweight=".12pt"/>
                <v:line id="Line 2184" o:spid="_x0000_s1112" style="position:absolute;visibility:visible;mso-wrap-style:square" from="8321,300" to="9617,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" strokeweight=".12pt"/>
                <v:line id="Line 2183" o:spid="_x0000_s1113" style="position:absolute;visibility:visible;mso-wrap-style:square" from="8321,303" to="9617,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" strokeweight=".12pt"/>
                <v:line id="Line 2182" o:spid="_x0000_s1114" style="position:absolute;visibility:visible;mso-wrap-style:square" from="8321,305" to="9617,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" strokeweight=".12pt"/>
                <v:line id="Line 2181" o:spid="_x0000_s1115" style="position:absolute;visibility:visible;mso-wrap-style:square" from="9617,288" to="10913,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" strokeweight=".12pt"/>
                <v:line id="Line 2180" o:spid="_x0000_s1116" style="position:absolute;visibility:visible;mso-wrap-style:square" from="9617,291" to="1091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" strokeweight=".12pt"/>
                <v:line id="Line 2179" o:spid="_x0000_s1117" style="position:absolute;visibility:visible;mso-wrap-style:square" from="9617,293" to="10913,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" strokeweight=".12pt"/>
                <v:line id="Line 2178" o:spid="_x0000_s1118" style="position:absolute;visibility:visible;mso-wrap-style:square" from="9617,295" to="10913,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" strokeweight=".12pt"/>
                <v:line id="Line 2177" o:spid="_x0000_s1119" style="position:absolute;visibility:visible;mso-wrap-style:square" from="9617,298" to="10913,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" strokeweight=".12pt"/>
                <v:line id="Line 2176" o:spid="_x0000_s1120" style="position:absolute;visibility:visible;mso-wrap-style:square" from="9617,300" to="1091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" strokeweight=".12pt"/>
                <v:line id="Line 2175" o:spid="_x0000_s1121" style="position:absolute;visibility:visible;mso-wrap-style:square" from="9617,303" to="1091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" strokeweight=".12pt"/>
                <v:line id="Line 2174" o:spid="_x0000_s1122" style="position:absolute;visibility:visible;mso-wrap-style:square" from="9617,305" to="10913,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" strokeweight=".12pt"/>
                <w10:wrap anchorx="page"/>
              </v:group>
            </w:pict>
          </mc:Fallback>
        </mc:AlternateContent>
      </w:r>
      <w:r w:rsidR="0015611F">
        <w:t>$30,000</w:t>
      </w:r>
      <w:r w:rsidR="0015611F">
        <w:rPr>
          <w:spacing w:val="1"/>
        </w:rPr>
        <w:t xml:space="preserve"> </w:t>
      </w:r>
      <w:r w:rsidR="0015611F">
        <w:t>to</w:t>
      </w:r>
      <w:r w:rsidR="0015611F">
        <w:rPr>
          <w:spacing w:val="1"/>
        </w:rPr>
        <w:t xml:space="preserve"> </w:t>
      </w:r>
      <w:r w:rsidR="0015611F">
        <w:t>$44,999</w:t>
      </w:r>
      <w:r w:rsidR="0015611F">
        <w:tab/>
      </w:r>
      <w:r w:rsidR="0015611F">
        <w:rPr>
          <w:b/>
        </w:rPr>
        <w:t>1</w:t>
      </w:r>
      <w:r w:rsidR="0015611F">
        <w:rPr>
          <w:b/>
        </w:rPr>
        <w:tab/>
      </w:r>
      <w:r w:rsidR="0015611F">
        <w:t>1</w:t>
      </w:r>
      <w:r w:rsidR="0015611F">
        <w:tab/>
      </w:r>
      <w:r w:rsidR="0015611F">
        <w:rPr>
          <w:b/>
        </w:rPr>
        <w:t>1</w:t>
      </w:r>
      <w:r w:rsidR="0015611F">
        <w:rPr>
          <w:b/>
        </w:rPr>
        <w:tab/>
      </w:r>
      <w:r w:rsidR="0015611F">
        <w:t>1</w:t>
      </w:r>
    </w:p>
    <w:p w14:paraId="700B3DC7" w14:textId="77777777" w:rsidR="00FA4AA8" w:rsidRDefault="0015611F">
      <w:pPr>
        <w:tabs>
          <w:tab w:val="left" w:pos="5829"/>
          <w:tab w:val="left" w:pos="7125"/>
          <w:tab w:val="left" w:pos="8589"/>
          <w:tab w:val="left" w:pos="9885"/>
        </w:tabs>
        <w:spacing w:before="158"/>
        <w:ind w:left="4552"/>
        <w:rPr>
          <w:sz w:val="18"/>
        </w:rPr>
      </w:pPr>
      <w:r>
        <w:rPr>
          <w:rFonts w:ascii="Times New Roman"/>
          <w:sz w:val="18"/>
          <w:u w:val="thick"/>
        </w:rPr>
        <w:t xml:space="preserve"> </w:t>
      </w:r>
      <w:r>
        <w:rPr>
          <w:rFonts w:ascii="Times New Roman"/>
          <w:sz w:val="18"/>
          <w:u w:val="thick"/>
        </w:rPr>
        <w:tab/>
      </w:r>
      <w:r>
        <w:rPr>
          <w:b/>
          <w:sz w:val="18"/>
          <w:u w:val="thick"/>
        </w:rPr>
        <w:t>7</w:t>
      </w:r>
      <w:r>
        <w:rPr>
          <w:b/>
          <w:sz w:val="18"/>
          <w:u w:val="thick"/>
        </w:rPr>
        <w:tab/>
      </w:r>
      <w:r>
        <w:rPr>
          <w:sz w:val="18"/>
          <w:u w:val="thick"/>
        </w:rPr>
        <w:t>5</w:t>
      </w:r>
      <w:r>
        <w:rPr>
          <w:sz w:val="18"/>
          <w:u w:val="thick"/>
        </w:rPr>
        <w:tab/>
      </w:r>
      <w:r>
        <w:rPr>
          <w:b/>
          <w:sz w:val="18"/>
          <w:u w:val="thick"/>
        </w:rPr>
        <w:t>1</w:t>
      </w:r>
      <w:r>
        <w:rPr>
          <w:b/>
          <w:sz w:val="18"/>
          <w:u w:val="thick"/>
        </w:rPr>
        <w:tab/>
      </w:r>
      <w:r>
        <w:rPr>
          <w:sz w:val="18"/>
          <w:u w:val="thick"/>
        </w:rPr>
        <w:t>1</w:t>
      </w:r>
    </w:p>
    <w:p w14:paraId="7A4DFCB1" w14:textId="77777777" w:rsidR="00FA4AA8" w:rsidRDefault="00FA4AA8">
      <w:pPr>
        <w:rPr>
          <w:sz w:val="18"/>
        </w:rPr>
        <w:sectPr w:rsidR="00FA4AA8">
          <w:pgSz w:w="11910" w:h="16840"/>
          <w:pgMar w:top="2220" w:right="880" w:bottom="720" w:left="840" w:header="1016" w:footer="523" w:gutter="0"/>
          <w:cols w:space="720"/>
        </w:sectPr>
      </w:pPr>
    </w:p>
    <w:p w14:paraId="1CE406D1" w14:textId="77777777" w:rsidR="00FA4AA8" w:rsidRDefault="00FA4AA8">
      <w:pPr>
        <w:pStyle w:val="BodyText"/>
        <w:rPr>
          <w:sz w:val="20"/>
        </w:rPr>
      </w:pPr>
    </w:p>
    <w:p w14:paraId="72E644C8" w14:textId="77777777" w:rsidR="00FA4AA8" w:rsidRDefault="00FA4AA8">
      <w:pPr>
        <w:pStyle w:val="BodyText"/>
        <w:rPr>
          <w:sz w:val="20"/>
        </w:rPr>
      </w:pPr>
    </w:p>
    <w:p w14:paraId="06E9AA17" w14:textId="77777777" w:rsidR="00FA4AA8" w:rsidRDefault="00FA4AA8">
      <w:pPr>
        <w:pStyle w:val="BodyText"/>
      </w:pPr>
    </w:p>
    <w:p w14:paraId="4D2EEA87" w14:textId="77777777" w:rsidR="00FA4AA8" w:rsidRDefault="0015611F">
      <w:pPr>
        <w:ind w:left="167"/>
        <w:rPr>
          <w:b/>
          <w:sz w:val="18"/>
        </w:rPr>
      </w:pPr>
      <w:r>
        <w:rPr>
          <w:b/>
          <w:sz w:val="18"/>
        </w:rPr>
        <w:t>28 Key Management Personnel Disclosures (continued)</w:t>
      </w:r>
    </w:p>
    <w:p w14:paraId="1BE82366" w14:textId="77777777" w:rsidR="00FA4AA8" w:rsidRDefault="00FA4AA8">
      <w:pPr>
        <w:pStyle w:val="BodyText"/>
        <w:spacing w:before="8"/>
        <w:rPr>
          <w:b/>
          <w:sz w:val="26"/>
        </w:rPr>
      </w:pPr>
    </w:p>
    <w:p w14:paraId="33A2B82D" w14:textId="77777777" w:rsidR="00FA4AA8" w:rsidRDefault="0015611F">
      <w:pPr>
        <w:pStyle w:val="ListParagraph"/>
        <w:numPr>
          <w:ilvl w:val="0"/>
          <w:numId w:val="92"/>
        </w:numPr>
        <w:tabs>
          <w:tab w:val="left" w:pos="564"/>
        </w:tabs>
        <w:ind w:hanging="397"/>
        <w:rPr>
          <w:b/>
          <w:sz w:val="18"/>
        </w:rPr>
      </w:pPr>
      <w:r>
        <w:rPr>
          <w:b/>
          <w:sz w:val="18"/>
        </w:rPr>
        <w:t>Remuneration of Board Members and Executives (continued)</w:t>
      </w:r>
    </w:p>
    <w:p w14:paraId="04807210" w14:textId="77777777" w:rsidR="00FA4AA8" w:rsidRDefault="00FA4AA8">
      <w:pPr>
        <w:pStyle w:val="BodyText"/>
        <w:rPr>
          <w:b/>
          <w:sz w:val="20"/>
        </w:rPr>
      </w:pPr>
    </w:p>
    <w:p w14:paraId="4EA48FE0" w14:textId="77777777" w:rsidR="00FA4AA8" w:rsidRDefault="00FA4AA8">
      <w:pPr>
        <w:pStyle w:val="BodyText"/>
        <w:spacing w:before="3"/>
        <w:rPr>
          <w:b/>
          <w:sz w:val="26"/>
        </w:rPr>
      </w:pPr>
    </w:p>
    <w:p w14:paraId="1A3069D5" w14:textId="77777777" w:rsidR="00FA4AA8" w:rsidRDefault="0015611F">
      <w:pPr>
        <w:tabs>
          <w:tab w:val="left" w:pos="8426"/>
        </w:tabs>
        <w:ind w:left="5376"/>
        <w:rPr>
          <w:b/>
          <w:sz w:val="18"/>
        </w:rPr>
      </w:pPr>
      <w:r>
        <w:rPr>
          <w:b/>
          <w:sz w:val="18"/>
        </w:rPr>
        <w:t>Consolidated</w:t>
      </w:r>
      <w:r>
        <w:rPr>
          <w:b/>
          <w:sz w:val="18"/>
        </w:rPr>
        <w:tab/>
        <w:t>Parent</w:t>
      </w:r>
    </w:p>
    <w:p w14:paraId="4E58C19B" w14:textId="77777777" w:rsidR="00FA4AA8" w:rsidRDefault="00FA4AA8">
      <w:pPr>
        <w:pStyle w:val="BodyText"/>
        <w:spacing w:before="4"/>
        <w:rPr>
          <w:b/>
          <w:sz w:val="6"/>
        </w:rPr>
      </w:pPr>
    </w:p>
    <w:tbl>
      <w:tblPr>
        <w:tblW w:w="0" w:type="auto"/>
        <w:tblInd w:w="547" w:type="dxa"/>
        <w:tblLayout w:type="fixed"/>
        <w:tblCellMar>
          <w:left w:w="0" w:type="dxa"/>
          <w:right w:w="0" w:type="dxa"/>
        </w:tblCellMar>
        <w:tblLook w:val="01E0" w:firstRow="1" w:lastRow="1" w:firstColumn="1" w:lastColumn="1" w:noHBand="0" w:noVBand="0"/>
      </w:tblPr>
      <w:tblGrid>
        <w:gridCol w:w="4012"/>
        <w:gridCol w:w="1636"/>
        <w:gridCol w:w="798"/>
        <w:gridCol w:w="1463"/>
        <w:gridCol w:w="496"/>
        <w:gridCol w:w="1122"/>
      </w:tblGrid>
      <w:tr w:rsidR="00FA4AA8" w14:paraId="5A5ECB38" w14:textId="77777777">
        <w:trPr>
          <w:trHeight w:val="570"/>
        </w:trPr>
        <w:tc>
          <w:tcPr>
            <w:tcW w:w="4012" w:type="dxa"/>
          </w:tcPr>
          <w:p w14:paraId="3E083E1C" w14:textId="77777777" w:rsidR="00FA4AA8" w:rsidRDefault="00FA4AA8">
            <w:pPr>
              <w:pStyle w:val="TableParagraph"/>
              <w:rPr>
                <w:b/>
                <w:sz w:val="20"/>
              </w:rPr>
            </w:pPr>
          </w:p>
          <w:p w14:paraId="5D439A1A" w14:textId="77777777" w:rsidR="00FA4AA8" w:rsidRDefault="0015611F">
            <w:pPr>
              <w:pStyle w:val="TableParagraph"/>
              <w:spacing w:before="117" w:line="204" w:lineRule="exact"/>
              <w:ind w:left="50"/>
              <w:rPr>
                <w:b/>
                <w:sz w:val="18"/>
              </w:rPr>
            </w:pPr>
            <w:r>
              <w:rPr>
                <w:b/>
                <w:sz w:val="18"/>
              </w:rPr>
              <w:t>Remuneration of executive officers</w:t>
            </w:r>
          </w:p>
        </w:tc>
        <w:tc>
          <w:tcPr>
            <w:tcW w:w="1636" w:type="dxa"/>
          </w:tcPr>
          <w:p w14:paraId="057BC0CC" w14:textId="77777777" w:rsidR="00FA4AA8" w:rsidRDefault="0015611F">
            <w:pPr>
              <w:pStyle w:val="TableParagraph"/>
              <w:spacing w:line="201" w:lineRule="exact"/>
              <w:ind w:left="582" w:right="612"/>
              <w:jc w:val="center"/>
              <w:rPr>
                <w:b/>
                <w:sz w:val="18"/>
              </w:rPr>
            </w:pPr>
            <w:r>
              <w:rPr>
                <w:b/>
                <w:sz w:val="18"/>
              </w:rPr>
              <w:t>2018</w:t>
            </w:r>
          </w:p>
        </w:tc>
        <w:tc>
          <w:tcPr>
            <w:tcW w:w="798" w:type="dxa"/>
          </w:tcPr>
          <w:p w14:paraId="77A0146B" w14:textId="77777777" w:rsidR="00FA4AA8" w:rsidRDefault="0015611F">
            <w:pPr>
              <w:pStyle w:val="TableParagraph"/>
              <w:spacing w:line="201" w:lineRule="exact"/>
              <w:ind w:left="260"/>
              <w:rPr>
                <w:b/>
                <w:sz w:val="18"/>
              </w:rPr>
            </w:pPr>
            <w:r>
              <w:rPr>
                <w:b/>
                <w:sz w:val="18"/>
              </w:rPr>
              <w:t>2017</w:t>
            </w:r>
          </w:p>
        </w:tc>
        <w:tc>
          <w:tcPr>
            <w:tcW w:w="1463" w:type="dxa"/>
          </w:tcPr>
          <w:p w14:paraId="533C438F" w14:textId="77777777" w:rsidR="00FA4AA8" w:rsidRDefault="0015611F">
            <w:pPr>
              <w:pStyle w:val="TableParagraph"/>
              <w:spacing w:line="201" w:lineRule="exact"/>
              <w:ind w:left="926"/>
              <w:rPr>
                <w:b/>
                <w:sz w:val="18"/>
              </w:rPr>
            </w:pPr>
            <w:r>
              <w:rPr>
                <w:b/>
                <w:sz w:val="18"/>
              </w:rPr>
              <w:t>2018</w:t>
            </w:r>
          </w:p>
        </w:tc>
        <w:tc>
          <w:tcPr>
            <w:tcW w:w="496" w:type="dxa"/>
          </w:tcPr>
          <w:p w14:paraId="49F89400" w14:textId="77777777" w:rsidR="00FA4AA8" w:rsidRDefault="00FA4AA8">
            <w:pPr>
              <w:pStyle w:val="TableParagraph"/>
              <w:rPr>
                <w:rFonts w:ascii="Times New Roman"/>
                <w:sz w:val="18"/>
              </w:rPr>
            </w:pPr>
          </w:p>
        </w:tc>
        <w:tc>
          <w:tcPr>
            <w:tcW w:w="1122" w:type="dxa"/>
          </w:tcPr>
          <w:p w14:paraId="60528FAD" w14:textId="77777777" w:rsidR="00FA4AA8" w:rsidRDefault="0015611F">
            <w:pPr>
              <w:pStyle w:val="TableParagraph"/>
              <w:spacing w:line="201" w:lineRule="exact"/>
              <w:ind w:left="263"/>
              <w:rPr>
                <w:b/>
                <w:sz w:val="18"/>
              </w:rPr>
            </w:pPr>
            <w:r>
              <w:rPr>
                <w:b/>
                <w:sz w:val="18"/>
              </w:rPr>
              <w:t>2017</w:t>
            </w:r>
          </w:p>
        </w:tc>
      </w:tr>
      <w:tr w:rsidR="00FA4AA8" w14:paraId="0D8571F8" w14:textId="77777777">
        <w:trPr>
          <w:trHeight w:val="250"/>
        </w:trPr>
        <w:tc>
          <w:tcPr>
            <w:tcW w:w="4012" w:type="dxa"/>
          </w:tcPr>
          <w:p w14:paraId="01A7085A" w14:textId="77777777" w:rsidR="00FA4AA8" w:rsidRDefault="0015611F">
            <w:pPr>
              <w:pStyle w:val="TableParagraph"/>
              <w:spacing w:before="13"/>
              <w:ind w:left="50"/>
              <w:rPr>
                <w:sz w:val="18"/>
              </w:rPr>
            </w:pPr>
            <w:r>
              <w:rPr>
                <w:sz w:val="18"/>
              </w:rPr>
              <w:t>$150,000 to $159,999</w:t>
            </w:r>
          </w:p>
        </w:tc>
        <w:tc>
          <w:tcPr>
            <w:tcW w:w="1636" w:type="dxa"/>
          </w:tcPr>
          <w:p w14:paraId="7FF81279" w14:textId="77777777" w:rsidR="00FA4AA8" w:rsidRDefault="0015611F">
            <w:pPr>
              <w:pStyle w:val="TableParagraph"/>
              <w:spacing w:before="11"/>
              <w:ind w:right="256"/>
              <w:jc w:val="right"/>
              <w:rPr>
                <w:b/>
                <w:sz w:val="18"/>
              </w:rPr>
            </w:pPr>
            <w:r>
              <w:rPr>
                <w:b/>
                <w:sz w:val="18"/>
              </w:rPr>
              <w:t>-</w:t>
            </w:r>
          </w:p>
        </w:tc>
        <w:tc>
          <w:tcPr>
            <w:tcW w:w="798" w:type="dxa"/>
          </w:tcPr>
          <w:p w14:paraId="6AE9AB7C" w14:textId="77777777" w:rsidR="00FA4AA8" w:rsidRDefault="00FA4AA8">
            <w:pPr>
              <w:pStyle w:val="TableParagraph"/>
              <w:rPr>
                <w:rFonts w:ascii="Times New Roman"/>
                <w:sz w:val="18"/>
              </w:rPr>
            </w:pPr>
          </w:p>
        </w:tc>
        <w:tc>
          <w:tcPr>
            <w:tcW w:w="1463" w:type="dxa"/>
          </w:tcPr>
          <w:p w14:paraId="21649F45" w14:textId="77777777" w:rsidR="00FA4AA8" w:rsidRDefault="0015611F">
            <w:pPr>
              <w:pStyle w:val="TableParagraph"/>
              <w:spacing w:before="11"/>
              <w:ind w:left="139"/>
              <w:rPr>
                <w:sz w:val="18"/>
              </w:rPr>
            </w:pPr>
            <w:r>
              <w:rPr>
                <w:sz w:val="18"/>
              </w:rPr>
              <w:t>1</w:t>
            </w:r>
          </w:p>
        </w:tc>
        <w:tc>
          <w:tcPr>
            <w:tcW w:w="496" w:type="dxa"/>
          </w:tcPr>
          <w:p w14:paraId="2C3EF136" w14:textId="77777777" w:rsidR="00FA4AA8" w:rsidRDefault="0015611F">
            <w:pPr>
              <w:pStyle w:val="TableParagraph"/>
              <w:spacing w:before="11"/>
              <w:ind w:left="181"/>
              <w:rPr>
                <w:b/>
                <w:sz w:val="18"/>
              </w:rPr>
            </w:pPr>
            <w:r>
              <w:rPr>
                <w:b/>
                <w:sz w:val="18"/>
              </w:rPr>
              <w:t>-</w:t>
            </w:r>
          </w:p>
        </w:tc>
        <w:tc>
          <w:tcPr>
            <w:tcW w:w="1122" w:type="dxa"/>
          </w:tcPr>
          <w:p w14:paraId="05B8619D" w14:textId="77777777" w:rsidR="00FA4AA8" w:rsidRDefault="0015611F">
            <w:pPr>
              <w:pStyle w:val="TableParagraph"/>
              <w:spacing w:before="11"/>
              <w:ind w:right="79"/>
              <w:jc w:val="right"/>
              <w:rPr>
                <w:sz w:val="18"/>
              </w:rPr>
            </w:pPr>
            <w:r>
              <w:rPr>
                <w:sz w:val="18"/>
              </w:rPr>
              <w:t>-</w:t>
            </w:r>
          </w:p>
        </w:tc>
      </w:tr>
      <w:tr w:rsidR="00FA4AA8" w14:paraId="2FBC6BEB" w14:textId="77777777">
        <w:trPr>
          <w:trHeight w:val="264"/>
        </w:trPr>
        <w:tc>
          <w:tcPr>
            <w:tcW w:w="4012" w:type="dxa"/>
          </w:tcPr>
          <w:p w14:paraId="5371F7D5" w14:textId="77777777" w:rsidR="00FA4AA8" w:rsidRDefault="0015611F">
            <w:pPr>
              <w:pStyle w:val="TableParagraph"/>
              <w:spacing w:before="26"/>
              <w:ind w:left="50"/>
              <w:rPr>
                <w:sz w:val="18"/>
              </w:rPr>
            </w:pPr>
            <w:r>
              <w:rPr>
                <w:sz w:val="18"/>
              </w:rPr>
              <w:t>$160,000 to $169,999</w:t>
            </w:r>
          </w:p>
        </w:tc>
        <w:tc>
          <w:tcPr>
            <w:tcW w:w="1636" w:type="dxa"/>
          </w:tcPr>
          <w:p w14:paraId="563D7DD2" w14:textId="77777777" w:rsidR="00FA4AA8" w:rsidRDefault="0015611F">
            <w:pPr>
              <w:pStyle w:val="TableParagraph"/>
              <w:spacing w:before="24"/>
              <w:ind w:right="256"/>
              <w:jc w:val="right"/>
              <w:rPr>
                <w:b/>
                <w:sz w:val="18"/>
              </w:rPr>
            </w:pPr>
            <w:r>
              <w:rPr>
                <w:b/>
                <w:sz w:val="18"/>
              </w:rPr>
              <w:t>1</w:t>
            </w:r>
          </w:p>
        </w:tc>
        <w:tc>
          <w:tcPr>
            <w:tcW w:w="798" w:type="dxa"/>
          </w:tcPr>
          <w:p w14:paraId="1010BA28" w14:textId="77777777" w:rsidR="00FA4AA8" w:rsidRDefault="00FA4AA8">
            <w:pPr>
              <w:pStyle w:val="TableParagraph"/>
              <w:rPr>
                <w:rFonts w:ascii="Times New Roman"/>
                <w:sz w:val="18"/>
              </w:rPr>
            </w:pPr>
          </w:p>
        </w:tc>
        <w:tc>
          <w:tcPr>
            <w:tcW w:w="1463" w:type="dxa"/>
          </w:tcPr>
          <w:p w14:paraId="6CC25457" w14:textId="77777777" w:rsidR="00FA4AA8" w:rsidRDefault="0015611F">
            <w:pPr>
              <w:pStyle w:val="TableParagraph"/>
              <w:spacing w:before="24"/>
              <w:ind w:left="180"/>
              <w:rPr>
                <w:sz w:val="18"/>
              </w:rPr>
            </w:pPr>
            <w:r>
              <w:rPr>
                <w:sz w:val="18"/>
              </w:rPr>
              <w:t>-</w:t>
            </w:r>
          </w:p>
        </w:tc>
        <w:tc>
          <w:tcPr>
            <w:tcW w:w="496" w:type="dxa"/>
          </w:tcPr>
          <w:p w14:paraId="762A7634" w14:textId="77777777" w:rsidR="00FA4AA8" w:rsidRDefault="0015611F">
            <w:pPr>
              <w:pStyle w:val="TableParagraph"/>
              <w:spacing w:before="24"/>
              <w:ind w:left="181"/>
              <w:rPr>
                <w:b/>
                <w:sz w:val="18"/>
              </w:rPr>
            </w:pPr>
            <w:r>
              <w:rPr>
                <w:b/>
                <w:sz w:val="18"/>
              </w:rPr>
              <w:t>-</w:t>
            </w:r>
          </w:p>
        </w:tc>
        <w:tc>
          <w:tcPr>
            <w:tcW w:w="1122" w:type="dxa"/>
          </w:tcPr>
          <w:p w14:paraId="5605989C" w14:textId="77777777" w:rsidR="00FA4AA8" w:rsidRDefault="0015611F">
            <w:pPr>
              <w:pStyle w:val="TableParagraph"/>
              <w:spacing w:before="24"/>
              <w:ind w:right="79"/>
              <w:jc w:val="right"/>
              <w:rPr>
                <w:sz w:val="18"/>
              </w:rPr>
            </w:pPr>
            <w:r>
              <w:rPr>
                <w:sz w:val="18"/>
              </w:rPr>
              <w:t>-</w:t>
            </w:r>
          </w:p>
        </w:tc>
      </w:tr>
      <w:tr w:rsidR="00FA4AA8" w14:paraId="5ADE4DA9" w14:textId="77777777">
        <w:trPr>
          <w:trHeight w:val="264"/>
        </w:trPr>
        <w:tc>
          <w:tcPr>
            <w:tcW w:w="4012" w:type="dxa"/>
          </w:tcPr>
          <w:p w14:paraId="6A84E8A4" w14:textId="77777777" w:rsidR="00FA4AA8" w:rsidRDefault="0015611F">
            <w:pPr>
              <w:pStyle w:val="TableParagraph"/>
              <w:spacing w:before="26"/>
              <w:ind w:left="50"/>
              <w:rPr>
                <w:sz w:val="18"/>
              </w:rPr>
            </w:pPr>
            <w:r>
              <w:rPr>
                <w:sz w:val="18"/>
              </w:rPr>
              <w:t>$240,000 to $249,999</w:t>
            </w:r>
          </w:p>
        </w:tc>
        <w:tc>
          <w:tcPr>
            <w:tcW w:w="1636" w:type="dxa"/>
          </w:tcPr>
          <w:p w14:paraId="07DDC65B" w14:textId="77777777" w:rsidR="00FA4AA8" w:rsidRDefault="0015611F">
            <w:pPr>
              <w:pStyle w:val="TableParagraph"/>
              <w:spacing w:before="24"/>
              <w:ind w:right="256"/>
              <w:jc w:val="right"/>
              <w:rPr>
                <w:b/>
                <w:sz w:val="18"/>
              </w:rPr>
            </w:pPr>
            <w:r>
              <w:rPr>
                <w:b/>
                <w:sz w:val="18"/>
              </w:rPr>
              <w:t>2</w:t>
            </w:r>
          </w:p>
        </w:tc>
        <w:tc>
          <w:tcPr>
            <w:tcW w:w="798" w:type="dxa"/>
          </w:tcPr>
          <w:p w14:paraId="620F3E50" w14:textId="77777777" w:rsidR="00FA4AA8" w:rsidRDefault="00FA4AA8">
            <w:pPr>
              <w:pStyle w:val="TableParagraph"/>
              <w:rPr>
                <w:rFonts w:ascii="Times New Roman"/>
                <w:sz w:val="18"/>
              </w:rPr>
            </w:pPr>
          </w:p>
        </w:tc>
        <w:tc>
          <w:tcPr>
            <w:tcW w:w="1463" w:type="dxa"/>
          </w:tcPr>
          <w:p w14:paraId="7DD6782C" w14:textId="77777777" w:rsidR="00FA4AA8" w:rsidRDefault="0015611F">
            <w:pPr>
              <w:pStyle w:val="TableParagraph"/>
              <w:spacing w:before="24"/>
              <w:ind w:left="139"/>
              <w:rPr>
                <w:sz w:val="18"/>
              </w:rPr>
            </w:pPr>
            <w:r>
              <w:rPr>
                <w:sz w:val="18"/>
              </w:rPr>
              <w:t>1</w:t>
            </w:r>
          </w:p>
        </w:tc>
        <w:tc>
          <w:tcPr>
            <w:tcW w:w="496" w:type="dxa"/>
          </w:tcPr>
          <w:p w14:paraId="27CD2C84" w14:textId="77777777" w:rsidR="00FA4AA8" w:rsidRDefault="0015611F">
            <w:pPr>
              <w:pStyle w:val="TableParagraph"/>
              <w:spacing w:before="24"/>
              <w:ind w:left="140"/>
              <w:rPr>
                <w:b/>
                <w:sz w:val="18"/>
              </w:rPr>
            </w:pPr>
            <w:r>
              <w:rPr>
                <w:b/>
                <w:sz w:val="18"/>
              </w:rPr>
              <w:t>1</w:t>
            </w:r>
          </w:p>
        </w:tc>
        <w:tc>
          <w:tcPr>
            <w:tcW w:w="1122" w:type="dxa"/>
          </w:tcPr>
          <w:p w14:paraId="0531999A" w14:textId="77777777" w:rsidR="00FA4AA8" w:rsidRDefault="0015611F">
            <w:pPr>
              <w:pStyle w:val="TableParagraph"/>
              <w:spacing w:before="24"/>
              <w:ind w:right="79"/>
              <w:jc w:val="right"/>
              <w:rPr>
                <w:sz w:val="18"/>
              </w:rPr>
            </w:pPr>
            <w:r>
              <w:rPr>
                <w:sz w:val="18"/>
              </w:rPr>
              <w:t>1</w:t>
            </w:r>
          </w:p>
        </w:tc>
      </w:tr>
      <w:tr w:rsidR="00FA4AA8" w14:paraId="2BA3046A" w14:textId="77777777">
        <w:trPr>
          <w:trHeight w:val="264"/>
        </w:trPr>
        <w:tc>
          <w:tcPr>
            <w:tcW w:w="4012" w:type="dxa"/>
          </w:tcPr>
          <w:p w14:paraId="1D562663" w14:textId="77777777" w:rsidR="00FA4AA8" w:rsidRDefault="0015611F">
            <w:pPr>
              <w:pStyle w:val="TableParagraph"/>
              <w:spacing w:before="26"/>
              <w:ind w:left="50"/>
              <w:rPr>
                <w:sz w:val="18"/>
              </w:rPr>
            </w:pPr>
            <w:r>
              <w:rPr>
                <w:sz w:val="18"/>
              </w:rPr>
              <w:t>$280,000 to $289,999</w:t>
            </w:r>
          </w:p>
        </w:tc>
        <w:tc>
          <w:tcPr>
            <w:tcW w:w="1636" w:type="dxa"/>
          </w:tcPr>
          <w:p w14:paraId="0D0B5D37" w14:textId="77777777" w:rsidR="00FA4AA8" w:rsidRDefault="0015611F">
            <w:pPr>
              <w:pStyle w:val="TableParagraph"/>
              <w:spacing w:before="24"/>
              <w:ind w:right="256"/>
              <w:jc w:val="right"/>
              <w:rPr>
                <w:b/>
                <w:sz w:val="18"/>
              </w:rPr>
            </w:pPr>
            <w:r>
              <w:rPr>
                <w:b/>
                <w:sz w:val="18"/>
              </w:rPr>
              <w:t>3</w:t>
            </w:r>
          </w:p>
        </w:tc>
        <w:tc>
          <w:tcPr>
            <w:tcW w:w="798" w:type="dxa"/>
          </w:tcPr>
          <w:p w14:paraId="0803B1C5" w14:textId="77777777" w:rsidR="00FA4AA8" w:rsidRDefault="00FA4AA8">
            <w:pPr>
              <w:pStyle w:val="TableParagraph"/>
              <w:rPr>
                <w:rFonts w:ascii="Times New Roman"/>
                <w:sz w:val="18"/>
              </w:rPr>
            </w:pPr>
          </w:p>
        </w:tc>
        <w:tc>
          <w:tcPr>
            <w:tcW w:w="1463" w:type="dxa"/>
          </w:tcPr>
          <w:p w14:paraId="10C77B2E" w14:textId="77777777" w:rsidR="00FA4AA8" w:rsidRDefault="0015611F">
            <w:pPr>
              <w:pStyle w:val="TableParagraph"/>
              <w:spacing w:before="24"/>
              <w:ind w:left="139"/>
              <w:rPr>
                <w:sz w:val="18"/>
              </w:rPr>
            </w:pPr>
            <w:r>
              <w:rPr>
                <w:sz w:val="18"/>
              </w:rPr>
              <w:t>3</w:t>
            </w:r>
          </w:p>
        </w:tc>
        <w:tc>
          <w:tcPr>
            <w:tcW w:w="496" w:type="dxa"/>
          </w:tcPr>
          <w:p w14:paraId="4FCD586B" w14:textId="77777777" w:rsidR="00FA4AA8" w:rsidRDefault="0015611F">
            <w:pPr>
              <w:pStyle w:val="TableParagraph"/>
              <w:spacing w:before="24"/>
              <w:ind w:left="140"/>
              <w:rPr>
                <w:b/>
                <w:sz w:val="18"/>
              </w:rPr>
            </w:pPr>
            <w:r>
              <w:rPr>
                <w:b/>
                <w:sz w:val="18"/>
              </w:rPr>
              <w:t>3</w:t>
            </w:r>
          </w:p>
        </w:tc>
        <w:tc>
          <w:tcPr>
            <w:tcW w:w="1122" w:type="dxa"/>
          </w:tcPr>
          <w:p w14:paraId="13C5F05E" w14:textId="77777777" w:rsidR="00FA4AA8" w:rsidRDefault="0015611F">
            <w:pPr>
              <w:pStyle w:val="TableParagraph"/>
              <w:spacing w:before="24"/>
              <w:ind w:right="79"/>
              <w:jc w:val="right"/>
              <w:rPr>
                <w:sz w:val="18"/>
              </w:rPr>
            </w:pPr>
            <w:r>
              <w:rPr>
                <w:sz w:val="18"/>
              </w:rPr>
              <w:t>3</w:t>
            </w:r>
          </w:p>
        </w:tc>
      </w:tr>
      <w:tr w:rsidR="00FA4AA8" w14:paraId="62284C88" w14:textId="77777777">
        <w:trPr>
          <w:trHeight w:val="264"/>
        </w:trPr>
        <w:tc>
          <w:tcPr>
            <w:tcW w:w="4012" w:type="dxa"/>
          </w:tcPr>
          <w:p w14:paraId="27ED2E2D" w14:textId="77777777" w:rsidR="00FA4AA8" w:rsidRDefault="0015611F">
            <w:pPr>
              <w:pStyle w:val="TableParagraph"/>
              <w:spacing w:before="26"/>
              <w:ind w:left="50"/>
              <w:rPr>
                <w:sz w:val="18"/>
              </w:rPr>
            </w:pPr>
            <w:r>
              <w:rPr>
                <w:sz w:val="18"/>
              </w:rPr>
              <w:t>$290,000 to $299,999</w:t>
            </w:r>
          </w:p>
        </w:tc>
        <w:tc>
          <w:tcPr>
            <w:tcW w:w="1636" w:type="dxa"/>
          </w:tcPr>
          <w:p w14:paraId="51113BC1" w14:textId="77777777" w:rsidR="00FA4AA8" w:rsidRDefault="0015611F">
            <w:pPr>
              <w:pStyle w:val="TableParagraph"/>
              <w:spacing w:before="24"/>
              <w:ind w:right="256"/>
              <w:jc w:val="right"/>
              <w:rPr>
                <w:b/>
                <w:sz w:val="18"/>
              </w:rPr>
            </w:pPr>
            <w:r>
              <w:rPr>
                <w:b/>
                <w:sz w:val="18"/>
              </w:rPr>
              <w:t>-</w:t>
            </w:r>
          </w:p>
        </w:tc>
        <w:tc>
          <w:tcPr>
            <w:tcW w:w="798" w:type="dxa"/>
          </w:tcPr>
          <w:p w14:paraId="1D2E38ED" w14:textId="77777777" w:rsidR="00FA4AA8" w:rsidRDefault="00FA4AA8">
            <w:pPr>
              <w:pStyle w:val="TableParagraph"/>
              <w:rPr>
                <w:rFonts w:ascii="Times New Roman"/>
                <w:sz w:val="18"/>
              </w:rPr>
            </w:pPr>
          </w:p>
        </w:tc>
        <w:tc>
          <w:tcPr>
            <w:tcW w:w="1463" w:type="dxa"/>
          </w:tcPr>
          <w:p w14:paraId="114A9F76" w14:textId="77777777" w:rsidR="00FA4AA8" w:rsidRDefault="0015611F">
            <w:pPr>
              <w:pStyle w:val="TableParagraph"/>
              <w:spacing w:before="24"/>
              <w:ind w:left="139"/>
              <w:rPr>
                <w:sz w:val="18"/>
              </w:rPr>
            </w:pPr>
            <w:r>
              <w:rPr>
                <w:sz w:val="18"/>
              </w:rPr>
              <w:t>1</w:t>
            </w:r>
          </w:p>
        </w:tc>
        <w:tc>
          <w:tcPr>
            <w:tcW w:w="496" w:type="dxa"/>
          </w:tcPr>
          <w:p w14:paraId="76D430A7" w14:textId="77777777" w:rsidR="00FA4AA8" w:rsidRDefault="0015611F">
            <w:pPr>
              <w:pStyle w:val="TableParagraph"/>
              <w:spacing w:before="24"/>
              <w:ind w:left="181"/>
              <w:rPr>
                <w:b/>
                <w:sz w:val="18"/>
              </w:rPr>
            </w:pPr>
            <w:r>
              <w:rPr>
                <w:b/>
                <w:sz w:val="18"/>
              </w:rPr>
              <w:t>-</w:t>
            </w:r>
          </w:p>
        </w:tc>
        <w:tc>
          <w:tcPr>
            <w:tcW w:w="1122" w:type="dxa"/>
          </w:tcPr>
          <w:p w14:paraId="455B7F1D" w14:textId="77777777" w:rsidR="00FA4AA8" w:rsidRDefault="0015611F">
            <w:pPr>
              <w:pStyle w:val="TableParagraph"/>
              <w:spacing w:before="24"/>
              <w:ind w:right="79"/>
              <w:jc w:val="right"/>
              <w:rPr>
                <w:sz w:val="18"/>
              </w:rPr>
            </w:pPr>
            <w:r>
              <w:rPr>
                <w:sz w:val="18"/>
              </w:rPr>
              <w:t>-</w:t>
            </w:r>
          </w:p>
        </w:tc>
      </w:tr>
      <w:tr w:rsidR="00FA4AA8" w14:paraId="56F6B9C2" w14:textId="77777777">
        <w:trPr>
          <w:trHeight w:val="264"/>
        </w:trPr>
        <w:tc>
          <w:tcPr>
            <w:tcW w:w="4012" w:type="dxa"/>
          </w:tcPr>
          <w:p w14:paraId="3F0CE4CF" w14:textId="77777777" w:rsidR="00FA4AA8" w:rsidRDefault="0015611F">
            <w:pPr>
              <w:pStyle w:val="TableParagraph"/>
              <w:spacing w:before="26"/>
              <w:ind w:left="50"/>
              <w:rPr>
                <w:sz w:val="18"/>
              </w:rPr>
            </w:pPr>
            <w:r>
              <w:rPr>
                <w:sz w:val="18"/>
              </w:rPr>
              <w:t>$300,000 to $309,999</w:t>
            </w:r>
          </w:p>
        </w:tc>
        <w:tc>
          <w:tcPr>
            <w:tcW w:w="1636" w:type="dxa"/>
          </w:tcPr>
          <w:p w14:paraId="6CB2A626" w14:textId="77777777" w:rsidR="00FA4AA8" w:rsidRDefault="0015611F">
            <w:pPr>
              <w:pStyle w:val="TableParagraph"/>
              <w:spacing w:before="24"/>
              <w:ind w:right="256"/>
              <w:jc w:val="right"/>
              <w:rPr>
                <w:b/>
                <w:sz w:val="18"/>
              </w:rPr>
            </w:pPr>
            <w:r>
              <w:rPr>
                <w:b/>
                <w:sz w:val="18"/>
              </w:rPr>
              <w:t>2</w:t>
            </w:r>
          </w:p>
        </w:tc>
        <w:tc>
          <w:tcPr>
            <w:tcW w:w="798" w:type="dxa"/>
          </w:tcPr>
          <w:p w14:paraId="1C9CEE8D" w14:textId="77777777" w:rsidR="00FA4AA8" w:rsidRDefault="00FA4AA8">
            <w:pPr>
              <w:pStyle w:val="TableParagraph"/>
              <w:rPr>
                <w:rFonts w:ascii="Times New Roman"/>
                <w:sz w:val="18"/>
              </w:rPr>
            </w:pPr>
          </w:p>
        </w:tc>
        <w:tc>
          <w:tcPr>
            <w:tcW w:w="1463" w:type="dxa"/>
          </w:tcPr>
          <w:p w14:paraId="4B785CAE" w14:textId="77777777" w:rsidR="00FA4AA8" w:rsidRDefault="0015611F">
            <w:pPr>
              <w:pStyle w:val="TableParagraph"/>
              <w:spacing w:before="24"/>
              <w:ind w:left="139"/>
              <w:rPr>
                <w:sz w:val="18"/>
              </w:rPr>
            </w:pPr>
            <w:r>
              <w:rPr>
                <w:sz w:val="18"/>
              </w:rPr>
              <w:t>1</w:t>
            </w:r>
          </w:p>
        </w:tc>
        <w:tc>
          <w:tcPr>
            <w:tcW w:w="496" w:type="dxa"/>
          </w:tcPr>
          <w:p w14:paraId="638867A9" w14:textId="77777777" w:rsidR="00FA4AA8" w:rsidRDefault="0015611F">
            <w:pPr>
              <w:pStyle w:val="TableParagraph"/>
              <w:spacing w:before="24"/>
              <w:ind w:left="181"/>
              <w:rPr>
                <w:b/>
                <w:sz w:val="18"/>
              </w:rPr>
            </w:pPr>
            <w:r>
              <w:rPr>
                <w:b/>
                <w:sz w:val="18"/>
              </w:rPr>
              <w:t>-</w:t>
            </w:r>
          </w:p>
        </w:tc>
        <w:tc>
          <w:tcPr>
            <w:tcW w:w="1122" w:type="dxa"/>
          </w:tcPr>
          <w:p w14:paraId="02FDA02E" w14:textId="77777777" w:rsidR="00FA4AA8" w:rsidRDefault="0015611F">
            <w:pPr>
              <w:pStyle w:val="TableParagraph"/>
              <w:spacing w:before="24"/>
              <w:ind w:right="79"/>
              <w:jc w:val="right"/>
              <w:rPr>
                <w:sz w:val="18"/>
              </w:rPr>
            </w:pPr>
            <w:r>
              <w:rPr>
                <w:sz w:val="18"/>
              </w:rPr>
              <w:t>-</w:t>
            </w:r>
          </w:p>
        </w:tc>
      </w:tr>
      <w:tr w:rsidR="00FA4AA8" w14:paraId="61EF8501" w14:textId="77777777">
        <w:trPr>
          <w:trHeight w:val="264"/>
        </w:trPr>
        <w:tc>
          <w:tcPr>
            <w:tcW w:w="4012" w:type="dxa"/>
          </w:tcPr>
          <w:p w14:paraId="52413865" w14:textId="77777777" w:rsidR="00FA4AA8" w:rsidRDefault="0015611F">
            <w:pPr>
              <w:pStyle w:val="TableParagraph"/>
              <w:spacing w:before="26"/>
              <w:ind w:left="50"/>
              <w:rPr>
                <w:sz w:val="18"/>
              </w:rPr>
            </w:pPr>
            <w:r>
              <w:rPr>
                <w:sz w:val="18"/>
              </w:rPr>
              <w:t>$310,000 to $319,999</w:t>
            </w:r>
          </w:p>
        </w:tc>
        <w:tc>
          <w:tcPr>
            <w:tcW w:w="1636" w:type="dxa"/>
          </w:tcPr>
          <w:p w14:paraId="2B1D6145" w14:textId="77777777" w:rsidR="00FA4AA8" w:rsidRDefault="0015611F">
            <w:pPr>
              <w:pStyle w:val="TableParagraph"/>
              <w:spacing w:before="24"/>
              <w:ind w:right="256"/>
              <w:jc w:val="right"/>
              <w:rPr>
                <w:b/>
                <w:sz w:val="18"/>
              </w:rPr>
            </w:pPr>
            <w:r>
              <w:rPr>
                <w:b/>
                <w:sz w:val="18"/>
              </w:rPr>
              <w:t>3</w:t>
            </w:r>
          </w:p>
        </w:tc>
        <w:tc>
          <w:tcPr>
            <w:tcW w:w="798" w:type="dxa"/>
          </w:tcPr>
          <w:p w14:paraId="21296118" w14:textId="77777777" w:rsidR="00FA4AA8" w:rsidRDefault="00FA4AA8">
            <w:pPr>
              <w:pStyle w:val="TableParagraph"/>
              <w:rPr>
                <w:rFonts w:ascii="Times New Roman"/>
                <w:sz w:val="18"/>
              </w:rPr>
            </w:pPr>
          </w:p>
        </w:tc>
        <w:tc>
          <w:tcPr>
            <w:tcW w:w="1463" w:type="dxa"/>
          </w:tcPr>
          <w:p w14:paraId="4B7EA511" w14:textId="77777777" w:rsidR="00FA4AA8" w:rsidRDefault="0015611F">
            <w:pPr>
              <w:pStyle w:val="TableParagraph"/>
              <w:spacing w:before="24"/>
              <w:ind w:left="139"/>
              <w:rPr>
                <w:sz w:val="18"/>
              </w:rPr>
            </w:pPr>
            <w:r>
              <w:rPr>
                <w:sz w:val="18"/>
              </w:rPr>
              <w:t>2</w:t>
            </w:r>
          </w:p>
        </w:tc>
        <w:tc>
          <w:tcPr>
            <w:tcW w:w="496" w:type="dxa"/>
          </w:tcPr>
          <w:p w14:paraId="548F64BA" w14:textId="77777777" w:rsidR="00FA4AA8" w:rsidRDefault="0015611F">
            <w:pPr>
              <w:pStyle w:val="TableParagraph"/>
              <w:spacing w:before="24"/>
              <w:ind w:left="140"/>
              <w:rPr>
                <w:b/>
                <w:sz w:val="18"/>
              </w:rPr>
            </w:pPr>
            <w:r>
              <w:rPr>
                <w:b/>
                <w:sz w:val="18"/>
              </w:rPr>
              <w:t>3</w:t>
            </w:r>
          </w:p>
        </w:tc>
        <w:tc>
          <w:tcPr>
            <w:tcW w:w="1122" w:type="dxa"/>
          </w:tcPr>
          <w:p w14:paraId="1C180E76" w14:textId="77777777" w:rsidR="00FA4AA8" w:rsidRDefault="0015611F">
            <w:pPr>
              <w:pStyle w:val="TableParagraph"/>
              <w:spacing w:before="24"/>
              <w:ind w:right="79"/>
              <w:jc w:val="right"/>
              <w:rPr>
                <w:sz w:val="18"/>
              </w:rPr>
            </w:pPr>
            <w:r>
              <w:rPr>
                <w:sz w:val="18"/>
              </w:rPr>
              <w:t>2</w:t>
            </w:r>
          </w:p>
        </w:tc>
      </w:tr>
      <w:tr w:rsidR="00FA4AA8" w14:paraId="1A115CA2" w14:textId="77777777">
        <w:trPr>
          <w:trHeight w:val="263"/>
        </w:trPr>
        <w:tc>
          <w:tcPr>
            <w:tcW w:w="4012" w:type="dxa"/>
          </w:tcPr>
          <w:p w14:paraId="3CCE63C9" w14:textId="77777777" w:rsidR="00FA4AA8" w:rsidRDefault="0015611F">
            <w:pPr>
              <w:pStyle w:val="TableParagraph"/>
              <w:spacing w:before="26"/>
              <w:ind w:left="50"/>
              <w:rPr>
                <w:sz w:val="18"/>
              </w:rPr>
            </w:pPr>
            <w:r>
              <w:rPr>
                <w:sz w:val="18"/>
              </w:rPr>
              <w:t>$320,000 to $329,999</w:t>
            </w:r>
          </w:p>
        </w:tc>
        <w:tc>
          <w:tcPr>
            <w:tcW w:w="1636" w:type="dxa"/>
          </w:tcPr>
          <w:p w14:paraId="54D6E97D" w14:textId="77777777" w:rsidR="00FA4AA8" w:rsidRDefault="0015611F">
            <w:pPr>
              <w:pStyle w:val="TableParagraph"/>
              <w:spacing w:before="24"/>
              <w:ind w:right="256"/>
              <w:jc w:val="right"/>
              <w:rPr>
                <w:b/>
                <w:sz w:val="18"/>
              </w:rPr>
            </w:pPr>
            <w:r>
              <w:rPr>
                <w:b/>
                <w:sz w:val="18"/>
              </w:rPr>
              <w:t>1</w:t>
            </w:r>
          </w:p>
        </w:tc>
        <w:tc>
          <w:tcPr>
            <w:tcW w:w="798" w:type="dxa"/>
          </w:tcPr>
          <w:p w14:paraId="53C84796" w14:textId="77777777" w:rsidR="00FA4AA8" w:rsidRDefault="00FA4AA8">
            <w:pPr>
              <w:pStyle w:val="TableParagraph"/>
              <w:rPr>
                <w:rFonts w:ascii="Times New Roman"/>
                <w:sz w:val="18"/>
              </w:rPr>
            </w:pPr>
          </w:p>
        </w:tc>
        <w:tc>
          <w:tcPr>
            <w:tcW w:w="1463" w:type="dxa"/>
          </w:tcPr>
          <w:p w14:paraId="456F23E7" w14:textId="77777777" w:rsidR="00FA4AA8" w:rsidRDefault="0015611F">
            <w:pPr>
              <w:pStyle w:val="TableParagraph"/>
              <w:spacing w:before="24"/>
              <w:ind w:left="139"/>
              <w:rPr>
                <w:sz w:val="18"/>
              </w:rPr>
            </w:pPr>
            <w:r>
              <w:rPr>
                <w:sz w:val="18"/>
              </w:rPr>
              <w:t>1</w:t>
            </w:r>
          </w:p>
        </w:tc>
        <w:tc>
          <w:tcPr>
            <w:tcW w:w="496" w:type="dxa"/>
          </w:tcPr>
          <w:p w14:paraId="53C129A9" w14:textId="77777777" w:rsidR="00FA4AA8" w:rsidRDefault="0015611F">
            <w:pPr>
              <w:pStyle w:val="TableParagraph"/>
              <w:spacing w:before="24"/>
              <w:ind w:left="140"/>
              <w:rPr>
                <w:b/>
                <w:sz w:val="18"/>
              </w:rPr>
            </w:pPr>
            <w:r>
              <w:rPr>
                <w:b/>
                <w:sz w:val="18"/>
              </w:rPr>
              <w:t>1</w:t>
            </w:r>
          </w:p>
        </w:tc>
        <w:tc>
          <w:tcPr>
            <w:tcW w:w="1122" w:type="dxa"/>
          </w:tcPr>
          <w:p w14:paraId="346822F2" w14:textId="77777777" w:rsidR="00FA4AA8" w:rsidRDefault="0015611F">
            <w:pPr>
              <w:pStyle w:val="TableParagraph"/>
              <w:spacing w:before="24"/>
              <w:ind w:right="79"/>
              <w:jc w:val="right"/>
              <w:rPr>
                <w:sz w:val="18"/>
              </w:rPr>
            </w:pPr>
            <w:r>
              <w:rPr>
                <w:sz w:val="18"/>
              </w:rPr>
              <w:t>1</w:t>
            </w:r>
          </w:p>
        </w:tc>
      </w:tr>
      <w:tr w:rsidR="00FA4AA8" w14:paraId="06A9148B" w14:textId="77777777">
        <w:trPr>
          <w:trHeight w:val="264"/>
        </w:trPr>
        <w:tc>
          <w:tcPr>
            <w:tcW w:w="4012" w:type="dxa"/>
          </w:tcPr>
          <w:p w14:paraId="271B679A" w14:textId="77777777" w:rsidR="00FA4AA8" w:rsidRDefault="0015611F">
            <w:pPr>
              <w:pStyle w:val="TableParagraph"/>
              <w:spacing w:before="26"/>
              <w:ind w:left="50"/>
              <w:rPr>
                <w:sz w:val="18"/>
              </w:rPr>
            </w:pPr>
            <w:r>
              <w:rPr>
                <w:sz w:val="18"/>
              </w:rPr>
              <w:t>$330,000 to $339,999</w:t>
            </w:r>
          </w:p>
        </w:tc>
        <w:tc>
          <w:tcPr>
            <w:tcW w:w="1636" w:type="dxa"/>
          </w:tcPr>
          <w:p w14:paraId="616253FD" w14:textId="77777777" w:rsidR="00FA4AA8" w:rsidRDefault="0015611F">
            <w:pPr>
              <w:pStyle w:val="TableParagraph"/>
              <w:spacing w:before="24"/>
              <w:ind w:right="256"/>
              <w:jc w:val="right"/>
              <w:rPr>
                <w:b/>
                <w:sz w:val="18"/>
              </w:rPr>
            </w:pPr>
            <w:r>
              <w:rPr>
                <w:b/>
                <w:sz w:val="18"/>
              </w:rPr>
              <w:t>1</w:t>
            </w:r>
          </w:p>
        </w:tc>
        <w:tc>
          <w:tcPr>
            <w:tcW w:w="798" w:type="dxa"/>
          </w:tcPr>
          <w:p w14:paraId="143CF0F9" w14:textId="77777777" w:rsidR="00FA4AA8" w:rsidRDefault="00FA4AA8">
            <w:pPr>
              <w:pStyle w:val="TableParagraph"/>
              <w:rPr>
                <w:rFonts w:ascii="Times New Roman"/>
                <w:sz w:val="18"/>
              </w:rPr>
            </w:pPr>
          </w:p>
        </w:tc>
        <w:tc>
          <w:tcPr>
            <w:tcW w:w="1463" w:type="dxa"/>
          </w:tcPr>
          <w:p w14:paraId="00F52EB1" w14:textId="77777777" w:rsidR="00FA4AA8" w:rsidRDefault="0015611F">
            <w:pPr>
              <w:pStyle w:val="TableParagraph"/>
              <w:spacing w:before="24"/>
              <w:ind w:left="139"/>
              <w:rPr>
                <w:sz w:val="18"/>
              </w:rPr>
            </w:pPr>
            <w:r>
              <w:rPr>
                <w:sz w:val="18"/>
              </w:rPr>
              <w:t>2</w:t>
            </w:r>
          </w:p>
        </w:tc>
        <w:tc>
          <w:tcPr>
            <w:tcW w:w="496" w:type="dxa"/>
          </w:tcPr>
          <w:p w14:paraId="590CF28C" w14:textId="77777777" w:rsidR="00FA4AA8" w:rsidRDefault="0015611F">
            <w:pPr>
              <w:pStyle w:val="TableParagraph"/>
              <w:spacing w:before="24"/>
              <w:ind w:left="140"/>
              <w:rPr>
                <w:b/>
                <w:sz w:val="18"/>
              </w:rPr>
            </w:pPr>
            <w:r>
              <w:rPr>
                <w:b/>
                <w:sz w:val="18"/>
              </w:rPr>
              <w:t>1</w:t>
            </w:r>
          </w:p>
        </w:tc>
        <w:tc>
          <w:tcPr>
            <w:tcW w:w="1122" w:type="dxa"/>
          </w:tcPr>
          <w:p w14:paraId="60C1D22E" w14:textId="77777777" w:rsidR="00FA4AA8" w:rsidRDefault="0015611F">
            <w:pPr>
              <w:pStyle w:val="TableParagraph"/>
              <w:spacing w:before="24"/>
              <w:ind w:right="79"/>
              <w:jc w:val="right"/>
              <w:rPr>
                <w:sz w:val="18"/>
              </w:rPr>
            </w:pPr>
            <w:r>
              <w:rPr>
                <w:sz w:val="18"/>
              </w:rPr>
              <w:t>2</w:t>
            </w:r>
          </w:p>
        </w:tc>
      </w:tr>
      <w:tr w:rsidR="00FA4AA8" w14:paraId="54BD77AB" w14:textId="77777777">
        <w:trPr>
          <w:trHeight w:val="263"/>
        </w:trPr>
        <w:tc>
          <w:tcPr>
            <w:tcW w:w="4012" w:type="dxa"/>
          </w:tcPr>
          <w:p w14:paraId="1F85C634" w14:textId="77777777" w:rsidR="00FA4AA8" w:rsidRDefault="0015611F">
            <w:pPr>
              <w:pStyle w:val="TableParagraph"/>
              <w:spacing w:before="26"/>
              <w:ind w:left="50"/>
              <w:rPr>
                <w:sz w:val="18"/>
              </w:rPr>
            </w:pPr>
            <w:r>
              <w:rPr>
                <w:sz w:val="18"/>
              </w:rPr>
              <w:t>$340,000 to $349,999</w:t>
            </w:r>
          </w:p>
        </w:tc>
        <w:tc>
          <w:tcPr>
            <w:tcW w:w="1636" w:type="dxa"/>
          </w:tcPr>
          <w:p w14:paraId="6A118B16" w14:textId="77777777" w:rsidR="00FA4AA8" w:rsidRDefault="0015611F">
            <w:pPr>
              <w:pStyle w:val="TableParagraph"/>
              <w:spacing w:before="24"/>
              <w:ind w:right="256"/>
              <w:jc w:val="right"/>
              <w:rPr>
                <w:b/>
                <w:sz w:val="18"/>
              </w:rPr>
            </w:pPr>
            <w:r>
              <w:rPr>
                <w:b/>
                <w:sz w:val="18"/>
              </w:rPr>
              <w:t>2</w:t>
            </w:r>
          </w:p>
        </w:tc>
        <w:tc>
          <w:tcPr>
            <w:tcW w:w="798" w:type="dxa"/>
          </w:tcPr>
          <w:p w14:paraId="3E11AECC" w14:textId="77777777" w:rsidR="00FA4AA8" w:rsidRDefault="00FA4AA8">
            <w:pPr>
              <w:pStyle w:val="TableParagraph"/>
              <w:rPr>
                <w:rFonts w:ascii="Times New Roman"/>
                <w:sz w:val="18"/>
              </w:rPr>
            </w:pPr>
          </w:p>
        </w:tc>
        <w:tc>
          <w:tcPr>
            <w:tcW w:w="1463" w:type="dxa"/>
          </w:tcPr>
          <w:p w14:paraId="476B9FDA" w14:textId="77777777" w:rsidR="00FA4AA8" w:rsidRDefault="0015611F">
            <w:pPr>
              <w:pStyle w:val="TableParagraph"/>
              <w:spacing w:before="24"/>
              <w:ind w:left="139"/>
              <w:rPr>
                <w:sz w:val="18"/>
              </w:rPr>
            </w:pPr>
            <w:r>
              <w:rPr>
                <w:sz w:val="18"/>
              </w:rPr>
              <w:t>2</w:t>
            </w:r>
          </w:p>
        </w:tc>
        <w:tc>
          <w:tcPr>
            <w:tcW w:w="496" w:type="dxa"/>
          </w:tcPr>
          <w:p w14:paraId="06E03C93" w14:textId="77777777" w:rsidR="00FA4AA8" w:rsidRDefault="0015611F">
            <w:pPr>
              <w:pStyle w:val="TableParagraph"/>
              <w:spacing w:before="24"/>
              <w:ind w:left="140"/>
              <w:rPr>
                <w:b/>
                <w:sz w:val="18"/>
              </w:rPr>
            </w:pPr>
            <w:r>
              <w:rPr>
                <w:b/>
                <w:sz w:val="18"/>
              </w:rPr>
              <w:t>2</w:t>
            </w:r>
          </w:p>
        </w:tc>
        <w:tc>
          <w:tcPr>
            <w:tcW w:w="1122" w:type="dxa"/>
          </w:tcPr>
          <w:p w14:paraId="638086BA" w14:textId="77777777" w:rsidR="00FA4AA8" w:rsidRDefault="0015611F">
            <w:pPr>
              <w:pStyle w:val="TableParagraph"/>
              <w:spacing w:before="24"/>
              <w:ind w:right="79"/>
              <w:jc w:val="right"/>
              <w:rPr>
                <w:sz w:val="18"/>
              </w:rPr>
            </w:pPr>
            <w:r>
              <w:rPr>
                <w:sz w:val="18"/>
              </w:rPr>
              <w:t>2</w:t>
            </w:r>
          </w:p>
        </w:tc>
      </w:tr>
      <w:tr w:rsidR="00FA4AA8" w14:paraId="662CA455" w14:textId="77777777">
        <w:trPr>
          <w:trHeight w:val="264"/>
        </w:trPr>
        <w:tc>
          <w:tcPr>
            <w:tcW w:w="4012" w:type="dxa"/>
          </w:tcPr>
          <w:p w14:paraId="03A4BCC2" w14:textId="77777777" w:rsidR="00FA4AA8" w:rsidRDefault="0015611F">
            <w:pPr>
              <w:pStyle w:val="TableParagraph"/>
              <w:spacing w:before="26"/>
              <w:ind w:left="50"/>
              <w:rPr>
                <w:sz w:val="18"/>
              </w:rPr>
            </w:pPr>
            <w:r>
              <w:rPr>
                <w:sz w:val="18"/>
              </w:rPr>
              <w:t>$350,000 to $359,999</w:t>
            </w:r>
          </w:p>
        </w:tc>
        <w:tc>
          <w:tcPr>
            <w:tcW w:w="1636" w:type="dxa"/>
          </w:tcPr>
          <w:p w14:paraId="61EA0596" w14:textId="77777777" w:rsidR="00FA4AA8" w:rsidRDefault="0015611F">
            <w:pPr>
              <w:pStyle w:val="TableParagraph"/>
              <w:spacing w:before="24"/>
              <w:ind w:right="256"/>
              <w:jc w:val="right"/>
              <w:rPr>
                <w:b/>
                <w:sz w:val="18"/>
              </w:rPr>
            </w:pPr>
            <w:r>
              <w:rPr>
                <w:b/>
                <w:sz w:val="18"/>
              </w:rPr>
              <w:t>1</w:t>
            </w:r>
          </w:p>
        </w:tc>
        <w:tc>
          <w:tcPr>
            <w:tcW w:w="798" w:type="dxa"/>
          </w:tcPr>
          <w:p w14:paraId="69E544A6" w14:textId="77777777" w:rsidR="00FA4AA8" w:rsidRDefault="00FA4AA8">
            <w:pPr>
              <w:pStyle w:val="TableParagraph"/>
              <w:rPr>
                <w:rFonts w:ascii="Times New Roman"/>
                <w:sz w:val="18"/>
              </w:rPr>
            </w:pPr>
          </w:p>
        </w:tc>
        <w:tc>
          <w:tcPr>
            <w:tcW w:w="1463" w:type="dxa"/>
          </w:tcPr>
          <w:p w14:paraId="1B87897F" w14:textId="77777777" w:rsidR="00FA4AA8" w:rsidRDefault="0015611F">
            <w:pPr>
              <w:pStyle w:val="TableParagraph"/>
              <w:spacing w:before="24"/>
              <w:ind w:left="139"/>
              <w:rPr>
                <w:sz w:val="18"/>
              </w:rPr>
            </w:pPr>
            <w:r>
              <w:rPr>
                <w:sz w:val="18"/>
              </w:rPr>
              <w:t>2</w:t>
            </w:r>
          </w:p>
        </w:tc>
        <w:tc>
          <w:tcPr>
            <w:tcW w:w="496" w:type="dxa"/>
          </w:tcPr>
          <w:p w14:paraId="39B283E9" w14:textId="77777777" w:rsidR="00FA4AA8" w:rsidRDefault="0015611F">
            <w:pPr>
              <w:pStyle w:val="TableParagraph"/>
              <w:spacing w:before="24"/>
              <w:ind w:left="140"/>
              <w:rPr>
                <w:b/>
                <w:sz w:val="18"/>
              </w:rPr>
            </w:pPr>
            <w:r>
              <w:rPr>
                <w:b/>
                <w:sz w:val="18"/>
              </w:rPr>
              <w:t>1</w:t>
            </w:r>
          </w:p>
        </w:tc>
        <w:tc>
          <w:tcPr>
            <w:tcW w:w="1122" w:type="dxa"/>
          </w:tcPr>
          <w:p w14:paraId="107B5305" w14:textId="77777777" w:rsidR="00FA4AA8" w:rsidRDefault="0015611F">
            <w:pPr>
              <w:pStyle w:val="TableParagraph"/>
              <w:spacing w:before="24"/>
              <w:ind w:right="79"/>
              <w:jc w:val="right"/>
              <w:rPr>
                <w:sz w:val="18"/>
              </w:rPr>
            </w:pPr>
            <w:r>
              <w:rPr>
                <w:sz w:val="18"/>
              </w:rPr>
              <w:t>2</w:t>
            </w:r>
          </w:p>
        </w:tc>
      </w:tr>
      <w:tr w:rsidR="00FA4AA8" w14:paraId="71EA7E40" w14:textId="77777777">
        <w:trPr>
          <w:trHeight w:val="263"/>
        </w:trPr>
        <w:tc>
          <w:tcPr>
            <w:tcW w:w="4012" w:type="dxa"/>
          </w:tcPr>
          <w:p w14:paraId="59A92F96" w14:textId="77777777" w:rsidR="00FA4AA8" w:rsidRDefault="0015611F">
            <w:pPr>
              <w:pStyle w:val="TableParagraph"/>
              <w:spacing w:before="26"/>
              <w:ind w:left="50"/>
              <w:rPr>
                <w:sz w:val="18"/>
              </w:rPr>
            </w:pPr>
            <w:r>
              <w:rPr>
                <w:sz w:val="18"/>
              </w:rPr>
              <w:t>$390,000 to $399,999</w:t>
            </w:r>
          </w:p>
        </w:tc>
        <w:tc>
          <w:tcPr>
            <w:tcW w:w="1636" w:type="dxa"/>
          </w:tcPr>
          <w:p w14:paraId="4A937E1C" w14:textId="77777777" w:rsidR="00FA4AA8" w:rsidRDefault="0015611F">
            <w:pPr>
              <w:pStyle w:val="TableParagraph"/>
              <w:spacing w:before="24"/>
              <w:ind w:right="256"/>
              <w:jc w:val="right"/>
              <w:rPr>
                <w:b/>
                <w:sz w:val="18"/>
              </w:rPr>
            </w:pPr>
            <w:r>
              <w:rPr>
                <w:b/>
                <w:sz w:val="18"/>
              </w:rPr>
              <w:t>2</w:t>
            </w:r>
          </w:p>
        </w:tc>
        <w:tc>
          <w:tcPr>
            <w:tcW w:w="798" w:type="dxa"/>
          </w:tcPr>
          <w:p w14:paraId="1759D23D" w14:textId="77777777" w:rsidR="00FA4AA8" w:rsidRDefault="00FA4AA8">
            <w:pPr>
              <w:pStyle w:val="TableParagraph"/>
              <w:rPr>
                <w:rFonts w:ascii="Times New Roman"/>
                <w:sz w:val="18"/>
              </w:rPr>
            </w:pPr>
          </w:p>
        </w:tc>
        <w:tc>
          <w:tcPr>
            <w:tcW w:w="1463" w:type="dxa"/>
          </w:tcPr>
          <w:p w14:paraId="6BE32E5F" w14:textId="77777777" w:rsidR="00FA4AA8" w:rsidRDefault="0015611F">
            <w:pPr>
              <w:pStyle w:val="TableParagraph"/>
              <w:spacing w:before="24"/>
              <w:ind w:left="139"/>
              <w:rPr>
                <w:sz w:val="18"/>
              </w:rPr>
            </w:pPr>
            <w:r>
              <w:rPr>
                <w:sz w:val="18"/>
              </w:rPr>
              <w:t>2</w:t>
            </w:r>
          </w:p>
        </w:tc>
        <w:tc>
          <w:tcPr>
            <w:tcW w:w="496" w:type="dxa"/>
          </w:tcPr>
          <w:p w14:paraId="0576E5E8" w14:textId="77777777" w:rsidR="00FA4AA8" w:rsidRDefault="0015611F">
            <w:pPr>
              <w:pStyle w:val="TableParagraph"/>
              <w:spacing w:before="24"/>
              <w:ind w:left="140"/>
              <w:rPr>
                <w:b/>
                <w:sz w:val="18"/>
              </w:rPr>
            </w:pPr>
            <w:r>
              <w:rPr>
                <w:b/>
                <w:sz w:val="18"/>
              </w:rPr>
              <w:t>2</w:t>
            </w:r>
          </w:p>
        </w:tc>
        <w:tc>
          <w:tcPr>
            <w:tcW w:w="1122" w:type="dxa"/>
          </w:tcPr>
          <w:p w14:paraId="3D5E9E44" w14:textId="77777777" w:rsidR="00FA4AA8" w:rsidRDefault="0015611F">
            <w:pPr>
              <w:pStyle w:val="TableParagraph"/>
              <w:spacing w:before="24"/>
              <w:ind w:right="79"/>
              <w:jc w:val="right"/>
              <w:rPr>
                <w:sz w:val="18"/>
              </w:rPr>
            </w:pPr>
            <w:r>
              <w:rPr>
                <w:sz w:val="18"/>
              </w:rPr>
              <w:t>2</w:t>
            </w:r>
          </w:p>
        </w:tc>
      </w:tr>
      <w:tr w:rsidR="00FA4AA8" w14:paraId="0406ED63" w14:textId="77777777">
        <w:trPr>
          <w:trHeight w:val="264"/>
        </w:trPr>
        <w:tc>
          <w:tcPr>
            <w:tcW w:w="4012" w:type="dxa"/>
          </w:tcPr>
          <w:p w14:paraId="4BFA5E80" w14:textId="77777777" w:rsidR="00FA4AA8" w:rsidRDefault="0015611F">
            <w:pPr>
              <w:pStyle w:val="TableParagraph"/>
              <w:spacing w:before="26"/>
              <w:ind w:left="50"/>
              <w:rPr>
                <w:sz w:val="18"/>
              </w:rPr>
            </w:pPr>
            <w:r>
              <w:rPr>
                <w:sz w:val="18"/>
              </w:rPr>
              <w:t>$400,000 to $409,999</w:t>
            </w:r>
          </w:p>
        </w:tc>
        <w:tc>
          <w:tcPr>
            <w:tcW w:w="1636" w:type="dxa"/>
          </w:tcPr>
          <w:p w14:paraId="5F083B13" w14:textId="77777777" w:rsidR="00FA4AA8" w:rsidRDefault="0015611F">
            <w:pPr>
              <w:pStyle w:val="TableParagraph"/>
              <w:spacing w:before="24"/>
              <w:ind w:right="256"/>
              <w:jc w:val="right"/>
              <w:rPr>
                <w:b/>
                <w:sz w:val="18"/>
              </w:rPr>
            </w:pPr>
            <w:r>
              <w:rPr>
                <w:b/>
                <w:sz w:val="18"/>
              </w:rPr>
              <w:t>2</w:t>
            </w:r>
          </w:p>
        </w:tc>
        <w:tc>
          <w:tcPr>
            <w:tcW w:w="798" w:type="dxa"/>
          </w:tcPr>
          <w:p w14:paraId="59CF3B4A" w14:textId="77777777" w:rsidR="00FA4AA8" w:rsidRDefault="00FA4AA8">
            <w:pPr>
              <w:pStyle w:val="TableParagraph"/>
              <w:rPr>
                <w:rFonts w:ascii="Times New Roman"/>
                <w:sz w:val="18"/>
              </w:rPr>
            </w:pPr>
          </w:p>
        </w:tc>
        <w:tc>
          <w:tcPr>
            <w:tcW w:w="1463" w:type="dxa"/>
          </w:tcPr>
          <w:p w14:paraId="7E227B97" w14:textId="77777777" w:rsidR="00FA4AA8" w:rsidRDefault="0015611F">
            <w:pPr>
              <w:pStyle w:val="TableParagraph"/>
              <w:spacing w:before="24"/>
              <w:ind w:left="139"/>
              <w:rPr>
                <w:sz w:val="18"/>
              </w:rPr>
            </w:pPr>
            <w:r>
              <w:rPr>
                <w:sz w:val="18"/>
              </w:rPr>
              <w:t>1</w:t>
            </w:r>
          </w:p>
        </w:tc>
        <w:tc>
          <w:tcPr>
            <w:tcW w:w="496" w:type="dxa"/>
          </w:tcPr>
          <w:p w14:paraId="0BEC5DC6" w14:textId="77777777" w:rsidR="00FA4AA8" w:rsidRDefault="0015611F">
            <w:pPr>
              <w:pStyle w:val="TableParagraph"/>
              <w:spacing w:before="24"/>
              <w:ind w:left="140"/>
              <w:rPr>
                <w:b/>
                <w:sz w:val="18"/>
              </w:rPr>
            </w:pPr>
            <w:r>
              <w:rPr>
                <w:b/>
                <w:sz w:val="18"/>
              </w:rPr>
              <w:t>2</w:t>
            </w:r>
          </w:p>
        </w:tc>
        <w:tc>
          <w:tcPr>
            <w:tcW w:w="1122" w:type="dxa"/>
          </w:tcPr>
          <w:p w14:paraId="05D6299C" w14:textId="77777777" w:rsidR="00FA4AA8" w:rsidRDefault="0015611F">
            <w:pPr>
              <w:pStyle w:val="TableParagraph"/>
              <w:spacing w:before="24"/>
              <w:ind w:right="79"/>
              <w:jc w:val="right"/>
              <w:rPr>
                <w:sz w:val="18"/>
              </w:rPr>
            </w:pPr>
            <w:r>
              <w:rPr>
                <w:sz w:val="18"/>
              </w:rPr>
              <w:t>1</w:t>
            </w:r>
          </w:p>
        </w:tc>
      </w:tr>
      <w:tr w:rsidR="00FA4AA8" w14:paraId="5257FE3F" w14:textId="77777777">
        <w:trPr>
          <w:trHeight w:val="263"/>
        </w:trPr>
        <w:tc>
          <w:tcPr>
            <w:tcW w:w="4012" w:type="dxa"/>
          </w:tcPr>
          <w:p w14:paraId="18CDACC9" w14:textId="77777777" w:rsidR="00FA4AA8" w:rsidRDefault="0015611F">
            <w:pPr>
              <w:pStyle w:val="TableParagraph"/>
              <w:spacing w:before="26"/>
              <w:ind w:left="50"/>
              <w:rPr>
                <w:sz w:val="18"/>
              </w:rPr>
            </w:pPr>
            <w:r>
              <w:rPr>
                <w:sz w:val="18"/>
              </w:rPr>
              <w:t>$450,000 to $459,999</w:t>
            </w:r>
          </w:p>
        </w:tc>
        <w:tc>
          <w:tcPr>
            <w:tcW w:w="1636" w:type="dxa"/>
          </w:tcPr>
          <w:p w14:paraId="256A48E1" w14:textId="77777777" w:rsidR="00FA4AA8" w:rsidRDefault="0015611F">
            <w:pPr>
              <w:pStyle w:val="TableParagraph"/>
              <w:spacing w:before="24"/>
              <w:ind w:right="256"/>
              <w:jc w:val="right"/>
              <w:rPr>
                <w:b/>
                <w:sz w:val="18"/>
              </w:rPr>
            </w:pPr>
            <w:r>
              <w:rPr>
                <w:b/>
                <w:sz w:val="18"/>
              </w:rPr>
              <w:t>2</w:t>
            </w:r>
          </w:p>
        </w:tc>
        <w:tc>
          <w:tcPr>
            <w:tcW w:w="798" w:type="dxa"/>
          </w:tcPr>
          <w:p w14:paraId="797A9981" w14:textId="77777777" w:rsidR="00FA4AA8" w:rsidRDefault="00FA4AA8">
            <w:pPr>
              <w:pStyle w:val="TableParagraph"/>
              <w:rPr>
                <w:rFonts w:ascii="Times New Roman"/>
                <w:sz w:val="18"/>
              </w:rPr>
            </w:pPr>
          </w:p>
        </w:tc>
        <w:tc>
          <w:tcPr>
            <w:tcW w:w="1463" w:type="dxa"/>
          </w:tcPr>
          <w:p w14:paraId="6F5FEBC9" w14:textId="77777777" w:rsidR="00FA4AA8" w:rsidRDefault="0015611F">
            <w:pPr>
              <w:pStyle w:val="TableParagraph"/>
              <w:spacing w:before="24"/>
              <w:ind w:left="139"/>
              <w:rPr>
                <w:sz w:val="18"/>
              </w:rPr>
            </w:pPr>
            <w:r>
              <w:rPr>
                <w:sz w:val="18"/>
              </w:rPr>
              <w:t>1</w:t>
            </w:r>
          </w:p>
        </w:tc>
        <w:tc>
          <w:tcPr>
            <w:tcW w:w="496" w:type="dxa"/>
          </w:tcPr>
          <w:p w14:paraId="4DE57D06" w14:textId="77777777" w:rsidR="00FA4AA8" w:rsidRDefault="0015611F">
            <w:pPr>
              <w:pStyle w:val="TableParagraph"/>
              <w:spacing w:before="24"/>
              <w:ind w:left="140"/>
              <w:rPr>
                <w:b/>
                <w:sz w:val="18"/>
              </w:rPr>
            </w:pPr>
            <w:r>
              <w:rPr>
                <w:b/>
                <w:sz w:val="18"/>
              </w:rPr>
              <w:t>2</w:t>
            </w:r>
          </w:p>
        </w:tc>
        <w:tc>
          <w:tcPr>
            <w:tcW w:w="1122" w:type="dxa"/>
          </w:tcPr>
          <w:p w14:paraId="77FA2485" w14:textId="77777777" w:rsidR="00FA4AA8" w:rsidRDefault="0015611F">
            <w:pPr>
              <w:pStyle w:val="TableParagraph"/>
              <w:spacing w:before="24"/>
              <w:ind w:right="79"/>
              <w:jc w:val="right"/>
              <w:rPr>
                <w:sz w:val="18"/>
              </w:rPr>
            </w:pPr>
            <w:r>
              <w:rPr>
                <w:sz w:val="18"/>
              </w:rPr>
              <w:t>1</w:t>
            </w:r>
          </w:p>
        </w:tc>
      </w:tr>
      <w:tr w:rsidR="00FA4AA8" w14:paraId="131B6D03" w14:textId="77777777">
        <w:trPr>
          <w:trHeight w:val="264"/>
        </w:trPr>
        <w:tc>
          <w:tcPr>
            <w:tcW w:w="4012" w:type="dxa"/>
          </w:tcPr>
          <w:p w14:paraId="14C1A183" w14:textId="77777777" w:rsidR="00FA4AA8" w:rsidRDefault="0015611F">
            <w:pPr>
              <w:pStyle w:val="TableParagraph"/>
              <w:spacing w:before="26"/>
              <w:ind w:left="50"/>
              <w:rPr>
                <w:sz w:val="18"/>
              </w:rPr>
            </w:pPr>
            <w:r>
              <w:rPr>
                <w:sz w:val="18"/>
              </w:rPr>
              <w:t>$480,000 to $489,999</w:t>
            </w:r>
          </w:p>
        </w:tc>
        <w:tc>
          <w:tcPr>
            <w:tcW w:w="1636" w:type="dxa"/>
          </w:tcPr>
          <w:p w14:paraId="635DE445" w14:textId="77777777" w:rsidR="00FA4AA8" w:rsidRDefault="0015611F">
            <w:pPr>
              <w:pStyle w:val="TableParagraph"/>
              <w:spacing w:before="24"/>
              <w:ind w:right="256"/>
              <w:jc w:val="right"/>
              <w:rPr>
                <w:b/>
                <w:sz w:val="18"/>
              </w:rPr>
            </w:pPr>
            <w:r>
              <w:rPr>
                <w:b/>
                <w:sz w:val="18"/>
              </w:rPr>
              <w:t>1</w:t>
            </w:r>
          </w:p>
        </w:tc>
        <w:tc>
          <w:tcPr>
            <w:tcW w:w="798" w:type="dxa"/>
          </w:tcPr>
          <w:p w14:paraId="240B286C" w14:textId="77777777" w:rsidR="00FA4AA8" w:rsidRDefault="00FA4AA8">
            <w:pPr>
              <w:pStyle w:val="TableParagraph"/>
              <w:rPr>
                <w:rFonts w:ascii="Times New Roman"/>
                <w:sz w:val="18"/>
              </w:rPr>
            </w:pPr>
          </w:p>
        </w:tc>
        <w:tc>
          <w:tcPr>
            <w:tcW w:w="1463" w:type="dxa"/>
          </w:tcPr>
          <w:p w14:paraId="5B1A8CA7" w14:textId="77777777" w:rsidR="00FA4AA8" w:rsidRDefault="0015611F">
            <w:pPr>
              <w:pStyle w:val="TableParagraph"/>
              <w:spacing w:before="24"/>
              <w:ind w:left="139"/>
              <w:rPr>
                <w:sz w:val="18"/>
              </w:rPr>
            </w:pPr>
            <w:r>
              <w:rPr>
                <w:sz w:val="18"/>
              </w:rPr>
              <w:t>1</w:t>
            </w:r>
          </w:p>
        </w:tc>
        <w:tc>
          <w:tcPr>
            <w:tcW w:w="496" w:type="dxa"/>
          </w:tcPr>
          <w:p w14:paraId="2492BF35" w14:textId="77777777" w:rsidR="00FA4AA8" w:rsidRDefault="0015611F">
            <w:pPr>
              <w:pStyle w:val="TableParagraph"/>
              <w:spacing w:before="24"/>
              <w:ind w:left="140"/>
              <w:rPr>
                <w:b/>
                <w:sz w:val="18"/>
              </w:rPr>
            </w:pPr>
            <w:r>
              <w:rPr>
                <w:b/>
                <w:sz w:val="18"/>
              </w:rPr>
              <w:t>1</w:t>
            </w:r>
          </w:p>
        </w:tc>
        <w:tc>
          <w:tcPr>
            <w:tcW w:w="1122" w:type="dxa"/>
          </w:tcPr>
          <w:p w14:paraId="2CBE143F" w14:textId="77777777" w:rsidR="00FA4AA8" w:rsidRDefault="0015611F">
            <w:pPr>
              <w:pStyle w:val="TableParagraph"/>
              <w:spacing w:before="24"/>
              <w:ind w:right="79"/>
              <w:jc w:val="right"/>
              <w:rPr>
                <w:sz w:val="18"/>
              </w:rPr>
            </w:pPr>
            <w:r>
              <w:rPr>
                <w:sz w:val="18"/>
              </w:rPr>
              <w:t>1</w:t>
            </w:r>
          </w:p>
        </w:tc>
      </w:tr>
      <w:tr w:rsidR="00FA4AA8" w14:paraId="2848F1AD" w14:textId="77777777">
        <w:trPr>
          <w:trHeight w:val="263"/>
        </w:trPr>
        <w:tc>
          <w:tcPr>
            <w:tcW w:w="4012" w:type="dxa"/>
          </w:tcPr>
          <w:p w14:paraId="1E31C171" w14:textId="77777777" w:rsidR="00FA4AA8" w:rsidRDefault="0015611F">
            <w:pPr>
              <w:pStyle w:val="TableParagraph"/>
              <w:spacing w:before="26"/>
              <w:ind w:left="50"/>
              <w:rPr>
                <w:sz w:val="18"/>
              </w:rPr>
            </w:pPr>
            <w:r>
              <w:rPr>
                <w:sz w:val="18"/>
              </w:rPr>
              <w:t>$510,000 to $519,999</w:t>
            </w:r>
          </w:p>
        </w:tc>
        <w:tc>
          <w:tcPr>
            <w:tcW w:w="1636" w:type="dxa"/>
          </w:tcPr>
          <w:p w14:paraId="75D6CC1D" w14:textId="77777777" w:rsidR="00FA4AA8" w:rsidRDefault="0015611F">
            <w:pPr>
              <w:pStyle w:val="TableParagraph"/>
              <w:spacing w:before="24"/>
              <w:ind w:right="256"/>
              <w:jc w:val="right"/>
              <w:rPr>
                <w:b/>
                <w:sz w:val="18"/>
              </w:rPr>
            </w:pPr>
            <w:r>
              <w:rPr>
                <w:b/>
                <w:sz w:val="18"/>
              </w:rPr>
              <w:t>1</w:t>
            </w:r>
          </w:p>
        </w:tc>
        <w:tc>
          <w:tcPr>
            <w:tcW w:w="798" w:type="dxa"/>
          </w:tcPr>
          <w:p w14:paraId="4C6159FD" w14:textId="77777777" w:rsidR="00FA4AA8" w:rsidRDefault="00FA4AA8">
            <w:pPr>
              <w:pStyle w:val="TableParagraph"/>
              <w:rPr>
                <w:rFonts w:ascii="Times New Roman"/>
                <w:sz w:val="18"/>
              </w:rPr>
            </w:pPr>
          </w:p>
        </w:tc>
        <w:tc>
          <w:tcPr>
            <w:tcW w:w="1463" w:type="dxa"/>
          </w:tcPr>
          <w:p w14:paraId="4DC616A7" w14:textId="77777777" w:rsidR="00FA4AA8" w:rsidRDefault="0015611F">
            <w:pPr>
              <w:pStyle w:val="TableParagraph"/>
              <w:spacing w:before="24"/>
              <w:ind w:left="139"/>
              <w:rPr>
                <w:sz w:val="18"/>
              </w:rPr>
            </w:pPr>
            <w:r>
              <w:rPr>
                <w:sz w:val="18"/>
              </w:rPr>
              <w:t>1</w:t>
            </w:r>
          </w:p>
        </w:tc>
        <w:tc>
          <w:tcPr>
            <w:tcW w:w="496" w:type="dxa"/>
          </w:tcPr>
          <w:p w14:paraId="435FD30B" w14:textId="77777777" w:rsidR="00FA4AA8" w:rsidRDefault="0015611F">
            <w:pPr>
              <w:pStyle w:val="TableParagraph"/>
              <w:spacing w:before="24"/>
              <w:ind w:left="140"/>
              <w:rPr>
                <w:b/>
                <w:sz w:val="18"/>
              </w:rPr>
            </w:pPr>
            <w:r>
              <w:rPr>
                <w:b/>
                <w:sz w:val="18"/>
              </w:rPr>
              <w:t>1</w:t>
            </w:r>
          </w:p>
        </w:tc>
        <w:tc>
          <w:tcPr>
            <w:tcW w:w="1122" w:type="dxa"/>
          </w:tcPr>
          <w:p w14:paraId="4E3026AF" w14:textId="77777777" w:rsidR="00FA4AA8" w:rsidRDefault="0015611F">
            <w:pPr>
              <w:pStyle w:val="TableParagraph"/>
              <w:spacing w:before="24"/>
              <w:ind w:right="79"/>
              <w:jc w:val="right"/>
              <w:rPr>
                <w:sz w:val="18"/>
              </w:rPr>
            </w:pPr>
            <w:r>
              <w:rPr>
                <w:sz w:val="18"/>
              </w:rPr>
              <w:t>1</w:t>
            </w:r>
          </w:p>
        </w:tc>
      </w:tr>
      <w:tr w:rsidR="00FA4AA8" w14:paraId="7810459D" w14:textId="77777777">
        <w:trPr>
          <w:trHeight w:val="264"/>
        </w:trPr>
        <w:tc>
          <w:tcPr>
            <w:tcW w:w="4012" w:type="dxa"/>
          </w:tcPr>
          <w:p w14:paraId="116C351E" w14:textId="77777777" w:rsidR="00FA4AA8" w:rsidRDefault="0015611F">
            <w:pPr>
              <w:pStyle w:val="TableParagraph"/>
              <w:spacing w:before="26"/>
              <w:ind w:left="50"/>
              <w:rPr>
                <w:sz w:val="18"/>
              </w:rPr>
            </w:pPr>
            <w:r>
              <w:rPr>
                <w:sz w:val="18"/>
              </w:rPr>
              <w:t>$540,000 to $549,999</w:t>
            </w:r>
          </w:p>
        </w:tc>
        <w:tc>
          <w:tcPr>
            <w:tcW w:w="1636" w:type="dxa"/>
          </w:tcPr>
          <w:p w14:paraId="7F3E8D5F" w14:textId="77777777" w:rsidR="00FA4AA8" w:rsidRDefault="0015611F">
            <w:pPr>
              <w:pStyle w:val="TableParagraph"/>
              <w:spacing w:before="24"/>
              <w:ind w:right="256"/>
              <w:jc w:val="right"/>
              <w:rPr>
                <w:b/>
                <w:sz w:val="18"/>
              </w:rPr>
            </w:pPr>
            <w:r>
              <w:rPr>
                <w:b/>
                <w:sz w:val="18"/>
              </w:rPr>
              <w:t>1</w:t>
            </w:r>
          </w:p>
        </w:tc>
        <w:tc>
          <w:tcPr>
            <w:tcW w:w="798" w:type="dxa"/>
          </w:tcPr>
          <w:p w14:paraId="1DC26EAC" w14:textId="77777777" w:rsidR="00FA4AA8" w:rsidRDefault="00FA4AA8">
            <w:pPr>
              <w:pStyle w:val="TableParagraph"/>
              <w:rPr>
                <w:rFonts w:ascii="Times New Roman"/>
                <w:sz w:val="18"/>
              </w:rPr>
            </w:pPr>
          </w:p>
        </w:tc>
        <w:tc>
          <w:tcPr>
            <w:tcW w:w="1463" w:type="dxa"/>
          </w:tcPr>
          <w:p w14:paraId="471C8B62" w14:textId="77777777" w:rsidR="00FA4AA8" w:rsidRDefault="0015611F">
            <w:pPr>
              <w:pStyle w:val="TableParagraph"/>
              <w:spacing w:before="24"/>
              <w:ind w:left="139"/>
              <w:rPr>
                <w:sz w:val="18"/>
              </w:rPr>
            </w:pPr>
            <w:r>
              <w:rPr>
                <w:sz w:val="18"/>
              </w:rPr>
              <w:t>1</w:t>
            </w:r>
          </w:p>
        </w:tc>
        <w:tc>
          <w:tcPr>
            <w:tcW w:w="496" w:type="dxa"/>
          </w:tcPr>
          <w:p w14:paraId="2D1C12B5" w14:textId="77777777" w:rsidR="00FA4AA8" w:rsidRDefault="0015611F">
            <w:pPr>
              <w:pStyle w:val="TableParagraph"/>
              <w:spacing w:before="24"/>
              <w:ind w:left="140"/>
              <w:rPr>
                <w:b/>
                <w:sz w:val="18"/>
              </w:rPr>
            </w:pPr>
            <w:r>
              <w:rPr>
                <w:b/>
                <w:sz w:val="18"/>
              </w:rPr>
              <w:t>1</w:t>
            </w:r>
          </w:p>
        </w:tc>
        <w:tc>
          <w:tcPr>
            <w:tcW w:w="1122" w:type="dxa"/>
          </w:tcPr>
          <w:p w14:paraId="29067702" w14:textId="77777777" w:rsidR="00FA4AA8" w:rsidRDefault="0015611F">
            <w:pPr>
              <w:pStyle w:val="TableParagraph"/>
              <w:spacing w:before="24"/>
              <w:ind w:right="79"/>
              <w:jc w:val="right"/>
              <w:rPr>
                <w:sz w:val="18"/>
              </w:rPr>
            </w:pPr>
            <w:r>
              <w:rPr>
                <w:sz w:val="18"/>
              </w:rPr>
              <w:t>1</w:t>
            </w:r>
          </w:p>
        </w:tc>
      </w:tr>
      <w:tr w:rsidR="00FA4AA8" w14:paraId="2D733BE4" w14:textId="77777777">
        <w:trPr>
          <w:trHeight w:val="263"/>
        </w:trPr>
        <w:tc>
          <w:tcPr>
            <w:tcW w:w="4012" w:type="dxa"/>
          </w:tcPr>
          <w:p w14:paraId="234B9997" w14:textId="77777777" w:rsidR="00FA4AA8" w:rsidRDefault="0015611F">
            <w:pPr>
              <w:pStyle w:val="TableParagraph"/>
              <w:spacing w:before="26"/>
              <w:ind w:left="50"/>
              <w:rPr>
                <w:sz w:val="18"/>
              </w:rPr>
            </w:pPr>
            <w:r>
              <w:rPr>
                <w:sz w:val="18"/>
              </w:rPr>
              <w:t>$550,000 to $559,999</w:t>
            </w:r>
          </w:p>
        </w:tc>
        <w:tc>
          <w:tcPr>
            <w:tcW w:w="1636" w:type="dxa"/>
          </w:tcPr>
          <w:p w14:paraId="264FEB95" w14:textId="77777777" w:rsidR="00FA4AA8" w:rsidRDefault="0015611F">
            <w:pPr>
              <w:pStyle w:val="TableParagraph"/>
              <w:spacing w:before="24"/>
              <w:ind w:right="256"/>
              <w:jc w:val="right"/>
              <w:rPr>
                <w:b/>
                <w:sz w:val="18"/>
              </w:rPr>
            </w:pPr>
            <w:r>
              <w:rPr>
                <w:b/>
                <w:sz w:val="18"/>
              </w:rPr>
              <w:t>-</w:t>
            </w:r>
          </w:p>
        </w:tc>
        <w:tc>
          <w:tcPr>
            <w:tcW w:w="798" w:type="dxa"/>
          </w:tcPr>
          <w:p w14:paraId="630D6FAB" w14:textId="77777777" w:rsidR="00FA4AA8" w:rsidRDefault="00FA4AA8">
            <w:pPr>
              <w:pStyle w:val="TableParagraph"/>
              <w:rPr>
                <w:rFonts w:ascii="Times New Roman"/>
                <w:sz w:val="18"/>
              </w:rPr>
            </w:pPr>
          </w:p>
        </w:tc>
        <w:tc>
          <w:tcPr>
            <w:tcW w:w="1463" w:type="dxa"/>
          </w:tcPr>
          <w:p w14:paraId="1581EA56" w14:textId="77777777" w:rsidR="00FA4AA8" w:rsidRDefault="0015611F">
            <w:pPr>
              <w:pStyle w:val="TableParagraph"/>
              <w:spacing w:before="24"/>
              <w:ind w:left="139"/>
              <w:rPr>
                <w:sz w:val="18"/>
              </w:rPr>
            </w:pPr>
            <w:r>
              <w:rPr>
                <w:sz w:val="18"/>
              </w:rPr>
              <w:t>1</w:t>
            </w:r>
          </w:p>
        </w:tc>
        <w:tc>
          <w:tcPr>
            <w:tcW w:w="496" w:type="dxa"/>
          </w:tcPr>
          <w:p w14:paraId="34079858" w14:textId="77777777" w:rsidR="00FA4AA8" w:rsidRDefault="0015611F">
            <w:pPr>
              <w:pStyle w:val="TableParagraph"/>
              <w:spacing w:before="24"/>
              <w:ind w:left="181"/>
              <w:rPr>
                <w:b/>
                <w:sz w:val="18"/>
              </w:rPr>
            </w:pPr>
            <w:r>
              <w:rPr>
                <w:b/>
                <w:sz w:val="18"/>
              </w:rPr>
              <w:t>-</w:t>
            </w:r>
          </w:p>
        </w:tc>
        <w:tc>
          <w:tcPr>
            <w:tcW w:w="1122" w:type="dxa"/>
          </w:tcPr>
          <w:p w14:paraId="226C3D2A" w14:textId="77777777" w:rsidR="00FA4AA8" w:rsidRDefault="0015611F">
            <w:pPr>
              <w:pStyle w:val="TableParagraph"/>
              <w:spacing w:before="24"/>
              <w:ind w:right="79"/>
              <w:jc w:val="right"/>
              <w:rPr>
                <w:sz w:val="18"/>
              </w:rPr>
            </w:pPr>
            <w:r>
              <w:rPr>
                <w:sz w:val="18"/>
              </w:rPr>
              <w:t>1</w:t>
            </w:r>
          </w:p>
        </w:tc>
      </w:tr>
      <w:tr w:rsidR="00FA4AA8" w14:paraId="77210803" w14:textId="77777777">
        <w:trPr>
          <w:trHeight w:val="264"/>
        </w:trPr>
        <w:tc>
          <w:tcPr>
            <w:tcW w:w="4012" w:type="dxa"/>
          </w:tcPr>
          <w:p w14:paraId="38CD662E" w14:textId="77777777" w:rsidR="00FA4AA8" w:rsidRDefault="0015611F">
            <w:pPr>
              <w:pStyle w:val="TableParagraph"/>
              <w:spacing w:before="26"/>
              <w:ind w:left="50"/>
              <w:rPr>
                <w:sz w:val="18"/>
              </w:rPr>
            </w:pPr>
            <w:r>
              <w:rPr>
                <w:sz w:val="18"/>
              </w:rPr>
              <w:t>$590,000 to $599,999</w:t>
            </w:r>
          </w:p>
        </w:tc>
        <w:tc>
          <w:tcPr>
            <w:tcW w:w="1636" w:type="dxa"/>
          </w:tcPr>
          <w:p w14:paraId="3AD5D012" w14:textId="77777777" w:rsidR="00FA4AA8" w:rsidRDefault="0015611F">
            <w:pPr>
              <w:pStyle w:val="TableParagraph"/>
              <w:spacing w:before="24"/>
              <w:ind w:right="256"/>
              <w:jc w:val="right"/>
              <w:rPr>
                <w:b/>
                <w:sz w:val="18"/>
              </w:rPr>
            </w:pPr>
            <w:r>
              <w:rPr>
                <w:b/>
                <w:sz w:val="18"/>
              </w:rPr>
              <w:t>1</w:t>
            </w:r>
          </w:p>
        </w:tc>
        <w:tc>
          <w:tcPr>
            <w:tcW w:w="798" w:type="dxa"/>
          </w:tcPr>
          <w:p w14:paraId="379C28D1" w14:textId="77777777" w:rsidR="00FA4AA8" w:rsidRDefault="00FA4AA8">
            <w:pPr>
              <w:pStyle w:val="TableParagraph"/>
              <w:rPr>
                <w:rFonts w:ascii="Times New Roman"/>
                <w:sz w:val="18"/>
              </w:rPr>
            </w:pPr>
          </w:p>
        </w:tc>
        <w:tc>
          <w:tcPr>
            <w:tcW w:w="1463" w:type="dxa"/>
          </w:tcPr>
          <w:p w14:paraId="7CD6B170" w14:textId="77777777" w:rsidR="00FA4AA8" w:rsidRDefault="0015611F">
            <w:pPr>
              <w:pStyle w:val="TableParagraph"/>
              <w:spacing w:before="24"/>
              <w:ind w:left="180"/>
              <w:rPr>
                <w:sz w:val="18"/>
              </w:rPr>
            </w:pPr>
            <w:r>
              <w:rPr>
                <w:sz w:val="18"/>
              </w:rPr>
              <w:t>-</w:t>
            </w:r>
          </w:p>
        </w:tc>
        <w:tc>
          <w:tcPr>
            <w:tcW w:w="496" w:type="dxa"/>
          </w:tcPr>
          <w:p w14:paraId="53621BE2" w14:textId="77777777" w:rsidR="00FA4AA8" w:rsidRDefault="0015611F">
            <w:pPr>
              <w:pStyle w:val="TableParagraph"/>
              <w:spacing w:before="24"/>
              <w:ind w:left="140"/>
              <w:rPr>
                <w:b/>
                <w:sz w:val="18"/>
              </w:rPr>
            </w:pPr>
            <w:r>
              <w:rPr>
                <w:b/>
                <w:sz w:val="18"/>
              </w:rPr>
              <w:t>1</w:t>
            </w:r>
          </w:p>
        </w:tc>
        <w:tc>
          <w:tcPr>
            <w:tcW w:w="1122" w:type="dxa"/>
          </w:tcPr>
          <w:p w14:paraId="75D4933A" w14:textId="77777777" w:rsidR="00FA4AA8" w:rsidRDefault="0015611F">
            <w:pPr>
              <w:pStyle w:val="TableParagraph"/>
              <w:spacing w:before="24"/>
              <w:ind w:right="79"/>
              <w:jc w:val="right"/>
              <w:rPr>
                <w:sz w:val="18"/>
              </w:rPr>
            </w:pPr>
            <w:r>
              <w:rPr>
                <w:sz w:val="18"/>
              </w:rPr>
              <w:t>-</w:t>
            </w:r>
          </w:p>
        </w:tc>
      </w:tr>
      <w:tr w:rsidR="00FA4AA8" w14:paraId="4D6AF420" w14:textId="77777777">
        <w:trPr>
          <w:trHeight w:val="256"/>
        </w:trPr>
        <w:tc>
          <w:tcPr>
            <w:tcW w:w="4012" w:type="dxa"/>
          </w:tcPr>
          <w:p w14:paraId="493D4351" w14:textId="77777777" w:rsidR="00FA4AA8" w:rsidRDefault="0015611F">
            <w:pPr>
              <w:pStyle w:val="TableParagraph"/>
              <w:spacing w:before="26"/>
              <w:ind w:left="50"/>
              <w:rPr>
                <w:sz w:val="18"/>
              </w:rPr>
            </w:pPr>
            <w:r>
              <w:rPr>
                <w:sz w:val="18"/>
              </w:rPr>
              <w:t>$900,000 to $909,999*</w:t>
            </w:r>
          </w:p>
        </w:tc>
        <w:tc>
          <w:tcPr>
            <w:tcW w:w="1636" w:type="dxa"/>
            <w:tcBorders>
              <w:bottom w:val="single" w:sz="8" w:space="0" w:color="000000"/>
            </w:tcBorders>
          </w:tcPr>
          <w:p w14:paraId="4E4C4760" w14:textId="77777777" w:rsidR="00FA4AA8" w:rsidRDefault="0015611F">
            <w:pPr>
              <w:pStyle w:val="TableParagraph"/>
              <w:spacing w:before="24"/>
              <w:ind w:right="256"/>
              <w:jc w:val="right"/>
              <w:rPr>
                <w:b/>
                <w:sz w:val="18"/>
              </w:rPr>
            </w:pPr>
            <w:r>
              <w:rPr>
                <w:b/>
                <w:sz w:val="18"/>
              </w:rPr>
              <w:t>1</w:t>
            </w:r>
          </w:p>
        </w:tc>
        <w:tc>
          <w:tcPr>
            <w:tcW w:w="798" w:type="dxa"/>
            <w:tcBorders>
              <w:bottom w:val="single" w:sz="8" w:space="0" w:color="000000"/>
            </w:tcBorders>
          </w:tcPr>
          <w:p w14:paraId="5F5B1C9E" w14:textId="77777777" w:rsidR="00FA4AA8" w:rsidRDefault="00FA4AA8">
            <w:pPr>
              <w:pStyle w:val="TableParagraph"/>
              <w:rPr>
                <w:rFonts w:ascii="Times New Roman"/>
                <w:sz w:val="18"/>
              </w:rPr>
            </w:pPr>
          </w:p>
        </w:tc>
        <w:tc>
          <w:tcPr>
            <w:tcW w:w="1463" w:type="dxa"/>
            <w:tcBorders>
              <w:bottom w:val="single" w:sz="8" w:space="0" w:color="000000"/>
            </w:tcBorders>
          </w:tcPr>
          <w:p w14:paraId="4565C512" w14:textId="77777777" w:rsidR="00FA4AA8" w:rsidRDefault="0015611F">
            <w:pPr>
              <w:pStyle w:val="TableParagraph"/>
              <w:spacing w:before="24"/>
              <w:ind w:left="139"/>
              <w:rPr>
                <w:sz w:val="18"/>
              </w:rPr>
            </w:pPr>
            <w:r>
              <w:rPr>
                <w:sz w:val="18"/>
              </w:rPr>
              <w:t>1</w:t>
            </w:r>
          </w:p>
        </w:tc>
        <w:tc>
          <w:tcPr>
            <w:tcW w:w="496" w:type="dxa"/>
            <w:tcBorders>
              <w:bottom w:val="single" w:sz="8" w:space="0" w:color="000000"/>
            </w:tcBorders>
          </w:tcPr>
          <w:p w14:paraId="6C461E0D" w14:textId="77777777" w:rsidR="00FA4AA8" w:rsidRDefault="0015611F">
            <w:pPr>
              <w:pStyle w:val="TableParagraph"/>
              <w:spacing w:before="24"/>
              <w:ind w:left="140"/>
              <w:rPr>
                <w:b/>
                <w:sz w:val="18"/>
              </w:rPr>
            </w:pPr>
            <w:r>
              <w:rPr>
                <w:b/>
                <w:sz w:val="18"/>
              </w:rPr>
              <w:t>1</w:t>
            </w:r>
          </w:p>
        </w:tc>
        <w:tc>
          <w:tcPr>
            <w:tcW w:w="1122" w:type="dxa"/>
            <w:tcBorders>
              <w:bottom w:val="single" w:sz="8" w:space="0" w:color="000000"/>
            </w:tcBorders>
          </w:tcPr>
          <w:p w14:paraId="58FBC2BF" w14:textId="77777777" w:rsidR="00FA4AA8" w:rsidRDefault="0015611F">
            <w:pPr>
              <w:pStyle w:val="TableParagraph"/>
              <w:spacing w:before="24"/>
              <w:ind w:right="79"/>
              <w:jc w:val="right"/>
              <w:rPr>
                <w:sz w:val="18"/>
              </w:rPr>
            </w:pPr>
            <w:r>
              <w:rPr>
                <w:sz w:val="18"/>
              </w:rPr>
              <w:t>1</w:t>
            </w:r>
          </w:p>
        </w:tc>
      </w:tr>
    </w:tbl>
    <w:p w14:paraId="1B244831" w14:textId="77777777" w:rsidR="00FA4AA8" w:rsidRDefault="0015611F">
      <w:pPr>
        <w:tabs>
          <w:tab w:val="left" w:pos="5728"/>
          <w:tab w:val="left" w:pos="7024"/>
          <w:tab w:val="left" w:pos="8488"/>
          <w:tab w:val="left" w:pos="9784"/>
        </w:tabs>
        <w:spacing w:before="106"/>
        <w:ind w:left="4552"/>
        <w:rPr>
          <w:sz w:val="18"/>
        </w:rPr>
      </w:pPr>
      <w:r>
        <w:rPr>
          <w:rFonts w:ascii="Times New Roman"/>
          <w:sz w:val="18"/>
          <w:u w:val="single"/>
        </w:rPr>
        <w:t xml:space="preserve"> </w:t>
      </w:r>
      <w:r>
        <w:rPr>
          <w:rFonts w:ascii="Times New Roman"/>
          <w:sz w:val="18"/>
          <w:u w:val="single"/>
        </w:rPr>
        <w:tab/>
      </w:r>
      <w:r>
        <w:rPr>
          <w:b/>
          <w:sz w:val="18"/>
          <w:u w:val="single"/>
        </w:rPr>
        <w:t>27</w:t>
      </w:r>
      <w:r>
        <w:rPr>
          <w:b/>
          <w:sz w:val="18"/>
          <w:u w:val="single"/>
        </w:rPr>
        <w:tab/>
      </w:r>
      <w:r>
        <w:rPr>
          <w:sz w:val="18"/>
          <w:u w:val="single"/>
        </w:rPr>
        <w:t>25</w:t>
      </w:r>
      <w:r>
        <w:rPr>
          <w:sz w:val="18"/>
          <w:u w:val="single"/>
        </w:rPr>
        <w:tab/>
      </w:r>
      <w:r>
        <w:rPr>
          <w:b/>
          <w:sz w:val="18"/>
          <w:u w:val="single"/>
        </w:rPr>
        <w:t>23</w:t>
      </w:r>
      <w:r>
        <w:rPr>
          <w:b/>
          <w:sz w:val="18"/>
          <w:u w:val="single"/>
        </w:rPr>
        <w:tab/>
      </w:r>
      <w:r>
        <w:rPr>
          <w:sz w:val="18"/>
          <w:u w:val="single"/>
        </w:rPr>
        <w:t>22</w:t>
      </w:r>
    </w:p>
    <w:p w14:paraId="59F24E19" w14:textId="77777777" w:rsidR="00FA4AA8" w:rsidRDefault="00FA4AA8">
      <w:pPr>
        <w:pStyle w:val="BodyText"/>
        <w:spacing w:before="5"/>
      </w:pPr>
    </w:p>
    <w:p w14:paraId="3FAB0E2B" w14:textId="77777777" w:rsidR="00FA4AA8" w:rsidRDefault="0015611F">
      <w:pPr>
        <w:pStyle w:val="BodyText"/>
        <w:spacing w:before="94"/>
        <w:ind w:left="564" w:right="132"/>
      </w:pPr>
      <w:r>
        <w:t xml:space="preserve">* The Vice-Chancellor's total remuneration included paid salary, PAYG </w:t>
      </w:r>
      <w:r w:rsidR="009C3740">
        <w:t>withholding</w:t>
      </w:r>
      <w:r>
        <w:t xml:space="preserve"> tax, expense-of-office allowance, employee and employer superannuation contributions, a salary-sacrificed motor vehicle, Fringe Benefits Tax and housing allowance. No additional bonus in payable.</w:t>
      </w:r>
    </w:p>
    <w:p w14:paraId="204B4F7B" w14:textId="77777777" w:rsidR="00FA4AA8" w:rsidRDefault="00FA4AA8">
      <w:pPr>
        <w:pStyle w:val="BodyText"/>
        <w:spacing w:before="10"/>
        <w:rPr>
          <w:sz w:val="24"/>
        </w:rPr>
      </w:pPr>
    </w:p>
    <w:p w14:paraId="0434DC95" w14:textId="77777777" w:rsidR="00FA4AA8" w:rsidRDefault="0015611F">
      <w:pPr>
        <w:pStyle w:val="BodyText"/>
        <w:spacing w:before="1"/>
        <w:ind w:left="564" w:right="220"/>
      </w:pPr>
      <w:r>
        <w:t>Remuneration is reflective of an annualised total remuneration package for those key management personnel who were members of the Executive for a part of any year.</w:t>
      </w:r>
    </w:p>
    <w:p w14:paraId="7AFEEAC3" w14:textId="77777777" w:rsidR="00FA4AA8" w:rsidRDefault="00FA4AA8">
      <w:pPr>
        <w:sectPr w:rsidR="00FA4AA8">
          <w:pgSz w:w="11910" w:h="16840"/>
          <w:pgMar w:top="2220" w:right="880" w:bottom="720" w:left="840" w:header="1016" w:footer="523" w:gutter="0"/>
          <w:cols w:space="720"/>
        </w:sectPr>
      </w:pPr>
    </w:p>
    <w:p w14:paraId="2081223E" w14:textId="77777777" w:rsidR="00FA4AA8" w:rsidRDefault="00FA4AA8">
      <w:pPr>
        <w:pStyle w:val="BodyText"/>
        <w:rPr>
          <w:sz w:val="20"/>
        </w:rPr>
      </w:pPr>
    </w:p>
    <w:p w14:paraId="150B717A" w14:textId="77777777" w:rsidR="00FA4AA8" w:rsidRDefault="00FA4AA8">
      <w:pPr>
        <w:pStyle w:val="BodyText"/>
        <w:spacing w:before="10"/>
        <w:rPr>
          <w:sz w:val="29"/>
        </w:rPr>
      </w:pPr>
    </w:p>
    <w:p w14:paraId="730D1DB3" w14:textId="77777777" w:rsidR="00FA4AA8" w:rsidRDefault="0015611F">
      <w:pPr>
        <w:numPr>
          <w:ilvl w:val="0"/>
          <w:numId w:val="91"/>
        </w:numPr>
        <w:tabs>
          <w:tab w:val="left" w:pos="564"/>
        </w:tabs>
        <w:spacing w:before="94"/>
        <w:ind w:hanging="397"/>
        <w:rPr>
          <w:b/>
          <w:sz w:val="18"/>
        </w:rPr>
      </w:pPr>
      <w:r>
        <w:rPr>
          <w:b/>
          <w:sz w:val="18"/>
        </w:rPr>
        <w:t>Key Management Personnel Disclosures</w:t>
      </w:r>
      <w:r>
        <w:rPr>
          <w:b/>
          <w:spacing w:val="-9"/>
          <w:sz w:val="18"/>
        </w:rPr>
        <w:t xml:space="preserve"> </w:t>
      </w:r>
      <w:r>
        <w:rPr>
          <w:b/>
          <w:sz w:val="18"/>
        </w:rPr>
        <w:t>(continued)</w:t>
      </w:r>
    </w:p>
    <w:p w14:paraId="593947B3" w14:textId="77777777" w:rsidR="00FA4AA8" w:rsidRDefault="00FA4AA8">
      <w:pPr>
        <w:pStyle w:val="BodyText"/>
        <w:spacing w:before="7"/>
        <w:rPr>
          <w:b/>
          <w:sz w:val="26"/>
        </w:rPr>
      </w:pPr>
    </w:p>
    <w:p w14:paraId="0580789F" w14:textId="77777777" w:rsidR="00FA4AA8" w:rsidRDefault="0015611F">
      <w:pPr>
        <w:pStyle w:val="ListParagraph"/>
        <w:numPr>
          <w:ilvl w:val="0"/>
          <w:numId w:val="92"/>
        </w:numPr>
        <w:tabs>
          <w:tab w:val="left" w:pos="564"/>
        </w:tabs>
        <w:ind w:hanging="397"/>
        <w:rPr>
          <w:b/>
          <w:sz w:val="18"/>
        </w:rPr>
      </w:pPr>
      <w:r>
        <w:rPr>
          <w:b/>
          <w:sz w:val="18"/>
        </w:rPr>
        <w:t>Key management personnel</w:t>
      </w:r>
      <w:r>
        <w:rPr>
          <w:b/>
          <w:spacing w:val="-8"/>
          <w:sz w:val="18"/>
        </w:rPr>
        <w:t xml:space="preserve"> </w:t>
      </w:r>
      <w:r>
        <w:rPr>
          <w:b/>
          <w:sz w:val="18"/>
        </w:rPr>
        <w:t>compensation</w:t>
      </w:r>
    </w:p>
    <w:p w14:paraId="2CA01007" w14:textId="77777777" w:rsidR="00FA4AA8" w:rsidRDefault="00FA4AA8">
      <w:pPr>
        <w:pStyle w:val="BodyText"/>
        <w:spacing w:before="5"/>
        <w:rPr>
          <w:b/>
          <w:sz w:val="25"/>
        </w:rPr>
      </w:pPr>
    </w:p>
    <w:p w14:paraId="1393B317" w14:textId="77777777" w:rsidR="00FA4AA8" w:rsidRDefault="0015611F">
      <w:pPr>
        <w:pStyle w:val="BodyText"/>
        <w:ind w:left="564"/>
      </w:pPr>
      <w:r>
        <w:t>Key management personnel include Board Members and Executives.</w:t>
      </w:r>
    </w:p>
    <w:p w14:paraId="244A24F7" w14:textId="77777777" w:rsidR="00FA4AA8" w:rsidRDefault="0015611F">
      <w:pPr>
        <w:tabs>
          <w:tab w:val="left" w:pos="8426"/>
        </w:tabs>
        <w:spacing w:before="33"/>
        <w:ind w:left="5376"/>
        <w:rPr>
          <w:b/>
          <w:sz w:val="18"/>
        </w:rPr>
      </w:pPr>
      <w:r>
        <w:rPr>
          <w:b/>
          <w:sz w:val="18"/>
        </w:rPr>
        <w:t>Consolidated</w:t>
      </w:r>
      <w:r>
        <w:rPr>
          <w:b/>
          <w:sz w:val="18"/>
        </w:rPr>
        <w:tab/>
        <w:t>Parent</w:t>
      </w:r>
    </w:p>
    <w:p w14:paraId="4B78E6A1" w14:textId="77777777" w:rsidR="00FA4AA8" w:rsidRDefault="00FA4AA8">
      <w:pPr>
        <w:pStyle w:val="BodyText"/>
        <w:spacing w:before="4"/>
        <w:rPr>
          <w:b/>
          <w:sz w:val="6"/>
        </w:rPr>
      </w:pPr>
    </w:p>
    <w:tbl>
      <w:tblPr>
        <w:tblW w:w="0" w:type="auto"/>
        <w:tblInd w:w="125" w:type="dxa"/>
        <w:tblLayout w:type="fixed"/>
        <w:tblCellMar>
          <w:left w:w="0" w:type="dxa"/>
          <w:right w:w="0" w:type="dxa"/>
        </w:tblCellMar>
        <w:tblLook w:val="01E0" w:firstRow="1" w:lastRow="1" w:firstColumn="1" w:lastColumn="1" w:noHBand="0" w:noVBand="0"/>
      </w:tblPr>
      <w:tblGrid>
        <w:gridCol w:w="363"/>
        <w:gridCol w:w="4071"/>
        <w:gridCol w:w="1463"/>
        <w:gridCol w:w="1295"/>
        <w:gridCol w:w="167"/>
        <w:gridCol w:w="1457"/>
        <w:gridCol w:w="1133"/>
      </w:tblGrid>
      <w:tr w:rsidR="00FA4AA8" w14:paraId="401844FB" w14:textId="77777777">
        <w:trPr>
          <w:trHeight w:val="237"/>
        </w:trPr>
        <w:tc>
          <w:tcPr>
            <w:tcW w:w="4434" w:type="dxa"/>
            <w:gridSpan w:val="2"/>
            <w:vMerge w:val="restart"/>
          </w:tcPr>
          <w:p w14:paraId="78349297" w14:textId="77777777" w:rsidR="00FA4AA8" w:rsidRDefault="00FA4AA8">
            <w:pPr>
              <w:pStyle w:val="TableParagraph"/>
              <w:rPr>
                <w:rFonts w:ascii="Times New Roman"/>
                <w:sz w:val="18"/>
              </w:rPr>
            </w:pPr>
          </w:p>
        </w:tc>
        <w:tc>
          <w:tcPr>
            <w:tcW w:w="1463" w:type="dxa"/>
          </w:tcPr>
          <w:p w14:paraId="13E89E79" w14:textId="77777777" w:rsidR="00FA4AA8" w:rsidRDefault="0015611F">
            <w:pPr>
              <w:pStyle w:val="TableParagraph"/>
              <w:spacing w:line="201" w:lineRule="exact"/>
              <w:ind w:left="600"/>
              <w:rPr>
                <w:b/>
                <w:sz w:val="18"/>
              </w:rPr>
            </w:pPr>
            <w:r>
              <w:rPr>
                <w:b/>
                <w:sz w:val="18"/>
              </w:rPr>
              <w:t>2018</w:t>
            </w:r>
          </w:p>
        </w:tc>
        <w:tc>
          <w:tcPr>
            <w:tcW w:w="1295" w:type="dxa"/>
          </w:tcPr>
          <w:p w14:paraId="5E1445EC" w14:textId="77777777" w:rsidR="00FA4AA8" w:rsidRDefault="0015611F">
            <w:pPr>
              <w:pStyle w:val="TableParagraph"/>
              <w:spacing w:line="201" w:lineRule="exact"/>
              <w:ind w:left="433"/>
              <w:rPr>
                <w:b/>
                <w:sz w:val="18"/>
              </w:rPr>
            </w:pPr>
            <w:r>
              <w:rPr>
                <w:b/>
                <w:sz w:val="18"/>
              </w:rPr>
              <w:t>2017</w:t>
            </w:r>
          </w:p>
        </w:tc>
        <w:tc>
          <w:tcPr>
            <w:tcW w:w="167" w:type="dxa"/>
          </w:tcPr>
          <w:p w14:paraId="4ACB50E4" w14:textId="77777777" w:rsidR="00FA4AA8" w:rsidRDefault="00FA4AA8">
            <w:pPr>
              <w:pStyle w:val="TableParagraph"/>
              <w:rPr>
                <w:rFonts w:ascii="Times New Roman"/>
                <w:sz w:val="16"/>
              </w:rPr>
            </w:pPr>
          </w:p>
        </w:tc>
        <w:tc>
          <w:tcPr>
            <w:tcW w:w="1457" w:type="dxa"/>
          </w:tcPr>
          <w:p w14:paraId="74EB12B7" w14:textId="77777777" w:rsidR="00FA4AA8" w:rsidRDefault="0015611F">
            <w:pPr>
              <w:pStyle w:val="TableParagraph"/>
              <w:spacing w:line="201" w:lineRule="exact"/>
              <w:ind w:left="435"/>
              <w:rPr>
                <w:b/>
                <w:sz w:val="18"/>
              </w:rPr>
            </w:pPr>
            <w:r>
              <w:rPr>
                <w:b/>
                <w:sz w:val="18"/>
              </w:rPr>
              <w:t>2018</w:t>
            </w:r>
          </w:p>
        </w:tc>
        <w:tc>
          <w:tcPr>
            <w:tcW w:w="1133" w:type="dxa"/>
          </w:tcPr>
          <w:p w14:paraId="7939F927" w14:textId="77777777" w:rsidR="00FA4AA8" w:rsidRDefault="0015611F">
            <w:pPr>
              <w:pStyle w:val="TableParagraph"/>
              <w:spacing w:line="201" w:lineRule="exact"/>
              <w:ind w:left="274"/>
              <w:rPr>
                <w:b/>
                <w:sz w:val="18"/>
              </w:rPr>
            </w:pPr>
            <w:r>
              <w:rPr>
                <w:b/>
                <w:sz w:val="18"/>
              </w:rPr>
              <w:t>2017</w:t>
            </w:r>
          </w:p>
        </w:tc>
      </w:tr>
      <w:tr w:rsidR="00FA4AA8" w14:paraId="3715EEFB" w14:textId="77777777">
        <w:trPr>
          <w:trHeight w:val="285"/>
        </w:trPr>
        <w:tc>
          <w:tcPr>
            <w:tcW w:w="4434" w:type="dxa"/>
            <w:gridSpan w:val="2"/>
            <w:vMerge/>
            <w:tcBorders>
              <w:top w:val="nil"/>
            </w:tcBorders>
          </w:tcPr>
          <w:p w14:paraId="7E1B15BD" w14:textId="77777777" w:rsidR="00FA4AA8" w:rsidRDefault="00FA4AA8">
            <w:pPr>
              <w:rPr>
                <w:sz w:val="2"/>
                <w:szCs w:val="2"/>
              </w:rPr>
            </w:pPr>
          </w:p>
        </w:tc>
        <w:tc>
          <w:tcPr>
            <w:tcW w:w="1463" w:type="dxa"/>
          </w:tcPr>
          <w:p w14:paraId="701DFB94" w14:textId="77777777" w:rsidR="00FA4AA8" w:rsidRDefault="0015611F">
            <w:pPr>
              <w:pStyle w:val="TableParagraph"/>
              <w:spacing w:before="30"/>
              <w:ind w:left="579"/>
              <w:rPr>
                <w:b/>
                <w:sz w:val="18"/>
              </w:rPr>
            </w:pPr>
            <w:r>
              <w:rPr>
                <w:b/>
                <w:sz w:val="18"/>
              </w:rPr>
              <w:t>$'000</w:t>
            </w:r>
          </w:p>
        </w:tc>
        <w:tc>
          <w:tcPr>
            <w:tcW w:w="1295" w:type="dxa"/>
          </w:tcPr>
          <w:p w14:paraId="494949C9" w14:textId="77777777" w:rsidR="00FA4AA8" w:rsidRDefault="0015611F">
            <w:pPr>
              <w:pStyle w:val="TableParagraph"/>
              <w:spacing w:before="30"/>
              <w:ind w:left="412"/>
              <w:rPr>
                <w:b/>
                <w:sz w:val="18"/>
              </w:rPr>
            </w:pPr>
            <w:r>
              <w:rPr>
                <w:b/>
                <w:sz w:val="18"/>
              </w:rPr>
              <w:t>$'000</w:t>
            </w:r>
          </w:p>
        </w:tc>
        <w:tc>
          <w:tcPr>
            <w:tcW w:w="167" w:type="dxa"/>
          </w:tcPr>
          <w:p w14:paraId="1BA088F3" w14:textId="77777777" w:rsidR="00FA4AA8" w:rsidRDefault="00FA4AA8">
            <w:pPr>
              <w:pStyle w:val="TableParagraph"/>
              <w:rPr>
                <w:rFonts w:ascii="Times New Roman"/>
                <w:sz w:val="18"/>
              </w:rPr>
            </w:pPr>
          </w:p>
        </w:tc>
        <w:tc>
          <w:tcPr>
            <w:tcW w:w="1457" w:type="dxa"/>
          </w:tcPr>
          <w:p w14:paraId="78B29F73" w14:textId="77777777" w:rsidR="00FA4AA8" w:rsidRDefault="0015611F">
            <w:pPr>
              <w:pStyle w:val="TableParagraph"/>
              <w:spacing w:before="30"/>
              <w:ind w:left="414"/>
              <w:rPr>
                <w:b/>
                <w:sz w:val="18"/>
              </w:rPr>
            </w:pPr>
            <w:r>
              <w:rPr>
                <w:b/>
                <w:sz w:val="18"/>
              </w:rPr>
              <w:t>$'000</w:t>
            </w:r>
          </w:p>
        </w:tc>
        <w:tc>
          <w:tcPr>
            <w:tcW w:w="1133" w:type="dxa"/>
          </w:tcPr>
          <w:p w14:paraId="779C026C" w14:textId="77777777" w:rsidR="00FA4AA8" w:rsidRDefault="0015611F">
            <w:pPr>
              <w:pStyle w:val="TableParagraph"/>
              <w:spacing w:before="30"/>
              <w:ind w:left="253"/>
              <w:rPr>
                <w:b/>
                <w:sz w:val="18"/>
              </w:rPr>
            </w:pPr>
            <w:r>
              <w:rPr>
                <w:b/>
                <w:sz w:val="18"/>
              </w:rPr>
              <w:t>$'000</w:t>
            </w:r>
          </w:p>
        </w:tc>
      </w:tr>
      <w:tr w:rsidR="00FA4AA8" w14:paraId="24441C33" w14:textId="77777777">
        <w:trPr>
          <w:trHeight w:val="282"/>
        </w:trPr>
        <w:tc>
          <w:tcPr>
            <w:tcW w:w="363" w:type="dxa"/>
          </w:tcPr>
          <w:p w14:paraId="5F7DF5DD" w14:textId="77777777" w:rsidR="00FA4AA8" w:rsidRDefault="00FA4AA8">
            <w:pPr>
              <w:pStyle w:val="TableParagraph"/>
              <w:rPr>
                <w:rFonts w:ascii="Times New Roman"/>
                <w:sz w:val="18"/>
              </w:rPr>
            </w:pPr>
          </w:p>
        </w:tc>
        <w:tc>
          <w:tcPr>
            <w:tcW w:w="4071" w:type="dxa"/>
          </w:tcPr>
          <w:p w14:paraId="7E4E0196" w14:textId="77777777" w:rsidR="00FA4AA8" w:rsidRDefault="0015611F">
            <w:pPr>
              <w:pStyle w:val="TableParagraph"/>
              <w:spacing w:before="44"/>
              <w:ind w:left="109"/>
              <w:rPr>
                <w:sz w:val="18"/>
              </w:rPr>
            </w:pPr>
            <w:r>
              <w:rPr>
                <w:sz w:val="18"/>
              </w:rPr>
              <w:t>Short-term employee benefits</w:t>
            </w:r>
          </w:p>
        </w:tc>
        <w:tc>
          <w:tcPr>
            <w:tcW w:w="1463" w:type="dxa"/>
          </w:tcPr>
          <w:p w14:paraId="119FE3B0" w14:textId="77777777" w:rsidR="00FA4AA8" w:rsidRDefault="0015611F">
            <w:pPr>
              <w:pStyle w:val="TableParagraph"/>
              <w:spacing w:before="42"/>
              <w:ind w:right="82"/>
              <w:jc w:val="right"/>
              <w:rPr>
                <w:b/>
                <w:sz w:val="18"/>
              </w:rPr>
            </w:pPr>
            <w:r>
              <w:rPr>
                <w:b/>
                <w:sz w:val="18"/>
              </w:rPr>
              <w:t>8,645</w:t>
            </w:r>
          </w:p>
        </w:tc>
        <w:tc>
          <w:tcPr>
            <w:tcW w:w="1295" w:type="dxa"/>
          </w:tcPr>
          <w:p w14:paraId="3DEE84B8" w14:textId="77777777" w:rsidR="00FA4AA8" w:rsidRDefault="0015611F">
            <w:pPr>
              <w:pStyle w:val="TableParagraph"/>
              <w:spacing w:before="42"/>
              <w:ind w:right="81"/>
              <w:jc w:val="right"/>
              <w:rPr>
                <w:sz w:val="18"/>
              </w:rPr>
            </w:pPr>
            <w:r>
              <w:rPr>
                <w:sz w:val="18"/>
              </w:rPr>
              <w:t>8,042</w:t>
            </w:r>
          </w:p>
        </w:tc>
        <w:tc>
          <w:tcPr>
            <w:tcW w:w="167" w:type="dxa"/>
          </w:tcPr>
          <w:p w14:paraId="02666003" w14:textId="77777777" w:rsidR="00FA4AA8" w:rsidRDefault="00FA4AA8">
            <w:pPr>
              <w:pStyle w:val="TableParagraph"/>
              <w:rPr>
                <w:rFonts w:ascii="Times New Roman"/>
                <w:sz w:val="18"/>
              </w:rPr>
            </w:pPr>
          </w:p>
        </w:tc>
        <w:tc>
          <w:tcPr>
            <w:tcW w:w="1457" w:type="dxa"/>
          </w:tcPr>
          <w:p w14:paraId="2C7E0C69" w14:textId="77777777" w:rsidR="00FA4AA8" w:rsidRDefault="0015611F">
            <w:pPr>
              <w:pStyle w:val="TableParagraph"/>
              <w:spacing w:before="42"/>
              <w:ind w:right="241"/>
              <w:jc w:val="right"/>
              <w:rPr>
                <w:b/>
                <w:sz w:val="18"/>
              </w:rPr>
            </w:pPr>
            <w:r>
              <w:rPr>
                <w:b/>
                <w:sz w:val="18"/>
              </w:rPr>
              <w:t>7,917</w:t>
            </w:r>
          </w:p>
        </w:tc>
        <w:tc>
          <w:tcPr>
            <w:tcW w:w="1133" w:type="dxa"/>
          </w:tcPr>
          <w:p w14:paraId="7AAEF042" w14:textId="77777777" w:rsidR="00FA4AA8" w:rsidRDefault="0015611F">
            <w:pPr>
              <w:pStyle w:val="TableParagraph"/>
              <w:spacing w:before="42"/>
              <w:ind w:right="78"/>
              <w:jc w:val="right"/>
              <w:rPr>
                <w:sz w:val="18"/>
              </w:rPr>
            </w:pPr>
            <w:r>
              <w:rPr>
                <w:sz w:val="18"/>
              </w:rPr>
              <w:t>7,593</w:t>
            </w:r>
          </w:p>
        </w:tc>
      </w:tr>
      <w:tr w:rsidR="00FA4AA8" w14:paraId="08D3AB92" w14:textId="77777777">
        <w:trPr>
          <w:trHeight w:val="264"/>
        </w:trPr>
        <w:tc>
          <w:tcPr>
            <w:tcW w:w="363" w:type="dxa"/>
          </w:tcPr>
          <w:p w14:paraId="63FA8CB1" w14:textId="77777777" w:rsidR="00FA4AA8" w:rsidRDefault="00FA4AA8">
            <w:pPr>
              <w:pStyle w:val="TableParagraph"/>
              <w:rPr>
                <w:rFonts w:ascii="Times New Roman"/>
                <w:sz w:val="18"/>
              </w:rPr>
            </w:pPr>
          </w:p>
        </w:tc>
        <w:tc>
          <w:tcPr>
            <w:tcW w:w="4071" w:type="dxa"/>
          </w:tcPr>
          <w:p w14:paraId="1DF45D09" w14:textId="77777777" w:rsidR="00FA4AA8" w:rsidRDefault="0015611F">
            <w:pPr>
              <w:pStyle w:val="TableParagraph"/>
              <w:spacing w:before="26"/>
              <w:ind w:left="109"/>
              <w:rPr>
                <w:sz w:val="18"/>
              </w:rPr>
            </w:pPr>
            <w:bookmarkStart w:id="60" w:name="(d)_Loans_to_key_management_personnel"/>
            <w:bookmarkEnd w:id="60"/>
            <w:r>
              <w:rPr>
                <w:sz w:val="18"/>
              </w:rPr>
              <w:t>Post-employment benefits</w:t>
            </w:r>
          </w:p>
        </w:tc>
        <w:tc>
          <w:tcPr>
            <w:tcW w:w="1463" w:type="dxa"/>
          </w:tcPr>
          <w:p w14:paraId="42A1E9FA" w14:textId="77777777" w:rsidR="00FA4AA8" w:rsidRDefault="0015611F">
            <w:pPr>
              <w:pStyle w:val="TableParagraph"/>
              <w:spacing w:before="24"/>
              <w:ind w:right="82"/>
              <w:jc w:val="right"/>
              <w:rPr>
                <w:b/>
                <w:sz w:val="18"/>
              </w:rPr>
            </w:pPr>
            <w:r>
              <w:rPr>
                <w:b/>
                <w:sz w:val="18"/>
              </w:rPr>
              <w:t>1,072</w:t>
            </w:r>
          </w:p>
        </w:tc>
        <w:tc>
          <w:tcPr>
            <w:tcW w:w="1295" w:type="dxa"/>
          </w:tcPr>
          <w:p w14:paraId="5899EF24" w14:textId="77777777" w:rsidR="00FA4AA8" w:rsidRDefault="0015611F">
            <w:pPr>
              <w:pStyle w:val="TableParagraph"/>
              <w:spacing w:before="24"/>
              <w:ind w:right="81"/>
              <w:jc w:val="right"/>
              <w:rPr>
                <w:sz w:val="18"/>
              </w:rPr>
            </w:pPr>
            <w:r>
              <w:rPr>
                <w:sz w:val="18"/>
              </w:rPr>
              <w:t>1,001</w:t>
            </w:r>
          </w:p>
        </w:tc>
        <w:tc>
          <w:tcPr>
            <w:tcW w:w="167" w:type="dxa"/>
          </w:tcPr>
          <w:p w14:paraId="24781152" w14:textId="77777777" w:rsidR="00FA4AA8" w:rsidRDefault="00FA4AA8">
            <w:pPr>
              <w:pStyle w:val="TableParagraph"/>
              <w:rPr>
                <w:rFonts w:ascii="Times New Roman"/>
                <w:sz w:val="18"/>
              </w:rPr>
            </w:pPr>
          </w:p>
        </w:tc>
        <w:tc>
          <w:tcPr>
            <w:tcW w:w="1457" w:type="dxa"/>
          </w:tcPr>
          <w:p w14:paraId="2D3D3714" w14:textId="77777777" w:rsidR="00FA4AA8" w:rsidRDefault="0015611F">
            <w:pPr>
              <w:pStyle w:val="TableParagraph"/>
              <w:spacing w:before="24"/>
              <w:ind w:right="241"/>
              <w:jc w:val="right"/>
              <w:rPr>
                <w:b/>
                <w:sz w:val="18"/>
              </w:rPr>
            </w:pPr>
            <w:r>
              <w:rPr>
                <w:b/>
                <w:sz w:val="18"/>
              </w:rPr>
              <w:t>1,009</w:t>
            </w:r>
          </w:p>
        </w:tc>
        <w:tc>
          <w:tcPr>
            <w:tcW w:w="1133" w:type="dxa"/>
          </w:tcPr>
          <w:p w14:paraId="2076CE43" w14:textId="77777777" w:rsidR="00FA4AA8" w:rsidRDefault="0015611F">
            <w:pPr>
              <w:pStyle w:val="TableParagraph"/>
              <w:spacing w:before="24"/>
              <w:ind w:right="78"/>
              <w:jc w:val="right"/>
              <w:rPr>
                <w:sz w:val="18"/>
              </w:rPr>
            </w:pPr>
            <w:r>
              <w:rPr>
                <w:sz w:val="18"/>
              </w:rPr>
              <w:t>963</w:t>
            </w:r>
          </w:p>
        </w:tc>
      </w:tr>
      <w:tr w:rsidR="00FA4AA8" w14:paraId="5D84A0C7" w14:textId="77777777">
        <w:trPr>
          <w:trHeight w:val="256"/>
        </w:trPr>
        <w:tc>
          <w:tcPr>
            <w:tcW w:w="363" w:type="dxa"/>
          </w:tcPr>
          <w:p w14:paraId="3B69C19A" w14:textId="77777777" w:rsidR="00FA4AA8" w:rsidRDefault="00FA4AA8">
            <w:pPr>
              <w:pStyle w:val="TableParagraph"/>
              <w:rPr>
                <w:rFonts w:ascii="Times New Roman"/>
                <w:sz w:val="18"/>
              </w:rPr>
            </w:pPr>
          </w:p>
        </w:tc>
        <w:tc>
          <w:tcPr>
            <w:tcW w:w="4071" w:type="dxa"/>
          </w:tcPr>
          <w:p w14:paraId="6335084F" w14:textId="77777777" w:rsidR="00FA4AA8" w:rsidRDefault="0015611F">
            <w:pPr>
              <w:pStyle w:val="TableParagraph"/>
              <w:spacing w:before="26"/>
              <w:ind w:left="109"/>
              <w:rPr>
                <w:sz w:val="18"/>
              </w:rPr>
            </w:pPr>
            <w:r>
              <w:rPr>
                <w:sz w:val="18"/>
              </w:rPr>
              <w:t>Termination benefits</w:t>
            </w:r>
          </w:p>
        </w:tc>
        <w:tc>
          <w:tcPr>
            <w:tcW w:w="1463" w:type="dxa"/>
            <w:tcBorders>
              <w:bottom w:val="single" w:sz="8" w:space="0" w:color="000000"/>
            </w:tcBorders>
          </w:tcPr>
          <w:p w14:paraId="048CB6F7" w14:textId="77777777" w:rsidR="00FA4AA8" w:rsidRDefault="0015611F">
            <w:pPr>
              <w:pStyle w:val="TableParagraph"/>
              <w:spacing w:before="24"/>
              <w:ind w:right="82"/>
              <w:jc w:val="right"/>
              <w:rPr>
                <w:b/>
                <w:sz w:val="18"/>
              </w:rPr>
            </w:pPr>
            <w:r>
              <w:rPr>
                <w:b/>
                <w:sz w:val="18"/>
              </w:rPr>
              <w:t>-</w:t>
            </w:r>
          </w:p>
        </w:tc>
        <w:tc>
          <w:tcPr>
            <w:tcW w:w="1295" w:type="dxa"/>
            <w:tcBorders>
              <w:bottom w:val="single" w:sz="8" w:space="0" w:color="000000"/>
            </w:tcBorders>
          </w:tcPr>
          <w:p w14:paraId="2553C34D" w14:textId="77777777" w:rsidR="00FA4AA8" w:rsidRDefault="0015611F">
            <w:pPr>
              <w:pStyle w:val="TableParagraph"/>
              <w:spacing w:before="24"/>
              <w:ind w:right="81"/>
              <w:jc w:val="right"/>
              <w:rPr>
                <w:sz w:val="18"/>
              </w:rPr>
            </w:pPr>
            <w:r>
              <w:rPr>
                <w:sz w:val="18"/>
              </w:rPr>
              <w:t>-</w:t>
            </w:r>
          </w:p>
        </w:tc>
        <w:tc>
          <w:tcPr>
            <w:tcW w:w="167" w:type="dxa"/>
            <w:tcBorders>
              <w:bottom w:val="single" w:sz="8" w:space="0" w:color="000000"/>
            </w:tcBorders>
          </w:tcPr>
          <w:p w14:paraId="197822D6" w14:textId="77777777" w:rsidR="00FA4AA8" w:rsidRDefault="00FA4AA8">
            <w:pPr>
              <w:pStyle w:val="TableParagraph"/>
              <w:rPr>
                <w:rFonts w:ascii="Times New Roman"/>
                <w:sz w:val="18"/>
              </w:rPr>
            </w:pPr>
          </w:p>
        </w:tc>
        <w:tc>
          <w:tcPr>
            <w:tcW w:w="1457" w:type="dxa"/>
            <w:tcBorders>
              <w:bottom w:val="single" w:sz="8" w:space="0" w:color="000000"/>
            </w:tcBorders>
          </w:tcPr>
          <w:p w14:paraId="30DD389F" w14:textId="77777777" w:rsidR="00FA4AA8" w:rsidRDefault="0015611F">
            <w:pPr>
              <w:pStyle w:val="TableParagraph"/>
              <w:spacing w:before="24"/>
              <w:ind w:right="241"/>
              <w:jc w:val="right"/>
              <w:rPr>
                <w:b/>
                <w:sz w:val="18"/>
              </w:rPr>
            </w:pPr>
            <w:r>
              <w:rPr>
                <w:b/>
                <w:sz w:val="18"/>
              </w:rPr>
              <w:t>-</w:t>
            </w:r>
          </w:p>
        </w:tc>
        <w:tc>
          <w:tcPr>
            <w:tcW w:w="1133" w:type="dxa"/>
            <w:tcBorders>
              <w:bottom w:val="single" w:sz="8" w:space="0" w:color="000000"/>
            </w:tcBorders>
          </w:tcPr>
          <w:p w14:paraId="31D1ED2D" w14:textId="77777777" w:rsidR="00FA4AA8" w:rsidRDefault="0015611F">
            <w:pPr>
              <w:pStyle w:val="TableParagraph"/>
              <w:spacing w:before="24"/>
              <w:ind w:right="78"/>
              <w:jc w:val="right"/>
              <w:rPr>
                <w:sz w:val="18"/>
              </w:rPr>
            </w:pPr>
            <w:r>
              <w:rPr>
                <w:sz w:val="18"/>
              </w:rPr>
              <w:t>-</w:t>
            </w:r>
          </w:p>
        </w:tc>
      </w:tr>
      <w:tr w:rsidR="00FA4AA8" w14:paraId="0BA3BFB1" w14:textId="77777777">
        <w:trPr>
          <w:trHeight w:val="558"/>
        </w:trPr>
        <w:tc>
          <w:tcPr>
            <w:tcW w:w="363" w:type="dxa"/>
          </w:tcPr>
          <w:p w14:paraId="4418CC6F" w14:textId="77777777" w:rsidR="00FA4AA8" w:rsidRDefault="00FA4AA8">
            <w:pPr>
              <w:pStyle w:val="TableParagraph"/>
              <w:rPr>
                <w:rFonts w:ascii="Times New Roman"/>
                <w:sz w:val="18"/>
              </w:rPr>
            </w:pPr>
          </w:p>
        </w:tc>
        <w:tc>
          <w:tcPr>
            <w:tcW w:w="4071" w:type="dxa"/>
          </w:tcPr>
          <w:p w14:paraId="06678583" w14:textId="77777777" w:rsidR="00FA4AA8" w:rsidRDefault="0015611F">
            <w:pPr>
              <w:pStyle w:val="TableParagraph"/>
              <w:spacing w:before="115"/>
              <w:ind w:left="109" w:right="1811"/>
              <w:rPr>
                <w:b/>
                <w:sz w:val="18"/>
              </w:rPr>
            </w:pPr>
            <w:r>
              <w:rPr>
                <w:b/>
                <w:sz w:val="18"/>
              </w:rPr>
              <w:t>Total key management personnel compensation</w:t>
            </w:r>
          </w:p>
        </w:tc>
        <w:tc>
          <w:tcPr>
            <w:tcW w:w="1463" w:type="dxa"/>
            <w:tcBorders>
              <w:top w:val="single" w:sz="8" w:space="0" w:color="000000"/>
              <w:bottom w:val="single" w:sz="6" w:space="0" w:color="000000"/>
            </w:tcBorders>
          </w:tcPr>
          <w:p w14:paraId="4C799522" w14:textId="77777777" w:rsidR="00FA4AA8" w:rsidRDefault="00FA4AA8">
            <w:pPr>
              <w:pStyle w:val="TableParagraph"/>
              <w:spacing w:before="11"/>
              <w:rPr>
                <w:b/>
                <w:sz w:val="27"/>
              </w:rPr>
            </w:pPr>
          </w:p>
          <w:p w14:paraId="6F5B0913" w14:textId="77777777" w:rsidR="00FA4AA8" w:rsidRDefault="0015611F">
            <w:pPr>
              <w:pStyle w:val="TableParagraph"/>
              <w:ind w:right="82"/>
              <w:jc w:val="right"/>
              <w:rPr>
                <w:b/>
                <w:sz w:val="18"/>
              </w:rPr>
            </w:pPr>
            <w:r>
              <w:rPr>
                <w:b/>
                <w:sz w:val="18"/>
              </w:rPr>
              <w:t>9,717</w:t>
            </w:r>
          </w:p>
        </w:tc>
        <w:tc>
          <w:tcPr>
            <w:tcW w:w="1295" w:type="dxa"/>
            <w:tcBorders>
              <w:top w:val="single" w:sz="8" w:space="0" w:color="000000"/>
              <w:bottom w:val="single" w:sz="4" w:space="0" w:color="000000"/>
            </w:tcBorders>
          </w:tcPr>
          <w:p w14:paraId="127801EF" w14:textId="77777777" w:rsidR="00FA4AA8" w:rsidRDefault="00FA4AA8">
            <w:pPr>
              <w:pStyle w:val="TableParagraph"/>
              <w:spacing w:before="11"/>
              <w:rPr>
                <w:b/>
                <w:sz w:val="27"/>
              </w:rPr>
            </w:pPr>
          </w:p>
          <w:p w14:paraId="20EEF42F" w14:textId="77777777" w:rsidR="00FA4AA8" w:rsidRDefault="0015611F">
            <w:pPr>
              <w:pStyle w:val="TableParagraph"/>
              <w:ind w:right="81"/>
              <w:jc w:val="right"/>
              <w:rPr>
                <w:sz w:val="18"/>
              </w:rPr>
            </w:pPr>
            <w:r>
              <w:rPr>
                <w:sz w:val="18"/>
              </w:rPr>
              <w:t>9,043</w:t>
            </w:r>
          </w:p>
        </w:tc>
        <w:tc>
          <w:tcPr>
            <w:tcW w:w="167" w:type="dxa"/>
            <w:tcBorders>
              <w:top w:val="single" w:sz="8" w:space="0" w:color="000000"/>
              <w:bottom w:val="single" w:sz="6" w:space="0" w:color="000000"/>
            </w:tcBorders>
          </w:tcPr>
          <w:p w14:paraId="0A1A780F" w14:textId="77777777" w:rsidR="00FA4AA8" w:rsidRDefault="00FA4AA8">
            <w:pPr>
              <w:pStyle w:val="TableParagraph"/>
              <w:rPr>
                <w:rFonts w:ascii="Times New Roman"/>
                <w:sz w:val="18"/>
              </w:rPr>
            </w:pPr>
          </w:p>
        </w:tc>
        <w:tc>
          <w:tcPr>
            <w:tcW w:w="1457" w:type="dxa"/>
            <w:tcBorders>
              <w:top w:val="single" w:sz="8" w:space="0" w:color="000000"/>
              <w:bottom w:val="single" w:sz="6" w:space="0" w:color="000000"/>
            </w:tcBorders>
          </w:tcPr>
          <w:p w14:paraId="347C87C7" w14:textId="77777777" w:rsidR="00FA4AA8" w:rsidRDefault="00FA4AA8">
            <w:pPr>
              <w:pStyle w:val="TableParagraph"/>
              <w:spacing w:before="11"/>
              <w:rPr>
                <w:b/>
                <w:sz w:val="27"/>
              </w:rPr>
            </w:pPr>
          </w:p>
          <w:p w14:paraId="2871BD34" w14:textId="77777777" w:rsidR="00FA4AA8" w:rsidRDefault="0015611F">
            <w:pPr>
              <w:pStyle w:val="TableParagraph"/>
              <w:ind w:right="241"/>
              <w:jc w:val="right"/>
              <w:rPr>
                <w:b/>
                <w:sz w:val="18"/>
              </w:rPr>
            </w:pPr>
            <w:r>
              <w:rPr>
                <w:b/>
                <w:sz w:val="18"/>
              </w:rPr>
              <w:t>8,926</w:t>
            </w:r>
          </w:p>
        </w:tc>
        <w:tc>
          <w:tcPr>
            <w:tcW w:w="1133" w:type="dxa"/>
            <w:tcBorders>
              <w:top w:val="single" w:sz="8" w:space="0" w:color="000000"/>
              <w:bottom w:val="single" w:sz="6" w:space="0" w:color="000000"/>
            </w:tcBorders>
          </w:tcPr>
          <w:p w14:paraId="2E743A8D" w14:textId="77777777" w:rsidR="00FA4AA8" w:rsidRDefault="00FA4AA8">
            <w:pPr>
              <w:pStyle w:val="TableParagraph"/>
              <w:spacing w:before="11"/>
              <w:rPr>
                <w:b/>
                <w:sz w:val="27"/>
              </w:rPr>
            </w:pPr>
          </w:p>
          <w:p w14:paraId="3BF6F1B7" w14:textId="77777777" w:rsidR="00FA4AA8" w:rsidRDefault="0015611F">
            <w:pPr>
              <w:pStyle w:val="TableParagraph"/>
              <w:ind w:right="78"/>
              <w:jc w:val="right"/>
              <w:rPr>
                <w:sz w:val="18"/>
              </w:rPr>
            </w:pPr>
            <w:r>
              <w:rPr>
                <w:sz w:val="18"/>
              </w:rPr>
              <w:t>8,556</w:t>
            </w:r>
          </w:p>
        </w:tc>
      </w:tr>
      <w:tr w:rsidR="00FA4AA8" w14:paraId="1C8EB5DD" w14:textId="77777777">
        <w:trPr>
          <w:trHeight w:val="516"/>
        </w:trPr>
        <w:tc>
          <w:tcPr>
            <w:tcW w:w="363" w:type="dxa"/>
          </w:tcPr>
          <w:p w14:paraId="23FDA459" w14:textId="77777777" w:rsidR="00FA4AA8" w:rsidRDefault="00FA4AA8">
            <w:pPr>
              <w:pStyle w:val="TableParagraph"/>
              <w:spacing w:before="10"/>
              <w:rPr>
                <w:b/>
                <w:sz w:val="26"/>
              </w:rPr>
            </w:pPr>
          </w:p>
          <w:p w14:paraId="5496A2E7" w14:textId="77777777" w:rsidR="00FA4AA8" w:rsidRDefault="0015611F">
            <w:pPr>
              <w:pStyle w:val="TableParagraph"/>
              <w:spacing w:line="187" w:lineRule="exact"/>
              <w:ind w:left="50"/>
              <w:rPr>
                <w:b/>
                <w:sz w:val="18"/>
              </w:rPr>
            </w:pPr>
            <w:bookmarkStart w:id="61" w:name="29_Remuneration_of_Auditors_"/>
            <w:bookmarkEnd w:id="61"/>
            <w:r>
              <w:rPr>
                <w:b/>
                <w:sz w:val="18"/>
              </w:rPr>
              <w:t>(d)</w:t>
            </w:r>
          </w:p>
        </w:tc>
        <w:tc>
          <w:tcPr>
            <w:tcW w:w="4071" w:type="dxa"/>
          </w:tcPr>
          <w:p w14:paraId="31F45714" w14:textId="77777777" w:rsidR="00FA4AA8" w:rsidRDefault="00FA4AA8">
            <w:pPr>
              <w:pStyle w:val="TableParagraph"/>
              <w:spacing w:before="10"/>
              <w:rPr>
                <w:b/>
                <w:sz w:val="26"/>
              </w:rPr>
            </w:pPr>
          </w:p>
          <w:p w14:paraId="05BD67F8" w14:textId="77777777" w:rsidR="00FA4AA8" w:rsidRDefault="0015611F">
            <w:pPr>
              <w:pStyle w:val="TableParagraph"/>
              <w:spacing w:line="187" w:lineRule="exact"/>
              <w:ind w:left="83"/>
              <w:rPr>
                <w:b/>
                <w:sz w:val="18"/>
              </w:rPr>
            </w:pPr>
            <w:r>
              <w:rPr>
                <w:b/>
                <w:sz w:val="18"/>
              </w:rPr>
              <w:t>Loans to key management personnel</w:t>
            </w:r>
          </w:p>
        </w:tc>
        <w:tc>
          <w:tcPr>
            <w:tcW w:w="1463" w:type="dxa"/>
            <w:tcBorders>
              <w:top w:val="single" w:sz="6" w:space="0" w:color="000000"/>
            </w:tcBorders>
          </w:tcPr>
          <w:p w14:paraId="4E4A566E" w14:textId="77777777" w:rsidR="00FA4AA8" w:rsidRDefault="00FA4AA8">
            <w:pPr>
              <w:pStyle w:val="TableParagraph"/>
              <w:rPr>
                <w:rFonts w:ascii="Times New Roman"/>
                <w:sz w:val="18"/>
              </w:rPr>
            </w:pPr>
          </w:p>
        </w:tc>
        <w:tc>
          <w:tcPr>
            <w:tcW w:w="1295" w:type="dxa"/>
            <w:tcBorders>
              <w:top w:val="single" w:sz="4" w:space="0" w:color="000000"/>
            </w:tcBorders>
          </w:tcPr>
          <w:p w14:paraId="14E2A2CA" w14:textId="77777777" w:rsidR="00FA4AA8" w:rsidRDefault="00FA4AA8">
            <w:pPr>
              <w:pStyle w:val="TableParagraph"/>
              <w:rPr>
                <w:rFonts w:ascii="Times New Roman"/>
                <w:sz w:val="18"/>
              </w:rPr>
            </w:pPr>
          </w:p>
        </w:tc>
        <w:tc>
          <w:tcPr>
            <w:tcW w:w="167" w:type="dxa"/>
            <w:tcBorders>
              <w:top w:val="single" w:sz="6" w:space="0" w:color="000000"/>
            </w:tcBorders>
          </w:tcPr>
          <w:p w14:paraId="558BD747" w14:textId="77777777" w:rsidR="00FA4AA8" w:rsidRDefault="00FA4AA8">
            <w:pPr>
              <w:pStyle w:val="TableParagraph"/>
              <w:rPr>
                <w:rFonts w:ascii="Times New Roman"/>
                <w:sz w:val="18"/>
              </w:rPr>
            </w:pPr>
          </w:p>
        </w:tc>
        <w:tc>
          <w:tcPr>
            <w:tcW w:w="1457" w:type="dxa"/>
            <w:tcBorders>
              <w:top w:val="single" w:sz="6" w:space="0" w:color="000000"/>
            </w:tcBorders>
          </w:tcPr>
          <w:p w14:paraId="70CEABF6" w14:textId="77777777" w:rsidR="00FA4AA8" w:rsidRDefault="00FA4AA8">
            <w:pPr>
              <w:pStyle w:val="TableParagraph"/>
              <w:rPr>
                <w:rFonts w:ascii="Times New Roman"/>
                <w:sz w:val="18"/>
              </w:rPr>
            </w:pPr>
          </w:p>
        </w:tc>
        <w:tc>
          <w:tcPr>
            <w:tcW w:w="1133" w:type="dxa"/>
            <w:tcBorders>
              <w:top w:val="single" w:sz="6" w:space="0" w:color="000000"/>
            </w:tcBorders>
          </w:tcPr>
          <w:p w14:paraId="43A7EF28" w14:textId="77777777" w:rsidR="00FA4AA8" w:rsidRDefault="00FA4AA8">
            <w:pPr>
              <w:pStyle w:val="TableParagraph"/>
              <w:rPr>
                <w:rFonts w:ascii="Times New Roman"/>
                <w:sz w:val="18"/>
              </w:rPr>
            </w:pPr>
          </w:p>
        </w:tc>
      </w:tr>
    </w:tbl>
    <w:p w14:paraId="29E39B14" w14:textId="77777777" w:rsidR="00FA4AA8" w:rsidRDefault="00FA4AA8">
      <w:pPr>
        <w:pStyle w:val="BodyText"/>
        <w:spacing w:before="4"/>
        <w:rPr>
          <w:b/>
          <w:sz w:val="25"/>
        </w:rPr>
      </w:pPr>
    </w:p>
    <w:p w14:paraId="1BC12629" w14:textId="77777777" w:rsidR="00FA4AA8" w:rsidRDefault="007E2441">
      <w:pPr>
        <w:pStyle w:val="BodyText"/>
        <w:ind w:left="564"/>
      </w:pPr>
      <w:r>
        <w:rPr>
          <w:noProof/>
          <w:lang w:val="en-AU" w:eastAsia="en-AU"/>
        </w:rPr>
        <mc:AlternateContent>
          <mc:Choice Requires="wpg">
            <w:drawing>
              <wp:anchor distT="0" distB="0" distL="114300" distR="114300" simplePos="0" relativeHeight="462739968" behindDoc="1" locked="0" layoutInCell="1" allowOverlap="1" wp14:anchorId="5915ECAE" wp14:editId="3925B94F">
                <wp:simplePos x="0" y="0"/>
                <wp:positionH relativeFrom="page">
                  <wp:posOffset>3424555</wp:posOffset>
                </wp:positionH>
                <wp:positionV relativeFrom="paragraph">
                  <wp:posOffset>-544195</wp:posOffset>
                </wp:positionV>
                <wp:extent cx="2383155" cy="6350"/>
                <wp:effectExtent l="0" t="0" r="0" b="0"/>
                <wp:wrapNone/>
                <wp:docPr id="2370" name="Group 2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3155" cy="6350"/>
                          <a:chOff x="5393" y="-857"/>
                          <a:chExt cx="5520" cy="15"/>
                        </a:xfrm>
                      </wpg:grpSpPr>
                      <wps:wsp>
                        <wps:cNvPr id="2371" name="Line 2172"/>
                        <wps:cNvCnPr>
                          <a:cxnSpLocks noChangeShapeType="1"/>
                        </wps:cNvCnPr>
                        <wps:spPr bwMode="auto">
                          <a:xfrm>
                            <a:off x="5393" y="-856"/>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372" name="Line 2171"/>
                        <wps:cNvCnPr>
                          <a:cxnSpLocks noChangeShapeType="1"/>
                        </wps:cNvCnPr>
                        <wps:spPr bwMode="auto">
                          <a:xfrm>
                            <a:off x="5393" y="-854"/>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373" name="Line 2170"/>
                        <wps:cNvCnPr>
                          <a:cxnSpLocks noChangeShapeType="1"/>
                        </wps:cNvCnPr>
                        <wps:spPr bwMode="auto">
                          <a:xfrm>
                            <a:off x="5393" y="-851"/>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374" name="Line 2169"/>
                        <wps:cNvCnPr>
                          <a:cxnSpLocks noChangeShapeType="1"/>
                        </wps:cNvCnPr>
                        <wps:spPr bwMode="auto">
                          <a:xfrm>
                            <a:off x="5393" y="-849"/>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375" name="Line 2168"/>
                        <wps:cNvCnPr>
                          <a:cxnSpLocks noChangeShapeType="1"/>
                        </wps:cNvCnPr>
                        <wps:spPr bwMode="auto">
                          <a:xfrm>
                            <a:off x="5393" y="-846"/>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376" name="Line 2167"/>
                        <wps:cNvCnPr>
                          <a:cxnSpLocks noChangeShapeType="1"/>
                        </wps:cNvCnPr>
                        <wps:spPr bwMode="auto">
                          <a:xfrm>
                            <a:off x="5393" y="-844"/>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377" name="Line 2166"/>
                        <wps:cNvCnPr>
                          <a:cxnSpLocks noChangeShapeType="1"/>
                        </wps:cNvCnPr>
                        <wps:spPr bwMode="auto">
                          <a:xfrm>
                            <a:off x="5561" y="-856"/>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378" name="Line 2165"/>
                        <wps:cNvCnPr>
                          <a:cxnSpLocks noChangeShapeType="1"/>
                        </wps:cNvCnPr>
                        <wps:spPr bwMode="auto">
                          <a:xfrm>
                            <a:off x="5561" y="-854"/>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379" name="Line 2164"/>
                        <wps:cNvCnPr>
                          <a:cxnSpLocks noChangeShapeType="1"/>
                        </wps:cNvCnPr>
                        <wps:spPr bwMode="auto">
                          <a:xfrm>
                            <a:off x="5561" y="-85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380" name="Line 2163"/>
                        <wps:cNvCnPr>
                          <a:cxnSpLocks noChangeShapeType="1"/>
                        </wps:cNvCnPr>
                        <wps:spPr bwMode="auto">
                          <a:xfrm>
                            <a:off x="5561" y="-849"/>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381" name="Line 2162"/>
                        <wps:cNvCnPr>
                          <a:cxnSpLocks noChangeShapeType="1"/>
                        </wps:cNvCnPr>
                        <wps:spPr bwMode="auto">
                          <a:xfrm>
                            <a:off x="5561" y="-846"/>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382" name="Line 2161"/>
                        <wps:cNvCnPr>
                          <a:cxnSpLocks noChangeShapeType="1"/>
                        </wps:cNvCnPr>
                        <wps:spPr bwMode="auto">
                          <a:xfrm>
                            <a:off x="5561" y="-844"/>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383" name="Line 2160"/>
                        <wps:cNvCnPr>
                          <a:cxnSpLocks noChangeShapeType="1"/>
                        </wps:cNvCnPr>
                        <wps:spPr bwMode="auto">
                          <a:xfrm>
                            <a:off x="6857" y="-856"/>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384" name="Line 2159"/>
                        <wps:cNvCnPr>
                          <a:cxnSpLocks noChangeShapeType="1"/>
                        </wps:cNvCnPr>
                        <wps:spPr bwMode="auto">
                          <a:xfrm>
                            <a:off x="6857" y="-854"/>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385" name="Line 2158"/>
                        <wps:cNvCnPr>
                          <a:cxnSpLocks noChangeShapeType="1"/>
                        </wps:cNvCnPr>
                        <wps:spPr bwMode="auto">
                          <a:xfrm>
                            <a:off x="6857" y="-85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386" name="Line 2157"/>
                        <wps:cNvCnPr>
                          <a:cxnSpLocks noChangeShapeType="1"/>
                        </wps:cNvCnPr>
                        <wps:spPr bwMode="auto">
                          <a:xfrm>
                            <a:off x="6857" y="-849"/>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387" name="Line 2156"/>
                        <wps:cNvCnPr>
                          <a:cxnSpLocks noChangeShapeType="1"/>
                        </wps:cNvCnPr>
                        <wps:spPr bwMode="auto">
                          <a:xfrm>
                            <a:off x="6857" y="-846"/>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388" name="Line 2155"/>
                        <wps:cNvCnPr>
                          <a:cxnSpLocks noChangeShapeType="1"/>
                        </wps:cNvCnPr>
                        <wps:spPr bwMode="auto">
                          <a:xfrm>
                            <a:off x="6857" y="-844"/>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389" name="Line 2154"/>
                        <wps:cNvCnPr>
                          <a:cxnSpLocks noChangeShapeType="1"/>
                        </wps:cNvCnPr>
                        <wps:spPr bwMode="auto">
                          <a:xfrm>
                            <a:off x="8153" y="-856"/>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390" name="Line 2153"/>
                        <wps:cNvCnPr>
                          <a:cxnSpLocks noChangeShapeType="1"/>
                        </wps:cNvCnPr>
                        <wps:spPr bwMode="auto">
                          <a:xfrm>
                            <a:off x="8153" y="-854"/>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391" name="Line 2152"/>
                        <wps:cNvCnPr>
                          <a:cxnSpLocks noChangeShapeType="1"/>
                        </wps:cNvCnPr>
                        <wps:spPr bwMode="auto">
                          <a:xfrm>
                            <a:off x="8153" y="-851"/>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392" name="Line 2151"/>
                        <wps:cNvCnPr>
                          <a:cxnSpLocks noChangeShapeType="1"/>
                        </wps:cNvCnPr>
                        <wps:spPr bwMode="auto">
                          <a:xfrm>
                            <a:off x="8153" y="-849"/>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393" name="Line 2150"/>
                        <wps:cNvCnPr>
                          <a:cxnSpLocks noChangeShapeType="1"/>
                        </wps:cNvCnPr>
                        <wps:spPr bwMode="auto">
                          <a:xfrm>
                            <a:off x="8153" y="-846"/>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394" name="Line 2149"/>
                        <wps:cNvCnPr>
                          <a:cxnSpLocks noChangeShapeType="1"/>
                        </wps:cNvCnPr>
                        <wps:spPr bwMode="auto">
                          <a:xfrm>
                            <a:off x="8153" y="-844"/>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395" name="Line 2148"/>
                        <wps:cNvCnPr>
                          <a:cxnSpLocks noChangeShapeType="1"/>
                        </wps:cNvCnPr>
                        <wps:spPr bwMode="auto">
                          <a:xfrm>
                            <a:off x="8321" y="-856"/>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396" name="Line 2147"/>
                        <wps:cNvCnPr>
                          <a:cxnSpLocks noChangeShapeType="1"/>
                        </wps:cNvCnPr>
                        <wps:spPr bwMode="auto">
                          <a:xfrm>
                            <a:off x="8321" y="-854"/>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397" name="Line 2146"/>
                        <wps:cNvCnPr>
                          <a:cxnSpLocks noChangeShapeType="1"/>
                        </wps:cNvCnPr>
                        <wps:spPr bwMode="auto">
                          <a:xfrm>
                            <a:off x="8321" y="-85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398" name="Line 2145"/>
                        <wps:cNvCnPr>
                          <a:cxnSpLocks noChangeShapeType="1"/>
                        </wps:cNvCnPr>
                        <wps:spPr bwMode="auto">
                          <a:xfrm>
                            <a:off x="8321" y="-849"/>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399" name="Line 2144"/>
                        <wps:cNvCnPr>
                          <a:cxnSpLocks noChangeShapeType="1"/>
                        </wps:cNvCnPr>
                        <wps:spPr bwMode="auto">
                          <a:xfrm>
                            <a:off x="8321" y="-846"/>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400" name="Line 2143"/>
                        <wps:cNvCnPr>
                          <a:cxnSpLocks noChangeShapeType="1"/>
                        </wps:cNvCnPr>
                        <wps:spPr bwMode="auto">
                          <a:xfrm>
                            <a:off x="8321" y="-844"/>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401" name="Line 2142"/>
                        <wps:cNvCnPr>
                          <a:cxnSpLocks noChangeShapeType="1"/>
                        </wps:cNvCnPr>
                        <wps:spPr bwMode="auto">
                          <a:xfrm>
                            <a:off x="9617" y="-856"/>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402" name="Line 2141"/>
                        <wps:cNvCnPr>
                          <a:cxnSpLocks noChangeShapeType="1"/>
                        </wps:cNvCnPr>
                        <wps:spPr bwMode="auto">
                          <a:xfrm>
                            <a:off x="9617" y="-854"/>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403" name="Line 2140"/>
                        <wps:cNvCnPr>
                          <a:cxnSpLocks noChangeShapeType="1"/>
                        </wps:cNvCnPr>
                        <wps:spPr bwMode="auto">
                          <a:xfrm>
                            <a:off x="9617" y="-85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404" name="Line 2139"/>
                        <wps:cNvCnPr>
                          <a:cxnSpLocks noChangeShapeType="1"/>
                        </wps:cNvCnPr>
                        <wps:spPr bwMode="auto">
                          <a:xfrm>
                            <a:off x="9617" y="-849"/>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405" name="Line 2138"/>
                        <wps:cNvCnPr>
                          <a:cxnSpLocks noChangeShapeType="1"/>
                        </wps:cNvCnPr>
                        <wps:spPr bwMode="auto">
                          <a:xfrm>
                            <a:off x="9617" y="-846"/>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406" name="Line 2137"/>
                        <wps:cNvCnPr>
                          <a:cxnSpLocks noChangeShapeType="1"/>
                        </wps:cNvCnPr>
                        <wps:spPr bwMode="auto">
                          <a:xfrm>
                            <a:off x="9617" y="-844"/>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81906F" id="Group 2136" o:spid="_x0000_s1026" style="position:absolute;margin-left:269.65pt;margin-top:-42.85pt;width:187.65pt;height:.5pt;z-index:-40576512;mso-position-horizontal-relative:page" coordorigin="5393,-857" coordsize="552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">
                <v:line id="Line 2172" o:spid="_x0000_s1027" style="position:absolute;visibility:visible;mso-wrap-style:square" from="5393,-856" to="5561,-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" strokeweight=".12pt"/>
                <v:line id="Line 2171" o:spid="_x0000_s1028" style="position:absolute;visibility:visible;mso-wrap-style:square" from="5393,-854" to="556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" strokeweight=".12pt"/>
                <v:line id="Line 2170" o:spid="_x0000_s1029" style="position:absolute;visibility:visible;mso-wrap-style:square" from="5393,-851" to="5561,-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" strokeweight=".12pt"/>
                <v:line id="Line 2169" o:spid="_x0000_s1030" style="position:absolute;visibility:visible;mso-wrap-style:square" from="5393,-849" to="5561,-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" strokeweight=".12pt"/>
                <v:line id="Line 2168" o:spid="_x0000_s1031" style="position:absolute;visibility:visible;mso-wrap-style:square" from="5393,-846" to="5561,-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" strokeweight=".12pt"/>
                <v:line id="Line 2167" o:spid="_x0000_s1032" style="position:absolute;visibility:visible;mso-wrap-style:square" from="5393,-844" to="5561,-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" strokeweight=".12pt"/>
                <v:line id="Line 2166" o:spid="_x0000_s1033" style="position:absolute;visibility:visible;mso-wrap-style:square" from="5561,-856" to="6857,-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" strokeweight=".12pt"/>
                <v:line id="Line 2165" o:spid="_x0000_s1034" style="position:absolute;visibility:visible;mso-wrap-style:square" from="5561,-854" to="6857,-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" strokeweight=".12pt"/>
                <v:line id="Line 2164" o:spid="_x0000_s1035" style="position:absolute;visibility:visible;mso-wrap-style:square" from="5561,-851" to="6857,-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" strokeweight=".12pt"/>
                <v:line id="Line 2163" o:spid="_x0000_s1036" style="position:absolute;visibility:visible;mso-wrap-style:square" from="5561,-849" to="6857,-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" strokeweight=".12pt"/>
                <v:line id="Line 2162" o:spid="_x0000_s1037" style="position:absolute;visibility:visible;mso-wrap-style:square" from="5561,-846" to="6857,-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" strokeweight=".12pt"/>
                <v:line id="Line 2161" o:spid="_x0000_s1038" style="position:absolute;visibility:visible;mso-wrap-style:square" from="5561,-844" to="6857,-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" strokeweight=".12pt"/>
                <v:line id="Line 2160" o:spid="_x0000_s1039" style="position:absolute;visibility:visible;mso-wrap-style:square" from="6857,-856" to="8153,-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" strokeweight=".12pt"/>
                <v:line id="Line 2159" o:spid="_x0000_s1040" style="position:absolute;visibility:visible;mso-wrap-style:square" from="6857,-854" to="8153,-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" strokeweight=".12pt"/>
                <v:line id="Line 2158" o:spid="_x0000_s1041" style="position:absolute;visibility:visible;mso-wrap-style:square" from="6857,-851" to="8153,-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" strokeweight=".12pt"/>
                <v:line id="Line 2157" o:spid="_x0000_s1042" style="position:absolute;visibility:visible;mso-wrap-style:square" from="6857,-849" to="8153,-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" strokeweight=".12pt"/>
                <v:line id="Line 2156" o:spid="_x0000_s1043" style="position:absolute;visibility:visible;mso-wrap-style:square" from="6857,-846" to="815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" strokeweight=".12pt"/>
                <v:line id="Line 2155" o:spid="_x0000_s1044" style="position:absolute;visibility:visible;mso-wrap-style:square" from="6857,-844" to="8153,-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" strokeweight=".12pt"/>
                <v:line id="Line 2154" o:spid="_x0000_s1045" style="position:absolute;visibility:visible;mso-wrap-style:square" from="8153,-856" to="8321,-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" strokeweight=".12pt"/>
                <v:line id="Line 2153" o:spid="_x0000_s1046" style="position:absolute;visibility:visible;mso-wrap-style:square" from="8153,-854" to="832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" strokeweight=".12pt"/>
                <v:line id="Line 2152" o:spid="_x0000_s1047" style="position:absolute;visibility:visible;mso-wrap-style:square" from="8153,-851" to="8321,-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" strokeweight=".12pt"/>
                <v:line id="Line 2151" o:spid="_x0000_s1048" style="position:absolute;visibility:visible;mso-wrap-style:square" from="8153,-849" to="8321,-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" strokeweight=".12pt"/>
                <v:line id="Line 2150" o:spid="_x0000_s1049" style="position:absolute;visibility:visible;mso-wrap-style:square" from="8153,-846" to="8321,-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" strokeweight=".12pt"/>
                <v:line id="Line 2149" o:spid="_x0000_s1050" style="position:absolute;visibility:visible;mso-wrap-style:square" from="8153,-844" to="8321,-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" strokeweight=".12pt"/>
                <v:line id="Line 2148" o:spid="_x0000_s1051" style="position:absolute;visibility:visible;mso-wrap-style:square" from="8321,-856" to="9617,-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" strokeweight=".12pt"/>
                <v:line id="Line 2147" o:spid="_x0000_s1052" style="position:absolute;visibility:visible;mso-wrap-style:square" from="8321,-854" to="9617,-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" strokeweight=".12pt"/>
                <v:line id="Line 2146" o:spid="_x0000_s1053" style="position:absolute;visibility:visible;mso-wrap-style:square" from="8321,-851" to="9617,-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" strokeweight=".12pt"/>
                <v:line id="Line 2145" o:spid="_x0000_s1054" style="position:absolute;visibility:visible;mso-wrap-style:square" from="8321,-849" to="9617,-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" strokeweight=".12pt"/>
                <v:line id="Line 2144" o:spid="_x0000_s1055" style="position:absolute;visibility:visible;mso-wrap-style:square" from="8321,-846" to="9617,-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" strokeweight=".12pt"/>
                <v:line id="Line 2143" o:spid="_x0000_s1056" style="position:absolute;visibility:visible;mso-wrap-style:square" from="8321,-844" to="9617,-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" strokeweight=".12pt"/>
                <v:line id="Line 2142" o:spid="_x0000_s1057" style="position:absolute;visibility:visible;mso-wrap-style:square" from="9617,-856" to="10913,-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" strokeweight=".12pt"/>
                <v:line id="Line 2141" o:spid="_x0000_s1058" style="position:absolute;visibility:visible;mso-wrap-style:square" from="9617,-854" to="10913,-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" strokeweight=".12pt"/>
                <v:line id="Line 2140" o:spid="_x0000_s1059" style="position:absolute;visibility:visible;mso-wrap-style:square" from="9617,-851" to="10913,-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" strokeweight=".12pt"/>
                <v:line id="Line 2139" o:spid="_x0000_s1060" style="position:absolute;visibility:visible;mso-wrap-style:square" from="9617,-849" to="10913,-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" strokeweight=".12pt"/>
                <v:line id="Line 2138" o:spid="_x0000_s1061" style="position:absolute;visibility:visible;mso-wrap-style:square" from="9617,-846" to="1091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" strokeweight=".12pt"/>
                <v:line id="Line 2137" o:spid="_x0000_s1062" style="position:absolute;visibility:visible;mso-wrap-style:square" from="9617,-844" to="10913,-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" strokeweight=".12pt"/>
                <w10:wrap anchorx="page"/>
              </v:group>
            </w:pict>
          </mc:Fallback>
        </mc:AlternateContent>
      </w:r>
      <w:r w:rsidR="0015611F">
        <w:t>No loans were made to key management personnel during the financial year (2017: Nil).</w:t>
      </w:r>
    </w:p>
    <w:p w14:paraId="5BE1A8D7" w14:textId="77777777" w:rsidR="00FA4AA8" w:rsidRDefault="00FA4AA8">
      <w:pPr>
        <w:pStyle w:val="BodyText"/>
        <w:rPr>
          <w:sz w:val="25"/>
        </w:rPr>
      </w:pPr>
    </w:p>
    <w:p w14:paraId="7B1737EA" w14:textId="77777777" w:rsidR="00FA4AA8" w:rsidRDefault="0015611F">
      <w:pPr>
        <w:numPr>
          <w:ilvl w:val="0"/>
          <w:numId w:val="91"/>
        </w:numPr>
        <w:tabs>
          <w:tab w:val="left" w:pos="564"/>
        </w:tabs>
        <w:ind w:hanging="397"/>
        <w:rPr>
          <w:b/>
          <w:sz w:val="18"/>
        </w:rPr>
      </w:pPr>
      <w:r>
        <w:rPr>
          <w:b/>
          <w:sz w:val="18"/>
        </w:rPr>
        <w:t>Remuneration of Auditors</w:t>
      </w:r>
    </w:p>
    <w:p w14:paraId="44C8F6DB" w14:textId="77777777" w:rsidR="00FA4AA8" w:rsidRDefault="00FA4AA8">
      <w:pPr>
        <w:pStyle w:val="BodyText"/>
        <w:rPr>
          <w:b/>
          <w:sz w:val="25"/>
        </w:rPr>
      </w:pPr>
    </w:p>
    <w:p w14:paraId="6CB30A4B" w14:textId="77777777" w:rsidR="00FA4AA8" w:rsidRDefault="0015611F">
      <w:pPr>
        <w:pStyle w:val="BodyText"/>
        <w:ind w:left="564"/>
      </w:pPr>
      <w:r>
        <w:t>During the year, the following fees were paid for services provided by the auditor of the entity:</w:t>
      </w:r>
    </w:p>
    <w:p w14:paraId="2B9EDE2D" w14:textId="77777777" w:rsidR="00FA4AA8" w:rsidRDefault="00FA4AA8">
      <w:pPr>
        <w:pStyle w:val="BodyText"/>
        <w:rPr>
          <w:sz w:val="20"/>
        </w:rPr>
      </w:pPr>
    </w:p>
    <w:p w14:paraId="08BE32CD" w14:textId="77777777" w:rsidR="00FA4AA8" w:rsidRDefault="0015611F">
      <w:pPr>
        <w:tabs>
          <w:tab w:val="left" w:pos="8426"/>
        </w:tabs>
        <w:spacing w:before="151"/>
        <w:ind w:left="5376"/>
        <w:rPr>
          <w:b/>
          <w:sz w:val="18"/>
        </w:rPr>
      </w:pPr>
      <w:r>
        <w:rPr>
          <w:b/>
          <w:sz w:val="18"/>
        </w:rPr>
        <w:t>Consolidated</w:t>
      </w:r>
      <w:r>
        <w:rPr>
          <w:b/>
          <w:sz w:val="18"/>
        </w:rPr>
        <w:tab/>
        <w:t>Parent</w:t>
      </w:r>
    </w:p>
    <w:p w14:paraId="03AF9CC5" w14:textId="77777777" w:rsidR="00FA4AA8" w:rsidRDefault="00FA4AA8">
      <w:pPr>
        <w:pStyle w:val="BodyText"/>
        <w:spacing w:before="4"/>
        <w:rPr>
          <w:b/>
          <w:sz w:val="6"/>
        </w:rPr>
      </w:pPr>
    </w:p>
    <w:tbl>
      <w:tblPr>
        <w:tblW w:w="0" w:type="auto"/>
        <w:tblInd w:w="5088" w:type="dxa"/>
        <w:tblLayout w:type="fixed"/>
        <w:tblCellMar>
          <w:left w:w="0" w:type="dxa"/>
          <w:right w:w="0" w:type="dxa"/>
        </w:tblCellMar>
        <w:tblLook w:val="01E0" w:firstRow="1" w:lastRow="1" w:firstColumn="1" w:lastColumn="1" w:noHBand="0" w:noVBand="0"/>
      </w:tblPr>
      <w:tblGrid>
        <w:gridCol w:w="921"/>
        <w:gridCol w:w="1380"/>
        <w:gridCol w:w="1380"/>
        <w:gridCol w:w="921"/>
      </w:tblGrid>
      <w:tr w:rsidR="00FA4AA8" w14:paraId="16FE7BC1" w14:textId="77777777">
        <w:trPr>
          <w:trHeight w:val="237"/>
        </w:trPr>
        <w:tc>
          <w:tcPr>
            <w:tcW w:w="921" w:type="dxa"/>
          </w:tcPr>
          <w:p w14:paraId="031DF12F" w14:textId="77777777" w:rsidR="00FA4AA8" w:rsidRDefault="0015611F">
            <w:pPr>
              <w:pStyle w:val="TableParagraph"/>
              <w:spacing w:line="201" w:lineRule="exact"/>
              <w:ind w:left="71"/>
              <w:rPr>
                <w:b/>
                <w:sz w:val="18"/>
              </w:rPr>
            </w:pPr>
            <w:r>
              <w:rPr>
                <w:b/>
                <w:sz w:val="18"/>
              </w:rPr>
              <w:t>2018</w:t>
            </w:r>
          </w:p>
        </w:tc>
        <w:tc>
          <w:tcPr>
            <w:tcW w:w="1380" w:type="dxa"/>
          </w:tcPr>
          <w:p w14:paraId="2EBA53B8" w14:textId="77777777" w:rsidR="00FA4AA8" w:rsidRDefault="0015611F">
            <w:pPr>
              <w:pStyle w:val="TableParagraph"/>
              <w:spacing w:line="201" w:lineRule="exact"/>
              <w:ind w:left="446"/>
              <w:rPr>
                <w:b/>
                <w:sz w:val="18"/>
              </w:rPr>
            </w:pPr>
            <w:r>
              <w:rPr>
                <w:b/>
                <w:sz w:val="18"/>
              </w:rPr>
              <w:t>2017</w:t>
            </w:r>
          </w:p>
        </w:tc>
        <w:tc>
          <w:tcPr>
            <w:tcW w:w="1380" w:type="dxa"/>
          </w:tcPr>
          <w:p w14:paraId="3D2A83CD" w14:textId="77777777" w:rsidR="00FA4AA8" w:rsidRDefault="0015611F">
            <w:pPr>
              <w:pStyle w:val="TableParagraph"/>
              <w:spacing w:line="201" w:lineRule="exact"/>
              <w:ind w:left="447" w:right="363"/>
              <w:jc w:val="center"/>
              <w:rPr>
                <w:b/>
                <w:sz w:val="18"/>
              </w:rPr>
            </w:pPr>
            <w:r>
              <w:rPr>
                <w:b/>
                <w:sz w:val="18"/>
              </w:rPr>
              <w:t>2018</w:t>
            </w:r>
          </w:p>
        </w:tc>
        <w:tc>
          <w:tcPr>
            <w:tcW w:w="921" w:type="dxa"/>
          </w:tcPr>
          <w:p w14:paraId="230F24AB" w14:textId="77777777" w:rsidR="00FA4AA8" w:rsidRDefault="0015611F">
            <w:pPr>
              <w:pStyle w:val="TableParagraph"/>
              <w:spacing w:line="201" w:lineRule="exact"/>
              <w:ind w:right="69"/>
              <w:jc w:val="right"/>
              <w:rPr>
                <w:b/>
                <w:sz w:val="18"/>
              </w:rPr>
            </w:pPr>
            <w:r>
              <w:rPr>
                <w:b/>
                <w:sz w:val="18"/>
              </w:rPr>
              <w:t>2017</w:t>
            </w:r>
          </w:p>
        </w:tc>
      </w:tr>
      <w:tr w:rsidR="00FA4AA8" w14:paraId="5168877B" w14:textId="77777777">
        <w:trPr>
          <w:trHeight w:val="237"/>
        </w:trPr>
        <w:tc>
          <w:tcPr>
            <w:tcW w:w="921" w:type="dxa"/>
          </w:tcPr>
          <w:p w14:paraId="3BDE6777" w14:textId="77777777" w:rsidR="00FA4AA8" w:rsidRDefault="0015611F">
            <w:pPr>
              <w:pStyle w:val="TableParagraph"/>
              <w:spacing w:before="30" w:line="187" w:lineRule="exact"/>
              <w:ind w:left="50"/>
              <w:rPr>
                <w:b/>
                <w:sz w:val="18"/>
              </w:rPr>
            </w:pPr>
            <w:r>
              <w:rPr>
                <w:b/>
                <w:sz w:val="18"/>
              </w:rPr>
              <w:t>$'000</w:t>
            </w:r>
          </w:p>
        </w:tc>
        <w:tc>
          <w:tcPr>
            <w:tcW w:w="1380" w:type="dxa"/>
          </w:tcPr>
          <w:p w14:paraId="5E341D97" w14:textId="77777777" w:rsidR="00FA4AA8" w:rsidRDefault="0015611F">
            <w:pPr>
              <w:pStyle w:val="TableParagraph"/>
              <w:spacing w:before="30" w:line="187" w:lineRule="exact"/>
              <w:ind w:left="425"/>
              <w:rPr>
                <w:b/>
                <w:sz w:val="18"/>
              </w:rPr>
            </w:pPr>
            <w:r>
              <w:rPr>
                <w:b/>
                <w:sz w:val="18"/>
              </w:rPr>
              <w:t>$'000</w:t>
            </w:r>
          </w:p>
        </w:tc>
        <w:tc>
          <w:tcPr>
            <w:tcW w:w="1380" w:type="dxa"/>
          </w:tcPr>
          <w:p w14:paraId="10601023" w14:textId="77777777" w:rsidR="00FA4AA8" w:rsidRDefault="0015611F">
            <w:pPr>
              <w:pStyle w:val="TableParagraph"/>
              <w:spacing w:before="30" w:line="187" w:lineRule="exact"/>
              <w:ind w:left="447" w:right="363"/>
              <w:jc w:val="center"/>
              <w:rPr>
                <w:b/>
                <w:sz w:val="18"/>
              </w:rPr>
            </w:pPr>
            <w:r>
              <w:rPr>
                <w:b/>
                <w:sz w:val="18"/>
              </w:rPr>
              <w:t>$'000</w:t>
            </w:r>
          </w:p>
        </w:tc>
        <w:tc>
          <w:tcPr>
            <w:tcW w:w="921" w:type="dxa"/>
          </w:tcPr>
          <w:p w14:paraId="5057BFDE" w14:textId="77777777" w:rsidR="00FA4AA8" w:rsidRDefault="0015611F">
            <w:pPr>
              <w:pStyle w:val="TableParagraph"/>
              <w:spacing w:before="30" w:line="187" w:lineRule="exact"/>
              <w:ind w:right="47"/>
              <w:jc w:val="right"/>
              <w:rPr>
                <w:b/>
                <w:sz w:val="18"/>
              </w:rPr>
            </w:pPr>
            <w:r>
              <w:rPr>
                <w:b/>
                <w:sz w:val="18"/>
              </w:rPr>
              <w:t>$'000</w:t>
            </w:r>
          </w:p>
        </w:tc>
      </w:tr>
    </w:tbl>
    <w:p w14:paraId="32225FBD" w14:textId="77777777" w:rsidR="00FA4AA8" w:rsidRDefault="00FA4AA8">
      <w:pPr>
        <w:pStyle w:val="BodyText"/>
        <w:spacing w:before="2"/>
        <w:rPr>
          <w:b/>
          <w:sz w:val="13"/>
        </w:rPr>
      </w:pPr>
    </w:p>
    <w:p w14:paraId="6BBF9845" w14:textId="77777777" w:rsidR="00FA4AA8" w:rsidRDefault="00FA4AA8">
      <w:pPr>
        <w:pStyle w:val="BodyText"/>
        <w:spacing w:before="7"/>
        <w:rPr>
          <w:b/>
          <w:sz w:val="2"/>
        </w:rPr>
      </w:pPr>
    </w:p>
    <w:tbl>
      <w:tblPr>
        <w:tblW w:w="0" w:type="auto"/>
        <w:tblInd w:w="547" w:type="dxa"/>
        <w:tblLayout w:type="fixed"/>
        <w:tblCellMar>
          <w:left w:w="0" w:type="dxa"/>
          <w:right w:w="0" w:type="dxa"/>
        </w:tblCellMar>
        <w:tblLook w:val="01E0" w:firstRow="1" w:lastRow="1" w:firstColumn="1" w:lastColumn="1" w:noHBand="0" w:noVBand="0"/>
      </w:tblPr>
      <w:tblGrid>
        <w:gridCol w:w="4012"/>
        <w:gridCol w:w="1874"/>
        <w:gridCol w:w="1380"/>
        <w:gridCol w:w="1380"/>
        <w:gridCol w:w="886"/>
      </w:tblGrid>
      <w:tr w:rsidR="00FA4AA8" w14:paraId="60AA49CF" w14:textId="77777777">
        <w:trPr>
          <w:trHeight w:val="641"/>
        </w:trPr>
        <w:tc>
          <w:tcPr>
            <w:tcW w:w="4012" w:type="dxa"/>
          </w:tcPr>
          <w:p w14:paraId="30417B44" w14:textId="77777777" w:rsidR="00FA4AA8" w:rsidRDefault="0015611F">
            <w:pPr>
              <w:pStyle w:val="TableParagraph"/>
              <w:ind w:left="50" w:right="1131"/>
              <w:rPr>
                <w:b/>
                <w:sz w:val="18"/>
              </w:rPr>
            </w:pPr>
            <w:r>
              <w:rPr>
                <w:b/>
                <w:sz w:val="18"/>
              </w:rPr>
              <w:t>Audit and review of the Financial Statements</w:t>
            </w:r>
          </w:p>
          <w:p w14:paraId="5B229E44" w14:textId="77777777" w:rsidR="00FA4AA8" w:rsidRDefault="0015611F">
            <w:pPr>
              <w:pStyle w:val="TableParagraph"/>
              <w:spacing w:before="19" w:line="188" w:lineRule="exact"/>
              <w:ind w:left="50"/>
              <w:rPr>
                <w:sz w:val="18"/>
              </w:rPr>
            </w:pPr>
            <w:r>
              <w:rPr>
                <w:sz w:val="18"/>
              </w:rPr>
              <w:t>Fees paid to the Audit Office of New</w:t>
            </w:r>
          </w:p>
        </w:tc>
        <w:tc>
          <w:tcPr>
            <w:tcW w:w="5520" w:type="dxa"/>
            <w:gridSpan w:val="4"/>
          </w:tcPr>
          <w:p w14:paraId="5A1E8A3E" w14:textId="77777777" w:rsidR="00FA4AA8" w:rsidRDefault="00FA4AA8">
            <w:pPr>
              <w:pStyle w:val="TableParagraph"/>
              <w:rPr>
                <w:rFonts w:ascii="Times New Roman"/>
                <w:sz w:val="18"/>
              </w:rPr>
            </w:pPr>
          </w:p>
        </w:tc>
      </w:tr>
      <w:tr w:rsidR="00FA4AA8" w14:paraId="40F74EB6" w14:textId="77777777">
        <w:trPr>
          <w:trHeight w:val="227"/>
        </w:trPr>
        <w:tc>
          <w:tcPr>
            <w:tcW w:w="4012" w:type="dxa"/>
          </w:tcPr>
          <w:p w14:paraId="7FDE6981" w14:textId="77777777" w:rsidR="00FA4AA8" w:rsidRDefault="0015611F">
            <w:pPr>
              <w:pStyle w:val="TableParagraph"/>
              <w:spacing w:line="205" w:lineRule="exact"/>
              <w:ind w:left="50"/>
              <w:rPr>
                <w:sz w:val="18"/>
              </w:rPr>
            </w:pPr>
            <w:bookmarkStart w:id="62" w:name="30_Contingencies_"/>
            <w:bookmarkEnd w:id="62"/>
            <w:r>
              <w:rPr>
                <w:sz w:val="18"/>
              </w:rPr>
              <w:t>South Wales</w:t>
            </w:r>
          </w:p>
        </w:tc>
        <w:tc>
          <w:tcPr>
            <w:tcW w:w="1874" w:type="dxa"/>
            <w:tcBorders>
              <w:bottom w:val="single" w:sz="8" w:space="0" w:color="000000"/>
            </w:tcBorders>
          </w:tcPr>
          <w:p w14:paraId="12827BDE" w14:textId="77777777" w:rsidR="00FA4AA8" w:rsidRDefault="0015611F">
            <w:pPr>
              <w:pStyle w:val="TableParagraph"/>
              <w:spacing w:line="203" w:lineRule="exact"/>
              <w:ind w:right="494"/>
              <w:jc w:val="right"/>
              <w:rPr>
                <w:b/>
                <w:sz w:val="18"/>
              </w:rPr>
            </w:pPr>
            <w:r>
              <w:rPr>
                <w:b/>
                <w:sz w:val="18"/>
              </w:rPr>
              <w:t>407</w:t>
            </w:r>
          </w:p>
        </w:tc>
        <w:tc>
          <w:tcPr>
            <w:tcW w:w="1380" w:type="dxa"/>
            <w:tcBorders>
              <w:bottom w:val="single" w:sz="8" w:space="0" w:color="000000"/>
            </w:tcBorders>
          </w:tcPr>
          <w:p w14:paraId="32D6ACD2" w14:textId="77777777" w:rsidR="00FA4AA8" w:rsidRDefault="0015611F">
            <w:pPr>
              <w:pStyle w:val="TableParagraph"/>
              <w:spacing w:line="203" w:lineRule="exact"/>
              <w:ind w:left="497"/>
              <w:rPr>
                <w:sz w:val="18"/>
              </w:rPr>
            </w:pPr>
            <w:r>
              <w:rPr>
                <w:sz w:val="18"/>
              </w:rPr>
              <w:t>389</w:t>
            </w:r>
          </w:p>
        </w:tc>
        <w:tc>
          <w:tcPr>
            <w:tcW w:w="1380" w:type="dxa"/>
            <w:tcBorders>
              <w:bottom w:val="single" w:sz="8" w:space="0" w:color="000000"/>
            </w:tcBorders>
          </w:tcPr>
          <w:p w14:paraId="70B0BE77" w14:textId="77777777" w:rsidR="00FA4AA8" w:rsidRDefault="0015611F">
            <w:pPr>
              <w:pStyle w:val="TableParagraph"/>
              <w:spacing w:line="203" w:lineRule="exact"/>
              <w:ind w:right="494"/>
              <w:jc w:val="right"/>
              <w:rPr>
                <w:b/>
                <w:sz w:val="18"/>
              </w:rPr>
            </w:pPr>
            <w:r>
              <w:rPr>
                <w:b/>
                <w:sz w:val="18"/>
              </w:rPr>
              <w:t>291</w:t>
            </w:r>
          </w:p>
        </w:tc>
        <w:tc>
          <w:tcPr>
            <w:tcW w:w="886" w:type="dxa"/>
            <w:tcBorders>
              <w:bottom w:val="single" w:sz="8" w:space="0" w:color="000000"/>
            </w:tcBorders>
          </w:tcPr>
          <w:p w14:paraId="4787D4B0" w14:textId="77777777" w:rsidR="00FA4AA8" w:rsidRDefault="0015611F">
            <w:pPr>
              <w:pStyle w:val="TableParagraph"/>
              <w:spacing w:line="203" w:lineRule="exact"/>
              <w:ind w:right="84"/>
              <w:jc w:val="right"/>
              <w:rPr>
                <w:sz w:val="18"/>
              </w:rPr>
            </w:pPr>
            <w:r>
              <w:rPr>
                <w:sz w:val="18"/>
              </w:rPr>
              <w:t>283</w:t>
            </w:r>
          </w:p>
        </w:tc>
      </w:tr>
      <w:tr w:rsidR="00FA4AA8" w14:paraId="3AE14375" w14:textId="77777777">
        <w:trPr>
          <w:trHeight w:val="295"/>
        </w:trPr>
        <w:tc>
          <w:tcPr>
            <w:tcW w:w="4012" w:type="dxa"/>
          </w:tcPr>
          <w:p w14:paraId="6A936FBC" w14:textId="77777777" w:rsidR="00FA4AA8" w:rsidRDefault="0015611F">
            <w:pPr>
              <w:pStyle w:val="TableParagraph"/>
              <w:spacing w:before="105" w:line="161" w:lineRule="exact"/>
              <w:ind w:left="50"/>
              <w:rPr>
                <w:b/>
                <w:sz w:val="18"/>
              </w:rPr>
            </w:pPr>
            <w:r>
              <w:rPr>
                <w:b/>
                <w:sz w:val="18"/>
              </w:rPr>
              <w:t>Total paid for audit and review</w:t>
            </w:r>
          </w:p>
        </w:tc>
        <w:tc>
          <w:tcPr>
            <w:tcW w:w="1874" w:type="dxa"/>
            <w:tcBorders>
              <w:bottom w:val="single" w:sz="24" w:space="0" w:color="000000"/>
            </w:tcBorders>
          </w:tcPr>
          <w:p w14:paraId="35327469" w14:textId="77777777" w:rsidR="00FA4AA8" w:rsidRDefault="0015611F">
            <w:pPr>
              <w:pStyle w:val="TableParagraph"/>
              <w:tabs>
                <w:tab w:val="left" w:pos="1075"/>
              </w:tabs>
              <w:spacing w:before="105" w:line="161" w:lineRule="exact"/>
              <w:ind w:right="494"/>
              <w:jc w:val="right"/>
              <w:rPr>
                <w:b/>
                <w:sz w:val="18"/>
              </w:rPr>
            </w:pPr>
            <w:r>
              <w:rPr>
                <w:rFonts w:ascii="Times New Roman"/>
                <w:sz w:val="18"/>
                <w:u w:val="single"/>
              </w:rPr>
              <w:t xml:space="preserve"> </w:t>
            </w:r>
            <w:r>
              <w:rPr>
                <w:rFonts w:ascii="Times New Roman"/>
                <w:sz w:val="18"/>
                <w:u w:val="single"/>
              </w:rPr>
              <w:tab/>
            </w:r>
            <w:r>
              <w:rPr>
                <w:b/>
                <w:spacing w:val="-6"/>
                <w:sz w:val="18"/>
                <w:u w:val="single"/>
              </w:rPr>
              <w:t>407</w:t>
            </w:r>
          </w:p>
        </w:tc>
        <w:tc>
          <w:tcPr>
            <w:tcW w:w="1380" w:type="dxa"/>
            <w:tcBorders>
              <w:bottom w:val="single" w:sz="6" w:space="0" w:color="000000"/>
            </w:tcBorders>
          </w:tcPr>
          <w:p w14:paraId="6BA8B64F" w14:textId="77777777" w:rsidR="00FA4AA8" w:rsidRDefault="0015611F">
            <w:pPr>
              <w:pStyle w:val="TableParagraph"/>
              <w:spacing w:before="105" w:line="161" w:lineRule="exact"/>
              <w:ind w:left="497"/>
              <w:rPr>
                <w:sz w:val="18"/>
              </w:rPr>
            </w:pPr>
            <w:r>
              <w:rPr>
                <w:sz w:val="18"/>
              </w:rPr>
              <w:t>389</w:t>
            </w:r>
          </w:p>
        </w:tc>
        <w:tc>
          <w:tcPr>
            <w:tcW w:w="1380" w:type="dxa"/>
            <w:tcBorders>
              <w:bottom w:val="single" w:sz="6" w:space="0" w:color="000000"/>
            </w:tcBorders>
          </w:tcPr>
          <w:p w14:paraId="4266F08E" w14:textId="77777777" w:rsidR="00FA4AA8" w:rsidRDefault="0015611F">
            <w:pPr>
              <w:pStyle w:val="TableParagraph"/>
              <w:spacing w:before="105" w:line="161" w:lineRule="exact"/>
              <w:ind w:right="494"/>
              <w:jc w:val="right"/>
              <w:rPr>
                <w:b/>
                <w:sz w:val="18"/>
              </w:rPr>
            </w:pPr>
            <w:r>
              <w:rPr>
                <w:b/>
                <w:sz w:val="18"/>
              </w:rPr>
              <w:t>291</w:t>
            </w:r>
          </w:p>
        </w:tc>
        <w:tc>
          <w:tcPr>
            <w:tcW w:w="886" w:type="dxa"/>
            <w:tcBorders>
              <w:bottom w:val="single" w:sz="4" w:space="0" w:color="000000"/>
            </w:tcBorders>
          </w:tcPr>
          <w:p w14:paraId="02275B2B" w14:textId="77777777" w:rsidR="00FA4AA8" w:rsidRDefault="0015611F">
            <w:pPr>
              <w:pStyle w:val="TableParagraph"/>
              <w:spacing w:before="105" w:line="161" w:lineRule="exact"/>
              <w:ind w:right="84"/>
              <w:jc w:val="right"/>
              <w:rPr>
                <w:sz w:val="18"/>
              </w:rPr>
            </w:pPr>
            <w:r>
              <w:rPr>
                <w:sz w:val="18"/>
              </w:rPr>
              <w:t>283</w:t>
            </w:r>
          </w:p>
        </w:tc>
      </w:tr>
    </w:tbl>
    <w:p w14:paraId="6EE5BA3E" w14:textId="77777777" w:rsidR="00FA4AA8" w:rsidRDefault="007E2441">
      <w:pPr>
        <w:pStyle w:val="BodyText"/>
        <w:spacing w:line="20" w:lineRule="exact"/>
        <w:ind w:left="4718"/>
        <w:rPr>
          <w:sz w:val="2"/>
        </w:rPr>
      </w:pPr>
      <w:r>
        <w:rPr>
          <w:noProof/>
          <w:sz w:val="2"/>
          <w:lang w:val="en-AU" w:eastAsia="en-AU"/>
        </w:rPr>
        <mc:AlternateContent>
          <mc:Choice Requires="wpg">
            <w:drawing>
              <wp:inline distT="0" distB="0" distL="0" distR="0" wp14:anchorId="7742ED54" wp14:editId="5D97A35A">
                <wp:extent cx="3398520" cy="9525"/>
                <wp:effectExtent l="9525" t="8890" r="11430" b="10160"/>
                <wp:docPr id="2342" name="Group 2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8520" cy="9525"/>
                          <a:chOff x="0" y="0"/>
                          <a:chExt cx="5352" cy="15"/>
                        </a:xfrm>
                      </wpg:grpSpPr>
                      <wps:wsp>
                        <wps:cNvPr id="2343" name="Line 2135"/>
                        <wps:cNvCnPr>
                          <a:cxnSpLocks noChangeShapeType="1"/>
                        </wps:cNvCnPr>
                        <wps:spPr bwMode="auto">
                          <a:xfrm>
                            <a:off x="0" y="4"/>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344" name="Line 2134"/>
                        <wps:cNvCnPr>
                          <a:cxnSpLocks noChangeShapeType="1"/>
                        </wps:cNvCnPr>
                        <wps:spPr bwMode="auto">
                          <a:xfrm>
                            <a:off x="0" y="1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345" name="Line 2133"/>
                        <wps:cNvCnPr>
                          <a:cxnSpLocks noChangeShapeType="1"/>
                        </wps:cNvCnPr>
                        <wps:spPr bwMode="auto">
                          <a:xfrm>
                            <a:off x="0" y="1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346" name="Line 2132"/>
                        <wps:cNvCnPr>
                          <a:cxnSpLocks noChangeShapeType="1"/>
                        </wps:cNvCnPr>
                        <wps:spPr bwMode="auto">
                          <a:xfrm>
                            <a:off x="1296" y="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347" name="Line 2131"/>
                        <wps:cNvCnPr>
                          <a:cxnSpLocks noChangeShapeType="1"/>
                        </wps:cNvCnPr>
                        <wps:spPr bwMode="auto">
                          <a:xfrm>
                            <a:off x="1296" y="4"/>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348" name="Line 2130"/>
                        <wps:cNvCnPr>
                          <a:cxnSpLocks noChangeShapeType="1"/>
                        </wps:cNvCnPr>
                        <wps:spPr bwMode="auto">
                          <a:xfrm>
                            <a:off x="1296" y="6"/>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349" name="Line 2129"/>
                        <wps:cNvCnPr>
                          <a:cxnSpLocks noChangeShapeType="1"/>
                        </wps:cNvCnPr>
                        <wps:spPr bwMode="auto">
                          <a:xfrm>
                            <a:off x="1296" y="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350" name="Line 2128"/>
                        <wps:cNvCnPr>
                          <a:cxnSpLocks noChangeShapeType="1"/>
                        </wps:cNvCnPr>
                        <wps:spPr bwMode="auto">
                          <a:xfrm>
                            <a:off x="1296" y="1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351" name="Line 2127"/>
                        <wps:cNvCnPr>
                          <a:cxnSpLocks noChangeShapeType="1"/>
                        </wps:cNvCnPr>
                        <wps:spPr bwMode="auto">
                          <a:xfrm>
                            <a:off x="1296" y="1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352" name="Line 2126"/>
                        <wps:cNvCnPr>
                          <a:cxnSpLocks noChangeShapeType="1"/>
                        </wps:cNvCnPr>
                        <wps:spPr bwMode="auto">
                          <a:xfrm>
                            <a:off x="2592" y="1"/>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353" name="Line 2125"/>
                        <wps:cNvCnPr>
                          <a:cxnSpLocks noChangeShapeType="1"/>
                        </wps:cNvCnPr>
                        <wps:spPr bwMode="auto">
                          <a:xfrm>
                            <a:off x="2592" y="4"/>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354" name="Line 2124"/>
                        <wps:cNvCnPr>
                          <a:cxnSpLocks noChangeShapeType="1"/>
                        </wps:cNvCnPr>
                        <wps:spPr bwMode="auto">
                          <a:xfrm>
                            <a:off x="2592" y="6"/>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355" name="Line 2123"/>
                        <wps:cNvCnPr>
                          <a:cxnSpLocks noChangeShapeType="1"/>
                        </wps:cNvCnPr>
                        <wps:spPr bwMode="auto">
                          <a:xfrm>
                            <a:off x="2592" y="8"/>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356" name="Line 2122"/>
                        <wps:cNvCnPr>
                          <a:cxnSpLocks noChangeShapeType="1"/>
                        </wps:cNvCnPr>
                        <wps:spPr bwMode="auto">
                          <a:xfrm>
                            <a:off x="2592" y="11"/>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357" name="Line 2121"/>
                        <wps:cNvCnPr>
                          <a:cxnSpLocks noChangeShapeType="1"/>
                        </wps:cNvCnPr>
                        <wps:spPr bwMode="auto">
                          <a:xfrm>
                            <a:off x="2592" y="13"/>
                            <a:ext cx="16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358" name="Line 2120"/>
                        <wps:cNvCnPr>
                          <a:cxnSpLocks noChangeShapeType="1"/>
                        </wps:cNvCnPr>
                        <wps:spPr bwMode="auto">
                          <a:xfrm>
                            <a:off x="2760" y="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359" name="Line 2119"/>
                        <wps:cNvCnPr>
                          <a:cxnSpLocks noChangeShapeType="1"/>
                        </wps:cNvCnPr>
                        <wps:spPr bwMode="auto">
                          <a:xfrm>
                            <a:off x="2760" y="4"/>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360" name="Line 2118"/>
                        <wps:cNvCnPr>
                          <a:cxnSpLocks noChangeShapeType="1"/>
                        </wps:cNvCnPr>
                        <wps:spPr bwMode="auto">
                          <a:xfrm>
                            <a:off x="2760" y="6"/>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361" name="Line 2117"/>
                        <wps:cNvCnPr>
                          <a:cxnSpLocks noChangeShapeType="1"/>
                        </wps:cNvCnPr>
                        <wps:spPr bwMode="auto">
                          <a:xfrm>
                            <a:off x="2760" y="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362" name="Line 2116"/>
                        <wps:cNvCnPr>
                          <a:cxnSpLocks noChangeShapeType="1"/>
                        </wps:cNvCnPr>
                        <wps:spPr bwMode="auto">
                          <a:xfrm>
                            <a:off x="2760" y="1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363" name="Line 2115"/>
                        <wps:cNvCnPr>
                          <a:cxnSpLocks noChangeShapeType="1"/>
                        </wps:cNvCnPr>
                        <wps:spPr bwMode="auto">
                          <a:xfrm>
                            <a:off x="2760" y="1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364" name="Line 2114"/>
                        <wps:cNvCnPr>
                          <a:cxnSpLocks noChangeShapeType="1"/>
                        </wps:cNvCnPr>
                        <wps:spPr bwMode="auto">
                          <a:xfrm>
                            <a:off x="4056" y="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365" name="Line 2113"/>
                        <wps:cNvCnPr>
                          <a:cxnSpLocks noChangeShapeType="1"/>
                        </wps:cNvCnPr>
                        <wps:spPr bwMode="auto">
                          <a:xfrm>
                            <a:off x="4056" y="4"/>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366" name="Line 2112"/>
                        <wps:cNvCnPr>
                          <a:cxnSpLocks noChangeShapeType="1"/>
                        </wps:cNvCnPr>
                        <wps:spPr bwMode="auto">
                          <a:xfrm>
                            <a:off x="4056" y="6"/>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367" name="Line 2111"/>
                        <wps:cNvCnPr>
                          <a:cxnSpLocks noChangeShapeType="1"/>
                        </wps:cNvCnPr>
                        <wps:spPr bwMode="auto">
                          <a:xfrm>
                            <a:off x="4056" y="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368" name="Line 2110"/>
                        <wps:cNvCnPr>
                          <a:cxnSpLocks noChangeShapeType="1"/>
                        </wps:cNvCnPr>
                        <wps:spPr bwMode="auto">
                          <a:xfrm>
                            <a:off x="4056" y="1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369" name="Line 2109"/>
                        <wps:cNvCnPr>
                          <a:cxnSpLocks noChangeShapeType="1"/>
                        </wps:cNvCnPr>
                        <wps:spPr bwMode="auto">
                          <a:xfrm>
                            <a:off x="4056" y="1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FABFE1B" id="Group 2108" o:spid="_x0000_s1026" style="width:267.6pt;height:.75pt;mso-position-horizontal-relative:char;mso-position-vertical-relative:line" coordsize="53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">
                <v:line id="Line 2135" o:spid="_x0000_s1027" style="position:absolute;visibility:visible;mso-wrap-style:square" from="0,4" to="12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" strokeweight=".12pt"/>
                <v:line id="Line 2134" o:spid="_x0000_s1028" style="position:absolute;visibility:visible;mso-wrap-style:square" from="0,11" to="12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" strokeweight=".12pt"/>
                <v:line id="Line 2133" o:spid="_x0000_s1029" style="position:absolute;visibility:visible;mso-wrap-style:square" from="0,13" to="129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" strokeweight=".12pt"/>
                <v:line id="Line 2132" o:spid="_x0000_s1030" style="position:absolute;visibility:visible;mso-wrap-style:square" from="1296,1" to="25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" strokeweight=".12pt"/>
                <v:line id="Line 2131" o:spid="_x0000_s1031" style="position:absolute;visibility:visible;mso-wrap-style:square" from="1296,4" to="25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" strokeweight=".12pt"/>
                <v:line id="Line 2130" o:spid="_x0000_s1032" style="position:absolute;visibility:visible;mso-wrap-style:square" from="1296,6" to="25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" strokeweight=".12pt"/>
                <v:line id="Line 2129" o:spid="_x0000_s1033" style="position:absolute;visibility:visible;mso-wrap-style:square" from="1296,8" to="25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" strokeweight=".12pt"/>
                <v:line id="Line 2128" o:spid="_x0000_s1034" style="position:absolute;visibility:visible;mso-wrap-style:square" from="1296,11" to="259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" strokeweight=".12pt"/>
                <v:line id="Line 2127" o:spid="_x0000_s1035" style="position:absolute;visibility:visible;mso-wrap-style:square" from="1296,13" to="259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" strokeweight=".12pt"/>
                <v:line id="Line 2126" o:spid="_x0000_s1036" style="position:absolute;visibility:visible;mso-wrap-style:square" from="2592,1" to="27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" strokeweight=".12pt"/>
                <v:line id="Line 2125" o:spid="_x0000_s1037" style="position:absolute;visibility:visible;mso-wrap-style:square" from="2592,4" to="27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" strokeweight=".12pt"/>
                <v:line id="Line 2124" o:spid="_x0000_s1038" style="position:absolute;visibility:visible;mso-wrap-style:square" from="2592,6" to="27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" strokeweight=".12pt"/>
                <v:line id="Line 2123" o:spid="_x0000_s1039" style="position:absolute;visibility:visible;mso-wrap-style:square" from="2592,8" to="27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" strokeweight=".12pt"/>
                <v:line id="Line 2122" o:spid="_x0000_s1040" style="position:absolute;visibility:visible;mso-wrap-style:square" from="2592,11" to="276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" strokeweight=".12pt"/>
                <v:line id="Line 2121" o:spid="_x0000_s1041" style="position:absolute;visibility:visible;mso-wrap-style:square" from="2592,13" to="276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" strokeweight=".12pt"/>
                <v:line id="Line 2120" o:spid="_x0000_s1042" style="position:absolute;visibility:visible;mso-wrap-style:square" from="2760,1" to="40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" strokeweight=".12pt"/>
                <v:line id="Line 2119" o:spid="_x0000_s1043" style="position:absolute;visibility:visible;mso-wrap-style:square" from="2760,4" to="40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" strokeweight=".12pt"/>
                <v:line id="Line 2118" o:spid="_x0000_s1044" style="position:absolute;visibility:visible;mso-wrap-style:square" from="2760,6" to="40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" strokeweight=".12pt"/>
                <v:line id="Line 2117" o:spid="_x0000_s1045" style="position:absolute;visibility:visible;mso-wrap-style:square" from="2760,8" to="40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" strokeweight=".12pt"/>
                <v:line id="Line 2116" o:spid="_x0000_s1046" style="position:absolute;visibility:visible;mso-wrap-style:square" from="2760,11" to="405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" strokeweight=".12pt"/>
                <v:line id="Line 2115" o:spid="_x0000_s1047" style="position:absolute;visibility:visible;mso-wrap-style:square" from="2760,13" to="405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" strokeweight=".12pt"/>
                <v:line id="Line 2114" o:spid="_x0000_s1048" style="position:absolute;visibility:visible;mso-wrap-style:square" from="4056,1" to="5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" strokeweight=".12pt"/>
                <v:line id="Line 2113" o:spid="_x0000_s1049" style="position:absolute;visibility:visible;mso-wrap-style:square" from="4056,4" to="5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" strokeweight=".12pt"/>
                <v:line id="Line 2112" o:spid="_x0000_s1050" style="position:absolute;visibility:visible;mso-wrap-style:square" from="4056,6" to="53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" strokeweight=".12pt"/>
                <v:line id="Line 2111" o:spid="_x0000_s1051" style="position:absolute;visibility:visible;mso-wrap-style:square" from="4056,8" to="5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" strokeweight=".12pt"/>
                <v:line id="Line 2110" o:spid="_x0000_s1052" style="position:absolute;visibility:visible;mso-wrap-style:square" from="4056,11" to="535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" strokeweight=".12pt"/>
                <v:line id="Line 2109" o:spid="_x0000_s1053" style="position:absolute;visibility:visible;mso-wrap-style:square" from="4056,13" to="535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" strokeweight=".12pt"/>
                <w10:anchorlock/>
              </v:group>
            </w:pict>
          </mc:Fallback>
        </mc:AlternateContent>
      </w:r>
    </w:p>
    <w:p w14:paraId="7E26CC17" w14:textId="77777777" w:rsidR="00FA4AA8" w:rsidRDefault="00FA4AA8">
      <w:pPr>
        <w:pStyle w:val="BodyText"/>
        <w:spacing w:before="1"/>
        <w:rPr>
          <w:b/>
          <w:sz w:val="23"/>
        </w:rPr>
      </w:pPr>
    </w:p>
    <w:p w14:paraId="31707A07" w14:textId="77777777" w:rsidR="00FA4AA8" w:rsidRDefault="0015611F">
      <w:pPr>
        <w:pStyle w:val="BodyText"/>
        <w:ind w:left="564"/>
      </w:pPr>
      <w:bookmarkStart w:id="63" w:name="(a)_Contingent_liabilities"/>
      <w:bookmarkEnd w:id="63"/>
      <w:r>
        <w:t>Fees shown are exclusive of Goods and Services Tax.</w:t>
      </w:r>
    </w:p>
    <w:p w14:paraId="43063922" w14:textId="77777777" w:rsidR="00FA4AA8" w:rsidRDefault="00FA4AA8">
      <w:pPr>
        <w:pStyle w:val="BodyText"/>
        <w:rPr>
          <w:sz w:val="25"/>
        </w:rPr>
      </w:pPr>
    </w:p>
    <w:p w14:paraId="60CA97FA" w14:textId="77777777" w:rsidR="00FA4AA8" w:rsidRDefault="0015611F">
      <w:pPr>
        <w:numPr>
          <w:ilvl w:val="0"/>
          <w:numId w:val="91"/>
        </w:numPr>
        <w:tabs>
          <w:tab w:val="left" w:pos="564"/>
        </w:tabs>
        <w:ind w:hanging="397"/>
        <w:rPr>
          <w:b/>
          <w:sz w:val="18"/>
        </w:rPr>
      </w:pPr>
      <w:r>
        <w:rPr>
          <w:b/>
          <w:sz w:val="18"/>
        </w:rPr>
        <w:t>Contingencies</w:t>
      </w:r>
    </w:p>
    <w:p w14:paraId="57354EBA" w14:textId="77777777" w:rsidR="00FA4AA8" w:rsidRDefault="00FA4AA8">
      <w:pPr>
        <w:pStyle w:val="BodyText"/>
        <w:spacing w:before="8"/>
        <w:rPr>
          <w:b/>
          <w:sz w:val="26"/>
        </w:rPr>
      </w:pPr>
    </w:p>
    <w:p w14:paraId="331A078B" w14:textId="77777777" w:rsidR="00FA4AA8" w:rsidRDefault="0015611F">
      <w:pPr>
        <w:ind w:left="167"/>
        <w:rPr>
          <w:b/>
          <w:sz w:val="18"/>
        </w:rPr>
      </w:pPr>
      <w:r>
        <w:rPr>
          <w:b/>
          <w:sz w:val="18"/>
        </w:rPr>
        <w:t>(a)    Contingent</w:t>
      </w:r>
      <w:r>
        <w:rPr>
          <w:b/>
          <w:spacing w:val="-25"/>
          <w:sz w:val="18"/>
        </w:rPr>
        <w:t xml:space="preserve"> </w:t>
      </w:r>
      <w:r>
        <w:rPr>
          <w:b/>
          <w:sz w:val="18"/>
        </w:rPr>
        <w:t>liabilities</w:t>
      </w:r>
    </w:p>
    <w:p w14:paraId="08A02E66" w14:textId="77777777" w:rsidR="00FA4AA8" w:rsidRDefault="00FA4AA8">
      <w:pPr>
        <w:pStyle w:val="BodyText"/>
        <w:spacing w:before="4"/>
        <w:rPr>
          <w:b/>
          <w:sz w:val="25"/>
        </w:rPr>
      </w:pPr>
    </w:p>
    <w:p w14:paraId="0420BCCD" w14:textId="77777777" w:rsidR="00FA4AA8" w:rsidRDefault="0015611F">
      <w:pPr>
        <w:pStyle w:val="BodyText"/>
        <w:spacing w:before="1"/>
        <w:ind w:left="564" w:right="220"/>
      </w:pPr>
      <w:r>
        <w:t>It is the University's current policy to provide both Western Unlimited Ltd and Western Sydney University International College Pty Ltd with such support and assistance as may be required to allow them to meet their financial obligations in conformity with generally accepted standards of commercial and financial prudence for the period 1 January 2018 up until approximately twelve months from the date of the signed financial statements to the expected date of the auditor's report for the next annual reporting period.</w:t>
      </w:r>
    </w:p>
    <w:p w14:paraId="76F7AB5B" w14:textId="77777777" w:rsidR="00FA4AA8" w:rsidRDefault="00FA4AA8">
      <w:pPr>
        <w:sectPr w:rsidR="00FA4AA8">
          <w:pgSz w:w="11910" w:h="16840"/>
          <w:pgMar w:top="2220" w:right="880" w:bottom="720" w:left="840" w:header="1016" w:footer="523" w:gutter="0"/>
          <w:cols w:space="720"/>
        </w:sectPr>
      </w:pPr>
    </w:p>
    <w:p w14:paraId="1675CCAE" w14:textId="77777777" w:rsidR="00FA4AA8" w:rsidRDefault="00FA4AA8">
      <w:pPr>
        <w:pStyle w:val="BodyText"/>
        <w:rPr>
          <w:sz w:val="20"/>
        </w:rPr>
      </w:pPr>
    </w:p>
    <w:p w14:paraId="4039E430" w14:textId="77777777" w:rsidR="00FA4AA8" w:rsidRDefault="00FA4AA8">
      <w:pPr>
        <w:pStyle w:val="BodyText"/>
        <w:spacing w:before="10"/>
        <w:rPr>
          <w:sz w:val="29"/>
        </w:rPr>
      </w:pPr>
    </w:p>
    <w:p w14:paraId="07F3C907" w14:textId="77777777" w:rsidR="00FA4AA8" w:rsidRDefault="0015611F">
      <w:pPr>
        <w:numPr>
          <w:ilvl w:val="0"/>
          <w:numId w:val="91"/>
        </w:numPr>
        <w:tabs>
          <w:tab w:val="left" w:pos="564"/>
        </w:tabs>
        <w:spacing w:before="94"/>
        <w:ind w:hanging="397"/>
        <w:rPr>
          <w:b/>
          <w:sz w:val="18"/>
        </w:rPr>
      </w:pPr>
      <w:bookmarkStart w:id="64" w:name="31_Commitments_"/>
      <w:bookmarkEnd w:id="64"/>
      <w:r>
        <w:rPr>
          <w:b/>
          <w:sz w:val="18"/>
        </w:rPr>
        <w:t>Commitments</w:t>
      </w:r>
    </w:p>
    <w:p w14:paraId="2E73BEE0" w14:textId="77777777" w:rsidR="00FA4AA8" w:rsidRDefault="00FA4AA8">
      <w:pPr>
        <w:pStyle w:val="BodyText"/>
        <w:spacing w:before="7"/>
        <w:rPr>
          <w:b/>
          <w:sz w:val="26"/>
        </w:rPr>
      </w:pPr>
    </w:p>
    <w:p w14:paraId="296E6D18" w14:textId="77777777" w:rsidR="00FA4AA8" w:rsidRDefault="0015611F">
      <w:pPr>
        <w:pStyle w:val="ListParagraph"/>
        <w:numPr>
          <w:ilvl w:val="0"/>
          <w:numId w:val="90"/>
        </w:numPr>
        <w:tabs>
          <w:tab w:val="left" w:pos="564"/>
        </w:tabs>
        <w:ind w:hanging="397"/>
        <w:rPr>
          <w:b/>
          <w:sz w:val="18"/>
        </w:rPr>
      </w:pPr>
      <w:r>
        <w:rPr>
          <w:b/>
          <w:sz w:val="18"/>
        </w:rPr>
        <w:t>Capital commitments</w:t>
      </w:r>
    </w:p>
    <w:p w14:paraId="0C5C03C5" w14:textId="77777777" w:rsidR="00FA4AA8" w:rsidRDefault="00FA4AA8">
      <w:pPr>
        <w:pStyle w:val="BodyText"/>
        <w:spacing w:before="5"/>
        <w:rPr>
          <w:b/>
          <w:sz w:val="25"/>
        </w:rPr>
      </w:pPr>
    </w:p>
    <w:p w14:paraId="41094C12" w14:textId="77777777" w:rsidR="00FA4AA8" w:rsidRDefault="0015611F">
      <w:pPr>
        <w:pStyle w:val="BodyText"/>
        <w:ind w:left="564"/>
      </w:pPr>
      <w:r>
        <w:t>Capital expenditures contracted for at the reporting date but not recognised as liabilities are:</w:t>
      </w:r>
    </w:p>
    <w:p w14:paraId="1CB82E86" w14:textId="77777777" w:rsidR="00FA4AA8" w:rsidRDefault="0015611F">
      <w:pPr>
        <w:tabs>
          <w:tab w:val="left" w:pos="8423"/>
        </w:tabs>
        <w:spacing w:before="33"/>
        <w:ind w:left="5373"/>
        <w:rPr>
          <w:b/>
          <w:sz w:val="18"/>
        </w:rPr>
      </w:pPr>
      <w:r>
        <w:rPr>
          <w:b/>
          <w:sz w:val="18"/>
        </w:rPr>
        <w:t>Consolidated</w:t>
      </w:r>
      <w:r>
        <w:rPr>
          <w:b/>
          <w:sz w:val="18"/>
        </w:rPr>
        <w:tab/>
        <w:t>Parent</w:t>
      </w:r>
    </w:p>
    <w:p w14:paraId="60DD984E" w14:textId="77777777" w:rsidR="00FA4AA8" w:rsidRDefault="00FA4AA8">
      <w:pPr>
        <w:rPr>
          <w:sz w:val="18"/>
        </w:rPr>
        <w:sectPr w:rsidR="00FA4AA8">
          <w:pgSz w:w="11910" w:h="16840"/>
          <w:pgMar w:top="2220" w:right="880" w:bottom="720" w:left="840" w:header="1016" w:footer="523" w:gutter="0"/>
          <w:cols w:space="720"/>
        </w:sectPr>
      </w:pPr>
    </w:p>
    <w:p w14:paraId="3028C912" w14:textId="77777777" w:rsidR="00FA4AA8" w:rsidRDefault="00FA4AA8">
      <w:pPr>
        <w:pStyle w:val="BodyText"/>
        <w:rPr>
          <w:b/>
          <w:sz w:val="20"/>
        </w:rPr>
      </w:pPr>
    </w:p>
    <w:p w14:paraId="27B67E20" w14:textId="77777777" w:rsidR="00FA4AA8" w:rsidRDefault="00FA4AA8">
      <w:pPr>
        <w:pStyle w:val="BodyText"/>
        <w:rPr>
          <w:b/>
          <w:sz w:val="20"/>
        </w:rPr>
      </w:pPr>
    </w:p>
    <w:p w14:paraId="1F114926" w14:textId="77777777" w:rsidR="00FA4AA8" w:rsidRDefault="00FA4AA8">
      <w:pPr>
        <w:pStyle w:val="BodyText"/>
        <w:spacing w:before="3"/>
        <w:rPr>
          <w:b/>
          <w:sz w:val="20"/>
        </w:rPr>
      </w:pPr>
    </w:p>
    <w:p w14:paraId="75300121" w14:textId="77777777" w:rsidR="00FA4AA8" w:rsidRDefault="0015611F">
      <w:pPr>
        <w:ind w:left="564"/>
        <w:rPr>
          <w:b/>
          <w:sz w:val="18"/>
        </w:rPr>
      </w:pPr>
      <w:r>
        <w:rPr>
          <w:b/>
          <w:sz w:val="18"/>
        </w:rPr>
        <w:t>Property, plant and equipment</w:t>
      </w:r>
    </w:p>
    <w:p w14:paraId="4DA85662" w14:textId="77777777" w:rsidR="00FA4AA8" w:rsidRDefault="0015611F">
      <w:pPr>
        <w:pStyle w:val="ListParagraph"/>
        <w:numPr>
          <w:ilvl w:val="0"/>
          <w:numId w:val="89"/>
        </w:numPr>
        <w:tabs>
          <w:tab w:val="left" w:pos="675"/>
        </w:tabs>
        <w:spacing w:before="26"/>
        <w:ind w:left="674"/>
        <w:rPr>
          <w:sz w:val="18"/>
        </w:rPr>
      </w:pPr>
      <w:r>
        <w:rPr>
          <w:sz w:val="18"/>
        </w:rPr>
        <w:t>Within one year</w:t>
      </w:r>
    </w:p>
    <w:p w14:paraId="4E06D022" w14:textId="77777777" w:rsidR="00FA4AA8" w:rsidRDefault="0015611F">
      <w:pPr>
        <w:pStyle w:val="ListParagraph"/>
        <w:numPr>
          <w:ilvl w:val="0"/>
          <w:numId w:val="89"/>
        </w:numPr>
        <w:tabs>
          <w:tab w:val="left" w:pos="675"/>
        </w:tabs>
        <w:spacing w:before="57"/>
        <w:ind w:left="674"/>
        <w:rPr>
          <w:sz w:val="18"/>
        </w:rPr>
      </w:pPr>
      <w:r>
        <w:rPr>
          <w:sz w:val="18"/>
        </w:rPr>
        <w:t>Between one year and five years</w:t>
      </w:r>
    </w:p>
    <w:p w14:paraId="766B7CB8" w14:textId="77777777" w:rsidR="00FA4AA8" w:rsidRDefault="0015611F">
      <w:pPr>
        <w:pStyle w:val="ListParagraph"/>
        <w:numPr>
          <w:ilvl w:val="0"/>
          <w:numId w:val="89"/>
        </w:numPr>
        <w:tabs>
          <w:tab w:val="left" w:pos="675"/>
        </w:tabs>
        <w:spacing w:before="57" w:line="328" w:lineRule="auto"/>
        <w:ind w:right="1028" w:firstLine="0"/>
        <w:rPr>
          <w:sz w:val="18"/>
        </w:rPr>
      </w:pPr>
      <w:r>
        <w:rPr>
          <w:sz w:val="18"/>
        </w:rPr>
        <w:t>Later than five years Total</w:t>
      </w:r>
    </w:p>
    <w:p w14:paraId="149C8CEB" w14:textId="77777777" w:rsidR="00FA4AA8" w:rsidRDefault="0015611F">
      <w:pPr>
        <w:spacing w:before="67"/>
        <w:ind w:left="585"/>
        <w:rPr>
          <w:b/>
          <w:sz w:val="18"/>
        </w:rPr>
      </w:pPr>
      <w:r>
        <w:br w:type="column"/>
      </w:r>
      <w:r>
        <w:rPr>
          <w:b/>
          <w:sz w:val="18"/>
        </w:rPr>
        <w:t>2018</w:t>
      </w:r>
    </w:p>
    <w:p w14:paraId="54D6C067" w14:textId="77777777" w:rsidR="00FA4AA8" w:rsidRDefault="0015611F">
      <w:pPr>
        <w:spacing w:before="66"/>
        <w:ind w:left="563"/>
        <w:rPr>
          <w:b/>
          <w:sz w:val="18"/>
        </w:rPr>
      </w:pPr>
      <w:r>
        <w:rPr>
          <w:b/>
          <w:sz w:val="18"/>
        </w:rPr>
        <w:t>$'000</w:t>
      </w:r>
    </w:p>
    <w:p w14:paraId="4DA00FA0" w14:textId="77777777" w:rsidR="00FA4AA8" w:rsidRDefault="0015611F">
      <w:pPr>
        <w:spacing w:before="67"/>
        <w:ind w:left="585"/>
        <w:rPr>
          <w:b/>
          <w:sz w:val="18"/>
        </w:rPr>
      </w:pPr>
      <w:r>
        <w:br w:type="column"/>
      </w:r>
      <w:r>
        <w:rPr>
          <w:b/>
          <w:sz w:val="18"/>
        </w:rPr>
        <w:t>2017</w:t>
      </w:r>
    </w:p>
    <w:p w14:paraId="10844FA9" w14:textId="77777777" w:rsidR="00FA4AA8" w:rsidRDefault="0015611F">
      <w:pPr>
        <w:spacing w:before="66"/>
        <w:ind w:left="563"/>
        <w:rPr>
          <w:b/>
          <w:sz w:val="18"/>
        </w:rPr>
      </w:pPr>
      <w:r>
        <w:rPr>
          <w:b/>
          <w:sz w:val="18"/>
        </w:rPr>
        <w:t>$'000</w:t>
      </w:r>
    </w:p>
    <w:p w14:paraId="3EF0B467" w14:textId="77777777" w:rsidR="00FA4AA8" w:rsidRDefault="0015611F">
      <w:pPr>
        <w:spacing w:before="67"/>
        <w:ind w:left="585"/>
        <w:rPr>
          <w:b/>
          <w:sz w:val="18"/>
        </w:rPr>
      </w:pPr>
      <w:r>
        <w:br w:type="column"/>
      </w:r>
      <w:r>
        <w:rPr>
          <w:b/>
          <w:sz w:val="18"/>
        </w:rPr>
        <w:t>2018</w:t>
      </w:r>
    </w:p>
    <w:p w14:paraId="33459B20" w14:textId="77777777" w:rsidR="00FA4AA8" w:rsidRDefault="0015611F">
      <w:pPr>
        <w:spacing w:before="66"/>
        <w:ind w:left="563"/>
        <w:rPr>
          <w:b/>
          <w:sz w:val="18"/>
        </w:rPr>
      </w:pPr>
      <w:r>
        <w:rPr>
          <w:b/>
          <w:sz w:val="18"/>
        </w:rPr>
        <w:t>$'000</w:t>
      </w:r>
    </w:p>
    <w:p w14:paraId="105CEDF3" w14:textId="77777777" w:rsidR="00FA4AA8" w:rsidRDefault="0015611F">
      <w:pPr>
        <w:spacing w:before="67"/>
        <w:ind w:left="547" w:right="538"/>
        <w:jc w:val="center"/>
        <w:rPr>
          <w:b/>
          <w:sz w:val="18"/>
        </w:rPr>
      </w:pPr>
      <w:r>
        <w:br w:type="column"/>
      </w:r>
      <w:r>
        <w:rPr>
          <w:b/>
          <w:sz w:val="18"/>
        </w:rPr>
        <w:t>2017</w:t>
      </w:r>
    </w:p>
    <w:p w14:paraId="58213627" w14:textId="77777777" w:rsidR="00FA4AA8" w:rsidRDefault="0015611F">
      <w:pPr>
        <w:spacing w:before="66"/>
        <w:ind w:left="547" w:right="538"/>
        <w:jc w:val="center"/>
        <w:rPr>
          <w:b/>
          <w:sz w:val="18"/>
        </w:rPr>
      </w:pPr>
      <w:r>
        <w:rPr>
          <w:b/>
          <w:sz w:val="18"/>
        </w:rPr>
        <w:t>$'000</w:t>
      </w:r>
    </w:p>
    <w:p w14:paraId="0D275CD3" w14:textId="77777777" w:rsidR="00FA4AA8" w:rsidRDefault="00FA4AA8">
      <w:pPr>
        <w:jc w:val="center"/>
        <w:rPr>
          <w:sz w:val="18"/>
        </w:rPr>
        <w:sectPr w:rsidR="00FA4AA8">
          <w:type w:val="continuous"/>
          <w:pgSz w:w="11910" w:h="16840"/>
          <w:pgMar w:top="20" w:right="880" w:bottom="0" w:left="840" w:header="720" w:footer="720" w:gutter="0"/>
          <w:cols w:num="5" w:space="720" w:equalWidth="0">
            <w:col w:w="3344" w:space="1221"/>
            <w:col w:w="1051" w:space="245"/>
            <w:col w:w="1051" w:space="413"/>
            <w:col w:w="1051" w:space="245"/>
            <w:col w:w="1569"/>
          </w:cols>
        </w:sectPr>
      </w:pPr>
    </w:p>
    <w:p w14:paraId="3A20B849" w14:textId="77777777" w:rsidR="00FA4AA8" w:rsidRDefault="00FA4AA8">
      <w:pPr>
        <w:pStyle w:val="BodyText"/>
        <w:spacing w:before="9"/>
        <w:rPr>
          <w:b/>
          <w:sz w:val="21"/>
        </w:rPr>
      </w:pPr>
    </w:p>
    <w:p w14:paraId="144A93C0" w14:textId="77777777" w:rsidR="00FA4AA8" w:rsidRDefault="007E2441">
      <w:pPr>
        <w:pStyle w:val="BodyText"/>
        <w:spacing w:before="95"/>
        <w:ind w:left="563" w:right="271"/>
      </w:pPr>
      <w:r>
        <w:rPr>
          <w:noProof/>
          <w:lang w:val="en-AU" w:eastAsia="en-AU"/>
        </w:rPr>
        <mc:AlternateContent>
          <mc:Choice Requires="wps">
            <w:drawing>
              <wp:anchor distT="0" distB="0" distL="114300" distR="114300" simplePos="0" relativeHeight="15752704" behindDoc="0" locked="0" layoutInCell="1" allowOverlap="1" wp14:anchorId="1D62AD02" wp14:editId="6D93DC1F">
                <wp:simplePos x="0" y="0"/>
                <wp:positionH relativeFrom="page">
                  <wp:posOffset>3422650</wp:posOffset>
                </wp:positionH>
                <wp:positionV relativeFrom="paragraph">
                  <wp:posOffset>-848995</wp:posOffset>
                </wp:positionV>
                <wp:extent cx="2383155" cy="488315"/>
                <wp:effectExtent l="0" t="0" r="0" b="0"/>
                <wp:wrapNone/>
                <wp:docPr id="2341" name="Text Box 2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3155"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748"/>
                              <w:gridCol w:w="1380"/>
                              <w:gridCol w:w="1380"/>
                              <w:gridCol w:w="1012"/>
                            </w:tblGrid>
                            <w:tr w:rsidR="001F3ACE" w14:paraId="25BF9020" w14:textId="77777777">
                              <w:trPr>
                                <w:trHeight w:val="496"/>
                              </w:trPr>
                              <w:tc>
                                <w:tcPr>
                                  <w:tcW w:w="1748" w:type="dxa"/>
                                </w:tcPr>
                                <w:p w14:paraId="35B16424" w14:textId="77777777" w:rsidR="001F3ACE" w:rsidRDefault="001F3ACE">
                                  <w:pPr>
                                    <w:pStyle w:val="TableParagraph"/>
                                    <w:spacing w:line="201" w:lineRule="exact"/>
                                    <w:ind w:right="368"/>
                                    <w:jc w:val="right"/>
                                    <w:rPr>
                                      <w:b/>
                                      <w:sz w:val="18"/>
                                    </w:rPr>
                                  </w:pPr>
                                  <w:r>
                                    <w:rPr>
                                      <w:b/>
                                      <w:sz w:val="18"/>
                                    </w:rPr>
                                    <w:t>52,245</w:t>
                                  </w:r>
                                </w:p>
                                <w:p w14:paraId="715B777E" w14:textId="77777777" w:rsidR="001F3ACE" w:rsidRDefault="001F3ACE">
                                  <w:pPr>
                                    <w:pStyle w:val="TableParagraph"/>
                                    <w:spacing w:before="57"/>
                                    <w:ind w:right="368"/>
                                    <w:jc w:val="right"/>
                                    <w:rPr>
                                      <w:b/>
                                      <w:sz w:val="18"/>
                                    </w:rPr>
                                  </w:pPr>
                                  <w:r>
                                    <w:rPr>
                                      <w:b/>
                                      <w:sz w:val="18"/>
                                    </w:rPr>
                                    <w:t>-</w:t>
                                  </w:r>
                                </w:p>
                              </w:tc>
                              <w:tc>
                                <w:tcPr>
                                  <w:tcW w:w="1380" w:type="dxa"/>
                                </w:tcPr>
                                <w:p w14:paraId="5D040260" w14:textId="77777777" w:rsidR="001F3ACE" w:rsidRDefault="001F3ACE">
                                  <w:pPr>
                                    <w:pStyle w:val="TableParagraph"/>
                                    <w:spacing w:line="201" w:lineRule="exact"/>
                                    <w:ind w:right="452"/>
                                    <w:jc w:val="right"/>
                                    <w:rPr>
                                      <w:sz w:val="18"/>
                                    </w:rPr>
                                  </w:pPr>
                                  <w:r>
                                    <w:rPr>
                                      <w:sz w:val="18"/>
                                    </w:rPr>
                                    <w:t>54,589</w:t>
                                  </w:r>
                                </w:p>
                                <w:p w14:paraId="7DDC0266" w14:textId="77777777" w:rsidR="001F3ACE" w:rsidRDefault="001F3ACE">
                                  <w:pPr>
                                    <w:pStyle w:val="TableParagraph"/>
                                    <w:spacing w:before="57"/>
                                    <w:ind w:right="452"/>
                                    <w:jc w:val="right"/>
                                    <w:rPr>
                                      <w:sz w:val="18"/>
                                    </w:rPr>
                                  </w:pPr>
                                  <w:r>
                                    <w:rPr>
                                      <w:sz w:val="18"/>
                                    </w:rPr>
                                    <w:t>-</w:t>
                                  </w:r>
                                </w:p>
                              </w:tc>
                              <w:tc>
                                <w:tcPr>
                                  <w:tcW w:w="1380" w:type="dxa"/>
                                </w:tcPr>
                                <w:p w14:paraId="7C5507F9" w14:textId="77777777" w:rsidR="001F3ACE" w:rsidRDefault="001F3ACE">
                                  <w:pPr>
                                    <w:pStyle w:val="TableParagraph"/>
                                    <w:spacing w:line="201" w:lineRule="exact"/>
                                    <w:ind w:right="368"/>
                                    <w:jc w:val="right"/>
                                    <w:rPr>
                                      <w:b/>
                                      <w:sz w:val="18"/>
                                    </w:rPr>
                                  </w:pPr>
                                  <w:r>
                                    <w:rPr>
                                      <w:b/>
                                      <w:sz w:val="18"/>
                                    </w:rPr>
                                    <w:t>52,213</w:t>
                                  </w:r>
                                </w:p>
                                <w:p w14:paraId="651FE4A6" w14:textId="77777777" w:rsidR="001F3ACE" w:rsidRDefault="001F3ACE">
                                  <w:pPr>
                                    <w:pStyle w:val="TableParagraph"/>
                                    <w:spacing w:before="57"/>
                                    <w:ind w:right="368"/>
                                    <w:jc w:val="right"/>
                                    <w:rPr>
                                      <w:b/>
                                      <w:sz w:val="18"/>
                                    </w:rPr>
                                  </w:pPr>
                                  <w:r>
                                    <w:rPr>
                                      <w:b/>
                                      <w:sz w:val="18"/>
                                    </w:rPr>
                                    <w:t>-</w:t>
                                  </w:r>
                                </w:p>
                              </w:tc>
                              <w:tc>
                                <w:tcPr>
                                  <w:tcW w:w="1012" w:type="dxa"/>
                                </w:tcPr>
                                <w:p w14:paraId="1393A4A0" w14:textId="77777777" w:rsidR="001F3ACE" w:rsidRDefault="001F3ACE">
                                  <w:pPr>
                                    <w:pStyle w:val="TableParagraph"/>
                                    <w:spacing w:line="201" w:lineRule="exact"/>
                                    <w:ind w:right="84"/>
                                    <w:jc w:val="right"/>
                                    <w:rPr>
                                      <w:sz w:val="18"/>
                                    </w:rPr>
                                  </w:pPr>
                                  <w:r>
                                    <w:rPr>
                                      <w:sz w:val="18"/>
                                    </w:rPr>
                                    <w:t>54,567</w:t>
                                  </w:r>
                                </w:p>
                                <w:p w14:paraId="221F4C51" w14:textId="77777777" w:rsidR="001F3ACE" w:rsidRDefault="001F3ACE">
                                  <w:pPr>
                                    <w:pStyle w:val="TableParagraph"/>
                                    <w:spacing w:before="57"/>
                                    <w:ind w:right="84"/>
                                    <w:jc w:val="right"/>
                                    <w:rPr>
                                      <w:sz w:val="18"/>
                                    </w:rPr>
                                  </w:pPr>
                                  <w:r>
                                    <w:rPr>
                                      <w:sz w:val="18"/>
                                    </w:rPr>
                                    <w:t>-</w:t>
                                  </w:r>
                                </w:p>
                              </w:tc>
                            </w:tr>
                            <w:tr w:rsidR="001F3ACE" w14:paraId="73C6E65F" w14:textId="77777777">
                              <w:trPr>
                                <w:trHeight w:val="257"/>
                              </w:trPr>
                              <w:tc>
                                <w:tcPr>
                                  <w:tcW w:w="1748" w:type="dxa"/>
                                  <w:tcBorders>
                                    <w:bottom w:val="single" w:sz="8" w:space="0" w:color="000000"/>
                                  </w:tcBorders>
                                </w:tcPr>
                                <w:p w14:paraId="4108E727" w14:textId="77777777" w:rsidR="001F3ACE" w:rsidRDefault="001F3ACE">
                                  <w:pPr>
                                    <w:pStyle w:val="TableParagraph"/>
                                    <w:spacing w:before="25"/>
                                    <w:ind w:right="368"/>
                                    <w:jc w:val="right"/>
                                    <w:rPr>
                                      <w:b/>
                                      <w:sz w:val="18"/>
                                    </w:rPr>
                                  </w:pPr>
                                  <w:r>
                                    <w:rPr>
                                      <w:b/>
                                      <w:sz w:val="18"/>
                                    </w:rPr>
                                    <w:t>-</w:t>
                                  </w:r>
                                </w:p>
                              </w:tc>
                              <w:tc>
                                <w:tcPr>
                                  <w:tcW w:w="1380" w:type="dxa"/>
                                  <w:tcBorders>
                                    <w:bottom w:val="single" w:sz="8" w:space="0" w:color="000000"/>
                                  </w:tcBorders>
                                </w:tcPr>
                                <w:p w14:paraId="0D98A09B" w14:textId="77777777" w:rsidR="001F3ACE" w:rsidRDefault="001F3ACE">
                                  <w:pPr>
                                    <w:pStyle w:val="TableParagraph"/>
                                    <w:spacing w:before="25"/>
                                    <w:ind w:right="452"/>
                                    <w:jc w:val="right"/>
                                    <w:rPr>
                                      <w:sz w:val="18"/>
                                    </w:rPr>
                                  </w:pPr>
                                  <w:r>
                                    <w:rPr>
                                      <w:sz w:val="18"/>
                                    </w:rPr>
                                    <w:t>-</w:t>
                                  </w:r>
                                </w:p>
                              </w:tc>
                              <w:tc>
                                <w:tcPr>
                                  <w:tcW w:w="1380" w:type="dxa"/>
                                  <w:tcBorders>
                                    <w:bottom w:val="single" w:sz="8" w:space="0" w:color="000000"/>
                                  </w:tcBorders>
                                </w:tcPr>
                                <w:p w14:paraId="33562131" w14:textId="77777777" w:rsidR="001F3ACE" w:rsidRDefault="001F3ACE">
                                  <w:pPr>
                                    <w:pStyle w:val="TableParagraph"/>
                                    <w:spacing w:before="25"/>
                                    <w:ind w:right="368"/>
                                    <w:jc w:val="right"/>
                                    <w:rPr>
                                      <w:b/>
                                      <w:sz w:val="18"/>
                                    </w:rPr>
                                  </w:pPr>
                                  <w:r>
                                    <w:rPr>
                                      <w:b/>
                                      <w:sz w:val="18"/>
                                    </w:rPr>
                                    <w:t>-</w:t>
                                  </w:r>
                                </w:p>
                              </w:tc>
                              <w:tc>
                                <w:tcPr>
                                  <w:tcW w:w="1012" w:type="dxa"/>
                                  <w:tcBorders>
                                    <w:bottom w:val="single" w:sz="8" w:space="0" w:color="000000"/>
                                  </w:tcBorders>
                                </w:tcPr>
                                <w:p w14:paraId="0A442833" w14:textId="77777777" w:rsidR="001F3ACE" w:rsidRDefault="001F3ACE">
                                  <w:pPr>
                                    <w:pStyle w:val="TableParagraph"/>
                                    <w:spacing w:before="25"/>
                                    <w:ind w:right="84"/>
                                    <w:jc w:val="right"/>
                                    <w:rPr>
                                      <w:sz w:val="18"/>
                                    </w:rPr>
                                  </w:pPr>
                                  <w:r>
                                    <w:rPr>
                                      <w:sz w:val="18"/>
                                    </w:rPr>
                                    <w:t>-</w:t>
                                  </w:r>
                                </w:p>
                              </w:tc>
                            </w:tr>
                            <w:tr w:rsidR="001F3ACE" w14:paraId="27E8992F" w14:textId="77777777">
                              <w:trPr>
                                <w:trHeight w:val="320"/>
                              </w:trPr>
                              <w:tc>
                                <w:tcPr>
                                  <w:tcW w:w="1748" w:type="dxa"/>
                                  <w:tcBorders>
                                    <w:top w:val="single" w:sz="8" w:space="0" w:color="000000"/>
                                    <w:bottom w:val="double" w:sz="2" w:space="0" w:color="000000"/>
                                  </w:tcBorders>
                                </w:tcPr>
                                <w:p w14:paraId="3080AD0B" w14:textId="77777777" w:rsidR="001F3ACE" w:rsidRDefault="001F3ACE">
                                  <w:pPr>
                                    <w:pStyle w:val="TableParagraph"/>
                                    <w:spacing w:before="115" w:line="185" w:lineRule="exact"/>
                                    <w:ind w:right="368"/>
                                    <w:jc w:val="right"/>
                                    <w:rPr>
                                      <w:b/>
                                      <w:sz w:val="18"/>
                                    </w:rPr>
                                  </w:pPr>
                                  <w:r>
                                    <w:rPr>
                                      <w:b/>
                                      <w:sz w:val="18"/>
                                    </w:rPr>
                                    <w:t>52,245</w:t>
                                  </w:r>
                                </w:p>
                              </w:tc>
                              <w:tc>
                                <w:tcPr>
                                  <w:tcW w:w="1380" w:type="dxa"/>
                                  <w:tcBorders>
                                    <w:top w:val="single" w:sz="8" w:space="0" w:color="000000"/>
                                    <w:bottom w:val="double" w:sz="2" w:space="0" w:color="000000"/>
                                  </w:tcBorders>
                                </w:tcPr>
                                <w:p w14:paraId="537B5370" w14:textId="77777777" w:rsidR="001F3ACE" w:rsidRDefault="001F3ACE">
                                  <w:pPr>
                                    <w:pStyle w:val="TableParagraph"/>
                                    <w:spacing w:before="115" w:line="185" w:lineRule="exact"/>
                                    <w:ind w:right="452"/>
                                    <w:jc w:val="right"/>
                                    <w:rPr>
                                      <w:sz w:val="18"/>
                                    </w:rPr>
                                  </w:pPr>
                                  <w:r>
                                    <w:rPr>
                                      <w:sz w:val="18"/>
                                    </w:rPr>
                                    <w:t>54,589</w:t>
                                  </w:r>
                                </w:p>
                              </w:tc>
                              <w:tc>
                                <w:tcPr>
                                  <w:tcW w:w="1380" w:type="dxa"/>
                                  <w:tcBorders>
                                    <w:top w:val="single" w:sz="8" w:space="0" w:color="000000"/>
                                    <w:bottom w:val="double" w:sz="2" w:space="0" w:color="000000"/>
                                  </w:tcBorders>
                                </w:tcPr>
                                <w:p w14:paraId="3D3CE4BA" w14:textId="77777777" w:rsidR="001F3ACE" w:rsidRDefault="001F3ACE">
                                  <w:pPr>
                                    <w:pStyle w:val="TableParagraph"/>
                                    <w:spacing w:before="115" w:line="185" w:lineRule="exact"/>
                                    <w:ind w:right="368"/>
                                    <w:jc w:val="right"/>
                                    <w:rPr>
                                      <w:b/>
                                      <w:sz w:val="18"/>
                                    </w:rPr>
                                  </w:pPr>
                                  <w:r>
                                    <w:rPr>
                                      <w:b/>
                                      <w:sz w:val="18"/>
                                    </w:rPr>
                                    <w:t>52,213</w:t>
                                  </w:r>
                                </w:p>
                              </w:tc>
                              <w:tc>
                                <w:tcPr>
                                  <w:tcW w:w="1012" w:type="dxa"/>
                                  <w:tcBorders>
                                    <w:top w:val="single" w:sz="8" w:space="0" w:color="000000"/>
                                    <w:bottom w:val="double" w:sz="2" w:space="0" w:color="000000"/>
                                  </w:tcBorders>
                                </w:tcPr>
                                <w:p w14:paraId="641F82C5" w14:textId="77777777" w:rsidR="001F3ACE" w:rsidRDefault="001F3ACE">
                                  <w:pPr>
                                    <w:pStyle w:val="TableParagraph"/>
                                    <w:spacing w:before="115" w:line="185" w:lineRule="exact"/>
                                    <w:ind w:right="84"/>
                                    <w:jc w:val="right"/>
                                    <w:rPr>
                                      <w:sz w:val="18"/>
                                    </w:rPr>
                                  </w:pPr>
                                  <w:r>
                                    <w:rPr>
                                      <w:sz w:val="18"/>
                                    </w:rPr>
                                    <w:t>54,567</w:t>
                                  </w:r>
                                </w:p>
                              </w:tc>
                            </w:tr>
                          </w:tbl>
                          <w:p w14:paraId="21495CD8" w14:textId="77777777" w:rsidR="001F3ACE" w:rsidRDefault="001F3AC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2AD02" id="Text Box 2107" o:spid="_x0000_s1034" type="#_x0000_t202" style="position:absolute;left:0;text-align:left;margin-left:269.5pt;margin-top:-66.85pt;width:187.65pt;height:38.45pt;z-index:1575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748"/>
                        <w:gridCol w:w="1380"/>
                        <w:gridCol w:w="1380"/>
                        <w:gridCol w:w="1012"/>
                      </w:tblGrid>
                      <w:tr w:rsidR="001F3ACE" w14:paraId="25BF9020" w14:textId="77777777">
                        <w:trPr>
                          <w:trHeight w:val="496"/>
                        </w:trPr>
                        <w:tc>
                          <w:tcPr>
                            <w:tcW w:w="1748" w:type="dxa"/>
                          </w:tcPr>
                          <w:p w14:paraId="35B16424" w14:textId="77777777" w:rsidR="001F3ACE" w:rsidRDefault="001F3ACE">
                            <w:pPr>
                              <w:pStyle w:val="TableParagraph"/>
                              <w:spacing w:line="201" w:lineRule="exact"/>
                              <w:ind w:right="368"/>
                              <w:jc w:val="right"/>
                              <w:rPr>
                                <w:b/>
                                <w:sz w:val="18"/>
                              </w:rPr>
                            </w:pPr>
                            <w:r>
                              <w:rPr>
                                <w:b/>
                                <w:sz w:val="18"/>
                              </w:rPr>
                              <w:t>52,245</w:t>
                            </w:r>
                          </w:p>
                          <w:p w14:paraId="715B777E" w14:textId="77777777" w:rsidR="001F3ACE" w:rsidRDefault="001F3ACE">
                            <w:pPr>
                              <w:pStyle w:val="TableParagraph"/>
                              <w:spacing w:before="57"/>
                              <w:ind w:right="368"/>
                              <w:jc w:val="right"/>
                              <w:rPr>
                                <w:b/>
                                <w:sz w:val="18"/>
                              </w:rPr>
                            </w:pPr>
                            <w:r>
                              <w:rPr>
                                <w:b/>
                                <w:sz w:val="18"/>
                              </w:rPr>
                              <w:t>-</w:t>
                            </w:r>
                          </w:p>
                        </w:tc>
                        <w:tc>
                          <w:tcPr>
                            <w:tcW w:w="1380" w:type="dxa"/>
                          </w:tcPr>
                          <w:p w14:paraId="5D040260" w14:textId="77777777" w:rsidR="001F3ACE" w:rsidRDefault="001F3ACE">
                            <w:pPr>
                              <w:pStyle w:val="TableParagraph"/>
                              <w:spacing w:line="201" w:lineRule="exact"/>
                              <w:ind w:right="452"/>
                              <w:jc w:val="right"/>
                              <w:rPr>
                                <w:sz w:val="18"/>
                              </w:rPr>
                            </w:pPr>
                            <w:r>
                              <w:rPr>
                                <w:sz w:val="18"/>
                              </w:rPr>
                              <w:t>54,589</w:t>
                            </w:r>
                          </w:p>
                          <w:p w14:paraId="7DDC0266" w14:textId="77777777" w:rsidR="001F3ACE" w:rsidRDefault="001F3ACE">
                            <w:pPr>
                              <w:pStyle w:val="TableParagraph"/>
                              <w:spacing w:before="57"/>
                              <w:ind w:right="452"/>
                              <w:jc w:val="right"/>
                              <w:rPr>
                                <w:sz w:val="18"/>
                              </w:rPr>
                            </w:pPr>
                            <w:r>
                              <w:rPr>
                                <w:sz w:val="18"/>
                              </w:rPr>
                              <w:t>-</w:t>
                            </w:r>
                          </w:p>
                        </w:tc>
                        <w:tc>
                          <w:tcPr>
                            <w:tcW w:w="1380" w:type="dxa"/>
                          </w:tcPr>
                          <w:p w14:paraId="7C5507F9" w14:textId="77777777" w:rsidR="001F3ACE" w:rsidRDefault="001F3ACE">
                            <w:pPr>
                              <w:pStyle w:val="TableParagraph"/>
                              <w:spacing w:line="201" w:lineRule="exact"/>
                              <w:ind w:right="368"/>
                              <w:jc w:val="right"/>
                              <w:rPr>
                                <w:b/>
                                <w:sz w:val="18"/>
                              </w:rPr>
                            </w:pPr>
                            <w:r>
                              <w:rPr>
                                <w:b/>
                                <w:sz w:val="18"/>
                              </w:rPr>
                              <w:t>52,213</w:t>
                            </w:r>
                          </w:p>
                          <w:p w14:paraId="651FE4A6" w14:textId="77777777" w:rsidR="001F3ACE" w:rsidRDefault="001F3ACE">
                            <w:pPr>
                              <w:pStyle w:val="TableParagraph"/>
                              <w:spacing w:before="57"/>
                              <w:ind w:right="368"/>
                              <w:jc w:val="right"/>
                              <w:rPr>
                                <w:b/>
                                <w:sz w:val="18"/>
                              </w:rPr>
                            </w:pPr>
                            <w:r>
                              <w:rPr>
                                <w:b/>
                                <w:sz w:val="18"/>
                              </w:rPr>
                              <w:t>-</w:t>
                            </w:r>
                          </w:p>
                        </w:tc>
                        <w:tc>
                          <w:tcPr>
                            <w:tcW w:w="1012" w:type="dxa"/>
                          </w:tcPr>
                          <w:p w14:paraId="1393A4A0" w14:textId="77777777" w:rsidR="001F3ACE" w:rsidRDefault="001F3ACE">
                            <w:pPr>
                              <w:pStyle w:val="TableParagraph"/>
                              <w:spacing w:line="201" w:lineRule="exact"/>
                              <w:ind w:right="84"/>
                              <w:jc w:val="right"/>
                              <w:rPr>
                                <w:sz w:val="18"/>
                              </w:rPr>
                            </w:pPr>
                            <w:r>
                              <w:rPr>
                                <w:sz w:val="18"/>
                              </w:rPr>
                              <w:t>54,567</w:t>
                            </w:r>
                          </w:p>
                          <w:p w14:paraId="221F4C51" w14:textId="77777777" w:rsidR="001F3ACE" w:rsidRDefault="001F3ACE">
                            <w:pPr>
                              <w:pStyle w:val="TableParagraph"/>
                              <w:spacing w:before="57"/>
                              <w:ind w:right="84"/>
                              <w:jc w:val="right"/>
                              <w:rPr>
                                <w:sz w:val="18"/>
                              </w:rPr>
                            </w:pPr>
                            <w:r>
                              <w:rPr>
                                <w:sz w:val="18"/>
                              </w:rPr>
                              <w:t>-</w:t>
                            </w:r>
                          </w:p>
                        </w:tc>
                      </w:tr>
                      <w:tr w:rsidR="001F3ACE" w14:paraId="73C6E65F" w14:textId="77777777">
                        <w:trPr>
                          <w:trHeight w:val="257"/>
                        </w:trPr>
                        <w:tc>
                          <w:tcPr>
                            <w:tcW w:w="1748" w:type="dxa"/>
                            <w:tcBorders>
                              <w:bottom w:val="single" w:sz="8" w:space="0" w:color="000000"/>
                            </w:tcBorders>
                          </w:tcPr>
                          <w:p w14:paraId="4108E727" w14:textId="77777777" w:rsidR="001F3ACE" w:rsidRDefault="001F3ACE">
                            <w:pPr>
                              <w:pStyle w:val="TableParagraph"/>
                              <w:spacing w:before="25"/>
                              <w:ind w:right="368"/>
                              <w:jc w:val="right"/>
                              <w:rPr>
                                <w:b/>
                                <w:sz w:val="18"/>
                              </w:rPr>
                            </w:pPr>
                            <w:r>
                              <w:rPr>
                                <w:b/>
                                <w:sz w:val="18"/>
                              </w:rPr>
                              <w:t>-</w:t>
                            </w:r>
                          </w:p>
                        </w:tc>
                        <w:tc>
                          <w:tcPr>
                            <w:tcW w:w="1380" w:type="dxa"/>
                            <w:tcBorders>
                              <w:bottom w:val="single" w:sz="8" w:space="0" w:color="000000"/>
                            </w:tcBorders>
                          </w:tcPr>
                          <w:p w14:paraId="0D98A09B" w14:textId="77777777" w:rsidR="001F3ACE" w:rsidRDefault="001F3ACE">
                            <w:pPr>
                              <w:pStyle w:val="TableParagraph"/>
                              <w:spacing w:before="25"/>
                              <w:ind w:right="452"/>
                              <w:jc w:val="right"/>
                              <w:rPr>
                                <w:sz w:val="18"/>
                              </w:rPr>
                            </w:pPr>
                            <w:r>
                              <w:rPr>
                                <w:sz w:val="18"/>
                              </w:rPr>
                              <w:t>-</w:t>
                            </w:r>
                          </w:p>
                        </w:tc>
                        <w:tc>
                          <w:tcPr>
                            <w:tcW w:w="1380" w:type="dxa"/>
                            <w:tcBorders>
                              <w:bottom w:val="single" w:sz="8" w:space="0" w:color="000000"/>
                            </w:tcBorders>
                          </w:tcPr>
                          <w:p w14:paraId="33562131" w14:textId="77777777" w:rsidR="001F3ACE" w:rsidRDefault="001F3ACE">
                            <w:pPr>
                              <w:pStyle w:val="TableParagraph"/>
                              <w:spacing w:before="25"/>
                              <w:ind w:right="368"/>
                              <w:jc w:val="right"/>
                              <w:rPr>
                                <w:b/>
                                <w:sz w:val="18"/>
                              </w:rPr>
                            </w:pPr>
                            <w:r>
                              <w:rPr>
                                <w:b/>
                                <w:sz w:val="18"/>
                              </w:rPr>
                              <w:t>-</w:t>
                            </w:r>
                          </w:p>
                        </w:tc>
                        <w:tc>
                          <w:tcPr>
                            <w:tcW w:w="1012" w:type="dxa"/>
                            <w:tcBorders>
                              <w:bottom w:val="single" w:sz="8" w:space="0" w:color="000000"/>
                            </w:tcBorders>
                          </w:tcPr>
                          <w:p w14:paraId="0A442833" w14:textId="77777777" w:rsidR="001F3ACE" w:rsidRDefault="001F3ACE">
                            <w:pPr>
                              <w:pStyle w:val="TableParagraph"/>
                              <w:spacing w:before="25"/>
                              <w:ind w:right="84"/>
                              <w:jc w:val="right"/>
                              <w:rPr>
                                <w:sz w:val="18"/>
                              </w:rPr>
                            </w:pPr>
                            <w:r>
                              <w:rPr>
                                <w:sz w:val="18"/>
                              </w:rPr>
                              <w:t>-</w:t>
                            </w:r>
                          </w:p>
                        </w:tc>
                      </w:tr>
                      <w:tr w:rsidR="001F3ACE" w14:paraId="27E8992F" w14:textId="77777777">
                        <w:trPr>
                          <w:trHeight w:val="320"/>
                        </w:trPr>
                        <w:tc>
                          <w:tcPr>
                            <w:tcW w:w="1748" w:type="dxa"/>
                            <w:tcBorders>
                              <w:top w:val="single" w:sz="8" w:space="0" w:color="000000"/>
                              <w:bottom w:val="double" w:sz="2" w:space="0" w:color="000000"/>
                            </w:tcBorders>
                          </w:tcPr>
                          <w:p w14:paraId="3080AD0B" w14:textId="77777777" w:rsidR="001F3ACE" w:rsidRDefault="001F3ACE">
                            <w:pPr>
                              <w:pStyle w:val="TableParagraph"/>
                              <w:spacing w:before="115" w:line="185" w:lineRule="exact"/>
                              <w:ind w:right="368"/>
                              <w:jc w:val="right"/>
                              <w:rPr>
                                <w:b/>
                                <w:sz w:val="18"/>
                              </w:rPr>
                            </w:pPr>
                            <w:r>
                              <w:rPr>
                                <w:b/>
                                <w:sz w:val="18"/>
                              </w:rPr>
                              <w:t>52,245</w:t>
                            </w:r>
                          </w:p>
                        </w:tc>
                        <w:tc>
                          <w:tcPr>
                            <w:tcW w:w="1380" w:type="dxa"/>
                            <w:tcBorders>
                              <w:top w:val="single" w:sz="8" w:space="0" w:color="000000"/>
                              <w:bottom w:val="double" w:sz="2" w:space="0" w:color="000000"/>
                            </w:tcBorders>
                          </w:tcPr>
                          <w:p w14:paraId="537B5370" w14:textId="77777777" w:rsidR="001F3ACE" w:rsidRDefault="001F3ACE">
                            <w:pPr>
                              <w:pStyle w:val="TableParagraph"/>
                              <w:spacing w:before="115" w:line="185" w:lineRule="exact"/>
                              <w:ind w:right="452"/>
                              <w:jc w:val="right"/>
                              <w:rPr>
                                <w:sz w:val="18"/>
                              </w:rPr>
                            </w:pPr>
                            <w:r>
                              <w:rPr>
                                <w:sz w:val="18"/>
                              </w:rPr>
                              <w:t>54,589</w:t>
                            </w:r>
                          </w:p>
                        </w:tc>
                        <w:tc>
                          <w:tcPr>
                            <w:tcW w:w="1380" w:type="dxa"/>
                            <w:tcBorders>
                              <w:top w:val="single" w:sz="8" w:space="0" w:color="000000"/>
                              <w:bottom w:val="double" w:sz="2" w:space="0" w:color="000000"/>
                            </w:tcBorders>
                          </w:tcPr>
                          <w:p w14:paraId="3D3CE4BA" w14:textId="77777777" w:rsidR="001F3ACE" w:rsidRDefault="001F3ACE">
                            <w:pPr>
                              <w:pStyle w:val="TableParagraph"/>
                              <w:spacing w:before="115" w:line="185" w:lineRule="exact"/>
                              <w:ind w:right="368"/>
                              <w:jc w:val="right"/>
                              <w:rPr>
                                <w:b/>
                                <w:sz w:val="18"/>
                              </w:rPr>
                            </w:pPr>
                            <w:r>
                              <w:rPr>
                                <w:b/>
                                <w:sz w:val="18"/>
                              </w:rPr>
                              <w:t>52,213</w:t>
                            </w:r>
                          </w:p>
                        </w:tc>
                        <w:tc>
                          <w:tcPr>
                            <w:tcW w:w="1012" w:type="dxa"/>
                            <w:tcBorders>
                              <w:top w:val="single" w:sz="8" w:space="0" w:color="000000"/>
                              <w:bottom w:val="double" w:sz="2" w:space="0" w:color="000000"/>
                            </w:tcBorders>
                          </w:tcPr>
                          <w:p w14:paraId="641F82C5" w14:textId="77777777" w:rsidR="001F3ACE" w:rsidRDefault="001F3ACE">
                            <w:pPr>
                              <w:pStyle w:val="TableParagraph"/>
                              <w:spacing w:before="115" w:line="185" w:lineRule="exact"/>
                              <w:ind w:right="84"/>
                              <w:jc w:val="right"/>
                              <w:rPr>
                                <w:sz w:val="18"/>
                              </w:rPr>
                            </w:pPr>
                            <w:r>
                              <w:rPr>
                                <w:sz w:val="18"/>
                              </w:rPr>
                              <w:t>54,567</w:t>
                            </w:r>
                          </w:p>
                        </w:tc>
                      </w:tr>
                    </w:tbl>
                    <w:p w14:paraId="21495CD8" w14:textId="77777777" w:rsidR="001F3ACE" w:rsidRDefault="001F3ACE">
                      <w:pPr>
                        <w:pStyle w:val="BodyText"/>
                      </w:pPr>
                    </w:p>
                  </w:txbxContent>
                </v:textbox>
                <w10:wrap anchorx="page"/>
              </v:shape>
            </w:pict>
          </mc:Fallback>
        </mc:AlternateContent>
      </w:r>
      <w:r w:rsidR="0015611F">
        <w:t>The above amounts included commitments for capital expenditure on joint operations of $14.0M (2017: $8.7M) payable within one year.</w:t>
      </w:r>
    </w:p>
    <w:p w14:paraId="0C12EE51" w14:textId="77777777" w:rsidR="00FA4AA8" w:rsidRDefault="00FA4AA8">
      <w:pPr>
        <w:pStyle w:val="BodyText"/>
        <w:spacing w:before="6"/>
        <w:rPr>
          <w:sz w:val="26"/>
        </w:rPr>
      </w:pPr>
    </w:p>
    <w:p w14:paraId="4D4D4A6E" w14:textId="77777777" w:rsidR="00FA4AA8" w:rsidRDefault="0015611F">
      <w:pPr>
        <w:numPr>
          <w:ilvl w:val="0"/>
          <w:numId w:val="90"/>
        </w:numPr>
        <w:tabs>
          <w:tab w:val="left" w:pos="564"/>
        </w:tabs>
        <w:spacing w:before="1"/>
        <w:ind w:hanging="397"/>
        <w:rPr>
          <w:b/>
          <w:sz w:val="18"/>
        </w:rPr>
      </w:pPr>
      <w:r>
        <w:rPr>
          <w:b/>
          <w:sz w:val="18"/>
        </w:rPr>
        <w:t>Lease</w:t>
      </w:r>
      <w:r>
        <w:rPr>
          <w:b/>
          <w:spacing w:val="1"/>
          <w:sz w:val="18"/>
        </w:rPr>
        <w:t xml:space="preserve"> </w:t>
      </w:r>
      <w:r>
        <w:rPr>
          <w:b/>
          <w:sz w:val="18"/>
        </w:rPr>
        <w:t>commitments</w:t>
      </w:r>
    </w:p>
    <w:p w14:paraId="292D2FDC" w14:textId="77777777" w:rsidR="00FA4AA8" w:rsidRDefault="0015611F">
      <w:pPr>
        <w:pStyle w:val="BodyText"/>
        <w:spacing w:before="9" w:line="490" w:lineRule="atLeast"/>
        <w:ind w:left="564"/>
      </w:pPr>
      <w:r>
        <w:t>The University leases computing equipment, printing equipment and building office space under operating leases. Commitments for minimum lease payments in relation to non-cancellable operating leases are payable as follows:</w:t>
      </w:r>
    </w:p>
    <w:p w14:paraId="4591D2DA" w14:textId="77777777" w:rsidR="00FA4AA8" w:rsidRDefault="0015611F">
      <w:pPr>
        <w:tabs>
          <w:tab w:val="left" w:pos="8423"/>
        </w:tabs>
        <w:spacing w:before="37"/>
        <w:ind w:left="5373"/>
        <w:rPr>
          <w:b/>
          <w:sz w:val="18"/>
        </w:rPr>
      </w:pPr>
      <w:r>
        <w:rPr>
          <w:b/>
          <w:sz w:val="18"/>
        </w:rPr>
        <w:t>Consolidated</w:t>
      </w:r>
      <w:r>
        <w:rPr>
          <w:b/>
          <w:sz w:val="18"/>
        </w:rPr>
        <w:tab/>
        <w:t>Parent</w:t>
      </w:r>
    </w:p>
    <w:p w14:paraId="0652DD6D" w14:textId="77777777" w:rsidR="00FA4AA8" w:rsidRDefault="00FA4AA8">
      <w:pPr>
        <w:pStyle w:val="BodyText"/>
        <w:spacing w:before="4"/>
        <w:rPr>
          <w:b/>
          <w:sz w:val="6"/>
        </w:rPr>
      </w:pPr>
    </w:p>
    <w:tbl>
      <w:tblPr>
        <w:tblW w:w="0" w:type="auto"/>
        <w:tblInd w:w="521" w:type="dxa"/>
        <w:tblLayout w:type="fixed"/>
        <w:tblCellMar>
          <w:left w:w="0" w:type="dxa"/>
          <w:right w:w="0" w:type="dxa"/>
        </w:tblCellMar>
        <w:tblLook w:val="01E0" w:firstRow="1" w:lastRow="1" w:firstColumn="1" w:lastColumn="1" w:noHBand="0" w:noVBand="0"/>
      </w:tblPr>
      <w:tblGrid>
        <w:gridCol w:w="4036"/>
        <w:gridCol w:w="1625"/>
        <w:gridCol w:w="1379"/>
        <w:gridCol w:w="1379"/>
        <w:gridCol w:w="1133"/>
      </w:tblGrid>
      <w:tr w:rsidR="00FA4AA8" w14:paraId="1D5DADC8" w14:textId="77777777">
        <w:trPr>
          <w:trHeight w:val="237"/>
        </w:trPr>
        <w:tc>
          <w:tcPr>
            <w:tcW w:w="4036" w:type="dxa"/>
            <w:vMerge w:val="restart"/>
          </w:tcPr>
          <w:p w14:paraId="3405451D" w14:textId="77777777" w:rsidR="00FA4AA8" w:rsidRDefault="00FA4AA8">
            <w:pPr>
              <w:pStyle w:val="TableParagraph"/>
              <w:rPr>
                <w:rFonts w:ascii="Times New Roman"/>
                <w:sz w:val="18"/>
              </w:rPr>
            </w:pPr>
          </w:p>
        </w:tc>
        <w:tc>
          <w:tcPr>
            <w:tcW w:w="1625" w:type="dxa"/>
          </w:tcPr>
          <w:p w14:paraId="49392AF3" w14:textId="77777777" w:rsidR="00FA4AA8" w:rsidRDefault="0015611F">
            <w:pPr>
              <w:pStyle w:val="TableParagraph"/>
              <w:spacing w:line="201" w:lineRule="exact"/>
              <w:ind w:left="600"/>
              <w:rPr>
                <w:b/>
                <w:sz w:val="18"/>
              </w:rPr>
            </w:pPr>
            <w:r>
              <w:rPr>
                <w:b/>
                <w:sz w:val="18"/>
              </w:rPr>
              <w:t>2018</w:t>
            </w:r>
          </w:p>
        </w:tc>
        <w:tc>
          <w:tcPr>
            <w:tcW w:w="1379" w:type="dxa"/>
          </w:tcPr>
          <w:p w14:paraId="313175B5" w14:textId="77777777" w:rsidR="00FA4AA8" w:rsidRDefault="0015611F">
            <w:pPr>
              <w:pStyle w:val="TableParagraph"/>
              <w:spacing w:line="201" w:lineRule="exact"/>
              <w:ind w:left="271"/>
              <w:rPr>
                <w:b/>
                <w:sz w:val="18"/>
              </w:rPr>
            </w:pPr>
            <w:r>
              <w:rPr>
                <w:b/>
                <w:sz w:val="18"/>
              </w:rPr>
              <w:t>2017</w:t>
            </w:r>
          </w:p>
        </w:tc>
        <w:tc>
          <w:tcPr>
            <w:tcW w:w="1379" w:type="dxa"/>
          </w:tcPr>
          <w:p w14:paraId="517D7AE4" w14:textId="77777777" w:rsidR="00FA4AA8" w:rsidRDefault="0015611F">
            <w:pPr>
              <w:pStyle w:val="TableParagraph"/>
              <w:spacing w:line="201" w:lineRule="exact"/>
              <w:ind w:left="356"/>
              <w:rPr>
                <w:b/>
                <w:sz w:val="18"/>
              </w:rPr>
            </w:pPr>
            <w:r>
              <w:rPr>
                <w:b/>
                <w:sz w:val="18"/>
              </w:rPr>
              <w:t>2018</w:t>
            </w:r>
          </w:p>
        </w:tc>
        <w:tc>
          <w:tcPr>
            <w:tcW w:w="1133" w:type="dxa"/>
          </w:tcPr>
          <w:p w14:paraId="55E06A5F" w14:textId="77777777" w:rsidR="00FA4AA8" w:rsidRDefault="0015611F">
            <w:pPr>
              <w:pStyle w:val="TableParagraph"/>
              <w:spacing w:line="201" w:lineRule="exact"/>
              <w:ind w:left="273"/>
              <w:rPr>
                <w:b/>
                <w:sz w:val="18"/>
              </w:rPr>
            </w:pPr>
            <w:r>
              <w:rPr>
                <w:b/>
                <w:sz w:val="18"/>
              </w:rPr>
              <w:t>2017</w:t>
            </w:r>
          </w:p>
        </w:tc>
      </w:tr>
      <w:tr w:rsidR="00FA4AA8" w14:paraId="75B0C0AC" w14:textId="77777777">
        <w:trPr>
          <w:trHeight w:val="270"/>
        </w:trPr>
        <w:tc>
          <w:tcPr>
            <w:tcW w:w="4036" w:type="dxa"/>
            <w:vMerge/>
            <w:tcBorders>
              <w:top w:val="nil"/>
            </w:tcBorders>
          </w:tcPr>
          <w:p w14:paraId="2DE0A162" w14:textId="77777777" w:rsidR="00FA4AA8" w:rsidRDefault="00FA4AA8">
            <w:pPr>
              <w:rPr>
                <w:sz w:val="2"/>
                <w:szCs w:val="2"/>
              </w:rPr>
            </w:pPr>
          </w:p>
        </w:tc>
        <w:tc>
          <w:tcPr>
            <w:tcW w:w="1625" w:type="dxa"/>
          </w:tcPr>
          <w:p w14:paraId="1D9BEA45" w14:textId="77777777" w:rsidR="00FA4AA8" w:rsidRDefault="0015611F">
            <w:pPr>
              <w:pStyle w:val="TableParagraph"/>
              <w:spacing w:before="30"/>
              <w:ind w:left="578"/>
              <w:rPr>
                <w:b/>
                <w:sz w:val="18"/>
              </w:rPr>
            </w:pPr>
            <w:r>
              <w:rPr>
                <w:b/>
                <w:sz w:val="18"/>
              </w:rPr>
              <w:t>$'000</w:t>
            </w:r>
          </w:p>
        </w:tc>
        <w:tc>
          <w:tcPr>
            <w:tcW w:w="1379" w:type="dxa"/>
          </w:tcPr>
          <w:p w14:paraId="01771F5A" w14:textId="77777777" w:rsidR="00FA4AA8" w:rsidRDefault="0015611F">
            <w:pPr>
              <w:pStyle w:val="TableParagraph"/>
              <w:spacing w:before="30"/>
              <w:ind w:left="249"/>
              <w:rPr>
                <w:b/>
                <w:sz w:val="18"/>
              </w:rPr>
            </w:pPr>
            <w:r>
              <w:rPr>
                <w:b/>
                <w:sz w:val="18"/>
              </w:rPr>
              <w:t>$'000</w:t>
            </w:r>
          </w:p>
        </w:tc>
        <w:tc>
          <w:tcPr>
            <w:tcW w:w="1379" w:type="dxa"/>
          </w:tcPr>
          <w:p w14:paraId="51FA81B5" w14:textId="77777777" w:rsidR="00FA4AA8" w:rsidRDefault="0015611F">
            <w:pPr>
              <w:pStyle w:val="TableParagraph"/>
              <w:spacing w:before="30"/>
              <w:ind w:left="334"/>
              <w:rPr>
                <w:b/>
                <w:sz w:val="18"/>
              </w:rPr>
            </w:pPr>
            <w:r>
              <w:rPr>
                <w:b/>
                <w:sz w:val="18"/>
              </w:rPr>
              <w:t>$'000</w:t>
            </w:r>
          </w:p>
        </w:tc>
        <w:tc>
          <w:tcPr>
            <w:tcW w:w="1133" w:type="dxa"/>
          </w:tcPr>
          <w:p w14:paraId="124ED792" w14:textId="77777777" w:rsidR="00FA4AA8" w:rsidRDefault="0015611F">
            <w:pPr>
              <w:pStyle w:val="TableParagraph"/>
              <w:spacing w:before="30"/>
              <w:ind w:left="251"/>
              <w:rPr>
                <w:b/>
                <w:sz w:val="18"/>
              </w:rPr>
            </w:pPr>
            <w:r>
              <w:rPr>
                <w:b/>
                <w:sz w:val="18"/>
              </w:rPr>
              <w:t>$'000</w:t>
            </w:r>
          </w:p>
        </w:tc>
      </w:tr>
      <w:tr w:rsidR="00FA4AA8" w14:paraId="387706BF" w14:textId="77777777">
        <w:trPr>
          <w:trHeight w:val="266"/>
        </w:trPr>
        <w:tc>
          <w:tcPr>
            <w:tcW w:w="4036" w:type="dxa"/>
          </w:tcPr>
          <w:p w14:paraId="18DC6F03" w14:textId="77777777" w:rsidR="00FA4AA8" w:rsidRDefault="0015611F">
            <w:pPr>
              <w:pStyle w:val="TableParagraph"/>
              <w:spacing w:before="26"/>
              <w:ind w:left="50"/>
              <w:rPr>
                <w:sz w:val="18"/>
              </w:rPr>
            </w:pPr>
            <w:r>
              <w:rPr>
                <w:sz w:val="18"/>
              </w:rPr>
              <w:t>- Within one year</w:t>
            </w:r>
          </w:p>
        </w:tc>
        <w:tc>
          <w:tcPr>
            <w:tcW w:w="1625" w:type="dxa"/>
          </w:tcPr>
          <w:p w14:paraId="5B9B888D" w14:textId="77777777" w:rsidR="00FA4AA8" w:rsidRDefault="0015611F">
            <w:pPr>
              <w:pStyle w:val="TableParagraph"/>
              <w:spacing w:before="29"/>
              <w:ind w:right="245"/>
              <w:jc w:val="right"/>
              <w:rPr>
                <w:b/>
                <w:sz w:val="18"/>
              </w:rPr>
            </w:pPr>
            <w:r>
              <w:rPr>
                <w:b/>
                <w:sz w:val="18"/>
              </w:rPr>
              <w:t>32,289</w:t>
            </w:r>
          </w:p>
        </w:tc>
        <w:tc>
          <w:tcPr>
            <w:tcW w:w="1379" w:type="dxa"/>
          </w:tcPr>
          <w:p w14:paraId="78D2677B" w14:textId="77777777" w:rsidR="00FA4AA8" w:rsidRDefault="0015611F">
            <w:pPr>
              <w:pStyle w:val="TableParagraph"/>
              <w:spacing w:before="29"/>
              <w:ind w:right="328"/>
              <w:jc w:val="right"/>
              <w:rPr>
                <w:sz w:val="18"/>
              </w:rPr>
            </w:pPr>
            <w:r>
              <w:rPr>
                <w:sz w:val="18"/>
              </w:rPr>
              <w:t>25,963</w:t>
            </w:r>
          </w:p>
        </w:tc>
        <w:tc>
          <w:tcPr>
            <w:tcW w:w="1379" w:type="dxa"/>
          </w:tcPr>
          <w:p w14:paraId="3AD8C6DB" w14:textId="77777777" w:rsidR="00FA4AA8" w:rsidRDefault="0015611F">
            <w:pPr>
              <w:pStyle w:val="TableParagraph"/>
              <w:spacing w:before="29"/>
              <w:ind w:right="243"/>
              <w:jc w:val="right"/>
              <w:rPr>
                <w:b/>
                <w:sz w:val="18"/>
              </w:rPr>
            </w:pPr>
            <w:r>
              <w:rPr>
                <w:b/>
                <w:sz w:val="18"/>
              </w:rPr>
              <w:t>31,844</w:t>
            </w:r>
          </w:p>
        </w:tc>
        <w:tc>
          <w:tcPr>
            <w:tcW w:w="1133" w:type="dxa"/>
          </w:tcPr>
          <w:p w14:paraId="29518C10" w14:textId="77777777" w:rsidR="00FA4AA8" w:rsidRDefault="0015611F">
            <w:pPr>
              <w:pStyle w:val="TableParagraph"/>
              <w:spacing w:before="29"/>
              <w:ind w:right="80"/>
              <w:jc w:val="right"/>
              <w:rPr>
                <w:sz w:val="18"/>
              </w:rPr>
            </w:pPr>
            <w:r>
              <w:rPr>
                <w:sz w:val="18"/>
              </w:rPr>
              <w:t>25,618</w:t>
            </w:r>
          </w:p>
        </w:tc>
      </w:tr>
      <w:tr w:rsidR="00FA4AA8" w14:paraId="44120076" w14:textId="77777777">
        <w:trPr>
          <w:trHeight w:val="263"/>
        </w:trPr>
        <w:tc>
          <w:tcPr>
            <w:tcW w:w="4036" w:type="dxa"/>
          </w:tcPr>
          <w:p w14:paraId="494AAB6C" w14:textId="77777777" w:rsidR="00FA4AA8" w:rsidRDefault="0015611F">
            <w:pPr>
              <w:pStyle w:val="TableParagraph"/>
              <w:spacing w:before="24"/>
              <w:ind w:left="50"/>
              <w:rPr>
                <w:sz w:val="18"/>
              </w:rPr>
            </w:pPr>
            <w:r>
              <w:rPr>
                <w:sz w:val="18"/>
              </w:rPr>
              <w:t>- Between one year and five years</w:t>
            </w:r>
          </w:p>
        </w:tc>
        <w:tc>
          <w:tcPr>
            <w:tcW w:w="1625" w:type="dxa"/>
          </w:tcPr>
          <w:p w14:paraId="509F2680" w14:textId="77777777" w:rsidR="00FA4AA8" w:rsidRDefault="0015611F">
            <w:pPr>
              <w:pStyle w:val="TableParagraph"/>
              <w:spacing w:before="26"/>
              <w:ind w:right="245"/>
              <w:jc w:val="right"/>
              <w:rPr>
                <w:b/>
                <w:sz w:val="18"/>
              </w:rPr>
            </w:pPr>
            <w:r>
              <w:rPr>
                <w:b/>
                <w:sz w:val="18"/>
              </w:rPr>
              <w:t>104,560</w:t>
            </w:r>
          </w:p>
        </w:tc>
        <w:tc>
          <w:tcPr>
            <w:tcW w:w="1379" w:type="dxa"/>
          </w:tcPr>
          <w:p w14:paraId="0494D54B" w14:textId="77777777" w:rsidR="00FA4AA8" w:rsidRDefault="0015611F">
            <w:pPr>
              <w:pStyle w:val="TableParagraph"/>
              <w:spacing w:before="26"/>
              <w:ind w:right="328"/>
              <w:jc w:val="right"/>
              <w:rPr>
                <w:sz w:val="18"/>
              </w:rPr>
            </w:pPr>
            <w:r>
              <w:rPr>
                <w:sz w:val="18"/>
              </w:rPr>
              <w:t>84,395</w:t>
            </w:r>
          </w:p>
        </w:tc>
        <w:tc>
          <w:tcPr>
            <w:tcW w:w="1379" w:type="dxa"/>
          </w:tcPr>
          <w:p w14:paraId="5CC75B16" w14:textId="77777777" w:rsidR="00FA4AA8" w:rsidRDefault="0015611F">
            <w:pPr>
              <w:pStyle w:val="TableParagraph"/>
              <w:spacing w:before="26"/>
              <w:ind w:right="243"/>
              <w:jc w:val="right"/>
              <w:rPr>
                <w:b/>
                <w:sz w:val="18"/>
              </w:rPr>
            </w:pPr>
            <w:r>
              <w:rPr>
                <w:b/>
                <w:sz w:val="18"/>
              </w:rPr>
              <w:t>104,145</w:t>
            </w:r>
          </w:p>
        </w:tc>
        <w:tc>
          <w:tcPr>
            <w:tcW w:w="1133" w:type="dxa"/>
          </w:tcPr>
          <w:p w14:paraId="66FE47B6" w14:textId="77777777" w:rsidR="00FA4AA8" w:rsidRDefault="0015611F">
            <w:pPr>
              <w:pStyle w:val="TableParagraph"/>
              <w:spacing w:before="26"/>
              <w:ind w:right="80"/>
              <w:jc w:val="right"/>
              <w:rPr>
                <w:sz w:val="18"/>
              </w:rPr>
            </w:pPr>
            <w:r>
              <w:rPr>
                <w:sz w:val="18"/>
              </w:rPr>
              <w:t>83,922</w:t>
            </w:r>
          </w:p>
        </w:tc>
      </w:tr>
      <w:tr w:rsidR="00FA4AA8" w14:paraId="121BCB47" w14:textId="77777777">
        <w:trPr>
          <w:trHeight w:val="258"/>
        </w:trPr>
        <w:tc>
          <w:tcPr>
            <w:tcW w:w="4036" w:type="dxa"/>
          </w:tcPr>
          <w:p w14:paraId="01A88590" w14:textId="77777777" w:rsidR="00FA4AA8" w:rsidRDefault="0015611F">
            <w:pPr>
              <w:pStyle w:val="TableParagraph"/>
              <w:spacing w:before="24"/>
              <w:ind w:left="50"/>
              <w:rPr>
                <w:sz w:val="18"/>
              </w:rPr>
            </w:pPr>
            <w:r>
              <w:rPr>
                <w:sz w:val="18"/>
              </w:rPr>
              <w:t>- Later than five years</w:t>
            </w:r>
          </w:p>
        </w:tc>
        <w:tc>
          <w:tcPr>
            <w:tcW w:w="1625" w:type="dxa"/>
            <w:tcBorders>
              <w:bottom w:val="single" w:sz="8" w:space="0" w:color="000000"/>
            </w:tcBorders>
          </w:tcPr>
          <w:p w14:paraId="39189EDC" w14:textId="77777777" w:rsidR="00FA4AA8" w:rsidRDefault="0015611F">
            <w:pPr>
              <w:pStyle w:val="TableParagraph"/>
              <w:spacing w:before="26"/>
              <w:ind w:right="245"/>
              <w:jc w:val="right"/>
              <w:rPr>
                <w:b/>
                <w:sz w:val="18"/>
              </w:rPr>
            </w:pPr>
            <w:r>
              <w:rPr>
                <w:b/>
                <w:sz w:val="18"/>
              </w:rPr>
              <w:t>249,497</w:t>
            </w:r>
          </w:p>
        </w:tc>
        <w:tc>
          <w:tcPr>
            <w:tcW w:w="1379" w:type="dxa"/>
            <w:tcBorders>
              <w:bottom w:val="single" w:sz="8" w:space="0" w:color="000000"/>
            </w:tcBorders>
          </w:tcPr>
          <w:p w14:paraId="00932496" w14:textId="77777777" w:rsidR="00FA4AA8" w:rsidRDefault="0015611F">
            <w:pPr>
              <w:pStyle w:val="TableParagraph"/>
              <w:spacing w:before="26"/>
              <w:ind w:right="328"/>
              <w:jc w:val="right"/>
              <w:rPr>
                <w:sz w:val="18"/>
              </w:rPr>
            </w:pPr>
            <w:r>
              <w:rPr>
                <w:sz w:val="18"/>
              </w:rPr>
              <w:t>204,963</w:t>
            </w:r>
          </w:p>
        </w:tc>
        <w:tc>
          <w:tcPr>
            <w:tcW w:w="1379" w:type="dxa"/>
            <w:tcBorders>
              <w:bottom w:val="single" w:sz="8" w:space="0" w:color="000000"/>
            </w:tcBorders>
          </w:tcPr>
          <w:p w14:paraId="27EF3216" w14:textId="77777777" w:rsidR="00FA4AA8" w:rsidRDefault="0015611F">
            <w:pPr>
              <w:pStyle w:val="TableParagraph"/>
              <w:spacing w:before="26"/>
              <w:ind w:right="243"/>
              <w:jc w:val="right"/>
              <w:rPr>
                <w:b/>
                <w:sz w:val="18"/>
              </w:rPr>
            </w:pPr>
            <w:r>
              <w:rPr>
                <w:b/>
                <w:sz w:val="18"/>
              </w:rPr>
              <w:t>249,497</w:t>
            </w:r>
          </w:p>
        </w:tc>
        <w:tc>
          <w:tcPr>
            <w:tcW w:w="1133" w:type="dxa"/>
            <w:tcBorders>
              <w:bottom w:val="single" w:sz="8" w:space="0" w:color="000000"/>
            </w:tcBorders>
          </w:tcPr>
          <w:p w14:paraId="1E613430" w14:textId="77777777" w:rsidR="00FA4AA8" w:rsidRDefault="0015611F">
            <w:pPr>
              <w:pStyle w:val="TableParagraph"/>
              <w:spacing w:before="26"/>
              <w:ind w:right="80"/>
              <w:jc w:val="right"/>
              <w:rPr>
                <w:sz w:val="18"/>
              </w:rPr>
            </w:pPr>
            <w:r>
              <w:rPr>
                <w:sz w:val="18"/>
              </w:rPr>
              <w:t>204,963</w:t>
            </w:r>
          </w:p>
        </w:tc>
      </w:tr>
      <w:tr w:rsidR="00FA4AA8" w14:paraId="73081AF7" w14:textId="77777777">
        <w:trPr>
          <w:trHeight w:val="526"/>
        </w:trPr>
        <w:tc>
          <w:tcPr>
            <w:tcW w:w="4036" w:type="dxa"/>
          </w:tcPr>
          <w:p w14:paraId="4F52169B" w14:textId="77777777" w:rsidR="00FA4AA8" w:rsidRDefault="0015611F">
            <w:pPr>
              <w:pStyle w:val="TableParagraph"/>
              <w:spacing w:before="119" w:line="206" w:lineRule="exact"/>
              <w:ind w:left="50" w:right="1625"/>
              <w:rPr>
                <w:b/>
                <w:sz w:val="18"/>
              </w:rPr>
            </w:pPr>
            <w:r>
              <w:rPr>
                <w:b/>
                <w:sz w:val="18"/>
              </w:rPr>
              <w:t>Total future minimum lease payments</w:t>
            </w:r>
          </w:p>
        </w:tc>
        <w:tc>
          <w:tcPr>
            <w:tcW w:w="1625" w:type="dxa"/>
            <w:tcBorders>
              <w:top w:val="single" w:sz="8" w:space="0" w:color="000000"/>
              <w:bottom w:val="double" w:sz="2" w:space="0" w:color="000000"/>
            </w:tcBorders>
          </w:tcPr>
          <w:p w14:paraId="1B3A1629" w14:textId="77777777" w:rsidR="00FA4AA8" w:rsidRDefault="00FA4AA8">
            <w:pPr>
              <w:pStyle w:val="TableParagraph"/>
              <w:spacing w:before="11"/>
              <w:rPr>
                <w:b/>
                <w:sz w:val="27"/>
              </w:rPr>
            </w:pPr>
          </w:p>
          <w:p w14:paraId="1E70D699" w14:textId="77777777" w:rsidR="00FA4AA8" w:rsidRDefault="0015611F">
            <w:pPr>
              <w:pStyle w:val="TableParagraph"/>
              <w:spacing w:line="185" w:lineRule="exact"/>
              <w:ind w:right="245"/>
              <w:jc w:val="right"/>
              <w:rPr>
                <w:b/>
                <w:sz w:val="18"/>
              </w:rPr>
            </w:pPr>
            <w:r>
              <w:rPr>
                <w:b/>
                <w:sz w:val="18"/>
              </w:rPr>
              <w:t>386,346</w:t>
            </w:r>
          </w:p>
        </w:tc>
        <w:tc>
          <w:tcPr>
            <w:tcW w:w="1379" w:type="dxa"/>
            <w:tcBorders>
              <w:top w:val="single" w:sz="8" w:space="0" w:color="000000"/>
              <w:bottom w:val="double" w:sz="2" w:space="0" w:color="000000"/>
            </w:tcBorders>
          </w:tcPr>
          <w:p w14:paraId="69E56BCB" w14:textId="77777777" w:rsidR="00FA4AA8" w:rsidRDefault="00FA4AA8">
            <w:pPr>
              <w:pStyle w:val="TableParagraph"/>
              <w:spacing w:before="11"/>
              <w:rPr>
                <w:b/>
                <w:sz w:val="27"/>
              </w:rPr>
            </w:pPr>
          </w:p>
          <w:p w14:paraId="21653E23" w14:textId="77777777" w:rsidR="00FA4AA8" w:rsidRDefault="0015611F">
            <w:pPr>
              <w:pStyle w:val="TableParagraph"/>
              <w:spacing w:line="185" w:lineRule="exact"/>
              <w:ind w:right="328"/>
              <w:jc w:val="right"/>
              <w:rPr>
                <w:sz w:val="18"/>
              </w:rPr>
            </w:pPr>
            <w:r>
              <w:rPr>
                <w:sz w:val="18"/>
              </w:rPr>
              <w:t>315,321</w:t>
            </w:r>
          </w:p>
        </w:tc>
        <w:tc>
          <w:tcPr>
            <w:tcW w:w="1379" w:type="dxa"/>
            <w:tcBorders>
              <w:top w:val="single" w:sz="8" w:space="0" w:color="000000"/>
              <w:bottom w:val="double" w:sz="2" w:space="0" w:color="000000"/>
            </w:tcBorders>
          </w:tcPr>
          <w:p w14:paraId="440D9410" w14:textId="77777777" w:rsidR="00FA4AA8" w:rsidRDefault="00FA4AA8">
            <w:pPr>
              <w:pStyle w:val="TableParagraph"/>
              <w:spacing w:before="11"/>
              <w:rPr>
                <w:b/>
                <w:sz w:val="27"/>
              </w:rPr>
            </w:pPr>
          </w:p>
          <w:p w14:paraId="57F6115D" w14:textId="77777777" w:rsidR="00FA4AA8" w:rsidRDefault="0015611F">
            <w:pPr>
              <w:pStyle w:val="TableParagraph"/>
              <w:spacing w:line="185" w:lineRule="exact"/>
              <w:ind w:right="243"/>
              <w:jc w:val="right"/>
              <w:rPr>
                <w:b/>
                <w:sz w:val="18"/>
              </w:rPr>
            </w:pPr>
            <w:r>
              <w:rPr>
                <w:b/>
                <w:sz w:val="18"/>
              </w:rPr>
              <w:t>385,486</w:t>
            </w:r>
          </w:p>
        </w:tc>
        <w:tc>
          <w:tcPr>
            <w:tcW w:w="1133" w:type="dxa"/>
            <w:tcBorders>
              <w:top w:val="single" w:sz="8" w:space="0" w:color="000000"/>
              <w:bottom w:val="double" w:sz="2" w:space="0" w:color="000000"/>
            </w:tcBorders>
          </w:tcPr>
          <w:p w14:paraId="1604F7AD" w14:textId="77777777" w:rsidR="00FA4AA8" w:rsidRDefault="00FA4AA8">
            <w:pPr>
              <w:pStyle w:val="TableParagraph"/>
              <w:spacing w:before="11"/>
              <w:rPr>
                <w:b/>
                <w:sz w:val="27"/>
              </w:rPr>
            </w:pPr>
          </w:p>
          <w:p w14:paraId="579E67FC" w14:textId="77777777" w:rsidR="00FA4AA8" w:rsidRDefault="0015611F">
            <w:pPr>
              <w:pStyle w:val="TableParagraph"/>
              <w:spacing w:line="185" w:lineRule="exact"/>
              <w:ind w:right="80"/>
              <w:jc w:val="right"/>
              <w:rPr>
                <w:sz w:val="18"/>
              </w:rPr>
            </w:pPr>
            <w:r>
              <w:rPr>
                <w:sz w:val="18"/>
              </w:rPr>
              <w:t>314,503</w:t>
            </w:r>
          </w:p>
        </w:tc>
      </w:tr>
    </w:tbl>
    <w:p w14:paraId="18FF6F91" w14:textId="77777777" w:rsidR="00FA4AA8" w:rsidRDefault="00FA4AA8">
      <w:pPr>
        <w:pStyle w:val="BodyText"/>
        <w:spacing w:before="1"/>
        <w:rPr>
          <w:b/>
          <w:sz w:val="26"/>
        </w:rPr>
      </w:pPr>
    </w:p>
    <w:p w14:paraId="1A67CEA4" w14:textId="77777777" w:rsidR="00FA4AA8" w:rsidRDefault="0015611F">
      <w:pPr>
        <w:pStyle w:val="BodyText"/>
        <w:ind w:left="564" w:right="185"/>
      </w:pPr>
      <w:bookmarkStart w:id="65" w:name="32_Related_Parties_"/>
      <w:bookmarkEnd w:id="65"/>
      <w:r>
        <w:t>In 2017, the University entered into a Commercial Lease agreement for the lease of the Parramatta CBD premises. In</w:t>
      </w:r>
      <w:bookmarkStart w:id="66" w:name="(a)_Parent_entities"/>
      <w:bookmarkEnd w:id="66"/>
      <w:r>
        <w:t xml:space="preserve"> 2018, the University agreed in principle to a Commercial Lease agreement for the lease of the Liverpool CBD premises. This agreement is unsigned at reporting date and expected to be finalised in early 2019. Both leases are for an initial term of 15 years, and the operating lease commitments are included</w:t>
      </w:r>
      <w:r>
        <w:rPr>
          <w:spacing w:val="13"/>
        </w:rPr>
        <w:t xml:space="preserve"> </w:t>
      </w:r>
      <w:r>
        <w:t>above.</w:t>
      </w:r>
    </w:p>
    <w:p w14:paraId="1B6F2F90" w14:textId="77777777" w:rsidR="00FA4AA8" w:rsidRDefault="00FA4AA8">
      <w:pPr>
        <w:pStyle w:val="BodyText"/>
        <w:spacing w:before="10"/>
        <w:rPr>
          <w:sz w:val="24"/>
        </w:rPr>
      </w:pPr>
    </w:p>
    <w:p w14:paraId="138073D1" w14:textId="77777777" w:rsidR="00FA4AA8" w:rsidRDefault="0015611F">
      <w:pPr>
        <w:numPr>
          <w:ilvl w:val="0"/>
          <w:numId w:val="91"/>
        </w:numPr>
        <w:tabs>
          <w:tab w:val="left" w:pos="564"/>
        </w:tabs>
        <w:ind w:hanging="397"/>
        <w:rPr>
          <w:b/>
          <w:sz w:val="18"/>
        </w:rPr>
      </w:pPr>
      <w:r>
        <w:rPr>
          <w:b/>
          <w:sz w:val="18"/>
        </w:rPr>
        <w:t>Related Parties</w:t>
      </w:r>
    </w:p>
    <w:p w14:paraId="41E7DDDC" w14:textId="77777777" w:rsidR="00FA4AA8" w:rsidRDefault="00FA4AA8">
      <w:pPr>
        <w:pStyle w:val="BodyText"/>
        <w:spacing w:before="7"/>
        <w:rPr>
          <w:b/>
          <w:sz w:val="26"/>
        </w:rPr>
      </w:pPr>
    </w:p>
    <w:p w14:paraId="77371EF4" w14:textId="77777777" w:rsidR="00FA4AA8" w:rsidRDefault="0015611F">
      <w:pPr>
        <w:pStyle w:val="ListParagraph"/>
        <w:numPr>
          <w:ilvl w:val="0"/>
          <w:numId w:val="88"/>
        </w:numPr>
        <w:tabs>
          <w:tab w:val="left" w:pos="564"/>
        </w:tabs>
        <w:ind w:hanging="397"/>
        <w:rPr>
          <w:b/>
          <w:sz w:val="18"/>
        </w:rPr>
      </w:pPr>
      <w:r>
        <w:rPr>
          <w:b/>
          <w:sz w:val="18"/>
        </w:rPr>
        <w:t>Parent entities</w:t>
      </w:r>
    </w:p>
    <w:p w14:paraId="18AB7546" w14:textId="77777777" w:rsidR="00FA4AA8" w:rsidRDefault="00FA4AA8">
      <w:pPr>
        <w:pStyle w:val="BodyText"/>
        <w:spacing w:before="5"/>
        <w:rPr>
          <w:b/>
          <w:sz w:val="25"/>
        </w:rPr>
      </w:pPr>
    </w:p>
    <w:p w14:paraId="04BEB103" w14:textId="77777777" w:rsidR="00FA4AA8" w:rsidRDefault="0015611F">
      <w:pPr>
        <w:pStyle w:val="BodyText"/>
        <w:ind w:left="564"/>
      </w:pPr>
      <w:r>
        <w:t>The ultimate parent entity within the Group is Western Sydney University.</w:t>
      </w:r>
    </w:p>
    <w:p w14:paraId="22996482" w14:textId="77777777" w:rsidR="00FA4AA8" w:rsidRDefault="00FA4AA8">
      <w:pPr>
        <w:sectPr w:rsidR="00FA4AA8">
          <w:type w:val="continuous"/>
          <w:pgSz w:w="11910" w:h="16840"/>
          <w:pgMar w:top="20" w:right="880" w:bottom="0" w:left="840" w:header="720" w:footer="720" w:gutter="0"/>
          <w:cols w:space="720"/>
        </w:sectPr>
      </w:pPr>
    </w:p>
    <w:p w14:paraId="71B18D57" w14:textId="77777777" w:rsidR="00FA4AA8" w:rsidRDefault="00FA4AA8">
      <w:pPr>
        <w:pStyle w:val="BodyText"/>
        <w:rPr>
          <w:sz w:val="20"/>
        </w:rPr>
      </w:pPr>
    </w:p>
    <w:p w14:paraId="438832B3" w14:textId="77777777" w:rsidR="00FA4AA8" w:rsidRDefault="00FA4AA8">
      <w:pPr>
        <w:pStyle w:val="BodyText"/>
        <w:spacing w:before="10"/>
        <w:rPr>
          <w:sz w:val="29"/>
        </w:rPr>
      </w:pPr>
    </w:p>
    <w:p w14:paraId="5B0DCCAD" w14:textId="77777777" w:rsidR="00FA4AA8" w:rsidRDefault="0015611F">
      <w:pPr>
        <w:spacing w:before="94"/>
        <w:ind w:left="167"/>
        <w:rPr>
          <w:b/>
          <w:sz w:val="18"/>
        </w:rPr>
      </w:pPr>
      <w:bookmarkStart w:id="67" w:name="(b)_Subsidiaries"/>
      <w:bookmarkEnd w:id="67"/>
      <w:r>
        <w:rPr>
          <w:b/>
          <w:sz w:val="18"/>
        </w:rPr>
        <w:t>32 Related Parties (continued)</w:t>
      </w:r>
    </w:p>
    <w:p w14:paraId="3B71E5E9" w14:textId="77777777" w:rsidR="00FA4AA8" w:rsidRDefault="00FA4AA8">
      <w:pPr>
        <w:pStyle w:val="BodyText"/>
        <w:spacing w:before="7"/>
        <w:rPr>
          <w:b/>
          <w:sz w:val="26"/>
        </w:rPr>
      </w:pPr>
    </w:p>
    <w:p w14:paraId="1B8DE60D" w14:textId="77777777" w:rsidR="00FA4AA8" w:rsidRDefault="0015611F">
      <w:pPr>
        <w:pStyle w:val="ListParagraph"/>
        <w:numPr>
          <w:ilvl w:val="0"/>
          <w:numId w:val="88"/>
        </w:numPr>
        <w:tabs>
          <w:tab w:val="left" w:pos="564"/>
        </w:tabs>
        <w:ind w:hanging="397"/>
        <w:rPr>
          <w:b/>
          <w:sz w:val="18"/>
        </w:rPr>
      </w:pPr>
      <w:r>
        <w:rPr>
          <w:b/>
          <w:sz w:val="18"/>
        </w:rPr>
        <w:t>Subsidiaries</w:t>
      </w:r>
    </w:p>
    <w:p w14:paraId="2DBF425C" w14:textId="77777777" w:rsidR="00FA4AA8" w:rsidRDefault="00FA4AA8">
      <w:pPr>
        <w:pStyle w:val="BodyText"/>
        <w:spacing w:before="5"/>
        <w:rPr>
          <w:b/>
          <w:sz w:val="25"/>
        </w:rPr>
      </w:pPr>
    </w:p>
    <w:p w14:paraId="1D61A1C2" w14:textId="77777777" w:rsidR="00FA4AA8" w:rsidRDefault="0015611F">
      <w:pPr>
        <w:pStyle w:val="BodyText"/>
        <w:ind w:left="564"/>
      </w:pPr>
      <w:r>
        <w:t>The consolidated financial statements incorporate the assets, liabilities and results of the following subsidiaries in accordance with the accounting policy described in note 1(b).</w:t>
      </w:r>
    </w:p>
    <w:p w14:paraId="45875D41" w14:textId="77777777" w:rsidR="00FA4AA8" w:rsidRDefault="00FA4AA8">
      <w:pPr>
        <w:pStyle w:val="BodyText"/>
        <w:rPr>
          <w:sz w:val="20"/>
        </w:rPr>
      </w:pPr>
    </w:p>
    <w:p w14:paraId="75114EEB" w14:textId="77777777" w:rsidR="00FA4AA8" w:rsidRDefault="00FA4AA8">
      <w:pPr>
        <w:pStyle w:val="BodyText"/>
        <w:spacing w:before="7"/>
        <w:rPr>
          <w:sz w:val="17"/>
        </w:rPr>
      </w:pPr>
    </w:p>
    <w:p w14:paraId="340D7213" w14:textId="77777777" w:rsidR="00FA4AA8" w:rsidRDefault="00FA4AA8">
      <w:pPr>
        <w:rPr>
          <w:sz w:val="17"/>
        </w:rPr>
        <w:sectPr w:rsidR="00FA4AA8">
          <w:pgSz w:w="11910" w:h="16840"/>
          <w:pgMar w:top="2220" w:right="880" w:bottom="720" w:left="840" w:header="1016" w:footer="523" w:gutter="0"/>
          <w:cols w:space="720"/>
        </w:sectPr>
      </w:pPr>
    </w:p>
    <w:p w14:paraId="02DE218A" w14:textId="77777777" w:rsidR="00FA4AA8" w:rsidRDefault="0015611F">
      <w:pPr>
        <w:spacing w:before="95"/>
        <w:ind w:left="5332" w:right="-8"/>
        <w:rPr>
          <w:b/>
          <w:sz w:val="18"/>
        </w:rPr>
      </w:pPr>
      <w:r>
        <w:rPr>
          <w:b/>
          <w:sz w:val="18"/>
        </w:rPr>
        <w:t xml:space="preserve">Principal place of business/Country </w:t>
      </w:r>
      <w:r>
        <w:rPr>
          <w:b/>
          <w:spacing w:val="-7"/>
          <w:sz w:val="18"/>
        </w:rPr>
        <w:t>of</w:t>
      </w:r>
    </w:p>
    <w:p w14:paraId="1EB96E6C" w14:textId="77777777" w:rsidR="00FA4AA8" w:rsidRDefault="0015611F">
      <w:pPr>
        <w:pStyle w:val="BodyText"/>
        <w:spacing w:before="4"/>
        <w:rPr>
          <w:b/>
          <w:sz w:val="20"/>
        </w:rPr>
      </w:pPr>
      <w:r>
        <w:br w:type="column"/>
      </w:r>
    </w:p>
    <w:p w14:paraId="4ACDDD0F" w14:textId="77777777" w:rsidR="00FA4AA8" w:rsidRDefault="0015611F">
      <w:pPr>
        <w:ind w:left="699"/>
        <w:rPr>
          <w:b/>
          <w:sz w:val="18"/>
        </w:rPr>
      </w:pPr>
      <w:r>
        <w:rPr>
          <w:b/>
          <w:sz w:val="18"/>
        </w:rPr>
        <w:t>Ownership interest</w:t>
      </w:r>
    </w:p>
    <w:p w14:paraId="56A65F4A" w14:textId="77777777" w:rsidR="00FA4AA8" w:rsidRDefault="00FA4AA8">
      <w:pPr>
        <w:rPr>
          <w:sz w:val="18"/>
        </w:rPr>
        <w:sectPr w:rsidR="00FA4AA8">
          <w:type w:val="continuous"/>
          <w:pgSz w:w="11910" w:h="16840"/>
          <w:pgMar w:top="20" w:right="880" w:bottom="0" w:left="840" w:header="720" w:footer="720" w:gutter="0"/>
          <w:cols w:num="2" w:space="720" w:equalWidth="0">
            <w:col w:w="7071" w:space="40"/>
            <w:col w:w="3079"/>
          </w:cols>
        </w:sectPr>
      </w:pPr>
    </w:p>
    <w:tbl>
      <w:tblPr>
        <w:tblW w:w="0" w:type="auto"/>
        <w:tblInd w:w="521" w:type="dxa"/>
        <w:tblLayout w:type="fixed"/>
        <w:tblCellMar>
          <w:left w:w="0" w:type="dxa"/>
          <w:right w:w="0" w:type="dxa"/>
        </w:tblCellMar>
        <w:tblLook w:val="01E0" w:firstRow="1" w:lastRow="1" w:firstColumn="1" w:lastColumn="1" w:noHBand="0" w:noVBand="0"/>
      </w:tblPr>
      <w:tblGrid>
        <w:gridCol w:w="4781"/>
        <w:gridCol w:w="1916"/>
        <w:gridCol w:w="1153"/>
        <w:gridCol w:w="598"/>
        <w:gridCol w:w="699"/>
        <w:gridCol w:w="389"/>
      </w:tblGrid>
      <w:tr w:rsidR="00FA4AA8" w14:paraId="1EAF272A" w14:textId="77777777">
        <w:trPr>
          <w:trHeight w:val="550"/>
        </w:trPr>
        <w:tc>
          <w:tcPr>
            <w:tcW w:w="4781" w:type="dxa"/>
          </w:tcPr>
          <w:p w14:paraId="47A287BA" w14:textId="77777777" w:rsidR="00FA4AA8" w:rsidRDefault="00FA4AA8">
            <w:pPr>
              <w:pStyle w:val="TableParagraph"/>
              <w:rPr>
                <w:rFonts w:ascii="Times New Roman"/>
                <w:sz w:val="18"/>
              </w:rPr>
            </w:pPr>
          </w:p>
        </w:tc>
        <w:tc>
          <w:tcPr>
            <w:tcW w:w="1916" w:type="dxa"/>
          </w:tcPr>
          <w:p w14:paraId="413DCF59" w14:textId="77777777" w:rsidR="00FA4AA8" w:rsidRDefault="0015611F">
            <w:pPr>
              <w:pStyle w:val="TableParagraph"/>
              <w:spacing w:line="201" w:lineRule="exact"/>
              <w:ind w:left="37"/>
              <w:rPr>
                <w:b/>
                <w:sz w:val="18"/>
              </w:rPr>
            </w:pPr>
            <w:r>
              <w:rPr>
                <w:b/>
                <w:sz w:val="18"/>
              </w:rPr>
              <w:t>Incorporation</w:t>
            </w:r>
          </w:p>
        </w:tc>
        <w:tc>
          <w:tcPr>
            <w:tcW w:w="1153" w:type="dxa"/>
          </w:tcPr>
          <w:p w14:paraId="7B486EEE" w14:textId="77777777" w:rsidR="00FA4AA8" w:rsidRDefault="0015611F">
            <w:pPr>
              <w:pStyle w:val="TableParagraph"/>
              <w:spacing w:line="201" w:lineRule="exact"/>
              <w:ind w:left="694" w:right="17"/>
              <w:jc w:val="center"/>
              <w:rPr>
                <w:b/>
                <w:sz w:val="18"/>
              </w:rPr>
            </w:pPr>
            <w:r>
              <w:rPr>
                <w:b/>
                <w:sz w:val="18"/>
              </w:rPr>
              <w:t>2018</w:t>
            </w:r>
          </w:p>
          <w:p w14:paraId="24D4AC5B" w14:textId="77777777" w:rsidR="00FA4AA8" w:rsidRDefault="0015611F">
            <w:pPr>
              <w:pStyle w:val="TableParagraph"/>
              <w:spacing w:before="66"/>
              <w:ind w:left="684"/>
              <w:jc w:val="center"/>
              <w:rPr>
                <w:b/>
                <w:sz w:val="18"/>
              </w:rPr>
            </w:pPr>
            <w:r>
              <w:rPr>
                <w:b/>
                <w:sz w:val="18"/>
              </w:rPr>
              <w:t>%</w:t>
            </w:r>
          </w:p>
        </w:tc>
        <w:tc>
          <w:tcPr>
            <w:tcW w:w="598" w:type="dxa"/>
          </w:tcPr>
          <w:p w14:paraId="0DE4D755" w14:textId="77777777" w:rsidR="00FA4AA8" w:rsidRDefault="00FA4AA8">
            <w:pPr>
              <w:pStyle w:val="TableParagraph"/>
              <w:rPr>
                <w:rFonts w:ascii="Times New Roman"/>
                <w:sz w:val="18"/>
              </w:rPr>
            </w:pPr>
          </w:p>
        </w:tc>
        <w:tc>
          <w:tcPr>
            <w:tcW w:w="699" w:type="dxa"/>
          </w:tcPr>
          <w:p w14:paraId="1F259B2B" w14:textId="77777777" w:rsidR="00FA4AA8" w:rsidRDefault="0015611F">
            <w:pPr>
              <w:pStyle w:val="TableParagraph"/>
              <w:spacing w:line="201" w:lineRule="exact"/>
              <w:ind w:left="239" w:right="18"/>
              <w:jc w:val="center"/>
              <w:rPr>
                <w:b/>
                <w:sz w:val="18"/>
              </w:rPr>
            </w:pPr>
            <w:r>
              <w:rPr>
                <w:b/>
                <w:sz w:val="18"/>
              </w:rPr>
              <w:t>2017</w:t>
            </w:r>
          </w:p>
          <w:p w14:paraId="00BE7872" w14:textId="77777777" w:rsidR="00FA4AA8" w:rsidRDefault="0015611F">
            <w:pPr>
              <w:pStyle w:val="TableParagraph"/>
              <w:spacing w:before="66"/>
              <w:ind w:left="228"/>
              <w:jc w:val="center"/>
              <w:rPr>
                <w:b/>
                <w:sz w:val="18"/>
              </w:rPr>
            </w:pPr>
            <w:r>
              <w:rPr>
                <w:b/>
                <w:sz w:val="18"/>
              </w:rPr>
              <w:t>%</w:t>
            </w:r>
          </w:p>
        </w:tc>
        <w:tc>
          <w:tcPr>
            <w:tcW w:w="389" w:type="dxa"/>
            <w:vMerge w:val="restart"/>
          </w:tcPr>
          <w:p w14:paraId="261F6D41" w14:textId="77777777" w:rsidR="00FA4AA8" w:rsidRDefault="00FA4AA8">
            <w:pPr>
              <w:pStyle w:val="TableParagraph"/>
              <w:rPr>
                <w:rFonts w:ascii="Times New Roman"/>
                <w:sz w:val="18"/>
              </w:rPr>
            </w:pPr>
          </w:p>
        </w:tc>
      </w:tr>
      <w:tr w:rsidR="00FA4AA8" w14:paraId="30ECD3ED" w14:textId="77777777">
        <w:trPr>
          <w:trHeight w:val="292"/>
        </w:trPr>
        <w:tc>
          <w:tcPr>
            <w:tcW w:w="4781" w:type="dxa"/>
          </w:tcPr>
          <w:p w14:paraId="407E3F5A" w14:textId="77777777" w:rsidR="00FA4AA8" w:rsidRDefault="0015611F">
            <w:pPr>
              <w:pStyle w:val="TableParagraph"/>
              <w:spacing w:before="70" w:line="203" w:lineRule="exact"/>
              <w:ind w:left="50"/>
              <w:rPr>
                <w:b/>
                <w:sz w:val="18"/>
              </w:rPr>
            </w:pPr>
            <w:r>
              <w:rPr>
                <w:b/>
                <w:sz w:val="18"/>
              </w:rPr>
              <w:t>Name of Entity</w:t>
            </w:r>
          </w:p>
        </w:tc>
        <w:tc>
          <w:tcPr>
            <w:tcW w:w="1916" w:type="dxa"/>
          </w:tcPr>
          <w:p w14:paraId="46512DA8" w14:textId="77777777" w:rsidR="00FA4AA8" w:rsidRDefault="00FA4AA8">
            <w:pPr>
              <w:pStyle w:val="TableParagraph"/>
              <w:rPr>
                <w:rFonts w:ascii="Times New Roman"/>
                <w:sz w:val="18"/>
              </w:rPr>
            </w:pPr>
          </w:p>
        </w:tc>
        <w:tc>
          <w:tcPr>
            <w:tcW w:w="1153" w:type="dxa"/>
          </w:tcPr>
          <w:p w14:paraId="335172FA" w14:textId="77777777" w:rsidR="00FA4AA8" w:rsidRDefault="00FA4AA8">
            <w:pPr>
              <w:pStyle w:val="TableParagraph"/>
              <w:rPr>
                <w:rFonts w:ascii="Times New Roman"/>
                <w:sz w:val="18"/>
              </w:rPr>
            </w:pPr>
          </w:p>
        </w:tc>
        <w:tc>
          <w:tcPr>
            <w:tcW w:w="598" w:type="dxa"/>
          </w:tcPr>
          <w:p w14:paraId="56B4BEB4" w14:textId="77777777" w:rsidR="00FA4AA8" w:rsidRDefault="00FA4AA8">
            <w:pPr>
              <w:pStyle w:val="TableParagraph"/>
              <w:rPr>
                <w:rFonts w:ascii="Times New Roman"/>
                <w:sz w:val="18"/>
              </w:rPr>
            </w:pPr>
          </w:p>
        </w:tc>
        <w:tc>
          <w:tcPr>
            <w:tcW w:w="699" w:type="dxa"/>
          </w:tcPr>
          <w:p w14:paraId="6F04F015" w14:textId="77777777" w:rsidR="00FA4AA8" w:rsidRDefault="00FA4AA8">
            <w:pPr>
              <w:pStyle w:val="TableParagraph"/>
              <w:rPr>
                <w:rFonts w:ascii="Times New Roman"/>
                <w:sz w:val="18"/>
              </w:rPr>
            </w:pPr>
          </w:p>
        </w:tc>
        <w:tc>
          <w:tcPr>
            <w:tcW w:w="389" w:type="dxa"/>
            <w:vMerge/>
            <w:tcBorders>
              <w:top w:val="nil"/>
            </w:tcBorders>
          </w:tcPr>
          <w:p w14:paraId="2B7B36AA" w14:textId="77777777" w:rsidR="00FA4AA8" w:rsidRDefault="00FA4AA8">
            <w:pPr>
              <w:rPr>
                <w:sz w:val="2"/>
                <w:szCs w:val="2"/>
              </w:rPr>
            </w:pPr>
          </w:p>
        </w:tc>
      </w:tr>
      <w:tr w:rsidR="00FA4AA8" w14:paraId="2D347827" w14:textId="77777777">
        <w:trPr>
          <w:trHeight w:val="219"/>
        </w:trPr>
        <w:tc>
          <w:tcPr>
            <w:tcW w:w="4781" w:type="dxa"/>
          </w:tcPr>
          <w:p w14:paraId="088AFF78" w14:textId="77777777" w:rsidR="00FA4AA8" w:rsidRDefault="0015611F">
            <w:pPr>
              <w:pStyle w:val="TableParagraph"/>
              <w:spacing w:before="10" w:line="190" w:lineRule="exact"/>
              <w:ind w:left="50"/>
              <w:rPr>
                <w:sz w:val="18"/>
              </w:rPr>
            </w:pPr>
            <w:r>
              <w:rPr>
                <w:sz w:val="18"/>
              </w:rPr>
              <w:t>Western Sydney University Enterprises Pty Limited trading</w:t>
            </w:r>
          </w:p>
        </w:tc>
        <w:tc>
          <w:tcPr>
            <w:tcW w:w="1916" w:type="dxa"/>
          </w:tcPr>
          <w:p w14:paraId="5777664D" w14:textId="77777777" w:rsidR="00FA4AA8" w:rsidRDefault="00FA4AA8">
            <w:pPr>
              <w:pStyle w:val="TableParagraph"/>
              <w:rPr>
                <w:rFonts w:ascii="Times New Roman"/>
                <w:sz w:val="14"/>
              </w:rPr>
            </w:pPr>
          </w:p>
        </w:tc>
        <w:tc>
          <w:tcPr>
            <w:tcW w:w="1153" w:type="dxa"/>
          </w:tcPr>
          <w:p w14:paraId="1A9C6B4C" w14:textId="77777777" w:rsidR="00FA4AA8" w:rsidRDefault="00FA4AA8">
            <w:pPr>
              <w:pStyle w:val="TableParagraph"/>
              <w:rPr>
                <w:rFonts w:ascii="Times New Roman"/>
                <w:sz w:val="14"/>
              </w:rPr>
            </w:pPr>
          </w:p>
        </w:tc>
        <w:tc>
          <w:tcPr>
            <w:tcW w:w="598" w:type="dxa"/>
          </w:tcPr>
          <w:p w14:paraId="7DCCF57B" w14:textId="77777777" w:rsidR="00FA4AA8" w:rsidRDefault="00FA4AA8">
            <w:pPr>
              <w:pStyle w:val="TableParagraph"/>
              <w:rPr>
                <w:rFonts w:ascii="Times New Roman"/>
                <w:sz w:val="14"/>
              </w:rPr>
            </w:pPr>
          </w:p>
        </w:tc>
        <w:tc>
          <w:tcPr>
            <w:tcW w:w="699" w:type="dxa"/>
          </w:tcPr>
          <w:p w14:paraId="3AF27CB3" w14:textId="77777777" w:rsidR="00FA4AA8" w:rsidRDefault="00FA4AA8">
            <w:pPr>
              <w:pStyle w:val="TableParagraph"/>
              <w:rPr>
                <w:rFonts w:ascii="Times New Roman"/>
                <w:sz w:val="14"/>
              </w:rPr>
            </w:pPr>
          </w:p>
        </w:tc>
        <w:tc>
          <w:tcPr>
            <w:tcW w:w="389" w:type="dxa"/>
            <w:vMerge/>
            <w:tcBorders>
              <w:top w:val="nil"/>
            </w:tcBorders>
          </w:tcPr>
          <w:p w14:paraId="03A6B32D" w14:textId="77777777" w:rsidR="00FA4AA8" w:rsidRDefault="00FA4AA8">
            <w:pPr>
              <w:rPr>
                <w:sz w:val="2"/>
                <w:szCs w:val="2"/>
              </w:rPr>
            </w:pPr>
          </w:p>
        </w:tc>
      </w:tr>
      <w:tr w:rsidR="00FA4AA8" w14:paraId="6267C17A" w14:textId="77777777">
        <w:trPr>
          <w:trHeight w:val="439"/>
        </w:trPr>
        <w:tc>
          <w:tcPr>
            <w:tcW w:w="4781" w:type="dxa"/>
          </w:tcPr>
          <w:p w14:paraId="50F2297D" w14:textId="77777777" w:rsidR="00FA4AA8" w:rsidRDefault="0015611F">
            <w:pPr>
              <w:pStyle w:val="TableParagraph"/>
              <w:ind w:left="50"/>
              <w:rPr>
                <w:sz w:val="18"/>
              </w:rPr>
            </w:pPr>
            <w:r>
              <w:rPr>
                <w:sz w:val="18"/>
              </w:rPr>
              <w:t>as Western Sydney University The College (formerly UWS Enterprises Pty Limited)</w:t>
            </w:r>
          </w:p>
        </w:tc>
        <w:tc>
          <w:tcPr>
            <w:tcW w:w="1916" w:type="dxa"/>
          </w:tcPr>
          <w:p w14:paraId="752E7886" w14:textId="77777777" w:rsidR="00FA4AA8" w:rsidRDefault="00FA4AA8">
            <w:pPr>
              <w:pStyle w:val="TableParagraph"/>
              <w:spacing w:before="5"/>
              <w:rPr>
                <w:b/>
                <w:sz w:val="17"/>
              </w:rPr>
            </w:pPr>
          </w:p>
          <w:p w14:paraId="12D29DE6" w14:textId="77777777" w:rsidR="00FA4AA8" w:rsidRDefault="0015611F">
            <w:pPr>
              <w:pStyle w:val="TableParagraph"/>
              <w:ind w:left="37"/>
              <w:rPr>
                <w:sz w:val="18"/>
              </w:rPr>
            </w:pPr>
            <w:r>
              <w:rPr>
                <w:sz w:val="18"/>
              </w:rPr>
              <w:t>Australia</w:t>
            </w:r>
          </w:p>
        </w:tc>
        <w:tc>
          <w:tcPr>
            <w:tcW w:w="1153" w:type="dxa"/>
          </w:tcPr>
          <w:p w14:paraId="350045B7" w14:textId="77777777" w:rsidR="00FA4AA8" w:rsidRDefault="00FA4AA8">
            <w:pPr>
              <w:pStyle w:val="TableParagraph"/>
              <w:rPr>
                <w:rFonts w:ascii="Times New Roman"/>
                <w:sz w:val="18"/>
              </w:rPr>
            </w:pPr>
          </w:p>
        </w:tc>
        <w:tc>
          <w:tcPr>
            <w:tcW w:w="598" w:type="dxa"/>
          </w:tcPr>
          <w:p w14:paraId="667F4A0E" w14:textId="77777777" w:rsidR="00FA4AA8" w:rsidRDefault="00FA4AA8">
            <w:pPr>
              <w:pStyle w:val="TableParagraph"/>
              <w:spacing w:before="5"/>
              <w:rPr>
                <w:b/>
                <w:sz w:val="17"/>
              </w:rPr>
            </w:pPr>
          </w:p>
          <w:p w14:paraId="3C48ED5A" w14:textId="77777777" w:rsidR="00FA4AA8" w:rsidRDefault="0015611F">
            <w:pPr>
              <w:pStyle w:val="TableParagraph"/>
              <w:ind w:left="36"/>
              <w:rPr>
                <w:b/>
                <w:sz w:val="18"/>
              </w:rPr>
            </w:pPr>
            <w:r>
              <w:rPr>
                <w:b/>
                <w:sz w:val="18"/>
              </w:rPr>
              <w:t>100</w:t>
            </w:r>
          </w:p>
        </w:tc>
        <w:tc>
          <w:tcPr>
            <w:tcW w:w="699" w:type="dxa"/>
          </w:tcPr>
          <w:p w14:paraId="54C66F9C" w14:textId="77777777" w:rsidR="00FA4AA8" w:rsidRDefault="00FA4AA8">
            <w:pPr>
              <w:pStyle w:val="TableParagraph"/>
              <w:rPr>
                <w:rFonts w:ascii="Times New Roman"/>
                <w:sz w:val="18"/>
              </w:rPr>
            </w:pPr>
          </w:p>
        </w:tc>
        <w:tc>
          <w:tcPr>
            <w:tcW w:w="389" w:type="dxa"/>
          </w:tcPr>
          <w:p w14:paraId="5BB48C50" w14:textId="77777777" w:rsidR="00FA4AA8" w:rsidRDefault="00FA4AA8">
            <w:pPr>
              <w:pStyle w:val="TableParagraph"/>
              <w:spacing w:before="5"/>
              <w:rPr>
                <w:b/>
                <w:sz w:val="17"/>
              </w:rPr>
            </w:pPr>
          </w:p>
          <w:p w14:paraId="3877AE55" w14:textId="77777777" w:rsidR="00FA4AA8" w:rsidRDefault="0015611F">
            <w:pPr>
              <w:pStyle w:val="TableParagraph"/>
              <w:ind w:right="49"/>
              <w:jc w:val="right"/>
              <w:rPr>
                <w:sz w:val="18"/>
              </w:rPr>
            </w:pPr>
            <w:r>
              <w:rPr>
                <w:sz w:val="18"/>
              </w:rPr>
              <w:t>100</w:t>
            </w:r>
          </w:p>
        </w:tc>
      </w:tr>
      <w:tr w:rsidR="00FA4AA8" w14:paraId="53DC43B1" w14:textId="77777777">
        <w:trPr>
          <w:trHeight w:val="466"/>
        </w:trPr>
        <w:tc>
          <w:tcPr>
            <w:tcW w:w="4781" w:type="dxa"/>
          </w:tcPr>
          <w:p w14:paraId="417653EA" w14:textId="77777777" w:rsidR="00FA4AA8" w:rsidRDefault="0015611F">
            <w:pPr>
              <w:pStyle w:val="TableParagraph"/>
              <w:spacing w:before="23"/>
              <w:ind w:left="50" w:right="39"/>
              <w:rPr>
                <w:sz w:val="18"/>
              </w:rPr>
            </w:pPr>
            <w:r>
              <w:rPr>
                <w:sz w:val="18"/>
              </w:rPr>
              <w:t>Western Sydney University Early Learning Limited (formerly UWS Early Learning Limited)</w:t>
            </w:r>
          </w:p>
        </w:tc>
        <w:tc>
          <w:tcPr>
            <w:tcW w:w="1916" w:type="dxa"/>
          </w:tcPr>
          <w:p w14:paraId="737E15BE" w14:textId="77777777" w:rsidR="00FA4AA8" w:rsidRDefault="00FA4AA8">
            <w:pPr>
              <w:pStyle w:val="TableParagraph"/>
              <w:spacing w:before="8"/>
              <w:rPr>
                <w:b/>
                <w:sz w:val="19"/>
              </w:rPr>
            </w:pPr>
          </w:p>
          <w:p w14:paraId="4714FCC7" w14:textId="77777777" w:rsidR="00FA4AA8" w:rsidRDefault="0015611F">
            <w:pPr>
              <w:pStyle w:val="TableParagraph"/>
              <w:ind w:left="37"/>
              <w:rPr>
                <w:sz w:val="18"/>
              </w:rPr>
            </w:pPr>
            <w:r>
              <w:rPr>
                <w:sz w:val="18"/>
              </w:rPr>
              <w:t>Australia</w:t>
            </w:r>
          </w:p>
        </w:tc>
        <w:tc>
          <w:tcPr>
            <w:tcW w:w="1153" w:type="dxa"/>
          </w:tcPr>
          <w:p w14:paraId="0B3247B8" w14:textId="77777777" w:rsidR="00FA4AA8" w:rsidRDefault="00FA4AA8">
            <w:pPr>
              <w:pStyle w:val="TableParagraph"/>
              <w:rPr>
                <w:rFonts w:ascii="Times New Roman"/>
                <w:sz w:val="18"/>
              </w:rPr>
            </w:pPr>
          </w:p>
        </w:tc>
        <w:tc>
          <w:tcPr>
            <w:tcW w:w="598" w:type="dxa"/>
          </w:tcPr>
          <w:p w14:paraId="22F62720" w14:textId="77777777" w:rsidR="00FA4AA8" w:rsidRDefault="00FA4AA8">
            <w:pPr>
              <w:pStyle w:val="TableParagraph"/>
              <w:spacing w:before="8"/>
              <w:rPr>
                <w:b/>
                <w:sz w:val="19"/>
              </w:rPr>
            </w:pPr>
          </w:p>
          <w:p w14:paraId="5847C2D3" w14:textId="77777777" w:rsidR="00FA4AA8" w:rsidRDefault="0015611F">
            <w:pPr>
              <w:pStyle w:val="TableParagraph"/>
              <w:ind w:left="36"/>
              <w:rPr>
                <w:b/>
                <w:sz w:val="18"/>
              </w:rPr>
            </w:pPr>
            <w:r>
              <w:rPr>
                <w:b/>
                <w:sz w:val="18"/>
              </w:rPr>
              <w:t>100</w:t>
            </w:r>
          </w:p>
        </w:tc>
        <w:tc>
          <w:tcPr>
            <w:tcW w:w="699" w:type="dxa"/>
          </w:tcPr>
          <w:p w14:paraId="540A0E70" w14:textId="77777777" w:rsidR="00FA4AA8" w:rsidRDefault="00FA4AA8">
            <w:pPr>
              <w:pStyle w:val="TableParagraph"/>
              <w:rPr>
                <w:rFonts w:ascii="Times New Roman"/>
                <w:sz w:val="18"/>
              </w:rPr>
            </w:pPr>
          </w:p>
        </w:tc>
        <w:tc>
          <w:tcPr>
            <w:tcW w:w="389" w:type="dxa"/>
          </w:tcPr>
          <w:p w14:paraId="20D8CD35" w14:textId="77777777" w:rsidR="00FA4AA8" w:rsidRDefault="00FA4AA8">
            <w:pPr>
              <w:pStyle w:val="TableParagraph"/>
              <w:spacing w:before="8"/>
              <w:rPr>
                <w:b/>
                <w:sz w:val="19"/>
              </w:rPr>
            </w:pPr>
          </w:p>
          <w:p w14:paraId="38454106" w14:textId="77777777" w:rsidR="00FA4AA8" w:rsidRDefault="0015611F">
            <w:pPr>
              <w:pStyle w:val="TableParagraph"/>
              <w:ind w:right="49"/>
              <w:jc w:val="right"/>
              <w:rPr>
                <w:sz w:val="18"/>
              </w:rPr>
            </w:pPr>
            <w:r>
              <w:rPr>
                <w:sz w:val="18"/>
              </w:rPr>
              <w:t>100</w:t>
            </w:r>
          </w:p>
        </w:tc>
      </w:tr>
      <w:tr w:rsidR="00FA4AA8" w14:paraId="708609CE" w14:textId="77777777">
        <w:trPr>
          <w:trHeight w:val="262"/>
        </w:trPr>
        <w:tc>
          <w:tcPr>
            <w:tcW w:w="4781" w:type="dxa"/>
          </w:tcPr>
          <w:p w14:paraId="441DC633" w14:textId="77777777" w:rsidR="00FA4AA8" w:rsidRDefault="0015611F">
            <w:pPr>
              <w:pStyle w:val="TableParagraph"/>
              <w:spacing w:before="26"/>
              <w:ind w:left="50"/>
              <w:rPr>
                <w:sz w:val="18"/>
              </w:rPr>
            </w:pPr>
            <w:r>
              <w:rPr>
                <w:sz w:val="18"/>
              </w:rPr>
              <w:t>Western Unlimited Ltd (formerly uwsconnect Limited)</w:t>
            </w:r>
          </w:p>
        </w:tc>
        <w:tc>
          <w:tcPr>
            <w:tcW w:w="1916" w:type="dxa"/>
          </w:tcPr>
          <w:p w14:paraId="454977C1" w14:textId="77777777" w:rsidR="00FA4AA8" w:rsidRDefault="0015611F">
            <w:pPr>
              <w:pStyle w:val="TableParagraph"/>
              <w:spacing w:before="24"/>
              <w:ind w:left="37"/>
              <w:rPr>
                <w:sz w:val="18"/>
              </w:rPr>
            </w:pPr>
            <w:r>
              <w:rPr>
                <w:sz w:val="18"/>
              </w:rPr>
              <w:t>Australia</w:t>
            </w:r>
          </w:p>
        </w:tc>
        <w:tc>
          <w:tcPr>
            <w:tcW w:w="1153" w:type="dxa"/>
          </w:tcPr>
          <w:p w14:paraId="2E84102A" w14:textId="77777777" w:rsidR="00FA4AA8" w:rsidRDefault="00FA4AA8">
            <w:pPr>
              <w:pStyle w:val="TableParagraph"/>
              <w:rPr>
                <w:rFonts w:ascii="Times New Roman"/>
                <w:sz w:val="18"/>
              </w:rPr>
            </w:pPr>
          </w:p>
        </w:tc>
        <w:tc>
          <w:tcPr>
            <w:tcW w:w="598" w:type="dxa"/>
          </w:tcPr>
          <w:p w14:paraId="1B6CE810" w14:textId="77777777" w:rsidR="00FA4AA8" w:rsidRDefault="0015611F">
            <w:pPr>
              <w:pStyle w:val="TableParagraph"/>
              <w:spacing w:before="24"/>
              <w:ind w:left="36"/>
              <w:rPr>
                <w:b/>
                <w:sz w:val="18"/>
              </w:rPr>
            </w:pPr>
            <w:r>
              <w:rPr>
                <w:b/>
                <w:sz w:val="18"/>
              </w:rPr>
              <w:t>100</w:t>
            </w:r>
          </w:p>
        </w:tc>
        <w:tc>
          <w:tcPr>
            <w:tcW w:w="699" w:type="dxa"/>
          </w:tcPr>
          <w:p w14:paraId="3C0F6842" w14:textId="77777777" w:rsidR="00FA4AA8" w:rsidRDefault="00FA4AA8">
            <w:pPr>
              <w:pStyle w:val="TableParagraph"/>
              <w:rPr>
                <w:rFonts w:ascii="Times New Roman"/>
                <w:sz w:val="18"/>
              </w:rPr>
            </w:pPr>
          </w:p>
        </w:tc>
        <w:tc>
          <w:tcPr>
            <w:tcW w:w="389" w:type="dxa"/>
          </w:tcPr>
          <w:p w14:paraId="361F7987" w14:textId="77777777" w:rsidR="00FA4AA8" w:rsidRDefault="0015611F">
            <w:pPr>
              <w:pStyle w:val="TableParagraph"/>
              <w:spacing w:before="24"/>
              <w:ind w:right="49"/>
              <w:jc w:val="right"/>
              <w:rPr>
                <w:sz w:val="18"/>
              </w:rPr>
            </w:pPr>
            <w:r>
              <w:rPr>
                <w:sz w:val="18"/>
              </w:rPr>
              <w:t>100</w:t>
            </w:r>
          </w:p>
        </w:tc>
      </w:tr>
      <w:tr w:rsidR="00FA4AA8" w14:paraId="64BEB9D8" w14:textId="77777777">
        <w:trPr>
          <w:trHeight w:val="466"/>
        </w:trPr>
        <w:tc>
          <w:tcPr>
            <w:tcW w:w="4781" w:type="dxa"/>
          </w:tcPr>
          <w:p w14:paraId="613314E7" w14:textId="77777777" w:rsidR="00FA4AA8" w:rsidRDefault="0015611F">
            <w:pPr>
              <w:pStyle w:val="TableParagraph"/>
              <w:spacing w:before="23"/>
              <w:ind w:left="50"/>
              <w:rPr>
                <w:sz w:val="18"/>
              </w:rPr>
            </w:pPr>
            <w:r>
              <w:rPr>
                <w:sz w:val="18"/>
              </w:rPr>
              <w:t>Whitlam Institute (within Western Sydney University) Limited and Trust</w:t>
            </w:r>
          </w:p>
        </w:tc>
        <w:tc>
          <w:tcPr>
            <w:tcW w:w="1916" w:type="dxa"/>
          </w:tcPr>
          <w:p w14:paraId="7FB5BF80" w14:textId="77777777" w:rsidR="00FA4AA8" w:rsidRDefault="00FA4AA8">
            <w:pPr>
              <w:pStyle w:val="TableParagraph"/>
              <w:spacing w:before="8"/>
              <w:rPr>
                <w:b/>
                <w:sz w:val="19"/>
              </w:rPr>
            </w:pPr>
          </w:p>
          <w:p w14:paraId="7A808CAE" w14:textId="77777777" w:rsidR="00FA4AA8" w:rsidRDefault="0015611F">
            <w:pPr>
              <w:pStyle w:val="TableParagraph"/>
              <w:ind w:left="37"/>
              <w:rPr>
                <w:sz w:val="18"/>
              </w:rPr>
            </w:pPr>
            <w:r>
              <w:rPr>
                <w:sz w:val="18"/>
              </w:rPr>
              <w:t>Australia</w:t>
            </w:r>
          </w:p>
        </w:tc>
        <w:tc>
          <w:tcPr>
            <w:tcW w:w="1153" w:type="dxa"/>
          </w:tcPr>
          <w:p w14:paraId="30A1E0BB" w14:textId="77777777" w:rsidR="00FA4AA8" w:rsidRDefault="00FA4AA8">
            <w:pPr>
              <w:pStyle w:val="TableParagraph"/>
              <w:rPr>
                <w:rFonts w:ascii="Times New Roman"/>
                <w:sz w:val="18"/>
              </w:rPr>
            </w:pPr>
          </w:p>
        </w:tc>
        <w:tc>
          <w:tcPr>
            <w:tcW w:w="598" w:type="dxa"/>
          </w:tcPr>
          <w:p w14:paraId="4D37209A" w14:textId="77777777" w:rsidR="00FA4AA8" w:rsidRDefault="00FA4AA8">
            <w:pPr>
              <w:pStyle w:val="TableParagraph"/>
              <w:spacing w:before="8"/>
              <w:rPr>
                <w:b/>
                <w:sz w:val="19"/>
              </w:rPr>
            </w:pPr>
          </w:p>
          <w:p w14:paraId="56EA9666" w14:textId="77777777" w:rsidR="00FA4AA8" w:rsidRDefault="0015611F">
            <w:pPr>
              <w:pStyle w:val="TableParagraph"/>
              <w:ind w:left="36"/>
              <w:rPr>
                <w:b/>
                <w:sz w:val="18"/>
              </w:rPr>
            </w:pPr>
            <w:r>
              <w:rPr>
                <w:b/>
                <w:sz w:val="18"/>
              </w:rPr>
              <w:t>100</w:t>
            </w:r>
          </w:p>
        </w:tc>
        <w:tc>
          <w:tcPr>
            <w:tcW w:w="699" w:type="dxa"/>
          </w:tcPr>
          <w:p w14:paraId="0098BAD3" w14:textId="77777777" w:rsidR="00FA4AA8" w:rsidRDefault="00FA4AA8">
            <w:pPr>
              <w:pStyle w:val="TableParagraph"/>
              <w:rPr>
                <w:rFonts w:ascii="Times New Roman"/>
                <w:sz w:val="18"/>
              </w:rPr>
            </w:pPr>
          </w:p>
        </w:tc>
        <w:tc>
          <w:tcPr>
            <w:tcW w:w="389" w:type="dxa"/>
          </w:tcPr>
          <w:p w14:paraId="7E43D61D" w14:textId="77777777" w:rsidR="00FA4AA8" w:rsidRDefault="00FA4AA8">
            <w:pPr>
              <w:pStyle w:val="TableParagraph"/>
              <w:spacing w:before="8"/>
              <w:rPr>
                <w:b/>
                <w:sz w:val="19"/>
              </w:rPr>
            </w:pPr>
          </w:p>
          <w:p w14:paraId="0B7A0FD9" w14:textId="77777777" w:rsidR="00FA4AA8" w:rsidRDefault="0015611F">
            <w:pPr>
              <w:pStyle w:val="TableParagraph"/>
              <w:ind w:right="49"/>
              <w:jc w:val="right"/>
              <w:rPr>
                <w:sz w:val="18"/>
              </w:rPr>
            </w:pPr>
            <w:r>
              <w:rPr>
                <w:sz w:val="18"/>
              </w:rPr>
              <w:t>100</w:t>
            </w:r>
          </w:p>
        </w:tc>
      </w:tr>
      <w:tr w:rsidR="00FA4AA8" w14:paraId="24D2A6F8" w14:textId="77777777">
        <w:trPr>
          <w:trHeight w:val="262"/>
        </w:trPr>
        <w:tc>
          <w:tcPr>
            <w:tcW w:w="4781" w:type="dxa"/>
          </w:tcPr>
          <w:p w14:paraId="03EC6E49" w14:textId="77777777" w:rsidR="00FA4AA8" w:rsidRDefault="0015611F">
            <w:pPr>
              <w:pStyle w:val="TableParagraph"/>
              <w:spacing w:before="26"/>
              <w:ind w:left="50"/>
              <w:rPr>
                <w:sz w:val="18"/>
              </w:rPr>
            </w:pPr>
            <w:r>
              <w:rPr>
                <w:sz w:val="18"/>
              </w:rPr>
              <w:t>Western Growth Developments (Westmead) Pty Ltd</w:t>
            </w:r>
          </w:p>
        </w:tc>
        <w:tc>
          <w:tcPr>
            <w:tcW w:w="1916" w:type="dxa"/>
          </w:tcPr>
          <w:p w14:paraId="204F9FB1" w14:textId="77777777" w:rsidR="00FA4AA8" w:rsidRDefault="0015611F">
            <w:pPr>
              <w:pStyle w:val="TableParagraph"/>
              <w:spacing w:before="24"/>
              <w:ind w:left="37"/>
              <w:rPr>
                <w:sz w:val="18"/>
              </w:rPr>
            </w:pPr>
            <w:r>
              <w:rPr>
                <w:sz w:val="18"/>
              </w:rPr>
              <w:t>Australia</w:t>
            </w:r>
          </w:p>
        </w:tc>
        <w:tc>
          <w:tcPr>
            <w:tcW w:w="1153" w:type="dxa"/>
          </w:tcPr>
          <w:p w14:paraId="29AE137B" w14:textId="77777777" w:rsidR="00FA4AA8" w:rsidRDefault="00FA4AA8">
            <w:pPr>
              <w:pStyle w:val="TableParagraph"/>
              <w:rPr>
                <w:rFonts w:ascii="Times New Roman"/>
                <w:sz w:val="18"/>
              </w:rPr>
            </w:pPr>
          </w:p>
        </w:tc>
        <w:tc>
          <w:tcPr>
            <w:tcW w:w="598" w:type="dxa"/>
          </w:tcPr>
          <w:p w14:paraId="162E28C8" w14:textId="77777777" w:rsidR="00FA4AA8" w:rsidRDefault="0015611F">
            <w:pPr>
              <w:pStyle w:val="TableParagraph"/>
              <w:spacing w:before="24"/>
              <w:ind w:left="36"/>
              <w:rPr>
                <w:b/>
                <w:sz w:val="18"/>
              </w:rPr>
            </w:pPr>
            <w:r>
              <w:rPr>
                <w:b/>
                <w:sz w:val="18"/>
              </w:rPr>
              <w:t>100</w:t>
            </w:r>
          </w:p>
        </w:tc>
        <w:tc>
          <w:tcPr>
            <w:tcW w:w="699" w:type="dxa"/>
          </w:tcPr>
          <w:p w14:paraId="03DF44FF" w14:textId="77777777" w:rsidR="00FA4AA8" w:rsidRDefault="00FA4AA8">
            <w:pPr>
              <w:pStyle w:val="TableParagraph"/>
              <w:rPr>
                <w:rFonts w:ascii="Times New Roman"/>
                <w:sz w:val="18"/>
              </w:rPr>
            </w:pPr>
          </w:p>
        </w:tc>
        <w:tc>
          <w:tcPr>
            <w:tcW w:w="389" w:type="dxa"/>
          </w:tcPr>
          <w:p w14:paraId="276690ED" w14:textId="77777777" w:rsidR="00FA4AA8" w:rsidRDefault="0015611F">
            <w:pPr>
              <w:pStyle w:val="TableParagraph"/>
              <w:spacing w:before="24"/>
              <w:ind w:right="49"/>
              <w:jc w:val="right"/>
              <w:rPr>
                <w:sz w:val="18"/>
              </w:rPr>
            </w:pPr>
            <w:r>
              <w:rPr>
                <w:sz w:val="18"/>
              </w:rPr>
              <w:t>-</w:t>
            </w:r>
          </w:p>
        </w:tc>
      </w:tr>
      <w:tr w:rsidR="00FA4AA8" w14:paraId="0B001CB5" w14:textId="77777777">
        <w:trPr>
          <w:trHeight w:val="436"/>
        </w:trPr>
        <w:tc>
          <w:tcPr>
            <w:tcW w:w="4781" w:type="dxa"/>
          </w:tcPr>
          <w:p w14:paraId="405C4DE3" w14:textId="77777777" w:rsidR="00FA4AA8" w:rsidRDefault="0015611F">
            <w:pPr>
              <w:pStyle w:val="TableParagraph"/>
              <w:spacing w:before="27" w:line="206" w:lineRule="exact"/>
              <w:ind w:left="50"/>
              <w:rPr>
                <w:sz w:val="18"/>
              </w:rPr>
            </w:pPr>
            <w:bookmarkStart w:id="68" w:name="(c)_Key_management_personnel"/>
            <w:bookmarkEnd w:id="68"/>
            <w:r>
              <w:rPr>
                <w:sz w:val="18"/>
              </w:rPr>
              <w:t>Western Growth Developments (Innovation Hub Parramatta) Pty Ltd</w:t>
            </w:r>
          </w:p>
        </w:tc>
        <w:tc>
          <w:tcPr>
            <w:tcW w:w="1916" w:type="dxa"/>
          </w:tcPr>
          <w:p w14:paraId="3024D67B" w14:textId="77777777" w:rsidR="00FA4AA8" w:rsidRDefault="00FA4AA8">
            <w:pPr>
              <w:pStyle w:val="TableParagraph"/>
              <w:spacing w:before="8"/>
              <w:rPr>
                <w:b/>
                <w:sz w:val="19"/>
              </w:rPr>
            </w:pPr>
          </w:p>
          <w:p w14:paraId="1044FE6F" w14:textId="77777777" w:rsidR="00FA4AA8" w:rsidRDefault="0015611F">
            <w:pPr>
              <w:pStyle w:val="TableParagraph"/>
              <w:spacing w:line="189" w:lineRule="exact"/>
              <w:ind w:left="37"/>
              <w:rPr>
                <w:sz w:val="18"/>
              </w:rPr>
            </w:pPr>
            <w:r>
              <w:rPr>
                <w:sz w:val="18"/>
              </w:rPr>
              <w:t>Australia</w:t>
            </w:r>
          </w:p>
        </w:tc>
        <w:tc>
          <w:tcPr>
            <w:tcW w:w="1153" w:type="dxa"/>
          </w:tcPr>
          <w:p w14:paraId="41E1A252" w14:textId="77777777" w:rsidR="00FA4AA8" w:rsidRDefault="00FA4AA8">
            <w:pPr>
              <w:pStyle w:val="TableParagraph"/>
              <w:rPr>
                <w:rFonts w:ascii="Times New Roman"/>
                <w:sz w:val="18"/>
              </w:rPr>
            </w:pPr>
          </w:p>
        </w:tc>
        <w:tc>
          <w:tcPr>
            <w:tcW w:w="598" w:type="dxa"/>
          </w:tcPr>
          <w:p w14:paraId="081CEDE6" w14:textId="77777777" w:rsidR="00FA4AA8" w:rsidRDefault="00FA4AA8">
            <w:pPr>
              <w:pStyle w:val="TableParagraph"/>
              <w:spacing w:before="8"/>
              <w:rPr>
                <w:b/>
                <w:sz w:val="19"/>
              </w:rPr>
            </w:pPr>
          </w:p>
          <w:p w14:paraId="58DF3651" w14:textId="77777777" w:rsidR="00FA4AA8" w:rsidRDefault="0015611F">
            <w:pPr>
              <w:pStyle w:val="TableParagraph"/>
              <w:spacing w:line="189" w:lineRule="exact"/>
              <w:ind w:left="36"/>
              <w:rPr>
                <w:b/>
                <w:sz w:val="18"/>
              </w:rPr>
            </w:pPr>
            <w:r>
              <w:rPr>
                <w:b/>
                <w:sz w:val="18"/>
              </w:rPr>
              <w:t>100</w:t>
            </w:r>
          </w:p>
        </w:tc>
        <w:tc>
          <w:tcPr>
            <w:tcW w:w="699" w:type="dxa"/>
          </w:tcPr>
          <w:p w14:paraId="0633B040" w14:textId="77777777" w:rsidR="00FA4AA8" w:rsidRDefault="00FA4AA8">
            <w:pPr>
              <w:pStyle w:val="TableParagraph"/>
              <w:rPr>
                <w:rFonts w:ascii="Times New Roman"/>
                <w:sz w:val="18"/>
              </w:rPr>
            </w:pPr>
          </w:p>
        </w:tc>
        <w:tc>
          <w:tcPr>
            <w:tcW w:w="389" w:type="dxa"/>
          </w:tcPr>
          <w:p w14:paraId="07FD2D2B" w14:textId="77777777" w:rsidR="00FA4AA8" w:rsidRDefault="00FA4AA8">
            <w:pPr>
              <w:pStyle w:val="TableParagraph"/>
              <w:spacing w:before="8"/>
              <w:rPr>
                <w:b/>
                <w:sz w:val="19"/>
              </w:rPr>
            </w:pPr>
          </w:p>
          <w:p w14:paraId="16BA7AA7" w14:textId="77777777" w:rsidR="00FA4AA8" w:rsidRDefault="0015611F">
            <w:pPr>
              <w:pStyle w:val="TableParagraph"/>
              <w:spacing w:line="189" w:lineRule="exact"/>
              <w:ind w:right="49"/>
              <w:jc w:val="right"/>
              <w:rPr>
                <w:sz w:val="18"/>
              </w:rPr>
            </w:pPr>
            <w:r>
              <w:rPr>
                <w:sz w:val="18"/>
              </w:rPr>
              <w:t>-</w:t>
            </w:r>
          </w:p>
        </w:tc>
      </w:tr>
    </w:tbl>
    <w:p w14:paraId="1E59FC89" w14:textId="77777777" w:rsidR="00FA4AA8" w:rsidRDefault="00FA4AA8">
      <w:pPr>
        <w:pStyle w:val="BodyText"/>
        <w:spacing w:before="5"/>
        <w:rPr>
          <w:b/>
          <w:sz w:val="19"/>
        </w:rPr>
      </w:pPr>
    </w:p>
    <w:p w14:paraId="7D39D0C2" w14:textId="77777777" w:rsidR="00FA4AA8" w:rsidRDefault="0015611F">
      <w:pPr>
        <w:pStyle w:val="BodyText"/>
        <w:spacing w:before="95"/>
        <w:ind w:left="563" w:right="132"/>
      </w:pPr>
      <w:r>
        <w:t>There are no significant restrictions on the group's ability to access or use the assets and settle the liabilities of the Group.</w:t>
      </w:r>
    </w:p>
    <w:p w14:paraId="2E0A9D23" w14:textId="77777777" w:rsidR="00FA4AA8" w:rsidRDefault="00FA4AA8">
      <w:pPr>
        <w:pStyle w:val="BodyText"/>
        <w:spacing w:before="7"/>
        <w:rPr>
          <w:sz w:val="26"/>
        </w:rPr>
      </w:pPr>
    </w:p>
    <w:p w14:paraId="683B0887" w14:textId="77777777" w:rsidR="00FA4AA8" w:rsidRDefault="0015611F">
      <w:pPr>
        <w:numPr>
          <w:ilvl w:val="0"/>
          <w:numId w:val="88"/>
        </w:numPr>
        <w:tabs>
          <w:tab w:val="left" w:pos="564"/>
        </w:tabs>
        <w:ind w:hanging="397"/>
        <w:rPr>
          <w:b/>
          <w:sz w:val="18"/>
        </w:rPr>
      </w:pPr>
      <w:bookmarkStart w:id="69" w:name="(d)_Transactions_with_related_parties"/>
      <w:bookmarkEnd w:id="69"/>
      <w:r>
        <w:rPr>
          <w:b/>
          <w:sz w:val="18"/>
        </w:rPr>
        <w:t>Key management</w:t>
      </w:r>
      <w:r>
        <w:rPr>
          <w:b/>
          <w:spacing w:val="-9"/>
          <w:sz w:val="18"/>
        </w:rPr>
        <w:t xml:space="preserve"> </w:t>
      </w:r>
      <w:r>
        <w:rPr>
          <w:b/>
          <w:sz w:val="18"/>
        </w:rPr>
        <w:t>personnel</w:t>
      </w:r>
    </w:p>
    <w:p w14:paraId="3BC30174" w14:textId="77777777" w:rsidR="00FA4AA8" w:rsidRDefault="00FA4AA8">
      <w:pPr>
        <w:pStyle w:val="BodyText"/>
        <w:spacing w:before="4"/>
        <w:rPr>
          <w:b/>
          <w:sz w:val="25"/>
        </w:rPr>
      </w:pPr>
    </w:p>
    <w:p w14:paraId="431B93E2" w14:textId="77777777" w:rsidR="00FA4AA8" w:rsidRDefault="0015611F">
      <w:pPr>
        <w:pStyle w:val="BodyText"/>
        <w:ind w:left="564"/>
      </w:pPr>
      <w:r>
        <w:t>Disclosures relating to directors and specified executives are set out in note 28.</w:t>
      </w:r>
    </w:p>
    <w:p w14:paraId="14052FA7" w14:textId="77777777" w:rsidR="00FA4AA8" w:rsidRDefault="00FA4AA8">
      <w:pPr>
        <w:pStyle w:val="BodyText"/>
        <w:spacing w:before="8"/>
        <w:rPr>
          <w:sz w:val="26"/>
        </w:rPr>
      </w:pPr>
    </w:p>
    <w:p w14:paraId="2601D863" w14:textId="77777777" w:rsidR="00FA4AA8" w:rsidRDefault="0015611F">
      <w:pPr>
        <w:numPr>
          <w:ilvl w:val="0"/>
          <w:numId w:val="88"/>
        </w:numPr>
        <w:tabs>
          <w:tab w:val="left" w:pos="564"/>
        </w:tabs>
        <w:ind w:hanging="397"/>
        <w:rPr>
          <w:b/>
          <w:sz w:val="18"/>
        </w:rPr>
      </w:pPr>
      <w:r>
        <w:rPr>
          <w:b/>
          <w:sz w:val="18"/>
        </w:rPr>
        <w:t>Transactions with related</w:t>
      </w:r>
      <w:r>
        <w:rPr>
          <w:b/>
          <w:spacing w:val="2"/>
          <w:sz w:val="18"/>
        </w:rPr>
        <w:t xml:space="preserve"> </w:t>
      </w:r>
      <w:r>
        <w:rPr>
          <w:b/>
          <w:sz w:val="18"/>
        </w:rPr>
        <w:t>parties</w:t>
      </w:r>
    </w:p>
    <w:p w14:paraId="2FD702B7" w14:textId="77777777" w:rsidR="00FA4AA8" w:rsidRDefault="00FA4AA8">
      <w:pPr>
        <w:pStyle w:val="BodyText"/>
        <w:spacing w:before="3"/>
        <w:rPr>
          <w:b/>
          <w:sz w:val="17"/>
        </w:rPr>
      </w:pPr>
    </w:p>
    <w:p w14:paraId="668FFB86" w14:textId="77777777" w:rsidR="00FA4AA8" w:rsidRDefault="0015611F">
      <w:pPr>
        <w:pStyle w:val="BodyText"/>
        <w:spacing w:before="94"/>
        <w:ind w:left="564"/>
      </w:pPr>
      <w:r>
        <w:t>The following transactions occurred with related parties:</w:t>
      </w:r>
    </w:p>
    <w:p w14:paraId="3CB123BD" w14:textId="77777777" w:rsidR="00FA4AA8" w:rsidRDefault="0015611F">
      <w:pPr>
        <w:tabs>
          <w:tab w:val="left" w:pos="8423"/>
        </w:tabs>
        <w:spacing w:before="33"/>
        <w:ind w:left="5373"/>
        <w:rPr>
          <w:b/>
          <w:sz w:val="18"/>
        </w:rPr>
      </w:pPr>
      <w:r>
        <w:rPr>
          <w:b/>
          <w:sz w:val="18"/>
        </w:rPr>
        <w:t>Consolidated</w:t>
      </w:r>
      <w:r>
        <w:rPr>
          <w:b/>
          <w:sz w:val="18"/>
        </w:rPr>
        <w:tab/>
        <w:t>Parent</w:t>
      </w:r>
    </w:p>
    <w:p w14:paraId="72B4DE40" w14:textId="77777777" w:rsidR="00FA4AA8" w:rsidRDefault="00FA4AA8">
      <w:pPr>
        <w:pStyle w:val="BodyText"/>
        <w:spacing w:before="3"/>
        <w:rPr>
          <w:b/>
          <w:sz w:val="6"/>
        </w:rPr>
      </w:pPr>
    </w:p>
    <w:tbl>
      <w:tblPr>
        <w:tblW w:w="0" w:type="auto"/>
        <w:tblInd w:w="547" w:type="dxa"/>
        <w:tblLayout w:type="fixed"/>
        <w:tblCellMar>
          <w:left w:w="0" w:type="dxa"/>
          <w:right w:w="0" w:type="dxa"/>
        </w:tblCellMar>
        <w:tblLook w:val="01E0" w:firstRow="1" w:lastRow="1" w:firstColumn="1" w:lastColumn="1" w:noHBand="0" w:noVBand="0"/>
      </w:tblPr>
      <w:tblGrid>
        <w:gridCol w:w="3097"/>
        <w:gridCol w:w="913"/>
        <w:gridCol w:w="1171"/>
        <w:gridCol w:w="1835"/>
        <w:gridCol w:w="1380"/>
        <w:gridCol w:w="1134"/>
      </w:tblGrid>
      <w:tr w:rsidR="00FA4AA8" w14:paraId="506CBA5F" w14:textId="77777777">
        <w:trPr>
          <w:trHeight w:val="237"/>
        </w:trPr>
        <w:tc>
          <w:tcPr>
            <w:tcW w:w="3097" w:type="dxa"/>
            <w:vMerge w:val="restart"/>
          </w:tcPr>
          <w:p w14:paraId="1FBF403A" w14:textId="77777777" w:rsidR="00FA4AA8" w:rsidRDefault="00FA4AA8">
            <w:pPr>
              <w:pStyle w:val="TableParagraph"/>
              <w:rPr>
                <w:rFonts w:ascii="Times New Roman"/>
                <w:sz w:val="18"/>
              </w:rPr>
            </w:pPr>
          </w:p>
        </w:tc>
        <w:tc>
          <w:tcPr>
            <w:tcW w:w="913" w:type="dxa"/>
          </w:tcPr>
          <w:p w14:paraId="070FB808" w14:textId="77777777" w:rsidR="00FA4AA8" w:rsidRDefault="00FA4AA8">
            <w:pPr>
              <w:pStyle w:val="TableParagraph"/>
              <w:rPr>
                <w:rFonts w:ascii="Times New Roman"/>
                <w:sz w:val="16"/>
              </w:rPr>
            </w:pPr>
          </w:p>
        </w:tc>
        <w:tc>
          <w:tcPr>
            <w:tcW w:w="1171" w:type="dxa"/>
          </w:tcPr>
          <w:p w14:paraId="0113BEE9" w14:textId="77777777" w:rsidR="00FA4AA8" w:rsidRDefault="0015611F">
            <w:pPr>
              <w:pStyle w:val="TableParagraph"/>
              <w:spacing w:line="201" w:lineRule="exact"/>
              <w:ind w:right="165"/>
              <w:jc w:val="right"/>
              <w:rPr>
                <w:b/>
                <w:sz w:val="18"/>
              </w:rPr>
            </w:pPr>
            <w:r>
              <w:rPr>
                <w:b/>
                <w:sz w:val="18"/>
              </w:rPr>
              <w:t>2018</w:t>
            </w:r>
          </w:p>
        </w:tc>
        <w:tc>
          <w:tcPr>
            <w:tcW w:w="1835" w:type="dxa"/>
          </w:tcPr>
          <w:p w14:paraId="6D8FA65E" w14:textId="77777777" w:rsidR="00FA4AA8" w:rsidRDefault="0015611F">
            <w:pPr>
              <w:pStyle w:val="TableParagraph"/>
              <w:spacing w:line="201" w:lineRule="exact"/>
              <w:ind w:left="684" w:right="666"/>
              <w:jc w:val="center"/>
              <w:rPr>
                <w:b/>
                <w:sz w:val="18"/>
              </w:rPr>
            </w:pPr>
            <w:r>
              <w:rPr>
                <w:b/>
                <w:sz w:val="18"/>
              </w:rPr>
              <w:t>2017</w:t>
            </w:r>
          </w:p>
        </w:tc>
        <w:tc>
          <w:tcPr>
            <w:tcW w:w="1380" w:type="dxa"/>
          </w:tcPr>
          <w:p w14:paraId="3AEE470E" w14:textId="77777777" w:rsidR="00FA4AA8" w:rsidRDefault="0015611F">
            <w:pPr>
              <w:pStyle w:val="TableParagraph"/>
              <w:spacing w:line="201" w:lineRule="exact"/>
              <w:ind w:left="354"/>
              <w:rPr>
                <w:b/>
                <w:sz w:val="18"/>
              </w:rPr>
            </w:pPr>
            <w:r>
              <w:rPr>
                <w:b/>
                <w:sz w:val="18"/>
              </w:rPr>
              <w:t>2018</w:t>
            </w:r>
          </w:p>
        </w:tc>
        <w:tc>
          <w:tcPr>
            <w:tcW w:w="1134" w:type="dxa"/>
          </w:tcPr>
          <w:p w14:paraId="6228C079" w14:textId="77777777" w:rsidR="00FA4AA8" w:rsidRDefault="0015611F">
            <w:pPr>
              <w:pStyle w:val="TableParagraph"/>
              <w:spacing w:line="201" w:lineRule="exact"/>
              <w:ind w:left="270"/>
              <w:rPr>
                <w:b/>
                <w:sz w:val="18"/>
              </w:rPr>
            </w:pPr>
            <w:r>
              <w:rPr>
                <w:b/>
                <w:sz w:val="18"/>
              </w:rPr>
              <w:t>2017</w:t>
            </w:r>
          </w:p>
        </w:tc>
      </w:tr>
      <w:tr w:rsidR="00FA4AA8" w14:paraId="6A74361E" w14:textId="77777777">
        <w:trPr>
          <w:trHeight w:val="284"/>
        </w:trPr>
        <w:tc>
          <w:tcPr>
            <w:tcW w:w="3097" w:type="dxa"/>
            <w:vMerge/>
            <w:tcBorders>
              <w:top w:val="nil"/>
            </w:tcBorders>
          </w:tcPr>
          <w:p w14:paraId="7636B53C" w14:textId="77777777" w:rsidR="00FA4AA8" w:rsidRDefault="00FA4AA8">
            <w:pPr>
              <w:rPr>
                <w:sz w:val="2"/>
                <w:szCs w:val="2"/>
              </w:rPr>
            </w:pPr>
          </w:p>
        </w:tc>
        <w:tc>
          <w:tcPr>
            <w:tcW w:w="913" w:type="dxa"/>
          </w:tcPr>
          <w:p w14:paraId="2BD3C020" w14:textId="77777777" w:rsidR="00FA4AA8" w:rsidRDefault="0015611F">
            <w:pPr>
              <w:pStyle w:val="TableParagraph"/>
              <w:spacing w:before="30"/>
              <w:ind w:right="85"/>
              <w:jc w:val="right"/>
              <w:rPr>
                <w:b/>
                <w:sz w:val="18"/>
              </w:rPr>
            </w:pPr>
            <w:r>
              <w:rPr>
                <w:b/>
                <w:sz w:val="18"/>
              </w:rPr>
              <w:t>Note</w:t>
            </w:r>
          </w:p>
        </w:tc>
        <w:tc>
          <w:tcPr>
            <w:tcW w:w="1171" w:type="dxa"/>
          </w:tcPr>
          <w:p w14:paraId="757E52E1" w14:textId="77777777" w:rsidR="00FA4AA8" w:rsidRDefault="0015611F">
            <w:pPr>
              <w:pStyle w:val="TableParagraph"/>
              <w:spacing w:before="30"/>
              <w:ind w:right="144"/>
              <w:jc w:val="right"/>
              <w:rPr>
                <w:b/>
                <w:sz w:val="18"/>
              </w:rPr>
            </w:pPr>
            <w:r>
              <w:rPr>
                <w:b/>
                <w:sz w:val="18"/>
              </w:rPr>
              <w:t>$'000</w:t>
            </w:r>
          </w:p>
        </w:tc>
        <w:tc>
          <w:tcPr>
            <w:tcW w:w="1835" w:type="dxa"/>
          </w:tcPr>
          <w:p w14:paraId="0A3E77FB" w14:textId="77777777" w:rsidR="00FA4AA8" w:rsidRDefault="0015611F">
            <w:pPr>
              <w:pStyle w:val="TableParagraph"/>
              <w:spacing w:before="30"/>
              <w:ind w:left="684" w:right="667"/>
              <w:jc w:val="center"/>
              <w:rPr>
                <w:b/>
                <w:sz w:val="18"/>
              </w:rPr>
            </w:pPr>
            <w:r>
              <w:rPr>
                <w:b/>
                <w:sz w:val="18"/>
              </w:rPr>
              <w:t>$'000</w:t>
            </w:r>
          </w:p>
        </w:tc>
        <w:tc>
          <w:tcPr>
            <w:tcW w:w="1380" w:type="dxa"/>
          </w:tcPr>
          <w:p w14:paraId="198D7D93" w14:textId="77777777" w:rsidR="00FA4AA8" w:rsidRDefault="0015611F">
            <w:pPr>
              <w:pStyle w:val="TableParagraph"/>
              <w:spacing w:before="30"/>
              <w:ind w:left="332"/>
              <w:rPr>
                <w:b/>
                <w:sz w:val="18"/>
              </w:rPr>
            </w:pPr>
            <w:r>
              <w:rPr>
                <w:b/>
                <w:sz w:val="18"/>
              </w:rPr>
              <w:t>$'000</w:t>
            </w:r>
          </w:p>
        </w:tc>
        <w:tc>
          <w:tcPr>
            <w:tcW w:w="1134" w:type="dxa"/>
          </w:tcPr>
          <w:p w14:paraId="64173C61" w14:textId="77777777" w:rsidR="00FA4AA8" w:rsidRDefault="0015611F">
            <w:pPr>
              <w:pStyle w:val="TableParagraph"/>
              <w:spacing w:before="30"/>
              <w:ind w:left="248"/>
              <w:rPr>
                <w:b/>
                <w:sz w:val="18"/>
              </w:rPr>
            </w:pPr>
            <w:r>
              <w:rPr>
                <w:b/>
                <w:sz w:val="18"/>
              </w:rPr>
              <w:t>$'000</w:t>
            </w:r>
          </w:p>
        </w:tc>
      </w:tr>
      <w:tr w:rsidR="00FA4AA8" w14:paraId="3DC0B4D2" w14:textId="77777777">
        <w:trPr>
          <w:trHeight w:val="278"/>
        </w:trPr>
        <w:tc>
          <w:tcPr>
            <w:tcW w:w="3097" w:type="dxa"/>
          </w:tcPr>
          <w:p w14:paraId="074D17C9" w14:textId="77777777" w:rsidR="00FA4AA8" w:rsidRDefault="0015611F">
            <w:pPr>
              <w:pStyle w:val="TableParagraph"/>
              <w:spacing w:before="41"/>
              <w:ind w:left="50"/>
              <w:rPr>
                <w:b/>
                <w:sz w:val="18"/>
              </w:rPr>
            </w:pPr>
            <w:r>
              <w:rPr>
                <w:b/>
                <w:sz w:val="18"/>
              </w:rPr>
              <w:t>Sale of goods and services</w:t>
            </w:r>
          </w:p>
        </w:tc>
        <w:tc>
          <w:tcPr>
            <w:tcW w:w="913" w:type="dxa"/>
          </w:tcPr>
          <w:p w14:paraId="3396294D" w14:textId="77777777" w:rsidR="00FA4AA8" w:rsidRDefault="00FA4AA8">
            <w:pPr>
              <w:pStyle w:val="TableParagraph"/>
              <w:rPr>
                <w:rFonts w:ascii="Times New Roman"/>
                <w:sz w:val="18"/>
              </w:rPr>
            </w:pPr>
          </w:p>
        </w:tc>
        <w:tc>
          <w:tcPr>
            <w:tcW w:w="1171" w:type="dxa"/>
          </w:tcPr>
          <w:p w14:paraId="22BB3A0E" w14:textId="77777777" w:rsidR="00FA4AA8" w:rsidRDefault="00FA4AA8">
            <w:pPr>
              <w:pStyle w:val="TableParagraph"/>
              <w:rPr>
                <w:rFonts w:ascii="Times New Roman"/>
                <w:sz w:val="18"/>
              </w:rPr>
            </w:pPr>
          </w:p>
        </w:tc>
        <w:tc>
          <w:tcPr>
            <w:tcW w:w="1835" w:type="dxa"/>
          </w:tcPr>
          <w:p w14:paraId="03AEDEB7" w14:textId="77777777" w:rsidR="00FA4AA8" w:rsidRDefault="00FA4AA8">
            <w:pPr>
              <w:pStyle w:val="TableParagraph"/>
              <w:rPr>
                <w:rFonts w:ascii="Times New Roman"/>
                <w:sz w:val="18"/>
              </w:rPr>
            </w:pPr>
          </w:p>
        </w:tc>
        <w:tc>
          <w:tcPr>
            <w:tcW w:w="1380" w:type="dxa"/>
          </w:tcPr>
          <w:p w14:paraId="66A2CBB9" w14:textId="77777777" w:rsidR="00FA4AA8" w:rsidRDefault="00FA4AA8">
            <w:pPr>
              <w:pStyle w:val="TableParagraph"/>
              <w:rPr>
                <w:rFonts w:ascii="Times New Roman"/>
                <w:sz w:val="18"/>
              </w:rPr>
            </w:pPr>
          </w:p>
        </w:tc>
        <w:tc>
          <w:tcPr>
            <w:tcW w:w="1134" w:type="dxa"/>
          </w:tcPr>
          <w:p w14:paraId="0E6E6FB9" w14:textId="77777777" w:rsidR="00FA4AA8" w:rsidRDefault="00FA4AA8">
            <w:pPr>
              <w:pStyle w:val="TableParagraph"/>
              <w:rPr>
                <w:rFonts w:ascii="Times New Roman"/>
                <w:sz w:val="18"/>
              </w:rPr>
            </w:pPr>
          </w:p>
        </w:tc>
      </w:tr>
      <w:tr w:rsidR="00FA4AA8" w14:paraId="1D12C9B2" w14:textId="77777777">
        <w:trPr>
          <w:trHeight w:val="262"/>
        </w:trPr>
        <w:tc>
          <w:tcPr>
            <w:tcW w:w="3097" w:type="dxa"/>
          </w:tcPr>
          <w:p w14:paraId="24E5A100" w14:textId="77777777" w:rsidR="00FA4AA8" w:rsidRDefault="0015611F">
            <w:pPr>
              <w:pStyle w:val="TableParagraph"/>
              <w:spacing w:before="26"/>
              <w:ind w:left="191"/>
              <w:rPr>
                <w:sz w:val="18"/>
              </w:rPr>
            </w:pPr>
            <w:r>
              <w:rPr>
                <w:sz w:val="18"/>
              </w:rPr>
              <w:t>Royalty payments to University</w:t>
            </w:r>
          </w:p>
        </w:tc>
        <w:tc>
          <w:tcPr>
            <w:tcW w:w="913" w:type="dxa"/>
          </w:tcPr>
          <w:p w14:paraId="185E4622" w14:textId="77777777" w:rsidR="00FA4AA8" w:rsidRDefault="00FA4AA8">
            <w:pPr>
              <w:pStyle w:val="TableParagraph"/>
              <w:rPr>
                <w:rFonts w:ascii="Times New Roman"/>
                <w:sz w:val="18"/>
              </w:rPr>
            </w:pPr>
          </w:p>
        </w:tc>
        <w:tc>
          <w:tcPr>
            <w:tcW w:w="1171" w:type="dxa"/>
          </w:tcPr>
          <w:p w14:paraId="73B5449D" w14:textId="77777777" w:rsidR="00FA4AA8" w:rsidRDefault="00FA4AA8">
            <w:pPr>
              <w:pStyle w:val="TableParagraph"/>
              <w:rPr>
                <w:rFonts w:ascii="Times New Roman"/>
                <w:sz w:val="18"/>
              </w:rPr>
            </w:pPr>
          </w:p>
        </w:tc>
        <w:tc>
          <w:tcPr>
            <w:tcW w:w="1835" w:type="dxa"/>
          </w:tcPr>
          <w:p w14:paraId="0C163911" w14:textId="77777777" w:rsidR="00FA4AA8" w:rsidRDefault="0015611F">
            <w:pPr>
              <w:pStyle w:val="TableParagraph"/>
              <w:tabs>
                <w:tab w:val="left" w:pos="1442"/>
              </w:tabs>
              <w:spacing w:before="24"/>
              <w:ind w:left="146"/>
              <w:rPr>
                <w:sz w:val="18"/>
              </w:rPr>
            </w:pPr>
            <w:r>
              <w:rPr>
                <w:b/>
                <w:sz w:val="18"/>
              </w:rPr>
              <w:t>-</w:t>
            </w:r>
            <w:r>
              <w:rPr>
                <w:b/>
                <w:sz w:val="18"/>
              </w:rPr>
              <w:tab/>
            </w:r>
            <w:r>
              <w:rPr>
                <w:sz w:val="18"/>
              </w:rPr>
              <w:t>-</w:t>
            </w:r>
          </w:p>
        </w:tc>
        <w:tc>
          <w:tcPr>
            <w:tcW w:w="1380" w:type="dxa"/>
          </w:tcPr>
          <w:p w14:paraId="4B9808BB" w14:textId="77777777" w:rsidR="00FA4AA8" w:rsidRDefault="0015611F">
            <w:pPr>
              <w:pStyle w:val="TableParagraph"/>
              <w:spacing w:before="24"/>
              <w:ind w:right="246"/>
              <w:jc w:val="right"/>
              <w:rPr>
                <w:b/>
                <w:sz w:val="18"/>
              </w:rPr>
            </w:pPr>
            <w:r>
              <w:rPr>
                <w:b/>
                <w:sz w:val="18"/>
              </w:rPr>
              <w:t>23,756</w:t>
            </w:r>
          </w:p>
        </w:tc>
        <w:tc>
          <w:tcPr>
            <w:tcW w:w="1134" w:type="dxa"/>
          </w:tcPr>
          <w:p w14:paraId="2293D9AF" w14:textId="77777777" w:rsidR="00FA4AA8" w:rsidRDefault="0015611F">
            <w:pPr>
              <w:pStyle w:val="TableParagraph"/>
              <w:spacing w:before="24"/>
              <w:ind w:right="84"/>
              <w:jc w:val="right"/>
              <w:rPr>
                <w:sz w:val="18"/>
              </w:rPr>
            </w:pPr>
            <w:r>
              <w:rPr>
                <w:sz w:val="18"/>
              </w:rPr>
              <w:t>22,919</w:t>
            </w:r>
          </w:p>
        </w:tc>
      </w:tr>
      <w:tr w:rsidR="00FA4AA8" w14:paraId="473F76C8" w14:textId="77777777">
        <w:trPr>
          <w:trHeight w:val="459"/>
        </w:trPr>
        <w:tc>
          <w:tcPr>
            <w:tcW w:w="3097" w:type="dxa"/>
          </w:tcPr>
          <w:p w14:paraId="74D07133" w14:textId="77777777" w:rsidR="00FA4AA8" w:rsidRDefault="0015611F">
            <w:pPr>
              <w:pStyle w:val="TableParagraph"/>
              <w:spacing w:before="23"/>
              <w:ind w:left="191" w:right="895"/>
              <w:rPr>
                <w:sz w:val="18"/>
              </w:rPr>
            </w:pPr>
            <w:r>
              <w:rPr>
                <w:sz w:val="18"/>
              </w:rPr>
              <w:t>Expense recoveries from controlled entities</w:t>
            </w:r>
          </w:p>
        </w:tc>
        <w:tc>
          <w:tcPr>
            <w:tcW w:w="913" w:type="dxa"/>
          </w:tcPr>
          <w:p w14:paraId="7B93B2ED" w14:textId="77777777" w:rsidR="00FA4AA8" w:rsidRDefault="00FA4AA8">
            <w:pPr>
              <w:pStyle w:val="TableParagraph"/>
              <w:rPr>
                <w:rFonts w:ascii="Times New Roman"/>
                <w:sz w:val="18"/>
              </w:rPr>
            </w:pPr>
          </w:p>
        </w:tc>
        <w:tc>
          <w:tcPr>
            <w:tcW w:w="1171" w:type="dxa"/>
            <w:tcBorders>
              <w:bottom w:val="single" w:sz="8" w:space="0" w:color="000000"/>
            </w:tcBorders>
          </w:tcPr>
          <w:p w14:paraId="6C44229C" w14:textId="77777777" w:rsidR="00FA4AA8" w:rsidRDefault="00FA4AA8">
            <w:pPr>
              <w:pStyle w:val="TableParagraph"/>
              <w:rPr>
                <w:rFonts w:ascii="Times New Roman"/>
                <w:sz w:val="18"/>
              </w:rPr>
            </w:pPr>
          </w:p>
        </w:tc>
        <w:tc>
          <w:tcPr>
            <w:tcW w:w="1835" w:type="dxa"/>
            <w:tcBorders>
              <w:bottom w:val="single" w:sz="8" w:space="0" w:color="000000"/>
            </w:tcBorders>
          </w:tcPr>
          <w:p w14:paraId="0CF0A5E6" w14:textId="77777777" w:rsidR="00FA4AA8" w:rsidRDefault="00FA4AA8">
            <w:pPr>
              <w:pStyle w:val="TableParagraph"/>
              <w:spacing w:before="8"/>
              <w:rPr>
                <w:b/>
                <w:sz w:val="19"/>
              </w:rPr>
            </w:pPr>
          </w:p>
          <w:p w14:paraId="07191956" w14:textId="77777777" w:rsidR="00FA4AA8" w:rsidRDefault="0015611F">
            <w:pPr>
              <w:pStyle w:val="TableParagraph"/>
              <w:tabs>
                <w:tab w:val="left" w:pos="1442"/>
              </w:tabs>
              <w:ind w:left="146"/>
              <w:rPr>
                <w:sz w:val="18"/>
              </w:rPr>
            </w:pPr>
            <w:r>
              <w:rPr>
                <w:b/>
                <w:sz w:val="18"/>
              </w:rPr>
              <w:t>-</w:t>
            </w:r>
            <w:r>
              <w:rPr>
                <w:b/>
                <w:sz w:val="18"/>
              </w:rPr>
              <w:tab/>
            </w:r>
            <w:r>
              <w:rPr>
                <w:sz w:val="18"/>
              </w:rPr>
              <w:t>-</w:t>
            </w:r>
          </w:p>
        </w:tc>
        <w:tc>
          <w:tcPr>
            <w:tcW w:w="1380" w:type="dxa"/>
            <w:tcBorders>
              <w:bottom w:val="single" w:sz="8" w:space="0" w:color="000000"/>
            </w:tcBorders>
          </w:tcPr>
          <w:p w14:paraId="68EDB53B" w14:textId="77777777" w:rsidR="00FA4AA8" w:rsidRDefault="00FA4AA8">
            <w:pPr>
              <w:pStyle w:val="TableParagraph"/>
              <w:spacing w:before="8"/>
              <w:rPr>
                <w:b/>
                <w:sz w:val="19"/>
              </w:rPr>
            </w:pPr>
          </w:p>
          <w:p w14:paraId="024E9318" w14:textId="77777777" w:rsidR="00FA4AA8" w:rsidRDefault="0015611F">
            <w:pPr>
              <w:pStyle w:val="TableParagraph"/>
              <w:ind w:right="246"/>
              <w:jc w:val="right"/>
              <w:rPr>
                <w:b/>
                <w:sz w:val="18"/>
              </w:rPr>
            </w:pPr>
            <w:r>
              <w:rPr>
                <w:b/>
                <w:sz w:val="18"/>
              </w:rPr>
              <w:t>60</w:t>
            </w:r>
          </w:p>
        </w:tc>
        <w:tc>
          <w:tcPr>
            <w:tcW w:w="1134" w:type="dxa"/>
            <w:tcBorders>
              <w:bottom w:val="single" w:sz="8" w:space="0" w:color="000000"/>
            </w:tcBorders>
          </w:tcPr>
          <w:p w14:paraId="1B6DC076" w14:textId="77777777" w:rsidR="00FA4AA8" w:rsidRDefault="00FA4AA8">
            <w:pPr>
              <w:pStyle w:val="TableParagraph"/>
              <w:spacing w:before="8"/>
              <w:rPr>
                <w:b/>
                <w:sz w:val="19"/>
              </w:rPr>
            </w:pPr>
          </w:p>
          <w:p w14:paraId="5C7D1FF2" w14:textId="77777777" w:rsidR="00FA4AA8" w:rsidRDefault="0015611F">
            <w:pPr>
              <w:pStyle w:val="TableParagraph"/>
              <w:ind w:right="84"/>
              <w:jc w:val="right"/>
              <w:rPr>
                <w:sz w:val="18"/>
              </w:rPr>
            </w:pPr>
            <w:r>
              <w:rPr>
                <w:sz w:val="18"/>
              </w:rPr>
              <w:t>108</w:t>
            </w:r>
          </w:p>
        </w:tc>
      </w:tr>
      <w:tr w:rsidR="00FA4AA8" w14:paraId="3E7F43A1" w14:textId="77777777">
        <w:trPr>
          <w:trHeight w:val="324"/>
        </w:trPr>
        <w:tc>
          <w:tcPr>
            <w:tcW w:w="3097" w:type="dxa"/>
          </w:tcPr>
          <w:p w14:paraId="68BCB7C3" w14:textId="77777777" w:rsidR="00FA4AA8" w:rsidRDefault="0015611F">
            <w:pPr>
              <w:pStyle w:val="TableParagraph"/>
              <w:spacing w:before="115" w:line="190" w:lineRule="exact"/>
              <w:ind w:left="50"/>
              <w:rPr>
                <w:b/>
                <w:sz w:val="18"/>
              </w:rPr>
            </w:pPr>
            <w:r>
              <w:rPr>
                <w:b/>
                <w:sz w:val="18"/>
              </w:rPr>
              <w:t>Total sales of goods and</w:t>
            </w:r>
          </w:p>
        </w:tc>
        <w:tc>
          <w:tcPr>
            <w:tcW w:w="913" w:type="dxa"/>
          </w:tcPr>
          <w:p w14:paraId="2AE29D44" w14:textId="77777777" w:rsidR="00FA4AA8" w:rsidRDefault="00FA4AA8">
            <w:pPr>
              <w:pStyle w:val="TableParagraph"/>
              <w:rPr>
                <w:rFonts w:ascii="Times New Roman"/>
                <w:sz w:val="18"/>
              </w:rPr>
            </w:pPr>
          </w:p>
        </w:tc>
        <w:tc>
          <w:tcPr>
            <w:tcW w:w="1171" w:type="dxa"/>
            <w:tcBorders>
              <w:top w:val="single" w:sz="8" w:space="0" w:color="000000"/>
            </w:tcBorders>
          </w:tcPr>
          <w:p w14:paraId="52B802FB" w14:textId="77777777" w:rsidR="00FA4AA8" w:rsidRDefault="00FA4AA8">
            <w:pPr>
              <w:pStyle w:val="TableParagraph"/>
              <w:rPr>
                <w:rFonts w:ascii="Times New Roman"/>
                <w:sz w:val="18"/>
              </w:rPr>
            </w:pPr>
          </w:p>
        </w:tc>
        <w:tc>
          <w:tcPr>
            <w:tcW w:w="1835" w:type="dxa"/>
            <w:tcBorders>
              <w:top w:val="single" w:sz="8" w:space="0" w:color="000000"/>
            </w:tcBorders>
          </w:tcPr>
          <w:p w14:paraId="785749BF" w14:textId="77777777" w:rsidR="00FA4AA8" w:rsidRDefault="00FA4AA8">
            <w:pPr>
              <w:pStyle w:val="TableParagraph"/>
              <w:rPr>
                <w:rFonts w:ascii="Times New Roman"/>
                <w:sz w:val="18"/>
              </w:rPr>
            </w:pPr>
          </w:p>
        </w:tc>
        <w:tc>
          <w:tcPr>
            <w:tcW w:w="1380" w:type="dxa"/>
            <w:tcBorders>
              <w:top w:val="single" w:sz="8" w:space="0" w:color="000000"/>
            </w:tcBorders>
          </w:tcPr>
          <w:p w14:paraId="47B51A2D" w14:textId="77777777" w:rsidR="00FA4AA8" w:rsidRDefault="00FA4AA8">
            <w:pPr>
              <w:pStyle w:val="TableParagraph"/>
              <w:rPr>
                <w:rFonts w:ascii="Times New Roman"/>
                <w:sz w:val="18"/>
              </w:rPr>
            </w:pPr>
          </w:p>
        </w:tc>
        <w:tc>
          <w:tcPr>
            <w:tcW w:w="1134" w:type="dxa"/>
            <w:tcBorders>
              <w:top w:val="single" w:sz="8" w:space="0" w:color="000000"/>
            </w:tcBorders>
          </w:tcPr>
          <w:p w14:paraId="09B9F882" w14:textId="77777777" w:rsidR="00FA4AA8" w:rsidRDefault="00FA4AA8">
            <w:pPr>
              <w:pStyle w:val="TableParagraph"/>
              <w:rPr>
                <w:rFonts w:ascii="Times New Roman"/>
                <w:sz w:val="18"/>
              </w:rPr>
            </w:pPr>
          </w:p>
        </w:tc>
      </w:tr>
      <w:tr w:rsidR="00FA4AA8" w14:paraId="6CFC2486" w14:textId="77777777">
        <w:trPr>
          <w:trHeight w:val="200"/>
        </w:trPr>
        <w:tc>
          <w:tcPr>
            <w:tcW w:w="3097" w:type="dxa"/>
          </w:tcPr>
          <w:p w14:paraId="33525E5E" w14:textId="77777777" w:rsidR="00FA4AA8" w:rsidRDefault="0015611F">
            <w:pPr>
              <w:pStyle w:val="TableParagraph"/>
              <w:spacing w:line="180" w:lineRule="exact"/>
              <w:ind w:left="50"/>
              <w:rPr>
                <w:b/>
                <w:sz w:val="18"/>
              </w:rPr>
            </w:pPr>
            <w:r>
              <w:rPr>
                <w:b/>
                <w:sz w:val="18"/>
              </w:rPr>
              <w:t>services</w:t>
            </w:r>
          </w:p>
        </w:tc>
        <w:tc>
          <w:tcPr>
            <w:tcW w:w="913" w:type="dxa"/>
          </w:tcPr>
          <w:p w14:paraId="79FAFEAE" w14:textId="77777777" w:rsidR="00FA4AA8" w:rsidRDefault="00FA4AA8">
            <w:pPr>
              <w:pStyle w:val="TableParagraph"/>
              <w:rPr>
                <w:rFonts w:ascii="Times New Roman"/>
                <w:sz w:val="12"/>
              </w:rPr>
            </w:pPr>
          </w:p>
        </w:tc>
        <w:tc>
          <w:tcPr>
            <w:tcW w:w="1171" w:type="dxa"/>
            <w:tcBorders>
              <w:bottom w:val="single" w:sz="8" w:space="0" w:color="000000"/>
            </w:tcBorders>
          </w:tcPr>
          <w:p w14:paraId="2D0964CE" w14:textId="77777777" w:rsidR="00FA4AA8" w:rsidRDefault="00FA4AA8">
            <w:pPr>
              <w:pStyle w:val="TableParagraph"/>
              <w:rPr>
                <w:rFonts w:ascii="Times New Roman"/>
                <w:sz w:val="12"/>
              </w:rPr>
            </w:pPr>
          </w:p>
        </w:tc>
        <w:tc>
          <w:tcPr>
            <w:tcW w:w="1835" w:type="dxa"/>
            <w:tcBorders>
              <w:bottom w:val="single" w:sz="8" w:space="0" w:color="000000"/>
            </w:tcBorders>
          </w:tcPr>
          <w:p w14:paraId="5C6CF598" w14:textId="77777777" w:rsidR="00FA4AA8" w:rsidRDefault="0015611F">
            <w:pPr>
              <w:pStyle w:val="TableParagraph"/>
              <w:tabs>
                <w:tab w:val="left" w:pos="1442"/>
              </w:tabs>
              <w:spacing w:line="180" w:lineRule="exact"/>
              <w:ind w:left="146"/>
              <w:rPr>
                <w:sz w:val="18"/>
              </w:rPr>
            </w:pPr>
            <w:r>
              <w:rPr>
                <w:b/>
                <w:sz w:val="18"/>
              </w:rPr>
              <w:t>-</w:t>
            </w:r>
            <w:r>
              <w:rPr>
                <w:b/>
                <w:sz w:val="18"/>
              </w:rPr>
              <w:tab/>
            </w:r>
            <w:r>
              <w:rPr>
                <w:sz w:val="18"/>
              </w:rPr>
              <w:t>-</w:t>
            </w:r>
          </w:p>
        </w:tc>
        <w:tc>
          <w:tcPr>
            <w:tcW w:w="1380" w:type="dxa"/>
            <w:tcBorders>
              <w:bottom w:val="single" w:sz="8" w:space="0" w:color="000000"/>
            </w:tcBorders>
          </w:tcPr>
          <w:p w14:paraId="5B16C25A" w14:textId="77777777" w:rsidR="00FA4AA8" w:rsidRDefault="0015611F">
            <w:pPr>
              <w:pStyle w:val="TableParagraph"/>
              <w:spacing w:line="180" w:lineRule="exact"/>
              <w:ind w:right="246"/>
              <w:jc w:val="right"/>
              <w:rPr>
                <w:b/>
                <w:sz w:val="18"/>
              </w:rPr>
            </w:pPr>
            <w:r>
              <w:rPr>
                <w:b/>
                <w:sz w:val="18"/>
              </w:rPr>
              <w:t>23,816</w:t>
            </w:r>
          </w:p>
        </w:tc>
        <w:tc>
          <w:tcPr>
            <w:tcW w:w="1134" w:type="dxa"/>
            <w:tcBorders>
              <w:bottom w:val="single" w:sz="8" w:space="0" w:color="000000"/>
            </w:tcBorders>
          </w:tcPr>
          <w:p w14:paraId="132AD362" w14:textId="77777777" w:rsidR="00FA4AA8" w:rsidRDefault="0015611F">
            <w:pPr>
              <w:pStyle w:val="TableParagraph"/>
              <w:spacing w:line="180" w:lineRule="exact"/>
              <w:ind w:right="84"/>
              <w:jc w:val="right"/>
              <w:rPr>
                <w:sz w:val="18"/>
              </w:rPr>
            </w:pPr>
            <w:r>
              <w:rPr>
                <w:sz w:val="18"/>
              </w:rPr>
              <w:t>23,027</w:t>
            </w:r>
          </w:p>
        </w:tc>
      </w:tr>
      <w:tr w:rsidR="00FA4AA8" w14:paraId="1F558237" w14:textId="77777777">
        <w:trPr>
          <w:trHeight w:val="265"/>
        </w:trPr>
        <w:tc>
          <w:tcPr>
            <w:tcW w:w="3097" w:type="dxa"/>
          </w:tcPr>
          <w:p w14:paraId="2012254A" w14:textId="77777777" w:rsidR="00FA4AA8" w:rsidRDefault="0015611F">
            <w:pPr>
              <w:pStyle w:val="TableParagraph"/>
              <w:spacing w:before="28"/>
              <w:ind w:left="50"/>
              <w:rPr>
                <w:b/>
                <w:sz w:val="18"/>
              </w:rPr>
            </w:pPr>
            <w:r>
              <w:rPr>
                <w:b/>
                <w:sz w:val="18"/>
              </w:rPr>
              <w:t>Purchase of goods</w:t>
            </w:r>
          </w:p>
        </w:tc>
        <w:tc>
          <w:tcPr>
            <w:tcW w:w="913" w:type="dxa"/>
          </w:tcPr>
          <w:p w14:paraId="732D3E0E" w14:textId="77777777" w:rsidR="00FA4AA8" w:rsidRDefault="00FA4AA8">
            <w:pPr>
              <w:pStyle w:val="TableParagraph"/>
              <w:rPr>
                <w:rFonts w:ascii="Times New Roman"/>
                <w:sz w:val="18"/>
              </w:rPr>
            </w:pPr>
          </w:p>
        </w:tc>
        <w:tc>
          <w:tcPr>
            <w:tcW w:w="1171" w:type="dxa"/>
            <w:tcBorders>
              <w:top w:val="single" w:sz="8" w:space="0" w:color="000000"/>
            </w:tcBorders>
          </w:tcPr>
          <w:p w14:paraId="29B28571" w14:textId="77777777" w:rsidR="00FA4AA8" w:rsidRDefault="00FA4AA8">
            <w:pPr>
              <w:pStyle w:val="TableParagraph"/>
              <w:rPr>
                <w:rFonts w:ascii="Times New Roman"/>
                <w:sz w:val="18"/>
              </w:rPr>
            </w:pPr>
          </w:p>
        </w:tc>
        <w:tc>
          <w:tcPr>
            <w:tcW w:w="1835" w:type="dxa"/>
            <w:tcBorders>
              <w:top w:val="single" w:sz="8" w:space="0" w:color="000000"/>
            </w:tcBorders>
          </w:tcPr>
          <w:p w14:paraId="40B5F852" w14:textId="77777777" w:rsidR="00FA4AA8" w:rsidRDefault="00FA4AA8">
            <w:pPr>
              <w:pStyle w:val="TableParagraph"/>
              <w:rPr>
                <w:rFonts w:ascii="Times New Roman"/>
                <w:sz w:val="18"/>
              </w:rPr>
            </w:pPr>
          </w:p>
        </w:tc>
        <w:tc>
          <w:tcPr>
            <w:tcW w:w="1380" w:type="dxa"/>
            <w:tcBorders>
              <w:top w:val="single" w:sz="8" w:space="0" w:color="000000"/>
            </w:tcBorders>
          </w:tcPr>
          <w:p w14:paraId="20044B71" w14:textId="77777777" w:rsidR="00FA4AA8" w:rsidRDefault="00FA4AA8">
            <w:pPr>
              <w:pStyle w:val="TableParagraph"/>
              <w:rPr>
                <w:rFonts w:ascii="Times New Roman"/>
                <w:sz w:val="18"/>
              </w:rPr>
            </w:pPr>
          </w:p>
        </w:tc>
        <w:tc>
          <w:tcPr>
            <w:tcW w:w="1134" w:type="dxa"/>
            <w:tcBorders>
              <w:top w:val="single" w:sz="8" w:space="0" w:color="000000"/>
            </w:tcBorders>
          </w:tcPr>
          <w:p w14:paraId="5FCEE5DF" w14:textId="77777777" w:rsidR="00FA4AA8" w:rsidRDefault="00FA4AA8">
            <w:pPr>
              <w:pStyle w:val="TableParagraph"/>
              <w:rPr>
                <w:rFonts w:ascii="Times New Roman"/>
                <w:sz w:val="18"/>
              </w:rPr>
            </w:pPr>
          </w:p>
        </w:tc>
      </w:tr>
      <w:tr w:rsidR="00FA4AA8" w14:paraId="036E727A" w14:textId="77777777">
        <w:trPr>
          <w:trHeight w:val="262"/>
        </w:trPr>
        <w:tc>
          <w:tcPr>
            <w:tcW w:w="3097" w:type="dxa"/>
          </w:tcPr>
          <w:p w14:paraId="2E714888" w14:textId="77777777" w:rsidR="00FA4AA8" w:rsidRDefault="0015611F">
            <w:pPr>
              <w:pStyle w:val="TableParagraph"/>
              <w:spacing w:before="26"/>
              <w:ind w:left="191"/>
              <w:rPr>
                <w:sz w:val="18"/>
              </w:rPr>
            </w:pPr>
            <w:r>
              <w:rPr>
                <w:sz w:val="18"/>
              </w:rPr>
              <w:t>Services to University</w:t>
            </w:r>
          </w:p>
        </w:tc>
        <w:tc>
          <w:tcPr>
            <w:tcW w:w="913" w:type="dxa"/>
          </w:tcPr>
          <w:p w14:paraId="4AF846FF" w14:textId="77777777" w:rsidR="00FA4AA8" w:rsidRDefault="00FA4AA8">
            <w:pPr>
              <w:pStyle w:val="TableParagraph"/>
              <w:rPr>
                <w:rFonts w:ascii="Times New Roman"/>
                <w:sz w:val="18"/>
              </w:rPr>
            </w:pPr>
          </w:p>
        </w:tc>
        <w:tc>
          <w:tcPr>
            <w:tcW w:w="1171" w:type="dxa"/>
          </w:tcPr>
          <w:p w14:paraId="31C88A51" w14:textId="77777777" w:rsidR="00FA4AA8" w:rsidRDefault="00FA4AA8">
            <w:pPr>
              <w:pStyle w:val="TableParagraph"/>
              <w:rPr>
                <w:rFonts w:ascii="Times New Roman"/>
                <w:sz w:val="18"/>
              </w:rPr>
            </w:pPr>
          </w:p>
        </w:tc>
        <w:tc>
          <w:tcPr>
            <w:tcW w:w="1835" w:type="dxa"/>
          </w:tcPr>
          <w:p w14:paraId="756F0B8E" w14:textId="77777777" w:rsidR="00FA4AA8" w:rsidRDefault="0015611F">
            <w:pPr>
              <w:pStyle w:val="TableParagraph"/>
              <w:tabs>
                <w:tab w:val="left" w:pos="1442"/>
              </w:tabs>
              <w:spacing w:before="24"/>
              <w:ind w:left="146"/>
              <w:rPr>
                <w:sz w:val="18"/>
              </w:rPr>
            </w:pPr>
            <w:r>
              <w:rPr>
                <w:b/>
                <w:sz w:val="18"/>
              </w:rPr>
              <w:t>-</w:t>
            </w:r>
            <w:r>
              <w:rPr>
                <w:b/>
                <w:sz w:val="18"/>
              </w:rPr>
              <w:tab/>
            </w:r>
            <w:r>
              <w:rPr>
                <w:sz w:val="18"/>
              </w:rPr>
              <w:t>-</w:t>
            </w:r>
          </w:p>
        </w:tc>
        <w:tc>
          <w:tcPr>
            <w:tcW w:w="1380" w:type="dxa"/>
          </w:tcPr>
          <w:p w14:paraId="401B4763" w14:textId="77777777" w:rsidR="00FA4AA8" w:rsidRDefault="0015611F">
            <w:pPr>
              <w:pStyle w:val="TableParagraph"/>
              <w:spacing w:before="24"/>
              <w:ind w:right="246"/>
              <w:jc w:val="right"/>
              <w:rPr>
                <w:b/>
                <w:sz w:val="18"/>
              </w:rPr>
            </w:pPr>
            <w:r>
              <w:rPr>
                <w:b/>
                <w:sz w:val="18"/>
              </w:rPr>
              <w:t>1,542</w:t>
            </w:r>
          </w:p>
        </w:tc>
        <w:tc>
          <w:tcPr>
            <w:tcW w:w="1134" w:type="dxa"/>
          </w:tcPr>
          <w:p w14:paraId="718E8418" w14:textId="77777777" w:rsidR="00FA4AA8" w:rsidRDefault="0015611F">
            <w:pPr>
              <w:pStyle w:val="TableParagraph"/>
              <w:spacing w:before="24"/>
              <w:ind w:right="84"/>
              <w:jc w:val="right"/>
              <w:rPr>
                <w:sz w:val="18"/>
              </w:rPr>
            </w:pPr>
            <w:r>
              <w:rPr>
                <w:sz w:val="18"/>
              </w:rPr>
              <w:t>1,545</w:t>
            </w:r>
          </w:p>
        </w:tc>
      </w:tr>
      <w:tr w:rsidR="00FA4AA8" w14:paraId="770D7F16" w14:textId="77777777">
        <w:trPr>
          <w:trHeight w:val="257"/>
        </w:trPr>
        <w:tc>
          <w:tcPr>
            <w:tcW w:w="3097" w:type="dxa"/>
          </w:tcPr>
          <w:p w14:paraId="3F2A5935" w14:textId="77777777" w:rsidR="00FA4AA8" w:rsidRDefault="0015611F">
            <w:pPr>
              <w:pStyle w:val="TableParagraph"/>
              <w:spacing w:before="28"/>
              <w:ind w:left="191"/>
              <w:rPr>
                <w:sz w:val="18"/>
              </w:rPr>
            </w:pPr>
            <w:r>
              <w:rPr>
                <w:sz w:val="18"/>
              </w:rPr>
              <w:t>Funding to controlled entities</w:t>
            </w:r>
          </w:p>
        </w:tc>
        <w:tc>
          <w:tcPr>
            <w:tcW w:w="913" w:type="dxa"/>
          </w:tcPr>
          <w:p w14:paraId="56AD2A82" w14:textId="77777777" w:rsidR="00FA4AA8" w:rsidRDefault="0015611F">
            <w:pPr>
              <w:pStyle w:val="TableParagraph"/>
              <w:spacing w:before="23"/>
              <w:ind w:right="185"/>
              <w:jc w:val="right"/>
              <w:rPr>
                <w:sz w:val="18"/>
              </w:rPr>
            </w:pPr>
            <w:r>
              <w:rPr>
                <w:sz w:val="18"/>
              </w:rPr>
              <w:t>15</w:t>
            </w:r>
          </w:p>
        </w:tc>
        <w:tc>
          <w:tcPr>
            <w:tcW w:w="1171" w:type="dxa"/>
            <w:tcBorders>
              <w:bottom w:val="single" w:sz="8" w:space="0" w:color="000000"/>
            </w:tcBorders>
          </w:tcPr>
          <w:p w14:paraId="4C44986A" w14:textId="77777777" w:rsidR="00FA4AA8" w:rsidRDefault="00FA4AA8">
            <w:pPr>
              <w:pStyle w:val="TableParagraph"/>
              <w:rPr>
                <w:rFonts w:ascii="Times New Roman"/>
                <w:sz w:val="18"/>
              </w:rPr>
            </w:pPr>
          </w:p>
        </w:tc>
        <w:tc>
          <w:tcPr>
            <w:tcW w:w="1835" w:type="dxa"/>
            <w:tcBorders>
              <w:bottom w:val="single" w:sz="8" w:space="0" w:color="000000"/>
            </w:tcBorders>
          </w:tcPr>
          <w:p w14:paraId="7E97F684" w14:textId="77777777" w:rsidR="00FA4AA8" w:rsidRDefault="0015611F">
            <w:pPr>
              <w:pStyle w:val="TableParagraph"/>
              <w:tabs>
                <w:tab w:val="left" w:pos="1442"/>
              </w:tabs>
              <w:spacing w:before="25"/>
              <w:ind w:left="146"/>
              <w:rPr>
                <w:sz w:val="18"/>
              </w:rPr>
            </w:pPr>
            <w:r>
              <w:rPr>
                <w:b/>
                <w:sz w:val="18"/>
              </w:rPr>
              <w:t>-</w:t>
            </w:r>
            <w:r>
              <w:rPr>
                <w:b/>
                <w:sz w:val="18"/>
              </w:rPr>
              <w:tab/>
            </w:r>
            <w:r>
              <w:rPr>
                <w:sz w:val="18"/>
              </w:rPr>
              <w:t>-</w:t>
            </w:r>
          </w:p>
        </w:tc>
        <w:tc>
          <w:tcPr>
            <w:tcW w:w="1380" w:type="dxa"/>
            <w:tcBorders>
              <w:bottom w:val="single" w:sz="8" w:space="0" w:color="000000"/>
            </w:tcBorders>
          </w:tcPr>
          <w:p w14:paraId="26D92841" w14:textId="77777777" w:rsidR="00FA4AA8" w:rsidRDefault="0015611F">
            <w:pPr>
              <w:pStyle w:val="TableParagraph"/>
              <w:spacing w:before="25"/>
              <w:ind w:right="246"/>
              <w:jc w:val="right"/>
              <w:rPr>
                <w:b/>
                <w:sz w:val="18"/>
              </w:rPr>
            </w:pPr>
            <w:r>
              <w:rPr>
                <w:b/>
                <w:sz w:val="18"/>
              </w:rPr>
              <w:t>51,268</w:t>
            </w:r>
          </w:p>
        </w:tc>
        <w:tc>
          <w:tcPr>
            <w:tcW w:w="1134" w:type="dxa"/>
            <w:tcBorders>
              <w:bottom w:val="single" w:sz="8" w:space="0" w:color="000000"/>
            </w:tcBorders>
          </w:tcPr>
          <w:p w14:paraId="73EA1AA7" w14:textId="77777777" w:rsidR="00FA4AA8" w:rsidRDefault="0015611F">
            <w:pPr>
              <w:pStyle w:val="TableParagraph"/>
              <w:spacing w:before="25"/>
              <w:ind w:right="84"/>
              <w:jc w:val="right"/>
              <w:rPr>
                <w:sz w:val="18"/>
              </w:rPr>
            </w:pPr>
            <w:r>
              <w:rPr>
                <w:sz w:val="18"/>
              </w:rPr>
              <w:t>53,256</w:t>
            </w:r>
          </w:p>
        </w:tc>
      </w:tr>
      <w:tr w:rsidR="00FA4AA8" w14:paraId="017CBC89" w14:textId="77777777">
        <w:trPr>
          <w:trHeight w:val="318"/>
        </w:trPr>
        <w:tc>
          <w:tcPr>
            <w:tcW w:w="3097" w:type="dxa"/>
          </w:tcPr>
          <w:p w14:paraId="5BD16A19" w14:textId="77777777" w:rsidR="00FA4AA8" w:rsidRDefault="0015611F">
            <w:pPr>
              <w:pStyle w:val="TableParagraph"/>
              <w:spacing w:before="115" w:line="183" w:lineRule="exact"/>
              <w:ind w:left="50"/>
              <w:rPr>
                <w:b/>
                <w:sz w:val="18"/>
              </w:rPr>
            </w:pPr>
            <w:r>
              <w:rPr>
                <w:b/>
                <w:sz w:val="18"/>
              </w:rPr>
              <w:t>Total purchase of goods</w:t>
            </w:r>
          </w:p>
        </w:tc>
        <w:tc>
          <w:tcPr>
            <w:tcW w:w="913" w:type="dxa"/>
          </w:tcPr>
          <w:p w14:paraId="0BE02BB5" w14:textId="77777777" w:rsidR="00FA4AA8" w:rsidRDefault="00FA4AA8">
            <w:pPr>
              <w:pStyle w:val="TableParagraph"/>
              <w:rPr>
                <w:rFonts w:ascii="Times New Roman"/>
                <w:sz w:val="18"/>
              </w:rPr>
            </w:pPr>
          </w:p>
        </w:tc>
        <w:tc>
          <w:tcPr>
            <w:tcW w:w="1171" w:type="dxa"/>
            <w:tcBorders>
              <w:top w:val="single" w:sz="8" w:space="0" w:color="000000"/>
              <w:bottom w:val="single" w:sz="8" w:space="0" w:color="000000"/>
            </w:tcBorders>
          </w:tcPr>
          <w:p w14:paraId="31F98470" w14:textId="77777777" w:rsidR="00FA4AA8" w:rsidRDefault="00FA4AA8">
            <w:pPr>
              <w:pStyle w:val="TableParagraph"/>
              <w:rPr>
                <w:rFonts w:ascii="Times New Roman"/>
                <w:sz w:val="18"/>
              </w:rPr>
            </w:pPr>
          </w:p>
        </w:tc>
        <w:tc>
          <w:tcPr>
            <w:tcW w:w="1835" w:type="dxa"/>
            <w:tcBorders>
              <w:top w:val="single" w:sz="8" w:space="0" w:color="000000"/>
              <w:bottom w:val="single" w:sz="8" w:space="0" w:color="000000"/>
            </w:tcBorders>
          </w:tcPr>
          <w:p w14:paraId="4C5A93AE" w14:textId="77777777" w:rsidR="00FA4AA8" w:rsidRDefault="0015611F">
            <w:pPr>
              <w:pStyle w:val="TableParagraph"/>
              <w:tabs>
                <w:tab w:val="left" w:pos="1442"/>
              </w:tabs>
              <w:spacing w:before="115" w:line="183" w:lineRule="exact"/>
              <w:ind w:left="146"/>
              <w:rPr>
                <w:sz w:val="18"/>
              </w:rPr>
            </w:pPr>
            <w:r>
              <w:rPr>
                <w:b/>
                <w:sz w:val="18"/>
              </w:rPr>
              <w:t>-</w:t>
            </w:r>
            <w:r>
              <w:rPr>
                <w:b/>
                <w:sz w:val="18"/>
              </w:rPr>
              <w:tab/>
            </w:r>
            <w:r>
              <w:rPr>
                <w:sz w:val="18"/>
              </w:rPr>
              <w:t>-</w:t>
            </w:r>
          </w:p>
        </w:tc>
        <w:tc>
          <w:tcPr>
            <w:tcW w:w="1380" w:type="dxa"/>
            <w:tcBorders>
              <w:top w:val="single" w:sz="8" w:space="0" w:color="000000"/>
              <w:bottom w:val="single" w:sz="8" w:space="0" w:color="000000"/>
            </w:tcBorders>
          </w:tcPr>
          <w:p w14:paraId="49E04FA1" w14:textId="77777777" w:rsidR="00FA4AA8" w:rsidRDefault="0015611F">
            <w:pPr>
              <w:pStyle w:val="TableParagraph"/>
              <w:spacing w:before="115" w:line="183" w:lineRule="exact"/>
              <w:ind w:right="246"/>
              <w:jc w:val="right"/>
              <w:rPr>
                <w:b/>
                <w:sz w:val="18"/>
              </w:rPr>
            </w:pPr>
            <w:r>
              <w:rPr>
                <w:b/>
                <w:sz w:val="18"/>
              </w:rPr>
              <w:t>52,810</w:t>
            </w:r>
          </w:p>
        </w:tc>
        <w:tc>
          <w:tcPr>
            <w:tcW w:w="1134" w:type="dxa"/>
            <w:tcBorders>
              <w:top w:val="single" w:sz="8" w:space="0" w:color="000000"/>
              <w:bottom w:val="single" w:sz="8" w:space="0" w:color="000000"/>
            </w:tcBorders>
          </w:tcPr>
          <w:p w14:paraId="3D5BB006" w14:textId="77777777" w:rsidR="00FA4AA8" w:rsidRDefault="0015611F">
            <w:pPr>
              <w:pStyle w:val="TableParagraph"/>
              <w:spacing w:before="115" w:line="183" w:lineRule="exact"/>
              <w:ind w:right="84"/>
              <w:jc w:val="right"/>
              <w:rPr>
                <w:sz w:val="18"/>
              </w:rPr>
            </w:pPr>
            <w:r>
              <w:rPr>
                <w:sz w:val="18"/>
              </w:rPr>
              <w:t>54,801</w:t>
            </w:r>
          </w:p>
        </w:tc>
      </w:tr>
    </w:tbl>
    <w:p w14:paraId="29598BE4" w14:textId="77777777" w:rsidR="00FA4AA8" w:rsidRDefault="00FA4AA8">
      <w:pPr>
        <w:spacing w:line="183" w:lineRule="exact"/>
        <w:jc w:val="right"/>
        <w:rPr>
          <w:sz w:val="18"/>
        </w:rPr>
        <w:sectPr w:rsidR="00FA4AA8">
          <w:type w:val="continuous"/>
          <w:pgSz w:w="11910" w:h="16840"/>
          <w:pgMar w:top="20" w:right="880" w:bottom="0" w:left="840" w:header="720" w:footer="720" w:gutter="0"/>
          <w:cols w:space="720"/>
        </w:sectPr>
      </w:pPr>
    </w:p>
    <w:p w14:paraId="6B58858A" w14:textId="77777777" w:rsidR="00FA4AA8" w:rsidRDefault="00FA4AA8">
      <w:pPr>
        <w:pStyle w:val="BodyText"/>
        <w:rPr>
          <w:b/>
          <w:sz w:val="20"/>
        </w:rPr>
      </w:pPr>
    </w:p>
    <w:p w14:paraId="3E07F110" w14:textId="77777777" w:rsidR="00FA4AA8" w:rsidRDefault="00FA4AA8">
      <w:pPr>
        <w:pStyle w:val="BodyText"/>
        <w:spacing w:before="10"/>
        <w:rPr>
          <w:b/>
          <w:sz w:val="29"/>
        </w:rPr>
      </w:pPr>
    </w:p>
    <w:p w14:paraId="51B7C0AA" w14:textId="77777777" w:rsidR="00FA4AA8" w:rsidRDefault="0015611F">
      <w:pPr>
        <w:pStyle w:val="ListParagraph"/>
        <w:numPr>
          <w:ilvl w:val="0"/>
          <w:numId w:val="87"/>
        </w:numPr>
        <w:tabs>
          <w:tab w:val="left" w:pos="564"/>
        </w:tabs>
        <w:spacing w:before="94"/>
        <w:ind w:hanging="397"/>
        <w:rPr>
          <w:b/>
          <w:sz w:val="18"/>
        </w:rPr>
      </w:pPr>
      <w:bookmarkStart w:id="70" w:name="(e)_Loans_to/from_related_parties"/>
      <w:bookmarkEnd w:id="70"/>
      <w:r>
        <w:rPr>
          <w:b/>
          <w:sz w:val="18"/>
        </w:rPr>
        <w:t>Related Parties (continued)</w:t>
      </w:r>
    </w:p>
    <w:p w14:paraId="11670909" w14:textId="77777777" w:rsidR="00FA4AA8" w:rsidRDefault="00FA4AA8">
      <w:pPr>
        <w:pStyle w:val="BodyText"/>
        <w:spacing w:before="5"/>
        <w:rPr>
          <w:b/>
        </w:rPr>
      </w:pPr>
    </w:p>
    <w:p w14:paraId="38D2587D" w14:textId="77777777" w:rsidR="00FA4AA8" w:rsidRDefault="0015611F">
      <w:pPr>
        <w:pStyle w:val="ListParagraph"/>
        <w:numPr>
          <w:ilvl w:val="0"/>
          <w:numId w:val="88"/>
        </w:numPr>
        <w:tabs>
          <w:tab w:val="left" w:pos="564"/>
        </w:tabs>
        <w:spacing w:before="94"/>
        <w:ind w:hanging="397"/>
        <w:rPr>
          <w:b/>
          <w:sz w:val="18"/>
        </w:rPr>
      </w:pPr>
      <w:r>
        <w:rPr>
          <w:b/>
          <w:sz w:val="18"/>
        </w:rPr>
        <w:t>Loans to/from related parties</w:t>
      </w:r>
    </w:p>
    <w:p w14:paraId="7899926B" w14:textId="77777777" w:rsidR="00FA4AA8" w:rsidRDefault="0015611F">
      <w:pPr>
        <w:tabs>
          <w:tab w:val="left" w:pos="8423"/>
        </w:tabs>
        <w:spacing w:before="38"/>
        <w:ind w:left="5373"/>
        <w:rPr>
          <w:b/>
          <w:sz w:val="18"/>
        </w:rPr>
      </w:pPr>
      <w:r>
        <w:rPr>
          <w:b/>
          <w:sz w:val="18"/>
        </w:rPr>
        <w:t>Consolidated</w:t>
      </w:r>
      <w:r>
        <w:rPr>
          <w:b/>
          <w:sz w:val="18"/>
        </w:rPr>
        <w:tab/>
        <w:t>Parent</w:t>
      </w:r>
    </w:p>
    <w:p w14:paraId="3692F900" w14:textId="77777777" w:rsidR="00FA4AA8" w:rsidRDefault="00FA4AA8">
      <w:pPr>
        <w:pStyle w:val="BodyText"/>
        <w:rPr>
          <w:b/>
          <w:sz w:val="20"/>
        </w:rPr>
      </w:pPr>
    </w:p>
    <w:p w14:paraId="3F673EA8" w14:textId="77777777" w:rsidR="00FA4AA8" w:rsidRDefault="00FA4AA8">
      <w:pPr>
        <w:pStyle w:val="BodyText"/>
        <w:rPr>
          <w:b/>
          <w:sz w:val="20"/>
        </w:rPr>
      </w:pPr>
    </w:p>
    <w:p w14:paraId="76DB7BB5" w14:textId="77777777" w:rsidR="00FA4AA8" w:rsidRDefault="00FA4AA8">
      <w:pPr>
        <w:pStyle w:val="BodyText"/>
        <w:rPr>
          <w:b/>
          <w:sz w:val="20"/>
        </w:rPr>
      </w:pPr>
    </w:p>
    <w:p w14:paraId="5D25D64C" w14:textId="77777777" w:rsidR="00FA4AA8" w:rsidRDefault="00FA4AA8">
      <w:pPr>
        <w:pStyle w:val="BodyText"/>
        <w:spacing w:before="8"/>
        <w:rPr>
          <w:b/>
          <w:sz w:val="20"/>
        </w:rPr>
      </w:pPr>
    </w:p>
    <w:p w14:paraId="0F9B1214" w14:textId="77777777" w:rsidR="00FA4AA8" w:rsidRDefault="007E2441">
      <w:pPr>
        <w:pStyle w:val="BodyText"/>
        <w:spacing w:before="1"/>
        <w:ind w:right="2959"/>
        <w:jc w:val="right"/>
      </w:pPr>
      <w:r>
        <w:rPr>
          <w:noProof/>
          <w:lang w:val="en-AU" w:eastAsia="en-AU"/>
        </w:rPr>
        <mc:AlternateContent>
          <mc:Choice Requires="wps">
            <w:drawing>
              <wp:anchor distT="0" distB="0" distL="114300" distR="114300" simplePos="0" relativeHeight="15753216" behindDoc="0" locked="0" layoutInCell="1" allowOverlap="1" wp14:anchorId="5C708C84" wp14:editId="64CB9C83">
                <wp:simplePos x="0" y="0"/>
                <wp:positionH relativeFrom="page">
                  <wp:posOffset>608330</wp:posOffset>
                </wp:positionH>
                <wp:positionV relativeFrom="paragraph">
                  <wp:posOffset>-542925</wp:posOffset>
                </wp:positionV>
                <wp:extent cx="4297680" cy="2190750"/>
                <wp:effectExtent l="0" t="0" r="0" b="0"/>
                <wp:wrapNone/>
                <wp:docPr id="2340" name="Text Box 2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7680" cy="2190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409"/>
                              <w:gridCol w:w="2837"/>
                              <w:gridCol w:w="1186"/>
                              <w:gridCol w:w="168"/>
                              <w:gridCol w:w="1003"/>
                              <w:gridCol w:w="1472"/>
                              <w:gridCol w:w="1894"/>
                              <w:gridCol w:w="980"/>
                            </w:tblGrid>
                            <w:tr w:rsidR="001F3ACE" w14:paraId="622CD451" w14:textId="77777777">
                              <w:trPr>
                                <w:trHeight w:val="237"/>
                              </w:trPr>
                              <w:tc>
                                <w:tcPr>
                                  <w:tcW w:w="4432" w:type="dxa"/>
                                  <w:gridSpan w:val="3"/>
                                </w:tcPr>
                                <w:p w14:paraId="1C648A07" w14:textId="77777777" w:rsidR="001F3ACE" w:rsidRDefault="001F3ACE">
                                  <w:pPr>
                                    <w:pStyle w:val="TableParagraph"/>
                                    <w:rPr>
                                      <w:rFonts w:ascii="Times New Roman"/>
                                      <w:sz w:val="16"/>
                                    </w:rPr>
                                  </w:pPr>
                                </w:p>
                              </w:tc>
                              <w:tc>
                                <w:tcPr>
                                  <w:tcW w:w="1171" w:type="dxa"/>
                                  <w:gridSpan w:val="2"/>
                                </w:tcPr>
                                <w:p w14:paraId="580FDE7F" w14:textId="77777777" w:rsidR="001F3ACE" w:rsidRDefault="001F3ACE">
                                  <w:pPr>
                                    <w:pStyle w:val="TableParagraph"/>
                                    <w:spacing w:line="201" w:lineRule="exact"/>
                                    <w:ind w:left="600"/>
                                    <w:rPr>
                                      <w:b/>
                                      <w:sz w:val="18"/>
                                    </w:rPr>
                                  </w:pPr>
                                  <w:r>
                                    <w:rPr>
                                      <w:b/>
                                      <w:sz w:val="18"/>
                                    </w:rPr>
                                    <w:t>2018</w:t>
                                  </w:r>
                                </w:p>
                              </w:tc>
                              <w:tc>
                                <w:tcPr>
                                  <w:tcW w:w="1472" w:type="dxa"/>
                                </w:tcPr>
                                <w:p w14:paraId="73D79190" w14:textId="77777777" w:rsidR="001F3ACE" w:rsidRDefault="001F3ACE">
                                  <w:pPr>
                                    <w:pStyle w:val="TableParagraph"/>
                                    <w:spacing w:line="201" w:lineRule="exact"/>
                                    <w:ind w:right="341"/>
                                    <w:jc w:val="right"/>
                                    <w:rPr>
                                      <w:b/>
                                      <w:sz w:val="18"/>
                                    </w:rPr>
                                  </w:pPr>
                                  <w:r>
                                    <w:rPr>
                                      <w:b/>
                                      <w:sz w:val="18"/>
                                    </w:rPr>
                                    <w:t>2017</w:t>
                                  </w:r>
                                </w:p>
                              </w:tc>
                              <w:tc>
                                <w:tcPr>
                                  <w:tcW w:w="2874" w:type="dxa"/>
                                  <w:gridSpan w:val="2"/>
                                </w:tcPr>
                                <w:p w14:paraId="2FF842F1" w14:textId="77777777" w:rsidR="001F3ACE" w:rsidRDefault="001F3ACE">
                                  <w:pPr>
                                    <w:pStyle w:val="TableParagraph"/>
                                    <w:tabs>
                                      <w:tab w:val="left" w:pos="2013"/>
                                    </w:tabs>
                                    <w:spacing w:line="201" w:lineRule="exact"/>
                                    <w:ind w:left="717"/>
                                    <w:rPr>
                                      <w:b/>
                                      <w:sz w:val="18"/>
                                    </w:rPr>
                                  </w:pPr>
                                  <w:r>
                                    <w:rPr>
                                      <w:b/>
                                      <w:sz w:val="18"/>
                                    </w:rPr>
                                    <w:t>2018</w:t>
                                  </w:r>
                                  <w:r>
                                    <w:rPr>
                                      <w:b/>
                                      <w:sz w:val="18"/>
                                    </w:rPr>
                                    <w:tab/>
                                    <w:t>2017</w:t>
                                  </w:r>
                                </w:p>
                              </w:tc>
                            </w:tr>
                            <w:tr w:rsidR="001F3ACE" w14:paraId="5724EF49" w14:textId="77777777">
                              <w:trPr>
                                <w:trHeight w:val="313"/>
                              </w:trPr>
                              <w:tc>
                                <w:tcPr>
                                  <w:tcW w:w="3246" w:type="dxa"/>
                                  <w:gridSpan w:val="2"/>
                                </w:tcPr>
                                <w:p w14:paraId="6CDA0D2D" w14:textId="77777777" w:rsidR="001F3ACE" w:rsidRDefault="001F3ACE">
                                  <w:pPr>
                                    <w:pStyle w:val="TableParagraph"/>
                                    <w:rPr>
                                      <w:rFonts w:ascii="Times New Roman"/>
                                      <w:sz w:val="18"/>
                                    </w:rPr>
                                  </w:pPr>
                                </w:p>
                              </w:tc>
                              <w:tc>
                                <w:tcPr>
                                  <w:tcW w:w="1186" w:type="dxa"/>
                                </w:tcPr>
                                <w:p w14:paraId="04386AD1" w14:textId="77777777" w:rsidR="001F3ACE" w:rsidRDefault="001F3ACE">
                                  <w:pPr>
                                    <w:pStyle w:val="TableParagraph"/>
                                    <w:spacing w:before="30"/>
                                    <w:ind w:right="99"/>
                                    <w:jc w:val="right"/>
                                    <w:rPr>
                                      <w:b/>
                                      <w:sz w:val="18"/>
                                    </w:rPr>
                                  </w:pPr>
                                  <w:r>
                                    <w:rPr>
                                      <w:b/>
                                      <w:sz w:val="18"/>
                                    </w:rPr>
                                    <w:t>Note</w:t>
                                  </w:r>
                                </w:p>
                              </w:tc>
                              <w:tc>
                                <w:tcPr>
                                  <w:tcW w:w="1171" w:type="dxa"/>
                                  <w:gridSpan w:val="2"/>
                                </w:tcPr>
                                <w:p w14:paraId="036683F5" w14:textId="77777777" w:rsidR="001F3ACE" w:rsidRDefault="001F3ACE">
                                  <w:pPr>
                                    <w:pStyle w:val="TableParagraph"/>
                                    <w:spacing w:before="30"/>
                                    <w:ind w:left="578"/>
                                    <w:rPr>
                                      <w:b/>
                                      <w:sz w:val="18"/>
                                    </w:rPr>
                                  </w:pPr>
                                  <w:r>
                                    <w:rPr>
                                      <w:b/>
                                      <w:sz w:val="18"/>
                                    </w:rPr>
                                    <w:t>$'000</w:t>
                                  </w:r>
                                </w:p>
                              </w:tc>
                              <w:tc>
                                <w:tcPr>
                                  <w:tcW w:w="1472" w:type="dxa"/>
                                </w:tcPr>
                                <w:p w14:paraId="0EE1120B" w14:textId="77777777" w:rsidR="001F3ACE" w:rsidRDefault="001F3ACE">
                                  <w:pPr>
                                    <w:pStyle w:val="TableParagraph"/>
                                    <w:spacing w:before="30"/>
                                    <w:ind w:right="320"/>
                                    <w:jc w:val="right"/>
                                    <w:rPr>
                                      <w:b/>
                                      <w:sz w:val="18"/>
                                    </w:rPr>
                                  </w:pPr>
                                  <w:r>
                                    <w:rPr>
                                      <w:b/>
                                      <w:sz w:val="18"/>
                                    </w:rPr>
                                    <w:t>$'000</w:t>
                                  </w:r>
                                </w:p>
                              </w:tc>
                              <w:tc>
                                <w:tcPr>
                                  <w:tcW w:w="2874" w:type="dxa"/>
                                  <w:gridSpan w:val="2"/>
                                </w:tcPr>
                                <w:p w14:paraId="6B7DE0C6" w14:textId="77777777" w:rsidR="001F3ACE" w:rsidRDefault="001F3ACE">
                                  <w:pPr>
                                    <w:pStyle w:val="TableParagraph"/>
                                    <w:tabs>
                                      <w:tab w:val="left" w:pos="1991"/>
                                    </w:tabs>
                                    <w:spacing w:before="30"/>
                                    <w:ind w:left="695"/>
                                    <w:rPr>
                                      <w:b/>
                                      <w:sz w:val="18"/>
                                    </w:rPr>
                                  </w:pPr>
                                  <w:r>
                                    <w:rPr>
                                      <w:b/>
                                      <w:sz w:val="18"/>
                                    </w:rPr>
                                    <w:t>$'000</w:t>
                                  </w:r>
                                  <w:r>
                                    <w:rPr>
                                      <w:b/>
                                      <w:sz w:val="18"/>
                                    </w:rPr>
                                    <w:tab/>
                                    <w:t>$'000</w:t>
                                  </w:r>
                                </w:p>
                              </w:tc>
                            </w:tr>
                            <w:tr w:rsidR="001F3ACE" w14:paraId="57221A52" w14:textId="77777777">
                              <w:trPr>
                                <w:trHeight w:val="543"/>
                              </w:trPr>
                              <w:tc>
                                <w:tcPr>
                                  <w:tcW w:w="3246" w:type="dxa"/>
                                  <w:gridSpan w:val="2"/>
                                </w:tcPr>
                                <w:p w14:paraId="3EFC97F7" w14:textId="77777777" w:rsidR="001F3ACE" w:rsidRDefault="001F3ACE">
                                  <w:pPr>
                                    <w:pStyle w:val="TableParagraph"/>
                                    <w:spacing w:before="70"/>
                                    <w:ind w:left="472"/>
                                    <w:rPr>
                                      <w:b/>
                                      <w:sz w:val="18"/>
                                    </w:rPr>
                                  </w:pPr>
                                  <w:r>
                                    <w:rPr>
                                      <w:b/>
                                      <w:sz w:val="18"/>
                                    </w:rPr>
                                    <w:t>Loans to subsidiaries</w:t>
                                  </w:r>
                                </w:p>
                                <w:p w14:paraId="7B5EAD67" w14:textId="77777777" w:rsidR="001F3ACE" w:rsidRDefault="001F3ACE">
                                  <w:pPr>
                                    <w:pStyle w:val="TableParagraph"/>
                                    <w:spacing w:before="30"/>
                                    <w:ind w:left="472"/>
                                    <w:rPr>
                                      <w:sz w:val="18"/>
                                    </w:rPr>
                                  </w:pPr>
                                  <w:r>
                                    <w:rPr>
                                      <w:sz w:val="18"/>
                                    </w:rPr>
                                    <w:t>Beginning of the year</w:t>
                                  </w:r>
                                </w:p>
                              </w:tc>
                              <w:tc>
                                <w:tcPr>
                                  <w:tcW w:w="1186" w:type="dxa"/>
                                </w:tcPr>
                                <w:p w14:paraId="7A2F3DFA" w14:textId="77777777" w:rsidR="001F3ACE" w:rsidRDefault="001F3ACE">
                                  <w:pPr>
                                    <w:pStyle w:val="TableParagraph"/>
                                    <w:spacing w:before="3"/>
                                    <w:rPr>
                                      <w:sz w:val="26"/>
                                    </w:rPr>
                                  </w:pPr>
                                </w:p>
                                <w:p w14:paraId="01699FE0" w14:textId="77777777" w:rsidR="001F3ACE" w:rsidRDefault="001F3ACE">
                                  <w:pPr>
                                    <w:pStyle w:val="TableParagraph"/>
                                    <w:ind w:right="199"/>
                                    <w:jc w:val="right"/>
                                    <w:rPr>
                                      <w:sz w:val="18"/>
                                    </w:rPr>
                                  </w:pPr>
                                  <w:r>
                                    <w:rPr>
                                      <w:sz w:val="18"/>
                                    </w:rPr>
                                    <w:t>24</w:t>
                                  </w:r>
                                </w:p>
                              </w:tc>
                              <w:tc>
                                <w:tcPr>
                                  <w:tcW w:w="1171" w:type="dxa"/>
                                  <w:gridSpan w:val="2"/>
                                </w:tcPr>
                                <w:p w14:paraId="4C27182F" w14:textId="77777777" w:rsidR="001F3ACE" w:rsidRDefault="001F3ACE">
                                  <w:pPr>
                                    <w:pStyle w:val="TableParagraph"/>
                                    <w:rPr>
                                      <w:rFonts w:ascii="Times New Roman"/>
                                      <w:sz w:val="18"/>
                                    </w:rPr>
                                  </w:pPr>
                                </w:p>
                              </w:tc>
                              <w:tc>
                                <w:tcPr>
                                  <w:tcW w:w="1472" w:type="dxa"/>
                                </w:tcPr>
                                <w:p w14:paraId="12D7ABAE" w14:textId="77777777" w:rsidR="001F3ACE" w:rsidRDefault="001F3ACE">
                                  <w:pPr>
                                    <w:pStyle w:val="TableParagraph"/>
                                    <w:spacing w:before="6"/>
                                    <w:rPr>
                                      <w:sz w:val="26"/>
                                    </w:rPr>
                                  </w:pPr>
                                </w:p>
                                <w:p w14:paraId="76E1E0AA" w14:textId="77777777" w:rsidR="001F3ACE" w:rsidRDefault="001F3ACE">
                                  <w:pPr>
                                    <w:pStyle w:val="TableParagraph"/>
                                    <w:ind w:left="147"/>
                                    <w:rPr>
                                      <w:b/>
                                      <w:sz w:val="18"/>
                                    </w:rPr>
                                  </w:pPr>
                                  <w:r>
                                    <w:rPr>
                                      <w:b/>
                                      <w:sz w:val="18"/>
                                    </w:rPr>
                                    <w:t>-</w:t>
                                  </w:r>
                                </w:p>
                              </w:tc>
                              <w:tc>
                                <w:tcPr>
                                  <w:tcW w:w="2874" w:type="dxa"/>
                                  <w:gridSpan w:val="2"/>
                                </w:tcPr>
                                <w:p w14:paraId="5274CB46" w14:textId="77777777" w:rsidR="001F3ACE" w:rsidRDefault="001F3ACE">
                                  <w:pPr>
                                    <w:pStyle w:val="TableParagraph"/>
                                    <w:spacing w:before="6"/>
                                    <w:rPr>
                                      <w:sz w:val="26"/>
                                    </w:rPr>
                                  </w:pPr>
                                </w:p>
                                <w:p w14:paraId="65A71D76" w14:textId="77777777" w:rsidR="001F3ACE" w:rsidRDefault="001F3ACE">
                                  <w:pPr>
                                    <w:pStyle w:val="TableParagraph"/>
                                    <w:tabs>
                                      <w:tab w:val="left" w:pos="2337"/>
                                    </w:tabs>
                                    <w:ind w:left="940"/>
                                    <w:rPr>
                                      <w:sz w:val="18"/>
                                    </w:rPr>
                                  </w:pPr>
                                  <w:r>
                                    <w:rPr>
                                      <w:b/>
                                      <w:sz w:val="18"/>
                                    </w:rPr>
                                    <w:t>23,600</w:t>
                                  </w:r>
                                  <w:r>
                                    <w:rPr>
                                      <w:b/>
                                      <w:sz w:val="18"/>
                                    </w:rPr>
                                    <w:tab/>
                                  </w:r>
                                  <w:r>
                                    <w:rPr>
                                      <w:sz w:val="18"/>
                                    </w:rPr>
                                    <w:t>5,619</w:t>
                                  </w:r>
                                </w:p>
                              </w:tc>
                            </w:tr>
                            <w:tr w:rsidR="001F3ACE" w14:paraId="15E524C3" w14:textId="77777777">
                              <w:trPr>
                                <w:trHeight w:val="264"/>
                              </w:trPr>
                              <w:tc>
                                <w:tcPr>
                                  <w:tcW w:w="3246" w:type="dxa"/>
                                  <w:gridSpan w:val="2"/>
                                </w:tcPr>
                                <w:p w14:paraId="5258AF8D" w14:textId="77777777" w:rsidR="001F3ACE" w:rsidRDefault="001F3ACE">
                                  <w:pPr>
                                    <w:pStyle w:val="TableParagraph"/>
                                    <w:spacing w:before="28"/>
                                    <w:ind w:left="472"/>
                                    <w:rPr>
                                      <w:sz w:val="18"/>
                                    </w:rPr>
                                  </w:pPr>
                                  <w:r>
                                    <w:rPr>
                                      <w:sz w:val="18"/>
                                    </w:rPr>
                                    <w:t>Loans advanced</w:t>
                                  </w:r>
                                </w:p>
                              </w:tc>
                              <w:tc>
                                <w:tcPr>
                                  <w:tcW w:w="1186" w:type="dxa"/>
                                </w:tcPr>
                                <w:p w14:paraId="2F53A66A" w14:textId="77777777" w:rsidR="001F3ACE" w:rsidRDefault="001F3ACE">
                                  <w:pPr>
                                    <w:pStyle w:val="TableParagraph"/>
                                    <w:spacing w:before="23"/>
                                    <w:ind w:right="199"/>
                                    <w:jc w:val="right"/>
                                    <w:rPr>
                                      <w:sz w:val="18"/>
                                    </w:rPr>
                                  </w:pPr>
                                  <w:r>
                                    <w:rPr>
                                      <w:sz w:val="18"/>
                                    </w:rPr>
                                    <w:t>24</w:t>
                                  </w:r>
                                </w:p>
                              </w:tc>
                              <w:tc>
                                <w:tcPr>
                                  <w:tcW w:w="1171" w:type="dxa"/>
                                  <w:gridSpan w:val="2"/>
                                </w:tcPr>
                                <w:p w14:paraId="37240374" w14:textId="77777777" w:rsidR="001F3ACE" w:rsidRDefault="001F3ACE">
                                  <w:pPr>
                                    <w:pStyle w:val="TableParagraph"/>
                                    <w:rPr>
                                      <w:rFonts w:ascii="Times New Roman"/>
                                      <w:sz w:val="18"/>
                                    </w:rPr>
                                  </w:pPr>
                                </w:p>
                              </w:tc>
                              <w:tc>
                                <w:tcPr>
                                  <w:tcW w:w="1472" w:type="dxa"/>
                                </w:tcPr>
                                <w:p w14:paraId="7BA555E6" w14:textId="77777777" w:rsidR="001F3ACE" w:rsidRDefault="001F3ACE">
                                  <w:pPr>
                                    <w:pStyle w:val="TableParagraph"/>
                                    <w:spacing w:before="25"/>
                                    <w:ind w:left="147"/>
                                    <w:rPr>
                                      <w:b/>
                                      <w:sz w:val="18"/>
                                    </w:rPr>
                                  </w:pPr>
                                  <w:r>
                                    <w:rPr>
                                      <w:b/>
                                      <w:sz w:val="18"/>
                                    </w:rPr>
                                    <w:t>-</w:t>
                                  </w:r>
                                </w:p>
                              </w:tc>
                              <w:tc>
                                <w:tcPr>
                                  <w:tcW w:w="2874" w:type="dxa"/>
                                  <w:gridSpan w:val="2"/>
                                </w:tcPr>
                                <w:p w14:paraId="10DD53D1" w14:textId="77777777" w:rsidR="001F3ACE" w:rsidRDefault="001F3ACE">
                                  <w:pPr>
                                    <w:pStyle w:val="TableParagraph"/>
                                    <w:tabs>
                                      <w:tab w:val="left" w:pos="2488"/>
                                    </w:tabs>
                                    <w:spacing w:before="25"/>
                                    <w:ind w:left="1041"/>
                                    <w:rPr>
                                      <w:sz w:val="18"/>
                                    </w:rPr>
                                  </w:pPr>
                                  <w:r>
                                    <w:rPr>
                                      <w:b/>
                                      <w:sz w:val="18"/>
                                    </w:rPr>
                                    <w:t>1,885</w:t>
                                  </w:r>
                                  <w:r>
                                    <w:rPr>
                                      <w:b/>
                                      <w:sz w:val="18"/>
                                    </w:rPr>
                                    <w:tab/>
                                  </w:r>
                                  <w:r>
                                    <w:rPr>
                                      <w:sz w:val="18"/>
                                    </w:rPr>
                                    <w:t>450</w:t>
                                  </w:r>
                                </w:p>
                              </w:tc>
                            </w:tr>
                            <w:tr w:rsidR="001F3ACE" w14:paraId="7B163246" w14:textId="77777777">
                              <w:trPr>
                                <w:trHeight w:val="265"/>
                              </w:trPr>
                              <w:tc>
                                <w:tcPr>
                                  <w:tcW w:w="3246" w:type="dxa"/>
                                  <w:gridSpan w:val="2"/>
                                </w:tcPr>
                                <w:p w14:paraId="12C00A49" w14:textId="77777777" w:rsidR="001F3ACE" w:rsidRDefault="001F3ACE">
                                  <w:pPr>
                                    <w:pStyle w:val="TableParagraph"/>
                                    <w:spacing w:before="28"/>
                                    <w:ind w:left="472"/>
                                    <w:rPr>
                                      <w:sz w:val="18"/>
                                    </w:rPr>
                                  </w:pPr>
                                  <w:r>
                                    <w:rPr>
                                      <w:sz w:val="18"/>
                                    </w:rPr>
                                    <w:t>Loan repayment received</w:t>
                                  </w:r>
                                </w:p>
                              </w:tc>
                              <w:tc>
                                <w:tcPr>
                                  <w:tcW w:w="1186" w:type="dxa"/>
                                </w:tcPr>
                                <w:p w14:paraId="6C5743E5" w14:textId="77777777" w:rsidR="001F3ACE" w:rsidRDefault="001F3ACE">
                                  <w:pPr>
                                    <w:pStyle w:val="TableParagraph"/>
                                    <w:spacing w:before="23"/>
                                    <w:ind w:right="199"/>
                                    <w:jc w:val="right"/>
                                    <w:rPr>
                                      <w:sz w:val="18"/>
                                    </w:rPr>
                                  </w:pPr>
                                  <w:r>
                                    <w:rPr>
                                      <w:sz w:val="18"/>
                                    </w:rPr>
                                    <w:t>24</w:t>
                                  </w:r>
                                </w:p>
                              </w:tc>
                              <w:tc>
                                <w:tcPr>
                                  <w:tcW w:w="1171" w:type="dxa"/>
                                  <w:gridSpan w:val="2"/>
                                </w:tcPr>
                                <w:p w14:paraId="6AD49CED" w14:textId="77777777" w:rsidR="001F3ACE" w:rsidRDefault="001F3ACE">
                                  <w:pPr>
                                    <w:pStyle w:val="TableParagraph"/>
                                    <w:rPr>
                                      <w:rFonts w:ascii="Times New Roman"/>
                                      <w:sz w:val="18"/>
                                    </w:rPr>
                                  </w:pPr>
                                </w:p>
                              </w:tc>
                              <w:tc>
                                <w:tcPr>
                                  <w:tcW w:w="1472" w:type="dxa"/>
                                </w:tcPr>
                                <w:p w14:paraId="7995304C" w14:textId="77777777" w:rsidR="001F3ACE" w:rsidRDefault="001F3ACE">
                                  <w:pPr>
                                    <w:pStyle w:val="TableParagraph"/>
                                    <w:spacing w:before="25"/>
                                    <w:ind w:left="147"/>
                                    <w:rPr>
                                      <w:b/>
                                      <w:sz w:val="18"/>
                                    </w:rPr>
                                  </w:pPr>
                                  <w:r>
                                    <w:rPr>
                                      <w:b/>
                                      <w:sz w:val="18"/>
                                    </w:rPr>
                                    <w:t>-</w:t>
                                  </w:r>
                                </w:p>
                              </w:tc>
                              <w:tc>
                                <w:tcPr>
                                  <w:tcW w:w="2874" w:type="dxa"/>
                                  <w:gridSpan w:val="2"/>
                                </w:tcPr>
                                <w:p w14:paraId="6B6ACBB8" w14:textId="77777777" w:rsidR="001F3ACE" w:rsidRDefault="001F3ACE">
                                  <w:pPr>
                                    <w:pStyle w:val="TableParagraph"/>
                                    <w:tabs>
                                      <w:tab w:val="left" w:pos="2277"/>
                                    </w:tabs>
                                    <w:spacing w:before="25"/>
                                    <w:ind w:left="1435"/>
                                    <w:rPr>
                                      <w:sz w:val="18"/>
                                    </w:rPr>
                                  </w:pPr>
                                  <w:r>
                                    <w:rPr>
                                      <w:b/>
                                      <w:sz w:val="18"/>
                                    </w:rPr>
                                    <w:t>-</w:t>
                                  </w:r>
                                  <w:r>
                                    <w:rPr>
                                      <w:b/>
                                      <w:sz w:val="18"/>
                                    </w:rPr>
                                    <w:tab/>
                                  </w:r>
                                  <w:r>
                                    <w:rPr>
                                      <w:sz w:val="18"/>
                                    </w:rPr>
                                    <w:t>(1,330)</w:t>
                                  </w:r>
                                </w:p>
                              </w:tc>
                            </w:tr>
                            <w:tr w:rsidR="001F3ACE" w14:paraId="788FA433" w14:textId="77777777">
                              <w:trPr>
                                <w:trHeight w:val="262"/>
                              </w:trPr>
                              <w:tc>
                                <w:tcPr>
                                  <w:tcW w:w="3246" w:type="dxa"/>
                                  <w:gridSpan w:val="2"/>
                                </w:tcPr>
                                <w:p w14:paraId="1D939EF1" w14:textId="77777777" w:rsidR="001F3ACE" w:rsidRDefault="001F3ACE">
                                  <w:pPr>
                                    <w:pStyle w:val="TableParagraph"/>
                                    <w:spacing w:before="26"/>
                                    <w:ind w:left="472"/>
                                    <w:rPr>
                                      <w:sz w:val="18"/>
                                    </w:rPr>
                                  </w:pPr>
                                  <w:r>
                                    <w:rPr>
                                      <w:sz w:val="18"/>
                                    </w:rPr>
                                    <w:t>Interest charged</w:t>
                                  </w:r>
                                </w:p>
                              </w:tc>
                              <w:tc>
                                <w:tcPr>
                                  <w:tcW w:w="1186" w:type="dxa"/>
                                </w:tcPr>
                                <w:p w14:paraId="4345529A" w14:textId="77777777" w:rsidR="001F3ACE" w:rsidRDefault="001F3ACE">
                                  <w:pPr>
                                    <w:pStyle w:val="TableParagraph"/>
                                    <w:rPr>
                                      <w:rFonts w:ascii="Times New Roman"/>
                                      <w:sz w:val="18"/>
                                    </w:rPr>
                                  </w:pPr>
                                </w:p>
                              </w:tc>
                              <w:tc>
                                <w:tcPr>
                                  <w:tcW w:w="1171" w:type="dxa"/>
                                  <w:gridSpan w:val="2"/>
                                </w:tcPr>
                                <w:p w14:paraId="557EA99F" w14:textId="77777777" w:rsidR="001F3ACE" w:rsidRDefault="001F3ACE">
                                  <w:pPr>
                                    <w:pStyle w:val="TableParagraph"/>
                                    <w:rPr>
                                      <w:rFonts w:ascii="Times New Roman"/>
                                      <w:sz w:val="18"/>
                                    </w:rPr>
                                  </w:pPr>
                                </w:p>
                              </w:tc>
                              <w:tc>
                                <w:tcPr>
                                  <w:tcW w:w="1472" w:type="dxa"/>
                                </w:tcPr>
                                <w:p w14:paraId="773E2422" w14:textId="77777777" w:rsidR="001F3ACE" w:rsidRDefault="001F3ACE">
                                  <w:pPr>
                                    <w:pStyle w:val="TableParagraph"/>
                                    <w:spacing w:before="24"/>
                                    <w:ind w:left="147"/>
                                    <w:rPr>
                                      <w:b/>
                                      <w:sz w:val="18"/>
                                    </w:rPr>
                                  </w:pPr>
                                  <w:r>
                                    <w:rPr>
                                      <w:b/>
                                      <w:sz w:val="18"/>
                                    </w:rPr>
                                    <w:t>-</w:t>
                                  </w:r>
                                </w:p>
                              </w:tc>
                              <w:tc>
                                <w:tcPr>
                                  <w:tcW w:w="2874" w:type="dxa"/>
                                  <w:gridSpan w:val="2"/>
                                </w:tcPr>
                                <w:p w14:paraId="25FD115B" w14:textId="77777777" w:rsidR="001F3ACE" w:rsidRDefault="001F3ACE">
                                  <w:pPr>
                                    <w:pStyle w:val="TableParagraph"/>
                                    <w:tabs>
                                      <w:tab w:val="left" w:pos="2488"/>
                                    </w:tabs>
                                    <w:spacing w:before="24"/>
                                    <w:ind w:left="1192"/>
                                    <w:rPr>
                                      <w:sz w:val="18"/>
                                    </w:rPr>
                                  </w:pPr>
                                  <w:r>
                                    <w:rPr>
                                      <w:b/>
                                      <w:sz w:val="18"/>
                                    </w:rPr>
                                    <w:t>363</w:t>
                                  </w:r>
                                  <w:r>
                                    <w:rPr>
                                      <w:b/>
                                      <w:sz w:val="18"/>
                                    </w:rPr>
                                    <w:tab/>
                                  </w:r>
                                  <w:r>
                                    <w:rPr>
                                      <w:sz w:val="18"/>
                                    </w:rPr>
                                    <w:t>177</w:t>
                                  </w:r>
                                </w:p>
                              </w:tc>
                            </w:tr>
                            <w:tr w:rsidR="001F3ACE" w14:paraId="3B7C22B5" w14:textId="77777777">
                              <w:trPr>
                                <w:trHeight w:val="265"/>
                              </w:trPr>
                              <w:tc>
                                <w:tcPr>
                                  <w:tcW w:w="3246" w:type="dxa"/>
                                  <w:gridSpan w:val="2"/>
                                </w:tcPr>
                                <w:p w14:paraId="399B380E" w14:textId="77777777" w:rsidR="001F3ACE" w:rsidRDefault="001F3ACE">
                                  <w:pPr>
                                    <w:pStyle w:val="TableParagraph"/>
                                    <w:spacing w:before="28"/>
                                    <w:ind w:left="472"/>
                                    <w:rPr>
                                      <w:sz w:val="18"/>
                                    </w:rPr>
                                  </w:pPr>
                                  <w:r>
                                    <w:rPr>
                                      <w:sz w:val="18"/>
                                    </w:rPr>
                                    <w:t>Interest received</w:t>
                                  </w:r>
                                </w:p>
                              </w:tc>
                              <w:tc>
                                <w:tcPr>
                                  <w:tcW w:w="1186" w:type="dxa"/>
                                </w:tcPr>
                                <w:p w14:paraId="12C250EC" w14:textId="77777777" w:rsidR="001F3ACE" w:rsidRDefault="001F3ACE">
                                  <w:pPr>
                                    <w:pStyle w:val="TableParagraph"/>
                                    <w:spacing w:before="23"/>
                                    <w:ind w:right="199"/>
                                    <w:jc w:val="right"/>
                                    <w:rPr>
                                      <w:sz w:val="18"/>
                                    </w:rPr>
                                  </w:pPr>
                                  <w:r>
                                    <w:rPr>
                                      <w:sz w:val="18"/>
                                    </w:rPr>
                                    <w:t>24</w:t>
                                  </w:r>
                                </w:p>
                              </w:tc>
                              <w:tc>
                                <w:tcPr>
                                  <w:tcW w:w="1171" w:type="dxa"/>
                                  <w:gridSpan w:val="2"/>
                                </w:tcPr>
                                <w:p w14:paraId="43A72D6C" w14:textId="77777777" w:rsidR="001F3ACE" w:rsidRDefault="001F3ACE">
                                  <w:pPr>
                                    <w:pStyle w:val="TableParagraph"/>
                                    <w:rPr>
                                      <w:rFonts w:ascii="Times New Roman"/>
                                      <w:sz w:val="18"/>
                                    </w:rPr>
                                  </w:pPr>
                                </w:p>
                              </w:tc>
                              <w:tc>
                                <w:tcPr>
                                  <w:tcW w:w="1472" w:type="dxa"/>
                                </w:tcPr>
                                <w:p w14:paraId="7F867135" w14:textId="77777777" w:rsidR="001F3ACE" w:rsidRDefault="001F3ACE">
                                  <w:pPr>
                                    <w:pStyle w:val="TableParagraph"/>
                                    <w:spacing w:before="25"/>
                                    <w:ind w:left="146"/>
                                    <w:rPr>
                                      <w:b/>
                                      <w:sz w:val="18"/>
                                    </w:rPr>
                                  </w:pPr>
                                  <w:r>
                                    <w:rPr>
                                      <w:b/>
                                      <w:sz w:val="18"/>
                                    </w:rPr>
                                    <w:t>-</w:t>
                                  </w:r>
                                </w:p>
                              </w:tc>
                              <w:tc>
                                <w:tcPr>
                                  <w:tcW w:w="2874" w:type="dxa"/>
                                  <w:gridSpan w:val="2"/>
                                </w:tcPr>
                                <w:p w14:paraId="63B1EA73" w14:textId="77777777" w:rsidR="001F3ACE" w:rsidRDefault="001F3ACE">
                                  <w:pPr>
                                    <w:pStyle w:val="TableParagraph"/>
                                    <w:tabs>
                                      <w:tab w:val="left" w:pos="2428"/>
                                    </w:tabs>
                                    <w:spacing w:before="25"/>
                                    <w:ind w:left="1233"/>
                                    <w:rPr>
                                      <w:sz w:val="18"/>
                                    </w:rPr>
                                  </w:pPr>
                                  <w:r>
                                    <w:rPr>
                                      <w:b/>
                                      <w:sz w:val="18"/>
                                    </w:rPr>
                                    <w:t>(69)</w:t>
                                  </w:r>
                                  <w:r>
                                    <w:rPr>
                                      <w:b/>
                                      <w:sz w:val="18"/>
                                    </w:rPr>
                                    <w:tab/>
                                  </w:r>
                                  <w:r>
                                    <w:rPr>
                                      <w:sz w:val="18"/>
                                    </w:rPr>
                                    <w:t>(182)</w:t>
                                  </w:r>
                                </w:p>
                              </w:tc>
                            </w:tr>
                            <w:tr w:rsidR="001F3ACE" w14:paraId="2336CD89" w14:textId="77777777">
                              <w:trPr>
                                <w:trHeight w:val="256"/>
                              </w:trPr>
                              <w:tc>
                                <w:tcPr>
                                  <w:tcW w:w="3246" w:type="dxa"/>
                                  <w:gridSpan w:val="2"/>
                                </w:tcPr>
                                <w:p w14:paraId="244C46EF" w14:textId="77777777" w:rsidR="001F3ACE" w:rsidRDefault="001F3ACE">
                                  <w:pPr>
                                    <w:pStyle w:val="TableParagraph"/>
                                    <w:spacing w:before="26"/>
                                    <w:ind w:left="472"/>
                                    <w:rPr>
                                      <w:sz w:val="18"/>
                                    </w:rPr>
                                  </w:pPr>
                                  <w:r>
                                    <w:rPr>
                                      <w:sz w:val="18"/>
                                    </w:rPr>
                                    <w:t>Loan forgiven by Parent</w:t>
                                  </w:r>
                                </w:p>
                              </w:tc>
                              <w:tc>
                                <w:tcPr>
                                  <w:tcW w:w="1186" w:type="dxa"/>
                                </w:tcPr>
                                <w:p w14:paraId="1D49F5C0" w14:textId="77777777" w:rsidR="001F3ACE" w:rsidRDefault="001F3ACE">
                                  <w:pPr>
                                    <w:pStyle w:val="TableParagraph"/>
                                    <w:rPr>
                                      <w:rFonts w:ascii="Times New Roman"/>
                                      <w:sz w:val="18"/>
                                    </w:rPr>
                                  </w:pPr>
                                </w:p>
                              </w:tc>
                              <w:tc>
                                <w:tcPr>
                                  <w:tcW w:w="1171" w:type="dxa"/>
                                  <w:gridSpan w:val="2"/>
                                  <w:tcBorders>
                                    <w:bottom w:val="single" w:sz="8" w:space="0" w:color="000000"/>
                                  </w:tcBorders>
                                </w:tcPr>
                                <w:p w14:paraId="39657FB2" w14:textId="77777777" w:rsidR="001F3ACE" w:rsidRDefault="001F3ACE">
                                  <w:pPr>
                                    <w:pStyle w:val="TableParagraph"/>
                                    <w:rPr>
                                      <w:rFonts w:ascii="Times New Roman"/>
                                      <w:sz w:val="18"/>
                                    </w:rPr>
                                  </w:pPr>
                                </w:p>
                              </w:tc>
                              <w:tc>
                                <w:tcPr>
                                  <w:tcW w:w="1472" w:type="dxa"/>
                                  <w:tcBorders>
                                    <w:bottom w:val="single" w:sz="8" w:space="0" w:color="000000"/>
                                  </w:tcBorders>
                                </w:tcPr>
                                <w:p w14:paraId="05E0AB4E" w14:textId="77777777" w:rsidR="001F3ACE" w:rsidRDefault="001F3ACE">
                                  <w:pPr>
                                    <w:pStyle w:val="TableParagraph"/>
                                    <w:spacing w:before="24"/>
                                    <w:ind w:left="146"/>
                                    <w:rPr>
                                      <w:b/>
                                      <w:sz w:val="18"/>
                                    </w:rPr>
                                  </w:pPr>
                                  <w:r>
                                    <w:rPr>
                                      <w:b/>
                                      <w:sz w:val="18"/>
                                    </w:rPr>
                                    <w:t>-</w:t>
                                  </w:r>
                                </w:p>
                              </w:tc>
                              <w:tc>
                                <w:tcPr>
                                  <w:tcW w:w="2874" w:type="dxa"/>
                                  <w:gridSpan w:val="2"/>
                                  <w:tcBorders>
                                    <w:bottom w:val="single" w:sz="8" w:space="0" w:color="000000"/>
                                  </w:tcBorders>
                                </w:tcPr>
                                <w:p w14:paraId="1718886F" w14:textId="77777777" w:rsidR="001F3ACE" w:rsidRDefault="001F3ACE">
                                  <w:pPr>
                                    <w:pStyle w:val="TableParagraph"/>
                                    <w:tabs>
                                      <w:tab w:val="left" w:pos="2277"/>
                                    </w:tabs>
                                    <w:spacing w:before="24"/>
                                    <w:ind w:left="1434"/>
                                    <w:rPr>
                                      <w:sz w:val="18"/>
                                    </w:rPr>
                                  </w:pPr>
                                  <w:r>
                                    <w:rPr>
                                      <w:b/>
                                      <w:sz w:val="18"/>
                                    </w:rPr>
                                    <w:t>-</w:t>
                                  </w:r>
                                  <w:r>
                                    <w:rPr>
                                      <w:b/>
                                      <w:sz w:val="18"/>
                                    </w:rPr>
                                    <w:tab/>
                                  </w:r>
                                  <w:r>
                                    <w:rPr>
                                      <w:sz w:val="18"/>
                                    </w:rPr>
                                    <w:t>(3,935)</w:t>
                                  </w:r>
                                </w:p>
                              </w:tc>
                            </w:tr>
                            <w:tr w:rsidR="001F3ACE" w14:paraId="1C584AA2" w14:textId="77777777">
                              <w:trPr>
                                <w:trHeight w:val="320"/>
                              </w:trPr>
                              <w:tc>
                                <w:tcPr>
                                  <w:tcW w:w="409" w:type="dxa"/>
                                </w:tcPr>
                                <w:p w14:paraId="0877D7FD" w14:textId="77777777" w:rsidR="001F3ACE" w:rsidRDefault="001F3ACE">
                                  <w:pPr>
                                    <w:pStyle w:val="TableParagraph"/>
                                    <w:rPr>
                                      <w:rFonts w:ascii="Times New Roman"/>
                                      <w:sz w:val="18"/>
                                    </w:rPr>
                                  </w:pPr>
                                </w:p>
                              </w:tc>
                              <w:tc>
                                <w:tcPr>
                                  <w:tcW w:w="2837" w:type="dxa"/>
                                </w:tcPr>
                                <w:p w14:paraId="78A5C8DE" w14:textId="77777777" w:rsidR="001F3ACE" w:rsidRDefault="001F3ACE">
                                  <w:pPr>
                                    <w:pStyle w:val="TableParagraph"/>
                                    <w:spacing w:before="105" w:line="185" w:lineRule="exact"/>
                                    <w:ind w:left="63"/>
                                    <w:rPr>
                                      <w:b/>
                                      <w:sz w:val="18"/>
                                    </w:rPr>
                                  </w:pPr>
                                  <w:r>
                                    <w:rPr>
                                      <w:b/>
                                      <w:sz w:val="18"/>
                                    </w:rPr>
                                    <w:t>End of year</w:t>
                                  </w:r>
                                </w:p>
                              </w:tc>
                              <w:tc>
                                <w:tcPr>
                                  <w:tcW w:w="1186" w:type="dxa"/>
                                </w:tcPr>
                                <w:p w14:paraId="0B17E330" w14:textId="77777777" w:rsidR="001F3ACE" w:rsidRDefault="001F3ACE">
                                  <w:pPr>
                                    <w:pStyle w:val="TableParagraph"/>
                                    <w:spacing w:before="19"/>
                                    <w:ind w:right="199"/>
                                    <w:jc w:val="right"/>
                                    <w:rPr>
                                      <w:sz w:val="18"/>
                                    </w:rPr>
                                  </w:pPr>
                                  <w:r>
                                    <w:rPr>
                                      <w:sz w:val="18"/>
                                    </w:rPr>
                                    <w:t>24</w:t>
                                  </w:r>
                                </w:p>
                              </w:tc>
                              <w:tc>
                                <w:tcPr>
                                  <w:tcW w:w="168" w:type="dxa"/>
                                  <w:tcBorders>
                                    <w:bottom w:val="double" w:sz="2" w:space="0" w:color="000000"/>
                                  </w:tcBorders>
                                </w:tcPr>
                                <w:p w14:paraId="2E7369B4" w14:textId="77777777" w:rsidR="001F3ACE" w:rsidRDefault="001F3ACE">
                                  <w:pPr>
                                    <w:pStyle w:val="TableParagraph"/>
                                    <w:rPr>
                                      <w:rFonts w:ascii="Times New Roman"/>
                                      <w:sz w:val="18"/>
                                    </w:rPr>
                                  </w:pPr>
                                </w:p>
                              </w:tc>
                              <w:tc>
                                <w:tcPr>
                                  <w:tcW w:w="2475" w:type="dxa"/>
                                  <w:gridSpan w:val="2"/>
                                  <w:tcBorders>
                                    <w:bottom w:val="double" w:sz="2" w:space="0" w:color="000000"/>
                                  </w:tcBorders>
                                </w:tcPr>
                                <w:p w14:paraId="1CAAD9E3" w14:textId="77777777" w:rsidR="001F3ACE" w:rsidRDefault="001F3ACE">
                                  <w:pPr>
                                    <w:pStyle w:val="TableParagraph"/>
                                    <w:spacing w:before="105" w:line="185" w:lineRule="exact"/>
                                    <w:ind w:right="113"/>
                                    <w:jc w:val="center"/>
                                    <w:rPr>
                                      <w:b/>
                                      <w:sz w:val="18"/>
                                    </w:rPr>
                                  </w:pPr>
                                  <w:r>
                                    <w:rPr>
                                      <w:b/>
                                      <w:sz w:val="18"/>
                                    </w:rPr>
                                    <w:t>-</w:t>
                                  </w:r>
                                </w:p>
                              </w:tc>
                              <w:tc>
                                <w:tcPr>
                                  <w:tcW w:w="1894" w:type="dxa"/>
                                  <w:tcBorders>
                                    <w:bottom w:val="double" w:sz="2" w:space="0" w:color="000000"/>
                                  </w:tcBorders>
                                </w:tcPr>
                                <w:p w14:paraId="6175957B" w14:textId="77777777" w:rsidR="001F3ACE" w:rsidRDefault="001F3ACE">
                                  <w:pPr>
                                    <w:pStyle w:val="TableParagraph"/>
                                    <w:spacing w:before="105" w:line="185" w:lineRule="exact"/>
                                    <w:ind w:right="397"/>
                                    <w:jc w:val="right"/>
                                    <w:rPr>
                                      <w:b/>
                                      <w:sz w:val="18"/>
                                    </w:rPr>
                                  </w:pPr>
                                  <w:r>
                                    <w:rPr>
                                      <w:b/>
                                      <w:sz w:val="18"/>
                                    </w:rPr>
                                    <w:t>25,779</w:t>
                                  </w:r>
                                </w:p>
                              </w:tc>
                              <w:tc>
                                <w:tcPr>
                                  <w:tcW w:w="980" w:type="dxa"/>
                                  <w:tcBorders>
                                    <w:bottom w:val="double" w:sz="2" w:space="0" w:color="000000"/>
                                  </w:tcBorders>
                                </w:tcPr>
                                <w:p w14:paraId="76F47C7A" w14:textId="77777777" w:rsidR="001F3ACE" w:rsidRDefault="001F3ACE">
                                  <w:pPr>
                                    <w:pStyle w:val="TableParagraph"/>
                                    <w:spacing w:before="105" w:line="185" w:lineRule="exact"/>
                                    <w:ind w:right="81"/>
                                    <w:jc w:val="right"/>
                                    <w:rPr>
                                      <w:sz w:val="18"/>
                                    </w:rPr>
                                  </w:pPr>
                                  <w:r>
                                    <w:rPr>
                                      <w:sz w:val="18"/>
                                    </w:rPr>
                                    <w:t>799</w:t>
                                  </w:r>
                                </w:p>
                              </w:tc>
                            </w:tr>
                            <w:tr w:rsidR="001F3ACE" w14:paraId="29DB073A" w14:textId="77777777">
                              <w:trPr>
                                <w:trHeight w:val="590"/>
                              </w:trPr>
                              <w:tc>
                                <w:tcPr>
                                  <w:tcW w:w="409" w:type="dxa"/>
                                </w:tcPr>
                                <w:p w14:paraId="0233FB80" w14:textId="77777777" w:rsidR="001F3ACE" w:rsidRDefault="001F3ACE">
                                  <w:pPr>
                                    <w:pStyle w:val="TableParagraph"/>
                                    <w:rPr>
                                      <w:rFonts w:ascii="Times New Roman"/>
                                      <w:sz w:val="18"/>
                                    </w:rPr>
                                  </w:pPr>
                                </w:p>
                              </w:tc>
                              <w:tc>
                                <w:tcPr>
                                  <w:tcW w:w="2837" w:type="dxa"/>
                                </w:tcPr>
                                <w:p w14:paraId="1F441E64" w14:textId="77777777" w:rsidR="001F3ACE" w:rsidRDefault="001F3ACE">
                                  <w:pPr>
                                    <w:pStyle w:val="TableParagraph"/>
                                    <w:spacing w:before="117"/>
                                    <w:ind w:left="63"/>
                                    <w:rPr>
                                      <w:b/>
                                      <w:sz w:val="18"/>
                                    </w:rPr>
                                  </w:pPr>
                                  <w:r>
                                    <w:rPr>
                                      <w:b/>
                                      <w:sz w:val="18"/>
                                    </w:rPr>
                                    <w:t>Loans from subsidiaries</w:t>
                                  </w:r>
                                </w:p>
                                <w:p w14:paraId="134EA159" w14:textId="77777777" w:rsidR="001F3ACE" w:rsidRDefault="001F3ACE">
                                  <w:pPr>
                                    <w:pStyle w:val="TableParagraph"/>
                                    <w:spacing w:before="30"/>
                                    <w:ind w:left="63"/>
                                    <w:rPr>
                                      <w:sz w:val="18"/>
                                    </w:rPr>
                                  </w:pPr>
                                  <w:r>
                                    <w:rPr>
                                      <w:sz w:val="18"/>
                                    </w:rPr>
                                    <w:t>Beginning of the year</w:t>
                                  </w:r>
                                </w:p>
                              </w:tc>
                              <w:tc>
                                <w:tcPr>
                                  <w:tcW w:w="1186" w:type="dxa"/>
                                </w:tcPr>
                                <w:p w14:paraId="4A909498" w14:textId="77777777" w:rsidR="001F3ACE" w:rsidRDefault="001F3ACE">
                                  <w:pPr>
                                    <w:pStyle w:val="TableParagraph"/>
                                    <w:rPr>
                                      <w:sz w:val="20"/>
                                    </w:rPr>
                                  </w:pPr>
                                </w:p>
                                <w:p w14:paraId="27A16D14" w14:textId="77777777" w:rsidR="001F3ACE" w:rsidRDefault="001F3ACE">
                                  <w:pPr>
                                    <w:pStyle w:val="TableParagraph"/>
                                    <w:spacing w:before="120"/>
                                    <w:ind w:right="199"/>
                                    <w:jc w:val="right"/>
                                    <w:rPr>
                                      <w:sz w:val="18"/>
                                    </w:rPr>
                                  </w:pPr>
                                  <w:r>
                                    <w:rPr>
                                      <w:sz w:val="18"/>
                                    </w:rPr>
                                    <w:t>24</w:t>
                                  </w:r>
                                </w:p>
                              </w:tc>
                              <w:tc>
                                <w:tcPr>
                                  <w:tcW w:w="168" w:type="dxa"/>
                                  <w:tcBorders>
                                    <w:top w:val="double" w:sz="2" w:space="0" w:color="000000"/>
                                  </w:tcBorders>
                                </w:tcPr>
                                <w:p w14:paraId="76E25448" w14:textId="77777777" w:rsidR="001F3ACE" w:rsidRDefault="001F3ACE">
                                  <w:pPr>
                                    <w:pStyle w:val="TableParagraph"/>
                                    <w:rPr>
                                      <w:rFonts w:ascii="Times New Roman"/>
                                      <w:sz w:val="18"/>
                                    </w:rPr>
                                  </w:pPr>
                                </w:p>
                              </w:tc>
                              <w:tc>
                                <w:tcPr>
                                  <w:tcW w:w="2475" w:type="dxa"/>
                                  <w:gridSpan w:val="2"/>
                                  <w:tcBorders>
                                    <w:top w:val="double" w:sz="2" w:space="0" w:color="000000"/>
                                  </w:tcBorders>
                                </w:tcPr>
                                <w:p w14:paraId="63C83AF3" w14:textId="77777777" w:rsidR="001F3ACE" w:rsidRDefault="001F3ACE">
                                  <w:pPr>
                                    <w:pStyle w:val="TableParagraph"/>
                                    <w:rPr>
                                      <w:sz w:val="20"/>
                                    </w:rPr>
                                  </w:pPr>
                                </w:p>
                                <w:p w14:paraId="138A7298" w14:textId="77777777" w:rsidR="001F3ACE" w:rsidRDefault="001F3ACE">
                                  <w:pPr>
                                    <w:pStyle w:val="TableParagraph"/>
                                    <w:spacing w:before="122"/>
                                    <w:ind w:right="113"/>
                                    <w:jc w:val="center"/>
                                    <w:rPr>
                                      <w:b/>
                                      <w:sz w:val="18"/>
                                    </w:rPr>
                                  </w:pPr>
                                  <w:r>
                                    <w:rPr>
                                      <w:b/>
                                      <w:sz w:val="18"/>
                                    </w:rPr>
                                    <w:t>-</w:t>
                                  </w:r>
                                </w:p>
                              </w:tc>
                              <w:tc>
                                <w:tcPr>
                                  <w:tcW w:w="1894" w:type="dxa"/>
                                  <w:tcBorders>
                                    <w:top w:val="double" w:sz="2" w:space="0" w:color="000000"/>
                                  </w:tcBorders>
                                </w:tcPr>
                                <w:p w14:paraId="415ADD6D" w14:textId="77777777" w:rsidR="001F3ACE" w:rsidRDefault="001F3ACE">
                                  <w:pPr>
                                    <w:pStyle w:val="TableParagraph"/>
                                    <w:rPr>
                                      <w:sz w:val="20"/>
                                    </w:rPr>
                                  </w:pPr>
                                </w:p>
                                <w:p w14:paraId="55ED7EE1" w14:textId="77777777" w:rsidR="001F3ACE" w:rsidRDefault="001F3ACE">
                                  <w:pPr>
                                    <w:pStyle w:val="TableParagraph"/>
                                    <w:spacing w:before="122"/>
                                    <w:ind w:right="397"/>
                                    <w:jc w:val="right"/>
                                    <w:rPr>
                                      <w:b/>
                                      <w:sz w:val="18"/>
                                    </w:rPr>
                                  </w:pPr>
                                  <w:r>
                                    <w:rPr>
                                      <w:b/>
                                      <w:sz w:val="18"/>
                                    </w:rPr>
                                    <w:t>9,201</w:t>
                                  </w:r>
                                </w:p>
                              </w:tc>
                              <w:tc>
                                <w:tcPr>
                                  <w:tcW w:w="980" w:type="dxa"/>
                                  <w:tcBorders>
                                    <w:top w:val="double" w:sz="2" w:space="0" w:color="000000"/>
                                  </w:tcBorders>
                                </w:tcPr>
                                <w:p w14:paraId="1329673E" w14:textId="77777777" w:rsidR="001F3ACE" w:rsidRDefault="001F3ACE">
                                  <w:pPr>
                                    <w:pStyle w:val="TableParagraph"/>
                                    <w:rPr>
                                      <w:sz w:val="20"/>
                                    </w:rPr>
                                  </w:pPr>
                                </w:p>
                                <w:p w14:paraId="366A5F69" w14:textId="77777777" w:rsidR="001F3ACE" w:rsidRDefault="001F3ACE">
                                  <w:pPr>
                                    <w:pStyle w:val="TableParagraph"/>
                                    <w:spacing w:before="122"/>
                                    <w:ind w:right="81"/>
                                    <w:jc w:val="right"/>
                                    <w:rPr>
                                      <w:sz w:val="18"/>
                                    </w:rPr>
                                  </w:pPr>
                                  <w:r>
                                    <w:rPr>
                                      <w:sz w:val="18"/>
                                    </w:rPr>
                                    <w:t>7,228</w:t>
                                  </w:r>
                                </w:p>
                              </w:tc>
                            </w:tr>
                            <w:tr w:rsidR="001F3ACE" w14:paraId="4A291410" w14:textId="77777777">
                              <w:trPr>
                                <w:trHeight w:val="263"/>
                              </w:trPr>
                              <w:tc>
                                <w:tcPr>
                                  <w:tcW w:w="409" w:type="dxa"/>
                                </w:tcPr>
                                <w:p w14:paraId="52B10BDE" w14:textId="77777777" w:rsidR="001F3ACE" w:rsidRDefault="001F3ACE">
                                  <w:pPr>
                                    <w:pStyle w:val="TableParagraph"/>
                                    <w:rPr>
                                      <w:rFonts w:ascii="Times New Roman"/>
                                      <w:sz w:val="18"/>
                                    </w:rPr>
                                  </w:pPr>
                                </w:p>
                              </w:tc>
                              <w:tc>
                                <w:tcPr>
                                  <w:tcW w:w="2837" w:type="dxa"/>
                                </w:tcPr>
                                <w:p w14:paraId="6D212EA5" w14:textId="77777777" w:rsidR="001F3ACE" w:rsidRDefault="001F3ACE">
                                  <w:pPr>
                                    <w:pStyle w:val="TableParagraph"/>
                                    <w:spacing w:before="28"/>
                                    <w:ind w:left="63"/>
                                    <w:rPr>
                                      <w:sz w:val="18"/>
                                    </w:rPr>
                                  </w:pPr>
                                  <w:r>
                                    <w:rPr>
                                      <w:sz w:val="18"/>
                                    </w:rPr>
                                    <w:t>Loans advanced</w:t>
                                  </w:r>
                                </w:p>
                              </w:tc>
                              <w:tc>
                                <w:tcPr>
                                  <w:tcW w:w="1186" w:type="dxa"/>
                                </w:tcPr>
                                <w:p w14:paraId="2D075878" w14:textId="77777777" w:rsidR="001F3ACE" w:rsidRDefault="001F3ACE">
                                  <w:pPr>
                                    <w:pStyle w:val="TableParagraph"/>
                                    <w:spacing w:before="23"/>
                                    <w:ind w:right="199"/>
                                    <w:jc w:val="right"/>
                                    <w:rPr>
                                      <w:sz w:val="18"/>
                                    </w:rPr>
                                  </w:pPr>
                                  <w:r>
                                    <w:rPr>
                                      <w:sz w:val="18"/>
                                    </w:rPr>
                                    <w:t>24</w:t>
                                  </w:r>
                                </w:p>
                              </w:tc>
                              <w:tc>
                                <w:tcPr>
                                  <w:tcW w:w="168" w:type="dxa"/>
                                </w:tcPr>
                                <w:p w14:paraId="0DD9B60F" w14:textId="77777777" w:rsidR="001F3ACE" w:rsidRDefault="001F3ACE">
                                  <w:pPr>
                                    <w:pStyle w:val="TableParagraph"/>
                                    <w:rPr>
                                      <w:rFonts w:ascii="Times New Roman"/>
                                      <w:sz w:val="18"/>
                                    </w:rPr>
                                  </w:pPr>
                                </w:p>
                              </w:tc>
                              <w:tc>
                                <w:tcPr>
                                  <w:tcW w:w="2475" w:type="dxa"/>
                                  <w:gridSpan w:val="2"/>
                                </w:tcPr>
                                <w:p w14:paraId="742A1558" w14:textId="77777777" w:rsidR="001F3ACE" w:rsidRDefault="001F3ACE">
                                  <w:pPr>
                                    <w:pStyle w:val="TableParagraph"/>
                                    <w:spacing w:before="25"/>
                                    <w:ind w:right="113"/>
                                    <w:jc w:val="center"/>
                                    <w:rPr>
                                      <w:b/>
                                      <w:sz w:val="18"/>
                                    </w:rPr>
                                  </w:pPr>
                                  <w:r>
                                    <w:rPr>
                                      <w:b/>
                                      <w:sz w:val="18"/>
                                    </w:rPr>
                                    <w:t>-</w:t>
                                  </w:r>
                                </w:p>
                              </w:tc>
                              <w:tc>
                                <w:tcPr>
                                  <w:tcW w:w="1894" w:type="dxa"/>
                                </w:tcPr>
                                <w:p w14:paraId="0D81BE25" w14:textId="77777777" w:rsidR="001F3ACE" w:rsidRDefault="001F3ACE">
                                  <w:pPr>
                                    <w:pStyle w:val="TableParagraph"/>
                                    <w:spacing w:before="25"/>
                                    <w:ind w:right="397"/>
                                    <w:jc w:val="right"/>
                                    <w:rPr>
                                      <w:b/>
                                      <w:sz w:val="18"/>
                                    </w:rPr>
                                  </w:pPr>
                                  <w:r>
                                    <w:rPr>
                                      <w:b/>
                                      <w:sz w:val="18"/>
                                    </w:rPr>
                                    <w:t>10,319</w:t>
                                  </w:r>
                                </w:p>
                              </w:tc>
                              <w:tc>
                                <w:tcPr>
                                  <w:tcW w:w="980" w:type="dxa"/>
                                </w:tcPr>
                                <w:p w14:paraId="45683794" w14:textId="77777777" w:rsidR="001F3ACE" w:rsidRDefault="001F3ACE">
                                  <w:pPr>
                                    <w:pStyle w:val="TableParagraph"/>
                                    <w:spacing w:before="25"/>
                                    <w:ind w:left="342"/>
                                    <w:rPr>
                                      <w:sz w:val="18"/>
                                    </w:rPr>
                                  </w:pPr>
                                  <w:r>
                                    <w:rPr>
                                      <w:sz w:val="18"/>
                                    </w:rPr>
                                    <w:t>10,687</w:t>
                                  </w:r>
                                </w:p>
                              </w:tc>
                            </w:tr>
                            <w:tr w:rsidR="001F3ACE" w14:paraId="057856CE" w14:textId="77777777">
                              <w:trPr>
                                <w:trHeight w:val="265"/>
                              </w:trPr>
                              <w:tc>
                                <w:tcPr>
                                  <w:tcW w:w="409" w:type="dxa"/>
                                </w:tcPr>
                                <w:p w14:paraId="24F387D9" w14:textId="77777777" w:rsidR="001F3ACE" w:rsidRDefault="001F3ACE">
                                  <w:pPr>
                                    <w:pStyle w:val="TableParagraph"/>
                                    <w:rPr>
                                      <w:rFonts w:ascii="Times New Roman"/>
                                      <w:sz w:val="18"/>
                                    </w:rPr>
                                  </w:pPr>
                                </w:p>
                              </w:tc>
                              <w:tc>
                                <w:tcPr>
                                  <w:tcW w:w="2837" w:type="dxa"/>
                                </w:tcPr>
                                <w:p w14:paraId="2DAF6819" w14:textId="77777777" w:rsidR="001F3ACE" w:rsidRDefault="001F3ACE">
                                  <w:pPr>
                                    <w:pStyle w:val="TableParagraph"/>
                                    <w:spacing w:before="28"/>
                                    <w:ind w:left="63"/>
                                    <w:rPr>
                                      <w:sz w:val="18"/>
                                    </w:rPr>
                                  </w:pPr>
                                  <w:r>
                                    <w:rPr>
                                      <w:sz w:val="18"/>
                                    </w:rPr>
                                    <w:t>Loan repayments paid</w:t>
                                  </w:r>
                                </w:p>
                              </w:tc>
                              <w:tc>
                                <w:tcPr>
                                  <w:tcW w:w="1186" w:type="dxa"/>
                                </w:tcPr>
                                <w:p w14:paraId="3D395FDF" w14:textId="77777777" w:rsidR="001F3ACE" w:rsidRDefault="001F3ACE">
                                  <w:pPr>
                                    <w:pStyle w:val="TableParagraph"/>
                                    <w:spacing w:before="23"/>
                                    <w:ind w:right="199"/>
                                    <w:jc w:val="right"/>
                                    <w:rPr>
                                      <w:sz w:val="18"/>
                                    </w:rPr>
                                  </w:pPr>
                                  <w:r>
                                    <w:rPr>
                                      <w:sz w:val="18"/>
                                    </w:rPr>
                                    <w:t>24</w:t>
                                  </w:r>
                                </w:p>
                              </w:tc>
                              <w:tc>
                                <w:tcPr>
                                  <w:tcW w:w="168" w:type="dxa"/>
                                </w:tcPr>
                                <w:p w14:paraId="5D1FD137" w14:textId="77777777" w:rsidR="001F3ACE" w:rsidRDefault="001F3ACE">
                                  <w:pPr>
                                    <w:pStyle w:val="TableParagraph"/>
                                    <w:rPr>
                                      <w:rFonts w:ascii="Times New Roman"/>
                                      <w:sz w:val="18"/>
                                    </w:rPr>
                                  </w:pPr>
                                </w:p>
                              </w:tc>
                              <w:tc>
                                <w:tcPr>
                                  <w:tcW w:w="2475" w:type="dxa"/>
                                  <w:gridSpan w:val="2"/>
                                </w:tcPr>
                                <w:p w14:paraId="28AA17B4" w14:textId="77777777" w:rsidR="001F3ACE" w:rsidRDefault="001F3ACE">
                                  <w:pPr>
                                    <w:pStyle w:val="TableParagraph"/>
                                    <w:spacing w:before="25"/>
                                    <w:ind w:right="113"/>
                                    <w:jc w:val="center"/>
                                    <w:rPr>
                                      <w:b/>
                                      <w:sz w:val="18"/>
                                    </w:rPr>
                                  </w:pPr>
                                  <w:r>
                                    <w:rPr>
                                      <w:b/>
                                      <w:sz w:val="18"/>
                                    </w:rPr>
                                    <w:t>-</w:t>
                                  </w:r>
                                </w:p>
                              </w:tc>
                              <w:tc>
                                <w:tcPr>
                                  <w:tcW w:w="1894" w:type="dxa"/>
                                </w:tcPr>
                                <w:p w14:paraId="205C1D5F" w14:textId="77777777" w:rsidR="001F3ACE" w:rsidRDefault="001F3ACE">
                                  <w:pPr>
                                    <w:pStyle w:val="TableParagraph"/>
                                    <w:spacing w:before="25"/>
                                    <w:ind w:right="336"/>
                                    <w:jc w:val="right"/>
                                    <w:rPr>
                                      <w:b/>
                                      <w:sz w:val="18"/>
                                    </w:rPr>
                                  </w:pPr>
                                  <w:r>
                                    <w:rPr>
                                      <w:b/>
                                      <w:sz w:val="18"/>
                                    </w:rPr>
                                    <w:t>(7,723)</w:t>
                                  </w:r>
                                </w:p>
                              </w:tc>
                              <w:tc>
                                <w:tcPr>
                                  <w:tcW w:w="980" w:type="dxa"/>
                                </w:tcPr>
                                <w:p w14:paraId="08DF9C35" w14:textId="77777777" w:rsidR="001F3ACE" w:rsidRDefault="001F3ACE">
                                  <w:pPr>
                                    <w:pStyle w:val="TableParagraph"/>
                                    <w:spacing w:before="25"/>
                                    <w:ind w:right="20"/>
                                    <w:jc w:val="right"/>
                                    <w:rPr>
                                      <w:sz w:val="18"/>
                                    </w:rPr>
                                  </w:pPr>
                                  <w:r>
                                    <w:rPr>
                                      <w:sz w:val="18"/>
                                    </w:rPr>
                                    <w:t>(8,913)</w:t>
                                  </w:r>
                                </w:p>
                              </w:tc>
                            </w:tr>
                            <w:tr w:rsidR="001F3ACE" w14:paraId="5F078D77" w14:textId="77777777">
                              <w:trPr>
                                <w:trHeight w:val="256"/>
                              </w:trPr>
                              <w:tc>
                                <w:tcPr>
                                  <w:tcW w:w="409" w:type="dxa"/>
                                </w:tcPr>
                                <w:p w14:paraId="74A6BD21" w14:textId="77777777" w:rsidR="001F3ACE" w:rsidRDefault="001F3ACE">
                                  <w:pPr>
                                    <w:pStyle w:val="TableParagraph"/>
                                    <w:rPr>
                                      <w:rFonts w:ascii="Times New Roman"/>
                                      <w:sz w:val="18"/>
                                    </w:rPr>
                                  </w:pPr>
                                </w:p>
                              </w:tc>
                              <w:tc>
                                <w:tcPr>
                                  <w:tcW w:w="2837" w:type="dxa"/>
                                </w:tcPr>
                                <w:p w14:paraId="3BB27FD8" w14:textId="77777777" w:rsidR="001F3ACE" w:rsidRDefault="001F3ACE">
                                  <w:pPr>
                                    <w:pStyle w:val="TableParagraph"/>
                                    <w:spacing w:before="26"/>
                                    <w:ind w:left="63"/>
                                    <w:rPr>
                                      <w:sz w:val="18"/>
                                    </w:rPr>
                                  </w:pPr>
                                  <w:r>
                                    <w:rPr>
                                      <w:sz w:val="18"/>
                                    </w:rPr>
                                    <w:t>Interest charged</w:t>
                                  </w:r>
                                </w:p>
                              </w:tc>
                              <w:tc>
                                <w:tcPr>
                                  <w:tcW w:w="1186" w:type="dxa"/>
                                </w:tcPr>
                                <w:p w14:paraId="49DF47D3" w14:textId="77777777" w:rsidR="001F3ACE" w:rsidRDefault="001F3ACE">
                                  <w:pPr>
                                    <w:pStyle w:val="TableParagraph"/>
                                    <w:rPr>
                                      <w:rFonts w:ascii="Times New Roman"/>
                                      <w:sz w:val="18"/>
                                    </w:rPr>
                                  </w:pPr>
                                </w:p>
                              </w:tc>
                              <w:tc>
                                <w:tcPr>
                                  <w:tcW w:w="168" w:type="dxa"/>
                                  <w:tcBorders>
                                    <w:bottom w:val="single" w:sz="8" w:space="0" w:color="000000"/>
                                  </w:tcBorders>
                                </w:tcPr>
                                <w:p w14:paraId="15D35900" w14:textId="77777777" w:rsidR="001F3ACE" w:rsidRDefault="001F3ACE">
                                  <w:pPr>
                                    <w:pStyle w:val="TableParagraph"/>
                                    <w:rPr>
                                      <w:rFonts w:ascii="Times New Roman"/>
                                      <w:sz w:val="18"/>
                                    </w:rPr>
                                  </w:pPr>
                                </w:p>
                              </w:tc>
                              <w:tc>
                                <w:tcPr>
                                  <w:tcW w:w="2475" w:type="dxa"/>
                                  <w:gridSpan w:val="2"/>
                                  <w:tcBorders>
                                    <w:bottom w:val="single" w:sz="8" w:space="0" w:color="000000"/>
                                  </w:tcBorders>
                                </w:tcPr>
                                <w:p w14:paraId="680A0554" w14:textId="77777777" w:rsidR="001F3ACE" w:rsidRDefault="001F3ACE">
                                  <w:pPr>
                                    <w:pStyle w:val="TableParagraph"/>
                                    <w:spacing w:before="24"/>
                                    <w:ind w:right="113"/>
                                    <w:jc w:val="center"/>
                                    <w:rPr>
                                      <w:b/>
                                      <w:sz w:val="18"/>
                                    </w:rPr>
                                  </w:pPr>
                                  <w:r>
                                    <w:rPr>
                                      <w:b/>
                                      <w:sz w:val="18"/>
                                    </w:rPr>
                                    <w:t>-</w:t>
                                  </w:r>
                                </w:p>
                              </w:tc>
                              <w:tc>
                                <w:tcPr>
                                  <w:tcW w:w="1894" w:type="dxa"/>
                                  <w:tcBorders>
                                    <w:bottom w:val="single" w:sz="8" w:space="0" w:color="000000"/>
                                  </w:tcBorders>
                                </w:tcPr>
                                <w:p w14:paraId="637B476C" w14:textId="77777777" w:rsidR="001F3ACE" w:rsidRDefault="001F3ACE">
                                  <w:pPr>
                                    <w:pStyle w:val="TableParagraph"/>
                                    <w:spacing w:before="24"/>
                                    <w:ind w:right="397"/>
                                    <w:jc w:val="right"/>
                                    <w:rPr>
                                      <w:b/>
                                      <w:sz w:val="18"/>
                                    </w:rPr>
                                  </w:pPr>
                                  <w:r>
                                    <w:rPr>
                                      <w:b/>
                                      <w:sz w:val="18"/>
                                    </w:rPr>
                                    <w:t>234</w:t>
                                  </w:r>
                                </w:p>
                              </w:tc>
                              <w:tc>
                                <w:tcPr>
                                  <w:tcW w:w="980" w:type="dxa"/>
                                  <w:tcBorders>
                                    <w:bottom w:val="single" w:sz="8" w:space="0" w:color="000000"/>
                                  </w:tcBorders>
                                </w:tcPr>
                                <w:p w14:paraId="0B6FE742" w14:textId="77777777" w:rsidR="001F3ACE" w:rsidRDefault="001F3ACE">
                                  <w:pPr>
                                    <w:pStyle w:val="TableParagraph"/>
                                    <w:spacing w:before="24"/>
                                    <w:ind w:right="81"/>
                                    <w:jc w:val="right"/>
                                    <w:rPr>
                                      <w:sz w:val="18"/>
                                    </w:rPr>
                                  </w:pPr>
                                  <w:r>
                                    <w:rPr>
                                      <w:sz w:val="18"/>
                                    </w:rPr>
                                    <w:t>199</w:t>
                                  </w:r>
                                </w:p>
                              </w:tc>
                            </w:tr>
                            <w:tr w:rsidR="001F3ACE" w14:paraId="59C80D8C" w14:textId="77777777">
                              <w:trPr>
                                <w:trHeight w:val="337"/>
                              </w:trPr>
                              <w:tc>
                                <w:tcPr>
                                  <w:tcW w:w="409" w:type="dxa"/>
                                </w:tcPr>
                                <w:p w14:paraId="3FCAFACD" w14:textId="77777777" w:rsidR="001F3ACE" w:rsidRDefault="001F3ACE">
                                  <w:pPr>
                                    <w:pStyle w:val="TableParagraph"/>
                                    <w:rPr>
                                      <w:rFonts w:ascii="Times New Roman"/>
                                      <w:sz w:val="18"/>
                                    </w:rPr>
                                  </w:pPr>
                                </w:p>
                              </w:tc>
                              <w:tc>
                                <w:tcPr>
                                  <w:tcW w:w="2837" w:type="dxa"/>
                                </w:tcPr>
                                <w:p w14:paraId="69046BE1" w14:textId="77777777" w:rsidR="001F3ACE" w:rsidRDefault="001F3ACE">
                                  <w:pPr>
                                    <w:pStyle w:val="TableParagraph"/>
                                    <w:spacing w:before="115" w:line="202" w:lineRule="exact"/>
                                    <w:ind w:left="63"/>
                                    <w:rPr>
                                      <w:b/>
                                      <w:sz w:val="18"/>
                                    </w:rPr>
                                  </w:pPr>
                                  <w:r>
                                    <w:rPr>
                                      <w:b/>
                                      <w:sz w:val="18"/>
                                    </w:rPr>
                                    <w:t>End of year</w:t>
                                  </w:r>
                                </w:p>
                              </w:tc>
                              <w:tc>
                                <w:tcPr>
                                  <w:tcW w:w="1186" w:type="dxa"/>
                                </w:tcPr>
                                <w:p w14:paraId="69AB75AC" w14:textId="77777777" w:rsidR="001F3ACE" w:rsidRDefault="001F3ACE">
                                  <w:pPr>
                                    <w:pStyle w:val="TableParagraph"/>
                                    <w:rPr>
                                      <w:rFonts w:ascii="Times New Roman"/>
                                      <w:sz w:val="18"/>
                                    </w:rPr>
                                  </w:pPr>
                                </w:p>
                              </w:tc>
                              <w:tc>
                                <w:tcPr>
                                  <w:tcW w:w="168" w:type="dxa"/>
                                  <w:tcBorders>
                                    <w:top w:val="single" w:sz="8" w:space="0" w:color="000000"/>
                                    <w:bottom w:val="double" w:sz="2" w:space="0" w:color="000000"/>
                                  </w:tcBorders>
                                </w:tcPr>
                                <w:p w14:paraId="71CE26A4" w14:textId="77777777" w:rsidR="001F3ACE" w:rsidRDefault="001F3ACE">
                                  <w:pPr>
                                    <w:pStyle w:val="TableParagraph"/>
                                    <w:rPr>
                                      <w:rFonts w:ascii="Times New Roman"/>
                                      <w:sz w:val="18"/>
                                    </w:rPr>
                                  </w:pPr>
                                </w:p>
                              </w:tc>
                              <w:tc>
                                <w:tcPr>
                                  <w:tcW w:w="2475" w:type="dxa"/>
                                  <w:gridSpan w:val="2"/>
                                  <w:tcBorders>
                                    <w:top w:val="single" w:sz="8" w:space="0" w:color="000000"/>
                                    <w:bottom w:val="single" w:sz="6" w:space="0" w:color="000000"/>
                                  </w:tcBorders>
                                </w:tcPr>
                                <w:p w14:paraId="0CAD55A5" w14:textId="77777777" w:rsidR="001F3ACE" w:rsidRDefault="001F3ACE">
                                  <w:pPr>
                                    <w:pStyle w:val="TableParagraph"/>
                                    <w:spacing w:before="115" w:line="202" w:lineRule="exact"/>
                                    <w:ind w:right="113"/>
                                    <w:jc w:val="center"/>
                                    <w:rPr>
                                      <w:b/>
                                      <w:sz w:val="18"/>
                                    </w:rPr>
                                  </w:pPr>
                                  <w:r>
                                    <w:rPr>
                                      <w:b/>
                                      <w:sz w:val="18"/>
                                    </w:rPr>
                                    <w:t>-</w:t>
                                  </w:r>
                                </w:p>
                              </w:tc>
                              <w:tc>
                                <w:tcPr>
                                  <w:tcW w:w="1894" w:type="dxa"/>
                                  <w:tcBorders>
                                    <w:top w:val="single" w:sz="8" w:space="0" w:color="000000"/>
                                    <w:bottom w:val="single" w:sz="6" w:space="0" w:color="000000"/>
                                  </w:tcBorders>
                                </w:tcPr>
                                <w:p w14:paraId="70BB5C5A" w14:textId="77777777" w:rsidR="001F3ACE" w:rsidRDefault="001F3ACE">
                                  <w:pPr>
                                    <w:pStyle w:val="TableParagraph"/>
                                    <w:spacing w:before="115" w:line="202" w:lineRule="exact"/>
                                    <w:ind w:right="397"/>
                                    <w:jc w:val="right"/>
                                    <w:rPr>
                                      <w:b/>
                                      <w:sz w:val="18"/>
                                    </w:rPr>
                                  </w:pPr>
                                  <w:r>
                                    <w:rPr>
                                      <w:b/>
                                      <w:sz w:val="18"/>
                                    </w:rPr>
                                    <w:t>12,031</w:t>
                                  </w:r>
                                </w:p>
                              </w:tc>
                              <w:tc>
                                <w:tcPr>
                                  <w:tcW w:w="980" w:type="dxa"/>
                                  <w:tcBorders>
                                    <w:top w:val="single" w:sz="8" w:space="0" w:color="000000"/>
                                    <w:bottom w:val="single" w:sz="6" w:space="0" w:color="000000"/>
                                  </w:tcBorders>
                                </w:tcPr>
                                <w:p w14:paraId="5ED2D87D" w14:textId="77777777" w:rsidR="001F3ACE" w:rsidRDefault="001F3ACE">
                                  <w:pPr>
                                    <w:pStyle w:val="TableParagraph"/>
                                    <w:spacing w:before="115" w:line="202" w:lineRule="exact"/>
                                    <w:ind w:right="81"/>
                                    <w:jc w:val="right"/>
                                    <w:rPr>
                                      <w:sz w:val="18"/>
                                    </w:rPr>
                                  </w:pPr>
                                  <w:r>
                                    <w:rPr>
                                      <w:sz w:val="18"/>
                                    </w:rPr>
                                    <w:t>9,201</w:t>
                                  </w:r>
                                </w:p>
                              </w:tc>
                            </w:tr>
                            <w:tr w:rsidR="001F3ACE" w14:paraId="4F14BE0E" w14:textId="77777777">
                              <w:trPr>
                                <w:trHeight w:val="501"/>
                              </w:trPr>
                              <w:tc>
                                <w:tcPr>
                                  <w:tcW w:w="409" w:type="dxa"/>
                                </w:tcPr>
                                <w:p w14:paraId="6ABCA167" w14:textId="77777777" w:rsidR="001F3ACE" w:rsidRDefault="001F3ACE">
                                  <w:pPr>
                                    <w:pStyle w:val="TableParagraph"/>
                                    <w:spacing w:before="7"/>
                                    <w:rPr>
                                      <w:sz w:val="25"/>
                                    </w:rPr>
                                  </w:pPr>
                                </w:p>
                                <w:p w14:paraId="6188DBAF" w14:textId="77777777" w:rsidR="001F3ACE" w:rsidRDefault="001F3ACE">
                                  <w:pPr>
                                    <w:pStyle w:val="TableParagraph"/>
                                    <w:spacing w:line="187" w:lineRule="exact"/>
                                    <w:ind w:left="50"/>
                                    <w:rPr>
                                      <w:b/>
                                      <w:sz w:val="18"/>
                                    </w:rPr>
                                  </w:pPr>
                                  <w:r>
                                    <w:rPr>
                                      <w:b/>
                                      <w:sz w:val="18"/>
                                    </w:rPr>
                                    <w:t>(f)</w:t>
                                  </w:r>
                                </w:p>
                              </w:tc>
                              <w:tc>
                                <w:tcPr>
                                  <w:tcW w:w="2837" w:type="dxa"/>
                                </w:tcPr>
                                <w:p w14:paraId="5A60BEA9" w14:textId="77777777" w:rsidR="001F3ACE" w:rsidRDefault="001F3ACE">
                                  <w:pPr>
                                    <w:pStyle w:val="TableParagraph"/>
                                    <w:spacing w:before="7"/>
                                    <w:rPr>
                                      <w:sz w:val="25"/>
                                    </w:rPr>
                                  </w:pPr>
                                </w:p>
                                <w:p w14:paraId="4C7F3D6C" w14:textId="77777777" w:rsidR="001F3ACE" w:rsidRDefault="001F3ACE">
                                  <w:pPr>
                                    <w:pStyle w:val="TableParagraph"/>
                                    <w:spacing w:line="187" w:lineRule="exact"/>
                                    <w:ind w:left="37"/>
                                    <w:rPr>
                                      <w:b/>
                                      <w:sz w:val="18"/>
                                    </w:rPr>
                                  </w:pPr>
                                  <w:r>
                                    <w:rPr>
                                      <w:b/>
                                      <w:sz w:val="18"/>
                                    </w:rPr>
                                    <w:t>Outstanding balances</w:t>
                                  </w:r>
                                </w:p>
                              </w:tc>
                              <w:tc>
                                <w:tcPr>
                                  <w:tcW w:w="1186" w:type="dxa"/>
                                </w:tcPr>
                                <w:p w14:paraId="486444E1" w14:textId="77777777" w:rsidR="001F3ACE" w:rsidRDefault="001F3ACE">
                                  <w:pPr>
                                    <w:pStyle w:val="TableParagraph"/>
                                    <w:rPr>
                                      <w:rFonts w:ascii="Times New Roman"/>
                                      <w:sz w:val="18"/>
                                    </w:rPr>
                                  </w:pPr>
                                </w:p>
                              </w:tc>
                              <w:tc>
                                <w:tcPr>
                                  <w:tcW w:w="168" w:type="dxa"/>
                                  <w:tcBorders>
                                    <w:top w:val="double" w:sz="2" w:space="0" w:color="000000"/>
                                  </w:tcBorders>
                                </w:tcPr>
                                <w:p w14:paraId="49B3541D" w14:textId="77777777" w:rsidR="001F3ACE" w:rsidRDefault="001F3ACE">
                                  <w:pPr>
                                    <w:pStyle w:val="TableParagraph"/>
                                    <w:rPr>
                                      <w:rFonts w:ascii="Times New Roman"/>
                                      <w:sz w:val="18"/>
                                    </w:rPr>
                                  </w:pPr>
                                </w:p>
                              </w:tc>
                              <w:tc>
                                <w:tcPr>
                                  <w:tcW w:w="2475" w:type="dxa"/>
                                  <w:gridSpan w:val="2"/>
                                  <w:tcBorders>
                                    <w:top w:val="single" w:sz="6" w:space="0" w:color="000000"/>
                                  </w:tcBorders>
                                </w:tcPr>
                                <w:p w14:paraId="7FAEB758" w14:textId="77777777" w:rsidR="001F3ACE" w:rsidRDefault="001F3ACE">
                                  <w:pPr>
                                    <w:pStyle w:val="TableParagraph"/>
                                    <w:rPr>
                                      <w:rFonts w:ascii="Times New Roman"/>
                                      <w:sz w:val="18"/>
                                    </w:rPr>
                                  </w:pPr>
                                </w:p>
                              </w:tc>
                              <w:tc>
                                <w:tcPr>
                                  <w:tcW w:w="1894" w:type="dxa"/>
                                  <w:tcBorders>
                                    <w:top w:val="single" w:sz="6" w:space="0" w:color="000000"/>
                                  </w:tcBorders>
                                </w:tcPr>
                                <w:p w14:paraId="6CBCB0DD" w14:textId="77777777" w:rsidR="001F3ACE" w:rsidRDefault="001F3ACE">
                                  <w:pPr>
                                    <w:pStyle w:val="TableParagraph"/>
                                    <w:rPr>
                                      <w:rFonts w:ascii="Times New Roman"/>
                                      <w:sz w:val="18"/>
                                    </w:rPr>
                                  </w:pPr>
                                </w:p>
                              </w:tc>
                              <w:tc>
                                <w:tcPr>
                                  <w:tcW w:w="980" w:type="dxa"/>
                                  <w:tcBorders>
                                    <w:top w:val="single" w:sz="6" w:space="0" w:color="000000"/>
                                  </w:tcBorders>
                                </w:tcPr>
                                <w:p w14:paraId="1DD9FEE8" w14:textId="77777777" w:rsidR="001F3ACE" w:rsidRDefault="001F3ACE">
                                  <w:pPr>
                                    <w:pStyle w:val="TableParagraph"/>
                                    <w:rPr>
                                      <w:rFonts w:ascii="Times New Roman"/>
                                      <w:sz w:val="18"/>
                                    </w:rPr>
                                  </w:pPr>
                                </w:p>
                              </w:tc>
                            </w:tr>
                          </w:tbl>
                          <w:p w14:paraId="69CC0CA1" w14:textId="77777777" w:rsidR="001F3ACE" w:rsidRDefault="001F3AC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08C84" id="Text Box 2106" o:spid="_x0000_s1035" type="#_x0000_t202" style="position:absolute;left:0;text-align:left;margin-left:47.9pt;margin-top:-42.75pt;width:338.4pt;height:172.5pt;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409"/>
                        <w:gridCol w:w="2837"/>
                        <w:gridCol w:w="1186"/>
                        <w:gridCol w:w="168"/>
                        <w:gridCol w:w="1003"/>
                        <w:gridCol w:w="1472"/>
                        <w:gridCol w:w="1894"/>
                        <w:gridCol w:w="980"/>
                      </w:tblGrid>
                      <w:tr w:rsidR="001F3ACE" w14:paraId="622CD451" w14:textId="77777777">
                        <w:trPr>
                          <w:trHeight w:val="237"/>
                        </w:trPr>
                        <w:tc>
                          <w:tcPr>
                            <w:tcW w:w="4432" w:type="dxa"/>
                            <w:gridSpan w:val="3"/>
                          </w:tcPr>
                          <w:p w14:paraId="1C648A07" w14:textId="77777777" w:rsidR="001F3ACE" w:rsidRDefault="001F3ACE">
                            <w:pPr>
                              <w:pStyle w:val="TableParagraph"/>
                              <w:rPr>
                                <w:rFonts w:ascii="Times New Roman"/>
                                <w:sz w:val="16"/>
                              </w:rPr>
                            </w:pPr>
                          </w:p>
                        </w:tc>
                        <w:tc>
                          <w:tcPr>
                            <w:tcW w:w="1171" w:type="dxa"/>
                            <w:gridSpan w:val="2"/>
                          </w:tcPr>
                          <w:p w14:paraId="580FDE7F" w14:textId="77777777" w:rsidR="001F3ACE" w:rsidRDefault="001F3ACE">
                            <w:pPr>
                              <w:pStyle w:val="TableParagraph"/>
                              <w:spacing w:line="201" w:lineRule="exact"/>
                              <w:ind w:left="600"/>
                              <w:rPr>
                                <w:b/>
                                <w:sz w:val="18"/>
                              </w:rPr>
                            </w:pPr>
                            <w:r>
                              <w:rPr>
                                <w:b/>
                                <w:sz w:val="18"/>
                              </w:rPr>
                              <w:t>2018</w:t>
                            </w:r>
                          </w:p>
                        </w:tc>
                        <w:tc>
                          <w:tcPr>
                            <w:tcW w:w="1472" w:type="dxa"/>
                          </w:tcPr>
                          <w:p w14:paraId="73D79190" w14:textId="77777777" w:rsidR="001F3ACE" w:rsidRDefault="001F3ACE">
                            <w:pPr>
                              <w:pStyle w:val="TableParagraph"/>
                              <w:spacing w:line="201" w:lineRule="exact"/>
                              <w:ind w:right="341"/>
                              <w:jc w:val="right"/>
                              <w:rPr>
                                <w:b/>
                                <w:sz w:val="18"/>
                              </w:rPr>
                            </w:pPr>
                            <w:r>
                              <w:rPr>
                                <w:b/>
                                <w:sz w:val="18"/>
                              </w:rPr>
                              <w:t>2017</w:t>
                            </w:r>
                          </w:p>
                        </w:tc>
                        <w:tc>
                          <w:tcPr>
                            <w:tcW w:w="2874" w:type="dxa"/>
                            <w:gridSpan w:val="2"/>
                          </w:tcPr>
                          <w:p w14:paraId="2FF842F1" w14:textId="77777777" w:rsidR="001F3ACE" w:rsidRDefault="001F3ACE">
                            <w:pPr>
                              <w:pStyle w:val="TableParagraph"/>
                              <w:tabs>
                                <w:tab w:val="left" w:pos="2013"/>
                              </w:tabs>
                              <w:spacing w:line="201" w:lineRule="exact"/>
                              <w:ind w:left="717"/>
                              <w:rPr>
                                <w:b/>
                                <w:sz w:val="18"/>
                              </w:rPr>
                            </w:pPr>
                            <w:r>
                              <w:rPr>
                                <w:b/>
                                <w:sz w:val="18"/>
                              </w:rPr>
                              <w:t>2018</w:t>
                            </w:r>
                            <w:r>
                              <w:rPr>
                                <w:b/>
                                <w:sz w:val="18"/>
                              </w:rPr>
                              <w:tab/>
                              <w:t>2017</w:t>
                            </w:r>
                          </w:p>
                        </w:tc>
                      </w:tr>
                      <w:tr w:rsidR="001F3ACE" w14:paraId="5724EF49" w14:textId="77777777">
                        <w:trPr>
                          <w:trHeight w:val="313"/>
                        </w:trPr>
                        <w:tc>
                          <w:tcPr>
                            <w:tcW w:w="3246" w:type="dxa"/>
                            <w:gridSpan w:val="2"/>
                          </w:tcPr>
                          <w:p w14:paraId="6CDA0D2D" w14:textId="77777777" w:rsidR="001F3ACE" w:rsidRDefault="001F3ACE">
                            <w:pPr>
                              <w:pStyle w:val="TableParagraph"/>
                              <w:rPr>
                                <w:rFonts w:ascii="Times New Roman"/>
                                <w:sz w:val="18"/>
                              </w:rPr>
                            </w:pPr>
                          </w:p>
                        </w:tc>
                        <w:tc>
                          <w:tcPr>
                            <w:tcW w:w="1186" w:type="dxa"/>
                          </w:tcPr>
                          <w:p w14:paraId="04386AD1" w14:textId="77777777" w:rsidR="001F3ACE" w:rsidRDefault="001F3ACE">
                            <w:pPr>
                              <w:pStyle w:val="TableParagraph"/>
                              <w:spacing w:before="30"/>
                              <w:ind w:right="99"/>
                              <w:jc w:val="right"/>
                              <w:rPr>
                                <w:b/>
                                <w:sz w:val="18"/>
                              </w:rPr>
                            </w:pPr>
                            <w:r>
                              <w:rPr>
                                <w:b/>
                                <w:sz w:val="18"/>
                              </w:rPr>
                              <w:t>Note</w:t>
                            </w:r>
                          </w:p>
                        </w:tc>
                        <w:tc>
                          <w:tcPr>
                            <w:tcW w:w="1171" w:type="dxa"/>
                            <w:gridSpan w:val="2"/>
                          </w:tcPr>
                          <w:p w14:paraId="036683F5" w14:textId="77777777" w:rsidR="001F3ACE" w:rsidRDefault="001F3ACE">
                            <w:pPr>
                              <w:pStyle w:val="TableParagraph"/>
                              <w:spacing w:before="30"/>
                              <w:ind w:left="578"/>
                              <w:rPr>
                                <w:b/>
                                <w:sz w:val="18"/>
                              </w:rPr>
                            </w:pPr>
                            <w:r>
                              <w:rPr>
                                <w:b/>
                                <w:sz w:val="18"/>
                              </w:rPr>
                              <w:t>$'000</w:t>
                            </w:r>
                          </w:p>
                        </w:tc>
                        <w:tc>
                          <w:tcPr>
                            <w:tcW w:w="1472" w:type="dxa"/>
                          </w:tcPr>
                          <w:p w14:paraId="0EE1120B" w14:textId="77777777" w:rsidR="001F3ACE" w:rsidRDefault="001F3ACE">
                            <w:pPr>
                              <w:pStyle w:val="TableParagraph"/>
                              <w:spacing w:before="30"/>
                              <w:ind w:right="320"/>
                              <w:jc w:val="right"/>
                              <w:rPr>
                                <w:b/>
                                <w:sz w:val="18"/>
                              </w:rPr>
                            </w:pPr>
                            <w:r>
                              <w:rPr>
                                <w:b/>
                                <w:sz w:val="18"/>
                              </w:rPr>
                              <w:t>$'000</w:t>
                            </w:r>
                          </w:p>
                        </w:tc>
                        <w:tc>
                          <w:tcPr>
                            <w:tcW w:w="2874" w:type="dxa"/>
                            <w:gridSpan w:val="2"/>
                          </w:tcPr>
                          <w:p w14:paraId="6B7DE0C6" w14:textId="77777777" w:rsidR="001F3ACE" w:rsidRDefault="001F3ACE">
                            <w:pPr>
                              <w:pStyle w:val="TableParagraph"/>
                              <w:tabs>
                                <w:tab w:val="left" w:pos="1991"/>
                              </w:tabs>
                              <w:spacing w:before="30"/>
                              <w:ind w:left="695"/>
                              <w:rPr>
                                <w:b/>
                                <w:sz w:val="18"/>
                              </w:rPr>
                            </w:pPr>
                            <w:r>
                              <w:rPr>
                                <w:b/>
                                <w:sz w:val="18"/>
                              </w:rPr>
                              <w:t>$'000</w:t>
                            </w:r>
                            <w:r>
                              <w:rPr>
                                <w:b/>
                                <w:sz w:val="18"/>
                              </w:rPr>
                              <w:tab/>
                              <w:t>$'000</w:t>
                            </w:r>
                          </w:p>
                        </w:tc>
                      </w:tr>
                      <w:tr w:rsidR="001F3ACE" w14:paraId="57221A52" w14:textId="77777777">
                        <w:trPr>
                          <w:trHeight w:val="543"/>
                        </w:trPr>
                        <w:tc>
                          <w:tcPr>
                            <w:tcW w:w="3246" w:type="dxa"/>
                            <w:gridSpan w:val="2"/>
                          </w:tcPr>
                          <w:p w14:paraId="3EFC97F7" w14:textId="77777777" w:rsidR="001F3ACE" w:rsidRDefault="001F3ACE">
                            <w:pPr>
                              <w:pStyle w:val="TableParagraph"/>
                              <w:spacing w:before="70"/>
                              <w:ind w:left="472"/>
                              <w:rPr>
                                <w:b/>
                                <w:sz w:val="18"/>
                              </w:rPr>
                            </w:pPr>
                            <w:r>
                              <w:rPr>
                                <w:b/>
                                <w:sz w:val="18"/>
                              </w:rPr>
                              <w:t>Loans to subsidiaries</w:t>
                            </w:r>
                          </w:p>
                          <w:p w14:paraId="7B5EAD67" w14:textId="77777777" w:rsidR="001F3ACE" w:rsidRDefault="001F3ACE">
                            <w:pPr>
                              <w:pStyle w:val="TableParagraph"/>
                              <w:spacing w:before="30"/>
                              <w:ind w:left="472"/>
                              <w:rPr>
                                <w:sz w:val="18"/>
                              </w:rPr>
                            </w:pPr>
                            <w:r>
                              <w:rPr>
                                <w:sz w:val="18"/>
                              </w:rPr>
                              <w:t>Beginning of the year</w:t>
                            </w:r>
                          </w:p>
                        </w:tc>
                        <w:tc>
                          <w:tcPr>
                            <w:tcW w:w="1186" w:type="dxa"/>
                          </w:tcPr>
                          <w:p w14:paraId="7A2F3DFA" w14:textId="77777777" w:rsidR="001F3ACE" w:rsidRDefault="001F3ACE">
                            <w:pPr>
                              <w:pStyle w:val="TableParagraph"/>
                              <w:spacing w:before="3"/>
                              <w:rPr>
                                <w:sz w:val="26"/>
                              </w:rPr>
                            </w:pPr>
                          </w:p>
                          <w:p w14:paraId="01699FE0" w14:textId="77777777" w:rsidR="001F3ACE" w:rsidRDefault="001F3ACE">
                            <w:pPr>
                              <w:pStyle w:val="TableParagraph"/>
                              <w:ind w:right="199"/>
                              <w:jc w:val="right"/>
                              <w:rPr>
                                <w:sz w:val="18"/>
                              </w:rPr>
                            </w:pPr>
                            <w:r>
                              <w:rPr>
                                <w:sz w:val="18"/>
                              </w:rPr>
                              <w:t>24</w:t>
                            </w:r>
                          </w:p>
                        </w:tc>
                        <w:tc>
                          <w:tcPr>
                            <w:tcW w:w="1171" w:type="dxa"/>
                            <w:gridSpan w:val="2"/>
                          </w:tcPr>
                          <w:p w14:paraId="4C27182F" w14:textId="77777777" w:rsidR="001F3ACE" w:rsidRDefault="001F3ACE">
                            <w:pPr>
                              <w:pStyle w:val="TableParagraph"/>
                              <w:rPr>
                                <w:rFonts w:ascii="Times New Roman"/>
                                <w:sz w:val="18"/>
                              </w:rPr>
                            </w:pPr>
                          </w:p>
                        </w:tc>
                        <w:tc>
                          <w:tcPr>
                            <w:tcW w:w="1472" w:type="dxa"/>
                          </w:tcPr>
                          <w:p w14:paraId="12D7ABAE" w14:textId="77777777" w:rsidR="001F3ACE" w:rsidRDefault="001F3ACE">
                            <w:pPr>
                              <w:pStyle w:val="TableParagraph"/>
                              <w:spacing w:before="6"/>
                              <w:rPr>
                                <w:sz w:val="26"/>
                              </w:rPr>
                            </w:pPr>
                          </w:p>
                          <w:p w14:paraId="76E1E0AA" w14:textId="77777777" w:rsidR="001F3ACE" w:rsidRDefault="001F3ACE">
                            <w:pPr>
                              <w:pStyle w:val="TableParagraph"/>
                              <w:ind w:left="147"/>
                              <w:rPr>
                                <w:b/>
                                <w:sz w:val="18"/>
                              </w:rPr>
                            </w:pPr>
                            <w:r>
                              <w:rPr>
                                <w:b/>
                                <w:sz w:val="18"/>
                              </w:rPr>
                              <w:t>-</w:t>
                            </w:r>
                          </w:p>
                        </w:tc>
                        <w:tc>
                          <w:tcPr>
                            <w:tcW w:w="2874" w:type="dxa"/>
                            <w:gridSpan w:val="2"/>
                          </w:tcPr>
                          <w:p w14:paraId="5274CB46" w14:textId="77777777" w:rsidR="001F3ACE" w:rsidRDefault="001F3ACE">
                            <w:pPr>
                              <w:pStyle w:val="TableParagraph"/>
                              <w:spacing w:before="6"/>
                              <w:rPr>
                                <w:sz w:val="26"/>
                              </w:rPr>
                            </w:pPr>
                          </w:p>
                          <w:p w14:paraId="65A71D76" w14:textId="77777777" w:rsidR="001F3ACE" w:rsidRDefault="001F3ACE">
                            <w:pPr>
                              <w:pStyle w:val="TableParagraph"/>
                              <w:tabs>
                                <w:tab w:val="left" w:pos="2337"/>
                              </w:tabs>
                              <w:ind w:left="940"/>
                              <w:rPr>
                                <w:sz w:val="18"/>
                              </w:rPr>
                            </w:pPr>
                            <w:r>
                              <w:rPr>
                                <w:b/>
                                <w:sz w:val="18"/>
                              </w:rPr>
                              <w:t>23,600</w:t>
                            </w:r>
                            <w:r>
                              <w:rPr>
                                <w:b/>
                                <w:sz w:val="18"/>
                              </w:rPr>
                              <w:tab/>
                            </w:r>
                            <w:r>
                              <w:rPr>
                                <w:sz w:val="18"/>
                              </w:rPr>
                              <w:t>5,619</w:t>
                            </w:r>
                          </w:p>
                        </w:tc>
                      </w:tr>
                      <w:tr w:rsidR="001F3ACE" w14:paraId="15E524C3" w14:textId="77777777">
                        <w:trPr>
                          <w:trHeight w:val="264"/>
                        </w:trPr>
                        <w:tc>
                          <w:tcPr>
                            <w:tcW w:w="3246" w:type="dxa"/>
                            <w:gridSpan w:val="2"/>
                          </w:tcPr>
                          <w:p w14:paraId="5258AF8D" w14:textId="77777777" w:rsidR="001F3ACE" w:rsidRDefault="001F3ACE">
                            <w:pPr>
                              <w:pStyle w:val="TableParagraph"/>
                              <w:spacing w:before="28"/>
                              <w:ind w:left="472"/>
                              <w:rPr>
                                <w:sz w:val="18"/>
                              </w:rPr>
                            </w:pPr>
                            <w:r>
                              <w:rPr>
                                <w:sz w:val="18"/>
                              </w:rPr>
                              <w:t>Loans advanced</w:t>
                            </w:r>
                          </w:p>
                        </w:tc>
                        <w:tc>
                          <w:tcPr>
                            <w:tcW w:w="1186" w:type="dxa"/>
                          </w:tcPr>
                          <w:p w14:paraId="2F53A66A" w14:textId="77777777" w:rsidR="001F3ACE" w:rsidRDefault="001F3ACE">
                            <w:pPr>
                              <w:pStyle w:val="TableParagraph"/>
                              <w:spacing w:before="23"/>
                              <w:ind w:right="199"/>
                              <w:jc w:val="right"/>
                              <w:rPr>
                                <w:sz w:val="18"/>
                              </w:rPr>
                            </w:pPr>
                            <w:r>
                              <w:rPr>
                                <w:sz w:val="18"/>
                              </w:rPr>
                              <w:t>24</w:t>
                            </w:r>
                          </w:p>
                        </w:tc>
                        <w:tc>
                          <w:tcPr>
                            <w:tcW w:w="1171" w:type="dxa"/>
                            <w:gridSpan w:val="2"/>
                          </w:tcPr>
                          <w:p w14:paraId="37240374" w14:textId="77777777" w:rsidR="001F3ACE" w:rsidRDefault="001F3ACE">
                            <w:pPr>
                              <w:pStyle w:val="TableParagraph"/>
                              <w:rPr>
                                <w:rFonts w:ascii="Times New Roman"/>
                                <w:sz w:val="18"/>
                              </w:rPr>
                            </w:pPr>
                          </w:p>
                        </w:tc>
                        <w:tc>
                          <w:tcPr>
                            <w:tcW w:w="1472" w:type="dxa"/>
                          </w:tcPr>
                          <w:p w14:paraId="7BA555E6" w14:textId="77777777" w:rsidR="001F3ACE" w:rsidRDefault="001F3ACE">
                            <w:pPr>
                              <w:pStyle w:val="TableParagraph"/>
                              <w:spacing w:before="25"/>
                              <w:ind w:left="147"/>
                              <w:rPr>
                                <w:b/>
                                <w:sz w:val="18"/>
                              </w:rPr>
                            </w:pPr>
                            <w:r>
                              <w:rPr>
                                <w:b/>
                                <w:sz w:val="18"/>
                              </w:rPr>
                              <w:t>-</w:t>
                            </w:r>
                          </w:p>
                        </w:tc>
                        <w:tc>
                          <w:tcPr>
                            <w:tcW w:w="2874" w:type="dxa"/>
                            <w:gridSpan w:val="2"/>
                          </w:tcPr>
                          <w:p w14:paraId="10DD53D1" w14:textId="77777777" w:rsidR="001F3ACE" w:rsidRDefault="001F3ACE">
                            <w:pPr>
                              <w:pStyle w:val="TableParagraph"/>
                              <w:tabs>
                                <w:tab w:val="left" w:pos="2488"/>
                              </w:tabs>
                              <w:spacing w:before="25"/>
                              <w:ind w:left="1041"/>
                              <w:rPr>
                                <w:sz w:val="18"/>
                              </w:rPr>
                            </w:pPr>
                            <w:r>
                              <w:rPr>
                                <w:b/>
                                <w:sz w:val="18"/>
                              </w:rPr>
                              <w:t>1,885</w:t>
                            </w:r>
                            <w:r>
                              <w:rPr>
                                <w:b/>
                                <w:sz w:val="18"/>
                              </w:rPr>
                              <w:tab/>
                            </w:r>
                            <w:r>
                              <w:rPr>
                                <w:sz w:val="18"/>
                              </w:rPr>
                              <w:t>450</w:t>
                            </w:r>
                          </w:p>
                        </w:tc>
                      </w:tr>
                      <w:tr w:rsidR="001F3ACE" w14:paraId="7B163246" w14:textId="77777777">
                        <w:trPr>
                          <w:trHeight w:val="265"/>
                        </w:trPr>
                        <w:tc>
                          <w:tcPr>
                            <w:tcW w:w="3246" w:type="dxa"/>
                            <w:gridSpan w:val="2"/>
                          </w:tcPr>
                          <w:p w14:paraId="12C00A49" w14:textId="77777777" w:rsidR="001F3ACE" w:rsidRDefault="001F3ACE">
                            <w:pPr>
                              <w:pStyle w:val="TableParagraph"/>
                              <w:spacing w:before="28"/>
                              <w:ind w:left="472"/>
                              <w:rPr>
                                <w:sz w:val="18"/>
                              </w:rPr>
                            </w:pPr>
                            <w:r>
                              <w:rPr>
                                <w:sz w:val="18"/>
                              </w:rPr>
                              <w:t>Loan repayment received</w:t>
                            </w:r>
                          </w:p>
                        </w:tc>
                        <w:tc>
                          <w:tcPr>
                            <w:tcW w:w="1186" w:type="dxa"/>
                          </w:tcPr>
                          <w:p w14:paraId="6C5743E5" w14:textId="77777777" w:rsidR="001F3ACE" w:rsidRDefault="001F3ACE">
                            <w:pPr>
                              <w:pStyle w:val="TableParagraph"/>
                              <w:spacing w:before="23"/>
                              <w:ind w:right="199"/>
                              <w:jc w:val="right"/>
                              <w:rPr>
                                <w:sz w:val="18"/>
                              </w:rPr>
                            </w:pPr>
                            <w:r>
                              <w:rPr>
                                <w:sz w:val="18"/>
                              </w:rPr>
                              <w:t>24</w:t>
                            </w:r>
                          </w:p>
                        </w:tc>
                        <w:tc>
                          <w:tcPr>
                            <w:tcW w:w="1171" w:type="dxa"/>
                            <w:gridSpan w:val="2"/>
                          </w:tcPr>
                          <w:p w14:paraId="6AD49CED" w14:textId="77777777" w:rsidR="001F3ACE" w:rsidRDefault="001F3ACE">
                            <w:pPr>
                              <w:pStyle w:val="TableParagraph"/>
                              <w:rPr>
                                <w:rFonts w:ascii="Times New Roman"/>
                                <w:sz w:val="18"/>
                              </w:rPr>
                            </w:pPr>
                          </w:p>
                        </w:tc>
                        <w:tc>
                          <w:tcPr>
                            <w:tcW w:w="1472" w:type="dxa"/>
                          </w:tcPr>
                          <w:p w14:paraId="7995304C" w14:textId="77777777" w:rsidR="001F3ACE" w:rsidRDefault="001F3ACE">
                            <w:pPr>
                              <w:pStyle w:val="TableParagraph"/>
                              <w:spacing w:before="25"/>
                              <w:ind w:left="147"/>
                              <w:rPr>
                                <w:b/>
                                <w:sz w:val="18"/>
                              </w:rPr>
                            </w:pPr>
                            <w:r>
                              <w:rPr>
                                <w:b/>
                                <w:sz w:val="18"/>
                              </w:rPr>
                              <w:t>-</w:t>
                            </w:r>
                          </w:p>
                        </w:tc>
                        <w:tc>
                          <w:tcPr>
                            <w:tcW w:w="2874" w:type="dxa"/>
                            <w:gridSpan w:val="2"/>
                          </w:tcPr>
                          <w:p w14:paraId="6B6ACBB8" w14:textId="77777777" w:rsidR="001F3ACE" w:rsidRDefault="001F3ACE">
                            <w:pPr>
                              <w:pStyle w:val="TableParagraph"/>
                              <w:tabs>
                                <w:tab w:val="left" w:pos="2277"/>
                              </w:tabs>
                              <w:spacing w:before="25"/>
                              <w:ind w:left="1435"/>
                              <w:rPr>
                                <w:sz w:val="18"/>
                              </w:rPr>
                            </w:pPr>
                            <w:r>
                              <w:rPr>
                                <w:b/>
                                <w:sz w:val="18"/>
                              </w:rPr>
                              <w:t>-</w:t>
                            </w:r>
                            <w:r>
                              <w:rPr>
                                <w:b/>
                                <w:sz w:val="18"/>
                              </w:rPr>
                              <w:tab/>
                            </w:r>
                            <w:r>
                              <w:rPr>
                                <w:sz w:val="18"/>
                              </w:rPr>
                              <w:t>(1,330)</w:t>
                            </w:r>
                          </w:p>
                        </w:tc>
                      </w:tr>
                      <w:tr w:rsidR="001F3ACE" w14:paraId="788FA433" w14:textId="77777777">
                        <w:trPr>
                          <w:trHeight w:val="262"/>
                        </w:trPr>
                        <w:tc>
                          <w:tcPr>
                            <w:tcW w:w="3246" w:type="dxa"/>
                            <w:gridSpan w:val="2"/>
                          </w:tcPr>
                          <w:p w14:paraId="1D939EF1" w14:textId="77777777" w:rsidR="001F3ACE" w:rsidRDefault="001F3ACE">
                            <w:pPr>
                              <w:pStyle w:val="TableParagraph"/>
                              <w:spacing w:before="26"/>
                              <w:ind w:left="472"/>
                              <w:rPr>
                                <w:sz w:val="18"/>
                              </w:rPr>
                            </w:pPr>
                            <w:r>
                              <w:rPr>
                                <w:sz w:val="18"/>
                              </w:rPr>
                              <w:t>Interest charged</w:t>
                            </w:r>
                          </w:p>
                        </w:tc>
                        <w:tc>
                          <w:tcPr>
                            <w:tcW w:w="1186" w:type="dxa"/>
                          </w:tcPr>
                          <w:p w14:paraId="4345529A" w14:textId="77777777" w:rsidR="001F3ACE" w:rsidRDefault="001F3ACE">
                            <w:pPr>
                              <w:pStyle w:val="TableParagraph"/>
                              <w:rPr>
                                <w:rFonts w:ascii="Times New Roman"/>
                                <w:sz w:val="18"/>
                              </w:rPr>
                            </w:pPr>
                          </w:p>
                        </w:tc>
                        <w:tc>
                          <w:tcPr>
                            <w:tcW w:w="1171" w:type="dxa"/>
                            <w:gridSpan w:val="2"/>
                          </w:tcPr>
                          <w:p w14:paraId="557EA99F" w14:textId="77777777" w:rsidR="001F3ACE" w:rsidRDefault="001F3ACE">
                            <w:pPr>
                              <w:pStyle w:val="TableParagraph"/>
                              <w:rPr>
                                <w:rFonts w:ascii="Times New Roman"/>
                                <w:sz w:val="18"/>
                              </w:rPr>
                            </w:pPr>
                          </w:p>
                        </w:tc>
                        <w:tc>
                          <w:tcPr>
                            <w:tcW w:w="1472" w:type="dxa"/>
                          </w:tcPr>
                          <w:p w14:paraId="773E2422" w14:textId="77777777" w:rsidR="001F3ACE" w:rsidRDefault="001F3ACE">
                            <w:pPr>
                              <w:pStyle w:val="TableParagraph"/>
                              <w:spacing w:before="24"/>
                              <w:ind w:left="147"/>
                              <w:rPr>
                                <w:b/>
                                <w:sz w:val="18"/>
                              </w:rPr>
                            </w:pPr>
                            <w:r>
                              <w:rPr>
                                <w:b/>
                                <w:sz w:val="18"/>
                              </w:rPr>
                              <w:t>-</w:t>
                            </w:r>
                          </w:p>
                        </w:tc>
                        <w:tc>
                          <w:tcPr>
                            <w:tcW w:w="2874" w:type="dxa"/>
                            <w:gridSpan w:val="2"/>
                          </w:tcPr>
                          <w:p w14:paraId="25FD115B" w14:textId="77777777" w:rsidR="001F3ACE" w:rsidRDefault="001F3ACE">
                            <w:pPr>
                              <w:pStyle w:val="TableParagraph"/>
                              <w:tabs>
                                <w:tab w:val="left" w:pos="2488"/>
                              </w:tabs>
                              <w:spacing w:before="24"/>
                              <w:ind w:left="1192"/>
                              <w:rPr>
                                <w:sz w:val="18"/>
                              </w:rPr>
                            </w:pPr>
                            <w:r>
                              <w:rPr>
                                <w:b/>
                                <w:sz w:val="18"/>
                              </w:rPr>
                              <w:t>363</w:t>
                            </w:r>
                            <w:r>
                              <w:rPr>
                                <w:b/>
                                <w:sz w:val="18"/>
                              </w:rPr>
                              <w:tab/>
                            </w:r>
                            <w:r>
                              <w:rPr>
                                <w:sz w:val="18"/>
                              </w:rPr>
                              <w:t>177</w:t>
                            </w:r>
                          </w:p>
                        </w:tc>
                      </w:tr>
                      <w:tr w:rsidR="001F3ACE" w14:paraId="3B7C22B5" w14:textId="77777777">
                        <w:trPr>
                          <w:trHeight w:val="265"/>
                        </w:trPr>
                        <w:tc>
                          <w:tcPr>
                            <w:tcW w:w="3246" w:type="dxa"/>
                            <w:gridSpan w:val="2"/>
                          </w:tcPr>
                          <w:p w14:paraId="399B380E" w14:textId="77777777" w:rsidR="001F3ACE" w:rsidRDefault="001F3ACE">
                            <w:pPr>
                              <w:pStyle w:val="TableParagraph"/>
                              <w:spacing w:before="28"/>
                              <w:ind w:left="472"/>
                              <w:rPr>
                                <w:sz w:val="18"/>
                              </w:rPr>
                            </w:pPr>
                            <w:r>
                              <w:rPr>
                                <w:sz w:val="18"/>
                              </w:rPr>
                              <w:t>Interest received</w:t>
                            </w:r>
                          </w:p>
                        </w:tc>
                        <w:tc>
                          <w:tcPr>
                            <w:tcW w:w="1186" w:type="dxa"/>
                          </w:tcPr>
                          <w:p w14:paraId="12C250EC" w14:textId="77777777" w:rsidR="001F3ACE" w:rsidRDefault="001F3ACE">
                            <w:pPr>
                              <w:pStyle w:val="TableParagraph"/>
                              <w:spacing w:before="23"/>
                              <w:ind w:right="199"/>
                              <w:jc w:val="right"/>
                              <w:rPr>
                                <w:sz w:val="18"/>
                              </w:rPr>
                            </w:pPr>
                            <w:r>
                              <w:rPr>
                                <w:sz w:val="18"/>
                              </w:rPr>
                              <w:t>24</w:t>
                            </w:r>
                          </w:p>
                        </w:tc>
                        <w:tc>
                          <w:tcPr>
                            <w:tcW w:w="1171" w:type="dxa"/>
                            <w:gridSpan w:val="2"/>
                          </w:tcPr>
                          <w:p w14:paraId="43A72D6C" w14:textId="77777777" w:rsidR="001F3ACE" w:rsidRDefault="001F3ACE">
                            <w:pPr>
                              <w:pStyle w:val="TableParagraph"/>
                              <w:rPr>
                                <w:rFonts w:ascii="Times New Roman"/>
                                <w:sz w:val="18"/>
                              </w:rPr>
                            </w:pPr>
                          </w:p>
                        </w:tc>
                        <w:tc>
                          <w:tcPr>
                            <w:tcW w:w="1472" w:type="dxa"/>
                          </w:tcPr>
                          <w:p w14:paraId="7F867135" w14:textId="77777777" w:rsidR="001F3ACE" w:rsidRDefault="001F3ACE">
                            <w:pPr>
                              <w:pStyle w:val="TableParagraph"/>
                              <w:spacing w:before="25"/>
                              <w:ind w:left="146"/>
                              <w:rPr>
                                <w:b/>
                                <w:sz w:val="18"/>
                              </w:rPr>
                            </w:pPr>
                            <w:r>
                              <w:rPr>
                                <w:b/>
                                <w:sz w:val="18"/>
                              </w:rPr>
                              <w:t>-</w:t>
                            </w:r>
                          </w:p>
                        </w:tc>
                        <w:tc>
                          <w:tcPr>
                            <w:tcW w:w="2874" w:type="dxa"/>
                            <w:gridSpan w:val="2"/>
                          </w:tcPr>
                          <w:p w14:paraId="63B1EA73" w14:textId="77777777" w:rsidR="001F3ACE" w:rsidRDefault="001F3ACE">
                            <w:pPr>
                              <w:pStyle w:val="TableParagraph"/>
                              <w:tabs>
                                <w:tab w:val="left" w:pos="2428"/>
                              </w:tabs>
                              <w:spacing w:before="25"/>
                              <w:ind w:left="1233"/>
                              <w:rPr>
                                <w:sz w:val="18"/>
                              </w:rPr>
                            </w:pPr>
                            <w:r>
                              <w:rPr>
                                <w:b/>
                                <w:sz w:val="18"/>
                              </w:rPr>
                              <w:t>(69)</w:t>
                            </w:r>
                            <w:r>
                              <w:rPr>
                                <w:b/>
                                <w:sz w:val="18"/>
                              </w:rPr>
                              <w:tab/>
                            </w:r>
                            <w:r>
                              <w:rPr>
                                <w:sz w:val="18"/>
                              </w:rPr>
                              <w:t>(182)</w:t>
                            </w:r>
                          </w:p>
                        </w:tc>
                      </w:tr>
                      <w:tr w:rsidR="001F3ACE" w14:paraId="2336CD89" w14:textId="77777777">
                        <w:trPr>
                          <w:trHeight w:val="256"/>
                        </w:trPr>
                        <w:tc>
                          <w:tcPr>
                            <w:tcW w:w="3246" w:type="dxa"/>
                            <w:gridSpan w:val="2"/>
                          </w:tcPr>
                          <w:p w14:paraId="244C46EF" w14:textId="77777777" w:rsidR="001F3ACE" w:rsidRDefault="001F3ACE">
                            <w:pPr>
                              <w:pStyle w:val="TableParagraph"/>
                              <w:spacing w:before="26"/>
                              <w:ind w:left="472"/>
                              <w:rPr>
                                <w:sz w:val="18"/>
                              </w:rPr>
                            </w:pPr>
                            <w:r>
                              <w:rPr>
                                <w:sz w:val="18"/>
                              </w:rPr>
                              <w:t>Loan forgiven by Parent</w:t>
                            </w:r>
                          </w:p>
                        </w:tc>
                        <w:tc>
                          <w:tcPr>
                            <w:tcW w:w="1186" w:type="dxa"/>
                          </w:tcPr>
                          <w:p w14:paraId="1D49F5C0" w14:textId="77777777" w:rsidR="001F3ACE" w:rsidRDefault="001F3ACE">
                            <w:pPr>
                              <w:pStyle w:val="TableParagraph"/>
                              <w:rPr>
                                <w:rFonts w:ascii="Times New Roman"/>
                                <w:sz w:val="18"/>
                              </w:rPr>
                            </w:pPr>
                          </w:p>
                        </w:tc>
                        <w:tc>
                          <w:tcPr>
                            <w:tcW w:w="1171" w:type="dxa"/>
                            <w:gridSpan w:val="2"/>
                            <w:tcBorders>
                              <w:bottom w:val="single" w:sz="8" w:space="0" w:color="000000"/>
                            </w:tcBorders>
                          </w:tcPr>
                          <w:p w14:paraId="39657FB2" w14:textId="77777777" w:rsidR="001F3ACE" w:rsidRDefault="001F3ACE">
                            <w:pPr>
                              <w:pStyle w:val="TableParagraph"/>
                              <w:rPr>
                                <w:rFonts w:ascii="Times New Roman"/>
                                <w:sz w:val="18"/>
                              </w:rPr>
                            </w:pPr>
                          </w:p>
                        </w:tc>
                        <w:tc>
                          <w:tcPr>
                            <w:tcW w:w="1472" w:type="dxa"/>
                            <w:tcBorders>
                              <w:bottom w:val="single" w:sz="8" w:space="0" w:color="000000"/>
                            </w:tcBorders>
                          </w:tcPr>
                          <w:p w14:paraId="05E0AB4E" w14:textId="77777777" w:rsidR="001F3ACE" w:rsidRDefault="001F3ACE">
                            <w:pPr>
                              <w:pStyle w:val="TableParagraph"/>
                              <w:spacing w:before="24"/>
                              <w:ind w:left="146"/>
                              <w:rPr>
                                <w:b/>
                                <w:sz w:val="18"/>
                              </w:rPr>
                            </w:pPr>
                            <w:r>
                              <w:rPr>
                                <w:b/>
                                <w:sz w:val="18"/>
                              </w:rPr>
                              <w:t>-</w:t>
                            </w:r>
                          </w:p>
                        </w:tc>
                        <w:tc>
                          <w:tcPr>
                            <w:tcW w:w="2874" w:type="dxa"/>
                            <w:gridSpan w:val="2"/>
                            <w:tcBorders>
                              <w:bottom w:val="single" w:sz="8" w:space="0" w:color="000000"/>
                            </w:tcBorders>
                          </w:tcPr>
                          <w:p w14:paraId="1718886F" w14:textId="77777777" w:rsidR="001F3ACE" w:rsidRDefault="001F3ACE">
                            <w:pPr>
                              <w:pStyle w:val="TableParagraph"/>
                              <w:tabs>
                                <w:tab w:val="left" w:pos="2277"/>
                              </w:tabs>
                              <w:spacing w:before="24"/>
                              <w:ind w:left="1434"/>
                              <w:rPr>
                                <w:sz w:val="18"/>
                              </w:rPr>
                            </w:pPr>
                            <w:r>
                              <w:rPr>
                                <w:b/>
                                <w:sz w:val="18"/>
                              </w:rPr>
                              <w:t>-</w:t>
                            </w:r>
                            <w:r>
                              <w:rPr>
                                <w:b/>
                                <w:sz w:val="18"/>
                              </w:rPr>
                              <w:tab/>
                            </w:r>
                            <w:r>
                              <w:rPr>
                                <w:sz w:val="18"/>
                              </w:rPr>
                              <w:t>(3,935)</w:t>
                            </w:r>
                          </w:p>
                        </w:tc>
                      </w:tr>
                      <w:tr w:rsidR="001F3ACE" w14:paraId="1C584AA2" w14:textId="77777777">
                        <w:trPr>
                          <w:trHeight w:val="320"/>
                        </w:trPr>
                        <w:tc>
                          <w:tcPr>
                            <w:tcW w:w="409" w:type="dxa"/>
                          </w:tcPr>
                          <w:p w14:paraId="0877D7FD" w14:textId="77777777" w:rsidR="001F3ACE" w:rsidRDefault="001F3ACE">
                            <w:pPr>
                              <w:pStyle w:val="TableParagraph"/>
                              <w:rPr>
                                <w:rFonts w:ascii="Times New Roman"/>
                                <w:sz w:val="18"/>
                              </w:rPr>
                            </w:pPr>
                          </w:p>
                        </w:tc>
                        <w:tc>
                          <w:tcPr>
                            <w:tcW w:w="2837" w:type="dxa"/>
                          </w:tcPr>
                          <w:p w14:paraId="78A5C8DE" w14:textId="77777777" w:rsidR="001F3ACE" w:rsidRDefault="001F3ACE">
                            <w:pPr>
                              <w:pStyle w:val="TableParagraph"/>
                              <w:spacing w:before="105" w:line="185" w:lineRule="exact"/>
                              <w:ind w:left="63"/>
                              <w:rPr>
                                <w:b/>
                                <w:sz w:val="18"/>
                              </w:rPr>
                            </w:pPr>
                            <w:r>
                              <w:rPr>
                                <w:b/>
                                <w:sz w:val="18"/>
                              </w:rPr>
                              <w:t>End of year</w:t>
                            </w:r>
                          </w:p>
                        </w:tc>
                        <w:tc>
                          <w:tcPr>
                            <w:tcW w:w="1186" w:type="dxa"/>
                          </w:tcPr>
                          <w:p w14:paraId="0B17E330" w14:textId="77777777" w:rsidR="001F3ACE" w:rsidRDefault="001F3ACE">
                            <w:pPr>
                              <w:pStyle w:val="TableParagraph"/>
                              <w:spacing w:before="19"/>
                              <w:ind w:right="199"/>
                              <w:jc w:val="right"/>
                              <w:rPr>
                                <w:sz w:val="18"/>
                              </w:rPr>
                            </w:pPr>
                            <w:r>
                              <w:rPr>
                                <w:sz w:val="18"/>
                              </w:rPr>
                              <w:t>24</w:t>
                            </w:r>
                          </w:p>
                        </w:tc>
                        <w:tc>
                          <w:tcPr>
                            <w:tcW w:w="168" w:type="dxa"/>
                            <w:tcBorders>
                              <w:bottom w:val="double" w:sz="2" w:space="0" w:color="000000"/>
                            </w:tcBorders>
                          </w:tcPr>
                          <w:p w14:paraId="2E7369B4" w14:textId="77777777" w:rsidR="001F3ACE" w:rsidRDefault="001F3ACE">
                            <w:pPr>
                              <w:pStyle w:val="TableParagraph"/>
                              <w:rPr>
                                <w:rFonts w:ascii="Times New Roman"/>
                                <w:sz w:val="18"/>
                              </w:rPr>
                            </w:pPr>
                          </w:p>
                        </w:tc>
                        <w:tc>
                          <w:tcPr>
                            <w:tcW w:w="2475" w:type="dxa"/>
                            <w:gridSpan w:val="2"/>
                            <w:tcBorders>
                              <w:bottom w:val="double" w:sz="2" w:space="0" w:color="000000"/>
                            </w:tcBorders>
                          </w:tcPr>
                          <w:p w14:paraId="1CAAD9E3" w14:textId="77777777" w:rsidR="001F3ACE" w:rsidRDefault="001F3ACE">
                            <w:pPr>
                              <w:pStyle w:val="TableParagraph"/>
                              <w:spacing w:before="105" w:line="185" w:lineRule="exact"/>
                              <w:ind w:right="113"/>
                              <w:jc w:val="center"/>
                              <w:rPr>
                                <w:b/>
                                <w:sz w:val="18"/>
                              </w:rPr>
                            </w:pPr>
                            <w:r>
                              <w:rPr>
                                <w:b/>
                                <w:sz w:val="18"/>
                              </w:rPr>
                              <w:t>-</w:t>
                            </w:r>
                          </w:p>
                        </w:tc>
                        <w:tc>
                          <w:tcPr>
                            <w:tcW w:w="1894" w:type="dxa"/>
                            <w:tcBorders>
                              <w:bottom w:val="double" w:sz="2" w:space="0" w:color="000000"/>
                            </w:tcBorders>
                          </w:tcPr>
                          <w:p w14:paraId="6175957B" w14:textId="77777777" w:rsidR="001F3ACE" w:rsidRDefault="001F3ACE">
                            <w:pPr>
                              <w:pStyle w:val="TableParagraph"/>
                              <w:spacing w:before="105" w:line="185" w:lineRule="exact"/>
                              <w:ind w:right="397"/>
                              <w:jc w:val="right"/>
                              <w:rPr>
                                <w:b/>
                                <w:sz w:val="18"/>
                              </w:rPr>
                            </w:pPr>
                            <w:r>
                              <w:rPr>
                                <w:b/>
                                <w:sz w:val="18"/>
                              </w:rPr>
                              <w:t>25,779</w:t>
                            </w:r>
                          </w:p>
                        </w:tc>
                        <w:tc>
                          <w:tcPr>
                            <w:tcW w:w="980" w:type="dxa"/>
                            <w:tcBorders>
                              <w:bottom w:val="double" w:sz="2" w:space="0" w:color="000000"/>
                            </w:tcBorders>
                          </w:tcPr>
                          <w:p w14:paraId="76F47C7A" w14:textId="77777777" w:rsidR="001F3ACE" w:rsidRDefault="001F3ACE">
                            <w:pPr>
                              <w:pStyle w:val="TableParagraph"/>
                              <w:spacing w:before="105" w:line="185" w:lineRule="exact"/>
                              <w:ind w:right="81"/>
                              <w:jc w:val="right"/>
                              <w:rPr>
                                <w:sz w:val="18"/>
                              </w:rPr>
                            </w:pPr>
                            <w:r>
                              <w:rPr>
                                <w:sz w:val="18"/>
                              </w:rPr>
                              <w:t>799</w:t>
                            </w:r>
                          </w:p>
                        </w:tc>
                      </w:tr>
                      <w:tr w:rsidR="001F3ACE" w14:paraId="29DB073A" w14:textId="77777777">
                        <w:trPr>
                          <w:trHeight w:val="590"/>
                        </w:trPr>
                        <w:tc>
                          <w:tcPr>
                            <w:tcW w:w="409" w:type="dxa"/>
                          </w:tcPr>
                          <w:p w14:paraId="0233FB80" w14:textId="77777777" w:rsidR="001F3ACE" w:rsidRDefault="001F3ACE">
                            <w:pPr>
                              <w:pStyle w:val="TableParagraph"/>
                              <w:rPr>
                                <w:rFonts w:ascii="Times New Roman"/>
                                <w:sz w:val="18"/>
                              </w:rPr>
                            </w:pPr>
                          </w:p>
                        </w:tc>
                        <w:tc>
                          <w:tcPr>
                            <w:tcW w:w="2837" w:type="dxa"/>
                          </w:tcPr>
                          <w:p w14:paraId="1F441E64" w14:textId="77777777" w:rsidR="001F3ACE" w:rsidRDefault="001F3ACE">
                            <w:pPr>
                              <w:pStyle w:val="TableParagraph"/>
                              <w:spacing w:before="117"/>
                              <w:ind w:left="63"/>
                              <w:rPr>
                                <w:b/>
                                <w:sz w:val="18"/>
                              </w:rPr>
                            </w:pPr>
                            <w:r>
                              <w:rPr>
                                <w:b/>
                                <w:sz w:val="18"/>
                              </w:rPr>
                              <w:t>Loans from subsidiaries</w:t>
                            </w:r>
                          </w:p>
                          <w:p w14:paraId="134EA159" w14:textId="77777777" w:rsidR="001F3ACE" w:rsidRDefault="001F3ACE">
                            <w:pPr>
                              <w:pStyle w:val="TableParagraph"/>
                              <w:spacing w:before="30"/>
                              <w:ind w:left="63"/>
                              <w:rPr>
                                <w:sz w:val="18"/>
                              </w:rPr>
                            </w:pPr>
                            <w:r>
                              <w:rPr>
                                <w:sz w:val="18"/>
                              </w:rPr>
                              <w:t>Beginning of the year</w:t>
                            </w:r>
                          </w:p>
                        </w:tc>
                        <w:tc>
                          <w:tcPr>
                            <w:tcW w:w="1186" w:type="dxa"/>
                          </w:tcPr>
                          <w:p w14:paraId="4A909498" w14:textId="77777777" w:rsidR="001F3ACE" w:rsidRDefault="001F3ACE">
                            <w:pPr>
                              <w:pStyle w:val="TableParagraph"/>
                              <w:rPr>
                                <w:sz w:val="20"/>
                              </w:rPr>
                            </w:pPr>
                          </w:p>
                          <w:p w14:paraId="27A16D14" w14:textId="77777777" w:rsidR="001F3ACE" w:rsidRDefault="001F3ACE">
                            <w:pPr>
                              <w:pStyle w:val="TableParagraph"/>
                              <w:spacing w:before="120"/>
                              <w:ind w:right="199"/>
                              <w:jc w:val="right"/>
                              <w:rPr>
                                <w:sz w:val="18"/>
                              </w:rPr>
                            </w:pPr>
                            <w:r>
                              <w:rPr>
                                <w:sz w:val="18"/>
                              </w:rPr>
                              <w:t>24</w:t>
                            </w:r>
                          </w:p>
                        </w:tc>
                        <w:tc>
                          <w:tcPr>
                            <w:tcW w:w="168" w:type="dxa"/>
                            <w:tcBorders>
                              <w:top w:val="double" w:sz="2" w:space="0" w:color="000000"/>
                            </w:tcBorders>
                          </w:tcPr>
                          <w:p w14:paraId="76E25448" w14:textId="77777777" w:rsidR="001F3ACE" w:rsidRDefault="001F3ACE">
                            <w:pPr>
                              <w:pStyle w:val="TableParagraph"/>
                              <w:rPr>
                                <w:rFonts w:ascii="Times New Roman"/>
                                <w:sz w:val="18"/>
                              </w:rPr>
                            </w:pPr>
                          </w:p>
                        </w:tc>
                        <w:tc>
                          <w:tcPr>
                            <w:tcW w:w="2475" w:type="dxa"/>
                            <w:gridSpan w:val="2"/>
                            <w:tcBorders>
                              <w:top w:val="double" w:sz="2" w:space="0" w:color="000000"/>
                            </w:tcBorders>
                          </w:tcPr>
                          <w:p w14:paraId="63C83AF3" w14:textId="77777777" w:rsidR="001F3ACE" w:rsidRDefault="001F3ACE">
                            <w:pPr>
                              <w:pStyle w:val="TableParagraph"/>
                              <w:rPr>
                                <w:sz w:val="20"/>
                              </w:rPr>
                            </w:pPr>
                          </w:p>
                          <w:p w14:paraId="138A7298" w14:textId="77777777" w:rsidR="001F3ACE" w:rsidRDefault="001F3ACE">
                            <w:pPr>
                              <w:pStyle w:val="TableParagraph"/>
                              <w:spacing w:before="122"/>
                              <w:ind w:right="113"/>
                              <w:jc w:val="center"/>
                              <w:rPr>
                                <w:b/>
                                <w:sz w:val="18"/>
                              </w:rPr>
                            </w:pPr>
                            <w:r>
                              <w:rPr>
                                <w:b/>
                                <w:sz w:val="18"/>
                              </w:rPr>
                              <w:t>-</w:t>
                            </w:r>
                          </w:p>
                        </w:tc>
                        <w:tc>
                          <w:tcPr>
                            <w:tcW w:w="1894" w:type="dxa"/>
                            <w:tcBorders>
                              <w:top w:val="double" w:sz="2" w:space="0" w:color="000000"/>
                            </w:tcBorders>
                          </w:tcPr>
                          <w:p w14:paraId="415ADD6D" w14:textId="77777777" w:rsidR="001F3ACE" w:rsidRDefault="001F3ACE">
                            <w:pPr>
                              <w:pStyle w:val="TableParagraph"/>
                              <w:rPr>
                                <w:sz w:val="20"/>
                              </w:rPr>
                            </w:pPr>
                          </w:p>
                          <w:p w14:paraId="55ED7EE1" w14:textId="77777777" w:rsidR="001F3ACE" w:rsidRDefault="001F3ACE">
                            <w:pPr>
                              <w:pStyle w:val="TableParagraph"/>
                              <w:spacing w:before="122"/>
                              <w:ind w:right="397"/>
                              <w:jc w:val="right"/>
                              <w:rPr>
                                <w:b/>
                                <w:sz w:val="18"/>
                              </w:rPr>
                            </w:pPr>
                            <w:r>
                              <w:rPr>
                                <w:b/>
                                <w:sz w:val="18"/>
                              </w:rPr>
                              <w:t>9,201</w:t>
                            </w:r>
                          </w:p>
                        </w:tc>
                        <w:tc>
                          <w:tcPr>
                            <w:tcW w:w="980" w:type="dxa"/>
                            <w:tcBorders>
                              <w:top w:val="double" w:sz="2" w:space="0" w:color="000000"/>
                            </w:tcBorders>
                          </w:tcPr>
                          <w:p w14:paraId="1329673E" w14:textId="77777777" w:rsidR="001F3ACE" w:rsidRDefault="001F3ACE">
                            <w:pPr>
                              <w:pStyle w:val="TableParagraph"/>
                              <w:rPr>
                                <w:sz w:val="20"/>
                              </w:rPr>
                            </w:pPr>
                          </w:p>
                          <w:p w14:paraId="366A5F69" w14:textId="77777777" w:rsidR="001F3ACE" w:rsidRDefault="001F3ACE">
                            <w:pPr>
                              <w:pStyle w:val="TableParagraph"/>
                              <w:spacing w:before="122"/>
                              <w:ind w:right="81"/>
                              <w:jc w:val="right"/>
                              <w:rPr>
                                <w:sz w:val="18"/>
                              </w:rPr>
                            </w:pPr>
                            <w:r>
                              <w:rPr>
                                <w:sz w:val="18"/>
                              </w:rPr>
                              <w:t>7,228</w:t>
                            </w:r>
                          </w:p>
                        </w:tc>
                      </w:tr>
                      <w:tr w:rsidR="001F3ACE" w14:paraId="4A291410" w14:textId="77777777">
                        <w:trPr>
                          <w:trHeight w:val="263"/>
                        </w:trPr>
                        <w:tc>
                          <w:tcPr>
                            <w:tcW w:w="409" w:type="dxa"/>
                          </w:tcPr>
                          <w:p w14:paraId="52B10BDE" w14:textId="77777777" w:rsidR="001F3ACE" w:rsidRDefault="001F3ACE">
                            <w:pPr>
                              <w:pStyle w:val="TableParagraph"/>
                              <w:rPr>
                                <w:rFonts w:ascii="Times New Roman"/>
                                <w:sz w:val="18"/>
                              </w:rPr>
                            </w:pPr>
                          </w:p>
                        </w:tc>
                        <w:tc>
                          <w:tcPr>
                            <w:tcW w:w="2837" w:type="dxa"/>
                          </w:tcPr>
                          <w:p w14:paraId="6D212EA5" w14:textId="77777777" w:rsidR="001F3ACE" w:rsidRDefault="001F3ACE">
                            <w:pPr>
                              <w:pStyle w:val="TableParagraph"/>
                              <w:spacing w:before="28"/>
                              <w:ind w:left="63"/>
                              <w:rPr>
                                <w:sz w:val="18"/>
                              </w:rPr>
                            </w:pPr>
                            <w:r>
                              <w:rPr>
                                <w:sz w:val="18"/>
                              </w:rPr>
                              <w:t>Loans advanced</w:t>
                            </w:r>
                          </w:p>
                        </w:tc>
                        <w:tc>
                          <w:tcPr>
                            <w:tcW w:w="1186" w:type="dxa"/>
                          </w:tcPr>
                          <w:p w14:paraId="2D075878" w14:textId="77777777" w:rsidR="001F3ACE" w:rsidRDefault="001F3ACE">
                            <w:pPr>
                              <w:pStyle w:val="TableParagraph"/>
                              <w:spacing w:before="23"/>
                              <w:ind w:right="199"/>
                              <w:jc w:val="right"/>
                              <w:rPr>
                                <w:sz w:val="18"/>
                              </w:rPr>
                            </w:pPr>
                            <w:r>
                              <w:rPr>
                                <w:sz w:val="18"/>
                              </w:rPr>
                              <w:t>24</w:t>
                            </w:r>
                          </w:p>
                        </w:tc>
                        <w:tc>
                          <w:tcPr>
                            <w:tcW w:w="168" w:type="dxa"/>
                          </w:tcPr>
                          <w:p w14:paraId="0DD9B60F" w14:textId="77777777" w:rsidR="001F3ACE" w:rsidRDefault="001F3ACE">
                            <w:pPr>
                              <w:pStyle w:val="TableParagraph"/>
                              <w:rPr>
                                <w:rFonts w:ascii="Times New Roman"/>
                                <w:sz w:val="18"/>
                              </w:rPr>
                            </w:pPr>
                          </w:p>
                        </w:tc>
                        <w:tc>
                          <w:tcPr>
                            <w:tcW w:w="2475" w:type="dxa"/>
                            <w:gridSpan w:val="2"/>
                          </w:tcPr>
                          <w:p w14:paraId="742A1558" w14:textId="77777777" w:rsidR="001F3ACE" w:rsidRDefault="001F3ACE">
                            <w:pPr>
                              <w:pStyle w:val="TableParagraph"/>
                              <w:spacing w:before="25"/>
                              <w:ind w:right="113"/>
                              <w:jc w:val="center"/>
                              <w:rPr>
                                <w:b/>
                                <w:sz w:val="18"/>
                              </w:rPr>
                            </w:pPr>
                            <w:r>
                              <w:rPr>
                                <w:b/>
                                <w:sz w:val="18"/>
                              </w:rPr>
                              <w:t>-</w:t>
                            </w:r>
                          </w:p>
                        </w:tc>
                        <w:tc>
                          <w:tcPr>
                            <w:tcW w:w="1894" w:type="dxa"/>
                          </w:tcPr>
                          <w:p w14:paraId="0D81BE25" w14:textId="77777777" w:rsidR="001F3ACE" w:rsidRDefault="001F3ACE">
                            <w:pPr>
                              <w:pStyle w:val="TableParagraph"/>
                              <w:spacing w:before="25"/>
                              <w:ind w:right="397"/>
                              <w:jc w:val="right"/>
                              <w:rPr>
                                <w:b/>
                                <w:sz w:val="18"/>
                              </w:rPr>
                            </w:pPr>
                            <w:r>
                              <w:rPr>
                                <w:b/>
                                <w:sz w:val="18"/>
                              </w:rPr>
                              <w:t>10,319</w:t>
                            </w:r>
                          </w:p>
                        </w:tc>
                        <w:tc>
                          <w:tcPr>
                            <w:tcW w:w="980" w:type="dxa"/>
                          </w:tcPr>
                          <w:p w14:paraId="45683794" w14:textId="77777777" w:rsidR="001F3ACE" w:rsidRDefault="001F3ACE">
                            <w:pPr>
                              <w:pStyle w:val="TableParagraph"/>
                              <w:spacing w:before="25"/>
                              <w:ind w:left="342"/>
                              <w:rPr>
                                <w:sz w:val="18"/>
                              </w:rPr>
                            </w:pPr>
                            <w:r>
                              <w:rPr>
                                <w:sz w:val="18"/>
                              </w:rPr>
                              <w:t>10,687</w:t>
                            </w:r>
                          </w:p>
                        </w:tc>
                      </w:tr>
                      <w:tr w:rsidR="001F3ACE" w14:paraId="057856CE" w14:textId="77777777">
                        <w:trPr>
                          <w:trHeight w:val="265"/>
                        </w:trPr>
                        <w:tc>
                          <w:tcPr>
                            <w:tcW w:w="409" w:type="dxa"/>
                          </w:tcPr>
                          <w:p w14:paraId="24F387D9" w14:textId="77777777" w:rsidR="001F3ACE" w:rsidRDefault="001F3ACE">
                            <w:pPr>
                              <w:pStyle w:val="TableParagraph"/>
                              <w:rPr>
                                <w:rFonts w:ascii="Times New Roman"/>
                                <w:sz w:val="18"/>
                              </w:rPr>
                            </w:pPr>
                          </w:p>
                        </w:tc>
                        <w:tc>
                          <w:tcPr>
                            <w:tcW w:w="2837" w:type="dxa"/>
                          </w:tcPr>
                          <w:p w14:paraId="2DAF6819" w14:textId="77777777" w:rsidR="001F3ACE" w:rsidRDefault="001F3ACE">
                            <w:pPr>
                              <w:pStyle w:val="TableParagraph"/>
                              <w:spacing w:before="28"/>
                              <w:ind w:left="63"/>
                              <w:rPr>
                                <w:sz w:val="18"/>
                              </w:rPr>
                            </w:pPr>
                            <w:r>
                              <w:rPr>
                                <w:sz w:val="18"/>
                              </w:rPr>
                              <w:t>Loan repayments paid</w:t>
                            </w:r>
                          </w:p>
                        </w:tc>
                        <w:tc>
                          <w:tcPr>
                            <w:tcW w:w="1186" w:type="dxa"/>
                          </w:tcPr>
                          <w:p w14:paraId="3D395FDF" w14:textId="77777777" w:rsidR="001F3ACE" w:rsidRDefault="001F3ACE">
                            <w:pPr>
                              <w:pStyle w:val="TableParagraph"/>
                              <w:spacing w:before="23"/>
                              <w:ind w:right="199"/>
                              <w:jc w:val="right"/>
                              <w:rPr>
                                <w:sz w:val="18"/>
                              </w:rPr>
                            </w:pPr>
                            <w:r>
                              <w:rPr>
                                <w:sz w:val="18"/>
                              </w:rPr>
                              <w:t>24</w:t>
                            </w:r>
                          </w:p>
                        </w:tc>
                        <w:tc>
                          <w:tcPr>
                            <w:tcW w:w="168" w:type="dxa"/>
                          </w:tcPr>
                          <w:p w14:paraId="5D1FD137" w14:textId="77777777" w:rsidR="001F3ACE" w:rsidRDefault="001F3ACE">
                            <w:pPr>
                              <w:pStyle w:val="TableParagraph"/>
                              <w:rPr>
                                <w:rFonts w:ascii="Times New Roman"/>
                                <w:sz w:val="18"/>
                              </w:rPr>
                            </w:pPr>
                          </w:p>
                        </w:tc>
                        <w:tc>
                          <w:tcPr>
                            <w:tcW w:w="2475" w:type="dxa"/>
                            <w:gridSpan w:val="2"/>
                          </w:tcPr>
                          <w:p w14:paraId="28AA17B4" w14:textId="77777777" w:rsidR="001F3ACE" w:rsidRDefault="001F3ACE">
                            <w:pPr>
                              <w:pStyle w:val="TableParagraph"/>
                              <w:spacing w:before="25"/>
                              <w:ind w:right="113"/>
                              <w:jc w:val="center"/>
                              <w:rPr>
                                <w:b/>
                                <w:sz w:val="18"/>
                              </w:rPr>
                            </w:pPr>
                            <w:r>
                              <w:rPr>
                                <w:b/>
                                <w:sz w:val="18"/>
                              </w:rPr>
                              <w:t>-</w:t>
                            </w:r>
                          </w:p>
                        </w:tc>
                        <w:tc>
                          <w:tcPr>
                            <w:tcW w:w="1894" w:type="dxa"/>
                          </w:tcPr>
                          <w:p w14:paraId="205C1D5F" w14:textId="77777777" w:rsidR="001F3ACE" w:rsidRDefault="001F3ACE">
                            <w:pPr>
                              <w:pStyle w:val="TableParagraph"/>
                              <w:spacing w:before="25"/>
                              <w:ind w:right="336"/>
                              <w:jc w:val="right"/>
                              <w:rPr>
                                <w:b/>
                                <w:sz w:val="18"/>
                              </w:rPr>
                            </w:pPr>
                            <w:r>
                              <w:rPr>
                                <w:b/>
                                <w:sz w:val="18"/>
                              </w:rPr>
                              <w:t>(7,723)</w:t>
                            </w:r>
                          </w:p>
                        </w:tc>
                        <w:tc>
                          <w:tcPr>
                            <w:tcW w:w="980" w:type="dxa"/>
                          </w:tcPr>
                          <w:p w14:paraId="08DF9C35" w14:textId="77777777" w:rsidR="001F3ACE" w:rsidRDefault="001F3ACE">
                            <w:pPr>
                              <w:pStyle w:val="TableParagraph"/>
                              <w:spacing w:before="25"/>
                              <w:ind w:right="20"/>
                              <w:jc w:val="right"/>
                              <w:rPr>
                                <w:sz w:val="18"/>
                              </w:rPr>
                            </w:pPr>
                            <w:r>
                              <w:rPr>
                                <w:sz w:val="18"/>
                              </w:rPr>
                              <w:t>(8,913)</w:t>
                            </w:r>
                          </w:p>
                        </w:tc>
                      </w:tr>
                      <w:tr w:rsidR="001F3ACE" w14:paraId="5F078D77" w14:textId="77777777">
                        <w:trPr>
                          <w:trHeight w:val="256"/>
                        </w:trPr>
                        <w:tc>
                          <w:tcPr>
                            <w:tcW w:w="409" w:type="dxa"/>
                          </w:tcPr>
                          <w:p w14:paraId="74A6BD21" w14:textId="77777777" w:rsidR="001F3ACE" w:rsidRDefault="001F3ACE">
                            <w:pPr>
                              <w:pStyle w:val="TableParagraph"/>
                              <w:rPr>
                                <w:rFonts w:ascii="Times New Roman"/>
                                <w:sz w:val="18"/>
                              </w:rPr>
                            </w:pPr>
                          </w:p>
                        </w:tc>
                        <w:tc>
                          <w:tcPr>
                            <w:tcW w:w="2837" w:type="dxa"/>
                          </w:tcPr>
                          <w:p w14:paraId="3BB27FD8" w14:textId="77777777" w:rsidR="001F3ACE" w:rsidRDefault="001F3ACE">
                            <w:pPr>
                              <w:pStyle w:val="TableParagraph"/>
                              <w:spacing w:before="26"/>
                              <w:ind w:left="63"/>
                              <w:rPr>
                                <w:sz w:val="18"/>
                              </w:rPr>
                            </w:pPr>
                            <w:r>
                              <w:rPr>
                                <w:sz w:val="18"/>
                              </w:rPr>
                              <w:t>Interest charged</w:t>
                            </w:r>
                          </w:p>
                        </w:tc>
                        <w:tc>
                          <w:tcPr>
                            <w:tcW w:w="1186" w:type="dxa"/>
                          </w:tcPr>
                          <w:p w14:paraId="49DF47D3" w14:textId="77777777" w:rsidR="001F3ACE" w:rsidRDefault="001F3ACE">
                            <w:pPr>
                              <w:pStyle w:val="TableParagraph"/>
                              <w:rPr>
                                <w:rFonts w:ascii="Times New Roman"/>
                                <w:sz w:val="18"/>
                              </w:rPr>
                            </w:pPr>
                          </w:p>
                        </w:tc>
                        <w:tc>
                          <w:tcPr>
                            <w:tcW w:w="168" w:type="dxa"/>
                            <w:tcBorders>
                              <w:bottom w:val="single" w:sz="8" w:space="0" w:color="000000"/>
                            </w:tcBorders>
                          </w:tcPr>
                          <w:p w14:paraId="15D35900" w14:textId="77777777" w:rsidR="001F3ACE" w:rsidRDefault="001F3ACE">
                            <w:pPr>
                              <w:pStyle w:val="TableParagraph"/>
                              <w:rPr>
                                <w:rFonts w:ascii="Times New Roman"/>
                                <w:sz w:val="18"/>
                              </w:rPr>
                            </w:pPr>
                          </w:p>
                        </w:tc>
                        <w:tc>
                          <w:tcPr>
                            <w:tcW w:w="2475" w:type="dxa"/>
                            <w:gridSpan w:val="2"/>
                            <w:tcBorders>
                              <w:bottom w:val="single" w:sz="8" w:space="0" w:color="000000"/>
                            </w:tcBorders>
                          </w:tcPr>
                          <w:p w14:paraId="680A0554" w14:textId="77777777" w:rsidR="001F3ACE" w:rsidRDefault="001F3ACE">
                            <w:pPr>
                              <w:pStyle w:val="TableParagraph"/>
                              <w:spacing w:before="24"/>
                              <w:ind w:right="113"/>
                              <w:jc w:val="center"/>
                              <w:rPr>
                                <w:b/>
                                <w:sz w:val="18"/>
                              </w:rPr>
                            </w:pPr>
                            <w:r>
                              <w:rPr>
                                <w:b/>
                                <w:sz w:val="18"/>
                              </w:rPr>
                              <w:t>-</w:t>
                            </w:r>
                          </w:p>
                        </w:tc>
                        <w:tc>
                          <w:tcPr>
                            <w:tcW w:w="1894" w:type="dxa"/>
                            <w:tcBorders>
                              <w:bottom w:val="single" w:sz="8" w:space="0" w:color="000000"/>
                            </w:tcBorders>
                          </w:tcPr>
                          <w:p w14:paraId="637B476C" w14:textId="77777777" w:rsidR="001F3ACE" w:rsidRDefault="001F3ACE">
                            <w:pPr>
                              <w:pStyle w:val="TableParagraph"/>
                              <w:spacing w:before="24"/>
                              <w:ind w:right="397"/>
                              <w:jc w:val="right"/>
                              <w:rPr>
                                <w:b/>
                                <w:sz w:val="18"/>
                              </w:rPr>
                            </w:pPr>
                            <w:r>
                              <w:rPr>
                                <w:b/>
                                <w:sz w:val="18"/>
                              </w:rPr>
                              <w:t>234</w:t>
                            </w:r>
                          </w:p>
                        </w:tc>
                        <w:tc>
                          <w:tcPr>
                            <w:tcW w:w="980" w:type="dxa"/>
                            <w:tcBorders>
                              <w:bottom w:val="single" w:sz="8" w:space="0" w:color="000000"/>
                            </w:tcBorders>
                          </w:tcPr>
                          <w:p w14:paraId="0B6FE742" w14:textId="77777777" w:rsidR="001F3ACE" w:rsidRDefault="001F3ACE">
                            <w:pPr>
                              <w:pStyle w:val="TableParagraph"/>
                              <w:spacing w:before="24"/>
                              <w:ind w:right="81"/>
                              <w:jc w:val="right"/>
                              <w:rPr>
                                <w:sz w:val="18"/>
                              </w:rPr>
                            </w:pPr>
                            <w:r>
                              <w:rPr>
                                <w:sz w:val="18"/>
                              </w:rPr>
                              <w:t>199</w:t>
                            </w:r>
                          </w:p>
                        </w:tc>
                      </w:tr>
                      <w:tr w:rsidR="001F3ACE" w14:paraId="59C80D8C" w14:textId="77777777">
                        <w:trPr>
                          <w:trHeight w:val="337"/>
                        </w:trPr>
                        <w:tc>
                          <w:tcPr>
                            <w:tcW w:w="409" w:type="dxa"/>
                          </w:tcPr>
                          <w:p w14:paraId="3FCAFACD" w14:textId="77777777" w:rsidR="001F3ACE" w:rsidRDefault="001F3ACE">
                            <w:pPr>
                              <w:pStyle w:val="TableParagraph"/>
                              <w:rPr>
                                <w:rFonts w:ascii="Times New Roman"/>
                                <w:sz w:val="18"/>
                              </w:rPr>
                            </w:pPr>
                          </w:p>
                        </w:tc>
                        <w:tc>
                          <w:tcPr>
                            <w:tcW w:w="2837" w:type="dxa"/>
                          </w:tcPr>
                          <w:p w14:paraId="69046BE1" w14:textId="77777777" w:rsidR="001F3ACE" w:rsidRDefault="001F3ACE">
                            <w:pPr>
                              <w:pStyle w:val="TableParagraph"/>
                              <w:spacing w:before="115" w:line="202" w:lineRule="exact"/>
                              <w:ind w:left="63"/>
                              <w:rPr>
                                <w:b/>
                                <w:sz w:val="18"/>
                              </w:rPr>
                            </w:pPr>
                            <w:r>
                              <w:rPr>
                                <w:b/>
                                <w:sz w:val="18"/>
                              </w:rPr>
                              <w:t>End of year</w:t>
                            </w:r>
                          </w:p>
                        </w:tc>
                        <w:tc>
                          <w:tcPr>
                            <w:tcW w:w="1186" w:type="dxa"/>
                          </w:tcPr>
                          <w:p w14:paraId="69AB75AC" w14:textId="77777777" w:rsidR="001F3ACE" w:rsidRDefault="001F3ACE">
                            <w:pPr>
                              <w:pStyle w:val="TableParagraph"/>
                              <w:rPr>
                                <w:rFonts w:ascii="Times New Roman"/>
                                <w:sz w:val="18"/>
                              </w:rPr>
                            </w:pPr>
                          </w:p>
                        </w:tc>
                        <w:tc>
                          <w:tcPr>
                            <w:tcW w:w="168" w:type="dxa"/>
                            <w:tcBorders>
                              <w:top w:val="single" w:sz="8" w:space="0" w:color="000000"/>
                              <w:bottom w:val="double" w:sz="2" w:space="0" w:color="000000"/>
                            </w:tcBorders>
                          </w:tcPr>
                          <w:p w14:paraId="71CE26A4" w14:textId="77777777" w:rsidR="001F3ACE" w:rsidRDefault="001F3ACE">
                            <w:pPr>
                              <w:pStyle w:val="TableParagraph"/>
                              <w:rPr>
                                <w:rFonts w:ascii="Times New Roman"/>
                                <w:sz w:val="18"/>
                              </w:rPr>
                            </w:pPr>
                          </w:p>
                        </w:tc>
                        <w:tc>
                          <w:tcPr>
                            <w:tcW w:w="2475" w:type="dxa"/>
                            <w:gridSpan w:val="2"/>
                            <w:tcBorders>
                              <w:top w:val="single" w:sz="8" w:space="0" w:color="000000"/>
                              <w:bottom w:val="single" w:sz="6" w:space="0" w:color="000000"/>
                            </w:tcBorders>
                          </w:tcPr>
                          <w:p w14:paraId="0CAD55A5" w14:textId="77777777" w:rsidR="001F3ACE" w:rsidRDefault="001F3ACE">
                            <w:pPr>
                              <w:pStyle w:val="TableParagraph"/>
                              <w:spacing w:before="115" w:line="202" w:lineRule="exact"/>
                              <w:ind w:right="113"/>
                              <w:jc w:val="center"/>
                              <w:rPr>
                                <w:b/>
                                <w:sz w:val="18"/>
                              </w:rPr>
                            </w:pPr>
                            <w:r>
                              <w:rPr>
                                <w:b/>
                                <w:sz w:val="18"/>
                              </w:rPr>
                              <w:t>-</w:t>
                            </w:r>
                          </w:p>
                        </w:tc>
                        <w:tc>
                          <w:tcPr>
                            <w:tcW w:w="1894" w:type="dxa"/>
                            <w:tcBorders>
                              <w:top w:val="single" w:sz="8" w:space="0" w:color="000000"/>
                              <w:bottom w:val="single" w:sz="6" w:space="0" w:color="000000"/>
                            </w:tcBorders>
                          </w:tcPr>
                          <w:p w14:paraId="70BB5C5A" w14:textId="77777777" w:rsidR="001F3ACE" w:rsidRDefault="001F3ACE">
                            <w:pPr>
                              <w:pStyle w:val="TableParagraph"/>
                              <w:spacing w:before="115" w:line="202" w:lineRule="exact"/>
                              <w:ind w:right="397"/>
                              <w:jc w:val="right"/>
                              <w:rPr>
                                <w:b/>
                                <w:sz w:val="18"/>
                              </w:rPr>
                            </w:pPr>
                            <w:r>
                              <w:rPr>
                                <w:b/>
                                <w:sz w:val="18"/>
                              </w:rPr>
                              <w:t>12,031</w:t>
                            </w:r>
                          </w:p>
                        </w:tc>
                        <w:tc>
                          <w:tcPr>
                            <w:tcW w:w="980" w:type="dxa"/>
                            <w:tcBorders>
                              <w:top w:val="single" w:sz="8" w:space="0" w:color="000000"/>
                              <w:bottom w:val="single" w:sz="6" w:space="0" w:color="000000"/>
                            </w:tcBorders>
                          </w:tcPr>
                          <w:p w14:paraId="5ED2D87D" w14:textId="77777777" w:rsidR="001F3ACE" w:rsidRDefault="001F3ACE">
                            <w:pPr>
                              <w:pStyle w:val="TableParagraph"/>
                              <w:spacing w:before="115" w:line="202" w:lineRule="exact"/>
                              <w:ind w:right="81"/>
                              <w:jc w:val="right"/>
                              <w:rPr>
                                <w:sz w:val="18"/>
                              </w:rPr>
                            </w:pPr>
                            <w:r>
                              <w:rPr>
                                <w:sz w:val="18"/>
                              </w:rPr>
                              <w:t>9,201</w:t>
                            </w:r>
                          </w:p>
                        </w:tc>
                      </w:tr>
                      <w:tr w:rsidR="001F3ACE" w14:paraId="4F14BE0E" w14:textId="77777777">
                        <w:trPr>
                          <w:trHeight w:val="501"/>
                        </w:trPr>
                        <w:tc>
                          <w:tcPr>
                            <w:tcW w:w="409" w:type="dxa"/>
                          </w:tcPr>
                          <w:p w14:paraId="6ABCA167" w14:textId="77777777" w:rsidR="001F3ACE" w:rsidRDefault="001F3ACE">
                            <w:pPr>
                              <w:pStyle w:val="TableParagraph"/>
                              <w:spacing w:before="7"/>
                              <w:rPr>
                                <w:sz w:val="25"/>
                              </w:rPr>
                            </w:pPr>
                          </w:p>
                          <w:p w14:paraId="6188DBAF" w14:textId="77777777" w:rsidR="001F3ACE" w:rsidRDefault="001F3ACE">
                            <w:pPr>
                              <w:pStyle w:val="TableParagraph"/>
                              <w:spacing w:line="187" w:lineRule="exact"/>
                              <w:ind w:left="50"/>
                              <w:rPr>
                                <w:b/>
                                <w:sz w:val="18"/>
                              </w:rPr>
                            </w:pPr>
                            <w:r>
                              <w:rPr>
                                <w:b/>
                                <w:sz w:val="18"/>
                              </w:rPr>
                              <w:t>(f)</w:t>
                            </w:r>
                          </w:p>
                        </w:tc>
                        <w:tc>
                          <w:tcPr>
                            <w:tcW w:w="2837" w:type="dxa"/>
                          </w:tcPr>
                          <w:p w14:paraId="5A60BEA9" w14:textId="77777777" w:rsidR="001F3ACE" w:rsidRDefault="001F3ACE">
                            <w:pPr>
                              <w:pStyle w:val="TableParagraph"/>
                              <w:spacing w:before="7"/>
                              <w:rPr>
                                <w:sz w:val="25"/>
                              </w:rPr>
                            </w:pPr>
                          </w:p>
                          <w:p w14:paraId="4C7F3D6C" w14:textId="77777777" w:rsidR="001F3ACE" w:rsidRDefault="001F3ACE">
                            <w:pPr>
                              <w:pStyle w:val="TableParagraph"/>
                              <w:spacing w:line="187" w:lineRule="exact"/>
                              <w:ind w:left="37"/>
                              <w:rPr>
                                <w:b/>
                                <w:sz w:val="18"/>
                              </w:rPr>
                            </w:pPr>
                            <w:r>
                              <w:rPr>
                                <w:b/>
                                <w:sz w:val="18"/>
                              </w:rPr>
                              <w:t>Outstanding balances</w:t>
                            </w:r>
                          </w:p>
                        </w:tc>
                        <w:tc>
                          <w:tcPr>
                            <w:tcW w:w="1186" w:type="dxa"/>
                          </w:tcPr>
                          <w:p w14:paraId="486444E1" w14:textId="77777777" w:rsidR="001F3ACE" w:rsidRDefault="001F3ACE">
                            <w:pPr>
                              <w:pStyle w:val="TableParagraph"/>
                              <w:rPr>
                                <w:rFonts w:ascii="Times New Roman"/>
                                <w:sz w:val="18"/>
                              </w:rPr>
                            </w:pPr>
                          </w:p>
                        </w:tc>
                        <w:tc>
                          <w:tcPr>
                            <w:tcW w:w="168" w:type="dxa"/>
                            <w:tcBorders>
                              <w:top w:val="double" w:sz="2" w:space="0" w:color="000000"/>
                            </w:tcBorders>
                          </w:tcPr>
                          <w:p w14:paraId="49B3541D" w14:textId="77777777" w:rsidR="001F3ACE" w:rsidRDefault="001F3ACE">
                            <w:pPr>
                              <w:pStyle w:val="TableParagraph"/>
                              <w:rPr>
                                <w:rFonts w:ascii="Times New Roman"/>
                                <w:sz w:val="18"/>
                              </w:rPr>
                            </w:pPr>
                          </w:p>
                        </w:tc>
                        <w:tc>
                          <w:tcPr>
                            <w:tcW w:w="2475" w:type="dxa"/>
                            <w:gridSpan w:val="2"/>
                            <w:tcBorders>
                              <w:top w:val="single" w:sz="6" w:space="0" w:color="000000"/>
                            </w:tcBorders>
                          </w:tcPr>
                          <w:p w14:paraId="7FAEB758" w14:textId="77777777" w:rsidR="001F3ACE" w:rsidRDefault="001F3ACE">
                            <w:pPr>
                              <w:pStyle w:val="TableParagraph"/>
                              <w:rPr>
                                <w:rFonts w:ascii="Times New Roman"/>
                                <w:sz w:val="18"/>
                              </w:rPr>
                            </w:pPr>
                          </w:p>
                        </w:tc>
                        <w:tc>
                          <w:tcPr>
                            <w:tcW w:w="1894" w:type="dxa"/>
                            <w:tcBorders>
                              <w:top w:val="single" w:sz="6" w:space="0" w:color="000000"/>
                            </w:tcBorders>
                          </w:tcPr>
                          <w:p w14:paraId="6CBCB0DD" w14:textId="77777777" w:rsidR="001F3ACE" w:rsidRDefault="001F3ACE">
                            <w:pPr>
                              <w:pStyle w:val="TableParagraph"/>
                              <w:rPr>
                                <w:rFonts w:ascii="Times New Roman"/>
                                <w:sz w:val="18"/>
                              </w:rPr>
                            </w:pPr>
                          </w:p>
                        </w:tc>
                        <w:tc>
                          <w:tcPr>
                            <w:tcW w:w="980" w:type="dxa"/>
                            <w:tcBorders>
                              <w:top w:val="single" w:sz="6" w:space="0" w:color="000000"/>
                            </w:tcBorders>
                          </w:tcPr>
                          <w:p w14:paraId="1DD9FEE8" w14:textId="77777777" w:rsidR="001F3ACE" w:rsidRDefault="001F3ACE">
                            <w:pPr>
                              <w:pStyle w:val="TableParagraph"/>
                              <w:rPr>
                                <w:rFonts w:ascii="Times New Roman"/>
                                <w:sz w:val="18"/>
                              </w:rPr>
                            </w:pPr>
                          </w:p>
                        </w:tc>
                      </w:tr>
                    </w:tbl>
                    <w:p w14:paraId="69CC0CA1" w14:textId="77777777" w:rsidR="001F3ACE" w:rsidRDefault="001F3ACE">
                      <w:pPr>
                        <w:pStyle w:val="BodyText"/>
                      </w:pPr>
                    </w:p>
                  </w:txbxContent>
                </v:textbox>
                <w10:wrap anchorx="page"/>
              </v:shape>
            </w:pict>
          </mc:Fallback>
        </mc:AlternateContent>
      </w:r>
      <w:r w:rsidR="0015611F">
        <w:t>-</w:t>
      </w:r>
    </w:p>
    <w:p w14:paraId="4B115564" w14:textId="77777777" w:rsidR="00FA4AA8" w:rsidRDefault="0015611F">
      <w:pPr>
        <w:pStyle w:val="BodyText"/>
        <w:spacing w:before="57"/>
        <w:ind w:right="2959"/>
        <w:jc w:val="right"/>
      </w:pPr>
      <w:r>
        <w:t>-</w:t>
      </w:r>
    </w:p>
    <w:p w14:paraId="7305CC25" w14:textId="77777777" w:rsidR="00FA4AA8" w:rsidRDefault="0015611F">
      <w:pPr>
        <w:pStyle w:val="BodyText"/>
        <w:spacing w:before="57"/>
        <w:ind w:right="2959"/>
        <w:jc w:val="right"/>
      </w:pPr>
      <w:r>
        <w:t>-</w:t>
      </w:r>
    </w:p>
    <w:p w14:paraId="40759A15" w14:textId="77777777" w:rsidR="00FA4AA8" w:rsidRDefault="0015611F">
      <w:pPr>
        <w:pStyle w:val="BodyText"/>
        <w:spacing w:before="57"/>
        <w:ind w:right="2959"/>
        <w:jc w:val="right"/>
      </w:pPr>
      <w:r>
        <w:t>-</w:t>
      </w:r>
    </w:p>
    <w:p w14:paraId="7AA4EE2B" w14:textId="77777777" w:rsidR="00FA4AA8" w:rsidRDefault="0015611F">
      <w:pPr>
        <w:pStyle w:val="BodyText"/>
        <w:spacing w:before="57"/>
        <w:ind w:right="2959"/>
        <w:jc w:val="right"/>
      </w:pPr>
      <w:r>
        <w:t>-</w:t>
      </w:r>
    </w:p>
    <w:p w14:paraId="2451DFF5" w14:textId="77777777" w:rsidR="00FA4AA8" w:rsidRDefault="0015611F">
      <w:pPr>
        <w:pStyle w:val="BodyText"/>
        <w:spacing w:before="57"/>
        <w:ind w:right="2959"/>
        <w:jc w:val="right"/>
      </w:pPr>
      <w:r>
        <w:t>-</w:t>
      </w:r>
    </w:p>
    <w:p w14:paraId="7409890D" w14:textId="77777777" w:rsidR="00FA4AA8" w:rsidRDefault="0015611F">
      <w:pPr>
        <w:pStyle w:val="BodyText"/>
        <w:spacing w:before="160"/>
        <w:ind w:right="2959"/>
        <w:jc w:val="right"/>
      </w:pPr>
      <w:r>
        <w:t>-</w:t>
      </w:r>
    </w:p>
    <w:p w14:paraId="2CDBA9C4" w14:textId="77777777" w:rsidR="00FA4AA8" w:rsidRDefault="00FA4AA8">
      <w:pPr>
        <w:pStyle w:val="BodyText"/>
        <w:rPr>
          <w:sz w:val="20"/>
        </w:rPr>
      </w:pPr>
    </w:p>
    <w:p w14:paraId="020C895E" w14:textId="77777777" w:rsidR="00FA4AA8" w:rsidRDefault="0015611F">
      <w:pPr>
        <w:pStyle w:val="BodyText"/>
        <w:spacing w:before="165"/>
        <w:ind w:right="2959"/>
        <w:jc w:val="right"/>
      </w:pPr>
      <w:r>
        <w:t>-</w:t>
      </w:r>
    </w:p>
    <w:p w14:paraId="35FE815D" w14:textId="77777777" w:rsidR="00FA4AA8" w:rsidRDefault="0015611F">
      <w:pPr>
        <w:pStyle w:val="BodyText"/>
        <w:spacing w:before="57"/>
        <w:ind w:right="2959"/>
        <w:jc w:val="right"/>
      </w:pPr>
      <w:bookmarkStart w:id="71" w:name="(f)_Outstanding_balances"/>
      <w:bookmarkEnd w:id="71"/>
      <w:r>
        <w:t>-</w:t>
      </w:r>
    </w:p>
    <w:p w14:paraId="7FB598B0" w14:textId="77777777" w:rsidR="00FA4AA8" w:rsidRDefault="0015611F">
      <w:pPr>
        <w:pStyle w:val="BodyText"/>
        <w:spacing w:before="57"/>
        <w:ind w:right="2959"/>
        <w:jc w:val="right"/>
      </w:pPr>
      <w:r>
        <w:t>-</w:t>
      </w:r>
    </w:p>
    <w:p w14:paraId="74AF88DA" w14:textId="77777777" w:rsidR="00FA4AA8" w:rsidRDefault="0015611F">
      <w:pPr>
        <w:pStyle w:val="BodyText"/>
        <w:spacing w:before="57"/>
        <w:ind w:right="2959"/>
        <w:jc w:val="right"/>
      </w:pPr>
      <w:r>
        <w:t>-</w:t>
      </w:r>
    </w:p>
    <w:p w14:paraId="0D220936" w14:textId="77777777" w:rsidR="00FA4AA8" w:rsidRDefault="0015611F">
      <w:pPr>
        <w:pStyle w:val="BodyText"/>
        <w:spacing w:before="161"/>
        <w:ind w:right="2959"/>
        <w:jc w:val="right"/>
      </w:pPr>
      <w:r>
        <w:t>-</w:t>
      </w:r>
    </w:p>
    <w:p w14:paraId="6DC81363" w14:textId="77777777" w:rsidR="00FA4AA8" w:rsidRDefault="00FA4AA8">
      <w:pPr>
        <w:pStyle w:val="BodyText"/>
        <w:rPr>
          <w:sz w:val="20"/>
        </w:rPr>
      </w:pPr>
    </w:p>
    <w:p w14:paraId="2F9CB4B4" w14:textId="77777777" w:rsidR="00FA4AA8" w:rsidRDefault="00FA4AA8">
      <w:pPr>
        <w:pStyle w:val="BodyText"/>
        <w:rPr>
          <w:sz w:val="20"/>
        </w:rPr>
      </w:pPr>
    </w:p>
    <w:p w14:paraId="29CD1B0F" w14:textId="77777777" w:rsidR="00FA4AA8" w:rsidRDefault="00FA4AA8">
      <w:pPr>
        <w:pStyle w:val="BodyText"/>
        <w:rPr>
          <w:sz w:val="20"/>
        </w:rPr>
      </w:pPr>
    </w:p>
    <w:p w14:paraId="3C93D4BC" w14:textId="77777777" w:rsidR="00FA4AA8" w:rsidRDefault="0015611F">
      <w:pPr>
        <w:pStyle w:val="BodyText"/>
        <w:spacing w:before="163"/>
        <w:ind w:right="1117"/>
        <w:jc w:val="right"/>
      </w:pPr>
      <w:r>
        <w:t>The following balances are outstanding at the reporting date in relation to transactions with related</w:t>
      </w:r>
      <w:r>
        <w:rPr>
          <w:spacing w:val="15"/>
        </w:rPr>
        <w:t xml:space="preserve"> </w:t>
      </w:r>
      <w:r>
        <w:t>parties:</w:t>
      </w:r>
    </w:p>
    <w:p w14:paraId="0E54F250" w14:textId="77777777" w:rsidR="00FA4AA8" w:rsidRDefault="0015611F">
      <w:pPr>
        <w:tabs>
          <w:tab w:val="left" w:pos="2723"/>
        </w:tabs>
        <w:spacing w:before="33"/>
        <w:ind w:right="1029"/>
        <w:jc w:val="right"/>
        <w:rPr>
          <w:b/>
          <w:sz w:val="18"/>
        </w:rPr>
      </w:pPr>
      <w:r>
        <w:rPr>
          <w:b/>
          <w:sz w:val="18"/>
        </w:rPr>
        <w:t>Consolidated</w:t>
      </w:r>
      <w:r>
        <w:rPr>
          <w:b/>
          <w:sz w:val="18"/>
        </w:rPr>
        <w:tab/>
      </w:r>
      <w:r>
        <w:rPr>
          <w:b/>
          <w:spacing w:val="-1"/>
          <w:sz w:val="18"/>
        </w:rPr>
        <w:t>Parent</w:t>
      </w:r>
    </w:p>
    <w:p w14:paraId="6BE09B83" w14:textId="77777777" w:rsidR="00FA4AA8" w:rsidRDefault="00FA4AA8">
      <w:pPr>
        <w:pStyle w:val="BodyText"/>
        <w:spacing w:before="4"/>
        <w:rPr>
          <w:b/>
          <w:sz w:val="6"/>
        </w:rPr>
      </w:pPr>
    </w:p>
    <w:tbl>
      <w:tblPr>
        <w:tblW w:w="0" w:type="auto"/>
        <w:tblInd w:w="547" w:type="dxa"/>
        <w:tblLayout w:type="fixed"/>
        <w:tblCellMar>
          <w:left w:w="0" w:type="dxa"/>
          <w:right w:w="0" w:type="dxa"/>
        </w:tblCellMar>
        <w:tblLook w:val="01E0" w:firstRow="1" w:lastRow="1" w:firstColumn="1" w:lastColumn="1" w:noHBand="0" w:noVBand="0"/>
      </w:tblPr>
      <w:tblGrid>
        <w:gridCol w:w="3872"/>
        <w:gridCol w:w="1846"/>
        <w:gridCol w:w="1268"/>
        <w:gridCol w:w="1540"/>
        <w:gridCol w:w="974"/>
      </w:tblGrid>
      <w:tr w:rsidR="00FA4AA8" w14:paraId="1737B742" w14:textId="77777777">
        <w:trPr>
          <w:trHeight w:val="800"/>
        </w:trPr>
        <w:tc>
          <w:tcPr>
            <w:tcW w:w="3872" w:type="dxa"/>
          </w:tcPr>
          <w:p w14:paraId="22BAD020" w14:textId="77777777" w:rsidR="00FA4AA8" w:rsidRDefault="00FA4AA8">
            <w:pPr>
              <w:pStyle w:val="TableParagraph"/>
              <w:rPr>
                <w:b/>
                <w:sz w:val="20"/>
              </w:rPr>
            </w:pPr>
          </w:p>
          <w:p w14:paraId="73CF25E0" w14:textId="77777777" w:rsidR="00FA4AA8" w:rsidRDefault="00FA4AA8">
            <w:pPr>
              <w:pStyle w:val="TableParagraph"/>
              <w:spacing w:before="10"/>
              <w:rPr>
                <w:b/>
                <w:sz w:val="28"/>
              </w:rPr>
            </w:pPr>
          </w:p>
          <w:p w14:paraId="6CED02CD" w14:textId="77777777" w:rsidR="00FA4AA8" w:rsidRDefault="0015611F">
            <w:pPr>
              <w:pStyle w:val="TableParagraph"/>
              <w:spacing w:before="1"/>
              <w:ind w:left="50"/>
              <w:rPr>
                <w:sz w:val="18"/>
              </w:rPr>
            </w:pPr>
            <w:r>
              <w:rPr>
                <w:sz w:val="18"/>
              </w:rPr>
              <w:t>Current receivables (loans)</w:t>
            </w:r>
          </w:p>
        </w:tc>
        <w:tc>
          <w:tcPr>
            <w:tcW w:w="1846" w:type="dxa"/>
          </w:tcPr>
          <w:p w14:paraId="5B915933" w14:textId="77777777" w:rsidR="00FA4AA8" w:rsidRDefault="0015611F">
            <w:pPr>
              <w:pStyle w:val="TableParagraph"/>
              <w:spacing w:line="201" w:lineRule="exact"/>
              <w:ind w:right="124"/>
              <w:jc w:val="right"/>
              <w:rPr>
                <w:b/>
                <w:sz w:val="18"/>
              </w:rPr>
            </w:pPr>
            <w:r>
              <w:rPr>
                <w:b/>
                <w:sz w:val="18"/>
              </w:rPr>
              <w:t>2018</w:t>
            </w:r>
          </w:p>
          <w:p w14:paraId="7217D490" w14:textId="77777777" w:rsidR="00FA4AA8" w:rsidRDefault="0015611F">
            <w:pPr>
              <w:pStyle w:val="TableParagraph"/>
              <w:spacing w:before="66"/>
              <w:ind w:right="103"/>
              <w:jc w:val="right"/>
              <w:rPr>
                <w:b/>
                <w:sz w:val="18"/>
              </w:rPr>
            </w:pPr>
            <w:r>
              <w:rPr>
                <w:b/>
                <w:sz w:val="18"/>
              </w:rPr>
              <w:t>$'000</w:t>
            </w:r>
          </w:p>
        </w:tc>
        <w:tc>
          <w:tcPr>
            <w:tcW w:w="1268" w:type="dxa"/>
          </w:tcPr>
          <w:p w14:paraId="17428CC1" w14:textId="77777777" w:rsidR="00FA4AA8" w:rsidRDefault="0015611F">
            <w:pPr>
              <w:pStyle w:val="TableParagraph"/>
              <w:spacing w:line="201" w:lineRule="exact"/>
              <w:ind w:left="603"/>
              <w:rPr>
                <w:b/>
                <w:sz w:val="18"/>
              </w:rPr>
            </w:pPr>
            <w:r>
              <w:rPr>
                <w:b/>
                <w:sz w:val="18"/>
              </w:rPr>
              <w:t>2017</w:t>
            </w:r>
          </w:p>
          <w:p w14:paraId="6F1E8614" w14:textId="77777777" w:rsidR="00FA4AA8" w:rsidRDefault="0015611F">
            <w:pPr>
              <w:pStyle w:val="TableParagraph"/>
              <w:spacing w:before="66"/>
              <w:ind w:left="581"/>
              <w:rPr>
                <w:b/>
                <w:sz w:val="18"/>
              </w:rPr>
            </w:pPr>
            <w:r>
              <w:rPr>
                <w:b/>
                <w:sz w:val="18"/>
              </w:rPr>
              <w:t>$'000</w:t>
            </w:r>
          </w:p>
        </w:tc>
        <w:tc>
          <w:tcPr>
            <w:tcW w:w="1540" w:type="dxa"/>
          </w:tcPr>
          <w:p w14:paraId="010A8F6D" w14:textId="77777777" w:rsidR="00FA4AA8" w:rsidRDefault="0015611F">
            <w:pPr>
              <w:pStyle w:val="TableParagraph"/>
              <w:spacing w:line="201" w:lineRule="exact"/>
              <w:ind w:left="635"/>
              <w:rPr>
                <w:b/>
                <w:sz w:val="18"/>
              </w:rPr>
            </w:pPr>
            <w:r>
              <w:rPr>
                <w:b/>
                <w:sz w:val="18"/>
              </w:rPr>
              <w:t>2018</w:t>
            </w:r>
          </w:p>
          <w:p w14:paraId="0D2CFA47" w14:textId="77777777" w:rsidR="00FA4AA8" w:rsidRDefault="0015611F">
            <w:pPr>
              <w:pStyle w:val="TableParagraph"/>
              <w:spacing w:before="66"/>
              <w:ind w:left="614"/>
              <w:rPr>
                <w:b/>
                <w:sz w:val="18"/>
              </w:rPr>
            </w:pPr>
            <w:r>
              <w:rPr>
                <w:b/>
                <w:sz w:val="18"/>
              </w:rPr>
              <w:t>$'000</w:t>
            </w:r>
          </w:p>
        </w:tc>
        <w:tc>
          <w:tcPr>
            <w:tcW w:w="974" w:type="dxa"/>
          </w:tcPr>
          <w:p w14:paraId="118A39AF" w14:textId="77777777" w:rsidR="00FA4AA8" w:rsidRDefault="0015611F">
            <w:pPr>
              <w:pStyle w:val="TableParagraph"/>
              <w:spacing w:line="201" w:lineRule="exact"/>
              <w:ind w:left="228"/>
              <w:rPr>
                <w:b/>
                <w:sz w:val="18"/>
              </w:rPr>
            </w:pPr>
            <w:r>
              <w:rPr>
                <w:b/>
                <w:sz w:val="18"/>
              </w:rPr>
              <w:t>2017</w:t>
            </w:r>
          </w:p>
          <w:p w14:paraId="7ED39CEA" w14:textId="77777777" w:rsidR="00FA4AA8" w:rsidRDefault="0015611F">
            <w:pPr>
              <w:pStyle w:val="TableParagraph"/>
              <w:spacing w:before="66"/>
              <w:ind w:left="207"/>
              <w:rPr>
                <w:b/>
                <w:sz w:val="18"/>
              </w:rPr>
            </w:pPr>
            <w:r>
              <w:rPr>
                <w:b/>
                <w:sz w:val="18"/>
              </w:rPr>
              <w:t>$'000</w:t>
            </w:r>
          </w:p>
        </w:tc>
      </w:tr>
      <w:tr w:rsidR="00FA4AA8" w14:paraId="3758AF53" w14:textId="77777777">
        <w:trPr>
          <w:trHeight w:val="761"/>
        </w:trPr>
        <w:tc>
          <w:tcPr>
            <w:tcW w:w="3872" w:type="dxa"/>
          </w:tcPr>
          <w:p w14:paraId="4F7E0C9B" w14:textId="77777777" w:rsidR="00FA4AA8" w:rsidRDefault="0015611F">
            <w:pPr>
              <w:pStyle w:val="TableParagraph"/>
              <w:numPr>
                <w:ilvl w:val="0"/>
                <w:numId w:val="86"/>
              </w:numPr>
              <w:tabs>
                <w:tab w:val="left" w:pos="302"/>
              </w:tabs>
              <w:spacing w:before="26"/>
              <w:rPr>
                <w:sz w:val="18"/>
              </w:rPr>
            </w:pPr>
            <w:r>
              <w:rPr>
                <w:sz w:val="18"/>
              </w:rPr>
              <w:t>Subsidiaries</w:t>
            </w:r>
          </w:p>
          <w:p w14:paraId="31B687E7" w14:textId="77777777" w:rsidR="00FA4AA8" w:rsidRDefault="0015611F">
            <w:pPr>
              <w:pStyle w:val="TableParagraph"/>
              <w:spacing w:before="57"/>
              <w:ind w:left="50"/>
              <w:rPr>
                <w:sz w:val="18"/>
              </w:rPr>
            </w:pPr>
            <w:r>
              <w:rPr>
                <w:sz w:val="18"/>
              </w:rPr>
              <w:t>Non-current receivables (loans)</w:t>
            </w:r>
          </w:p>
          <w:p w14:paraId="42886A7B" w14:textId="77777777" w:rsidR="00FA4AA8" w:rsidRDefault="0015611F">
            <w:pPr>
              <w:pStyle w:val="TableParagraph"/>
              <w:numPr>
                <w:ilvl w:val="0"/>
                <w:numId w:val="86"/>
              </w:numPr>
              <w:tabs>
                <w:tab w:val="left" w:pos="302"/>
              </w:tabs>
              <w:spacing w:before="57" w:line="187" w:lineRule="exact"/>
              <w:rPr>
                <w:sz w:val="18"/>
              </w:rPr>
            </w:pPr>
            <w:r>
              <w:rPr>
                <w:sz w:val="18"/>
              </w:rPr>
              <w:t>Subsidiaries</w:t>
            </w:r>
          </w:p>
        </w:tc>
        <w:tc>
          <w:tcPr>
            <w:tcW w:w="1846" w:type="dxa"/>
          </w:tcPr>
          <w:p w14:paraId="0669C80E" w14:textId="77777777" w:rsidR="00FA4AA8" w:rsidRDefault="00FA4AA8">
            <w:pPr>
              <w:pStyle w:val="TableParagraph"/>
              <w:rPr>
                <w:rFonts w:ascii="Times New Roman"/>
                <w:sz w:val="18"/>
              </w:rPr>
            </w:pPr>
          </w:p>
        </w:tc>
        <w:tc>
          <w:tcPr>
            <w:tcW w:w="1268" w:type="dxa"/>
          </w:tcPr>
          <w:p w14:paraId="232C6C9F" w14:textId="77777777" w:rsidR="00FA4AA8" w:rsidRDefault="0015611F">
            <w:pPr>
              <w:pStyle w:val="TableParagraph"/>
              <w:tabs>
                <w:tab w:val="left" w:pos="1236"/>
              </w:tabs>
              <w:spacing w:before="24"/>
              <w:ind w:left="103" w:right="-29"/>
              <w:rPr>
                <w:sz w:val="18"/>
              </w:rPr>
            </w:pPr>
            <w:r>
              <w:rPr>
                <w:b/>
                <w:sz w:val="18"/>
              </w:rPr>
              <w:t>-</w:t>
            </w:r>
            <w:r>
              <w:rPr>
                <w:b/>
                <w:sz w:val="18"/>
              </w:rPr>
              <w:tab/>
            </w:r>
            <w:r>
              <w:rPr>
                <w:spacing w:val="-19"/>
                <w:sz w:val="18"/>
              </w:rPr>
              <w:t>-</w:t>
            </w:r>
          </w:p>
          <w:p w14:paraId="7A4FD7B1" w14:textId="77777777" w:rsidR="00FA4AA8" w:rsidRDefault="0015611F">
            <w:pPr>
              <w:pStyle w:val="TableParagraph"/>
              <w:tabs>
                <w:tab w:val="left" w:pos="1236"/>
              </w:tabs>
              <w:spacing w:before="57"/>
              <w:ind w:left="104" w:right="-29"/>
              <w:rPr>
                <w:sz w:val="18"/>
              </w:rPr>
            </w:pPr>
            <w:r>
              <w:rPr>
                <w:b/>
                <w:sz w:val="18"/>
              </w:rPr>
              <w:t>-</w:t>
            </w:r>
            <w:r>
              <w:rPr>
                <w:b/>
                <w:sz w:val="18"/>
              </w:rPr>
              <w:tab/>
            </w:r>
            <w:r>
              <w:rPr>
                <w:spacing w:val="-19"/>
                <w:sz w:val="18"/>
              </w:rPr>
              <w:t>-</w:t>
            </w:r>
          </w:p>
          <w:p w14:paraId="64128986" w14:textId="77777777" w:rsidR="00FA4AA8" w:rsidRDefault="0015611F">
            <w:pPr>
              <w:pStyle w:val="TableParagraph"/>
              <w:tabs>
                <w:tab w:val="left" w:pos="1236"/>
              </w:tabs>
              <w:spacing w:before="57" w:line="189" w:lineRule="exact"/>
              <w:ind w:left="104" w:right="-29"/>
              <w:rPr>
                <w:sz w:val="18"/>
              </w:rPr>
            </w:pPr>
            <w:r>
              <w:rPr>
                <w:b/>
                <w:sz w:val="18"/>
              </w:rPr>
              <w:t>-</w:t>
            </w:r>
            <w:r>
              <w:rPr>
                <w:b/>
                <w:sz w:val="18"/>
              </w:rPr>
              <w:tab/>
            </w:r>
            <w:r>
              <w:rPr>
                <w:spacing w:val="-19"/>
                <w:sz w:val="18"/>
              </w:rPr>
              <w:t>-</w:t>
            </w:r>
          </w:p>
        </w:tc>
        <w:tc>
          <w:tcPr>
            <w:tcW w:w="1540" w:type="dxa"/>
          </w:tcPr>
          <w:p w14:paraId="3632CCFF" w14:textId="77777777" w:rsidR="00FA4AA8" w:rsidRDefault="0015611F">
            <w:pPr>
              <w:pStyle w:val="TableParagraph"/>
              <w:spacing w:before="24"/>
              <w:ind w:right="208"/>
              <w:jc w:val="right"/>
              <w:rPr>
                <w:b/>
                <w:sz w:val="18"/>
              </w:rPr>
            </w:pPr>
            <w:r>
              <w:rPr>
                <w:b/>
                <w:sz w:val="18"/>
              </w:rPr>
              <w:t>2,679</w:t>
            </w:r>
          </w:p>
          <w:p w14:paraId="55EF1B04" w14:textId="77777777" w:rsidR="00FA4AA8" w:rsidRDefault="0015611F">
            <w:pPr>
              <w:pStyle w:val="TableParagraph"/>
              <w:spacing w:before="4" w:line="260" w:lineRule="atLeast"/>
              <w:ind w:left="775" w:right="208" w:firstLine="494"/>
              <w:jc w:val="right"/>
              <w:rPr>
                <w:b/>
                <w:sz w:val="18"/>
              </w:rPr>
            </w:pPr>
            <w:r>
              <w:rPr>
                <w:b/>
                <w:sz w:val="18"/>
              </w:rPr>
              <w:t>- 23,100</w:t>
            </w:r>
          </w:p>
        </w:tc>
        <w:tc>
          <w:tcPr>
            <w:tcW w:w="974" w:type="dxa"/>
          </w:tcPr>
          <w:p w14:paraId="50EC5420" w14:textId="77777777" w:rsidR="00FA4AA8" w:rsidRDefault="0015611F">
            <w:pPr>
              <w:pStyle w:val="TableParagraph"/>
              <w:spacing w:before="24"/>
              <w:ind w:right="49"/>
              <w:jc w:val="right"/>
              <w:rPr>
                <w:sz w:val="18"/>
              </w:rPr>
            </w:pPr>
            <w:r>
              <w:rPr>
                <w:sz w:val="18"/>
              </w:rPr>
              <w:t>799</w:t>
            </w:r>
          </w:p>
          <w:p w14:paraId="15642A24" w14:textId="77777777" w:rsidR="00FA4AA8" w:rsidRDefault="0015611F">
            <w:pPr>
              <w:pStyle w:val="TableParagraph"/>
              <w:spacing w:before="57"/>
              <w:ind w:right="49"/>
              <w:jc w:val="right"/>
              <w:rPr>
                <w:sz w:val="18"/>
              </w:rPr>
            </w:pPr>
            <w:r>
              <w:rPr>
                <w:sz w:val="18"/>
              </w:rPr>
              <w:t>-</w:t>
            </w:r>
          </w:p>
          <w:p w14:paraId="3EB16ABD" w14:textId="77777777" w:rsidR="00FA4AA8" w:rsidRDefault="0015611F">
            <w:pPr>
              <w:pStyle w:val="TableParagraph"/>
              <w:spacing w:before="57" w:line="189" w:lineRule="exact"/>
              <w:ind w:right="49"/>
              <w:jc w:val="right"/>
              <w:rPr>
                <w:sz w:val="18"/>
              </w:rPr>
            </w:pPr>
            <w:r>
              <w:rPr>
                <w:sz w:val="18"/>
              </w:rPr>
              <w:t>-</w:t>
            </w:r>
          </w:p>
        </w:tc>
      </w:tr>
      <w:tr w:rsidR="00FA4AA8" w14:paraId="08DB3068" w14:textId="77777777">
        <w:trPr>
          <w:trHeight w:val="542"/>
        </w:trPr>
        <w:tc>
          <w:tcPr>
            <w:tcW w:w="3872" w:type="dxa"/>
          </w:tcPr>
          <w:p w14:paraId="604AD4BF" w14:textId="77777777" w:rsidR="00FA4AA8" w:rsidRDefault="0015611F">
            <w:pPr>
              <w:pStyle w:val="TableParagraph"/>
              <w:spacing w:before="71"/>
              <w:ind w:left="50"/>
              <w:rPr>
                <w:sz w:val="18"/>
              </w:rPr>
            </w:pPr>
            <w:bookmarkStart w:id="72" w:name="33_Financial_Risk_Management_"/>
            <w:bookmarkEnd w:id="72"/>
            <w:r>
              <w:rPr>
                <w:sz w:val="18"/>
              </w:rPr>
              <w:t>Current payables (loans)</w:t>
            </w:r>
          </w:p>
          <w:p w14:paraId="31D09C2C" w14:textId="77777777" w:rsidR="00FA4AA8" w:rsidRDefault="0015611F">
            <w:pPr>
              <w:pStyle w:val="TableParagraph"/>
              <w:spacing w:before="57" w:line="187" w:lineRule="exact"/>
              <w:ind w:left="191"/>
              <w:rPr>
                <w:sz w:val="18"/>
              </w:rPr>
            </w:pPr>
            <w:r>
              <w:rPr>
                <w:sz w:val="18"/>
              </w:rPr>
              <w:t>- Parent entity</w:t>
            </w:r>
          </w:p>
        </w:tc>
        <w:tc>
          <w:tcPr>
            <w:tcW w:w="1846" w:type="dxa"/>
          </w:tcPr>
          <w:p w14:paraId="2B041655" w14:textId="77777777" w:rsidR="00FA4AA8" w:rsidRDefault="00FA4AA8">
            <w:pPr>
              <w:pStyle w:val="TableParagraph"/>
              <w:rPr>
                <w:rFonts w:ascii="Times New Roman"/>
                <w:sz w:val="18"/>
              </w:rPr>
            </w:pPr>
          </w:p>
        </w:tc>
        <w:tc>
          <w:tcPr>
            <w:tcW w:w="1268" w:type="dxa"/>
          </w:tcPr>
          <w:p w14:paraId="56D98641" w14:textId="77777777" w:rsidR="00FA4AA8" w:rsidRDefault="00FA4AA8">
            <w:pPr>
              <w:pStyle w:val="TableParagraph"/>
              <w:spacing w:before="11"/>
              <w:rPr>
                <w:b/>
                <w:sz w:val="28"/>
              </w:rPr>
            </w:pPr>
          </w:p>
          <w:p w14:paraId="72006179" w14:textId="77777777" w:rsidR="00FA4AA8" w:rsidRDefault="0015611F">
            <w:pPr>
              <w:pStyle w:val="TableParagraph"/>
              <w:tabs>
                <w:tab w:val="left" w:pos="1236"/>
              </w:tabs>
              <w:spacing w:line="189" w:lineRule="exact"/>
              <w:ind w:left="103" w:right="-29"/>
              <w:rPr>
                <w:sz w:val="18"/>
              </w:rPr>
            </w:pPr>
            <w:r>
              <w:rPr>
                <w:b/>
                <w:sz w:val="18"/>
              </w:rPr>
              <w:t>-</w:t>
            </w:r>
            <w:r>
              <w:rPr>
                <w:b/>
                <w:sz w:val="18"/>
              </w:rPr>
              <w:tab/>
            </w:r>
            <w:r>
              <w:rPr>
                <w:spacing w:val="-19"/>
                <w:sz w:val="18"/>
              </w:rPr>
              <w:t>-</w:t>
            </w:r>
          </w:p>
        </w:tc>
        <w:tc>
          <w:tcPr>
            <w:tcW w:w="1540" w:type="dxa"/>
          </w:tcPr>
          <w:p w14:paraId="13A85473" w14:textId="77777777" w:rsidR="00FA4AA8" w:rsidRDefault="00FA4AA8">
            <w:pPr>
              <w:pStyle w:val="TableParagraph"/>
              <w:spacing w:before="11"/>
              <w:rPr>
                <w:b/>
                <w:sz w:val="28"/>
              </w:rPr>
            </w:pPr>
          </w:p>
          <w:p w14:paraId="3BBC6C10" w14:textId="77777777" w:rsidR="00FA4AA8" w:rsidRDefault="0015611F">
            <w:pPr>
              <w:pStyle w:val="TableParagraph"/>
              <w:spacing w:line="189" w:lineRule="exact"/>
              <w:ind w:left="775"/>
              <w:rPr>
                <w:b/>
                <w:sz w:val="18"/>
              </w:rPr>
            </w:pPr>
            <w:r>
              <w:rPr>
                <w:b/>
                <w:sz w:val="18"/>
              </w:rPr>
              <w:t>12,031</w:t>
            </w:r>
          </w:p>
        </w:tc>
        <w:tc>
          <w:tcPr>
            <w:tcW w:w="974" w:type="dxa"/>
          </w:tcPr>
          <w:p w14:paraId="468A62B3" w14:textId="77777777" w:rsidR="00FA4AA8" w:rsidRDefault="00FA4AA8">
            <w:pPr>
              <w:pStyle w:val="TableParagraph"/>
              <w:spacing w:before="11"/>
              <w:rPr>
                <w:b/>
                <w:sz w:val="28"/>
              </w:rPr>
            </w:pPr>
          </w:p>
          <w:p w14:paraId="45F95268" w14:textId="77777777" w:rsidR="00FA4AA8" w:rsidRDefault="0015611F">
            <w:pPr>
              <w:pStyle w:val="TableParagraph"/>
              <w:spacing w:line="189" w:lineRule="exact"/>
              <w:ind w:left="468"/>
              <w:rPr>
                <w:sz w:val="18"/>
              </w:rPr>
            </w:pPr>
            <w:r>
              <w:rPr>
                <w:sz w:val="18"/>
              </w:rPr>
              <w:t>9,201</w:t>
            </w:r>
          </w:p>
        </w:tc>
      </w:tr>
    </w:tbl>
    <w:p w14:paraId="5BDCCA57" w14:textId="77777777" w:rsidR="00FA4AA8" w:rsidRDefault="00FA4AA8">
      <w:pPr>
        <w:pStyle w:val="BodyText"/>
        <w:spacing w:before="3"/>
        <w:rPr>
          <w:b/>
          <w:sz w:val="27"/>
        </w:rPr>
      </w:pPr>
    </w:p>
    <w:p w14:paraId="404B4D2A" w14:textId="77777777" w:rsidR="00FA4AA8" w:rsidRDefault="0015611F">
      <w:pPr>
        <w:pStyle w:val="BodyText"/>
        <w:ind w:left="563"/>
      </w:pPr>
      <w:r>
        <w:t>A provisions for doubtful debts of $2.679M has been raised in 2018 in relation to the outstanding balances from related parties.</w:t>
      </w:r>
    </w:p>
    <w:p w14:paraId="23DC0AC4" w14:textId="77777777" w:rsidR="00FA4AA8" w:rsidRDefault="00FA4AA8">
      <w:pPr>
        <w:pStyle w:val="BodyText"/>
        <w:spacing w:before="11"/>
        <w:rPr>
          <w:sz w:val="24"/>
        </w:rPr>
      </w:pPr>
    </w:p>
    <w:p w14:paraId="4B95D81F" w14:textId="77777777" w:rsidR="00FA4AA8" w:rsidRDefault="0015611F">
      <w:pPr>
        <w:numPr>
          <w:ilvl w:val="0"/>
          <w:numId w:val="87"/>
        </w:numPr>
        <w:tabs>
          <w:tab w:val="left" w:pos="564"/>
        </w:tabs>
        <w:ind w:hanging="397"/>
        <w:rPr>
          <w:b/>
          <w:sz w:val="18"/>
        </w:rPr>
      </w:pPr>
      <w:r>
        <w:rPr>
          <w:b/>
          <w:sz w:val="18"/>
        </w:rPr>
        <w:t>Financial Risk</w:t>
      </w:r>
      <w:r>
        <w:rPr>
          <w:b/>
          <w:spacing w:val="2"/>
          <w:sz w:val="18"/>
        </w:rPr>
        <w:t xml:space="preserve"> </w:t>
      </w:r>
      <w:r>
        <w:rPr>
          <w:b/>
          <w:sz w:val="18"/>
        </w:rPr>
        <w:t>Management</w:t>
      </w:r>
    </w:p>
    <w:p w14:paraId="4E90EBB6" w14:textId="77777777" w:rsidR="00FA4AA8" w:rsidRDefault="00FA4AA8">
      <w:pPr>
        <w:pStyle w:val="BodyText"/>
        <w:rPr>
          <w:b/>
          <w:sz w:val="25"/>
        </w:rPr>
      </w:pPr>
    </w:p>
    <w:p w14:paraId="28AF85C7" w14:textId="77777777" w:rsidR="00FA4AA8" w:rsidRDefault="0015611F">
      <w:pPr>
        <w:pStyle w:val="BodyText"/>
        <w:ind w:left="563" w:right="149"/>
      </w:pPr>
      <w:r>
        <w:t xml:space="preserve">The Group's activities expose it to a variety of financial risks: market risk (including currency risk, fair value interest rate risk, cash flow interest rate risk and price risk), credit risk and liquidity risk. The Group's overall risk management program focuses on the unpredictability of financial markets and seeks to minimise potential adverse effects on the financial performance of the Group. The Group uses different methods to measure different types of risk to which it is exposed. These methods include sensitivity analysis in the case of interest rate, foreign exchange and other </w:t>
      </w:r>
      <w:r w:rsidR="009C3740">
        <w:t>price risks</w:t>
      </w:r>
      <w:r>
        <w:t>, ageing analysis for credit</w:t>
      </w:r>
      <w:r>
        <w:rPr>
          <w:spacing w:val="5"/>
        </w:rPr>
        <w:t xml:space="preserve"> </w:t>
      </w:r>
      <w:r>
        <w:t>risk.</w:t>
      </w:r>
    </w:p>
    <w:p w14:paraId="70ABE2E8" w14:textId="77777777" w:rsidR="00FA4AA8" w:rsidRDefault="00FA4AA8">
      <w:pPr>
        <w:sectPr w:rsidR="00FA4AA8">
          <w:pgSz w:w="11910" w:h="16840"/>
          <w:pgMar w:top="2220" w:right="880" w:bottom="720" w:left="840" w:header="1016" w:footer="523" w:gutter="0"/>
          <w:cols w:space="720"/>
        </w:sectPr>
      </w:pPr>
    </w:p>
    <w:p w14:paraId="0D2CC04A" w14:textId="77777777" w:rsidR="00FA4AA8" w:rsidRDefault="00FA4AA8">
      <w:pPr>
        <w:pStyle w:val="BodyText"/>
        <w:rPr>
          <w:sz w:val="20"/>
        </w:rPr>
      </w:pPr>
    </w:p>
    <w:p w14:paraId="08D9A0D7" w14:textId="77777777" w:rsidR="00FA4AA8" w:rsidRDefault="00FA4AA8">
      <w:pPr>
        <w:pStyle w:val="BodyText"/>
        <w:spacing w:before="10"/>
        <w:rPr>
          <w:sz w:val="29"/>
        </w:rPr>
      </w:pPr>
    </w:p>
    <w:p w14:paraId="1FFC164C" w14:textId="77777777" w:rsidR="00FA4AA8" w:rsidRDefault="0015611F">
      <w:pPr>
        <w:spacing w:before="94"/>
        <w:ind w:left="167"/>
        <w:rPr>
          <w:b/>
          <w:sz w:val="18"/>
        </w:rPr>
      </w:pPr>
      <w:r>
        <w:rPr>
          <w:b/>
          <w:sz w:val="18"/>
        </w:rPr>
        <w:t>33 Financial Risk Management (continued)</w:t>
      </w:r>
    </w:p>
    <w:p w14:paraId="24F0324F" w14:textId="77777777" w:rsidR="00FA4AA8" w:rsidRDefault="00FA4AA8">
      <w:pPr>
        <w:pStyle w:val="BodyText"/>
        <w:rPr>
          <w:b/>
          <w:sz w:val="25"/>
        </w:rPr>
      </w:pPr>
    </w:p>
    <w:p w14:paraId="2DC6CC3A" w14:textId="77777777" w:rsidR="00FA4AA8" w:rsidRDefault="0015611F">
      <w:pPr>
        <w:pStyle w:val="BodyText"/>
        <w:ind w:left="564"/>
      </w:pPr>
      <w:r>
        <w:t>The Group's principal financial instruments are cash and cash equivalents, as well as investments in units in managed investment funds and held to maturity investments.</w:t>
      </w:r>
    </w:p>
    <w:p w14:paraId="3E95AA82" w14:textId="77777777" w:rsidR="00FA4AA8" w:rsidRDefault="00FA4AA8">
      <w:pPr>
        <w:pStyle w:val="BodyText"/>
        <w:spacing w:before="10"/>
        <w:rPr>
          <w:sz w:val="24"/>
        </w:rPr>
      </w:pPr>
    </w:p>
    <w:p w14:paraId="0EBB041D" w14:textId="77777777" w:rsidR="00FA4AA8" w:rsidRDefault="0015611F">
      <w:pPr>
        <w:pStyle w:val="BodyText"/>
        <w:spacing w:before="1"/>
        <w:ind w:left="563" w:right="171"/>
      </w:pPr>
      <w:r>
        <w:t xml:space="preserve">The main purpose of the managed investment funds and held to maturity investments is to earn an income stream and provide long term growth to support objectives of the Western Sydney University Foundation Fund and Corpus, </w:t>
      </w:r>
      <w:r w:rsidR="009C3740">
        <w:t>and the</w:t>
      </w:r>
      <w:r>
        <w:t xml:space="preserve"> University's teaching, learning and research</w:t>
      </w:r>
      <w:r>
        <w:rPr>
          <w:spacing w:val="3"/>
        </w:rPr>
        <w:t xml:space="preserve"> </w:t>
      </w:r>
      <w:r>
        <w:t>initiatives.</w:t>
      </w:r>
    </w:p>
    <w:p w14:paraId="37997991" w14:textId="77777777" w:rsidR="00FA4AA8" w:rsidRDefault="00FA4AA8">
      <w:pPr>
        <w:pStyle w:val="BodyText"/>
        <w:spacing w:before="10"/>
        <w:rPr>
          <w:sz w:val="24"/>
        </w:rPr>
      </w:pPr>
    </w:p>
    <w:p w14:paraId="15D98FE3" w14:textId="77777777" w:rsidR="00FA4AA8" w:rsidRDefault="0015611F">
      <w:pPr>
        <w:pStyle w:val="BodyText"/>
        <w:ind w:left="563"/>
      </w:pPr>
      <w:r>
        <w:t>The Group also has various other financial instruments such as receivables, payables and finance leases.</w:t>
      </w:r>
    </w:p>
    <w:p w14:paraId="5671B3A2" w14:textId="77777777" w:rsidR="00FA4AA8" w:rsidRDefault="00FA4AA8">
      <w:pPr>
        <w:pStyle w:val="BodyText"/>
        <w:rPr>
          <w:sz w:val="25"/>
        </w:rPr>
      </w:pPr>
    </w:p>
    <w:p w14:paraId="63052238" w14:textId="77777777" w:rsidR="00FA4AA8" w:rsidRDefault="0015611F">
      <w:pPr>
        <w:ind w:left="563"/>
        <w:rPr>
          <w:b/>
          <w:sz w:val="18"/>
        </w:rPr>
      </w:pPr>
      <w:r>
        <w:rPr>
          <w:b/>
          <w:sz w:val="18"/>
        </w:rPr>
        <w:t>Treasury Risk Management</w:t>
      </w:r>
    </w:p>
    <w:p w14:paraId="56FEAC6A" w14:textId="77777777" w:rsidR="00FA4AA8" w:rsidRDefault="00FA4AA8">
      <w:pPr>
        <w:pStyle w:val="BodyText"/>
        <w:rPr>
          <w:b/>
          <w:sz w:val="25"/>
        </w:rPr>
      </w:pPr>
    </w:p>
    <w:p w14:paraId="032931D5" w14:textId="77777777" w:rsidR="00FA4AA8" w:rsidRDefault="0015611F">
      <w:pPr>
        <w:pStyle w:val="BodyText"/>
        <w:ind w:left="563" w:right="185"/>
      </w:pPr>
      <w:r>
        <w:t>The University only invests funds with fund managers that were approved by NSW Treasury under the previous requirements of the Western Sydney University Act or are now approved by the Finance and Investment Committee. Approved fund managers use a wide range of diversified strategic asset allocations. The performance of the fund managers is closely monitored by the University's Finance and Investment Committee. The Finance and Investment</w:t>
      </w:r>
      <w:bookmarkStart w:id="73" w:name="(a)_Market_risk"/>
      <w:bookmarkEnd w:id="73"/>
      <w:r>
        <w:t xml:space="preserve"> Committee has a number of external members with a high level of experience and expertise in funds management. The Committee provides written principles for overall risk management, as well as policies covering specific areas, such as investment of excess liquidity. The Finance and Investment Committee also evaluates Treasury management strategies in the context of the most recent economic conditions and forecasts and the Group’s activities. The Finance and Investment Committee reports regularly to the Board of</w:t>
      </w:r>
      <w:r>
        <w:rPr>
          <w:spacing w:val="4"/>
        </w:rPr>
        <w:t xml:space="preserve"> </w:t>
      </w:r>
      <w:r>
        <w:t>Trustees.</w:t>
      </w:r>
    </w:p>
    <w:p w14:paraId="5E696B41" w14:textId="77777777" w:rsidR="00FA4AA8" w:rsidRDefault="00FA4AA8">
      <w:pPr>
        <w:pStyle w:val="BodyText"/>
        <w:spacing w:before="3"/>
        <w:rPr>
          <w:sz w:val="26"/>
        </w:rPr>
      </w:pPr>
    </w:p>
    <w:p w14:paraId="0D448345" w14:textId="77777777" w:rsidR="00FA4AA8" w:rsidRDefault="0015611F">
      <w:pPr>
        <w:numPr>
          <w:ilvl w:val="0"/>
          <w:numId w:val="85"/>
        </w:numPr>
        <w:tabs>
          <w:tab w:val="left" w:pos="564"/>
        </w:tabs>
        <w:ind w:hanging="397"/>
        <w:rPr>
          <w:b/>
          <w:sz w:val="18"/>
        </w:rPr>
      </w:pPr>
      <w:r>
        <w:rPr>
          <w:b/>
          <w:sz w:val="18"/>
        </w:rPr>
        <w:t>Market risk</w:t>
      </w:r>
    </w:p>
    <w:p w14:paraId="186CB2B4" w14:textId="77777777" w:rsidR="00FA4AA8" w:rsidRDefault="00FA4AA8">
      <w:pPr>
        <w:pStyle w:val="BodyText"/>
        <w:spacing w:before="4"/>
        <w:rPr>
          <w:b/>
          <w:sz w:val="25"/>
        </w:rPr>
      </w:pPr>
    </w:p>
    <w:p w14:paraId="1D10658E" w14:textId="77777777" w:rsidR="00FA4AA8" w:rsidRDefault="0015611F">
      <w:pPr>
        <w:pStyle w:val="BodyText"/>
        <w:spacing w:before="1"/>
        <w:ind w:left="564" w:right="220"/>
      </w:pPr>
      <w:r>
        <w:t>Market risk is the risk that changes in market prices, such as foreign exchange rates, interest rates and equity prices will affect the Group's income or the value of its holdings of financial instruments. The objective of market risk management is to manage and control market risk exposures within acceptable parameters, while optimising return.</w:t>
      </w:r>
    </w:p>
    <w:p w14:paraId="1914BAFA" w14:textId="77777777" w:rsidR="00FA4AA8" w:rsidRDefault="00FA4AA8">
      <w:pPr>
        <w:pStyle w:val="BodyText"/>
        <w:spacing w:before="10"/>
        <w:rPr>
          <w:sz w:val="24"/>
        </w:rPr>
      </w:pPr>
    </w:p>
    <w:p w14:paraId="4B55B9C0" w14:textId="77777777" w:rsidR="00FA4AA8" w:rsidRDefault="0015611F">
      <w:pPr>
        <w:numPr>
          <w:ilvl w:val="1"/>
          <w:numId w:val="85"/>
        </w:numPr>
        <w:tabs>
          <w:tab w:val="left" w:pos="783"/>
        </w:tabs>
        <w:rPr>
          <w:b/>
          <w:i/>
          <w:sz w:val="18"/>
        </w:rPr>
      </w:pPr>
      <w:r>
        <w:rPr>
          <w:b/>
          <w:i/>
          <w:sz w:val="18"/>
        </w:rPr>
        <w:t>Foreign exchange risk</w:t>
      </w:r>
    </w:p>
    <w:p w14:paraId="32C3C5AE" w14:textId="77777777" w:rsidR="00FA4AA8" w:rsidRDefault="00FA4AA8">
      <w:pPr>
        <w:pStyle w:val="BodyText"/>
        <w:rPr>
          <w:b/>
          <w:i/>
          <w:sz w:val="25"/>
        </w:rPr>
      </w:pPr>
    </w:p>
    <w:p w14:paraId="1B837044" w14:textId="77777777" w:rsidR="00FA4AA8" w:rsidRDefault="0015611F">
      <w:pPr>
        <w:pStyle w:val="BodyText"/>
        <w:ind w:left="563" w:right="220"/>
      </w:pPr>
      <w:r>
        <w:t xml:space="preserve">Foreign exchange risk is the risk that the value of a financial instrument will fluctuate because of changes in foreign exchange </w:t>
      </w:r>
      <w:r w:rsidR="00733831">
        <w:t>rates. The</w:t>
      </w:r>
      <w:r>
        <w:t xml:space="preserve"> Group is primarily exposed to foreign exchange risk on purchases that are denominated in a currency other than the Australian dollar (AUD). The Group undertakes a minor level of hedging associated with regular purchases for the Library, and specific one off purchases. The Group also ensures that its exposure is kept to an acceptable level by buying foreign currencies at spot rates when necessary to address any short term imbalances. The Group has no overseas investment operations likely to affect its statement of financial position by movement in exchange rates.</w:t>
      </w:r>
    </w:p>
    <w:p w14:paraId="1C76A231" w14:textId="77777777" w:rsidR="00FA4AA8" w:rsidRDefault="00FA4AA8">
      <w:pPr>
        <w:pStyle w:val="BodyText"/>
        <w:spacing w:before="7"/>
        <w:rPr>
          <w:sz w:val="24"/>
        </w:rPr>
      </w:pPr>
    </w:p>
    <w:p w14:paraId="0E390234" w14:textId="77777777" w:rsidR="00FA4AA8" w:rsidRDefault="0015611F">
      <w:pPr>
        <w:numPr>
          <w:ilvl w:val="1"/>
          <w:numId w:val="85"/>
        </w:numPr>
        <w:tabs>
          <w:tab w:val="left" w:pos="833"/>
        </w:tabs>
        <w:spacing w:before="1"/>
        <w:ind w:left="832" w:hanging="269"/>
        <w:rPr>
          <w:b/>
          <w:i/>
          <w:sz w:val="18"/>
        </w:rPr>
      </w:pPr>
      <w:r>
        <w:rPr>
          <w:b/>
          <w:i/>
          <w:sz w:val="18"/>
        </w:rPr>
        <w:t>Price risk</w:t>
      </w:r>
    </w:p>
    <w:p w14:paraId="3C16348C" w14:textId="77777777" w:rsidR="00FA4AA8" w:rsidRDefault="00FA4AA8">
      <w:pPr>
        <w:pStyle w:val="BodyText"/>
        <w:spacing w:before="11"/>
        <w:rPr>
          <w:b/>
          <w:i/>
          <w:sz w:val="24"/>
        </w:rPr>
      </w:pPr>
    </w:p>
    <w:p w14:paraId="3AEAA66B" w14:textId="77777777" w:rsidR="00FA4AA8" w:rsidRDefault="0015611F">
      <w:pPr>
        <w:pStyle w:val="BodyText"/>
        <w:ind w:left="564" w:right="132"/>
      </w:pPr>
      <w:r>
        <w:t>Price risk is the risk that the value of a financial instrument will fluctuate as a result of changes in market prices. This arises from investments held by the University and classified on the Statement of Financial Position as fair value through profit or loss. To manage price risk from investments in managed investment funds the University has contracted out the management of the portfolio to external fund managers. These fund managers are mandated to diversify investments of the portfolio under their management. A market price movement of 10% may affect the investment value by $16.6M.</w:t>
      </w:r>
    </w:p>
    <w:p w14:paraId="56FF1C41" w14:textId="77777777" w:rsidR="00FA4AA8" w:rsidRDefault="00FA4AA8">
      <w:pPr>
        <w:pStyle w:val="BodyText"/>
        <w:spacing w:before="8"/>
        <w:rPr>
          <w:sz w:val="24"/>
        </w:rPr>
      </w:pPr>
    </w:p>
    <w:p w14:paraId="13EBCB19" w14:textId="77777777" w:rsidR="00FA4AA8" w:rsidRDefault="0015611F">
      <w:pPr>
        <w:pStyle w:val="BodyText"/>
        <w:spacing w:before="1"/>
        <w:ind w:left="564" w:right="132"/>
      </w:pPr>
      <w:r>
        <w:t>The quantum of funds under management per external fund manager and the investment objectives of each external fund manager are in accordance with limits / policies set by the Finance and Investment Committee.</w:t>
      </w:r>
    </w:p>
    <w:p w14:paraId="57DB3D9F" w14:textId="77777777" w:rsidR="00FA4AA8" w:rsidRDefault="00FA4AA8">
      <w:pPr>
        <w:sectPr w:rsidR="00FA4AA8">
          <w:pgSz w:w="11910" w:h="16840"/>
          <w:pgMar w:top="2220" w:right="880" w:bottom="720" w:left="840" w:header="1016" w:footer="523" w:gutter="0"/>
          <w:cols w:space="720"/>
        </w:sectPr>
      </w:pPr>
    </w:p>
    <w:p w14:paraId="10D7D7CE" w14:textId="77777777" w:rsidR="00FA4AA8" w:rsidRDefault="00FA4AA8">
      <w:pPr>
        <w:pStyle w:val="BodyText"/>
        <w:rPr>
          <w:sz w:val="20"/>
        </w:rPr>
      </w:pPr>
    </w:p>
    <w:p w14:paraId="437EA18C" w14:textId="77777777" w:rsidR="00FA4AA8" w:rsidRDefault="00FA4AA8">
      <w:pPr>
        <w:pStyle w:val="BodyText"/>
        <w:spacing w:before="10"/>
        <w:rPr>
          <w:sz w:val="29"/>
        </w:rPr>
      </w:pPr>
    </w:p>
    <w:p w14:paraId="6C085C09" w14:textId="77777777" w:rsidR="00FA4AA8" w:rsidRDefault="0015611F">
      <w:pPr>
        <w:spacing w:before="94"/>
        <w:ind w:left="167"/>
        <w:rPr>
          <w:b/>
          <w:sz w:val="18"/>
        </w:rPr>
      </w:pPr>
      <w:r>
        <w:rPr>
          <w:b/>
          <w:sz w:val="18"/>
        </w:rPr>
        <w:t>33 Financial Risk Management (continued)</w:t>
      </w:r>
    </w:p>
    <w:p w14:paraId="17BFBFDB" w14:textId="77777777" w:rsidR="00FA4AA8" w:rsidRDefault="00FA4AA8">
      <w:pPr>
        <w:pStyle w:val="BodyText"/>
        <w:spacing w:before="7"/>
        <w:rPr>
          <w:b/>
          <w:sz w:val="26"/>
        </w:rPr>
      </w:pPr>
    </w:p>
    <w:p w14:paraId="322FEE54" w14:textId="77777777" w:rsidR="00FA4AA8" w:rsidRDefault="0015611F">
      <w:pPr>
        <w:pStyle w:val="ListParagraph"/>
        <w:numPr>
          <w:ilvl w:val="0"/>
          <w:numId w:val="84"/>
        </w:numPr>
        <w:tabs>
          <w:tab w:val="left" w:pos="564"/>
        </w:tabs>
        <w:ind w:hanging="397"/>
        <w:rPr>
          <w:b/>
          <w:sz w:val="18"/>
        </w:rPr>
      </w:pPr>
      <w:r>
        <w:rPr>
          <w:b/>
          <w:sz w:val="18"/>
        </w:rPr>
        <w:t>Market risk (continued)</w:t>
      </w:r>
    </w:p>
    <w:p w14:paraId="73D6E813" w14:textId="77777777" w:rsidR="00FA4AA8" w:rsidRDefault="00FA4AA8">
      <w:pPr>
        <w:pStyle w:val="BodyText"/>
        <w:spacing w:before="5"/>
        <w:rPr>
          <w:b/>
          <w:sz w:val="25"/>
        </w:rPr>
      </w:pPr>
    </w:p>
    <w:p w14:paraId="16921FC2" w14:textId="77777777" w:rsidR="00FA4AA8" w:rsidRDefault="0015611F">
      <w:pPr>
        <w:numPr>
          <w:ilvl w:val="1"/>
          <w:numId w:val="85"/>
        </w:numPr>
        <w:tabs>
          <w:tab w:val="left" w:pos="884"/>
        </w:tabs>
        <w:ind w:left="883" w:hanging="320"/>
        <w:rPr>
          <w:b/>
          <w:i/>
          <w:sz w:val="18"/>
        </w:rPr>
      </w:pPr>
      <w:r>
        <w:rPr>
          <w:b/>
          <w:i/>
          <w:sz w:val="18"/>
        </w:rPr>
        <w:t>Cash flow and fair value interest rate risk</w:t>
      </w:r>
    </w:p>
    <w:p w14:paraId="7ED91CE1" w14:textId="77777777" w:rsidR="00FA4AA8" w:rsidRDefault="00FA4AA8">
      <w:pPr>
        <w:pStyle w:val="BodyText"/>
        <w:rPr>
          <w:b/>
          <w:i/>
          <w:sz w:val="25"/>
        </w:rPr>
      </w:pPr>
    </w:p>
    <w:p w14:paraId="6A35E7E9" w14:textId="77777777" w:rsidR="00FA4AA8" w:rsidRDefault="0015611F">
      <w:pPr>
        <w:pStyle w:val="BodyText"/>
        <w:ind w:left="564"/>
      </w:pPr>
      <w:r>
        <w:t>Fair value interest rate risk is the risk that the fair value of a financial instrument will fluctuate because of changes in interest rates. The Group's exposure to interest rate risk is relatively small.</w:t>
      </w:r>
    </w:p>
    <w:p w14:paraId="310EBF5F" w14:textId="77777777" w:rsidR="00FA4AA8" w:rsidRDefault="00FA4AA8">
      <w:pPr>
        <w:pStyle w:val="BodyText"/>
        <w:spacing w:before="11"/>
        <w:rPr>
          <w:sz w:val="24"/>
        </w:rPr>
      </w:pPr>
    </w:p>
    <w:p w14:paraId="1DD05E4E" w14:textId="77777777" w:rsidR="00FA4AA8" w:rsidRDefault="0015611F">
      <w:pPr>
        <w:numPr>
          <w:ilvl w:val="1"/>
          <w:numId w:val="85"/>
        </w:numPr>
        <w:tabs>
          <w:tab w:val="left" w:pos="884"/>
        </w:tabs>
        <w:ind w:left="883" w:hanging="320"/>
        <w:rPr>
          <w:b/>
          <w:i/>
          <w:sz w:val="18"/>
        </w:rPr>
      </w:pPr>
      <w:r>
        <w:rPr>
          <w:b/>
          <w:i/>
          <w:sz w:val="18"/>
        </w:rPr>
        <w:t>Summarised sensitivity analysis</w:t>
      </w:r>
    </w:p>
    <w:p w14:paraId="5DBE920D" w14:textId="77777777" w:rsidR="00FA4AA8" w:rsidRDefault="00FA4AA8">
      <w:pPr>
        <w:pStyle w:val="BodyText"/>
        <w:rPr>
          <w:b/>
          <w:i/>
          <w:sz w:val="25"/>
        </w:rPr>
      </w:pPr>
    </w:p>
    <w:p w14:paraId="72F5F401" w14:textId="77777777" w:rsidR="00FA4AA8" w:rsidRDefault="0015611F">
      <w:pPr>
        <w:pStyle w:val="BodyText"/>
        <w:ind w:left="564" w:right="220"/>
      </w:pPr>
      <w:bookmarkStart w:id="74" w:name="(b)_Credit_risk"/>
      <w:bookmarkEnd w:id="74"/>
      <w:r>
        <w:t>Sensitivity analysis was produced by altering the relevant balance for +/-10% change in the foreign exchange and other price risk and +/-0.25% in the interest rate risk identified. The results of this analysis did not give rise to any material change in the balances affected by the risks for interest rate and foreign exchange. The results of sensitivity analysis for other price risks resulted in a +/-10% risk balance of $26.463M for the consolidated or parent entity.</w:t>
      </w:r>
    </w:p>
    <w:p w14:paraId="609ED128" w14:textId="77777777" w:rsidR="00FA4AA8" w:rsidRDefault="00FA4AA8">
      <w:pPr>
        <w:pStyle w:val="BodyText"/>
        <w:spacing w:before="6"/>
        <w:rPr>
          <w:sz w:val="26"/>
        </w:rPr>
      </w:pPr>
    </w:p>
    <w:p w14:paraId="47CAE30B" w14:textId="77777777" w:rsidR="00FA4AA8" w:rsidRDefault="0015611F">
      <w:pPr>
        <w:numPr>
          <w:ilvl w:val="0"/>
          <w:numId w:val="84"/>
        </w:numPr>
        <w:tabs>
          <w:tab w:val="left" w:pos="564"/>
        </w:tabs>
        <w:ind w:hanging="397"/>
        <w:rPr>
          <w:b/>
          <w:sz w:val="18"/>
        </w:rPr>
      </w:pPr>
      <w:r>
        <w:rPr>
          <w:b/>
          <w:sz w:val="18"/>
        </w:rPr>
        <w:t>Credit risk</w:t>
      </w:r>
    </w:p>
    <w:p w14:paraId="4D74EBF8" w14:textId="77777777" w:rsidR="00FA4AA8" w:rsidRDefault="00FA4AA8">
      <w:pPr>
        <w:pStyle w:val="BodyText"/>
        <w:spacing w:before="4"/>
        <w:rPr>
          <w:b/>
          <w:sz w:val="25"/>
        </w:rPr>
      </w:pPr>
    </w:p>
    <w:p w14:paraId="198D742B" w14:textId="77777777" w:rsidR="00FA4AA8" w:rsidRDefault="0015611F">
      <w:pPr>
        <w:pStyle w:val="BodyText"/>
        <w:spacing w:before="1"/>
        <w:ind w:left="563" w:right="220"/>
      </w:pPr>
      <w:r>
        <w:t>Credit risk is the risk of financial loss to the Group if a customer or counterparty to a financial instrument fails to meet its contractual obligations and arises primarily from receivables from customers and investment securities.</w:t>
      </w:r>
    </w:p>
    <w:p w14:paraId="62AE5EC0" w14:textId="77777777" w:rsidR="00FA4AA8" w:rsidRDefault="00FA4AA8">
      <w:pPr>
        <w:pStyle w:val="BodyText"/>
        <w:spacing w:before="10"/>
        <w:rPr>
          <w:sz w:val="24"/>
        </w:rPr>
      </w:pPr>
    </w:p>
    <w:p w14:paraId="5675D061" w14:textId="77777777" w:rsidR="00FA4AA8" w:rsidRDefault="0015611F">
      <w:pPr>
        <w:ind w:left="563"/>
        <w:rPr>
          <w:b/>
          <w:i/>
          <w:sz w:val="18"/>
        </w:rPr>
      </w:pPr>
      <w:r>
        <w:rPr>
          <w:b/>
          <w:i/>
          <w:sz w:val="18"/>
        </w:rPr>
        <w:t>Receivables</w:t>
      </w:r>
    </w:p>
    <w:p w14:paraId="00C7F0E9" w14:textId="77777777" w:rsidR="00FA4AA8" w:rsidRDefault="00FA4AA8">
      <w:pPr>
        <w:pStyle w:val="BodyText"/>
        <w:rPr>
          <w:b/>
          <w:i/>
          <w:sz w:val="25"/>
        </w:rPr>
      </w:pPr>
    </w:p>
    <w:p w14:paraId="1171BBB1" w14:textId="77777777" w:rsidR="00FA4AA8" w:rsidRDefault="0015611F">
      <w:pPr>
        <w:pStyle w:val="BodyText"/>
        <w:ind w:left="563" w:right="228"/>
      </w:pPr>
      <w:r>
        <w:t>The Group's exposure to credit risk is influenced mainly by the individual characteristics of each customer. Receivables are mainly attributable to sales transactions with a single customer. Apart from the Government deferred debtor, the Group does not have any material risk exposure to any other single debtor or group of debtors.</w:t>
      </w:r>
    </w:p>
    <w:p w14:paraId="533A2CBF" w14:textId="77777777" w:rsidR="00FA4AA8" w:rsidRDefault="00FA4AA8">
      <w:pPr>
        <w:pStyle w:val="BodyText"/>
        <w:spacing w:before="10"/>
        <w:rPr>
          <w:sz w:val="24"/>
        </w:rPr>
      </w:pPr>
    </w:p>
    <w:p w14:paraId="79D3909C" w14:textId="77777777" w:rsidR="00FA4AA8" w:rsidRDefault="0015611F">
      <w:pPr>
        <w:spacing w:before="1"/>
        <w:ind w:left="563"/>
        <w:rPr>
          <w:b/>
          <w:i/>
          <w:sz w:val="18"/>
        </w:rPr>
      </w:pPr>
      <w:r>
        <w:rPr>
          <w:b/>
          <w:i/>
          <w:sz w:val="18"/>
        </w:rPr>
        <w:t>Investments</w:t>
      </w:r>
    </w:p>
    <w:p w14:paraId="445FA483" w14:textId="77777777" w:rsidR="00FA4AA8" w:rsidRDefault="00FA4AA8">
      <w:pPr>
        <w:pStyle w:val="BodyText"/>
        <w:spacing w:before="11"/>
        <w:rPr>
          <w:b/>
          <w:i/>
          <w:sz w:val="24"/>
        </w:rPr>
      </w:pPr>
    </w:p>
    <w:p w14:paraId="2437088A" w14:textId="77777777" w:rsidR="00FA4AA8" w:rsidRDefault="0015611F">
      <w:pPr>
        <w:pStyle w:val="BodyText"/>
        <w:ind w:left="564"/>
      </w:pPr>
      <w:r>
        <w:t>The Group limits its exposure to credit risk through its Credit Risk Policy which establishes eligible counterparties with credit limits based upon counterparty credit ratings and accessible shareholder funds. An eligible counterparty must be rated from Standard and Poors or Moodys at a minimum level equivalent to BBB+ (Standard and Poors long term) or Baa1(Moodys long term), and has accessible shareholder funds of at least $100M. Given these high credit ratings,</w:t>
      </w:r>
      <w:bookmarkStart w:id="75" w:name="(c)_Liquidity_risk"/>
      <w:bookmarkEnd w:id="75"/>
      <w:r>
        <w:t xml:space="preserve"> management does not expect any counterparty to fail to meet its obligations. Fund managers are closely monitored to ensure adherence to the Credit Risk Policy.</w:t>
      </w:r>
    </w:p>
    <w:p w14:paraId="6E4F4C87" w14:textId="77777777" w:rsidR="00FA4AA8" w:rsidRDefault="00FA4AA8">
      <w:pPr>
        <w:pStyle w:val="BodyText"/>
        <w:spacing w:before="8"/>
        <w:rPr>
          <w:sz w:val="24"/>
        </w:rPr>
      </w:pPr>
    </w:p>
    <w:p w14:paraId="7337D24C" w14:textId="77777777" w:rsidR="00FA4AA8" w:rsidRDefault="0015611F">
      <w:pPr>
        <w:pStyle w:val="BodyText"/>
        <w:spacing w:before="1"/>
        <w:ind w:left="563"/>
      </w:pPr>
      <w:r>
        <w:t>The carrying amount of financial assets (as contained in the table in subnote 33(b)) represents the Group's maximum exposure to credit risk.</w:t>
      </w:r>
    </w:p>
    <w:p w14:paraId="3F8BA62B" w14:textId="77777777" w:rsidR="00FA4AA8" w:rsidRDefault="00FA4AA8">
      <w:pPr>
        <w:pStyle w:val="BodyText"/>
        <w:spacing w:before="7"/>
        <w:rPr>
          <w:sz w:val="26"/>
        </w:rPr>
      </w:pPr>
    </w:p>
    <w:p w14:paraId="6B72A380" w14:textId="77777777" w:rsidR="00FA4AA8" w:rsidRDefault="0015611F">
      <w:pPr>
        <w:numPr>
          <w:ilvl w:val="0"/>
          <w:numId w:val="84"/>
        </w:numPr>
        <w:tabs>
          <w:tab w:val="left" w:pos="564"/>
        </w:tabs>
        <w:ind w:hanging="397"/>
        <w:rPr>
          <w:b/>
          <w:sz w:val="18"/>
        </w:rPr>
      </w:pPr>
      <w:r>
        <w:rPr>
          <w:b/>
          <w:sz w:val="18"/>
        </w:rPr>
        <w:t>Liquidity</w:t>
      </w:r>
      <w:r>
        <w:rPr>
          <w:b/>
          <w:spacing w:val="-9"/>
          <w:sz w:val="18"/>
        </w:rPr>
        <w:t xml:space="preserve"> </w:t>
      </w:r>
      <w:r>
        <w:rPr>
          <w:b/>
          <w:sz w:val="18"/>
        </w:rPr>
        <w:t>risk</w:t>
      </w:r>
    </w:p>
    <w:p w14:paraId="27F74436" w14:textId="77777777" w:rsidR="00FA4AA8" w:rsidRDefault="00FA4AA8">
      <w:pPr>
        <w:pStyle w:val="BodyText"/>
        <w:spacing w:before="4"/>
        <w:rPr>
          <w:b/>
          <w:sz w:val="25"/>
        </w:rPr>
      </w:pPr>
    </w:p>
    <w:p w14:paraId="540095DF" w14:textId="77777777" w:rsidR="00FA4AA8" w:rsidRDefault="0015611F">
      <w:pPr>
        <w:pStyle w:val="BodyText"/>
        <w:ind w:left="563"/>
      </w:pPr>
      <w:r>
        <w:t>Liquidity risk is the risk that the Group will not be able to meet its financial obligations as they fall due. The Group's approach to managing liquidity is to ensure, as far as possible, that it will have sufficient liquidity to meet its liabilities when due under both normal and stressed conditions, without incurring unacceptable losses or reputational risk.</w:t>
      </w:r>
    </w:p>
    <w:p w14:paraId="35826614" w14:textId="77777777" w:rsidR="00FA4AA8" w:rsidRDefault="00FA4AA8">
      <w:pPr>
        <w:pStyle w:val="BodyText"/>
        <w:spacing w:before="11"/>
        <w:rPr>
          <w:sz w:val="24"/>
        </w:rPr>
      </w:pPr>
    </w:p>
    <w:p w14:paraId="6692CD7A" w14:textId="77777777" w:rsidR="00FA4AA8" w:rsidRDefault="0015611F">
      <w:pPr>
        <w:pStyle w:val="BodyText"/>
        <w:ind w:left="563"/>
      </w:pPr>
      <w:r>
        <w:t>The Group reviews its immediate and short term cash requirements on a daily basis with a three year rolling cash flow forecast regularly provided to management, Finance and Investment Committee and the Board of Trustees.</w:t>
      </w:r>
    </w:p>
    <w:p w14:paraId="28E1B4B6" w14:textId="77777777" w:rsidR="00FA4AA8" w:rsidRDefault="00FA4AA8">
      <w:pPr>
        <w:sectPr w:rsidR="00FA4AA8">
          <w:pgSz w:w="11910" w:h="16840"/>
          <w:pgMar w:top="2220" w:right="880" w:bottom="720" w:left="840" w:header="1016" w:footer="523" w:gutter="0"/>
          <w:cols w:space="720"/>
        </w:sectPr>
      </w:pPr>
    </w:p>
    <w:p w14:paraId="75DE7977" w14:textId="77777777" w:rsidR="00FA4AA8" w:rsidRDefault="0015611F">
      <w:pPr>
        <w:pStyle w:val="Heading6"/>
        <w:spacing w:before="64"/>
        <w:ind w:left="107"/>
      </w:pPr>
      <w:r>
        <w:t>Western Sydney University</w:t>
      </w:r>
    </w:p>
    <w:p w14:paraId="72E6B1C7" w14:textId="77777777" w:rsidR="00FA4AA8" w:rsidRDefault="00FA4AA8">
      <w:pPr>
        <w:pStyle w:val="BodyText"/>
        <w:spacing w:before="5"/>
        <w:rPr>
          <w:b/>
          <w:sz w:val="29"/>
        </w:rPr>
      </w:pPr>
    </w:p>
    <w:p w14:paraId="173F20B2" w14:textId="77777777" w:rsidR="00FA4AA8" w:rsidRDefault="0015611F">
      <w:pPr>
        <w:ind w:left="107"/>
        <w:rPr>
          <w:b/>
          <w:sz w:val="28"/>
        </w:rPr>
      </w:pPr>
      <w:r>
        <w:rPr>
          <w:b/>
          <w:sz w:val="28"/>
        </w:rPr>
        <w:t>Notes to the Financial Statements</w:t>
      </w:r>
    </w:p>
    <w:p w14:paraId="6BD61AD0" w14:textId="77777777" w:rsidR="00FA4AA8" w:rsidRDefault="0015611F">
      <w:pPr>
        <w:spacing w:before="54"/>
        <w:ind w:left="107"/>
        <w:rPr>
          <w:b/>
        </w:rPr>
      </w:pPr>
      <w:r>
        <w:rPr>
          <w:b/>
        </w:rPr>
        <w:t>For the Year Ended 31 December 2018</w:t>
      </w:r>
    </w:p>
    <w:p w14:paraId="0FCF88B7" w14:textId="77777777" w:rsidR="00FA4AA8" w:rsidRDefault="00FA4AA8">
      <w:pPr>
        <w:pStyle w:val="BodyText"/>
        <w:rPr>
          <w:b/>
          <w:sz w:val="24"/>
        </w:rPr>
      </w:pPr>
    </w:p>
    <w:p w14:paraId="27BC7E5E" w14:textId="77777777" w:rsidR="00FA4AA8" w:rsidRDefault="00FA4AA8">
      <w:pPr>
        <w:pStyle w:val="BodyText"/>
        <w:rPr>
          <w:b/>
          <w:sz w:val="34"/>
        </w:rPr>
      </w:pPr>
    </w:p>
    <w:p w14:paraId="0548A43C" w14:textId="77777777" w:rsidR="00FA4AA8" w:rsidRDefault="0015611F">
      <w:pPr>
        <w:numPr>
          <w:ilvl w:val="0"/>
          <w:numId w:val="83"/>
        </w:numPr>
        <w:tabs>
          <w:tab w:val="left" w:pos="504"/>
        </w:tabs>
        <w:ind w:hanging="397"/>
        <w:rPr>
          <w:b/>
          <w:sz w:val="18"/>
        </w:rPr>
      </w:pPr>
      <w:r>
        <w:rPr>
          <w:b/>
          <w:sz w:val="18"/>
        </w:rPr>
        <w:t>Financial Risk Management</w:t>
      </w:r>
      <w:r>
        <w:rPr>
          <w:b/>
          <w:spacing w:val="1"/>
          <w:sz w:val="18"/>
        </w:rPr>
        <w:t xml:space="preserve"> </w:t>
      </w:r>
      <w:r>
        <w:rPr>
          <w:b/>
          <w:sz w:val="18"/>
        </w:rPr>
        <w:t>(continued)</w:t>
      </w:r>
    </w:p>
    <w:p w14:paraId="4ED13B3B" w14:textId="77777777" w:rsidR="00FA4AA8" w:rsidRDefault="00FA4AA8">
      <w:pPr>
        <w:pStyle w:val="BodyText"/>
        <w:spacing w:before="8"/>
        <w:rPr>
          <w:b/>
          <w:sz w:val="26"/>
        </w:rPr>
      </w:pPr>
    </w:p>
    <w:p w14:paraId="4BDA316E" w14:textId="77777777" w:rsidR="00FA4AA8" w:rsidRDefault="0015611F">
      <w:pPr>
        <w:pStyle w:val="ListParagraph"/>
        <w:numPr>
          <w:ilvl w:val="0"/>
          <w:numId w:val="82"/>
        </w:numPr>
        <w:tabs>
          <w:tab w:val="left" w:pos="504"/>
        </w:tabs>
        <w:ind w:hanging="397"/>
        <w:rPr>
          <w:b/>
          <w:sz w:val="18"/>
        </w:rPr>
      </w:pPr>
      <w:r>
        <w:rPr>
          <w:b/>
          <w:sz w:val="18"/>
        </w:rPr>
        <w:t>Liquidity risk</w:t>
      </w:r>
      <w:r>
        <w:rPr>
          <w:b/>
          <w:spacing w:val="-9"/>
          <w:sz w:val="18"/>
        </w:rPr>
        <w:t xml:space="preserve"> </w:t>
      </w:r>
      <w:r>
        <w:rPr>
          <w:b/>
          <w:sz w:val="18"/>
        </w:rPr>
        <w:t>(continued)</w:t>
      </w:r>
    </w:p>
    <w:p w14:paraId="0CA7317D" w14:textId="77777777" w:rsidR="00FA4AA8" w:rsidRDefault="00FA4AA8">
      <w:pPr>
        <w:pStyle w:val="BodyText"/>
        <w:spacing w:before="5"/>
        <w:rPr>
          <w:b/>
          <w:sz w:val="25"/>
        </w:rPr>
      </w:pPr>
    </w:p>
    <w:p w14:paraId="05224ACD" w14:textId="77777777" w:rsidR="00FA4AA8" w:rsidRDefault="0015611F">
      <w:pPr>
        <w:pStyle w:val="BodyText"/>
        <w:ind w:left="504"/>
      </w:pPr>
      <w:r>
        <w:t>The following tables summarise the maturity of the Group’s financial assets and financial liabilities:</w:t>
      </w:r>
    </w:p>
    <w:p w14:paraId="0F9C4B67" w14:textId="77777777" w:rsidR="00FA4AA8" w:rsidRDefault="0015611F">
      <w:pPr>
        <w:spacing w:before="32"/>
        <w:ind w:left="4238"/>
        <w:rPr>
          <w:b/>
          <w:sz w:val="16"/>
        </w:rPr>
      </w:pPr>
      <w:r>
        <w:rPr>
          <w:b/>
          <w:sz w:val="16"/>
        </w:rPr>
        <w:t>Average</w:t>
      </w:r>
    </w:p>
    <w:p w14:paraId="7A057958" w14:textId="77777777" w:rsidR="00FA4AA8" w:rsidRDefault="0015611F">
      <w:pPr>
        <w:tabs>
          <w:tab w:val="left" w:pos="7067"/>
          <w:tab w:val="left" w:pos="8771"/>
          <w:tab w:val="left" w:pos="10531"/>
          <w:tab w:val="left" w:pos="11699"/>
          <w:tab w:val="left" w:pos="13943"/>
        </w:tabs>
        <w:spacing w:before="1"/>
        <w:ind w:left="4092"/>
        <w:rPr>
          <w:b/>
          <w:sz w:val="16"/>
        </w:rPr>
      </w:pPr>
      <w:r>
        <w:rPr>
          <w:b/>
          <w:sz w:val="16"/>
        </w:rPr>
        <w:t>Interest rate   Variable</w:t>
      </w:r>
      <w:r>
        <w:rPr>
          <w:b/>
          <w:spacing w:val="-19"/>
          <w:sz w:val="16"/>
        </w:rPr>
        <w:t xml:space="preserve"> </w:t>
      </w:r>
      <w:r>
        <w:rPr>
          <w:b/>
          <w:sz w:val="16"/>
        </w:rPr>
        <w:t>interest</w:t>
      </w:r>
      <w:r>
        <w:rPr>
          <w:b/>
          <w:spacing w:val="-1"/>
          <w:sz w:val="16"/>
        </w:rPr>
        <w:t xml:space="preserve"> </w:t>
      </w:r>
      <w:r>
        <w:rPr>
          <w:b/>
          <w:sz w:val="16"/>
        </w:rPr>
        <w:t>rate</w:t>
      </w:r>
      <w:r>
        <w:rPr>
          <w:b/>
          <w:sz w:val="16"/>
        </w:rPr>
        <w:tab/>
        <w:t>Within</w:t>
      </w:r>
      <w:r>
        <w:rPr>
          <w:b/>
          <w:spacing w:val="2"/>
          <w:sz w:val="16"/>
        </w:rPr>
        <w:t xml:space="preserve"> </w:t>
      </w:r>
      <w:r>
        <w:rPr>
          <w:b/>
          <w:sz w:val="16"/>
        </w:rPr>
        <w:t>1</w:t>
      </w:r>
      <w:r>
        <w:rPr>
          <w:b/>
          <w:spacing w:val="2"/>
          <w:sz w:val="16"/>
        </w:rPr>
        <w:t xml:space="preserve"> </w:t>
      </w:r>
      <w:r>
        <w:rPr>
          <w:b/>
          <w:spacing w:val="-3"/>
          <w:sz w:val="16"/>
        </w:rPr>
        <w:t>year</w:t>
      </w:r>
      <w:r>
        <w:rPr>
          <w:b/>
          <w:spacing w:val="-3"/>
          <w:sz w:val="16"/>
        </w:rPr>
        <w:tab/>
      </w:r>
      <w:r>
        <w:rPr>
          <w:b/>
          <w:sz w:val="16"/>
        </w:rPr>
        <w:t>1 to</w:t>
      </w:r>
      <w:r>
        <w:rPr>
          <w:b/>
          <w:spacing w:val="3"/>
          <w:sz w:val="16"/>
        </w:rPr>
        <w:t xml:space="preserve"> </w:t>
      </w:r>
      <w:r>
        <w:rPr>
          <w:b/>
          <w:sz w:val="16"/>
        </w:rPr>
        <w:t>5</w:t>
      </w:r>
      <w:r>
        <w:rPr>
          <w:b/>
          <w:spacing w:val="2"/>
          <w:sz w:val="16"/>
        </w:rPr>
        <w:t xml:space="preserve"> </w:t>
      </w:r>
      <w:r>
        <w:rPr>
          <w:b/>
          <w:spacing w:val="-3"/>
          <w:sz w:val="16"/>
        </w:rPr>
        <w:t>years</w:t>
      </w:r>
      <w:r>
        <w:rPr>
          <w:b/>
          <w:spacing w:val="-3"/>
          <w:sz w:val="16"/>
        </w:rPr>
        <w:tab/>
      </w:r>
      <w:r>
        <w:rPr>
          <w:b/>
          <w:sz w:val="16"/>
        </w:rPr>
        <w:t>5+</w:t>
      </w:r>
      <w:r>
        <w:rPr>
          <w:b/>
          <w:spacing w:val="2"/>
          <w:sz w:val="16"/>
        </w:rPr>
        <w:t xml:space="preserve"> </w:t>
      </w:r>
      <w:r>
        <w:rPr>
          <w:b/>
          <w:spacing w:val="-3"/>
          <w:sz w:val="16"/>
        </w:rPr>
        <w:t>years</w:t>
      </w:r>
      <w:r>
        <w:rPr>
          <w:b/>
          <w:spacing w:val="-3"/>
          <w:sz w:val="16"/>
        </w:rPr>
        <w:tab/>
      </w:r>
      <w:r>
        <w:rPr>
          <w:b/>
          <w:sz w:val="16"/>
        </w:rPr>
        <w:t>Non-Interest</w:t>
      </w:r>
      <w:r>
        <w:rPr>
          <w:b/>
          <w:spacing w:val="-4"/>
          <w:sz w:val="16"/>
        </w:rPr>
        <w:t xml:space="preserve"> </w:t>
      </w:r>
      <w:r>
        <w:rPr>
          <w:b/>
          <w:sz w:val="16"/>
        </w:rPr>
        <w:t>Bearing</w:t>
      </w:r>
      <w:r>
        <w:rPr>
          <w:b/>
          <w:sz w:val="16"/>
        </w:rPr>
        <w:tab/>
        <w:t>Total</w:t>
      </w:r>
    </w:p>
    <w:p w14:paraId="3F0D1762" w14:textId="77777777" w:rsidR="00FA4AA8" w:rsidRDefault="00FA4AA8">
      <w:pPr>
        <w:pStyle w:val="BodyText"/>
        <w:spacing w:before="3"/>
        <w:rPr>
          <w:b/>
          <w:sz w:val="6"/>
        </w:rPr>
      </w:pPr>
    </w:p>
    <w:tbl>
      <w:tblPr>
        <w:tblW w:w="0" w:type="auto"/>
        <w:tblInd w:w="487" w:type="dxa"/>
        <w:tblLayout w:type="fixed"/>
        <w:tblCellMar>
          <w:left w:w="0" w:type="dxa"/>
          <w:right w:w="0" w:type="dxa"/>
        </w:tblCellMar>
        <w:tblLook w:val="01E0" w:firstRow="1" w:lastRow="1" w:firstColumn="1" w:lastColumn="1" w:noHBand="0" w:noVBand="0"/>
      </w:tblPr>
      <w:tblGrid>
        <w:gridCol w:w="3504"/>
        <w:gridCol w:w="577"/>
        <w:gridCol w:w="607"/>
        <w:gridCol w:w="748"/>
        <w:gridCol w:w="894"/>
        <w:gridCol w:w="828"/>
        <w:gridCol w:w="703"/>
        <w:gridCol w:w="915"/>
        <w:gridCol w:w="867"/>
        <w:gridCol w:w="801"/>
        <w:gridCol w:w="796"/>
        <w:gridCol w:w="821"/>
        <w:gridCol w:w="821"/>
        <w:gridCol w:w="821"/>
        <w:gridCol w:w="768"/>
      </w:tblGrid>
      <w:tr w:rsidR="00FA4AA8" w14:paraId="752C3DB5" w14:textId="77777777">
        <w:trPr>
          <w:trHeight w:val="215"/>
        </w:trPr>
        <w:tc>
          <w:tcPr>
            <w:tcW w:w="3504" w:type="dxa"/>
            <w:vMerge w:val="restart"/>
          </w:tcPr>
          <w:p w14:paraId="7446F286" w14:textId="77777777" w:rsidR="00FA4AA8" w:rsidRDefault="00FA4AA8">
            <w:pPr>
              <w:pStyle w:val="TableParagraph"/>
              <w:rPr>
                <w:rFonts w:ascii="Times New Roman"/>
                <w:sz w:val="16"/>
              </w:rPr>
            </w:pPr>
          </w:p>
        </w:tc>
        <w:tc>
          <w:tcPr>
            <w:tcW w:w="577" w:type="dxa"/>
          </w:tcPr>
          <w:p w14:paraId="60D2FC68" w14:textId="77777777" w:rsidR="00FA4AA8" w:rsidRDefault="0015611F">
            <w:pPr>
              <w:pStyle w:val="TableParagraph"/>
              <w:spacing w:line="179" w:lineRule="exact"/>
              <w:ind w:right="109"/>
              <w:jc w:val="right"/>
              <w:rPr>
                <w:b/>
                <w:sz w:val="16"/>
              </w:rPr>
            </w:pPr>
            <w:r>
              <w:rPr>
                <w:b/>
                <w:sz w:val="16"/>
              </w:rPr>
              <w:t>2018</w:t>
            </w:r>
          </w:p>
        </w:tc>
        <w:tc>
          <w:tcPr>
            <w:tcW w:w="607" w:type="dxa"/>
          </w:tcPr>
          <w:p w14:paraId="192A1A32" w14:textId="77777777" w:rsidR="00FA4AA8" w:rsidRDefault="0015611F">
            <w:pPr>
              <w:pStyle w:val="TableParagraph"/>
              <w:spacing w:line="179" w:lineRule="exact"/>
              <w:ind w:right="174"/>
              <w:jc w:val="right"/>
              <w:rPr>
                <w:b/>
                <w:sz w:val="16"/>
              </w:rPr>
            </w:pPr>
            <w:r>
              <w:rPr>
                <w:b/>
                <w:sz w:val="16"/>
              </w:rPr>
              <w:t>2017</w:t>
            </w:r>
          </w:p>
        </w:tc>
        <w:tc>
          <w:tcPr>
            <w:tcW w:w="748" w:type="dxa"/>
          </w:tcPr>
          <w:p w14:paraId="7F3B9FAA" w14:textId="77777777" w:rsidR="00FA4AA8" w:rsidRDefault="0015611F">
            <w:pPr>
              <w:pStyle w:val="TableParagraph"/>
              <w:spacing w:line="179" w:lineRule="exact"/>
              <w:ind w:left="169"/>
              <w:rPr>
                <w:b/>
                <w:sz w:val="16"/>
              </w:rPr>
            </w:pPr>
            <w:r>
              <w:rPr>
                <w:b/>
                <w:sz w:val="16"/>
              </w:rPr>
              <w:t>2018</w:t>
            </w:r>
          </w:p>
        </w:tc>
        <w:tc>
          <w:tcPr>
            <w:tcW w:w="894" w:type="dxa"/>
          </w:tcPr>
          <w:p w14:paraId="2D69431B" w14:textId="77777777" w:rsidR="00FA4AA8" w:rsidRDefault="0015611F">
            <w:pPr>
              <w:pStyle w:val="TableParagraph"/>
              <w:spacing w:line="179" w:lineRule="exact"/>
              <w:ind w:left="227"/>
              <w:rPr>
                <w:b/>
                <w:sz w:val="16"/>
              </w:rPr>
            </w:pPr>
            <w:r>
              <w:rPr>
                <w:b/>
                <w:sz w:val="16"/>
              </w:rPr>
              <w:t>2017</w:t>
            </w:r>
          </w:p>
        </w:tc>
        <w:tc>
          <w:tcPr>
            <w:tcW w:w="828" w:type="dxa"/>
          </w:tcPr>
          <w:p w14:paraId="3A403083" w14:textId="77777777" w:rsidR="00FA4AA8" w:rsidRDefault="0015611F">
            <w:pPr>
              <w:pStyle w:val="TableParagraph"/>
              <w:spacing w:line="179" w:lineRule="exact"/>
              <w:ind w:left="168"/>
              <w:rPr>
                <w:b/>
                <w:sz w:val="16"/>
              </w:rPr>
            </w:pPr>
            <w:r>
              <w:rPr>
                <w:b/>
                <w:sz w:val="16"/>
              </w:rPr>
              <w:t>2018</w:t>
            </w:r>
          </w:p>
        </w:tc>
        <w:tc>
          <w:tcPr>
            <w:tcW w:w="703" w:type="dxa"/>
          </w:tcPr>
          <w:p w14:paraId="4B91D2ED" w14:textId="77777777" w:rsidR="00FA4AA8" w:rsidRDefault="0015611F">
            <w:pPr>
              <w:pStyle w:val="TableParagraph"/>
              <w:spacing w:line="179" w:lineRule="exact"/>
              <w:ind w:left="147"/>
              <w:rPr>
                <w:b/>
                <w:sz w:val="16"/>
              </w:rPr>
            </w:pPr>
            <w:r>
              <w:rPr>
                <w:b/>
                <w:sz w:val="16"/>
              </w:rPr>
              <w:t>2017</w:t>
            </w:r>
          </w:p>
        </w:tc>
        <w:tc>
          <w:tcPr>
            <w:tcW w:w="915" w:type="dxa"/>
          </w:tcPr>
          <w:p w14:paraId="3455B6EC" w14:textId="77777777" w:rsidR="00FA4AA8" w:rsidRDefault="0015611F">
            <w:pPr>
              <w:pStyle w:val="TableParagraph"/>
              <w:spacing w:line="179" w:lineRule="exact"/>
              <w:ind w:left="279"/>
              <w:rPr>
                <w:b/>
                <w:sz w:val="16"/>
              </w:rPr>
            </w:pPr>
            <w:r>
              <w:rPr>
                <w:b/>
                <w:sz w:val="16"/>
              </w:rPr>
              <w:t>2018</w:t>
            </w:r>
          </w:p>
        </w:tc>
        <w:tc>
          <w:tcPr>
            <w:tcW w:w="867" w:type="dxa"/>
          </w:tcPr>
          <w:p w14:paraId="575759FE" w14:textId="77777777" w:rsidR="00FA4AA8" w:rsidRDefault="0015611F">
            <w:pPr>
              <w:pStyle w:val="TableParagraph"/>
              <w:spacing w:line="179" w:lineRule="exact"/>
              <w:ind w:left="170"/>
              <w:rPr>
                <w:b/>
                <w:sz w:val="16"/>
              </w:rPr>
            </w:pPr>
            <w:r>
              <w:rPr>
                <w:b/>
                <w:sz w:val="16"/>
              </w:rPr>
              <w:t>2017</w:t>
            </w:r>
          </w:p>
        </w:tc>
        <w:tc>
          <w:tcPr>
            <w:tcW w:w="801" w:type="dxa"/>
          </w:tcPr>
          <w:p w14:paraId="4D245272" w14:textId="77777777" w:rsidR="00FA4AA8" w:rsidRDefault="0015611F">
            <w:pPr>
              <w:pStyle w:val="TableParagraph"/>
              <w:spacing w:line="179" w:lineRule="exact"/>
              <w:ind w:left="139"/>
              <w:rPr>
                <w:b/>
                <w:sz w:val="16"/>
              </w:rPr>
            </w:pPr>
            <w:r>
              <w:rPr>
                <w:b/>
                <w:sz w:val="16"/>
              </w:rPr>
              <w:t>2018</w:t>
            </w:r>
          </w:p>
        </w:tc>
        <w:tc>
          <w:tcPr>
            <w:tcW w:w="796" w:type="dxa"/>
          </w:tcPr>
          <w:p w14:paraId="057BABD8" w14:textId="77777777" w:rsidR="00FA4AA8" w:rsidRDefault="0015611F">
            <w:pPr>
              <w:pStyle w:val="TableParagraph"/>
              <w:spacing w:line="179" w:lineRule="exact"/>
              <w:ind w:left="144"/>
              <w:rPr>
                <w:b/>
                <w:sz w:val="16"/>
              </w:rPr>
            </w:pPr>
            <w:r>
              <w:rPr>
                <w:b/>
                <w:sz w:val="16"/>
              </w:rPr>
              <w:t>2017</w:t>
            </w:r>
          </w:p>
        </w:tc>
        <w:tc>
          <w:tcPr>
            <w:tcW w:w="821" w:type="dxa"/>
          </w:tcPr>
          <w:p w14:paraId="747C3B6E" w14:textId="77777777" w:rsidR="00FA4AA8" w:rsidRDefault="0015611F">
            <w:pPr>
              <w:pStyle w:val="TableParagraph"/>
              <w:spacing w:line="179" w:lineRule="exact"/>
              <w:ind w:left="183"/>
              <w:rPr>
                <w:b/>
                <w:sz w:val="16"/>
              </w:rPr>
            </w:pPr>
            <w:r>
              <w:rPr>
                <w:b/>
                <w:sz w:val="16"/>
              </w:rPr>
              <w:t>2018</w:t>
            </w:r>
          </w:p>
        </w:tc>
        <w:tc>
          <w:tcPr>
            <w:tcW w:w="821" w:type="dxa"/>
          </w:tcPr>
          <w:p w14:paraId="5D00F37B" w14:textId="77777777" w:rsidR="00FA4AA8" w:rsidRDefault="0015611F">
            <w:pPr>
              <w:pStyle w:val="TableParagraph"/>
              <w:spacing w:line="179" w:lineRule="exact"/>
              <w:ind w:left="169"/>
              <w:rPr>
                <w:b/>
                <w:sz w:val="16"/>
              </w:rPr>
            </w:pPr>
            <w:r>
              <w:rPr>
                <w:b/>
                <w:sz w:val="16"/>
              </w:rPr>
              <w:t>2017</w:t>
            </w:r>
          </w:p>
        </w:tc>
        <w:tc>
          <w:tcPr>
            <w:tcW w:w="821" w:type="dxa"/>
          </w:tcPr>
          <w:p w14:paraId="08898DBA" w14:textId="77777777" w:rsidR="00FA4AA8" w:rsidRDefault="0015611F">
            <w:pPr>
              <w:pStyle w:val="TableParagraph"/>
              <w:spacing w:line="179" w:lineRule="exact"/>
              <w:ind w:left="183"/>
              <w:rPr>
                <w:b/>
                <w:sz w:val="16"/>
              </w:rPr>
            </w:pPr>
            <w:r>
              <w:rPr>
                <w:b/>
                <w:sz w:val="16"/>
              </w:rPr>
              <w:t>2018</w:t>
            </w:r>
          </w:p>
        </w:tc>
        <w:tc>
          <w:tcPr>
            <w:tcW w:w="768" w:type="dxa"/>
          </w:tcPr>
          <w:p w14:paraId="200EDC75" w14:textId="77777777" w:rsidR="00FA4AA8" w:rsidRDefault="0015611F">
            <w:pPr>
              <w:pStyle w:val="TableParagraph"/>
              <w:spacing w:line="179" w:lineRule="exact"/>
              <w:ind w:left="168"/>
              <w:rPr>
                <w:b/>
                <w:sz w:val="16"/>
              </w:rPr>
            </w:pPr>
            <w:r>
              <w:rPr>
                <w:b/>
                <w:sz w:val="16"/>
              </w:rPr>
              <w:t>2017</w:t>
            </w:r>
          </w:p>
        </w:tc>
      </w:tr>
      <w:tr w:rsidR="00FA4AA8" w14:paraId="16ED5045" w14:textId="77777777">
        <w:trPr>
          <w:trHeight w:val="291"/>
        </w:trPr>
        <w:tc>
          <w:tcPr>
            <w:tcW w:w="3504" w:type="dxa"/>
            <w:vMerge/>
            <w:tcBorders>
              <w:top w:val="nil"/>
            </w:tcBorders>
          </w:tcPr>
          <w:p w14:paraId="3D48345A" w14:textId="77777777" w:rsidR="00FA4AA8" w:rsidRDefault="00FA4AA8">
            <w:pPr>
              <w:rPr>
                <w:sz w:val="2"/>
                <w:szCs w:val="2"/>
              </w:rPr>
            </w:pPr>
          </w:p>
        </w:tc>
        <w:tc>
          <w:tcPr>
            <w:tcW w:w="577" w:type="dxa"/>
          </w:tcPr>
          <w:p w14:paraId="160D343E" w14:textId="77777777" w:rsidR="00FA4AA8" w:rsidRDefault="0015611F">
            <w:pPr>
              <w:pStyle w:val="TableParagraph"/>
              <w:spacing w:before="31"/>
              <w:ind w:left="1"/>
              <w:jc w:val="center"/>
              <w:rPr>
                <w:b/>
                <w:sz w:val="16"/>
              </w:rPr>
            </w:pPr>
            <w:r>
              <w:rPr>
                <w:b/>
                <w:sz w:val="16"/>
              </w:rPr>
              <w:t>%</w:t>
            </w:r>
          </w:p>
        </w:tc>
        <w:tc>
          <w:tcPr>
            <w:tcW w:w="607" w:type="dxa"/>
          </w:tcPr>
          <w:p w14:paraId="1399F64F" w14:textId="77777777" w:rsidR="00FA4AA8" w:rsidRDefault="0015611F">
            <w:pPr>
              <w:pStyle w:val="TableParagraph"/>
              <w:spacing w:before="31"/>
              <w:ind w:left="183"/>
              <w:rPr>
                <w:b/>
                <w:sz w:val="16"/>
              </w:rPr>
            </w:pPr>
            <w:r>
              <w:rPr>
                <w:b/>
                <w:sz w:val="16"/>
              </w:rPr>
              <w:t>%</w:t>
            </w:r>
          </w:p>
        </w:tc>
        <w:tc>
          <w:tcPr>
            <w:tcW w:w="748" w:type="dxa"/>
          </w:tcPr>
          <w:p w14:paraId="148AE8A1" w14:textId="77777777" w:rsidR="00FA4AA8" w:rsidRDefault="0015611F">
            <w:pPr>
              <w:pStyle w:val="TableParagraph"/>
              <w:spacing w:before="31"/>
              <w:ind w:left="150"/>
              <w:rPr>
                <w:b/>
                <w:sz w:val="16"/>
              </w:rPr>
            </w:pPr>
            <w:r>
              <w:rPr>
                <w:b/>
                <w:sz w:val="16"/>
              </w:rPr>
              <w:t>$'000</w:t>
            </w:r>
          </w:p>
        </w:tc>
        <w:tc>
          <w:tcPr>
            <w:tcW w:w="894" w:type="dxa"/>
          </w:tcPr>
          <w:p w14:paraId="300B173F" w14:textId="77777777" w:rsidR="00FA4AA8" w:rsidRDefault="0015611F">
            <w:pPr>
              <w:pStyle w:val="TableParagraph"/>
              <w:spacing w:before="31"/>
              <w:ind w:left="208"/>
              <w:rPr>
                <w:b/>
                <w:sz w:val="16"/>
              </w:rPr>
            </w:pPr>
            <w:r>
              <w:rPr>
                <w:b/>
                <w:sz w:val="16"/>
              </w:rPr>
              <w:t>$'000</w:t>
            </w:r>
          </w:p>
        </w:tc>
        <w:tc>
          <w:tcPr>
            <w:tcW w:w="828" w:type="dxa"/>
          </w:tcPr>
          <w:p w14:paraId="34878C8D" w14:textId="77777777" w:rsidR="00FA4AA8" w:rsidRDefault="0015611F">
            <w:pPr>
              <w:pStyle w:val="TableParagraph"/>
              <w:spacing w:before="31"/>
              <w:ind w:left="149"/>
              <w:rPr>
                <w:b/>
                <w:sz w:val="16"/>
              </w:rPr>
            </w:pPr>
            <w:r>
              <w:rPr>
                <w:b/>
                <w:sz w:val="16"/>
              </w:rPr>
              <w:t>$'000</w:t>
            </w:r>
          </w:p>
        </w:tc>
        <w:tc>
          <w:tcPr>
            <w:tcW w:w="703" w:type="dxa"/>
          </w:tcPr>
          <w:p w14:paraId="4F27CDB2" w14:textId="77777777" w:rsidR="00FA4AA8" w:rsidRDefault="0015611F">
            <w:pPr>
              <w:pStyle w:val="TableParagraph"/>
              <w:spacing w:before="31"/>
              <w:ind w:left="128"/>
              <w:rPr>
                <w:b/>
                <w:sz w:val="16"/>
              </w:rPr>
            </w:pPr>
            <w:r>
              <w:rPr>
                <w:b/>
                <w:sz w:val="16"/>
              </w:rPr>
              <w:t>$'000</w:t>
            </w:r>
          </w:p>
        </w:tc>
        <w:tc>
          <w:tcPr>
            <w:tcW w:w="915" w:type="dxa"/>
          </w:tcPr>
          <w:p w14:paraId="450B02A6" w14:textId="77777777" w:rsidR="00FA4AA8" w:rsidRDefault="0015611F">
            <w:pPr>
              <w:pStyle w:val="TableParagraph"/>
              <w:spacing w:before="31"/>
              <w:ind w:left="260"/>
              <w:rPr>
                <w:b/>
                <w:sz w:val="16"/>
              </w:rPr>
            </w:pPr>
            <w:r>
              <w:rPr>
                <w:b/>
                <w:sz w:val="16"/>
              </w:rPr>
              <w:t>$'000</w:t>
            </w:r>
          </w:p>
        </w:tc>
        <w:tc>
          <w:tcPr>
            <w:tcW w:w="867" w:type="dxa"/>
          </w:tcPr>
          <w:p w14:paraId="5271841A" w14:textId="77777777" w:rsidR="00FA4AA8" w:rsidRDefault="0015611F">
            <w:pPr>
              <w:pStyle w:val="TableParagraph"/>
              <w:spacing w:before="31"/>
              <w:ind w:left="151"/>
              <w:rPr>
                <w:b/>
                <w:sz w:val="16"/>
              </w:rPr>
            </w:pPr>
            <w:r>
              <w:rPr>
                <w:b/>
                <w:sz w:val="16"/>
              </w:rPr>
              <w:t>$'000</w:t>
            </w:r>
          </w:p>
        </w:tc>
        <w:tc>
          <w:tcPr>
            <w:tcW w:w="801" w:type="dxa"/>
          </w:tcPr>
          <w:p w14:paraId="67E5C591" w14:textId="77777777" w:rsidR="00FA4AA8" w:rsidRDefault="0015611F">
            <w:pPr>
              <w:pStyle w:val="TableParagraph"/>
              <w:spacing w:before="31"/>
              <w:ind w:left="119"/>
              <w:rPr>
                <w:b/>
                <w:sz w:val="16"/>
              </w:rPr>
            </w:pPr>
            <w:r>
              <w:rPr>
                <w:b/>
                <w:sz w:val="16"/>
              </w:rPr>
              <w:t>$'000</w:t>
            </w:r>
          </w:p>
        </w:tc>
        <w:tc>
          <w:tcPr>
            <w:tcW w:w="796" w:type="dxa"/>
          </w:tcPr>
          <w:p w14:paraId="74D929A2" w14:textId="77777777" w:rsidR="00FA4AA8" w:rsidRDefault="0015611F">
            <w:pPr>
              <w:pStyle w:val="TableParagraph"/>
              <w:spacing w:before="31"/>
              <w:ind w:left="125"/>
              <w:rPr>
                <w:b/>
                <w:sz w:val="16"/>
              </w:rPr>
            </w:pPr>
            <w:r>
              <w:rPr>
                <w:b/>
                <w:sz w:val="16"/>
              </w:rPr>
              <w:t>$'000</w:t>
            </w:r>
          </w:p>
        </w:tc>
        <w:tc>
          <w:tcPr>
            <w:tcW w:w="821" w:type="dxa"/>
          </w:tcPr>
          <w:p w14:paraId="4A1F2383" w14:textId="77777777" w:rsidR="00FA4AA8" w:rsidRDefault="0015611F">
            <w:pPr>
              <w:pStyle w:val="TableParagraph"/>
              <w:spacing w:before="31"/>
              <w:ind w:left="164"/>
              <w:rPr>
                <w:b/>
                <w:sz w:val="16"/>
              </w:rPr>
            </w:pPr>
            <w:r>
              <w:rPr>
                <w:b/>
                <w:sz w:val="16"/>
              </w:rPr>
              <w:t>$'000</w:t>
            </w:r>
          </w:p>
        </w:tc>
        <w:tc>
          <w:tcPr>
            <w:tcW w:w="821" w:type="dxa"/>
          </w:tcPr>
          <w:p w14:paraId="27A23594" w14:textId="77777777" w:rsidR="00FA4AA8" w:rsidRDefault="0015611F">
            <w:pPr>
              <w:pStyle w:val="TableParagraph"/>
              <w:spacing w:before="31"/>
              <w:ind w:left="149"/>
              <w:rPr>
                <w:b/>
                <w:sz w:val="16"/>
              </w:rPr>
            </w:pPr>
            <w:r>
              <w:rPr>
                <w:b/>
                <w:sz w:val="16"/>
              </w:rPr>
              <w:t>$'000</w:t>
            </w:r>
          </w:p>
        </w:tc>
        <w:tc>
          <w:tcPr>
            <w:tcW w:w="821" w:type="dxa"/>
          </w:tcPr>
          <w:p w14:paraId="14EE3234" w14:textId="77777777" w:rsidR="00FA4AA8" w:rsidRDefault="0015611F">
            <w:pPr>
              <w:pStyle w:val="TableParagraph"/>
              <w:spacing w:before="31"/>
              <w:ind w:left="164"/>
              <w:rPr>
                <w:b/>
                <w:sz w:val="16"/>
              </w:rPr>
            </w:pPr>
            <w:r>
              <w:rPr>
                <w:b/>
                <w:sz w:val="16"/>
              </w:rPr>
              <w:t>$'000</w:t>
            </w:r>
          </w:p>
        </w:tc>
        <w:tc>
          <w:tcPr>
            <w:tcW w:w="768" w:type="dxa"/>
          </w:tcPr>
          <w:p w14:paraId="1108BAA7" w14:textId="77777777" w:rsidR="00FA4AA8" w:rsidRDefault="0015611F">
            <w:pPr>
              <w:pStyle w:val="TableParagraph"/>
              <w:spacing w:before="31"/>
              <w:ind w:left="149"/>
              <w:rPr>
                <w:b/>
                <w:sz w:val="16"/>
              </w:rPr>
            </w:pPr>
            <w:r>
              <w:rPr>
                <w:b/>
                <w:sz w:val="16"/>
              </w:rPr>
              <w:t>$'000</w:t>
            </w:r>
          </w:p>
        </w:tc>
      </w:tr>
      <w:tr w:rsidR="00FA4AA8" w14:paraId="395E0DB1" w14:textId="77777777">
        <w:trPr>
          <w:trHeight w:val="255"/>
        </w:trPr>
        <w:tc>
          <w:tcPr>
            <w:tcW w:w="3504" w:type="dxa"/>
          </w:tcPr>
          <w:p w14:paraId="292D1201" w14:textId="77777777" w:rsidR="00FA4AA8" w:rsidRDefault="0015611F">
            <w:pPr>
              <w:pStyle w:val="TableParagraph"/>
              <w:spacing w:before="71" w:line="164" w:lineRule="exact"/>
              <w:ind w:left="50"/>
              <w:rPr>
                <w:b/>
                <w:sz w:val="16"/>
              </w:rPr>
            </w:pPr>
            <w:r>
              <w:rPr>
                <w:b/>
                <w:sz w:val="16"/>
              </w:rPr>
              <w:t>Financial Assets:</w:t>
            </w:r>
          </w:p>
        </w:tc>
        <w:tc>
          <w:tcPr>
            <w:tcW w:w="577" w:type="dxa"/>
          </w:tcPr>
          <w:p w14:paraId="411866E9" w14:textId="77777777" w:rsidR="00FA4AA8" w:rsidRDefault="00FA4AA8">
            <w:pPr>
              <w:pStyle w:val="TableParagraph"/>
              <w:rPr>
                <w:rFonts w:ascii="Times New Roman"/>
                <w:sz w:val="16"/>
              </w:rPr>
            </w:pPr>
          </w:p>
        </w:tc>
        <w:tc>
          <w:tcPr>
            <w:tcW w:w="607" w:type="dxa"/>
          </w:tcPr>
          <w:p w14:paraId="6030DB79" w14:textId="77777777" w:rsidR="00FA4AA8" w:rsidRDefault="00FA4AA8">
            <w:pPr>
              <w:pStyle w:val="TableParagraph"/>
              <w:rPr>
                <w:rFonts w:ascii="Times New Roman"/>
                <w:sz w:val="16"/>
              </w:rPr>
            </w:pPr>
          </w:p>
        </w:tc>
        <w:tc>
          <w:tcPr>
            <w:tcW w:w="748" w:type="dxa"/>
          </w:tcPr>
          <w:p w14:paraId="4D60A133" w14:textId="77777777" w:rsidR="00FA4AA8" w:rsidRDefault="00FA4AA8">
            <w:pPr>
              <w:pStyle w:val="TableParagraph"/>
              <w:rPr>
                <w:rFonts w:ascii="Times New Roman"/>
                <w:sz w:val="16"/>
              </w:rPr>
            </w:pPr>
          </w:p>
        </w:tc>
        <w:tc>
          <w:tcPr>
            <w:tcW w:w="894" w:type="dxa"/>
          </w:tcPr>
          <w:p w14:paraId="0F14FF1E" w14:textId="77777777" w:rsidR="00FA4AA8" w:rsidRDefault="00FA4AA8">
            <w:pPr>
              <w:pStyle w:val="TableParagraph"/>
              <w:rPr>
                <w:rFonts w:ascii="Times New Roman"/>
                <w:sz w:val="16"/>
              </w:rPr>
            </w:pPr>
          </w:p>
        </w:tc>
        <w:tc>
          <w:tcPr>
            <w:tcW w:w="828" w:type="dxa"/>
          </w:tcPr>
          <w:p w14:paraId="338BD05B" w14:textId="77777777" w:rsidR="00FA4AA8" w:rsidRDefault="00FA4AA8">
            <w:pPr>
              <w:pStyle w:val="TableParagraph"/>
              <w:rPr>
                <w:rFonts w:ascii="Times New Roman"/>
                <w:sz w:val="16"/>
              </w:rPr>
            </w:pPr>
          </w:p>
        </w:tc>
        <w:tc>
          <w:tcPr>
            <w:tcW w:w="703" w:type="dxa"/>
          </w:tcPr>
          <w:p w14:paraId="15C4FE37" w14:textId="77777777" w:rsidR="00FA4AA8" w:rsidRDefault="00FA4AA8">
            <w:pPr>
              <w:pStyle w:val="TableParagraph"/>
              <w:rPr>
                <w:rFonts w:ascii="Times New Roman"/>
                <w:sz w:val="16"/>
              </w:rPr>
            </w:pPr>
          </w:p>
        </w:tc>
        <w:tc>
          <w:tcPr>
            <w:tcW w:w="915" w:type="dxa"/>
          </w:tcPr>
          <w:p w14:paraId="41593E93" w14:textId="77777777" w:rsidR="00FA4AA8" w:rsidRDefault="00FA4AA8">
            <w:pPr>
              <w:pStyle w:val="TableParagraph"/>
              <w:rPr>
                <w:rFonts w:ascii="Times New Roman"/>
                <w:sz w:val="16"/>
              </w:rPr>
            </w:pPr>
          </w:p>
        </w:tc>
        <w:tc>
          <w:tcPr>
            <w:tcW w:w="867" w:type="dxa"/>
          </w:tcPr>
          <w:p w14:paraId="17C268E4" w14:textId="77777777" w:rsidR="00FA4AA8" w:rsidRDefault="00FA4AA8">
            <w:pPr>
              <w:pStyle w:val="TableParagraph"/>
              <w:rPr>
                <w:rFonts w:ascii="Times New Roman"/>
                <w:sz w:val="16"/>
              </w:rPr>
            </w:pPr>
          </w:p>
        </w:tc>
        <w:tc>
          <w:tcPr>
            <w:tcW w:w="801" w:type="dxa"/>
          </w:tcPr>
          <w:p w14:paraId="183EC45A" w14:textId="77777777" w:rsidR="00FA4AA8" w:rsidRDefault="00FA4AA8">
            <w:pPr>
              <w:pStyle w:val="TableParagraph"/>
              <w:rPr>
                <w:rFonts w:ascii="Times New Roman"/>
                <w:sz w:val="16"/>
              </w:rPr>
            </w:pPr>
          </w:p>
        </w:tc>
        <w:tc>
          <w:tcPr>
            <w:tcW w:w="796" w:type="dxa"/>
          </w:tcPr>
          <w:p w14:paraId="3AFF7C26" w14:textId="77777777" w:rsidR="00FA4AA8" w:rsidRDefault="00FA4AA8">
            <w:pPr>
              <w:pStyle w:val="TableParagraph"/>
              <w:rPr>
                <w:rFonts w:ascii="Times New Roman"/>
                <w:sz w:val="16"/>
              </w:rPr>
            </w:pPr>
          </w:p>
        </w:tc>
        <w:tc>
          <w:tcPr>
            <w:tcW w:w="821" w:type="dxa"/>
          </w:tcPr>
          <w:p w14:paraId="764A9445" w14:textId="77777777" w:rsidR="00FA4AA8" w:rsidRDefault="00FA4AA8">
            <w:pPr>
              <w:pStyle w:val="TableParagraph"/>
              <w:rPr>
                <w:rFonts w:ascii="Times New Roman"/>
                <w:sz w:val="16"/>
              </w:rPr>
            </w:pPr>
          </w:p>
        </w:tc>
        <w:tc>
          <w:tcPr>
            <w:tcW w:w="821" w:type="dxa"/>
          </w:tcPr>
          <w:p w14:paraId="26270C6F" w14:textId="77777777" w:rsidR="00FA4AA8" w:rsidRDefault="00FA4AA8">
            <w:pPr>
              <w:pStyle w:val="TableParagraph"/>
              <w:rPr>
                <w:rFonts w:ascii="Times New Roman"/>
                <w:sz w:val="16"/>
              </w:rPr>
            </w:pPr>
          </w:p>
        </w:tc>
        <w:tc>
          <w:tcPr>
            <w:tcW w:w="821" w:type="dxa"/>
          </w:tcPr>
          <w:p w14:paraId="4314D16B" w14:textId="77777777" w:rsidR="00FA4AA8" w:rsidRDefault="00FA4AA8">
            <w:pPr>
              <w:pStyle w:val="TableParagraph"/>
              <w:rPr>
                <w:rFonts w:ascii="Times New Roman"/>
                <w:sz w:val="16"/>
              </w:rPr>
            </w:pPr>
          </w:p>
        </w:tc>
        <w:tc>
          <w:tcPr>
            <w:tcW w:w="768" w:type="dxa"/>
          </w:tcPr>
          <w:p w14:paraId="10B2E092" w14:textId="77777777" w:rsidR="00FA4AA8" w:rsidRDefault="00FA4AA8">
            <w:pPr>
              <w:pStyle w:val="TableParagraph"/>
              <w:rPr>
                <w:rFonts w:ascii="Times New Roman"/>
                <w:sz w:val="16"/>
              </w:rPr>
            </w:pPr>
          </w:p>
        </w:tc>
      </w:tr>
      <w:tr w:rsidR="00FA4AA8" w14:paraId="40F84D0E" w14:textId="77777777">
        <w:trPr>
          <w:trHeight w:val="244"/>
        </w:trPr>
        <w:tc>
          <w:tcPr>
            <w:tcW w:w="4081" w:type="dxa"/>
            <w:gridSpan w:val="2"/>
          </w:tcPr>
          <w:p w14:paraId="6840122B" w14:textId="77777777" w:rsidR="00FA4AA8" w:rsidRDefault="0015611F">
            <w:pPr>
              <w:pStyle w:val="TableParagraph"/>
              <w:tabs>
                <w:tab w:val="right" w:pos="4003"/>
              </w:tabs>
              <w:spacing w:before="29"/>
              <w:ind w:left="50"/>
              <w:rPr>
                <w:b/>
                <w:sz w:val="16"/>
              </w:rPr>
            </w:pPr>
            <w:r>
              <w:rPr>
                <w:sz w:val="16"/>
              </w:rPr>
              <w:t>Cash and</w:t>
            </w:r>
            <w:r>
              <w:rPr>
                <w:spacing w:val="-1"/>
                <w:sz w:val="16"/>
              </w:rPr>
              <w:t xml:space="preserve"> </w:t>
            </w:r>
            <w:r>
              <w:rPr>
                <w:sz w:val="16"/>
              </w:rPr>
              <w:t>cash equivalents</w:t>
            </w:r>
            <w:r>
              <w:rPr>
                <w:sz w:val="16"/>
              </w:rPr>
              <w:tab/>
            </w:r>
            <w:r>
              <w:rPr>
                <w:b/>
                <w:sz w:val="16"/>
              </w:rPr>
              <w:t>2.10</w:t>
            </w:r>
          </w:p>
        </w:tc>
        <w:tc>
          <w:tcPr>
            <w:tcW w:w="607" w:type="dxa"/>
          </w:tcPr>
          <w:p w14:paraId="7D05F7C6" w14:textId="77777777" w:rsidR="00FA4AA8" w:rsidRDefault="0015611F">
            <w:pPr>
              <w:pStyle w:val="TableParagraph"/>
              <w:spacing w:before="29"/>
              <w:ind w:right="152"/>
              <w:jc w:val="right"/>
              <w:rPr>
                <w:sz w:val="16"/>
              </w:rPr>
            </w:pPr>
            <w:r>
              <w:rPr>
                <w:sz w:val="16"/>
              </w:rPr>
              <w:t>2.39</w:t>
            </w:r>
          </w:p>
        </w:tc>
        <w:tc>
          <w:tcPr>
            <w:tcW w:w="748" w:type="dxa"/>
          </w:tcPr>
          <w:p w14:paraId="68FF664E" w14:textId="77777777" w:rsidR="00FA4AA8" w:rsidRDefault="0015611F">
            <w:pPr>
              <w:pStyle w:val="TableParagraph"/>
              <w:spacing w:before="29"/>
              <w:ind w:right="55"/>
              <w:jc w:val="right"/>
              <w:rPr>
                <w:b/>
                <w:sz w:val="16"/>
              </w:rPr>
            </w:pPr>
            <w:r>
              <w:rPr>
                <w:b/>
                <w:sz w:val="16"/>
              </w:rPr>
              <w:t>71,123</w:t>
            </w:r>
          </w:p>
        </w:tc>
        <w:tc>
          <w:tcPr>
            <w:tcW w:w="894" w:type="dxa"/>
          </w:tcPr>
          <w:p w14:paraId="2904B673" w14:textId="77777777" w:rsidR="00FA4AA8" w:rsidRDefault="0015611F">
            <w:pPr>
              <w:pStyle w:val="TableParagraph"/>
              <w:spacing w:before="29"/>
              <w:ind w:left="158"/>
              <w:rPr>
                <w:sz w:val="16"/>
              </w:rPr>
            </w:pPr>
            <w:r>
              <w:rPr>
                <w:sz w:val="16"/>
              </w:rPr>
              <w:t>124,030</w:t>
            </w:r>
          </w:p>
        </w:tc>
        <w:tc>
          <w:tcPr>
            <w:tcW w:w="828" w:type="dxa"/>
          </w:tcPr>
          <w:p w14:paraId="34D813C6" w14:textId="77777777" w:rsidR="00FA4AA8" w:rsidRDefault="0015611F">
            <w:pPr>
              <w:pStyle w:val="TableParagraph"/>
              <w:spacing w:before="29"/>
              <w:ind w:left="200"/>
              <w:rPr>
                <w:b/>
                <w:sz w:val="16"/>
              </w:rPr>
            </w:pPr>
            <w:r>
              <w:rPr>
                <w:b/>
                <w:sz w:val="16"/>
              </w:rPr>
              <w:t>31,167</w:t>
            </w:r>
          </w:p>
        </w:tc>
        <w:tc>
          <w:tcPr>
            <w:tcW w:w="703" w:type="dxa"/>
          </w:tcPr>
          <w:p w14:paraId="607B5D08" w14:textId="77777777" w:rsidR="00FA4AA8" w:rsidRDefault="0015611F">
            <w:pPr>
              <w:pStyle w:val="TableParagraph"/>
              <w:spacing w:before="29"/>
              <w:ind w:right="44"/>
              <w:jc w:val="right"/>
              <w:rPr>
                <w:sz w:val="16"/>
              </w:rPr>
            </w:pPr>
            <w:r>
              <w:rPr>
                <w:sz w:val="16"/>
              </w:rPr>
              <w:t>97,718</w:t>
            </w:r>
          </w:p>
        </w:tc>
        <w:tc>
          <w:tcPr>
            <w:tcW w:w="915" w:type="dxa"/>
          </w:tcPr>
          <w:p w14:paraId="77ACEE65" w14:textId="77777777" w:rsidR="00FA4AA8" w:rsidRDefault="0015611F">
            <w:pPr>
              <w:pStyle w:val="TableParagraph"/>
              <w:spacing w:before="29"/>
              <w:ind w:right="112"/>
              <w:jc w:val="right"/>
              <w:rPr>
                <w:b/>
                <w:sz w:val="16"/>
              </w:rPr>
            </w:pPr>
            <w:r>
              <w:rPr>
                <w:b/>
                <w:sz w:val="16"/>
              </w:rPr>
              <w:t>-</w:t>
            </w:r>
          </w:p>
        </w:tc>
        <w:tc>
          <w:tcPr>
            <w:tcW w:w="867" w:type="dxa"/>
          </w:tcPr>
          <w:p w14:paraId="40428783" w14:textId="77777777" w:rsidR="00FA4AA8" w:rsidRDefault="0015611F">
            <w:pPr>
              <w:pStyle w:val="TableParagraph"/>
              <w:spacing w:before="29"/>
              <w:ind w:right="184"/>
              <w:jc w:val="right"/>
              <w:rPr>
                <w:sz w:val="16"/>
              </w:rPr>
            </w:pPr>
            <w:r>
              <w:rPr>
                <w:sz w:val="16"/>
              </w:rPr>
              <w:t>-</w:t>
            </w:r>
          </w:p>
        </w:tc>
        <w:tc>
          <w:tcPr>
            <w:tcW w:w="801" w:type="dxa"/>
          </w:tcPr>
          <w:p w14:paraId="535578F1" w14:textId="77777777" w:rsidR="00FA4AA8" w:rsidRDefault="0015611F">
            <w:pPr>
              <w:pStyle w:val="TableParagraph"/>
              <w:spacing w:before="29"/>
              <w:ind w:right="138"/>
              <w:jc w:val="right"/>
              <w:rPr>
                <w:b/>
                <w:sz w:val="16"/>
              </w:rPr>
            </w:pPr>
            <w:r>
              <w:rPr>
                <w:b/>
                <w:sz w:val="16"/>
              </w:rPr>
              <w:t>-</w:t>
            </w:r>
          </w:p>
        </w:tc>
        <w:tc>
          <w:tcPr>
            <w:tcW w:w="796" w:type="dxa"/>
          </w:tcPr>
          <w:p w14:paraId="110D92EA" w14:textId="77777777" w:rsidR="00FA4AA8" w:rsidRDefault="0015611F">
            <w:pPr>
              <w:pStyle w:val="TableParagraph"/>
              <w:spacing w:before="29"/>
              <w:ind w:right="140"/>
              <w:jc w:val="right"/>
              <w:rPr>
                <w:sz w:val="16"/>
              </w:rPr>
            </w:pPr>
            <w:r>
              <w:rPr>
                <w:sz w:val="16"/>
              </w:rPr>
              <w:t>-</w:t>
            </w:r>
          </w:p>
        </w:tc>
        <w:tc>
          <w:tcPr>
            <w:tcW w:w="821" w:type="dxa"/>
          </w:tcPr>
          <w:p w14:paraId="50C9DAEC" w14:textId="77777777" w:rsidR="00FA4AA8" w:rsidRDefault="0015611F">
            <w:pPr>
              <w:pStyle w:val="TableParagraph"/>
              <w:spacing w:before="29"/>
              <w:ind w:right="113"/>
              <w:jc w:val="right"/>
              <w:rPr>
                <w:b/>
                <w:sz w:val="16"/>
              </w:rPr>
            </w:pPr>
            <w:r>
              <w:rPr>
                <w:b/>
                <w:sz w:val="16"/>
              </w:rPr>
              <w:t>-</w:t>
            </w:r>
          </w:p>
        </w:tc>
        <w:tc>
          <w:tcPr>
            <w:tcW w:w="821" w:type="dxa"/>
          </w:tcPr>
          <w:p w14:paraId="6AE06740" w14:textId="77777777" w:rsidR="00FA4AA8" w:rsidRDefault="0015611F">
            <w:pPr>
              <w:pStyle w:val="TableParagraph"/>
              <w:spacing w:before="29"/>
              <w:ind w:right="140"/>
              <w:jc w:val="right"/>
              <w:rPr>
                <w:sz w:val="16"/>
              </w:rPr>
            </w:pPr>
            <w:r>
              <w:rPr>
                <w:sz w:val="16"/>
              </w:rPr>
              <w:t>-</w:t>
            </w:r>
          </w:p>
        </w:tc>
        <w:tc>
          <w:tcPr>
            <w:tcW w:w="821" w:type="dxa"/>
          </w:tcPr>
          <w:p w14:paraId="3DE5E215" w14:textId="77777777" w:rsidR="00FA4AA8" w:rsidRDefault="0015611F">
            <w:pPr>
              <w:pStyle w:val="TableParagraph"/>
              <w:spacing w:before="29"/>
              <w:ind w:right="114"/>
              <w:jc w:val="right"/>
              <w:rPr>
                <w:b/>
                <w:sz w:val="16"/>
              </w:rPr>
            </w:pPr>
            <w:r>
              <w:rPr>
                <w:b/>
                <w:sz w:val="16"/>
              </w:rPr>
              <w:t>102,290</w:t>
            </w:r>
          </w:p>
        </w:tc>
        <w:tc>
          <w:tcPr>
            <w:tcW w:w="768" w:type="dxa"/>
          </w:tcPr>
          <w:p w14:paraId="371F25C2" w14:textId="77777777" w:rsidR="00FA4AA8" w:rsidRDefault="0015611F">
            <w:pPr>
              <w:pStyle w:val="TableParagraph"/>
              <w:spacing w:before="29"/>
              <w:ind w:right="88"/>
              <w:jc w:val="right"/>
              <w:rPr>
                <w:sz w:val="16"/>
              </w:rPr>
            </w:pPr>
            <w:r>
              <w:rPr>
                <w:sz w:val="16"/>
              </w:rPr>
              <w:t>221,748</w:t>
            </w:r>
          </w:p>
        </w:tc>
      </w:tr>
      <w:tr w:rsidR="00FA4AA8" w14:paraId="64C17AA5" w14:textId="77777777">
        <w:trPr>
          <w:trHeight w:val="391"/>
        </w:trPr>
        <w:tc>
          <w:tcPr>
            <w:tcW w:w="4081" w:type="dxa"/>
            <w:gridSpan w:val="2"/>
          </w:tcPr>
          <w:p w14:paraId="10B0FA2A" w14:textId="77777777" w:rsidR="00FA4AA8" w:rsidRDefault="0015611F">
            <w:pPr>
              <w:pStyle w:val="TableParagraph"/>
              <w:tabs>
                <w:tab w:val="left" w:pos="3949"/>
              </w:tabs>
              <w:spacing w:before="27"/>
              <w:ind w:left="50"/>
              <w:rPr>
                <w:b/>
                <w:sz w:val="16"/>
              </w:rPr>
            </w:pPr>
            <w:r>
              <w:rPr>
                <w:sz w:val="16"/>
              </w:rPr>
              <w:t>Receivables</w:t>
            </w:r>
            <w:r>
              <w:rPr>
                <w:spacing w:val="-2"/>
                <w:sz w:val="16"/>
              </w:rPr>
              <w:t xml:space="preserve"> </w:t>
            </w:r>
            <w:r>
              <w:rPr>
                <w:sz w:val="16"/>
              </w:rPr>
              <w:t>(a)</w:t>
            </w:r>
            <w:r>
              <w:rPr>
                <w:sz w:val="16"/>
              </w:rPr>
              <w:tab/>
            </w:r>
            <w:r>
              <w:rPr>
                <w:b/>
                <w:sz w:val="16"/>
              </w:rPr>
              <w:t>-</w:t>
            </w:r>
          </w:p>
        </w:tc>
        <w:tc>
          <w:tcPr>
            <w:tcW w:w="607" w:type="dxa"/>
          </w:tcPr>
          <w:p w14:paraId="7079DC32" w14:textId="77777777" w:rsidR="00FA4AA8" w:rsidRDefault="0015611F">
            <w:pPr>
              <w:pStyle w:val="TableParagraph"/>
              <w:spacing w:before="27"/>
              <w:ind w:right="152"/>
              <w:jc w:val="right"/>
              <w:rPr>
                <w:sz w:val="16"/>
              </w:rPr>
            </w:pPr>
            <w:r>
              <w:rPr>
                <w:sz w:val="16"/>
              </w:rPr>
              <w:t>-</w:t>
            </w:r>
          </w:p>
        </w:tc>
        <w:tc>
          <w:tcPr>
            <w:tcW w:w="748" w:type="dxa"/>
          </w:tcPr>
          <w:p w14:paraId="0E015A2F" w14:textId="77777777" w:rsidR="00FA4AA8" w:rsidRDefault="0015611F">
            <w:pPr>
              <w:pStyle w:val="TableParagraph"/>
              <w:spacing w:before="27"/>
              <w:ind w:right="55"/>
              <w:jc w:val="right"/>
              <w:rPr>
                <w:b/>
                <w:sz w:val="16"/>
              </w:rPr>
            </w:pPr>
            <w:r>
              <w:rPr>
                <w:b/>
                <w:sz w:val="16"/>
              </w:rPr>
              <w:t>-</w:t>
            </w:r>
          </w:p>
        </w:tc>
        <w:tc>
          <w:tcPr>
            <w:tcW w:w="894" w:type="dxa"/>
          </w:tcPr>
          <w:p w14:paraId="64ED85D4" w14:textId="77777777" w:rsidR="00FA4AA8" w:rsidRDefault="0015611F">
            <w:pPr>
              <w:pStyle w:val="TableParagraph"/>
              <w:spacing w:before="27"/>
              <w:ind w:right="154"/>
              <w:jc w:val="right"/>
              <w:rPr>
                <w:sz w:val="16"/>
              </w:rPr>
            </w:pPr>
            <w:r>
              <w:rPr>
                <w:sz w:val="16"/>
              </w:rPr>
              <w:t>-</w:t>
            </w:r>
          </w:p>
        </w:tc>
        <w:tc>
          <w:tcPr>
            <w:tcW w:w="828" w:type="dxa"/>
          </w:tcPr>
          <w:p w14:paraId="0733FE2B" w14:textId="77777777" w:rsidR="00FA4AA8" w:rsidRDefault="0015611F">
            <w:pPr>
              <w:pStyle w:val="TableParagraph"/>
              <w:spacing w:before="27"/>
              <w:ind w:right="135"/>
              <w:jc w:val="right"/>
              <w:rPr>
                <w:b/>
                <w:sz w:val="16"/>
              </w:rPr>
            </w:pPr>
            <w:r>
              <w:rPr>
                <w:b/>
                <w:sz w:val="16"/>
              </w:rPr>
              <w:t>-</w:t>
            </w:r>
          </w:p>
        </w:tc>
        <w:tc>
          <w:tcPr>
            <w:tcW w:w="703" w:type="dxa"/>
          </w:tcPr>
          <w:p w14:paraId="70AA7D87" w14:textId="77777777" w:rsidR="00FA4AA8" w:rsidRDefault="0015611F">
            <w:pPr>
              <w:pStyle w:val="TableParagraph"/>
              <w:spacing w:before="27"/>
              <w:ind w:right="44"/>
              <w:jc w:val="right"/>
              <w:rPr>
                <w:sz w:val="16"/>
              </w:rPr>
            </w:pPr>
            <w:r>
              <w:rPr>
                <w:sz w:val="16"/>
              </w:rPr>
              <w:t>-</w:t>
            </w:r>
          </w:p>
        </w:tc>
        <w:tc>
          <w:tcPr>
            <w:tcW w:w="915" w:type="dxa"/>
          </w:tcPr>
          <w:p w14:paraId="579E8FF0" w14:textId="77777777" w:rsidR="00FA4AA8" w:rsidRDefault="0015611F">
            <w:pPr>
              <w:pStyle w:val="TableParagraph"/>
              <w:spacing w:before="27"/>
              <w:ind w:right="112"/>
              <w:jc w:val="right"/>
              <w:rPr>
                <w:b/>
                <w:sz w:val="16"/>
              </w:rPr>
            </w:pPr>
            <w:r>
              <w:rPr>
                <w:b/>
                <w:sz w:val="16"/>
              </w:rPr>
              <w:t>-</w:t>
            </w:r>
          </w:p>
        </w:tc>
        <w:tc>
          <w:tcPr>
            <w:tcW w:w="867" w:type="dxa"/>
          </w:tcPr>
          <w:p w14:paraId="7904D99A" w14:textId="77777777" w:rsidR="00FA4AA8" w:rsidRDefault="0015611F">
            <w:pPr>
              <w:pStyle w:val="TableParagraph"/>
              <w:spacing w:before="27"/>
              <w:ind w:right="184"/>
              <w:jc w:val="right"/>
              <w:rPr>
                <w:sz w:val="16"/>
              </w:rPr>
            </w:pPr>
            <w:r>
              <w:rPr>
                <w:sz w:val="16"/>
              </w:rPr>
              <w:t>-</w:t>
            </w:r>
          </w:p>
        </w:tc>
        <w:tc>
          <w:tcPr>
            <w:tcW w:w="801" w:type="dxa"/>
          </w:tcPr>
          <w:p w14:paraId="4A1CECF8" w14:textId="77777777" w:rsidR="00FA4AA8" w:rsidRDefault="0015611F">
            <w:pPr>
              <w:pStyle w:val="TableParagraph"/>
              <w:spacing w:before="27"/>
              <w:ind w:right="138"/>
              <w:jc w:val="right"/>
              <w:rPr>
                <w:b/>
                <w:sz w:val="16"/>
              </w:rPr>
            </w:pPr>
            <w:r>
              <w:rPr>
                <w:b/>
                <w:sz w:val="16"/>
              </w:rPr>
              <w:t>-</w:t>
            </w:r>
          </w:p>
        </w:tc>
        <w:tc>
          <w:tcPr>
            <w:tcW w:w="796" w:type="dxa"/>
          </w:tcPr>
          <w:p w14:paraId="52BBC208" w14:textId="77777777" w:rsidR="00FA4AA8" w:rsidRDefault="0015611F">
            <w:pPr>
              <w:pStyle w:val="TableParagraph"/>
              <w:spacing w:before="27"/>
              <w:ind w:right="140"/>
              <w:jc w:val="right"/>
              <w:rPr>
                <w:sz w:val="16"/>
              </w:rPr>
            </w:pPr>
            <w:r>
              <w:rPr>
                <w:sz w:val="16"/>
              </w:rPr>
              <w:t>-</w:t>
            </w:r>
          </w:p>
        </w:tc>
        <w:tc>
          <w:tcPr>
            <w:tcW w:w="821" w:type="dxa"/>
          </w:tcPr>
          <w:p w14:paraId="080F81E1" w14:textId="77777777" w:rsidR="00FA4AA8" w:rsidRDefault="0015611F">
            <w:pPr>
              <w:pStyle w:val="TableParagraph"/>
              <w:spacing w:before="27"/>
              <w:ind w:right="114"/>
              <w:jc w:val="right"/>
              <w:rPr>
                <w:b/>
                <w:sz w:val="16"/>
              </w:rPr>
            </w:pPr>
            <w:r>
              <w:rPr>
                <w:b/>
                <w:sz w:val="16"/>
              </w:rPr>
              <w:t>71,204</w:t>
            </w:r>
          </w:p>
        </w:tc>
        <w:tc>
          <w:tcPr>
            <w:tcW w:w="821" w:type="dxa"/>
          </w:tcPr>
          <w:p w14:paraId="55F64777" w14:textId="77777777" w:rsidR="00FA4AA8" w:rsidRDefault="0015611F">
            <w:pPr>
              <w:pStyle w:val="TableParagraph"/>
              <w:spacing w:before="27"/>
              <w:ind w:left="188"/>
              <w:rPr>
                <w:sz w:val="16"/>
              </w:rPr>
            </w:pPr>
            <w:r>
              <w:rPr>
                <w:sz w:val="16"/>
              </w:rPr>
              <w:t>92,286</w:t>
            </w:r>
          </w:p>
        </w:tc>
        <w:tc>
          <w:tcPr>
            <w:tcW w:w="821" w:type="dxa"/>
          </w:tcPr>
          <w:p w14:paraId="642078F2" w14:textId="77777777" w:rsidR="00FA4AA8" w:rsidRDefault="0015611F">
            <w:pPr>
              <w:pStyle w:val="TableParagraph"/>
              <w:spacing w:before="27"/>
              <w:ind w:right="114"/>
              <w:jc w:val="right"/>
              <w:rPr>
                <w:b/>
                <w:sz w:val="16"/>
              </w:rPr>
            </w:pPr>
            <w:r>
              <w:rPr>
                <w:b/>
                <w:sz w:val="16"/>
              </w:rPr>
              <w:t>71,204</w:t>
            </w:r>
          </w:p>
        </w:tc>
        <w:tc>
          <w:tcPr>
            <w:tcW w:w="768" w:type="dxa"/>
          </w:tcPr>
          <w:p w14:paraId="4CCCB826" w14:textId="77777777" w:rsidR="00FA4AA8" w:rsidRDefault="0015611F">
            <w:pPr>
              <w:pStyle w:val="TableParagraph"/>
              <w:spacing w:before="27"/>
              <w:ind w:right="88"/>
              <w:jc w:val="right"/>
              <w:rPr>
                <w:sz w:val="16"/>
              </w:rPr>
            </w:pPr>
            <w:r>
              <w:rPr>
                <w:sz w:val="16"/>
              </w:rPr>
              <w:t>92,286</w:t>
            </w:r>
          </w:p>
        </w:tc>
      </w:tr>
      <w:tr w:rsidR="00FA4AA8" w14:paraId="3CE9565A" w14:textId="77777777">
        <w:trPr>
          <w:trHeight w:val="391"/>
        </w:trPr>
        <w:tc>
          <w:tcPr>
            <w:tcW w:w="4081" w:type="dxa"/>
            <w:gridSpan w:val="2"/>
          </w:tcPr>
          <w:p w14:paraId="6D8AFAE8" w14:textId="77777777" w:rsidR="00FA4AA8" w:rsidRDefault="0015611F">
            <w:pPr>
              <w:pStyle w:val="TableParagraph"/>
              <w:spacing w:line="146" w:lineRule="exact"/>
              <w:ind w:left="50"/>
              <w:rPr>
                <w:sz w:val="16"/>
              </w:rPr>
            </w:pPr>
            <w:r>
              <w:rPr>
                <w:sz w:val="16"/>
              </w:rPr>
              <w:t>Other Financial Assets</w:t>
            </w:r>
          </w:p>
          <w:p w14:paraId="07C896DD" w14:textId="77777777" w:rsidR="00FA4AA8" w:rsidRDefault="0015611F">
            <w:pPr>
              <w:pStyle w:val="TableParagraph"/>
              <w:tabs>
                <w:tab w:val="left" w:pos="3949"/>
              </w:tabs>
              <w:spacing w:before="29"/>
              <w:ind w:left="191"/>
              <w:rPr>
                <w:b/>
                <w:sz w:val="16"/>
              </w:rPr>
            </w:pPr>
            <w:r>
              <w:rPr>
                <w:sz w:val="16"/>
              </w:rPr>
              <w:t>Fair value through profit or</w:t>
            </w:r>
            <w:r>
              <w:rPr>
                <w:spacing w:val="-5"/>
                <w:sz w:val="16"/>
              </w:rPr>
              <w:t xml:space="preserve"> </w:t>
            </w:r>
            <w:r>
              <w:rPr>
                <w:sz w:val="16"/>
              </w:rPr>
              <w:t>loss</w:t>
            </w:r>
            <w:r>
              <w:rPr>
                <w:spacing w:val="-1"/>
                <w:sz w:val="16"/>
              </w:rPr>
              <w:t xml:space="preserve"> </w:t>
            </w:r>
            <w:r>
              <w:rPr>
                <w:sz w:val="16"/>
              </w:rPr>
              <w:t>(Acadian)</w:t>
            </w:r>
            <w:r>
              <w:rPr>
                <w:sz w:val="16"/>
              </w:rPr>
              <w:tab/>
            </w:r>
            <w:r>
              <w:rPr>
                <w:b/>
                <w:sz w:val="16"/>
              </w:rPr>
              <w:t>-</w:t>
            </w:r>
          </w:p>
        </w:tc>
        <w:tc>
          <w:tcPr>
            <w:tcW w:w="607" w:type="dxa"/>
          </w:tcPr>
          <w:p w14:paraId="35504413" w14:textId="77777777" w:rsidR="00FA4AA8" w:rsidRDefault="00FA4AA8">
            <w:pPr>
              <w:pStyle w:val="TableParagraph"/>
              <w:spacing w:before="3"/>
              <w:rPr>
                <w:b/>
                <w:sz w:val="15"/>
              </w:rPr>
            </w:pPr>
          </w:p>
          <w:p w14:paraId="635051AF" w14:textId="77777777" w:rsidR="00FA4AA8" w:rsidRDefault="0015611F">
            <w:pPr>
              <w:pStyle w:val="TableParagraph"/>
              <w:ind w:right="152"/>
              <w:jc w:val="right"/>
              <w:rPr>
                <w:sz w:val="16"/>
              </w:rPr>
            </w:pPr>
            <w:r>
              <w:rPr>
                <w:sz w:val="16"/>
              </w:rPr>
              <w:t>-</w:t>
            </w:r>
          </w:p>
        </w:tc>
        <w:tc>
          <w:tcPr>
            <w:tcW w:w="748" w:type="dxa"/>
          </w:tcPr>
          <w:p w14:paraId="1B5A9D0A" w14:textId="77777777" w:rsidR="00FA4AA8" w:rsidRDefault="00FA4AA8">
            <w:pPr>
              <w:pStyle w:val="TableParagraph"/>
              <w:spacing w:before="3"/>
              <w:rPr>
                <w:b/>
                <w:sz w:val="15"/>
              </w:rPr>
            </w:pPr>
          </w:p>
          <w:p w14:paraId="7E4742C6" w14:textId="77777777" w:rsidR="00FA4AA8" w:rsidRDefault="0015611F">
            <w:pPr>
              <w:pStyle w:val="TableParagraph"/>
              <w:ind w:right="55"/>
              <w:jc w:val="right"/>
              <w:rPr>
                <w:b/>
                <w:sz w:val="16"/>
              </w:rPr>
            </w:pPr>
            <w:r>
              <w:rPr>
                <w:b/>
                <w:sz w:val="16"/>
              </w:rPr>
              <w:t>-</w:t>
            </w:r>
          </w:p>
        </w:tc>
        <w:tc>
          <w:tcPr>
            <w:tcW w:w="894" w:type="dxa"/>
          </w:tcPr>
          <w:p w14:paraId="0ED9A456" w14:textId="77777777" w:rsidR="00FA4AA8" w:rsidRDefault="00FA4AA8">
            <w:pPr>
              <w:pStyle w:val="TableParagraph"/>
              <w:spacing w:before="3"/>
              <w:rPr>
                <w:b/>
                <w:sz w:val="15"/>
              </w:rPr>
            </w:pPr>
          </w:p>
          <w:p w14:paraId="4E823B34" w14:textId="77777777" w:rsidR="00FA4AA8" w:rsidRDefault="0015611F">
            <w:pPr>
              <w:pStyle w:val="TableParagraph"/>
              <w:ind w:right="154"/>
              <w:jc w:val="right"/>
              <w:rPr>
                <w:sz w:val="16"/>
              </w:rPr>
            </w:pPr>
            <w:r>
              <w:rPr>
                <w:sz w:val="16"/>
              </w:rPr>
              <w:t>-</w:t>
            </w:r>
          </w:p>
        </w:tc>
        <w:tc>
          <w:tcPr>
            <w:tcW w:w="828" w:type="dxa"/>
          </w:tcPr>
          <w:p w14:paraId="75260A10" w14:textId="77777777" w:rsidR="00FA4AA8" w:rsidRDefault="00FA4AA8">
            <w:pPr>
              <w:pStyle w:val="TableParagraph"/>
              <w:spacing w:before="3"/>
              <w:rPr>
                <w:b/>
                <w:sz w:val="15"/>
              </w:rPr>
            </w:pPr>
          </w:p>
          <w:p w14:paraId="4F5CEF4A" w14:textId="77777777" w:rsidR="00FA4AA8" w:rsidRDefault="0015611F">
            <w:pPr>
              <w:pStyle w:val="TableParagraph"/>
              <w:ind w:right="135"/>
              <w:jc w:val="right"/>
              <w:rPr>
                <w:b/>
                <w:sz w:val="16"/>
              </w:rPr>
            </w:pPr>
            <w:r>
              <w:rPr>
                <w:b/>
                <w:sz w:val="16"/>
              </w:rPr>
              <w:t>-</w:t>
            </w:r>
          </w:p>
        </w:tc>
        <w:tc>
          <w:tcPr>
            <w:tcW w:w="703" w:type="dxa"/>
          </w:tcPr>
          <w:p w14:paraId="3B54BDE1" w14:textId="77777777" w:rsidR="00FA4AA8" w:rsidRDefault="00FA4AA8">
            <w:pPr>
              <w:pStyle w:val="TableParagraph"/>
              <w:spacing w:before="3"/>
              <w:rPr>
                <w:b/>
                <w:sz w:val="15"/>
              </w:rPr>
            </w:pPr>
          </w:p>
          <w:p w14:paraId="3D052BF7" w14:textId="77777777" w:rsidR="00FA4AA8" w:rsidRDefault="0015611F">
            <w:pPr>
              <w:pStyle w:val="TableParagraph"/>
              <w:ind w:right="44"/>
              <w:jc w:val="right"/>
              <w:rPr>
                <w:sz w:val="16"/>
              </w:rPr>
            </w:pPr>
            <w:r>
              <w:rPr>
                <w:sz w:val="16"/>
              </w:rPr>
              <w:t>-</w:t>
            </w:r>
          </w:p>
        </w:tc>
        <w:tc>
          <w:tcPr>
            <w:tcW w:w="915" w:type="dxa"/>
          </w:tcPr>
          <w:p w14:paraId="0A748AA9" w14:textId="77777777" w:rsidR="00FA4AA8" w:rsidRDefault="00FA4AA8">
            <w:pPr>
              <w:pStyle w:val="TableParagraph"/>
              <w:spacing w:before="3"/>
              <w:rPr>
                <w:b/>
                <w:sz w:val="15"/>
              </w:rPr>
            </w:pPr>
          </w:p>
          <w:p w14:paraId="33F82666" w14:textId="77777777" w:rsidR="00FA4AA8" w:rsidRDefault="0015611F">
            <w:pPr>
              <w:pStyle w:val="TableParagraph"/>
              <w:ind w:right="112"/>
              <w:jc w:val="right"/>
              <w:rPr>
                <w:b/>
                <w:sz w:val="16"/>
              </w:rPr>
            </w:pPr>
            <w:r>
              <w:rPr>
                <w:b/>
                <w:sz w:val="16"/>
              </w:rPr>
              <w:t>-</w:t>
            </w:r>
          </w:p>
        </w:tc>
        <w:tc>
          <w:tcPr>
            <w:tcW w:w="867" w:type="dxa"/>
          </w:tcPr>
          <w:p w14:paraId="51E5E8F3" w14:textId="77777777" w:rsidR="00FA4AA8" w:rsidRDefault="00FA4AA8">
            <w:pPr>
              <w:pStyle w:val="TableParagraph"/>
              <w:spacing w:before="3"/>
              <w:rPr>
                <w:b/>
                <w:sz w:val="15"/>
              </w:rPr>
            </w:pPr>
          </w:p>
          <w:p w14:paraId="7C26A092" w14:textId="77777777" w:rsidR="00FA4AA8" w:rsidRDefault="0015611F">
            <w:pPr>
              <w:pStyle w:val="TableParagraph"/>
              <w:ind w:right="184"/>
              <w:jc w:val="right"/>
              <w:rPr>
                <w:sz w:val="16"/>
              </w:rPr>
            </w:pPr>
            <w:r>
              <w:rPr>
                <w:sz w:val="16"/>
              </w:rPr>
              <w:t>-</w:t>
            </w:r>
          </w:p>
        </w:tc>
        <w:tc>
          <w:tcPr>
            <w:tcW w:w="801" w:type="dxa"/>
          </w:tcPr>
          <w:p w14:paraId="70EAE943" w14:textId="77777777" w:rsidR="00FA4AA8" w:rsidRDefault="00FA4AA8">
            <w:pPr>
              <w:pStyle w:val="TableParagraph"/>
              <w:spacing w:before="3"/>
              <w:rPr>
                <w:b/>
                <w:sz w:val="15"/>
              </w:rPr>
            </w:pPr>
          </w:p>
          <w:p w14:paraId="7F03A2A7" w14:textId="77777777" w:rsidR="00FA4AA8" w:rsidRDefault="0015611F">
            <w:pPr>
              <w:pStyle w:val="TableParagraph"/>
              <w:ind w:right="138"/>
              <w:jc w:val="right"/>
              <w:rPr>
                <w:b/>
                <w:sz w:val="16"/>
              </w:rPr>
            </w:pPr>
            <w:r>
              <w:rPr>
                <w:b/>
                <w:sz w:val="16"/>
              </w:rPr>
              <w:t>-</w:t>
            </w:r>
          </w:p>
        </w:tc>
        <w:tc>
          <w:tcPr>
            <w:tcW w:w="796" w:type="dxa"/>
          </w:tcPr>
          <w:p w14:paraId="4983CF7D" w14:textId="77777777" w:rsidR="00FA4AA8" w:rsidRDefault="00FA4AA8">
            <w:pPr>
              <w:pStyle w:val="TableParagraph"/>
              <w:spacing w:before="3"/>
              <w:rPr>
                <w:b/>
                <w:sz w:val="15"/>
              </w:rPr>
            </w:pPr>
          </w:p>
          <w:p w14:paraId="60BBBAC3" w14:textId="77777777" w:rsidR="00FA4AA8" w:rsidRDefault="0015611F">
            <w:pPr>
              <w:pStyle w:val="TableParagraph"/>
              <w:ind w:right="140"/>
              <w:jc w:val="right"/>
              <w:rPr>
                <w:sz w:val="16"/>
              </w:rPr>
            </w:pPr>
            <w:r>
              <w:rPr>
                <w:sz w:val="16"/>
              </w:rPr>
              <w:t>-</w:t>
            </w:r>
          </w:p>
        </w:tc>
        <w:tc>
          <w:tcPr>
            <w:tcW w:w="821" w:type="dxa"/>
          </w:tcPr>
          <w:p w14:paraId="1CF8A834" w14:textId="77777777" w:rsidR="00FA4AA8" w:rsidRDefault="00FA4AA8">
            <w:pPr>
              <w:pStyle w:val="TableParagraph"/>
              <w:spacing w:before="3"/>
              <w:rPr>
                <w:b/>
                <w:sz w:val="15"/>
              </w:rPr>
            </w:pPr>
          </w:p>
          <w:p w14:paraId="0A5992CF" w14:textId="77777777" w:rsidR="00FA4AA8" w:rsidRDefault="0015611F">
            <w:pPr>
              <w:pStyle w:val="TableParagraph"/>
              <w:ind w:right="114"/>
              <w:jc w:val="right"/>
              <w:rPr>
                <w:b/>
                <w:sz w:val="16"/>
              </w:rPr>
            </w:pPr>
            <w:r>
              <w:rPr>
                <w:b/>
                <w:sz w:val="16"/>
              </w:rPr>
              <w:t>39,815</w:t>
            </w:r>
          </w:p>
        </w:tc>
        <w:tc>
          <w:tcPr>
            <w:tcW w:w="821" w:type="dxa"/>
          </w:tcPr>
          <w:p w14:paraId="2961C05B" w14:textId="77777777" w:rsidR="00FA4AA8" w:rsidRDefault="00FA4AA8">
            <w:pPr>
              <w:pStyle w:val="TableParagraph"/>
              <w:spacing w:before="3"/>
              <w:rPr>
                <w:b/>
                <w:sz w:val="15"/>
              </w:rPr>
            </w:pPr>
          </w:p>
          <w:p w14:paraId="261D1C88" w14:textId="77777777" w:rsidR="00FA4AA8" w:rsidRDefault="0015611F">
            <w:pPr>
              <w:pStyle w:val="TableParagraph"/>
              <w:ind w:right="140"/>
              <w:jc w:val="right"/>
              <w:rPr>
                <w:sz w:val="16"/>
              </w:rPr>
            </w:pPr>
            <w:r>
              <w:rPr>
                <w:sz w:val="16"/>
              </w:rPr>
              <w:t>-</w:t>
            </w:r>
          </w:p>
        </w:tc>
        <w:tc>
          <w:tcPr>
            <w:tcW w:w="821" w:type="dxa"/>
          </w:tcPr>
          <w:p w14:paraId="45DC4D18" w14:textId="77777777" w:rsidR="00FA4AA8" w:rsidRDefault="00FA4AA8">
            <w:pPr>
              <w:pStyle w:val="TableParagraph"/>
              <w:spacing w:before="3"/>
              <w:rPr>
                <w:b/>
                <w:sz w:val="15"/>
              </w:rPr>
            </w:pPr>
          </w:p>
          <w:p w14:paraId="2F867AB2" w14:textId="77777777" w:rsidR="00FA4AA8" w:rsidRDefault="0015611F">
            <w:pPr>
              <w:pStyle w:val="TableParagraph"/>
              <w:ind w:right="114"/>
              <w:jc w:val="right"/>
              <w:rPr>
                <w:b/>
                <w:sz w:val="16"/>
              </w:rPr>
            </w:pPr>
            <w:r>
              <w:rPr>
                <w:b/>
                <w:sz w:val="16"/>
              </w:rPr>
              <w:t>39,815</w:t>
            </w:r>
          </w:p>
        </w:tc>
        <w:tc>
          <w:tcPr>
            <w:tcW w:w="768" w:type="dxa"/>
          </w:tcPr>
          <w:p w14:paraId="551DC47F" w14:textId="77777777" w:rsidR="00FA4AA8" w:rsidRDefault="00FA4AA8">
            <w:pPr>
              <w:pStyle w:val="TableParagraph"/>
              <w:spacing w:before="3"/>
              <w:rPr>
                <w:b/>
                <w:sz w:val="15"/>
              </w:rPr>
            </w:pPr>
          </w:p>
          <w:p w14:paraId="72082110" w14:textId="77777777" w:rsidR="00FA4AA8" w:rsidRDefault="0015611F">
            <w:pPr>
              <w:pStyle w:val="TableParagraph"/>
              <w:ind w:right="87"/>
              <w:jc w:val="right"/>
              <w:rPr>
                <w:sz w:val="16"/>
              </w:rPr>
            </w:pPr>
            <w:r>
              <w:rPr>
                <w:sz w:val="16"/>
              </w:rPr>
              <w:t>-</w:t>
            </w:r>
          </w:p>
        </w:tc>
      </w:tr>
      <w:tr w:rsidR="00FA4AA8" w14:paraId="6E730100" w14:textId="77777777">
        <w:trPr>
          <w:trHeight w:val="242"/>
        </w:trPr>
        <w:tc>
          <w:tcPr>
            <w:tcW w:w="4081" w:type="dxa"/>
            <w:gridSpan w:val="2"/>
          </w:tcPr>
          <w:p w14:paraId="5EA29821" w14:textId="77777777" w:rsidR="00FA4AA8" w:rsidRDefault="0015611F">
            <w:pPr>
              <w:pStyle w:val="TableParagraph"/>
              <w:tabs>
                <w:tab w:val="left" w:pos="3949"/>
              </w:tabs>
              <w:spacing w:before="27"/>
              <w:ind w:left="191"/>
              <w:rPr>
                <w:b/>
                <w:sz w:val="16"/>
              </w:rPr>
            </w:pPr>
            <w:r>
              <w:rPr>
                <w:sz w:val="16"/>
              </w:rPr>
              <w:t>Fair value through profit or</w:t>
            </w:r>
            <w:r>
              <w:rPr>
                <w:spacing w:val="-10"/>
                <w:sz w:val="16"/>
              </w:rPr>
              <w:t xml:space="preserve"> </w:t>
            </w:r>
            <w:r>
              <w:rPr>
                <w:sz w:val="16"/>
              </w:rPr>
              <w:t>loss</w:t>
            </w:r>
            <w:r>
              <w:rPr>
                <w:spacing w:val="-2"/>
                <w:sz w:val="16"/>
              </w:rPr>
              <w:t xml:space="preserve"> </w:t>
            </w:r>
            <w:r>
              <w:rPr>
                <w:sz w:val="16"/>
              </w:rPr>
              <w:t>(Mercer)</w:t>
            </w:r>
            <w:r>
              <w:rPr>
                <w:sz w:val="16"/>
              </w:rPr>
              <w:tab/>
            </w:r>
            <w:r>
              <w:rPr>
                <w:b/>
                <w:sz w:val="16"/>
              </w:rPr>
              <w:t>-</w:t>
            </w:r>
          </w:p>
        </w:tc>
        <w:tc>
          <w:tcPr>
            <w:tcW w:w="607" w:type="dxa"/>
          </w:tcPr>
          <w:p w14:paraId="1EB3173C" w14:textId="77777777" w:rsidR="00FA4AA8" w:rsidRDefault="0015611F">
            <w:pPr>
              <w:pStyle w:val="TableParagraph"/>
              <w:spacing w:before="27"/>
              <w:ind w:right="152"/>
              <w:jc w:val="right"/>
              <w:rPr>
                <w:sz w:val="16"/>
              </w:rPr>
            </w:pPr>
            <w:r>
              <w:rPr>
                <w:sz w:val="16"/>
              </w:rPr>
              <w:t>-</w:t>
            </w:r>
          </w:p>
        </w:tc>
        <w:tc>
          <w:tcPr>
            <w:tcW w:w="748" w:type="dxa"/>
          </w:tcPr>
          <w:p w14:paraId="578F2C31" w14:textId="77777777" w:rsidR="00FA4AA8" w:rsidRDefault="0015611F">
            <w:pPr>
              <w:pStyle w:val="TableParagraph"/>
              <w:spacing w:before="27"/>
              <w:ind w:right="55"/>
              <w:jc w:val="right"/>
              <w:rPr>
                <w:b/>
                <w:sz w:val="16"/>
              </w:rPr>
            </w:pPr>
            <w:r>
              <w:rPr>
                <w:b/>
                <w:sz w:val="16"/>
              </w:rPr>
              <w:t>-</w:t>
            </w:r>
          </w:p>
        </w:tc>
        <w:tc>
          <w:tcPr>
            <w:tcW w:w="894" w:type="dxa"/>
          </w:tcPr>
          <w:p w14:paraId="2A9F3403" w14:textId="77777777" w:rsidR="00FA4AA8" w:rsidRDefault="0015611F">
            <w:pPr>
              <w:pStyle w:val="TableParagraph"/>
              <w:spacing w:before="27"/>
              <w:ind w:right="154"/>
              <w:jc w:val="right"/>
              <w:rPr>
                <w:sz w:val="16"/>
              </w:rPr>
            </w:pPr>
            <w:r>
              <w:rPr>
                <w:sz w:val="16"/>
              </w:rPr>
              <w:t>-</w:t>
            </w:r>
          </w:p>
        </w:tc>
        <w:tc>
          <w:tcPr>
            <w:tcW w:w="828" w:type="dxa"/>
          </w:tcPr>
          <w:p w14:paraId="389B1342" w14:textId="77777777" w:rsidR="00FA4AA8" w:rsidRDefault="0015611F">
            <w:pPr>
              <w:pStyle w:val="TableParagraph"/>
              <w:spacing w:before="27"/>
              <w:ind w:right="135"/>
              <w:jc w:val="right"/>
              <w:rPr>
                <w:b/>
                <w:sz w:val="16"/>
              </w:rPr>
            </w:pPr>
            <w:r>
              <w:rPr>
                <w:b/>
                <w:sz w:val="16"/>
              </w:rPr>
              <w:t>-</w:t>
            </w:r>
          </w:p>
        </w:tc>
        <w:tc>
          <w:tcPr>
            <w:tcW w:w="703" w:type="dxa"/>
          </w:tcPr>
          <w:p w14:paraId="303E9F59" w14:textId="77777777" w:rsidR="00FA4AA8" w:rsidRDefault="0015611F">
            <w:pPr>
              <w:pStyle w:val="TableParagraph"/>
              <w:spacing w:before="27"/>
              <w:ind w:right="44"/>
              <w:jc w:val="right"/>
              <w:rPr>
                <w:sz w:val="16"/>
              </w:rPr>
            </w:pPr>
            <w:r>
              <w:rPr>
                <w:sz w:val="16"/>
              </w:rPr>
              <w:t>-</w:t>
            </w:r>
          </w:p>
        </w:tc>
        <w:tc>
          <w:tcPr>
            <w:tcW w:w="915" w:type="dxa"/>
          </w:tcPr>
          <w:p w14:paraId="6D73E109" w14:textId="77777777" w:rsidR="00FA4AA8" w:rsidRDefault="0015611F">
            <w:pPr>
              <w:pStyle w:val="TableParagraph"/>
              <w:spacing w:before="27"/>
              <w:ind w:right="112"/>
              <w:jc w:val="right"/>
              <w:rPr>
                <w:b/>
                <w:sz w:val="16"/>
              </w:rPr>
            </w:pPr>
            <w:r>
              <w:rPr>
                <w:b/>
                <w:sz w:val="16"/>
              </w:rPr>
              <w:t>-</w:t>
            </w:r>
          </w:p>
        </w:tc>
        <w:tc>
          <w:tcPr>
            <w:tcW w:w="867" w:type="dxa"/>
          </w:tcPr>
          <w:p w14:paraId="118D0FF5" w14:textId="77777777" w:rsidR="00FA4AA8" w:rsidRDefault="0015611F">
            <w:pPr>
              <w:pStyle w:val="TableParagraph"/>
              <w:spacing w:before="27"/>
              <w:ind w:right="184"/>
              <w:jc w:val="right"/>
              <w:rPr>
                <w:sz w:val="16"/>
              </w:rPr>
            </w:pPr>
            <w:r>
              <w:rPr>
                <w:sz w:val="16"/>
              </w:rPr>
              <w:t>-</w:t>
            </w:r>
          </w:p>
        </w:tc>
        <w:tc>
          <w:tcPr>
            <w:tcW w:w="801" w:type="dxa"/>
          </w:tcPr>
          <w:p w14:paraId="6BA9DCE1" w14:textId="77777777" w:rsidR="00FA4AA8" w:rsidRDefault="0015611F">
            <w:pPr>
              <w:pStyle w:val="TableParagraph"/>
              <w:spacing w:before="27"/>
              <w:ind w:right="138"/>
              <w:jc w:val="right"/>
              <w:rPr>
                <w:b/>
                <w:sz w:val="16"/>
              </w:rPr>
            </w:pPr>
            <w:r>
              <w:rPr>
                <w:b/>
                <w:sz w:val="16"/>
              </w:rPr>
              <w:t>-</w:t>
            </w:r>
          </w:p>
        </w:tc>
        <w:tc>
          <w:tcPr>
            <w:tcW w:w="796" w:type="dxa"/>
          </w:tcPr>
          <w:p w14:paraId="6E8B8A63" w14:textId="77777777" w:rsidR="00FA4AA8" w:rsidRDefault="0015611F">
            <w:pPr>
              <w:pStyle w:val="TableParagraph"/>
              <w:spacing w:before="27"/>
              <w:ind w:right="140"/>
              <w:jc w:val="right"/>
              <w:rPr>
                <w:sz w:val="16"/>
              </w:rPr>
            </w:pPr>
            <w:r>
              <w:rPr>
                <w:sz w:val="16"/>
              </w:rPr>
              <w:t>-</w:t>
            </w:r>
          </w:p>
        </w:tc>
        <w:tc>
          <w:tcPr>
            <w:tcW w:w="821" w:type="dxa"/>
          </w:tcPr>
          <w:p w14:paraId="7A48F278" w14:textId="77777777" w:rsidR="00FA4AA8" w:rsidRDefault="0015611F">
            <w:pPr>
              <w:pStyle w:val="TableParagraph"/>
              <w:spacing w:before="27"/>
              <w:ind w:right="114"/>
              <w:jc w:val="right"/>
              <w:rPr>
                <w:b/>
                <w:sz w:val="16"/>
              </w:rPr>
            </w:pPr>
            <w:r>
              <w:rPr>
                <w:b/>
                <w:sz w:val="16"/>
              </w:rPr>
              <w:t>195,603</w:t>
            </w:r>
          </w:p>
        </w:tc>
        <w:tc>
          <w:tcPr>
            <w:tcW w:w="821" w:type="dxa"/>
          </w:tcPr>
          <w:p w14:paraId="5B8AE532" w14:textId="77777777" w:rsidR="00FA4AA8" w:rsidRDefault="0015611F">
            <w:pPr>
              <w:pStyle w:val="TableParagraph"/>
              <w:spacing w:before="27"/>
              <w:ind w:right="140"/>
              <w:jc w:val="right"/>
              <w:rPr>
                <w:sz w:val="16"/>
              </w:rPr>
            </w:pPr>
            <w:r>
              <w:rPr>
                <w:sz w:val="16"/>
              </w:rPr>
              <w:t>-</w:t>
            </w:r>
          </w:p>
        </w:tc>
        <w:tc>
          <w:tcPr>
            <w:tcW w:w="821" w:type="dxa"/>
          </w:tcPr>
          <w:p w14:paraId="7A8795E3" w14:textId="77777777" w:rsidR="00FA4AA8" w:rsidRDefault="0015611F">
            <w:pPr>
              <w:pStyle w:val="TableParagraph"/>
              <w:spacing w:before="27"/>
              <w:ind w:right="114"/>
              <w:jc w:val="right"/>
              <w:rPr>
                <w:b/>
                <w:sz w:val="16"/>
              </w:rPr>
            </w:pPr>
            <w:r>
              <w:rPr>
                <w:b/>
                <w:sz w:val="16"/>
              </w:rPr>
              <w:t>195,603</w:t>
            </w:r>
          </w:p>
        </w:tc>
        <w:tc>
          <w:tcPr>
            <w:tcW w:w="768" w:type="dxa"/>
          </w:tcPr>
          <w:p w14:paraId="3E8E26CB" w14:textId="77777777" w:rsidR="00FA4AA8" w:rsidRDefault="0015611F">
            <w:pPr>
              <w:pStyle w:val="TableParagraph"/>
              <w:spacing w:before="27"/>
              <w:ind w:right="87"/>
              <w:jc w:val="right"/>
              <w:rPr>
                <w:sz w:val="16"/>
              </w:rPr>
            </w:pPr>
            <w:r>
              <w:rPr>
                <w:sz w:val="16"/>
              </w:rPr>
              <w:t>-</w:t>
            </w:r>
          </w:p>
        </w:tc>
      </w:tr>
      <w:tr w:rsidR="00FA4AA8" w14:paraId="6D0BAB54" w14:textId="77777777">
        <w:trPr>
          <w:trHeight w:val="332"/>
        </w:trPr>
        <w:tc>
          <w:tcPr>
            <w:tcW w:w="4081" w:type="dxa"/>
            <w:gridSpan w:val="2"/>
          </w:tcPr>
          <w:p w14:paraId="4CFA533D" w14:textId="77777777" w:rsidR="00FA4AA8" w:rsidRDefault="0015611F">
            <w:pPr>
              <w:pStyle w:val="TableParagraph"/>
              <w:tabs>
                <w:tab w:val="right" w:pos="4003"/>
              </w:tabs>
              <w:spacing w:before="27"/>
              <w:ind w:left="191"/>
              <w:rPr>
                <w:b/>
                <w:sz w:val="16"/>
              </w:rPr>
            </w:pPr>
            <w:r>
              <w:rPr>
                <w:sz w:val="16"/>
              </w:rPr>
              <w:t>Fair value through profit or loss</w:t>
            </w:r>
            <w:r>
              <w:rPr>
                <w:spacing w:val="3"/>
                <w:sz w:val="16"/>
              </w:rPr>
              <w:t xml:space="preserve"> </w:t>
            </w:r>
            <w:r>
              <w:rPr>
                <w:sz w:val="16"/>
              </w:rPr>
              <w:t>(JB Were)</w:t>
            </w:r>
            <w:r>
              <w:rPr>
                <w:sz w:val="16"/>
              </w:rPr>
              <w:tab/>
            </w:r>
            <w:r>
              <w:rPr>
                <w:b/>
                <w:sz w:val="16"/>
              </w:rPr>
              <w:t>3.45</w:t>
            </w:r>
          </w:p>
        </w:tc>
        <w:tc>
          <w:tcPr>
            <w:tcW w:w="607" w:type="dxa"/>
          </w:tcPr>
          <w:p w14:paraId="3A5816EA" w14:textId="77777777" w:rsidR="00FA4AA8" w:rsidRDefault="0015611F">
            <w:pPr>
              <w:pStyle w:val="TableParagraph"/>
              <w:spacing w:before="27"/>
              <w:ind w:right="152"/>
              <w:jc w:val="right"/>
              <w:rPr>
                <w:sz w:val="16"/>
              </w:rPr>
            </w:pPr>
            <w:r>
              <w:rPr>
                <w:sz w:val="16"/>
              </w:rPr>
              <w:t>-</w:t>
            </w:r>
          </w:p>
        </w:tc>
        <w:tc>
          <w:tcPr>
            <w:tcW w:w="748" w:type="dxa"/>
          </w:tcPr>
          <w:p w14:paraId="6073DAFC" w14:textId="77777777" w:rsidR="00FA4AA8" w:rsidRDefault="0015611F">
            <w:pPr>
              <w:pStyle w:val="TableParagraph"/>
              <w:spacing w:before="27"/>
              <w:ind w:right="56"/>
              <w:jc w:val="right"/>
              <w:rPr>
                <w:b/>
                <w:sz w:val="16"/>
              </w:rPr>
            </w:pPr>
            <w:r>
              <w:rPr>
                <w:b/>
                <w:sz w:val="16"/>
              </w:rPr>
              <w:t>569</w:t>
            </w:r>
          </w:p>
        </w:tc>
        <w:tc>
          <w:tcPr>
            <w:tcW w:w="894" w:type="dxa"/>
          </w:tcPr>
          <w:p w14:paraId="57A4D66E" w14:textId="77777777" w:rsidR="00FA4AA8" w:rsidRDefault="0015611F">
            <w:pPr>
              <w:pStyle w:val="TableParagraph"/>
              <w:spacing w:before="27"/>
              <w:ind w:right="154"/>
              <w:jc w:val="right"/>
              <w:rPr>
                <w:sz w:val="16"/>
              </w:rPr>
            </w:pPr>
            <w:r>
              <w:rPr>
                <w:sz w:val="16"/>
              </w:rPr>
              <w:t>-</w:t>
            </w:r>
          </w:p>
        </w:tc>
        <w:tc>
          <w:tcPr>
            <w:tcW w:w="828" w:type="dxa"/>
          </w:tcPr>
          <w:p w14:paraId="69C30E7A" w14:textId="77777777" w:rsidR="00FA4AA8" w:rsidRDefault="0015611F">
            <w:pPr>
              <w:pStyle w:val="TableParagraph"/>
              <w:spacing w:before="27"/>
              <w:ind w:right="136"/>
              <w:jc w:val="right"/>
              <w:rPr>
                <w:b/>
                <w:sz w:val="16"/>
              </w:rPr>
            </w:pPr>
            <w:r>
              <w:rPr>
                <w:b/>
                <w:sz w:val="16"/>
              </w:rPr>
              <w:t>5,738</w:t>
            </w:r>
          </w:p>
        </w:tc>
        <w:tc>
          <w:tcPr>
            <w:tcW w:w="703" w:type="dxa"/>
          </w:tcPr>
          <w:p w14:paraId="7B0F5A53" w14:textId="77777777" w:rsidR="00FA4AA8" w:rsidRDefault="0015611F">
            <w:pPr>
              <w:pStyle w:val="TableParagraph"/>
              <w:spacing w:before="27"/>
              <w:ind w:right="44"/>
              <w:jc w:val="right"/>
              <w:rPr>
                <w:sz w:val="16"/>
              </w:rPr>
            </w:pPr>
            <w:r>
              <w:rPr>
                <w:sz w:val="16"/>
              </w:rPr>
              <w:t>-</w:t>
            </w:r>
          </w:p>
        </w:tc>
        <w:tc>
          <w:tcPr>
            <w:tcW w:w="915" w:type="dxa"/>
          </w:tcPr>
          <w:p w14:paraId="17091399" w14:textId="77777777" w:rsidR="00FA4AA8" w:rsidRDefault="0015611F">
            <w:pPr>
              <w:pStyle w:val="TableParagraph"/>
              <w:spacing w:before="27"/>
              <w:ind w:right="112"/>
              <w:jc w:val="right"/>
              <w:rPr>
                <w:b/>
                <w:sz w:val="16"/>
              </w:rPr>
            </w:pPr>
            <w:r>
              <w:rPr>
                <w:b/>
                <w:sz w:val="16"/>
              </w:rPr>
              <w:t>4,651</w:t>
            </w:r>
          </w:p>
        </w:tc>
        <w:tc>
          <w:tcPr>
            <w:tcW w:w="867" w:type="dxa"/>
          </w:tcPr>
          <w:p w14:paraId="5241885B" w14:textId="77777777" w:rsidR="00FA4AA8" w:rsidRDefault="0015611F">
            <w:pPr>
              <w:pStyle w:val="TableParagraph"/>
              <w:spacing w:before="27"/>
              <w:ind w:right="184"/>
              <w:jc w:val="right"/>
              <w:rPr>
                <w:sz w:val="16"/>
              </w:rPr>
            </w:pPr>
            <w:r>
              <w:rPr>
                <w:sz w:val="16"/>
              </w:rPr>
              <w:t>-</w:t>
            </w:r>
          </w:p>
        </w:tc>
        <w:tc>
          <w:tcPr>
            <w:tcW w:w="801" w:type="dxa"/>
          </w:tcPr>
          <w:p w14:paraId="3718F89B" w14:textId="77777777" w:rsidR="00FA4AA8" w:rsidRDefault="0015611F">
            <w:pPr>
              <w:pStyle w:val="TableParagraph"/>
              <w:spacing w:before="27"/>
              <w:ind w:right="139"/>
              <w:jc w:val="right"/>
              <w:rPr>
                <w:b/>
                <w:sz w:val="16"/>
              </w:rPr>
            </w:pPr>
            <w:r>
              <w:rPr>
                <w:b/>
                <w:sz w:val="16"/>
              </w:rPr>
              <w:t>517</w:t>
            </w:r>
          </w:p>
        </w:tc>
        <w:tc>
          <w:tcPr>
            <w:tcW w:w="796" w:type="dxa"/>
          </w:tcPr>
          <w:p w14:paraId="54061B37" w14:textId="77777777" w:rsidR="00FA4AA8" w:rsidRDefault="0015611F">
            <w:pPr>
              <w:pStyle w:val="TableParagraph"/>
              <w:spacing w:before="27"/>
              <w:ind w:right="140"/>
              <w:jc w:val="right"/>
              <w:rPr>
                <w:sz w:val="16"/>
              </w:rPr>
            </w:pPr>
            <w:r>
              <w:rPr>
                <w:sz w:val="16"/>
              </w:rPr>
              <w:t>-</w:t>
            </w:r>
          </w:p>
        </w:tc>
        <w:tc>
          <w:tcPr>
            <w:tcW w:w="821" w:type="dxa"/>
          </w:tcPr>
          <w:p w14:paraId="094EDCB5" w14:textId="77777777" w:rsidR="00FA4AA8" w:rsidRDefault="0015611F">
            <w:pPr>
              <w:pStyle w:val="TableParagraph"/>
              <w:spacing w:before="27"/>
              <w:ind w:right="113"/>
              <w:jc w:val="right"/>
              <w:rPr>
                <w:b/>
                <w:sz w:val="16"/>
              </w:rPr>
            </w:pPr>
            <w:r>
              <w:rPr>
                <w:b/>
                <w:sz w:val="16"/>
              </w:rPr>
              <w:t>-</w:t>
            </w:r>
          </w:p>
        </w:tc>
        <w:tc>
          <w:tcPr>
            <w:tcW w:w="821" w:type="dxa"/>
          </w:tcPr>
          <w:p w14:paraId="3175C96C" w14:textId="77777777" w:rsidR="00FA4AA8" w:rsidRDefault="0015611F">
            <w:pPr>
              <w:pStyle w:val="TableParagraph"/>
              <w:spacing w:before="27"/>
              <w:ind w:right="140"/>
              <w:jc w:val="right"/>
              <w:rPr>
                <w:sz w:val="16"/>
              </w:rPr>
            </w:pPr>
            <w:r>
              <w:rPr>
                <w:sz w:val="16"/>
              </w:rPr>
              <w:t>-</w:t>
            </w:r>
          </w:p>
        </w:tc>
        <w:tc>
          <w:tcPr>
            <w:tcW w:w="821" w:type="dxa"/>
          </w:tcPr>
          <w:p w14:paraId="0EBCFA85" w14:textId="77777777" w:rsidR="00FA4AA8" w:rsidRDefault="0015611F">
            <w:pPr>
              <w:pStyle w:val="TableParagraph"/>
              <w:spacing w:before="27"/>
              <w:ind w:right="114"/>
              <w:jc w:val="right"/>
              <w:rPr>
                <w:b/>
                <w:sz w:val="16"/>
              </w:rPr>
            </w:pPr>
            <w:r>
              <w:rPr>
                <w:b/>
                <w:sz w:val="16"/>
              </w:rPr>
              <w:t>11,475</w:t>
            </w:r>
          </w:p>
        </w:tc>
        <w:tc>
          <w:tcPr>
            <w:tcW w:w="768" w:type="dxa"/>
          </w:tcPr>
          <w:p w14:paraId="02E38255" w14:textId="77777777" w:rsidR="00FA4AA8" w:rsidRDefault="0015611F">
            <w:pPr>
              <w:pStyle w:val="TableParagraph"/>
              <w:spacing w:before="27"/>
              <w:ind w:right="87"/>
              <w:jc w:val="right"/>
              <w:rPr>
                <w:sz w:val="16"/>
              </w:rPr>
            </w:pPr>
            <w:r>
              <w:rPr>
                <w:sz w:val="16"/>
              </w:rPr>
              <w:t>-</w:t>
            </w:r>
          </w:p>
        </w:tc>
      </w:tr>
      <w:tr w:rsidR="00FA4AA8" w14:paraId="7AADC26A" w14:textId="77777777">
        <w:trPr>
          <w:trHeight w:val="332"/>
        </w:trPr>
        <w:tc>
          <w:tcPr>
            <w:tcW w:w="4081" w:type="dxa"/>
            <w:gridSpan w:val="2"/>
          </w:tcPr>
          <w:p w14:paraId="73B8950C" w14:textId="77777777" w:rsidR="00FA4AA8" w:rsidRDefault="0015611F">
            <w:pPr>
              <w:pStyle w:val="TableParagraph"/>
              <w:spacing w:line="118" w:lineRule="exact"/>
              <w:ind w:left="191"/>
              <w:rPr>
                <w:sz w:val="16"/>
              </w:rPr>
            </w:pPr>
            <w:r>
              <w:rPr>
                <w:sz w:val="16"/>
              </w:rPr>
              <w:t>Fair value through other comprehensive</w:t>
            </w:r>
          </w:p>
          <w:p w14:paraId="0B3AF4E9" w14:textId="77777777" w:rsidR="00FA4AA8" w:rsidRDefault="0015611F">
            <w:pPr>
              <w:pStyle w:val="TableParagraph"/>
              <w:tabs>
                <w:tab w:val="left" w:pos="3949"/>
              </w:tabs>
              <w:spacing w:before="1"/>
              <w:ind w:left="191"/>
              <w:rPr>
                <w:b/>
                <w:sz w:val="16"/>
              </w:rPr>
            </w:pPr>
            <w:r>
              <w:rPr>
                <w:sz w:val="16"/>
              </w:rPr>
              <w:t>income</w:t>
            </w:r>
            <w:r>
              <w:rPr>
                <w:spacing w:val="2"/>
                <w:sz w:val="16"/>
              </w:rPr>
              <w:t xml:space="preserve"> </w:t>
            </w:r>
            <w:r>
              <w:rPr>
                <w:sz w:val="16"/>
              </w:rPr>
              <w:t>(Unlisted</w:t>
            </w:r>
            <w:r>
              <w:rPr>
                <w:spacing w:val="2"/>
                <w:sz w:val="16"/>
              </w:rPr>
              <w:t xml:space="preserve"> </w:t>
            </w:r>
            <w:r>
              <w:rPr>
                <w:sz w:val="16"/>
              </w:rPr>
              <w:t>securities)</w:t>
            </w:r>
            <w:r>
              <w:rPr>
                <w:sz w:val="16"/>
              </w:rPr>
              <w:tab/>
            </w:r>
            <w:r>
              <w:rPr>
                <w:b/>
                <w:sz w:val="16"/>
              </w:rPr>
              <w:t>-</w:t>
            </w:r>
          </w:p>
        </w:tc>
        <w:tc>
          <w:tcPr>
            <w:tcW w:w="607" w:type="dxa"/>
          </w:tcPr>
          <w:p w14:paraId="6FD23262" w14:textId="77777777" w:rsidR="00FA4AA8" w:rsidRDefault="0015611F">
            <w:pPr>
              <w:pStyle w:val="TableParagraph"/>
              <w:spacing w:before="117"/>
              <w:ind w:right="152"/>
              <w:jc w:val="right"/>
              <w:rPr>
                <w:sz w:val="16"/>
              </w:rPr>
            </w:pPr>
            <w:r>
              <w:rPr>
                <w:sz w:val="16"/>
              </w:rPr>
              <w:t>-</w:t>
            </w:r>
          </w:p>
        </w:tc>
        <w:tc>
          <w:tcPr>
            <w:tcW w:w="748" w:type="dxa"/>
          </w:tcPr>
          <w:p w14:paraId="6DE3CC17" w14:textId="77777777" w:rsidR="00FA4AA8" w:rsidRDefault="0015611F">
            <w:pPr>
              <w:pStyle w:val="TableParagraph"/>
              <w:spacing w:before="117"/>
              <w:ind w:right="55"/>
              <w:jc w:val="right"/>
              <w:rPr>
                <w:b/>
                <w:sz w:val="16"/>
              </w:rPr>
            </w:pPr>
            <w:r>
              <w:rPr>
                <w:b/>
                <w:sz w:val="16"/>
              </w:rPr>
              <w:t>-</w:t>
            </w:r>
          </w:p>
        </w:tc>
        <w:tc>
          <w:tcPr>
            <w:tcW w:w="894" w:type="dxa"/>
          </w:tcPr>
          <w:p w14:paraId="57197D2C" w14:textId="77777777" w:rsidR="00FA4AA8" w:rsidRDefault="0015611F">
            <w:pPr>
              <w:pStyle w:val="TableParagraph"/>
              <w:spacing w:before="117"/>
              <w:ind w:right="154"/>
              <w:jc w:val="right"/>
              <w:rPr>
                <w:sz w:val="16"/>
              </w:rPr>
            </w:pPr>
            <w:r>
              <w:rPr>
                <w:sz w:val="16"/>
              </w:rPr>
              <w:t>-</w:t>
            </w:r>
          </w:p>
        </w:tc>
        <w:tc>
          <w:tcPr>
            <w:tcW w:w="828" w:type="dxa"/>
          </w:tcPr>
          <w:p w14:paraId="07E3F3B4" w14:textId="77777777" w:rsidR="00FA4AA8" w:rsidRDefault="0015611F">
            <w:pPr>
              <w:pStyle w:val="TableParagraph"/>
              <w:spacing w:before="117"/>
              <w:ind w:right="135"/>
              <w:jc w:val="right"/>
              <w:rPr>
                <w:b/>
                <w:sz w:val="16"/>
              </w:rPr>
            </w:pPr>
            <w:r>
              <w:rPr>
                <w:b/>
                <w:sz w:val="16"/>
              </w:rPr>
              <w:t>-</w:t>
            </w:r>
          </w:p>
        </w:tc>
        <w:tc>
          <w:tcPr>
            <w:tcW w:w="703" w:type="dxa"/>
          </w:tcPr>
          <w:p w14:paraId="4F08F763" w14:textId="77777777" w:rsidR="00FA4AA8" w:rsidRDefault="0015611F">
            <w:pPr>
              <w:pStyle w:val="TableParagraph"/>
              <w:spacing w:before="117"/>
              <w:ind w:right="44"/>
              <w:jc w:val="right"/>
              <w:rPr>
                <w:sz w:val="16"/>
              </w:rPr>
            </w:pPr>
            <w:r>
              <w:rPr>
                <w:sz w:val="16"/>
              </w:rPr>
              <w:t>-</w:t>
            </w:r>
          </w:p>
        </w:tc>
        <w:tc>
          <w:tcPr>
            <w:tcW w:w="915" w:type="dxa"/>
          </w:tcPr>
          <w:p w14:paraId="2607773E" w14:textId="77777777" w:rsidR="00FA4AA8" w:rsidRDefault="0015611F">
            <w:pPr>
              <w:pStyle w:val="TableParagraph"/>
              <w:spacing w:before="117"/>
              <w:ind w:right="112"/>
              <w:jc w:val="right"/>
              <w:rPr>
                <w:b/>
                <w:sz w:val="16"/>
              </w:rPr>
            </w:pPr>
            <w:r>
              <w:rPr>
                <w:b/>
                <w:sz w:val="16"/>
              </w:rPr>
              <w:t>-</w:t>
            </w:r>
          </w:p>
        </w:tc>
        <w:tc>
          <w:tcPr>
            <w:tcW w:w="867" w:type="dxa"/>
          </w:tcPr>
          <w:p w14:paraId="07765D0B" w14:textId="77777777" w:rsidR="00FA4AA8" w:rsidRDefault="0015611F">
            <w:pPr>
              <w:pStyle w:val="TableParagraph"/>
              <w:spacing w:before="117"/>
              <w:ind w:right="184"/>
              <w:jc w:val="right"/>
              <w:rPr>
                <w:sz w:val="16"/>
              </w:rPr>
            </w:pPr>
            <w:r>
              <w:rPr>
                <w:sz w:val="16"/>
              </w:rPr>
              <w:t>-</w:t>
            </w:r>
          </w:p>
        </w:tc>
        <w:tc>
          <w:tcPr>
            <w:tcW w:w="801" w:type="dxa"/>
          </w:tcPr>
          <w:p w14:paraId="62DC2877" w14:textId="77777777" w:rsidR="00FA4AA8" w:rsidRDefault="0015611F">
            <w:pPr>
              <w:pStyle w:val="TableParagraph"/>
              <w:spacing w:before="117"/>
              <w:ind w:right="138"/>
              <w:jc w:val="right"/>
              <w:rPr>
                <w:b/>
                <w:sz w:val="16"/>
              </w:rPr>
            </w:pPr>
            <w:r>
              <w:rPr>
                <w:b/>
                <w:sz w:val="16"/>
              </w:rPr>
              <w:t>-</w:t>
            </w:r>
          </w:p>
        </w:tc>
        <w:tc>
          <w:tcPr>
            <w:tcW w:w="796" w:type="dxa"/>
          </w:tcPr>
          <w:p w14:paraId="33094349" w14:textId="77777777" w:rsidR="00FA4AA8" w:rsidRDefault="0015611F">
            <w:pPr>
              <w:pStyle w:val="TableParagraph"/>
              <w:spacing w:before="117"/>
              <w:ind w:right="140"/>
              <w:jc w:val="right"/>
              <w:rPr>
                <w:sz w:val="16"/>
              </w:rPr>
            </w:pPr>
            <w:r>
              <w:rPr>
                <w:sz w:val="16"/>
              </w:rPr>
              <w:t>-</w:t>
            </w:r>
          </w:p>
        </w:tc>
        <w:tc>
          <w:tcPr>
            <w:tcW w:w="821" w:type="dxa"/>
          </w:tcPr>
          <w:p w14:paraId="05670A22" w14:textId="77777777" w:rsidR="00FA4AA8" w:rsidRDefault="0015611F">
            <w:pPr>
              <w:pStyle w:val="TableParagraph"/>
              <w:spacing w:before="117"/>
              <w:ind w:right="114"/>
              <w:jc w:val="right"/>
              <w:rPr>
                <w:b/>
                <w:sz w:val="16"/>
              </w:rPr>
            </w:pPr>
            <w:r>
              <w:rPr>
                <w:b/>
                <w:sz w:val="16"/>
              </w:rPr>
              <w:t>29,217</w:t>
            </w:r>
          </w:p>
        </w:tc>
        <w:tc>
          <w:tcPr>
            <w:tcW w:w="821" w:type="dxa"/>
          </w:tcPr>
          <w:p w14:paraId="5CFC802F" w14:textId="77777777" w:rsidR="00FA4AA8" w:rsidRDefault="0015611F">
            <w:pPr>
              <w:pStyle w:val="TableParagraph"/>
              <w:spacing w:before="117"/>
              <w:ind w:right="140"/>
              <w:jc w:val="right"/>
              <w:rPr>
                <w:sz w:val="16"/>
              </w:rPr>
            </w:pPr>
            <w:r>
              <w:rPr>
                <w:sz w:val="16"/>
              </w:rPr>
              <w:t>-</w:t>
            </w:r>
          </w:p>
        </w:tc>
        <w:tc>
          <w:tcPr>
            <w:tcW w:w="821" w:type="dxa"/>
          </w:tcPr>
          <w:p w14:paraId="5DCE7000" w14:textId="77777777" w:rsidR="00FA4AA8" w:rsidRDefault="0015611F">
            <w:pPr>
              <w:pStyle w:val="TableParagraph"/>
              <w:spacing w:before="117"/>
              <w:ind w:right="114"/>
              <w:jc w:val="right"/>
              <w:rPr>
                <w:b/>
                <w:sz w:val="16"/>
              </w:rPr>
            </w:pPr>
            <w:r>
              <w:rPr>
                <w:b/>
                <w:sz w:val="16"/>
              </w:rPr>
              <w:t>29,217</w:t>
            </w:r>
          </w:p>
        </w:tc>
        <w:tc>
          <w:tcPr>
            <w:tcW w:w="768" w:type="dxa"/>
          </w:tcPr>
          <w:p w14:paraId="53ABA38A" w14:textId="77777777" w:rsidR="00FA4AA8" w:rsidRDefault="0015611F">
            <w:pPr>
              <w:pStyle w:val="TableParagraph"/>
              <w:spacing w:before="117"/>
              <w:ind w:right="87"/>
              <w:jc w:val="right"/>
              <w:rPr>
                <w:sz w:val="16"/>
              </w:rPr>
            </w:pPr>
            <w:r>
              <w:rPr>
                <w:sz w:val="16"/>
              </w:rPr>
              <w:t>-</w:t>
            </w:r>
          </w:p>
        </w:tc>
      </w:tr>
      <w:tr w:rsidR="00FA4AA8" w14:paraId="3500061C" w14:textId="77777777">
        <w:trPr>
          <w:trHeight w:val="242"/>
        </w:trPr>
        <w:tc>
          <w:tcPr>
            <w:tcW w:w="4081" w:type="dxa"/>
            <w:gridSpan w:val="2"/>
          </w:tcPr>
          <w:p w14:paraId="7708622D" w14:textId="77777777" w:rsidR="00FA4AA8" w:rsidRDefault="0015611F">
            <w:pPr>
              <w:pStyle w:val="TableParagraph"/>
              <w:tabs>
                <w:tab w:val="left" w:pos="3949"/>
              </w:tabs>
              <w:spacing w:before="27"/>
              <w:ind w:left="191"/>
              <w:rPr>
                <w:b/>
                <w:sz w:val="16"/>
              </w:rPr>
            </w:pPr>
            <w:r>
              <w:rPr>
                <w:sz w:val="16"/>
              </w:rPr>
              <w:t>Available-for-sale</w:t>
            </w:r>
            <w:r>
              <w:rPr>
                <w:spacing w:val="3"/>
                <w:sz w:val="16"/>
              </w:rPr>
              <w:t xml:space="preserve"> </w:t>
            </w:r>
            <w:r>
              <w:rPr>
                <w:sz w:val="16"/>
              </w:rPr>
              <w:t>(Unlisted</w:t>
            </w:r>
            <w:r>
              <w:rPr>
                <w:spacing w:val="3"/>
                <w:sz w:val="16"/>
              </w:rPr>
              <w:t xml:space="preserve"> </w:t>
            </w:r>
            <w:r>
              <w:rPr>
                <w:sz w:val="16"/>
              </w:rPr>
              <w:t>securities)</w:t>
            </w:r>
            <w:r>
              <w:rPr>
                <w:sz w:val="16"/>
              </w:rPr>
              <w:tab/>
            </w:r>
            <w:r>
              <w:rPr>
                <w:b/>
                <w:sz w:val="16"/>
              </w:rPr>
              <w:t>-</w:t>
            </w:r>
          </w:p>
        </w:tc>
        <w:tc>
          <w:tcPr>
            <w:tcW w:w="607" w:type="dxa"/>
          </w:tcPr>
          <w:p w14:paraId="17AB5A5A" w14:textId="77777777" w:rsidR="00FA4AA8" w:rsidRDefault="0015611F">
            <w:pPr>
              <w:pStyle w:val="TableParagraph"/>
              <w:spacing w:before="27"/>
              <w:ind w:right="152"/>
              <w:jc w:val="right"/>
              <w:rPr>
                <w:sz w:val="16"/>
              </w:rPr>
            </w:pPr>
            <w:r>
              <w:rPr>
                <w:sz w:val="16"/>
              </w:rPr>
              <w:t>-</w:t>
            </w:r>
          </w:p>
        </w:tc>
        <w:tc>
          <w:tcPr>
            <w:tcW w:w="748" w:type="dxa"/>
          </w:tcPr>
          <w:p w14:paraId="23B5E7DE" w14:textId="77777777" w:rsidR="00FA4AA8" w:rsidRDefault="0015611F">
            <w:pPr>
              <w:pStyle w:val="TableParagraph"/>
              <w:spacing w:before="27"/>
              <w:ind w:right="55"/>
              <w:jc w:val="right"/>
              <w:rPr>
                <w:b/>
                <w:sz w:val="16"/>
              </w:rPr>
            </w:pPr>
            <w:r>
              <w:rPr>
                <w:b/>
                <w:sz w:val="16"/>
              </w:rPr>
              <w:t>-</w:t>
            </w:r>
          </w:p>
        </w:tc>
        <w:tc>
          <w:tcPr>
            <w:tcW w:w="894" w:type="dxa"/>
          </w:tcPr>
          <w:p w14:paraId="148CF9D5" w14:textId="77777777" w:rsidR="00FA4AA8" w:rsidRDefault="0015611F">
            <w:pPr>
              <w:pStyle w:val="TableParagraph"/>
              <w:spacing w:before="27"/>
              <w:ind w:right="154"/>
              <w:jc w:val="right"/>
              <w:rPr>
                <w:sz w:val="16"/>
              </w:rPr>
            </w:pPr>
            <w:r>
              <w:rPr>
                <w:sz w:val="16"/>
              </w:rPr>
              <w:t>-</w:t>
            </w:r>
          </w:p>
        </w:tc>
        <w:tc>
          <w:tcPr>
            <w:tcW w:w="828" w:type="dxa"/>
          </w:tcPr>
          <w:p w14:paraId="7F590D1C" w14:textId="77777777" w:rsidR="00FA4AA8" w:rsidRDefault="0015611F">
            <w:pPr>
              <w:pStyle w:val="TableParagraph"/>
              <w:spacing w:before="27"/>
              <w:ind w:right="135"/>
              <w:jc w:val="right"/>
              <w:rPr>
                <w:b/>
                <w:sz w:val="16"/>
              </w:rPr>
            </w:pPr>
            <w:r>
              <w:rPr>
                <w:b/>
                <w:sz w:val="16"/>
              </w:rPr>
              <w:t>-</w:t>
            </w:r>
          </w:p>
        </w:tc>
        <w:tc>
          <w:tcPr>
            <w:tcW w:w="703" w:type="dxa"/>
          </w:tcPr>
          <w:p w14:paraId="1658D5DF" w14:textId="77777777" w:rsidR="00FA4AA8" w:rsidRDefault="0015611F">
            <w:pPr>
              <w:pStyle w:val="TableParagraph"/>
              <w:spacing w:before="27"/>
              <w:ind w:right="44"/>
              <w:jc w:val="right"/>
              <w:rPr>
                <w:sz w:val="16"/>
              </w:rPr>
            </w:pPr>
            <w:r>
              <w:rPr>
                <w:sz w:val="16"/>
              </w:rPr>
              <w:t>-</w:t>
            </w:r>
          </w:p>
        </w:tc>
        <w:tc>
          <w:tcPr>
            <w:tcW w:w="915" w:type="dxa"/>
          </w:tcPr>
          <w:p w14:paraId="691198A9" w14:textId="77777777" w:rsidR="00FA4AA8" w:rsidRDefault="0015611F">
            <w:pPr>
              <w:pStyle w:val="TableParagraph"/>
              <w:spacing w:before="27"/>
              <w:ind w:right="112"/>
              <w:jc w:val="right"/>
              <w:rPr>
                <w:b/>
                <w:sz w:val="16"/>
              </w:rPr>
            </w:pPr>
            <w:r>
              <w:rPr>
                <w:b/>
                <w:sz w:val="16"/>
              </w:rPr>
              <w:t>-</w:t>
            </w:r>
          </w:p>
        </w:tc>
        <w:tc>
          <w:tcPr>
            <w:tcW w:w="867" w:type="dxa"/>
          </w:tcPr>
          <w:p w14:paraId="631A84A0" w14:textId="77777777" w:rsidR="00FA4AA8" w:rsidRDefault="0015611F">
            <w:pPr>
              <w:pStyle w:val="TableParagraph"/>
              <w:spacing w:before="27"/>
              <w:ind w:right="184"/>
              <w:jc w:val="right"/>
              <w:rPr>
                <w:sz w:val="16"/>
              </w:rPr>
            </w:pPr>
            <w:r>
              <w:rPr>
                <w:sz w:val="16"/>
              </w:rPr>
              <w:t>-</w:t>
            </w:r>
          </w:p>
        </w:tc>
        <w:tc>
          <w:tcPr>
            <w:tcW w:w="801" w:type="dxa"/>
          </w:tcPr>
          <w:p w14:paraId="0B5EEA49" w14:textId="77777777" w:rsidR="00FA4AA8" w:rsidRDefault="0015611F">
            <w:pPr>
              <w:pStyle w:val="TableParagraph"/>
              <w:spacing w:before="27"/>
              <w:ind w:right="138"/>
              <w:jc w:val="right"/>
              <w:rPr>
                <w:b/>
                <w:sz w:val="16"/>
              </w:rPr>
            </w:pPr>
            <w:r>
              <w:rPr>
                <w:b/>
                <w:sz w:val="16"/>
              </w:rPr>
              <w:t>-</w:t>
            </w:r>
          </w:p>
        </w:tc>
        <w:tc>
          <w:tcPr>
            <w:tcW w:w="796" w:type="dxa"/>
          </w:tcPr>
          <w:p w14:paraId="534EA52C" w14:textId="77777777" w:rsidR="00FA4AA8" w:rsidRDefault="0015611F">
            <w:pPr>
              <w:pStyle w:val="TableParagraph"/>
              <w:spacing w:before="27"/>
              <w:ind w:right="140"/>
              <w:jc w:val="right"/>
              <w:rPr>
                <w:sz w:val="16"/>
              </w:rPr>
            </w:pPr>
            <w:r>
              <w:rPr>
                <w:sz w:val="16"/>
              </w:rPr>
              <w:t>-</w:t>
            </w:r>
          </w:p>
        </w:tc>
        <w:tc>
          <w:tcPr>
            <w:tcW w:w="821" w:type="dxa"/>
          </w:tcPr>
          <w:p w14:paraId="0B235ABC" w14:textId="77777777" w:rsidR="00FA4AA8" w:rsidRDefault="0015611F">
            <w:pPr>
              <w:pStyle w:val="TableParagraph"/>
              <w:spacing w:before="27"/>
              <w:ind w:right="113"/>
              <w:jc w:val="right"/>
              <w:rPr>
                <w:b/>
                <w:sz w:val="16"/>
              </w:rPr>
            </w:pPr>
            <w:r>
              <w:rPr>
                <w:b/>
                <w:sz w:val="16"/>
              </w:rPr>
              <w:t>-</w:t>
            </w:r>
          </w:p>
        </w:tc>
        <w:tc>
          <w:tcPr>
            <w:tcW w:w="821" w:type="dxa"/>
          </w:tcPr>
          <w:p w14:paraId="665C984A" w14:textId="77777777" w:rsidR="00FA4AA8" w:rsidRDefault="0015611F">
            <w:pPr>
              <w:pStyle w:val="TableParagraph"/>
              <w:spacing w:before="27"/>
              <w:ind w:left="188"/>
              <w:rPr>
                <w:sz w:val="16"/>
              </w:rPr>
            </w:pPr>
            <w:r>
              <w:rPr>
                <w:sz w:val="16"/>
              </w:rPr>
              <w:t>16,537</w:t>
            </w:r>
          </w:p>
        </w:tc>
        <w:tc>
          <w:tcPr>
            <w:tcW w:w="821" w:type="dxa"/>
          </w:tcPr>
          <w:p w14:paraId="094B3F5B" w14:textId="77777777" w:rsidR="00FA4AA8" w:rsidRDefault="0015611F">
            <w:pPr>
              <w:pStyle w:val="TableParagraph"/>
              <w:spacing w:before="27"/>
              <w:ind w:right="114"/>
              <w:jc w:val="right"/>
              <w:rPr>
                <w:b/>
                <w:sz w:val="16"/>
              </w:rPr>
            </w:pPr>
            <w:r>
              <w:rPr>
                <w:b/>
                <w:sz w:val="16"/>
              </w:rPr>
              <w:t>-</w:t>
            </w:r>
          </w:p>
        </w:tc>
        <w:tc>
          <w:tcPr>
            <w:tcW w:w="768" w:type="dxa"/>
          </w:tcPr>
          <w:p w14:paraId="26CA2BD3" w14:textId="77777777" w:rsidR="00FA4AA8" w:rsidRDefault="0015611F">
            <w:pPr>
              <w:pStyle w:val="TableParagraph"/>
              <w:spacing w:before="27"/>
              <w:ind w:right="88"/>
              <w:jc w:val="right"/>
              <w:rPr>
                <w:sz w:val="16"/>
              </w:rPr>
            </w:pPr>
            <w:r>
              <w:rPr>
                <w:sz w:val="16"/>
              </w:rPr>
              <w:t>16,537</w:t>
            </w:r>
          </w:p>
        </w:tc>
      </w:tr>
      <w:tr w:rsidR="00FA4AA8" w14:paraId="673CD602" w14:textId="77777777">
        <w:trPr>
          <w:trHeight w:val="242"/>
        </w:trPr>
        <w:tc>
          <w:tcPr>
            <w:tcW w:w="4081" w:type="dxa"/>
            <w:gridSpan w:val="2"/>
          </w:tcPr>
          <w:p w14:paraId="5CF72C73" w14:textId="77777777" w:rsidR="00FA4AA8" w:rsidRDefault="0015611F">
            <w:pPr>
              <w:pStyle w:val="TableParagraph"/>
              <w:tabs>
                <w:tab w:val="left" w:pos="3949"/>
              </w:tabs>
              <w:spacing w:before="27"/>
              <w:ind w:left="191"/>
              <w:rPr>
                <w:b/>
                <w:sz w:val="16"/>
              </w:rPr>
            </w:pPr>
            <w:r>
              <w:rPr>
                <w:sz w:val="16"/>
              </w:rPr>
              <w:t>Available-for-sale</w:t>
            </w:r>
            <w:r>
              <w:rPr>
                <w:spacing w:val="2"/>
                <w:sz w:val="16"/>
              </w:rPr>
              <w:t xml:space="preserve"> </w:t>
            </w:r>
            <w:r>
              <w:rPr>
                <w:sz w:val="16"/>
              </w:rPr>
              <w:t>(Listed</w:t>
            </w:r>
            <w:r>
              <w:rPr>
                <w:spacing w:val="3"/>
                <w:sz w:val="16"/>
              </w:rPr>
              <w:t xml:space="preserve"> </w:t>
            </w:r>
            <w:r>
              <w:rPr>
                <w:sz w:val="16"/>
              </w:rPr>
              <w:t>securities)</w:t>
            </w:r>
            <w:r>
              <w:rPr>
                <w:sz w:val="16"/>
              </w:rPr>
              <w:tab/>
            </w:r>
            <w:r>
              <w:rPr>
                <w:b/>
                <w:sz w:val="16"/>
              </w:rPr>
              <w:t>-</w:t>
            </w:r>
          </w:p>
        </w:tc>
        <w:tc>
          <w:tcPr>
            <w:tcW w:w="607" w:type="dxa"/>
          </w:tcPr>
          <w:p w14:paraId="11710E2C" w14:textId="77777777" w:rsidR="00FA4AA8" w:rsidRDefault="0015611F">
            <w:pPr>
              <w:pStyle w:val="TableParagraph"/>
              <w:spacing w:before="27"/>
              <w:ind w:right="152"/>
              <w:jc w:val="right"/>
              <w:rPr>
                <w:sz w:val="16"/>
              </w:rPr>
            </w:pPr>
            <w:r>
              <w:rPr>
                <w:sz w:val="16"/>
              </w:rPr>
              <w:t>-</w:t>
            </w:r>
          </w:p>
        </w:tc>
        <w:tc>
          <w:tcPr>
            <w:tcW w:w="748" w:type="dxa"/>
          </w:tcPr>
          <w:p w14:paraId="39397205" w14:textId="77777777" w:rsidR="00FA4AA8" w:rsidRDefault="0015611F">
            <w:pPr>
              <w:pStyle w:val="TableParagraph"/>
              <w:spacing w:before="27"/>
              <w:ind w:right="55"/>
              <w:jc w:val="right"/>
              <w:rPr>
                <w:b/>
                <w:sz w:val="16"/>
              </w:rPr>
            </w:pPr>
            <w:r>
              <w:rPr>
                <w:b/>
                <w:sz w:val="16"/>
              </w:rPr>
              <w:t>-</w:t>
            </w:r>
          </w:p>
        </w:tc>
        <w:tc>
          <w:tcPr>
            <w:tcW w:w="894" w:type="dxa"/>
          </w:tcPr>
          <w:p w14:paraId="6BD800F5" w14:textId="77777777" w:rsidR="00FA4AA8" w:rsidRDefault="0015611F">
            <w:pPr>
              <w:pStyle w:val="TableParagraph"/>
              <w:spacing w:before="27"/>
              <w:ind w:right="154"/>
              <w:jc w:val="right"/>
              <w:rPr>
                <w:sz w:val="16"/>
              </w:rPr>
            </w:pPr>
            <w:r>
              <w:rPr>
                <w:sz w:val="16"/>
              </w:rPr>
              <w:t>-</w:t>
            </w:r>
          </w:p>
        </w:tc>
        <w:tc>
          <w:tcPr>
            <w:tcW w:w="828" w:type="dxa"/>
          </w:tcPr>
          <w:p w14:paraId="58A99A5C" w14:textId="77777777" w:rsidR="00FA4AA8" w:rsidRDefault="0015611F">
            <w:pPr>
              <w:pStyle w:val="TableParagraph"/>
              <w:spacing w:before="27"/>
              <w:ind w:right="135"/>
              <w:jc w:val="right"/>
              <w:rPr>
                <w:b/>
                <w:sz w:val="16"/>
              </w:rPr>
            </w:pPr>
            <w:r>
              <w:rPr>
                <w:b/>
                <w:sz w:val="16"/>
              </w:rPr>
              <w:t>-</w:t>
            </w:r>
          </w:p>
        </w:tc>
        <w:tc>
          <w:tcPr>
            <w:tcW w:w="703" w:type="dxa"/>
          </w:tcPr>
          <w:p w14:paraId="7D938FDD" w14:textId="77777777" w:rsidR="00FA4AA8" w:rsidRDefault="0015611F">
            <w:pPr>
              <w:pStyle w:val="TableParagraph"/>
              <w:spacing w:before="27"/>
              <w:ind w:right="44"/>
              <w:jc w:val="right"/>
              <w:rPr>
                <w:sz w:val="16"/>
              </w:rPr>
            </w:pPr>
            <w:r>
              <w:rPr>
                <w:sz w:val="16"/>
              </w:rPr>
              <w:t>-</w:t>
            </w:r>
          </w:p>
        </w:tc>
        <w:tc>
          <w:tcPr>
            <w:tcW w:w="915" w:type="dxa"/>
          </w:tcPr>
          <w:p w14:paraId="21030653" w14:textId="77777777" w:rsidR="00FA4AA8" w:rsidRDefault="0015611F">
            <w:pPr>
              <w:pStyle w:val="TableParagraph"/>
              <w:spacing w:before="27"/>
              <w:ind w:right="112"/>
              <w:jc w:val="right"/>
              <w:rPr>
                <w:b/>
                <w:sz w:val="16"/>
              </w:rPr>
            </w:pPr>
            <w:r>
              <w:rPr>
                <w:b/>
                <w:sz w:val="16"/>
              </w:rPr>
              <w:t>-</w:t>
            </w:r>
          </w:p>
        </w:tc>
        <w:tc>
          <w:tcPr>
            <w:tcW w:w="867" w:type="dxa"/>
          </w:tcPr>
          <w:p w14:paraId="0C166D81" w14:textId="77777777" w:rsidR="00FA4AA8" w:rsidRDefault="0015611F">
            <w:pPr>
              <w:pStyle w:val="TableParagraph"/>
              <w:spacing w:before="27"/>
              <w:ind w:right="184"/>
              <w:jc w:val="right"/>
              <w:rPr>
                <w:sz w:val="16"/>
              </w:rPr>
            </w:pPr>
            <w:r>
              <w:rPr>
                <w:sz w:val="16"/>
              </w:rPr>
              <w:t>-</w:t>
            </w:r>
          </w:p>
        </w:tc>
        <w:tc>
          <w:tcPr>
            <w:tcW w:w="801" w:type="dxa"/>
          </w:tcPr>
          <w:p w14:paraId="5373AF0D" w14:textId="77777777" w:rsidR="00FA4AA8" w:rsidRDefault="0015611F">
            <w:pPr>
              <w:pStyle w:val="TableParagraph"/>
              <w:spacing w:before="27"/>
              <w:ind w:right="138"/>
              <w:jc w:val="right"/>
              <w:rPr>
                <w:b/>
                <w:sz w:val="16"/>
              </w:rPr>
            </w:pPr>
            <w:r>
              <w:rPr>
                <w:b/>
                <w:sz w:val="16"/>
              </w:rPr>
              <w:t>-</w:t>
            </w:r>
          </w:p>
        </w:tc>
        <w:tc>
          <w:tcPr>
            <w:tcW w:w="796" w:type="dxa"/>
          </w:tcPr>
          <w:p w14:paraId="180F609D" w14:textId="77777777" w:rsidR="00FA4AA8" w:rsidRDefault="0015611F">
            <w:pPr>
              <w:pStyle w:val="TableParagraph"/>
              <w:spacing w:before="27"/>
              <w:ind w:right="140"/>
              <w:jc w:val="right"/>
              <w:rPr>
                <w:sz w:val="16"/>
              </w:rPr>
            </w:pPr>
            <w:r>
              <w:rPr>
                <w:sz w:val="16"/>
              </w:rPr>
              <w:t>-</w:t>
            </w:r>
          </w:p>
        </w:tc>
        <w:tc>
          <w:tcPr>
            <w:tcW w:w="821" w:type="dxa"/>
          </w:tcPr>
          <w:p w14:paraId="20FA272D" w14:textId="77777777" w:rsidR="00FA4AA8" w:rsidRDefault="0015611F">
            <w:pPr>
              <w:pStyle w:val="TableParagraph"/>
              <w:spacing w:before="27"/>
              <w:ind w:right="113"/>
              <w:jc w:val="right"/>
              <w:rPr>
                <w:b/>
                <w:sz w:val="16"/>
              </w:rPr>
            </w:pPr>
            <w:r>
              <w:rPr>
                <w:b/>
                <w:sz w:val="16"/>
              </w:rPr>
              <w:t>-</w:t>
            </w:r>
          </w:p>
        </w:tc>
        <w:tc>
          <w:tcPr>
            <w:tcW w:w="821" w:type="dxa"/>
          </w:tcPr>
          <w:p w14:paraId="37BDAF68" w14:textId="77777777" w:rsidR="00FA4AA8" w:rsidRDefault="0015611F">
            <w:pPr>
              <w:pStyle w:val="TableParagraph"/>
              <w:spacing w:before="27"/>
              <w:ind w:left="188"/>
              <w:rPr>
                <w:sz w:val="16"/>
              </w:rPr>
            </w:pPr>
            <w:r>
              <w:rPr>
                <w:sz w:val="16"/>
              </w:rPr>
              <w:t>80,299</w:t>
            </w:r>
          </w:p>
        </w:tc>
        <w:tc>
          <w:tcPr>
            <w:tcW w:w="821" w:type="dxa"/>
          </w:tcPr>
          <w:p w14:paraId="02FEFC41" w14:textId="77777777" w:rsidR="00FA4AA8" w:rsidRDefault="0015611F">
            <w:pPr>
              <w:pStyle w:val="TableParagraph"/>
              <w:spacing w:before="27"/>
              <w:ind w:right="114"/>
              <w:jc w:val="right"/>
              <w:rPr>
                <w:b/>
                <w:sz w:val="16"/>
              </w:rPr>
            </w:pPr>
            <w:r>
              <w:rPr>
                <w:b/>
                <w:sz w:val="16"/>
              </w:rPr>
              <w:t>-</w:t>
            </w:r>
          </w:p>
        </w:tc>
        <w:tc>
          <w:tcPr>
            <w:tcW w:w="768" w:type="dxa"/>
          </w:tcPr>
          <w:p w14:paraId="0B200A6E" w14:textId="77777777" w:rsidR="00FA4AA8" w:rsidRDefault="0015611F">
            <w:pPr>
              <w:pStyle w:val="TableParagraph"/>
              <w:spacing w:before="27"/>
              <w:ind w:right="88"/>
              <w:jc w:val="right"/>
              <w:rPr>
                <w:sz w:val="16"/>
              </w:rPr>
            </w:pPr>
            <w:r>
              <w:rPr>
                <w:sz w:val="16"/>
              </w:rPr>
              <w:t>80,299</w:t>
            </w:r>
          </w:p>
        </w:tc>
      </w:tr>
      <w:tr w:rsidR="00FA4AA8" w14:paraId="5BA221F5" w14:textId="77777777">
        <w:trPr>
          <w:trHeight w:val="237"/>
        </w:trPr>
        <w:tc>
          <w:tcPr>
            <w:tcW w:w="4081" w:type="dxa"/>
            <w:gridSpan w:val="2"/>
          </w:tcPr>
          <w:p w14:paraId="23EAF677" w14:textId="77777777" w:rsidR="00FA4AA8" w:rsidRDefault="0015611F">
            <w:pPr>
              <w:pStyle w:val="TableParagraph"/>
              <w:tabs>
                <w:tab w:val="left" w:pos="3949"/>
              </w:tabs>
              <w:spacing w:before="27"/>
              <w:ind w:left="191"/>
              <w:rPr>
                <w:b/>
                <w:sz w:val="16"/>
              </w:rPr>
            </w:pPr>
            <w:r>
              <w:rPr>
                <w:sz w:val="16"/>
              </w:rPr>
              <w:t>Held</w:t>
            </w:r>
            <w:r>
              <w:rPr>
                <w:spacing w:val="1"/>
                <w:sz w:val="16"/>
              </w:rPr>
              <w:t xml:space="preserve"> </w:t>
            </w:r>
            <w:r>
              <w:rPr>
                <w:sz w:val="16"/>
              </w:rPr>
              <w:t>to</w:t>
            </w:r>
            <w:r>
              <w:rPr>
                <w:spacing w:val="1"/>
                <w:sz w:val="16"/>
              </w:rPr>
              <w:t xml:space="preserve"> </w:t>
            </w:r>
            <w:r>
              <w:rPr>
                <w:sz w:val="16"/>
              </w:rPr>
              <w:t>maturity</w:t>
            </w:r>
            <w:r>
              <w:rPr>
                <w:sz w:val="16"/>
              </w:rPr>
              <w:tab/>
            </w:r>
            <w:r>
              <w:rPr>
                <w:b/>
                <w:sz w:val="16"/>
              </w:rPr>
              <w:t>-</w:t>
            </w:r>
          </w:p>
        </w:tc>
        <w:tc>
          <w:tcPr>
            <w:tcW w:w="607" w:type="dxa"/>
            <w:tcBorders>
              <w:bottom w:val="single" w:sz="8" w:space="0" w:color="000000"/>
            </w:tcBorders>
          </w:tcPr>
          <w:p w14:paraId="07FE056E" w14:textId="77777777" w:rsidR="00FA4AA8" w:rsidRDefault="0015611F">
            <w:pPr>
              <w:pStyle w:val="TableParagraph"/>
              <w:spacing w:before="27"/>
              <w:ind w:right="152"/>
              <w:jc w:val="right"/>
              <w:rPr>
                <w:sz w:val="16"/>
              </w:rPr>
            </w:pPr>
            <w:r>
              <w:rPr>
                <w:sz w:val="16"/>
              </w:rPr>
              <w:t>3.40</w:t>
            </w:r>
          </w:p>
        </w:tc>
        <w:tc>
          <w:tcPr>
            <w:tcW w:w="748" w:type="dxa"/>
            <w:tcBorders>
              <w:bottom w:val="single" w:sz="8" w:space="0" w:color="000000"/>
            </w:tcBorders>
          </w:tcPr>
          <w:p w14:paraId="37230A67" w14:textId="77777777" w:rsidR="00FA4AA8" w:rsidRDefault="0015611F">
            <w:pPr>
              <w:pStyle w:val="TableParagraph"/>
              <w:spacing w:before="27"/>
              <w:ind w:right="55"/>
              <w:jc w:val="right"/>
              <w:rPr>
                <w:b/>
                <w:sz w:val="16"/>
              </w:rPr>
            </w:pPr>
            <w:r>
              <w:rPr>
                <w:b/>
                <w:sz w:val="16"/>
              </w:rPr>
              <w:t>-</w:t>
            </w:r>
          </w:p>
        </w:tc>
        <w:tc>
          <w:tcPr>
            <w:tcW w:w="894" w:type="dxa"/>
            <w:tcBorders>
              <w:bottom w:val="single" w:sz="8" w:space="0" w:color="000000"/>
            </w:tcBorders>
          </w:tcPr>
          <w:p w14:paraId="5652E928" w14:textId="77777777" w:rsidR="00FA4AA8" w:rsidRDefault="0015611F">
            <w:pPr>
              <w:pStyle w:val="TableParagraph"/>
              <w:spacing w:before="27"/>
              <w:ind w:right="155"/>
              <w:jc w:val="right"/>
              <w:rPr>
                <w:sz w:val="16"/>
              </w:rPr>
            </w:pPr>
            <w:r>
              <w:rPr>
                <w:sz w:val="16"/>
              </w:rPr>
              <w:t>1,020</w:t>
            </w:r>
          </w:p>
        </w:tc>
        <w:tc>
          <w:tcPr>
            <w:tcW w:w="828" w:type="dxa"/>
            <w:tcBorders>
              <w:bottom w:val="single" w:sz="8" w:space="0" w:color="000000"/>
            </w:tcBorders>
          </w:tcPr>
          <w:p w14:paraId="45C79845" w14:textId="77777777" w:rsidR="00FA4AA8" w:rsidRDefault="0015611F">
            <w:pPr>
              <w:pStyle w:val="TableParagraph"/>
              <w:spacing w:before="27"/>
              <w:ind w:right="135"/>
              <w:jc w:val="right"/>
              <w:rPr>
                <w:b/>
                <w:sz w:val="16"/>
              </w:rPr>
            </w:pPr>
            <w:r>
              <w:rPr>
                <w:b/>
                <w:sz w:val="16"/>
              </w:rPr>
              <w:t>-</w:t>
            </w:r>
          </w:p>
        </w:tc>
        <w:tc>
          <w:tcPr>
            <w:tcW w:w="703" w:type="dxa"/>
            <w:tcBorders>
              <w:bottom w:val="single" w:sz="8" w:space="0" w:color="000000"/>
            </w:tcBorders>
          </w:tcPr>
          <w:p w14:paraId="152968C2" w14:textId="77777777" w:rsidR="00FA4AA8" w:rsidRDefault="0015611F">
            <w:pPr>
              <w:pStyle w:val="TableParagraph"/>
              <w:spacing w:before="27"/>
              <w:ind w:right="44"/>
              <w:jc w:val="right"/>
              <w:rPr>
                <w:sz w:val="16"/>
              </w:rPr>
            </w:pPr>
            <w:r>
              <w:rPr>
                <w:sz w:val="16"/>
              </w:rPr>
              <w:t>-</w:t>
            </w:r>
          </w:p>
        </w:tc>
        <w:tc>
          <w:tcPr>
            <w:tcW w:w="915" w:type="dxa"/>
            <w:tcBorders>
              <w:bottom w:val="single" w:sz="8" w:space="0" w:color="000000"/>
            </w:tcBorders>
          </w:tcPr>
          <w:p w14:paraId="70A49E36" w14:textId="77777777" w:rsidR="00FA4AA8" w:rsidRDefault="0015611F">
            <w:pPr>
              <w:pStyle w:val="TableParagraph"/>
              <w:spacing w:before="27"/>
              <w:ind w:right="112"/>
              <w:jc w:val="right"/>
              <w:rPr>
                <w:b/>
                <w:sz w:val="16"/>
              </w:rPr>
            </w:pPr>
            <w:r>
              <w:rPr>
                <w:b/>
                <w:sz w:val="16"/>
              </w:rPr>
              <w:t>-</w:t>
            </w:r>
          </w:p>
        </w:tc>
        <w:tc>
          <w:tcPr>
            <w:tcW w:w="867" w:type="dxa"/>
            <w:tcBorders>
              <w:bottom w:val="single" w:sz="8" w:space="0" w:color="000000"/>
            </w:tcBorders>
          </w:tcPr>
          <w:p w14:paraId="76565F3F" w14:textId="77777777" w:rsidR="00FA4AA8" w:rsidRDefault="0015611F">
            <w:pPr>
              <w:pStyle w:val="TableParagraph"/>
              <w:spacing w:before="27"/>
              <w:ind w:left="278"/>
              <w:rPr>
                <w:sz w:val="16"/>
              </w:rPr>
            </w:pPr>
            <w:r>
              <w:rPr>
                <w:sz w:val="16"/>
              </w:rPr>
              <w:t>8,775</w:t>
            </w:r>
          </w:p>
        </w:tc>
        <w:tc>
          <w:tcPr>
            <w:tcW w:w="801" w:type="dxa"/>
            <w:tcBorders>
              <w:bottom w:val="single" w:sz="8" w:space="0" w:color="000000"/>
            </w:tcBorders>
          </w:tcPr>
          <w:p w14:paraId="6A90E7CC" w14:textId="77777777" w:rsidR="00FA4AA8" w:rsidRDefault="0015611F">
            <w:pPr>
              <w:pStyle w:val="TableParagraph"/>
              <w:spacing w:before="27"/>
              <w:ind w:right="138"/>
              <w:jc w:val="right"/>
              <w:rPr>
                <w:b/>
                <w:sz w:val="16"/>
              </w:rPr>
            </w:pPr>
            <w:r>
              <w:rPr>
                <w:b/>
                <w:sz w:val="16"/>
              </w:rPr>
              <w:t>-</w:t>
            </w:r>
          </w:p>
        </w:tc>
        <w:tc>
          <w:tcPr>
            <w:tcW w:w="796" w:type="dxa"/>
            <w:tcBorders>
              <w:bottom w:val="single" w:sz="8" w:space="0" w:color="000000"/>
            </w:tcBorders>
          </w:tcPr>
          <w:p w14:paraId="54197D50" w14:textId="77777777" w:rsidR="00FA4AA8" w:rsidRDefault="0015611F">
            <w:pPr>
              <w:pStyle w:val="TableParagraph"/>
              <w:spacing w:before="27"/>
              <w:ind w:right="140"/>
              <w:jc w:val="right"/>
              <w:rPr>
                <w:sz w:val="16"/>
              </w:rPr>
            </w:pPr>
            <w:r>
              <w:rPr>
                <w:sz w:val="16"/>
              </w:rPr>
              <w:t>1,266</w:t>
            </w:r>
          </w:p>
        </w:tc>
        <w:tc>
          <w:tcPr>
            <w:tcW w:w="821" w:type="dxa"/>
            <w:tcBorders>
              <w:bottom w:val="single" w:sz="8" w:space="0" w:color="000000"/>
            </w:tcBorders>
          </w:tcPr>
          <w:p w14:paraId="70E937BB" w14:textId="77777777" w:rsidR="00FA4AA8" w:rsidRDefault="0015611F">
            <w:pPr>
              <w:pStyle w:val="TableParagraph"/>
              <w:spacing w:before="27"/>
              <w:ind w:right="113"/>
              <w:jc w:val="right"/>
              <w:rPr>
                <w:b/>
                <w:sz w:val="16"/>
              </w:rPr>
            </w:pPr>
            <w:r>
              <w:rPr>
                <w:b/>
                <w:sz w:val="16"/>
              </w:rPr>
              <w:t>-</w:t>
            </w:r>
          </w:p>
        </w:tc>
        <w:tc>
          <w:tcPr>
            <w:tcW w:w="821" w:type="dxa"/>
            <w:tcBorders>
              <w:bottom w:val="single" w:sz="8" w:space="0" w:color="000000"/>
            </w:tcBorders>
          </w:tcPr>
          <w:p w14:paraId="3E0C00B0" w14:textId="77777777" w:rsidR="00FA4AA8" w:rsidRDefault="0015611F">
            <w:pPr>
              <w:pStyle w:val="TableParagraph"/>
              <w:spacing w:before="27"/>
              <w:ind w:right="140"/>
              <w:jc w:val="right"/>
              <w:rPr>
                <w:sz w:val="16"/>
              </w:rPr>
            </w:pPr>
            <w:r>
              <w:rPr>
                <w:sz w:val="16"/>
              </w:rPr>
              <w:t>-</w:t>
            </w:r>
          </w:p>
        </w:tc>
        <w:tc>
          <w:tcPr>
            <w:tcW w:w="821" w:type="dxa"/>
            <w:tcBorders>
              <w:bottom w:val="single" w:sz="8" w:space="0" w:color="000000"/>
            </w:tcBorders>
          </w:tcPr>
          <w:p w14:paraId="6D832E3C" w14:textId="77777777" w:rsidR="00FA4AA8" w:rsidRDefault="0015611F">
            <w:pPr>
              <w:pStyle w:val="TableParagraph"/>
              <w:spacing w:before="27"/>
              <w:ind w:right="114"/>
              <w:jc w:val="right"/>
              <w:rPr>
                <w:b/>
                <w:sz w:val="16"/>
              </w:rPr>
            </w:pPr>
            <w:r>
              <w:rPr>
                <w:b/>
                <w:sz w:val="16"/>
              </w:rPr>
              <w:t>-</w:t>
            </w:r>
          </w:p>
        </w:tc>
        <w:tc>
          <w:tcPr>
            <w:tcW w:w="768" w:type="dxa"/>
            <w:tcBorders>
              <w:bottom w:val="single" w:sz="8" w:space="0" w:color="000000"/>
            </w:tcBorders>
          </w:tcPr>
          <w:p w14:paraId="5C91ACE1" w14:textId="77777777" w:rsidR="00FA4AA8" w:rsidRDefault="0015611F">
            <w:pPr>
              <w:pStyle w:val="TableParagraph"/>
              <w:spacing w:before="27"/>
              <w:ind w:right="88"/>
              <w:jc w:val="right"/>
              <w:rPr>
                <w:sz w:val="16"/>
              </w:rPr>
            </w:pPr>
            <w:r>
              <w:rPr>
                <w:sz w:val="16"/>
              </w:rPr>
              <w:t>11,061</w:t>
            </w:r>
          </w:p>
        </w:tc>
      </w:tr>
      <w:tr w:rsidR="00FA4AA8" w14:paraId="25B48900" w14:textId="77777777">
        <w:trPr>
          <w:trHeight w:val="315"/>
        </w:trPr>
        <w:tc>
          <w:tcPr>
            <w:tcW w:w="3504" w:type="dxa"/>
          </w:tcPr>
          <w:p w14:paraId="75FD9542" w14:textId="77777777" w:rsidR="00FA4AA8" w:rsidRDefault="0015611F">
            <w:pPr>
              <w:pStyle w:val="TableParagraph"/>
              <w:spacing w:before="105" w:line="181" w:lineRule="exact"/>
              <w:ind w:left="50"/>
              <w:rPr>
                <w:b/>
                <w:sz w:val="16"/>
              </w:rPr>
            </w:pPr>
            <w:r>
              <w:rPr>
                <w:b/>
                <w:sz w:val="16"/>
              </w:rPr>
              <w:t>Total Financial Assets</w:t>
            </w:r>
          </w:p>
        </w:tc>
        <w:tc>
          <w:tcPr>
            <w:tcW w:w="1932" w:type="dxa"/>
            <w:gridSpan w:val="3"/>
            <w:tcBorders>
              <w:bottom w:val="double" w:sz="2" w:space="0" w:color="000000"/>
            </w:tcBorders>
          </w:tcPr>
          <w:p w14:paraId="1C53FC57" w14:textId="77777777" w:rsidR="00FA4AA8" w:rsidRDefault="0015611F">
            <w:pPr>
              <w:pStyle w:val="TableParagraph"/>
              <w:spacing w:before="105" w:line="147" w:lineRule="exact"/>
              <w:ind w:right="55"/>
              <w:jc w:val="right"/>
              <w:rPr>
                <w:b/>
                <w:sz w:val="16"/>
              </w:rPr>
            </w:pPr>
            <w:r>
              <w:rPr>
                <w:b/>
                <w:sz w:val="16"/>
              </w:rPr>
              <w:t>71,692</w:t>
            </w:r>
          </w:p>
        </w:tc>
        <w:tc>
          <w:tcPr>
            <w:tcW w:w="894" w:type="dxa"/>
            <w:tcBorders>
              <w:bottom w:val="single" w:sz="4" w:space="0" w:color="000000"/>
            </w:tcBorders>
          </w:tcPr>
          <w:p w14:paraId="5D0456B7" w14:textId="77777777" w:rsidR="00FA4AA8" w:rsidRDefault="0015611F">
            <w:pPr>
              <w:pStyle w:val="TableParagraph"/>
              <w:spacing w:before="105" w:line="181" w:lineRule="exact"/>
              <w:ind w:left="158"/>
              <w:rPr>
                <w:sz w:val="16"/>
              </w:rPr>
            </w:pPr>
            <w:r>
              <w:rPr>
                <w:sz w:val="16"/>
              </w:rPr>
              <w:t>125,050</w:t>
            </w:r>
          </w:p>
        </w:tc>
        <w:tc>
          <w:tcPr>
            <w:tcW w:w="828" w:type="dxa"/>
            <w:tcBorders>
              <w:bottom w:val="single" w:sz="6" w:space="0" w:color="000000"/>
            </w:tcBorders>
          </w:tcPr>
          <w:p w14:paraId="0A7FA4C4" w14:textId="77777777" w:rsidR="00FA4AA8" w:rsidRDefault="0015611F">
            <w:pPr>
              <w:pStyle w:val="TableParagraph"/>
              <w:spacing w:before="105" w:line="181" w:lineRule="exact"/>
              <w:ind w:left="200"/>
              <w:rPr>
                <w:b/>
                <w:sz w:val="16"/>
              </w:rPr>
            </w:pPr>
            <w:r>
              <w:rPr>
                <w:b/>
                <w:sz w:val="16"/>
              </w:rPr>
              <w:t>36,905</w:t>
            </w:r>
          </w:p>
        </w:tc>
        <w:tc>
          <w:tcPr>
            <w:tcW w:w="703" w:type="dxa"/>
            <w:tcBorders>
              <w:bottom w:val="single" w:sz="6" w:space="0" w:color="000000"/>
            </w:tcBorders>
          </w:tcPr>
          <w:p w14:paraId="5DE0B776" w14:textId="77777777" w:rsidR="00FA4AA8" w:rsidRDefault="0015611F">
            <w:pPr>
              <w:pStyle w:val="TableParagraph"/>
              <w:spacing w:before="105" w:line="181" w:lineRule="exact"/>
              <w:ind w:right="44"/>
              <w:jc w:val="right"/>
              <w:rPr>
                <w:sz w:val="16"/>
              </w:rPr>
            </w:pPr>
            <w:r>
              <w:rPr>
                <w:sz w:val="16"/>
              </w:rPr>
              <w:t>97,718</w:t>
            </w:r>
          </w:p>
        </w:tc>
        <w:tc>
          <w:tcPr>
            <w:tcW w:w="6610" w:type="dxa"/>
            <w:gridSpan w:val="8"/>
            <w:tcBorders>
              <w:bottom w:val="single" w:sz="6" w:space="0" w:color="000000"/>
            </w:tcBorders>
          </w:tcPr>
          <w:p w14:paraId="10EB15EB" w14:textId="77777777" w:rsidR="00FA4AA8" w:rsidRDefault="0015611F">
            <w:pPr>
              <w:pStyle w:val="TableParagraph"/>
              <w:tabs>
                <w:tab w:val="left" w:pos="399"/>
                <w:tab w:val="left" w:pos="1193"/>
                <w:tab w:val="left" w:pos="2175"/>
                <w:tab w:val="left" w:pos="2835"/>
                <w:tab w:val="left" w:pos="3504"/>
                <w:tab w:val="left" w:pos="4299"/>
                <w:tab w:val="left" w:pos="5146"/>
                <w:tab w:val="left" w:pos="5940"/>
              </w:tabs>
              <w:spacing w:before="105" w:line="181" w:lineRule="exact"/>
              <w:ind w:left="34"/>
              <w:rPr>
                <w:sz w:val="16"/>
              </w:rPr>
            </w:pPr>
            <w:r>
              <w:rPr>
                <w:rFonts w:ascii="Times New Roman"/>
                <w:sz w:val="16"/>
                <w:u w:val="single"/>
              </w:rPr>
              <w:t xml:space="preserve"> </w:t>
            </w:r>
            <w:r>
              <w:rPr>
                <w:rFonts w:ascii="Times New Roman"/>
                <w:sz w:val="16"/>
                <w:u w:val="single"/>
              </w:rPr>
              <w:tab/>
            </w:r>
            <w:r>
              <w:rPr>
                <w:b/>
                <w:sz w:val="16"/>
                <w:u w:val="single"/>
              </w:rPr>
              <w:t>4,651</w:t>
            </w:r>
            <w:r>
              <w:rPr>
                <w:b/>
                <w:sz w:val="16"/>
                <w:u w:val="single"/>
              </w:rPr>
              <w:tab/>
            </w:r>
            <w:r>
              <w:rPr>
                <w:sz w:val="16"/>
                <w:u w:val="single"/>
              </w:rPr>
              <w:t>8,775</w:t>
            </w:r>
            <w:r>
              <w:rPr>
                <w:sz w:val="16"/>
                <w:u w:val="single"/>
              </w:rPr>
              <w:tab/>
            </w:r>
            <w:r>
              <w:rPr>
                <w:b/>
                <w:sz w:val="16"/>
                <w:u w:val="single"/>
              </w:rPr>
              <w:t>517</w:t>
            </w:r>
            <w:r>
              <w:rPr>
                <w:b/>
                <w:sz w:val="16"/>
                <w:u w:val="single"/>
              </w:rPr>
              <w:tab/>
            </w:r>
            <w:r>
              <w:rPr>
                <w:sz w:val="16"/>
                <w:u w:val="single"/>
              </w:rPr>
              <w:t>1,266</w:t>
            </w:r>
            <w:r>
              <w:rPr>
                <w:sz w:val="16"/>
                <w:u w:val="single"/>
              </w:rPr>
              <w:tab/>
            </w:r>
            <w:r>
              <w:rPr>
                <w:b/>
                <w:sz w:val="16"/>
                <w:u w:val="single"/>
              </w:rPr>
              <w:t>335,839</w:t>
            </w:r>
            <w:r>
              <w:rPr>
                <w:b/>
                <w:sz w:val="16"/>
                <w:u w:val="single"/>
              </w:rPr>
              <w:tab/>
            </w:r>
            <w:r>
              <w:rPr>
                <w:sz w:val="16"/>
                <w:u w:val="single"/>
              </w:rPr>
              <w:t>189,122</w:t>
            </w:r>
            <w:r>
              <w:rPr>
                <w:sz w:val="16"/>
                <w:u w:val="single"/>
              </w:rPr>
              <w:tab/>
            </w:r>
            <w:r>
              <w:rPr>
                <w:b/>
                <w:sz w:val="16"/>
                <w:u w:val="single"/>
              </w:rPr>
              <w:t>449,604</w:t>
            </w:r>
            <w:r>
              <w:rPr>
                <w:b/>
                <w:sz w:val="16"/>
                <w:u w:val="single"/>
              </w:rPr>
              <w:tab/>
            </w:r>
            <w:r>
              <w:rPr>
                <w:sz w:val="16"/>
                <w:u w:val="single"/>
              </w:rPr>
              <w:t>421,931</w:t>
            </w:r>
          </w:p>
        </w:tc>
      </w:tr>
      <w:tr w:rsidR="00FA4AA8" w14:paraId="2A98201A" w14:textId="77777777">
        <w:trPr>
          <w:trHeight w:val="527"/>
        </w:trPr>
        <w:tc>
          <w:tcPr>
            <w:tcW w:w="3504" w:type="dxa"/>
          </w:tcPr>
          <w:p w14:paraId="19F89A6C" w14:textId="77777777" w:rsidR="00FA4AA8" w:rsidRDefault="0015611F">
            <w:pPr>
              <w:pStyle w:val="TableParagraph"/>
              <w:spacing w:before="92"/>
              <w:ind w:left="50"/>
              <w:rPr>
                <w:b/>
                <w:sz w:val="16"/>
              </w:rPr>
            </w:pPr>
            <w:r>
              <w:rPr>
                <w:b/>
                <w:sz w:val="16"/>
              </w:rPr>
              <w:t>Financial Liabilities:</w:t>
            </w:r>
          </w:p>
          <w:p w14:paraId="7148D768" w14:textId="77777777" w:rsidR="00FA4AA8" w:rsidRDefault="0015611F">
            <w:pPr>
              <w:pStyle w:val="TableParagraph"/>
              <w:spacing w:before="28"/>
              <w:ind w:left="50"/>
              <w:rPr>
                <w:sz w:val="16"/>
              </w:rPr>
            </w:pPr>
            <w:r>
              <w:rPr>
                <w:sz w:val="16"/>
              </w:rPr>
              <w:t>Payables</w:t>
            </w:r>
          </w:p>
        </w:tc>
        <w:tc>
          <w:tcPr>
            <w:tcW w:w="577" w:type="dxa"/>
          </w:tcPr>
          <w:p w14:paraId="127C9723" w14:textId="77777777" w:rsidR="00FA4AA8" w:rsidRDefault="00FA4AA8">
            <w:pPr>
              <w:pStyle w:val="TableParagraph"/>
              <w:spacing w:before="7"/>
              <w:rPr>
                <w:b/>
                <w:sz w:val="26"/>
              </w:rPr>
            </w:pPr>
          </w:p>
          <w:p w14:paraId="50BED1FC" w14:textId="77777777" w:rsidR="00FA4AA8" w:rsidRDefault="0015611F">
            <w:pPr>
              <w:pStyle w:val="TableParagraph"/>
              <w:ind w:right="75"/>
              <w:jc w:val="right"/>
              <w:rPr>
                <w:b/>
                <w:sz w:val="16"/>
              </w:rPr>
            </w:pPr>
            <w:r>
              <w:rPr>
                <w:b/>
                <w:sz w:val="16"/>
              </w:rPr>
              <w:t>-</w:t>
            </w:r>
          </w:p>
        </w:tc>
        <w:tc>
          <w:tcPr>
            <w:tcW w:w="607" w:type="dxa"/>
          </w:tcPr>
          <w:p w14:paraId="438A9A32" w14:textId="77777777" w:rsidR="00FA4AA8" w:rsidRDefault="00FA4AA8">
            <w:pPr>
              <w:pStyle w:val="TableParagraph"/>
              <w:spacing w:before="7"/>
              <w:rPr>
                <w:b/>
                <w:sz w:val="26"/>
              </w:rPr>
            </w:pPr>
          </w:p>
          <w:p w14:paraId="374A4E5A" w14:textId="77777777" w:rsidR="00FA4AA8" w:rsidRDefault="0015611F">
            <w:pPr>
              <w:pStyle w:val="TableParagraph"/>
              <w:ind w:right="152"/>
              <w:jc w:val="right"/>
              <w:rPr>
                <w:sz w:val="16"/>
              </w:rPr>
            </w:pPr>
            <w:r>
              <w:rPr>
                <w:sz w:val="16"/>
              </w:rPr>
              <w:t>-</w:t>
            </w:r>
          </w:p>
        </w:tc>
        <w:tc>
          <w:tcPr>
            <w:tcW w:w="4088" w:type="dxa"/>
            <w:gridSpan w:val="5"/>
          </w:tcPr>
          <w:p w14:paraId="38AC9289" w14:textId="77777777" w:rsidR="00FA4AA8" w:rsidRDefault="00FA4AA8">
            <w:pPr>
              <w:pStyle w:val="TableParagraph"/>
              <w:spacing w:before="7"/>
              <w:rPr>
                <w:b/>
                <w:sz w:val="26"/>
              </w:rPr>
            </w:pPr>
          </w:p>
          <w:p w14:paraId="4F7E6251" w14:textId="77777777" w:rsidR="00FA4AA8" w:rsidRDefault="0015611F">
            <w:pPr>
              <w:pStyle w:val="TableParagraph"/>
              <w:tabs>
                <w:tab w:val="left" w:pos="1431"/>
                <w:tab w:val="left" w:pos="2278"/>
                <w:tab w:val="left" w:pos="3073"/>
                <w:tab w:val="left" w:pos="3920"/>
              </w:tabs>
              <w:ind w:left="637"/>
              <w:rPr>
                <w:b/>
                <w:sz w:val="16"/>
              </w:rPr>
            </w:pPr>
            <w:r>
              <w:rPr>
                <w:b/>
                <w:sz w:val="16"/>
              </w:rPr>
              <w:t>-</w:t>
            </w:r>
            <w:r>
              <w:rPr>
                <w:b/>
                <w:sz w:val="16"/>
              </w:rPr>
              <w:tab/>
            </w:r>
            <w:r>
              <w:rPr>
                <w:sz w:val="16"/>
              </w:rPr>
              <w:t>-</w:t>
            </w:r>
            <w:r>
              <w:rPr>
                <w:sz w:val="16"/>
              </w:rPr>
              <w:tab/>
            </w:r>
            <w:r>
              <w:rPr>
                <w:b/>
                <w:sz w:val="16"/>
              </w:rPr>
              <w:t>-</w:t>
            </w:r>
            <w:r>
              <w:rPr>
                <w:b/>
                <w:sz w:val="16"/>
              </w:rPr>
              <w:tab/>
            </w:r>
            <w:r>
              <w:rPr>
                <w:sz w:val="16"/>
              </w:rPr>
              <w:t>-</w:t>
            </w:r>
            <w:r>
              <w:rPr>
                <w:sz w:val="16"/>
              </w:rPr>
              <w:tab/>
            </w:r>
            <w:r>
              <w:rPr>
                <w:b/>
                <w:sz w:val="16"/>
              </w:rPr>
              <w:t>-</w:t>
            </w:r>
          </w:p>
        </w:tc>
        <w:tc>
          <w:tcPr>
            <w:tcW w:w="867" w:type="dxa"/>
          </w:tcPr>
          <w:p w14:paraId="3E8EA161" w14:textId="77777777" w:rsidR="00FA4AA8" w:rsidRDefault="00FA4AA8">
            <w:pPr>
              <w:pStyle w:val="TableParagraph"/>
              <w:spacing w:before="7"/>
              <w:rPr>
                <w:b/>
                <w:sz w:val="26"/>
              </w:rPr>
            </w:pPr>
          </w:p>
          <w:p w14:paraId="00D1EBEC" w14:textId="77777777" w:rsidR="00FA4AA8" w:rsidRDefault="0015611F">
            <w:pPr>
              <w:pStyle w:val="TableParagraph"/>
              <w:ind w:right="184"/>
              <w:jc w:val="right"/>
              <w:rPr>
                <w:sz w:val="16"/>
              </w:rPr>
            </w:pPr>
            <w:r>
              <w:rPr>
                <w:sz w:val="16"/>
              </w:rPr>
              <w:t>-</w:t>
            </w:r>
          </w:p>
        </w:tc>
        <w:tc>
          <w:tcPr>
            <w:tcW w:w="2418" w:type="dxa"/>
            <w:gridSpan w:val="3"/>
          </w:tcPr>
          <w:p w14:paraId="10545C82" w14:textId="77777777" w:rsidR="00FA4AA8" w:rsidRDefault="00FA4AA8">
            <w:pPr>
              <w:pStyle w:val="TableParagraph"/>
              <w:spacing w:before="7"/>
              <w:rPr>
                <w:b/>
                <w:sz w:val="26"/>
              </w:rPr>
            </w:pPr>
          </w:p>
          <w:p w14:paraId="0F6D9B4E" w14:textId="77777777" w:rsidR="00FA4AA8" w:rsidRDefault="0015611F">
            <w:pPr>
              <w:pStyle w:val="TableParagraph"/>
              <w:tabs>
                <w:tab w:val="left" w:pos="1401"/>
                <w:tab w:val="left" w:pos="1758"/>
              </w:tabs>
              <w:ind w:left="607"/>
              <w:rPr>
                <w:b/>
                <w:sz w:val="16"/>
              </w:rPr>
            </w:pPr>
            <w:r>
              <w:rPr>
                <w:b/>
                <w:sz w:val="16"/>
              </w:rPr>
              <w:t>-</w:t>
            </w:r>
            <w:r>
              <w:rPr>
                <w:b/>
                <w:sz w:val="16"/>
              </w:rPr>
              <w:tab/>
            </w:r>
            <w:r>
              <w:rPr>
                <w:sz w:val="16"/>
              </w:rPr>
              <w:t>-</w:t>
            </w:r>
            <w:r>
              <w:rPr>
                <w:sz w:val="16"/>
              </w:rPr>
              <w:tab/>
            </w:r>
            <w:r>
              <w:rPr>
                <w:b/>
                <w:sz w:val="16"/>
              </w:rPr>
              <w:t>(59,204)</w:t>
            </w:r>
          </w:p>
        </w:tc>
        <w:tc>
          <w:tcPr>
            <w:tcW w:w="821" w:type="dxa"/>
          </w:tcPr>
          <w:p w14:paraId="7AEBC787" w14:textId="77777777" w:rsidR="00FA4AA8" w:rsidRDefault="00FA4AA8">
            <w:pPr>
              <w:pStyle w:val="TableParagraph"/>
              <w:spacing w:before="7"/>
              <w:rPr>
                <w:b/>
                <w:sz w:val="26"/>
              </w:rPr>
            </w:pPr>
          </w:p>
          <w:p w14:paraId="4252737A" w14:textId="77777777" w:rsidR="00FA4AA8" w:rsidRDefault="0015611F">
            <w:pPr>
              <w:pStyle w:val="TableParagraph"/>
              <w:ind w:right="88"/>
              <w:jc w:val="right"/>
              <w:rPr>
                <w:sz w:val="16"/>
              </w:rPr>
            </w:pPr>
            <w:r>
              <w:rPr>
                <w:sz w:val="16"/>
              </w:rPr>
              <w:t>(55,636)</w:t>
            </w:r>
          </w:p>
        </w:tc>
        <w:tc>
          <w:tcPr>
            <w:tcW w:w="821" w:type="dxa"/>
          </w:tcPr>
          <w:p w14:paraId="7024E111" w14:textId="77777777" w:rsidR="00FA4AA8" w:rsidRDefault="00FA4AA8">
            <w:pPr>
              <w:pStyle w:val="TableParagraph"/>
              <w:spacing w:before="7"/>
              <w:rPr>
                <w:b/>
                <w:sz w:val="26"/>
              </w:rPr>
            </w:pPr>
          </w:p>
          <w:p w14:paraId="51DB2988" w14:textId="77777777" w:rsidR="00FA4AA8" w:rsidRDefault="0015611F">
            <w:pPr>
              <w:pStyle w:val="TableParagraph"/>
              <w:ind w:right="61"/>
              <w:jc w:val="right"/>
              <w:rPr>
                <w:b/>
                <w:sz w:val="16"/>
              </w:rPr>
            </w:pPr>
            <w:r>
              <w:rPr>
                <w:b/>
                <w:sz w:val="16"/>
              </w:rPr>
              <w:t>(59,204)</w:t>
            </w:r>
          </w:p>
        </w:tc>
        <w:tc>
          <w:tcPr>
            <w:tcW w:w="768" w:type="dxa"/>
          </w:tcPr>
          <w:p w14:paraId="5FD53706" w14:textId="77777777" w:rsidR="00FA4AA8" w:rsidRDefault="00FA4AA8">
            <w:pPr>
              <w:pStyle w:val="TableParagraph"/>
              <w:spacing w:before="7"/>
              <w:rPr>
                <w:b/>
                <w:sz w:val="26"/>
              </w:rPr>
            </w:pPr>
          </w:p>
          <w:p w14:paraId="11ACBB3F" w14:textId="77777777" w:rsidR="00FA4AA8" w:rsidRDefault="0015611F">
            <w:pPr>
              <w:pStyle w:val="TableParagraph"/>
              <w:ind w:right="35"/>
              <w:jc w:val="right"/>
              <w:rPr>
                <w:sz w:val="16"/>
              </w:rPr>
            </w:pPr>
            <w:r>
              <w:rPr>
                <w:sz w:val="16"/>
              </w:rPr>
              <w:t>(55,636)</w:t>
            </w:r>
          </w:p>
        </w:tc>
      </w:tr>
      <w:tr w:rsidR="00FA4AA8" w14:paraId="7A1BE0EE" w14:textId="77777777">
        <w:trPr>
          <w:trHeight w:val="242"/>
        </w:trPr>
        <w:tc>
          <w:tcPr>
            <w:tcW w:w="3504" w:type="dxa"/>
          </w:tcPr>
          <w:p w14:paraId="29145279" w14:textId="77777777" w:rsidR="00FA4AA8" w:rsidRDefault="0015611F">
            <w:pPr>
              <w:pStyle w:val="TableParagraph"/>
              <w:spacing w:before="25"/>
              <w:ind w:left="50"/>
              <w:rPr>
                <w:sz w:val="16"/>
              </w:rPr>
            </w:pPr>
            <w:r>
              <w:rPr>
                <w:sz w:val="16"/>
              </w:rPr>
              <w:t>Borrowings</w:t>
            </w:r>
          </w:p>
        </w:tc>
        <w:tc>
          <w:tcPr>
            <w:tcW w:w="577" w:type="dxa"/>
          </w:tcPr>
          <w:p w14:paraId="0BACBB4F" w14:textId="77777777" w:rsidR="00FA4AA8" w:rsidRDefault="0015611F">
            <w:pPr>
              <w:pStyle w:val="TableParagraph"/>
              <w:spacing w:before="28"/>
              <w:ind w:right="75"/>
              <w:jc w:val="right"/>
              <w:rPr>
                <w:b/>
                <w:sz w:val="16"/>
              </w:rPr>
            </w:pPr>
            <w:r>
              <w:rPr>
                <w:b/>
                <w:sz w:val="16"/>
              </w:rPr>
              <w:t>3.09</w:t>
            </w:r>
          </w:p>
        </w:tc>
        <w:tc>
          <w:tcPr>
            <w:tcW w:w="607" w:type="dxa"/>
          </w:tcPr>
          <w:p w14:paraId="7C9A86E2" w14:textId="77777777" w:rsidR="00FA4AA8" w:rsidRDefault="0015611F">
            <w:pPr>
              <w:pStyle w:val="TableParagraph"/>
              <w:spacing w:before="28"/>
              <w:ind w:right="152"/>
              <w:jc w:val="right"/>
              <w:rPr>
                <w:sz w:val="16"/>
              </w:rPr>
            </w:pPr>
            <w:r>
              <w:rPr>
                <w:sz w:val="16"/>
              </w:rPr>
              <w:t>2.75</w:t>
            </w:r>
          </w:p>
        </w:tc>
        <w:tc>
          <w:tcPr>
            <w:tcW w:w="4088" w:type="dxa"/>
            <w:gridSpan w:val="5"/>
          </w:tcPr>
          <w:p w14:paraId="4F358D5A" w14:textId="77777777" w:rsidR="00FA4AA8" w:rsidRDefault="0015611F">
            <w:pPr>
              <w:pStyle w:val="TableParagraph"/>
              <w:tabs>
                <w:tab w:val="left" w:pos="1431"/>
                <w:tab w:val="left" w:pos="2278"/>
                <w:tab w:val="left" w:pos="3073"/>
                <w:tab w:val="left" w:pos="3341"/>
              </w:tabs>
              <w:spacing w:before="28"/>
              <w:ind w:left="637"/>
              <w:rPr>
                <w:b/>
                <w:sz w:val="16"/>
              </w:rPr>
            </w:pPr>
            <w:r>
              <w:rPr>
                <w:b/>
                <w:sz w:val="16"/>
              </w:rPr>
              <w:t>-</w:t>
            </w:r>
            <w:r>
              <w:rPr>
                <w:b/>
                <w:sz w:val="16"/>
              </w:rPr>
              <w:tab/>
            </w:r>
            <w:r>
              <w:rPr>
                <w:sz w:val="16"/>
              </w:rPr>
              <w:t>-</w:t>
            </w:r>
            <w:r>
              <w:rPr>
                <w:sz w:val="16"/>
              </w:rPr>
              <w:tab/>
            </w:r>
            <w:r>
              <w:rPr>
                <w:b/>
                <w:sz w:val="16"/>
              </w:rPr>
              <w:t>-</w:t>
            </w:r>
            <w:r>
              <w:rPr>
                <w:b/>
                <w:sz w:val="16"/>
              </w:rPr>
              <w:tab/>
            </w:r>
            <w:r>
              <w:rPr>
                <w:sz w:val="16"/>
              </w:rPr>
              <w:t>-</w:t>
            </w:r>
            <w:r>
              <w:rPr>
                <w:sz w:val="16"/>
              </w:rPr>
              <w:tab/>
            </w:r>
            <w:r>
              <w:rPr>
                <w:b/>
                <w:sz w:val="16"/>
              </w:rPr>
              <w:t>(162,500)</w:t>
            </w:r>
          </w:p>
        </w:tc>
        <w:tc>
          <w:tcPr>
            <w:tcW w:w="867" w:type="dxa"/>
          </w:tcPr>
          <w:p w14:paraId="547C9C45" w14:textId="77777777" w:rsidR="00FA4AA8" w:rsidRDefault="0015611F">
            <w:pPr>
              <w:pStyle w:val="TableParagraph"/>
              <w:spacing w:before="28"/>
              <w:ind w:right="132"/>
              <w:jc w:val="right"/>
              <w:rPr>
                <w:sz w:val="16"/>
              </w:rPr>
            </w:pPr>
            <w:r>
              <w:rPr>
                <w:sz w:val="16"/>
              </w:rPr>
              <w:t>(163,500)</w:t>
            </w:r>
          </w:p>
        </w:tc>
        <w:tc>
          <w:tcPr>
            <w:tcW w:w="2418" w:type="dxa"/>
            <w:gridSpan w:val="3"/>
          </w:tcPr>
          <w:p w14:paraId="4B83F675" w14:textId="77777777" w:rsidR="00FA4AA8" w:rsidRDefault="0015611F">
            <w:pPr>
              <w:pStyle w:val="TableParagraph"/>
              <w:tabs>
                <w:tab w:val="left" w:pos="1401"/>
                <w:tab w:val="left" w:pos="2248"/>
              </w:tabs>
              <w:spacing w:before="28"/>
              <w:ind w:left="607"/>
              <w:rPr>
                <w:b/>
                <w:sz w:val="16"/>
              </w:rPr>
            </w:pPr>
            <w:r>
              <w:rPr>
                <w:b/>
                <w:sz w:val="16"/>
              </w:rPr>
              <w:t>-</w:t>
            </w:r>
            <w:r>
              <w:rPr>
                <w:b/>
                <w:sz w:val="16"/>
              </w:rPr>
              <w:tab/>
            </w:r>
            <w:r>
              <w:rPr>
                <w:sz w:val="16"/>
              </w:rPr>
              <w:t>-</w:t>
            </w:r>
            <w:r>
              <w:rPr>
                <w:sz w:val="16"/>
              </w:rPr>
              <w:tab/>
            </w:r>
            <w:r>
              <w:rPr>
                <w:b/>
                <w:sz w:val="16"/>
              </w:rPr>
              <w:t>-</w:t>
            </w:r>
          </w:p>
        </w:tc>
        <w:tc>
          <w:tcPr>
            <w:tcW w:w="821" w:type="dxa"/>
          </w:tcPr>
          <w:p w14:paraId="2092B5DB" w14:textId="77777777" w:rsidR="00FA4AA8" w:rsidRDefault="0015611F">
            <w:pPr>
              <w:pStyle w:val="TableParagraph"/>
              <w:spacing w:before="28"/>
              <w:ind w:right="140"/>
              <w:jc w:val="right"/>
              <w:rPr>
                <w:sz w:val="16"/>
              </w:rPr>
            </w:pPr>
            <w:r>
              <w:rPr>
                <w:sz w:val="16"/>
              </w:rPr>
              <w:t>-</w:t>
            </w:r>
          </w:p>
        </w:tc>
        <w:tc>
          <w:tcPr>
            <w:tcW w:w="821" w:type="dxa"/>
          </w:tcPr>
          <w:p w14:paraId="375753BF" w14:textId="77777777" w:rsidR="00FA4AA8" w:rsidRDefault="0015611F">
            <w:pPr>
              <w:pStyle w:val="TableParagraph"/>
              <w:spacing w:before="28"/>
              <w:ind w:right="61"/>
              <w:jc w:val="right"/>
              <w:rPr>
                <w:b/>
                <w:sz w:val="16"/>
              </w:rPr>
            </w:pPr>
            <w:r>
              <w:rPr>
                <w:b/>
                <w:sz w:val="16"/>
              </w:rPr>
              <w:t>(162,500)</w:t>
            </w:r>
          </w:p>
        </w:tc>
        <w:tc>
          <w:tcPr>
            <w:tcW w:w="768" w:type="dxa"/>
          </w:tcPr>
          <w:p w14:paraId="2C34A147" w14:textId="77777777" w:rsidR="00FA4AA8" w:rsidRDefault="0015611F">
            <w:pPr>
              <w:pStyle w:val="TableParagraph"/>
              <w:spacing w:before="28"/>
              <w:ind w:right="35"/>
              <w:jc w:val="right"/>
              <w:rPr>
                <w:sz w:val="16"/>
              </w:rPr>
            </w:pPr>
            <w:r>
              <w:rPr>
                <w:sz w:val="16"/>
              </w:rPr>
              <w:t>(163,500)</w:t>
            </w:r>
          </w:p>
        </w:tc>
      </w:tr>
      <w:tr w:rsidR="00FA4AA8" w14:paraId="351791FE" w14:textId="77777777">
        <w:trPr>
          <w:trHeight w:val="238"/>
        </w:trPr>
        <w:tc>
          <w:tcPr>
            <w:tcW w:w="3504" w:type="dxa"/>
          </w:tcPr>
          <w:p w14:paraId="1A90F6E3" w14:textId="77777777" w:rsidR="00FA4AA8" w:rsidRDefault="0015611F">
            <w:pPr>
              <w:pStyle w:val="TableParagraph"/>
              <w:spacing w:before="25"/>
              <w:ind w:left="50"/>
              <w:rPr>
                <w:sz w:val="16"/>
              </w:rPr>
            </w:pPr>
            <w:r>
              <w:rPr>
                <w:sz w:val="16"/>
              </w:rPr>
              <w:t>Other financial liabilities</w:t>
            </w:r>
          </w:p>
        </w:tc>
        <w:tc>
          <w:tcPr>
            <w:tcW w:w="577" w:type="dxa"/>
            <w:tcBorders>
              <w:bottom w:val="single" w:sz="8" w:space="0" w:color="000000"/>
            </w:tcBorders>
          </w:tcPr>
          <w:p w14:paraId="465C0FA6" w14:textId="77777777" w:rsidR="00FA4AA8" w:rsidRDefault="0015611F">
            <w:pPr>
              <w:pStyle w:val="TableParagraph"/>
              <w:spacing w:before="28"/>
              <w:ind w:right="75"/>
              <w:jc w:val="right"/>
              <w:rPr>
                <w:b/>
                <w:sz w:val="16"/>
              </w:rPr>
            </w:pPr>
            <w:r>
              <w:rPr>
                <w:b/>
                <w:sz w:val="16"/>
              </w:rPr>
              <w:t>-</w:t>
            </w:r>
          </w:p>
        </w:tc>
        <w:tc>
          <w:tcPr>
            <w:tcW w:w="607" w:type="dxa"/>
            <w:tcBorders>
              <w:bottom w:val="single" w:sz="8" w:space="0" w:color="000000"/>
            </w:tcBorders>
          </w:tcPr>
          <w:p w14:paraId="54D11B16" w14:textId="77777777" w:rsidR="00FA4AA8" w:rsidRDefault="0015611F">
            <w:pPr>
              <w:pStyle w:val="TableParagraph"/>
              <w:spacing w:before="28"/>
              <w:ind w:right="152"/>
              <w:jc w:val="right"/>
              <w:rPr>
                <w:sz w:val="16"/>
              </w:rPr>
            </w:pPr>
            <w:r>
              <w:rPr>
                <w:sz w:val="16"/>
              </w:rPr>
              <w:t>-</w:t>
            </w:r>
          </w:p>
        </w:tc>
        <w:tc>
          <w:tcPr>
            <w:tcW w:w="4088" w:type="dxa"/>
            <w:gridSpan w:val="5"/>
            <w:tcBorders>
              <w:bottom w:val="single" w:sz="8" w:space="0" w:color="000000"/>
            </w:tcBorders>
          </w:tcPr>
          <w:p w14:paraId="7508F547" w14:textId="77777777" w:rsidR="00FA4AA8" w:rsidRDefault="0015611F">
            <w:pPr>
              <w:pStyle w:val="TableParagraph"/>
              <w:tabs>
                <w:tab w:val="left" w:pos="1431"/>
                <w:tab w:val="left" w:pos="2278"/>
                <w:tab w:val="left" w:pos="3073"/>
                <w:tab w:val="left" w:pos="3920"/>
              </w:tabs>
              <w:spacing w:before="28"/>
              <w:ind w:left="637"/>
              <w:rPr>
                <w:b/>
                <w:sz w:val="16"/>
              </w:rPr>
            </w:pPr>
            <w:r>
              <w:rPr>
                <w:b/>
                <w:sz w:val="16"/>
              </w:rPr>
              <w:t>-</w:t>
            </w:r>
            <w:r>
              <w:rPr>
                <w:b/>
                <w:sz w:val="16"/>
              </w:rPr>
              <w:tab/>
            </w:r>
            <w:r>
              <w:rPr>
                <w:sz w:val="16"/>
              </w:rPr>
              <w:t>-</w:t>
            </w:r>
            <w:r>
              <w:rPr>
                <w:sz w:val="16"/>
              </w:rPr>
              <w:tab/>
            </w:r>
            <w:r>
              <w:rPr>
                <w:b/>
                <w:sz w:val="16"/>
              </w:rPr>
              <w:t>-</w:t>
            </w:r>
            <w:r>
              <w:rPr>
                <w:b/>
                <w:sz w:val="16"/>
              </w:rPr>
              <w:tab/>
            </w:r>
            <w:r>
              <w:rPr>
                <w:sz w:val="16"/>
              </w:rPr>
              <w:t>-</w:t>
            </w:r>
            <w:r>
              <w:rPr>
                <w:sz w:val="16"/>
              </w:rPr>
              <w:tab/>
            </w:r>
            <w:r>
              <w:rPr>
                <w:b/>
                <w:sz w:val="16"/>
              </w:rPr>
              <w:t>-</w:t>
            </w:r>
          </w:p>
        </w:tc>
        <w:tc>
          <w:tcPr>
            <w:tcW w:w="867" w:type="dxa"/>
            <w:tcBorders>
              <w:bottom w:val="single" w:sz="8" w:space="0" w:color="000000"/>
            </w:tcBorders>
          </w:tcPr>
          <w:p w14:paraId="73B6A046" w14:textId="77777777" w:rsidR="00FA4AA8" w:rsidRDefault="0015611F">
            <w:pPr>
              <w:pStyle w:val="TableParagraph"/>
              <w:spacing w:before="28"/>
              <w:ind w:right="184"/>
              <w:jc w:val="right"/>
              <w:rPr>
                <w:sz w:val="16"/>
              </w:rPr>
            </w:pPr>
            <w:r>
              <w:rPr>
                <w:sz w:val="16"/>
              </w:rPr>
              <w:t>-</w:t>
            </w:r>
          </w:p>
        </w:tc>
        <w:tc>
          <w:tcPr>
            <w:tcW w:w="2418" w:type="dxa"/>
            <w:gridSpan w:val="3"/>
            <w:tcBorders>
              <w:bottom w:val="single" w:sz="8" w:space="0" w:color="000000"/>
            </w:tcBorders>
          </w:tcPr>
          <w:p w14:paraId="402F8475" w14:textId="77777777" w:rsidR="00FA4AA8" w:rsidRDefault="0015611F">
            <w:pPr>
              <w:pStyle w:val="TableParagraph"/>
              <w:tabs>
                <w:tab w:val="left" w:pos="1401"/>
                <w:tab w:val="left" w:pos="1758"/>
              </w:tabs>
              <w:spacing w:before="28"/>
              <w:ind w:left="607"/>
              <w:rPr>
                <w:b/>
                <w:sz w:val="16"/>
              </w:rPr>
            </w:pPr>
            <w:r>
              <w:rPr>
                <w:b/>
                <w:sz w:val="16"/>
              </w:rPr>
              <w:t>-</w:t>
            </w:r>
            <w:r>
              <w:rPr>
                <w:b/>
                <w:sz w:val="16"/>
              </w:rPr>
              <w:tab/>
            </w:r>
            <w:r>
              <w:rPr>
                <w:sz w:val="16"/>
              </w:rPr>
              <w:t>-</w:t>
            </w:r>
            <w:r>
              <w:rPr>
                <w:sz w:val="16"/>
              </w:rPr>
              <w:tab/>
            </w:r>
            <w:r>
              <w:rPr>
                <w:b/>
                <w:sz w:val="16"/>
              </w:rPr>
              <w:t>(98,317)</w:t>
            </w:r>
          </w:p>
        </w:tc>
        <w:tc>
          <w:tcPr>
            <w:tcW w:w="821" w:type="dxa"/>
            <w:tcBorders>
              <w:bottom w:val="single" w:sz="8" w:space="0" w:color="000000"/>
            </w:tcBorders>
          </w:tcPr>
          <w:p w14:paraId="79F94D0C" w14:textId="77777777" w:rsidR="00FA4AA8" w:rsidRDefault="0015611F">
            <w:pPr>
              <w:pStyle w:val="TableParagraph"/>
              <w:spacing w:before="28"/>
              <w:ind w:right="88"/>
              <w:jc w:val="right"/>
              <w:rPr>
                <w:sz w:val="16"/>
              </w:rPr>
            </w:pPr>
            <w:r>
              <w:rPr>
                <w:sz w:val="16"/>
              </w:rPr>
              <w:t>(97,237)</w:t>
            </w:r>
          </w:p>
        </w:tc>
        <w:tc>
          <w:tcPr>
            <w:tcW w:w="821" w:type="dxa"/>
            <w:tcBorders>
              <w:bottom w:val="single" w:sz="8" w:space="0" w:color="000000"/>
            </w:tcBorders>
          </w:tcPr>
          <w:p w14:paraId="6C0DCFAD" w14:textId="77777777" w:rsidR="00FA4AA8" w:rsidRDefault="0015611F">
            <w:pPr>
              <w:pStyle w:val="TableParagraph"/>
              <w:spacing w:before="28"/>
              <w:ind w:right="61"/>
              <w:jc w:val="right"/>
              <w:rPr>
                <w:b/>
                <w:sz w:val="16"/>
              </w:rPr>
            </w:pPr>
            <w:r>
              <w:rPr>
                <w:b/>
                <w:sz w:val="16"/>
              </w:rPr>
              <w:t>(98,317)</w:t>
            </w:r>
          </w:p>
        </w:tc>
        <w:tc>
          <w:tcPr>
            <w:tcW w:w="768" w:type="dxa"/>
            <w:tcBorders>
              <w:bottom w:val="single" w:sz="8" w:space="0" w:color="000000"/>
            </w:tcBorders>
          </w:tcPr>
          <w:p w14:paraId="68E505AC" w14:textId="77777777" w:rsidR="00FA4AA8" w:rsidRDefault="0015611F">
            <w:pPr>
              <w:pStyle w:val="TableParagraph"/>
              <w:spacing w:before="28"/>
              <w:ind w:right="35"/>
              <w:jc w:val="right"/>
              <w:rPr>
                <w:sz w:val="16"/>
              </w:rPr>
            </w:pPr>
            <w:r>
              <w:rPr>
                <w:sz w:val="16"/>
              </w:rPr>
              <w:t>(97,237)</w:t>
            </w:r>
          </w:p>
        </w:tc>
      </w:tr>
      <w:tr w:rsidR="00FA4AA8" w14:paraId="458E258F" w14:textId="77777777">
        <w:trPr>
          <w:trHeight w:val="298"/>
        </w:trPr>
        <w:tc>
          <w:tcPr>
            <w:tcW w:w="3504" w:type="dxa"/>
          </w:tcPr>
          <w:p w14:paraId="64489670" w14:textId="77777777" w:rsidR="00FA4AA8" w:rsidRDefault="0015611F">
            <w:pPr>
              <w:pStyle w:val="TableParagraph"/>
              <w:spacing w:before="114" w:line="164" w:lineRule="exact"/>
              <w:ind w:left="50"/>
              <w:rPr>
                <w:b/>
                <w:sz w:val="16"/>
              </w:rPr>
            </w:pPr>
            <w:r>
              <w:rPr>
                <w:b/>
                <w:sz w:val="16"/>
              </w:rPr>
              <w:t>Total Financial Liabilities</w:t>
            </w:r>
          </w:p>
        </w:tc>
        <w:tc>
          <w:tcPr>
            <w:tcW w:w="577" w:type="dxa"/>
            <w:tcBorders>
              <w:top w:val="single" w:sz="8" w:space="0" w:color="000000"/>
              <w:bottom w:val="double" w:sz="2" w:space="0" w:color="000000"/>
            </w:tcBorders>
          </w:tcPr>
          <w:p w14:paraId="4FC0265F" w14:textId="77777777" w:rsidR="00FA4AA8" w:rsidRDefault="00FA4AA8">
            <w:pPr>
              <w:pStyle w:val="TableParagraph"/>
              <w:rPr>
                <w:rFonts w:ascii="Times New Roman"/>
                <w:sz w:val="16"/>
              </w:rPr>
            </w:pPr>
          </w:p>
        </w:tc>
        <w:tc>
          <w:tcPr>
            <w:tcW w:w="607" w:type="dxa"/>
            <w:tcBorders>
              <w:top w:val="single" w:sz="8" w:space="0" w:color="000000"/>
              <w:bottom w:val="double" w:sz="2" w:space="0" w:color="000000"/>
            </w:tcBorders>
          </w:tcPr>
          <w:p w14:paraId="198CE2A1" w14:textId="77777777" w:rsidR="00FA4AA8" w:rsidRDefault="00FA4AA8">
            <w:pPr>
              <w:pStyle w:val="TableParagraph"/>
              <w:rPr>
                <w:rFonts w:ascii="Times New Roman"/>
                <w:sz w:val="16"/>
              </w:rPr>
            </w:pPr>
          </w:p>
        </w:tc>
        <w:tc>
          <w:tcPr>
            <w:tcW w:w="4088" w:type="dxa"/>
            <w:gridSpan w:val="5"/>
            <w:tcBorders>
              <w:top w:val="single" w:sz="8" w:space="0" w:color="000000"/>
              <w:bottom w:val="double" w:sz="2" w:space="0" w:color="000000"/>
            </w:tcBorders>
          </w:tcPr>
          <w:p w14:paraId="4CDF0557" w14:textId="77777777" w:rsidR="00FA4AA8" w:rsidRDefault="0015611F">
            <w:pPr>
              <w:pStyle w:val="TableParagraph"/>
              <w:tabs>
                <w:tab w:val="left" w:pos="1431"/>
                <w:tab w:val="left" w:pos="2278"/>
                <w:tab w:val="left" w:pos="3073"/>
                <w:tab w:val="left" w:pos="3341"/>
              </w:tabs>
              <w:spacing w:before="114" w:line="164" w:lineRule="exact"/>
              <w:ind w:left="637"/>
              <w:rPr>
                <w:b/>
                <w:sz w:val="16"/>
              </w:rPr>
            </w:pPr>
            <w:r>
              <w:rPr>
                <w:b/>
                <w:sz w:val="16"/>
              </w:rPr>
              <w:t>-</w:t>
            </w:r>
            <w:r>
              <w:rPr>
                <w:b/>
                <w:sz w:val="16"/>
              </w:rPr>
              <w:tab/>
            </w:r>
            <w:r>
              <w:rPr>
                <w:sz w:val="16"/>
              </w:rPr>
              <w:t>-</w:t>
            </w:r>
            <w:r>
              <w:rPr>
                <w:sz w:val="16"/>
              </w:rPr>
              <w:tab/>
            </w:r>
            <w:r>
              <w:rPr>
                <w:b/>
                <w:sz w:val="16"/>
              </w:rPr>
              <w:t>-</w:t>
            </w:r>
            <w:r>
              <w:rPr>
                <w:b/>
                <w:sz w:val="16"/>
              </w:rPr>
              <w:tab/>
            </w:r>
            <w:r>
              <w:rPr>
                <w:sz w:val="16"/>
              </w:rPr>
              <w:t>-</w:t>
            </w:r>
            <w:r>
              <w:rPr>
                <w:sz w:val="16"/>
              </w:rPr>
              <w:tab/>
            </w:r>
            <w:r>
              <w:rPr>
                <w:b/>
                <w:sz w:val="16"/>
              </w:rPr>
              <w:t>(162,500)</w:t>
            </w:r>
          </w:p>
        </w:tc>
        <w:tc>
          <w:tcPr>
            <w:tcW w:w="867" w:type="dxa"/>
            <w:tcBorders>
              <w:top w:val="single" w:sz="8" w:space="0" w:color="000000"/>
              <w:bottom w:val="double" w:sz="2" w:space="0" w:color="000000"/>
            </w:tcBorders>
          </w:tcPr>
          <w:p w14:paraId="22DCC60E" w14:textId="77777777" w:rsidR="00FA4AA8" w:rsidRDefault="0015611F">
            <w:pPr>
              <w:pStyle w:val="TableParagraph"/>
              <w:spacing w:before="114" w:line="164" w:lineRule="exact"/>
              <w:ind w:right="132"/>
              <w:jc w:val="right"/>
              <w:rPr>
                <w:sz w:val="16"/>
              </w:rPr>
            </w:pPr>
            <w:r>
              <w:rPr>
                <w:sz w:val="16"/>
              </w:rPr>
              <w:t>(163,500)</w:t>
            </w:r>
          </w:p>
        </w:tc>
        <w:tc>
          <w:tcPr>
            <w:tcW w:w="2418" w:type="dxa"/>
            <w:gridSpan w:val="3"/>
            <w:tcBorders>
              <w:top w:val="single" w:sz="8" w:space="0" w:color="000000"/>
              <w:bottom w:val="double" w:sz="2" w:space="0" w:color="000000"/>
            </w:tcBorders>
          </w:tcPr>
          <w:p w14:paraId="0AA6CCB3" w14:textId="77777777" w:rsidR="00FA4AA8" w:rsidRDefault="0015611F">
            <w:pPr>
              <w:pStyle w:val="TableParagraph"/>
              <w:tabs>
                <w:tab w:val="left" w:pos="1401"/>
                <w:tab w:val="left" w:pos="1670"/>
              </w:tabs>
              <w:spacing w:before="114" w:line="164" w:lineRule="exact"/>
              <w:ind w:left="607"/>
              <w:rPr>
                <w:b/>
                <w:sz w:val="16"/>
              </w:rPr>
            </w:pPr>
            <w:r>
              <w:rPr>
                <w:b/>
                <w:sz w:val="16"/>
              </w:rPr>
              <w:t>-</w:t>
            </w:r>
            <w:r>
              <w:rPr>
                <w:b/>
                <w:sz w:val="16"/>
              </w:rPr>
              <w:tab/>
            </w:r>
            <w:r>
              <w:rPr>
                <w:sz w:val="16"/>
              </w:rPr>
              <w:t>-</w:t>
            </w:r>
            <w:r>
              <w:rPr>
                <w:sz w:val="16"/>
              </w:rPr>
              <w:tab/>
            </w:r>
            <w:r>
              <w:rPr>
                <w:b/>
                <w:sz w:val="16"/>
              </w:rPr>
              <w:t>(157,521)</w:t>
            </w:r>
          </w:p>
        </w:tc>
        <w:tc>
          <w:tcPr>
            <w:tcW w:w="821" w:type="dxa"/>
            <w:tcBorders>
              <w:top w:val="single" w:sz="8" w:space="0" w:color="000000"/>
              <w:bottom w:val="double" w:sz="2" w:space="0" w:color="000000"/>
            </w:tcBorders>
          </w:tcPr>
          <w:p w14:paraId="3C0798B0" w14:textId="77777777" w:rsidR="00FA4AA8" w:rsidRDefault="0015611F">
            <w:pPr>
              <w:pStyle w:val="TableParagraph"/>
              <w:spacing w:before="114" w:line="164" w:lineRule="exact"/>
              <w:ind w:right="88"/>
              <w:jc w:val="right"/>
              <w:rPr>
                <w:sz w:val="16"/>
              </w:rPr>
            </w:pPr>
            <w:r>
              <w:rPr>
                <w:sz w:val="16"/>
              </w:rPr>
              <w:t>(152,873)</w:t>
            </w:r>
          </w:p>
        </w:tc>
        <w:tc>
          <w:tcPr>
            <w:tcW w:w="821" w:type="dxa"/>
            <w:tcBorders>
              <w:top w:val="single" w:sz="8" w:space="0" w:color="000000"/>
              <w:bottom w:val="double" w:sz="2" w:space="0" w:color="000000"/>
            </w:tcBorders>
          </w:tcPr>
          <w:p w14:paraId="0A79717B" w14:textId="77777777" w:rsidR="00FA4AA8" w:rsidRDefault="0015611F">
            <w:pPr>
              <w:pStyle w:val="TableParagraph"/>
              <w:spacing w:before="114" w:line="164" w:lineRule="exact"/>
              <w:ind w:right="61"/>
              <w:jc w:val="right"/>
              <w:rPr>
                <w:b/>
                <w:sz w:val="16"/>
              </w:rPr>
            </w:pPr>
            <w:r>
              <w:rPr>
                <w:b/>
                <w:sz w:val="16"/>
              </w:rPr>
              <w:t>(320,021)</w:t>
            </w:r>
          </w:p>
        </w:tc>
        <w:tc>
          <w:tcPr>
            <w:tcW w:w="768" w:type="dxa"/>
            <w:tcBorders>
              <w:top w:val="single" w:sz="8" w:space="0" w:color="000000"/>
              <w:bottom w:val="double" w:sz="2" w:space="0" w:color="000000"/>
            </w:tcBorders>
          </w:tcPr>
          <w:p w14:paraId="7003317B" w14:textId="77777777" w:rsidR="00FA4AA8" w:rsidRDefault="0015611F">
            <w:pPr>
              <w:pStyle w:val="TableParagraph"/>
              <w:spacing w:before="114" w:line="164" w:lineRule="exact"/>
              <w:ind w:right="35"/>
              <w:jc w:val="right"/>
              <w:rPr>
                <w:sz w:val="16"/>
              </w:rPr>
            </w:pPr>
            <w:r>
              <w:rPr>
                <w:sz w:val="16"/>
              </w:rPr>
              <w:t>(316,373)</w:t>
            </w:r>
          </w:p>
        </w:tc>
      </w:tr>
    </w:tbl>
    <w:p w14:paraId="7943ABBF" w14:textId="77777777" w:rsidR="00FA4AA8" w:rsidRDefault="00FA4AA8">
      <w:pPr>
        <w:pStyle w:val="BodyText"/>
        <w:spacing w:before="2"/>
        <w:rPr>
          <w:b/>
          <w:sz w:val="26"/>
        </w:rPr>
      </w:pPr>
    </w:p>
    <w:p w14:paraId="3420C58F" w14:textId="77777777" w:rsidR="00FA4AA8" w:rsidRDefault="0015611F">
      <w:pPr>
        <w:pStyle w:val="ListParagraph"/>
        <w:numPr>
          <w:ilvl w:val="1"/>
          <w:numId w:val="82"/>
        </w:numPr>
        <w:tabs>
          <w:tab w:val="left" w:pos="776"/>
        </w:tabs>
        <w:ind w:left="503" w:right="867" w:firstLine="0"/>
        <w:rPr>
          <w:sz w:val="18"/>
        </w:rPr>
      </w:pPr>
      <w:r>
        <w:rPr>
          <w:sz w:val="18"/>
        </w:rPr>
        <w:t>The University's deferred government contribution for superannuation included in note 17 is not included in the above analysis as the timing of the cash flows cannot be determined.</w:t>
      </w:r>
    </w:p>
    <w:p w14:paraId="6847CC7F" w14:textId="77777777" w:rsidR="00FA4AA8" w:rsidRDefault="00FA4AA8">
      <w:pPr>
        <w:rPr>
          <w:sz w:val="18"/>
        </w:rPr>
        <w:sectPr w:rsidR="00FA4AA8">
          <w:headerReference w:type="default" r:id="rId41"/>
          <w:footerReference w:type="default" r:id="rId42"/>
          <w:pgSz w:w="16840" w:h="11910" w:orient="landscape"/>
          <w:pgMar w:top="940" w:right="880" w:bottom="720" w:left="900" w:header="0" w:footer="523" w:gutter="0"/>
          <w:cols w:space="720"/>
        </w:sectPr>
      </w:pPr>
    </w:p>
    <w:p w14:paraId="257D2444" w14:textId="77777777" w:rsidR="00FA4AA8" w:rsidRDefault="00FA4AA8">
      <w:pPr>
        <w:pStyle w:val="BodyText"/>
        <w:rPr>
          <w:sz w:val="20"/>
        </w:rPr>
      </w:pPr>
    </w:p>
    <w:p w14:paraId="4CE50F68" w14:textId="77777777" w:rsidR="00FA4AA8" w:rsidRDefault="00FA4AA8">
      <w:pPr>
        <w:pStyle w:val="BodyText"/>
        <w:spacing w:before="10"/>
        <w:rPr>
          <w:sz w:val="29"/>
        </w:rPr>
      </w:pPr>
    </w:p>
    <w:p w14:paraId="0A8CE64C" w14:textId="77777777" w:rsidR="00FA4AA8" w:rsidRDefault="0015611F">
      <w:pPr>
        <w:numPr>
          <w:ilvl w:val="0"/>
          <w:numId w:val="83"/>
        </w:numPr>
        <w:tabs>
          <w:tab w:val="left" w:pos="504"/>
        </w:tabs>
        <w:spacing w:before="94"/>
        <w:ind w:hanging="397"/>
        <w:rPr>
          <w:b/>
          <w:sz w:val="18"/>
        </w:rPr>
      </w:pPr>
      <w:bookmarkStart w:id="76" w:name="34_Fair_Value_Measurement_"/>
      <w:bookmarkStart w:id="77" w:name="(a)_Fair_value_measurements"/>
      <w:bookmarkEnd w:id="76"/>
      <w:bookmarkEnd w:id="77"/>
      <w:r>
        <w:rPr>
          <w:b/>
          <w:sz w:val="18"/>
        </w:rPr>
        <w:t>Fair Value</w:t>
      </w:r>
      <w:r>
        <w:rPr>
          <w:b/>
          <w:spacing w:val="1"/>
          <w:sz w:val="18"/>
        </w:rPr>
        <w:t xml:space="preserve"> </w:t>
      </w:r>
      <w:r>
        <w:rPr>
          <w:b/>
          <w:sz w:val="18"/>
        </w:rPr>
        <w:t>Measurement</w:t>
      </w:r>
    </w:p>
    <w:p w14:paraId="5A6B9918" w14:textId="77777777" w:rsidR="00FA4AA8" w:rsidRDefault="00FA4AA8">
      <w:pPr>
        <w:pStyle w:val="BodyText"/>
        <w:spacing w:before="7"/>
        <w:rPr>
          <w:b/>
          <w:sz w:val="26"/>
        </w:rPr>
      </w:pPr>
    </w:p>
    <w:p w14:paraId="6CDD235B" w14:textId="77777777" w:rsidR="00FA4AA8" w:rsidRDefault="0015611F">
      <w:pPr>
        <w:pStyle w:val="ListParagraph"/>
        <w:numPr>
          <w:ilvl w:val="0"/>
          <w:numId w:val="81"/>
        </w:numPr>
        <w:tabs>
          <w:tab w:val="left" w:pos="504"/>
        </w:tabs>
        <w:ind w:hanging="397"/>
        <w:rPr>
          <w:b/>
          <w:sz w:val="18"/>
        </w:rPr>
      </w:pPr>
      <w:r>
        <w:rPr>
          <w:b/>
          <w:sz w:val="18"/>
        </w:rPr>
        <w:t>Fair value measurements</w:t>
      </w:r>
    </w:p>
    <w:p w14:paraId="7AA23AA3" w14:textId="77777777" w:rsidR="00FA4AA8" w:rsidRDefault="00FA4AA8">
      <w:pPr>
        <w:pStyle w:val="BodyText"/>
        <w:spacing w:before="5"/>
        <w:rPr>
          <w:b/>
          <w:sz w:val="25"/>
        </w:rPr>
      </w:pPr>
    </w:p>
    <w:p w14:paraId="3CB084AA" w14:textId="77777777" w:rsidR="00FA4AA8" w:rsidRDefault="0015611F">
      <w:pPr>
        <w:pStyle w:val="BodyText"/>
        <w:ind w:left="504"/>
      </w:pPr>
      <w:r>
        <w:t>The carrying value of financial assets and liabilities at balance date materially approximates their fair value.</w:t>
      </w:r>
    </w:p>
    <w:p w14:paraId="5ADE3490" w14:textId="77777777" w:rsidR="00FA4AA8" w:rsidRDefault="00FA4AA8">
      <w:pPr>
        <w:pStyle w:val="BodyText"/>
        <w:rPr>
          <w:sz w:val="25"/>
        </w:rPr>
      </w:pPr>
    </w:p>
    <w:p w14:paraId="19936B1B" w14:textId="77777777" w:rsidR="00FA4AA8" w:rsidRDefault="0015611F">
      <w:pPr>
        <w:pStyle w:val="BodyText"/>
        <w:ind w:left="504" w:right="231"/>
      </w:pPr>
      <w:r>
        <w:t>Due to the short-term nature of the cash and cash equivalents and current receivables, their carrying value approximates their fair value and based on credit history it is expected that the receivables that are neither past due nor impaired will be received when due.</w:t>
      </w:r>
    </w:p>
    <w:p w14:paraId="4780A8C6" w14:textId="77777777" w:rsidR="00FA4AA8" w:rsidRDefault="00FA4AA8">
      <w:pPr>
        <w:pStyle w:val="BodyText"/>
        <w:spacing w:before="10"/>
        <w:rPr>
          <w:sz w:val="24"/>
        </w:rPr>
      </w:pPr>
    </w:p>
    <w:p w14:paraId="2DD79616" w14:textId="77777777" w:rsidR="00FA4AA8" w:rsidRDefault="0015611F">
      <w:pPr>
        <w:pStyle w:val="BodyText"/>
        <w:ind w:left="504"/>
      </w:pPr>
      <w:r>
        <w:t>The Group measure and recognise the following assets at fair value on a recurring basis:</w:t>
      </w:r>
    </w:p>
    <w:p w14:paraId="42A5A1E2" w14:textId="77777777" w:rsidR="00FA4AA8" w:rsidRDefault="00FA4AA8">
      <w:pPr>
        <w:pStyle w:val="BodyText"/>
        <w:spacing w:before="7"/>
        <w:rPr>
          <w:sz w:val="25"/>
        </w:rPr>
      </w:pPr>
    </w:p>
    <w:p w14:paraId="67403769" w14:textId="77777777" w:rsidR="00FA4AA8" w:rsidRDefault="0015611F">
      <w:pPr>
        <w:pStyle w:val="ListParagraph"/>
        <w:numPr>
          <w:ilvl w:val="1"/>
          <w:numId w:val="81"/>
        </w:numPr>
        <w:tabs>
          <w:tab w:val="left" w:pos="1070"/>
          <w:tab w:val="left" w:pos="1071"/>
        </w:tabs>
        <w:rPr>
          <w:sz w:val="18"/>
        </w:rPr>
      </w:pPr>
      <w:r>
        <w:rPr>
          <w:sz w:val="18"/>
        </w:rPr>
        <w:t>Financial assets at fair value through profit or</w:t>
      </w:r>
      <w:r>
        <w:rPr>
          <w:spacing w:val="8"/>
          <w:sz w:val="18"/>
        </w:rPr>
        <w:t xml:space="preserve"> </w:t>
      </w:r>
      <w:r>
        <w:rPr>
          <w:sz w:val="18"/>
        </w:rPr>
        <w:t>loss</w:t>
      </w:r>
    </w:p>
    <w:p w14:paraId="259AAEF5" w14:textId="77777777" w:rsidR="00FA4AA8" w:rsidRDefault="00FA4AA8">
      <w:pPr>
        <w:pStyle w:val="BodyText"/>
        <w:spacing w:before="8"/>
        <w:rPr>
          <w:sz w:val="25"/>
        </w:rPr>
      </w:pPr>
    </w:p>
    <w:p w14:paraId="3A36B17D" w14:textId="77777777" w:rsidR="00FA4AA8" w:rsidRDefault="0015611F">
      <w:pPr>
        <w:pStyle w:val="ListParagraph"/>
        <w:numPr>
          <w:ilvl w:val="1"/>
          <w:numId w:val="81"/>
        </w:numPr>
        <w:tabs>
          <w:tab w:val="left" w:pos="1070"/>
          <w:tab w:val="left" w:pos="1071"/>
        </w:tabs>
        <w:rPr>
          <w:sz w:val="18"/>
        </w:rPr>
      </w:pPr>
      <w:r>
        <w:rPr>
          <w:sz w:val="18"/>
        </w:rPr>
        <w:t>Financial assets at fair value through other comprehensive</w:t>
      </w:r>
      <w:r>
        <w:rPr>
          <w:spacing w:val="8"/>
          <w:sz w:val="18"/>
        </w:rPr>
        <w:t xml:space="preserve"> </w:t>
      </w:r>
      <w:r>
        <w:rPr>
          <w:sz w:val="18"/>
        </w:rPr>
        <w:t>income</w:t>
      </w:r>
    </w:p>
    <w:p w14:paraId="5F43E2FF" w14:textId="77777777" w:rsidR="00FA4AA8" w:rsidRDefault="00FA4AA8">
      <w:pPr>
        <w:pStyle w:val="BodyText"/>
        <w:spacing w:before="8"/>
        <w:rPr>
          <w:sz w:val="25"/>
        </w:rPr>
      </w:pPr>
    </w:p>
    <w:p w14:paraId="4A6841A1" w14:textId="77777777" w:rsidR="00FA4AA8" w:rsidRDefault="0015611F">
      <w:pPr>
        <w:pStyle w:val="ListParagraph"/>
        <w:numPr>
          <w:ilvl w:val="1"/>
          <w:numId w:val="81"/>
        </w:numPr>
        <w:tabs>
          <w:tab w:val="left" w:pos="1070"/>
          <w:tab w:val="left" w:pos="1071"/>
        </w:tabs>
        <w:rPr>
          <w:sz w:val="18"/>
        </w:rPr>
      </w:pPr>
      <w:bookmarkStart w:id="78" w:name="(b)_Fair_value_hierarchy"/>
      <w:bookmarkEnd w:id="78"/>
      <w:r>
        <w:rPr>
          <w:sz w:val="18"/>
        </w:rPr>
        <w:t>Available-for-sale financial</w:t>
      </w:r>
      <w:r>
        <w:rPr>
          <w:spacing w:val="2"/>
          <w:sz w:val="18"/>
        </w:rPr>
        <w:t xml:space="preserve"> </w:t>
      </w:r>
      <w:r>
        <w:rPr>
          <w:sz w:val="18"/>
        </w:rPr>
        <w:t>assets</w:t>
      </w:r>
    </w:p>
    <w:p w14:paraId="1CAA9408" w14:textId="77777777" w:rsidR="00FA4AA8" w:rsidRDefault="00FA4AA8">
      <w:pPr>
        <w:pStyle w:val="BodyText"/>
        <w:spacing w:before="8"/>
        <w:rPr>
          <w:sz w:val="25"/>
        </w:rPr>
      </w:pPr>
    </w:p>
    <w:p w14:paraId="56FDC8E0" w14:textId="77777777" w:rsidR="00FA4AA8" w:rsidRDefault="0015611F">
      <w:pPr>
        <w:pStyle w:val="ListParagraph"/>
        <w:numPr>
          <w:ilvl w:val="1"/>
          <w:numId w:val="81"/>
        </w:numPr>
        <w:tabs>
          <w:tab w:val="left" w:pos="1070"/>
          <w:tab w:val="left" w:pos="1071"/>
        </w:tabs>
        <w:rPr>
          <w:sz w:val="18"/>
        </w:rPr>
      </w:pPr>
      <w:r>
        <w:rPr>
          <w:sz w:val="18"/>
        </w:rPr>
        <w:t>Land and</w:t>
      </w:r>
      <w:r>
        <w:rPr>
          <w:spacing w:val="2"/>
          <w:sz w:val="18"/>
        </w:rPr>
        <w:t xml:space="preserve"> </w:t>
      </w:r>
      <w:r>
        <w:rPr>
          <w:sz w:val="18"/>
        </w:rPr>
        <w:t>buildings</w:t>
      </w:r>
    </w:p>
    <w:p w14:paraId="61102EA3" w14:textId="77777777" w:rsidR="00FA4AA8" w:rsidRDefault="00FA4AA8">
      <w:pPr>
        <w:pStyle w:val="BodyText"/>
        <w:spacing w:before="1"/>
        <w:rPr>
          <w:sz w:val="25"/>
        </w:rPr>
      </w:pPr>
    </w:p>
    <w:p w14:paraId="44DA0752" w14:textId="77777777" w:rsidR="00FA4AA8" w:rsidRDefault="0015611F">
      <w:pPr>
        <w:pStyle w:val="BodyText"/>
        <w:ind w:left="504"/>
      </w:pPr>
      <w:r>
        <w:t>The Group has also measured assets and liabilities as fair value on a non-recurring basis.</w:t>
      </w:r>
    </w:p>
    <w:p w14:paraId="7B57A209" w14:textId="77777777" w:rsidR="00FA4AA8" w:rsidRDefault="00FA4AA8">
      <w:pPr>
        <w:pStyle w:val="BodyText"/>
        <w:spacing w:before="8"/>
        <w:rPr>
          <w:sz w:val="26"/>
        </w:rPr>
      </w:pPr>
    </w:p>
    <w:p w14:paraId="6BF03DE2" w14:textId="77777777" w:rsidR="00FA4AA8" w:rsidRDefault="0015611F">
      <w:pPr>
        <w:numPr>
          <w:ilvl w:val="0"/>
          <w:numId w:val="81"/>
        </w:numPr>
        <w:tabs>
          <w:tab w:val="left" w:pos="504"/>
        </w:tabs>
        <w:ind w:hanging="397"/>
        <w:rPr>
          <w:b/>
          <w:sz w:val="18"/>
        </w:rPr>
      </w:pPr>
      <w:r>
        <w:rPr>
          <w:b/>
          <w:sz w:val="18"/>
        </w:rPr>
        <w:t>Fair value hierarchy</w:t>
      </w:r>
    </w:p>
    <w:p w14:paraId="7A8308CD" w14:textId="77777777" w:rsidR="00FA4AA8" w:rsidRDefault="00FA4AA8">
      <w:pPr>
        <w:pStyle w:val="BodyText"/>
        <w:spacing w:before="5"/>
        <w:rPr>
          <w:b/>
          <w:sz w:val="25"/>
        </w:rPr>
      </w:pPr>
    </w:p>
    <w:p w14:paraId="0FF58A80" w14:textId="77777777" w:rsidR="00FA4AA8" w:rsidRDefault="0015611F">
      <w:pPr>
        <w:pStyle w:val="BodyText"/>
        <w:ind w:left="503" w:right="198"/>
      </w:pPr>
      <w:r>
        <w:t>Western Sydney University categorises assets and liabilities measured at fair value into a hierarchy based on the level of inputs used in measurements.</w:t>
      </w:r>
    </w:p>
    <w:p w14:paraId="59CF04E0" w14:textId="77777777" w:rsidR="00FA4AA8" w:rsidRDefault="0015611F">
      <w:pPr>
        <w:pStyle w:val="BodyText"/>
        <w:tabs>
          <w:tab w:val="left" w:pos="2939"/>
        </w:tabs>
        <w:spacing w:before="27"/>
        <w:ind w:left="1070"/>
      </w:pPr>
      <w:r>
        <w:t>Level 1</w:t>
      </w:r>
      <w:r>
        <w:tab/>
        <w:t>quoted prices (unadjusted) in active markets for identical assets or</w:t>
      </w:r>
      <w:r>
        <w:rPr>
          <w:spacing w:val="10"/>
        </w:rPr>
        <w:t xml:space="preserve"> </w:t>
      </w:r>
      <w:r>
        <w:t>liabilities.</w:t>
      </w:r>
    </w:p>
    <w:p w14:paraId="75FADDF0" w14:textId="77777777" w:rsidR="00FA4AA8" w:rsidRDefault="0015611F">
      <w:pPr>
        <w:pStyle w:val="BodyText"/>
        <w:tabs>
          <w:tab w:val="left" w:pos="2939"/>
        </w:tabs>
        <w:spacing w:before="57"/>
        <w:ind w:left="2940" w:right="198" w:hanging="1870"/>
      </w:pPr>
      <w:r>
        <w:t>Level 2</w:t>
      </w:r>
      <w:r>
        <w:tab/>
        <w:t>inputs other than quoted prices included within Level 1 that are observable for the asset or liability, either directly or indirectly.</w:t>
      </w:r>
    </w:p>
    <w:p w14:paraId="342134DA" w14:textId="77777777" w:rsidR="00FA4AA8" w:rsidRDefault="0015611F">
      <w:pPr>
        <w:pStyle w:val="BodyText"/>
        <w:tabs>
          <w:tab w:val="left" w:pos="2939"/>
        </w:tabs>
        <w:spacing w:before="57"/>
        <w:ind w:left="2940" w:right="1158" w:hanging="1870"/>
      </w:pPr>
      <w:r>
        <w:t>Level 3</w:t>
      </w:r>
      <w:r>
        <w:tab/>
        <w:t>inputs for the asset or liability that are not based on observable market data (unobservable</w:t>
      </w:r>
      <w:r>
        <w:rPr>
          <w:spacing w:val="1"/>
        </w:rPr>
        <w:t xml:space="preserve"> </w:t>
      </w:r>
      <w:r>
        <w:t>inputs)</w:t>
      </w:r>
    </w:p>
    <w:p w14:paraId="78F561FD" w14:textId="77777777" w:rsidR="00FA4AA8" w:rsidRDefault="00FA4AA8">
      <w:pPr>
        <w:pStyle w:val="BodyText"/>
        <w:spacing w:before="5"/>
        <w:rPr>
          <w:sz w:val="27"/>
        </w:rPr>
      </w:pPr>
    </w:p>
    <w:p w14:paraId="78BD1C18" w14:textId="77777777" w:rsidR="00FA4AA8" w:rsidRDefault="0015611F">
      <w:pPr>
        <w:numPr>
          <w:ilvl w:val="0"/>
          <w:numId w:val="80"/>
        </w:numPr>
        <w:tabs>
          <w:tab w:val="left" w:pos="723"/>
        </w:tabs>
        <w:rPr>
          <w:b/>
          <w:i/>
          <w:sz w:val="18"/>
        </w:rPr>
      </w:pPr>
      <w:r>
        <w:rPr>
          <w:b/>
          <w:i/>
          <w:sz w:val="18"/>
        </w:rPr>
        <w:t>Recognised fair value measurements</w:t>
      </w:r>
    </w:p>
    <w:p w14:paraId="09EBC839" w14:textId="77777777" w:rsidR="00FA4AA8" w:rsidRDefault="00FA4AA8">
      <w:pPr>
        <w:pStyle w:val="BodyText"/>
        <w:rPr>
          <w:b/>
          <w:i/>
          <w:sz w:val="25"/>
        </w:rPr>
      </w:pPr>
    </w:p>
    <w:p w14:paraId="356CDDCB" w14:textId="77777777" w:rsidR="00FA4AA8" w:rsidRDefault="0015611F">
      <w:pPr>
        <w:pStyle w:val="BodyText"/>
        <w:ind w:left="504" w:right="231"/>
      </w:pPr>
      <w:r>
        <w:t>Fair value measurements recognised in the statement of financial position are categorised into the following levels at 31 December 2018.</w:t>
      </w:r>
    </w:p>
    <w:p w14:paraId="2C85793B" w14:textId="77777777" w:rsidR="00FA4AA8" w:rsidRDefault="00FA4AA8">
      <w:pPr>
        <w:sectPr w:rsidR="00FA4AA8">
          <w:headerReference w:type="default" r:id="rId43"/>
          <w:footerReference w:type="default" r:id="rId44"/>
          <w:pgSz w:w="11910" w:h="16840"/>
          <w:pgMar w:top="2220" w:right="860" w:bottom="720" w:left="900" w:header="1016" w:footer="523" w:gutter="0"/>
          <w:pgNumType w:start="64"/>
          <w:cols w:space="720"/>
        </w:sectPr>
      </w:pPr>
    </w:p>
    <w:p w14:paraId="1788A706" w14:textId="77777777" w:rsidR="00FA4AA8" w:rsidRDefault="00FA4AA8">
      <w:pPr>
        <w:pStyle w:val="BodyText"/>
        <w:rPr>
          <w:sz w:val="20"/>
        </w:rPr>
      </w:pPr>
    </w:p>
    <w:p w14:paraId="707C5BCE" w14:textId="77777777" w:rsidR="00FA4AA8" w:rsidRDefault="00FA4AA8">
      <w:pPr>
        <w:pStyle w:val="BodyText"/>
        <w:spacing w:before="10"/>
        <w:rPr>
          <w:sz w:val="29"/>
        </w:rPr>
      </w:pPr>
    </w:p>
    <w:p w14:paraId="6DDAEABD" w14:textId="77777777" w:rsidR="00FA4AA8" w:rsidRDefault="0015611F">
      <w:pPr>
        <w:spacing w:before="94"/>
        <w:ind w:left="107"/>
        <w:rPr>
          <w:b/>
          <w:sz w:val="18"/>
        </w:rPr>
      </w:pPr>
      <w:r>
        <w:rPr>
          <w:b/>
          <w:sz w:val="18"/>
        </w:rPr>
        <w:t>34 Fair Value Measurement (continued)</w:t>
      </w:r>
    </w:p>
    <w:p w14:paraId="026C4D13" w14:textId="77777777" w:rsidR="00FA4AA8" w:rsidRDefault="00FA4AA8">
      <w:pPr>
        <w:pStyle w:val="BodyText"/>
        <w:spacing w:before="7"/>
        <w:rPr>
          <w:b/>
          <w:sz w:val="26"/>
        </w:rPr>
      </w:pPr>
    </w:p>
    <w:p w14:paraId="0FD5817C" w14:textId="77777777" w:rsidR="00FA4AA8" w:rsidRDefault="0015611F">
      <w:pPr>
        <w:ind w:left="107"/>
        <w:rPr>
          <w:b/>
          <w:sz w:val="18"/>
        </w:rPr>
      </w:pPr>
      <w:r>
        <w:rPr>
          <w:b/>
          <w:sz w:val="18"/>
        </w:rPr>
        <w:t>(b) Fair value hierarchy (continued)</w:t>
      </w:r>
    </w:p>
    <w:p w14:paraId="0CD532A4" w14:textId="77777777" w:rsidR="00FA4AA8" w:rsidRDefault="00FA4AA8">
      <w:pPr>
        <w:pStyle w:val="BodyText"/>
        <w:spacing w:before="3"/>
        <w:rPr>
          <w:b/>
          <w:sz w:val="17"/>
        </w:rPr>
      </w:pPr>
    </w:p>
    <w:p w14:paraId="6A0477B8" w14:textId="77777777" w:rsidR="00FA4AA8" w:rsidRDefault="00FA4AA8">
      <w:pPr>
        <w:rPr>
          <w:sz w:val="17"/>
        </w:rPr>
        <w:sectPr w:rsidR="00FA4AA8">
          <w:pgSz w:w="11910" w:h="16840"/>
          <w:pgMar w:top="2220" w:right="860" w:bottom="720" w:left="900" w:header="1016" w:footer="523" w:gutter="0"/>
          <w:cols w:space="720"/>
        </w:sectPr>
      </w:pPr>
    </w:p>
    <w:p w14:paraId="4871CC3F" w14:textId="77777777" w:rsidR="00FA4AA8" w:rsidRDefault="0015611F">
      <w:pPr>
        <w:spacing w:before="94"/>
        <w:ind w:left="504"/>
        <w:rPr>
          <w:b/>
          <w:sz w:val="18"/>
        </w:rPr>
      </w:pPr>
      <w:r>
        <w:rPr>
          <w:b/>
          <w:sz w:val="18"/>
        </w:rPr>
        <w:t>Fair value measurements at 31 December 2018</w:t>
      </w:r>
    </w:p>
    <w:p w14:paraId="50B57722" w14:textId="77777777" w:rsidR="00FA4AA8" w:rsidRDefault="00FA4AA8">
      <w:pPr>
        <w:pStyle w:val="BodyText"/>
        <w:rPr>
          <w:b/>
          <w:sz w:val="20"/>
        </w:rPr>
      </w:pPr>
    </w:p>
    <w:p w14:paraId="5CA842EB" w14:textId="77777777" w:rsidR="00FA4AA8" w:rsidRDefault="00FA4AA8">
      <w:pPr>
        <w:pStyle w:val="BodyText"/>
        <w:rPr>
          <w:b/>
          <w:sz w:val="20"/>
        </w:rPr>
      </w:pPr>
    </w:p>
    <w:p w14:paraId="3E1C1CF8" w14:textId="77777777" w:rsidR="00FA4AA8" w:rsidRDefault="0015611F">
      <w:pPr>
        <w:spacing w:before="156" w:line="388" w:lineRule="auto"/>
        <w:ind w:left="547" w:right="1270"/>
        <w:rPr>
          <w:b/>
          <w:sz w:val="16"/>
        </w:rPr>
      </w:pPr>
      <w:r>
        <w:rPr>
          <w:b/>
          <w:sz w:val="16"/>
        </w:rPr>
        <w:t>Recurring fair value measurements Financial assets</w:t>
      </w:r>
    </w:p>
    <w:p w14:paraId="579029A3" w14:textId="77777777" w:rsidR="00FA4AA8" w:rsidRDefault="0015611F">
      <w:pPr>
        <w:spacing w:line="259" w:lineRule="auto"/>
        <w:ind w:left="547" w:right="1341"/>
        <w:rPr>
          <w:sz w:val="16"/>
        </w:rPr>
      </w:pPr>
      <w:r>
        <w:rPr>
          <w:sz w:val="16"/>
        </w:rPr>
        <w:t>Available-for-sale financial assets Financial assets at fair value through profit and loss</w:t>
      </w:r>
    </w:p>
    <w:p w14:paraId="509A405C" w14:textId="77777777" w:rsidR="00FA4AA8" w:rsidRDefault="0015611F">
      <w:pPr>
        <w:spacing w:before="37"/>
        <w:ind w:left="547" w:right="1314"/>
        <w:rPr>
          <w:sz w:val="16"/>
        </w:rPr>
      </w:pPr>
      <w:r>
        <w:rPr>
          <w:sz w:val="16"/>
        </w:rPr>
        <w:t>Financial assets at fair value through other comprehensive income (Listed)</w:t>
      </w:r>
    </w:p>
    <w:p w14:paraId="48A3E3B6" w14:textId="77777777" w:rsidR="00FA4AA8" w:rsidRDefault="0015611F">
      <w:pPr>
        <w:spacing w:before="54"/>
        <w:ind w:left="547" w:right="1163"/>
        <w:rPr>
          <w:sz w:val="16"/>
        </w:rPr>
      </w:pPr>
      <w:r>
        <w:rPr>
          <w:sz w:val="16"/>
        </w:rPr>
        <w:t>Financial assets at fair value through other comprehensive income (Unlisted)</w:t>
      </w:r>
    </w:p>
    <w:p w14:paraId="5263923C" w14:textId="77777777" w:rsidR="00FA4AA8" w:rsidRDefault="0015611F">
      <w:pPr>
        <w:spacing w:before="33" w:line="346" w:lineRule="exact"/>
        <w:ind w:left="547" w:right="2341"/>
        <w:rPr>
          <w:b/>
          <w:sz w:val="16"/>
        </w:rPr>
      </w:pPr>
      <w:r>
        <w:rPr>
          <w:b/>
          <w:sz w:val="16"/>
        </w:rPr>
        <w:t>Total financial assets Non-financial assets</w:t>
      </w:r>
    </w:p>
    <w:p w14:paraId="50EDEED3" w14:textId="77777777" w:rsidR="00FA4AA8" w:rsidRDefault="0015611F">
      <w:pPr>
        <w:spacing w:line="316" w:lineRule="auto"/>
        <w:ind w:left="688" w:right="1804" w:hanging="142"/>
        <w:rPr>
          <w:sz w:val="16"/>
        </w:rPr>
      </w:pPr>
      <w:r>
        <w:rPr>
          <w:sz w:val="16"/>
        </w:rPr>
        <w:t>Property, plant and equipment Land</w:t>
      </w:r>
    </w:p>
    <w:p w14:paraId="52EFE520" w14:textId="77777777" w:rsidR="00FA4AA8" w:rsidRDefault="0015611F">
      <w:pPr>
        <w:spacing w:line="316" w:lineRule="auto"/>
        <w:ind w:left="688" w:right="2863"/>
        <w:rPr>
          <w:sz w:val="16"/>
        </w:rPr>
      </w:pPr>
      <w:r>
        <w:rPr>
          <w:sz w:val="16"/>
        </w:rPr>
        <w:t>Buildings Infrastructure Artwork</w:t>
      </w:r>
    </w:p>
    <w:p w14:paraId="5835D99C" w14:textId="77777777" w:rsidR="00FA4AA8" w:rsidRDefault="0015611F">
      <w:pPr>
        <w:spacing w:line="183" w:lineRule="exact"/>
        <w:ind w:left="688"/>
        <w:rPr>
          <w:sz w:val="16"/>
        </w:rPr>
      </w:pPr>
      <w:r>
        <w:rPr>
          <w:sz w:val="16"/>
        </w:rPr>
        <w:t>Rare book collection</w:t>
      </w:r>
    </w:p>
    <w:p w14:paraId="24EA1F79" w14:textId="77777777" w:rsidR="00FA4AA8" w:rsidRDefault="0015611F">
      <w:pPr>
        <w:spacing w:before="150"/>
        <w:ind w:left="547"/>
        <w:rPr>
          <w:b/>
          <w:sz w:val="16"/>
        </w:rPr>
      </w:pPr>
      <w:r>
        <w:rPr>
          <w:b/>
          <w:sz w:val="16"/>
        </w:rPr>
        <w:t>Total non-financial assets</w:t>
      </w:r>
    </w:p>
    <w:p w14:paraId="44C62AB7" w14:textId="77777777" w:rsidR="00FA4AA8" w:rsidRDefault="00FA4AA8">
      <w:pPr>
        <w:pStyle w:val="BodyText"/>
        <w:spacing w:before="1"/>
        <w:rPr>
          <w:b/>
          <w:sz w:val="14"/>
        </w:rPr>
      </w:pPr>
    </w:p>
    <w:p w14:paraId="01618C72" w14:textId="77777777" w:rsidR="00FA4AA8" w:rsidRDefault="0015611F">
      <w:pPr>
        <w:ind w:left="547"/>
        <w:rPr>
          <w:b/>
          <w:sz w:val="16"/>
        </w:rPr>
      </w:pPr>
      <w:r>
        <w:rPr>
          <w:b/>
          <w:sz w:val="16"/>
        </w:rPr>
        <w:t>Non-recurring fair value measurements</w:t>
      </w:r>
    </w:p>
    <w:p w14:paraId="16559C5A" w14:textId="77777777" w:rsidR="00FA4AA8" w:rsidRDefault="0015611F">
      <w:pPr>
        <w:spacing w:before="32"/>
        <w:ind w:left="547"/>
        <w:rPr>
          <w:sz w:val="16"/>
        </w:rPr>
      </w:pPr>
      <w:r>
        <w:rPr>
          <w:sz w:val="16"/>
        </w:rPr>
        <w:t>Non-current assets held for sale</w:t>
      </w:r>
    </w:p>
    <w:p w14:paraId="6D5BDF3E" w14:textId="77777777" w:rsidR="00FA4AA8" w:rsidRDefault="0015611F">
      <w:pPr>
        <w:spacing w:before="75"/>
        <w:ind w:left="547" w:right="1724"/>
        <w:rPr>
          <w:b/>
          <w:sz w:val="16"/>
        </w:rPr>
      </w:pPr>
      <w:r>
        <w:rPr>
          <w:b/>
          <w:sz w:val="16"/>
        </w:rPr>
        <w:t>Total non-recurring fair value measurements</w:t>
      </w:r>
    </w:p>
    <w:p w14:paraId="78903BDA" w14:textId="77777777" w:rsidR="00FA4AA8" w:rsidRDefault="0015611F">
      <w:pPr>
        <w:pStyle w:val="BodyText"/>
        <w:rPr>
          <w:b/>
        </w:rPr>
      </w:pPr>
      <w:r>
        <w:br w:type="column"/>
      </w:r>
    </w:p>
    <w:p w14:paraId="50551933" w14:textId="77777777" w:rsidR="00FA4AA8" w:rsidRDefault="00FA4AA8">
      <w:pPr>
        <w:pStyle w:val="BodyText"/>
        <w:rPr>
          <w:b/>
        </w:rPr>
      </w:pPr>
    </w:p>
    <w:p w14:paraId="6BB48EDE" w14:textId="77777777" w:rsidR="00FA4AA8" w:rsidRDefault="00FA4AA8">
      <w:pPr>
        <w:pStyle w:val="BodyText"/>
        <w:spacing w:before="11"/>
        <w:rPr>
          <w:b/>
          <w:sz w:val="14"/>
        </w:rPr>
      </w:pPr>
    </w:p>
    <w:p w14:paraId="08D9D695" w14:textId="77777777" w:rsidR="00FA4AA8" w:rsidRDefault="007E2441">
      <w:pPr>
        <w:ind w:left="369"/>
        <w:rPr>
          <w:b/>
          <w:sz w:val="16"/>
        </w:rPr>
      </w:pPr>
      <w:r>
        <w:rPr>
          <w:noProof/>
          <w:lang w:val="en-AU" w:eastAsia="en-AU"/>
        </w:rPr>
        <mc:AlternateContent>
          <mc:Choice Requires="wps">
            <w:drawing>
              <wp:anchor distT="0" distB="0" distL="114300" distR="114300" simplePos="0" relativeHeight="15754752" behindDoc="0" locked="0" layoutInCell="1" allowOverlap="1" wp14:anchorId="72403164" wp14:editId="23B3C76F">
                <wp:simplePos x="0" y="0"/>
                <wp:positionH relativeFrom="page">
                  <wp:posOffset>3721735</wp:posOffset>
                </wp:positionH>
                <wp:positionV relativeFrom="paragraph">
                  <wp:posOffset>536575</wp:posOffset>
                </wp:positionV>
                <wp:extent cx="3212465" cy="3196590"/>
                <wp:effectExtent l="0" t="0" r="0" b="0"/>
                <wp:wrapNone/>
                <wp:docPr id="2339" name="Text Box 2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2465" cy="3196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93"/>
                              <w:gridCol w:w="1166"/>
                              <w:gridCol w:w="1166"/>
                              <w:gridCol w:w="1166"/>
                              <w:gridCol w:w="1166"/>
                            </w:tblGrid>
                            <w:tr w:rsidR="001F3ACE" w14:paraId="306BEFB1" w14:textId="77777777">
                              <w:trPr>
                                <w:trHeight w:val="781"/>
                              </w:trPr>
                              <w:tc>
                                <w:tcPr>
                                  <w:tcW w:w="393" w:type="dxa"/>
                                </w:tcPr>
                                <w:p w14:paraId="21EBC134" w14:textId="77777777" w:rsidR="001F3ACE" w:rsidRDefault="001F3ACE">
                                  <w:pPr>
                                    <w:pStyle w:val="TableParagraph"/>
                                    <w:spacing w:line="179" w:lineRule="exact"/>
                                    <w:ind w:left="50"/>
                                    <w:rPr>
                                      <w:sz w:val="16"/>
                                    </w:rPr>
                                  </w:pPr>
                                  <w:r>
                                    <w:rPr>
                                      <w:sz w:val="16"/>
                                    </w:rPr>
                                    <w:t>21</w:t>
                                  </w:r>
                                </w:p>
                              </w:tc>
                              <w:tc>
                                <w:tcPr>
                                  <w:tcW w:w="1166" w:type="dxa"/>
                                </w:tcPr>
                                <w:p w14:paraId="6C5FA58E" w14:textId="77777777" w:rsidR="001F3ACE" w:rsidRDefault="001F3ACE">
                                  <w:pPr>
                                    <w:pStyle w:val="TableParagraph"/>
                                    <w:rPr>
                                      <w:b/>
                                      <w:sz w:val="18"/>
                                    </w:rPr>
                                  </w:pPr>
                                </w:p>
                                <w:p w14:paraId="2C5F253C" w14:textId="77777777" w:rsidR="001F3ACE" w:rsidRDefault="001F3ACE">
                                  <w:pPr>
                                    <w:pStyle w:val="TableParagraph"/>
                                    <w:spacing w:before="4"/>
                                    <w:rPr>
                                      <w:b/>
                                      <w:sz w:val="23"/>
                                    </w:rPr>
                                  </w:pPr>
                                </w:p>
                                <w:p w14:paraId="592430F5" w14:textId="77777777" w:rsidR="001F3ACE" w:rsidRDefault="001F3ACE">
                                  <w:pPr>
                                    <w:pStyle w:val="TableParagraph"/>
                                    <w:ind w:right="76"/>
                                    <w:jc w:val="right"/>
                                    <w:rPr>
                                      <w:b/>
                                      <w:sz w:val="16"/>
                                    </w:rPr>
                                  </w:pPr>
                                  <w:r>
                                    <w:rPr>
                                      <w:b/>
                                      <w:sz w:val="16"/>
                                    </w:rPr>
                                    <w:t>246,893</w:t>
                                  </w:r>
                                </w:p>
                              </w:tc>
                              <w:tc>
                                <w:tcPr>
                                  <w:tcW w:w="1166" w:type="dxa"/>
                                </w:tcPr>
                                <w:p w14:paraId="5C770FC1" w14:textId="77777777" w:rsidR="001F3ACE" w:rsidRDefault="001F3ACE">
                                  <w:pPr>
                                    <w:pStyle w:val="TableParagraph"/>
                                    <w:rPr>
                                      <w:b/>
                                      <w:sz w:val="18"/>
                                    </w:rPr>
                                  </w:pPr>
                                </w:p>
                                <w:p w14:paraId="5EA43667" w14:textId="77777777" w:rsidR="001F3ACE" w:rsidRDefault="001F3ACE">
                                  <w:pPr>
                                    <w:pStyle w:val="TableParagraph"/>
                                    <w:spacing w:before="4"/>
                                    <w:rPr>
                                      <w:b/>
                                      <w:sz w:val="23"/>
                                    </w:rPr>
                                  </w:pPr>
                                </w:p>
                                <w:p w14:paraId="5CC7FEB5" w14:textId="77777777" w:rsidR="001F3ACE" w:rsidRDefault="001F3ACE">
                                  <w:pPr>
                                    <w:pStyle w:val="TableParagraph"/>
                                    <w:ind w:right="76"/>
                                    <w:jc w:val="right"/>
                                    <w:rPr>
                                      <w:b/>
                                      <w:sz w:val="16"/>
                                    </w:rPr>
                                  </w:pPr>
                                  <w:r>
                                    <w:rPr>
                                      <w:b/>
                                      <w:sz w:val="16"/>
                                    </w:rPr>
                                    <w:t>246,893</w:t>
                                  </w:r>
                                </w:p>
                              </w:tc>
                              <w:tc>
                                <w:tcPr>
                                  <w:tcW w:w="1166" w:type="dxa"/>
                                </w:tcPr>
                                <w:p w14:paraId="7F83582A" w14:textId="77777777" w:rsidR="001F3ACE" w:rsidRDefault="001F3ACE">
                                  <w:pPr>
                                    <w:pStyle w:val="TableParagraph"/>
                                    <w:rPr>
                                      <w:b/>
                                      <w:sz w:val="18"/>
                                    </w:rPr>
                                  </w:pPr>
                                </w:p>
                                <w:p w14:paraId="6CDA5178" w14:textId="77777777" w:rsidR="001F3ACE" w:rsidRDefault="001F3ACE">
                                  <w:pPr>
                                    <w:pStyle w:val="TableParagraph"/>
                                    <w:spacing w:before="4"/>
                                    <w:rPr>
                                      <w:b/>
                                      <w:sz w:val="23"/>
                                    </w:rPr>
                                  </w:pPr>
                                </w:p>
                                <w:p w14:paraId="0E745F82" w14:textId="77777777" w:rsidR="001F3ACE" w:rsidRDefault="001F3ACE">
                                  <w:pPr>
                                    <w:pStyle w:val="TableParagraph"/>
                                    <w:ind w:right="75"/>
                                    <w:jc w:val="right"/>
                                    <w:rPr>
                                      <w:b/>
                                      <w:sz w:val="16"/>
                                    </w:rPr>
                                  </w:pPr>
                                  <w:r>
                                    <w:rPr>
                                      <w:b/>
                                      <w:sz w:val="16"/>
                                    </w:rPr>
                                    <w:t>-</w:t>
                                  </w:r>
                                </w:p>
                              </w:tc>
                              <w:tc>
                                <w:tcPr>
                                  <w:tcW w:w="1166" w:type="dxa"/>
                                </w:tcPr>
                                <w:p w14:paraId="2180BBE5" w14:textId="77777777" w:rsidR="001F3ACE" w:rsidRDefault="001F3ACE">
                                  <w:pPr>
                                    <w:pStyle w:val="TableParagraph"/>
                                    <w:rPr>
                                      <w:b/>
                                      <w:sz w:val="18"/>
                                    </w:rPr>
                                  </w:pPr>
                                </w:p>
                                <w:p w14:paraId="62B50679" w14:textId="77777777" w:rsidR="001F3ACE" w:rsidRDefault="001F3ACE">
                                  <w:pPr>
                                    <w:pStyle w:val="TableParagraph"/>
                                    <w:spacing w:before="4"/>
                                    <w:rPr>
                                      <w:b/>
                                      <w:sz w:val="23"/>
                                    </w:rPr>
                                  </w:pPr>
                                </w:p>
                                <w:p w14:paraId="55C63855" w14:textId="77777777" w:rsidR="001F3ACE" w:rsidRDefault="001F3ACE">
                                  <w:pPr>
                                    <w:pStyle w:val="TableParagraph"/>
                                    <w:ind w:right="74"/>
                                    <w:jc w:val="right"/>
                                    <w:rPr>
                                      <w:b/>
                                      <w:sz w:val="16"/>
                                    </w:rPr>
                                  </w:pPr>
                                  <w:r>
                                    <w:rPr>
                                      <w:b/>
                                      <w:sz w:val="16"/>
                                    </w:rPr>
                                    <w:t>-</w:t>
                                  </w:r>
                                </w:p>
                              </w:tc>
                            </w:tr>
                            <w:tr w:rsidR="001F3ACE" w14:paraId="7DF89A38" w14:textId="77777777">
                              <w:trPr>
                                <w:trHeight w:val="422"/>
                              </w:trPr>
                              <w:tc>
                                <w:tcPr>
                                  <w:tcW w:w="393" w:type="dxa"/>
                                </w:tcPr>
                                <w:p w14:paraId="37D738D6" w14:textId="77777777" w:rsidR="001F3ACE" w:rsidRDefault="001F3ACE">
                                  <w:pPr>
                                    <w:pStyle w:val="TableParagraph"/>
                                    <w:rPr>
                                      <w:rFonts w:ascii="Times New Roman"/>
                                      <w:sz w:val="16"/>
                                    </w:rPr>
                                  </w:pPr>
                                </w:p>
                              </w:tc>
                              <w:tc>
                                <w:tcPr>
                                  <w:tcW w:w="1166" w:type="dxa"/>
                                </w:tcPr>
                                <w:p w14:paraId="56AC33EC" w14:textId="77777777" w:rsidR="001F3ACE" w:rsidRDefault="001F3ACE">
                                  <w:pPr>
                                    <w:pStyle w:val="TableParagraph"/>
                                    <w:spacing w:before="117"/>
                                    <w:ind w:right="76"/>
                                    <w:jc w:val="right"/>
                                    <w:rPr>
                                      <w:b/>
                                      <w:sz w:val="16"/>
                                    </w:rPr>
                                  </w:pPr>
                                  <w:r>
                                    <w:rPr>
                                      <w:b/>
                                      <w:sz w:val="16"/>
                                    </w:rPr>
                                    <w:t>16</w:t>
                                  </w:r>
                                </w:p>
                              </w:tc>
                              <w:tc>
                                <w:tcPr>
                                  <w:tcW w:w="1166" w:type="dxa"/>
                                </w:tcPr>
                                <w:p w14:paraId="2750B7D5" w14:textId="77777777" w:rsidR="001F3ACE" w:rsidRDefault="001F3ACE">
                                  <w:pPr>
                                    <w:pStyle w:val="TableParagraph"/>
                                    <w:spacing w:before="117"/>
                                    <w:ind w:right="76"/>
                                    <w:jc w:val="right"/>
                                    <w:rPr>
                                      <w:b/>
                                      <w:sz w:val="16"/>
                                    </w:rPr>
                                  </w:pPr>
                                  <w:r>
                                    <w:rPr>
                                      <w:b/>
                                      <w:sz w:val="16"/>
                                    </w:rPr>
                                    <w:t>16</w:t>
                                  </w:r>
                                </w:p>
                              </w:tc>
                              <w:tc>
                                <w:tcPr>
                                  <w:tcW w:w="1166" w:type="dxa"/>
                                </w:tcPr>
                                <w:p w14:paraId="5EA92AB6" w14:textId="77777777" w:rsidR="001F3ACE" w:rsidRDefault="001F3ACE">
                                  <w:pPr>
                                    <w:pStyle w:val="TableParagraph"/>
                                    <w:spacing w:before="117"/>
                                    <w:ind w:right="75"/>
                                    <w:jc w:val="right"/>
                                    <w:rPr>
                                      <w:b/>
                                      <w:sz w:val="16"/>
                                    </w:rPr>
                                  </w:pPr>
                                  <w:r>
                                    <w:rPr>
                                      <w:b/>
                                      <w:sz w:val="16"/>
                                    </w:rPr>
                                    <w:t>-</w:t>
                                  </w:r>
                                </w:p>
                              </w:tc>
                              <w:tc>
                                <w:tcPr>
                                  <w:tcW w:w="1166" w:type="dxa"/>
                                </w:tcPr>
                                <w:p w14:paraId="1AD87B22" w14:textId="77777777" w:rsidR="001F3ACE" w:rsidRDefault="001F3ACE">
                                  <w:pPr>
                                    <w:pStyle w:val="TableParagraph"/>
                                    <w:spacing w:before="117"/>
                                    <w:ind w:right="74"/>
                                    <w:jc w:val="right"/>
                                    <w:rPr>
                                      <w:b/>
                                      <w:sz w:val="16"/>
                                    </w:rPr>
                                  </w:pPr>
                                  <w:r>
                                    <w:rPr>
                                      <w:b/>
                                      <w:sz w:val="16"/>
                                    </w:rPr>
                                    <w:t>-</w:t>
                                  </w:r>
                                </w:p>
                              </w:tc>
                            </w:tr>
                            <w:tr w:rsidR="001F3ACE" w14:paraId="16A17EE9" w14:textId="77777777">
                              <w:trPr>
                                <w:trHeight w:val="327"/>
                              </w:trPr>
                              <w:tc>
                                <w:tcPr>
                                  <w:tcW w:w="393" w:type="dxa"/>
                                </w:tcPr>
                                <w:p w14:paraId="45415280" w14:textId="77777777" w:rsidR="001F3ACE" w:rsidRDefault="001F3ACE">
                                  <w:pPr>
                                    <w:pStyle w:val="TableParagraph"/>
                                    <w:rPr>
                                      <w:rFonts w:ascii="Times New Roman"/>
                                      <w:sz w:val="16"/>
                                    </w:rPr>
                                  </w:pPr>
                                </w:p>
                              </w:tc>
                              <w:tc>
                                <w:tcPr>
                                  <w:tcW w:w="1166" w:type="dxa"/>
                                  <w:tcBorders>
                                    <w:bottom w:val="single" w:sz="8" w:space="0" w:color="000000"/>
                                  </w:tcBorders>
                                </w:tcPr>
                                <w:p w14:paraId="7606D196" w14:textId="77777777" w:rsidR="001F3ACE" w:rsidRDefault="001F3ACE">
                                  <w:pPr>
                                    <w:pStyle w:val="TableParagraph"/>
                                    <w:spacing w:before="117"/>
                                    <w:ind w:right="76"/>
                                    <w:jc w:val="right"/>
                                    <w:rPr>
                                      <w:b/>
                                      <w:sz w:val="16"/>
                                    </w:rPr>
                                  </w:pPr>
                                  <w:r>
                                    <w:rPr>
                                      <w:b/>
                                      <w:sz w:val="16"/>
                                    </w:rPr>
                                    <w:t>29,201</w:t>
                                  </w:r>
                                </w:p>
                              </w:tc>
                              <w:tc>
                                <w:tcPr>
                                  <w:tcW w:w="1166" w:type="dxa"/>
                                  <w:tcBorders>
                                    <w:bottom w:val="single" w:sz="8" w:space="0" w:color="000000"/>
                                  </w:tcBorders>
                                </w:tcPr>
                                <w:p w14:paraId="7EA36691" w14:textId="77777777" w:rsidR="001F3ACE" w:rsidRDefault="001F3ACE">
                                  <w:pPr>
                                    <w:pStyle w:val="TableParagraph"/>
                                    <w:spacing w:before="117"/>
                                    <w:ind w:right="75"/>
                                    <w:jc w:val="right"/>
                                    <w:rPr>
                                      <w:b/>
                                      <w:sz w:val="16"/>
                                    </w:rPr>
                                  </w:pPr>
                                  <w:r>
                                    <w:rPr>
                                      <w:b/>
                                      <w:sz w:val="16"/>
                                    </w:rPr>
                                    <w:t>-</w:t>
                                  </w:r>
                                </w:p>
                              </w:tc>
                              <w:tc>
                                <w:tcPr>
                                  <w:tcW w:w="1166" w:type="dxa"/>
                                  <w:tcBorders>
                                    <w:bottom w:val="single" w:sz="8" w:space="0" w:color="000000"/>
                                  </w:tcBorders>
                                </w:tcPr>
                                <w:p w14:paraId="5DA2CB46" w14:textId="77777777" w:rsidR="001F3ACE" w:rsidRDefault="001F3ACE">
                                  <w:pPr>
                                    <w:pStyle w:val="TableParagraph"/>
                                    <w:spacing w:before="117"/>
                                    <w:ind w:right="75"/>
                                    <w:jc w:val="right"/>
                                    <w:rPr>
                                      <w:b/>
                                      <w:sz w:val="16"/>
                                    </w:rPr>
                                  </w:pPr>
                                  <w:r>
                                    <w:rPr>
                                      <w:b/>
                                      <w:sz w:val="16"/>
                                    </w:rPr>
                                    <w:t>28,880</w:t>
                                  </w:r>
                                </w:p>
                              </w:tc>
                              <w:tc>
                                <w:tcPr>
                                  <w:tcW w:w="1166" w:type="dxa"/>
                                  <w:tcBorders>
                                    <w:bottom w:val="single" w:sz="8" w:space="0" w:color="000000"/>
                                  </w:tcBorders>
                                </w:tcPr>
                                <w:p w14:paraId="495D2D59" w14:textId="77777777" w:rsidR="001F3ACE" w:rsidRDefault="001F3ACE">
                                  <w:pPr>
                                    <w:pStyle w:val="TableParagraph"/>
                                    <w:spacing w:before="117"/>
                                    <w:ind w:right="75"/>
                                    <w:jc w:val="right"/>
                                    <w:rPr>
                                      <w:b/>
                                      <w:sz w:val="16"/>
                                    </w:rPr>
                                  </w:pPr>
                                  <w:r>
                                    <w:rPr>
                                      <w:b/>
                                      <w:sz w:val="16"/>
                                    </w:rPr>
                                    <w:t>321</w:t>
                                  </w:r>
                                </w:p>
                              </w:tc>
                            </w:tr>
                            <w:tr w:rsidR="001F3ACE" w14:paraId="16CE5862" w14:textId="77777777">
                              <w:trPr>
                                <w:trHeight w:val="330"/>
                              </w:trPr>
                              <w:tc>
                                <w:tcPr>
                                  <w:tcW w:w="393" w:type="dxa"/>
                                </w:tcPr>
                                <w:p w14:paraId="4C8E6060" w14:textId="77777777" w:rsidR="001F3ACE" w:rsidRDefault="001F3ACE">
                                  <w:pPr>
                                    <w:pStyle w:val="TableParagraph"/>
                                    <w:rPr>
                                      <w:rFonts w:ascii="Times New Roman"/>
                                      <w:sz w:val="16"/>
                                    </w:rPr>
                                  </w:pPr>
                                </w:p>
                              </w:tc>
                              <w:tc>
                                <w:tcPr>
                                  <w:tcW w:w="1166" w:type="dxa"/>
                                  <w:tcBorders>
                                    <w:top w:val="single" w:sz="8" w:space="0" w:color="000000"/>
                                    <w:bottom w:val="single" w:sz="4" w:space="0" w:color="000000"/>
                                  </w:tcBorders>
                                </w:tcPr>
                                <w:p w14:paraId="0D141167" w14:textId="77777777" w:rsidR="001F3ACE" w:rsidRDefault="001F3ACE">
                                  <w:pPr>
                                    <w:pStyle w:val="TableParagraph"/>
                                    <w:spacing w:before="114"/>
                                    <w:ind w:right="76"/>
                                    <w:jc w:val="right"/>
                                    <w:rPr>
                                      <w:b/>
                                      <w:sz w:val="16"/>
                                    </w:rPr>
                                  </w:pPr>
                                  <w:r>
                                    <w:rPr>
                                      <w:b/>
                                      <w:sz w:val="16"/>
                                    </w:rPr>
                                    <w:t>276,110</w:t>
                                  </w:r>
                                </w:p>
                              </w:tc>
                              <w:tc>
                                <w:tcPr>
                                  <w:tcW w:w="1166" w:type="dxa"/>
                                  <w:tcBorders>
                                    <w:top w:val="single" w:sz="8" w:space="0" w:color="000000"/>
                                    <w:bottom w:val="single" w:sz="4" w:space="0" w:color="000000"/>
                                  </w:tcBorders>
                                </w:tcPr>
                                <w:p w14:paraId="55EC5DAE" w14:textId="77777777" w:rsidR="001F3ACE" w:rsidRDefault="001F3ACE">
                                  <w:pPr>
                                    <w:pStyle w:val="TableParagraph"/>
                                    <w:spacing w:before="114"/>
                                    <w:ind w:right="76"/>
                                    <w:jc w:val="right"/>
                                    <w:rPr>
                                      <w:b/>
                                      <w:sz w:val="16"/>
                                    </w:rPr>
                                  </w:pPr>
                                  <w:r>
                                    <w:rPr>
                                      <w:b/>
                                      <w:sz w:val="16"/>
                                    </w:rPr>
                                    <w:t>246,909</w:t>
                                  </w:r>
                                </w:p>
                              </w:tc>
                              <w:tc>
                                <w:tcPr>
                                  <w:tcW w:w="1166" w:type="dxa"/>
                                  <w:tcBorders>
                                    <w:top w:val="single" w:sz="8" w:space="0" w:color="000000"/>
                                    <w:bottom w:val="single" w:sz="4" w:space="0" w:color="000000"/>
                                  </w:tcBorders>
                                </w:tcPr>
                                <w:p w14:paraId="67D2BE11" w14:textId="77777777" w:rsidR="001F3ACE" w:rsidRDefault="001F3ACE">
                                  <w:pPr>
                                    <w:pStyle w:val="TableParagraph"/>
                                    <w:spacing w:before="114"/>
                                    <w:ind w:right="75"/>
                                    <w:jc w:val="right"/>
                                    <w:rPr>
                                      <w:b/>
                                      <w:sz w:val="16"/>
                                    </w:rPr>
                                  </w:pPr>
                                  <w:r>
                                    <w:rPr>
                                      <w:b/>
                                      <w:sz w:val="16"/>
                                    </w:rPr>
                                    <w:t>28,880</w:t>
                                  </w:r>
                                </w:p>
                              </w:tc>
                              <w:tc>
                                <w:tcPr>
                                  <w:tcW w:w="1166" w:type="dxa"/>
                                  <w:tcBorders>
                                    <w:top w:val="single" w:sz="8" w:space="0" w:color="000000"/>
                                    <w:bottom w:val="single" w:sz="6" w:space="0" w:color="000000"/>
                                  </w:tcBorders>
                                </w:tcPr>
                                <w:p w14:paraId="1AD2748F" w14:textId="77777777" w:rsidR="001F3ACE" w:rsidRDefault="001F3ACE">
                                  <w:pPr>
                                    <w:pStyle w:val="TableParagraph"/>
                                    <w:spacing w:before="114"/>
                                    <w:ind w:right="75"/>
                                    <w:jc w:val="right"/>
                                    <w:rPr>
                                      <w:b/>
                                      <w:sz w:val="16"/>
                                    </w:rPr>
                                  </w:pPr>
                                  <w:r>
                                    <w:rPr>
                                      <w:b/>
                                      <w:sz w:val="16"/>
                                    </w:rPr>
                                    <w:t>321</w:t>
                                  </w:r>
                                </w:p>
                              </w:tc>
                            </w:tr>
                            <w:tr w:rsidR="001F3ACE" w14:paraId="47630E28" w14:textId="77777777">
                              <w:trPr>
                                <w:trHeight w:val="781"/>
                              </w:trPr>
                              <w:tc>
                                <w:tcPr>
                                  <w:tcW w:w="393" w:type="dxa"/>
                                </w:tcPr>
                                <w:p w14:paraId="0521778E" w14:textId="77777777" w:rsidR="001F3ACE" w:rsidRDefault="001F3ACE">
                                  <w:pPr>
                                    <w:pStyle w:val="TableParagraph"/>
                                    <w:rPr>
                                      <w:b/>
                                      <w:sz w:val="18"/>
                                    </w:rPr>
                                  </w:pPr>
                                </w:p>
                                <w:p w14:paraId="6FF42ECB" w14:textId="77777777" w:rsidR="001F3ACE" w:rsidRDefault="001F3ACE">
                                  <w:pPr>
                                    <w:pStyle w:val="TableParagraph"/>
                                    <w:spacing w:before="119"/>
                                    <w:ind w:left="50"/>
                                    <w:rPr>
                                      <w:sz w:val="16"/>
                                    </w:rPr>
                                  </w:pPr>
                                  <w:r>
                                    <w:rPr>
                                      <w:sz w:val="16"/>
                                    </w:rPr>
                                    <w:t>19</w:t>
                                  </w:r>
                                </w:p>
                              </w:tc>
                              <w:tc>
                                <w:tcPr>
                                  <w:tcW w:w="1166" w:type="dxa"/>
                                  <w:tcBorders>
                                    <w:top w:val="single" w:sz="4" w:space="0" w:color="000000"/>
                                  </w:tcBorders>
                                </w:tcPr>
                                <w:p w14:paraId="05B40208" w14:textId="77777777" w:rsidR="001F3ACE" w:rsidRDefault="001F3ACE">
                                  <w:pPr>
                                    <w:pStyle w:val="TableParagraph"/>
                                    <w:rPr>
                                      <w:b/>
                                      <w:sz w:val="18"/>
                                    </w:rPr>
                                  </w:pPr>
                                </w:p>
                                <w:p w14:paraId="65BEB01D" w14:textId="77777777" w:rsidR="001F3ACE" w:rsidRDefault="001F3ACE">
                                  <w:pPr>
                                    <w:pStyle w:val="TableParagraph"/>
                                    <w:rPr>
                                      <w:b/>
                                      <w:sz w:val="18"/>
                                    </w:rPr>
                                  </w:pPr>
                                </w:p>
                                <w:p w14:paraId="5F77461D" w14:textId="77777777" w:rsidR="001F3ACE" w:rsidRDefault="001F3ACE">
                                  <w:pPr>
                                    <w:pStyle w:val="TableParagraph"/>
                                    <w:spacing w:before="152"/>
                                    <w:ind w:right="76"/>
                                    <w:jc w:val="right"/>
                                    <w:rPr>
                                      <w:b/>
                                      <w:sz w:val="16"/>
                                    </w:rPr>
                                  </w:pPr>
                                  <w:r>
                                    <w:rPr>
                                      <w:b/>
                                      <w:sz w:val="16"/>
                                    </w:rPr>
                                    <w:t>594,000</w:t>
                                  </w:r>
                                </w:p>
                              </w:tc>
                              <w:tc>
                                <w:tcPr>
                                  <w:tcW w:w="1166" w:type="dxa"/>
                                  <w:tcBorders>
                                    <w:top w:val="single" w:sz="4" w:space="0" w:color="000000"/>
                                  </w:tcBorders>
                                </w:tcPr>
                                <w:p w14:paraId="7DC9B0DB" w14:textId="77777777" w:rsidR="001F3ACE" w:rsidRDefault="001F3ACE">
                                  <w:pPr>
                                    <w:pStyle w:val="TableParagraph"/>
                                    <w:rPr>
                                      <w:b/>
                                      <w:sz w:val="18"/>
                                    </w:rPr>
                                  </w:pPr>
                                </w:p>
                                <w:p w14:paraId="3D92B818" w14:textId="77777777" w:rsidR="001F3ACE" w:rsidRDefault="001F3ACE">
                                  <w:pPr>
                                    <w:pStyle w:val="TableParagraph"/>
                                    <w:rPr>
                                      <w:b/>
                                      <w:sz w:val="18"/>
                                    </w:rPr>
                                  </w:pPr>
                                </w:p>
                                <w:p w14:paraId="40AD5858" w14:textId="77777777" w:rsidR="001F3ACE" w:rsidRDefault="001F3ACE">
                                  <w:pPr>
                                    <w:pStyle w:val="TableParagraph"/>
                                    <w:spacing w:before="152"/>
                                    <w:ind w:right="75"/>
                                    <w:jc w:val="right"/>
                                    <w:rPr>
                                      <w:b/>
                                      <w:sz w:val="16"/>
                                    </w:rPr>
                                  </w:pPr>
                                  <w:r>
                                    <w:rPr>
                                      <w:b/>
                                      <w:sz w:val="16"/>
                                    </w:rPr>
                                    <w:t>-</w:t>
                                  </w:r>
                                </w:p>
                              </w:tc>
                              <w:tc>
                                <w:tcPr>
                                  <w:tcW w:w="1166" w:type="dxa"/>
                                  <w:tcBorders>
                                    <w:top w:val="single" w:sz="4" w:space="0" w:color="000000"/>
                                  </w:tcBorders>
                                </w:tcPr>
                                <w:p w14:paraId="552309D3" w14:textId="77777777" w:rsidR="001F3ACE" w:rsidRDefault="001F3ACE">
                                  <w:pPr>
                                    <w:pStyle w:val="TableParagraph"/>
                                    <w:rPr>
                                      <w:b/>
                                      <w:sz w:val="18"/>
                                    </w:rPr>
                                  </w:pPr>
                                </w:p>
                                <w:p w14:paraId="3C3CC609" w14:textId="77777777" w:rsidR="001F3ACE" w:rsidRDefault="001F3ACE">
                                  <w:pPr>
                                    <w:pStyle w:val="TableParagraph"/>
                                    <w:rPr>
                                      <w:b/>
                                      <w:sz w:val="18"/>
                                    </w:rPr>
                                  </w:pPr>
                                </w:p>
                                <w:p w14:paraId="02860DB5" w14:textId="77777777" w:rsidR="001F3ACE" w:rsidRDefault="001F3ACE">
                                  <w:pPr>
                                    <w:pStyle w:val="TableParagraph"/>
                                    <w:spacing w:before="152"/>
                                    <w:ind w:right="75"/>
                                    <w:jc w:val="right"/>
                                    <w:rPr>
                                      <w:b/>
                                      <w:sz w:val="16"/>
                                    </w:rPr>
                                  </w:pPr>
                                  <w:r>
                                    <w:rPr>
                                      <w:b/>
                                      <w:sz w:val="16"/>
                                    </w:rPr>
                                    <w:t>980</w:t>
                                  </w:r>
                                </w:p>
                              </w:tc>
                              <w:tc>
                                <w:tcPr>
                                  <w:tcW w:w="1166" w:type="dxa"/>
                                  <w:tcBorders>
                                    <w:top w:val="single" w:sz="6" w:space="0" w:color="000000"/>
                                  </w:tcBorders>
                                </w:tcPr>
                                <w:p w14:paraId="6BC88256" w14:textId="77777777" w:rsidR="001F3ACE" w:rsidRDefault="001F3ACE">
                                  <w:pPr>
                                    <w:pStyle w:val="TableParagraph"/>
                                    <w:rPr>
                                      <w:b/>
                                      <w:sz w:val="18"/>
                                    </w:rPr>
                                  </w:pPr>
                                </w:p>
                                <w:p w14:paraId="063D162F" w14:textId="77777777" w:rsidR="001F3ACE" w:rsidRDefault="001F3ACE">
                                  <w:pPr>
                                    <w:pStyle w:val="TableParagraph"/>
                                    <w:rPr>
                                      <w:b/>
                                      <w:sz w:val="18"/>
                                    </w:rPr>
                                  </w:pPr>
                                </w:p>
                                <w:p w14:paraId="7088B3B5" w14:textId="77777777" w:rsidR="001F3ACE" w:rsidRDefault="001F3ACE">
                                  <w:pPr>
                                    <w:pStyle w:val="TableParagraph"/>
                                    <w:spacing w:before="152"/>
                                    <w:ind w:right="75"/>
                                    <w:jc w:val="right"/>
                                    <w:rPr>
                                      <w:b/>
                                      <w:sz w:val="16"/>
                                    </w:rPr>
                                  </w:pPr>
                                  <w:r>
                                    <w:rPr>
                                      <w:b/>
                                      <w:sz w:val="16"/>
                                    </w:rPr>
                                    <w:t>593,020</w:t>
                                  </w:r>
                                </w:p>
                              </w:tc>
                            </w:tr>
                            <w:tr w:rsidR="001F3ACE" w14:paraId="099D730D" w14:textId="77777777">
                              <w:trPr>
                                <w:trHeight w:val="242"/>
                              </w:trPr>
                              <w:tc>
                                <w:tcPr>
                                  <w:tcW w:w="393" w:type="dxa"/>
                                </w:tcPr>
                                <w:p w14:paraId="3E22E17C" w14:textId="77777777" w:rsidR="001F3ACE" w:rsidRDefault="001F3ACE">
                                  <w:pPr>
                                    <w:pStyle w:val="TableParagraph"/>
                                    <w:rPr>
                                      <w:rFonts w:ascii="Times New Roman"/>
                                      <w:sz w:val="16"/>
                                    </w:rPr>
                                  </w:pPr>
                                </w:p>
                              </w:tc>
                              <w:tc>
                                <w:tcPr>
                                  <w:tcW w:w="1166" w:type="dxa"/>
                                </w:tcPr>
                                <w:p w14:paraId="5B311A6D" w14:textId="77777777" w:rsidR="001F3ACE" w:rsidRDefault="001F3ACE">
                                  <w:pPr>
                                    <w:pStyle w:val="TableParagraph"/>
                                    <w:spacing w:before="27"/>
                                    <w:ind w:right="76"/>
                                    <w:jc w:val="right"/>
                                    <w:rPr>
                                      <w:b/>
                                      <w:sz w:val="16"/>
                                    </w:rPr>
                                  </w:pPr>
                                  <w:r>
                                    <w:rPr>
                                      <w:b/>
                                      <w:sz w:val="16"/>
                                    </w:rPr>
                                    <w:t>1,127,751</w:t>
                                  </w:r>
                                </w:p>
                              </w:tc>
                              <w:tc>
                                <w:tcPr>
                                  <w:tcW w:w="1166" w:type="dxa"/>
                                </w:tcPr>
                                <w:p w14:paraId="05CFB346" w14:textId="77777777" w:rsidR="001F3ACE" w:rsidRDefault="001F3ACE">
                                  <w:pPr>
                                    <w:pStyle w:val="TableParagraph"/>
                                    <w:spacing w:before="27"/>
                                    <w:ind w:right="75"/>
                                    <w:jc w:val="right"/>
                                    <w:rPr>
                                      <w:b/>
                                      <w:sz w:val="16"/>
                                    </w:rPr>
                                  </w:pPr>
                                  <w:r>
                                    <w:rPr>
                                      <w:b/>
                                      <w:sz w:val="16"/>
                                    </w:rPr>
                                    <w:t>-</w:t>
                                  </w:r>
                                </w:p>
                              </w:tc>
                              <w:tc>
                                <w:tcPr>
                                  <w:tcW w:w="1166" w:type="dxa"/>
                                </w:tcPr>
                                <w:p w14:paraId="0C1D3895" w14:textId="77777777" w:rsidR="001F3ACE" w:rsidRDefault="001F3ACE">
                                  <w:pPr>
                                    <w:pStyle w:val="TableParagraph"/>
                                    <w:spacing w:before="27"/>
                                    <w:ind w:right="75"/>
                                    <w:jc w:val="right"/>
                                    <w:rPr>
                                      <w:b/>
                                      <w:sz w:val="16"/>
                                    </w:rPr>
                                  </w:pPr>
                                  <w:r>
                                    <w:rPr>
                                      <w:b/>
                                      <w:sz w:val="16"/>
                                    </w:rPr>
                                    <w:t>-</w:t>
                                  </w:r>
                                </w:p>
                              </w:tc>
                              <w:tc>
                                <w:tcPr>
                                  <w:tcW w:w="1166" w:type="dxa"/>
                                </w:tcPr>
                                <w:p w14:paraId="58106FCA" w14:textId="77777777" w:rsidR="001F3ACE" w:rsidRDefault="001F3ACE">
                                  <w:pPr>
                                    <w:pStyle w:val="TableParagraph"/>
                                    <w:spacing w:before="27"/>
                                    <w:ind w:right="75"/>
                                    <w:jc w:val="right"/>
                                    <w:rPr>
                                      <w:b/>
                                      <w:sz w:val="16"/>
                                    </w:rPr>
                                  </w:pPr>
                                  <w:r>
                                    <w:rPr>
                                      <w:b/>
                                      <w:sz w:val="16"/>
                                    </w:rPr>
                                    <w:t>1,127,751</w:t>
                                  </w:r>
                                </w:p>
                              </w:tc>
                            </w:tr>
                            <w:tr w:rsidR="001F3ACE" w14:paraId="16888141" w14:textId="77777777">
                              <w:trPr>
                                <w:trHeight w:val="242"/>
                              </w:trPr>
                              <w:tc>
                                <w:tcPr>
                                  <w:tcW w:w="393" w:type="dxa"/>
                                </w:tcPr>
                                <w:p w14:paraId="785364F4" w14:textId="77777777" w:rsidR="001F3ACE" w:rsidRDefault="001F3ACE">
                                  <w:pPr>
                                    <w:pStyle w:val="TableParagraph"/>
                                    <w:rPr>
                                      <w:rFonts w:ascii="Times New Roman"/>
                                      <w:sz w:val="16"/>
                                    </w:rPr>
                                  </w:pPr>
                                </w:p>
                              </w:tc>
                              <w:tc>
                                <w:tcPr>
                                  <w:tcW w:w="1166" w:type="dxa"/>
                                </w:tcPr>
                                <w:p w14:paraId="3254DD6D" w14:textId="77777777" w:rsidR="001F3ACE" w:rsidRDefault="001F3ACE">
                                  <w:pPr>
                                    <w:pStyle w:val="TableParagraph"/>
                                    <w:spacing w:before="27"/>
                                    <w:ind w:right="76"/>
                                    <w:jc w:val="right"/>
                                    <w:rPr>
                                      <w:b/>
                                      <w:sz w:val="16"/>
                                    </w:rPr>
                                  </w:pPr>
                                  <w:r>
                                    <w:rPr>
                                      <w:b/>
                                      <w:sz w:val="16"/>
                                    </w:rPr>
                                    <w:t>116,497</w:t>
                                  </w:r>
                                </w:p>
                              </w:tc>
                              <w:tc>
                                <w:tcPr>
                                  <w:tcW w:w="1166" w:type="dxa"/>
                                </w:tcPr>
                                <w:p w14:paraId="7CBF70F1" w14:textId="77777777" w:rsidR="001F3ACE" w:rsidRDefault="001F3ACE">
                                  <w:pPr>
                                    <w:pStyle w:val="TableParagraph"/>
                                    <w:spacing w:before="27"/>
                                    <w:ind w:right="75"/>
                                    <w:jc w:val="right"/>
                                    <w:rPr>
                                      <w:b/>
                                      <w:sz w:val="16"/>
                                    </w:rPr>
                                  </w:pPr>
                                  <w:r>
                                    <w:rPr>
                                      <w:b/>
                                      <w:sz w:val="16"/>
                                    </w:rPr>
                                    <w:t>-</w:t>
                                  </w:r>
                                </w:p>
                              </w:tc>
                              <w:tc>
                                <w:tcPr>
                                  <w:tcW w:w="1166" w:type="dxa"/>
                                </w:tcPr>
                                <w:p w14:paraId="575CBF4A" w14:textId="77777777" w:rsidR="001F3ACE" w:rsidRDefault="001F3ACE">
                                  <w:pPr>
                                    <w:pStyle w:val="TableParagraph"/>
                                    <w:spacing w:before="27"/>
                                    <w:ind w:right="75"/>
                                    <w:jc w:val="right"/>
                                    <w:rPr>
                                      <w:b/>
                                      <w:sz w:val="16"/>
                                    </w:rPr>
                                  </w:pPr>
                                  <w:r>
                                    <w:rPr>
                                      <w:b/>
                                      <w:sz w:val="16"/>
                                    </w:rPr>
                                    <w:t>-</w:t>
                                  </w:r>
                                </w:p>
                              </w:tc>
                              <w:tc>
                                <w:tcPr>
                                  <w:tcW w:w="1166" w:type="dxa"/>
                                </w:tcPr>
                                <w:p w14:paraId="1C236FE6" w14:textId="77777777" w:rsidR="001F3ACE" w:rsidRDefault="001F3ACE">
                                  <w:pPr>
                                    <w:pStyle w:val="TableParagraph"/>
                                    <w:spacing w:before="27"/>
                                    <w:ind w:right="75"/>
                                    <w:jc w:val="right"/>
                                    <w:rPr>
                                      <w:b/>
                                      <w:sz w:val="16"/>
                                    </w:rPr>
                                  </w:pPr>
                                  <w:r>
                                    <w:rPr>
                                      <w:b/>
                                      <w:sz w:val="16"/>
                                    </w:rPr>
                                    <w:t>116,497</w:t>
                                  </w:r>
                                </w:p>
                              </w:tc>
                            </w:tr>
                            <w:tr w:rsidR="001F3ACE" w14:paraId="4FA495F7" w14:textId="77777777">
                              <w:trPr>
                                <w:trHeight w:val="242"/>
                              </w:trPr>
                              <w:tc>
                                <w:tcPr>
                                  <w:tcW w:w="393" w:type="dxa"/>
                                </w:tcPr>
                                <w:p w14:paraId="0DD36505" w14:textId="77777777" w:rsidR="001F3ACE" w:rsidRDefault="001F3ACE">
                                  <w:pPr>
                                    <w:pStyle w:val="TableParagraph"/>
                                    <w:rPr>
                                      <w:rFonts w:ascii="Times New Roman"/>
                                      <w:sz w:val="16"/>
                                    </w:rPr>
                                  </w:pPr>
                                </w:p>
                              </w:tc>
                              <w:tc>
                                <w:tcPr>
                                  <w:tcW w:w="1166" w:type="dxa"/>
                                </w:tcPr>
                                <w:p w14:paraId="01D73275" w14:textId="77777777" w:rsidR="001F3ACE" w:rsidRDefault="001F3ACE">
                                  <w:pPr>
                                    <w:pStyle w:val="TableParagraph"/>
                                    <w:spacing w:before="27"/>
                                    <w:ind w:right="76"/>
                                    <w:jc w:val="right"/>
                                    <w:rPr>
                                      <w:b/>
                                      <w:sz w:val="16"/>
                                    </w:rPr>
                                  </w:pPr>
                                  <w:r>
                                    <w:rPr>
                                      <w:b/>
                                      <w:sz w:val="16"/>
                                    </w:rPr>
                                    <w:t>4,629</w:t>
                                  </w:r>
                                </w:p>
                              </w:tc>
                              <w:tc>
                                <w:tcPr>
                                  <w:tcW w:w="1166" w:type="dxa"/>
                                </w:tcPr>
                                <w:p w14:paraId="37B76A7A" w14:textId="77777777" w:rsidR="001F3ACE" w:rsidRDefault="001F3ACE">
                                  <w:pPr>
                                    <w:pStyle w:val="TableParagraph"/>
                                    <w:spacing w:before="27"/>
                                    <w:ind w:right="75"/>
                                    <w:jc w:val="right"/>
                                    <w:rPr>
                                      <w:b/>
                                      <w:sz w:val="16"/>
                                    </w:rPr>
                                  </w:pPr>
                                  <w:r>
                                    <w:rPr>
                                      <w:b/>
                                      <w:sz w:val="16"/>
                                    </w:rPr>
                                    <w:t>-</w:t>
                                  </w:r>
                                </w:p>
                              </w:tc>
                              <w:tc>
                                <w:tcPr>
                                  <w:tcW w:w="1166" w:type="dxa"/>
                                </w:tcPr>
                                <w:p w14:paraId="127C981A" w14:textId="77777777" w:rsidR="001F3ACE" w:rsidRDefault="001F3ACE">
                                  <w:pPr>
                                    <w:pStyle w:val="TableParagraph"/>
                                    <w:spacing w:before="27"/>
                                    <w:ind w:right="75"/>
                                    <w:jc w:val="right"/>
                                    <w:rPr>
                                      <w:b/>
                                      <w:sz w:val="16"/>
                                    </w:rPr>
                                  </w:pPr>
                                  <w:r>
                                    <w:rPr>
                                      <w:b/>
                                      <w:sz w:val="16"/>
                                    </w:rPr>
                                    <w:t>4,629</w:t>
                                  </w:r>
                                </w:p>
                              </w:tc>
                              <w:tc>
                                <w:tcPr>
                                  <w:tcW w:w="1166" w:type="dxa"/>
                                </w:tcPr>
                                <w:p w14:paraId="50E3D664" w14:textId="77777777" w:rsidR="001F3ACE" w:rsidRDefault="001F3ACE">
                                  <w:pPr>
                                    <w:pStyle w:val="TableParagraph"/>
                                    <w:spacing w:before="27"/>
                                    <w:ind w:right="74"/>
                                    <w:jc w:val="right"/>
                                    <w:rPr>
                                      <w:b/>
                                      <w:sz w:val="16"/>
                                    </w:rPr>
                                  </w:pPr>
                                  <w:r>
                                    <w:rPr>
                                      <w:b/>
                                      <w:sz w:val="16"/>
                                    </w:rPr>
                                    <w:t>-</w:t>
                                  </w:r>
                                </w:p>
                              </w:tc>
                            </w:tr>
                            <w:tr w:rsidR="001F3ACE" w14:paraId="76DDC45A" w14:textId="77777777">
                              <w:trPr>
                                <w:trHeight w:val="237"/>
                              </w:trPr>
                              <w:tc>
                                <w:tcPr>
                                  <w:tcW w:w="393" w:type="dxa"/>
                                </w:tcPr>
                                <w:p w14:paraId="781A0430" w14:textId="77777777" w:rsidR="001F3ACE" w:rsidRDefault="001F3ACE">
                                  <w:pPr>
                                    <w:pStyle w:val="TableParagraph"/>
                                    <w:rPr>
                                      <w:rFonts w:ascii="Times New Roman"/>
                                      <w:sz w:val="16"/>
                                    </w:rPr>
                                  </w:pPr>
                                </w:p>
                              </w:tc>
                              <w:tc>
                                <w:tcPr>
                                  <w:tcW w:w="1166" w:type="dxa"/>
                                  <w:tcBorders>
                                    <w:bottom w:val="single" w:sz="8" w:space="0" w:color="000000"/>
                                  </w:tcBorders>
                                </w:tcPr>
                                <w:p w14:paraId="191F8F04" w14:textId="77777777" w:rsidR="001F3ACE" w:rsidRDefault="001F3ACE">
                                  <w:pPr>
                                    <w:pStyle w:val="TableParagraph"/>
                                    <w:spacing w:before="27"/>
                                    <w:ind w:right="76"/>
                                    <w:jc w:val="right"/>
                                    <w:rPr>
                                      <w:b/>
                                      <w:sz w:val="16"/>
                                    </w:rPr>
                                  </w:pPr>
                                  <w:r>
                                    <w:rPr>
                                      <w:b/>
                                      <w:sz w:val="16"/>
                                    </w:rPr>
                                    <w:t>1,778</w:t>
                                  </w:r>
                                </w:p>
                              </w:tc>
                              <w:tc>
                                <w:tcPr>
                                  <w:tcW w:w="1166" w:type="dxa"/>
                                  <w:tcBorders>
                                    <w:bottom w:val="single" w:sz="8" w:space="0" w:color="000000"/>
                                  </w:tcBorders>
                                </w:tcPr>
                                <w:p w14:paraId="6ABE3D61" w14:textId="77777777" w:rsidR="001F3ACE" w:rsidRDefault="001F3ACE">
                                  <w:pPr>
                                    <w:pStyle w:val="TableParagraph"/>
                                    <w:spacing w:before="27"/>
                                    <w:ind w:right="75"/>
                                    <w:jc w:val="right"/>
                                    <w:rPr>
                                      <w:b/>
                                      <w:sz w:val="16"/>
                                    </w:rPr>
                                  </w:pPr>
                                  <w:r>
                                    <w:rPr>
                                      <w:b/>
                                      <w:sz w:val="16"/>
                                    </w:rPr>
                                    <w:t>-</w:t>
                                  </w:r>
                                </w:p>
                              </w:tc>
                              <w:tc>
                                <w:tcPr>
                                  <w:tcW w:w="1166" w:type="dxa"/>
                                  <w:tcBorders>
                                    <w:bottom w:val="single" w:sz="8" w:space="0" w:color="000000"/>
                                  </w:tcBorders>
                                </w:tcPr>
                                <w:p w14:paraId="1F45A388" w14:textId="77777777" w:rsidR="001F3ACE" w:rsidRDefault="001F3ACE">
                                  <w:pPr>
                                    <w:pStyle w:val="TableParagraph"/>
                                    <w:spacing w:before="27"/>
                                    <w:ind w:right="75"/>
                                    <w:jc w:val="right"/>
                                    <w:rPr>
                                      <w:b/>
                                      <w:sz w:val="16"/>
                                    </w:rPr>
                                  </w:pPr>
                                  <w:r>
                                    <w:rPr>
                                      <w:b/>
                                      <w:sz w:val="16"/>
                                    </w:rPr>
                                    <w:t>1,778</w:t>
                                  </w:r>
                                </w:p>
                              </w:tc>
                              <w:tc>
                                <w:tcPr>
                                  <w:tcW w:w="1166" w:type="dxa"/>
                                  <w:tcBorders>
                                    <w:bottom w:val="single" w:sz="8" w:space="0" w:color="000000"/>
                                  </w:tcBorders>
                                </w:tcPr>
                                <w:p w14:paraId="4D9F6475" w14:textId="77777777" w:rsidR="001F3ACE" w:rsidRDefault="001F3ACE">
                                  <w:pPr>
                                    <w:pStyle w:val="TableParagraph"/>
                                    <w:spacing w:before="27"/>
                                    <w:ind w:right="74"/>
                                    <w:jc w:val="right"/>
                                    <w:rPr>
                                      <w:b/>
                                      <w:sz w:val="16"/>
                                    </w:rPr>
                                  </w:pPr>
                                  <w:r>
                                    <w:rPr>
                                      <w:b/>
                                      <w:sz w:val="16"/>
                                    </w:rPr>
                                    <w:t>-</w:t>
                                  </w:r>
                                </w:p>
                              </w:tc>
                            </w:tr>
                            <w:tr w:rsidR="001F3ACE" w14:paraId="36228B18" w14:textId="77777777">
                              <w:trPr>
                                <w:trHeight w:val="298"/>
                              </w:trPr>
                              <w:tc>
                                <w:tcPr>
                                  <w:tcW w:w="393" w:type="dxa"/>
                                </w:tcPr>
                                <w:p w14:paraId="34C2A775" w14:textId="77777777" w:rsidR="001F3ACE" w:rsidRDefault="001F3ACE">
                                  <w:pPr>
                                    <w:pStyle w:val="TableParagraph"/>
                                    <w:rPr>
                                      <w:rFonts w:ascii="Times New Roman"/>
                                      <w:sz w:val="16"/>
                                    </w:rPr>
                                  </w:pPr>
                                </w:p>
                              </w:tc>
                              <w:tc>
                                <w:tcPr>
                                  <w:tcW w:w="1166" w:type="dxa"/>
                                  <w:tcBorders>
                                    <w:top w:val="single" w:sz="8" w:space="0" w:color="000000"/>
                                    <w:bottom w:val="double" w:sz="2" w:space="0" w:color="000000"/>
                                  </w:tcBorders>
                                </w:tcPr>
                                <w:p w14:paraId="2A9F0999" w14:textId="77777777" w:rsidR="001F3ACE" w:rsidRDefault="001F3ACE">
                                  <w:pPr>
                                    <w:pStyle w:val="TableParagraph"/>
                                    <w:spacing w:before="114" w:line="164" w:lineRule="exact"/>
                                    <w:ind w:right="76"/>
                                    <w:jc w:val="right"/>
                                    <w:rPr>
                                      <w:b/>
                                      <w:sz w:val="16"/>
                                    </w:rPr>
                                  </w:pPr>
                                  <w:r>
                                    <w:rPr>
                                      <w:b/>
                                      <w:sz w:val="16"/>
                                    </w:rPr>
                                    <w:t>1,844,655</w:t>
                                  </w:r>
                                </w:p>
                              </w:tc>
                              <w:tc>
                                <w:tcPr>
                                  <w:tcW w:w="1166" w:type="dxa"/>
                                  <w:tcBorders>
                                    <w:top w:val="single" w:sz="8" w:space="0" w:color="000000"/>
                                    <w:bottom w:val="double" w:sz="2" w:space="0" w:color="000000"/>
                                  </w:tcBorders>
                                </w:tcPr>
                                <w:p w14:paraId="3240011C" w14:textId="77777777" w:rsidR="001F3ACE" w:rsidRDefault="001F3ACE">
                                  <w:pPr>
                                    <w:pStyle w:val="TableParagraph"/>
                                    <w:spacing w:before="114" w:line="164" w:lineRule="exact"/>
                                    <w:ind w:right="75"/>
                                    <w:jc w:val="right"/>
                                    <w:rPr>
                                      <w:b/>
                                      <w:sz w:val="16"/>
                                    </w:rPr>
                                  </w:pPr>
                                  <w:r>
                                    <w:rPr>
                                      <w:b/>
                                      <w:sz w:val="16"/>
                                    </w:rPr>
                                    <w:t>-</w:t>
                                  </w:r>
                                </w:p>
                              </w:tc>
                              <w:tc>
                                <w:tcPr>
                                  <w:tcW w:w="1166" w:type="dxa"/>
                                  <w:tcBorders>
                                    <w:top w:val="single" w:sz="8" w:space="0" w:color="000000"/>
                                    <w:bottom w:val="double" w:sz="2" w:space="0" w:color="000000"/>
                                  </w:tcBorders>
                                </w:tcPr>
                                <w:p w14:paraId="5C77506F" w14:textId="77777777" w:rsidR="001F3ACE" w:rsidRDefault="001F3ACE">
                                  <w:pPr>
                                    <w:pStyle w:val="TableParagraph"/>
                                    <w:spacing w:before="114" w:line="164" w:lineRule="exact"/>
                                    <w:ind w:right="75"/>
                                    <w:jc w:val="right"/>
                                    <w:rPr>
                                      <w:b/>
                                      <w:sz w:val="16"/>
                                    </w:rPr>
                                  </w:pPr>
                                  <w:r>
                                    <w:rPr>
                                      <w:b/>
                                      <w:sz w:val="16"/>
                                    </w:rPr>
                                    <w:t>7,387</w:t>
                                  </w:r>
                                </w:p>
                              </w:tc>
                              <w:tc>
                                <w:tcPr>
                                  <w:tcW w:w="1166" w:type="dxa"/>
                                  <w:tcBorders>
                                    <w:top w:val="single" w:sz="8" w:space="0" w:color="000000"/>
                                    <w:bottom w:val="double" w:sz="2" w:space="0" w:color="000000"/>
                                  </w:tcBorders>
                                </w:tcPr>
                                <w:p w14:paraId="6855942E" w14:textId="77777777" w:rsidR="001F3ACE" w:rsidRDefault="001F3ACE">
                                  <w:pPr>
                                    <w:pStyle w:val="TableParagraph"/>
                                    <w:spacing w:before="114" w:line="164" w:lineRule="exact"/>
                                    <w:ind w:right="75"/>
                                    <w:jc w:val="right"/>
                                    <w:rPr>
                                      <w:b/>
                                      <w:sz w:val="16"/>
                                    </w:rPr>
                                  </w:pPr>
                                  <w:r>
                                    <w:rPr>
                                      <w:b/>
                                      <w:sz w:val="16"/>
                                    </w:rPr>
                                    <w:t>1,837,268</w:t>
                                  </w:r>
                                </w:p>
                              </w:tc>
                            </w:tr>
                            <w:tr w:rsidR="001F3ACE" w14:paraId="0F4CAF62" w14:textId="77777777">
                              <w:trPr>
                                <w:trHeight w:val="541"/>
                              </w:trPr>
                              <w:tc>
                                <w:tcPr>
                                  <w:tcW w:w="393" w:type="dxa"/>
                                </w:tcPr>
                                <w:p w14:paraId="663EDE26" w14:textId="77777777" w:rsidR="001F3ACE" w:rsidRDefault="001F3ACE">
                                  <w:pPr>
                                    <w:pStyle w:val="TableParagraph"/>
                                    <w:rPr>
                                      <w:b/>
                                      <w:sz w:val="18"/>
                                    </w:rPr>
                                  </w:pPr>
                                </w:p>
                                <w:p w14:paraId="14DD4E1F" w14:textId="77777777" w:rsidR="001F3ACE" w:rsidRDefault="001F3ACE">
                                  <w:pPr>
                                    <w:pStyle w:val="TableParagraph"/>
                                    <w:spacing w:before="121"/>
                                    <w:ind w:left="50"/>
                                    <w:rPr>
                                      <w:sz w:val="16"/>
                                    </w:rPr>
                                  </w:pPr>
                                  <w:r>
                                    <w:rPr>
                                      <w:sz w:val="16"/>
                                    </w:rPr>
                                    <w:t>18</w:t>
                                  </w:r>
                                </w:p>
                              </w:tc>
                              <w:tc>
                                <w:tcPr>
                                  <w:tcW w:w="1166" w:type="dxa"/>
                                  <w:tcBorders>
                                    <w:top w:val="double" w:sz="2" w:space="0" w:color="000000"/>
                                    <w:bottom w:val="single" w:sz="8" w:space="0" w:color="000000"/>
                                  </w:tcBorders>
                                </w:tcPr>
                                <w:p w14:paraId="090AA779" w14:textId="77777777" w:rsidR="001F3ACE" w:rsidRDefault="001F3ACE">
                                  <w:pPr>
                                    <w:pStyle w:val="TableParagraph"/>
                                    <w:rPr>
                                      <w:b/>
                                      <w:sz w:val="18"/>
                                    </w:rPr>
                                  </w:pPr>
                                </w:p>
                                <w:p w14:paraId="78C786E0" w14:textId="77777777" w:rsidR="001F3ACE" w:rsidRDefault="001F3ACE">
                                  <w:pPr>
                                    <w:pStyle w:val="TableParagraph"/>
                                    <w:spacing w:before="123"/>
                                    <w:ind w:right="76"/>
                                    <w:jc w:val="right"/>
                                    <w:rPr>
                                      <w:b/>
                                      <w:sz w:val="16"/>
                                    </w:rPr>
                                  </w:pPr>
                                  <w:r>
                                    <w:rPr>
                                      <w:b/>
                                      <w:sz w:val="16"/>
                                    </w:rPr>
                                    <w:t>5,867</w:t>
                                  </w:r>
                                </w:p>
                              </w:tc>
                              <w:tc>
                                <w:tcPr>
                                  <w:tcW w:w="1166" w:type="dxa"/>
                                  <w:tcBorders>
                                    <w:top w:val="double" w:sz="2" w:space="0" w:color="000000"/>
                                    <w:bottom w:val="single" w:sz="8" w:space="0" w:color="000000"/>
                                  </w:tcBorders>
                                </w:tcPr>
                                <w:p w14:paraId="198E28E0" w14:textId="77777777" w:rsidR="001F3ACE" w:rsidRDefault="001F3ACE">
                                  <w:pPr>
                                    <w:pStyle w:val="TableParagraph"/>
                                    <w:rPr>
                                      <w:b/>
                                      <w:sz w:val="18"/>
                                    </w:rPr>
                                  </w:pPr>
                                </w:p>
                                <w:p w14:paraId="7DC2E99F" w14:textId="77777777" w:rsidR="001F3ACE" w:rsidRDefault="001F3ACE">
                                  <w:pPr>
                                    <w:pStyle w:val="TableParagraph"/>
                                    <w:spacing w:before="123"/>
                                    <w:ind w:right="75"/>
                                    <w:jc w:val="right"/>
                                    <w:rPr>
                                      <w:b/>
                                      <w:sz w:val="16"/>
                                    </w:rPr>
                                  </w:pPr>
                                  <w:r>
                                    <w:rPr>
                                      <w:b/>
                                      <w:sz w:val="16"/>
                                    </w:rPr>
                                    <w:t>-</w:t>
                                  </w:r>
                                </w:p>
                              </w:tc>
                              <w:tc>
                                <w:tcPr>
                                  <w:tcW w:w="1166" w:type="dxa"/>
                                  <w:tcBorders>
                                    <w:top w:val="double" w:sz="2" w:space="0" w:color="000000"/>
                                    <w:bottom w:val="single" w:sz="8" w:space="0" w:color="000000"/>
                                  </w:tcBorders>
                                </w:tcPr>
                                <w:p w14:paraId="39896735" w14:textId="77777777" w:rsidR="001F3ACE" w:rsidRDefault="001F3ACE">
                                  <w:pPr>
                                    <w:pStyle w:val="TableParagraph"/>
                                    <w:rPr>
                                      <w:b/>
                                      <w:sz w:val="18"/>
                                    </w:rPr>
                                  </w:pPr>
                                </w:p>
                                <w:p w14:paraId="67492C33" w14:textId="77777777" w:rsidR="001F3ACE" w:rsidRDefault="001F3ACE">
                                  <w:pPr>
                                    <w:pStyle w:val="TableParagraph"/>
                                    <w:spacing w:before="123"/>
                                    <w:ind w:right="75"/>
                                    <w:jc w:val="right"/>
                                    <w:rPr>
                                      <w:b/>
                                      <w:sz w:val="16"/>
                                    </w:rPr>
                                  </w:pPr>
                                  <w:r>
                                    <w:rPr>
                                      <w:b/>
                                      <w:sz w:val="16"/>
                                    </w:rPr>
                                    <w:t>5,867</w:t>
                                  </w:r>
                                </w:p>
                              </w:tc>
                              <w:tc>
                                <w:tcPr>
                                  <w:tcW w:w="1166" w:type="dxa"/>
                                  <w:tcBorders>
                                    <w:top w:val="double" w:sz="2" w:space="0" w:color="000000"/>
                                    <w:bottom w:val="single" w:sz="8" w:space="0" w:color="000000"/>
                                  </w:tcBorders>
                                </w:tcPr>
                                <w:p w14:paraId="7D319975" w14:textId="77777777" w:rsidR="001F3ACE" w:rsidRDefault="001F3ACE">
                                  <w:pPr>
                                    <w:pStyle w:val="TableParagraph"/>
                                    <w:rPr>
                                      <w:b/>
                                      <w:sz w:val="18"/>
                                    </w:rPr>
                                  </w:pPr>
                                </w:p>
                                <w:p w14:paraId="72D92426" w14:textId="77777777" w:rsidR="001F3ACE" w:rsidRDefault="001F3ACE">
                                  <w:pPr>
                                    <w:pStyle w:val="TableParagraph"/>
                                    <w:spacing w:before="123"/>
                                    <w:ind w:right="74"/>
                                    <w:jc w:val="right"/>
                                    <w:rPr>
                                      <w:b/>
                                      <w:sz w:val="16"/>
                                    </w:rPr>
                                  </w:pPr>
                                  <w:r>
                                    <w:rPr>
                                      <w:b/>
                                      <w:sz w:val="16"/>
                                    </w:rPr>
                                    <w:t>-</w:t>
                                  </w:r>
                                </w:p>
                              </w:tc>
                            </w:tr>
                            <w:tr w:rsidR="001F3ACE" w14:paraId="7859BA2A" w14:textId="77777777">
                              <w:trPr>
                                <w:trHeight w:val="428"/>
                              </w:trPr>
                              <w:tc>
                                <w:tcPr>
                                  <w:tcW w:w="393" w:type="dxa"/>
                                </w:tcPr>
                                <w:p w14:paraId="0BF0F389" w14:textId="77777777" w:rsidR="001F3ACE" w:rsidRDefault="001F3ACE">
                                  <w:pPr>
                                    <w:pStyle w:val="TableParagraph"/>
                                    <w:rPr>
                                      <w:rFonts w:ascii="Times New Roman"/>
                                      <w:sz w:val="16"/>
                                    </w:rPr>
                                  </w:pPr>
                                </w:p>
                              </w:tc>
                              <w:tc>
                                <w:tcPr>
                                  <w:tcW w:w="1166" w:type="dxa"/>
                                  <w:tcBorders>
                                    <w:top w:val="single" w:sz="8" w:space="0" w:color="000000"/>
                                    <w:bottom w:val="double" w:sz="2" w:space="0" w:color="000000"/>
                                  </w:tcBorders>
                                </w:tcPr>
                                <w:p w14:paraId="35BB7356" w14:textId="77777777" w:rsidR="001F3ACE" w:rsidRDefault="001F3ACE">
                                  <w:pPr>
                                    <w:pStyle w:val="TableParagraph"/>
                                    <w:spacing w:before="2"/>
                                    <w:rPr>
                                      <w:b/>
                                      <w:sz w:val="21"/>
                                    </w:rPr>
                                  </w:pPr>
                                </w:p>
                                <w:p w14:paraId="7344764B" w14:textId="77777777" w:rsidR="001F3ACE" w:rsidRDefault="001F3ACE">
                                  <w:pPr>
                                    <w:pStyle w:val="TableParagraph"/>
                                    <w:spacing w:before="1" w:line="164" w:lineRule="exact"/>
                                    <w:ind w:right="76"/>
                                    <w:jc w:val="right"/>
                                    <w:rPr>
                                      <w:b/>
                                      <w:sz w:val="16"/>
                                    </w:rPr>
                                  </w:pPr>
                                  <w:r>
                                    <w:rPr>
                                      <w:b/>
                                      <w:sz w:val="16"/>
                                    </w:rPr>
                                    <w:t>5,867</w:t>
                                  </w:r>
                                </w:p>
                              </w:tc>
                              <w:tc>
                                <w:tcPr>
                                  <w:tcW w:w="1166" w:type="dxa"/>
                                  <w:tcBorders>
                                    <w:top w:val="single" w:sz="8" w:space="0" w:color="000000"/>
                                    <w:bottom w:val="double" w:sz="2" w:space="0" w:color="000000"/>
                                  </w:tcBorders>
                                </w:tcPr>
                                <w:p w14:paraId="247B0319" w14:textId="77777777" w:rsidR="001F3ACE" w:rsidRDefault="001F3ACE">
                                  <w:pPr>
                                    <w:pStyle w:val="TableParagraph"/>
                                    <w:spacing w:before="2"/>
                                    <w:rPr>
                                      <w:b/>
                                      <w:sz w:val="21"/>
                                    </w:rPr>
                                  </w:pPr>
                                </w:p>
                                <w:p w14:paraId="1E32A6A2" w14:textId="77777777" w:rsidR="001F3ACE" w:rsidRDefault="001F3ACE">
                                  <w:pPr>
                                    <w:pStyle w:val="TableParagraph"/>
                                    <w:spacing w:before="1" w:line="164" w:lineRule="exact"/>
                                    <w:ind w:right="75"/>
                                    <w:jc w:val="right"/>
                                    <w:rPr>
                                      <w:b/>
                                      <w:sz w:val="16"/>
                                    </w:rPr>
                                  </w:pPr>
                                  <w:r>
                                    <w:rPr>
                                      <w:b/>
                                      <w:sz w:val="16"/>
                                    </w:rPr>
                                    <w:t>-</w:t>
                                  </w:r>
                                </w:p>
                              </w:tc>
                              <w:tc>
                                <w:tcPr>
                                  <w:tcW w:w="1166" w:type="dxa"/>
                                  <w:tcBorders>
                                    <w:top w:val="single" w:sz="8" w:space="0" w:color="000000"/>
                                    <w:bottom w:val="double" w:sz="2" w:space="0" w:color="000000"/>
                                  </w:tcBorders>
                                </w:tcPr>
                                <w:p w14:paraId="182F5272" w14:textId="77777777" w:rsidR="001F3ACE" w:rsidRDefault="001F3ACE">
                                  <w:pPr>
                                    <w:pStyle w:val="TableParagraph"/>
                                    <w:spacing w:before="2"/>
                                    <w:rPr>
                                      <w:b/>
                                      <w:sz w:val="21"/>
                                    </w:rPr>
                                  </w:pPr>
                                </w:p>
                                <w:p w14:paraId="6A7A9EBA" w14:textId="77777777" w:rsidR="001F3ACE" w:rsidRDefault="001F3ACE">
                                  <w:pPr>
                                    <w:pStyle w:val="TableParagraph"/>
                                    <w:spacing w:before="1" w:line="164" w:lineRule="exact"/>
                                    <w:ind w:right="75"/>
                                    <w:jc w:val="right"/>
                                    <w:rPr>
                                      <w:b/>
                                      <w:sz w:val="16"/>
                                    </w:rPr>
                                  </w:pPr>
                                  <w:r>
                                    <w:rPr>
                                      <w:b/>
                                      <w:sz w:val="16"/>
                                    </w:rPr>
                                    <w:t>5,867</w:t>
                                  </w:r>
                                </w:p>
                              </w:tc>
                              <w:tc>
                                <w:tcPr>
                                  <w:tcW w:w="1166" w:type="dxa"/>
                                  <w:tcBorders>
                                    <w:top w:val="single" w:sz="8" w:space="0" w:color="000000"/>
                                    <w:bottom w:val="double" w:sz="2" w:space="0" w:color="000000"/>
                                  </w:tcBorders>
                                </w:tcPr>
                                <w:p w14:paraId="7D283210" w14:textId="77777777" w:rsidR="001F3ACE" w:rsidRDefault="001F3ACE">
                                  <w:pPr>
                                    <w:pStyle w:val="TableParagraph"/>
                                    <w:spacing w:before="2"/>
                                    <w:rPr>
                                      <w:b/>
                                      <w:sz w:val="21"/>
                                    </w:rPr>
                                  </w:pPr>
                                </w:p>
                                <w:p w14:paraId="0A15909E" w14:textId="77777777" w:rsidR="001F3ACE" w:rsidRDefault="001F3ACE">
                                  <w:pPr>
                                    <w:pStyle w:val="TableParagraph"/>
                                    <w:spacing w:before="1" w:line="164" w:lineRule="exact"/>
                                    <w:ind w:right="74"/>
                                    <w:jc w:val="right"/>
                                    <w:rPr>
                                      <w:b/>
                                      <w:sz w:val="16"/>
                                    </w:rPr>
                                  </w:pPr>
                                  <w:r>
                                    <w:rPr>
                                      <w:b/>
                                      <w:sz w:val="16"/>
                                    </w:rPr>
                                    <w:t>-</w:t>
                                  </w:r>
                                </w:p>
                              </w:tc>
                            </w:tr>
                          </w:tbl>
                          <w:p w14:paraId="2547C303" w14:textId="77777777" w:rsidR="001F3ACE" w:rsidRDefault="001F3AC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03164" id="Text Box 2105" o:spid="_x0000_s1036" type="#_x0000_t202" style="position:absolute;left:0;text-align:left;margin-left:293.05pt;margin-top:42.25pt;width:252.95pt;height:251.7pt;z-index:1575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93"/>
                        <w:gridCol w:w="1166"/>
                        <w:gridCol w:w="1166"/>
                        <w:gridCol w:w="1166"/>
                        <w:gridCol w:w="1166"/>
                      </w:tblGrid>
                      <w:tr w:rsidR="001F3ACE" w14:paraId="306BEFB1" w14:textId="77777777">
                        <w:trPr>
                          <w:trHeight w:val="781"/>
                        </w:trPr>
                        <w:tc>
                          <w:tcPr>
                            <w:tcW w:w="393" w:type="dxa"/>
                          </w:tcPr>
                          <w:p w14:paraId="21EBC134" w14:textId="77777777" w:rsidR="001F3ACE" w:rsidRDefault="001F3ACE">
                            <w:pPr>
                              <w:pStyle w:val="TableParagraph"/>
                              <w:spacing w:line="179" w:lineRule="exact"/>
                              <w:ind w:left="50"/>
                              <w:rPr>
                                <w:sz w:val="16"/>
                              </w:rPr>
                            </w:pPr>
                            <w:r>
                              <w:rPr>
                                <w:sz w:val="16"/>
                              </w:rPr>
                              <w:t>21</w:t>
                            </w:r>
                          </w:p>
                        </w:tc>
                        <w:tc>
                          <w:tcPr>
                            <w:tcW w:w="1166" w:type="dxa"/>
                          </w:tcPr>
                          <w:p w14:paraId="6C5FA58E" w14:textId="77777777" w:rsidR="001F3ACE" w:rsidRDefault="001F3ACE">
                            <w:pPr>
                              <w:pStyle w:val="TableParagraph"/>
                              <w:rPr>
                                <w:b/>
                                <w:sz w:val="18"/>
                              </w:rPr>
                            </w:pPr>
                          </w:p>
                          <w:p w14:paraId="2C5F253C" w14:textId="77777777" w:rsidR="001F3ACE" w:rsidRDefault="001F3ACE">
                            <w:pPr>
                              <w:pStyle w:val="TableParagraph"/>
                              <w:spacing w:before="4"/>
                              <w:rPr>
                                <w:b/>
                                <w:sz w:val="23"/>
                              </w:rPr>
                            </w:pPr>
                          </w:p>
                          <w:p w14:paraId="592430F5" w14:textId="77777777" w:rsidR="001F3ACE" w:rsidRDefault="001F3ACE">
                            <w:pPr>
                              <w:pStyle w:val="TableParagraph"/>
                              <w:ind w:right="76"/>
                              <w:jc w:val="right"/>
                              <w:rPr>
                                <w:b/>
                                <w:sz w:val="16"/>
                              </w:rPr>
                            </w:pPr>
                            <w:r>
                              <w:rPr>
                                <w:b/>
                                <w:sz w:val="16"/>
                              </w:rPr>
                              <w:t>246,893</w:t>
                            </w:r>
                          </w:p>
                        </w:tc>
                        <w:tc>
                          <w:tcPr>
                            <w:tcW w:w="1166" w:type="dxa"/>
                          </w:tcPr>
                          <w:p w14:paraId="5C770FC1" w14:textId="77777777" w:rsidR="001F3ACE" w:rsidRDefault="001F3ACE">
                            <w:pPr>
                              <w:pStyle w:val="TableParagraph"/>
                              <w:rPr>
                                <w:b/>
                                <w:sz w:val="18"/>
                              </w:rPr>
                            </w:pPr>
                          </w:p>
                          <w:p w14:paraId="5EA43667" w14:textId="77777777" w:rsidR="001F3ACE" w:rsidRDefault="001F3ACE">
                            <w:pPr>
                              <w:pStyle w:val="TableParagraph"/>
                              <w:spacing w:before="4"/>
                              <w:rPr>
                                <w:b/>
                                <w:sz w:val="23"/>
                              </w:rPr>
                            </w:pPr>
                          </w:p>
                          <w:p w14:paraId="5CC7FEB5" w14:textId="77777777" w:rsidR="001F3ACE" w:rsidRDefault="001F3ACE">
                            <w:pPr>
                              <w:pStyle w:val="TableParagraph"/>
                              <w:ind w:right="76"/>
                              <w:jc w:val="right"/>
                              <w:rPr>
                                <w:b/>
                                <w:sz w:val="16"/>
                              </w:rPr>
                            </w:pPr>
                            <w:r>
                              <w:rPr>
                                <w:b/>
                                <w:sz w:val="16"/>
                              </w:rPr>
                              <w:t>246,893</w:t>
                            </w:r>
                          </w:p>
                        </w:tc>
                        <w:tc>
                          <w:tcPr>
                            <w:tcW w:w="1166" w:type="dxa"/>
                          </w:tcPr>
                          <w:p w14:paraId="7F83582A" w14:textId="77777777" w:rsidR="001F3ACE" w:rsidRDefault="001F3ACE">
                            <w:pPr>
                              <w:pStyle w:val="TableParagraph"/>
                              <w:rPr>
                                <w:b/>
                                <w:sz w:val="18"/>
                              </w:rPr>
                            </w:pPr>
                          </w:p>
                          <w:p w14:paraId="6CDA5178" w14:textId="77777777" w:rsidR="001F3ACE" w:rsidRDefault="001F3ACE">
                            <w:pPr>
                              <w:pStyle w:val="TableParagraph"/>
                              <w:spacing w:before="4"/>
                              <w:rPr>
                                <w:b/>
                                <w:sz w:val="23"/>
                              </w:rPr>
                            </w:pPr>
                          </w:p>
                          <w:p w14:paraId="0E745F82" w14:textId="77777777" w:rsidR="001F3ACE" w:rsidRDefault="001F3ACE">
                            <w:pPr>
                              <w:pStyle w:val="TableParagraph"/>
                              <w:ind w:right="75"/>
                              <w:jc w:val="right"/>
                              <w:rPr>
                                <w:b/>
                                <w:sz w:val="16"/>
                              </w:rPr>
                            </w:pPr>
                            <w:r>
                              <w:rPr>
                                <w:b/>
                                <w:sz w:val="16"/>
                              </w:rPr>
                              <w:t>-</w:t>
                            </w:r>
                          </w:p>
                        </w:tc>
                        <w:tc>
                          <w:tcPr>
                            <w:tcW w:w="1166" w:type="dxa"/>
                          </w:tcPr>
                          <w:p w14:paraId="2180BBE5" w14:textId="77777777" w:rsidR="001F3ACE" w:rsidRDefault="001F3ACE">
                            <w:pPr>
                              <w:pStyle w:val="TableParagraph"/>
                              <w:rPr>
                                <w:b/>
                                <w:sz w:val="18"/>
                              </w:rPr>
                            </w:pPr>
                          </w:p>
                          <w:p w14:paraId="62B50679" w14:textId="77777777" w:rsidR="001F3ACE" w:rsidRDefault="001F3ACE">
                            <w:pPr>
                              <w:pStyle w:val="TableParagraph"/>
                              <w:spacing w:before="4"/>
                              <w:rPr>
                                <w:b/>
                                <w:sz w:val="23"/>
                              </w:rPr>
                            </w:pPr>
                          </w:p>
                          <w:p w14:paraId="55C63855" w14:textId="77777777" w:rsidR="001F3ACE" w:rsidRDefault="001F3ACE">
                            <w:pPr>
                              <w:pStyle w:val="TableParagraph"/>
                              <w:ind w:right="74"/>
                              <w:jc w:val="right"/>
                              <w:rPr>
                                <w:b/>
                                <w:sz w:val="16"/>
                              </w:rPr>
                            </w:pPr>
                            <w:r>
                              <w:rPr>
                                <w:b/>
                                <w:sz w:val="16"/>
                              </w:rPr>
                              <w:t>-</w:t>
                            </w:r>
                          </w:p>
                        </w:tc>
                      </w:tr>
                      <w:tr w:rsidR="001F3ACE" w14:paraId="7DF89A38" w14:textId="77777777">
                        <w:trPr>
                          <w:trHeight w:val="422"/>
                        </w:trPr>
                        <w:tc>
                          <w:tcPr>
                            <w:tcW w:w="393" w:type="dxa"/>
                          </w:tcPr>
                          <w:p w14:paraId="37D738D6" w14:textId="77777777" w:rsidR="001F3ACE" w:rsidRDefault="001F3ACE">
                            <w:pPr>
                              <w:pStyle w:val="TableParagraph"/>
                              <w:rPr>
                                <w:rFonts w:ascii="Times New Roman"/>
                                <w:sz w:val="16"/>
                              </w:rPr>
                            </w:pPr>
                          </w:p>
                        </w:tc>
                        <w:tc>
                          <w:tcPr>
                            <w:tcW w:w="1166" w:type="dxa"/>
                          </w:tcPr>
                          <w:p w14:paraId="56AC33EC" w14:textId="77777777" w:rsidR="001F3ACE" w:rsidRDefault="001F3ACE">
                            <w:pPr>
                              <w:pStyle w:val="TableParagraph"/>
                              <w:spacing w:before="117"/>
                              <w:ind w:right="76"/>
                              <w:jc w:val="right"/>
                              <w:rPr>
                                <w:b/>
                                <w:sz w:val="16"/>
                              </w:rPr>
                            </w:pPr>
                            <w:r>
                              <w:rPr>
                                <w:b/>
                                <w:sz w:val="16"/>
                              </w:rPr>
                              <w:t>16</w:t>
                            </w:r>
                          </w:p>
                        </w:tc>
                        <w:tc>
                          <w:tcPr>
                            <w:tcW w:w="1166" w:type="dxa"/>
                          </w:tcPr>
                          <w:p w14:paraId="2750B7D5" w14:textId="77777777" w:rsidR="001F3ACE" w:rsidRDefault="001F3ACE">
                            <w:pPr>
                              <w:pStyle w:val="TableParagraph"/>
                              <w:spacing w:before="117"/>
                              <w:ind w:right="76"/>
                              <w:jc w:val="right"/>
                              <w:rPr>
                                <w:b/>
                                <w:sz w:val="16"/>
                              </w:rPr>
                            </w:pPr>
                            <w:r>
                              <w:rPr>
                                <w:b/>
                                <w:sz w:val="16"/>
                              </w:rPr>
                              <w:t>16</w:t>
                            </w:r>
                          </w:p>
                        </w:tc>
                        <w:tc>
                          <w:tcPr>
                            <w:tcW w:w="1166" w:type="dxa"/>
                          </w:tcPr>
                          <w:p w14:paraId="5EA92AB6" w14:textId="77777777" w:rsidR="001F3ACE" w:rsidRDefault="001F3ACE">
                            <w:pPr>
                              <w:pStyle w:val="TableParagraph"/>
                              <w:spacing w:before="117"/>
                              <w:ind w:right="75"/>
                              <w:jc w:val="right"/>
                              <w:rPr>
                                <w:b/>
                                <w:sz w:val="16"/>
                              </w:rPr>
                            </w:pPr>
                            <w:r>
                              <w:rPr>
                                <w:b/>
                                <w:sz w:val="16"/>
                              </w:rPr>
                              <w:t>-</w:t>
                            </w:r>
                          </w:p>
                        </w:tc>
                        <w:tc>
                          <w:tcPr>
                            <w:tcW w:w="1166" w:type="dxa"/>
                          </w:tcPr>
                          <w:p w14:paraId="1AD87B22" w14:textId="77777777" w:rsidR="001F3ACE" w:rsidRDefault="001F3ACE">
                            <w:pPr>
                              <w:pStyle w:val="TableParagraph"/>
                              <w:spacing w:before="117"/>
                              <w:ind w:right="74"/>
                              <w:jc w:val="right"/>
                              <w:rPr>
                                <w:b/>
                                <w:sz w:val="16"/>
                              </w:rPr>
                            </w:pPr>
                            <w:r>
                              <w:rPr>
                                <w:b/>
                                <w:sz w:val="16"/>
                              </w:rPr>
                              <w:t>-</w:t>
                            </w:r>
                          </w:p>
                        </w:tc>
                      </w:tr>
                      <w:tr w:rsidR="001F3ACE" w14:paraId="16A17EE9" w14:textId="77777777">
                        <w:trPr>
                          <w:trHeight w:val="327"/>
                        </w:trPr>
                        <w:tc>
                          <w:tcPr>
                            <w:tcW w:w="393" w:type="dxa"/>
                          </w:tcPr>
                          <w:p w14:paraId="45415280" w14:textId="77777777" w:rsidR="001F3ACE" w:rsidRDefault="001F3ACE">
                            <w:pPr>
                              <w:pStyle w:val="TableParagraph"/>
                              <w:rPr>
                                <w:rFonts w:ascii="Times New Roman"/>
                                <w:sz w:val="16"/>
                              </w:rPr>
                            </w:pPr>
                          </w:p>
                        </w:tc>
                        <w:tc>
                          <w:tcPr>
                            <w:tcW w:w="1166" w:type="dxa"/>
                            <w:tcBorders>
                              <w:bottom w:val="single" w:sz="8" w:space="0" w:color="000000"/>
                            </w:tcBorders>
                          </w:tcPr>
                          <w:p w14:paraId="7606D196" w14:textId="77777777" w:rsidR="001F3ACE" w:rsidRDefault="001F3ACE">
                            <w:pPr>
                              <w:pStyle w:val="TableParagraph"/>
                              <w:spacing w:before="117"/>
                              <w:ind w:right="76"/>
                              <w:jc w:val="right"/>
                              <w:rPr>
                                <w:b/>
                                <w:sz w:val="16"/>
                              </w:rPr>
                            </w:pPr>
                            <w:r>
                              <w:rPr>
                                <w:b/>
                                <w:sz w:val="16"/>
                              </w:rPr>
                              <w:t>29,201</w:t>
                            </w:r>
                          </w:p>
                        </w:tc>
                        <w:tc>
                          <w:tcPr>
                            <w:tcW w:w="1166" w:type="dxa"/>
                            <w:tcBorders>
                              <w:bottom w:val="single" w:sz="8" w:space="0" w:color="000000"/>
                            </w:tcBorders>
                          </w:tcPr>
                          <w:p w14:paraId="7EA36691" w14:textId="77777777" w:rsidR="001F3ACE" w:rsidRDefault="001F3ACE">
                            <w:pPr>
                              <w:pStyle w:val="TableParagraph"/>
                              <w:spacing w:before="117"/>
                              <w:ind w:right="75"/>
                              <w:jc w:val="right"/>
                              <w:rPr>
                                <w:b/>
                                <w:sz w:val="16"/>
                              </w:rPr>
                            </w:pPr>
                            <w:r>
                              <w:rPr>
                                <w:b/>
                                <w:sz w:val="16"/>
                              </w:rPr>
                              <w:t>-</w:t>
                            </w:r>
                          </w:p>
                        </w:tc>
                        <w:tc>
                          <w:tcPr>
                            <w:tcW w:w="1166" w:type="dxa"/>
                            <w:tcBorders>
                              <w:bottom w:val="single" w:sz="8" w:space="0" w:color="000000"/>
                            </w:tcBorders>
                          </w:tcPr>
                          <w:p w14:paraId="5DA2CB46" w14:textId="77777777" w:rsidR="001F3ACE" w:rsidRDefault="001F3ACE">
                            <w:pPr>
                              <w:pStyle w:val="TableParagraph"/>
                              <w:spacing w:before="117"/>
                              <w:ind w:right="75"/>
                              <w:jc w:val="right"/>
                              <w:rPr>
                                <w:b/>
                                <w:sz w:val="16"/>
                              </w:rPr>
                            </w:pPr>
                            <w:r>
                              <w:rPr>
                                <w:b/>
                                <w:sz w:val="16"/>
                              </w:rPr>
                              <w:t>28,880</w:t>
                            </w:r>
                          </w:p>
                        </w:tc>
                        <w:tc>
                          <w:tcPr>
                            <w:tcW w:w="1166" w:type="dxa"/>
                            <w:tcBorders>
                              <w:bottom w:val="single" w:sz="8" w:space="0" w:color="000000"/>
                            </w:tcBorders>
                          </w:tcPr>
                          <w:p w14:paraId="495D2D59" w14:textId="77777777" w:rsidR="001F3ACE" w:rsidRDefault="001F3ACE">
                            <w:pPr>
                              <w:pStyle w:val="TableParagraph"/>
                              <w:spacing w:before="117"/>
                              <w:ind w:right="75"/>
                              <w:jc w:val="right"/>
                              <w:rPr>
                                <w:b/>
                                <w:sz w:val="16"/>
                              </w:rPr>
                            </w:pPr>
                            <w:r>
                              <w:rPr>
                                <w:b/>
                                <w:sz w:val="16"/>
                              </w:rPr>
                              <w:t>321</w:t>
                            </w:r>
                          </w:p>
                        </w:tc>
                      </w:tr>
                      <w:tr w:rsidR="001F3ACE" w14:paraId="16CE5862" w14:textId="77777777">
                        <w:trPr>
                          <w:trHeight w:val="330"/>
                        </w:trPr>
                        <w:tc>
                          <w:tcPr>
                            <w:tcW w:w="393" w:type="dxa"/>
                          </w:tcPr>
                          <w:p w14:paraId="4C8E6060" w14:textId="77777777" w:rsidR="001F3ACE" w:rsidRDefault="001F3ACE">
                            <w:pPr>
                              <w:pStyle w:val="TableParagraph"/>
                              <w:rPr>
                                <w:rFonts w:ascii="Times New Roman"/>
                                <w:sz w:val="16"/>
                              </w:rPr>
                            </w:pPr>
                          </w:p>
                        </w:tc>
                        <w:tc>
                          <w:tcPr>
                            <w:tcW w:w="1166" w:type="dxa"/>
                            <w:tcBorders>
                              <w:top w:val="single" w:sz="8" w:space="0" w:color="000000"/>
                              <w:bottom w:val="single" w:sz="4" w:space="0" w:color="000000"/>
                            </w:tcBorders>
                          </w:tcPr>
                          <w:p w14:paraId="0D141167" w14:textId="77777777" w:rsidR="001F3ACE" w:rsidRDefault="001F3ACE">
                            <w:pPr>
                              <w:pStyle w:val="TableParagraph"/>
                              <w:spacing w:before="114"/>
                              <w:ind w:right="76"/>
                              <w:jc w:val="right"/>
                              <w:rPr>
                                <w:b/>
                                <w:sz w:val="16"/>
                              </w:rPr>
                            </w:pPr>
                            <w:r>
                              <w:rPr>
                                <w:b/>
                                <w:sz w:val="16"/>
                              </w:rPr>
                              <w:t>276,110</w:t>
                            </w:r>
                          </w:p>
                        </w:tc>
                        <w:tc>
                          <w:tcPr>
                            <w:tcW w:w="1166" w:type="dxa"/>
                            <w:tcBorders>
                              <w:top w:val="single" w:sz="8" w:space="0" w:color="000000"/>
                              <w:bottom w:val="single" w:sz="4" w:space="0" w:color="000000"/>
                            </w:tcBorders>
                          </w:tcPr>
                          <w:p w14:paraId="55EC5DAE" w14:textId="77777777" w:rsidR="001F3ACE" w:rsidRDefault="001F3ACE">
                            <w:pPr>
                              <w:pStyle w:val="TableParagraph"/>
                              <w:spacing w:before="114"/>
                              <w:ind w:right="76"/>
                              <w:jc w:val="right"/>
                              <w:rPr>
                                <w:b/>
                                <w:sz w:val="16"/>
                              </w:rPr>
                            </w:pPr>
                            <w:r>
                              <w:rPr>
                                <w:b/>
                                <w:sz w:val="16"/>
                              </w:rPr>
                              <w:t>246,909</w:t>
                            </w:r>
                          </w:p>
                        </w:tc>
                        <w:tc>
                          <w:tcPr>
                            <w:tcW w:w="1166" w:type="dxa"/>
                            <w:tcBorders>
                              <w:top w:val="single" w:sz="8" w:space="0" w:color="000000"/>
                              <w:bottom w:val="single" w:sz="4" w:space="0" w:color="000000"/>
                            </w:tcBorders>
                          </w:tcPr>
                          <w:p w14:paraId="67D2BE11" w14:textId="77777777" w:rsidR="001F3ACE" w:rsidRDefault="001F3ACE">
                            <w:pPr>
                              <w:pStyle w:val="TableParagraph"/>
                              <w:spacing w:before="114"/>
                              <w:ind w:right="75"/>
                              <w:jc w:val="right"/>
                              <w:rPr>
                                <w:b/>
                                <w:sz w:val="16"/>
                              </w:rPr>
                            </w:pPr>
                            <w:r>
                              <w:rPr>
                                <w:b/>
                                <w:sz w:val="16"/>
                              </w:rPr>
                              <w:t>28,880</w:t>
                            </w:r>
                          </w:p>
                        </w:tc>
                        <w:tc>
                          <w:tcPr>
                            <w:tcW w:w="1166" w:type="dxa"/>
                            <w:tcBorders>
                              <w:top w:val="single" w:sz="8" w:space="0" w:color="000000"/>
                              <w:bottom w:val="single" w:sz="6" w:space="0" w:color="000000"/>
                            </w:tcBorders>
                          </w:tcPr>
                          <w:p w14:paraId="1AD2748F" w14:textId="77777777" w:rsidR="001F3ACE" w:rsidRDefault="001F3ACE">
                            <w:pPr>
                              <w:pStyle w:val="TableParagraph"/>
                              <w:spacing w:before="114"/>
                              <w:ind w:right="75"/>
                              <w:jc w:val="right"/>
                              <w:rPr>
                                <w:b/>
                                <w:sz w:val="16"/>
                              </w:rPr>
                            </w:pPr>
                            <w:r>
                              <w:rPr>
                                <w:b/>
                                <w:sz w:val="16"/>
                              </w:rPr>
                              <w:t>321</w:t>
                            </w:r>
                          </w:p>
                        </w:tc>
                      </w:tr>
                      <w:tr w:rsidR="001F3ACE" w14:paraId="47630E28" w14:textId="77777777">
                        <w:trPr>
                          <w:trHeight w:val="781"/>
                        </w:trPr>
                        <w:tc>
                          <w:tcPr>
                            <w:tcW w:w="393" w:type="dxa"/>
                          </w:tcPr>
                          <w:p w14:paraId="0521778E" w14:textId="77777777" w:rsidR="001F3ACE" w:rsidRDefault="001F3ACE">
                            <w:pPr>
                              <w:pStyle w:val="TableParagraph"/>
                              <w:rPr>
                                <w:b/>
                                <w:sz w:val="18"/>
                              </w:rPr>
                            </w:pPr>
                          </w:p>
                          <w:p w14:paraId="6FF42ECB" w14:textId="77777777" w:rsidR="001F3ACE" w:rsidRDefault="001F3ACE">
                            <w:pPr>
                              <w:pStyle w:val="TableParagraph"/>
                              <w:spacing w:before="119"/>
                              <w:ind w:left="50"/>
                              <w:rPr>
                                <w:sz w:val="16"/>
                              </w:rPr>
                            </w:pPr>
                            <w:r>
                              <w:rPr>
                                <w:sz w:val="16"/>
                              </w:rPr>
                              <w:t>19</w:t>
                            </w:r>
                          </w:p>
                        </w:tc>
                        <w:tc>
                          <w:tcPr>
                            <w:tcW w:w="1166" w:type="dxa"/>
                            <w:tcBorders>
                              <w:top w:val="single" w:sz="4" w:space="0" w:color="000000"/>
                            </w:tcBorders>
                          </w:tcPr>
                          <w:p w14:paraId="05B40208" w14:textId="77777777" w:rsidR="001F3ACE" w:rsidRDefault="001F3ACE">
                            <w:pPr>
                              <w:pStyle w:val="TableParagraph"/>
                              <w:rPr>
                                <w:b/>
                                <w:sz w:val="18"/>
                              </w:rPr>
                            </w:pPr>
                          </w:p>
                          <w:p w14:paraId="65BEB01D" w14:textId="77777777" w:rsidR="001F3ACE" w:rsidRDefault="001F3ACE">
                            <w:pPr>
                              <w:pStyle w:val="TableParagraph"/>
                              <w:rPr>
                                <w:b/>
                                <w:sz w:val="18"/>
                              </w:rPr>
                            </w:pPr>
                          </w:p>
                          <w:p w14:paraId="5F77461D" w14:textId="77777777" w:rsidR="001F3ACE" w:rsidRDefault="001F3ACE">
                            <w:pPr>
                              <w:pStyle w:val="TableParagraph"/>
                              <w:spacing w:before="152"/>
                              <w:ind w:right="76"/>
                              <w:jc w:val="right"/>
                              <w:rPr>
                                <w:b/>
                                <w:sz w:val="16"/>
                              </w:rPr>
                            </w:pPr>
                            <w:r>
                              <w:rPr>
                                <w:b/>
                                <w:sz w:val="16"/>
                              </w:rPr>
                              <w:t>594,000</w:t>
                            </w:r>
                          </w:p>
                        </w:tc>
                        <w:tc>
                          <w:tcPr>
                            <w:tcW w:w="1166" w:type="dxa"/>
                            <w:tcBorders>
                              <w:top w:val="single" w:sz="4" w:space="0" w:color="000000"/>
                            </w:tcBorders>
                          </w:tcPr>
                          <w:p w14:paraId="7DC9B0DB" w14:textId="77777777" w:rsidR="001F3ACE" w:rsidRDefault="001F3ACE">
                            <w:pPr>
                              <w:pStyle w:val="TableParagraph"/>
                              <w:rPr>
                                <w:b/>
                                <w:sz w:val="18"/>
                              </w:rPr>
                            </w:pPr>
                          </w:p>
                          <w:p w14:paraId="3D92B818" w14:textId="77777777" w:rsidR="001F3ACE" w:rsidRDefault="001F3ACE">
                            <w:pPr>
                              <w:pStyle w:val="TableParagraph"/>
                              <w:rPr>
                                <w:b/>
                                <w:sz w:val="18"/>
                              </w:rPr>
                            </w:pPr>
                          </w:p>
                          <w:p w14:paraId="40AD5858" w14:textId="77777777" w:rsidR="001F3ACE" w:rsidRDefault="001F3ACE">
                            <w:pPr>
                              <w:pStyle w:val="TableParagraph"/>
                              <w:spacing w:before="152"/>
                              <w:ind w:right="75"/>
                              <w:jc w:val="right"/>
                              <w:rPr>
                                <w:b/>
                                <w:sz w:val="16"/>
                              </w:rPr>
                            </w:pPr>
                            <w:r>
                              <w:rPr>
                                <w:b/>
                                <w:sz w:val="16"/>
                              </w:rPr>
                              <w:t>-</w:t>
                            </w:r>
                          </w:p>
                        </w:tc>
                        <w:tc>
                          <w:tcPr>
                            <w:tcW w:w="1166" w:type="dxa"/>
                            <w:tcBorders>
                              <w:top w:val="single" w:sz="4" w:space="0" w:color="000000"/>
                            </w:tcBorders>
                          </w:tcPr>
                          <w:p w14:paraId="552309D3" w14:textId="77777777" w:rsidR="001F3ACE" w:rsidRDefault="001F3ACE">
                            <w:pPr>
                              <w:pStyle w:val="TableParagraph"/>
                              <w:rPr>
                                <w:b/>
                                <w:sz w:val="18"/>
                              </w:rPr>
                            </w:pPr>
                          </w:p>
                          <w:p w14:paraId="3C3CC609" w14:textId="77777777" w:rsidR="001F3ACE" w:rsidRDefault="001F3ACE">
                            <w:pPr>
                              <w:pStyle w:val="TableParagraph"/>
                              <w:rPr>
                                <w:b/>
                                <w:sz w:val="18"/>
                              </w:rPr>
                            </w:pPr>
                          </w:p>
                          <w:p w14:paraId="02860DB5" w14:textId="77777777" w:rsidR="001F3ACE" w:rsidRDefault="001F3ACE">
                            <w:pPr>
                              <w:pStyle w:val="TableParagraph"/>
                              <w:spacing w:before="152"/>
                              <w:ind w:right="75"/>
                              <w:jc w:val="right"/>
                              <w:rPr>
                                <w:b/>
                                <w:sz w:val="16"/>
                              </w:rPr>
                            </w:pPr>
                            <w:r>
                              <w:rPr>
                                <w:b/>
                                <w:sz w:val="16"/>
                              </w:rPr>
                              <w:t>980</w:t>
                            </w:r>
                          </w:p>
                        </w:tc>
                        <w:tc>
                          <w:tcPr>
                            <w:tcW w:w="1166" w:type="dxa"/>
                            <w:tcBorders>
                              <w:top w:val="single" w:sz="6" w:space="0" w:color="000000"/>
                            </w:tcBorders>
                          </w:tcPr>
                          <w:p w14:paraId="6BC88256" w14:textId="77777777" w:rsidR="001F3ACE" w:rsidRDefault="001F3ACE">
                            <w:pPr>
                              <w:pStyle w:val="TableParagraph"/>
                              <w:rPr>
                                <w:b/>
                                <w:sz w:val="18"/>
                              </w:rPr>
                            </w:pPr>
                          </w:p>
                          <w:p w14:paraId="063D162F" w14:textId="77777777" w:rsidR="001F3ACE" w:rsidRDefault="001F3ACE">
                            <w:pPr>
                              <w:pStyle w:val="TableParagraph"/>
                              <w:rPr>
                                <w:b/>
                                <w:sz w:val="18"/>
                              </w:rPr>
                            </w:pPr>
                          </w:p>
                          <w:p w14:paraId="7088B3B5" w14:textId="77777777" w:rsidR="001F3ACE" w:rsidRDefault="001F3ACE">
                            <w:pPr>
                              <w:pStyle w:val="TableParagraph"/>
                              <w:spacing w:before="152"/>
                              <w:ind w:right="75"/>
                              <w:jc w:val="right"/>
                              <w:rPr>
                                <w:b/>
                                <w:sz w:val="16"/>
                              </w:rPr>
                            </w:pPr>
                            <w:r>
                              <w:rPr>
                                <w:b/>
                                <w:sz w:val="16"/>
                              </w:rPr>
                              <w:t>593,020</w:t>
                            </w:r>
                          </w:p>
                        </w:tc>
                      </w:tr>
                      <w:tr w:rsidR="001F3ACE" w14:paraId="099D730D" w14:textId="77777777">
                        <w:trPr>
                          <w:trHeight w:val="242"/>
                        </w:trPr>
                        <w:tc>
                          <w:tcPr>
                            <w:tcW w:w="393" w:type="dxa"/>
                          </w:tcPr>
                          <w:p w14:paraId="3E22E17C" w14:textId="77777777" w:rsidR="001F3ACE" w:rsidRDefault="001F3ACE">
                            <w:pPr>
                              <w:pStyle w:val="TableParagraph"/>
                              <w:rPr>
                                <w:rFonts w:ascii="Times New Roman"/>
                                <w:sz w:val="16"/>
                              </w:rPr>
                            </w:pPr>
                          </w:p>
                        </w:tc>
                        <w:tc>
                          <w:tcPr>
                            <w:tcW w:w="1166" w:type="dxa"/>
                          </w:tcPr>
                          <w:p w14:paraId="5B311A6D" w14:textId="77777777" w:rsidR="001F3ACE" w:rsidRDefault="001F3ACE">
                            <w:pPr>
                              <w:pStyle w:val="TableParagraph"/>
                              <w:spacing w:before="27"/>
                              <w:ind w:right="76"/>
                              <w:jc w:val="right"/>
                              <w:rPr>
                                <w:b/>
                                <w:sz w:val="16"/>
                              </w:rPr>
                            </w:pPr>
                            <w:r>
                              <w:rPr>
                                <w:b/>
                                <w:sz w:val="16"/>
                              </w:rPr>
                              <w:t>1,127,751</w:t>
                            </w:r>
                          </w:p>
                        </w:tc>
                        <w:tc>
                          <w:tcPr>
                            <w:tcW w:w="1166" w:type="dxa"/>
                          </w:tcPr>
                          <w:p w14:paraId="05CFB346" w14:textId="77777777" w:rsidR="001F3ACE" w:rsidRDefault="001F3ACE">
                            <w:pPr>
                              <w:pStyle w:val="TableParagraph"/>
                              <w:spacing w:before="27"/>
                              <w:ind w:right="75"/>
                              <w:jc w:val="right"/>
                              <w:rPr>
                                <w:b/>
                                <w:sz w:val="16"/>
                              </w:rPr>
                            </w:pPr>
                            <w:r>
                              <w:rPr>
                                <w:b/>
                                <w:sz w:val="16"/>
                              </w:rPr>
                              <w:t>-</w:t>
                            </w:r>
                          </w:p>
                        </w:tc>
                        <w:tc>
                          <w:tcPr>
                            <w:tcW w:w="1166" w:type="dxa"/>
                          </w:tcPr>
                          <w:p w14:paraId="0C1D3895" w14:textId="77777777" w:rsidR="001F3ACE" w:rsidRDefault="001F3ACE">
                            <w:pPr>
                              <w:pStyle w:val="TableParagraph"/>
                              <w:spacing w:before="27"/>
                              <w:ind w:right="75"/>
                              <w:jc w:val="right"/>
                              <w:rPr>
                                <w:b/>
                                <w:sz w:val="16"/>
                              </w:rPr>
                            </w:pPr>
                            <w:r>
                              <w:rPr>
                                <w:b/>
                                <w:sz w:val="16"/>
                              </w:rPr>
                              <w:t>-</w:t>
                            </w:r>
                          </w:p>
                        </w:tc>
                        <w:tc>
                          <w:tcPr>
                            <w:tcW w:w="1166" w:type="dxa"/>
                          </w:tcPr>
                          <w:p w14:paraId="58106FCA" w14:textId="77777777" w:rsidR="001F3ACE" w:rsidRDefault="001F3ACE">
                            <w:pPr>
                              <w:pStyle w:val="TableParagraph"/>
                              <w:spacing w:before="27"/>
                              <w:ind w:right="75"/>
                              <w:jc w:val="right"/>
                              <w:rPr>
                                <w:b/>
                                <w:sz w:val="16"/>
                              </w:rPr>
                            </w:pPr>
                            <w:r>
                              <w:rPr>
                                <w:b/>
                                <w:sz w:val="16"/>
                              </w:rPr>
                              <w:t>1,127,751</w:t>
                            </w:r>
                          </w:p>
                        </w:tc>
                      </w:tr>
                      <w:tr w:rsidR="001F3ACE" w14:paraId="16888141" w14:textId="77777777">
                        <w:trPr>
                          <w:trHeight w:val="242"/>
                        </w:trPr>
                        <w:tc>
                          <w:tcPr>
                            <w:tcW w:w="393" w:type="dxa"/>
                          </w:tcPr>
                          <w:p w14:paraId="785364F4" w14:textId="77777777" w:rsidR="001F3ACE" w:rsidRDefault="001F3ACE">
                            <w:pPr>
                              <w:pStyle w:val="TableParagraph"/>
                              <w:rPr>
                                <w:rFonts w:ascii="Times New Roman"/>
                                <w:sz w:val="16"/>
                              </w:rPr>
                            </w:pPr>
                          </w:p>
                        </w:tc>
                        <w:tc>
                          <w:tcPr>
                            <w:tcW w:w="1166" w:type="dxa"/>
                          </w:tcPr>
                          <w:p w14:paraId="3254DD6D" w14:textId="77777777" w:rsidR="001F3ACE" w:rsidRDefault="001F3ACE">
                            <w:pPr>
                              <w:pStyle w:val="TableParagraph"/>
                              <w:spacing w:before="27"/>
                              <w:ind w:right="76"/>
                              <w:jc w:val="right"/>
                              <w:rPr>
                                <w:b/>
                                <w:sz w:val="16"/>
                              </w:rPr>
                            </w:pPr>
                            <w:r>
                              <w:rPr>
                                <w:b/>
                                <w:sz w:val="16"/>
                              </w:rPr>
                              <w:t>116,497</w:t>
                            </w:r>
                          </w:p>
                        </w:tc>
                        <w:tc>
                          <w:tcPr>
                            <w:tcW w:w="1166" w:type="dxa"/>
                          </w:tcPr>
                          <w:p w14:paraId="7CBF70F1" w14:textId="77777777" w:rsidR="001F3ACE" w:rsidRDefault="001F3ACE">
                            <w:pPr>
                              <w:pStyle w:val="TableParagraph"/>
                              <w:spacing w:before="27"/>
                              <w:ind w:right="75"/>
                              <w:jc w:val="right"/>
                              <w:rPr>
                                <w:b/>
                                <w:sz w:val="16"/>
                              </w:rPr>
                            </w:pPr>
                            <w:r>
                              <w:rPr>
                                <w:b/>
                                <w:sz w:val="16"/>
                              </w:rPr>
                              <w:t>-</w:t>
                            </w:r>
                          </w:p>
                        </w:tc>
                        <w:tc>
                          <w:tcPr>
                            <w:tcW w:w="1166" w:type="dxa"/>
                          </w:tcPr>
                          <w:p w14:paraId="575CBF4A" w14:textId="77777777" w:rsidR="001F3ACE" w:rsidRDefault="001F3ACE">
                            <w:pPr>
                              <w:pStyle w:val="TableParagraph"/>
                              <w:spacing w:before="27"/>
                              <w:ind w:right="75"/>
                              <w:jc w:val="right"/>
                              <w:rPr>
                                <w:b/>
                                <w:sz w:val="16"/>
                              </w:rPr>
                            </w:pPr>
                            <w:r>
                              <w:rPr>
                                <w:b/>
                                <w:sz w:val="16"/>
                              </w:rPr>
                              <w:t>-</w:t>
                            </w:r>
                          </w:p>
                        </w:tc>
                        <w:tc>
                          <w:tcPr>
                            <w:tcW w:w="1166" w:type="dxa"/>
                          </w:tcPr>
                          <w:p w14:paraId="1C236FE6" w14:textId="77777777" w:rsidR="001F3ACE" w:rsidRDefault="001F3ACE">
                            <w:pPr>
                              <w:pStyle w:val="TableParagraph"/>
                              <w:spacing w:before="27"/>
                              <w:ind w:right="75"/>
                              <w:jc w:val="right"/>
                              <w:rPr>
                                <w:b/>
                                <w:sz w:val="16"/>
                              </w:rPr>
                            </w:pPr>
                            <w:r>
                              <w:rPr>
                                <w:b/>
                                <w:sz w:val="16"/>
                              </w:rPr>
                              <w:t>116,497</w:t>
                            </w:r>
                          </w:p>
                        </w:tc>
                      </w:tr>
                      <w:tr w:rsidR="001F3ACE" w14:paraId="4FA495F7" w14:textId="77777777">
                        <w:trPr>
                          <w:trHeight w:val="242"/>
                        </w:trPr>
                        <w:tc>
                          <w:tcPr>
                            <w:tcW w:w="393" w:type="dxa"/>
                          </w:tcPr>
                          <w:p w14:paraId="0DD36505" w14:textId="77777777" w:rsidR="001F3ACE" w:rsidRDefault="001F3ACE">
                            <w:pPr>
                              <w:pStyle w:val="TableParagraph"/>
                              <w:rPr>
                                <w:rFonts w:ascii="Times New Roman"/>
                                <w:sz w:val="16"/>
                              </w:rPr>
                            </w:pPr>
                          </w:p>
                        </w:tc>
                        <w:tc>
                          <w:tcPr>
                            <w:tcW w:w="1166" w:type="dxa"/>
                          </w:tcPr>
                          <w:p w14:paraId="01D73275" w14:textId="77777777" w:rsidR="001F3ACE" w:rsidRDefault="001F3ACE">
                            <w:pPr>
                              <w:pStyle w:val="TableParagraph"/>
                              <w:spacing w:before="27"/>
                              <w:ind w:right="76"/>
                              <w:jc w:val="right"/>
                              <w:rPr>
                                <w:b/>
                                <w:sz w:val="16"/>
                              </w:rPr>
                            </w:pPr>
                            <w:r>
                              <w:rPr>
                                <w:b/>
                                <w:sz w:val="16"/>
                              </w:rPr>
                              <w:t>4,629</w:t>
                            </w:r>
                          </w:p>
                        </w:tc>
                        <w:tc>
                          <w:tcPr>
                            <w:tcW w:w="1166" w:type="dxa"/>
                          </w:tcPr>
                          <w:p w14:paraId="37B76A7A" w14:textId="77777777" w:rsidR="001F3ACE" w:rsidRDefault="001F3ACE">
                            <w:pPr>
                              <w:pStyle w:val="TableParagraph"/>
                              <w:spacing w:before="27"/>
                              <w:ind w:right="75"/>
                              <w:jc w:val="right"/>
                              <w:rPr>
                                <w:b/>
                                <w:sz w:val="16"/>
                              </w:rPr>
                            </w:pPr>
                            <w:r>
                              <w:rPr>
                                <w:b/>
                                <w:sz w:val="16"/>
                              </w:rPr>
                              <w:t>-</w:t>
                            </w:r>
                          </w:p>
                        </w:tc>
                        <w:tc>
                          <w:tcPr>
                            <w:tcW w:w="1166" w:type="dxa"/>
                          </w:tcPr>
                          <w:p w14:paraId="127C981A" w14:textId="77777777" w:rsidR="001F3ACE" w:rsidRDefault="001F3ACE">
                            <w:pPr>
                              <w:pStyle w:val="TableParagraph"/>
                              <w:spacing w:before="27"/>
                              <w:ind w:right="75"/>
                              <w:jc w:val="right"/>
                              <w:rPr>
                                <w:b/>
                                <w:sz w:val="16"/>
                              </w:rPr>
                            </w:pPr>
                            <w:r>
                              <w:rPr>
                                <w:b/>
                                <w:sz w:val="16"/>
                              </w:rPr>
                              <w:t>4,629</w:t>
                            </w:r>
                          </w:p>
                        </w:tc>
                        <w:tc>
                          <w:tcPr>
                            <w:tcW w:w="1166" w:type="dxa"/>
                          </w:tcPr>
                          <w:p w14:paraId="50E3D664" w14:textId="77777777" w:rsidR="001F3ACE" w:rsidRDefault="001F3ACE">
                            <w:pPr>
                              <w:pStyle w:val="TableParagraph"/>
                              <w:spacing w:before="27"/>
                              <w:ind w:right="74"/>
                              <w:jc w:val="right"/>
                              <w:rPr>
                                <w:b/>
                                <w:sz w:val="16"/>
                              </w:rPr>
                            </w:pPr>
                            <w:r>
                              <w:rPr>
                                <w:b/>
                                <w:sz w:val="16"/>
                              </w:rPr>
                              <w:t>-</w:t>
                            </w:r>
                          </w:p>
                        </w:tc>
                      </w:tr>
                      <w:tr w:rsidR="001F3ACE" w14:paraId="76DDC45A" w14:textId="77777777">
                        <w:trPr>
                          <w:trHeight w:val="237"/>
                        </w:trPr>
                        <w:tc>
                          <w:tcPr>
                            <w:tcW w:w="393" w:type="dxa"/>
                          </w:tcPr>
                          <w:p w14:paraId="781A0430" w14:textId="77777777" w:rsidR="001F3ACE" w:rsidRDefault="001F3ACE">
                            <w:pPr>
                              <w:pStyle w:val="TableParagraph"/>
                              <w:rPr>
                                <w:rFonts w:ascii="Times New Roman"/>
                                <w:sz w:val="16"/>
                              </w:rPr>
                            </w:pPr>
                          </w:p>
                        </w:tc>
                        <w:tc>
                          <w:tcPr>
                            <w:tcW w:w="1166" w:type="dxa"/>
                            <w:tcBorders>
                              <w:bottom w:val="single" w:sz="8" w:space="0" w:color="000000"/>
                            </w:tcBorders>
                          </w:tcPr>
                          <w:p w14:paraId="191F8F04" w14:textId="77777777" w:rsidR="001F3ACE" w:rsidRDefault="001F3ACE">
                            <w:pPr>
                              <w:pStyle w:val="TableParagraph"/>
                              <w:spacing w:before="27"/>
                              <w:ind w:right="76"/>
                              <w:jc w:val="right"/>
                              <w:rPr>
                                <w:b/>
                                <w:sz w:val="16"/>
                              </w:rPr>
                            </w:pPr>
                            <w:r>
                              <w:rPr>
                                <w:b/>
                                <w:sz w:val="16"/>
                              </w:rPr>
                              <w:t>1,778</w:t>
                            </w:r>
                          </w:p>
                        </w:tc>
                        <w:tc>
                          <w:tcPr>
                            <w:tcW w:w="1166" w:type="dxa"/>
                            <w:tcBorders>
                              <w:bottom w:val="single" w:sz="8" w:space="0" w:color="000000"/>
                            </w:tcBorders>
                          </w:tcPr>
                          <w:p w14:paraId="6ABE3D61" w14:textId="77777777" w:rsidR="001F3ACE" w:rsidRDefault="001F3ACE">
                            <w:pPr>
                              <w:pStyle w:val="TableParagraph"/>
                              <w:spacing w:before="27"/>
                              <w:ind w:right="75"/>
                              <w:jc w:val="right"/>
                              <w:rPr>
                                <w:b/>
                                <w:sz w:val="16"/>
                              </w:rPr>
                            </w:pPr>
                            <w:r>
                              <w:rPr>
                                <w:b/>
                                <w:sz w:val="16"/>
                              </w:rPr>
                              <w:t>-</w:t>
                            </w:r>
                          </w:p>
                        </w:tc>
                        <w:tc>
                          <w:tcPr>
                            <w:tcW w:w="1166" w:type="dxa"/>
                            <w:tcBorders>
                              <w:bottom w:val="single" w:sz="8" w:space="0" w:color="000000"/>
                            </w:tcBorders>
                          </w:tcPr>
                          <w:p w14:paraId="1F45A388" w14:textId="77777777" w:rsidR="001F3ACE" w:rsidRDefault="001F3ACE">
                            <w:pPr>
                              <w:pStyle w:val="TableParagraph"/>
                              <w:spacing w:before="27"/>
                              <w:ind w:right="75"/>
                              <w:jc w:val="right"/>
                              <w:rPr>
                                <w:b/>
                                <w:sz w:val="16"/>
                              </w:rPr>
                            </w:pPr>
                            <w:r>
                              <w:rPr>
                                <w:b/>
                                <w:sz w:val="16"/>
                              </w:rPr>
                              <w:t>1,778</w:t>
                            </w:r>
                          </w:p>
                        </w:tc>
                        <w:tc>
                          <w:tcPr>
                            <w:tcW w:w="1166" w:type="dxa"/>
                            <w:tcBorders>
                              <w:bottom w:val="single" w:sz="8" w:space="0" w:color="000000"/>
                            </w:tcBorders>
                          </w:tcPr>
                          <w:p w14:paraId="4D9F6475" w14:textId="77777777" w:rsidR="001F3ACE" w:rsidRDefault="001F3ACE">
                            <w:pPr>
                              <w:pStyle w:val="TableParagraph"/>
                              <w:spacing w:before="27"/>
                              <w:ind w:right="74"/>
                              <w:jc w:val="right"/>
                              <w:rPr>
                                <w:b/>
                                <w:sz w:val="16"/>
                              </w:rPr>
                            </w:pPr>
                            <w:r>
                              <w:rPr>
                                <w:b/>
                                <w:sz w:val="16"/>
                              </w:rPr>
                              <w:t>-</w:t>
                            </w:r>
                          </w:p>
                        </w:tc>
                      </w:tr>
                      <w:tr w:rsidR="001F3ACE" w14:paraId="36228B18" w14:textId="77777777">
                        <w:trPr>
                          <w:trHeight w:val="298"/>
                        </w:trPr>
                        <w:tc>
                          <w:tcPr>
                            <w:tcW w:w="393" w:type="dxa"/>
                          </w:tcPr>
                          <w:p w14:paraId="34C2A775" w14:textId="77777777" w:rsidR="001F3ACE" w:rsidRDefault="001F3ACE">
                            <w:pPr>
                              <w:pStyle w:val="TableParagraph"/>
                              <w:rPr>
                                <w:rFonts w:ascii="Times New Roman"/>
                                <w:sz w:val="16"/>
                              </w:rPr>
                            </w:pPr>
                          </w:p>
                        </w:tc>
                        <w:tc>
                          <w:tcPr>
                            <w:tcW w:w="1166" w:type="dxa"/>
                            <w:tcBorders>
                              <w:top w:val="single" w:sz="8" w:space="0" w:color="000000"/>
                              <w:bottom w:val="double" w:sz="2" w:space="0" w:color="000000"/>
                            </w:tcBorders>
                          </w:tcPr>
                          <w:p w14:paraId="2A9F0999" w14:textId="77777777" w:rsidR="001F3ACE" w:rsidRDefault="001F3ACE">
                            <w:pPr>
                              <w:pStyle w:val="TableParagraph"/>
                              <w:spacing w:before="114" w:line="164" w:lineRule="exact"/>
                              <w:ind w:right="76"/>
                              <w:jc w:val="right"/>
                              <w:rPr>
                                <w:b/>
                                <w:sz w:val="16"/>
                              </w:rPr>
                            </w:pPr>
                            <w:r>
                              <w:rPr>
                                <w:b/>
                                <w:sz w:val="16"/>
                              </w:rPr>
                              <w:t>1,844,655</w:t>
                            </w:r>
                          </w:p>
                        </w:tc>
                        <w:tc>
                          <w:tcPr>
                            <w:tcW w:w="1166" w:type="dxa"/>
                            <w:tcBorders>
                              <w:top w:val="single" w:sz="8" w:space="0" w:color="000000"/>
                              <w:bottom w:val="double" w:sz="2" w:space="0" w:color="000000"/>
                            </w:tcBorders>
                          </w:tcPr>
                          <w:p w14:paraId="3240011C" w14:textId="77777777" w:rsidR="001F3ACE" w:rsidRDefault="001F3ACE">
                            <w:pPr>
                              <w:pStyle w:val="TableParagraph"/>
                              <w:spacing w:before="114" w:line="164" w:lineRule="exact"/>
                              <w:ind w:right="75"/>
                              <w:jc w:val="right"/>
                              <w:rPr>
                                <w:b/>
                                <w:sz w:val="16"/>
                              </w:rPr>
                            </w:pPr>
                            <w:r>
                              <w:rPr>
                                <w:b/>
                                <w:sz w:val="16"/>
                              </w:rPr>
                              <w:t>-</w:t>
                            </w:r>
                          </w:p>
                        </w:tc>
                        <w:tc>
                          <w:tcPr>
                            <w:tcW w:w="1166" w:type="dxa"/>
                            <w:tcBorders>
                              <w:top w:val="single" w:sz="8" w:space="0" w:color="000000"/>
                              <w:bottom w:val="double" w:sz="2" w:space="0" w:color="000000"/>
                            </w:tcBorders>
                          </w:tcPr>
                          <w:p w14:paraId="5C77506F" w14:textId="77777777" w:rsidR="001F3ACE" w:rsidRDefault="001F3ACE">
                            <w:pPr>
                              <w:pStyle w:val="TableParagraph"/>
                              <w:spacing w:before="114" w:line="164" w:lineRule="exact"/>
                              <w:ind w:right="75"/>
                              <w:jc w:val="right"/>
                              <w:rPr>
                                <w:b/>
                                <w:sz w:val="16"/>
                              </w:rPr>
                            </w:pPr>
                            <w:r>
                              <w:rPr>
                                <w:b/>
                                <w:sz w:val="16"/>
                              </w:rPr>
                              <w:t>7,387</w:t>
                            </w:r>
                          </w:p>
                        </w:tc>
                        <w:tc>
                          <w:tcPr>
                            <w:tcW w:w="1166" w:type="dxa"/>
                            <w:tcBorders>
                              <w:top w:val="single" w:sz="8" w:space="0" w:color="000000"/>
                              <w:bottom w:val="double" w:sz="2" w:space="0" w:color="000000"/>
                            </w:tcBorders>
                          </w:tcPr>
                          <w:p w14:paraId="6855942E" w14:textId="77777777" w:rsidR="001F3ACE" w:rsidRDefault="001F3ACE">
                            <w:pPr>
                              <w:pStyle w:val="TableParagraph"/>
                              <w:spacing w:before="114" w:line="164" w:lineRule="exact"/>
                              <w:ind w:right="75"/>
                              <w:jc w:val="right"/>
                              <w:rPr>
                                <w:b/>
                                <w:sz w:val="16"/>
                              </w:rPr>
                            </w:pPr>
                            <w:r>
                              <w:rPr>
                                <w:b/>
                                <w:sz w:val="16"/>
                              </w:rPr>
                              <w:t>1,837,268</w:t>
                            </w:r>
                          </w:p>
                        </w:tc>
                      </w:tr>
                      <w:tr w:rsidR="001F3ACE" w14:paraId="0F4CAF62" w14:textId="77777777">
                        <w:trPr>
                          <w:trHeight w:val="541"/>
                        </w:trPr>
                        <w:tc>
                          <w:tcPr>
                            <w:tcW w:w="393" w:type="dxa"/>
                          </w:tcPr>
                          <w:p w14:paraId="663EDE26" w14:textId="77777777" w:rsidR="001F3ACE" w:rsidRDefault="001F3ACE">
                            <w:pPr>
                              <w:pStyle w:val="TableParagraph"/>
                              <w:rPr>
                                <w:b/>
                                <w:sz w:val="18"/>
                              </w:rPr>
                            </w:pPr>
                          </w:p>
                          <w:p w14:paraId="14DD4E1F" w14:textId="77777777" w:rsidR="001F3ACE" w:rsidRDefault="001F3ACE">
                            <w:pPr>
                              <w:pStyle w:val="TableParagraph"/>
                              <w:spacing w:before="121"/>
                              <w:ind w:left="50"/>
                              <w:rPr>
                                <w:sz w:val="16"/>
                              </w:rPr>
                            </w:pPr>
                            <w:r>
                              <w:rPr>
                                <w:sz w:val="16"/>
                              </w:rPr>
                              <w:t>18</w:t>
                            </w:r>
                          </w:p>
                        </w:tc>
                        <w:tc>
                          <w:tcPr>
                            <w:tcW w:w="1166" w:type="dxa"/>
                            <w:tcBorders>
                              <w:top w:val="double" w:sz="2" w:space="0" w:color="000000"/>
                              <w:bottom w:val="single" w:sz="8" w:space="0" w:color="000000"/>
                            </w:tcBorders>
                          </w:tcPr>
                          <w:p w14:paraId="090AA779" w14:textId="77777777" w:rsidR="001F3ACE" w:rsidRDefault="001F3ACE">
                            <w:pPr>
                              <w:pStyle w:val="TableParagraph"/>
                              <w:rPr>
                                <w:b/>
                                <w:sz w:val="18"/>
                              </w:rPr>
                            </w:pPr>
                          </w:p>
                          <w:p w14:paraId="78C786E0" w14:textId="77777777" w:rsidR="001F3ACE" w:rsidRDefault="001F3ACE">
                            <w:pPr>
                              <w:pStyle w:val="TableParagraph"/>
                              <w:spacing w:before="123"/>
                              <w:ind w:right="76"/>
                              <w:jc w:val="right"/>
                              <w:rPr>
                                <w:b/>
                                <w:sz w:val="16"/>
                              </w:rPr>
                            </w:pPr>
                            <w:r>
                              <w:rPr>
                                <w:b/>
                                <w:sz w:val="16"/>
                              </w:rPr>
                              <w:t>5,867</w:t>
                            </w:r>
                          </w:p>
                        </w:tc>
                        <w:tc>
                          <w:tcPr>
                            <w:tcW w:w="1166" w:type="dxa"/>
                            <w:tcBorders>
                              <w:top w:val="double" w:sz="2" w:space="0" w:color="000000"/>
                              <w:bottom w:val="single" w:sz="8" w:space="0" w:color="000000"/>
                            </w:tcBorders>
                          </w:tcPr>
                          <w:p w14:paraId="198E28E0" w14:textId="77777777" w:rsidR="001F3ACE" w:rsidRDefault="001F3ACE">
                            <w:pPr>
                              <w:pStyle w:val="TableParagraph"/>
                              <w:rPr>
                                <w:b/>
                                <w:sz w:val="18"/>
                              </w:rPr>
                            </w:pPr>
                          </w:p>
                          <w:p w14:paraId="7DC2E99F" w14:textId="77777777" w:rsidR="001F3ACE" w:rsidRDefault="001F3ACE">
                            <w:pPr>
                              <w:pStyle w:val="TableParagraph"/>
                              <w:spacing w:before="123"/>
                              <w:ind w:right="75"/>
                              <w:jc w:val="right"/>
                              <w:rPr>
                                <w:b/>
                                <w:sz w:val="16"/>
                              </w:rPr>
                            </w:pPr>
                            <w:r>
                              <w:rPr>
                                <w:b/>
                                <w:sz w:val="16"/>
                              </w:rPr>
                              <w:t>-</w:t>
                            </w:r>
                          </w:p>
                        </w:tc>
                        <w:tc>
                          <w:tcPr>
                            <w:tcW w:w="1166" w:type="dxa"/>
                            <w:tcBorders>
                              <w:top w:val="double" w:sz="2" w:space="0" w:color="000000"/>
                              <w:bottom w:val="single" w:sz="8" w:space="0" w:color="000000"/>
                            </w:tcBorders>
                          </w:tcPr>
                          <w:p w14:paraId="39896735" w14:textId="77777777" w:rsidR="001F3ACE" w:rsidRDefault="001F3ACE">
                            <w:pPr>
                              <w:pStyle w:val="TableParagraph"/>
                              <w:rPr>
                                <w:b/>
                                <w:sz w:val="18"/>
                              </w:rPr>
                            </w:pPr>
                          </w:p>
                          <w:p w14:paraId="67492C33" w14:textId="77777777" w:rsidR="001F3ACE" w:rsidRDefault="001F3ACE">
                            <w:pPr>
                              <w:pStyle w:val="TableParagraph"/>
                              <w:spacing w:before="123"/>
                              <w:ind w:right="75"/>
                              <w:jc w:val="right"/>
                              <w:rPr>
                                <w:b/>
                                <w:sz w:val="16"/>
                              </w:rPr>
                            </w:pPr>
                            <w:r>
                              <w:rPr>
                                <w:b/>
                                <w:sz w:val="16"/>
                              </w:rPr>
                              <w:t>5,867</w:t>
                            </w:r>
                          </w:p>
                        </w:tc>
                        <w:tc>
                          <w:tcPr>
                            <w:tcW w:w="1166" w:type="dxa"/>
                            <w:tcBorders>
                              <w:top w:val="double" w:sz="2" w:space="0" w:color="000000"/>
                              <w:bottom w:val="single" w:sz="8" w:space="0" w:color="000000"/>
                            </w:tcBorders>
                          </w:tcPr>
                          <w:p w14:paraId="7D319975" w14:textId="77777777" w:rsidR="001F3ACE" w:rsidRDefault="001F3ACE">
                            <w:pPr>
                              <w:pStyle w:val="TableParagraph"/>
                              <w:rPr>
                                <w:b/>
                                <w:sz w:val="18"/>
                              </w:rPr>
                            </w:pPr>
                          </w:p>
                          <w:p w14:paraId="72D92426" w14:textId="77777777" w:rsidR="001F3ACE" w:rsidRDefault="001F3ACE">
                            <w:pPr>
                              <w:pStyle w:val="TableParagraph"/>
                              <w:spacing w:before="123"/>
                              <w:ind w:right="74"/>
                              <w:jc w:val="right"/>
                              <w:rPr>
                                <w:b/>
                                <w:sz w:val="16"/>
                              </w:rPr>
                            </w:pPr>
                            <w:r>
                              <w:rPr>
                                <w:b/>
                                <w:sz w:val="16"/>
                              </w:rPr>
                              <w:t>-</w:t>
                            </w:r>
                          </w:p>
                        </w:tc>
                      </w:tr>
                      <w:tr w:rsidR="001F3ACE" w14:paraId="7859BA2A" w14:textId="77777777">
                        <w:trPr>
                          <w:trHeight w:val="428"/>
                        </w:trPr>
                        <w:tc>
                          <w:tcPr>
                            <w:tcW w:w="393" w:type="dxa"/>
                          </w:tcPr>
                          <w:p w14:paraId="0BF0F389" w14:textId="77777777" w:rsidR="001F3ACE" w:rsidRDefault="001F3ACE">
                            <w:pPr>
                              <w:pStyle w:val="TableParagraph"/>
                              <w:rPr>
                                <w:rFonts w:ascii="Times New Roman"/>
                                <w:sz w:val="16"/>
                              </w:rPr>
                            </w:pPr>
                          </w:p>
                        </w:tc>
                        <w:tc>
                          <w:tcPr>
                            <w:tcW w:w="1166" w:type="dxa"/>
                            <w:tcBorders>
                              <w:top w:val="single" w:sz="8" w:space="0" w:color="000000"/>
                              <w:bottom w:val="double" w:sz="2" w:space="0" w:color="000000"/>
                            </w:tcBorders>
                          </w:tcPr>
                          <w:p w14:paraId="35BB7356" w14:textId="77777777" w:rsidR="001F3ACE" w:rsidRDefault="001F3ACE">
                            <w:pPr>
                              <w:pStyle w:val="TableParagraph"/>
                              <w:spacing w:before="2"/>
                              <w:rPr>
                                <w:b/>
                                <w:sz w:val="21"/>
                              </w:rPr>
                            </w:pPr>
                          </w:p>
                          <w:p w14:paraId="7344764B" w14:textId="77777777" w:rsidR="001F3ACE" w:rsidRDefault="001F3ACE">
                            <w:pPr>
                              <w:pStyle w:val="TableParagraph"/>
                              <w:spacing w:before="1" w:line="164" w:lineRule="exact"/>
                              <w:ind w:right="76"/>
                              <w:jc w:val="right"/>
                              <w:rPr>
                                <w:b/>
                                <w:sz w:val="16"/>
                              </w:rPr>
                            </w:pPr>
                            <w:r>
                              <w:rPr>
                                <w:b/>
                                <w:sz w:val="16"/>
                              </w:rPr>
                              <w:t>5,867</w:t>
                            </w:r>
                          </w:p>
                        </w:tc>
                        <w:tc>
                          <w:tcPr>
                            <w:tcW w:w="1166" w:type="dxa"/>
                            <w:tcBorders>
                              <w:top w:val="single" w:sz="8" w:space="0" w:color="000000"/>
                              <w:bottom w:val="double" w:sz="2" w:space="0" w:color="000000"/>
                            </w:tcBorders>
                          </w:tcPr>
                          <w:p w14:paraId="247B0319" w14:textId="77777777" w:rsidR="001F3ACE" w:rsidRDefault="001F3ACE">
                            <w:pPr>
                              <w:pStyle w:val="TableParagraph"/>
                              <w:spacing w:before="2"/>
                              <w:rPr>
                                <w:b/>
                                <w:sz w:val="21"/>
                              </w:rPr>
                            </w:pPr>
                          </w:p>
                          <w:p w14:paraId="1E32A6A2" w14:textId="77777777" w:rsidR="001F3ACE" w:rsidRDefault="001F3ACE">
                            <w:pPr>
                              <w:pStyle w:val="TableParagraph"/>
                              <w:spacing w:before="1" w:line="164" w:lineRule="exact"/>
                              <w:ind w:right="75"/>
                              <w:jc w:val="right"/>
                              <w:rPr>
                                <w:b/>
                                <w:sz w:val="16"/>
                              </w:rPr>
                            </w:pPr>
                            <w:r>
                              <w:rPr>
                                <w:b/>
                                <w:sz w:val="16"/>
                              </w:rPr>
                              <w:t>-</w:t>
                            </w:r>
                          </w:p>
                        </w:tc>
                        <w:tc>
                          <w:tcPr>
                            <w:tcW w:w="1166" w:type="dxa"/>
                            <w:tcBorders>
                              <w:top w:val="single" w:sz="8" w:space="0" w:color="000000"/>
                              <w:bottom w:val="double" w:sz="2" w:space="0" w:color="000000"/>
                            </w:tcBorders>
                          </w:tcPr>
                          <w:p w14:paraId="182F5272" w14:textId="77777777" w:rsidR="001F3ACE" w:rsidRDefault="001F3ACE">
                            <w:pPr>
                              <w:pStyle w:val="TableParagraph"/>
                              <w:spacing w:before="2"/>
                              <w:rPr>
                                <w:b/>
                                <w:sz w:val="21"/>
                              </w:rPr>
                            </w:pPr>
                          </w:p>
                          <w:p w14:paraId="6A7A9EBA" w14:textId="77777777" w:rsidR="001F3ACE" w:rsidRDefault="001F3ACE">
                            <w:pPr>
                              <w:pStyle w:val="TableParagraph"/>
                              <w:spacing w:before="1" w:line="164" w:lineRule="exact"/>
                              <w:ind w:right="75"/>
                              <w:jc w:val="right"/>
                              <w:rPr>
                                <w:b/>
                                <w:sz w:val="16"/>
                              </w:rPr>
                            </w:pPr>
                            <w:r>
                              <w:rPr>
                                <w:b/>
                                <w:sz w:val="16"/>
                              </w:rPr>
                              <w:t>5,867</w:t>
                            </w:r>
                          </w:p>
                        </w:tc>
                        <w:tc>
                          <w:tcPr>
                            <w:tcW w:w="1166" w:type="dxa"/>
                            <w:tcBorders>
                              <w:top w:val="single" w:sz="8" w:space="0" w:color="000000"/>
                              <w:bottom w:val="double" w:sz="2" w:space="0" w:color="000000"/>
                            </w:tcBorders>
                          </w:tcPr>
                          <w:p w14:paraId="7D283210" w14:textId="77777777" w:rsidR="001F3ACE" w:rsidRDefault="001F3ACE">
                            <w:pPr>
                              <w:pStyle w:val="TableParagraph"/>
                              <w:spacing w:before="2"/>
                              <w:rPr>
                                <w:b/>
                                <w:sz w:val="21"/>
                              </w:rPr>
                            </w:pPr>
                          </w:p>
                          <w:p w14:paraId="0A15909E" w14:textId="77777777" w:rsidR="001F3ACE" w:rsidRDefault="001F3ACE">
                            <w:pPr>
                              <w:pStyle w:val="TableParagraph"/>
                              <w:spacing w:before="1" w:line="164" w:lineRule="exact"/>
                              <w:ind w:right="74"/>
                              <w:jc w:val="right"/>
                              <w:rPr>
                                <w:b/>
                                <w:sz w:val="16"/>
                              </w:rPr>
                            </w:pPr>
                            <w:r>
                              <w:rPr>
                                <w:b/>
                                <w:sz w:val="16"/>
                              </w:rPr>
                              <w:t>-</w:t>
                            </w:r>
                          </w:p>
                        </w:tc>
                      </w:tr>
                    </w:tbl>
                    <w:p w14:paraId="2547C303" w14:textId="77777777" w:rsidR="001F3ACE" w:rsidRDefault="001F3ACE">
                      <w:pPr>
                        <w:pStyle w:val="BodyText"/>
                      </w:pPr>
                    </w:p>
                  </w:txbxContent>
                </v:textbox>
                <w10:wrap anchorx="page"/>
              </v:shape>
            </w:pict>
          </mc:Fallback>
        </mc:AlternateContent>
      </w:r>
      <w:r w:rsidR="0015611F">
        <w:rPr>
          <w:b/>
          <w:sz w:val="16"/>
        </w:rPr>
        <w:t>Note</w:t>
      </w:r>
    </w:p>
    <w:p w14:paraId="2809D664" w14:textId="77777777" w:rsidR="00FA4AA8" w:rsidRDefault="0015611F">
      <w:pPr>
        <w:pStyle w:val="BodyText"/>
        <w:rPr>
          <w:b/>
        </w:rPr>
      </w:pPr>
      <w:r>
        <w:br w:type="column"/>
      </w:r>
    </w:p>
    <w:p w14:paraId="1C728004" w14:textId="77777777" w:rsidR="00FA4AA8" w:rsidRDefault="0015611F">
      <w:pPr>
        <w:spacing w:before="127"/>
        <w:ind w:left="461"/>
        <w:rPr>
          <w:b/>
          <w:sz w:val="16"/>
        </w:rPr>
      </w:pPr>
      <w:r>
        <w:rPr>
          <w:b/>
          <w:sz w:val="16"/>
        </w:rPr>
        <w:t>2018</w:t>
      </w:r>
    </w:p>
    <w:p w14:paraId="6FA5CA14" w14:textId="77777777" w:rsidR="00FA4AA8" w:rsidRDefault="0015611F">
      <w:pPr>
        <w:spacing w:before="68"/>
        <w:ind w:left="442"/>
        <w:rPr>
          <w:b/>
          <w:sz w:val="16"/>
        </w:rPr>
      </w:pPr>
      <w:r>
        <w:rPr>
          <w:b/>
          <w:sz w:val="16"/>
        </w:rPr>
        <w:t>$'000</w:t>
      </w:r>
    </w:p>
    <w:p w14:paraId="46465D0C" w14:textId="77777777" w:rsidR="00FA4AA8" w:rsidRDefault="0015611F">
      <w:pPr>
        <w:pStyle w:val="BodyText"/>
        <w:rPr>
          <w:b/>
        </w:rPr>
      </w:pPr>
      <w:r>
        <w:br w:type="column"/>
      </w:r>
    </w:p>
    <w:p w14:paraId="146C71E6" w14:textId="77777777" w:rsidR="00FA4AA8" w:rsidRDefault="0015611F">
      <w:pPr>
        <w:spacing w:before="127"/>
        <w:ind w:left="503"/>
        <w:rPr>
          <w:b/>
          <w:sz w:val="16"/>
        </w:rPr>
      </w:pPr>
      <w:r>
        <w:rPr>
          <w:b/>
          <w:sz w:val="16"/>
        </w:rPr>
        <w:t>Level 1</w:t>
      </w:r>
    </w:p>
    <w:p w14:paraId="1F5A448C" w14:textId="77777777" w:rsidR="00FA4AA8" w:rsidRDefault="0015611F">
      <w:pPr>
        <w:spacing w:before="68"/>
        <w:ind w:left="578"/>
        <w:rPr>
          <w:b/>
          <w:sz w:val="16"/>
        </w:rPr>
      </w:pPr>
      <w:r>
        <w:rPr>
          <w:b/>
          <w:sz w:val="16"/>
        </w:rPr>
        <w:t>$'000</w:t>
      </w:r>
    </w:p>
    <w:p w14:paraId="650466FB" w14:textId="77777777" w:rsidR="00FA4AA8" w:rsidRDefault="0015611F">
      <w:pPr>
        <w:pStyle w:val="BodyText"/>
        <w:rPr>
          <w:b/>
        </w:rPr>
      </w:pPr>
      <w:r>
        <w:br w:type="column"/>
      </w:r>
    </w:p>
    <w:p w14:paraId="74EF86E5" w14:textId="77777777" w:rsidR="00FA4AA8" w:rsidRDefault="0015611F">
      <w:pPr>
        <w:spacing w:before="127"/>
        <w:ind w:left="503"/>
        <w:rPr>
          <w:b/>
          <w:sz w:val="16"/>
        </w:rPr>
      </w:pPr>
      <w:r>
        <w:rPr>
          <w:b/>
          <w:sz w:val="16"/>
        </w:rPr>
        <w:t>Level 2</w:t>
      </w:r>
    </w:p>
    <w:p w14:paraId="2416E59F" w14:textId="77777777" w:rsidR="00FA4AA8" w:rsidRDefault="0015611F">
      <w:pPr>
        <w:spacing w:before="68"/>
        <w:ind w:left="578"/>
        <w:rPr>
          <w:b/>
          <w:sz w:val="16"/>
        </w:rPr>
      </w:pPr>
      <w:r>
        <w:rPr>
          <w:b/>
          <w:sz w:val="16"/>
        </w:rPr>
        <w:t>$'000</w:t>
      </w:r>
    </w:p>
    <w:p w14:paraId="1D73C3EE" w14:textId="77777777" w:rsidR="00FA4AA8" w:rsidRDefault="0015611F">
      <w:pPr>
        <w:pStyle w:val="BodyText"/>
        <w:rPr>
          <w:b/>
        </w:rPr>
      </w:pPr>
      <w:r>
        <w:br w:type="column"/>
      </w:r>
    </w:p>
    <w:p w14:paraId="7D3039A7" w14:textId="77777777" w:rsidR="00FA4AA8" w:rsidRDefault="0015611F">
      <w:pPr>
        <w:spacing w:before="127"/>
        <w:ind w:left="414" w:right="325"/>
        <w:jc w:val="center"/>
        <w:rPr>
          <w:b/>
          <w:sz w:val="16"/>
        </w:rPr>
      </w:pPr>
      <w:r>
        <w:rPr>
          <w:b/>
          <w:sz w:val="16"/>
        </w:rPr>
        <w:t>Level 3</w:t>
      </w:r>
    </w:p>
    <w:p w14:paraId="3E20C4B6" w14:textId="77777777" w:rsidR="00FA4AA8" w:rsidRDefault="0015611F">
      <w:pPr>
        <w:spacing w:before="68"/>
        <w:ind w:left="414" w:right="329"/>
        <w:jc w:val="center"/>
        <w:rPr>
          <w:b/>
          <w:sz w:val="16"/>
        </w:rPr>
      </w:pPr>
      <w:r>
        <w:rPr>
          <w:b/>
          <w:sz w:val="16"/>
        </w:rPr>
        <w:t>$'000</w:t>
      </w:r>
    </w:p>
    <w:p w14:paraId="0A275C80" w14:textId="77777777" w:rsidR="00FA4AA8" w:rsidRDefault="00FA4AA8">
      <w:pPr>
        <w:jc w:val="center"/>
        <w:rPr>
          <w:sz w:val="16"/>
        </w:rPr>
        <w:sectPr w:rsidR="00FA4AA8">
          <w:type w:val="continuous"/>
          <w:pgSz w:w="11910" w:h="16840"/>
          <w:pgMar w:top="20" w:right="860" w:bottom="0" w:left="900" w:header="720" w:footer="720" w:gutter="0"/>
          <w:cols w:num="6" w:space="720" w:equalWidth="0">
            <w:col w:w="4514" w:space="40"/>
            <w:col w:w="725" w:space="39"/>
            <w:col w:w="877" w:space="153"/>
            <w:col w:w="1090" w:space="76"/>
            <w:col w:w="1090" w:space="77"/>
            <w:col w:w="1469"/>
          </w:cols>
        </w:sectPr>
      </w:pPr>
    </w:p>
    <w:p w14:paraId="231460EF" w14:textId="77777777" w:rsidR="00FA4AA8" w:rsidRDefault="007E2441">
      <w:pPr>
        <w:pStyle w:val="BodyText"/>
        <w:rPr>
          <w:b/>
          <w:sz w:val="20"/>
        </w:rPr>
      </w:pPr>
      <w:r>
        <w:rPr>
          <w:noProof/>
          <w:lang w:val="en-AU" w:eastAsia="en-AU"/>
        </w:rPr>
        <mc:AlternateContent>
          <mc:Choice Requires="wpg">
            <w:drawing>
              <wp:anchor distT="0" distB="0" distL="114300" distR="114300" simplePos="0" relativeHeight="15753728" behindDoc="0" locked="0" layoutInCell="1" allowOverlap="1" wp14:anchorId="42F6BBC6" wp14:editId="0E8E7B97">
                <wp:simplePos x="0" y="0"/>
                <wp:positionH relativeFrom="page">
                  <wp:posOffset>3971290</wp:posOffset>
                </wp:positionH>
                <wp:positionV relativeFrom="page">
                  <wp:posOffset>4505325</wp:posOffset>
                </wp:positionV>
                <wp:extent cx="2962910" cy="27940"/>
                <wp:effectExtent l="0" t="0" r="0" b="0"/>
                <wp:wrapNone/>
                <wp:docPr id="2285" name="Group 2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2910" cy="27940"/>
                          <a:chOff x="6254" y="7095"/>
                          <a:chExt cx="4666" cy="44"/>
                        </a:xfrm>
                      </wpg:grpSpPr>
                      <wps:wsp>
                        <wps:cNvPr id="2286" name="Line 2104"/>
                        <wps:cNvCnPr>
                          <a:cxnSpLocks noChangeShapeType="1"/>
                        </wps:cNvCnPr>
                        <wps:spPr bwMode="auto">
                          <a:xfrm>
                            <a:off x="6254" y="7096"/>
                            <a:ext cx="1167"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287" name="Line 2103"/>
                        <wps:cNvCnPr>
                          <a:cxnSpLocks noChangeShapeType="1"/>
                        </wps:cNvCnPr>
                        <wps:spPr bwMode="auto">
                          <a:xfrm>
                            <a:off x="6254" y="7099"/>
                            <a:ext cx="1167"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288" name="Line 2102"/>
                        <wps:cNvCnPr>
                          <a:cxnSpLocks noChangeShapeType="1"/>
                        </wps:cNvCnPr>
                        <wps:spPr bwMode="auto">
                          <a:xfrm>
                            <a:off x="6254" y="7101"/>
                            <a:ext cx="1167"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289" name="Line 2101"/>
                        <wps:cNvCnPr>
                          <a:cxnSpLocks noChangeShapeType="1"/>
                        </wps:cNvCnPr>
                        <wps:spPr bwMode="auto">
                          <a:xfrm>
                            <a:off x="6254" y="7103"/>
                            <a:ext cx="1167"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290" name="Line 2100"/>
                        <wps:cNvCnPr>
                          <a:cxnSpLocks noChangeShapeType="1"/>
                        </wps:cNvCnPr>
                        <wps:spPr bwMode="auto">
                          <a:xfrm>
                            <a:off x="6254" y="7106"/>
                            <a:ext cx="1167"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291" name="Line 2099"/>
                        <wps:cNvCnPr>
                          <a:cxnSpLocks noChangeShapeType="1"/>
                        </wps:cNvCnPr>
                        <wps:spPr bwMode="auto">
                          <a:xfrm>
                            <a:off x="6254" y="7108"/>
                            <a:ext cx="1167"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292" name="Line 2098"/>
                        <wps:cNvCnPr>
                          <a:cxnSpLocks noChangeShapeType="1"/>
                        </wps:cNvCnPr>
                        <wps:spPr bwMode="auto">
                          <a:xfrm>
                            <a:off x="6254" y="7130"/>
                            <a:ext cx="1167"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293" name="Line 2097"/>
                        <wps:cNvCnPr>
                          <a:cxnSpLocks noChangeShapeType="1"/>
                        </wps:cNvCnPr>
                        <wps:spPr bwMode="auto">
                          <a:xfrm>
                            <a:off x="6254" y="7132"/>
                            <a:ext cx="1167"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294" name="Line 2096"/>
                        <wps:cNvCnPr>
                          <a:cxnSpLocks noChangeShapeType="1"/>
                        </wps:cNvCnPr>
                        <wps:spPr bwMode="auto">
                          <a:xfrm>
                            <a:off x="6254" y="7135"/>
                            <a:ext cx="1167"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295" name="Line 2095"/>
                        <wps:cNvCnPr>
                          <a:cxnSpLocks noChangeShapeType="1"/>
                        </wps:cNvCnPr>
                        <wps:spPr bwMode="auto">
                          <a:xfrm>
                            <a:off x="6254" y="7137"/>
                            <a:ext cx="1167"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296" name="Line 2094"/>
                        <wps:cNvCnPr>
                          <a:cxnSpLocks noChangeShapeType="1"/>
                        </wps:cNvCnPr>
                        <wps:spPr bwMode="auto">
                          <a:xfrm>
                            <a:off x="7421" y="7096"/>
                            <a:ext cx="116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297" name="Line 2093"/>
                        <wps:cNvCnPr>
                          <a:cxnSpLocks noChangeShapeType="1"/>
                        </wps:cNvCnPr>
                        <wps:spPr bwMode="auto">
                          <a:xfrm>
                            <a:off x="7421" y="7099"/>
                            <a:ext cx="116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298" name="Line 2092"/>
                        <wps:cNvCnPr>
                          <a:cxnSpLocks noChangeShapeType="1"/>
                        </wps:cNvCnPr>
                        <wps:spPr bwMode="auto">
                          <a:xfrm>
                            <a:off x="7421" y="7101"/>
                            <a:ext cx="116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299" name="Line 2091"/>
                        <wps:cNvCnPr>
                          <a:cxnSpLocks noChangeShapeType="1"/>
                        </wps:cNvCnPr>
                        <wps:spPr bwMode="auto">
                          <a:xfrm>
                            <a:off x="7421" y="7103"/>
                            <a:ext cx="116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300" name="Line 2090"/>
                        <wps:cNvCnPr>
                          <a:cxnSpLocks noChangeShapeType="1"/>
                        </wps:cNvCnPr>
                        <wps:spPr bwMode="auto">
                          <a:xfrm>
                            <a:off x="7421" y="7106"/>
                            <a:ext cx="116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301" name="Line 2089"/>
                        <wps:cNvCnPr>
                          <a:cxnSpLocks noChangeShapeType="1"/>
                        </wps:cNvCnPr>
                        <wps:spPr bwMode="auto">
                          <a:xfrm>
                            <a:off x="7421" y="7108"/>
                            <a:ext cx="116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302" name="Line 2088"/>
                        <wps:cNvCnPr>
                          <a:cxnSpLocks noChangeShapeType="1"/>
                        </wps:cNvCnPr>
                        <wps:spPr bwMode="auto">
                          <a:xfrm>
                            <a:off x="8587" y="7096"/>
                            <a:ext cx="1167"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303" name="Line 2087"/>
                        <wps:cNvCnPr>
                          <a:cxnSpLocks noChangeShapeType="1"/>
                        </wps:cNvCnPr>
                        <wps:spPr bwMode="auto">
                          <a:xfrm>
                            <a:off x="8587" y="7099"/>
                            <a:ext cx="1167"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304" name="Line 2086"/>
                        <wps:cNvCnPr>
                          <a:cxnSpLocks noChangeShapeType="1"/>
                        </wps:cNvCnPr>
                        <wps:spPr bwMode="auto">
                          <a:xfrm>
                            <a:off x="8587" y="7101"/>
                            <a:ext cx="1167"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305" name="Line 2085"/>
                        <wps:cNvCnPr>
                          <a:cxnSpLocks noChangeShapeType="1"/>
                        </wps:cNvCnPr>
                        <wps:spPr bwMode="auto">
                          <a:xfrm>
                            <a:off x="8587" y="7103"/>
                            <a:ext cx="1167"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306" name="Line 2084"/>
                        <wps:cNvCnPr>
                          <a:cxnSpLocks noChangeShapeType="1"/>
                        </wps:cNvCnPr>
                        <wps:spPr bwMode="auto">
                          <a:xfrm>
                            <a:off x="8587" y="7106"/>
                            <a:ext cx="1167"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307" name="Line 2083"/>
                        <wps:cNvCnPr>
                          <a:cxnSpLocks noChangeShapeType="1"/>
                        </wps:cNvCnPr>
                        <wps:spPr bwMode="auto">
                          <a:xfrm>
                            <a:off x="8587" y="7108"/>
                            <a:ext cx="1167"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308" name="Line 2082"/>
                        <wps:cNvCnPr>
                          <a:cxnSpLocks noChangeShapeType="1"/>
                        </wps:cNvCnPr>
                        <wps:spPr bwMode="auto">
                          <a:xfrm>
                            <a:off x="9754" y="7096"/>
                            <a:ext cx="116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309" name="Line 2081"/>
                        <wps:cNvCnPr>
                          <a:cxnSpLocks noChangeShapeType="1"/>
                        </wps:cNvCnPr>
                        <wps:spPr bwMode="auto">
                          <a:xfrm>
                            <a:off x="9754" y="7099"/>
                            <a:ext cx="116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310" name="Line 2080"/>
                        <wps:cNvCnPr>
                          <a:cxnSpLocks noChangeShapeType="1"/>
                        </wps:cNvCnPr>
                        <wps:spPr bwMode="auto">
                          <a:xfrm>
                            <a:off x="9754" y="7101"/>
                            <a:ext cx="116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311" name="Line 2079"/>
                        <wps:cNvCnPr>
                          <a:cxnSpLocks noChangeShapeType="1"/>
                        </wps:cNvCnPr>
                        <wps:spPr bwMode="auto">
                          <a:xfrm>
                            <a:off x="9754" y="7103"/>
                            <a:ext cx="116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312" name="Line 2078"/>
                        <wps:cNvCnPr>
                          <a:cxnSpLocks noChangeShapeType="1"/>
                        </wps:cNvCnPr>
                        <wps:spPr bwMode="auto">
                          <a:xfrm>
                            <a:off x="9754" y="7106"/>
                            <a:ext cx="116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313" name="Line 2077"/>
                        <wps:cNvCnPr>
                          <a:cxnSpLocks noChangeShapeType="1"/>
                        </wps:cNvCnPr>
                        <wps:spPr bwMode="auto">
                          <a:xfrm>
                            <a:off x="9754" y="7108"/>
                            <a:ext cx="116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314" name="Line 2076"/>
                        <wps:cNvCnPr>
                          <a:cxnSpLocks noChangeShapeType="1"/>
                        </wps:cNvCnPr>
                        <wps:spPr bwMode="auto">
                          <a:xfrm>
                            <a:off x="6254" y="7096"/>
                            <a:ext cx="1167"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315" name="Line 2075"/>
                        <wps:cNvCnPr>
                          <a:cxnSpLocks noChangeShapeType="1"/>
                        </wps:cNvCnPr>
                        <wps:spPr bwMode="auto">
                          <a:xfrm>
                            <a:off x="6254" y="7099"/>
                            <a:ext cx="1167"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316" name="Line 2074"/>
                        <wps:cNvCnPr>
                          <a:cxnSpLocks noChangeShapeType="1"/>
                        </wps:cNvCnPr>
                        <wps:spPr bwMode="auto">
                          <a:xfrm>
                            <a:off x="6254" y="7101"/>
                            <a:ext cx="1167"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317" name="Line 2073"/>
                        <wps:cNvCnPr>
                          <a:cxnSpLocks noChangeShapeType="1"/>
                        </wps:cNvCnPr>
                        <wps:spPr bwMode="auto">
                          <a:xfrm>
                            <a:off x="6254" y="7103"/>
                            <a:ext cx="1167"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318" name="Line 2072"/>
                        <wps:cNvCnPr>
                          <a:cxnSpLocks noChangeShapeType="1"/>
                        </wps:cNvCnPr>
                        <wps:spPr bwMode="auto">
                          <a:xfrm>
                            <a:off x="6254" y="7106"/>
                            <a:ext cx="1167"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319" name="Line 2071"/>
                        <wps:cNvCnPr>
                          <a:cxnSpLocks noChangeShapeType="1"/>
                        </wps:cNvCnPr>
                        <wps:spPr bwMode="auto">
                          <a:xfrm>
                            <a:off x="6254" y="7108"/>
                            <a:ext cx="1167"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320" name="Line 2070"/>
                        <wps:cNvCnPr>
                          <a:cxnSpLocks noChangeShapeType="1"/>
                        </wps:cNvCnPr>
                        <wps:spPr bwMode="auto">
                          <a:xfrm>
                            <a:off x="6254" y="7130"/>
                            <a:ext cx="1167"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321" name="Line 2069"/>
                        <wps:cNvCnPr>
                          <a:cxnSpLocks noChangeShapeType="1"/>
                        </wps:cNvCnPr>
                        <wps:spPr bwMode="auto">
                          <a:xfrm>
                            <a:off x="6254" y="7132"/>
                            <a:ext cx="1167"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322" name="Line 2068"/>
                        <wps:cNvCnPr>
                          <a:cxnSpLocks noChangeShapeType="1"/>
                        </wps:cNvCnPr>
                        <wps:spPr bwMode="auto">
                          <a:xfrm>
                            <a:off x="6254" y="7135"/>
                            <a:ext cx="1167"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323" name="Line 2067"/>
                        <wps:cNvCnPr>
                          <a:cxnSpLocks noChangeShapeType="1"/>
                        </wps:cNvCnPr>
                        <wps:spPr bwMode="auto">
                          <a:xfrm>
                            <a:off x="7421" y="7096"/>
                            <a:ext cx="116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324" name="Line 2066"/>
                        <wps:cNvCnPr>
                          <a:cxnSpLocks noChangeShapeType="1"/>
                        </wps:cNvCnPr>
                        <wps:spPr bwMode="auto">
                          <a:xfrm>
                            <a:off x="7421" y="7099"/>
                            <a:ext cx="116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325" name="Line 2065"/>
                        <wps:cNvCnPr>
                          <a:cxnSpLocks noChangeShapeType="1"/>
                        </wps:cNvCnPr>
                        <wps:spPr bwMode="auto">
                          <a:xfrm>
                            <a:off x="7421" y="7101"/>
                            <a:ext cx="116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326" name="Line 2064"/>
                        <wps:cNvCnPr>
                          <a:cxnSpLocks noChangeShapeType="1"/>
                        </wps:cNvCnPr>
                        <wps:spPr bwMode="auto">
                          <a:xfrm>
                            <a:off x="7421" y="7103"/>
                            <a:ext cx="116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327" name="Line 2063"/>
                        <wps:cNvCnPr>
                          <a:cxnSpLocks noChangeShapeType="1"/>
                        </wps:cNvCnPr>
                        <wps:spPr bwMode="auto">
                          <a:xfrm>
                            <a:off x="7421" y="7106"/>
                            <a:ext cx="116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328" name="Line 2062"/>
                        <wps:cNvCnPr>
                          <a:cxnSpLocks noChangeShapeType="1"/>
                        </wps:cNvCnPr>
                        <wps:spPr bwMode="auto">
                          <a:xfrm>
                            <a:off x="7421" y="7108"/>
                            <a:ext cx="116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329" name="Line 2061"/>
                        <wps:cNvCnPr>
                          <a:cxnSpLocks noChangeShapeType="1"/>
                        </wps:cNvCnPr>
                        <wps:spPr bwMode="auto">
                          <a:xfrm>
                            <a:off x="8587" y="7096"/>
                            <a:ext cx="1167"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330" name="Line 2060"/>
                        <wps:cNvCnPr>
                          <a:cxnSpLocks noChangeShapeType="1"/>
                        </wps:cNvCnPr>
                        <wps:spPr bwMode="auto">
                          <a:xfrm>
                            <a:off x="8587" y="7099"/>
                            <a:ext cx="1167"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331" name="Line 2059"/>
                        <wps:cNvCnPr>
                          <a:cxnSpLocks noChangeShapeType="1"/>
                        </wps:cNvCnPr>
                        <wps:spPr bwMode="auto">
                          <a:xfrm>
                            <a:off x="8587" y="7101"/>
                            <a:ext cx="1167"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332" name="Line 2058"/>
                        <wps:cNvCnPr>
                          <a:cxnSpLocks noChangeShapeType="1"/>
                        </wps:cNvCnPr>
                        <wps:spPr bwMode="auto">
                          <a:xfrm>
                            <a:off x="8587" y="7103"/>
                            <a:ext cx="1167"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333" name="Line 2057"/>
                        <wps:cNvCnPr>
                          <a:cxnSpLocks noChangeShapeType="1"/>
                        </wps:cNvCnPr>
                        <wps:spPr bwMode="auto">
                          <a:xfrm>
                            <a:off x="8587" y="7108"/>
                            <a:ext cx="1167"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334" name="Line 2056"/>
                        <wps:cNvCnPr>
                          <a:cxnSpLocks noChangeShapeType="1"/>
                        </wps:cNvCnPr>
                        <wps:spPr bwMode="auto">
                          <a:xfrm>
                            <a:off x="9754" y="7096"/>
                            <a:ext cx="116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335" name="Line 2055"/>
                        <wps:cNvCnPr>
                          <a:cxnSpLocks noChangeShapeType="1"/>
                        </wps:cNvCnPr>
                        <wps:spPr bwMode="auto">
                          <a:xfrm>
                            <a:off x="9754" y="7099"/>
                            <a:ext cx="116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336" name="Line 2054"/>
                        <wps:cNvCnPr>
                          <a:cxnSpLocks noChangeShapeType="1"/>
                        </wps:cNvCnPr>
                        <wps:spPr bwMode="auto">
                          <a:xfrm>
                            <a:off x="9754" y="7101"/>
                            <a:ext cx="116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337" name="Line 2053"/>
                        <wps:cNvCnPr>
                          <a:cxnSpLocks noChangeShapeType="1"/>
                        </wps:cNvCnPr>
                        <wps:spPr bwMode="auto">
                          <a:xfrm>
                            <a:off x="9754" y="7103"/>
                            <a:ext cx="116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338" name="Line 2052"/>
                        <wps:cNvCnPr>
                          <a:cxnSpLocks noChangeShapeType="1"/>
                        </wps:cNvCnPr>
                        <wps:spPr bwMode="auto">
                          <a:xfrm>
                            <a:off x="9754" y="7108"/>
                            <a:ext cx="116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5B5088" id="Group 2051" o:spid="_x0000_s1026" style="position:absolute;margin-left:312.7pt;margin-top:354.75pt;width:233.3pt;height:2.2pt;z-index:15753728;mso-position-horizontal-relative:page;mso-position-vertical-relative:page" coordorigin="6254,7095" coordsize="466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">
                <v:line id="Line 2104" o:spid="_x0000_s1027" style="position:absolute;visibility:visible;mso-wrap-style:square" from="6254,7096" to="7421,7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" strokeweight=".12pt"/>
                <v:line id="Line 2103" o:spid="_x0000_s1028" style="position:absolute;visibility:visible;mso-wrap-style:square" from="6254,7099" to="7421,7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" strokeweight=".12pt"/>
                <v:line id="Line 2102" o:spid="_x0000_s1029" style="position:absolute;visibility:visible;mso-wrap-style:square" from="6254,7101" to="7421,7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" strokeweight=".12pt"/>
                <v:line id="Line 2101" o:spid="_x0000_s1030" style="position:absolute;visibility:visible;mso-wrap-style:square" from="6254,7103" to="7421,7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" strokeweight=".12pt"/>
                <v:line id="Line 2100" o:spid="_x0000_s1031" style="position:absolute;visibility:visible;mso-wrap-style:square" from="6254,7106" to="7421,7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" strokeweight=".12pt"/>
                <v:line id="Line 2099" o:spid="_x0000_s1032" style="position:absolute;visibility:visible;mso-wrap-style:square" from="6254,7108" to="7421,7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" strokeweight=".12pt"/>
                <v:line id="Line 2098" o:spid="_x0000_s1033" style="position:absolute;visibility:visible;mso-wrap-style:square" from="6254,7130" to="7421,7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" strokeweight=".12pt"/>
                <v:line id="Line 2097" o:spid="_x0000_s1034" style="position:absolute;visibility:visible;mso-wrap-style:square" from="6254,7132" to="7421,7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" strokeweight=".12pt"/>
                <v:line id="Line 2096" o:spid="_x0000_s1035" style="position:absolute;visibility:visible;mso-wrap-style:square" from="6254,7135" to="7421,7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" strokeweight=".12pt"/>
                <v:line id="Line 2095" o:spid="_x0000_s1036" style="position:absolute;visibility:visible;mso-wrap-style:square" from="6254,7137" to="7421,7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" strokeweight=".12pt"/>
                <v:line id="Line 2094" o:spid="_x0000_s1037" style="position:absolute;visibility:visible;mso-wrap-style:square" from="7421,7096" to="8587,7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" strokeweight=".12pt"/>
                <v:line id="Line 2093" o:spid="_x0000_s1038" style="position:absolute;visibility:visible;mso-wrap-style:square" from="7421,7099" to="8587,7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" strokeweight=".12pt"/>
                <v:line id="Line 2092" o:spid="_x0000_s1039" style="position:absolute;visibility:visible;mso-wrap-style:square" from="7421,7101" to="8587,7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" strokeweight=".12pt"/>
                <v:line id="Line 2091" o:spid="_x0000_s1040" style="position:absolute;visibility:visible;mso-wrap-style:square" from="7421,7103" to="8587,7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" strokeweight=".12pt"/>
                <v:line id="Line 2090" o:spid="_x0000_s1041" style="position:absolute;visibility:visible;mso-wrap-style:square" from="7421,7106" to="8587,7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" strokeweight=".12pt"/>
                <v:line id="Line 2089" o:spid="_x0000_s1042" style="position:absolute;visibility:visible;mso-wrap-style:square" from="7421,7108" to="8587,7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" strokeweight=".12pt"/>
                <v:line id="Line 2088" o:spid="_x0000_s1043" style="position:absolute;visibility:visible;mso-wrap-style:square" from="8587,7096" to="9754,7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" strokeweight=".12pt"/>
                <v:line id="Line 2087" o:spid="_x0000_s1044" style="position:absolute;visibility:visible;mso-wrap-style:square" from="8587,7099" to="9754,7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" strokeweight=".12pt"/>
                <v:line id="Line 2086" o:spid="_x0000_s1045" style="position:absolute;visibility:visible;mso-wrap-style:square" from="8587,7101" to="9754,7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" strokeweight=".12pt"/>
                <v:line id="Line 2085" o:spid="_x0000_s1046" style="position:absolute;visibility:visible;mso-wrap-style:square" from="8587,7103" to="9754,7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" strokeweight=".12pt"/>
                <v:line id="Line 2084" o:spid="_x0000_s1047" style="position:absolute;visibility:visible;mso-wrap-style:square" from="8587,7106" to="9754,7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" strokeweight=".12pt"/>
                <v:line id="Line 2083" o:spid="_x0000_s1048" style="position:absolute;visibility:visible;mso-wrap-style:square" from="8587,7108" to="9754,7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" strokeweight=".12pt"/>
                <v:line id="Line 2082" o:spid="_x0000_s1049" style="position:absolute;visibility:visible;mso-wrap-style:square" from="9754,7096" to="10920,7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" strokeweight=".12pt"/>
                <v:line id="Line 2081" o:spid="_x0000_s1050" style="position:absolute;visibility:visible;mso-wrap-style:square" from="9754,7099" to="10920,7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" strokeweight=".12pt"/>
                <v:line id="Line 2080" o:spid="_x0000_s1051" style="position:absolute;visibility:visible;mso-wrap-style:square" from="9754,7101" to="10920,7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" strokeweight=".12pt"/>
                <v:line id="Line 2079" o:spid="_x0000_s1052" style="position:absolute;visibility:visible;mso-wrap-style:square" from="9754,7103" to="10920,7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" strokeweight=".12pt"/>
                <v:line id="Line 2078" o:spid="_x0000_s1053" style="position:absolute;visibility:visible;mso-wrap-style:square" from="9754,7106" to="10920,7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" strokeweight=".12pt"/>
                <v:line id="Line 2077" o:spid="_x0000_s1054" style="position:absolute;visibility:visible;mso-wrap-style:square" from="9754,7108" to="10920,7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" strokeweight=".12pt"/>
                <v:line id="Line 2076" o:spid="_x0000_s1055" style="position:absolute;visibility:visible;mso-wrap-style:square" from="6254,7096" to="7421,7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" strokeweight=".12pt"/>
                <v:line id="Line 2075" o:spid="_x0000_s1056" style="position:absolute;visibility:visible;mso-wrap-style:square" from="6254,7099" to="7421,7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" strokeweight=".12pt"/>
                <v:line id="Line 2074" o:spid="_x0000_s1057" style="position:absolute;visibility:visible;mso-wrap-style:square" from="6254,7101" to="7421,7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" strokeweight=".12pt"/>
                <v:line id="Line 2073" o:spid="_x0000_s1058" style="position:absolute;visibility:visible;mso-wrap-style:square" from="6254,7103" to="7421,7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" strokeweight=".12pt"/>
                <v:line id="Line 2072" o:spid="_x0000_s1059" style="position:absolute;visibility:visible;mso-wrap-style:square" from="6254,7106" to="7421,7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" strokeweight=".12pt"/>
                <v:line id="Line 2071" o:spid="_x0000_s1060" style="position:absolute;visibility:visible;mso-wrap-style:square" from="6254,7108" to="7421,7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" strokeweight=".12pt"/>
                <v:line id="Line 2070" o:spid="_x0000_s1061" style="position:absolute;visibility:visible;mso-wrap-style:square" from="6254,7130" to="7421,7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" strokeweight=".12pt"/>
                <v:line id="Line 2069" o:spid="_x0000_s1062" style="position:absolute;visibility:visible;mso-wrap-style:square" from="6254,7132" to="7421,7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" strokeweight=".12pt"/>
                <v:line id="Line 2068" o:spid="_x0000_s1063" style="position:absolute;visibility:visible;mso-wrap-style:square" from="6254,7135" to="7421,7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" strokeweight=".12pt"/>
                <v:line id="Line 2067" o:spid="_x0000_s1064" style="position:absolute;visibility:visible;mso-wrap-style:square" from="7421,7096" to="8587,7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" strokeweight=".12pt"/>
                <v:line id="Line 2066" o:spid="_x0000_s1065" style="position:absolute;visibility:visible;mso-wrap-style:square" from="7421,7099" to="8587,7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" strokeweight=".12pt"/>
                <v:line id="Line 2065" o:spid="_x0000_s1066" style="position:absolute;visibility:visible;mso-wrap-style:square" from="7421,7101" to="8587,7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" strokeweight=".12pt"/>
                <v:line id="Line 2064" o:spid="_x0000_s1067" style="position:absolute;visibility:visible;mso-wrap-style:square" from="7421,7103" to="8587,7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" strokeweight=".12pt"/>
                <v:line id="Line 2063" o:spid="_x0000_s1068" style="position:absolute;visibility:visible;mso-wrap-style:square" from="7421,7106" to="8587,7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" strokeweight=".12pt"/>
                <v:line id="Line 2062" o:spid="_x0000_s1069" style="position:absolute;visibility:visible;mso-wrap-style:square" from="7421,7108" to="8587,7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" strokeweight=".12pt"/>
                <v:line id="Line 2061" o:spid="_x0000_s1070" style="position:absolute;visibility:visible;mso-wrap-style:square" from="8587,7096" to="9754,7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" strokeweight=".12pt"/>
                <v:line id="Line 2060" o:spid="_x0000_s1071" style="position:absolute;visibility:visible;mso-wrap-style:square" from="8587,7099" to="9754,7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" strokeweight=".12pt"/>
                <v:line id="Line 2059" o:spid="_x0000_s1072" style="position:absolute;visibility:visible;mso-wrap-style:square" from="8587,7101" to="9754,7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" strokeweight=".12pt"/>
                <v:line id="Line 2058" o:spid="_x0000_s1073" style="position:absolute;visibility:visible;mso-wrap-style:square" from="8587,7103" to="9754,7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" strokeweight=".12pt"/>
                <v:line id="Line 2057" o:spid="_x0000_s1074" style="position:absolute;visibility:visible;mso-wrap-style:square" from="8587,7108" to="9754,7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" strokeweight=".12pt"/>
                <v:line id="Line 2056" o:spid="_x0000_s1075" style="position:absolute;visibility:visible;mso-wrap-style:square" from="9754,7096" to="10920,7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" strokeweight=".12pt"/>
                <v:line id="Line 2055" o:spid="_x0000_s1076" style="position:absolute;visibility:visible;mso-wrap-style:square" from="9754,7099" to="10920,7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" strokeweight=".12pt"/>
                <v:line id="Line 2054" o:spid="_x0000_s1077" style="position:absolute;visibility:visible;mso-wrap-style:square" from="9754,7101" to="10920,7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" strokeweight=".12pt"/>
                <v:line id="Line 2053" o:spid="_x0000_s1078" style="position:absolute;visibility:visible;mso-wrap-style:square" from="9754,7103" to="10920,7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" strokeweight=".12pt"/>
                <v:line id="Line 2052" o:spid="_x0000_s1079" style="position:absolute;visibility:visible;mso-wrap-style:square" from="9754,7108" to="10920,7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" strokeweight=".12pt"/>
                <w10:wrap anchorx="page" anchory="page"/>
              </v:group>
            </w:pict>
          </mc:Fallback>
        </mc:AlternateContent>
      </w:r>
      <w:r>
        <w:rPr>
          <w:noProof/>
          <w:lang w:val="en-AU" w:eastAsia="en-AU"/>
        </w:rPr>
        <mc:AlternateContent>
          <mc:Choice Requires="wpg">
            <w:drawing>
              <wp:anchor distT="0" distB="0" distL="114300" distR="114300" simplePos="0" relativeHeight="462742016" behindDoc="1" locked="0" layoutInCell="1" allowOverlap="1" wp14:anchorId="0B280F79" wp14:editId="1AE6509A">
                <wp:simplePos x="0" y="0"/>
                <wp:positionH relativeFrom="page">
                  <wp:posOffset>3971290</wp:posOffset>
                </wp:positionH>
                <wp:positionV relativeFrom="page">
                  <wp:posOffset>8921750</wp:posOffset>
                </wp:positionV>
                <wp:extent cx="2962910" cy="27940"/>
                <wp:effectExtent l="0" t="0" r="0" b="0"/>
                <wp:wrapNone/>
                <wp:docPr id="2231" name="Group 19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2910" cy="27940"/>
                          <a:chOff x="6254" y="14050"/>
                          <a:chExt cx="4666" cy="44"/>
                        </a:xfrm>
                      </wpg:grpSpPr>
                      <wps:wsp>
                        <wps:cNvPr id="2232" name="Line 2050"/>
                        <wps:cNvCnPr>
                          <a:cxnSpLocks noChangeShapeType="1"/>
                        </wps:cNvCnPr>
                        <wps:spPr bwMode="auto">
                          <a:xfrm>
                            <a:off x="6254" y="14051"/>
                            <a:ext cx="1167"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233" name="Line 2049"/>
                        <wps:cNvCnPr>
                          <a:cxnSpLocks noChangeShapeType="1"/>
                        </wps:cNvCnPr>
                        <wps:spPr bwMode="auto">
                          <a:xfrm>
                            <a:off x="6254" y="14054"/>
                            <a:ext cx="1167"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234" name="Line 2048"/>
                        <wps:cNvCnPr>
                          <a:cxnSpLocks noChangeShapeType="1"/>
                        </wps:cNvCnPr>
                        <wps:spPr bwMode="auto">
                          <a:xfrm>
                            <a:off x="6254" y="14056"/>
                            <a:ext cx="1167"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235" name="Line 2047"/>
                        <wps:cNvCnPr>
                          <a:cxnSpLocks noChangeShapeType="1"/>
                        </wps:cNvCnPr>
                        <wps:spPr bwMode="auto">
                          <a:xfrm>
                            <a:off x="6254" y="14059"/>
                            <a:ext cx="1167"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236" name="Line 2046"/>
                        <wps:cNvCnPr>
                          <a:cxnSpLocks noChangeShapeType="1"/>
                        </wps:cNvCnPr>
                        <wps:spPr bwMode="auto">
                          <a:xfrm>
                            <a:off x="6254" y="14061"/>
                            <a:ext cx="1167"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237" name="Line 2045"/>
                        <wps:cNvCnPr>
                          <a:cxnSpLocks noChangeShapeType="1"/>
                        </wps:cNvCnPr>
                        <wps:spPr bwMode="auto">
                          <a:xfrm>
                            <a:off x="6254" y="14063"/>
                            <a:ext cx="1167"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238" name="Line 2044"/>
                        <wps:cNvCnPr>
                          <a:cxnSpLocks noChangeShapeType="1"/>
                        </wps:cNvCnPr>
                        <wps:spPr bwMode="auto">
                          <a:xfrm>
                            <a:off x="6254" y="14085"/>
                            <a:ext cx="1167"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239" name="Line 2043"/>
                        <wps:cNvCnPr>
                          <a:cxnSpLocks noChangeShapeType="1"/>
                        </wps:cNvCnPr>
                        <wps:spPr bwMode="auto">
                          <a:xfrm>
                            <a:off x="6254" y="14087"/>
                            <a:ext cx="1167"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240" name="Line 2042"/>
                        <wps:cNvCnPr>
                          <a:cxnSpLocks noChangeShapeType="1"/>
                        </wps:cNvCnPr>
                        <wps:spPr bwMode="auto">
                          <a:xfrm>
                            <a:off x="6254" y="14090"/>
                            <a:ext cx="1167"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241" name="Line 2041"/>
                        <wps:cNvCnPr>
                          <a:cxnSpLocks noChangeShapeType="1"/>
                        </wps:cNvCnPr>
                        <wps:spPr bwMode="auto">
                          <a:xfrm>
                            <a:off x="6254" y="14092"/>
                            <a:ext cx="1167"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242" name="Line 2040"/>
                        <wps:cNvCnPr>
                          <a:cxnSpLocks noChangeShapeType="1"/>
                        </wps:cNvCnPr>
                        <wps:spPr bwMode="auto">
                          <a:xfrm>
                            <a:off x="7421" y="14051"/>
                            <a:ext cx="116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243" name="Line 2039"/>
                        <wps:cNvCnPr>
                          <a:cxnSpLocks noChangeShapeType="1"/>
                        </wps:cNvCnPr>
                        <wps:spPr bwMode="auto">
                          <a:xfrm>
                            <a:off x="7421" y="14054"/>
                            <a:ext cx="116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244" name="Line 2038"/>
                        <wps:cNvCnPr>
                          <a:cxnSpLocks noChangeShapeType="1"/>
                        </wps:cNvCnPr>
                        <wps:spPr bwMode="auto">
                          <a:xfrm>
                            <a:off x="7421" y="14056"/>
                            <a:ext cx="116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245" name="Line 2037"/>
                        <wps:cNvCnPr>
                          <a:cxnSpLocks noChangeShapeType="1"/>
                        </wps:cNvCnPr>
                        <wps:spPr bwMode="auto">
                          <a:xfrm>
                            <a:off x="7421" y="14059"/>
                            <a:ext cx="116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246" name="Line 2036"/>
                        <wps:cNvCnPr>
                          <a:cxnSpLocks noChangeShapeType="1"/>
                        </wps:cNvCnPr>
                        <wps:spPr bwMode="auto">
                          <a:xfrm>
                            <a:off x="7421" y="14061"/>
                            <a:ext cx="116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247" name="Line 2035"/>
                        <wps:cNvCnPr>
                          <a:cxnSpLocks noChangeShapeType="1"/>
                        </wps:cNvCnPr>
                        <wps:spPr bwMode="auto">
                          <a:xfrm>
                            <a:off x="7421" y="14063"/>
                            <a:ext cx="116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248" name="Line 2034"/>
                        <wps:cNvCnPr>
                          <a:cxnSpLocks noChangeShapeType="1"/>
                        </wps:cNvCnPr>
                        <wps:spPr bwMode="auto">
                          <a:xfrm>
                            <a:off x="8587" y="14051"/>
                            <a:ext cx="1167"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249" name="Line 2033"/>
                        <wps:cNvCnPr>
                          <a:cxnSpLocks noChangeShapeType="1"/>
                        </wps:cNvCnPr>
                        <wps:spPr bwMode="auto">
                          <a:xfrm>
                            <a:off x="8587" y="14054"/>
                            <a:ext cx="1167"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250" name="Line 2032"/>
                        <wps:cNvCnPr>
                          <a:cxnSpLocks noChangeShapeType="1"/>
                        </wps:cNvCnPr>
                        <wps:spPr bwMode="auto">
                          <a:xfrm>
                            <a:off x="8587" y="14056"/>
                            <a:ext cx="1167"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251" name="Line 2031"/>
                        <wps:cNvCnPr>
                          <a:cxnSpLocks noChangeShapeType="1"/>
                        </wps:cNvCnPr>
                        <wps:spPr bwMode="auto">
                          <a:xfrm>
                            <a:off x="8587" y="14059"/>
                            <a:ext cx="1167"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252" name="Line 2030"/>
                        <wps:cNvCnPr>
                          <a:cxnSpLocks noChangeShapeType="1"/>
                        </wps:cNvCnPr>
                        <wps:spPr bwMode="auto">
                          <a:xfrm>
                            <a:off x="8587" y="14061"/>
                            <a:ext cx="1167"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253" name="Line 2029"/>
                        <wps:cNvCnPr>
                          <a:cxnSpLocks noChangeShapeType="1"/>
                        </wps:cNvCnPr>
                        <wps:spPr bwMode="auto">
                          <a:xfrm>
                            <a:off x="8587" y="14063"/>
                            <a:ext cx="1167"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254" name="Line 2028"/>
                        <wps:cNvCnPr>
                          <a:cxnSpLocks noChangeShapeType="1"/>
                        </wps:cNvCnPr>
                        <wps:spPr bwMode="auto">
                          <a:xfrm>
                            <a:off x="9754" y="14051"/>
                            <a:ext cx="116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255" name="Line 2027"/>
                        <wps:cNvCnPr>
                          <a:cxnSpLocks noChangeShapeType="1"/>
                        </wps:cNvCnPr>
                        <wps:spPr bwMode="auto">
                          <a:xfrm>
                            <a:off x="9754" y="14054"/>
                            <a:ext cx="116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256" name="Line 2026"/>
                        <wps:cNvCnPr>
                          <a:cxnSpLocks noChangeShapeType="1"/>
                        </wps:cNvCnPr>
                        <wps:spPr bwMode="auto">
                          <a:xfrm>
                            <a:off x="9754" y="14056"/>
                            <a:ext cx="116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257" name="Line 2025"/>
                        <wps:cNvCnPr>
                          <a:cxnSpLocks noChangeShapeType="1"/>
                        </wps:cNvCnPr>
                        <wps:spPr bwMode="auto">
                          <a:xfrm>
                            <a:off x="9754" y="14059"/>
                            <a:ext cx="116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258" name="Line 2024"/>
                        <wps:cNvCnPr>
                          <a:cxnSpLocks noChangeShapeType="1"/>
                        </wps:cNvCnPr>
                        <wps:spPr bwMode="auto">
                          <a:xfrm>
                            <a:off x="9754" y="14061"/>
                            <a:ext cx="116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259" name="Line 2023"/>
                        <wps:cNvCnPr>
                          <a:cxnSpLocks noChangeShapeType="1"/>
                        </wps:cNvCnPr>
                        <wps:spPr bwMode="auto">
                          <a:xfrm>
                            <a:off x="9754" y="14063"/>
                            <a:ext cx="116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260" name="Line 2022"/>
                        <wps:cNvCnPr>
                          <a:cxnSpLocks noChangeShapeType="1"/>
                        </wps:cNvCnPr>
                        <wps:spPr bwMode="auto">
                          <a:xfrm>
                            <a:off x="6254" y="14051"/>
                            <a:ext cx="1167"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261" name="Line 2021"/>
                        <wps:cNvCnPr>
                          <a:cxnSpLocks noChangeShapeType="1"/>
                        </wps:cNvCnPr>
                        <wps:spPr bwMode="auto">
                          <a:xfrm>
                            <a:off x="6254" y="14054"/>
                            <a:ext cx="1167"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262" name="Line 2020"/>
                        <wps:cNvCnPr>
                          <a:cxnSpLocks noChangeShapeType="1"/>
                        </wps:cNvCnPr>
                        <wps:spPr bwMode="auto">
                          <a:xfrm>
                            <a:off x="6254" y="14056"/>
                            <a:ext cx="1167"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263" name="Line 2019"/>
                        <wps:cNvCnPr>
                          <a:cxnSpLocks noChangeShapeType="1"/>
                        </wps:cNvCnPr>
                        <wps:spPr bwMode="auto">
                          <a:xfrm>
                            <a:off x="6254" y="14059"/>
                            <a:ext cx="1167"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264" name="Line 2018"/>
                        <wps:cNvCnPr>
                          <a:cxnSpLocks noChangeShapeType="1"/>
                        </wps:cNvCnPr>
                        <wps:spPr bwMode="auto">
                          <a:xfrm>
                            <a:off x="6254" y="14061"/>
                            <a:ext cx="1167"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265" name="Line 2017"/>
                        <wps:cNvCnPr>
                          <a:cxnSpLocks noChangeShapeType="1"/>
                        </wps:cNvCnPr>
                        <wps:spPr bwMode="auto">
                          <a:xfrm>
                            <a:off x="6254" y="14063"/>
                            <a:ext cx="1167"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266" name="Line 2016"/>
                        <wps:cNvCnPr>
                          <a:cxnSpLocks noChangeShapeType="1"/>
                        </wps:cNvCnPr>
                        <wps:spPr bwMode="auto">
                          <a:xfrm>
                            <a:off x="6254" y="14085"/>
                            <a:ext cx="1167"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267" name="Line 2015"/>
                        <wps:cNvCnPr>
                          <a:cxnSpLocks noChangeShapeType="1"/>
                        </wps:cNvCnPr>
                        <wps:spPr bwMode="auto">
                          <a:xfrm>
                            <a:off x="6254" y="14087"/>
                            <a:ext cx="1167"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268" name="Line 2014"/>
                        <wps:cNvCnPr>
                          <a:cxnSpLocks noChangeShapeType="1"/>
                        </wps:cNvCnPr>
                        <wps:spPr bwMode="auto">
                          <a:xfrm>
                            <a:off x="6254" y="14090"/>
                            <a:ext cx="1167"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269" name="Line 2013"/>
                        <wps:cNvCnPr>
                          <a:cxnSpLocks noChangeShapeType="1"/>
                        </wps:cNvCnPr>
                        <wps:spPr bwMode="auto">
                          <a:xfrm>
                            <a:off x="7421" y="14051"/>
                            <a:ext cx="116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270" name="Line 2012"/>
                        <wps:cNvCnPr>
                          <a:cxnSpLocks noChangeShapeType="1"/>
                        </wps:cNvCnPr>
                        <wps:spPr bwMode="auto">
                          <a:xfrm>
                            <a:off x="7421" y="14054"/>
                            <a:ext cx="116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271" name="Line 2011"/>
                        <wps:cNvCnPr>
                          <a:cxnSpLocks noChangeShapeType="1"/>
                        </wps:cNvCnPr>
                        <wps:spPr bwMode="auto">
                          <a:xfrm>
                            <a:off x="7421" y="14056"/>
                            <a:ext cx="116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272" name="Line 2010"/>
                        <wps:cNvCnPr>
                          <a:cxnSpLocks noChangeShapeType="1"/>
                        </wps:cNvCnPr>
                        <wps:spPr bwMode="auto">
                          <a:xfrm>
                            <a:off x="7421" y="14059"/>
                            <a:ext cx="116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273" name="Line 2009"/>
                        <wps:cNvCnPr>
                          <a:cxnSpLocks noChangeShapeType="1"/>
                        </wps:cNvCnPr>
                        <wps:spPr bwMode="auto">
                          <a:xfrm>
                            <a:off x="7421" y="14061"/>
                            <a:ext cx="116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274" name="Line 2008"/>
                        <wps:cNvCnPr>
                          <a:cxnSpLocks noChangeShapeType="1"/>
                        </wps:cNvCnPr>
                        <wps:spPr bwMode="auto">
                          <a:xfrm>
                            <a:off x="7421" y="14063"/>
                            <a:ext cx="116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275" name="Line 2007"/>
                        <wps:cNvCnPr>
                          <a:cxnSpLocks noChangeShapeType="1"/>
                        </wps:cNvCnPr>
                        <wps:spPr bwMode="auto">
                          <a:xfrm>
                            <a:off x="8587" y="14051"/>
                            <a:ext cx="1167"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276" name="Line 2006"/>
                        <wps:cNvCnPr>
                          <a:cxnSpLocks noChangeShapeType="1"/>
                        </wps:cNvCnPr>
                        <wps:spPr bwMode="auto">
                          <a:xfrm>
                            <a:off x="8587" y="14054"/>
                            <a:ext cx="1167"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277" name="Line 2005"/>
                        <wps:cNvCnPr>
                          <a:cxnSpLocks noChangeShapeType="1"/>
                        </wps:cNvCnPr>
                        <wps:spPr bwMode="auto">
                          <a:xfrm>
                            <a:off x="8587" y="14056"/>
                            <a:ext cx="1167"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278" name="Line 2004"/>
                        <wps:cNvCnPr>
                          <a:cxnSpLocks noChangeShapeType="1"/>
                        </wps:cNvCnPr>
                        <wps:spPr bwMode="auto">
                          <a:xfrm>
                            <a:off x="8587" y="14059"/>
                            <a:ext cx="1167"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279" name="Line 2003"/>
                        <wps:cNvCnPr>
                          <a:cxnSpLocks noChangeShapeType="1"/>
                        </wps:cNvCnPr>
                        <wps:spPr bwMode="auto">
                          <a:xfrm>
                            <a:off x="8587" y="14063"/>
                            <a:ext cx="1167"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280" name="Line 2002"/>
                        <wps:cNvCnPr>
                          <a:cxnSpLocks noChangeShapeType="1"/>
                        </wps:cNvCnPr>
                        <wps:spPr bwMode="auto">
                          <a:xfrm>
                            <a:off x="9754" y="14051"/>
                            <a:ext cx="116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281" name="Line 2001"/>
                        <wps:cNvCnPr>
                          <a:cxnSpLocks noChangeShapeType="1"/>
                        </wps:cNvCnPr>
                        <wps:spPr bwMode="auto">
                          <a:xfrm>
                            <a:off x="9754" y="14054"/>
                            <a:ext cx="116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282" name="Line 2000"/>
                        <wps:cNvCnPr>
                          <a:cxnSpLocks noChangeShapeType="1"/>
                        </wps:cNvCnPr>
                        <wps:spPr bwMode="auto">
                          <a:xfrm>
                            <a:off x="9754" y="14056"/>
                            <a:ext cx="116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283" name="Line 1999"/>
                        <wps:cNvCnPr>
                          <a:cxnSpLocks noChangeShapeType="1"/>
                        </wps:cNvCnPr>
                        <wps:spPr bwMode="auto">
                          <a:xfrm>
                            <a:off x="9754" y="14059"/>
                            <a:ext cx="116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284" name="Line 1998"/>
                        <wps:cNvCnPr>
                          <a:cxnSpLocks noChangeShapeType="1"/>
                        </wps:cNvCnPr>
                        <wps:spPr bwMode="auto">
                          <a:xfrm>
                            <a:off x="9754" y="14063"/>
                            <a:ext cx="116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F0B509" id="Group 1997" o:spid="_x0000_s1026" style="position:absolute;margin-left:312.7pt;margin-top:702.5pt;width:233.3pt;height:2.2pt;z-index:-40574464;mso-position-horizontal-relative:page;mso-position-vertical-relative:page" coordorigin="6254,14050" coordsize="466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">
                <v:line id="Line 2050" o:spid="_x0000_s1027" style="position:absolute;visibility:visible;mso-wrap-style:square" from="6254,14051" to="7421,14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" strokeweight=".12pt"/>
                <v:line id="Line 2049" o:spid="_x0000_s1028" style="position:absolute;visibility:visible;mso-wrap-style:square" from="6254,14054" to="7421,14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" strokeweight=".12pt"/>
                <v:line id="Line 2048" o:spid="_x0000_s1029" style="position:absolute;visibility:visible;mso-wrap-style:square" from="6254,14056" to="7421,14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" strokeweight=".12pt"/>
                <v:line id="Line 2047" o:spid="_x0000_s1030" style="position:absolute;visibility:visible;mso-wrap-style:square" from="6254,14059" to="7421,14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" strokeweight=".12pt"/>
                <v:line id="Line 2046" o:spid="_x0000_s1031" style="position:absolute;visibility:visible;mso-wrap-style:square" from="6254,14061" to="7421,14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" strokeweight=".12pt"/>
                <v:line id="Line 2045" o:spid="_x0000_s1032" style="position:absolute;visibility:visible;mso-wrap-style:square" from="6254,14063" to="7421,14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" strokeweight=".12pt"/>
                <v:line id="Line 2044" o:spid="_x0000_s1033" style="position:absolute;visibility:visible;mso-wrap-style:square" from="6254,14085" to="7421,14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" strokeweight=".12pt"/>
                <v:line id="Line 2043" o:spid="_x0000_s1034" style="position:absolute;visibility:visible;mso-wrap-style:square" from="6254,14087" to="7421,14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" strokeweight=".12pt"/>
                <v:line id="Line 2042" o:spid="_x0000_s1035" style="position:absolute;visibility:visible;mso-wrap-style:square" from="6254,14090" to="7421,14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" strokeweight=".12pt"/>
                <v:line id="Line 2041" o:spid="_x0000_s1036" style="position:absolute;visibility:visible;mso-wrap-style:square" from="6254,14092" to="7421,14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" strokeweight=".12pt"/>
                <v:line id="Line 2040" o:spid="_x0000_s1037" style="position:absolute;visibility:visible;mso-wrap-style:square" from="7421,14051" to="8587,14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" strokeweight=".12pt"/>
                <v:line id="Line 2039" o:spid="_x0000_s1038" style="position:absolute;visibility:visible;mso-wrap-style:square" from="7421,14054" to="8587,14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" strokeweight=".12pt"/>
                <v:line id="Line 2038" o:spid="_x0000_s1039" style="position:absolute;visibility:visible;mso-wrap-style:square" from="7421,14056" to="8587,14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" strokeweight=".12pt"/>
                <v:line id="Line 2037" o:spid="_x0000_s1040" style="position:absolute;visibility:visible;mso-wrap-style:square" from="7421,14059" to="8587,14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" strokeweight=".12pt"/>
                <v:line id="Line 2036" o:spid="_x0000_s1041" style="position:absolute;visibility:visible;mso-wrap-style:square" from="7421,14061" to="8587,14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" strokeweight=".12pt"/>
                <v:line id="Line 2035" o:spid="_x0000_s1042" style="position:absolute;visibility:visible;mso-wrap-style:square" from="7421,14063" to="8587,14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" strokeweight=".12pt"/>
                <v:line id="Line 2034" o:spid="_x0000_s1043" style="position:absolute;visibility:visible;mso-wrap-style:square" from="8587,14051" to="9754,14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" strokeweight=".12pt"/>
                <v:line id="Line 2033" o:spid="_x0000_s1044" style="position:absolute;visibility:visible;mso-wrap-style:square" from="8587,14054" to="9754,14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" strokeweight=".12pt"/>
                <v:line id="Line 2032" o:spid="_x0000_s1045" style="position:absolute;visibility:visible;mso-wrap-style:square" from="8587,14056" to="9754,14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" strokeweight=".12pt"/>
                <v:line id="Line 2031" o:spid="_x0000_s1046" style="position:absolute;visibility:visible;mso-wrap-style:square" from="8587,14059" to="9754,14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" strokeweight=".12pt"/>
                <v:line id="Line 2030" o:spid="_x0000_s1047" style="position:absolute;visibility:visible;mso-wrap-style:square" from="8587,14061" to="9754,14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" strokeweight=".12pt"/>
                <v:line id="Line 2029" o:spid="_x0000_s1048" style="position:absolute;visibility:visible;mso-wrap-style:square" from="8587,14063" to="9754,14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" strokeweight=".12pt"/>
                <v:line id="Line 2028" o:spid="_x0000_s1049" style="position:absolute;visibility:visible;mso-wrap-style:square" from="9754,14051" to="10920,14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" strokeweight=".12pt"/>
                <v:line id="Line 2027" o:spid="_x0000_s1050" style="position:absolute;visibility:visible;mso-wrap-style:square" from="9754,14054" to="10920,14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" strokeweight=".12pt"/>
                <v:line id="Line 2026" o:spid="_x0000_s1051" style="position:absolute;visibility:visible;mso-wrap-style:square" from="9754,14056" to="10920,14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" strokeweight=".12pt"/>
                <v:line id="Line 2025" o:spid="_x0000_s1052" style="position:absolute;visibility:visible;mso-wrap-style:square" from="9754,14059" to="10920,14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" strokeweight=".12pt"/>
                <v:line id="Line 2024" o:spid="_x0000_s1053" style="position:absolute;visibility:visible;mso-wrap-style:square" from="9754,14061" to="10920,14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" strokeweight=".12pt"/>
                <v:line id="Line 2023" o:spid="_x0000_s1054" style="position:absolute;visibility:visible;mso-wrap-style:square" from="9754,14063" to="10920,14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" strokeweight=".12pt"/>
                <v:line id="Line 2022" o:spid="_x0000_s1055" style="position:absolute;visibility:visible;mso-wrap-style:square" from="6254,14051" to="7421,14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" strokeweight=".12pt"/>
                <v:line id="Line 2021" o:spid="_x0000_s1056" style="position:absolute;visibility:visible;mso-wrap-style:square" from="6254,14054" to="7421,14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" strokeweight=".12pt"/>
                <v:line id="Line 2020" o:spid="_x0000_s1057" style="position:absolute;visibility:visible;mso-wrap-style:square" from="6254,14056" to="7421,14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" strokeweight=".12pt"/>
                <v:line id="Line 2019" o:spid="_x0000_s1058" style="position:absolute;visibility:visible;mso-wrap-style:square" from="6254,14059" to="7421,14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" strokeweight=".12pt"/>
                <v:line id="Line 2018" o:spid="_x0000_s1059" style="position:absolute;visibility:visible;mso-wrap-style:square" from="6254,14061" to="7421,14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" strokeweight=".12pt"/>
                <v:line id="Line 2017" o:spid="_x0000_s1060" style="position:absolute;visibility:visible;mso-wrap-style:square" from="6254,14063" to="7421,14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" strokeweight=".12pt"/>
                <v:line id="Line 2016" o:spid="_x0000_s1061" style="position:absolute;visibility:visible;mso-wrap-style:square" from="6254,14085" to="7421,14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" strokeweight=".12pt"/>
                <v:line id="Line 2015" o:spid="_x0000_s1062" style="position:absolute;visibility:visible;mso-wrap-style:square" from="6254,14087" to="7421,14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" strokeweight=".12pt"/>
                <v:line id="Line 2014" o:spid="_x0000_s1063" style="position:absolute;visibility:visible;mso-wrap-style:square" from="6254,14090" to="7421,14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" strokeweight=".12pt"/>
                <v:line id="Line 2013" o:spid="_x0000_s1064" style="position:absolute;visibility:visible;mso-wrap-style:square" from="7421,14051" to="8587,14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" strokeweight=".12pt"/>
                <v:line id="Line 2012" o:spid="_x0000_s1065" style="position:absolute;visibility:visible;mso-wrap-style:square" from="7421,14054" to="8587,14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" strokeweight=".12pt"/>
                <v:line id="Line 2011" o:spid="_x0000_s1066" style="position:absolute;visibility:visible;mso-wrap-style:square" from="7421,14056" to="8587,14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" strokeweight=".12pt"/>
                <v:line id="Line 2010" o:spid="_x0000_s1067" style="position:absolute;visibility:visible;mso-wrap-style:square" from="7421,14059" to="8587,14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" strokeweight=".12pt"/>
                <v:line id="Line 2009" o:spid="_x0000_s1068" style="position:absolute;visibility:visible;mso-wrap-style:square" from="7421,14061" to="8587,14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" strokeweight=".12pt"/>
                <v:line id="Line 2008" o:spid="_x0000_s1069" style="position:absolute;visibility:visible;mso-wrap-style:square" from="7421,14063" to="8587,14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" strokeweight=".12pt"/>
                <v:line id="Line 2007" o:spid="_x0000_s1070" style="position:absolute;visibility:visible;mso-wrap-style:square" from="8587,14051" to="9754,14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" strokeweight=".12pt"/>
                <v:line id="Line 2006" o:spid="_x0000_s1071" style="position:absolute;visibility:visible;mso-wrap-style:square" from="8587,14054" to="9754,14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" strokeweight=".12pt"/>
                <v:line id="Line 2005" o:spid="_x0000_s1072" style="position:absolute;visibility:visible;mso-wrap-style:square" from="8587,14056" to="9754,14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" strokeweight=".12pt"/>
                <v:line id="Line 2004" o:spid="_x0000_s1073" style="position:absolute;visibility:visible;mso-wrap-style:square" from="8587,14059" to="9754,14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" strokeweight=".12pt"/>
                <v:line id="Line 2003" o:spid="_x0000_s1074" style="position:absolute;visibility:visible;mso-wrap-style:square" from="8587,14063" to="9754,14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" strokeweight=".12pt"/>
                <v:line id="Line 2002" o:spid="_x0000_s1075" style="position:absolute;visibility:visible;mso-wrap-style:square" from="9754,14051" to="10920,14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" strokeweight=".12pt"/>
                <v:line id="Line 2001" o:spid="_x0000_s1076" style="position:absolute;visibility:visible;mso-wrap-style:square" from="9754,14054" to="10920,14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" strokeweight=".12pt"/>
                <v:line id="Line 2000" o:spid="_x0000_s1077" style="position:absolute;visibility:visible;mso-wrap-style:square" from="9754,14056" to="10920,14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" strokeweight=".12pt"/>
                <v:line id="Line 1999" o:spid="_x0000_s1078" style="position:absolute;visibility:visible;mso-wrap-style:square" from="9754,14059" to="10920,14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" strokeweight=".12pt"/>
                <v:line id="Line 1998" o:spid="_x0000_s1079" style="position:absolute;visibility:visible;mso-wrap-style:square" from="9754,14063" to="10920,14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" strokeweight=".12pt"/>
                <w10:wrap anchorx="page" anchory="page"/>
              </v:group>
            </w:pict>
          </mc:Fallback>
        </mc:AlternateContent>
      </w:r>
    </w:p>
    <w:p w14:paraId="5FD780C5" w14:textId="77777777" w:rsidR="00FA4AA8" w:rsidRDefault="00FA4AA8">
      <w:pPr>
        <w:pStyle w:val="BodyText"/>
        <w:spacing w:before="5"/>
        <w:rPr>
          <w:b/>
          <w:sz w:val="12"/>
        </w:rPr>
      </w:pPr>
    </w:p>
    <w:tbl>
      <w:tblPr>
        <w:tblW w:w="0" w:type="auto"/>
        <w:tblInd w:w="461" w:type="dxa"/>
        <w:tblLayout w:type="fixed"/>
        <w:tblCellMar>
          <w:left w:w="0" w:type="dxa"/>
          <w:right w:w="0" w:type="dxa"/>
        </w:tblCellMar>
        <w:tblLook w:val="01E0" w:firstRow="1" w:lastRow="1" w:firstColumn="1" w:lastColumn="1" w:noHBand="0" w:noVBand="0"/>
      </w:tblPr>
      <w:tblGrid>
        <w:gridCol w:w="4308"/>
        <w:gridCol w:w="592"/>
        <w:gridCol w:w="1166"/>
        <w:gridCol w:w="1166"/>
        <w:gridCol w:w="1166"/>
        <w:gridCol w:w="1166"/>
      </w:tblGrid>
      <w:tr w:rsidR="00FA4AA8" w14:paraId="287C6628" w14:textId="77777777">
        <w:trPr>
          <w:trHeight w:val="259"/>
        </w:trPr>
        <w:tc>
          <w:tcPr>
            <w:tcW w:w="4308" w:type="dxa"/>
          </w:tcPr>
          <w:p w14:paraId="6973FE80" w14:textId="77777777" w:rsidR="00FA4AA8" w:rsidRDefault="0015611F">
            <w:pPr>
              <w:pStyle w:val="TableParagraph"/>
              <w:spacing w:line="201" w:lineRule="exact"/>
              <w:ind w:left="50"/>
              <w:rPr>
                <w:b/>
                <w:sz w:val="18"/>
              </w:rPr>
            </w:pPr>
            <w:r>
              <w:rPr>
                <w:b/>
                <w:sz w:val="18"/>
              </w:rPr>
              <w:t>Fair value measurements at 31 December 2017</w:t>
            </w:r>
          </w:p>
        </w:tc>
        <w:tc>
          <w:tcPr>
            <w:tcW w:w="5256" w:type="dxa"/>
            <w:gridSpan w:val="5"/>
            <w:vMerge w:val="restart"/>
          </w:tcPr>
          <w:p w14:paraId="21F754C9" w14:textId="77777777" w:rsidR="00FA4AA8" w:rsidRDefault="00FA4AA8">
            <w:pPr>
              <w:pStyle w:val="TableParagraph"/>
              <w:rPr>
                <w:rFonts w:ascii="Times New Roman"/>
                <w:sz w:val="16"/>
              </w:rPr>
            </w:pPr>
          </w:p>
        </w:tc>
      </w:tr>
      <w:tr w:rsidR="00FA4AA8" w14:paraId="34289E76" w14:textId="77777777">
        <w:trPr>
          <w:trHeight w:val="296"/>
        </w:trPr>
        <w:tc>
          <w:tcPr>
            <w:tcW w:w="4308" w:type="dxa"/>
          </w:tcPr>
          <w:p w14:paraId="4767DCC8" w14:textId="77777777" w:rsidR="00FA4AA8" w:rsidRDefault="0015611F">
            <w:pPr>
              <w:pStyle w:val="TableParagraph"/>
              <w:spacing w:before="53"/>
              <w:ind w:left="93"/>
              <w:rPr>
                <w:b/>
                <w:sz w:val="16"/>
              </w:rPr>
            </w:pPr>
            <w:r>
              <w:rPr>
                <w:b/>
                <w:sz w:val="16"/>
              </w:rPr>
              <w:t>Recurring fair value measurements</w:t>
            </w:r>
          </w:p>
        </w:tc>
        <w:tc>
          <w:tcPr>
            <w:tcW w:w="5256" w:type="dxa"/>
            <w:gridSpan w:val="5"/>
            <w:vMerge/>
            <w:tcBorders>
              <w:top w:val="nil"/>
            </w:tcBorders>
          </w:tcPr>
          <w:p w14:paraId="768DACBC" w14:textId="77777777" w:rsidR="00FA4AA8" w:rsidRDefault="00FA4AA8">
            <w:pPr>
              <w:rPr>
                <w:sz w:val="2"/>
                <w:szCs w:val="2"/>
              </w:rPr>
            </w:pPr>
          </w:p>
        </w:tc>
      </w:tr>
      <w:tr w:rsidR="00FA4AA8" w14:paraId="3470F4D2" w14:textId="77777777">
        <w:trPr>
          <w:trHeight w:val="255"/>
        </w:trPr>
        <w:tc>
          <w:tcPr>
            <w:tcW w:w="4308" w:type="dxa"/>
          </w:tcPr>
          <w:p w14:paraId="1553D994" w14:textId="77777777" w:rsidR="00FA4AA8" w:rsidRDefault="0015611F">
            <w:pPr>
              <w:pStyle w:val="TableParagraph"/>
              <w:spacing w:before="54" w:line="181" w:lineRule="exact"/>
              <w:ind w:left="93"/>
              <w:rPr>
                <w:b/>
                <w:sz w:val="16"/>
              </w:rPr>
            </w:pPr>
            <w:r>
              <w:rPr>
                <w:b/>
                <w:sz w:val="16"/>
              </w:rPr>
              <w:t>Financial assets</w:t>
            </w:r>
          </w:p>
        </w:tc>
        <w:tc>
          <w:tcPr>
            <w:tcW w:w="5256" w:type="dxa"/>
            <w:gridSpan w:val="5"/>
            <w:vMerge/>
            <w:tcBorders>
              <w:top w:val="nil"/>
            </w:tcBorders>
          </w:tcPr>
          <w:p w14:paraId="4CCECBE5" w14:textId="77777777" w:rsidR="00FA4AA8" w:rsidRDefault="00FA4AA8">
            <w:pPr>
              <w:rPr>
                <w:sz w:val="2"/>
                <w:szCs w:val="2"/>
              </w:rPr>
            </w:pPr>
          </w:p>
        </w:tc>
      </w:tr>
      <w:tr w:rsidR="00FA4AA8" w14:paraId="0ADDF45D" w14:textId="77777777">
        <w:trPr>
          <w:trHeight w:val="223"/>
        </w:trPr>
        <w:tc>
          <w:tcPr>
            <w:tcW w:w="4308" w:type="dxa"/>
          </w:tcPr>
          <w:p w14:paraId="6C6CF3F4" w14:textId="77777777" w:rsidR="00FA4AA8" w:rsidRDefault="0015611F">
            <w:pPr>
              <w:pStyle w:val="TableParagraph"/>
              <w:spacing w:before="15"/>
              <w:ind w:left="234"/>
              <w:rPr>
                <w:sz w:val="16"/>
              </w:rPr>
            </w:pPr>
            <w:r>
              <w:rPr>
                <w:sz w:val="16"/>
              </w:rPr>
              <w:t>Available for sale</w:t>
            </w:r>
          </w:p>
        </w:tc>
        <w:tc>
          <w:tcPr>
            <w:tcW w:w="592" w:type="dxa"/>
          </w:tcPr>
          <w:p w14:paraId="2AD7C56A" w14:textId="77777777" w:rsidR="00FA4AA8" w:rsidRDefault="00FA4AA8">
            <w:pPr>
              <w:pStyle w:val="TableParagraph"/>
              <w:rPr>
                <w:rFonts w:ascii="Times New Roman"/>
                <w:sz w:val="14"/>
              </w:rPr>
            </w:pPr>
          </w:p>
        </w:tc>
        <w:tc>
          <w:tcPr>
            <w:tcW w:w="1166" w:type="dxa"/>
            <w:tcBorders>
              <w:bottom w:val="single" w:sz="8" w:space="0" w:color="000000"/>
            </w:tcBorders>
          </w:tcPr>
          <w:p w14:paraId="32BD2B08" w14:textId="77777777" w:rsidR="00FA4AA8" w:rsidRDefault="0015611F">
            <w:pPr>
              <w:pStyle w:val="TableParagraph"/>
              <w:spacing w:before="12"/>
              <w:ind w:right="76"/>
              <w:jc w:val="right"/>
              <w:rPr>
                <w:sz w:val="16"/>
              </w:rPr>
            </w:pPr>
            <w:r>
              <w:rPr>
                <w:sz w:val="16"/>
              </w:rPr>
              <w:t>96,836</w:t>
            </w:r>
          </w:p>
        </w:tc>
        <w:tc>
          <w:tcPr>
            <w:tcW w:w="1166" w:type="dxa"/>
            <w:tcBorders>
              <w:bottom w:val="single" w:sz="8" w:space="0" w:color="000000"/>
            </w:tcBorders>
          </w:tcPr>
          <w:p w14:paraId="1E289C3D" w14:textId="77777777" w:rsidR="00FA4AA8" w:rsidRDefault="0015611F">
            <w:pPr>
              <w:pStyle w:val="TableParagraph"/>
              <w:spacing w:before="12"/>
              <w:ind w:right="75"/>
              <w:jc w:val="right"/>
              <w:rPr>
                <w:sz w:val="16"/>
              </w:rPr>
            </w:pPr>
            <w:r>
              <w:rPr>
                <w:sz w:val="16"/>
              </w:rPr>
              <w:t>-</w:t>
            </w:r>
          </w:p>
        </w:tc>
        <w:tc>
          <w:tcPr>
            <w:tcW w:w="1166" w:type="dxa"/>
            <w:tcBorders>
              <w:bottom w:val="single" w:sz="8" w:space="0" w:color="000000"/>
            </w:tcBorders>
          </w:tcPr>
          <w:p w14:paraId="16FE8AD5" w14:textId="77777777" w:rsidR="00FA4AA8" w:rsidRDefault="0015611F">
            <w:pPr>
              <w:pStyle w:val="TableParagraph"/>
              <w:spacing w:before="12"/>
              <w:ind w:right="75"/>
              <w:jc w:val="right"/>
              <w:rPr>
                <w:sz w:val="16"/>
              </w:rPr>
            </w:pPr>
            <w:r>
              <w:rPr>
                <w:sz w:val="16"/>
              </w:rPr>
              <w:t>96,499</w:t>
            </w:r>
          </w:p>
        </w:tc>
        <w:tc>
          <w:tcPr>
            <w:tcW w:w="1166" w:type="dxa"/>
            <w:tcBorders>
              <w:bottom w:val="single" w:sz="8" w:space="0" w:color="000000"/>
            </w:tcBorders>
          </w:tcPr>
          <w:p w14:paraId="3E20C979" w14:textId="77777777" w:rsidR="00FA4AA8" w:rsidRDefault="0015611F">
            <w:pPr>
              <w:pStyle w:val="TableParagraph"/>
              <w:spacing w:before="12"/>
              <w:ind w:right="75"/>
              <w:jc w:val="right"/>
              <w:rPr>
                <w:sz w:val="16"/>
              </w:rPr>
            </w:pPr>
            <w:r>
              <w:rPr>
                <w:sz w:val="16"/>
              </w:rPr>
              <w:t>337</w:t>
            </w:r>
          </w:p>
        </w:tc>
      </w:tr>
      <w:tr w:rsidR="00FA4AA8" w14:paraId="2CDBE847" w14:textId="77777777">
        <w:trPr>
          <w:trHeight w:val="298"/>
        </w:trPr>
        <w:tc>
          <w:tcPr>
            <w:tcW w:w="4308" w:type="dxa"/>
          </w:tcPr>
          <w:p w14:paraId="7FF4393F" w14:textId="77777777" w:rsidR="00FA4AA8" w:rsidRDefault="0015611F">
            <w:pPr>
              <w:pStyle w:val="TableParagraph"/>
              <w:spacing w:before="88"/>
              <w:ind w:left="93"/>
              <w:rPr>
                <w:b/>
                <w:sz w:val="16"/>
              </w:rPr>
            </w:pPr>
            <w:r>
              <w:rPr>
                <w:b/>
                <w:sz w:val="16"/>
              </w:rPr>
              <w:t>Total financial assets</w:t>
            </w:r>
          </w:p>
        </w:tc>
        <w:tc>
          <w:tcPr>
            <w:tcW w:w="592" w:type="dxa"/>
          </w:tcPr>
          <w:p w14:paraId="57451F32" w14:textId="77777777" w:rsidR="00FA4AA8" w:rsidRDefault="00FA4AA8">
            <w:pPr>
              <w:pStyle w:val="TableParagraph"/>
              <w:rPr>
                <w:rFonts w:ascii="Times New Roman"/>
                <w:sz w:val="16"/>
              </w:rPr>
            </w:pPr>
          </w:p>
        </w:tc>
        <w:tc>
          <w:tcPr>
            <w:tcW w:w="1166" w:type="dxa"/>
            <w:tcBorders>
              <w:top w:val="single" w:sz="8" w:space="0" w:color="000000"/>
              <w:bottom w:val="double" w:sz="2" w:space="0" w:color="000000"/>
            </w:tcBorders>
          </w:tcPr>
          <w:p w14:paraId="11CA9E01" w14:textId="77777777" w:rsidR="00FA4AA8" w:rsidRDefault="0015611F">
            <w:pPr>
              <w:pStyle w:val="TableParagraph"/>
              <w:spacing w:before="114" w:line="164" w:lineRule="exact"/>
              <w:ind w:right="76"/>
              <w:jc w:val="right"/>
              <w:rPr>
                <w:sz w:val="16"/>
              </w:rPr>
            </w:pPr>
            <w:r>
              <w:rPr>
                <w:sz w:val="16"/>
              </w:rPr>
              <w:t>96,836</w:t>
            </w:r>
          </w:p>
        </w:tc>
        <w:tc>
          <w:tcPr>
            <w:tcW w:w="1166" w:type="dxa"/>
            <w:tcBorders>
              <w:top w:val="single" w:sz="8" w:space="0" w:color="000000"/>
              <w:bottom w:val="double" w:sz="2" w:space="0" w:color="000000"/>
            </w:tcBorders>
          </w:tcPr>
          <w:p w14:paraId="251C41DD" w14:textId="77777777" w:rsidR="00FA4AA8" w:rsidRDefault="0015611F">
            <w:pPr>
              <w:pStyle w:val="TableParagraph"/>
              <w:spacing w:before="114" w:line="164" w:lineRule="exact"/>
              <w:ind w:right="75"/>
              <w:jc w:val="right"/>
              <w:rPr>
                <w:sz w:val="16"/>
              </w:rPr>
            </w:pPr>
            <w:r>
              <w:rPr>
                <w:sz w:val="16"/>
              </w:rPr>
              <w:t>-</w:t>
            </w:r>
          </w:p>
        </w:tc>
        <w:tc>
          <w:tcPr>
            <w:tcW w:w="1166" w:type="dxa"/>
            <w:tcBorders>
              <w:top w:val="single" w:sz="8" w:space="0" w:color="000000"/>
              <w:bottom w:val="double" w:sz="2" w:space="0" w:color="000000"/>
            </w:tcBorders>
          </w:tcPr>
          <w:p w14:paraId="48178949" w14:textId="77777777" w:rsidR="00FA4AA8" w:rsidRDefault="0015611F">
            <w:pPr>
              <w:pStyle w:val="TableParagraph"/>
              <w:spacing w:before="114" w:line="164" w:lineRule="exact"/>
              <w:ind w:right="75"/>
              <w:jc w:val="right"/>
              <w:rPr>
                <w:sz w:val="16"/>
              </w:rPr>
            </w:pPr>
            <w:r>
              <w:rPr>
                <w:sz w:val="16"/>
              </w:rPr>
              <w:t>96,499</w:t>
            </w:r>
          </w:p>
        </w:tc>
        <w:tc>
          <w:tcPr>
            <w:tcW w:w="1166" w:type="dxa"/>
            <w:tcBorders>
              <w:top w:val="single" w:sz="8" w:space="0" w:color="000000"/>
              <w:bottom w:val="double" w:sz="2" w:space="0" w:color="000000"/>
            </w:tcBorders>
          </w:tcPr>
          <w:p w14:paraId="49FA92BB" w14:textId="77777777" w:rsidR="00FA4AA8" w:rsidRDefault="0015611F">
            <w:pPr>
              <w:pStyle w:val="TableParagraph"/>
              <w:spacing w:before="114" w:line="164" w:lineRule="exact"/>
              <w:ind w:right="75"/>
              <w:jc w:val="right"/>
              <w:rPr>
                <w:sz w:val="16"/>
              </w:rPr>
            </w:pPr>
            <w:r>
              <w:rPr>
                <w:sz w:val="16"/>
              </w:rPr>
              <w:t>337</w:t>
            </w:r>
          </w:p>
        </w:tc>
      </w:tr>
      <w:tr w:rsidR="00FA4AA8" w14:paraId="20E4F230" w14:textId="77777777">
        <w:trPr>
          <w:trHeight w:val="316"/>
        </w:trPr>
        <w:tc>
          <w:tcPr>
            <w:tcW w:w="4308" w:type="dxa"/>
          </w:tcPr>
          <w:p w14:paraId="0B6AA531" w14:textId="77777777" w:rsidR="00FA4AA8" w:rsidRDefault="0015611F">
            <w:pPr>
              <w:pStyle w:val="TableParagraph"/>
              <w:spacing w:before="116" w:line="180" w:lineRule="exact"/>
              <w:ind w:left="93"/>
              <w:rPr>
                <w:b/>
                <w:sz w:val="16"/>
              </w:rPr>
            </w:pPr>
            <w:r>
              <w:rPr>
                <w:b/>
                <w:sz w:val="16"/>
              </w:rPr>
              <w:t>Non-financial assets</w:t>
            </w:r>
          </w:p>
        </w:tc>
        <w:tc>
          <w:tcPr>
            <w:tcW w:w="592" w:type="dxa"/>
          </w:tcPr>
          <w:p w14:paraId="15500186" w14:textId="77777777" w:rsidR="00FA4AA8" w:rsidRDefault="00FA4AA8">
            <w:pPr>
              <w:pStyle w:val="TableParagraph"/>
              <w:rPr>
                <w:rFonts w:ascii="Times New Roman"/>
                <w:sz w:val="16"/>
              </w:rPr>
            </w:pPr>
          </w:p>
        </w:tc>
        <w:tc>
          <w:tcPr>
            <w:tcW w:w="1166" w:type="dxa"/>
            <w:tcBorders>
              <w:top w:val="double" w:sz="2" w:space="0" w:color="000000"/>
            </w:tcBorders>
          </w:tcPr>
          <w:p w14:paraId="3957386A" w14:textId="77777777" w:rsidR="00FA4AA8" w:rsidRDefault="00FA4AA8">
            <w:pPr>
              <w:pStyle w:val="TableParagraph"/>
              <w:rPr>
                <w:rFonts w:ascii="Times New Roman"/>
                <w:sz w:val="16"/>
              </w:rPr>
            </w:pPr>
          </w:p>
        </w:tc>
        <w:tc>
          <w:tcPr>
            <w:tcW w:w="1166" w:type="dxa"/>
            <w:tcBorders>
              <w:top w:val="double" w:sz="2" w:space="0" w:color="000000"/>
            </w:tcBorders>
          </w:tcPr>
          <w:p w14:paraId="621BFFF7" w14:textId="77777777" w:rsidR="00FA4AA8" w:rsidRDefault="00FA4AA8">
            <w:pPr>
              <w:pStyle w:val="TableParagraph"/>
              <w:rPr>
                <w:rFonts w:ascii="Times New Roman"/>
                <w:sz w:val="16"/>
              </w:rPr>
            </w:pPr>
          </w:p>
        </w:tc>
        <w:tc>
          <w:tcPr>
            <w:tcW w:w="1166" w:type="dxa"/>
            <w:tcBorders>
              <w:top w:val="double" w:sz="2" w:space="0" w:color="000000"/>
            </w:tcBorders>
          </w:tcPr>
          <w:p w14:paraId="67378F2E" w14:textId="77777777" w:rsidR="00FA4AA8" w:rsidRDefault="00FA4AA8">
            <w:pPr>
              <w:pStyle w:val="TableParagraph"/>
              <w:rPr>
                <w:rFonts w:ascii="Times New Roman"/>
                <w:sz w:val="16"/>
              </w:rPr>
            </w:pPr>
          </w:p>
        </w:tc>
        <w:tc>
          <w:tcPr>
            <w:tcW w:w="1166" w:type="dxa"/>
            <w:tcBorders>
              <w:top w:val="double" w:sz="2" w:space="0" w:color="000000"/>
            </w:tcBorders>
          </w:tcPr>
          <w:p w14:paraId="597CB97E" w14:textId="77777777" w:rsidR="00FA4AA8" w:rsidRDefault="00FA4AA8">
            <w:pPr>
              <w:pStyle w:val="TableParagraph"/>
              <w:rPr>
                <w:rFonts w:ascii="Times New Roman"/>
                <w:sz w:val="16"/>
              </w:rPr>
            </w:pPr>
          </w:p>
        </w:tc>
      </w:tr>
      <w:tr w:rsidR="00FA4AA8" w14:paraId="4EC18CAB" w14:textId="77777777">
        <w:trPr>
          <w:trHeight w:val="225"/>
        </w:trPr>
        <w:tc>
          <w:tcPr>
            <w:tcW w:w="4308" w:type="dxa"/>
          </w:tcPr>
          <w:p w14:paraId="0A2BE5FF" w14:textId="77777777" w:rsidR="00FA4AA8" w:rsidRDefault="0015611F">
            <w:pPr>
              <w:pStyle w:val="TableParagraph"/>
              <w:spacing w:before="11"/>
              <w:ind w:left="93"/>
              <w:rPr>
                <w:sz w:val="16"/>
              </w:rPr>
            </w:pPr>
            <w:r>
              <w:rPr>
                <w:sz w:val="16"/>
              </w:rPr>
              <w:t>Property, plant and equipment</w:t>
            </w:r>
          </w:p>
        </w:tc>
        <w:tc>
          <w:tcPr>
            <w:tcW w:w="592" w:type="dxa"/>
          </w:tcPr>
          <w:p w14:paraId="512310D9" w14:textId="77777777" w:rsidR="00FA4AA8" w:rsidRDefault="0015611F">
            <w:pPr>
              <w:pStyle w:val="TableParagraph"/>
              <w:spacing w:before="11"/>
              <w:ind w:right="163"/>
              <w:jc w:val="right"/>
              <w:rPr>
                <w:sz w:val="16"/>
              </w:rPr>
            </w:pPr>
            <w:r>
              <w:rPr>
                <w:sz w:val="16"/>
              </w:rPr>
              <w:t>19</w:t>
            </w:r>
          </w:p>
        </w:tc>
        <w:tc>
          <w:tcPr>
            <w:tcW w:w="1166" w:type="dxa"/>
          </w:tcPr>
          <w:p w14:paraId="494A2AED" w14:textId="77777777" w:rsidR="00FA4AA8" w:rsidRDefault="00FA4AA8">
            <w:pPr>
              <w:pStyle w:val="TableParagraph"/>
              <w:rPr>
                <w:rFonts w:ascii="Times New Roman"/>
                <w:sz w:val="16"/>
              </w:rPr>
            </w:pPr>
          </w:p>
        </w:tc>
        <w:tc>
          <w:tcPr>
            <w:tcW w:w="1166" w:type="dxa"/>
          </w:tcPr>
          <w:p w14:paraId="3D5D949F" w14:textId="77777777" w:rsidR="00FA4AA8" w:rsidRDefault="00FA4AA8">
            <w:pPr>
              <w:pStyle w:val="TableParagraph"/>
              <w:rPr>
                <w:rFonts w:ascii="Times New Roman"/>
                <w:sz w:val="16"/>
              </w:rPr>
            </w:pPr>
          </w:p>
        </w:tc>
        <w:tc>
          <w:tcPr>
            <w:tcW w:w="1166" w:type="dxa"/>
          </w:tcPr>
          <w:p w14:paraId="4A1B7F63" w14:textId="77777777" w:rsidR="00FA4AA8" w:rsidRDefault="00FA4AA8">
            <w:pPr>
              <w:pStyle w:val="TableParagraph"/>
              <w:rPr>
                <w:rFonts w:ascii="Times New Roman"/>
                <w:sz w:val="16"/>
              </w:rPr>
            </w:pPr>
          </w:p>
        </w:tc>
        <w:tc>
          <w:tcPr>
            <w:tcW w:w="1166" w:type="dxa"/>
          </w:tcPr>
          <w:p w14:paraId="1BF2DAD3" w14:textId="77777777" w:rsidR="00FA4AA8" w:rsidRDefault="00FA4AA8">
            <w:pPr>
              <w:pStyle w:val="TableParagraph"/>
              <w:rPr>
                <w:rFonts w:ascii="Times New Roman"/>
                <w:sz w:val="16"/>
              </w:rPr>
            </w:pPr>
          </w:p>
        </w:tc>
      </w:tr>
      <w:tr w:rsidR="00FA4AA8" w14:paraId="313EDF80" w14:textId="77777777">
        <w:trPr>
          <w:trHeight w:val="242"/>
        </w:trPr>
        <w:tc>
          <w:tcPr>
            <w:tcW w:w="4308" w:type="dxa"/>
          </w:tcPr>
          <w:p w14:paraId="723E68EA" w14:textId="77777777" w:rsidR="00FA4AA8" w:rsidRDefault="0015611F">
            <w:pPr>
              <w:pStyle w:val="TableParagraph"/>
              <w:spacing w:before="28"/>
              <w:ind w:left="234"/>
              <w:rPr>
                <w:sz w:val="16"/>
              </w:rPr>
            </w:pPr>
            <w:r>
              <w:rPr>
                <w:sz w:val="16"/>
              </w:rPr>
              <w:t>Land</w:t>
            </w:r>
          </w:p>
        </w:tc>
        <w:tc>
          <w:tcPr>
            <w:tcW w:w="592" w:type="dxa"/>
          </w:tcPr>
          <w:p w14:paraId="5F4BCF51" w14:textId="77777777" w:rsidR="00FA4AA8" w:rsidRDefault="00FA4AA8">
            <w:pPr>
              <w:pStyle w:val="TableParagraph"/>
              <w:rPr>
                <w:rFonts w:ascii="Times New Roman"/>
                <w:sz w:val="16"/>
              </w:rPr>
            </w:pPr>
          </w:p>
        </w:tc>
        <w:tc>
          <w:tcPr>
            <w:tcW w:w="1166" w:type="dxa"/>
          </w:tcPr>
          <w:p w14:paraId="7A5D4F6F" w14:textId="77777777" w:rsidR="00FA4AA8" w:rsidRDefault="0015611F">
            <w:pPr>
              <w:pStyle w:val="TableParagraph"/>
              <w:spacing w:before="25"/>
              <w:ind w:right="76"/>
              <w:jc w:val="right"/>
              <w:rPr>
                <w:sz w:val="16"/>
              </w:rPr>
            </w:pPr>
            <w:r>
              <w:rPr>
                <w:sz w:val="16"/>
              </w:rPr>
              <w:t>528,314</w:t>
            </w:r>
          </w:p>
        </w:tc>
        <w:tc>
          <w:tcPr>
            <w:tcW w:w="1166" w:type="dxa"/>
          </w:tcPr>
          <w:p w14:paraId="68BD3C93" w14:textId="77777777" w:rsidR="00FA4AA8" w:rsidRDefault="0015611F">
            <w:pPr>
              <w:pStyle w:val="TableParagraph"/>
              <w:spacing w:before="25"/>
              <w:ind w:right="75"/>
              <w:jc w:val="right"/>
              <w:rPr>
                <w:sz w:val="16"/>
              </w:rPr>
            </w:pPr>
            <w:r>
              <w:rPr>
                <w:sz w:val="16"/>
              </w:rPr>
              <w:t>-</w:t>
            </w:r>
          </w:p>
        </w:tc>
        <w:tc>
          <w:tcPr>
            <w:tcW w:w="1166" w:type="dxa"/>
          </w:tcPr>
          <w:p w14:paraId="3EC9B8EE" w14:textId="77777777" w:rsidR="00FA4AA8" w:rsidRDefault="0015611F">
            <w:pPr>
              <w:pStyle w:val="TableParagraph"/>
              <w:spacing w:before="25"/>
              <w:ind w:right="75"/>
              <w:jc w:val="right"/>
              <w:rPr>
                <w:sz w:val="16"/>
              </w:rPr>
            </w:pPr>
            <w:r>
              <w:rPr>
                <w:sz w:val="16"/>
              </w:rPr>
              <w:t>980</w:t>
            </w:r>
          </w:p>
        </w:tc>
        <w:tc>
          <w:tcPr>
            <w:tcW w:w="1166" w:type="dxa"/>
          </w:tcPr>
          <w:p w14:paraId="5BC86105" w14:textId="77777777" w:rsidR="00FA4AA8" w:rsidRDefault="0015611F">
            <w:pPr>
              <w:pStyle w:val="TableParagraph"/>
              <w:spacing w:before="25"/>
              <w:ind w:right="75"/>
              <w:jc w:val="right"/>
              <w:rPr>
                <w:sz w:val="16"/>
              </w:rPr>
            </w:pPr>
            <w:r>
              <w:rPr>
                <w:sz w:val="16"/>
              </w:rPr>
              <w:t>527,334</w:t>
            </w:r>
          </w:p>
        </w:tc>
      </w:tr>
      <w:tr w:rsidR="00FA4AA8" w14:paraId="1D8F561E" w14:textId="77777777">
        <w:trPr>
          <w:trHeight w:val="242"/>
        </w:trPr>
        <w:tc>
          <w:tcPr>
            <w:tcW w:w="4308" w:type="dxa"/>
          </w:tcPr>
          <w:p w14:paraId="5410ED71" w14:textId="77777777" w:rsidR="00FA4AA8" w:rsidRDefault="0015611F">
            <w:pPr>
              <w:pStyle w:val="TableParagraph"/>
              <w:spacing w:before="28"/>
              <w:ind w:left="234"/>
              <w:rPr>
                <w:sz w:val="16"/>
              </w:rPr>
            </w:pPr>
            <w:r>
              <w:rPr>
                <w:sz w:val="16"/>
              </w:rPr>
              <w:t>Buildings</w:t>
            </w:r>
          </w:p>
        </w:tc>
        <w:tc>
          <w:tcPr>
            <w:tcW w:w="592" w:type="dxa"/>
          </w:tcPr>
          <w:p w14:paraId="2871EDE1" w14:textId="77777777" w:rsidR="00FA4AA8" w:rsidRDefault="00FA4AA8">
            <w:pPr>
              <w:pStyle w:val="TableParagraph"/>
              <w:rPr>
                <w:rFonts w:ascii="Times New Roman"/>
                <w:sz w:val="16"/>
              </w:rPr>
            </w:pPr>
          </w:p>
        </w:tc>
        <w:tc>
          <w:tcPr>
            <w:tcW w:w="1166" w:type="dxa"/>
          </w:tcPr>
          <w:p w14:paraId="35BFA4CF" w14:textId="77777777" w:rsidR="00FA4AA8" w:rsidRDefault="0015611F">
            <w:pPr>
              <w:pStyle w:val="TableParagraph"/>
              <w:spacing w:before="25"/>
              <w:ind w:right="76"/>
              <w:jc w:val="right"/>
              <w:rPr>
                <w:sz w:val="16"/>
              </w:rPr>
            </w:pPr>
            <w:r>
              <w:rPr>
                <w:sz w:val="16"/>
              </w:rPr>
              <w:t>981,524</w:t>
            </w:r>
          </w:p>
        </w:tc>
        <w:tc>
          <w:tcPr>
            <w:tcW w:w="1166" w:type="dxa"/>
          </w:tcPr>
          <w:p w14:paraId="14226B66" w14:textId="77777777" w:rsidR="00FA4AA8" w:rsidRDefault="0015611F">
            <w:pPr>
              <w:pStyle w:val="TableParagraph"/>
              <w:spacing w:before="25"/>
              <w:ind w:right="75"/>
              <w:jc w:val="right"/>
              <w:rPr>
                <w:sz w:val="16"/>
              </w:rPr>
            </w:pPr>
            <w:r>
              <w:rPr>
                <w:sz w:val="16"/>
              </w:rPr>
              <w:t>-</w:t>
            </w:r>
          </w:p>
        </w:tc>
        <w:tc>
          <w:tcPr>
            <w:tcW w:w="1166" w:type="dxa"/>
          </w:tcPr>
          <w:p w14:paraId="077EE580" w14:textId="77777777" w:rsidR="00FA4AA8" w:rsidRDefault="0015611F">
            <w:pPr>
              <w:pStyle w:val="TableParagraph"/>
              <w:spacing w:before="25"/>
              <w:ind w:right="74"/>
              <w:jc w:val="right"/>
              <w:rPr>
                <w:sz w:val="16"/>
              </w:rPr>
            </w:pPr>
            <w:r>
              <w:rPr>
                <w:sz w:val="16"/>
              </w:rPr>
              <w:t>-</w:t>
            </w:r>
          </w:p>
        </w:tc>
        <w:tc>
          <w:tcPr>
            <w:tcW w:w="1166" w:type="dxa"/>
          </w:tcPr>
          <w:p w14:paraId="2A3710E1" w14:textId="77777777" w:rsidR="00FA4AA8" w:rsidRDefault="0015611F">
            <w:pPr>
              <w:pStyle w:val="TableParagraph"/>
              <w:spacing w:before="25"/>
              <w:ind w:right="75"/>
              <w:jc w:val="right"/>
              <w:rPr>
                <w:sz w:val="16"/>
              </w:rPr>
            </w:pPr>
            <w:r>
              <w:rPr>
                <w:sz w:val="16"/>
              </w:rPr>
              <w:t>981,524</w:t>
            </w:r>
          </w:p>
        </w:tc>
      </w:tr>
      <w:tr w:rsidR="00FA4AA8" w14:paraId="27718150" w14:textId="77777777">
        <w:trPr>
          <w:trHeight w:val="242"/>
        </w:trPr>
        <w:tc>
          <w:tcPr>
            <w:tcW w:w="4308" w:type="dxa"/>
          </w:tcPr>
          <w:p w14:paraId="1EE7703A" w14:textId="77777777" w:rsidR="00FA4AA8" w:rsidRDefault="0015611F">
            <w:pPr>
              <w:pStyle w:val="TableParagraph"/>
              <w:spacing w:before="28"/>
              <w:ind w:left="234"/>
              <w:rPr>
                <w:sz w:val="16"/>
              </w:rPr>
            </w:pPr>
            <w:r>
              <w:rPr>
                <w:sz w:val="16"/>
              </w:rPr>
              <w:t>Infrastructure</w:t>
            </w:r>
          </w:p>
        </w:tc>
        <w:tc>
          <w:tcPr>
            <w:tcW w:w="592" w:type="dxa"/>
          </w:tcPr>
          <w:p w14:paraId="2FC924CF" w14:textId="77777777" w:rsidR="00FA4AA8" w:rsidRDefault="00FA4AA8">
            <w:pPr>
              <w:pStyle w:val="TableParagraph"/>
              <w:rPr>
                <w:rFonts w:ascii="Times New Roman"/>
                <w:sz w:val="16"/>
              </w:rPr>
            </w:pPr>
          </w:p>
        </w:tc>
        <w:tc>
          <w:tcPr>
            <w:tcW w:w="1166" w:type="dxa"/>
          </w:tcPr>
          <w:p w14:paraId="5295D477" w14:textId="77777777" w:rsidR="00FA4AA8" w:rsidRDefault="0015611F">
            <w:pPr>
              <w:pStyle w:val="TableParagraph"/>
              <w:spacing w:before="25"/>
              <w:ind w:right="76"/>
              <w:jc w:val="right"/>
              <w:rPr>
                <w:sz w:val="16"/>
              </w:rPr>
            </w:pPr>
            <w:r>
              <w:rPr>
                <w:sz w:val="16"/>
              </w:rPr>
              <w:t>109,035</w:t>
            </w:r>
          </w:p>
        </w:tc>
        <w:tc>
          <w:tcPr>
            <w:tcW w:w="1166" w:type="dxa"/>
          </w:tcPr>
          <w:p w14:paraId="5904CD12" w14:textId="77777777" w:rsidR="00FA4AA8" w:rsidRDefault="0015611F">
            <w:pPr>
              <w:pStyle w:val="TableParagraph"/>
              <w:spacing w:before="25"/>
              <w:ind w:right="75"/>
              <w:jc w:val="right"/>
              <w:rPr>
                <w:sz w:val="16"/>
              </w:rPr>
            </w:pPr>
            <w:r>
              <w:rPr>
                <w:sz w:val="16"/>
              </w:rPr>
              <w:t>-</w:t>
            </w:r>
          </w:p>
        </w:tc>
        <w:tc>
          <w:tcPr>
            <w:tcW w:w="1166" w:type="dxa"/>
          </w:tcPr>
          <w:p w14:paraId="283BFE56" w14:textId="77777777" w:rsidR="00FA4AA8" w:rsidRDefault="0015611F">
            <w:pPr>
              <w:pStyle w:val="TableParagraph"/>
              <w:spacing w:before="25"/>
              <w:ind w:right="74"/>
              <w:jc w:val="right"/>
              <w:rPr>
                <w:sz w:val="16"/>
              </w:rPr>
            </w:pPr>
            <w:r>
              <w:rPr>
                <w:sz w:val="16"/>
              </w:rPr>
              <w:t>-</w:t>
            </w:r>
          </w:p>
        </w:tc>
        <w:tc>
          <w:tcPr>
            <w:tcW w:w="1166" w:type="dxa"/>
          </w:tcPr>
          <w:p w14:paraId="2098F812" w14:textId="77777777" w:rsidR="00FA4AA8" w:rsidRDefault="0015611F">
            <w:pPr>
              <w:pStyle w:val="TableParagraph"/>
              <w:spacing w:before="25"/>
              <w:ind w:right="75"/>
              <w:jc w:val="right"/>
              <w:rPr>
                <w:sz w:val="16"/>
              </w:rPr>
            </w:pPr>
            <w:r>
              <w:rPr>
                <w:sz w:val="16"/>
              </w:rPr>
              <w:t>109,035</w:t>
            </w:r>
          </w:p>
        </w:tc>
      </w:tr>
      <w:tr w:rsidR="00FA4AA8" w14:paraId="28D4785A" w14:textId="77777777">
        <w:trPr>
          <w:trHeight w:val="242"/>
        </w:trPr>
        <w:tc>
          <w:tcPr>
            <w:tcW w:w="4308" w:type="dxa"/>
          </w:tcPr>
          <w:p w14:paraId="487AAB6F" w14:textId="77777777" w:rsidR="00FA4AA8" w:rsidRDefault="0015611F">
            <w:pPr>
              <w:pStyle w:val="TableParagraph"/>
              <w:spacing w:before="28"/>
              <w:ind w:left="234"/>
              <w:rPr>
                <w:sz w:val="16"/>
              </w:rPr>
            </w:pPr>
            <w:r>
              <w:rPr>
                <w:sz w:val="16"/>
              </w:rPr>
              <w:t>Artwork</w:t>
            </w:r>
          </w:p>
        </w:tc>
        <w:tc>
          <w:tcPr>
            <w:tcW w:w="592" w:type="dxa"/>
          </w:tcPr>
          <w:p w14:paraId="250FA535" w14:textId="77777777" w:rsidR="00FA4AA8" w:rsidRDefault="00FA4AA8">
            <w:pPr>
              <w:pStyle w:val="TableParagraph"/>
              <w:rPr>
                <w:rFonts w:ascii="Times New Roman"/>
                <w:sz w:val="16"/>
              </w:rPr>
            </w:pPr>
          </w:p>
        </w:tc>
        <w:tc>
          <w:tcPr>
            <w:tcW w:w="1166" w:type="dxa"/>
          </w:tcPr>
          <w:p w14:paraId="64419A99" w14:textId="77777777" w:rsidR="00FA4AA8" w:rsidRDefault="0015611F">
            <w:pPr>
              <w:pStyle w:val="TableParagraph"/>
              <w:spacing w:before="25"/>
              <w:ind w:right="76"/>
              <w:jc w:val="right"/>
              <w:rPr>
                <w:sz w:val="16"/>
              </w:rPr>
            </w:pPr>
            <w:r>
              <w:rPr>
                <w:sz w:val="16"/>
              </w:rPr>
              <w:t>4,410</w:t>
            </w:r>
          </w:p>
        </w:tc>
        <w:tc>
          <w:tcPr>
            <w:tcW w:w="1166" w:type="dxa"/>
          </w:tcPr>
          <w:p w14:paraId="43D4D033" w14:textId="77777777" w:rsidR="00FA4AA8" w:rsidRDefault="0015611F">
            <w:pPr>
              <w:pStyle w:val="TableParagraph"/>
              <w:spacing w:before="25"/>
              <w:ind w:right="75"/>
              <w:jc w:val="right"/>
              <w:rPr>
                <w:sz w:val="16"/>
              </w:rPr>
            </w:pPr>
            <w:r>
              <w:rPr>
                <w:sz w:val="16"/>
              </w:rPr>
              <w:t>-</w:t>
            </w:r>
          </w:p>
        </w:tc>
        <w:tc>
          <w:tcPr>
            <w:tcW w:w="1166" w:type="dxa"/>
          </w:tcPr>
          <w:p w14:paraId="56440E97" w14:textId="77777777" w:rsidR="00FA4AA8" w:rsidRDefault="0015611F">
            <w:pPr>
              <w:pStyle w:val="TableParagraph"/>
              <w:spacing w:before="25"/>
              <w:ind w:right="75"/>
              <w:jc w:val="right"/>
              <w:rPr>
                <w:sz w:val="16"/>
              </w:rPr>
            </w:pPr>
            <w:r>
              <w:rPr>
                <w:sz w:val="16"/>
              </w:rPr>
              <w:t>4,410</w:t>
            </w:r>
          </w:p>
        </w:tc>
        <w:tc>
          <w:tcPr>
            <w:tcW w:w="1166" w:type="dxa"/>
          </w:tcPr>
          <w:p w14:paraId="0BF09D70" w14:textId="77777777" w:rsidR="00FA4AA8" w:rsidRDefault="0015611F">
            <w:pPr>
              <w:pStyle w:val="TableParagraph"/>
              <w:spacing w:before="25"/>
              <w:ind w:right="74"/>
              <w:jc w:val="right"/>
              <w:rPr>
                <w:sz w:val="16"/>
              </w:rPr>
            </w:pPr>
            <w:r>
              <w:rPr>
                <w:sz w:val="16"/>
              </w:rPr>
              <w:t>-</w:t>
            </w:r>
          </w:p>
        </w:tc>
      </w:tr>
      <w:tr w:rsidR="00FA4AA8" w14:paraId="01403CBE" w14:textId="77777777">
        <w:trPr>
          <w:trHeight w:val="236"/>
        </w:trPr>
        <w:tc>
          <w:tcPr>
            <w:tcW w:w="4308" w:type="dxa"/>
          </w:tcPr>
          <w:p w14:paraId="7A19E40B" w14:textId="77777777" w:rsidR="00FA4AA8" w:rsidRDefault="0015611F">
            <w:pPr>
              <w:pStyle w:val="TableParagraph"/>
              <w:spacing w:before="28"/>
              <w:ind w:left="234"/>
              <w:rPr>
                <w:sz w:val="16"/>
              </w:rPr>
            </w:pPr>
            <w:r>
              <w:rPr>
                <w:sz w:val="16"/>
              </w:rPr>
              <w:t>Rare book collection</w:t>
            </w:r>
          </w:p>
        </w:tc>
        <w:tc>
          <w:tcPr>
            <w:tcW w:w="592" w:type="dxa"/>
          </w:tcPr>
          <w:p w14:paraId="4E4E618C" w14:textId="77777777" w:rsidR="00FA4AA8" w:rsidRDefault="00FA4AA8">
            <w:pPr>
              <w:pStyle w:val="TableParagraph"/>
              <w:rPr>
                <w:rFonts w:ascii="Times New Roman"/>
                <w:sz w:val="16"/>
              </w:rPr>
            </w:pPr>
          </w:p>
        </w:tc>
        <w:tc>
          <w:tcPr>
            <w:tcW w:w="1166" w:type="dxa"/>
            <w:tcBorders>
              <w:bottom w:val="single" w:sz="8" w:space="0" w:color="000000"/>
            </w:tcBorders>
          </w:tcPr>
          <w:p w14:paraId="300112E6" w14:textId="77777777" w:rsidR="00FA4AA8" w:rsidRDefault="0015611F">
            <w:pPr>
              <w:pStyle w:val="TableParagraph"/>
              <w:spacing w:before="25"/>
              <w:ind w:right="76"/>
              <w:jc w:val="right"/>
              <w:rPr>
                <w:sz w:val="16"/>
              </w:rPr>
            </w:pPr>
            <w:r>
              <w:rPr>
                <w:sz w:val="16"/>
              </w:rPr>
              <w:t>1,742</w:t>
            </w:r>
          </w:p>
        </w:tc>
        <w:tc>
          <w:tcPr>
            <w:tcW w:w="1166" w:type="dxa"/>
            <w:tcBorders>
              <w:bottom w:val="single" w:sz="8" w:space="0" w:color="000000"/>
            </w:tcBorders>
          </w:tcPr>
          <w:p w14:paraId="343ECFA2" w14:textId="77777777" w:rsidR="00FA4AA8" w:rsidRDefault="0015611F">
            <w:pPr>
              <w:pStyle w:val="TableParagraph"/>
              <w:spacing w:before="25"/>
              <w:ind w:right="75"/>
              <w:jc w:val="right"/>
              <w:rPr>
                <w:sz w:val="16"/>
              </w:rPr>
            </w:pPr>
            <w:r>
              <w:rPr>
                <w:sz w:val="16"/>
              </w:rPr>
              <w:t>-</w:t>
            </w:r>
          </w:p>
        </w:tc>
        <w:tc>
          <w:tcPr>
            <w:tcW w:w="1166" w:type="dxa"/>
            <w:tcBorders>
              <w:bottom w:val="single" w:sz="8" w:space="0" w:color="000000"/>
            </w:tcBorders>
          </w:tcPr>
          <w:p w14:paraId="68B037AA" w14:textId="77777777" w:rsidR="00FA4AA8" w:rsidRDefault="0015611F">
            <w:pPr>
              <w:pStyle w:val="TableParagraph"/>
              <w:spacing w:before="25"/>
              <w:ind w:right="75"/>
              <w:jc w:val="right"/>
              <w:rPr>
                <w:sz w:val="16"/>
              </w:rPr>
            </w:pPr>
            <w:r>
              <w:rPr>
                <w:sz w:val="16"/>
              </w:rPr>
              <w:t>1,742</w:t>
            </w:r>
          </w:p>
        </w:tc>
        <w:tc>
          <w:tcPr>
            <w:tcW w:w="1166" w:type="dxa"/>
            <w:tcBorders>
              <w:bottom w:val="single" w:sz="8" w:space="0" w:color="000000"/>
            </w:tcBorders>
          </w:tcPr>
          <w:p w14:paraId="4B546F57" w14:textId="77777777" w:rsidR="00FA4AA8" w:rsidRDefault="0015611F">
            <w:pPr>
              <w:pStyle w:val="TableParagraph"/>
              <w:spacing w:before="25"/>
              <w:ind w:right="74"/>
              <w:jc w:val="right"/>
              <w:rPr>
                <w:sz w:val="16"/>
              </w:rPr>
            </w:pPr>
            <w:r>
              <w:rPr>
                <w:sz w:val="16"/>
              </w:rPr>
              <w:t>-</w:t>
            </w:r>
          </w:p>
        </w:tc>
      </w:tr>
      <w:tr w:rsidR="00FA4AA8" w14:paraId="18F18B58" w14:textId="77777777">
        <w:trPr>
          <w:trHeight w:val="330"/>
        </w:trPr>
        <w:tc>
          <w:tcPr>
            <w:tcW w:w="4308" w:type="dxa"/>
          </w:tcPr>
          <w:p w14:paraId="1866FA3A" w14:textId="77777777" w:rsidR="00FA4AA8" w:rsidRDefault="0015611F">
            <w:pPr>
              <w:pStyle w:val="TableParagraph"/>
              <w:spacing w:before="88"/>
              <w:ind w:left="93"/>
              <w:rPr>
                <w:b/>
                <w:sz w:val="16"/>
              </w:rPr>
            </w:pPr>
            <w:r>
              <w:rPr>
                <w:b/>
                <w:sz w:val="16"/>
              </w:rPr>
              <w:t>Total non-financial assets</w:t>
            </w:r>
          </w:p>
        </w:tc>
        <w:tc>
          <w:tcPr>
            <w:tcW w:w="592" w:type="dxa"/>
          </w:tcPr>
          <w:p w14:paraId="419A3533" w14:textId="77777777" w:rsidR="00FA4AA8" w:rsidRDefault="00FA4AA8">
            <w:pPr>
              <w:pStyle w:val="TableParagraph"/>
              <w:rPr>
                <w:rFonts w:ascii="Times New Roman"/>
                <w:sz w:val="16"/>
              </w:rPr>
            </w:pPr>
          </w:p>
        </w:tc>
        <w:tc>
          <w:tcPr>
            <w:tcW w:w="1166" w:type="dxa"/>
            <w:tcBorders>
              <w:top w:val="single" w:sz="8" w:space="0" w:color="000000"/>
              <w:bottom w:val="single" w:sz="4" w:space="0" w:color="000000"/>
            </w:tcBorders>
          </w:tcPr>
          <w:p w14:paraId="53F7B85C" w14:textId="77777777" w:rsidR="00FA4AA8" w:rsidRDefault="0015611F">
            <w:pPr>
              <w:pStyle w:val="TableParagraph"/>
              <w:spacing w:before="114"/>
              <w:ind w:right="76"/>
              <w:jc w:val="right"/>
              <w:rPr>
                <w:sz w:val="16"/>
              </w:rPr>
            </w:pPr>
            <w:r>
              <w:rPr>
                <w:sz w:val="16"/>
              </w:rPr>
              <w:t>1,625,025</w:t>
            </w:r>
          </w:p>
        </w:tc>
        <w:tc>
          <w:tcPr>
            <w:tcW w:w="1166" w:type="dxa"/>
            <w:tcBorders>
              <w:top w:val="single" w:sz="8" w:space="0" w:color="000000"/>
              <w:bottom w:val="single" w:sz="4" w:space="0" w:color="000000"/>
            </w:tcBorders>
          </w:tcPr>
          <w:p w14:paraId="616886E0" w14:textId="77777777" w:rsidR="00FA4AA8" w:rsidRDefault="0015611F">
            <w:pPr>
              <w:pStyle w:val="TableParagraph"/>
              <w:spacing w:before="114"/>
              <w:ind w:right="75"/>
              <w:jc w:val="right"/>
              <w:rPr>
                <w:sz w:val="16"/>
              </w:rPr>
            </w:pPr>
            <w:r>
              <w:rPr>
                <w:sz w:val="16"/>
              </w:rPr>
              <w:t>-</w:t>
            </w:r>
          </w:p>
        </w:tc>
        <w:tc>
          <w:tcPr>
            <w:tcW w:w="1166" w:type="dxa"/>
            <w:tcBorders>
              <w:top w:val="single" w:sz="8" w:space="0" w:color="000000"/>
              <w:bottom w:val="single" w:sz="4" w:space="0" w:color="000000"/>
            </w:tcBorders>
          </w:tcPr>
          <w:p w14:paraId="020B16F8" w14:textId="77777777" w:rsidR="00FA4AA8" w:rsidRDefault="0015611F">
            <w:pPr>
              <w:pStyle w:val="TableParagraph"/>
              <w:spacing w:before="114"/>
              <w:ind w:right="75"/>
              <w:jc w:val="right"/>
              <w:rPr>
                <w:sz w:val="16"/>
              </w:rPr>
            </w:pPr>
            <w:r>
              <w:rPr>
                <w:sz w:val="16"/>
              </w:rPr>
              <w:t>7,132</w:t>
            </w:r>
          </w:p>
        </w:tc>
        <w:tc>
          <w:tcPr>
            <w:tcW w:w="1166" w:type="dxa"/>
            <w:tcBorders>
              <w:top w:val="single" w:sz="8" w:space="0" w:color="000000"/>
              <w:bottom w:val="single" w:sz="6" w:space="0" w:color="000000"/>
            </w:tcBorders>
          </w:tcPr>
          <w:p w14:paraId="7E7CE887" w14:textId="77777777" w:rsidR="00FA4AA8" w:rsidRDefault="0015611F">
            <w:pPr>
              <w:pStyle w:val="TableParagraph"/>
              <w:spacing w:before="114"/>
              <w:ind w:right="74"/>
              <w:jc w:val="right"/>
              <w:rPr>
                <w:sz w:val="16"/>
              </w:rPr>
            </w:pPr>
            <w:r>
              <w:rPr>
                <w:sz w:val="16"/>
              </w:rPr>
              <w:t>1,617,893</w:t>
            </w:r>
          </w:p>
        </w:tc>
      </w:tr>
      <w:tr w:rsidR="00FA4AA8" w14:paraId="683FC5B0" w14:textId="77777777">
        <w:trPr>
          <w:trHeight w:val="314"/>
        </w:trPr>
        <w:tc>
          <w:tcPr>
            <w:tcW w:w="4308" w:type="dxa"/>
          </w:tcPr>
          <w:p w14:paraId="057B6299" w14:textId="77777777" w:rsidR="00FA4AA8" w:rsidRDefault="0015611F">
            <w:pPr>
              <w:pStyle w:val="TableParagraph"/>
              <w:spacing w:before="115" w:line="180" w:lineRule="exact"/>
              <w:ind w:left="93"/>
              <w:rPr>
                <w:b/>
                <w:sz w:val="16"/>
              </w:rPr>
            </w:pPr>
            <w:r>
              <w:rPr>
                <w:b/>
                <w:sz w:val="16"/>
              </w:rPr>
              <w:t>Non-recurring fair value measurements</w:t>
            </w:r>
          </w:p>
        </w:tc>
        <w:tc>
          <w:tcPr>
            <w:tcW w:w="592" w:type="dxa"/>
          </w:tcPr>
          <w:p w14:paraId="698240D3" w14:textId="77777777" w:rsidR="00FA4AA8" w:rsidRDefault="00FA4AA8">
            <w:pPr>
              <w:pStyle w:val="TableParagraph"/>
              <w:rPr>
                <w:rFonts w:ascii="Times New Roman"/>
                <w:sz w:val="16"/>
              </w:rPr>
            </w:pPr>
          </w:p>
        </w:tc>
        <w:tc>
          <w:tcPr>
            <w:tcW w:w="1166" w:type="dxa"/>
            <w:tcBorders>
              <w:top w:val="single" w:sz="4" w:space="0" w:color="000000"/>
            </w:tcBorders>
          </w:tcPr>
          <w:p w14:paraId="44FDD62A" w14:textId="77777777" w:rsidR="00FA4AA8" w:rsidRDefault="00FA4AA8">
            <w:pPr>
              <w:pStyle w:val="TableParagraph"/>
              <w:rPr>
                <w:rFonts w:ascii="Times New Roman"/>
                <w:sz w:val="16"/>
              </w:rPr>
            </w:pPr>
          </w:p>
        </w:tc>
        <w:tc>
          <w:tcPr>
            <w:tcW w:w="1166" w:type="dxa"/>
            <w:tcBorders>
              <w:top w:val="single" w:sz="4" w:space="0" w:color="000000"/>
            </w:tcBorders>
          </w:tcPr>
          <w:p w14:paraId="590DD83B" w14:textId="77777777" w:rsidR="00FA4AA8" w:rsidRDefault="00FA4AA8">
            <w:pPr>
              <w:pStyle w:val="TableParagraph"/>
              <w:rPr>
                <w:rFonts w:ascii="Times New Roman"/>
                <w:sz w:val="16"/>
              </w:rPr>
            </w:pPr>
          </w:p>
        </w:tc>
        <w:tc>
          <w:tcPr>
            <w:tcW w:w="1166" w:type="dxa"/>
            <w:tcBorders>
              <w:top w:val="single" w:sz="4" w:space="0" w:color="000000"/>
            </w:tcBorders>
          </w:tcPr>
          <w:p w14:paraId="032D3A83" w14:textId="77777777" w:rsidR="00FA4AA8" w:rsidRDefault="00FA4AA8">
            <w:pPr>
              <w:pStyle w:val="TableParagraph"/>
              <w:rPr>
                <w:rFonts w:ascii="Times New Roman"/>
                <w:sz w:val="16"/>
              </w:rPr>
            </w:pPr>
          </w:p>
        </w:tc>
        <w:tc>
          <w:tcPr>
            <w:tcW w:w="1166" w:type="dxa"/>
            <w:tcBorders>
              <w:top w:val="single" w:sz="6" w:space="0" w:color="000000"/>
            </w:tcBorders>
          </w:tcPr>
          <w:p w14:paraId="792A565A" w14:textId="77777777" w:rsidR="00FA4AA8" w:rsidRDefault="00FA4AA8">
            <w:pPr>
              <w:pStyle w:val="TableParagraph"/>
              <w:rPr>
                <w:rFonts w:ascii="Times New Roman"/>
                <w:sz w:val="16"/>
              </w:rPr>
            </w:pPr>
          </w:p>
        </w:tc>
      </w:tr>
      <w:tr w:rsidR="00FA4AA8" w14:paraId="2D8E107E" w14:textId="77777777">
        <w:trPr>
          <w:trHeight w:val="224"/>
        </w:trPr>
        <w:tc>
          <w:tcPr>
            <w:tcW w:w="4308" w:type="dxa"/>
          </w:tcPr>
          <w:p w14:paraId="718FDF9B" w14:textId="77777777" w:rsidR="00FA4AA8" w:rsidRDefault="0015611F">
            <w:pPr>
              <w:pStyle w:val="TableParagraph"/>
              <w:spacing w:before="16"/>
              <w:ind w:left="93"/>
              <w:rPr>
                <w:sz w:val="16"/>
              </w:rPr>
            </w:pPr>
            <w:r>
              <w:rPr>
                <w:sz w:val="16"/>
              </w:rPr>
              <w:t>Non-current assets held for sale</w:t>
            </w:r>
          </w:p>
        </w:tc>
        <w:tc>
          <w:tcPr>
            <w:tcW w:w="592" w:type="dxa"/>
          </w:tcPr>
          <w:p w14:paraId="37822203" w14:textId="77777777" w:rsidR="00FA4AA8" w:rsidRDefault="0015611F">
            <w:pPr>
              <w:pStyle w:val="TableParagraph"/>
              <w:spacing w:before="11"/>
              <w:ind w:right="163"/>
              <w:jc w:val="right"/>
              <w:rPr>
                <w:sz w:val="16"/>
              </w:rPr>
            </w:pPr>
            <w:r>
              <w:rPr>
                <w:sz w:val="16"/>
              </w:rPr>
              <w:t>18</w:t>
            </w:r>
          </w:p>
        </w:tc>
        <w:tc>
          <w:tcPr>
            <w:tcW w:w="1166" w:type="dxa"/>
            <w:tcBorders>
              <w:bottom w:val="single" w:sz="8" w:space="0" w:color="000000"/>
            </w:tcBorders>
          </w:tcPr>
          <w:p w14:paraId="165FABBA" w14:textId="77777777" w:rsidR="00FA4AA8" w:rsidRDefault="0015611F">
            <w:pPr>
              <w:pStyle w:val="TableParagraph"/>
              <w:spacing w:before="13"/>
              <w:ind w:right="76"/>
              <w:jc w:val="right"/>
              <w:rPr>
                <w:sz w:val="16"/>
              </w:rPr>
            </w:pPr>
            <w:r>
              <w:rPr>
                <w:sz w:val="16"/>
              </w:rPr>
              <w:t>40,358</w:t>
            </w:r>
          </w:p>
        </w:tc>
        <w:tc>
          <w:tcPr>
            <w:tcW w:w="1166" w:type="dxa"/>
            <w:tcBorders>
              <w:bottom w:val="single" w:sz="8" w:space="0" w:color="000000"/>
            </w:tcBorders>
          </w:tcPr>
          <w:p w14:paraId="6F4BC1DA" w14:textId="77777777" w:rsidR="00FA4AA8" w:rsidRDefault="0015611F">
            <w:pPr>
              <w:pStyle w:val="TableParagraph"/>
              <w:spacing w:before="13"/>
              <w:ind w:right="75"/>
              <w:jc w:val="right"/>
              <w:rPr>
                <w:sz w:val="16"/>
              </w:rPr>
            </w:pPr>
            <w:r>
              <w:rPr>
                <w:sz w:val="16"/>
              </w:rPr>
              <w:t>-</w:t>
            </w:r>
          </w:p>
        </w:tc>
        <w:tc>
          <w:tcPr>
            <w:tcW w:w="1166" w:type="dxa"/>
            <w:tcBorders>
              <w:bottom w:val="single" w:sz="8" w:space="0" w:color="000000"/>
            </w:tcBorders>
          </w:tcPr>
          <w:p w14:paraId="4858CCBE" w14:textId="77777777" w:rsidR="00FA4AA8" w:rsidRDefault="0015611F">
            <w:pPr>
              <w:pStyle w:val="TableParagraph"/>
              <w:spacing w:before="13"/>
              <w:ind w:right="75"/>
              <w:jc w:val="right"/>
              <w:rPr>
                <w:sz w:val="16"/>
              </w:rPr>
            </w:pPr>
            <w:r>
              <w:rPr>
                <w:sz w:val="16"/>
              </w:rPr>
              <w:t>40,358</w:t>
            </w:r>
          </w:p>
        </w:tc>
        <w:tc>
          <w:tcPr>
            <w:tcW w:w="1166" w:type="dxa"/>
            <w:tcBorders>
              <w:bottom w:val="single" w:sz="8" w:space="0" w:color="000000"/>
            </w:tcBorders>
          </w:tcPr>
          <w:p w14:paraId="11B37B4E" w14:textId="77777777" w:rsidR="00FA4AA8" w:rsidRDefault="0015611F">
            <w:pPr>
              <w:pStyle w:val="TableParagraph"/>
              <w:spacing w:before="13"/>
              <w:ind w:right="74"/>
              <w:jc w:val="right"/>
              <w:rPr>
                <w:sz w:val="16"/>
              </w:rPr>
            </w:pPr>
            <w:r>
              <w:rPr>
                <w:sz w:val="16"/>
              </w:rPr>
              <w:t>-</w:t>
            </w:r>
          </w:p>
        </w:tc>
      </w:tr>
      <w:tr w:rsidR="00FA4AA8" w14:paraId="3D6DA57C" w14:textId="77777777">
        <w:trPr>
          <w:trHeight w:val="423"/>
        </w:trPr>
        <w:tc>
          <w:tcPr>
            <w:tcW w:w="4308" w:type="dxa"/>
          </w:tcPr>
          <w:p w14:paraId="3E1B6B3E" w14:textId="77777777" w:rsidR="00FA4AA8" w:rsidRDefault="0015611F">
            <w:pPr>
              <w:pStyle w:val="TableParagraph"/>
              <w:spacing w:before="28"/>
              <w:ind w:left="93" w:right="1972"/>
              <w:rPr>
                <w:b/>
                <w:sz w:val="16"/>
              </w:rPr>
            </w:pPr>
            <w:r>
              <w:rPr>
                <w:b/>
                <w:sz w:val="16"/>
              </w:rPr>
              <w:t>Total non-recurring fair value measurements</w:t>
            </w:r>
          </w:p>
        </w:tc>
        <w:tc>
          <w:tcPr>
            <w:tcW w:w="592" w:type="dxa"/>
          </w:tcPr>
          <w:p w14:paraId="3CEE0F94" w14:textId="77777777" w:rsidR="00FA4AA8" w:rsidRDefault="00FA4AA8">
            <w:pPr>
              <w:pStyle w:val="TableParagraph"/>
              <w:rPr>
                <w:rFonts w:ascii="Times New Roman"/>
                <w:sz w:val="16"/>
              </w:rPr>
            </w:pPr>
          </w:p>
        </w:tc>
        <w:tc>
          <w:tcPr>
            <w:tcW w:w="1166" w:type="dxa"/>
            <w:tcBorders>
              <w:top w:val="single" w:sz="8" w:space="0" w:color="000000"/>
              <w:bottom w:val="double" w:sz="2" w:space="0" w:color="000000"/>
            </w:tcBorders>
          </w:tcPr>
          <w:p w14:paraId="13D86361" w14:textId="77777777" w:rsidR="00FA4AA8" w:rsidRDefault="00FA4AA8">
            <w:pPr>
              <w:pStyle w:val="TableParagraph"/>
              <w:spacing w:before="9"/>
              <w:rPr>
                <w:b/>
                <w:sz w:val="20"/>
              </w:rPr>
            </w:pPr>
          </w:p>
          <w:p w14:paraId="6F694612" w14:textId="77777777" w:rsidR="00FA4AA8" w:rsidRDefault="0015611F">
            <w:pPr>
              <w:pStyle w:val="TableParagraph"/>
              <w:spacing w:line="164" w:lineRule="exact"/>
              <w:ind w:right="76"/>
              <w:jc w:val="right"/>
              <w:rPr>
                <w:sz w:val="16"/>
              </w:rPr>
            </w:pPr>
            <w:r>
              <w:rPr>
                <w:sz w:val="16"/>
              </w:rPr>
              <w:t>40,358</w:t>
            </w:r>
          </w:p>
        </w:tc>
        <w:tc>
          <w:tcPr>
            <w:tcW w:w="1166" w:type="dxa"/>
            <w:tcBorders>
              <w:top w:val="single" w:sz="8" w:space="0" w:color="000000"/>
              <w:bottom w:val="double" w:sz="2" w:space="0" w:color="000000"/>
            </w:tcBorders>
          </w:tcPr>
          <w:p w14:paraId="34B20578" w14:textId="77777777" w:rsidR="00FA4AA8" w:rsidRDefault="00FA4AA8">
            <w:pPr>
              <w:pStyle w:val="TableParagraph"/>
              <w:spacing w:before="9"/>
              <w:rPr>
                <w:b/>
                <w:sz w:val="20"/>
              </w:rPr>
            </w:pPr>
          </w:p>
          <w:p w14:paraId="2C8899D9" w14:textId="77777777" w:rsidR="00FA4AA8" w:rsidRDefault="0015611F">
            <w:pPr>
              <w:pStyle w:val="TableParagraph"/>
              <w:spacing w:line="164" w:lineRule="exact"/>
              <w:ind w:right="75"/>
              <w:jc w:val="right"/>
              <w:rPr>
                <w:sz w:val="16"/>
              </w:rPr>
            </w:pPr>
            <w:r>
              <w:rPr>
                <w:sz w:val="16"/>
              </w:rPr>
              <w:t>-</w:t>
            </w:r>
          </w:p>
        </w:tc>
        <w:tc>
          <w:tcPr>
            <w:tcW w:w="1166" w:type="dxa"/>
            <w:tcBorders>
              <w:top w:val="single" w:sz="8" w:space="0" w:color="000000"/>
              <w:bottom w:val="double" w:sz="2" w:space="0" w:color="000000"/>
            </w:tcBorders>
          </w:tcPr>
          <w:p w14:paraId="0F82D7BA" w14:textId="77777777" w:rsidR="00FA4AA8" w:rsidRDefault="00FA4AA8">
            <w:pPr>
              <w:pStyle w:val="TableParagraph"/>
              <w:spacing w:before="9"/>
              <w:rPr>
                <w:b/>
                <w:sz w:val="20"/>
              </w:rPr>
            </w:pPr>
          </w:p>
          <w:p w14:paraId="299AAF65" w14:textId="77777777" w:rsidR="00FA4AA8" w:rsidRDefault="0015611F">
            <w:pPr>
              <w:pStyle w:val="TableParagraph"/>
              <w:spacing w:line="164" w:lineRule="exact"/>
              <w:ind w:right="75"/>
              <w:jc w:val="right"/>
              <w:rPr>
                <w:sz w:val="16"/>
              </w:rPr>
            </w:pPr>
            <w:r>
              <w:rPr>
                <w:sz w:val="16"/>
              </w:rPr>
              <w:t>40,358</w:t>
            </w:r>
          </w:p>
        </w:tc>
        <w:tc>
          <w:tcPr>
            <w:tcW w:w="1166" w:type="dxa"/>
            <w:tcBorders>
              <w:top w:val="single" w:sz="8" w:space="0" w:color="000000"/>
              <w:bottom w:val="double" w:sz="2" w:space="0" w:color="000000"/>
            </w:tcBorders>
          </w:tcPr>
          <w:p w14:paraId="2E4791B4" w14:textId="77777777" w:rsidR="00FA4AA8" w:rsidRDefault="00FA4AA8">
            <w:pPr>
              <w:pStyle w:val="TableParagraph"/>
              <w:spacing w:before="9"/>
              <w:rPr>
                <w:b/>
                <w:sz w:val="20"/>
              </w:rPr>
            </w:pPr>
          </w:p>
          <w:p w14:paraId="0AAD8255" w14:textId="77777777" w:rsidR="00FA4AA8" w:rsidRDefault="0015611F">
            <w:pPr>
              <w:pStyle w:val="TableParagraph"/>
              <w:spacing w:line="164" w:lineRule="exact"/>
              <w:ind w:right="74"/>
              <w:jc w:val="right"/>
              <w:rPr>
                <w:sz w:val="16"/>
              </w:rPr>
            </w:pPr>
            <w:r>
              <w:rPr>
                <w:sz w:val="16"/>
              </w:rPr>
              <w:t>-</w:t>
            </w:r>
          </w:p>
        </w:tc>
      </w:tr>
    </w:tbl>
    <w:p w14:paraId="32725F23" w14:textId="77777777" w:rsidR="00FA4AA8" w:rsidRDefault="00FA4AA8">
      <w:pPr>
        <w:spacing w:line="164" w:lineRule="exact"/>
        <w:jc w:val="right"/>
        <w:rPr>
          <w:sz w:val="16"/>
        </w:rPr>
        <w:sectPr w:rsidR="00FA4AA8">
          <w:type w:val="continuous"/>
          <w:pgSz w:w="11910" w:h="16840"/>
          <w:pgMar w:top="20" w:right="860" w:bottom="0" w:left="900" w:header="720" w:footer="720" w:gutter="0"/>
          <w:cols w:space="720"/>
        </w:sectPr>
      </w:pPr>
    </w:p>
    <w:p w14:paraId="68B89A6E" w14:textId="77777777" w:rsidR="00FA4AA8" w:rsidRDefault="00FA4AA8">
      <w:pPr>
        <w:pStyle w:val="BodyText"/>
        <w:rPr>
          <w:b/>
          <w:sz w:val="20"/>
        </w:rPr>
      </w:pPr>
    </w:p>
    <w:p w14:paraId="0D094A33" w14:textId="77777777" w:rsidR="00FA4AA8" w:rsidRDefault="00FA4AA8">
      <w:pPr>
        <w:pStyle w:val="BodyText"/>
        <w:spacing w:before="10"/>
        <w:rPr>
          <w:b/>
          <w:sz w:val="29"/>
        </w:rPr>
      </w:pPr>
    </w:p>
    <w:p w14:paraId="38705102" w14:textId="77777777" w:rsidR="00FA4AA8" w:rsidRDefault="0015611F">
      <w:pPr>
        <w:spacing w:before="94"/>
        <w:ind w:left="107"/>
        <w:rPr>
          <w:b/>
          <w:sz w:val="18"/>
        </w:rPr>
      </w:pPr>
      <w:r>
        <w:rPr>
          <w:b/>
          <w:sz w:val="18"/>
        </w:rPr>
        <w:t>34 Fair Value Measurement (continued)</w:t>
      </w:r>
    </w:p>
    <w:p w14:paraId="47E08255" w14:textId="77777777" w:rsidR="00FA4AA8" w:rsidRDefault="00FA4AA8">
      <w:pPr>
        <w:pStyle w:val="BodyText"/>
        <w:spacing w:before="7"/>
        <w:rPr>
          <w:b/>
          <w:sz w:val="26"/>
        </w:rPr>
      </w:pPr>
    </w:p>
    <w:p w14:paraId="0AF4D119" w14:textId="77777777" w:rsidR="00FA4AA8" w:rsidRDefault="0015611F">
      <w:pPr>
        <w:pStyle w:val="ListParagraph"/>
        <w:numPr>
          <w:ilvl w:val="0"/>
          <w:numId w:val="79"/>
        </w:numPr>
        <w:tabs>
          <w:tab w:val="left" w:pos="504"/>
        </w:tabs>
        <w:ind w:hanging="397"/>
        <w:rPr>
          <w:b/>
          <w:sz w:val="18"/>
        </w:rPr>
      </w:pPr>
      <w:r>
        <w:rPr>
          <w:b/>
          <w:sz w:val="18"/>
        </w:rPr>
        <w:t>Fair value hierarchy</w:t>
      </w:r>
      <w:r>
        <w:rPr>
          <w:b/>
          <w:spacing w:val="-9"/>
          <w:sz w:val="18"/>
        </w:rPr>
        <w:t xml:space="preserve"> </w:t>
      </w:r>
      <w:r>
        <w:rPr>
          <w:b/>
          <w:sz w:val="18"/>
        </w:rPr>
        <w:t>(continued)</w:t>
      </w:r>
    </w:p>
    <w:p w14:paraId="6D0653DE" w14:textId="77777777" w:rsidR="00FA4AA8" w:rsidRDefault="00FA4AA8">
      <w:pPr>
        <w:pStyle w:val="BodyText"/>
        <w:spacing w:before="5"/>
        <w:rPr>
          <w:b/>
          <w:sz w:val="25"/>
        </w:rPr>
      </w:pPr>
    </w:p>
    <w:p w14:paraId="26CC56CC" w14:textId="77777777" w:rsidR="00FA4AA8" w:rsidRDefault="0015611F">
      <w:pPr>
        <w:pStyle w:val="BodyText"/>
        <w:ind w:left="504"/>
      </w:pPr>
      <w:r>
        <w:t>There were no transfers between levels 1 and 2 for recurring fair value measurements during the year. For details of transfers in and out of level 3 measurements, see (d) below.</w:t>
      </w:r>
    </w:p>
    <w:p w14:paraId="082AA05C" w14:textId="77777777" w:rsidR="00FA4AA8" w:rsidRDefault="00FA4AA8">
      <w:pPr>
        <w:pStyle w:val="BodyText"/>
        <w:spacing w:before="11"/>
        <w:rPr>
          <w:sz w:val="24"/>
        </w:rPr>
      </w:pPr>
    </w:p>
    <w:p w14:paraId="6656B180" w14:textId="77777777" w:rsidR="00FA4AA8" w:rsidRDefault="0015611F">
      <w:pPr>
        <w:pStyle w:val="BodyText"/>
        <w:ind w:left="503" w:right="231"/>
      </w:pPr>
      <w:r>
        <w:t>Western Sydney University's policy is to recognise transfers into and transfers out of fair value hierarchy levels as at the end of the reporting period.</w:t>
      </w:r>
    </w:p>
    <w:p w14:paraId="26E471AA" w14:textId="77777777" w:rsidR="00FA4AA8" w:rsidRDefault="00FA4AA8">
      <w:pPr>
        <w:pStyle w:val="BodyText"/>
        <w:spacing w:before="11"/>
        <w:rPr>
          <w:sz w:val="24"/>
        </w:rPr>
      </w:pPr>
    </w:p>
    <w:p w14:paraId="24E94B65" w14:textId="77777777" w:rsidR="00FA4AA8" w:rsidRDefault="0015611F">
      <w:pPr>
        <w:numPr>
          <w:ilvl w:val="0"/>
          <w:numId w:val="80"/>
        </w:numPr>
        <w:tabs>
          <w:tab w:val="left" w:pos="773"/>
        </w:tabs>
        <w:ind w:left="772" w:hanging="269"/>
        <w:rPr>
          <w:b/>
          <w:i/>
          <w:sz w:val="18"/>
        </w:rPr>
      </w:pPr>
      <w:r>
        <w:rPr>
          <w:b/>
          <w:i/>
          <w:sz w:val="18"/>
        </w:rPr>
        <w:t>Disclosed fair values</w:t>
      </w:r>
    </w:p>
    <w:p w14:paraId="24FE23DB" w14:textId="77777777" w:rsidR="00FA4AA8" w:rsidRDefault="00FA4AA8">
      <w:pPr>
        <w:pStyle w:val="BodyText"/>
        <w:rPr>
          <w:b/>
          <w:i/>
          <w:sz w:val="25"/>
        </w:rPr>
      </w:pPr>
    </w:p>
    <w:p w14:paraId="44B24AF2" w14:textId="77777777" w:rsidR="00FA4AA8" w:rsidRDefault="0015611F">
      <w:pPr>
        <w:pStyle w:val="BodyText"/>
        <w:ind w:left="504" w:right="612"/>
      </w:pPr>
      <w:r>
        <w:t>The fair value of assets or liabilities traded in active markets (such as publicly traded derivatives, and trading and available-for-sale securities) is based on quoted market prices for identical assets or liabilities at the end of the reporting period (level 1). This is the most representative of fair value in the circumstances.</w:t>
      </w:r>
    </w:p>
    <w:p w14:paraId="06F1FD36" w14:textId="77777777" w:rsidR="00FA4AA8" w:rsidRDefault="00FA4AA8">
      <w:pPr>
        <w:pStyle w:val="BodyText"/>
        <w:spacing w:before="10"/>
        <w:rPr>
          <w:sz w:val="24"/>
        </w:rPr>
      </w:pPr>
    </w:p>
    <w:p w14:paraId="0C8BA530" w14:textId="77777777" w:rsidR="00FA4AA8" w:rsidRDefault="0015611F">
      <w:pPr>
        <w:pStyle w:val="BodyText"/>
        <w:ind w:left="504" w:right="231"/>
      </w:pPr>
      <w:r>
        <w:t>The carrying value less impairment provision of trade receivables and payables is a reasonable approximation of their fair values due to the short-term nature of trade receivables. The fair value of financial liabilities for disclosure purposes is estimated by discounting the future contractual cash flows at the current market interest rate that is available to the Group for similar financial instruments (level</w:t>
      </w:r>
      <w:r>
        <w:rPr>
          <w:spacing w:val="9"/>
        </w:rPr>
        <w:t xml:space="preserve"> </w:t>
      </w:r>
      <w:r>
        <w:t>3).</w:t>
      </w:r>
    </w:p>
    <w:p w14:paraId="644CC820" w14:textId="77777777" w:rsidR="00FA4AA8" w:rsidRDefault="00FA4AA8">
      <w:pPr>
        <w:pStyle w:val="BodyText"/>
        <w:spacing w:before="10"/>
        <w:rPr>
          <w:sz w:val="24"/>
        </w:rPr>
      </w:pPr>
    </w:p>
    <w:p w14:paraId="70A65B79" w14:textId="77777777" w:rsidR="00FA4AA8" w:rsidRDefault="0015611F">
      <w:pPr>
        <w:pStyle w:val="BodyText"/>
        <w:ind w:left="503" w:right="198"/>
      </w:pPr>
      <w:bookmarkStart w:id="79" w:name="(c)_Valuation_techniques_used_to_derive_"/>
      <w:bookmarkEnd w:id="79"/>
      <w:r>
        <w:t>The fair value of non-current borrowings disclosed in note 24 is estimated by discounting the future contractual cash flows at the current market interest rates that are available to the group for similar financial instruments. For the period ending 31 December 2018, the borrowing rates averaged 3.09% during the year. The fair value of current borrowings approximates the carrying amount, as the impact of discounting is not significant (level 2).</w:t>
      </w:r>
    </w:p>
    <w:p w14:paraId="391027B8" w14:textId="77777777" w:rsidR="00FA4AA8" w:rsidRDefault="00FA4AA8">
      <w:pPr>
        <w:pStyle w:val="BodyText"/>
        <w:spacing w:before="6"/>
        <w:rPr>
          <w:sz w:val="26"/>
        </w:rPr>
      </w:pPr>
    </w:p>
    <w:p w14:paraId="3BD093F0" w14:textId="77777777" w:rsidR="00FA4AA8" w:rsidRDefault="0015611F">
      <w:pPr>
        <w:numPr>
          <w:ilvl w:val="0"/>
          <w:numId w:val="79"/>
        </w:numPr>
        <w:tabs>
          <w:tab w:val="left" w:pos="504"/>
        </w:tabs>
        <w:ind w:hanging="397"/>
        <w:rPr>
          <w:b/>
          <w:sz w:val="18"/>
        </w:rPr>
      </w:pPr>
      <w:r>
        <w:rPr>
          <w:b/>
          <w:sz w:val="18"/>
        </w:rPr>
        <w:t>Valuation techniques used to derive level 2 and level 3 fair values</w:t>
      </w:r>
    </w:p>
    <w:p w14:paraId="4BC82CB6" w14:textId="77777777" w:rsidR="00FA4AA8" w:rsidRDefault="00FA4AA8">
      <w:pPr>
        <w:pStyle w:val="BodyText"/>
        <w:spacing w:before="4"/>
        <w:rPr>
          <w:b/>
          <w:sz w:val="25"/>
        </w:rPr>
      </w:pPr>
    </w:p>
    <w:p w14:paraId="596829BE" w14:textId="77777777" w:rsidR="00FA4AA8" w:rsidRDefault="0015611F">
      <w:pPr>
        <w:numPr>
          <w:ilvl w:val="1"/>
          <w:numId w:val="79"/>
        </w:numPr>
        <w:tabs>
          <w:tab w:val="left" w:pos="723"/>
        </w:tabs>
        <w:rPr>
          <w:b/>
          <w:i/>
          <w:sz w:val="18"/>
        </w:rPr>
      </w:pPr>
      <w:r>
        <w:rPr>
          <w:b/>
          <w:i/>
          <w:sz w:val="18"/>
        </w:rPr>
        <w:t>Recurring fair value measurements</w:t>
      </w:r>
    </w:p>
    <w:p w14:paraId="0C163FE2" w14:textId="77777777" w:rsidR="00FA4AA8" w:rsidRDefault="00FA4AA8">
      <w:pPr>
        <w:pStyle w:val="BodyText"/>
        <w:rPr>
          <w:b/>
          <w:i/>
          <w:sz w:val="25"/>
        </w:rPr>
      </w:pPr>
    </w:p>
    <w:p w14:paraId="4C9D7D1E" w14:textId="77777777" w:rsidR="00FA4AA8" w:rsidRDefault="0015611F">
      <w:pPr>
        <w:pStyle w:val="BodyText"/>
        <w:ind w:left="503" w:right="198"/>
      </w:pPr>
      <w:r>
        <w:t>The fair value of financial instruments that are not traded in an active market are determined using valuation techniques. These valuation techniques maximise the use of observable market data where it is available and rely as little as possible on entity specific estimates. If all significant inputs required to fair value an instrument are observable, the instrument is included in level 2.</w:t>
      </w:r>
    </w:p>
    <w:p w14:paraId="50D5D4B2" w14:textId="77777777" w:rsidR="00FA4AA8" w:rsidRDefault="00FA4AA8">
      <w:pPr>
        <w:pStyle w:val="BodyText"/>
        <w:spacing w:before="10"/>
        <w:rPr>
          <w:sz w:val="24"/>
        </w:rPr>
      </w:pPr>
    </w:p>
    <w:p w14:paraId="364D809D" w14:textId="77777777" w:rsidR="00FA4AA8" w:rsidRDefault="0015611F">
      <w:pPr>
        <w:pStyle w:val="BodyText"/>
        <w:ind w:left="503" w:right="231"/>
      </w:pPr>
      <w:r>
        <w:t>If one or more of the significant inputs is not based on observable market data, the instrument is included in level 3. This is the case for unlisted equity securities.</w:t>
      </w:r>
    </w:p>
    <w:p w14:paraId="564BD99B" w14:textId="77777777" w:rsidR="00FA4AA8" w:rsidRDefault="00FA4AA8">
      <w:pPr>
        <w:pStyle w:val="BodyText"/>
        <w:spacing w:before="11"/>
        <w:rPr>
          <w:sz w:val="24"/>
        </w:rPr>
      </w:pPr>
    </w:p>
    <w:p w14:paraId="36E7EF98" w14:textId="77777777" w:rsidR="00FA4AA8" w:rsidRDefault="0015611F">
      <w:pPr>
        <w:pStyle w:val="BodyText"/>
        <w:ind w:left="503" w:right="338"/>
      </w:pPr>
      <w:r>
        <w:t>The Group uses a variety of methods and makes assumptions that are based on market conditions existing at each balance date. Specific valuation techniques used to value financial instruments include the use of quoted market prices or dealer quotes for similar instruments.</w:t>
      </w:r>
    </w:p>
    <w:p w14:paraId="7ADF5D5A" w14:textId="77777777" w:rsidR="00FA4AA8" w:rsidRDefault="00FA4AA8">
      <w:pPr>
        <w:pStyle w:val="BodyText"/>
        <w:spacing w:before="10"/>
        <w:rPr>
          <w:sz w:val="24"/>
        </w:rPr>
      </w:pPr>
    </w:p>
    <w:p w14:paraId="660D3C4E" w14:textId="77777777" w:rsidR="00FA4AA8" w:rsidRDefault="0015611F">
      <w:pPr>
        <w:pStyle w:val="BodyText"/>
        <w:ind w:left="504" w:right="231"/>
      </w:pPr>
      <w:r>
        <w:t>All of the resulting fair value estimates are included in level 2 except for unlisted equity securities explained in (d) below.</w:t>
      </w:r>
    </w:p>
    <w:p w14:paraId="24CF6ADB" w14:textId="77777777" w:rsidR="00FA4AA8" w:rsidRDefault="00FA4AA8">
      <w:pPr>
        <w:pStyle w:val="BodyText"/>
        <w:spacing w:before="11"/>
        <w:rPr>
          <w:sz w:val="24"/>
        </w:rPr>
      </w:pPr>
    </w:p>
    <w:p w14:paraId="44432A53" w14:textId="77777777" w:rsidR="00FA4AA8" w:rsidRDefault="0015611F">
      <w:pPr>
        <w:pStyle w:val="BodyText"/>
        <w:ind w:left="503" w:right="198"/>
      </w:pPr>
      <w:r>
        <w:t>Land and buildings (classified as property, plant and equipment) are calculated independently, at least every three years. At the end of each reporting period, the Group updates their assessment of the fair value of each property, taking into account the most recent independent valuations. The Group determines the property's value within a range of reasonable fair value estimates.</w:t>
      </w:r>
    </w:p>
    <w:p w14:paraId="5FBB9907" w14:textId="77777777" w:rsidR="00FA4AA8" w:rsidRDefault="00FA4AA8">
      <w:pPr>
        <w:pStyle w:val="BodyText"/>
        <w:spacing w:before="10"/>
        <w:rPr>
          <w:sz w:val="24"/>
        </w:rPr>
      </w:pPr>
    </w:p>
    <w:p w14:paraId="3AEA8A71" w14:textId="77777777" w:rsidR="00FA4AA8" w:rsidRDefault="0015611F">
      <w:pPr>
        <w:pStyle w:val="BodyText"/>
        <w:ind w:left="503" w:right="317"/>
        <w:jc w:val="both"/>
      </w:pPr>
      <w:r>
        <w:t>The best evidence of fair value is current prices in an active market for similar properties. Where such information is not available, the Group considers information from a variety of sources, including discounted replacement cost - the cost to construct improvements as new is estimated and that amount depreciated, after taking into consideration the nature and design of the improvements, their age and current condition.</w:t>
      </w:r>
    </w:p>
    <w:p w14:paraId="52CDF647" w14:textId="77777777" w:rsidR="00FA4AA8" w:rsidRDefault="00FA4AA8">
      <w:pPr>
        <w:jc w:val="both"/>
        <w:sectPr w:rsidR="00FA4AA8">
          <w:pgSz w:w="11910" w:h="16840"/>
          <w:pgMar w:top="2220" w:right="860" w:bottom="720" w:left="900" w:header="1016" w:footer="523" w:gutter="0"/>
          <w:cols w:space="720"/>
        </w:sectPr>
      </w:pPr>
    </w:p>
    <w:p w14:paraId="426DEAD8" w14:textId="77777777" w:rsidR="00FA4AA8" w:rsidRDefault="00FA4AA8">
      <w:pPr>
        <w:pStyle w:val="BodyText"/>
        <w:rPr>
          <w:sz w:val="20"/>
        </w:rPr>
      </w:pPr>
    </w:p>
    <w:p w14:paraId="0DD72D46" w14:textId="77777777" w:rsidR="00FA4AA8" w:rsidRDefault="00FA4AA8">
      <w:pPr>
        <w:pStyle w:val="BodyText"/>
        <w:spacing w:before="10"/>
        <w:rPr>
          <w:sz w:val="29"/>
        </w:rPr>
      </w:pPr>
    </w:p>
    <w:p w14:paraId="12F090E0" w14:textId="77777777" w:rsidR="00FA4AA8" w:rsidRDefault="0015611F">
      <w:pPr>
        <w:spacing w:before="94"/>
        <w:ind w:left="107"/>
        <w:rPr>
          <w:b/>
          <w:sz w:val="18"/>
        </w:rPr>
      </w:pPr>
      <w:r>
        <w:rPr>
          <w:b/>
          <w:sz w:val="18"/>
        </w:rPr>
        <w:t>34 Fair Value Measurement (continued)</w:t>
      </w:r>
    </w:p>
    <w:p w14:paraId="31F2AEED" w14:textId="77777777" w:rsidR="00FA4AA8" w:rsidRDefault="00FA4AA8">
      <w:pPr>
        <w:pStyle w:val="BodyText"/>
        <w:spacing w:before="7"/>
        <w:rPr>
          <w:b/>
          <w:sz w:val="26"/>
        </w:rPr>
      </w:pPr>
    </w:p>
    <w:p w14:paraId="462D93DD" w14:textId="77777777" w:rsidR="00FA4AA8" w:rsidRDefault="0015611F">
      <w:pPr>
        <w:pStyle w:val="ListParagraph"/>
        <w:numPr>
          <w:ilvl w:val="0"/>
          <w:numId w:val="78"/>
        </w:numPr>
        <w:tabs>
          <w:tab w:val="left" w:pos="504"/>
        </w:tabs>
        <w:ind w:hanging="397"/>
        <w:rPr>
          <w:b/>
          <w:sz w:val="18"/>
        </w:rPr>
      </w:pPr>
      <w:r>
        <w:rPr>
          <w:b/>
          <w:sz w:val="18"/>
        </w:rPr>
        <w:t>Valuation techniques used to derive level 2 and level 3 fair values (continued)</w:t>
      </w:r>
    </w:p>
    <w:p w14:paraId="5D8E4FFD" w14:textId="77777777" w:rsidR="00FA4AA8" w:rsidRDefault="00FA4AA8">
      <w:pPr>
        <w:pStyle w:val="BodyText"/>
        <w:spacing w:before="5"/>
        <w:rPr>
          <w:b/>
          <w:sz w:val="25"/>
        </w:rPr>
      </w:pPr>
    </w:p>
    <w:p w14:paraId="379F7A6C" w14:textId="77777777" w:rsidR="00FA4AA8" w:rsidRDefault="0015611F">
      <w:pPr>
        <w:pStyle w:val="BodyText"/>
        <w:ind w:left="504" w:right="198"/>
      </w:pPr>
      <w:r>
        <w:t>All resulting fair value estimates for properties are included in level 3 except for vacant land. The level 2 fair value of vacant land has been derived using the sales comparison approach. Sale prices of comparable land in close proximity are adjusted for differences in key attributes such as property size. The most significant input into this valuation approach is price per square metre.</w:t>
      </w:r>
    </w:p>
    <w:p w14:paraId="7C284F15" w14:textId="77777777" w:rsidR="00FA4AA8" w:rsidRDefault="00FA4AA8">
      <w:pPr>
        <w:pStyle w:val="BodyText"/>
        <w:spacing w:before="10"/>
        <w:rPr>
          <w:sz w:val="24"/>
        </w:rPr>
      </w:pPr>
    </w:p>
    <w:p w14:paraId="316ECE44" w14:textId="77777777" w:rsidR="00FA4AA8" w:rsidRDefault="0015611F">
      <w:pPr>
        <w:numPr>
          <w:ilvl w:val="1"/>
          <w:numId w:val="79"/>
        </w:numPr>
        <w:tabs>
          <w:tab w:val="left" w:pos="773"/>
        </w:tabs>
        <w:ind w:left="772" w:hanging="269"/>
        <w:rPr>
          <w:b/>
          <w:i/>
          <w:sz w:val="18"/>
        </w:rPr>
      </w:pPr>
      <w:bookmarkStart w:id="80" w:name="(d)_Fair_value_measurements_using_signif"/>
      <w:bookmarkEnd w:id="80"/>
      <w:r>
        <w:rPr>
          <w:b/>
          <w:i/>
          <w:sz w:val="18"/>
        </w:rPr>
        <w:t>Non-recurring fair value measurement</w:t>
      </w:r>
    </w:p>
    <w:p w14:paraId="02EBE771" w14:textId="77777777" w:rsidR="00FA4AA8" w:rsidRDefault="00FA4AA8">
      <w:pPr>
        <w:pStyle w:val="BodyText"/>
        <w:rPr>
          <w:b/>
          <w:i/>
          <w:sz w:val="25"/>
        </w:rPr>
      </w:pPr>
    </w:p>
    <w:p w14:paraId="2F1A7A45" w14:textId="77777777" w:rsidR="00FA4AA8" w:rsidRDefault="0015611F">
      <w:pPr>
        <w:pStyle w:val="BodyText"/>
        <w:ind w:left="504" w:right="177"/>
      </w:pPr>
      <w:r>
        <w:t xml:space="preserve">Land and non-current assets (or disposal groups) classified as held for sale during the reporting period were measured at the lower of </w:t>
      </w:r>
      <w:r w:rsidR="00733831">
        <w:t>its</w:t>
      </w:r>
      <w:r>
        <w:t xml:space="preserve"> carrying amount and fair value less cost to sell at the time of the reclassification.  The fair value </w:t>
      </w:r>
      <w:r w:rsidR="009C3740">
        <w:t>of the</w:t>
      </w:r>
      <w:r>
        <w:t xml:space="preserve"> land was also determined using the sales comparison approach as described in (i)</w:t>
      </w:r>
      <w:r>
        <w:rPr>
          <w:spacing w:val="16"/>
        </w:rPr>
        <w:t xml:space="preserve"> </w:t>
      </w:r>
      <w:r>
        <w:t>above.</w:t>
      </w:r>
    </w:p>
    <w:p w14:paraId="25D186F5" w14:textId="77777777" w:rsidR="00FA4AA8" w:rsidRDefault="00FA4AA8">
      <w:pPr>
        <w:pStyle w:val="BodyText"/>
        <w:spacing w:before="6"/>
        <w:rPr>
          <w:sz w:val="26"/>
        </w:rPr>
      </w:pPr>
    </w:p>
    <w:p w14:paraId="72331FF8" w14:textId="77777777" w:rsidR="00FA4AA8" w:rsidRDefault="0015611F">
      <w:pPr>
        <w:numPr>
          <w:ilvl w:val="0"/>
          <w:numId w:val="78"/>
        </w:numPr>
        <w:tabs>
          <w:tab w:val="left" w:pos="504"/>
        </w:tabs>
        <w:ind w:hanging="397"/>
        <w:rPr>
          <w:b/>
          <w:sz w:val="18"/>
        </w:rPr>
      </w:pPr>
      <w:r>
        <w:rPr>
          <w:b/>
          <w:sz w:val="18"/>
        </w:rPr>
        <w:t>Fair value measurements using significant unobservable inputs (level 3)</w:t>
      </w:r>
    </w:p>
    <w:p w14:paraId="2E5E6B6D" w14:textId="77777777" w:rsidR="00FA4AA8" w:rsidRDefault="00FA4AA8">
      <w:pPr>
        <w:pStyle w:val="BodyText"/>
        <w:spacing w:before="5"/>
        <w:rPr>
          <w:b/>
          <w:sz w:val="25"/>
        </w:rPr>
      </w:pPr>
    </w:p>
    <w:p w14:paraId="774BF1A9" w14:textId="77777777" w:rsidR="00FA4AA8" w:rsidRDefault="0015611F">
      <w:pPr>
        <w:pStyle w:val="BodyText"/>
        <w:ind w:left="504"/>
      </w:pPr>
      <w:r>
        <w:t>The following table is a reconciliation of level 3 items for the periods ended 31 December 2018 and 2017.</w:t>
      </w:r>
    </w:p>
    <w:p w14:paraId="3782E205" w14:textId="77777777" w:rsidR="00FA4AA8" w:rsidRDefault="0015611F">
      <w:pPr>
        <w:spacing w:before="33"/>
        <w:ind w:left="3333" w:right="6097"/>
        <w:jc w:val="center"/>
        <w:rPr>
          <w:b/>
          <w:sz w:val="18"/>
        </w:rPr>
      </w:pPr>
      <w:r>
        <w:rPr>
          <w:b/>
          <w:sz w:val="18"/>
        </w:rPr>
        <w:t>Unlisted equity</w:t>
      </w:r>
    </w:p>
    <w:p w14:paraId="3325BCF3" w14:textId="77777777" w:rsidR="00FA4AA8" w:rsidRDefault="00FA4AA8">
      <w:pPr>
        <w:pStyle w:val="BodyText"/>
        <w:spacing w:before="3"/>
        <w:rPr>
          <w:b/>
          <w:sz w:val="6"/>
        </w:rPr>
      </w:pPr>
    </w:p>
    <w:tbl>
      <w:tblPr>
        <w:tblW w:w="0" w:type="auto"/>
        <w:tblInd w:w="504" w:type="dxa"/>
        <w:tblLayout w:type="fixed"/>
        <w:tblCellMar>
          <w:left w:w="0" w:type="dxa"/>
          <w:right w:w="0" w:type="dxa"/>
        </w:tblCellMar>
        <w:tblLook w:val="01E0" w:firstRow="1" w:lastRow="1" w:firstColumn="1" w:lastColumn="1" w:noHBand="0" w:noVBand="0"/>
      </w:tblPr>
      <w:tblGrid>
        <w:gridCol w:w="2565"/>
        <w:gridCol w:w="1316"/>
        <w:gridCol w:w="1251"/>
        <w:gridCol w:w="1317"/>
        <w:gridCol w:w="1138"/>
        <w:gridCol w:w="1097"/>
      </w:tblGrid>
      <w:tr w:rsidR="00FA4AA8" w14:paraId="20CF26CF" w14:textId="77777777">
        <w:trPr>
          <w:trHeight w:val="203"/>
        </w:trPr>
        <w:tc>
          <w:tcPr>
            <w:tcW w:w="2565" w:type="dxa"/>
          </w:tcPr>
          <w:p w14:paraId="49CE75AB" w14:textId="77777777" w:rsidR="00FA4AA8" w:rsidRDefault="0015611F">
            <w:pPr>
              <w:pStyle w:val="TableParagraph"/>
              <w:spacing w:line="184" w:lineRule="exact"/>
              <w:ind w:left="50"/>
              <w:rPr>
                <w:b/>
                <w:sz w:val="18"/>
              </w:rPr>
            </w:pPr>
            <w:r>
              <w:rPr>
                <w:b/>
                <w:sz w:val="18"/>
              </w:rPr>
              <w:t>Level 3 Fair Value</w:t>
            </w:r>
          </w:p>
        </w:tc>
        <w:tc>
          <w:tcPr>
            <w:tcW w:w="1316" w:type="dxa"/>
          </w:tcPr>
          <w:p w14:paraId="1084EE3A" w14:textId="77777777" w:rsidR="00FA4AA8" w:rsidRDefault="0015611F">
            <w:pPr>
              <w:pStyle w:val="TableParagraph"/>
              <w:spacing w:line="134" w:lineRule="exact"/>
              <w:ind w:left="204"/>
              <w:rPr>
                <w:b/>
                <w:sz w:val="18"/>
              </w:rPr>
            </w:pPr>
            <w:r>
              <w:rPr>
                <w:b/>
                <w:sz w:val="18"/>
              </w:rPr>
              <w:t>securities</w:t>
            </w:r>
          </w:p>
        </w:tc>
        <w:tc>
          <w:tcPr>
            <w:tcW w:w="2568" w:type="dxa"/>
            <w:gridSpan w:val="2"/>
          </w:tcPr>
          <w:p w14:paraId="56B3D706" w14:textId="77777777" w:rsidR="00FA4AA8" w:rsidRDefault="0015611F">
            <w:pPr>
              <w:pStyle w:val="TableParagraph"/>
              <w:tabs>
                <w:tab w:val="left" w:pos="1141"/>
              </w:tabs>
              <w:spacing w:line="134" w:lineRule="exact"/>
              <w:ind w:left="73"/>
              <w:rPr>
                <w:b/>
                <w:sz w:val="18"/>
              </w:rPr>
            </w:pPr>
            <w:r>
              <w:rPr>
                <w:b/>
                <w:sz w:val="18"/>
              </w:rPr>
              <w:t>Buildings</w:t>
            </w:r>
            <w:r>
              <w:rPr>
                <w:b/>
                <w:sz w:val="18"/>
              </w:rPr>
              <w:tab/>
              <w:t>Infrastructure</w:t>
            </w:r>
          </w:p>
        </w:tc>
        <w:tc>
          <w:tcPr>
            <w:tcW w:w="1138" w:type="dxa"/>
          </w:tcPr>
          <w:p w14:paraId="4C4CE49C" w14:textId="77777777" w:rsidR="00FA4AA8" w:rsidRDefault="0015611F">
            <w:pPr>
              <w:pStyle w:val="TableParagraph"/>
              <w:spacing w:line="134" w:lineRule="exact"/>
              <w:ind w:left="225"/>
              <w:rPr>
                <w:b/>
                <w:sz w:val="18"/>
              </w:rPr>
            </w:pPr>
            <w:r>
              <w:rPr>
                <w:b/>
                <w:sz w:val="18"/>
              </w:rPr>
              <w:t>Land</w:t>
            </w:r>
          </w:p>
        </w:tc>
        <w:tc>
          <w:tcPr>
            <w:tcW w:w="1097" w:type="dxa"/>
          </w:tcPr>
          <w:p w14:paraId="3CEB0FEF" w14:textId="77777777" w:rsidR="00FA4AA8" w:rsidRDefault="0015611F">
            <w:pPr>
              <w:pStyle w:val="TableParagraph"/>
              <w:spacing w:line="134" w:lineRule="exact"/>
              <w:ind w:left="298"/>
              <w:rPr>
                <w:b/>
                <w:sz w:val="18"/>
              </w:rPr>
            </w:pPr>
            <w:r>
              <w:rPr>
                <w:b/>
                <w:sz w:val="18"/>
              </w:rPr>
              <w:t>Total</w:t>
            </w:r>
          </w:p>
        </w:tc>
      </w:tr>
      <w:tr w:rsidR="00FA4AA8" w14:paraId="07FE7768" w14:textId="77777777">
        <w:trPr>
          <w:trHeight w:val="237"/>
        </w:trPr>
        <w:tc>
          <w:tcPr>
            <w:tcW w:w="2565" w:type="dxa"/>
          </w:tcPr>
          <w:p w14:paraId="461084A7" w14:textId="77777777" w:rsidR="00FA4AA8" w:rsidRDefault="0015611F">
            <w:pPr>
              <w:pStyle w:val="TableParagraph"/>
              <w:spacing w:line="204" w:lineRule="exact"/>
              <w:ind w:left="50"/>
              <w:rPr>
                <w:b/>
                <w:sz w:val="18"/>
              </w:rPr>
            </w:pPr>
            <w:r>
              <w:rPr>
                <w:b/>
                <w:sz w:val="18"/>
              </w:rPr>
              <w:t>Measurement 2018</w:t>
            </w:r>
          </w:p>
        </w:tc>
        <w:tc>
          <w:tcPr>
            <w:tcW w:w="1316" w:type="dxa"/>
          </w:tcPr>
          <w:p w14:paraId="02BDD004" w14:textId="77777777" w:rsidR="00FA4AA8" w:rsidRDefault="0015611F">
            <w:pPr>
              <w:pStyle w:val="TableParagraph"/>
              <w:spacing w:line="204" w:lineRule="exact"/>
              <w:ind w:left="403"/>
              <w:rPr>
                <w:b/>
                <w:sz w:val="18"/>
              </w:rPr>
            </w:pPr>
            <w:r>
              <w:rPr>
                <w:b/>
                <w:sz w:val="18"/>
              </w:rPr>
              <w:t>$'000</w:t>
            </w:r>
          </w:p>
        </w:tc>
        <w:tc>
          <w:tcPr>
            <w:tcW w:w="1251" w:type="dxa"/>
          </w:tcPr>
          <w:p w14:paraId="46E1D8A8" w14:textId="77777777" w:rsidR="00FA4AA8" w:rsidRDefault="0015611F">
            <w:pPr>
              <w:pStyle w:val="TableParagraph"/>
              <w:spacing w:line="204" w:lineRule="exact"/>
              <w:ind w:left="261"/>
              <w:rPr>
                <w:b/>
                <w:sz w:val="18"/>
              </w:rPr>
            </w:pPr>
            <w:r>
              <w:rPr>
                <w:b/>
                <w:sz w:val="18"/>
              </w:rPr>
              <w:t>$'000</w:t>
            </w:r>
          </w:p>
        </w:tc>
        <w:tc>
          <w:tcPr>
            <w:tcW w:w="1317" w:type="dxa"/>
          </w:tcPr>
          <w:p w14:paraId="61418F81" w14:textId="77777777" w:rsidR="00FA4AA8" w:rsidRDefault="0015611F">
            <w:pPr>
              <w:pStyle w:val="TableParagraph"/>
              <w:spacing w:line="204" w:lineRule="exact"/>
              <w:ind w:left="253"/>
              <w:rPr>
                <w:b/>
                <w:sz w:val="18"/>
              </w:rPr>
            </w:pPr>
            <w:r>
              <w:rPr>
                <w:b/>
                <w:sz w:val="18"/>
              </w:rPr>
              <w:t>$'000</w:t>
            </w:r>
          </w:p>
        </w:tc>
        <w:tc>
          <w:tcPr>
            <w:tcW w:w="1138" w:type="dxa"/>
          </w:tcPr>
          <w:p w14:paraId="2B2B3CFA" w14:textId="77777777" w:rsidR="00FA4AA8" w:rsidRDefault="0015611F">
            <w:pPr>
              <w:pStyle w:val="TableParagraph"/>
              <w:spacing w:line="204" w:lineRule="exact"/>
              <w:ind w:left="217"/>
              <w:rPr>
                <w:b/>
                <w:sz w:val="18"/>
              </w:rPr>
            </w:pPr>
            <w:r>
              <w:rPr>
                <w:b/>
                <w:sz w:val="18"/>
              </w:rPr>
              <w:t>$'000</w:t>
            </w:r>
          </w:p>
        </w:tc>
        <w:tc>
          <w:tcPr>
            <w:tcW w:w="1097" w:type="dxa"/>
          </w:tcPr>
          <w:p w14:paraId="34CF18FD" w14:textId="77777777" w:rsidR="00FA4AA8" w:rsidRDefault="0015611F">
            <w:pPr>
              <w:pStyle w:val="TableParagraph"/>
              <w:spacing w:line="204" w:lineRule="exact"/>
              <w:ind w:left="291"/>
              <w:rPr>
                <w:b/>
                <w:sz w:val="18"/>
              </w:rPr>
            </w:pPr>
            <w:r>
              <w:rPr>
                <w:b/>
                <w:sz w:val="18"/>
              </w:rPr>
              <w:t>$'000</w:t>
            </w:r>
          </w:p>
        </w:tc>
      </w:tr>
      <w:tr w:rsidR="00FA4AA8" w14:paraId="2873669E" w14:textId="77777777">
        <w:trPr>
          <w:trHeight w:val="267"/>
        </w:trPr>
        <w:tc>
          <w:tcPr>
            <w:tcW w:w="2565" w:type="dxa"/>
          </w:tcPr>
          <w:p w14:paraId="48378DEC" w14:textId="77777777" w:rsidR="00FA4AA8" w:rsidRDefault="0015611F">
            <w:pPr>
              <w:pStyle w:val="TableParagraph"/>
              <w:spacing w:before="30"/>
              <w:ind w:left="50"/>
              <w:rPr>
                <w:sz w:val="18"/>
              </w:rPr>
            </w:pPr>
            <w:r>
              <w:rPr>
                <w:sz w:val="18"/>
              </w:rPr>
              <w:t>Opening balance</w:t>
            </w:r>
          </w:p>
        </w:tc>
        <w:tc>
          <w:tcPr>
            <w:tcW w:w="1316" w:type="dxa"/>
          </w:tcPr>
          <w:p w14:paraId="164C78F8" w14:textId="77777777" w:rsidR="00FA4AA8" w:rsidRDefault="0015611F">
            <w:pPr>
              <w:pStyle w:val="TableParagraph"/>
              <w:spacing w:before="28"/>
              <w:ind w:right="190"/>
              <w:jc w:val="right"/>
              <w:rPr>
                <w:b/>
                <w:sz w:val="18"/>
              </w:rPr>
            </w:pPr>
            <w:r>
              <w:rPr>
                <w:b/>
                <w:sz w:val="18"/>
              </w:rPr>
              <w:t>337</w:t>
            </w:r>
          </w:p>
        </w:tc>
        <w:tc>
          <w:tcPr>
            <w:tcW w:w="1251" w:type="dxa"/>
          </w:tcPr>
          <w:p w14:paraId="0EC97A98" w14:textId="77777777" w:rsidR="00FA4AA8" w:rsidRDefault="0015611F">
            <w:pPr>
              <w:pStyle w:val="TableParagraph"/>
              <w:spacing w:before="28"/>
              <w:ind w:right="309"/>
              <w:jc w:val="right"/>
              <w:rPr>
                <w:b/>
                <w:sz w:val="18"/>
              </w:rPr>
            </w:pPr>
            <w:r>
              <w:rPr>
                <w:b/>
                <w:sz w:val="18"/>
              </w:rPr>
              <w:t>981,524</w:t>
            </w:r>
          </w:p>
        </w:tc>
        <w:tc>
          <w:tcPr>
            <w:tcW w:w="1317" w:type="dxa"/>
          </w:tcPr>
          <w:p w14:paraId="6270CB0B" w14:textId="77777777" w:rsidR="00FA4AA8" w:rsidRDefault="0015611F">
            <w:pPr>
              <w:pStyle w:val="TableParagraph"/>
              <w:spacing w:before="28"/>
              <w:ind w:right="272"/>
              <w:jc w:val="right"/>
              <w:rPr>
                <w:b/>
                <w:sz w:val="18"/>
              </w:rPr>
            </w:pPr>
            <w:r>
              <w:rPr>
                <w:b/>
                <w:sz w:val="18"/>
              </w:rPr>
              <w:t>109,035</w:t>
            </w:r>
          </w:p>
        </w:tc>
        <w:tc>
          <w:tcPr>
            <w:tcW w:w="1138" w:type="dxa"/>
          </w:tcPr>
          <w:p w14:paraId="1C2A5D2F" w14:textId="77777777" w:rsidR="00FA4AA8" w:rsidRDefault="0015611F">
            <w:pPr>
              <w:pStyle w:val="TableParagraph"/>
              <w:spacing w:before="28"/>
              <w:ind w:right="198"/>
              <w:jc w:val="right"/>
              <w:rPr>
                <w:b/>
                <w:sz w:val="18"/>
              </w:rPr>
            </w:pPr>
            <w:r>
              <w:rPr>
                <w:b/>
                <w:sz w:val="18"/>
              </w:rPr>
              <w:t>527,334</w:t>
            </w:r>
          </w:p>
        </w:tc>
        <w:tc>
          <w:tcPr>
            <w:tcW w:w="1097" w:type="dxa"/>
          </w:tcPr>
          <w:p w14:paraId="2045950A" w14:textId="77777777" w:rsidR="00FA4AA8" w:rsidRDefault="0015611F">
            <w:pPr>
              <w:pStyle w:val="TableParagraph"/>
              <w:spacing w:before="28"/>
              <w:ind w:left="205"/>
              <w:rPr>
                <w:b/>
                <w:sz w:val="18"/>
              </w:rPr>
            </w:pPr>
            <w:r>
              <w:rPr>
                <w:b/>
                <w:sz w:val="18"/>
              </w:rPr>
              <w:t>1,618,230</w:t>
            </w:r>
          </w:p>
        </w:tc>
      </w:tr>
      <w:tr w:rsidR="00FA4AA8" w14:paraId="3BC6DFEA" w14:textId="77777777">
        <w:trPr>
          <w:trHeight w:val="264"/>
        </w:trPr>
        <w:tc>
          <w:tcPr>
            <w:tcW w:w="2565" w:type="dxa"/>
          </w:tcPr>
          <w:p w14:paraId="6E3487E6" w14:textId="77777777" w:rsidR="00FA4AA8" w:rsidRDefault="0015611F">
            <w:pPr>
              <w:pStyle w:val="TableParagraph"/>
              <w:spacing w:before="26"/>
              <w:ind w:left="50"/>
              <w:rPr>
                <w:sz w:val="18"/>
              </w:rPr>
            </w:pPr>
            <w:r>
              <w:rPr>
                <w:sz w:val="18"/>
              </w:rPr>
              <w:t>Acquisitions</w:t>
            </w:r>
          </w:p>
        </w:tc>
        <w:tc>
          <w:tcPr>
            <w:tcW w:w="1316" w:type="dxa"/>
          </w:tcPr>
          <w:p w14:paraId="704E6DD9" w14:textId="77777777" w:rsidR="00FA4AA8" w:rsidRDefault="0015611F">
            <w:pPr>
              <w:pStyle w:val="TableParagraph"/>
              <w:spacing w:before="24"/>
              <w:ind w:right="190"/>
              <w:jc w:val="right"/>
              <w:rPr>
                <w:b/>
                <w:sz w:val="18"/>
              </w:rPr>
            </w:pPr>
            <w:r>
              <w:rPr>
                <w:b/>
                <w:sz w:val="18"/>
              </w:rPr>
              <w:t>-</w:t>
            </w:r>
          </w:p>
        </w:tc>
        <w:tc>
          <w:tcPr>
            <w:tcW w:w="1251" w:type="dxa"/>
          </w:tcPr>
          <w:p w14:paraId="0BD9223C" w14:textId="77777777" w:rsidR="00FA4AA8" w:rsidRDefault="0015611F">
            <w:pPr>
              <w:pStyle w:val="TableParagraph"/>
              <w:spacing w:before="24"/>
              <w:ind w:right="309"/>
              <w:jc w:val="right"/>
              <w:rPr>
                <w:b/>
                <w:sz w:val="18"/>
              </w:rPr>
            </w:pPr>
            <w:r>
              <w:rPr>
                <w:b/>
                <w:sz w:val="18"/>
              </w:rPr>
              <w:t>144,383</w:t>
            </w:r>
          </w:p>
        </w:tc>
        <w:tc>
          <w:tcPr>
            <w:tcW w:w="1317" w:type="dxa"/>
          </w:tcPr>
          <w:p w14:paraId="240309C7" w14:textId="77777777" w:rsidR="00FA4AA8" w:rsidRDefault="0015611F">
            <w:pPr>
              <w:pStyle w:val="TableParagraph"/>
              <w:spacing w:before="24"/>
              <w:ind w:right="272"/>
              <w:jc w:val="right"/>
              <w:rPr>
                <w:b/>
                <w:sz w:val="18"/>
              </w:rPr>
            </w:pPr>
            <w:r>
              <w:rPr>
                <w:b/>
                <w:sz w:val="18"/>
              </w:rPr>
              <w:t>3,915</w:t>
            </w:r>
          </w:p>
        </w:tc>
        <w:tc>
          <w:tcPr>
            <w:tcW w:w="1138" w:type="dxa"/>
          </w:tcPr>
          <w:p w14:paraId="239AD0B1" w14:textId="77777777" w:rsidR="00FA4AA8" w:rsidRDefault="0015611F">
            <w:pPr>
              <w:pStyle w:val="TableParagraph"/>
              <w:spacing w:before="24"/>
              <w:ind w:right="198"/>
              <w:jc w:val="right"/>
              <w:rPr>
                <w:b/>
                <w:sz w:val="18"/>
              </w:rPr>
            </w:pPr>
            <w:r>
              <w:rPr>
                <w:b/>
                <w:sz w:val="18"/>
              </w:rPr>
              <w:t>31,066</w:t>
            </w:r>
          </w:p>
        </w:tc>
        <w:tc>
          <w:tcPr>
            <w:tcW w:w="1097" w:type="dxa"/>
          </w:tcPr>
          <w:p w14:paraId="0544CF07" w14:textId="77777777" w:rsidR="00FA4AA8" w:rsidRDefault="0015611F">
            <w:pPr>
              <w:pStyle w:val="TableParagraph"/>
              <w:spacing w:before="24"/>
              <w:ind w:right="83"/>
              <w:jc w:val="right"/>
              <w:rPr>
                <w:b/>
                <w:sz w:val="18"/>
              </w:rPr>
            </w:pPr>
            <w:r>
              <w:rPr>
                <w:b/>
                <w:sz w:val="18"/>
              </w:rPr>
              <w:t>179,364</w:t>
            </w:r>
          </w:p>
        </w:tc>
      </w:tr>
      <w:tr w:rsidR="00FA4AA8" w14:paraId="3123686D" w14:textId="77777777">
        <w:trPr>
          <w:trHeight w:val="263"/>
        </w:trPr>
        <w:tc>
          <w:tcPr>
            <w:tcW w:w="2565" w:type="dxa"/>
          </w:tcPr>
          <w:p w14:paraId="5788D977" w14:textId="77777777" w:rsidR="00FA4AA8" w:rsidRDefault="0015611F">
            <w:pPr>
              <w:pStyle w:val="TableParagraph"/>
              <w:spacing w:before="26"/>
              <w:ind w:left="50"/>
              <w:rPr>
                <w:sz w:val="18"/>
              </w:rPr>
            </w:pPr>
            <w:r>
              <w:rPr>
                <w:sz w:val="18"/>
              </w:rPr>
              <w:t>Transfers from level 1</w:t>
            </w:r>
          </w:p>
        </w:tc>
        <w:tc>
          <w:tcPr>
            <w:tcW w:w="1316" w:type="dxa"/>
          </w:tcPr>
          <w:p w14:paraId="380B92AE" w14:textId="77777777" w:rsidR="00FA4AA8" w:rsidRDefault="0015611F">
            <w:pPr>
              <w:pStyle w:val="TableParagraph"/>
              <w:spacing w:before="24"/>
              <w:ind w:right="130"/>
              <w:jc w:val="right"/>
              <w:rPr>
                <w:b/>
                <w:sz w:val="18"/>
              </w:rPr>
            </w:pPr>
            <w:r>
              <w:rPr>
                <w:b/>
                <w:sz w:val="18"/>
              </w:rPr>
              <w:t>(16)</w:t>
            </w:r>
          </w:p>
        </w:tc>
        <w:tc>
          <w:tcPr>
            <w:tcW w:w="1251" w:type="dxa"/>
          </w:tcPr>
          <w:p w14:paraId="2F06FEFE" w14:textId="77777777" w:rsidR="00FA4AA8" w:rsidRDefault="0015611F">
            <w:pPr>
              <w:pStyle w:val="TableParagraph"/>
              <w:spacing w:before="24"/>
              <w:ind w:right="308"/>
              <w:jc w:val="right"/>
              <w:rPr>
                <w:b/>
                <w:sz w:val="18"/>
              </w:rPr>
            </w:pPr>
            <w:r>
              <w:rPr>
                <w:b/>
                <w:sz w:val="18"/>
              </w:rPr>
              <w:t>-</w:t>
            </w:r>
          </w:p>
        </w:tc>
        <w:tc>
          <w:tcPr>
            <w:tcW w:w="1317" w:type="dxa"/>
          </w:tcPr>
          <w:p w14:paraId="3A7131B0" w14:textId="77777777" w:rsidR="00FA4AA8" w:rsidRDefault="0015611F">
            <w:pPr>
              <w:pStyle w:val="TableParagraph"/>
              <w:spacing w:before="24"/>
              <w:ind w:right="272"/>
              <w:jc w:val="right"/>
              <w:rPr>
                <w:b/>
                <w:sz w:val="18"/>
              </w:rPr>
            </w:pPr>
            <w:r>
              <w:rPr>
                <w:b/>
                <w:sz w:val="18"/>
              </w:rPr>
              <w:t>-</w:t>
            </w:r>
          </w:p>
        </w:tc>
        <w:tc>
          <w:tcPr>
            <w:tcW w:w="1138" w:type="dxa"/>
          </w:tcPr>
          <w:p w14:paraId="238BF77E" w14:textId="77777777" w:rsidR="00FA4AA8" w:rsidRDefault="0015611F">
            <w:pPr>
              <w:pStyle w:val="TableParagraph"/>
              <w:spacing w:before="24"/>
              <w:ind w:right="198"/>
              <w:jc w:val="right"/>
              <w:rPr>
                <w:b/>
                <w:sz w:val="18"/>
              </w:rPr>
            </w:pPr>
            <w:r>
              <w:rPr>
                <w:b/>
                <w:sz w:val="18"/>
              </w:rPr>
              <w:t>-</w:t>
            </w:r>
          </w:p>
        </w:tc>
        <w:tc>
          <w:tcPr>
            <w:tcW w:w="1097" w:type="dxa"/>
          </w:tcPr>
          <w:p w14:paraId="4BA26C59" w14:textId="77777777" w:rsidR="00FA4AA8" w:rsidRDefault="0015611F">
            <w:pPr>
              <w:pStyle w:val="TableParagraph"/>
              <w:spacing w:before="24"/>
              <w:ind w:right="22"/>
              <w:jc w:val="right"/>
              <w:rPr>
                <w:b/>
                <w:sz w:val="18"/>
              </w:rPr>
            </w:pPr>
            <w:r>
              <w:rPr>
                <w:b/>
                <w:sz w:val="18"/>
              </w:rPr>
              <w:t>(16)</w:t>
            </w:r>
          </w:p>
        </w:tc>
      </w:tr>
      <w:tr w:rsidR="00FA4AA8" w14:paraId="4929DAEF" w14:textId="77777777">
        <w:trPr>
          <w:trHeight w:val="262"/>
        </w:trPr>
        <w:tc>
          <w:tcPr>
            <w:tcW w:w="2565" w:type="dxa"/>
          </w:tcPr>
          <w:p w14:paraId="3669EC20" w14:textId="77777777" w:rsidR="00FA4AA8" w:rsidRDefault="0015611F">
            <w:pPr>
              <w:pStyle w:val="TableParagraph"/>
              <w:spacing w:before="26"/>
              <w:ind w:left="50"/>
              <w:rPr>
                <w:sz w:val="18"/>
              </w:rPr>
            </w:pPr>
            <w:r>
              <w:rPr>
                <w:sz w:val="18"/>
              </w:rPr>
              <w:t>Non-cash adjustments</w:t>
            </w:r>
          </w:p>
        </w:tc>
        <w:tc>
          <w:tcPr>
            <w:tcW w:w="1316" w:type="dxa"/>
          </w:tcPr>
          <w:p w14:paraId="189448E4" w14:textId="77777777" w:rsidR="00FA4AA8" w:rsidRDefault="0015611F">
            <w:pPr>
              <w:pStyle w:val="TableParagraph"/>
              <w:spacing w:before="24"/>
              <w:ind w:right="190"/>
              <w:jc w:val="right"/>
              <w:rPr>
                <w:b/>
                <w:sz w:val="18"/>
              </w:rPr>
            </w:pPr>
            <w:r>
              <w:rPr>
                <w:b/>
                <w:sz w:val="18"/>
              </w:rPr>
              <w:t>-</w:t>
            </w:r>
          </w:p>
        </w:tc>
        <w:tc>
          <w:tcPr>
            <w:tcW w:w="1251" w:type="dxa"/>
          </w:tcPr>
          <w:p w14:paraId="0BBD0E53" w14:textId="77777777" w:rsidR="00FA4AA8" w:rsidRDefault="0015611F">
            <w:pPr>
              <w:pStyle w:val="TableParagraph"/>
              <w:spacing w:before="24"/>
              <w:ind w:right="308"/>
              <w:jc w:val="right"/>
              <w:rPr>
                <w:b/>
                <w:sz w:val="18"/>
              </w:rPr>
            </w:pPr>
            <w:r>
              <w:rPr>
                <w:b/>
                <w:sz w:val="18"/>
              </w:rPr>
              <w:t>-</w:t>
            </w:r>
          </w:p>
        </w:tc>
        <w:tc>
          <w:tcPr>
            <w:tcW w:w="1317" w:type="dxa"/>
          </w:tcPr>
          <w:p w14:paraId="6EDB422B" w14:textId="77777777" w:rsidR="00FA4AA8" w:rsidRDefault="0015611F">
            <w:pPr>
              <w:pStyle w:val="TableParagraph"/>
              <w:spacing w:before="24"/>
              <w:ind w:right="272"/>
              <w:jc w:val="right"/>
              <w:rPr>
                <w:b/>
                <w:sz w:val="18"/>
              </w:rPr>
            </w:pPr>
            <w:r>
              <w:rPr>
                <w:b/>
                <w:sz w:val="18"/>
              </w:rPr>
              <w:t>10</w:t>
            </w:r>
          </w:p>
        </w:tc>
        <w:tc>
          <w:tcPr>
            <w:tcW w:w="1138" w:type="dxa"/>
          </w:tcPr>
          <w:p w14:paraId="6C86586A" w14:textId="77777777" w:rsidR="00FA4AA8" w:rsidRDefault="0015611F">
            <w:pPr>
              <w:pStyle w:val="TableParagraph"/>
              <w:spacing w:before="24"/>
              <w:ind w:right="198"/>
              <w:jc w:val="right"/>
              <w:rPr>
                <w:b/>
                <w:sz w:val="18"/>
              </w:rPr>
            </w:pPr>
            <w:r>
              <w:rPr>
                <w:b/>
                <w:sz w:val="18"/>
              </w:rPr>
              <w:t>-</w:t>
            </w:r>
          </w:p>
        </w:tc>
        <w:tc>
          <w:tcPr>
            <w:tcW w:w="1097" w:type="dxa"/>
          </w:tcPr>
          <w:p w14:paraId="78FAD0D1" w14:textId="77777777" w:rsidR="00FA4AA8" w:rsidRDefault="0015611F">
            <w:pPr>
              <w:pStyle w:val="TableParagraph"/>
              <w:spacing w:before="24"/>
              <w:ind w:right="83"/>
              <w:jc w:val="right"/>
              <w:rPr>
                <w:b/>
                <w:sz w:val="18"/>
              </w:rPr>
            </w:pPr>
            <w:r>
              <w:rPr>
                <w:b/>
                <w:sz w:val="18"/>
              </w:rPr>
              <w:t>10</w:t>
            </w:r>
          </w:p>
        </w:tc>
      </w:tr>
      <w:tr w:rsidR="00FA4AA8" w14:paraId="6CEEE31A" w14:textId="77777777">
        <w:trPr>
          <w:trHeight w:val="465"/>
        </w:trPr>
        <w:tc>
          <w:tcPr>
            <w:tcW w:w="2565" w:type="dxa"/>
          </w:tcPr>
          <w:p w14:paraId="65C0EA26" w14:textId="77777777" w:rsidR="00FA4AA8" w:rsidRDefault="0015611F">
            <w:pPr>
              <w:pStyle w:val="TableParagraph"/>
              <w:spacing w:before="23"/>
              <w:ind w:left="50" w:right="694"/>
              <w:rPr>
                <w:sz w:val="18"/>
              </w:rPr>
            </w:pPr>
            <w:r>
              <w:rPr>
                <w:sz w:val="18"/>
              </w:rPr>
              <w:t>Recognised in profit or loss*</w:t>
            </w:r>
          </w:p>
        </w:tc>
        <w:tc>
          <w:tcPr>
            <w:tcW w:w="1316" w:type="dxa"/>
          </w:tcPr>
          <w:p w14:paraId="34E3A027" w14:textId="77777777" w:rsidR="00FA4AA8" w:rsidRDefault="00FA4AA8">
            <w:pPr>
              <w:pStyle w:val="TableParagraph"/>
              <w:spacing w:before="8"/>
              <w:rPr>
                <w:b/>
                <w:sz w:val="19"/>
              </w:rPr>
            </w:pPr>
          </w:p>
          <w:p w14:paraId="1B83C4AC" w14:textId="77777777" w:rsidR="00FA4AA8" w:rsidRDefault="0015611F">
            <w:pPr>
              <w:pStyle w:val="TableParagraph"/>
              <w:ind w:right="190"/>
              <w:jc w:val="right"/>
              <w:rPr>
                <w:b/>
                <w:sz w:val="18"/>
              </w:rPr>
            </w:pPr>
            <w:r>
              <w:rPr>
                <w:b/>
                <w:sz w:val="18"/>
              </w:rPr>
              <w:t>-</w:t>
            </w:r>
          </w:p>
        </w:tc>
        <w:tc>
          <w:tcPr>
            <w:tcW w:w="1251" w:type="dxa"/>
          </w:tcPr>
          <w:p w14:paraId="291CBF6C" w14:textId="77777777" w:rsidR="00FA4AA8" w:rsidRDefault="00FA4AA8">
            <w:pPr>
              <w:pStyle w:val="TableParagraph"/>
              <w:spacing w:before="8"/>
              <w:rPr>
                <w:b/>
                <w:sz w:val="19"/>
              </w:rPr>
            </w:pPr>
          </w:p>
          <w:p w14:paraId="4EE849E8" w14:textId="77777777" w:rsidR="00FA4AA8" w:rsidRDefault="0015611F">
            <w:pPr>
              <w:pStyle w:val="TableParagraph"/>
              <w:ind w:right="248"/>
              <w:jc w:val="right"/>
              <w:rPr>
                <w:b/>
                <w:sz w:val="18"/>
              </w:rPr>
            </w:pPr>
            <w:r>
              <w:rPr>
                <w:b/>
                <w:sz w:val="18"/>
              </w:rPr>
              <w:t>(25,445)</w:t>
            </w:r>
          </w:p>
        </w:tc>
        <w:tc>
          <w:tcPr>
            <w:tcW w:w="1317" w:type="dxa"/>
          </w:tcPr>
          <w:p w14:paraId="4068218C" w14:textId="77777777" w:rsidR="00FA4AA8" w:rsidRDefault="00FA4AA8">
            <w:pPr>
              <w:pStyle w:val="TableParagraph"/>
              <w:spacing w:before="8"/>
              <w:rPr>
                <w:b/>
                <w:sz w:val="19"/>
              </w:rPr>
            </w:pPr>
          </w:p>
          <w:p w14:paraId="75DBD0A5" w14:textId="77777777" w:rsidR="00FA4AA8" w:rsidRDefault="0015611F">
            <w:pPr>
              <w:pStyle w:val="TableParagraph"/>
              <w:ind w:right="211"/>
              <w:jc w:val="right"/>
              <w:rPr>
                <w:b/>
                <w:sz w:val="18"/>
              </w:rPr>
            </w:pPr>
            <w:r>
              <w:rPr>
                <w:b/>
                <w:sz w:val="18"/>
              </w:rPr>
              <w:t>(3,629)</w:t>
            </w:r>
          </w:p>
        </w:tc>
        <w:tc>
          <w:tcPr>
            <w:tcW w:w="1138" w:type="dxa"/>
          </w:tcPr>
          <w:p w14:paraId="0CE05383" w14:textId="77777777" w:rsidR="00FA4AA8" w:rsidRDefault="00FA4AA8">
            <w:pPr>
              <w:pStyle w:val="TableParagraph"/>
              <w:spacing w:before="8"/>
              <w:rPr>
                <w:b/>
                <w:sz w:val="19"/>
              </w:rPr>
            </w:pPr>
          </w:p>
          <w:p w14:paraId="14F08EF3" w14:textId="77777777" w:rsidR="00FA4AA8" w:rsidRDefault="0015611F">
            <w:pPr>
              <w:pStyle w:val="TableParagraph"/>
              <w:ind w:right="198"/>
              <w:jc w:val="right"/>
              <w:rPr>
                <w:b/>
                <w:sz w:val="18"/>
              </w:rPr>
            </w:pPr>
            <w:r>
              <w:rPr>
                <w:b/>
                <w:sz w:val="18"/>
              </w:rPr>
              <w:t>-</w:t>
            </w:r>
          </w:p>
        </w:tc>
        <w:tc>
          <w:tcPr>
            <w:tcW w:w="1097" w:type="dxa"/>
          </w:tcPr>
          <w:p w14:paraId="6BA8C941" w14:textId="77777777" w:rsidR="00FA4AA8" w:rsidRDefault="00FA4AA8">
            <w:pPr>
              <w:pStyle w:val="TableParagraph"/>
              <w:spacing w:before="8"/>
              <w:rPr>
                <w:b/>
                <w:sz w:val="19"/>
              </w:rPr>
            </w:pPr>
          </w:p>
          <w:p w14:paraId="453DBFAB" w14:textId="77777777" w:rsidR="00FA4AA8" w:rsidRDefault="0015611F">
            <w:pPr>
              <w:pStyle w:val="TableParagraph"/>
              <w:ind w:right="22"/>
              <w:jc w:val="right"/>
              <w:rPr>
                <w:b/>
                <w:sz w:val="18"/>
              </w:rPr>
            </w:pPr>
            <w:r>
              <w:rPr>
                <w:b/>
                <w:sz w:val="18"/>
              </w:rPr>
              <w:t>(29,074)</w:t>
            </w:r>
          </w:p>
        </w:tc>
      </w:tr>
      <w:tr w:rsidR="00FA4AA8" w14:paraId="020C85F2" w14:textId="77777777">
        <w:trPr>
          <w:trHeight w:val="459"/>
        </w:trPr>
        <w:tc>
          <w:tcPr>
            <w:tcW w:w="2565" w:type="dxa"/>
          </w:tcPr>
          <w:p w14:paraId="238B5070" w14:textId="77777777" w:rsidR="00FA4AA8" w:rsidRDefault="0015611F">
            <w:pPr>
              <w:pStyle w:val="TableParagraph"/>
              <w:spacing w:before="23"/>
              <w:ind w:left="50" w:right="644"/>
              <w:rPr>
                <w:sz w:val="18"/>
              </w:rPr>
            </w:pPr>
            <w:r>
              <w:rPr>
                <w:sz w:val="18"/>
              </w:rPr>
              <w:t>Recognised in other comprehensive income</w:t>
            </w:r>
          </w:p>
        </w:tc>
        <w:tc>
          <w:tcPr>
            <w:tcW w:w="1316" w:type="dxa"/>
            <w:tcBorders>
              <w:bottom w:val="single" w:sz="8" w:space="0" w:color="000000"/>
            </w:tcBorders>
          </w:tcPr>
          <w:p w14:paraId="3299930F" w14:textId="77777777" w:rsidR="00FA4AA8" w:rsidRDefault="00FA4AA8">
            <w:pPr>
              <w:pStyle w:val="TableParagraph"/>
              <w:spacing w:before="8"/>
              <w:rPr>
                <w:b/>
                <w:sz w:val="19"/>
              </w:rPr>
            </w:pPr>
          </w:p>
          <w:p w14:paraId="48AB6D08" w14:textId="77777777" w:rsidR="00FA4AA8" w:rsidRDefault="0015611F">
            <w:pPr>
              <w:pStyle w:val="TableParagraph"/>
              <w:ind w:right="190"/>
              <w:jc w:val="right"/>
              <w:rPr>
                <w:b/>
                <w:sz w:val="18"/>
              </w:rPr>
            </w:pPr>
            <w:r>
              <w:rPr>
                <w:b/>
                <w:sz w:val="18"/>
              </w:rPr>
              <w:t>-</w:t>
            </w:r>
          </w:p>
        </w:tc>
        <w:tc>
          <w:tcPr>
            <w:tcW w:w="1251" w:type="dxa"/>
            <w:tcBorders>
              <w:bottom w:val="single" w:sz="8" w:space="0" w:color="000000"/>
            </w:tcBorders>
          </w:tcPr>
          <w:p w14:paraId="7382A9CA" w14:textId="77777777" w:rsidR="00FA4AA8" w:rsidRDefault="00FA4AA8">
            <w:pPr>
              <w:pStyle w:val="TableParagraph"/>
              <w:spacing w:before="8"/>
              <w:rPr>
                <w:b/>
                <w:sz w:val="19"/>
              </w:rPr>
            </w:pPr>
          </w:p>
          <w:p w14:paraId="76B89B12" w14:textId="77777777" w:rsidR="00FA4AA8" w:rsidRDefault="0015611F">
            <w:pPr>
              <w:pStyle w:val="TableParagraph"/>
              <w:ind w:right="309"/>
              <w:jc w:val="right"/>
              <w:rPr>
                <w:b/>
                <w:sz w:val="18"/>
              </w:rPr>
            </w:pPr>
            <w:r>
              <w:rPr>
                <w:b/>
                <w:sz w:val="18"/>
              </w:rPr>
              <w:t>27,289</w:t>
            </w:r>
          </w:p>
        </w:tc>
        <w:tc>
          <w:tcPr>
            <w:tcW w:w="1317" w:type="dxa"/>
            <w:tcBorders>
              <w:bottom w:val="single" w:sz="8" w:space="0" w:color="000000"/>
            </w:tcBorders>
          </w:tcPr>
          <w:p w14:paraId="232208F0" w14:textId="77777777" w:rsidR="00FA4AA8" w:rsidRDefault="00FA4AA8">
            <w:pPr>
              <w:pStyle w:val="TableParagraph"/>
              <w:spacing w:before="8"/>
              <w:rPr>
                <w:b/>
                <w:sz w:val="19"/>
              </w:rPr>
            </w:pPr>
          </w:p>
          <w:p w14:paraId="6BBD9B5A" w14:textId="77777777" w:rsidR="00FA4AA8" w:rsidRDefault="0015611F">
            <w:pPr>
              <w:pStyle w:val="TableParagraph"/>
              <w:ind w:right="272"/>
              <w:jc w:val="right"/>
              <w:rPr>
                <w:b/>
                <w:sz w:val="18"/>
              </w:rPr>
            </w:pPr>
            <w:r>
              <w:rPr>
                <w:b/>
                <w:sz w:val="18"/>
              </w:rPr>
              <w:t>7,166</w:t>
            </w:r>
          </w:p>
        </w:tc>
        <w:tc>
          <w:tcPr>
            <w:tcW w:w="1138" w:type="dxa"/>
            <w:tcBorders>
              <w:bottom w:val="single" w:sz="8" w:space="0" w:color="000000"/>
            </w:tcBorders>
          </w:tcPr>
          <w:p w14:paraId="63FDC66D" w14:textId="77777777" w:rsidR="00FA4AA8" w:rsidRDefault="00FA4AA8">
            <w:pPr>
              <w:pStyle w:val="TableParagraph"/>
              <w:spacing w:before="8"/>
              <w:rPr>
                <w:b/>
                <w:sz w:val="19"/>
              </w:rPr>
            </w:pPr>
          </w:p>
          <w:p w14:paraId="19B231D2" w14:textId="77777777" w:rsidR="00FA4AA8" w:rsidRDefault="0015611F">
            <w:pPr>
              <w:pStyle w:val="TableParagraph"/>
              <w:ind w:right="198"/>
              <w:jc w:val="right"/>
              <w:rPr>
                <w:b/>
                <w:sz w:val="18"/>
              </w:rPr>
            </w:pPr>
            <w:r>
              <w:rPr>
                <w:b/>
                <w:sz w:val="18"/>
              </w:rPr>
              <w:t>34,621</w:t>
            </w:r>
          </w:p>
        </w:tc>
        <w:tc>
          <w:tcPr>
            <w:tcW w:w="1097" w:type="dxa"/>
            <w:tcBorders>
              <w:bottom w:val="single" w:sz="8" w:space="0" w:color="000000"/>
            </w:tcBorders>
          </w:tcPr>
          <w:p w14:paraId="642E002E" w14:textId="77777777" w:rsidR="00FA4AA8" w:rsidRDefault="00FA4AA8">
            <w:pPr>
              <w:pStyle w:val="TableParagraph"/>
              <w:spacing w:before="8"/>
              <w:rPr>
                <w:b/>
                <w:sz w:val="19"/>
              </w:rPr>
            </w:pPr>
          </w:p>
          <w:p w14:paraId="53C9DC12" w14:textId="77777777" w:rsidR="00FA4AA8" w:rsidRDefault="0015611F">
            <w:pPr>
              <w:pStyle w:val="TableParagraph"/>
              <w:ind w:right="83"/>
              <w:jc w:val="right"/>
              <w:rPr>
                <w:b/>
                <w:sz w:val="18"/>
              </w:rPr>
            </w:pPr>
            <w:r>
              <w:rPr>
                <w:b/>
                <w:sz w:val="18"/>
              </w:rPr>
              <w:t>69,076</w:t>
            </w:r>
          </w:p>
        </w:tc>
      </w:tr>
      <w:tr w:rsidR="00FA4AA8" w14:paraId="1C9385BB" w14:textId="77777777">
        <w:trPr>
          <w:trHeight w:val="320"/>
        </w:trPr>
        <w:tc>
          <w:tcPr>
            <w:tcW w:w="2565" w:type="dxa"/>
          </w:tcPr>
          <w:p w14:paraId="357B3B81" w14:textId="77777777" w:rsidR="00FA4AA8" w:rsidRDefault="0015611F">
            <w:pPr>
              <w:pStyle w:val="TableParagraph"/>
              <w:spacing w:before="115" w:line="185" w:lineRule="exact"/>
              <w:ind w:left="50"/>
              <w:rPr>
                <w:b/>
                <w:sz w:val="18"/>
              </w:rPr>
            </w:pPr>
            <w:r>
              <w:rPr>
                <w:b/>
                <w:sz w:val="18"/>
              </w:rPr>
              <w:t>Closing balance</w:t>
            </w:r>
          </w:p>
        </w:tc>
        <w:tc>
          <w:tcPr>
            <w:tcW w:w="1316" w:type="dxa"/>
            <w:tcBorders>
              <w:top w:val="single" w:sz="8" w:space="0" w:color="000000"/>
              <w:bottom w:val="double" w:sz="2" w:space="0" w:color="000000"/>
            </w:tcBorders>
          </w:tcPr>
          <w:p w14:paraId="53A68C3F" w14:textId="77777777" w:rsidR="00FA4AA8" w:rsidRDefault="0015611F">
            <w:pPr>
              <w:pStyle w:val="TableParagraph"/>
              <w:spacing w:before="115" w:line="185" w:lineRule="exact"/>
              <w:ind w:right="190"/>
              <w:jc w:val="right"/>
              <w:rPr>
                <w:b/>
                <w:sz w:val="18"/>
              </w:rPr>
            </w:pPr>
            <w:r>
              <w:rPr>
                <w:b/>
                <w:sz w:val="18"/>
              </w:rPr>
              <w:t>321</w:t>
            </w:r>
          </w:p>
        </w:tc>
        <w:tc>
          <w:tcPr>
            <w:tcW w:w="1251" w:type="dxa"/>
            <w:tcBorders>
              <w:top w:val="single" w:sz="8" w:space="0" w:color="000000"/>
              <w:bottom w:val="double" w:sz="2" w:space="0" w:color="000000"/>
            </w:tcBorders>
          </w:tcPr>
          <w:p w14:paraId="375F2933" w14:textId="77777777" w:rsidR="00FA4AA8" w:rsidRDefault="0015611F">
            <w:pPr>
              <w:pStyle w:val="TableParagraph"/>
              <w:spacing w:before="115" w:line="185" w:lineRule="exact"/>
              <w:ind w:left="133"/>
              <w:rPr>
                <w:b/>
                <w:sz w:val="18"/>
              </w:rPr>
            </w:pPr>
            <w:r>
              <w:rPr>
                <w:b/>
                <w:sz w:val="18"/>
              </w:rPr>
              <w:t>1,127,751</w:t>
            </w:r>
          </w:p>
        </w:tc>
        <w:tc>
          <w:tcPr>
            <w:tcW w:w="1317" w:type="dxa"/>
            <w:tcBorders>
              <w:top w:val="single" w:sz="8" w:space="0" w:color="000000"/>
              <w:bottom w:val="double" w:sz="2" w:space="0" w:color="000000"/>
            </w:tcBorders>
          </w:tcPr>
          <w:p w14:paraId="58BC5AF9" w14:textId="77777777" w:rsidR="00FA4AA8" w:rsidRDefault="0015611F">
            <w:pPr>
              <w:pStyle w:val="TableParagraph"/>
              <w:spacing w:before="115" w:line="185" w:lineRule="exact"/>
              <w:ind w:right="272"/>
              <w:jc w:val="right"/>
              <w:rPr>
                <w:b/>
                <w:sz w:val="18"/>
              </w:rPr>
            </w:pPr>
            <w:r>
              <w:rPr>
                <w:b/>
                <w:sz w:val="18"/>
              </w:rPr>
              <w:t>116,497</w:t>
            </w:r>
          </w:p>
        </w:tc>
        <w:tc>
          <w:tcPr>
            <w:tcW w:w="1138" w:type="dxa"/>
            <w:tcBorders>
              <w:top w:val="single" w:sz="8" w:space="0" w:color="000000"/>
              <w:bottom w:val="double" w:sz="2" w:space="0" w:color="000000"/>
            </w:tcBorders>
          </w:tcPr>
          <w:p w14:paraId="4CFAED4E" w14:textId="77777777" w:rsidR="00FA4AA8" w:rsidRDefault="0015611F">
            <w:pPr>
              <w:pStyle w:val="TableParagraph"/>
              <w:spacing w:before="115" w:line="185" w:lineRule="exact"/>
              <w:ind w:right="198"/>
              <w:jc w:val="right"/>
              <w:rPr>
                <w:b/>
                <w:sz w:val="18"/>
              </w:rPr>
            </w:pPr>
            <w:r>
              <w:rPr>
                <w:b/>
                <w:sz w:val="18"/>
              </w:rPr>
              <w:t>593,021</w:t>
            </w:r>
          </w:p>
        </w:tc>
        <w:tc>
          <w:tcPr>
            <w:tcW w:w="1097" w:type="dxa"/>
            <w:tcBorders>
              <w:top w:val="single" w:sz="8" w:space="0" w:color="000000"/>
              <w:bottom w:val="double" w:sz="2" w:space="0" w:color="000000"/>
            </w:tcBorders>
          </w:tcPr>
          <w:p w14:paraId="516EA3EC" w14:textId="77777777" w:rsidR="00FA4AA8" w:rsidRDefault="0015611F">
            <w:pPr>
              <w:pStyle w:val="TableParagraph"/>
              <w:spacing w:before="115" w:line="185" w:lineRule="exact"/>
              <w:ind w:left="205"/>
              <w:rPr>
                <w:b/>
                <w:sz w:val="18"/>
              </w:rPr>
            </w:pPr>
            <w:r>
              <w:rPr>
                <w:b/>
                <w:sz w:val="18"/>
              </w:rPr>
              <w:t>1,837,590</w:t>
            </w:r>
          </w:p>
        </w:tc>
      </w:tr>
    </w:tbl>
    <w:p w14:paraId="627E071C" w14:textId="77777777" w:rsidR="00FA4AA8" w:rsidRDefault="00FA4AA8">
      <w:pPr>
        <w:pStyle w:val="BodyText"/>
        <w:rPr>
          <w:b/>
          <w:sz w:val="20"/>
        </w:rPr>
      </w:pPr>
    </w:p>
    <w:p w14:paraId="17E3B582" w14:textId="77777777" w:rsidR="00FA4AA8" w:rsidRDefault="00FA4AA8">
      <w:pPr>
        <w:pStyle w:val="BodyText"/>
        <w:rPr>
          <w:b/>
          <w:sz w:val="20"/>
        </w:rPr>
      </w:pPr>
    </w:p>
    <w:p w14:paraId="15B70B21" w14:textId="77777777" w:rsidR="00FA4AA8" w:rsidRDefault="00FA4AA8">
      <w:pPr>
        <w:pStyle w:val="BodyText"/>
        <w:rPr>
          <w:b/>
          <w:sz w:val="20"/>
        </w:rPr>
      </w:pPr>
    </w:p>
    <w:p w14:paraId="2A32AEBB" w14:textId="77777777" w:rsidR="00FA4AA8" w:rsidRDefault="00FA4AA8">
      <w:pPr>
        <w:pStyle w:val="BodyText"/>
        <w:rPr>
          <w:b/>
          <w:sz w:val="16"/>
        </w:rPr>
      </w:pPr>
    </w:p>
    <w:p w14:paraId="7566092F" w14:textId="77777777" w:rsidR="00FA4AA8" w:rsidRDefault="007E2441">
      <w:pPr>
        <w:ind w:left="547" w:right="7972"/>
        <w:rPr>
          <w:b/>
          <w:sz w:val="18"/>
        </w:rPr>
      </w:pPr>
      <w:r>
        <w:rPr>
          <w:noProof/>
          <w:lang w:val="en-AU" w:eastAsia="en-AU"/>
        </w:rPr>
        <mc:AlternateContent>
          <mc:Choice Requires="wps">
            <w:drawing>
              <wp:anchor distT="0" distB="0" distL="114300" distR="114300" simplePos="0" relativeHeight="15755264" behindDoc="0" locked="0" layoutInCell="1" allowOverlap="1" wp14:anchorId="10AEEDE7" wp14:editId="21E9751C">
                <wp:simplePos x="0" y="0"/>
                <wp:positionH relativeFrom="page">
                  <wp:posOffset>2613660</wp:posOffset>
                </wp:positionH>
                <wp:positionV relativeFrom="paragraph">
                  <wp:posOffset>-300990</wp:posOffset>
                </wp:positionV>
                <wp:extent cx="3591560" cy="563880"/>
                <wp:effectExtent l="0" t="0" r="0" b="0"/>
                <wp:wrapNone/>
                <wp:docPr id="2230" name="Text Box 1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1560" cy="563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065"/>
                              <w:gridCol w:w="1116"/>
                              <w:gridCol w:w="1532"/>
                              <w:gridCol w:w="1065"/>
                              <w:gridCol w:w="880"/>
                            </w:tblGrid>
                            <w:tr w:rsidR="001F3ACE" w14:paraId="7B63886B" w14:textId="77777777">
                              <w:trPr>
                                <w:trHeight w:val="650"/>
                              </w:trPr>
                              <w:tc>
                                <w:tcPr>
                                  <w:tcW w:w="1065" w:type="dxa"/>
                                </w:tcPr>
                                <w:p w14:paraId="23B948DD" w14:textId="77777777" w:rsidR="001F3ACE" w:rsidRDefault="001F3ACE">
                                  <w:pPr>
                                    <w:pStyle w:val="TableParagraph"/>
                                    <w:ind w:left="50" w:right="168" w:firstLine="2"/>
                                    <w:jc w:val="center"/>
                                    <w:rPr>
                                      <w:b/>
                                      <w:sz w:val="18"/>
                                    </w:rPr>
                                  </w:pPr>
                                  <w:r>
                                    <w:rPr>
                                      <w:b/>
                                      <w:sz w:val="18"/>
                                    </w:rPr>
                                    <w:t>Unlisted equity securities</w:t>
                                  </w:r>
                                </w:p>
                              </w:tc>
                              <w:tc>
                                <w:tcPr>
                                  <w:tcW w:w="1116" w:type="dxa"/>
                                </w:tcPr>
                                <w:p w14:paraId="162CFB1D" w14:textId="77777777" w:rsidR="001F3ACE" w:rsidRDefault="001F3ACE">
                                  <w:pPr>
                                    <w:pStyle w:val="TableParagraph"/>
                                    <w:rPr>
                                      <w:sz w:val="20"/>
                                    </w:rPr>
                                  </w:pPr>
                                </w:p>
                                <w:p w14:paraId="56AA3D2F" w14:textId="77777777" w:rsidR="001F3ACE" w:rsidRDefault="001F3ACE">
                                  <w:pPr>
                                    <w:pStyle w:val="TableParagraph"/>
                                    <w:spacing w:before="177"/>
                                    <w:ind w:left="151" w:right="104"/>
                                    <w:jc w:val="center"/>
                                    <w:rPr>
                                      <w:b/>
                                      <w:sz w:val="18"/>
                                    </w:rPr>
                                  </w:pPr>
                                  <w:r>
                                    <w:rPr>
                                      <w:b/>
                                      <w:sz w:val="18"/>
                                    </w:rPr>
                                    <w:t>Buildings</w:t>
                                  </w:r>
                                </w:p>
                              </w:tc>
                              <w:tc>
                                <w:tcPr>
                                  <w:tcW w:w="1532" w:type="dxa"/>
                                </w:tcPr>
                                <w:p w14:paraId="5BFA1003" w14:textId="77777777" w:rsidR="001F3ACE" w:rsidRDefault="001F3ACE">
                                  <w:pPr>
                                    <w:pStyle w:val="TableParagraph"/>
                                    <w:rPr>
                                      <w:sz w:val="20"/>
                                    </w:rPr>
                                  </w:pPr>
                                </w:p>
                                <w:p w14:paraId="23451810" w14:textId="77777777" w:rsidR="001F3ACE" w:rsidRDefault="001F3ACE">
                                  <w:pPr>
                                    <w:pStyle w:val="TableParagraph"/>
                                    <w:spacing w:before="177"/>
                                    <w:ind w:left="105" w:right="216"/>
                                    <w:jc w:val="center"/>
                                    <w:rPr>
                                      <w:b/>
                                      <w:sz w:val="18"/>
                                    </w:rPr>
                                  </w:pPr>
                                  <w:r>
                                    <w:rPr>
                                      <w:b/>
                                      <w:sz w:val="18"/>
                                    </w:rPr>
                                    <w:t>Infrastructure</w:t>
                                  </w:r>
                                </w:p>
                              </w:tc>
                              <w:tc>
                                <w:tcPr>
                                  <w:tcW w:w="1065" w:type="dxa"/>
                                </w:tcPr>
                                <w:p w14:paraId="2CB8D08A" w14:textId="77777777" w:rsidR="001F3ACE" w:rsidRDefault="001F3ACE">
                                  <w:pPr>
                                    <w:pStyle w:val="TableParagraph"/>
                                    <w:rPr>
                                      <w:sz w:val="20"/>
                                    </w:rPr>
                                  </w:pPr>
                                </w:p>
                                <w:p w14:paraId="492516D9" w14:textId="77777777" w:rsidR="001F3ACE" w:rsidRDefault="001F3ACE">
                                  <w:pPr>
                                    <w:pStyle w:val="TableParagraph"/>
                                    <w:spacing w:before="177"/>
                                    <w:ind w:left="241"/>
                                    <w:rPr>
                                      <w:b/>
                                      <w:sz w:val="18"/>
                                    </w:rPr>
                                  </w:pPr>
                                  <w:r>
                                    <w:rPr>
                                      <w:b/>
                                      <w:sz w:val="18"/>
                                    </w:rPr>
                                    <w:t>Land</w:t>
                                  </w:r>
                                </w:p>
                              </w:tc>
                              <w:tc>
                                <w:tcPr>
                                  <w:tcW w:w="880" w:type="dxa"/>
                                </w:tcPr>
                                <w:p w14:paraId="2EEA5F12" w14:textId="77777777" w:rsidR="001F3ACE" w:rsidRDefault="001F3ACE">
                                  <w:pPr>
                                    <w:pStyle w:val="TableParagraph"/>
                                    <w:rPr>
                                      <w:sz w:val="20"/>
                                    </w:rPr>
                                  </w:pPr>
                                </w:p>
                                <w:p w14:paraId="704E0004" w14:textId="77777777" w:rsidR="001F3ACE" w:rsidRDefault="001F3ACE">
                                  <w:pPr>
                                    <w:pStyle w:val="TableParagraph"/>
                                    <w:spacing w:before="177"/>
                                    <w:ind w:right="57"/>
                                    <w:jc w:val="right"/>
                                    <w:rPr>
                                      <w:b/>
                                      <w:sz w:val="18"/>
                                    </w:rPr>
                                  </w:pPr>
                                  <w:r>
                                    <w:rPr>
                                      <w:b/>
                                      <w:sz w:val="18"/>
                                    </w:rPr>
                                    <w:t>Total</w:t>
                                  </w:r>
                                </w:p>
                              </w:tc>
                            </w:tr>
                            <w:tr w:rsidR="001F3ACE" w14:paraId="14100068" w14:textId="77777777">
                              <w:trPr>
                                <w:trHeight w:val="237"/>
                              </w:trPr>
                              <w:tc>
                                <w:tcPr>
                                  <w:tcW w:w="1065" w:type="dxa"/>
                                </w:tcPr>
                                <w:p w14:paraId="34757186" w14:textId="77777777" w:rsidR="001F3ACE" w:rsidRDefault="001F3ACE">
                                  <w:pPr>
                                    <w:pStyle w:val="TableParagraph"/>
                                    <w:spacing w:before="30" w:line="187" w:lineRule="exact"/>
                                    <w:ind w:left="249"/>
                                    <w:rPr>
                                      <w:b/>
                                      <w:sz w:val="18"/>
                                    </w:rPr>
                                  </w:pPr>
                                  <w:r>
                                    <w:rPr>
                                      <w:b/>
                                      <w:sz w:val="18"/>
                                    </w:rPr>
                                    <w:t>$'000</w:t>
                                  </w:r>
                                </w:p>
                              </w:tc>
                              <w:tc>
                                <w:tcPr>
                                  <w:tcW w:w="1116" w:type="dxa"/>
                                </w:tcPr>
                                <w:p w14:paraId="1890F6E0" w14:textId="77777777" w:rsidR="001F3ACE" w:rsidRDefault="001F3ACE">
                                  <w:pPr>
                                    <w:pStyle w:val="TableParagraph"/>
                                    <w:spacing w:before="30" w:line="187" w:lineRule="exact"/>
                                    <w:ind w:left="149" w:right="104"/>
                                    <w:jc w:val="center"/>
                                    <w:rPr>
                                      <w:b/>
                                      <w:sz w:val="18"/>
                                    </w:rPr>
                                  </w:pPr>
                                  <w:r>
                                    <w:rPr>
                                      <w:b/>
                                      <w:sz w:val="18"/>
                                    </w:rPr>
                                    <w:t>$'000</w:t>
                                  </w:r>
                                </w:p>
                              </w:tc>
                              <w:tc>
                                <w:tcPr>
                                  <w:tcW w:w="1532" w:type="dxa"/>
                                </w:tcPr>
                                <w:p w14:paraId="0C5BB703" w14:textId="77777777" w:rsidR="001F3ACE" w:rsidRDefault="001F3ACE">
                                  <w:pPr>
                                    <w:pStyle w:val="TableParagraph"/>
                                    <w:spacing w:before="30" w:line="187" w:lineRule="exact"/>
                                    <w:ind w:left="103" w:right="216"/>
                                    <w:jc w:val="center"/>
                                    <w:rPr>
                                      <w:b/>
                                      <w:sz w:val="18"/>
                                    </w:rPr>
                                  </w:pPr>
                                  <w:r>
                                    <w:rPr>
                                      <w:b/>
                                      <w:sz w:val="18"/>
                                    </w:rPr>
                                    <w:t>$'000</w:t>
                                  </w:r>
                                </w:p>
                              </w:tc>
                              <w:tc>
                                <w:tcPr>
                                  <w:tcW w:w="1065" w:type="dxa"/>
                                </w:tcPr>
                                <w:p w14:paraId="35889414" w14:textId="77777777" w:rsidR="001F3ACE" w:rsidRDefault="001F3ACE">
                                  <w:pPr>
                                    <w:pStyle w:val="TableParagraph"/>
                                    <w:spacing w:before="30" w:line="187" w:lineRule="exact"/>
                                    <w:ind w:left="234"/>
                                    <w:rPr>
                                      <w:b/>
                                      <w:sz w:val="18"/>
                                    </w:rPr>
                                  </w:pPr>
                                  <w:r>
                                    <w:rPr>
                                      <w:b/>
                                      <w:sz w:val="18"/>
                                    </w:rPr>
                                    <w:t>$'000</w:t>
                                  </w:r>
                                </w:p>
                              </w:tc>
                              <w:tc>
                                <w:tcPr>
                                  <w:tcW w:w="880" w:type="dxa"/>
                                </w:tcPr>
                                <w:p w14:paraId="53A5A0A0" w14:textId="77777777" w:rsidR="001F3ACE" w:rsidRDefault="001F3ACE">
                                  <w:pPr>
                                    <w:pStyle w:val="TableParagraph"/>
                                    <w:spacing w:before="30" w:line="187" w:lineRule="exact"/>
                                    <w:ind w:right="50"/>
                                    <w:jc w:val="right"/>
                                    <w:rPr>
                                      <w:b/>
                                      <w:sz w:val="18"/>
                                    </w:rPr>
                                  </w:pPr>
                                  <w:r>
                                    <w:rPr>
                                      <w:b/>
                                      <w:sz w:val="18"/>
                                    </w:rPr>
                                    <w:t>$'000</w:t>
                                  </w:r>
                                </w:p>
                              </w:tc>
                            </w:tr>
                          </w:tbl>
                          <w:p w14:paraId="44EC46EF" w14:textId="77777777" w:rsidR="001F3ACE" w:rsidRDefault="001F3AC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EEDE7" id="Text Box 1996" o:spid="_x0000_s1037" type="#_x0000_t202" style="position:absolute;left:0;text-align:left;margin-left:205.8pt;margin-top:-23.7pt;width:282.8pt;height:44.4pt;z-index:1575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065"/>
                        <w:gridCol w:w="1116"/>
                        <w:gridCol w:w="1532"/>
                        <w:gridCol w:w="1065"/>
                        <w:gridCol w:w="880"/>
                      </w:tblGrid>
                      <w:tr w:rsidR="001F3ACE" w14:paraId="7B63886B" w14:textId="77777777">
                        <w:trPr>
                          <w:trHeight w:val="650"/>
                        </w:trPr>
                        <w:tc>
                          <w:tcPr>
                            <w:tcW w:w="1065" w:type="dxa"/>
                          </w:tcPr>
                          <w:p w14:paraId="23B948DD" w14:textId="77777777" w:rsidR="001F3ACE" w:rsidRDefault="001F3ACE">
                            <w:pPr>
                              <w:pStyle w:val="TableParagraph"/>
                              <w:ind w:left="50" w:right="168" w:firstLine="2"/>
                              <w:jc w:val="center"/>
                              <w:rPr>
                                <w:b/>
                                <w:sz w:val="18"/>
                              </w:rPr>
                            </w:pPr>
                            <w:r>
                              <w:rPr>
                                <w:b/>
                                <w:sz w:val="18"/>
                              </w:rPr>
                              <w:t>Unlisted equity securities</w:t>
                            </w:r>
                          </w:p>
                        </w:tc>
                        <w:tc>
                          <w:tcPr>
                            <w:tcW w:w="1116" w:type="dxa"/>
                          </w:tcPr>
                          <w:p w14:paraId="162CFB1D" w14:textId="77777777" w:rsidR="001F3ACE" w:rsidRDefault="001F3ACE">
                            <w:pPr>
                              <w:pStyle w:val="TableParagraph"/>
                              <w:rPr>
                                <w:sz w:val="20"/>
                              </w:rPr>
                            </w:pPr>
                          </w:p>
                          <w:p w14:paraId="56AA3D2F" w14:textId="77777777" w:rsidR="001F3ACE" w:rsidRDefault="001F3ACE">
                            <w:pPr>
                              <w:pStyle w:val="TableParagraph"/>
                              <w:spacing w:before="177"/>
                              <w:ind w:left="151" w:right="104"/>
                              <w:jc w:val="center"/>
                              <w:rPr>
                                <w:b/>
                                <w:sz w:val="18"/>
                              </w:rPr>
                            </w:pPr>
                            <w:r>
                              <w:rPr>
                                <w:b/>
                                <w:sz w:val="18"/>
                              </w:rPr>
                              <w:t>Buildings</w:t>
                            </w:r>
                          </w:p>
                        </w:tc>
                        <w:tc>
                          <w:tcPr>
                            <w:tcW w:w="1532" w:type="dxa"/>
                          </w:tcPr>
                          <w:p w14:paraId="5BFA1003" w14:textId="77777777" w:rsidR="001F3ACE" w:rsidRDefault="001F3ACE">
                            <w:pPr>
                              <w:pStyle w:val="TableParagraph"/>
                              <w:rPr>
                                <w:sz w:val="20"/>
                              </w:rPr>
                            </w:pPr>
                          </w:p>
                          <w:p w14:paraId="23451810" w14:textId="77777777" w:rsidR="001F3ACE" w:rsidRDefault="001F3ACE">
                            <w:pPr>
                              <w:pStyle w:val="TableParagraph"/>
                              <w:spacing w:before="177"/>
                              <w:ind w:left="105" w:right="216"/>
                              <w:jc w:val="center"/>
                              <w:rPr>
                                <w:b/>
                                <w:sz w:val="18"/>
                              </w:rPr>
                            </w:pPr>
                            <w:r>
                              <w:rPr>
                                <w:b/>
                                <w:sz w:val="18"/>
                              </w:rPr>
                              <w:t>Infrastructure</w:t>
                            </w:r>
                          </w:p>
                        </w:tc>
                        <w:tc>
                          <w:tcPr>
                            <w:tcW w:w="1065" w:type="dxa"/>
                          </w:tcPr>
                          <w:p w14:paraId="2CB8D08A" w14:textId="77777777" w:rsidR="001F3ACE" w:rsidRDefault="001F3ACE">
                            <w:pPr>
                              <w:pStyle w:val="TableParagraph"/>
                              <w:rPr>
                                <w:sz w:val="20"/>
                              </w:rPr>
                            </w:pPr>
                          </w:p>
                          <w:p w14:paraId="492516D9" w14:textId="77777777" w:rsidR="001F3ACE" w:rsidRDefault="001F3ACE">
                            <w:pPr>
                              <w:pStyle w:val="TableParagraph"/>
                              <w:spacing w:before="177"/>
                              <w:ind w:left="241"/>
                              <w:rPr>
                                <w:b/>
                                <w:sz w:val="18"/>
                              </w:rPr>
                            </w:pPr>
                            <w:r>
                              <w:rPr>
                                <w:b/>
                                <w:sz w:val="18"/>
                              </w:rPr>
                              <w:t>Land</w:t>
                            </w:r>
                          </w:p>
                        </w:tc>
                        <w:tc>
                          <w:tcPr>
                            <w:tcW w:w="880" w:type="dxa"/>
                          </w:tcPr>
                          <w:p w14:paraId="2EEA5F12" w14:textId="77777777" w:rsidR="001F3ACE" w:rsidRDefault="001F3ACE">
                            <w:pPr>
                              <w:pStyle w:val="TableParagraph"/>
                              <w:rPr>
                                <w:sz w:val="20"/>
                              </w:rPr>
                            </w:pPr>
                          </w:p>
                          <w:p w14:paraId="704E0004" w14:textId="77777777" w:rsidR="001F3ACE" w:rsidRDefault="001F3ACE">
                            <w:pPr>
                              <w:pStyle w:val="TableParagraph"/>
                              <w:spacing w:before="177"/>
                              <w:ind w:right="57"/>
                              <w:jc w:val="right"/>
                              <w:rPr>
                                <w:b/>
                                <w:sz w:val="18"/>
                              </w:rPr>
                            </w:pPr>
                            <w:r>
                              <w:rPr>
                                <w:b/>
                                <w:sz w:val="18"/>
                              </w:rPr>
                              <w:t>Total</w:t>
                            </w:r>
                          </w:p>
                        </w:tc>
                      </w:tr>
                      <w:tr w:rsidR="001F3ACE" w14:paraId="14100068" w14:textId="77777777">
                        <w:trPr>
                          <w:trHeight w:val="237"/>
                        </w:trPr>
                        <w:tc>
                          <w:tcPr>
                            <w:tcW w:w="1065" w:type="dxa"/>
                          </w:tcPr>
                          <w:p w14:paraId="34757186" w14:textId="77777777" w:rsidR="001F3ACE" w:rsidRDefault="001F3ACE">
                            <w:pPr>
                              <w:pStyle w:val="TableParagraph"/>
                              <w:spacing w:before="30" w:line="187" w:lineRule="exact"/>
                              <w:ind w:left="249"/>
                              <w:rPr>
                                <w:b/>
                                <w:sz w:val="18"/>
                              </w:rPr>
                            </w:pPr>
                            <w:r>
                              <w:rPr>
                                <w:b/>
                                <w:sz w:val="18"/>
                              </w:rPr>
                              <w:t>$'000</w:t>
                            </w:r>
                          </w:p>
                        </w:tc>
                        <w:tc>
                          <w:tcPr>
                            <w:tcW w:w="1116" w:type="dxa"/>
                          </w:tcPr>
                          <w:p w14:paraId="1890F6E0" w14:textId="77777777" w:rsidR="001F3ACE" w:rsidRDefault="001F3ACE">
                            <w:pPr>
                              <w:pStyle w:val="TableParagraph"/>
                              <w:spacing w:before="30" w:line="187" w:lineRule="exact"/>
                              <w:ind w:left="149" w:right="104"/>
                              <w:jc w:val="center"/>
                              <w:rPr>
                                <w:b/>
                                <w:sz w:val="18"/>
                              </w:rPr>
                            </w:pPr>
                            <w:r>
                              <w:rPr>
                                <w:b/>
                                <w:sz w:val="18"/>
                              </w:rPr>
                              <w:t>$'000</w:t>
                            </w:r>
                          </w:p>
                        </w:tc>
                        <w:tc>
                          <w:tcPr>
                            <w:tcW w:w="1532" w:type="dxa"/>
                          </w:tcPr>
                          <w:p w14:paraId="0C5BB703" w14:textId="77777777" w:rsidR="001F3ACE" w:rsidRDefault="001F3ACE">
                            <w:pPr>
                              <w:pStyle w:val="TableParagraph"/>
                              <w:spacing w:before="30" w:line="187" w:lineRule="exact"/>
                              <w:ind w:left="103" w:right="216"/>
                              <w:jc w:val="center"/>
                              <w:rPr>
                                <w:b/>
                                <w:sz w:val="18"/>
                              </w:rPr>
                            </w:pPr>
                            <w:r>
                              <w:rPr>
                                <w:b/>
                                <w:sz w:val="18"/>
                              </w:rPr>
                              <w:t>$'000</w:t>
                            </w:r>
                          </w:p>
                        </w:tc>
                        <w:tc>
                          <w:tcPr>
                            <w:tcW w:w="1065" w:type="dxa"/>
                          </w:tcPr>
                          <w:p w14:paraId="35889414" w14:textId="77777777" w:rsidR="001F3ACE" w:rsidRDefault="001F3ACE">
                            <w:pPr>
                              <w:pStyle w:val="TableParagraph"/>
                              <w:spacing w:before="30" w:line="187" w:lineRule="exact"/>
                              <w:ind w:left="234"/>
                              <w:rPr>
                                <w:b/>
                                <w:sz w:val="18"/>
                              </w:rPr>
                            </w:pPr>
                            <w:r>
                              <w:rPr>
                                <w:b/>
                                <w:sz w:val="18"/>
                              </w:rPr>
                              <w:t>$'000</w:t>
                            </w:r>
                          </w:p>
                        </w:tc>
                        <w:tc>
                          <w:tcPr>
                            <w:tcW w:w="880" w:type="dxa"/>
                          </w:tcPr>
                          <w:p w14:paraId="53A5A0A0" w14:textId="77777777" w:rsidR="001F3ACE" w:rsidRDefault="001F3ACE">
                            <w:pPr>
                              <w:pStyle w:val="TableParagraph"/>
                              <w:spacing w:before="30" w:line="187" w:lineRule="exact"/>
                              <w:ind w:right="50"/>
                              <w:jc w:val="right"/>
                              <w:rPr>
                                <w:b/>
                                <w:sz w:val="18"/>
                              </w:rPr>
                            </w:pPr>
                            <w:r>
                              <w:rPr>
                                <w:b/>
                                <w:sz w:val="18"/>
                              </w:rPr>
                              <w:t>$'000</w:t>
                            </w:r>
                          </w:p>
                        </w:tc>
                      </w:tr>
                    </w:tbl>
                    <w:p w14:paraId="44EC46EF" w14:textId="77777777" w:rsidR="001F3ACE" w:rsidRDefault="001F3ACE">
                      <w:pPr>
                        <w:pStyle w:val="BodyText"/>
                      </w:pPr>
                    </w:p>
                  </w:txbxContent>
                </v:textbox>
                <w10:wrap anchorx="page"/>
              </v:shape>
            </w:pict>
          </mc:Fallback>
        </mc:AlternateContent>
      </w:r>
      <w:r w:rsidR="0015611F">
        <w:rPr>
          <w:b/>
          <w:sz w:val="18"/>
        </w:rPr>
        <w:t>Level 3 Fair Value Measurement 2017</w:t>
      </w:r>
    </w:p>
    <w:p w14:paraId="667B3454" w14:textId="77777777" w:rsidR="00FA4AA8" w:rsidRDefault="00FA4AA8">
      <w:pPr>
        <w:pStyle w:val="BodyText"/>
        <w:spacing w:before="9"/>
        <w:rPr>
          <w:b/>
          <w:sz w:val="5"/>
        </w:rPr>
      </w:pPr>
    </w:p>
    <w:tbl>
      <w:tblPr>
        <w:tblW w:w="0" w:type="auto"/>
        <w:tblInd w:w="504" w:type="dxa"/>
        <w:tblLayout w:type="fixed"/>
        <w:tblCellMar>
          <w:left w:w="0" w:type="dxa"/>
          <w:right w:w="0" w:type="dxa"/>
        </w:tblCellMar>
        <w:tblLook w:val="01E0" w:firstRow="1" w:lastRow="1" w:firstColumn="1" w:lastColumn="1" w:noHBand="0" w:noVBand="0"/>
      </w:tblPr>
      <w:tblGrid>
        <w:gridCol w:w="2565"/>
        <w:gridCol w:w="1362"/>
        <w:gridCol w:w="1273"/>
        <w:gridCol w:w="1282"/>
        <w:gridCol w:w="1136"/>
        <w:gridCol w:w="1067"/>
      </w:tblGrid>
      <w:tr w:rsidR="00FA4AA8" w14:paraId="6DF2887F" w14:textId="77777777">
        <w:trPr>
          <w:trHeight w:val="233"/>
        </w:trPr>
        <w:tc>
          <w:tcPr>
            <w:tcW w:w="2565" w:type="dxa"/>
          </w:tcPr>
          <w:p w14:paraId="1F9355DB" w14:textId="77777777" w:rsidR="00FA4AA8" w:rsidRDefault="0015611F">
            <w:pPr>
              <w:pStyle w:val="TableParagraph"/>
              <w:spacing w:line="203" w:lineRule="exact"/>
              <w:ind w:left="50"/>
              <w:rPr>
                <w:sz w:val="18"/>
              </w:rPr>
            </w:pPr>
            <w:r>
              <w:rPr>
                <w:sz w:val="18"/>
              </w:rPr>
              <w:t>Opening balance</w:t>
            </w:r>
          </w:p>
        </w:tc>
        <w:tc>
          <w:tcPr>
            <w:tcW w:w="1362" w:type="dxa"/>
          </w:tcPr>
          <w:p w14:paraId="72517624" w14:textId="77777777" w:rsidR="00FA4AA8" w:rsidRDefault="0015611F">
            <w:pPr>
              <w:pStyle w:val="TableParagraph"/>
              <w:spacing w:line="201" w:lineRule="exact"/>
              <w:ind w:right="236"/>
              <w:jc w:val="right"/>
              <w:rPr>
                <w:sz w:val="18"/>
              </w:rPr>
            </w:pPr>
            <w:r>
              <w:rPr>
                <w:sz w:val="18"/>
              </w:rPr>
              <w:t>303</w:t>
            </w:r>
          </w:p>
        </w:tc>
        <w:tc>
          <w:tcPr>
            <w:tcW w:w="1273" w:type="dxa"/>
          </w:tcPr>
          <w:p w14:paraId="3A2E3D23" w14:textId="77777777" w:rsidR="00FA4AA8" w:rsidRDefault="0015611F">
            <w:pPr>
              <w:pStyle w:val="TableParagraph"/>
              <w:spacing w:line="201" w:lineRule="exact"/>
              <w:ind w:right="377"/>
              <w:jc w:val="right"/>
              <w:rPr>
                <w:sz w:val="18"/>
              </w:rPr>
            </w:pPr>
            <w:r>
              <w:rPr>
                <w:sz w:val="18"/>
              </w:rPr>
              <w:t>960,757</w:t>
            </w:r>
          </w:p>
        </w:tc>
        <w:tc>
          <w:tcPr>
            <w:tcW w:w="1282" w:type="dxa"/>
          </w:tcPr>
          <w:p w14:paraId="1AEC3D83" w14:textId="77777777" w:rsidR="00FA4AA8" w:rsidRDefault="0015611F">
            <w:pPr>
              <w:pStyle w:val="TableParagraph"/>
              <w:spacing w:line="201" w:lineRule="exact"/>
              <w:ind w:right="305"/>
              <w:jc w:val="right"/>
              <w:rPr>
                <w:sz w:val="18"/>
              </w:rPr>
            </w:pPr>
            <w:r>
              <w:rPr>
                <w:sz w:val="18"/>
              </w:rPr>
              <w:t>91,349</w:t>
            </w:r>
          </w:p>
        </w:tc>
        <w:tc>
          <w:tcPr>
            <w:tcW w:w="1136" w:type="dxa"/>
          </w:tcPr>
          <w:p w14:paraId="74007D3D" w14:textId="77777777" w:rsidR="00FA4AA8" w:rsidRDefault="0015611F">
            <w:pPr>
              <w:pStyle w:val="TableParagraph"/>
              <w:spacing w:line="201" w:lineRule="exact"/>
              <w:ind w:right="229"/>
              <w:jc w:val="right"/>
              <w:rPr>
                <w:sz w:val="18"/>
              </w:rPr>
            </w:pPr>
            <w:r>
              <w:rPr>
                <w:sz w:val="18"/>
              </w:rPr>
              <w:t>-</w:t>
            </w:r>
          </w:p>
        </w:tc>
        <w:tc>
          <w:tcPr>
            <w:tcW w:w="1067" w:type="dxa"/>
          </w:tcPr>
          <w:p w14:paraId="51D18545" w14:textId="77777777" w:rsidR="00FA4AA8" w:rsidRDefault="0015611F">
            <w:pPr>
              <w:pStyle w:val="TableParagraph"/>
              <w:spacing w:line="201" w:lineRule="exact"/>
              <w:ind w:left="174"/>
              <w:rPr>
                <w:sz w:val="18"/>
              </w:rPr>
            </w:pPr>
            <w:r>
              <w:rPr>
                <w:sz w:val="18"/>
              </w:rPr>
              <w:t>1,052,409</w:t>
            </w:r>
          </w:p>
        </w:tc>
      </w:tr>
      <w:tr w:rsidR="00FA4AA8" w14:paraId="2F1B647C" w14:textId="77777777">
        <w:trPr>
          <w:trHeight w:val="263"/>
        </w:trPr>
        <w:tc>
          <w:tcPr>
            <w:tcW w:w="2565" w:type="dxa"/>
          </w:tcPr>
          <w:p w14:paraId="0C6B6793" w14:textId="77777777" w:rsidR="00FA4AA8" w:rsidRDefault="0015611F">
            <w:pPr>
              <w:pStyle w:val="TableParagraph"/>
              <w:spacing w:before="26"/>
              <w:ind w:left="50"/>
              <w:rPr>
                <w:sz w:val="18"/>
              </w:rPr>
            </w:pPr>
            <w:r>
              <w:rPr>
                <w:sz w:val="18"/>
              </w:rPr>
              <w:t>Acquisitions</w:t>
            </w:r>
          </w:p>
        </w:tc>
        <w:tc>
          <w:tcPr>
            <w:tcW w:w="1362" w:type="dxa"/>
          </w:tcPr>
          <w:p w14:paraId="0F713A90" w14:textId="77777777" w:rsidR="00FA4AA8" w:rsidRDefault="0015611F">
            <w:pPr>
              <w:pStyle w:val="TableParagraph"/>
              <w:spacing w:before="24"/>
              <w:ind w:right="236"/>
              <w:jc w:val="right"/>
              <w:rPr>
                <w:sz w:val="18"/>
              </w:rPr>
            </w:pPr>
            <w:r>
              <w:rPr>
                <w:sz w:val="18"/>
              </w:rPr>
              <w:t>-</w:t>
            </w:r>
          </w:p>
        </w:tc>
        <w:tc>
          <w:tcPr>
            <w:tcW w:w="1273" w:type="dxa"/>
          </w:tcPr>
          <w:p w14:paraId="05E056B8" w14:textId="77777777" w:rsidR="00FA4AA8" w:rsidRDefault="0015611F">
            <w:pPr>
              <w:pStyle w:val="TableParagraph"/>
              <w:spacing w:before="24"/>
              <w:ind w:right="377"/>
              <w:jc w:val="right"/>
              <w:rPr>
                <w:sz w:val="18"/>
              </w:rPr>
            </w:pPr>
            <w:r>
              <w:rPr>
                <w:sz w:val="18"/>
              </w:rPr>
              <w:t>25,364</w:t>
            </w:r>
          </w:p>
        </w:tc>
        <w:tc>
          <w:tcPr>
            <w:tcW w:w="1282" w:type="dxa"/>
          </w:tcPr>
          <w:p w14:paraId="0A6B915C" w14:textId="77777777" w:rsidR="00FA4AA8" w:rsidRDefault="0015611F">
            <w:pPr>
              <w:pStyle w:val="TableParagraph"/>
              <w:spacing w:before="24"/>
              <w:ind w:right="305"/>
              <w:jc w:val="right"/>
              <w:rPr>
                <w:sz w:val="18"/>
              </w:rPr>
            </w:pPr>
            <w:r>
              <w:rPr>
                <w:sz w:val="18"/>
              </w:rPr>
              <w:t>6,358</w:t>
            </w:r>
          </w:p>
        </w:tc>
        <w:tc>
          <w:tcPr>
            <w:tcW w:w="1136" w:type="dxa"/>
          </w:tcPr>
          <w:p w14:paraId="5BB438F5" w14:textId="77777777" w:rsidR="00FA4AA8" w:rsidRDefault="0015611F">
            <w:pPr>
              <w:pStyle w:val="TableParagraph"/>
              <w:spacing w:before="24"/>
              <w:ind w:right="229"/>
              <w:jc w:val="right"/>
              <w:rPr>
                <w:sz w:val="18"/>
              </w:rPr>
            </w:pPr>
            <w:r>
              <w:rPr>
                <w:sz w:val="18"/>
              </w:rPr>
              <w:t>-</w:t>
            </w:r>
          </w:p>
        </w:tc>
        <w:tc>
          <w:tcPr>
            <w:tcW w:w="1067" w:type="dxa"/>
          </w:tcPr>
          <w:p w14:paraId="2BF9F43C" w14:textId="77777777" w:rsidR="00FA4AA8" w:rsidRDefault="0015611F">
            <w:pPr>
              <w:pStyle w:val="TableParagraph"/>
              <w:spacing w:before="24"/>
              <w:ind w:right="84"/>
              <w:jc w:val="right"/>
              <w:rPr>
                <w:sz w:val="18"/>
              </w:rPr>
            </w:pPr>
            <w:r>
              <w:rPr>
                <w:sz w:val="18"/>
              </w:rPr>
              <w:t>31,722</w:t>
            </w:r>
          </w:p>
        </w:tc>
      </w:tr>
      <w:tr w:rsidR="00FA4AA8" w14:paraId="083935BF" w14:textId="77777777">
        <w:trPr>
          <w:trHeight w:val="263"/>
        </w:trPr>
        <w:tc>
          <w:tcPr>
            <w:tcW w:w="2565" w:type="dxa"/>
          </w:tcPr>
          <w:p w14:paraId="48EAB5D9" w14:textId="77777777" w:rsidR="00FA4AA8" w:rsidRDefault="0015611F">
            <w:pPr>
              <w:pStyle w:val="TableParagraph"/>
              <w:spacing w:before="26"/>
              <w:ind w:left="50"/>
              <w:rPr>
                <w:sz w:val="18"/>
              </w:rPr>
            </w:pPr>
            <w:r>
              <w:rPr>
                <w:sz w:val="18"/>
              </w:rPr>
              <w:t>Transfers from level 2</w:t>
            </w:r>
          </w:p>
        </w:tc>
        <w:tc>
          <w:tcPr>
            <w:tcW w:w="1362" w:type="dxa"/>
          </w:tcPr>
          <w:p w14:paraId="6F4F26A3" w14:textId="77777777" w:rsidR="00FA4AA8" w:rsidRDefault="0015611F">
            <w:pPr>
              <w:pStyle w:val="TableParagraph"/>
              <w:spacing w:before="24"/>
              <w:ind w:right="236"/>
              <w:jc w:val="right"/>
              <w:rPr>
                <w:sz w:val="18"/>
              </w:rPr>
            </w:pPr>
            <w:r>
              <w:rPr>
                <w:sz w:val="18"/>
              </w:rPr>
              <w:t>-</w:t>
            </w:r>
          </w:p>
        </w:tc>
        <w:tc>
          <w:tcPr>
            <w:tcW w:w="1273" w:type="dxa"/>
          </w:tcPr>
          <w:p w14:paraId="4A8A2F21" w14:textId="77777777" w:rsidR="00FA4AA8" w:rsidRDefault="0015611F">
            <w:pPr>
              <w:pStyle w:val="TableParagraph"/>
              <w:spacing w:before="24"/>
              <w:ind w:right="376"/>
              <w:jc w:val="right"/>
              <w:rPr>
                <w:sz w:val="18"/>
              </w:rPr>
            </w:pPr>
            <w:r>
              <w:rPr>
                <w:sz w:val="18"/>
              </w:rPr>
              <w:t>-</w:t>
            </w:r>
          </w:p>
        </w:tc>
        <w:tc>
          <w:tcPr>
            <w:tcW w:w="1282" w:type="dxa"/>
          </w:tcPr>
          <w:p w14:paraId="323EDED4" w14:textId="77777777" w:rsidR="00FA4AA8" w:rsidRDefault="0015611F">
            <w:pPr>
              <w:pStyle w:val="TableParagraph"/>
              <w:spacing w:before="24"/>
              <w:ind w:right="305"/>
              <w:jc w:val="right"/>
              <w:rPr>
                <w:sz w:val="18"/>
              </w:rPr>
            </w:pPr>
            <w:r>
              <w:rPr>
                <w:sz w:val="18"/>
              </w:rPr>
              <w:t>-</w:t>
            </w:r>
          </w:p>
        </w:tc>
        <w:tc>
          <w:tcPr>
            <w:tcW w:w="1136" w:type="dxa"/>
          </w:tcPr>
          <w:p w14:paraId="30F73CB0" w14:textId="77777777" w:rsidR="00FA4AA8" w:rsidRDefault="0015611F">
            <w:pPr>
              <w:pStyle w:val="TableParagraph"/>
              <w:spacing w:before="24"/>
              <w:ind w:left="249"/>
              <w:rPr>
                <w:sz w:val="18"/>
              </w:rPr>
            </w:pPr>
            <w:r>
              <w:rPr>
                <w:sz w:val="18"/>
              </w:rPr>
              <w:t>366,032</w:t>
            </w:r>
          </w:p>
        </w:tc>
        <w:tc>
          <w:tcPr>
            <w:tcW w:w="1067" w:type="dxa"/>
          </w:tcPr>
          <w:p w14:paraId="17E00554" w14:textId="77777777" w:rsidR="00FA4AA8" w:rsidRDefault="0015611F">
            <w:pPr>
              <w:pStyle w:val="TableParagraph"/>
              <w:spacing w:before="24"/>
              <w:ind w:left="325"/>
              <w:rPr>
                <w:sz w:val="18"/>
              </w:rPr>
            </w:pPr>
            <w:r>
              <w:rPr>
                <w:sz w:val="18"/>
              </w:rPr>
              <w:t>366,032</w:t>
            </w:r>
          </w:p>
        </w:tc>
      </w:tr>
      <w:tr w:rsidR="00FA4AA8" w14:paraId="7FCFEBC9" w14:textId="77777777">
        <w:trPr>
          <w:trHeight w:val="262"/>
        </w:trPr>
        <w:tc>
          <w:tcPr>
            <w:tcW w:w="2565" w:type="dxa"/>
          </w:tcPr>
          <w:p w14:paraId="15CF85C7" w14:textId="77777777" w:rsidR="00FA4AA8" w:rsidRDefault="0015611F">
            <w:pPr>
              <w:pStyle w:val="TableParagraph"/>
              <w:spacing w:before="26"/>
              <w:ind w:left="50"/>
              <w:rPr>
                <w:sz w:val="18"/>
              </w:rPr>
            </w:pPr>
            <w:r>
              <w:rPr>
                <w:sz w:val="18"/>
              </w:rPr>
              <w:t>Sales</w:t>
            </w:r>
          </w:p>
        </w:tc>
        <w:tc>
          <w:tcPr>
            <w:tcW w:w="1362" w:type="dxa"/>
          </w:tcPr>
          <w:p w14:paraId="554BEF45" w14:textId="77777777" w:rsidR="00FA4AA8" w:rsidRDefault="0015611F">
            <w:pPr>
              <w:pStyle w:val="TableParagraph"/>
              <w:spacing w:before="24"/>
              <w:ind w:right="236"/>
              <w:jc w:val="right"/>
              <w:rPr>
                <w:sz w:val="18"/>
              </w:rPr>
            </w:pPr>
            <w:r>
              <w:rPr>
                <w:sz w:val="18"/>
              </w:rPr>
              <w:t>-</w:t>
            </w:r>
          </w:p>
        </w:tc>
        <w:tc>
          <w:tcPr>
            <w:tcW w:w="1273" w:type="dxa"/>
          </w:tcPr>
          <w:p w14:paraId="5D270AF2" w14:textId="77777777" w:rsidR="00FA4AA8" w:rsidRDefault="0015611F">
            <w:pPr>
              <w:pStyle w:val="TableParagraph"/>
              <w:spacing w:before="24"/>
              <w:ind w:right="316"/>
              <w:jc w:val="right"/>
              <w:rPr>
                <w:sz w:val="18"/>
              </w:rPr>
            </w:pPr>
            <w:r>
              <w:rPr>
                <w:sz w:val="18"/>
              </w:rPr>
              <w:t>(687)</w:t>
            </w:r>
          </w:p>
        </w:tc>
        <w:tc>
          <w:tcPr>
            <w:tcW w:w="1282" w:type="dxa"/>
          </w:tcPr>
          <w:p w14:paraId="3DDBE0CC" w14:textId="77777777" w:rsidR="00FA4AA8" w:rsidRDefault="0015611F">
            <w:pPr>
              <w:pStyle w:val="TableParagraph"/>
              <w:spacing w:before="24"/>
              <w:ind w:right="305"/>
              <w:jc w:val="right"/>
              <w:rPr>
                <w:sz w:val="18"/>
              </w:rPr>
            </w:pPr>
            <w:r>
              <w:rPr>
                <w:sz w:val="18"/>
              </w:rPr>
              <w:t>-</w:t>
            </w:r>
          </w:p>
        </w:tc>
        <w:tc>
          <w:tcPr>
            <w:tcW w:w="1136" w:type="dxa"/>
          </w:tcPr>
          <w:p w14:paraId="374BC7C1" w14:textId="77777777" w:rsidR="00FA4AA8" w:rsidRDefault="0015611F">
            <w:pPr>
              <w:pStyle w:val="TableParagraph"/>
              <w:spacing w:before="24"/>
              <w:ind w:right="168"/>
              <w:jc w:val="right"/>
              <w:rPr>
                <w:sz w:val="18"/>
              </w:rPr>
            </w:pPr>
            <w:r>
              <w:rPr>
                <w:sz w:val="18"/>
              </w:rPr>
              <w:t>(5,180)</w:t>
            </w:r>
          </w:p>
        </w:tc>
        <w:tc>
          <w:tcPr>
            <w:tcW w:w="1067" w:type="dxa"/>
          </w:tcPr>
          <w:p w14:paraId="713B0230" w14:textId="77777777" w:rsidR="00FA4AA8" w:rsidRDefault="0015611F">
            <w:pPr>
              <w:pStyle w:val="TableParagraph"/>
              <w:spacing w:before="24"/>
              <w:ind w:right="23"/>
              <w:jc w:val="right"/>
              <w:rPr>
                <w:sz w:val="18"/>
              </w:rPr>
            </w:pPr>
            <w:r>
              <w:rPr>
                <w:sz w:val="18"/>
              </w:rPr>
              <w:t>(5,867)</w:t>
            </w:r>
          </w:p>
        </w:tc>
      </w:tr>
      <w:tr w:rsidR="00FA4AA8" w14:paraId="717B166F" w14:textId="77777777">
        <w:trPr>
          <w:trHeight w:val="465"/>
        </w:trPr>
        <w:tc>
          <w:tcPr>
            <w:tcW w:w="2565" w:type="dxa"/>
          </w:tcPr>
          <w:p w14:paraId="66958410" w14:textId="77777777" w:rsidR="00FA4AA8" w:rsidRDefault="0015611F">
            <w:pPr>
              <w:pStyle w:val="TableParagraph"/>
              <w:spacing w:before="23"/>
              <w:ind w:left="50" w:right="694"/>
              <w:rPr>
                <w:sz w:val="18"/>
              </w:rPr>
            </w:pPr>
            <w:r>
              <w:rPr>
                <w:sz w:val="18"/>
              </w:rPr>
              <w:t>Recognised in profit or loss*</w:t>
            </w:r>
          </w:p>
        </w:tc>
        <w:tc>
          <w:tcPr>
            <w:tcW w:w="1362" w:type="dxa"/>
          </w:tcPr>
          <w:p w14:paraId="10F8585F" w14:textId="77777777" w:rsidR="00FA4AA8" w:rsidRDefault="00FA4AA8">
            <w:pPr>
              <w:pStyle w:val="TableParagraph"/>
              <w:spacing w:before="8"/>
              <w:rPr>
                <w:b/>
                <w:sz w:val="19"/>
              </w:rPr>
            </w:pPr>
          </w:p>
          <w:p w14:paraId="2262DFF9" w14:textId="77777777" w:rsidR="00FA4AA8" w:rsidRDefault="0015611F">
            <w:pPr>
              <w:pStyle w:val="TableParagraph"/>
              <w:ind w:right="236"/>
              <w:jc w:val="right"/>
              <w:rPr>
                <w:sz w:val="18"/>
              </w:rPr>
            </w:pPr>
            <w:r>
              <w:rPr>
                <w:sz w:val="18"/>
              </w:rPr>
              <w:t>-</w:t>
            </w:r>
          </w:p>
        </w:tc>
        <w:tc>
          <w:tcPr>
            <w:tcW w:w="1273" w:type="dxa"/>
          </w:tcPr>
          <w:p w14:paraId="4637146B" w14:textId="77777777" w:rsidR="00FA4AA8" w:rsidRDefault="00FA4AA8">
            <w:pPr>
              <w:pStyle w:val="TableParagraph"/>
              <w:spacing w:before="8"/>
              <w:rPr>
                <w:b/>
                <w:sz w:val="19"/>
              </w:rPr>
            </w:pPr>
          </w:p>
          <w:p w14:paraId="4A173938" w14:textId="77777777" w:rsidR="00FA4AA8" w:rsidRDefault="0015611F">
            <w:pPr>
              <w:pStyle w:val="TableParagraph"/>
              <w:ind w:right="316"/>
              <w:jc w:val="right"/>
              <w:rPr>
                <w:sz w:val="18"/>
              </w:rPr>
            </w:pPr>
            <w:r>
              <w:rPr>
                <w:sz w:val="18"/>
              </w:rPr>
              <w:t>(23,179)</w:t>
            </w:r>
          </w:p>
        </w:tc>
        <w:tc>
          <w:tcPr>
            <w:tcW w:w="1282" w:type="dxa"/>
          </w:tcPr>
          <w:p w14:paraId="77FAE5D8" w14:textId="77777777" w:rsidR="00FA4AA8" w:rsidRDefault="00FA4AA8">
            <w:pPr>
              <w:pStyle w:val="TableParagraph"/>
              <w:spacing w:before="8"/>
              <w:rPr>
                <w:b/>
                <w:sz w:val="19"/>
              </w:rPr>
            </w:pPr>
          </w:p>
          <w:p w14:paraId="6F507AC3" w14:textId="77777777" w:rsidR="00FA4AA8" w:rsidRDefault="0015611F">
            <w:pPr>
              <w:pStyle w:val="TableParagraph"/>
              <w:ind w:right="244"/>
              <w:jc w:val="right"/>
              <w:rPr>
                <w:sz w:val="18"/>
              </w:rPr>
            </w:pPr>
            <w:r>
              <w:rPr>
                <w:sz w:val="18"/>
              </w:rPr>
              <w:t>(3,179)</w:t>
            </w:r>
          </w:p>
        </w:tc>
        <w:tc>
          <w:tcPr>
            <w:tcW w:w="1136" w:type="dxa"/>
          </w:tcPr>
          <w:p w14:paraId="7D828F3C" w14:textId="77777777" w:rsidR="00FA4AA8" w:rsidRDefault="00FA4AA8">
            <w:pPr>
              <w:pStyle w:val="TableParagraph"/>
              <w:spacing w:before="8"/>
              <w:rPr>
                <w:b/>
                <w:sz w:val="19"/>
              </w:rPr>
            </w:pPr>
          </w:p>
          <w:p w14:paraId="14BDEF81" w14:textId="77777777" w:rsidR="00FA4AA8" w:rsidRDefault="0015611F">
            <w:pPr>
              <w:pStyle w:val="TableParagraph"/>
              <w:ind w:right="229"/>
              <w:jc w:val="right"/>
              <w:rPr>
                <w:sz w:val="18"/>
              </w:rPr>
            </w:pPr>
            <w:r>
              <w:rPr>
                <w:sz w:val="18"/>
              </w:rPr>
              <w:t>-</w:t>
            </w:r>
          </w:p>
        </w:tc>
        <w:tc>
          <w:tcPr>
            <w:tcW w:w="1067" w:type="dxa"/>
          </w:tcPr>
          <w:p w14:paraId="5599E155" w14:textId="77777777" w:rsidR="00FA4AA8" w:rsidRDefault="00FA4AA8">
            <w:pPr>
              <w:pStyle w:val="TableParagraph"/>
              <w:spacing w:before="8"/>
              <w:rPr>
                <w:b/>
                <w:sz w:val="19"/>
              </w:rPr>
            </w:pPr>
          </w:p>
          <w:p w14:paraId="0B665FEF" w14:textId="77777777" w:rsidR="00FA4AA8" w:rsidRDefault="0015611F">
            <w:pPr>
              <w:pStyle w:val="TableParagraph"/>
              <w:ind w:right="23"/>
              <w:jc w:val="right"/>
              <w:rPr>
                <w:sz w:val="18"/>
              </w:rPr>
            </w:pPr>
            <w:r>
              <w:rPr>
                <w:sz w:val="18"/>
              </w:rPr>
              <w:t>(26,358)</w:t>
            </w:r>
          </w:p>
        </w:tc>
      </w:tr>
      <w:tr w:rsidR="00FA4AA8" w14:paraId="28F4BAE4" w14:textId="77777777">
        <w:trPr>
          <w:trHeight w:val="459"/>
        </w:trPr>
        <w:tc>
          <w:tcPr>
            <w:tcW w:w="2565" w:type="dxa"/>
          </w:tcPr>
          <w:p w14:paraId="1A188C86" w14:textId="77777777" w:rsidR="00FA4AA8" w:rsidRDefault="0015611F">
            <w:pPr>
              <w:pStyle w:val="TableParagraph"/>
              <w:spacing w:before="23"/>
              <w:ind w:left="50" w:right="644"/>
              <w:rPr>
                <w:sz w:val="18"/>
              </w:rPr>
            </w:pPr>
            <w:r>
              <w:rPr>
                <w:sz w:val="18"/>
              </w:rPr>
              <w:t>Recognised in other comprehensive income</w:t>
            </w:r>
          </w:p>
        </w:tc>
        <w:tc>
          <w:tcPr>
            <w:tcW w:w="1362" w:type="dxa"/>
            <w:tcBorders>
              <w:bottom w:val="single" w:sz="8" w:space="0" w:color="000000"/>
            </w:tcBorders>
          </w:tcPr>
          <w:p w14:paraId="3AD3AF3F" w14:textId="77777777" w:rsidR="00FA4AA8" w:rsidRDefault="00FA4AA8">
            <w:pPr>
              <w:pStyle w:val="TableParagraph"/>
              <w:spacing w:before="8"/>
              <w:rPr>
                <w:b/>
                <w:sz w:val="19"/>
              </w:rPr>
            </w:pPr>
          </w:p>
          <w:p w14:paraId="65F6D110" w14:textId="77777777" w:rsidR="00FA4AA8" w:rsidRDefault="0015611F">
            <w:pPr>
              <w:pStyle w:val="TableParagraph"/>
              <w:ind w:right="236"/>
              <w:jc w:val="right"/>
              <w:rPr>
                <w:sz w:val="18"/>
              </w:rPr>
            </w:pPr>
            <w:r>
              <w:rPr>
                <w:sz w:val="18"/>
              </w:rPr>
              <w:t>34</w:t>
            </w:r>
          </w:p>
        </w:tc>
        <w:tc>
          <w:tcPr>
            <w:tcW w:w="1273" w:type="dxa"/>
            <w:tcBorders>
              <w:bottom w:val="single" w:sz="8" w:space="0" w:color="000000"/>
            </w:tcBorders>
          </w:tcPr>
          <w:p w14:paraId="48BF3019" w14:textId="77777777" w:rsidR="00FA4AA8" w:rsidRDefault="00FA4AA8">
            <w:pPr>
              <w:pStyle w:val="TableParagraph"/>
              <w:spacing w:before="8"/>
              <w:rPr>
                <w:b/>
                <w:sz w:val="19"/>
              </w:rPr>
            </w:pPr>
          </w:p>
          <w:p w14:paraId="69A50E63" w14:textId="77777777" w:rsidR="00FA4AA8" w:rsidRDefault="0015611F">
            <w:pPr>
              <w:pStyle w:val="TableParagraph"/>
              <w:ind w:right="377"/>
              <w:jc w:val="right"/>
              <w:rPr>
                <w:sz w:val="18"/>
              </w:rPr>
            </w:pPr>
            <w:r>
              <w:rPr>
                <w:sz w:val="18"/>
              </w:rPr>
              <w:t>19,269</w:t>
            </w:r>
          </w:p>
        </w:tc>
        <w:tc>
          <w:tcPr>
            <w:tcW w:w="1282" w:type="dxa"/>
            <w:tcBorders>
              <w:bottom w:val="single" w:sz="8" w:space="0" w:color="000000"/>
            </w:tcBorders>
          </w:tcPr>
          <w:p w14:paraId="7C25EDF6" w14:textId="77777777" w:rsidR="00FA4AA8" w:rsidRDefault="00FA4AA8">
            <w:pPr>
              <w:pStyle w:val="TableParagraph"/>
              <w:spacing w:before="8"/>
              <w:rPr>
                <w:b/>
                <w:sz w:val="19"/>
              </w:rPr>
            </w:pPr>
          </w:p>
          <w:p w14:paraId="5626FC30" w14:textId="77777777" w:rsidR="00FA4AA8" w:rsidRDefault="0015611F">
            <w:pPr>
              <w:pStyle w:val="TableParagraph"/>
              <w:ind w:right="305"/>
              <w:jc w:val="right"/>
              <w:rPr>
                <w:sz w:val="18"/>
              </w:rPr>
            </w:pPr>
            <w:r>
              <w:rPr>
                <w:sz w:val="18"/>
              </w:rPr>
              <w:t>14,507</w:t>
            </w:r>
          </w:p>
        </w:tc>
        <w:tc>
          <w:tcPr>
            <w:tcW w:w="1136" w:type="dxa"/>
            <w:tcBorders>
              <w:bottom w:val="single" w:sz="8" w:space="0" w:color="000000"/>
            </w:tcBorders>
          </w:tcPr>
          <w:p w14:paraId="30A5A72A" w14:textId="77777777" w:rsidR="00FA4AA8" w:rsidRDefault="00FA4AA8">
            <w:pPr>
              <w:pStyle w:val="TableParagraph"/>
              <w:spacing w:before="8"/>
              <w:rPr>
                <w:b/>
                <w:sz w:val="19"/>
              </w:rPr>
            </w:pPr>
          </w:p>
          <w:p w14:paraId="5E0AB50C" w14:textId="77777777" w:rsidR="00FA4AA8" w:rsidRDefault="0015611F">
            <w:pPr>
              <w:pStyle w:val="TableParagraph"/>
              <w:ind w:left="249"/>
              <w:rPr>
                <w:sz w:val="18"/>
              </w:rPr>
            </w:pPr>
            <w:r>
              <w:rPr>
                <w:sz w:val="18"/>
              </w:rPr>
              <w:t>166,482</w:t>
            </w:r>
          </w:p>
        </w:tc>
        <w:tc>
          <w:tcPr>
            <w:tcW w:w="1067" w:type="dxa"/>
            <w:tcBorders>
              <w:bottom w:val="single" w:sz="8" w:space="0" w:color="000000"/>
            </w:tcBorders>
          </w:tcPr>
          <w:p w14:paraId="5BD06F70" w14:textId="77777777" w:rsidR="00FA4AA8" w:rsidRDefault="00FA4AA8">
            <w:pPr>
              <w:pStyle w:val="TableParagraph"/>
              <w:spacing w:before="8"/>
              <w:rPr>
                <w:b/>
                <w:sz w:val="19"/>
              </w:rPr>
            </w:pPr>
          </w:p>
          <w:p w14:paraId="665012F9" w14:textId="77777777" w:rsidR="00FA4AA8" w:rsidRDefault="0015611F">
            <w:pPr>
              <w:pStyle w:val="TableParagraph"/>
              <w:ind w:left="325"/>
              <w:rPr>
                <w:sz w:val="18"/>
              </w:rPr>
            </w:pPr>
            <w:r>
              <w:rPr>
                <w:sz w:val="18"/>
              </w:rPr>
              <w:t>200,292</w:t>
            </w:r>
          </w:p>
        </w:tc>
      </w:tr>
      <w:tr w:rsidR="00FA4AA8" w14:paraId="5909DCDF" w14:textId="77777777">
        <w:trPr>
          <w:trHeight w:val="320"/>
        </w:trPr>
        <w:tc>
          <w:tcPr>
            <w:tcW w:w="2565" w:type="dxa"/>
          </w:tcPr>
          <w:p w14:paraId="4FB28DE6" w14:textId="77777777" w:rsidR="00FA4AA8" w:rsidRDefault="0015611F">
            <w:pPr>
              <w:pStyle w:val="TableParagraph"/>
              <w:spacing w:before="115" w:line="185" w:lineRule="exact"/>
              <w:ind w:left="50"/>
              <w:rPr>
                <w:b/>
                <w:sz w:val="18"/>
              </w:rPr>
            </w:pPr>
            <w:r>
              <w:rPr>
                <w:b/>
                <w:sz w:val="18"/>
              </w:rPr>
              <w:t>Closing balance</w:t>
            </w:r>
          </w:p>
        </w:tc>
        <w:tc>
          <w:tcPr>
            <w:tcW w:w="1362" w:type="dxa"/>
            <w:tcBorders>
              <w:top w:val="single" w:sz="8" w:space="0" w:color="000000"/>
              <w:bottom w:val="double" w:sz="2" w:space="0" w:color="000000"/>
            </w:tcBorders>
          </w:tcPr>
          <w:p w14:paraId="0FFA9EED" w14:textId="77777777" w:rsidR="00FA4AA8" w:rsidRDefault="0015611F">
            <w:pPr>
              <w:pStyle w:val="TableParagraph"/>
              <w:spacing w:before="115" w:line="185" w:lineRule="exact"/>
              <w:ind w:right="236"/>
              <w:jc w:val="right"/>
              <w:rPr>
                <w:sz w:val="18"/>
              </w:rPr>
            </w:pPr>
            <w:r>
              <w:rPr>
                <w:sz w:val="18"/>
              </w:rPr>
              <w:t>337</w:t>
            </w:r>
          </w:p>
        </w:tc>
        <w:tc>
          <w:tcPr>
            <w:tcW w:w="1273" w:type="dxa"/>
            <w:tcBorders>
              <w:top w:val="single" w:sz="8" w:space="0" w:color="000000"/>
              <w:bottom w:val="double" w:sz="2" w:space="0" w:color="000000"/>
            </w:tcBorders>
          </w:tcPr>
          <w:p w14:paraId="1CAFB2EE" w14:textId="77777777" w:rsidR="00FA4AA8" w:rsidRDefault="0015611F">
            <w:pPr>
              <w:pStyle w:val="TableParagraph"/>
              <w:spacing w:before="115" w:line="185" w:lineRule="exact"/>
              <w:ind w:right="377"/>
              <w:jc w:val="right"/>
              <w:rPr>
                <w:sz w:val="18"/>
              </w:rPr>
            </w:pPr>
            <w:r>
              <w:rPr>
                <w:sz w:val="18"/>
              </w:rPr>
              <w:t>981,524</w:t>
            </w:r>
          </w:p>
        </w:tc>
        <w:tc>
          <w:tcPr>
            <w:tcW w:w="1282" w:type="dxa"/>
            <w:tcBorders>
              <w:top w:val="single" w:sz="8" w:space="0" w:color="000000"/>
              <w:bottom w:val="double" w:sz="2" w:space="0" w:color="000000"/>
            </w:tcBorders>
          </w:tcPr>
          <w:p w14:paraId="1B701D38" w14:textId="77777777" w:rsidR="00FA4AA8" w:rsidRDefault="0015611F">
            <w:pPr>
              <w:pStyle w:val="TableParagraph"/>
              <w:spacing w:before="115" w:line="185" w:lineRule="exact"/>
              <w:ind w:right="305"/>
              <w:jc w:val="right"/>
              <w:rPr>
                <w:sz w:val="18"/>
              </w:rPr>
            </w:pPr>
            <w:r>
              <w:rPr>
                <w:sz w:val="18"/>
              </w:rPr>
              <w:t>109,035</w:t>
            </w:r>
          </w:p>
        </w:tc>
        <w:tc>
          <w:tcPr>
            <w:tcW w:w="1136" w:type="dxa"/>
            <w:tcBorders>
              <w:top w:val="single" w:sz="8" w:space="0" w:color="000000"/>
              <w:bottom w:val="double" w:sz="2" w:space="0" w:color="000000"/>
            </w:tcBorders>
          </w:tcPr>
          <w:p w14:paraId="371DAF22" w14:textId="77777777" w:rsidR="00FA4AA8" w:rsidRDefault="0015611F">
            <w:pPr>
              <w:pStyle w:val="TableParagraph"/>
              <w:spacing w:before="115" w:line="185" w:lineRule="exact"/>
              <w:ind w:left="249"/>
              <w:rPr>
                <w:sz w:val="18"/>
              </w:rPr>
            </w:pPr>
            <w:r>
              <w:rPr>
                <w:sz w:val="18"/>
              </w:rPr>
              <w:t>527,334</w:t>
            </w:r>
          </w:p>
        </w:tc>
        <w:tc>
          <w:tcPr>
            <w:tcW w:w="1067" w:type="dxa"/>
            <w:tcBorders>
              <w:top w:val="single" w:sz="8" w:space="0" w:color="000000"/>
              <w:bottom w:val="double" w:sz="2" w:space="0" w:color="000000"/>
            </w:tcBorders>
          </w:tcPr>
          <w:p w14:paraId="08D47143" w14:textId="77777777" w:rsidR="00FA4AA8" w:rsidRDefault="0015611F">
            <w:pPr>
              <w:pStyle w:val="TableParagraph"/>
              <w:spacing w:before="115" w:line="185" w:lineRule="exact"/>
              <w:ind w:left="174"/>
              <w:rPr>
                <w:sz w:val="18"/>
              </w:rPr>
            </w:pPr>
            <w:r>
              <w:rPr>
                <w:sz w:val="18"/>
              </w:rPr>
              <w:t>1,618,230</w:t>
            </w:r>
          </w:p>
        </w:tc>
      </w:tr>
    </w:tbl>
    <w:p w14:paraId="6A6B466E" w14:textId="77777777" w:rsidR="00FA4AA8" w:rsidRDefault="00FA4AA8">
      <w:pPr>
        <w:pStyle w:val="BodyText"/>
        <w:spacing w:before="2"/>
        <w:rPr>
          <w:b/>
          <w:sz w:val="26"/>
        </w:rPr>
      </w:pPr>
    </w:p>
    <w:p w14:paraId="3079C79F" w14:textId="77777777" w:rsidR="00FA4AA8" w:rsidRDefault="0015611F">
      <w:pPr>
        <w:pStyle w:val="BodyText"/>
        <w:ind w:left="503" w:right="101"/>
      </w:pPr>
      <w:r>
        <w:t>*This includes gains/(losses) of $Nil (2017: $Nil) attributable to the change in unrealised gains/(losses) recognised in profit or loss attributable to unlisted securities, and $29.074M (2017: $26.358M) attributable to depreciation recognised in profit or loss.</w:t>
      </w:r>
    </w:p>
    <w:p w14:paraId="4AEBFA8C" w14:textId="77777777" w:rsidR="00FA4AA8" w:rsidRDefault="00FA4AA8">
      <w:pPr>
        <w:sectPr w:rsidR="00FA4AA8">
          <w:pgSz w:w="11910" w:h="16840"/>
          <w:pgMar w:top="2220" w:right="860" w:bottom="720" w:left="900" w:header="1016" w:footer="523" w:gutter="0"/>
          <w:cols w:space="720"/>
        </w:sectPr>
      </w:pPr>
    </w:p>
    <w:p w14:paraId="59F7BA41" w14:textId="77777777" w:rsidR="00FA4AA8" w:rsidRDefault="00FA4AA8">
      <w:pPr>
        <w:pStyle w:val="BodyText"/>
        <w:rPr>
          <w:sz w:val="20"/>
        </w:rPr>
      </w:pPr>
    </w:p>
    <w:p w14:paraId="0FB130F3" w14:textId="77777777" w:rsidR="00FA4AA8" w:rsidRDefault="00FA4AA8">
      <w:pPr>
        <w:pStyle w:val="BodyText"/>
        <w:spacing w:before="10"/>
        <w:rPr>
          <w:sz w:val="29"/>
        </w:rPr>
      </w:pPr>
    </w:p>
    <w:p w14:paraId="1BAF8BE2" w14:textId="77777777" w:rsidR="00FA4AA8" w:rsidRDefault="0015611F">
      <w:pPr>
        <w:numPr>
          <w:ilvl w:val="0"/>
          <w:numId w:val="77"/>
        </w:numPr>
        <w:tabs>
          <w:tab w:val="left" w:pos="504"/>
        </w:tabs>
        <w:spacing w:before="94"/>
        <w:ind w:hanging="397"/>
        <w:rPr>
          <w:b/>
          <w:sz w:val="18"/>
        </w:rPr>
      </w:pPr>
      <w:r>
        <w:rPr>
          <w:b/>
          <w:sz w:val="18"/>
        </w:rPr>
        <w:t>Fair Value Measurement (continued)</w:t>
      </w:r>
    </w:p>
    <w:p w14:paraId="38961A05" w14:textId="77777777" w:rsidR="00FA4AA8" w:rsidRDefault="00FA4AA8">
      <w:pPr>
        <w:pStyle w:val="BodyText"/>
        <w:spacing w:before="7"/>
        <w:rPr>
          <w:b/>
          <w:sz w:val="26"/>
        </w:rPr>
      </w:pPr>
    </w:p>
    <w:p w14:paraId="7170FF24" w14:textId="77777777" w:rsidR="00FA4AA8" w:rsidRDefault="0015611F">
      <w:pPr>
        <w:pStyle w:val="ListParagraph"/>
        <w:numPr>
          <w:ilvl w:val="0"/>
          <w:numId w:val="76"/>
        </w:numPr>
        <w:tabs>
          <w:tab w:val="left" w:pos="504"/>
        </w:tabs>
        <w:ind w:hanging="397"/>
        <w:rPr>
          <w:b/>
          <w:sz w:val="18"/>
        </w:rPr>
      </w:pPr>
      <w:r>
        <w:rPr>
          <w:b/>
          <w:sz w:val="18"/>
        </w:rPr>
        <w:t>Fair value measurements using significant unobservable inputs (level 3) (continued)</w:t>
      </w:r>
    </w:p>
    <w:p w14:paraId="16F8F34E" w14:textId="77777777" w:rsidR="00FA4AA8" w:rsidRDefault="00FA4AA8">
      <w:pPr>
        <w:pStyle w:val="BodyText"/>
        <w:spacing w:before="5"/>
        <w:rPr>
          <w:b/>
          <w:sz w:val="25"/>
        </w:rPr>
      </w:pPr>
    </w:p>
    <w:p w14:paraId="679AA81D" w14:textId="77777777" w:rsidR="00FA4AA8" w:rsidRDefault="0015611F">
      <w:pPr>
        <w:numPr>
          <w:ilvl w:val="1"/>
          <w:numId w:val="76"/>
        </w:numPr>
        <w:tabs>
          <w:tab w:val="left" w:pos="723"/>
        </w:tabs>
        <w:rPr>
          <w:b/>
          <w:i/>
          <w:sz w:val="18"/>
        </w:rPr>
      </w:pPr>
      <w:r>
        <w:rPr>
          <w:b/>
          <w:i/>
          <w:sz w:val="18"/>
        </w:rPr>
        <w:t>Transfers between levels 2 and 3 and changes in valuation techniques</w:t>
      </w:r>
    </w:p>
    <w:p w14:paraId="333043E4" w14:textId="77777777" w:rsidR="00FA4AA8" w:rsidRDefault="00FA4AA8">
      <w:pPr>
        <w:pStyle w:val="BodyText"/>
        <w:rPr>
          <w:b/>
          <w:i/>
          <w:sz w:val="25"/>
        </w:rPr>
      </w:pPr>
    </w:p>
    <w:p w14:paraId="5DA9561F" w14:textId="77777777" w:rsidR="00FA4AA8" w:rsidRDefault="0015611F">
      <w:pPr>
        <w:pStyle w:val="BodyText"/>
        <w:ind w:left="503" w:right="231"/>
      </w:pPr>
      <w:r>
        <w:t>Due to the availability of observable market data, the University transferred the value of one of its investments in unlisted securities from level 3 to level 1 at the end of 2018.</w:t>
      </w:r>
    </w:p>
    <w:p w14:paraId="4459CA5D" w14:textId="77777777" w:rsidR="00FA4AA8" w:rsidRDefault="00FA4AA8">
      <w:pPr>
        <w:pStyle w:val="BodyText"/>
        <w:spacing w:before="11"/>
        <w:rPr>
          <w:sz w:val="24"/>
        </w:rPr>
      </w:pPr>
    </w:p>
    <w:p w14:paraId="43B5293A" w14:textId="77777777" w:rsidR="00FA4AA8" w:rsidRDefault="0015611F">
      <w:pPr>
        <w:numPr>
          <w:ilvl w:val="1"/>
          <w:numId w:val="76"/>
        </w:numPr>
        <w:tabs>
          <w:tab w:val="left" w:pos="773"/>
        </w:tabs>
        <w:ind w:left="772" w:hanging="269"/>
        <w:rPr>
          <w:b/>
          <w:i/>
          <w:sz w:val="18"/>
        </w:rPr>
      </w:pPr>
      <w:r>
        <w:rPr>
          <w:b/>
          <w:i/>
          <w:sz w:val="18"/>
        </w:rPr>
        <w:t>Valuation inputs and relationships to fair value</w:t>
      </w:r>
    </w:p>
    <w:p w14:paraId="17FB6EF0" w14:textId="77777777" w:rsidR="00FA4AA8" w:rsidRDefault="00FA4AA8">
      <w:pPr>
        <w:pStyle w:val="BodyText"/>
        <w:rPr>
          <w:b/>
          <w:i/>
          <w:sz w:val="25"/>
        </w:rPr>
      </w:pPr>
    </w:p>
    <w:p w14:paraId="23DBB100" w14:textId="77777777" w:rsidR="00FA4AA8" w:rsidRDefault="0015611F">
      <w:pPr>
        <w:pStyle w:val="BodyText"/>
        <w:ind w:left="504" w:right="231"/>
      </w:pPr>
      <w:r>
        <w:t>The following table summarises the quantitative information about the significant unobservable inputs used in level 3 fair value measurements. See (c) above for the valuation techniques adopted.</w:t>
      </w:r>
    </w:p>
    <w:p w14:paraId="3E220F3D" w14:textId="77777777" w:rsidR="00FA4AA8" w:rsidRDefault="00FA4AA8">
      <w:pPr>
        <w:pStyle w:val="BodyText"/>
        <w:spacing w:before="3"/>
      </w:pPr>
    </w:p>
    <w:p w14:paraId="3BAF6084" w14:textId="77777777" w:rsidR="00FA4AA8" w:rsidRDefault="00FA4AA8">
      <w:pPr>
        <w:sectPr w:rsidR="00FA4AA8">
          <w:pgSz w:w="11910" w:h="16840"/>
          <w:pgMar w:top="2220" w:right="860" w:bottom="720" w:left="900" w:header="1016" w:footer="523" w:gutter="0"/>
          <w:cols w:space="720"/>
        </w:sectPr>
      </w:pPr>
    </w:p>
    <w:p w14:paraId="52167B1F" w14:textId="77777777" w:rsidR="00FA4AA8" w:rsidRDefault="0015611F">
      <w:pPr>
        <w:spacing w:before="96"/>
        <w:ind w:left="4089"/>
        <w:jc w:val="center"/>
        <w:rPr>
          <w:b/>
          <w:sz w:val="16"/>
        </w:rPr>
      </w:pPr>
      <w:r>
        <w:rPr>
          <w:b/>
          <w:sz w:val="16"/>
        </w:rPr>
        <w:t>Fair value at 31</w:t>
      </w:r>
    </w:p>
    <w:p w14:paraId="437E45EE" w14:textId="77777777" w:rsidR="00FA4AA8" w:rsidRDefault="0015611F">
      <w:pPr>
        <w:spacing w:before="1"/>
        <w:ind w:left="4091"/>
        <w:jc w:val="center"/>
        <w:rPr>
          <w:b/>
          <w:sz w:val="16"/>
        </w:rPr>
      </w:pPr>
      <w:r>
        <w:rPr>
          <w:b/>
          <w:spacing w:val="-1"/>
          <w:sz w:val="16"/>
        </w:rPr>
        <w:t xml:space="preserve">December </w:t>
      </w:r>
      <w:r>
        <w:rPr>
          <w:b/>
          <w:sz w:val="16"/>
        </w:rPr>
        <w:t>2018</w:t>
      </w:r>
    </w:p>
    <w:p w14:paraId="5E4D83FD" w14:textId="77777777" w:rsidR="00FA4AA8" w:rsidRDefault="0015611F">
      <w:pPr>
        <w:spacing w:before="69"/>
        <w:ind w:left="4086"/>
        <w:jc w:val="center"/>
        <w:rPr>
          <w:b/>
          <w:sz w:val="16"/>
        </w:rPr>
      </w:pPr>
      <w:r>
        <w:rPr>
          <w:b/>
          <w:sz w:val="16"/>
        </w:rPr>
        <w:t>$'000</w:t>
      </w:r>
    </w:p>
    <w:p w14:paraId="5ECD7A84" w14:textId="77777777" w:rsidR="00FA4AA8" w:rsidRDefault="0015611F">
      <w:pPr>
        <w:spacing w:before="96"/>
        <w:ind w:left="460" w:right="-16" w:hanging="260"/>
        <w:rPr>
          <w:b/>
          <w:sz w:val="16"/>
        </w:rPr>
      </w:pPr>
      <w:r>
        <w:br w:type="column"/>
      </w:r>
      <w:r>
        <w:rPr>
          <w:b/>
          <w:sz w:val="16"/>
        </w:rPr>
        <w:t>Unobservable inputs*</w:t>
      </w:r>
    </w:p>
    <w:p w14:paraId="0BE21297" w14:textId="77777777" w:rsidR="00FA4AA8" w:rsidRDefault="0015611F">
      <w:pPr>
        <w:spacing w:before="96"/>
        <w:ind w:left="221"/>
        <w:jc w:val="center"/>
        <w:rPr>
          <w:b/>
          <w:sz w:val="16"/>
        </w:rPr>
      </w:pPr>
      <w:r>
        <w:br w:type="column"/>
      </w:r>
      <w:r>
        <w:rPr>
          <w:b/>
          <w:sz w:val="16"/>
        </w:rPr>
        <w:t>Range of inputs (probability weighted average)</w:t>
      </w:r>
    </w:p>
    <w:p w14:paraId="7AEFEF43" w14:textId="77777777" w:rsidR="00FA4AA8" w:rsidRDefault="0015611F">
      <w:pPr>
        <w:spacing w:before="96"/>
        <w:ind w:left="237" w:right="287" w:hanging="4"/>
        <w:jc w:val="center"/>
        <w:rPr>
          <w:b/>
          <w:sz w:val="16"/>
        </w:rPr>
      </w:pPr>
      <w:r>
        <w:br w:type="column"/>
      </w:r>
      <w:r>
        <w:rPr>
          <w:b/>
          <w:sz w:val="16"/>
        </w:rPr>
        <w:t>Relationship of unobservable inputs to fair value</w:t>
      </w:r>
    </w:p>
    <w:p w14:paraId="61BAD752" w14:textId="77777777" w:rsidR="00FA4AA8" w:rsidRDefault="00FA4AA8">
      <w:pPr>
        <w:jc w:val="center"/>
        <w:rPr>
          <w:sz w:val="16"/>
        </w:rPr>
        <w:sectPr w:rsidR="00FA4AA8">
          <w:type w:val="continuous"/>
          <w:pgSz w:w="11910" w:h="16840"/>
          <w:pgMar w:top="20" w:right="860" w:bottom="0" w:left="900" w:header="720" w:footer="720" w:gutter="0"/>
          <w:cols w:num="4" w:space="720" w:equalWidth="0">
            <w:col w:w="5029" w:space="40"/>
            <w:col w:w="1263" w:space="39"/>
            <w:col w:w="1437" w:space="40"/>
            <w:col w:w="2302"/>
          </w:cols>
        </w:sectPr>
      </w:pPr>
    </w:p>
    <w:p w14:paraId="57E359E7" w14:textId="77777777" w:rsidR="00FA4AA8" w:rsidRDefault="00FA4AA8">
      <w:pPr>
        <w:pStyle w:val="BodyText"/>
        <w:spacing w:before="10"/>
        <w:rPr>
          <w:b/>
          <w:sz w:val="5"/>
        </w:rPr>
      </w:pPr>
    </w:p>
    <w:tbl>
      <w:tblPr>
        <w:tblW w:w="0" w:type="auto"/>
        <w:tblInd w:w="499" w:type="dxa"/>
        <w:tblLayout w:type="fixed"/>
        <w:tblCellMar>
          <w:left w:w="0" w:type="dxa"/>
          <w:right w:w="0" w:type="dxa"/>
        </w:tblCellMar>
        <w:tblLook w:val="01E0" w:firstRow="1" w:lastRow="1" w:firstColumn="1" w:lastColumn="1" w:noHBand="0" w:noVBand="0"/>
      </w:tblPr>
      <w:tblGrid>
        <w:gridCol w:w="2813"/>
        <w:gridCol w:w="1747"/>
      </w:tblGrid>
      <w:tr w:rsidR="00FA4AA8" w14:paraId="71C0468D" w14:textId="77777777">
        <w:trPr>
          <w:trHeight w:val="212"/>
        </w:trPr>
        <w:tc>
          <w:tcPr>
            <w:tcW w:w="2813" w:type="dxa"/>
          </w:tcPr>
          <w:p w14:paraId="47FCC916" w14:textId="77777777" w:rsidR="00FA4AA8" w:rsidRDefault="0015611F">
            <w:pPr>
              <w:pStyle w:val="TableParagraph"/>
              <w:spacing w:line="182" w:lineRule="exact"/>
              <w:ind w:left="50"/>
              <w:rPr>
                <w:sz w:val="16"/>
              </w:rPr>
            </w:pPr>
            <w:r>
              <w:rPr>
                <w:sz w:val="16"/>
              </w:rPr>
              <w:t>Buildings</w:t>
            </w:r>
          </w:p>
        </w:tc>
        <w:tc>
          <w:tcPr>
            <w:tcW w:w="1747" w:type="dxa"/>
          </w:tcPr>
          <w:p w14:paraId="47BB267C" w14:textId="77777777" w:rsidR="00FA4AA8" w:rsidRDefault="0015611F">
            <w:pPr>
              <w:pStyle w:val="TableParagraph"/>
              <w:spacing w:line="179" w:lineRule="exact"/>
              <w:ind w:right="48"/>
              <w:jc w:val="right"/>
              <w:rPr>
                <w:b/>
                <w:sz w:val="16"/>
              </w:rPr>
            </w:pPr>
            <w:r>
              <w:rPr>
                <w:b/>
                <w:sz w:val="16"/>
              </w:rPr>
              <w:t>1,127,751</w:t>
            </w:r>
          </w:p>
        </w:tc>
      </w:tr>
      <w:tr w:rsidR="00FA4AA8" w14:paraId="3B100E23" w14:textId="77777777">
        <w:trPr>
          <w:trHeight w:val="242"/>
        </w:trPr>
        <w:tc>
          <w:tcPr>
            <w:tcW w:w="2813" w:type="dxa"/>
          </w:tcPr>
          <w:p w14:paraId="785F7173" w14:textId="77777777" w:rsidR="00FA4AA8" w:rsidRDefault="0015611F">
            <w:pPr>
              <w:pStyle w:val="TableParagraph"/>
              <w:spacing w:before="28"/>
              <w:ind w:left="50"/>
              <w:rPr>
                <w:sz w:val="16"/>
              </w:rPr>
            </w:pPr>
            <w:r>
              <w:rPr>
                <w:sz w:val="16"/>
              </w:rPr>
              <w:t>Land</w:t>
            </w:r>
          </w:p>
        </w:tc>
        <w:tc>
          <w:tcPr>
            <w:tcW w:w="1747" w:type="dxa"/>
          </w:tcPr>
          <w:p w14:paraId="00904E14" w14:textId="77777777" w:rsidR="00FA4AA8" w:rsidRDefault="0015611F">
            <w:pPr>
              <w:pStyle w:val="TableParagraph"/>
              <w:spacing w:before="25"/>
              <w:ind w:right="48"/>
              <w:jc w:val="right"/>
              <w:rPr>
                <w:b/>
                <w:sz w:val="16"/>
              </w:rPr>
            </w:pPr>
            <w:r>
              <w:rPr>
                <w:b/>
                <w:sz w:val="16"/>
              </w:rPr>
              <w:t>593,021</w:t>
            </w:r>
          </w:p>
        </w:tc>
      </w:tr>
      <w:tr w:rsidR="00FA4AA8" w14:paraId="101A3247" w14:textId="77777777">
        <w:trPr>
          <w:trHeight w:val="242"/>
        </w:trPr>
        <w:tc>
          <w:tcPr>
            <w:tcW w:w="2813" w:type="dxa"/>
          </w:tcPr>
          <w:p w14:paraId="71FB2962" w14:textId="77777777" w:rsidR="00FA4AA8" w:rsidRDefault="0015611F">
            <w:pPr>
              <w:pStyle w:val="TableParagraph"/>
              <w:spacing w:before="28"/>
              <w:ind w:left="50"/>
              <w:rPr>
                <w:sz w:val="16"/>
              </w:rPr>
            </w:pPr>
            <w:r>
              <w:rPr>
                <w:sz w:val="16"/>
              </w:rPr>
              <w:t>Infrastructure</w:t>
            </w:r>
          </w:p>
        </w:tc>
        <w:tc>
          <w:tcPr>
            <w:tcW w:w="1747" w:type="dxa"/>
          </w:tcPr>
          <w:p w14:paraId="4B6F83A5" w14:textId="77777777" w:rsidR="00FA4AA8" w:rsidRDefault="0015611F">
            <w:pPr>
              <w:pStyle w:val="TableParagraph"/>
              <w:spacing w:before="25"/>
              <w:ind w:right="48"/>
              <w:jc w:val="right"/>
              <w:rPr>
                <w:b/>
                <w:sz w:val="16"/>
              </w:rPr>
            </w:pPr>
            <w:r>
              <w:rPr>
                <w:b/>
                <w:sz w:val="16"/>
              </w:rPr>
              <w:t>116,497</w:t>
            </w:r>
          </w:p>
        </w:tc>
      </w:tr>
      <w:tr w:rsidR="00FA4AA8" w14:paraId="04C3A5C9" w14:textId="77777777">
        <w:trPr>
          <w:trHeight w:val="212"/>
        </w:trPr>
        <w:tc>
          <w:tcPr>
            <w:tcW w:w="2813" w:type="dxa"/>
          </w:tcPr>
          <w:p w14:paraId="58077F65" w14:textId="77777777" w:rsidR="00FA4AA8" w:rsidRDefault="0015611F">
            <w:pPr>
              <w:pStyle w:val="TableParagraph"/>
              <w:spacing w:before="28" w:line="164" w:lineRule="exact"/>
              <w:ind w:left="50"/>
              <w:rPr>
                <w:sz w:val="16"/>
              </w:rPr>
            </w:pPr>
            <w:r>
              <w:rPr>
                <w:sz w:val="16"/>
              </w:rPr>
              <w:t>Unlisted equity securities</w:t>
            </w:r>
          </w:p>
        </w:tc>
        <w:tc>
          <w:tcPr>
            <w:tcW w:w="1747" w:type="dxa"/>
          </w:tcPr>
          <w:p w14:paraId="32AF28F9" w14:textId="77777777" w:rsidR="00FA4AA8" w:rsidRDefault="0015611F">
            <w:pPr>
              <w:pStyle w:val="TableParagraph"/>
              <w:spacing w:before="25" w:line="167" w:lineRule="exact"/>
              <w:ind w:right="48"/>
              <w:jc w:val="right"/>
              <w:rPr>
                <w:b/>
                <w:sz w:val="16"/>
              </w:rPr>
            </w:pPr>
            <w:r>
              <w:rPr>
                <w:b/>
                <w:sz w:val="16"/>
              </w:rPr>
              <w:t>321</w:t>
            </w:r>
          </w:p>
        </w:tc>
      </w:tr>
    </w:tbl>
    <w:p w14:paraId="60BBD4E1" w14:textId="77777777" w:rsidR="00FA4AA8" w:rsidRDefault="00FA4AA8">
      <w:pPr>
        <w:pStyle w:val="BodyText"/>
        <w:spacing w:before="3"/>
        <w:rPr>
          <w:b/>
          <w:sz w:val="19"/>
        </w:rPr>
      </w:pPr>
    </w:p>
    <w:p w14:paraId="20E292CF" w14:textId="77777777" w:rsidR="00FA4AA8" w:rsidRDefault="0015611F">
      <w:pPr>
        <w:pStyle w:val="BodyText"/>
        <w:spacing w:before="94"/>
        <w:ind w:left="503"/>
      </w:pPr>
      <w:r>
        <w:t>*There were no significant inter-relationship between unobservable inputs that materially affects fair value.</w:t>
      </w:r>
    </w:p>
    <w:p w14:paraId="2F26C539" w14:textId="77777777" w:rsidR="00FA4AA8" w:rsidRDefault="00FA4AA8">
      <w:pPr>
        <w:pStyle w:val="BodyText"/>
        <w:spacing w:before="8"/>
        <w:rPr>
          <w:sz w:val="26"/>
        </w:rPr>
      </w:pPr>
    </w:p>
    <w:p w14:paraId="7D68F41E" w14:textId="77777777" w:rsidR="00FA4AA8" w:rsidRDefault="0015611F">
      <w:pPr>
        <w:ind w:left="504"/>
        <w:rPr>
          <w:i/>
          <w:sz w:val="18"/>
        </w:rPr>
      </w:pPr>
      <w:r>
        <w:rPr>
          <w:i/>
          <w:sz w:val="18"/>
          <w:u w:val="single"/>
        </w:rPr>
        <w:t>Accounting Policy</w:t>
      </w:r>
    </w:p>
    <w:p w14:paraId="3E6A2FFD" w14:textId="77777777" w:rsidR="00FA4AA8" w:rsidRDefault="00FA4AA8">
      <w:pPr>
        <w:pStyle w:val="BodyText"/>
        <w:spacing w:before="2"/>
        <w:rPr>
          <w:i/>
          <w:sz w:val="17"/>
        </w:rPr>
      </w:pPr>
    </w:p>
    <w:p w14:paraId="0ABFD7F4" w14:textId="77777777" w:rsidR="00FA4AA8" w:rsidRDefault="0015611F">
      <w:pPr>
        <w:pStyle w:val="BodyText"/>
        <w:spacing w:before="95"/>
        <w:ind w:left="503" w:right="231"/>
      </w:pPr>
      <w:r>
        <w:t>The fair values of investments and other financial assets are based on quoted prices in an active market. If the market for a financial asset is not active (and for unlisted securities), the Group establishes fair value by using valuation techniques that maximise the use of relevant data. These include reference to the estimated price in an orderly transaction that would take place between market participants at the measurement date. Other valuation techniques used are the cost approach and the income approach based on the characteristics of the asset and the assumptions made by market participants. The Group classifies fair value measurements using a fair value hierarchy that reflects the significance of the inputs used in making the measurements.</w:t>
      </w:r>
    </w:p>
    <w:p w14:paraId="7CCC5359" w14:textId="77777777" w:rsidR="00FA4AA8" w:rsidRDefault="00FA4AA8">
      <w:pPr>
        <w:pStyle w:val="BodyText"/>
        <w:spacing w:before="7"/>
        <w:rPr>
          <w:sz w:val="24"/>
        </w:rPr>
      </w:pPr>
    </w:p>
    <w:p w14:paraId="45A687E0" w14:textId="77777777" w:rsidR="00FA4AA8" w:rsidRDefault="0015611F">
      <w:pPr>
        <w:pStyle w:val="BodyText"/>
        <w:spacing w:before="1"/>
        <w:ind w:left="503" w:right="231"/>
      </w:pPr>
      <w:r>
        <w:t>The fair value of assets or liabilities traded in active markets (such as publicly traded derivatives, and equity investments) is based on quoted market prices for identical assets or liabilities at the end of the reporting period (level 1). This is the most representative of fair value in the circumstances. The fair value of held-to-maturity investments were determined by reference to published price quotations in an active market.</w:t>
      </w:r>
    </w:p>
    <w:p w14:paraId="20B770AC" w14:textId="77777777" w:rsidR="00FA4AA8" w:rsidRDefault="00FA4AA8">
      <w:pPr>
        <w:pStyle w:val="BodyText"/>
        <w:spacing w:before="9"/>
        <w:rPr>
          <w:sz w:val="24"/>
        </w:rPr>
      </w:pPr>
    </w:p>
    <w:p w14:paraId="386A3739" w14:textId="77777777" w:rsidR="00FA4AA8" w:rsidRDefault="0015611F">
      <w:pPr>
        <w:pStyle w:val="BodyText"/>
        <w:ind w:left="503" w:right="231"/>
      </w:pPr>
      <w:r>
        <w:t>The fair value of non-current borrowings disclosed in note 24 is estimated by discounting the future contractual cash flows at the current market interest rates that are available to the group for similar financial instruments. The fair value of current borrowings approximates the carrying amount, as the impact of discounting is not significant (level 2).</w:t>
      </w:r>
    </w:p>
    <w:p w14:paraId="5DD55D26" w14:textId="77777777" w:rsidR="00FA4AA8" w:rsidRDefault="00FA4AA8">
      <w:pPr>
        <w:pStyle w:val="BodyText"/>
        <w:spacing w:before="10"/>
        <w:rPr>
          <w:sz w:val="24"/>
        </w:rPr>
      </w:pPr>
    </w:p>
    <w:p w14:paraId="5D6353AB" w14:textId="77777777" w:rsidR="00FA4AA8" w:rsidRDefault="0015611F">
      <w:pPr>
        <w:pStyle w:val="BodyText"/>
        <w:spacing w:before="1"/>
        <w:ind w:left="504" w:right="231"/>
      </w:pPr>
      <w:r>
        <w:t>Fair value measurement of non-financial assets is based on the highest and best use of the asset. The Group considers market participants use of, or purchase of, the asset to use it in a manner that would be highest and best use.</w:t>
      </w:r>
    </w:p>
    <w:p w14:paraId="468DB14B" w14:textId="77777777" w:rsidR="00FA4AA8" w:rsidRDefault="00FA4AA8">
      <w:pPr>
        <w:pStyle w:val="BodyText"/>
        <w:spacing w:before="10"/>
        <w:rPr>
          <w:sz w:val="24"/>
        </w:rPr>
      </w:pPr>
    </w:p>
    <w:p w14:paraId="44D772D9" w14:textId="77777777" w:rsidR="00FA4AA8" w:rsidRDefault="0015611F">
      <w:pPr>
        <w:pStyle w:val="BodyText"/>
        <w:ind w:left="504"/>
      </w:pPr>
      <w:r>
        <w:t>The carrying value less impairment provision of trade receivables and payables are assumed to approximate their fair values due to their short-term nature. The fair value of financial liabilities for disclosure purposes is estimated by discounting the future contractual cash flows at the current market interest rate that is available to the Group for similar financial instruments (level 3).</w:t>
      </w:r>
    </w:p>
    <w:p w14:paraId="185DB831" w14:textId="77777777" w:rsidR="00FA4AA8" w:rsidRDefault="00FA4AA8">
      <w:pPr>
        <w:sectPr w:rsidR="00FA4AA8">
          <w:type w:val="continuous"/>
          <w:pgSz w:w="11910" w:h="16840"/>
          <w:pgMar w:top="20" w:right="860" w:bottom="0" w:left="900" w:header="720" w:footer="720" w:gutter="0"/>
          <w:cols w:space="720"/>
        </w:sectPr>
      </w:pPr>
    </w:p>
    <w:p w14:paraId="5E6FDC9B" w14:textId="77777777" w:rsidR="00FA4AA8" w:rsidRDefault="00FA4AA8">
      <w:pPr>
        <w:pStyle w:val="BodyText"/>
        <w:rPr>
          <w:sz w:val="20"/>
        </w:rPr>
      </w:pPr>
    </w:p>
    <w:p w14:paraId="046F17FB" w14:textId="77777777" w:rsidR="00FA4AA8" w:rsidRDefault="00FA4AA8">
      <w:pPr>
        <w:pStyle w:val="BodyText"/>
        <w:spacing w:before="10"/>
        <w:rPr>
          <w:sz w:val="29"/>
        </w:rPr>
      </w:pPr>
    </w:p>
    <w:p w14:paraId="34F79A5A" w14:textId="77777777" w:rsidR="00FA4AA8" w:rsidRDefault="0015611F">
      <w:pPr>
        <w:numPr>
          <w:ilvl w:val="0"/>
          <w:numId w:val="77"/>
        </w:numPr>
        <w:tabs>
          <w:tab w:val="left" w:pos="504"/>
        </w:tabs>
        <w:spacing w:before="94"/>
        <w:ind w:hanging="397"/>
        <w:rPr>
          <w:b/>
          <w:sz w:val="18"/>
        </w:rPr>
      </w:pPr>
      <w:bookmarkStart w:id="81" w:name="35_Joint_Operations_"/>
      <w:bookmarkStart w:id="82" w:name="Joint_operations_with_Urban_Growth_at_Ca"/>
      <w:bookmarkEnd w:id="81"/>
      <w:bookmarkEnd w:id="82"/>
      <w:r>
        <w:rPr>
          <w:b/>
          <w:sz w:val="18"/>
        </w:rPr>
        <w:t>Joint Operations</w:t>
      </w:r>
    </w:p>
    <w:p w14:paraId="19E941F1" w14:textId="77777777" w:rsidR="00FA4AA8" w:rsidRDefault="00FA4AA8">
      <w:pPr>
        <w:pStyle w:val="BodyText"/>
        <w:spacing w:before="7"/>
        <w:rPr>
          <w:b/>
          <w:sz w:val="26"/>
        </w:rPr>
      </w:pPr>
    </w:p>
    <w:p w14:paraId="24938CD3" w14:textId="77777777" w:rsidR="00FA4AA8" w:rsidRDefault="0015611F">
      <w:pPr>
        <w:ind w:left="504"/>
        <w:rPr>
          <w:b/>
          <w:i/>
          <w:sz w:val="18"/>
        </w:rPr>
      </w:pPr>
      <w:r>
        <w:rPr>
          <w:b/>
          <w:i/>
          <w:sz w:val="18"/>
        </w:rPr>
        <w:t>Joint operations with Urban Growth at Campbelltown</w:t>
      </w:r>
    </w:p>
    <w:p w14:paraId="4B8E3F10" w14:textId="77777777" w:rsidR="00FA4AA8" w:rsidRDefault="00FA4AA8">
      <w:pPr>
        <w:pStyle w:val="BodyText"/>
        <w:spacing w:before="5"/>
        <w:rPr>
          <w:b/>
          <w:i/>
          <w:sz w:val="25"/>
        </w:rPr>
      </w:pPr>
    </w:p>
    <w:p w14:paraId="2B161C6F" w14:textId="77777777" w:rsidR="00FA4AA8" w:rsidRDefault="0015611F">
      <w:pPr>
        <w:pStyle w:val="BodyText"/>
        <w:ind w:left="504"/>
      </w:pPr>
      <w:r>
        <w:t>The project is for the development of a residential subdivision comprising of 966 lots over 122 hectares located on the south west portion of the Campbelltown property. Land sales commenced in 2014 and extended through a number of stages throughout 2019, subject to market demand. The development is located in a desirable south western portion of Campbelltown's Macarthur region, adjacent to the University campus, suburban shopping facilities, parks, and in close proximity to both a railway station and the Hume Highway. The infrastructure being built will also improve access to the University campus with a much needed second major entry road as part of the development.</w:t>
      </w:r>
    </w:p>
    <w:p w14:paraId="0A4D9D14" w14:textId="77777777" w:rsidR="00FA4AA8" w:rsidRDefault="00FA4AA8">
      <w:pPr>
        <w:pStyle w:val="BodyText"/>
        <w:spacing w:before="9"/>
        <w:rPr>
          <w:sz w:val="24"/>
        </w:rPr>
      </w:pPr>
    </w:p>
    <w:p w14:paraId="5E8FB811" w14:textId="77777777" w:rsidR="00FA4AA8" w:rsidRDefault="0015611F">
      <w:pPr>
        <w:pStyle w:val="BodyText"/>
        <w:ind w:left="504" w:right="231"/>
      </w:pPr>
      <w:r>
        <w:t>The University and Urban Growth each have a 50% interest in the operation, and share equally in the costs of development, and proceeds from sale of the developed lots. Due to decision making being shared equally, and the equal sharing of costs and output, the University has determined this to be a jointly controlled operation.</w:t>
      </w:r>
    </w:p>
    <w:p w14:paraId="4A956008" w14:textId="77777777" w:rsidR="00FA4AA8" w:rsidRDefault="00FA4AA8">
      <w:pPr>
        <w:pStyle w:val="BodyText"/>
        <w:rPr>
          <w:sz w:val="20"/>
        </w:rPr>
      </w:pPr>
    </w:p>
    <w:p w14:paraId="5F91F669" w14:textId="77777777" w:rsidR="00FA4AA8" w:rsidRDefault="0015611F">
      <w:pPr>
        <w:spacing w:before="150"/>
        <w:ind w:left="7980" w:right="558" w:hanging="89"/>
        <w:rPr>
          <w:b/>
          <w:sz w:val="18"/>
        </w:rPr>
      </w:pPr>
      <w:r>
        <w:rPr>
          <w:b/>
          <w:sz w:val="18"/>
        </w:rPr>
        <w:t>Ownership interest/ voting rights held</w:t>
      </w:r>
    </w:p>
    <w:p w14:paraId="7DA6FC5F" w14:textId="77777777" w:rsidR="00FA4AA8" w:rsidRDefault="00FA4AA8">
      <w:pPr>
        <w:rPr>
          <w:sz w:val="18"/>
        </w:rPr>
        <w:sectPr w:rsidR="00FA4AA8">
          <w:pgSz w:w="11910" w:h="16840"/>
          <w:pgMar w:top="2220" w:right="860" w:bottom="720" w:left="900" w:header="1016" w:footer="523" w:gutter="0"/>
          <w:cols w:space="720"/>
        </w:sectPr>
      </w:pPr>
    </w:p>
    <w:p w14:paraId="0A2CCDBD" w14:textId="77777777" w:rsidR="00FA4AA8" w:rsidRDefault="00FA4AA8">
      <w:pPr>
        <w:pStyle w:val="BodyText"/>
        <w:spacing w:before="6"/>
        <w:rPr>
          <w:b/>
          <w:sz w:val="29"/>
        </w:rPr>
      </w:pPr>
    </w:p>
    <w:p w14:paraId="73DD7DA2" w14:textId="77777777" w:rsidR="00FA4AA8" w:rsidRDefault="0015611F">
      <w:pPr>
        <w:tabs>
          <w:tab w:val="left" w:pos="2985"/>
        </w:tabs>
        <w:jc w:val="right"/>
        <w:rPr>
          <w:b/>
          <w:sz w:val="18"/>
        </w:rPr>
      </w:pPr>
      <w:r>
        <w:rPr>
          <w:b/>
          <w:sz w:val="18"/>
        </w:rPr>
        <w:t>Name of joint operation</w:t>
      </w:r>
      <w:r>
        <w:rPr>
          <w:b/>
          <w:sz w:val="18"/>
        </w:rPr>
        <w:tab/>
        <w:t>Nature of relationship</w:t>
      </w:r>
    </w:p>
    <w:p w14:paraId="1329B5FA" w14:textId="77777777" w:rsidR="00FA4AA8" w:rsidRDefault="0015611F">
      <w:pPr>
        <w:pStyle w:val="BodyText"/>
        <w:spacing w:before="62"/>
        <w:ind w:right="19"/>
        <w:jc w:val="right"/>
      </w:pPr>
      <w:r>
        <w:t>Jointly controlled</w:t>
      </w:r>
      <w:r>
        <w:rPr>
          <w:spacing w:val="2"/>
        </w:rPr>
        <w:t xml:space="preserve"> </w:t>
      </w:r>
      <w:r>
        <w:t>operation</w:t>
      </w:r>
    </w:p>
    <w:p w14:paraId="4236F0B1" w14:textId="77777777" w:rsidR="00FA4AA8" w:rsidRDefault="0015611F">
      <w:pPr>
        <w:spacing w:before="133"/>
        <w:ind w:left="760" w:right="-12" w:hanging="358"/>
        <w:rPr>
          <w:b/>
          <w:sz w:val="18"/>
        </w:rPr>
      </w:pPr>
      <w:r>
        <w:br w:type="column"/>
      </w:r>
      <w:r>
        <w:rPr>
          <w:b/>
          <w:sz w:val="18"/>
        </w:rPr>
        <w:t>Principal place of business</w:t>
      </w:r>
    </w:p>
    <w:p w14:paraId="50BC8AF8" w14:textId="77777777" w:rsidR="00FA4AA8" w:rsidRDefault="0015611F">
      <w:pPr>
        <w:spacing w:before="66"/>
        <w:ind w:left="502" w:right="21"/>
        <w:jc w:val="center"/>
        <w:rPr>
          <w:b/>
          <w:sz w:val="18"/>
        </w:rPr>
      </w:pPr>
      <w:r>
        <w:br w:type="column"/>
      </w:r>
      <w:r>
        <w:rPr>
          <w:b/>
          <w:sz w:val="18"/>
        </w:rPr>
        <w:t>2018</w:t>
      </w:r>
    </w:p>
    <w:p w14:paraId="6C2C2FAC" w14:textId="77777777" w:rsidR="00FA4AA8" w:rsidRDefault="0015611F">
      <w:pPr>
        <w:spacing w:before="66"/>
        <w:ind w:left="487"/>
        <w:jc w:val="center"/>
        <w:rPr>
          <w:b/>
          <w:sz w:val="18"/>
        </w:rPr>
      </w:pPr>
      <w:r>
        <w:rPr>
          <w:b/>
          <w:sz w:val="18"/>
        </w:rPr>
        <w:t>%</w:t>
      </w:r>
    </w:p>
    <w:p w14:paraId="762DC2AE" w14:textId="77777777" w:rsidR="00FA4AA8" w:rsidRDefault="0015611F">
      <w:pPr>
        <w:spacing w:before="66"/>
        <w:ind w:left="514" w:right="558"/>
        <w:jc w:val="center"/>
        <w:rPr>
          <w:b/>
          <w:sz w:val="18"/>
        </w:rPr>
      </w:pPr>
      <w:r>
        <w:br w:type="column"/>
      </w:r>
      <w:r>
        <w:rPr>
          <w:b/>
          <w:sz w:val="18"/>
        </w:rPr>
        <w:t>2017</w:t>
      </w:r>
    </w:p>
    <w:p w14:paraId="54928E50" w14:textId="77777777" w:rsidR="00FA4AA8" w:rsidRDefault="0015611F">
      <w:pPr>
        <w:spacing w:before="66"/>
        <w:ind w:right="37"/>
        <w:jc w:val="center"/>
        <w:rPr>
          <w:b/>
          <w:sz w:val="18"/>
        </w:rPr>
      </w:pPr>
      <w:r>
        <w:rPr>
          <w:b/>
          <w:sz w:val="18"/>
        </w:rPr>
        <w:t>%</w:t>
      </w:r>
    </w:p>
    <w:p w14:paraId="156A6BB5" w14:textId="77777777" w:rsidR="00FA4AA8" w:rsidRDefault="00FA4AA8">
      <w:pPr>
        <w:jc w:val="center"/>
        <w:rPr>
          <w:sz w:val="18"/>
        </w:rPr>
        <w:sectPr w:rsidR="00FA4AA8">
          <w:type w:val="continuous"/>
          <w:pgSz w:w="11910" w:h="16840"/>
          <w:pgMar w:top="20" w:right="860" w:bottom="0" w:left="900" w:header="720" w:footer="720" w:gutter="0"/>
          <w:cols w:num="4" w:space="720" w:equalWidth="0">
            <w:col w:w="5383" w:space="40"/>
            <w:col w:w="1901" w:space="39"/>
            <w:col w:w="965" w:space="308"/>
            <w:col w:w="1514"/>
          </w:cols>
        </w:sectPr>
      </w:pPr>
    </w:p>
    <w:p w14:paraId="2EB2ADA9" w14:textId="77777777" w:rsidR="00FA4AA8" w:rsidRDefault="0015611F">
      <w:pPr>
        <w:pStyle w:val="BodyText"/>
        <w:spacing w:before="1"/>
        <w:ind w:left="530" w:right="31"/>
      </w:pPr>
      <w:r>
        <w:t>Campbelltown residential development</w:t>
      </w:r>
    </w:p>
    <w:p w14:paraId="17BCFAFF" w14:textId="77777777" w:rsidR="00FA4AA8" w:rsidRDefault="0015611F">
      <w:pPr>
        <w:pStyle w:val="BodyText"/>
        <w:spacing w:line="206" w:lineRule="exact"/>
        <w:ind w:left="530"/>
      </w:pPr>
      <w:r>
        <w:br w:type="column"/>
        <w:t>with Urban Growth for the</w:t>
      </w:r>
    </w:p>
    <w:p w14:paraId="47F5D0DE" w14:textId="77777777" w:rsidR="00FA4AA8" w:rsidRDefault="0015611F">
      <w:pPr>
        <w:pStyle w:val="BodyText"/>
        <w:tabs>
          <w:tab w:val="left" w:pos="3547"/>
          <w:tab w:val="left" w:pos="5155"/>
          <w:tab w:val="left" w:pos="6436"/>
        </w:tabs>
        <w:spacing w:line="207" w:lineRule="exact"/>
        <w:ind w:left="530"/>
      </w:pPr>
      <w:r>
        <w:t>residential subdivision</w:t>
      </w:r>
      <w:r>
        <w:rPr>
          <w:spacing w:val="2"/>
        </w:rPr>
        <w:t xml:space="preserve"> </w:t>
      </w:r>
      <w:r>
        <w:t>of</w:t>
      </w:r>
      <w:r>
        <w:rPr>
          <w:spacing w:val="1"/>
        </w:rPr>
        <w:t xml:space="preserve"> </w:t>
      </w:r>
      <w:r>
        <w:t>land</w:t>
      </w:r>
      <w:r>
        <w:tab/>
        <w:t>Australia</w:t>
      </w:r>
      <w:r>
        <w:tab/>
      </w:r>
      <w:r>
        <w:rPr>
          <w:b/>
        </w:rPr>
        <w:t>50.00</w:t>
      </w:r>
      <w:r>
        <w:rPr>
          <w:b/>
        </w:rPr>
        <w:tab/>
      </w:r>
      <w:r>
        <w:t>50.00</w:t>
      </w:r>
    </w:p>
    <w:p w14:paraId="3C5AB262" w14:textId="77777777" w:rsidR="00FA4AA8" w:rsidRDefault="00FA4AA8">
      <w:pPr>
        <w:spacing w:line="207" w:lineRule="exact"/>
        <w:sectPr w:rsidR="00FA4AA8">
          <w:type w:val="continuous"/>
          <w:pgSz w:w="11910" w:h="16840"/>
          <w:pgMar w:top="20" w:right="860" w:bottom="0" w:left="900" w:header="720" w:footer="720" w:gutter="0"/>
          <w:cols w:num="2" w:space="720" w:equalWidth="0">
            <w:col w:w="2593" w:space="81"/>
            <w:col w:w="7476"/>
          </w:cols>
        </w:sectPr>
      </w:pPr>
    </w:p>
    <w:p w14:paraId="7E7A3C5B" w14:textId="77777777" w:rsidR="00FA4AA8" w:rsidRDefault="00FA4AA8">
      <w:pPr>
        <w:pStyle w:val="BodyText"/>
        <w:spacing w:before="1"/>
        <w:rPr>
          <w:sz w:val="19"/>
        </w:rPr>
      </w:pPr>
    </w:p>
    <w:p w14:paraId="326A5856" w14:textId="77777777" w:rsidR="00FA4AA8" w:rsidRDefault="0015611F">
      <w:pPr>
        <w:pStyle w:val="BodyText"/>
        <w:spacing w:before="94"/>
        <w:ind w:left="503" w:right="231"/>
      </w:pPr>
      <w:r>
        <w:t>The assets and liabilities employed in the above jointly controlled operations, including Western Sydney University's share of any assets and liabilities held jointly, are detailed below:</w:t>
      </w:r>
    </w:p>
    <w:p w14:paraId="34CB96A9" w14:textId="77777777" w:rsidR="00FA4AA8" w:rsidRDefault="00FA4AA8">
      <w:pPr>
        <w:pStyle w:val="BodyText"/>
        <w:rPr>
          <w:sz w:val="20"/>
        </w:rPr>
      </w:pPr>
    </w:p>
    <w:p w14:paraId="015FACD0" w14:textId="77777777" w:rsidR="00FA4AA8" w:rsidRDefault="0015611F">
      <w:pPr>
        <w:tabs>
          <w:tab w:val="left" w:pos="8368"/>
        </w:tabs>
        <w:spacing w:before="151"/>
        <w:ind w:left="5318"/>
        <w:rPr>
          <w:b/>
          <w:sz w:val="18"/>
        </w:rPr>
      </w:pPr>
      <w:r>
        <w:rPr>
          <w:b/>
          <w:sz w:val="18"/>
        </w:rPr>
        <w:t>Consolidated</w:t>
      </w:r>
      <w:r>
        <w:rPr>
          <w:b/>
          <w:sz w:val="18"/>
        </w:rPr>
        <w:tab/>
        <w:t>Parent</w:t>
      </w:r>
    </w:p>
    <w:p w14:paraId="4E754BC1" w14:textId="77777777" w:rsidR="00FA4AA8" w:rsidRDefault="00FA4AA8">
      <w:pPr>
        <w:pStyle w:val="BodyText"/>
        <w:spacing w:before="3"/>
        <w:rPr>
          <w:b/>
          <w:sz w:val="6"/>
        </w:rPr>
      </w:pPr>
    </w:p>
    <w:tbl>
      <w:tblPr>
        <w:tblW w:w="0" w:type="auto"/>
        <w:tblInd w:w="487" w:type="dxa"/>
        <w:tblLayout w:type="fixed"/>
        <w:tblCellMar>
          <w:left w:w="0" w:type="dxa"/>
          <w:right w:w="0" w:type="dxa"/>
        </w:tblCellMar>
        <w:tblLook w:val="01E0" w:firstRow="1" w:lastRow="1" w:firstColumn="1" w:lastColumn="1" w:noHBand="0" w:noVBand="0"/>
      </w:tblPr>
      <w:tblGrid>
        <w:gridCol w:w="4543"/>
        <w:gridCol w:w="1128"/>
        <w:gridCol w:w="1380"/>
        <w:gridCol w:w="1380"/>
        <w:gridCol w:w="1128"/>
      </w:tblGrid>
      <w:tr w:rsidR="00FA4AA8" w14:paraId="5F9F20CF" w14:textId="77777777">
        <w:trPr>
          <w:trHeight w:val="474"/>
        </w:trPr>
        <w:tc>
          <w:tcPr>
            <w:tcW w:w="5671" w:type="dxa"/>
            <w:gridSpan w:val="2"/>
          </w:tcPr>
          <w:p w14:paraId="04E7FAB1" w14:textId="77777777" w:rsidR="00FA4AA8" w:rsidRDefault="0015611F">
            <w:pPr>
              <w:pStyle w:val="TableParagraph"/>
              <w:spacing w:line="201" w:lineRule="exact"/>
              <w:ind w:right="651"/>
              <w:jc w:val="right"/>
              <w:rPr>
                <w:b/>
                <w:sz w:val="18"/>
              </w:rPr>
            </w:pPr>
            <w:r>
              <w:rPr>
                <w:b/>
                <w:sz w:val="18"/>
              </w:rPr>
              <w:t>2018</w:t>
            </w:r>
          </w:p>
          <w:p w14:paraId="5289137E" w14:textId="77777777" w:rsidR="00FA4AA8" w:rsidRDefault="0015611F">
            <w:pPr>
              <w:pStyle w:val="TableParagraph"/>
              <w:spacing w:before="66" w:line="187" w:lineRule="exact"/>
              <w:ind w:right="629"/>
              <w:jc w:val="right"/>
              <w:rPr>
                <w:b/>
                <w:sz w:val="18"/>
              </w:rPr>
            </w:pPr>
            <w:r>
              <w:rPr>
                <w:b/>
                <w:sz w:val="18"/>
              </w:rPr>
              <w:t>$'000</w:t>
            </w:r>
          </w:p>
        </w:tc>
        <w:tc>
          <w:tcPr>
            <w:tcW w:w="1380" w:type="dxa"/>
          </w:tcPr>
          <w:p w14:paraId="6FBDB5A4" w14:textId="77777777" w:rsidR="00FA4AA8" w:rsidRDefault="0015611F">
            <w:pPr>
              <w:pStyle w:val="TableParagraph"/>
              <w:spacing w:line="201" w:lineRule="exact"/>
              <w:ind w:left="239"/>
              <w:rPr>
                <w:b/>
                <w:sz w:val="18"/>
              </w:rPr>
            </w:pPr>
            <w:r>
              <w:rPr>
                <w:b/>
                <w:sz w:val="18"/>
              </w:rPr>
              <w:t>2017</w:t>
            </w:r>
          </w:p>
          <w:p w14:paraId="5BEE51DB" w14:textId="77777777" w:rsidR="00FA4AA8" w:rsidRDefault="0015611F">
            <w:pPr>
              <w:pStyle w:val="TableParagraph"/>
              <w:spacing w:before="66" w:line="187" w:lineRule="exact"/>
              <w:ind w:left="218"/>
              <w:rPr>
                <w:b/>
                <w:sz w:val="18"/>
              </w:rPr>
            </w:pPr>
            <w:r>
              <w:rPr>
                <w:b/>
                <w:sz w:val="18"/>
              </w:rPr>
              <w:t>$'000</w:t>
            </w:r>
          </w:p>
        </w:tc>
        <w:tc>
          <w:tcPr>
            <w:tcW w:w="1380" w:type="dxa"/>
          </w:tcPr>
          <w:p w14:paraId="60C7335F" w14:textId="77777777" w:rsidR="00FA4AA8" w:rsidRDefault="0015611F">
            <w:pPr>
              <w:pStyle w:val="TableParagraph"/>
              <w:spacing w:line="201" w:lineRule="exact"/>
              <w:ind w:left="323"/>
              <w:rPr>
                <w:b/>
                <w:sz w:val="18"/>
              </w:rPr>
            </w:pPr>
            <w:r>
              <w:rPr>
                <w:b/>
                <w:sz w:val="18"/>
              </w:rPr>
              <w:t>2018</w:t>
            </w:r>
          </w:p>
          <w:p w14:paraId="550AA42B" w14:textId="77777777" w:rsidR="00FA4AA8" w:rsidRDefault="0015611F">
            <w:pPr>
              <w:pStyle w:val="TableParagraph"/>
              <w:spacing w:before="66" w:line="187" w:lineRule="exact"/>
              <w:ind w:left="302"/>
              <w:rPr>
                <w:b/>
                <w:sz w:val="18"/>
              </w:rPr>
            </w:pPr>
            <w:r>
              <w:rPr>
                <w:b/>
                <w:sz w:val="18"/>
              </w:rPr>
              <w:t>$'000</w:t>
            </w:r>
          </w:p>
        </w:tc>
        <w:tc>
          <w:tcPr>
            <w:tcW w:w="1128" w:type="dxa"/>
          </w:tcPr>
          <w:p w14:paraId="1448EB9A" w14:textId="77777777" w:rsidR="00FA4AA8" w:rsidRDefault="0015611F">
            <w:pPr>
              <w:pStyle w:val="TableParagraph"/>
              <w:spacing w:line="201" w:lineRule="exact"/>
              <w:ind w:left="239"/>
              <w:rPr>
                <w:b/>
                <w:sz w:val="18"/>
              </w:rPr>
            </w:pPr>
            <w:r>
              <w:rPr>
                <w:b/>
                <w:sz w:val="18"/>
              </w:rPr>
              <w:t>2017</w:t>
            </w:r>
          </w:p>
          <w:p w14:paraId="4C832E96" w14:textId="77777777" w:rsidR="00FA4AA8" w:rsidRDefault="0015611F">
            <w:pPr>
              <w:pStyle w:val="TableParagraph"/>
              <w:spacing w:before="66" w:line="187" w:lineRule="exact"/>
              <w:ind w:left="218"/>
              <w:rPr>
                <w:b/>
                <w:sz w:val="18"/>
              </w:rPr>
            </w:pPr>
            <w:r>
              <w:rPr>
                <w:b/>
                <w:sz w:val="18"/>
              </w:rPr>
              <w:t>$'000</w:t>
            </w:r>
          </w:p>
        </w:tc>
      </w:tr>
      <w:tr w:rsidR="00FA4AA8" w14:paraId="3134395C" w14:textId="77777777">
        <w:trPr>
          <w:trHeight w:val="649"/>
        </w:trPr>
        <w:tc>
          <w:tcPr>
            <w:tcW w:w="4543" w:type="dxa"/>
          </w:tcPr>
          <w:p w14:paraId="76BA89C0" w14:textId="77777777" w:rsidR="00FA4AA8" w:rsidRDefault="0015611F">
            <w:pPr>
              <w:pStyle w:val="TableParagraph"/>
              <w:spacing w:before="174"/>
              <w:ind w:left="50"/>
              <w:rPr>
                <w:b/>
                <w:sz w:val="18"/>
              </w:rPr>
            </w:pPr>
            <w:r>
              <w:rPr>
                <w:b/>
                <w:sz w:val="18"/>
              </w:rPr>
              <w:t>Statement of Financial Position</w:t>
            </w:r>
          </w:p>
          <w:p w14:paraId="6D4381CF" w14:textId="77777777" w:rsidR="00FA4AA8" w:rsidRDefault="0015611F">
            <w:pPr>
              <w:pStyle w:val="TableParagraph"/>
              <w:spacing w:before="31"/>
              <w:ind w:left="50"/>
              <w:rPr>
                <w:sz w:val="18"/>
              </w:rPr>
            </w:pPr>
            <w:r>
              <w:rPr>
                <w:sz w:val="18"/>
              </w:rPr>
              <w:t>Other receivables</w:t>
            </w:r>
          </w:p>
        </w:tc>
        <w:tc>
          <w:tcPr>
            <w:tcW w:w="1128" w:type="dxa"/>
          </w:tcPr>
          <w:p w14:paraId="51D7D42A" w14:textId="77777777" w:rsidR="00FA4AA8" w:rsidRDefault="00FA4AA8">
            <w:pPr>
              <w:pStyle w:val="TableParagraph"/>
              <w:rPr>
                <w:b/>
                <w:sz w:val="20"/>
              </w:rPr>
            </w:pPr>
          </w:p>
          <w:p w14:paraId="5FF333BC" w14:textId="77777777" w:rsidR="00FA4AA8" w:rsidRDefault="0015611F">
            <w:pPr>
              <w:pStyle w:val="TableParagraph"/>
              <w:spacing w:before="180"/>
              <w:ind w:right="276"/>
              <w:jc w:val="right"/>
              <w:rPr>
                <w:b/>
                <w:sz w:val="18"/>
              </w:rPr>
            </w:pPr>
            <w:r>
              <w:rPr>
                <w:b/>
                <w:sz w:val="18"/>
              </w:rPr>
              <w:t>1,060</w:t>
            </w:r>
          </w:p>
        </w:tc>
        <w:tc>
          <w:tcPr>
            <w:tcW w:w="1380" w:type="dxa"/>
          </w:tcPr>
          <w:p w14:paraId="1014A365" w14:textId="77777777" w:rsidR="00FA4AA8" w:rsidRDefault="00FA4AA8">
            <w:pPr>
              <w:pStyle w:val="TableParagraph"/>
              <w:rPr>
                <w:b/>
                <w:sz w:val="20"/>
              </w:rPr>
            </w:pPr>
          </w:p>
          <w:p w14:paraId="02CD02FB" w14:textId="77777777" w:rsidR="00FA4AA8" w:rsidRDefault="0015611F">
            <w:pPr>
              <w:pStyle w:val="TableParagraph"/>
              <w:spacing w:before="180"/>
              <w:ind w:left="563"/>
              <w:rPr>
                <w:sz w:val="18"/>
              </w:rPr>
            </w:pPr>
            <w:r>
              <w:rPr>
                <w:sz w:val="18"/>
              </w:rPr>
              <w:t>3,004</w:t>
            </w:r>
          </w:p>
        </w:tc>
        <w:tc>
          <w:tcPr>
            <w:tcW w:w="1380" w:type="dxa"/>
          </w:tcPr>
          <w:p w14:paraId="0DF80DE2" w14:textId="77777777" w:rsidR="00FA4AA8" w:rsidRDefault="00FA4AA8">
            <w:pPr>
              <w:pStyle w:val="TableParagraph"/>
              <w:rPr>
                <w:b/>
                <w:sz w:val="20"/>
              </w:rPr>
            </w:pPr>
          </w:p>
          <w:p w14:paraId="00396183" w14:textId="77777777" w:rsidR="00FA4AA8" w:rsidRDefault="0015611F">
            <w:pPr>
              <w:pStyle w:val="TableParagraph"/>
              <w:spacing w:before="180"/>
              <w:ind w:right="276"/>
              <w:jc w:val="right"/>
              <w:rPr>
                <w:b/>
                <w:sz w:val="18"/>
              </w:rPr>
            </w:pPr>
            <w:r>
              <w:rPr>
                <w:b/>
                <w:sz w:val="18"/>
              </w:rPr>
              <w:t>1,060</w:t>
            </w:r>
          </w:p>
        </w:tc>
        <w:tc>
          <w:tcPr>
            <w:tcW w:w="1128" w:type="dxa"/>
          </w:tcPr>
          <w:p w14:paraId="345E90DE" w14:textId="77777777" w:rsidR="00FA4AA8" w:rsidRDefault="00FA4AA8">
            <w:pPr>
              <w:pStyle w:val="TableParagraph"/>
              <w:rPr>
                <w:b/>
                <w:sz w:val="20"/>
              </w:rPr>
            </w:pPr>
          </w:p>
          <w:p w14:paraId="2AE869EB" w14:textId="77777777" w:rsidR="00FA4AA8" w:rsidRDefault="0015611F">
            <w:pPr>
              <w:pStyle w:val="TableParagraph"/>
              <w:spacing w:before="180"/>
              <w:ind w:right="108"/>
              <w:jc w:val="right"/>
              <w:rPr>
                <w:sz w:val="18"/>
              </w:rPr>
            </w:pPr>
            <w:r>
              <w:rPr>
                <w:sz w:val="18"/>
              </w:rPr>
              <w:t>3,004</w:t>
            </w:r>
          </w:p>
        </w:tc>
      </w:tr>
      <w:tr w:rsidR="00FA4AA8" w14:paraId="496DBA02" w14:textId="77777777">
        <w:trPr>
          <w:trHeight w:val="264"/>
        </w:trPr>
        <w:tc>
          <w:tcPr>
            <w:tcW w:w="4543" w:type="dxa"/>
          </w:tcPr>
          <w:p w14:paraId="3B8941DC" w14:textId="77777777" w:rsidR="00FA4AA8" w:rsidRDefault="0015611F">
            <w:pPr>
              <w:pStyle w:val="TableParagraph"/>
              <w:spacing w:before="26"/>
              <w:ind w:left="50"/>
              <w:rPr>
                <w:sz w:val="18"/>
              </w:rPr>
            </w:pPr>
            <w:r>
              <w:rPr>
                <w:sz w:val="18"/>
              </w:rPr>
              <w:t>Construction in Progress</w:t>
            </w:r>
          </w:p>
        </w:tc>
        <w:tc>
          <w:tcPr>
            <w:tcW w:w="1128" w:type="dxa"/>
          </w:tcPr>
          <w:p w14:paraId="1BB05AAF" w14:textId="77777777" w:rsidR="00FA4AA8" w:rsidRDefault="0015611F">
            <w:pPr>
              <w:pStyle w:val="TableParagraph"/>
              <w:spacing w:before="24"/>
              <w:ind w:right="216"/>
              <w:jc w:val="right"/>
              <w:rPr>
                <w:b/>
                <w:sz w:val="18"/>
              </w:rPr>
            </w:pPr>
            <w:r>
              <w:rPr>
                <w:b/>
                <w:sz w:val="18"/>
              </w:rPr>
              <w:t>(2,844)</w:t>
            </w:r>
          </w:p>
        </w:tc>
        <w:tc>
          <w:tcPr>
            <w:tcW w:w="1380" w:type="dxa"/>
          </w:tcPr>
          <w:p w14:paraId="5793A32B" w14:textId="77777777" w:rsidR="00FA4AA8" w:rsidRDefault="0015611F">
            <w:pPr>
              <w:pStyle w:val="TableParagraph"/>
              <w:spacing w:before="24"/>
              <w:ind w:left="463"/>
              <w:rPr>
                <w:sz w:val="18"/>
              </w:rPr>
            </w:pPr>
            <w:r>
              <w:rPr>
                <w:sz w:val="18"/>
              </w:rPr>
              <w:t>12,862</w:t>
            </w:r>
          </w:p>
        </w:tc>
        <w:tc>
          <w:tcPr>
            <w:tcW w:w="1380" w:type="dxa"/>
          </w:tcPr>
          <w:p w14:paraId="55E7A048" w14:textId="77777777" w:rsidR="00FA4AA8" w:rsidRDefault="0015611F">
            <w:pPr>
              <w:pStyle w:val="TableParagraph"/>
              <w:spacing w:before="24"/>
              <w:ind w:right="216"/>
              <w:jc w:val="right"/>
              <w:rPr>
                <w:b/>
                <w:sz w:val="18"/>
              </w:rPr>
            </w:pPr>
            <w:r>
              <w:rPr>
                <w:b/>
                <w:sz w:val="18"/>
              </w:rPr>
              <w:t>(2,844)</w:t>
            </w:r>
          </w:p>
        </w:tc>
        <w:tc>
          <w:tcPr>
            <w:tcW w:w="1128" w:type="dxa"/>
          </w:tcPr>
          <w:p w14:paraId="31FCC712" w14:textId="77777777" w:rsidR="00FA4AA8" w:rsidRDefault="0015611F">
            <w:pPr>
              <w:pStyle w:val="TableParagraph"/>
              <w:spacing w:before="24"/>
              <w:ind w:left="463"/>
              <w:rPr>
                <w:sz w:val="18"/>
              </w:rPr>
            </w:pPr>
            <w:r>
              <w:rPr>
                <w:sz w:val="18"/>
              </w:rPr>
              <w:t>12,862</w:t>
            </w:r>
          </w:p>
        </w:tc>
      </w:tr>
      <w:tr w:rsidR="00FA4AA8" w14:paraId="502AA42C" w14:textId="77777777">
        <w:trPr>
          <w:trHeight w:val="263"/>
        </w:trPr>
        <w:tc>
          <w:tcPr>
            <w:tcW w:w="4543" w:type="dxa"/>
          </w:tcPr>
          <w:p w14:paraId="1185A89C" w14:textId="77777777" w:rsidR="00FA4AA8" w:rsidRDefault="0015611F">
            <w:pPr>
              <w:pStyle w:val="TableParagraph"/>
              <w:spacing w:before="26"/>
              <w:ind w:left="50"/>
              <w:rPr>
                <w:sz w:val="18"/>
              </w:rPr>
            </w:pPr>
            <w:r>
              <w:rPr>
                <w:sz w:val="18"/>
              </w:rPr>
              <w:t>Deferred income</w:t>
            </w:r>
          </w:p>
        </w:tc>
        <w:tc>
          <w:tcPr>
            <w:tcW w:w="1128" w:type="dxa"/>
          </w:tcPr>
          <w:p w14:paraId="4FA21FE5" w14:textId="77777777" w:rsidR="00FA4AA8" w:rsidRDefault="0015611F">
            <w:pPr>
              <w:pStyle w:val="TableParagraph"/>
              <w:spacing w:before="24"/>
              <w:ind w:right="276"/>
              <w:jc w:val="right"/>
              <w:rPr>
                <w:b/>
                <w:sz w:val="18"/>
              </w:rPr>
            </w:pPr>
            <w:r>
              <w:rPr>
                <w:b/>
                <w:sz w:val="18"/>
              </w:rPr>
              <w:t>-</w:t>
            </w:r>
          </w:p>
        </w:tc>
        <w:tc>
          <w:tcPr>
            <w:tcW w:w="1380" w:type="dxa"/>
          </w:tcPr>
          <w:p w14:paraId="19AE6903" w14:textId="77777777" w:rsidR="00FA4AA8" w:rsidRDefault="0015611F">
            <w:pPr>
              <w:pStyle w:val="TableParagraph"/>
              <w:spacing w:before="24"/>
              <w:ind w:right="300"/>
              <w:jc w:val="right"/>
              <w:rPr>
                <w:sz w:val="18"/>
              </w:rPr>
            </w:pPr>
            <w:r>
              <w:rPr>
                <w:sz w:val="18"/>
              </w:rPr>
              <w:t>(400)</w:t>
            </w:r>
          </w:p>
        </w:tc>
        <w:tc>
          <w:tcPr>
            <w:tcW w:w="1380" w:type="dxa"/>
          </w:tcPr>
          <w:p w14:paraId="52FF633E" w14:textId="77777777" w:rsidR="00FA4AA8" w:rsidRDefault="0015611F">
            <w:pPr>
              <w:pStyle w:val="TableParagraph"/>
              <w:spacing w:before="24"/>
              <w:ind w:right="276"/>
              <w:jc w:val="right"/>
              <w:rPr>
                <w:b/>
                <w:sz w:val="18"/>
              </w:rPr>
            </w:pPr>
            <w:r>
              <w:rPr>
                <w:b/>
                <w:sz w:val="18"/>
              </w:rPr>
              <w:t>-</w:t>
            </w:r>
          </w:p>
        </w:tc>
        <w:tc>
          <w:tcPr>
            <w:tcW w:w="1128" w:type="dxa"/>
          </w:tcPr>
          <w:p w14:paraId="2A8F227B" w14:textId="77777777" w:rsidR="00FA4AA8" w:rsidRDefault="0015611F">
            <w:pPr>
              <w:pStyle w:val="TableParagraph"/>
              <w:spacing w:before="24"/>
              <w:ind w:right="48"/>
              <w:jc w:val="right"/>
              <w:rPr>
                <w:sz w:val="18"/>
              </w:rPr>
            </w:pPr>
            <w:r>
              <w:rPr>
                <w:sz w:val="18"/>
              </w:rPr>
              <w:t>(400)</w:t>
            </w:r>
          </w:p>
        </w:tc>
      </w:tr>
      <w:tr w:rsidR="00FA4AA8" w14:paraId="6F704ABA" w14:textId="77777777">
        <w:trPr>
          <w:trHeight w:val="306"/>
        </w:trPr>
        <w:tc>
          <w:tcPr>
            <w:tcW w:w="4543" w:type="dxa"/>
          </w:tcPr>
          <w:p w14:paraId="0EE8FD82" w14:textId="77777777" w:rsidR="00FA4AA8" w:rsidRDefault="0015611F">
            <w:pPr>
              <w:pStyle w:val="TableParagraph"/>
              <w:spacing w:before="26"/>
              <w:ind w:left="50"/>
              <w:rPr>
                <w:sz w:val="18"/>
              </w:rPr>
            </w:pPr>
            <w:r>
              <w:rPr>
                <w:sz w:val="18"/>
              </w:rPr>
              <w:t>Trade and other payables</w:t>
            </w:r>
          </w:p>
        </w:tc>
        <w:tc>
          <w:tcPr>
            <w:tcW w:w="1128" w:type="dxa"/>
          </w:tcPr>
          <w:p w14:paraId="1B522FAF" w14:textId="77777777" w:rsidR="00FA4AA8" w:rsidRDefault="0015611F">
            <w:pPr>
              <w:pStyle w:val="TableParagraph"/>
              <w:spacing w:before="24"/>
              <w:ind w:right="216"/>
              <w:jc w:val="right"/>
              <w:rPr>
                <w:b/>
                <w:sz w:val="18"/>
              </w:rPr>
            </w:pPr>
            <w:r>
              <w:rPr>
                <w:b/>
                <w:sz w:val="18"/>
              </w:rPr>
              <w:t>(1,175)</w:t>
            </w:r>
          </w:p>
        </w:tc>
        <w:tc>
          <w:tcPr>
            <w:tcW w:w="1380" w:type="dxa"/>
          </w:tcPr>
          <w:p w14:paraId="3AFBFCAE" w14:textId="77777777" w:rsidR="00FA4AA8" w:rsidRDefault="0015611F">
            <w:pPr>
              <w:pStyle w:val="TableParagraph"/>
              <w:spacing w:before="24"/>
              <w:ind w:right="300"/>
              <w:jc w:val="right"/>
              <w:rPr>
                <w:sz w:val="18"/>
              </w:rPr>
            </w:pPr>
            <w:r>
              <w:rPr>
                <w:sz w:val="18"/>
              </w:rPr>
              <w:t>(1,412)</w:t>
            </w:r>
          </w:p>
        </w:tc>
        <w:tc>
          <w:tcPr>
            <w:tcW w:w="1380" w:type="dxa"/>
          </w:tcPr>
          <w:p w14:paraId="70196A36" w14:textId="77777777" w:rsidR="00FA4AA8" w:rsidRDefault="0015611F">
            <w:pPr>
              <w:pStyle w:val="TableParagraph"/>
              <w:spacing w:before="24"/>
              <w:ind w:right="216"/>
              <w:jc w:val="right"/>
              <w:rPr>
                <w:b/>
                <w:sz w:val="18"/>
              </w:rPr>
            </w:pPr>
            <w:r>
              <w:rPr>
                <w:b/>
                <w:sz w:val="18"/>
              </w:rPr>
              <w:t>(1,175)</w:t>
            </w:r>
          </w:p>
        </w:tc>
        <w:tc>
          <w:tcPr>
            <w:tcW w:w="1128" w:type="dxa"/>
          </w:tcPr>
          <w:p w14:paraId="1A0C9301" w14:textId="77777777" w:rsidR="00FA4AA8" w:rsidRDefault="0015611F">
            <w:pPr>
              <w:pStyle w:val="TableParagraph"/>
              <w:spacing w:before="24"/>
              <w:ind w:right="48"/>
              <w:jc w:val="right"/>
              <w:rPr>
                <w:sz w:val="18"/>
              </w:rPr>
            </w:pPr>
            <w:r>
              <w:rPr>
                <w:sz w:val="18"/>
              </w:rPr>
              <w:t>(1,412)</w:t>
            </w:r>
          </w:p>
        </w:tc>
      </w:tr>
      <w:tr w:rsidR="00FA4AA8" w14:paraId="4FFFFE69" w14:textId="77777777">
        <w:trPr>
          <w:trHeight w:val="541"/>
        </w:trPr>
        <w:tc>
          <w:tcPr>
            <w:tcW w:w="4543" w:type="dxa"/>
          </w:tcPr>
          <w:p w14:paraId="41EFB8B5" w14:textId="77777777" w:rsidR="00FA4AA8" w:rsidRDefault="0015611F">
            <w:pPr>
              <w:pStyle w:val="TableParagraph"/>
              <w:spacing w:before="66"/>
              <w:ind w:left="50"/>
              <w:rPr>
                <w:b/>
                <w:sz w:val="18"/>
              </w:rPr>
            </w:pPr>
            <w:r>
              <w:rPr>
                <w:b/>
                <w:sz w:val="18"/>
              </w:rPr>
              <w:t>Statement of Comprehensive Income</w:t>
            </w:r>
          </w:p>
          <w:p w14:paraId="248DCA67" w14:textId="77777777" w:rsidR="00FA4AA8" w:rsidRDefault="0015611F">
            <w:pPr>
              <w:pStyle w:val="TableParagraph"/>
              <w:spacing w:before="31"/>
              <w:ind w:left="50"/>
              <w:rPr>
                <w:sz w:val="18"/>
              </w:rPr>
            </w:pPr>
            <w:r>
              <w:rPr>
                <w:sz w:val="18"/>
              </w:rPr>
              <w:t>Proceeds from sale of assets</w:t>
            </w:r>
          </w:p>
        </w:tc>
        <w:tc>
          <w:tcPr>
            <w:tcW w:w="1128" w:type="dxa"/>
          </w:tcPr>
          <w:p w14:paraId="6E9A924E" w14:textId="77777777" w:rsidR="00FA4AA8" w:rsidRDefault="00FA4AA8">
            <w:pPr>
              <w:pStyle w:val="TableParagraph"/>
              <w:spacing w:before="2"/>
              <w:rPr>
                <w:b/>
                <w:sz w:val="26"/>
              </w:rPr>
            </w:pPr>
          </w:p>
          <w:p w14:paraId="3AEB9FB7" w14:textId="77777777" w:rsidR="00FA4AA8" w:rsidRDefault="0015611F">
            <w:pPr>
              <w:pStyle w:val="TableParagraph"/>
              <w:ind w:right="276"/>
              <w:jc w:val="right"/>
              <w:rPr>
                <w:b/>
                <w:sz w:val="18"/>
              </w:rPr>
            </w:pPr>
            <w:r>
              <w:rPr>
                <w:b/>
                <w:sz w:val="18"/>
              </w:rPr>
              <w:t>48,258</w:t>
            </w:r>
          </w:p>
        </w:tc>
        <w:tc>
          <w:tcPr>
            <w:tcW w:w="1380" w:type="dxa"/>
          </w:tcPr>
          <w:p w14:paraId="7C5B002D" w14:textId="77777777" w:rsidR="00FA4AA8" w:rsidRDefault="00FA4AA8">
            <w:pPr>
              <w:pStyle w:val="TableParagraph"/>
              <w:spacing w:before="2"/>
              <w:rPr>
                <w:b/>
                <w:sz w:val="26"/>
              </w:rPr>
            </w:pPr>
          </w:p>
          <w:p w14:paraId="4A22B03D" w14:textId="77777777" w:rsidR="00FA4AA8" w:rsidRDefault="0015611F">
            <w:pPr>
              <w:pStyle w:val="TableParagraph"/>
              <w:ind w:left="463"/>
              <w:rPr>
                <w:sz w:val="18"/>
              </w:rPr>
            </w:pPr>
            <w:r>
              <w:rPr>
                <w:sz w:val="18"/>
              </w:rPr>
              <w:t>16,775</w:t>
            </w:r>
          </w:p>
        </w:tc>
        <w:tc>
          <w:tcPr>
            <w:tcW w:w="1380" w:type="dxa"/>
          </w:tcPr>
          <w:p w14:paraId="2FCFF199" w14:textId="77777777" w:rsidR="00FA4AA8" w:rsidRDefault="00FA4AA8">
            <w:pPr>
              <w:pStyle w:val="TableParagraph"/>
              <w:spacing w:before="2"/>
              <w:rPr>
                <w:b/>
                <w:sz w:val="26"/>
              </w:rPr>
            </w:pPr>
          </w:p>
          <w:p w14:paraId="57744177" w14:textId="77777777" w:rsidR="00FA4AA8" w:rsidRDefault="0015611F">
            <w:pPr>
              <w:pStyle w:val="TableParagraph"/>
              <w:ind w:right="276"/>
              <w:jc w:val="right"/>
              <w:rPr>
                <w:b/>
                <w:sz w:val="18"/>
              </w:rPr>
            </w:pPr>
            <w:r>
              <w:rPr>
                <w:b/>
                <w:sz w:val="18"/>
              </w:rPr>
              <w:t>48,258</w:t>
            </w:r>
          </w:p>
        </w:tc>
        <w:tc>
          <w:tcPr>
            <w:tcW w:w="1128" w:type="dxa"/>
          </w:tcPr>
          <w:p w14:paraId="220045A1" w14:textId="77777777" w:rsidR="00FA4AA8" w:rsidRDefault="00FA4AA8">
            <w:pPr>
              <w:pStyle w:val="TableParagraph"/>
              <w:spacing w:before="2"/>
              <w:rPr>
                <w:b/>
                <w:sz w:val="26"/>
              </w:rPr>
            </w:pPr>
          </w:p>
          <w:p w14:paraId="7F7BEB54" w14:textId="77777777" w:rsidR="00FA4AA8" w:rsidRDefault="0015611F">
            <w:pPr>
              <w:pStyle w:val="TableParagraph"/>
              <w:ind w:left="463"/>
              <w:rPr>
                <w:sz w:val="18"/>
              </w:rPr>
            </w:pPr>
            <w:r>
              <w:rPr>
                <w:sz w:val="18"/>
              </w:rPr>
              <w:t>16,775</w:t>
            </w:r>
          </w:p>
        </w:tc>
      </w:tr>
      <w:tr w:rsidR="00FA4AA8" w14:paraId="4D523434" w14:textId="77777777">
        <w:trPr>
          <w:trHeight w:val="263"/>
        </w:trPr>
        <w:tc>
          <w:tcPr>
            <w:tcW w:w="4543" w:type="dxa"/>
          </w:tcPr>
          <w:p w14:paraId="2ACFD697" w14:textId="77777777" w:rsidR="00FA4AA8" w:rsidRDefault="0015611F">
            <w:pPr>
              <w:pStyle w:val="TableParagraph"/>
              <w:spacing w:before="26"/>
              <w:ind w:left="50"/>
              <w:rPr>
                <w:sz w:val="18"/>
              </w:rPr>
            </w:pPr>
            <w:r>
              <w:rPr>
                <w:sz w:val="18"/>
              </w:rPr>
              <w:t>Carrying amount of assets sold</w:t>
            </w:r>
          </w:p>
        </w:tc>
        <w:tc>
          <w:tcPr>
            <w:tcW w:w="1128" w:type="dxa"/>
          </w:tcPr>
          <w:p w14:paraId="02682D89" w14:textId="77777777" w:rsidR="00FA4AA8" w:rsidRDefault="0015611F">
            <w:pPr>
              <w:pStyle w:val="TableParagraph"/>
              <w:spacing w:before="24"/>
              <w:ind w:right="216"/>
              <w:jc w:val="right"/>
              <w:rPr>
                <w:b/>
                <w:sz w:val="18"/>
              </w:rPr>
            </w:pPr>
            <w:r>
              <w:rPr>
                <w:b/>
                <w:sz w:val="18"/>
              </w:rPr>
              <w:t>(21,410)</w:t>
            </w:r>
          </w:p>
        </w:tc>
        <w:tc>
          <w:tcPr>
            <w:tcW w:w="1380" w:type="dxa"/>
          </w:tcPr>
          <w:p w14:paraId="71A7899A" w14:textId="77777777" w:rsidR="00FA4AA8" w:rsidRDefault="0015611F">
            <w:pPr>
              <w:pStyle w:val="TableParagraph"/>
              <w:spacing w:before="24"/>
              <w:ind w:right="300"/>
              <w:jc w:val="right"/>
              <w:rPr>
                <w:sz w:val="18"/>
              </w:rPr>
            </w:pPr>
            <w:r>
              <w:rPr>
                <w:sz w:val="18"/>
              </w:rPr>
              <w:t>(6,803)</w:t>
            </w:r>
          </w:p>
        </w:tc>
        <w:tc>
          <w:tcPr>
            <w:tcW w:w="1380" w:type="dxa"/>
          </w:tcPr>
          <w:p w14:paraId="4356D8ED" w14:textId="77777777" w:rsidR="00FA4AA8" w:rsidRDefault="0015611F">
            <w:pPr>
              <w:pStyle w:val="TableParagraph"/>
              <w:spacing w:before="24"/>
              <w:ind w:right="216"/>
              <w:jc w:val="right"/>
              <w:rPr>
                <w:b/>
                <w:sz w:val="18"/>
              </w:rPr>
            </w:pPr>
            <w:r>
              <w:rPr>
                <w:b/>
                <w:sz w:val="18"/>
              </w:rPr>
              <w:t>(21,410)</w:t>
            </w:r>
          </w:p>
        </w:tc>
        <w:tc>
          <w:tcPr>
            <w:tcW w:w="1128" w:type="dxa"/>
          </w:tcPr>
          <w:p w14:paraId="75CCCFF1" w14:textId="77777777" w:rsidR="00FA4AA8" w:rsidRDefault="0015611F">
            <w:pPr>
              <w:pStyle w:val="TableParagraph"/>
              <w:spacing w:before="24"/>
              <w:ind w:right="48"/>
              <w:jc w:val="right"/>
              <w:rPr>
                <w:sz w:val="18"/>
              </w:rPr>
            </w:pPr>
            <w:r>
              <w:rPr>
                <w:sz w:val="18"/>
              </w:rPr>
              <w:t>(6,803)</w:t>
            </w:r>
          </w:p>
        </w:tc>
      </w:tr>
      <w:tr w:rsidR="00FA4AA8" w14:paraId="3DA9460F" w14:textId="77777777">
        <w:trPr>
          <w:trHeight w:val="263"/>
        </w:trPr>
        <w:tc>
          <w:tcPr>
            <w:tcW w:w="4543" w:type="dxa"/>
          </w:tcPr>
          <w:p w14:paraId="65A99F35" w14:textId="77777777" w:rsidR="00FA4AA8" w:rsidRDefault="0015611F">
            <w:pPr>
              <w:pStyle w:val="TableParagraph"/>
              <w:spacing w:before="26"/>
              <w:ind w:left="50"/>
              <w:rPr>
                <w:sz w:val="18"/>
              </w:rPr>
            </w:pPr>
            <w:r>
              <w:rPr>
                <w:sz w:val="18"/>
              </w:rPr>
              <w:t xml:space="preserve">Gain on </w:t>
            </w:r>
            <w:r w:rsidR="00733831">
              <w:rPr>
                <w:sz w:val="18"/>
              </w:rPr>
              <w:t>disposal</w:t>
            </w:r>
            <w:r>
              <w:rPr>
                <w:sz w:val="18"/>
              </w:rPr>
              <w:t xml:space="preserve"> of assets</w:t>
            </w:r>
          </w:p>
        </w:tc>
        <w:tc>
          <w:tcPr>
            <w:tcW w:w="1128" w:type="dxa"/>
          </w:tcPr>
          <w:p w14:paraId="374D98CF" w14:textId="77777777" w:rsidR="00FA4AA8" w:rsidRDefault="0015611F">
            <w:pPr>
              <w:pStyle w:val="TableParagraph"/>
              <w:spacing w:before="24"/>
              <w:ind w:right="276"/>
              <w:jc w:val="right"/>
              <w:rPr>
                <w:b/>
                <w:sz w:val="18"/>
              </w:rPr>
            </w:pPr>
            <w:r>
              <w:rPr>
                <w:b/>
                <w:sz w:val="18"/>
              </w:rPr>
              <w:t>26,847</w:t>
            </w:r>
          </w:p>
        </w:tc>
        <w:tc>
          <w:tcPr>
            <w:tcW w:w="1380" w:type="dxa"/>
          </w:tcPr>
          <w:p w14:paraId="36EC0DE6" w14:textId="77777777" w:rsidR="00FA4AA8" w:rsidRDefault="0015611F">
            <w:pPr>
              <w:pStyle w:val="TableParagraph"/>
              <w:spacing w:before="24"/>
              <w:ind w:left="563"/>
              <w:rPr>
                <w:sz w:val="18"/>
              </w:rPr>
            </w:pPr>
            <w:r>
              <w:rPr>
                <w:sz w:val="18"/>
              </w:rPr>
              <w:t>9,976</w:t>
            </w:r>
          </w:p>
        </w:tc>
        <w:tc>
          <w:tcPr>
            <w:tcW w:w="1380" w:type="dxa"/>
          </w:tcPr>
          <w:p w14:paraId="18DDFC16" w14:textId="77777777" w:rsidR="00FA4AA8" w:rsidRDefault="0015611F">
            <w:pPr>
              <w:pStyle w:val="TableParagraph"/>
              <w:spacing w:before="24"/>
              <w:ind w:right="276"/>
              <w:jc w:val="right"/>
              <w:rPr>
                <w:b/>
                <w:sz w:val="18"/>
              </w:rPr>
            </w:pPr>
            <w:r>
              <w:rPr>
                <w:b/>
                <w:sz w:val="18"/>
              </w:rPr>
              <w:t>26,847</w:t>
            </w:r>
          </w:p>
        </w:tc>
        <w:tc>
          <w:tcPr>
            <w:tcW w:w="1128" w:type="dxa"/>
          </w:tcPr>
          <w:p w14:paraId="171C8F11" w14:textId="77777777" w:rsidR="00FA4AA8" w:rsidRDefault="0015611F">
            <w:pPr>
              <w:pStyle w:val="TableParagraph"/>
              <w:spacing w:before="24"/>
              <w:ind w:right="108"/>
              <w:jc w:val="right"/>
              <w:rPr>
                <w:sz w:val="18"/>
              </w:rPr>
            </w:pPr>
            <w:r>
              <w:rPr>
                <w:sz w:val="18"/>
              </w:rPr>
              <w:t>9,976</w:t>
            </w:r>
          </w:p>
        </w:tc>
      </w:tr>
      <w:tr w:rsidR="00FA4AA8" w14:paraId="15421290" w14:textId="77777777">
        <w:trPr>
          <w:trHeight w:val="263"/>
        </w:trPr>
        <w:tc>
          <w:tcPr>
            <w:tcW w:w="4543" w:type="dxa"/>
          </w:tcPr>
          <w:p w14:paraId="21F180D9" w14:textId="77777777" w:rsidR="00FA4AA8" w:rsidRDefault="0015611F">
            <w:pPr>
              <w:pStyle w:val="TableParagraph"/>
              <w:spacing w:before="26"/>
              <w:ind w:left="50"/>
              <w:rPr>
                <w:sz w:val="18"/>
              </w:rPr>
            </w:pPr>
            <w:r>
              <w:rPr>
                <w:sz w:val="18"/>
              </w:rPr>
              <w:t>Other expenses</w:t>
            </w:r>
          </w:p>
        </w:tc>
        <w:tc>
          <w:tcPr>
            <w:tcW w:w="1128" w:type="dxa"/>
          </w:tcPr>
          <w:p w14:paraId="48E8BEAD" w14:textId="77777777" w:rsidR="00FA4AA8" w:rsidRDefault="0015611F">
            <w:pPr>
              <w:pStyle w:val="TableParagraph"/>
              <w:spacing w:before="24"/>
              <w:ind w:right="216"/>
              <w:jc w:val="right"/>
              <w:rPr>
                <w:b/>
                <w:sz w:val="18"/>
              </w:rPr>
            </w:pPr>
            <w:r>
              <w:rPr>
                <w:b/>
                <w:sz w:val="18"/>
              </w:rPr>
              <w:t>(949)</w:t>
            </w:r>
          </w:p>
        </w:tc>
        <w:tc>
          <w:tcPr>
            <w:tcW w:w="1380" w:type="dxa"/>
          </w:tcPr>
          <w:p w14:paraId="23E7D561" w14:textId="77777777" w:rsidR="00FA4AA8" w:rsidRDefault="0015611F">
            <w:pPr>
              <w:pStyle w:val="TableParagraph"/>
              <w:spacing w:before="24"/>
              <w:ind w:right="300"/>
              <w:jc w:val="right"/>
              <w:rPr>
                <w:sz w:val="18"/>
              </w:rPr>
            </w:pPr>
            <w:r>
              <w:rPr>
                <w:sz w:val="18"/>
              </w:rPr>
              <w:t>(331)</w:t>
            </w:r>
          </w:p>
        </w:tc>
        <w:tc>
          <w:tcPr>
            <w:tcW w:w="1380" w:type="dxa"/>
          </w:tcPr>
          <w:p w14:paraId="0FF1BE9C" w14:textId="77777777" w:rsidR="00FA4AA8" w:rsidRDefault="0015611F">
            <w:pPr>
              <w:pStyle w:val="TableParagraph"/>
              <w:spacing w:before="24"/>
              <w:ind w:right="216"/>
              <w:jc w:val="right"/>
              <w:rPr>
                <w:b/>
                <w:sz w:val="18"/>
              </w:rPr>
            </w:pPr>
            <w:r>
              <w:rPr>
                <w:b/>
                <w:sz w:val="18"/>
              </w:rPr>
              <w:t>(949)</w:t>
            </w:r>
          </w:p>
        </w:tc>
        <w:tc>
          <w:tcPr>
            <w:tcW w:w="1128" w:type="dxa"/>
          </w:tcPr>
          <w:p w14:paraId="482A2E61" w14:textId="77777777" w:rsidR="00FA4AA8" w:rsidRDefault="0015611F">
            <w:pPr>
              <w:pStyle w:val="TableParagraph"/>
              <w:spacing w:before="24"/>
              <w:ind w:right="48"/>
              <w:jc w:val="right"/>
              <w:rPr>
                <w:sz w:val="18"/>
              </w:rPr>
            </w:pPr>
            <w:r>
              <w:rPr>
                <w:sz w:val="18"/>
              </w:rPr>
              <w:t>(331)</w:t>
            </w:r>
          </w:p>
        </w:tc>
      </w:tr>
      <w:tr w:rsidR="00FA4AA8" w14:paraId="0544D7A8" w14:textId="77777777">
        <w:trPr>
          <w:trHeight w:val="233"/>
        </w:trPr>
        <w:tc>
          <w:tcPr>
            <w:tcW w:w="4543" w:type="dxa"/>
          </w:tcPr>
          <w:p w14:paraId="22CED131" w14:textId="77777777" w:rsidR="00FA4AA8" w:rsidRDefault="0015611F">
            <w:pPr>
              <w:pStyle w:val="TableParagraph"/>
              <w:spacing w:before="26" w:line="187" w:lineRule="exact"/>
              <w:ind w:left="50"/>
              <w:rPr>
                <w:sz w:val="18"/>
              </w:rPr>
            </w:pPr>
            <w:r>
              <w:rPr>
                <w:sz w:val="18"/>
              </w:rPr>
              <w:t>Interest revenue</w:t>
            </w:r>
          </w:p>
        </w:tc>
        <w:tc>
          <w:tcPr>
            <w:tcW w:w="1128" w:type="dxa"/>
          </w:tcPr>
          <w:p w14:paraId="733C0516" w14:textId="77777777" w:rsidR="00FA4AA8" w:rsidRDefault="0015611F">
            <w:pPr>
              <w:pStyle w:val="TableParagraph"/>
              <w:spacing w:before="24" w:line="189" w:lineRule="exact"/>
              <w:ind w:right="276"/>
              <w:jc w:val="right"/>
              <w:rPr>
                <w:b/>
                <w:sz w:val="18"/>
              </w:rPr>
            </w:pPr>
            <w:r>
              <w:rPr>
                <w:b/>
                <w:sz w:val="18"/>
              </w:rPr>
              <w:t>81</w:t>
            </w:r>
          </w:p>
        </w:tc>
        <w:tc>
          <w:tcPr>
            <w:tcW w:w="1380" w:type="dxa"/>
          </w:tcPr>
          <w:p w14:paraId="609C1759" w14:textId="77777777" w:rsidR="00FA4AA8" w:rsidRDefault="0015611F">
            <w:pPr>
              <w:pStyle w:val="TableParagraph"/>
              <w:spacing w:before="24" w:line="189" w:lineRule="exact"/>
              <w:ind w:right="360"/>
              <w:jc w:val="right"/>
              <w:rPr>
                <w:sz w:val="18"/>
              </w:rPr>
            </w:pPr>
            <w:r>
              <w:rPr>
                <w:sz w:val="18"/>
              </w:rPr>
              <w:t>27</w:t>
            </w:r>
          </w:p>
        </w:tc>
        <w:tc>
          <w:tcPr>
            <w:tcW w:w="1380" w:type="dxa"/>
          </w:tcPr>
          <w:p w14:paraId="5F38A2FF" w14:textId="77777777" w:rsidR="00FA4AA8" w:rsidRDefault="0015611F">
            <w:pPr>
              <w:pStyle w:val="TableParagraph"/>
              <w:spacing w:before="24" w:line="189" w:lineRule="exact"/>
              <w:ind w:right="276"/>
              <w:jc w:val="right"/>
              <w:rPr>
                <w:b/>
                <w:sz w:val="18"/>
              </w:rPr>
            </w:pPr>
            <w:r>
              <w:rPr>
                <w:b/>
                <w:sz w:val="18"/>
              </w:rPr>
              <w:t>81</w:t>
            </w:r>
          </w:p>
        </w:tc>
        <w:tc>
          <w:tcPr>
            <w:tcW w:w="1128" w:type="dxa"/>
          </w:tcPr>
          <w:p w14:paraId="1AD1FF88" w14:textId="77777777" w:rsidR="00FA4AA8" w:rsidRDefault="0015611F">
            <w:pPr>
              <w:pStyle w:val="TableParagraph"/>
              <w:spacing w:before="24" w:line="189" w:lineRule="exact"/>
              <w:ind w:right="108"/>
              <w:jc w:val="right"/>
              <w:rPr>
                <w:sz w:val="18"/>
              </w:rPr>
            </w:pPr>
            <w:r>
              <w:rPr>
                <w:sz w:val="18"/>
              </w:rPr>
              <w:t>27</w:t>
            </w:r>
          </w:p>
        </w:tc>
      </w:tr>
    </w:tbl>
    <w:p w14:paraId="3D11F3F1" w14:textId="77777777" w:rsidR="00FA4AA8" w:rsidRDefault="00FA4AA8">
      <w:pPr>
        <w:pStyle w:val="BodyText"/>
        <w:rPr>
          <w:b/>
          <w:sz w:val="20"/>
        </w:rPr>
      </w:pPr>
    </w:p>
    <w:p w14:paraId="74C828F5" w14:textId="77777777" w:rsidR="00FA4AA8" w:rsidRDefault="0015611F">
      <w:pPr>
        <w:spacing w:before="122"/>
        <w:ind w:left="504"/>
        <w:rPr>
          <w:i/>
          <w:sz w:val="18"/>
        </w:rPr>
      </w:pPr>
      <w:r>
        <w:rPr>
          <w:i/>
          <w:sz w:val="18"/>
          <w:u w:val="single"/>
        </w:rPr>
        <w:t>Accounting Policy</w:t>
      </w:r>
    </w:p>
    <w:p w14:paraId="3DD838FD" w14:textId="77777777" w:rsidR="00FA4AA8" w:rsidRDefault="0015611F">
      <w:pPr>
        <w:pStyle w:val="BodyText"/>
        <w:spacing w:before="146"/>
        <w:ind w:left="504" w:right="338"/>
      </w:pPr>
      <w:r>
        <w:t>Cost of goods sold has been calculated on a percentage of completion basis, taking into account lot area sold and total costs to completion of the development.</w:t>
      </w:r>
    </w:p>
    <w:p w14:paraId="2B0F10A9" w14:textId="77777777" w:rsidR="00FA4AA8" w:rsidRDefault="00FA4AA8">
      <w:pPr>
        <w:sectPr w:rsidR="00FA4AA8">
          <w:type w:val="continuous"/>
          <w:pgSz w:w="11910" w:h="16840"/>
          <w:pgMar w:top="20" w:right="860" w:bottom="0" w:left="900" w:header="720" w:footer="720" w:gutter="0"/>
          <w:cols w:space="720"/>
        </w:sectPr>
      </w:pPr>
    </w:p>
    <w:p w14:paraId="7BFEF98F" w14:textId="77777777" w:rsidR="00FA4AA8" w:rsidRDefault="00FA4AA8">
      <w:pPr>
        <w:pStyle w:val="BodyText"/>
        <w:rPr>
          <w:sz w:val="20"/>
        </w:rPr>
      </w:pPr>
    </w:p>
    <w:p w14:paraId="7FB8DECD" w14:textId="77777777" w:rsidR="00FA4AA8" w:rsidRDefault="00FA4AA8">
      <w:pPr>
        <w:pStyle w:val="BodyText"/>
        <w:spacing w:before="10"/>
        <w:rPr>
          <w:sz w:val="29"/>
        </w:rPr>
      </w:pPr>
    </w:p>
    <w:p w14:paraId="7248686A" w14:textId="77777777" w:rsidR="00FA4AA8" w:rsidRDefault="0015611F">
      <w:pPr>
        <w:numPr>
          <w:ilvl w:val="0"/>
          <w:numId w:val="77"/>
        </w:numPr>
        <w:tabs>
          <w:tab w:val="left" w:pos="504"/>
        </w:tabs>
        <w:spacing w:before="94"/>
        <w:ind w:hanging="397"/>
        <w:rPr>
          <w:b/>
          <w:sz w:val="18"/>
        </w:rPr>
      </w:pPr>
      <w:bookmarkStart w:id="83" w:name="36_Reconciliation_of_Net_Result_after_in"/>
      <w:bookmarkEnd w:id="83"/>
      <w:r>
        <w:rPr>
          <w:b/>
          <w:sz w:val="18"/>
        </w:rPr>
        <w:t>Reconciliation of Net Result after income tax to net cash provided by / (used in) operating</w:t>
      </w:r>
      <w:r>
        <w:rPr>
          <w:b/>
          <w:spacing w:val="-8"/>
          <w:sz w:val="18"/>
        </w:rPr>
        <w:t xml:space="preserve"> </w:t>
      </w:r>
      <w:r>
        <w:rPr>
          <w:b/>
          <w:sz w:val="18"/>
        </w:rPr>
        <w:t>activities</w:t>
      </w:r>
    </w:p>
    <w:p w14:paraId="5EDA93C8" w14:textId="77777777" w:rsidR="00FA4AA8" w:rsidRDefault="00FA4AA8">
      <w:pPr>
        <w:pStyle w:val="BodyText"/>
        <w:rPr>
          <w:b/>
          <w:sz w:val="20"/>
        </w:rPr>
      </w:pPr>
    </w:p>
    <w:p w14:paraId="02644171" w14:textId="77777777" w:rsidR="00FA4AA8" w:rsidRDefault="00FA4AA8">
      <w:pPr>
        <w:pStyle w:val="BodyText"/>
        <w:spacing w:before="10"/>
        <w:rPr>
          <w:b/>
          <w:sz w:val="25"/>
        </w:rPr>
      </w:pPr>
    </w:p>
    <w:p w14:paraId="5B2F4119" w14:textId="77777777" w:rsidR="00FA4AA8" w:rsidRDefault="0015611F">
      <w:pPr>
        <w:tabs>
          <w:tab w:val="left" w:pos="8517"/>
        </w:tabs>
        <w:ind w:left="5793"/>
        <w:rPr>
          <w:b/>
          <w:sz w:val="18"/>
        </w:rPr>
      </w:pPr>
      <w:r>
        <w:rPr>
          <w:b/>
          <w:sz w:val="18"/>
        </w:rPr>
        <w:t>Consolidated</w:t>
      </w:r>
      <w:r>
        <w:rPr>
          <w:b/>
          <w:sz w:val="18"/>
        </w:rPr>
        <w:tab/>
        <w:t>Parent</w:t>
      </w:r>
    </w:p>
    <w:p w14:paraId="3EE14D00" w14:textId="77777777" w:rsidR="00FA4AA8" w:rsidRDefault="00FA4AA8">
      <w:pPr>
        <w:pStyle w:val="BodyText"/>
        <w:spacing w:before="3"/>
        <w:rPr>
          <w:b/>
          <w:sz w:val="6"/>
        </w:rPr>
      </w:pPr>
    </w:p>
    <w:tbl>
      <w:tblPr>
        <w:tblW w:w="0" w:type="auto"/>
        <w:tblInd w:w="487" w:type="dxa"/>
        <w:tblLayout w:type="fixed"/>
        <w:tblCellMar>
          <w:left w:w="0" w:type="dxa"/>
          <w:right w:w="0" w:type="dxa"/>
        </w:tblCellMar>
        <w:tblLook w:val="01E0" w:firstRow="1" w:lastRow="1" w:firstColumn="1" w:lastColumn="1" w:noHBand="0" w:noVBand="0"/>
      </w:tblPr>
      <w:tblGrid>
        <w:gridCol w:w="4668"/>
        <w:gridCol w:w="1451"/>
        <w:gridCol w:w="1217"/>
        <w:gridCol w:w="1217"/>
        <w:gridCol w:w="983"/>
      </w:tblGrid>
      <w:tr w:rsidR="00FA4AA8" w14:paraId="11F4BCDE" w14:textId="77777777">
        <w:trPr>
          <w:trHeight w:val="774"/>
        </w:trPr>
        <w:tc>
          <w:tcPr>
            <w:tcW w:w="4668" w:type="dxa"/>
          </w:tcPr>
          <w:p w14:paraId="6453DF93" w14:textId="77777777" w:rsidR="00FA4AA8" w:rsidRDefault="00FA4AA8">
            <w:pPr>
              <w:pStyle w:val="TableParagraph"/>
              <w:rPr>
                <w:b/>
                <w:sz w:val="20"/>
              </w:rPr>
            </w:pPr>
          </w:p>
          <w:p w14:paraId="00B4FDCC" w14:textId="77777777" w:rsidR="00FA4AA8" w:rsidRDefault="00FA4AA8">
            <w:pPr>
              <w:pStyle w:val="TableParagraph"/>
              <w:spacing w:before="9"/>
              <w:rPr>
                <w:b/>
                <w:sz w:val="26"/>
              </w:rPr>
            </w:pPr>
          </w:p>
          <w:p w14:paraId="3A792419" w14:textId="77777777" w:rsidR="00FA4AA8" w:rsidRDefault="0015611F">
            <w:pPr>
              <w:pStyle w:val="TableParagraph"/>
              <w:spacing w:before="1"/>
              <w:ind w:left="50"/>
              <w:rPr>
                <w:sz w:val="18"/>
              </w:rPr>
            </w:pPr>
            <w:r>
              <w:rPr>
                <w:sz w:val="18"/>
              </w:rPr>
              <w:t>Net result for the period</w:t>
            </w:r>
          </w:p>
        </w:tc>
        <w:tc>
          <w:tcPr>
            <w:tcW w:w="1451" w:type="dxa"/>
          </w:tcPr>
          <w:p w14:paraId="546A9445" w14:textId="77777777" w:rsidR="00FA4AA8" w:rsidRDefault="0015611F">
            <w:pPr>
              <w:pStyle w:val="TableParagraph"/>
              <w:spacing w:line="201" w:lineRule="exact"/>
              <w:ind w:left="2" w:right="11"/>
              <w:jc w:val="center"/>
              <w:rPr>
                <w:b/>
                <w:sz w:val="18"/>
              </w:rPr>
            </w:pPr>
            <w:r>
              <w:rPr>
                <w:b/>
                <w:sz w:val="18"/>
              </w:rPr>
              <w:t>2018</w:t>
            </w:r>
          </w:p>
          <w:p w14:paraId="17C7016C" w14:textId="77777777" w:rsidR="00FA4AA8" w:rsidRDefault="0015611F">
            <w:pPr>
              <w:pStyle w:val="TableParagraph"/>
              <w:spacing w:before="66"/>
              <w:ind w:left="1" w:right="11"/>
              <w:jc w:val="center"/>
              <w:rPr>
                <w:b/>
                <w:sz w:val="18"/>
              </w:rPr>
            </w:pPr>
            <w:r>
              <w:rPr>
                <w:b/>
                <w:sz w:val="18"/>
              </w:rPr>
              <w:t>$'000</w:t>
            </w:r>
          </w:p>
          <w:p w14:paraId="488E445B" w14:textId="77777777" w:rsidR="00FA4AA8" w:rsidRDefault="0015611F">
            <w:pPr>
              <w:pStyle w:val="TableParagraph"/>
              <w:spacing w:before="62"/>
              <w:ind w:left="428" w:right="11"/>
              <w:jc w:val="center"/>
              <w:rPr>
                <w:b/>
                <w:sz w:val="18"/>
              </w:rPr>
            </w:pPr>
            <w:r>
              <w:rPr>
                <w:b/>
                <w:sz w:val="18"/>
              </w:rPr>
              <w:t>87,711</w:t>
            </w:r>
          </w:p>
        </w:tc>
        <w:tc>
          <w:tcPr>
            <w:tcW w:w="1217" w:type="dxa"/>
          </w:tcPr>
          <w:p w14:paraId="14E132C6" w14:textId="77777777" w:rsidR="00FA4AA8" w:rsidRDefault="0015611F">
            <w:pPr>
              <w:pStyle w:val="TableParagraph"/>
              <w:spacing w:line="201" w:lineRule="exact"/>
              <w:ind w:left="199"/>
              <w:rPr>
                <w:b/>
                <w:sz w:val="18"/>
              </w:rPr>
            </w:pPr>
            <w:r>
              <w:rPr>
                <w:b/>
                <w:sz w:val="18"/>
              </w:rPr>
              <w:t>2017</w:t>
            </w:r>
          </w:p>
          <w:p w14:paraId="1E6595FF" w14:textId="77777777" w:rsidR="00FA4AA8" w:rsidRDefault="0015611F">
            <w:pPr>
              <w:pStyle w:val="TableParagraph"/>
              <w:spacing w:before="66"/>
              <w:ind w:left="178"/>
              <w:rPr>
                <w:b/>
                <w:sz w:val="18"/>
              </w:rPr>
            </w:pPr>
            <w:r>
              <w:rPr>
                <w:b/>
                <w:sz w:val="18"/>
              </w:rPr>
              <w:t>$'000</w:t>
            </w:r>
          </w:p>
          <w:p w14:paraId="3A3816BA" w14:textId="77777777" w:rsidR="00FA4AA8" w:rsidRDefault="0015611F">
            <w:pPr>
              <w:pStyle w:val="TableParagraph"/>
              <w:spacing w:before="62"/>
              <w:ind w:left="339"/>
              <w:rPr>
                <w:sz w:val="18"/>
              </w:rPr>
            </w:pPr>
            <w:r>
              <w:rPr>
                <w:sz w:val="18"/>
              </w:rPr>
              <w:t>52,064</w:t>
            </w:r>
          </w:p>
        </w:tc>
        <w:tc>
          <w:tcPr>
            <w:tcW w:w="1217" w:type="dxa"/>
          </w:tcPr>
          <w:p w14:paraId="14CCB52A" w14:textId="77777777" w:rsidR="00FA4AA8" w:rsidRDefault="0015611F">
            <w:pPr>
              <w:pStyle w:val="TableParagraph"/>
              <w:spacing w:line="201" w:lineRule="exact"/>
              <w:ind w:left="283"/>
              <w:rPr>
                <w:b/>
                <w:sz w:val="18"/>
              </w:rPr>
            </w:pPr>
            <w:r>
              <w:rPr>
                <w:b/>
                <w:sz w:val="18"/>
              </w:rPr>
              <w:t>2018</w:t>
            </w:r>
          </w:p>
          <w:p w14:paraId="0C4ECCB3" w14:textId="77777777" w:rsidR="00FA4AA8" w:rsidRDefault="0015611F">
            <w:pPr>
              <w:pStyle w:val="TableParagraph"/>
              <w:spacing w:before="66"/>
              <w:ind w:left="262"/>
              <w:rPr>
                <w:b/>
                <w:sz w:val="18"/>
              </w:rPr>
            </w:pPr>
            <w:r>
              <w:rPr>
                <w:b/>
                <w:sz w:val="18"/>
              </w:rPr>
              <w:t>$'000</w:t>
            </w:r>
          </w:p>
          <w:p w14:paraId="460FAA98" w14:textId="77777777" w:rsidR="00FA4AA8" w:rsidRDefault="0015611F">
            <w:pPr>
              <w:pStyle w:val="TableParagraph"/>
              <w:spacing w:before="62"/>
              <w:ind w:left="422"/>
              <w:rPr>
                <w:b/>
                <w:sz w:val="18"/>
              </w:rPr>
            </w:pPr>
            <w:r>
              <w:rPr>
                <w:b/>
                <w:sz w:val="18"/>
              </w:rPr>
              <w:t>86,771</w:t>
            </w:r>
          </w:p>
        </w:tc>
        <w:tc>
          <w:tcPr>
            <w:tcW w:w="983" w:type="dxa"/>
          </w:tcPr>
          <w:p w14:paraId="62107291" w14:textId="77777777" w:rsidR="00FA4AA8" w:rsidRDefault="0015611F">
            <w:pPr>
              <w:pStyle w:val="TableParagraph"/>
              <w:spacing w:line="201" w:lineRule="exact"/>
              <w:ind w:left="199"/>
              <w:rPr>
                <w:b/>
                <w:sz w:val="18"/>
              </w:rPr>
            </w:pPr>
            <w:r>
              <w:rPr>
                <w:b/>
                <w:sz w:val="18"/>
              </w:rPr>
              <w:t>2017</w:t>
            </w:r>
          </w:p>
          <w:p w14:paraId="2C080D5A" w14:textId="77777777" w:rsidR="00FA4AA8" w:rsidRDefault="0015611F">
            <w:pPr>
              <w:pStyle w:val="TableParagraph"/>
              <w:spacing w:before="66"/>
              <w:ind w:left="177"/>
              <w:rPr>
                <w:b/>
                <w:sz w:val="18"/>
              </w:rPr>
            </w:pPr>
            <w:r>
              <w:rPr>
                <w:b/>
                <w:sz w:val="18"/>
              </w:rPr>
              <w:t>$'000</w:t>
            </w:r>
          </w:p>
          <w:p w14:paraId="4BF50605" w14:textId="77777777" w:rsidR="00FA4AA8" w:rsidRDefault="0015611F">
            <w:pPr>
              <w:pStyle w:val="TableParagraph"/>
              <w:spacing w:before="62"/>
              <w:ind w:left="338"/>
              <w:rPr>
                <w:sz w:val="18"/>
              </w:rPr>
            </w:pPr>
            <w:r>
              <w:rPr>
                <w:sz w:val="18"/>
              </w:rPr>
              <w:t>48,462</w:t>
            </w:r>
          </w:p>
        </w:tc>
      </w:tr>
      <w:tr w:rsidR="00FA4AA8" w14:paraId="2D463DD3" w14:textId="77777777">
        <w:trPr>
          <w:trHeight w:val="466"/>
        </w:trPr>
        <w:tc>
          <w:tcPr>
            <w:tcW w:w="4668" w:type="dxa"/>
          </w:tcPr>
          <w:p w14:paraId="74FE5C53" w14:textId="77777777" w:rsidR="00FA4AA8" w:rsidRDefault="0015611F">
            <w:pPr>
              <w:pStyle w:val="TableParagraph"/>
              <w:spacing w:before="23"/>
              <w:ind w:left="50" w:right="955"/>
              <w:rPr>
                <w:sz w:val="18"/>
              </w:rPr>
            </w:pPr>
            <w:r>
              <w:rPr>
                <w:sz w:val="18"/>
              </w:rPr>
              <w:t>Net (gain)/loss on disposal of property, plant and equipment</w:t>
            </w:r>
          </w:p>
        </w:tc>
        <w:tc>
          <w:tcPr>
            <w:tcW w:w="1451" w:type="dxa"/>
          </w:tcPr>
          <w:p w14:paraId="5D28C786" w14:textId="77777777" w:rsidR="00FA4AA8" w:rsidRDefault="00FA4AA8">
            <w:pPr>
              <w:pStyle w:val="TableParagraph"/>
              <w:spacing w:before="8"/>
              <w:rPr>
                <w:b/>
                <w:sz w:val="19"/>
              </w:rPr>
            </w:pPr>
          </w:p>
          <w:p w14:paraId="007B44C3" w14:textId="77777777" w:rsidR="00FA4AA8" w:rsidRDefault="0015611F">
            <w:pPr>
              <w:pStyle w:val="TableParagraph"/>
              <w:ind w:right="177"/>
              <w:jc w:val="right"/>
              <w:rPr>
                <w:b/>
                <w:sz w:val="18"/>
              </w:rPr>
            </w:pPr>
            <w:r>
              <w:rPr>
                <w:b/>
                <w:sz w:val="18"/>
              </w:rPr>
              <w:t>(33,987)</w:t>
            </w:r>
          </w:p>
        </w:tc>
        <w:tc>
          <w:tcPr>
            <w:tcW w:w="1217" w:type="dxa"/>
          </w:tcPr>
          <w:p w14:paraId="1409A198" w14:textId="77777777" w:rsidR="00FA4AA8" w:rsidRDefault="00FA4AA8">
            <w:pPr>
              <w:pStyle w:val="TableParagraph"/>
              <w:spacing w:before="8"/>
              <w:rPr>
                <w:b/>
                <w:sz w:val="19"/>
              </w:rPr>
            </w:pPr>
          </w:p>
          <w:p w14:paraId="5088F2E6" w14:textId="77777777" w:rsidR="00FA4AA8" w:rsidRDefault="0015611F">
            <w:pPr>
              <w:pStyle w:val="TableParagraph"/>
              <w:ind w:left="278"/>
              <w:rPr>
                <w:sz w:val="18"/>
              </w:rPr>
            </w:pPr>
            <w:r>
              <w:rPr>
                <w:sz w:val="18"/>
              </w:rPr>
              <w:t>(35,805)</w:t>
            </w:r>
          </w:p>
        </w:tc>
        <w:tc>
          <w:tcPr>
            <w:tcW w:w="1217" w:type="dxa"/>
          </w:tcPr>
          <w:p w14:paraId="30DB4D1E" w14:textId="77777777" w:rsidR="00FA4AA8" w:rsidRDefault="00FA4AA8">
            <w:pPr>
              <w:pStyle w:val="TableParagraph"/>
              <w:spacing w:before="8"/>
              <w:rPr>
                <w:b/>
                <w:sz w:val="19"/>
              </w:rPr>
            </w:pPr>
          </w:p>
          <w:p w14:paraId="682A34BD" w14:textId="77777777" w:rsidR="00FA4AA8" w:rsidRDefault="0015611F">
            <w:pPr>
              <w:pStyle w:val="TableParagraph"/>
              <w:ind w:right="177"/>
              <w:jc w:val="right"/>
              <w:rPr>
                <w:b/>
                <w:sz w:val="18"/>
              </w:rPr>
            </w:pPr>
            <w:r>
              <w:rPr>
                <w:b/>
                <w:sz w:val="18"/>
              </w:rPr>
              <w:t>(33,993)</w:t>
            </w:r>
          </w:p>
        </w:tc>
        <w:tc>
          <w:tcPr>
            <w:tcW w:w="983" w:type="dxa"/>
          </w:tcPr>
          <w:p w14:paraId="36362362" w14:textId="77777777" w:rsidR="00FA4AA8" w:rsidRDefault="00FA4AA8">
            <w:pPr>
              <w:pStyle w:val="TableParagraph"/>
              <w:spacing w:before="8"/>
              <w:rPr>
                <w:b/>
                <w:sz w:val="19"/>
              </w:rPr>
            </w:pPr>
          </w:p>
          <w:p w14:paraId="55F82F95" w14:textId="77777777" w:rsidR="00FA4AA8" w:rsidRDefault="0015611F">
            <w:pPr>
              <w:pStyle w:val="TableParagraph"/>
              <w:ind w:right="27"/>
              <w:jc w:val="right"/>
              <w:rPr>
                <w:sz w:val="18"/>
              </w:rPr>
            </w:pPr>
            <w:r>
              <w:rPr>
                <w:sz w:val="18"/>
              </w:rPr>
              <w:t>(35,940)</w:t>
            </w:r>
          </w:p>
        </w:tc>
      </w:tr>
      <w:tr w:rsidR="00FA4AA8" w14:paraId="4D7C1412" w14:textId="77777777">
        <w:trPr>
          <w:trHeight w:val="264"/>
        </w:trPr>
        <w:tc>
          <w:tcPr>
            <w:tcW w:w="4668" w:type="dxa"/>
          </w:tcPr>
          <w:p w14:paraId="7ABE8132" w14:textId="77777777" w:rsidR="00FA4AA8" w:rsidRDefault="0015611F">
            <w:pPr>
              <w:pStyle w:val="TableParagraph"/>
              <w:spacing w:before="26"/>
              <w:ind w:left="50"/>
              <w:rPr>
                <w:sz w:val="18"/>
              </w:rPr>
            </w:pPr>
            <w:r>
              <w:rPr>
                <w:sz w:val="18"/>
              </w:rPr>
              <w:t>Superannuation adjustments</w:t>
            </w:r>
          </w:p>
        </w:tc>
        <w:tc>
          <w:tcPr>
            <w:tcW w:w="1451" w:type="dxa"/>
          </w:tcPr>
          <w:p w14:paraId="796F482E" w14:textId="77777777" w:rsidR="00FA4AA8" w:rsidRDefault="0015611F">
            <w:pPr>
              <w:pStyle w:val="TableParagraph"/>
              <w:spacing w:before="24"/>
              <w:ind w:right="177"/>
              <w:jc w:val="right"/>
              <w:rPr>
                <w:b/>
                <w:sz w:val="18"/>
              </w:rPr>
            </w:pPr>
            <w:r>
              <w:rPr>
                <w:b/>
                <w:sz w:val="18"/>
              </w:rPr>
              <w:t>(24,574)</w:t>
            </w:r>
          </w:p>
        </w:tc>
        <w:tc>
          <w:tcPr>
            <w:tcW w:w="1217" w:type="dxa"/>
          </w:tcPr>
          <w:p w14:paraId="3D311801" w14:textId="77777777" w:rsidR="00FA4AA8" w:rsidRDefault="0015611F">
            <w:pPr>
              <w:pStyle w:val="TableParagraph"/>
              <w:spacing w:before="24"/>
              <w:ind w:left="278"/>
              <w:rPr>
                <w:sz w:val="18"/>
              </w:rPr>
            </w:pPr>
            <w:r>
              <w:rPr>
                <w:sz w:val="18"/>
              </w:rPr>
              <w:t>(14,869)</w:t>
            </w:r>
          </w:p>
        </w:tc>
        <w:tc>
          <w:tcPr>
            <w:tcW w:w="1217" w:type="dxa"/>
          </w:tcPr>
          <w:p w14:paraId="1F72AB9E" w14:textId="77777777" w:rsidR="00FA4AA8" w:rsidRDefault="0015611F">
            <w:pPr>
              <w:pStyle w:val="TableParagraph"/>
              <w:spacing w:before="24"/>
              <w:ind w:right="177"/>
              <w:jc w:val="right"/>
              <w:rPr>
                <w:b/>
                <w:sz w:val="18"/>
              </w:rPr>
            </w:pPr>
            <w:r>
              <w:rPr>
                <w:b/>
                <w:sz w:val="18"/>
              </w:rPr>
              <w:t>(24,574)</w:t>
            </w:r>
          </w:p>
        </w:tc>
        <w:tc>
          <w:tcPr>
            <w:tcW w:w="983" w:type="dxa"/>
          </w:tcPr>
          <w:p w14:paraId="0D2E8A4B" w14:textId="77777777" w:rsidR="00FA4AA8" w:rsidRDefault="0015611F">
            <w:pPr>
              <w:pStyle w:val="TableParagraph"/>
              <w:spacing w:before="24"/>
              <w:ind w:right="27"/>
              <w:jc w:val="right"/>
              <w:rPr>
                <w:sz w:val="18"/>
              </w:rPr>
            </w:pPr>
            <w:r>
              <w:rPr>
                <w:sz w:val="18"/>
              </w:rPr>
              <w:t>(14,869)</w:t>
            </w:r>
          </w:p>
        </w:tc>
      </w:tr>
      <w:tr w:rsidR="00FA4AA8" w14:paraId="59B9AF17" w14:textId="77777777">
        <w:trPr>
          <w:trHeight w:val="264"/>
        </w:trPr>
        <w:tc>
          <w:tcPr>
            <w:tcW w:w="4668" w:type="dxa"/>
          </w:tcPr>
          <w:p w14:paraId="2C1AD28D" w14:textId="77777777" w:rsidR="00FA4AA8" w:rsidRDefault="0015611F">
            <w:pPr>
              <w:pStyle w:val="TableParagraph"/>
              <w:spacing w:before="26"/>
              <w:ind w:left="50"/>
              <w:rPr>
                <w:sz w:val="18"/>
              </w:rPr>
            </w:pPr>
            <w:r>
              <w:rPr>
                <w:sz w:val="18"/>
              </w:rPr>
              <w:t>Depreciation and amortisation</w:t>
            </w:r>
          </w:p>
        </w:tc>
        <w:tc>
          <w:tcPr>
            <w:tcW w:w="1451" w:type="dxa"/>
          </w:tcPr>
          <w:p w14:paraId="1C0C472A" w14:textId="77777777" w:rsidR="00FA4AA8" w:rsidRDefault="0015611F">
            <w:pPr>
              <w:pStyle w:val="TableParagraph"/>
              <w:spacing w:before="24"/>
              <w:ind w:right="237"/>
              <w:jc w:val="right"/>
              <w:rPr>
                <w:b/>
                <w:sz w:val="18"/>
              </w:rPr>
            </w:pPr>
            <w:r>
              <w:rPr>
                <w:b/>
                <w:sz w:val="18"/>
              </w:rPr>
              <w:t>54,950</w:t>
            </w:r>
          </w:p>
        </w:tc>
        <w:tc>
          <w:tcPr>
            <w:tcW w:w="1217" w:type="dxa"/>
          </w:tcPr>
          <w:p w14:paraId="1E12C4DE" w14:textId="77777777" w:rsidR="00FA4AA8" w:rsidRDefault="0015611F">
            <w:pPr>
              <w:pStyle w:val="TableParagraph"/>
              <w:spacing w:before="24"/>
              <w:ind w:left="338"/>
              <w:rPr>
                <w:sz w:val="18"/>
              </w:rPr>
            </w:pPr>
            <w:r>
              <w:rPr>
                <w:sz w:val="18"/>
              </w:rPr>
              <w:t>50,307</w:t>
            </w:r>
          </w:p>
        </w:tc>
        <w:tc>
          <w:tcPr>
            <w:tcW w:w="1217" w:type="dxa"/>
          </w:tcPr>
          <w:p w14:paraId="51172B60" w14:textId="77777777" w:rsidR="00FA4AA8" w:rsidRDefault="0015611F">
            <w:pPr>
              <w:pStyle w:val="TableParagraph"/>
              <w:spacing w:before="24"/>
              <w:ind w:right="238"/>
              <w:jc w:val="right"/>
              <w:rPr>
                <w:b/>
                <w:sz w:val="18"/>
              </w:rPr>
            </w:pPr>
            <w:r>
              <w:rPr>
                <w:b/>
                <w:sz w:val="18"/>
              </w:rPr>
              <w:t>53,802</w:t>
            </w:r>
          </w:p>
        </w:tc>
        <w:tc>
          <w:tcPr>
            <w:tcW w:w="983" w:type="dxa"/>
          </w:tcPr>
          <w:p w14:paraId="00E7DA98" w14:textId="77777777" w:rsidR="00FA4AA8" w:rsidRDefault="0015611F">
            <w:pPr>
              <w:pStyle w:val="TableParagraph"/>
              <w:spacing w:before="24"/>
              <w:ind w:left="338"/>
              <w:rPr>
                <w:sz w:val="18"/>
              </w:rPr>
            </w:pPr>
            <w:r>
              <w:rPr>
                <w:sz w:val="18"/>
              </w:rPr>
              <w:t>48,835</w:t>
            </w:r>
          </w:p>
        </w:tc>
      </w:tr>
      <w:tr w:rsidR="00FA4AA8" w14:paraId="22BEABEC" w14:textId="77777777">
        <w:trPr>
          <w:trHeight w:val="264"/>
        </w:trPr>
        <w:tc>
          <w:tcPr>
            <w:tcW w:w="4668" w:type="dxa"/>
          </w:tcPr>
          <w:p w14:paraId="437EF633" w14:textId="77777777" w:rsidR="00FA4AA8" w:rsidRDefault="0015611F">
            <w:pPr>
              <w:pStyle w:val="TableParagraph"/>
              <w:spacing w:before="26"/>
              <w:ind w:left="50"/>
              <w:rPr>
                <w:sz w:val="18"/>
              </w:rPr>
            </w:pPr>
            <w:r>
              <w:rPr>
                <w:sz w:val="18"/>
              </w:rPr>
              <w:t>Impairment of receivables</w:t>
            </w:r>
          </w:p>
        </w:tc>
        <w:tc>
          <w:tcPr>
            <w:tcW w:w="1451" w:type="dxa"/>
          </w:tcPr>
          <w:p w14:paraId="78B7D698" w14:textId="77777777" w:rsidR="00FA4AA8" w:rsidRDefault="0015611F">
            <w:pPr>
              <w:pStyle w:val="TableParagraph"/>
              <w:spacing w:before="24"/>
              <w:ind w:right="237"/>
              <w:jc w:val="right"/>
              <w:rPr>
                <w:b/>
                <w:sz w:val="18"/>
              </w:rPr>
            </w:pPr>
            <w:r>
              <w:rPr>
                <w:b/>
                <w:sz w:val="18"/>
              </w:rPr>
              <w:t>321</w:t>
            </w:r>
          </w:p>
        </w:tc>
        <w:tc>
          <w:tcPr>
            <w:tcW w:w="1217" w:type="dxa"/>
          </w:tcPr>
          <w:p w14:paraId="3FB07DC7" w14:textId="77777777" w:rsidR="00FA4AA8" w:rsidRDefault="0015611F">
            <w:pPr>
              <w:pStyle w:val="TableParagraph"/>
              <w:spacing w:before="24"/>
              <w:ind w:left="591"/>
              <w:rPr>
                <w:sz w:val="18"/>
              </w:rPr>
            </w:pPr>
            <w:r>
              <w:rPr>
                <w:sz w:val="18"/>
              </w:rPr>
              <w:t>152</w:t>
            </w:r>
          </w:p>
        </w:tc>
        <w:tc>
          <w:tcPr>
            <w:tcW w:w="1217" w:type="dxa"/>
          </w:tcPr>
          <w:p w14:paraId="70D61F2B" w14:textId="77777777" w:rsidR="00FA4AA8" w:rsidRDefault="0015611F">
            <w:pPr>
              <w:pStyle w:val="TableParagraph"/>
              <w:spacing w:before="24"/>
              <w:ind w:right="238"/>
              <w:jc w:val="right"/>
              <w:rPr>
                <w:b/>
                <w:sz w:val="18"/>
              </w:rPr>
            </w:pPr>
            <w:r>
              <w:rPr>
                <w:b/>
                <w:sz w:val="18"/>
              </w:rPr>
              <w:t>2,910</w:t>
            </w:r>
          </w:p>
        </w:tc>
        <w:tc>
          <w:tcPr>
            <w:tcW w:w="983" w:type="dxa"/>
          </w:tcPr>
          <w:p w14:paraId="6176B9B1" w14:textId="77777777" w:rsidR="00FA4AA8" w:rsidRDefault="0015611F">
            <w:pPr>
              <w:pStyle w:val="TableParagraph"/>
              <w:spacing w:before="24"/>
              <w:ind w:right="88"/>
              <w:jc w:val="right"/>
              <w:rPr>
                <w:sz w:val="18"/>
              </w:rPr>
            </w:pPr>
            <w:r>
              <w:rPr>
                <w:sz w:val="18"/>
              </w:rPr>
              <w:t>4,087</w:t>
            </w:r>
          </w:p>
        </w:tc>
      </w:tr>
      <w:tr w:rsidR="00FA4AA8" w14:paraId="3DF7E796" w14:textId="77777777">
        <w:trPr>
          <w:trHeight w:val="262"/>
        </w:trPr>
        <w:tc>
          <w:tcPr>
            <w:tcW w:w="4668" w:type="dxa"/>
          </w:tcPr>
          <w:p w14:paraId="07D63070" w14:textId="77777777" w:rsidR="00FA4AA8" w:rsidRDefault="0015611F">
            <w:pPr>
              <w:pStyle w:val="TableParagraph"/>
              <w:spacing w:before="26"/>
              <w:ind w:left="50"/>
              <w:rPr>
                <w:sz w:val="18"/>
              </w:rPr>
            </w:pPr>
            <w:r>
              <w:rPr>
                <w:sz w:val="18"/>
              </w:rPr>
              <w:t>Cost of goods sold - livestock</w:t>
            </w:r>
          </w:p>
        </w:tc>
        <w:tc>
          <w:tcPr>
            <w:tcW w:w="1451" w:type="dxa"/>
          </w:tcPr>
          <w:p w14:paraId="3F0CF8E7" w14:textId="77777777" w:rsidR="00FA4AA8" w:rsidRDefault="0015611F">
            <w:pPr>
              <w:pStyle w:val="TableParagraph"/>
              <w:spacing w:before="24"/>
              <w:ind w:right="237"/>
              <w:jc w:val="right"/>
              <w:rPr>
                <w:b/>
                <w:sz w:val="18"/>
              </w:rPr>
            </w:pPr>
            <w:r>
              <w:rPr>
                <w:b/>
                <w:sz w:val="18"/>
              </w:rPr>
              <w:t>39</w:t>
            </w:r>
          </w:p>
        </w:tc>
        <w:tc>
          <w:tcPr>
            <w:tcW w:w="1217" w:type="dxa"/>
          </w:tcPr>
          <w:p w14:paraId="6FB582F1" w14:textId="77777777" w:rsidR="00FA4AA8" w:rsidRDefault="0015611F">
            <w:pPr>
              <w:pStyle w:val="TableParagraph"/>
              <w:spacing w:before="24"/>
              <w:ind w:right="261"/>
              <w:jc w:val="right"/>
              <w:rPr>
                <w:sz w:val="18"/>
              </w:rPr>
            </w:pPr>
            <w:r>
              <w:rPr>
                <w:sz w:val="18"/>
              </w:rPr>
              <w:t>(73)</w:t>
            </w:r>
          </w:p>
        </w:tc>
        <w:tc>
          <w:tcPr>
            <w:tcW w:w="1217" w:type="dxa"/>
          </w:tcPr>
          <w:p w14:paraId="216D4D44" w14:textId="77777777" w:rsidR="00FA4AA8" w:rsidRDefault="0015611F">
            <w:pPr>
              <w:pStyle w:val="TableParagraph"/>
              <w:spacing w:before="24"/>
              <w:ind w:right="237"/>
              <w:jc w:val="right"/>
              <w:rPr>
                <w:b/>
                <w:sz w:val="18"/>
              </w:rPr>
            </w:pPr>
            <w:r>
              <w:rPr>
                <w:b/>
                <w:sz w:val="18"/>
              </w:rPr>
              <w:t>39</w:t>
            </w:r>
          </w:p>
        </w:tc>
        <w:tc>
          <w:tcPr>
            <w:tcW w:w="983" w:type="dxa"/>
          </w:tcPr>
          <w:p w14:paraId="7939EAF6" w14:textId="77777777" w:rsidR="00FA4AA8" w:rsidRDefault="0015611F">
            <w:pPr>
              <w:pStyle w:val="TableParagraph"/>
              <w:spacing w:before="24"/>
              <w:ind w:right="27"/>
              <w:jc w:val="right"/>
              <w:rPr>
                <w:sz w:val="18"/>
              </w:rPr>
            </w:pPr>
            <w:r>
              <w:rPr>
                <w:sz w:val="18"/>
              </w:rPr>
              <w:t>(73)</w:t>
            </w:r>
          </w:p>
        </w:tc>
      </w:tr>
      <w:tr w:rsidR="00FA4AA8" w14:paraId="57636054" w14:textId="77777777">
        <w:trPr>
          <w:trHeight w:val="465"/>
        </w:trPr>
        <w:tc>
          <w:tcPr>
            <w:tcW w:w="4668" w:type="dxa"/>
          </w:tcPr>
          <w:p w14:paraId="6A7C4805" w14:textId="77777777" w:rsidR="00FA4AA8" w:rsidRDefault="0015611F">
            <w:pPr>
              <w:pStyle w:val="TableParagraph"/>
              <w:spacing w:before="23"/>
              <w:ind w:left="50" w:right="955"/>
              <w:rPr>
                <w:sz w:val="18"/>
              </w:rPr>
            </w:pPr>
            <w:r>
              <w:rPr>
                <w:sz w:val="18"/>
              </w:rPr>
              <w:t>Fair value (gains)/losses on other financial assets at fair value through profit or loss</w:t>
            </w:r>
          </w:p>
        </w:tc>
        <w:tc>
          <w:tcPr>
            <w:tcW w:w="1451" w:type="dxa"/>
          </w:tcPr>
          <w:p w14:paraId="3CE3E28D" w14:textId="77777777" w:rsidR="00FA4AA8" w:rsidRDefault="00FA4AA8">
            <w:pPr>
              <w:pStyle w:val="TableParagraph"/>
              <w:spacing w:before="8"/>
              <w:rPr>
                <w:b/>
                <w:sz w:val="19"/>
              </w:rPr>
            </w:pPr>
          </w:p>
          <w:p w14:paraId="0D7702EF" w14:textId="77777777" w:rsidR="00FA4AA8" w:rsidRDefault="0015611F">
            <w:pPr>
              <w:pStyle w:val="TableParagraph"/>
              <w:ind w:right="237"/>
              <w:jc w:val="right"/>
              <w:rPr>
                <w:b/>
                <w:sz w:val="18"/>
              </w:rPr>
            </w:pPr>
            <w:r>
              <w:rPr>
                <w:b/>
                <w:sz w:val="18"/>
              </w:rPr>
              <w:t>10,277</w:t>
            </w:r>
          </w:p>
        </w:tc>
        <w:tc>
          <w:tcPr>
            <w:tcW w:w="1217" w:type="dxa"/>
          </w:tcPr>
          <w:p w14:paraId="29B837C8" w14:textId="77777777" w:rsidR="00FA4AA8" w:rsidRDefault="00FA4AA8">
            <w:pPr>
              <w:pStyle w:val="TableParagraph"/>
              <w:spacing w:before="8"/>
              <w:rPr>
                <w:b/>
                <w:sz w:val="19"/>
              </w:rPr>
            </w:pPr>
          </w:p>
          <w:p w14:paraId="1B40CCE6" w14:textId="77777777" w:rsidR="00FA4AA8" w:rsidRDefault="0015611F">
            <w:pPr>
              <w:pStyle w:val="TableParagraph"/>
              <w:ind w:right="321"/>
              <w:jc w:val="right"/>
              <w:rPr>
                <w:sz w:val="18"/>
              </w:rPr>
            </w:pPr>
            <w:r>
              <w:rPr>
                <w:sz w:val="18"/>
              </w:rPr>
              <w:t>-</w:t>
            </w:r>
          </w:p>
        </w:tc>
        <w:tc>
          <w:tcPr>
            <w:tcW w:w="1217" w:type="dxa"/>
          </w:tcPr>
          <w:p w14:paraId="200153D8" w14:textId="77777777" w:rsidR="00FA4AA8" w:rsidRDefault="00FA4AA8">
            <w:pPr>
              <w:pStyle w:val="TableParagraph"/>
              <w:spacing w:before="8"/>
              <w:rPr>
                <w:b/>
                <w:sz w:val="19"/>
              </w:rPr>
            </w:pPr>
          </w:p>
          <w:p w14:paraId="6DFA5976" w14:textId="77777777" w:rsidR="00FA4AA8" w:rsidRDefault="0015611F">
            <w:pPr>
              <w:pStyle w:val="TableParagraph"/>
              <w:ind w:right="238"/>
              <w:jc w:val="right"/>
              <w:rPr>
                <w:b/>
                <w:sz w:val="18"/>
              </w:rPr>
            </w:pPr>
            <w:r>
              <w:rPr>
                <w:b/>
                <w:sz w:val="18"/>
              </w:rPr>
              <w:t>14,330</w:t>
            </w:r>
          </w:p>
        </w:tc>
        <w:tc>
          <w:tcPr>
            <w:tcW w:w="983" w:type="dxa"/>
          </w:tcPr>
          <w:p w14:paraId="3846F576" w14:textId="77777777" w:rsidR="00FA4AA8" w:rsidRDefault="00FA4AA8">
            <w:pPr>
              <w:pStyle w:val="TableParagraph"/>
              <w:spacing w:before="8"/>
              <w:rPr>
                <w:b/>
                <w:sz w:val="19"/>
              </w:rPr>
            </w:pPr>
          </w:p>
          <w:p w14:paraId="1543716F" w14:textId="77777777" w:rsidR="00FA4AA8" w:rsidRDefault="0015611F">
            <w:pPr>
              <w:pStyle w:val="TableParagraph"/>
              <w:ind w:right="88"/>
              <w:jc w:val="right"/>
              <w:rPr>
                <w:sz w:val="18"/>
              </w:rPr>
            </w:pPr>
            <w:r>
              <w:rPr>
                <w:sz w:val="18"/>
              </w:rPr>
              <w:t>-</w:t>
            </w:r>
          </w:p>
        </w:tc>
      </w:tr>
      <w:tr w:rsidR="00FA4AA8" w14:paraId="3248EEB8" w14:textId="77777777">
        <w:trPr>
          <w:trHeight w:val="466"/>
        </w:trPr>
        <w:tc>
          <w:tcPr>
            <w:tcW w:w="4668" w:type="dxa"/>
          </w:tcPr>
          <w:p w14:paraId="1A73486A" w14:textId="77777777" w:rsidR="00FA4AA8" w:rsidRDefault="0015611F">
            <w:pPr>
              <w:pStyle w:val="TableParagraph"/>
              <w:spacing w:before="23"/>
              <w:ind w:left="50" w:right="955"/>
              <w:rPr>
                <w:sz w:val="18"/>
              </w:rPr>
            </w:pPr>
            <w:r>
              <w:rPr>
                <w:sz w:val="18"/>
              </w:rPr>
              <w:t>Adjustment to retained earnings on adoption of AASB 9</w:t>
            </w:r>
          </w:p>
        </w:tc>
        <w:tc>
          <w:tcPr>
            <w:tcW w:w="1451" w:type="dxa"/>
          </w:tcPr>
          <w:p w14:paraId="53ADD270" w14:textId="77777777" w:rsidR="00FA4AA8" w:rsidRDefault="00FA4AA8">
            <w:pPr>
              <w:pStyle w:val="TableParagraph"/>
              <w:spacing w:before="8"/>
              <w:rPr>
                <w:b/>
                <w:sz w:val="19"/>
              </w:rPr>
            </w:pPr>
          </w:p>
          <w:p w14:paraId="4E6EFAEA" w14:textId="77777777" w:rsidR="00FA4AA8" w:rsidRDefault="0015611F">
            <w:pPr>
              <w:pStyle w:val="TableParagraph"/>
              <w:ind w:right="237"/>
              <w:jc w:val="right"/>
              <w:rPr>
                <w:b/>
                <w:sz w:val="18"/>
              </w:rPr>
            </w:pPr>
            <w:r>
              <w:rPr>
                <w:b/>
                <w:sz w:val="18"/>
              </w:rPr>
              <w:t>2,892</w:t>
            </w:r>
          </w:p>
        </w:tc>
        <w:tc>
          <w:tcPr>
            <w:tcW w:w="1217" w:type="dxa"/>
          </w:tcPr>
          <w:p w14:paraId="129CAFE3" w14:textId="77777777" w:rsidR="00FA4AA8" w:rsidRDefault="00FA4AA8">
            <w:pPr>
              <w:pStyle w:val="TableParagraph"/>
              <w:spacing w:before="8"/>
              <w:rPr>
                <w:b/>
                <w:sz w:val="19"/>
              </w:rPr>
            </w:pPr>
          </w:p>
          <w:p w14:paraId="201458E1" w14:textId="77777777" w:rsidR="00FA4AA8" w:rsidRDefault="0015611F">
            <w:pPr>
              <w:pStyle w:val="TableParagraph"/>
              <w:ind w:right="321"/>
              <w:jc w:val="right"/>
              <w:rPr>
                <w:sz w:val="18"/>
              </w:rPr>
            </w:pPr>
            <w:r>
              <w:rPr>
                <w:sz w:val="18"/>
              </w:rPr>
              <w:t>-</w:t>
            </w:r>
          </w:p>
        </w:tc>
        <w:tc>
          <w:tcPr>
            <w:tcW w:w="1217" w:type="dxa"/>
          </w:tcPr>
          <w:p w14:paraId="47A2792B" w14:textId="77777777" w:rsidR="00FA4AA8" w:rsidRDefault="00FA4AA8">
            <w:pPr>
              <w:pStyle w:val="TableParagraph"/>
              <w:spacing w:before="8"/>
              <w:rPr>
                <w:b/>
                <w:sz w:val="19"/>
              </w:rPr>
            </w:pPr>
          </w:p>
          <w:p w14:paraId="3F0F40C3" w14:textId="77777777" w:rsidR="00FA4AA8" w:rsidRDefault="0015611F">
            <w:pPr>
              <w:pStyle w:val="TableParagraph"/>
              <w:ind w:right="177"/>
              <w:jc w:val="right"/>
              <w:rPr>
                <w:b/>
                <w:sz w:val="18"/>
              </w:rPr>
            </w:pPr>
            <w:r>
              <w:rPr>
                <w:b/>
                <w:sz w:val="18"/>
              </w:rPr>
              <w:t>(1,165)</w:t>
            </w:r>
          </w:p>
        </w:tc>
        <w:tc>
          <w:tcPr>
            <w:tcW w:w="983" w:type="dxa"/>
          </w:tcPr>
          <w:p w14:paraId="47344006" w14:textId="77777777" w:rsidR="00FA4AA8" w:rsidRDefault="00FA4AA8">
            <w:pPr>
              <w:pStyle w:val="TableParagraph"/>
              <w:spacing w:before="8"/>
              <w:rPr>
                <w:b/>
                <w:sz w:val="19"/>
              </w:rPr>
            </w:pPr>
          </w:p>
          <w:p w14:paraId="3A88EF16" w14:textId="77777777" w:rsidR="00FA4AA8" w:rsidRDefault="0015611F">
            <w:pPr>
              <w:pStyle w:val="TableParagraph"/>
              <w:ind w:right="88"/>
              <w:jc w:val="right"/>
              <w:rPr>
                <w:sz w:val="18"/>
              </w:rPr>
            </w:pPr>
            <w:r>
              <w:rPr>
                <w:sz w:val="18"/>
              </w:rPr>
              <w:t>-</w:t>
            </w:r>
          </w:p>
        </w:tc>
      </w:tr>
      <w:tr w:rsidR="00FA4AA8" w14:paraId="79D81031" w14:textId="77777777">
        <w:trPr>
          <w:trHeight w:val="262"/>
        </w:trPr>
        <w:tc>
          <w:tcPr>
            <w:tcW w:w="4668" w:type="dxa"/>
          </w:tcPr>
          <w:p w14:paraId="32FAC683" w14:textId="77777777" w:rsidR="00FA4AA8" w:rsidRDefault="0015611F">
            <w:pPr>
              <w:pStyle w:val="TableParagraph"/>
              <w:spacing w:before="26"/>
              <w:ind w:left="50"/>
              <w:rPr>
                <w:sz w:val="18"/>
              </w:rPr>
            </w:pPr>
            <w:r>
              <w:rPr>
                <w:sz w:val="18"/>
              </w:rPr>
              <w:t>(Increase)/decrease in trade debtors</w:t>
            </w:r>
          </w:p>
        </w:tc>
        <w:tc>
          <w:tcPr>
            <w:tcW w:w="1451" w:type="dxa"/>
          </w:tcPr>
          <w:p w14:paraId="599E55DF" w14:textId="77777777" w:rsidR="00FA4AA8" w:rsidRDefault="0015611F">
            <w:pPr>
              <w:pStyle w:val="TableParagraph"/>
              <w:spacing w:before="24"/>
              <w:ind w:right="237"/>
              <w:jc w:val="right"/>
              <w:rPr>
                <w:b/>
                <w:sz w:val="18"/>
              </w:rPr>
            </w:pPr>
            <w:r>
              <w:rPr>
                <w:b/>
                <w:sz w:val="18"/>
              </w:rPr>
              <w:t>21,223</w:t>
            </w:r>
          </w:p>
        </w:tc>
        <w:tc>
          <w:tcPr>
            <w:tcW w:w="1217" w:type="dxa"/>
          </w:tcPr>
          <w:p w14:paraId="2A513463" w14:textId="77777777" w:rsidR="00FA4AA8" w:rsidRDefault="0015611F">
            <w:pPr>
              <w:pStyle w:val="TableParagraph"/>
              <w:spacing w:before="24"/>
              <w:ind w:left="439"/>
              <w:rPr>
                <w:sz w:val="18"/>
              </w:rPr>
            </w:pPr>
            <w:r>
              <w:rPr>
                <w:sz w:val="18"/>
              </w:rPr>
              <w:t>6,182</w:t>
            </w:r>
          </w:p>
        </w:tc>
        <w:tc>
          <w:tcPr>
            <w:tcW w:w="1217" w:type="dxa"/>
          </w:tcPr>
          <w:p w14:paraId="085394C8" w14:textId="77777777" w:rsidR="00FA4AA8" w:rsidRDefault="0015611F">
            <w:pPr>
              <w:pStyle w:val="TableParagraph"/>
              <w:spacing w:before="24"/>
              <w:ind w:right="177"/>
              <w:jc w:val="right"/>
              <w:rPr>
                <w:b/>
                <w:sz w:val="18"/>
              </w:rPr>
            </w:pPr>
            <w:r>
              <w:rPr>
                <w:b/>
                <w:sz w:val="18"/>
              </w:rPr>
              <w:t>(897)</w:t>
            </w:r>
          </w:p>
        </w:tc>
        <w:tc>
          <w:tcPr>
            <w:tcW w:w="983" w:type="dxa"/>
          </w:tcPr>
          <w:p w14:paraId="097F75D5" w14:textId="77777777" w:rsidR="00FA4AA8" w:rsidRDefault="0015611F">
            <w:pPr>
              <w:pStyle w:val="TableParagraph"/>
              <w:spacing w:before="24"/>
              <w:ind w:right="88"/>
              <w:jc w:val="right"/>
              <w:rPr>
                <w:sz w:val="18"/>
              </w:rPr>
            </w:pPr>
            <w:r>
              <w:rPr>
                <w:sz w:val="18"/>
              </w:rPr>
              <w:t>5,565</w:t>
            </w:r>
          </w:p>
        </w:tc>
      </w:tr>
      <w:tr w:rsidR="00FA4AA8" w14:paraId="5CA6C581" w14:textId="77777777">
        <w:trPr>
          <w:trHeight w:val="466"/>
        </w:trPr>
        <w:tc>
          <w:tcPr>
            <w:tcW w:w="4668" w:type="dxa"/>
          </w:tcPr>
          <w:p w14:paraId="70F22142" w14:textId="77777777" w:rsidR="00FA4AA8" w:rsidRDefault="0015611F">
            <w:pPr>
              <w:pStyle w:val="TableParagraph"/>
              <w:spacing w:before="23"/>
              <w:ind w:left="50" w:right="955"/>
              <w:rPr>
                <w:sz w:val="18"/>
              </w:rPr>
            </w:pPr>
            <w:r>
              <w:rPr>
                <w:sz w:val="18"/>
              </w:rPr>
              <w:t>Increase/(decrease) in other operating liabilities</w:t>
            </w:r>
          </w:p>
        </w:tc>
        <w:tc>
          <w:tcPr>
            <w:tcW w:w="1451" w:type="dxa"/>
          </w:tcPr>
          <w:p w14:paraId="13F2CBC1" w14:textId="77777777" w:rsidR="00FA4AA8" w:rsidRDefault="00FA4AA8">
            <w:pPr>
              <w:pStyle w:val="TableParagraph"/>
              <w:spacing w:before="8"/>
              <w:rPr>
                <w:b/>
                <w:sz w:val="19"/>
              </w:rPr>
            </w:pPr>
          </w:p>
          <w:p w14:paraId="647F5871" w14:textId="77777777" w:rsidR="00FA4AA8" w:rsidRDefault="0015611F">
            <w:pPr>
              <w:pStyle w:val="TableParagraph"/>
              <w:ind w:right="237"/>
              <w:jc w:val="right"/>
              <w:rPr>
                <w:b/>
                <w:sz w:val="18"/>
              </w:rPr>
            </w:pPr>
            <w:r>
              <w:rPr>
                <w:b/>
                <w:sz w:val="18"/>
              </w:rPr>
              <w:t>711</w:t>
            </w:r>
          </w:p>
        </w:tc>
        <w:tc>
          <w:tcPr>
            <w:tcW w:w="1217" w:type="dxa"/>
          </w:tcPr>
          <w:p w14:paraId="0470E323" w14:textId="77777777" w:rsidR="00FA4AA8" w:rsidRDefault="00FA4AA8">
            <w:pPr>
              <w:pStyle w:val="TableParagraph"/>
              <w:spacing w:before="8"/>
              <w:rPr>
                <w:b/>
                <w:sz w:val="19"/>
              </w:rPr>
            </w:pPr>
          </w:p>
          <w:p w14:paraId="79C66165" w14:textId="77777777" w:rsidR="00FA4AA8" w:rsidRDefault="0015611F">
            <w:pPr>
              <w:pStyle w:val="TableParagraph"/>
              <w:ind w:left="339"/>
              <w:rPr>
                <w:sz w:val="18"/>
              </w:rPr>
            </w:pPr>
            <w:r>
              <w:rPr>
                <w:sz w:val="18"/>
              </w:rPr>
              <w:t>37,573</w:t>
            </w:r>
          </w:p>
        </w:tc>
        <w:tc>
          <w:tcPr>
            <w:tcW w:w="1217" w:type="dxa"/>
          </w:tcPr>
          <w:p w14:paraId="4A935BEC" w14:textId="77777777" w:rsidR="00FA4AA8" w:rsidRDefault="00FA4AA8">
            <w:pPr>
              <w:pStyle w:val="TableParagraph"/>
              <w:spacing w:before="8"/>
              <w:rPr>
                <w:b/>
                <w:sz w:val="19"/>
              </w:rPr>
            </w:pPr>
          </w:p>
          <w:p w14:paraId="123A4CDF" w14:textId="77777777" w:rsidR="00FA4AA8" w:rsidRDefault="0015611F">
            <w:pPr>
              <w:pStyle w:val="TableParagraph"/>
              <w:ind w:right="237"/>
              <w:jc w:val="right"/>
              <w:rPr>
                <w:b/>
                <w:sz w:val="18"/>
              </w:rPr>
            </w:pPr>
            <w:r>
              <w:rPr>
                <w:b/>
                <w:sz w:val="18"/>
              </w:rPr>
              <w:t>735</w:t>
            </w:r>
          </w:p>
        </w:tc>
        <w:tc>
          <w:tcPr>
            <w:tcW w:w="983" w:type="dxa"/>
          </w:tcPr>
          <w:p w14:paraId="61A3BC36" w14:textId="77777777" w:rsidR="00FA4AA8" w:rsidRDefault="00FA4AA8">
            <w:pPr>
              <w:pStyle w:val="TableParagraph"/>
              <w:spacing w:before="8"/>
              <w:rPr>
                <w:b/>
                <w:sz w:val="19"/>
              </w:rPr>
            </w:pPr>
          </w:p>
          <w:p w14:paraId="61783C1B" w14:textId="77777777" w:rsidR="00FA4AA8" w:rsidRDefault="0015611F">
            <w:pPr>
              <w:pStyle w:val="TableParagraph"/>
              <w:ind w:left="338"/>
              <w:rPr>
                <w:sz w:val="18"/>
              </w:rPr>
            </w:pPr>
            <w:r>
              <w:rPr>
                <w:sz w:val="18"/>
              </w:rPr>
              <w:t>37,801</w:t>
            </w:r>
          </w:p>
        </w:tc>
      </w:tr>
      <w:tr w:rsidR="00FA4AA8" w14:paraId="242A2A64" w14:textId="77777777">
        <w:trPr>
          <w:trHeight w:val="262"/>
        </w:trPr>
        <w:tc>
          <w:tcPr>
            <w:tcW w:w="4668" w:type="dxa"/>
          </w:tcPr>
          <w:p w14:paraId="04F3BCB6" w14:textId="77777777" w:rsidR="00FA4AA8" w:rsidRDefault="0015611F">
            <w:pPr>
              <w:pStyle w:val="TableParagraph"/>
              <w:spacing w:before="26"/>
              <w:ind w:left="50"/>
              <w:rPr>
                <w:sz w:val="18"/>
              </w:rPr>
            </w:pPr>
            <w:r>
              <w:rPr>
                <w:sz w:val="18"/>
              </w:rPr>
              <w:t>(Increase)/decrease in inventories</w:t>
            </w:r>
          </w:p>
        </w:tc>
        <w:tc>
          <w:tcPr>
            <w:tcW w:w="1451" w:type="dxa"/>
          </w:tcPr>
          <w:p w14:paraId="159B333D" w14:textId="77777777" w:rsidR="00FA4AA8" w:rsidRDefault="0015611F">
            <w:pPr>
              <w:pStyle w:val="TableParagraph"/>
              <w:spacing w:before="24"/>
              <w:ind w:right="237"/>
              <w:jc w:val="right"/>
              <w:rPr>
                <w:b/>
                <w:sz w:val="18"/>
              </w:rPr>
            </w:pPr>
            <w:r>
              <w:rPr>
                <w:b/>
                <w:sz w:val="18"/>
              </w:rPr>
              <w:t>28</w:t>
            </w:r>
          </w:p>
        </w:tc>
        <w:tc>
          <w:tcPr>
            <w:tcW w:w="1217" w:type="dxa"/>
          </w:tcPr>
          <w:p w14:paraId="7E096992" w14:textId="77777777" w:rsidR="00FA4AA8" w:rsidRDefault="0015611F">
            <w:pPr>
              <w:pStyle w:val="TableParagraph"/>
              <w:spacing w:before="24"/>
              <w:ind w:right="261"/>
              <w:jc w:val="right"/>
              <w:rPr>
                <w:sz w:val="18"/>
              </w:rPr>
            </w:pPr>
            <w:r>
              <w:rPr>
                <w:sz w:val="18"/>
              </w:rPr>
              <w:t>(43)</w:t>
            </w:r>
          </w:p>
        </w:tc>
        <w:tc>
          <w:tcPr>
            <w:tcW w:w="1217" w:type="dxa"/>
          </w:tcPr>
          <w:p w14:paraId="4A241201" w14:textId="77777777" w:rsidR="00FA4AA8" w:rsidRDefault="0015611F">
            <w:pPr>
              <w:pStyle w:val="TableParagraph"/>
              <w:spacing w:before="24"/>
              <w:ind w:right="177"/>
              <w:jc w:val="right"/>
              <w:rPr>
                <w:b/>
                <w:sz w:val="18"/>
              </w:rPr>
            </w:pPr>
            <w:r>
              <w:rPr>
                <w:b/>
                <w:sz w:val="18"/>
              </w:rPr>
              <w:t>(3)</w:t>
            </w:r>
          </w:p>
        </w:tc>
        <w:tc>
          <w:tcPr>
            <w:tcW w:w="983" w:type="dxa"/>
          </w:tcPr>
          <w:p w14:paraId="64D395E4" w14:textId="77777777" w:rsidR="00FA4AA8" w:rsidRDefault="0015611F">
            <w:pPr>
              <w:pStyle w:val="TableParagraph"/>
              <w:spacing w:before="24"/>
              <w:ind w:right="88"/>
              <w:jc w:val="right"/>
              <w:rPr>
                <w:sz w:val="18"/>
              </w:rPr>
            </w:pPr>
            <w:r>
              <w:rPr>
                <w:sz w:val="18"/>
              </w:rPr>
              <w:t>-</w:t>
            </w:r>
          </w:p>
        </w:tc>
      </w:tr>
      <w:tr w:rsidR="00FA4AA8" w14:paraId="79694E4C" w14:textId="77777777">
        <w:trPr>
          <w:trHeight w:val="466"/>
        </w:trPr>
        <w:tc>
          <w:tcPr>
            <w:tcW w:w="4668" w:type="dxa"/>
          </w:tcPr>
          <w:p w14:paraId="00A8FAA6" w14:textId="77777777" w:rsidR="00FA4AA8" w:rsidRDefault="0015611F">
            <w:pPr>
              <w:pStyle w:val="TableParagraph"/>
              <w:spacing w:before="23"/>
              <w:ind w:left="50" w:right="955"/>
              <w:rPr>
                <w:sz w:val="18"/>
              </w:rPr>
            </w:pPr>
            <w:r>
              <w:rPr>
                <w:sz w:val="18"/>
              </w:rPr>
              <w:t>(Increase)/decrease in other non-financial assets</w:t>
            </w:r>
          </w:p>
        </w:tc>
        <w:tc>
          <w:tcPr>
            <w:tcW w:w="1451" w:type="dxa"/>
          </w:tcPr>
          <w:p w14:paraId="6DA46E3F" w14:textId="77777777" w:rsidR="00FA4AA8" w:rsidRDefault="00FA4AA8">
            <w:pPr>
              <w:pStyle w:val="TableParagraph"/>
              <w:spacing w:before="8"/>
              <w:rPr>
                <w:b/>
                <w:sz w:val="19"/>
              </w:rPr>
            </w:pPr>
          </w:p>
          <w:p w14:paraId="58264CB7" w14:textId="77777777" w:rsidR="00FA4AA8" w:rsidRDefault="0015611F">
            <w:pPr>
              <w:pStyle w:val="TableParagraph"/>
              <w:ind w:right="237"/>
              <w:jc w:val="right"/>
              <w:rPr>
                <w:b/>
                <w:sz w:val="18"/>
              </w:rPr>
            </w:pPr>
            <w:r>
              <w:rPr>
                <w:b/>
                <w:sz w:val="18"/>
              </w:rPr>
              <w:t>1,162</w:t>
            </w:r>
          </w:p>
        </w:tc>
        <w:tc>
          <w:tcPr>
            <w:tcW w:w="1217" w:type="dxa"/>
          </w:tcPr>
          <w:p w14:paraId="5059E82A" w14:textId="77777777" w:rsidR="00FA4AA8" w:rsidRDefault="00FA4AA8">
            <w:pPr>
              <w:pStyle w:val="TableParagraph"/>
              <w:spacing w:before="8"/>
              <w:rPr>
                <w:b/>
                <w:sz w:val="19"/>
              </w:rPr>
            </w:pPr>
          </w:p>
          <w:p w14:paraId="242C6B60" w14:textId="77777777" w:rsidR="00FA4AA8" w:rsidRDefault="0015611F">
            <w:pPr>
              <w:pStyle w:val="TableParagraph"/>
              <w:ind w:right="261"/>
              <w:jc w:val="right"/>
              <w:rPr>
                <w:sz w:val="18"/>
              </w:rPr>
            </w:pPr>
            <w:r>
              <w:rPr>
                <w:sz w:val="18"/>
              </w:rPr>
              <w:t>(5,110)</w:t>
            </w:r>
          </w:p>
        </w:tc>
        <w:tc>
          <w:tcPr>
            <w:tcW w:w="1217" w:type="dxa"/>
          </w:tcPr>
          <w:p w14:paraId="57200CBA" w14:textId="77777777" w:rsidR="00FA4AA8" w:rsidRDefault="00FA4AA8">
            <w:pPr>
              <w:pStyle w:val="TableParagraph"/>
              <w:spacing w:before="8"/>
              <w:rPr>
                <w:b/>
                <w:sz w:val="19"/>
              </w:rPr>
            </w:pPr>
          </w:p>
          <w:p w14:paraId="03952706" w14:textId="77777777" w:rsidR="00FA4AA8" w:rsidRDefault="0015611F">
            <w:pPr>
              <w:pStyle w:val="TableParagraph"/>
              <w:ind w:right="238"/>
              <w:jc w:val="right"/>
              <w:rPr>
                <w:b/>
                <w:sz w:val="18"/>
              </w:rPr>
            </w:pPr>
            <w:r>
              <w:rPr>
                <w:b/>
                <w:sz w:val="18"/>
              </w:rPr>
              <w:t>1,162</w:t>
            </w:r>
          </w:p>
        </w:tc>
        <w:tc>
          <w:tcPr>
            <w:tcW w:w="983" w:type="dxa"/>
          </w:tcPr>
          <w:p w14:paraId="0C06B06E" w14:textId="77777777" w:rsidR="00FA4AA8" w:rsidRDefault="00FA4AA8">
            <w:pPr>
              <w:pStyle w:val="TableParagraph"/>
              <w:spacing w:before="8"/>
              <w:rPr>
                <w:b/>
                <w:sz w:val="19"/>
              </w:rPr>
            </w:pPr>
          </w:p>
          <w:p w14:paraId="77AB159E" w14:textId="77777777" w:rsidR="00FA4AA8" w:rsidRDefault="0015611F">
            <w:pPr>
              <w:pStyle w:val="TableParagraph"/>
              <w:ind w:right="27"/>
              <w:jc w:val="right"/>
              <w:rPr>
                <w:sz w:val="18"/>
              </w:rPr>
            </w:pPr>
            <w:r>
              <w:rPr>
                <w:sz w:val="18"/>
              </w:rPr>
              <w:t>(5,110)</w:t>
            </w:r>
          </w:p>
        </w:tc>
      </w:tr>
      <w:tr w:rsidR="00FA4AA8" w14:paraId="07AEEEF2" w14:textId="77777777">
        <w:trPr>
          <w:trHeight w:val="263"/>
        </w:trPr>
        <w:tc>
          <w:tcPr>
            <w:tcW w:w="4668" w:type="dxa"/>
          </w:tcPr>
          <w:p w14:paraId="57EDBC35" w14:textId="77777777" w:rsidR="00FA4AA8" w:rsidRDefault="0015611F">
            <w:pPr>
              <w:pStyle w:val="TableParagraph"/>
              <w:spacing w:before="26"/>
              <w:ind w:left="50"/>
              <w:rPr>
                <w:sz w:val="18"/>
              </w:rPr>
            </w:pPr>
            <w:r>
              <w:rPr>
                <w:sz w:val="18"/>
              </w:rPr>
              <w:t>Increase/(decrease) in trade creditors</w:t>
            </w:r>
          </w:p>
        </w:tc>
        <w:tc>
          <w:tcPr>
            <w:tcW w:w="1451" w:type="dxa"/>
          </w:tcPr>
          <w:p w14:paraId="565A2E2B" w14:textId="77777777" w:rsidR="00FA4AA8" w:rsidRDefault="0015611F">
            <w:pPr>
              <w:pStyle w:val="TableParagraph"/>
              <w:spacing w:before="24"/>
              <w:ind w:right="237"/>
              <w:jc w:val="right"/>
              <w:rPr>
                <w:b/>
                <w:sz w:val="18"/>
              </w:rPr>
            </w:pPr>
            <w:r>
              <w:rPr>
                <w:b/>
                <w:sz w:val="18"/>
              </w:rPr>
              <w:t>3,443</w:t>
            </w:r>
          </w:p>
        </w:tc>
        <w:tc>
          <w:tcPr>
            <w:tcW w:w="1217" w:type="dxa"/>
          </w:tcPr>
          <w:p w14:paraId="5CAA1D8F" w14:textId="77777777" w:rsidR="00FA4AA8" w:rsidRDefault="0015611F">
            <w:pPr>
              <w:pStyle w:val="TableParagraph"/>
              <w:spacing w:before="24"/>
              <w:ind w:left="339"/>
              <w:rPr>
                <w:sz w:val="18"/>
              </w:rPr>
            </w:pPr>
            <w:r>
              <w:rPr>
                <w:sz w:val="18"/>
              </w:rPr>
              <w:t>12,250</w:t>
            </w:r>
          </w:p>
        </w:tc>
        <w:tc>
          <w:tcPr>
            <w:tcW w:w="1217" w:type="dxa"/>
          </w:tcPr>
          <w:p w14:paraId="053CCD0C" w14:textId="77777777" w:rsidR="00FA4AA8" w:rsidRDefault="0015611F">
            <w:pPr>
              <w:pStyle w:val="TableParagraph"/>
              <w:spacing w:before="24"/>
              <w:ind w:right="238"/>
              <w:jc w:val="right"/>
              <w:rPr>
                <w:b/>
                <w:sz w:val="18"/>
              </w:rPr>
            </w:pPr>
            <w:r>
              <w:rPr>
                <w:b/>
                <w:sz w:val="18"/>
              </w:rPr>
              <w:t>2,683</w:t>
            </w:r>
          </w:p>
        </w:tc>
        <w:tc>
          <w:tcPr>
            <w:tcW w:w="983" w:type="dxa"/>
          </w:tcPr>
          <w:p w14:paraId="0892ED86" w14:textId="77777777" w:rsidR="00FA4AA8" w:rsidRDefault="0015611F">
            <w:pPr>
              <w:pStyle w:val="TableParagraph"/>
              <w:spacing w:before="24"/>
              <w:ind w:left="338"/>
              <w:rPr>
                <w:sz w:val="18"/>
              </w:rPr>
            </w:pPr>
            <w:r>
              <w:rPr>
                <w:sz w:val="18"/>
              </w:rPr>
              <w:t>12,134</w:t>
            </w:r>
          </w:p>
        </w:tc>
      </w:tr>
      <w:tr w:rsidR="00FA4AA8" w14:paraId="56FC19F1" w14:textId="77777777">
        <w:trPr>
          <w:trHeight w:val="256"/>
        </w:trPr>
        <w:tc>
          <w:tcPr>
            <w:tcW w:w="4668" w:type="dxa"/>
          </w:tcPr>
          <w:p w14:paraId="5D117568" w14:textId="77777777" w:rsidR="00FA4AA8" w:rsidRDefault="0015611F">
            <w:pPr>
              <w:pStyle w:val="TableParagraph"/>
              <w:spacing w:before="26"/>
              <w:ind w:left="50"/>
              <w:rPr>
                <w:sz w:val="18"/>
              </w:rPr>
            </w:pPr>
            <w:r>
              <w:rPr>
                <w:sz w:val="18"/>
              </w:rPr>
              <w:t>Increase/(decrease) in provisions</w:t>
            </w:r>
          </w:p>
        </w:tc>
        <w:tc>
          <w:tcPr>
            <w:tcW w:w="1451" w:type="dxa"/>
            <w:tcBorders>
              <w:bottom w:val="single" w:sz="8" w:space="0" w:color="000000"/>
            </w:tcBorders>
          </w:tcPr>
          <w:p w14:paraId="01D1F92B" w14:textId="77777777" w:rsidR="00FA4AA8" w:rsidRDefault="0015611F">
            <w:pPr>
              <w:pStyle w:val="TableParagraph"/>
              <w:spacing w:before="24"/>
              <w:ind w:right="237"/>
              <w:jc w:val="right"/>
              <w:rPr>
                <w:b/>
                <w:sz w:val="18"/>
              </w:rPr>
            </w:pPr>
            <w:r>
              <w:rPr>
                <w:b/>
                <w:sz w:val="18"/>
              </w:rPr>
              <w:t>37,256</w:t>
            </w:r>
          </w:p>
        </w:tc>
        <w:tc>
          <w:tcPr>
            <w:tcW w:w="1217" w:type="dxa"/>
            <w:tcBorders>
              <w:bottom w:val="single" w:sz="8" w:space="0" w:color="000000"/>
            </w:tcBorders>
          </w:tcPr>
          <w:p w14:paraId="6F5086B0" w14:textId="77777777" w:rsidR="00FA4AA8" w:rsidRDefault="0015611F">
            <w:pPr>
              <w:pStyle w:val="TableParagraph"/>
              <w:spacing w:before="24"/>
              <w:ind w:left="339"/>
              <w:rPr>
                <w:sz w:val="18"/>
              </w:rPr>
            </w:pPr>
            <w:r>
              <w:rPr>
                <w:sz w:val="18"/>
              </w:rPr>
              <w:t>14,664</w:t>
            </w:r>
          </w:p>
        </w:tc>
        <w:tc>
          <w:tcPr>
            <w:tcW w:w="1217" w:type="dxa"/>
            <w:tcBorders>
              <w:bottom w:val="single" w:sz="8" w:space="0" w:color="000000"/>
            </w:tcBorders>
          </w:tcPr>
          <w:p w14:paraId="7F4C0440" w14:textId="77777777" w:rsidR="00FA4AA8" w:rsidRDefault="0015611F">
            <w:pPr>
              <w:pStyle w:val="TableParagraph"/>
              <w:spacing w:before="24"/>
              <w:ind w:right="238"/>
              <w:jc w:val="right"/>
              <w:rPr>
                <w:b/>
                <w:sz w:val="18"/>
              </w:rPr>
            </w:pPr>
            <w:r>
              <w:rPr>
                <w:b/>
                <w:sz w:val="18"/>
              </w:rPr>
              <w:t>37,424</w:t>
            </w:r>
          </w:p>
        </w:tc>
        <w:tc>
          <w:tcPr>
            <w:tcW w:w="983" w:type="dxa"/>
            <w:tcBorders>
              <w:bottom w:val="single" w:sz="8" w:space="0" w:color="000000"/>
            </w:tcBorders>
          </w:tcPr>
          <w:p w14:paraId="224BF4D3" w14:textId="77777777" w:rsidR="00FA4AA8" w:rsidRDefault="0015611F">
            <w:pPr>
              <w:pStyle w:val="TableParagraph"/>
              <w:spacing w:before="24"/>
              <w:ind w:left="338"/>
              <w:rPr>
                <w:sz w:val="18"/>
              </w:rPr>
            </w:pPr>
            <w:r>
              <w:rPr>
                <w:sz w:val="18"/>
              </w:rPr>
              <w:t>14,425</w:t>
            </w:r>
          </w:p>
        </w:tc>
      </w:tr>
      <w:tr w:rsidR="00FA4AA8" w14:paraId="5E4F8B2B" w14:textId="77777777">
        <w:trPr>
          <w:trHeight w:val="322"/>
        </w:trPr>
        <w:tc>
          <w:tcPr>
            <w:tcW w:w="4668" w:type="dxa"/>
          </w:tcPr>
          <w:p w14:paraId="207C23D8" w14:textId="77777777" w:rsidR="00FA4AA8" w:rsidRDefault="0015611F">
            <w:pPr>
              <w:pStyle w:val="TableParagraph"/>
              <w:spacing w:before="115" w:line="187" w:lineRule="exact"/>
              <w:ind w:left="50"/>
              <w:rPr>
                <w:b/>
                <w:sz w:val="18"/>
              </w:rPr>
            </w:pPr>
            <w:r>
              <w:rPr>
                <w:b/>
                <w:sz w:val="18"/>
              </w:rPr>
              <w:t>Net cash provided by / (used in) operating</w:t>
            </w:r>
          </w:p>
        </w:tc>
        <w:tc>
          <w:tcPr>
            <w:tcW w:w="1451" w:type="dxa"/>
            <w:tcBorders>
              <w:top w:val="single" w:sz="8" w:space="0" w:color="000000"/>
            </w:tcBorders>
          </w:tcPr>
          <w:p w14:paraId="5577E185" w14:textId="77777777" w:rsidR="00FA4AA8" w:rsidRDefault="00FA4AA8">
            <w:pPr>
              <w:pStyle w:val="TableParagraph"/>
              <w:rPr>
                <w:rFonts w:ascii="Times New Roman"/>
                <w:sz w:val="18"/>
              </w:rPr>
            </w:pPr>
          </w:p>
        </w:tc>
        <w:tc>
          <w:tcPr>
            <w:tcW w:w="1217" w:type="dxa"/>
            <w:tcBorders>
              <w:top w:val="single" w:sz="8" w:space="0" w:color="000000"/>
            </w:tcBorders>
          </w:tcPr>
          <w:p w14:paraId="7313932A" w14:textId="77777777" w:rsidR="00FA4AA8" w:rsidRDefault="00FA4AA8">
            <w:pPr>
              <w:pStyle w:val="TableParagraph"/>
              <w:rPr>
                <w:rFonts w:ascii="Times New Roman"/>
                <w:sz w:val="18"/>
              </w:rPr>
            </w:pPr>
          </w:p>
        </w:tc>
        <w:tc>
          <w:tcPr>
            <w:tcW w:w="1217" w:type="dxa"/>
            <w:tcBorders>
              <w:top w:val="single" w:sz="8" w:space="0" w:color="000000"/>
            </w:tcBorders>
          </w:tcPr>
          <w:p w14:paraId="5101A905" w14:textId="77777777" w:rsidR="00FA4AA8" w:rsidRDefault="00FA4AA8">
            <w:pPr>
              <w:pStyle w:val="TableParagraph"/>
              <w:rPr>
                <w:rFonts w:ascii="Times New Roman"/>
                <w:sz w:val="18"/>
              </w:rPr>
            </w:pPr>
          </w:p>
        </w:tc>
        <w:tc>
          <w:tcPr>
            <w:tcW w:w="983" w:type="dxa"/>
            <w:tcBorders>
              <w:top w:val="single" w:sz="8" w:space="0" w:color="000000"/>
            </w:tcBorders>
          </w:tcPr>
          <w:p w14:paraId="47BDFAE9" w14:textId="77777777" w:rsidR="00FA4AA8" w:rsidRDefault="00FA4AA8">
            <w:pPr>
              <w:pStyle w:val="TableParagraph"/>
              <w:rPr>
                <w:rFonts w:ascii="Times New Roman"/>
                <w:sz w:val="18"/>
              </w:rPr>
            </w:pPr>
          </w:p>
        </w:tc>
      </w:tr>
    </w:tbl>
    <w:p w14:paraId="2C9AD840" w14:textId="77777777" w:rsidR="00FA4AA8" w:rsidRDefault="0015611F">
      <w:pPr>
        <w:tabs>
          <w:tab w:val="left" w:pos="5147"/>
          <w:tab w:val="left" w:pos="5704"/>
          <w:tab w:val="left" w:pos="6837"/>
          <w:tab w:val="left" w:pos="8138"/>
          <w:tab w:val="left" w:pos="9271"/>
        </w:tabs>
        <w:ind w:left="530"/>
        <w:rPr>
          <w:sz w:val="18"/>
        </w:rPr>
      </w:pPr>
      <w:r>
        <w:rPr>
          <w:b/>
          <w:sz w:val="18"/>
        </w:rPr>
        <w:t>activities</w:t>
      </w:r>
      <w:r>
        <w:rPr>
          <w:b/>
          <w:sz w:val="18"/>
        </w:rPr>
        <w:tab/>
      </w:r>
      <w:r>
        <w:rPr>
          <w:b/>
          <w:sz w:val="18"/>
          <w:u w:val="double"/>
        </w:rPr>
        <w:t xml:space="preserve"> </w:t>
      </w:r>
      <w:r>
        <w:rPr>
          <w:b/>
          <w:sz w:val="18"/>
          <w:u w:val="double"/>
        </w:rPr>
        <w:tab/>
      </w:r>
      <w:r>
        <w:rPr>
          <w:b/>
          <w:sz w:val="18"/>
          <w:u w:val="single"/>
        </w:rPr>
        <w:t>161,45</w:t>
      </w:r>
      <w:r>
        <w:rPr>
          <w:b/>
          <w:sz w:val="18"/>
        </w:rPr>
        <w:t>2</w:t>
      </w:r>
      <w:r>
        <w:rPr>
          <w:b/>
          <w:sz w:val="18"/>
        </w:rPr>
        <w:tab/>
      </w:r>
      <w:r>
        <w:rPr>
          <w:sz w:val="18"/>
          <w:u w:val="single"/>
        </w:rPr>
        <w:t>117,29</w:t>
      </w:r>
      <w:r>
        <w:rPr>
          <w:sz w:val="18"/>
        </w:rPr>
        <w:t>2</w:t>
      </w:r>
      <w:r>
        <w:rPr>
          <w:sz w:val="18"/>
        </w:rPr>
        <w:tab/>
      </w:r>
      <w:r>
        <w:rPr>
          <w:b/>
          <w:sz w:val="18"/>
          <w:u w:val="single"/>
        </w:rPr>
        <w:t>139,22</w:t>
      </w:r>
      <w:r>
        <w:rPr>
          <w:b/>
          <w:sz w:val="18"/>
        </w:rPr>
        <w:t>4</w:t>
      </w:r>
      <w:r>
        <w:rPr>
          <w:b/>
          <w:sz w:val="18"/>
        </w:rPr>
        <w:tab/>
      </w:r>
      <w:r>
        <w:rPr>
          <w:sz w:val="18"/>
        </w:rPr>
        <w:t>115,317</w:t>
      </w:r>
    </w:p>
    <w:p w14:paraId="4B66CABE" w14:textId="77777777" w:rsidR="00FA4AA8" w:rsidRDefault="00FA4AA8">
      <w:pPr>
        <w:rPr>
          <w:sz w:val="18"/>
        </w:rPr>
        <w:sectPr w:rsidR="00FA4AA8">
          <w:pgSz w:w="11910" w:h="16840"/>
          <w:pgMar w:top="2220" w:right="860" w:bottom="720" w:left="900" w:header="1016" w:footer="523" w:gutter="0"/>
          <w:cols w:space="720"/>
        </w:sectPr>
      </w:pPr>
    </w:p>
    <w:p w14:paraId="417CBD68" w14:textId="77777777" w:rsidR="00FA4AA8" w:rsidRDefault="00FA4AA8">
      <w:pPr>
        <w:pStyle w:val="BodyText"/>
        <w:rPr>
          <w:sz w:val="20"/>
        </w:rPr>
      </w:pPr>
    </w:p>
    <w:p w14:paraId="697B0536" w14:textId="77777777" w:rsidR="00FA4AA8" w:rsidRDefault="00FA4AA8">
      <w:pPr>
        <w:pStyle w:val="BodyText"/>
        <w:spacing w:before="10"/>
        <w:rPr>
          <w:sz w:val="29"/>
        </w:rPr>
      </w:pPr>
    </w:p>
    <w:p w14:paraId="2F83DEEE" w14:textId="77777777" w:rsidR="00FA4AA8" w:rsidRDefault="0015611F">
      <w:pPr>
        <w:numPr>
          <w:ilvl w:val="0"/>
          <w:numId w:val="77"/>
        </w:numPr>
        <w:tabs>
          <w:tab w:val="left" w:pos="564"/>
        </w:tabs>
        <w:spacing w:before="94"/>
        <w:ind w:left="564" w:hanging="397"/>
        <w:rPr>
          <w:b/>
          <w:sz w:val="18"/>
        </w:rPr>
      </w:pPr>
      <w:bookmarkStart w:id="84" w:name="37_Acquittal_of_Australian_Government_Fi"/>
      <w:bookmarkStart w:id="85" w:name="(a)_Education_-_CGS_and_other_Education_"/>
      <w:bookmarkEnd w:id="84"/>
      <w:bookmarkEnd w:id="85"/>
      <w:r>
        <w:rPr>
          <w:b/>
          <w:sz w:val="18"/>
        </w:rPr>
        <w:t>Acquittal of Australian Government Financial Assistance</w:t>
      </w:r>
    </w:p>
    <w:p w14:paraId="710C2307" w14:textId="77777777" w:rsidR="00FA4AA8" w:rsidRDefault="00FA4AA8">
      <w:pPr>
        <w:pStyle w:val="BodyText"/>
        <w:spacing w:before="5"/>
        <w:rPr>
          <w:b/>
        </w:rPr>
      </w:pPr>
    </w:p>
    <w:p w14:paraId="79A8CA30" w14:textId="77777777" w:rsidR="00FA4AA8" w:rsidRDefault="00FA4AA8">
      <w:pPr>
        <w:sectPr w:rsidR="00FA4AA8">
          <w:headerReference w:type="default" r:id="rId45"/>
          <w:footerReference w:type="default" r:id="rId46"/>
          <w:pgSz w:w="16840" w:h="11910" w:orient="landscape"/>
          <w:pgMar w:top="2220" w:right="880" w:bottom="720" w:left="840" w:header="1016" w:footer="523" w:gutter="0"/>
          <w:pgNumType w:start="71"/>
          <w:cols w:space="720"/>
        </w:sectPr>
      </w:pPr>
    </w:p>
    <w:p w14:paraId="5B617D03" w14:textId="77777777" w:rsidR="00FA4AA8" w:rsidRDefault="0015611F">
      <w:pPr>
        <w:pStyle w:val="ListParagraph"/>
        <w:numPr>
          <w:ilvl w:val="0"/>
          <w:numId w:val="75"/>
        </w:numPr>
        <w:tabs>
          <w:tab w:val="left" w:pos="564"/>
        </w:tabs>
        <w:spacing w:before="94"/>
        <w:ind w:hanging="397"/>
        <w:rPr>
          <w:b/>
          <w:sz w:val="18"/>
        </w:rPr>
      </w:pPr>
      <w:r>
        <w:rPr>
          <w:b/>
          <w:sz w:val="18"/>
        </w:rPr>
        <w:t>Education - CGS and other Education grants</w:t>
      </w:r>
    </w:p>
    <w:p w14:paraId="4605B362" w14:textId="77777777" w:rsidR="00FA4AA8" w:rsidRDefault="00FA4AA8">
      <w:pPr>
        <w:pStyle w:val="BodyText"/>
        <w:rPr>
          <w:b/>
          <w:sz w:val="20"/>
        </w:rPr>
      </w:pPr>
    </w:p>
    <w:p w14:paraId="63BF8187" w14:textId="77777777" w:rsidR="00FA4AA8" w:rsidRDefault="0015611F">
      <w:pPr>
        <w:spacing w:before="177"/>
        <w:ind w:left="4116" w:right="-14" w:firstLine="100"/>
        <w:rPr>
          <w:b/>
          <w:sz w:val="16"/>
        </w:rPr>
      </w:pPr>
      <w:r>
        <w:rPr>
          <w:b/>
          <w:sz w:val="16"/>
        </w:rPr>
        <w:t>Commonwealth Grants Scheme #1</w:t>
      </w:r>
    </w:p>
    <w:p w14:paraId="44D90A75" w14:textId="77777777" w:rsidR="00FA4AA8" w:rsidRDefault="0015611F">
      <w:pPr>
        <w:pStyle w:val="BodyText"/>
        <w:rPr>
          <w:b/>
        </w:rPr>
      </w:pPr>
      <w:r>
        <w:br w:type="column"/>
      </w:r>
    </w:p>
    <w:p w14:paraId="5573125B" w14:textId="77777777" w:rsidR="00FA4AA8" w:rsidRDefault="00FA4AA8">
      <w:pPr>
        <w:pStyle w:val="BodyText"/>
        <w:rPr>
          <w:b/>
        </w:rPr>
      </w:pPr>
    </w:p>
    <w:p w14:paraId="3A93FD75" w14:textId="77777777" w:rsidR="00FA4AA8" w:rsidRDefault="0015611F">
      <w:pPr>
        <w:spacing w:before="110"/>
        <w:ind w:left="66"/>
        <w:jc w:val="center"/>
        <w:rPr>
          <w:b/>
          <w:sz w:val="16"/>
        </w:rPr>
      </w:pPr>
      <w:r>
        <w:rPr>
          <w:b/>
          <w:sz w:val="16"/>
        </w:rPr>
        <w:t>Indigenous Student Success Program #3</w:t>
      </w:r>
    </w:p>
    <w:p w14:paraId="5A6F4785" w14:textId="77777777" w:rsidR="00FA4AA8" w:rsidRDefault="0015611F">
      <w:pPr>
        <w:pStyle w:val="BodyText"/>
        <w:rPr>
          <w:b/>
        </w:rPr>
      </w:pPr>
      <w:r>
        <w:br w:type="column"/>
      </w:r>
    </w:p>
    <w:p w14:paraId="7A17A73C" w14:textId="77777777" w:rsidR="00FA4AA8" w:rsidRDefault="00FA4AA8">
      <w:pPr>
        <w:pStyle w:val="BodyText"/>
        <w:rPr>
          <w:b/>
        </w:rPr>
      </w:pPr>
    </w:p>
    <w:p w14:paraId="7877948A" w14:textId="77777777" w:rsidR="00FA4AA8" w:rsidRDefault="00FA4AA8">
      <w:pPr>
        <w:pStyle w:val="BodyText"/>
        <w:spacing w:before="7"/>
        <w:rPr>
          <w:b/>
          <w:sz w:val="25"/>
        </w:rPr>
      </w:pPr>
    </w:p>
    <w:p w14:paraId="1E8A7A21" w14:textId="77777777" w:rsidR="00FA4AA8" w:rsidRDefault="0015611F">
      <w:pPr>
        <w:ind w:left="61" w:right="30" w:firstLine="264"/>
        <w:rPr>
          <w:b/>
          <w:sz w:val="16"/>
        </w:rPr>
      </w:pPr>
      <w:r>
        <w:rPr>
          <w:b/>
          <w:sz w:val="16"/>
        </w:rPr>
        <w:t>Access and Participation Fund</w:t>
      </w:r>
    </w:p>
    <w:p w14:paraId="417C118A" w14:textId="77777777" w:rsidR="00FA4AA8" w:rsidRDefault="0015611F">
      <w:pPr>
        <w:pStyle w:val="BodyText"/>
        <w:rPr>
          <w:b/>
        </w:rPr>
      </w:pPr>
      <w:r>
        <w:br w:type="column"/>
      </w:r>
    </w:p>
    <w:p w14:paraId="4FB9B4E5" w14:textId="77777777" w:rsidR="00FA4AA8" w:rsidRDefault="00FA4AA8">
      <w:pPr>
        <w:pStyle w:val="BodyText"/>
        <w:rPr>
          <w:b/>
        </w:rPr>
      </w:pPr>
    </w:p>
    <w:p w14:paraId="225DA643" w14:textId="77777777" w:rsidR="00FA4AA8" w:rsidRDefault="0015611F">
      <w:pPr>
        <w:spacing w:before="110"/>
        <w:ind w:left="167" w:right="38" w:firstLine="6"/>
        <w:jc w:val="center"/>
        <w:rPr>
          <w:b/>
          <w:sz w:val="16"/>
        </w:rPr>
      </w:pPr>
      <w:r>
        <w:rPr>
          <w:b/>
          <w:sz w:val="16"/>
        </w:rPr>
        <w:t>Disability Performance Funding #2</w:t>
      </w:r>
    </w:p>
    <w:p w14:paraId="7DC00F7C" w14:textId="77777777" w:rsidR="00FA4AA8" w:rsidRDefault="0015611F">
      <w:pPr>
        <w:pStyle w:val="BodyText"/>
        <w:rPr>
          <w:b/>
        </w:rPr>
      </w:pPr>
      <w:r>
        <w:br w:type="column"/>
      </w:r>
    </w:p>
    <w:p w14:paraId="4C1EFC43" w14:textId="77777777" w:rsidR="00FA4AA8" w:rsidRDefault="00FA4AA8">
      <w:pPr>
        <w:pStyle w:val="BodyText"/>
        <w:rPr>
          <w:b/>
        </w:rPr>
      </w:pPr>
    </w:p>
    <w:p w14:paraId="5BC065B0" w14:textId="77777777" w:rsidR="00FA4AA8" w:rsidRDefault="00FA4AA8">
      <w:pPr>
        <w:pStyle w:val="BodyText"/>
        <w:spacing w:before="7"/>
        <w:rPr>
          <w:b/>
          <w:sz w:val="25"/>
        </w:rPr>
      </w:pPr>
    </w:p>
    <w:p w14:paraId="7F09F87C" w14:textId="77777777" w:rsidR="00FA4AA8" w:rsidRDefault="0015611F">
      <w:pPr>
        <w:ind w:left="681" w:right="29" w:hanging="514"/>
        <w:rPr>
          <w:b/>
          <w:sz w:val="16"/>
        </w:rPr>
      </w:pPr>
      <w:r>
        <w:rPr>
          <w:b/>
          <w:sz w:val="16"/>
        </w:rPr>
        <w:t>National Priorities Pool</w:t>
      </w:r>
    </w:p>
    <w:p w14:paraId="3C8EAE4C" w14:textId="77777777" w:rsidR="00FA4AA8" w:rsidRDefault="0015611F">
      <w:pPr>
        <w:pStyle w:val="BodyText"/>
        <w:rPr>
          <w:b/>
        </w:rPr>
      </w:pPr>
      <w:r>
        <w:br w:type="column"/>
      </w:r>
    </w:p>
    <w:p w14:paraId="48C18030" w14:textId="77777777" w:rsidR="00FA4AA8" w:rsidRDefault="0015611F">
      <w:pPr>
        <w:spacing w:before="132"/>
        <w:ind w:left="167" w:right="2059" w:firstLine="7"/>
        <w:jc w:val="both"/>
        <w:rPr>
          <w:b/>
          <w:sz w:val="16"/>
        </w:rPr>
      </w:pPr>
      <w:r>
        <w:rPr>
          <w:b/>
          <w:sz w:val="16"/>
        </w:rPr>
        <w:t>Promotion of Excellence in Learning and</w:t>
      </w:r>
    </w:p>
    <w:p w14:paraId="425F7E77" w14:textId="77777777" w:rsidR="00FA4AA8" w:rsidRDefault="0015611F">
      <w:pPr>
        <w:tabs>
          <w:tab w:val="left" w:pos="2104"/>
        </w:tabs>
        <w:spacing w:before="2"/>
        <w:ind w:left="326"/>
        <w:jc w:val="both"/>
        <w:rPr>
          <w:b/>
          <w:sz w:val="16"/>
        </w:rPr>
      </w:pPr>
      <w:r>
        <w:rPr>
          <w:b/>
          <w:sz w:val="16"/>
        </w:rPr>
        <w:t>Teaching</w:t>
      </w:r>
      <w:r>
        <w:rPr>
          <w:b/>
          <w:sz w:val="16"/>
        </w:rPr>
        <w:tab/>
        <w:t>Total</w:t>
      </w:r>
    </w:p>
    <w:p w14:paraId="64836A94" w14:textId="77777777" w:rsidR="00FA4AA8" w:rsidRDefault="00FA4AA8">
      <w:pPr>
        <w:jc w:val="both"/>
        <w:rPr>
          <w:sz w:val="16"/>
        </w:rPr>
        <w:sectPr w:rsidR="00FA4AA8">
          <w:type w:val="continuous"/>
          <w:pgSz w:w="16840" w:h="11910" w:orient="landscape"/>
          <w:pgMar w:top="20" w:right="880" w:bottom="0" w:left="840" w:header="720" w:footer="720" w:gutter="0"/>
          <w:cols w:num="6" w:space="720" w:equalWidth="0">
            <w:col w:w="5519" w:space="40"/>
            <w:col w:w="1571" w:space="39"/>
            <w:col w:w="1516" w:space="154"/>
            <w:col w:w="1191" w:space="137"/>
            <w:col w:w="1586" w:space="115"/>
            <w:col w:w="3252"/>
          </w:cols>
        </w:sectPr>
      </w:pPr>
    </w:p>
    <w:p w14:paraId="209C9752" w14:textId="77777777" w:rsidR="00FA4AA8" w:rsidRDefault="00FA4AA8">
      <w:pPr>
        <w:pStyle w:val="BodyText"/>
        <w:rPr>
          <w:b/>
        </w:rPr>
      </w:pPr>
    </w:p>
    <w:p w14:paraId="3265D951" w14:textId="77777777" w:rsidR="00FA4AA8" w:rsidRDefault="0015611F">
      <w:pPr>
        <w:tabs>
          <w:tab w:val="left" w:pos="3621"/>
        </w:tabs>
        <w:spacing w:before="135"/>
        <w:ind w:left="602"/>
        <w:rPr>
          <w:b/>
          <w:sz w:val="16"/>
        </w:rPr>
      </w:pPr>
      <w:r>
        <w:rPr>
          <w:b/>
          <w:sz w:val="16"/>
        </w:rPr>
        <w:t>Parent Entity</w:t>
      </w:r>
      <w:r>
        <w:rPr>
          <w:b/>
          <w:spacing w:val="-12"/>
          <w:sz w:val="16"/>
        </w:rPr>
        <w:t xml:space="preserve"> </w:t>
      </w:r>
      <w:r>
        <w:rPr>
          <w:b/>
          <w:sz w:val="16"/>
        </w:rPr>
        <w:t>(University)</w:t>
      </w:r>
      <w:r>
        <w:rPr>
          <w:b/>
          <w:spacing w:val="-1"/>
          <w:sz w:val="16"/>
        </w:rPr>
        <w:t xml:space="preserve"> </w:t>
      </w:r>
      <w:r>
        <w:rPr>
          <w:b/>
          <w:sz w:val="16"/>
        </w:rPr>
        <w:t>Only</w:t>
      </w:r>
      <w:r>
        <w:rPr>
          <w:b/>
          <w:sz w:val="16"/>
        </w:rPr>
        <w:tab/>
      </w:r>
      <w:r>
        <w:rPr>
          <w:b/>
          <w:spacing w:val="-6"/>
          <w:sz w:val="16"/>
        </w:rPr>
        <w:t>Note</w:t>
      </w:r>
    </w:p>
    <w:p w14:paraId="084EB891" w14:textId="77777777" w:rsidR="00FA4AA8" w:rsidRDefault="0015611F">
      <w:pPr>
        <w:spacing w:before="61"/>
        <w:ind w:left="602" w:right="989"/>
        <w:rPr>
          <w:sz w:val="16"/>
        </w:rPr>
      </w:pPr>
      <w:r>
        <w:rPr>
          <w:sz w:val="16"/>
        </w:rPr>
        <w:t>Financial assistance received in CASH during the reporting period (total cash received from the Australian Government for the program)</w:t>
      </w:r>
    </w:p>
    <w:p w14:paraId="4F0B58BC" w14:textId="77777777" w:rsidR="00FA4AA8" w:rsidRDefault="0015611F">
      <w:pPr>
        <w:spacing w:before="61"/>
        <w:ind w:left="602"/>
        <w:rPr>
          <w:sz w:val="16"/>
        </w:rPr>
      </w:pPr>
      <w:r>
        <w:rPr>
          <w:sz w:val="16"/>
        </w:rPr>
        <w:t>Net accrual adjustments</w:t>
      </w:r>
    </w:p>
    <w:p w14:paraId="0157F7C5" w14:textId="77777777" w:rsidR="00FA4AA8" w:rsidRDefault="0015611F">
      <w:pPr>
        <w:tabs>
          <w:tab w:val="right" w:pos="3845"/>
        </w:tabs>
        <w:spacing w:before="78"/>
        <w:ind w:left="602"/>
        <w:rPr>
          <w:sz w:val="16"/>
        </w:rPr>
      </w:pPr>
      <w:r>
        <w:rPr>
          <w:sz w:val="16"/>
        </w:rPr>
        <w:t>Revenue for</w:t>
      </w:r>
      <w:r>
        <w:rPr>
          <w:spacing w:val="-3"/>
          <w:sz w:val="16"/>
        </w:rPr>
        <w:t xml:space="preserve"> </w:t>
      </w:r>
      <w:r>
        <w:rPr>
          <w:sz w:val="16"/>
        </w:rPr>
        <w:t>the</w:t>
      </w:r>
      <w:r>
        <w:rPr>
          <w:spacing w:val="-1"/>
          <w:sz w:val="16"/>
        </w:rPr>
        <w:t xml:space="preserve"> </w:t>
      </w:r>
      <w:r>
        <w:rPr>
          <w:sz w:val="16"/>
        </w:rPr>
        <w:t>period</w:t>
      </w:r>
      <w:r>
        <w:rPr>
          <w:sz w:val="16"/>
        </w:rPr>
        <w:tab/>
        <w:t>2</w:t>
      </w:r>
    </w:p>
    <w:p w14:paraId="26C90162" w14:textId="77777777" w:rsidR="00FA4AA8" w:rsidRDefault="0015611F">
      <w:pPr>
        <w:spacing w:before="54"/>
        <w:ind w:left="602" w:right="962"/>
        <w:rPr>
          <w:sz w:val="16"/>
        </w:rPr>
      </w:pPr>
      <w:r>
        <w:rPr>
          <w:sz w:val="16"/>
        </w:rPr>
        <w:t>Surplus/(deficit) from the previous year</w:t>
      </w:r>
    </w:p>
    <w:p w14:paraId="0846C4A7" w14:textId="77777777" w:rsidR="00FA4AA8" w:rsidRDefault="0015611F">
      <w:pPr>
        <w:spacing w:before="73"/>
        <w:ind w:left="602" w:right="1086"/>
        <w:rPr>
          <w:sz w:val="16"/>
        </w:rPr>
      </w:pPr>
      <w:r>
        <w:rPr>
          <w:sz w:val="16"/>
        </w:rPr>
        <w:t>Total revenue including accrued revenue</w:t>
      </w:r>
    </w:p>
    <w:p w14:paraId="1DF2F48D" w14:textId="77777777" w:rsidR="00FA4AA8" w:rsidRDefault="0015611F">
      <w:pPr>
        <w:spacing w:before="55"/>
        <w:ind w:left="602" w:right="997"/>
        <w:rPr>
          <w:sz w:val="16"/>
        </w:rPr>
      </w:pPr>
      <w:r>
        <w:rPr>
          <w:sz w:val="16"/>
        </w:rPr>
        <w:t>Less expenses including accrued expenses</w:t>
      </w:r>
    </w:p>
    <w:p w14:paraId="0C9C980F" w14:textId="77777777" w:rsidR="00FA4AA8" w:rsidRDefault="0015611F">
      <w:pPr>
        <w:spacing w:before="133"/>
        <w:ind w:left="602"/>
        <w:rPr>
          <w:sz w:val="16"/>
        </w:rPr>
      </w:pPr>
      <w:r>
        <w:rPr>
          <w:sz w:val="16"/>
        </w:rPr>
        <w:t>Surplus/(deficit) for reporting period</w:t>
      </w:r>
    </w:p>
    <w:p w14:paraId="6E823693" w14:textId="77777777" w:rsidR="00FA4AA8" w:rsidRDefault="0015611F">
      <w:pPr>
        <w:spacing w:before="90"/>
        <w:ind w:left="231"/>
        <w:rPr>
          <w:b/>
          <w:sz w:val="16"/>
        </w:rPr>
      </w:pPr>
      <w:r>
        <w:br w:type="column"/>
      </w:r>
      <w:r>
        <w:rPr>
          <w:b/>
          <w:sz w:val="16"/>
        </w:rPr>
        <w:t>2018</w:t>
      </w:r>
    </w:p>
    <w:p w14:paraId="147493AA" w14:textId="77777777" w:rsidR="00FA4AA8" w:rsidRDefault="0015611F">
      <w:pPr>
        <w:spacing w:before="68"/>
        <w:ind w:left="211"/>
        <w:rPr>
          <w:b/>
          <w:sz w:val="16"/>
        </w:rPr>
      </w:pPr>
      <w:r>
        <w:rPr>
          <w:b/>
          <w:spacing w:val="-1"/>
          <w:sz w:val="16"/>
        </w:rPr>
        <w:t>$'000</w:t>
      </w:r>
    </w:p>
    <w:p w14:paraId="57518BFE" w14:textId="77777777" w:rsidR="00FA4AA8" w:rsidRDefault="0015611F">
      <w:pPr>
        <w:spacing w:before="90"/>
        <w:ind w:left="348"/>
        <w:rPr>
          <w:b/>
          <w:sz w:val="16"/>
        </w:rPr>
      </w:pPr>
      <w:r>
        <w:br w:type="column"/>
      </w:r>
      <w:r>
        <w:rPr>
          <w:b/>
          <w:sz w:val="16"/>
        </w:rPr>
        <w:t>2017</w:t>
      </w:r>
    </w:p>
    <w:p w14:paraId="6E7461B1" w14:textId="77777777" w:rsidR="00FA4AA8" w:rsidRDefault="0015611F">
      <w:pPr>
        <w:spacing w:before="68"/>
        <w:ind w:left="329"/>
        <w:rPr>
          <w:b/>
          <w:sz w:val="16"/>
        </w:rPr>
      </w:pPr>
      <w:r>
        <w:rPr>
          <w:b/>
          <w:spacing w:val="-1"/>
          <w:sz w:val="16"/>
        </w:rPr>
        <w:t>$'000</w:t>
      </w:r>
    </w:p>
    <w:p w14:paraId="01D4BC04" w14:textId="77777777" w:rsidR="00FA4AA8" w:rsidRDefault="0015611F">
      <w:pPr>
        <w:spacing w:before="90"/>
        <w:ind w:left="382"/>
        <w:rPr>
          <w:b/>
          <w:sz w:val="16"/>
        </w:rPr>
      </w:pPr>
      <w:r>
        <w:br w:type="column"/>
      </w:r>
      <w:r>
        <w:rPr>
          <w:b/>
          <w:sz w:val="16"/>
        </w:rPr>
        <w:t>2018</w:t>
      </w:r>
    </w:p>
    <w:p w14:paraId="593D8A8B" w14:textId="77777777" w:rsidR="00FA4AA8" w:rsidRDefault="0015611F">
      <w:pPr>
        <w:spacing w:before="68"/>
        <w:ind w:left="363"/>
        <w:rPr>
          <w:b/>
          <w:sz w:val="16"/>
        </w:rPr>
      </w:pPr>
      <w:r>
        <w:rPr>
          <w:b/>
          <w:spacing w:val="-1"/>
          <w:sz w:val="16"/>
        </w:rPr>
        <w:t>$'000</w:t>
      </w:r>
    </w:p>
    <w:p w14:paraId="28F8CCF8" w14:textId="77777777" w:rsidR="00FA4AA8" w:rsidRDefault="0015611F">
      <w:pPr>
        <w:spacing w:before="90"/>
        <w:ind w:left="348"/>
        <w:rPr>
          <w:b/>
          <w:sz w:val="16"/>
        </w:rPr>
      </w:pPr>
      <w:r>
        <w:br w:type="column"/>
      </w:r>
      <w:r>
        <w:rPr>
          <w:b/>
          <w:sz w:val="16"/>
        </w:rPr>
        <w:t>2017</w:t>
      </w:r>
    </w:p>
    <w:p w14:paraId="6BDC01BC" w14:textId="77777777" w:rsidR="00FA4AA8" w:rsidRDefault="0015611F">
      <w:pPr>
        <w:spacing w:before="68"/>
        <w:ind w:left="329"/>
        <w:rPr>
          <w:b/>
          <w:sz w:val="16"/>
        </w:rPr>
      </w:pPr>
      <w:r>
        <w:rPr>
          <w:b/>
          <w:spacing w:val="-1"/>
          <w:sz w:val="16"/>
        </w:rPr>
        <w:t>$'000</w:t>
      </w:r>
    </w:p>
    <w:p w14:paraId="723B799D" w14:textId="77777777" w:rsidR="00FA4AA8" w:rsidRDefault="0015611F">
      <w:pPr>
        <w:spacing w:before="90"/>
        <w:ind w:left="382"/>
        <w:rPr>
          <w:b/>
          <w:sz w:val="16"/>
        </w:rPr>
      </w:pPr>
      <w:r>
        <w:br w:type="column"/>
      </w:r>
      <w:r>
        <w:rPr>
          <w:b/>
          <w:sz w:val="16"/>
        </w:rPr>
        <w:t>2018</w:t>
      </w:r>
    </w:p>
    <w:p w14:paraId="6EB560A9" w14:textId="77777777" w:rsidR="00FA4AA8" w:rsidRDefault="0015611F">
      <w:pPr>
        <w:spacing w:before="68"/>
        <w:ind w:left="363"/>
        <w:rPr>
          <w:b/>
          <w:sz w:val="16"/>
        </w:rPr>
      </w:pPr>
      <w:r>
        <w:rPr>
          <w:b/>
          <w:spacing w:val="-1"/>
          <w:sz w:val="16"/>
        </w:rPr>
        <w:t>$'000</w:t>
      </w:r>
    </w:p>
    <w:p w14:paraId="3F4A3180" w14:textId="77777777" w:rsidR="00FA4AA8" w:rsidRDefault="0015611F">
      <w:pPr>
        <w:spacing w:before="90"/>
        <w:ind w:left="348"/>
        <w:rPr>
          <w:b/>
          <w:sz w:val="16"/>
        </w:rPr>
      </w:pPr>
      <w:r>
        <w:br w:type="column"/>
      </w:r>
      <w:r>
        <w:rPr>
          <w:b/>
          <w:sz w:val="16"/>
        </w:rPr>
        <w:t>2017</w:t>
      </w:r>
    </w:p>
    <w:p w14:paraId="1C59C9F4" w14:textId="77777777" w:rsidR="00FA4AA8" w:rsidRDefault="0015611F">
      <w:pPr>
        <w:spacing w:before="68"/>
        <w:ind w:left="329"/>
        <w:rPr>
          <w:b/>
          <w:sz w:val="16"/>
        </w:rPr>
      </w:pPr>
      <w:r>
        <w:rPr>
          <w:b/>
          <w:spacing w:val="-1"/>
          <w:sz w:val="16"/>
        </w:rPr>
        <w:t>$'000</w:t>
      </w:r>
    </w:p>
    <w:p w14:paraId="3BA54FEF" w14:textId="77777777" w:rsidR="00FA4AA8" w:rsidRDefault="0015611F">
      <w:pPr>
        <w:spacing w:before="90"/>
        <w:ind w:left="382"/>
        <w:rPr>
          <w:b/>
          <w:sz w:val="16"/>
        </w:rPr>
      </w:pPr>
      <w:r>
        <w:br w:type="column"/>
      </w:r>
      <w:r>
        <w:rPr>
          <w:b/>
          <w:sz w:val="16"/>
        </w:rPr>
        <w:t>2018</w:t>
      </w:r>
    </w:p>
    <w:p w14:paraId="4FF869CD" w14:textId="77777777" w:rsidR="00FA4AA8" w:rsidRDefault="0015611F">
      <w:pPr>
        <w:spacing w:before="68"/>
        <w:ind w:left="363"/>
        <w:rPr>
          <w:b/>
          <w:sz w:val="16"/>
        </w:rPr>
      </w:pPr>
      <w:r>
        <w:rPr>
          <w:b/>
          <w:spacing w:val="-1"/>
          <w:sz w:val="16"/>
        </w:rPr>
        <w:t>$'000</w:t>
      </w:r>
    </w:p>
    <w:p w14:paraId="07FFBF7C" w14:textId="77777777" w:rsidR="00FA4AA8" w:rsidRDefault="0015611F">
      <w:pPr>
        <w:spacing w:before="90"/>
        <w:ind w:left="348"/>
        <w:rPr>
          <w:b/>
          <w:sz w:val="16"/>
        </w:rPr>
      </w:pPr>
      <w:r>
        <w:br w:type="column"/>
      </w:r>
      <w:r>
        <w:rPr>
          <w:b/>
          <w:sz w:val="16"/>
        </w:rPr>
        <w:t>2017</w:t>
      </w:r>
    </w:p>
    <w:p w14:paraId="79619BA2" w14:textId="77777777" w:rsidR="00FA4AA8" w:rsidRDefault="0015611F">
      <w:pPr>
        <w:spacing w:before="68"/>
        <w:ind w:left="329"/>
        <w:rPr>
          <w:b/>
          <w:sz w:val="16"/>
        </w:rPr>
      </w:pPr>
      <w:r>
        <w:rPr>
          <w:b/>
          <w:spacing w:val="-1"/>
          <w:sz w:val="16"/>
        </w:rPr>
        <w:t>$'000</w:t>
      </w:r>
    </w:p>
    <w:p w14:paraId="309CA0C5" w14:textId="77777777" w:rsidR="00FA4AA8" w:rsidRDefault="0015611F">
      <w:pPr>
        <w:spacing w:before="90"/>
        <w:ind w:left="365"/>
        <w:rPr>
          <w:b/>
          <w:sz w:val="16"/>
        </w:rPr>
      </w:pPr>
      <w:r>
        <w:br w:type="column"/>
      </w:r>
      <w:r>
        <w:rPr>
          <w:b/>
          <w:sz w:val="16"/>
        </w:rPr>
        <w:t>2018</w:t>
      </w:r>
    </w:p>
    <w:p w14:paraId="03D0766B" w14:textId="77777777" w:rsidR="00FA4AA8" w:rsidRDefault="0015611F">
      <w:pPr>
        <w:spacing w:before="68"/>
        <w:ind w:left="346"/>
        <w:rPr>
          <w:b/>
          <w:sz w:val="16"/>
        </w:rPr>
      </w:pPr>
      <w:r>
        <w:rPr>
          <w:b/>
          <w:spacing w:val="-1"/>
          <w:sz w:val="16"/>
        </w:rPr>
        <w:t>$'000</w:t>
      </w:r>
    </w:p>
    <w:p w14:paraId="6F5B99F8" w14:textId="77777777" w:rsidR="00FA4AA8" w:rsidRDefault="0015611F">
      <w:pPr>
        <w:spacing w:before="90"/>
        <w:ind w:left="315"/>
        <w:rPr>
          <w:b/>
          <w:sz w:val="16"/>
        </w:rPr>
      </w:pPr>
      <w:r>
        <w:br w:type="column"/>
      </w:r>
      <w:r>
        <w:rPr>
          <w:b/>
          <w:sz w:val="16"/>
        </w:rPr>
        <w:t>2017</w:t>
      </w:r>
    </w:p>
    <w:p w14:paraId="282EBAA7" w14:textId="77777777" w:rsidR="00FA4AA8" w:rsidRDefault="0015611F">
      <w:pPr>
        <w:spacing w:before="68"/>
        <w:ind w:left="295"/>
        <w:rPr>
          <w:b/>
          <w:sz w:val="16"/>
        </w:rPr>
      </w:pPr>
      <w:r>
        <w:rPr>
          <w:b/>
          <w:spacing w:val="-1"/>
          <w:sz w:val="16"/>
        </w:rPr>
        <w:t>$'000</w:t>
      </w:r>
    </w:p>
    <w:p w14:paraId="23BB6060" w14:textId="77777777" w:rsidR="00FA4AA8" w:rsidRDefault="0015611F">
      <w:pPr>
        <w:spacing w:before="90"/>
        <w:ind w:left="360"/>
        <w:rPr>
          <w:b/>
          <w:sz w:val="16"/>
        </w:rPr>
      </w:pPr>
      <w:r>
        <w:br w:type="column"/>
      </w:r>
      <w:r>
        <w:rPr>
          <w:b/>
          <w:sz w:val="16"/>
        </w:rPr>
        <w:t>2018</w:t>
      </w:r>
    </w:p>
    <w:p w14:paraId="666D1631" w14:textId="77777777" w:rsidR="00FA4AA8" w:rsidRDefault="0015611F">
      <w:pPr>
        <w:spacing w:before="68"/>
        <w:ind w:left="341"/>
        <w:rPr>
          <w:b/>
          <w:sz w:val="16"/>
        </w:rPr>
      </w:pPr>
      <w:r>
        <w:rPr>
          <w:b/>
          <w:spacing w:val="-1"/>
          <w:sz w:val="16"/>
        </w:rPr>
        <w:t>$'000</w:t>
      </w:r>
    </w:p>
    <w:p w14:paraId="01F95568" w14:textId="77777777" w:rsidR="00FA4AA8" w:rsidRDefault="0015611F">
      <w:pPr>
        <w:spacing w:before="90"/>
        <w:ind w:left="360"/>
        <w:rPr>
          <w:b/>
          <w:sz w:val="16"/>
        </w:rPr>
      </w:pPr>
      <w:r>
        <w:br w:type="column"/>
      </w:r>
      <w:r>
        <w:rPr>
          <w:b/>
          <w:sz w:val="16"/>
        </w:rPr>
        <w:t>2017</w:t>
      </w:r>
    </w:p>
    <w:p w14:paraId="554E3712" w14:textId="77777777" w:rsidR="00FA4AA8" w:rsidRDefault="0015611F">
      <w:pPr>
        <w:spacing w:before="68"/>
        <w:ind w:left="341"/>
        <w:rPr>
          <w:b/>
          <w:sz w:val="16"/>
        </w:rPr>
      </w:pPr>
      <w:r>
        <w:rPr>
          <w:b/>
          <w:spacing w:val="-1"/>
          <w:sz w:val="16"/>
        </w:rPr>
        <w:t>$'000</w:t>
      </w:r>
    </w:p>
    <w:p w14:paraId="34A38189" w14:textId="77777777" w:rsidR="00FA4AA8" w:rsidRDefault="0015611F">
      <w:pPr>
        <w:spacing w:before="90"/>
        <w:ind w:left="399"/>
        <w:rPr>
          <w:b/>
          <w:sz w:val="16"/>
        </w:rPr>
      </w:pPr>
      <w:r>
        <w:br w:type="column"/>
      </w:r>
      <w:r>
        <w:rPr>
          <w:b/>
          <w:sz w:val="16"/>
        </w:rPr>
        <w:t>2018</w:t>
      </w:r>
    </w:p>
    <w:p w14:paraId="7FAD46FF" w14:textId="77777777" w:rsidR="00FA4AA8" w:rsidRDefault="0015611F">
      <w:pPr>
        <w:spacing w:before="68"/>
        <w:ind w:left="379"/>
        <w:rPr>
          <w:b/>
          <w:sz w:val="16"/>
        </w:rPr>
      </w:pPr>
      <w:r>
        <w:rPr>
          <w:b/>
          <w:spacing w:val="-1"/>
          <w:sz w:val="16"/>
        </w:rPr>
        <w:t>$'000</w:t>
      </w:r>
    </w:p>
    <w:p w14:paraId="3589A9DC" w14:textId="77777777" w:rsidR="00FA4AA8" w:rsidRDefault="0015611F">
      <w:pPr>
        <w:spacing w:before="90"/>
        <w:ind w:left="415"/>
        <w:rPr>
          <w:b/>
          <w:sz w:val="16"/>
        </w:rPr>
      </w:pPr>
      <w:r>
        <w:br w:type="column"/>
      </w:r>
      <w:r>
        <w:rPr>
          <w:b/>
          <w:sz w:val="16"/>
        </w:rPr>
        <w:t>2017</w:t>
      </w:r>
    </w:p>
    <w:p w14:paraId="7D463542" w14:textId="77777777" w:rsidR="00FA4AA8" w:rsidRDefault="0015611F">
      <w:pPr>
        <w:spacing w:before="68"/>
        <w:ind w:left="396"/>
        <w:rPr>
          <w:b/>
          <w:sz w:val="16"/>
        </w:rPr>
      </w:pPr>
      <w:r>
        <w:rPr>
          <w:b/>
          <w:sz w:val="16"/>
        </w:rPr>
        <w:t>$'000</w:t>
      </w:r>
    </w:p>
    <w:p w14:paraId="09762B1A" w14:textId="77777777" w:rsidR="00FA4AA8" w:rsidRDefault="00FA4AA8">
      <w:pPr>
        <w:rPr>
          <w:sz w:val="16"/>
        </w:rPr>
        <w:sectPr w:rsidR="00FA4AA8">
          <w:type w:val="continuous"/>
          <w:pgSz w:w="16840" w:h="11910" w:orient="landscape"/>
          <w:pgMar w:top="20" w:right="880" w:bottom="0" w:left="840" w:header="720" w:footer="720" w:gutter="0"/>
          <w:cols w:num="15" w:space="720" w:equalWidth="0">
            <w:col w:w="3977" w:space="40"/>
            <w:col w:w="606" w:space="39"/>
            <w:col w:w="724" w:space="40"/>
            <w:col w:w="757" w:space="39"/>
            <w:col w:w="724" w:space="40"/>
            <w:col w:w="757" w:space="39"/>
            <w:col w:w="724" w:space="40"/>
            <w:col w:w="757" w:space="39"/>
            <w:col w:w="724" w:space="40"/>
            <w:col w:w="740" w:space="39"/>
            <w:col w:w="690" w:space="40"/>
            <w:col w:w="736" w:space="40"/>
            <w:col w:w="736" w:space="39"/>
            <w:col w:w="774" w:space="39"/>
            <w:col w:w="1141"/>
          </w:cols>
        </w:sectPr>
      </w:pPr>
    </w:p>
    <w:p w14:paraId="15603D52" w14:textId="77777777" w:rsidR="00FA4AA8" w:rsidRDefault="00FA4AA8">
      <w:pPr>
        <w:pStyle w:val="BodyText"/>
        <w:spacing w:before="3"/>
        <w:rPr>
          <w:b/>
          <w:sz w:val="23"/>
        </w:rPr>
      </w:pPr>
    </w:p>
    <w:p w14:paraId="281D2119" w14:textId="77777777" w:rsidR="00FA4AA8" w:rsidRDefault="007E2441">
      <w:pPr>
        <w:spacing w:before="96"/>
        <w:ind w:left="564"/>
        <w:rPr>
          <w:sz w:val="16"/>
        </w:rPr>
      </w:pPr>
      <w:r>
        <w:rPr>
          <w:noProof/>
          <w:lang w:val="en-AU" w:eastAsia="en-AU"/>
        </w:rPr>
        <mc:AlternateContent>
          <mc:Choice Requires="wps">
            <w:drawing>
              <wp:anchor distT="0" distB="0" distL="114300" distR="114300" simplePos="0" relativeHeight="15755776" behindDoc="0" locked="0" layoutInCell="1" allowOverlap="1" wp14:anchorId="143E83DF" wp14:editId="3D55CD8A">
                <wp:simplePos x="0" y="0"/>
                <wp:positionH relativeFrom="page">
                  <wp:posOffset>3086100</wp:posOffset>
                </wp:positionH>
                <wp:positionV relativeFrom="paragraph">
                  <wp:posOffset>-1623060</wp:posOffset>
                </wp:positionV>
                <wp:extent cx="6964680" cy="1494155"/>
                <wp:effectExtent l="0" t="0" r="0" b="0"/>
                <wp:wrapNone/>
                <wp:docPr id="2229" name="Text Box 1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4680" cy="149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460"/>
                              <w:gridCol w:w="762"/>
                              <w:gridCol w:w="754"/>
                              <w:gridCol w:w="851"/>
                              <w:gridCol w:w="780"/>
                              <w:gridCol w:w="804"/>
                              <w:gridCol w:w="773"/>
                              <w:gridCol w:w="737"/>
                              <w:gridCol w:w="812"/>
                              <w:gridCol w:w="626"/>
                              <w:gridCol w:w="836"/>
                              <w:gridCol w:w="772"/>
                            </w:tblGrid>
                            <w:tr w:rsidR="001F3ACE" w14:paraId="3D16C0B6" w14:textId="77777777">
                              <w:trPr>
                                <w:trHeight w:val="211"/>
                              </w:trPr>
                              <w:tc>
                                <w:tcPr>
                                  <w:tcW w:w="2460" w:type="dxa"/>
                                </w:tcPr>
                                <w:p w14:paraId="7D26F915" w14:textId="77777777" w:rsidR="001F3ACE" w:rsidRDefault="001F3ACE">
                                  <w:pPr>
                                    <w:pStyle w:val="TableParagraph"/>
                                    <w:tabs>
                                      <w:tab w:val="left" w:pos="1886"/>
                                    </w:tabs>
                                    <w:spacing w:line="179" w:lineRule="exact"/>
                                    <w:ind w:left="148"/>
                                    <w:rPr>
                                      <w:b/>
                                      <w:sz w:val="16"/>
                                    </w:rPr>
                                  </w:pPr>
                                  <w:r>
                                    <w:rPr>
                                      <w:b/>
                                      <w:sz w:val="16"/>
                                    </w:rPr>
                                    <w:t xml:space="preserve">287,309  </w:t>
                                  </w:r>
                                  <w:r>
                                    <w:rPr>
                                      <w:b/>
                                      <w:spacing w:val="29"/>
                                      <w:sz w:val="16"/>
                                    </w:rPr>
                                    <w:t xml:space="preserve"> </w:t>
                                  </w:r>
                                  <w:r>
                                    <w:rPr>
                                      <w:sz w:val="16"/>
                                    </w:rPr>
                                    <w:t>287,192</w:t>
                                  </w:r>
                                  <w:r>
                                    <w:rPr>
                                      <w:sz w:val="16"/>
                                    </w:rPr>
                                    <w:tab/>
                                  </w:r>
                                  <w:r>
                                    <w:rPr>
                                      <w:b/>
                                      <w:sz w:val="16"/>
                                    </w:rPr>
                                    <w:t>2,755</w:t>
                                  </w:r>
                                </w:p>
                              </w:tc>
                              <w:tc>
                                <w:tcPr>
                                  <w:tcW w:w="762" w:type="dxa"/>
                                </w:tcPr>
                                <w:p w14:paraId="5B2E839A" w14:textId="77777777" w:rsidR="001F3ACE" w:rsidRDefault="001F3ACE">
                                  <w:pPr>
                                    <w:pStyle w:val="TableParagraph"/>
                                    <w:spacing w:line="179" w:lineRule="exact"/>
                                    <w:ind w:right="186"/>
                                    <w:jc w:val="right"/>
                                    <w:rPr>
                                      <w:sz w:val="16"/>
                                    </w:rPr>
                                  </w:pPr>
                                  <w:r>
                                    <w:rPr>
                                      <w:sz w:val="16"/>
                                    </w:rPr>
                                    <w:t>2,643</w:t>
                                  </w:r>
                                </w:p>
                              </w:tc>
                              <w:tc>
                                <w:tcPr>
                                  <w:tcW w:w="754" w:type="dxa"/>
                                </w:tcPr>
                                <w:p w14:paraId="227B9738" w14:textId="77777777" w:rsidR="001F3ACE" w:rsidRDefault="001F3ACE">
                                  <w:pPr>
                                    <w:pStyle w:val="TableParagraph"/>
                                    <w:spacing w:line="179" w:lineRule="exact"/>
                                    <w:ind w:left="224"/>
                                    <w:rPr>
                                      <w:b/>
                                      <w:sz w:val="16"/>
                                    </w:rPr>
                                  </w:pPr>
                                  <w:r>
                                    <w:rPr>
                                      <w:b/>
                                      <w:sz w:val="16"/>
                                    </w:rPr>
                                    <w:t>9,970</w:t>
                                  </w:r>
                                </w:p>
                              </w:tc>
                              <w:tc>
                                <w:tcPr>
                                  <w:tcW w:w="851" w:type="dxa"/>
                                </w:tcPr>
                                <w:p w14:paraId="7A6504E0" w14:textId="77777777" w:rsidR="001F3ACE" w:rsidRDefault="001F3ACE">
                                  <w:pPr>
                                    <w:pStyle w:val="TableParagraph"/>
                                    <w:spacing w:line="179" w:lineRule="exact"/>
                                    <w:ind w:right="231"/>
                                    <w:jc w:val="right"/>
                                    <w:rPr>
                                      <w:sz w:val="16"/>
                                    </w:rPr>
                                  </w:pPr>
                                  <w:r>
                                    <w:rPr>
                                      <w:sz w:val="16"/>
                                    </w:rPr>
                                    <w:t>10,231</w:t>
                                  </w:r>
                                </w:p>
                              </w:tc>
                              <w:tc>
                                <w:tcPr>
                                  <w:tcW w:w="780" w:type="dxa"/>
                                </w:tcPr>
                                <w:p w14:paraId="1078F4CC" w14:textId="77777777" w:rsidR="001F3ACE" w:rsidRDefault="001F3ACE">
                                  <w:pPr>
                                    <w:pStyle w:val="TableParagraph"/>
                                    <w:spacing w:line="179" w:lineRule="exact"/>
                                    <w:ind w:left="313"/>
                                    <w:rPr>
                                      <w:b/>
                                      <w:sz w:val="16"/>
                                    </w:rPr>
                                  </w:pPr>
                                  <w:r>
                                    <w:rPr>
                                      <w:b/>
                                      <w:sz w:val="16"/>
                                    </w:rPr>
                                    <w:t>789</w:t>
                                  </w:r>
                                </w:p>
                              </w:tc>
                              <w:tc>
                                <w:tcPr>
                                  <w:tcW w:w="804" w:type="dxa"/>
                                </w:tcPr>
                                <w:p w14:paraId="0B53ED7C" w14:textId="77777777" w:rsidR="001F3ACE" w:rsidRDefault="001F3ACE">
                                  <w:pPr>
                                    <w:pStyle w:val="TableParagraph"/>
                                    <w:spacing w:line="179" w:lineRule="exact"/>
                                    <w:ind w:right="255"/>
                                    <w:jc w:val="right"/>
                                    <w:rPr>
                                      <w:sz w:val="16"/>
                                    </w:rPr>
                                  </w:pPr>
                                  <w:r>
                                    <w:rPr>
                                      <w:sz w:val="16"/>
                                    </w:rPr>
                                    <w:t>970</w:t>
                                  </w:r>
                                </w:p>
                              </w:tc>
                              <w:tc>
                                <w:tcPr>
                                  <w:tcW w:w="773" w:type="dxa"/>
                                </w:tcPr>
                                <w:p w14:paraId="2DCA6A71" w14:textId="77777777" w:rsidR="001F3ACE" w:rsidRDefault="001F3ACE">
                                  <w:pPr>
                                    <w:pStyle w:val="TableParagraph"/>
                                    <w:spacing w:line="179" w:lineRule="exact"/>
                                    <w:ind w:right="195"/>
                                    <w:jc w:val="right"/>
                                    <w:rPr>
                                      <w:b/>
                                      <w:sz w:val="16"/>
                                    </w:rPr>
                                  </w:pPr>
                                  <w:r>
                                    <w:rPr>
                                      <w:b/>
                                      <w:sz w:val="16"/>
                                    </w:rPr>
                                    <w:t>(68)</w:t>
                                  </w:r>
                                </w:p>
                              </w:tc>
                              <w:tc>
                                <w:tcPr>
                                  <w:tcW w:w="737" w:type="dxa"/>
                                </w:tcPr>
                                <w:p w14:paraId="496233F6" w14:textId="77777777" w:rsidR="001F3ACE" w:rsidRDefault="001F3ACE">
                                  <w:pPr>
                                    <w:pStyle w:val="TableParagraph"/>
                                    <w:spacing w:line="179" w:lineRule="exact"/>
                                    <w:ind w:right="272"/>
                                    <w:jc w:val="right"/>
                                    <w:rPr>
                                      <w:sz w:val="16"/>
                                    </w:rPr>
                                  </w:pPr>
                                  <w:r>
                                    <w:rPr>
                                      <w:sz w:val="16"/>
                                    </w:rPr>
                                    <w:t>100</w:t>
                                  </w:r>
                                </w:p>
                              </w:tc>
                              <w:tc>
                                <w:tcPr>
                                  <w:tcW w:w="812" w:type="dxa"/>
                                </w:tcPr>
                                <w:p w14:paraId="57704613" w14:textId="77777777" w:rsidR="001F3ACE" w:rsidRDefault="001F3ACE">
                                  <w:pPr>
                                    <w:pStyle w:val="TableParagraph"/>
                                    <w:spacing w:line="179" w:lineRule="exact"/>
                                    <w:ind w:left="213"/>
                                    <w:jc w:val="center"/>
                                    <w:rPr>
                                      <w:b/>
                                      <w:sz w:val="16"/>
                                    </w:rPr>
                                  </w:pPr>
                                  <w:r>
                                    <w:rPr>
                                      <w:b/>
                                      <w:sz w:val="16"/>
                                    </w:rPr>
                                    <w:t>-</w:t>
                                  </w:r>
                                </w:p>
                              </w:tc>
                              <w:tc>
                                <w:tcPr>
                                  <w:tcW w:w="626" w:type="dxa"/>
                                </w:tcPr>
                                <w:p w14:paraId="093D1B5A" w14:textId="77777777" w:rsidR="001F3ACE" w:rsidRDefault="001F3ACE">
                                  <w:pPr>
                                    <w:pStyle w:val="TableParagraph"/>
                                    <w:spacing w:line="179" w:lineRule="exact"/>
                                    <w:ind w:left="307"/>
                                    <w:rPr>
                                      <w:sz w:val="16"/>
                                    </w:rPr>
                                  </w:pPr>
                                  <w:r>
                                    <w:rPr>
                                      <w:sz w:val="16"/>
                                    </w:rPr>
                                    <w:t>25</w:t>
                                  </w:r>
                                </w:p>
                              </w:tc>
                              <w:tc>
                                <w:tcPr>
                                  <w:tcW w:w="836" w:type="dxa"/>
                                </w:tcPr>
                                <w:p w14:paraId="084EF403" w14:textId="77777777" w:rsidR="001F3ACE" w:rsidRDefault="001F3ACE">
                                  <w:pPr>
                                    <w:pStyle w:val="TableParagraph"/>
                                    <w:spacing w:line="179" w:lineRule="exact"/>
                                    <w:ind w:right="115"/>
                                    <w:jc w:val="right"/>
                                    <w:rPr>
                                      <w:b/>
                                      <w:sz w:val="16"/>
                                    </w:rPr>
                                  </w:pPr>
                                  <w:r>
                                    <w:rPr>
                                      <w:b/>
                                      <w:sz w:val="16"/>
                                    </w:rPr>
                                    <w:t>300,755</w:t>
                                  </w:r>
                                </w:p>
                              </w:tc>
                              <w:tc>
                                <w:tcPr>
                                  <w:tcW w:w="772" w:type="dxa"/>
                                </w:tcPr>
                                <w:p w14:paraId="57F3BFED" w14:textId="77777777" w:rsidR="001F3ACE" w:rsidRDefault="001F3ACE">
                                  <w:pPr>
                                    <w:pStyle w:val="TableParagraph"/>
                                    <w:spacing w:line="179" w:lineRule="exact"/>
                                    <w:ind w:left="117"/>
                                    <w:rPr>
                                      <w:sz w:val="16"/>
                                    </w:rPr>
                                  </w:pPr>
                                  <w:r>
                                    <w:rPr>
                                      <w:sz w:val="16"/>
                                    </w:rPr>
                                    <w:t>301,161</w:t>
                                  </w:r>
                                </w:p>
                              </w:tc>
                            </w:tr>
                            <w:tr w:rsidR="001F3ACE" w14:paraId="28E1DCBB" w14:textId="77777777">
                              <w:trPr>
                                <w:trHeight w:val="237"/>
                              </w:trPr>
                              <w:tc>
                                <w:tcPr>
                                  <w:tcW w:w="2460" w:type="dxa"/>
                                  <w:tcBorders>
                                    <w:bottom w:val="single" w:sz="8" w:space="0" w:color="000000"/>
                                  </w:tcBorders>
                                </w:tcPr>
                                <w:p w14:paraId="2CEBE940" w14:textId="77777777" w:rsidR="001F3ACE" w:rsidRDefault="001F3ACE">
                                  <w:pPr>
                                    <w:pStyle w:val="TableParagraph"/>
                                    <w:tabs>
                                      <w:tab w:val="left" w:pos="1154"/>
                                      <w:tab w:val="left" w:pos="2234"/>
                                    </w:tabs>
                                    <w:spacing w:before="27"/>
                                    <w:ind w:left="273"/>
                                    <w:rPr>
                                      <w:b/>
                                      <w:sz w:val="16"/>
                                    </w:rPr>
                                  </w:pPr>
                                  <w:r>
                                    <w:rPr>
                                      <w:b/>
                                      <w:sz w:val="16"/>
                                    </w:rPr>
                                    <w:t>(2,174)</w:t>
                                  </w:r>
                                  <w:r>
                                    <w:rPr>
                                      <w:b/>
                                      <w:sz w:val="16"/>
                                    </w:rPr>
                                    <w:tab/>
                                  </w:r>
                                  <w:r>
                                    <w:rPr>
                                      <w:sz w:val="16"/>
                                    </w:rPr>
                                    <w:t>(197)</w:t>
                                  </w:r>
                                  <w:r>
                                    <w:rPr>
                                      <w:sz w:val="16"/>
                                    </w:rPr>
                                    <w:tab/>
                                  </w:r>
                                  <w:r>
                                    <w:rPr>
                                      <w:b/>
                                      <w:sz w:val="16"/>
                                    </w:rPr>
                                    <w:t>-</w:t>
                                  </w:r>
                                </w:p>
                              </w:tc>
                              <w:tc>
                                <w:tcPr>
                                  <w:tcW w:w="762" w:type="dxa"/>
                                  <w:tcBorders>
                                    <w:bottom w:val="single" w:sz="8" w:space="0" w:color="000000"/>
                                  </w:tcBorders>
                                </w:tcPr>
                                <w:p w14:paraId="715FFBA3" w14:textId="77777777" w:rsidR="001F3ACE" w:rsidRDefault="001F3ACE">
                                  <w:pPr>
                                    <w:pStyle w:val="TableParagraph"/>
                                    <w:spacing w:before="27"/>
                                    <w:ind w:right="185"/>
                                    <w:jc w:val="right"/>
                                    <w:rPr>
                                      <w:sz w:val="16"/>
                                    </w:rPr>
                                  </w:pPr>
                                  <w:r>
                                    <w:rPr>
                                      <w:sz w:val="16"/>
                                    </w:rPr>
                                    <w:t>-</w:t>
                                  </w:r>
                                </w:p>
                              </w:tc>
                              <w:tc>
                                <w:tcPr>
                                  <w:tcW w:w="754" w:type="dxa"/>
                                  <w:tcBorders>
                                    <w:bottom w:val="single" w:sz="8" w:space="0" w:color="000000"/>
                                  </w:tcBorders>
                                </w:tcPr>
                                <w:p w14:paraId="0A458FAF" w14:textId="77777777" w:rsidR="001F3ACE" w:rsidRDefault="001F3ACE">
                                  <w:pPr>
                                    <w:pStyle w:val="TableParagraph"/>
                                    <w:spacing w:before="27"/>
                                    <w:ind w:right="126"/>
                                    <w:jc w:val="right"/>
                                    <w:rPr>
                                      <w:b/>
                                      <w:sz w:val="16"/>
                                    </w:rPr>
                                  </w:pPr>
                                  <w:r>
                                    <w:rPr>
                                      <w:b/>
                                      <w:sz w:val="16"/>
                                    </w:rPr>
                                    <w:t>-</w:t>
                                  </w:r>
                                </w:p>
                              </w:tc>
                              <w:tc>
                                <w:tcPr>
                                  <w:tcW w:w="851" w:type="dxa"/>
                                  <w:tcBorders>
                                    <w:bottom w:val="single" w:sz="8" w:space="0" w:color="000000"/>
                                  </w:tcBorders>
                                </w:tcPr>
                                <w:p w14:paraId="29A5DC9B" w14:textId="77777777" w:rsidR="001F3ACE" w:rsidRDefault="001F3ACE">
                                  <w:pPr>
                                    <w:pStyle w:val="TableParagraph"/>
                                    <w:spacing w:before="27"/>
                                    <w:ind w:right="230"/>
                                    <w:jc w:val="right"/>
                                    <w:rPr>
                                      <w:sz w:val="16"/>
                                    </w:rPr>
                                  </w:pPr>
                                  <w:r>
                                    <w:rPr>
                                      <w:sz w:val="16"/>
                                    </w:rPr>
                                    <w:t>-</w:t>
                                  </w:r>
                                </w:p>
                              </w:tc>
                              <w:tc>
                                <w:tcPr>
                                  <w:tcW w:w="780" w:type="dxa"/>
                                  <w:tcBorders>
                                    <w:bottom w:val="single" w:sz="8" w:space="0" w:color="000000"/>
                                  </w:tcBorders>
                                </w:tcPr>
                                <w:p w14:paraId="5B0CEA58" w14:textId="77777777" w:rsidR="001F3ACE" w:rsidRDefault="001F3ACE">
                                  <w:pPr>
                                    <w:pStyle w:val="TableParagraph"/>
                                    <w:spacing w:before="27"/>
                                    <w:ind w:right="197"/>
                                    <w:jc w:val="right"/>
                                    <w:rPr>
                                      <w:b/>
                                      <w:sz w:val="16"/>
                                    </w:rPr>
                                  </w:pPr>
                                  <w:r>
                                    <w:rPr>
                                      <w:b/>
                                      <w:sz w:val="16"/>
                                    </w:rPr>
                                    <w:t>-</w:t>
                                  </w:r>
                                </w:p>
                              </w:tc>
                              <w:tc>
                                <w:tcPr>
                                  <w:tcW w:w="804" w:type="dxa"/>
                                  <w:tcBorders>
                                    <w:bottom w:val="single" w:sz="8" w:space="0" w:color="000000"/>
                                  </w:tcBorders>
                                </w:tcPr>
                                <w:p w14:paraId="1987091D" w14:textId="77777777" w:rsidR="001F3ACE" w:rsidRDefault="001F3ACE">
                                  <w:pPr>
                                    <w:pStyle w:val="TableParagraph"/>
                                    <w:spacing w:before="27"/>
                                    <w:ind w:right="254"/>
                                    <w:jc w:val="right"/>
                                    <w:rPr>
                                      <w:sz w:val="16"/>
                                    </w:rPr>
                                  </w:pPr>
                                  <w:r>
                                    <w:rPr>
                                      <w:sz w:val="16"/>
                                    </w:rPr>
                                    <w:t>-</w:t>
                                  </w:r>
                                </w:p>
                              </w:tc>
                              <w:tc>
                                <w:tcPr>
                                  <w:tcW w:w="773" w:type="dxa"/>
                                  <w:tcBorders>
                                    <w:bottom w:val="single" w:sz="8" w:space="0" w:color="000000"/>
                                  </w:tcBorders>
                                </w:tcPr>
                                <w:p w14:paraId="6C755A86" w14:textId="77777777" w:rsidR="001F3ACE" w:rsidRDefault="001F3ACE">
                                  <w:pPr>
                                    <w:pStyle w:val="TableParagraph"/>
                                    <w:spacing w:before="27"/>
                                    <w:ind w:left="469"/>
                                    <w:rPr>
                                      <w:b/>
                                      <w:sz w:val="16"/>
                                    </w:rPr>
                                  </w:pPr>
                                  <w:r>
                                    <w:rPr>
                                      <w:b/>
                                      <w:sz w:val="16"/>
                                    </w:rPr>
                                    <w:t>-</w:t>
                                  </w:r>
                                </w:p>
                              </w:tc>
                              <w:tc>
                                <w:tcPr>
                                  <w:tcW w:w="737" w:type="dxa"/>
                                  <w:tcBorders>
                                    <w:bottom w:val="single" w:sz="8" w:space="0" w:color="000000"/>
                                  </w:tcBorders>
                                </w:tcPr>
                                <w:p w14:paraId="6D1EC156" w14:textId="77777777" w:rsidR="001F3ACE" w:rsidRDefault="001F3ACE">
                                  <w:pPr>
                                    <w:pStyle w:val="TableParagraph"/>
                                    <w:spacing w:before="27"/>
                                    <w:ind w:right="271"/>
                                    <w:jc w:val="right"/>
                                    <w:rPr>
                                      <w:sz w:val="16"/>
                                    </w:rPr>
                                  </w:pPr>
                                  <w:r>
                                    <w:rPr>
                                      <w:sz w:val="16"/>
                                    </w:rPr>
                                    <w:t>-</w:t>
                                  </w:r>
                                </w:p>
                              </w:tc>
                              <w:tc>
                                <w:tcPr>
                                  <w:tcW w:w="812" w:type="dxa"/>
                                  <w:tcBorders>
                                    <w:bottom w:val="single" w:sz="8" w:space="0" w:color="000000"/>
                                  </w:tcBorders>
                                </w:tcPr>
                                <w:p w14:paraId="4FEBE76B" w14:textId="77777777" w:rsidR="001F3ACE" w:rsidRDefault="001F3ACE">
                                  <w:pPr>
                                    <w:pStyle w:val="TableParagraph"/>
                                    <w:spacing w:before="27"/>
                                    <w:ind w:left="341" w:right="253"/>
                                    <w:jc w:val="center"/>
                                    <w:rPr>
                                      <w:b/>
                                      <w:sz w:val="16"/>
                                    </w:rPr>
                                  </w:pPr>
                                  <w:r>
                                    <w:rPr>
                                      <w:b/>
                                      <w:sz w:val="16"/>
                                    </w:rPr>
                                    <w:t>41</w:t>
                                  </w:r>
                                </w:p>
                              </w:tc>
                              <w:tc>
                                <w:tcPr>
                                  <w:tcW w:w="626" w:type="dxa"/>
                                  <w:tcBorders>
                                    <w:bottom w:val="single" w:sz="8" w:space="0" w:color="000000"/>
                                  </w:tcBorders>
                                </w:tcPr>
                                <w:p w14:paraId="2819D25C" w14:textId="77777777" w:rsidR="001F3ACE" w:rsidRDefault="001F3ACE">
                                  <w:pPr>
                                    <w:pStyle w:val="TableParagraph"/>
                                    <w:spacing w:before="27"/>
                                    <w:ind w:left="396"/>
                                    <w:rPr>
                                      <w:sz w:val="16"/>
                                    </w:rPr>
                                  </w:pPr>
                                  <w:r>
                                    <w:rPr>
                                      <w:sz w:val="16"/>
                                    </w:rPr>
                                    <w:t>6</w:t>
                                  </w:r>
                                </w:p>
                              </w:tc>
                              <w:tc>
                                <w:tcPr>
                                  <w:tcW w:w="836" w:type="dxa"/>
                                  <w:tcBorders>
                                    <w:bottom w:val="single" w:sz="8" w:space="0" w:color="000000"/>
                                  </w:tcBorders>
                                </w:tcPr>
                                <w:p w14:paraId="01A7C8C6" w14:textId="77777777" w:rsidR="001F3ACE" w:rsidRDefault="001F3ACE">
                                  <w:pPr>
                                    <w:pStyle w:val="TableParagraph"/>
                                    <w:spacing w:before="27"/>
                                    <w:ind w:right="62"/>
                                    <w:jc w:val="right"/>
                                    <w:rPr>
                                      <w:b/>
                                      <w:sz w:val="16"/>
                                    </w:rPr>
                                  </w:pPr>
                                  <w:r>
                                    <w:rPr>
                                      <w:b/>
                                      <w:sz w:val="16"/>
                                    </w:rPr>
                                    <w:t>(2,133)</w:t>
                                  </w:r>
                                </w:p>
                              </w:tc>
                              <w:tc>
                                <w:tcPr>
                                  <w:tcW w:w="772" w:type="dxa"/>
                                  <w:tcBorders>
                                    <w:bottom w:val="single" w:sz="8" w:space="0" w:color="000000"/>
                                  </w:tcBorders>
                                </w:tcPr>
                                <w:p w14:paraId="1CCE13FF" w14:textId="77777777" w:rsidR="001F3ACE" w:rsidRDefault="001F3ACE">
                                  <w:pPr>
                                    <w:pStyle w:val="TableParagraph"/>
                                    <w:spacing w:before="27"/>
                                    <w:ind w:right="20"/>
                                    <w:jc w:val="right"/>
                                    <w:rPr>
                                      <w:sz w:val="16"/>
                                    </w:rPr>
                                  </w:pPr>
                                  <w:r>
                                    <w:rPr>
                                      <w:sz w:val="16"/>
                                    </w:rPr>
                                    <w:t>(191)</w:t>
                                  </w:r>
                                </w:p>
                              </w:tc>
                            </w:tr>
                            <w:tr w:rsidR="001F3ACE" w14:paraId="0D30E594" w14:textId="77777777">
                              <w:trPr>
                                <w:trHeight w:val="245"/>
                              </w:trPr>
                              <w:tc>
                                <w:tcPr>
                                  <w:tcW w:w="2460" w:type="dxa"/>
                                  <w:tcBorders>
                                    <w:top w:val="single" w:sz="8" w:space="0" w:color="000000"/>
                                  </w:tcBorders>
                                </w:tcPr>
                                <w:p w14:paraId="7BDDAEA9" w14:textId="77777777" w:rsidR="001F3ACE" w:rsidRDefault="001F3ACE">
                                  <w:pPr>
                                    <w:pStyle w:val="TableParagraph"/>
                                    <w:tabs>
                                      <w:tab w:val="left" w:pos="1886"/>
                                    </w:tabs>
                                    <w:spacing w:before="30"/>
                                    <w:ind w:left="148"/>
                                    <w:rPr>
                                      <w:b/>
                                      <w:sz w:val="16"/>
                                    </w:rPr>
                                  </w:pPr>
                                  <w:r>
                                    <w:rPr>
                                      <w:b/>
                                      <w:sz w:val="16"/>
                                    </w:rPr>
                                    <w:t xml:space="preserve">285,135  </w:t>
                                  </w:r>
                                  <w:r>
                                    <w:rPr>
                                      <w:b/>
                                      <w:spacing w:val="29"/>
                                      <w:sz w:val="16"/>
                                    </w:rPr>
                                    <w:t xml:space="preserve"> </w:t>
                                  </w:r>
                                  <w:r>
                                    <w:rPr>
                                      <w:sz w:val="16"/>
                                    </w:rPr>
                                    <w:t>286,995</w:t>
                                  </w:r>
                                  <w:r>
                                    <w:rPr>
                                      <w:sz w:val="16"/>
                                    </w:rPr>
                                    <w:tab/>
                                  </w:r>
                                  <w:r>
                                    <w:rPr>
                                      <w:b/>
                                      <w:sz w:val="16"/>
                                    </w:rPr>
                                    <w:t>2,755</w:t>
                                  </w:r>
                                </w:p>
                              </w:tc>
                              <w:tc>
                                <w:tcPr>
                                  <w:tcW w:w="762" w:type="dxa"/>
                                  <w:tcBorders>
                                    <w:top w:val="single" w:sz="8" w:space="0" w:color="000000"/>
                                  </w:tcBorders>
                                </w:tcPr>
                                <w:p w14:paraId="02827ED9" w14:textId="77777777" w:rsidR="001F3ACE" w:rsidRDefault="001F3ACE">
                                  <w:pPr>
                                    <w:pStyle w:val="TableParagraph"/>
                                    <w:spacing w:before="30"/>
                                    <w:ind w:right="186"/>
                                    <w:jc w:val="right"/>
                                    <w:rPr>
                                      <w:sz w:val="16"/>
                                    </w:rPr>
                                  </w:pPr>
                                  <w:r>
                                    <w:rPr>
                                      <w:sz w:val="16"/>
                                    </w:rPr>
                                    <w:t>2,643</w:t>
                                  </w:r>
                                </w:p>
                              </w:tc>
                              <w:tc>
                                <w:tcPr>
                                  <w:tcW w:w="754" w:type="dxa"/>
                                  <w:tcBorders>
                                    <w:top w:val="single" w:sz="8" w:space="0" w:color="000000"/>
                                  </w:tcBorders>
                                </w:tcPr>
                                <w:p w14:paraId="634906D9" w14:textId="77777777" w:rsidR="001F3ACE" w:rsidRDefault="001F3ACE">
                                  <w:pPr>
                                    <w:pStyle w:val="TableParagraph"/>
                                    <w:spacing w:before="30"/>
                                    <w:ind w:left="224"/>
                                    <w:rPr>
                                      <w:b/>
                                      <w:sz w:val="16"/>
                                    </w:rPr>
                                  </w:pPr>
                                  <w:r>
                                    <w:rPr>
                                      <w:b/>
                                      <w:sz w:val="16"/>
                                    </w:rPr>
                                    <w:t>9,970</w:t>
                                  </w:r>
                                </w:p>
                              </w:tc>
                              <w:tc>
                                <w:tcPr>
                                  <w:tcW w:w="851" w:type="dxa"/>
                                  <w:tcBorders>
                                    <w:top w:val="single" w:sz="8" w:space="0" w:color="000000"/>
                                  </w:tcBorders>
                                </w:tcPr>
                                <w:p w14:paraId="03989FA2" w14:textId="77777777" w:rsidR="001F3ACE" w:rsidRDefault="001F3ACE">
                                  <w:pPr>
                                    <w:pStyle w:val="TableParagraph"/>
                                    <w:spacing w:before="30"/>
                                    <w:ind w:right="231"/>
                                    <w:jc w:val="right"/>
                                    <w:rPr>
                                      <w:sz w:val="16"/>
                                    </w:rPr>
                                  </w:pPr>
                                  <w:r>
                                    <w:rPr>
                                      <w:sz w:val="16"/>
                                    </w:rPr>
                                    <w:t>10,231</w:t>
                                  </w:r>
                                </w:p>
                              </w:tc>
                              <w:tc>
                                <w:tcPr>
                                  <w:tcW w:w="780" w:type="dxa"/>
                                  <w:tcBorders>
                                    <w:top w:val="single" w:sz="8" w:space="0" w:color="000000"/>
                                  </w:tcBorders>
                                </w:tcPr>
                                <w:p w14:paraId="1130CA71" w14:textId="77777777" w:rsidR="001F3ACE" w:rsidRDefault="001F3ACE">
                                  <w:pPr>
                                    <w:pStyle w:val="TableParagraph"/>
                                    <w:spacing w:before="30"/>
                                    <w:ind w:left="313"/>
                                    <w:rPr>
                                      <w:b/>
                                      <w:sz w:val="16"/>
                                    </w:rPr>
                                  </w:pPr>
                                  <w:r>
                                    <w:rPr>
                                      <w:b/>
                                      <w:sz w:val="16"/>
                                    </w:rPr>
                                    <w:t>789</w:t>
                                  </w:r>
                                </w:p>
                              </w:tc>
                              <w:tc>
                                <w:tcPr>
                                  <w:tcW w:w="804" w:type="dxa"/>
                                  <w:tcBorders>
                                    <w:top w:val="single" w:sz="8" w:space="0" w:color="000000"/>
                                  </w:tcBorders>
                                </w:tcPr>
                                <w:p w14:paraId="17D31A8F" w14:textId="77777777" w:rsidR="001F3ACE" w:rsidRDefault="001F3ACE">
                                  <w:pPr>
                                    <w:pStyle w:val="TableParagraph"/>
                                    <w:spacing w:before="30"/>
                                    <w:ind w:right="255"/>
                                    <w:jc w:val="right"/>
                                    <w:rPr>
                                      <w:sz w:val="16"/>
                                    </w:rPr>
                                  </w:pPr>
                                  <w:r>
                                    <w:rPr>
                                      <w:sz w:val="16"/>
                                    </w:rPr>
                                    <w:t>970</w:t>
                                  </w:r>
                                </w:p>
                              </w:tc>
                              <w:tc>
                                <w:tcPr>
                                  <w:tcW w:w="773" w:type="dxa"/>
                                  <w:tcBorders>
                                    <w:top w:val="single" w:sz="8" w:space="0" w:color="000000"/>
                                  </w:tcBorders>
                                </w:tcPr>
                                <w:p w14:paraId="18AE9AB2" w14:textId="77777777" w:rsidR="001F3ACE" w:rsidRDefault="001F3ACE">
                                  <w:pPr>
                                    <w:pStyle w:val="TableParagraph"/>
                                    <w:spacing w:before="30"/>
                                    <w:ind w:right="195"/>
                                    <w:jc w:val="right"/>
                                    <w:rPr>
                                      <w:b/>
                                      <w:sz w:val="16"/>
                                    </w:rPr>
                                  </w:pPr>
                                  <w:r>
                                    <w:rPr>
                                      <w:b/>
                                      <w:sz w:val="16"/>
                                    </w:rPr>
                                    <w:t>(68)</w:t>
                                  </w:r>
                                </w:p>
                              </w:tc>
                              <w:tc>
                                <w:tcPr>
                                  <w:tcW w:w="737" w:type="dxa"/>
                                  <w:tcBorders>
                                    <w:top w:val="single" w:sz="8" w:space="0" w:color="000000"/>
                                  </w:tcBorders>
                                </w:tcPr>
                                <w:p w14:paraId="7D7161B9" w14:textId="77777777" w:rsidR="001F3ACE" w:rsidRDefault="001F3ACE">
                                  <w:pPr>
                                    <w:pStyle w:val="TableParagraph"/>
                                    <w:spacing w:before="30"/>
                                    <w:ind w:right="272"/>
                                    <w:jc w:val="right"/>
                                    <w:rPr>
                                      <w:sz w:val="16"/>
                                    </w:rPr>
                                  </w:pPr>
                                  <w:r>
                                    <w:rPr>
                                      <w:sz w:val="16"/>
                                    </w:rPr>
                                    <w:t>100</w:t>
                                  </w:r>
                                </w:p>
                              </w:tc>
                              <w:tc>
                                <w:tcPr>
                                  <w:tcW w:w="812" w:type="dxa"/>
                                  <w:tcBorders>
                                    <w:top w:val="single" w:sz="8" w:space="0" w:color="000000"/>
                                  </w:tcBorders>
                                </w:tcPr>
                                <w:p w14:paraId="01BEE5DB" w14:textId="77777777" w:rsidR="001F3ACE" w:rsidRDefault="001F3ACE">
                                  <w:pPr>
                                    <w:pStyle w:val="TableParagraph"/>
                                    <w:spacing w:before="30"/>
                                    <w:ind w:left="341" w:right="253"/>
                                    <w:jc w:val="center"/>
                                    <w:rPr>
                                      <w:b/>
                                      <w:sz w:val="16"/>
                                    </w:rPr>
                                  </w:pPr>
                                  <w:r>
                                    <w:rPr>
                                      <w:b/>
                                      <w:sz w:val="16"/>
                                    </w:rPr>
                                    <w:t>41</w:t>
                                  </w:r>
                                </w:p>
                              </w:tc>
                              <w:tc>
                                <w:tcPr>
                                  <w:tcW w:w="626" w:type="dxa"/>
                                  <w:tcBorders>
                                    <w:top w:val="single" w:sz="8" w:space="0" w:color="000000"/>
                                  </w:tcBorders>
                                </w:tcPr>
                                <w:p w14:paraId="1384A88D" w14:textId="77777777" w:rsidR="001F3ACE" w:rsidRDefault="001F3ACE">
                                  <w:pPr>
                                    <w:pStyle w:val="TableParagraph"/>
                                    <w:spacing w:before="30"/>
                                    <w:ind w:left="307"/>
                                    <w:rPr>
                                      <w:sz w:val="16"/>
                                    </w:rPr>
                                  </w:pPr>
                                  <w:r>
                                    <w:rPr>
                                      <w:sz w:val="16"/>
                                    </w:rPr>
                                    <w:t>31</w:t>
                                  </w:r>
                                </w:p>
                              </w:tc>
                              <w:tc>
                                <w:tcPr>
                                  <w:tcW w:w="836" w:type="dxa"/>
                                  <w:tcBorders>
                                    <w:top w:val="single" w:sz="8" w:space="0" w:color="000000"/>
                                  </w:tcBorders>
                                </w:tcPr>
                                <w:p w14:paraId="6342E038" w14:textId="77777777" w:rsidR="001F3ACE" w:rsidRDefault="001F3ACE">
                                  <w:pPr>
                                    <w:pStyle w:val="TableParagraph"/>
                                    <w:spacing w:before="30"/>
                                    <w:ind w:right="115"/>
                                    <w:jc w:val="right"/>
                                    <w:rPr>
                                      <w:b/>
                                      <w:sz w:val="16"/>
                                    </w:rPr>
                                  </w:pPr>
                                  <w:r>
                                    <w:rPr>
                                      <w:b/>
                                      <w:sz w:val="16"/>
                                    </w:rPr>
                                    <w:t>298,622</w:t>
                                  </w:r>
                                </w:p>
                              </w:tc>
                              <w:tc>
                                <w:tcPr>
                                  <w:tcW w:w="772" w:type="dxa"/>
                                  <w:tcBorders>
                                    <w:top w:val="single" w:sz="8" w:space="0" w:color="000000"/>
                                  </w:tcBorders>
                                </w:tcPr>
                                <w:p w14:paraId="17A0C1A0" w14:textId="77777777" w:rsidR="001F3ACE" w:rsidRDefault="001F3ACE">
                                  <w:pPr>
                                    <w:pStyle w:val="TableParagraph"/>
                                    <w:spacing w:before="30"/>
                                    <w:ind w:left="117"/>
                                    <w:rPr>
                                      <w:sz w:val="16"/>
                                    </w:rPr>
                                  </w:pPr>
                                  <w:r>
                                    <w:rPr>
                                      <w:sz w:val="16"/>
                                    </w:rPr>
                                    <w:t>300,970</w:t>
                                  </w:r>
                                </w:p>
                              </w:tc>
                            </w:tr>
                            <w:tr w:rsidR="001F3ACE" w14:paraId="2C4E52DD" w14:textId="77777777">
                              <w:trPr>
                                <w:trHeight w:val="418"/>
                              </w:trPr>
                              <w:tc>
                                <w:tcPr>
                                  <w:tcW w:w="2460" w:type="dxa"/>
                                  <w:tcBorders>
                                    <w:bottom w:val="single" w:sz="8" w:space="0" w:color="000000"/>
                                  </w:tcBorders>
                                </w:tcPr>
                                <w:p w14:paraId="27E41910" w14:textId="77777777" w:rsidR="001F3ACE" w:rsidRDefault="001F3ACE">
                                  <w:pPr>
                                    <w:pStyle w:val="TableParagraph"/>
                                    <w:spacing w:before="1"/>
                                    <w:rPr>
                                      <w:sz w:val="18"/>
                                    </w:rPr>
                                  </w:pPr>
                                </w:p>
                                <w:p w14:paraId="74A23A6C" w14:textId="77777777" w:rsidR="001F3ACE" w:rsidRDefault="001F3ACE">
                                  <w:pPr>
                                    <w:pStyle w:val="TableParagraph"/>
                                    <w:tabs>
                                      <w:tab w:val="left" w:pos="746"/>
                                      <w:tab w:val="left" w:pos="1559"/>
                                    </w:tabs>
                                    <w:ind w:right="170"/>
                                    <w:jc w:val="right"/>
                                    <w:rPr>
                                      <w:b/>
                                      <w:sz w:val="16"/>
                                    </w:rPr>
                                  </w:pPr>
                                  <w:r>
                                    <w:rPr>
                                      <w:b/>
                                      <w:sz w:val="16"/>
                                    </w:rPr>
                                    <w:t>-</w:t>
                                  </w:r>
                                  <w:r>
                                    <w:rPr>
                                      <w:b/>
                                      <w:sz w:val="16"/>
                                    </w:rPr>
                                    <w:tab/>
                                  </w:r>
                                  <w:r>
                                    <w:rPr>
                                      <w:sz w:val="16"/>
                                    </w:rPr>
                                    <w:t>-</w:t>
                                  </w:r>
                                  <w:r>
                                    <w:rPr>
                                      <w:sz w:val="16"/>
                                    </w:rPr>
                                    <w:tab/>
                                  </w:r>
                                  <w:r>
                                    <w:rPr>
                                      <w:b/>
                                      <w:sz w:val="16"/>
                                    </w:rPr>
                                    <w:t>-</w:t>
                                  </w:r>
                                </w:p>
                              </w:tc>
                              <w:tc>
                                <w:tcPr>
                                  <w:tcW w:w="762" w:type="dxa"/>
                                  <w:tcBorders>
                                    <w:bottom w:val="single" w:sz="8" w:space="0" w:color="000000"/>
                                  </w:tcBorders>
                                </w:tcPr>
                                <w:p w14:paraId="0EA8499B" w14:textId="77777777" w:rsidR="001F3ACE" w:rsidRDefault="001F3ACE">
                                  <w:pPr>
                                    <w:pStyle w:val="TableParagraph"/>
                                    <w:spacing w:before="1"/>
                                    <w:rPr>
                                      <w:sz w:val="18"/>
                                    </w:rPr>
                                  </w:pPr>
                                </w:p>
                                <w:p w14:paraId="691C8943" w14:textId="77777777" w:rsidR="001F3ACE" w:rsidRDefault="001F3ACE">
                                  <w:pPr>
                                    <w:pStyle w:val="TableParagraph"/>
                                    <w:ind w:right="186"/>
                                    <w:jc w:val="right"/>
                                    <w:rPr>
                                      <w:sz w:val="16"/>
                                    </w:rPr>
                                  </w:pPr>
                                  <w:r>
                                    <w:rPr>
                                      <w:sz w:val="16"/>
                                    </w:rPr>
                                    <w:t>31</w:t>
                                  </w:r>
                                </w:p>
                              </w:tc>
                              <w:tc>
                                <w:tcPr>
                                  <w:tcW w:w="754" w:type="dxa"/>
                                  <w:tcBorders>
                                    <w:bottom w:val="single" w:sz="8" w:space="0" w:color="000000"/>
                                  </w:tcBorders>
                                </w:tcPr>
                                <w:p w14:paraId="06CAB3E6" w14:textId="77777777" w:rsidR="001F3ACE" w:rsidRDefault="001F3ACE">
                                  <w:pPr>
                                    <w:pStyle w:val="TableParagraph"/>
                                    <w:spacing w:before="1"/>
                                    <w:rPr>
                                      <w:sz w:val="18"/>
                                    </w:rPr>
                                  </w:pPr>
                                </w:p>
                                <w:p w14:paraId="296428E4" w14:textId="77777777" w:rsidR="001F3ACE" w:rsidRDefault="001F3ACE">
                                  <w:pPr>
                                    <w:pStyle w:val="TableParagraph"/>
                                    <w:ind w:right="126"/>
                                    <w:jc w:val="right"/>
                                    <w:rPr>
                                      <w:b/>
                                      <w:sz w:val="16"/>
                                    </w:rPr>
                                  </w:pPr>
                                  <w:r>
                                    <w:rPr>
                                      <w:b/>
                                      <w:sz w:val="16"/>
                                    </w:rPr>
                                    <w:t>45</w:t>
                                  </w:r>
                                </w:p>
                              </w:tc>
                              <w:tc>
                                <w:tcPr>
                                  <w:tcW w:w="851" w:type="dxa"/>
                                  <w:tcBorders>
                                    <w:bottom w:val="single" w:sz="8" w:space="0" w:color="000000"/>
                                  </w:tcBorders>
                                </w:tcPr>
                                <w:p w14:paraId="02817E5C" w14:textId="77777777" w:rsidR="001F3ACE" w:rsidRDefault="001F3ACE">
                                  <w:pPr>
                                    <w:pStyle w:val="TableParagraph"/>
                                    <w:spacing w:before="1"/>
                                    <w:rPr>
                                      <w:sz w:val="18"/>
                                    </w:rPr>
                                  </w:pPr>
                                </w:p>
                                <w:p w14:paraId="3CD9467F" w14:textId="77777777" w:rsidR="001F3ACE" w:rsidRDefault="001F3ACE">
                                  <w:pPr>
                                    <w:pStyle w:val="TableParagraph"/>
                                    <w:ind w:right="231"/>
                                    <w:jc w:val="right"/>
                                    <w:rPr>
                                      <w:sz w:val="16"/>
                                    </w:rPr>
                                  </w:pPr>
                                  <w:r>
                                    <w:rPr>
                                      <w:sz w:val="16"/>
                                    </w:rPr>
                                    <w:t>159</w:t>
                                  </w:r>
                                </w:p>
                              </w:tc>
                              <w:tc>
                                <w:tcPr>
                                  <w:tcW w:w="780" w:type="dxa"/>
                                  <w:tcBorders>
                                    <w:bottom w:val="single" w:sz="8" w:space="0" w:color="000000"/>
                                  </w:tcBorders>
                                </w:tcPr>
                                <w:p w14:paraId="76723D05" w14:textId="77777777" w:rsidR="001F3ACE" w:rsidRDefault="001F3ACE">
                                  <w:pPr>
                                    <w:pStyle w:val="TableParagraph"/>
                                    <w:spacing w:before="1"/>
                                    <w:rPr>
                                      <w:sz w:val="18"/>
                                    </w:rPr>
                                  </w:pPr>
                                </w:p>
                                <w:p w14:paraId="179BD338" w14:textId="77777777" w:rsidR="001F3ACE" w:rsidRDefault="001F3ACE">
                                  <w:pPr>
                                    <w:pStyle w:val="TableParagraph"/>
                                    <w:ind w:left="313"/>
                                    <w:rPr>
                                      <w:b/>
                                      <w:sz w:val="16"/>
                                    </w:rPr>
                                  </w:pPr>
                                  <w:r>
                                    <w:rPr>
                                      <w:b/>
                                      <w:sz w:val="16"/>
                                    </w:rPr>
                                    <w:t>738</w:t>
                                  </w:r>
                                </w:p>
                              </w:tc>
                              <w:tc>
                                <w:tcPr>
                                  <w:tcW w:w="804" w:type="dxa"/>
                                  <w:tcBorders>
                                    <w:bottom w:val="single" w:sz="8" w:space="0" w:color="000000"/>
                                  </w:tcBorders>
                                </w:tcPr>
                                <w:p w14:paraId="5002BC1F" w14:textId="77777777" w:rsidR="001F3ACE" w:rsidRDefault="001F3ACE">
                                  <w:pPr>
                                    <w:pStyle w:val="TableParagraph"/>
                                    <w:spacing w:before="1"/>
                                    <w:rPr>
                                      <w:sz w:val="18"/>
                                    </w:rPr>
                                  </w:pPr>
                                </w:p>
                                <w:p w14:paraId="13F7D49F" w14:textId="77777777" w:rsidR="001F3ACE" w:rsidRDefault="001F3ACE">
                                  <w:pPr>
                                    <w:pStyle w:val="TableParagraph"/>
                                    <w:ind w:right="255"/>
                                    <w:jc w:val="right"/>
                                    <w:rPr>
                                      <w:sz w:val="16"/>
                                    </w:rPr>
                                  </w:pPr>
                                  <w:r>
                                    <w:rPr>
                                      <w:sz w:val="16"/>
                                    </w:rPr>
                                    <w:t>602</w:t>
                                  </w:r>
                                </w:p>
                              </w:tc>
                              <w:tc>
                                <w:tcPr>
                                  <w:tcW w:w="773" w:type="dxa"/>
                                  <w:tcBorders>
                                    <w:bottom w:val="single" w:sz="8" w:space="0" w:color="000000"/>
                                  </w:tcBorders>
                                </w:tcPr>
                                <w:p w14:paraId="25A485B2" w14:textId="77777777" w:rsidR="001F3ACE" w:rsidRDefault="001F3ACE">
                                  <w:pPr>
                                    <w:pStyle w:val="TableParagraph"/>
                                    <w:spacing w:before="1"/>
                                    <w:rPr>
                                      <w:sz w:val="18"/>
                                    </w:rPr>
                                  </w:pPr>
                                </w:p>
                                <w:p w14:paraId="33A9BE67" w14:textId="77777777" w:rsidR="001F3ACE" w:rsidRDefault="001F3ACE">
                                  <w:pPr>
                                    <w:pStyle w:val="TableParagraph"/>
                                    <w:ind w:left="256"/>
                                    <w:rPr>
                                      <w:b/>
                                      <w:sz w:val="16"/>
                                    </w:rPr>
                                  </w:pPr>
                                  <w:r>
                                    <w:rPr>
                                      <w:b/>
                                      <w:sz w:val="16"/>
                                    </w:rPr>
                                    <w:t>458</w:t>
                                  </w:r>
                                </w:p>
                              </w:tc>
                              <w:tc>
                                <w:tcPr>
                                  <w:tcW w:w="737" w:type="dxa"/>
                                  <w:tcBorders>
                                    <w:bottom w:val="single" w:sz="8" w:space="0" w:color="000000"/>
                                  </w:tcBorders>
                                </w:tcPr>
                                <w:p w14:paraId="11FA4CDD" w14:textId="77777777" w:rsidR="001F3ACE" w:rsidRDefault="001F3ACE">
                                  <w:pPr>
                                    <w:pStyle w:val="TableParagraph"/>
                                    <w:spacing w:before="1"/>
                                    <w:rPr>
                                      <w:sz w:val="18"/>
                                    </w:rPr>
                                  </w:pPr>
                                </w:p>
                                <w:p w14:paraId="4A636CC9" w14:textId="77777777" w:rsidR="001F3ACE" w:rsidRDefault="001F3ACE">
                                  <w:pPr>
                                    <w:pStyle w:val="TableParagraph"/>
                                    <w:ind w:right="272"/>
                                    <w:jc w:val="right"/>
                                    <w:rPr>
                                      <w:sz w:val="16"/>
                                    </w:rPr>
                                  </w:pPr>
                                  <w:r>
                                    <w:rPr>
                                      <w:sz w:val="16"/>
                                    </w:rPr>
                                    <w:t>323</w:t>
                                  </w:r>
                                </w:p>
                              </w:tc>
                              <w:tc>
                                <w:tcPr>
                                  <w:tcW w:w="812" w:type="dxa"/>
                                  <w:tcBorders>
                                    <w:bottom w:val="single" w:sz="8" w:space="0" w:color="000000"/>
                                  </w:tcBorders>
                                </w:tcPr>
                                <w:p w14:paraId="63514531" w14:textId="77777777" w:rsidR="001F3ACE" w:rsidRDefault="001F3ACE">
                                  <w:pPr>
                                    <w:pStyle w:val="TableParagraph"/>
                                    <w:spacing w:before="1"/>
                                    <w:rPr>
                                      <w:sz w:val="18"/>
                                    </w:rPr>
                                  </w:pPr>
                                </w:p>
                                <w:p w14:paraId="3FD85167" w14:textId="77777777" w:rsidR="001F3ACE" w:rsidRDefault="001F3ACE">
                                  <w:pPr>
                                    <w:pStyle w:val="TableParagraph"/>
                                    <w:ind w:left="272"/>
                                    <w:rPr>
                                      <w:b/>
                                      <w:sz w:val="16"/>
                                    </w:rPr>
                                  </w:pPr>
                                  <w:r>
                                    <w:rPr>
                                      <w:b/>
                                      <w:sz w:val="16"/>
                                    </w:rPr>
                                    <w:t>162</w:t>
                                  </w:r>
                                </w:p>
                              </w:tc>
                              <w:tc>
                                <w:tcPr>
                                  <w:tcW w:w="626" w:type="dxa"/>
                                  <w:tcBorders>
                                    <w:bottom w:val="single" w:sz="8" w:space="0" w:color="000000"/>
                                  </w:tcBorders>
                                </w:tcPr>
                                <w:p w14:paraId="68B7A5C5" w14:textId="77777777" w:rsidR="001F3ACE" w:rsidRDefault="001F3ACE">
                                  <w:pPr>
                                    <w:pStyle w:val="TableParagraph"/>
                                    <w:spacing w:before="1"/>
                                    <w:rPr>
                                      <w:sz w:val="18"/>
                                    </w:rPr>
                                  </w:pPr>
                                </w:p>
                                <w:p w14:paraId="685F7019" w14:textId="77777777" w:rsidR="001F3ACE" w:rsidRDefault="001F3ACE">
                                  <w:pPr>
                                    <w:pStyle w:val="TableParagraph"/>
                                    <w:ind w:left="218"/>
                                    <w:rPr>
                                      <w:sz w:val="16"/>
                                    </w:rPr>
                                  </w:pPr>
                                  <w:r>
                                    <w:rPr>
                                      <w:sz w:val="16"/>
                                    </w:rPr>
                                    <w:t>154</w:t>
                                  </w:r>
                                </w:p>
                              </w:tc>
                              <w:tc>
                                <w:tcPr>
                                  <w:tcW w:w="836" w:type="dxa"/>
                                  <w:tcBorders>
                                    <w:bottom w:val="single" w:sz="8" w:space="0" w:color="000000"/>
                                  </w:tcBorders>
                                </w:tcPr>
                                <w:p w14:paraId="305C60C0" w14:textId="77777777" w:rsidR="001F3ACE" w:rsidRDefault="001F3ACE">
                                  <w:pPr>
                                    <w:pStyle w:val="TableParagraph"/>
                                    <w:spacing w:before="1"/>
                                    <w:rPr>
                                      <w:sz w:val="18"/>
                                    </w:rPr>
                                  </w:pPr>
                                </w:p>
                                <w:p w14:paraId="62F86E47" w14:textId="77777777" w:rsidR="001F3ACE" w:rsidRDefault="001F3ACE">
                                  <w:pPr>
                                    <w:pStyle w:val="TableParagraph"/>
                                    <w:ind w:right="115"/>
                                    <w:jc w:val="right"/>
                                    <w:rPr>
                                      <w:b/>
                                      <w:sz w:val="16"/>
                                    </w:rPr>
                                  </w:pPr>
                                  <w:r>
                                    <w:rPr>
                                      <w:b/>
                                      <w:sz w:val="16"/>
                                    </w:rPr>
                                    <w:t>1,403</w:t>
                                  </w:r>
                                </w:p>
                              </w:tc>
                              <w:tc>
                                <w:tcPr>
                                  <w:tcW w:w="772" w:type="dxa"/>
                                  <w:tcBorders>
                                    <w:bottom w:val="single" w:sz="8" w:space="0" w:color="000000"/>
                                  </w:tcBorders>
                                </w:tcPr>
                                <w:p w14:paraId="6FAB9366" w14:textId="77777777" w:rsidR="001F3ACE" w:rsidRDefault="001F3ACE">
                                  <w:pPr>
                                    <w:pStyle w:val="TableParagraph"/>
                                    <w:spacing w:before="1"/>
                                    <w:rPr>
                                      <w:sz w:val="18"/>
                                    </w:rPr>
                                  </w:pPr>
                                </w:p>
                                <w:p w14:paraId="2442A8B1" w14:textId="77777777" w:rsidR="001F3ACE" w:rsidRDefault="001F3ACE">
                                  <w:pPr>
                                    <w:pStyle w:val="TableParagraph"/>
                                    <w:ind w:left="295"/>
                                    <w:rPr>
                                      <w:sz w:val="16"/>
                                    </w:rPr>
                                  </w:pPr>
                                  <w:r>
                                    <w:rPr>
                                      <w:sz w:val="16"/>
                                    </w:rPr>
                                    <w:t>1,269</w:t>
                                  </w:r>
                                </w:p>
                              </w:tc>
                            </w:tr>
                            <w:tr w:rsidR="001F3ACE" w14:paraId="0EB566CE" w14:textId="77777777">
                              <w:trPr>
                                <w:trHeight w:val="425"/>
                              </w:trPr>
                              <w:tc>
                                <w:tcPr>
                                  <w:tcW w:w="2460" w:type="dxa"/>
                                  <w:tcBorders>
                                    <w:top w:val="single" w:sz="8" w:space="0" w:color="000000"/>
                                  </w:tcBorders>
                                </w:tcPr>
                                <w:p w14:paraId="53CDA37A" w14:textId="77777777" w:rsidR="001F3ACE" w:rsidRDefault="001F3ACE">
                                  <w:pPr>
                                    <w:pStyle w:val="TableParagraph"/>
                                    <w:spacing w:before="3"/>
                                    <w:rPr>
                                      <w:sz w:val="18"/>
                                    </w:rPr>
                                  </w:pPr>
                                </w:p>
                                <w:p w14:paraId="13056C32" w14:textId="77777777" w:rsidR="001F3ACE" w:rsidRDefault="001F3ACE">
                                  <w:pPr>
                                    <w:pStyle w:val="TableParagraph"/>
                                    <w:tabs>
                                      <w:tab w:val="left" w:pos="1886"/>
                                    </w:tabs>
                                    <w:ind w:left="148"/>
                                    <w:rPr>
                                      <w:b/>
                                      <w:sz w:val="16"/>
                                    </w:rPr>
                                  </w:pPr>
                                  <w:r>
                                    <w:rPr>
                                      <w:b/>
                                      <w:sz w:val="16"/>
                                    </w:rPr>
                                    <w:t xml:space="preserve">285,135  </w:t>
                                  </w:r>
                                  <w:r>
                                    <w:rPr>
                                      <w:b/>
                                      <w:spacing w:val="29"/>
                                      <w:sz w:val="16"/>
                                    </w:rPr>
                                    <w:t xml:space="preserve"> </w:t>
                                  </w:r>
                                  <w:r>
                                    <w:rPr>
                                      <w:sz w:val="16"/>
                                    </w:rPr>
                                    <w:t>286,995</w:t>
                                  </w:r>
                                  <w:r>
                                    <w:rPr>
                                      <w:sz w:val="16"/>
                                    </w:rPr>
                                    <w:tab/>
                                  </w:r>
                                  <w:r>
                                    <w:rPr>
                                      <w:b/>
                                      <w:sz w:val="16"/>
                                    </w:rPr>
                                    <w:t>2,755</w:t>
                                  </w:r>
                                </w:p>
                              </w:tc>
                              <w:tc>
                                <w:tcPr>
                                  <w:tcW w:w="762" w:type="dxa"/>
                                  <w:tcBorders>
                                    <w:top w:val="single" w:sz="8" w:space="0" w:color="000000"/>
                                  </w:tcBorders>
                                </w:tcPr>
                                <w:p w14:paraId="52146AB8" w14:textId="77777777" w:rsidR="001F3ACE" w:rsidRDefault="001F3ACE">
                                  <w:pPr>
                                    <w:pStyle w:val="TableParagraph"/>
                                    <w:spacing w:before="3"/>
                                    <w:rPr>
                                      <w:sz w:val="18"/>
                                    </w:rPr>
                                  </w:pPr>
                                </w:p>
                                <w:p w14:paraId="744EE34A" w14:textId="77777777" w:rsidR="001F3ACE" w:rsidRDefault="001F3ACE">
                                  <w:pPr>
                                    <w:pStyle w:val="TableParagraph"/>
                                    <w:ind w:right="186"/>
                                    <w:jc w:val="right"/>
                                    <w:rPr>
                                      <w:sz w:val="16"/>
                                    </w:rPr>
                                  </w:pPr>
                                  <w:r>
                                    <w:rPr>
                                      <w:sz w:val="16"/>
                                    </w:rPr>
                                    <w:t>2,674</w:t>
                                  </w:r>
                                </w:p>
                              </w:tc>
                              <w:tc>
                                <w:tcPr>
                                  <w:tcW w:w="754" w:type="dxa"/>
                                  <w:tcBorders>
                                    <w:top w:val="single" w:sz="8" w:space="0" w:color="000000"/>
                                  </w:tcBorders>
                                </w:tcPr>
                                <w:p w14:paraId="117294E8" w14:textId="77777777" w:rsidR="001F3ACE" w:rsidRDefault="001F3ACE">
                                  <w:pPr>
                                    <w:pStyle w:val="TableParagraph"/>
                                    <w:spacing w:before="3"/>
                                    <w:rPr>
                                      <w:sz w:val="18"/>
                                    </w:rPr>
                                  </w:pPr>
                                </w:p>
                                <w:p w14:paraId="73C7480B" w14:textId="77777777" w:rsidR="001F3ACE" w:rsidRDefault="001F3ACE">
                                  <w:pPr>
                                    <w:pStyle w:val="TableParagraph"/>
                                    <w:ind w:left="135"/>
                                    <w:rPr>
                                      <w:b/>
                                      <w:sz w:val="16"/>
                                    </w:rPr>
                                  </w:pPr>
                                  <w:r>
                                    <w:rPr>
                                      <w:b/>
                                      <w:sz w:val="16"/>
                                    </w:rPr>
                                    <w:t>10,015</w:t>
                                  </w:r>
                                </w:p>
                              </w:tc>
                              <w:tc>
                                <w:tcPr>
                                  <w:tcW w:w="851" w:type="dxa"/>
                                  <w:tcBorders>
                                    <w:top w:val="single" w:sz="8" w:space="0" w:color="000000"/>
                                  </w:tcBorders>
                                </w:tcPr>
                                <w:p w14:paraId="3F23BDF0" w14:textId="77777777" w:rsidR="001F3ACE" w:rsidRDefault="001F3ACE">
                                  <w:pPr>
                                    <w:pStyle w:val="TableParagraph"/>
                                    <w:spacing w:before="3"/>
                                    <w:rPr>
                                      <w:sz w:val="18"/>
                                    </w:rPr>
                                  </w:pPr>
                                </w:p>
                                <w:p w14:paraId="593A8869" w14:textId="77777777" w:rsidR="001F3ACE" w:rsidRDefault="001F3ACE">
                                  <w:pPr>
                                    <w:pStyle w:val="TableParagraph"/>
                                    <w:ind w:right="231"/>
                                    <w:jc w:val="right"/>
                                    <w:rPr>
                                      <w:sz w:val="16"/>
                                    </w:rPr>
                                  </w:pPr>
                                  <w:r>
                                    <w:rPr>
                                      <w:sz w:val="16"/>
                                    </w:rPr>
                                    <w:t>10,390</w:t>
                                  </w:r>
                                </w:p>
                              </w:tc>
                              <w:tc>
                                <w:tcPr>
                                  <w:tcW w:w="780" w:type="dxa"/>
                                  <w:tcBorders>
                                    <w:top w:val="single" w:sz="8" w:space="0" w:color="000000"/>
                                  </w:tcBorders>
                                </w:tcPr>
                                <w:p w14:paraId="35901763" w14:textId="77777777" w:rsidR="001F3ACE" w:rsidRDefault="001F3ACE">
                                  <w:pPr>
                                    <w:pStyle w:val="TableParagraph"/>
                                    <w:spacing w:before="3"/>
                                    <w:rPr>
                                      <w:sz w:val="18"/>
                                    </w:rPr>
                                  </w:pPr>
                                </w:p>
                                <w:p w14:paraId="73DDF260" w14:textId="77777777" w:rsidR="001F3ACE" w:rsidRDefault="001F3ACE">
                                  <w:pPr>
                                    <w:pStyle w:val="TableParagraph"/>
                                    <w:ind w:left="179"/>
                                    <w:rPr>
                                      <w:b/>
                                      <w:sz w:val="16"/>
                                    </w:rPr>
                                  </w:pPr>
                                  <w:r>
                                    <w:rPr>
                                      <w:b/>
                                      <w:sz w:val="16"/>
                                    </w:rPr>
                                    <w:t>1,527</w:t>
                                  </w:r>
                                </w:p>
                              </w:tc>
                              <w:tc>
                                <w:tcPr>
                                  <w:tcW w:w="804" w:type="dxa"/>
                                  <w:tcBorders>
                                    <w:top w:val="single" w:sz="8" w:space="0" w:color="000000"/>
                                  </w:tcBorders>
                                </w:tcPr>
                                <w:p w14:paraId="24A83CAC" w14:textId="77777777" w:rsidR="001F3ACE" w:rsidRDefault="001F3ACE">
                                  <w:pPr>
                                    <w:pStyle w:val="TableParagraph"/>
                                    <w:spacing w:before="3"/>
                                    <w:rPr>
                                      <w:sz w:val="18"/>
                                    </w:rPr>
                                  </w:pPr>
                                </w:p>
                                <w:p w14:paraId="652C4642" w14:textId="77777777" w:rsidR="001F3ACE" w:rsidRDefault="001F3ACE">
                                  <w:pPr>
                                    <w:pStyle w:val="TableParagraph"/>
                                    <w:ind w:right="255"/>
                                    <w:jc w:val="right"/>
                                    <w:rPr>
                                      <w:sz w:val="16"/>
                                    </w:rPr>
                                  </w:pPr>
                                  <w:r>
                                    <w:rPr>
                                      <w:sz w:val="16"/>
                                    </w:rPr>
                                    <w:t>1,572</w:t>
                                  </w:r>
                                </w:p>
                              </w:tc>
                              <w:tc>
                                <w:tcPr>
                                  <w:tcW w:w="773" w:type="dxa"/>
                                  <w:tcBorders>
                                    <w:top w:val="single" w:sz="8" w:space="0" w:color="000000"/>
                                  </w:tcBorders>
                                </w:tcPr>
                                <w:p w14:paraId="6E903F85" w14:textId="77777777" w:rsidR="001F3ACE" w:rsidRDefault="001F3ACE">
                                  <w:pPr>
                                    <w:pStyle w:val="TableParagraph"/>
                                    <w:spacing w:before="3"/>
                                    <w:rPr>
                                      <w:sz w:val="18"/>
                                    </w:rPr>
                                  </w:pPr>
                                </w:p>
                                <w:p w14:paraId="2EE1C096" w14:textId="77777777" w:rsidR="001F3ACE" w:rsidRDefault="001F3ACE">
                                  <w:pPr>
                                    <w:pStyle w:val="TableParagraph"/>
                                    <w:ind w:left="256"/>
                                    <w:rPr>
                                      <w:b/>
                                      <w:sz w:val="16"/>
                                    </w:rPr>
                                  </w:pPr>
                                  <w:r>
                                    <w:rPr>
                                      <w:b/>
                                      <w:sz w:val="16"/>
                                    </w:rPr>
                                    <w:t>390</w:t>
                                  </w:r>
                                </w:p>
                              </w:tc>
                              <w:tc>
                                <w:tcPr>
                                  <w:tcW w:w="737" w:type="dxa"/>
                                  <w:tcBorders>
                                    <w:top w:val="single" w:sz="8" w:space="0" w:color="000000"/>
                                  </w:tcBorders>
                                </w:tcPr>
                                <w:p w14:paraId="25A60A4B" w14:textId="77777777" w:rsidR="001F3ACE" w:rsidRDefault="001F3ACE">
                                  <w:pPr>
                                    <w:pStyle w:val="TableParagraph"/>
                                    <w:spacing w:before="3"/>
                                    <w:rPr>
                                      <w:sz w:val="18"/>
                                    </w:rPr>
                                  </w:pPr>
                                </w:p>
                                <w:p w14:paraId="6DE5A3E1" w14:textId="77777777" w:rsidR="001F3ACE" w:rsidRDefault="001F3ACE">
                                  <w:pPr>
                                    <w:pStyle w:val="TableParagraph"/>
                                    <w:ind w:right="272"/>
                                    <w:jc w:val="right"/>
                                    <w:rPr>
                                      <w:sz w:val="16"/>
                                    </w:rPr>
                                  </w:pPr>
                                  <w:r>
                                    <w:rPr>
                                      <w:sz w:val="16"/>
                                    </w:rPr>
                                    <w:t>423</w:t>
                                  </w:r>
                                </w:p>
                              </w:tc>
                              <w:tc>
                                <w:tcPr>
                                  <w:tcW w:w="812" w:type="dxa"/>
                                  <w:tcBorders>
                                    <w:top w:val="single" w:sz="8" w:space="0" w:color="000000"/>
                                  </w:tcBorders>
                                </w:tcPr>
                                <w:p w14:paraId="1DCCD744" w14:textId="77777777" w:rsidR="001F3ACE" w:rsidRDefault="001F3ACE">
                                  <w:pPr>
                                    <w:pStyle w:val="TableParagraph"/>
                                    <w:spacing w:before="3"/>
                                    <w:rPr>
                                      <w:sz w:val="18"/>
                                    </w:rPr>
                                  </w:pPr>
                                </w:p>
                                <w:p w14:paraId="566B0E2A" w14:textId="77777777" w:rsidR="001F3ACE" w:rsidRDefault="001F3ACE">
                                  <w:pPr>
                                    <w:pStyle w:val="TableParagraph"/>
                                    <w:ind w:left="272"/>
                                    <w:rPr>
                                      <w:b/>
                                      <w:sz w:val="16"/>
                                    </w:rPr>
                                  </w:pPr>
                                  <w:r>
                                    <w:rPr>
                                      <w:b/>
                                      <w:sz w:val="16"/>
                                    </w:rPr>
                                    <w:t>203</w:t>
                                  </w:r>
                                </w:p>
                              </w:tc>
                              <w:tc>
                                <w:tcPr>
                                  <w:tcW w:w="626" w:type="dxa"/>
                                  <w:tcBorders>
                                    <w:top w:val="single" w:sz="8" w:space="0" w:color="000000"/>
                                  </w:tcBorders>
                                </w:tcPr>
                                <w:p w14:paraId="640B3F84" w14:textId="77777777" w:rsidR="001F3ACE" w:rsidRDefault="001F3ACE">
                                  <w:pPr>
                                    <w:pStyle w:val="TableParagraph"/>
                                    <w:spacing w:before="3"/>
                                    <w:rPr>
                                      <w:sz w:val="18"/>
                                    </w:rPr>
                                  </w:pPr>
                                </w:p>
                                <w:p w14:paraId="1E909820" w14:textId="77777777" w:rsidR="001F3ACE" w:rsidRDefault="001F3ACE">
                                  <w:pPr>
                                    <w:pStyle w:val="TableParagraph"/>
                                    <w:ind w:left="218"/>
                                    <w:rPr>
                                      <w:sz w:val="16"/>
                                    </w:rPr>
                                  </w:pPr>
                                  <w:r>
                                    <w:rPr>
                                      <w:sz w:val="16"/>
                                    </w:rPr>
                                    <w:t>185</w:t>
                                  </w:r>
                                </w:p>
                              </w:tc>
                              <w:tc>
                                <w:tcPr>
                                  <w:tcW w:w="836" w:type="dxa"/>
                                  <w:tcBorders>
                                    <w:top w:val="single" w:sz="8" w:space="0" w:color="000000"/>
                                  </w:tcBorders>
                                </w:tcPr>
                                <w:p w14:paraId="2C28D00E" w14:textId="77777777" w:rsidR="001F3ACE" w:rsidRDefault="001F3ACE">
                                  <w:pPr>
                                    <w:pStyle w:val="TableParagraph"/>
                                    <w:spacing w:before="3"/>
                                    <w:rPr>
                                      <w:sz w:val="18"/>
                                    </w:rPr>
                                  </w:pPr>
                                </w:p>
                                <w:p w14:paraId="34C2670D" w14:textId="77777777" w:rsidR="001F3ACE" w:rsidRDefault="001F3ACE">
                                  <w:pPr>
                                    <w:pStyle w:val="TableParagraph"/>
                                    <w:ind w:right="115"/>
                                    <w:jc w:val="right"/>
                                    <w:rPr>
                                      <w:b/>
                                      <w:sz w:val="16"/>
                                    </w:rPr>
                                  </w:pPr>
                                  <w:r>
                                    <w:rPr>
                                      <w:b/>
                                      <w:sz w:val="16"/>
                                    </w:rPr>
                                    <w:t>300,025</w:t>
                                  </w:r>
                                </w:p>
                              </w:tc>
                              <w:tc>
                                <w:tcPr>
                                  <w:tcW w:w="772" w:type="dxa"/>
                                  <w:tcBorders>
                                    <w:top w:val="single" w:sz="8" w:space="0" w:color="000000"/>
                                  </w:tcBorders>
                                </w:tcPr>
                                <w:p w14:paraId="20F83FE2" w14:textId="77777777" w:rsidR="001F3ACE" w:rsidRDefault="001F3ACE">
                                  <w:pPr>
                                    <w:pStyle w:val="TableParagraph"/>
                                    <w:spacing w:before="3"/>
                                    <w:rPr>
                                      <w:sz w:val="18"/>
                                    </w:rPr>
                                  </w:pPr>
                                </w:p>
                                <w:p w14:paraId="6EB772A0" w14:textId="77777777" w:rsidR="001F3ACE" w:rsidRDefault="001F3ACE">
                                  <w:pPr>
                                    <w:pStyle w:val="TableParagraph"/>
                                    <w:ind w:left="117"/>
                                    <w:rPr>
                                      <w:sz w:val="16"/>
                                    </w:rPr>
                                  </w:pPr>
                                  <w:r>
                                    <w:rPr>
                                      <w:sz w:val="16"/>
                                    </w:rPr>
                                    <w:t>302,239</w:t>
                                  </w:r>
                                </w:p>
                              </w:tc>
                            </w:tr>
                            <w:tr w:rsidR="001F3ACE" w14:paraId="6CAC37BB" w14:textId="77777777">
                              <w:trPr>
                                <w:trHeight w:val="418"/>
                              </w:trPr>
                              <w:tc>
                                <w:tcPr>
                                  <w:tcW w:w="2460" w:type="dxa"/>
                                  <w:tcBorders>
                                    <w:bottom w:val="single" w:sz="8" w:space="0" w:color="000000"/>
                                  </w:tcBorders>
                                </w:tcPr>
                                <w:p w14:paraId="603597EB" w14:textId="77777777" w:rsidR="001F3ACE" w:rsidRDefault="001F3ACE">
                                  <w:pPr>
                                    <w:pStyle w:val="TableParagraph"/>
                                    <w:spacing w:before="1"/>
                                    <w:rPr>
                                      <w:sz w:val="18"/>
                                    </w:rPr>
                                  </w:pPr>
                                </w:p>
                                <w:p w14:paraId="0311FD39" w14:textId="77777777" w:rsidR="001F3ACE" w:rsidRDefault="001F3ACE">
                                  <w:pPr>
                                    <w:pStyle w:val="TableParagraph"/>
                                    <w:tabs>
                                      <w:tab w:val="left" w:pos="1737"/>
                                    </w:tabs>
                                    <w:ind w:right="117"/>
                                    <w:jc w:val="right"/>
                                    <w:rPr>
                                      <w:b/>
                                      <w:sz w:val="16"/>
                                    </w:rPr>
                                  </w:pPr>
                                  <w:r>
                                    <w:rPr>
                                      <w:b/>
                                      <w:sz w:val="16"/>
                                    </w:rPr>
                                    <w:t>(285,135)</w:t>
                                  </w:r>
                                  <w:r>
                                    <w:rPr>
                                      <w:b/>
                                      <w:spacing w:val="13"/>
                                      <w:sz w:val="16"/>
                                    </w:rPr>
                                    <w:t xml:space="preserve"> </w:t>
                                  </w:r>
                                  <w:r>
                                    <w:rPr>
                                      <w:sz w:val="16"/>
                                    </w:rPr>
                                    <w:t>(286,995)</w:t>
                                  </w:r>
                                  <w:r>
                                    <w:rPr>
                                      <w:sz w:val="16"/>
                                    </w:rPr>
                                    <w:tab/>
                                  </w:r>
                                  <w:r>
                                    <w:rPr>
                                      <w:b/>
                                      <w:spacing w:val="-1"/>
                                      <w:sz w:val="16"/>
                                    </w:rPr>
                                    <w:t>(2,755)</w:t>
                                  </w:r>
                                </w:p>
                              </w:tc>
                              <w:tc>
                                <w:tcPr>
                                  <w:tcW w:w="762" w:type="dxa"/>
                                  <w:tcBorders>
                                    <w:bottom w:val="single" w:sz="8" w:space="0" w:color="000000"/>
                                  </w:tcBorders>
                                </w:tcPr>
                                <w:p w14:paraId="642C27EE" w14:textId="77777777" w:rsidR="001F3ACE" w:rsidRDefault="001F3ACE">
                                  <w:pPr>
                                    <w:pStyle w:val="TableParagraph"/>
                                    <w:spacing w:before="1"/>
                                    <w:rPr>
                                      <w:sz w:val="18"/>
                                    </w:rPr>
                                  </w:pPr>
                                </w:p>
                                <w:p w14:paraId="0D04C675" w14:textId="77777777" w:rsidR="001F3ACE" w:rsidRDefault="001F3ACE">
                                  <w:pPr>
                                    <w:pStyle w:val="TableParagraph"/>
                                    <w:ind w:right="133"/>
                                    <w:jc w:val="right"/>
                                    <w:rPr>
                                      <w:sz w:val="16"/>
                                    </w:rPr>
                                  </w:pPr>
                                  <w:r>
                                    <w:rPr>
                                      <w:sz w:val="16"/>
                                    </w:rPr>
                                    <w:t>(2,674)</w:t>
                                  </w:r>
                                </w:p>
                              </w:tc>
                              <w:tc>
                                <w:tcPr>
                                  <w:tcW w:w="754" w:type="dxa"/>
                                  <w:tcBorders>
                                    <w:bottom w:val="single" w:sz="8" w:space="0" w:color="000000"/>
                                  </w:tcBorders>
                                </w:tcPr>
                                <w:p w14:paraId="0B3E3DB0" w14:textId="77777777" w:rsidR="001F3ACE" w:rsidRDefault="001F3ACE">
                                  <w:pPr>
                                    <w:pStyle w:val="TableParagraph"/>
                                    <w:spacing w:before="1"/>
                                    <w:rPr>
                                      <w:sz w:val="18"/>
                                    </w:rPr>
                                  </w:pPr>
                                </w:p>
                                <w:p w14:paraId="6DD151D7" w14:textId="77777777" w:rsidR="001F3ACE" w:rsidRDefault="001F3ACE">
                                  <w:pPr>
                                    <w:pStyle w:val="TableParagraph"/>
                                    <w:ind w:right="73"/>
                                    <w:jc w:val="right"/>
                                    <w:rPr>
                                      <w:b/>
                                      <w:sz w:val="16"/>
                                    </w:rPr>
                                  </w:pPr>
                                  <w:r>
                                    <w:rPr>
                                      <w:b/>
                                      <w:sz w:val="16"/>
                                    </w:rPr>
                                    <w:t>(9,963)</w:t>
                                  </w:r>
                                </w:p>
                              </w:tc>
                              <w:tc>
                                <w:tcPr>
                                  <w:tcW w:w="851" w:type="dxa"/>
                                  <w:tcBorders>
                                    <w:bottom w:val="single" w:sz="8" w:space="0" w:color="000000"/>
                                  </w:tcBorders>
                                </w:tcPr>
                                <w:p w14:paraId="123D9B32" w14:textId="77777777" w:rsidR="001F3ACE" w:rsidRDefault="001F3ACE">
                                  <w:pPr>
                                    <w:pStyle w:val="TableParagraph"/>
                                    <w:spacing w:before="1"/>
                                    <w:rPr>
                                      <w:sz w:val="18"/>
                                    </w:rPr>
                                  </w:pPr>
                                </w:p>
                                <w:p w14:paraId="60778AD4" w14:textId="77777777" w:rsidR="001F3ACE" w:rsidRDefault="001F3ACE">
                                  <w:pPr>
                                    <w:pStyle w:val="TableParagraph"/>
                                    <w:ind w:right="178"/>
                                    <w:jc w:val="right"/>
                                    <w:rPr>
                                      <w:sz w:val="16"/>
                                    </w:rPr>
                                  </w:pPr>
                                  <w:r>
                                    <w:rPr>
                                      <w:sz w:val="16"/>
                                    </w:rPr>
                                    <w:t>(10,345)</w:t>
                                  </w:r>
                                </w:p>
                              </w:tc>
                              <w:tc>
                                <w:tcPr>
                                  <w:tcW w:w="780" w:type="dxa"/>
                                  <w:tcBorders>
                                    <w:bottom w:val="single" w:sz="8" w:space="0" w:color="000000"/>
                                  </w:tcBorders>
                                </w:tcPr>
                                <w:p w14:paraId="6515D3A9" w14:textId="77777777" w:rsidR="001F3ACE" w:rsidRDefault="001F3ACE">
                                  <w:pPr>
                                    <w:pStyle w:val="TableParagraph"/>
                                    <w:spacing w:before="1"/>
                                    <w:rPr>
                                      <w:sz w:val="18"/>
                                    </w:rPr>
                                  </w:pPr>
                                </w:p>
                                <w:p w14:paraId="1165E2C6" w14:textId="77777777" w:rsidR="001F3ACE" w:rsidRDefault="001F3ACE">
                                  <w:pPr>
                                    <w:pStyle w:val="TableParagraph"/>
                                    <w:ind w:right="144"/>
                                    <w:jc w:val="right"/>
                                    <w:rPr>
                                      <w:b/>
                                      <w:sz w:val="16"/>
                                    </w:rPr>
                                  </w:pPr>
                                  <w:r>
                                    <w:rPr>
                                      <w:b/>
                                      <w:sz w:val="16"/>
                                    </w:rPr>
                                    <w:t>(323)</w:t>
                                  </w:r>
                                </w:p>
                              </w:tc>
                              <w:tc>
                                <w:tcPr>
                                  <w:tcW w:w="804" w:type="dxa"/>
                                  <w:tcBorders>
                                    <w:bottom w:val="single" w:sz="8" w:space="0" w:color="000000"/>
                                  </w:tcBorders>
                                </w:tcPr>
                                <w:p w14:paraId="0CB97A62" w14:textId="77777777" w:rsidR="001F3ACE" w:rsidRDefault="001F3ACE">
                                  <w:pPr>
                                    <w:pStyle w:val="TableParagraph"/>
                                    <w:spacing w:before="1"/>
                                    <w:rPr>
                                      <w:sz w:val="18"/>
                                    </w:rPr>
                                  </w:pPr>
                                </w:p>
                                <w:p w14:paraId="4298BAC6" w14:textId="77777777" w:rsidR="001F3ACE" w:rsidRDefault="001F3ACE">
                                  <w:pPr>
                                    <w:pStyle w:val="TableParagraph"/>
                                    <w:ind w:right="202"/>
                                    <w:jc w:val="right"/>
                                    <w:rPr>
                                      <w:sz w:val="16"/>
                                    </w:rPr>
                                  </w:pPr>
                                  <w:r>
                                    <w:rPr>
                                      <w:sz w:val="16"/>
                                    </w:rPr>
                                    <w:t>(834)</w:t>
                                  </w:r>
                                </w:p>
                              </w:tc>
                              <w:tc>
                                <w:tcPr>
                                  <w:tcW w:w="773" w:type="dxa"/>
                                  <w:tcBorders>
                                    <w:bottom w:val="single" w:sz="8" w:space="0" w:color="000000"/>
                                  </w:tcBorders>
                                </w:tcPr>
                                <w:p w14:paraId="7842081B" w14:textId="77777777" w:rsidR="001F3ACE" w:rsidRDefault="001F3ACE">
                                  <w:pPr>
                                    <w:pStyle w:val="TableParagraph"/>
                                    <w:spacing w:before="1"/>
                                    <w:rPr>
                                      <w:sz w:val="18"/>
                                    </w:rPr>
                                  </w:pPr>
                                </w:p>
                                <w:p w14:paraId="183DED45" w14:textId="77777777" w:rsidR="001F3ACE" w:rsidRDefault="001F3ACE">
                                  <w:pPr>
                                    <w:pStyle w:val="TableParagraph"/>
                                    <w:ind w:right="195"/>
                                    <w:jc w:val="right"/>
                                    <w:rPr>
                                      <w:b/>
                                      <w:sz w:val="16"/>
                                    </w:rPr>
                                  </w:pPr>
                                  <w:r>
                                    <w:rPr>
                                      <w:b/>
                                      <w:sz w:val="16"/>
                                    </w:rPr>
                                    <w:t>(370)</w:t>
                                  </w:r>
                                </w:p>
                              </w:tc>
                              <w:tc>
                                <w:tcPr>
                                  <w:tcW w:w="737" w:type="dxa"/>
                                  <w:tcBorders>
                                    <w:bottom w:val="single" w:sz="8" w:space="0" w:color="000000"/>
                                  </w:tcBorders>
                                </w:tcPr>
                                <w:p w14:paraId="1AC4347B" w14:textId="77777777" w:rsidR="001F3ACE" w:rsidRDefault="001F3ACE">
                                  <w:pPr>
                                    <w:pStyle w:val="TableParagraph"/>
                                    <w:spacing w:before="1"/>
                                    <w:rPr>
                                      <w:sz w:val="18"/>
                                    </w:rPr>
                                  </w:pPr>
                                </w:p>
                                <w:p w14:paraId="741DFFF0" w14:textId="77777777" w:rsidR="001F3ACE" w:rsidRDefault="001F3ACE">
                                  <w:pPr>
                                    <w:pStyle w:val="TableParagraph"/>
                                    <w:ind w:right="272"/>
                                    <w:jc w:val="right"/>
                                    <w:rPr>
                                      <w:sz w:val="16"/>
                                    </w:rPr>
                                  </w:pPr>
                                  <w:r>
                                    <w:rPr>
                                      <w:sz w:val="16"/>
                                    </w:rPr>
                                    <w:t>35</w:t>
                                  </w:r>
                                </w:p>
                              </w:tc>
                              <w:tc>
                                <w:tcPr>
                                  <w:tcW w:w="812" w:type="dxa"/>
                                  <w:tcBorders>
                                    <w:bottom w:val="single" w:sz="8" w:space="0" w:color="000000"/>
                                  </w:tcBorders>
                                </w:tcPr>
                                <w:p w14:paraId="3DF08F4D" w14:textId="77777777" w:rsidR="001F3ACE" w:rsidRDefault="001F3ACE">
                                  <w:pPr>
                                    <w:pStyle w:val="TableParagraph"/>
                                    <w:spacing w:before="1"/>
                                    <w:rPr>
                                      <w:sz w:val="18"/>
                                    </w:rPr>
                                  </w:pPr>
                                </w:p>
                                <w:p w14:paraId="50B65337" w14:textId="77777777" w:rsidR="001F3ACE" w:rsidRDefault="001F3ACE">
                                  <w:pPr>
                                    <w:pStyle w:val="TableParagraph"/>
                                    <w:ind w:left="308"/>
                                    <w:rPr>
                                      <w:b/>
                                      <w:sz w:val="16"/>
                                    </w:rPr>
                                  </w:pPr>
                                  <w:r>
                                    <w:rPr>
                                      <w:b/>
                                      <w:sz w:val="16"/>
                                    </w:rPr>
                                    <w:t>(83)</w:t>
                                  </w:r>
                                </w:p>
                              </w:tc>
                              <w:tc>
                                <w:tcPr>
                                  <w:tcW w:w="626" w:type="dxa"/>
                                  <w:tcBorders>
                                    <w:bottom w:val="single" w:sz="8" w:space="0" w:color="000000"/>
                                  </w:tcBorders>
                                </w:tcPr>
                                <w:p w14:paraId="7DA34170" w14:textId="77777777" w:rsidR="001F3ACE" w:rsidRDefault="001F3ACE">
                                  <w:pPr>
                                    <w:pStyle w:val="TableParagraph"/>
                                    <w:spacing w:before="1"/>
                                    <w:rPr>
                                      <w:sz w:val="18"/>
                                    </w:rPr>
                                  </w:pPr>
                                </w:p>
                                <w:p w14:paraId="7B126B6E" w14:textId="77777777" w:rsidR="001F3ACE" w:rsidRDefault="001F3ACE">
                                  <w:pPr>
                                    <w:pStyle w:val="TableParagraph"/>
                                    <w:ind w:left="254"/>
                                    <w:rPr>
                                      <w:sz w:val="16"/>
                                    </w:rPr>
                                  </w:pPr>
                                  <w:r>
                                    <w:rPr>
                                      <w:sz w:val="16"/>
                                    </w:rPr>
                                    <w:t>(23)</w:t>
                                  </w:r>
                                </w:p>
                              </w:tc>
                              <w:tc>
                                <w:tcPr>
                                  <w:tcW w:w="836" w:type="dxa"/>
                                  <w:tcBorders>
                                    <w:bottom w:val="single" w:sz="8" w:space="0" w:color="000000"/>
                                  </w:tcBorders>
                                </w:tcPr>
                                <w:p w14:paraId="0CB06402" w14:textId="77777777" w:rsidR="001F3ACE" w:rsidRDefault="001F3ACE">
                                  <w:pPr>
                                    <w:pStyle w:val="TableParagraph"/>
                                    <w:spacing w:before="1"/>
                                    <w:rPr>
                                      <w:sz w:val="18"/>
                                    </w:rPr>
                                  </w:pPr>
                                </w:p>
                                <w:p w14:paraId="65F95CBE" w14:textId="77777777" w:rsidR="001F3ACE" w:rsidRDefault="001F3ACE">
                                  <w:pPr>
                                    <w:pStyle w:val="TableParagraph"/>
                                    <w:ind w:right="62"/>
                                    <w:jc w:val="right"/>
                                    <w:rPr>
                                      <w:b/>
                                      <w:sz w:val="16"/>
                                    </w:rPr>
                                  </w:pPr>
                                  <w:r>
                                    <w:rPr>
                                      <w:b/>
                                      <w:sz w:val="16"/>
                                    </w:rPr>
                                    <w:t>(298,629)</w:t>
                                  </w:r>
                                </w:p>
                              </w:tc>
                              <w:tc>
                                <w:tcPr>
                                  <w:tcW w:w="772" w:type="dxa"/>
                                  <w:tcBorders>
                                    <w:bottom w:val="single" w:sz="8" w:space="0" w:color="000000"/>
                                  </w:tcBorders>
                                </w:tcPr>
                                <w:p w14:paraId="2A67D1D2" w14:textId="77777777" w:rsidR="001F3ACE" w:rsidRDefault="001F3ACE">
                                  <w:pPr>
                                    <w:pStyle w:val="TableParagraph"/>
                                    <w:spacing w:before="1"/>
                                    <w:rPr>
                                      <w:sz w:val="18"/>
                                    </w:rPr>
                                  </w:pPr>
                                </w:p>
                                <w:p w14:paraId="6BE9353C" w14:textId="77777777" w:rsidR="001F3ACE" w:rsidRDefault="001F3ACE">
                                  <w:pPr>
                                    <w:pStyle w:val="TableParagraph"/>
                                    <w:ind w:right="20"/>
                                    <w:jc w:val="right"/>
                                    <w:rPr>
                                      <w:sz w:val="16"/>
                                    </w:rPr>
                                  </w:pPr>
                                  <w:r>
                                    <w:rPr>
                                      <w:sz w:val="16"/>
                                    </w:rPr>
                                    <w:t>(300,836)</w:t>
                                  </w:r>
                                </w:p>
                              </w:tc>
                            </w:tr>
                            <w:tr w:rsidR="001F3ACE" w14:paraId="43B5F52D" w14:textId="77777777">
                              <w:trPr>
                                <w:trHeight w:val="298"/>
                              </w:trPr>
                              <w:tc>
                                <w:tcPr>
                                  <w:tcW w:w="2460" w:type="dxa"/>
                                  <w:tcBorders>
                                    <w:top w:val="single" w:sz="8" w:space="0" w:color="000000"/>
                                    <w:bottom w:val="double" w:sz="2" w:space="0" w:color="000000"/>
                                  </w:tcBorders>
                                </w:tcPr>
                                <w:p w14:paraId="25E2E15E" w14:textId="77777777" w:rsidR="001F3ACE" w:rsidRDefault="001F3ACE">
                                  <w:pPr>
                                    <w:pStyle w:val="TableParagraph"/>
                                    <w:tabs>
                                      <w:tab w:val="left" w:pos="746"/>
                                      <w:tab w:val="left" w:pos="1559"/>
                                    </w:tabs>
                                    <w:spacing w:before="84" w:line="194" w:lineRule="exact"/>
                                    <w:ind w:right="170"/>
                                    <w:jc w:val="right"/>
                                    <w:rPr>
                                      <w:b/>
                                      <w:sz w:val="16"/>
                                    </w:rPr>
                                  </w:pPr>
                                  <w:r>
                                    <w:rPr>
                                      <w:b/>
                                      <w:sz w:val="16"/>
                                    </w:rPr>
                                    <w:t>-</w:t>
                                  </w:r>
                                  <w:r>
                                    <w:rPr>
                                      <w:b/>
                                      <w:sz w:val="16"/>
                                    </w:rPr>
                                    <w:tab/>
                                  </w:r>
                                  <w:r>
                                    <w:rPr>
                                      <w:position w:val="3"/>
                                      <w:sz w:val="16"/>
                                    </w:rPr>
                                    <w:t>-</w:t>
                                  </w:r>
                                  <w:r>
                                    <w:rPr>
                                      <w:position w:val="3"/>
                                      <w:sz w:val="16"/>
                                    </w:rPr>
                                    <w:tab/>
                                  </w:r>
                                  <w:r>
                                    <w:rPr>
                                      <w:b/>
                                      <w:sz w:val="16"/>
                                    </w:rPr>
                                    <w:t>-</w:t>
                                  </w:r>
                                </w:p>
                              </w:tc>
                              <w:tc>
                                <w:tcPr>
                                  <w:tcW w:w="762" w:type="dxa"/>
                                  <w:tcBorders>
                                    <w:top w:val="single" w:sz="8" w:space="0" w:color="000000"/>
                                    <w:bottom w:val="double" w:sz="2" w:space="0" w:color="000000"/>
                                  </w:tcBorders>
                                </w:tcPr>
                                <w:p w14:paraId="0BECA44D" w14:textId="77777777" w:rsidR="001F3ACE" w:rsidRDefault="001F3ACE">
                                  <w:pPr>
                                    <w:pStyle w:val="TableParagraph"/>
                                    <w:spacing w:before="86"/>
                                    <w:ind w:right="185"/>
                                    <w:jc w:val="right"/>
                                    <w:rPr>
                                      <w:sz w:val="16"/>
                                    </w:rPr>
                                  </w:pPr>
                                  <w:r>
                                    <w:rPr>
                                      <w:sz w:val="16"/>
                                    </w:rPr>
                                    <w:t>-</w:t>
                                  </w:r>
                                </w:p>
                              </w:tc>
                              <w:tc>
                                <w:tcPr>
                                  <w:tcW w:w="754" w:type="dxa"/>
                                  <w:tcBorders>
                                    <w:top w:val="single" w:sz="8" w:space="0" w:color="000000"/>
                                    <w:bottom w:val="double" w:sz="2" w:space="0" w:color="000000"/>
                                  </w:tcBorders>
                                </w:tcPr>
                                <w:p w14:paraId="1067C696" w14:textId="77777777" w:rsidR="001F3ACE" w:rsidRDefault="001F3ACE">
                                  <w:pPr>
                                    <w:pStyle w:val="TableParagraph"/>
                                    <w:spacing w:before="114" w:line="164" w:lineRule="exact"/>
                                    <w:ind w:right="126"/>
                                    <w:jc w:val="right"/>
                                    <w:rPr>
                                      <w:b/>
                                      <w:sz w:val="16"/>
                                    </w:rPr>
                                  </w:pPr>
                                  <w:r>
                                    <w:rPr>
                                      <w:b/>
                                      <w:sz w:val="16"/>
                                    </w:rPr>
                                    <w:t>52</w:t>
                                  </w:r>
                                </w:p>
                              </w:tc>
                              <w:tc>
                                <w:tcPr>
                                  <w:tcW w:w="851" w:type="dxa"/>
                                  <w:tcBorders>
                                    <w:top w:val="single" w:sz="8" w:space="0" w:color="000000"/>
                                    <w:bottom w:val="double" w:sz="2" w:space="0" w:color="000000"/>
                                  </w:tcBorders>
                                </w:tcPr>
                                <w:p w14:paraId="783A2D33" w14:textId="77777777" w:rsidR="001F3ACE" w:rsidRDefault="001F3ACE">
                                  <w:pPr>
                                    <w:pStyle w:val="TableParagraph"/>
                                    <w:spacing w:before="86"/>
                                    <w:ind w:right="231"/>
                                    <w:jc w:val="right"/>
                                    <w:rPr>
                                      <w:sz w:val="16"/>
                                    </w:rPr>
                                  </w:pPr>
                                  <w:r>
                                    <w:rPr>
                                      <w:sz w:val="16"/>
                                    </w:rPr>
                                    <w:t>45</w:t>
                                  </w:r>
                                </w:p>
                              </w:tc>
                              <w:tc>
                                <w:tcPr>
                                  <w:tcW w:w="780" w:type="dxa"/>
                                  <w:tcBorders>
                                    <w:top w:val="single" w:sz="8" w:space="0" w:color="000000"/>
                                    <w:bottom w:val="double" w:sz="2" w:space="0" w:color="000000"/>
                                  </w:tcBorders>
                                </w:tcPr>
                                <w:p w14:paraId="6AE4ED05" w14:textId="77777777" w:rsidR="001F3ACE" w:rsidRDefault="001F3ACE">
                                  <w:pPr>
                                    <w:pStyle w:val="TableParagraph"/>
                                    <w:spacing w:before="114" w:line="164" w:lineRule="exact"/>
                                    <w:ind w:left="179"/>
                                    <w:rPr>
                                      <w:b/>
                                      <w:sz w:val="16"/>
                                    </w:rPr>
                                  </w:pPr>
                                  <w:r>
                                    <w:rPr>
                                      <w:b/>
                                      <w:sz w:val="16"/>
                                    </w:rPr>
                                    <w:t>1,204</w:t>
                                  </w:r>
                                </w:p>
                              </w:tc>
                              <w:tc>
                                <w:tcPr>
                                  <w:tcW w:w="804" w:type="dxa"/>
                                  <w:tcBorders>
                                    <w:top w:val="single" w:sz="8" w:space="0" w:color="000000"/>
                                    <w:bottom w:val="double" w:sz="2" w:space="0" w:color="000000"/>
                                  </w:tcBorders>
                                </w:tcPr>
                                <w:p w14:paraId="6B65BD71" w14:textId="77777777" w:rsidR="001F3ACE" w:rsidRDefault="001F3ACE">
                                  <w:pPr>
                                    <w:pStyle w:val="TableParagraph"/>
                                    <w:spacing w:before="86"/>
                                    <w:ind w:right="255"/>
                                    <w:jc w:val="right"/>
                                    <w:rPr>
                                      <w:sz w:val="16"/>
                                    </w:rPr>
                                  </w:pPr>
                                  <w:r>
                                    <w:rPr>
                                      <w:sz w:val="16"/>
                                    </w:rPr>
                                    <w:t>738</w:t>
                                  </w:r>
                                </w:p>
                              </w:tc>
                              <w:tc>
                                <w:tcPr>
                                  <w:tcW w:w="773" w:type="dxa"/>
                                  <w:tcBorders>
                                    <w:top w:val="single" w:sz="8" w:space="0" w:color="000000"/>
                                    <w:bottom w:val="double" w:sz="2" w:space="0" w:color="000000"/>
                                  </w:tcBorders>
                                </w:tcPr>
                                <w:p w14:paraId="39219628" w14:textId="77777777" w:rsidR="001F3ACE" w:rsidRDefault="001F3ACE">
                                  <w:pPr>
                                    <w:pStyle w:val="TableParagraph"/>
                                    <w:spacing w:before="86"/>
                                    <w:ind w:left="344"/>
                                    <w:rPr>
                                      <w:b/>
                                      <w:sz w:val="16"/>
                                    </w:rPr>
                                  </w:pPr>
                                  <w:r>
                                    <w:rPr>
                                      <w:b/>
                                      <w:sz w:val="16"/>
                                    </w:rPr>
                                    <w:t>20</w:t>
                                  </w:r>
                                </w:p>
                              </w:tc>
                              <w:tc>
                                <w:tcPr>
                                  <w:tcW w:w="737" w:type="dxa"/>
                                  <w:tcBorders>
                                    <w:top w:val="single" w:sz="8" w:space="0" w:color="000000"/>
                                    <w:bottom w:val="double" w:sz="2" w:space="0" w:color="000000"/>
                                  </w:tcBorders>
                                </w:tcPr>
                                <w:p w14:paraId="588A4AFB" w14:textId="77777777" w:rsidR="001F3ACE" w:rsidRDefault="001F3ACE">
                                  <w:pPr>
                                    <w:pStyle w:val="TableParagraph"/>
                                    <w:spacing w:before="86"/>
                                    <w:ind w:right="272"/>
                                    <w:jc w:val="right"/>
                                    <w:rPr>
                                      <w:sz w:val="16"/>
                                    </w:rPr>
                                  </w:pPr>
                                  <w:r>
                                    <w:rPr>
                                      <w:sz w:val="16"/>
                                    </w:rPr>
                                    <w:t>458</w:t>
                                  </w:r>
                                </w:p>
                              </w:tc>
                              <w:tc>
                                <w:tcPr>
                                  <w:tcW w:w="812" w:type="dxa"/>
                                  <w:tcBorders>
                                    <w:top w:val="single" w:sz="8" w:space="0" w:color="000000"/>
                                    <w:bottom w:val="double" w:sz="2" w:space="0" w:color="000000"/>
                                  </w:tcBorders>
                                </w:tcPr>
                                <w:p w14:paraId="4C6B5FD7" w14:textId="77777777" w:rsidR="001F3ACE" w:rsidRDefault="001F3ACE">
                                  <w:pPr>
                                    <w:pStyle w:val="TableParagraph"/>
                                    <w:spacing w:before="86"/>
                                    <w:ind w:left="272"/>
                                    <w:rPr>
                                      <w:b/>
                                      <w:sz w:val="16"/>
                                    </w:rPr>
                                  </w:pPr>
                                  <w:r>
                                    <w:rPr>
                                      <w:b/>
                                      <w:sz w:val="16"/>
                                    </w:rPr>
                                    <w:t>120</w:t>
                                  </w:r>
                                </w:p>
                              </w:tc>
                              <w:tc>
                                <w:tcPr>
                                  <w:tcW w:w="626" w:type="dxa"/>
                                  <w:tcBorders>
                                    <w:top w:val="single" w:sz="8" w:space="0" w:color="000000"/>
                                    <w:bottom w:val="double" w:sz="2" w:space="0" w:color="000000"/>
                                  </w:tcBorders>
                                </w:tcPr>
                                <w:p w14:paraId="4E48A115" w14:textId="77777777" w:rsidR="001F3ACE" w:rsidRDefault="001F3ACE">
                                  <w:pPr>
                                    <w:pStyle w:val="TableParagraph"/>
                                    <w:spacing w:before="86"/>
                                    <w:ind w:left="218"/>
                                    <w:rPr>
                                      <w:sz w:val="16"/>
                                    </w:rPr>
                                  </w:pPr>
                                  <w:r>
                                    <w:rPr>
                                      <w:sz w:val="16"/>
                                    </w:rPr>
                                    <w:t>162</w:t>
                                  </w:r>
                                </w:p>
                              </w:tc>
                              <w:tc>
                                <w:tcPr>
                                  <w:tcW w:w="836" w:type="dxa"/>
                                  <w:tcBorders>
                                    <w:top w:val="single" w:sz="8" w:space="0" w:color="000000"/>
                                    <w:bottom w:val="double" w:sz="2" w:space="0" w:color="000000"/>
                                  </w:tcBorders>
                                </w:tcPr>
                                <w:p w14:paraId="535884A2" w14:textId="77777777" w:rsidR="001F3ACE" w:rsidRDefault="001F3ACE">
                                  <w:pPr>
                                    <w:pStyle w:val="TableParagraph"/>
                                    <w:spacing w:before="86"/>
                                    <w:ind w:right="115"/>
                                    <w:jc w:val="right"/>
                                    <w:rPr>
                                      <w:b/>
                                      <w:sz w:val="16"/>
                                    </w:rPr>
                                  </w:pPr>
                                  <w:r>
                                    <w:rPr>
                                      <w:b/>
                                      <w:sz w:val="16"/>
                                    </w:rPr>
                                    <w:t>1,396</w:t>
                                  </w:r>
                                </w:p>
                              </w:tc>
                              <w:tc>
                                <w:tcPr>
                                  <w:tcW w:w="772" w:type="dxa"/>
                                  <w:tcBorders>
                                    <w:top w:val="single" w:sz="8" w:space="0" w:color="000000"/>
                                    <w:bottom w:val="double" w:sz="2" w:space="0" w:color="000000"/>
                                  </w:tcBorders>
                                </w:tcPr>
                                <w:p w14:paraId="05E52B2C" w14:textId="77777777" w:rsidR="001F3ACE" w:rsidRDefault="001F3ACE">
                                  <w:pPr>
                                    <w:pStyle w:val="TableParagraph"/>
                                    <w:spacing w:before="86"/>
                                    <w:ind w:left="295"/>
                                    <w:rPr>
                                      <w:sz w:val="16"/>
                                    </w:rPr>
                                  </w:pPr>
                                  <w:r>
                                    <w:rPr>
                                      <w:sz w:val="16"/>
                                    </w:rPr>
                                    <w:t>1,403</w:t>
                                  </w:r>
                                </w:p>
                              </w:tc>
                            </w:tr>
                          </w:tbl>
                          <w:p w14:paraId="368B900C" w14:textId="77777777" w:rsidR="001F3ACE" w:rsidRDefault="001F3AC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E83DF" id="Text Box 1995" o:spid="_x0000_s1038" type="#_x0000_t202" style="position:absolute;left:0;text-align:left;margin-left:243pt;margin-top:-127.8pt;width:548.4pt;height:117.65pt;z-index:1575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460"/>
                        <w:gridCol w:w="762"/>
                        <w:gridCol w:w="754"/>
                        <w:gridCol w:w="851"/>
                        <w:gridCol w:w="780"/>
                        <w:gridCol w:w="804"/>
                        <w:gridCol w:w="773"/>
                        <w:gridCol w:w="737"/>
                        <w:gridCol w:w="812"/>
                        <w:gridCol w:w="626"/>
                        <w:gridCol w:w="836"/>
                        <w:gridCol w:w="772"/>
                      </w:tblGrid>
                      <w:tr w:rsidR="001F3ACE" w14:paraId="3D16C0B6" w14:textId="77777777">
                        <w:trPr>
                          <w:trHeight w:val="211"/>
                        </w:trPr>
                        <w:tc>
                          <w:tcPr>
                            <w:tcW w:w="2460" w:type="dxa"/>
                          </w:tcPr>
                          <w:p w14:paraId="7D26F915" w14:textId="77777777" w:rsidR="001F3ACE" w:rsidRDefault="001F3ACE">
                            <w:pPr>
                              <w:pStyle w:val="TableParagraph"/>
                              <w:tabs>
                                <w:tab w:val="left" w:pos="1886"/>
                              </w:tabs>
                              <w:spacing w:line="179" w:lineRule="exact"/>
                              <w:ind w:left="148"/>
                              <w:rPr>
                                <w:b/>
                                <w:sz w:val="16"/>
                              </w:rPr>
                            </w:pPr>
                            <w:r>
                              <w:rPr>
                                <w:b/>
                                <w:sz w:val="16"/>
                              </w:rPr>
                              <w:t xml:space="preserve">287,309  </w:t>
                            </w:r>
                            <w:r>
                              <w:rPr>
                                <w:b/>
                                <w:spacing w:val="29"/>
                                <w:sz w:val="16"/>
                              </w:rPr>
                              <w:t xml:space="preserve"> </w:t>
                            </w:r>
                            <w:r>
                              <w:rPr>
                                <w:sz w:val="16"/>
                              </w:rPr>
                              <w:t>287,192</w:t>
                            </w:r>
                            <w:r>
                              <w:rPr>
                                <w:sz w:val="16"/>
                              </w:rPr>
                              <w:tab/>
                            </w:r>
                            <w:r>
                              <w:rPr>
                                <w:b/>
                                <w:sz w:val="16"/>
                              </w:rPr>
                              <w:t>2,755</w:t>
                            </w:r>
                          </w:p>
                        </w:tc>
                        <w:tc>
                          <w:tcPr>
                            <w:tcW w:w="762" w:type="dxa"/>
                          </w:tcPr>
                          <w:p w14:paraId="5B2E839A" w14:textId="77777777" w:rsidR="001F3ACE" w:rsidRDefault="001F3ACE">
                            <w:pPr>
                              <w:pStyle w:val="TableParagraph"/>
                              <w:spacing w:line="179" w:lineRule="exact"/>
                              <w:ind w:right="186"/>
                              <w:jc w:val="right"/>
                              <w:rPr>
                                <w:sz w:val="16"/>
                              </w:rPr>
                            </w:pPr>
                            <w:r>
                              <w:rPr>
                                <w:sz w:val="16"/>
                              </w:rPr>
                              <w:t>2,643</w:t>
                            </w:r>
                          </w:p>
                        </w:tc>
                        <w:tc>
                          <w:tcPr>
                            <w:tcW w:w="754" w:type="dxa"/>
                          </w:tcPr>
                          <w:p w14:paraId="227B9738" w14:textId="77777777" w:rsidR="001F3ACE" w:rsidRDefault="001F3ACE">
                            <w:pPr>
                              <w:pStyle w:val="TableParagraph"/>
                              <w:spacing w:line="179" w:lineRule="exact"/>
                              <w:ind w:left="224"/>
                              <w:rPr>
                                <w:b/>
                                <w:sz w:val="16"/>
                              </w:rPr>
                            </w:pPr>
                            <w:r>
                              <w:rPr>
                                <w:b/>
                                <w:sz w:val="16"/>
                              </w:rPr>
                              <w:t>9,970</w:t>
                            </w:r>
                          </w:p>
                        </w:tc>
                        <w:tc>
                          <w:tcPr>
                            <w:tcW w:w="851" w:type="dxa"/>
                          </w:tcPr>
                          <w:p w14:paraId="7A6504E0" w14:textId="77777777" w:rsidR="001F3ACE" w:rsidRDefault="001F3ACE">
                            <w:pPr>
                              <w:pStyle w:val="TableParagraph"/>
                              <w:spacing w:line="179" w:lineRule="exact"/>
                              <w:ind w:right="231"/>
                              <w:jc w:val="right"/>
                              <w:rPr>
                                <w:sz w:val="16"/>
                              </w:rPr>
                            </w:pPr>
                            <w:r>
                              <w:rPr>
                                <w:sz w:val="16"/>
                              </w:rPr>
                              <w:t>10,231</w:t>
                            </w:r>
                          </w:p>
                        </w:tc>
                        <w:tc>
                          <w:tcPr>
                            <w:tcW w:w="780" w:type="dxa"/>
                          </w:tcPr>
                          <w:p w14:paraId="1078F4CC" w14:textId="77777777" w:rsidR="001F3ACE" w:rsidRDefault="001F3ACE">
                            <w:pPr>
                              <w:pStyle w:val="TableParagraph"/>
                              <w:spacing w:line="179" w:lineRule="exact"/>
                              <w:ind w:left="313"/>
                              <w:rPr>
                                <w:b/>
                                <w:sz w:val="16"/>
                              </w:rPr>
                            </w:pPr>
                            <w:r>
                              <w:rPr>
                                <w:b/>
                                <w:sz w:val="16"/>
                              </w:rPr>
                              <w:t>789</w:t>
                            </w:r>
                          </w:p>
                        </w:tc>
                        <w:tc>
                          <w:tcPr>
                            <w:tcW w:w="804" w:type="dxa"/>
                          </w:tcPr>
                          <w:p w14:paraId="0B53ED7C" w14:textId="77777777" w:rsidR="001F3ACE" w:rsidRDefault="001F3ACE">
                            <w:pPr>
                              <w:pStyle w:val="TableParagraph"/>
                              <w:spacing w:line="179" w:lineRule="exact"/>
                              <w:ind w:right="255"/>
                              <w:jc w:val="right"/>
                              <w:rPr>
                                <w:sz w:val="16"/>
                              </w:rPr>
                            </w:pPr>
                            <w:r>
                              <w:rPr>
                                <w:sz w:val="16"/>
                              </w:rPr>
                              <w:t>970</w:t>
                            </w:r>
                          </w:p>
                        </w:tc>
                        <w:tc>
                          <w:tcPr>
                            <w:tcW w:w="773" w:type="dxa"/>
                          </w:tcPr>
                          <w:p w14:paraId="2DCA6A71" w14:textId="77777777" w:rsidR="001F3ACE" w:rsidRDefault="001F3ACE">
                            <w:pPr>
                              <w:pStyle w:val="TableParagraph"/>
                              <w:spacing w:line="179" w:lineRule="exact"/>
                              <w:ind w:right="195"/>
                              <w:jc w:val="right"/>
                              <w:rPr>
                                <w:b/>
                                <w:sz w:val="16"/>
                              </w:rPr>
                            </w:pPr>
                            <w:r>
                              <w:rPr>
                                <w:b/>
                                <w:sz w:val="16"/>
                              </w:rPr>
                              <w:t>(68)</w:t>
                            </w:r>
                          </w:p>
                        </w:tc>
                        <w:tc>
                          <w:tcPr>
                            <w:tcW w:w="737" w:type="dxa"/>
                          </w:tcPr>
                          <w:p w14:paraId="496233F6" w14:textId="77777777" w:rsidR="001F3ACE" w:rsidRDefault="001F3ACE">
                            <w:pPr>
                              <w:pStyle w:val="TableParagraph"/>
                              <w:spacing w:line="179" w:lineRule="exact"/>
                              <w:ind w:right="272"/>
                              <w:jc w:val="right"/>
                              <w:rPr>
                                <w:sz w:val="16"/>
                              </w:rPr>
                            </w:pPr>
                            <w:r>
                              <w:rPr>
                                <w:sz w:val="16"/>
                              </w:rPr>
                              <w:t>100</w:t>
                            </w:r>
                          </w:p>
                        </w:tc>
                        <w:tc>
                          <w:tcPr>
                            <w:tcW w:w="812" w:type="dxa"/>
                          </w:tcPr>
                          <w:p w14:paraId="57704613" w14:textId="77777777" w:rsidR="001F3ACE" w:rsidRDefault="001F3ACE">
                            <w:pPr>
                              <w:pStyle w:val="TableParagraph"/>
                              <w:spacing w:line="179" w:lineRule="exact"/>
                              <w:ind w:left="213"/>
                              <w:jc w:val="center"/>
                              <w:rPr>
                                <w:b/>
                                <w:sz w:val="16"/>
                              </w:rPr>
                            </w:pPr>
                            <w:r>
                              <w:rPr>
                                <w:b/>
                                <w:sz w:val="16"/>
                              </w:rPr>
                              <w:t>-</w:t>
                            </w:r>
                          </w:p>
                        </w:tc>
                        <w:tc>
                          <w:tcPr>
                            <w:tcW w:w="626" w:type="dxa"/>
                          </w:tcPr>
                          <w:p w14:paraId="093D1B5A" w14:textId="77777777" w:rsidR="001F3ACE" w:rsidRDefault="001F3ACE">
                            <w:pPr>
                              <w:pStyle w:val="TableParagraph"/>
                              <w:spacing w:line="179" w:lineRule="exact"/>
                              <w:ind w:left="307"/>
                              <w:rPr>
                                <w:sz w:val="16"/>
                              </w:rPr>
                            </w:pPr>
                            <w:r>
                              <w:rPr>
                                <w:sz w:val="16"/>
                              </w:rPr>
                              <w:t>25</w:t>
                            </w:r>
                          </w:p>
                        </w:tc>
                        <w:tc>
                          <w:tcPr>
                            <w:tcW w:w="836" w:type="dxa"/>
                          </w:tcPr>
                          <w:p w14:paraId="084EF403" w14:textId="77777777" w:rsidR="001F3ACE" w:rsidRDefault="001F3ACE">
                            <w:pPr>
                              <w:pStyle w:val="TableParagraph"/>
                              <w:spacing w:line="179" w:lineRule="exact"/>
                              <w:ind w:right="115"/>
                              <w:jc w:val="right"/>
                              <w:rPr>
                                <w:b/>
                                <w:sz w:val="16"/>
                              </w:rPr>
                            </w:pPr>
                            <w:r>
                              <w:rPr>
                                <w:b/>
                                <w:sz w:val="16"/>
                              </w:rPr>
                              <w:t>300,755</w:t>
                            </w:r>
                          </w:p>
                        </w:tc>
                        <w:tc>
                          <w:tcPr>
                            <w:tcW w:w="772" w:type="dxa"/>
                          </w:tcPr>
                          <w:p w14:paraId="57F3BFED" w14:textId="77777777" w:rsidR="001F3ACE" w:rsidRDefault="001F3ACE">
                            <w:pPr>
                              <w:pStyle w:val="TableParagraph"/>
                              <w:spacing w:line="179" w:lineRule="exact"/>
                              <w:ind w:left="117"/>
                              <w:rPr>
                                <w:sz w:val="16"/>
                              </w:rPr>
                            </w:pPr>
                            <w:r>
                              <w:rPr>
                                <w:sz w:val="16"/>
                              </w:rPr>
                              <w:t>301,161</w:t>
                            </w:r>
                          </w:p>
                        </w:tc>
                      </w:tr>
                      <w:tr w:rsidR="001F3ACE" w14:paraId="28E1DCBB" w14:textId="77777777">
                        <w:trPr>
                          <w:trHeight w:val="237"/>
                        </w:trPr>
                        <w:tc>
                          <w:tcPr>
                            <w:tcW w:w="2460" w:type="dxa"/>
                            <w:tcBorders>
                              <w:bottom w:val="single" w:sz="8" w:space="0" w:color="000000"/>
                            </w:tcBorders>
                          </w:tcPr>
                          <w:p w14:paraId="2CEBE940" w14:textId="77777777" w:rsidR="001F3ACE" w:rsidRDefault="001F3ACE">
                            <w:pPr>
                              <w:pStyle w:val="TableParagraph"/>
                              <w:tabs>
                                <w:tab w:val="left" w:pos="1154"/>
                                <w:tab w:val="left" w:pos="2234"/>
                              </w:tabs>
                              <w:spacing w:before="27"/>
                              <w:ind w:left="273"/>
                              <w:rPr>
                                <w:b/>
                                <w:sz w:val="16"/>
                              </w:rPr>
                            </w:pPr>
                            <w:r>
                              <w:rPr>
                                <w:b/>
                                <w:sz w:val="16"/>
                              </w:rPr>
                              <w:t>(2,174)</w:t>
                            </w:r>
                            <w:r>
                              <w:rPr>
                                <w:b/>
                                <w:sz w:val="16"/>
                              </w:rPr>
                              <w:tab/>
                            </w:r>
                            <w:r>
                              <w:rPr>
                                <w:sz w:val="16"/>
                              </w:rPr>
                              <w:t>(197)</w:t>
                            </w:r>
                            <w:r>
                              <w:rPr>
                                <w:sz w:val="16"/>
                              </w:rPr>
                              <w:tab/>
                            </w:r>
                            <w:r>
                              <w:rPr>
                                <w:b/>
                                <w:sz w:val="16"/>
                              </w:rPr>
                              <w:t>-</w:t>
                            </w:r>
                          </w:p>
                        </w:tc>
                        <w:tc>
                          <w:tcPr>
                            <w:tcW w:w="762" w:type="dxa"/>
                            <w:tcBorders>
                              <w:bottom w:val="single" w:sz="8" w:space="0" w:color="000000"/>
                            </w:tcBorders>
                          </w:tcPr>
                          <w:p w14:paraId="715FFBA3" w14:textId="77777777" w:rsidR="001F3ACE" w:rsidRDefault="001F3ACE">
                            <w:pPr>
                              <w:pStyle w:val="TableParagraph"/>
                              <w:spacing w:before="27"/>
                              <w:ind w:right="185"/>
                              <w:jc w:val="right"/>
                              <w:rPr>
                                <w:sz w:val="16"/>
                              </w:rPr>
                            </w:pPr>
                            <w:r>
                              <w:rPr>
                                <w:sz w:val="16"/>
                              </w:rPr>
                              <w:t>-</w:t>
                            </w:r>
                          </w:p>
                        </w:tc>
                        <w:tc>
                          <w:tcPr>
                            <w:tcW w:w="754" w:type="dxa"/>
                            <w:tcBorders>
                              <w:bottom w:val="single" w:sz="8" w:space="0" w:color="000000"/>
                            </w:tcBorders>
                          </w:tcPr>
                          <w:p w14:paraId="0A458FAF" w14:textId="77777777" w:rsidR="001F3ACE" w:rsidRDefault="001F3ACE">
                            <w:pPr>
                              <w:pStyle w:val="TableParagraph"/>
                              <w:spacing w:before="27"/>
                              <w:ind w:right="126"/>
                              <w:jc w:val="right"/>
                              <w:rPr>
                                <w:b/>
                                <w:sz w:val="16"/>
                              </w:rPr>
                            </w:pPr>
                            <w:r>
                              <w:rPr>
                                <w:b/>
                                <w:sz w:val="16"/>
                              </w:rPr>
                              <w:t>-</w:t>
                            </w:r>
                          </w:p>
                        </w:tc>
                        <w:tc>
                          <w:tcPr>
                            <w:tcW w:w="851" w:type="dxa"/>
                            <w:tcBorders>
                              <w:bottom w:val="single" w:sz="8" w:space="0" w:color="000000"/>
                            </w:tcBorders>
                          </w:tcPr>
                          <w:p w14:paraId="29A5DC9B" w14:textId="77777777" w:rsidR="001F3ACE" w:rsidRDefault="001F3ACE">
                            <w:pPr>
                              <w:pStyle w:val="TableParagraph"/>
                              <w:spacing w:before="27"/>
                              <w:ind w:right="230"/>
                              <w:jc w:val="right"/>
                              <w:rPr>
                                <w:sz w:val="16"/>
                              </w:rPr>
                            </w:pPr>
                            <w:r>
                              <w:rPr>
                                <w:sz w:val="16"/>
                              </w:rPr>
                              <w:t>-</w:t>
                            </w:r>
                          </w:p>
                        </w:tc>
                        <w:tc>
                          <w:tcPr>
                            <w:tcW w:w="780" w:type="dxa"/>
                            <w:tcBorders>
                              <w:bottom w:val="single" w:sz="8" w:space="0" w:color="000000"/>
                            </w:tcBorders>
                          </w:tcPr>
                          <w:p w14:paraId="5B0CEA58" w14:textId="77777777" w:rsidR="001F3ACE" w:rsidRDefault="001F3ACE">
                            <w:pPr>
                              <w:pStyle w:val="TableParagraph"/>
                              <w:spacing w:before="27"/>
                              <w:ind w:right="197"/>
                              <w:jc w:val="right"/>
                              <w:rPr>
                                <w:b/>
                                <w:sz w:val="16"/>
                              </w:rPr>
                            </w:pPr>
                            <w:r>
                              <w:rPr>
                                <w:b/>
                                <w:sz w:val="16"/>
                              </w:rPr>
                              <w:t>-</w:t>
                            </w:r>
                          </w:p>
                        </w:tc>
                        <w:tc>
                          <w:tcPr>
                            <w:tcW w:w="804" w:type="dxa"/>
                            <w:tcBorders>
                              <w:bottom w:val="single" w:sz="8" w:space="0" w:color="000000"/>
                            </w:tcBorders>
                          </w:tcPr>
                          <w:p w14:paraId="1987091D" w14:textId="77777777" w:rsidR="001F3ACE" w:rsidRDefault="001F3ACE">
                            <w:pPr>
                              <w:pStyle w:val="TableParagraph"/>
                              <w:spacing w:before="27"/>
                              <w:ind w:right="254"/>
                              <w:jc w:val="right"/>
                              <w:rPr>
                                <w:sz w:val="16"/>
                              </w:rPr>
                            </w:pPr>
                            <w:r>
                              <w:rPr>
                                <w:sz w:val="16"/>
                              </w:rPr>
                              <w:t>-</w:t>
                            </w:r>
                          </w:p>
                        </w:tc>
                        <w:tc>
                          <w:tcPr>
                            <w:tcW w:w="773" w:type="dxa"/>
                            <w:tcBorders>
                              <w:bottom w:val="single" w:sz="8" w:space="0" w:color="000000"/>
                            </w:tcBorders>
                          </w:tcPr>
                          <w:p w14:paraId="6C755A86" w14:textId="77777777" w:rsidR="001F3ACE" w:rsidRDefault="001F3ACE">
                            <w:pPr>
                              <w:pStyle w:val="TableParagraph"/>
                              <w:spacing w:before="27"/>
                              <w:ind w:left="469"/>
                              <w:rPr>
                                <w:b/>
                                <w:sz w:val="16"/>
                              </w:rPr>
                            </w:pPr>
                            <w:r>
                              <w:rPr>
                                <w:b/>
                                <w:sz w:val="16"/>
                              </w:rPr>
                              <w:t>-</w:t>
                            </w:r>
                          </w:p>
                        </w:tc>
                        <w:tc>
                          <w:tcPr>
                            <w:tcW w:w="737" w:type="dxa"/>
                            <w:tcBorders>
                              <w:bottom w:val="single" w:sz="8" w:space="0" w:color="000000"/>
                            </w:tcBorders>
                          </w:tcPr>
                          <w:p w14:paraId="6D1EC156" w14:textId="77777777" w:rsidR="001F3ACE" w:rsidRDefault="001F3ACE">
                            <w:pPr>
                              <w:pStyle w:val="TableParagraph"/>
                              <w:spacing w:before="27"/>
                              <w:ind w:right="271"/>
                              <w:jc w:val="right"/>
                              <w:rPr>
                                <w:sz w:val="16"/>
                              </w:rPr>
                            </w:pPr>
                            <w:r>
                              <w:rPr>
                                <w:sz w:val="16"/>
                              </w:rPr>
                              <w:t>-</w:t>
                            </w:r>
                          </w:p>
                        </w:tc>
                        <w:tc>
                          <w:tcPr>
                            <w:tcW w:w="812" w:type="dxa"/>
                            <w:tcBorders>
                              <w:bottom w:val="single" w:sz="8" w:space="0" w:color="000000"/>
                            </w:tcBorders>
                          </w:tcPr>
                          <w:p w14:paraId="4FEBE76B" w14:textId="77777777" w:rsidR="001F3ACE" w:rsidRDefault="001F3ACE">
                            <w:pPr>
                              <w:pStyle w:val="TableParagraph"/>
                              <w:spacing w:before="27"/>
                              <w:ind w:left="341" w:right="253"/>
                              <w:jc w:val="center"/>
                              <w:rPr>
                                <w:b/>
                                <w:sz w:val="16"/>
                              </w:rPr>
                            </w:pPr>
                            <w:r>
                              <w:rPr>
                                <w:b/>
                                <w:sz w:val="16"/>
                              </w:rPr>
                              <w:t>41</w:t>
                            </w:r>
                          </w:p>
                        </w:tc>
                        <w:tc>
                          <w:tcPr>
                            <w:tcW w:w="626" w:type="dxa"/>
                            <w:tcBorders>
                              <w:bottom w:val="single" w:sz="8" w:space="0" w:color="000000"/>
                            </w:tcBorders>
                          </w:tcPr>
                          <w:p w14:paraId="2819D25C" w14:textId="77777777" w:rsidR="001F3ACE" w:rsidRDefault="001F3ACE">
                            <w:pPr>
                              <w:pStyle w:val="TableParagraph"/>
                              <w:spacing w:before="27"/>
                              <w:ind w:left="396"/>
                              <w:rPr>
                                <w:sz w:val="16"/>
                              </w:rPr>
                            </w:pPr>
                            <w:r>
                              <w:rPr>
                                <w:sz w:val="16"/>
                              </w:rPr>
                              <w:t>6</w:t>
                            </w:r>
                          </w:p>
                        </w:tc>
                        <w:tc>
                          <w:tcPr>
                            <w:tcW w:w="836" w:type="dxa"/>
                            <w:tcBorders>
                              <w:bottom w:val="single" w:sz="8" w:space="0" w:color="000000"/>
                            </w:tcBorders>
                          </w:tcPr>
                          <w:p w14:paraId="01A7C8C6" w14:textId="77777777" w:rsidR="001F3ACE" w:rsidRDefault="001F3ACE">
                            <w:pPr>
                              <w:pStyle w:val="TableParagraph"/>
                              <w:spacing w:before="27"/>
                              <w:ind w:right="62"/>
                              <w:jc w:val="right"/>
                              <w:rPr>
                                <w:b/>
                                <w:sz w:val="16"/>
                              </w:rPr>
                            </w:pPr>
                            <w:r>
                              <w:rPr>
                                <w:b/>
                                <w:sz w:val="16"/>
                              </w:rPr>
                              <w:t>(2,133)</w:t>
                            </w:r>
                          </w:p>
                        </w:tc>
                        <w:tc>
                          <w:tcPr>
                            <w:tcW w:w="772" w:type="dxa"/>
                            <w:tcBorders>
                              <w:bottom w:val="single" w:sz="8" w:space="0" w:color="000000"/>
                            </w:tcBorders>
                          </w:tcPr>
                          <w:p w14:paraId="1CCE13FF" w14:textId="77777777" w:rsidR="001F3ACE" w:rsidRDefault="001F3ACE">
                            <w:pPr>
                              <w:pStyle w:val="TableParagraph"/>
                              <w:spacing w:before="27"/>
                              <w:ind w:right="20"/>
                              <w:jc w:val="right"/>
                              <w:rPr>
                                <w:sz w:val="16"/>
                              </w:rPr>
                            </w:pPr>
                            <w:r>
                              <w:rPr>
                                <w:sz w:val="16"/>
                              </w:rPr>
                              <w:t>(191)</w:t>
                            </w:r>
                          </w:p>
                        </w:tc>
                      </w:tr>
                      <w:tr w:rsidR="001F3ACE" w14:paraId="0D30E594" w14:textId="77777777">
                        <w:trPr>
                          <w:trHeight w:val="245"/>
                        </w:trPr>
                        <w:tc>
                          <w:tcPr>
                            <w:tcW w:w="2460" w:type="dxa"/>
                            <w:tcBorders>
                              <w:top w:val="single" w:sz="8" w:space="0" w:color="000000"/>
                            </w:tcBorders>
                          </w:tcPr>
                          <w:p w14:paraId="7BDDAEA9" w14:textId="77777777" w:rsidR="001F3ACE" w:rsidRDefault="001F3ACE">
                            <w:pPr>
                              <w:pStyle w:val="TableParagraph"/>
                              <w:tabs>
                                <w:tab w:val="left" w:pos="1886"/>
                              </w:tabs>
                              <w:spacing w:before="30"/>
                              <w:ind w:left="148"/>
                              <w:rPr>
                                <w:b/>
                                <w:sz w:val="16"/>
                              </w:rPr>
                            </w:pPr>
                            <w:r>
                              <w:rPr>
                                <w:b/>
                                <w:sz w:val="16"/>
                              </w:rPr>
                              <w:t xml:space="preserve">285,135  </w:t>
                            </w:r>
                            <w:r>
                              <w:rPr>
                                <w:b/>
                                <w:spacing w:val="29"/>
                                <w:sz w:val="16"/>
                              </w:rPr>
                              <w:t xml:space="preserve"> </w:t>
                            </w:r>
                            <w:r>
                              <w:rPr>
                                <w:sz w:val="16"/>
                              </w:rPr>
                              <w:t>286,995</w:t>
                            </w:r>
                            <w:r>
                              <w:rPr>
                                <w:sz w:val="16"/>
                              </w:rPr>
                              <w:tab/>
                            </w:r>
                            <w:r>
                              <w:rPr>
                                <w:b/>
                                <w:sz w:val="16"/>
                              </w:rPr>
                              <w:t>2,755</w:t>
                            </w:r>
                          </w:p>
                        </w:tc>
                        <w:tc>
                          <w:tcPr>
                            <w:tcW w:w="762" w:type="dxa"/>
                            <w:tcBorders>
                              <w:top w:val="single" w:sz="8" w:space="0" w:color="000000"/>
                            </w:tcBorders>
                          </w:tcPr>
                          <w:p w14:paraId="02827ED9" w14:textId="77777777" w:rsidR="001F3ACE" w:rsidRDefault="001F3ACE">
                            <w:pPr>
                              <w:pStyle w:val="TableParagraph"/>
                              <w:spacing w:before="30"/>
                              <w:ind w:right="186"/>
                              <w:jc w:val="right"/>
                              <w:rPr>
                                <w:sz w:val="16"/>
                              </w:rPr>
                            </w:pPr>
                            <w:r>
                              <w:rPr>
                                <w:sz w:val="16"/>
                              </w:rPr>
                              <w:t>2,643</w:t>
                            </w:r>
                          </w:p>
                        </w:tc>
                        <w:tc>
                          <w:tcPr>
                            <w:tcW w:w="754" w:type="dxa"/>
                            <w:tcBorders>
                              <w:top w:val="single" w:sz="8" w:space="0" w:color="000000"/>
                            </w:tcBorders>
                          </w:tcPr>
                          <w:p w14:paraId="634906D9" w14:textId="77777777" w:rsidR="001F3ACE" w:rsidRDefault="001F3ACE">
                            <w:pPr>
                              <w:pStyle w:val="TableParagraph"/>
                              <w:spacing w:before="30"/>
                              <w:ind w:left="224"/>
                              <w:rPr>
                                <w:b/>
                                <w:sz w:val="16"/>
                              </w:rPr>
                            </w:pPr>
                            <w:r>
                              <w:rPr>
                                <w:b/>
                                <w:sz w:val="16"/>
                              </w:rPr>
                              <w:t>9,970</w:t>
                            </w:r>
                          </w:p>
                        </w:tc>
                        <w:tc>
                          <w:tcPr>
                            <w:tcW w:w="851" w:type="dxa"/>
                            <w:tcBorders>
                              <w:top w:val="single" w:sz="8" w:space="0" w:color="000000"/>
                            </w:tcBorders>
                          </w:tcPr>
                          <w:p w14:paraId="03989FA2" w14:textId="77777777" w:rsidR="001F3ACE" w:rsidRDefault="001F3ACE">
                            <w:pPr>
                              <w:pStyle w:val="TableParagraph"/>
                              <w:spacing w:before="30"/>
                              <w:ind w:right="231"/>
                              <w:jc w:val="right"/>
                              <w:rPr>
                                <w:sz w:val="16"/>
                              </w:rPr>
                            </w:pPr>
                            <w:r>
                              <w:rPr>
                                <w:sz w:val="16"/>
                              </w:rPr>
                              <w:t>10,231</w:t>
                            </w:r>
                          </w:p>
                        </w:tc>
                        <w:tc>
                          <w:tcPr>
                            <w:tcW w:w="780" w:type="dxa"/>
                            <w:tcBorders>
                              <w:top w:val="single" w:sz="8" w:space="0" w:color="000000"/>
                            </w:tcBorders>
                          </w:tcPr>
                          <w:p w14:paraId="1130CA71" w14:textId="77777777" w:rsidR="001F3ACE" w:rsidRDefault="001F3ACE">
                            <w:pPr>
                              <w:pStyle w:val="TableParagraph"/>
                              <w:spacing w:before="30"/>
                              <w:ind w:left="313"/>
                              <w:rPr>
                                <w:b/>
                                <w:sz w:val="16"/>
                              </w:rPr>
                            </w:pPr>
                            <w:r>
                              <w:rPr>
                                <w:b/>
                                <w:sz w:val="16"/>
                              </w:rPr>
                              <w:t>789</w:t>
                            </w:r>
                          </w:p>
                        </w:tc>
                        <w:tc>
                          <w:tcPr>
                            <w:tcW w:w="804" w:type="dxa"/>
                            <w:tcBorders>
                              <w:top w:val="single" w:sz="8" w:space="0" w:color="000000"/>
                            </w:tcBorders>
                          </w:tcPr>
                          <w:p w14:paraId="17D31A8F" w14:textId="77777777" w:rsidR="001F3ACE" w:rsidRDefault="001F3ACE">
                            <w:pPr>
                              <w:pStyle w:val="TableParagraph"/>
                              <w:spacing w:before="30"/>
                              <w:ind w:right="255"/>
                              <w:jc w:val="right"/>
                              <w:rPr>
                                <w:sz w:val="16"/>
                              </w:rPr>
                            </w:pPr>
                            <w:r>
                              <w:rPr>
                                <w:sz w:val="16"/>
                              </w:rPr>
                              <w:t>970</w:t>
                            </w:r>
                          </w:p>
                        </w:tc>
                        <w:tc>
                          <w:tcPr>
                            <w:tcW w:w="773" w:type="dxa"/>
                            <w:tcBorders>
                              <w:top w:val="single" w:sz="8" w:space="0" w:color="000000"/>
                            </w:tcBorders>
                          </w:tcPr>
                          <w:p w14:paraId="18AE9AB2" w14:textId="77777777" w:rsidR="001F3ACE" w:rsidRDefault="001F3ACE">
                            <w:pPr>
                              <w:pStyle w:val="TableParagraph"/>
                              <w:spacing w:before="30"/>
                              <w:ind w:right="195"/>
                              <w:jc w:val="right"/>
                              <w:rPr>
                                <w:b/>
                                <w:sz w:val="16"/>
                              </w:rPr>
                            </w:pPr>
                            <w:r>
                              <w:rPr>
                                <w:b/>
                                <w:sz w:val="16"/>
                              </w:rPr>
                              <w:t>(68)</w:t>
                            </w:r>
                          </w:p>
                        </w:tc>
                        <w:tc>
                          <w:tcPr>
                            <w:tcW w:w="737" w:type="dxa"/>
                            <w:tcBorders>
                              <w:top w:val="single" w:sz="8" w:space="0" w:color="000000"/>
                            </w:tcBorders>
                          </w:tcPr>
                          <w:p w14:paraId="7D7161B9" w14:textId="77777777" w:rsidR="001F3ACE" w:rsidRDefault="001F3ACE">
                            <w:pPr>
                              <w:pStyle w:val="TableParagraph"/>
                              <w:spacing w:before="30"/>
                              <w:ind w:right="272"/>
                              <w:jc w:val="right"/>
                              <w:rPr>
                                <w:sz w:val="16"/>
                              </w:rPr>
                            </w:pPr>
                            <w:r>
                              <w:rPr>
                                <w:sz w:val="16"/>
                              </w:rPr>
                              <w:t>100</w:t>
                            </w:r>
                          </w:p>
                        </w:tc>
                        <w:tc>
                          <w:tcPr>
                            <w:tcW w:w="812" w:type="dxa"/>
                            <w:tcBorders>
                              <w:top w:val="single" w:sz="8" w:space="0" w:color="000000"/>
                            </w:tcBorders>
                          </w:tcPr>
                          <w:p w14:paraId="01BEE5DB" w14:textId="77777777" w:rsidR="001F3ACE" w:rsidRDefault="001F3ACE">
                            <w:pPr>
                              <w:pStyle w:val="TableParagraph"/>
                              <w:spacing w:before="30"/>
                              <w:ind w:left="341" w:right="253"/>
                              <w:jc w:val="center"/>
                              <w:rPr>
                                <w:b/>
                                <w:sz w:val="16"/>
                              </w:rPr>
                            </w:pPr>
                            <w:r>
                              <w:rPr>
                                <w:b/>
                                <w:sz w:val="16"/>
                              </w:rPr>
                              <w:t>41</w:t>
                            </w:r>
                          </w:p>
                        </w:tc>
                        <w:tc>
                          <w:tcPr>
                            <w:tcW w:w="626" w:type="dxa"/>
                            <w:tcBorders>
                              <w:top w:val="single" w:sz="8" w:space="0" w:color="000000"/>
                            </w:tcBorders>
                          </w:tcPr>
                          <w:p w14:paraId="1384A88D" w14:textId="77777777" w:rsidR="001F3ACE" w:rsidRDefault="001F3ACE">
                            <w:pPr>
                              <w:pStyle w:val="TableParagraph"/>
                              <w:spacing w:before="30"/>
                              <w:ind w:left="307"/>
                              <w:rPr>
                                <w:sz w:val="16"/>
                              </w:rPr>
                            </w:pPr>
                            <w:r>
                              <w:rPr>
                                <w:sz w:val="16"/>
                              </w:rPr>
                              <w:t>31</w:t>
                            </w:r>
                          </w:p>
                        </w:tc>
                        <w:tc>
                          <w:tcPr>
                            <w:tcW w:w="836" w:type="dxa"/>
                            <w:tcBorders>
                              <w:top w:val="single" w:sz="8" w:space="0" w:color="000000"/>
                            </w:tcBorders>
                          </w:tcPr>
                          <w:p w14:paraId="6342E038" w14:textId="77777777" w:rsidR="001F3ACE" w:rsidRDefault="001F3ACE">
                            <w:pPr>
                              <w:pStyle w:val="TableParagraph"/>
                              <w:spacing w:before="30"/>
                              <w:ind w:right="115"/>
                              <w:jc w:val="right"/>
                              <w:rPr>
                                <w:b/>
                                <w:sz w:val="16"/>
                              </w:rPr>
                            </w:pPr>
                            <w:r>
                              <w:rPr>
                                <w:b/>
                                <w:sz w:val="16"/>
                              </w:rPr>
                              <w:t>298,622</w:t>
                            </w:r>
                          </w:p>
                        </w:tc>
                        <w:tc>
                          <w:tcPr>
                            <w:tcW w:w="772" w:type="dxa"/>
                            <w:tcBorders>
                              <w:top w:val="single" w:sz="8" w:space="0" w:color="000000"/>
                            </w:tcBorders>
                          </w:tcPr>
                          <w:p w14:paraId="17A0C1A0" w14:textId="77777777" w:rsidR="001F3ACE" w:rsidRDefault="001F3ACE">
                            <w:pPr>
                              <w:pStyle w:val="TableParagraph"/>
                              <w:spacing w:before="30"/>
                              <w:ind w:left="117"/>
                              <w:rPr>
                                <w:sz w:val="16"/>
                              </w:rPr>
                            </w:pPr>
                            <w:r>
                              <w:rPr>
                                <w:sz w:val="16"/>
                              </w:rPr>
                              <w:t>300,970</w:t>
                            </w:r>
                          </w:p>
                        </w:tc>
                      </w:tr>
                      <w:tr w:rsidR="001F3ACE" w14:paraId="2C4E52DD" w14:textId="77777777">
                        <w:trPr>
                          <w:trHeight w:val="418"/>
                        </w:trPr>
                        <w:tc>
                          <w:tcPr>
                            <w:tcW w:w="2460" w:type="dxa"/>
                            <w:tcBorders>
                              <w:bottom w:val="single" w:sz="8" w:space="0" w:color="000000"/>
                            </w:tcBorders>
                          </w:tcPr>
                          <w:p w14:paraId="27E41910" w14:textId="77777777" w:rsidR="001F3ACE" w:rsidRDefault="001F3ACE">
                            <w:pPr>
                              <w:pStyle w:val="TableParagraph"/>
                              <w:spacing w:before="1"/>
                              <w:rPr>
                                <w:sz w:val="18"/>
                              </w:rPr>
                            </w:pPr>
                          </w:p>
                          <w:p w14:paraId="74A23A6C" w14:textId="77777777" w:rsidR="001F3ACE" w:rsidRDefault="001F3ACE">
                            <w:pPr>
                              <w:pStyle w:val="TableParagraph"/>
                              <w:tabs>
                                <w:tab w:val="left" w:pos="746"/>
                                <w:tab w:val="left" w:pos="1559"/>
                              </w:tabs>
                              <w:ind w:right="170"/>
                              <w:jc w:val="right"/>
                              <w:rPr>
                                <w:b/>
                                <w:sz w:val="16"/>
                              </w:rPr>
                            </w:pPr>
                            <w:r>
                              <w:rPr>
                                <w:b/>
                                <w:sz w:val="16"/>
                              </w:rPr>
                              <w:t>-</w:t>
                            </w:r>
                            <w:r>
                              <w:rPr>
                                <w:b/>
                                <w:sz w:val="16"/>
                              </w:rPr>
                              <w:tab/>
                            </w:r>
                            <w:r>
                              <w:rPr>
                                <w:sz w:val="16"/>
                              </w:rPr>
                              <w:t>-</w:t>
                            </w:r>
                            <w:r>
                              <w:rPr>
                                <w:sz w:val="16"/>
                              </w:rPr>
                              <w:tab/>
                            </w:r>
                            <w:r>
                              <w:rPr>
                                <w:b/>
                                <w:sz w:val="16"/>
                              </w:rPr>
                              <w:t>-</w:t>
                            </w:r>
                          </w:p>
                        </w:tc>
                        <w:tc>
                          <w:tcPr>
                            <w:tcW w:w="762" w:type="dxa"/>
                            <w:tcBorders>
                              <w:bottom w:val="single" w:sz="8" w:space="0" w:color="000000"/>
                            </w:tcBorders>
                          </w:tcPr>
                          <w:p w14:paraId="0EA8499B" w14:textId="77777777" w:rsidR="001F3ACE" w:rsidRDefault="001F3ACE">
                            <w:pPr>
                              <w:pStyle w:val="TableParagraph"/>
                              <w:spacing w:before="1"/>
                              <w:rPr>
                                <w:sz w:val="18"/>
                              </w:rPr>
                            </w:pPr>
                          </w:p>
                          <w:p w14:paraId="691C8943" w14:textId="77777777" w:rsidR="001F3ACE" w:rsidRDefault="001F3ACE">
                            <w:pPr>
                              <w:pStyle w:val="TableParagraph"/>
                              <w:ind w:right="186"/>
                              <w:jc w:val="right"/>
                              <w:rPr>
                                <w:sz w:val="16"/>
                              </w:rPr>
                            </w:pPr>
                            <w:r>
                              <w:rPr>
                                <w:sz w:val="16"/>
                              </w:rPr>
                              <w:t>31</w:t>
                            </w:r>
                          </w:p>
                        </w:tc>
                        <w:tc>
                          <w:tcPr>
                            <w:tcW w:w="754" w:type="dxa"/>
                            <w:tcBorders>
                              <w:bottom w:val="single" w:sz="8" w:space="0" w:color="000000"/>
                            </w:tcBorders>
                          </w:tcPr>
                          <w:p w14:paraId="06CAB3E6" w14:textId="77777777" w:rsidR="001F3ACE" w:rsidRDefault="001F3ACE">
                            <w:pPr>
                              <w:pStyle w:val="TableParagraph"/>
                              <w:spacing w:before="1"/>
                              <w:rPr>
                                <w:sz w:val="18"/>
                              </w:rPr>
                            </w:pPr>
                          </w:p>
                          <w:p w14:paraId="296428E4" w14:textId="77777777" w:rsidR="001F3ACE" w:rsidRDefault="001F3ACE">
                            <w:pPr>
                              <w:pStyle w:val="TableParagraph"/>
                              <w:ind w:right="126"/>
                              <w:jc w:val="right"/>
                              <w:rPr>
                                <w:b/>
                                <w:sz w:val="16"/>
                              </w:rPr>
                            </w:pPr>
                            <w:r>
                              <w:rPr>
                                <w:b/>
                                <w:sz w:val="16"/>
                              </w:rPr>
                              <w:t>45</w:t>
                            </w:r>
                          </w:p>
                        </w:tc>
                        <w:tc>
                          <w:tcPr>
                            <w:tcW w:w="851" w:type="dxa"/>
                            <w:tcBorders>
                              <w:bottom w:val="single" w:sz="8" w:space="0" w:color="000000"/>
                            </w:tcBorders>
                          </w:tcPr>
                          <w:p w14:paraId="02817E5C" w14:textId="77777777" w:rsidR="001F3ACE" w:rsidRDefault="001F3ACE">
                            <w:pPr>
                              <w:pStyle w:val="TableParagraph"/>
                              <w:spacing w:before="1"/>
                              <w:rPr>
                                <w:sz w:val="18"/>
                              </w:rPr>
                            </w:pPr>
                          </w:p>
                          <w:p w14:paraId="3CD9467F" w14:textId="77777777" w:rsidR="001F3ACE" w:rsidRDefault="001F3ACE">
                            <w:pPr>
                              <w:pStyle w:val="TableParagraph"/>
                              <w:ind w:right="231"/>
                              <w:jc w:val="right"/>
                              <w:rPr>
                                <w:sz w:val="16"/>
                              </w:rPr>
                            </w:pPr>
                            <w:r>
                              <w:rPr>
                                <w:sz w:val="16"/>
                              </w:rPr>
                              <w:t>159</w:t>
                            </w:r>
                          </w:p>
                        </w:tc>
                        <w:tc>
                          <w:tcPr>
                            <w:tcW w:w="780" w:type="dxa"/>
                            <w:tcBorders>
                              <w:bottom w:val="single" w:sz="8" w:space="0" w:color="000000"/>
                            </w:tcBorders>
                          </w:tcPr>
                          <w:p w14:paraId="76723D05" w14:textId="77777777" w:rsidR="001F3ACE" w:rsidRDefault="001F3ACE">
                            <w:pPr>
                              <w:pStyle w:val="TableParagraph"/>
                              <w:spacing w:before="1"/>
                              <w:rPr>
                                <w:sz w:val="18"/>
                              </w:rPr>
                            </w:pPr>
                          </w:p>
                          <w:p w14:paraId="179BD338" w14:textId="77777777" w:rsidR="001F3ACE" w:rsidRDefault="001F3ACE">
                            <w:pPr>
                              <w:pStyle w:val="TableParagraph"/>
                              <w:ind w:left="313"/>
                              <w:rPr>
                                <w:b/>
                                <w:sz w:val="16"/>
                              </w:rPr>
                            </w:pPr>
                            <w:r>
                              <w:rPr>
                                <w:b/>
                                <w:sz w:val="16"/>
                              </w:rPr>
                              <w:t>738</w:t>
                            </w:r>
                          </w:p>
                        </w:tc>
                        <w:tc>
                          <w:tcPr>
                            <w:tcW w:w="804" w:type="dxa"/>
                            <w:tcBorders>
                              <w:bottom w:val="single" w:sz="8" w:space="0" w:color="000000"/>
                            </w:tcBorders>
                          </w:tcPr>
                          <w:p w14:paraId="5002BC1F" w14:textId="77777777" w:rsidR="001F3ACE" w:rsidRDefault="001F3ACE">
                            <w:pPr>
                              <w:pStyle w:val="TableParagraph"/>
                              <w:spacing w:before="1"/>
                              <w:rPr>
                                <w:sz w:val="18"/>
                              </w:rPr>
                            </w:pPr>
                          </w:p>
                          <w:p w14:paraId="13F7D49F" w14:textId="77777777" w:rsidR="001F3ACE" w:rsidRDefault="001F3ACE">
                            <w:pPr>
                              <w:pStyle w:val="TableParagraph"/>
                              <w:ind w:right="255"/>
                              <w:jc w:val="right"/>
                              <w:rPr>
                                <w:sz w:val="16"/>
                              </w:rPr>
                            </w:pPr>
                            <w:r>
                              <w:rPr>
                                <w:sz w:val="16"/>
                              </w:rPr>
                              <w:t>602</w:t>
                            </w:r>
                          </w:p>
                        </w:tc>
                        <w:tc>
                          <w:tcPr>
                            <w:tcW w:w="773" w:type="dxa"/>
                            <w:tcBorders>
                              <w:bottom w:val="single" w:sz="8" w:space="0" w:color="000000"/>
                            </w:tcBorders>
                          </w:tcPr>
                          <w:p w14:paraId="25A485B2" w14:textId="77777777" w:rsidR="001F3ACE" w:rsidRDefault="001F3ACE">
                            <w:pPr>
                              <w:pStyle w:val="TableParagraph"/>
                              <w:spacing w:before="1"/>
                              <w:rPr>
                                <w:sz w:val="18"/>
                              </w:rPr>
                            </w:pPr>
                          </w:p>
                          <w:p w14:paraId="33A9BE67" w14:textId="77777777" w:rsidR="001F3ACE" w:rsidRDefault="001F3ACE">
                            <w:pPr>
                              <w:pStyle w:val="TableParagraph"/>
                              <w:ind w:left="256"/>
                              <w:rPr>
                                <w:b/>
                                <w:sz w:val="16"/>
                              </w:rPr>
                            </w:pPr>
                            <w:r>
                              <w:rPr>
                                <w:b/>
                                <w:sz w:val="16"/>
                              </w:rPr>
                              <w:t>458</w:t>
                            </w:r>
                          </w:p>
                        </w:tc>
                        <w:tc>
                          <w:tcPr>
                            <w:tcW w:w="737" w:type="dxa"/>
                            <w:tcBorders>
                              <w:bottom w:val="single" w:sz="8" w:space="0" w:color="000000"/>
                            </w:tcBorders>
                          </w:tcPr>
                          <w:p w14:paraId="11FA4CDD" w14:textId="77777777" w:rsidR="001F3ACE" w:rsidRDefault="001F3ACE">
                            <w:pPr>
                              <w:pStyle w:val="TableParagraph"/>
                              <w:spacing w:before="1"/>
                              <w:rPr>
                                <w:sz w:val="18"/>
                              </w:rPr>
                            </w:pPr>
                          </w:p>
                          <w:p w14:paraId="4A636CC9" w14:textId="77777777" w:rsidR="001F3ACE" w:rsidRDefault="001F3ACE">
                            <w:pPr>
                              <w:pStyle w:val="TableParagraph"/>
                              <w:ind w:right="272"/>
                              <w:jc w:val="right"/>
                              <w:rPr>
                                <w:sz w:val="16"/>
                              </w:rPr>
                            </w:pPr>
                            <w:r>
                              <w:rPr>
                                <w:sz w:val="16"/>
                              </w:rPr>
                              <w:t>323</w:t>
                            </w:r>
                          </w:p>
                        </w:tc>
                        <w:tc>
                          <w:tcPr>
                            <w:tcW w:w="812" w:type="dxa"/>
                            <w:tcBorders>
                              <w:bottom w:val="single" w:sz="8" w:space="0" w:color="000000"/>
                            </w:tcBorders>
                          </w:tcPr>
                          <w:p w14:paraId="63514531" w14:textId="77777777" w:rsidR="001F3ACE" w:rsidRDefault="001F3ACE">
                            <w:pPr>
                              <w:pStyle w:val="TableParagraph"/>
                              <w:spacing w:before="1"/>
                              <w:rPr>
                                <w:sz w:val="18"/>
                              </w:rPr>
                            </w:pPr>
                          </w:p>
                          <w:p w14:paraId="3FD85167" w14:textId="77777777" w:rsidR="001F3ACE" w:rsidRDefault="001F3ACE">
                            <w:pPr>
                              <w:pStyle w:val="TableParagraph"/>
                              <w:ind w:left="272"/>
                              <w:rPr>
                                <w:b/>
                                <w:sz w:val="16"/>
                              </w:rPr>
                            </w:pPr>
                            <w:r>
                              <w:rPr>
                                <w:b/>
                                <w:sz w:val="16"/>
                              </w:rPr>
                              <w:t>162</w:t>
                            </w:r>
                          </w:p>
                        </w:tc>
                        <w:tc>
                          <w:tcPr>
                            <w:tcW w:w="626" w:type="dxa"/>
                            <w:tcBorders>
                              <w:bottom w:val="single" w:sz="8" w:space="0" w:color="000000"/>
                            </w:tcBorders>
                          </w:tcPr>
                          <w:p w14:paraId="68B7A5C5" w14:textId="77777777" w:rsidR="001F3ACE" w:rsidRDefault="001F3ACE">
                            <w:pPr>
                              <w:pStyle w:val="TableParagraph"/>
                              <w:spacing w:before="1"/>
                              <w:rPr>
                                <w:sz w:val="18"/>
                              </w:rPr>
                            </w:pPr>
                          </w:p>
                          <w:p w14:paraId="685F7019" w14:textId="77777777" w:rsidR="001F3ACE" w:rsidRDefault="001F3ACE">
                            <w:pPr>
                              <w:pStyle w:val="TableParagraph"/>
                              <w:ind w:left="218"/>
                              <w:rPr>
                                <w:sz w:val="16"/>
                              </w:rPr>
                            </w:pPr>
                            <w:r>
                              <w:rPr>
                                <w:sz w:val="16"/>
                              </w:rPr>
                              <w:t>154</w:t>
                            </w:r>
                          </w:p>
                        </w:tc>
                        <w:tc>
                          <w:tcPr>
                            <w:tcW w:w="836" w:type="dxa"/>
                            <w:tcBorders>
                              <w:bottom w:val="single" w:sz="8" w:space="0" w:color="000000"/>
                            </w:tcBorders>
                          </w:tcPr>
                          <w:p w14:paraId="305C60C0" w14:textId="77777777" w:rsidR="001F3ACE" w:rsidRDefault="001F3ACE">
                            <w:pPr>
                              <w:pStyle w:val="TableParagraph"/>
                              <w:spacing w:before="1"/>
                              <w:rPr>
                                <w:sz w:val="18"/>
                              </w:rPr>
                            </w:pPr>
                          </w:p>
                          <w:p w14:paraId="62F86E47" w14:textId="77777777" w:rsidR="001F3ACE" w:rsidRDefault="001F3ACE">
                            <w:pPr>
                              <w:pStyle w:val="TableParagraph"/>
                              <w:ind w:right="115"/>
                              <w:jc w:val="right"/>
                              <w:rPr>
                                <w:b/>
                                <w:sz w:val="16"/>
                              </w:rPr>
                            </w:pPr>
                            <w:r>
                              <w:rPr>
                                <w:b/>
                                <w:sz w:val="16"/>
                              </w:rPr>
                              <w:t>1,403</w:t>
                            </w:r>
                          </w:p>
                        </w:tc>
                        <w:tc>
                          <w:tcPr>
                            <w:tcW w:w="772" w:type="dxa"/>
                            <w:tcBorders>
                              <w:bottom w:val="single" w:sz="8" w:space="0" w:color="000000"/>
                            </w:tcBorders>
                          </w:tcPr>
                          <w:p w14:paraId="6FAB9366" w14:textId="77777777" w:rsidR="001F3ACE" w:rsidRDefault="001F3ACE">
                            <w:pPr>
                              <w:pStyle w:val="TableParagraph"/>
                              <w:spacing w:before="1"/>
                              <w:rPr>
                                <w:sz w:val="18"/>
                              </w:rPr>
                            </w:pPr>
                          </w:p>
                          <w:p w14:paraId="2442A8B1" w14:textId="77777777" w:rsidR="001F3ACE" w:rsidRDefault="001F3ACE">
                            <w:pPr>
                              <w:pStyle w:val="TableParagraph"/>
                              <w:ind w:left="295"/>
                              <w:rPr>
                                <w:sz w:val="16"/>
                              </w:rPr>
                            </w:pPr>
                            <w:r>
                              <w:rPr>
                                <w:sz w:val="16"/>
                              </w:rPr>
                              <w:t>1,269</w:t>
                            </w:r>
                          </w:p>
                        </w:tc>
                      </w:tr>
                      <w:tr w:rsidR="001F3ACE" w14:paraId="0EB566CE" w14:textId="77777777">
                        <w:trPr>
                          <w:trHeight w:val="425"/>
                        </w:trPr>
                        <w:tc>
                          <w:tcPr>
                            <w:tcW w:w="2460" w:type="dxa"/>
                            <w:tcBorders>
                              <w:top w:val="single" w:sz="8" w:space="0" w:color="000000"/>
                            </w:tcBorders>
                          </w:tcPr>
                          <w:p w14:paraId="53CDA37A" w14:textId="77777777" w:rsidR="001F3ACE" w:rsidRDefault="001F3ACE">
                            <w:pPr>
                              <w:pStyle w:val="TableParagraph"/>
                              <w:spacing w:before="3"/>
                              <w:rPr>
                                <w:sz w:val="18"/>
                              </w:rPr>
                            </w:pPr>
                          </w:p>
                          <w:p w14:paraId="13056C32" w14:textId="77777777" w:rsidR="001F3ACE" w:rsidRDefault="001F3ACE">
                            <w:pPr>
                              <w:pStyle w:val="TableParagraph"/>
                              <w:tabs>
                                <w:tab w:val="left" w:pos="1886"/>
                              </w:tabs>
                              <w:ind w:left="148"/>
                              <w:rPr>
                                <w:b/>
                                <w:sz w:val="16"/>
                              </w:rPr>
                            </w:pPr>
                            <w:r>
                              <w:rPr>
                                <w:b/>
                                <w:sz w:val="16"/>
                              </w:rPr>
                              <w:t xml:space="preserve">285,135  </w:t>
                            </w:r>
                            <w:r>
                              <w:rPr>
                                <w:b/>
                                <w:spacing w:val="29"/>
                                <w:sz w:val="16"/>
                              </w:rPr>
                              <w:t xml:space="preserve"> </w:t>
                            </w:r>
                            <w:r>
                              <w:rPr>
                                <w:sz w:val="16"/>
                              </w:rPr>
                              <w:t>286,995</w:t>
                            </w:r>
                            <w:r>
                              <w:rPr>
                                <w:sz w:val="16"/>
                              </w:rPr>
                              <w:tab/>
                            </w:r>
                            <w:r>
                              <w:rPr>
                                <w:b/>
                                <w:sz w:val="16"/>
                              </w:rPr>
                              <w:t>2,755</w:t>
                            </w:r>
                          </w:p>
                        </w:tc>
                        <w:tc>
                          <w:tcPr>
                            <w:tcW w:w="762" w:type="dxa"/>
                            <w:tcBorders>
                              <w:top w:val="single" w:sz="8" w:space="0" w:color="000000"/>
                            </w:tcBorders>
                          </w:tcPr>
                          <w:p w14:paraId="52146AB8" w14:textId="77777777" w:rsidR="001F3ACE" w:rsidRDefault="001F3ACE">
                            <w:pPr>
                              <w:pStyle w:val="TableParagraph"/>
                              <w:spacing w:before="3"/>
                              <w:rPr>
                                <w:sz w:val="18"/>
                              </w:rPr>
                            </w:pPr>
                          </w:p>
                          <w:p w14:paraId="744EE34A" w14:textId="77777777" w:rsidR="001F3ACE" w:rsidRDefault="001F3ACE">
                            <w:pPr>
                              <w:pStyle w:val="TableParagraph"/>
                              <w:ind w:right="186"/>
                              <w:jc w:val="right"/>
                              <w:rPr>
                                <w:sz w:val="16"/>
                              </w:rPr>
                            </w:pPr>
                            <w:r>
                              <w:rPr>
                                <w:sz w:val="16"/>
                              </w:rPr>
                              <w:t>2,674</w:t>
                            </w:r>
                          </w:p>
                        </w:tc>
                        <w:tc>
                          <w:tcPr>
                            <w:tcW w:w="754" w:type="dxa"/>
                            <w:tcBorders>
                              <w:top w:val="single" w:sz="8" w:space="0" w:color="000000"/>
                            </w:tcBorders>
                          </w:tcPr>
                          <w:p w14:paraId="117294E8" w14:textId="77777777" w:rsidR="001F3ACE" w:rsidRDefault="001F3ACE">
                            <w:pPr>
                              <w:pStyle w:val="TableParagraph"/>
                              <w:spacing w:before="3"/>
                              <w:rPr>
                                <w:sz w:val="18"/>
                              </w:rPr>
                            </w:pPr>
                          </w:p>
                          <w:p w14:paraId="73C7480B" w14:textId="77777777" w:rsidR="001F3ACE" w:rsidRDefault="001F3ACE">
                            <w:pPr>
                              <w:pStyle w:val="TableParagraph"/>
                              <w:ind w:left="135"/>
                              <w:rPr>
                                <w:b/>
                                <w:sz w:val="16"/>
                              </w:rPr>
                            </w:pPr>
                            <w:r>
                              <w:rPr>
                                <w:b/>
                                <w:sz w:val="16"/>
                              </w:rPr>
                              <w:t>10,015</w:t>
                            </w:r>
                          </w:p>
                        </w:tc>
                        <w:tc>
                          <w:tcPr>
                            <w:tcW w:w="851" w:type="dxa"/>
                            <w:tcBorders>
                              <w:top w:val="single" w:sz="8" w:space="0" w:color="000000"/>
                            </w:tcBorders>
                          </w:tcPr>
                          <w:p w14:paraId="3F23BDF0" w14:textId="77777777" w:rsidR="001F3ACE" w:rsidRDefault="001F3ACE">
                            <w:pPr>
                              <w:pStyle w:val="TableParagraph"/>
                              <w:spacing w:before="3"/>
                              <w:rPr>
                                <w:sz w:val="18"/>
                              </w:rPr>
                            </w:pPr>
                          </w:p>
                          <w:p w14:paraId="593A8869" w14:textId="77777777" w:rsidR="001F3ACE" w:rsidRDefault="001F3ACE">
                            <w:pPr>
                              <w:pStyle w:val="TableParagraph"/>
                              <w:ind w:right="231"/>
                              <w:jc w:val="right"/>
                              <w:rPr>
                                <w:sz w:val="16"/>
                              </w:rPr>
                            </w:pPr>
                            <w:r>
                              <w:rPr>
                                <w:sz w:val="16"/>
                              </w:rPr>
                              <w:t>10,390</w:t>
                            </w:r>
                          </w:p>
                        </w:tc>
                        <w:tc>
                          <w:tcPr>
                            <w:tcW w:w="780" w:type="dxa"/>
                            <w:tcBorders>
                              <w:top w:val="single" w:sz="8" w:space="0" w:color="000000"/>
                            </w:tcBorders>
                          </w:tcPr>
                          <w:p w14:paraId="35901763" w14:textId="77777777" w:rsidR="001F3ACE" w:rsidRDefault="001F3ACE">
                            <w:pPr>
                              <w:pStyle w:val="TableParagraph"/>
                              <w:spacing w:before="3"/>
                              <w:rPr>
                                <w:sz w:val="18"/>
                              </w:rPr>
                            </w:pPr>
                          </w:p>
                          <w:p w14:paraId="73DDF260" w14:textId="77777777" w:rsidR="001F3ACE" w:rsidRDefault="001F3ACE">
                            <w:pPr>
                              <w:pStyle w:val="TableParagraph"/>
                              <w:ind w:left="179"/>
                              <w:rPr>
                                <w:b/>
                                <w:sz w:val="16"/>
                              </w:rPr>
                            </w:pPr>
                            <w:r>
                              <w:rPr>
                                <w:b/>
                                <w:sz w:val="16"/>
                              </w:rPr>
                              <w:t>1,527</w:t>
                            </w:r>
                          </w:p>
                        </w:tc>
                        <w:tc>
                          <w:tcPr>
                            <w:tcW w:w="804" w:type="dxa"/>
                            <w:tcBorders>
                              <w:top w:val="single" w:sz="8" w:space="0" w:color="000000"/>
                            </w:tcBorders>
                          </w:tcPr>
                          <w:p w14:paraId="24A83CAC" w14:textId="77777777" w:rsidR="001F3ACE" w:rsidRDefault="001F3ACE">
                            <w:pPr>
                              <w:pStyle w:val="TableParagraph"/>
                              <w:spacing w:before="3"/>
                              <w:rPr>
                                <w:sz w:val="18"/>
                              </w:rPr>
                            </w:pPr>
                          </w:p>
                          <w:p w14:paraId="652C4642" w14:textId="77777777" w:rsidR="001F3ACE" w:rsidRDefault="001F3ACE">
                            <w:pPr>
                              <w:pStyle w:val="TableParagraph"/>
                              <w:ind w:right="255"/>
                              <w:jc w:val="right"/>
                              <w:rPr>
                                <w:sz w:val="16"/>
                              </w:rPr>
                            </w:pPr>
                            <w:r>
                              <w:rPr>
                                <w:sz w:val="16"/>
                              </w:rPr>
                              <w:t>1,572</w:t>
                            </w:r>
                          </w:p>
                        </w:tc>
                        <w:tc>
                          <w:tcPr>
                            <w:tcW w:w="773" w:type="dxa"/>
                            <w:tcBorders>
                              <w:top w:val="single" w:sz="8" w:space="0" w:color="000000"/>
                            </w:tcBorders>
                          </w:tcPr>
                          <w:p w14:paraId="6E903F85" w14:textId="77777777" w:rsidR="001F3ACE" w:rsidRDefault="001F3ACE">
                            <w:pPr>
                              <w:pStyle w:val="TableParagraph"/>
                              <w:spacing w:before="3"/>
                              <w:rPr>
                                <w:sz w:val="18"/>
                              </w:rPr>
                            </w:pPr>
                          </w:p>
                          <w:p w14:paraId="2EE1C096" w14:textId="77777777" w:rsidR="001F3ACE" w:rsidRDefault="001F3ACE">
                            <w:pPr>
                              <w:pStyle w:val="TableParagraph"/>
                              <w:ind w:left="256"/>
                              <w:rPr>
                                <w:b/>
                                <w:sz w:val="16"/>
                              </w:rPr>
                            </w:pPr>
                            <w:r>
                              <w:rPr>
                                <w:b/>
                                <w:sz w:val="16"/>
                              </w:rPr>
                              <w:t>390</w:t>
                            </w:r>
                          </w:p>
                        </w:tc>
                        <w:tc>
                          <w:tcPr>
                            <w:tcW w:w="737" w:type="dxa"/>
                            <w:tcBorders>
                              <w:top w:val="single" w:sz="8" w:space="0" w:color="000000"/>
                            </w:tcBorders>
                          </w:tcPr>
                          <w:p w14:paraId="25A60A4B" w14:textId="77777777" w:rsidR="001F3ACE" w:rsidRDefault="001F3ACE">
                            <w:pPr>
                              <w:pStyle w:val="TableParagraph"/>
                              <w:spacing w:before="3"/>
                              <w:rPr>
                                <w:sz w:val="18"/>
                              </w:rPr>
                            </w:pPr>
                          </w:p>
                          <w:p w14:paraId="6DE5A3E1" w14:textId="77777777" w:rsidR="001F3ACE" w:rsidRDefault="001F3ACE">
                            <w:pPr>
                              <w:pStyle w:val="TableParagraph"/>
                              <w:ind w:right="272"/>
                              <w:jc w:val="right"/>
                              <w:rPr>
                                <w:sz w:val="16"/>
                              </w:rPr>
                            </w:pPr>
                            <w:r>
                              <w:rPr>
                                <w:sz w:val="16"/>
                              </w:rPr>
                              <w:t>423</w:t>
                            </w:r>
                          </w:p>
                        </w:tc>
                        <w:tc>
                          <w:tcPr>
                            <w:tcW w:w="812" w:type="dxa"/>
                            <w:tcBorders>
                              <w:top w:val="single" w:sz="8" w:space="0" w:color="000000"/>
                            </w:tcBorders>
                          </w:tcPr>
                          <w:p w14:paraId="1DCCD744" w14:textId="77777777" w:rsidR="001F3ACE" w:rsidRDefault="001F3ACE">
                            <w:pPr>
                              <w:pStyle w:val="TableParagraph"/>
                              <w:spacing w:before="3"/>
                              <w:rPr>
                                <w:sz w:val="18"/>
                              </w:rPr>
                            </w:pPr>
                          </w:p>
                          <w:p w14:paraId="566B0E2A" w14:textId="77777777" w:rsidR="001F3ACE" w:rsidRDefault="001F3ACE">
                            <w:pPr>
                              <w:pStyle w:val="TableParagraph"/>
                              <w:ind w:left="272"/>
                              <w:rPr>
                                <w:b/>
                                <w:sz w:val="16"/>
                              </w:rPr>
                            </w:pPr>
                            <w:r>
                              <w:rPr>
                                <w:b/>
                                <w:sz w:val="16"/>
                              </w:rPr>
                              <w:t>203</w:t>
                            </w:r>
                          </w:p>
                        </w:tc>
                        <w:tc>
                          <w:tcPr>
                            <w:tcW w:w="626" w:type="dxa"/>
                            <w:tcBorders>
                              <w:top w:val="single" w:sz="8" w:space="0" w:color="000000"/>
                            </w:tcBorders>
                          </w:tcPr>
                          <w:p w14:paraId="640B3F84" w14:textId="77777777" w:rsidR="001F3ACE" w:rsidRDefault="001F3ACE">
                            <w:pPr>
                              <w:pStyle w:val="TableParagraph"/>
                              <w:spacing w:before="3"/>
                              <w:rPr>
                                <w:sz w:val="18"/>
                              </w:rPr>
                            </w:pPr>
                          </w:p>
                          <w:p w14:paraId="1E909820" w14:textId="77777777" w:rsidR="001F3ACE" w:rsidRDefault="001F3ACE">
                            <w:pPr>
                              <w:pStyle w:val="TableParagraph"/>
                              <w:ind w:left="218"/>
                              <w:rPr>
                                <w:sz w:val="16"/>
                              </w:rPr>
                            </w:pPr>
                            <w:r>
                              <w:rPr>
                                <w:sz w:val="16"/>
                              </w:rPr>
                              <w:t>185</w:t>
                            </w:r>
                          </w:p>
                        </w:tc>
                        <w:tc>
                          <w:tcPr>
                            <w:tcW w:w="836" w:type="dxa"/>
                            <w:tcBorders>
                              <w:top w:val="single" w:sz="8" w:space="0" w:color="000000"/>
                            </w:tcBorders>
                          </w:tcPr>
                          <w:p w14:paraId="2C28D00E" w14:textId="77777777" w:rsidR="001F3ACE" w:rsidRDefault="001F3ACE">
                            <w:pPr>
                              <w:pStyle w:val="TableParagraph"/>
                              <w:spacing w:before="3"/>
                              <w:rPr>
                                <w:sz w:val="18"/>
                              </w:rPr>
                            </w:pPr>
                          </w:p>
                          <w:p w14:paraId="34C2670D" w14:textId="77777777" w:rsidR="001F3ACE" w:rsidRDefault="001F3ACE">
                            <w:pPr>
                              <w:pStyle w:val="TableParagraph"/>
                              <w:ind w:right="115"/>
                              <w:jc w:val="right"/>
                              <w:rPr>
                                <w:b/>
                                <w:sz w:val="16"/>
                              </w:rPr>
                            </w:pPr>
                            <w:r>
                              <w:rPr>
                                <w:b/>
                                <w:sz w:val="16"/>
                              </w:rPr>
                              <w:t>300,025</w:t>
                            </w:r>
                          </w:p>
                        </w:tc>
                        <w:tc>
                          <w:tcPr>
                            <w:tcW w:w="772" w:type="dxa"/>
                            <w:tcBorders>
                              <w:top w:val="single" w:sz="8" w:space="0" w:color="000000"/>
                            </w:tcBorders>
                          </w:tcPr>
                          <w:p w14:paraId="20F83FE2" w14:textId="77777777" w:rsidR="001F3ACE" w:rsidRDefault="001F3ACE">
                            <w:pPr>
                              <w:pStyle w:val="TableParagraph"/>
                              <w:spacing w:before="3"/>
                              <w:rPr>
                                <w:sz w:val="18"/>
                              </w:rPr>
                            </w:pPr>
                          </w:p>
                          <w:p w14:paraId="6EB772A0" w14:textId="77777777" w:rsidR="001F3ACE" w:rsidRDefault="001F3ACE">
                            <w:pPr>
                              <w:pStyle w:val="TableParagraph"/>
                              <w:ind w:left="117"/>
                              <w:rPr>
                                <w:sz w:val="16"/>
                              </w:rPr>
                            </w:pPr>
                            <w:r>
                              <w:rPr>
                                <w:sz w:val="16"/>
                              </w:rPr>
                              <w:t>302,239</w:t>
                            </w:r>
                          </w:p>
                        </w:tc>
                      </w:tr>
                      <w:tr w:rsidR="001F3ACE" w14:paraId="6CAC37BB" w14:textId="77777777">
                        <w:trPr>
                          <w:trHeight w:val="418"/>
                        </w:trPr>
                        <w:tc>
                          <w:tcPr>
                            <w:tcW w:w="2460" w:type="dxa"/>
                            <w:tcBorders>
                              <w:bottom w:val="single" w:sz="8" w:space="0" w:color="000000"/>
                            </w:tcBorders>
                          </w:tcPr>
                          <w:p w14:paraId="603597EB" w14:textId="77777777" w:rsidR="001F3ACE" w:rsidRDefault="001F3ACE">
                            <w:pPr>
                              <w:pStyle w:val="TableParagraph"/>
                              <w:spacing w:before="1"/>
                              <w:rPr>
                                <w:sz w:val="18"/>
                              </w:rPr>
                            </w:pPr>
                          </w:p>
                          <w:p w14:paraId="0311FD39" w14:textId="77777777" w:rsidR="001F3ACE" w:rsidRDefault="001F3ACE">
                            <w:pPr>
                              <w:pStyle w:val="TableParagraph"/>
                              <w:tabs>
                                <w:tab w:val="left" w:pos="1737"/>
                              </w:tabs>
                              <w:ind w:right="117"/>
                              <w:jc w:val="right"/>
                              <w:rPr>
                                <w:b/>
                                <w:sz w:val="16"/>
                              </w:rPr>
                            </w:pPr>
                            <w:r>
                              <w:rPr>
                                <w:b/>
                                <w:sz w:val="16"/>
                              </w:rPr>
                              <w:t>(285,135)</w:t>
                            </w:r>
                            <w:r>
                              <w:rPr>
                                <w:b/>
                                <w:spacing w:val="13"/>
                                <w:sz w:val="16"/>
                              </w:rPr>
                              <w:t xml:space="preserve"> </w:t>
                            </w:r>
                            <w:r>
                              <w:rPr>
                                <w:sz w:val="16"/>
                              </w:rPr>
                              <w:t>(286,995)</w:t>
                            </w:r>
                            <w:r>
                              <w:rPr>
                                <w:sz w:val="16"/>
                              </w:rPr>
                              <w:tab/>
                            </w:r>
                            <w:r>
                              <w:rPr>
                                <w:b/>
                                <w:spacing w:val="-1"/>
                                <w:sz w:val="16"/>
                              </w:rPr>
                              <w:t>(2,755)</w:t>
                            </w:r>
                          </w:p>
                        </w:tc>
                        <w:tc>
                          <w:tcPr>
                            <w:tcW w:w="762" w:type="dxa"/>
                            <w:tcBorders>
                              <w:bottom w:val="single" w:sz="8" w:space="0" w:color="000000"/>
                            </w:tcBorders>
                          </w:tcPr>
                          <w:p w14:paraId="642C27EE" w14:textId="77777777" w:rsidR="001F3ACE" w:rsidRDefault="001F3ACE">
                            <w:pPr>
                              <w:pStyle w:val="TableParagraph"/>
                              <w:spacing w:before="1"/>
                              <w:rPr>
                                <w:sz w:val="18"/>
                              </w:rPr>
                            </w:pPr>
                          </w:p>
                          <w:p w14:paraId="0D04C675" w14:textId="77777777" w:rsidR="001F3ACE" w:rsidRDefault="001F3ACE">
                            <w:pPr>
                              <w:pStyle w:val="TableParagraph"/>
                              <w:ind w:right="133"/>
                              <w:jc w:val="right"/>
                              <w:rPr>
                                <w:sz w:val="16"/>
                              </w:rPr>
                            </w:pPr>
                            <w:r>
                              <w:rPr>
                                <w:sz w:val="16"/>
                              </w:rPr>
                              <w:t>(2,674)</w:t>
                            </w:r>
                          </w:p>
                        </w:tc>
                        <w:tc>
                          <w:tcPr>
                            <w:tcW w:w="754" w:type="dxa"/>
                            <w:tcBorders>
                              <w:bottom w:val="single" w:sz="8" w:space="0" w:color="000000"/>
                            </w:tcBorders>
                          </w:tcPr>
                          <w:p w14:paraId="0B3E3DB0" w14:textId="77777777" w:rsidR="001F3ACE" w:rsidRDefault="001F3ACE">
                            <w:pPr>
                              <w:pStyle w:val="TableParagraph"/>
                              <w:spacing w:before="1"/>
                              <w:rPr>
                                <w:sz w:val="18"/>
                              </w:rPr>
                            </w:pPr>
                          </w:p>
                          <w:p w14:paraId="6DD151D7" w14:textId="77777777" w:rsidR="001F3ACE" w:rsidRDefault="001F3ACE">
                            <w:pPr>
                              <w:pStyle w:val="TableParagraph"/>
                              <w:ind w:right="73"/>
                              <w:jc w:val="right"/>
                              <w:rPr>
                                <w:b/>
                                <w:sz w:val="16"/>
                              </w:rPr>
                            </w:pPr>
                            <w:r>
                              <w:rPr>
                                <w:b/>
                                <w:sz w:val="16"/>
                              </w:rPr>
                              <w:t>(9,963)</w:t>
                            </w:r>
                          </w:p>
                        </w:tc>
                        <w:tc>
                          <w:tcPr>
                            <w:tcW w:w="851" w:type="dxa"/>
                            <w:tcBorders>
                              <w:bottom w:val="single" w:sz="8" w:space="0" w:color="000000"/>
                            </w:tcBorders>
                          </w:tcPr>
                          <w:p w14:paraId="123D9B32" w14:textId="77777777" w:rsidR="001F3ACE" w:rsidRDefault="001F3ACE">
                            <w:pPr>
                              <w:pStyle w:val="TableParagraph"/>
                              <w:spacing w:before="1"/>
                              <w:rPr>
                                <w:sz w:val="18"/>
                              </w:rPr>
                            </w:pPr>
                          </w:p>
                          <w:p w14:paraId="60778AD4" w14:textId="77777777" w:rsidR="001F3ACE" w:rsidRDefault="001F3ACE">
                            <w:pPr>
                              <w:pStyle w:val="TableParagraph"/>
                              <w:ind w:right="178"/>
                              <w:jc w:val="right"/>
                              <w:rPr>
                                <w:sz w:val="16"/>
                              </w:rPr>
                            </w:pPr>
                            <w:r>
                              <w:rPr>
                                <w:sz w:val="16"/>
                              </w:rPr>
                              <w:t>(10,345)</w:t>
                            </w:r>
                          </w:p>
                        </w:tc>
                        <w:tc>
                          <w:tcPr>
                            <w:tcW w:w="780" w:type="dxa"/>
                            <w:tcBorders>
                              <w:bottom w:val="single" w:sz="8" w:space="0" w:color="000000"/>
                            </w:tcBorders>
                          </w:tcPr>
                          <w:p w14:paraId="6515D3A9" w14:textId="77777777" w:rsidR="001F3ACE" w:rsidRDefault="001F3ACE">
                            <w:pPr>
                              <w:pStyle w:val="TableParagraph"/>
                              <w:spacing w:before="1"/>
                              <w:rPr>
                                <w:sz w:val="18"/>
                              </w:rPr>
                            </w:pPr>
                          </w:p>
                          <w:p w14:paraId="1165E2C6" w14:textId="77777777" w:rsidR="001F3ACE" w:rsidRDefault="001F3ACE">
                            <w:pPr>
                              <w:pStyle w:val="TableParagraph"/>
                              <w:ind w:right="144"/>
                              <w:jc w:val="right"/>
                              <w:rPr>
                                <w:b/>
                                <w:sz w:val="16"/>
                              </w:rPr>
                            </w:pPr>
                            <w:r>
                              <w:rPr>
                                <w:b/>
                                <w:sz w:val="16"/>
                              </w:rPr>
                              <w:t>(323)</w:t>
                            </w:r>
                          </w:p>
                        </w:tc>
                        <w:tc>
                          <w:tcPr>
                            <w:tcW w:w="804" w:type="dxa"/>
                            <w:tcBorders>
                              <w:bottom w:val="single" w:sz="8" w:space="0" w:color="000000"/>
                            </w:tcBorders>
                          </w:tcPr>
                          <w:p w14:paraId="0CB97A62" w14:textId="77777777" w:rsidR="001F3ACE" w:rsidRDefault="001F3ACE">
                            <w:pPr>
                              <w:pStyle w:val="TableParagraph"/>
                              <w:spacing w:before="1"/>
                              <w:rPr>
                                <w:sz w:val="18"/>
                              </w:rPr>
                            </w:pPr>
                          </w:p>
                          <w:p w14:paraId="4298BAC6" w14:textId="77777777" w:rsidR="001F3ACE" w:rsidRDefault="001F3ACE">
                            <w:pPr>
                              <w:pStyle w:val="TableParagraph"/>
                              <w:ind w:right="202"/>
                              <w:jc w:val="right"/>
                              <w:rPr>
                                <w:sz w:val="16"/>
                              </w:rPr>
                            </w:pPr>
                            <w:r>
                              <w:rPr>
                                <w:sz w:val="16"/>
                              </w:rPr>
                              <w:t>(834)</w:t>
                            </w:r>
                          </w:p>
                        </w:tc>
                        <w:tc>
                          <w:tcPr>
                            <w:tcW w:w="773" w:type="dxa"/>
                            <w:tcBorders>
                              <w:bottom w:val="single" w:sz="8" w:space="0" w:color="000000"/>
                            </w:tcBorders>
                          </w:tcPr>
                          <w:p w14:paraId="7842081B" w14:textId="77777777" w:rsidR="001F3ACE" w:rsidRDefault="001F3ACE">
                            <w:pPr>
                              <w:pStyle w:val="TableParagraph"/>
                              <w:spacing w:before="1"/>
                              <w:rPr>
                                <w:sz w:val="18"/>
                              </w:rPr>
                            </w:pPr>
                          </w:p>
                          <w:p w14:paraId="183DED45" w14:textId="77777777" w:rsidR="001F3ACE" w:rsidRDefault="001F3ACE">
                            <w:pPr>
                              <w:pStyle w:val="TableParagraph"/>
                              <w:ind w:right="195"/>
                              <w:jc w:val="right"/>
                              <w:rPr>
                                <w:b/>
                                <w:sz w:val="16"/>
                              </w:rPr>
                            </w:pPr>
                            <w:r>
                              <w:rPr>
                                <w:b/>
                                <w:sz w:val="16"/>
                              </w:rPr>
                              <w:t>(370)</w:t>
                            </w:r>
                          </w:p>
                        </w:tc>
                        <w:tc>
                          <w:tcPr>
                            <w:tcW w:w="737" w:type="dxa"/>
                            <w:tcBorders>
                              <w:bottom w:val="single" w:sz="8" w:space="0" w:color="000000"/>
                            </w:tcBorders>
                          </w:tcPr>
                          <w:p w14:paraId="1AC4347B" w14:textId="77777777" w:rsidR="001F3ACE" w:rsidRDefault="001F3ACE">
                            <w:pPr>
                              <w:pStyle w:val="TableParagraph"/>
                              <w:spacing w:before="1"/>
                              <w:rPr>
                                <w:sz w:val="18"/>
                              </w:rPr>
                            </w:pPr>
                          </w:p>
                          <w:p w14:paraId="741DFFF0" w14:textId="77777777" w:rsidR="001F3ACE" w:rsidRDefault="001F3ACE">
                            <w:pPr>
                              <w:pStyle w:val="TableParagraph"/>
                              <w:ind w:right="272"/>
                              <w:jc w:val="right"/>
                              <w:rPr>
                                <w:sz w:val="16"/>
                              </w:rPr>
                            </w:pPr>
                            <w:r>
                              <w:rPr>
                                <w:sz w:val="16"/>
                              </w:rPr>
                              <w:t>35</w:t>
                            </w:r>
                          </w:p>
                        </w:tc>
                        <w:tc>
                          <w:tcPr>
                            <w:tcW w:w="812" w:type="dxa"/>
                            <w:tcBorders>
                              <w:bottom w:val="single" w:sz="8" w:space="0" w:color="000000"/>
                            </w:tcBorders>
                          </w:tcPr>
                          <w:p w14:paraId="3DF08F4D" w14:textId="77777777" w:rsidR="001F3ACE" w:rsidRDefault="001F3ACE">
                            <w:pPr>
                              <w:pStyle w:val="TableParagraph"/>
                              <w:spacing w:before="1"/>
                              <w:rPr>
                                <w:sz w:val="18"/>
                              </w:rPr>
                            </w:pPr>
                          </w:p>
                          <w:p w14:paraId="50B65337" w14:textId="77777777" w:rsidR="001F3ACE" w:rsidRDefault="001F3ACE">
                            <w:pPr>
                              <w:pStyle w:val="TableParagraph"/>
                              <w:ind w:left="308"/>
                              <w:rPr>
                                <w:b/>
                                <w:sz w:val="16"/>
                              </w:rPr>
                            </w:pPr>
                            <w:r>
                              <w:rPr>
                                <w:b/>
                                <w:sz w:val="16"/>
                              </w:rPr>
                              <w:t>(83)</w:t>
                            </w:r>
                          </w:p>
                        </w:tc>
                        <w:tc>
                          <w:tcPr>
                            <w:tcW w:w="626" w:type="dxa"/>
                            <w:tcBorders>
                              <w:bottom w:val="single" w:sz="8" w:space="0" w:color="000000"/>
                            </w:tcBorders>
                          </w:tcPr>
                          <w:p w14:paraId="7DA34170" w14:textId="77777777" w:rsidR="001F3ACE" w:rsidRDefault="001F3ACE">
                            <w:pPr>
                              <w:pStyle w:val="TableParagraph"/>
                              <w:spacing w:before="1"/>
                              <w:rPr>
                                <w:sz w:val="18"/>
                              </w:rPr>
                            </w:pPr>
                          </w:p>
                          <w:p w14:paraId="7B126B6E" w14:textId="77777777" w:rsidR="001F3ACE" w:rsidRDefault="001F3ACE">
                            <w:pPr>
                              <w:pStyle w:val="TableParagraph"/>
                              <w:ind w:left="254"/>
                              <w:rPr>
                                <w:sz w:val="16"/>
                              </w:rPr>
                            </w:pPr>
                            <w:r>
                              <w:rPr>
                                <w:sz w:val="16"/>
                              </w:rPr>
                              <w:t>(23)</w:t>
                            </w:r>
                          </w:p>
                        </w:tc>
                        <w:tc>
                          <w:tcPr>
                            <w:tcW w:w="836" w:type="dxa"/>
                            <w:tcBorders>
                              <w:bottom w:val="single" w:sz="8" w:space="0" w:color="000000"/>
                            </w:tcBorders>
                          </w:tcPr>
                          <w:p w14:paraId="0CB06402" w14:textId="77777777" w:rsidR="001F3ACE" w:rsidRDefault="001F3ACE">
                            <w:pPr>
                              <w:pStyle w:val="TableParagraph"/>
                              <w:spacing w:before="1"/>
                              <w:rPr>
                                <w:sz w:val="18"/>
                              </w:rPr>
                            </w:pPr>
                          </w:p>
                          <w:p w14:paraId="65F95CBE" w14:textId="77777777" w:rsidR="001F3ACE" w:rsidRDefault="001F3ACE">
                            <w:pPr>
                              <w:pStyle w:val="TableParagraph"/>
                              <w:ind w:right="62"/>
                              <w:jc w:val="right"/>
                              <w:rPr>
                                <w:b/>
                                <w:sz w:val="16"/>
                              </w:rPr>
                            </w:pPr>
                            <w:r>
                              <w:rPr>
                                <w:b/>
                                <w:sz w:val="16"/>
                              </w:rPr>
                              <w:t>(298,629)</w:t>
                            </w:r>
                          </w:p>
                        </w:tc>
                        <w:tc>
                          <w:tcPr>
                            <w:tcW w:w="772" w:type="dxa"/>
                            <w:tcBorders>
                              <w:bottom w:val="single" w:sz="8" w:space="0" w:color="000000"/>
                            </w:tcBorders>
                          </w:tcPr>
                          <w:p w14:paraId="2A67D1D2" w14:textId="77777777" w:rsidR="001F3ACE" w:rsidRDefault="001F3ACE">
                            <w:pPr>
                              <w:pStyle w:val="TableParagraph"/>
                              <w:spacing w:before="1"/>
                              <w:rPr>
                                <w:sz w:val="18"/>
                              </w:rPr>
                            </w:pPr>
                          </w:p>
                          <w:p w14:paraId="6BE9353C" w14:textId="77777777" w:rsidR="001F3ACE" w:rsidRDefault="001F3ACE">
                            <w:pPr>
                              <w:pStyle w:val="TableParagraph"/>
                              <w:ind w:right="20"/>
                              <w:jc w:val="right"/>
                              <w:rPr>
                                <w:sz w:val="16"/>
                              </w:rPr>
                            </w:pPr>
                            <w:r>
                              <w:rPr>
                                <w:sz w:val="16"/>
                              </w:rPr>
                              <w:t>(300,836)</w:t>
                            </w:r>
                          </w:p>
                        </w:tc>
                      </w:tr>
                      <w:tr w:rsidR="001F3ACE" w14:paraId="43B5F52D" w14:textId="77777777">
                        <w:trPr>
                          <w:trHeight w:val="298"/>
                        </w:trPr>
                        <w:tc>
                          <w:tcPr>
                            <w:tcW w:w="2460" w:type="dxa"/>
                            <w:tcBorders>
                              <w:top w:val="single" w:sz="8" w:space="0" w:color="000000"/>
                              <w:bottom w:val="double" w:sz="2" w:space="0" w:color="000000"/>
                            </w:tcBorders>
                          </w:tcPr>
                          <w:p w14:paraId="25E2E15E" w14:textId="77777777" w:rsidR="001F3ACE" w:rsidRDefault="001F3ACE">
                            <w:pPr>
                              <w:pStyle w:val="TableParagraph"/>
                              <w:tabs>
                                <w:tab w:val="left" w:pos="746"/>
                                <w:tab w:val="left" w:pos="1559"/>
                              </w:tabs>
                              <w:spacing w:before="84" w:line="194" w:lineRule="exact"/>
                              <w:ind w:right="170"/>
                              <w:jc w:val="right"/>
                              <w:rPr>
                                <w:b/>
                                <w:sz w:val="16"/>
                              </w:rPr>
                            </w:pPr>
                            <w:r>
                              <w:rPr>
                                <w:b/>
                                <w:sz w:val="16"/>
                              </w:rPr>
                              <w:t>-</w:t>
                            </w:r>
                            <w:r>
                              <w:rPr>
                                <w:b/>
                                <w:sz w:val="16"/>
                              </w:rPr>
                              <w:tab/>
                            </w:r>
                            <w:r>
                              <w:rPr>
                                <w:position w:val="3"/>
                                <w:sz w:val="16"/>
                              </w:rPr>
                              <w:t>-</w:t>
                            </w:r>
                            <w:r>
                              <w:rPr>
                                <w:position w:val="3"/>
                                <w:sz w:val="16"/>
                              </w:rPr>
                              <w:tab/>
                            </w:r>
                            <w:r>
                              <w:rPr>
                                <w:b/>
                                <w:sz w:val="16"/>
                              </w:rPr>
                              <w:t>-</w:t>
                            </w:r>
                          </w:p>
                        </w:tc>
                        <w:tc>
                          <w:tcPr>
                            <w:tcW w:w="762" w:type="dxa"/>
                            <w:tcBorders>
                              <w:top w:val="single" w:sz="8" w:space="0" w:color="000000"/>
                              <w:bottom w:val="double" w:sz="2" w:space="0" w:color="000000"/>
                            </w:tcBorders>
                          </w:tcPr>
                          <w:p w14:paraId="0BECA44D" w14:textId="77777777" w:rsidR="001F3ACE" w:rsidRDefault="001F3ACE">
                            <w:pPr>
                              <w:pStyle w:val="TableParagraph"/>
                              <w:spacing w:before="86"/>
                              <w:ind w:right="185"/>
                              <w:jc w:val="right"/>
                              <w:rPr>
                                <w:sz w:val="16"/>
                              </w:rPr>
                            </w:pPr>
                            <w:r>
                              <w:rPr>
                                <w:sz w:val="16"/>
                              </w:rPr>
                              <w:t>-</w:t>
                            </w:r>
                          </w:p>
                        </w:tc>
                        <w:tc>
                          <w:tcPr>
                            <w:tcW w:w="754" w:type="dxa"/>
                            <w:tcBorders>
                              <w:top w:val="single" w:sz="8" w:space="0" w:color="000000"/>
                              <w:bottom w:val="double" w:sz="2" w:space="0" w:color="000000"/>
                            </w:tcBorders>
                          </w:tcPr>
                          <w:p w14:paraId="1067C696" w14:textId="77777777" w:rsidR="001F3ACE" w:rsidRDefault="001F3ACE">
                            <w:pPr>
                              <w:pStyle w:val="TableParagraph"/>
                              <w:spacing w:before="114" w:line="164" w:lineRule="exact"/>
                              <w:ind w:right="126"/>
                              <w:jc w:val="right"/>
                              <w:rPr>
                                <w:b/>
                                <w:sz w:val="16"/>
                              </w:rPr>
                            </w:pPr>
                            <w:r>
                              <w:rPr>
                                <w:b/>
                                <w:sz w:val="16"/>
                              </w:rPr>
                              <w:t>52</w:t>
                            </w:r>
                          </w:p>
                        </w:tc>
                        <w:tc>
                          <w:tcPr>
                            <w:tcW w:w="851" w:type="dxa"/>
                            <w:tcBorders>
                              <w:top w:val="single" w:sz="8" w:space="0" w:color="000000"/>
                              <w:bottom w:val="double" w:sz="2" w:space="0" w:color="000000"/>
                            </w:tcBorders>
                          </w:tcPr>
                          <w:p w14:paraId="783A2D33" w14:textId="77777777" w:rsidR="001F3ACE" w:rsidRDefault="001F3ACE">
                            <w:pPr>
                              <w:pStyle w:val="TableParagraph"/>
                              <w:spacing w:before="86"/>
                              <w:ind w:right="231"/>
                              <w:jc w:val="right"/>
                              <w:rPr>
                                <w:sz w:val="16"/>
                              </w:rPr>
                            </w:pPr>
                            <w:r>
                              <w:rPr>
                                <w:sz w:val="16"/>
                              </w:rPr>
                              <w:t>45</w:t>
                            </w:r>
                          </w:p>
                        </w:tc>
                        <w:tc>
                          <w:tcPr>
                            <w:tcW w:w="780" w:type="dxa"/>
                            <w:tcBorders>
                              <w:top w:val="single" w:sz="8" w:space="0" w:color="000000"/>
                              <w:bottom w:val="double" w:sz="2" w:space="0" w:color="000000"/>
                            </w:tcBorders>
                          </w:tcPr>
                          <w:p w14:paraId="6AE4ED05" w14:textId="77777777" w:rsidR="001F3ACE" w:rsidRDefault="001F3ACE">
                            <w:pPr>
                              <w:pStyle w:val="TableParagraph"/>
                              <w:spacing w:before="114" w:line="164" w:lineRule="exact"/>
                              <w:ind w:left="179"/>
                              <w:rPr>
                                <w:b/>
                                <w:sz w:val="16"/>
                              </w:rPr>
                            </w:pPr>
                            <w:r>
                              <w:rPr>
                                <w:b/>
                                <w:sz w:val="16"/>
                              </w:rPr>
                              <w:t>1,204</w:t>
                            </w:r>
                          </w:p>
                        </w:tc>
                        <w:tc>
                          <w:tcPr>
                            <w:tcW w:w="804" w:type="dxa"/>
                            <w:tcBorders>
                              <w:top w:val="single" w:sz="8" w:space="0" w:color="000000"/>
                              <w:bottom w:val="double" w:sz="2" w:space="0" w:color="000000"/>
                            </w:tcBorders>
                          </w:tcPr>
                          <w:p w14:paraId="6B65BD71" w14:textId="77777777" w:rsidR="001F3ACE" w:rsidRDefault="001F3ACE">
                            <w:pPr>
                              <w:pStyle w:val="TableParagraph"/>
                              <w:spacing w:before="86"/>
                              <w:ind w:right="255"/>
                              <w:jc w:val="right"/>
                              <w:rPr>
                                <w:sz w:val="16"/>
                              </w:rPr>
                            </w:pPr>
                            <w:r>
                              <w:rPr>
                                <w:sz w:val="16"/>
                              </w:rPr>
                              <w:t>738</w:t>
                            </w:r>
                          </w:p>
                        </w:tc>
                        <w:tc>
                          <w:tcPr>
                            <w:tcW w:w="773" w:type="dxa"/>
                            <w:tcBorders>
                              <w:top w:val="single" w:sz="8" w:space="0" w:color="000000"/>
                              <w:bottom w:val="double" w:sz="2" w:space="0" w:color="000000"/>
                            </w:tcBorders>
                          </w:tcPr>
                          <w:p w14:paraId="39219628" w14:textId="77777777" w:rsidR="001F3ACE" w:rsidRDefault="001F3ACE">
                            <w:pPr>
                              <w:pStyle w:val="TableParagraph"/>
                              <w:spacing w:before="86"/>
                              <w:ind w:left="344"/>
                              <w:rPr>
                                <w:b/>
                                <w:sz w:val="16"/>
                              </w:rPr>
                            </w:pPr>
                            <w:r>
                              <w:rPr>
                                <w:b/>
                                <w:sz w:val="16"/>
                              </w:rPr>
                              <w:t>20</w:t>
                            </w:r>
                          </w:p>
                        </w:tc>
                        <w:tc>
                          <w:tcPr>
                            <w:tcW w:w="737" w:type="dxa"/>
                            <w:tcBorders>
                              <w:top w:val="single" w:sz="8" w:space="0" w:color="000000"/>
                              <w:bottom w:val="double" w:sz="2" w:space="0" w:color="000000"/>
                            </w:tcBorders>
                          </w:tcPr>
                          <w:p w14:paraId="588A4AFB" w14:textId="77777777" w:rsidR="001F3ACE" w:rsidRDefault="001F3ACE">
                            <w:pPr>
                              <w:pStyle w:val="TableParagraph"/>
                              <w:spacing w:before="86"/>
                              <w:ind w:right="272"/>
                              <w:jc w:val="right"/>
                              <w:rPr>
                                <w:sz w:val="16"/>
                              </w:rPr>
                            </w:pPr>
                            <w:r>
                              <w:rPr>
                                <w:sz w:val="16"/>
                              </w:rPr>
                              <w:t>458</w:t>
                            </w:r>
                          </w:p>
                        </w:tc>
                        <w:tc>
                          <w:tcPr>
                            <w:tcW w:w="812" w:type="dxa"/>
                            <w:tcBorders>
                              <w:top w:val="single" w:sz="8" w:space="0" w:color="000000"/>
                              <w:bottom w:val="double" w:sz="2" w:space="0" w:color="000000"/>
                            </w:tcBorders>
                          </w:tcPr>
                          <w:p w14:paraId="4C6B5FD7" w14:textId="77777777" w:rsidR="001F3ACE" w:rsidRDefault="001F3ACE">
                            <w:pPr>
                              <w:pStyle w:val="TableParagraph"/>
                              <w:spacing w:before="86"/>
                              <w:ind w:left="272"/>
                              <w:rPr>
                                <w:b/>
                                <w:sz w:val="16"/>
                              </w:rPr>
                            </w:pPr>
                            <w:r>
                              <w:rPr>
                                <w:b/>
                                <w:sz w:val="16"/>
                              </w:rPr>
                              <w:t>120</w:t>
                            </w:r>
                          </w:p>
                        </w:tc>
                        <w:tc>
                          <w:tcPr>
                            <w:tcW w:w="626" w:type="dxa"/>
                            <w:tcBorders>
                              <w:top w:val="single" w:sz="8" w:space="0" w:color="000000"/>
                              <w:bottom w:val="double" w:sz="2" w:space="0" w:color="000000"/>
                            </w:tcBorders>
                          </w:tcPr>
                          <w:p w14:paraId="4E48A115" w14:textId="77777777" w:rsidR="001F3ACE" w:rsidRDefault="001F3ACE">
                            <w:pPr>
                              <w:pStyle w:val="TableParagraph"/>
                              <w:spacing w:before="86"/>
                              <w:ind w:left="218"/>
                              <w:rPr>
                                <w:sz w:val="16"/>
                              </w:rPr>
                            </w:pPr>
                            <w:r>
                              <w:rPr>
                                <w:sz w:val="16"/>
                              </w:rPr>
                              <w:t>162</w:t>
                            </w:r>
                          </w:p>
                        </w:tc>
                        <w:tc>
                          <w:tcPr>
                            <w:tcW w:w="836" w:type="dxa"/>
                            <w:tcBorders>
                              <w:top w:val="single" w:sz="8" w:space="0" w:color="000000"/>
                              <w:bottom w:val="double" w:sz="2" w:space="0" w:color="000000"/>
                            </w:tcBorders>
                          </w:tcPr>
                          <w:p w14:paraId="535884A2" w14:textId="77777777" w:rsidR="001F3ACE" w:rsidRDefault="001F3ACE">
                            <w:pPr>
                              <w:pStyle w:val="TableParagraph"/>
                              <w:spacing w:before="86"/>
                              <w:ind w:right="115"/>
                              <w:jc w:val="right"/>
                              <w:rPr>
                                <w:b/>
                                <w:sz w:val="16"/>
                              </w:rPr>
                            </w:pPr>
                            <w:r>
                              <w:rPr>
                                <w:b/>
                                <w:sz w:val="16"/>
                              </w:rPr>
                              <w:t>1,396</w:t>
                            </w:r>
                          </w:p>
                        </w:tc>
                        <w:tc>
                          <w:tcPr>
                            <w:tcW w:w="772" w:type="dxa"/>
                            <w:tcBorders>
                              <w:top w:val="single" w:sz="8" w:space="0" w:color="000000"/>
                              <w:bottom w:val="double" w:sz="2" w:space="0" w:color="000000"/>
                            </w:tcBorders>
                          </w:tcPr>
                          <w:p w14:paraId="05E52B2C" w14:textId="77777777" w:rsidR="001F3ACE" w:rsidRDefault="001F3ACE">
                            <w:pPr>
                              <w:pStyle w:val="TableParagraph"/>
                              <w:spacing w:before="86"/>
                              <w:ind w:left="295"/>
                              <w:rPr>
                                <w:sz w:val="16"/>
                              </w:rPr>
                            </w:pPr>
                            <w:r>
                              <w:rPr>
                                <w:sz w:val="16"/>
                              </w:rPr>
                              <w:t>1,403</w:t>
                            </w:r>
                          </w:p>
                        </w:tc>
                      </w:tr>
                    </w:tbl>
                    <w:p w14:paraId="368B900C" w14:textId="77777777" w:rsidR="001F3ACE" w:rsidRDefault="001F3ACE">
                      <w:pPr>
                        <w:pStyle w:val="BodyText"/>
                      </w:pPr>
                    </w:p>
                  </w:txbxContent>
                </v:textbox>
                <w10:wrap anchorx="page"/>
              </v:shape>
            </w:pict>
          </mc:Fallback>
        </mc:AlternateContent>
      </w:r>
      <w:r w:rsidR="0015611F">
        <w:rPr>
          <w:sz w:val="16"/>
        </w:rPr>
        <w:t>#1 Basic CGS grant amount, CGS – Regional Loading, CGS – Enabling Loading, CGS - Medical Student Loading, Allocated Places, Non Designated Courses and CGS - Special Advances from Future Years.</w:t>
      </w:r>
    </w:p>
    <w:p w14:paraId="008B794D" w14:textId="77777777" w:rsidR="00FA4AA8" w:rsidRDefault="00FA4AA8">
      <w:pPr>
        <w:pStyle w:val="BodyText"/>
        <w:spacing w:before="2"/>
        <w:rPr>
          <w:sz w:val="25"/>
        </w:rPr>
      </w:pPr>
    </w:p>
    <w:p w14:paraId="01B941D0" w14:textId="77777777" w:rsidR="00FA4AA8" w:rsidRDefault="0015611F">
      <w:pPr>
        <w:ind w:left="564"/>
        <w:rPr>
          <w:sz w:val="16"/>
        </w:rPr>
      </w:pPr>
      <w:r>
        <w:rPr>
          <w:sz w:val="16"/>
        </w:rPr>
        <w:t>#2 Disability Performance Funding includes Additional Support for Students with Disabilities and Australian Disability Clearinghouse on Education &amp; Training</w:t>
      </w:r>
    </w:p>
    <w:p w14:paraId="3B1E7CF0" w14:textId="77777777" w:rsidR="00FA4AA8" w:rsidRDefault="00FA4AA8">
      <w:pPr>
        <w:pStyle w:val="BodyText"/>
        <w:spacing w:before="1"/>
        <w:rPr>
          <w:sz w:val="25"/>
        </w:rPr>
      </w:pPr>
    </w:p>
    <w:p w14:paraId="1BABE741" w14:textId="77777777" w:rsidR="00FA4AA8" w:rsidRDefault="0015611F">
      <w:pPr>
        <w:spacing w:before="1"/>
        <w:ind w:left="564"/>
        <w:rPr>
          <w:sz w:val="16"/>
        </w:rPr>
      </w:pPr>
      <w:r>
        <w:rPr>
          <w:sz w:val="16"/>
        </w:rPr>
        <w:t>#3 Indigenous Student Success Program has replaced the Indigenous Commonwealth Scholarships Program and the Indigenous Support Program as of 1 January 2018.</w:t>
      </w:r>
    </w:p>
    <w:p w14:paraId="2CD36E99" w14:textId="77777777" w:rsidR="00FA4AA8" w:rsidRDefault="00FA4AA8">
      <w:pPr>
        <w:rPr>
          <w:sz w:val="16"/>
        </w:rPr>
        <w:sectPr w:rsidR="00FA4AA8">
          <w:type w:val="continuous"/>
          <w:pgSz w:w="16840" w:h="11910" w:orient="landscape"/>
          <w:pgMar w:top="20" w:right="880" w:bottom="0" w:left="840" w:header="720" w:footer="720" w:gutter="0"/>
          <w:cols w:space="720"/>
        </w:sectPr>
      </w:pPr>
    </w:p>
    <w:p w14:paraId="4646B015" w14:textId="77777777" w:rsidR="00FA4AA8" w:rsidRDefault="00FA4AA8">
      <w:pPr>
        <w:pStyle w:val="BodyText"/>
        <w:rPr>
          <w:sz w:val="20"/>
        </w:rPr>
      </w:pPr>
    </w:p>
    <w:p w14:paraId="20DE00EE" w14:textId="77777777" w:rsidR="00FA4AA8" w:rsidRDefault="00FA4AA8">
      <w:pPr>
        <w:pStyle w:val="BodyText"/>
        <w:spacing w:before="10"/>
        <w:rPr>
          <w:sz w:val="29"/>
        </w:rPr>
      </w:pPr>
    </w:p>
    <w:p w14:paraId="7FD66221" w14:textId="77777777" w:rsidR="00FA4AA8" w:rsidRDefault="0015611F">
      <w:pPr>
        <w:spacing w:before="94"/>
        <w:ind w:left="167"/>
        <w:rPr>
          <w:b/>
          <w:sz w:val="18"/>
        </w:rPr>
      </w:pPr>
      <w:bookmarkStart w:id="86" w:name="(b)_Higher_education_loan_programs_(excl"/>
      <w:bookmarkEnd w:id="86"/>
      <w:r>
        <w:rPr>
          <w:b/>
          <w:sz w:val="18"/>
        </w:rPr>
        <w:t>37 Acquittal of Australian Government Financial Assistance (continued)</w:t>
      </w:r>
    </w:p>
    <w:p w14:paraId="5E7F8A9E" w14:textId="77777777" w:rsidR="00FA4AA8" w:rsidRDefault="00FA4AA8">
      <w:pPr>
        <w:pStyle w:val="BodyText"/>
        <w:spacing w:before="5"/>
        <w:rPr>
          <w:b/>
        </w:rPr>
      </w:pPr>
    </w:p>
    <w:p w14:paraId="5DF5A856" w14:textId="77777777" w:rsidR="00FA4AA8" w:rsidRDefault="00FA4AA8">
      <w:pPr>
        <w:sectPr w:rsidR="00FA4AA8">
          <w:pgSz w:w="16840" w:h="11910" w:orient="landscape"/>
          <w:pgMar w:top="2220" w:right="880" w:bottom="720" w:left="840" w:header="1016" w:footer="523" w:gutter="0"/>
          <w:cols w:space="720"/>
        </w:sectPr>
      </w:pPr>
    </w:p>
    <w:p w14:paraId="3447DC63" w14:textId="77777777" w:rsidR="00FA4AA8" w:rsidRDefault="0015611F">
      <w:pPr>
        <w:pStyle w:val="ListParagraph"/>
        <w:numPr>
          <w:ilvl w:val="0"/>
          <w:numId w:val="75"/>
        </w:numPr>
        <w:tabs>
          <w:tab w:val="left" w:pos="564"/>
        </w:tabs>
        <w:spacing w:before="94"/>
        <w:ind w:hanging="397"/>
        <w:rPr>
          <w:b/>
          <w:sz w:val="18"/>
        </w:rPr>
      </w:pPr>
      <w:r>
        <w:rPr>
          <w:b/>
          <w:sz w:val="18"/>
        </w:rPr>
        <w:t>Higher education loan programs (excl OS-HELP)</w:t>
      </w:r>
    </w:p>
    <w:p w14:paraId="43DE8015" w14:textId="77777777" w:rsidR="00FA4AA8" w:rsidRDefault="0015611F">
      <w:pPr>
        <w:pStyle w:val="BodyText"/>
        <w:rPr>
          <w:b/>
        </w:rPr>
      </w:pPr>
      <w:r>
        <w:br w:type="column"/>
      </w:r>
    </w:p>
    <w:p w14:paraId="49E46F5C" w14:textId="77777777" w:rsidR="00FA4AA8" w:rsidRDefault="0015611F">
      <w:pPr>
        <w:spacing w:before="132"/>
        <w:ind w:left="203" w:right="6396" w:hanging="36"/>
        <w:rPr>
          <w:b/>
          <w:sz w:val="16"/>
        </w:rPr>
      </w:pPr>
      <w:r>
        <w:rPr>
          <w:b/>
          <w:sz w:val="16"/>
        </w:rPr>
        <w:t>HECS-HELP (Australian Government payments</w:t>
      </w:r>
    </w:p>
    <w:p w14:paraId="5B90EC12" w14:textId="77777777" w:rsidR="00FA4AA8" w:rsidRDefault="0015611F">
      <w:pPr>
        <w:tabs>
          <w:tab w:val="left" w:pos="2731"/>
          <w:tab w:val="left" w:pos="4840"/>
          <w:tab w:val="left" w:pos="7058"/>
        </w:tabs>
        <w:spacing w:before="1"/>
        <w:ind w:left="883"/>
        <w:rPr>
          <w:b/>
          <w:sz w:val="16"/>
        </w:rPr>
      </w:pPr>
      <w:r>
        <w:rPr>
          <w:b/>
          <w:sz w:val="16"/>
        </w:rPr>
        <w:t>only)</w:t>
      </w:r>
      <w:r>
        <w:rPr>
          <w:b/>
          <w:sz w:val="16"/>
        </w:rPr>
        <w:tab/>
        <w:t>FEE-HELP</w:t>
      </w:r>
      <w:r>
        <w:rPr>
          <w:b/>
          <w:sz w:val="16"/>
        </w:rPr>
        <w:tab/>
        <w:t>SA-HELP</w:t>
      </w:r>
      <w:r>
        <w:rPr>
          <w:b/>
          <w:sz w:val="16"/>
        </w:rPr>
        <w:tab/>
        <w:t>Total</w:t>
      </w:r>
    </w:p>
    <w:p w14:paraId="61BD4B99" w14:textId="77777777" w:rsidR="00FA4AA8" w:rsidRDefault="00FA4AA8">
      <w:pPr>
        <w:rPr>
          <w:sz w:val="16"/>
        </w:rPr>
        <w:sectPr w:rsidR="00FA4AA8">
          <w:type w:val="continuous"/>
          <w:pgSz w:w="16840" w:h="11910" w:orient="landscape"/>
          <w:pgMar w:top="20" w:right="880" w:bottom="0" w:left="840" w:header="720" w:footer="720" w:gutter="0"/>
          <w:cols w:num="2" w:space="720" w:equalWidth="0">
            <w:col w:w="4759" w:space="1973"/>
            <w:col w:w="8388"/>
          </w:cols>
        </w:sectPr>
      </w:pPr>
    </w:p>
    <w:p w14:paraId="360A1D5A" w14:textId="77777777" w:rsidR="00FA4AA8" w:rsidRDefault="00FA4AA8">
      <w:pPr>
        <w:pStyle w:val="BodyText"/>
        <w:spacing w:before="4"/>
        <w:rPr>
          <w:b/>
          <w:sz w:val="6"/>
        </w:rPr>
      </w:pPr>
    </w:p>
    <w:tbl>
      <w:tblPr>
        <w:tblW w:w="0" w:type="auto"/>
        <w:tblInd w:w="559" w:type="dxa"/>
        <w:tblLayout w:type="fixed"/>
        <w:tblCellMar>
          <w:left w:w="0" w:type="dxa"/>
          <w:right w:w="0" w:type="dxa"/>
        </w:tblCellMar>
        <w:tblLook w:val="01E0" w:firstRow="1" w:lastRow="1" w:firstColumn="1" w:lastColumn="1" w:noHBand="0" w:noVBand="0"/>
      </w:tblPr>
      <w:tblGrid>
        <w:gridCol w:w="5209"/>
        <w:gridCol w:w="999"/>
        <w:gridCol w:w="1188"/>
        <w:gridCol w:w="1021"/>
        <w:gridCol w:w="1038"/>
        <w:gridCol w:w="1021"/>
        <w:gridCol w:w="1038"/>
        <w:gridCol w:w="1021"/>
        <w:gridCol w:w="1038"/>
        <w:gridCol w:w="871"/>
      </w:tblGrid>
      <w:tr w:rsidR="00FA4AA8" w14:paraId="6A58D503" w14:textId="77777777">
        <w:trPr>
          <w:trHeight w:val="215"/>
        </w:trPr>
        <w:tc>
          <w:tcPr>
            <w:tcW w:w="6208" w:type="dxa"/>
            <w:gridSpan w:val="2"/>
          </w:tcPr>
          <w:p w14:paraId="3D14C755" w14:textId="77777777" w:rsidR="00FA4AA8" w:rsidRDefault="00FA4AA8">
            <w:pPr>
              <w:pStyle w:val="TableParagraph"/>
              <w:rPr>
                <w:rFonts w:ascii="Times New Roman"/>
                <w:sz w:val="14"/>
              </w:rPr>
            </w:pPr>
          </w:p>
        </w:tc>
        <w:tc>
          <w:tcPr>
            <w:tcW w:w="1188" w:type="dxa"/>
          </w:tcPr>
          <w:p w14:paraId="612FE636" w14:textId="77777777" w:rsidR="00FA4AA8" w:rsidRDefault="0015611F">
            <w:pPr>
              <w:pStyle w:val="TableParagraph"/>
              <w:spacing w:line="179" w:lineRule="exact"/>
              <w:ind w:left="348"/>
              <w:rPr>
                <w:b/>
                <w:sz w:val="16"/>
              </w:rPr>
            </w:pPr>
            <w:r>
              <w:rPr>
                <w:b/>
                <w:sz w:val="16"/>
              </w:rPr>
              <w:t>2018</w:t>
            </w:r>
          </w:p>
        </w:tc>
        <w:tc>
          <w:tcPr>
            <w:tcW w:w="1021" w:type="dxa"/>
          </w:tcPr>
          <w:p w14:paraId="059F99C3" w14:textId="77777777" w:rsidR="00FA4AA8" w:rsidRDefault="0015611F">
            <w:pPr>
              <w:pStyle w:val="TableParagraph"/>
              <w:spacing w:line="179" w:lineRule="exact"/>
              <w:ind w:left="178"/>
              <w:rPr>
                <w:b/>
                <w:sz w:val="16"/>
              </w:rPr>
            </w:pPr>
            <w:r>
              <w:rPr>
                <w:b/>
                <w:sz w:val="16"/>
              </w:rPr>
              <w:t>2017</w:t>
            </w:r>
          </w:p>
        </w:tc>
        <w:tc>
          <w:tcPr>
            <w:tcW w:w="1038" w:type="dxa"/>
          </w:tcPr>
          <w:p w14:paraId="56DA6FC8" w14:textId="77777777" w:rsidR="00FA4AA8" w:rsidRDefault="0015611F">
            <w:pPr>
              <w:pStyle w:val="TableParagraph"/>
              <w:spacing w:line="179" w:lineRule="exact"/>
              <w:ind w:left="198"/>
              <w:rPr>
                <w:b/>
                <w:sz w:val="16"/>
              </w:rPr>
            </w:pPr>
            <w:r>
              <w:rPr>
                <w:b/>
                <w:sz w:val="16"/>
              </w:rPr>
              <w:t>2018</w:t>
            </w:r>
          </w:p>
        </w:tc>
        <w:tc>
          <w:tcPr>
            <w:tcW w:w="1021" w:type="dxa"/>
          </w:tcPr>
          <w:p w14:paraId="14FF305D" w14:textId="77777777" w:rsidR="00FA4AA8" w:rsidRDefault="0015611F">
            <w:pPr>
              <w:pStyle w:val="TableParagraph"/>
              <w:spacing w:line="179" w:lineRule="exact"/>
              <w:ind w:left="178"/>
              <w:rPr>
                <w:b/>
                <w:sz w:val="16"/>
              </w:rPr>
            </w:pPr>
            <w:r>
              <w:rPr>
                <w:b/>
                <w:sz w:val="16"/>
              </w:rPr>
              <w:t>2017</w:t>
            </w:r>
          </w:p>
        </w:tc>
        <w:tc>
          <w:tcPr>
            <w:tcW w:w="1038" w:type="dxa"/>
          </w:tcPr>
          <w:p w14:paraId="1CEF180F" w14:textId="77777777" w:rsidR="00FA4AA8" w:rsidRDefault="0015611F">
            <w:pPr>
              <w:pStyle w:val="TableParagraph"/>
              <w:spacing w:line="179" w:lineRule="exact"/>
              <w:ind w:left="198"/>
              <w:rPr>
                <w:b/>
                <w:sz w:val="16"/>
              </w:rPr>
            </w:pPr>
            <w:r>
              <w:rPr>
                <w:b/>
                <w:sz w:val="16"/>
              </w:rPr>
              <w:t>2018</w:t>
            </w:r>
          </w:p>
        </w:tc>
        <w:tc>
          <w:tcPr>
            <w:tcW w:w="1021" w:type="dxa"/>
          </w:tcPr>
          <w:p w14:paraId="1B7ABABD" w14:textId="77777777" w:rsidR="00FA4AA8" w:rsidRDefault="0015611F">
            <w:pPr>
              <w:pStyle w:val="TableParagraph"/>
              <w:spacing w:line="179" w:lineRule="exact"/>
              <w:ind w:left="178"/>
              <w:rPr>
                <w:b/>
                <w:sz w:val="16"/>
              </w:rPr>
            </w:pPr>
            <w:r>
              <w:rPr>
                <w:b/>
                <w:sz w:val="16"/>
              </w:rPr>
              <w:t>2017</w:t>
            </w:r>
          </w:p>
        </w:tc>
        <w:tc>
          <w:tcPr>
            <w:tcW w:w="1038" w:type="dxa"/>
          </w:tcPr>
          <w:p w14:paraId="4E5A9C7B" w14:textId="77777777" w:rsidR="00FA4AA8" w:rsidRDefault="0015611F">
            <w:pPr>
              <w:pStyle w:val="TableParagraph"/>
              <w:spacing w:line="179" w:lineRule="exact"/>
              <w:ind w:left="199"/>
              <w:rPr>
                <w:b/>
                <w:sz w:val="16"/>
              </w:rPr>
            </w:pPr>
            <w:r>
              <w:rPr>
                <w:b/>
                <w:sz w:val="16"/>
              </w:rPr>
              <w:t>2018</w:t>
            </w:r>
          </w:p>
        </w:tc>
        <w:tc>
          <w:tcPr>
            <w:tcW w:w="871" w:type="dxa"/>
          </w:tcPr>
          <w:p w14:paraId="053200E4" w14:textId="77777777" w:rsidR="00FA4AA8" w:rsidRDefault="0015611F">
            <w:pPr>
              <w:pStyle w:val="TableParagraph"/>
              <w:spacing w:line="179" w:lineRule="exact"/>
              <w:ind w:left="178"/>
              <w:rPr>
                <w:b/>
                <w:sz w:val="16"/>
              </w:rPr>
            </w:pPr>
            <w:r>
              <w:rPr>
                <w:b/>
                <w:sz w:val="16"/>
              </w:rPr>
              <w:t>2017</w:t>
            </w:r>
          </w:p>
        </w:tc>
      </w:tr>
      <w:tr w:rsidR="00FA4AA8" w14:paraId="2C347816" w14:textId="77777777">
        <w:trPr>
          <w:trHeight w:val="249"/>
        </w:trPr>
        <w:tc>
          <w:tcPr>
            <w:tcW w:w="5209" w:type="dxa"/>
          </w:tcPr>
          <w:p w14:paraId="6CF0B80B" w14:textId="77777777" w:rsidR="00FA4AA8" w:rsidRDefault="0015611F">
            <w:pPr>
              <w:pStyle w:val="TableParagraph"/>
              <w:spacing w:before="31"/>
              <w:ind w:left="50"/>
              <w:rPr>
                <w:b/>
                <w:sz w:val="16"/>
              </w:rPr>
            </w:pPr>
            <w:r>
              <w:rPr>
                <w:b/>
                <w:sz w:val="16"/>
              </w:rPr>
              <w:t>Parent Entity (University) Only</w:t>
            </w:r>
          </w:p>
        </w:tc>
        <w:tc>
          <w:tcPr>
            <w:tcW w:w="999" w:type="dxa"/>
          </w:tcPr>
          <w:p w14:paraId="69D163AC" w14:textId="77777777" w:rsidR="00FA4AA8" w:rsidRDefault="0015611F">
            <w:pPr>
              <w:pStyle w:val="TableParagraph"/>
              <w:spacing w:before="31"/>
              <w:ind w:left="520" w:right="82"/>
              <w:jc w:val="center"/>
              <w:rPr>
                <w:b/>
                <w:sz w:val="16"/>
              </w:rPr>
            </w:pPr>
            <w:r>
              <w:rPr>
                <w:b/>
                <w:sz w:val="16"/>
              </w:rPr>
              <w:t>Note</w:t>
            </w:r>
          </w:p>
        </w:tc>
        <w:tc>
          <w:tcPr>
            <w:tcW w:w="1188" w:type="dxa"/>
          </w:tcPr>
          <w:p w14:paraId="20E9AA0F" w14:textId="77777777" w:rsidR="00FA4AA8" w:rsidRDefault="0015611F">
            <w:pPr>
              <w:pStyle w:val="TableParagraph"/>
              <w:spacing w:before="31"/>
              <w:ind w:left="329"/>
              <w:rPr>
                <w:b/>
                <w:sz w:val="16"/>
              </w:rPr>
            </w:pPr>
            <w:r>
              <w:rPr>
                <w:b/>
                <w:sz w:val="16"/>
              </w:rPr>
              <w:t>$'000</w:t>
            </w:r>
          </w:p>
        </w:tc>
        <w:tc>
          <w:tcPr>
            <w:tcW w:w="1021" w:type="dxa"/>
          </w:tcPr>
          <w:p w14:paraId="3F2DBC7E" w14:textId="77777777" w:rsidR="00FA4AA8" w:rsidRDefault="0015611F">
            <w:pPr>
              <w:pStyle w:val="TableParagraph"/>
              <w:spacing w:before="31"/>
              <w:ind w:left="158"/>
              <w:rPr>
                <w:b/>
                <w:sz w:val="16"/>
              </w:rPr>
            </w:pPr>
            <w:r>
              <w:rPr>
                <w:b/>
                <w:sz w:val="16"/>
              </w:rPr>
              <w:t>$'000</w:t>
            </w:r>
          </w:p>
        </w:tc>
        <w:tc>
          <w:tcPr>
            <w:tcW w:w="1038" w:type="dxa"/>
          </w:tcPr>
          <w:p w14:paraId="58A50CB5" w14:textId="77777777" w:rsidR="00FA4AA8" w:rsidRDefault="0015611F">
            <w:pPr>
              <w:pStyle w:val="TableParagraph"/>
              <w:spacing w:before="31"/>
              <w:ind w:left="179"/>
              <w:rPr>
                <w:b/>
                <w:sz w:val="16"/>
              </w:rPr>
            </w:pPr>
            <w:r>
              <w:rPr>
                <w:b/>
                <w:sz w:val="16"/>
              </w:rPr>
              <w:t>$'000</w:t>
            </w:r>
          </w:p>
        </w:tc>
        <w:tc>
          <w:tcPr>
            <w:tcW w:w="1021" w:type="dxa"/>
          </w:tcPr>
          <w:p w14:paraId="4EE55AEA" w14:textId="77777777" w:rsidR="00FA4AA8" w:rsidRDefault="0015611F">
            <w:pPr>
              <w:pStyle w:val="TableParagraph"/>
              <w:spacing w:before="31"/>
              <w:ind w:left="159"/>
              <w:rPr>
                <w:b/>
                <w:sz w:val="16"/>
              </w:rPr>
            </w:pPr>
            <w:r>
              <w:rPr>
                <w:b/>
                <w:sz w:val="16"/>
              </w:rPr>
              <w:t>$'000</w:t>
            </w:r>
          </w:p>
        </w:tc>
        <w:tc>
          <w:tcPr>
            <w:tcW w:w="1038" w:type="dxa"/>
          </w:tcPr>
          <w:p w14:paraId="4FDD90B5" w14:textId="77777777" w:rsidR="00FA4AA8" w:rsidRDefault="0015611F">
            <w:pPr>
              <w:pStyle w:val="TableParagraph"/>
              <w:spacing w:before="31"/>
              <w:ind w:left="179"/>
              <w:rPr>
                <w:b/>
                <w:sz w:val="16"/>
              </w:rPr>
            </w:pPr>
            <w:r>
              <w:rPr>
                <w:b/>
                <w:sz w:val="16"/>
              </w:rPr>
              <w:t>$'000</w:t>
            </w:r>
          </w:p>
        </w:tc>
        <w:tc>
          <w:tcPr>
            <w:tcW w:w="1021" w:type="dxa"/>
          </w:tcPr>
          <w:p w14:paraId="02055775" w14:textId="77777777" w:rsidR="00FA4AA8" w:rsidRDefault="0015611F">
            <w:pPr>
              <w:pStyle w:val="TableParagraph"/>
              <w:spacing w:before="31"/>
              <w:ind w:left="159"/>
              <w:rPr>
                <w:b/>
                <w:sz w:val="16"/>
              </w:rPr>
            </w:pPr>
            <w:r>
              <w:rPr>
                <w:b/>
                <w:sz w:val="16"/>
              </w:rPr>
              <w:t>$'000</w:t>
            </w:r>
          </w:p>
        </w:tc>
        <w:tc>
          <w:tcPr>
            <w:tcW w:w="1038" w:type="dxa"/>
          </w:tcPr>
          <w:p w14:paraId="21F8E5F8" w14:textId="77777777" w:rsidR="00FA4AA8" w:rsidRDefault="0015611F">
            <w:pPr>
              <w:pStyle w:val="TableParagraph"/>
              <w:spacing w:before="31"/>
              <w:ind w:left="179"/>
              <w:rPr>
                <w:b/>
                <w:sz w:val="16"/>
              </w:rPr>
            </w:pPr>
            <w:r>
              <w:rPr>
                <w:b/>
                <w:sz w:val="16"/>
              </w:rPr>
              <w:t>$'000</w:t>
            </w:r>
          </w:p>
        </w:tc>
        <w:tc>
          <w:tcPr>
            <w:tcW w:w="871" w:type="dxa"/>
          </w:tcPr>
          <w:p w14:paraId="649B12FE" w14:textId="77777777" w:rsidR="00FA4AA8" w:rsidRDefault="0015611F">
            <w:pPr>
              <w:pStyle w:val="TableParagraph"/>
              <w:spacing w:before="31"/>
              <w:ind w:left="159"/>
              <w:rPr>
                <w:b/>
                <w:sz w:val="16"/>
              </w:rPr>
            </w:pPr>
            <w:r>
              <w:rPr>
                <w:b/>
                <w:sz w:val="16"/>
              </w:rPr>
              <w:t>$'000</w:t>
            </w:r>
          </w:p>
        </w:tc>
      </w:tr>
      <w:tr w:rsidR="00FA4AA8" w14:paraId="7A624E68" w14:textId="77777777">
        <w:trPr>
          <w:trHeight w:val="246"/>
        </w:trPr>
        <w:tc>
          <w:tcPr>
            <w:tcW w:w="5209" w:type="dxa"/>
          </w:tcPr>
          <w:p w14:paraId="73EFA75A" w14:textId="77777777" w:rsidR="00FA4AA8" w:rsidRDefault="0015611F">
            <w:pPr>
              <w:pStyle w:val="TableParagraph"/>
              <w:spacing w:before="31"/>
              <w:ind w:left="50"/>
              <w:rPr>
                <w:sz w:val="16"/>
              </w:rPr>
            </w:pPr>
            <w:r>
              <w:rPr>
                <w:sz w:val="16"/>
              </w:rPr>
              <w:t>Cash Payable/(Receivable) at the beginning of the year</w:t>
            </w:r>
          </w:p>
        </w:tc>
        <w:tc>
          <w:tcPr>
            <w:tcW w:w="999" w:type="dxa"/>
          </w:tcPr>
          <w:p w14:paraId="4BF40CD9" w14:textId="77777777" w:rsidR="00FA4AA8" w:rsidRDefault="00FA4AA8">
            <w:pPr>
              <w:pStyle w:val="TableParagraph"/>
              <w:rPr>
                <w:rFonts w:ascii="Times New Roman"/>
                <w:sz w:val="16"/>
              </w:rPr>
            </w:pPr>
          </w:p>
        </w:tc>
        <w:tc>
          <w:tcPr>
            <w:tcW w:w="1188" w:type="dxa"/>
          </w:tcPr>
          <w:p w14:paraId="6C9DC310" w14:textId="77777777" w:rsidR="00FA4AA8" w:rsidRDefault="0015611F">
            <w:pPr>
              <w:pStyle w:val="TableParagraph"/>
              <w:spacing w:before="29"/>
              <w:ind w:right="155"/>
              <w:jc w:val="right"/>
              <w:rPr>
                <w:b/>
                <w:sz w:val="16"/>
              </w:rPr>
            </w:pPr>
            <w:r>
              <w:rPr>
                <w:b/>
                <w:sz w:val="16"/>
              </w:rPr>
              <w:t>(2,533)</w:t>
            </w:r>
          </w:p>
        </w:tc>
        <w:tc>
          <w:tcPr>
            <w:tcW w:w="1021" w:type="dxa"/>
          </w:tcPr>
          <w:p w14:paraId="7B511BAB" w14:textId="77777777" w:rsidR="00FA4AA8" w:rsidRDefault="0015611F">
            <w:pPr>
              <w:pStyle w:val="TableParagraph"/>
              <w:spacing w:before="29"/>
              <w:ind w:right="228"/>
              <w:jc w:val="right"/>
              <w:rPr>
                <w:sz w:val="16"/>
              </w:rPr>
            </w:pPr>
            <w:r>
              <w:rPr>
                <w:sz w:val="16"/>
              </w:rPr>
              <w:t>1,416</w:t>
            </w:r>
          </w:p>
        </w:tc>
        <w:tc>
          <w:tcPr>
            <w:tcW w:w="1038" w:type="dxa"/>
          </w:tcPr>
          <w:p w14:paraId="719F6DD2" w14:textId="77777777" w:rsidR="00FA4AA8" w:rsidRDefault="0015611F">
            <w:pPr>
              <w:pStyle w:val="TableParagraph"/>
              <w:spacing w:before="29"/>
              <w:ind w:right="155"/>
              <w:jc w:val="right"/>
              <w:rPr>
                <w:b/>
                <w:sz w:val="16"/>
              </w:rPr>
            </w:pPr>
            <w:r>
              <w:rPr>
                <w:b/>
                <w:sz w:val="16"/>
              </w:rPr>
              <w:t>(744)</w:t>
            </w:r>
          </w:p>
        </w:tc>
        <w:tc>
          <w:tcPr>
            <w:tcW w:w="1021" w:type="dxa"/>
          </w:tcPr>
          <w:p w14:paraId="0C45177D" w14:textId="77777777" w:rsidR="00FA4AA8" w:rsidRDefault="0015611F">
            <w:pPr>
              <w:pStyle w:val="TableParagraph"/>
              <w:spacing w:before="29"/>
              <w:ind w:right="175"/>
              <w:jc w:val="right"/>
              <w:rPr>
                <w:sz w:val="16"/>
              </w:rPr>
            </w:pPr>
            <w:r>
              <w:rPr>
                <w:sz w:val="16"/>
              </w:rPr>
              <w:t>(1,263)</w:t>
            </w:r>
          </w:p>
        </w:tc>
        <w:tc>
          <w:tcPr>
            <w:tcW w:w="1038" w:type="dxa"/>
          </w:tcPr>
          <w:p w14:paraId="51A2D62C" w14:textId="77777777" w:rsidR="00FA4AA8" w:rsidRDefault="0015611F">
            <w:pPr>
              <w:pStyle w:val="TableParagraph"/>
              <w:spacing w:before="29"/>
              <w:ind w:right="155"/>
              <w:jc w:val="right"/>
              <w:rPr>
                <w:b/>
                <w:sz w:val="16"/>
              </w:rPr>
            </w:pPr>
            <w:r>
              <w:rPr>
                <w:b/>
                <w:sz w:val="16"/>
              </w:rPr>
              <w:t>(422)</w:t>
            </w:r>
          </w:p>
        </w:tc>
        <w:tc>
          <w:tcPr>
            <w:tcW w:w="1021" w:type="dxa"/>
          </w:tcPr>
          <w:p w14:paraId="6EFF45ED" w14:textId="77777777" w:rsidR="00FA4AA8" w:rsidRDefault="0015611F">
            <w:pPr>
              <w:pStyle w:val="TableParagraph"/>
              <w:spacing w:before="29"/>
              <w:ind w:right="175"/>
              <w:jc w:val="right"/>
              <w:rPr>
                <w:sz w:val="16"/>
              </w:rPr>
            </w:pPr>
            <w:r>
              <w:rPr>
                <w:sz w:val="16"/>
              </w:rPr>
              <w:t>(520)</w:t>
            </w:r>
          </w:p>
        </w:tc>
        <w:tc>
          <w:tcPr>
            <w:tcW w:w="1038" w:type="dxa"/>
          </w:tcPr>
          <w:p w14:paraId="522A7D2C" w14:textId="77777777" w:rsidR="00FA4AA8" w:rsidRDefault="0015611F">
            <w:pPr>
              <w:pStyle w:val="TableParagraph"/>
              <w:spacing w:before="29"/>
              <w:ind w:right="154"/>
              <w:jc w:val="right"/>
              <w:rPr>
                <w:b/>
                <w:sz w:val="16"/>
              </w:rPr>
            </w:pPr>
            <w:r>
              <w:rPr>
                <w:b/>
                <w:sz w:val="16"/>
              </w:rPr>
              <w:t>(3,699)</w:t>
            </w:r>
          </w:p>
        </w:tc>
        <w:tc>
          <w:tcPr>
            <w:tcW w:w="871" w:type="dxa"/>
          </w:tcPr>
          <w:p w14:paraId="4310E65D" w14:textId="77777777" w:rsidR="00FA4AA8" w:rsidRDefault="0015611F">
            <w:pPr>
              <w:pStyle w:val="TableParagraph"/>
              <w:spacing w:before="29"/>
              <w:ind w:right="25"/>
              <w:jc w:val="right"/>
              <w:rPr>
                <w:sz w:val="16"/>
              </w:rPr>
            </w:pPr>
            <w:r>
              <w:rPr>
                <w:sz w:val="16"/>
              </w:rPr>
              <w:t>(367)</w:t>
            </w:r>
          </w:p>
        </w:tc>
      </w:tr>
      <w:tr w:rsidR="00FA4AA8" w14:paraId="0FFDB814" w14:textId="77777777">
        <w:trPr>
          <w:trHeight w:val="236"/>
        </w:trPr>
        <w:tc>
          <w:tcPr>
            <w:tcW w:w="5209" w:type="dxa"/>
          </w:tcPr>
          <w:p w14:paraId="2866D6B5" w14:textId="77777777" w:rsidR="00FA4AA8" w:rsidRDefault="0015611F">
            <w:pPr>
              <w:pStyle w:val="TableParagraph"/>
              <w:spacing w:before="28"/>
              <w:ind w:left="50"/>
              <w:rPr>
                <w:sz w:val="16"/>
              </w:rPr>
            </w:pPr>
            <w:r>
              <w:rPr>
                <w:sz w:val="16"/>
              </w:rPr>
              <w:t>Financial assistance received in Cash during the reporting period</w:t>
            </w:r>
          </w:p>
        </w:tc>
        <w:tc>
          <w:tcPr>
            <w:tcW w:w="999" w:type="dxa"/>
          </w:tcPr>
          <w:p w14:paraId="0C479907" w14:textId="77777777" w:rsidR="00FA4AA8" w:rsidRDefault="00FA4AA8">
            <w:pPr>
              <w:pStyle w:val="TableParagraph"/>
              <w:rPr>
                <w:rFonts w:ascii="Times New Roman"/>
                <w:sz w:val="16"/>
              </w:rPr>
            </w:pPr>
          </w:p>
        </w:tc>
        <w:tc>
          <w:tcPr>
            <w:tcW w:w="1188" w:type="dxa"/>
            <w:tcBorders>
              <w:bottom w:val="single" w:sz="8" w:space="0" w:color="000000"/>
            </w:tcBorders>
          </w:tcPr>
          <w:p w14:paraId="31C648A8" w14:textId="77777777" w:rsidR="00FA4AA8" w:rsidRDefault="0015611F">
            <w:pPr>
              <w:pStyle w:val="TableParagraph"/>
              <w:spacing w:before="25"/>
              <w:ind w:right="208"/>
              <w:jc w:val="right"/>
              <w:rPr>
                <w:b/>
                <w:sz w:val="16"/>
              </w:rPr>
            </w:pPr>
            <w:r>
              <w:rPr>
                <w:b/>
                <w:sz w:val="16"/>
              </w:rPr>
              <w:t>214,045</w:t>
            </w:r>
          </w:p>
        </w:tc>
        <w:tc>
          <w:tcPr>
            <w:tcW w:w="1021" w:type="dxa"/>
            <w:tcBorders>
              <w:bottom w:val="single" w:sz="8" w:space="0" w:color="000000"/>
            </w:tcBorders>
          </w:tcPr>
          <w:p w14:paraId="1EDE27D4" w14:textId="77777777" w:rsidR="00FA4AA8" w:rsidRDefault="0015611F">
            <w:pPr>
              <w:pStyle w:val="TableParagraph"/>
              <w:spacing w:before="25"/>
              <w:ind w:left="211"/>
              <w:rPr>
                <w:sz w:val="16"/>
              </w:rPr>
            </w:pPr>
            <w:r>
              <w:rPr>
                <w:sz w:val="16"/>
              </w:rPr>
              <w:t>195,631</w:t>
            </w:r>
          </w:p>
        </w:tc>
        <w:tc>
          <w:tcPr>
            <w:tcW w:w="1038" w:type="dxa"/>
            <w:tcBorders>
              <w:bottom w:val="single" w:sz="8" w:space="0" w:color="000000"/>
            </w:tcBorders>
          </w:tcPr>
          <w:p w14:paraId="4BAABED7" w14:textId="77777777" w:rsidR="00FA4AA8" w:rsidRDefault="0015611F">
            <w:pPr>
              <w:pStyle w:val="TableParagraph"/>
              <w:spacing w:before="25"/>
              <w:ind w:left="337"/>
              <w:rPr>
                <w:b/>
                <w:sz w:val="16"/>
              </w:rPr>
            </w:pPr>
            <w:r>
              <w:rPr>
                <w:b/>
                <w:sz w:val="16"/>
              </w:rPr>
              <w:t>15,416</w:t>
            </w:r>
          </w:p>
        </w:tc>
        <w:tc>
          <w:tcPr>
            <w:tcW w:w="1021" w:type="dxa"/>
            <w:tcBorders>
              <w:bottom w:val="single" w:sz="8" w:space="0" w:color="000000"/>
            </w:tcBorders>
          </w:tcPr>
          <w:p w14:paraId="70681B3D" w14:textId="77777777" w:rsidR="00FA4AA8" w:rsidRDefault="0015611F">
            <w:pPr>
              <w:pStyle w:val="TableParagraph"/>
              <w:spacing w:before="25"/>
              <w:ind w:left="300"/>
              <w:rPr>
                <w:sz w:val="16"/>
              </w:rPr>
            </w:pPr>
            <w:r>
              <w:rPr>
                <w:sz w:val="16"/>
              </w:rPr>
              <w:t>12,805</w:t>
            </w:r>
          </w:p>
        </w:tc>
        <w:tc>
          <w:tcPr>
            <w:tcW w:w="1038" w:type="dxa"/>
            <w:tcBorders>
              <w:bottom w:val="single" w:sz="8" w:space="0" w:color="000000"/>
            </w:tcBorders>
          </w:tcPr>
          <w:p w14:paraId="64E9EAE5" w14:textId="77777777" w:rsidR="00FA4AA8" w:rsidRDefault="0015611F">
            <w:pPr>
              <w:pStyle w:val="TableParagraph"/>
              <w:spacing w:before="25"/>
              <w:ind w:right="208"/>
              <w:jc w:val="right"/>
              <w:rPr>
                <w:b/>
                <w:sz w:val="16"/>
              </w:rPr>
            </w:pPr>
            <w:r>
              <w:rPr>
                <w:b/>
                <w:sz w:val="16"/>
              </w:rPr>
              <w:t>7,063</w:t>
            </w:r>
          </w:p>
        </w:tc>
        <w:tc>
          <w:tcPr>
            <w:tcW w:w="1021" w:type="dxa"/>
            <w:tcBorders>
              <w:bottom w:val="single" w:sz="8" w:space="0" w:color="000000"/>
            </w:tcBorders>
          </w:tcPr>
          <w:p w14:paraId="7CE53738" w14:textId="77777777" w:rsidR="00FA4AA8" w:rsidRDefault="0015611F">
            <w:pPr>
              <w:pStyle w:val="TableParagraph"/>
              <w:spacing w:before="25"/>
              <w:ind w:right="228"/>
              <w:jc w:val="right"/>
              <w:rPr>
                <w:sz w:val="16"/>
              </w:rPr>
            </w:pPr>
            <w:r>
              <w:rPr>
                <w:sz w:val="16"/>
              </w:rPr>
              <w:t>6,982</w:t>
            </w:r>
          </w:p>
        </w:tc>
        <w:tc>
          <w:tcPr>
            <w:tcW w:w="1038" w:type="dxa"/>
            <w:tcBorders>
              <w:bottom w:val="single" w:sz="8" w:space="0" w:color="000000"/>
            </w:tcBorders>
          </w:tcPr>
          <w:p w14:paraId="00844BFE" w14:textId="77777777" w:rsidR="00FA4AA8" w:rsidRDefault="0015611F">
            <w:pPr>
              <w:pStyle w:val="TableParagraph"/>
              <w:spacing w:before="25"/>
              <w:ind w:left="249"/>
              <w:rPr>
                <w:b/>
                <w:sz w:val="16"/>
              </w:rPr>
            </w:pPr>
            <w:r>
              <w:rPr>
                <w:b/>
                <w:sz w:val="16"/>
              </w:rPr>
              <w:t>236,524</w:t>
            </w:r>
          </w:p>
        </w:tc>
        <w:tc>
          <w:tcPr>
            <w:tcW w:w="871" w:type="dxa"/>
            <w:tcBorders>
              <w:bottom w:val="single" w:sz="8" w:space="0" w:color="000000"/>
            </w:tcBorders>
          </w:tcPr>
          <w:p w14:paraId="6E64116F" w14:textId="77777777" w:rsidR="00FA4AA8" w:rsidRDefault="0015611F">
            <w:pPr>
              <w:pStyle w:val="TableParagraph"/>
              <w:spacing w:before="25"/>
              <w:ind w:left="212"/>
              <w:rPr>
                <w:sz w:val="16"/>
              </w:rPr>
            </w:pPr>
            <w:r>
              <w:rPr>
                <w:sz w:val="16"/>
              </w:rPr>
              <w:t>215,418</w:t>
            </w:r>
          </w:p>
        </w:tc>
      </w:tr>
      <w:tr w:rsidR="00FA4AA8" w14:paraId="3382F26D" w14:textId="77777777">
        <w:trPr>
          <w:trHeight w:val="296"/>
        </w:trPr>
        <w:tc>
          <w:tcPr>
            <w:tcW w:w="5209" w:type="dxa"/>
          </w:tcPr>
          <w:p w14:paraId="138B93BC" w14:textId="77777777" w:rsidR="00FA4AA8" w:rsidRDefault="0015611F">
            <w:pPr>
              <w:pStyle w:val="TableParagraph"/>
              <w:spacing w:before="88"/>
              <w:ind w:left="50"/>
              <w:rPr>
                <w:sz w:val="16"/>
              </w:rPr>
            </w:pPr>
            <w:r>
              <w:rPr>
                <w:sz w:val="16"/>
              </w:rPr>
              <w:t>Cash available for period</w:t>
            </w:r>
          </w:p>
        </w:tc>
        <w:tc>
          <w:tcPr>
            <w:tcW w:w="999" w:type="dxa"/>
          </w:tcPr>
          <w:p w14:paraId="6CAF5D2C" w14:textId="77777777" w:rsidR="00FA4AA8" w:rsidRDefault="00FA4AA8">
            <w:pPr>
              <w:pStyle w:val="TableParagraph"/>
              <w:rPr>
                <w:rFonts w:ascii="Times New Roman"/>
                <w:sz w:val="16"/>
              </w:rPr>
            </w:pPr>
          </w:p>
        </w:tc>
        <w:tc>
          <w:tcPr>
            <w:tcW w:w="1188" w:type="dxa"/>
            <w:tcBorders>
              <w:top w:val="single" w:sz="8" w:space="0" w:color="000000"/>
              <w:bottom w:val="single" w:sz="8" w:space="0" w:color="000000"/>
            </w:tcBorders>
          </w:tcPr>
          <w:p w14:paraId="1E9664EF" w14:textId="77777777" w:rsidR="00FA4AA8" w:rsidRDefault="0015611F">
            <w:pPr>
              <w:pStyle w:val="TableParagraph"/>
              <w:spacing w:before="114" w:line="162" w:lineRule="exact"/>
              <w:ind w:right="208"/>
              <w:jc w:val="right"/>
              <w:rPr>
                <w:b/>
                <w:sz w:val="16"/>
              </w:rPr>
            </w:pPr>
            <w:r>
              <w:rPr>
                <w:b/>
                <w:sz w:val="16"/>
              </w:rPr>
              <w:t>211,512</w:t>
            </w:r>
          </w:p>
        </w:tc>
        <w:tc>
          <w:tcPr>
            <w:tcW w:w="1021" w:type="dxa"/>
            <w:tcBorders>
              <w:top w:val="single" w:sz="8" w:space="0" w:color="000000"/>
              <w:bottom w:val="single" w:sz="8" w:space="0" w:color="000000"/>
            </w:tcBorders>
          </w:tcPr>
          <w:p w14:paraId="0AAAF9B9" w14:textId="77777777" w:rsidR="00FA4AA8" w:rsidRDefault="0015611F">
            <w:pPr>
              <w:pStyle w:val="TableParagraph"/>
              <w:spacing w:before="86"/>
              <w:ind w:left="211"/>
              <w:rPr>
                <w:sz w:val="16"/>
              </w:rPr>
            </w:pPr>
            <w:r>
              <w:rPr>
                <w:sz w:val="16"/>
              </w:rPr>
              <w:t>197,047</w:t>
            </w:r>
          </w:p>
        </w:tc>
        <w:tc>
          <w:tcPr>
            <w:tcW w:w="1038" w:type="dxa"/>
            <w:tcBorders>
              <w:top w:val="single" w:sz="8" w:space="0" w:color="000000"/>
              <w:bottom w:val="single" w:sz="8" w:space="0" w:color="000000"/>
            </w:tcBorders>
          </w:tcPr>
          <w:p w14:paraId="5C3AD9F7" w14:textId="77777777" w:rsidR="00FA4AA8" w:rsidRDefault="0015611F">
            <w:pPr>
              <w:pStyle w:val="TableParagraph"/>
              <w:spacing w:before="114" w:line="162" w:lineRule="exact"/>
              <w:ind w:left="337"/>
              <w:rPr>
                <w:b/>
                <w:sz w:val="16"/>
              </w:rPr>
            </w:pPr>
            <w:r>
              <w:rPr>
                <w:b/>
                <w:sz w:val="16"/>
              </w:rPr>
              <w:t>14,672</w:t>
            </w:r>
          </w:p>
        </w:tc>
        <w:tc>
          <w:tcPr>
            <w:tcW w:w="1021" w:type="dxa"/>
            <w:tcBorders>
              <w:top w:val="single" w:sz="8" w:space="0" w:color="000000"/>
              <w:bottom w:val="single" w:sz="8" w:space="0" w:color="000000"/>
            </w:tcBorders>
          </w:tcPr>
          <w:p w14:paraId="58C8B591" w14:textId="77777777" w:rsidR="00FA4AA8" w:rsidRDefault="0015611F">
            <w:pPr>
              <w:pStyle w:val="TableParagraph"/>
              <w:spacing w:before="86"/>
              <w:ind w:left="300"/>
              <w:rPr>
                <w:sz w:val="16"/>
              </w:rPr>
            </w:pPr>
            <w:r>
              <w:rPr>
                <w:sz w:val="16"/>
              </w:rPr>
              <w:t>11,542</w:t>
            </w:r>
          </w:p>
        </w:tc>
        <w:tc>
          <w:tcPr>
            <w:tcW w:w="1038" w:type="dxa"/>
            <w:tcBorders>
              <w:top w:val="single" w:sz="8" w:space="0" w:color="000000"/>
              <w:bottom w:val="single" w:sz="8" w:space="0" w:color="000000"/>
            </w:tcBorders>
          </w:tcPr>
          <w:p w14:paraId="26EA578A" w14:textId="77777777" w:rsidR="00FA4AA8" w:rsidRDefault="0015611F">
            <w:pPr>
              <w:pStyle w:val="TableParagraph"/>
              <w:spacing w:before="86"/>
              <w:ind w:right="208"/>
              <w:jc w:val="right"/>
              <w:rPr>
                <w:b/>
                <w:sz w:val="16"/>
              </w:rPr>
            </w:pPr>
            <w:r>
              <w:rPr>
                <w:b/>
                <w:sz w:val="16"/>
              </w:rPr>
              <w:t>6,641</w:t>
            </w:r>
          </w:p>
        </w:tc>
        <w:tc>
          <w:tcPr>
            <w:tcW w:w="1021" w:type="dxa"/>
            <w:tcBorders>
              <w:top w:val="single" w:sz="8" w:space="0" w:color="000000"/>
              <w:bottom w:val="single" w:sz="8" w:space="0" w:color="000000"/>
            </w:tcBorders>
          </w:tcPr>
          <w:p w14:paraId="072D1723" w14:textId="77777777" w:rsidR="00FA4AA8" w:rsidRDefault="0015611F">
            <w:pPr>
              <w:pStyle w:val="TableParagraph"/>
              <w:spacing w:before="86"/>
              <w:ind w:right="228"/>
              <w:jc w:val="right"/>
              <w:rPr>
                <w:sz w:val="16"/>
              </w:rPr>
            </w:pPr>
            <w:r>
              <w:rPr>
                <w:sz w:val="16"/>
              </w:rPr>
              <w:t>6,462</w:t>
            </w:r>
          </w:p>
        </w:tc>
        <w:tc>
          <w:tcPr>
            <w:tcW w:w="1038" w:type="dxa"/>
            <w:tcBorders>
              <w:top w:val="single" w:sz="8" w:space="0" w:color="000000"/>
              <w:bottom w:val="single" w:sz="8" w:space="0" w:color="000000"/>
            </w:tcBorders>
          </w:tcPr>
          <w:p w14:paraId="67DD508F" w14:textId="77777777" w:rsidR="00FA4AA8" w:rsidRDefault="0015611F">
            <w:pPr>
              <w:pStyle w:val="TableParagraph"/>
              <w:spacing w:before="86"/>
              <w:ind w:left="249"/>
              <w:rPr>
                <w:b/>
                <w:sz w:val="16"/>
              </w:rPr>
            </w:pPr>
            <w:r>
              <w:rPr>
                <w:b/>
                <w:sz w:val="16"/>
              </w:rPr>
              <w:t>232,825</w:t>
            </w:r>
          </w:p>
        </w:tc>
        <w:tc>
          <w:tcPr>
            <w:tcW w:w="871" w:type="dxa"/>
            <w:tcBorders>
              <w:top w:val="single" w:sz="8" w:space="0" w:color="000000"/>
              <w:bottom w:val="single" w:sz="8" w:space="0" w:color="000000"/>
            </w:tcBorders>
          </w:tcPr>
          <w:p w14:paraId="30687CA7" w14:textId="77777777" w:rsidR="00FA4AA8" w:rsidRDefault="0015611F">
            <w:pPr>
              <w:pStyle w:val="TableParagraph"/>
              <w:spacing w:before="86"/>
              <w:ind w:left="212"/>
              <w:rPr>
                <w:sz w:val="16"/>
              </w:rPr>
            </w:pPr>
            <w:r>
              <w:rPr>
                <w:sz w:val="16"/>
              </w:rPr>
              <w:t>215,051</w:t>
            </w:r>
          </w:p>
        </w:tc>
      </w:tr>
      <w:tr w:rsidR="00FA4AA8" w14:paraId="2C000D21" w14:textId="77777777">
        <w:trPr>
          <w:trHeight w:val="241"/>
        </w:trPr>
        <w:tc>
          <w:tcPr>
            <w:tcW w:w="5209" w:type="dxa"/>
          </w:tcPr>
          <w:p w14:paraId="419B1EAF" w14:textId="77777777" w:rsidR="00FA4AA8" w:rsidRDefault="0015611F">
            <w:pPr>
              <w:pStyle w:val="TableParagraph"/>
              <w:spacing w:before="33"/>
              <w:ind w:left="50"/>
              <w:rPr>
                <w:sz w:val="16"/>
              </w:rPr>
            </w:pPr>
            <w:r>
              <w:rPr>
                <w:sz w:val="16"/>
              </w:rPr>
              <w:t>Revenue earned</w:t>
            </w:r>
          </w:p>
        </w:tc>
        <w:tc>
          <w:tcPr>
            <w:tcW w:w="999" w:type="dxa"/>
          </w:tcPr>
          <w:p w14:paraId="76F4E64E" w14:textId="77777777" w:rsidR="00FA4AA8" w:rsidRDefault="0015611F">
            <w:pPr>
              <w:pStyle w:val="TableParagraph"/>
              <w:spacing w:before="28"/>
              <w:ind w:left="441"/>
              <w:jc w:val="center"/>
              <w:rPr>
                <w:sz w:val="16"/>
              </w:rPr>
            </w:pPr>
            <w:r>
              <w:rPr>
                <w:sz w:val="16"/>
              </w:rPr>
              <w:t>2</w:t>
            </w:r>
          </w:p>
        </w:tc>
        <w:tc>
          <w:tcPr>
            <w:tcW w:w="1188" w:type="dxa"/>
            <w:tcBorders>
              <w:top w:val="single" w:sz="8" w:space="0" w:color="000000"/>
              <w:bottom w:val="single" w:sz="8" w:space="0" w:color="000000"/>
            </w:tcBorders>
          </w:tcPr>
          <w:p w14:paraId="2C342A29" w14:textId="77777777" w:rsidR="00FA4AA8" w:rsidRDefault="0015611F">
            <w:pPr>
              <w:pStyle w:val="TableParagraph"/>
              <w:spacing w:before="30"/>
              <w:ind w:right="208"/>
              <w:jc w:val="right"/>
              <w:rPr>
                <w:b/>
                <w:sz w:val="16"/>
              </w:rPr>
            </w:pPr>
            <w:r>
              <w:rPr>
                <w:b/>
                <w:sz w:val="16"/>
              </w:rPr>
              <w:t>211,638</w:t>
            </w:r>
          </w:p>
        </w:tc>
        <w:tc>
          <w:tcPr>
            <w:tcW w:w="1021" w:type="dxa"/>
            <w:tcBorders>
              <w:top w:val="single" w:sz="8" w:space="0" w:color="000000"/>
              <w:bottom w:val="single" w:sz="8" w:space="0" w:color="000000"/>
            </w:tcBorders>
          </w:tcPr>
          <w:p w14:paraId="6842290E" w14:textId="77777777" w:rsidR="00FA4AA8" w:rsidRDefault="0015611F">
            <w:pPr>
              <w:pStyle w:val="TableParagraph"/>
              <w:spacing w:before="30"/>
              <w:ind w:left="211"/>
              <w:rPr>
                <w:sz w:val="16"/>
              </w:rPr>
            </w:pPr>
            <w:r>
              <w:rPr>
                <w:sz w:val="16"/>
              </w:rPr>
              <w:t>199,580</w:t>
            </w:r>
          </w:p>
        </w:tc>
        <w:tc>
          <w:tcPr>
            <w:tcW w:w="1038" w:type="dxa"/>
            <w:tcBorders>
              <w:top w:val="single" w:sz="8" w:space="0" w:color="000000"/>
              <w:bottom w:val="single" w:sz="8" w:space="0" w:color="000000"/>
            </w:tcBorders>
          </w:tcPr>
          <w:p w14:paraId="4D2DE6D6" w14:textId="77777777" w:rsidR="00FA4AA8" w:rsidRDefault="0015611F">
            <w:pPr>
              <w:pStyle w:val="TableParagraph"/>
              <w:spacing w:before="30"/>
              <w:ind w:left="337"/>
              <w:rPr>
                <w:b/>
                <w:sz w:val="16"/>
              </w:rPr>
            </w:pPr>
            <w:r>
              <w:rPr>
                <w:b/>
                <w:sz w:val="16"/>
              </w:rPr>
              <w:t>15,943</w:t>
            </w:r>
          </w:p>
        </w:tc>
        <w:tc>
          <w:tcPr>
            <w:tcW w:w="1021" w:type="dxa"/>
            <w:tcBorders>
              <w:top w:val="single" w:sz="8" w:space="0" w:color="000000"/>
              <w:bottom w:val="single" w:sz="8" w:space="0" w:color="000000"/>
            </w:tcBorders>
          </w:tcPr>
          <w:p w14:paraId="74FD7708" w14:textId="77777777" w:rsidR="00FA4AA8" w:rsidRDefault="0015611F">
            <w:pPr>
              <w:pStyle w:val="TableParagraph"/>
              <w:spacing w:before="30"/>
              <w:ind w:left="300"/>
              <w:rPr>
                <w:sz w:val="16"/>
              </w:rPr>
            </w:pPr>
            <w:r>
              <w:rPr>
                <w:sz w:val="16"/>
              </w:rPr>
              <w:t>12,286</w:t>
            </w:r>
          </w:p>
        </w:tc>
        <w:tc>
          <w:tcPr>
            <w:tcW w:w="1038" w:type="dxa"/>
            <w:tcBorders>
              <w:top w:val="single" w:sz="8" w:space="0" w:color="000000"/>
              <w:bottom w:val="single" w:sz="8" w:space="0" w:color="000000"/>
            </w:tcBorders>
          </w:tcPr>
          <w:p w14:paraId="3ACC5F33" w14:textId="77777777" w:rsidR="00FA4AA8" w:rsidRDefault="0015611F">
            <w:pPr>
              <w:pStyle w:val="TableParagraph"/>
              <w:spacing w:before="30"/>
              <w:ind w:right="208"/>
              <w:jc w:val="right"/>
              <w:rPr>
                <w:b/>
                <w:sz w:val="16"/>
              </w:rPr>
            </w:pPr>
            <w:r>
              <w:rPr>
                <w:b/>
                <w:sz w:val="16"/>
              </w:rPr>
              <w:t>7,105</w:t>
            </w:r>
          </w:p>
        </w:tc>
        <w:tc>
          <w:tcPr>
            <w:tcW w:w="1021" w:type="dxa"/>
            <w:tcBorders>
              <w:top w:val="single" w:sz="8" w:space="0" w:color="000000"/>
              <w:bottom w:val="single" w:sz="8" w:space="0" w:color="000000"/>
            </w:tcBorders>
          </w:tcPr>
          <w:p w14:paraId="4D6CF394" w14:textId="77777777" w:rsidR="00FA4AA8" w:rsidRDefault="0015611F">
            <w:pPr>
              <w:pStyle w:val="TableParagraph"/>
              <w:spacing w:before="30"/>
              <w:ind w:right="228"/>
              <w:jc w:val="right"/>
              <w:rPr>
                <w:sz w:val="16"/>
              </w:rPr>
            </w:pPr>
            <w:r>
              <w:rPr>
                <w:sz w:val="16"/>
              </w:rPr>
              <w:t>6,884</w:t>
            </w:r>
          </w:p>
        </w:tc>
        <w:tc>
          <w:tcPr>
            <w:tcW w:w="1038" w:type="dxa"/>
            <w:tcBorders>
              <w:top w:val="single" w:sz="8" w:space="0" w:color="000000"/>
              <w:bottom w:val="single" w:sz="8" w:space="0" w:color="000000"/>
            </w:tcBorders>
          </w:tcPr>
          <w:p w14:paraId="67C95C9D" w14:textId="77777777" w:rsidR="00FA4AA8" w:rsidRDefault="0015611F">
            <w:pPr>
              <w:pStyle w:val="TableParagraph"/>
              <w:spacing w:before="30"/>
              <w:ind w:left="249"/>
              <w:rPr>
                <w:b/>
                <w:sz w:val="16"/>
              </w:rPr>
            </w:pPr>
            <w:r>
              <w:rPr>
                <w:b/>
                <w:sz w:val="16"/>
              </w:rPr>
              <w:t>234,686</w:t>
            </w:r>
          </w:p>
        </w:tc>
        <w:tc>
          <w:tcPr>
            <w:tcW w:w="871" w:type="dxa"/>
            <w:tcBorders>
              <w:top w:val="single" w:sz="8" w:space="0" w:color="000000"/>
              <w:bottom w:val="single" w:sz="8" w:space="0" w:color="000000"/>
            </w:tcBorders>
          </w:tcPr>
          <w:p w14:paraId="32F2E9CC" w14:textId="77777777" w:rsidR="00FA4AA8" w:rsidRDefault="0015611F">
            <w:pPr>
              <w:pStyle w:val="TableParagraph"/>
              <w:spacing w:before="30"/>
              <w:ind w:left="212"/>
              <w:rPr>
                <w:sz w:val="16"/>
              </w:rPr>
            </w:pPr>
            <w:r>
              <w:rPr>
                <w:sz w:val="16"/>
              </w:rPr>
              <w:t>218,750</w:t>
            </w:r>
          </w:p>
        </w:tc>
      </w:tr>
      <w:tr w:rsidR="00FA4AA8" w14:paraId="75569545" w14:textId="77777777">
        <w:trPr>
          <w:trHeight w:val="298"/>
        </w:trPr>
        <w:tc>
          <w:tcPr>
            <w:tcW w:w="5209" w:type="dxa"/>
          </w:tcPr>
          <w:p w14:paraId="1904728C" w14:textId="77777777" w:rsidR="00FA4AA8" w:rsidRDefault="0015611F">
            <w:pPr>
              <w:pStyle w:val="TableParagraph"/>
              <w:spacing w:before="88"/>
              <w:ind w:left="50"/>
              <w:rPr>
                <w:sz w:val="16"/>
              </w:rPr>
            </w:pPr>
            <w:r>
              <w:rPr>
                <w:sz w:val="16"/>
              </w:rPr>
              <w:t>Cash Payable/(Receivable) at end of year</w:t>
            </w:r>
          </w:p>
        </w:tc>
        <w:tc>
          <w:tcPr>
            <w:tcW w:w="999" w:type="dxa"/>
          </w:tcPr>
          <w:p w14:paraId="5AAB2A3E" w14:textId="77777777" w:rsidR="00FA4AA8" w:rsidRDefault="00FA4AA8">
            <w:pPr>
              <w:pStyle w:val="TableParagraph"/>
              <w:rPr>
                <w:rFonts w:ascii="Times New Roman"/>
                <w:sz w:val="16"/>
              </w:rPr>
            </w:pPr>
          </w:p>
        </w:tc>
        <w:tc>
          <w:tcPr>
            <w:tcW w:w="1188" w:type="dxa"/>
            <w:tcBorders>
              <w:top w:val="single" w:sz="8" w:space="0" w:color="000000"/>
              <w:bottom w:val="double" w:sz="2" w:space="0" w:color="000000"/>
            </w:tcBorders>
          </w:tcPr>
          <w:p w14:paraId="73806E01" w14:textId="77777777" w:rsidR="00FA4AA8" w:rsidRDefault="0015611F">
            <w:pPr>
              <w:pStyle w:val="TableParagraph"/>
              <w:spacing w:before="114" w:line="164" w:lineRule="exact"/>
              <w:ind w:right="155"/>
              <w:jc w:val="right"/>
              <w:rPr>
                <w:b/>
                <w:sz w:val="16"/>
              </w:rPr>
            </w:pPr>
            <w:r>
              <w:rPr>
                <w:b/>
                <w:sz w:val="16"/>
              </w:rPr>
              <w:t>(126)</w:t>
            </w:r>
          </w:p>
        </w:tc>
        <w:tc>
          <w:tcPr>
            <w:tcW w:w="1021" w:type="dxa"/>
            <w:tcBorders>
              <w:top w:val="single" w:sz="8" w:space="0" w:color="000000"/>
              <w:bottom w:val="double" w:sz="2" w:space="0" w:color="000000"/>
            </w:tcBorders>
          </w:tcPr>
          <w:p w14:paraId="21090245" w14:textId="77777777" w:rsidR="00FA4AA8" w:rsidRDefault="0015611F">
            <w:pPr>
              <w:pStyle w:val="TableParagraph"/>
              <w:spacing w:before="86"/>
              <w:ind w:right="175"/>
              <w:jc w:val="right"/>
              <w:rPr>
                <w:sz w:val="16"/>
              </w:rPr>
            </w:pPr>
            <w:r>
              <w:rPr>
                <w:sz w:val="16"/>
              </w:rPr>
              <w:t>(2,533)</w:t>
            </w:r>
          </w:p>
        </w:tc>
        <w:tc>
          <w:tcPr>
            <w:tcW w:w="1038" w:type="dxa"/>
            <w:tcBorders>
              <w:top w:val="single" w:sz="8" w:space="0" w:color="000000"/>
              <w:bottom w:val="double" w:sz="2" w:space="0" w:color="000000"/>
            </w:tcBorders>
          </w:tcPr>
          <w:p w14:paraId="71A8C5BD" w14:textId="77777777" w:rsidR="00FA4AA8" w:rsidRDefault="0015611F">
            <w:pPr>
              <w:pStyle w:val="TableParagraph"/>
              <w:spacing w:before="114" w:line="164" w:lineRule="exact"/>
              <w:ind w:right="155"/>
              <w:jc w:val="right"/>
              <w:rPr>
                <w:b/>
                <w:sz w:val="16"/>
              </w:rPr>
            </w:pPr>
            <w:r>
              <w:rPr>
                <w:b/>
                <w:sz w:val="16"/>
              </w:rPr>
              <w:t>(1,271)</w:t>
            </w:r>
          </w:p>
        </w:tc>
        <w:tc>
          <w:tcPr>
            <w:tcW w:w="1021" w:type="dxa"/>
            <w:tcBorders>
              <w:top w:val="single" w:sz="8" w:space="0" w:color="000000"/>
              <w:bottom w:val="double" w:sz="2" w:space="0" w:color="000000"/>
            </w:tcBorders>
          </w:tcPr>
          <w:p w14:paraId="72B6D819" w14:textId="77777777" w:rsidR="00FA4AA8" w:rsidRDefault="0015611F">
            <w:pPr>
              <w:pStyle w:val="TableParagraph"/>
              <w:spacing w:before="86"/>
              <w:ind w:right="175"/>
              <w:jc w:val="right"/>
              <w:rPr>
                <w:sz w:val="16"/>
              </w:rPr>
            </w:pPr>
            <w:r>
              <w:rPr>
                <w:sz w:val="16"/>
              </w:rPr>
              <w:t>(744)</w:t>
            </w:r>
          </w:p>
        </w:tc>
        <w:tc>
          <w:tcPr>
            <w:tcW w:w="1038" w:type="dxa"/>
            <w:tcBorders>
              <w:top w:val="single" w:sz="8" w:space="0" w:color="000000"/>
              <w:bottom w:val="double" w:sz="2" w:space="0" w:color="000000"/>
            </w:tcBorders>
          </w:tcPr>
          <w:p w14:paraId="6B8D1B69" w14:textId="77777777" w:rsidR="00FA4AA8" w:rsidRDefault="0015611F">
            <w:pPr>
              <w:pStyle w:val="TableParagraph"/>
              <w:spacing w:before="86"/>
              <w:ind w:right="155"/>
              <w:jc w:val="right"/>
              <w:rPr>
                <w:b/>
                <w:sz w:val="16"/>
              </w:rPr>
            </w:pPr>
            <w:r>
              <w:rPr>
                <w:b/>
                <w:sz w:val="16"/>
              </w:rPr>
              <w:t>(464)</w:t>
            </w:r>
          </w:p>
        </w:tc>
        <w:tc>
          <w:tcPr>
            <w:tcW w:w="1021" w:type="dxa"/>
            <w:tcBorders>
              <w:top w:val="single" w:sz="8" w:space="0" w:color="000000"/>
              <w:bottom w:val="double" w:sz="2" w:space="0" w:color="000000"/>
            </w:tcBorders>
          </w:tcPr>
          <w:p w14:paraId="1F616D61" w14:textId="77777777" w:rsidR="00FA4AA8" w:rsidRDefault="0015611F">
            <w:pPr>
              <w:pStyle w:val="TableParagraph"/>
              <w:spacing w:before="86"/>
              <w:ind w:right="175"/>
              <w:jc w:val="right"/>
              <w:rPr>
                <w:sz w:val="16"/>
              </w:rPr>
            </w:pPr>
            <w:r>
              <w:rPr>
                <w:sz w:val="16"/>
              </w:rPr>
              <w:t>(422)</w:t>
            </w:r>
          </w:p>
        </w:tc>
        <w:tc>
          <w:tcPr>
            <w:tcW w:w="1038" w:type="dxa"/>
            <w:tcBorders>
              <w:top w:val="single" w:sz="8" w:space="0" w:color="000000"/>
              <w:bottom w:val="double" w:sz="2" w:space="0" w:color="000000"/>
            </w:tcBorders>
          </w:tcPr>
          <w:p w14:paraId="77ADDACE" w14:textId="77777777" w:rsidR="00FA4AA8" w:rsidRDefault="0015611F">
            <w:pPr>
              <w:pStyle w:val="TableParagraph"/>
              <w:spacing w:before="86"/>
              <w:ind w:right="154"/>
              <w:jc w:val="right"/>
              <w:rPr>
                <w:b/>
                <w:sz w:val="16"/>
              </w:rPr>
            </w:pPr>
            <w:r>
              <w:rPr>
                <w:b/>
                <w:sz w:val="16"/>
              </w:rPr>
              <w:t>(1,861)</w:t>
            </w:r>
          </w:p>
        </w:tc>
        <w:tc>
          <w:tcPr>
            <w:tcW w:w="871" w:type="dxa"/>
            <w:tcBorders>
              <w:top w:val="single" w:sz="8" w:space="0" w:color="000000"/>
              <w:bottom w:val="double" w:sz="2" w:space="0" w:color="000000"/>
            </w:tcBorders>
          </w:tcPr>
          <w:p w14:paraId="63B0165B" w14:textId="77777777" w:rsidR="00FA4AA8" w:rsidRDefault="0015611F">
            <w:pPr>
              <w:pStyle w:val="TableParagraph"/>
              <w:spacing w:before="86"/>
              <w:ind w:right="25"/>
              <w:jc w:val="right"/>
              <w:rPr>
                <w:sz w:val="16"/>
              </w:rPr>
            </w:pPr>
            <w:r>
              <w:rPr>
                <w:sz w:val="16"/>
              </w:rPr>
              <w:t>(3,699)</w:t>
            </w:r>
          </w:p>
        </w:tc>
      </w:tr>
    </w:tbl>
    <w:p w14:paraId="15A96DB5" w14:textId="77777777" w:rsidR="00FA4AA8" w:rsidRDefault="00FA4AA8">
      <w:pPr>
        <w:jc w:val="right"/>
        <w:rPr>
          <w:sz w:val="16"/>
        </w:rPr>
        <w:sectPr w:rsidR="00FA4AA8">
          <w:type w:val="continuous"/>
          <w:pgSz w:w="16840" w:h="11910" w:orient="landscape"/>
          <w:pgMar w:top="20" w:right="880" w:bottom="0" w:left="840" w:header="720" w:footer="720" w:gutter="0"/>
          <w:cols w:space="720"/>
        </w:sectPr>
      </w:pPr>
    </w:p>
    <w:p w14:paraId="1FE27320" w14:textId="77777777" w:rsidR="00FA4AA8" w:rsidRDefault="00FA4AA8">
      <w:pPr>
        <w:pStyle w:val="BodyText"/>
        <w:rPr>
          <w:b/>
          <w:sz w:val="20"/>
        </w:rPr>
      </w:pPr>
    </w:p>
    <w:p w14:paraId="4D675935" w14:textId="77777777" w:rsidR="00FA4AA8" w:rsidRDefault="00FA4AA8">
      <w:pPr>
        <w:pStyle w:val="BodyText"/>
        <w:spacing w:before="10"/>
        <w:rPr>
          <w:b/>
          <w:sz w:val="29"/>
        </w:rPr>
      </w:pPr>
    </w:p>
    <w:p w14:paraId="10D62424" w14:textId="77777777" w:rsidR="00FA4AA8" w:rsidRDefault="0015611F">
      <w:pPr>
        <w:numPr>
          <w:ilvl w:val="0"/>
          <w:numId w:val="74"/>
        </w:numPr>
        <w:tabs>
          <w:tab w:val="left" w:pos="564"/>
        </w:tabs>
        <w:spacing w:before="94"/>
        <w:ind w:hanging="397"/>
        <w:rPr>
          <w:b/>
          <w:sz w:val="18"/>
        </w:rPr>
      </w:pPr>
      <w:bookmarkStart w:id="87" w:name="(c)_Department_of_Education_and_Training"/>
      <w:bookmarkEnd w:id="87"/>
      <w:r>
        <w:rPr>
          <w:b/>
          <w:sz w:val="18"/>
        </w:rPr>
        <w:t>Acquittal of Australian Government Financial Assistance (continued)</w:t>
      </w:r>
    </w:p>
    <w:p w14:paraId="02354369" w14:textId="77777777" w:rsidR="00FA4AA8" w:rsidRDefault="00FA4AA8">
      <w:pPr>
        <w:pStyle w:val="BodyText"/>
        <w:spacing w:before="5"/>
        <w:rPr>
          <w:b/>
        </w:rPr>
      </w:pPr>
    </w:p>
    <w:p w14:paraId="5067CDD0" w14:textId="77777777" w:rsidR="00FA4AA8" w:rsidRDefault="00FA4AA8">
      <w:pPr>
        <w:sectPr w:rsidR="00FA4AA8">
          <w:pgSz w:w="16840" w:h="11910" w:orient="landscape"/>
          <w:pgMar w:top="2220" w:right="880" w:bottom="720" w:left="840" w:header="1016" w:footer="523" w:gutter="0"/>
          <w:cols w:space="720"/>
        </w:sectPr>
      </w:pPr>
    </w:p>
    <w:p w14:paraId="394F8705" w14:textId="77777777" w:rsidR="00FA4AA8" w:rsidRDefault="0015611F">
      <w:pPr>
        <w:pStyle w:val="ListParagraph"/>
        <w:numPr>
          <w:ilvl w:val="0"/>
          <w:numId w:val="75"/>
        </w:numPr>
        <w:tabs>
          <w:tab w:val="left" w:pos="564"/>
        </w:tabs>
        <w:spacing w:before="94"/>
        <w:ind w:hanging="397"/>
        <w:rPr>
          <w:b/>
          <w:sz w:val="18"/>
        </w:rPr>
      </w:pPr>
      <w:r>
        <w:rPr>
          <w:b/>
          <w:sz w:val="18"/>
        </w:rPr>
        <w:t>Department of Education and Training Research</w:t>
      </w:r>
    </w:p>
    <w:p w14:paraId="3AFBAF39" w14:textId="77777777" w:rsidR="00FA4AA8" w:rsidRDefault="0015611F">
      <w:pPr>
        <w:pStyle w:val="BodyText"/>
        <w:rPr>
          <w:b/>
        </w:rPr>
      </w:pPr>
      <w:r>
        <w:br w:type="column"/>
      </w:r>
    </w:p>
    <w:p w14:paraId="647DE077" w14:textId="77777777" w:rsidR="00FA4AA8" w:rsidRDefault="0015611F">
      <w:pPr>
        <w:spacing w:before="132"/>
        <w:ind w:left="535" w:right="23" w:hanging="368"/>
        <w:rPr>
          <w:b/>
          <w:sz w:val="16"/>
        </w:rPr>
      </w:pPr>
      <w:r>
        <w:rPr>
          <w:b/>
          <w:sz w:val="16"/>
        </w:rPr>
        <w:t>Research Training Program</w:t>
      </w:r>
    </w:p>
    <w:p w14:paraId="4C192F5D" w14:textId="77777777" w:rsidR="00FA4AA8" w:rsidRDefault="0015611F">
      <w:pPr>
        <w:pStyle w:val="BodyText"/>
        <w:rPr>
          <w:b/>
        </w:rPr>
      </w:pPr>
      <w:r>
        <w:br w:type="column"/>
      </w:r>
    </w:p>
    <w:p w14:paraId="7D3ADF78" w14:textId="77777777" w:rsidR="00FA4AA8" w:rsidRDefault="0015611F">
      <w:pPr>
        <w:spacing w:before="132"/>
        <w:ind w:left="167"/>
        <w:rPr>
          <w:b/>
          <w:sz w:val="16"/>
        </w:rPr>
      </w:pPr>
      <w:r>
        <w:rPr>
          <w:b/>
          <w:sz w:val="16"/>
        </w:rPr>
        <w:t>Research Support</w:t>
      </w:r>
    </w:p>
    <w:p w14:paraId="569BF2E2" w14:textId="77777777" w:rsidR="00FA4AA8" w:rsidRDefault="0015611F">
      <w:pPr>
        <w:tabs>
          <w:tab w:val="left" w:pos="2459"/>
        </w:tabs>
        <w:spacing w:before="1"/>
        <w:ind w:left="527"/>
        <w:rPr>
          <w:b/>
          <w:sz w:val="16"/>
        </w:rPr>
      </w:pPr>
      <w:r>
        <w:rPr>
          <w:b/>
          <w:sz w:val="16"/>
        </w:rPr>
        <w:t>Program</w:t>
      </w:r>
      <w:r>
        <w:rPr>
          <w:b/>
          <w:sz w:val="16"/>
        </w:rPr>
        <w:tab/>
        <w:t>Total</w:t>
      </w:r>
    </w:p>
    <w:p w14:paraId="37C19E58" w14:textId="77777777" w:rsidR="00FA4AA8" w:rsidRDefault="00FA4AA8">
      <w:pPr>
        <w:rPr>
          <w:sz w:val="16"/>
        </w:rPr>
        <w:sectPr w:rsidR="00FA4AA8">
          <w:type w:val="continuous"/>
          <w:pgSz w:w="16840" w:h="11910" w:orient="landscape"/>
          <w:pgMar w:top="20" w:right="880" w:bottom="0" w:left="840" w:header="720" w:footer="720" w:gutter="0"/>
          <w:cols w:num="3" w:space="720" w:equalWidth="0">
            <w:col w:w="4751" w:space="4935"/>
            <w:col w:w="1607" w:space="191"/>
            <w:col w:w="3636"/>
          </w:cols>
        </w:sectPr>
      </w:pPr>
    </w:p>
    <w:p w14:paraId="19E4726F" w14:textId="77777777" w:rsidR="00FA4AA8" w:rsidRDefault="00FA4AA8">
      <w:pPr>
        <w:pStyle w:val="BodyText"/>
        <w:spacing w:before="3"/>
        <w:rPr>
          <w:b/>
          <w:sz w:val="6"/>
        </w:rPr>
      </w:pPr>
    </w:p>
    <w:tbl>
      <w:tblPr>
        <w:tblW w:w="0" w:type="auto"/>
        <w:tblInd w:w="521" w:type="dxa"/>
        <w:tblLayout w:type="fixed"/>
        <w:tblCellMar>
          <w:left w:w="0" w:type="dxa"/>
          <w:right w:w="0" w:type="dxa"/>
        </w:tblCellMar>
        <w:tblLook w:val="01E0" w:firstRow="1" w:lastRow="1" w:firstColumn="1" w:lastColumn="1" w:noHBand="0" w:noVBand="0"/>
      </w:tblPr>
      <w:tblGrid>
        <w:gridCol w:w="7492"/>
        <w:gridCol w:w="1640"/>
        <w:gridCol w:w="1018"/>
        <w:gridCol w:w="891"/>
        <w:gridCol w:w="901"/>
        <w:gridCol w:w="891"/>
        <w:gridCol w:w="901"/>
        <w:gridCol w:w="774"/>
      </w:tblGrid>
      <w:tr w:rsidR="00FA4AA8" w14:paraId="39B62888" w14:textId="77777777">
        <w:trPr>
          <w:trHeight w:val="215"/>
        </w:trPr>
        <w:tc>
          <w:tcPr>
            <w:tcW w:w="9132" w:type="dxa"/>
            <w:gridSpan w:val="2"/>
          </w:tcPr>
          <w:p w14:paraId="6C06C558" w14:textId="77777777" w:rsidR="00FA4AA8" w:rsidRDefault="00FA4AA8">
            <w:pPr>
              <w:pStyle w:val="TableParagraph"/>
              <w:rPr>
                <w:rFonts w:ascii="Times New Roman"/>
                <w:sz w:val="14"/>
              </w:rPr>
            </w:pPr>
          </w:p>
        </w:tc>
        <w:tc>
          <w:tcPr>
            <w:tcW w:w="1018" w:type="dxa"/>
          </w:tcPr>
          <w:p w14:paraId="5ACDA393" w14:textId="77777777" w:rsidR="00FA4AA8" w:rsidRDefault="0015611F">
            <w:pPr>
              <w:pStyle w:val="TableParagraph"/>
              <w:spacing w:line="179" w:lineRule="exact"/>
              <w:ind w:left="280"/>
              <w:rPr>
                <w:b/>
                <w:sz w:val="16"/>
              </w:rPr>
            </w:pPr>
            <w:r>
              <w:rPr>
                <w:b/>
                <w:sz w:val="16"/>
              </w:rPr>
              <w:t>2018</w:t>
            </w:r>
          </w:p>
        </w:tc>
        <w:tc>
          <w:tcPr>
            <w:tcW w:w="891" w:type="dxa"/>
          </w:tcPr>
          <w:p w14:paraId="1E0919BE" w14:textId="77777777" w:rsidR="00FA4AA8" w:rsidRDefault="0015611F">
            <w:pPr>
              <w:pStyle w:val="TableParagraph"/>
              <w:spacing w:line="179" w:lineRule="exact"/>
              <w:ind w:left="143"/>
              <w:rPr>
                <w:b/>
                <w:sz w:val="16"/>
              </w:rPr>
            </w:pPr>
            <w:r>
              <w:rPr>
                <w:b/>
                <w:sz w:val="16"/>
              </w:rPr>
              <w:t>2017</w:t>
            </w:r>
          </w:p>
        </w:tc>
        <w:tc>
          <w:tcPr>
            <w:tcW w:w="901" w:type="dxa"/>
          </w:tcPr>
          <w:p w14:paraId="5E2D519B" w14:textId="77777777" w:rsidR="00FA4AA8" w:rsidRDefault="0015611F">
            <w:pPr>
              <w:pStyle w:val="TableParagraph"/>
              <w:spacing w:line="179" w:lineRule="exact"/>
              <w:ind w:left="161"/>
              <w:rPr>
                <w:b/>
                <w:sz w:val="16"/>
              </w:rPr>
            </w:pPr>
            <w:r>
              <w:rPr>
                <w:b/>
                <w:sz w:val="16"/>
              </w:rPr>
              <w:t>2018</w:t>
            </w:r>
          </w:p>
        </w:tc>
        <w:tc>
          <w:tcPr>
            <w:tcW w:w="891" w:type="dxa"/>
          </w:tcPr>
          <w:p w14:paraId="0BA0A15F" w14:textId="77777777" w:rsidR="00FA4AA8" w:rsidRDefault="0015611F">
            <w:pPr>
              <w:pStyle w:val="TableParagraph"/>
              <w:spacing w:line="179" w:lineRule="exact"/>
              <w:ind w:left="141"/>
              <w:rPr>
                <w:b/>
                <w:sz w:val="16"/>
              </w:rPr>
            </w:pPr>
            <w:r>
              <w:rPr>
                <w:b/>
                <w:sz w:val="16"/>
              </w:rPr>
              <w:t>2017</w:t>
            </w:r>
          </w:p>
        </w:tc>
        <w:tc>
          <w:tcPr>
            <w:tcW w:w="901" w:type="dxa"/>
          </w:tcPr>
          <w:p w14:paraId="2C5B68DE" w14:textId="77777777" w:rsidR="00FA4AA8" w:rsidRDefault="0015611F">
            <w:pPr>
              <w:pStyle w:val="TableParagraph"/>
              <w:spacing w:line="179" w:lineRule="exact"/>
              <w:ind w:left="160"/>
              <w:rPr>
                <w:b/>
                <w:sz w:val="16"/>
              </w:rPr>
            </w:pPr>
            <w:r>
              <w:rPr>
                <w:b/>
                <w:sz w:val="16"/>
              </w:rPr>
              <w:t>2018</w:t>
            </w:r>
          </w:p>
        </w:tc>
        <w:tc>
          <w:tcPr>
            <w:tcW w:w="774" w:type="dxa"/>
          </w:tcPr>
          <w:p w14:paraId="49D2DEB2" w14:textId="77777777" w:rsidR="00FA4AA8" w:rsidRDefault="0015611F">
            <w:pPr>
              <w:pStyle w:val="TableParagraph"/>
              <w:spacing w:line="179" w:lineRule="exact"/>
              <w:ind w:left="140"/>
              <w:rPr>
                <w:b/>
                <w:sz w:val="16"/>
              </w:rPr>
            </w:pPr>
            <w:r>
              <w:rPr>
                <w:b/>
                <w:sz w:val="16"/>
              </w:rPr>
              <w:t>2017</w:t>
            </w:r>
          </w:p>
        </w:tc>
      </w:tr>
      <w:tr w:rsidR="00FA4AA8" w14:paraId="1D485278" w14:textId="77777777">
        <w:trPr>
          <w:trHeight w:val="248"/>
        </w:trPr>
        <w:tc>
          <w:tcPr>
            <w:tcW w:w="7492" w:type="dxa"/>
          </w:tcPr>
          <w:p w14:paraId="1C3DC964" w14:textId="77777777" w:rsidR="00FA4AA8" w:rsidRDefault="0015611F">
            <w:pPr>
              <w:pStyle w:val="TableParagraph"/>
              <w:spacing w:before="31"/>
              <w:ind w:left="88"/>
              <w:rPr>
                <w:b/>
                <w:sz w:val="16"/>
              </w:rPr>
            </w:pPr>
            <w:r>
              <w:rPr>
                <w:b/>
                <w:sz w:val="16"/>
              </w:rPr>
              <w:t>Parent Entity (University) Only</w:t>
            </w:r>
          </w:p>
        </w:tc>
        <w:tc>
          <w:tcPr>
            <w:tcW w:w="1640" w:type="dxa"/>
          </w:tcPr>
          <w:p w14:paraId="0963CEF5" w14:textId="77777777" w:rsidR="00FA4AA8" w:rsidRDefault="0015611F">
            <w:pPr>
              <w:pStyle w:val="TableParagraph"/>
              <w:spacing w:before="31"/>
              <w:ind w:left="1170" w:right="74"/>
              <w:jc w:val="center"/>
              <w:rPr>
                <w:b/>
                <w:sz w:val="16"/>
              </w:rPr>
            </w:pPr>
            <w:r>
              <w:rPr>
                <w:b/>
                <w:sz w:val="16"/>
              </w:rPr>
              <w:t>Note</w:t>
            </w:r>
          </w:p>
        </w:tc>
        <w:tc>
          <w:tcPr>
            <w:tcW w:w="1018" w:type="dxa"/>
          </w:tcPr>
          <w:p w14:paraId="5507475F" w14:textId="77777777" w:rsidR="00FA4AA8" w:rsidRDefault="0015611F">
            <w:pPr>
              <w:pStyle w:val="TableParagraph"/>
              <w:spacing w:before="31"/>
              <w:ind w:left="261"/>
              <w:rPr>
                <w:b/>
                <w:sz w:val="16"/>
              </w:rPr>
            </w:pPr>
            <w:r>
              <w:rPr>
                <w:b/>
                <w:sz w:val="16"/>
              </w:rPr>
              <w:t>$'000</w:t>
            </w:r>
          </w:p>
        </w:tc>
        <w:tc>
          <w:tcPr>
            <w:tcW w:w="891" w:type="dxa"/>
          </w:tcPr>
          <w:p w14:paraId="1349F476" w14:textId="77777777" w:rsidR="00FA4AA8" w:rsidRDefault="0015611F">
            <w:pPr>
              <w:pStyle w:val="TableParagraph"/>
              <w:spacing w:before="31"/>
              <w:ind w:left="124"/>
              <w:rPr>
                <w:b/>
                <w:sz w:val="16"/>
              </w:rPr>
            </w:pPr>
            <w:r>
              <w:rPr>
                <w:b/>
                <w:sz w:val="16"/>
              </w:rPr>
              <w:t>$'000</w:t>
            </w:r>
          </w:p>
        </w:tc>
        <w:tc>
          <w:tcPr>
            <w:tcW w:w="901" w:type="dxa"/>
          </w:tcPr>
          <w:p w14:paraId="17340A64" w14:textId="77777777" w:rsidR="00FA4AA8" w:rsidRDefault="0015611F">
            <w:pPr>
              <w:pStyle w:val="TableParagraph"/>
              <w:spacing w:before="31"/>
              <w:ind w:left="142"/>
              <w:rPr>
                <w:b/>
                <w:sz w:val="16"/>
              </w:rPr>
            </w:pPr>
            <w:r>
              <w:rPr>
                <w:b/>
                <w:sz w:val="16"/>
              </w:rPr>
              <w:t>$'000</w:t>
            </w:r>
          </w:p>
        </w:tc>
        <w:tc>
          <w:tcPr>
            <w:tcW w:w="891" w:type="dxa"/>
          </w:tcPr>
          <w:p w14:paraId="427F68A8" w14:textId="77777777" w:rsidR="00FA4AA8" w:rsidRDefault="0015611F">
            <w:pPr>
              <w:pStyle w:val="TableParagraph"/>
              <w:spacing w:before="31"/>
              <w:ind w:left="122"/>
              <w:rPr>
                <w:b/>
                <w:sz w:val="16"/>
              </w:rPr>
            </w:pPr>
            <w:r>
              <w:rPr>
                <w:b/>
                <w:sz w:val="16"/>
              </w:rPr>
              <w:t>$'000</w:t>
            </w:r>
          </w:p>
        </w:tc>
        <w:tc>
          <w:tcPr>
            <w:tcW w:w="901" w:type="dxa"/>
          </w:tcPr>
          <w:p w14:paraId="2CDED611" w14:textId="77777777" w:rsidR="00FA4AA8" w:rsidRDefault="0015611F">
            <w:pPr>
              <w:pStyle w:val="TableParagraph"/>
              <w:spacing w:before="31"/>
              <w:ind w:left="141"/>
              <w:rPr>
                <w:b/>
                <w:sz w:val="16"/>
              </w:rPr>
            </w:pPr>
            <w:r>
              <w:rPr>
                <w:b/>
                <w:sz w:val="16"/>
              </w:rPr>
              <w:t>$'000</w:t>
            </w:r>
          </w:p>
        </w:tc>
        <w:tc>
          <w:tcPr>
            <w:tcW w:w="774" w:type="dxa"/>
          </w:tcPr>
          <w:p w14:paraId="7BC70644" w14:textId="77777777" w:rsidR="00FA4AA8" w:rsidRDefault="0015611F">
            <w:pPr>
              <w:pStyle w:val="TableParagraph"/>
              <w:spacing w:before="31"/>
              <w:ind w:left="120"/>
              <w:rPr>
                <w:b/>
                <w:sz w:val="16"/>
              </w:rPr>
            </w:pPr>
            <w:r>
              <w:rPr>
                <w:b/>
                <w:sz w:val="16"/>
              </w:rPr>
              <w:t>$'000</w:t>
            </w:r>
          </w:p>
        </w:tc>
      </w:tr>
      <w:tr w:rsidR="00FA4AA8" w14:paraId="356A1DA0" w14:textId="77777777">
        <w:trPr>
          <w:trHeight w:val="421"/>
        </w:trPr>
        <w:tc>
          <w:tcPr>
            <w:tcW w:w="7492" w:type="dxa"/>
          </w:tcPr>
          <w:p w14:paraId="7A90917E" w14:textId="77777777" w:rsidR="00FA4AA8" w:rsidRDefault="0015611F">
            <w:pPr>
              <w:pStyle w:val="TableParagraph"/>
              <w:spacing w:before="28"/>
              <w:ind w:left="88" w:right="2016"/>
              <w:rPr>
                <w:sz w:val="16"/>
              </w:rPr>
            </w:pPr>
            <w:r>
              <w:rPr>
                <w:sz w:val="16"/>
              </w:rPr>
              <w:t>Financial assistance received in CASH during the reporting period (total cash received from the Australian Government for the program)</w:t>
            </w:r>
          </w:p>
        </w:tc>
        <w:tc>
          <w:tcPr>
            <w:tcW w:w="1640" w:type="dxa"/>
          </w:tcPr>
          <w:p w14:paraId="172A8F0E" w14:textId="77777777" w:rsidR="00FA4AA8" w:rsidRDefault="00FA4AA8">
            <w:pPr>
              <w:pStyle w:val="TableParagraph"/>
              <w:rPr>
                <w:rFonts w:ascii="Times New Roman"/>
                <w:sz w:val="16"/>
              </w:rPr>
            </w:pPr>
          </w:p>
        </w:tc>
        <w:tc>
          <w:tcPr>
            <w:tcW w:w="1018" w:type="dxa"/>
            <w:tcBorders>
              <w:bottom w:val="single" w:sz="8" w:space="0" w:color="000000"/>
            </w:tcBorders>
          </w:tcPr>
          <w:p w14:paraId="56BEBE5D" w14:textId="77777777" w:rsidR="00FA4AA8" w:rsidRDefault="00FA4AA8">
            <w:pPr>
              <w:pStyle w:val="TableParagraph"/>
              <w:spacing w:before="3"/>
              <w:rPr>
                <w:b/>
                <w:sz w:val="18"/>
              </w:rPr>
            </w:pPr>
          </w:p>
          <w:p w14:paraId="6E99CB0D" w14:textId="77777777" w:rsidR="00FA4AA8" w:rsidRDefault="0015611F">
            <w:pPr>
              <w:pStyle w:val="TableParagraph"/>
              <w:ind w:right="176"/>
              <w:jc w:val="right"/>
              <w:rPr>
                <w:b/>
                <w:sz w:val="16"/>
              </w:rPr>
            </w:pPr>
            <w:r>
              <w:rPr>
                <w:b/>
                <w:sz w:val="16"/>
              </w:rPr>
              <w:t>10,869</w:t>
            </w:r>
          </w:p>
        </w:tc>
        <w:tc>
          <w:tcPr>
            <w:tcW w:w="891" w:type="dxa"/>
            <w:tcBorders>
              <w:bottom w:val="single" w:sz="8" w:space="0" w:color="000000"/>
            </w:tcBorders>
          </w:tcPr>
          <w:p w14:paraId="1D0FA6B0" w14:textId="77777777" w:rsidR="00FA4AA8" w:rsidRDefault="00FA4AA8">
            <w:pPr>
              <w:pStyle w:val="TableParagraph"/>
              <w:spacing w:before="3"/>
              <w:rPr>
                <w:b/>
                <w:sz w:val="18"/>
              </w:rPr>
            </w:pPr>
          </w:p>
          <w:p w14:paraId="7C7A763D" w14:textId="77777777" w:rsidR="00FA4AA8" w:rsidRDefault="0015611F">
            <w:pPr>
              <w:pStyle w:val="TableParagraph"/>
              <w:ind w:left="203"/>
              <w:rPr>
                <w:sz w:val="16"/>
              </w:rPr>
            </w:pPr>
            <w:r>
              <w:rPr>
                <w:sz w:val="16"/>
              </w:rPr>
              <w:t>10,632</w:t>
            </w:r>
          </w:p>
        </w:tc>
        <w:tc>
          <w:tcPr>
            <w:tcW w:w="901" w:type="dxa"/>
            <w:tcBorders>
              <w:bottom w:val="single" w:sz="8" w:space="0" w:color="000000"/>
            </w:tcBorders>
          </w:tcPr>
          <w:p w14:paraId="01170D3B" w14:textId="77777777" w:rsidR="00FA4AA8" w:rsidRDefault="00FA4AA8">
            <w:pPr>
              <w:pStyle w:val="TableParagraph"/>
              <w:spacing w:before="3"/>
              <w:rPr>
                <w:b/>
                <w:sz w:val="18"/>
              </w:rPr>
            </w:pPr>
          </w:p>
          <w:p w14:paraId="6C6348B4" w14:textId="77777777" w:rsidR="00FA4AA8" w:rsidRDefault="0015611F">
            <w:pPr>
              <w:pStyle w:val="TableParagraph"/>
              <w:ind w:left="320"/>
              <w:rPr>
                <w:b/>
                <w:sz w:val="16"/>
              </w:rPr>
            </w:pPr>
            <w:r>
              <w:rPr>
                <w:b/>
                <w:sz w:val="16"/>
              </w:rPr>
              <w:t>7,493</w:t>
            </w:r>
          </w:p>
        </w:tc>
        <w:tc>
          <w:tcPr>
            <w:tcW w:w="891" w:type="dxa"/>
            <w:tcBorders>
              <w:bottom w:val="single" w:sz="8" w:space="0" w:color="000000"/>
            </w:tcBorders>
          </w:tcPr>
          <w:p w14:paraId="37E90B0B" w14:textId="77777777" w:rsidR="00FA4AA8" w:rsidRDefault="00FA4AA8">
            <w:pPr>
              <w:pStyle w:val="TableParagraph"/>
              <w:spacing w:before="3"/>
              <w:rPr>
                <w:b/>
                <w:sz w:val="18"/>
              </w:rPr>
            </w:pPr>
          </w:p>
          <w:p w14:paraId="0259685C" w14:textId="77777777" w:rsidR="00FA4AA8" w:rsidRDefault="0015611F">
            <w:pPr>
              <w:pStyle w:val="TableParagraph"/>
              <w:ind w:left="290"/>
              <w:rPr>
                <w:sz w:val="16"/>
              </w:rPr>
            </w:pPr>
            <w:r>
              <w:rPr>
                <w:sz w:val="16"/>
              </w:rPr>
              <w:t>7,623</w:t>
            </w:r>
          </w:p>
        </w:tc>
        <w:tc>
          <w:tcPr>
            <w:tcW w:w="901" w:type="dxa"/>
            <w:tcBorders>
              <w:bottom w:val="single" w:sz="8" w:space="0" w:color="000000"/>
            </w:tcBorders>
          </w:tcPr>
          <w:p w14:paraId="3B055036" w14:textId="77777777" w:rsidR="00FA4AA8" w:rsidRDefault="00FA4AA8">
            <w:pPr>
              <w:pStyle w:val="TableParagraph"/>
              <w:spacing w:before="3"/>
              <w:rPr>
                <w:b/>
                <w:sz w:val="18"/>
              </w:rPr>
            </w:pPr>
          </w:p>
          <w:p w14:paraId="55E309B3" w14:textId="77777777" w:rsidR="00FA4AA8" w:rsidRDefault="0015611F">
            <w:pPr>
              <w:pStyle w:val="TableParagraph"/>
              <w:ind w:right="179"/>
              <w:jc w:val="right"/>
              <w:rPr>
                <w:b/>
                <w:sz w:val="16"/>
              </w:rPr>
            </w:pPr>
            <w:r>
              <w:rPr>
                <w:b/>
                <w:sz w:val="16"/>
              </w:rPr>
              <w:t>18,362</w:t>
            </w:r>
          </w:p>
        </w:tc>
        <w:tc>
          <w:tcPr>
            <w:tcW w:w="774" w:type="dxa"/>
            <w:tcBorders>
              <w:bottom w:val="single" w:sz="8" w:space="0" w:color="000000"/>
            </w:tcBorders>
          </w:tcPr>
          <w:p w14:paraId="01F7FFF5" w14:textId="77777777" w:rsidR="00FA4AA8" w:rsidRDefault="00FA4AA8">
            <w:pPr>
              <w:pStyle w:val="TableParagraph"/>
              <w:spacing w:before="3"/>
              <w:rPr>
                <w:b/>
                <w:sz w:val="18"/>
              </w:rPr>
            </w:pPr>
          </w:p>
          <w:p w14:paraId="22230B02" w14:textId="77777777" w:rsidR="00FA4AA8" w:rsidRDefault="0015611F">
            <w:pPr>
              <w:pStyle w:val="TableParagraph"/>
              <w:ind w:right="82"/>
              <w:jc w:val="right"/>
              <w:rPr>
                <w:sz w:val="16"/>
              </w:rPr>
            </w:pPr>
            <w:r>
              <w:rPr>
                <w:sz w:val="16"/>
              </w:rPr>
              <w:t>18,255</w:t>
            </w:r>
          </w:p>
        </w:tc>
      </w:tr>
      <w:tr w:rsidR="00FA4AA8" w14:paraId="3AA0AE04" w14:textId="77777777">
        <w:trPr>
          <w:trHeight w:val="241"/>
        </w:trPr>
        <w:tc>
          <w:tcPr>
            <w:tcW w:w="7492" w:type="dxa"/>
          </w:tcPr>
          <w:p w14:paraId="42FF620F" w14:textId="77777777" w:rsidR="00FA4AA8" w:rsidRDefault="0015611F">
            <w:pPr>
              <w:pStyle w:val="TableParagraph"/>
              <w:spacing w:before="33"/>
              <w:ind w:left="88"/>
              <w:rPr>
                <w:sz w:val="16"/>
              </w:rPr>
            </w:pPr>
            <w:bookmarkStart w:id="88" w:name="Total_Higher_Education_Provider_Research"/>
            <w:bookmarkEnd w:id="88"/>
            <w:r>
              <w:rPr>
                <w:sz w:val="16"/>
              </w:rPr>
              <w:t>Revenue for the period</w:t>
            </w:r>
          </w:p>
        </w:tc>
        <w:tc>
          <w:tcPr>
            <w:tcW w:w="1640" w:type="dxa"/>
          </w:tcPr>
          <w:p w14:paraId="5A61B89B" w14:textId="77777777" w:rsidR="00FA4AA8" w:rsidRDefault="00FA4AA8">
            <w:pPr>
              <w:pStyle w:val="TableParagraph"/>
              <w:rPr>
                <w:rFonts w:ascii="Times New Roman"/>
                <w:sz w:val="16"/>
              </w:rPr>
            </w:pPr>
          </w:p>
        </w:tc>
        <w:tc>
          <w:tcPr>
            <w:tcW w:w="1018" w:type="dxa"/>
            <w:tcBorders>
              <w:top w:val="single" w:sz="8" w:space="0" w:color="000000"/>
              <w:bottom w:val="single" w:sz="8" w:space="0" w:color="000000"/>
            </w:tcBorders>
          </w:tcPr>
          <w:p w14:paraId="71F4065F" w14:textId="77777777" w:rsidR="00FA4AA8" w:rsidRDefault="0015611F">
            <w:pPr>
              <w:pStyle w:val="TableParagraph"/>
              <w:spacing w:before="30"/>
              <w:ind w:right="176"/>
              <w:jc w:val="right"/>
              <w:rPr>
                <w:b/>
                <w:sz w:val="16"/>
              </w:rPr>
            </w:pPr>
            <w:r>
              <w:rPr>
                <w:b/>
                <w:sz w:val="16"/>
              </w:rPr>
              <w:t>10,869</w:t>
            </w:r>
          </w:p>
        </w:tc>
        <w:tc>
          <w:tcPr>
            <w:tcW w:w="891" w:type="dxa"/>
            <w:tcBorders>
              <w:top w:val="single" w:sz="8" w:space="0" w:color="000000"/>
              <w:bottom w:val="single" w:sz="8" w:space="0" w:color="000000"/>
            </w:tcBorders>
          </w:tcPr>
          <w:p w14:paraId="39A55237" w14:textId="77777777" w:rsidR="00FA4AA8" w:rsidRDefault="0015611F">
            <w:pPr>
              <w:pStyle w:val="TableParagraph"/>
              <w:spacing w:before="30"/>
              <w:ind w:left="203"/>
              <w:rPr>
                <w:sz w:val="16"/>
              </w:rPr>
            </w:pPr>
            <w:r>
              <w:rPr>
                <w:sz w:val="16"/>
              </w:rPr>
              <w:t>10,632</w:t>
            </w:r>
          </w:p>
        </w:tc>
        <w:tc>
          <w:tcPr>
            <w:tcW w:w="901" w:type="dxa"/>
            <w:tcBorders>
              <w:top w:val="single" w:sz="8" w:space="0" w:color="000000"/>
              <w:bottom w:val="single" w:sz="8" w:space="0" w:color="000000"/>
            </w:tcBorders>
          </w:tcPr>
          <w:p w14:paraId="164FCA72" w14:textId="77777777" w:rsidR="00FA4AA8" w:rsidRDefault="0015611F">
            <w:pPr>
              <w:pStyle w:val="TableParagraph"/>
              <w:spacing w:before="30"/>
              <w:ind w:left="320"/>
              <w:rPr>
                <w:b/>
                <w:sz w:val="16"/>
              </w:rPr>
            </w:pPr>
            <w:r>
              <w:rPr>
                <w:b/>
                <w:sz w:val="16"/>
              </w:rPr>
              <w:t>7,493</w:t>
            </w:r>
          </w:p>
        </w:tc>
        <w:tc>
          <w:tcPr>
            <w:tcW w:w="891" w:type="dxa"/>
            <w:tcBorders>
              <w:top w:val="single" w:sz="8" w:space="0" w:color="000000"/>
              <w:bottom w:val="single" w:sz="8" w:space="0" w:color="000000"/>
            </w:tcBorders>
          </w:tcPr>
          <w:p w14:paraId="0E162F50" w14:textId="77777777" w:rsidR="00FA4AA8" w:rsidRDefault="0015611F">
            <w:pPr>
              <w:pStyle w:val="TableParagraph"/>
              <w:spacing w:before="30"/>
              <w:ind w:left="290"/>
              <w:rPr>
                <w:sz w:val="16"/>
              </w:rPr>
            </w:pPr>
            <w:r>
              <w:rPr>
                <w:sz w:val="16"/>
              </w:rPr>
              <w:t>7,623</w:t>
            </w:r>
          </w:p>
        </w:tc>
        <w:tc>
          <w:tcPr>
            <w:tcW w:w="901" w:type="dxa"/>
            <w:tcBorders>
              <w:top w:val="single" w:sz="8" w:space="0" w:color="000000"/>
              <w:bottom w:val="single" w:sz="8" w:space="0" w:color="000000"/>
            </w:tcBorders>
          </w:tcPr>
          <w:p w14:paraId="0421D6E0" w14:textId="77777777" w:rsidR="00FA4AA8" w:rsidRDefault="0015611F">
            <w:pPr>
              <w:pStyle w:val="TableParagraph"/>
              <w:spacing w:before="30"/>
              <w:ind w:right="179"/>
              <w:jc w:val="right"/>
              <w:rPr>
                <w:b/>
                <w:sz w:val="16"/>
              </w:rPr>
            </w:pPr>
            <w:r>
              <w:rPr>
                <w:b/>
                <w:sz w:val="16"/>
              </w:rPr>
              <w:t>18,362</w:t>
            </w:r>
          </w:p>
        </w:tc>
        <w:tc>
          <w:tcPr>
            <w:tcW w:w="774" w:type="dxa"/>
            <w:tcBorders>
              <w:top w:val="single" w:sz="8" w:space="0" w:color="000000"/>
              <w:bottom w:val="single" w:sz="8" w:space="0" w:color="000000"/>
            </w:tcBorders>
          </w:tcPr>
          <w:p w14:paraId="213CF571" w14:textId="77777777" w:rsidR="00FA4AA8" w:rsidRDefault="0015611F">
            <w:pPr>
              <w:pStyle w:val="TableParagraph"/>
              <w:spacing w:before="30"/>
              <w:ind w:right="82"/>
              <w:jc w:val="right"/>
              <w:rPr>
                <w:sz w:val="16"/>
              </w:rPr>
            </w:pPr>
            <w:r>
              <w:rPr>
                <w:sz w:val="16"/>
              </w:rPr>
              <w:t>18,255</w:t>
            </w:r>
          </w:p>
        </w:tc>
      </w:tr>
      <w:tr w:rsidR="00FA4AA8" w14:paraId="06E72828" w14:textId="77777777">
        <w:trPr>
          <w:trHeight w:val="247"/>
        </w:trPr>
        <w:tc>
          <w:tcPr>
            <w:tcW w:w="7492" w:type="dxa"/>
          </w:tcPr>
          <w:p w14:paraId="4140B19C" w14:textId="77777777" w:rsidR="00FA4AA8" w:rsidRDefault="0015611F">
            <w:pPr>
              <w:pStyle w:val="TableParagraph"/>
              <w:spacing w:before="33"/>
              <w:ind w:left="88"/>
              <w:rPr>
                <w:sz w:val="16"/>
              </w:rPr>
            </w:pPr>
            <w:r>
              <w:rPr>
                <w:sz w:val="16"/>
              </w:rPr>
              <w:t>Total revenue including accrued revenue</w:t>
            </w:r>
          </w:p>
        </w:tc>
        <w:tc>
          <w:tcPr>
            <w:tcW w:w="1640" w:type="dxa"/>
          </w:tcPr>
          <w:p w14:paraId="69EA858F" w14:textId="77777777" w:rsidR="00FA4AA8" w:rsidRDefault="0015611F">
            <w:pPr>
              <w:pStyle w:val="TableParagraph"/>
              <w:spacing w:before="28"/>
              <w:ind w:left="1099"/>
              <w:jc w:val="center"/>
              <w:rPr>
                <w:sz w:val="16"/>
              </w:rPr>
            </w:pPr>
            <w:r>
              <w:rPr>
                <w:sz w:val="16"/>
              </w:rPr>
              <w:t>2</w:t>
            </w:r>
          </w:p>
        </w:tc>
        <w:tc>
          <w:tcPr>
            <w:tcW w:w="1018" w:type="dxa"/>
            <w:tcBorders>
              <w:top w:val="single" w:sz="8" w:space="0" w:color="000000"/>
            </w:tcBorders>
          </w:tcPr>
          <w:p w14:paraId="6512C19F" w14:textId="77777777" w:rsidR="00FA4AA8" w:rsidRDefault="0015611F">
            <w:pPr>
              <w:pStyle w:val="TableParagraph"/>
              <w:spacing w:before="30"/>
              <w:ind w:right="176"/>
              <w:jc w:val="right"/>
              <w:rPr>
                <w:b/>
                <w:sz w:val="16"/>
              </w:rPr>
            </w:pPr>
            <w:r>
              <w:rPr>
                <w:b/>
                <w:sz w:val="16"/>
              </w:rPr>
              <w:t>10,869</w:t>
            </w:r>
          </w:p>
        </w:tc>
        <w:tc>
          <w:tcPr>
            <w:tcW w:w="891" w:type="dxa"/>
            <w:tcBorders>
              <w:top w:val="single" w:sz="8" w:space="0" w:color="000000"/>
            </w:tcBorders>
          </w:tcPr>
          <w:p w14:paraId="1B9AE893" w14:textId="77777777" w:rsidR="00FA4AA8" w:rsidRDefault="0015611F">
            <w:pPr>
              <w:pStyle w:val="TableParagraph"/>
              <w:spacing w:before="30"/>
              <w:ind w:left="203"/>
              <w:rPr>
                <w:sz w:val="16"/>
              </w:rPr>
            </w:pPr>
            <w:r>
              <w:rPr>
                <w:sz w:val="16"/>
              </w:rPr>
              <w:t>10,632</w:t>
            </w:r>
          </w:p>
        </w:tc>
        <w:tc>
          <w:tcPr>
            <w:tcW w:w="901" w:type="dxa"/>
            <w:tcBorders>
              <w:top w:val="single" w:sz="8" w:space="0" w:color="000000"/>
            </w:tcBorders>
          </w:tcPr>
          <w:p w14:paraId="20D913E4" w14:textId="77777777" w:rsidR="00FA4AA8" w:rsidRDefault="0015611F">
            <w:pPr>
              <w:pStyle w:val="TableParagraph"/>
              <w:spacing w:before="30"/>
              <w:ind w:left="320"/>
              <w:rPr>
                <w:b/>
                <w:sz w:val="16"/>
              </w:rPr>
            </w:pPr>
            <w:r>
              <w:rPr>
                <w:b/>
                <w:sz w:val="16"/>
              </w:rPr>
              <w:t>7,493</w:t>
            </w:r>
          </w:p>
        </w:tc>
        <w:tc>
          <w:tcPr>
            <w:tcW w:w="891" w:type="dxa"/>
            <w:tcBorders>
              <w:top w:val="single" w:sz="8" w:space="0" w:color="000000"/>
            </w:tcBorders>
          </w:tcPr>
          <w:p w14:paraId="42DCC60E" w14:textId="77777777" w:rsidR="00FA4AA8" w:rsidRDefault="0015611F">
            <w:pPr>
              <w:pStyle w:val="TableParagraph"/>
              <w:spacing w:before="30"/>
              <w:ind w:left="290"/>
              <w:rPr>
                <w:sz w:val="16"/>
              </w:rPr>
            </w:pPr>
            <w:r>
              <w:rPr>
                <w:sz w:val="16"/>
              </w:rPr>
              <w:t>7,623</w:t>
            </w:r>
          </w:p>
        </w:tc>
        <w:tc>
          <w:tcPr>
            <w:tcW w:w="901" w:type="dxa"/>
            <w:tcBorders>
              <w:top w:val="single" w:sz="8" w:space="0" w:color="000000"/>
            </w:tcBorders>
          </w:tcPr>
          <w:p w14:paraId="2AA6D1B7" w14:textId="77777777" w:rsidR="00FA4AA8" w:rsidRDefault="0015611F">
            <w:pPr>
              <w:pStyle w:val="TableParagraph"/>
              <w:spacing w:before="30"/>
              <w:ind w:right="179"/>
              <w:jc w:val="right"/>
              <w:rPr>
                <w:b/>
                <w:sz w:val="16"/>
              </w:rPr>
            </w:pPr>
            <w:r>
              <w:rPr>
                <w:b/>
                <w:sz w:val="16"/>
              </w:rPr>
              <w:t>18,362</w:t>
            </w:r>
          </w:p>
        </w:tc>
        <w:tc>
          <w:tcPr>
            <w:tcW w:w="774" w:type="dxa"/>
            <w:tcBorders>
              <w:top w:val="single" w:sz="8" w:space="0" w:color="000000"/>
            </w:tcBorders>
          </w:tcPr>
          <w:p w14:paraId="5CC83005" w14:textId="77777777" w:rsidR="00FA4AA8" w:rsidRDefault="0015611F">
            <w:pPr>
              <w:pStyle w:val="TableParagraph"/>
              <w:spacing w:before="30"/>
              <w:ind w:right="82"/>
              <w:jc w:val="right"/>
              <w:rPr>
                <w:sz w:val="16"/>
              </w:rPr>
            </w:pPr>
            <w:r>
              <w:rPr>
                <w:sz w:val="16"/>
              </w:rPr>
              <w:t>18,255</w:t>
            </w:r>
          </w:p>
        </w:tc>
      </w:tr>
      <w:tr w:rsidR="00FA4AA8" w14:paraId="4D53E133" w14:textId="77777777">
        <w:trPr>
          <w:trHeight w:val="236"/>
        </w:trPr>
        <w:tc>
          <w:tcPr>
            <w:tcW w:w="7492" w:type="dxa"/>
          </w:tcPr>
          <w:p w14:paraId="6CFC2F11" w14:textId="77777777" w:rsidR="00FA4AA8" w:rsidRDefault="0015611F">
            <w:pPr>
              <w:pStyle w:val="TableParagraph"/>
              <w:spacing w:before="28"/>
              <w:ind w:left="88"/>
              <w:rPr>
                <w:sz w:val="16"/>
              </w:rPr>
            </w:pPr>
            <w:r>
              <w:rPr>
                <w:sz w:val="16"/>
              </w:rPr>
              <w:t>Less expenses including accrued expenses</w:t>
            </w:r>
          </w:p>
        </w:tc>
        <w:tc>
          <w:tcPr>
            <w:tcW w:w="1640" w:type="dxa"/>
          </w:tcPr>
          <w:p w14:paraId="21A68348" w14:textId="77777777" w:rsidR="00FA4AA8" w:rsidRDefault="00FA4AA8">
            <w:pPr>
              <w:pStyle w:val="TableParagraph"/>
              <w:rPr>
                <w:rFonts w:ascii="Times New Roman"/>
                <w:sz w:val="16"/>
              </w:rPr>
            </w:pPr>
          </w:p>
        </w:tc>
        <w:tc>
          <w:tcPr>
            <w:tcW w:w="1018" w:type="dxa"/>
            <w:tcBorders>
              <w:bottom w:val="single" w:sz="8" w:space="0" w:color="000000"/>
            </w:tcBorders>
          </w:tcPr>
          <w:p w14:paraId="0C072E69" w14:textId="77777777" w:rsidR="00FA4AA8" w:rsidRDefault="0015611F">
            <w:pPr>
              <w:pStyle w:val="TableParagraph"/>
              <w:spacing w:before="25"/>
              <w:ind w:right="123"/>
              <w:jc w:val="right"/>
              <w:rPr>
                <w:b/>
                <w:sz w:val="16"/>
              </w:rPr>
            </w:pPr>
            <w:r>
              <w:rPr>
                <w:b/>
                <w:sz w:val="16"/>
              </w:rPr>
              <w:t>(10,869)</w:t>
            </w:r>
          </w:p>
        </w:tc>
        <w:tc>
          <w:tcPr>
            <w:tcW w:w="891" w:type="dxa"/>
            <w:tcBorders>
              <w:bottom w:val="single" w:sz="8" w:space="0" w:color="000000"/>
            </w:tcBorders>
          </w:tcPr>
          <w:p w14:paraId="0A8C300A" w14:textId="77777777" w:rsidR="00FA4AA8" w:rsidRDefault="0015611F">
            <w:pPr>
              <w:pStyle w:val="TableParagraph"/>
              <w:spacing w:before="25"/>
              <w:ind w:right="143"/>
              <w:jc w:val="right"/>
              <w:rPr>
                <w:sz w:val="16"/>
              </w:rPr>
            </w:pPr>
            <w:r>
              <w:rPr>
                <w:sz w:val="16"/>
              </w:rPr>
              <w:t>(10,632)</w:t>
            </w:r>
          </w:p>
        </w:tc>
        <w:tc>
          <w:tcPr>
            <w:tcW w:w="901" w:type="dxa"/>
            <w:tcBorders>
              <w:bottom w:val="single" w:sz="8" w:space="0" w:color="000000"/>
            </w:tcBorders>
          </w:tcPr>
          <w:p w14:paraId="3F1BA475" w14:textId="77777777" w:rsidR="00FA4AA8" w:rsidRDefault="0015611F">
            <w:pPr>
              <w:pStyle w:val="TableParagraph"/>
              <w:spacing w:before="25"/>
              <w:ind w:right="124"/>
              <w:jc w:val="right"/>
              <w:rPr>
                <w:b/>
                <w:sz w:val="16"/>
              </w:rPr>
            </w:pPr>
            <w:r>
              <w:rPr>
                <w:b/>
                <w:sz w:val="16"/>
              </w:rPr>
              <w:t>(7,493)</w:t>
            </w:r>
          </w:p>
        </w:tc>
        <w:tc>
          <w:tcPr>
            <w:tcW w:w="891" w:type="dxa"/>
            <w:tcBorders>
              <w:bottom w:val="single" w:sz="8" w:space="0" w:color="000000"/>
            </w:tcBorders>
          </w:tcPr>
          <w:p w14:paraId="2280F885" w14:textId="77777777" w:rsidR="00FA4AA8" w:rsidRDefault="0015611F">
            <w:pPr>
              <w:pStyle w:val="TableParagraph"/>
              <w:spacing w:before="25"/>
              <w:ind w:right="144"/>
              <w:jc w:val="right"/>
              <w:rPr>
                <w:sz w:val="16"/>
              </w:rPr>
            </w:pPr>
            <w:r>
              <w:rPr>
                <w:sz w:val="16"/>
              </w:rPr>
              <w:t>(7,623)</w:t>
            </w:r>
          </w:p>
        </w:tc>
        <w:tc>
          <w:tcPr>
            <w:tcW w:w="901" w:type="dxa"/>
            <w:tcBorders>
              <w:bottom w:val="single" w:sz="8" w:space="0" w:color="000000"/>
            </w:tcBorders>
          </w:tcPr>
          <w:p w14:paraId="48CABBE4" w14:textId="77777777" w:rsidR="00FA4AA8" w:rsidRDefault="0015611F">
            <w:pPr>
              <w:pStyle w:val="TableParagraph"/>
              <w:spacing w:before="25"/>
              <w:ind w:right="126"/>
              <w:jc w:val="right"/>
              <w:rPr>
                <w:b/>
                <w:sz w:val="16"/>
              </w:rPr>
            </w:pPr>
            <w:r>
              <w:rPr>
                <w:b/>
                <w:sz w:val="16"/>
              </w:rPr>
              <w:t>(18,362)</w:t>
            </w:r>
          </w:p>
        </w:tc>
        <w:tc>
          <w:tcPr>
            <w:tcW w:w="774" w:type="dxa"/>
            <w:tcBorders>
              <w:bottom w:val="single" w:sz="8" w:space="0" w:color="000000"/>
            </w:tcBorders>
          </w:tcPr>
          <w:p w14:paraId="2496EECC" w14:textId="77777777" w:rsidR="00FA4AA8" w:rsidRDefault="0015611F">
            <w:pPr>
              <w:pStyle w:val="TableParagraph"/>
              <w:spacing w:before="25"/>
              <w:ind w:left="147"/>
              <w:rPr>
                <w:sz w:val="16"/>
              </w:rPr>
            </w:pPr>
            <w:r>
              <w:rPr>
                <w:sz w:val="16"/>
              </w:rPr>
              <w:t>(18,255)</w:t>
            </w:r>
          </w:p>
        </w:tc>
      </w:tr>
      <w:tr w:rsidR="00FA4AA8" w14:paraId="314B608F" w14:textId="77777777">
        <w:trPr>
          <w:trHeight w:val="298"/>
        </w:trPr>
        <w:tc>
          <w:tcPr>
            <w:tcW w:w="7492" w:type="dxa"/>
          </w:tcPr>
          <w:p w14:paraId="25F33A3F" w14:textId="77777777" w:rsidR="00FA4AA8" w:rsidRDefault="0015611F">
            <w:pPr>
              <w:pStyle w:val="TableParagraph"/>
              <w:spacing w:before="88"/>
              <w:ind w:left="88"/>
              <w:rPr>
                <w:sz w:val="16"/>
              </w:rPr>
            </w:pPr>
            <w:r>
              <w:rPr>
                <w:sz w:val="16"/>
              </w:rPr>
              <w:t>Surplus/(deficit) for reporting period</w:t>
            </w:r>
          </w:p>
        </w:tc>
        <w:tc>
          <w:tcPr>
            <w:tcW w:w="1640" w:type="dxa"/>
          </w:tcPr>
          <w:p w14:paraId="7F0E38C2" w14:textId="77777777" w:rsidR="00FA4AA8" w:rsidRDefault="00FA4AA8">
            <w:pPr>
              <w:pStyle w:val="TableParagraph"/>
              <w:rPr>
                <w:rFonts w:ascii="Times New Roman"/>
                <w:sz w:val="16"/>
              </w:rPr>
            </w:pPr>
          </w:p>
        </w:tc>
        <w:tc>
          <w:tcPr>
            <w:tcW w:w="1018" w:type="dxa"/>
            <w:tcBorders>
              <w:top w:val="single" w:sz="8" w:space="0" w:color="000000"/>
              <w:bottom w:val="double" w:sz="2" w:space="0" w:color="000000"/>
            </w:tcBorders>
          </w:tcPr>
          <w:p w14:paraId="5FA45B51" w14:textId="77777777" w:rsidR="00FA4AA8" w:rsidRDefault="0015611F">
            <w:pPr>
              <w:pStyle w:val="TableParagraph"/>
              <w:spacing w:before="86"/>
              <w:ind w:right="175"/>
              <w:jc w:val="right"/>
              <w:rPr>
                <w:b/>
                <w:sz w:val="16"/>
              </w:rPr>
            </w:pPr>
            <w:r>
              <w:rPr>
                <w:b/>
                <w:sz w:val="16"/>
              </w:rPr>
              <w:t>-</w:t>
            </w:r>
          </w:p>
        </w:tc>
        <w:tc>
          <w:tcPr>
            <w:tcW w:w="891" w:type="dxa"/>
            <w:tcBorders>
              <w:top w:val="single" w:sz="8" w:space="0" w:color="000000"/>
              <w:bottom w:val="double" w:sz="2" w:space="0" w:color="000000"/>
            </w:tcBorders>
          </w:tcPr>
          <w:p w14:paraId="3F50218B" w14:textId="77777777" w:rsidR="00FA4AA8" w:rsidRDefault="0015611F">
            <w:pPr>
              <w:pStyle w:val="TableParagraph"/>
              <w:spacing w:before="86"/>
              <w:ind w:right="195"/>
              <w:jc w:val="right"/>
              <w:rPr>
                <w:sz w:val="16"/>
              </w:rPr>
            </w:pPr>
            <w:r>
              <w:rPr>
                <w:sz w:val="16"/>
              </w:rPr>
              <w:t>-</w:t>
            </w:r>
          </w:p>
        </w:tc>
        <w:tc>
          <w:tcPr>
            <w:tcW w:w="901" w:type="dxa"/>
            <w:tcBorders>
              <w:top w:val="single" w:sz="8" w:space="0" w:color="000000"/>
              <w:bottom w:val="double" w:sz="2" w:space="0" w:color="000000"/>
            </w:tcBorders>
          </w:tcPr>
          <w:p w14:paraId="0023B9A7" w14:textId="77777777" w:rsidR="00FA4AA8" w:rsidRDefault="0015611F">
            <w:pPr>
              <w:pStyle w:val="TableParagraph"/>
              <w:spacing w:before="114" w:line="164" w:lineRule="exact"/>
              <w:ind w:right="177"/>
              <w:jc w:val="right"/>
              <w:rPr>
                <w:b/>
                <w:sz w:val="16"/>
              </w:rPr>
            </w:pPr>
            <w:r>
              <w:rPr>
                <w:b/>
                <w:sz w:val="16"/>
              </w:rPr>
              <w:t>-</w:t>
            </w:r>
          </w:p>
        </w:tc>
        <w:tc>
          <w:tcPr>
            <w:tcW w:w="891" w:type="dxa"/>
            <w:tcBorders>
              <w:top w:val="single" w:sz="8" w:space="0" w:color="000000"/>
              <w:bottom w:val="double" w:sz="2" w:space="0" w:color="000000"/>
            </w:tcBorders>
          </w:tcPr>
          <w:p w14:paraId="7595DB36" w14:textId="77777777" w:rsidR="00FA4AA8" w:rsidRDefault="0015611F">
            <w:pPr>
              <w:pStyle w:val="TableParagraph"/>
              <w:spacing w:before="86"/>
              <w:ind w:right="197"/>
              <w:jc w:val="right"/>
              <w:rPr>
                <w:sz w:val="16"/>
              </w:rPr>
            </w:pPr>
            <w:r>
              <w:rPr>
                <w:sz w:val="16"/>
              </w:rPr>
              <w:t>-</w:t>
            </w:r>
          </w:p>
        </w:tc>
        <w:tc>
          <w:tcPr>
            <w:tcW w:w="901" w:type="dxa"/>
            <w:tcBorders>
              <w:top w:val="single" w:sz="8" w:space="0" w:color="000000"/>
              <w:bottom w:val="double" w:sz="2" w:space="0" w:color="000000"/>
            </w:tcBorders>
          </w:tcPr>
          <w:p w14:paraId="11079285" w14:textId="77777777" w:rsidR="00FA4AA8" w:rsidRDefault="0015611F">
            <w:pPr>
              <w:pStyle w:val="TableParagraph"/>
              <w:spacing w:before="86"/>
              <w:ind w:right="178"/>
              <w:jc w:val="right"/>
              <w:rPr>
                <w:b/>
                <w:sz w:val="16"/>
              </w:rPr>
            </w:pPr>
            <w:r>
              <w:rPr>
                <w:b/>
                <w:sz w:val="16"/>
              </w:rPr>
              <w:t>-</w:t>
            </w:r>
          </w:p>
        </w:tc>
        <w:tc>
          <w:tcPr>
            <w:tcW w:w="774" w:type="dxa"/>
            <w:tcBorders>
              <w:top w:val="single" w:sz="8" w:space="0" w:color="000000"/>
              <w:bottom w:val="double" w:sz="2" w:space="0" w:color="000000"/>
            </w:tcBorders>
          </w:tcPr>
          <w:p w14:paraId="6A8CA964" w14:textId="77777777" w:rsidR="00FA4AA8" w:rsidRDefault="0015611F">
            <w:pPr>
              <w:pStyle w:val="TableParagraph"/>
              <w:spacing w:before="86"/>
              <w:ind w:right="81"/>
              <w:jc w:val="right"/>
              <w:rPr>
                <w:sz w:val="16"/>
              </w:rPr>
            </w:pPr>
            <w:r>
              <w:rPr>
                <w:sz w:val="16"/>
              </w:rPr>
              <w:t>-</w:t>
            </w:r>
          </w:p>
        </w:tc>
      </w:tr>
      <w:tr w:rsidR="00FA4AA8" w14:paraId="647DECD1" w14:textId="77777777">
        <w:trPr>
          <w:trHeight w:val="518"/>
        </w:trPr>
        <w:tc>
          <w:tcPr>
            <w:tcW w:w="7492" w:type="dxa"/>
          </w:tcPr>
          <w:p w14:paraId="33C411C3" w14:textId="77777777" w:rsidR="00FA4AA8" w:rsidRDefault="00FA4AA8">
            <w:pPr>
              <w:pStyle w:val="TableParagraph"/>
              <w:rPr>
                <w:b/>
                <w:sz w:val="27"/>
              </w:rPr>
            </w:pPr>
          </w:p>
          <w:p w14:paraId="03EA2815" w14:textId="77777777" w:rsidR="00FA4AA8" w:rsidRDefault="0015611F">
            <w:pPr>
              <w:pStyle w:val="TableParagraph"/>
              <w:spacing w:before="1" w:line="187" w:lineRule="exact"/>
              <w:ind w:left="50"/>
              <w:rPr>
                <w:b/>
                <w:sz w:val="18"/>
              </w:rPr>
            </w:pPr>
            <w:r>
              <w:rPr>
                <w:b/>
                <w:sz w:val="18"/>
              </w:rPr>
              <w:t>Total Higher Education Provider Research Training Program expenditure</w:t>
            </w:r>
          </w:p>
        </w:tc>
        <w:tc>
          <w:tcPr>
            <w:tcW w:w="1640" w:type="dxa"/>
          </w:tcPr>
          <w:p w14:paraId="4910509F" w14:textId="77777777" w:rsidR="00FA4AA8" w:rsidRDefault="00FA4AA8">
            <w:pPr>
              <w:pStyle w:val="TableParagraph"/>
              <w:rPr>
                <w:rFonts w:ascii="Times New Roman"/>
                <w:sz w:val="16"/>
              </w:rPr>
            </w:pPr>
          </w:p>
        </w:tc>
        <w:tc>
          <w:tcPr>
            <w:tcW w:w="1018" w:type="dxa"/>
            <w:tcBorders>
              <w:top w:val="double" w:sz="2" w:space="0" w:color="000000"/>
            </w:tcBorders>
          </w:tcPr>
          <w:p w14:paraId="11F1B6EF" w14:textId="77777777" w:rsidR="00FA4AA8" w:rsidRDefault="00FA4AA8">
            <w:pPr>
              <w:pStyle w:val="TableParagraph"/>
              <w:rPr>
                <w:rFonts w:ascii="Times New Roman"/>
                <w:sz w:val="16"/>
              </w:rPr>
            </w:pPr>
          </w:p>
        </w:tc>
        <w:tc>
          <w:tcPr>
            <w:tcW w:w="891" w:type="dxa"/>
            <w:tcBorders>
              <w:top w:val="double" w:sz="2" w:space="0" w:color="000000"/>
            </w:tcBorders>
          </w:tcPr>
          <w:p w14:paraId="0103BA22" w14:textId="77777777" w:rsidR="00FA4AA8" w:rsidRDefault="00FA4AA8">
            <w:pPr>
              <w:pStyle w:val="TableParagraph"/>
              <w:rPr>
                <w:rFonts w:ascii="Times New Roman"/>
                <w:sz w:val="16"/>
              </w:rPr>
            </w:pPr>
          </w:p>
        </w:tc>
        <w:tc>
          <w:tcPr>
            <w:tcW w:w="901" w:type="dxa"/>
            <w:tcBorders>
              <w:top w:val="double" w:sz="2" w:space="0" w:color="000000"/>
            </w:tcBorders>
          </w:tcPr>
          <w:p w14:paraId="07084C86" w14:textId="77777777" w:rsidR="00FA4AA8" w:rsidRDefault="00FA4AA8">
            <w:pPr>
              <w:pStyle w:val="TableParagraph"/>
              <w:rPr>
                <w:rFonts w:ascii="Times New Roman"/>
                <w:sz w:val="16"/>
              </w:rPr>
            </w:pPr>
          </w:p>
        </w:tc>
        <w:tc>
          <w:tcPr>
            <w:tcW w:w="891" w:type="dxa"/>
            <w:tcBorders>
              <w:top w:val="double" w:sz="2" w:space="0" w:color="000000"/>
            </w:tcBorders>
          </w:tcPr>
          <w:p w14:paraId="646C5D90" w14:textId="77777777" w:rsidR="00FA4AA8" w:rsidRDefault="00FA4AA8">
            <w:pPr>
              <w:pStyle w:val="TableParagraph"/>
              <w:rPr>
                <w:rFonts w:ascii="Times New Roman"/>
                <w:sz w:val="16"/>
              </w:rPr>
            </w:pPr>
          </w:p>
        </w:tc>
        <w:tc>
          <w:tcPr>
            <w:tcW w:w="901" w:type="dxa"/>
            <w:tcBorders>
              <w:top w:val="double" w:sz="2" w:space="0" w:color="000000"/>
            </w:tcBorders>
          </w:tcPr>
          <w:p w14:paraId="2C4E3B16" w14:textId="77777777" w:rsidR="00FA4AA8" w:rsidRDefault="00FA4AA8">
            <w:pPr>
              <w:pStyle w:val="TableParagraph"/>
              <w:rPr>
                <w:rFonts w:ascii="Times New Roman"/>
                <w:sz w:val="16"/>
              </w:rPr>
            </w:pPr>
          </w:p>
        </w:tc>
        <w:tc>
          <w:tcPr>
            <w:tcW w:w="774" w:type="dxa"/>
            <w:tcBorders>
              <w:top w:val="double" w:sz="2" w:space="0" w:color="000000"/>
            </w:tcBorders>
          </w:tcPr>
          <w:p w14:paraId="503D8E03" w14:textId="77777777" w:rsidR="00FA4AA8" w:rsidRDefault="00FA4AA8">
            <w:pPr>
              <w:pStyle w:val="TableParagraph"/>
              <w:rPr>
                <w:rFonts w:ascii="Times New Roman"/>
                <w:sz w:val="16"/>
              </w:rPr>
            </w:pPr>
          </w:p>
        </w:tc>
      </w:tr>
    </w:tbl>
    <w:p w14:paraId="4DF30510" w14:textId="77777777" w:rsidR="00FA4AA8" w:rsidRDefault="00FA4AA8">
      <w:pPr>
        <w:pStyle w:val="BodyText"/>
        <w:spacing w:before="6" w:after="1"/>
        <w:rPr>
          <w:b/>
          <w:sz w:val="25"/>
        </w:rPr>
      </w:pPr>
    </w:p>
    <w:tbl>
      <w:tblPr>
        <w:tblW w:w="0" w:type="auto"/>
        <w:tblInd w:w="521" w:type="dxa"/>
        <w:tblLayout w:type="fixed"/>
        <w:tblCellMar>
          <w:left w:w="0" w:type="dxa"/>
          <w:right w:w="0" w:type="dxa"/>
        </w:tblCellMar>
        <w:tblLook w:val="01E0" w:firstRow="1" w:lastRow="1" w:firstColumn="1" w:lastColumn="1" w:noHBand="0" w:noVBand="0"/>
      </w:tblPr>
      <w:tblGrid>
        <w:gridCol w:w="9120"/>
        <w:gridCol w:w="1243"/>
        <w:gridCol w:w="1239"/>
      </w:tblGrid>
      <w:tr w:rsidR="00FA4AA8" w14:paraId="590C52FD" w14:textId="77777777">
        <w:trPr>
          <w:trHeight w:val="400"/>
        </w:trPr>
        <w:tc>
          <w:tcPr>
            <w:tcW w:w="9120" w:type="dxa"/>
            <w:vMerge w:val="restart"/>
          </w:tcPr>
          <w:p w14:paraId="7F16094E" w14:textId="77777777" w:rsidR="00FA4AA8" w:rsidRDefault="00FA4AA8">
            <w:pPr>
              <w:pStyle w:val="TableParagraph"/>
              <w:rPr>
                <w:rFonts w:ascii="Times New Roman"/>
                <w:sz w:val="16"/>
              </w:rPr>
            </w:pPr>
          </w:p>
        </w:tc>
        <w:tc>
          <w:tcPr>
            <w:tcW w:w="1243" w:type="dxa"/>
          </w:tcPr>
          <w:p w14:paraId="0B6FF504" w14:textId="77777777" w:rsidR="00FA4AA8" w:rsidRDefault="0015611F">
            <w:pPr>
              <w:pStyle w:val="TableParagraph"/>
              <w:ind w:left="285" w:right="41" w:hanging="233"/>
              <w:rPr>
                <w:b/>
                <w:sz w:val="16"/>
              </w:rPr>
            </w:pPr>
            <w:r>
              <w:rPr>
                <w:b/>
                <w:sz w:val="16"/>
              </w:rPr>
              <w:t>Total domestic students</w:t>
            </w:r>
          </w:p>
        </w:tc>
        <w:tc>
          <w:tcPr>
            <w:tcW w:w="1239" w:type="dxa"/>
          </w:tcPr>
          <w:p w14:paraId="611761B5" w14:textId="77777777" w:rsidR="00FA4AA8" w:rsidRDefault="0015611F">
            <w:pPr>
              <w:pStyle w:val="TableParagraph"/>
              <w:ind w:left="280" w:right="44" w:hanging="226"/>
              <w:rPr>
                <w:b/>
                <w:sz w:val="16"/>
              </w:rPr>
            </w:pPr>
            <w:r>
              <w:rPr>
                <w:b/>
                <w:sz w:val="16"/>
              </w:rPr>
              <w:t>Total overseas students</w:t>
            </w:r>
          </w:p>
        </w:tc>
      </w:tr>
      <w:tr w:rsidR="00FA4AA8" w14:paraId="6C62E1A3" w14:textId="77777777">
        <w:trPr>
          <w:trHeight w:val="249"/>
        </w:trPr>
        <w:tc>
          <w:tcPr>
            <w:tcW w:w="9120" w:type="dxa"/>
            <w:vMerge/>
            <w:tcBorders>
              <w:top w:val="nil"/>
            </w:tcBorders>
          </w:tcPr>
          <w:p w14:paraId="48D8A5E0" w14:textId="77777777" w:rsidR="00FA4AA8" w:rsidRDefault="00FA4AA8">
            <w:pPr>
              <w:rPr>
                <w:sz w:val="2"/>
                <w:szCs w:val="2"/>
              </w:rPr>
            </w:pPr>
          </w:p>
        </w:tc>
        <w:tc>
          <w:tcPr>
            <w:tcW w:w="1243" w:type="dxa"/>
          </w:tcPr>
          <w:p w14:paraId="3A6066C8" w14:textId="77777777" w:rsidR="00FA4AA8" w:rsidRDefault="0015611F">
            <w:pPr>
              <w:pStyle w:val="TableParagraph"/>
              <w:spacing w:before="31"/>
              <w:ind w:left="403" w:right="406"/>
              <w:jc w:val="center"/>
              <w:rPr>
                <w:b/>
                <w:sz w:val="16"/>
              </w:rPr>
            </w:pPr>
            <w:r>
              <w:rPr>
                <w:b/>
                <w:sz w:val="16"/>
              </w:rPr>
              <w:t>$'000</w:t>
            </w:r>
          </w:p>
        </w:tc>
        <w:tc>
          <w:tcPr>
            <w:tcW w:w="1239" w:type="dxa"/>
          </w:tcPr>
          <w:p w14:paraId="1F53C96B" w14:textId="77777777" w:rsidR="00FA4AA8" w:rsidRDefault="0015611F">
            <w:pPr>
              <w:pStyle w:val="TableParagraph"/>
              <w:spacing w:before="31"/>
              <w:ind w:left="398" w:right="406"/>
              <w:jc w:val="center"/>
              <w:rPr>
                <w:b/>
                <w:sz w:val="16"/>
              </w:rPr>
            </w:pPr>
            <w:r>
              <w:rPr>
                <w:b/>
                <w:sz w:val="16"/>
              </w:rPr>
              <w:t>$'000</w:t>
            </w:r>
          </w:p>
        </w:tc>
      </w:tr>
      <w:tr w:rsidR="00FA4AA8" w14:paraId="1F6FF94A" w14:textId="77777777">
        <w:trPr>
          <w:trHeight w:val="245"/>
        </w:trPr>
        <w:tc>
          <w:tcPr>
            <w:tcW w:w="9120" w:type="dxa"/>
          </w:tcPr>
          <w:p w14:paraId="28772D44" w14:textId="77777777" w:rsidR="00FA4AA8" w:rsidRDefault="0015611F">
            <w:pPr>
              <w:pStyle w:val="TableParagraph"/>
              <w:spacing w:before="31"/>
              <w:ind w:left="88"/>
              <w:rPr>
                <w:sz w:val="16"/>
              </w:rPr>
            </w:pPr>
            <w:r>
              <w:rPr>
                <w:sz w:val="16"/>
              </w:rPr>
              <w:t>Research Training Program Fees offsets</w:t>
            </w:r>
          </w:p>
        </w:tc>
        <w:tc>
          <w:tcPr>
            <w:tcW w:w="1243" w:type="dxa"/>
          </w:tcPr>
          <w:p w14:paraId="7F1057B3" w14:textId="77777777" w:rsidR="00FA4AA8" w:rsidRDefault="0015611F">
            <w:pPr>
              <w:pStyle w:val="TableParagraph"/>
              <w:spacing w:before="29"/>
              <w:ind w:right="79"/>
              <w:jc w:val="right"/>
              <w:rPr>
                <w:b/>
                <w:sz w:val="16"/>
              </w:rPr>
            </w:pPr>
            <w:r>
              <w:rPr>
                <w:b/>
                <w:sz w:val="16"/>
              </w:rPr>
              <w:t>-</w:t>
            </w:r>
          </w:p>
        </w:tc>
        <w:tc>
          <w:tcPr>
            <w:tcW w:w="1239" w:type="dxa"/>
          </w:tcPr>
          <w:p w14:paraId="3101719A" w14:textId="77777777" w:rsidR="00FA4AA8" w:rsidRDefault="0015611F">
            <w:pPr>
              <w:pStyle w:val="TableParagraph"/>
              <w:spacing w:before="29"/>
              <w:ind w:right="77"/>
              <w:jc w:val="right"/>
              <w:rPr>
                <w:b/>
                <w:sz w:val="16"/>
              </w:rPr>
            </w:pPr>
            <w:r>
              <w:rPr>
                <w:b/>
                <w:sz w:val="16"/>
              </w:rPr>
              <w:t>-</w:t>
            </w:r>
          </w:p>
        </w:tc>
      </w:tr>
      <w:tr w:rsidR="00FA4AA8" w14:paraId="69B6186A" w14:textId="77777777">
        <w:trPr>
          <w:trHeight w:val="242"/>
        </w:trPr>
        <w:tc>
          <w:tcPr>
            <w:tcW w:w="9120" w:type="dxa"/>
          </w:tcPr>
          <w:p w14:paraId="25BB4548" w14:textId="77777777" w:rsidR="00FA4AA8" w:rsidRDefault="0015611F">
            <w:pPr>
              <w:pStyle w:val="TableParagraph"/>
              <w:spacing w:before="28"/>
              <w:ind w:left="88"/>
              <w:rPr>
                <w:sz w:val="16"/>
              </w:rPr>
            </w:pPr>
            <w:r>
              <w:rPr>
                <w:sz w:val="16"/>
              </w:rPr>
              <w:t>Research Training Program Stipends</w:t>
            </w:r>
          </w:p>
        </w:tc>
        <w:tc>
          <w:tcPr>
            <w:tcW w:w="1243" w:type="dxa"/>
          </w:tcPr>
          <w:p w14:paraId="1C5D93E1" w14:textId="77777777" w:rsidR="00FA4AA8" w:rsidRDefault="0015611F">
            <w:pPr>
              <w:pStyle w:val="TableParagraph"/>
              <w:spacing w:before="25"/>
              <w:ind w:right="79"/>
              <w:jc w:val="right"/>
              <w:rPr>
                <w:b/>
                <w:sz w:val="16"/>
              </w:rPr>
            </w:pPr>
            <w:r>
              <w:rPr>
                <w:b/>
                <w:sz w:val="16"/>
              </w:rPr>
              <w:t>3,271</w:t>
            </w:r>
          </w:p>
        </w:tc>
        <w:tc>
          <w:tcPr>
            <w:tcW w:w="1239" w:type="dxa"/>
          </w:tcPr>
          <w:p w14:paraId="4CFEE578" w14:textId="77777777" w:rsidR="00FA4AA8" w:rsidRDefault="0015611F">
            <w:pPr>
              <w:pStyle w:val="TableParagraph"/>
              <w:spacing w:before="25"/>
              <w:ind w:right="78"/>
              <w:jc w:val="right"/>
              <w:rPr>
                <w:b/>
                <w:sz w:val="16"/>
              </w:rPr>
            </w:pPr>
            <w:r>
              <w:rPr>
                <w:b/>
                <w:sz w:val="16"/>
              </w:rPr>
              <w:t>529</w:t>
            </w:r>
          </w:p>
        </w:tc>
      </w:tr>
      <w:tr w:rsidR="00FA4AA8" w14:paraId="4EB020E1" w14:textId="77777777">
        <w:trPr>
          <w:trHeight w:val="236"/>
        </w:trPr>
        <w:tc>
          <w:tcPr>
            <w:tcW w:w="9120" w:type="dxa"/>
          </w:tcPr>
          <w:p w14:paraId="09D382F6" w14:textId="77777777" w:rsidR="00FA4AA8" w:rsidRDefault="0015611F">
            <w:pPr>
              <w:pStyle w:val="TableParagraph"/>
              <w:spacing w:before="28"/>
              <w:ind w:left="88"/>
              <w:rPr>
                <w:sz w:val="16"/>
              </w:rPr>
            </w:pPr>
            <w:r>
              <w:rPr>
                <w:sz w:val="16"/>
              </w:rPr>
              <w:t>Research Training Program Allowances</w:t>
            </w:r>
          </w:p>
        </w:tc>
        <w:tc>
          <w:tcPr>
            <w:tcW w:w="1243" w:type="dxa"/>
            <w:tcBorders>
              <w:bottom w:val="single" w:sz="8" w:space="0" w:color="000000"/>
            </w:tcBorders>
          </w:tcPr>
          <w:p w14:paraId="1253D2CA" w14:textId="77777777" w:rsidR="00FA4AA8" w:rsidRDefault="0015611F">
            <w:pPr>
              <w:pStyle w:val="TableParagraph"/>
              <w:spacing w:before="25"/>
              <w:ind w:right="79"/>
              <w:jc w:val="right"/>
              <w:rPr>
                <w:b/>
                <w:sz w:val="16"/>
              </w:rPr>
            </w:pPr>
            <w:r>
              <w:rPr>
                <w:b/>
                <w:sz w:val="16"/>
              </w:rPr>
              <w:t>7,069</w:t>
            </w:r>
          </w:p>
        </w:tc>
        <w:tc>
          <w:tcPr>
            <w:tcW w:w="1239" w:type="dxa"/>
            <w:tcBorders>
              <w:bottom w:val="single" w:sz="8" w:space="0" w:color="000000"/>
            </w:tcBorders>
          </w:tcPr>
          <w:p w14:paraId="34CA446F" w14:textId="77777777" w:rsidR="00FA4AA8" w:rsidRDefault="0015611F">
            <w:pPr>
              <w:pStyle w:val="TableParagraph"/>
              <w:spacing w:before="25"/>
              <w:ind w:right="77"/>
              <w:jc w:val="right"/>
              <w:rPr>
                <w:b/>
                <w:sz w:val="16"/>
              </w:rPr>
            </w:pPr>
            <w:r>
              <w:rPr>
                <w:b/>
                <w:sz w:val="16"/>
              </w:rPr>
              <w:t>-</w:t>
            </w:r>
          </w:p>
        </w:tc>
      </w:tr>
      <w:tr w:rsidR="00FA4AA8" w14:paraId="03A0E7B7" w14:textId="77777777">
        <w:trPr>
          <w:trHeight w:val="298"/>
        </w:trPr>
        <w:tc>
          <w:tcPr>
            <w:tcW w:w="9120" w:type="dxa"/>
          </w:tcPr>
          <w:p w14:paraId="55EA2750" w14:textId="77777777" w:rsidR="00FA4AA8" w:rsidRDefault="0015611F">
            <w:pPr>
              <w:pStyle w:val="TableParagraph"/>
              <w:spacing w:before="114" w:line="164" w:lineRule="exact"/>
              <w:ind w:left="88"/>
              <w:rPr>
                <w:b/>
                <w:sz w:val="16"/>
              </w:rPr>
            </w:pPr>
            <w:r>
              <w:rPr>
                <w:b/>
                <w:sz w:val="16"/>
              </w:rPr>
              <w:t>Total for all types of support</w:t>
            </w:r>
          </w:p>
        </w:tc>
        <w:tc>
          <w:tcPr>
            <w:tcW w:w="1243" w:type="dxa"/>
            <w:tcBorders>
              <w:top w:val="single" w:sz="8" w:space="0" w:color="000000"/>
              <w:bottom w:val="double" w:sz="2" w:space="0" w:color="000000"/>
            </w:tcBorders>
          </w:tcPr>
          <w:p w14:paraId="12F2FE28" w14:textId="77777777" w:rsidR="00FA4AA8" w:rsidRDefault="0015611F">
            <w:pPr>
              <w:pStyle w:val="TableParagraph"/>
              <w:spacing w:before="86"/>
              <w:ind w:right="79"/>
              <w:jc w:val="right"/>
              <w:rPr>
                <w:b/>
                <w:sz w:val="16"/>
              </w:rPr>
            </w:pPr>
            <w:r>
              <w:rPr>
                <w:b/>
                <w:sz w:val="16"/>
              </w:rPr>
              <w:t>10,340</w:t>
            </w:r>
          </w:p>
        </w:tc>
        <w:tc>
          <w:tcPr>
            <w:tcW w:w="1239" w:type="dxa"/>
            <w:tcBorders>
              <w:top w:val="single" w:sz="8" w:space="0" w:color="000000"/>
              <w:bottom w:val="double" w:sz="2" w:space="0" w:color="000000"/>
            </w:tcBorders>
          </w:tcPr>
          <w:p w14:paraId="0F0D130F" w14:textId="77777777" w:rsidR="00FA4AA8" w:rsidRDefault="0015611F">
            <w:pPr>
              <w:pStyle w:val="TableParagraph"/>
              <w:spacing w:before="86"/>
              <w:ind w:right="78"/>
              <w:jc w:val="right"/>
              <w:rPr>
                <w:b/>
                <w:sz w:val="16"/>
              </w:rPr>
            </w:pPr>
            <w:r>
              <w:rPr>
                <w:b/>
                <w:sz w:val="16"/>
              </w:rPr>
              <w:t>529</w:t>
            </w:r>
          </w:p>
        </w:tc>
      </w:tr>
    </w:tbl>
    <w:p w14:paraId="4EE612F9" w14:textId="77777777" w:rsidR="00FA4AA8" w:rsidRDefault="00FA4AA8">
      <w:pPr>
        <w:jc w:val="right"/>
        <w:rPr>
          <w:sz w:val="16"/>
        </w:rPr>
        <w:sectPr w:rsidR="00FA4AA8">
          <w:type w:val="continuous"/>
          <w:pgSz w:w="16840" w:h="11910" w:orient="landscape"/>
          <w:pgMar w:top="20" w:right="880" w:bottom="0" w:left="840" w:header="720" w:footer="720" w:gutter="0"/>
          <w:cols w:space="720"/>
        </w:sectPr>
      </w:pPr>
    </w:p>
    <w:p w14:paraId="6B72BCD6" w14:textId="77777777" w:rsidR="00FA4AA8" w:rsidRDefault="00FA4AA8">
      <w:pPr>
        <w:pStyle w:val="BodyText"/>
        <w:rPr>
          <w:b/>
          <w:sz w:val="20"/>
        </w:rPr>
      </w:pPr>
    </w:p>
    <w:p w14:paraId="2BC34A8A" w14:textId="77777777" w:rsidR="00FA4AA8" w:rsidRDefault="00FA4AA8">
      <w:pPr>
        <w:pStyle w:val="BodyText"/>
        <w:rPr>
          <w:b/>
          <w:sz w:val="20"/>
        </w:rPr>
      </w:pPr>
    </w:p>
    <w:p w14:paraId="7E0F6014" w14:textId="77777777" w:rsidR="00FA4AA8" w:rsidRDefault="00FA4AA8">
      <w:pPr>
        <w:pStyle w:val="BodyText"/>
        <w:spacing w:before="6"/>
        <w:rPr>
          <w:b/>
        </w:rPr>
      </w:pPr>
    </w:p>
    <w:tbl>
      <w:tblPr>
        <w:tblW w:w="0" w:type="auto"/>
        <w:tblInd w:w="125" w:type="dxa"/>
        <w:tblLayout w:type="fixed"/>
        <w:tblCellMar>
          <w:left w:w="0" w:type="dxa"/>
          <w:right w:w="0" w:type="dxa"/>
        </w:tblCellMar>
        <w:tblLook w:val="01E0" w:firstRow="1" w:lastRow="1" w:firstColumn="1" w:lastColumn="1" w:noHBand="0" w:noVBand="0"/>
      </w:tblPr>
      <w:tblGrid>
        <w:gridCol w:w="363"/>
        <w:gridCol w:w="7484"/>
        <w:gridCol w:w="1952"/>
        <w:gridCol w:w="3492"/>
        <w:gridCol w:w="652"/>
        <w:gridCol w:w="667"/>
        <w:gridCol w:w="287"/>
      </w:tblGrid>
      <w:tr w:rsidR="00FA4AA8" w14:paraId="308DBA7D" w14:textId="77777777">
        <w:trPr>
          <w:trHeight w:val="735"/>
        </w:trPr>
        <w:tc>
          <w:tcPr>
            <w:tcW w:w="363" w:type="dxa"/>
          </w:tcPr>
          <w:p w14:paraId="2EE5D834" w14:textId="77777777" w:rsidR="00FA4AA8" w:rsidRDefault="0015611F">
            <w:pPr>
              <w:pStyle w:val="TableParagraph"/>
              <w:spacing w:line="201" w:lineRule="exact"/>
              <w:ind w:left="50"/>
              <w:rPr>
                <w:b/>
                <w:sz w:val="18"/>
              </w:rPr>
            </w:pPr>
            <w:bookmarkStart w:id="89" w:name="(d)_Other_Capital_Funding"/>
            <w:bookmarkEnd w:id="89"/>
            <w:r>
              <w:rPr>
                <w:b/>
                <w:sz w:val="18"/>
              </w:rPr>
              <w:t>37</w:t>
            </w:r>
          </w:p>
          <w:p w14:paraId="42A3FCF6" w14:textId="77777777" w:rsidR="00FA4AA8" w:rsidRDefault="00FA4AA8">
            <w:pPr>
              <w:pStyle w:val="TableParagraph"/>
              <w:spacing w:before="7"/>
              <w:rPr>
                <w:b/>
                <w:sz w:val="26"/>
              </w:rPr>
            </w:pPr>
          </w:p>
          <w:p w14:paraId="282C3A71" w14:textId="77777777" w:rsidR="00FA4AA8" w:rsidRDefault="0015611F">
            <w:pPr>
              <w:pStyle w:val="TableParagraph"/>
              <w:ind w:left="50"/>
              <w:rPr>
                <w:b/>
                <w:sz w:val="18"/>
              </w:rPr>
            </w:pPr>
            <w:r>
              <w:rPr>
                <w:b/>
                <w:sz w:val="18"/>
              </w:rPr>
              <w:t>(d)</w:t>
            </w:r>
          </w:p>
        </w:tc>
        <w:tc>
          <w:tcPr>
            <w:tcW w:w="7484" w:type="dxa"/>
          </w:tcPr>
          <w:p w14:paraId="43CAC90F" w14:textId="77777777" w:rsidR="00FA4AA8" w:rsidRDefault="0015611F">
            <w:pPr>
              <w:pStyle w:val="TableParagraph"/>
              <w:spacing w:line="201" w:lineRule="exact"/>
              <w:ind w:left="83"/>
              <w:rPr>
                <w:b/>
                <w:sz w:val="18"/>
              </w:rPr>
            </w:pPr>
            <w:r>
              <w:rPr>
                <w:b/>
                <w:sz w:val="18"/>
              </w:rPr>
              <w:t>Acquittal of Australian Government Financial Assistance (continued)</w:t>
            </w:r>
          </w:p>
          <w:p w14:paraId="55900D47" w14:textId="77777777" w:rsidR="00FA4AA8" w:rsidRDefault="00FA4AA8">
            <w:pPr>
              <w:pStyle w:val="TableParagraph"/>
              <w:spacing w:before="7"/>
              <w:rPr>
                <w:b/>
                <w:sz w:val="26"/>
              </w:rPr>
            </w:pPr>
          </w:p>
          <w:p w14:paraId="125A4BEA" w14:textId="77777777" w:rsidR="00FA4AA8" w:rsidRDefault="0015611F">
            <w:pPr>
              <w:pStyle w:val="TableParagraph"/>
              <w:ind w:left="83"/>
              <w:rPr>
                <w:b/>
                <w:sz w:val="18"/>
              </w:rPr>
            </w:pPr>
            <w:r>
              <w:rPr>
                <w:b/>
                <w:sz w:val="18"/>
              </w:rPr>
              <w:t>Other Capital Funding</w:t>
            </w:r>
          </w:p>
        </w:tc>
        <w:tc>
          <w:tcPr>
            <w:tcW w:w="1952" w:type="dxa"/>
          </w:tcPr>
          <w:p w14:paraId="2D1F11CC" w14:textId="77777777" w:rsidR="00FA4AA8" w:rsidRDefault="00FA4AA8">
            <w:pPr>
              <w:pStyle w:val="TableParagraph"/>
              <w:rPr>
                <w:rFonts w:ascii="Times New Roman"/>
                <w:sz w:val="16"/>
              </w:rPr>
            </w:pPr>
          </w:p>
        </w:tc>
        <w:tc>
          <w:tcPr>
            <w:tcW w:w="3492" w:type="dxa"/>
          </w:tcPr>
          <w:p w14:paraId="1BFA8505" w14:textId="77777777" w:rsidR="00FA4AA8" w:rsidRDefault="00FA4AA8">
            <w:pPr>
              <w:pStyle w:val="TableParagraph"/>
              <w:rPr>
                <w:rFonts w:ascii="Times New Roman"/>
                <w:sz w:val="16"/>
              </w:rPr>
            </w:pPr>
          </w:p>
        </w:tc>
        <w:tc>
          <w:tcPr>
            <w:tcW w:w="652" w:type="dxa"/>
          </w:tcPr>
          <w:p w14:paraId="74CDD659" w14:textId="77777777" w:rsidR="00FA4AA8" w:rsidRDefault="00FA4AA8">
            <w:pPr>
              <w:pStyle w:val="TableParagraph"/>
              <w:rPr>
                <w:rFonts w:ascii="Times New Roman"/>
                <w:sz w:val="16"/>
              </w:rPr>
            </w:pPr>
          </w:p>
        </w:tc>
        <w:tc>
          <w:tcPr>
            <w:tcW w:w="954" w:type="dxa"/>
            <w:gridSpan w:val="2"/>
            <w:vMerge w:val="restart"/>
          </w:tcPr>
          <w:p w14:paraId="17A503C1" w14:textId="77777777" w:rsidR="00FA4AA8" w:rsidRDefault="00FA4AA8">
            <w:pPr>
              <w:pStyle w:val="TableParagraph"/>
              <w:rPr>
                <w:rFonts w:ascii="Times New Roman"/>
                <w:sz w:val="16"/>
              </w:rPr>
            </w:pPr>
          </w:p>
        </w:tc>
      </w:tr>
      <w:tr w:rsidR="00FA4AA8" w14:paraId="4A97E0CB" w14:textId="77777777">
        <w:trPr>
          <w:trHeight w:val="203"/>
        </w:trPr>
        <w:tc>
          <w:tcPr>
            <w:tcW w:w="363" w:type="dxa"/>
          </w:tcPr>
          <w:p w14:paraId="483809CD" w14:textId="77777777" w:rsidR="00FA4AA8" w:rsidRDefault="00FA4AA8">
            <w:pPr>
              <w:pStyle w:val="TableParagraph"/>
              <w:rPr>
                <w:rFonts w:ascii="Times New Roman"/>
                <w:sz w:val="14"/>
              </w:rPr>
            </w:pPr>
          </w:p>
        </w:tc>
        <w:tc>
          <w:tcPr>
            <w:tcW w:w="7484" w:type="dxa"/>
          </w:tcPr>
          <w:p w14:paraId="28DCE6C0" w14:textId="77777777" w:rsidR="00FA4AA8" w:rsidRDefault="00FA4AA8">
            <w:pPr>
              <w:pStyle w:val="TableParagraph"/>
              <w:rPr>
                <w:rFonts w:ascii="Times New Roman"/>
                <w:sz w:val="14"/>
              </w:rPr>
            </w:pPr>
          </w:p>
        </w:tc>
        <w:tc>
          <w:tcPr>
            <w:tcW w:w="1952" w:type="dxa"/>
          </w:tcPr>
          <w:p w14:paraId="3D8D0F18" w14:textId="77777777" w:rsidR="00FA4AA8" w:rsidRDefault="00FA4AA8">
            <w:pPr>
              <w:pStyle w:val="TableParagraph"/>
              <w:rPr>
                <w:rFonts w:ascii="Times New Roman"/>
                <w:sz w:val="14"/>
              </w:rPr>
            </w:pPr>
          </w:p>
        </w:tc>
        <w:tc>
          <w:tcPr>
            <w:tcW w:w="3492" w:type="dxa"/>
          </w:tcPr>
          <w:p w14:paraId="6788E029" w14:textId="77777777" w:rsidR="00FA4AA8" w:rsidRDefault="0015611F">
            <w:pPr>
              <w:pStyle w:val="TableParagraph"/>
              <w:spacing w:before="16" w:line="167" w:lineRule="exact"/>
              <w:ind w:left="402"/>
              <w:rPr>
                <w:b/>
                <w:sz w:val="16"/>
              </w:rPr>
            </w:pPr>
            <w:r>
              <w:rPr>
                <w:b/>
                <w:sz w:val="16"/>
              </w:rPr>
              <w:t>Linkage Infrastructure,</w:t>
            </w:r>
          </w:p>
        </w:tc>
        <w:tc>
          <w:tcPr>
            <w:tcW w:w="652" w:type="dxa"/>
          </w:tcPr>
          <w:p w14:paraId="090C79F0" w14:textId="77777777" w:rsidR="00FA4AA8" w:rsidRDefault="00FA4AA8">
            <w:pPr>
              <w:pStyle w:val="TableParagraph"/>
              <w:rPr>
                <w:rFonts w:ascii="Times New Roman"/>
                <w:sz w:val="14"/>
              </w:rPr>
            </w:pPr>
          </w:p>
        </w:tc>
        <w:tc>
          <w:tcPr>
            <w:tcW w:w="954" w:type="dxa"/>
            <w:gridSpan w:val="2"/>
            <w:vMerge/>
            <w:tcBorders>
              <w:top w:val="nil"/>
            </w:tcBorders>
          </w:tcPr>
          <w:p w14:paraId="3EAE9506" w14:textId="77777777" w:rsidR="00FA4AA8" w:rsidRDefault="00FA4AA8">
            <w:pPr>
              <w:rPr>
                <w:sz w:val="2"/>
                <w:szCs w:val="2"/>
              </w:rPr>
            </w:pPr>
          </w:p>
        </w:tc>
      </w:tr>
      <w:tr w:rsidR="00FA4AA8" w14:paraId="4527270C" w14:textId="77777777">
        <w:trPr>
          <w:trHeight w:val="218"/>
        </w:trPr>
        <w:tc>
          <w:tcPr>
            <w:tcW w:w="363" w:type="dxa"/>
          </w:tcPr>
          <w:p w14:paraId="3F97AEE0" w14:textId="77777777" w:rsidR="00FA4AA8" w:rsidRDefault="00FA4AA8">
            <w:pPr>
              <w:pStyle w:val="TableParagraph"/>
              <w:rPr>
                <w:rFonts w:ascii="Times New Roman"/>
                <w:sz w:val="14"/>
              </w:rPr>
            </w:pPr>
          </w:p>
        </w:tc>
        <w:tc>
          <w:tcPr>
            <w:tcW w:w="7484" w:type="dxa"/>
          </w:tcPr>
          <w:p w14:paraId="391CAD21" w14:textId="77777777" w:rsidR="00FA4AA8" w:rsidRDefault="00FA4AA8">
            <w:pPr>
              <w:pStyle w:val="TableParagraph"/>
              <w:rPr>
                <w:rFonts w:ascii="Times New Roman"/>
                <w:sz w:val="14"/>
              </w:rPr>
            </w:pPr>
          </w:p>
        </w:tc>
        <w:tc>
          <w:tcPr>
            <w:tcW w:w="1952" w:type="dxa"/>
          </w:tcPr>
          <w:p w14:paraId="1C2A9818" w14:textId="77777777" w:rsidR="00FA4AA8" w:rsidRDefault="00FA4AA8">
            <w:pPr>
              <w:pStyle w:val="TableParagraph"/>
              <w:rPr>
                <w:rFonts w:ascii="Times New Roman"/>
                <w:sz w:val="14"/>
              </w:rPr>
            </w:pPr>
          </w:p>
        </w:tc>
        <w:tc>
          <w:tcPr>
            <w:tcW w:w="3492" w:type="dxa"/>
          </w:tcPr>
          <w:p w14:paraId="291980AD" w14:textId="77777777" w:rsidR="00FA4AA8" w:rsidRDefault="0015611F">
            <w:pPr>
              <w:pStyle w:val="TableParagraph"/>
              <w:spacing w:line="182" w:lineRule="exact"/>
              <w:ind w:left="86"/>
              <w:rPr>
                <w:b/>
                <w:sz w:val="16"/>
              </w:rPr>
            </w:pPr>
            <w:r>
              <w:rPr>
                <w:b/>
                <w:sz w:val="16"/>
              </w:rPr>
              <w:t>Equipment and Facilities Grant</w:t>
            </w:r>
          </w:p>
        </w:tc>
        <w:tc>
          <w:tcPr>
            <w:tcW w:w="652" w:type="dxa"/>
          </w:tcPr>
          <w:p w14:paraId="526A29EA" w14:textId="77777777" w:rsidR="00FA4AA8" w:rsidRDefault="0015611F">
            <w:pPr>
              <w:pStyle w:val="TableParagraph"/>
              <w:spacing w:line="182" w:lineRule="exact"/>
              <w:ind w:left="153"/>
              <w:rPr>
                <w:b/>
                <w:sz w:val="16"/>
              </w:rPr>
            </w:pPr>
            <w:r>
              <w:rPr>
                <w:b/>
                <w:sz w:val="16"/>
              </w:rPr>
              <w:t>Total</w:t>
            </w:r>
          </w:p>
        </w:tc>
        <w:tc>
          <w:tcPr>
            <w:tcW w:w="954" w:type="dxa"/>
            <w:gridSpan w:val="2"/>
            <w:vMerge/>
            <w:tcBorders>
              <w:top w:val="nil"/>
            </w:tcBorders>
          </w:tcPr>
          <w:p w14:paraId="4DD6D145" w14:textId="77777777" w:rsidR="00FA4AA8" w:rsidRDefault="00FA4AA8">
            <w:pPr>
              <w:rPr>
                <w:sz w:val="2"/>
                <w:szCs w:val="2"/>
              </w:rPr>
            </w:pPr>
          </w:p>
        </w:tc>
      </w:tr>
      <w:tr w:rsidR="00FA4AA8" w14:paraId="06CDD6AB" w14:textId="77777777">
        <w:trPr>
          <w:trHeight w:val="251"/>
        </w:trPr>
        <w:tc>
          <w:tcPr>
            <w:tcW w:w="363" w:type="dxa"/>
          </w:tcPr>
          <w:p w14:paraId="0A11CF2E" w14:textId="77777777" w:rsidR="00FA4AA8" w:rsidRDefault="00FA4AA8">
            <w:pPr>
              <w:pStyle w:val="TableParagraph"/>
              <w:rPr>
                <w:rFonts w:ascii="Times New Roman"/>
                <w:sz w:val="16"/>
              </w:rPr>
            </w:pPr>
          </w:p>
        </w:tc>
        <w:tc>
          <w:tcPr>
            <w:tcW w:w="7484" w:type="dxa"/>
          </w:tcPr>
          <w:p w14:paraId="6845C6B0" w14:textId="77777777" w:rsidR="00FA4AA8" w:rsidRDefault="00FA4AA8">
            <w:pPr>
              <w:pStyle w:val="TableParagraph"/>
              <w:rPr>
                <w:rFonts w:ascii="Times New Roman"/>
                <w:sz w:val="16"/>
              </w:rPr>
            </w:pPr>
          </w:p>
        </w:tc>
        <w:tc>
          <w:tcPr>
            <w:tcW w:w="1952" w:type="dxa"/>
          </w:tcPr>
          <w:p w14:paraId="57E449DE" w14:textId="77777777" w:rsidR="00FA4AA8" w:rsidRDefault="00FA4AA8">
            <w:pPr>
              <w:pStyle w:val="TableParagraph"/>
              <w:rPr>
                <w:rFonts w:ascii="Times New Roman"/>
                <w:sz w:val="16"/>
              </w:rPr>
            </w:pPr>
          </w:p>
        </w:tc>
        <w:tc>
          <w:tcPr>
            <w:tcW w:w="3492" w:type="dxa"/>
          </w:tcPr>
          <w:p w14:paraId="6BF2B41F" w14:textId="77777777" w:rsidR="00FA4AA8" w:rsidRDefault="0015611F">
            <w:pPr>
              <w:pStyle w:val="TableParagraph"/>
              <w:tabs>
                <w:tab w:val="left" w:pos="1274"/>
                <w:tab w:val="left" w:pos="2560"/>
              </w:tabs>
              <w:spacing w:before="31"/>
              <w:ind w:right="115"/>
              <w:jc w:val="right"/>
              <w:rPr>
                <w:b/>
                <w:sz w:val="16"/>
              </w:rPr>
            </w:pPr>
            <w:r>
              <w:rPr>
                <w:b/>
                <w:sz w:val="16"/>
              </w:rPr>
              <w:t>2018</w:t>
            </w:r>
            <w:r>
              <w:rPr>
                <w:b/>
                <w:sz w:val="16"/>
              </w:rPr>
              <w:tab/>
              <w:t>2017</w:t>
            </w:r>
            <w:r>
              <w:rPr>
                <w:b/>
                <w:sz w:val="16"/>
              </w:rPr>
              <w:tab/>
            </w:r>
            <w:r>
              <w:rPr>
                <w:b/>
                <w:spacing w:val="-1"/>
                <w:sz w:val="16"/>
              </w:rPr>
              <w:t>2018</w:t>
            </w:r>
          </w:p>
        </w:tc>
        <w:tc>
          <w:tcPr>
            <w:tcW w:w="652" w:type="dxa"/>
          </w:tcPr>
          <w:p w14:paraId="58F4E75F" w14:textId="77777777" w:rsidR="00FA4AA8" w:rsidRDefault="00FA4AA8">
            <w:pPr>
              <w:pStyle w:val="TableParagraph"/>
              <w:rPr>
                <w:rFonts w:ascii="Times New Roman"/>
                <w:sz w:val="16"/>
              </w:rPr>
            </w:pPr>
          </w:p>
        </w:tc>
        <w:tc>
          <w:tcPr>
            <w:tcW w:w="667" w:type="dxa"/>
          </w:tcPr>
          <w:p w14:paraId="465D06BF" w14:textId="77777777" w:rsidR="00FA4AA8" w:rsidRDefault="0015611F">
            <w:pPr>
              <w:pStyle w:val="TableParagraph"/>
              <w:spacing w:before="31"/>
              <w:ind w:left="137"/>
              <w:rPr>
                <w:b/>
                <w:sz w:val="16"/>
              </w:rPr>
            </w:pPr>
            <w:r>
              <w:rPr>
                <w:b/>
                <w:sz w:val="16"/>
              </w:rPr>
              <w:t>2017</w:t>
            </w:r>
          </w:p>
        </w:tc>
        <w:tc>
          <w:tcPr>
            <w:tcW w:w="287" w:type="dxa"/>
          </w:tcPr>
          <w:p w14:paraId="79D8A20D" w14:textId="77777777" w:rsidR="00FA4AA8" w:rsidRDefault="00FA4AA8">
            <w:pPr>
              <w:pStyle w:val="TableParagraph"/>
              <w:rPr>
                <w:rFonts w:ascii="Times New Roman"/>
                <w:sz w:val="16"/>
              </w:rPr>
            </w:pPr>
          </w:p>
        </w:tc>
      </w:tr>
      <w:tr w:rsidR="00FA4AA8" w14:paraId="7601FC1D" w14:textId="77777777">
        <w:trPr>
          <w:trHeight w:val="248"/>
        </w:trPr>
        <w:tc>
          <w:tcPr>
            <w:tcW w:w="363" w:type="dxa"/>
          </w:tcPr>
          <w:p w14:paraId="21B12109" w14:textId="77777777" w:rsidR="00FA4AA8" w:rsidRDefault="00FA4AA8">
            <w:pPr>
              <w:pStyle w:val="TableParagraph"/>
              <w:rPr>
                <w:rFonts w:ascii="Times New Roman"/>
                <w:sz w:val="16"/>
              </w:rPr>
            </w:pPr>
          </w:p>
        </w:tc>
        <w:tc>
          <w:tcPr>
            <w:tcW w:w="7484" w:type="dxa"/>
          </w:tcPr>
          <w:p w14:paraId="234D119D" w14:textId="77777777" w:rsidR="00FA4AA8" w:rsidRDefault="0015611F">
            <w:pPr>
              <w:pStyle w:val="TableParagraph"/>
              <w:spacing w:before="31"/>
              <w:ind w:left="123"/>
              <w:rPr>
                <w:b/>
                <w:sz w:val="16"/>
              </w:rPr>
            </w:pPr>
            <w:r>
              <w:rPr>
                <w:b/>
                <w:sz w:val="16"/>
              </w:rPr>
              <w:t>Parent Entity (University) Only</w:t>
            </w:r>
          </w:p>
        </w:tc>
        <w:tc>
          <w:tcPr>
            <w:tcW w:w="1952" w:type="dxa"/>
          </w:tcPr>
          <w:p w14:paraId="5EA9887A" w14:textId="77777777" w:rsidR="00FA4AA8" w:rsidRDefault="0015611F">
            <w:pPr>
              <w:pStyle w:val="TableParagraph"/>
              <w:spacing w:before="31"/>
              <w:ind w:right="98"/>
              <w:jc w:val="right"/>
              <w:rPr>
                <w:b/>
                <w:sz w:val="16"/>
              </w:rPr>
            </w:pPr>
            <w:r>
              <w:rPr>
                <w:b/>
                <w:sz w:val="16"/>
              </w:rPr>
              <w:t>Note</w:t>
            </w:r>
          </w:p>
        </w:tc>
        <w:tc>
          <w:tcPr>
            <w:tcW w:w="3492" w:type="dxa"/>
          </w:tcPr>
          <w:p w14:paraId="28E5A55C" w14:textId="77777777" w:rsidR="00FA4AA8" w:rsidRDefault="0015611F">
            <w:pPr>
              <w:pStyle w:val="TableParagraph"/>
              <w:tabs>
                <w:tab w:val="left" w:pos="1274"/>
                <w:tab w:val="left" w:pos="2560"/>
              </w:tabs>
              <w:spacing w:before="31"/>
              <w:ind w:right="96"/>
              <w:jc w:val="right"/>
              <w:rPr>
                <w:b/>
                <w:sz w:val="16"/>
              </w:rPr>
            </w:pPr>
            <w:r>
              <w:rPr>
                <w:b/>
                <w:sz w:val="16"/>
              </w:rPr>
              <w:t>$'000</w:t>
            </w:r>
            <w:r>
              <w:rPr>
                <w:b/>
                <w:sz w:val="16"/>
              </w:rPr>
              <w:tab/>
              <w:t>$'000</w:t>
            </w:r>
            <w:r>
              <w:rPr>
                <w:b/>
                <w:sz w:val="16"/>
              </w:rPr>
              <w:tab/>
            </w:r>
            <w:r>
              <w:rPr>
                <w:b/>
                <w:spacing w:val="-1"/>
                <w:sz w:val="16"/>
              </w:rPr>
              <w:t>$'000</w:t>
            </w:r>
          </w:p>
        </w:tc>
        <w:tc>
          <w:tcPr>
            <w:tcW w:w="652" w:type="dxa"/>
          </w:tcPr>
          <w:p w14:paraId="0D0589A0" w14:textId="77777777" w:rsidR="00FA4AA8" w:rsidRDefault="00FA4AA8">
            <w:pPr>
              <w:pStyle w:val="TableParagraph"/>
              <w:rPr>
                <w:rFonts w:ascii="Times New Roman"/>
                <w:sz w:val="16"/>
              </w:rPr>
            </w:pPr>
          </w:p>
        </w:tc>
        <w:tc>
          <w:tcPr>
            <w:tcW w:w="667" w:type="dxa"/>
          </w:tcPr>
          <w:p w14:paraId="287D7261" w14:textId="77777777" w:rsidR="00FA4AA8" w:rsidRDefault="0015611F">
            <w:pPr>
              <w:pStyle w:val="TableParagraph"/>
              <w:spacing w:before="31"/>
              <w:ind w:left="118"/>
              <w:rPr>
                <w:b/>
                <w:sz w:val="16"/>
              </w:rPr>
            </w:pPr>
            <w:r>
              <w:rPr>
                <w:b/>
                <w:sz w:val="16"/>
              </w:rPr>
              <w:t>$'000</w:t>
            </w:r>
          </w:p>
        </w:tc>
        <w:tc>
          <w:tcPr>
            <w:tcW w:w="287" w:type="dxa"/>
          </w:tcPr>
          <w:p w14:paraId="6F99B001" w14:textId="77777777" w:rsidR="00FA4AA8" w:rsidRDefault="00FA4AA8">
            <w:pPr>
              <w:pStyle w:val="TableParagraph"/>
              <w:rPr>
                <w:rFonts w:ascii="Times New Roman"/>
                <w:sz w:val="16"/>
              </w:rPr>
            </w:pPr>
          </w:p>
        </w:tc>
      </w:tr>
      <w:tr w:rsidR="00FA4AA8" w14:paraId="4C35D92F" w14:textId="77777777">
        <w:trPr>
          <w:trHeight w:val="214"/>
        </w:trPr>
        <w:tc>
          <w:tcPr>
            <w:tcW w:w="363" w:type="dxa"/>
          </w:tcPr>
          <w:p w14:paraId="4531D826" w14:textId="77777777" w:rsidR="00FA4AA8" w:rsidRDefault="00FA4AA8">
            <w:pPr>
              <w:pStyle w:val="TableParagraph"/>
              <w:rPr>
                <w:rFonts w:ascii="Times New Roman"/>
                <w:sz w:val="14"/>
              </w:rPr>
            </w:pPr>
          </w:p>
        </w:tc>
        <w:tc>
          <w:tcPr>
            <w:tcW w:w="7484" w:type="dxa"/>
          </w:tcPr>
          <w:p w14:paraId="243E0E23" w14:textId="77777777" w:rsidR="00FA4AA8" w:rsidRDefault="0015611F">
            <w:pPr>
              <w:pStyle w:val="TableParagraph"/>
              <w:spacing w:before="28" w:line="167" w:lineRule="exact"/>
              <w:ind w:left="123"/>
              <w:rPr>
                <w:sz w:val="16"/>
              </w:rPr>
            </w:pPr>
            <w:r>
              <w:rPr>
                <w:sz w:val="16"/>
              </w:rPr>
              <w:t>Financial assistance received in CASH during the reporting</w:t>
            </w:r>
          </w:p>
        </w:tc>
        <w:tc>
          <w:tcPr>
            <w:tcW w:w="1952" w:type="dxa"/>
          </w:tcPr>
          <w:p w14:paraId="7BB11081" w14:textId="77777777" w:rsidR="00FA4AA8" w:rsidRDefault="00FA4AA8">
            <w:pPr>
              <w:pStyle w:val="TableParagraph"/>
              <w:rPr>
                <w:rFonts w:ascii="Times New Roman"/>
                <w:sz w:val="14"/>
              </w:rPr>
            </w:pPr>
          </w:p>
        </w:tc>
        <w:tc>
          <w:tcPr>
            <w:tcW w:w="3492" w:type="dxa"/>
          </w:tcPr>
          <w:p w14:paraId="52D3231E" w14:textId="77777777" w:rsidR="00FA4AA8" w:rsidRDefault="00FA4AA8">
            <w:pPr>
              <w:pStyle w:val="TableParagraph"/>
              <w:rPr>
                <w:rFonts w:ascii="Times New Roman"/>
                <w:sz w:val="14"/>
              </w:rPr>
            </w:pPr>
          </w:p>
        </w:tc>
        <w:tc>
          <w:tcPr>
            <w:tcW w:w="652" w:type="dxa"/>
          </w:tcPr>
          <w:p w14:paraId="08F7124A" w14:textId="77777777" w:rsidR="00FA4AA8" w:rsidRDefault="00FA4AA8">
            <w:pPr>
              <w:pStyle w:val="TableParagraph"/>
              <w:rPr>
                <w:rFonts w:ascii="Times New Roman"/>
                <w:sz w:val="14"/>
              </w:rPr>
            </w:pPr>
          </w:p>
        </w:tc>
        <w:tc>
          <w:tcPr>
            <w:tcW w:w="667" w:type="dxa"/>
          </w:tcPr>
          <w:p w14:paraId="098552F0" w14:textId="77777777" w:rsidR="00FA4AA8" w:rsidRDefault="00FA4AA8">
            <w:pPr>
              <w:pStyle w:val="TableParagraph"/>
              <w:rPr>
                <w:rFonts w:ascii="Times New Roman"/>
                <w:sz w:val="14"/>
              </w:rPr>
            </w:pPr>
          </w:p>
        </w:tc>
        <w:tc>
          <w:tcPr>
            <w:tcW w:w="287" w:type="dxa"/>
          </w:tcPr>
          <w:p w14:paraId="5ACB818D" w14:textId="77777777" w:rsidR="00FA4AA8" w:rsidRDefault="00FA4AA8">
            <w:pPr>
              <w:pStyle w:val="TableParagraph"/>
              <w:rPr>
                <w:rFonts w:ascii="Times New Roman"/>
                <w:sz w:val="14"/>
              </w:rPr>
            </w:pPr>
          </w:p>
        </w:tc>
      </w:tr>
      <w:tr w:rsidR="00FA4AA8" w14:paraId="794D0453" w14:textId="77777777">
        <w:trPr>
          <w:trHeight w:val="397"/>
        </w:trPr>
        <w:tc>
          <w:tcPr>
            <w:tcW w:w="363" w:type="dxa"/>
          </w:tcPr>
          <w:p w14:paraId="48D9CD8B" w14:textId="77777777" w:rsidR="00FA4AA8" w:rsidRDefault="00FA4AA8">
            <w:pPr>
              <w:pStyle w:val="TableParagraph"/>
              <w:rPr>
                <w:rFonts w:ascii="Times New Roman"/>
                <w:sz w:val="16"/>
              </w:rPr>
            </w:pPr>
          </w:p>
        </w:tc>
        <w:tc>
          <w:tcPr>
            <w:tcW w:w="7484" w:type="dxa"/>
          </w:tcPr>
          <w:p w14:paraId="66AF35CB" w14:textId="77777777" w:rsidR="00FA4AA8" w:rsidRDefault="0015611F">
            <w:pPr>
              <w:pStyle w:val="TableParagraph"/>
              <w:ind w:left="123" w:right="2738"/>
              <w:rPr>
                <w:sz w:val="16"/>
              </w:rPr>
            </w:pPr>
            <w:r>
              <w:rPr>
                <w:sz w:val="16"/>
              </w:rPr>
              <w:t>period (total cash received from the Australian Government for the program)</w:t>
            </w:r>
          </w:p>
        </w:tc>
        <w:tc>
          <w:tcPr>
            <w:tcW w:w="1952" w:type="dxa"/>
          </w:tcPr>
          <w:p w14:paraId="6AAFA6F4" w14:textId="77777777" w:rsidR="00FA4AA8" w:rsidRDefault="00FA4AA8">
            <w:pPr>
              <w:pStyle w:val="TableParagraph"/>
              <w:rPr>
                <w:rFonts w:ascii="Times New Roman"/>
                <w:sz w:val="16"/>
              </w:rPr>
            </w:pPr>
          </w:p>
        </w:tc>
        <w:tc>
          <w:tcPr>
            <w:tcW w:w="3492" w:type="dxa"/>
          </w:tcPr>
          <w:p w14:paraId="6FA4C24B" w14:textId="77777777" w:rsidR="00FA4AA8" w:rsidRDefault="00FA4AA8">
            <w:pPr>
              <w:pStyle w:val="TableParagraph"/>
              <w:spacing w:before="7"/>
              <w:rPr>
                <w:b/>
                <w:sz w:val="15"/>
              </w:rPr>
            </w:pPr>
          </w:p>
          <w:p w14:paraId="1EBEA76B" w14:textId="77777777" w:rsidR="00FA4AA8" w:rsidRDefault="0015611F">
            <w:pPr>
              <w:pStyle w:val="TableParagraph"/>
              <w:tabs>
                <w:tab w:val="left" w:pos="2416"/>
              </w:tabs>
              <w:spacing w:before="1"/>
              <w:ind w:left="1142"/>
              <w:rPr>
                <w:sz w:val="16"/>
              </w:rPr>
            </w:pPr>
            <w:r>
              <w:rPr>
                <w:b/>
                <w:sz w:val="16"/>
              </w:rPr>
              <w:t>-</w:t>
            </w:r>
            <w:r>
              <w:rPr>
                <w:b/>
                <w:sz w:val="16"/>
              </w:rPr>
              <w:tab/>
            </w:r>
            <w:r>
              <w:rPr>
                <w:sz w:val="16"/>
              </w:rPr>
              <w:t>-</w:t>
            </w:r>
          </w:p>
        </w:tc>
        <w:tc>
          <w:tcPr>
            <w:tcW w:w="652" w:type="dxa"/>
          </w:tcPr>
          <w:p w14:paraId="13296434" w14:textId="77777777" w:rsidR="00FA4AA8" w:rsidRDefault="00FA4AA8">
            <w:pPr>
              <w:pStyle w:val="TableParagraph"/>
              <w:spacing w:before="7"/>
              <w:rPr>
                <w:b/>
                <w:sz w:val="15"/>
              </w:rPr>
            </w:pPr>
          </w:p>
          <w:p w14:paraId="35F5D870" w14:textId="77777777" w:rsidR="00FA4AA8" w:rsidRDefault="0015611F">
            <w:pPr>
              <w:pStyle w:val="TableParagraph"/>
              <w:spacing w:before="1"/>
              <w:ind w:right="150"/>
              <w:jc w:val="center"/>
              <w:rPr>
                <w:b/>
                <w:sz w:val="16"/>
              </w:rPr>
            </w:pPr>
            <w:r>
              <w:rPr>
                <w:b/>
                <w:sz w:val="16"/>
              </w:rPr>
              <w:t>-</w:t>
            </w:r>
          </w:p>
        </w:tc>
        <w:tc>
          <w:tcPr>
            <w:tcW w:w="667" w:type="dxa"/>
          </w:tcPr>
          <w:p w14:paraId="337D0759" w14:textId="77777777" w:rsidR="00FA4AA8" w:rsidRDefault="00FA4AA8">
            <w:pPr>
              <w:pStyle w:val="TableParagraph"/>
              <w:rPr>
                <w:rFonts w:ascii="Times New Roman"/>
                <w:sz w:val="16"/>
              </w:rPr>
            </w:pPr>
          </w:p>
        </w:tc>
        <w:tc>
          <w:tcPr>
            <w:tcW w:w="287" w:type="dxa"/>
          </w:tcPr>
          <w:p w14:paraId="5E8F9FD2" w14:textId="77777777" w:rsidR="00FA4AA8" w:rsidRDefault="00FA4AA8">
            <w:pPr>
              <w:pStyle w:val="TableParagraph"/>
              <w:spacing w:before="7"/>
              <w:rPr>
                <w:b/>
                <w:sz w:val="15"/>
              </w:rPr>
            </w:pPr>
          </w:p>
          <w:p w14:paraId="46F327DC" w14:textId="77777777" w:rsidR="00FA4AA8" w:rsidRDefault="0015611F">
            <w:pPr>
              <w:pStyle w:val="TableParagraph"/>
              <w:spacing w:before="1"/>
              <w:ind w:right="77"/>
              <w:jc w:val="right"/>
              <w:rPr>
                <w:sz w:val="16"/>
              </w:rPr>
            </w:pPr>
            <w:r>
              <w:rPr>
                <w:sz w:val="16"/>
              </w:rPr>
              <w:t>-</w:t>
            </w:r>
          </w:p>
        </w:tc>
      </w:tr>
      <w:tr w:rsidR="00FA4AA8" w14:paraId="4140ACCC" w14:textId="77777777">
        <w:trPr>
          <w:trHeight w:val="236"/>
        </w:trPr>
        <w:tc>
          <w:tcPr>
            <w:tcW w:w="363" w:type="dxa"/>
          </w:tcPr>
          <w:p w14:paraId="1AABE974" w14:textId="77777777" w:rsidR="00FA4AA8" w:rsidRDefault="00FA4AA8">
            <w:pPr>
              <w:pStyle w:val="TableParagraph"/>
              <w:rPr>
                <w:rFonts w:ascii="Times New Roman"/>
                <w:sz w:val="16"/>
              </w:rPr>
            </w:pPr>
          </w:p>
        </w:tc>
        <w:tc>
          <w:tcPr>
            <w:tcW w:w="7484" w:type="dxa"/>
          </w:tcPr>
          <w:p w14:paraId="5027C003" w14:textId="77777777" w:rsidR="00FA4AA8" w:rsidRDefault="0015611F">
            <w:pPr>
              <w:pStyle w:val="TableParagraph"/>
              <w:spacing w:before="28"/>
              <w:ind w:left="123"/>
              <w:rPr>
                <w:sz w:val="16"/>
              </w:rPr>
            </w:pPr>
            <w:r>
              <w:rPr>
                <w:sz w:val="16"/>
              </w:rPr>
              <w:t>Net accrual adjustments</w:t>
            </w:r>
          </w:p>
        </w:tc>
        <w:tc>
          <w:tcPr>
            <w:tcW w:w="1952" w:type="dxa"/>
          </w:tcPr>
          <w:p w14:paraId="1FFE07C3" w14:textId="77777777" w:rsidR="00FA4AA8" w:rsidRDefault="00FA4AA8">
            <w:pPr>
              <w:pStyle w:val="TableParagraph"/>
              <w:rPr>
                <w:rFonts w:ascii="Times New Roman"/>
                <w:sz w:val="16"/>
              </w:rPr>
            </w:pPr>
          </w:p>
        </w:tc>
        <w:tc>
          <w:tcPr>
            <w:tcW w:w="3492" w:type="dxa"/>
            <w:tcBorders>
              <w:bottom w:val="single" w:sz="8" w:space="0" w:color="000000"/>
            </w:tcBorders>
          </w:tcPr>
          <w:p w14:paraId="6F7C810E" w14:textId="77777777" w:rsidR="00FA4AA8" w:rsidRDefault="0015611F">
            <w:pPr>
              <w:pStyle w:val="TableParagraph"/>
              <w:tabs>
                <w:tab w:val="left" w:pos="2416"/>
              </w:tabs>
              <w:spacing w:before="25"/>
              <w:ind w:left="1017"/>
              <w:rPr>
                <w:sz w:val="16"/>
              </w:rPr>
            </w:pPr>
            <w:r>
              <w:rPr>
                <w:b/>
                <w:sz w:val="16"/>
              </w:rPr>
              <w:t>25</w:t>
            </w:r>
            <w:r>
              <w:rPr>
                <w:b/>
                <w:sz w:val="16"/>
              </w:rPr>
              <w:tab/>
            </w:r>
            <w:r>
              <w:rPr>
                <w:sz w:val="16"/>
              </w:rPr>
              <w:t>-</w:t>
            </w:r>
          </w:p>
        </w:tc>
        <w:tc>
          <w:tcPr>
            <w:tcW w:w="652" w:type="dxa"/>
            <w:tcBorders>
              <w:bottom w:val="single" w:sz="8" w:space="0" w:color="000000"/>
            </w:tcBorders>
          </w:tcPr>
          <w:p w14:paraId="166FDF4A" w14:textId="77777777" w:rsidR="00FA4AA8" w:rsidRDefault="0015611F">
            <w:pPr>
              <w:pStyle w:val="TableParagraph"/>
              <w:spacing w:before="25"/>
              <w:ind w:left="98"/>
              <w:rPr>
                <w:b/>
                <w:sz w:val="16"/>
              </w:rPr>
            </w:pPr>
            <w:r>
              <w:rPr>
                <w:b/>
                <w:sz w:val="16"/>
              </w:rPr>
              <w:t>25</w:t>
            </w:r>
          </w:p>
        </w:tc>
        <w:tc>
          <w:tcPr>
            <w:tcW w:w="667" w:type="dxa"/>
            <w:tcBorders>
              <w:bottom w:val="single" w:sz="8" w:space="0" w:color="000000"/>
            </w:tcBorders>
          </w:tcPr>
          <w:p w14:paraId="5CD5CE42" w14:textId="77777777" w:rsidR="00FA4AA8" w:rsidRDefault="00FA4AA8">
            <w:pPr>
              <w:pStyle w:val="TableParagraph"/>
              <w:rPr>
                <w:rFonts w:ascii="Times New Roman"/>
                <w:sz w:val="16"/>
              </w:rPr>
            </w:pPr>
          </w:p>
        </w:tc>
        <w:tc>
          <w:tcPr>
            <w:tcW w:w="287" w:type="dxa"/>
            <w:tcBorders>
              <w:bottom w:val="single" w:sz="8" w:space="0" w:color="000000"/>
            </w:tcBorders>
          </w:tcPr>
          <w:p w14:paraId="1156928C" w14:textId="77777777" w:rsidR="00FA4AA8" w:rsidRDefault="0015611F">
            <w:pPr>
              <w:pStyle w:val="TableParagraph"/>
              <w:spacing w:before="25"/>
              <w:ind w:right="77"/>
              <w:jc w:val="right"/>
              <w:rPr>
                <w:sz w:val="16"/>
              </w:rPr>
            </w:pPr>
            <w:r>
              <w:rPr>
                <w:sz w:val="16"/>
              </w:rPr>
              <w:t>-</w:t>
            </w:r>
          </w:p>
        </w:tc>
      </w:tr>
      <w:tr w:rsidR="00FA4AA8" w14:paraId="6B4B05A4" w14:textId="77777777">
        <w:trPr>
          <w:trHeight w:val="247"/>
        </w:trPr>
        <w:tc>
          <w:tcPr>
            <w:tcW w:w="363" w:type="dxa"/>
          </w:tcPr>
          <w:p w14:paraId="6931E0D4" w14:textId="77777777" w:rsidR="00FA4AA8" w:rsidRDefault="00FA4AA8">
            <w:pPr>
              <w:pStyle w:val="TableParagraph"/>
              <w:rPr>
                <w:rFonts w:ascii="Times New Roman"/>
                <w:sz w:val="16"/>
              </w:rPr>
            </w:pPr>
          </w:p>
        </w:tc>
        <w:tc>
          <w:tcPr>
            <w:tcW w:w="7484" w:type="dxa"/>
          </w:tcPr>
          <w:p w14:paraId="398B133C" w14:textId="77777777" w:rsidR="00FA4AA8" w:rsidRDefault="0015611F">
            <w:pPr>
              <w:pStyle w:val="TableParagraph"/>
              <w:spacing w:before="33"/>
              <w:ind w:left="123"/>
              <w:rPr>
                <w:sz w:val="16"/>
              </w:rPr>
            </w:pPr>
            <w:r>
              <w:rPr>
                <w:sz w:val="16"/>
              </w:rPr>
              <w:t>Revenue for the period</w:t>
            </w:r>
          </w:p>
        </w:tc>
        <w:tc>
          <w:tcPr>
            <w:tcW w:w="1952" w:type="dxa"/>
          </w:tcPr>
          <w:p w14:paraId="276DC60E" w14:textId="77777777" w:rsidR="00FA4AA8" w:rsidRDefault="0015611F">
            <w:pPr>
              <w:pStyle w:val="TableParagraph"/>
              <w:spacing w:before="28"/>
              <w:ind w:right="230"/>
              <w:jc w:val="right"/>
              <w:rPr>
                <w:sz w:val="16"/>
              </w:rPr>
            </w:pPr>
            <w:r>
              <w:rPr>
                <w:sz w:val="16"/>
              </w:rPr>
              <w:t>2</w:t>
            </w:r>
          </w:p>
        </w:tc>
        <w:tc>
          <w:tcPr>
            <w:tcW w:w="3492" w:type="dxa"/>
            <w:tcBorders>
              <w:top w:val="single" w:sz="8" w:space="0" w:color="000000"/>
            </w:tcBorders>
          </w:tcPr>
          <w:p w14:paraId="3953D816" w14:textId="77777777" w:rsidR="00FA4AA8" w:rsidRDefault="0015611F">
            <w:pPr>
              <w:pStyle w:val="TableParagraph"/>
              <w:tabs>
                <w:tab w:val="left" w:pos="2416"/>
              </w:tabs>
              <w:spacing w:before="30"/>
              <w:ind w:left="1017"/>
              <w:rPr>
                <w:sz w:val="16"/>
              </w:rPr>
            </w:pPr>
            <w:r>
              <w:rPr>
                <w:b/>
                <w:sz w:val="16"/>
              </w:rPr>
              <w:t>25</w:t>
            </w:r>
            <w:r>
              <w:rPr>
                <w:b/>
                <w:sz w:val="16"/>
              </w:rPr>
              <w:tab/>
            </w:r>
            <w:r>
              <w:rPr>
                <w:sz w:val="16"/>
              </w:rPr>
              <w:t>-</w:t>
            </w:r>
          </w:p>
        </w:tc>
        <w:tc>
          <w:tcPr>
            <w:tcW w:w="652" w:type="dxa"/>
            <w:tcBorders>
              <w:top w:val="single" w:sz="8" w:space="0" w:color="000000"/>
            </w:tcBorders>
          </w:tcPr>
          <w:p w14:paraId="60958507" w14:textId="77777777" w:rsidR="00FA4AA8" w:rsidRDefault="0015611F">
            <w:pPr>
              <w:pStyle w:val="TableParagraph"/>
              <w:spacing w:before="30"/>
              <w:ind w:left="98"/>
              <w:rPr>
                <w:b/>
                <w:sz w:val="16"/>
              </w:rPr>
            </w:pPr>
            <w:r>
              <w:rPr>
                <w:b/>
                <w:sz w:val="16"/>
              </w:rPr>
              <w:t>25</w:t>
            </w:r>
          </w:p>
        </w:tc>
        <w:tc>
          <w:tcPr>
            <w:tcW w:w="667" w:type="dxa"/>
            <w:tcBorders>
              <w:top w:val="single" w:sz="8" w:space="0" w:color="000000"/>
            </w:tcBorders>
          </w:tcPr>
          <w:p w14:paraId="631D50DB" w14:textId="77777777" w:rsidR="00FA4AA8" w:rsidRDefault="00FA4AA8">
            <w:pPr>
              <w:pStyle w:val="TableParagraph"/>
              <w:rPr>
                <w:rFonts w:ascii="Times New Roman"/>
                <w:sz w:val="16"/>
              </w:rPr>
            </w:pPr>
          </w:p>
        </w:tc>
        <w:tc>
          <w:tcPr>
            <w:tcW w:w="287" w:type="dxa"/>
            <w:tcBorders>
              <w:top w:val="single" w:sz="8" w:space="0" w:color="000000"/>
            </w:tcBorders>
          </w:tcPr>
          <w:p w14:paraId="76B3D04D" w14:textId="77777777" w:rsidR="00FA4AA8" w:rsidRDefault="0015611F">
            <w:pPr>
              <w:pStyle w:val="TableParagraph"/>
              <w:spacing w:before="30"/>
              <w:ind w:right="77"/>
              <w:jc w:val="right"/>
              <w:rPr>
                <w:sz w:val="16"/>
              </w:rPr>
            </w:pPr>
            <w:r>
              <w:rPr>
                <w:sz w:val="16"/>
              </w:rPr>
              <w:t>-</w:t>
            </w:r>
          </w:p>
        </w:tc>
      </w:tr>
      <w:tr w:rsidR="00FA4AA8" w14:paraId="05B7AB34" w14:textId="77777777">
        <w:trPr>
          <w:trHeight w:val="236"/>
        </w:trPr>
        <w:tc>
          <w:tcPr>
            <w:tcW w:w="363" w:type="dxa"/>
          </w:tcPr>
          <w:p w14:paraId="38246588" w14:textId="77777777" w:rsidR="00FA4AA8" w:rsidRDefault="00FA4AA8">
            <w:pPr>
              <w:pStyle w:val="TableParagraph"/>
              <w:rPr>
                <w:rFonts w:ascii="Times New Roman"/>
                <w:sz w:val="16"/>
              </w:rPr>
            </w:pPr>
          </w:p>
        </w:tc>
        <w:tc>
          <w:tcPr>
            <w:tcW w:w="7484" w:type="dxa"/>
          </w:tcPr>
          <w:p w14:paraId="6757DD1C" w14:textId="77777777" w:rsidR="00FA4AA8" w:rsidRDefault="0015611F">
            <w:pPr>
              <w:pStyle w:val="TableParagraph"/>
              <w:spacing w:before="28"/>
              <w:ind w:left="123"/>
              <w:rPr>
                <w:sz w:val="16"/>
              </w:rPr>
            </w:pPr>
            <w:bookmarkStart w:id="90" w:name="(e)_Australian_Research_Council_Grants"/>
            <w:bookmarkEnd w:id="90"/>
            <w:r>
              <w:rPr>
                <w:sz w:val="16"/>
              </w:rPr>
              <w:t>Surplus/(deficit) from the previous year</w:t>
            </w:r>
          </w:p>
        </w:tc>
        <w:tc>
          <w:tcPr>
            <w:tcW w:w="1952" w:type="dxa"/>
          </w:tcPr>
          <w:p w14:paraId="30CA58AF" w14:textId="77777777" w:rsidR="00FA4AA8" w:rsidRDefault="00FA4AA8">
            <w:pPr>
              <w:pStyle w:val="TableParagraph"/>
              <w:rPr>
                <w:rFonts w:ascii="Times New Roman"/>
                <w:sz w:val="16"/>
              </w:rPr>
            </w:pPr>
          </w:p>
        </w:tc>
        <w:tc>
          <w:tcPr>
            <w:tcW w:w="3492" w:type="dxa"/>
            <w:tcBorders>
              <w:bottom w:val="single" w:sz="8" w:space="0" w:color="000000"/>
            </w:tcBorders>
          </w:tcPr>
          <w:p w14:paraId="5DB8FF6C" w14:textId="77777777" w:rsidR="00FA4AA8" w:rsidRDefault="0015611F">
            <w:pPr>
              <w:pStyle w:val="TableParagraph"/>
              <w:tabs>
                <w:tab w:val="left" w:pos="2416"/>
              </w:tabs>
              <w:spacing w:before="25"/>
              <w:ind w:left="1142"/>
              <w:rPr>
                <w:sz w:val="16"/>
              </w:rPr>
            </w:pPr>
            <w:r>
              <w:rPr>
                <w:b/>
                <w:sz w:val="16"/>
              </w:rPr>
              <w:t>-</w:t>
            </w:r>
            <w:r>
              <w:rPr>
                <w:b/>
                <w:sz w:val="16"/>
              </w:rPr>
              <w:tab/>
            </w:r>
            <w:r>
              <w:rPr>
                <w:sz w:val="16"/>
              </w:rPr>
              <w:t>-</w:t>
            </w:r>
          </w:p>
        </w:tc>
        <w:tc>
          <w:tcPr>
            <w:tcW w:w="652" w:type="dxa"/>
            <w:tcBorders>
              <w:bottom w:val="single" w:sz="8" w:space="0" w:color="000000"/>
            </w:tcBorders>
          </w:tcPr>
          <w:p w14:paraId="1D2BC7E0" w14:textId="77777777" w:rsidR="00FA4AA8" w:rsidRDefault="0015611F">
            <w:pPr>
              <w:pStyle w:val="TableParagraph"/>
              <w:spacing w:before="25"/>
              <w:ind w:right="150"/>
              <w:jc w:val="center"/>
              <w:rPr>
                <w:b/>
                <w:sz w:val="16"/>
              </w:rPr>
            </w:pPr>
            <w:r>
              <w:rPr>
                <w:b/>
                <w:sz w:val="16"/>
              </w:rPr>
              <w:t>-</w:t>
            </w:r>
          </w:p>
        </w:tc>
        <w:tc>
          <w:tcPr>
            <w:tcW w:w="667" w:type="dxa"/>
            <w:tcBorders>
              <w:bottom w:val="single" w:sz="8" w:space="0" w:color="000000"/>
            </w:tcBorders>
          </w:tcPr>
          <w:p w14:paraId="339F9698" w14:textId="77777777" w:rsidR="00FA4AA8" w:rsidRDefault="00FA4AA8">
            <w:pPr>
              <w:pStyle w:val="TableParagraph"/>
              <w:rPr>
                <w:rFonts w:ascii="Times New Roman"/>
                <w:sz w:val="16"/>
              </w:rPr>
            </w:pPr>
          </w:p>
        </w:tc>
        <w:tc>
          <w:tcPr>
            <w:tcW w:w="287" w:type="dxa"/>
            <w:tcBorders>
              <w:bottom w:val="single" w:sz="8" w:space="0" w:color="000000"/>
            </w:tcBorders>
          </w:tcPr>
          <w:p w14:paraId="0C61243B" w14:textId="77777777" w:rsidR="00FA4AA8" w:rsidRDefault="0015611F">
            <w:pPr>
              <w:pStyle w:val="TableParagraph"/>
              <w:spacing w:before="25"/>
              <w:ind w:right="77"/>
              <w:jc w:val="right"/>
              <w:rPr>
                <w:sz w:val="16"/>
              </w:rPr>
            </w:pPr>
            <w:r>
              <w:rPr>
                <w:sz w:val="16"/>
              </w:rPr>
              <w:t>-</w:t>
            </w:r>
          </w:p>
        </w:tc>
      </w:tr>
      <w:tr w:rsidR="00FA4AA8" w14:paraId="4E8A8673" w14:textId="77777777">
        <w:trPr>
          <w:trHeight w:val="247"/>
        </w:trPr>
        <w:tc>
          <w:tcPr>
            <w:tcW w:w="363" w:type="dxa"/>
          </w:tcPr>
          <w:p w14:paraId="722F8D1B" w14:textId="77777777" w:rsidR="00FA4AA8" w:rsidRDefault="00FA4AA8">
            <w:pPr>
              <w:pStyle w:val="TableParagraph"/>
              <w:rPr>
                <w:rFonts w:ascii="Times New Roman"/>
                <w:sz w:val="16"/>
              </w:rPr>
            </w:pPr>
          </w:p>
        </w:tc>
        <w:tc>
          <w:tcPr>
            <w:tcW w:w="7484" w:type="dxa"/>
          </w:tcPr>
          <w:p w14:paraId="25452CE3" w14:textId="77777777" w:rsidR="00FA4AA8" w:rsidRDefault="0015611F">
            <w:pPr>
              <w:pStyle w:val="TableParagraph"/>
              <w:spacing w:before="33"/>
              <w:ind w:left="123"/>
              <w:rPr>
                <w:sz w:val="16"/>
              </w:rPr>
            </w:pPr>
            <w:r>
              <w:rPr>
                <w:sz w:val="16"/>
              </w:rPr>
              <w:t>Total revenue including accrued revenue</w:t>
            </w:r>
          </w:p>
        </w:tc>
        <w:tc>
          <w:tcPr>
            <w:tcW w:w="1952" w:type="dxa"/>
          </w:tcPr>
          <w:p w14:paraId="69D7BF7A" w14:textId="77777777" w:rsidR="00FA4AA8" w:rsidRDefault="00FA4AA8">
            <w:pPr>
              <w:pStyle w:val="TableParagraph"/>
              <w:rPr>
                <w:rFonts w:ascii="Times New Roman"/>
                <w:sz w:val="16"/>
              </w:rPr>
            </w:pPr>
          </w:p>
        </w:tc>
        <w:tc>
          <w:tcPr>
            <w:tcW w:w="3492" w:type="dxa"/>
            <w:tcBorders>
              <w:top w:val="single" w:sz="8" w:space="0" w:color="000000"/>
            </w:tcBorders>
          </w:tcPr>
          <w:p w14:paraId="14D9A24F" w14:textId="77777777" w:rsidR="00FA4AA8" w:rsidRDefault="0015611F">
            <w:pPr>
              <w:pStyle w:val="TableParagraph"/>
              <w:tabs>
                <w:tab w:val="left" w:pos="2416"/>
              </w:tabs>
              <w:spacing w:before="30"/>
              <w:ind w:left="1017"/>
              <w:rPr>
                <w:sz w:val="16"/>
              </w:rPr>
            </w:pPr>
            <w:r>
              <w:rPr>
                <w:b/>
                <w:sz w:val="16"/>
              </w:rPr>
              <w:t>25</w:t>
            </w:r>
            <w:r>
              <w:rPr>
                <w:b/>
                <w:sz w:val="16"/>
              </w:rPr>
              <w:tab/>
            </w:r>
            <w:r>
              <w:rPr>
                <w:sz w:val="16"/>
              </w:rPr>
              <w:t>-</w:t>
            </w:r>
          </w:p>
        </w:tc>
        <w:tc>
          <w:tcPr>
            <w:tcW w:w="652" w:type="dxa"/>
            <w:tcBorders>
              <w:top w:val="single" w:sz="8" w:space="0" w:color="000000"/>
            </w:tcBorders>
          </w:tcPr>
          <w:p w14:paraId="7C347541" w14:textId="77777777" w:rsidR="00FA4AA8" w:rsidRDefault="0015611F">
            <w:pPr>
              <w:pStyle w:val="TableParagraph"/>
              <w:spacing w:before="30"/>
              <w:ind w:left="98"/>
              <w:rPr>
                <w:b/>
                <w:sz w:val="16"/>
              </w:rPr>
            </w:pPr>
            <w:r>
              <w:rPr>
                <w:b/>
                <w:sz w:val="16"/>
              </w:rPr>
              <w:t>25</w:t>
            </w:r>
          </w:p>
        </w:tc>
        <w:tc>
          <w:tcPr>
            <w:tcW w:w="667" w:type="dxa"/>
            <w:tcBorders>
              <w:top w:val="single" w:sz="8" w:space="0" w:color="000000"/>
            </w:tcBorders>
          </w:tcPr>
          <w:p w14:paraId="0383468A" w14:textId="77777777" w:rsidR="00FA4AA8" w:rsidRDefault="00FA4AA8">
            <w:pPr>
              <w:pStyle w:val="TableParagraph"/>
              <w:rPr>
                <w:rFonts w:ascii="Times New Roman"/>
                <w:sz w:val="16"/>
              </w:rPr>
            </w:pPr>
          </w:p>
        </w:tc>
        <w:tc>
          <w:tcPr>
            <w:tcW w:w="287" w:type="dxa"/>
            <w:tcBorders>
              <w:top w:val="single" w:sz="8" w:space="0" w:color="000000"/>
            </w:tcBorders>
          </w:tcPr>
          <w:p w14:paraId="5E35BC6D" w14:textId="77777777" w:rsidR="00FA4AA8" w:rsidRDefault="0015611F">
            <w:pPr>
              <w:pStyle w:val="TableParagraph"/>
              <w:spacing w:before="30"/>
              <w:ind w:right="77"/>
              <w:jc w:val="right"/>
              <w:rPr>
                <w:sz w:val="16"/>
              </w:rPr>
            </w:pPr>
            <w:r>
              <w:rPr>
                <w:sz w:val="16"/>
              </w:rPr>
              <w:t>-</w:t>
            </w:r>
          </w:p>
        </w:tc>
      </w:tr>
      <w:tr w:rsidR="00FA4AA8" w14:paraId="176FE471" w14:textId="77777777">
        <w:trPr>
          <w:trHeight w:val="236"/>
        </w:trPr>
        <w:tc>
          <w:tcPr>
            <w:tcW w:w="363" w:type="dxa"/>
          </w:tcPr>
          <w:p w14:paraId="3354D659" w14:textId="77777777" w:rsidR="00FA4AA8" w:rsidRDefault="00FA4AA8">
            <w:pPr>
              <w:pStyle w:val="TableParagraph"/>
              <w:rPr>
                <w:rFonts w:ascii="Times New Roman"/>
                <w:sz w:val="16"/>
              </w:rPr>
            </w:pPr>
          </w:p>
        </w:tc>
        <w:tc>
          <w:tcPr>
            <w:tcW w:w="7484" w:type="dxa"/>
          </w:tcPr>
          <w:p w14:paraId="58AFF5BD" w14:textId="77777777" w:rsidR="00FA4AA8" w:rsidRDefault="0015611F">
            <w:pPr>
              <w:pStyle w:val="TableParagraph"/>
              <w:spacing w:before="28"/>
              <w:ind w:left="123"/>
              <w:rPr>
                <w:sz w:val="16"/>
              </w:rPr>
            </w:pPr>
            <w:r>
              <w:rPr>
                <w:sz w:val="16"/>
              </w:rPr>
              <w:t>Less expenses including accrued expenses</w:t>
            </w:r>
          </w:p>
        </w:tc>
        <w:tc>
          <w:tcPr>
            <w:tcW w:w="1952" w:type="dxa"/>
          </w:tcPr>
          <w:p w14:paraId="71733297" w14:textId="77777777" w:rsidR="00FA4AA8" w:rsidRDefault="00FA4AA8">
            <w:pPr>
              <w:pStyle w:val="TableParagraph"/>
              <w:rPr>
                <w:rFonts w:ascii="Times New Roman"/>
                <w:sz w:val="16"/>
              </w:rPr>
            </w:pPr>
          </w:p>
        </w:tc>
        <w:tc>
          <w:tcPr>
            <w:tcW w:w="3492" w:type="dxa"/>
            <w:tcBorders>
              <w:bottom w:val="single" w:sz="8" w:space="0" w:color="000000"/>
            </w:tcBorders>
          </w:tcPr>
          <w:p w14:paraId="6B68D060" w14:textId="77777777" w:rsidR="00FA4AA8" w:rsidRDefault="0015611F">
            <w:pPr>
              <w:pStyle w:val="TableParagraph"/>
              <w:tabs>
                <w:tab w:val="left" w:pos="2416"/>
              </w:tabs>
              <w:spacing w:before="25"/>
              <w:ind w:left="1142"/>
              <w:rPr>
                <w:sz w:val="16"/>
              </w:rPr>
            </w:pPr>
            <w:r>
              <w:rPr>
                <w:b/>
                <w:sz w:val="16"/>
              </w:rPr>
              <w:t>-</w:t>
            </w:r>
            <w:r>
              <w:rPr>
                <w:b/>
                <w:sz w:val="16"/>
              </w:rPr>
              <w:tab/>
            </w:r>
            <w:r>
              <w:rPr>
                <w:sz w:val="16"/>
              </w:rPr>
              <w:t>-</w:t>
            </w:r>
          </w:p>
        </w:tc>
        <w:tc>
          <w:tcPr>
            <w:tcW w:w="652" w:type="dxa"/>
            <w:tcBorders>
              <w:bottom w:val="single" w:sz="8" w:space="0" w:color="000000"/>
            </w:tcBorders>
          </w:tcPr>
          <w:p w14:paraId="2F0EE717" w14:textId="77777777" w:rsidR="00FA4AA8" w:rsidRDefault="0015611F">
            <w:pPr>
              <w:pStyle w:val="TableParagraph"/>
              <w:spacing w:before="25"/>
              <w:ind w:right="150"/>
              <w:jc w:val="center"/>
              <w:rPr>
                <w:b/>
                <w:sz w:val="16"/>
              </w:rPr>
            </w:pPr>
            <w:r>
              <w:rPr>
                <w:b/>
                <w:sz w:val="16"/>
              </w:rPr>
              <w:t>-</w:t>
            </w:r>
          </w:p>
        </w:tc>
        <w:tc>
          <w:tcPr>
            <w:tcW w:w="667" w:type="dxa"/>
            <w:tcBorders>
              <w:bottom w:val="single" w:sz="8" w:space="0" w:color="000000"/>
            </w:tcBorders>
          </w:tcPr>
          <w:p w14:paraId="69C42CB4" w14:textId="77777777" w:rsidR="00FA4AA8" w:rsidRDefault="00FA4AA8">
            <w:pPr>
              <w:pStyle w:val="TableParagraph"/>
              <w:rPr>
                <w:rFonts w:ascii="Times New Roman"/>
                <w:sz w:val="16"/>
              </w:rPr>
            </w:pPr>
          </w:p>
        </w:tc>
        <w:tc>
          <w:tcPr>
            <w:tcW w:w="287" w:type="dxa"/>
            <w:tcBorders>
              <w:bottom w:val="single" w:sz="8" w:space="0" w:color="000000"/>
            </w:tcBorders>
          </w:tcPr>
          <w:p w14:paraId="25F3DCF2" w14:textId="77777777" w:rsidR="00FA4AA8" w:rsidRDefault="0015611F">
            <w:pPr>
              <w:pStyle w:val="TableParagraph"/>
              <w:spacing w:before="25"/>
              <w:ind w:right="77"/>
              <w:jc w:val="right"/>
              <w:rPr>
                <w:sz w:val="16"/>
              </w:rPr>
            </w:pPr>
            <w:r>
              <w:rPr>
                <w:sz w:val="16"/>
              </w:rPr>
              <w:t>-</w:t>
            </w:r>
          </w:p>
        </w:tc>
      </w:tr>
      <w:tr w:rsidR="00FA4AA8" w14:paraId="22ABB66D" w14:textId="77777777">
        <w:trPr>
          <w:trHeight w:val="243"/>
        </w:trPr>
        <w:tc>
          <w:tcPr>
            <w:tcW w:w="363" w:type="dxa"/>
          </w:tcPr>
          <w:p w14:paraId="3A9B8331" w14:textId="77777777" w:rsidR="00FA4AA8" w:rsidRDefault="00FA4AA8">
            <w:pPr>
              <w:pStyle w:val="TableParagraph"/>
              <w:rPr>
                <w:rFonts w:ascii="Times New Roman"/>
                <w:sz w:val="16"/>
              </w:rPr>
            </w:pPr>
          </w:p>
        </w:tc>
        <w:tc>
          <w:tcPr>
            <w:tcW w:w="7484" w:type="dxa"/>
          </w:tcPr>
          <w:p w14:paraId="7B04B4DB" w14:textId="77777777" w:rsidR="00FA4AA8" w:rsidRDefault="0015611F">
            <w:pPr>
              <w:pStyle w:val="TableParagraph"/>
              <w:spacing w:before="33"/>
              <w:ind w:left="123"/>
              <w:rPr>
                <w:sz w:val="16"/>
              </w:rPr>
            </w:pPr>
            <w:r>
              <w:rPr>
                <w:sz w:val="16"/>
              </w:rPr>
              <w:t>Surplus/(deficit) for reporting period</w:t>
            </w:r>
          </w:p>
        </w:tc>
        <w:tc>
          <w:tcPr>
            <w:tcW w:w="1952" w:type="dxa"/>
          </w:tcPr>
          <w:p w14:paraId="7E9B2F63" w14:textId="77777777" w:rsidR="00FA4AA8" w:rsidRDefault="00FA4AA8">
            <w:pPr>
              <w:pStyle w:val="TableParagraph"/>
              <w:rPr>
                <w:rFonts w:ascii="Times New Roman"/>
                <w:sz w:val="16"/>
              </w:rPr>
            </w:pPr>
          </w:p>
        </w:tc>
        <w:tc>
          <w:tcPr>
            <w:tcW w:w="3492" w:type="dxa"/>
            <w:tcBorders>
              <w:top w:val="single" w:sz="8" w:space="0" w:color="000000"/>
              <w:bottom w:val="double" w:sz="2" w:space="0" w:color="000000"/>
            </w:tcBorders>
          </w:tcPr>
          <w:p w14:paraId="2275F6A8" w14:textId="77777777" w:rsidR="00FA4AA8" w:rsidRDefault="0015611F">
            <w:pPr>
              <w:pStyle w:val="TableParagraph"/>
              <w:tabs>
                <w:tab w:val="left" w:pos="2416"/>
              </w:tabs>
              <w:spacing w:before="30"/>
              <w:ind w:left="1017"/>
              <w:rPr>
                <w:sz w:val="16"/>
              </w:rPr>
            </w:pPr>
            <w:r>
              <w:rPr>
                <w:b/>
                <w:sz w:val="16"/>
              </w:rPr>
              <w:t>25</w:t>
            </w:r>
            <w:r>
              <w:rPr>
                <w:b/>
                <w:sz w:val="16"/>
              </w:rPr>
              <w:tab/>
            </w:r>
            <w:r>
              <w:rPr>
                <w:sz w:val="16"/>
              </w:rPr>
              <w:t>-</w:t>
            </w:r>
          </w:p>
        </w:tc>
        <w:tc>
          <w:tcPr>
            <w:tcW w:w="652" w:type="dxa"/>
            <w:tcBorders>
              <w:top w:val="single" w:sz="8" w:space="0" w:color="000000"/>
              <w:bottom w:val="double" w:sz="2" w:space="0" w:color="000000"/>
            </w:tcBorders>
          </w:tcPr>
          <w:p w14:paraId="22845117" w14:textId="77777777" w:rsidR="00FA4AA8" w:rsidRDefault="0015611F">
            <w:pPr>
              <w:pStyle w:val="TableParagraph"/>
              <w:spacing w:before="30"/>
              <w:ind w:left="98"/>
              <w:rPr>
                <w:b/>
                <w:sz w:val="16"/>
              </w:rPr>
            </w:pPr>
            <w:r>
              <w:rPr>
                <w:b/>
                <w:sz w:val="16"/>
              </w:rPr>
              <w:t>25</w:t>
            </w:r>
          </w:p>
        </w:tc>
        <w:tc>
          <w:tcPr>
            <w:tcW w:w="667" w:type="dxa"/>
            <w:tcBorders>
              <w:top w:val="single" w:sz="8" w:space="0" w:color="000000"/>
              <w:bottom w:val="double" w:sz="2" w:space="0" w:color="000000"/>
            </w:tcBorders>
          </w:tcPr>
          <w:p w14:paraId="4927B2D3" w14:textId="77777777" w:rsidR="00FA4AA8" w:rsidRDefault="00FA4AA8">
            <w:pPr>
              <w:pStyle w:val="TableParagraph"/>
              <w:rPr>
                <w:rFonts w:ascii="Times New Roman"/>
                <w:sz w:val="16"/>
              </w:rPr>
            </w:pPr>
          </w:p>
        </w:tc>
        <w:tc>
          <w:tcPr>
            <w:tcW w:w="287" w:type="dxa"/>
            <w:tcBorders>
              <w:top w:val="single" w:sz="8" w:space="0" w:color="000000"/>
              <w:bottom w:val="double" w:sz="2" w:space="0" w:color="000000"/>
            </w:tcBorders>
          </w:tcPr>
          <w:p w14:paraId="13042FD5" w14:textId="77777777" w:rsidR="00FA4AA8" w:rsidRDefault="0015611F">
            <w:pPr>
              <w:pStyle w:val="TableParagraph"/>
              <w:spacing w:before="30"/>
              <w:ind w:right="77"/>
              <w:jc w:val="right"/>
              <w:rPr>
                <w:sz w:val="16"/>
              </w:rPr>
            </w:pPr>
            <w:r>
              <w:rPr>
                <w:sz w:val="16"/>
              </w:rPr>
              <w:t>-</w:t>
            </w:r>
          </w:p>
        </w:tc>
      </w:tr>
    </w:tbl>
    <w:p w14:paraId="30824858" w14:textId="77777777" w:rsidR="00FA4AA8" w:rsidRDefault="00FA4AA8">
      <w:pPr>
        <w:pStyle w:val="BodyText"/>
        <w:rPr>
          <w:b/>
          <w:sz w:val="20"/>
        </w:rPr>
      </w:pPr>
    </w:p>
    <w:p w14:paraId="111E1C28" w14:textId="77777777" w:rsidR="00FA4AA8" w:rsidRDefault="00FA4AA8">
      <w:pPr>
        <w:pStyle w:val="BodyText"/>
        <w:spacing w:before="7"/>
        <w:rPr>
          <w:b/>
          <w:sz w:val="15"/>
        </w:rPr>
      </w:pPr>
    </w:p>
    <w:p w14:paraId="4B2AE93F" w14:textId="77777777" w:rsidR="00FA4AA8" w:rsidRDefault="00FA4AA8">
      <w:pPr>
        <w:rPr>
          <w:sz w:val="15"/>
        </w:rPr>
        <w:sectPr w:rsidR="00FA4AA8">
          <w:pgSz w:w="16840" w:h="11910" w:orient="landscape"/>
          <w:pgMar w:top="2220" w:right="880" w:bottom="720" w:left="840" w:header="1016" w:footer="523" w:gutter="0"/>
          <w:cols w:space="720"/>
        </w:sectPr>
      </w:pPr>
    </w:p>
    <w:p w14:paraId="4842F100" w14:textId="77777777" w:rsidR="00FA4AA8" w:rsidRDefault="0015611F">
      <w:pPr>
        <w:spacing w:before="95"/>
        <w:ind w:left="167"/>
        <w:rPr>
          <w:b/>
          <w:sz w:val="18"/>
        </w:rPr>
      </w:pPr>
      <w:r>
        <w:rPr>
          <w:b/>
          <w:sz w:val="18"/>
        </w:rPr>
        <w:t>(e) Australian Research Council Grants</w:t>
      </w:r>
    </w:p>
    <w:p w14:paraId="4B24620B" w14:textId="77777777" w:rsidR="00FA4AA8" w:rsidRDefault="0015611F">
      <w:pPr>
        <w:pStyle w:val="BodyText"/>
        <w:rPr>
          <w:b/>
        </w:rPr>
      </w:pPr>
      <w:r>
        <w:br w:type="column"/>
      </w:r>
    </w:p>
    <w:p w14:paraId="4DD2200E" w14:textId="77777777" w:rsidR="00FA4AA8" w:rsidRDefault="00FA4AA8">
      <w:pPr>
        <w:pStyle w:val="BodyText"/>
        <w:rPr>
          <w:b/>
        </w:rPr>
      </w:pPr>
    </w:p>
    <w:p w14:paraId="11248DAF" w14:textId="77777777" w:rsidR="00FA4AA8" w:rsidRDefault="0015611F">
      <w:pPr>
        <w:tabs>
          <w:tab w:val="left" w:pos="2032"/>
          <w:tab w:val="left" w:pos="3367"/>
        </w:tabs>
        <w:spacing w:before="110"/>
        <w:ind w:left="167"/>
        <w:rPr>
          <w:b/>
          <w:sz w:val="16"/>
        </w:rPr>
      </w:pPr>
      <w:r>
        <w:rPr>
          <w:b/>
          <w:sz w:val="16"/>
        </w:rPr>
        <w:t>Discovery</w:t>
      </w:r>
      <w:r>
        <w:rPr>
          <w:b/>
          <w:sz w:val="16"/>
        </w:rPr>
        <w:tab/>
        <w:t>Linkages</w:t>
      </w:r>
      <w:r>
        <w:rPr>
          <w:b/>
          <w:sz w:val="16"/>
        </w:rPr>
        <w:tab/>
        <w:t>Networks and</w:t>
      </w:r>
      <w:r>
        <w:rPr>
          <w:b/>
          <w:spacing w:val="-7"/>
          <w:sz w:val="16"/>
        </w:rPr>
        <w:t xml:space="preserve"> </w:t>
      </w:r>
      <w:r>
        <w:rPr>
          <w:b/>
          <w:sz w:val="16"/>
        </w:rPr>
        <w:t>Centres</w:t>
      </w:r>
    </w:p>
    <w:p w14:paraId="425C28D3" w14:textId="77777777" w:rsidR="00FA4AA8" w:rsidRDefault="0015611F">
      <w:pPr>
        <w:pStyle w:val="BodyText"/>
        <w:rPr>
          <w:b/>
        </w:rPr>
      </w:pPr>
      <w:r>
        <w:br w:type="column"/>
      </w:r>
    </w:p>
    <w:p w14:paraId="6496ED9C" w14:textId="77777777" w:rsidR="00FA4AA8" w:rsidRDefault="0015611F">
      <w:pPr>
        <w:spacing w:before="132"/>
        <w:ind w:left="167"/>
        <w:rPr>
          <w:b/>
          <w:sz w:val="16"/>
        </w:rPr>
      </w:pPr>
      <w:r>
        <w:rPr>
          <w:b/>
          <w:sz w:val="16"/>
        </w:rPr>
        <w:t>Special Research</w:t>
      </w:r>
    </w:p>
    <w:p w14:paraId="0D26540A" w14:textId="77777777" w:rsidR="00FA4AA8" w:rsidRDefault="0015611F">
      <w:pPr>
        <w:tabs>
          <w:tab w:val="left" w:pos="2488"/>
        </w:tabs>
        <w:spacing w:before="1"/>
        <w:ind w:left="463"/>
        <w:rPr>
          <w:b/>
          <w:sz w:val="16"/>
        </w:rPr>
      </w:pPr>
      <w:r>
        <w:rPr>
          <w:b/>
          <w:sz w:val="16"/>
        </w:rPr>
        <w:t>Initiatives</w:t>
      </w:r>
      <w:r>
        <w:rPr>
          <w:b/>
          <w:sz w:val="16"/>
        </w:rPr>
        <w:tab/>
        <w:t>Total</w:t>
      </w:r>
    </w:p>
    <w:p w14:paraId="1272B95C" w14:textId="77777777" w:rsidR="00FA4AA8" w:rsidRDefault="00FA4AA8">
      <w:pPr>
        <w:rPr>
          <w:sz w:val="16"/>
        </w:rPr>
        <w:sectPr w:rsidR="00FA4AA8">
          <w:type w:val="continuous"/>
          <w:pgSz w:w="16840" w:h="11910" w:orient="landscape"/>
          <w:pgMar w:top="20" w:right="880" w:bottom="0" w:left="840" w:header="720" w:footer="720" w:gutter="0"/>
          <w:cols w:num="3" w:space="720" w:equalWidth="0">
            <w:col w:w="3691" w:space="2523"/>
            <w:col w:w="5102" w:space="101"/>
            <w:col w:w="3703"/>
          </w:cols>
        </w:sectPr>
      </w:pPr>
    </w:p>
    <w:p w14:paraId="563DBAF7" w14:textId="77777777" w:rsidR="00FA4AA8" w:rsidRDefault="007E2441">
      <w:pPr>
        <w:pStyle w:val="BodyText"/>
        <w:spacing w:before="2"/>
        <w:rPr>
          <w:b/>
          <w:sz w:val="8"/>
        </w:rPr>
      </w:pPr>
      <w:r>
        <w:rPr>
          <w:noProof/>
          <w:lang w:val="en-AU" w:eastAsia="en-AU"/>
        </w:rPr>
        <mc:AlternateContent>
          <mc:Choice Requires="wpg">
            <w:drawing>
              <wp:anchor distT="0" distB="0" distL="114300" distR="114300" simplePos="0" relativeHeight="15756288" behindDoc="0" locked="0" layoutInCell="1" allowOverlap="1" wp14:anchorId="1FBB0492" wp14:editId="64AB1BEB">
                <wp:simplePos x="0" y="0"/>
                <wp:positionH relativeFrom="page">
                  <wp:posOffset>4236720</wp:posOffset>
                </wp:positionH>
                <wp:positionV relativeFrom="page">
                  <wp:posOffset>6696710</wp:posOffset>
                </wp:positionV>
                <wp:extent cx="1746885" cy="9525"/>
                <wp:effectExtent l="0" t="0" r="0" b="0"/>
                <wp:wrapNone/>
                <wp:docPr id="2216" name="Group 1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6885" cy="9525"/>
                          <a:chOff x="6672" y="10546"/>
                          <a:chExt cx="2751" cy="15"/>
                        </a:xfrm>
                      </wpg:grpSpPr>
                      <wps:wsp>
                        <wps:cNvPr id="2217" name="Line 1994"/>
                        <wps:cNvCnPr>
                          <a:cxnSpLocks noChangeShapeType="1"/>
                        </wps:cNvCnPr>
                        <wps:spPr bwMode="auto">
                          <a:xfrm>
                            <a:off x="6672" y="10557"/>
                            <a:ext cx="917"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218" name="Line 1993"/>
                        <wps:cNvCnPr>
                          <a:cxnSpLocks noChangeShapeType="1"/>
                        </wps:cNvCnPr>
                        <wps:spPr bwMode="auto">
                          <a:xfrm>
                            <a:off x="6672" y="10559"/>
                            <a:ext cx="917"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219" name="Line 1992"/>
                        <wps:cNvCnPr>
                          <a:cxnSpLocks noChangeShapeType="1"/>
                        </wps:cNvCnPr>
                        <wps:spPr bwMode="auto">
                          <a:xfrm>
                            <a:off x="7589" y="10547"/>
                            <a:ext cx="917"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220" name="Line 1991"/>
                        <wps:cNvCnPr>
                          <a:cxnSpLocks noChangeShapeType="1"/>
                        </wps:cNvCnPr>
                        <wps:spPr bwMode="auto">
                          <a:xfrm>
                            <a:off x="7589" y="10549"/>
                            <a:ext cx="917"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221" name="Line 1990"/>
                        <wps:cNvCnPr>
                          <a:cxnSpLocks noChangeShapeType="1"/>
                        </wps:cNvCnPr>
                        <wps:spPr bwMode="auto">
                          <a:xfrm>
                            <a:off x="7589" y="10552"/>
                            <a:ext cx="917"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222" name="Line 1989"/>
                        <wps:cNvCnPr>
                          <a:cxnSpLocks noChangeShapeType="1"/>
                        </wps:cNvCnPr>
                        <wps:spPr bwMode="auto">
                          <a:xfrm>
                            <a:off x="7589" y="10554"/>
                            <a:ext cx="917"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223" name="Line 1988"/>
                        <wps:cNvCnPr>
                          <a:cxnSpLocks noChangeShapeType="1"/>
                        </wps:cNvCnPr>
                        <wps:spPr bwMode="auto">
                          <a:xfrm>
                            <a:off x="7589" y="10557"/>
                            <a:ext cx="917"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224" name="Line 1987"/>
                        <wps:cNvCnPr>
                          <a:cxnSpLocks noChangeShapeType="1"/>
                        </wps:cNvCnPr>
                        <wps:spPr bwMode="auto">
                          <a:xfrm>
                            <a:off x="7589" y="10559"/>
                            <a:ext cx="917"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225" name="Line 1986"/>
                        <wps:cNvCnPr>
                          <a:cxnSpLocks noChangeShapeType="1"/>
                        </wps:cNvCnPr>
                        <wps:spPr bwMode="auto">
                          <a:xfrm>
                            <a:off x="8506" y="10547"/>
                            <a:ext cx="91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226" name="Line 1985"/>
                        <wps:cNvCnPr>
                          <a:cxnSpLocks noChangeShapeType="1"/>
                        </wps:cNvCnPr>
                        <wps:spPr bwMode="auto">
                          <a:xfrm>
                            <a:off x="8506" y="10549"/>
                            <a:ext cx="91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227" name="Line 1984"/>
                        <wps:cNvCnPr>
                          <a:cxnSpLocks noChangeShapeType="1"/>
                        </wps:cNvCnPr>
                        <wps:spPr bwMode="auto">
                          <a:xfrm>
                            <a:off x="8506" y="10552"/>
                            <a:ext cx="91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228" name="Line 1983"/>
                        <wps:cNvCnPr>
                          <a:cxnSpLocks noChangeShapeType="1"/>
                        </wps:cNvCnPr>
                        <wps:spPr bwMode="auto">
                          <a:xfrm>
                            <a:off x="8506" y="10554"/>
                            <a:ext cx="91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7CE9CD" id="Group 1982" o:spid="_x0000_s1026" style="position:absolute;margin-left:333.6pt;margin-top:527.3pt;width:137.55pt;height:.75pt;z-index:15756288;mso-position-horizontal-relative:page;mso-position-vertical-relative:page" coordorigin="6672,10546" coordsize="275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">
                <v:line id="Line 1994" o:spid="_x0000_s1027" style="position:absolute;visibility:visible;mso-wrap-style:square" from="6672,10557" to="7589,10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" strokeweight=".12pt"/>
                <v:line id="Line 1993" o:spid="_x0000_s1028" style="position:absolute;visibility:visible;mso-wrap-style:square" from="6672,10559" to="7589,10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" strokeweight=".12pt"/>
                <v:line id="Line 1992" o:spid="_x0000_s1029" style="position:absolute;visibility:visible;mso-wrap-style:square" from="7589,10547" to="8506,10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" strokeweight=".12pt"/>
                <v:line id="Line 1991" o:spid="_x0000_s1030" style="position:absolute;visibility:visible;mso-wrap-style:square" from="7589,10549" to="8506,10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" strokeweight=".12pt"/>
                <v:line id="Line 1990" o:spid="_x0000_s1031" style="position:absolute;visibility:visible;mso-wrap-style:square" from="7589,10552" to="8506,10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" strokeweight=".12pt"/>
                <v:line id="Line 1989" o:spid="_x0000_s1032" style="position:absolute;visibility:visible;mso-wrap-style:square" from="7589,10554" to="8506,10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" strokeweight=".12pt"/>
                <v:line id="Line 1988" o:spid="_x0000_s1033" style="position:absolute;visibility:visible;mso-wrap-style:square" from="7589,10557" to="8506,10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" strokeweight=".12pt"/>
                <v:line id="Line 1987" o:spid="_x0000_s1034" style="position:absolute;visibility:visible;mso-wrap-style:square" from="7589,10559" to="8506,10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" strokeweight=".12pt"/>
                <v:line id="Line 1986" o:spid="_x0000_s1035" style="position:absolute;visibility:visible;mso-wrap-style:square" from="8506,10547" to="9422,10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" strokeweight=".12pt"/>
                <v:line id="Line 1985" o:spid="_x0000_s1036" style="position:absolute;visibility:visible;mso-wrap-style:square" from="8506,10549" to="9422,10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" strokeweight=".12pt"/>
                <v:line id="Line 1984" o:spid="_x0000_s1037" style="position:absolute;visibility:visible;mso-wrap-style:square" from="8506,10552" to="9422,10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" strokeweight=".12pt"/>
                <v:line id="Line 1983" o:spid="_x0000_s1038" style="position:absolute;visibility:visible;mso-wrap-style:square" from="8506,10554" to="9422,10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" strokeweight=".12pt"/>
                <w10:wrap anchorx="page" anchory="page"/>
              </v:group>
            </w:pict>
          </mc:Fallback>
        </mc:AlternateContent>
      </w:r>
      <w:r>
        <w:rPr>
          <w:noProof/>
          <w:lang w:val="en-AU" w:eastAsia="en-AU"/>
        </w:rPr>
        <mc:AlternateContent>
          <mc:Choice Requires="wpg">
            <w:drawing>
              <wp:anchor distT="0" distB="0" distL="114300" distR="114300" simplePos="0" relativeHeight="462744576" behindDoc="1" locked="0" layoutInCell="1" allowOverlap="1" wp14:anchorId="135B0022" wp14:editId="2520D233">
                <wp:simplePos x="0" y="0"/>
                <wp:positionH relativeFrom="page">
                  <wp:posOffset>6565265</wp:posOffset>
                </wp:positionH>
                <wp:positionV relativeFrom="page">
                  <wp:posOffset>6681470</wp:posOffset>
                </wp:positionV>
                <wp:extent cx="3493135" cy="3175"/>
                <wp:effectExtent l="0" t="0" r="0" b="0"/>
                <wp:wrapNone/>
                <wp:docPr id="2203" name="Group 1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3135" cy="3175"/>
                          <a:chOff x="10339" y="10522"/>
                          <a:chExt cx="5501" cy="5"/>
                        </a:xfrm>
                      </wpg:grpSpPr>
                      <wps:wsp>
                        <wps:cNvPr id="2204" name="Line 1981"/>
                        <wps:cNvCnPr>
                          <a:cxnSpLocks noChangeShapeType="1"/>
                        </wps:cNvCnPr>
                        <wps:spPr bwMode="auto">
                          <a:xfrm>
                            <a:off x="10339" y="10523"/>
                            <a:ext cx="917"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205" name="Line 1980"/>
                        <wps:cNvCnPr>
                          <a:cxnSpLocks noChangeShapeType="1"/>
                        </wps:cNvCnPr>
                        <wps:spPr bwMode="auto">
                          <a:xfrm>
                            <a:off x="10339" y="10525"/>
                            <a:ext cx="917"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206" name="Line 1979"/>
                        <wps:cNvCnPr>
                          <a:cxnSpLocks noChangeShapeType="1"/>
                        </wps:cNvCnPr>
                        <wps:spPr bwMode="auto">
                          <a:xfrm>
                            <a:off x="11256" y="10523"/>
                            <a:ext cx="917"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207" name="Line 1978"/>
                        <wps:cNvCnPr>
                          <a:cxnSpLocks noChangeShapeType="1"/>
                        </wps:cNvCnPr>
                        <wps:spPr bwMode="auto">
                          <a:xfrm>
                            <a:off x="11256" y="10525"/>
                            <a:ext cx="917"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208" name="Line 1977"/>
                        <wps:cNvCnPr>
                          <a:cxnSpLocks noChangeShapeType="1"/>
                        </wps:cNvCnPr>
                        <wps:spPr bwMode="auto">
                          <a:xfrm>
                            <a:off x="12173" y="10523"/>
                            <a:ext cx="917"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209" name="Line 1976"/>
                        <wps:cNvCnPr>
                          <a:cxnSpLocks noChangeShapeType="1"/>
                        </wps:cNvCnPr>
                        <wps:spPr bwMode="auto">
                          <a:xfrm>
                            <a:off x="12173" y="10525"/>
                            <a:ext cx="917"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210" name="Line 1975"/>
                        <wps:cNvCnPr>
                          <a:cxnSpLocks noChangeShapeType="1"/>
                        </wps:cNvCnPr>
                        <wps:spPr bwMode="auto">
                          <a:xfrm>
                            <a:off x="13090" y="10523"/>
                            <a:ext cx="91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211" name="Line 1974"/>
                        <wps:cNvCnPr>
                          <a:cxnSpLocks noChangeShapeType="1"/>
                        </wps:cNvCnPr>
                        <wps:spPr bwMode="auto">
                          <a:xfrm>
                            <a:off x="13090" y="10525"/>
                            <a:ext cx="91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212" name="Line 1973"/>
                        <wps:cNvCnPr>
                          <a:cxnSpLocks noChangeShapeType="1"/>
                        </wps:cNvCnPr>
                        <wps:spPr bwMode="auto">
                          <a:xfrm>
                            <a:off x="14006" y="10523"/>
                            <a:ext cx="917"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213" name="Line 1972"/>
                        <wps:cNvCnPr>
                          <a:cxnSpLocks noChangeShapeType="1"/>
                        </wps:cNvCnPr>
                        <wps:spPr bwMode="auto">
                          <a:xfrm>
                            <a:off x="14006" y="10525"/>
                            <a:ext cx="917"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214" name="Line 1971"/>
                        <wps:cNvCnPr>
                          <a:cxnSpLocks noChangeShapeType="1"/>
                        </wps:cNvCnPr>
                        <wps:spPr bwMode="auto">
                          <a:xfrm>
                            <a:off x="14923" y="10523"/>
                            <a:ext cx="917"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215" name="Line 1970"/>
                        <wps:cNvCnPr>
                          <a:cxnSpLocks noChangeShapeType="1"/>
                        </wps:cNvCnPr>
                        <wps:spPr bwMode="auto">
                          <a:xfrm>
                            <a:off x="14923" y="10525"/>
                            <a:ext cx="917"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B29871" id="Group 1969" o:spid="_x0000_s1026" style="position:absolute;margin-left:516.95pt;margin-top:526.1pt;width:275.05pt;height:.25pt;z-index:-40571904;mso-position-horizontal-relative:page;mso-position-vertical-relative:page" coordorigin="10339,10522" coordsize="55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">
                <v:line id="Line 1981" o:spid="_x0000_s1027" style="position:absolute;visibility:visible;mso-wrap-style:square" from="10339,10523" to="11256,10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" strokeweight=".12pt"/>
                <v:line id="Line 1980" o:spid="_x0000_s1028" style="position:absolute;visibility:visible;mso-wrap-style:square" from="10339,10525" to="11256,10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" strokeweight=".12pt"/>
                <v:line id="Line 1979" o:spid="_x0000_s1029" style="position:absolute;visibility:visible;mso-wrap-style:square" from="11256,10523" to="12173,10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" strokeweight=".12pt"/>
                <v:line id="Line 1978" o:spid="_x0000_s1030" style="position:absolute;visibility:visible;mso-wrap-style:square" from="11256,10525" to="12173,10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" strokeweight=".12pt"/>
                <v:line id="Line 1977" o:spid="_x0000_s1031" style="position:absolute;visibility:visible;mso-wrap-style:square" from="12173,10523" to="13090,10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" strokeweight=".12pt"/>
                <v:line id="Line 1976" o:spid="_x0000_s1032" style="position:absolute;visibility:visible;mso-wrap-style:square" from="12173,10525" to="13090,10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" strokeweight=".12pt"/>
                <v:line id="Line 1975" o:spid="_x0000_s1033" style="position:absolute;visibility:visible;mso-wrap-style:square" from="13090,10523" to="14006,10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" strokeweight=".12pt"/>
                <v:line id="Line 1974" o:spid="_x0000_s1034" style="position:absolute;visibility:visible;mso-wrap-style:square" from="13090,10525" to="14006,10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" strokeweight=".12pt"/>
                <v:line id="Line 1973" o:spid="_x0000_s1035" style="position:absolute;visibility:visible;mso-wrap-style:square" from="14006,10523" to="14923,10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" strokeweight=".12pt"/>
                <v:line id="Line 1972" o:spid="_x0000_s1036" style="position:absolute;visibility:visible;mso-wrap-style:square" from="14006,10525" to="14923,10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" strokeweight=".12pt"/>
                <v:line id="Line 1971" o:spid="_x0000_s1037" style="position:absolute;visibility:visible;mso-wrap-style:square" from="14923,10523" to="15840,10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" strokeweight=".12pt"/>
                <v:line id="Line 1970" o:spid="_x0000_s1038" style="position:absolute;visibility:visible;mso-wrap-style:square" from="14923,10525" to="15840,10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" strokeweight=".12pt"/>
                <w10:wrap anchorx="page" anchory="page"/>
              </v:group>
            </w:pict>
          </mc:Fallback>
        </mc:AlternateContent>
      </w:r>
    </w:p>
    <w:tbl>
      <w:tblPr>
        <w:tblW w:w="0" w:type="auto"/>
        <w:tblInd w:w="559" w:type="dxa"/>
        <w:tblLayout w:type="fixed"/>
        <w:tblCellMar>
          <w:left w:w="0" w:type="dxa"/>
          <w:right w:w="0" w:type="dxa"/>
        </w:tblCellMar>
        <w:tblLook w:val="01E0" w:firstRow="1" w:lastRow="1" w:firstColumn="1" w:lastColumn="1" w:noHBand="0" w:noVBand="0"/>
      </w:tblPr>
      <w:tblGrid>
        <w:gridCol w:w="4197"/>
        <w:gridCol w:w="1082"/>
        <w:gridCol w:w="1047"/>
        <w:gridCol w:w="785"/>
        <w:gridCol w:w="1047"/>
        <w:gridCol w:w="909"/>
        <w:gridCol w:w="923"/>
        <w:gridCol w:w="901"/>
        <w:gridCol w:w="915"/>
        <w:gridCol w:w="922"/>
        <w:gridCol w:w="922"/>
        <w:gridCol w:w="784"/>
      </w:tblGrid>
      <w:tr w:rsidR="00FA4AA8" w14:paraId="2443510D" w14:textId="77777777">
        <w:trPr>
          <w:trHeight w:val="215"/>
        </w:trPr>
        <w:tc>
          <w:tcPr>
            <w:tcW w:w="5279" w:type="dxa"/>
            <w:gridSpan w:val="2"/>
          </w:tcPr>
          <w:p w14:paraId="193A6695" w14:textId="77777777" w:rsidR="00FA4AA8" w:rsidRDefault="00FA4AA8">
            <w:pPr>
              <w:pStyle w:val="TableParagraph"/>
              <w:rPr>
                <w:rFonts w:ascii="Times New Roman"/>
                <w:sz w:val="14"/>
              </w:rPr>
            </w:pPr>
          </w:p>
        </w:tc>
        <w:tc>
          <w:tcPr>
            <w:tcW w:w="1047" w:type="dxa"/>
          </w:tcPr>
          <w:p w14:paraId="707E153A" w14:textId="77777777" w:rsidR="00FA4AA8" w:rsidRDefault="0015611F">
            <w:pPr>
              <w:pStyle w:val="TableParagraph"/>
              <w:spacing w:line="179" w:lineRule="exact"/>
              <w:ind w:left="293"/>
              <w:rPr>
                <w:b/>
                <w:sz w:val="16"/>
              </w:rPr>
            </w:pPr>
            <w:r>
              <w:rPr>
                <w:b/>
                <w:sz w:val="16"/>
              </w:rPr>
              <w:t>2018</w:t>
            </w:r>
          </w:p>
        </w:tc>
        <w:tc>
          <w:tcPr>
            <w:tcW w:w="785" w:type="dxa"/>
          </w:tcPr>
          <w:p w14:paraId="30014DA1" w14:textId="77777777" w:rsidR="00FA4AA8" w:rsidRDefault="0015611F">
            <w:pPr>
              <w:pStyle w:val="TableParagraph"/>
              <w:spacing w:line="179" w:lineRule="exact"/>
              <w:ind w:left="151"/>
              <w:rPr>
                <w:b/>
                <w:sz w:val="16"/>
              </w:rPr>
            </w:pPr>
            <w:r>
              <w:rPr>
                <w:b/>
                <w:sz w:val="16"/>
              </w:rPr>
              <w:t>2017</w:t>
            </w:r>
          </w:p>
        </w:tc>
        <w:tc>
          <w:tcPr>
            <w:tcW w:w="1047" w:type="dxa"/>
          </w:tcPr>
          <w:p w14:paraId="3D0BE132" w14:textId="77777777" w:rsidR="00FA4AA8" w:rsidRDefault="0015611F">
            <w:pPr>
              <w:pStyle w:val="TableParagraph"/>
              <w:spacing w:line="179" w:lineRule="exact"/>
              <w:ind w:left="295"/>
              <w:rPr>
                <w:b/>
                <w:sz w:val="16"/>
              </w:rPr>
            </w:pPr>
            <w:r>
              <w:rPr>
                <w:b/>
                <w:sz w:val="16"/>
              </w:rPr>
              <w:t>2018</w:t>
            </w:r>
          </w:p>
        </w:tc>
        <w:tc>
          <w:tcPr>
            <w:tcW w:w="909" w:type="dxa"/>
          </w:tcPr>
          <w:p w14:paraId="0BCB0E7D" w14:textId="77777777" w:rsidR="00FA4AA8" w:rsidRDefault="0015611F">
            <w:pPr>
              <w:pStyle w:val="TableParagraph"/>
              <w:spacing w:line="179" w:lineRule="exact"/>
              <w:ind w:left="152"/>
              <w:rPr>
                <w:b/>
                <w:sz w:val="16"/>
              </w:rPr>
            </w:pPr>
            <w:r>
              <w:rPr>
                <w:b/>
                <w:sz w:val="16"/>
              </w:rPr>
              <w:t>2017</w:t>
            </w:r>
          </w:p>
        </w:tc>
        <w:tc>
          <w:tcPr>
            <w:tcW w:w="923" w:type="dxa"/>
          </w:tcPr>
          <w:p w14:paraId="07F7844A" w14:textId="77777777" w:rsidR="00FA4AA8" w:rsidRDefault="0015611F">
            <w:pPr>
              <w:pStyle w:val="TableParagraph"/>
              <w:spacing w:line="179" w:lineRule="exact"/>
              <w:ind w:left="172"/>
              <w:rPr>
                <w:b/>
                <w:sz w:val="16"/>
              </w:rPr>
            </w:pPr>
            <w:r>
              <w:rPr>
                <w:b/>
                <w:sz w:val="16"/>
              </w:rPr>
              <w:t>2018</w:t>
            </w:r>
          </w:p>
        </w:tc>
        <w:tc>
          <w:tcPr>
            <w:tcW w:w="901" w:type="dxa"/>
          </w:tcPr>
          <w:p w14:paraId="3D9ACB2C" w14:textId="77777777" w:rsidR="00FA4AA8" w:rsidRDefault="0015611F">
            <w:pPr>
              <w:pStyle w:val="TableParagraph"/>
              <w:spacing w:line="179" w:lineRule="exact"/>
              <w:ind w:left="154"/>
              <w:rPr>
                <w:b/>
                <w:sz w:val="16"/>
              </w:rPr>
            </w:pPr>
            <w:r>
              <w:rPr>
                <w:b/>
                <w:sz w:val="16"/>
              </w:rPr>
              <w:t>2017</w:t>
            </w:r>
          </w:p>
        </w:tc>
        <w:tc>
          <w:tcPr>
            <w:tcW w:w="915" w:type="dxa"/>
          </w:tcPr>
          <w:p w14:paraId="76712AFA" w14:textId="77777777" w:rsidR="00FA4AA8" w:rsidRDefault="0015611F">
            <w:pPr>
              <w:pStyle w:val="TableParagraph"/>
              <w:spacing w:line="179" w:lineRule="exact"/>
              <w:ind w:left="167"/>
              <w:rPr>
                <w:b/>
                <w:sz w:val="16"/>
              </w:rPr>
            </w:pPr>
            <w:r>
              <w:rPr>
                <w:b/>
                <w:sz w:val="16"/>
              </w:rPr>
              <w:t>2018</w:t>
            </w:r>
          </w:p>
        </w:tc>
        <w:tc>
          <w:tcPr>
            <w:tcW w:w="922" w:type="dxa"/>
          </w:tcPr>
          <w:p w14:paraId="6E8AAA69" w14:textId="77777777" w:rsidR="00FA4AA8" w:rsidRDefault="0015611F">
            <w:pPr>
              <w:pStyle w:val="TableParagraph"/>
              <w:spacing w:line="179" w:lineRule="exact"/>
              <w:ind w:left="169"/>
              <w:rPr>
                <w:b/>
                <w:sz w:val="16"/>
              </w:rPr>
            </w:pPr>
            <w:r>
              <w:rPr>
                <w:b/>
                <w:sz w:val="16"/>
              </w:rPr>
              <w:t>2017</w:t>
            </w:r>
          </w:p>
        </w:tc>
        <w:tc>
          <w:tcPr>
            <w:tcW w:w="922" w:type="dxa"/>
          </w:tcPr>
          <w:p w14:paraId="58B86612" w14:textId="77777777" w:rsidR="00FA4AA8" w:rsidRDefault="0015611F">
            <w:pPr>
              <w:pStyle w:val="TableParagraph"/>
              <w:spacing w:line="179" w:lineRule="exact"/>
              <w:ind w:left="178"/>
              <w:rPr>
                <w:b/>
                <w:sz w:val="16"/>
              </w:rPr>
            </w:pPr>
            <w:r>
              <w:rPr>
                <w:b/>
                <w:sz w:val="16"/>
              </w:rPr>
              <w:t>2018</w:t>
            </w:r>
          </w:p>
        </w:tc>
        <w:tc>
          <w:tcPr>
            <w:tcW w:w="784" w:type="dxa"/>
          </w:tcPr>
          <w:p w14:paraId="353097FB" w14:textId="77777777" w:rsidR="00FA4AA8" w:rsidRDefault="0015611F">
            <w:pPr>
              <w:pStyle w:val="TableParagraph"/>
              <w:spacing w:line="179" w:lineRule="exact"/>
              <w:ind w:left="161"/>
              <w:rPr>
                <w:b/>
                <w:sz w:val="16"/>
              </w:rPr>
            </w:pPr>
            <w:r>
              <w:rPr>
                <w:b/>
                <w:sz w:val="16"/>
              </w:rPr>
              <w:t>2017</w:t>
            </w:r>
          </w:p>
        </w:tc>
      </w:tr>
      <w:tr w:rsidR="00FA4AA8" w14:paraId="30F766F6" w14:textId="77777777">
        <w:trPr>
          <w:trHeight w:val="248"/>
        </w:trPr>
        <w:tc>
          <w:tcPr>
            <w:tcW w:w="4197" w:type="dxa"/>
          </w:tcPr>
          <w:p w14:paraId="45892388" w14:textId="77777777" w:rsidR="00FA4AA8" w:rsidRDefault="0015611F">
            <w:pPr>
              <w:pStyle w:val="TableParagraph"/>
              <w:spacing w:before="31"/>
              <w:ind w:left="50"/>
              <w:rPr>
                <w:b/>
                <w:sz w:val="16"/>
              </w:rPr>
            </w:pPr>
            <w:r>
              <w:rPr>
                <w:b/>
                <w:sz w:val="16"/>
              </w:rPr>
              <w:t>Parent Entity (University) Only</w:t>
            </w:r>
          </w:p>
        </w:tc>
        <w:tc>
          <w:tcPr>
            <w:tcW w:w="1082" w:type="dxa"/>
          </w:tcPr>
          <w:p w14:paraId="39250102" w14:textId="77777777" w:rsidR="00FA4AA8" w:rsidRDefault="0015611F">
            <w:pPr>
              <w:pStyle w:val="TableParagraph"/>
              <w:spacing w:before="31"/>
              <w:ind w:left="603" w:right="82"/>
              <w:jc w:val="center"/>
              <w:rPr>
                <w:b/>
                <w:sz w:val="16"/>
              </w:rPr>
            </w:pPr>
            <w:r>
              <w:rPr>
                <w:b/>
                <w:sz w:val="16"/>
              </w:rPr>
              <w:t>Note</w:t>
            </w:r>
          </w:p>
        </w:tc>
        <w:tc>
          <w:tcPr>
            <w:tcW w:w="1047" w:type="dxa"/>
          </w:tcPr>
          <w:p w14:paraId="5BA47314" w14:textId="77777777" w:rsidR="00FA4AA8" w:rsidRDefault="0015611F">
            <w:pPr>
              <w:pStyle w:val="TableParagraph"/>
              <w:spacing w:before="31"/>
              <w:ind w:left="274"/>
              <w:rPr>
                <w:b/>
                <w:sz w:val="16"/>
              </w:rPr>
            </w:pPr>
            <w:r>
              <w:rPr>
                <w:b/>
                <w:sz w:val="16"/>
              </w:rPr>
              <w:t>$'000</w:t>
            </w:r>
          </w:p>
        </w:tc>
        <w:tc>
          <w:tcPr>
            <w:tcW w:w="785" w:type="dxa"/>
          </w:tcPr>
          <w:p w14:paraId="4EDFBFCC" w14:textId="77777777" w:rsidR="00FA4AA8" w:rsidRDefault="0015611F">
            <w:pPr>
              <w:pStyle w:val="TableParagraph"/>
              <w:spacing w:before="31"/>
              <w:ind w:left="132"/>
              <w:rPr>
                <w:b/>
                <w:sz w:val="16"/>
              </w:rPr>
            </w:pPr>
            <w:r>
              <w:rPr>
                <w:b/>
                <w:sz w:val="16"/>
              </w:rPr>
              <w:t>$'000</w:t>
            </w:r>
          </w:p>
        </w:tc>
        <w:tc>
          <w:tcPr>
            <w:tcW w:w="1047" w:type="dxa"/>
          </w:tcPr>
          <w:p w14:paraId="78CDE6C6" w14:textId="77777777" w:rsidR="00FA4AA8" w:rsidRDefault="0015611F">
            <w:pPr>
              <w:pStyle w:val="TableParagraph"/>
              <w:spacing w:before="31"/>
              <w:ind w:left="275"/>
              <w:rPr>
                <w:b/>
                <w:sz w:val="16"/>
              </w:rPr>
            </w:pPr>
            <w:r>
              <w:rPr>
                <w:b/>
                <w:sz w:val="16"/>
              </w:rPr>
              <w:t>$'000</w:t>
            </w:r>
          </w:p>
        </w:tc>
        <w:tc>
          <w:tcPr>
            <w:tcW w:w="909" w:type="dxa"/>
          </w:tcPr>
          <w:p w14:paraId="0E1B28D4" w14:textId="77777777" w:rsidR="00FA4AA8" w:rsidRDefault="0015611F">
            <w:pPr>
              <w:pStyle w:val="TableParagraph"/>
              <w:spacing w:before="31"/>
              <w:ind w:left="133"/>
              <w:rPr>
                <w:b/>
                <w:sz w:val="16"/>
              </w:rPr>
            </w:pPr>
            <w:r>
              <w:rPr>
                <w:b/>
                <w:sz w:val="16"/>
              </w:rPr>
              <w:t>$'000</w:t>
            </w:r>
          </w:p>
        </w:tc>
        <w:tc>
          <w:tcPr>
            <w:tcW w:w="923" w:type="dxa"/>
          </w:tcPr>
          <w:p w14:paraId="42F9F9E6" w14:textId="77777777" w:rsidR="00FA4AA8" w:rsidRDefault="0015611F">
            <w:pPr>
              <w:pStyle w:val="TableParagraph"/>
              <w:spacing w:before="31"/>
              <w:ind w:left="153"/>
              <w:rPr>
                <w:b/>
                <w:sz w:val="16"/>
              </w:rPr>
            </w:pPr>
            <w:r>
              <w:rPr>
                <w:b/>
                <w:sz w:val="16"/>
              </w:rPr>
              <w:t>$'000</w:t>
            </w:r>
          </w:p>
        </w:tc>
        <w:tc>
          <w:tcPr>
            <w:tcW w:w="901" w:type="dxa"/>
          </w:tcPr>
          <w:p w14:paraId="0AF4BED4" w14:textId="77777777" w:rsidR="00FA4AA8" w:rsidRDefault="0015611F">
            <w:pPr>
              <w:pStyle w:val="TableParagraph"/>
              <w:spacing w:before="31"/>
              <w:ind w:left="135"/>
              <w:rPr>
                <w:b/>
                <w:sz w:val="16"/>
              </w:rPr>
            </w:pPr>
            <w:r>
              <w:rPr>
                <w:b/>
                <w:sz w:val="16"/>
              </w:rPr>
              <w:t>$'000</w:t>
            </w:r>
          </w:p>
        </w:tc>
        <w:tc>
          <w:tcPr>
            <w:tcW w:w="915" w:type="dxa"/>
          </w:tcPr>
          <w:p w14:paraId="6A498F6C" w14:textId="77777777" w:rsidR="00FA4AA8" w:rsidRDefault="0015611F">
            <w:pPr>
              <w:pStyle w:val="TableParagraph"/>
              <w:spacing w:before="31"/>
              <w:ind w:left="148"/>
              <w:rPr>
                <w:b/>
                <w:sz w:val="16"/>
              </w:rPr>
            </w:pPr>
            <w:r>
              <w:rPr>
                <w:b/>
                <w:sz w:val="16"/>
              </w:rPr>
              <w:t>$'000</w:t>
            </w:r>
          </w:p>
        </w:tc>
        <w:tc>
          <w:tcPr>
            <w:tcW w:w="922" w:type="dxa"/>
          </w:tcPr>
          <w:p w14:paraId="23101C38" w14:textId="77777777" w:rsidR="00FA4AA8" w:rsidRDefault="0015611F">
            <w:pPr>
              <w:pStyle w:val="TableParagraph"/>
              <w:spacing w:before="31"/>
              <w:ind w:left="150"/>
              <w:rPr>
                <w:b/>
                <w:sz w:val="16"/>
              </w:rPr>
            </w:pPr>
            <w:r>
              <w:rPr>
                <w:b/>
                <w:sz w:val="16"/>
              </w:rPr>
              <w:t>$'000</w:t>
            </w:r>
          </w:p>
        </w:tc>
        <w:tc>
          <w:tcPr>
            <w:tcW w:w="922" w:type="dxa"/>
          </w:tcPr>
          <w:p w14:paraId="3C175F18" w14:textId="77777777" w:rsidR="00FA4AA8" w:rsidRDefault="0015611F">
            <w:pPr>
              <w:pStyle w:val="TableParagraph"/>
              <w:spacing w:before="31"/>
              <w:ind w:left="159"/>
              <w:rPr>
                <w:b/>
                <w:sz w:val="16"/>
              </w:rPr>
            </w:pPr>
            <w:r>
              <w:rPr>
                <w:b/>
                <w:sz w:val="16"/>
              </w:rPr>
              <w:t>$'000</w:t>
            </w:r>
          </w:p>
        </w:tc>
        <w:tc>
          <w:tcPr>
            <w:tcW w:w="784" w:type="dxa"/>
          </w:tcPr>
          <w:p w14:paraId="67A7F1E2" w14:textId="77777777" w:rsidR="00FA4AA8" w:rsidRDefault="0015611F">
            <w:pPr>
              <w:pStyle w:val="TableParagraph"/>
              <w:spacing w:before="31"/>
              <w:ind w:left="142"/>
              <w:rPr>
                <w:b/>
                <w:sz w:val="16"/>
              </w:rPr>
            </w:pPr>
            <w:r>
              <w:rPr>
                <w:b/>
                <w:sz w:val="16"/>
              </w:rPr>
              <w:t>$'000</w:t>
            </w:r>
          </w:p>
        </w:tc>
      </w:tr>
      <w:tr w:rsidR="00FA4AA8" w14:paraId="557F9667" w14:textId="77777777">
        <w:trPr>
          <w:trHeight w:val="214"/>
        </w:trPr>
        <w:tc>
          <w:tcPr>
            <w:tcW w:w="4197" w:type="dxa"/>
          </w:tcPr>
          <w:p w14:paraId="1E35A883" w14:textId="77777777" w:rsidR="00FA4AA8" w:rsidRDefault="0015611F">
            <w:pPr>
              <w:pStyle w:val="TableParagraph"/>
              <w:spacing w:before="28" w:line="167" w:lineRule="exact"/>
              <w:ind w:left="50"/>
              <w:rPr>
                <w:sz w:val="16"/>
              </w:rPr>
            </w:pPr>
            <w:r>
              <w:rPr>
                <w:sz w:val="16"/>
              </w:rPr>
              <w:t>Financial assistance received in CASH during the</w:t>
            </w:r>
          </w:p>
        </w:tc>
        <w:tc>
          <w:tcPr>
            <w:tcW w:w="1082" w:type="dxa"/>
          </w:tcPr>
          <w:p w14:paraId="0B8E6576" w14:textId="77777777" w:rsidR="00FA4AA8" w:rsidRDefault="00FA4AA8">
            <w:pPr>
              <w:pStyle w:val="TableParagraph"/>
              <w:rPr>
                <w:rFonts w:ascii="Times New Roman"/>
                <w:sz w:val="14"/>
              </w:rPr>
            </w:pPr>
          </w:p>
        </w:tc>
        <w:tc>
          <w:tcPr>
            <w:tcW w:w="1047" w:type="dxa"/>
          </w:tcPr>
          <w:p w14:paraId="70D7185C" w14:textId="77777777" w:rsidR="00FA4AA8" w:rsidRDefault="00FA4AA8">
            <w:pPr>
              <w:pStyle w:val="TableParagraph"/>
              <w:rPr>
                <w:rFonts w:ascii="Times New Roman"/>
                <w:sz w:val="14"/>
              </w:rPr>
            </w:pPr>
          </w:p>
        </w:tc>
        <w:tc>
          <w:tcPr>
            <w:tcW w:w="785" w:type="dxa"/>
          </w:tcPr>
          <w:p w14:paraId="06CE7FFB" w14:textId="77777777" w:rsidR="00FA4AA8" w:rsidRDefault="00FA4AA8">
            <w:pPr>
              <w:pStyle w:val="TableParagraph"/>
              <w:rPr>
                <w:rFonts w:ascii="Times New Roman"/>
                <w:sz w:val="14"/>
              </w:rPr>
            </w:pPr>
          </w:p>
        </w:tc>
        <w:tc>
          <w:tcPr>
            <w:tcW w:w="1047" w:type="dxa"/>
          </w:tcPr>
          <w:p w14:paraId="3B106BB8" w14:textId="77777777" w:rsidR="00FA4AA8" w:rsidRDefault="00FA4AA8">
            <w:pPr>
              <w:pStyle w:val="TableParagraph"/>
              <w:rPr>
                <w:rFonts w:ascii="Times New Roman"/>
                <w:sz w:val="14"/>
              </w:rPr>
            </w:pPr>
          </w:p>
        </w:tc>
        <w:tc>
          <w:tcPr>
            <w:tcW w:w="909" w:type="dxa"/>
          </w:tcPr>
          <w:p w14:paraId="000139C7" w14:textId="77777777" w:rsidR="00FA4AA8" w:rsidRDefault="00FA4AA8">
            <w:pPr>
              <w:pStyle w:val="TableParagraph"/>
              <w:rPr>
                <w:rFonts w:ascii="Times New Roman"/>
                <w:sz w:val="14"/>
              </w:rPr>
            </w:pPr>
          </w:p>
        </w:tc>
        <w:tc>
          <w:tcPr>
            <w:tcW w:w="923" w:type="dxa"/>
          </w:tcPr>
          <w:p w14:paraId="4A124928" w14:textId="77777777" w:rsidR="00FA4AA8" w:rsidRDefault="00FA4AA8">
            <w:pPr>
              <w:pStyle w:val="TableParagraph"/>
              <w:rPr>
                <w:rFonts w:ascii="Times New Roman"/>
                <w:sz w:val="14"/>
              </w:rPr>
            </w:pPr>
          </w:p>
        </w:tc>
        <w:tc>
          <w:tcPr>
            <w:tcW w:w="901" w:type="dxa"/>
          </w:tcPr>
          <w:p w14:paraId="3A8D5069" w14:textId="77777777" w:rsidR="00FA4AA8" w:rsidRDefault="00FA4AA8">
            <w:pPr>
              <w:pStyle w:val="TableParagraph"/>
              <w:rPr>
                <w:rFonts w:ascii="Times New Roman"/>
                <w:sz w:val="14"/>
              </w:rPr>
            </w:pPr>
          </w:p>
        </w:tc>
        <w:tc>
          <w:tcPr>
            <w:tcW w:w="915" w:type="dxa"/>
          </w:tcPr>
          <w:p w14:paraId="5A529B6B" w14:textId="77777777" w:rsidR="00FA4AA8" w:rsidRDefault="00FA4AA8">
            <w:pPr>
              <w:pStyle w:val="TableParagraph"/>
              <w:rPr>
                <w:rFonts w:ascii="Times New Roman"/>
                <w:sz w:val="14"/>
              </w:rPr>
            </w:pPr>
          </w:p>
        </w:tc>
        <w:tc>
          <w:tcPr>
            <w:tcW w:w="922" w:type="dxa"/>
          </w:tcPr>
          <w:p w14:paraId="2E213874" w14:textId="77777777" w:rsidR="00FA4AA8" w:rsidRDefault="00FA4AA8">
            <w:pPr>
              <w:pStyle w:val="TableParagraph"/>
              <w:rPr>
                <w:rFonts w:ascii="Times New Roman"/>
                <w:sz w:val="14"/>
              </w:rPr>
            </w:pPr>
          </w:p>
        </w:tc>
        <w:tc>
          <w:tcPr>
            <w:tcW w:w="922" w:type="dxa"/>
          </w:tcPr>
          <w:p w14:paraId="4B7F9926" w14:textId="77777777" w:rsidR="00FA4AA8" w:rsidRDefault="00FA4AA8">
            <w:pPr>
              <w:pStyle w:val="TableParagraph"/>
              <w:rPr>
                <w:rFonts w:ascii="Times New Roman"/>
                <w:sz w:val="14"/>
              </w:rPr>
            </w:pPr>
          </w:p>
        </w:tc>
        <w:tc>
          <w:tcPr>
            <w:tcW w:w="784" w:type="dxa"/>
          </w:tcPr>
          <w:p w14:paraId="79232CEE" w14:textId="77777777" w:rsidR="00FA4AA8" w:rsidRDefault="00FA4AA8">
            <w:pPr>
              <w:pStyle w:val="TableParagraph"/>
              <w:rPr>
                <w:rFonts w:ascii="Times New Roman"/>
                <w:sz w:val="14"/>
              </w:rPr>
            </w:pPr>
          </w:p>
        </w:tc>
      </w:tr>
      <w:tr w:rsidR="00FA4AA8" w14:paraId="361F842F" w14:textId="77777777">
        <w:trPr>
          <w:trHeight w:val="397"/>
        </w:trPr>
        <w:tc>
          <w:tcPr>
            <w:tcW w:w="4197" w:type="dxa"/>
          </w:tcPr>
          <w:p w14:paraId="1AB9D5A5" w14:textId="77777777" w:rsidR="00FA4AA8" w:rsidRDefault="0015611F">
            <w:pPr>
              <w:pStyle w:val="TableParagraph"/>
              <w:ind w:left="50" w:right="943"/>
              <w:rPr>
                <w:sz w:val="16"/>
              </w:rPr>
            </w:pPr>
            <w:r>
              <w:rPr>
                <w:sz w:val="16"/>
              </w:rPr>
              <w:t>reporting period (total cash received from the Australian Government for the program)</w:t>
            </w:r>
          </w:p>
        </w:tc>
        <w:tc>
          <w:tcPr>
            <w:tcW w:w="1082" w:type="dxa"/>
          </w:tcPr>
          <w:p w14:paraId="6645E7D1" w14:textId="77777777" w:rsidR="00FA4AA8" w:rsidRDefault="00FA4AA8">
            <w:pPr>
              <w:pStyle w:val="TableParagraph"/>
              <w:rPr>
                <w:rFonts w:ascii="Times New Roman"/>
                <w:sz w:val="16"/>
              </w:rPr>
            </w:pPr>
          </w:p>
        </w:tc>
        <w:tc>
          <w:tcPr>
            <w:tcW w:w="1047" w:type="dxa"/>
          </w:tcPr>
          <w:p w14:paraId="22DB24B4" w14:textId="77777777" w:rsidR="00FA4AA8" w:rsidRDefault="00FA4AA8">
            <w:pPr>
              <w:pStyle w:val="TableParagraph"/>
              <w:spacing w:before="7"/>
              <w:rPr>
                <w:b/>
                <w:sz w:val="15"/>
              </w:rPr>
            </w:pPr>
          </w:p>
          <w:p w14:paraId="4C1BD6D2" w14:textId="77777777" w:rsidR="00FA4AA8" w:rsidRDefault="0015611F">
            <w:pPr>
              <w:pStyle w:val="TableParagraph"/>
              <w:spacing w:before="1"/>
              <w:ind w:right="180"/>
              <w:jc w:val="right"/>
              <w:rPr>
                <w:b/>
                <w:sz w:val="16"/>
              </w:rPr>
            </w:pPr>
            <w:r>
              <w:rPr>
                <w:b/>
                <w:sz w:val="16"/>
              </w:rPr>
              <w:t>4,711</w:t>
            </w:r>
          </w:p>
        </w:tc>
        <w:tc>
          <w:tcPr>
            <w:tcW w:w="785" w:type="dxa"/>
          </w:tcPr>
          <w:p w14:paraId="630D106D" w14:textId="77777777" w:rsidR="00FA4AA8" w:rsidRDefault="00FA4AA8">
            <w:pPr>
              <w:pStyle w:val="TableParagraph"/>
              <w:spacing w:before="7"/>
              <w:rPr>
                <w:b/>
                <w:sz w:val="15"/>
              </w:rPr>
            </w:pPr>
          </w:p>
          <w:p w14:paraId="073C1326" w14:textId="77777777" w:rsidR="00FA4AA8" w:rsidRDefault="0015611F">
            <w:pPr>
              <w:pStyle w:val="TableParagraph"/>
              <w:spacing w:before="1"/>
              <w:ind w:right="74"/>
              <w:jc w:val="right"/>
              <w:rPr>
                <w:sz w:val="16"/>
              </w:rPr>
            </w:pPr>
            <w:r>
              <w:rPr>
                <w:sz w:val="16"/>
              </w:rPr>
              <w:t>5,484</w:t>
            </w:r>
          </w:p>
        </w:tc>
        <w:tc>
          <w:tcPr>
            <w:tcW w:w="1047" w:type="dxa"/>
          </w:tcPr>
          <w:p w14:paraId="26B73B59" w14:textId="77777777" w:rsidR="00FA4AA8" w:rsidRDefault="00FA4AA8">
            <w:pPr>
              <w:pStyle w:val="TableParagraph"/>
              <w:spacing w:before="7"/>
              <w:rPr>
                <w:b/>
                <w:sz w:val="15"/>
              </w:rPr>
            </w:pPr>
          </w:p>
          <w:p w14:paraId="5E6C950E" w14:textId="77777777" w:rsidR="00FA4AA8" w:rsidRDefault="0015611F">
            <w:pPr>
              <w:pStyle w:val="TableParagraph"/>
              <w:spacing w:before="1"/>
              <w:ind w:right="178"/>
              <w:jc w:val="right"/>
              <w:rPr>
                <w:b/>
                <w:sz w:val="16"/>
              </w:rPr>
            </w:pPr>
            <w:r>
              <w:rPr>
                <w:b/>
                <w:sz w:val="16"/>
              </w:rPr>
              <w:t>881</w:t>
            </w:r>
          </w:p>
        </w:tc>
        <w:tc>
          <w:tcPr>
            <w:tcW w:w="909" w:type="dxa"/>
          </w:tcPr>
          <w:p w14:paraId="069F1E1E" w14:textId="77777777" w:rsidR="00FA4AA8" w:rsidRDefault="00FA4AA8">
            <w:pPr>
              <w:pStyle w:val="TableParagraph"/>
              <w:spacing w:before="7"/>
              <w:rPr>
                <w:b/>
                <w:sz w:val="15"/>
              </w:rPr>
            </w:pPr>
          </w:p>
          <w:p w14:paraId="21532B2F" w14:textId="77777777" w:rsidR="00FA4AA8" w:rsidRDefault="0015611F">
            <w:pPr>
              <w:pStyle w:val="TableParagraph"/>
              <w:spacing w:before="1"/>
              <w:ind w:right="197"/>
              <w:jc w:val="right"/>
              <w:rPr>
                <w:sz w:val="16"/>
              </w:rPr>
            </w:pPr>
            <w:r>
              <w:rPr>
                <w:sz w:val="16"/>
              </w:rPr>
              <w:t>583</w:t>
            </w:r>
          </w:p>
        </w:tc>
        <w:tc>
          <w:tcPr>
            <w:tcW w:w="923" w:type="dxa"/>
          </w:tcPr>
          <w:p w14:paraId="0EAC6C17" w14:textId="77777777" w:rsidR="00FA4AA8" w:rsidRDefault="00FA4AA8">
            <w:pPr>
              <w:pStyle w:val="TableParagraph"/>
              <w:spacing w:before="7"/>
              <w:rPr>
                <w:b/>
                <w:sz w:val="15"/>
              </w:rPr>
            </w:pPr>
          </w:p>
          <w:p w14:paraId="07BB62CF" w14:textId="77777777" w:rsidR="00FA4AA8" w:rsidRDefault="0015611F">
            <w:pPr>
              <w:pStyle w:val="TableParagraph"/>
              <w:spacing w:before="1"/>
              <w:ind w:right="176"/>
              <w:jc w:val="right"/>
              <w:rPr>
                <w:b/>
                <w:sz w:val="16"/>
              </w:rPr>
            </w:pPr>
            <w:r>
              <w:rPr>
                <w:b/>
                <w:sz w:val="16"/>
              </w:rPr>
              <w:t>-</w:t>
            </w:r>
          </w:p>
        </w:tc>
        <w:tc>
          <w:tcPr>
            <w:tcW w:w="901" w:type="dxa"/>
          </w:tcPr>
          <w:p w14:paraId="3ACA585F" w14:textId="77777777" w:rsidR="00FA4AA8" w:rsidRDefault="00FA4AA8">
            <w:pPr>
              <w:pStyle w:val="TableParagraph"/>
              <w:spacing w:before="7"/>
              <w:rPr>
                <w:b/>
                <w:sz w:val="15"/>
              </w:rPr>
            </w:pPr>
          </w:p>
          <w:p w14:paraId="7FACFEB0" w14:textId="77777777" w:rsidR="00FA4AA8" w:rsidRDefault="0015611F">
            <w:pPr>
              <w:pStyle w:val="TableParagraph"/>
              <w:spacing w:before="1"/>
              <w:ind w:right="187"/>
              <w:jc w:val="right"/>
              <w:rPr>
                <w:sz w:val="16"/>
              </w:rPr>
            </w:pPr>
            <w:r>
              <w:rPr>
                <w:sz w:val="16"/>
              </w:rPr>
              <w:t>-</w:t>
            </w:r>
          </w:p>
        </w:tc>
        <w:tc>
          <w:tcPr>
            <w:tcW w:w="915" w:type="dxa"/>
          </w:tcPr>
          <w:p w14:paraId="2AB39F66" w14:textId="77777777" w:rsidR="00FA4AA8" w:rsidRDefault="00FA4AA8">
            <w:pPr>
              <w:pStyle w:val="TableParagraph"/>
              <w:spacing w:before="7"/>
              <w:rPr>
                <w:b/>
                <w:sz w:val="15"/>
              </w:rPr>
            </w:pPr>
          </w:p>
          <w:p w14:paraId="47F6D077" w14:textId="77777777" w:rsidR="00FA4AA8" w:rsidRDefault="0015611F">
            <w:pPr>
              <w:pStyle w:val="TableParagraph"/>
              <w:spacing w:before="1"/>
              <w:ind w:right="185"/>
              <w:jc w:val="right"/>
              <w:rPr>
                <w:b/>
                <w:sz w:val="16"/>
              </w:rPr>
            </w:pPr>
            <w:r>
              <w:rPr>
                <w:b/>
                <w:sz w:val="16"/>
              </w:rPr>
              <w:t>-</w:t>
            </w:r>
          </w:p>
        </w:tc>
        <w:tc>
          <w:tcPr>
            <w:tcW w:w="922" w:type="dxa"/>
          </w:tcPr>
          <w:p w14:paraId="62A838D9" w14:textId="77777777" w:rsidR="00FA4AA8" w:rsidRDefault="00FA4AA8">
            <w:pPr>
              <w:pStyle w:val="TableParagraph"/>
              <w:spacing w:before="7"/>
              <w:rPr>
                <w:b/>
                <w:sz w:val="15"/>
              </w:rPr>
            </w:pPr>
          </w:p>
          <w:p w14:paraId="6A99D1F1" w14:textId="77777777" w:rsidR="00FA4AA8" w:rsidRDefault="0015611F">
            <w:pPr>
              <w:pStyle w:val="TableParagraph"/>
              <w:spacing w:before="1"/>
              <w:ind w:right="190"/>
              <w:jc w:val="right"/>
              <w:rPr>
                <w:sz w:val="16"/>
              </w:rPr>
            </w:pPr>
            <w:r>
              <w:rPr>
                <w:sz w:val="16"/>
              </w:rPr>
              <w:t>-</w:t>
            </w:r>
          </w:p>
        </w:tc>
        <w:tc>
          <w:tcPr>
            <w:tcW w:w="922" w:type="dxa"/>
          </w:tcPr>
          <w:p w14:paraId="2A180715" w14:textId="77777777" w:rsidR="00FA4AA8" w:rsidRDefault="00FA4AA8">
            <w:pPr>
              <w:pStyle w:val="TableParagraph"/>
              <w:spacing w:before="7"/>
              <w:rPr>
                <w:b/>
                <w:sz w:val="15"/>
              </w:rPr>
            </w:pPr>
          </w:p>
          <w:p w14:paraId="76D4861E" w14:textId="77777777" w:rsidR="00FA4AA8" w:rsidRDefault="0015611F">
            <w:pPr>
              <w:pStyle w:val="TableParagraph"/>
              <w:spacing w:before="1"/>
              <w:ind w:left="349"/>
              <w:rPr>
                <w:b/>
                <w:sz w:val="16"/>
              </w:rPr>
            </w:pPr>
            <w:r>
              <w:rPr>
                <w:b/>
                <w:sz w:val="16"/>
              </w:rPr>
              <w:t>5,592</w:t>
            </w:r>
          </w:p>
        </w:tc>
        <w:tc>
          <w:tcPr>
            <w:tcW w:w="784" w:type="dxa"/>
          </w:tcPr>
          <w:p w14:paraId="522A36C4" w14:textId="77777777" w:rsidR="00FA4AA8" w:rsidRDefault="00FA4AA8">
            <w:pPr>
              <w:pStyle w:val="TableParagraph"/>
              <w:spacing w:before="7"/>
              <w:rPr>
                <w:b/>
                <w:sz w:val="15"/>
              </w:rPr>
            </w:pPr>
          </w:p>
          <w:p w14:paraId="3883DF6F" w14:textId="77777777" w:rsidR="00FA4AA8" w:rsidRDefault="0015611F">
            <w:pPr>
              <w:pStyle w:val="TableParagraph"/>
              <w:spacing w:before="1"/>
              <w:ind w:right="63"/>
              <w:jc w:val="right"/>
              <w:rPr>
                <w:sz w:val="16"/>
              </w:rPr>
            </w:pPr>
            <w:r>
              <w:rPr>
                <w:sz w:val="16"/>
              </w:rPr>
              <w:t>6,067</w:t>
            </w:r>
          </w:p>
        </w:tc>
      </w:tr>
      <w:tr w:rsidR="00FA4AA8" w14:paraId="13E5D33C" w14:textId="77777777">
        <w:trPr>
          <w:trHeight w:val="236"/>
        </w:trPr>
        <w:tc>
          <w:tcPr>
            <w:tcW w:w="4197" w:type="dxa"/>
          </w:tcPr>
          <w:p w14:paraId="721ED743" w14:textId="77777777" w:rsidR="00FA4AA8" w:rsidRDefault="0015611F">
            <w:pPr>
              <w:pStyle w:val="TableParagraph"/>
              <w:spacing w:before="28"/>
              <w:ind w:left="50"/>
              <w:rPr>
                <w:sz w:val="16"/>
              </w:rPr>
            </w:pPr>
            <w:r>
              <w:rPr>
                <w:sz w:val="16"/>
              </w:rPr>
              <w:t>Net accrual adjustments</w:t>
            </w:r>
          </w:p>
        </w:tc>
        <w:tc>
          <w:tcPr>
            <w:tcW w:w="1082" w:type="dxa"/>
          </w:tcPr>
          <w:p w14:paraId="24351D87" w14:textId="77777777" w:rsidR="00FA4AA8" w:rsidRDefault="00FA4AA8">
            <w:pPr>
              <w:pStyle w:val="TableParagraph"/>
              <w:rPr>
                <w:rFonts w:ascii="Times New Roman"/>
                <w:sz w:val="16"/>
              </w:rPr>
            </w:pPr>
          </w:p>
        </w:tc>
        <w:tc>
          <w:tcPr>
            <w:tcW w:w="1047" w:type="dxa"/>
            <w:tcBorders>
              <w:bottom w:val="single" w:sz="8" w:space="0" w:color="000000"/>
            </w:tcBorders>
          </w:tcPr>
          <w:p w14:paraId="24BA8502" w14:textId="77777777" w:rsidR="00FA4AA8" w:rsidRDefault="0015611F">
            <w:pPr>
              <w:pStyle w:val="TableParagraph"/>
              <w:spacing w:before="25"/>
              <w:ind w:right="180"/>
              <w:jc w:val="right"/>
              <w:rPr>
                <w:b/>
                <w:sz w:val="16"/>
              </w:rPr>
            </w:pPr>
            <w:r>
              <w:rPr>
                <w:b/>
                <w:sz w:val="16"/>
              </w:rPr>
              <w:t>384</w:t>
            </w:r>
          </w:p>
        </w:tc>
        <w:tc>
          <w:tcPr>
            <w:tcW w:w="785" w:type="dxa"/>
            <w:tcBorders>
              <w:bottom w:val="single" w:sz="8" w:space="0" w:color="000000"/>
            </w:tcBorders>
          </w:tcPr>
          <w:p w14:paraId="228D63B6" w14:textId="77777777" w:rsidR="00FA4AA8" w:rsidRDefault="0015611F">
            <w:pPr>
              <w:pStyle w:val="TableParagraph"/>
              <w:spacing w:before="25"/>
              <w:ind w:right="75"/>
              <w:jc w:val="right"/>
              <w:rPr>
                <w:sz w:val="16"/>
              </w:rPr>
            </w:pPr>
            <w:r>
              <w:rPr>
                <w:sz w:val="16"/>
              </w:rPr>
              <w:t>373</w:t>
            </w:r>
          </w:p>
        </w:tc>
        <w:tc>
          <w:tcPr>
            <w:tcW w:w="1047" w:type="dxa"/>
            <w:tcBorders>
              <w:bottom w:val="single" w:sz="8" w:space="0" w:color="000000"/>
            </w:tcBorders>
          </w:tcPr>
          <w:p w14:paraId="2537099F" w14:textId="77777777" w:rsidR="00FA4AA8" w:rsidRDefault="0015611F">
            <w:pPr>
              <w:pStyle w:val="TableParagraph"/>
              <w:spacing w:before="25"/>
              <w:ind w:right="178"/>
              <w:jc w:val="right"/>
              <w:rPr>
                <w:b/>
                <w:sz w:val="16"/>
              </w:rPr>
            </w:pPr>
            <w:r>
              <w:rPr>
                <w:b/>
                <w:sz w:val="16"/>
              </w:rPr>
              <w:t>161</w:t>
            </w:r>
          </w:p>
        </w:tc>
        <w:tc>
          <w:tcPr>
            <w:tcW w:w="909" w:type="dxa"/>
            <w:tcBorders>
              <w:bottom w:val="single" w:sz="8" w:space="0" w:color="000000"/>
            </w:tcBorders>
          </w:tcPr>
          <w:p w14:paraId="4B78DDB2" w14:textId="77777777" w:rsidR="00FA4AA8" w:rsidRDefault="0015611F">
            <w:pPr>
              <w:pStyle w:val="TableParagraph"/>
              <w:spacing w:before="25"/>
              <w:ind w:right="197"/>
              <w:jc w:val="right"/>
              <w:rPr>
                <w:sz w:val="16"/>
              </w:rPr>
            </w:pPr>
            <w:r>
              <w:rPr>
                <w:sz w:val="16"/>
              </w:rPr>
              <w:t>445</w:t>
            </w:r>
          </w:p>
        </w:tc>
        <w:tc>
          <w:tcPr>
            <w:tcW w:w="923" w:type="dxa"/>
            <w:tcBorders>
              <w:bottom w:val="single" w:sz="8" w:space="0" w:color="000000"/>
            </w:tcBorders>
          </w:tcPr>
          <w:p w14:paraId="76DDD3B2" w14:textId="77777777" w:rsidR="00FA4AA8" w:rsidRDefault="0015611F">
            <w:pPr>
              <w:pStyle w:val="TableParagraph"/>
              <w:spacing w:before="25"/>
              <w:ind w:right="176"/>
              <w:jc w:val="right"/>
              <w:rPr>
                <w:b/>
                <w:sz w:val="16"/>
              </w:rPr>
            </w:pPr>
            <w:r>
              <w:rPr>
                <w:b/>
                <w:sz w:val="16"/>
              </w:rPr>
              <w:t>1,168</w:t>
            </w:r>
          </w:p>
        </w:tc>
        <w:tc>
          <w:tcPr>
            <w:tcW w:w="901" w:type="dxa"/>
            <w:tcBorders>
              <w:bottom w:val="single" w:sz="8" w:space="0" w:color="000000"/>
            </w:tcBorders>
          </w:tcPr>
          <w:p w14:paraId="370F524B" w14:textId="77777777" w:rsidR="00FA4AA8" w:rsidRDefault="0015611F">
            <w:pPr>
              <w:pStyle w:val="TableParagraph"/>
              <w:spacing w:before="25"/>
              <w:ind w:right="187"/>
              <w:jc w:val="right"/>
              <w:rPr>
                <w:sz w:val="16"/>
              </w:rPr>
            </w:pPr>
            <w:r>
              <w:rPr>
                <w:sz w:val="16"/>
              </w:rPr>
              <w:t>1,161</w:t>
            </w:r>
          </w:p>
        </w:tc>
        <w:tc>
          <w:tcPr>
            <w:tcW w:w="915" w:type="dxa"/>
            <w:tcBorders>
              <w:bottom w:val="single" w:sz="8" w:space="0" w:color="000000"/>
            </w:tcBorders>
          </w:tcPr>
          <w:p w14:paraId="61D4E02F" w14:textId="77777777" w:rsidR="00FA4AA8" w:rsidRDefault="0015611F">
            <w:pPr>
              <w:pStyle w:val="TableParagraph"/>
              <w:spacing w:before="25"/>
              <w:ind w:right="186"/>
              <w:jc w:val="right"/>
              <w:rPr>
                <w:b/>
                <w:sz w:val="16"/>
              </w:rPr>
            </w:pPr>
            <w:r>
              <w:rPr>
                <w:b/>
                <w:sz w:val="16"/>
              </w:rPr>
              <w:t>535</w:t>
            </w:r>
          </w:p>
        </w:tc>
        <w:tc>
          <w:tcPr>
            <w:tcW w:w="922" w:type="dxa"/>
            <w:tcBorders>
              <w:bottom w:val="single" w:sz="8" w:space="0" w:color="000000"/>
            </w:tcBorders>
          </w:tcPr>
          <w:p w14:paraId="3EA95C37" w14:textId="77777777" w:rsidR="00FA4AA8" w:rsidRDefault="0015611F">
            <w:pPr>
              <w:pStyle w:val="TableParagraph"/>
              <w:spacing w:before="25"/>
              <w:ind w:right="191"/>
              <w:jc w:val="right"/>
              <w:rPr>
                <w:sz w:val="16"/>
              </w:rPr>
            </w:pPr>
            <w:r>
              <w:rPr>
                <w:sz w:val="16"/>
              </w:rPr>
              <w:t>249</w:t>
            </w:r>
          </w:p>
        </w:tc>
        <w:tc>
          <w:tcPr>
            <w:tcW w:w="922" w:type="dxa"/>
            <w:tcBorders>
              <w:bottom w:val="single" w:sz="8" w:space="0" w:color="000000"/>
            </w:tcBorders>
          </w:tcPr>
          <w:p w14:paraId="02438E77" w14:textId="77777777" w:rsidR="00FA4AA8" w:rsidRDefault="0015611F">
            <w:pPr>
              <w:pStyle w:val="TableParagraph"/>
              <w:spacing w:before="25"/>
              <w:ind w:left="349"/>
              <w:rPr>
                <w:b/>
                <w:sz w:val="16"/>
              </w:rPr>
            </w:pPr>
            <w:r>
              <w:rPr>
                <w:b/>
                <w:sz w:val="16"/>
              </w:rPr>
              <w:t>2,248</w:t>
            </w:r>
          </w:p>
        </w:tc>
        <w:tc>
          <w:tcPr>
            <w:tcW w:w="784" w:type="dxa"/>
            <w:tcBorders>
              <w:bottom w:val="single" w:sz="8" w:space="0" w:color="000000"/>
            </w:tcBorders>
          </w:tcPr>
          <w:p w14:paraId="74BD0E98" w14:textId="77777777" w:rsidR="00FA4AA8" w:rsidRDefault="0015611F">
            <w:pPr>
              <w:pStyle w:val="TableParagraph"/>
              <w:spacing w:before="25"/>
              <w:ind w:right="63"/>
              <w:jc w:val="right"/>
              <w:rPr>
                <w:sz w:val="16"/>
              </w:rPr>
            </w:pPr>
            <w:r>
              <w:rPr>
                <w:sz w:val="16"/>
              </w:rPr>
              <w:t>2,228</w:t>
            </w:r>
          </w:p>
        </w:tc>
      </w:tr>
      <w:tr w:rsidR="00FA4AA8" w14:paraId="3019C02E" w14:textId="77777777">
        <w:trPr>
          <w:trHeight w:val="247"/>
        </w:trPr>
        <w:tc>
          <w:tcPr>
            <w:tcW w:w="4197" w:type="dxa"/>
          </w:tcPr>
          <w:p w14:paraId="72E5727F" w14:textId="77777777" w:rsidR="00FA4AA8" w:rsidRDefault="0015611F">
            <w:pPr>
              <w:pStyle w:val="TableParagraph"/>
              <w:spacing w:before="33"/>
              <w:ind w:left="50"/>
              <w:rPr>
                <w:sz w:val="16"/>
              </w:rPr>
            </w:pPr>
            <w:r>
              <w:rPr>
                <w:sz w:val="16"/>
              </w:rPr>
              <w:t>Revenue for the period</w:t>
            </w:r>
          </w:p>
        </w:tc>
        <w:tc>
          <w:tcPr>
            <w:tcW w:w="1082" w:type="dxa"/>
          </w:tcPr>
          <w:p w14:paraId="676659D6" w14:textId="77777777" w:rsidR="00FA4AA8" w:rsidRDefault="0015611F">
            <w:pPr>
              <w:pStyle w:val="TableParagraph"/>
              <w:spacing w:before="28"/>
              <w:ind w:left="524"/>
              <w:jc w:val="center"/>
              <w:rPr>
                <w:sz w:val="16"/>
              </w:rPr>
            </w:pPr>
            <w:r>
              <w:rPr>
                <w:sz w:val="16"/>
              </w:rPr>
              <w:t>2</w:t>
            </w:r>
          </w:p>
        </w:tc>
        <w:tc>
          <w:tcPr>
            <w:tcW w:w="1047" w:type="dxa"/>
            <w:tcBorders>
              <w:top w:val="single" w:sz="8" w:space="0" w:color="000000"/>
            </w:tcBorders>
          </w:tcPr>
          <w:p w14:paraId="5C914F91" w14:textId="77777777" w:rsidR="00FA4AA8" w:rsidRDefault="0015611F">
            <w:pPr>
              <w:pStyle w:val="TableParagraph"/>
              <w:spacing w:before="30"/>
              <w:ind w:right="180"/>
              <w:jc w:val="right"/>
              <w:rPr>
                <w:b/>
                <w:sz w:val="16"/>
              </w:rPr>
            </w:pPr>
            <w:r>
              <w:rPr>
                <w:b/>
                <w:sz w:val="16"/>
              </w:rPr>
              <w:t>5,095</w:t>
            </w:r>
          </w:p>
        </w:tc>
        <w:tc>
          <w:tcPr>
            <w:tcW w:w="785" w:type="dxa"/>
            <w:tcBorders>
              <w:top w:val="single" w:sz="8" w:space="0" w:color="000000"/>
            </w:tcBorders>
          </w:tcPr>
          <w:p w14:paraId="4DA64BEF" w14:textId="77777777" w:rsidR="00FA4AA8" w:rsidRDefault="0015611F">
            <w:pPr>
              <w:pStyle w:val="TableParagraph"/>
              <w:spacing w:before="30"/>
              <w:ind w:right="74"/>
              <w:jc w:val="right"/>
              <w:rPr>
                <w:sz w:val="16"/>
              </w:rPr>
            </w:pPr>
            <w:r>
              <w:rPr>
                <w:sz w:val="16"/>
              </w:rPr>
              <w:t>5,857</w:t>
            </w:r>
          </w:p>
        </w:tc>
        <w:tc>
          <w:tcPr>
            <w:tcW w:w="1047" w:type="dxa"/>
            <w:tcBorders>
              <w:top w:val="single" w:sz="8" w:space="0" w:color="000000"/>
            </w:tcBorders>
          </w:tcPr>
          <w:p w14:paraId="7FBBFCFE" w14:textId="77777777" w:rsidR="00FA4AA8" w:rsidRDefault="0015611F">
            <w:pPr>
              <w:pStyle w:val="TableParagraph"/>
              <w:spacing w:before="30"/>
              <w:ind w:right="178"/>
              <w:jc w:val="right"/>
              <w:rPr>
                <w:b/>
                <w:sz w:val="16"/>
              </w:rPr>
            </w:pPr>
            <w:r>
              <w:rPr>
                <w:b/>
                <w:sz w:val="16"/>
              </w:rPr>
              <w:t>1,042</w:t>
            </w:r>
          </w:p>
        </w:tc>
        <w:tc>
          <w:tcPr>
            <w:tcW w:w="909" w:type="dxa"/>
            <w:tcBorders>
              <w:top w:val="single" w:sz="8" w:space="0" w:color="000000"/>
            </w:tcBorders>
          </w:tcPr>
          <w:p w14:paraId="69E58F10" w14:textId="77777777" w:rsidR="00FA4AA8" w:rsidRDefault="0015611F">
            <w:pPr>
              <w:pStyle w:val="TableParagraph"/>
              <w:spacing w:before="30"/>
              <w:ind w:right="197"/>
              <w:jc w:val="right"/>
              <w:rPr>
                <w:sz w:val="16"/>
              </w:rPr>
            </w:pPr>
            <w:r>
              <w:rPr>
                <w:sz w:val="16"/>
              </w:rPr>
              <w:t>1,028</w:t>
            </w:r>
          </w:p>
        </w:tc>
        <w:tc>
          <w:tcPr>
            <w:tcW w:w="923" w:type="dxa"/>
            <w:tcBorders>
              <w:top w:val="single" w:sz="8" w:space="0" w:color="000000"/>
            </w:tcBorders>
          </w:tcPr>
          <w:p w14:paraId="26AE3D25" w14:textId="77777777" w:rsidR="00FA4AA8" w:rsidRDefault="0015611F">
            <w:pPr>
              <w:pStyle w:val="TableParagraph"/>
              <w:spacing w:before="30"/>
              <w:ind w:right="176"/>
              <w:jc w:val="right"/>
              <w:rPr>
                <w:b/>
                <w:sz w:val="16"/>
              </w:rPr>
            </w:pPr>
            <w:r>
              <w:rPr>
                <w:b/>
                <w:sz w:val="16"/>
              </w:rPr>
              <w:t>1,168</w:t>
            </w:r>
          </w:p>
        </w:tc>
        <w:tc>
          <w:tcPr>
            <w:tcW w:w="901" w:type="dxa"/>
            <w:tcBorders>
              <w:top w:val="single" w:sz="8" w:space="0" w:color="000000"/>
            </w:tcBorders>
          </w:tcPr>
          <w:p w14:paraId="056C703D" w14:textId="77777777" w:rsidR="00FA4AA8" w:rsidRDefault="0015611F">
            <w:pPr>
              <w:pStyle w:val="TableParagraph"/>
              <w:spacing w:before="30"/>
              <w:ind w:right="187"/>
              <w:jc w:val="right"/>
              <w:rPr>
                <w:sz w:val="16"/>
              </w:rPr>
            </w:pPr>
            <w:r>
              <w:rPr>
                <w:sz w:val="16"/>
              </w:rPr>
              <w:t>1,161</w:t>
            </w:r>
          </w:p>
        </w:tc>
        <w:tc>
          <w:tcPr>
            <w:tcW w:w="915" w:type="dxa"/>
            <w:tcBorders>
              <w:top w:val="single" w:sz="8" w:space="0" w:color="000000"/>
            </w:tcBorders>
          </w:tcPr>
          <w:p w14:paraId="2C1A85B0" w14:textId="77777777" w:rsidR="00FA4AA8" w:rsidRDefault="0015611F">
            <w:pPr>
              <w:pStyle w:val="TableParagraph"/>
              <w:spacing w:before="30"/>
              <w:ind w:right="186"/>
              <w:jc w:val="right"/>
              <w:rPr>
                <w:b/>
                <w:sz w:val="16"/>
              </w:rPr>
            </w:pPr>
            <w:r>
              <w:rPr>
                <w:b/>
                <w:sz w:val="16"/>
              </w:rPr>
              <w:t>535</w:t>
            </w:r>
          </w:p>
        </w:tc>
        <w:tc>
          <w:tcPr>
            <w:tcW w:w="922" w:type="dxa"/>
            <w:tcBorders>
              <w:top w:val="single" w:sz="8" w:space="0" w:color="000000"/>
            </w:tcBorders>
          </w:tcPr>
          <w:p w14:paraId="10878D41" w14:textId="77777777" w:rsidR="00FA4AA8" w:rsidRDefault="0015611F">
            <w:pPr>
              <w:pStyle w:val="TableParagraph"/>
              <w:spacing w:before="30"/>
              <w:ind w:right="191"/>
              <w:jc w:val="right"/>
              <w:rPr>
                <w:sz w:val="16"/>
              </w:rPr>
            </w:pPr>
            <w:r>
              <w:rPr>
                <w:sz w:val="16"/>
              </w:rPr>
              <w:t>249</w:t>
            </w:r>
          </w:p>
        </w:tc>
        <w:tc>
          <w:tcPr>
            <w:tcW w:w="922" w:type="dxa"/>
            <w:tcBorders>
              <w:top w:val="single" w:sz="8" w:space="0" w:color="000000"/>
            </w:tcBorders>
          </w:tcPr>
          <w:p w14:paraId="3B42A1B3" w14:textId="77777777" w:rsidR="00FA4AA8" w:rsidRDefault="0015611F">
            <w:pPr>
              <w:pStyle w:val="TableParagraph"/>
              <w:spacing w:before="30"/>
              <w:ind w:left="349"/>
              <w:rPr>
                <w:b/>
                <w:sz w:val="16"/>
              </w:rPr>
            </w:pPr>
            <w:r>
              <w:rPr>
                <w:b/>
                <w:sz w:val="16"/>
              </w:rPr>
              <w:t>7,840</w:t>
            </w:r>
          </w:p>
        </w:tc>
        <w:tc>
          <w:tcPr>
            <w:tcW w:w="784" w:type="dxa"/>
            <w:tcBorders>
              <w:top w:val="single" w:sz="8" w:space="0" w:color="000000"/>
            </w:tcBorders>
          </w:tcPr>
          <w:p w14:paraId="06421484" w14:textId="77777777" w:rsidR="00FA4AA8" w:rsidRDefault="0015611F">
            <w:pPr>
              <w:pStyle w:val="TableParagraph"/>
              <w:spacing w:before="30"/>
              <w:ind w:right="63"/>
              <w:jc w:val="right"/>
              <w:rPr>
                <w:sz w:val="16"/>
              </w:rPr>
            </w:pPr>
            <w:r>
              <w:rPr>
                <w:sz w:val="16"/>
              </w:rPr>
              <w:t>8,295</w:t>
            </w:r>
          </w:p>
        </w:tc>
      </w:tr>
      <w:tr w:rsidR="00FA4AA8" w14:paraId="4C9C77F5" w14:textId="77777777">
        <w:trPr>
          <w:trHeight w:val="236"/>
        </w:trPr>
        <w:tc>
          <w:tcPr>
            <w:tcW w:w="4197" w:type="dxa"/>
          </w:tcPr>
          <w:p w14:paraId="66EE6F56" w14:textId="77777777" w:rsidR="00FA4AA8" w:rsidRDefault="0015611F">
            <w:pPr>
              <w:pStyle w:val="TableParagraph"/>
              <w:spacing w:before="28"/>
              <w:ind w:left="50"/>
              <w:rPr>
                <w:sz w:val="16"/>
              </w:rPr>
            </w:pPr>
            <w:r>
              <w:rPr>
                <w:sz w:val="16"/>
              </w:rPr>
              <w:t>Surplus/(deficit) from the previous year</w:t>
            </w:r>
          </w:p>
        </w:tc>
        <w:tc>
          <w:tcPr>
            <w:tcW w:w="1082" w:type="dxa"/>
          </w:tcPr>
          <w:p w14:paraId="64323325" w14:textId="77777777" w:rsidR="00FA4AA8" w:rsidRDefault="00FA4AA8">
            <w:pPr>
              <w:pStyle w:val="TableParagraph"/>
              <w:rPr>
                <w:rFonts w:ascii="Times New Roman"/>
                <w:sz w:val="16"/>
              </w:rPr>
            </w:pPr>
          </w:p>
        </w:tc>
        <w:tc>
          <w:tcPr>
            <w:tcW w:w="1047" w:type="dxa"/>
            <w:tcBorders>
              <w:bottom w:val="single" w:sz="8" w:space="0" w:color="000000"/>
            </w:tcBorders>
          </w:tcPr>
          <w:p w14:paraId="74E10AC6" w14:textId="77777777" w:rsidR="00FA4AA8" w:rsidRDefault="0015611F">
            <w:pPr>
              <w:pStyle w:val="TableParagraph"/>
              <w:spacing w:before="25"/>
              <w:ind w:right="180"/>
              <w:jc w:val="right"/>
              <w:rPr>
                <w:b/>
                <w:sz w:val="16"/>
              </w:rPr>
            </w:pPr>
            <w:r>
              <w:rPr>
                <w:b/>
                <w:sz w:val="16"/>
              </w:rPr>
              <w:t>4,147</w:t>
            </w:r>
          </w:p>
        </w:tc>
        <w:tc>
          <w:tcPr>
            <w:tcW w:w="785" w:type="dxa"/>
            <w:tcBorders>
              <w:bottom w:val="single" w:sz="8" w:space="0" w:color="000000"/>
            </w:tcBorders>
          </w:tcPr>
          <w:p w14:paraId="78674330" w14:textId="77777777" w:rsidR="00FA4AA8" w:rsidRDefault="0015611F">
            <w:pPr>
              <w:pStyle w:val="TableParagraph"/>
              <w:spacing w:before="25"/>
              <w:ind w:right="74"/>
              <w:jc w:val="right"/>
              <w:rPr>
                <w:sz w:val="16"/>
              </w:rPr>
            </w:pPr>
            <w:r>
              <w:rPr>
                <w:sz w:val="16"/>
              </w:rPr>
              <w:t>4,239</w:t>
            </w:r>
          </w:p>
        </w:tc>
        <w:tc>
          <w:tcPr>
            <w:tcW w:w="1047" w:type="dxa"/>
            <w:tcBorders>
              <w:bottom w:val="single" w:sz="8" w:space="0" w:color="000000"/>
            </w:tcBorders>
          </w:tcPr>
          <w:p w14:paraId="2C8992FB" w14:textId="77777777" w:rsidR="00FA4AA8" w:rsidRDefault="0015611F">
            <w:pPr>
              <w:pStyle w:val="TableParagraph"/>
              <w:spacing w:before="25"/>
              <w:ind w:right="178"/>
              <w:jc w:val="right"/>
              <w:rPr>
                <w:b/>
                <w:sz w:val="16"/>
              </w:rPr>
            </w:pPr>
            <w:r>
              <w:rPr>
                <w:b/>
                <w:sz w:val="16"/>
              </w:rPr>
              <w:t>1,028</w:t>
            </w:r>
          </w:p>
        </w:tc>
        <w:tc>
          <w:tcPr>
            <w:tcW w:w="909" w:type="dxa"/>
            <w:tcBorders>
              <w:bottom w:val="single" w:sz="8" w:space="0" w:color="000000"/>
            </w:tcBorders>
          </w:tcPr>
          <w:p w14:paraId="34D87B7B" w14:textId="77777777" w:rsidR="00FA4AA8" w:rsidRDefault="0015611F">
            <w:pPr>
              <w:pStyle w:val="TableParagraph"/>
              <w:spacing w:before="25"/>
              <w:ind w:right="197"/>
              <w:jc w:val="right"/>
              <w:rPr>
                <w:sz w:val="16"/>
              </w:rPr>
            </w:pPr>
            <w:r>
              <w:rPr>
                <w:sz w:val="16"/>
              </w:rPr>
              <w:t>1,321</w:t>
            </w:r>
          </w:p>
        </w:tc>
        <w:tc>
          <w:tcPr>
            <w:tcW w:w="923" w:type="dxa"/>
            <w:tcBorders>
              <w:bottom w:val="single" w:sz="8" w:space="0" w:color="000000"/>
            </w:tcBorders>
          </w:tcPr>
          <w:p w14:paraId="7005DE6B" w14:textId="77777777" w:rsidR="00FA4AA8" w:rsidRDefault="0015611F">
            <w:pPr>
              <w:pStyle w:val="TableParagraph"/>
              <w:spacing w:before="25"/>
              <w:ind w:right="177"/>
              <w:jc w:val="right"/>
              <w:rPr>
                <w:b/>
                <w:sz w:val="16"/>
              </w:rPr>
            </w:pPr>
            <w:r>
              <w:rPr>
                <w:b/>
                <w:sz w:val="16"/>
              </w:rPr>
              <w:t>738</w:t>
            </w:r>
          </w:p>
        </w:tc>
        <w:tc>
          <w:tcPr>
            <w:tcW w:w="901" w:type="dxa"/>
            <w:tcBorders>
              <w:bottom w:val="single" w:sz="8" w:space="0" w:color="000000"/>
            </w:tcBorders>
          </w:tcPr>
          <w:p w14:paraId="2C32ACAD" w14:textId="77777777" w:rsidR="00FA4AA8" w:rsidRDefault="0015611F">
            <w:pPr>
              <w:pStyle w:val="TableParagraph"/>
              <w:spacing w:before="25"/>
              <w:ind w:right="187"/>
              <w:jc w:val="right"/>
              <w:rPr>
                <w:sz w:val="16"/>
              </w:rPr>
            </w:pPr>
            <w:r>
              <w:rPr>
                <w:sz w:val="16"/>
              </w:rPr>
              <w:t>918</w:t>
            </w:r>
          </w:p>
        </w:tc>
        <w:tc>
          <w:tcPr>
            <w:tcW w:w="915" w:type="dxa"/>
            <w:tcBorders>
              <w:bottom w:val="single" w:sz="8" w:space="0" w:color="000000"/>
            </w:tcBorders>
          </w:tcPr>
          <w:p w14:paraId="2F1741CA" w14:textId="77777777" w:rsidR="00FA4AA8" w:rsidRDefault="0015611F">
            <w:pPr>
              <w:pStyle w:val="TableParagraph"/>
              <w:spacing w:before="25"/>
              <w:ind w:right="186"/>
              <w:jc w:val="right"/>
              <w:rPr>
                <w:b/>
                <w:sz w:val="16"/>
              </w:rPr>
            </w:pPr>
            <w:r>
              <w:rPr>
                <w:b/>
                <w:sz w:val="16"/>
              </w:rPr>
              <w:t>212</w:t>
            </w:r>
          </w:p>
        </w:tc>
        <w:tc>
          <w:tcPr>
            <w:tcW w:w="922" w:type="dxa"/>
            <w:tcBorders>
              <w:bottom w:val="single" w:sz="8" w:space="0" w:color="000000"/>
            </w:tcBorders>
          </w:tcPr>
          <w:p w14:paraId="2A43AD2A" w14:textId="77777777" w:rsidR="00FA4AA8" w:rsidRDefault="0015611F">
            <w:pPr>
              <w:pStyle w:val="TableParagraph"/>
              <w:spacing w:before="25"/>
              <w:ind w:right="191"/>
              <w:jc w:val="right"/>
              <w:rPr>
                <w:sz w:val="16"/>
              </w:rPr>
            </w:pPr>
            <w:r>
              <w:rPr>
                <w:sz w:val="16"/>
              </w:rPr>
              <w:t>20</w:t>
            </w:r>
          </w:p>
        </w:tc>
        <w:tc>
          <w:tcPr>
            <w:tcW w:w="922" w:type="dxa"/>
            <w:tcBorders>
              <w:bottom w:val="single" w:sz="8" w:space="0" w:color="000000"/>
            </w:tcBorders>
          </w:tcPr>
          <w:p w14:paraId="0156E261" w14:textId="77777777" w:rsidR="00FA4AA8" w:rsidRDefault="0015611F">
            <w:pPr>
              <w:pStyle w:val="TableParagraph"/>
              <w:spacing w:before="25"/>
              <w:ind w:left="349"/>
              <w:rPr>
                <w:b/>
                <w:sz w:val="16"/>
              </w:rPr>
            </w:pPr>
            <w:r>
              <w:rPr>
                <w:b/>
                <w:sz w:val="16"/>
              </w:rPr>
              <w:t>6,125</w:t>
            </w:r>
          </w:p>
        </w:tc>
        <w:tc>
          <w:tcPr>
            <w:tcW w:w="784" w:type="dxa"/>
            <w:tcBorders>
              <w:bottom w:val="single" w:sz="8" w:space="0" w:color="000000"/>
            </w:tcBorders>
          </w:tcPr>
          <w:p w14:paraId="7D37469A" w14:textId="77777777" w:rsidR="00FA4AA8" w:rsidRDefault="0015611F">
            <w:pPr>
              <w:pStyle w:val="TableParagraph"/>
              <w:spacing w:before="25"/>
              <w:ind w:right="63"/>
              <w:jc w:val="right"/>
              <w:rPr>
                <w:sz w:val="16"/>
              </w:rPr>
            </w:pPr>
            <w:r>
              <w:rPr>
                <w:sz w:val="16"/>
              </w:rPr>
              <w:t>6,498</w:t>
            </w:r>
          </w:p>
        </w:tc>
      </w:tr>
      <w:tr w:rsidR="00FA4AA8" w14:paraId="59E76016" w14:textId="77777777">
        <w:trPr>
          <w:trHeight w:val="247"/>
        </w:trPr>
        <w:tc>
          <w:tcPr>
            <w:tcW w:w="4197" w:type="dxa"/>
          </w:tcPr>
          <w:p w14:paraId="29B2DAAE" w14:textId="77777777" w:rsidR="00FA4AA8" w:rsidRDefault="0015611F">
            <w:pPr>
              <w:pStyle w:val="TableParagraph"/>
              <w:spacing w:before="33"/>
              <w:ind w:left="50"/>
              <w:rPr>
                <w:sz w:val="16"/>
              </w:rPr>
            </w:pPr>
            <w:r>
              <w:rPr>
                <w:sz w:val="16"/>
              </w:rPr>
              <w:t>Total revenue including accrued revenue</w:t>
            </w:r>
          </w:p>
        </w:tc>
        <w:tc>
          <w:tcPr>
            <w:tcW w:w="1082" w:type="dxa"/>
          </w:tcPr>
          <w:p w14:paraId="4D7C1589" w14:textId="77777777" w:rsidR="00FA4AA8" w:rsidRDefault="00FA4AA8">
            <w:pPr>
              <w:pStyle w:val="TableParagraph"/>
              <w:rPr>
                <w:rFonts w:ascii="Times New Roman"/>
                <w:sz w:val="16"/>
              </w:rPr>
            </w:pPr>
          </w:p>
        </w:tc>
        <w:tc>
          <w:tcPr>
            <w:tcW w:w="1047" w:type="dxa"/>
            <w:tcBorders>
              <w:top w:val="single" w:sz="8" w:space="0" w:color="000000"/>
            </w:tcBorders>
          </w:tcPr>
          <w:p w14:paraId="2C52F7D2" w14:textId="77777777" w:rsidR="00FA4AA8" w:rsidRDefault="0015611F">
            <w:pPr>
              <w:pStyle w:val="TableParagraph"/>
              <w:spacing w:before="30"/>
              <w:ind w:right="180"/>
              <w:jc w:val="right"/>
              <w:rPr>
                <w:b/>
                <w:sz w:val="16"/>
              </w:rPr>
            </w:pPr>
            <w:r>
              <w:rPr>
                <w:b/>
                <w:sz w:val="16"/>
              </w:rPr>
              <w:t>9,242</w:t>
            </w:r>
          </w:p>
        </w:tc>
        <w:tc>
          <w:tcPr>
            <w:tcW w:w="785" w:type="dxa"/>
            <w:tcBorders>
              <w:top w:val="single" w:sz="8" w:space="0" w:color="000000"/>
            </w:tcBorders>
          </w:tcPr>
          <w:p w14:paraId="05F9FEF8" w14:textId="77777777" w:rsidR="00FA4AA8" w:rsidRDefault="0015611F">
            <w:pPr>
              <w:pStyle w:val="TableParagraph"/>
              <w:spacing w:before="30"/>
              <w:ind w:right="74"/>
              <w:jc w:val="right"/>
              <w:rPr>
                <w:sz w:val="16"/>
              </w:rPr>
            </w:pPr>
            <w:r>
              <w:rPr>
                <w:sz w:val="16"/>
              </w:rPr>
              <w:t>10,096</w:t>
            </w:r>
          </w:p>
        </w:tc>
        <w:tc>
          <w:tcPr>
            <w:tcW w:w="1047" w:type="dxa"/>
            <w:tcBorders>
              <w:top w:val="single" w:sz="8" w:space="0" w:color="000000"/>
            </w:tcBorders>
          </w:tcPr>
          <w:p w14:paraId="62B7351A" w14:textId="77777777" w:rsidR="00FA4AA8" w:rsidRDefault="0015611F">
            <w:pPr>
              <w:pStyle w:val="TableParagraph"/>
              <w:spacing w:before="30"/>
              <w:ind w:right="178"/>
              <w:jc w:val="right"/>
              <w:rPr>
                <w:b/>
                <w:sz w:val="16"/>
              </w:rPr>
            </w:pPr>
            <w:r>
              <w:rPr>
                <w:b/>
                <w:sz w:val="16"/>
              </w:rPr>
              <w:t>2,070</w:t>
            </w:r>
          </w:p>
        </w:tc>
        <w:tc>
          <w:tcPr>
            <w:tcW w:w="909" w:type="dxa"/>
            <w:tcBorders>
              <w:top w:val="single" w:sz="8" w:space="0" w:color="000000"/>
            </w:tcBorders>
          </w:tcPr>
          <w:p w14:paraId="297D0B73" w14:textId="77777777" w:rsidR="00FA4AA8" w:rsidRDefault="0015611F">
            <w:pPr>
              <w:pStyle w:val="TableParagraph"/>
              <w:spacing w:before="30"/>
              <w:ind w:right="197"/>
              <w:jc w:val="right"/>
              <w:rPr>
                <w:sz w:val="16"/>
              </w:rPr>
            </w:pPr>
            <w:r>
              <w:rPr>
                <w:sz w:val="16"/>
              </w:rPr>
              <w:t>2,349</w:t>
            </w:r>
          </w:p>
        </w:tc>
        <w:tc>
          <w:tcPr>
            <w:tcW w:w="923" w:type="dxa"/>
            <w:tcBorders>
              <w:top w:val="single" w:sz="8" w:space="0" w:color="000000"/>
            </w:tcBorders>
          </w:tcPr>
          <w:p w14:paraId="3D2D0EEC" w14:textId="77777777" w:rsidR="00FA4AA8" w:rsidRDefault="0015611F">
            <w:pPr>
              <w:pStyle w:val="TableParagraph"/>
              <w:spacing w:before="30"/>
              <w:ind w:right="176"/>
              <w:jc w:val="right"/>
              <w:rPr>
                <w:b/>
                <w:sz w:val="16"/>
              </w:rPr>
            </w:pPr>
            <w:r>
              <w:rPr>
                <w:b/>
                <w:sz w:val="16"/>
              </w:rPr>
              <w:t>1,906</w:t>
            </w:r>
          </w:p>
        </w:tc>
        <w:tc>
          <w:tcPr>
            <w:tcW w:w="901" w:type="dxa"/>
            <w:tcBorders>
              <w:top w:val="single" w:sz="8" w:space="0" w:color="000000"/>
            </w:tcBorders>
          </w:tcPr>
          <w:p w14:paraId="04A24CE7" w14:textId="77777777" w:rsidR="00FA4AA8" w:rsidRDefault="0015611F">
            <w:pPr>
              <w:pStyle w:val="TableParagraph"/>
              <w:spacing w:before="30"/>
              <w:ind w:right="187"/>
              <w:jc w:val="right"/>
              <w:rPr>
                <w:sz w:val="16"/>
              </w:rPr>
            </w:pPr>
            <w:r>
              <w:rPr>
                <w:sz w:val="16"/>
              </w:rPr>
              <w:t>2,079</w:t>
            </w:r>
          </w:p>
        </w:tc>
        <w:tc>
          <w:tcPr>
            <w:tcW w:w="915" w:type="dxa"/>
            <w:tcBorders>
              <w:top w:val="single" w:sz="8" w:space="0" w:color="000000"/>
            </w:tcBorders>
          </w:tcPr>
          <w:p w14:paraId="616CF33D" w14:textId="77777777" w:rsidR="00FA4AA8" w:rsidRDefault="0015611F">
            <w:pPr>
              <w:pStyle w:val="TableParagraph"/>
              <w:spacing w:before="30"/>
              <w:ind w:right="186"/>
              <w:jc w:val="right"/>
              <w:rPr>
                <w:b/>
                <w:sz w:val="16"/>
              </w:rPr>
            </w:pPr>
            <w:r>
              <w:rPr>
                <w:b/>
                <w:sz w:val="16"/>
              </w:rPr>
              <w:t>747</w:t>
            </w:r>
          </w:p>
        </w:tc>
        <w:tc>
          <w:tcPr>
            <w:tcW w:w="922" w:type="dxa"/>
            <w:tcBorders>
              <w:top w:val="single" w:sz="8" w:space="0" w:color="000000"/>
            </w:tcBorders>
          </w:tcPr>
          <w:p w14:paraId="2BBC4347" w14:textId="77777777" w:rsidR="00FA4AA8" w:rsidRDefault="0015611F">
            <w:pPr>
              <w:pStyle w:val="TableParagraph"/>
              <w:spacing w:before="30"/>
              <w:ind w:right="191"/>
              <w:jc w:val="right"/>
              <w:rPr>
                <w:sz w:val="16"/>
              </w:rPr>
            </w:pPr>
            <w:r>
              <w:rPr>
                <w:sz w:val="16"/>
              </w:rPr>
              <w:t>269</w:t>
            </w:r>
          </w:p>
        </w:tc>
        <w:tc>
          <w:tcPr>
            <w:tcW w:w="922" w:type="dxa"/>
            <w:tcBorders>
              <w:top w:val="single" w:sz="8" w:space="0" w:color="000000"/>
            </w:tcBorders>
          </w:tcPr>
          <w:p w14:paraId="706DC5A5" w14:textId="77777777" w:rsidR="00FA4AA8" w:rsidRDefault="0015611F">
            <w:pPr>
              <w:pStyle w:val="TableParagraph"/>
              <w:spacing w:before="30"/>
              <w:ind w:left="260"/>
              <w:rPr>
                <w:b/>
                <w:sz w:val="16"/>
              </w:rPr>
            </w:pPr>
            <w:r>
              <w:rPr>
                <w:b/>
                <w:sz w:val="16"/>
              </w:rPr>
              <w:t>13,965</w:t>
            </w:r>
          </w:p>
        </w:tc>
        <w:tc>
          <w:tcPr>
            <w:tcW w:w="784" w:type="dxa"/>
            <w:tcBorders>
              <w:top w:val="single" w:sz="8" w:space="0" w:color="000000"/>
            </w:tcBorders>
          </w:tcPr>
          <w:p w14:paraId="3E443664" w14:textId="77777777" w:rsidR="00FA4AA8" w:rsidRDefault="0015611F">
            <w:pPr>
              <w:pStyle w:val="TableParagraph"/>
              <w:spacing w:before="30"/>
              <w:ind w:right="63"/>
              <w:jc w:val="right"/>
              <w:rPr>
                <w:sz w:val="16"/>
              </w:rPr>
            </w:pPr>
            <w:r>
              <w:rPr>
                <w:sz w:val="16"/>
              </w:rPr>
              <w:t>14,793</w:t>
            </w:r>
          </w:p>
        </w:tc>
      </w:tr>
      <w:tr w:rsidR="00FA4AA8" w14:paraId="6BEDEAF5" w14:textId="77777777">
        <w:trPr>
          <w:trHeight w:val="236"/>
        </w:trPr>
        <w:tc>
          <w:tcPr>
            <w:tcW w:w="4197" w:type="dxa"/>
          </w:tcPr>
          <w:p w14:paraId="1C5E09F4" w14:textId="77777777" w:rsidR="00FA4AA8" w:rsidRDefault="0015611F">
            <w:pPr>
              <w:pStyle w:val="TableParagraph"/>
              <w:spacing w:before="28"/>
              <w:ind w:left="50"/>
              <w:rPr>
                <w:sz w:val="16"/>
              </w:rPr>
            </w:pPr>
            <w:r>
              <w:rPr>
                <w:sz w:val="16"/>
              </w:rPr>
              <w:t>Less expenses including accrued expenses</w:t>
            </w:r>
          </w:p>
        </w:tc>
        <w:tc>
          <w:tcPr>
            <w:tcW w:w="1082" w:type="dxa"/>
          </w:tcPr>
          <w:p w14:paraId="5EB0A6F0" w14:textId="77777777" w:rsidR="00FA4AA8" w:rsidRDefault="00FA4AA8">
            <w:pPr>
              <w:pStyle w:val="TableParagraph"/>
              <w:rPr>
                <w:rFonts w:ascii="Times New Roman"/>
                <w:sz w:val="16"/>
              </w:rPr>
            </w:pPr>
          </w:p>
        </w:tc>
        <w:tc>
          <w:tcPr>
            <w:tcW w:w="1047" w:type="dxa"/>
            <w:tcBorders>
              <w:bottom w:val="single" w:sz="8" w:space="0" w:color="000000"/>
            </w:tcBorders>
          </w:tcPr>
          <w:p w14:paraId="3A012219" w14:textId="77777777" w:rsidR="00FA4AA8" w:rsidRDefault="0015611F">
            <w:pPr>
              <w:pStyle w:val="TableParagraph"/>
              <w:spacing w:before="25"/>
              <w:ind w:right="127"/>
              <w:jc w:val="right"/>
              <w:rPr>
                <w:b/>
                <w:sz w:val="16"/>
              </w:rPr>
            </w:pPr>
            <w:r>
              <w:rPr>
                <w:b/>
                <w:sz w:val="16"/>
              </w:rPr>
              <w:t>(4,831)</w:t>
            </w:r>
          </w:p>
        </w:tc>
        <w:tc>
          <w:tcPr>
            <w:tcW w:w="785" w:type="dxa"/>
            <w:tcBorders>
              <w:bottom w:val="single" w:sz="8" w:space="0" w:color="000000"/>
            </w:tcBorders>
          </w:tcPr>
          <w:p w14:paraId="5885FBE9" w14:textId="77777777" w:rsidR="00FA4AA8" w:rsidRDefault="0015611F">
            <w:pPr>
              <w:pStyle w:val="TableParagraph"/>
              <w:spacing w:before="25"/>
              <w:ind w:right="21"/>
              <w:jc w:val="right"/>
              <w:rPr>
                <w:sz w:val="16"/>
              </w:rPr>
            </w:pPr>
            <w:r>
              <w:rPr>
                <w:sz w:val="16"/>
              </w:rPr>
              <w:t>(5,949)</w:t>
            </w:r>
          </w:p>
        </w:tc>
        <w:tc>
          <w:tcPr>
            <w:tcW w:w="1047" w:type="dxa"/>
            <w:tcBorders>
              <w:bottom w:val="single" w:sz="8" w:space="0" w:color="000000"/>
            </w:tcBorders>
          </w:tcPr>
          <w:p w14:paraId="271E09E4" w14:textId="77777777" w:rsidR="00FA4AA8" w:rsidRDefault="0015611F">
            <w:pPr>
              <w:pStyle w:val="TableParagraph"/>
              <w:spacing w:before="25"/>
              <w:ind w:right="125"/>
              <w:jc w:val="right"/>
              <w:rPr>
                <w:b/>
                <w:sz w:val="16"/>
              </w:rPr>
            </w:pPr>
            <w:r>
              <w:rPr>
                <w:b/>
                <w:sz w:val="16"/>
              </w:rPr>
              <w:t>(1,304)</w:t>
            </w:r>
          </w:p>
        </w:tc>
        <w:tc>
          <w:tcPr>
            <w:tcW w:w="909" w:type="dxa"/>
            <w:tcBorders>
              <w:bottom w:val="single" w:sz="8" w:space="0" w:color="000000"/>
            </w:tcBorders>
          </w:tcPr>
          <w:p w14:paraId="466E270D" w14:textId="77777777" w:rsidR="00FA4AA8" w:rsidRDefault="0015611F">
            <w:pPr>
              <w:pStyle w:val="TableParagraph"/>
              <w:spacing w:before="25"/>
              <w:ind w:right="144"/>
              <w:jc w:val="right"/>
              <w:rPr>
                <w:sz w:val="16"/>
              </w:rPr>
            </w:pPr>
            <w:r>
              <w:rPr>
                <w:sz w:val="16"/>
              </w:rPr>
              <w:t>(1,321)</w:t>
            </w:r>
          </w:p>
        </w:tc>
        <w:tc>
          <w:tcPr>
            <w:tcW w:w="923" w:type="dxa"/>
            <w:tcBorders>
              <w:bottom w:val="single" w:sz="8" w:space="0" w:color="000000"/>
            </w:tcBorders>
          </w:tcPr>
          <w:p w14:paraId="0ADCF28C" w14:textId="77777777" w:rsidR="00FA4AA8" w:rsidRDefault="0015611F">
            <w:pPr>
              <w:pStyle w:val="TableParagraph"/>
              <w:spacing w:before="25"/>
              <w:ind w:right="123"/>
              <w:jc w:val="right"/>
              <w:rPr>
                <w:b/>
                <w:sz w:val="16"/>
              </w:rPr>
            </w:pPr>
            <w:r>
              <w:rPr>
                <w:b/>
                <w:sz w:val="16"/>
              </w:rPr>
              <w:t>(1,324)</w:t>
            </w:r>
          </w:p>
        </w:tc>
        <w:tc>
          <w:tcPr>
            <w:tcW w:w="901" w:type="dxa"/>
            <w:tcBorders>
              <w:bottom w:val="single" w:sz="8" w:space="0" w:color="000000"/>
            </w:tcBorders>
          </w:tcPr>
          <w:p w14:paraId="595189A6" w14:textId="77777777" w:rsidR="00FA4AA8" w:rsidRDefault="0015611F">
            <w:pPr>
              <w:pStyle w:val="TableParagraph"/>
              <w:spacing w:before="25"/>
              <w:ind w:right="134"/>
              <w:jc w:val="right"/>
              <w:rPr>
                <w:sz w:val="16"/>
              </w:rPr>
            </w:pPr>
            <w:r>
              <w:rPr>
                <w:sz w:val="16"/>
              </w:rPr>
              <w:t>(1,341)</w:t>
            </w:r>
          </w:p>
        </w:tc>
        <w:tc>
          <w:tcPr>
            <w:tcW w:w="915" w:type="dxa"/>
            <w:tcBorders>
              <w:bottom w:val="single" w:sz="8" w:space="0" w:color="000000"/>
            </w:tcBorders>
          </w:tcPr>
          <w:p w14:paraId="281A8644" w14:textId="77777777" w:rsidR="00FA4AA8" w:rsidRDefault="0015611F">
            <w:pPr>
              <w:pStyle w:val="TableParagraph"/>
              <w:spacing w:before="25"/>
              <w:ind w:right="133"/>
              <w:jc w:val="right"/>
              <w:rPr>
                <w:b/>
                <w:sz w:val="16"/>
              </w:rPr>
            </w:pPr>
            <w:r>
              <w:rPr>
                <w:b/>
                <w:sz w:val="16"/>
              </w:rPr>
              <w:t>(513)</w:t>
            </w:r>
          </w:p>
        </w:tc>
        <w:tc>
          <w:tcPr>
            <w:tcW w:w="922" w:type="dxa"/>
            <w:tcBorders>
              <w:bottom w:val="single" w:sz="8" w:space="0" w:color="000000"/>
            </w:tcBorders>
          </w:tcPr>
          <w:p w14:paraId="1C9D93D4" w14:textId="77777777" w:rsidR="00FA4AA8" w:rsidRDefault="0015611F">
            <w:pPr>
              <w:pStyle w:val="TableParagraph"/>
              <w:spacing w:before="25"/>
              <w:ind w:right="138"/>
              <w:jc w:val="right"/>
              <w:rPr>
                <w:sz w:val="16"/>
              </w:rPr>
            </w:pPr>
            <w:r>
              <w:rPr>
                <w:sz w:val="16"/>
              </w:rPr>
              <w:t>(57)</w:t>
            </w:r>
          </w:p>
        </w:tc>
        <w:tc>
          <w:tcPr>
            <w:tcW w:w="922" w:type="dxa"/>
            <w:tcBorders>
              <w:bottom w:val="single" w:sz="8" w:space="0" w:color="000000"/>
            </w:tcBorders>
          </w:tcPr>
          <w:p w14:paraId="643CFD89" w14:textId="77777777" w:rsidR="00FA4AA8" w:rsidRDefault="0015611F">
            <w:pPr>
              <w:pStyle w:val="TableParagraph"/>
              <w:spacing w:before="25"/>
              <w:ind w:left="296"/>
              <w:rPr>
                <w:b/>
                <w:sz w:val="16"/>
              </w:rPr>
            </w:pPr>
            <w:r>
              <w:rPr>
                <w:b/>
                <w:sz w:val="16"/>
              </w:rPr>
              <w:t>(7,972)</w:t>
            </w:r>
          </w:p>
        </w:tc>
        <w:tc>
          <w:tcPr>
            <w:tcW w:w="784" w:type="dxa"/>
            <w:tcBorders>
              <w:bottom w:val="single" w:sz="8" w:space="0" w:color="000000"/>
            </w:tcBorders>
          </w:tcPr>
          <w:p w14:paraId="12D76297" w14:textId="77777777" w:rsidR="00FA4AA8" w:rsidRDefault="0015611F">
            <w:pPr>
              <w:pStyle w:val="TableParagraph"/>
              <w:spacing w:before="25"/>
              <w:ind w:right="10"/>
              <w:jc w:val="right"/>
              <w:rPr>
                <w:sz w:val="16"/>
              </w:rPr>
            </w:pPr>
            <w:r>
              <w:rPr>
                <w:sz w:val="16"/>
              </w:rPr>
              <w:t>(8,668)</w:t>
            </w:r>
          </w:p>
        </w:tc>
      </w:tr>
      <w:tr w:rsidR="00FA4AA8" w14:paraId="5204C70B" w14:textId="77777777">
        <w:trPr>
          <w:trHeight w:val="271"/>
        </w:trPr>
        <w:tc>
          <w:tcPr>
            <w:tcW w:w="4197" w:type="dxa"/>
          </w:tcPr>
          <w:p w14:paraId="215BAA5F" w14:textId="77777777" w:rsidR="00FA4AA8" w:rsidRDefault="0015611F">
            <w:pPr>
              <w:pStyle w:val="TableParagraph"/>
              <w:spacing w:before="33"/>
              <w:ind w:left="50"/>
              <w:rPr>
                <w:sz w:val="16"/>
              </w:rPr>
            </w:pPr>
            <w:r>
              <w:rPr>
                <w:sz w:val="16"/>
              </w:rPr>
              <w:t>Surplus/(deficit) for reporting period</w:t>
            </w:r>
          </w:p>
        </w:tc>
        <w:tc>
          <w:tcPr>
            <w:tcW w:w="1082" w:type="dxa"/>
          </w:tcPr>
          <w:p w14:paraId="54A3D19B" w14:textId="77777777" w:rsidR="00FA4AA8" w:rsidRDefault="00FA4AA8">
            <w:pPr>
              <w:pStyle w:val="TableParagraph"/>
              <w:rPr>
                <w:rFonts w:ascii="Times New Roman"/>
                <w:sz w:val="16"/>
              </w:rPr>
            </w:pPr>
          </w:p>
        </w:tc>
        <w:tc>
          <w:tcPr>
            <w:tcW w:w="1047" w:type="dxa"/>
            <w:tcBorders>
              <w:top w:val="single" w:sz="8" w:space="0" w:color="000000"/>
              <w:bottom w:val="thinThickMediumGap" w:sz="3" w:space="0" w:color="000000"/>
            </w:tcBorders>
          </w:tcPr>
          <w:p w14:paraId="2BAD1202" w14:textId="77777777" w:rsidR="00FA4AA8" w:rsidRDefault="0015611F">
            <w:pPr>
              <w:pStyle w:val="TableParagraph"/>
              <w:spacing w:before="30"/>
              <w:ind w:right="180"/>
              <w:jc w:val="right"/>
              <w:rPr>
                <w:b/>
                <w:sz w:val="16"/>
              </w:rPr>
            </w:pPr>
            <w:r>
              <w:rPr>
                <w:b/>
                <w:sz w:val="16"/>
              </w:rPr>
              <w:t>4,411</w:t>
            </w:r>
          </w:p>
        </w:tc>
        <w:tc>
          <w:tcPr>
            <w:tcW w:w="785" w:type="dxa"/>
            <w:tcBorders>
              <w:top w:val="single" w:sz="8" w:space="0" w:color="000000"/>
              <w:bottom w:val="single" w:sz="6" w:space="0" w:color="000000"/>
            </w:tcBorders>
          </w:tcPr>
          <w:p w14:paraId="2998A361" w14:textId="77777777" w:rsidR="00FA4AA8" w:rsidRDefault="0015611F">
            <w:pPr>
              <w:pStyle w:val="TableParagraph"/>
              <w:spacing w:before="30"/>
              <w:ind w:right="74"/>
              <w:jc w:val="right"/>
              <w:rPr>
                <w:sz w:val="16"/>
              </w:rPr>
            </w:pPr>
            <w:r>
              <w:rPr>
                <w:sz w:val="16"/>
              </w:rPr>
              <w:t>4,147</w:t>
            </w:r>
          </w:p>
        </w:tc>
        <w:tc>
          <w:tcPr>
            <w:tcW w:w="1047" w:type="dxa"/>
            <w:tcBorders>
              <w:top w:val="single" w:sz="8" w:space="0" w:color="000000"/>
              <w:bottom w:val="single" w:sz="6" w:space="0" w:color="000000"/>
            </w:tcBorders>
          </w:tcPr>
          <w:p w14:paraId="5FC0931B" w14:textId="77777777" w:rsidR="00FA4AA8" w:rsidRDefault="0015611F">
            <w:pPr>
              <w:pStyle w:val="TableParagraph"/>
              <w:spacing w:before="30"/>
              <w:ind w:right="178"/>
              <w:jc w:val="right"/>
              <w:rPr>
                <w:b/>
                <w:sz w:val="16"/>
              </w:rPr>
            </w:pPr>
            <w:r>
              <w:rPr>
                <w:b/>
                <w:sz w:val="16"/>
              </w:rPr>
              <w:t>766</w:t>
            </w:r>
          </w:p>
        </w:tc>
        <w:tc>
          <w:tcPr>
            <w:tcW w:w="909" w:type="dxa"/>
            <w:tcBorders>
              <w:top w:val="single" w:sz="8" w:space="0" w:color="000000"/>
              <w:bottom w:val="single" w:sz="6" w:space="0" w:color="000000"/>
            </w:tcBorders>
          </w:tcPr>
          <w:p w14:paraId="79D86EF6" w14:textId="77777777" w:rsidR="00FA4AA8" w:rsidRDefault="0015611F">
            <w:pPr>
              <w:pStyle w:val="TableParagraph"/>
              <w:spacing w:before="30"/>
              <w:ind w:right="197"/>
              <w:jc w:val="right"/>
              <w:rPr>
                <w:sz w:val="16"/>
              </w:rPr>
            </w:pPr>
            <w:r>
              <w:rPr>
                <w:sz w:val="16"/>
              </w:rPr>
              <w:t>1,028</w:t>
            </w:r>
          </w:p>
        </w:tc>
        <w:tc>
          <w:tcPr>
            <w:tcW w:w="923" w:type="dxa"/>
            <w:tcBorders>
              <w:top w:val="single" w:sz="8" w:space="0" w:color="000000"/>
              <w:bottom w:val="single" w:sz="6" w:space="0" w:color="000000"/>
            </w:tcBorders>
          </w:tcPr>
          <w:p w14:paraId="7F25D2BE" w14:textId="77777777" w:rsidR="00FA4AA8" w:rsidRDefault="0015611F">
            <w:pPr>
              <w:pStyle w:val="TableParagraph"/>
              <w:spacing w:before="30"/>
              <w:ind w:right="177"/>
              <w:jc w:val="right"/>
              <w:rPr>
                <w:b/>
                <w:sz w:val="16"/>
              </w:rPr>
            </w:pPr>
            <w:r>
              <w:rPr>
                <w:b/>
                <w:sz w:val="16"/>
              </w:rPr>
              <w:t>582</w:t>
            </w:r>
          </w:p>
        </w:tc>
        <w:tc>
          <w:tcPr>
            <w:tcW w:w="901" w:type="dxa"/>
            <w:tcBorders>
              <w:top w:val="single" w:sz="8" w:space="0" w:color="000000"/>
              <w:bottom w:val="single" w:sz="6" w:space="0" w:color="000000"/>
            </w:tcBorders>
          </w:tcPr>
          <w:p w14:paraId="6912BB22" w14:textId="77777777" w:rsidR="00FA4AA8" w:rsidRDefault="0015611F">
            <w:pPr>
              <w:pStyle w:val="TableParagraph"/>
              <w:spacing w:before="30"/>
              <w:ind w:right="187"/>
              <w:jc w:val="right"/>
              <w:rPr>
                <w:sz w:val="16"/>
              </w:rPr>
            </w:pPr>
            <w:r>
              <w:rPr>
                <w:sz w:val="16"/>
              </w:rPr>
              <w:t>738</w:t>
            </w:r>
          </w:p>
        </w:tc>
        <w:tc>
          <w:tcPr>
            <w:tcW w:w="915" w:type="dxa"/>
            <w:tcBorders>
              <w:top w:val="single" w:sz="8" w:space="0" w:color="000000"/>
              <w:bottom w:val="single" w:sz="6" w:space="0" w:color="000000"/>
            </w:tcBorders>
          </w:tcPr>
          <w:p w14:paraId="0EA1E7CA" w14:textId="77777777" w:rsidR="00FA4AA8" w:rsidRDefault="0015611F">
            <w:pPr>
              <w:pStyle w:val="TableParagraph"/>
              <w:spacing w:before="30"/>
              <w:ind w:right="186"/>
              <w:jc w:val="right"/>
              <w:rPr>
                <w:b/>
                <w:sz w:val="16"/>
              </w:rPr>
            </w:pPr>
            <w:r>
              <w:rPr>
                <w:b/>
                <w:sz w:val="16"/>
              </w:rPr>
              <w:t>234</w:t>
            </w:r>
          </w:p>
        </w:tc>
        <w:tc>
          <w:tcPr>
            <w:tcW w:w="922" w:type="dxa"/>
            <w:tcBorders>
              <w:top w:val="single" w:sz="8" w:space="0" w:color="000000"/>
              <w:bottom w:val="single" w:sz="6" w:space="0" w:color="000000"/>
            </w:tcBorders>
          </w:tcPr>
          <w:p w14:paraId="7445DB17" w14:textId="77777777" w:rsidR="00FA4AA8" w:rsidRDefault="0015611F">
            <w:pPr>
              <w:pStyle w:val="TableParagraph"/>
              <w:spacing w:before="30"/>
              <w:ind w:right="191"/>
              <w:jc w:val="right"/>
              <w:rPr>
                <w:sz w:val="16"/>
              </w:rPr>
            </w:pPr>
            <w:r>
              <w:rPr>
                <w:sz w:val="16"/>
              </w:rPr>
              <w:t>212</w:t>
            </w:r>
          </w:p>
        </w:tc>
        <w:tc>
          <w:tcPr>
            <w:tcW w:w="922" w:type="dxa"/>
            <w:tcBorders>
              <w:top w:val="single" w:sz="8" w:space="0" w:color="000000"/>
              <w:bottom w:val="single" w:sz="6" w:space="0" w:color="000000"/>
            </w:tcBorders>
          </w:tcPr>
          <w:p w14:paraId="36F2EFBA" w14:textId="77777777" w:rsidR="00FA4AA8" w:rsidRDefault="0015611F">
            <w:pPr>
              <w:pStyle w:val="TableParagraph"/>
              <w:spacing w:before="30"/>
              <w:ind w:left="349"/>
              <w:rPr>
                <w:b/>
                <w:sz w:val="16"/>
              </w:rPr>
            </w:pPr>
            <w:r>
              <w:rPr>
                <w:b/>
                <w:sz w:val="16"/>
              </w:rPr>
              <w:t>5,993</w:t>
            </w:r>
          </w:p>
        </w:tc>
        <w:tc>
          <w:tcPr>
            <w:tcW w:w="784" w:type="dxa"/>
            <w:tcBorders>
              <w:top w:val="single" w:sz="8" w:space="0" w:color="000000"/>
              <w:bottom w:val="single" w:sz="6" w:space="0" w:color="000000"/>
            </w:tcBorders>
          </w:tcPr>
          <w:p w14:paraId="20E37B7A" w14:textId="77777777" w:rsidR="00FA4AA8" w:rsidRDefault="0015611F">
            <w:pPr>
              <w:pStyle w:val="TableParagraph"/>
              <w:spacing w:before="30"/>
              <w:ind w:right="63"/>
              <w:jc w:val="right"/>
              <w:rPr>
                <w:sz w:val="16"/>
              </w:rPr>
            </w:pPr>
            <w:r>
              <w:rPr>
                <w:sz w:val="16"/>
              </w:rPr>
              <w:t>6,125</w:t>
            </w:r>
          </w:p>
        </w:tc>
      </w:tr>
    </w:tbl>
    <w:p w14:paraId="1C54D507" w14:textId="77777777" w:rsidR="00FA4AA8" w:rsidRDefault="00FA4AA8">
      <w:pPr>
        <w:jc w:val="right"/>
        <w:rPr>
          <w:sz w:val="16"/>
        </w:rPr>
        <w:sectPr w:rsidR="00FA4AA8">
          <w:type w:val="continuous"/>
          <w:pgSz w:w="16840" w:h="11910" w:orient="landscape"/>
          <w:pgMar w:top="20" w:right="880" w:bottom="0" w:left="840" w:header="720" w:footer="720" w:gutter="0"/>
          <w:cols w:space="720"/>
        </w:sectPr>
      </w:pPr>
    </w:p>
    <w:p w14:paraId="7D7D33D3" w14:textId="77777777" w:rsidR="00FA4AA8" w:rsidRDefault="00FA4AA8">
      <w:pPr>
        <w:pStyle w:val="BodyText"/>
        <w:rPr>
          <w:b/>
          <w:sz w:val="20"/>
        </w:rPr>
      </w:pPr>
    </w:p>
    <w:p w14:paraId="473A0E07" w14:textId="77777777" w:rsidR="00FA4AA8" w:rsidRDefault="00FA4AA8">
      <w:pPr>
        <w:pStyle w:val="BodyText"/>
        <w:rPr>
          <w:b/>
          <w:sz w:val="20"/>
        </w:rPr>
      </w:pPr>
    </w:p>
    <w:p w14:paraId="1938FD6F" w14:textId="77777777" w:rsidR="00FA4AA8" w:rsidRDefault="00FA4AA8">
      <w:pPr>
        <w:pStyle w:val="BodyText"/>
        <w:spacing w:before="6"/>
        <w:rPr>
          <w:b/>
        </w:rPr>
      </w:pPr>
    </w:p>
    <w:tbl>
      <w:tblPr>
        <w:tblW w:w="0" w:type="auto"/>
        <w:tblInd w:w="125" w:type="dxa"/>
        <w:tblLayout w:type="fixed"/>
        <w:tblCellMar>
          <w:left w:w="0" w:type="dxa"/>
          <w:right w:w="0" w:type="dxa"/>
        </w:tblCellMar>
        <w:tblLook w:val="01E0" w:firstRow="1" w:lastRow="1" w:firstColumn="1" w:lastColumn="1" w:noHBand="0" w:noVBand="0"/>
      </w:tblPr>
      <w:tblGrid>
        <w:gridCol w:w="363"/>
        <w:gridCol w:w="6514"/>
        <w:gridCol w:w="1049"/>
        <w:gridCol w:w="1172"/>
        <w:gridCol w:w="869"/>
      </w:tblGrid>
      <w:tr w:rsidR="00FA4AA8" w14:paraId="6F719005" w14:textId="77777777">
        <w:trPr>
          <w:trHeight w:val="357"/>
        </w:trPr>
        <w:tc>
          <w:tcPr>
            <w:tcW w:w="363" w:type="dxa"/>
          </w:tcPr>
          <w:p w14:paraId="3A5F4B77" w14:textId="77777777" w:rsidR="00FA4AA8" w:rsidRDefault="0015611F">
            <w:pPr>
              <w:pStyle w:val="TableParagraph"/>
              <w:spacing w:line="201" w:lineRule="exact"/>
              <w:ind w:left="50"/>
              <w:rPr>
                <w:b/>
                <w:sz w:val="18"/>
              </w:rPr>
            </w:pPr>
            <w:bookmarkStart w:id="91" w:name="(f)_OS-HELP"/>
            <w:bookmarkEnd w:id="91"/>
            <w:r>
              <w:rPr>
                <w:b/>
                <w:sz w:val="18"/>
              </w:rPr>
              <w:t>37</w:t>
            </w:r>
          </w:p>
        </w:tc>
        <w:tc>
          <w:tcPr>
            <w:tcW w:w="6514" w:type="dxa"/>
          </w:tcPr>
          <w:p w14:paraId="74DEDA49" w14:textId="77777777" w:rsidR="00FA4AA8" w:rsidRDefault="0015611F">
            <w:pPr>
              <w:pStyle w:val="TableParagraph"/>
              <w:spacing w:line="201" w:lineRule="exact"/>
              <w:ind w:left="83"/>
              <w:rPr>
                <w:b/>
                <w:sz w:val="18"/>
              </w:rPr>
            </w:pPr>
            <w:r>
              <w:rPr>
                <w:b/>
                <w:sz w:val="18"/>
              </w:rPr>
              <w:t>Acquittal of Australian Government Financial Assistance (continued)</w:t>
            </w:r>
          </w:p>
        </w:tc>
        <w:tc>
          <w:tcPr>
            <w:tcW w:w="3090" w:type="dxa"/>
            <w:gridSpan w:val="3"/>
            <w:vMerge w:val="restart"/>
          </w:tcPr>
          <w:p w14:paraId="24691C5B" w14:textId="77777777" w:rsidR="00FA4AA8" w:rsidRDefault="00FA4AA8">
            <w:pPr>
              <w:pStyle w:val="TableParagraph"/>
              <w:rPr>
                <w:rFonts w:ascii="Times New Roman"/>
                <w:sz w:val="18"/>
              </w:rPr>
            </w:pPr>
          </w:p>
        </w:tc>
      </w:tr>
      <w:tr w:rsidR="00FA4AA8" w14:paraId="3ACC219E" w14:textId="77777777">
        <w:trPr>
          <w:trHeight w:val="516"/>
        </w:trPr>
        <w:tc>
          <w:tcPr>
            <w:tcW w:w="363" w:type="dxa"/>
          </w:tcPr>
          <w:p w14:paraId="72AEFC29" w14:textId="77777777" w:rsidR="00FA4AA8" w:rsidRDefault="0015611F">
            <w:pPr>
              <w:pStyle w:val="TableParagraph"/>
              <w:spacing w:before="150"/>
              <w:ind w:left="50"/>
              <w:rPr>
                <w:b/>
                <w:sz w:val="18"/>
              </w:rPr>
            </w:pPr>
            <w:r>
              <w:rPr>
                <w:b/>
                <w:sz w:val="18"/>
              </w:rPr>
              <w:t>(f)</w:t>
            </w:r>
          </w:p>
        </w:tc>
        <w:tc>
          <w:tcPr>
            <w:tcW w:w="6514" w:type="dxa"/>
          </w:tcPr>
          <w:p w14:paraId="3E0CA3E9" w14:textId="77777777" w:rsidR="00FA4AA8" w:rsidRDefault="0015611F">
            <w:pPr>
              <w:pStyle w:val="TableParagraph"/>
              <w:spacing w:before="150"/>
              <w:ind w:left="83"/>
              <w:rPr>
                <w:b/>
                <w:sz w:val="18"/>
              </w:rPr>
            </w:pPr>
            <w:r>
              <w:rPr>
                <w:b/>
                <w:sz w:val="18"/>
              </w:rPr>
              <w:t>OS-HELP</w:t>
            </w:r>
          </w:p>
        </w:tc>
        <w:tc>
          <w:tcPr>
            <w:tcW w:w="3090" w:type="dxa"/>
            <w:gridSpan w:val="3"/>
            <w:vMerge/>
            <w:tcBorders>
              <w:top w:val="nil"/>
            </w:tcBorders>
          </w:tcPr>
          <w:p w14:paraId="05F8F498" w14:textId="77777777" w:rsidR="00FA4AA8" w:rsidRDefault="00FA4AA8">
            <w:pPr>
              <w:rPr>
                <w:sz w:val="2"/>
                <w:szCs w:val="2"/>
              </w:rPr>
            </w:pPr>
          </w:p>
        </w:tc>
      </w:tr>
      <w:tr w:rsidR="00FA4AA8" w14:paraId="4D55EDA7" w14:textId="77777777">
        <w:trPr>
          <w:trHeight w:val="396"/>
        </w:trPr>
        <w:tc>
          <w:tcPr>
            <w:tcW w:w="363" w:type="dxa"/>
          </w:tcPr>
          <w:p w14:paraId="44327F4B" w14:textId="77777777" w:rsidR="00FA4AA8" w:rsidRDefault="00FA4AA8">
            <w:pPr>
              <w:pStyle w:val="TableParagraph"/>
              <w:rPr>
                <w:rFonts w:ascii="Times New Roman"/>
                <w:sz w:val="18"/>
              </w:rPr>
            </w:pPr>
          </w:p>
        </w:tc>
        <w:tc>
          <w:tcPr>
            <w:tcW w:w="6514" w:type="dxa"/>
          </w:tcPr>
          <w:p w14:paraId="604A325E" w14:textId="77777777" w:rsidR="00FA4AA8" w:rsidRDefault="00FA4AA8">
            <w:pPr>
              <w:pStyle w:val="TableParagraph"/>
              <w:rPr>
                <w:rFonts w:ascii="Times New Roman"/>
                <w:sz w:val="18"/>
              </w:rPr>
            </w:pPr>
          </w:p>
        </w:tc>
        <w:tc>
          <w:tcPr>
            <w:tcW w:w="1049" w:type="dxa"/>
          </w:tcPr>
          <w:p w14:paraId="197B1CFD" w14:textId="77777777" w:rsidR="00FA4AA8" w:rsidRDefault="00FA4AA8">
            <w:pPr>
              <w:pStyle w:val="TableParagraph"/>
              <w:rPr>
                <w:rFonts w:ascii="Times New Roman"/>
                <w:sz w:val="18"/>
              </w:rPr>
            </w:pPr>
          </w:p>
        </w:tc>
        <w:tc>
          <w:tcPr>
            <w:tcW w:w="1172" w:type="dxa"/>
          </w:tcPr>
          <w:p w14:paraId="2313CB69" w14:textId="77777777" w:rsidR="00FA4AA8" w:rsidRDefault="0015611F">
            <w:pPr>
              <w:pStyle w:val="TableParagraph"/>
              <w:spacing w:before="152"/>
              <w:ind w:left="341"/>
              <w:rPr>
                <w:b/>
                <w:sz w:val="18"/>
              </w:rPr>
            </w:pPr>
            <w:r>
              <w:rPr>
                <w:b/>
                <w:sz w:val="18"/>
              </w:rPr>
              <w:t>2018</w:t>
            </w:r>
          </w:p>
        </w:tc>
        <w:tc>
          <w:tcPr>
            <w:tcW w:w="869" w:type="dxa"/>
          </w:tcPr>
          <w:p w14:paraId="496F4925" w14:textId="77777777" w:rsidR="00FA4AA8" w:rsidRDefault="0015611F">
            <w:pPr>
              <w:pStyle w:val="TableParagraph"/>
              <w:spacing w:before="152"/>
              <w:ind w:left="175"/>
              <w:rPr>
                <w:b/>
                <w:sz w:val="18"/>
              </w:rPr>
            </w:pPr>
            <w:r>
              <w:rPr>
                <w:b/>
                <w:sz w:val="18"/>
              </w:rPr>
              <w:t>2017</w:t>
            </w:r>
          </w:p>
        </w:tc>
      </w:tr>
      <w:tr w:rsidR="00FA4AA8" w14:paraId="4837D0A2" w14:textId="77777777">
        <w:trPr>
          <w:trHeight w:val="271"/>
        </w:trPr>
        <w:tc>
          <w:tcPr>
            <w:tcW w:w="363" w:type="dxa"/>
          </w:tcPr>
          <w:p w14:paraId="748AF801" w14:textId="77777777" w:rsidR="00FA4AA8" w:rsidRDefault="00FA4AA8">
            <w:pPr>
              <w:pStyle w:val="TableParagraph"/>
              <w:rPr>
                <w:rFonts w:ascii="Times New Roman"/>
                <w:sz w:val="18"/>
              </w:rPr>
            </w:pPr>
          </w:p>
        </w:tc>
        <w:tc>
          <w:tcPr>
            <w:tcW w:w="6514" w:type="dxa"/>
          </w:tcPr>
          <w:p w14:paraId="1259447D" w14:textId="77777777" w:rsidR="00FA4AA8" w:rsidRDefault="0015611F">
            <w:pPr>
              <w:pStyle w:val="TableParagraph"/>
              <w:spacing w:before="30"/>
              <w:ind w:left="126"/>
              <w:rPr>
                <w:b/>
                <w:sz w:val="18"/>
              </w:rPr>
            </w:pPr>
            <w:r>
              <w:rPr>
                <w:b/>
                <w:sz w:val="18"/>
              </w:rPr>
              <w:t>Parent Entity (University) Only</w:t>
            </w:r>
          </w:p>
        </w:tc>
        <w:tc>
          <w:tcPr>
            <w:tcW w:w="1049" w:type="dxa"/>
          </w:tcPr>
          <w:p w14:paraId="05A52849" w14:textId="77777777" w:rsidR="00FA4AA8" w:rsidRDefault="0015611F">
            <w:pPr>
              <w:pStyle w:val="TableParagraph"/>
              <w:spacing w:before="30"/>
              <w:ind w:left="504" w:right="81"/>
              <w:jc w:val="center"/>
              <w:rPr>
                <w:b/>
                <w:sz w:val="18"/>
              </w:rPr>
            </w:pPr>
            <w:r>
              <w:rPr>
                <w:b/>
                <w:sz w:val="18"/>
              </w:rPr>
              <w:t>Note</w:t>
            </w:r>
          </w:p>
        </w:tc>
        <w:tc>
          <w:tcPr>
            <w:tcW w:w="1172" w:type="dxa"/>
          </w:tcPr>
          <w:p w14:paraId="2C0726D4" w14:textId="77777777" w:rsidR="00FA4AA8" w:rsidRDefault="0015611F">
            <w:pPr>
              <w:pStyle w:val="TableParagraph"/>
              <w:spacing w:before="30"/>
              <w:ind w:left="320"/>
              <w:rPr>
                <w:b/>
                <w:sz w:val="18"/>
              </w:rPr>
            </w:pPr>
            <w:r>
              <w:rPr>
                <w:b/>
                <w:sz w:val="18"/>
              </w:rPr>
              <w:t>$'000</w:t>
            </w:r>
          </w:p>
        </w:tc>
        <w:tc>
          <w:tcPr>
            <w:tcW w:w="869" w:type="dxa"/>
          </w:tcPr>
          <w:p w14:paraId="2969503C" w14:textId="77777777" w:rsidR="00FA4AA8" w:rsidRDefault="0015611F">
            <w:pPr>
              <w:pStyle w:val="TableParagraph"/>
              <w:spacing w:before="30"/>
              <w:ind w:left="153"/>
              <w:rPr>
                <w:b/>
                <w:sz w:val="18"/>
              </w:rPr>
            </w:pPr>
            <w:r>
              <w:rPr>
                <w:b/>
                <w:sz w:val="18"/>
              </w:rPr>
              <w:t>$'000</w:t>
            </w:r>
          </w:p>
        </w:tc>
      </w:tr>
      <w:tr w:rsidR="00FA4AA8" w14:paraId="4749A7BF" w14:textId="77777777">
        <w:trPr>
          <w:trHeight w:val="267"/>
        </w:trPr>
        <w:tc>
          <w:tcPr>
            <w:tcW w:w="363" w:type="dxa"/>
          </w:tcPr>
          <w:p w14:paraId="204BB198" w14:textId="77777777" w:rsidR="00FA4AA8" w:rsidRDefault="00FA4AA8">
            <w:pPr>
              <w:pStyle w:val="TableParagraph"/>
              <w:rPr>
                <w:rFonts w:ascii="Times New Roman"/>
                <w:sz w:val="18"/>
              </w:rPr>
            </w:pPr>
          </w:p>
        </w:tc>
        <w:tc>
          <w:tcPr>
            <w:tcW w:w="6514" w:type="dxa"/>
          </w:tcPr>
          <w:p w14:paraId="12E8C66C" w14:textId="77777777" w:rsidR="00FA4AA8" w:rsidRDefault="0015611F">
            <w:pPr>
              <w:pStyle w:val="TableParagraph"/>
              <w:spacing w:before="30"/>
              <w:ind w:left="126"/>
              <w:rPr>
                <w:sz w:val="18"/>
              </w:rPr>
            </w:pPr>
            <w:r>
              <w:rPr>
                <w:sz w:val="18"/>
              </w:rPr>
              <w:t>Cash received during the reporting period</w:t>
            </w:r>
          </w:p>
        </w:tc>
        <w:tc>
          <w:tcPr>
            <w:tcW w:w="1049" w:type="dxa"/>
          </w:tcPr>
          <w:p w14:paraId="0710EB8A" w14:textId="77777777" w:rsidR="00FA4AA8" w:rsidRDefault="00FA4AA8">
            <w:pPr>
              <w:pStyle w:val="TableParagraph"/>
              <w:rPr>
                <w:rFonts w:ascii="Times New Roman"/>
                <w:sz w:val="18"/>
              </w:rPr>
            </w:pPr>
          </w:p>
        </w:tc>
        <w:tc>
          <w:tcPr>
            <w:tcW w:w="1172" w:type="dxa"/>
          </w:tcPr>
          <w:p w14:paraId="2F28B97E" w14:textId="77777777" w:rsidR="00FA4AA8" w:rsidRDefault="0015611F">
            <w:pPr>
              <w:pStyle w:val="TableParagraph"/>
              <w:spacing w:before="28"/>
              <w:ind w:right="214"/>
              <w:jc w:val="right"/>
              <w:rPr>
                <w:b/>
                <w:sz w:val="18"/>
              </w:rPr>
            </w:pPr>
            <w:r>
              <w:rPr>
                <w:b/>
                <w:sz w:val="18"/>
              </w:rPr>
              <w:t>2,848</w:t>
            </w:r>
          </w:p>
        </w:tc>
        <w:tc>
          <w:tcPr>
            <w:tcW w:w="869" w:type="dxa"/>
          </w:tcPr>
          <w:p w14:paraId="4860DEA1" w14:textId="77777777" w:rsidR="00FA4AA8" w:rsidRDefault="0015611F">
            <w:pPr>
              <w:pStyle w:val="TableParagraph"/>
              <w:spacing w:before="28"/>
              <w:ind w:left="321"/>
              <w:rPr>
                <w:sz w:val="18"/>
              </w:rPr>
            </w:pPr>
            <w:r>
              <w:rPr>
                <w:sz w:val="18"/>
              </w:rPr>
              <w:t>2,099</w:t>
            </w:r>
          </w:p>
        </w:tc>
      </w:tr>
      <w:tr w:rsidR="00FA4AA8" w14:paraId="48F23FBD" w14:textId="77777777">
        <w:trPr>
          <w:trHeight w:val="256"/>
        </w:trPr>
        <w:tc>
          <w:tcPr>
            <w:tcW w:w="363" w:type="dxa"/>
          </w:tcPr>
          <w:p w14:paraId="6FB51B62" w14:textId="77777777" w:rsidR="00FA4AA8" w:rsidRDefault="00FA4AA8">
            <w:pPr>
              <w:pStyle w:val="TableParagraph"/>
              <w:rPr>
                <w:rFonts w:ascii="Times New Roman"/>
                <w:sz w:val="18"/>
              </w:rPr>
            </w:pPr>
          </w:p>
        </w:tc>
        <w:tc>
          <w:tcPr>
            <w:tcW w:w="6514" w:type="dxa"/>
          </w:tcPr>
          <w:p w14:paraId="11E86601" w14:textId="77777777" w:rsidR="00FA4AA8" w:rsidRDefault="0015611F">
            <w:pPr>
              <w:pStyle w:val="TableParagraph"/>
              <w:spacing w:before="26"/>
              <w:ind w:left="126"/>
              <w:rPr>
                <w:sz w:val="18"/>
              </w:rPr>
            </w:pPr>
            <w:bookmarkStart w:id="92" w:name="(g)_Student_Services_and_Amenities_Fee"/>
            <w:bookmarkEnd w:id="92"/>
            <w:r>
              <w:rPr>
                <w:sz w:val="18"/>
              </w:rPr>
              <w:t>Cash spent during the reporting period</w:t>
            </w:r>
          </w:p>
        </w:tc>
        <w:tc>
          <w:tcPr>
            <w:tcW w:w="1049" w:type="dxa"/>
          </w:tcPr>
          <w:p w14:paraId="1B9E0151" w14:textId="77777777" w:rsidR="00FA4AA8" w:rsidRDefault="00FA4AA8">
            <w:pPr>
              <w:pStyle w:val="TableParagraph"/>
              <w:rPr>
                <w:rFonts w:ascii="Times New Roman"/>
                <w:sz w:val="18"/>
              </w:rPr>
            </w:pPr>
          </w:p>
        </w:tc>
        <w:tc>
          <w:tcPr>
            <w:tcW w:w="1172" w:type="dxa"/>
            <w:tcBorders>
              <w:bottom w:val="single" w:sz="8" w:space="0" w:color="000000"/>
            </w:tcBorders>
          </w:tcPr>
          <w:p w14:paraId="17A548CF" w14:textId="77777777" w:rsidR="00FA4AA8" w:rsidRDefault="0015611F">
            <w:pPr>
              <w:pStyle w:val="TableParagraph"/>
              <w:spacing w:before="24"/>
              <w:ind w:right="153"/>
              <w:jc w:val="right"/>
              <w:rPr>
                <w:b/>
                <w:sz w:val="18"/>
              </w:rPr>
            </w:pPr>
            <w:r>
              <w:rPr>
                <w:b/>
                <w:sz w:val="18"/>
              </w:rPr>
              <w:t>(2,522)</w:t>
            </w:r>
          </w:p>
        </w:tc>
        <w:tc>
          <w:tcPr>
            <w:tcW w:w="869" w:type="dxa"/>
            <w:tcBorders>
              <w:bottom w:val="single" w:sz="8" w:space="0" w:color="000000"/>
            </w:tcBorders>
          </w:tcPr>
          <w:p w14:paraId="3AE6F282" w14:textId="77777777" w:rsidR="00FA4AA8" w:rsidRDefault="0015611F">
            <w:pPr>
              <w:pStyle w:val="TableParagraph"/>
              <w:spacing w:before="24"/>
              <w:ind w:right="31"/>
              <w:jc w:val="right"/>
              <w:rPr>
                <w:sz w:val="18"/>
              </w:rPr>
            </w:pPr>
            <w:r>
              <w:rPr>
                <w:sz w:val="18"/>
              </w:rPr>
              <w:t>(2,315)</w:t>
            </w:r>
          </w:p>
        </w:tc>
      </w:tr>
      <w:tr w:rsidR="00FA4AA8" w14:paraId="4248C24C" w14:textId="77777777">
        <w:trPr>
          <w:trHeight w:val="270"/>
        </w:trPr>
        <w:tc>
          <w:tcPr>
            <w:tcW w:w="363" w:type="dxa"/>
          </w:tcPr>
          <w:p w14:paraId="10841FB0" w14:textId="77777777" w:rsidR="00FA4AA8" w:rsidRDefault="00FA4AA8">
            <w:pPr>
              <w:pStyle w:val="TableParagraph"/>
              <w:rPr>
                <w:rFonts w:ascii="Times New Roman"/>
                <w:sz w:val="18"/>
              </w:rPr>
            </w:pPr>
          </w:p>
        </w:tc>
        <w:tc>
          <w:tcPr>
            <w:tcW w:w="6514" w:type="dxa"/>
          </w:tcPr>
          <w:p w14:paraId="37C0573D" w14:textId="77777777" w:rsidR="00FA4AA8" w:rsidRDefault="0015611F">
            <w:pPr>
              <w:pStyle w:val="TableParagraph"/>
              <w:spacing w:before="33"/>
              <w:ind w:left="126"/>
              <w:rPr>
                <w:sz w:val="18"/>
              </w:rPr>
            </w:pPr>
            <w:r>
              <w:rPr>
                <w:sz w:val="18"/>
              </w:rPr>
              <w:t>Net cash received</w:t>
            </w:r>
          </w:p>
        </w:tc>
        <w:tc>
          <w:tcPr>
            <w:tcW w:w="1049" w:type="dxa"/>
          </w:tcPr>
          <w:p w14:paraId="68DF90C1" w14:textId="77777777" w:rsidR="00FA4AA8" w:rsidRDefault="00FA4AA8">
            <w:pPr>
              <w:pStyle w:val="TableParagraph"/>
              <w:rPr>
                <w:rFonts w:ascii="Times New Roman"/>
                <w:sz w:val="18"/>
              </w:rPr>
            </w:pPr>
          </w:p>
        </w:tc>
        <w:tc>
          <w:tcPr>
            <w:tcW w:w="1172" w:type="dxa"/>
            <w:tcBorders>
              <w:top w:val="single" w:sz="8" w:space="0" w:color="000000"/>
            </w:tcBorders>
          </w:tcPr>
          <w:p w14:paraId="63C134E5" w14:textId="77777777" w:rsidR="00FA4AA8" w:rsidRDefault="0015611F">
            <w:pPr>
              <w:pStyle w:val="TableParagraph"/>
              <w:spacing w:before="31"/>
              <w:ind w:right="214"/>
              <w:jc w:val="right"/>
              <w:rPr>
                <w:b/>
                <w:sz w:val="18"/>
              </w:rPr>
            </w:pPr>
            <w:r>
              <w:rPr>
                <w:b/>
                <w:sz w:val="18"/>
              </w:rPr>
              <w:t>326</w:t>
            </w:r>
          </w:p>
        </w:tc>
        <w:tc>
          <w:tcPr>
            <w:tcW w:w="869" w:type="dxa"/>
            <w:tcBorders>
              <w:top w:val="single" w:sz="8" w:space="0" w:color="000000"/>
            </w:tcBorders>
          </w:tcPr>
          <w:p w14:paraId="06172DE8" w14:textId="77777777" w:rsidR="00FA4AA8" w:rsidRDefault="0015611F">
            <w:pPr>
              <w:pStyle w:val="TableParagraph"/>
              <w:spacing w:before="31"/>
              <w:ind w:right="31"/>
              <w:jc w:val="right"/>
              <w:rPr>
                <w:sz w:val="18"/>
              </w:rPr>
            </w:pPr>
            <w:r>
              <w:rPr>
                <w:sz w:val="18"/>
              </w:rPr>
              <w:t>(216)</w:t>
            </w:r>
          </w:p>
        </w:tc>
      </w:tr>
      <w:tr w:rsidR="00FA4AA8" w14:paraId="10B22D62" w14:textId="77777777">
        <w:trPr>
          <w:trHeight w:val="256"/>
        </w:trPr>
        <w:tc>
          <w:tcPr>
            <w:tcW w:w="363" w:type="dxa"/>
          </w:tcPr>
          <w:p w14:paraId="7C52AD1B" w14:textId="77777777" w:rsidR="00FA4AA8" w:rsidRDefault="00FA4AA8">
            <w:pPr>
              <w:pStyle w:val="TableParagraph"/>
              <w:rPr>
                <w:rFonts w:ascii="Times New Roman"/>
                <w:sz w:val="18"/>
              </w:rPr>
            </w:pPr>
          </w:p>
        </w:tc>
        <w:tc>
          <w:tcPr>
            <w:tcW w:w="6514" w:type="dxa"/>
          </w:tcPr>
          <w:p w14:paraId="0AC7DA4D" w14:textId="77777777" w:rsidR="00FA4AA8" w:rsidRDefault="0015611F">
            <w:pPr>
              <w:pStyle w:val="TableParagraph"/>
              <w:spacing w:before="26"/>
              <w:ind w:left="126"/>
              <w:rPr>
                <w:sz w:val="18"/>
              </w:rPr>
            </w:pPr>
            <w:r>
              <w:rPr>
                <w:sz w:val="18"/>
              </w:rPr>
              <w:t>Cash surplus/(deficit) from the previous period</w:t>
            </w:r>
          </w:p>
        </w:tc>
        <w:tc>
          <w:tcPr>
            <w:tcW w:w="1049" w:type="dxa"/>
          </w:tcPr>
          <w:p w14:paraId="300E6842" w14:textId="77777777" w:rsidR="00FA4AA8" w:rsidRDefault="00FA4AA8">
            <w:pPr>
              <w:pStyle w:val="TableParagraph"/>
              <w:rPr>
                <w:rFonts w:ascii="Times New Roman"/>
                <w:sz w:val="18"/>
              </w:rPr>
            </w:pPr>
          </w:p>
        </w:tc>
        <w:tc>
          <w:tcPr>
            <w:tcW w:w="1172" w:type="dxa"/>
            <w:tcBorders>
              <w:bottom w:val="single" w:sz="8" w:space="0" w:color="000000"/>
            </w:tcBorders>
          </w:tcPr>
          <w:p w14:paraId="33C26CDE" w14:textId="77777777" w:rsidR="00FA4AA8" w:rsidRDefault="0015611F">
            <w:pPr>
              <w:pStyle w:val="TableParagraph"/>
              <w:spacing w:before="24"/>
              <w:ind w:right="214"/>
              <w:jc w:val="right"/>
              <w:rPr>
                <w:b/>
                <w:sz w:val="18"/>
              </w:rPr>
            </w:pPr>
            <w:r>
              <w:rPr>
                <w:b/>
                <w:sz w:val="18"/>
              </w:rPr>
              <w:t>106</w:t>
            </w:r>
          </w:p>
        </w:tc>
        <w:tc>
          <w:tcPr>
            <w:tcW w:w="869" w:type="dxa"/>
            <w:tcBorders>
              <w:bottom w:val="single" w:sz="8" w:space="0" w:color="000000"/>
            </w:tcBorders>
          </w:tcPr>
          <w:p w14:paraId="44D73FAA" w14:textId="77777777" w:rsidR="00FA4AA8" w:rsidRDefault="0015611F">
            <w:pPr>
              <w:pStyle w:val="TableParagraph"/>
              <w:spacing w:before="24"/>
              <w:ind w:right="91"/>
              <w:jc w:val="right"/>
              <w:rPr>
                <w:sz w:val="18"/>
              </w:rPr>
            </w:pPr>
            <w:r>
              <w:rPr>
                <w:sz w:val="18"/>
              </w:rPr>
              <w:t>322</w:t>
            </w:r>
          </w:p>
        </w:tc>
      </w:tr>
      <w:tr w:rsidR="00FA4AA8" w14:paraId="401B5A30" w14:textId="77777777">
        <w:trPr>
          <w:trHeight w:val="265"/>
        </w:trPr>
        <w:tc>
          <w:tcPr>
            <w:tcW w:w="363" w:type="dxa"/>
          </w:tcPr>
          <w:p w14:paraId="1E83CD2A" w14:textId="77777777" w:rsidR="00FA4AA8" w:rsidRDefault="00FA4AA8">
            <w:pPr>
              <w:pStyle w:val="TableParagraph"/>
              <w:rPr>
                <w:rFonts w:ascii="Times New Roman"/>
                <w:sz w:val="18"/>
              </w:rPr>
            </w:pPr>
          </w:p>
        </w:tc>
        <w:tc>
          <w:tcPr>
            <w:tcW w:w="6514" w:type="dxa"/>
          </w:tcPr>
          <w:p w14:paraId="41627F74" w14:textId="77777777" w:rsidR="00FA4AA8" w:rsidRDefault="0015611F">
            <w:pPr>
              <w:pStyle w:val="TableParagraph"/>
              <w:spacing w:before="33"/>
              <w:ind w:left="126"/>
              <w:rPr>
                <w:sz w:val="18"/>
              </w:rPr>
            </w:pPr>
            <w:r>
              <w:rPr>
                <w:sz w:val="18"/>
              </w:rPr>
              <w:t>Cash surplus/(deficit) for reporting period</w:t>
            </w:r>
          </w:p>
        </w:tc>
        <w:tc>
          <w:tcPr>
            <w:tcW w:w="1049" w:type="dxa"/>
          </w:tcPr>
          <w:p w14:paraId="7AC04BA5" w14:textId="77777777" w:rsidR="00FA4AA8" w:rsidRDefault="0015611F">
            <w:pPr>
              <w:pStyle w:val="TableParagraph"/>
              <w:spacing w:before="28"/>
              <w:ind w:left="502" w:right="81"/>
              <w:jc w:val="center"/>
              <w:rPr>
                <w:sz w:val="18"/>
              </w:rPr>
            </w:pPr>
            <w:r>
              <w:rPr>
                <w:sz w:val="18"/>
              </w:rPr>
              <w:t>23</w:t>
            </w:r>
          </w:p>
        </w:tc>
        <w:tc>
          <w:tcPr>
            <w:tcW w:w="1172" w:type="dxa"/>
            <w:tcBorders>
              <w:top w:val="single" w:sz="8" w:space="0" w:color="000000"/>
              <w:bottom w:val="double" w:sz="2" w:space="0" w:color="000000"/>
            </w:tcBorders>
          </w:tcPr>
          <w:p w14:paraId="3E22F639" w14:textId="77777777" w:rsidR="00FA4AA8" w:rsidRDefault="0015611F">
            <w:pPr>
              <w:pStyle w:val="TableParagraph"/>
              <w:spacing w:before="31"/>
              <w:ind w:right="214"/>
              <w:jc w:val="right"/>
              <w:rPr>
                <w:b/>
                <w:sz w:val="18"/>
              </w:rPr>
            </w:pPr>
            <w:r>
              <w:rPr>
                <w:b/>
                <w:sz w:val="18"/>
              </w:rPr>
              <w:t>432</w:t>
            </w:r>
          </w:p>
        </w:tc>
        <w:tc>
          <w:tcPr>
            <w:tcW w:w="869" w:type="dxa"/>
            <w:tcBorders>
              <w:top w:val="single" w:sz="8" w:space="0" w:color="000000"/>
              <w:bottom w:val="double" w:sz="2" w:space="0" w:color="000000"/>
            </w:tcBorders>
          </w:tcPr>
          <w:p w14:paraId="5E4CB728" w14:textId="77777777" w:rsidR="00FA4AA8" w:rsidRDefault="0015611F">
            <w:pPr>
              <w:pStyle w:val="TableParagraph"/>
              <w:spacing w:before="31"/>
              <w:ind w:right="91"/>
              <w:jc w:val="right"/>
              <w:rPr>
                <w:sz w:val="18"/>
              </w:rPr>
            </w:pPr>
            <w:r>
              <w:rPr>
                <w:sz w:val="18"/>
              </w:rPr>
              <w:t>106</w:t>
            </w:r>
          </w:p>
        </w:tc>
      </w:tr>
      <w:tr w:rsidR="00FA4AA8" w14:paraId="739F0AC5" w14:textId="77777777">
        <w:trPr>
          <w:trHeight w:val="677"/>
        </w:trPr>
        <w:tc>
          <w:tcPr>
            <w:tcW w:w="363" w:type="dxa"/>
          </w:tcPr>
          <w:p w14:paraId="745FC969" w14:textId="77777777" w:rsidR="00FA4AA8" w:rsidRDefault="00FA4AA8">
            <w:pPr>
              <w:pStyle w:val="TableParagraph"/>
              <w:rPr>
                <w:b/>
                <w:sz w:val="27"/>
              </w:rPr>
            </w:pPr>
          </w:p>
          <w:p w14:paraId="19BEC984" w14:textId="77777777" w:rsidR="00FA4AA8" w:rsidRDefault="0015611F">
            <w:pPr>
              <w:pStyle w:val="TableParagraph"/>
              <w:spacing w:before="1"/>
              <w:ind w:left="50"/>
              <w:rPr>
                <w:b/>
                <w:sz w:val="18"/>
              </w:rPr>
            </w:pPr>
            <w:r>
              <w:rPr>
                <w:b/>
                <w:sz w:val="18"/>
              </w:rPr>
              <w:t>(g)</w:t>
            </w:r>
          </w:p>
        </w:tc>
        <w:tc>
          <w:tcPr>
            <w:tcW w:w="6514" w:type="dxa"/>
          </w:tcPr>
          <w:p w14:paraId="474596E8" w14:textId="77777777" w:rsidR="00FA4AA8" w:rsidRDefault="00FA4AA8">
            <w:pPr>
              <w:pStyle w:val="TableParagraph"/>
              <w:rPr>
                <w:b/>
                <w:sz w:val="27"/>
              </w:rPr>
            </w:pPr>
          </w:p>
          <w:p w14:paraId="53BB26D6" w14:textId="77777777" w:rsidR="00FA4AA8" w:rsidRDefault="0015611F">
            <w:pPr>
              <w:pStyle w:val="TableParagraph"/>
              <w:spacing w:before="1"/>
              <w:ind w:left="83"/>
              <w:rPr>
                <w:b/>
                <w:sz w:val="18"/>
              </w:rPr>
            </w:pPr>
            <w:r>
              <w:rPr>
                <w:b/>
                <w:sz w:val="18"/>
              </w:rPr>
              <w:t>Student Services and Amenities Fee</w:t>
            </w:r>
          </w:p>
        </w:tc>
        <w:tc>
          <w:tcPr>
            <w:tcW w:w="1049" w:type="dxa"/>
          </w:tcPr>
          <w:p w14:paraId="4DCDB070" w14:textId="77777777" w:rsidR="00FA4AA8" w:rsidRDefault="00FA4AA8">
            <w:pPr>
              <w:pStyle w:val="TableParagraph"/>
              <w:rPr>
                <w:rFonts w:ascii="Times New Roman"/>
                <w:sz w:val="18"/>
              </w:rPr>
            </w:pPr>
          </w:p>
        </w:tc>
        <w:tc>
          <w:tcPr>
            <w:tcW w:w="1172" w:type="dxa"/>
            <w:tcBorders>
              <w:top w:val="double" w:sz="2" w:space="0" w:color="000000"/>
            </w:tcBorders>
          </w:tcPr>
          <w:p w14:paraId="66F6AA94" w14:textId="77777777" w:rsidR="00FA4AA8" w:rsidRDefault="00FA4AA8">
            <w:pPr>
              <w:pStyle w:val="TableParagraph"/>
              <w:rPr>
                <w:rFonts w:ascii="Times New Roman"/>
                <w:sz w:val="18"/>
              </w:rPr>
            </w:pPr>
          </w:p>
        </w:tc>
        <w:tc>
          <w:tcPr>
            <w:tcW w:w="869" w:type="dxa"/>
            <w:tcBorders>
              <w:top w:val="double" w:sz="2" w:space="0" w:color="000000"/>
            </w:tcBorders>
          </w:tcPr>
          <w:p w14:paraId="1FFACD34" w14:textId="77777777" w:rsidR="00FA4AA8" w:rsidRDefault="00FA4AA8">
            <w:pPr>
              <w:pStyle w:val="TableParagraph"/>
              <w:rPr>
                <w:rFonts w:ascii="Times New Roman"/>
                <w:sz w:val="18"/>
              </w:rPr>
            </w:pPr>
          </w:p>
        </w:tc>
      </w:tr>
      <w:tr w:rsidR="00FA4AA8" w14:paraId="17CACFCD" w14:textId="77777777">
        <w:trPr>
          <w:trHeight w:val="395"/>
        </w:trPr>
        <w:tc>
          <w:tcPr>
            <w:tcW w:w="363" w:type="dxa"/>
          </w:tcPr>
          <w:p w14:paraId="376D2153" w14:textId="77777777" w:rsidR="00FA4AA8" w:rsidRDefault="00FA4AA8">
            <w:pPr>
              <w:pStyle w:val="TableParagraph"/>
              <w:rPr>
                <w:rFonts w:ascii="Times New Roman"/>
                <w:sz w:val="18"/>
              </w:rPr>
            </w:pPr>
          </w:p>
        </w:tc>
        <w:tc>
          <w:tcPr>
            <w:tcW w:w="6514" w:type="dxa"/>
          </w:tcPr>
          <w:p w14:paraId="70A44D6F" w14:textId="77777777" w:rsidR="00FA4AA8" w:rsidRDefault="00FA4AA8">
            <w:pPr>
              <w:pStyle w:val="TableParagraph"/>
              <w:rPr>
                <w:rFonts w:ascii="Times New Roman"/>
                <w:sz w:val="18"/>
              </w:rPr>
            </w:pPr>
          </w:p>
        </w:tc>
        <w:tc>
          <w:tcPr>
            <w:tcW w:w="1049" w:type="dxa"/>
          </w:tcPr>
          <w:p w14:paraId="6A3B84D2" w14:textId="77777777" w:rsidR="00FA4AA8" w:rsidRDefault="00FA4AA8">
            <w:pPr>
              <w:pStyle w:val="TableParagraph"/>
              <w:rPr>
                <w:rFonts w:ascii="Times New Roman"/>
                <w:sz w:val="18"/>
              </w:rPr>
            </w:pPr>
          </w:p>
        </w:tc>
        <w:tc>
          <w:tcPr>
            <w:tcW w:w="1172" w:type="dxa"/>
          </w:tcPr>
          <w:p w14:paraId="086362E7" w14:textId="77777777" w:rsidR="00FA4AA8" w:rsidRDefault="0015611F">
            <w:pPr>
              <w:pStyle w:val="TableParagraph"/>
              <w:spacing w:before="152"/>
              <w:ind w:left="343"/>
              <w:rPr>
                <w:b/>
                <w:sz w:val="18"/>
              </w:rPr>
            </w:pPr>
            <w:r>
              <w:rPr>
                <w:b/>
                <w:sz w:val="18"/>
              </w:rPr>
              <w:t>2018</w:t>
            </w:r>
          </w:p>
        </w:tc>
        <w:tc>
          <w:tcPr>
            <w:tcW w:w="869" w:type="dxa"/>
          </w:tcPr>
          <w:p w14:paraId="67D5FFFF" w14:textId="77777777" w:rsidR="00FA4AA8" w:rsidRDefault="0015611F">
            <w:pPr>
              <w:pStyle w:val="TableParagraph"/>
              <w:spacing w:before="152"/>
              <w:ind w:left="177"/>
              <w:rPr>
                <w:b/>
                <w:sz w:val="18"/>
              </w:rPr>
            </w:pPr>
            <w:r>
              <w:rPr>
                <w:b/>
                <w:sz w:val="18"/>
              </w:rPr>
              <w:t>2017</w:t>
            </w:r>
          </w:p>
        </w:tc>
      </w:tr>
      <w:tr w:rsidR="00FA4AA8" w14:paraId="6377698B" w14:textId="77777777">
        <w:trPr>
          <w:trHeight w:val="270"/>
        </w:trPr>
        <w:tc>
          <w:tcPr>
            <w:tcW w:w="363" w:type="dxa"/>
          </w:tcPr>
          <w:p w14:paraId="5A92B01B" w14:textId="77777777" w:rsidR="00FA4AA8" w:rsidRDefault="00FA4AA8">
            <w:pPr>
              <w:pStyle w:val="TableParagraph"/>
              <w:rPr>
                <w:rFonts w:ascii="Times New Roman"/>
                <w:sz w:val="18"/>
              </w:rPr>
            </w:pPr>
          </w:p>
        </w:tc>
        <w:tc>
          <w:tcPr>
            <w:tcW w:w="6514" w:type="dxa"/>
          </w:tcPr>
          <w:p w14:paraId="487AE455" w14:textId="77777777" w:rsidR="00FA4AA8" w:rsidRDefault="0015611F">
            <w:pPr>
              <w:pStyle w:val="TableParagraph"/>
              <w:spacing w:before="30"/>
              <w:ind w:left="126"/>
              <w:rPr>
                <w:b/>
                <w:sz w:val="18"/>
              </w:rPr>
            </w:pPr>
            <w:r>
              <w:rPr>
                <w:b/>
                <w:sz w:val="18"/>
              </w:rPr>
              <w:t>Parent Entity (University) Only</w:t>
            </w:r>
          </w:p>
        </w:tc>
        <w:tc>
          <w:tcPr>
            <w:tcW w:w="1049" w:type="dxa"/>
          </w:tcPr>
          <w:p w14:paraId="2D9679A1" w14:textId="77777777" w:rsidR="00FA4AA8" w:rsidRDefault="0015611F">
            <w:pPr>
              <w:pStyle w:val="TableParagraph"/>
              <w:spacing w:before="30"/>
              <w:ind w:left="507" w:right="79"/>
              <w:jc w:val="center"/>
              <w:rPr>
                <w:b/>
                <w:sz w:val="18"/>
              </w:rPr>
            </w:pPr>
            <w:r>
              <w:rPr>
                <w:b/>
                <w:sz w:val="18"/>
              </w:rPr>
              <w:t>Note</w:t>
            </w:r>
          </w:p>
        </w:tc>
        <w:tc>
          <w:tcPr>
            <w:tcW w:w="1172" w:type="dxa"/>
          </w:tcPr>
          <w:p w14:paraId="00C4ECC9" w14:textId="77777777" w:rsidR="00FA4AA8" w:rsidRDefault="0015611F">
            <w:pPr>
              <w:pStyle w:val="TableParagraph"/>
              <w:spacing w:before="30"/>
              <w:ind w:left="322"/>
              <w:rPr>
                <w:b/>
                <w:sz w:val="18"/>
              </w:rPr>
            </w:pPr>
            <w:r>
              <w:rPr>
                <w:b/>
                <w:sz w:val="18"/>
              </w:rPr>
              <w:t>$'000</w:t>
            </w:r>
          </w:p>
        </w:tc>
        <w:tc>
          <w:tcPr>
            <w:tcW w:w="869" w:type="dxa"/>
          </w:tcPr>
          <w:p w14:paraId="1DBC7F96" w14:textId="77777777" w:rsidR="00FA4AA8" w:rsidRDefault="0015611F">
            <w:pPr>
              <w:pStyle w:val="TableParagraph"/>
              <w:spacing w:before="30"/>
              <w:ind w:left="156"/>
              <w:rPr>
                <w:b/>
                <w:sz w:val="18"/>
              </w:rPr>
            </w:pPr>
            <w:r>
              <w:rPr>
                <w:b/>
                <w:sz w:val="18"/>
              </w:rPr>
              <w:t>$'000</w:t>
            </w:r>
          </w:p>
        </w:tc>
      </w:tr>
      <w:tr w:rsidR="00FA4AA8" w14:paraId="1DB25595" w14:textId="77777777">
        <w:trPr>
          <w:trHeight w:val="267"/>
        </w:trPr>
        <w:tc>
          <w:tcPr>
            <w:tcW w:w="363" w:type="dxa"/>
          </w:tcPr>
          <w:p w14:paraId="7718ECD8" w14:textId="77777777" w:rsidR="00FA4AA8" w:rsidRDefault="00FA4AA8">
            <w:pPr>
              <w:pStyle w:val="TableParagraph"/>
              <w:rPr>
                <w:rFonts w:ascii="Times New Roman"/>
                <w:sz w:val="18"/>
              </w:rPr>
            </w:pPr>
          </w:p>
        </w:tc>
        <w:tc>
          <w:tcPr>
            <w:tcW w:w="6514" w:type="dxa"/>
          </w:tcPr>
          <w:p w14:paraId="12431FD8" w14:textId="77777777" w:rsidR="00FA4AA8" w:rsidRDefault="0015611F">
            <w:pPr>
              <w:pStyle w:val="TableParagraph"/>
              <w:spacing w:before="31"/>
              <w:ind w:left="126"/>
              <w:rPr>
                <w:sz w:val="18"/>
              </w:rPr>
            </w:pPr>
            <w:r>
              <w:rPr>
                <w:sz w:val="18"/>
              </w:rPr>
              <w:t>SA-HELP revenue earned</w:t>
            </w:r>
          </w:p>
        </w:tc>
        <w:tc>
          <w:tcPr>
            <w:tcW w:w="1049" w:type="dxa"/>
          </w:tcPr>
          <w:p w14:paraId="3429613C" w14:textId="77777777" w:rsidR="00FA4AA8" w:rsidRDefault="0015611F">
            <w:pPr>
              <w:pStyle w:val="TableParagraph"/>
              <w:spacing w:before="26"/>
              <w:ind w:left="507" w:right="81"/>
              <w:jc w:val="center"/>
              <w:rPr>
                <w:sz w:val="18"/>
              </w:rPr>
            </w:pPr>
            <w:r>
              <w:rPr>
                <w:sz w:val="18"/>
              </w:rPr>
              <w:t>37(b)</w:t>
            </w:r>
          </w:p>
        </w:tc>
        <w:tc>
          <w:tcPr>
            <w:tcW w:w="1172" w:type="dxa"/>
          </w:tcPr>
          <w:p w14:paraId="32840461" w14:textId="77777777" w:rsidR="00FA4AA8" w:rsidRDefault="0015611F">
            <w:pPr>
              <w:pStyle w:val="TableParagraph"/>
              <w:spacing w:before="29"/>
              <w:ind w:right="211"/>
              <w:jc w:val="right"/>
              <w:rPr>
                <w:b/>
                <w:sz w:val="18"/>
              </w:rPr>
            </w:pPr>
            <w:r>
              <w:rPr>
                <w:b/>
                <w:sz w:val="18"/>
              </w:rPr>
              <w:t>7,105</w:t>
            </w:r>
          </w:p>
        </w:tc>
        <w:tc>
          <w:tcPr>
            <w:tcW w:w="869" w:type="dxa"/>
          </w:tcPr>
          <w:p w14:paraId="0DA8BEF4" w14:textId="77777777" w:rsidR="00FA4AA8" w:rsidRDefault="0015611F">
            <w:pPr>
              <w:pStyle w:val="TableParagraph"/>
              <w:spacing w:before="29"/>
              <w:ind w:left="323"/>
              <w:rPr>
                <w:sz w:val="18"/>
              </w:rPr>
            </w:pPr>
            <w:r>
              <w:rPr>
                <w:sz w:val="18"/>
              </w:rPr>
              <w:t>6,884</w:t>
            </w:r>
          </w:p>
        </w:tc>
      </w:tr>
      <w:tr w:rsidR="00FA4AA8" w14:paraId="67717CCE" w14:textId="77777777">
        <w:trPr>
          <w:trHeight w:val="257"/>
        </w:trPr>
        <w:tc>
          <w:tcPr>
            <w:tcW w:w="363" w:type="dxa"/>
          </w:tcPr>
          <w:p w14:paraId="5D89FEC8" w14:textId="77777777" w:rsidR="00FA4AA8" w:rsidRDefault="00FA4AA8">
            <w:pPr>
              <w:pStyle w:val="TableParagraph"/>
              <w:rPr>
                <w:rFonts w:ascii="Times New Roman"/>
                <w:sz w:val="18"/>
              </w:rPr>
            </w:pPr>
          </w:p>
        </w:tc>
        <w:tc>
          <w:tcPr>
            <w:tcW w:w="6514" w:type="dxa"/>
          </w:tcPr>
          <w:p w14:paraId="12002DB4" w14:textId="77777777" w:rsidR="00FA4AA8" w:rsidRDefault="0015611F">
            <w:pPr>
              <w:pStyle w:val="TableParagraph"/>
              <w:spacing w:before="28"/>
              <w:ind w:left="126"/>
              <w:rPr>
                <w:sz w:val="18"/>
              </w:rPr>
            </w:pPr>
            <w:r>
              <w:rPr>
                <w:sz w:val="18"/>
              </w:rPr>
              <w:t>Student Services and Amenities Fees direct from students</w:t>
            </w:r>
          </w:p>
        </w:tc>
        <w:tc>
          <w:tcPr>
            <w:tcW w:w="1049" w:type="dxa"/>
          </w:tcPr>
          <w:p w14:paraId="2BE60D36" w14:textId="77777777" w:rsidR="00FA4AA8" w:rsidRDefault="0015611F">
            <w:pPr>
              <w:pStyle w:val="TableParagraph"/>
              <w:spacing w:before="23"/>
              <w:ind w:left="425"/>
              <w:jc w:val="center"/>
              <w:rPr>
                <w:sz w:val="18"/>
              </w:rPr>
            </w:pPr>
            <w:r>
              <w:rPr>
                <w:sz w:val="18"/>
              </w:rPr>
              <w:t>4</w:t>
            </w:r>
          </w:p>
        </w:tc>
        <w:tc>
          <w:tcPr>
            <w:tcW w:w="1172" w:type="dxa"/>
            <w:tcBorders>
              <w:bottom w:val="single" w:sz="8" w:space="0" w:color="000000"/>
            </w:tcBorders>
          </w:tcPr>
          <w:p w14:paraId="33959AA6" w14:textId="77777777" w:rsidR="00FA4AA8" w:rsidRDefault="0015611F">
            <w:pPr>
              <w:pStyle w:val="TableParagraph"/>
              <w:spacing w:before="25"/>
              <w:ind w:right="211"/>
              <w:jc w:val="right"/>
              <w:rPr>
                <w:b/>
                <w:sz w:val="18"/>
              </w:rPr>
            </w:pPr>
            <w:r>
              <w:rPr>
                <w:b/>
                <w:sz w:val="18"/>
              </w:rPr>
              <w:t>3,836</w:t>
            </w:r>
          </w:p>
        </w:tc>
        <w:tc>
          <w:tcPr>
            <w:tcW w:w="869" w:type="dxa"/>
            <w:tcBorders>
              <w:bottom w:val="single" w:sz="8" w:space="0" w:color="000000"/>
            </w:tcBorders>
          </w:tcPr>
          <w:p w14:paraId="0D5A9778" w14:textId="77777777" w:rsidR="00FA4AA8" w:rsidRDefault="0015611F">
            <w:pPr>
              <w:pStyle w:val="TableParagraph"/>
              <w:spacing w:before="25"/>
              <w:ind w:left="323"/>
              <w:rPr>
                <w:sz w:val="18"/>
              </w:rPr>
            </w:pPr>
            <w:r>
              <w:rPr>
                <w:sz w:val="18"/>
              </w:rPr>
              <w:t>3,176</w:t>
            </w:r>
          </w:p>
        </w:tc>
      </w:tr>
      <w:tr w:rsidR="00FA4AA8" w14:paraId="6E62926C" w14:textId="77777777">
        <w:trPr>
          <w:trHeight w:val="270"/>
        </w:trPr>
        <w:tc>
          <w:tcPr>
            <w:tcW w:w="363" w:type="dxa"/>
          </w:tcPr>
          <w:p w14:paraId="07CDDD1B" w14:textId="77777777" w:rsidR="00FA4AA8" w:rsidRDefault="00FA4AA8">
            <w:pPr>
              <w:pStyle w:val="TableParagraph"/>
              <w:rPr>
                <w:rFonts w:ascii="Times New Roman"/>
                <w:sz w:val="18"/>
              </w:rPr>
            </w:pPr>
          </w:p>
        </w:tc>
        <w:tc>
          <w:tcPr>
            <w:tcW w:w="6514" w:type="dxa"/>
          </w:tcPr>
          <w:p w14:paraId="7FA8085B" w14:textId="77777777" w:rsidR="00FA4AA8" w:rsidRDefault="0015611F">
            <w:pPr>
              <w:pStyle w:val="TableParagraph"/>
              <w:spacing w:before="33"/>
              <w:ind w:left="126"/>
              <w:rPr>
                <w:sz w:val="18"/>
              </w:rPr>
            </w:pPr>
            <w:r>
              <w:rPr>
                <w:sz w:val="18"/>
              </w:rPr>
              <w:t>Total revenue expendable in period</w:t>
            </w:r>
          </w:p>
        </w:tc>
        <w:tc>
          <w:tcPr>
            <w:tcW w:w="1049" w:type="dxa"/>
          </w:tcPr>
          <w:p w14:paraId="6C558A0F" w14:textId="77777777" w:rsidR="00FA4AA8" w:rsidRDefault="00FA4AA8">
            <w:pPr>
              <w:pStyle w:val="TableParagraph"/>
              <w:rPr>
                <w:rFonts w:ascii="Times New Roman"/>
                <w:sz w:val="18"/>
              </w:rPr>
            </w:pPr>
          </w:p>
        </w:tc>
        <w:tc>
          <w:tcPr>
            <w:tcW w:w="1172" w:type="dxa"/>
            <w:tcBorders>
              <w:top w:val="single" w:sz="8" w:space="0" w:color="000000"/>
            </w:tcBorders>
          </w:tcPr>
          <w:p w14:paraId="289E5D28" w14:textId="77777777" w:rsidR="00FA4AA8" w:rsidRDefault="0015611F">
            <w:pPr>
              <w:pStyle w:val="TableParagraph"/>
              <w:spacing w:before="31"/>
              <w:ind w:right="211"/>
              <w:jc w:val="right"/>
              <w:rPr>
                <w:b/>
                <w:sz w:val="18"/>
              </w:rPr>
            </w:pPr>
            <w:r>
              <w:rPr>
                <w:b/>
                <w:sz w:val="18"/>
              </w:rPr>
              <w:t>10,941</w:t>
            </w:r>
          </w:p>
        </w:tc>
        <w:tc>
          <w:tcPr>
            <w:tcW w:w="869" w:type="dxa"/>
            <w:tcBorders>
              <w:top w:val="single" w:sz="8" w:space="0" w:color="000000"/>
            </w:tcBorders>
          </w:tcPr>
          <w:p w14:paraId="5E689D2C" w14:textId="77777777" w:rsidR="00FA4AA8" w:rsidRDefault="0015611F">
            <w:pPr>
              <w:pStyle w:val="TableParagraph"/>
              <w:spacing w:before="31"/>
              <w:ind w:left="223"/>
              <w:rPr>
                <w:sz w:val="18"/>
              </w:rPr>
            </w:pPr>
            <w:r>
              <w:rPr>
                <w:sz w:val="18"/>
              </w:rPr>
              <w:t>10,060</w:t>
            </w:r>
          </w:p>
        </w:tc>
      </w:tr>
      <w:tr w:rsidR="00FA4AA8" w14:paraId="6404BEE0" w14:textId="77777777">
        <w:trPr>
          <w:trHeight w:val="256"/>
        </w:trPr>
        <w:tc>
          <w:tcPr>
            <w:tcW w:w="363" w:type="dxa"/>
          </w:tcPr>
          <w:p w14:paraId="56983996" w14:textId="77777777" w:rsidR="00FA4AA8" w:rsidRDefault="00FA4AA8">
            <w:pPr>
              <w:pStyle w:val="TableParagraph"/>
              <w:rPr>
                <w:rFonts w:ascii="Times New Roman"/>
                <w:sz w:val="18"/>
              </w:rPr>
            </w:pPr>
          </w:p>
        </w:tc>
        <w:tc>
          <w:tcPr>
            <w:tcW w:w="6514" w:type="dxa"/>
          </w:tcPr>
          <w:p w14:paraId="28E60F2D" w14:textId="77777777" w:rsidR="00FA4AA8" w:rsidRDefault="0015611F">
            <w:pPr>
              <w:pStyle w:val="TableParagraph"/>
              <w:spacing w:before="26"/>
              <w:ind w:left="126"/>
              <w:rPr>
                <w:sz w:val="18"/>
              </w:rPr>
            </w:pPr>
            <w:r>
              <w:rPr>
                <w:sz w:val="18"/>
              </w:rPr>
              <w:t>Student services expenses during period</w:t>
            </w:r>
          </w:p>
        </w:tc>
        <w:tc>
          <w:tcPr>
            <w:tcW w:w="1049" w:type="dxa"/>
          </w:tcPr>
          <w:p w14:paraId="1CE10977" w14:textId="77777777" w:rsidR="00FA4AA8" w:rsidRDefault="00FA4AA8">
            <w:pPr>
              <w:pStyle w:val="TableParagraph"/>
              <w:rPr>
                <w:rFonts w:ascii="Times New Roman"/>
                <w:sz w:val="18"/>
              </w:rPr>
            </w:pPr>
          </w:p>
        </w:tc>
        <w:tc>
          <w:tcPr>
            <w:tcW w:w="1172" w:type="dxa"/>
            <w:tcBorders>
              <w:bottom w:val="single" w:sz="8" w:space="0" w:color="000000"/>
            </w:tcBorders>
          </w:tcPr>
          <w:p w14:paraId="0034E517" w14:textId="77777777" w:rsidR="00FA4AA8" w:rsidRDefault="0015611F">
            <w:pPr>
              <w:pStyle w:val="TableParagraph"/>
              <w:spacing w:before="24"/>
              <w:ind w:right="151"/>
              <w:jc w:val="right"/>
              <w:rPr>
                <w:b/>
                <w:sz w:val="18"/>
              </w:rPr>
            </w:pPr>
            <w:r>
              <w:rPr>
                <w:b/>
                <w:sz w:val="18"/>
              </w:rPr>
              <w:t>(10,941)</w:t>
            </w:r>
          </w:p>
        </w:tc>
        <w:tc>
          <w:tcPr>
            <w:tcW w:w="869" w:type="dxa"/>
            <w:tcBorders>
              <w:bottom w:val="single" w:sz="8" w:space="0" w:color="000000"/>
            </w:tcBorders>
          </w:tcPr>
          <w:p w14:paraId="08454214" w14:textId="77777777" w:rsidR="00FA4AA8" w:rsidRDefault="0015611F">
            <w:pPr>
              <w:pStyle w:val="TableParagraph"/>
              <w:spacing w:before="24"/>
              <w:ind w:right="29"/>
              <w:jc w:val="right"/>
              <w:rPr>
                <w:sz w:val="18"/>
              </w:rPr>
            </w:pPr>
            <w:r>
              <w:rPr>
                <w:sz w:val="18"/>
              </w:rPr>
              <w:t>(10,060)</w:t>
            </w:r>
          </w:p>
        </w:tc>
      </w:tr>
      <w:tr w:rsidR="00FA4AA8" w14:paraId="3E21E0F6" w14:textId="77777777">
        <w:trPr>
          <w:trHeight w:val="265"/>
        </w:trPr>
        <w:tc>
          <w:tcPr>
            <w:tcW w:w="363" w:type="dxa"/>
          </w:tcPr>
          <w:p w14:paraId="251B75C7" w14:textId="77777777" w:rsidR="00FA4AA8" w:rsidRDefault="00FA4AA8">
            <w:pPr>
              <w:pStyle w:val="TableParagraph"/>
              <w:rPr>
                <w:rFonts w:ascii="Times New Roman"/>
                <w:sz w:val="18"/>
              </w:rPr>
            </w:pPr>
          </w:p>
        </w:tc>
        <w:tc>
          <w:tcPr>
            <w:tcW w:w="6514" w:type="dxa"/>
          </w:tcPr>
          <w:p w14:paraId="298218C1" w14:textId="77777777" w:rsidR="00FA4AA8" w:rsidRDefault="0015611F">
            <w:pPr>
              <w:pStyle w:val="TableParagraph"/>
              <w:spacing w:before="33"/>
              <w:ind w:left="126"/>
              <w:rPr>
                <w:sz w:val="18"/>
              </w:rPr>
            </w:pPr>
            <w:r>
              <w:rPr>
                <w:sz w:val="18"/>
              </w:rPr>
              <w:t>Unspent/(overspent) student services revenue</w:t>
            </w:r>
          </w:p>
        </w:tc>
        <w:tc>
          <w:tcPr>
            <w:tcW w:w="1049" w:type="dxa"/>
          </w:tcPr>
          <w:p w14:paraId="7EFC6632" w14:textId="77777777" w:rsidR="00FA4AA8" w:rsidRDefault="00FA4AA8">
            <w:pPr>
              <w:pStyle w:val="TableParagraph"/>
              <w:rPr>
                <w:rFonts w:ascii="Times New Roman"/>
                <w:sz w:val="18"/>
              </w:rPr>
            </w:pPr>
          </w:p>
        </w:tc>
        <w:tc>
          <w:tcPr>
            <w:tcW w:w="1172" w:type="dxa"/>
            <w:tcBorders>
              <w:top w:val="single" w:sz="8" w:space="0" w:color="000000"/>
              <w:bottom w:val="double" w:sz="2" w:space="0" w:color="000000"/>
            </w:tcBorders>
          </w:tcPr>
          <w:p w14:paraId="33E9944F" w14:textId="77777777" w:rsidR="00FA4AA8" w:rsidRDefault="0015611F">
            <w:pPr>
              <w:pStyle w:val="TableParagraph"/>
              <w:spacing w:before="31"/>
              <w:ind w:right="211"/>
              <w:jc w:val="right"/>
              <w:rPr>
                <w:b/>
                <w:sz w:val="18"/>
              </w:rPr>
            </w:pPr>
            <w:r>
              <w:rPr>
                <w:b/>
                <w:sz w:val="18"/>
              </w:rPr>
              <w:t>-</w:t>
            </w:r>
          </w:p>
        </w:tc>
        <w:tc>
          <w:tcPr>
            <w:tcW w:w="869" w:type="dxa"/>
            <w:tcBorders>
              <w:top w:val="single" w:sz="8" w:space="0" w:color="000000"/>
              <w:bottom w:val="double" w:sz="2" w:space="0" w:color="000000"/>
            </w:tcBorders>
          </w:tcPr>
          <w:p w14:paraId="22EB7630" w14:textId="77777777" w:rsidR="00FA4AA8" w:rsidRDefault="0015611F">
            <w:pPr>
              <w:pStyle w:val="TableParagraph"/>
              <w:spacing w:before="31"/>
              <w:ind w:right="89"/>
              <w:jc w:val="right"/>
              <w:rPr>
                <w:sz w:val="18"/>
              </w:rPr>
            </w:pPr>
            <w:r>
              <w:rPr>
                <w:sz w:val="18"/>
              </w:rPr>
              <w:t>-</w:t>
            </w:r>
          </w:p>
        </w:tc>
      </w:tr>
    </w:tbl>
    <w:p w14:paraId="34C008D2" w14:textId="77777777" w:rsidR="00FA4AA8" w:rsidRDefault="00FA4AA8">
      <w:pPr>
        <w:jc w:val="right"/>
        <w:rPr>
          <w:sz w:val="18"/>
        </w:rPr>
        <w:sectPr w:rsidR="00FA4AA8">
          <w:headerReference w:type="default" r:id="rId47"/>
          <w:footerReference w:type="default" r:id="rId48"/>
          <w:pgSz w:w="11910" w:h="16840"/>
          <w:pgMar w:top="2220" w:right="880" w:bottom="720" w:left="840" w:header="1016" w:footer="523" w:gutter="0"/>
          <w:pgNumType w:start="75"/>
          <w:cols w:space="720"/>
        </w:sectPr>
      </w:pPr>
    </w:p>
    <w:p w14:paraId="461F36C2" w14:textId="77777777" w:rsidR="00FA4AA8" w:rsidRDefault="00FA4AA8">
      <w:pPr>
        <w:pStyle w:val="BodyText"/>
        <w:rPr>
          <w:b/>
          <w:sz w:val="20"/>
        </w:rPr>
      </w:pPr>
    </w:p>
    <w:p w14:paraId="36847B7B" w14:textId="77777777" w:rsidR="00FA4AA8" w:rsidRDefault="00FA4AA8">
      <w:pPr>
        <w:pStyle w:val="BodyText"/>
        <w:spacing w:before="10"/>
        <w:rPr>
          <w:b/>
          <w:sz w:val="29"/>
        </w:rPr>
      </w:pPr>
    </w:p>
    <w:p w14:paraId="1381F0B5" w14:textId="77777777" w:rsidR="00FA4AA8" w:rsidRDefault="0015611F">
      <w:pPr>
        <w:numPr>
          <w:ilvl w:val="0"/>
          <w:numId w:val="74"/>
        </w:numPr>
        <w:tabs>
          <w:tab w:val="left" w:pos="564"/>
        </w:tabs>
        <w:spacing w:before="94"/>
        <w:ind w:hanging="397"/>
        <w:rPr>
          <w:b/>
          <w:sz w:val="18"/>
        </w:rPr>
      </w:pPr>
      <w:bookmarkStart w:id="93" w:name="38_Defined_Benefits_Plans_"/>
      <w:bookmarkStart w:id="94" w:name="(a)_Fund_specific_disclosure"/>
      <w:bookmarkEnd w:id="93"/>
      <w:bookmarkEnd w:id="94"/>
      <w:r>
        <w:rPr>
          <w:b/>
          <w:sz w:val="18"/>
        </w:rPr>
        <w:t>Defined Benefits Plans</w:t>
      </w:r>
    </w:p>
    <w:p w14:paraId="7AFC0D1E" w14:textId="77777777" w:rsidR="00FA4AA8" w:rsidRDefault="00FA4AA8">
      <w:pPr>
        <w:pStyle w:val="BodyText"/>
        <w:spacing w:before="7"/>
        <w:rPr>
          <w:b/>
          <w:sz w:val="26"/>
        </w:rPr>
      </w:pPr>
    </w:p>
    <w:p w14:paraId="32902F09" w14:textId="77777777" w:rsidR="00FA4AA8" w:rsidRDefault="0015611F">
      <w:pPr>
        <w:pStyle w:val="ListParagraph"/>
        <w:numPr>
          <w:ilvl w:val="0"/>
          <w:numId w:val="73"/>
        </w:numPr>
        <w:tabs>
          <w:tab w:val="left" w:pos="564"/>
        </w:tabs>
        <w:ind w:hanging="397"/>
        <w:rPr>
          <w:b/>
          <w:sz w:val="18"/>
        </w:rPr>
      </w:pPr>
      <w:r>
        <w:rPr>
          <w:b/>
          <w:sz w:val="18"/>
        </w:rPr>
        <w:t>Fund specific disclosure</w:t>
      </w:r>
    </w:p>
    <w:p w14:paraId="60693EEA" w14:textId="77777777" w:rsidR="00FA4AA8" w:rsidRDefault="00FA4AA8">
      <w:pPr>
        <w:pStyle w:val="BodyText"/>
        <w:spacing w:before="5"/>
        <w:rPr>
          <w:b/>
          <w:sz w:val="25"/>
        </w:rPr>
      </w:pPr>
    </w:p>
    <w:p w14:paraId="409F7E42" w14:textId="77777777" w:rsidR="00FA4AA8" w:rsidRDefault="0015611F">
      <w:pPr>
        <w:pStyle w:val="BodyText"/>
        <w:ind w:left="563" w:right="132"/>
      </w:pPr>
      <w:r>
        <w:t>The Pooled Fund holds in trust the investments of the closed NSW public sector superannuation schemes, namely State Authorities Superannuation Scheme (SASS), State Superannuation Scheme (SSS) and State Authorities Non Contributory Superannuation Scheme (SANCS), which are State schemes and subject to reimbursement rights.</w:t>
      </w:r>
    </w:p>
    <w:p w14:paraId="41BB8F5B" w14:textId="77777777" w:rsidR="00FA4AA8" w:rsidRDefault="0015611F">
      <w:pPr>
        <w:pStyle w:val="BodyText"/>
        <w:ind w:left="563" w:right="132"/>
      </w:pPr>
      <w:r>
        <w:t>These three schemes are all defined benefit schemes - at least a component of the final benefit is derived from a multiple of member salary and years of membership.</w:t>
      </w:r>
    </w:p>
    <w:p w14:paraId="537766AE" w14:textId="77777777" w:rsidR="00FA4AA8" w:rsidRDefault="00FA4AA8">
      <w:pPr>
        <w:pStyle w:val="BodyText"/>
        <w:spacing w:before="9"/>
        <w:rPr>
          <w:sz w:val="24"/>
        </w:rPr>
      </w:pPr>
    </w:p>
    <w:p w14:paraId="26AB0C23" w14:textId="77777777" w:rsidR="00FA4AA8" w:rsidRDefault="0015611F">
      <w:pPr>
        <w:pStyle w:val="BodyText"/>
        <w:ind w:left="563"/>
      </w:pPr>
      <w:r>
        <w:t>These unfunded liabilities recorded in the Statement of Financial Position under provisions have been determined by independent actuaries.</w:t>
      </w:r>
    </w:p>
    <w:p w14:paraId="0AFD55E9" w14:textId="77777777" w:rsidR="00FA4AA8" w:rsidRDefault="00FA4AA8">
      <w:pPr>
        <w:pStyle w:val="BodyText"/>
        <w:spacing w:before="11"/>
        <w:rPr>
          <w:sz w:val="24"/>
        </w:rPr>
      </w:pPr>
    </w:p>
    <w:p w14:paraId="33D59227" w14:textId="77777777" w:rsidR="00FA4AA8" w:rsidRDefault="0015611F">
      <w:pPr>
        <w:pStyle w:val="BodyText"/>
        <w:ind w:left="563" w:right="132"/>
      </w:pPr>
      <w:r>
        <w:t>During 2015, University of Sydney on behalf of the NSW Universities, led a project to finalise the negotiation of an agreement between the Commonwealth and New South Wales Governments to provide certainty in respect to the funding of the defined benefits superannuation funds managed by the State Authorities Superannuation Trustees Corporation (STC). These discussions have now culminated in a memorandum of understanding being reached between the Commonwealth and the State Governments. This memorandum has now been executed with the effect that the Commonwealth and New South Wales Governments are taking on all of the risk of the liabilities of the three funds (SASS, SANCS and SSS) for the next seventy years.</w:t>
      </w:r>
    </w:p>
    <w:p w14:paraId="2354B916" w14:textId="77777777" w:rsidR="00FA4AA8" w:rsidRDefault="00FA4AA8">
      <w:pPr>
        <w:pStyle w:val="BodyText"/>
        <w:spacing w:before="8"/>
        <w:rPr>
          <w:sz w:val="24"/>
        </w:rPr>
      </w:pPr>
    </w:p>
    <w:p w14:paraId="044D4F72" w14:textId="77777777" w:rsidR="00FA4AA8" w:rsidRDefault="0015611F">
      <w:pPr>
        <w:pStyle w:val="BodyText"/>
        <w:ind w:left="563"/>
      </w:pPr>
      <w:r>
        <w:t>The significant elements of the agreement are that:</w:t>
      </w:r>
    </w:p>
    <w:p w14:paraId="24ED82B6" w14:textId="77777777" w:rsidR="00FA4AA8" w:rsidRDefault="00FA4AA8">
      <w:pPr>
        <w:pStyle w:val="BodyText"/>
        <w:rPr>
          <w:sz w:val="25"/>
        </w:rPr>
      </w:pPr>
    </w:p>
    <w:p w14:paraId="46BC3FBB" w14:textId="77777777" w:rsidR="00FA4AA8" w:rsidRDefault="0015611F">
      <w:pPr>
        <w:pStyle w:val="ListParagraph"/>
        <w:numPr>
          <w:ilvl w:val="0"/>
          <w:numId w:val="72"/>
        </w:numPr>
        <w:tabs>
          <w:tab w:val="left" w:pos="726"/>
        </w:tabs>
        <w:ind w:left="725" w:hanging="112"/>
        <w:rPr>
          <w:sz w:val="18"/>
        </w:rPr>
      </w:pPr>
      <w:r>
        <w:rPr>
          <w:sz w:val="18"/>
        </w:rPr>
        <w:t>the agreement allows for funding of the SANCS accounts that were previously not eligible under the</w:t>
      </w:r>
      <w:r>
        <w:rPr>
          <w:spacing w:val="7"/>
          <w:sz w:val="18"/>
        </w:rPr>
        <w:t xml:space="preserve"> </w:t>
      </w:r>
      <w:r>
        <w:rPr>
          <w:sz w:val="18"/>
        </w:rPr>
        <w:t>scheme;</w:t>
      </w:r>
    </w:p>
    <w:p w14:paraId="3EE5CAF1" w14:textId="77777777" w:rsidR="00FA4AA8" w:rsidRDefault="00FA4AA8">
      <w:pPr>
        <w:pStyle w:val="BodyText"/>
        <w:rPr>
          <w:sz w:val="25"/>
        </w:rPr>
      </w:pPr>
    </w:p>
    <w:p w14:paraId="10A74982" w14:textId="77777777" w:rsidR="00FA4AA8" w:rsidRDefault="0015611F">
      <w:pPr>
        <w:pStyle w:val="ListParagraph"/>
        <w:numPr>
          <w:ilvl w:val="0"/>
          <w:numId w:val="72"/>
        </w:numPr>
        <w:tabs>
          <w:tab w:val="left" w:pos="726"/>
        </w:tabs>
        <w:ind w:left="563" w:right="173" w:firstLine="50"/>
        <w:rPr>
          <w:sz w:val="18"/>
        </w:rPr>
      </w:pPr>
      <w:r>
        <w:rPr>
          <w:sz w:val="18"/>
        </w:rPr>
        <w:t>in future, the Commonwealth will not contribute to costs associated with excess salary increases. Future fund liabilities deemed to be the result of excess salary increases will be recouped from each relevant university in the form of 'top-up' payments.</w:t>
      </w:r>
    </w:p>
    <w:p w14:paraId="7CBBBE6A" w14:textId="77777777" w:rsidR="00FA4AA8" w:rsidRDefault="00FA4AA8">
      <w:pPr>
        <w:pStyle w:val="BodyText"/>
        <w:spacing w:before="10"/>
        <w:rPr>
          <w:sz w:val="24"/>
        </w:rPr>
      </w:pPr>
    </w:p>
    <w:p w14:paraId="4984DF92" w14:textId="77777777" w:rsidR="00FA4AA8" w:rsidRDefault="0015611F">
      <w:pPr>
        <w:pStyle w:val="BodyText"/>
        <w:spacing w:line="207" w:lineRule="exact"/>
        <w:ind w:left="563"/>
      </w:pPr>
      <w:r>
        <w:t>The amount receivable from the Commonwealth or State in respect of the three funds as at 31 December 2018 was</w:t>
      </w:r>
    </w:p>
    <w:p w14:paraId="0981AFA5" w14:textId="77777777" w:rsidR="00FA4AA8" w:rsidRDefault="0015611F">
      <w:pPr>
        <w:pStyle w:val="BodyText"/>
        <w:ind w:left="563" w:right="201"/>
      </w:pPr>
      <w:r>
        <w:t>$369.942M (2017: $345.703M) and this is reflected in note 17 as Non-current receivables. This receivable is net of the University's accrued and forecasted excess salary liability as at 31 December 2018 totalling $2.428M (2017: $2.092M) as the liability is treated as a reduction of the Commonwealth and State reimbursement right. The amount owing to members of the three funds as at 31 December 2018 was $380.027M (2017: $354.922M), including the University's accrued and forecasted excess salary liability, and is recognised in the statement of financial position under   provisions.</w:t>
      </w:r>
    </w:p>
    <w:p w14:paraId="4F3C0AFB" w14:textId="77777777" w:rsidR="00FA4AA8" w:rsidRDefault="00FA4AA8">
      <w:pPr>
        <w:pStyle w:val="BodyText"/>
        <w:spacing w:before="8"/>
        <w:rPr>
          <w:sz w:val="24"/>
        </w:rPr>
      </w:pPr>
    </w:p>
    <w:p w14:paraId="4D7E284F" w14:textId="77777777" w:rsidR="00FA4AA8" w:rsidRDefault="0015611F">
      <w:pPr>
        <w:pStyle w:val="BodyText"/>
        <w:spacing w:before="1"/>
        <w:ind w:left="563" w:right="220"/>
      </w:pPr>
      <w:r>
        <w:t>The Group expects to make a contribution of $0.78M (2017: $1.21M) to the defined benefit plan during the next financial year.</w:t>
      </w:r>
    </w:p>
    <w:p w14:paraId="7BDD3277" w14:textId="77777777" w:rsidR="00FA4AA8" w:rsidRDefault="00FA4AA8">
      <w:pPr>
        <w:pStyle w:val="BodyText"/>
        <w:spacing w:before="10"/>
        <w:rPr>
          <w:sz w:val="24"/>
        </w:rPr>
      </w:pPr>
    </w:p>
    <w:p w14:paraId="6FE60247" w14:textId="77777777" w:rsidR="00FA4AA8" w:rsidRDefault="0015611F">
      <w:pPr>
        <w:pStyle w:val="BodyText"/>
        <w:ind w:left="563" w:right="220"/>
      </w:pPr>
      <w:r>
        <w:t>The weighted average duration of the defined benefit obligation is 11.7 years (2017: 11.9 years). The expected maturity analysis of undiscounted benefit payments is as follows:</w:t>
      </w:r>
    </w:p>
    <w:p w14:paraId="65F25228" w14:textId="77777777" w:rsidR="00FA4AA8" w:rsidRDefault="00FA4AA8">
      <w:pPr>
        <w:pStyle w:val="BodyText"/>
        <w:rPr>
          <w:sz w:val="20"/>
        </w:rPr>
      </w:pPr>
    </w:p>
    <w:p w14:paraId="1C46A5D2" w14:textId="77777777" w:rsidR="00FA4AA8" w:rsidRDefault="00FA4AA8">
      <w:pPr>
        <w:pStyle w:val="BodyText"/>
        <w:spacing w:before="7"/>
        <w:rPr>
          <w:sz w:val="17"/>
        </w:rPr>
      </w:pPr>
    </w:p>
    <w:p w14:paraId="5D54223C" w14:textId="77777777" w:rsidR="00FA4AA8" w:rsidRDefault="00FA4AA8">
      <w:pPr>
        <w:rPr>
          <w:sz w:val="17"/>
        </w:rPr>
        <w:sectPr w:rsidR="00FA4AA8">
          <w:pgSz w:w="11910" w:h="16840"/>
          <w:pgMar w:top="2220" w:right="880" w:bottom="720" w:left="840" w:header="1016" w:footer="523" w:gutter="0"/>
          <w:cols w:space="720"/>
        </w:sectPr>
      </w:pPr>
    </w:p>
    <w:p w14:paraId="7FB2336E" w14:textId="77777777" w:rsidR="00FA4AA8" w:rsidRDefault="0015611F">
      <w:pPr>
        <w:spacing w:before="95"/>
        <w:jc w:val="right"/>
        <w:rPr>
          <w:b/>
          <w:sz w:val="18"/>
        </w:rPr>
      </w:pPr>
      <w:r>
        <w:rPr>
          <w:b/>
          <w:sz w:val="18"/>
        </w:rPr>
        <w:t>Less than 1</w:t>
      </w:r>
    </w:p>
    <w:p w14:paraId="726C08C8" w14:textId="77777777" w:rsidR="00FA4AA8" w:rsidRDefault="0015611F">
      <w:pPr>
        <w:spacing w:before="95"/>
        <w:ind w:left="78"/>
        <w:rPr>
          <w:b/>
          <w:sz w:val="18"/>
        </w:rPr>
      </w:pPr>
      <w:r>
        <w:br w:type="column"/>
      </w:r>
      <w:r>
        <w:rPr>
          <w:b/>
          <w:sz w:val="18"/>
        </w:rPr>
        <w:t>Between 1</w:t>
      </w:r>
    </w:p>
    <w:p w14:paraId="3599CA62" w14:textId="77777777" w:rsidR="00FA4AA8" w:rsidRDefault="0015611F">
      <w:pPr>
        <w:spacing w:before="95"/>
        <w:ind w:left="129"/>
        <w:rPr>
          <w:b/>
          <w:sz w:val="18"/>
        </w:rPr>
      </w:pPr>
      <w:r>
        <w:br w:type="column"/>
      </w:r>
      <w:r>
        <w:rPr>
          <w:b/>
          <w:sz w:val="18"/>
        </w:rPr>
        <w:t>Between 2</w:t>
      </w:r>
    </w:p>
    <w:p w14:paraId="67F5D077" w14:textId="77777777" w:rsidR="00FA4AA8" w:rsidRDefault="0015611F">
      <w:pPr>
        <w:spacing w:before="95"/>
        <w:ind w:left="299"/>
        <w:rPr>
          <w:b/>
          <w:sz w:val="18"/>
        </w:rPr>
      </w:pPr>
      <w:r>
        <w:br w:type="column"/>
      </w:r>
      <w:r>
        <w:rPr>
          <w:b/>
          <w:sz w:val="18"/>
        </w:rPr>
        <w:t>Over 5</w:t>
      </w:r>
    </w:p>
    <w:p w14:paraId="5C4B4E47" w14:textId="77777777" w:rsidR="00FA4AA8" w:rsidRDefault="00FA4AA8">
      <w:pPr>
        <w:rPr>
          <w:sz w:val="18"/>
        </w:rPr>
        <w:sectPr w:rsidR="00FA4AA8">
          <w:type w:val="continuous"/>
          <w:pgSz w:w="11910" w:h="16840"/>
          <w:pgMar w:top="20" w:right="880" w:bottom="0" w:left="840" w:header="720" w:footer="720" w:gutter="0"/>
          <w:cols w:num="4" w:space="720" w:equalWidth="0">
            <w:col w:w="5786" w:space="40"/>
            <w:col w:w="975" w:space="39"/>
            <w:col w:w="1026" w:space="40"/>
            <w:col w:w="2284"/>
          </w:cols>
        </w:sectPr>
      </w:pPr>
    </w:p>
    <w:p w14:paraId="5006ECF5" w14:textId="77777777" w:rsidR="00FA4AA8" w:rsidRDefault="0015611F">
      <w:pPr>
        <w:spacing w:line="206" w:lineRule="exact"/>
        <w:jc w:val="right"/>
        <w:rPr>
          <w:b/>
          <w:sz w:val="18"/>
        </w:rPr>
      </w:pPr>
      <w:r>
        <w:rPr>
          <w:b/>
          <w:sz w:val="18"/>
        </w:rPr>
        <w:t>year</w:t>
      </w:r>
    </w:p>
    <w:p w14:paraId="34BD53D0" w14:textId="77777777" w:rsidR="00FA4AA8" w:rsidRDefault="0015611F">
      <w:pPr>
        <w:spacing w:line="206" w:lineRule="exact"/>
        <w:ind w:left="350"/>
        <w:rPr>
          <w:b/>
          <w:sz w:val="18"/>
        </w:rPr>
      </w:pPr>
      <w:r>
        <w:br w:type="column"/>
      </w:r>
      <w:r>
        <w:rPr>
          <w:b/>
          <w:sz w:val="18"/>
        </w:rPr>
        <w:t>and 2 years and 5 years</w:t>
      </w:r>
    </w:p>
    <w:p w14:paraId="5E45201D" w14:textId="77777777" w:rsidR="00FA4AA8" w:rsidRDefault="0015611F">
      <w:pPr>
        <w:spacing w:line="206" w:lineRule="exact"/>
        <w:ind w:left="301"/>
        <w:rPr>
          <w:b/>
          <w:sz w:val="18"/>
        </w:rPr>
      </w:pPr>
      <w:r>
        <w:br w:type="column"/>
      </w:r>
      <w:r>
        <w:rPr>
          <w:b/>
          <w:spacing w:val="-2"/>
          <w:sz w:val="18"/>
        </w:rPr>
        <w:t>years</w:t>
      </w:r>
    </w:p>
    <w:p w14:paraId="1CEDD24D" w14:textId="77777777" w:rsidR="00FA4AA8" w:rsidRDefault="0015611F">
      <w:pPr>
        <w:spacing w:line="206" w:lineRule="exact"/>
        <w:ind w:left="577"/>
        <w:rPr>
          <w:b/>
          <w:sz w:val="18"/>
        </w:rPr>
      </w:pPr>
      <w:r>
        <w:br w:type="column"/>
      </w:r>
      <w:r>
        <w:rPr>
          <w:b/>
          <w:sz w:val="18"/>
        </w:rPr>
        <w:t>Total</w:t>
      </w:r>
    </w:p>
    <w:p w14:paraId="6AA99EAD" w14:textId="77777777" w:rsidR="00FA4AA8" w:rsidRDefault="00FA4AA8">
      <w:pPr>
        <w:spacing w:line="206" w:lineRule="exact"/>
        <w:rPr>
          <w:sz w:val="18"/>
        </w:rPr>
        <w:sectPr w:rsidR="00FA4AA8">
          <w:type w:val="continuous"/>
          <w:pgSz w:w="11910" w:h="16840"/>
          <w:pgMar w:top="20" w:right="880" w:bottom="0" w:left="840" w:header="720" w:footer="720" w:gutter="0"/>
          <w:cols w:num="4" w:space="720" w:equalWidth="0">
            <w:col w:w="5471" w:space="40"/>
            <w:col w:w="2402" w:space="39"/>
            <w:col w:w="764" w:space="40"/>
            <w:col w:w="1434"/>
          </w:cols>
        </w:sectPr>
      </w:pPr>
    </w:p>
    <w:p w14:paraId="0839305D" w14:textId="77777777" w:rsidR="00FA4AA8" w:rsidRDefault="00FA4AA8">
      <w:pPr>
        <w:pStyle w:val="BodyText"/>
        <w:spacing w:before="3"/>
        <w:rPr>
          <w:b/>
          <w:sz w:val="6"/>
        </w:rPr>
      </w:pPr>
    </w:p>
    <w:tbl>
      <w:tblPr>
        <w:tblW w:w="0" w:type="auto"/>
        <w:tblInd w:w="564" w:type="dxa"/>
        <w:tblLayout w:type="fixed"/>
        <w:tblCellMar>
          <w:left w:w="0" w:type="dxa"/>
          <w:right w:w="0" w:type="dxa"/>
        </w:tblCellMar>
        <w:tblLook w:val="01E0" w:firstRow="1" w:lastRow="1" w:firstColumn="1" w:lastColumn="1" w:noHBand="0" w:noVBand="0"/>
      </w:tblPr>
      <w:tblGrid>
        <w:gridCol w:w="3971"/>
        <w:gridCol w:w="1402"/>
        <w:gridCol w:w="1065"/>
        <w:gridCol w:w="1065"/>
        <w:gridCol w:w="1065"/>
        <w:gridCol w:w="916"/>
      </w:tblGrid>
      <w:tr w:rsidR="00FA4AA8" w14:paraId="5AAC5B47" w14:textId="77777777">
        <w:trPr>
          <w:trHeight w:val="468"/>
        </w:trPr>
        <w:tc>
          <w:tcPr>
            <w:tcW w:w="3971" w:type="dxa"/>
          </w:tcPr>
          <w:p w14:paraId="15010746" w14:textId="77777777" w:rsidR="00FA4AA8" w:rsidRDefault="00FA4AA8">
            <w:pPr>
              <w:pStyle w:val="TableParagraph"/>
              <w:spacing w:before="7"/>
              <w:rPr>
                <w:b/>
              </w:rPr>
            </w:pPr>
          </w:p>
          <w:p w14:paraId="6380D7B4" w14:textId="77777777" w:rsidR="00FA4AA8" w:rsidRDefault="0015611F">
            <w:pPr>
              <w:pStyle w:val="TableParagraph"/>
              <w:spacing w:line="188" w:lineRule="exact"/>
              <w:ind w:left="50"/>
              <w:rPr>
                <w:sz w:val="18"/>
              </w:rPr>
            </w:pPr>
            <w:r>
              <w:rPr>
                <w:sz w:val="18"/>
              </w:rPr>
              <w:t>Defined benefit obligations - 31 December</w:t>
            </w:r>
          </w:p>
        </w:tc>
        <w:tc>
          <w:tcPr>
            <w:tcW w:w="1402" w:type="dxa"/>
          </w:tcPr>
          <w:p w14:paraId="60DFF4F9" w14:textId="77777777" w:rsidR="00FA4AA8" w:rsidRDefault="0015611F">
            <w:pPr>
              <w:pStyle w:val="TableParagraph"/>
              <w:spacing w:line="201" w:lineRule="exact"/>
              <w:ind w:left="535"/>
              <w:rPr>
                <w:b/>
                <w:sz w:val="18"/>
              </w:rPr>
            </w:pPr>
            <w:r>
              <w:rPr>
                <w:b/>
                <w:sz w:val="18"/>
              </w:rPr>
              <w:t>$'000</w:t>
            </w:r>
          </w:p>
        </w:tc>
        <w:tc>
          <w:tcPr>
            <w:tcW w:w="1065" w:type="dxa"/>
          </w:tcPr>
          <w:p w14:paraId="0AC5D378" w14:textId="77777777" w:rsidR="00FA4AA8" w:rsidRDefault="0015611F">
            <w:pPr>
              <w:pStyle w:val="TableParagraph"/>
              <w:spacing w:line="201" w:lineRule="exact"/>
              <w:ind w:left="199"/>
              <w:rPr>
                <w:b/>
                <w:sz w:val="18"/>
              </w:rPr>
            </w:pPr>
            <w:r>
              <w:rPr>
                <w:b/>
                <w:sz w:val="18"/>
              </w:rPr>
              <w:t>$'000</w:t>
            </w:r>
          </w:p>
        </w:tc>
        <w:tc>
          <w:tcPr>
            <w:tcW w:w="1065" w:type="dxa"/>
          </w:tcPr>
          <w:p w14:paraId="624E625B" w14:textId="77777777" w:rsidR="00FA4AA8" w:rsidRDefault="0015611F">
            <w:pPr>
              <w:pStyle w:val="TableParagraph"/>
              <w:spacing w:line="201" w:lineRule="exact"/>
              <w:ind w:left="200"/>
              <w:rPr>
                <w:b/>
                <w:sz w:val="18"/>
              </w:rPr>
            </w:pPr>
            <w:r>
              <w:rPr>
                <w:b/>
                <w:sz w:val="18"/>
              </w:rPr>
              <w:t>$'000</w:t>
            </w:r>
          </w:p>
        </w:tc>
        <w:tc>
          <w:tcPr>
            <w:tcW w:w="1065" w:type="dxa"/>
          </w:tcPr>
          <w:p w14:paraId="74202D00" w14:textId="77777777" w:rsidR="00FA4AA8" w:rsidRDefault="0015611F">
            <w:pPr>
              <w:pStyle w:val="TableParagraph"/>
              <w:spacing w:line="201" w:lineRule="exact"/>
              <w:ind w:left="200"/>
              <w:rPr>
                <w:b/>
                <w:sz w:val="18"/>
              </w:rPr>
            </w:pPr>
            <w:r>
              <w:rPr>
                <w:b/>
                <w:sz w:val="18"/>
              </w:rPr>
              <w:t>$'000</w:t>
            </w:r>
          </w:p>
        </w:tc>
        <w:tc>
          <w:tcPr>
            <w:tcW w:w="916" w:type="dxa"/>
          </w:tcPr>
          <w:p w14:paraId="116B4114" w14:textId="77777777" w:rsidR="00FA4AA8" w:rsidRDefault="0015611F">
            <w:pPr>
              <w:pStyle w:val="TableParagraph"/>
              <w:spacing w:line="201" w:lineRule="exact"/>
              <w:ind w:left="201"/>
              <w:rPr>
                <w:b/>
                <w:sz w:val="18"/>
              </w:rPr>
            </w:pPr>
            <w:r>
              <w:rPr>
                <w:b/>
                <w:sz w:val="18"/>
              </w:rPr>
              <w:t>$'000</w:t>
            </w:r>
          </w:p>
        </w:tc>
      </w:tr>
      <w:tr w:rsidR="00FA4AA8" w14:paraId="6B1C6026" w14:textId="77777777">
        <w:trPr>
          <w:trHeight w:val="233"/>
        </w:trPr>
        <w:tc>
          <w:tcPr>
            <w:tcW w:w="3971" w:type="dxa"/>
          </w:tcPr>
          <w:p w14:paraId="2136A9C8" w14:textId="77777777" w:rsidR="00FA4AA8" w:rsidRDefault="0015611F">
            <w:pPr>
              <w:pStyle w:val="TableParagraph"/>
              <w:spacing w:line="205" w:lineRule="exact"/>
              <w:ind w:left="50"/>
              <w:rPr>
                <w:sz w:val="18"/>
              </w:rPr>
            </w:pPr>
            <w:r>
              <w:rPr>
                <w:sz w:val="18"/>
              </w:rPr>
              <w:t>2018</w:t>
            </w:r>
          </w:p>
        </w:tc>
        <w:tc>
          <w:tcPr>
            <w:tcW w:w="1402" w:type="dxa"/>
          </w:tcPr>
          <w:p w14:paraId="491C2237" w14:textId="77777777" w:rsidR="00FA4AA8" w:rsidRDefault="0015611F">
            <w:pPr>
              <w:pStyle w:val="TableParagraph"/>
              <w:spacing w:line="203" w:lineRule="exact"/>
              <w:ind w:right="197"/>
              <w:jc w:val="right"/>
              <w:rPr>
                <w:b/>
                <w:sz w:val="18"/>
              </w:rPr>
            </w:pPr>
            <w:r>
              <w:rPr>
                <w:b/>
                <w:sz w:val="18"/>
              </w:rPr>
              <w:t>21,407</w:t>
            </w:r>
          </w:p>
        </w:tc>
        <w:tc>
          <w:tcPr>
            <w:tcW w:w="1065" w:type="dxa"/>
          </w:tcPr>
          <w:p w14:paraId="57597989" w14:textId="77777777" w:rsidR="00FA4AA8" w:rsidRDefault="0015611F">
            <w:pPr>
              <w:pStyle w:val="TableParagraph"/>
              <w:spacing w:line="203" w:lineRule="exact"/>
              <w:ind w:right="196"/>
              <w:jc w:val="right"/>
              <w:rPr>
                <w:b/>
                <w:sz w:val="18"/>
              </w:rPr>
            </w:pPr>
            <w:r>
              <w:rPr>
                <w:b/>
                <w:sz w:val="18"/>
              </w:rPr>
              <w:t>21,850</w:t>
            </w:r>
          </w:p>
        </w:tc>
        <w:tc>
          <w:tcPr>
            <w:tcW w:w="1065" w:type="dxa"/>
          </w:tcPr>
          <w:p w14:paraId="1E9869A5" w14:textId="77777777" w:rsidR="00FA4AA8" w:rsidRDefault="0015611F">
            <w:pPr>
              <w:pStyle w:val="TableParagraph"/>
              <w:spacing w:line="203" w:lineRule="exact"/>
              <w:ind w:right="196"/>
              <w:jc w:val="right"/>
              <w:rPr>
                <w:b/>
                <w:sz w:val="18"/>
              </w:rPr>
            </w:pPr>
            <w:r>
              <w:rPr>
                <w:b/>
                <w:sz w:val="18"/>
              </w:rPr>
              <w:t>64,215</w:t>
            </w:r>
          </w:p>
        </w:tc>
        <w:tc>
          <w:tcPr>
            <w:tcW w:w="1065" w:type="dxa"/>
          </w:tcPr>
          <w:p w14:paraId="58198F7E" w14:textId="77777777" w:rsidR="00FA4AA8" w:rsidRDefault="0015611F">
            <w:pPr>
              <w:pStyle w:val="TableParagraph"/>
              <w:spacing w:line="203" w:lineRule="exact"/>
              <w:ind w:left="212"/>
              <w:rPr>
                <w:b/>
                <w:sz w:val="18"/>
              </w:rPr>
            </w:pPr>
            <w:r>
              <w:rPr>
                <w:b/>
                <w:sz w:val="18"/>
              </w:rPr>
              <w:t>392,567</w:t>
            </w:r>
          </w:p>
        </w:tc>
        <w:tc>
          <w:tcPr>
            <w:tcW w:w="916" w:type="dxa"/>
          </w:tcPr>
          <w:p w14:paraId="67A2C996" w14:textId="77777777" w:rsidR="00FA4AA8" w:rsidRDefault="0015611F">
            <w:pPr>
              <w:pStyle w:val="TableParagraph"/>
              <w:spacing w:line="203" w:lineRule="exact"/>
              <w:ind w:left="213"/>
              <w:rPr>
                <w:b/>
                <w:sz w:val="18"/>
              </w:rPr>
            </w:pPr>
            <w:r>
              <w:rPr>
                <w:b/>
                <w:sz w:val="18"/>
              </w:rPr>
              <w:t>500,039</w:t>
            </w:r>
          </w:p>
        </w:tc>
      </w:tr>
      <w:tr w:rsidR="00FA4AA8" w14:paraId="5F359F9A" w14:textId="77777777">
        <w:trPr>
          <w:trHeight w:val="436"/>
        </w:trPr>
        <w:tc>
          <w:tcPr>
            <w:tcW w:w="3971" w:type="dxa"/>
          </w:tcPr>
          <w:p w14:paraId="3AA177C8" w14:textId="77777777" w:rsidR="00FA4AA8" w:rsidRDefault="0015611F">
            <w:pPr>
              <w:pStyle w:val="TableParagraph"/>
              <w:spacing w:before="27" w:line="206" w:lineRule="exact"/>
              <w:ind w:left="50" w:right="178"/>
              <w:rPr>
                <w:sz w:val="18"/>
              </w:rPr>
            </w:pPr>
            <w:r>
              <w:rPr>
                <w:sz w:val="18"/>
              </w:rPr>
              <w:t>Defined benefit obligations - 31 December 2017</w:t>
            </w:r>
          </w:p>
        </w:tc>
        <w:tc>
          <w:tcPr>
            <w:tcW w:w="1402" w:type="dxa"/>
          </w:tcPr>
          <w:p w14:paraId="5F7D15BC" w14:textId="77777777" w:rsidR="00FA4AA8" w:rsidRDefault="00FA4AA8">
            <w:pPr>
              <w:pStyle w:val="TableParagraph"/>
              <w:spacing w:before="8"/>
              <w:rPr>
                <w:b/>
                <w:sz w:val="19"/>
              </w:rPr>
            </w:pPr>
          </w:p>
          <w:p w14:paraId="5CB7C495" w14:textId="77777777" w:rsidR="00FA4AA8" w:rsidRDefault="0015611F">
            <w:pPr>
              <w:pStyle w:val="TableParagraph"/>
              <w:spacing w:line="189" w:lineRule="exact"/>
              <w:ind w:right="197"/>
              <w:jc w:val="right"/>
              <w:rPr>
                <w:sz w:val="18"/>
              </w:rPr>
            </w:pPr>
            <w:r>
              <w:rPr>
                <w:sz w:val="18"/>
              </w:rPr>
              <w:t>24,098</w:t>
            </w:r>
          </w:p>
        </w:tc>
        <w:tc>
          <w:tcPr>
            <w:tcW w:w="1065" w:type="dxa"/>
          </w:tcPr>
          <w:p w14:paraId="10FD6891" w14:textId="77777777" w:rsidR="00FA4AA8" w:rsidRDefault="00FA4AA8">
            <w:pPr>
              <w:pStyle w:val="TableParagraph"/>
              <w:spacing w:before="8"/>
              <w:rPr>
                <w:b/>
                <w:sz w:val="19"/>
              </w:rPr>
            </w:pPr>
          </w:p>
          <w:p w14:paraId="64A12D62" w14:textId="77777777" w:rsidR="00FA4AA8" w:rsidRDefault="0015611F">
            <w:pPr>
              <w:pStyle w:val="TableParagraph"/>
              <w:spacing w:line="189" w:lineRule="exact"/>
              <w:ind w:right="196"/>
              <w:jc w:val="right"/>
              <w:rPr>
                <w:sz w:val="18"/>
              </w:rPr>
            </w:pPr>
            <w:r>
              <w:rPr>
                <w:sz w:val="18"/>
              </w:rPr>
              <w:t>24,790</w:t>
            </w:r>
          </w:p>
        </w:tc>
        <w:tc>
          <w:tcPr>
            <w:tcW w:w="1065" w:type="dxa"/>
          </w:tcPr>
          <w:p w14:paraId="1656F6F9" w14:textId="77777777" w:rsidR="00FA4AA8" w:rsidRDefault="00FA4AA8">
            <w:pPr>
              <w:pStyle w:val="TableParagraph"/>
              <w:spacing w:before="8"/>
              <w:rPr>
                <w:b/>
                <w:sz w:val="19"/>
              </w:rPr>
            </w:pPr>
          </w:p>
          <w:p w14:paraId="214D774A" w14:textId="77777777" w:rsidR="00FA4AA8" w:rsidRDefault="0015611F">
            <w:pPr>
              <w:pStyle w:val="TableParagraph"/>
              <w:spacing w:line="189" w:lineRule="exact"/>
              <w:ind w:right="196"/>
              <w:jc w:val="right"/>
              <w:rPr>
                <w:sz w:val="18"/>
              </w:rPr>
            </w:pPr>
            <w:r>
              <w:rPr>
                <w:sz w:val="18"/>
              </w:rPr>
              <w:t>71,874</w:t>
            </w:r>
          </w:p>
        </w:tc>
        <w:tc>
          <w:tcPr>
            <w:tcW w:w="1065" w:type="dxa"/>
          </w:tcPr>
          <w:p w14:paraId="33E61AA4" w14:textId="77777777" w:rsidR="00FA4AA8" w:rsidRDefault="00FA4AA8">
            <w:pPr>
              <w:pStyle w:val="TableParagraph"/>
              <w:spacing w:before="8"/>
              <w:rPr>
                <w:b/>
                <w:sz w:val="19"/>
              </w:rPr>
            </w:pPr>
          </w:p>
          <w:p w14:paraId="1D98C75E" w14:textId="77777777" w:rsidR="00FA4AA8" w:rsidRDefault="0015611F">
            <w:pPr>
              <w:pStyle w:val="TableParagraph"/>
              <w:spacing w:line="189" w:lineRule="exact"/>
              <w:ind w:left="212"/>
              <w:rPr>
                <w:sz w:val="18"/>
              </w:rPr>
            </w:pPr>
            <w:r>
              <w:rPr>
                <w:sz w:val="18"/>
              </w:rPr>
              <w:t>422,452</w:t>
            </w:r>
          </w:p>
        </w:tc>
        <w:tc>
          <w:tcPr>
            <w:tcW w:w="916" w:type="dxa"/>
          </w:tcPr>
          <w:p w14:paraId="0925270F" w14:textId="77777777" w:rsidR="00FA4AA8" w:rsidRDefault="00FA4AA8">
            <w:pPr>
              <w:pStyle w:val="TableParagraph"/>
              <w:spacing w:before="8"/>
              <w:rPr>
                <w:b/>
                <w:sz w:val="19"/>
              </w:rPr>
            </w:pPr>
          </w:p>
          <w:p w14:paraId="71582FFB" w14:textId="77777777" w:rsidR="00FA4AA8" w:rsidRDefault="0015611F">
            <w:pPr>
              <w:pStyle w:val="TableParagraph"/>
              <w:spacing w:line="189" w:lineRule="exact"/>
              <w:ind w:left="213"/>
              <w:rPr>
                <w:sz w:val="18"/>
              </w:rPr>
            </w:pPr>
            <w:r>
              <w:rPr>
                <w:sz w:val="18"/>
              </w:rPr>
              <w:t>543,214</w:t>
            </w:r>
          </w:p>
        </w:tc>
      </w:tr>
    </w:tbl>
    <w:p w14:paraId="2738B4AF" w14:textId="77777777" w:rsidR="00FA4AA8" w:rsidRDefault="00FA4AA8">
      <w:pPr>
        <w:spacing w:line="189" w:lineRule="exact"/>
        <w:rPr>
          <w:sz w:val="18"/>
        </w:rPr>
        <w:sectPr w:rsidR="00FA4AA8">
          <w:type w:val="continuous"/>
          <w:pgSz w:w="11910" w:h="16840"/>
          <w:pgMar w:top="20" w:right="880" w:bottom="0" w:left="840" w:header="720" w:footer="720" w:gutter="0"/>
          <w:cols w:space="720"/>
        </w:sectPr>
      </w:pPr>
    </w:p>
    <w:p w14:paraId="457859F7" w14:textId="77777777" w:rsidR="00FA4AA8" w:rsidRDefault="00FA4AA8">
      <w:pPr>
        <w:pStyle w:val="BodyText"/>
        <w:rPr>
          <w:b/>
          <w:sz w:val="20"/>
        </w:rPr>
      </w:pPr>
    </w:p>
    <w:p w14:paraId="35204201" w14:textId="77777777" w:rsidR="00FA4AA8" w:rsidRDefault="00FA4AA8">
      <w:pPr>
        <w:pStyle w:val="BodyText"/>
        <w:spacing w:before="10"/>
        <w:rPr>
          <w:b/>
          <w:sz w:val="29"/>
        </w:rPr>
      </w:pPr>
    </w:p>
    <w:p w14:paraId="31910212" w14:textId="77777777" w:rsidR="00FA4AA8" w:rsidRDefault="0015611F">
      <w:pPr>
        <w:spacing w:before="94"/>
        <w:ind w:left="167"/>
        <w:rPr>
          <w:b/>
          <w:sz w:val="18"/>
        </w:rPr>
      </w:pPr>
      <w:r>
        <w:rPr>
          <w:b/>
          <w:sz w:val="18"/>
        </w:rPr>
        <w:t>38 Defined Benefits Plans (continued)</w:t>
      </w:r>
    </w:p>
    <w:p w14:paraId="230940FC" w14:textId="77777777" w:rsidR="00FA4AA8" w:rsidRDefault="00FA4AA8">
      <w:pPr>
        <w:pStyle w:val="BodyText"/>
        <w:spacing w:before="7"/>
        <w:rPr>
          <w:b/>
          <w:sz w:val="26"/>
        </w:rPr>
      </w:pPr>
    </w:p>
    <w:p w14:paraId="350ED239" w14:textId="77777777" w:rsidR="00FA4AA8" w:rsidRDefault="0015611F">
      <w:pPr>
        <w:ind w:left="564"/>
        <w:rPr>
          <w:i/>
          <w:sz w:val="18"/>
        </w:rPr>
      </w:pPr>
      <w:r>
        <w:rPr>
          <w:i/>
          <w:sz w:val="18"/>
          <w:u w:val="single"/>
        </w:rPr>
        <w:t>Accounting Policy</w:t>
      </w:r>
    </w:p>
    <w:p w14:paraId="14A3A3E9" w14:textId="77777777" w:rsidR="00FA4AA8" w:rsidRDefault="00FA4AA8">
      <w:pPr>
        <w:pStyle w:val="BodyText"/>
        <w:spacing w:before="3"/>
        <w:rPr>
          <w:i/>
          <w:sz w:val="17"/>
        </w:rPr>
      </w:pPr>
    </w:p>
    <w:p w14:paraId="64D3D4E5" w14:textId="77777777" w:rsidR="00FA4AA8" w:rsidRDefault="0015611F">
      <w:pPr>
        <w:spacing w:before="94"/>
        <w:ind w:left="564"/>
        <w:rPr>
          <w:b/>
          <w:sz w:val="18"/>
        </w:rPr>
      </w:pPr>
      <w:r>
        <w:rPr>
          <w:b/>
          <w:sz w:val="18"/>
        </w:rPr>
        <w:t>Defined Benefit Plans</w:t>
      </w:r>
    </w:p>
    <w:p w14:paraId="2D9B3853" w14:textId="77777777" w:rsidR="00FA4AA8" w:rsidRDefault="00FA4AA8">
      <w:pPr>
        <w:pStyle w:val="BodyText"/>
        <w:rPr>
          <w:b/>
          <w:sz w:val="25"/>
        </w:rPr>
      </w:pPr>
    </w:p>
    <w:p w14:paraId="36CC878B" w14:textId="77777777" w:rsidR="00FA4AA8" w:rsidRDefault="0015611F">
      <w:pPr>
        <w:pStyle w:val="BodyText"/>
        <w:ind w:left="563" w:right="185"/>
      </w:pPr>
      <w:r>
        <w:t>A liability or asset in respect of defined benefit superannuation plans is recognised in the statement of financial position, and is measured as the present value of the defined benefit obligation at the reporting date less the fair value of the superannuation fund's assets at that date. The present value of the defined benefit obligation is based on expected future payments which arise from membership of the fund to the reporting date, calculated annually by independent actuaries using the projected unit credit method. Consideration is given to expected future wage and salary levels, experience of employee departures and periods of</w:t>
      </w:r>
      <w:r>
        <w:rPr>
          <w:spacing w:val="1"/>
        </w:rPr>
        <w:t xml:space="preserve"> </w:t>
      </w:r>
      <w:r>
        <w:t>service.</w:t>
      </w:r>
    </w:p>
    <w:p w14:paraId="5F78AC99" w14:textId="77777777" w:rsidR="00FA4AA8" w:rsidRDefault="00FA4AA8">
      <w:pPr>
        <w:pStyle w:val="BodyText"/>
        <w:spacing w:before="8"/>
        <w:rPr>
          <w:sz w:val="24"/>
        </w:rPr>
      </w:pPr>
    </w:p>
    <w:p w14:paraId="33823FE7" w14:textId="77777777" w:rsidR="00FA4AA8" w:rsidRDefault="0015611F">
      <w:pPr>
        <w:pStyle w:val="BodyText"/>
        <w:spacing w:before="1"/>
        <w:ind w:left="563"/>
      </w:pPr>
      <w:r>
        <w:t>Expected future payments are discounted using market yields at the reporting date on national government bonds with terms to maturity and currency that match, as closely as possible, the estimated future cash outflows.</w:t>
      </w:r>
    </w:p>
    <w:p w14:paraId="26DA3DFD" w14:textId="77777777" w:rsidR="00FA4AA8" w:rsidRDefault="00FA4AA8">
      <w:pPr>
        <w:pStyle w:val="BodyText"/>
        <w:spacing w:before="10"/>
        <w:rPr>
          <w:sz w:val="24"/>
        </w:rPr>
      </w:pPr>
    </w:p>
    <w:p w14:paraId="1D88C7D0" w14:textId="77777777" w:rsidR="00FA4AA8" w:rsidRDefault="0015611F">
      <w:pPr>
        <w:pStyle w:val="BodyText"/>
        <w:spacing w:before="1"/>
        <w:ind w:left="563"/>
      </w:pPr>
      <w:r>
        <w:t>Remeasurement gains and losses arising from experience adjustments and changes in actuarial assumptions are recognised in the period in which they occur, directly in other comprehensive income. They are included in retained earnings in the statement of changes in equity and in the statement of financial position.</w:t>
      </w:r>
    </w:p>
    <w:p w14:paraId="2366332E" w14:textId="77777777" w:rsidR="00FA4AA8" w:rsidRDefault="00FA4AA8">
      <w:pPr>
        <w:pStyle w:val="BodyText"/>
        <w:spacing w:before="10"/>
        <w:rPr>
          <w:sz w:val="24"/>
        </w:rPr>
      </w:pPr>
    </w:p>
    <w:p w14:paraId="22C64387" w14:textId="77777777" w:rsidR="00FA4AA8" w:rsidRDefault="0015611F">
      <w:pPr>
        <w:pStyle w:val="BodyText"/>
        <w:ind w:left="563"/>
      </w:pPr>
      <w:r>
        <w:t>Past service costs are recognised in profit or loss immediately.</w:t>
      </w:r>
    </w:p>
    <w:p w14:paraId="2B196763" w14:textId="77777777" w:rsidR="00FA4AA8" w:rsidRDefault="00FA4AA8">
      <w:pPr>
        <w:pStyle w:val="BodyText"/>
        <w:rPr>
          <w:sz w:val="25"/>
        </w:rPr>
      </w:pPr>
    </w:p>
    <w:p w14:paraId="08A01689" w14:textId="77777777" w:rsidR="00FA4AA8" w:rsidRDefault="0015611F">
      <w:pPr>
        <w:ind w:left="563"/>
        <w:rPr>
          <w:b/>
          <w:sz w:val="18"/>
        </w:rPr>
      </w:pPr>
      <w:r>
        <w:rPr>
          <w:b/>
          <w:sz w:val="18"/>
        </w:rPr>
        <w:t>Deferred government benefit for superannuation</w:t>
      </w:r>
    </w:p>
    <w:p w14:paraId="008D49E2" w14:textId="77777777" w:rsidR="00FA4AA8" w:rsidRDefault="00FA4AA8">
      <w:pPr>
        <w:pStyle w:val="BodyText"/>
        <w:spacing w:before="11"/>
        <w:rPr>
          <w:b/>
          <w:sz w:val="24"/>
        </w:rPr>
      </w:pPr>
    </w:p>
    <w:p w14:paraId="47581AD9" w14:textId="77777777" w:rsidR="00FA4AA8" w:rsidRDefault="0015611F">
      <w:pPr>
        <w:pStyle w:val="BodyText"/>
        <w:ind w:left="563" w:right="132"/>
      </w:pPr>
      <w:r>
        <w:t>In accordance with the 1998 instructions issued by the Department of Education, Training and Youth Affairs (DETYA) now known as the Department of Education and Training (Education), the effects of the unfunded superannuation liabilities of Western Sydney University and its controlled entities were recorded in the income statement and the statement of financial position for the first time in 1998. The prior years' practice had been to disclose liabilities by way of a note to the financial statements.</w:t>
      </w:r>
    </w:p>
    <w:p w14:paraId="1A0AD612" w14:textId="77777777" w:rsidR="00FA4AA8" w:rsidRDefault="00FA4AA8">
      <w:pPr>
        <w:pStyle w:val="BodyText"/>
        <w:spacing w:before="9"/>
        <w:rPr>
          <w:sz w:val="24"/>
        </w:rPr>
      </w:pPr>
    </w:p>
    <w:p w14:paraId="2CC32A4F" w14:textId="77777777" w:rsidR="00FA4AA8" w:rsidRDefault="0015611F">
      <w:pPr>
        <w:pStyle w:val="BodyText"/>
        <w:ind w:left="563" w:right="132"/>
      </w:pPr>
      <w:r>
        <w:t>The unfunded liabilities recorded in the statement of financial position under Provisions have been determined by Mercer Human Resource Consulting Ltd and relate to the State Superannuation Scheme, the State Authorities Superannuation Scheme and the State Authorities Non Contributory Scheme. This assessment was based on the full requirements of AASB 119.</w:t>
      </w:r>
    </w:p>
    <w:p w14:paraId="563AF443" w14:textId="77777777" w:rsidR="00FA4AA8" w:rsidRDefault="00FA4AA8">
      <w:pPr>
        <w:pStyle w:val="BodyText"/>
        <w:spacing w:before="10"/>
        <w:rPr>
          <w:sz w:val="24"/>
        </w:rPr>
      </w:pPr>
    </w:p>
    <w:p w14:paraId="2EB986D5" w14:textId="77777777" w:rsidR="00FA4AA8" w:rsidRDefault="0015611F">
      <w:pPr>
        <w:pStyle w:val="BodyText"/>
        <w:ind w:left="563" w:right="132"/>
      </w:pPr>
      <w:r>
        <w:t>Deferred government benefits for superannuation are the amounts recognised as reimbursement rights as they are the amounts expected to be received from the Australian Government for the emerging costs of the superannuation funds for the life of the liability.</w:t>
      </w:r>
    </w:p>
    <w:p w14:paraId="1E7660B7" w14:textId="77777777" w:rsidR="00FA4AA8" w:rsidRDefault="00FA4AA8">
      <w:pPr>
        <w:sectPr w:rsidR="00FA4AA8">
          <w:pgSz w:w="11910" w:h="16840"/>
          <w:pgMar w:top="2220" w:right="880" w:bottom="720" w:left="840" w:header="1016" w:footer="523" w:gutter="0"/>
          <w:cols w:space="720"/>
        </w:sectPr>
      </w:pPr>
    </w:p>
    <w:p w14:paraId="3E68FCF6" w14:textId="77777777" w:rsidR="00FA4AA8" w:rsidRDefault="00FA4AA8">
      <w:pPr>
        <w:pStyle w:val="BodyText"/>
        <w:rPr>
          <w:sz w:val="20"/>
        </w:rPr>
      </w:pPr>
    </w:p>
    <w:p w14:paraId="5CBD30D9" w14:textId="77777777" w:rsidR="00FA4AA8" w:rsidRDefault="00FA4AA8">
      <w:pPr>
        <w:pStyle w:val="BodyText"/>
        <w:spacing w:before="10"/>
        <w:rPr>
          <w:sz w:val="29"/>
        </w:rPr>
      </w:pPr>
    </w:p>
    <w:p w14:paraId="6107D99C" w14:textId="77777777" w:rsidR="00FA4AA8" w:rsidRDefault="0015611F">
      <w:pPr>
        <w:spacing w:before="94"/>
        <w:ind w:left="167"/>
        <w:rPr>
          <w:b/>
          <w:sz w:val="18"/>
        </w:rPr>
      </w:pPr>
      <w:bookmarkStart w:id="95" w:name="(b)_Categories_of_plan_assets"/>
      <w:bookmarkEnd w:id="95"/>
      <w:r>
        <w:rPr>
          <w:b/>
          <w:sz w:val="18"/>
        </w:rPr>
        <w:t>38 Defined Benefits Plans (continued)</w:t>
      </w:r>
    </w:p>
    <w:p w14:paraId="05341B47" w14:textId="77777777" w:rsidR="00FA4AA8" w:rsidRDefault="00FA4AA8">
      <w:pPr>
        <w:pStyle w:val="BodyText"/>
        <w:spacing w:before="7"/>
        <w:rPr>
          <w:b/>
          <w:sz w:val="26"/>
        </w:rPr>
      </w:pPr>
    </w:p>
    <w:p w14:paraId="3B0731F5" w14:textId="77777777" w:rsidR="00FA4AA8" w:rsidRDefault="0015611F">
      <w:pPr>
        <w:pStyle w:val="ListParagraph"/>
        <w:numPr>
          <w:ilvl w:val="0"/>
          <w:numId w:val="73"/>
        </w:numPr>
        <w:tabs>
          <w:tab w:val="left" w:pos="564"/>
        </w:tabs>
        <w:ind w:hanging="397"/>
        <w:rPr>
          <w:b/>
          <w:sz w:val="18"/>
        </w:rPr>
      </w:pPr>
      <w:r>
        <w:rPr>
          <w:b/>
          <w:sz w:val="18"/>
        </w:rPr>
        <w:t>Categories of plan assets</w:t>
      </w:r>
    </w:p>
    <w:p w14:paraId="1E146291" w14:textId="77777777" w:rsidR="00FA4AA8" w:rsidRDefault="00FA4AA8">
      <w:pPr>
        <w:pStyle w:val="BodyText"/>
        <w:spacing w:before="5"/>
        <w:rPr>
          <w:b/>
          <w:sz w:val="25"/>
        </w:rPr>
      </w:pPr>
    </w:p>
    <w:p w14:paraId="0F1610FF" w14:textId="77777777" w:rsidR="00FA4AA8" w:rsidRDefault="0015611F">
      <w:pPr>
        <w:pStyle w:val="BodyText"/>
        <w:ind w:left="564"/>
      </w:pPr>
      <w:r>
        <w:t>The analysis of the plan assets at the end of the reporting period is as follows:</w:t>
      </w:r>
    </w:p>
    <w:p w14:paraId="5C96C294" w14:textId="77777777" w:rsidR="00FA4AA8" w:rsidRDefault="00FA4AA8">
      <w:pPr>
        <w:pStyle w:val="BodyText"/>
        <w:rPr>
          <w:sz w:val="20"/>
        </w:rPr>
      </w:pPr>
    </w:p>
    <w:p w14:paraId="1EB38D98" w14:textId="77777777" w:rsidR="00FA4AA8" w:rsidRDefault="00FA4AA8">
      <w:pPr>
        <w:pStyle w:val="BodyText"/>
        <w:spacing w:before="4" w:after="1"/>
        <w:rPr>
          <w:sz w:val="26"/>
        </w:rPr>
      </w:pPr>
    </w:p>
    <w:tbl>
      <w:tblPr>
        <w:tblW w:w="0" w:type="auto"/>
        <w:tblInd w:w="564" w:type="dxa"/>
        <w:tblLayout w:type="fixed"/>
        <w:tblCellMar>
          <w:left w:w="0" w:type="dxa"/>
          <w:right w:w="0" w:type="dxa"/>
        </w:tblCellMar>
        <w:tblLook w:val="01E0" w:firstRow="1" w:lastRow="1" w:firstColumn="1" w:lastColumn="1" w:noHBand="0" w:noVBand="0"/>
      </w:tblPr>
      <w:tblGrid>
        <w:gridCol w:w="4336"/>
        <w:gridCol w:w="1465"/>
        <w:gridCol w:w="815"/>
        <w:gridCol w:w="309"/>
        <w:gridCol w:w="1467"/>
        <w:gridCol w:w="926"/>
        <w:gridCol w:w="207"/>
      </w:tblGrid>
      <w:tr w:rsidR="00FA4AA8" w14:paraId="4EFC9688" w14:textId="77777777">
        <w:trPr>
          <w:trHeight w:val="474"/>
        </w:trPr>
        <w:tc>
          <w:tcPr>
            <w:tcW w:w="6925" w:type="dxa"/>
            <w:gridSpan w:val="4"/>
          </w:tcPr>
          <w:p w14:paraId="694BD449" w14:textId="77777777" w:rsidR="00FA4AA8" w:rsidRDefault="0015611F">
            <w:pPr>
              <w:pStyle w:val="TableParagraph"/>
              <w:spacing w:line="201" w:lineRule="exact"/>
              <w:ind w:left="5291"/>
              <w:rPr>
                <w:b/>
                <w:sz w:val="18"/>
              </w:rPr>
            </w:pPr>
            <w:r>
              <w:rPr>
                <w:b/>
                <w:sz w:val="18"/>
              </w:rPr>
              <w:t>2018 (%)</w:t>
            </w:r>
          </w:p>
          <w:p w14:paraId="1D1BED15" w14:textId="77777777" w:rsidR="00FA4AA8" w:rsidRDefault="0015611F">
            <w:pPr>
              <w:pStyle w:val="TableParagraph"/>
              <w:spacing w:before="66" w:line="187" w:lineRule="exact"/>
              <w:ind w:left="5889"/>
              <w:rPr>
                <w:b/>
                <w:sz w:val="18"/>
              </w:rPr>
            </w:pPr>
            <w:r>
              <w:rPr>
                <w:b/>
                <w:sz w:val="18"/>
              </w:rPr>
              <w:t>No Active</w:t>
            </w:r>
          </w:p>
        </w:tc>
        <w:tc>
          <w:tcPr>
            <w:tcW w:w="2600" w:type="dxa"/>
            <w:gridSpan w:val="3"/>
          </w:tcPr>
          <w:p w14:paraId="5362FC12" w14:textId="77777777" w:rsidR="00FA4AA8" w:rsidRDefault="0015611F">
            <w:pPr>
              <w:pStyle w:val="TableParagraph"/>
              <w:spacing w:line="201" w:lineRule="exact"/>
              <w:ind w:left="239" w:right="195"/>
              <w:jc w:val="center"/>
              <w:rPr>
                <w:b/>
                <w:sz w:val="18"/>
              </w:rPr>
            </w:pPr>
            <w:r>
              <w:rPr>
                <w:b/>
                <w:sz w:val="18"/>
              </w:rPr>
              <w:t>2017 (%)</w:t>
            </w:r>
          </w:p>
          <w:p w14:paraId="176D1648" w14:textId="77777777" w:rsidR="00FA4AA8" w:rsidRDefault="0015611F">
            <w:pPr>
              <w:pStyle w:val="TableParagraph"/>
              <w:spacing w:before="66" w:line="187" w:lineRule="exact"/>
              <w:ind w:left="1534" w:right="195"/>
              <w:jc w:val="center"/>
              <w:rPr>
                <w:b/>
                <w:sz w:val="18"/>
              </w:rPr>
            </w:pPr>
            <w:r>
              <w:rPr>
                <w:b/>
                <w:sz w:val="18"/>
              </w:rPr>
              <w:t>No Active</w:t>
            </w:r>
          </w:p>
        </w:tc>
      </w:tr>
      <w:tr w:rsidR="00FA4AA8" w14:paraId="5503E09E" w14:textId="77777777">
        <w:trPr>
          <w:trHeight w:val="240"/>
        </w:trPr>
        <w:tc>
          <w:tcPr>
            <w:tcW w:w="4336" w:type="dxa"/>
          </w:tcPr>
          <w:p w14:paraId="4B27B918" w14:textId="77777777" w:rsidR="00FA4AA8" w:rsidRDefault="00FA4AA8">
            <w:pPr>
              <w:pStyle w:val="TableParagraph"/>
              <w:rPr>
                <w:rFonts w:ascii="Times New Roman"/>
                <w:sz w:val="16"/>
              </w:rPr>
            </w:pPr>
          </w:p>
        </w:tc>
        <w:tc>
          <w:tcPr>
            <w:tcW w:w="1465" w:type="dxa"/>
          </w:tcPr>
          <w:p w14:paraId="4DF4B7D1" w14:textId="77777777" w:rsidR="00FA4AA8" w:rsidRDefault="0015611F">
            <w:pPr>
              <w:pStyle w:val="TableParagraph"/>
              <w:spacing w:line="201" w:lineRule="exact"/>
              <w:ind w:right="207"/>
              <w:jc w:val="right"/>
              <w:rPr>
                <w:b/>
                <w:sz w:val="18"/>
              </w:rPr>
            </w:pPr>
            <w:r>
              <w:rPr>
                <w:b/>
                <w:sz w:val="18"/>
              </w:rPr>
              <w:t>Active Market</w:t>
            </w:r>
          </w:p>
        </w:tc>
        <w:tc>
          <w:tcPr>
            <w:tcW w:w="815" w:type="dxa"/>
          </w:tcPr>
          <w:p w14:paraId="403CAE8F" w14:textId="77777777" w:rsidR="00FA4AA8" w:rsidRDefault="0015611F">
            <w:pPr>
              <w:pStyle w:val="TableParagraph"/>
              <w:spacing w:line="201" w:lineRule="exact"/>
              <w:ind w:left="210"/>
              <w:rPr>
                <w:b/>
                <w:sz w:val="18"/>
              </w:rPr>
            </w:pPr>
            <w:r>
              <w:rPr>
                <w:b/>
                <w:sz w:val="18"/>
              </w:rPr>
              <w:t>Market</w:t>
            </w:r>
          </w:p>
        </w:tc>
        <w:tc>
          <w:tcPr>
            <w:tcW w:w="309" w:type="dxa"/>
          </w:tcPr>
          <w:p w14:paraId="7301716C" w14:textId="77777777" w:rsidR="00FA4AA8" w:rsidRDefault="00FA4AA8">
            <w:pPr>
              <w:pStyle w:val="TableParagraph"/>
              <w:rPr>
                <w:rFonts w:ascii="Times New Roman"/>
                <w:sz w:val="16"/>
              </w:rPr>
            </w:pPr>
          </w:p>
        </w:tc>
        <w:tc>
          <w:tcPr>
            <w:tcW w:w="1467" w:type="dxa"/>
          </w:tcPr>
          <w:p w14:paraId="19693565" w14:textId="77777777" w:rsidR="00FA4AA8" w:rsidRDefault="0015611F">
            <w:pPr>
              <w:pStyle w:val="TableParagraph"/>
              <w:spacing w:line="201" w:lineRule="exact"/>
              <w:ind w:right="206"/>
              <w:jc w:val="right"/>
              <w:rPr>
                <w:b/>
                <w:sz w:val="18"/>
              </w:rPr>
            </w:pPr>
            <w:r>
              <w:rPr>
                <w:b/>
                <w:sz w:val="18"/>
              </w:rPr>
              <w:t>Active Market</w:t>
            </w:r>
          </w:p>
        </w:tc>
        <w:tc>
          <w:tcPr>
            <w:tcW w:w="926" w:type="dxa"/>
          </w:tcPr>
          <w:p w14:paraId="74323297" w14:textId="77777777" w:rsidR="00FA4AA8" w:rsidRDefault="0015611F">
            <w:pPr>
              <w:pStyle w:val="TableParagraph"/>
              <w:spacing w:line="201" w:lineRule="exact"/>
              <w:ind w:left="211"/>
              <w:rPr>
                <w:b/>
                <w:sz w:val="18"/>
              </w:rPr>
            </w:pPr>
            <w:r>
              <w:rPr>
                <w:b/>
                <w:sz w:val="18"/>
              </w:rPr>
              <w:t>Market</w:t>
            </w:r>
          </w:p>
        </w:tc>
        <w:tc>
          <w:tcPr>
            <w:tcW w:w="207" w:type="dxa"/>
          </w:tcPr>
          <w:p w14:paraId="44CBAEF6" w14:textId="77777777" w:rsidR="00FA4AA8" w:rsidRDefault="00FA4AA8">
            <w:pPr>
              <w:pStyle w:val="TableParagraph"/>
              <w:rPr>
                <w:rFonts w:ascii="Times New Roman"/>
                <w:sz w:val="16"/>
              </w:rPr>
            </w:pPr>
          </w:p>
        </w:tc>
      </w:tr>
      <w:tr w:rsidR="00FA4AA8" w14:paraId="77AAB080" w14:textId="77777777">
        <w:trPr>
          <w:trHeight w:val="267"/>
        </w:trPr>
        <w:tc>
          <w:tcPr>
            <w:tcW w:w="4336" w:type="dxa"/>
          </w:tcPr>
          <w:p w14:paraId="10CCF1A8" w14:textId="77777777" w:rsidR="00FA4AA8" w:rsidRDefault="0015611F">
            <w:pPr>
              <w:pStyle w:val="TableParagraph"/>
              <w:spacing w:before="30"/>
              <w:ind w:left="50"/>
              <w:rPr>
                <w:sz w:val="18"/>
              </w:rPr>
            </w:pPr>
            <w:r>
              <w:rPr>
                <w:sz w:val="18"/>
              </w:rPr>
              <w:t>Equity instruments</w:t>
            </w:r>
          </w:p>
        </w:tc>
        <w:tc>
          <w:tcPr>
            <w:tcW w:w="1465" w:type="dxa"/>
          </w:tcPr>
          <w:p w14:paraId="215F6EDC" w14:textId="77777777" w:rsidR="00FA4AA8" w:rsidRDefault="0015611F">
            <w:pPr>
              <w:pStyle w:val="TableParagraph"/>
              <w:spacing w:before="28"/>
              <w:ind w:right="255"/>
              <w:jc w:val="right"/>
              <w:rPr>
                <w:b/>
                <w:sz w:val="18"/>
              </w:rPr>
            </w:pPr>
            <w:r>
              <w:rPr>
                <w:b/>
                <w:sz w:val="18"/>
              </w:rPr>
              <w:t>64</w:t>
            </w:r>
          </w:p>
        </w:tc>
        <w:tc>
          <w:tcPr>
            <w:tcW w:w="815" w:type="dxa"/>
          </w:tcPr>
          <w:p w14:paraId="652CA392" w14:textId="77777777" w:rsidR="00FA4AA8" w:rsidRDefault="00FA4AA8">
            <w:pPr>
              <w:pStyle w:val="TableParagraph"/>
              <w:rPr>
                <w:rFonts w:ascii="Times New Roman"/>
                <w:sz w:val="18"/>
              </w:rPr>
            </w:pPr>
          </w:p>
        </w:tc>
        <w:tc>
          <w:tcPr>
            <w:tcW w:w="309" w:type="dxa"/>
          </w:tcPr>
          <w:p w14:paraId="7C8BF3F9" w14:textId="77777777" w:rsidR="00FA4AA8" w:rsidRDefault="0015611F">
            <w:pPr>
              <w:pStyle w:val="TableParagraph"/>
              <w:spacing w:before="28"/>
              <w:ind w:right="83"/>
              <w:jc w:val="right"/>
              <w:rPr>
                <w:b/>
                <w:sz w:val="18"/>
              </w:rPr>
            </w:pPr>
            <w:r>
              <w:rPr>
                <w:b/>
                <w:sz w:val="18"/>
              </w:rPr>
              <w:t>-</w:t>
            </w:r>
          </w:p>
        </w:tc>
        <w:tc>
          <w:tcPr>
            <w:tcW w:w="1467" w:type="dxa"/>
          </w:tcPr>
          <w:p w14:paraId="201B92CB" w14:textId="77777777" w:rsidR="00FA4AA8" w:rsidRDefault="0015611F">
            <w:pPr>
              <w:pStyle w:val="TableParagraph"/>
              <w:spacing w:before="28"/>
              <w:ind w:right="254"/>
              <w:jc w:val="right"/>
              <w:rPr>
                <w:sz w:val="18"/>
              </w:rPr>
            </w:pPr>
            <w:r>
              <w:rPr>
                <w:sz w:val="18"/>
              </w:rPr>
              <w:t>72</w:t>
            </w:r>
          </w:p>
        </w:tc>
        <w:tc>
          <w:tcPr>
            <w:tcW w:w="926" w:type="dxa"/>
          </w:tcPr>
          <w:p w14:paraId="5CDB289F" w14:textId="77777777" w:rsidR="00FA4AA8" w:rsidRDefault="00FA4AA8">
            <w:pPr>
              <w:pStyle w:val="TableParagraph"/>
              <w:rPr>
                <w:rFonts w:ascii="Times New Roman"/>
                <w:sz w:val="18"/>
              </w:rPr>
            </w:pPr>
          </w:p>
        </w:tc>
        <w:tc>
          <w:tcPr>
            <w:tcW w:w="207" w:type="dxa"/>
          </w:tcPr>
          <w:p w14:paraId="5EB24269" w14:textId="77777777" w:rsidR="00FA4AA8" w:rsidRDefault="0015611F">
            <w:pPr>
              <w:pStyle w:val="TableParagraph"/>
              <w:spacing w:before="28"/>
              <w:ind w:left="53"/>
              <w:rPr>
                <w:sz w:val="18"/>
              </w:rPr>
            </w:pPr>
            <w:r>
              <w:rPr>
                <w:sz w:val="18"/>
              </w:rPr>
              <w:t>-</w:t>
            </w:r>
          </w:p>
        </w:tc>
      </w:tr>
      <w:tr w:rsidR="00FA4AA8" w14:paraId="61FACF70" w14:textId="77777777">
        <w:trPr>
          <w:trHeight w:val="264"/>
        </w:trPr>
        <w:tc>
          <w:tcPr>
            <w:tcW w:w="4336" w:type="dxa"/>
          </w:tcPr>
          <w:p w14:paraId="6A421017" w14:textId="77777777" w:rsidR="00FA4AA8" w:rsidRDefault="0015611F">
            <w:pPr>
              <w:pStyle w:val="TableParagraph"/>
              <w:spacing w:before="26"/>
              <w:ind w:left="50"/>
              <w:rPr>
                <w:sz w:val="18"/>
              </w:rPr>
            </w:pPr>
            <w:r>
              <w:rPr>
                <w:sz w:val="18"/>
              </w:rPr>
              <w:t>Property</w:t>
            </w:r>
          </w:p>
        </w:tc>
        <w:tc>
          <w:tcPr>
            <w:tcW w:w="1465" w:type="dxa"/>
          </w:tcPr>
          <w:p w14:paraId="03702A49" w14:textId="77777777" w:rsidR="00FA4AA8" w:rsidRDefault="0015611F">
            <w:pPr>
              <w:pStyle w:val="TableParagraph"/>
              <w:spacing w:before="24"/>
              <w:ind w:right="256"/>
              <w:jc w:val="right"/>
              <w:rPr>
                <w:b/>
                <w:sz w:val="18"/>
              </w:rPr>
            </w:pPr>
            <w:r>
              <w:rPr>
                <w:b/>
                <w:sz w:val="18"/>
              </w:rPr>
              <w:t>4</w:t>
            </w:r>
          </w:p>
        </w:tc>
        <w:tc>
          <w:tcPr>
            <w:tcW w:w="815" w:type="dxa"/>
          </w:tcPr>
          <w:p w14:paraId="0112E387" w14:textId="77777777" w:rsidR="00FA4AA8" w:rsidRDefault="00FA4AA8">
            <w:pPr>
              <w:pStyle w:val="TableParagraph"/>
              <w:rPr>
                <w:rFonts w:ascii="Times New Roman"/>
                <w:sz w:val="18"/>
              </w:rPr>
            </w:pPr>
          </w:p>
        </w:tc>
        <w:tc>
          <w:tcPr>
            <w:tcW w:w="309" w:type="dxa"/>
          </w:tcPr>
          <w:p w14:paraId="4CAF5D93" w14:textId="77777777" w:rsidR="00FA4AA8" w:rsidRDefault="0015611F">
            <w:pPr>
              <w:pStyle w:val="TableParagraph"/>
              <w:spacing w:before="24"/>
              <w:ind w:right="84"/>
              <w:jc w:val="right"/>
              <w:rPr>
                <w:b/>
                <w:sz w:val="18"/>
              </w:rPr>
            </w:pPr>
            <w:r>
              <w:rPr>
                <w:b/>
                <w:sz w:val="18"/>
              </w:rPr>
              <w:t>5</w:t>
            </w:r>
          </w:p>
        </w:tc>
        <w:tc>
          <w:tcPr>
            <w:tcW w:w="1467" w:type="dxa"/>
          </w:tcPr>
          <w:p w14:paraId="7EA5BEB2" w14:textId="77777777" w:rsidR="00FA4AA8" w:rsidRDefault="0015611F">
            <w:pPr>
              <w:pStyle w:val="TableParagraph"/>
              <w:spacing w:before="24"/>
              <w:ind w:right="255"/>
              <w:jc w:val="right"/>
              <w:rPr>
                <w:sz w:val="18"/>
              </w:rPr>
            </w:pPr>
            <w:r>
              <w:rPr>
                <w:sz w:val="18"/>
              </w:rPr>
              <w:t>4</w:t>
            </w:r>
          </w:p>
        </w:tc>
        <w:tc>
          <w:tcPr>
            <w:tcW w:w="926" w:type="dxa"/>
          </w:tcPr>
          <w:p w14:paraId="3791A65B" w14:textId="77777777" w:rsidR="00FA4AA8" w:rsidRDefault="00FA4AA8">
            <w:pPr>
              <w:pStyle w:val="TableParagraph"/>
              <w:rPr>
                <w:rFonts w:ascii="Times New Roman"/>
                <w:sz w:val="18"/>
              </w:rPr>
            </w:pPr>
          </w:p>
        </w:tc>
        <w:tc>
          <w:tcPr>
            <w:tcW w:w="207" w:type="dxa"/>
          </w:tcPr>
          <w:p w14:paraId="69A7B5EA" w14:textId="77777777" w:rsidR="00FA4AA8" w:rsidRDefault="0015611F">
            <w:pPr>
              <w:pStyle w:val="TableParagraph"/>
              <w:spacing w:before="24"/>
              <w:ind w:left="12"/>
              <w:rPr>
                <w:sz w:val="18"/>
              </w:rPr>
            </w:pPr>
            <w:r>
              <w:rPr>
                <w:sz w:val="18"/>
              </w:rPr>
              <w:t>5</w:t>
            </w:r>
          </w:p>
        </w:tc>
      </w:tr>
      <w:tr w:rsidR="00FA4AA8" w14:paraId="477F51F1" w14:textId="77777777">
        <w:trPr>
          <w:trHeight w:val="256"/>
        </w:trPr>
        <w:tc>
          <w:tcPr>
            <w:tcW w:w="4336" w:type="dxa"/>
          </w:tcPr>
          <w:p w14:paraId="6DF4D812" w14:textId="77777777" w:rsidR="00FA4AA8" w:rsidRDefault="0015611F">
            <w:pPr>
              <w:pStyle w:val="TableParagraph"/>
              <w:spacing w:before="26"/>
              <w:ind w:left="50"/>
              <w:rPr>
                <w:sz w:val="18"/>
              </w:rPr>
            </w:pPr>
            <w:r>
              <w:rPr>
                <w:sz w:val="18"/>
              </w:rPr>
              <w:t>Alternatives</w:t>
            </w:r>
          </w:p>
        </w:tc>
        <w:tc>
          <w:tcPr>
            <w:tcW w:w="1465" w:type="dxa"/>
            <w:tcBorders>
              <w:bottom w:val="single" w:sz="8" w:space="0" w:color="000000"/>
            </w:tcBorders>
          </w:tcPr>
          <w:p w14:paraId="65122951" w14:textId="77777777" w:rsidR="00FA4AA8" w:rsidRDefault="0015611F">
            <w:pPr>
              <w:pStyle w:val="TableParagraph"/>
              <w:spacing w:before="24"/>
              <w:ind w:right="255"/>
              <w:jc w:val="right"/>
              <w:rPr>
                <w:b/>
                <w:sz w:val="18"/>
              </w:rPr>
            </w:pPr>
            <w:r>
              <w:rPr>
                <w:b/>
                <w:sz w:val="18"/>
              </w:rPr>
              <w:t>17</w:t>
            </w:r>
          </w:p>
        </w:tc>
        <w:tc>
          <w:tcPr>
            <w:tcW w:w="815" w:type="dxa"/>
            <w:tcBorders>
              <w:bottom w:val="single" w:sz="8" w:space="0" w:color="000000"/>
            </w:tcBorders>
          </w:tcPr>
          <w:p w14:paraId="04C7EF28" w14:textId="77777777" w:rsidR="00FA4AA8" w:rsidRDefault="00FA4AA8">
            <w:pPr>
              <w:pStyle w:val="TableParagraph"/>
              <w:rPr>
                <w:rFonts w:ascii="Times New Roman"/>
                <w:sz w:val="18"/>
              </w:rPr>
            </w:pPr>
          </w:p>
        </w:tc>
        <w:tc>
          <w:tcPr>
            <w:tcW w:w="309" w:type="dxa"/>
            <w:tcBorders>
              <w:bottom w:val="single" w:sz="8" w:space="0" w:color="000000"/>
            </w:tcBorders>
          </w:tcPr>
          <w:p w14:paraId="052E8623" w14:textId="77777777" w:rsidR="00FA4AA8" w:rsidRDefault="0015611F">
            <w:pPr>
              <w:pStyle w:val="TableParagraph"/>
              <w:spacing w:before="24"/>
              <w:ind w:right="83"/>
              <w:jc w:val="right"/>
              <w:rPr>
                <w:b/>
                <w:sz w:val="18"/>
              </w:rPr>
            </w:pPr>
            <w:r>
              <w:rPr>
                <w:b/>
                <w:sz w:val="18"/>
              </w:rPr>
              <w:t>10</w:t>
            </w:r>
          </w:p>
        </w:tc>
        <w:tc>
          <w:tcPr>
            <w:tcW w:w="1467" w:type="dxa"/>
            <w:tcBorders>
              <w:bottom w:val="single" w:sz="8" w:space="0" w:color="000000"/>
            </w:tcBorders>
          </w:tcPr>
          <w:p w14:paraId="64DC8D75" w14:textId="77777777" w:rsidR="00FA4AA8" w:rsidRDefault="0015611F">
            <w:pPr>
              <w:pStyle w:val="TableParagraph"/>
              <w:spacing w:before="24"/>
              <w:ind w:right="254"/>
              <w:jc w:val="right"/>
              <w:rPr>
                <w:sz w:val="18"/>
              </w:rPr>
            </w:pPr>
            <w:r>
              <w:rPr>
                <w:sz w:val="18"/>
              </w:rPr>
              <w:t>10</w:t>
            </w:r>
          </w:p>
        </w:tc>
        <w:tc>
          <w:tcPr>
            <w:tcW w:w="926" w:type="dxa"/>
            <w:tcBorders>
              <w:bottom w:val="single" w:sz="8" w:space="0" w:color="000000"/>
            </w:tcBorders>
          </w:tcPr>
          <w:p w14:paraId="7C2BA9CD" w14:textId="77777777" w:rsidR="00FA4AA8" w:rsidRDefault="00FA4AA8">
            <w:pPr>
              <w:pStyle w:val="TableParagraph"/>
              <w:rPr>
                <w:rFonts w:ascii="Times New Roman"/>
                <w:sz w:val="18"/>
              </w:rPr>
            </w:pPr>
          </w:p>
        </w:tc>
        <w:tc>
          <w:tcPr>
            <w:tcW w:w="207" w:type="dxa"/>
            <w:tcBorders>
              <w:bottom w:val="single" w:sz="8" w:space="0" w:color="000000"/>
            </w:tcBorders>
          </w:tcPr>
          <w:p w14:paraId="321E17AF" w14:textId="77777777" w:rsidR="00FA4AA8" w:rsidRDefault="0015611F">
            <w:pPr>
              <w:pStyle w:val="TableParagraph"/>
              <w:spacing w:before="24"/>
              <w:ind w:left="12"/>
              <w:rPr>
                <w:sz w:val="18"/>
              </w:rPr>
            </w:pPr>
            <w:r>
              <w:rPr>
                <w:sz w:val="18"/>
              </w:rPr>
              <w:t>9</w:t>
            </w:r>
          </w:p>
        </w:tc>
      </w:tr>
      <w:tr w:rsidR="00FA4AA8" w14:paraId="5E0426B1" w14:textId="77777777">
        <w:trPr>
          <w:trHeight w:val="322"/>
        </w:trPr>
        <w:tc>
          <w:tcPr>
            <w:tcW w:w="4336" w:type="dxa"/>
          </w:tcPr>
          <w:p w14:paraId="7A775B52" w14:textId="77777777" w:rsidR="00FA4AA8" w:rsidRDefault="0015611F">
            <w:pPr>
              <w:pStyle w:val="TableParagraph"/>
              <w:spacing w:before="105" w:line="188" w:lineRule="exact"/>
              <w:ind w:left="50"/>
              <w:rPr>
                <w:b/>
                <w:sz w:val="18"/>
              </w:rPr>
            </w:pPr>
            <w:r>
              <w:rPr>
                <w:b/>
                <w:sz w:val="18"/>
              </w:rPr>
              <w:t>Total</w:t>
            </w:r>
          </w:p>
        </w:tc>
        <w:tc>
          <w:tcPr>
            <w:tcW w:w="5189" w:type="dxa"/>
            <w:gridSpan w:val="6"/>
          </w:tcPr>
          <w:p w14:paraId="4FF751A6" w14:textId="77777777" w:rsidR="00FA4AA8" w:rsidRDefault="0015611F">
            <w:pPr>
              <w:pStyle w:val="TableParagraph"/>
              <w:tabs>
                <w:tab w:val="left" w:pos="1005"/>
                <w:tab w:val="left" w:pos="2301"/>
                <w:tab w:val="left" w:pos="3597"/>
                <w:tab w:val="left" w:pos="4893"/>
              </w:tabs>
              <w:spacing w:before="105" w:line="188" w:lineRule="exact"/>
              <w:rPr>
                <w:sz w:val="18"/>
              </w:rPr>
            </w:pPr>
            <w:r>
              <w:rPr>
                <w:rFonts w:ascii="Times New Roman"/>
                <w:sz w:val="18"/>
                <w:u w:val="double"/>
              </w:rPr>
              <w:t xml:space="preserve"> </w:t>
            </w:r>
            <w:r>
              <w:rPr>
                <w:rFonts w:ascii="Times New Roman"/>
                <w:sz w:val="18"/>
                <w:u w:val="double"/>
              </w:rPr>
              <w:tab/>
            </w:r>
            <w:r>
              <w:rPr>
                <w:b/>
                <w:sz w:val="18"/>
                <w:u w:val="single"/>
              </w:rPr>
              <w:t>8</w:t>
            </w:r>
            <w:r>
              <w:rPr>
                <w:b/>
                <w:sz w:val="18"/>
              </w:rPr>
              <w:t>5</w:t>
            </w:r>
            <w:r>
              <w:rPr>
                <w:b/>
                <w:sz w:val="18"/>
              </w:rPr>
              <w:tab/>
            </w:r>
            <w:r>
              <w:rPr>
                <w:b/>
                <w:sz w:val="18"/>
                <w:u w:val="single"/>
              </w:rPr>
              <w:t>1</w:t>
            </w:r>
            <w:r>
              <w:rPr>
                <w:b/>
                <w:sz w:val="18"/>
              </w:rPr>
              <w:t>5</w:t>
            </w:r>
            <w:r>
              <w:rPr>
                <w:b/>
                <w:sz w:val="18"/>
              </w:rPr>
              <w:tab/>
            </w:r>
            <w:r>
              <w:rPr>
                <w:sz w:val="18"/>
                <w:u w:val="single"/>
              </w:rPr>
              <w:t>8</w:t>
            </w:r>
            <w:r>
              <w:rPr>
                <w:sz w:val="18"/>
              </w:rPr>
              <w:t>6</w:t>
            </w:r>
            <w:r>
              <w:rPr>
                <w:sz w:val="18"/>
              </w:rPr>
              <w:tab/>
              <w:t>14</w:t>
            </w:r>
          </w:p>
        </w:tc>
      </w:tr>
    </w:tbl>
    <w:p w14:paraId="604D48E3" w14:textId="77777777" w:rsidR="00FA4AA8" w:rsidRDefault="00FA4AA8">
      <w:pPr>
        <w:pStyle w:val="BodyText"/>
        <w:spacing w:before="10"/>
        <w:rPr>
          <w:sz w:val="20"/>
        </w:rPr>
      </w:pPr>
    </w:p>
    <w:p w14:paraId="0FF21E95" w14:textId="77777777" w:rsidR="00FA4AA8" w:rsidRDefault="0015611F">
      <w:pPr>
        <w:pStyle w:val="BodyText"/>
        <w:spacing w:before="94" w:after="39"/>
        <w:ind w:left="564"/>
      </w:pPr>
      <w:r>
        <w:t>The principal assumptions used for the purposes of the actuarial valuations were as follows (expressed as weighted averages):</w:t>
      </w:r>
    </w:p>
    <w:tbl>
      <w:tblPr>
        <w:tblW w:w="0" w:type="auto"/>
        <w:tblInd w:w="125" w:type="dxa"/>
        <w:tblLayout w:type="fixed"/>
        <w:tblCellMar>
          <w:left w:w="0" w:type="dxa"/>
          <w:right w:w="0" w:type="dxa"/>
        </w:tblCellMar>
        <w:tblLook w:val="01E0" w:firstRow="1" w:lastRow="1" w:firstColumn="1" w:lastColumn="1" w:noHBand="0" w:noVBand="0"/>
      </w:tblPr>
      <w:tblGrid>
        <w:gridCol w:w="359"/>
        <w:gridCol w:w="7373"/>
        <w:gridCol w:w="918"/>
        <w:gridCol w:w="902"/>
      </w:tblGrid>
      <w:tr w:rsidR="00FA4AA8" w14:paraId="7D939EE3" w14:textId="77777777">
        <w:trPr>
          <w:trHeight w:val="508"/>
        </w:trPr>
        <w:tc>
          <w:tcPr>
            <w:tcW w:w="359" w:type="dxa"/>
            <w:vMerge w:val="restart"/>
          </w:tcPr>
          <w:p w14:paraId="568C061B" w14:textId="77777777" w:rsidR="00FA4AA8" w:rsidRDefault="00FA4AA8">
            <w:pPr>
              <w:pStyle w:val="TableParagraph"/>
              <w:rPr>
                <w:rFonts w:ascii="Times New Roman"/>
                <w:sz w:val="18"/>
              </w:rPr>
            </w:pPr>
          </w:p>
        </w:tc>
        <w:tc>
          <w:tcPr>
            <w:tcW w:w="7373" w:type="dxa"/>
          </w:tcPr>
          <w:p w14:paraId="54D31AB1" w14:textId="77777777" w:rsidR="00FA4AA8" w:rsidRDefault="00FA4AA8">
            <w:pPr>
              <w:pStyle w:val="TableParagraph"/>
              <w:rPr>
                <w:rFonts w:ascii="Times New Roman"/>
                <w:sz w:val="18"/>
              </w:rPr>
            </w:pPr>
          </w:p>
        </w:tc>
        <w:tc>
          <w:tcPr>
            <w:tcW w:w="918" w:type="dxa"/>
          </w:tcPr>
          <w:p w14:paraId="41B3CCD2" w14:textId="77777777" w:rsidR="00FA4AA8" w:rsidRDefault="0015611F">
            <w:pPr>
              <w:pStyle w:val="TableParagraph"/>
              <w:spacing w:line="201" w:lineRule="exact"/>
              <w:ind w:left="52" w:right="424"/>
              <w:jc w:val="center"/>
              <w:rPr>
                <w:b/>
                <w:sz w:val="18"/>
              </w:rPr>
            </w:pPr>
            <w:r>
              <w:rPr>
                <w:b/>
                <w:sz w:val="18"/>
              </w:rPr>
              <w:t>2018</w:t>
            </w:r>
          </w:p>
          <w:p w14:paraId="29C569EF" w14:textId="77777777" w:rsidR="00FA4AA8" w:rsidRDefault="0015611F">
            <w:pPr>
              <w:pStyle w:val="TableParagraph"/>
              <w:spacing w:before="66"/>
              <w:ind w:right="366"/>
              <w:jc w:val="center"/>
              <w:rPr>
                <w:b/>
                <w:sz w:val="18"/>
              </w:rPr>
            </w:pPr>
            <w:r>
              <w:rPr>
                <w:b/>
                <w:sz w:val="18"/>
              </w:rPr>
              <w:t>%</w:t>
            </w:r>
          </w:p>
        </w:tc>
        <w:tc>
          <w:tcPr>
            <w:tcW w:w="902" w:type="dxa"/>
          </w:tcPr>
          <w:p w14:paraId="157DC0E8" w14:textId="77777777" w:rsidR="00FA4AA8" w:rsidRDefault="0015611F">
            <w:pPr>
              <w:pStyle w:val="TableParagraph"/>
              <w:spacing w:line="201" w:lineRule="exact"/>
              <w:ind w:left="429" w:right="32"/>
              <w:jc w:val="center"/>
              <w:rPr>
                <w:b/>
                <w:sz w:val="18"/>
              </w:rPr>
            </w:pPr>
            <w:r>
              <w:rPr>
                <w:b/>
                <w:sz w:val="18"/>
              </w:rPr>
              <w:t>2017</w:t>
            </w:r>
          </w:p>
          <w:p w14:paraId="145E37E9" w14:textId="77777777" w:rsidR="00FA4AA8" w:rsidRDefault="0015611F">
            <w:pPr>
              <w:pStyle w:val="TableParagraph"/>
              <w:spacing w:before="66"/>
              <w:ind w:left="403"/>
              <w:jc w:val="center"/>
              <w:rPr>
                <w:b/>
                <w:sz w:val="18"/>
              </w:rPr>
            </w:pPr>
            <w:r>
              <w:rPr>
                <w:b/>
                <w:sz w:val="18"/>
              </w:rPr>
              <w:t>%</w:t>
            </w:r>
          </w:p>
        </w:tc>
      </w:tr>
      <w:tr w:rsidR="00FA4AA8" w14:paraId="3F99AA72" w14:textId="77777777">
        <w:trPr>
          <w:trHeight w:val="267"/>
        </w:trPr>
        <w:tc>
          <w:tcPr>
            <w:tcW w:w="359" w:type="dxa"/>
            <w:vMerge/>
            <w:tcBorders>
              <w:top w:val="nil"/>
            </w:tcBorders>
          </w:tcPr>
          <w:p w14:paraId="234361FA" w14:textId="77777777" w:rsidR="00FA4AA8" w:rsidRDefault="00FA4AA8">
            <w:pPr>
              <w:rPr>
                <w:sz w:val="2"/>
                <w:szCs w:val="2"/>
              </w:rPr>
            </w:pPr>
          </w:p>
        </w:tc>
        <w:tc>
          <w:tcPr>
            <w:tcW w:w="7373" w:type="dxa"/>
          </w:tcPr>
          <w:p w14:paraId="6B1282DE" w14:textId="77777777" w:rsidR="00FA4AA8" w:rsidRDefault="0015611F">
            <w:pPr>
              <w:pStyle w:val="TableParagraph"/>
              <w:spacing w:before="30"/>
              <w:ind w:left="87"/>
              <w:rPr>
                <w:sz w:val="18"/>
              </w:rPr>
            </w:pPr>
            <w:r>
              <w:rPr>
                <w:sz w:val="18"/>
              </w:rPr>
              <w:t>Discount rate(s)</w:t>
            </w:r>
          </w:p>
        </w:tc>
        <w:tc>
          <w:tcPr>
            <w:tcW w:w="918" w:type="dxa"/>
          </w:tcPr>
          <w:p w14:paraId="403370B1" w14:textId="77777777" w:rsidR="00FA4AA8" w:rsidRDefault="0015611F">
            <w:pPr>
              <w:pStyle w:val="TableParagraph"/>
              <w:spacing w:before="28"/>
              <w:ind w:left="65"/>
              <w:rPr>
                <w:b/>
                <w:sz w:val="18"/>
              </w:rPr>
            </w:pPr>
            <w:r>
              <w:rPr>
                <w:b/>
                <w:sz w:val="18"/>
              </w:rPr>
              <w:t>2.33</w:t>
            </w:r>
          </w:p>
        </w:tc>
        <w:tc>
          <w:tcPr>
            <w:tcW w:w="902" w:type="dxa"/>
          </w:tcPr>
          <w:p w14:paraId="1076FB76" w14:textId="77777777" w:rsidR="00FA4AA8" w:rsidRDefault="0015611F">
            <w:pPr>
              <w:pStyle w:val="TableParagraph"/>
              <w:spacing w:before="28"/>
              <w:ind w:right="104"/>
              <w:jc w:val="right"/>
              <w:rPr>
                <w:sz w:val="18"/>
              </w:rPr>
            </w:pPr>
            <w:r>
              <w:rPr>
                <w:sz w:val="18"/>
              </w:rPr>
              <w:t>2.65</w:t>
            </w:r>
          </w:p>
        </w:tc>
      </w:tr>
      <w:tr w:rsidR="00FA4AA8" w14:paraId="64E5B121" w14:textId="77777777">
        <w:trPr>
          <w:trHeight w:val="263"/>
        </w:trPr>
        <w:tc>
          <w:tcPr>
            <w:tcW w:w="359" w:type="dxa"/>
            <w:vMerge/>
            <w:tcBorders>
              <w:top w:val="nil"/>
            </w:tcBorders>
          </w:tcPr>
          <w:p w14:paraId="052CA352" w14:textId="77777777" w:rsidR="00FA4AA8" w:rsidRDefault="00FA4AA8">
            <w:pPr>
              <w:rPr>
                <w:sz w:val="2"/>
                <w:szCs w:val="2"/>
              </w:rPr>
            </w:pPr>
          </w:p>
        </w:tc>
        <w:tc>
          <w:tcPr>
            <w:tcW w:w="7373" w:type="dxa"/>
          </w:tcPr>
          <w:p w14:paraId="1C823458" w14:textId="77777777" w:rsidR="00FA4AA8" w:rsidRDefault="0015611F">
            <w:pPr>
              <w:pStyle w:val="TableParagraph"/>
              <w:spacing w:before="26"/>
              <w:ind w:left="87"/>
              <w:rPr>
                <w:sz w:val="18"/>
              </w:rPr>
            </w:pPr>
            <w:bookmarkStart w:id="96" w:name="(c)_Actuarial_assumptions_and_sensitivit"/>
            <w:bookmarkEnd w:id="96"/>
            <w:r>
              <w:rPr>
                <w:sz w:val="18"/>
              </w:rPr>
              <w:t>Expected rate of plan assets</w:t>
            </w:r>
          </w:p>
        </w:tc>
        <w:tc>
          <w:tcPr>
            <w:tcW w:w="918" w:type="dxa"/>
          </w:tcPr>
          <w:p w14:paraId="4A1EC63F" w14:textId="77777777" w:rsidR="00FA4AA8" w:rsidRDefault="0015611F">
            <w:pPr>
              <w:pStyle w:val="TableParagraph"/>
              <w:spacing w:before="24"/>
              <w:ind w:left="65"/>
              <w:rPr>
                <w:b/>
                <w:sz w:val="18"/>
              </w:rPr>
            </w:pPr>
            <w:r>
              <w:rPr>
                <w:b/>
                <w:sz w:val="18"/>
              </w:rPr>
              <w:t>7.40</w:t>
            </w:r>
          </w:p>
        </w:tc>
        <w:tc>
          <w:tcPr>
            <w:tcW w:w="902" w:type="dxa"/>
          </w:tcPr>
          <w:p w14:paraId="19A83428" w14:textId="77777777" w:rsidR="00FA4AA8" w:rsidRDefault="0015611F">
            <w:pPr>
              <w:pStyle w:val="TableParagraph"/>
              <w:spacing w:before="24"/>
              <w:ind w:right="104"/>
              <w:jc w:val="right"/>
              <w:rPr>
                <w:sz w:val="18"/>
              </w:rPr>
            </w:pPr>
            <w:r>
              <w:rPr>
                <w:sz w:val="18"/>
              </w:rPr>
              <w:t>7.40</w:t>
            </w:r>
          </w:p>
        </w:tc>
      </w:tr>
      <w:tr w:rsidR="00FA4AA8" w14:paraId="380DA8BB" w14:textId="77777777">
        <w:trPr>
          <w:trHeight w:val="264"/>
        </w:trPr>
        <w:tc>
          <w:tcPr>
            <w:tcW w:w="359" w:type="dxa"/>
            <w:vMerge/>
            <w:tcBorders>
              <w:top w:val="nil"/>
            </w:tcBorders>
          </w:tcPr>
          <w:p w14:paraId="5AC92D95" w14:textId="77777777" w:rsidR="00FA4AA8" w:rsidRDefault="00FA4AA8">
            <w:pPr>
              <w:rPr>
                <w:sz w:val="2"/>
                <w:szCs w:val="2"/>
              </w:rPr>
            </w:pPr>
          </w:p>
        </w:tc>
        <w:tc>
          <w:tcPr>
            <w:tcW w:w="7373" w:type="dxa"/>
          </w:tcPr>
          <w:p w14:paraId="72E68ADD" w14:textId="77777777" w:rsidR="00FA4AA8" w:rsidRDefault="0015611F">
            <w:pPr>
              <w:pStyle w:val="TableParagraph"/>
              <w:spacing w:before="26"/>
              <w:ind w:left="87"/>
              <w:rPr>
                <w:sz w:val="18"/>
              </w:rPr>
            </w:pPr>
            <w:r>
              <w:rPr>
                <w:sz w:val="18"/>
              </w:rPr>
              <w:t xml:space="preserve">Expected return on </w:t>
            </w:r>
            <w:r w:rsidR="00733831">
              <w:rPr>
                <w:sz w:val="18"/>
              </w:rPr>
              <w:t>reimbursement</w:t>
            </w:r>
            <w:r>
              <w:rPr>
                <w:sz w:val="18"/>
              </w:rPr>
              <w:t xml:space="preserve"> rights</w:t>
            </w:r>
          </w:p>
        </w:tc>
        <w:tc>
          <w:tcPr>
            <w:tcW w:w="918" w:type="dxa"/>
          </w:tcPr>
          <w:p w14:paraId="116A230B" w14:textId="77777777" w:rsidR="00FA4AA8" w:rsidRDefault="0015611F">
            <w:pPr>
              <w:pStyle w:val="TableParagraph"/>
              <w:spacing w:before="24"/>
              <w:ind w:left="65"/>
              <w:rPr>
                <w:b/>
                <w:sz w:val="18"/>
              </w:rPr>
            </w:pPr>
            <w:r>
              <w:rPr>
                <w:b/>
                <w:sz w:val="18"/>
              </w:rPr>
              <w:t>3.19</w:t>
            </w:r>
          </w:p>
        </w:tc>
        <w:tc>
          <w:tcPr>
            <w:tcW w:w="902" w:type="dxa"/>
          </w:tcPr>
          <w:p w14:paraId="2FCF200F" w14:textId="77777777" w:rsidR="00FA4AA8" w:rsidRDefault="0015611F">
            <w:pPr>
              <w:pStyle w:val="TableParagraph"/>
              <w:spacing w:before="24"/>
              <w:ind w:right="104"/>
              <w:jc w:val="right"/>
              <w:rPr>
                <w:sz w:val="18"/>
              </w:rPr>
            </w:pPr>
            <w:r>
              <w:rPr>
                <w:sz w:val="18"/>
              </w:rPr>
              <w:t>3.16</w:t>
            </w:r>
          </w:p>
        </w:tc>
      </w:tr>
      <w:tr w:rsidR="00FA4AA8" w14:paraId="1029F423" w14:textId="77777777">
        <w:trPr>
          <w:trHeight w:val="263"/>
        </w:trPr>
        <w:tc>
          <w:tcPr>
            <w:tcW w:w="359" w:type="dxa"/>
            <w:vMerge/>
            <w:tcBorders>
              <w:top w:val="nil"/>
            </w:tcBorders>
          </w:tcPr>
          <w:p w14:paraId="7F0EDA22" w14:textId="77777777" w:rsidR="00FA4AA8" w:rsidRDefault="00FA4AA8">
            <w:pPr>
              <w:rPr>
                <w:sz w:val="2"/>
                <w:szCs w:val="2"/>
              </w:rPr>
            </w:pPr>
          </w:p>
        </w:tc>
        <w:tc>
          <w:tcPr>
            <w:tcW w:w="7373" w:type="dxa"/>
          </w:tcPr>
          <w:p w14:paraId="77D34023" w14:textId="77777777" w:rsidR="00FA4AA8" w:rsidRDefault="0015611F">
            <w:pPr>
              <w:pStyle w:val="TableParagraph"/>
              <w:spacing w:before="26"/>
              <w:ind w:left="87"/>
              <w:rPr>
                <w:sz w:val="18"/>
              </w:rPr>
            </w:pPr>
            <w:r>
              <w:rPr>
                <w:sz w:val="18"/>
              </w:rPr>
              <w:t>Expected rate(s) of salary increase</w:t>
            </w:r>
          </w:p>
        </w:tc>
        <w:tc>
          <w:tcPr>
            <w:tcW w:w="918" w:type="dxa"/>
          </w:tcPr>
          <w:p w14:paraId="7E506D3B" w14:textId="77777777" w:rsidR="00FA4AA8" w:rsidRDefault="0015611F">
            <w:pPr>
              <w:pStyle w:val="TableParagraph"/>
              <w:spacing w:before="24"/>
              <w:ind w:left="65"/>
              <w:rPr>
                <w:b/>
                <w:sz w:val="18"/>
              </w:rPr>
            </w:pPr>
            <w:r>
              <w:rPr>
                <w:b/>
                <w:sz w:val="18"/>
              </w:rPr>
              <w:t>2.70</w:t>
            </w:r>
          </w:p>
        </w:tc>
        <w:tc>
          <w:tcPr>
            <w:tcW w:w="902" w:type="dxa"/>
          </w:tcPr>
          <w:p w14:paraId="6E7B6DA3" w14:textId="77777777" w:rsidR="00FA4AA8" w:rsidRDefault="0015611F">
            <w:pPr>
              <w:pStyle w:val="TableParagraph"/>
              <w:spacing w:before="24"/>
              <w:ind w:right="104"/>
              <w:jc w:val="right"/>
              <w:rPr>
                <w:sz w:val="18"/>
              </w:rPr>
            </w:pPr>
            <w:r>
              <w:rPr>
                <w:sz w:val="18"/>
              </w:rPr>
              <w:t>2.50</w:t>
            </w:r>
          </w:p>
        </w:tc>
      </w:tr>
      <w:tr w:rsidR="00FA4AA8" w14:paraId="3DDD8C43" w14:textId="77777777">
        <w:trPr>
          <w:trHeight w:val="403"/>
        </w:trPr>
        <w:tc>
          <w:tcPr>
            <w:tcW w:w="359" w:type="dxa"/>
            <w:vMerge/>
            <w:tcBorders>
              <w:top w:val="nil"/>
            </w:tcBorders>
          </w:tcPr>
          <w:p w14:paraId="3487A82D" w14:textId="77777777" w:rsidR="00FA4AA8" w:rsidRDefault="00FA4AA8">
            <w:pPr>
              <w:rPr>
                <w:sz w:val="2"/>
                <w:szCs w:val="2"/>
              </w:rPr>
            </w:pPr>
          </w:p>
        </w:tc>
        <w:tc>
          <w:tcPr>
            <w:tcW w:w="7373" w:type="dxa"/>
          </w:tcPr>
          <w:p w14:paraId="534B886F" w14:textId="77777777" w:rsidR="00FA4AA8" w:rsidRDefault="0015611F">
            <w:pPr>
              <w:pStyle w:val="TableParagraph"/>
              <w:spacing w:before="26"/>
              <w:ind w:left="87"/>
              <w:rPr>
                <w:sz w:val="18"/>
              </w:rPr>
            </w:pPr>
            <w:r>
              <w:rPr>
                <w:sz w:val="18"/>
              </w:rPr>
              <w:t>Expected rate of CPI increase</w:t>
            </w:r>
          </w:p>
        </w:tc>
        <w:tc>
          <w:tcPr>
            <w:tcW w:w="918" w:type="dxa"/>
          </w:tcPr>
          <w:p w14:paraId="13BDEC1C" w14:textId="77777777" w:rsidR="00FA4AA8" w:rsidRDefault="0015611F">
            <w:pPr>
              <w:pStyle w:val="TableParagraph"/>
              <w:spacing w:before="24"/>
              <w:ind w:left="65"/>
              <w:rPr>
                <w:b/>
                <w:sz w:val="18"/>
              </w:rPr>
            </w:pPr>
            <w:r>
              <w:rPr>
                <w:b/>
                <w:sz w:val="18"/>
              </w:rPr>
              <w:t>2.50</w:t>
            </w:r>
          </w:p>
        </w:tc>
        <w:tc>
          <w:tcPr>
            <w:tcW w:w="902" w:type="dxa"/>
          </w:tcPr>
          <w:p w14:paraId="7817A338" w14:textId="77777777" w:rsidR="00FA4AA8" w:rsidRDefault="0015611F">
            <w:pPr>
              <w:pStyle w:val="TableParagraph"/>
              <w:spacing w:before="24"/>
              <w:ind w:right="104"/>
              <w:jc w:val="right"/>
              <w:rPr>
                <w:sz w:val="18"/>
              </w:rPr>
            </w:pPr>
            <w:r>
              <w:rPr>
                <w:sz w:val="18"/>
              </w:rPr>
              <w:t>2.50</w:t>
            </w:r>
          </w:p>
        </w:tc>
      </w:tr>
      <w:tr w:rsidR="00FA4AA8" w14:paraId="589AFFB8" w14:textId="77777777">
        <w:trPr>
          <w:trHeight w:val="519"/>
        </w:trPr>
        <w:tc>
          <w:tcPr>
            <w:tcW w:w="359" w:type="dxa"/>
          </w:tcPr>
          <w:p w14:paraId="775AB5FC" w14:textId="77777777" w:rsidR="00FA4AA8" w:rsidRDefault="0015611F">
            <w:pPr>
              <w:pStyle w:val="TableParagraph"/>
              <w:spacing w:before="163"/>
              <w:ind w:left="50"/>
              <w:rPr>
                <w:b/>
                <w:sz w:val="18"/>
              </w:rPr>
            </w:pPr>
            <w:r>
              <w:rPr>
                <w:b/>
                <w:sz w:val="18"/>
              </w:rPr>
              <w:t>(c)</w:t>
            </w:r>
          </w:p>
        </w:tc>
        <w:tc>
          <w:tcPr>
            <w:tcW w:w="7373" w:type="dxa"/>
          </w:tcPr>
          <w:p w14:paraId="6E0487F8" w14:textId="77777777" w:rsidR="00FA4AA8" w:rsidRDefault="0015611F">
            <w:pPr>
              <w:pStyle w:val="TableParagraph"/>
              <w:spacing w:before="163"/>
              <w:ind w:left="87"/>
              <w:rPr>
                <w:b/>
                <w:sz w:val="18"/>
              </w:rPr>
            </w:pPr>
            <w:r>
              <w:rPr>
                <w:b/>
                <w:sz w:val="18"/>
              </w:rPr>
              <w:t>Actuarial assumptions and sensitivity</w:t>
            </w:r>
          </w:p>
        </w:tc>
        <w:tc>
          <w:tcPr>
            <w:tcW w:w="918" w:type="dxa"/>
          </w:tcPr>
          <w:p w14:paraId="3EE12603" w14:textId="77777777" w:rsidR="00FA4AA8" w:rsidRDefault="00FA4AA8">
            <w:pPr>
              <w:pStyle w:val="TableParagraph"/>
              <w:rPr>
                <w:rFonts w:ascii="Times New Roman"/>
                <w:sz w:val="18"/>
              </w:rPr>
            </w:pPr>
          </w:p>
        </w:tc>
        <w:tc>
          <w:tcPr>
            <w:tcW w:w="902" w:type="dxa"/>
          </w:tcPr>
          <w:p w14:paraId="5E7C10BD" w14:textId="77777777" w:rsidR="00FA4AA8" w:rsidRDefault="00FA4AA8">
            <w:pPr>
              <w:pStyle w:val="TableParagraph"/>
              <w:rPr>
                <w:rFonts w:ascii="Times New Roman"/>
                <w:sz w:val="18"/>
              </w:rPr>
            </w:pPr>
          </w:p>
        </w:tc>
      </w:tr>
      <w:tr w:rsidR="00FA4AA8" w14:paraId="7E72F47A" w14:textId="77777777">
        <w:trPr>
          <w:trHeight w:val="350"/>
        </w:trPr>
        <w:tc>
          <w:tcPr>
            <w:tcW w:w="359" w:type="dxa"/>
          </w:tcPr>
          <w:p w14:paraId="4D51269C" w14:textId="77777777" w:rsidR="00FA4AA8" w:rsidRDefault="00FA4AA8">
            <w:pPr>
              <w:pStyle w:val="TableParagraph"/>
              <w:rPr>
                <w:rFonts w:ascii="Times New Roman"/>
                <w:sz w:val="18"/>
              </w:rPr>
            </w:pPr>
          </w:p>
        </w:tc>
        <w:tc>
          <w:tcPr>
            <w:tcW w:w="7373" w:type="dxa"/>
          </w:tcPr>
          <w:p w14:paraId="3D4316AC" w14:textId="77777777" w:rsidR="00FA4AA8" w:rsidRDefault="0015611F">
            <w:pPr>
              <w:pStyle w:val="TableParagraph"/>
              <w:spacing w:before="143" w:line="187" w:lineRule="exact"/>
              <w:ind w:left="87"/>
              <w:rPr>
                <w:sz w:val="18"/>
              </w:rPr>
            </w:pPr>
            <w:r>
              <w:rPr>
                <w:sz w:val="18"/>
              </w:rPr>
              <w:t>The sensitivity of the defined benefit obligation to change in the significant assumptions is:</w:t>
            </w:r>
          </w:p>
        </w:tc>
        <w:tc>
          <w:tcPr>
            <w:tcW w:w="918" w:type="dxa"/>
          </w:tcPr>
          <w:p w14:paraId="51C9A2D1" w14:textId="77777777" w:rsidR="00FA4AA8" w:rsidRDefault="00FA4AA8">
            <w:pPr>
              <w:pStyle w:val="TableParagraph"/>
              <w:rPr>
                <w:rFonts w:ascii="Times New Roman"/>
                <w:sz w:val="18"/>
              </w:rPr>
            </w:pPr>
          </w:p>
        </w:tc>
        <w:tc>
          <w:tcPr>
            <w:tcW w:w="902" w:type="dxa"/>
          </w:tcPr>
          <w:p w14:paraId="3F782011" w14:textId="77777777" w:rsidR="00FA4AA8" w:rsidRDefault="00FA4AA8">
            <w:pPr>
              <w:pStyle w:val="TableParagraph"/>
              <w:rPr>
                <w:rFonts w:ascii="Times New Roman"/>
                <w:sz w:val="18"/>
              </w:rPr>
            </w:pPr>
          </w:p>
        </w:tc>
      </w:tr>
    </w:tbl>
    <w:p w14:paraId="1B19F764" w14:textId="77777777" w:rsidR="00FA4AA8" w:rsidRDefault="00FA4AA8">
      <w:pPr>
        <w:pStyle w:val="BodyText"/>
        <w:rPr>
          <w:sz w:val="20"/>
        </w:rPr>
      </w:pPr>
    </w:p>
    <w:p w14:paraId="4E346F99" w14:textId="77777777" w:rsidR="00FA4AA8" w:rsidRDefault="00FA4AA8">
      <w:pPr>
        <w:pStyle w:val="BodyText"/>
        <w:spacing w:before="9"/>
        <w:rPr>
          <w:sz w:val="25"/>
        </w:rPr>
      </w:pPr>
    </w:p>
    <w:p w14:paraId="4CAA2A3B" w14:textId="77777777" w:rsidR="00FA4AA8" w:rsidRDefault="0015611F">
      <w:pPr>
        <w:spacing w:before="1" w:line="207" w:lineRule="exact"/>
        <w:ind w:left="4572"/>
        <w:rPr>
          <w:b/>
          <w:sz w:val="18"/>
        </w:rPr>
      </w:pPr>
      <w:r>
        <w:rPr>
          <w:b/>
          <w:sz w:val="18"/>
        </w:rPr>
        <w:t>Change in</w:t>
      </w:r>
    </w:p>
    <w:p w14:paraId="3722F79F" w14:textId="77777777" w:rsidR="00FA4AA8" w:rsidRDefault="0015611F">
      <w:pPr>
        <w:tabs>
          <w:tab w:val="left" w:pos="6350"/>
        </w:tabs>
        <w:spacing w:line="316" w:lineRule="auto"/>
        <w:ind w:left="5774" w:right="220" w:hanging="1272"/>
        <w:rPr>
          <w:b/>
          <w:sz w:val="18"/>
        </w:rPr>
      </w:pPr>
      <w:r>
        <w:rPr>
          <w:b/>
          <w:sz w:val="18"/>
        </w:rPr>
        <w:t>assumption</w:t>
      </w:r>
      <w:r>
        <w:rPr>
          <w:b/>
          <w:sz w:val="18"/>
        </w:rPr>
        <w:tab/>
      </w:r>
      <w:r>
        <w:rPr>
          <w:b/>
          <w:sz w:val="18"/>
        </w:rPr>
        <w:tab/>
        <w:t>Impact on defined benefit obligation Increase in assumption Decrease in</w:t>
      </w:r>
      <w:r>
        <w:rPr>
          <w:b/>
          <w:spacing w:val="8"/>
          <w:sz w:val="18"/>
        </w:rPr>
        <w:t xml:space="preserve"> </w:t>
      </w:r>
      <w:r>
        <w:rPr>
          <w:b/>
          <w:sz w:val="18"/>
        </w:rPr>
        <w:t>assumption</w:t>
      </w:r>
    </w:p>
    <w:p w14:paraId="53824E9A" w14:textId="77777777" w:rsidR="00FA4AA8" w:rsidRDefault="00FA4AA8">
      <w:pPr>
        <w:spacing w:line="316" w:lineRule="auto"/>
        <w:rPr>
          <w:sz w:val="18"/>
        </w:rPr>
        <w:sectPr w:rsidR="00FA4AA8">
          <w:pgSz w:w="11910" w:h="16840"/>
          <w:pgMar w:top="2220" w:right="880" w:bottom="720" w:left="840" w:header="1016" w:footer="523" w:gutter="0"/>
          <w:cols w:space="720"/>
        </w:sectPr>
      </w:pPr>
    </w:p>
    <w:p w14:paraId="490E3A7E" w14:textId="77777777" w:rsidR="00FA4AA8" w:rsidRDefault="0015611F">
      <w:pPr>
        <w:pStyle w:val="BodyText"/>
        <w:spacing w:line="307" w:lineRule="auto"/>
        <w:ind w:left="607" w:right="23"/>
      </w:pPr>
      <w:r>
        <w:t>Discount rate Salary growth rate</w:t>
      </w:r>
    </w:p>
    <w:p w14:paraId="41E6D7BA" w14:textId="77777777" w:rsidR="00FA4AA8" w:rsidRDefault="0015611F">
      <w:pPr>
        <w:pStyle w:val="BodyText"/>
        <w:spacing w:line="203" w:lineRule="exact"/>
        <w:ind w:left="607"/>
      </w:pPr>
      <w:r>
        <w:br w:type="column"/>
        <w:t>1.00</w:t>
      </w:r>
      <w:r>
        <w:rPr>
          <w:spacing w:val="10"/>
        </w:rPr>
        <w:t xml:space="preserve"> </w:t>
      </w:r>
      <w:r>
        <w:rPr>
          <w:spacing w:val="-18"/>
        </w:rPr>
        <w:t>%</w:t>
      </w:r>
    </w:p>
    <w:p w14:paraId="4FEEE03F" w14:textId="77777777" w:rsidR="00FA4AA8" w:rsidRDefault="0015611F">
      <w:pPr>
        <w:pStyle w:val="BodyText"/>
        <w:spacing w:before="57"/>
        <w:ind w:left="607"/>
      </w:pPr>
      <w:r>
        <w:t>0.50</w:t>
      </w:r>
      <w:r>
        <w:rPr>
          <w:spacing w:val="10"/>
        </w:rPr>
        <w:t xml:space="preserve"> </w:t>
      </w:r>
      <w:r>
        <w:rPr>
          <w:spacing w:val="-18"/>
        </w:rPr>
        <w:t>%</w:t>
      </w:r>
    </w:p>
    <w:p w14:paraId="1A1DBD63" w14:textId="77777777" w:rsidR="00FA4AA8" w:rsidRDefault="0015611F">
      <w:pPr>
        <w:pStyle w:val="BodyText"/>
        <w:tabs>
          <w:tab w:val="left" w:pos="2221"/>
        </w:tabs>
        <w:spacing w:line="203" w:lineRule="exact"/>
        <w:ind w:left="63"/>
      </w:pPr>
      <w:r>
        <w:br w:type="column"/>
        <w:t>Decrease by 10.6%</w:t>
      </w:r>
      <w:r>
        <w:tab/>
        <w:t>Increase by</w:t>
      </w:r>
      <w:r>
        <w:rPr>
          <w:spacing w:val="2"/>
        </w:rPr>
        <w:t xml:space="preserve"> </w:t>
      </w:r>
      <w:r>
        <w:t>12.7%</w:t>
      </w:r>
    </w:p>
    <w:p w14:paraId="01F7330B" w14:textId="77777777" w:rsidR="00FA4AA8" w:rsidRDefault="0015611F">
      <w:pPr>
        <w:pStyle w:val="BodyText"/>
        <w:tabs>
          <w:tab w:val="left" w:pos="2221"/>
        </w:tabs>
        <w:spacing w:before="57"/>
        <w:ind w:left="63"/>
      </w:pPr>
      <w:r>
        <w:t>Increase</w:t>
      </w:r>
      <w:r>
        <w:rPr>
          <w:spacing w:val="1"/>
        </w:rPr>
        <w:t xml:space="preserve"> </w:t>
      </w:r>
      <w:r>
        <w:t>by 0.2%</w:t>
      </w:r>
      <w:r>
        <w:tab/>
        <w:t>Decrease by 0.2%</w:t>
      </w:r>
    </w:p>
    <w:p w14:paraId="036DE9B1" w14:textId="77777777" w:rsidR="00FA4AA8" w:rsidRDefault="00FA4AA8">
      <w:pPr>
        <w:sectPr w:rsidR="00FA4AA8">
          <w:type w:val="continuous"/>
          <w:pgSz w:w="11910" w:h="16840"/>
          <w:pgMar w:top="20" w:right="880" w:bottom="0" w:left="840" w:header="720" w:footer="720" w:gutter="0"/>
          <w:cols w:num="3" w:space="720" w:equalWidth="0">
            <w:col w:w="2111" w:space="2358"/>
            <w:col w:w="1181" w:space="39"/>
            <w:col w:w="4501"/>
          </w:cols>
        </w:sectPr>
      </w:pPr>
    </w:p>
    <w:p w14:paraId="2AAAE3BA" w14:textId="77777777" w:rsidR="00FA4AA8" w:rsidRDefault="00FA4AA8">
      <w:pPr>
        <w:pStyle w:val="BodyText"/>
        <w:spacing w:before="9"/>
        <w:rPr>
          <w:sz w:val="13"/>
        </w:rPr>
      </w:pPr>
    </w:p>
    <w:p w14:paraId="78EF186B" w14:textId="77777777" w:rsidR="00FA4AA8" w:rsidRDefault="0015611F">
      <w:pPr>
        <w:pStyle w:val="BodyText"/>
        <w:spacing w:before="94"/>
        <w:ind w:left="563" w:right="132"/>
      </w:pPr>
      <w:r>
        <w:t>The above sensitivity analyses are based on a change in an assumption while holding all the other assumptions constant. In practice this is unlikely to occur, and changes in some of the assumptions may be correlated. When calculating the sensitivity of the defined benefit obligation to significant actuarial assumptions the same method has been applied as when calculating the defined benefit liability recognised in the statement of financial position.</w:t>
      </w:r>
    </w:p>
    <w:p w14:paraId="0788CB3B" w14:textId="77777777" w:rsidR="00FA4AA8" w:rsidRDefault="00FA4AA8">
      <w:pPr>
        <w:pStyle w:val="BodyText"/>
        <w:spacing w:before="10"/>
        <w:rPr>
          <w:sz w:val="24"/>
        </w:rPr>
      </w:pPr>
    </w:p>
    <w:p w14:paraId="25E9462A" w14:textId="77777777" w:rsidR="00FA4AA8" w:rsidRDefault="0015611F">
      <w:pPr>
        <w:pStyle w:val="BodyText"/>
        <w:ind w:left="564" w:right="132"/>
      </w:pPr>
      <w:r>
        <w:t>The methods and types of assumptions used in the preparation of the sensitivity analysis did not change compared to the prior period.</w:t>
      </w:r>
    </w:p>
    <w:p w14:paraId="013587C9" w14:textId="77777777" w:rsidR="00FA4AA8" w:rsidRDefault="00FA4AA8">
      <w:pPr>
        <w:sectPr w:rsidR="00FA4AA8">
          <w:type w:val="continuous"/>
          <w:pgSz w:w="11910" w:h="16840"/>
          <w:pgMar w:top="20" w:right="880" w:bottom="0" w:left="840" w:header="720" w:footer="720" w:gutter="0"/>
          <w:cols w:space="720"/>
        </w:sectPr>
      </w:pPr>
    </w:p>
    <w:p w14:paraId="7DA6EB47" w14:textId="77777777" w:rsidR="00FA4AA8" w:rsidRDefault="00FA4AA8">
      <w:pPr>
        <w:pStyle w:val="BodyText"/>
        <w:rPr>
          <w:sz w:val="20"/>
        </w:rPr>
      </w:pPr>
    </w:p>
    <w:p w14:paraId="079D0B04" w14:textId="77777777" w:rsidR="00FA4AA8" w:rsidRDefault="00FA4AA8">
      <w:pPr>
        <w:pStyle w:val="BodyText"/>
        <w:spacing w:before="10"/>
        <w:rPr>
          <w:sz w:val="29"/>
        </w:rPr>
      </w:pPr>
    </w:p>
    <w:p w14:paraId="2EBC6003" w14:textId="77777777" w:rsidR="00FA4AA8" w:rsidRDefault="0015611F">
      <w:pPr>
        <w:spacing w:before="94"/>
        <w:ind w:left="167"/>
        <w:rPr>
          <w:b/>
          <w:sz w:val="18"/>
        </w:rPr>
      </w:pPr>
      <w:bookmarkStart w:id="97" w:name="(d)_Statement_of_financial_position_amou"/>
      <w:bookmarkEnd w:id="97"/>
      <w:r>
        <w:rPr>
          <w:b/>
          <w:sz w:val="18"/>
        </w:rPr>
        <w:t>38 Defined Benefits Plans (continued)</w:t>
      </w:r>
    </w:p>
    <w:p w14:paraId="0BBC187A" w14:textId="77777777" w:rsidR="00FA4AA8" w:rsidRDefault="00FA4AA8">
      <w:pPr>
        <w:pStyle w:val="BodyText"/>
        <w:spacing w:before="7"/>
        <w:rPr>
          <w:b/>
          <w:sz w:val="26"/>
        </w:rPr>
      </w:pPr>
    </w:p>
    <w:p w14:paraId="4A03BB70" w14:textId="77777777" w:rsidR="00FA4AA8" w:rsidRDefault="0015611F">
      <w:pPr>
        <w:spacing w:line="283" w:lineRule="auto"/>
        <w:ind w:left="607" w:right="5562" w:hanging="440"/>
        <w:rPr>
          <w:b/>
          <w:sz w:val="18"/>
        </w:rPr>
      </w:pPr>
      <w:r>
        <w:rPr>
          <w:b/>
          <w:sz w:val="18"/>
        </w:rPr>
        <w:t>(d) Statement of financial position amounts Amounts recognised in the</w:t>
      </w:r>
    </w:p>
    <w:tbl>
      <w:tblPr>
        <w:tblW w:w="0" w:type="auto"/>
        <w:tblInd w:w="564" w:type="dxa"/>
        <w:tblLayout w:type="fixed"/>
        <w:tblCellMar>
          <w:left w:w="0" w:type="dxa"/>
          <w:right w:w="0" w:type="dxa"/>
        </w:tblCellMar>
        <w:tblLook w:val="01E0" w:firstRow="1" w:lastRow="1" w:firstColumn="1" w:lastColumn="1" w:noHBand="0" w:noVBand="0"/>
      </w:tblPr>
      <w:tblGrid>
        <w:gridCol w:w="3441"/>
        <w:gridCol w:w="894"/>
        <w:gridCol w:w="1475"/>
        <w:gridCol w:w="1296"/>
        <w:gridCol w:w="1296"/>
        <w:gridCol w:w="1117"/>
      </w:tblGrid>
      <w:tr w:rsidR="00FA4AA8" w14:paraId="0AF8C760" w14:textId="77777777">
        <w:trPr>
          <w:trHeight w:val="203"/>
        </w:trPr>
        <w:tc>
          <w:tcPr>
            <w:tcW w:w="3441" w:type="dxa"/>
          </w:tcPr>
          <w:p w14:paraId="0C3A9D98" w14:textId="77777777" w:rsidR="00FA4AA8" w:rsidRDefault="0015611F">
            <w:pPr>
              <w:pStyle w:val="TableParagraph"/>
              <w:spacing w:line="170" w:lineRule="exact"/>
              <w:ind w:left="50"/>
              <w:rPr>
                <w:b/>
                <w:sz w:val="18"/>
              </w:rPr>
            </w:pPr>
            <w:r>
              <w:rPr>
                <w:b/>
                <w:sz w:val="18"/>
              </w:rPr>
              <w:t>statement of financial position -</w:t>
            </w:r>
          </w:p>
        </w:tc>
        <w:tc>
          <w:tcPr>
            <w:tcW w:w="894" w:type="dxa"/>
          </w:tcPr>
          <w:p w14:paraId="3FBC84E5" w14:textId="77777777" w:rsidR="00FA4AA8" w:rsidRDefault="00FA4AA8">
            <w:pPr>
              <w:pStyle w:val="TableParagraph"/>
              <w:rPr>
                <w:rFonts w:ascii="Times New Roman"/>
                <w:sz w:val="14"/>
              </w:rPr>
            </w:pPr>
          </w:p>
        </w:tc>
        <w:tc>
          <w:tcPr>
            <w:tcW w:w="1475" w:type="dxa"/>
          </w:tcPr>
          <w:p w14:paraId="3E431344" w14:textId="77777777" w:rsidR="00FA4AA8" w:rsidRDefault="0015611F">
            <w:pPr>
              <w:pStyle w:val="TableParagraph"/>
              <w:spacing w:line="103" w:lineRule="exact"/>
              <w:ind w:left="426"/>
              <w:rPr>
                <w:b/>
                <w:sz w:val="18"/>
              </w:rPr>
            </w:pPr>
            <w:r>
              <w:rPr>
                <w:b/>
                <w:sz w:val="18"/>
              </w:rPr>
              <w:t>SASS</w:t>
            </w:r>
          </w:p>
        </w:tc>
        <w:tc>
          <w:tcPr>
            <w:tcW w:w="1296" w:type="dxa"/>
          </w:tcPr>
          <w:p w14:paraId="2E46FBE2" w14:textId="77777777" w:rsidR="00FA4AA8" w:rsidRDefault="0015611F">
            <w:pPr>
              <w:pStyle w:val="TableParagraph"/>
              <w:spacing w:line="103" w:lineRule="exact"/>
              <w:ind w:left="177"/>
              <w:rPr>
                <w:b/>
                <w:sz w:val="18"/>
              </w:rPr>
            </w:pPr>
            <w:r>
              <w:rPr>
                <w:b/>
                <w:sz w:val="18"/>
              </w:rPr>
              <w:t>SANCS</w:t>
            </w:r>
          </w:p>
        </w:tc>
        <w:tc>
          <w:tcPr>
            <w:tcW w:w="1296" w:type="dxa"/>
          </w:tcPr>
          <w:p w14:paraId="7439E151" w14:textId="77777777" w:rsidR="00FA4AA8" w:rsidRDefault="0015611F">
            <w:pPr>
              <w:pStyle w:val="TableParagraph"/>
              <w:spacing w:line="103" w:lineRule="exact"/>
              <w:ind w:left="309"/>
              <w:rPr>
                <w:b/>
                <w:sz w:val="18"/>
              </w:rPr>
            </w:pPr>
            <w:r>
              <w:rPr>
                <w:b/>
                <w:sz w:val="18"/>
              </w:rPr>
              <w:t>SSS</w:t>
            </w:r>
          </w:p>
        </w:tc>
        <w:tc>
          <w:tcPr>
            <w:tcW w:w="1117" w:type="dxa"/>
          </w:tcPr>
          <w:p w14:paraId="6B85E6EB" w14:textId="77777777" w:rsidR="00FA4AA8" w:rsidRDefault="0015611F">
            <w:pPr>
              <w:pStyle w:val="TableParagraph"/>
              <w:spacing w:line="103" w:lineRule="exact"/>
              <w:ind w:left="273"/>
              <w:rPr>
                <w:b/>
                <w:sz w:val="18"/>
              </w:rPr>
            </w:pPr>
            <w:r>
              <w:rPr>
                <w:b/>
                <w:sz w:val="18"/>
              </w:rPr>
              <w:t>Total</w:t>
            </w:r>
          </w:p>
        </w:tc>
      </w:tr>
      <w:tr w:rsidR="00FA4AA8" w14:paraId="5E5DB5C6" w14:textId="77777777">
        <w:trPr>
          <w:trHeight w:val="279"/>
        </w:trPr>
        <w:tc>
          <w:tcPr>
            <w:tcW w:w="3441" w:type="dxa"/>
          </w:tcPr>
          <w:p w14:paraId="0505670D" w14:textId="77777777" w:rsidR="00FA4AA8" w:rsidRDefault="0015611F">
            <w:pPr>
              <w:pStyle w:val="TableParagraph"/>
              <w:spacing w:line="173" w:lineRule="exact"/>
              <w:ind w:left="50"/>
              <w:rPr>
                <w:b/>
                <w:sz w:val="18"/>
              </w:rPr>
            </w:pPr>
            <w:r>
              <w:rPr>
                <w:b/>
                <w:sz w:val="18"/>
              </w:rPr>
              <w:t>2018</w:t>
            </w:r>
          </w:p>
        </w:tc>
        <w:tc>
          <w:tcPr>
            <w:tcW w:w="894" w:type="dxa"/>
          </w:tcPr>
          <w:p w14:paraId="3B4F018A" w14:textId="77777777" w:rsidR="00FA4AA8" w:rsidRDefault="0015611F">
            <w:pPr>
              <w:pStyle w:val="TableParagraph"/>
              <w:spacing w:line="173" w:lineRule="exact"/>
              <w:ind w:left="392" w:right="61"/>
              <w:jc w:val="center"/>
              <w:rPr>
                <w:b/>
                <w:sz w:val="18"/>
              </w:rPr>
            </w:pPr>
            <w:r>
              <w:rPr>
                <w:b/>
                <w:sz w:val="18"/>
              </w:rPr>
              <w:t>Note</w:t>
            </w:r>
          </w:p>
        </w:tc>
        <w:tc>
          <w:tcPr>
            <w:tcW w:w="1475" w:type="dxa"/>
          </w:tcPr>
          <w:p w14:paraId="60FADE3A" w14:textId="77777777" w:rsidR="00FA4AA8" w:rsidRDefault="0015611F">
            <w:pPr>
              <w:pStyle w:val="TableParagraph"/>
              <w:spacing w:line="173" w:lineRule="exact"/>
              <w:ind w:left="445"/>
              <w:rPr>
                <w:b/>
                <w:sz w:val="18"/>
              </w:rPr>
            </w:pPr>
            <w:r>
              <w:rPr>
                <w:b/>
                <w:sz w:val="18"/>
              </w:rPr>
              <w:t>$'000</w:t>
            </w:r>
          </w:p>
        </w:tc>
        <w:tc>
          <w:tcPr>
            <w:tcW w:w="1296" w:type="dxa"/>
          </w:tcPr>
          <w:p w14:paraId="132C41C5" w14:textId="77777777" w:rsidR="00FA4AA8" w:rsidRDefault="0015611F">
            <w:pPr>
              <w:pStyle w:val="TableParagraph"/>
              <w:spacing w:line="173" w:lineRule="exact"/>
              <w:ind w:left="266"/>
              <w:rPr>
                <w:b/>
                <w:sz w:val="18"/>
              </w:rPr>
            </w:pPr>
            <w:r>
              <w:rPr>
                <w:b/>
                <w:sz w:val="18"/>
              </w:rPr>
              <w:t>$'000</w:t>
            </w:r>
          </w:p>
        </w:tc>
        <w:tc>
          <w:tcPr>
            <w:tcW w:w="1296" w:type="dxa"/>
          </w:tcPr>
          <w:p w14:paraId="23E3EF38" w14:textId="77777777" w:rsidR="00FA4AA8" w:rsidRDefault="0015611F">
            <w:pPr>
              <w:pStyle w:val="TableParagraph"/>
              <w:spacing w:line="173" w:lineRule="exact"/>
              <w:ind w:left="266"/>
              <w:rPr>
                <w:b/>
                <w:sz w:val="18"/>
              </w:rPr>
            </w:pPr>
            <w:r>
              <w:rPr>
                <w:b/>
                <w:sz w:val="18"/>
              </w:rPr>
              <w:t>$'000</w:t>
            </w:r>
          </w:p>
        </w:tc>
        <w:tc>
          <w:tcPr>
            <w:tcW w:w="1117" w:type="dxa"/>
          </w:tcPr>
          <w:p w14:paraId="7A5D0A36" w14:textId="77777777" w:rsidR="00FA4AA8" w:rsidRDefault="0015611F">
            <w:pPr>
              <w:pStyle w:val="TableParagraph"/>
              <w:spacing w:line="173" w:lineRule="exact"/>
              <w:ind w:left="266"/>
              <w:rPr>
                <w:b/>
                <w:sz w:val="18"/>
              </w:rPr>
            </w:pPr>
            <w:r>
              <w:rPr>
                <w:b/>
                <w:sz w:val="18"/>
              </w:rPr>
              <w:t>$'000</w:t>
            </w:r>
          </w:p>
        </w:tc>
      </w:tr>
      <w:tr w:rsidR="00FA4AA8" w14:paraId="34BE7FF1" w14:textId="77777777">
        <w:trPr>
          <w:trHeight w:val="292"/>
        </w:trPr>
        <w:tc>
          <w:tcPr>
            <w:tcW w:w="3441" w:type="dxa"/>
          </w:tcPr>
          <w:p w14:paraId="4C134605" w14:textId="77777777" w:rsidR="00FA4AA8" w:rsidRDefault="0015611F">
            <w:pPr>
              <w:pStyle w:val="TableParagraph"/>
              <w:spacing w:before="39"/>
              <w:ind w:left="50"/>
              <w:rPr>
                <w:b/>
                <w:sz w:val="18"/>
              </w:rPr>
            </w:pPr>
            <w:r>
              <w:rPr>
                <w:b/>
                <w:sz w:val="18"/>
              </w:rPr>
              <w:t>Liabilities</w:t>
            </w:r>
          </w:p>
        </w:tc>
        <w:tc>
          <w:tcPr>
            <w:tcW w:w="894" w:type="dxa"/>
          </w:tcPr>
          <w:p w14:paraId="1A720689" w14:textId="77777777" w:rsidR="00FA4AA8" w:rsidRDefault="00FA4AA8">
            <w:pPr>
              <w:pStyle w:val="TableParagraph"/>
              <w:rPr>
                <w:rFonts w:ascii="Times New Roman"/>
                <w:sz w:val="18"/>
              </w:rPr>
            </w:pPr>
          </w:p>
        </w:tc>
        <w:tc>
          <w:tcPr>
            <w:tcW w:w="1475" w:type="dxa"/>
          </w:tcPr>
          <w:p w14:paraId="23716BA5" w14:textId="77777777" w:rsidR="00FA4AA8" w:rsidRDefault="00FA4AA8">
            <w:pPr>
              <w:pStyle w:val="TableParagraph"/>
              <w:rPr>
                <w:rFonts w:ascii="Times New Roman"/>
                <w:sz w:val="18"/>
              </w:rPr>
            </w:pPr>
          </w:p>
        </w:tc>
        <w:tc>
          <w:tcPr>
            <w:tcW w:w="1296" w:type="dxa"/>
          </w:tcPr>
          <w:p w14:paraId="513B636B" w14:textId="77777777" w:rsidR="00FA4AA8" w:rsidRDefault="00FA4AA8">
            <w:pPr>
              <w:pStyle w:val="TableParagraph"/>
              <w:rPr>
                <w:rFonts w:ascii="Times New Roman"/>
                <w:sz w:val="18"/>
              </w:rPr>
            </w:pPr>
          </w:p>
        </w:tc>
        <w:tc>
          <w:tcPr>
            <w:tcW w:w="1296" w:type="dxa"/>
          </w:tcPr>
          <w:p w14:paraId="6E61EED6" w14:textId="77777777" w:rsidR="00FA4AA8" w:rsidRDefault="00FA4AA8">
            <w:pPr>
              <w:pStyle w:val="TableParagraph"/>
              <w:rPr>
                <w:rFonts w:ascii="Times New Roman"/>
                <w:sz w:val="18"/>
              </w:rPr>
            </w:pPr>
          </w:p>
        </w:tc>
        <w:tc>
          <w:tcPr>
            <w:tcW w:w="1117" w:type="dxa"/>
          </w:tcPr>
          <w:p w14:paraId="3E148852" w14:textId="77777777" w:rsidR="00FA4AA8" w:rsidRDefault="00FA4AA8">
            <w:pPr>
              <w:pStyle w:val="TableParagraph"/>
              <w:rPr>
                <w:rFonts w:ascii="Times New Roman"/>
                <w:sz w:val="18"/>
              </w:rPr>
            </w:pPr>
          </w:p>
        </w:tc>
      </w:tr>
      <w:tr w:rsidR="00FA4AA8" w14:paraId="677BD037" w14:textId="77777777">
        <w:trPr>
          <w:trHeight w:val="446"/>
        </w:trPr>
        <w:tc>
          <w:tcPr>
            <w:tcW w:w="3441" w:type="dxa"/>
          </w:tcPr>
          <w:p w14:paraId="0B3F0557" w14:textId="77777777" w:rsidR="00FA4AA8" w:rsidRDefault="0015611F">
            <w:pPr>
              <w:pStyle w:val="TableParagraph"/>
              <w:spacing w:line="186" w:lineRule="exact"/>
              <w:ind w:left="50"/>
              <w:rPr>
                <w:sz w:val="18"/>
              </w:rPr>
            </w:pPr>
            <w:r>
              <w:rPr>
                <w:sz w:val="18"/>
              </w:rPr>
              <w:t>Provision for deferred government</w:t>
            </w:r>
          </w:p>
          <w:p w14:paraId="0BBC8458" w14:textId="77777777" w:rsidR="00FA4AA8" w:rsidRDefault="0015611F">
            <w:pPr>
              <w:pStyle w:val="TableParagraph"/>
              <w:spacing w:line="207" w:lineRule="exact"/>
              <w:ind w:left="50"/>
              <w:rPr>
                <w:sz w:val="18"/>
              </w:rPr>
            </w:pPr>
            <w:r>
              <w:rPr>
                <w:sz w:val="18"/>
              </w:rPr>
              <w:t>benefits for superannuation</w:t>
            </w:r>
          </w:p>
        </w:tc>
        <w:tc>
          <w:tcPr>
            <w:tcW w:w="894" w:type="dxa"/>
          </w:tcPr>
          <w:p w14:paraId="5A2DDE1D" w14:textId="77777777" w:rsidR="00FA4AA8" w:rsidRDefault="00FA4AA8">
            <w:pPr>
              <w:pStyle w:val="TableParagraph"/>
              <w:spacing w:before="1"/>
              <w:rPr>
                <w:b/>
                <w:sz w:val="16"/>
              </w:rPr>
            </w:pPr>
          </w:p>
          <w:p w14:paraId="2CAED694" w14:textId="77777777" w:rsidR="00FA4AA8" w:rsidRDefault="0015611F">
            <w:pPr>
              <w:pStyle w:val="TableParagraph"/>
              <w:ind w:left="391" w:right="61"/>
              <w:jc w:val="center"/>
              <w:rPr>
                <w:sz w:val="18"/>
              </w:rPr>
            </w:pPr>
            <w:r>
              <w:rPr>
                <w:sz w:val="18"/>
              </w:rPr>
              <w:t>25</w:t>
            </w:r>
          </w:p>
        </w:tc>
        <w:tc>
          <w:tcPr>
            <w:tcW w:w="1475" w:type="dxa"/>
            <w:tcBorders>
              <w:bottom w:val="single" w:sz="8" w:space="0" w:color="000000"/>
            </w:tcBorders>
          </w:tcPr>
          <w:p w14:paraId="4A6AAFA6" w14:textId="77777777" w:rsidR="00FA4AA8" w:rsidRDefault="00FA4AA8">
            <w:pPr>
              <w:pStyle w:val="TableParagraph"/>
              <w:spacing w:before="10"/>
              <w:rPr>
                <w:b/>
                <w:sz w:val="15"/>
              </w:rPr>
            </w:pPr>
          </w:p>
          <w:p w14:paraId="79E162DF" w14:textId="77777777" w:rsidR="00FA4AA8" w:rsidRDefault="0015611F">
            <w:pPr>
              <w:pStyle w:val="TableParagraph"/>
              <w:spacing w:before="1"/>
              <w:ind w:right="267"/>
              <w:jc w:val="right"/>
              <w:rPr>
                <w:sz w:val="18"/>
              </w:rPr>
            </w:pPr>
            <w:r>
              <w:rPr>
                <w:sz w:val="18"/>
              </w:rPr>
              <w:t>15,570</w:t>
            </w:r>
          </w:p>
        </w:tc>
        <w:tc>
          <w:tcPr>
            <w:tcW w:w="1296" w:type="dxa"/>
            <w:tcBorders>
              <w:bottom w:val="single" w:sz="8" w:space="0" w:color="000000"/>
            </w:tcBorders>
          </w:tcPr>
          <w:p w14:paraId="569AF09C" w14:textId="77777777" w:rsidR="00FA4AA8" w:rsidRDefault="00FA4AA8">
            <w:pPr>
              <w:pStyle w:val="TableParagraph"/>
              <w:spacing w:before="10"/>
              <w:rPr>
                <w:b/>
                <w:sz w:val="15"/>
              </w:rPr>
            </w:pPr>
          </w:p>
          <w:p w14:paraId="110D6438" w14:textId="77777777" w:rsidR="00FA4AA8" w:rsidRDefault="0015611F">
            <w:pPr>
              <w:pStyle w:val="TableParagraph"/>
              <w:spacing w:before="1"/>
              <w:ind w:right="267"/>
              <w:jc w:val="right"/>
              <w:rPr>
                <w:sz w:val="18"/>
              </w:rPr>
            </w:pPr>
            <w:r>
              <w:rPr>
                <w:sz w:val="18"/>
              </w:rPr>
              <w:t>3,738</w:t>
            </w:r>
          </w:p>
        </w:tc>
        <w:tc>
          <w:tcPr>
            <w:tcW w:w="1296" w:type="dxa"/>
            <w:tcBorders>
              <w:bottom w:val="single" w:sz="8" w:space="0" w:color="000000"/>
            </w:tcBorders>
          </w:tcPr>
          <w:p w14:paraId="49CA8020" w14:textId="77777777" w:rsidR="00FA4AA8" w:rsidRDefault="00FA4AA8">
            <w:pPr>
              <w:pStyle w:val="TableParagraph"/>
              <w:spacing w:before="10"/>
              <w:rPr>
                <w:b/>
                <w:sz w:val="15"/>
              </w:rPr>
            </w:pPr>
          </w:p>
          <w:p w14:paraId="78A225E9" w14:textId="77777777" w:rsidR="00FA4AA8" w:rsidRDefault="0015611F">
            <w:pPr>
              <w:pStyle w:val="TableParagraph"/>
              <w:spacing w:before="1"/>
              <w:ind w:right="267"/>
              <w:jc w:val="right"/>
              <w:rPr>
                <w:sz w:val="18"/>
              </w:rPr>
            </w:pPr>
            <w:r>
              <w:rPr>
                <w:sz w:val="18"/>
              </w:rPr>
              <w:t>360,719</w:t>
            </w:r>
          </w:p>
        </w:tc>
        <w:tc>
          <w:tcPr>
            <w:tcW w:w="1117" w:type="dxa"/>
            <w:tcBorders>
              <w:bottom w:val="single" w:sz="8" w:space="0" w:color="000000"/>
            </w:tcBorders>
          </w:tcPr>
          <w:p w14:paraId="7F95571F" w14:textId="77777777" w:rsidR="00FA4AA8" w:rsidRDefault="00FA4AA8">
            <w:pPr>
              <w:pStyle w:val="TableParagraph"/>
              <w:spacing w:before="10"/>
              <w:rPr>
                <w:b/>
                <w:sz w:val="15"/>
              </w:rPr>
            </w:pPr>
          </w:p>
          <w:p w14:paraId="1F3C4DA7" w14:textId="77777777" w:rsidR="00FA4AA8" w:rsidRDefault="0015611F">
            <w:pPr>
              <w:pStyle w:val="TableParagraph"/>
              <w:spacing w:before="1"/>
              <w:ind w:right="88"/>
              <w:jc w:val="right"/>
              <w:rPr>
                <w:sz w:val="18"/>
              </w:rPr>
            </w:pPr>
            <w:r>
              <w:rPr>
                <w:sz w:val="18"/>
              </w:rPr>
              <w:t>380,027</w:t>
            </w:r>
          </w:p>
        </w:tc>
      </w:tr>
      <w:tr w:rsidR="00FA4AA8" w14:paraId="46A0609B" w14:textId="77777777">
        <w:trPr>
          <w:trHeight w:val="324"/>
        </w:trPr>
        <w:tc>
          <w:tcPr>
            <w:tcW w:w="3441" w:type="dxa"/>
          </w:tcPr>
          <w:p w14:paraId="13EFB1F0" w14:textId="77777777" w:rsidR="00FA4AA8" w:rsidRDefault="0015611F">
            <w:pPr>
              <w:pStyle w:val="TableParagraph"/>
              <w:spacing w:before="84"/>
              <w:ind w:left="50"/>
              <w:rPr>
                <w:b/>
                <w:sz w:val="18"/>
              </w:rPr>
            </w:pPr>
            <w:r>
              <w:rPr>
                <w:b/>
                <w:sz w:val="18"/>
              </w:rPr>
              <w:t>Total liabilities recognised in the</w:t>
            </w:r>
          </w:p>
        </w:tc>
        <w:tc>
          <w:tcPr>
            <w:tcW w:w="894" w:type="dxa"/>
          </w:tcPr>
          <w:p w14:paraId="6D8A0380" w14:textId="77777777" w:rsidR="00FA4AA8" w:rsidRDefault="00FA4AA8">
            <w:pPr>
              <w:pStyle w:val="TableParagraph"/>
              <w:rPr>
                <w:rFonts w:ascii="Times New Roman"/>
                <w:sz w:val="18"/>
              </w:rPr>
            </w:pPr>
          </w:p>
        </w:tc>
        <w:tc>
          <w:tcPr>
            <w:tcW w:w="1475" w:type="dxa"/>
            <w:tcBorders>
              <w:top w:val="single" w:sz="8" w:space="0" w:color="000000"/>
            </w:tcBorders>
          </w:tcPr>
          <w:p w14:paraId="62B531FF" w14:textId="77777777" w:rsidR="00FA4AA8" w:rsidRDefault="00FA4AA8">
            <w:pPr>
              <w:pStyle w:val="TableParagraph"/>
              <w:rPr>
                <w:rFonts w:ascii="Times New Roman"/>
                <w:sz w:val="18"/>
              </w:rPr>
            </w:pPr>
          </w:p>
        </w:tc>
        <w:tc>
          <w:tcPr>
            <w:tcW w:w="1296" w:type="dxa"/>
            <w:tcBorders>
              <w:top w:val="single" w:sz="8" w:space="0" w:color="000000"/>
            </w:tcBorders>
          </w:tcPr>
          <w:p w14:paraId="5C4BDE13" w14:textId="77777777" w:rsidR="00FA4AA8" w:rsidRDefault="00FA4AA8">
            <w:pPr>
              <w:pStyle w:val="TableParagraph"/>
              <w:rPr>
                <w:rFonts w:ascii="Times New Roman"/>
                <w:sz w:val="18"/>
              </w:rPr>
            </w:pPr>
          </w:p>
        </w:tc>
        <w:tc>
          <w:tcPr>
            <w:tcW w:w="1296" w:type="dxa"/>
            <w:tcBorders>
              <w:top w:val="single" w:sz="8" w:space="0" w:color="000000"/>
            </w:tcBorders>
          </w:tcPr>
          <w:p w14:paraId="659361F5" w14:textId="77777777" w:rsidR="00FA4AA8" w:rsidRDefault="00FA4AA8">
            <w:pPr>
              <w:pStyle w:val="TableParagraph"/>
              <w:rPr>
                <w:rFonts w:ascii="Times New Roman"/>
                <w:sz w:val="18"/>
              </w:rPr>
            </w:pPr>
          </w:p>
        </w:tc>
        <w:tc>
          <w:tcPr>
            <w:tcW w:w="1117" w:type="dxa"/>
            <w:tcBorders>
              <w:top w:val="single" w:sz="8" w:space="0" w:color="000000"/>
            </w:tcBorders>
          </w:tcPr>
          <w:p w14:paraId="6221D2C9" w14:textId="77777777" w:rsidR="00FA4AA8" w:rsidRDefault="00FA4AA8">
            <w:pPr>
              <w:pStyle w:val="TableParagraph"/>
              <w:rPr>
                <w:rFonts w:ascii="Times New Roman"/>
                <w:sz w:val="18"/>
              </w:rPr>
            </w:pPr>
          </w:p>
        </w:tc>
      </w:tr>
      <w:tr w:rsidR="00FA4AA8" w14:paraId="2B0997CC" w14:textId="77777777">
        <w:trPr>
          <w:trHeight w:val="200"/>
        </w:trPr>
        <w:tc>
          <w:tcPr>
            <w:tcW w:w="3441" w:type="dxa"/>
          </w:tcPr>
          <w:p w14:paraId="11A6F041" w14:textId="77777777" w:rsidR="00FA4AA8" w:rsidRDefault="0015611F">
            <w:pPr>
              <w:pStyle w:val="TableParagraph"/>
              <w:spacing w:line="173" w:lineRule="exact"/>
              <w:ind w:left="50"/>
              <w:rPr>
                <w:b/>
                <w:sz w:val="18"/>
              </w:rPr>
            </w:pPr>
            <w:r>
              <w:rPr>
                <w:b/>
                <w:sz w:val="18"/>
              </w:rPr>
              <w:t>statement of financial position</w:t>
            </w:r>
          </w:p>
        </w:tc>
        <w:tc>
          <w:tcPr>
            <w:tcW w:w="894" w:type="dxa"/>
          </w:tcPr>
          <w:p w14:paraId="4C5BAE33" w14:textId="77777777" w:rsidR="00FA4AA8" w:rsidRDefault="00FA4AA8">
            <w:pPr>
              <w:pStyle w:val="TableParagraph"/>
              <w:rPr>
                <w:rFonts w:ascii="Times New Roman"/>
                <w:sz w:val="12"/>
              </w:rPr>
            </w:pPr>
          </w:p>
        </w:tc>
        <w:tc>
          <w:tcPr>
            <w:tcW w:w="1475" w:type="dxa"/>
            <w:tcBorders>
              <w:bottom w:val="single" w:sz="8" w:space="0" w:color="000000"/>
            </w:tcBorders>
          </w:tcPr>
          <w:p w14:paraId="7436CA64" w14:textId="77777777" w:rsidR="00FA4AA8" w:rsidRDefault="0015611F">
            <w:pPr>
              <w:pStyle w:val="TableParagraph"/>
              <w:spacing w:line="173" w:lineRule="exact"/>
              <w:ind w:right="267"/>
              <w:jc w:val="right"/>
              <w:rPr>
                <w:sz w:val="18"/>
              </w:rPr>
            </w:pPr>
            <w:r>
              <w:rPr>
                <w:sz w:val="18"/>
              </w:rPr>
              <w:t>15,570</w:t>
            </w:r>
          </w:p>
        </w:tc>
        <w:tc>
          <w:tcPr>
            <w:tcW w:w="1296" w:type="dxa"/>
            <w:tcBorders>
              <w:bottom w:val="single" w:sz="8" w:space="0" w:color="000000"/>
            </w:tcBorders>
          </w:tcPr>
          <w:p w14:paraId="74FF65CC" w14:textId="77777777" w:rsidR="00FA4AA8" w:rsidRDefault="0015611F">
            <w:pPr>
              <w:pStyle w:val="TableParagraph"/>
              <w:spacing w:line="173" w:lineRule="exact"/>
              <w:ind w:right="267"/>
              <w:jc w:val="right"/>
              <w:rPr>
                <w:sz w:val="18"/>
              </w:rPr>
            </w:pPr>
            <w:r>
              <w:rPr>
                <w:sz w:val="18"/>
              </w:rPr>
              <w:t>3,738</w:t>
            </w:r>
          </w:p>
        </w:tc>
        <w:tc>
          <w:tcPr>
            <w:tcW w:w="1296" w:type="dxa"/>
            <w:tcBorders>
              <w:bottom w:val="single" w:sz="8" w:space="0" w:color="000000"/>
            </w:tcBorders>
          </w:tcPr>
          <w:p w14:paraId="04F12C8A" w14:textId="77777777" w:rsidR="00FA4AA8" w:rsidRDefault="0015611F">
            <w:pPr>
              <w:pStyle w:val="TableParagraph"/>
              <w:spacing w:line="173" w:lineRule="exact"/>
              <w:ind w:right="267"/>
              <w:jc w:val="right"/>
              <w:rPr>
                <w:sz w:val="18"/>
              </w:rPr>
            </w:pPr>
            <w:r>
              <w:rPr>
                <w:sz w:val="18"/>
              </w:rPr>
              <w:t>360,719</w:t>
            </w:r>
          </w:p>
        </w:tc>
        <w:tc>
          <w:tcPr>
            <w:tcW w:w="1117" w:type="dxa"/>
            <w:tcBorders>
              <w:bottom w:val="single" w:sz="8" w:space="0" w:color="000000"/>
            </w:tcBorders>
          </w:tcPr>
          <w:p w14:paraId="33464D20" w14:textId="77777777" w:rsidR="00FA4AA8" w:rsidRDefault="0015611F">
            <w:pPr>
              <w:pStyle w:val="TableParagraph"/>
              <w:spacing w:line="173" w:lineRule="exact"/>
              <w:ind w:right="88"/>
              <w:jc w:val="right"/>
              <w:rPr>
                <w:sz w:val="18"/>
              </w:rPr>
            </w:pPr>
            <w:r>
              <w:rPr>
                <w:sz w:val="18"/>
              </w:rPr>
              <w:t>380,027</w:t>
            </w:r>
          </w:p>
        </w:tc>
      </w:tr>
      <w:tr w:rsidR="00FA4AA8" w14:paraId="0EFA1838" w14:textId="77777777">
        <w:trPr>
          <w:trHeight w:val="337"/>
        </w:trPr>
        <w:tc>
          <w:tcPr>
            <w:tcW w:w="3441" w:type="dxa"/>
          </w:tcPr>
          <w:p w14:paraId="2A11386A" w14:textId="77777777" w:rsidR="00FA4AA8" w:rsidRDefault="0015611F">
            <w:pPr>
              <w:pStyle w:val="TableParagraph"/>
              <w:spacing w:before="84"/>
              <w:ind w:left="50"/>
              <w:rPr>
                <w:b/>
                <w:sz w:val="18"/>
              </w:rPr>
            </w:pPr>
            <w:r>
              <w:rPr>
                <w:b/>
                <w:sz w:val="18"/>
              </w:rPr>
              <w:t>Assets</w:t>
            </w:r>
          </w:p>
        </w:tc>
        <w:tc>
          <w:tcPr>
            <w:tcW w:w="894" w:type="dxa"/>
          </w:tcPr>
          <w:p w14:paraId="71AE0309" w14:textId="77777777" w:rsidR="00FA4AA8" w:rsidRDefault="00FA4AA8">
            <w:pPr>
              <w:pStyle w:val="TableParagraph"/>
              <w:rPr>
                <w:rFonts w:ascii="Times New Roman"/>
                <w:sz w:val="18"/>
              </w:rPr>
            </w:pPr>
          </w:p>
        </w:tc>
        <w:tc>
          <w:tcPr>
            <w:tcW w:w="1475" w:type="dxa"/>
            <w:tcBorders>
              <w:top w:val="single" w:sz="8" w:space="0" w:color="000000"/>
            </w:tcBorders>
          </w:tcPr>
          <w:p w14:paraId="3BB769E1" w14:textId="77777777" w:rsidR="00FA4AA8" w:rsidRDefault="00FA4AA8">
            <w:pPr>
              <w:pStyle w:val="TableParagraph"/>
              <w:rPr>
                <w:rFonts w:ascii="Times New Roman"/>
                <w:sz w:val="18"/>
              </w:rPr>
            </w:pPr>
          </w:p>
        </w:tc>
        <w:tc>
          <w:tcPr>
            <w:tcW w:w="1296" w:type="dxa"/>
            <w:tcBorders>
              <w:top w:val="single" w:sz="8" w:space="0" w:color="000000"/>
            </w:tcBorders>
          </w:tcPr>
          <w:p w14:paraId="0665AF17" w14:textId="77777777" w:rsidR="00FA4AA8" w:rsidRDefault="00FA4AA8">
            <w:pPr>
              <w:pStyle w:val="TableParagraph"/>
              <w:rPr>
                <w:rFonts w:ascii="Times New Roman"/>
                <w:sz w:val="18"/>
              </w:rPr>
            </w:pPr>
          </w:p>
        </w:tc>
        <w:tc>
          <w:tcPr>
            <w:tcW w:w="1296" w:type="dxa"/>
            <w:tcBorders>
              <w:top w:val="single" w:sz="8" w:space="0" w:color="000000"/>
            </w:tcBorders>
          </w:tcPr>
          <w:p w14:paraId="05FAAA60" w14:textId="77777777" w:rsidR="00FA4AA8" w:rsidRDefault="00FA4AA8">
            <w:pPr>
              <w:pStyle w:val="TableParagraph"/>
              <w:rPr>
                <w:rFonts w:ascii="Times New Roman"/>
                <w:sz w:val="18"/>
              </w:rPr>
            </w:pPr>
          </w:p>
        </w:tc>
        <w:tc>
          <w:tcPr>
            <w:tcW w:w="1117" w:type="dxa"/>
            <w:tcBorders>
              <w:top w:val="single" w:sz="8" w:space="0" w:color="000000"/>
            </w:tcBorders>
          </w:tcPr>
          <w:p w14:paraId="7C66CE02" w14:textId="77777777" w:rsidR="00FA4AA8" w:rsidRDefault="00FA4AA8">
            <w:pPr>
              <w:pStyle w:val="TableParagraph"/>
              <w:rPr>
                <w:rFonts w:ascii="Times New Roman"/>
                <w:sz w:val="18"/>
              </w:rPr>
            </w:pPr>
          </w:p>
        </w:tc>
      </w:tr>
      <w:tr w:rsidR="00FA4AA8" w14:paraId="176848F3" w14:textId="77777777">
        <w:trPr>
          <w:trHeight w:val="446"/>
        </w:trPr>
        <w:tc>
          <w:tcPr>
            <w:tcW w:w="3441" w:type="dxa"/>
          </w:tcPr>
          <w:p w14:paraId="2B7FC8A1" w14:textId="77777777" w:rsidR="00FA4AA8" w:rsidRDefault="0015611F">
            <w:pPr>
              <w:pStyle w:val="TableParagraph"/>
              <w:spacing w:line="186" w:lineRule="exact"/>
              <w:ind w:left="50"/>
              <w:rPr>
                <w:sz w:val="18"/>
              </w:rPr>
            </w:pPr>
            <w:r>
              <w:rPr>
                <w:sz w:val="18"/>
              </w:rPr>
              <w:t>Receivables for deferred government</w:t>
            </w:r>
          </w:p>
          <w:p w14:paraId="60408960" w14:textId="77777777" w:rsidR="00FA4AA8" w:rsidRDefault="0015611F">
            <w:pPr>
              <w:pStyle w:val="TableParagraph"/>
              <w:spacing w:line="207" w:lineRule="exact"/>
              <w:ind w:left="50"/>
              <w:rPr>
                <w:sz w:val="18"/>
              </w:rPr>
            </w:pPr>
            <w:r>
              <w:rPr>
                <w:sz w:val="18"/>
              </w:rPr>
              <w:t>contribution for superannuation</w:t>
            </w:r>
          </w:p>
        </w:tc>
        <w:tc>
          <w:tcPr>
            <w:tcW w:w="894" w:type="dxa"/>
          </w:tcPr>
          <w:p w14:paraId="26E30D41" w14:textId="77777777" w:rsidR="00FA4AA8" w:rsidRDefault="00FA4AA8">
            <w:pPr>
              <w:pStyle w:val="TableParagraph"/>
              <w:spacing w:before="1"/>
              <w:rPr>
                <w:b/>
                <w:sz w:val="16"/>
              </w:rPr>
            </w:pPr>
          </w:p>
          <w:p w14:paraId="6F80473C" w14:textId="77777777" w:rsidR="00FA4AA8" w:rsidRDefault="0015611F">
            <w:pPr>
              <w:pStyle w:val="TableParagraph"/>
              <w:ind w:left="391" w:right="61"/>
              <w:jc w:val="center"/>
              <w:rPr>
                <w:sz w:val="18"/>
              </w:rPr>
            </w:pPr>
            <w:r>
              <w:rPr>
                <w:sz w:val="18"/>
              </w:rPr>
              <w:t>17</w:t>
            </w:r>
          </w:p>
        </w:tc>
        <w:tc>
          <w:tcPr>
            <w:tcW w:w="1475" w:type="dxa"/>
            <w:tcBorders>
              <w:bottom w:val="single" w:sz="8" w:space="0" w:color="000000"/>
            </w:tcBorders>
          </w:tcPr>
          <w:p w14:paraId="2739B3B9" w14:textId="77777777" w:rsidR="00FA4AA8" w:rsidRDefault="00FA4AA8">
            <w:pPr>
              <w:pStyle w:val="TableParagraph"/>
              <w:spacing w:before="10"/>
              <w:rPr>
                <w:b/>
                <w:sz w:val="15"/>
              </w:rPr>
            </w:pPr>
          </w:p>
          <w:p w14:paraId="6BB07B79" w14:textId="77777777" w:rsidR="00FA4AA8" w:rsidRDefault="0015611F">
            <w:pPr>
              <w:pStyle w:val="TableParagraph"/>
              <w:spacing w:before="1"/>
              <w:ind w:right="267"/>
              <w:jc w:val="right"/>
              <w:rPr>
                <w:sz w:val="18"/>
              </w:rPr>
            </w:pPr>
            <w:r>
              <w:rPr>
                <w:sz w:val="18"/>
              </w:rPr>
              <w:t>13,403</w:t>
            </w:r>
          </w:p>
        </w:tc>
        <w:tc>
          <w:tcPr>
            <w:tcW w:w="1296" w:type="dxa"/>
            <w:tcBorders>
              <w:bottom w:val="single" w:sz="8" w:space="0" w:color="000000"/>
            </w:tcBorders>
          </w:tcPr>
          <w:p w14:paraId="6C7DC4CB" w14:textId="77777777" w:rsidR="00FA4AA8" w:rsidRDefault="00FA4AA8">
            <w:pPr>
              <w:pStyle w:val="TableParagraph"/>
              <w:spacing w:before="10"/>
              <w:rPr>
                <w:b/>
                <w:sz w:val="15"/>
              </w:rPr>
            </w:pPr>
          </w:p>
          <w:p w14:paraId="2FF3990E" w14:textId="77777777" w:rsidR="00FA4AA8" w:rsidRDefault="0015611F">
            <w:pPr>
              <w:pStyle w:val="TableParagraph"/>
              <w:spacing w:before="1"/>
              <w:ind w:right="267"/>
              <w:jc w:val="right"/>
              <w:rPr>
                <w:sz w:val="18"/>
              </w:rPr>
            </w:pPr>
            <w:r>
              <w:rPr>
                <w:sz w:val="18"/>
              </w:rPr>
              <w:t>3,229</w:t>
            </w:r>
          </w:p>
        </w:tc>
        <w:tc>
          <w:tcPr>
            <w:tcW w:w="1296" w:type="dxa"/>
            <w:tcBorders>
              <w:bottom w:val="single" w:sz="8" w:space="0" w:color="000000"/>
            </w:tcBorders>
          </w:tcPr>
          <w:p w14:paraId="2F438AEC" w14:textId="77777777" w:rsidR="00FA4AA8" w:rsidRDefault="00FA4AA8">
            <w:pPr>
              <w:pStyle w:val="TableParagraph"/>
              <w:spacing w:before="10"/>
              <w:rPr>
                <w:b/>
                <w:sz w:val="15"/>
              </w:rPr>
            </w:pPr>
          </w:p>
          <w:p w14:paraId="4D355B99" w14:textId="77777777" w:rsidR="00FA4AA8" w:rsidRDefault="0015611F">
            <w:pPr>
              <w:pStyle w:val="TableParagraph"/>
              <w:spacing w:before="1"/>
              <w:ind w:right="267"/>
              <w:jc w:val="right"/>
              <w:rPr>
                <w:sz w:val="18"/>
              </w:rPr>
            </w:pPr>
            <w:r>
              <w:rPr>
                <w:sz w:val="18"/>
              </w:rPr>
              <w:t>353,310</w:t>
            </w:r>
          </w:p>
        </w:tc>
        <w:tc>
          <w:tcPr>
            <w:tcW w:w="1117" w:type="dxa"/>
            <w:tcBorders>
              <w:bottom w:val="single" w:sz="8" w:space="0" w:color="000000"/>
            </w:tcBorders>
          </w:tcPr>
          <w:p w14:paraId="1307CA96" w14:textId="77777777" w:rsidR="00FA4AA8" w:rsidRDefault="00FA4AA8">
            <w:pPr>
              <w:pStyle w:val="TableParagraph"/>
              <w:spacing w:before="10"/>
              <w:rPr>
                <w:b/>
                <w:sz w:val="15"/>
              </w:rPr>
            </w:pPr>
          </w:p>
          <w:p w14:paraId="2CF39357" w14:textId="77777777" w:rsidR="00FA4AA8" w:rsidRDefault="0015611F">
            <w:pPr>
              <w:pStyle w:val="TableParagraph"/>
              <w:spacing w:before="1"/>
              <w:ind w:right="88"/>
              <w:jc w:val="right"/>
              <w:rPr>
                <w:sz w:val="18"/>
              </w:rPr>
            </w:pPr>
            <w:r>
              <w:rPr>
                <w:sz w:val="18"/>
              </w:rPr>
              <w:t>369,942</w:t>
            </w:r>
          </w:p>
        </w:tc>
      </w:tr>
      <w:tr w:rsidR="00FA4AA8" w14:paraId="123DF44D" w14:textId="77777777">
        <w:trPr>
          <w:trHeight w:val="324"/>
        </w:trPr>
        <w:tc>
          <w:tcPr>
            <w:tcW w:w="3441" w:type="dxa"/>
          </w:tcPr>
          <w:p w14:paraId="16C34BAD" w14:textId="77777777" w:rsidR="00FA4AA8" w:rsidRDefault="0015611F">
            <w:pPr>
              <w:pStyle w:val="TableParagraph"/>
              <w:spacing w:before="84"/>
              <w:ind w:left="50"/>
              <w:rPr>
                <w:b/>
                <w:sz w:val="18"/>
              </w:rPr>
            </w:pPr>
            <w:r>
              <w:rPr>
                <w:b/>
                <w:sz w:val="18"/>
              </w:rPr>
              <w:t>Total assets recognised in the</w:t>
            </w:r>
          </w:p>
        </w:tc>
        <w:tc>
          <w:tcPr>
            <w:tcW w:w="894" w:type="dxa"/>
          </w:tcPr>
          <w:p w14:paraId="5D3AE491" w14:textId="77777777" w:rsidR="00FA4AA8" w:rsidRDefault="00FA4AA8">
            <w:pPr>
              <w:pStyle w:val="TableParagraph"/>
              <w:rPr>
                <w:rFonts w:ascii="Times New Roman"/>
                <w:sz w:val="18"/>
              </w:rPr>
            </w:pPr>
          </w:p>
        </w:tc>
        <w:tc>
          <w:tcPr>
            <w:tcW w:w="1475" w:type="dxa"/>
            <w:tcBorders>
              <w:top w:val="single" w:sz="8" w:space="0" w:color="000000"/>
            </w:tcBorders>
          </w:tcPr>
          <w:p w14:paraId="375F7BC6" w14:textId="77777777" w:rsidR="00FA4AA8" w:rsidRDefault="00FA4AA8">
            <w:pPr>
              <w:pStyle w:val="TableParagraph"/>
              <w:rPr>
                <w:rFonts w:ascii="Times New Roman"/>
                <w:sz w:val="18"/>
              </w:rPr>
            </w:pPr>
          </w:p>
        </w:tc>
        <w:tc>
          <w:tcPr>
            <w:tcW w:w="1296" w:type="dxa"/>
            <w:tcBorders>
              <w:top w:val="single" w:sz="8" w:space="0" w:color="000000"/>
            </w:tcBorders>
          </w:tcPr>
          <w:p w14:paraId="651C2063" w14:textId="77777777" w:rsidR="00FA4AA8" w:rsidRDefault="00FA4AA8">
            <w:pPr>
              <w:pStyle w:val="TableParagraph"/>
              <w:rPr>
                <w:rFonts w:ascii="Times New Roman"/>
                <w:sz w:val="18"/>
              </w:rPr>
            </w:pPr>
          </w:p>
        </w:tc>
        <w:tc>
          <w:tcPr>
            <w:tcW w:w="1296" w:type="dxa"/>
            <w:tcBorders>
              <w:top w:val="single" w:sz="8" w:space="0" w:color="000000"/>
            </w:tcBorders>
          </w:tcPr>
          <w:p w14:paraId="03135E6B" w14:textId="77777777" w:rsidR="00FA4AA8" w:rsidRDefault="00FA4AA8">
            <w:pPr>
              <w:pStyle w:val="TableParagraph"/>
              <w:rPr>
                <w:rFonts w:ascii="Times New Roman"/>
                <w:sz w:val="18"/>
              </w:rPr>
            </w:pPr>
          </w:p>
        </w:tc>
        <w:tc>
          <w:tcPr>
            <w:tcW w:w="1117" w:type="dxa"/>
            <w:tcBorders>
              <w:top w:val="single" w:sz="8" w:space="0" w:color="000000"/>
            </w:tcBorders>
          </w:tcPr>
          <w:p w14:paraId="1919EA4B" w14:textId="77777777" w:rsidR="00FA4AA8" w:rsidRDefault="00FA4AA8">
            <w:pPr>
              <w:pStyle w:val="TableParagraph"/>
              <w:rPr>
                <w:rFonts w:ascii="Times New Roman"/>
                <w:sz w:val="18"/>
              </w:rPr>
            </w:pPr>
          </w:p>
        </w:tc>
      </w:tr>
      <w:tr w:rsidR="00FA4AA8" w14:paraId="3D3B83A1" w14:textId="77777777">
        <w:trPr>
          <w:trHeight w:val="200"/>
        </w:trPr>
        <w:tc>
          <w:tcPr>
            <w:tcW w:w="3441" w:type="dxa"/>
          </w:tcPr>
          <w:p w14:paraId="6DD1E92A" w14:textId="77777777" w:rsidR="00FA4AA8" w:rsidRDefault="0015611F">
            <w:pPr>
              <w:pStyle w:val="TableParagraph"/>
              <w:spacing w:line="173" w:lineRule="exact"/>
              <w:ind w:left="50"/>
              <w:rPr>
                <w:b/>
                <w:sz w:val="18"/>
              </w:rPr>
            </w:pPr>
            <w:r>
              <w:rPr>
                <w:b/>
                <w:sz w:val="18"/>
              </w:rPr>
              <w:t>statement of financial position</w:t>
            </w:r>
          </w:p>
        </w:tc>
        <w:tc>
          <w:tcPr>
            <w:tcW w:w="894" w:type="dxa"/>
          </w:tcPr>
          <w:p w14:paraId="28EADD21" w14:textId="77777777" w:rsidR="00FA4AA8" w:rsidRDefault="00FA4AA8">
            <w:pPr>
              <w:pStyle w:val="TableParagraph"/>
              <w:rPr>
                <w:rFonts w:ascii="Times New Roman"/>
                <w:sz w:val="12"/>
              </w:rPr>
            </w:pPr>
          </w:p>
        </w:tc>
        <w:tc>
          <w:tcPr>
            <w:tcW w:w="1475" w:type="dxa"/>
            <w:tcBorders>
              <w:bottom w:val="single" w:sz="8" w:space="0" w:color="000000"/>
            </w:tcBorders>
          </w:tcPr>
          <w:p w14:paraId="553211FB" w14:textId="77777777" w:rsidR="00FA4AA8" w:rsidRDefault="0015611F">
            <w:pPr>
              <w:pStyle w:val="TableParagraph"/>
              <w:spacing w:line="173" w:lineRule="exact"/>
              <w:ind w:right="267"/>
              <w:jc w:val="right"/>
              <w:rPr>
                <w:b/>
                <w:sz w:val="18"/>
              </w:rPr>
            </w:pPr>
            <w:r>
              <w:rPr>
                <w:b/>
                <w:sz w:val="18"/>
              </w:rPr>
              <w:t>13,403</w:t>
            </w:r>
          </w:p>
        </w:tc>
        <w:tc>
          <w:tcPr>
            <w:tcW w:w="1296" w:type="dxa"/>
            <w:tcBorders>
              <w:bottom w:val="single" w:sz="8" w:space="0" w:color="000000"/>
            </w:tcBorders>
          </w:tcPr>
          <w:p w14:paraId="7CE89F99" w14:textId="77777777" w:rsidR="00FA4AA8" w:rsidRDefault="0015611F">
            <w:pPr>
              <w:pStyle w:val="TableParagraph"/>
              <w:spacing w:line="173" w:lineRule="exact"/>
              <w:ind w:right="267"/>
              <w:jc w:val="right"/>
              <w:rPr>
                <w:b/>
                <w:sz w:val="18"/>
              </w:rPr>
            </w:pPr>
            <w:r>
              <w:rPr>
                <w:b/>
                <w:sz w:val="18"/>
              </w:rPr>
              <w:t>3,229</w:t>
            </w:r>
          </w:p>
        </w:tc>
        <w:tc>
          <w:tcPr>
            <w:tcW w:w="1296" w:type="dxa"/>
            <w:tcBorders>
              <w:bottom w:val="single" w:sz="8" w:space="0" w:color="000000"/>
            </w:tcBorders>
          </w:tcPr>
          <w:p w14:paraId="033FB37C" w14:textId="77777777" w:rsidR="00FA4AA8" w:rsidRDefault="0015611F">
            <w:pPr>
              <w:pStyle w:val="TableParagraph"/>
              <w:spacing w:line="173" w:lineRule="exact"/>
              <w:ind w:right="267"/>
              <w:jc w:val="right"/>
              <w:rPr>
                <w:b/>
                <w:sz w:val="18"/>
              </w:rPr>
            </w:pPr>
            <w:r>
              <w:rPr>
                <w:b/>
                <w:sz w:val="18"/>
              </w:rPr>
              <w:t>353,310</w:t>
            </w:r>
          </w:p>
        </w:tc>
        <w:tc>
          <w:tcPr>
            <w:tcW w:w="1117" w:type="dxa"/>
            <w:tcBorders>
              <w:bottom w:val="single" w:sz="8" w:space="0" w:color="000000"/>
            </w:tcBorders>
          </w:tcPr>
          <w:p w14:paraId="3DD55C1C" w14:textId="77777777" w:rsidR="00FA4AA8" w:rsidRDefault="0015611F">
            <w:pPr>
              <w:pStyle w:val="TableParagraph"/>
              <w:spacing w:line="173" w:lineRule="exact"/>
              <w:ind w:right="88"/>
              <w:jc w:val="right"/>
              <w:rPr>
                <w:b/>
                <w:sz w:val="18"/>
              </w:rPr>
            </w:pPr>
            <w:r>
              <w:rPr>
                <w:b/>
                <w:sz w:val="18"/>
              </w:rPr>
              <w:t>369,942</w:t>
            </w:r>
          </w:p>
        </w:tc>
      </w:tr>
      <w:tr w:rsidR="00FA4AA8" w14:paraId="42BA1527" w14:textId="77777777">
        <w:trPr>
          <w:trHeight w:val="324"/>
        </w:trPr>
        <w:tc>
          <w:tcPr>
            <w:tcW w:w="3441" w:type="dxa"/>
          </w:tcPr>
          <w:p w14:paraId="2F357FB8" w14:textId="77777777" w:rsidR="00FA4AA8" w:rsidRDefault="0015611F">
            <w:pPr>
              <w:pStyle w:val="TableParagraph"/>
              <w:spacing w:before="84"/>
              <w:ind w:left="50"/>
              <w:rPr>
                <w:b/>
                <w:sz w:val="18"/>
              </w:rPr>
            </w:pPr>
            <w:r>
              <w:rPr>
                <w:b/>
                <w:sz w:val="18"/>
              </w:rPr>
              <w:t>Net liability recognised in the</w:t>
            </w:r>
          </w:p>
        </w:tc>
        <w:tc>
          <w:tcPr>
            <w:tcW w:w="894" w:type="dxa"/>
          </w:tcPr>
          <w:p w14:paraId="32719395" w14:textId="77777777" w:rsidR="00FA4AA8" w:rsidRDefault="00FA4AA8">
            <w:pPr>
              <w:pStyle w:val="TableParagraph"/>
              <w:rPr>
                <w:rFonts w:ascii="Times New Roman"/>
                <w:sz w:val="18"/>
              </w:rPr>
            </w:pPr>
          </w:p>
        </w:tc>
        <w:tc>
          <w:tcPr>
            <w:tcW w:w="1475" w:type="dxa"/>
            <w:tcBorders>
              <w:top w:val="single" w:sz="8" w:space="0" w:color="000000"/>
            </w:tcBorders>
          </w:tcPr>
          <w:p w14:paraId="4A377785" w14:textId="77777777" w:rsidR="00FA4AA8" w:rsidRDefault="00FA4AA8">
            <w:pPr>
              <w:pStyle w:val="TableParagraph"/>
              <w:rPr>
                <w:rFonts w:ascii="Times New Roman"/>
                <w:sz w:val="18"/>
              </w:rPr>
            </w:pPr>
          </w:p>
        </w:tc>
        <w:tc>
          <w:tcPr>
            <w:tcW w:w="1296" w:type="dxa"/>
            <w:tcBorders>
              <w:top w:val="single" w:sz="8" w:space="0" w:color="000000"/>
            </w:tcBorders>
          </w:tcPr>
          <w:p w14:paraId="4CF11297" w14:textId="77777777" w:rsidR="00FA4AA8" w:rsidRDefault="00FA4AA8">
            <w:pPr>
              <w:pStyle w:val="TableParagraph"/>
              <w:rPr>
                <w:rFonts w:ascii="Times New Roman"/>
                <w:sz w:val="18"/>
              </w:rPr>
            </w:pPr>
          </w:p>
        </w:tc>
        <w:tc>
          <w:tcPr>
            <w:tcW w:w="1296" w:type="dxa"/>
            <w:tcBorders>
              <w:top w:val="single" w:sz="8" w:space="0" w:color="000000"/>
            </w:tcBorders>
          </w:tcPr>
          <w:p w14:paraId="57630C90" w14:textId="77777777" w:rsidR="00FA4AA8" w:rsidRDefault="00FA4AA8">
            <w:pPr>
              <w:pStyle w:val="TableParagraph"/>
              <w:rPr>
                <w:rFonts w:ascii="Times New Roman"/>
                <w:sz w:val="18"/>
              </w:rPr>
            </w:pPr>
          </w:p>
        </w:tc>
        <w:tc>
          <w:tcPr>
            <w:tcW w:w="1117" w:type="dxa"/>
            <w:tcBorders>
              <w:top w:val="single" w:sz="8" w:space="0" w:color="000000"/>
            </w:tcBorders>
          </w:tcPr>
          <w:p w14:paraId="0DE5C4C3" w14:textId="77777777" w:rsidR="00FA4AA8" w:rsidRDefault="00FA4AA8">
            <w:pPr>
              <w:pStyle w:val="TableParagraph"/>
              <w:rPr>
                <w:rFonts w:ascii="Times New Roman"/>
                <w:sz w:val="18"/>
              </w:rPr>
            </w:pPr>
          </w:p>
        </w:tc>
      </w:tr>
      <w:tr w:rsidR="00FA4AA8" w14:paraId="34910D61" w14:textId="77777777">
        <w:trPr>
          <w:trHeight w:val="201"/>
        </w:trPr>
        <w:tc>
          <w:tcPr>
            <w:tcW w:w="3441" w:type="dxa"/>
          </w:tcPr>
          <w:p w14:paraId="77CA485D" w14:textId="77777777" w:rsidR="00FA4AA8" w:rsidRDefault="0015611F">
            <w:pPr>
              <w:pStyle w:val="TableParagraph"/>
              <w:spacing w:line="173" w:lineRule="exact"/>
              <w:ind w:left="50"/>
              <w:rPr>
                <w:b/>
                <w:sz w:val="18"/>
              </w:rPr>
            </w:pPr>
            <w:r>
              <w:rPr>
                <w:b/>
                <w:sz w:val="18"/>
              </w:rPr>
              <w:t>statement of financial position</w:t>
            </w:r>
          </w:p>
        </w:tc>
        <w:tc>
          <w:tcPr>
            <w:tcW w:w="894" w:type="dxa"/>
          </w:tcPr>
          <w:p w14:paraId="264717C4" w14:textId="77777777" w:rsidR="00FA4AA8" w:rsidRDefault="00FA4AA8">
            <w:pPr>
              <w:pStyle w:val="TableParagraph"/>
              <w:rPr>
                <w:rFonts w:ascii="Times New Roman"/>
                <w:sz w:val="14"/>
              </w:rPr>
            </w:pPr>
          </w:p>
        </w:tc>
        <w:tc>
          <w:tcPr>
            <w:tcW w:w="1475" w:type="dxa"/>
            <w:tcBorders>
              <w:bottom w:val="double" w:sz="2" w:space="0" w:color="000000"/>
            </w:tcBorders>
          </w:tcPr>
          <w:p w14:paraId="106776F9" w14:textId="77777777" w:rsidR="00FA4AA8" w:rsidRDefault="0015611F">
            <w:pPr>
              <w:pStyle w:val="TableParagraph"/>
              <w:spacing w:line="173" w:lineRule="exact"/>
              <w:ind w:right="267"/>
              <w:jc w:val="right"/>
              <w:rPr>
                <w:b/>
                <w:sz w:val="18"/>
              </w:rPr>
            </w:pPr>
            <w:r>
              <w:rPr>
                <w:b/>
                <w:sz w:val="18"/>
              </w:rPr>
              <w:t>2,167</w:t>
            </w:r>
          </w:p>
        </w:tc>
        <w:tc>
          <w:tcPr>
            <w:tcW w:w="1296" w:type="dxa"/>
            <w:tcBorders>
              <w:bottom w:val="double" w:sz="2" w:space="0" w:color="000000"/>
            </w:tcBorders>
          </w:tcPr>
          <w:p w14:paraId="6C4BEDD8" w14:textId="77777777" w:rsidR="00FA4AA8" w:rsidRDefault="0015611F">
            <w:pPr>
              <w:pStyle w:val="TableParagraph"/>
              <w:spacing w:line="173" w:lineRule="exact"/>
              <w:ind w:right="266"/>
              <w:jc w:val="right"/>
              <w:rPr>
                <w:b/>
                <w:sz w:val="18"/>
              </w:rPr>
            </w:pPr>
            <w:r>
              <w:rPr>
                <w:b/>
                <w:sz w:val="18"/>
              </w:rPr>
              <w:t>509</w:t>
            </w:r>
          </w:p>
        </w:tc>
        <w:tc>
          <w:tcPr>
            <w:tcW w:w="1296" w:type="dxa"/>
            <w:tcBorders>
              <w:bottom w:val="double" w:sz="2" w:space="0" w:color="000000"/>
            </w:tcBorders>
          </w:tcPr>
          <w:p w14:paraId="37F06AEF" w14:textId="77777777" w:rsidR="00FA4AA8" w:rsidRDefault="0015611F">
            <w:pPr>
              <w:pStyle w:val="TableParagraph"/>
              <w:spacing w:line="173" w:lineRule="exact"/>
              <w:ind w:right="267"/>
              <w:jc w:val="right"/>
              <w:rPr>
                <w:b/>
                <w:sz w:val="18"/>
              </w:rPr>
            </w:pPr>
            <w:r>
              <w:rPr>
                <w:b/>
                <w:sz w:val="18"/>
              </w:rPr>
              <w:t>7,409</w:t>
            </w:r>
          </w:p>
        </w:tc>
        <w:tc>
          <w:tcPr>
            <w:tcW w:w="1117" w:type="dxa"/>
            <w:tcBorders>
              <w:bottom w:val="double" w:sz="2" w:space="0" w:color="000000"/>
            </w:tcBorders>
          </w:tcPr>
          <w:p w14:paraId="1D432938" w14:textId="77777777" w:rsidR="00FA4AA8" w:rsidRDefault="0015611F">
            <w:pPr>
              <w:pStyle w:val="TableParagraph"/>
              <w:spacing w:line="173" w:lineRule="exact"/>
              <w:ind w:right="88"/>
              <w:jc w:val="right"/>
              <w:rPr>
                <w:b/>
                <w:sz w:val="18"/>
              </w:rPr>
            </w:pPr>
            <w:r>
              <w:rPr>
                <w:b/>
                <w:sz w:val="18"/>
              </w:rPr>
              <w:t>10,085</w:t>
            </w:r>
          </w:p>
        </w:tc>
      </w:tr>
    </w:tbl>
    <w:p w14:paraId="3BBB1961" w14:textId="77777777" w:rsidR="00FA4AA8" w:rsidRDefault="00FA4AA8">
      <w:pPr>
        <w:pStyle w:val="BodyText"/>
        <w:rPr>
          <w:b/>
          <w:sz w:val="20"/>
        </w:rPr>
      </w:pPr>
    </w:p>
    <w:p w14:paraId="13C98199" w14:textId="77777777" w:rsidR="00FA4AA8" w:rsidRDefault="00FA4AA8">
      <w:pPr>
        <w:pStyle w:val="BodyText"/>
        <w:rPr>
          <w:b/>
          <w:sz w:val="20"/>
        </w:rPr>
      </w:pPr>
    </w:p>
    <w:p w14:paraId="347D7884" w14:textId="77777777" w:rsidR="00FA4AA8" w:rsidRDefault="00FA4AA8">
      <w:pPr>
        <w:pStyle w:val="BodyText"/>
        <w:spacing w:before="8"/>
        <w:rPr>
          <w:b/>
          <w:sz w:val="11"/>
        </w:rPr>
      </w:pPr>
    </w:p>
    <w:tbl>
      <w:tblPr>
        <w:tblW w:w="0" w:type="auto"/>
        <w:tblInd w:w="564" w:type="dxa"/>
        <w:tblLayout w:type="fixed"/>
        <w:tblCellMar>
          <w:left w:w="0" w:type="dxa"/>
          <w:right w:w="0" w:type="dxa"/>
        </w:tblCellMar>
        <w:tblLook w:val="01E0" w:firstRow="1" w:lastRow="1" w:firstColumn="1" w:lastColumn="1" w:noHBand="0" w:noVBand="0"/>
      </w:tblPr>
      <w:tblGrid>
        <w:gridCol w:w="3373"/>
        <w:gridCol w:w="960"/>
        <w:gridCol w:w="1628"/>
        <w:gridCol w:w="1195"/>
        <w:gridCol w:w="1296"/>
        <w:gridCol w:w="1064"/>
      </w:tblGrid>
      <w:tr w:rsidR="00FA4AA8" w14:paraId="0D6A3AE4" w14:textId="77777777">
        <w:trPr>
          <w:trHeight w:val="218"/>
        </w:trPr>
        <w:tc>
          <w:tcPr>
            <w:tcW w:w="3373" w:type="dxa"/>
          </w:tcPr>
          <w:p w14:paraId="4C8520B1" w14:textId="77777777" w:rsidR="00FA4AA8" w:rsidRDefault="0015611F">
            <w:pPr>
              <w:pStyle w:val="TableParagraph"/>
              <w:spacing w:line="198" w:lineRule="exact"/>
              <w:ind w:left="50"/>
              <w:rPr>
                <w:b/>
                <w:sz w:val="18"/>
              </w:rPr>
            </w:pPr>
            <w:r>
              <w:rPr>
                <w:b/>
                <w:sz w:val="18"/>
              </w:rPr>
              <w:t>Net liability reconciliation - 2018</w:t>
            </w:r>
          </w:p>
        </w:tc>
        <w:tc>
          <w:tcPr>
            <w:tcW w:w="6143" w:type="dxa"/>
            <w:gridSpan w:val="5"/>
          </w:tcPr>
          <w:p w14:paraId="2A43FDBE" w14:textId="77777777" w:rsidR="00FA4AA8" w:rsidRDefault="00FA4AA8">
            <w:pPr>
              <w:pStyle w:val="TableParagraph"/>
              <w:rPr>
                <w:rFonts w:ascii="Times New Roman"/>
                <w:sz w:val="14"/>
              </w:rPr>
            </w:pPr>
          </w:p>
        </w:tc>
      </w:tr>
      <w:tr w:rsidR="00FA4AA8" w14:paraId="3FD48189" w14:textId="77777777">
        <w:trPr>
          <w:trHeight w:val="250"/>
        </w:trPr>
        <w:tc>
          <w:tcPr>
            <w:tcW w:w="3373" w:type="dxa"/>
          </w:tcPr>
          <w:p w14:paraId="3F6200A3" w14:textId="77777777" w:rsidR="00FA4AA8" w:rsidRDefault="0015611F">
            <w:pPr>
              <w:pStyle w:val="TableParagraph"/>
              <w:spacing w:before="13"/>
              <w:ind w:left="50"/>
              <w:rPr>
                <w:sz w:val="18"/>
              </w:rPr>
            </w:pPr>
            <w:r>
              <w:rPr>
                <w:sz w:val="18"/>
              </w:rPr>
              <w:t>Defined benefit obligation</w:t>
            </w:r>
          </w:p>
        </w:tc>
        <w:tc>
          <w:tcPr>
            <w:tcW w:w="960" w:type="dxa"/>
          </w:tcPr>
          <w:p w14:paraId="2DBF55D1" w14:textId="77777777" w:rsidR="00FA4AA8" w:rsidRDefault="00FA4AA8">
            <w:pPr>
              <w:pStyle w:val="TableParagraph"/>
              <w:rPr>
                <w:rFonts w:ascii="Times New Roman"/>
                <w:sz w:val="18"/>
              </w:rPr>
            </w:pPr>
          </w:p>
        </w:tc>
        <w:tc>
          <w:tcPr>
            <w:tcW w:w="1628" w:type="dxa"/>
          </w:tcPr>
          <w:p w14:paraId="204BFC48" w14:textId="77777777" w:rsidR="00FA4AA8" w:rsidRDefault="0015611F">
            <w:pPr>
              <w:pStyle w:val="TableParagraph"/>
              <w:spacing w:before="11"/>
              <w:ind w:right="418"/>
              <w:jc w:val="right"/>
              <w:rPr>
                <w:sz w:val="18"/>
              </w:rPr>
            </w:pPr>
            <w:r>
              <w:rPr>
                <w:sz w:val="18"/>
              </w:rPr>
              <w:t>24,913</w:t>
            </w:r>
          </w:p>
        </w:tc>
        <w:tc>
          <w:tcPr>
            <w:tcW w:w="1195" w:type="dxa"/>
          </w:tcPr>
          <w:p w14:paraId="1E1A2954" w14:textId="77777777" w:rsidR="00FA4AA8" w:rsidRDefault="0015611F">
            <w:pPr>
              <w:pStyle w:val="TableParagraph"/>
              <w:spacing w:before="11"/>
              <w:ind w:left="422"/>
              <w:rPr>
                <w:sz w:val="18"/>
              </w:rPr>
            </w:pPr>
            <w:r>
              <w:rPr>
                <w:sz w:val="18"/>
              </w:rPr>
              <w:t>4,273</w:t>
            </w:r>
          </w:p>
        </w:tc>
        <w:tc>
          <w:tcPr>
            <w:tcW w:w="1296" w:type="dxa"/>
          </w:tcPr>
          <w:p w14:paraId="6CB046D1" w14:textId="77777777" w:rsidR="00FA4AA8" w:rsidRDefault="0015611F">
            <w:pPr>
              <w:pStyle w:val="TableParagraph"/>
              <w:spacing w:before="11"/>
              <w:ind w:right="317"/>
              <w:jc w:val="right"/>
              <w:rPr>
                <w:sz w:val="18"/>
              </w:rPr>
            </w:pPr>
            <w:r>
              <w:rPr>
                <w:sz w:val="18"/>
              </w:rPr>
              <w:t>415,803</w:t>
            </w:r>
          </w:p>
        </w:tc>
        <w:tc>
          <w:tcPr>
            <w:tcW w:w="1064" w:type="dxa"/>
          </w:tcPr>
          <w:p w14:paraId="4199AED2" w14:textId="77777777" w:rsidR="00FA4AA8" w:rsidRDefault="0015611F">
            <w:pPr>
              <w:pStyle w:val="TableParagraph"/>
              <w:spacing w:before="11"/>
              <w:ind w:left="321"/>
              <w:rPr>
                <w:sz w:val="18"/>
              </w:rPr>
            </w:pPr>
            <w:r>
              <w:rPr>
                <w:sz w:val="18"/>
              </w:rPr>
              <w:t>444,989</w:t>
            </w:r>
          </w:p>
        </w:tc>
      </w:tr>
      <w:tr w:rsidR="00FA4AA8" w14:paraId="387E15E1" w14:textId="77777777">
        <w:trPr>
          <w:trHeight w:val="262"/>
        </w:trPr>
        <w:tc>
          <w:tcPr>
            <w:tcW w:w="3373" w:type="dxa"/>
          </w:tcPr>
          <w:p w14:paraId="567A370A" w14:textId="77777777" w:rsidR="00FA4AA8" w:rsidRDefault="0015611F">
            <w:pPr>
              <w:pStyle w:val="TableParagraph"/>
              <w:spacing w:before="26"/>
              <w:ind w:left="50"/>
              <w:rPr>
                <w:sz w:val="18"/>
              </w:rPr>
            </w:pPr>
            <w:r>
              <w:rPr>
                <w:sz w:val="18"/>
              </w:rPr>
              <w:t>Fair value of plan assets</w:t>
            </w:r>
          </w:p>
        </w:tc>
        <w:tc>
          <w:tcPr>
            <w:tcW w:w="960" w:type="dxa"/>
          </w:tcPr>
          <w:p w14:paraId="299E6568" w14:textId="77777777" w:rsidR="00FA4AA8" w:rsidRDefault="00FA4AA8">
            <w:pPr>
              <w:pStyle w:val="TableParagraph"/>
              <w:rPr>
                <w:rFonts w:ascii="Times New Roman"/>
                <w:sz w:val="18"/>
              </w:rPr>
            </w:pPr>
          </w:p>
        </w:tc>
        <w:tc>
          <w:tcPr>
            <w:tcW w:w="1628" w:type="dxa"/>
          </w:tcPr>
          <w:p w14:paraId="3CA51A67" w14:textId="77777777" w:rsidR="00FA4AA8" w:rsidRDefault="0015611F">
            <w:pPr>
              <w:pStyle w:val="TableParagraph"/>
              <w:spacing w:before="24"/>
              <w:ind w:right="357"/>
              <w:jc w:val="right"/>
              <w:rPr>
                <w:sz w:val="18"/>
              </w:rPr>
            </w:pPr>
            <w:r>
              <w:rPr>
                <w:sz w:val="18"/>
              </w:rPr>
              <w:t>(9,656)</w:t>
            </w:r>
          </w:p>
        </w:tc>
        <w:tc>
          <w:tcPr>
            <w:tcW w:w="1195" w:type="dxa"/>
          </w:tcPr>
          <w:p w14:paraId="24F2B02B" w14:textId="77777777" w:rsidR="00FA4AA8" w:rsidRDefault="0015611F">
            <w:pPr>
              <w:pStyle w:val="TableParagraph"/>
              <w:spacing w:before="24"/>
              <w:ind w:right="256"/>
              <w:jc w:val="right"/>
              <w:rPr>
                <w:sz w:val="18"/>
              </w:rPr>
            </w:pPr>
            <w:r>
              <w:rPr>
                <w:sz w:val="18"/>
              </w:rPr>
              <w:t>(610)</w:t>
            </w:r>
          </w:p>
        </w:tc>
        <w:tc>
          <w:tcPr>
            <w:tcW w:w="1296" w:type="dxa"/>
          </w:tcPr>
          <w:p w14:paraId="0D5D37CB" w14:textId="77777777" w:rsidR="00FA4AA8" w:rsidRDefault="0015611F">
            <w:pPr>
              <w:pStyle w:val="TableParagraph"/>
              <w:spacing w:before="24"/>
              <w:ind w:right="256"/>
              <w:jc w:val="right"/>
              <w:rPr>
                <w:sz w:val="18"/>
              </w:rPr>
            </w:pPr>
            <w:r>
              <w:rPr>
                <w:sz w:val="18"/>
              </w:rPr>
              <w:t>(62,327)</w:t>
            </w:r>
          </w:p>
        </w:tc>
        <w:tc>
          <w:tcPr>
            <w:tcW w:w="1064" w:type="dxa"/>
          </w:tcPr>
          <w:p w14:paraId="4C3215E0" w14:textId="77777777" w:rsidR="00FA4AA8" w:rsidRDefault="0015611F">
            <w:pPr>
              <w:pStyle w:val="TableParagraph"/>
              <w:spacing w:before="24"/>
              <w:ind w:right="24"/>
              <w:jc w:val="right"/>
              <w:rPr>
                <w:sz w:val="18"/>
              </w:rPr>
            </w:pPr>
            <w:r>
              <w:rPr>
                <w:sz w:val="18"/>
              </w:rPr>
              <w:t>(72,593)</w:t>
            </w:r>
          </w:p>
        </w:tc>
      </w:tr>
      <w:tr w:rsidR="00FA4AA8" w14:paraId="6DC6052C" w14:textId="77777777">
        <w:trPr>
          <w:trHeight w:val="459"/>
        </w:trPr>
        <w:tc>
          <w:tcPr>
            <w:tcW w:w="3373" w:type="dxa"/>
          </w:tcPr>
          <w:p w14:paraId="581A3AF8" w14:textId="77777777" w:rsidR="00FA4AA8" w:rsidRDefault="0015611F">
            <w:pPr>
              <w:pStyle w:val="TableParagraph"/>
              <w:spacing w:before="23"/>
              <w:ind w:left="50" w:right="601"/>
              <w:rPr>
                <w:sz w:val="18"/>
              </w:rPr>
            </w:pPr>
            <w:r>
              <w:rPr>
                <w:sz w:val="18"/>
              </w:rPr>
              <w:t>Payroll tax oncost estimate on net liability</w:t>
            </w:r>
          </w:p>
        </w:tc>
        <w:tc>
          <w:tcPr>
            <w:tcW w:w="960" w:type="dxa"/>
          </w:tcPr>
          <w:p w14:paraId="01551AF5" w14:textId="77777777" w:rsidR="00FA4AA8" w:rsidRDefault="00FA4AA8">
            <w:pPr>
              <w:pStyle w:val="TableParagraph"/>
              <w:rPr>
                <w:rFonts w:ascii="Times New Roman"/>
                <w:sz w:val="18"/>
              </w:rPr>
            </w:pPr>
          </w:p>
        </w:tc>
        <w:tc>
          <w:tcPr>
            <w:tcW w:w="1628" w:type="dxa"/>
            <w:tcBorders>
              <w:bottom w:val="single" w:sz="8" w:space="0" w:color="000000"/>
            </w:tcBorders>
          </w:tcPr>
          <w:p w14:paraId="38F7DAD5" w14:textId="77777777" w:rsidR="00FA4AA8" w:rsidRDefault="00FA4AA8">
            <w:pPr>
              <w:pStyle w:val="TableParagraph"/>
              <w:spacing w:before="8"/>
              <w:rPr>
                <w:b/>
                <w:sz w:val="19"/>
              </w:rPr>
            </w:pPr>
          </w:p>
          <w:p w14:paraId="1792EF34" w14:textId="77777777" w:rsidR="00FA4AA8" w:rsidRDefault="0015611F">
            <w:pPr>
              <w:pStyle w:val="TableParagraph"/>
              <w:ind w:right="417"/>
              <w:jc w:val="right"/>
              <w:rPr>
                <w:sz w:val="18"/>
              </w:rPr>
            </w:pPr>
            <w:r>
              <w:rPr>
                <w:sz w:val="18"/>
              </w:rPr>
              <w:t>313</w:t>
            </w:r>
          </w:p>
        </w:tc>
        <w:tc>
          <w:tcPr>
            <w:tcW w:w="1195" w:type="dxa"/>
            <w:tcBorders>
              <w:bottom w:val="single" w:sz="8" w:space="0" w:color="000000"/>
            </w:tcBorders>
          </w:tcPr>
          <w:p w14:paraId="7AEF6A50" w14:textId="77777777" w:rsidR="00FA4AA8" w:rsidRDefault="00FA4AA8">
            <w:pPr>
              <w:pStyle w:val="TableParagraph"/>
              <w:spacing w:before="8"/>
              <w:rPr>
                <w:b/>
                <w:sz w:val="19"/>
              </w:rPr>
            </w:pPr>
          </w:p>
          <w:p w14:paraId="4DCE89C1" w14:textId="77777777" w:rsidR="00FA4AA8" w:rsidRDefault="0015611F">
            <w:pPr>
              <w:pStyle w:val="TableParagraph"/>
              <w:ind w:right="316"/>
              <w:jc w:val="right"/>
              <w:rPr>
                <w:sz w:val="18"/>
              </w:rPr>
            </w:pPr>
            <w:r>
              <w:rPr>
                <w:sz w:val="18"/>
              </w:rPr>
              <w:t>75</w:t>
            </w:r>
          </w:p>
        </w:tc>
        <w:tc>
          <w:tcPr>
            <w:tcW w:w="1296" w:type="dxa"/>
            <w:tcBorders>
              <w:bottom w:val="single" w:sz="8" w:space="0" w:color="000000"/>
            </w:tcBorders>
          </w:tcPr>
          <w:p w14:paraId="07879359" w14:textId="77777777" w:rsidR="00FA4AA8" w:rsidRDefault="00FA4AA8">
            <w:pPr>
              <w:pStyle w:val="TableParagraph"/>
              <w:spacing w:before="8"/>
              <w:rPr>
                <w:b/>
                <w:sz w:val="19"/>
              </w:rPr>
            </w:pPr>
          </w:p>
          <w:p w14:paraId="772C75D3" w14:textId="77777777" w:rsidR="00FA4AA8" w:rsidRDefault="0015611F">
            <w:pPr>
              <w:pStyle w:val="TableParagraph"/>
              <w:ind w:right="317"/>
              <w:jc w:val="right"/>
              <w:rPr>
                <w:sz w:val="18"/>
              </w:rPr>
            </w:pPr>
            <w:r>
              <w:rPr>
                <w:sz w:val="18"/>
              </w:rPr>
              <w:t>7,243</w:t>
            </w:r>
          </w:p>
        </w:tc>
        <w:tc>
          <w:tcPr>
            <w:tcW w:w="1064" w:type="dxa"/>
            <w:tcBorders>
              <w:bottom w:val="single" w:sz="8" w:space="0" w:color="000000"/>
            </w:tcBorders>
          </w:tcPr>
          <w:p w14:paraId="7FB11E34" w14:textId="77777777" w:rsidR="00FA4AA8" w:rsidRDefault="00FA4AA8">
            <w:pPr>
              <w:pStyle w:val="TableParagraph"/>
              <w:spacing w:before="8"/>
              <w:rPr>
                <w:b/>
                <w:sz w:val="19"/>
              </w:rPr>
            </w:pPr>
          </w:p>
          <w:p w14:paraId="48E0A926" w14:textId="77777777" w:rsidR="00FA4AA8" w:rsidRDefault="0015611F">
            <w:pPr>
              <w:pStyle w:val="TableParagraph"/>
              <w:ind w:right="85"/>
              <w:jc w:val="right"/>
              <w:rPr>
                <w:sz w:val="18"/>
              </w:rPr>
            </w:pPr>
            <w:r>
              <w:rPr>
                <w:sz w:val="18"/>
              </w:rPr>
              <w:t>7,631</w:t>
            </w:r>
          </w:p>
        </w:tc>
      </w:tr>
      <w:tr w:rsidR="00FA4AA8" w14:paraId="0D4F8B48" w14:textId="77777777">
        <w:trPr>
          <w:trHeight w:val="318"/>
        </w:trPr>
        <w:tc>
          <w:tcPr>
            <w:tcW w:w="3373" w:type="dxa"/>
          </w:tcPr>
          <w:p w14:paraId="60C1582D" w14:textId="77777777" w:rsidR="00FA4AA8" w:rsidRDefault="0015611F">
            <w:pPr>
              <w:pStyle w:val="TableParagraph"/>
              <w:spacing w:before="115" w:line="183" w:lineRule="exact"/>
              <w:ind w:left="50"/>
              <w:rPr>
                <w:b/>
                <w:sz w:val="18"/>
              </w:rPr>
            </w:pPr>
            <w:r>
              <w:rPr>
                <w:b/>
                <w:sz w:val="18"/>
              </w:rPr>
              <w:t>Net liability</w:t>
            </w:r>
          </w:p>
        </w:tc>
        <w:tc>
          <w:tcPr>
            <w:tcW w:w="960" w:type="dxa"/>
          </w:tcPr>
          <w:p w14:paraId="7460A577" w14:textId="77777777" w:rsidR="00FA4AA8" w:rsidRDefault="0015611F">
            <w:pPr>
              <w:pStyle w:val="TableParagraph"/>
              <w:spacing w:before="28"/>
              <w:ind w:right="177"/>
              <w:jc w:val="right"/>
              <w:rPr>
                <w:sz w:val="18"/>
              </w:rPr>
            </w:pPr>
            <w:r>
              <w:rPr>
                <w:sz w:val="18"/>
              </w:rPr>
              <w:t>25</w:t>
            </w:r>
          </w:p>
        </w:tc>
        <w:tc>
          <w:tcPr>
            <w:tcW w:w="1628" w:type="dxa"/>
            <w:tcBorders>
              <w:top w:val="single" w:sz="8" w:space="0" w:color="000000"/>
              <w:bottom w:val="single" w:sz="8" w:space="0" w:color="000000"/>
            </w:tcBorders>
          </w:tcPr>
          <w:p w14:paraId="3AB8AE62" w14:textId="77777777" w:rsidR="00FA4AA8" w:rsidRDefault="0015611F">
            <w:pPr>
              <w:pStyle w:val="TableParagraph"/>
              <w:spacing w:before="115" w:line="183" w:lineRule="exact"/>
              <w:ind w:right="418"/>
              <w:jc w:val="right"/>
              <w:rPr>
                <w:b/>
                <w:sz w:val="18"/>
              </w:rPr>
            </w:pPr>
            <w:r>
              <w:rPr>
                <w:b/>
                <w:sz w:val="18"/>
              </w:rPr>
              <w:t>15,570</w:t>
            </w:r>
          </w:p>
        </w:tc>
        <w:tc>
          <w:tcPr>
            <w:tcW w:w="1195" w:type="dxa"/>
            <w:tcBorders>
              <w:top w:val="single" w:sz="8" w:space="0" w:color="000000"/>
              <w:bottom w:val="single" w:sz="8" w:space="0" w:color="000000"/>
            </w:tcBorders>
          </w:tcPr>
          <w:p w14:paraId="5A06ABA9" w14:textId="77777777" w:rsidR="00FA4AA8" w:rsidRDefault="0015611F">
            <w:pPr>
              <w:pStyle w:val="TableParagraph"/>
              <w:spacing w:before="115" w:line="183" w:lineRule="exact"/>
              <w:ind w:left="422"/>
              <w:rPr>
                <w:b/>
                <w:sz w:val="18"/>
              </w:rPr>
            </w:pPr>
            <w:r>
              <w:rPr>
                <w:b/>
                <w:sz w:val="18"/>
              </w:rPr>
              <w:t>3,738</w:t>
            </w:r>
          </w:p>
        </w:tc>
        <w:tc>
          <w:tcPr>
            <w:tcW w:w="1296" w:type="dxa"/>
            <w:tcBorders>
              <w:top w:val="single" w:sz="8" w:space="0" w:color="000000"/>
              <w:bottom w:val="single" w:sz="8" w:space="0" w:color="000000"/>
            </w:tcBorders>
          </w:tcPr>
          <w:p w14:paraId="4CF445DD" w14:textId="77777777" w:rsidR="00FA4AA8" w:rsidRDefault="0015611F">
            <w:pPr>
              <w:pStyle w:val="TableParagraph"/>
              <w:spacing w:before="115" w:line="183" w:lineRule="exact"/>
              <w:ind w:right="317"/>
              <w:jc w:val="right"/>
              <w:rPr>
                <w:b/>
                <w:sz w:val="18"/>
              </w:rPr>
            </w:pPr>
            <w:r>
              <w:rPr>
                <w:b/>
                <w:sz w:val="18"/>
              </w:rPr>
              <w:t>360,719</w:t>
            </w:r>
          </w:p>
        </w:tc>
        <w:tc>
          <w:tcPr>
            <w:tcW w:w="1064" w:type="dxa"/>
            <w:tcBorders>
              <w:top w:val="single" w:sz="8" w:space="0" w:color="000000"/>
              <w:bottom w:val="single" w:sz="8" w:space="0" w:color="000000"/>
            </w:tcBorders>
          </w:tcPr>
          <w:p w14:paraId="52291676" w14:textId="77777777" w:rsidR="00FA4AA8" w:rsidRDefault="0015611F">
            <w:pPr>
              <w:pStyle w:val="TableParagraph"/>
              <w:spacing w:before="115" w:line="183" w:lineRule="exact"/>
              <w:ind w:left="322"/>
              <w:rPr>
                <w:b/>
                <w:sz w:val="18"/>
              </w:rPr>
            </w:pPr>
            <w:r>
              <w:rPr>
                <w:b/>
                <w:sz w:val="18"/>
              </w:rPr>
              <w:t>380,027</w:t>
            </w:r>
          </w:p>
        </w:tc>
      </w:tr>
      <w:tr w:rsidR="00FA4AA8" w14:paraId="36444990" w14:textId="77777777">
        <w:trPr>
          <w:trHeight w:val="263"/>
        </w:trPr>
        <w:tc>
          <w:tcPr>
            <w:tcW w:w="3373" w:type="dxa"/>
          </w:tcPr>
          <w:p w14:paraId="3F9EF78A" w14:textId="77777777" w:rsidR="00FA4AA8" w:rsidRDefault="0015611F">
            <w:pPr>
              <w:pStyle w:val="TableParagraph"/>
              <w:spacing w:before="33"/>
              <w:ind w:left="50"/>
              <w:rPr>
                <w:sz w:val="18"/>
              </w:rPr>
            </w:pPr>
            <w:r>
              <w:rPr>
                <w:sz w:val="18"/>
              </w:rPr>
              <w:t>Reimbursement right</w:t>
            </w:r>
          </w:p>
        </w:tc>
        <w:tc>
          <w:tcPr>
            <w:tcW w:w="960" w:type="dxa"/>
          </w:tcPr>
          <w:p w14:paraId="508B2D51" w14:textId="77777777" w:rsidR="00FA4AA8" w:rsidRDefault="0015611F">
            <w:pPr>
              <w:pStyle w:val="TableParagraph"/>
              <w:spacing w:before="28"/>
              <w:ind w:right="177"/>
              <w:jc w:val="right"/>
              <w:rPr>
                <w:sz w:val="18"/>
              </w:rPr>
            </w:pPr>
            <w:r>
              <w:rPr>
                <w:sz w:val="18"/>
              </w:rPr>
              <w:t>17</w:t>
            </w:r>
          </w:p>
        </w:tc>
        <w:tc>
          <w:tcPr>
            <w:tcW w:w="1628" w:type="dxa"/>
            <w:tcBorders>
              <w:top w:val="single" w:sz="8" w:space="0" w:color="000000"/>
              <w:bottom w:val="single" w:sz="8" w:space="0" w:color="000000"/>
            </w:tcBorders>
          </w:tcPr>
          <w:p w14:paraId="06566182" w14:textId="77777777" w:rsidR="00FA4AA8" w:rsidRDefault="0015611F">
            <w:pPr>
              <w:pStyle w:val="TableParagraph"/>
              <w:spacing w:before="31"/>
              <w:ind w:right="357"/>
              <w:jc w:val="right"/>
              <w:rPr>
                <w:sz w:val="18"/>
              </w:rPr>
            </w:pPr>
            <w:r>
              <w:rPr>
                <w:sz w:val="18"/>
              </w:rPr>
              <w:t>(13,403)</w:t>
            </w:r>
          </w:p>
        </w:tc>
        <w:tc>
          <w:tcPr>
            <w:tcW w:w="1195" w:type="dxa"/>
            <w:tcBorders>
              <w:top w:val="single" w:sz="8" w:space="0" w:color="000000"/>
              <w:bottom w:val="single" w:sz="8" w:space="0" w:color="000000"/>
            </w:tcBorders>
          </w:tcPr>
          <w:p w14:paraId="3AE76CFA" w14:textId="77777777" w:rsidR="00FA4AA8" w:rsidRDefault="0015611F">
            <w:pPr>
              <w:pStyle w:val="TableParagraph"/>
              <w:spacing w:before="31"/>
              <w:ind w:right="256"/>
              <w:jc w:val="right"/>
              <w:rPr>
                <w:sz w:val="18"/>
              </w:rPr>
            </w:pPr>
            <w:r>
              <w:rPr>
                <w:sz w:val="18"/>
              </w:rPr>
              <w:t>(3,229)</w:t>
            </w:r>
          </w:p>
        </w:tc>
        <w:tc>
          <w:tcPr>
            <w:tcW w:w="1296" w:type="dxa"/>
            <w:tcBorders>
              <w:top w:val="single" w:sz="8" w:space="0" w:color="000000"/>
              <w:bottom w:val="single" w:sz="8" w:space="0" w:color="000000"/>
            </w:tcBorders>
          </w:tcPr>
          <w:p w14:paraId="5B4C87DD" w14:textId="77777777" w:rsidR="00FA4AA8" w:rsidRDefault="0015611F">
            <w:pPr>
              <w:pStyle w:val="TableParagraph"/>
              <w:spacing w:before="31"/>
              <w:ind w:right="256"/>
              <w:jc w:val="right"/>
              <w:rPr>
                <w:sz w:val="18"/>
              </w:rPr>
            </w:pPr>
            <w:r>
              <w:rPr>
                <w:sz w:val="18"/>
              </w:rPr>
              <w:t>(353,310)</w:t>
            </w:r>
          </w:p>
        </w:tc>
        <w:tc>
          <w:tcPr>
            <w:tcW w:w="1064" w:type="dxa"/>
            <w:tcBorders>
              <w:top w:val="single" w:sz="8" w:space="0" w:color="000000"/>
              <w:bottom w:val="single" w:sz="8" w:space="0" w:color="000000"/>
            </w:tcBorders>
          </w:tcPr>
          <w:p w14:paraId="22050958" w14:textId="77777777" w:rsidR="00FA4AA8" w:rsidRDefault="0015611F">
            <w:pPr>
              <w:pStyle w:val="TableParagraph"/>
              <w:spacing w:before="31"/>
              <w:ind w:right="24"/>
              <w:jc w:val="right"/>
              <w:rPr>
                <w:sz w:val="18"/>
              </w:rPr>
            </w:pPr>
            <w:r>
              <w:rPr>
                <w:sz w:val="18"/>
              </w:rPr>
              <w:t>(369,942)</w:t>
            </w:r>
          </w:p>
        </w:tc>
      </w:tr>
      <w:tr w:rsidR="00FA4AA8" w14:paraId="70B41423" w14:textId="77777777">
        <w:trPr>
          <w:trHeight w:val="320"/>
        </w:trPr>
        <w:tc>
          <w:tcPr>
            <w:tcW w:w="3373" w:type="dxa"/>
          </w:tcPr>
          <w:p w14:paraId="74C6F5EC" w14:textId="77777777" w:rsidR="00FA4AA8" w:rsidRDefault="0015611F">
            <w:pPr>
              <w:pStyle w:val="TableParagraph"/>
              <w:spacing w:before="115" w:line="185" w:lineRule="exact"/>
              <w:ind w:left="50"/>
              <w:rPr>
                <w:b/>
                <w:sz w:val="18"/>
              </w:rPr>
            </w:pPr>
            <w:r>
              <w:rPr>
                <w:b/>
                <w:sz w:val="18"/>
              </w:rPr>
              <w:t>Total net liability/(asset)</w:t>
            </w:r>
          </w:p>
        </w:tc>
        <w:tc>
          <w:tcPr>
            <w:tcW w:w="960" w:type="dxa"/>
          </w:tcPr>
          <w:p w14:paraId="0FD54C0F" w14:textId="77777777" w:rsidR="00FA4AA8" w:rsidRDefault="00FA4AA8">
            <w:pPr>
              <w:pStyle w:val="TableParagraph"/>
              <w:rPr>
                <w:rFonts w:ascii="Times New Roman"/>
                <w:sz w:val="18"/>
              </w:rPr>
            </w:pPr>
          </w:p>
        </w:tc>
        <w:tc>
          <w:tcPr>
            <w:tcW w:w="1628" w:type="dxa"/>
            <w:tcBorders>
              <w:top w:val="single" w:sz="8" w:space="0" w:color="000000"/>
              <w:bottom w:val="double" w:sz="2" w:space="0" w:color="000000"/>
            </w:tcBorders>
          </w:tcPr>
          <w:p w14:paraId="04D38F87" w14:textId="77777777" w:rsidR="00FA4AA8" w:rsidRDefault="0015611F">
            <w:pPr>
              <w:pStyle w:val="TableParagraph"/>
              <w:spacing w:before="115" w:line="185" w:lineRule="exact"/>
              <w:ind w:right="418"/>
              <w:jc w:val="right"/>
              <w:rPr>
                <w:b/>
                <w:sz w:val="18"/>
              </w:rPr>
            </w:pPr>
            <w:r>
              <w:rPr>
                <w:b/>
                <w:sz w:val="18"/>
              </w:rPr>
              <w:t>2,167</w:t>
            </w:r>
          </w:p>
        </w:tc>
        <w:tc>
          <w:tcPr>
            <w:tcW w:w="1195" w:type="dxa"/>
            <w:tcBorders>
              <w:top w:val="single" w:sz="8" w:space="0" w:color="000000"/>
              <w:bottom w:val="double" w:sz="2" w:space="0" w:color="000000"/>
            </w:tcBorders>
          </w:tcPr>
          <w:p w14:paraId="4335EABC" w14:textId="77777777" w:rsidR="00FA4AA8" w:rsidRDefault="0015611F">
            <w:pPr>
              <w:pStyle w:val="TableParagraph"/>
              <w:spacing w:before="115" w:line="185" w:lineRule="exact"/>
              <w:ind w:left="573"/>
              <w:rPr>
                <w:b/>
                <w:sz w:val="18"/>
              </w:rPr>
            </w:pPr>
            <w:r>
              <w:rPr>
                <w:b/>
                <w:sz w:val="18"/>
              </w:rPr>
              <w:t>509</w:t>
            </w:r>
          </w:p>
        </w:tc>
        <w:tc>
          <w:tcPr>
            <w:tcW w:w="1296" w:type="dxa"/>
            <w:tcBorders>
              <w:top w:val="single" w:sz="8" w:space="0" w:color="000000"/>
              <w:bottom w:val="double" w:sz="2" w:space="0" w:color="000000"/>
            </w:tcBorders>
          </w:tcPr>
          <w:p w14:paraId="067B0D16" w14:textId="77777777" w:rsidR="00FA4AA8" w:rsidRDefault="0015611F">
            <w:pPr>
              <w:pStyle w:val="TableParagraph"/>
              <w:spacing w:before="115" w:line="185" w:lineRule="exact"/>
              <w:ind w:right="317"/>
              <w:jc w:val="right"/>
              <w:rPr>
                <w:b/>
                <w:sz w:val="18"/>
              </w:rPr>
            </w:pPr>
            <w:r>
              <w:rPr>
                <w:b/>
                <w:sz w:val="18"/>
              </w:rPr>
              <w:t>7,409</w:t>
            </w:r>
          </w:p>
        </w:tc>
        <w:tc>
          <w:tcPr>
            <w:tcW w:w="1064" w:type="dxa"/>
            <w:tcBorders>
              <w:top w:val="single" w:sz="8" w:space="0" w:color="000000"/>
              <w:bottom w:val="double" w:sz="2" w:space="0" w:color="000000"/>
            </w:tcBorders>
          </w:tcPr>
          <w:p w14:paraId="39B1AFDA" w14:textId="77777777" w:rsidR="00FA4AA8" w:rsidRDefault="0015611F">
            <w:pPr>
              <w:pStyle w:val="TableParagraph"/>
              <w:spacing w:before="115" w:line="185" w:lineRule="exact"/>
              <w:ind w:right="85"/>
              <w:jc w:val="right"/>
              <w:rPr>
                <w:b/>
                <w:sz w:val="18"/>
              </w:rPr>
            </w:pPr>
            <w:r>
              <w:rPr>
                <w:b/>
                <w:sz w:val="18"/>
              </w:rPr>
              <w:t>10,085</w:t>
            </w:r>
          </w:p>
        </w:tc>
      </w:tr>
    </w:tbl>
    <w:p w14:paraId="477569AB" w14:textId="77777777" w:rsidR="00FA4AA8" w:rsidRDefault="00FA4AA8">
      <w:pPr>
        <w:pStyle w:val="BodyText"/>
        <w:rPr>
          <w:b/>
          <w:sz w:val="20"/>
        </w:rPr>
      </w:pPr>
    </w:p>
    <w:p w14:paraId="7E638EC6" w14:textId="77777777" w:rsidR="00FA4AA8" w:rsidRDefault="00FA4AA8">
      <w:pPr>
        <w:pStyle w:val="BodyText"/>
        <w:rPr>
          <w:b/>
          <w:sz w:val="20"/>
        </w:rPr>
      </w:pPr>
    </w:p>
    <w:p w14:paraId="4C6930F9" w14:textId="77777777" w:rsidR="00FA4AA8" w:rsidRDefault="00FA4AA8">
      <w:pPr>
        <w:pStyle w:val="BodyText"/>
        <w:spacing w:before="4"/>
        <w:rPr>
          <w:b/>
          <w:sz w:val="14"/>
        </w:rPr>
      </w:pPr>
    </w:p>
    <w:tbl>
      <w:tblPr>
        <w:tblW w:w="0" w:type="auto"/>
        <w:tblInd w:w="564" w:type="dxa"/>
        <w:tblLayout w:type="fixed"/>
        <w:tblCellMar>
          <w:left w:w="0" w:type="dxa"/>
          <w:right w:w="0" w:type="dxa"/>
        </w:tblCellMar>
        <w:tblLook w:val="01E0" w:firstRow="1" w:lastRow="1" w:firstColumn="1" w:lastColumn="1" w:noHBand="0" w:noVBand="0"/>
      </w:tblPr>
      <w:tblGrid>
        <w:gridCol w:w="4334"/>
        <w:gridCol w:w="1659"/>
        <w:gridCol w:w="1196"/>
        <w:gridCol w:w="1297"/>
        <w:gridCol w:w="1035"/>
      </w:tblGrid>
      <w:tr w:rsidR="00FA4AA8" w14:paraId="13352BC4" w14:textId="77777777">
        <w:trPr>
          <w:trHeight w:val="218"/>
        </w:trPr>
        <w:tc>
          <w:tcPr>
            <w:tcW w:w="4334" w:type="dxa"/>
          </w:tcPr>
          <w:p w14:paraId="7A88A1C9" w14:textId="77777777" w:rsidR="00FA4AA8" w:rsidRDefault="0015611F">
            <w:pPr>
              <w:pStyle w:val="TableParagraph"/>
              <w:spacing w:line="198" w:lineRule="exact"/>
              <w:ind w:left="50"/>
              <w:rPr>
                <w:b/>
                <w:sz w:val="18"/>
              </w:rPr>
            </w:pPr>
            <w:r>
              <w:rPr>
                <w:b/>
                <w:sz w:val="18"/>
              </w:rPr>
              <w:t>Reimbursement rights - 2018</w:t>
            </w:r>
          </w:p>
        </w:tc>
        <w:tc>
          <w:tcPr>
            <w:tcW w:w="5187" w:type="dxa"/>
            <w:gridSpan w:val="4"/>
          </w:tcPr>
          <w:p w14:paraId="66B39A59" w14:textId="77777777" w:rsidR="00FA4AA8" w:rsidRDefault="00FA4AA8">
            <w:pPr>
              <w:pStyle w:val="TableParagraph"/>
              <w:rPr>
                <w:rFonts w:ascii="Times New Roman"/>
                <w:sz w:val="14"/>
              </w:rPr>
            </w:pPr>
          </w:p>
        </w:tc>
      </w:tr>
      <w:tr w:rsidR="00FA4AA8" w14:paraId="164F8298" w14:textId="77777777">
        <w:trPr>
          <w:trHeight w:val="250"/>
        </w:trPr>
        <w:tc>
          <w:tcPr>
            <w:tcW w:w="4334" w:type="dxa"/>
          </w:tcPr>
          <w:p w14:paraId="79DCB319" w14:textId="77777777" w:rsidR="00FA4AA8" w:rsidRDefault="0015611F">
            <w:pPr>
              <w:pStyle w:val="TableParagraph"/>
              <w:spacing w:before="13"/>
              <w:ind w:left="50"/>
              <w:rPr>
                <w:sz w:val="18"/>
              </w:rPr>
            </w:pPr>
            <w:r>
              <w:rPr>
                <w:sz w:val="18"/>
              </w:rPr>
              <w:t>Opening value of reimbursement right</w:t>
            </w:r>
          </w:p>
        </w:tc>
        <w:tc>
          <w:tcPr>
            <w:tcW w:w="1659" w:type="dxa"/>
          </w:tcPr>
          <w:p w14:paraId="22CFCF6D" w14:textId="77777777" w:rsidR="00FA4AA8" w:rsidRDefault="0015611F">
            <w:pPr>
              <w:pStyle w:val="TableParagraph"/>
              <w:spacing w:before="11"/>
              <w:ind w:right="450"/>
              <w:jc w:val="right"/>
              <w:rPr>
                <w:sz w:val="18"/>
              </w:rPr>
            </w:pPr>
            <w:r>
              <w:rPr>
                <w:sz w:val="18"/>
              </w:rPr>
              <w:t>10,935</w:t>
            </w:r>
          </w:p>
        </w:tc>
        <w:tc>
          <w:tcPr>
            <w:tcW w:w="1196" w:type="dxa"/>
          </w:tcPr>
          <w:p w14:paraId="1955607E" w14:textId="77777777" w:rsidR="00FA4AA8" w:rsidRDefault="0015611F">
            <w:pPr>
              <w:pStyle w:val="TableParagraph"/>
              <w:spacing w:before="11"/>
              <w:ind w:left="390"/>
              <w:rPr>
                <w:sz w:val="18"/>
              </w:rPr>
            </w:pPr>
            <w:r>
              <w:rPr>
                <w:sz w:val="18"/>
              </w:rPr>
              <w:t>3,858</w:t>
            </w:r>
          </w:p>
        </w:tc>
        <w:tc>
          <w:tcPr>
            <w:tcW w:w="1297" w:type="dxa"/>
          </w:tcPr>
          <w:p w14:paraId="7B6377B8" w14:textId="77777777" w:rsidR="00FA4AA8" w:rsidRDefault="0015611F">
            <w:pPr>
              <w:pStyle w:val="TableParagraph"/>
              <w:spacing w:before="11"/>
              <w:ind w:right="351"/>
              <w:jc w:val="right"/>
              <w:rPr>
                <w:sz w:val="18"/>
              </w:rPr>
            </w:pPr>
            <w:r>
              <w:rPr>
                <w:sz w:val="18"/>
              </w:rPr>
              <w:t>330,910</w:t>
            </w:r>
          </w:p>
        </w:tc>
        <w:tc>
          <w:tcPr>
            <w:tcW w:w="1035" w:type="dxa"/>
          </w:tcPr>
          <w:p w14:paraId="31F4C5A8" w14:textId="77777777" w:rsidR="00FA4AA8" w:rsidRDefault="0015611F">
            <w:pPr>
              <w:pStyle w:val="TableParagraph"/>
              <w:spacing w:before="11"/>
              <w:ind w:left="287"/>
              <w:rPr>
                <w:sz w:val="18"/>
              </w:rPr>
            </w:pPr>
            <w:r>
              <w:rPr>
                <w:sz w:val="18"/>
              </w:rPr>
              <w:t>345,703</w:t>
            </w:r>
          </w:p>
        </w:tc>
      </w:tr>
      <w:tr w:rsidR="00FA4AA8" w14:paraId="418E275A" w14:textId="77777777">
        <w:trPr>
          <w:trHeight w:val="263"/>
        </w:trPr>
        <w:tc>
          <w:tcPr>
            <w:tcW w:w="4334" w:type="dxa"/>
          </w:tcPr>
          <w:p w14:paraId="0351BC6B" w14:textId="77777777" w:rsidR="00FA4AA8" w:rsidRDefault="0015611F">
            <w:pPr>
              <w:pStyle w:val="TableParagraph"/>
              <w:spacing w:before="26"/>
              <w:ind w:left="50"/>
              <w:rPr>
                <w:sz w:val="18"/>
              </w:rPr>
            </w:pPr>
            <w:r>
              <w:rPr>
                <w:sz w:val="18"/>
              </w:rPr>
              <w:t>Excess salary liability</w:t>
            </w:r>
          </w:p>
        </w:tc>
        <w:tc>
          <w:tcPr>
            <w:tcW w:w="1659" w:type="dxa"/>
          </w:tcPr>
          <w:p w14:paraId="71B5F503" w14:textId="77777777" w:rsidR="00FA4AA8" w:rsidRDefault="0015611F">
            <w:pPr>
              <w:pStyle w:val="TableParagraph"/>
              <w:spacing w:before="24"/>
              <w:ind w:right="389"/>
              <w:jc w:val="right"/>
              <w:rPr>
                <w:sz w:val="18"/>
              </w:rPr>
            </w:pPr>
            <w:r>
              <w:rPr>
                <w:sz w:val="18"/>
              </w:rPr>
              <w:t>(21)</w:t>
            </w:r>
          </w:p>
        </w:tc>
        <w:tc>
          <w:tcPr>
            <w:tcW w:w="1196" w:type="dxa"/>
          </w:tcPr>
          <w:p w14:paraId="6C85715F" w14:textId="77777777" w:rsidR="00FA4AA8" w:rsidRDefault="0015611F">
            <w:pPr>
              <w:pStyle w:val="TableParagraph"/>
              <w:spacing w:before="24"/>
              <w:ind w:right="289"/>
              <w:jc w:val="right"/>
              <w:rPr>
                <w:sz w:val="18"/>
              </w:rPr>
            </w:pPr>
            <w:r>
              <w:rPr>
                <w:sz w:val="18"/>
              </w:rPr>
              <w:t>(4)</w:t>
            </w:r>
          </w:p>
        </w:tc>
        <w:tc>
          <w:tcPr>
            <w:tcW w:w="1297" w:type="dxa"/>
          </w:tcPr>
          <w:p w14:paraId="565B2F0A" w14:textId="77777777" w:rsidR="00FA4AA8" w:rsidRDefault="0015611F">
            <w:pPr>
              <w:pStyle w:val="TableParagraph"/>
              <w:spacing w:before="24"/>
              <w:ind w:right="350"/>
              <w:jc w:val="right"/>
              <w:rPr>
                <w:b/>
                <w:sz w:val="18"/>
              </w:rPr>
            </w:pPr>
            <w:r>
              <w:rPr>
                <w:b/>
                <w:sz w:val="18"/>
              </w:rPr>
              <w:t>-</w:t>
            </w:r>
          </w:p>
        </w:tc>
        <w:tc>
          <w:tcPr>
            <w:tcW w:w="1035" w:type="dxa"/>
          </w:tcPr>
          <w:p w14:paraId="03287145" w14:textId="77777777" w:rsidR="00FA4AA8" w:rsidRDefault="0015611F">
            <w:pPr>
              <w:pStyle w:val="TableParagraph"/>
              <w:spacing w:before="24"/>
              <w:ind w:right="29"/>
              <w:jc w:val="right"/>
              <w:rPr>
                <w:sz w:val="18"/>
              </w:rPr>
            </w:pPr>
            <w:r>
              <w:rPr>
                <w:sz w:val="18"/>
              </w:rPr>
              <w:t>(25)</w:t>
            </w:r>
          </w:p>
        </w:tc>
      </w:tr>
      <w:tr w:rsidR="00FA4AA8" w14:paraId="6A07EBB1" w14:textId="77777777">
        <w:trPr>
          <w:trHeight w:val="263"/>
        </w:trPr>
        <w:tc>
          <w:tcPr>
            <w:tcW w:w="4334" w:type="dxa"/>
          </w:tcPr>
          <w:p w14:paraId="058885E3" w14:textId="77777777" w:rsidR="00FA4AA8" w:rsidRDefault="0015611F">
            <w:pPr>
              <w:pStyle w:val="TableParagraph"/>
              <w:spacing w:before="26"/>
              <w:ind w:left="50"/>
              <w:rPr>
                <w:sz w:val="18"/>
              </w:rPr>
            </w:pPr>
            <w:r>
              <w:rPr>
                <w:sz w:val="18"/>
              </w:rPr>
              <w:t>Emerging liability for excess salaries</w:t>
            </w:r>
          </w:p>
        </w:tc>
        <w:tc>
          <w:tcPr>
            <w:tcW w:w="1659" w:type="dxa"/>
          </w:tcPr>
          <w:p w14:paraId="618505F1" w14:textId="77777777" w:rsidR="00FA4AA8" w:rsidRDefault="0015611F">
            <w:pPr>
              <w:pStyle w:val="TableParagraph"/>
              <w:spacing w:before="24"/>
              <w:ind w:right="389"/>
              <w:jc w:val="right"/>
              <w:rPr>
                <w:sz w:val="18"/>
              </w:rPr>
            </w:pPr>
            <w:r>
              <w:rPr>
                <w:sz w:val="18"/>
              </w:rPr>
              <w:t>(1,834)</w:t>
            </w:r>
          </w:p>
        </w:tc>
        <w:tc>
          <w:tcPr>
            <w:tcW w:w="1196" w:type="dxa"/>
          </w:tcPr>
          <w:p w14:paraId="4741DC65" w14:textId="77777777" w:rsidR="00FA4AA8" w:rsidRDefault="0015611F">
            <w:pPr>
              <w:pStyle w:val="TableParagraph"/>
              <w:spacing w:before="24"/>
              <w:ind w:right="289"/>
              <w:jc w:val="right"/>
              <w:rPr>
                <w:sz w:val="18"/>
              </w:rPr>
            </w:pPr>
            <w:r>
              <w:rPr>
                <w:sz w:val="18"/>
              </w:rPr>
              <w:t>(430)</w:t>
            </w:r>
          </w:p>
        </w:tc>
        <w:tc>
          <w:tcPr>
            <w:tcW w:w="1297" w:type="dxa"/>
          </w:tcPr>
          <w:p w14:paraId="44B0F378" w14:textId="77777777" w:rsidR="00FA4AA8" w:rsidRDefault="0015611F">
            <w:pPr>
              <w:pStyle w:val="TableParagraph"/>
              <w:spacing w:before="24"/>
              <w:ind w:right="290"/>
              <w:jc w:val="right"/>
              <w:rPr>
                <w:sz w:val="18"/>
              </w:rPr>
            </w:pPr>
            <w:r>
              <w:rPr>
                <w:sz w:val="18"/>
              </w:rPr>
              <w:t>(164)</w:t>
            </w:r>
          </w:p>
        </w:tc>
        <w:tc>
          <w:tcPr>
            <w:tcW w:w="1035" w:type="dxa"/>
          </w:tcPr>
          <w:p w14:paraId="53792832" w14:textId="77777777" w:rsidR="00FA4AA8" w:rsidRDefault="0015611F">
            <w:pPr>
              <w:pStyle w:val="TableParagraph"/>
              <w:spacing w:before="24"/>
              <w:ind w:right="29"/>
              <w:jc w:val="right"/>
              <w:rPr>
                <w:sz w:val="18"/>
              </w:rPr>
            </w:pPr>
            <w:r>
              <w:rPr>
                <w:sz w:val="18"/>
              </w:rPr>
              <w:t>(2,428)</w:t>
            </w:r>
          </w:p>
        </w:tc>
      </w:tr>
      <w:tr w:rsidR="00FA4AA8" w14:paraId="19C2D097" w14:textId="77777777">
        <w:trPr>
          <w:trHeight w:val="263"/>
        </w:trPr>
        <w:tc>
          <w:tcPr>
            <w:tcW w:w="4334" w:type="dxa"/>
          </w:tcPr>
          <w:p w14:paraId="4CE9C3DC" w14:textId="77777777" w:rsidR="00FA4AA8" w:rsidRDefault="0015611F">
            <w:pPr>
              <w:pStyle w:val="TableParagraph"/>
              <w:spacing w:before="26"/>
              <w:ind w:left="50"/>
              <w:rPr>
                <w:sz w:val="18"/>
              </w:rPr>
            </w:pPr>
            <w:r>
              <w:rPr>
                <w:sz w:val="18"/>
              </w:rPr>
              <w:t>Expected return on reimbursement rights</w:t>
            </w:r>
          </w:p>
        </w:tc>
        <w:tc>
          <w:tcPr>
            <w:tcW w:w="1659" w:type="dxa"/>
          </w:tcPr>
          <w:p w14:paraId="3F0BB19A" w14:textId="77777777" w:rsidR="00FA4AA8" w:rsidRDefault="0015611F">
            <w:pPr>
              <w:pStyle w:val="TableParagraph"/>
              <w:spacing w:before="24"/>
              <w:ind w:right="450"/>
              <w:jc w:val="right"/>
              <w:rPr>
                <w:sz w:val="18"/>
              </w:rPr>
            </w:pPr>
            <w:r>
              <w:rPr>
                <w:sz w:val="18"/>
              </w:rPr>
              <w:t>2,148</w:t>
            </w:r>
          </w:p>
        </w:tc>
        <w:tc>
          <w:tcPr>
            <w:tcW w:w="1196" w:type="dxa"/>
          </w:tcPr>
          <w:p w14:paraId="3EA94340" w14:textId="77777777" w:rsidR="00FA4AA8" w:rsidRDefault="0015611F">
            <w:pPr>
              <w:pStyle w:val="TableParagraph"/>
              <w:spacing w:before="24"/>
              <w:ind w:right="289"/>
              <w:jc w:val="right"/>
              <w:rPr>
                <w:sz w:val="18"/>
              </w:rPr>
            </w:pPr>
            <w:r>
              <w:rPr>
                <w:sz w:val="18"/>
              </w:rPr>
              <w:t>(449)</w:t>
            </w:r>
          </w:p>
        </w:tc>
        <w:tc>
          <w:tcPr>
            <w:tcW w:w="1297" w:type="dxa"/>
          </w:tcPr>
          <w:p w14:paraId="7E85D413" w14:textId="77777777" w:rsidR="00FA4AA8" w:rsidRDefault="0015611F">
            <w:pPr>
              <w:pStyle w:val="TableParagraph"/>
              <w:spacing w:before="24"/>
              <w:ind w:right="351"/>
              <w:jc w:val="right"/>
              <w:rPr>
                <w:sz w:val="18"/>
              </w:rPr>
            </w:pPr>
            <w:r>
              <w:rPr>
                <w:sz w:val="18"/>
              </w:rPr>
              <w:t>9,806</w:t>
            </w:r>
          </w:p>
        </w:tc>
        <w:tc>
          <w:tcPr>
            <w:tcW w:w="1035" w:type="dxa"/>
          </w:tcPr>
          <w:p w14:paraId="6F25D755" w14:textId="77777777" w:rsidR="00FA4AA8" w:rsidRDefault="0015611F">
            <w:pPr>
              <w:pStyle w:val="TableParagraph"/>
              <w:spacing w:before="24"/>
              <w:ind w:left="388"/>
              <w:rPr>
                <w:sz w:val="18"/>
              </w:rPr>
            </w:pPr>
            <w:r>
              <w:rPr>
                <w:sz w:val="18"/>
              </w:rPr>
              <w:t>11,505</w:t>
            </w:r>
          </w:p>
        </w:tc>
      </w:tr>
      <w:tr w:rsidR="00FA4AA8" w14:paraId="20E5CFA6" w14:textId="77777777">
        <w:trPr>
          <w:trHeight w:val="256"/>
        </w:trPr>
        <w:tc>
          <w:tcPr>
            <w:tcW w:w="4334" w:type="dxa"/>
          </w:tcPr>
          <w:p w14:paraId="61C8FC4E" w14:textId="77777777" w:rsidR="00FA4AA8" w:rsidRDefault="0015611F">
            <w:pPr>
              <w:pStyle w:val="TableParagraph"/>
              <w:spacing w:before="26"/>
              <w:ind w:left="50"/>
              <w:rPr>
                <w:sz w:val="18"/>
              </w:rPr>
            </w:pPr>
            <w:r>
              <w:rPr>
                <w:sz w:val="18"/>
              </w:rPr>
              <w:t>Remeasurements</w:t>
            </w:r>
          </w:p>
        </w:tc>
        <w:tc>
          <w:tcPr>
            <w:tcW w:w="1659" w:type="dxa"/>
            <w:tcBorders>
              <w:bottom w:val="single" w:sz="8" w:space="0" w:color="000000"/>
            </w:tcBorders>
          </w:tcPr>
          <w:p w14:paraId="7684392A" w14:textId="77777777" w:rsidR="00FA4AA8" w:rsidRDefault="0015611F">
            <w:pPr>
              <w:pStyle w:val="TableParagraph"/>
              <w:spacing w:before="24"/>
              <w:ind w:right="450"/>
              <w:jc w:val="right"/>
              <w:rPr>
                <w:sz w:val="18"/>
              </w:rPr>
            </w:pPr>
            <w:r>
              <w:rPr>
                <w:sz w:val="18"/>
              </w:rPr>
              <w:t>2,175</w:t>
            </w:r>
          </w:p>
        </w:tc>
        <w:tc>
          <w:tcPr>
            <w:tcW w:w="1196" w:type="dxa"/>
            <w:tcBorders>
              <w:bottom w:val="single" w:sz="8" w:space="0" w:color="000000"/>
            </w:tcBorders>
          </w:tcPr>
          <w:p w14:paraId="4991F1A0" w14:textId="77777777" w:rsidR="00FA4AA8" w:rsidRDefault="0015611F">
            <w:pPr>
              <w:pStyle w:val="TableParagraph"/>
              <w:spacing w:before="24"/>
              <w:ind w:left="541"/>
              <w:rPr>
                <w:sz w:val="18"/>
              </w:rPr>
            </w:pPr>
            <w:r>
              <w:rPr>
                <w:sz w:val="18"/>
              </w:rPr>
              <w:t>254</w:t>
            </w:r>
          </w:p>
        </w:tc>
        <w:tc>
          <w:tcPr>
            <w:tcW w:w="1297" w:type="dxa"/>
            <w:tcBorders>
              <w:bottom w:val="single" w:sz="8" w:space="0" w:color="000000"/>
            </w:tcBorders>
          </w:tcPr>
          <w:p w14:paraId="7EEF5A38" w14:textId="77777777" w:rsidR="00FA4AA8" w:rsidRDefault="0015611F">
            <w:pPr>
              <w:pStyle w:val="TableParagraph"/>
              <w:spacing w:before="24"/>
              <w:ind w:right="351"/>
              <w:jc w:val="right"/>
              <w:rPr>
                <w:sz w:val="18"/>
              </w:rPr>
            </w:pPr>
            <w:r>
              <w:rPr>
                <w:sz w:val="18"/>
              </w:rPr>
              <w:t>12,758</w:t>
            </w:r>
          </w:p>
        </w:tc>
        <w:tc>
          <w:tcPr>
            <w:tcW w:w="1035" w:type="dxa"/>
            <w:tcBorders>
              <w:bottom w:val="single" w:sz="8" w:space="0" w:color="000000"/>
            </w:tcBorders>
          </w:tcPr>
          <w:p w14:paraId="3F65010B" w14:textId="77777777" w:rsidR="00FA4AA8" w:rsidRDefault="0015611F">
            <w:pPr>
              <w:pStyle w:val="TableParagraph"/>
              <w:spacing w:before="24"/>
              <w:ind w:left="388"/>
              <w:rPr>
                <w:sz w:val="18"/>
              </w:rPr>
            </w:pPr>
            <w:r>
              <w:rPr>
                <w:sz w:val="18"/>
              </w:rPr>
              <w:t>15,187</w:t>
            </w:r>
          </w:p>
        </w:tc>
      </w:tr>
      <w:tr w:rsidR="00FA4AA8" w14:paraId="4A9D5E1C" w14:textId="77777777">
        <w:trPr>
          <w:trHeight w:val="320"/>
        </w:trPr>
        <w:tc>
          <w:tcPr>
            <w:tcW w:w="4334" w:type="dxa"/>
          </w:tcPr>
          <w:p w14:paraId="2B5BE62D" w14:textId="77777777" w:rsidR="00FA4AA8" w:rsidRDefault="0015611F">
            <w:pPr>
              <w:pStyle w:val="TableParagraph"/>
              <w:tabs>
                <w:tab w:val="right" w:pos="4153"/>
              </w:tabs>
              <w:spacing w:before="25" w:line="275" w:lineRule="exact"/>
              <w:ind w:left="50"/>
              <w:rPr>
                <w:sz w:val="18"/>
              </w:rPr>
            </w:pPr>
            <w:r>
              <w:rPr>
                <w:b/>
                <w:sz w:val="18"/>
              </w:rPr>
              <w:t>Closing value of reimbursement right</w:t>
            </w:r>
            <w:r>
              <w:rPr>
                <w:b/>
                <w:sz w:val="18"/>
              </w:rPr>
              <w:tab/>
            </w:r>
            <w:r>
              <w:rPr>
                <w:position w:val="9"/>
                <w:sz w:val="18"/>
              </w:rPr>
              <w:t>17</w:t>
            </w:r>
          </w:p>
        </w:tc>
        <w:tc>
          <w:tcPr>
            <w:tcW w:w="1659" w:type="dxa"/>
            <w:tcBorders>
              <w:top w:val="single" w:sz="8" w:space="0" w:color="000000"/>
              <w:bottom w:val="double" w:sz="2" w:space="0" w:color="000000"/>
            </w:tcBorders>
          </w:tcPr>
          <w:p w14:paraId="7F9A2223" w14:textId="77777777" w:rsidR="00FA4AA8" w:rsidRDefault="0015611F">
            <w:pPr>
              <w:pStyle w:val="TableParagraph"/>
              <w:spacing w:before="115" w:line="185" w:lineRule="exact"/>
              <w:ind w:right="450"/>
              <w:jc w:val="right"/>
              <w:rPr>
                <w:b/>
                <w:sz w:val="18"/>
              </w:rPr>
            </w:pPr>
            <w:r>
              <w:rPr>
                <w:b/>
                <w:sz w:val="18"/>
              </w:rPr>
              <w:t>13,403</w:t>
            </w:r>
          </w:p>
        </w:tc>
        <w:tc>
          <w:tcPr>
            <w:tcW w:w="1196" w:type="dxa"/>
            <w:tcBorders>
              <w:top w:val="single" w:sz="8" w:space="0" w:color="000000"/>
              <w:bottom w:val="double" w:sz="2" w:space="0" w:color="000000"/>
            </w:tcBorders>
          </w:tcPr>
          <w:p w14:paraId="571C9818" w14:textId="77777777" w:rsidR="00FA4AA8" w:rsidRDefault="0015611F">
            <w:pPr>
              <w:pStyle w:val="TableParagraph"/>
              <w:spacing w:before="115" w:line="185" w:lineRule="exact"/>
              <w:ind w:left="390"/>
              <w:rPr>
                <w:b/>
                <w:sz w:val="18"/>
              </w:rPr>
            </w:pPr>
            <w:r>
              <w:rPr>
                <w:b/>
                <w:sz w:val="18"/>
              </w:rPr>
              <w:t>3,229</w:t>
            </w:r>
          </w:p>
        </w:tc>
        <w:tc>
          <w:tcPr>
            <w:tcW w:w="1297" w:type="dxa"/>
            <w:tcBorders>
              <w:top w:val="single" w:sz="8" w:space="0" w:color="000000"/>
              <w:bottom w:val="double" w:sz="2" w:space="0" w:color="000000"/>
            </w:tcBorders>
          </w:tcPr>
          <w:p w14:paraId="7F03A276" w14:textId="77777777" w:rsidR="00FA4AA8" w:rsidRDefault="0015611F">
            <w:pPr>
              <w:pStyle w:val="TableParagraph"/>
              <w:spacing w:before="115" w:line="185" w:lineRule="exact"/>
              <w:ind w:right="351"/>
              <w:jc w:val="right"/>
              <w:rPr>
                <w:b/>
                <w:sz w:val="18"/>
              </w:rPr>
            </w:pPr>
            <w:r>
              <w:rPr>
                <w:b/>
                <w:sz w:val="18"/>
              </w:rPr>
              <w:t>353,310</w:t>
            </w:r>
          </w:p>
        </w:tc>
        <w:tc>
          <w:tcPr>
            <w:tcW w:w="1035" w:type="dxa"/>
            <w:tcBorders>
              <w:top w:val="single" w:sz="8" w:space="0" w:color="000000"/>
              <w:bottom w:val="double" w:sz="2" w:space="0" w:color="000000"/>
            </w:tcBorders>
          </w:tcPr>
          <w:p w14:paraId="497C8F97" w14:textId="77777777" w:rsidR="00FA4AA8" w:rsidRDefault="0015611F">
            <w:pPr>
              <w:pStyle w:val="TableParagraph"/>
              <w:spacing w:before="115" w:line="185" w:lineRule="exact"/>
              <w:ind w:left="288"/>
              <w:rPr>
                <w:b/>
                <w:sz w:val="18"/>
              </w:rPr>
            </w:pPr>
            <w:r>
              <w:rPr>
                <w:b/>
                <w:sz w:val="18"/>
              </w:rPr>
              <w:t>369,942</w:t>
            </w:r>
          </w:p>
        </w:tc>
      </w:tr>
    </w:tbl>
    <w:p w14:paraId="1230323D" w14:textId="77777777" w:rsidR="00FA4AA8" w:rsidRDefault="00FA4AA8">
      <w:pPr>
        <w:spacing w:line="185" w:lineRule="exact"/>
        <w:rPr>
          <w:sz w:val="18"/>
        </w:rPr>
        <w:sectPr w:rsidR="00FA4AA8">
          <w:pgSz w:w="11910" w:h="16840"/>
          <w:pgMar w:top="2220" w:right="880" w:bottom="720" w:left="840" w:header="1016" w:footer="523" w:gutter="0"/>
          <w:cols w:space="720"/>
        </w:sectPr>
      </w:pPr>
    </w:p>
    <w:p w14:paraId="5E040E5F" w14:textId="77777777" w:rsidR="00FA4AA8" w:rsidRDefault="00FA4AA8">
      <w:pPr>
        <w:pStyle w:val="BodyText"/>
        <w:rPr>
          <w:b/>
          <w:sz w:val="20"/>
        </w:rPr>
      </w:pPr>
    </w:p>
    <w:p w14:paraId="5CA845E6" w14:textId="77777777" w:rsidR="00FA4AA8" w:rsidRDefault="00FA4AA8">
      <w:pPr>
        <w:pStyle w:val="BodyText"/>
        <w:rPr>
          <w:b/>
          <w:sz w:val="20"/>
        </w:rPr>
      </w:pPr>
    </w:p>
    <w:p w14:paraId="3E8E7E44" w14:textId="77777777" w:rsidR="00FA4AA8" w:rsidRDefault="00FA4AA8">
      <w:pPr>
        <w:pStyle w:val="BodyText"/>
        <w:spacing w:before="6"/>
        <w:rPr>
          <w:b/>
        </w:rPr>
      </w:pPr>
    </w:p>
    <w:tbl>
      <w:tblPr>
        <w:tblW w:w="0" w:type="auto"/>
        <w:tblInd w:w="125" w:type="dxa"/>
        <w:tblLayout w:type="fixed"/>
        <w:tblCellMar>
          <w:left w:w="0" w:type="dxa"/>
          <w:right w:w="0" w:type="dxa"/>
        </w:tblCellMar>
        <w:tblLook w:val="01E0" w:firstRow="1" w:lastRow="1" w:firstColumn="1" w:lastColumn="1" w:noHBand="0" w:noVBand="0"/>
      </w:tblPr>
      <w:tblGrid>
        <w:gridCol w:w="363"/>
        <w:gridCol w:w="4696"/>
        <w:gridCol w:w="1175"/>
        <w:gridCol w:w="1341"/>
        <w:gridCol w:w="1297"/>
        <w:gridCol w:w="1088"/>
      </w:tblGrid>
      <w:tr w:rsidR="00FA4AA8" w14:paraId="0822CD76" w14:textId="77777777">
        <w:trPr>
          <w:trHeight w:val="736"/>
        </w:trPr>
        <w:tc>
          <w:tcPr>
            <w:tcW w:w="363" w:type="dxa"/>
          </w:tcPr>
          <w:p w14:paraId="7B8EDE40" w14:textId="77777777" w:rsidR="00FA4AA8" w:rsidRDefault="0015611F">
            <w:pPr>
              <w:pStyle w:val="TableParagraph"/>
              <w:spacing w:line="201" w:lineRule="exact"/>
              <w:ind w:left="50"/>
              <w:rPr>
                <w:b/>
                <w:sz w:val="18"/>
              </w:rPr>
            </w:pPr>
            <w:r>
              <w:rPr>
                <w:b/>
                <w:sz w:val="18"/>
              </w:rPr>
              <w:t>38</w:t>
            </w:r>
          </w:p>
          <w:p w14:paraId="32F13E81" w14:textId="77777777" w:rsidR="00FA4AA8" w:rsidRDefault="00FA4AA8">
            <w:pPr>
              <w:pStyle w:val="TableParagraph"/>
              <w:spacing w:before="7"/>
              <w:rPr>
                <w:b/>
                <w:sz w:val="26"/>
              </w:rPr>
            </w:pPr>
          </w:p>
          <w:p w14:paraId="6BF79B13" w14:textId="77777777" w:rsidR="00FA4AA8" w:rsidRDefault="0015611F">
            <w:pPr>
              <w:pStyle w:val="TableParagraph"/>
              <w:ind w:left="50"/>
              <w:rPr>
                <w:b/>
                <w:sz w:val="18"/>
              </w:rPr>
            </w:pPr>
            <w:r>
              <w:rPr>
                <w:b/>
                <w:sz w:val="18"/>
              </w:rPr>
              <w:t>(d)</w:t>
            </w:r>
          </w:p>
        </w:tc>
        <w:tc>
          <w:tcPr>
            <w:tcW w:w="4696" w:type="dxa"/>
          </w:tcPr>
          <w:p w14:paraId="15051B4B" w14:textId="77777777" w:rsidR="00FA4AA8" w:rsidRDefault="0015611F">
            <w:pPr>
              <w:pStyle w:val="TableParagraph"/>
              <w:spacing w:line="201" w:lineRule="exact"/>
              <w:ind w:left="83"/>
              <w:rPr>
                <w:b/>
                <w:sz w:val="18"/>
              </w:rPr>
            </w:pPr>
            <w:r>
              <w:rPr>
                <w:b/>
                <w:sz w:val="18"/>
              </w:rPr>
              <w:t>Defined Benefits Plans (continued)</w:t>
            </w:r>
          </w:p>
          <w:p w14:paraId="7FF4DB97" w14:textId="77777777" w:rsidR="00FA4AA8" w:rsidRDefault="00FA4AA8">
            <w:pPr>
              <w:pStyle w:val="TableParagraph"/>
              <w:spacing w:before="7"/>
              <w:rPr>
                <w:b/>
                <w:sz w:val="26"/>
              </w:rPr>
            </w:pPr>
          </w:p>
          <w:p w14:paraId="6F993DC4" w14:textId="77777777" w:rsidR="00FA4AA8" w:rsidRDefault="0015611F">
            <w:pPr>
              <w:pStyle w:val="TableParagraph"/>
              <w:ind w:left="83"/>
              <w:rPr>
                <w:b/>
                <w:sz w:val="18"/>
              </w:rPr>
            </w:pPr>
            <w:r>
              <w:rPr>
                <w:b/>
                <w:sz w:val="18"/>
              </w:rPr>
              <w:t>Statement of financial position amounts (continued)</w:t>
            </w:r>
          </w:p>
        </w:tc>
        <w:tc>
          <w:tcPr>
            <w:tcW w:w="4901" w:type="dxa"/>
            <w:gridSpan w:val="4"/>
          </w:tcPr>
          <w:p w14:paraId="64E3899A" w14:textId="77777777" w:rsidR="00FA4AA8" w:rsidRDefault="00FA4AA8">
            <w:pPr>
              <w:pStyle w:val="TableParagraph"/>
              <w:rPr>
                <w:rFonts w:ascii="Times New Roman"/>
                <w:sz w:val="18"/>
              </w:rPr>
            </w:pPr>
          </w:p>
        </w:tc>
      </w:tr>
      <w:tr w:rsidR="00FA4AA8" w14:paraId="6FB253F3" w14:textId="77777777">
        <w:trPr>
          <w:trHeight w:val="259"/>
        </w:trPr>
        <w:tc>
          <w:tcPr>
            <w:tcW w:w="363" w:type="dxa"/>
          </w:tcPr>
          <w:p w14:paraId="3A30ECA7" w14:textId="77777777" w:rsidR="00FA4AA8" w:rsidRDefault="00FA4AA8">
            <w:pPr>
              <w:pStyle w:val="TableParagraph"/>
              <w:rPr>
                <w:rFonts w:ascii="Times New Roman"/>
                <w:sz w:val="18"/>
              </w:rPr>
            </w:pPr>
          </w:p>
        </w:tc>
        <w:tc>
          <w:tcPr>
            <w:tcW w:w="4696" w:type="dxa"/>
          </w:tcPr>
          <w:p w14:paraId="01F392C5" w14:textId="77777777" w:rsidR="00FA4AA8" w:rsidRDefault="00FA4AA8">
            <w:pPr>
              <w:pStyle w:val="TableParagraph"/>
              <w:rPr>
                <w:rFonts w:ascii="Times New Roman"/>
                <w:sz w:val="18"/>
              </w:rPr>
            </w:pPr>
          </w:p>
        </w:tc>
        <w:tc>
          <w:tcPr>
            <w:tcW w:w="1175" w:type="dxa"/>
          </w:tcPr>
          <w:p w14:paraId="785249B5" w14:textId="77777777" w:rsidR="00FA4AA8" w:rsidRDefault="0015611F">
            <w:pPr>
              <w:pStyle w:val="TableParagraph"/>
              <w:spacing w:before="16"/>
              <w:ind w:left="141"/>
              <w:rPr>
                <w:b/>
                <w:sz w:val="18"/>
              </w:rPr>
            </w:pPr>
            <w:r>
              <w:rPr>
                <w:b/>
                <w:sz w:val="18"/>
              </w:rPr>
              <w:t>SASS</w:t>
            </w:r>
          </w:p>
        </w:tc>
        <w:tc>
          <w:tcPr>
            <w:tcW w:w="1341" w:type="dxa"/>
          </w:tcPr>
          <w:p w14:paraId="07E2A32A" w14:textId="77777777" w:rsidR="00FA4AA8" w:rsidRDefault="0015611F">
            <w:pPr>
              <w:pStyle w:val="TableParagraph"/>
              <w:spacing w:before="16"/>
              <w:ind w:left="192"/>
              <w:rPr>
                <w:b/>
                <w:sz w:val="18"/>
              </w:rPr>
            </w:pPr>
            <w:r>
              <w:rPr>
                <w:b/>
                <w:sz w:val="18"/>
              </w:rPr>
              <w:t>SANCS</w:t>
            </w:r>
          </w:p>
        </w:tc>
        <w:tc>
          <w:tcPr>
            <w:tcW w:w="1297" w:type="dxa"/>
          </w:tcPr>
          <w:p w14:paraId="1C9A36C9" w14:textId="77777777" w:rsidR="00FA4AA8" w:rsidRDefault="0015611F">
            <w:pPr>
              <w:pStyle w:val="TableParagraph"/>
              <w:spacing w:before="16"/>
              <w:ind w:left="279"/>
              <w:rPr>
                <w:b/>
                <w:sz w:val="18"/>
              </w:rPr>
            </w:pPr>
            <w:r>
              <w:rPr>
                <w:b/>
                <w:sz w:val="18"/>
              </w:rPr>
              <w:t>SSS</w:t>
            </w:r>
          </w:p>
        </w:tc>
        <w:tc>
          <w:tcPr>
            <w:tcW w:w="1088" w:type="dxa"/>
          </w:tcPr>
          <w:p w14:paraId="63347D28" w14:textId="77777777" w:rsidR="00FA4AA8" w:rsidRDefault="0015611F">
            <w:pPr>
              <w:pStyle w:val="TableParagraph"/>
              <w:spacing w:before="16"/>
              <w:ind w:left="242"/>
              <w:rPr>
                <w:b/>
                <w:sz w:val="18"/>
              </w:rPr>
            </w:pPr>
            <w:r>
              <w:rPr>
                <w:b/>
                <w:sz w:val="18"/>
              </w:rPr>
              <w:t>Total</w:t>
            </w:r>
          </w:p>
        </w:tc>
      </w:tr>
      <w:tr w:rsidR="00FA4AA8" w14:paraId="3437E5F1" w14:textId="77777777">
        <w:trPr>
          <w:trHeight w:val="271"/>
        </w:trPr>
        <w:tc>
          <w:tcPr>
            <w:tcW w:w="363" w:type="dxa"/>
          </w:tcPr>
          <w:p w14:paraId="274B8B1D" w14:textId="77777777" w:rsidR="00FA4AA8" w:rsidRDefault="00FA4AA8">
            <w:pPr>
              <w:pStyle w:val="TableParagraph"/>
              <w:rPr>
                <w:rFonts w:ascii="Times New Roman"/>
                <w:sz w:val="18"/>
              </w:rPr>
            </w:pPr>
          </w:p>
        </w:tc>
        <w:tc>
          <w:tcPr>
            <w:tcW w:w="4696" w:type="dxa"/>
          </w:tcPr>
          <w:p w14:paraId="18249880" w14:textId="77777777" w:rsidR="00FA4AA8" w:rsidRDefault="0015611F">
            <w:pPr>
              <w:pStyle w:val="TableParagraph"/>
              <w:spacing w:before="30"/>
              <w:ind w:left="126"/>
              <w:rPr>
                <w:b/>
                <w:sz w:val="18"/>
              </w:rPr>
            </w:pPr>
            <w:r>
              <w:rPr>
                <w:b/>
                <w:sz w:val="18"/>
              </w:rPr>
              <w:t>Present value of obligation - 2018</w:t>
            </w:r>
          </w:p>
        </w:tc>
        <w:tc>
          <w:tcPr>
            <w:tcW w:w="1175" w:type="dxa"/>
          </w:tcPr>
          <w:p w14:paraId="4EFB2C7C" w14:textId="77777777" w:rsidR="00FA4AA8" w:rsidRDefault="0015611F">
            <w:pPr>
              <w:pStyle w:val="TableParagraph"/>
              <w:spacing w:before="30"/>
              <w:ind w:left="160"/>
              <w:rPr>
                <w:b/>
                <w:sz w:val="18"/>
              </w:rPr>
            </w:pPr>
            <w:r>
              <w:rPr>
                <w:b/>
                <w:sz w:val="18"/>
              </w:rPr>
              <w:t>$'000</w:t>
            </w:r>
          </w:p>
        </w:tc>
        <w:tc>
          <w:tcPr>
            <w:tcW w:w="1341" w:type="dxa"/>
          </w:tcPr>
          <w:p w14:paraId="14E65D8D" w14:textId="77777777" w:rsidR="00FA4AA8" w:rsidRDefault="0015611F">
            <w:pPr>
              <w:pStyle w:val="TableParagraph"/>
              <w:spacing w:before="30"/>
              <w:ind w:left="281"/>
              <w:rPr>
                <w:b/>
                <w:sz w:val="18"/>
              </w:rPr>
            </w:pPr>
            <w:r>
              <w:rPr>
                <w:b/>
                <w:sz w:val="18"/>
              </w:rPr>
              <w:t>$'000</w:t>
            </w:r>
          </w:p>
        </w:tc>
        <w:tc>
          <w:tcPr>
            <w:tcW w:w="1297" w:type="dxa"/>
          </w:tcPr>
          <w:p w14:paraId="649FAF28" w14:textId="77777777" w:rsidR="00FA4AA8" w:rsidRDefault="0015611F">
            <w:pPr>
              <w:pStyle w:val="TableParagraph"/>
              <w:spacing w:before="30"/>
              <w:ind w:left="236"/>
              <w:rPr>
                <w:b/>
                <w:sz w:val="18"/>
              </w:rPr>
            </w:pPr>
            <w:r>
              <w:rPr>
                <w:b/>
                <w:sz w:val="18"/>
              </w:rPr>
              <w:t>$'000</w:t>
            </w:r>
          </w:p>
        </w:tc>
        <w:tc>
          <w:tcPr>
            <w:tcW w:w="1088" w:type="dxa"/>
          </w:tcPr>
          <w:p w14:paraId="5D0F6F91" w14:textId="77777777" w:rsidR="00FA4AA8" w:rsidRDefault="0015611F">
            <w:pPr>
              <w:pStyle w:val="TableParagraph"/>
              <w:spacing w:before="30"/>
              <w:ind w:left="235"/>
              <w:rPr>
                <w:b/>
                <w:sz w:val="18"/>
              </w:rPr>
            </w:pPr>
            <w:r>
              <w:rPr>
                <w:b/>
                <w:sz w:val="18"/>
              </w:rPr>
              <w:t>$'000</w:t>
            </w:r>
          </w:p>
        </w:tc>
      </w:tr>
      <w:tr w:rsidR="00FA4AA8" w14:paraId="20AEB7DA" w14:textId="77777777">
        <w:trPr>
          <w:trHeight w:val="267"/>
        </w:trPr>
        <w:tc>
          <w:tcPr>
            <w:tcW w:w="363" w:type="dxa"/>
          </w:tcPr>
          <w:p w14:paraId="5F7D2757" w14:textId="77777777" w:rsidR="00FA4AA8" w:rsidRDefault="00FA4AA8">
            <w:pPr>
              <w:pStyle w:val="TableParagraph"/>
              <w:rPr>
                <w:rFonts w:ascii="Times New Roman"/>
                <w:sz w:val="18"/>
              </w:rPr>
            </w:pPr>
          </w:p>
        </w:tc>
        <w:tc>
          <w:tcPr>
            <w:tcW w:w="4696" w:type="dxa"/>
          </w:tcPr>
          <w:p w14:paraId="5F5B17CF" w14:textId="77777777" w:rsidR="00FA4AA8" w:rsidRDefault="0015611F">
            <w:pPr>
              <w:pStyle w:val="TableParagraph"/>
              <w:spacing w:before="30"/>
              <w:ind w:left="126"/>
              <w:rPr>
                <w:sz w:val="18"/>
              </w:rPr>
            </w:pPr>
            <w:r>
              <w:rPr>
                <w:sz w:val="18"/>
              </w:rPr>
              <w:t>Opening defined benefit obligation</w:t>
            </w:r>
          </w:p>
        </w:tc>
        <w:tc>
          <w:tcPr>
            <w:tcW w:w="1175" w:type="dxa"/>
          </w:tcPr>
          <w:p w14:paraId="44AD4CEC" w14:textId="77777777" w:rsidR="00FA4AA8" w:rsidRDefault="0015611F">
            <w:pPr>
              <w:pStyle w:val="TableParagraph"/>
              <w:spacing w:before="28"/>
              <w:ind w:right="251"/>
              <w:jc w:val="right"/>
              <w:rPr>
                <w:sz w:val="18"/>
              </w:rPr>
            </w:pPr>
            <w:r>
              <w:rPr>
                <w:sz w:val="18"/>
              </w:rPr>
              <w:t>25,176</w:t>
            </w:r>
          </w:p>
        </w:tc>
        <w:tc>
          <w:tcPr>
            <w:tcW w:w="1341" w:type="dxa"/>
          </w:tcPr>
          <w:p w14:paraId="476CC2B7" w14:textId="77777777" w:rsidR="00FA4AA8" w:rsidRDefault="0015611F">
            <w:pPr>
              <w:pStyle w:val="TableParagraph"/>
              <w:spacing w:before="28"/>
              <w:ind w:left="588"/>
              <w:rPr>
                <w:sz w:val="18"/>
              </w:rPr>
            </w:pPr>
            <w:r>
              <w:rPr>
                <w:sz w:val="18"/>
              </w:rPr>
              <w:t>4,349</w:t>
            </w:r>
          </w:p>
        </w:tc>
        <w:tc>
          <w:tcPr>
            <w:tcW w:w="1297" w:type="dxa"/>
          </w:tcPr>
          <w:p w14:paraId="3276BD2C" w14:textId="77777777" w:rsidR="00FA4AA8" w:rsidRDefault="0015611F">
            <w:pPr>
              <w:pStyle w:val="TableParagraph"/>
              <w:spacing w:before="28"/>
              <w:ind w:right="297"/>
              <w:jc w:val="right"/>
              <w:rPr>
                <w:sz w:val="18"/>
              </w:rPr>
            </w:pPr>
            <w:r>
              <w:rPr>
                <w:sz w:val="18"/>
              </w:rPr>
              <w:t>409,545</w:t>
            </w:r>
          </w:p>
        </w:tc>
        <w:tc>
          <w:tcPr>
            <w:tcW w:w="1088" w:type="dxa"/>
          </w:tcPr>
          <w:p w14:paraId="104420E5" w14:textId="77777777" w:rsidR="00FA4AA8" w:rsidRDefault="0015611F">
            <w:pPr>
              <w:pStyle w:val="TableParagraph"/>
              <w:spacing w:before="28"/>
              <w:ind w:left="341"/>
              <w:rPr>
                <w:sz w:val="18"/>
              </w:rPr>
            </w:pPr>
            <w:r>
              <w:rPr>
                <w:sz w:val="18"/>
              </w:rPr>
              <w:t>439,070</w:t>
            </w:r>
          </w:p>
        </w:tc>
      </w:tr>
      <w:tr w:rsidR="00FA4AA8" w14:paraId="2387CAA4" w14:textId="77777777">
        <w:trPr>
          <w:trHeight w:val="264"/>
        </w:trPr>
        <w:tc>
          <w:tcPr>
            <w:tcW w:w="363" w:type="dxa"/>
          </w:tcPr>
          <w:p w14:paraId="69CFE4AF" w14:textId="77777777" w:rsidR="00FA4AA8" w:rsidRDefault="00FA4AA8">
            <w:pPr>
              <w:pStyle w:val="TableParagraph"/>
              <w:rPr>
                <w:rFonts w:ascii="Times New Roman"/>
                <w:sz w:val="18"/>
              </w:rPr>
            </w:pPr>
          </w:p>
        </w:tc>
        <w:tc>
          <w:tcPr>
            <w:tcW w:w="4696" w:type="dxa"/>
          </w:tcPr>
          <w:p w14:paraId="6784FA25" w14:textId="77777777" w:rsidR="00FA4AA8" w:rsidRDefault="0015611F">
            <w:pPr>
              <w:pStyle w:val="TableParagraph"/>
              <w:spacing w:before="26"/>
              <w:ind w:left="126"/>
              <w:rPr>
                <w:sz w:val="18"/>
              </w:rPr>
            </w:pPr>
            <w:r>
              <w:rPr>
                <w:sz w:val="18"/>
              </w:rPr>
              <w:t>Current service cost</w:t>
            </w:r>
          </w:p>
        </w:tc>
        <w:tc>
          <w:tcPr>
            <w:tcW w:w="1175" w:type="dxa"/>
          </w:tcPr>
          <w:p w14:paraId="737D3ED8" w14:textId="77777777" w:rsidR="00FA4AA8" w:rsidRDefault="0015611F">
            <w:pPr>
              <w:pStyle w:val="TableParagraph"/>
              <w:spacing w:before="24"/>
              <w:ind w:right="251"/>
              <w:jc w:val="right"/>
              <w:rPr>
                <w:sz w:val="18"/>
              </w:rPr>
            </w:pPr>
            <w:r>
              <w:rPr>
                <w:sz w:val="18"/>
              </w:rPr>
              <w:t>733</w:t>
            </w:r>
          </w:p>
        </w:tc>
        <w:tc>
          <w:tcPr>
            <w:tcW w:w="1341" w:type="dxa"/>
          </w:tcPr>
          <w:p w14:paraId="26E0E9C5" w14:textId="77777777" w:rsidR="00FA4AA8" w:rsidRDefault="0015611F">
            <w:pPr>
              <w:pStyle w:val="TableParagraph"/>
              <w:spacing w:before="24"/>
              <w:ind w:right="296"/>
              <w:jc w:val="right"/>
              <w:rPr>
                <w:sz w:val="18"/>
              </w:rPr>
            </w:pPr>
            <w:r>
              <w:rPr>
                <w:sz w:val="18"/>
              </w:rPr>
              <w:t>137</w:t>
            </w:r>
          </w:p>
        </w:tc>
        <w:tc>
          <w:tcPr>
            <w:tcW w:w="1297" w:type="dxa"/>
          </w:tcPr>
          <w:p w14:paraId="1D74E370" w14:textId="77777777" w:rsidR="00FA4AA8" w:rsidRDefault="0015611F">
            <w:pPr>
              <w:pStyle w:val="TableParagraph"/>
              <w:spacing w:before="24"/>
              <w:ind w:right="297"/>
              <w:jc w:val="right"/>
              <w:rPr>
                <w:sz w:val="18"/>
              </w:rPr>
            </w:pPr>
            <w:r>
              <w:rPr>
                <w:sz w:val="18"/>
              </w:rPr>
              <w:t>70</w:t>
            </w:r>
          </w:p>
        </w:tc>
        <w:tc>
          <w:tcPr>
            <w:tcW w:w="1088" w:type="dxa"/>
          </w:tcPr>
          <w:p w14:paraId="2846145C" w14:textId="77777777" w:rsidR="00FA4AA8" w:rsidRDefault="0015611F">
            <w:pPr>
              <w:pStyle w:val="TableParagraph"/>
              <w:spacing w:before="24"/>
              <w:ind w:right="89"/>
              <w:jc w:val="right"/>
              <w:rPr>
                <w:sz w:val="18"/>
              </w:rPr>
            </w:pPr>
            <w:r>
              <w:rPr>
                <w:sz w:val="18"/>
              </w:rPr>
              <w:t>940</w:t>
            </w:r>
          </w:p>
        </w:tc>
      </w:tr>
      <w:tr w:rsidR="00FA4AA8" w14:paraId="0F8FCA48" w14:textId="77777777">
        <w:trPr>
          <w:trHeight w:val="256"/>
        </w:trPr>
        <w:tc>
          <w:tcPr>
            <w:tcW w:w="363" w:type="dxa"/>
          </w:tcPr>
          <w:p w14:paraId="2B75B86A" w14:textId="77777777" w:rsidR="00FA4AA8" w:rsidRDefault="00FA4AA8">
            <w:pPr>
              <w:pStyle w:val="TableParagraph"/>
              <w:rPr>
                <w:rFonts w:ascii="Times New Roman"/>
                <w:sz w:val="18"/>
              </w:rPr>
            </w:pPr>
          </w:p>
        </w:tc>
        <w:tc>
          <w:tcPr>
            <w:tcW w:w="4696" w:type="dxa"/>
          </w:tcPr>
          <w:p w14:paraId="5E30953F" w14:textId="77777777" w:rsidR="00FA4AA8" w:rsidRDefault="0015611F">
            <w:pPr>
              <w:pStyle w:val="TableParagraph"/>
              <w:spacing w:before="26"/>
              <w:ind w:left="126"/>
              <w:rPr>
                <w:sz w:val="18"/>
              </w:rPr>
            </w:pPr>
            <w:r>
              <w:rPr>
                <w:sz w:val="18"/>
              </w:rPr>
              <w:t>Interest expense</w:t>
            </w:r>
          </w:p>
        </w:tc>
        <w:tc>
          <w:tcPr>
            <w:tcW w:w="1175" w:type="dxa"/>
            <w:tcBorders>
              <w:bottom w:val="single" w:sz="8" w:space="0" w:color="000000"/>
            </w:tcBorders>
          </w:tcPr>
          <w:p w14:paraId="08DA6A75" w14:textId="77777777" w:rsidR="00FA4AA8" w:rsidRDefault="0015611F">
            <w:pPr>
              <w:pStyle w:val="TableParagraph"/>
              <w:spacing w:before="24"/>
              <w:ind w:right="251"/>
              <w:jc w:val="right"/>
              <w:rPr>
                <w:sz w:val="18"/>
              </w:rPr>
            </w:pPr>
            <w:r>
              <w:rPr>
                <w:sz w:val="18"/>
              </w:rPr>
              <w:t>635</w:t>
            </w:r>
          </w:p>
        </w:tc>
        <w:tc>
          <w:tcPr>
            <w:tcW w:w="1341" w:type="dxa"/>
            <w:tcBorders>
              <w:bottom w:val="single" w:sz="8" w:space="0" w:color="000000"/>
            </w:tcBorders>
          </w:tcPr>
          <w:p w14:paraId="3E32B271" w14:textId="77777777" w:rsidR="00FA4AA8" w:rsidRDefault="0015611F">
            <w:pPr>
              <w:pStyle w:val="TableParagraph"/>
              <w:spacing w:before="24"/>
              <w:ind w:right="296"/>
              <w:jc w:val="right"/>
              <w:rPr>
                <w:sz w:val="18"/>
              </w:rPr>
            </w:pPr>
            <w:r>
              <w:rPr>
                <w:sz w:val="18"/>
              </w:rPr>
              <w:t>107</w:t>
            </w:r>
          </w:p>
        </w:tc>
        <w:tc>
          <w:tcPr>
            <w:tcW w:w="1297" w:type="dxa"/>
            <w:tcBorders>
              <w:bottom w:val="single" w:sz="8" w:space="0" w:color="000000"/>
            </w:tcBorders>
          </w:tcPr>
          <w:p w14:paraId="39F46BC6" w14:textId="77777777" w:rsidR="00FA4AA8" w:rsidRDefault="0015611F">
            <w:pPr>
              <w:pStyle w:val="TableParagraph"/>
              <w:spacing w:before="24"/>
              <w:ind w:right="297"/>
              <w:jc w:val="right"/>
              <w:rPr>
                <w:sz w:val="18"/>
              </w:rPr>
            </w:pPr>
            <w:r>
              <w:rPr>
                <w:sz w:val="18"/>
              </w:rPr>
              <w:t>10,617</w:t>
            </w:r>
          </w:p>
        </w:tc>
        <w:tc>
          <w:tcPr>
            <w:tcW w:w="1088" w:type="dxa"/>
            <w:tcBorders>
              <w:bottom w:val="single" w:sz="8" w:space="0" w:color="000000"/>
            </w:tcBorders>
          </w:tcPr>
          <w:p w14:paraId="70D752C9" w14:textId="77777777" w:rsidR="00FA4AA8" w:rsidRDefault="0015611F">
            <w:pPr>
              <w:pStyle w:val="TableParagraph"/>
              <w:spacing w:before="24"/>
              <w:ind w:right="89"/>
              <w:jc w:val="right"/>
              <w:rPr>
                <w:sz w:val="18"/>
              </w:rPr>
            </w:pPr>
            <w:r>
              <w:rPr>
                <w:sz w:val="18"/>
              </w:rPr>
              <w:t>11,359</w:t>
            </w:r>
          </w:p>
        </w:tc>
      </w:tr>
      <w:tr w:rsidR="00FA4AA8" w14:paraId="2888E573" w14:textId="77777777">
        <w:trPr>
          <w:trHeight w:val="318"/>
        </w:trPr>
        <w:tc>
          <w:tcPr>
            <w:tcW w:w="363" w:type="dxa"/>
          </w:tcPr>
          <w:p w14:paraId="1A4FD6F1" w14:textId="77777777" w:rsidR="00FA4AA8" w:rsidRDefault="00FA4AA8">
            <w:pPr>
              <w:pStyle w:val="TableParagraph"/>
              <w:rPr>
                <w:rFonts w:ascii="Times New Roman"/>
                <w:sz w:val="18"/>
              </w:rPr>
            </w:pPr>
          </w:p>
        </w:tc>
        <w:tc>
          <w:tcPr>
            <w:tcW w:w="4696" w:type="dxa"/>
          </w:tcPr>
          <w:p w14:paraId="03F5AA87" w14:textId="77777777" w:rsidR="00FA4AA8" w:rsidRDefault="00FA4AA8">
            <w:pPr>
              <w:pStyle w:val="TableParagraph"/>
              <w:rPr>
                <w:rFonts w:ascii="Times New Roman"/>
                <w:sz w:val="18"/>
              </w:rPr>
            </w:pPr>
          </w:p>
        </w:tc>
        <w:tc>
          <w:tcPr>
            <w:tcW w:w="1175" w:type="dxa"/>
            <w:tcBorders>
              <w:top w:val="single" w:sz="8" w:space="0" w:color="000000"/>
              <w:bottom w:val="single" w:sz="8" w:space="0" w:color="000000"/>
            </w:tcBorders>
          </w:tcPr>
          <w:p w14:paraId="029BC1C2" w14:textId="77777777" w:rsidR="00FA4AA8" w:rsidRDefault="0015611F">
            <w:pPr>
              <w:pStyle w:val="TableParagraph"/>
              <w:spacing w:before="115" w:line="183" w:lineRule="exact"/>
              <w:ind w:right="251"/>
              <w:jc w:val="right"/>
              <w:rPr>
                <w:b/>
                <w:sz w:val="18"/>
              </w:rPr>
            </w:pPr>
            <w:r>
              <w:rPr>
                <w:b/>
                <w:sz w:val="18"/>
              </w:rPr>
              <w:t>26,544</w:t>
            </w:r>
          </w:p>
        </w:tc>
        <w:tc>
          <w:tcPr>
            <w:tcW w:w="1341" w:type="dxa"/>
            <w:tcBorders>
              <w:top w:val="single" w:sz="8" w:space="0" w:color="000000"/>
              <w:bottom w:val="single" w:sz="8" w:space="0" w:color="000000"/>
            </w:tcBorders>
          </w:tcPr>
          <w:p w14:paraId="2C64D23F" w14:textId="77777777" w:rsidR="00FA4AA8" w:rsidRDefault="0015611F">
            <w:pPr>
              <w:pStyle w:val="TableParagraph"/>
              <w:spacing w:before="115" w:line="183" w:lineRule="exact"/>
              <w:ind w:left="588"/>
              <w:rPr>
                <w:b/>
                <w:sz w:val="18"/>
              </w:rPr>
            </w:pPr>
            <w:r>
              <w:rPr>
                <w:b/>
                <w:sz w:val="18"/>
              </w:rPr>
              <w:t>4,593</w:t>
            </w:r>
          </w:p>
        </w:tc>
        <w:tc>
          <w:tcPr>
            <w:tcW w:w="1297" w:type="dxa"/>
            <w:tcBorders>
              <w:top w:val="single" w:sz="8" w:space="0" w:color="000000"/>
              <w:bottom w:val="single" w:sz="8" w:space="0" w:color="000000"/>
            </w:tcBorders>
          </w:tcPr>
          <w:p w14:paraId="32E27928" w14:textId="77777777" w:rsidR="00FA4AA8" w:rsidRDefault="0015611F">
            <w:pPr>
              <w:pStyle w:val="TableParagraph"/>
              <w:spacing w:before="115" w:line="183" w:lineRule="exact"/>
              <w:ind w:right="297"/>
              <w:jc w:val="right"/>
              <w:rPr>
                <w:b/>
                <w:sz w:val="18"/>
              </w:rPr>
            </w:pPr>
            <w:r>
              <w:rPr>
                <w:b/>
                <w:sz w:val="18"/>
              </w:rPr>
              <w:t>420,232</w:t>
            </w:r>
          </w:p>
        </w:tc>
        <w:tc>
          <w:tcPr>
            <w:tcW w:w="1088" w:type="dxa"/>
            <w:tcBorders>
              <w:top w:val="single" w:sz="8" w:space="0" w:color="000000"/>
              <w:bottom w:val="single" w:sz="8" w:space="0" w:color="000000"/>
            </w:tcBorders>
          </w:tcPr>
          <w:p w14:paraId="354EBBD7" w14:textId="77777777" w:rsidR="00FA4AA8" w:rsidRDefault="0015611F">
            <w:pPr>
              <w:pStyle w:val="TableParagraph"/>
              <w:spacing w:before="115" w:line="183" w:lineRule="exact"/>
              <w:ind w:left="341"/>
              <w:rPr>
                <w:b/>
                <w:sz w:val="18"/>
              </w:rPr>
            </w:pPr>
            <w:r>
              <w:rPr>
                <w:b/>
                <w:sz w:val="18"/>
              </w:rPr>
              <w:t>451,369</w:t>
            </w:r>
          </w:p>
        </w:tc>
      </w:tr>
      <w:tr w:rsidR="00FA4AA8" w14:paraId="13FF087B" w14:textId="77777777">
        <w:trPr>
          <w:trHeight w:val="337"/>
        </w:trPr>
        <w:tc>
          <w:tcPr>
            <w:tcW w:w="363" w:type="dxa"/>
          </w:tcPr>
          <w:p w14:paraId="26D7250D" w14:textId="77777777" w:rsidR="00FA4AA8" w:rsidRDefault="00FA4AA8">
            <w:pPr>
              <w:pStyle w:val="TableParagraph"/>
              <w:rPr>
                <w:rFonts w:ascii="Times New Roman"/>
                <w:sz w:val="18"/>
              </w:rPr>
            </w:pPr>
          </w:p>
        </w:tc>
        <w:tc>
          <w:tcPr>
            <w:tcW w:w="4696" w:type="dxa"/>
          </w:tcPr>
          <w:p w14:paraId="26B52703" w14:textId="77777777" w:rsidR="00FA4AA8" w:rsidRDefault="0015611F">
            <w:pPr>
              <w:pStyle w:val="TableParagraph"/>
              <w:spacing w:before="115" w:line="203" w:lineRule="exact"/>
              <w:ind w:left="126"/>
              <w:rPr>
                <w:b/>
                <w:sz w:val="18"/>
              </w:rPr>
            </w:pPr>
            <w:r>
              <w:rPr>
                <w:b/>
                <w:sz w:val="18"/>
              </w:rPr>
              <w:t>Remeasurements</w:t>
            </w:r>
          </w:p>
        </w:tc>
        <w:tc>
          <w:tcPr>
            <w:tcW w:w="1175" w:type="dxa"/>
            <w:tcBorders>
              <w:top w:val="single" w:sz="8" w:space="0" w:color="000000"/>
            </w:tcBorders>
          </w:tcPr>
          <w:p w14:paraId="0EA655EA" w14:textId="77777777" w:rsidR="00FA4AA8" w:rsidRDefault="00FA4AA8">
            <w:pPr>
              <w:pStyle w:val="TableParagraph"/>
              <w:rPr>
                <w:rFonts w:ascii="Times New Roman"/>
                <w:sz w:val="18"/>
              </w:rPr>
            </w:pPr>
          </w:p>
        </w:tc>
        <w:tc>
          <w:tcPr>
            <w:tcW w:w="1341" w:type="dxa"/>
            <w:tcBorders>
              <w:top w:val="single" w:sz="8" w:space="0" w:color="000000"/>
            </w:tcBorders>
          </w:tcPr>
          <w:p w14:paraId="1E3AB1D9" w14:textId="77777777" w:rsidR="00FA4AA8" w:rsidRDefault="00FA4AA8">
            <w:pPr>
              <w:pStyle w:val="TableParagraph"/>
              <w:rPr>
                <w:rFonts w:ascii="Times New Roman"/>
                <w:sz w:val="18"/>
              </w:rPr>
            </w:pPr>
          </w:p>
        </w:tc>
        <w:tc>
          <w:tcPr>
            <w:tcW w:w="1297" w:type="dxa"/>
            <w:tcBorders>
              <w:top w:val="single" w:sz="8" w:space="0" w:color="000000"/>
            </w:tcBorders>
          </w:tcPr>
          <w:p w14:paraId="4CC5A261" w14:textId="77777777" w:rsidR="00FA4AA8" w:rsidRDefault="00FA4AA8">
            <w:pPr>
              <w:pStyle w:val="TableParagraph"/>
              <w:rPr>
                <w:rFonts w:ascii="Times New Roman"/>
                <w:sz w:val="18"/>
              </w:rPr>
            </w:pPr>
          </w:p>
        </w:tc>
        <w:tc>
          <w:tcPr>
            <w:tcW w:w="1088" w:type="dxa"/>
            <w:tcBorders>
              <w:top w:val="single" w:sz="8" w:space="0" w:color="000000"/>
            </w:tcBorders>
          </w:tcPr>
          <w:p w14:paraId="54F34731" w14:textId="77777777" w:rsidR="00FA4AA8" w:rsidRDefault="00FA4AA8">
            <w:pPr>
              <w:pStyle w:val="TableParagraph"/>
              <w:rPr>
                <w:rFonts w:ascii="Times New Roman"/>
                <w:sz w:val="18"/>
              </w:rPr>
            </w:pPr>
          </w:p>
        </w:tc>
      </w:tr>
      <w:tr w:rsidR="00FA4AA8" w14:paraId="3312F32F" w14:textId="77777777">
        <w:trPr>
          <w:trHeight w:val="452"/>
        </w:trPr>
        <w:tc>
          <w:tcPr>
            <w:tcW w:w="363" w:type="dxa"/>
          </w:tcPr>
          <w:p w14:paraId="39F51CD1" w14:textId="77777777" w:rsidR="00FA4AA8" w:rsidRDefault="00FA4AA8">
            <w:pPr>
              <w:pStyle w:val="TableParagraph"/>
              <w:rPr>
                <w:rFonts w:ascii="Times New Roman"/>
                <w:sz w:val="18"/>
              </w:rPr>
            </w:pPr>
          </w:p>
        </w:tc>
        <w:tc>
          <w:tcPr>
            <w:tcW w:w="4696" w:type="dxa"/>
          </w:tcPr>
          <w:p w14:paraId="0B5F585E" w14:textId="77777777" w:rsidR="00FA4AA8" w:rsidRDefault="0015611F">
            <w:pPr>
              <w:pStyle w:val="TableParagraph"/>
              <w:spacing w:before="10"/>
              <w:ind w:left="126" w:right="1367"/>
              <w:rPr>
                <w:sz w:val="18"/>
              </w:rPr>
            </w:pPr>
            <w:r>
              <w:rPr>
                <w:sz w:val="18"/>
              </w:rPr>
              <w:t>Actuarial losses/(gains) arising from changes in demographic assumptions</w:t>
            </w:r>
          </w:p>
        </w:tc>
        <w:tc>
          <w:tcPr>
            <w:tcW w:w="1175" w:type="dxa"/>
          </w:tcPr>
          <w:p w14:paraId="63CDCAD7" w14:textId="77777777" w:rsidR="00FA4AA8" w:rsidRDefault="00FA4AA8">
            <w:pPr>
              <w:pStyle w:val="TableParagraph"/>
              <w:spacing w:before="6"/>
              <w:rPr>
                <w:b/>
                <w:sz w:val="18"/>
              </w:rPr>
            </w:pPr>
          </w:p>
          <w:p w14:paraId="68EB78E3" w14:textId="77777777" w:rsidR="00FA4AA8" w:rsidRDefault="0015611F">
            <w:pPr>
              <w:pStyle w:val="TableParagraph"/>
              <w:spacing w:before="1"/>
              <w:ind w:right="191"/>
              <w:jc w:val="right"/>
              <w:rPr>
                <w:sz w:val="18"/>
              </w:rPr>
            </w:pPr>
            <w:r>
              <w:rPr>
                <w:sz w:val="18"/>
              </w:rPr>
              <w:t>(168)</w:t>
            </w:r>
          </w:p>
        </w:tc>
        <w:tc>
          <w:tcPr>
            <w:tcW w:w="1341" w:type="dxa"/>
          </w:tcPr>
          <w:p w14:paraId="2C89940D" w14:textId="77777777" w:rsidR="00FA4AA8" w:rsidRDefault="00FA4AA8">
            <w:pPr>
              <w:pStyle w:val="TableParagraph"/>
              <w:spacing w:before="6"/>
              <w:rPr>
                <w:b/>
                <w:sz w:val="18"/>
              </w:rPr>
            </w:pPr>
          </w:p>
          <w:p w14:paraId="35018CAB" w14:textId="77777777" w:rsidR="00FA4AA8" w:rsidRDefault="0015611F">
            <w:pPr>
              <w:pStyle w:val="TableParagraph"/>
              <w:spacing w:before="1"/>
              <w:ind w:right="236"/>
              <w:jc w:val="right"/>
              <w:rPr>
                <w:sz w:val="18"/>
              </w:rPr>
            </w:pPr>
            <w:r>
              <w:rPr>
                <w:sz w:val="18"/>
              </w:rPr>
              <w:t>(40)</w:t>
            </w:r>
          </w:p>
        </w:tc>
        <w:tc>
          <w:tcPr>
            <w:tcW w:w="1297" w:type="dxa"/>
          </w:tcPr>
          <w:p w14:paraId="177E3CB6" w14:textId="77777777" w:rsidR="00FA4AA8" w:rsidRDefault="00FA4AA8">
            <w:pPr>
              <w:pStyle w:val="TableParagraph"/>
              <w:spacing w:before="6"/>
              <w:rPr>
                <w:b/>
                <w:sz w:val="18"/>
              </w:rPr>
            </w:pPr>
          </w:p>
          <w:p w14:paraId="60EBDB9F" w14:textId="77777777" w:rsidR="00FA4AA8" w:rsidRDefault="0015611F">
            <w:pPr>
              <w:pStyle w:val="TableParagraph"/>
              <w:spacing w:before="1"/>
              <w:ind w:right="297"/>
              <w:jc w:val="right"/>
              <w:rPr>
                <w:sz w:val="18"/>
              </w:rPr>
            </w:pPr>
            <w:r>
              <w:rPr>
                <w:sz w:val="18"/>
              </w:rPr>
              <w:t>2,046</w:t>
            </w:r>
          </w:p>
        </w:tc>
        <w:tc>
          <w:tcPr>
            <w:tcW w:w="1088" w:type="dxa"/>
          </w:tcPr>
          <w:p w14:paraId="535543DE" w14:textId="77777777" w:rsidR="00FA4AA8" w:rsidRDefault="00FA4AA8">
            <w:pPr>
              <w:pStyle w:val="TableParagraph"/>
              <w:spacing w:before="6"/>
              <w:rPr>
                <w:b/>
                <w:sz w:val="18"/>
              </w:rPr>
            </w:pPr>
          </w:p>
          <w:p w14:paraId="09198514" w14:textId="77777777" w:rsidR="00FA4AA8" w:rsidRDefault="0015611F">
            <w:pPr>
              <w:pStyle w:val="TableParagraph"/>
              <w:spacing w:before="1"/>
              <w:ind w:right="89"/>
              <w:jc w:val="right"/>
              <w:rPr>
                <w:sz w:val="18"/>
              </w:rPr>
            </w:pPr>
            <w:r>
              <w:rPr>
                <w:sz w:val="18"/>
              </w:rPr>
              <w:t>1,838</w:t>
            </w:r>
          </w:p>
        </w:tc>
      </w:tr>
      <w:tr w:rsidR="00FA4AA8" w14:paraId="3D1B24B2" w14:textId="77777777">
        <w:trPr>
          <w:trHeight w:val="466"/>
        </w:trPr>
        <w:tc>
          <w:tcPr>
            <w:tcW w:w="363" w:type="dxa"/>
          </w:tcPr>
          <w:p w14:paraId="79081E46" w14:textId="77777777" w:rsidR="00FA4AA8" w:rsidRDefault="00FA4AA8">
            <w:pPr>
              <w:pStyle w:val="TableParagraph"/>
              <w:rPr>
                <w:rFonts w:ascii="Times New Roman"/>
                <w:sz w:val="18"/>
              </w:rPr>
            </w:pPr>
          </w:p>
        </w:tc>
        <w:tc>
          <w:tcPr>
            <w:tcW w:w="4696" w:type="dxa"/>
          </w:tcPr>
          <w:p w14:paraId="477E5938" w14:textId="77777777" w:rsidR="00FA4AA8" w:rsidRDefault="0015611F">
            <w:pPr>
              <w:pStyle w:val="TableParagraph"/>
              <w:spacing w:before="23"/>
              <w:ind w:left="126" w:right="1367"/>
              <w:rPr>
                <w:sz w:val="18"/>
              </w:rPr>
            </w:pPr>
            <w:r>
              <w:rPr>
                <w:sz w:val="18"/>
              </w:rPr>
              <w:t>Actuarial losses/(gains) arising from changes in financial assumptions</w:t>
            </w:r>
          </w:p>
        </w:tc>
        <w:tc>
          <w:tcPr>
            <w:tcW w:w="1175" w:type="dxa"/>
          </w:tcPr>
          <w:p w14:paraId="55318180" w14:textId="77777777" w:rsidR="00FA4AA8" w:rsidRDefault="00FA4AA8">
            <w:pPr>
              <w:pStyle w:val="TableParagraph"/>
              <w:spacing w:before="8"/>
              <w:rPr>
                <w:b/>
                <w:sz w:val="19"/>
              </w:rPr>
            </w:pPr>
          </w:p>
          <w:p w14:paraId="6741E244" w14:textId="77777777" w:rsidR="00FA4AA8" w:rsidRDefault="0015611F">
            <w:pPr>
              <w:pStyle w:val="TableParagraph"/>
              <w:ind w:right="251"/>
              <w:jc w:val="right"/>
              <w:rPr>
                <w:sz w:val="18"/>
              </w:rPr>
            </w:pPr>
            <w:r>
              <w:rPr>
                <w:sz w:val="18"/>
              </w:rPr>
              <w:t>313</w:t>
            </w:r>
          </w:p>
        </w:tc>
        <w:tc>
          <w:tcPr>
            <w:tcW w:w="1341" w:type="dxa"/>
          </w:tcPr>
          <w:p w14:paraId="65923194" w14:textId="77777777" w:rsidR="00FA4AA8" w:rsidRDefault="00FA4AA8">
            <w:pPr>
              <w:pStyle w:val="TableParagraph"/>
              <w:spacing w:before="8"/>
              <w:rPr>
                <w:b/>
                <w:sz w:val="19"/>
              </w:rPr>
            </w:pPr>
          </w:p>
          <w:p w14:paraId="3484E3AB" w14:textId="77777777" w:rsidR="00FA4AA8" w:rsidRDefault="0015611F">
            <w:pPr>
              <w:pStyle w:val="TableParagraph"/>
              <w:ind w:right="296"/>
              <w:jc w:val="right"/>
              <w:rPr>
                <w:sz w:val="18"/>
              </w:rPr>
            </w:pPr>
            <w:r>
              <w:rPr>
                <w:sz w:val="18"/>
              </w:rPr>
              <w:t>79</w:t>
            </w:r>
          </w:p>
        </w:tc>
        <w:tc>
          <w:tcPr>
            <w:tcW w:w="1297" w:type="dxa"/>
          </w:tcPr>
          <w:p w14:paraId="691ED5FC" w14:textId="77777777" w:rsidR="00FA4AA8" w:rsidRDefault="00FA4AA8">
            <w:pPr>
              <w:pStyle w:val="TableParagraph"/>
              <w:spacing w:before="8"/>
              <w:rPr>
                <w:b/>
                <w:sz w:val="19"/>
              </w:rPr>
            </w:pPr>
          </w:p>
          <w:p w14:paraId="5F040D98" w14:textId="77777777" w:rsidR="00FA4AA8" w:rsidRDefault="0015611F">
            <w:pPr>
              <w:pStyle w:val="TableParagraph"/>
              <w:ind w:right="297"/>
              <w:jc w:val="right"/>
              <w:rPr>
                <w:sz w:val="18"/>
              </w:rPr>
            </w:pPr>
            <w:r>
              <w:rPr>
                <w:sz w:val="18"/>
              </w:rPr>
              <w:t>14,607</w:t>
            </w:r>
          </w:p>
        </w:tc>
        <w:tc>
          <w:tcPr>
            <w:tcW w:w="1088" w:type="dxa"/>
          </w:tcPr>
          <w:p w14:paraId="398A7362" w14:textId="77777777" w:rsidR="00FA4AA8" w:rsidRDefault="00FA4AA8">
            <w:pPr>
              <w:pStyle w:val="TableParagraph"/>
              <w:spacing w:before="8"/>
              <w:rPr>
                <w:b/>
                <w:sz w:val="19"/>
              </w:rPr>
            </w:pPr>
          </w:p>
          <w:p w14:paraId="0F79576A" w14:textId="77777777" w:rsidR="00FA4AA8" w:rsidRDefault="0015611F">
            <w:pPr>
              <w:pStyle w:val="TableParagraph"/>
              <w:ind w:right="89"/>
              <w:jc w:val="right"/>
              <w:rPr>
                <w:sz w:val="18"/>
              </w:rPr>
            </w:pPr>
            <w:r>
              <w:rPr>
                <w:sz w:val="18"/>
              </w:rPr>
              <w:t>14,999</w:t>
            </w:r>
          </w:p>
        </w:tc>
      </w:tr>
      <w:tr w:rsidR="00FA4AA8" w14:paraId="0543EE6F" w14:textId="77777777">
        <w:trPr>
          <w:trHeight w:val="256"/>
        </w:trPr>
        <w:tc>
          <w:tcPr>
            <w:tcW w:w="363" w:type="dxa"/>
          </w:tcPr>
          <w:p w14:paraId="555B9A6D" w14:textId="77777777" w:rsidR="00FA4AA8" w:rsidRDefault="00FA4AA8">
            <w:pPr>
              <w:pStyle w:val="TableParagraph"/>
              <w:rPr>
                <w:rFonts w:ascii="Times New Roman"/>
                <w:sz w:val="18"/>
              </w:rPr>
            </w:pPr>
          </w:p>
        </w:tc>
        <w:tc>
          <w:tcPr>
            <w:tcW w:w="4696" w:type="dxa"/>
          </w:tcPr>
          <w:p w14:paraId="364038AA" w14:textId="77777777" w:rsidR="00FA4AA8" w:rsidRDefault="0015611F">
            <w:pPr>
              <w:pStyle w:val="TableParagraph"/>
              <w:spacing w:before="26"/>
              <w:ind w:left="126"/>
              <w:rPr>
                <w:sz w:val="18"/>
              </w:rPr>
            </w:pPr>
            <w:r>
              <w:rPr>
                <w:sz w:val="18"/>
              </w:rPr>
              <w:t>Experience (gains)/losses</w:t>
            </w:r>
          </w:p>
        </w:tc>
        <w:tc>
          <w:tcPr>
            <w:tcW w:w="1175" w:type="dxa"/>
            <w:tcBorders>
              <w:bottom w:val="single" w:sz="8" w:space="0" w:color="000000"/>
            </w:tcBorders>
          </w:tcPr>
          <w:p w14:paraId="58CAAF44" w14:textId="77777777" w:rsidR="00FA4AA8" w:rsidRDefault="0015611F">
            <w:pPr>
              <w:pStyle w:val="TableParagraph"/>
              <w:spacing w:before="24"/>
              <w:ind w:right="251"/>
              <w:jc w:val="right"/>
              <w:rPr>
                <w:sz w:val="18"/>
              </w:rPr>
            </w:pPr>
            <w:r>
              <w:rPr>
                <w:sz w:val="18"/>
              </w:rPr>
              <w:t>1,893</w:t>
            </w:r>
          </w:p>
        </w:tc>
        <w:tc>
          <w:tcPr>
            <w:tcW w:w="1341" w:type="dxa"/>
            <w:tcBorders>
              <w:bottom w:val="single" w:sz="8" w:space="0" w:color="000000"/>
            </w:tcBorders>
          </w:tcPr>
          <w:p w14:paraId="72B2B7EA" w14:textId="77777777" w:rsidR="00FA4AA8" w:rsidRDefault="0015611F">
            <w:pPr>
              <w:pStyle w:val="TableParagraph"/>
              <w:spacing w:before="24"/>
              <w:ind w:right="296"/>
              <w:jc w:val="right"/>
              <w:rPr>
                <w:sz w:val="18"/>
              </w:rPr>
            </w:pPr>
            <w:r>
              <w:rPr>
                <w:sz w:val="18"/>
              </w:rPr>
              <w:t>212</w:t>
            </w:r>
          </w:p>
        </w:tc>
        <w:tc>
          <w:tcPr>
            <w:tcW w:w="1297" w:type="dxa"/>
            <w:tcBorders>
              <w:bottom w:val="single" w:sz="8" w:space="0" w:color="000000"/>
            </w:tcBorders>
          </w:tcPr>
          <w:p w14:paraId="4D4681A5" w14:textId="77777777" w:rsidR="00FA4AA8" w:rsidRDefault="0015611F">
            <w:pPr>
              <w:pStyle w:val="TableParagraph"/>
              <w:spacing w:before="24"/>
              <w:ind w:right="237"/>
              <w:jc w:val="right"/>
              <w:rPr>
                <w:sz w:val="18"/>
              </w:rPr>
            </w:pPr>
            <w:r>
              <w:rPr>
                <w:sz w:val="18"/>
              </w:rPr>
              <w:t>(4,673)</w:t>
            </w:r>
          </w:p>
        </w:tc>
        <w:tc>
          <w:tcPr>
            <w:tcW w:w="1088" w:type="dxa"/>
            <w:tcBorders>
              <w:bottom w:val="single" w:sz="8" w:space="0" w:color="000000"/>
            </w:tcBorders>
          </w:tcPr>
          <w:p w14:paraId="24E877AD" w14:textId="77777777" w:rsidR="00FA4AA8" w:rsidRDefault="0015611F">
            <w:pPr>
              <w:pStyle w:val="TableParagraph"/>
              <w:spacing w:before="24"/>
              <w:ind w:right="29"/>
              <w:jc w:val="right"/>
              <w:rPr>
                <w:sz w:val="18"/>
              </w:rPr>
            </w:pPr>
            <w:r>
              <w:rPr>
                <w:sz w:val="18"/>
              </w:rPr>
              <w:t>(2,568)</w:t>
            </w:r>
          </w:p>
        </w:tc>
      </w:tr>
      <w:tr w:rsidR="00FA4AA8" w14:paraId="724D079A" w14:textId="77777777">
        <w:trPr>
          <w:trHeight w:val="318"/>
        </w:trPr>
        <w:tc>
          <w:tcPr>
            <w:tcW w:w="363" w:type="dxa"/>
          </w:tcPr>
          <w:p w14:paraId="1A1ECFD9" w14:textId="77777777" w:rsidR="00FA4AA8" w:rsidRDefault="00FA4AA8">
            <w:pPr>
              <w:pStyle w:val="TableParagraph"/>
              <w:rPr>
                <w:rFonts w:ascii="Times New Roman"/>
                <w:sz w:val="18"/>
              </w:rPr>
            </w:pPr>
          </w:p>
        </w:tc>
        <w:tc>
          <w:tcPr>
            <w:tcW w:w="4696" w:type="dxa"/>
          </w:tcPr>
          <w:p w14:paraId="2B18822A" w14:textId="77777777" w:rsidR="00FA4AA8" w:rsidRDefault="00FA4AA8">
            <w:pPr>
              <w:pStyle w:val="TableParagraph"/>
              <w:rPr>
                <w:rFonts w:ascii="Times New Roman"/>
                <w:sz w:val="18"/>
              </w:rPr>
            </w:pPr>
          </w:p>
        </w:tc>
        <w:tc>
          <w:tcPr>
            <w:tcW w:w="1175" w:type="dxa"/>
            <w:tcBorders>
              <w:top w:val="single" w:sz="8" w:space="0" w:color="000000"/>
              <w:bottom w:val="single" w:sz="8" w:space="0" w:color="000000"/>
            </w:tcBorders>
          </w:tcPr>
          <w:p w14:paraId="66463FED" w14:textId="77777777" w:rsidR="00FA4AA8" w:rsidRDefault="0015611F">
            <w:pPr>
              <w:pStyle w:val="TableParagraph"/>
              <w:spacing w:before="115" w:line="183" w:lineRule="exact"/>
              <w:ind w:right="251"/>
              <w:jc w:val="right"/>
              <w:rPr>
                <w:b/>
                <w:sz w:val="18"/>
              </w:rPr>
            </w:pPr>
            <w:r>
              <w:rPr>
                <w:b/>
                <w:sz w:val="18"/>
              </w:rPr>
              <w:t>2,038</w:t>
            </w:r>
          </w:p>
        </w:tc>
        <w:tc>
          <w:tcPr>
            <w:tcW w:w="1341" w:type="dxa"/>
            <w:tcBorders>
              <w:top w:val="single" w:sz="8" w:space="0" w:color="000000"/>
              <w:bottom w:val="single" w:sz="8" w:space="0" w:color="000000"/>
            </w:tcBorders>
          </w:tcPr>
          <w:p w14:paraId="300F498E" w14:textId="77777777" w:rsidR="00FA4AA8" w:rsidRDefault="0015611F">
            <w:pPr>
              <w:pStyle w:val="TableParagraph"/>
              <w:spacing w:before="115" w:line="183" w:lineRule="exact"/>
              <w:ind w:right="296"/>
              <w:jc w:val="right"/>
              <w:rPr>
                <w:b/>
                <w:sz w:val="18"/>
              </w:rPr>
            </w:pPr>
            <w:r>
              <w:rPr>
                <w:b/>
                <w:sz w:val="18"/>
              </w:rPr>
              <w:t>251</w:t>
            </w:r>
          </w:p>
        </w:tc>
        <w:tc>
          <w:tcPr>
            <w:tcW w:w="1297" w:type="dxa"/>
            <w:tcBorders>
              <w:top w:val="single" w:sz="8" w:space="0" w:color="000000"/>
              <w:bottom w:val="single" w:sz="8" w:space="0" w:color="000000"/>
            </w:tcBorders>
          </w:tcPr>
          <w:p w14:paraId="558599FC" w14:textId="77777777" w:rsidR="00FA4AA8" w:rsidRDefault="0015611F">
            <w:pPr>
              <w:pStyle w:val="TableParagraph"/>
              <w:spacing w:before="115" w:line="183" w:lineRule="exact"/>
              <w:ind w:right="297"/>
              <w:jc w:val="right"/>
              <w:rPr>
                <w:b/>
                <w:sz w:val="18"/>
              </w:rPr>
            </w:pPr>
            <w:r>
              <w:rPr>
                <w:b/>
                <w:sz w:val="18"/>
              </w:rPr>
              <w:t>11,980</w:t>
            </w:r>
          </w:p>
        </w:tc>
        <w:tc>
          <w:tcPr>
            <w:tcW w:w="1088" w:type="dxa"/>
            <w:tcBorders>
              <w:top w:val="single" w:sz="8" w:space="0" w:color="000000"/>
              <w:bottom w:val="single" w:sz="8" w:space="0" w:color="000000"/>
            </w:tcBorders>
          </w:tcPr>
          <w:p w14:paraId="01714ABE" w14:textId="77777777" w:rsidR="00FA4AA8" w:rsidRDefault="0015611F">
            <w:pPr>
              <w:pStyle w:val="TableParagraph"/>
              <w:spacing w:before="115" w:line="183" w:lineRule="exact"/>
              <w:ind w:right="89"/>
              <w:jc w:val="right"/>
              <w:rPr>
                <w:b/>
                <w:sz w:val="18"/>
              </w:rPr>
            </w:pPr>
            <w:r>
              <w:rPr>
                <w:b/>
                <w:sz w:val="18"/>
              </w:rPr>
              <w:t>14,269</w:t>
            </w:r>
          </w:p>
        </w:tc>
      </w:tr>
      <w:tr w:rsidR="00FA4AA8" w14:paraId="559DF892" w14:textId="77777777">
        <w:trPr>
          <w:trHeight w:val="339"/>
        </w:trPr>
        <w:tc>
          <w:tcPr>
            <w:tcW w:w="363" w:type="dxa"/>
          </w:tcPr>
          <w:p w14:paraId="1029A213" w14:textId="77777777" w:rsidR="00FA4AA8" w:rsidRDefault="00FA4AA8">
            <w:pPr>
              <w:pStyle w:val="TableParagraph"/>
              <w:rPr>
                <w:rFonts w:ascii="Times New Roman"/>
                <w:sz w:val="18"/>
              </w:rPr>
            </w:pPr>
          </w:p>
        </w:tc>
        <w:tc>
          <w:tcPr>
            <w:tcW w:w="4696" w:type="dxa"/>
          </w:tcPr>
          <w:p w14:paraId="283B6CF9" w14:textId="77777777" w:rsidR="00FA4AA8" w:rsidRDefault="0015611F">
            <w:pPr>
              <w:pStyle w:val="TableParagraph"/>
              <w:spacing w:before="115" w:line="204" w:lineRule="exact"/>
              <w:ind w:left="126"/>
              <w:rPr>
                <w:b/>
                <w:sz w:val="18"/>
              </w:rPr>
            </w:pPr>
            <w:r>
              <w:rPr>
                <w:b/>
                <w:sz w:val="18"/>
              </w:rPr>
              <w:t>Contributions</w:t>
            </w:r>
          </w:p>
        </w:tc>
        <w:tc>
          <w:tcPr>
            <w:tcW w:w="1175" w:type="dxa"/>
            <w:tcBorders>
              <w:top w:val="single" w:sz="8" w:space="0" w:color="000000"/>
            </w:tcBorders>
          </w:tcPr>
          <w:p w14:paraId="0AD05D88" w14:textId="77777777" w:rsidR="00FA4AA8" w:rsidRDefault="00FA4AA8">
            <w:pPr>
              <w:pStyle w:val="TableParagraph"/>
              <w:rPr>
                <w:rFonts w:ascii="Times New Roman"/>
                <w:sz w:val="18"/>
              </w:rPr>
            </w:pPr>
          </w:p>
        </w:tc>
        <w:tc>
          <w:tcPr>
            <w:tcW w:w="1341" w:type="dxa"/>
            <w:tcBorders>
              <w:top w:val="single" w:sz="8" w:space="0" w:color="000000"/>
            </w:tcBorders>
          </w:tcPr>
          <w:p w14:paraId="76A0F269" w14:textId="77777777" w:rsidR="00FA4AA8" w:rsidRDefault="00FA4AA8">
            <w:pPr>
              <w:pStyle w:val="TableParagraph"/>
              <w:rPr>
                <w:rFonts w:ascii="Times New Roman"/>
                <w:sz w:val="18"/>
              </w:rPr>
            </w:pPr>
          </w:p>
        </w:tc>
        <w:tc>
          <w:tcPr>
            <w:tcW w:w="1297" w:type="dxa"/>
            <w:tcBorders>
              <w:top w:val="single" w:sz="8" w:space="0" w:color="000000"/>
            </w:tcBorders>
          </w:tcPr>
          <w:p w14:paraId="17809557" w14:textId="77777777" w:rsidR="00FA4AA8" w:rsidRDefault="00FA4AA8">
            <w:pPr>
              <w:pStyle w:val="TableParagraph"/>
              <w:rPr>
                <w:rFonts w:ascii="Times New Roman"/>
                <w:sz w:val="18"/>
              </w:rPr>
            </w:pPr>
          </w:p>
        </w:tc>
        <w:tc>
          <w:tcPr>
            <w:tcW w:w="1088" w:type="dxa"/>
            <w:tcBorders>
              <w:top w:val="single" w:sz="8" w:space="0" w:color="000000"/>
            </w:tcBorders>
          </w:tcPr>
          <w:p w14:paraId="3AEDF35D" w14:textId="77777777" w:rsidR="00FA4AA8" w:rsidRDefault="00FA4AA8">
            <w:pPr>
              <w:pStyle w:val="TableParagraph"/>
              <w:rPr>
                <w:rFonts w:ascii="Times New Roman"/>
                <w:sz w:val="18"/>
              </w:rPr>
            </w:pPr>
          </w:p>
        </w:tc>
      </w:tr>
      <w:tr w:rsidR="00FA4AA8" w14:paraId="36D212A6" w14:textId="77777777">
        <w:trPr>
          <w:trHeight w:val="292"/>
        </w:trPr>
        <w:tc>
          <w:tcPr>
            <w:tcW w:w="363" w:type="dxa"/>
          </w:tcPr>
          <w:p w14:paraId="2855E550" w14:textId="77777777" w:rsidR="00FA4AA8" w:rsidRDefault="00FA4AA8">
            <w:pPr>
              <w:pStyle w:val="TableParagraph"/>
              <w:rPr>
                <w:rFonts w:ascii="Times New Roman"/>
                <w:sz w:val="18"/>
              </w:rPr>
            </w:pPr>
          </w:p>
        </w:tc>
        <w:tc>
          <w:tcPr>
            <w:tcW w:w="4696" w:type="dxa"/>
          </w:tcPr>
          <w:p w14:paraId="024AF39A" w14:textId="77777777" w:rsidR="00FA4AA8" w:rsidRDefault="0015611F">
            <w:pPr>
              <w:pStyle w:val="TableParagraph"/>
              <w:spacing w:before="13"/>
              <w:ind w:left="126"/>
              <w:rPr>
                <w:sz w:val="18"/>
              </w:rPr>
            </w:pPr>
            <w:r>
              <w:rPr>
                <w:sz w:val="18"/>
              </w:rPr>
              <w:t>Plan participants</w:t>
            </w:r>
          </w:p>
        </w:tc>
        <w:tc>
          <w:tcPr>
            <w:tcW w:w="1175" w:type="dxa"/>
          </w:tcPr>
          <w:p w14:paraId="106FFDA4" w14:textId="77777777" w:rsidR="00FA4AA8" w:rsidRDefault="0015611F">
            <w:pPr>
              <w:pStyle w:val="TableParagraph"/>
              <w:spacing w:before="11"/>
              <w:ind w:right="251"/>
              <w:jc w:val="right"/>
              <w:rPr>
                <w:sz w:val="18"/>
              </w:rPr>
            </w:pPr>
            <w:r>
              <w:rPr>
                <w:sz w:val="18"/>
              </w:rPr>
              <w:t>316</w:t>
            </w:r>
          </w:p>
        </w:tc>
        <w:tc>
          <w:tcPr>
            <w:tcW w:w="1341" w:type="dxa"/>
          </w:tcPr>
          <w:p w14:paraId="336233E1" w14:textId="77777777" w:rsidR="00FA4AA8" w:rsidRDefault="0015611F">
            <w:pPr>
              <w:pStyle w:val="TableParagraph"/>
              <w:spacing w:before="11"/>
              <w:ind w:right="296"/>
              <w:jc w:val="right"/>
              <w:rPr>
                <w:b/>
                <w:sz w:val="18"/>
              </w:rPr>
            </w:pPr>
            <w:r>
              <w:rPr>
                <w:b/>
                <w:sz w:val="18"/>
              </w:rPr>
              <w:t>-</w:t>
            </w:r>
          </w:p>
        </w:tc>
        <w:tc>
          <w:tcPr>
            <w:tcW w:w="1297" w:type="dxa"/>
          </w:tcPr>
          <w:p w14:paraId="596D0B2A" w14:textId="77777777" w:rsidR="00FA4AA8" w:rsidRDefault="0015611F">
            <w:pPr>
              <w:pStyle w:val="TableParagraph"/>
              <w:spacing w:before="11"/>
              <w:ind w:right="297"/>
              <w:jc w:val="right"/>
              <w:rPr>
                <w:sz w:val="18"/>
              </w:rPr>
            </w:pPr>
            <w:r>
              <w:rPr>
                <w:sz w:val="18"/>
              </w:rPr>
              <w:t>48</w:t>
            </w:r>
          </w:p>
        </w:tc>
        <w:tc>
          <w:tcPr>
            <w:tcW w:w="1088" w:type="dxa"/>
          </w:tcPr>
          <w:p w14:paraId="47522E96" w14:textId="77777777" w:rsidR="00FA4AA8" w:rsidRDefault="0015611F">
            <w:pPr>
              <w:pStyle w:val="TableParagraph"/>
              <w:spacing w:before="11"/>
              <w:ind w:right="89"/>
              <w:jc w:val="right"/>
              <w:rPr>
                <w:sz w:val="18"/>
              </w:rPr>
            </w:pPr>
            <w:r>
              <w:rPr>
                <w:sz w:val="18"/>
              </w:rPr>
              <w:t>364</w:t>
            </w:r>
          </w:p>
        </w:tc>
      </w:tr>
      <w:tr w:rsidR="00FA4AA8" w14:paraId="5A340F9F" w14:textId="77777777">
        <w:trPr>
          <w:trHeight w:val="290"/>
        </w:trPr>
        <w:tc>
          <w:tcPr>
            <w:tcW w:w="363" w:type="dxa"/>
          </w:tcPr>
          <w:p w14:paraId="34224232" w14:textId="77777777" w:rsidR="00FA4AA8" w:rsidRDefault="00FA4AA8">
            <w:pPr>
              <w:pStyle w:val="TableParagraph"/>
              <w:rPr>
                <w:rFonts w:ascii="Times New Roman"/>
                <w:sz w:val="18"/>
              </w:rPr>
            </w:pPr>
          </w:p>
        </w:tc>
        <w:tc>
          <w:tcPr>
            <w:tcW w:w="4696" w:type="dxa"/>
          </w:tcPr>
          <w:p w14:paraId="2152547A" w14:textId="77777777" w:rsidR="00FA4AA8" w:rsidRDefault="0015611F">
            <w:pPr>
              <w:pStyle w:val="TableParagraph"/>
              <w:spacing w:before="66" w:line="204" w:lineRule="exact"/>
              <w:ind w:left="126"/>
              <w:rPr>
                <w:b/>
                <w:sz w:val="18"/>
              </w:rPr>
            </w:pPr>
            <w:r>
              <w:rPr>
                <w:b/>
                <w:sz w:val="18"/>
              </w:rPr>
              <w:t>Payments from plan</w:t>
            </w:r>
          </w:p>
        </w:tc>
        <w:tc>
          <w:tcPr>
            <w:tcW w:w="1175" w:type="dxa"/>
          </w:tcPr>
          <w:p w14:paraId="6E7F9DC4" w14:textId="77777777" w:rsidR="00FA4AA8" w:rsidRDefault="00FA4AA8">
            <w:pPr>
              <w:pStyle w:val="TableParagraph"/>
              <w:rPr>
                <w:rFonts w:ascii="Times New Roman"/>
                <w:sz w:val="18"/>
              </w:rPr>
            </w:pPr>
          </w:p>
        </w:tc>
        <w:tc>
          <w:tcPr>
            <w:tcW w:w="1341" w:type="dxa"/>
          </w:tcPr>
          <w:p w14:paraId="30D4530D" w14:textId="77777777" w:rsidR="00FA4AA8" w:rsidRDefault="00FA4AA8">
            <w:pPr>
              <w:pStyle w:val="TableParagraph"/>
              <w:rPr>
                <w:rFonts w:ascii="Times New Roman"/>
                <w:sz w:val="18"/>
              </w:rPr>
            </w:pPr>
          </w:p>
        </w:tc>
        <w:tc>
          <w:tcPr>
            <w:tcW w:w="1297" w:type="dxa"/>
          </w:tcPr>
          <w:p w14:paraId="5C82F476" w14:textId="77777777" w:rsidR="00FA4AA8" w:rsidRDefault="00FA4AA8">
            <w:pPr>
              <w:pStyle w:val="TableParagraph"/>
              <w:rPr>
                <w:rFonts w:ascii="Times New Roman"/>
                <w:sz w:val="18"/>
              </w:rPr>
            </w:pPr>
          </w:p>
        </w:tc>
        <w:tc>
          <w:tcPr>
            <w:tcW w:w="1088" w:type="dxa"/>
          </w:tcPr>
          <w:p w14:paraId="26E92B6F" w14:textId="77777777" w:rsidR="00FA4AA8" w:rsidRDefault="00FA4AA8">
            <w:pPr>
              <w:pStyle w:val="TableParagraph"/>
              <w:rPr>
                <w:rFonts w:ascii="Times New Roman"/>
                <w:sz w:val="18"/>
              </w:rPr>
            </w:pPr>
          </w:p>
        </w:tc>
      </w:tr>
      <w:tr w:rsidR="00FA4AA8" w14:paraId="7C2A57B1" w14:textId="77777777">
        <w:trPr>
          <w:trHeight w:val="250"/>
        </w:trPr>
        <w:tc>
          <w:tcPr>
            <w:tcW w:w="363" w:type="dxa"/>
          </w:tcPr>
          <w:p w14:paraId="1A483FD9" w14:textId="77777777" w:rsidR="00FA4AA8" w:rsidRDefault="00FA4AA8">
            <w:pPr>
              <w:pStyle w:val="TableParagraph"/>
              <w:rPr>
                <w:rFonts w:ascii="Times New Roman"/>
                <w:sz w:val="18"/>
              </w:rPr>
            </w:pPr>
          </w:p>
        </w:tc>
        <w:tc>
          <w:tcPr>
            <w:tcW w:w="4696" w:type="dxa"/>
          </w:tcPr>
          <w:p w14:paraId="60C62FB0" w14:textId="77777777" w:rsidR="00FA4AA8" w:rsidRDefault="0015611F">
            <w:pPr>
              <w:pStyle w:val="TableParagraph"/>
              <w:spacing w:before="13"/>
              <w:ind w:left="126"/>
              <w:rPr>
                <w:sz w:val="18"/>
              </w:rPr>
            </w:pPr>
            <w:r>
              <w:rPr>
                <w:sz w:val="18"/>
              </w:rPr>
              <w:t>Benefits paid</w:t>
            </w:r>
          </w:p>
        </w:tc>
        <w:tc>
          <w:tcPr>
            <w:tcW w:w="1175" w:type="dxa"/>
          </w:tcPr>
          <w:p w14:paraId="2E205432" w14:textId="77777777" w:rsidR="00FA4AA8" w:rsidRDefault="0015611F">
            <w:pPr>
              <w:pStyle w:val="TableParagraph"/>
              <w:spacing w:before="11"/>
              <w:ind w:right="191"/>
              <w:jc w:val="right"/>
              <w:rPr>
                <w:sz w:val="18"/>
              </w:rPr>
            </w:pPr>
            <w:r>
              <w:rPr>
                <w:sz w:val="18"/>
              </w:rPr>
              <w:t>(3,858)</w:t>
            </w:r>
          </w:p>
        </w:tc>
        <w:tc>
          <w:tcPr>
            <w:tcW w:w="1341" w:type="dxa"/>
          </w:tcPr>
          <w:p w14:paraId="294AD32A" w14:textId="77777777" w:rsidR="00FA4AA8" w:rsidRDefault="0015611F">
            <w:pPr>
              <w:pStyle w:val="TableParagraph"/>
              <w:spacing w:before="11"/>
              <w:ind w:right="236"/>
              <w:jc w:val="right"/>
              <w:rPr>
                <w:sz w:val="18"/>
              </w:rPr>
            </w:pPr>
            <w:r>
              <w:rPr>
                <w:sz w:val="18"/>
              </w:rPr>
              <w:t>(578)</w:t>
            </w:r>
          </w:p>
        </w:tc>
        <w:tc>
          <w:tcPr>
            <w:tcW w:w="1297" w:type="dxa"/>
          </w:tcPr>
          <w:p w14:paraId="3693B34C" w14:textId="77777777" w:rsidR="00FA4AA8" w:rsidRDefault="0015611F">
            <w:pPr>
              <w:pStyle w:val="TableParagraph"/>
              <w:spacing w:before="11"/>
              <w:ind w:right="237"/>
              <w:jc w:val="right"/>
              <w:rPr>
                <w:sz w:val="18"/>
              </w:rPr>
            </w:pPr>
            <w:r>
              <w:rPr>
                <w:sz w:val="18"/>
              </w:rPr>
              <w:t>(18,667)</w:t>
            </w:r>
          </w:p>
        </w:tc>
        <w:tc>
          <w:tcPr>
            <w:tcW w:w="1088" w:type="dxa"/>
          </w:tcPr>
          <w:p w14:paraId="5B52378F" w14:textId="77777777" w:rsidR="00FA4AA8" w:rsidRDefault="0015611F">
            <w:pPr>
              <w:pStyle w:val="TableParagraph"/>
              <w:spacing w:before="11"/>
              <w:ind w:right="29"/>
              <w:jc w:val="right"/>
              <w:rPr>
                <w:sz w:val="18"/>
              </w:rPr>
            </w:pPr>
            <w:r>
              <w:rPr>
                <w:sz w:val="18"/>
              </w:rPr>
              <w:t>(23,103)</w:t>
            </w:r>
          </w:p>
        </w:tc>
      </w:tr>
      <w:tr w:rsidR="00FA4AA8" w14:paraId="736CDDFF" w14:textId="77777777">
        <w:trPr>
          <w:trHeight w:val="256"/>
        </w:trPr>
        <w:tc>
          <w:tcPr>
            <w:tcW w:w="363" w:type="dxa"/>
          </w:tcPr>
          <w:p w14:paraId="7F730CF8" w14:textId="77777777" w:rsidR="00FA4AA8" w:rsidRDefault="00FA4AA8">
            <w:pPr>
              <w:pStyle w:val="TableParagraph"/>
              <w:rPr>
                <w:rFonts w:ascii="Times New Roman"/>
                <w:sz w:val="18"/>
              </w:rPr>
            </w:pPr>
          </w:p>
        </w:tc>
        <w:tc>
          <w:tcPr>
            <w:tcW w:w="4696" w:type="dxa"/>
          </w:tcPr>
          <w:p w14:paraId="7BC5870B" w14:textId="77777777" w:rsidR="00FA4AA8" w:rsidRDefault="0015611F">
            <w:pPr>
              <w:pStyle w:val="TableParagraph"/>
              <w:spacing w:before="26"/>
              <w:ind w:left="126"/>
              <w:rPr>
                <w:sz w:val="18"/>
              </w:rPr>
            </w:pPr>
            <w:r>
              <w:rPr>
                <w:sz w:val="18"/>
              </w:rPr>
              <w:t>Taxes, premium and expenses paid</w:t>
            </w:r>
          </w:p>
        </w:tc>
        <w:tc>
          <w:tcPr>
            <w:tcW w:w="1175" w:type="dxa"/>
            <w:tcBorders>
              <w:bottom w:val="single" w:sz="8" w:space="0" w:color="000000"/>
            </w:tcBorders>
          </w:tcPr>
          <w:p w14:paraId="63DAA210" w14:textId="77777777" w:rsidR="00FA4AA8" w:rsidRDefault="0015611F">
            <w:pPr>
              <w:pStyle w:val="TableParagraph"/>
              <w:spacing w:before="24"/>
              <w:ind w:right="191"/>
              <w:jc w:val="right"/>
              <w:rPr>
                <w:sz w:val="18"/>
              </w:rPr>
            </w:pPr>
            <w:r>
              <w:rPr>
                <w:sz w:val="18"/>
              </w:rPr>
              <w:t>(127)</w:t>
            </w:r>
          </w:p>
        </w:tc>
        <w:tc>
          <w:tcPr>
            <w:tcW w:w="1341" w:type="dxa"/>
            <w:tcBorders>
              <w:bottom w:val="single" w:sz="8" w:space="0" w:color="000000"/>
            </w:tcBorders>
          </w:tcPr>
          <w:p w14:paraId="55881D66" w14:textId="77777777" w:rsidR="00FA4AA8" w:rsidRDefault="0015611F">
            <w:pPr>
              <w:pStyle w:val="TableParagraph"/>
              <w:spacing w:before="24"/>
              <w:ind w:right="297"/>
              <w:jc w:val="right"/>
              <w:rPr>
                <w:sz w:val="18"/>
              </w:rPr>
            </w:pPr>
            <w:r>
              <w:rPr>
                <w:sz w:val="18"/>
              </w:rPr>
              <w:t>7</w:t>
            </w:r>
          </w:p>
        </w:tc>
        <w:tc>
          <w:tcPr>
            <w:tcW w:w="1297" w:type="dxa"/>
            <w:tcBorders>
              <w:bottom w:val="single" w:sz="8" w:space="0" w:color="000000"/>
            </w:tcBorders>
          </w:tcPr>
          <w:p w14:paraId="61DCA6DF" w14:textId="77777777" w:rsidR="00FA4AA8" w:rsidRDefault="0015611F">
            <w:pPr>
              <w:pStyle w:val="TableParagraph"/>
              <w:spacing w:before="24"/>
              <w:ind w:right="297"/>
              <w:jc w:val="right"/>
              <w:rPr>
                <w:sz w:val="18"/>
              </w:rPr>
            </w:pPr>
            <w:r>
              <w:rPr>
                <w:sz w:val="18"/>
              </w:rPr>
              <w:t>2,210</w:t>
            </w:r>
          </w:p>
        </w:tc>
        <w:tc>
          <w:tcPr>
            <w:tcW w:w="1088" w:type="dxa"/>
            <w:tcBorders>
              <w:bottom w:val="single" w:sz="8" w:space="0" w:color="000000"/>
            </w:tcBorders>
          </w:tcPr>
          <w:p w14:paraId="68FAAA87" w14:textId="77777777" w:rsidR="00FA4AA8" w:rsidRDefault="0015611F">
            <w:pPr>
              <w:pStyle w:val="TableParagraph"/>
              <w:spacing w:before="24"/>
              <w:ind w:right="89"/>
              <w:jc w:val="right"/>
              <w:rPr>
                <w:sz w:val="18"/>
              </w:rPr>
            </w:pPr>
            <w:r>
              <w:rPr>
                <w:sz w:val="18"/>
              </w:rPr>
              <w:t>2,090</w:t>
            </w:r>
          </w:p>
        </w:tc>
      </w:tr>
      <w:tr w:rsidR="00FA4AA8" w14:paraId="2E64FA9F" w14:textId="77777777">
        <w:trPr>
          <w:trHeight w:val="318"/>
        </w:trPr>
        <w:tc>
          <w:tcPr>
            <w:tcW w:w="363" w:type="dxa"/>
          </w:tcPr>
          <w:p w14:paraId="328D817D" w14:textId="77777777" w:rsidR="00FA4AA8" w:rsidRDefault="00FA4AA8">
            <w:pPr>
              <w:pStyle w:val="TableParagraph"/>
              <w:rPr>
                <w:rFonts w:ascii="Times New Roman"/>
                <w:sz w:val="18"/>
              </w:rPr>
            </w:pPr>
          </w:p>
        </w:tc>
        <w:tc>
          <w:tcPr>
            <w:tcW w:w="4696" w:type="dxa"/>
          </w:tcPr>
          <w:p w14:paraId="79AD6A01" w14:textId="77777777" w:rsidR="00FA4AA8" w:rsidRDefault="00FA4AA8">
            <w:pPr>
              <w:pStyle w:val="TableParagraph"/>
              <w:rPr>
                <w:rFonts w:ascii="Times New Roman"/>
                <w:sz w:val="18"/>
              </w:rPr>
            </w:pPr>
          </w:p>
        </w:tc>
        <w:tc>
          <w:tcPr>
            <w:tcW w:w="1175" w:type="dxa"/>
            <w:tcBorders>
              <w:top w:val="single" w:sz="8" w:space="0" w:color="000000"/>
              <w:bottom w:val="single" w:sz="8" w:space="0" w:color="000000"/>
            </w:tcBorders>
          </w:tcPr>
          <w:p w14:paraId="0CC8A127" w14:textId="77777777" w:rsidR="00FA4AA8" w:rsidRDefault="0015611F">
            <w:pPr>
              <w:pStyle w:val="TableParagraph"/>
              <w:spacing w:before="115" w:line="183" w:lineRule="exact"/>
              <w:ind w:right="191"/>
              <w:jc w:val="right"/>
              <w:rPr>
                <w:b/>
                <w:sz w:val="18"/>
              </w:rPr>
            </w:pPr>
            <w:r>
              <w:rPr>
                <w:b/>
                <w:sz w:val="18"/>
              </w:rPr>
              <w:t>(3,985)</w:t>
            </w:r>
          </w:p>
        </w:tc>
        <w:tc>
          <w:tcPr>
            <w:tcW w:w="1341" w:type="dxa"/>
            <w:tcBorders>
              <w:top w:val="single" w:sz="8" w:space="0" w:color="000000"/>
              <w:bottom w:val="single" w:sz="8" w:space="0" w:color="000000"/>
            </w:tcBorders>
          </w:tcPr>
          <w:p w14:paraId="07DB0128" w14:textId="77777777" w:rsidR="00FA4AA8" w:rsidRDefault="0015611F">
            <w:pPr>
              <w:pStyle w:val="TableParagraph"/>
              <w:spacing w:before="115" w:line="183" w:lineRule="exact"/>
              <w:ind w:right="236"/>
              <w:jc w:val="right"/>
              <w:rPr>
                <w:b/>
                <w:sz w:val="18"/>
              </w:rPr>
            </w:pPr>
            <w:r>
              <w:rPr>
                <w:b/>
                <w:sz w:val="18"/>
              </w:rPr>
              <w:t>(571)</w:t>
            </w:r>
          </w:p>
        </w:tc>
        <w:tc>
          <w:tcPr>
            <w:tcW w:w="1297" w:type="dxa"/>
            <w:tcBorders>
              <w:top w:val="single" w:sz="8" w:space="0" w:color="000000"/>
              <w:bottom w:val="single" w:sz="8" w:space="0" w:color="000000"/>
            </w:tcBorders>
          </w:tcPr>
          <w:p w14:paraId="77C8008B" w14:textId="77777777" w:rsidR="00FA4AA8" w:rsidRDefault="0015611F">
            <w:pPr>
              <w:pStyle w:val="TableParagraph"/>
              <w:spacing w:before="115" w:line="183" w:lineRule="exact"/>
              <w:ind w:right="237"/>
              <w:jc w:val="right"/>
              <w:rPr>
                <w:b/>
                <w:sz w:val="18"/>
              </w:rPr>
            </w:pPr>
            <w:r>
              <w:rPr>
                <w:b/>
                <w:sz w:val="18"/>
              </w:rPr>
              <w:t>(16,457)</w:t>
            </w:r>
          </w:p>
        </w:tc>
        <w:tc>
          <w:tcPr>
            <w:tcW w:w="1088" w:type="dxa"/>
            <w:tcBorders>
              <w:top w:val="single" w:sz="8" w:space="0" w:color="000000"/>
              <w:bottom w:val="single" w:sz="8" w:space="0" w:color="000000"/>
            </w:tcBorders>
          </w:tcPr>
          <w:p w14:paraId="4EC9CA5C" w14:textId="77777777" w:rsidR="00FA4AA8" w:rsidRDefault="0015611F">
            <w:pPr>
              <w:pStyle w:val="TableParagraph"/>
              <w:spacing w:before="115" w:line="183" w:lineRule="exact"/>
              <w:ind w:right="29"/>
              <w:jc w:val="right"/>
              <w:rPr>
                <w:b/>
                <w:sz w:val="18"/>
              </w:rPr>
            </w:pPr>
            <w:r>
              <w:rPr>
                <w:b/>
                <w:sz w:val="18"/>
              </w:rPr>
              <w:t>(21,013)</w:t>
            </w:r>
          </w:p>
        </w:tc>
      </w:tr>
      <w:tr w:rsidR="00FA4AA8" w14:paraId="15483531" w14:textId="77777777">
        <w:trPr>
          <w:trHeight w:val="320"/>
        </w:trPr>
        <w:tc>
          <w:tcPr>
            <w:tcW w:w="363" w:type="dxa"/>
          </w:tcPr>
          <w:p w14:paraId="72EF7F60" w14:textId="77777777" w:rsidR="00FA4AA8" w:rsidRDefault="00FA4AA8">
            <w:pPr>
              <w:pStyle w:val="TableParagraph"/>
              <w:rPr>
                <w:rFonts w:ascii="Times New Roman"/>
                <w:sz w:val="18"/>
              </w:rPr>
            </w:pPr>
          </w:p>
        </w:tc>
        <w:tc>
          <w:tcPr>
            <w:tcW w:w="4696" w:type="dxa"/>
          </w:tcPr>
          <w:p w14:paraId="68F66901" w14:textId="77777777" w:rsidR="00FA4AA8" w:rsidRDefault="0015611F">
            <w:pPr>
              <w:pStyle w:val="TableParagraph"/>
              <w:spacing w:before="115" w:line="185" w:lineRule="exact"/>
              <w:ind w:left="126"/>
              <w:rPr>
                <w:b/>
                <w:sz w:val="18"/>
              </w:rPr>
            </w:pPr>
            <w:r>
              <w:rPr>
                <w:b/>
                <w:sz w:val="18"/>
              </w:rPr>
              <w:t>Closing defined benefit obligation</w:t>
            </w:r>
          </w:p>
        </w:tc>
        <w:tc>
          <w:tcPr>
            <w:tcW w:w="1175" w:type="dxa"/>
            <w:tcBorders>
              <w:top w:val="single" w:sz="8" w:space="0" w:color="000000"/>
              <w:bottom w:val="double" w:sz="2" w:space="0" w:color="000000"/>
            </w:tcBorders>
          </w:tcPr>
          <w:p w14:paraId="50273131" w14:textId="77777777" w:rsidR="00FA4AA8" w:rsidRDefault="0015611F">
            <w:pPr>
              <w:pStyle w:val="TableParagraph"/>
              <w:spacing w:before="115" w:line="185" w:lineRule="exact"/>
              <w:ind w:right="251"/>
              <w:jc w:val="right"/>
              <w:rPr>
                <w:b/>
                <w:sz w:val="18"/>
              </w:rPr>
            </w:pPr>
            <w:r>
              <w:rPr>
                <w:b/>
                <w:sz w:val="18"/>
              </w:rPr>
              <w:t>24,913</w:t>
            </w:r>
          </w:p>
        </w:tc>
        <w:tc>
          <w:tcPr>
            <w:tcW w:w="1341" w:type="dxa"/>
            <w:tcBorders>
              <w:top w:val="single" w:sz="8" w:space="0" w:color="000000"/>
              <w:bottom w:val="double" w:sz="2" w:space="0" w:color="000000"/>
            </w:tcBorders>
          </w:tcPr>
          <w:p w14:paraId="0A96F8E0" w14:textId="77777777" w:rsidR="00FA4AA8" w:rsidRDefault="0015611F">
            <w:pPr>
              <w:pStyle w:val="TableParagraph"/>
              <w:spacing w:before="115" w:line="185" w:lineRule="exact"/>
              <w:ind w:left="588"/>
              <w:rPr>
                <w:b/>
                <w:sz w:val="18"/>
              </w:rPr>
            </w:pPr>
            <w:r>
              <w:rPr>
                <w:b/>
                <w:sz w:val="18"/>
              </w:rPr>
              <w:t>4,273</w:t>
            </w:r>
          </w:p>
        </w:tc>
        <w:tc>
          <w:tcPr>
            <w:tcW w:w="1297" w:type="dxa"/>
            <w:tcBorders>
              <w:top w:val="single" w:sz="8" w:space="0" w:color="000000"/>
              <w:bottom w:val="double" w:sz="2" w:space="0" w:color="000000"/>
            </w:tcBorders>
          </w:tcPr>
          <w:p w14:paraId="5CD65535" w14:textId="77777777" w:rsidR="00FA4AA8" w:rsidRDefault="0015611F">
            <w:pPr>
              <w:pStyle w:val="TableParagraph"/>
              <w:spacing w:before="115" w:line="185" w:lineRule="exact"/>
              <w:ind w:right="297"/>
              <w:jc w:val="right"/>
              <w:rPr>
                <w:b/>
                <w:sz w:val="18"/>
              </w:rPr>
            </w:pPr>
            <w:r>
              <w:rPr>
                <w:b/>
                <w:sz w:val="18"/>
              </w:rPr>
              <w:t>415,803</w:t>
            </w:r>
          </w:p>
        </w:tc>
        <w:tc>
          <w:tcPr>
            <w:tcW w:w="1088" w:type="dxa"/>
            <w:tcBorders>
              <w:top w:val="single" w:sz="8" w:space="0" w:color="000000"/>
              <w:bottom w:val="double" w:sz="2" w:space="0" w:color="000000"/>
            </w:tcBorders>
          </w:tcPr>
          <w:p w14:paraId="258FB60F" w14:textId="77777777" w:rsidR="00FA4AA8" w:rsidRDefault="0015611F">
            <w:pPr>
              <w:pStyle w:val="TableParagraph"/>
              <w:spacing w:before="115" w:line="185" w:lineRule="exact"/>
              <w:ind w:left="341"/>
              <w:rPr>
                <w:b/>
                <w:sz w:val="18"/>
              </w:rPr>
            </w:pPr>
            <w:r>
              <w:rPr>
                <w:b/>
                <w:sz w:val="18"/>
              </w:rPr>
              <w:t>444,989</w:t>
            </w:r>
          </w:p>
        </w:tc>
      </w:tr>
    </w:tbl>
    <w:p w14:paraId="0E2D672E" w14:textId="77777777" w:rsidR="00FA4AA8" w:rsidRDefault="00FA4AA8">
      <w:pPr>
        <w:pStyle w:val="BodyText"/>
        <w:rPr>
          <w:b/>
          <w:sz w:val="20"/>
        </w:rPr>
      </w:pPr>
    </w:p>
    <w:p w14:paraId="7EDC0309" w14:textId="77777777" w:rsidR="00FA4AA8" w:rsidRDefault="00FA4AA8">
      <w:pPr>
        <w:pStyle w:val="BodyText"/>
        <w:rPr>
          <w:b/>
          <w:sz w:val="20"/>
        </w:rPr>
      </w:pPr>
    </w:p>
    <w:p w14:paraId="596D5A5E" w14:textId="77777777" w:rsidR="00FA4AA8" w:rsidRDefault="00FA4AA8">
      <w:pPr>
        <w:pStyle w:val="BodyText"/>
        <w:spacing w:before="4"/>
        <w:rPr>
          <w:b/>
          <w:sz w:val="14"/>
        </w:rPr>
      </w:pPr>
    </w:p>
    <w:tbl>
      <w:tblPr>
        <w:tblW w:w="0" w:type="auto"/>
        <w:tblInd w:w="564" w:type="dxa"/>
        <w:tblLayout w:type="fixed"/>
        <w:tblCellMar>
          <w:left w:w="0" w:type="dxa"/>
          <w:right w:w="0" w:type="dxa"/>
        </w:tblCellMar>
        <w:tblLook w:val="01E0" w:firstRow="1" w:lastRow="1" w:firstColumn="1" w:lastColumn="1" w:noHBand="0" w:noVBand="0"/>
      </w:tblPr>
      <w:tblGrid>
        <w:gridCol w:w="4334"/>
        <w:gridCol w:w="1659"/>
        <w:gridCol w:w="1216"/>
        <w:gridCol w:w="1296"/>
        <w:gridCol w:w="1014"/>
      </w:tblGrid>
      <w:tr w:rsidR="00FA4AA8" w14:paraId="27F98A26" w14:textId="77777777">
        <w:trPr>
          <w:trHeight w:val="218"/>
        </w:trPr>
        <w:tc>
          <w:tcPr>
            <w:tcW w:w="4334" w:type="dxa"/>
          </w:tcPr>
          <w:p w14:paraId="5330A9C7" w14:textId="77777777" w:rsidR="00FA4AA8" w:rsidRDefault="0015611F">
            <w:pPr>
              <w:pStyle w:val="TableParagraph"/>
              <w:spacing w:line="198" w:lineRule="exact"/>
              <w:ind w:left="50"/>
              <w:rPr>
                <w:b/>
                <w:sz w:val="18"/>
              </w:rPr>
            </w:pPr>
            <w:r>
              <w:rPr>
                <w:b/>
                <w:sz w:val="18"/>
              </w:rPr>
              <w:t>Present value of plan assets - 2018</w:t>
            </w:r>
          </w:p>
        </w:tc>
        <w:tc>
          <w:tcPr>
            <w:tcW w:w="5185" w:type="dxa"/>
            <w:gridSpan w:val="4"/>
          </w:tcPr>
          <w:p w14:paraId="0CEE2B23" w14:textId="77777777" w:rsidR="00FA4AA8" w:rsidRDefault="00FA4AA8">
            <w:pPr>
              <w:pStyle w:val="TableParagraph"/>
              <w:rPr>
                <w:rFonts w:ascii="Times New Roman"/>
                <w:sz w:val="14"/>
              </w:rPr>
            </w:pPr>
          </w:p>
        </w:tc>
      </w:tr>
      <w:tr w:rsidR="00FA4AA8" w14:paraId="22007784" w14:textId="77777777">
        <w:trPr>
          <w:trHeight w:val="250"/>
        </w:trPr>
        <w:tc>
          <w:tcPr>
            <w:tcW w:w="4334" w:type="dxa"/>
          </w:tcPr>
          <w:p w14:paraId="2B35A2A1" w14:textId="77777777" w:rsidR="00FA4AA8" w:rsidRDefault="0015611F">
            <w:pPr>
              <w:pStyle w:val="TableParagraph"/>
              <w:spacing w:before="13"/>
              <w:ind w:left="50"/>
              <w:rPr>
                <w:sz w:val="18"/>
              </w:rPr>
            </w:pPr>
            <w:r>
              <w:rPr>
                <w:sz w:val="18"/>
              </w:rPr>
              <w:t>Opening fair value of plan assets</w:t>
            </w:r>
          </w:p>
        </w:tc>
        <w:tc>
          <w:tcPr>
            <w:tcW w:w="1659" w:type="dxa"/>
          </w:tcPr>
          <w:p w14:paraId="43ACD7A0" w14:textId="77777777" w:rsidR="00FA4AA8" w:rsidRDefault="0015611F">
            <w:pPr>
              <w:pStyle w:val="TableParagraph"/>
              <w:spacing w:before="11"/>
              <w:ind w:right="450"/>
              <w:jc w:val="right"/>
              <w:rPr>
                <w:sz w:val="18"/>
              </w:rPr>
            </w:pPr>
            <w:r>
              <w:rPr>
                <w:sz w:val="18"/>
              </w:rPr>
              <w:t>12,535</w:t>
            </w:r>
          </w:p>
        </w:tc>
        <w:tc>
          <w:tcPr>
            <w:tcW w:w="1216" w:type="dxa"/>
          </w:tcPr>
          <w:p w14:paraId="58D8E67F" w14:textId="77777777" w:rsidR="00FA4AA8" w:rsidRDefault="0015611F">
            <w:pPr>
              <w:pStyle w:val="TableParagraph"/>
              <w:spacing w:before="11"/>
              <w:ind w:left="541"/>
              <w:rPr>
                <w:sz w:val="18"/>
              </w:rPr>
            </w:pPr>
            <w:r>
              <w:rPr>
                <w:sz w:val="18"/>
              </w:rPr>
              <w:t>105</w:t>
            </w:r>
          </w:p>
        </w:tc>
        <w:tc>
          <w:tcPr>
            <w:tcW w:w="1296" w:type="dxa"/>
          </w:tcPr>
          <w:p w14:paraId="140F7A05" w14:textId="77777777" w:rsidR="00FA4AA8" w:rsidRDefault="0015611F">
            <w:pPr>
              <w:pStyle w:val="TableParagraph"/>
              <w:spacing w:before="11"/>
              <w:ind w:right="370"/>
              <w:jc w:val="right"/>
              <w:rPr>
                <w:sz w:val="18"/>
              </w:rPr>
            </w:pPr>
            <w:r>
              <w:rPr>
                <w:sz w:val="18"/>
              </w:rPr>
              <w:t>78,635</w:t>
            </w:r>
          </w:p>
        </w:tc>
        <w:tc>
          <w:tcPr>
            <w:tcW w:w="1014" w:type="dxa"/>
          </w:tcPr>
          <w:p w14:paraId="30C8CA2A" w14:textId="77777777" w:rsidR="00FA4AA8" w:rsidRDefault="0015611F">
            <w:pPr>
              <w:pStyle w:val="TableParagraph"/>
              <w:spacing w:before="11"/>
              <w:ind w:left="369"/>
              <w:rPr>
                <w:sz w:val="18"/>
              </w:rPr>
            </w:pPr>
            <w:r>
              <w:rPr>
                <w:sz w:val="18"/>
              </w:rPr>
              <w:t>91,275</w:t>
            </w:r>
          </w:p>
        </w:tc>
      </w:tr>
      <w:tr w:rsidR="00FA4AA8" w14:paraId="06C569B7" w14:textId="77777777">
        <w:trPr>
          <w:trHeight w:val="256"/>
        </w:trPr>
        <w:tc>
          <w:tcPr>
            <w:tcW w:w="4334" w:type="dxa"/>
          </w:tcPr>
          <w:p w14:paraId="06F5B6A8" w14:textId="77777777" w:rsidR="00FA4AA8" w:rsidRDefault="0015611F">
            <w:pPr>
              <w:pStyle w:val="TableParagraph"/>
              <w:spacing w:before="26"/>
              <w:ind w:left="50"/>
              <w:rPr>
                <w:sz w:val="18"/>
              </w:rPr>
            </w:pPr>
            <w:r>
              <w:rPr>
                <w:sz w:val="18"/>
              </w:rPr>
              <w:t>Interest expense / (income)</w:t>
            </w:r>
          </w:p>
        </w:tc>
        <w:tc>
          <w:tcPr>
            <w:tcW w:w="1659" w:type="dxa"/>
            <w:tcBorders>
              <w:bottom w:val="single" w:sz="8" w:space="0" w:color="000000"/>
            </w:tcBorders>
          </w:tcPr>
          <w:p w14:paraId="1B6D0B3F" w14:textId="77777777" w:rsidR="00FA4AA8" w:rsidRDefault="0015611F">
            <w:pPr>
              <w:pStyle w:val="TableParagraph"/>
              <w:spacing w:before="24"/>
              <w:ind w:right="449"/>
              <w:jc w:val="right"/>
              <w:rPr>
                <w:sz w:val="18"/>
              </w:rPr>
            </w:pPr>
            <w:r>
              <w:rPr>
                <w:sz w:val="18"/>
              </w:rPr>
              <w:t>308</w:t>
            </w:r>
          </w:p>
        </w:tc>
        <w:tc>
          <w:tcPr>
            <w:tcW w:w="1216" w:type="dxa"/>
            <w:tcBorders>
              <w:bottom w:val="single" w:sz="8" w:space="0" w:color="000000"/>
            </w:tcBorders>
          </w:tcPr>
          <w:p w14:paraId="41553CEA" w14:textId="77777777" w:rsidR="00FA4AA8" w:rsidRDefault="0015611F">
            <w:pPr>
              <w:pStyle w:val="TableParagraph"/>
              <w:spacing w:before="24"/>
              <w:ind w:right="370"/>
              <w:jc w:val="right"/>
              <w:rPr>
                <w:sz w:val="18"/>
              </w:rPr>
            </w:pPr>
            <w:r>
              <w:rPr>
                <w:sz w:val="18"/>
              </w:rPr>
              <w:t>9</w:t>
            </w:r>
          </w:p>
        </w:tc>
        <w:tc>
          <w:tcPr>
            <w:tcW w:w="1296" w:type="dxa"/>
            <w:tcBorders>
              <w:bottom w:val="single" w:sz="8" w:space="0" w:color="000000"/>
            </w:tcBorders>
          </w:tcPr>
          <w:p w14:paraId="7E0EAC5A" w14:textId="77777777" w:rsidR="00FA4AA8" w:rsidRDefault="0015611F">
            <w:pPr>
              <w:pStyle w:val="TableParagraph"/>
              <w:spacing w:before="24"/>
              <w:ind w:right="370"/>
              <w:jc w:val="right"/>
              <w:rPr>
                <w:sz w:val="18"/>
              </w:rPr>
            </w:pPr>
            <w:r>
              <w:rPr>
                <w:sz w:val="18"/>
              </w:rPr>
              <w:t>1,836</w:t>
            </w:r>
          </w:p>
        </w:tc>
        <w:tc>
          <w:tcPr>
            <w:tcW w:w="1014" w:type="dxa"/>
            <w:tcBorders>
              <w:bottom w:val="single" w:sz="8" w:space="0" w:color="000000"/>
            </w:tcBorders>
          </w:tcPr>
          <w:p w14:paraId="13F7069D" w14:textId="77777777" w:rsidR="00FA4AA8" w:rsidRDefault="0015611F">
            <w:pPr>
              <w:pStyle w:val="TableParagraph"/>
              <w:spacing w:before="24"/>
              <w:ind w:right="88"/>
              <w:jc w:val="right"/>
              <w:rPr>
                <w:sz w:val="18"/>
              </w:rPr>
            </w:pPr>
            <w:r>
              <w:rPr>
                <w:sz w:val="18"/>
              </w:rPr>
              <w:t>2,153</w:t>
            </w:r>
          </w:p>
        </w:tc>
      </w:tr>
      <w:tr w:rsidR="00FA4AA8" w14:paraId="1B5FAF83" w14:textId="77777777">
        <w:trPr>
          <w:trHeight w:val="318"/>
        </w:trPr>
        <w:tc>
          <w:tcPr>
            <w:tcW w:w="4334" w:type="dxa"/>
          </w:tcPr>
          <w:p w14:paraId="5E753931" w14:textId="77777777" w:rsidR="00FA4AA8" w:rsidRDefault="00FA4AA8">
            <w:pPr>
              <w:pStyle w:val="TableParagraph"/>
              <w:rPr>
                <w:rFonts w:ascii="Times New Roman"/>
                <w:sz w:val="18"/>
              </w:rPr>
            </w:pPr>
          </w:p>
        </w:tc>
        <w:tc>
          <w:tcPr>
            <w:tcW w:w="1659" w:type="dxa"/>
            <w:tcBorders>
              <w:top w:val="single" w:sz="8" w:space="0" w:color="000000"/>
              <w:bottom w:val="single" w:sz="8" w:space="0" w:color="000000"/>
            </w:tcBorders>
          </w:tcPr>
          <w:p w14:paraId="521FF0FB" w14:textId="77777777" w:rsidR="00FA4AA8" w:rsidRDefault="0015611F">
            <w:pPr>
              <w:pStyle w:val="TableParagraph"/>
              <w:spacing w:before="115" w:line="183" w:lineRule="exact"/>
              <w:ind w:right="450"/>
              <w:jc w:val="right"/>
              <w:rPr>
                <w:b/>
                <w:sz w:val="18"/>
              </w:rPr>
            </w:pPr>
            <w:r>
              <w:rPr>
                <w:b/>
                <w:sz w:val="18"/>
              </w:rPr>
              <w:t>12,843</w:t>
            </w:r>
          </w:p>
        </w:tc>
        <w:tc>
          <w:tcPr>
            <w:tcW w:w="1216" w:type="dxa"/>
            <w:tcBorders>
              <w:top w:val="single" w:sz="8" w:space="0" w:color="000000"/>
              <w:bottom w:val="single" w:sz="8" w:space="0" w:color="000000"/>
            </w:tcBorders>
          </w:tcPr>
          <w:p w14:paraId="2E6CA168" w14:textId="77777777" w:rsidR="00FA4AA8" w:rsidRDefault="0015611F">
            <w:pPr>
              <w:pStyle w:val="TableParagraph"/>
              <w:spacing w:before="115" w:line="183" w:lineRule="exact"/>
              <w:ind w:left="541"/>
              <w:rPr>
                <w:b/>
                <w:sz w:val="18"/>
              </w:rPr>
            </w:pPr>
            <w:r>
              <w:rPr>
                <w:b/>
                <w:sz w:val="18"/>
              </w:rPr>
              <w:t>114</w:t>
            </w:r>
          </w:p>
        </w:tc>
        <w:tc>
          <w:tcPr>
            <w:tcW w:w="1296" w:type="dxa"/>
            <w:tcBorders>
              <w:top w:val="single" w:sz="8" w:space="0" w:color="000000"/>
              <w:bottom w:val="single" w:sz="8" w:space="0" w:color="000000"/>
            </w:tcBorders>
          </w:tcPr>
          <w:p w14:paraId="1878CC8E" w14:textId="77777777" w:rsidR="00FA4AA8" w:rsidRDefault="0015611F">
            <w:pPr>
              <w:pStyle w:val="TableParagraph"/>
              <w:spacing w:before="115" w:line="183" w:lineRule="exact"/>
              <w:ind w:right="370"/>
              <w:jc w:val="right"/>
              <w:rPr>
                <w:b/>
                <w:sz w:val="18"/>
              </w:rPr>
            </w:pPr>
            <w:r>
              <w:rPr>
                <w:b/>
                <w:sz w:val="18"/>
              </w:rPr>
              <w:t>80,471</w:t>
            </w:r>
          </w:p>
        </w:tc>
        <w:tc>
          <w:tcPr>
            <w:tcW w:w="1014" w:type="dxa"/>
            <w:tcBorders>
              <w:top w:val="single" w:sz="8" w:space="0" w:color="000000"/>
              <w:bottom w:val="single" w:sz="8" w:space="0" w:color="000000"/>
            </w:tcBorders>
          </w:tcPr>
          <w:p w14:paraId="6D4C18C8" w14:textId="77777777" w:rsidR="00FA4AA8" w:rsidRDefault="0015611F">
            <w:pPr>
              <w:pStyle w:val="TableParagraph"/>
              <w:spacing w:before="115" w:line="183" w:lineRule="exact"/>
              <w:ind w:left="369"/>
              <w:rPr>
                <w:b/>
                <w:sz w:val="18"/>
              </w:rPr>
            </w:pPr>
            <w:r>
              <w:rPr>
                <w:b/>
                <w:sz w:val="18"/>
              </w:rPr>
              <w:t>93,428</w:t>
            </w:r>
          </w:p>
        </w:tc>
      </w:tr>
      <w:tr w:rsidR="00FA4AA8" w14:paraId="596137BF" w14:textId="77777777">
        <w:trPr>
          <w:trHeight w:val="337"/>
        </w:trPr>
        <w:tc>
          <w:tcPr>
            <w:tcW w:w="4334" w:type="dxa"/>
          </w:tcPr>
          <w:p w14:paraId="40DCFBFF" w14:textId="77777777" w:rsidR="00FA4AA8" w:rsidRDefault="0015611F">
            <w:pPr>
              <w:pStyle w:val="TableParagraph"/>
              <w:spacing w:before="115" w:line="203" w:lineRule="exact"/>
              <w:ind w:left="50"/>
              <w:rPr>
                <w:b/>
                <w:sz w:val="18"/>
              </w:rPr>
            </w:pPr>
            <w:r>
              <w:rPr>
                <w:b/>
                <w:sz w:val="18"/>
              </w:rPr>
              <w:t>Remeasurements</w:t>
            </w:r>
          </w:p>
        </w:tc>
        <w:tc>
          <w:tcPr>
            <w:tcW w:w="1659" w:type="dxa"/>
            <w:tcBorders>
              <w:top w:val="single" w:sz="8" w:space="0" w:color="000000"/>
            </w:tcBorders>
          </w:tcPr>
          <w:p w14:paraId="78BC4372" w14:textId="77777777" w:rsidR="00FA4AA8" w:rsidRDefault="00FA4AA8">
            <w:pPr>
              <w:pStyle w:val="TableParagraph"/>
              <w:rPr>
                <w:rFonts w:ascii="Times New Roman"/>
                <w:sz w:val="18"/>
              </w:rPr>
            </w:pPr>
          </w:p>
        </w:tc>
        <w:tc>
          <w:tcPr>
            <w:tcW w:w="1216" w:type="dxa"/>
            <w:tcBorders>
              <w:top w:val="single" w:sz="8" w:space="0" w:color="000000"/>
            </w:tcBorders>
          </w:tcPr>
          <w:p w14:paraId="69745623" w14:textId="77777777" w:rsidR="00FA4AA8" w:rsidRDefault="00FA4AA8">
            <w:pPr>
              <w:pStyle w:val="TableParagraph"/>
              <w:rPr>
                <w:rFonts w:ascii="Times New Roman"/>
                <w:sz w:val="18"/>
              </w:rPr>
            </w:pPr>
          </w:p>
        </w:tc>
        <w:tc>
          <w:tcPr>
            <w:tcW w:w="1296" w:type="dxa"/>
            <w:tcBorders>
              <w:top w:val="single" w:sz="8" w:space="0" w:color="000000"/>
            </w:tcBorders>
          </w:tcPr>
          <w:p w14:paraId="2F1961F2" w14:textId="77777777" w:rsidR="00FA4AA8" w:rsidRDefault="00FA4AA8">
            <w:pPr>
              <w:pStyle w:val="TableParagraph"/>
              <w:rPr>
                <w:rFonts w:ascii="Times New Roman"/>
                <w:sz w:val="18"/>
              </w:rPr>
            </w:pPr>
          </w:p>
        </w:tc>
        <w:tc>
          <w:tcPr>
            <w:tcW w:w="1014" w:type="dxa"/>
            <w:tcBorders>
              <w:top w:val="single" w:sz="8" w:space="0" w:color="000000"/>
            </w:tcBorders>
          </w:tcPr>
          <w:p w14:paraId="7BCF4399" w14:textId="77777777" w:rsidR="00FA4AA8" w:rsidRDefault="00FA4AA8">
            <w:pPr>
              <w:pStyle w:val="TableParagraph"/>
              <w:rPr>
                <w:rFonts w:ascii="Times New Roman"/>
                <w:sz w:val="18"/>
              </w:rPr>
            </w:pPr>
          </w:p>
        </w:tc>
      </w:tr>
      <w:tr w:rsidR="00FA4AA8" w14:paraId="07DEAFF2" w14:textId="77777777">
        <w:trPr>
          <w:trHeight w:val="446"/>
        </w:trPr>
        <w:tc>
          <w:tcPr>
            <w:tcW w:w="4334" w:type="dxa"/>
          </w:tcPr>
          <w:p w14:paraId="01A47B46" w14:textId="77777777" w:rsidR="00FA4AA8" w:rsidRDefault="0015611F">
            <w:pPr>
              <w:pStyle w:val="TableParagraph"/>
              <w:spacing w:before="10"/>
              <w:ind w:left="50" w:right="712"/>
              <w:rPr>
                <w:sz w:val="18"/>
              </w:rPr>
            </w:pPr>
            <w:r>
              <w:rPr>
                <w:sz w:val="18"/>
              </w:rPr>
              <w:t>Actual Return on Fund assets interest income</w:t>
            </w:r>
          </w:p>
        </w:tc>
        <w:tc>
          <w:tcPr>
            <w:tcW w:w="1659" w:type="dxa"/>
            <w:tcBorders>
              <w:bottom w:val="single" w:sz="8" w:space="0" w:color="000000"/>
            </w:tcBorders>
          </w:tcPr>
          <w:p w14:paraId="1E19DA97" w14:textId="77777777" w:rsidR="00FA4AA8" w:rsidRDefault="00FA4AA8">
            <w:pPr>
              <w:pStyle w:val="TableParagraph"/>
              <w:spacing w:before="6"/>
              <w:rPr>
                <w:b/>
                <w:sz w:val="18"/>
              </w:rPr>
            </w:pPr>
          </w:p>
          <w:p w14:paraId="60E38222" w14:textId="77777777" w:rsidR="00FA4AA8" w:rsidRDefault="0015611F">
            <w:pPr>
              <w:pStyle w:val="TableParagraph"/>
              <w:spacing w:before="1"/>
              <w:ind w:right="389"/>
              <w:jc w:val="right"/>
              <w:rPr>
                <w:sz w:val="18"/>
              </w:rPr>
            </w:pPr>
            <w:r>
              <w:rPr>
                <w:sz w:val="18"/>
              </w:rPr>
              <w:t>(137)</w:t>
            </w:r>
          </w:p>
        </w:tc>
        <w:tc>
          <w:tcPr>
            <w:tcW w:w="1216" w:type="dxa"/>
            <w:tcBorders>
              <w:bottom w:val="single" w:sz="8" w:space="0" w:color="000000"/>
            </w:tcBorders>
          </w:tcPr>
          <w:p w14:paraId="13044F4C" w14:textId="77777777" w:rsidR="00FA4AA8" w:rsidRDefault="00FA4AA8">
            <w:pPr>
              <w:pStyle w:val="TableParagraph"/>
              <w:spacing w:before="6"/>
              <w:rPr>
                <w:b/>
                <w:sz w:val="18"/>
              </w:rPr>
            </w:pPr>
          </w:p>
          <w:p w14:paraId="2762D8D9" w14:textId="77777777" w:rsidR="00FA4AA8" w:rsidRDefault="0015611F">
            <w:pPr>
              <w:pStyle w:val="TableParagraph"/>
              <w:spacing w:before="1"/>
              <w:ind w:right="309"/>
              <w:jc w:val="right"/>
              <w:rPr>
                <w:sz w:val="18"/>
              </w:rPr>
            </w:pPr>
            <w:r>
              <w:rPr>
                <w:sz w:val="18"/>
              </w:rPr>
              <w:t>(4)</w:t>
            </w:r>
          </w:p>
        </w:tc>
        <w:tc>
          <w:tcPr>
            <w:tcW w:w="1296" w:type="dxa"/>
            <w:tcBorders>
              <w:bottom w:val="single" w:sz="8" w:space="0" w:color="000000"/>
            </w:tcBorders>
          </w:tcPr>
          <w:p w14:paraId="1625C631" w14:textId="77777777" w:rsidR="00FA4AA8" w:rsidRDefault="00FA4AA8">
            <w:pPr>
              <w:pStyle w:val="TableParagraph"/>
              <w:spacing w:before="6"/>
              <w:rPr>
                <w:b/>
                <w:sz w:val="18"/>
              </w:rPr>
            </w:pPr>
          </w:p>
          <w:p w14:paraId="4230F29C" w14:textId="77777777" w:rsidR="00FA4AA8" w:rsidRDefault="0015611F">
            <w:pPr>
              <w:pStyle w:val="TableParagraph"/>
              <w:spacing w:before="1"/>
              <w:ind w:right="309"/>
              <w:jc w:val="right"/>
              <w:rPr>
                <w:sz w:val="18"/>
              </w:rPr>
            </w:pPr>
            <w:r>
              <w:rPr>
                <w:sz w:val="18"/>
              </w:rPr>
              <w:t>(778)</w:t>
            </w:r>
          </w:p>
        </w:tc>
        <w:tc>
          <w:tcPr>
            <w:tcW w:w="1014" w:type="dxa"/>
            <w:tcBorders>
              <w:bottom w:val="single" w:sz="8" w:space="0" w:color="000000"/>
            </w:tcBorders>
          </w:tcPr>
          <w:p w14:paraId="6AD815F9" w14:textId="77777777" w:rsidR="00FA4AA8" w:rsidRDefault="00FA4AA8">
            <w:pPr>
              <w:pStyle w:val="TableParagraph"/>
              <w:spacing w:before="6"/>
              <w:rPr>
                <w:b/>
                <w:sz w:val="18"/>
              </w:rPr>
            </w:pPr>
          </w:p>
          <w:p w14:paraId="7ECFE059" w14:textId="77777777" w:rsidR="00FA4AA8" w:rsidRDefault="0015611F">
            <w:pPr>
              <w:pStyle w:val="TableParagraph"/>
              <w:spacing w:before="1"/>
              <w:ind w:right="27"/>
              <w:jc w:val="right"/>
              <w:rPr>
                <w:sz w:val="18"/>
              </w:rPr>
            </w:pPr>
            <w:r>
              <w:rPr>
                <w:sz w:val="18"/>
              </w:rPr>
              <w:t>(919)</w:t>
            </w:r>
          </w:p>
        </w:tc>
      </w:tr>
      <w:tr w:rsidR="00FA4AA8" w14:paraId="5F5360F0" w14:textId="77777777">
        <w:trPr>
          <w:trHeight w:val="318"/>
        </w:trPr>
        <w:tc>
          <w:tcPr>
            <w:tcW w:w="4334" w:type="dxa"/>
          </w:tcPr>
          <w:p w14:paraId="051082E7" w14:textId="77777777" w:rsidR="00FA4AA8" w:rsidRDefault="00FA4AA8">
            <w:pPr>
              <w:pStyle w:val="TableParagraph"/>
              <w:rPr>
                <w:rFonts w:ascii="Times New Roman"/>
                <w:sz w:val="18"/>
              </w:rPr>
            </w:pPr>
          </w:p>
        </w:tc>
        <w:tc>
          <w:tcPr>
            <w:tcW w:w="1659" w:type="dxa"/>
            <w:tcBorders>
              <w:top w:val="single" w:sz="8" w:space="0" w:color="000000"/>
              <w:bottom w:val="single" w:sz="8" w:space="0" w:color="000000"/>
            </w:tcBorders>
          </w:tcPr>
          <w:p w14:paraId="657A7CEE" w14:textId="77777777" w:rsidR="00FA4AA8" w:rsidRDefault="0015611F">
            <w:pPr>
              <w:pStyle w:val="TableParagraph"/>
              <w:spacing w:before="115" w:line="183" w:lineRule="exact"/>
              <w:ind w:right="389"/>
              <w:jc w:val="right"/>
              <w:rPr>
                <w:b/>
                <w:sz w:val="18"/>
              </w:rPr>
            </w:pPr>
            <w:r>
              <w:rPr>
                <w:b/>
                <w:sz w:val="18"/>
              </w:rPr>
              <w:t>(137)</w:t>
            </w:r>
          </w:p>
        </w:tc>
        <w:tc>
          <w:tcPr>
            <w:tcW w:w="1216" w:type="dxa"/>
            <w:tcBorders>
              <w:top w:val="single" w:sz="8" w:space="0" w:color="000000"/>
              <w:bottom w:val="single" w:sz="8" w:space="0" w:color="000000"/>
            </w:tcBorders>
          </w:tcPr>
          <w:p w14:paraId="2717AC53" w14:textId="77777777" w:rsidR="00FA4AA8" w:rsidRDefault="0015611F">
            <w:pPr>
              <w:pStyle w:val="TableParagraph"/>
              <w:spacing w:before="115" w:line="183" w:lineRule="exact"/>
              <w:ind w:right="309"/>
              <w:jc w:val="right"/>
              <w:rPr>
                <w:b/>
                <w:sz w:val="18"/>
              </w:rPr>
            </w:pPr>
            <w:r>
              <w:rPr>
                <w:b/>
                <w:sz w:val="18"/>
              </w:rPr>
              <w:t>(4)</w:t>
            </w:r>
          </w:p>
        </w:tc>
        <w:tc>
          <w:tcPr>
            <w:tcW w:w="1296" w:type="dxa"/>
            <w:tcBorders>
              <w:top w:val="single" w:sz="8" w:space="0" w:color="000000"/>
              <w:bottom w:val="single" w:sz="8" w:space="0" w:color="000000"/>
            </w:tcBorders>
          </w:tcPr>
          <w:p w14:paraId="523ABB47" w14:textId="77777777" w:rsidR="00FA4AA8" w:rsidRDefault="0015611F">
            <w:pPr>
              <w:pStyle w:val="TableParagraph"/>
              <w:spacing w:before="115" w:line="183" w:lineRule="exact"/>
              <w:ind w:right="309"/>
              <w:jc w:val="right"/>
              <w:rPr>
                <w:b/>
                <w:sz w:val="18"/>
              </w:rPr>
            </w:pPr>
            <w:r>
              <w:rPr>
                <w:b/>
                <w:sz w:val="18"/>
              </w:rPr>
              <w:t>(778)</w:t>
            </w:r>
          </w:p>
        </w:tc>
        <w:tc>
          <w:tcPr>
            <w:tcW w:w="1014" w:type="dxa"/>
            <w:tcBorders>
              <w:top w:val="single" w:sz="8" w:space="0" w:color="000000"/>
              <w:bottom w:val="single" w:sz="8" w:space="0" w:color="000000"/>
            </w:tcBorders>
          </w:tcPr>
          <w:p w14:paraId="322F6571" w14:textId="77777777" w:rsidR="00FA4AA8" w:rsidRDefault="0015611F">
            <w:pPr>
              <w:pStyle w:val="TableParagraph"/>
              <w:spacing w:before="115" w:line="183" w:lineRule="exact"/>
              <w:ind w:right="27"/>
              <w:jc w:val="right"/>
              <w:rPr>
                <w:b/>
                <w:sz w:val="18"/>
              </w:rPr>
            </w:pPr>
            <w:r>
              <w:rPr>
                <w:b/>
                <w:sz w:val="18"/>
              </w:rPr>
              <w:t>(919)</w:t>
            </w:r>
          </w:p>
        </w:tc>
      </w:tr>
      <w:tr w:rsidR="00FA4AA8" w14:paraId="37793C27" w14:textId="77777777">
        <w:trPr>
          <w:trHeight w:val="339"/>
        </w:trPr>
        <w:tc>
          <w:tcPr>
            <w:tcW w:w="4334" w:type="dxa"/>
          </w:tcPr>
          <w:p w14:paraId="1CBABC91" w14:textId="77777777" w:rsidR="00FA4AA8" w:rsidRDefault="0015611F">
            <w:pPr>
              <w:pStyle w:val="TableParagraph"/>
              <w:spacing w:before="115" w:line="204" w:lineRule="exact"/>
              <w:ind w:left="50"/>
              <w:rPr>
                <w:b/>
                <w:sz w:val="18"/>
              </w:rPr>
            </w:pPr>
            <w:r>
              <w:rPr>
                <w:b/>
                <w:sz w:val="18"/>
              </w:rPr>
              <w:t>Contributions</w:t>
            </w:r>
          </w:p>
        </w:tc>
        <w:tc>
          <w:tcPr>
            <w:tcW w:w="1659" w:type="dxa"/>
            <w:tcBorders>
              <w:top w:val="single" w:sz="8" w:space="0" w:color="000000"/>
            </w:tcBorders>
          </w:tcPr>
          <w:p w14:paraId="42E0D74C" w14:textId="77777777" w:rsidR="00FA4AA8" w:rsidRDefault="00FA4AA8">
            <w:pPr>
              <w:pStyle w:val="TableParagraph"/>
              <w:rPr>
                <w:rFonts w:ascii="Times New Roman"/>
                <w:sz w:val="18"/>
              </w:rPr>
            </w:pPr>
          </w:p>
        </w:tc>
        <w:tc>
          <w:tcPr>
            <w:tcW w:w="1216" w:type="dxa"/>
            <w:tcBorders>
              <w:top w:val="single" w:sz="8" w:space="0" w:color="000000"/>
            </w:tcBorders>
          </w:tcPr>
          <w:p w14:paraId="46B06988" w14:textId="77777777" w:rsidR="00FA4AA8" w:rsidRDefault="00FA4AA8">
            <w:pPr>
              <w:pStyle w:val="TableParagraph"/>
              <w:rPr>
                <w:rFonts w:ascii="Times New Roman"/>
                <w:sz w:val="18"/>
              </w:rPr>
            </w:pPr>
          </w:p>
        </w:tc>
        <w:tc>
          <w:tcPr>
            <w:tcW w:w="1296" w:type="dxa"/>
            <w:tcBorders>
              <w:top w:val="single" w:sz="8" w:space="0" w:color="000000"/>
            </w:tcBorders>
          </w:tcPr>
          <w:p w14:paraId="78CD67F6" w14:textId="77777777" w:rsidR="00FA4AA8" w:rsidRDefault="00FA4AA8">
            <w:pPr>
              <w:pStyle w:val="TableParagraph"/>
              <w:rPr>
                <w:rFonts w:ascii="Times New Roman"/>
                <w:sz w:val="18"/>
              </w:rPr>
            </w:pPr>
          </w:p>
        </w:tc>
        <w:tc>
          <w:tcPr>
            <w:tcW w:w="1014" w:type="dxa"/>
            <w:tcBorders>
              <w:top w:val="single" w:sz="8" w:space="0" w:color="000000"/>
            </w:tcBorders>
          </w:tcPr>
          <w:p w14:paraId="7B1A353C" w14:textId="77777777" w:rsidR="00FA4AA8" w:rsidRDefault="00FA4AA8">
            <w:pPr>
              <w:pStyle w:val="TableParagraph"/>
              <w:rPr>
                <w:rFonts w:ascii="Times New Roman"/>
                <w:sz w:val="18"/>
              </w:rPr>
            </w:pPr>
          </w:p>
        </w:tc>
      </w:tr>
      <w:tr w:rsidR="00FA4AA8" w14:paraId="582C0349" w14:textId="77777777">
        <w:trPr>
          <w:trHeight w:val="250"/>
        </w:trPr>
        <w:tc>
          <w:tcPr>
            <w:tcW w:w="4334" w:type="dxa"/>
          </w:tcPr>
          <w:p w14:paraId="410579A9" w14:textId="77777777" w:rsidR="00FA4AA8" w:rsidRDefault="0015611F">
            <w:pPr>
              <w:pStyle w:val="TableParagraph"/>
              <w:spacing w:before="13"/>
              <w:ind w:left="50"/>
              <w:rPr>
                <w:sz w:val="18"/>
              </w:rPr>
            </w:pPr>
            <w:r>
              <w:rPr>
                <w:sz w:val="18"/>
              </w:rPr>
              <w:t>Employers</w:t>
            </w:r>
          </w:p>
        </w:tc>
        <w:tc>
          <w:tcPr>
            <w:tcW w:w="1659" w:type="dxa"/>
          </w:tcPr>
          <w:p w14:paraId="0A192BE7" w14:textId="77777777" w:rsidR="00FA4AA8" w:rsidRDefault="0015611F">
            <w:pPr>
              <w:pStyle w:val="TableParagraph"/>
              <w:spacing w:before="11"/>
              <w:ind w:right="449"/>
              <w:jc w:val="right"/>
              <w:rPr>
                <w:sz w:val="18"/>
              </w:rPr>
            </w:pPr>
            <w:r>
              <w:rPr>
                <w:sz w:val="18"/>
              </w:rPr>
              <w:t>618</w:t>
            </w:r>
          </w:p>
        </w:tc>
        <w:tc>
          <w:tcPr>
            <w:tcW w:w="1216" w:type="dxa"/>
          </w:tcPr>
          <w:p w14:paraId="02B5F8CA" w14:textId="77777777" w:rsidR="00FA4AA8" w:rsidRDefault="0015611F">
            <w:pPr>
              <w:pStyle w:val="TableParagraph"/>
              <w:spacing w:before="11"/>
              <w:ind w:left="390"/>
              <w:rPr>
                <w:sz w:val="18"/>
              </w:rPr>
            </w:pPr>
            <w:r>
              <w:rPr>
                <w:sz w:val="18"/>
              </w:rPr>
              <w:t>1,071</w:t>
            </w:r>
          </w:p>
        </w:tc>
        <w:tc>
          <w:tcPr>
            <w:tcW w:w="1296" w:type="dxa"/>
          </w:tcPr>
          <w:p w14:paraId="1A1615E2" w14:textId="77777777" w:rsidR="00FA4AA8" w:rsidRDefault="0015611F">
            <w:pPr>
              <w:pStyle w:val="TableParagraph"/>
              <w:spacing w:before="11"/>
              <w:ind w:right="309"/>
              <w:jc w:val="right"/>
              <w:rPr>
                <w:sz w:val="18"/>
              </w:rPr>
            </w:pPr>
            <w:r>
              <w:rPr>
                <w:sz w:val="18"/>
              </w:rPr>
              <w:t>(955)</w:t>
            </w:r>
          </w:p>
        </w:tc>
        <w:tc>
          <w:tcPr>
            <w:tcW w:w="1014" w:type="dxa"/>
          </w:tcPr>
          <w:p w14:paraId="5C5230EE" w14:textId="77777777" w:rsidR="00FA4AA8" w:rsidRDefault="0015611F">
            <w:pPr>
              <w:pStyle w:val="TableParagraph"/>
              <w:spacing w:before="11"/>
              <w:ind w:right="87"/>
              <w:jc w:val="right"/>
              <w:rPr>
                <w:sz w:val="18"/>
              </w:rPr>
            </w:pPr>
            <w:r>
              <w:rPr>
                <w:sz w:val="18"/>
              </w:rPr>
              <w:t>734</w:t>
            </w:r>
          </w:p>
        </w:tc>
      </w:tr>
      <w:tr w:rsidR="00FA4AA8" w14:paraId="6ED67286" w14:textId="77777777">
        <w:trPr>
          <w:trHeight w:val="256"/>
        </w:trPr>
        <w:tc>
          <w:tcPr>
            <w:tcW w:w="4334" w:type="dxa"/>
          </w:tcPr>
          <w:p w14:paraId="2B86E5C8" w14:textId="77777777" w:rsidR="00FA4AA8" w:rsidRDefault="0015611F">
            <w:pPr>
              <w:pStyle w:val="TableParagraph"/>
              <w:spacing w:before="26"/>
              <w:ind w:left="50"/>
              <w:rPr>
                <w:sz w:val="18"/>
              </w:rPr>
            </w:pPr>
            <w:r>
              <w:rPr>
                <w:sz w:val="18"/>
              </w:rPr>
              <w:t>Plan participants</w:t>
            </w:r>
          </w:p>
        </w:tc>
        <w:tc>
          <w:tcPr>
            <w:tcW w:w="1659" w:type="dxa"/>
            <w:tcBorders>
              <w:bottom w:val="single" w:sz="8" w:space="0" w:color="000000"/>
            </w:tcBorders>
          </w:tcPr>
          <w:p w14:paraId="7129F076" w14:textId="77777777" w:rsidR="00FA4AA8" w:rsidRDefault="0015611F">
            <w:pPr>
              <w:pStyle w:val="TableParagraph"/>
              <w:spacing w:before="24"/>
              <w:ind w:right="449"/>
              <w:jc w:val="right"/>
              <w:rPr>
                <w:sz w:val="18"/>
              </w:rPr>
            </w:pPr>
            <w:r>
              <w:rPr>
                <w:sz w:val="18"/>
              </w:rPr>
              <w:t>316</w:t>
            </w:r>
          </w:p>
        </w:tc>
        <w:tc>
          <w:tcPr>
            <w:tcW w:w="1216" w:type="dxa"/>
            <w:tcBorders>
              <w:bottom w:val="single" w:sz="8" w:space="0" w:color="000000"/>
            </w:tcBorders>
          </w:tcPr>
          <w:p w14:paraId="70FAD1A8" w14:textId="77777777" w:rsidR="00FA4AA8" w:rsidRDefault="0015611F">
            <w:pPr>
              <w:pStyle w:val="TableParagraph"/>
              <w:spacing w:before="24"/>
              <w:ind w:right="369"/>
              <w:jc w:val="right"/>
              <w:rPr>
                <w:b/>
                <w:sz w:val="18"/>
              </w:rPr>
            </w:pPr>
            <w:r>
              <w:rPr>
                <w:b/>
                <w:sz w:val="18"/>
              </w:rPr>
              <w:t>-</w:t>
            </w:r>
          </w:p>
        </w:tc>
        <w:tc>
          <w:tcPr>
            <w:tcW w:w="1296" w:type="dxa"/>
            <w:tcBorders>
              <w:bottom w:val="single" w:sz="8" w:space="0" w:color="000000"/>
            </w:tcBorders>
          </w:tcPr>
          <w:p w14:paraId="6149FE5C" w14:textId="77777777" w:rsidR="00FA4AA8" w:rsidRDefault="0015611F">
            <w:pPr>
              <w:pStyle w:val="TableParagraph"/>
              <w:spacing w:before="24"/>
              <w:ind w:right="369"/>
              <w:jc w:val="right"/>
              <w:rPr>
                <w:sz w:val="18"/>
              </w:rPr>
            </w:pPr>
            <w:r>
              <w:rPr>
                <w:sz w:val="18"/>
              </w:rPr>
              <w:t>48</w:t>
            </w:r>
          </w:p>
        </w:tc>
        <w:tc>
          <w:tcPr>
            <w:tcW w:w="1014" w:type="dxa"/>
            <w:tcBorders>
              <w:bottom w:val="single" w:sz="8" w:space="0" w:color="000000"/>
            </w:tcBorders>
          </w:tcPr>
          <w:p w14:paraId="6EAFF1A6" w14:textId="77777777" w:rsidR="00FA4AA8" w:rsidRDefault="0015611F">
            <w:pPr>
              <w:pStyle w:val="TableParagraph"/>
              <w:spacing w:before="24"/>
              <w:ind w:right="87"/>
              <w:jc w:val="right"/>
              <w:rPr>
                <w:sz w:val="18"/>
              </w:rPr>
            </w:pPr>
            <w:r>
              <w:rPr>
                <w:sz w:val="18"/>
              </w:rPr>
              <w:t>364</w:t>
            </w:r>
          </w:p>
        </w:tc>
      </w:tr>
      <w:tr w:rsidR="00FA4AA8" w14:paraId="0223017A" w14:textId="77777777">
        <w:trPr>
          <w:trHeight w:val="318"/>
        </w:trPr>
        <w:tc>
          <w:tcPr>
            <w:tcW w:w="4334" w:type="dxa"/>
          </w:tcPr>
          <w:p w14:paraId="33F47D62" w14:textId="77777777" w:rsidR="00FA4AA8" w:rsidRDefault="00FA4AA8">
            <w:pPr>
              <w:pStyle w:val="TableParagraph"/>
              <w:rPr>
                <w:rFonts w:ascii="Times New Roman"/>
                <w:sz w:val="18"/>
              </w:rPr>
            </w:pPr>
          </w:p>
        </w:tc>
        <w:tc>
          <w:tcPr>
            <w:tcW w:w="1659" w:type="dxa"/>
            <w:tcBorders>
              <w:top w:val="single" w:sz="8" w:space="0" w:color="000000"/>
              <w:bottom w:val="single" w:sz="8" w:space="0" w:color="000000"/>
            </w:tcBorders>
          </w:tcPr>
          <w:p w14:paraId="457AF86F" w14:textId="77777777" w:rsidR="00FA4AA8" w:rsidRDefault="0015611F">
            <w:pPr>
              <w:pStyle w:val="TableParagraph"/>
              <w:spacing w:before="115" w:line="183" w:lineRule="exact"/>
              <w:ind w:right="449"/>
              <w:jc w:val="right"/>
              <w:rPr>
                <w:b/>
                <w:sz w:val="18"/>
              </w:rPr>
            </w:pPr>
            <w:r>
              <w:rPr>
                <w:b/>
                <w:sz w:val="18"/>
              </w:rPr>
              <w:t>934</w:t>
            </w:r>
          </w:p>
        </w:tc>
        <w:tc>
          <w:tcPr>
            <w:tcW w:w="1216" w:type="dxa"/>
            <w:tcBorders>
              <w:top w:val="single" w:sz="8" w:space="0" w:color="000000"/>
              <w:bottom w:val="single" w:sz="8" w:space="0" w:color="000000"/>
            </w:tcBorders>
          </w:tcPr>
          <w:p w14:paraId="1999A061" w14:textId="77777777" w:rsidR="00FA4AA8" w:rsidRDefault="0015611F">
            <w:pPr>
              <w:pStyle w:val="TableParagraph"/>
              <w:spacing w:before="115" w:line="183" w:lineRule="exact"/>
              <w:ind w:left="390"/>
              <w:rPr>
                <w:b/>
                <w:sz w:val="18"/>
              </w:rPr>
            </w:pPr>
            <w:r>
              <w:rPr>
                <w:b/>
                <w:sz w:val="18"/>
              </w:rPr>
              <w:t>1,071</w:t>
            </w:r>
          </w:p>
        </w:tc>
        <w:tc>
          <w:tcPr>
            <w:tcW w:w="1296" w:type="dxa"/>
            <w:tcBorders>
              <w:top w:val="single" w:sz="8" w:space="0" w:color="000000"/>
              <w:bottom w:val="single" w:sz="8" w:space="0" w:color="000000"/>
            </w:tcBorders>
          </w:tcPr>
          <w:p w14:paraId="35AA6BDA" w14:textId="77777777" w:rsidR="00FA4AA8" w:rsidRDefault="0015611F">
            <w:pPr>
              <w:pStyle w:val="TableParagraph"/>
              <w:spacing w:before="115" w:line="183" w:lineRule="exact"/>
              <w:ind w:right="309"/>
              <w:jc w:val="right"/>
              <w:rPr>
                <w:b/>
                <w:sz w:val="18"/>
              </w:rPr>
            </w:pPr>
            <w:r>
              <w:rPr>
                <w:b/>
                <w:sz w:val="18"/>
              </w:rPr>
              <w:t>(907)</w:t>
            </w:r>
          </w:p>
        </w:tc>
        <w:tc>
          <w:tcPr>
            <w:tcW w:w="1014" w:type="dxa"/>
            <w:tcBorders>
              <w:top w:val="single" w:sz="8" w:space="0" w:color="000000"/>
              <w:bottom w:val="single" w:sz="8" w:space="0" w:color="000000"/>
            </w:tcBorders>
          </w:tcPr>
          <w:p w14:paraId="65F85007" w14:textId="77777777" w:rsidR="00FA4AA8" w:rsidRDefault="0015611F">
            <w:pPr>
              <w:pStyle w:val="TableParagraph"/>
              <w:spacing w:before="115" w:line="183" w:lineRule="exact"/>
              <w:ind w:right="88"/>
              <w:jc w:val="right"/>
              <w:rPr>
                <w:b/>
                <w:sz w:val="18"/>
              </w:rPr>
            </w:pPr>
            <w:r>
              <w:rPr>
                <w:b/>
                <w:sz w:val="18"/>
              </w:rPr>
              <w:t>1,098</w:t>
            </w:r>
          </w:p>
        </w:tc>
      </w:tr>
      <w:tr w:rsidR="00FA4AA8" w14:paraId="7ED9FCFF" w14:textId="77777777">
        <w:trPr>
          <w:trHeight w:val="339"/>
        </w:trPr>
        <w:tc>
          <w:tcPr>
            <w:tcW w:w="4334" w:type="dxa"/>
          </w:tcPr>
          <w:p w14:paraId="13FC4C23" w14:textId="77777777" w:rsidR="00FA4AA8" w:rsidRDefault="0015611F">
            <w:pPr>
              <w:pStyle w:val="TableParagraph"/>
              <w:spacing w:before="115" w:line="204" w:lineRule="exact"/>
              <w:ind w:left="50"/>
              <w:rPr>
                <w:b/>
                <w:sz w:val="18"/>
              </w:rPr>
            </w:pPr>
            <w:r>
              <w:rPr>
                <w:b/>
                <w:sz w:val="18"/>
              </w:rPr>
              <w:t>Payments from plan</w:t>
            </w:r>
          </w:p>
        </w:tc>
        <w:tc>
          <w:tcPr>
            <w:tcW w:w="1659" w:type="dxa"/>
            <w:tcBorders>
              <w:top w:val="single" w:sz="8" w:space="0" w:color="000000"/>
            </w:tcBorders>
          </w:tcPr>
          <w:p w14:paraId="510191A4" w14:textId="77777777" w:rsidR="00FA4AA8" w:rsidRDefault="00FA4AA8">
            <w:pPr>
              <w:pStyle w:val="TableParagraph"/>
              <w:rPr>
                <w:rFonts w:ascii="Times New Roman"/>
                <w:sz w:val="18"/>
              </w:rPr>
            </w:pPr>
          </w:p>
        </w:tc>
        <w:tc>
          <w:tcPr>
            <w:tcW w:w="1216" w:type="dxa"/>
            <w:tcBorders>
              <w:top w:val="single" w:sz="8" w:space="0" w:color="000000"/>
            </w:tcBorders>
          </w:tcPr>
          <w:p w14:paraId="443D1087" w14:textId="77777777" w:rsidR="00FA4AA8" w:rsidRDefault="00FA4AA8">
            <w:pPr>
              <w:pStyle w:val="TableParagraph"/>
              <w:rPr>
                <w:rFonts w:ascii="Times New Roman"/>
                <w:sz w:val="18"/>
              </w:rPr>
            </w:pPr>
          </w:p>
        </w:tc>
        <w:tc>
          <w:tcPr>
            <w:tcW w:w="1296" w:type="dxa"/>
            <w:tcBorders>
              <w:top w:val="single" w:sz="8" w:space="0" w:color="000000"/>
            </w:tcBorders>
          </w:tcPr>
          <w:p w14:paraId="75AFDD9C" w14:textId="77777777" w:rsidR="00FA4AA8" w:rsidRDefault="00FA4AA8">
            <w:pPr>
              <w:pStyle w:val="TableParagraph"/>
              <w:rPr>
                <w:rFonts w:ascii="Times New Roman"/>
                <w:sz w:val="18"/>
              </w:rPr>
            </w:pPr>
          </w:p>
        </w:tc>
        <w:tc>
          <w:tcPr>
            <w:tcW w:w="1014" w:type="dxa"/>
            <w:tcBorders>
              <w:top w:val="single" w:sz="8" w:space="0" w:color="000000"/>
            </w:tcBorders>
          </w:tcPr>
          <w:p w14:paraId="76D5B051" w14:textId="77777777" w:rsidR="00FA4AA8" w:rsidRDefault="00FA4AA8">
            <w:pPr>
              <w:pStyle w:val="TableParagraph"/>
              <w:rPr>
                <w:rFonts w:ascii="Times New Roman"/>
                <w:sz w:val="18"/>
              </w:rPr>
            </w:pPr>
          </w:p>
        </w:tc>
      </w:tr>
      <w:tr w:rsidR="00FA4AA8" w14:paraId="5A460E78" w14:textId="77777777">
        <w:trPr>
          <w:trHeight w:val="250"/>
        </w:trPr>
        <w:tc>
          <w:tcPr>
            <w:tcW w:w="4334" w:type="dxa"/>
          </w:tcPr>
          <w:p w14:paraId="0BCBC04C" w14:textId="77777777" w:rsidR="00FA4AA8" w:rsidRDefault="0015611F">
            <w:pPr>
              <w:pStyle w:val="TableParagraph"/>
              <w:spacing w:before="13"/>
              <w:ind w:left="50"/>
              <w:rPr>
                <w:sz w:val="18"/>
              </w:rPr>
            </w:pPr>
            <w:r>
              <w:rPr>
                <w:sz w:val="18"/>
              </w:rPr>
              <w:t>Benefits paid</w:t>
            </w:r>
          </w:p>
        </w:tc>
        <w:tc>
          <w:tcPr>
            <w:tcW w:w="1659" w:type="dxa"/>
          </w:tcPr>
          <w:p w14:paraId="229CC840" w14:textId="77777777" w:rsidR="00FA4AA8" w:rsidRDefault="0015611F">
            <w:pPr>
              <w:pStyle w:val="TableParagraph"/>
              <w:spacing w:before="11"/>
              <w:ind w:right="389"/>
              <w:jc w:val="right"/>
              <w:rPr>
                <w:sz w:val="18"/>
              </w:rPr>
            </w:pPr>
            <w:r>
              <w:rPr>
                <w:sz w:val="18"/>
              </w:rPr>
              <w:t>(3,858)</w:t>
            </w:r>
          </w:p>
        </w:tc>
        <w:tc>
          <w:tcPr>
            <w:tcW w:w="1216" w:type="dxa"/>
          </w:tcPr>
          <w:p w14:paraId="73BB1245" w14:textId="77777777" w:rsidR="00FA4AA8" w:rsidRDefault="0015611F">
            <w:pPr>
              <w:pStyle w:val="TableParagraph"/>
              <w:spacing w:before="11"/>
              <w:ind w:right="309"/>
              <w:jc w:val="right"/>
              <w:rPr>
                <w:sz w:val="18"/>
              </w:rPr>
            </w:pPr>
            <w:r>
              <w:rPr>
                <w:sz w:val="18"/>
              </w:rPr>
              <w:t>(578)</w:t>
            </w:r>
          </w:p>
        </w:tc>
        <w:tc>
          <w:tcPr>
            <w:tcW w:w="1296" w:type="dxa"/>
          </w:tcPr>
          <w:p w14:paraId="6AB8C4CB" w14:textId="77777777" w:rsidR="00FA4AA8" w:rsidRDefault="0015611F">
            <w:pPr>
              <w:pStyle w:val="TableParagraph"/>
              <w:spacing w:before="11"/>
              <w:ind w:right="309"/>
              <w:jc w:val="right"/>
              <w:rPr>
                <w:sz w:val="18"/>
              </w:rPr>
            </w:pPr>
            <w:r>
              <w:rPr>
                <w:sz w:val="18"/>
              </w:rPr>
              <w:t>(18,668)</w:t>
            </w:r>
          </w:p>
        </w:tc>
        <w:tc>
          <w:tcPr>
            <w:tcW w:w="1014" w:type="dxa"/>
          </w:tcPr>
          <w:p w14:paraId="4D6296F5" w14:textId="77777777" w:rsidR="00FA4AA8" w:rsidRDefault="0015611F">
            <w:pPr>
              <w:pStyle w:val="TableParagraph"/>
              <w:spacing w:before="11"/>
              <w:ind w:right="27"/>
              <w:jc w:val="right"/>
              <w:rPr>
                <w:sz w:val="18"/>
              </w:rPr>
            </w:pPr>
            <w:r>
              <w:rPr>
                <w:sz w:val="18"/>
              </w:rPr>
              <w:t>(23,104)</w:t>
            </w:r>
          </w:p>
        </w:tc>
      </w:tr>
      <w:tr w:rsidR="00FA4AA8" w14:paraId="578A3A91" w14:textId="77777777">
        <w:trPr>
          <w:trHeight w:val="256"/>
        </w:trPr>
        <w:tc>
          <w:tcPr>
            <w:tcW w:w="4334" w:type="dxa"/>
          </w:tcPr>
          <w:p w14:paraId="4CA5E6C9" w14:textId="77777777" w:rsidR="00FA4AA8" w:rsidRDefault="0015611F">
            <w:pPr>
              <w:pStyle w:val="TableParagraph"/>
              <w:spacing w:before="26"/>
              <w:ind w:left="50"/>
              <w:rPr>
                <w:sz w:val="18"/>
              </w:rPr>
            </w:pPr>
            <w:r>
              <w:rPr>
                <w:sz w:val="18"/>
              </w:rPr>
              <w:t>Taxes, premiums and expenses paid</w:t>
            </w:r>
          </w:p>
        </w:tc>
        <w:tc>
          <w:tcPr>
            <w:tcW w:w="1659" w:type="dxa"/>
            <w:tcBorders>
              <w:bottom w:val="single" w:sz="8" w:space="0" w:color="000000"/>
            </w:tcBorders>
          </w:tcPr>
          <w:p w14:paraId="13939B04" w14:textId="77777777" w:rsidR="00FA4AA8" w:rsidRDefault="0015611F">
            <w:pPr>
              <w:pStyle w:val="TableParagraph"/>
              <w:spacing w:before="24"/>
              <w:ind w:right="389"/>
              <w:jc w:val="right"/>
              <w:rPr>
                <w:sz w:val="18"/>
              </w:rPr>
            </w:pPr>
            <w:r>
              <w:rPr>
                <w:sz w:val="18"/>
              </w:rPr>
              <w:t>(126)</w:t>
            </w:r>
          </w:p>
        </w:tc>
        <w:tc>
          <w:tcPr>
            <w:tcW w:w="1216" w:type="dxa"/>
            <w:tcBorders>
              <w:bottom w:val="single" w:sz="8" w:space="0" w:color="000000"/>
            </w:tcBorders>
          </w:tcPr>
          <w:p w14:paraId="20AEB4CF" w14:textId="77777777" w:rsidR="00FA4AA8" w:rsidRDefault="0015611F">
            <w:pPr>
              <w:pStyle w:val="TableParagraph"/>
              <w:spacing w:before="24"/>
              <w:ind w:right="370"/>
              <w:jc w:val="right"/>
              <w:rPr>
                <w:sz w:val="18"/>
              </w:rPr>
            </w:pPr>
            <w:r>
              <w:rPr>
                <w:sz w:val="18"/>
              </w:rPr>
              <w:t>7</w:t>
            </w:r>
          </w:p>
        </w:tc>
        <w:tc>
          <w:tcPr>
            <w:tcW w:w="1296" w:type="dxa"/>
            <w:tcBorders>
              <w:bottom w:val="single" w:sz="8" w:space="0" w:color="000000"/>
            </w:tcBorders>
          </w:tcPr>
          <w:p w14:paraId="695B2032" w14:textId="77777777" w:rsidR="00FA4AA8" w:rsidRDefault="0015611F">
            <w:pPr>
              <w:pStyle w:val="TableParagraph"/>
              <w:spacing w:before="24"/>
              <w:ind w:right="370"/>
              <w:jc w:val="right"/>
              <w:rPr>
                <w:sz w:val="18"/>
              </w:rPr>
            </w:pPr>
            <w:r>
              <w:rPr>
                <w:sz w:val="18"/>
              </w:rPr>
              <w:t>2,209</w:t>
            </w:r>
          </w:p>
        </w:tc>
        <w:tc>
          <w:tcPr>
            <w:tcW w:w="1014" w:type="dxa"/>
            <w:tcBorders>
              <w:bottom w:val="single" w:sz="8" w:space="0" w:color="000000"/>
            </w:tcBorders>
          </w:tcPr>
          <w:p w14:paraId="67EF0470" w14:textId="77777777" w:rsidR="00FA4AA8" w:rsidRDefault="0015611F">
            <w:pPr>
              <w:pStyle w:val="TableParagraph"/>
              <w:spacing w:before="24"/>
              <w:ind w:right="88"/>
              <w:jc w:val="right"/>
              <w:rPr>
                <w:sz w:val="18"/>
              </w:rPr>
            </w:pPr>
            <w:r>
              <w:rPr>
                <w:sz w:val="18"/>
              </w:rPr>
              <w:t>2,090</w:t>
            </w:r>
          </w:p>
        </w:tc>
      </w:tr>
      <w:tr w:rsidR="00FA4AA8" w14:paraId="7B559620" w14:textId="77777777">
        <w:trPr>
          <w:trHeight w:val="318"/>
        </w:trPr>
        <w:tc>
          <w:tcPr>
            <w:tcW w:w="4334" w:type="dxa"/>
          </w:tcPr>
          <w:p w14:paraId="6CF5AC82" w14:textId="77777777" w:rsidR="00FA4AA8" w:rsidRDefault="00FA4AA8">
            <w:pPr>
              <w:pStyle w:val="TableParagraph"/>
              <w:rPr>
                <w:rFonts w:ascii="Times New Roman"/>
                <w:sz w:val="18"/>
              </w:rPr>
            </w:pPr>
          </w:p>
        </w:tc>
        <w:tc>
          <w:tcPr>
            <w:tcW w:w="1659" w:type="dxa"/>
            <w:tcBorders>
              <w:top w:val="single" w:sz="8" w:space="0" w:color="000000"/>
              <w:bottom w:val="single" w:sz="8" w:space="0" w:color="000000"/>
            </w:tcBorders>
          </w:tcPr>
          <w:p w14:paraId="27E7DD48" w14:textId="77777777" w:rsidR="00FA4AA8" w:rsidRDefault="0015611F">
            <w:pPr>
              <w:pStyle w:val="TableParagraph"/>
              <w:spacing w:before="115" w:line="183" w:lineRule="exact"/>
              <w:ind w:right="389"/>
              <w:jc w:val="right"/>
              <w:rPr>
                <w:b/>
                <w:sz w:val="18"/>
              </w:rPr>
            </w:pPr>
            <w:r>
              <w:rPr>
                <w:b/>
                <w:sz w:val="18"/>
              </w:rPr>
              <w:t>(3,984)</w:t>
            </w:r>
          </w:p>
        </w:tc>
        <w:tc>
          <w:tcPr>
            <w:tcW w:w="1216" w:type="dxa"/>
            <w:tcBorders>
              <w:top w:val="single" w:sz="8" w:space="0" w:color="000000"/>
              <w:bottom w:val="single" w:sz="8" w:space="0" w:color="000000"/>
            </w:tcBorders>
          </w:tcPr>
          <w:p w14:paraId="0520D5EC" w14:textId="77777777" w:rsidR="00FA4AA8" w:rsidRDefault="0015611F">
            <w:pPr>
              <w:pStyle w:val="TableParagraph"/>
              <w:spacing w:before="115" w:line="183" w:lineRule="exact"/>
              <w:ind w:right="309"/>
              <w:jc w:val="right"/>
              <w:rPr>
                <w:b/>
                <w:sz w:val="18"/>
              </w:rPr>
            </w:pPr>
            <w:r>
              <w:rPr>
                <w:b/>
                <w:sz w:val="18"/>
              </w:rPr>
              <w:t>(571)</w:t>
            </w:r>
          </w:p>
        </w:tc>
        <w:tc>
          <w:tcPr>
            <w:tcW w:w="1296" w:type="dxa"/>
            <w:tcBorders>
              <w:top w:val="single" w:sz="8" w:space="0" w:color="000000"/>
              <w:bottom w:val="single" w:sz="8" w:space="0" w:color="000000"/>
            </w:tcBorders>
          </w:tcPr>
          <w:p w14:paraId="57BB6C24" w14:textId="77777777" w:rsidR="00FA4AA8" w:rsidRDefault="0015611F">
            <w:pPr>
              <w:pStyle w:val="TableParagraph"/>
              <w:spacing w:before="115" w:line="183" w:lineRule="exact"/>
              <w:ind w:right="309"/>
              <w:jc w:val="right"/>
              <w:rPr>
                <w:b/>
                <w:sz w:val="18"/>
              </w:rPr>
            </w:pPr>
            <w:r>
              <w:rPr>
                <w:b/>
                <w:sz w:val="18"/>
              </w:rPr>
              <w:t>(16,459)</w:t>
            </w:r>
          </w:p>
        </w:tc>
        <w:tc>
          <w:tcPr>
            <w:tcW w:w="1014" w:type="dxa"/>
            <w:tcBorders>
              <w:top w:val="single" w:sz="8" w:space="0" w:color="000000"/>
              <w:bottom w:val="single" w:sz="8" w:space="0" w:color="000000"/>
            </w:tcBorders>
          </w:tcPr>
          <w:p w14:paraId="4C307DC4" w14:textId="77777777" w:rsidR="00FA4AA8" w:rsidRDefault="0015611F">
            <w:pPr>
              <w:pStyle w:val="TableParagraph"/>
              <w:spacing w:before="115" w:line="183" w:lineRule="exact"/>
              <w:ind w:right="27"/>
              <w:jc w:val="right"/>
              <w:rPr>
                <w:b/>
                <w:sz w:val="18"/>
              </w:rPr>
            </w:pPr>
            <w:r>
              <w:rPr>
                <w:b/>
                <w:sz w:val="18"/>
              </w:rPr>
              <w:t>(21,014)</w:t>
            </w:r>
          </w:p>
        </w:tc>
      </w:tr>
      <w:tr w:rsidR="00FA4AA8" w14:paraId="534D4A21" w14:textId="77777777">
        <w:trPr>
          <w:trHeight w:val="320"/>
        </w:trPr>
        <w:tc>
          <w:tcPr>
            <w:tcW w:w="4334" w:type="dxa"/>
          </w:tcPr>
          <w:p w14:paraId="1D6D463C" w14:textId="77777777" w:rsidR="00FA4AA8" w:rsidRDefault="0015611F">
            <w:pPr>
              <w:pStyle w:val="TableParagraph"/>
              <w:spacing w:before="115" w:line="185" w:lineRule="exact"/>
              <w:ind w:left="50"/>
              <w:rPr>
                <w:b/>
                <w:sz w:val="18"/>
              </w:rPr>
            </w:pPr>
            <w:r>
              <w:rPr>
                <w:b/>
                <w:sz w:val="18"/>
              </w:rPr>
              <w:t>Closing fair value of plans assets</w:t>
            </w:r>
          </w:p>
        </w:tc>
        <w:tc>
          <w:tcPr>
            <w:tcW w:w="1659" w:type="dxa"/>
            <w:tcBorders>
              <w:top w:val="single" w:sz="8" w:space="0" w:color="000000"/>
              <w:bottom w:val="double" w:sz="2" w:space="0" w:color="000000"/>
            </w:tcBorders>
          </w:tcPr>
          <w:p w14:paraId="042C21F9" w14:textId="77777777" w:rsidR="00FA4AA8" w:rsidRDefault="0015611F">
            <w:pPr>
              <w:pStyle w:val="TableParagraph"/>
              <w:spacing w:before="115" w:line="185" w:lineRule="exact"/>
              <w:ind w:right="450"/>
              <w:jc w:val="right"/>
              <w:rPr>
                <w:b/>
                <w:sz w:val="18"/>
              </w:rPr>
            </w:pPr>
            <w:r>
              <w:rPr>
                <w:b/>
                <w:sz w:val="18"/>
              </w:rPr>
              <w:t>9,656</w:t>
            </w:r>
          </w:p>
        </w:tc>
        <w:tc>
          <w:tcPr>
            <w:tcW w:w="1216" w:type="dxa"/>
            <w:tcBorders>
              <w:top w:val="single" w:sz="8" w:space="0" w:color="000000"/>
              <w:bottom w:val="double" w:sz="2" w:space="0" w:color="000000"/>
            </w:tcBorders>
          </w:tcPr>
          <w:p w14:paraId="2C200D73" w14:textId="77777777" w:rsidR="00FA4AA8" w:rsidRDefault="0015611F">
            <w:pPr>
              <w:pStyle w:val="TableParagraph"/>
              <w:spacing w:before="115" w:line="185" w:lineRule="exact"/>
              <w:ind w:left="541"/>
              <w:rPr>
                <w:b/>
                <w:sz w:val="18"/>
              </w:rPr>
            </w:pPr>
            <w:r>
              <w:rPr>
                <w:b/>
                <w:sz w:val="18"/>
              </w:rPr>
              <w:t>610</w:t>
            </w:r>
          </w:p>
        </w:tc>
        <w:tc>
          <w:tcPr>
            <w:tcW w:w="1296" w:type="dxa"/>
            <w:tcBorders>
              <w:top w:val="single" w:sz="8" w:space="0" w:color="000000"/>
              <w:bottom w:val="double" w:sz="2" w:space="0" w:color="000000"/>
            </w:tcBorders>
          </w:tcPr>
          <w:p w14:paraId="64B0ACE6" w14:textId="77777777" w:rsidR="00FA4AA8" w:rsidRDefault="0015611F">
            <w:pPr>
              <w:pStyle w:val="TableParagraph"/>
              <w:spacing w:before="115" w:line="185" w:lineRule="exact"/>
              <w:ind w:right="370"/>
              <w:jc w:val="right"/>
              <w:rPr>
                <w:b/>
                <w:sz w:val="18"/>
              </w:rPr>
            </w:pPr>
            <w:r>
              <w:rPr>
                <w:b/>
                <w:sz w:val="18"/>
              </w:rPr>
              <w:t>62,327</w:t>
            </w:r>
          </w:p>
        </w:tc>
        <w:tc>
          <w:tcPr>
            <w:tcW w:w="1014" w:type="dxa"/>
            <w:tcBorders>
              <w:top w:val="single" w:sz="8" w:space="0" w:color="000000"/>
              <w:bottom w:val="double" w:sz="2" w:space="0" w:color="000000"/>
            </w:tcBorders>
          </w:tcPr>
          <w:p w14:paraId="68E5CF44" w14:textId="77777777" w:rsidR="00FA4AA8" w:rsidRDefault="0015611F">
            <w:pPr>
              <w:pStyle w:val="TableParagraph"/>
              <w:spacing w:before="115" w:line="185" w:lineRule="exact"/>
              <w:ind w:left="369"/>
              <w:rPr>
                <w:b/>
                <w:sz w:val="18"/>
              </w:rPr>
            </w:pPr>
            <w:r>
              <w:rPr>
                <w:b/>
                <w:sz w:val="18"/>
              </w:rPr>
              <w:t>72,593</w:t>
            </w:r>
          </w:p>
        </w:tc>
      </w:tr>
    </w:tbl>
    <w:p w14:paraId="5721B971" w14:textId="77777777" w:rsidR="00FA4AA8" w:rsidRDefault="00FA4AA8">
      <w:pPr>
        <w:spacing w:line="185" w:lineRule="exact"/>
        <w:rPr>
          <w:sz w:val="18"/>
        </w:rPr>
        <w:sectPr w:rsidR="00FA4AA8">
          <w:pgSz w:w="11910" w:h="16840"/>
          <w:pgMar w:top="2220" w:right="880" w:bottom="720" w:left="840" w:header="1016" w:footer="523" w:gutter="0"/>
          <w:cols w:space="720"/>
        </w:sectPr>
      </w:pPr>
    </w:p>
    <w:p w14:paraId="43D3FBA4" w14:textId="77777777" w:rsidR="00FA4AA8" w:rsidRDefault="00FA4AA8">
      <w:pPr>
        <w:pStyle w:val="BodyText"/>
        <w:rPr>
          <w:b/>
          <w:sz w:val="20"/>
        </w:rPr>
      </w:pPr>
    </w:p>
    <w:p w14:paraId="3669A961" w14:textId="77777777" w:rsidR="00FA4AA8" w:rsidRDefault="00FA4AA8">
      <w:pPr>
        <w:pStyle w:val="BodyText"/>
        <w:spacing w:before="10"/>
        <w:rPr>
          <w:b/>
          <w:sz w:val="29"/>
        </w:rPr>
      </w:pPr>
    </w:p>
    <w:p w14:paraId="0E93D02C" w14:textId="77777777" w:rsidR="00FA4AA8" w:rsidRDefault="0015611F">
      <w:pPr>
        <w:pStyle w:val="ListParagraph"/>
        <w:numPr>
          <w:ilvl w:val="0"/>
          <w:numId w:val="71"/>
        </w:numPr>
        <w:tabs>
          <w:tab w:val="left" w:pos="564"/>
        </w:tabs>
        <w:spacing w:before="94"/>
        <w:ind w:hanging="397"/>
        <w:rPr>
          <w:b/>
          <w:sz w:val="18"/>
        </w:rPr>
      </w:pPr>
      <w:r>
        <w:rPr>
          <w:b/>
          <w:sz w:val="18"/>
        </w:rPr>
        <w:t>Defined Benefits Plans (continued)</w:t>
      </w:r>
    </w:p>
    <w:p w14:paraId="57A5EAF8" w14:textId="77777777" w:rsidR="00FA4AA8" w:rsidRDefault="00FA4AA8">
      <w:pPr>
        <w:pStyle w:val="BodyText"/>
        <w:spacing w:before="7"/>
        <w:rPr>
          <w:b/>
          <w:sz w:val="26"/>
        </w:rPr>
      </w:pPr>
    </w:p>
    <w:p w14:paraId="133414C6" w14:textId="77777777" w:rsidR="00FA4AA8" w:rsidRDefault="0015611F">
      <w:pPr>
        <w:ind w:left="167"/>
        <w:rPr>
          <w:b/>
          <w:sz w:val="18"/>
        </w:rPr>
      </w:pPr>
      <w:r>
        <w:rPr>
          <w:b/>
          <w:sz w:val="18"/>
        </w:rPr>
        <w:t>(d) Statement of financial position amounts (continued)</w:t>
      </w:r>
    </w:p>
    <w:p w14:paraId="500D99E4" w14:textId="77777777" w:rsidR="00FA4AA8" w:rsidRDefault="00FA4AA8">
      <w:pPr>
        <w:pStyle w:val="BodyText"/>
        <w:rPr>
          <w:b/>
          <w:sz w:val="20"/>
        </w:rPr>
      </w:pPr>
    </w:p>
    <w:p w14:paraId="34D58EE1" w14:textId="77777777" w:rsidR="00FA4AA8" w:rsidRDefault="00FA4AA8">
      <w:pPr>
        <w:pStyle w:val="BodyText"/>
        <w:spacing w:before="1"/>
        <w:rPr>
          <w:b/>
        </w:rPr>
      </w:pPr>
    </w:p>
    <w:p w14:paraId="7FD7196A" w14:textId="77777777" w:rsidR="00FA4AA8" w:rsidRDefault="00FA4AA8">
      <w:pPr>
        <w:sectPr w:rsidR="00FA4AA8">
          <w:pgSz w:w="11910" w:h="16840"/>
          <w:pgMar w:top="2220" w:right="880" w:bottom="720" w:left="840" w:header="1016" w:footer="523" w:gutter="0"/>
          <w:cols w:space="720"/>
        </w:sectPr>
      </w:pPr>
    </w:p>
    <w:p w14:paraId="79F6E2E0" w14:textId="77777777" w:rsidR="00FA4AA8" w:rsidRDefault="0015611F">
      <w:pPr>
        <w:spacing w:before="95"/>
        <w:ind w:left="607" w:right="34"/>
        <w:rPr>
          <w:b/>
          <w:sz w:val="18"/>
        </w:rPr>
      </w:pPr>
      <w:r>
        <w:rPr>
          <w:b/>
          <w:sz w:val="18"/>
        </w:rPr>
        <w:t>Amounts recognised in the statement of financial position -</w:t>
      </w:r>
    </w:p>
    <w:p w14:paraId="0F6AB6D2" w14:textId="77777777" w:rsidR="00FA4AA8" w:rsidRDefault="0015611F">
      <w:pPr>
        <w:pStyle w:val="BodyText"/>
        <w:spacing w:before="4"/>
        <w:rPr>
          <w:b/>
          <w:sz w:val="20"/>
        </w:rPr>
      </w:pPr>
      <w:r>
        <w:br w:type="column"/>
      </w:r>
    </w:p>
    <w:p w14:paraId="0BF44B1E" w14:textId="77777777" w:rsidR="00FA4AA8" w:rsidRDefault="0015611F">
      <w:pPr>
        <w:ind w:left="607"/>
        <w:rPr>
          <w:b/>
          <w:sz w:val="18"/>
        </w:rPr>
      </w:pPr>
      <w:r>
        <w:rPr>
          <w:b/>
          <w:sz w:val="18"/>
        </w:rPr>
        <w:t>SASS</w:t>
      </w:r>
    </w:p>
    <w:p w14:paraId="35F2738C" w14:textId="77777777" w:rsidR="00FA4AA8" w:rsidRDefault="0015611F">
      <w:pPr>
        <w:pStyle w:val="BodyText"/>
        <w:spacing w:before="4"/>
        <w:rPr>
          <w:b/>
          <w:sz w:val="20"/>
        </w:rPr>
      </w:pPr>
      <w:r>
        <w:br w:type="column"/>
      </w:r>
    </w:p>
    <w:p w14:paraId="31479DCC" w14:textId="77777777" w:rsidR="00FA4AA8" w:rsidRDefault="0015611F">
      <w:pPr>
        <w:ind w:left="607"/>
        <w:rPr>
          <w:b/>
          <w:sz w:val="18"/>
        </w:rPr>
      </w:pPr>
      <w:r>
        <w:rPr>
          <w:b/>
          <w:sz w:val="18"/>
        </w:rPr>
        <w:t>SANCS</w:t>
      </w:r>
    </w:p>
    <w:p w14:paraId="237D7015" w14:textId="77777777" w:rsidR="00FA4AA8" w:rsidRDefault="0015611F">
      <w:pPr>
        <w:pStyle w:val="BodyText"/>
        <w:spacing w:before="4"/>
        <w:rPr>
          <w:b/>
          <w:sz w:val="20"/>
        </w:rPr>
      </w:pPr>
      <w:r>
        <w:br w:type="column"/>
      </w:r>
    </w:p>
    <w:p w14:paraId="1E41885C" w14:textId="77777777" w:rsidR="00FA4AA8" w:rsidRDefault="0015611F">
      <w:pPr>
        <w:ind w:left="607"/>
        <w:rPr>
          <w:b/>
          <w:sz w:val="18"/>
        </w:rPr>
      </w:pPr>
      <w:r>
        <w:rPr>
          <w:b/>
          <w:sz w:val="18"/>
        </w:rPr>
        <w:t>SSS</w:t>
      </w:r>
    </w:p>
    <w:p w14:paraId="5318E3C6" w14:textId="77777777" w:rsidR="00FA4AA8" w:rsidRDefault="0015611F">
      <w:pPr>
        <w:pStyle w:val="BodyText"/>
        <w:spacing w:before="4"/>
        <w:rPr>
          <w:b/>
          <w:sz w:val="20"/>
        </w:rPr>
      </w:pPr>
      <w:r>
        <w:br w:type="column"/>
      </w:r>
    </w:p>
    <w:p w14:paraId="7CE6FF2A" w14:textId="77777777" w:rsidR="00FA4AA8" w:rsidRDefault="0015611F">
      <w:pPr>
        <w:ind w:left="590" w:right="504"/>
        <w:jc w:val="center"/>
        <w:rPr>
          <w:b/>
          <w:sz w:val="18"/>
        </w:rPr>
      </w:pPr>
      <w:r>
        <w:rPr>
          <w:b/>
          <w:sz w:val="18"/>
        </w:rPr>
        <w:t>Total</w:t>
      </w:r>
    </w:p>
    <w:p w14:paraId="44D7DF1A" w14:textId="77777777" w:rsidR="00FA4AA8" w:rsidRDefault="00FA4AA8">
      <w:pPr>
        <w:jc w:val="center"/>
        <w:rPr>
          <w:sz w:val="18"/>
        </w:rPr>
        <w:sectPr w:rsidR="00FA4AA8">
          <w:type w:val="continuous"/>
          <w:pgSz w:w="11910" w:h="16840"/>
          <w:pgMar w:top="20" w:right="880" w:bottom="0" w:left="840" w:header="720" w:footer="720" w:gutter="0"/>
          <w:cols w:num="5" w:space="720" w:equalWidth="0">
            <w:col w:w="3372" w:space="1340"/>
            <w:col w:w="1134" w:space="92"/>
            <w:col w:w="1273" w:space="154"/>
            <w:col w:w="1008" w:space="253"/>
            <w:col w:w="1564"/>
          </w:cols>
        </w:sectPr>
      </w:pPr>
    </w:p>
    <w:tbl>
      <w:tblPr>
        <w:tblW w:w="0" w:type="auto"/>
        <w:tblInd w:w="564" w:type="dxa"/>
        <w:tblLayout w:type="fixed"/>
        <w:tblCellMar>
          <w:left w:w="0" w:type="dxa"/>
          <w:right w:w="0" w:type="dxa"/>
        </w:tblCellMar>
        <w:tblLook w:val="01E0" w:firstRow="1" w:lastRow="1" w:firstColumn="1" w:lastColumn="1" w:noHBand="0" w:noVBand="0"/>
      </w:tblPr>
      <w:tblGrid>
        <w:gridCol w:w="3395"/>
        <w:gridCol w:w="939"/>
        <w:gridCol w:w="1475"/>
        <w:gridCol w:w="1296"/>
        <w:gridCol w:w="1296"/>
        <w:gridCol w:w="1117"/>
      </w:tblGrid>
      <w:tr w:rsidR="00FA4AA8" w14:paraId="586CE26E" w14:textId="77777777">
        <w:trPr>
          <w:trHeight w:val="788"/>
        </w:trPr>
        <w:tc>
          <w:tcPr>
            <w:tcW w:w="3395" w:type="dxa"/>
          </w:tcPr>
          <w:p w14:paraId="2896B134" w14:textId="77777777" w:rsidR="00FA4AA8" w:rsidRDefault="0015611F">
            <w:pPr>
              <w:pStyle w:val="TableParagraph"/>
              <w:spacing w:line="201" w:lineRule="exact"/>
              <w:ind w:left="50"/>
              <w:rPr>
                <w:b/>
                <w:sz w:val="18"/>
              </w:rPr>
            </w:pPr>
            <w:r>
              <w:rPr>
                <w:b/>
                <w:sz w:val="18"/>
              </w:rPr>
              <w:t>2017</w:t>
            </w:r>
          </w:p>
          <w:p w14:paraId="3818D9AE" w14:textId="77777777" w:rsidR="00FA4AA8" w:rsidRDefault="0015611F">
            <w:pPr>
              <w:pStyle w:val="TableParagraph"/>
              <w:spacing w:before="146"/>
              <w:ind w:left="50"/>
              <w:rPr>
                <w:b/>
                <w:sz w:val="18"/>
              </w:rPr>
            </w:pPr>
            <w:r>
              <w:rPr>
                <w:b/>
                <w:sz w:val="18"/>
              </w:rPr>
              <w:t>Liabilities</w:t>
            </w:r>
          </w:p>
          <w:p w14:paraId="2C63AE1F" w14:textId="77777777" w:rsidR="00FA4AA8" w:rsidRDefault="0015611F">
            <w:pPr>
              <w:pStyle w:val="TableParagraph"/>
              <w:spacing w:before="25" w:line="188" w:lineRule="exact"/>
              <w:ind w:left="50"/>
              <w:rPr>
                <w:sz w:val="18"/>
              </w:rPr>
            </w:pPr>
            <w:r>
              <w:rPr>
                <w:sz w:val="18"/>
              </w:rPr>
              <w:t>Provision for deferred government</w:t>
            </w:r>
          </w:p>
        </w:tc>
        <w:tc>
          <w:tcPr>
            <w:tcW w:w="939" w:type="dxa"/>
          </w:tcPr>
          <w:p w14:paraId="071BA0CD" w14:textId="77777777" w:rsidR="00FA4AA8" w:rsidRDefault="0015611F">
            <w:pPr>
              <w:pStyle w:val="TableParagraph"/>
              <w:spacing w:line="201" w:lineRule="exact"/>
              <w:ind w:left="438" w:right="60"/>
              <w:jc w:val="center"/>
              <w:rPr>
                <w:b/>
                <w:sz w:val="18"/>
              </w:rPr>
            </w:pPr>
            <w:r>
              <w:rPr>
                <w:b/>
                <w:sz w:val="18"/>
              </w:rPr>
              <w:t>Note</w:t>
            </w:r>
          </w:p>
        </w:tc>
        <w:tc>
          <w:tcPr>
            <w:tcW w:w="1475" w:type="dxa"/>
          </w:tcPr>
          <w:p w14:paraId="49F47B2A" w14:textId="77777777" w:rsidR="00FA4AA8" w:rsidRDefault="0015611F">
            <w:pPr>
              <w:pStyle w:val="TableParagraph"/>
              <w:spacing w:line="201" w:lineRule="exact"/>
              <w:ind w:left="446"/>
              <w:rPr>
                <w:b/>
                <w:sz w:val="18"/>
              </w:rPr>
            </w:pPr>
            <w:r>
              <w:rPr>
                <w:b/>
                <w:sz w:val="18"/>
              </w:rPr>
              <w:t>$'000</w:t>
            </w:r>
          </w:p>
        </w:tc>
        <w:tc>
          <w:tcPr>
            <w:tcW w:w="1296" w:type="dxa"/>
          </w:tcPr>
          <w:p w14:paraId="4325D7EB" w14:textId="77777777" w:rsidR="00FA4AA8" w:rsidRDefault="0015611F">
            <w:pPr>
              <w:pStyle w:val="TableParagraph"/>
              <w:spacing w:line="201" w:lineRule="exact"/>
              <w:ind w:left="267"/>
              <w:rPr>
                <w:b/>
                <w:sz w:val="18"/>
              </w:rPr>
            </w:pPr>
            <w:r>
              <w:rPr>
                <w:b/>
                <w:sz w:val="18"/>
              </w:rPr>
              <w:t>$'000</w:t>
            </w:r>
          </w:p>
        </w:tc>
        <w:tc>
          <w:tcPr>
            <w:tcW w:w="1296" w:type="dxa"/>
          </w:tcPr>
          <w:p w14:paraId="1DD92E29" w14:textId="77777777" w:rsidR="00FA4AA8" w:rsidRDefault="0015611F">
            <w:pPr>
              <w:pStyle w:val="TableParagraph"/>
              <w:spacing w:line="201" w:lineRule="exact"/>
              <w:ind w:left="267"/>
              <w:rPr>
                <w:b/>
                <w:sz w:val="18"/>
              </w:rPr>
            </w:pPr>
            <w:r>
              <w:rPr>
                <w:b/>
                <w:sz w:val="18"/>
              </w:rPr>
              <w:t>$'000</w:t>
            </w:r>
          </w:p>
        </w:tc>
        <w:tc>
          <w:tcPr>
            <w:tcW w:w="1117" w:type="dxa"/>
          </w:tcPr>
          <w:p w14:paraId="2FCCA1EE" w14:textId="77777777" w:rsidR="00FA4AA8" w:rsidRDefault="0015611F">
            <w:pPr>
              <w:pStyle w:val="TableParagraph"/>
              <w:spacing w:line="201" w:lineRule="exact"/>
              <w:ind w:left="267"/>
              <w:rPr>
                <w:b/>
                <w:sz w:val="18"/>
              </w:rPr>
            </w:pPr>
            <w:r>
              <w:rPr>
                <w:b/>
                <w:sz w:val="18"/>
              </w:rPr>
              <w:t>$'000</w:t>
            </w:r>
          </w:p>
        </w:tc>
      </w:tr>
      <w:tr w:rsidR="00FA4AA8" w14:paraId="6C8DBF67" w14:textId="77777777">
        <w:trPr>
          <w:trHeight w:val="227"/>
        </w:trPr>
        <w:tc>
          <w:tcPr>
            <w:tcW w:w="3395" w:type="dxa"/>
          </w:tcPr>
          <w:p w14:paraId="64376DED" w14:textId="77777777" w:rsidR="00FA4AA8" w:rsidRDefault="0015611F">
            <w:pPr>
              <w:pStyle w:val="TableParagraph"/>
              <w:spacing w:line="205" w:lineRule="exact"/>
              <w:ind w:left="50"/>
              <w:rPr>
                <w:sz w:val="18"/>
              </w:rPr>
            </w:pPr>
            <w:r>
              <w:rPr>
                <w:sz w:val="18"/>
              </w:rPr>
              <w:t>benefits for superannuation</w:t>
            </w:r>
          </w:p>
        </w:tc>
        <w:tc>
          <w:tcPr>
            <w:tcW w:w="939" w:type="dxa"/>
          </w:tcPr>
          <w:p w14:paraId="3D810061" w14:textId="77777777" w:rsidR="00FA4AA8" w:rsidRDefault="0015611F">
            <w:pPr>
              <w:pStyle w:val="TableParagraph"/>
              <w:spacing w:line="205" w:lineRule="exact"/>
              <w:ind w:left="437" w:right="60"/>
              <w:jc w:val="center"/>
              <w:rPr>
                <w:sz w:val="18"/>
              </w:rPr>
            </w:pPr>
            <w:r>
              <w:rPr>
                <w:sz w:val="18"/>
              </w:rPr>
              <w:t>25</w:t>
            </w:r>
          </w:p>
        </w:tc>
        <w:tc>
          <w:tcPr>
            <w:tcW w:w="1475" w:type="dxa"/>
            <w:tcBorders>
              <w:bottom w:val="single" w:sz="8" w:space="0" w:color="000000"/>
            </w:tcBorders>
          </w:tcPr>
          <w:p w14:paraId="18F85691" w14:textId="77777777" w:rsidR="00FA4AA8" w:rsidRDefault="0015611F">
            <w:pPr>
              <w:pStyle w:val="TableParagraph"/>
              <w:spacing w:line="203" w:lineRule="exact"/>
              <w:ind w:right="266"/>
              <w:jc w:val="right"/>
              <w:rPr>
                <w:sz w:val="18"/>
              </w:rPr>
            </w:pPr>
            <w:r>
              <w:rPr>
                <w:sz w:val="18"/>
              </w:rPr>
              <w:t>12,900</w:t>
            </w:r>
          </w:p>
        </w:tc>
        <w:tc>
          <w:tcPr>
            <w:tcW w:w="1296" w:type="dxa"/>
            <w:tcBorders>
              <w:bottom w:val="single" w:sz="8" w:space="0" w:color="000000"/>
            </w:tcBorders>
          </w:tcPr>
          <w:p w14:paraId="0A1DBD8A" w14:textId="77777777" w:rsidR="00FA4AA8" w:rsidRDefault="0015611F">
            <w:pPr>
              <w:pStyle w:val="TableParagraph"/>
              <w:spacing w:line="203" w:lineRule="exact"/>
              <w:ind w:right="266"/>
              <w:jc w:val="right"/>
              <w:rPr>
                <w:sz w:val="18"/>
              </w:rPr>
            </w:pPr>
            <w:r>
              <w:rPr>
                <w:sz w:val="18"/>
              </w:rPr>
              <w:t>4,331</w:t>
            </w:r>
          </w:p>
        </w:tc>
        <w:tc>
          <w:tcPr>
            <w:tcW w:w="1296" w:type="dxa"/>
            <w:tcBorders>
              <w:bottom w:val="single" w:sz="8" w:space="0" w:color="000000"/>
            </w:tcBorders>
          </w:tcPr>
          <w:p w14:paraId="31FD07D6" w14:textId="77777777" w:rsidR="00FA4AA8" w:rsidRDefault="0015611F">
            <w:pPr>
              <w:pStyle w:val="TableParagraph"/>
              <w:spacing w:line="203" w:lineRule="exact"/>
              <w:ind w:right="266"/>
              <w:jc w:val="right"/>
              <w:rPr>
                <w:sz w:val="18"/>
              </w:rPr>
            </w:pPr>
            <w:r>
              <w:rPr>
                <w:sz w:val="18"/>
              </w:rPr>
              <w:t>337,691</w:t>
            </w:r>
          </w:p>
        </w:tc>
        <w:tc>
          <w:tcPr>
            <w:tcW w:w="1117" w:type="dxa"/>
            <w:tcBorders>
              <w:bottom w:val="single" w:sz="8" w:space="0" w:color="000000"/>
            </w:tcBorders>
          </w:tcPr>
          <w:p w14:paraId="53227921" w14:textId="77777777" w:rsidR="00FA4AA8" w:rsidRDefault="0015611F">
            <w:pPr>
              <w:pStyle w:val="TableParagraph"/>
              <w:spacing w:line="203" w:lineRule="exact"/>
              <w:ind w:right="87"/>
              <w:jc w:val="right"/>
              <w:rPr>
                <w:sz w:val="18"/>
              </w:rPr>
            </w:pPr>
            <w:r>
              <w:rPr>
                <w:sz w:val="18"/>
              </w:rPr>
              <w:t>354,922</w:t>
            </w:r>
          </w:p>
        </w:tc>
      </w:tr>
      <w:tr w:rsidR="00FA4AA8" w14:paraId="144ED83E" w14:textId="77777777">
        <w:trPr>
          <w:trHeight w:val="324"/>
        </w:trPr>
        <w:tc>
          <w:tcPr>
            <w:tcW w:w="3395" w:type="dxa"/>
          </w:tcPr>
          <w:p w14:paraId="14F4B926" w14:textId="77777777" w:rsidR="00FA4AA8" w:rsidRDefault="0015611F">
            <w:pPr>
              <w:pStyle w:val="TableParagraph"/>
              <w:spacing w:before="115" w:line="190" w:lineRule="exact"/>
              <w:ind w:left="50"/>
              <w:rPr>
                <w:b/>
                <w:sz w:val="18"/>
              </w:rPr>
            </w:pPr>
            <w:r>
              <w:rPr>
                <w:b/>
                <w:sz w:val="18"/>
              </w:rPr>
              <w:t>Total liabilities recognised in the</w:t>
            </w:r>
          </w:p>
        </w:tc>
        <w:tc>
          <w:tcPr>
            <w:tcW w:w="939" w:type="dxa"/>
          </w:tcPr>
          <w:p w14:paraId="0B6F9B7C" w14:textId="77777777" w:rsidR="00FA4AA8" w:rsidRDefault="00FA4AA8">
            <w:pPr>
              <w:pStyle w:val="TableParagraph"/>
              <w:rPr>
                <w:rFonts w:ascii="Times New Roman"/>
                <w:sz w:val="18"/>
              </w:rPr>
            </w:pPr>
          </w:p>
        </w:tc>
        <w:tc>
          <w:tcPr>
            <w:tcW w:w="1475" w:type="dxa"/>
            <w:tcBorders>
              <w:top w:val="single" w:sz="8" w:space="0" w:color="000000"/>
            </w:tcBorders>
          </w:tcPr>
          <w:p w14:paraId="53AC8BC2" w14:textId="77777777" w:rsidR="00FA4AA8" w:rsidRDefault="00FA4AA8">
            <w:pPr>
              <w:pStyle w:val="TableParagraph"/>
              <w:rPr>
                <w:rFonts w:ascii="Times New Roman"/>
                <w:sz w:val="18"/>
              </w:rPr>
            </w:pPr>
          </w:p>
        </w:tc>
        <w:tc>
          <w:tcPr>
            <w:tcW w:w="1296" w:type="dxa"/>
            <w:tcBorders>
              <w:top w:val="single" w:sz="8" w:space="0" w:color="000000"/>
            </w:tcBorders>
          </w:tcPr>
          <w:p w14:paraId="1D7A75A8" w14:textId="77777777" w:rsidR="00FA4AA8" w:rsidRDefault="00FA4AA8">
            <w:pPr>
              <w:pStyle w:val="TableParagraph"/>
              <w:rPr>
                <w:rFonts w:ascii="Times New Roman"/>
                <w:sz w:val="18"/>
              </w:rPr>
            </w:pPr>
          </w:p>
        </w:tc>
        <w:tc>
          <w:tcPr>
            <w:tcW w:w="1296" w:type="dxa"/>
            <w:tcBorders>
              <w:top w:val="single" w:sz="8" w:space="0" w:color="000000"/>
            </w:tcBorders>
          </w:tcPr>
          <w:p w14:paraId="7E00823F" w14:textId="77777777" w:rsidR="00FA4AA8" w:rsidRDefault="00FA4AA8">
            <w:pPr>
              <w:pStyle w:val="TableParagraph"/>
              <w:rPr>
                <w:rFonts w:ascii="Times New Roman"/>
                <w:sz w:val="18"/>
              </w:rPr>
            </w:pPr>
          </w:p>
        </w:tc>
        <w:tc>
          <w:tcPr>
            <w:tcW w:w="1117" w:type="dxa"/>
            <w:tcBorders>
              <w:top w:val="single" w:sz="8" w:space="0" w:color="000000"/>
            </w:tcBorders>
          </w:tcPr>
          <w:p w14:paraId="7491B161" w14:textId="77777777" w:rsidR="00FA4AA8" w:rsidRDefault="00FA4AA8">
            <w:pPr>
              <w:pStyle w:val="TableParagraph"/>
              <w:rPr>
                <w:rFonts w:ascii="Times New Roman"/>
                <w:sz w:val="18"/>
              </w:rPr>
            </w:pPr>
          </w:p>
        </w:tc>
      </w:tr>
      <w:tr w:rsidR="00FA4AA8" w14:paraId="2EA199FC" w14:textId="77777777">
        <w:trPr>
          <w:trHeight w:val="200"/>
        </w:trPr>
        <w:tc>
          <w:tcPr>
            <w:tcW w:w="3395" w:type="dxa"/>
          </w:tcPr>
          <w:p w14:paraId="2FCA7BB2" w14:textId="77777777" w:rsidR="00FA4AA8" w:rsidRDefault="0015611F">
            <w:pPr>
              <w:pStyle w:val="TableParagraph"/>
              <w:spacing w:line="180" w:lineRule="exact"/>
              <w:ind w:left="50"/>
              <w:rPr>
                <w:b/>
                <w:sz w:val="18"/>
              </w:rPr>
            </w:pPr>
            <w:r>
              <w:rPr>
                <w:b/>
                <w:sz w:val="18"/>
              </w:rPr>
              <w:t>statement of financial position</w:t>
            </w:r>
          </w:p>
        </w:tc>
        <w:tc>
          <w:tcPr>
            <w:tcW w:w="939" w:type="dxa"/>
          </w:tcPr>
          <w:p w14:paraId="05F825D9" w14:textId="77777777" w:rsidR="00FA4AA8" w:rsidRDefault="00FA4AA8">
            <w:pPr>
              <w:pStyle w:val="TableParagraph"/>
              <w:rPr>
                <w:rFonts w:ascii="Times New Roman"/>
                <w:sz w:val="12"/>
              </w:rPr>
            </w:pPr>
          </w:p>
        </w:tc>
        <w:tc>
          <w:tcPr>
            <w:tcW w:w="1475" w:type="dxa"/>
            <w:tcBorders>
              <w:bottom w:val="single" w:sz="8" w:space="0" w:color="000000"/>
            </w:tcBorders>
          </w:tcPr>
          <w:p w14:paraId="1BD0A291" w14:textId="77777777" w:rsidR="00FA4AA8" w:rsidRDefault="0015611F">
            <w:pPr>
              <w:pStyle w:val="TableParagraph"/>
              <w:spacing w:line="180" w:lineRule="exact"/>
              <w:ind w:right="266"/>
              <w:jc w:val="right"/>
              <w:rPr>
                <w:sz w:val="18"/>
              </w:rPr>
            </w:pPr>
            <w:r>
              <w:rPr>
                <w:sz w:val="18"/>
              </w:rPr>
              <w:t>12,900</w:t>
            </w:r>
          </w:p>
        </w:tc>
        <w:tc>
          <w:tcPr>
            <w:tcW w:w="1296" w:type="dxa"/>
            <w:tcBorders>
              <w:bottom w:val="single" w:sz="8" w:space="0" w:color="000000"/>
            </w:tcBorders>
          </w:tcPr>
          <w:p w14:paraId="2DF95903" w14:textId="77777777" w:rsidR="00FA4AA8" w:rsidRDefault="0015611F">
            <w:pPr>
              <w:pStyle w:val="TableParagraph"/>
              <w:spacing w:line="180" w:lineRule="exact"/>
              <w:ind w:right="266"/>
              <w:jc w:val="right"/>
              <w:rPr>
                <w:sz w:val="18"/>
              </w:rPr>
            </w:pPr>
            <w:r>
              <w:rPr>
                <w:sz w:val="18"/>
              </w:rPr>
              <w:t>4,331</w:t>
            </w:r>
          </w:p>
        </w:tc>
        <w:tc>
          <w:tcPr>
            <w:tcW w:w="1296" w:type="dxa"/>
            <w:tcBorders>
              <w:bottom w:val="single" w:sz="8" w:space="0" w:color="000000"/>
            </w:tcBorders>
          </w:tcPr>
          <w:p w14:paraId="51D894BE" w14:textId="77777777" w:rsidR="00FA4AA8" w:rsidRDefault="0015611F">
            <w:pPr>
              <w:pStyle w:val="TableParagraph"/>
              <w:spacing w:line="180" w:lineRule="exact"/>
              <w:ind w:right="266"/>
              <w:jc w:val="right"/>
              <w:rPr>
                <w:sz w:val="18"/>
              </w:rPr>
            </w:pPr>
            <w:r>
              <w:rPr>
                <w:sz w:val="18"/>
              </w:rPr>
              <w:t>337,691</w:t>
            </w:r>
          </w:p>
        </w:tc>
        <w:tc>
          <w:tcPr>
            <w:tcW w:w="1117" w:type="dxa"/>
            <w:tcBorders>
              <w:bottom w:val="single" w:sz="8" w:space="0" w:color="000000"/>
            </w:tcBorders>
          </w:tcPr>
          <w:p w14:paraId="7CCF0FE4" w14:textId="77777777" w:rsidR="00FA4AA8" w:rsidRDefault="0015611F">
            <w:pPr>
              <w:pStyle w:val="TableParagraph"/>
              <w:spacing w:line="180" w:lineRule="exact"/>
              <w:ind w:right="87"/>
              <w:jc w:val="right"/>
              <w:rPr>
                <w:sz w:val="18"/>
              </w:rPr>
            </w:pPr>
            <w:r>
              <w:rPr>
                <w:sz w:val="18"/>
              </w:rPr>
              <w:t>354,922</w:t>
            </w:r>
          </w:p>
        </w:tc>
      </w:tr>
      <w:tr w:rsidR="00FA4AA8" w14:paraId="7EBCE25E" w14:textId="77777777">
        <w:trPr>
          <w:trHeight w:val="337"/>
        </w:trPr>
        <w:tc>
          <w:tcPr>
            <w:tcW w:w="3395" w:type="dxa"/>
          </w:tcPr>
          <w:p w14:paraId="089D31A4" w14:textId="77777777" w:rsidR="00FA4AA8" w:rsidRDefault="0015611F">
            <w:pPr>
              <w:pStyle w:val="TableParagraph"/>
              <w:spacing w:before="115" w:line="203" w:lineRule="exact"/>
              <w:ind w:left="50"/>
              <w:rPr>
                <w:b/>
                <w:sz w:val="18"/>
              </w:rPr>
            </w:pPr>
            <w:r>
              <w:rPr>
                <w:b/>
                <w:sz w:val="18"/>
              </w:rPr>
              <w:t>Assets</w:t>
            </w:r>
          </w:p>
        </w:tc>
        <w:tc>
          <w:tcPr>
            <w:tcW w:w="939" w:type="dxa"/>
          </w:tcPr>
          <w:p w14:paraId="118612EF" w14:textId="77777777" w:rsidR="00FA4AA8" w:rsidRDefault="00FA4AA8">
            <w:pPr>
              <w:pStyle w:val="TableParagraph"/>
              <w:rPr>
                <w:rFonts w:ascii="Times New Roman"/>
                <w:sz w:val="18"/>
              </w:rPr>
            </w:pPr>
          </w:p>
        </w:tc>
        <w:tc>
          <w:tcPr>
            <w:tcW w:w="1475" w:type="dxa"/>
            <w:tcBorders>
              <w:top w:val="single" w:sz="8" w:space="0" w:color="000000"/>
            </w:tcBorders>
          </w:tcPr>
          <w:p w14:paraId="5F9110B2" w14:textId="77777777" w:rsidR="00FA4AA8" w:rsidRDefault="00FA4AA8">
            <w:pPr>
              <w:pStyle w:val="TableParagraph"/>
              <w:rPr>
                <w:rFonts w:ascii="Times New Roman"/>
                <w:sz w:val="18"/>
              </w:rPr>
            </w:pPr>
          </w:p>
        </w:tc>
        <w:tc>
          <w:tcPr>
            <w:tcW w:w="1296" w:type="dxa"/>
            <w:tcBorders>
              <w:top w:val="single" w:sz="8" w:space="0" w:color="000000"/>
            </w:tcBorders>
          </w:tcPr>
          <w:p w14:paraId="5B3A6D81" w14:textId="77777777" w:rsidR="00FA4AA8" w:rsidRDefault="00FA4AA8">
            <w:pPr>
              <w:pStyle w:val="TableParagraph"/>
              <w:rPr>
                <w:rFonts w:ascii="Times New Roman"/>
                <w:sz w:val="18"/>
              </w:rPr>
            </w:pPr>
          </w:p>
        </w:tc>
        <w:tc>
          <w:tcPr>
            <w:tcW w:w="1296" w:type="dxa"/>
            <w:tcBorders>
              <w:top w:val="single" w:sz="8" w:space="0" w:color="000000"/>
            </w:tcBorders>
          </w:tcPr>
          <w:p w14:paraId="6B87DCD4" w14:textId="77777777" w:rsidR="00FA4AA8" w:rsidRDefault="00FA4AA8">
            <w:pPr>
              <w:pStyle w:val="TableParagraph"/>
              <w:rPr>
                <w:rFonts w:ascii="Times New Roman"/>
                <w:sz w:val="18"/>
              </w:rPr>
            </w:pPr>
          </w:p>
        </w:tc>
        <w:tc>
          <w:tcPr>
            <w:tcW w:w="1117" w:type="dxa"/>
            <w:tcBorders>
              <w:top w:val="single" w:sz="8" w:space="0" w:color="000000"/>
            </w:tcBorders>
          </w:tcPr>
          <w:p w14:paraId="562FB197" w14:textId="77777777" w:rsidR="00FA4AA8" w:rsidRDefault="00FA4AA8">
            <w:pPr>
              <w:pStyle w:val="TableParagraph"/>
              <w:rPr>
                <w:rFonts w:ascii="Times New Roman"/>
                <w:sz w:val="18"/>
              </w:rPr>
            </w:pPr>
          </w:p>
        </w:tc>
      </w:tr>
      <w:tr w:rsidR="00FA4AA8" w14:paraId="46385120" w14:textId="77777777">
        <w:trPr>
          <w:trHeight w:val="446"/>
        </w:trPr>
        <w:tc>
          <w:tcPr>
            <w:tcW w:w="3395" w:type="dxa"/>
          </w:tcPr>
          <w:p w14:paraId="2F451B4C" w14:textId="77777777" w:rsidR="00FA4AA8" w:rsidRDefault="0015611F">
            <w:pPr>
              <w:pStyle w:val="TableParagraph"/>
              <w:spacing w:before="10"/>
              <w:ind w:left="50" w:right="453"/>
              <w:rPr>
                <w:sz w:val="18"/>
              </w:rPr>
            </w:pPr>
            <w:r>
              <w:rPr>
                <w:sz w:val="18"/>
              </w:rPr>
              <w:t>Receivable for deferred government benefit for superannuation</w:t>
            </w:r>
          </w:p>
        </w:tc>
        <w:tc>
          <w:tcPr>
            <w:tcW w:w="939" w:type="dxa"/>
          </w:tcPr>
          <w:p w14:paraId="093502DC" w14:textId="77777777" w:rsidR="00FA4AA8" w:rsidRDefault="00FA4AA8">
            <w:pPr>
              <w:pStyle w:val="TableParagraph"/>
              <w:spacing w:before="9"/>
              <w:rPr>
                <w:b/>
                <w:sz w:val="18"/>
              </w:rPr>
            </w:pPr>
          </w:p>
          <w:p w14:paraId="51BB7A01" w14:textId="77777777" w:rsidR="00FA4AA8" w:rsidRDefault="0015611F">
            <w:pPr>
              <w:pStyle w:val="TableParagraph"/>
              <w:ind w:left="437" w:right="60"/>
              <w:jc w:val="center"/>
              <w:rPr>
                <w:sz w:val="18"/>
              </w:rPr>
            </w:pPr>
            <w:r>
              <w:rPr>
                <w:sz w:val="18"/>
              </w:rPr>
              <w:t>17</w:t>
            </w:r>
          </w:p>
        </w:tc>
        <w:tc>
          <w:tcPr>
            <w:tcW w:w="1475" w:type="dxa"/>
            <w:tcBorders>
              <w:bottom w:val="single" w:sz="8" w:space="0" w:color="000000"/>
            </w:tcBorders>
          </w:tcPr>
          <w:p w14:paraId="2044482A" w14:textId="77777777" w:rsidR="00FA4AA8" w:rsidRDefault="00FA4AA8">
            <w:pPr>
              <w:pStyle w:val="TableParagraph"/>
              <w:spacing w:before="6"/>
              <w:rPr>
                <w:b/>
                <w:sz w:val="18"/>
              </w:rPr>
            </w:pPr>
          </w:p>
          <w:p w14:paraId="769137E4" w14:textId="77777777" w:rsidR="00FA4AA8" w:rsidRDefault="0015611F">
            <w:pPr>
              <w:pStyle w:val="TableParagraph"/>
              <w:spacing w:before="1"/>
              <w:ind w:right="266"/>
              <w:jc w:val="right"/>
              <w:rPr>
                <w:sz w:val="18"/>
              </w:rPr>
            </w:pPr>
            <w:r>
              <w:rPr>
                <w:sz w:val="18"/>
              </w:rPr>
              <w:t>10,935</w:t>
            </w:r>
          </w:p>
        </w:tc>
        <w:tc>
          <w:tcPr>
            <w:tcW w:w="1296" w:type="dxa"/>
            <w:tcBorders>
              <w:bottom w:val="single" w:sz="8" w:space="0" w:color="000000"/>
            </w:tcBorders>
          </w:tcPr>
          <w:p w14:paraId="3C1A0E5B" w14:textId="77777777" w:rsidR="00FA4AA8" w:rsidRDefault="00FA4AA8">
            <w:pPr>
              <w:pStyle w:val="TableParagraph"/>
              <w:spacing w:before="6"/>
              <w:rPr>
                <w:b/>
                <w:sz w:val="18"/>
              </w:rPr>
            </w:pPr>
          </w:p>
          <w:p w14:paraId="4EA57B85" w14:textId="77777777" w:rsidR="00FA4AA8" w:rsidRDefault="0015611F">
            <w:pPr>
              <w:pStyle w:val="TableParagraph"/>
              <w:spacing w:before="1"/>
              <w:ind w:right="266"/>
              <w:jc w:val="right"/>
              <w:rPr>
                <w:sz w:val="18"/>
              </w:rPr>
            </w:pPr>
            <w:r>
              <w:rPr>
                <w:sz w:val="18"/>
              </w:rPr>
              <w:t>3,858</w:t>
            </w:r>
          </w:p>
        </w:tc>
        <w:tc>
          <w:tcPr>
            <w:tcW w:w="1296" w:type="dxa"/>
            <w:tcBorders>
              <w:bottom w:val="single" w:sz="8" w:space="0" w:color="000000"/>
            </w:tcBorders>
          </w:tcPr>
          <w:p w14:paraId="3D807B94" w14:textId="77777777" w:rsidR="00FA4AA8" w:rsidRDefault="00FA4AA8">
            <w:pPr>
              <w:pStyle w:val="TableParagraph"/>
              <w:spacing w:before="6"/>
              <w:rPr>
                <w:b/>
                <w:sz w:val="18"/>
              </w:rPr>
            </w:pPr>
          </w:p>
          <w:p w14:paraId="0511A394" w14:textId="77777777" w:rsidR="00FA4AA8" w:rsidRDefault="0015611F">
            <w:pPr>
              <w:pStyle w:val="TableParagraph"/>
              <w:spacing w:before="1"/>
              <w:ind w:right="266"/>
              <w:jc w:val="right"/>
              <w:rPr>
                <w:sz w:val="18"/>
              </w:rPr>
            </w:pPr>
            <w:r>
              <w:rPr>
                <w:sz w:val="18"/>
              </w:rPr>
              <w:t>330,910</w:t>
            </w:r>
          </w:p>
        </w:tc>
        <w:tc>
          <w:tcPr>
            <w:tcW w:w="1117" w:type="dxa"/>
            <w:tcBorders>
              <w:bottom w:val="single" w:sz="8" w:space="0" w:color="000000"/>
            </w:tcBorders>
          </w:tcPr>
          <w:p w14:paraId="10BD0AD5" w14:textId="77777777" w:rsidR="00FA4AA8" w:rsidRDefault="00FA4AA8">
            <w:pPr>
              <w:pStyle w:val="TableParagraph"/>
              <w:spacing w:before="6"/>
              <w:rPr>
                <w:b/>
                <w:sz w:val="18"/>
              </w:rPr>
            </w:pPr>
          </w:p>
          <w:p w14:paraId="3F554B58" w14:textId="77777777" w:rsidR="00FA4AA8" w:rsidRDefault="0015611F">
            <w:pPr>
              <w:pStyle w:val="TableParagraph"/>
              <w:spacing w:before="1"/>
              <w:ind w:right="87"/>
              <w:jc w:val="right"/>
              <w:rPr>
                <w:sz w:val="18"/>
              </w:rPr>
            </w:pPr>
            <w:r>
              <w:rPr>
                <w:sz w:val="18"/>
              </w:rPr>
              <w:t>345,703</w:t>
            </w:r>
          </w:p>
        </w:tc>
      </w:tr>
      <w:tr w:rsidR="00FA4AA8" w14:paraId="155201DB" w14:textId="77777777">
        <w:trPr>
          <w:trHeight w:val="324"/>
        </w:trPr>
        <w:tc>
          <w:tcPr>
            <w:tcW w:w="3395" w:type="dxa"/>
          </w:tcPr>
          <w:p w14:paraId="798D1083" w14:textId="77777777" w:rsidR="00FA4AA8" w:rsidRDefault="0015611F">
            <w:pPr>
              <w:pStyle w:val="TableParagraph"/>
              <w:spacing w:before="115" w:line="190" w:lineRule="exact"/>
              <w:ind w:left="50"/>
              <w:rPr>
                <w:b/>
                <w:sz w:val="18"/>
              </w:rPr>
            </w:pPr>
            <w:r>
              <w:rPr>
                <w:b/>
                <w:sz w:val="18"/>
              </w:rPr>
              <w:t>Total assets recognised in the</w:t>
            </w:r>
          </w:p>
        </w:tc>
        <w:tc>
          <w:tcPr>
            <w:tcW w:w="939" w:type="dxa"/>
          </w:tcPr>
          <w:p w14:paraId="33BF7444" w14:textId="77777777" w:rsidR="00FA4AA8" w:rsidRDefault="00FA4AA8">
            <w:pPr>
              <w:pStyle w:val="TableParagraph"/>
              <w:rPr>
                <w:rFonts w:ascii="Times New Roman"/>
                <w:sz w:val="18"/>
              </w:rPr>
            </w:pPr>
          </w:p>
        </w:tc>
        <w:tc>
          <w:tcPr>
            <w:tcW w:w="1475" w:type="dxa"/>
            <w:tcBorders>
              <w:top w:val="single" w:sz="8" w:space="0" w:color="000000"/>
            </w:tcBorders>
          </w:tcPr>
          <w:p w14:paraId="52DC2626" w14:textId="77777777" w:rsidR="00FA4AA8" w:rsidRDefault="00FA4AA8">
            <w:pPr>
              <w:pStyle w:val="TableParagraph"/>
              <w:rPr>
                <w:rFonts w:ascii="Times New Roman"/>
                <w:sz w:val="18"/>
              </w:rPr>
            </w:pPr>
          </w:p>
        </w:tc>
        <w:tc>
          <w:tcPr>
            <w:tcW w:w="1296" w:type="dxa"/>
            <w:tcBorders>
              <w:top w:val="single" w:sz="8" w:space="0" w:color="000000"/>
            </w:tcBorders>
          </w:tcPr>
          <w:p w14:paraId="62B06AA7" w14:textId="77777777" w:rsidR="00FA4AA8" w:rsidRDefault="00FA4AA8">
            <w:pPr>
              <w:pStyle w:val="TableParagraph"/>
              <w:rPr>
                <w:rFonts w:ascii="Times New Roman"/>
                <w:sz w:val="18"/>
              </w:rPr>
            </w:pPr>
          </w:p>
        </w:tc>
        <w:tc>
          <w:tcPr>
            <w:tcW w:w="1296" w:type="dxa"/>
            <w:tcBorders>
              <w:top w:val="single" w:sz="8" w:space="0" w:color="000000"/>
            </w:tcBorders>
          </w:tcPr>
          <w:p w14:paraId="24F86342" w14:textId="77777777" w:rsidR="00FA4AA8" w:rsidRDefault="00FA4AA8">
            <w:pPr>
              <w:pStyle w:val="TableParagraph"/>
              <w:rPr>
                <w:rFonts w:ascii="Times New Roman"/>
                <w:sz w:val="18"/>
              </w:rPr>
            </w:pPr>
          </w:p>
        </w:tc>
        <w:tc>
          <w:tcPr>
            <w:tcW w:w="1117" w:type="dxa"/>
            <w:tcBorders>
              <w:top w:val="single" w:sz="8" w:space="0" w:color="000000"/>
            </w:tcBorders>
          </w:tcPr>
          <w:p w14:paraId="6804A59A" w14:textId="77777777" w:rsidR="00FA4AA8" w:rsidRDefault="00FA4AA8">
            <w:pPr>
              <w:pStyle w:val="TableParagraph"/>
              <w:rPr>
                <w:rFonts w:ascii="Times New Roman"/>
                <w:sz w:val="18"/>
              </w:rPr>
            </w:pPr>
          </w:p>
        </w:tc>
      </w:tr>
      <w:tr w:rsidR="00FA4AA8" w14:paraId="2B8F9AE8" w14:textId="77777777">
        <w:trPr>
          <w:trHeight w:val="200"/>
        </w:trPr>
        <w:tc>
          <w:tcPr>
            <w:tcW w:w="3395" w:type="dxa"/>
          </w:tcPr>
          <w:p w14:paraId="061DDA2C" w14:textId="77777777" w:rsidR="00FA4AA8" w:rsidRDefault="0015611F">
            <w:pPr>
              <w:pStyle w:val="TableParagraph"/>
              <w:spacing w:line="180" w:lineRule="exact"/>
              <w:ind w:left="50"/>
              <w:rPr>
                <w:b/>
                <w:sz w:val="18"/>
              </w:rPr>
            </w:pPr>
            <w:r>
              <w:rPr>
                <w:b/>
                <w:sz w:val="18"/>
              </w:rPr>
              <w:t>statement of financial position</w:t>
            </w:r>
          </w:p>
        </w:tc>
        <w:tc>
          <w:tcPr>
            <w:tcW w:w="939" w:type="dxa"/>
          </w:tcPr>
          <w:p w14:paraId="42477285" w14:textId="77777777" w:rsidR="00FA4AA8" w:rsidRDefault="00FA4AA8">
            <w:pPr>
              <w:pStyle w:val="TableParagraph"/>
              <w:rPr>
                <w:rFonts w:ascii="Times New Roman"/>
                <w:sz w:val="12"/>
              </w:rPr>
            </w:pPr>
          </w:p>
        </w:tc>
        <w:tc>
          <w:tcPr>
            <w:tcW w:w="1475" w:type="dxa"/>
            <w:tcBorders>
              <w:bottom w:val="single" w:sz="8" w:space="0" w:color="000000"/>
            </w:tcBorders>
          </w:tcPr>
          <w:p w14:paraId="4A013C6C" w14:textId="77777777" w:rsidR="00FA4AA8" w:rsidRDefault="0015611F">
            <w:pPr>
              <w:pStyle w:val="TableParagraph"/>
              <w:spacing w:line="180" w:lineRule="exact"/>
              <w:ind w:right="266"/>
              <w:jc w:val="right"/>
              <w:rPr>
                <w:sz w:val="18"/>
              </w:rPr>
            </w:pPr>
            <w:r>
              <w:rPr>
                <w:sz w:val="18"/>
              </w:rPr>
              <w:t>10,935</w:t>
            </w:r>
          </w:p>
        </w:tc>
        <w:tc>
          <w:tcPr>
            <w:tcW w:w="1296" w:type="dxa"/>
            <w:tcBorders>
              <w:bottom w:val="single" w:sz="8" w:space="0" w:color="000000"/>
            </w:tcBorders>
          </w:tcPr>
          <w:p w14:paraId="2C77C87D" w14:textId="77777777" w:rsidR="00FA4AA8" w:rsidRDefault="0015611F">
            <w:pPr>
              <w:pStyle w:val="TableParagraph"/>
              <w:spacing w:line="180" w:lineRule="exact"/>
              <w:ind w:right="266"/>
              <w:jc w:val="right"/>
              <w:rPr>
                <w:sz w:val="18"/>
              </w:rPr>
            </w:pPr>
            <w:r>
              <w:rPr>
                <w:sz w:val="18"/>
              </w:rPr>
              <w:t>3,858</w:t>
            </w:r>
          </w:p>
        </w:tc>
        <w:tc>
          <w:tcPr>
            <w:tcW w:w="1296" w:type="dxa"/>
            <w:tcBorders>
              <w:bottom w:val="single" w:sz="8" w:space="0" w:color="000000"/>
            </w:tcBorders>
          </w:tcPr>
          <w:p w14:paraId="0A53214E" w14:textId="77777777" w:rsidR="00FA4AA8" w:rsidRDefault="0015611F">
            <w:pPr>
              <w:pStyle w:val="TableParagraph"/>
              <w:spacing w:line="180" w:lineRule="exact"/>
              <w:ind w:right="266"/>
              <w:jc w:val="right"/>
              <w:rPr>
                <w:sz w:val="18"/>
              </w:rPr>
            </w:pPr>
            <w:r>
              <w:rPr>
                <w:sz w:val="18"/>
              </w:rPr>
              <w:t>330,910</w:t>
            </w:r>
          </w:p>
        </w:tc>
        <w:tc>
          <w:tcPr>
            <w:tcW w:w="1117" w:type="dxa"/>
            <w:tcBorders>
              <w:bottom w:val="single" w:sz="8" w:space="0" w:color="000000"/>
            </w:tcBorders>
          </w:tcPr>
          <w:p w14:paraId="32316229" w14:textId="77777777" w:rsidR="00FA4AA8" w:rsidRDefault="0015611F">
            <w:pPr>
              <w:pStyle w:val="TableParagraph"/>
              <w:spacing w:line="180" w:lineRule="exact"/>
              <w:ind w:right="87"/>
              <w:jc w:val="right"/>
              <w:rPr>
                <w:sz w:val="18"/>
              </w:rPr>
            </w:pPr>
            <w:r>
              <w:rPr>
                <w:sz w:val="18"/>
              </w:rPr>
              <w:t>345,703</w:t>
            </w:r>
          </w:p>
        </w:tc>
      </w:tr>
      <w:tr w:rsidR="00FA4AA8" w14:paraId="37A04F99" w14:textId="77777777">
        <w:trPr>
          <w:trHeight w:val="324"/>
        </w:trPr>
        <w:tc>
          <w:tcPr>
            <w:tcW w:w="3395" w:type="dxa"/>
          </w:tcPr>
          <w:p w14:paraId="3F369238" w14:textId="77777777" w:rsidR="00FA4AA8" w:rsidRDefault="0015611F">
            <w:pPr>
              <w:pStyle w:val="TableParagraph"/>
              <w:spacing w:before="115" w:line="190" w:lineRule="exact"/>
              <w:ind w:left="50"/>
              <w:rPr>
                <w:b/>
                <w:sz w:val="18"/>
              </w:rPr>
            </w:pPr>
            <w:r>
              <w:rPr>
                <w:b/>
                <w:sz w:val="18"/>
              </w:rPr>
              <w:t>Net liability recognised in the</w:t>
            </w:r>
          </w:p>
        </w:tc>
        <w:tc>
          <w:tcPr>
            <w:tcW w:w="939" w:type="dxa"/>
          </w:tcPr>
          <w:p w14:paraId="2B944350" w14:textId="77777777" w:rsidR="00FA4AA8" w:rsidRDefault="00FA4AA8">
            <w:pPr>
              <w:pStyle w:val="TableParagraph"/>
              <w:rPr>
                <w:rFonts w:ascii="Times New Roman"/>
                <w:sz w:val="18"/>
              </w:rPr>
            </w:pPr>
          </w:p>
        </w:tc>
        <w:tc>
          <w:tcPr>
            <w:tcW w:w="1475" w:type="dxa"/>
            <w:tcBorders>
              <w:top w:val="single" w:sz="8" w:space="0" w:color="000000"/>
            </w:tcBorders>
          </w:tcPr>
          <w:p w14:paraId="71E72D26" w14:textId="77777777" w:rsidR="00FA4AA8" w:rsidRDefault="00FA4AA8">
            <w:pPr>
              <w:pStyle w:val="TableParagraph"/>
              <w:rPr>
                <w:rFonts w:ascii="Times New Roman"/>
                <w:sz w:val="18"/>
              </w:rPr>
            </w:pPr>
          </w:p>
        </w:tc>
        <w:tc>
          <w:tcPr>
            <w:tcW w:w="1296" w:type="dxa"/>
            <w:tcBorders>
              <w:top w:val="single" w:sz="8" w:space="0" w:color="000000"/>
            </w:tcBorders>
          </w:tcPr>
          <w:p w14:paraId="4CBC09E2" w14:textId="77777777" w:rsidR="00FA4AA8" w:rsidRDefault="00FA4AA8">
            <w:pPr>
              <w:pStyle w:val="TableParagraph"/>
              <w:rPr>
                <w:rFonts w:ascii="Times New Roman"/>
                <w:sz w:val="18"/>
              </w:rPr>
            </w:pPr>
          </w:p>
        </w:tc>
        <w:tc>
          <w:tcPr>
            <w:tcW w:w="1296" w:type="dxa"/>
            <w:tcBorders>
              <w:top w:val="single" w:sz="8" w:space="0" w:color="000000"/>
            </w:tcBorders>
          </w:tcPr>
          <w:p w14:paraId="64D3FF56" w14:textId="77777777" w:rsidR="00FA4AA8" w:rsidRDefault="00FA4AA8">
            <w:pPr>
              <w:pStyle w:val="TableParagraph"/>
              <w:rPr>
                <w:rFonts w:ascii="Times New Roman"/>
                <w:sz w:val="18"/>
              </w:rPr>
            </w:pPr>
          </w:p>
        </w:tc>
        <w:tc>
          <w:tcPr>
            <w:tcW w:w="1117" w:type="dxa"/>
            <w:tcBorders>
              <w:top w:val="single" w:sz="8" w:space="0" w:color="000000"/>
            </w:tcBorders>
          </w:tcPr>
          <w:p w14:paraId="33F77716" w14:textId="77777777" w:rsidR="00FA4AA8" w:rsidRDefault="00FA4AA8">
            <w:pPr>
              <w:pStyle w:val="TableParagraph"/>
              <w:rPr>
                <w:rFonts w:ascii="Times New Roman"/>
                <w:sz w:val="18"/>
              </w:rPr>
            </w:pPr>
          </w:p>
        </w:tc>
      </w:tr>
      <w:tr w:rsidR="00FA4AA8" w14:paraId="7F647DA3" w14:textId="77777777">
        <w:trPr>
          <w:trHeight w:val="200"/>
        </w:trPr>
        <w:tc>
          <w:tcPr>
            <w:tcW w:w="3395" w:type="dxa"/>
          </w:tcPr>
          <w:p w14:paraId="1C1A7ACC" w14:textId="77777777" w:rsidR="00FA4AA8" w:rsidRDefault="0015611F">
            <w:pPr>
              <w:pStyle w:val="TableParagraph"/>
              <w:spacing w:line="180" w:lineRule="exact"/>
              <w:ind w:left="50"/>
              <w:rPr>
                <w:b/>
                <w:sz w:val="18"/>
              </w:rPr>
            </w:pPr>
            <w:r>
              <w:rPr>
                <w:b/>
                <w:sz w:val="18"/>
              </w:rPr>
              <w:t>statement of financial position</w:t>
            </w:r>
          </w:p>
        </w:tc>
        <w:tc>
          <w:tcPr>
            <w:tcW w:w="939" w:type="dxa"/>
          </w:tcPr>
          <w:p w14:paraId="3EE5B243" w14:textId="77777777" w:rsidR="00FA4AA8" w:rsidRDefault="00FA4AA8">
            <w:pPr>
              <w:pStyle w:val="TableParagraph"/>
              <w:rPr>
                <w:rFonts w:ascii="Times New Roman"/>
                <w:sz w:val="12"/>
              </w:rPr>
            </w:pPr>
          </w:p>
        </w:tc>
        <w:tc>
          <w:tcPr>
            <w:tcW w:w="1475" w:type="dxa"/>
            <w:tcBorders>
              <w:bottom w:val="single" w:sz="8" w:space="0" w:color="000000"/>
            </w:tcBorders>
          </w:tcPr>
          <w:p w14:paraId="0CF47921" w14:textId="77777777" w:rsidR="00FA4AA8" w:rsidRDefault="0015611F">
            <w:pPr>
              <w:pStyle w:val="TableParagraph"/>
              <w:spacing w:line="180" w:lineRule="exact"/>
              <w:ind w:right="266"/>
              <w:jc w:val="right"/>
              <w:rPr>
                <w:sz w:val="18"/>
              </w:rPr>
            </w:pPr>
            <w:r>
              <w:rPr>
                <w:sz w:val="18"/>
              </w:rPr>
              <w:t>1,965</w:t>
            </w:r>
          </w:p>
        </w:tc>
        <w:tc>
          <w:tcPr>
            <w:tcW w:w="1296" w:type="dxa"/>
            <w:tcBorders>
              <w:bottom w:val="single" w:sz="8" w:space="0" w:color="000000"/>
            </w:tcBorders>
          </w:tcPr>
          <w:p w14:paraId="19D790BA" w14:textId="77777777" w:rsidR="00FA4AA8" w:rsidRDefault="0015611F">
            <w:pPr>
              <w:pStyle w:val="TableParagraph"/>
              <w:spacing w:line="180" w:lineRule="exact"/>
              <w:ind w:right="265"/>
              <w:jc w:val="right"/>
              <w:rPr>
                <w:sz w:val="18"/>
              </w:rPr>
            </w:pPr>
            <w:r>
              <w:rPr>
                <w:sz w:val="18"/>
              </w:rPr>
              <w:t>473</w:t>
            </w:r>
          </w:p>
        </w:tc>
        <w:tc>
          <w:tcPr>
            <w:tcW w:w="1296" w:type="dxa"/>
            <w:tcBorders>
              <w:bottom w:val="single" w:sz="8" w:space="0" w:color="000000"/>
            </w:tcBorders>
          </w:tcPr>
          <w:p w14:paraId="7DD7E9B6" w14:textId="77777777" w:rsidR="00FA4AA8" w:rsidRDefault="0015611F">
            <w:pPr>
              <w:pStyle w:val="TableParagraph"/>
              <w:spacing w:line="180" w:lineRule="exact"/>
              <w:ind w:right="266"/>
              <w:jc w:val="right"/>
              <w:rPr>
                <w:sz w:val="18"/>
              </w:rPr>
            </w:pPr>
            <w:r>
              <w:rPr>
                <w:sz w:val="18"/>
              </w:rPr>
              <w:t>6,781</w:t>
            </w:r>
          </w:p>
        </w:tc>
        <w:tc>
          <w:tcPr>
            <w:tcW w:w="1117" w:type="dxa"/>
            <w:tcBorders>
              <w:bottom w:val="single" w:sz="8" w:space="0" w:color="000000"/>
            </w:tcBorders>
          </w:tcPr>
          <w:p w14:paraId="5F2DE985" w14:textId="77777777" w:rsidR="00FA4AA8" w:rsidRDefault="0015611F">
            <w:pPr>
              <w:pStyle w:val="TableParagraph"/>
              <w:spacing w:line="180" w:lineRule="exact"/>
              <w:ind w:right="87"/>
              <w:jc w:val="right"/>
              <w:rPr>
                <w:sz w:val="18"/>
              </w:rPr>
            </w:pPr>
            <w:r>
              <w:rPr>
                <w:sz w:val="18"/>
              </w:rPr>
              <w:t>9,219</w:t>
            </w:r>
          </w:p>
        </w:tc>
      </w:tr>
    </w:tbl>
    <w:p w14:paraId="4D34CCC0" w14:textId="77777777" w:rsidR="00FA4AA8" w:rsidRDefault="00FA4AA8">
      <w:pPr>
        <w:pStyle w:val="BodyText"/>
        <w:rPr>
          <w:b/>
          <w:sz w:val="20"/>
        </w:rPr>
      </w:pPr>
    </w:p>
    <w:p w14:paraId="7D9FC95F" w14:textId="77777777" w:rsidR="00FA4AA8" w:rsidRDefault="00FA4AA8">
      <w:pPr>
        <w:pStyle w:val="BodyText"/>
        <w:rPr>
          <w:b/>
          <w:sz w:val="20"/>
        </w:rPr>
      </w:pPr>
    </w:p>
    <w:p w14:paraId="75FD49BA" w14:textId="77777777" w:rsidR="00FA4AA8" w:rsidRDefault="00FA4AA8">
      <w:pPr>
        <w:pStyle w:val="BodyText"/>
        <w:spacing w:before="1"/>
        <w:rPr>
          <w:b/>
          <w:sz w:val="13"/>
        </w:rPr>
      </w:pPr>
    </w:p>
    <w:tbl>
      <w:tblPr>
        <w:tblW w:w="0" w:type="auto"/>
        <w:tblInd w:w="564" w:type="dxa"/>
        <w:tblLayout w:type="fixed"/>
        <w:tblCellMar>
          <w:left w:w="0" w:type="dxa"/>
          <w:right w:w="0" w:type="dxa"/>
        </w:tblCellMar>
        <w:tblLook w:val="01E0" w:firstRow="1" w:lastRow="1" w:firstColumn="1" w:lastColumn="1" w:noHBand="0" w:noVBand="0"/>
      </w:tblPr>
      <w:tblGrid>
        <w:gridCol w:w="3373"/>
        <w:gridCol w:w="960"/>
        <w:gridCol w:w="1628"/>
        <w:gridCol w:w="1195"/>
        <w:gridCol w:w="1296"/>
        <w:gridCol w:w="1064"/>
      </w:tblGrid>
      <w:tr w:rsidR="00FA4AA8" w14:paraId="7AC0B585" w14:textId="77777777">
        <w:trPr>
          <w:trHeight w:val="218"/>
        </w:trPr>
        <w:tc>
          <w:tcPr>
            <w:tcW w:w="3373" w:type="dxa"/>
          </w:tcPr>
          <w:p w14:paraId="11026D78" w14:textId="77777777" w:rsidR="00FA4AA8" w:rsidRDefault="0015611F">
            <w:pPr>
              <w:pStyle w:val="TableParagraph"/>
              <w:spacing w:line="198" w:lineRule="exact"/>
              <w:ind w:left="50"/>
              <w:rPr>
                <w:b/>
                <w:sz w:val="18"/>
              </w:rPr>
            </w:pPr>
            <w:r>
              <w:rPr>
                <w:b/>
                <w:sz w:val="18"/>
              </w:rPr>
              <w:t>Net liability reconciliation - 2017</w:t>
            </w:r>
          </w:p>
        </w:tc>
        <w:tc>
          <w:tcPr>
            <w:tcW w:w="6143" w:type="dxa"/>
            <w:gridSpan w:val="5"/>
          </w:tcPr>
          <w:p w14:paraId="252E42AD" w14:textId="77777777" w:rsidR="00FA4AA8" w:rsidRDefault="00FA4AA8">
            <w:pPr>
              <w:pStyle w:val="TableParagraph"/>
              <w:rPr>
                <w:rFonts w:ascii="Times New Roman"/>
                <w:sz w:val="14"/>
              </w:rPr>
            </w:pPr>
          </w:p>
        </w:tc>
      </w:tr>
      <w:tr w:rsidR="00FA4AA8" w14:paraId="75C35318" w14:textId="77777777">
        <w:trPr>
          <w:trHeight w:val="250"/>
        </w:trPr>
        <w:tc>
          <w:tcPr>
            <w:tcW w:w="3373" w:type="dxa"/>
          </w:tcPr>
          <w:p w14:paraId="4E00A4E1" w14:textId="77777777" w:rsidR="00FA4AA8" w:rsidRDefault="0015611F">
            <w:pPr>
              <w:pStyle w:val="TableParagraph"/>
              <w:spacing w:before="13"/>
              <w:ind w:left="50"/>
              <w:rPr>
                <w:sz w:val="18"/>
              </w:rPr>
            </w:pPr>
            <w:r>
              <w:rPr>
                <w:sz w:val="18"/>
              </w:rPr>
              <w:t>Defined benefit obligation</w:t>
            </w:r>
          </w:p>
        </w:tc>
        <w:tc>
          <w:tcPr>
            <w:tcW w:w="960" w:type="dxa"/>
          </w:tcPr>
          <w:p w14:paraId="09C2256E" w14:textId="77777777" w:rsidR="00FA4AA8" w:rsidRDefault="00FA4AA8">
            <w:pPr>
              <w:pStyle w:val="TableParagraph"/>
              <w:rPr>
                <w:rFonts w:ascii="Times New Roman"/>
                <w:sz w:val="18"/>
              </w:rPr>
            </w:pPr>
          </w:p>
        </w:tc>
        <w:tc>
          <w:tcPr>
            <w:tcW w:w="1628" w:type="dxa"/>
          </w:tcPr>
          <w:p w14:paraId="7822B0B1" w14:textId="77777777" w:rsidR="00FA4AA8" w:rsidRDefault="0015611F">
            <w:pPr>
              <w:pStyle w:val="TableParagraph"/>
              <w:spacing w:before="11"/>
              <w:ind w:right="418"/>
              <w:jc w:val="right"/>
              <w:rPr>
                <w:sz w:val="18"/>
              </w:rPr>
            </w:pPr>
            <w:r>
              <w:rPr>
                <w:sz w:val="18"/>
              </w:rPr>
              <w:t>25,176</w:t>
            </w:r>
          </w:p>
        </w:tc>
        <w:tc>
          <w:tcPr>
            <w:tcW w:w="1195" w:type="dxa"/>
          </w:tcPr>
          <w:p w14:paraId="65E17E4B" w14:textId="77777777" w:rsidR="00FA4AA8" w:rsidRDefault="0015611F">
            <w:pPr>
              <w:pStyle w:val="TableParagraph"/>
              <w:spacing w:before="11"/>
              <w:ind w:left="422"/>
              <w:rPr>
                <w:sz w:val="18"/>
              </w:rPr>
            </w:pPr>
            <w:r>
              <w:rPr>
                <w:sz w:val="18"/>
              </w:rPr>
              <w:t>4,349</w:t>
            </w:r>
          </w:p>
        </w:tc>
        <w:tc>
          <w:tcPr>
            <w:tcW w:w="1296" w:type="dxa"/>
          </w:tcPr>
          <w:p w14:paraId="16B6F72A" w14:textId="77777777" w:rsidR="00FA4AA8" w:rsidRDefault="0015611F">
            <w:pPr>
              <w:pStyle w:val="TableParagraph"/>
              <w:spacing w:before="11"/>
              <w:ind w:right="317"/>
              <w:jc w:val="right"/>
              <w:rPr>
                <w:sz w:val="18"/>
              </w:rPr>
            </w:pPr>
            <w:r>
              <w:rPr>
                <w:sz w:val="18"/>
              </w:rPr>
              <w:t>409,545</w:t>
            </w:r>
          </w:p>
        </w:tc>
        <w:tc>
          <w:tcPr>
            <w:tcW w:w="1064" w:type="dxa"/>
          </w:tcPr>
          <w:p w14:paraId="0434B9AA" w14:textId="77777777" w:rsidR="00FA4AA8" w:rsidRDefault="0015611F">
            <w:pPr>
              <w:pStyle w:val="TableParagraph"/>
              <w:spacing w:before="11"/>
              <w:ind w:left="321"/>
              <w:rPr>
                <w:sz w:val="18"/>
              </w:rPr>
            </w:pPr>
            <w:r>
              <w:rPr>
                <w:sz w:val="18"/>
              </w:rPr>
              <w:t>439,070</w:t>
            </w:r>
          </w:p>
        </w:tc>
      </w:tr>
      <w:tr w:rsidR="00FA4AA8" w14:paraId="42C85828" w14:textId="77777777">
        <w:trPr>
          <w:trHeight w:val="262"/>
        </w:trPr>
        <w:tc>
          <w:tcPr>
            <w:tcW w:w="3373" w:type="dxa"/>
          </w:tcPr>
          <w:p w14:paraId="6157C397" w14:textId="77777777" w:rsidR="00FA4AA8" w:rsidRDefault="0015611F">
            <w:pPr>
              <w:pStyle w:val="TableParagraph"/>
              <w:spacing w:before="26"/>
              <w:ind w:left="50"/>
              <w:rPr>
                <w:sz w:val="18"/>
              </w:rPr>
            </w:pPr>
            <w:r>
              <w:rPr>
                <w:sz w:val="18"/>
              </w:rPr>
              <w:t>Fair value of plan assets</w:t>
            </w:r>
          </w:p>
        </w:tc>
        <w:tc>
          <w:tcPr>
            <w:tcW w:w="960" w:type="dxa"/>
          </w:tcPr>
          <w:p w14:paraId="7EF76C11" w14:textId="77777777" w:rsidR="00FA4AA8" w:rsidRDefault="00FA4AA8">
            <w:pPr>
              <w:pStyle w:val="TableParagraph"/>
              <w:rPr>
                <w:rFonts w:ascii="Times New Roman"/>
                <w:sz w:val="18"/>
              </w:rPr>
            </w:pPr>
          </w:p>
        </w:tc>
        <w:tc>
          <w:tcPr>
            <w:tcW w:w="1628" w:type="dxa"/>
          </w:tcPr>
          <w:p w14:paraId="74F9BDCF" w14:textId="77777777" w:rsidR="00FA4AA8" w:rsidRDefault="0015611F">
            <w:pPr>
              <w:pStyle w:val="TableParagraph"/>
              <w:spacing w:before="24"/>
              <w:ind w:right="357"/>
              <w:jc w:val="right"/>
              <w:rPr>
                <w:sz w:val="18"/>
              </w:rPr>
            </w:pPr>
            <w:r>
              <w:rPr>
                <w:sz w:val="18"/>
              </w:rPr>
              <w:t>(12,535)</w:t>
            </w:r>
          </w:p>
        </w:tc>
        <w:tc>
          <w:tcPr>
            <w:tcW w:w="1195" w:type="dxa"/>
          </w:tcPr>
          <w:p w14:paraId="2BF3B54C" w14:textId="77777777" w:rsidR="00FA4AA8" w:rsidRDefault="0015611F">
            <w:pPr>
              <w:pStyle w:val="TableParagraph"/>
              <w:spacing w:before="24"/>
              <w:ind w:right="256"/>
              <w:jc w:val="right"/>
              <w:rPr>
                <w:sz w:val="18"/>
              </w:rPr>
            </w:pPr>
            <w:r>
              <w:rPr>
                <w:sz w:val="18"/>
              </w:rPr>
              <w:t>(105)</w:t>
            </w:r>
          </w:p>
        </w:tc>
        <w:tc>
          <w:tcPr>
            <w:tcW w:w="1296" w:type="dxa"/>
          </w:tcPr>
          <w:p w14:paraId="3F7EEB44" w14:textId="77777777" w:rsidR="00FA4AA8" w:rsidRDefault="0015611F">
            <w:pPr>
              <w:pStyle w:val="TableParagraph"/>
              <w:spacing w:before="24"/>
              <w:ind w:right="256"/>
              <w:jc w:val="right"/>
              <w:rPr>
                <w:sz w:val="18"/>
              </w:rPr>
            </w:pPr>
            <w:r>
              <w:rPr>
                <w:sz w:val="18"/>
              </w:rPr>
              <w:t>(78,635)</w:t>
            </w:r>
          </w:p>
        </w:tc>
        <w:tc>
          <w:tcPr>
            <w:tcW w:w="1064" w:type="dxa"/>
          </w:tcPr>
          <w:p w14:paraId="03147490" w14:textId="77777777" w:rsidR="00FA4AA8" w:rsidRDefault="0015611F">
            <w:pPr>
              <w:pStyle w:val="TableParagraph"/>
              <w:spacing w:before="24"/>
              <w:ind w:right="24"/>
              <w:jc w:val="right"/>
              <w:rPr>
                <w:sz w:val="18"/>
              </w:rPr>
            </w:pPr>
            <w:r>
              <w:rPr>
                <w:sz w:val="18"/>
              </w:rPr>
              <w:t>(91,275)</w:t>
            </w:r>
          </w:p>
        </w:tc>
      </w:tr>
      <w:tr w:rsidR="00FA4AA8" w14:paraId="558FFC77" w14:textId="77777777">
        <w:trPr>
          <w:trHeight w:val="459"/>
        </w:trPr>
        <w:tc>
          <w:tcPr>
            <w:tcW w:w="3373" w:type="dxa"/>
          </w:tcPr>
          <w:p w14:paraId="1AEAD7F1" w14:textId="77777777" w:rsidR="00FA4AA8" w:rsidRDefault="0015611F">
            <w:pPr>
              <w:pStyle w:val="TableParagraph"/>
              <w:spacing w:before="23"/>
              <w:ind w:left="50" w:right="601"/>
              <w:rPr>
                <w:sz w:val="18"/>
              </w:rPr>
            </w:pPr>
            <w:r>
              <w:rPr>
                <w:sz w:val="18"/>
              </w:rPr>
              <w:t>Payroll tax oncost estimate on net liability</w:t>
            </w:r>
          </w:p>
        </w:tc>
        <w:tc>
          <w:tcPr>
            <w:tcW w:w="960" w:type="dxa"/>
          </w:tcPr>
          <w:p w14:paraId="3E6B0820" w14:textId="77777777" w:rsidR="00FA4AA8" w:rsidRDefault="00FA4AA8">
            <w:pPr>
              <w:pStyle w:val="TableParagraph"/>
              <w:rPr>
                <w:rFonts w:ascii="Times New Roman"/>
                <w:sz w:val="18"/>
              </w:rPr>
            </w:pPr>
          </w:p>
        </w:tc>
        <w:tc>
          <w:tcPr>
            <w:tcW w:w="1628" w:type="dxa"/>
            <w:tcBorders>
              <w:bottom w:val="single" w:sz="8" w:space="0" w:color="000000"/>
            </w:tcBorders>
          </w:tcPr>
          <w:p w14:paraId="2B2389B8" w14:textId="77777777" w:rsidR="00FA4AA8" w:rsidRDefault="00FA4AA8">
            <w:pPr>
              <w:pStyle w:val="TableParagraph"/>
              <w:spacing w:before="8"/>
              <w:rPr>
                <w:b/>
                <w:sz w:val="19"/>
              </w:rPr>
            </w:pPr>
          </w:p>
          <w:p w14:paraId="0D67265F" w14:textId="77777777" w:rsidR="00FA4AA8" w:rsidRDefault="0015611F">
            <w:pPr>
              <w:pStyle w:val="TableParagraph"/>
              <w:ind w:right="417"/>
              <w:jc w:val="right"/>
              <w:rPr>
                <w:sz w:val="18"/>
              </w:rPr>
            </w:pPr>
            <w:r>
              <w:rPr>
                <w:sz w:val="18"/>
              </w:rPr>
              <w:t>259</w:t>
            </w:r>
          </w:p>
        </w:tc>
        <w:tc>
          <w:tcPr>
            <w:tcW w:w="1195" w:type="dxa"/>
            <w:tcBorders>
              <w:bottom w:val="single" w:sz="8" w:space="0" w:color="000000"/>
            </w:tcBorders>
          </w:tcPr>
          <w:p w14:paraId="4937CBC6" w14:textId="77777777" w:rsidR="00FA4AA8" w:rsidRDefault="00FA4AA8">
            <w:pPr>
              <w:pStyle w:val="TableParagraph"/>
              <w:spacing w:before="8"/>
              <w:rPr>
                <w:b/>
                <w:sz w:val="19"/>
              </w:rPr>
            </w:pPr>
          </w:p>
          <w:p w14:paraId="7C914CC8" w14:textId="77777777" w:rsidR="00FA4AA8" w:rsidRDefault="0015611F">
            <w:pPr>
              <w:pStyle w:val="TableParagraph"/>
              <w:ind w:right="316"/>
              <w:jc w:val="right"/>
              <w:rPr>
                <w:sz w:val="18"/>
              </w:rPr>
            </w:pPr>
            <w:r>
              <w:rPr>
                <w:sz w:val="18"/>
              </w:rPr>
              <w:t>87</w:t>
            </w:r>
          </w:p>
        </w:tc>
        <w:tc>
          <w:tcPr>
            <w:tcW w:w="1296" w:type="dxa"/>
            <w:tcBorders>
              <w:bottom w:val="single" w:sz="8" w:space="0" w:color="000000"/>
            </w:tcBorders>
          </w:tcPr>
          <w:p w14:paraId="6D3B9D66" w14:textId="77777777" w:rsidR="00FA4AA8" w:rsidRDefault="00FA4AA8">
            <w:pPr>
              <w:pStyle w:val="TableParagraph"/>
              <w:spacing w:before="8"/>
              <w:rPr>
                <w:b/>
                <w:sz w:val="19"/>
              </w:rPr>
            </w:pPr>
          </w:p>
          <w:p w14:paraId="23123EED" w14:textId="77777777" w:rsidR="00FA4AA8" w:rsidRDefault="0015611F">
            <w:pPr>
              <w:pStyle w:val="TableParagraph"/>
              <w:ind w:right="317"/>
              <w:jc w:val="right"/>
              <w:rPr>
                <w:sz w:val="18"/>
              </w:rPr>
            </w:pPr>
            <w:r>
              <w:rPr>
                <w:sz w:val="18"/>
              </w:rPr>
              <w:t>6,781</w:t>
            </w:r>
          </w:p>
        </w:tc>
        <w:tc>
          <w:tcPr>
            <w:tcW w:w="1064" w:type="dxa"/>
            <w:tcBorders>
              <w:bottom w:val="single" w:sz="8" w:space="0" w:color="000000"/>
            </w:tcBorders>
          </w:tcPr>
          <w:p w14:paraId="0E04E118" w14:textId="77777777" w:rsidR="00FA4AA8" w:rsidRDefault="00FA4AA8">
            <w:pPr>
              <w:pStyle w:val="TableParagraph"/>
              <w:spacing w:before="8"/>
              <w:rPr>
                <w:b/>
                <w:sz w:val="19"/>
              </w:rPr>
            </w:pPr>
          </w:p>
          <w:p w14:paraId="6C3C04C5" w14:textId="77777777" w:rsidR="00FA4AA8" w:rsidRDefault="0015611F">
            <w:pPr>
              <w:pStyle w:val="TableParagraph"/>
              <w:ind w:right="85"/>
              <w:jc w:val="right"/>
              <w:rPr>
                <w:sz w:val="18"/>
              </w:rPr>
            </w:pPr>
            <w:r>
              <w:rPr>
                <w:sz w:val="18"/>
              </w:rPr>
              <w:t>7,127</w:t>
            </w:r>
          </w:p>
        </w:tc>
      </w:tr>
      <w:tr w:rsidR="00FA4AA8" w14:paraId="459F66D3" w14:textId="77777777">
        <w:trPr>
          <w:trHeight w:val="318"/>
        </w:trPr>
        <w:tc>
          <w:tcPr>
            <w:tcW w:w="3373" w:type="dxa"/>
          </w:tcPr>
          <w:p w14:paraId="0FD547A9" w14:textId="77777777" w:rsidR="00FA4AA8" w:rsidRDefault="0015611F">
            <w:pPr>
              <w:pStyle w:val="TableParagraph"/>
              <w:spacing w:before="115" w:line="183" w:lineRule="exact"/>
              <w:ind w:left="50"/>
              <w:rPr>
                <w:b/>
                <w:sz w:val="18"/>
              </w:rPr>
            </w:pPr>
            <w:r>
              <w:rPr>
                <w:b/>
                <w:sz w:val="18"/>
              </w:rPr>
              <w:t>Net liability</w:t>
            </w:r>
          </w:p>
        </w:tc>
        <w:tc>
          <w:tcPr>
            <w:tcW w:w="960" w:type="dxa"/>
          </w:tcPr>
          <w:p w14:paraId="042ADD7D" w14:textId="77777777" w:rsidR="00FA4AA8" w:rsidRDefault="0015611F">
            <w:pPr>
              <w:pStyle w:val="TableParagraph"/>
              <w:spacing w:before="28"/>
              <w:ind w:right="177"/>
              <w:jc w:val="right"/>
              <w:rPr>
                <w:sz w:val="18"/>
              </w:rPr>
            </w:pPr>
            <w:r>
              <w:rPr>
                <w:sz w:val="18"/>
              </w:rPr>
              <w:t>25</w:t>
            </w:r>
          </w:p>
        </w:tc>
        <w:tc>
          <w:tcPr>
            <w:tcW w:w="1628" w:type="dxa"/>
            <w:tcBorders>
              <w:top w:val="single" w:sz="8" w:space="0" w:color="000000"/>
              <w:bottom w:val="single" w:sz="8" w:space="0" w:color="000000"/>
            </w:tcBorders>
          </w:tcPr>
          <w:p w14:paraId="7B7FB5A2" w14:textId="77777777" w:rsidR="00FA4AA8" w:rsidRDefault="0015611F">
            <w:pPr>
              <w:pStyle w:val="TableParagraph"/>
              <w:spacing w:before="115" w:line="183" w:lineRule="exact"/>
              <w:ind w:right="418"/>
              <w:jc w:val="right"/>
              <w:rPr>
                <w:sz w:val="18"/>
              </w:rPr>
            </w:pPr>
            <w:r>
              <w:rPr>
                <w:sz w:val="18"/>
              </w:rPr>
              <w:t>12,900</w:t>
            </w:r>
          </w:p>
        </w:tc>
        <w:tc>
          <w:tcPr>
            <w:tcW w:w="1195" w:type="dxa"/>
            <w:tcBorders>
              <w:top w:val="single" w:sz="8" w:space="0" w:color="000000"/>
              <w:bottom w:val="single" w:sz="8" w:space="0" w:color="000000"/>
            </w:tcBorders>
          </w:tcPr>
          <w:p w14:paraId="6D681504" w14:textId="77777777" w:rsidR="00FA4AA8" w:rsidRDefault="0015611F">
            <w:pPr>
              <w:pStyle w:val="TableParagraph"/>
              <w:spacing w:before="115" w:line="183" w:lineRule="exact"/>
              <w:ind w:left="422"/>
              <w:rPr>
                <w:sz w:val="18"/>
              </w:rPr>
            </w:pPr>
            <w:r>
              <w:rPr>
                <w:sz w:val="18"/>
              </w:rPr>
              <w:t>4,331</w:t>
            </w:r>
          </w:p>
        </w:tc>
        <w:tc>
          <w:tcPr>
            <w:tcW w:w="1296" w:type="dxa"/>
            <w:tcBorders>
              <w:top w:val="single" w:sz="8" w:space="0" w:color="000000"/>
              <w:bottom w:val="single" w:sz="8" w:space="0" w:color="000000"/>
            </w:tcBorders>
          </w:tcPr>
          <w:p w14:paraId="4CFB1C62" w14:textId="77777777" w:rsidR="00FA4AA8" w:rsidRDefault="0015611F">
            <w:pPr>
              <w:pStyle w:val="TableParagraph"/>
              <w:spacing w:before="115" w:line="183" w:lineRule="exact"/>
              <w:ind w:right="317"/>
              <w:jc w:val="right"/>
              <w:rPr>
                <w:sz w:val="18"/>
              </w:rPr>
            </w:pPr>
            <w:r>
              <w:rPr>
                <w:sz w:val="18"/>
              </w:rPr>
              <w:t>337,691</w:t>
            </w:r>
          </w:p>
        </w:tc>
        <w:tc>
          <w:tcPr>
            <w:tcW w:w="1064" w:type="dxa"/>
            <w:tcBorders>
              <w:top w:val="single" w:sz="8" w:space="0" w:color="000000"/>
              <w:bottom w:val="single" w:sz="8" w:space="0" w:color="000000"/>
            </w:tcBorders>
          </w:tcPr>
          <w:p w14:paraId="587CC506" w14:textId="77777777" w:rsidR="00FA4AA8" w:rsidRDefault="0015611F">
            <w:pPr>
              <w:pStyle w:val="TableParagraph"/>
              <w:spacing w:before="115" w:line="183" w:lineRule="exact"/>
              <w:ind w:left="322"/>
              <w:rPr>
                <w:sz w:val="18"/>
              </w:rPr>
            </w:pPr>
            <w:r>
              <w:rPr>
                <w:sz w:val="18"/>
              </w:rPr>
              <w:t>354,922</w:t>
            </w:r>
          </w:p>
        </w:tc>
      </w:tr>
      <w:tr w:rsidR="00FA4AA8" w14:paraId="38E0C25F" w14:textId="77777777">
        <w:trPr>
          <w:trHeight w:val="263"/>
        </w:trPr>
        <w:tc>
          <w:tcPr>
            <w:tcW w:w="3373" w:type="dxa"/>
          </w:tcPr>
          <w:p w14:paraId="0F3878DC" w14:textId="77777777" w:rsidR="00FA4AA8" w:rsidRDefault="0015611F">
            <w:pPr>
              <w:pStyle w:val="TableParagraph"/>
              <w:spacing w:before="33"/>
              <w:ind w:left="50"/>
              <w:rPr>
                <w:sz w:val="18"/>
              </w:rPr>
            </w:pPr>
            <w:r>
              <w:rPr>
                <w:sz w:val="18"/>
              </w:rPr>
              <w:t>Reimbursement right</w:t>
            </w:r>
          </w:p>
        </w:tc>
        <w:tc>
          <w:tcPr>
            <w:tcW w:w="960" w:type="dxa"/>
          </w:tcPr>
          <w:p w14:paraId="048138FD" w14:textId="77777777" w:rsidR="00FA4AA8" w:rsidRDefault="0015611F">
            <w:pPr>
              <w:pStyle w:val="TableParagraph"/>
              <w:spacing w:before="28"/>
              <w:ind w:right="177"/>
              <w:jc w:val="right"/>
              <w:rPr>
                <w:sz w:val="18"/>
              </w:rPr>
            </w:pPr>
            <w:r>
              <w:rPr>
                <w:sz w:val="18"/>
              </w:rPr>
              <w:t>17</w:t>
            </w:r>
          </w:p>
        </w:tc>
        <w:tc>
          <w:tcPr>
            <w:tcW w:w="1628" w:type="dxa"/>
            <w:tcBorders>
              <w:top w:val="single" w:sz="8" w:space="0" w:color="000000"/>
              <w:bottom w:val="single" w:sz="8" w:space="0" w:color="000000"/>
            </w:tcBorders>
          </w:tcPr>
          <w:p w14:paraId="6C73E3B3" w14:textId="77777777" w:rsidR="00FA4AA8" w:rsidRDefault="0015611F">
            <w:pPr>
              <w:pStyle w:val="TableParagraph"/>
              <w:spacing w:before="31"/>
              <w:ind w:right="357"/>
              <w:jc w:val="right"/>
              <w:rPr>
                <w:sz w:val="18"/>
              </w:rPr>
            </w:pPr>
            <w:r>
              <w:rPr>
                <w:sz w:val="18"/>
              </w:rPr>
              <w:t>(10,935)</w:t>
            </w:r>
          </w:p>
        </w:tc>
        <w:tc>
          <w:tcPr>
            <w:tcW w:w="1195" w:type="dxa"/>
            <w:tcBorders>
              <w:top w:val="single" w:sz="8" w:space="0" w:color="000000"/>
              <w:bottom w:val="single" w:sz="8" w:space="0" w:color="000000"/>
            </w:tcBorders>
          </w:tcPr>
          <w:p w14:paraId="34F34729" w14:textId="77777777" w:rsidR="00FA4AA8" w:rsidRDefault="0015611F">
            <w:pPr>
              <w:pStyle w:val="TableParagraph"/>
              <w:spacing w:before="31"/>
              <w:ind w:right="256"/>
              <w:jc w:val="right"/>
              <w:rPr>
                <w:sz w:val="18"/>
              </w:rPr>
            </w:pPr>
            <w:r>
              <w:rPr>
                <w:sz w:val="18"/>
              </w:rPr>
              <w:t>(3,858)</w:t>
            </w:r>
          </w:p>
        </w:tc>
        <w:tc>
          <w:tcPr>
            <w:tcW w:w="1296" w:type="dxa"/>
            <w:tcBorders>
              <w:top w:val="single" w:sz="8" w:space="0" w:color="000000"/>
              <w:bottom w:val="single" w:sz="8" w:space="0" w:color="000000"/>
            </w:tcBorders>
          </w:tcPr>
          <w:p w14:paraId="73FDB08E" w14:textId="77777777" w:rsidR="00FA4AA8" w:rsidRDefault="0015611F">
            <w:pPr>
              <w:pStyle w:val="TableParagraph"/>
              <w:spacing w:before="31"/>
              <w:ind w:right="256"/>
              <w:jc w:val="right"/>
              <w:rPr>
                <w:sz w:val="18"/>
              </w:rPr>
            </w:pPr>
            <w:r>
              <w:rPr>
                <w:sz w:val="18"/>
              </w:rPr>
              <w:t>(330,910)</w:t>
            </w:r>
          </w:p>
        </w:tc>
        <w:tc>
          <w:tcPr>
            <w:tcW w:w="1064" w:type="dxa"/>
            <w:tcBorders>
              <w:top w:val="single" w:sz="8" w:space="0" w:color="000000"/>
              <w:bottom w:val="single" w:sz="8" w:space="0" w:color="000000"/>
            </w:tcBorders>
          </w:tcPr>
          <w:p w14:paraId="666B2E6C" w14:textId="77777777" w:rsidR="00FA4AA8" w:rsidRDefault="0015611F">
            <w:pPr>
              <w:pStyle w:val="TableParagraph"/>
              <w:spacing w:before="31"/>
              <w:ind w:right="24"/>
              <w:jc w:val="right"/>
              <w:rPr>
                <w:sz w:val="18"/>
              </w:rPr>
            </w:pPr>
            <w:r>
              <w:rPr>
                <w:sz w:val="18"/>
              </w:rPr>
              <w:t>(345,703)</w:t>
            </w:r>
          </w:p>
        </w:tc>
      </w:tr>
      <w:tr w:rsidR="00FA4AA8" w14:paraId="48CED979" w14:textId="77777777">
        <w:trPr>
          <w:trHeight w:val="320"/>
        </w:trPr>
        <w:tc>
          <w:tcPr>
            <w:tcW w:w="3373" w:type="dxa"/>
          </w:tcPr>
          <w:p w14:paraId="218D87E3" w14:textId="77777777" w:rsidR="00FA4AA8" w:rsidRDefault="0015611F">
            <w:pPr>
              <w:pStyle w:val="TableParagraph"/>
              <w:spacing w:before="115" w:line="185" w:lineRule="exact"/>
              <w:ind w:left="50"/>
              <w:rPr>
                <w:b/>
                <w:sz w:val="18"/>
              </w:rPr>
            </w:pPr>
            <w:r>
              <w:rPr>
                <w:b/>
                <w:sz w:val="18"/>
              </w:rPr>
              <w:t>Total net liability/(asset)</w:t>
            </w:r>
          </w:p>
        </w:tc>
        <w:tc>
          <w:tcPr>
            <w:tcW w:w="960" w:type="dxa"/>
          </w:tcPr>
          <w:p w14:paraId="4DA2CCFB" w14:textId="77777777" w:rsidR="00FA4AA8" w:rsidRDefault="00FA4AA8">
            <w:pPr>
              <w:pStyle w:val="TableParagraph"/>
              <w:rPr>
                <w:rFonts w:ascii="Times New Roman"/>
                <w:sz w:val="18"/>
              </w:rPr>
            </w:pPr>
          </w:p>
        </w:tc>
        <w:tc>
          <w:tcPr>
            <w:tcW w:w="1628" w:type="dxa"/>
            <w:tcBorders>
              <w:top w:val="single" w:sz="8" w:space="0" w:color="000000"/>
              <w:bottom w:val="double" w:sz="2" w:space="0" w:color="000000"/>
            </w:tcBorders>
          </w:tcPr>
          <w:p w14:paraId="799E97E4" w14:textId="77777777" w:rsidR="00FA4AA8" w:rsidRDefault="0015611F">
            <w:pPr>
              <w:pStyle w:val="TableParagraph"/>
              <w:spacing w:before="115" w:line="185" w:lineRule="exact"/>
              <w:ind w:right="418"/>
              <w:jc w:val="right"/>
              <w:rPr>
                <w:sz w:val="18"/>
              </w:rPr>
            </w:pPr>
            <w:r>
              <w:rPr>
                <w:sz w:val="18"/>
              </w:rPr>
              <w:t>1,965</w:t>
            </w:r>
          </w:p>
        </w:tc>
        <w:tc>
          <w:tcPr>
            <w:tcW w:w="1195" w:type="dxa"/>
            <w:tcBorders>
              <w:top w:val="single" w:sz="8" w:space="0" w:color="000000"/>
              <w:bottom w:val="double" w:sz="2" w:space="0" w:color="000000"/>
            </w:tcBorders>
          </w:tcPr>
          <w:p w14:paraId="5435F672" w14:textId="77777777" w:rsidR="00FA4AA8" w:rsidRDefault="0015611F">
            <w:pPr>
              <w:pStyle w:val="TableParagraph"/>
              <w:spacing w:before="115" w:line="185" w:lineRule="exact"/>
              <w:ind w:left="573"/>
              <w:rPr>
                <w:sz w:val="18"/>
              </w:rPr>
            </w:pPr>
            <w:r>
              <w:rPr>
                <w:sz w:val="18"/>
              </w:rPr>
              <w:t>473</w:t>
            </w:r>
          </w:p>
        </w:tc>
        <w:tc>
          <w:tcPr>
            <w:tcW w:w="1296" w:type="dxa"/>
            <w:tcBorders>
              <w:top w:val="single" w:sz="8" w:space="0" w:color="000000"/>
              <w:bottom w:val="double" w:sz="2" w:space="0" w:color="000000"/>
            </w:tcBorders>
          </w:tcPr>
          <w:p w14:paraId="353C4D8E" w14:textId="77777777" w:rsidR="00FA4AA8" w:rsidRDefault="0015611F">
            <w:pPr>
              <w:pStyle w:val="TableParagraph"/>
              <w:spacing w:before="115" w:line="185" w:lineRule="exact"/>
              <w:ind w:right="317"/>
              <w:jc w:val="right"/>
              <w:rPr>
                <w:sz w:val="18"/>
              </w:rPr>
            </w:pPr>
            <w:r>
              <w:rPr>
                <w:sz w:val="18"/>
              </w:rPr>
              <w:t>6,781</w:t>
            </w:r>
          </w:p>
        </w:tc>
        <w:tc>
          <w:tcPr>
            <w:tcW w:w="1064" w:type="dxa"/>
            <w:tcBorders>
              <w:top w:val="single" w:sz="8" w:space="0" w:color="000000"/>
              <w:bottom w:val="double" w:sz="2" w:space="0" w:color="000000"/>
            </w:tcBorders>
          </w:tcPr>
          <w:p w14:paraId="657807C4" w14:textId="77777777" w:rsidR="00FA4AA8" w:rsidRDefault="0015611F">
            <w:pPr>
              <w:pStyle w:val="TableParagraph"/>
              <w:spacing w:before="115" w:line="185" w:lineRule="exact"/>
              <w:ind w:right="85"/>
              <w:jc w:val="right"/>
              <w:rPr>
                <w:sz w:val="18"/>
              </w:rPr>
            </w:pPr>
            <w:r>
              <w:rPr>
                <w:sz w:val="18"/>
              </w:rPr>
              <w:t>9,219</w:t>
            </w:r>
          </w:p>
        </w:tc>
      </w:tr>
    </w:tbl>
    <w:p w14:paraId="4279C6AE" w14:textId="77777777" w:rsidR="00FA4AA8" w:rsidRDefault="00FA4AA8">
      <w:pPr>
        <w:pStyle w:val="BodyText"/>
        <w:rPr>
          <w:b/>
          <w:sz w:val="20"/>
        </w:rPr>
      </w:pPr>
    </w:p>
    <w:p w14:paraId="54C7E53D" w14:textId="77777777" w:rsidR="00FA4AA8" w:rsidRDefault="00FA4AA8">
      <w:pPr>
        <w:pStyle w:val="BodyText"/>
        <w:rPr>
          <w:b/>
          <w:sz w:val="20"/>
        </w:rPr>
      </w:pPr>
    </w:p>
    <w:p w14:paraId="13B241CF" w14:textId="77777777" w:rsidR="00FA4AA8" w:rsidRDefault="00FA4AA8">
      <w:pPr>
        <w:pStyle w:val="BodyText"/>
        <w:spacing w:before="4"/>
        <w:rPr>
          <w:b/>
          <w:sz w:val="14"/>
        </w:rPr>
      </w:pPr>
    </w:p>
    <w:tbl>
      <w:tblPr>
        <w:tblW w:w="0" w:type="auto"/>
        <w:tblInd w:w="564" w:type="dxa"/>
        <w:tblLayout w:type="fixed"/>
        <w:tblCellMar>
          <w:left w:w="0" w:type="dxa"/>
          <w:right w:w="0" w:type="dxa"/>
        </w:tblCellMar>
        <w:tblLook w:val="01E0" w:firstRow="1" w:lastRow="1" w:firstColumn="1" w:lastColumn="1" w:noHBand="0" w:noVBand="0"/>
      </w:tblPr>
      <w:tblGrid>
        <w:gridCol w:w="4334"/>
        <w:gridCol w:w="1659"/>
        <w:gridCol w:w="1196"/>
        <w:gridCol w:w="1266"/>
        <w:gridCol w:w="1065"/>
      </w:tblGrid>
      <w:tr w:rsidR="00FA4AA8" w14:paraId="6632C97E" w14:textId="77777777">
        <w:trPr>
          <w:trHeight w:val="218"/>
        </w:trPr>
        <w:tc>
          <w:tcPr>
            <w:tcW w:w="4334" w:type="dxa"/>
          </w:tcPr>
          <w:p w14:paraId="38936436" w14:textId="77777777" w:rsidR="00FA4AA8" w:rsidRDefault="0015611F">
            <w:pPr>
              <w:pStyle w:val="TableParagraph"/>
              <w:spacing w:line="198" w:lineRule="exact"/>
              <w:ind w:left="50"/>
              <w:rPr>
                <w:b/>
                <w:sz w:val="18"/>
              </w:rPr>
            </w:pPr>
            <w:r>
              <w:rPr>
                <w:b/>
                <w:sz w:val="18"/>
              </w:rPr>
              <w:t>Reimbursement rights - 2017</w:t>
            </w:r>
          </w:p>
        </w:tc>
        <w:tc>
          <w:tcPr>
            <w:tcW w:w="5186" w:type="dxa"/>
            <w:gridSpan w:val="4"/>
          </w:tcPr>
          <w:p w14:paraId="0978466F" w14:textId="77777777" w:rsidR="00FA4AA8" w:rsidRDefault="00FA4AA8">
            <w:pPr>
              <w:pStyle w:val="TableParagraph"/>
              <w:rPr>
                <w:rFonts w:ascii="Times New Roman"/>
                <w:sz w:val="14"/>
              </w:rPr>
            </w:pPr>
          </w:p>
        </w:tc>
      </w:tr>
      <w:tr w:rsidR="00FA4AA8" w14:paraId="058BA2E1" w14:textId="77777777">
        <w:trPr>
          <w:trHeight w:val="250"/>
        </w:trPr>
        <w:tc>
          <w:tcPr>
            <w:tcW w:w="4334" w:type="dxa"/>
          </w:tcPr>
          <w:p w14:paraId="4568D751" w14:textId="77777777" w:rsidR="00FA4AA8" w:rsidRDefault="0015611F">
            <w:pPr>
              <w:pStyle w:val="TableParagraph"/>
              <w:spacing w:before="13"/>
              <w:ind w:left="50"/>
              <w:rPr>
                <w:sz w:val="18"/>
              </w:rPr>
            </w:pPr>
            <w:r>
              <w:rPr>
                <w:sz w:val="18"/>
              </w:rPr>
              <w:t>Opening value of reimbursement right</w:t>
            </w:r>
          </w:p>
        </w:tc>
        <w:tc>
          <w:tcPr>
            <w:tcW w:w="1659" w:type="dxa"/>
          </w:tcPr>
          <w:p w14:paraId="62191185" w14:textId="77777777" w:rsidR="00FA4AA8" w:rsidRDefault="0015611F">
            <w:pPr>
              <w:pStyle w:val="TableParagraph"/>
              <w:spacing w:before="11"/>
              <w:ind w:right="450"/>
              <w:jc w:val="right"/>
              <w:rPr>
                <w:sz w:val="18"/>
              </w:rPr>
            </w:pPr>
            <w:r>
              <w:rPr>
                <w:sz w:val="18"/>
              </w:rPr>
              <w:t>10,605</w:t>
            </w:r>
          </w:p>
        </w:tc>
        <w:tc>
          <w:tcPr>
            <w:tcW w:w="1196" w:type="dxa"/>
          </w:tcPr>
          <w:p w14:paraId="76C20603" w14:textId="77777777" w:rsidR="00FA4AA8" w:rsidRDefault="0015611F">
            <w:pPr>
              <w:pStyle w:val="TableParagraph"/>
              <w:spacing w:before="11"/>
              <w:ind w:left="390"/>
              <w:rPr>
                <w:sz w:val="18"/>
              </w:rPr>
            </w:pPr>
            <w:r>
              <w:rPr>
                <w:sz w:val="18"/>
              </w:rPr>
              <w:t>3,718</w:t>
            </w:r>
          </w:p>
        </w:tc>
        <w:tc>
          <w:tcPr>
            <w:tcW w:w="1266" w:type="dxa"/>
          </w:tcPr>
          <w:p w14:paraId="0C6D941C" w14:textId="77777777" w:rsidR="00FA4AA8" w:rsidRDefault="0015611F">
            <w:pPr>
              <w:pStyle w:val="TableParagraph"/>
              <w:spacing w:before="11"/>
              <w:ind w:right="320"/>
              <w:jc w:val="right"/>
              <w:rPr>
                <w:sz w:val="18"/>
              </w:rPr>
            </w:pPr>
            <w:r>
              <w:rPr>
                <w:sz w:val="18"/>
              </w:rPr>
              <w:t>317,958</w:t>
            </w:r>
          </w:p>
        </w:tc>
        <w:tc>
          <w:tcPr>
            <w:tcW w:w="1065" w:type="dxa"/>
          </w:tcPr>
          <w:p w14:paraId="62D7A2C1" w14:textId="77777777" w:rsidR="00FA4AA8" w:rsidRDefault="0015611F">
            <w:pPr>
              <w:pStyle w:val="TableParagraph"/>
              <w:spacing w:before="11"/>
              <w:ind w:left="318"/>
              <w:rPr>
                <w:sz w:val="18"/>
              </w:rPr>
            </w:pPr>
            <w:r>
              <w:rPr>
                <w:sz w:val="18"/>
              </w:rPr>
              <w:t>332,281</w:t>
            </w:r>
          </w:p>
        </w:tc>
      </w:tr>
      <w:tr w:rsidR="00FA4AA8" w14:paraId="72592D18" w14:textId="77777777">
        <w:trPr>
          <w:trHeight w:val="263"/>
        </w:trPr>
        <w:tc>
          <w:tcPr>
            <w:tcW w:w="4334" w:type="dxa"/>
          </w:tcPr>
          <w:p w14:paraId="58F44044" w14:textId="77777777" w:rsidR="00FA4AA8" w:rsidRDefault="0015611F">
            <w:pPr>
              <w:pStyle w:val="TableParagraph"/>
              <w:spacing w:before="26"/>
              <w:ind w:left="50"/>
              <w:rPr>
                <w:sz w:val="18"/>
              </w:rPr>
            </w:pPr>
            <w:r>
              <w:rPr>
                <w:sz w:val="18"/>
              </w:rPr>
              <w:t>Emerging liability for excess salaries</w:t>
            </w:r>
          </w:p>
        </w:tc>
        <w:tc>
          <w:tcPr>
            <w:tcW w:w="1659" w:type="dxa"/>
          </w:tcPr>
          <w:p w14:paraId="2D526930" w14:textId="77777777" w:rsidR="00FA4AA8" w:rsidRDefault="0015611F">
            <w:pPr>
              <w:pStyle w:val="TableParagraph"/>
              <w:spacing w:before="24"/>
              <w:ind w:right="389"/>
              <w:jc w:val="right"/>
              <w:rPr>
                <w:sz w:val="18"/>
              </w:rPr>
            </w:pPr>
            <w:r>
              <w:rPr>
                <w:sz w:val="18"/>
              </w:rPr>
              <w:t>(1,707)</w:t>
            </w:r>
          </w:p>
        </w:tc>
        <w:tc>
          <w:tcPr>
            <w:tcW w:w="1196" w:type="dxa"/>
          </w:tcPr>
          <w:p w14:paraId="4D9A3346" w14:textId="77777777" w:rsidR="00FA4AA8" w:rsidRDefault="0015611F">
            <w:pPr>
              <w:pStyle w:val="TableParagraph"/>
              <w:spacing w:before="24"/>
              <w:ind w:left="481"/>
              <w:rPr>
                <w:sz w:val="18"/>
              </w:rPr>
            </w:pPr>
            <w:r>
              <w:rPr>
                <w:sz w:val="18"/>
              </w:rPr>
              <w:t>(385)</w:t>
            </w:r>
          </w:p>
        </w:tc>
        <w:tc>
          <w:tcPr>
            <w:tcW w:w="1266" w:type="dxa"/>
          </w:tcPr>
          <w:p w14:paraId="2FADE04B" w14:textId="77777777" w:rsidR="00FA4AA8" w:rsidRDefault="0015611F">
            <w:pPr>
              <w:pStyle w:val="TableParagraph"/>
              <w:spacing w:before="24"/>
              <w:ind w:right="319"/>
              <w:jc w:val="right"/>
              <w:rPr>
                <w:sz w:val="18"/>
              </w:rPr>
            </w:pPr>
            <w:r>
              <w:rPr>
                <w:sz w:val="18"/>
              </w:rPr>
              <w:t>-</w:t>
            </w:r>
          </w:p>
        </w:tc>
        <w:tc>
          <w:tcPr>
            <w:tcW w:w="1065" w:type="dxa"/>
          </w:tcPr>
          <w:p w14:paraId="3C826B3F" w14:textId="77777777" w:rsidR="00FA4AA8" w:rsidRDefault="0015611F">
            <w:pPr>
              <w:pStyle w:val="TableParagraph"/>
              <w:spacing w:before="24"/>
              <w:ind w:right="28"/>
              <w:jc w:val="right"/>
              <w:rPr>
                <w:sz w:val="18"/>
              </w:rPr>
            </w:pPr>
            <w:r>
              <w:rPr>
                <w:sz w:val="18"/>
              </w:rPr>
              <w:t>(2,092)</w:t>
            </w:r>
          </w:p>
        </w:tc>
      </w:tr>
      <w:tr w:rsidR="00FA4AA8" w14:paraId="575AB9AC" w14:textId="77777777">
        <w:trPr>
          <w:trHeight w:val="263"/>
        </w:trPr>
        <w:tc>
          <w:tcPr>
            <w:tcW w:w="4334" w:type="dxa"/>
          </w:tcPr>
          <w:p w14:paraId="6223F06C" w14:textId="77777777" w:rsidR="00FA4AA8" w:rsidRDefault="0015611F">
            <w:pPr>
              <w:pStyle w:val="TableParagraph"/>
              <w:spacing w:before="26"/>
              <w:ind w:left="50"/>
              <w:rPr>
                <w:sz w:val="18"/>
              </w:rPr>
            </w:pPr>
            <w:r>
              <w:rPr>
                <w:sz w:val="18"/>
              </w:rPr>
              <w:t>Return on reimbursement rights</w:t>
            </w:r>
          </w:p>
        </w:tc>
        <w:tc>
          <w:tcPr>
            <w:tcW w:w="1659" w:type="dxa"/>
          </w:tcPr>
          <w:p w14:paraId="17CB3F12" w14:textId="77777777" w:rsidR="00FA4AA8" w:rsidRDefault="0015611F">
            <w:pPr>
              <w:pStyle w:val="TableParagraph"/>
              <w:spacing w:before="24"/>
              <w:ind w:right="450"/>
              <w:jc w:val="right"/>
              <w:rPr>
                <w:sz w:val="18"/>
              </w:rPr>
            </w:pPr>
            <w:r>
              <w:rPr>
                <w:sz w:val="18"/>
              </w:rPr>
              <w:t>1,362</w:t>
            </w:r>
          </w:p>
        </w:tc>
        <w:tc>
          <w:tcPr>
            <w:tcW w:w="1196" w:type="dxa"/>
          </w:tcPr>
          <w:p w14:paraId="6B3F553A" w14:textId="77777777" w:rsidR="00FA4AA8" w:rsidRDefault="0015611F">
            <w:pPr>
              <w:pStyle w:val="TableParagraph"/>
              <w:spacing w:before="24"/>
              <w:ind w:left="541"/>
              <w:rPr>
                <w:sz w:val="18"/>
              </w:rPr>
            </w:pPr>
            <w:r>
              <w:rPr>
                <w:sz w:val="18"/>
              </w:rPr>
              <w:t>260</w:t>
            </w:r>
          </w:p>
        </w:tc>
        <w:tc>
          <w:tcPr>
            <w:tcW w:w="1266" w:type="dxa"/>
          </w:tcPr>
          <w:p w14:paraId="77B57B0B" w14:textId="77777777" w:rsidR="00FA4AA8" w:rsidRDefault="0015611F">
            <w:pPr>
              <w:pStyle w:val="TableParagraph"/>
              <w:spacing w:before="24"/>
              <w:ind w:right="320"/>
              <w:jc w:val="right"/>
              <w:rPr>
                <w:sz w:val="18"/>
              </w:rPr>
            </w:pPr>
            <w:r>
              <w:rPr>
                <w:sz w:val="18"/>
              </w:rPr>
              <w:t>9,038</w:t>
            </w:r>
          </w:p>
        </w:tc>
        <w:tc>
          <w:tcPr>
            <w:tcW w:w="1065" w:type="dxa"/>
          </w:tcPr>
          <w:p w14:paraId="083E4145" w14:textId="77777777" w:rsidR="00FA4AA8" w:rsidRDefault="0015611F">
            <w:pPr>
              <w:pStyle w:val="TableParagraph"/>
              <w:spacing w:before="24"/>
              <w:ind w:right="89"/>
              <w:jc w:val="right"/>
              <w:rPr>
                <w:sz w:val="18"/>
              </w:rPr>
            </w:pPr>
            <w:r>
              <w:rPr>
                <w:sz w:val="18"/>
              </w:rPr>
              <w:t>10,660</w:t>
            </w:r>
          </w:p>
        </w:tc>
      </w:tr>
      <w:tr w:rsidR="00FA4AA8" w14:paraId="04A2FA34" w14:textId="77777777">
        <w:trPr>
          <w:trHeight w:val="256"/>
        </w:trPr>
        <w:tc>
          <w:tcPr>
            <w:tcW w:w="4334" w:type="dxa"/>
          </w:tcPr>
          <w:p w14:paraId="4E91F1DF" w14:textId="77777777" w:rsidR="00FA4AA8" w:rsidRDefault="0015611F">
            <w:pPr>
              <w:pStyle w:val="TableParagraph"/>
              <w:spacing w:before="26"/>
              <w:ind w:left="50"/>
              <w:rPr>
                <w:sz w:val="18"/>
              </w:rPr>
            </w:pPr>
            <w:r>
              <w:rPr>
                <w:sz w:val="18"/>
              </w:rPr>
              <w:t>Remeasurements</w:t>
            </w:r>
          </w:p>
        </w:tc>
        <w:tc>
          <w:tcPr>
            <w:tcW w:w="1659" w:type="dxa"/>
            <w:tcBorders>
              <w:bottom w:val="single" w:sz="8" w:space="0" w:color="000000"/>
            </w:tcBorders>
          </w:tcPr>
          <w:p w14:paraId="4FF8D18D" w14:textId="77777777" w:rsidR="00FA4AA8" w:rsidRDefault="0015611F">
            <w:pPr>
              <w:pStyle w:val="TableParagraph"/>
              <w:spacing w:before="24"/>
              <w:ind w:right="449"/>
              <w:jc w:val="right"/>
              <w:rPr>
                <w:sz w:val="18"/>
              </w:rPr>
            </w:pPr>
            <w:r>
              <w:rPr>
                <w:sz w:val="18"/>
              </w:rPr>
              <w:t>675</w:t>
            </w:r>
          </w:p>
        </w:tc>
        <w:tc>
          <w:tcPr>
            <w:tcW w:w="1196" w:type="dxa"/>
            <w:tcBorders>
              <w:bottom w:val="single" w:sz="8" w:space="0" w:color="000000"/>
            </w:tcBorders>
          </w:tcPr>
          <w:p w14:paraId="178BEA63" w14:textId="77777777" w:rsidR="00FA4AA8" w:rsidRDefault="0015611F">
            <w:pPr>
              <w:pStyle w:val="TableParagraph"/>
              <w:spacing w:before="24"/>
              <w:ind w:left="541"/>
              <w:rPr>
                <w:sz w:val="18"/>
              </w:rPr>
            </w:pPr>
            <w:r>
              <w:rPr>
                <w:sz w:val="18"/>
              </w:rPr>
              <w:t>265</w:t>
            </w:r>
          </w:p>
        </w:tc>
        <w:tc>
          <w:tcPr>
            <w:tcW w:w="1266" w:type="dxa"/>
            <w:tcBorders>
              <w:bottom w:val="single" w:sz="8" w:space="0" w:color="000000"/>
            </w:tcBorders>
          </w:tcPr>
          <w:p w14:paraId="6DAB9B79" w14:textId="77777777" w:rsidR="00FA4AA8" w:rsidRDefault="0015611F">
            <w:pPr>
              <w:pStyle w:val="TableParagraph"/>
              <w:spacing w:before="24"/>
              <w:ind w:right="320"/>
              <w:jc w:val="right"/>
              <w:rPr>
                <w:sz w:val="18"/>
              </w:rPr>
            </w:pPr>
            <w:r>
              <w:rPr>
                <w:sz w:val="18"/>
              </w:rPr>
              <w:t>3,914</w:t>
            </w:r>
          </w:p>
        </w:tc>
        <w:tc>
          <w:tcPr>
            <w:tcW w:w="1065" w:type="dxa"/>
            <w:tcBorders>
              <w:bottom w:val="single" w:sz="8" w:space="0" w:color="000000"/>
            </w:tcBorders>
          </w:tcPr>
          <w:p w14:paraId="6B78640B" w14:textId="77777777" w:rsidR="00FA4AA8" w:rsidRDefault="0015611F">
            <w:pPr>
              <w:pStyle w:val="TableParagraph"/>
              <w:spacing w:before="24"/>
              <w:ind w:right="89"/>
              <w:jc w:val="right"/>
              <w:rPr>
                <w:sz w:val="18"/>
              </w:rPr>
            </w:pPr>
            <w:r>
              <w:rPr>
                <w:sz w:val="18"/>
              </w:rPr>
              <w:t>4,854</w:t>
            </w:r>
          </w:p>
        </w:tc>
      </w:tr>
      <w:tr w:rsidR="00FA4AA8" w14:paraId="68CB346D" w14:textId="77777777">
        <w:trPr>
          <w:trHeight w:val="320"/>
        </w:trPr>
        <w:tc>
          <w:tcPr>
            <w:tcW w:w="4334" w:type="dxa"/>
          </w:tcPr>
          <w:p w14:paraId="7B654845" w14:textId="77777777" w:rsidR="00FA4AA8" w:rsidRDefault="0015611F">
            <w:pPr>
              <w:pStyle w:val="TableParagraph"/>
              <w:tabs>
                <w:tab w:val="right" w:pos="4153"/>
              </w:tabs>
              <w:spacing w:before="25" w:line="275" w:lineRule="exact"/>
              <w:ind w:left="50"/>
              <w:rPr>
                <w:sz w:val="18"/>
              </w:rPr>
            </w:pPr>
            <w:r>
              <w:rPr>
                <w:b/>
                <w:sz w:val="18"/>
              </w:rPr>
              <w:t>Closing value of reimbursement right</w:t>
            </w:r>
            <w:r>
              <w:rPr>
                <w:b/>
                <w:sz w:val="18"/>
              </w:rPr>
              <w:tab/>
            </w:r>
            <w:r>
              <w:rPr>
                <w:position w:val="9"/>
                <w:sz w:val="18"/>
              </w:rPr>
              <w:t>17</w:t>
            </w:r>
          </w:p>
        </w:tc>
        <w:tc>
          <w:tcPr>
            <w:tcW w:w="1659" w:type="dxa"/>
            <w:tcBorders>
              <w:top w:val="single" w:sz="8" w:space="0" w:color="000000"/>
              <w:bottom w:val="double" w:sz="2" w:space="0" w:color="000000"/>
            </w:tcBorders>
          </w:tcPr>
          <w:p w14:paraId="779285C9" w14:textId="77777777" w:rsidR="00FA4AA8" w:rsidRDefault="0015611F">
            <w:pPr>
              <w:pStyle w:val="TableParagraph"/>
              <w:spacing w:before="115" w:line="185" w:lineRule="exact"/>
              <w:ind w:right="450"/>
              <w:jc w:val="right"/>
              <w:rPr>
                <w:sz w:val="18"/>
              </w:rPr>
            </w:pPr>
            <w:r>
              <w:rPr>
                <w:sz w:val="18"/>
              </w:rPr>
              <w:t>10,935</w:t>
            </w:r>
          </w:p>
        </w:tc>
        <w:tc>
          <w:tcPr>
            <w:tcW w:w="1196" w:type="dxa"/>
            <w:tcBorders>
              <w:top w:val="single" w:sz="8" w:space="0" w:color="000000"/>
              <w:bottom w:val="double" w:sz="2" w:space="0" w:color="000000"/>
            </w:tcBorders>
          </w:tcPr>
          <w:p w14:paraId="4B2360A3" w14:textId="77777777" w:rsidR="00FA4AA8" w:rsidRDefault="0015611F">
            <w:pPr>
              <w:pStyle w:val="TableParagraph"/>
              <w:spacing w:before="115" w:line="185" w:lineRule="exact"/>
              <w:ind w:left="390"/>
              <w:rPr>
                <w:sz w:val="18"/>
              </w:rPr>
            </w:pPr>
            <w:r>
              <w:rPr>
                <w:sz w:val="18"/>
              </w:rPr>
              <w:t>3,858</w:t>
            </w:r>
          </w:p>
        </w:tc>
        <w:tc>
          <w:tcPr>
            <w:tcW w:w="1266" w:type="dxa"/>
            <w:tcBorders>
              <w:top w:val="single" w:sz="8" w:space="0" w:color="000000"/>
              <w:bottom w:val="double" w:sz="2" w:space="0" w:color="000000"/>
            </w:tcBorders>
          </w:tcPr>
          <w:p w14:paraId="273F275B" w14:textId="77777777" w:rsidR="00FA4AA8" w:rsidRDefault="0015611F">
            <w:pPr>
              <w:pStyle w:val="TableParagraph"/>
              <w:spacing w:before="115" w:line="185" w:lineRule="exact"/>
              <w:ind w:right="320"/>
              <w:jc w:val="right"/>
              <w:rPr>
                <w:sz w:val="18"/>
              </w:rPr>
            </w:pPr>
            <w:r>
              <w:rPr>
                <w:sz w:val="18"/>
              </w:rPr>
              <w:t>330,910</w:t>
            </w:r>
          </w:p>
        </w:tc>
        <w:tc>
          <w:tcPr>
            <w:tcW w:w="1065" w:type="dxa"/>
            <w:tcBorders>
              <w:top w:val="single" w:sz="8" w:space="0" w:color="000000"/>
              <w:bottom w:val="double" w:sz="2" w:space="0" w:color="000000"/>
            </w:tcBorders>
          </w:tcPr>
          <w:p w14:paraId="3CD5953E" w14:textId="77777777" w:rsidR="00FA4AA8" w:rsidRDefault="0015611F">
            <w:pPr>
              <w:pStyle w:val="TableParagraph"/>
              <w:spacing w:before="115" w:line="185" w:lineRule="exact"/>
              <w:ind w:left="318"/>
              <w:rPr>
                <w:sz w:val="18"/>
              </w:rPr>
            </w:pPr>
            <w:r>
              <w:rPr>
                <w:sz w:val="18"/>
              </w:rPr>
              <w:t>345,703</w:t>
            </w:r>
          </w:p>
        </w:tc>
      </w:tr>
    </w:tbl>
    <w:p w14:paraId="56A72FAF" w14:textId="77777777" w:rsidR="00FA4AA8" w:rsidRDefault="00FA4AA8">
      <w:pPr>
        <w:spacing w:line="185" w:lineRule="exact"/>
        <w:rPr>
          <w:sz w:val="18"/>
        </w:rPr>
        <w:sectPr w:rsidR="00FA4AA8">
          <w:type w:val="continuous"/>
          <w:pgSz w:w="11910" w:h="16840"/>
          <w:pgMar w:top="20" w:right="880" w:bottom="0" w:left="840" w:header="720" w:footer="720" w:gutter="0"/>
          <w:cols w:space="720"/>
        </w:sectPr>
      </w:pPr>
    </w:p>
    <w:p w14:paraId="66DD309A" w14:textId="77777777" w:rsidR="00FA4AA8" w:rsidRDefault="00FA4AA8">
      <w:pPr>
        <w:pStyle w:val="BodyText"/>
        <w:rPr>
          <w:b/>
          <w:sz w:val="20"/>
        </w:rPr>
      </w:pPr>
    </w:p>
    <w:p w14:paraId="4E9E7097" w14:textId="77777777" w:rsidR="00FA4AA8" w:rsidRDefault="00FA4AA8">
      <w:pPr>
        <w:pStyle w:val="BodyText"/>
        <w:rPr>
          <w:b/>
          <w:sz w:val="20"/>
        </w:rPr>
      </w:pPr>
    </w:p>
    <w:p w14:paraId="2F52393B" w14:textId="77777777" w:rsidR="00FA4AA8" w:rsidRDefault="00FA4AA8">
      <w:pPr>
        <w:pStyle w:val="BodyText"/>
        <w:spacing w:before="6"/>
        <w:rPr>
          <w:b/>
        </w:rPr>
      </w:pPr>
    </w:p>
    <w:tbl>
      <w:tblPr>
        <w:tblW w:w="0" w:type="auto"/>
        <w:tblInd w:w="125" w:type="dxa"/>
        <w:tblLayout w:type="fixed"/>
        <w:tblCellMar>
          <w:left w:w="0" w:type="dxa"/>
          <w:right w:w="0" w:type="dxa"/>
        </w:tblCellMar>
        <w:tblLook w:val="01E0" w:firstRow="1" w:lastRow="1" w:firstColumn="1" w:lastColumn="1" w:noHBand="0" w:noVBand="0"/>
      </w:tblPr>
      <w:tblGrid>
        <w:gridCol w:w="363"/>
        <w:gridCol w:w="4696"/>
        <w:gridCol w:w="1175"/>
        <w:gridCol w:w="1341"/>
        <w:gridCol w:w="1297"/>
        <w:gridCol w:w="1088"/>
      </w:tblGrid>
      <w:tr w:rsidR="00FA4AA8" w14:paraId="1F698EAC" w14:textId="77777777">
        <w:trPr>
          <w:trHeight w:val="736"/>
        </w:trPr>
        <w:tc>
          <w:tcPr>
            <w:tcW w:w="363" w:type="dxa"/>
          </w:tcPr>
          <w:p w14:paraId="006A6740" w14:textId="77777777" w:rsidR="00FA4AA8" w:rsidRDefault="0015611F">
            <w:pPr>
              <w:pStyle w:val="TableParagraph"/>
              <w:spacing w:line="201" w:lineRule="exact"/>
              <w:ind w:left="50"/>
              <w:rPr>
                <w:b/>
                <w:sz w:val="18"/>
              </w:rPr>
            </w:pPr>
            <w:r>
              <w:rPr>
                <w:b/>
                <w:sz w:val="18"/>
              </w:rPr>
              <w:t>38</w:t>
            </w:r>
          </w:p>
          <w:p w14:paraId="0D07BB6C" w14:textId="77777777" w:rsidR="00FA4AA8" w:rsidRDefault="00FA4AA8">
            <w:pPr>
              <w:pStyle w:val="TableParagraph"/>
              <w:spacing w:before="7"/>
              <w:rPr>
                <w:b/>
                <w:sz w:val="26"/>
              </w:rPr>
            </w:pPr>
          </w:p>
          <w:p w14:paraId="7CADE869" w14:textId="77777777" w:rsidR="00FA4AA8" w:rsidRDefault="0015611F">
            <w:pPr>
              <w:pStyle w:val="TableParagraph"/>
              <w:ind w:left="50"/>
              <w:rPr>
                <w:b/>
                <w:sz w:val="18"/>
              </w:rPr>
            </w:pPr>
            <w:r>
              <w:rPr>
                <w:b/>
                <w:sz w:val="18"/>
              </w:rPr>
              <w:t>(d)</w:t>
            </w:r>
          </w:p>
        </w:tc>
        <w:tc>
          <w:tcPr>
            <w:tcW w:w="4696" w:type="dxa"/>
          </w:tcPr>
          <w:p w14:paraId="36BA091B" w14:textId="77777777" w:rsidR="00FA4AA8" w:rsidRDefault="0015611F">
            <w:pPr>
              <w:pStyle w:val="TableParagraph"/>
              <w:spacing w:line="201" w:lineRule="exact"/>
              <w:ind w:left="83"/>
              <w:rPr>
                <w:b/>
                <w:sz w:val="18"/>
              </w:rPr>
            </w:pPr>
            <w:r>
              <w:rPr>
                <w:b/>
                <w:sz w:val="18"/>
              </w:rPr>
              <w:t>Defined Benefits Plans (continued)</w:t>
            </w:r>
          </w:p>
          <w:p w14:paraId="19FC23E8" w14:textId="77777777" w:rsidR="00FA4AA8" w:rsidRDefault="00FA4AA8">
            <w:pPr>
              <w:pStyle w:val="TableParagraph"/>
              <w:spacing w:before="7"/>
              <w:rPr>
                <w:b/>
                <w:sz w:val="26"/>
              </w:rPr>
            </w:pPr>
          </w:p>
          <w:p w14:paraId="78FA3F9D" w14:textId="77777777" w:rsidR="00FA4AA8" w:rsidRDefault="0015611F">
            <w:pPr>
              <w:pStyle w:val="TableParagraph"/>
              <w:ind w:left="83"/>
              <w:rPr>
                <w:b/>
                <w:sz w:val="18"/>
              </w:rPr>
            </w:pPr>
            <w:r>
              <w:rPr>
                <w:b/>
                <w:sz w:val="18"/>
              </w:rPr>
              <w:t>Statement of financial position amounts (continued)</w:t>
            </w:r>
          </w:p>
        </w:tc>
        <w:tc>
          <w:tcPr>
            <w:tcW w:w="4901" w:type="dxa"/>
            <w:gridSpan w:val="4"/>
          </w:tcPr>
          <w:p w14:paraId="33675D0D" w14:textId="77777777" w:rsidR="00FA4AA8" w:rsidRDefault="00FA4AA8">
            <w:pPr>
              <w:pStyle w:val="TableParagraph"/>
              <w:rPr>
                <w:rFonts w:ascii="Times New Roman"/>
                <w:sz w:val="18"/>
              </w:rPr>
            </w:pPr>
          </w:p>
        </w:tc>
      </w:tr>
      <w:tr w:rsidR="00FA4AA8" w14:paraId="611EBD4B" w14:textId="77777777">
        <w:trPr>
          <w:trHeight w:val="259"/>
        </w:trPr>
        <w:tc>
          <w:tcPr>
            <w:tcW w:w="363" w:type="dxa"/>
          </w:tcPr>
          <w:p w14:paraId="2F9312E2" w14:textId="77777777" w:rsidR="00FA4AA8" w:rsidRDefault="00FA4AA8">
            <w:pPr>
              <w:pStyle w:val="TableParagraph"/>
              <w:rPr>
                <w:rFonts w:ascii="Times New Roman"/>
                <w:sz w:val="18"/>
              </w:rPr>
            </w:pPr>
          </w:p>
        </w:tc>
        <w:tc>
          <w:tcPr>
            <w:tcW w:w="4696" w:type="dxa"/>
          </w:tcPr>
          <w:p w14:paraId="38483CFF" w14:textId="77777777" w:rsidR="00FA4AA8" w:rsidRDefault="00FA4AA8">
            <w:pPr>
              <w:pStyle w:val="TableParagraph"/>
              <w:rPr>
                <w:rFonts w:ascii="Times New Roman"/>
                <w:sz w:val="18"/>
              </w:rPr>
            </w:pPr>
          </w:p>
        </w:tc>
        <w:tc>
          <w:tcPr>
            <w:tcW w:w="1175" w:type="dxa"/>
          </w:tcPr>
          <w:p w14:paraId="4658D4C2" w14:textId="77777777" w:rsidR="00FA4AA8" w:rsidRDefault="0015611F">
            <w:pPr>
              <w:pStyle w:val="TableParagraph"/>
              <w:spacing w:before="16"/>
              <w:ind w:left="141"/>
              <w:rPr>
                <w:b/>
                <w:sz w:val="18"/>
              </w:rPr>
            </w:pPr>
            <w:r>
              <w:rPr>
                <w:b/>
                <w:sz w:val="18"/>
              </w:rPr>
              <w:t>SASS</w:t>
            </w:r>
          </w:p>
        </w:tc>
        <w:tc>
          <w:tcPr>
            <w:tcW w:w="1341" w:type="dxa"/>
          </w:tcPr>
          <w:p w14:paraId="58E6F350" w14:textId="77777777" w:rsidR="00FA4AA8" w:rsidRDefault="0015611F">
            <w:pPr>
              <w:pStyle w:val="TableParagraph"/>
              <w:spacing w:before="16"/>
              <w:ind w:left="192"/>
              <w:rPr>
                <w:b/>
                <w:sz w:val="18"/>
              </w:rPr>
            </w:pPr>
            <w:r>
              <w:rPr>
                <w:b/>
                <w:sz w:val="18"/>
              </w:rPr>
              <w:t>SANCS</w:t>
            </w:r>
          </w:p>
        </w:tc>
        <w:tc>
          <w:tcPr>
            <w:tcW w:w="1297" w:type="dxa"/>
          </w:tcPr>
          <w:p w14:paraId="2F111FED" w14:textId="77777777" w:rsidR="00FA4AA8" w:rsidRDefault="0015611F">
            <w:pPr>
              <w:pStyle w:val="TableParagraph"/>
              <w:spacing w:before="16"/>
              <w:ind w:left="279"/>
              <w:rPr>
                <w:b/>
                <w:sz w:val="18"/>
              </w:rPr>
            </w:pPr>
            <w:r>
              <w:rPr>
                <w:b/>
                <w:sz w:val="18"/>
              </w:rPr>
              <w:t>SSS</w:t>
            </w:r>
          </w:p>
        </w:tc>
        <w:tc>
          <w:tcPr>
            <w:tcW w:w="1088" w:type="dxa"/>
          </w:tcPr>
          <w:p w14:paraId="3F029519" w14:textId="77777777" w:rsidR="00FA4AA8" w:rsidRDefault="0015611F">
            <w:pPr>
              <w:pStyle w:val="TableParagraph"/>
              <w:spacing w:before="16"/>
              <w:ind w:left="242"/>
              <w:rPr>
                <w:b/>
                <w:sz w:val="18"/>
              </w:rPr>
            </w:pPr>
            <w:r>
              <w:rPr>
                <w:b/>
                <w:sz w:val="18"/>
              </w:rPr>
              <w:t>Total</w:t>
            </w:r>
          </w:p>
        </w:tc>
      </w:tr>
      <w:tr w:rsidR="00FA4AA8" w14:paraId="5124A63F" w14:textId="77777777">
        <w:trPr>
          <w:trHeight w:val="271"/>
        </w:trPr>
        <w:tc>
          <w:tcPr>
            <w:tcW w:w="363" w:type="dxa"/>
          </w:tcPr>
          <w:p w14:paraId="7350BE95" w14:textId="77777777" w:rsidR="00FA4AA8" w:rsidRDefault="00FA4AA8">
            <w:pPr>
              <w:pStyle w:val="TableParagraph"/>
              <w:rPr>
                <w:rFonts w:ascii="Times New Roman"/>
                <w:sz w:val="18"/>
              </w:rPr>
            </w:pPr>
          </w:p>
        </w:tc>
        <w:tc>
          <w:tcPr>
            <w:tcW w:w="4696" w:type="dxa"/>
          </w:tcPr>
          <w:p w14:paraId="7BAC603F" w14:textId="77777777" w:rsidR="00FA4AA8" w:rsidRDefault="0015611F">
            <w:pPr>
              <w:pStyle w:val="TableParagraph"/>
              <w:spacing w:before="30"/>
              <w:ind w:left="126"/>
              <w:rPr>
                <w:b/>
                <w:sz w:val="18"/>
              </w:rPr>
            </w:pPr>
            <w:r>
              <w:rPr>
                <w:b/>
                <w:sz w:val="18"/>
              </w:rPr>
              <w:t>Present value of obligation - 2017</w:t>
            </w:r>
          </w:p>
        </w:tc>
        <w:tc>
          <w:tcPr>
            <w:tcW w:w="1175" w:type="dxa"/>
          </w:tcPr>
          <w:p w14:paraId="1EF5567C" w14:textId="77777777" w:rsidR="00FA4AA8" w:rsidRDefault="0015611F">
            <w:pPr>
              <w:pStyle w:val="TableParagraph"/>
              <w:spacing w:before="30"/>
              <w:ind w:left="160"/>
              <w:rPr>
                <w:b/>
                <w:sz w:val="18"/>
              </w:rPr>
            </w:pPr>
            <w:r>
              <w:rPr>
                <w:b/>
                <w:sz w:val="18"/>
              </w:rPr>
              <w:t>$'000</w:t>
            </w:r>
          </w:p>
        </w:tc>
        <w:tc>
          <w:tcPr>
            <w:tcW w:w="1341" w:type="dxa"/>
          </w:tcPr>
          <w:p w14:paraId="4503A7CA" w14:textId="77777777" w:rsidR="00FA4AA8" w:rsidRDefault="0015611F">
            <w:pPr>
              <w:pStyle w:val="TableParagraph"/>
              <w:spacing w:before="30"/>
              <w:ind w:left="281"/>
              <w:rPr>
                <w:b/>
                <w:sz w:val="18"/>
              </w:rPr>
            </w:pPr>
            <w:r>
              <w:rPr>
                <w:b/>
                <w:sz w:val="18"/>
              </w:rPr>
              <w:t>$'000</w:t>
            </w:r>
          </w:p>
        </w:tc>
        <w:tc>
          <w:tcPr>
            <w:tcW w:w="1297" w:type="dxa"/>
          </w:tcPr>
          <w:p w14:paraId="3848DAEE" w14:textId="77777777" w:rsidR="00FA4AA8" w:rsidRDefault="0015611F">
            <w:pPr>
              <w:pStyle w:val="TableParagraph"/>
              <w:spacing w:before="30"/>
              <w:ind w:left="236"/>
              <w:rPr>
                <w:b/>
                <w:sz w:val="18"/>
              </w:rPr>
            </w:pPr>
            <w:r>
              <w:rPr>
                <w:b/>
                <w:sz w:val="18"/>
              </w:rPr>
              <w:t>$'000</w:t>
            </w:r>
          </w:p>
        </w:tc>
        <w:tc>
          <w:tcPr>
            <w:tcW w:w="1088" w:type="dxa"/>
          </w:tcPr>
          <w:p w14:paraId="5E03C18A" w14:textId="77777777" w:rsidR="00FA4AA8" w:rsidRDefault="0015611F">
            <w:pPr>
              <w:pStyle w:val="TableParagraph"/>
              <w:spacing w:before="30"/>
              <w:ind w:left="235"/>
              <w:rPr>
                <w:b/>
                <w:sz w:val="18"/>
              </w:rPr>
            </w:pPr>
            <w:r>
              <w:rPr>
                <w:b/>
                <w:sz w:val="18"/>
              </w:rPr>
              <w:t>$'000</w:t>
            </w:r>
          </w:p>
        </w:tc>
      </w:tr>
      <w:tr w:rsidR="00FA4AA8" w14:paraId="2A651F87" w14:textId="77777777">
        <w:trPr>
          <w:trHeight w:val="267"/>
        </w:trPr>
        <w:tc>
          <w:tcPr>
            <w:tcW w:w="363" w:type="dxa"/>
          </w:tcPr>
          <w:p w14:paraId="060A93EF" w14:textId="77777777" w:rsidR="00FA4AA8" w:rsidRDefault="00FA4AA8">
            <w:pPr>
              <w:pStyle w:val="TableParagraph"/>
              <w:rPr>
                <w:rFonts w:ascii="Times New Roman"/>
                <w:sz w:val="18"/>
              </w:rPr>
            </w:pPr>
          </w:p>
        </w:tc>
        <w:tc>
          <w:tcPr>
            <w:tcW w:w="4696" w:type="dxa"/>
          </w:tcPr>
          <w:p w14:paraId="5ED9F184" w14:textId="77777777" w:rsidR="00FA4AA8" w:rsidRDefault="0015611F">
            <w:pPr>
              <w:pStyle w:val="TableParagraph"/>
              <w:spacing w:before="30"/>
              <w:ind w:left="126"/>
              <w:rPr>
                <w:sz w:val="18"/>
              </w:rPr>
            </w:pPr>
            <w:r>
              <w:rPr>
                <w:sz w:val="18"/>
              </w:rPr>
              <w:t>Opening defined benefit obligation</w:t>
            </w:r>
          </w:p>
        </w:tc>
        <w:tc>
          <w:tcPr>
            <w:tcW w:w="1175" w:type="dxa"/>
          </w:tcPr>
          <w:p w14:paraId="6A134FE9" w14:textId="77777777" w:rsidR="00FA4AA8" w:rsidRDefault="0015611F">
            <w:pPr>
              <w:pStyle w:val="TableParagraph"/>
              <w:spacing w:before="28"/>
              <w:ind w:right="251"/>
              <w:jc w:val="right"/>
              <w:rPr>
                <w:sz w:val="18"/>
              </w:rPr>
            </w:pPr>
            <w:r>
              <w:rPr>
                <w:sz w:val="18"/>
              </w:rPr>
              <w:t>38,794</w:t>
            </w:r>
          </w:p>
        </w:tc>
        <w:tc>
          <w:tcPr>
            <w:tcW w:w="1341" w:type="dxa"/>
          </w:tcPr>
          <w:p w14:paraId="01ED7A43" w14:textId="77777777" w:rsidR="00FA4AA8" w:rsidRDefault="0015611F">
            <w:pPr>
              <w:pStyle w:val="TableParagraph"/>
              <w:spacing w:before="28"/>
              <w:ind w:left="588"/>
              <w:rPr>
                <w:sz w:val="18"/>
              </w:rPr>
            </w:pPr>
            <w:r>
              <w:rPr>
                <w:sz w:val="18"/>
              </w:rPr>
              <w:t>6,058</w:t>
            </w:r>
          </w:p>
        </w:tc>
        <w:tc>
          <w:tcPr>
            <w:tcW w:w="1297" w:type="dxa"/>
          </w:tcPr>
          <w:p w14:paraId="0E77FCF0" w14:textId="77777777" w:rsidR="00FA4AA8" w:rsidRDefault="0015611F">
            <w:pPr>
              <w:pStyle w:val="TableParagraph"/>
              <w:spacing w:before="28"/>
              <w:ind w:right="297"/>
              <w:jc w:val="right"/>
              <w:rPr>
                <w:sz w:val="18"/>
              </w:rPr>
            </w:pPr>
            <w:r>
              <w:rPr>
                <w:sz w:val="18"/>
              </w:rPr>
              <w:t>409,418</w:t>
            </w:r>
          </w:p>
        </w:tc>
        <w:tc>
          <w:tcPr>
            <w:tcW w:w="1088" w:type="dxa"/>
          </w:tcPr>
          <w:p w14:paraId="2C2F3731" w14:textId="77777777" w:rsidR="00FA4AA8" w:rsidRDefault="0015611F">
            <w:pPr>
              <w:pStyle w:val="TableParagraph"/>
              <w:spacing w:before="28"/>
              <w:ind w:left="341"/>
              <w:rPr>
                <w:sz w:val="18"/>
              </w:rPr>
            </w:pPr>
            <w:r>
              <w:rPr>
                <w:sz w:val="18"/>
              </w:rPr>
              <w:t>454,270</w:t>
            </w:r>
          </w:p>
        </w:tc>
      </w:tr>
      <w:tr w:rsidR="00FA4AA8" w14:paraId="44DEF769" w14:textId="77777777">
        <w:trPr>
          <w:trHeight w:val="264"/>
        </w:trPr>
        <w:tc>
          <w:tcPr>
            <w:tcW w:w="363" w:type="dxa"/>
          </w:tcPr>
          <w:p w14:paraId="047757E3" w14:textId="77777777" w:rsidR="00FA4AA8" w:rsidRDefault="00FA4AA8">
            <w:pPr>
              <w:pStyle w:val="TableParagraph"/>
              <w:rPr>
                <w:rFonts w:ascii="Times New Roman"/>
                <w:sz w:val="18"/>
              </w:rPr>
            </w:pPr>
          </w:p>
        </w:tc>
        <w:tc>
          <w:tcPr>
            <w:tcW w:w="4696" w:type="dxa"/>
          </w:tcPr>
          <w:p w14:paraId="71734AC5" w14:textId="77777777" w:rsidR="00FA4AA8" w:rsidRDefault="0015611F">
            <w:pPr>
              <w:pStyle w:val="TableParagraph"/>
              <w:spacing w:before="26"/>
              <w:ind w:left="126"/>
              <w:rPr>
                <w:sz w:val="18"/>
              </w:rPr>
            </w:pPr>
            <w:r>
              <w:rPr>
                <w:sz w:val="18"/>
              </w:rPr>
              <w:t>Current service cost</w:t>
            </w:r>
          </w:p>
        </w:tc>
        <w:tc>
          <w:tcPr>
            <w:tcW w:w="1175" w:type="dxa"/>
          </w:tcPr>
          <w:p w14:paraId="6F086751" w14:textId="77777777" w:rsidR="00FA4AA8" w:rsidRDefault="0015611F">
            <w:pPr>
              <w:pStyle w:val="TableParagraph"/>
              <w:spacing w:before="24"/>
              <w:ind w:right="251"/>
              <w:jc w:val="right"/>
              <w:rPr>
                <w:sz w:val="18"/>
              </w:rPr>
            </w:pPr>
            <w:r>
              <w:rPr>
                <w:sz w:val="18"/>
              </w:rPr>
              <w:t>1,081</w:t>
            </w:r>
          </w:p>
        </w:tc>
        <w:tc>
          <w:tcPr>
            <w:tcW w:w="1341" w:type="dxa"/>
          </w:tcPr>
          <w:p w14:paraId="30708317" w14:textId="77777777" w:rsidR="00FA4AA8" w:rsidRDefault="0015611F">
            <w:pPr>
              <w:pStyle w:val="TableParagraph"/>
              <w:spacing w:before="24"/>
              <w:ind w:right="296"/>
              <w:jc w:val="right"/>
              <w:rPr>
                <w:sz w:val="18"/>
              </w:rPr>
            </w:pPr>
            <w:r>
              <w:rPr>
                <w:sz w:val="18"/>
              </w:rPr>
              <w:t>232</w:t>
            </w:r>
          </w:p>
        </w:tc>
        <w:tc>
          <w:tcPr>
            <w:tcW w:w="1297" w:type="dxa"/>
          </w:tcPr>
          <w:p w14:paraId="6761DC26" w14:textId="77777777" w:rsidR="00FA4AA8" w:rsidRDefault="0015611F">
            <w:pPr>
              <w:pStyle w:val="TableParagraph"/>
              <w:spacing w:before="24"/>
              <w:ind w:right="297"/>
              <w:jc w:val="right"/>
              <w:rPr>
                <w:sz w:val="18"/>
              </w:rPr>
            </w:pPr>
            <w:r>
              <w:rPr>
                <w:sz w:val="18"/>
              </w:rPr>
              <w:t>241</w:t>
            </w:r>
          </w:p>
        </w:tc>
        <w:tc>
          <w:tcPr>
            <w:tcW w:w="1088" w:type="dxa"/>
          </w:tcPr>
          <w:p w14:paraId="304792FE" w14:textId="77777777" w:rsidR="00FA4AA8" w:rsidRDefault="0015611F">
            <w:pPr>
              <w:pStyle w:val="TableParagraph"/>
              <w:spacing w:before="24"/>
              <w:ind w:right="89"/>
              <w:jc w:val="right"/>
              <w:rPr>
                <w:sz w:val="18"/>
              </w:rPr>
            </w:pPr>
            <w:r>
              <w:rPr>
                <w:sz w:val="18"/>
              </w:rPr>
              <w:t>1,554</w:t>
            </w:r>
          </w:p>
        </w:tc>
      </w:tr>
      <w:tr w:rsidR="00FA4AA8" w14:paraId="560A2929" w14:textId="77777777">
        <w:trPr>
          <w:trHeight w:val="256"/>
        </w:trPr>
        <w:tc>
          <w:tcPr>
            <w:tcW w:w="363" w:type="dxa"/>
          </w:tcPr>
          <w:p w14:paraId="38C64884" w14:textId="77777777" w:rsidR="00FA4AA8" w:rsidRDefault="00FA4AA8">
            <w:pPr>
              <w:pStyle w:val="TableParagraph"/>
              <w:rPr>
                <w:rFonts w:ascii="Times New Roman"/>
                <w:sz w:val="18"/>
              </w:rPr>
            </w:pPr>
          </w:p>
        </w:tc>
        <w:tc>
          <w:tcPr>
            <w:tcW w:w="4696" w:type="dxa"/>
          </w:tcPr>
          <w:p w14:paraId="29D8D3D6" w14:textId="77777777" w:rsidR="00FA4AA8" w:rsidRDefault="0015611F">
            <w:pPr>
              <w:pStyle w:val="TableParagraph"/>
              <w:spacing w:before="26"/>
              <w:ind w:left="126"/>
              <w:rPr>
                <w:sz w:val="18"/>
              </w:rPr>
            </w:pPr>
            <w:r>
              <w:rPr>
                <w:sz w:val="18"/>
              </w:rPr>
              <w:t>Interest expense</w:t>
            </w:r>
          </w:p>
        </w:tc>
        <w:tc>
          <w:tcPr>
            <w:tcW w:w="1175" w:type="dxa"/>
            <w:tcBorders>
              <w:bottom w:val="single" w:sz="8" w:space="0" w:color="000000"/>
            </w:tcBorders>
          </w:tcPr>
          <w:p w14:paraId="7E437116" w14:textId="77777777" w:rsidR="00FA4AA8" w:rsidRDefault="0015611F">
            <w:pPr>
              <w:pStyle w:val="TableParagraph"/>
              <w:spacing w:before="24"/>
              <w:ind w:right="251"/>
              <w:jc w:val="right"/>
              <w:rPr>
                <w:sz w:val="18"/>
              </w:rPr>
            </w:pPr>
            <w:r>
              <w:rPr>
                <w:sz w:val="18"/>
              </w:rPr>
              <w:t>1,011</w:t>
            </w:r>
          </w:p>
        </w:tc>
        <w:tc>
          <w:tcPr>
            <w:tcW w:w="1341" w:type="dxa"/>
            <w:tcBorders>
              <w:bottom w:val="single" w:sz="8" w:space="0" w:color="000000"/>
            </w:tcBorders>
          </w:tcPr>
          <w:p w14:paraId="7C56499B" w14:textId="77777777" w:rsidR="00FA4AA8" w:rsidRDefault="0015611F">
            <w:pPr>
              <w:pStyle w:val="TableParagraph"/>
              <w:spacing w:before="24"/>
              <w:ind w:right="296"/>
              <w:jc w:val="right"/>
              <w:rPr>
                <w:sz w:val="18"/>
              </w:rPr>
            </w:pPr>
            <w:r>
              <w:rPr>
                <w:sz w:val="18"/>
              </w:rPr>
              <w:t>156</w:t>
            </w:r>
          </w:p>
        </w:tc>
        <w:tc>
          <w:tcPr>
            <w:tcW w:w="1297" w:type="dxa"/>
            <w:tcBorders>
              <w:bottom w:val="single" w:sz="8" w:space="0" w:color="000000"/>
            </w:tcBorders>
          </w:tcPr>
          <w:p w14:paraId="1552BFD0" w14:textId="77777777" w:rsidR="00FA4AA8" w:rsidRDefault="0015611F">
            <w:pPr>
              <w:pStyle w:val="TableParagraph"/>
              <w:spacing w:before="24"/>
              <w:ind w:right="297"/>
              <w:jc w:val="right"/>
              <w:rPr>
                <w:sz w:val="18"/>
              </w:rPr>
            </w:pPr>
            <w:r>
              <w:rPr>
                <w:sz w:val="18"/>
              </w:rPr>
              <w:t>11,136</w:t>
            </w:r>
          </w:p>
        </w:tc>
        <w:tc>
          <w:tcPr>
            <w:tcW w:w="1088" w:type="dxa"/>
            <w:tcBorders>
              <w:bottom w:val="single" w:sz="8" w:space="0" w:color="000000"/>
            </w:tcBorders>
          </w:tcPr>
          <w:p w14:paraId="229555D2" w14:textId="77777777" w:rsidR="00FA4AA8" w:rsidRDefault="0015611F">
            <w:pPr>
              <w:pStyle w:val="TableParagraph"/>
              <w:spacing w:before="24"/>
              <w:ind w:right="89"/>
              <w:jc w:val="right"/>
              <w:rPr>
                <w:sz w:val="18"/>
              </w:rPr>
            </w:pPr>
            <w:r>
              <w:rPr>
                <w:sz w:val="18"/>
              </w:rPr>
              <w:t>12,303</w:t>
            </w:r>
          </w:p>
        </w:tc>
      </w:tr>
      <w:tr w:rsidR="00FA4AA8" w14:paraId="5A7B716F" w14:textId="77777777">
        <w:trPr>
          <w:trHeight w:val="318"/>
        </w:trPr>
        <w:tc>
          <w:tcPr>
            <w:tcW w:w="363" w:type="dxa"/>
          </w:tcPr>
          <w:p w14:paraId="5ED9FBDC" w14:textId="77777777" w:rsidR="00FA4AA8" w:rsidRDefault="00FA4AA8">
            <w:pPr>
              <w:pStyle w:val="TableParagraph"/>
              <w:rPr>
                <w:rFonts w:ascii="Times New Roman"/>
                <w:sz w:val="18"/>
              </w:rPr>
            </w:pPr>
          </w:p>
        </w:tc>
        <w:tc>
          <w:tcPr>
            <w:tcW w:w="4696" w:type="dxa"/>
          </w:tcPr>
          <w:p w14:paraId="6BA00B53" w14:textId="77777777" w:rsidR="00FA4AA8" w:rsidRDefault="00FA4AA8">
            <w:pPr>
              <w:pStyle w:val="TableParagraph"/>
              <w:rPr>
                <w:rFonts w:ascii="Times New Roman"/>
                <w:sz w:val="18"/>
              </w:rPr>
            </w:pPr>
          </w:p>
        </w:tc>
        <w:tc>
          <w:tcPr>
            <w:tcW w:w="1175" w:type="dxa"/>
            <w:tcBorders>
              <w:top w:val="single" w:sz="8" w:space="0" w:color="000000"/>
              <w:bottom w:val="single" w:sz="8" w:space="0" w:color="000000"/>
            </w:tcBorders>
          </w:tcPr>
          <w:p w14:paraId="75DF5846" w14:textId="77777777" w:rsidR="00FA4AA8" w:rsidRDefault="0015611F">
            <w:pPr>
              <w:pStyle w:val="TableParagraph"/>
              <w:spacing w:before="115" w:line="183" w:lineRule="exact"/>
              <w:ind w:right="251"/>
              <w:jc w:val="right"/>
              <w:rPr>
                <w:sz w:val="18"/>
              </w:rPr>
            </w:pPr>
            <w:r>
              <w:rPr>
                <w:sz w:val="18"/>
              </w:rPr>
              <w:t>40,886</w:t>
            </w:r>
          </w:p>
        </w:tc>
        <w:tc>
          <w:tcPr>
            <w:tcW w:w="1341" w:type="dxa"/>
            <w:tcBorders>
              <w:top w:val="single" w:sz="8" w:space="0" w:color="000000"/>
              <w:bottom w:val="single" w:sz="8" w:space="0" w:color="000000"/>
            </w:tcBorders>
          </w:tcPr>
          <w:p w14:paraId="144A6FA4" w14:textId="77777777" w:rsidR="00FA4AA8" w:rsidRDefault="0015611F">
            <w:pPr>
              <w:pStyle w:val="TableParagraph"/>
              <w:spacing w:before="115" w:line="183" w:lineRule="exact"/>
              <w:ind w:left="588"/>
              <w:rPr>
                <w:sz w:val="18"/>
              </w:rPr>
            </w:pPr>
            <w:r>
              <w:rPr>
                <w:sz w:val="18"/>
              </w:rPr>
              <w:t>6,446</w:t>
            </w:r>
          </w:p>
        </w:tc>
        <w:tc>
          <w:tcPr>
            <w:tcW w:w="1297" w:type="dxa"/>
            <w:tcBorders>
              <w:top w:val="single" w:sz="8" w:space="0" w:color="000000"/>
              <w:bottom w:val="single" w:sz="8" w:space="0" w:color="000000"/>
            </w:tcBorders>
          </w:tcPr>
          <w:p w14:paraId="06A9A3F3" w14:textId="77777777" w:rsidR="00FA4AA8" w:rsidRDefault="0015611F">
            <w:pPr>
              <w:pStyle w:val="TableParagraph"/>
              <w:spacing w:before="115" w:line="183" w:lineRule="exact"/>
              <w:ind w:right="297"/>
              <w:jc w:val="right"/>
              <w:rPr>
                <w:sz w:val="18"/>
              </w:rPr>
            </w:pPr>
            <w:r>
              <w:rPr>
                <w:sz w:val="18"/>
              </w:rPr>
              <w:t>420,795</w:t>
            </w:r>
          </w:p>
        </w:tc>
        <w:tc>
          <w:tcPr>
            <w:tcW w:w="1088" w:type="dxa"/>
            <w:tcBorders>
              <w:top w:val="single" w:sz="8" w:space="0" w:color="000000"/>
              <w:bottom w:val="single" w:sz="8" w:space="0" w:color="000000"/>
            </w:tcBorders>
          </w:tcPr>
          <w:p w14:paraId="35034BB0" w14:textId="77777777" w:rsidR="00FA4AA8" w:rsidRDefault="0015611F">
            <w:pPr>
              <w:pStyle w:val="TableParagraph"/>
              <w:spacing w:before="115" w:line="183" w:lineRule="exact"/>
              <w:ind w:left="341"/>
              <w:rPr>
                <w:sz w:val="18"/>
              </w:rPr>
            </w:pPr>
            <w:r>
              <w:rPr>
                <w:sz w:val="18"/>
              </w:rPr>
              <w:t>468,127</w:t>
            </w:r>
          </w:p>
        </w:tc>
      </w:tr>
      <w:tr w:rsidR="00FA4AA8" w14:paraId="66D64C44" w14:textId="77777777">
        <w:trPr>
          <w:trHeight w:val="337"/>
        </w:trPr>
        <w:tc>
          <w:tcPr>
            <w:tcW w:w="363" w:type="dxa"/>
          </w:tcPr>
          <w:p w14:paraId="4CBB88A3" w14:textId="77777777" w:rsidR="00FA4AA8" w:rsidRDefault="00FA4AA8">
            <w:pPr>
              <w:pStyle w:val="TableParagraph"/>
              <w:rPr>
                <w:rFonts w:ascii="Times New Roman"/>
                <w:sz w:val="18"/>
              </w:rPr>
            </w:pPr>
          </w:p>
        </w:tc>
        <w:tc>
          <w:tcPr>
            <w:tcW w:w="4696" w:type="dxa"/>
          </w:tcPr>
          <w:p w14:paraId="5175C2D6" w14:textId="77777777" w:rsidR="00FA4AA8" w:rsidRDefault="0015611F">
            <w:pPr>
              <w:pStyle w:val="TableParagraph"/>
              <w:spacing w:before="115" w:line="203" w:lineRule="exact"/>
              <w:ind w:left="126"/>
              <w:rPr>
                <w:b/>
                <w:sz w:val="18"/>
              </w:rPr>
            </w:pPr>
            <w:r>
              <w:rPr>
                <w:b/>
                <w:sz w:val="18"/>
              </w:rPr>
              <w:t>Remeasurements</w:t>
            </w:r>
          </w:p>
        </w:tc>
        <w:tc>
          <w:tcPr>
            <w:tcW w:w="1175" w:type="dxa"/>
            <w:tcBorders>
              <w:top w:val="single" w:sz="8" w:space="0" w:color="000000"/>
            </w:tcBorders>
          </w:tcPr>
          <w:p w14:paraId="2DC05B9E" w14:textId="77777777" w:rsidR="00FA4AA8" w:rsidRDefault="00FA4AA8">
            <w:pPr>
              <w:pStyle w:val="TableParagraph"/>
              <w:rPr>
                <w:rFonts w:ascii="Times New Roman"/>
                <w:sz w:val="18"/>
              </w:rPr>
            </w:pPr>
          </w:p>
        </w:tc>
        <w:tc>
          <w:tcPr>
            <w:tcW w:w="1341" w:type="dxa"/>
            <w:tcBorders>
              <w:top w:val="single" w:sz="8" w:space="0" w:color="000000"/>
            </w:tcBorders>
          </w:tcPr>
          <w:p w14:paraId="47878800" w14:textId="77777777" w:rsidR="00FA4AA8" w:rsidRDefault="00FA4AA8">
            <w:pPr>
              <w:pStyle w:val="TableParagraph"/>
              <w:rPr>
                <w:rFonts w:ascii="Times New Roman"/>
                <w:sz w:val="18"/>
              </w:rPr>
            </w:pPr>
          </w:p>
        </w:tc>
        <w:tc>
          <w:tcPr>
            <w:tcW w:w="1297" w:type="dxa"/>
            <w:tcBorders>
              <w:top w:val="single" w:sz="8" w:space="0" w:color="000000"/>
            </w:tcBorders>
          </w:tcPr>
          <w:p w14:paraId="35794C68" w14:textId="77777777" w:rsidR="00FA4AA8" w:rsidRDefault="00FA4AA8">
            <w:pPr>
              <w:pStyle w:val="TableParagraph"/>
              <w:rPr>
                <w:rFonts w:ascii="Times New Roman"/>
                <w:sz w:val="18"/>
              </w:rPr>
            </w:pPr>
          </w:p>
        </w:tc>
        <w:tc>
          <w:tcPr>
            <w:tcW w:w="1088" w:type="dxa"/>
            <w:tcBorders>
              <w:top w:val="single" w:sz="8" w:space="0" w:color="000000"/>
            </w:tcBorders>
          </w:tcPr>
          <w:p w14:paraId="0974F48C" w14:textId="77777777" w:rsidR="00FA4AA8" w:rsidRDefault="00FA4AA8">
            <w:pPr>
              <w:pStyle w:val="TableParagraph"/>
              <w:rPr>
                <w:rFonts w:ascii="Times New Roman"/>
                <w:sz w:val="18"/>
              </w:rPr>
            </w:pPr>
          </w:p>
        </w:tc>
      </w:tr>
      <w:tr w:rsidR="00FA4AA8" w14:paraId="011CC116" w14:textId="77777777">
        <w:trPr>
          <w:trHeight w:val="453"/>
        </w:trPr>
        <w:tc>
          <w:tcPr>
            <w:tcW w:w="363" w:type="dxa"/>
          </w:tcPr>
          <w:p w14:paraId="4638A964" w14:textId="77777777" w:rsidR="00FA4AA8" w:rsidRDefault="00FA4AA8">
            <w:pPr>
              <w:pStyle w:val="TableParagraph"/>
              <w:rPr>
                <w:rFonts w:ascii="Times New Roman"/>
                <w:sz w:val="18"/>
              </w:rPr>
            </w:pPr>
          </w:p>
        </w:tc>
        <w:tc>
          <w:tcPr>
            <w:tcW w:w="4696" w:type="dxa"/>
          </w:tcPr>
          <w:p w14:paraId="06C72F42" w14:textId="77777777" w:rsidR="00FA4AA8" w:rsidRDefault="0015611F">
            <w:pPr>
              <w:pStyle w:val="TableParagraph"/>
              <w:spacing w:before="10"/>
              <w:ind w:left="126" w:right="1367"/>
              <w:rPr>
                <w:sz w:val="18"/>
              </w:rPr>
            </w:pPr>
            <w:r>
              <w:rPr>
                <w:sz w:val="18"/>
              </w:rPr>
              <w:t>Actuarial losses/(gains) arising from changes in financial assumptions</w:t>
            </w:r>
          </w:p>
        </w:tc>
        <w:tc>
          <w:tcPr>
            <w:tcW w:w="1175" w:type="dxa"/>
          </w:tcPr>
          <w:p w14:paraId="226CA6DC" w14:textId="77777777" w:rsidR="00FA4AA8" w:rsidRDefault="00FA4AA8">
            <w:pPr>
              <w:pStyle w:val="TableParagraph"/>
              <w:spacing w:before="6"/>
              <w:rPr>
                <w:b/>
                <w:sz w:val="18"/>
              </w:rPr>
            </w:pPr>
          </w:p>
          <w:p w14:paraId="3D49FC05" w14:textId="77777777" w:rsidR="00FA4AA8" w:rsidRDefault="0015611F">
            <w:pPr>
              <w:pStyle w:val="TableParagraph"/>
              <w:spacing w:before="1"/>
              <w:ind w:right="251"/>
              <w:jc w:val="right"/>
              <w:rPr>
                <w:sz w:val="18"/>
              </w:rPr>
            </w:pPr>
            <w:r>
              <w:rPr>
                <w:sz w:val="18"/>
              </w:rPr>
              <w:t>137</w:t>
            </w:r>
          </w:p>
        </w:tc>
        <w:tc>
          <w:tcPr>
            <w:tcW w:w="1341" w:type="dxa"/>
          </w:tcPr>
          <w:p w14:paraId="5A562B33" w14:textId="77777777" w:rsidR="00FA4AA8" w:rsidRDefault="00FA4AA8">
            <w:pPr>
              <w:pStyle w:val="TableParagraph"/>
              <w:spacing w:before="6"/>
              <w:rPr>
                <w:b/>
                <w:sz w:val="18"/>
              </w:rPr>
            </w:pPr>
          </w:p>
          <w:p w14:paraId="36C42622" w14:textId="77777777" w:rsidR="00FA4AA8" w:rsidRDefault="0015611F">
            <w:pPr>
              <w:pStyle w:val="TableParagraph"/>
              <w:spacing w:before="1"/>
              <w:ind w:right="296"/>
              <w:jc w:val="right"/>
              <w:rPr>
                <w:sz w:val="18"/>
              </w:rPr>
            </w:pPr>
            <w:r>
              <w:rPr>
                <w:sz w:val="18"/>
              </w:rPr>
              <w:t>35</w:t>
            </w:r>
          </w:p>
        </w:tc>
        <w:tc>
          <w:tcPr>
            <w:tcW w:w="1297" w:type="dxa"/>
          </w:tcPr>
          <w:p w14:paraId="1DF7C1B1" w14:textId="77777777" w:rsidR="00FA4AA8" w:rsidRDefault="00FA4AA8">
            <w:pPr>
              <w:pStyle w:val="TableParagraph"/>
              <w:spacing w:before="6"/>
              <w:rPr>
                <w:b/>
                <w:sz w:val="18"/>
              </w:rPr>
            </w:pPr>
          </w:p>
          <w:p w14:paraId="44CE66E3" w14:textId="77777777" w:rsidR="00FA4AA8" w:rsidRDefault="0015611F">
            <w:pPr>
              <w:pStyle w:val="TableParagraph"/>
              <w:spacing w:before="1"/>
              <w:ind w:right="297"/>
              <w:jc w:val="right"/>
              <w:rPr>
                <w:sz w:val="18"/>
              </w:rPr>
            </w:pPr>
            <w:r>
              <w:rPr>
                <w:sz w:val="18"/>
              </w:rPr>
              <w:t>4,656</w:t>
            </w:r>
          </w:p>
        </w:tc>
        <w:tc>
          <w:tcPr>
            <w:tcW w:w="1088" w:type="dxa"/>
          </w:tcPr>
          <w:p w14:paraId="3D4DE629" w14:textId="77777777" w:rsidR="00FA4AA8" w:rsidRDefault="00FA4AA8">
            <w:pPr>
              <w:pStyle w:val="TableParagraph"/>
              <w:spacing w:before="6"/>
              <w:rPr>
                <w:b/>
                <w:sz w:val="18"/>
              </w:rPr>
            </w:pPr>
          </w:p>
          <w:p w14:paraId="7083889C" w14:textId="77777777" w:rsidR="00FA4AA8" w:rsidRDefault="0015611F">
            <w:pPr>
              <w:pStyle w:val="TableParagraph"/>
              <w:spacing w:before="1"/>
              <w:ind w:right="89"/>
              <w:jc w:val="right"/>
              <w:rPr>
                <w:sz w:val="18"/>
              </w:rPr>
            </w:pPr>
            <w:r>
              <w:rPr>
                <w:sz w:val="18"/>
              </w:rPr>
              <w:t>4,828</w:t>
            </w:r>
          </w:p>
        </w:tc>
      </w:tr>
      <w:tr w:rsidR="00FA4AA8" w14:paraId="17DBAB8D" w14:textId="77777777">
        <w:trPr>
          <w:trHeight w:val="256"/>
        </w:trPr>
        <w:tc>
          <w:tcPr>
            <w:tcW w:w="363" w:type="dxa"/>
          </w:tcPr>
          <w:p w14:paraId="47281892" w14:textId="77777777" w:rsidR="00FA4AA8" w:rsidRDefault="00FA4AA8">
            <w:pPr>
              <w:pStyle w:val="TableParagraph"/>
              <w:rPr>
                <w:rFonts w:ascii="Times New Roman"/>
                <w:sz w:val="18"/>
              </w:rPr>
            </w:pPr>
          </w:p>
        </w:tc>
        <w:tc>
          <w:tcPr>
            <w:tcW w:w="4696" w:type="dxa"/>
          </w:tcPr>
          <w:p w14:paraId="68437FFD" w14:textId="77777777" w:rsidR="00FA4AA8" w:rsidRDefault="0015611F">
            <w:pPr>
              <w:pStyle w:val="TableParagraph"/>
              <w:spacing w:before="26"/>
              <w:ind w:left="126"/>
              <w:rPr>
                <w:sz w:val="18"/>
              </w:rPr>
            </w:pPr>
            <w:r>
              <w:rPr>
                <w:sz w:val="18"/>
              </w:rPr>
              <w:t>Experience (gains)/losses</w:t>
            </w:r>
          </w:p>
        </w:tc>
        <w:tc>
          <w:tcPr>
            <w:tcW w:w="1175" w:type="dxa"/>
            <w:tcBorders>
              <w:bottom w:val="single" w:sz="8" w:space="0" w:color="000000"/>
            </w:tcBorders>
          </w:tcPr>
          <w:p w14:paraId="0092083F" w14:textId="77777777" w:rsidR="00FA4AA8" w:rsidRDefault="0015611F">
            <w:pPr>
              <w:pStyle w:val="TableParagraph"/>
              <w:spacing w:before="24"/>
              <w:ind w:right="251"/>
              <w:jc w:val="right"/>
              <w:rPr>
                <w:sz w:val="18"/>
              </w:rPr>
            </w:pPr>
            <w:r>
              <w:rPr>
                <w:sz w:val="18"/>
              </w:rPr>
              <w:t>1,249</w:t>
            </w:r>
          </w:p>
        </w:tc>
        <w:tc>
          <w:tcPr>
            <w:tcW w:w="1341" w:type="dxa"/>
            <w:tcBorders>
              <w:bottom w:val="single" w:sz="8" w:space="0" w:color="000000"/>
            </w:tcBorders>
          </w:tcPr>
          <w:p w14:paraId="7D530B9C" w14:textId="77777777" w:rsidR="00FA4AA8" w:rsidRDefault="0015611F">
            <w:pPr>
              <w:pStyle w:val="TableParagraph"/>
              <w:spacing w:before="24"/>
              <w:ind w:right="296"/>
              <w:jc w:val="right"/>
              <w:rPr>
                <w:sz w:val="18"/>
              </w:rPr>
            </w:pPr>
            <w:r>
              <w:rPr>
                <w:sz w:val="18"/>
              </w:rPr>
              <w:t>189</w:t>
            </w:r>
          </w:p>
        </w:tc>
        <w:tc>
          <w:tcPr>
            <w:tcW w:w="1297" w:type="dxa"/>
            <w:tcBorders>
              <w:bottom w:val="single" w:sz="8" w:space="0" w:color="000000"/>
            </w:tcBorders>
          </w:tcPr>
          <w:p w14:paraId="75F15EC0" w14:textId="77777777" w:rsidR="00FA4AA8" w:rsidRDefault="0015611F">
            <w:pPr>
              <w:pStyle w:val="TableParagraph"/>
              <w:spacing w:before="24"/>
              <w:ind w:right="237"/>
              <w:jc w:val="right"/>
              <w:rPr>
                <w:sz w:val="18"/>
              </w:rPr>
            </w:pPr>
            <w:r>
              <w:rPr>
                <w:sz w:val="18"/>
              </w:rPr>
              <w:t>(243)</w:t>
            </w:r>
          </w:p>
        </w:tc>
        <w:tc>
          <w:tcPr>
            <w:tcW w:w="1088" w:type="dxa"/>
            <w:tcBorders>
              <w:bottom w:val="single" w:sz="8" w:space="0" w:color="000000"/>
            </w:tcBorders>
          </w:tcPr>
          <w:p w14:paraId="47CCD387" w14:textId="77777777" w:rsidR="00FA4AA8" w:rsidRDefault="0015611F">
            <w:pPr>
              <w:pStyle w:val="TableParagraph"/>
              <w:spacing w:before="24"/>
              <w:ind w:right="89"/>
              <w:jc w:val="right"/>
              <w:rPr>
                <w:sz w:val="18"/>
              </w:rPr>
            </w:pPr>
            <w:r>
              <w:rPr>
                <w:sz w:val="18"/>
              </w:rPr>
              <w:t>1,195</w:t>
            </w:r>
          </w:p>
        </w:tc>
      </w:tr>
      <w:tr w:rsidR="00FA4AA8" w14:paraId="5C3673DB" w14:textId="77777777">
        <w:trPr>
          <w:trHeight w:val="318"/>
        </w:trPr>
        <w:tc>
          <w:tcPr>
            <w:tcW w:w="363" w:type="dxa"/>
          </w:tcPr>
          <w:p w14:paraId="6150FAF7" w14:textId="77777777" w:rsidR="00FA4AA8" w:rsidRDefault="00FA4AA8">
            <w:pPr>
              <w:pStyle w:val="TableParagraph"/>
              <w:rPr>
                <w:rFonts w:ascii="Times New Roman"/>
                <w:sz w:val="18"/>
              </w:rPr>
            </w:pPr>
          </w:p>
        </w:tc>
        <w:tc>
          <w:tcPr>
            <w:tcW w:w="4696" w:type="dxa"/>
          </w:tcPr>
          <w:p w14:paraId="7AB8BF27" w14:textId="77777777" w:rsidR="00FA4AA8" w:rsidRDefault="00FA4AA8">
            <w:pPr>
              <w:pStyle w:val="TableParagraph"/>
              <w:rPr>
                <w:rFonts w:ascii="Times New Roman"/>
                <w:sz w:val="18"/>
              </w:rPr>
            </w:pPr>
          </w:p>
        </w:tc>
        <w:tc>
          <w:tcPr>
            <w:tcW w:w="1175" w:type="dxa"/>
            <w:tcBorders>
              <w:top w:val="single" w:sz="8" w:space="0" w:color="000000"/>
              <w:bottom w:val="single" w:sz="8" w:space="0" w:color="000000"/>
            </w:tcBorders>
          </w:tcPr>
          <w:p w14:paraId="1C8A2AD0" w14:textId="77777777" w:rsidR="00FA4AA8" w:rsidRDefault="0015611F">
            <w:pPr>
              <w:pStyle w:val="TableParagraph"/>
              <w:spacing w:before="115" w:line="183" w:lineRule="exact"/>
              <w:ind w:right="251"/>
              <w:jc w:val="right"/>
              <w:rPr>
                <w:sz w:val="18"/>
              </w:rPr>
            </w:pPr>
            <w:r>
              <w:rPr>
                <w:sz w:val="18"/>
              </w:rPr>
              <w:t>1,386</w:t>
            </w:r>
          </w:p>
        </w:tc>
        <w:tc>
          <w:tcPr>
            <w:tcW w:w="1341" w:type="dxa"/>
            <w:tcBorders>
              <w:top w:val="single" w:sz="8" w:space="0" w:color="000000"/>
              <w:bottom w:val="single" w:sz="8" w:space="0" w:color="000000"/>
            </w:tcBorders>
          </w:tcPr>
          <w:p w14:paraId="7B9939E9" w14:textId="77777777" w:rsidR="00FA4AA8" w:rsidRDefault="0015611F">
            <w:pPr>
              <w:pStyle w:val="TableParagraph"/>
              <w:spacing w:before="115" w:line="183" w:lineRule="exact"/>
              <w:ind w:right="296"/>
              <w:jc w:val="right"/>
              <w:rPr>
                <w:sz w:val="18"/>
              </w:rPr>
            </w:pPr>
            <w:r>
              <w:rPr>
                <w:sz w:val="18"/>
              </w:rPr>
              <w:t>224</w:t>
            </w:r>
          </w:p>
        </w:tc>
        <w:tc>
          <w:tcPr>
            <w:tcW w:w="1297" w:type="dxa"/>
            <w:tcBorders>
              <w:top w:val="single" w:sz="8" w:space="0" w:color="000000"/>
              <w:bottom w:val="single" w:sz="8" w:space="0" w:color="000000"/>
            </w:tcBorders>
          </w:tcPr>
          <w:p w14:paraId="404FA35E" w14:textId="77777777" w:rsidR="00FA4AA8" w:rsidRDefault="0015611F">
            <w:pPr>
              <w:pStyle w:val="TableParagraph"/>
              <w:spacing w:before="115" w:line="183" w:lineRule="exact"/>
              <w:ind w:right="297"/>
              <w:jc w:val="right"/>
              <w:rPr>
                <w:sz w:val="18"/>
              </w:rPr>
            </w:pPr>
            <w:r>
              <w:rPr>
                <w:sz w:val="18"/>
              </w:rPr>
              <w:t>4,413</w:t>
            </w:r>
          </w:p>
        </w:tc>
        <w:tc>
          <w:tcPr>
            <w:tcW w:w="1088" w:type="dxa"/>
            <w:tcBorders>
              <w:top w:val="single" w:sz="8" w:space="0" w:color="000000"/>
              <w:bottom w:val="single" w:sz="8" w:space="0" w:color="000000"/>
            </w:tcBorders>
          </w:tcPr>
          <w:p w14:paraId="4A3B3393" w14:textId="77777777" w:rsidR="00FA4AA8" w:rsidRDefault="0015611F">
            <w:pPr>
              <w:pStyle w:val="TableParagraph"/>
              <w:spacing w:before="115" w:line="183" w:lineRule="exact"/>
              <w:ind w:right="89"/>
              <w:jc w:val="right"/>
              <w:rPr>
                <w:sz w:val="18"/>
              </w:rPr>
            </w:pPr>
            <w:r>
              <w:rPr>
                <w:sz w:val="18"/>
              </w:rPr>
              <w:t>6,023</w:t>
            </w:r>
          </w:p>
        </w:tc>
      </w:tr>
      <w:tr w:rsidR="00FA4AA8" w14:paraId="109C635B" w14:textId="77777777">
        <w:trPr>
          <w:trHeight w:val="339"/>
        </w:trPr>
        <w:tc>
          <w:tcPr>
            <w:tcW w:w="363" w:type="dxa"/>
          </w:tcPr>
          <w:p w14:paraId="30077027" w14:textId="77777777" w:rsidR="00FA4AA8" w:rsidRDefault="00FA4AA8">
            <w:pPr>
              <w:pStyle w:val="TableParagraph"/>
              <w:rPr>
                <w:rFonts w:ascii="Times New Roman"/>
                <w:sz w:val="18"/>
              </w:rPr>
            </w:pPr>
          </w:p>
        </w:tc>
        <w:tc>
          <w:tcPr>
            <w:tcW w:w="4696" w:type="dxa"/>
          </w:tcPr>
          <w:p w14:paraId="2866489C" w14:textId="77777777" w:rsidR="00FA4AA8" w:rsidRDefault="0015611F">
            <w:pPr>
              <w:pStyle w:val="TableParagraph"/>
              <w:spacing w:before="115" w:line="204" w:lineRule="exact"/>
              <w:ind w:left="126"/>
              <w:rPr>
                <w:b/>
                <w:sz w:val="18"/>
              </w:rPr>
            </w:pPr>
            <w:r>
              <w:rPr>
                <w:b/>
                <w:sz w:val="18"/>
              </w:rPr>
              <w:t>Contributions</w:t>
            </w:r>
          </w:p>
        </w:tc>
        <w:tc>
          <w:tcPr>
            <w:tcW w:w="1175" w:type="dxa"/>
            <w:tcBorders>
              <w:top w:val="single" w:sz="8" w:space="0" w:color="000000"/>
            </w:tcBorders>
          </w:tcPr>
          <w:p w14:paraId="76FC443D" w14:textId="77777777" w:rsidR="00FA4AA8" w:rsidRDefault="00FA4AA8">
            <w:pPr>
              <w:pStyle w:val="TableParagraph"/>
              <w:rPr>
                <w:rFonts w:ascii="Times New Roman"/>
                <w:sz w:val="18"/>
              </w:rPr>
            </w:pPr>
          </w:p>
        </w:tc>
        <w:tc>
          <w:tcPr>
            <w:tcW w:w="1341" w:type="dxa"/>
            <w:tcBorders>
              <w:top w:val="single" w:sz="8" w:space="0" w:color="000000"/>
            </w:tcBorders>
          </w:tcPr>
          <w:p w14:paraId="46D2C182" w14:textId="77777777" w:rsidR="00FA4AA8" w:rsidRDefault="00FA4AA8">
            <w:pPr>
              <w:pStyle w:val="TableParagraph"/>
              <w:rPr>
                <w:rFonts w:ascii="Times New Roman"/>
                <w:sz w:val="18"/>
              </w:rPr>
            </w:pPr>
          </w:p>
        </w:tc>
        <w:tc>
          <w:tcPr>
            <w:tcW w:w="1297" w:type="dxa"/>
            <w:tcBorders>
              <w:top w:val="single" w:sz="8" w:space="0" w:color="000000"/>
            </w:tcBorders>
          </w:tcPr>
          <w:p w14:paraId="1E56810E" w14:textId="77777777" w:rsidR="00FA4AA8" w:rsidRDefault="00FA4AA8">
            <w:pPr>
              <w:pStyle w:val="TableParagraph"/>
              <w:rPr>
                <w:rFonts w:ascii="Times New Roman"/>
                <w:sz w:val="18"/>
              </w:rPr>
            </w:pPr>
          </w:p>
        </w:tc>
        <w:tc>
          <w:tcPr>
            <w:tcW w:w="1088" w:type="dxa"/>
            <w:tcBorders>
              <w:top w:val="single" w:sz="8" w:space="0" w:color="000000"/>
            </w:tcBorders>
          </w:tcPr>
          <w:p w14:paraId="77A1ADFB" w14:textId="77777777" w:rsidR="00FA4AA8" w:rsidRDefault="00FA4AA8">
            <w:pPr>
              <w:pStyle w:val="TableParagraph"/>
              <w:rPr>
                <w:rFonts w:ascii="Times New Roman"/>
                <w:sz w:val="18"/>
              </w:rPr>
            </w:pPr>
          </w:p>
        </w:tc>
      </w:tr>
      <w:tr w:rsidR="00FA4AA8" w14:paraId="0D559E37" w14:textId="77777777">
        <w:trPr>
          <w:trHeight w:val="292"/>
        </w:trPr>
        <w:tc>
          <w:tcPr>
            <w:tcW w:w="363" w:type="dxa"/>
          </w:tcPr>
          <w:p w14:paraId="5A9C668F" w14:textId="77777777" w:rsidR="00FA4AA8" w:rsidRDefault="00FA4AA8">
            <w:pPr>
              <w:pStyle w:val="TableParagraph"/>
              <w:rPr>
                <w:rFonts w:ascii="Times New Roman"/>
                <w:sz w:val="18"/>
              </w:rPr>
            </w:pPr>
          </w:p>
        </w:tc>
        <w:tc>
          <w:tcPr>
            <w:tcW w:w="4696" w:type="dxa"/>
          </w:tcPr>
          <w:p w14:paraId="3D17673F" w14:textId="77777777" w:rsidR="00FA4AA8" w:rsidRDefault="0015611F">
            <w:pPr>
              <w:pStyle w:val="TableParagraph"/>
              <w:spacing w:before="13"/>
              <w:ind w:left="126"/>
              <w:rPr>
                <w:sz w:val="18"/>
              </w:rPr>
            </w:pPr>
            <w:r>
              <w:rPr>
                <w:sz w:val="18"/>
              </w:rPr>
              <w:t>Plan participants</w:t>
            </w:r>
          </w:p>
        </w:tc>
        <w:tc>
          <w:tcPr>
            <w:tcW w:w="1175" w:type="dxa"/>
          </w:tcPr>
          <w:p w14:paraId="45E0B9EC" w14:textId="77777777" w:rsidR="00FA4AA8" w:rsidRDefault="0015611F">
            <w:pPr>
              <w:pStyle w:val="TableParagraph"/>
              <w:spacing w:before="11"/>
              <w:ind w:right="251"/>
              <w:jc w:val="right"/>
              <w:rPr>
                <w:sz w:val="18"/>
              </w:rPr>
            </w:pPr>
            <w:r>
              <w:rPr>
                <w:sz w:val="18"/>
              </w:rPr>
              <w:t>483</w:t>
            </w:r>
          </w:p>
        </w:tc>
        <w:tc>
          <w:tcPr>
            <w:tcW w:w="1341" w:type="dxa"/>
          </w:tcPr>
          <w:p w14:paraId="59496B00" w14:textId="77777777" w:rsidR="00FA4AA8" w:rsidRDefault="0015611F">
            <w:pPr>
              <w:pStyle w:val="TableParagraph"/>
              <w:spacing w:before="11"/>
              <w:ind w:right="296"/>
              <w:jc w:val="right"/>
              <w:rPr>
                <w:sz w:val="18"/>
              </w:rPr>
            </w:pPr>
            <w:r>
              <w:rPr>
                <w:sz w:val="18"/>
              </w:rPr>
              <w:t>-</w:t>
            </w:r>
          </w:p>
        </w:tc>
        <w:tc>
          <w:tcPr>
            <w:tcW w:w="1297" w:type="dxa"/>
          </w:tcPr>
          <w:p w14:paraId="709AB7CA" w14:textId="77777777" w:rsidR="00FA4AA8" w:rsidRDefault="0015611F">
            <w:pPr>
              <w:pStyle w:val="TableParagraph"/>
              <w:spacing w:before="11"/>
              <w:ind w:right="297"/>
              <w:jc w:val="right"/>
              <w:rPr>
                <w:sz w:val="18"/>
              </w:rPr>
            </w:pPr>
            <w:r>
              <w:rPr>
                <w:sz w:val="18"/>
              </w:rPr>
              <w:t>98</w:t>
            </w:r>
          </w:p>
        </w:tc>
        <w:tc>
          <w:tcPr>
            <w:tcW w:w="1088" w:type="dxa"/>
          </w:tcPr>
          <w:p w14:paraId="7A89A396" w14:textId="77777777" w:rsidR="00FA4AA8" w:rsidRDefault="0015611F">
            <w:pPr>
              <w:pStyle w:val="TableParagraph"/>
              <w:spacing w:before="11"/>
              <w:ind w:right="89"/>
              <w:jc w:val="right"/>
              <w:rPr>
                <w:sz w:val="18"/>
              </w:rPr>
            </w:pPr>
            <w:r>
              <w:rPr>
                <w:sz w:val="18"/>
              </w:rPr>
              <w:t>581</w:t>
            </w:r>
          </w:p>
        </w:tc>
      </w:tr>
      <w:tr w:rsidR="00FA4AA8" w14:paraId="7DF6CF27" w14:textId="77777777">
        <w:trPr>
          <w:trHeight w:val="290"/>
        </w:trPr>
        <w:tc>
          <w:tcPr>
            <w:tcW w:w="363" w:type="dxa"/>
          </w:tcPr>
          <w:p w14:paraId="28A36D0A" w14:textId="77777777" w:rsidR="00FA4AA8" w:rsidRDefault="00FA4AA8">
            <w:pPr>
              <w:pStyle w:val="TableParagraph"/>
              <w:rPr>
                <w:rFonts w:ascii="Times New Roman"/>
                <w:sz w:val="18"/>
              </w:rPr>
            </w:pPr>
          </w:p>
        </w:tc>
        <w:tc>
          <w:tcPr>
            <w:tcW w:w="4696" w:type="dxa"/>
          </w:tcPr>
          <w:p w14:paraId="209ACFEF" w14:textId="77777777" w:rsidR="00FA4AA8" w:rsidRDefault="0015611F">
            <w:pPr>
              <w:pStyle w:val="TableParagraph"/>
              <w:spacing w:before="66" w:line="204" w:lineRule="exact"/>
              <w:ind w:left="126"/>
              <w:rPr>
                <w:b/>
                <w:sz w:val="18"/>
              </w:rPr>
            </w:pPr>
            <w:r>
              <w:rPr>
                <w:b/>
                <w:sz w:val="18"/>
              </w:rPr>
              <w:t>Payments from plan</w:t>
            </w:r>
          </w:p>
        </w:tc>
        <w:tc>
          <w:tcPr>
            <w:tcW w:w="1175" w:type="dxa"/>
          </w:tcPr>
          <w:p w14:paraId="6E27B93F" w14:textId="77777777" w:rsidR="00FA4AA8" w:rsidRDefault="00FA4AA8">
            <w:pPr>
              <w:pStyle w:val="TableParagraph"/>
              <w:rPr>
                <w:rFonts w:ascii="Times New Roman"/>
                <w:sz w:val="18"/>
              </w:rPr>
            </w:pPr>
          </w:p>
        </w:tc>
        <w:tc>
          <w:tcPr>
            <w:tcW w:w="1341" w:type="dxa"/>
          </w:tcPr>
          <w:p w14:paraId="04FA9349" w14:textId="77777777" w:rsidR="00FA4AA8" w:rsidRDefault="00FA4AA8">
            <w:pPr>
              <w:pStyle w:val="TableParagraph"/>
              <w:rPr>
                <w:rFonts w:ascii="Times New Roman"/>
                <w:sz w:val="18"/>
              </w:rPr>
            </w:pPr>
          </w:p>
        </w:tc>
        <w:tc>
          <w:tcPr>
            <w:tcW w:w="1297" w:type="dxa"/>
          </w:tcPr>
          <w:p w14:paraId="1BF1127E" w14:textId="77777777" w:rsidR="00FA4AA8" w:rsidRDefault="00FA4AA8">
            <w:pPr>
              <w:pStyle w:val="TableParagraph"/>
              <w:rPr>
                <w:rFonts w:ascii="Times New Roman"/>
                <w:sz w:val="18"/>
              </w:rPr>
            </w:pPr>
          </w:p>
        </w:tc>
        <w:tc>
          <w:tcPr>
            <w:tcW w:w="1088" w:type="dxa"/>
          </w:tcPr>
          <w:p w14:paraId="0A5F1D61" w14:textId="77777777" w:rsidR="00FA4AA8" w:rsidRDefault="00FA4AA8">
            <w:pPr>
              <w:pStyle w:val="TableParagraph"/>
              <w:rPr>
                <w:rFonts w:ascii="Times New Roman"/>
                <w:sz w:val="18"/>
              </w:rPr>
            </w:pPr>
          </w:p>
        </w:tc>
      </w:tr>
      <w:tr w:rsidR="00FA4AA8" w14:paraId="6B04E9C0" w14:textId="77777777">
        <w:trPr>
          <w:trHeight w:val="250"/>
        </w:trPr>
        <w:tc>
          <w:tcPr>
            <w:tcW w:w="363" w:type="dxa"/>
          </w:tcPr>
          <w:p w14:paraId="0075FEDD" w14:textId="77777777" w:rsidR="00FA4AA8" w:rsidRDefault="00FA4AA8">
            <w:pPr>
              <w:pStyle w:val="TableParagraph"/>
              <w:rPr>
                <w:rFonts w:ascii="Times New Roman"/>
                <w:sz w:val="18"/>
              </w:rPr>
            </w:pPr>
          </w:p>
        </w:tc>
        <w:tc>
          <w:tcPr>
            <w:tcW w:w="4696" w:type="dxa"/>
          </w:tcPr>
          <w:p w14:paraId="49BF02C8" w14:textId="77777777" w:rsidR="00FA4AA8" w:rsidRDefault="0015611F">
            <w:pPr>
              <w:pStyle w:val="TableParagraph"/>
              <w:spacing w:before="13"/>
              <w:ind w:left="126"/>
              <w:rPr>
                <w:sz w:val="18"/>
              </w:rPr>
            </w:pPr>
            <w:r>
              <w:rPr>
                <w:sz w:val="18"/>
              </w:rPr>
              <w:t>Benefits paid</w:t>
            </w:r>
          </w:p>
        </w:tc>
        <w:tc>
          <w:tcPr>
            <w:tcW w:w="1175" w:type="dxa"/>
          </w:tcPr>
          <w:p w14:paraId="3FDA89B9" w14:textId="77777777" w:rsidR="00FA4AA8" w:rsidRDefault="0015611F">
            <w:pPr>
              <w:pStyle w:val="TableParagraph"/>
              <w:spacing w:before="11"/>
              <w:ind w:right="191"/>
              <w:jc w:val="right"/>
              <w:rPr>
                <w:sz w:val="18"/>
              </w:rPr>
            </w:pPr>
            <w:r>
              <w:rPr>
                <w:sz w:val="18"/>
              </w:rPr>
              <w:t>(17,417)</w:t>
            </w:r>
          </w:p>
        </w:tc>
        <w:tc>
          <w:tcPr>
            <w:tcW w:w="1341" w:type="dxa"/>
          </w:tcPr>
          <w:p w14:paraId="3DE2660F" w14:textId="77777777" w:rsidR="00FA4AA8" w:rsidRDefault="0015611F">
            <w:pPr>
              <w:pStyle w:val="TableParagraph"/>
              <w:spacing w:before="11"/>
              <w:ind w:right="236"/>
              <w:jc w:val="right"/>
              <w:rPr>
                <w:sz w:val="18"/>
              </w:rPr>
            </w:pPr>
            <w:r>
              <w:rPr>
                <w:sz w:val="18"/>
              </w:rPr>
              <w:t>(2,075)</w:t>
            </w:r>
          </w:p>
        </w:tc>
        <w:tc>
          <w:tcPr>
            <w:tcW w:w="1297" w:type="dxa"/>
          </w:tcPr>
          <w:p w14:paraId="31721DD9" w14:textId="77777777" w:rsidR="00FA4AA8" w:rsidRDefault="0015611F">
            <w:pPr>
              <w:pStyle w:val="TableParagraph"/>
              <w:spacing w:before="11"/>
              <w:ind w:right="237"/>
              <w:jc w:val="right"/>
              <w:rPr>
                <w:sz w:val="18"/>
              </w:rPr>
            </w:pPr>
            <w:r>
              <w:rPr>
                <w:sz w:val="18"/>
              </w:rPr>
              <w:t>(18,151)</w:t>
            </w:r>
          </w:p>
        </w:tc>
        <w:tc>
          <w:tcPr>
            <w:tcW w:w="1088" w:type="dxa"/>
          </w:tcPr>
          <w:p w14:paraId="01EFE3DB" w14:textId="77777777" w:rsidR="00FA4AA8" w:rsidRDefault="0015611F">
            <w:pPr>
              <w:pStyle w:val="TableParagraph"/>
              <w:spacing w:before="11"/>
              <w:ind w:right="29"/>
              <w:jc w:val="right"/>
              <w:rPr>
                <w:sz w:val="18"/>
              </w:rPr>
            </w:pPr>
            <w:r>
              <w:rPr>
                <w:sz w:val="18"/>
              </w:rPr>
              <w:t>(37,643)</w:t>
            </w:r>
          </w:p>
        </w:tc>
      </w:tr>
      <w:tr w:rsidR="00FA4AA8" w14:paraId="30B74F18" w14:textId="77777777">
        <w:trPr>
          <w:trHeight w:val="256"/>
        </w:trPr>
        <w:tc>
          <w:tcPr>
            <w:tcW w:w="363" w:type="dxa"/>
          </w:tcPr>
          <w:p w14:paraId="36885680" w14:textId="77777777" w:rsidR="00FA4AA8" w:rsidRDefault="00FA4AA8">
            <w:pPr>
              <w:pStyle w:val="TableParagraph"/>
              <w:rPr>
                <w:rFonts w:ascii="Times New Roman"/>
                <w:sz w:val="18"/>
              </w:rPr>
            </w:pPr>
          </w:p>
        </w:tc>
        <w:tc>
          <w:tcPr>
            <w:tcW w:w="4696" w:type="dxa"/>
          </w:tcPr>
          <w:p w14:paraId="276B3EB3" w14:textId="77777777" w:rsidR="00FA4AA8" w:rsidRDefault="0015611F">
            <w:pPr>
              <w:pStyle w:val="TableParagraph"/>
              <w:spacing w:before="26"/>
              <w:ind w:left="126"/>
              <w:rPr>
                <w:sz w:val="18"/>
              </w:rPr>
            </w:pPr>
            <w:r>
              <w:rPr>
                <w:sz w:val="18"/>
              </w:rPr>
              <w:t>Taxes, premiums and expenses paid</w:t>
            </w:r>
          </w:p>
        </w:tc>
        <w:tc>
          <w:tcPr>
            <w:tcW w:w="1175" w:type="dxa"/>
            <w:tcBorders>
              <w:bottom w:val="single" w:sz="8" w:space="0" w:color="000000"/>
            </w:tcBorders>
          </w:tcPr>
          <w:p w14:paraId="58511678" w14:textId="77777777" w:rsidR="00FA4AA8" w:rsidRDefault="0015611F">
            <w:pPr>
              <w:pStyle w:val="TableParagraph"/>
              <w:spacing w:before="24"/>
              <w:ind w:right="191"/>
              <w:jc w:val="right"/>
              <w:rPr>
                <w:sz w:val="18"/>
              </w:rPr>
            </w:pPr>
            <w:r>
              <w:rPr>
                <w:sz w:val="18"/>
              </w:rPr>
              <w:t>(162)</w:t>
            </w:r>
          </w:p>
        </w:tc>
        <w:tc>
          <w:tcPr>
            <w:tcW w:w="1341" w:type="dxa"/>
            <w:tcBorders>
              <w:bottom w:val="single" w:sz="8" w:space="0" w:color="000000"/>
            </w:tcBorders>
          </w:tcPr>
          <w:p w14:paraId="39D7D156" w14:textId="77777777" w:rsidR="00FA4AA8" w:rsidRDefault="0015611F">
            <w:pPr>
              <w:pStyle w:val="TableParagraph"/>
              <w:spacing w:before="24"/>
              <w:ind w:right="236"/>
              <w:jc w:val="right"/>
              <w:rPr>
                <w:sz w:val="18"/>
              </w:rPr>
            </w:pPr>
            <w:r>
              <w:rPr>
                <w:sz w:val="18"/>
              </w:rPr>
              <w:t>(246)</w:t>
            </w:r>
          </w:p>
        </w:tc>
        <w:tc>
          <w:tcPr>
            <w:tcW w:w="1297" w:type="dxa"/>
            <w:tcBorders>
              <w:bottom w:val="single" w:sz="8" w:space="0" w:color="000000"/>
            </w:tcBorders>
          </w:tcPr>
          <w:p w14:paraId="27869E9E" w14:textId="77777777" w:rsidR="00FA4AA8" w:rsidRDefault="0015611F">
            <w:pPr>
              <w:pStyle w:val="TableParagraph"/>
              <w:spacing w:before="24"/>
              <w:ind w:right="297"/>
              <w:jc w:val="right"/>
              <w:rPr>
                <w:sz w:val="18"/>
              </w:rPr>
            </w:pPr>
            <w:r>
              <w:rPr>
                <w:sz w:val="18"/>
              </w:rPr>
              <w:t>2,390</w:t>
            </w:r>
          </w:p>
        </w:tc>
        <w:tc>
          <w:tcPr>
            <w:tcW w:w="1088" w:type="dxa"/>
            <w:tcBorders>
              <w:bottom w:val="single" w:sz="8" w:space="0" w:color="000000"/>
            </w:tcBorders>
          </w:tcPr>
          <w:p w14:paraId="727FED16" w14:textId="77777777" w:rsidR="00FA4AA8" w:rsidRDefault="0015611F">
            <w:pPr>
              <w:pStyle w:val="TableParagraph"/>
              <w:spacing w:before="24"/>
              <w:ind w:right="89"/>
              <w:jc w:val="right"/>
              <w:rPr>
                <w:sz w:val="18"/>
              </w:rPr>
            </w:pPr>
            <w:r>
              <w:rPr>
                <w:sz w:val="18"/>
              </w:rPr>
              <w:t>1,982</w:t>
            </w:r>
          </w:p>
        </w:tc>
      </w:tr>
      <w:tr w:rsidR="00FA4AA8" w14:paraId="0D288411" w14:textId="77777777">
        <w:trPr>
          <w:trHeight w:val="318"/>
        </w:trPr>
        <w:tc>
          <w:tcPr>
            <w:tcW w:w="363" w:type="dxa"/>
          </w:tcPr>
          <w:p w14:paraId="036206FE" w14:textId="77777777" w:rsidR="00FA4AA8" w:rsidRDefault="00FA4AA8">
            <w:pPr>
              <w:pStyle w:val="TableParagraph"/>
              <w:rPr>
                <w:rFonts w:ascii="Times New Roman"/>
                <w:sz w:val="18"/>
              </w:rPr>
            </w:pPr>
          </w:p>
        </w:tc>
        <w:tc>
          <w:tcPr>
            <w:tcW w:w="4696" w:type="dxa"/>
          </w:tcPr>
          <w:p w14:paraId="62B2E562" w14:textId="77777777" w:rsidR="00FA4AA8" w:rsidRDefault="00FA4AA8">
            <w:pPr>
              <w:pStyle w:val="TableParagraph"/>
              <w:rPr>
                <w:rFonts w:ascii="Times New Roman"/>
                <w:sz w:val="18"/>
              </w:rPr>
            </w:pPr>
          </w:p>
        </w:tc>
        <w:tc>
          <w:tcPr>
            <w:tcW w:w="1175" w:type="dxa"/>
            <w:tcBorders>
              <w:top w:val="single" w:sz="8" w:space="0" w:color="000000"/>
              <w:bottom w:val="single" w:sz="8" w:space="0" w:color="000000"/>
            </w:tcBorders>
          </w:tcPr>
          <w:p w14:paraId="0416D9C4" w14:textId="77777777" w:rsidR="00FA4AA8" w:rsidRDefault="0015611F">
            <w:pPr>
              <w:pStyle w:val="TableParagraph"/>
              <w:spacing w:before="115" w:line="183" w:lineRule="exact"/>
              <w:ind w:right="191"/>
              <w:jc w:val="right"/>
              <w:rPr>
                <w:sz w:val="18"/>
              </w:rPr>
            </w:pPr>
            <w:r>
              <w:rPr>
                <w:sz w:val="18"/>
              </w:rPr>
              <w:t>(17,579)</w:t>
            </w:r>
          </w:p>
        </w:tc>
        <w:tc>
          <w:tcPr>
            <w:tcW w:w="1341" w:type="dxa"/>
            <w:tcBorders>
              <w:top w:val="single" w:sz="8" w:space="0" w:color="000000"/>
              <w:bottom w:val="single" w:sz="8" w:space="0" w:color="000000"/>
            </w:tcBorders>
          </w:tcPr>
          <w:p w14:paraId="7BACDCA9" w14:textId="77777777" w:rsidR="00FA4AA8" w:rsidRDefault="0015611F">
            <w:pPr>
              <w:pStyle w:val="TableParagraph"/>
              <w:spacing w:before="115" w:line="183" w:lineRule="exact"/>
              <w:ind w:right="236"/>
              <w:jc w:val="right"/>
              <w:rPr>
                <w:sz w:val="18"/>
              </w:rPr>
            </w:pPr>
            <w:r>
              <w:rPr>
                <w:sz w:val="18"/>
              </w:rPr>
              <w:t>(2,321)</w:t>
            </w:r>
          </w:p>
        </w:tc>
        <w:tc>
          <w:tcPr>
            <w:tcW w:w="1297" w:type="dxa"/>
            <w:tcBorders>
              <w:top w:val="single" w:sz="8" w:space="0" w:color="000000"/>
              <w:bottom w:val="single" w:sz="8" w:space="0" w:color="000000"/>
            </w:tcBorders>
          </w:tcPr>
          <w:p w14:paraId="319A42E5" w14:textId="77777777" w:rsidR="00FA4AA8" w:rsidRDefault="0015611F">
            <w:pPr>
              <w:pStyle w:val="TableParagraph"/>
              <w:spacing w:before="115" w:line="183" w:lineRule="exact"/>
              <w:ind w:right="237"/>
              <w:jc w:val="right"/>
              <w:rPr>
                <w:sz w:val="18"/>
              </w:rPr>
            </w:pPr>
            <w:r>
              <w:rPr>
                <w:sz w:val="18"/>
              </w:rPr>
              <w:t>(15,761)</w:t>
            </w:r>
          </w:p>
        </w:tc>
        <w:tc>
          <w:tcPr>
            <w:tcW w:w="1088" w:type="dxa"/>
            <w:tcBorders>
              <w:top w:val="single" w:sz="8" w:space="0" w:color="000000"/>
              <w:bottom w:val="single" w:sz="8" w:space="0" w:color="000000"/>
            </w:tcBorders>
          </w:tcPr>
          <w:p w14:paraId="06051CA4" w14:textId="77777777" w:rsidR="00FA4AA8" w:rsidRDefault="0015611F">
            <w:pPr>
              <w:pStyle w:val="TableParagraph"/>
              <w:spacing w:before="115" w:line="183" w:lineRule="exact"/>
              <w:ind w:right="29"/>
              <w:jc w:val="right"/>
              <w:rPr>
                <w:sz w:val="18"/>
              </w:rPr>
            </w:pPr>
            <w:r>
              <w:rPr>
                <w:sz w:val="18"/>
              </w:rPr>
              <w:t>(35,661)</w:t>
            </w:r>
          </w:p>
        </w:tc>
      </w:tr>
      <w:tr w:rsidR="00FA4AA8" w14:paraId="40F5954D" w14:textId="77777777">
        <w:trPr>
          <w:trHeight w:val="320"/>
        </w:trPr>
        <w:tc>
          <w:tcPr>
            <w:tcW w:w="363" w:type="dxa"/>
          </w:tcPr>
          <w:p w14:paraId="665F3466" w14:textId="77777777" w:rsidR="00FA4AA8" w:rsidRDefault="00FA4AA8">
            <w:pPr>
              <w:pStyle w:val="TableParagraph"/>
              <w:rPr>
                <w:rFonts w:ascii="Times New Roman"/>
                <w:sz w:val="18"/>
              </w:rPr>
            </w:pPr>
          </w:p>
        </w:tc>
        <w:tc>
          <w:tcPr>
            <w:tcW w:w="4696" w:type="dxa"/>
          </w:tcPr>
          <w:p w14:paraId="6D6A1E0B" w14:textId="77777777" w:rsidR="00FA4AA8" w:rsidRDefault="0015611F">
            <w:pPr>
              <w:pStyle w:val="TableParagraph"/>
              <w:spacing w:before="115" w:line="185" w:lineRule="exact"/>
              <w:ind w:left="126"/>
              <w:rPr>
                <w:b/>
                <w:sz w:val="18"/>
              </w:rPr>
            </w:pPr>
            <w:r>
              <w:rPr>
                <w:b/>
                <w:sz w:val="18"/>
              </w:rPr>
              <w:t>Closing defined benefit obligation</w:t>
            </w:r>
          </w:p>
        </w:tc>
        <w:tc>
          <w:tcPr>
            <w:tcW w:w="1175" w:type="dxa"/>
            <w:tcBorders>
              <w:top w:val="single" w:sz="8" w:space="0" w:color="000000"/>
              <w:bottom w:val="double" w:sz="2" w:space="0" w:color="000000"/>
            </w:tcBorders>
          </w:tcPr>
          <w:p w14:paraId="1B0F88E7" w14:textId="77777777" w:rsidR="00FA4AA8" w:rsidRDefault="0015611F">
            <w:pPr>
              <w:pStyle w:val="TableParagraph"/>
              <w:spacing w:before="115" w:line="185" w:lineRule="exact"/>
              <w:ind w:right="251"/>
              <w:jc w:val="right"/>
              <w:rPr>
                <w:sz w:val="18"/>
              </w:rPr>
            </w:pPr>
            <w:r>
              <w:rPr>
                <w:sz w:val="18"/>
              </w:rPr>
              <w:t>25,176</w:t>
            </w:r>
          </w:p>
        </w:tc>
        <w:tc>
          <w:tcPr>
            <w:tcW w:w="1341" w:type="dxa"/>
            <w:tcBorders>
              <w:top w:val="single" w:sz="8" w:space="0" w:color="000000"/>
              <w:bottom w:val="double" w:sz="2" w:space="0" w:color="000000"/>
            </w:tcBorders>
          </w:tcPr>
          <w:p w14:paraId="3E03D7F7" w14:textId="77777777" w:rsidR="00FA4AA8" w:rsidRDefault="0015611F">
            <w:pPr>
              <w:pStyle w:val="TableParagraph"/>
              <w:spacing w:before="115" w:line="185" w:lineRule="exact"/>
              <w:ind w:left="588"/>
              <w:rPr>
                <w:sz w:val="18"/>
              </w:rPr>
            </w:pPr>
            <w:r>
              <w:rPr>
                <w:sz w:val="18"/>
              </w:rPr>
              <w:t>4,349</w:t>
            </w:r>
          </w:p>
        </w:tc>
        <w:tc>
          <w:tcPr>
            <w:tcW w:w="1297" w:type="dxa"/>
            <w:tcBorders>
              <w:top w:val="single" w:sz="8" w:space="0" w:color="000000"/>
              <w:bottom w:val="double" w:sz="2" w:space="0" w:color="000000"/>
            </w:tcBorders>
          </w:tcPr>
          <w:p w14:paraId="3480F499" w14:textId="77777777" w:rsidR="00FA4AA8" w:rsidRDefault="0015611F">
            <w:pPr>
              <w:pStyle w:val="TableParagraph"/>
              <w:spacing w:before="115" w:line="185" w:lineRule="exact"/>
              <w:ind w:right="297"/>
              <w:jc w:val="right"/>
              <w:rPr>
                <w:sz w:val="18"/>
              </w:rPr>
            </w:pPr>
            <w:r>
              <w:rPr>
                <w:sz w:val="18"/>
              </w:rPr>
              <w:t>409,545</w:t>
            </w:r>
          </w:p>
        </w:tc>
        <w:tc>
          <w:tcPr>
            <w:tcW w:w="1088" w:type="dxa"/>
            <w:tcBorders>
              <w:top w:val="single" w:sz="8" w:space="0" w:color="000000"/>
              <w:bottom w:val="double" w:sz="2" w:space="0" w:color="000000"/>
            </w:tcBorders>
          </w:tcPr>
          <w:p w14:paraId="52347190" w14:textId="77777777" w:rsidR="00FA4AA8" w:rsidRDefault="0015611F">
            <w:pPr>
              <w:pStyle w:val="TableParagraph"/>
              <w:spacing w:before="115" w:line="185" w:lineRule="exact"/>
              <w:ind w:left="341"/>
              <w:rPr>
                <w:sz w:val="18"/>
              </w:rPr>
            </w:pPr>
            <w:r>
              <w:rPr>
                <w:sz w:val="18"/>
              </w:rPr>
              <w:t>439,070</w:t>
            </w:r>
          </w:p>
        </w:tc>
      </w:tr>
      <w:tr w:rsidR="00FA4AA8" w14:paraId="15F30EC5" w14:textId="77777777">
        <w:trPr>
          <w:trHeight w:val="341"/>
        </w:trPr>
        <w:tc>
          <w:tcPr>
            <w:tcW w:w="363" w:type="dxa"/>
          </w:tcPr>
          <w:p w14:paraId="286D8BB5" w14:textId="77777777" w:rsidR="00FA4AA8" w:rsidRDefault="00FA4AA8">
            <w:pPr>
              <w:pStyle w:val="TableParagraph"/>
              <w:rPr>
                <w:rFonts w:ascii="Times New Roman"/>
                <w:sz w:val="18"/>
              </w:rPr>
            </w:pPr>
          </w:p>
        </w:tc>
        <w:tc>
          <w:tcPr>
            <w:tcW w:w="4696" w:type="dxa"/>
          </w:tcPr>
          <w:p w14:paraId="0D956557" w14:textId="77777777" w:rsidR="00FA4AA8" w:rsidRDefault="0015611F">
            <w:pPr>
              <w:pStyle w:val="TableParagraph"/>
              <w:spacing w:before="117" w:line="204" w:lineRule="exact"/>
              <w:ind w:left="126"/>
              <w:rPr>
                <w:b/>
                <w:sz w:val="18"/>
              </w:rPr>
            </w:pPr>
            <w:r>
              <w:rPr>
                <w:b/>
                <w:sz w:val="18"/>
              </w:rPr>
              <w:t>Present value of plan assets - 2017</w:t>
            </w:r>
          </w:p>
        </w:tc>
        <w:tc>
          <w:tcPr>
            <w:tcW w:w="1175" w:type="dxa"/>
            <w:tcBorders>
              <w:top w:val="double" w:sz="2" w:space="0" w:color="000000"/>
            </w:tcBorders>
          </w:tcPr>
          <w:p w14:paraId="375D7221" w14:textId="77777777" w:rsidR="00FA4AA8" w:rsidRDefault="00FA4AA8">
            <w:pPr>
              <w:pStyle w:val="TableParagraph"/>
              <w:rPr>
                <w:rFonts w:ascii="Times New Roman"/>
                <w:sz w:val="18"/>
              </w:rPr>
            </w:pPr>
          </w:p>
        </w:tc>
        <w:tc>
          <w:tcPr>
            <w:tcW w:w="1341" w:type="dxa"/>
            <w:tcBorders>
              <w:top w:val="double" w:sz="2" w:space="0" w:color="000000"/>
            </w:tcBorders>
          </w:tcPr>
          <w:p w14:paraId="16F02652" w14:textId="77777777" w:rsidR="00FA4AA8" w:rsidRDefault="00FA4AA8">
            <w:pPr>
              <w:pStyle w:val="TableParagraph"/>
              <w:rPr>
                <w:rFonts w:ascii="Times New Roman"/>
                <w:sz w:val="18"/>
              </w:rPr>
            </w:pPr>
          </w:p>
        </w:tc>
        <w:tc>
          <w:tcPr>
            <w:tcW w:w="1297" w:type="dxa"/>
            <w:tcBorders>
              <w:top w:val="double" w:sz="2" w:space="0" w:color="000000"/>
            </w:tcBorders>
          </w:tcPr>
          <w:p w14:paraId="15FAD276" w14:textId="77777777" w:rsidR="00FA4AA8" w:rsidRDefault="00FA4AA8">
            <w:pPr>
              <w:pStyle w:val="TableParagraph"/>
              <w:rPr>
                <w:rFonts w:ascii="Times New Roman"/>
                <w:sz w:val="18"/>
              </w:rPr>
            </w:pPr>
          </w:p>
        </w:tc>
        <w:tc>
          <w:tcPr>
            <w:tcW w:w="1088" w:type="dxa"/>
            <w:tcBorders>
              <w:top w:val="double" w:sz="2" w:space="0" w:color="000000"/>
            </w:tcBorders>
          </w:tcPr>
          <w:p w14:paraId="5268B4F5" w14:textId="77777777" w:rsidR="00FA4AA8" w:rsidRDefault="00FA4AA8">
            <w:pPr>
              <w:pStyle w:val="TableParagraph"/>
              <w:rPr>
                <w:rFonts w:ascii="Times New Roman"/>
                <w:sz w:val="18"/>
              </w:rPr>
            </w:pPr>
          </w:p>
        </w:tc>
      </w:tr>
      <w:tr w:rsidR="00FA4AA8" w14:paraId="05E30C6A" w14:textId="77777777">
        <w:trPr>
          <w:trHeight w:val="250"/>
        </w:trPr>
        <w:tc>
          <w:tcPr>
            <w:tcW w:w="363" w:type="dxa"/>
          </w:tcPr>
          <w:p w14:paraId="288A6765" w14:textId="77777777" w:rsidR="00FA4AA8" w:rsidRDefault="00FA4AA8">
            <w:pPr>
              <w:pStyle w:val="TableParagraph"/>
              <w:rPr>
                <w:rFonts w:ascii="Times New Roman"/>
                <w:sz w:val="18"/>
              </w:rPr>
            </w:pPr>
          </w:p>
        </w:tc>
        <w:tc>
          <w:tcPr>
            <w:tcW w:w="4696" w:type="dxa"/>
          </w:tcPr>
          <w:p w14:paraId="60AD60A3" w14:textId="77777777" w:rsidR="00FA4AA8" w:rsidRDefault="0015611F">
            <w:pPr>
              <w:pStyle w:val="TableParagraph"/>
              <w:spacing w:before="13"/>
              <w:ind w:left="126"/>
              <w:rPr>
                <w:sz w:val="18"/>
              </w:rPr>
            </w:pPr>
            <w:r>
              <w:rPr>
                <w:sz w:val="18"/>
              </w:rPr>
              <w:t>Opening fair value of plan assets</w:t>
            </w:r>
          </w:p>
        </w:tc>
        <w:tc>
          <w:tcPr>
            <w:tcW w:w="1175" w:type="dxa"/>
          </w:tcPr>
          <w:p w14:paraId="766129F9" w14:textId="77777777" w:rsidR="00FA4AA8" w:rsidRDefault="0015611F">
            <w:pPr>
              <w:pStyle w:val="TableParagraph"/>
              <w:spacing w:before="11"/>
              <w:ind w:right="251"/>
              <w:jc w:val="right"/>
              <w:rPr>
                <w:sz w:val="18"/>
              </w:rPr>
            </w:pPr>
            <w:r>
              <w:rPr>
                <w:sz w:val="18"/>
              </w:rPr>
              <w:t>27,654</w:t>
            </w:r>
          </w:p>
        </w:tc>
        <w:tc>
          <w:tcPr>
            <w:tcW w:w="1341" w:type="dxa"/>
          </w:tcPr>
          <w:p w14:paraId="089430B8" w14:textId="77777777" w:rsidR="00FA4AA8" w:rsidRDefault="0015611F">
            <w:pPr>
              <w:pStyle w:val="TableParagraph"/>
              <w:spacing w:before="11"/>
              <w:ind w:left="588"/>
              <w:rPr>
                <w:sz w:val="18"/>
              </w:rPr>
            </w:pPr>
            <w:r>
              <w:rPr>
                <w:sz w:val="18"/>
              </w:rPr>
              <w:t>2,215</w:t>
            </w:r>
          </w:p>
        </w:tc>
        <w:tc>
          <w:tcPr>
            <w:tcW w:w="1297" w:type="dxa"/>
          </w:tcPr>
          <w:p w14:paraId="381DAEAD" w14:textId="77777777" w:rsidR="00FA4AA8" w:rsidRDefault="0015611F">
            <w:pPr>
              <w:pStyle w:val="TableParagraph"/>
              <w:spacing w:before="11"/>
              <w:ind w:right="297"/>
              <w:jc w:val="right"/>
              <w:rPr>
                <w:sz w:val="18"/>
              </w:rPr>
            </w:pPr>
            <w:r>
              <w:rPr>
                <w:sz w:val="18"/>
              </w:rPr>
              <w:t>91,419</w:t>
            </w:r>
          </w:p>
        </w:tc>
        <w:tc>
          <w:tcPr>
            <w:tcW w:w="1088" w:type="dxa"/>
          </w:tcPr>
          <w:p w14:paraId="65C306A6" w14:textId="77777777" w:rsidR="00FA4AA8" w:rsidRDefault="0015611F">
            <w:pPr>
              <w:pStyle w:val="TableParagraph"/>
              <w:spacing w:before="11"/>
              <w:ind w:left="341"/>
              <w:rPr>
                <w:sz w:val="18"/>
              </w:rPr>
            </w:pPr>
            <w:r>
              <w:rPr>
                <w:sz w:val="18"/>
              </w:rPr>
              <w:t>121,288</w:t>
            </w:r>
          </w:p>
        </w:tc>
      </w:tr>
      <w:tr w:rsidR="00FA4AA8" w14:paraId="4AF469BE" w14:textId="77777777">
        <w:trPr>
          <w:trHeight w:val="256"/>
        </w:trPr>
        <w:tc>
          <w:tcPr>
            <w:tcW w:w="363" w:type="dxa"/>
          </w:tcPr>
          <w:p w14:paraId="725FE684" w14:textId="77777777" w:rsidR="00FA4AA8" w:rsidRDefault="00FA4AA8">
            <w:pPr>
              <w:pStyle w:val="TableParagraph"/>
              <w:rPr>
                <w:rFonts w:ascii="Times New Roman"/>
                <w:sz w:val="18"/>
              </w:rPr>
            </w:pPr>
          </w:p>
        </w:tc>
        <w:tc>
          <w:tcPr>
            <w:tcW w:w="4696" w:type="dxa"/>
          </w:tcPr>
          <w:p w14:paraId="641B5601" w14:textId="77777777" w:rsidR="00FA4AA8" w:rsidRDefault="0015611F">
            <w:pPr>
              <w:pStyle w:val="TableParagraph"/>
              <w:spacing w:before="26"/>
              <w:ind w:left="126"/>
              <w:rPr>
                <w:sz w:val="18"/>
              </w:rPr>
            </w:pPr>
            <w:r>
              <w:rPr>
                <w:sz w:val="18"/>
              </w:rPr>
              <w:t>Interest expense / (income)</w:t>
            </w:r>
          </w:p>
        </w:tc>
        <w:tc>
          <w:tcPr>
            <w:tcW w:w="1175" w:type="dxa"/>
            <w:tcBorders>
              <w:bottom w:val="single" w:sz="8" w:space="0" w:color="000000"/>
            </w:tcBorders>
          </w:tcPr>
          <w:p w14:paraId="07BF4E8A" w14:textId="77777777" w:rsidR="00FA4AA8" w:rsidRDefault="0015611F">
            <w:pPr>
              <w:pStyle w:val="TableParagraph"/>
              <w:spacing w:before="24"/>
              <w:ind w:right="251"/>
              <w:jc w:val="right"/>
              <w:rPr>
                <w:sz w:val="18"/>
              </w:rPr>
            </w:pPr>
            <w:r>
              <w:rPr>
                <w:sz w:val="18"/>
              </w:rPr>
              <w:t>710</w:t>
            </w:r>
          </w:p>
        </w:tc>
        <w:tc>
          <w:tcPr>
            <w:tcW w:w="1341" w:type="dxa"/>
            <w:tcBorders>
              <w:bottom w:val="single" w:sz="8" w:space="0" w:color="000000"/>
            </w:tcBorders>
          </w:tcPr>
          <w:p w14:paraId="5134C65E" w14:textId="77777777" w:rsidR="00FA4AA8" w:rsidRDefault="0015611F">
            <w:pPr>
              <w:pStyle w:val="TableParagraph"/>
              <w:spacing w:before="24"/>
              <w:ind w:right="296"/>
              <w:jc w:val="right"/>
              <w:rPr>
                <w:sz w:val="18"/>
              </w:rPr>
            </w:pPr>
            <w:r>
              <w:rPr>
                <w:sz w:val="18"/>
              </w:rPr>
              <w:t>52</w:t>
            </w:r>
          </w:p>
        </w:tc>
        <w:tc>
          <w:tcPr>
            <w:tcW w:w="1297" w:type="dxa"/>
            <w:tcBorders>
              <w:bottom w:val="single" w:sz="8" w:space="0" w:color="000000"/>
            </w:tcBorders>
          </w:tcPr>
          <w:p w14:paraId="70AAF3DD" w14:textId="77777777" w:rsidR="00FA4AA8" w:rsidRDefault="0015611F">
            <w:pPr>
              <w:pStyle w:val="TableParagraph"/>
              <w:spacing w:before="24"/>
              <w:ind w:right="297"/>
              <w:jc w:val="right"/>
              <w:rPr>
                <w:sz w:val="18"/>
              </w:rPr>
            </w:pPr>
            <w:r>
              <w:rPr>
                <w:sz w:val="18"/>
              </w:rPr>
              <w:t>2,296</w:t>
            </w:r>
          </w:p>
        </w:tc>
        <w:tc>
          <w:tcPr>
            <w:tcW w:w="1088" w:type="dxa"/>
            <w:tcBorders>
              <w:bottom w:val="single" w:sz="8" w:space="0" w:color="000000"/>
            </w:tcBorders>
          </w:tcPr>
          <w:p w14:paraId="695A5ED1" w14:textId="77777777" w:rsidR="00FA4AA8" w:rsidRDefault="0015611F">
            <w:pPr>
              <w:pStyle w:val="TableParagraph"/>
              <w:spacing w:before="24"/>
              <w:ind w:right="89"/>
              <w:jc w:val="right"/>
              <w:rPr>
                <w:sz w:val="18"/>
              </w:rPr>
            </w:pPr>
            <w:r>
              <w:rPr>
                <w:sz w:val="18"/>
              </w:rPr>
              <w:t>3,058</w:t>
            </w:r>
          </w:p>
        </w:tc>
      </w:tr>
      <w:tr w:rsidR="00FA4AA8" w14:paraId="7ECE85E0" w14:textId="77777777">
        <w:trPr>
          <w:trHeight w:val="318"/>
        </w:trPr>
        <w:tc>
          <w:tcPr>
            <w:tcW w:w="363" w:type="dxa"/>
          </w:tcPr>
          <w:p w14:paraId="1D89747E" w14:textId="77777777" w:rsidR="00FA4AA8" w:rsidRDefault="00FA4AA8">
            <w:pPr>
              <w:pStyle w:val="TableParagraph"/>
              <w:rPr>
                <w:rFonts w:ascii="Times New Roman"/>
                <w:sz w:val="18"/>
              </w:rPr>
            </w:pPr>
          </w:p>
        </w:tc>
        <w:tc>
          <w:tcPr>
            <w:tcW w:w="4696" w:type="dxa"/>
          </w:tcPr>
          <w:p w14:paraId="3D46D0C7" w14:textId="77777777" w:rsidR="00FA4AA8" w:rsidRDefault="00FA4AA8">
            <w:pPr>
              <w:pStyle w:val="TableParagraph"/>
              <w:rPr>
                <w:rFonts w:ascii="Times New Roman"/>
                <w:sz w:val="18"/>
              </w:rPr>
            </w:pPr>
          </w:p>
        </w:tc>
        <w:tc>
          <w:tcPr>
            <w:tcW w:w="1175" w:type="dxa"/>
            <w:tcBorders>
              <w:top w:val="single" w:sz="8" w:space="0" w:color="000000"/>
              <w:bottom w:val="single" w:sz="8" w:space="0" w:color="000000"/>
            </w:tcBorders>
          </w:tcPr>
          <w:p w14:paraId="60C43550" w14:textId="77777777" w:rsidR="00FA4AA8" w:rsidRDefault="0015611F">
            <w:pPr>
              <w:pStyle w:val="TableParagraph"/>
              <w:spacing w:before="115" w:line="183" w:lineRule="exact"/>
              <w:ind w:right="251"/>
              <w:jc w:val="right"/>
              <w:rPr>
                <w:sz w:val="18"/>
              </w:rPr>
            </w:pPr>
            <w:r>
              <w:rPr>
                <w:sz w:val="18"/>
              </w:rPr>
              <w:t>28,364</w:t>
            </w:r>
          </w:p>
        </w:tc>
        <w:tc>
          <w:tcPr>
            <w:tcW w:w="1341" w:type="dxa"/>
            <w:tcBorders>
              <w:top w:val="single" w:sz="8" w:space="0" w:color="000000"/>
              <w:bottom w:val="single" w:sz="8" w:space="0" w:color="000000"/>
            </w:tcBorders>
          </w:tcPr>
          <w:p w14:paraId="623E21CA" w14:textId="77777777" w:rsidR="00FA4AA8" w:rsidRDefault="0015611F">
            <w:pPr>
              <w:pStyle w:val="TableParagraph"/>
              <w:spacing w:before="115" w:line="183" w:lineRule="exact"/>
              <w:ind w:left="588"/>
              <w:rPr>
                <w:sz w:val="18"/>
              </w:rPr>
            </w:pPr>
            <w:r>
              <w:rPr>
                <w:sz w:val="18"/>
              </w:rPr>
              <w:t>2,267</w:t>
            </w:r>
          </w:p>
        </w:tc>
        <w:tc>
          <w:tcPr>
            <w:tcW w:w="1297" w:type="dxa"/>
            <w:tcBorders>
              <w:top w:val="single" w:sz="8" w:space="0" w:color="000000"/>
              <w:bottom w:val="single" w:sz="8" w:space="0" w:color="000000"/>
            </w:tcBorders>
          </w:tcPr>
          <w:p w14:paraId="04A33986" w14:textId="77777777" w:rsidR="00FA4AA8" w:rsidRDefault="0015611F">
            <w:pPr>
              <w:pStyle w:val="TableParagraph"/>
              <w:spacing w:before="115" w:line="183" w:lineRule="exact"/>
              <w:ind w:right="297"/>
              <w:jc w:val="right"/>
              <w:rPr>
                <w:sz w:val="18"/>
              </w:rPr>
            </w:pPr>
            <w:r>
              <w:rPr>
                <w:sz w:val="18"/>
              </w:rPr>
              <w:t>93,715</w:t>
            </w:r>
          </w:p>
        </w:tc>
        <w:tc>
          <w:tcPr>
            <w:tcW w:w="1088" w:type="dxa"/>
            <w:tcBorders>
              <w:top w:val="single" w:sz="8" w:space="0" w:color="000000"/>
              <w:bottom w:val="single" w:sz="8" w:space="0" w:color="000000"/>
            </w:tcBorders>
          </w:tcPr>
          <w:p w14:paraId="04E275D1" w14:textId="77777777" w:rsidR="00FA4AA8" w:rsidRDefault="0015611F">
            <w:pPr>
              <w:pStyle w:val="TableParagraph"/>
              <w:spacing w:before="115" w:line="183" w:lineRule="exact"/>
              <w:ind w:left="341"/>
              <w:rPr>
                <w:sz w:val="18"/>
              </w:rPr>
            </w:pPr>
            <w:r>
              <w:rPr>
                <w:sz w:val="18"/>
              </w:rPr>
              <w:t>124,346</w:t>
            </w:r>
          </w:p>
        </w:tc>
      </w:tr>
      <w:tr w:rsidR="00FA4AA8" w14:paraId="69D3855F" w14:textId="77777777">
        <w:trPr>
          <w:trHeight w:val="337"/>
        </w:trPr>
        <w:tc>
          <w:tcPr>
            <w:tcW w:w="363" w:type="dxa"/>
          </w:tcPr>
          <w:p w14:paraId="53F2CFFF" w14:textId="77777777" w:rsidR="00FA4AA8" w:rsidRDefault="00FA4AA8">
            <w:pPr>
              <w:pStyle w:val="TableParagraph"/>
              <w:rPr>
                <w:rFonts w:ascii="Times New Roman"/>
                <w:sz w:val="18"/>
              </w:rPr>
            </w:pPr>
          </w:p>
        </w:tc>
        <w:tc>
          <w:tcPr>
            <w:tcW w:w="4696" w:type="dxa"/>
          </w:tcPr>
          <w:p w14:paraId="25223996" w14:textId="77777777" w:rsidR="00FA4AA8" w:rsidRDefault="0015611F">
            <w:pPr>
              <w:pStyle w:val="TableParagraph"/>
              <w:spacing w:before="115" w:line="203" w:lineRule="exact"/>
              <w:ind w:left="126"/>
              <w:rPr>
                <w:b/>
                <w:sz w:val="18"/>
              </w:rPr>
            </w:pPr>
            <w:r>
              <w:rPr>
                <w:b/>
                <w:sz w:val="18"/>
              </w:rPr>
              <w:t>Remeasurements</w:t>
            </w:r>
          </w:p>
        </w:tc>
        <w:tc>
          <w:tcPr>
            <w:tcW w:w="1175" w:type="dxa"/>
            <w:tcBorders>
              <w:top w:val="single" w:sz="8" w:space="0" w:color="000000"/>
            </w:tcBorders>
          </w:tcPr>
          <w:p w14:paraId="2D080211" w14:textId="77777777" w:rsidR="00FA4AA8" w:rsidRDefault="00FA4AA8">
            <w:pPr>
              <w:pStyle w:val="TableParagraph"/>
              <w:rPr>
                <w:rFonts w:ascii="Times New Roman"/>
                <w:sz w:val="18"/>
              </w:rPr>
            </w:pPr>
          </w:p>
        </w:tc>
        <w:tc>
          <w:tcPr>
            <w:tcW w:w="1341" w:type="dxa"/>
            <w:tcBorders>
              <w:top w:val="single" w:sz="8" w:space="0" w:color="000000"/>
            </w:tcBorders>
          </w:tcPr>
          <w:p w14:paraId="27440019" w14:textId="77777777" w:rsidR="00FA4AA8" w:rsidRDefault="00FA4AA8">
            <w:pPr>
              <w:pStyle w:val="TableParagraph"/>
              <w:rPr>
                <w:rFonts w:ascii="Times New Roman"/>
                <w:sz w:val="18"/>
              </w:rPr>
            </w:pPr>
          </w:p>
        </w:tc>
        <w:tc>
          <w:tcPr>
            <w:tcW w:w="1297" w:type="dxa"/>
            <w:tcBorders>
              <w:top w:val="single" w:sz="8" w:space="0" w:color="000000"/>
            </w:tcBorders>
          </w:tcPr>
          <w:p w14:paraId="76C48237" w14:textId="77777777" w:rsidR="00FA4AA8" w:rsidRDefault="00FA4AA8">
            <w:pPr>
              <w:pStyle w:val="TableParagraph"/>
              <w:rPr>
                <w:rFonts w:ascii="Times New Roman"/>
                <w:sz w:val="18"/>
              </w:rPr>
            </w:pPr>
          </w:p>
        </w:tc>
        <w:tc>
          <w:tcPr>
            <w:tcW w:w="1088" w:type="dxa"/>
            <w:tcBorders>
              <w:top w:val="single" w:sz="8" w:space="0" w:color="000000"/>
            </w:tcBorders>
          </w:tcPr>
          <w:p w14:paraId="6BC46E97" w14:textId="77777777" w:rsidR="00FA4AA8" w:rsidRDefault="00FA4AA8">
            <w:pPr>
              <w:pStyle w:val="TableParagraph"/>
              <w:rPr>
                <w:rFonts w:ascii="Times New Roman"/>
                <w:sz w:val="18"/>
              </w:rPr>
            </w:pPr>
          </w:p>
        </w:tc>
      </w:tr>
      <w:tr w:rsidR="00FA4AA8" w14:paraId="1B9887E2" w14:textId="77777777">
        <w:trPr>
          <w:trHeight w:val="219"/>
        </w:trPr>
        <w:tc>
          <w:tcPr>
            <w:tcW w:w="363" w:type="dxa"/>
          </w:tcPr>
          <w:p w14:paraId="72B08AB7" w14:textId="77777777" w:rsidR="00FA4AA8" w:rsidRDefault="00FA4AA8">
            <w:pPr>
              <w:pStyle w:val="TableParagraph"/>
              <w:rPr>
                <w:rFonts w:ascii="Times New Roman"/>
                <w:sz w:val="14"/>
              </w:rPr>
            </w:pPr>
          </w:p>
        </w:tc>
        <w:tc>
          <w:tcPr>
            <w:tcW w:w="4696" w:type="dxa"/>
          </w:tcPr>
          <w:p w14:paraId="79C67C52" w14:textId="77777777" w:rsidR="00FA4AA8" w:rsidRDefault="0015611F">
            <w:pPr>
              <w:pStyle w:val="TableParagraph"/>
              <w:spacing w:before="10" w:line="190" w:lineRule="exact"/>
              <w:ind w:left="126"/>
              <w:rPr>
                <w:sz w:val="18"/>
              </w:rPr>
            </w:pPr>
            <w:r>
              <w:rPr>
                <w:sz w:val="18"/>
              </w:rPr>
              <w:t>Return on plan assets, excluding</w:t>
            </w:r>
          </w:p>
        </w:tc>
        <w:tc>
          <w:tcPr>
            <w:tcW w:w="1175" w:type="dxa"/>
          </w:tcPr>
          <w:p w14:paraId="4E9C6115" w14:textId="77777777" w:rsidR="00FA4AA8" w:rsidRDefault="00FA4AA8">
            <w:pPr>
              <w:pStyle w:val="TableParagraph"/>
              <w:rPr>
                <w:rFonts w:ascii="Times New Roman"/>
                <w:sz w:val="14"/>
              </w:rPr>
            </w:pPr>
          </w:p>
        </w:tc>
        <w:tc>
          <w:tcPr>
            <w:tcW w:w="1341" w:type="dxa"/>
          </w:tcPr>
          <w:p w14:paraId="60452FE1" w14:textId="77777777" w:rsidR="00FA4AA8" w:rsidRDefault="00FA4AA8">
            <w:pPr>
              <w:pStyle w:val="TableParagraph"/>
              <w:rPr>
                <w:rFonts w:ascii="Times New Roman"/>
                <w:sz w:val="14"/>
              </w:rPr>
            </w:pPr>
          </w:p>
        </w:tc>
        <w:tc>
          <w:tcPr>
            <w:tcW w:w="1297" w:type="dxa"/>
          </w:tcPr>
          <w:p w14:paraId="594AAEFE" w14:textId="77777777" w:rsidR="00FA4AA8" w:rsidRDefault="00FA4AA8">
            <w:pPr>
              <w:pStyle w:val="TableParagraph"/>
              <w:rPr>
                <w:rFonts w:ascii="Times New Roman"/>
                <w:sz w:val="14"/>
              </w:rPr>
            </w:pPr>
          </w:p>
        </w:tc>
        <w:tc>
          <w:tcPr>
            <w:tcW w:w="1088" w:type="dxa"/>
          </w:tcPr>
          <w:p w14:paraId="21282177" w14:textId="77777777" w:rsidR="00FA4AA8" w:rsidRDefault="00FA4AA8">
            <w:pPr>
              <w:pStyle w:val="TableParagraph"/>
              <w:rPr>
                <w:rFonts w:ascii="Times New Roman"/>
                <w:sz w:val="14"/>
              </w:rPr>
            </w:pPr>
          </w:p>
        </w:tc>
      </w:tr>
      <w:tr w:rsidR="00FA4AA8" w14:paraId="7198BABA" w14:textId="77777777">
        <w:trPr>
          <w:trHeight w:val="432"/>
        </w:trPr>
        <w:tc>
          <w:tcPr>
            <w:tcW w:w="363" w:type="dxa"/>
          </w:tcPr>
          <w:p w14:paraId="45A19EAD" w14:textId="77777777" w:rsidR="00FA4AA8" w:rsidRDefault="00FA4AA8">
            <w:pPr>
              <w:pStyle w:val="TableParagraph"/>
              <w:rPr>
                <w:rFonts w:ascii="Times New Roman"/>
                <w:sz w:val="18"/>
              </w:rPr>
            </w:pPr>
          </w:p>
        </w:tc>
        <w:tc>
          <w:tcPr>
            <w:tcW w:w="4696" w:type="dxa"/>
          </w:tcPr>
          <w:p w14:paraId="645127D0" w14:textId="77777777" w:rsidR="00FA4AA8" w:rsidRDefault="0015611F">
            <w:pPr>
              <w:pStyle w:val="TableParagraph"/>
              <w:ind w:left="126" w:right="1367"/>
              <w:rPr>
                <w:sz w:val="18"/>
              </w:rPr>
            </w:pPr>
            <w:r>
              <w:rPr>
                <w:sz w:val="18"/>
              </w:rPr>
              <w:t>amounts included in net interest expense</w:t>
            </w:r>
          </w:p>
        </w:tc>
        <w:tc>
          <w:tcPr>
            <w:tcW w:w="1175" w:type="dxa"/>
            <w:tcBorders>
              <w:bottom w:val="single" w:sz="8" w:space="0" w:color="000000"/>
            </w:tcBorders>
          </w:tcPr>
          <w:p w14:paraId="18715605" w14:textId="77777777" w:rsidR="00FA4AA8" w:rsidRDefault="00FA4AA8">
            <w:pPr>
              <w:pStyle w:val="TableParagraph"/>
              <w:spacing w:before="5"/>
              <w:rPr>
                <w:b/>
                <w:sz w:val="17"/>
              </w:rPr>
            </w:pPr>
          </w:p>
          <w:p w14:paraId="4EFDB02B" w14:textId="77777777" w:rsidR="00FA4AA8" w:rsidRDefault="0015611F">
            <w:pPr>
              <w:pStyle w:val="TableParagraph"/>
              <w:ind w:right="251"/>
              <w:jc w:val="right"/>
              <w:rPr>
                <w:sz w:val="18"/>
              </w:rPr>
            </w:pPr>
            <w:r>
              <w:rPr>
                <w:sz w:val="18"/>
              </w:rPr>
              <w:t>711</w:t>
            </w:r>
          </w:p>
        </w:tc>
        <w:tc>
          <w:tcPr>
            <w:tcW w:w="1341" w:type="dxa"/>
            <w:tcBorders>
              <w:bottom w:val="single" w:sz="8" w:space="0" w:color="000000"/>
            </w:tcBorders>
          </w:tcPr>
          <w:p w14:paraId="755C3DDB" w14:textId="77777777" w:rsidR="00FA4AA8" w:rsidRDefault="00FA4AA8">
            <w:pPr>
              <w:pStyle w:val="TableParagraph"/>
              <w:spacing w:before="5"/>
              <w:rPr>
                <w:b/>
                <w:sz w:val="17"/>
              </w:rPr>
            </w:pPr>
          </w:p>
          <w:p w14:paraId="6EBDEB66" w14:textId="77777777" w:rsidR="00FA4AA8" w:rsidRDefault="0015611F">
            <w:pPr>
              <w:pStyle w:val="TableParagraph"/>
              <w:ind w:right="236"/>
              <w:jc w:val="right"/>
              <w:rPr>
                <w:sz w:val="18"/>
              </w:rPr>
            </w:pPr>
            <w:r>
              <w:rPr>
                <w:sz w:val="18"/>
              </w:rPr>
              <w:t>(41)</w:t>
            </w:r>
          </w:p>
        </w:tc>
        <w:tc>
          <w:tcPr>
            <w:tcW w:w="1297" w:type="dxa"/>
            <w:tcBorders>
              <w:bottom w:val="single" w:sz="8" w:space="0" w:color="000000"/>
            </w:tcBorders>
          </w:tcPr>
          <w:p w14:paraId="06FC972D" w14:textId="77777777" w:rsidR="00FA4AA8" w:rsidRDefault="00FA4AA8">
            <w:pPr>
              <w:pStyle w:val="TableParagraph"/>
              <w:spacing w:before="5"/>
              <w:rPr>
                <w:b/>
                <w:sz w:val="17"/>
              </w:rPr>
            </w:pPr>
          </w:p>
          <w:p w14:paraId="23405B36" w14:textId="77777777" w:rsidR="00FA4AA8" w:rsidRDefault="0015611F">
            <w:pPr>
              <w:pStyle w:val="TableParagraph"/>
              <w:ind w:right="297"/>
              <w:jc w:val="right"/>
              <w:rPr>
                <w:sz w:val="18"/>
              </w:rPr>
            </w:pPr>
            <w:r>
              <w:rPr>
                <w:sz w:val="18"/>
              </w:rPr>
              <w:t>499</w:t>
            </w:r>
          </w:p>
        </w:tc>
        <w:tc>
          <w:tcPr>
            <w:tcW w:w="1088" w:type="dxa"/>
            <w:tcBorders>
              <w:bottom w:val="single" w:sz="8" w:space="0" w:color="000000"/>
            </w:tcBorders>
          </w:tcPr>
          <w:p w14:paraId="76F7F37E" w14:textId="77777777" w:rsidR="00FA4AA8" w:rsidRDefault="00FA4AA8">
            <w:pPr>
              <w:pStyle w:val="TableParagraph"/>
              <w:spacing w:before="5"/>
              <w:rPr>
                <w:b/>
                <w:sz w:val="17"/>
              </w:rPr>
            </w:pPr>
          </w:p>
          <w:p w14:paraId="2145108D" w14:textId="77777777" w:rsidR="00FA4AA8" w:rsidRDefault="0015611F">
            <w:pPr>
              <w:pStyle w:val="TableParagraph"/>
              <w:ind w:right="89"/>
              <w:jc w:val="right"/>
              <w:rPr>
                <w:sz w:val="18"/>
              </w:rPr>
            </w:pPr>
            <w:r>
              <w:rPr>
                <w:sz w:val="18"/>
              </w:rPr>
              <w:t>1,169</w:t>
            </w:r>
          </w:p>
        </w:tc>
      </w:tr>
      <w:tr w:rsidR="00FA4AA8" w14:paraId="7EC9847A" w14:textId="77777777">
        <w:trPr>
          <w:trHeight w:val="318"/>
        </w:trPr>
        <w:tc>
          <w:tcPr>
            <w:tcW w:w="363" w:type="dxa"/>
          </w:tcPr>
          <w:p w14:paraId="0B4052AE" w14:textId="77777777" w:rsidR="00FA4AA8" w:rsidRDefault="00FA4AA8">
            <w:pPr>
              <w:pStyle w:val="TableParagraph"/>
              <w:rPr>
                <w:rFonts w:ascii="Times New Roman"/>
                <w:sz w:val="18"/>
              </w:rPr>
            </w:pPr>
          </w:p>
        </w:tc>
        <w:tc>
          <w:tcPr>
            <w:tcW w:w="4696" w:type="dxa"/>
          </w:tcPr>
          <w:p w14:paraId="3DB0A046" w14:textId="77777777" w:rsidR="00FA4AA8" w:rsidRDefault="00FA4AA8">
            <w:pPr>
              <w:pStyle w:val="TableParagraph"/>
              <w:rPr>
                <w:rFonts w:ascii="Times New Roman"/>
                <w:sz w:val="18"/>
              </w:rPr>
            </w:pPr>
          </w:p>
        </w:tc>
        <w:tc>
          <w:tcPr>
            <w:tcW w:w="1175" w:type="dxa"/>
            <w:tcBorders>
              <w:top w:val="single" w:sz="8" w:space="0" w:color="000000"/>
              <w:bottom w:val="single" w:sz="8" w:space="0" w:color="000000"/>
            </w:tcBorders>
          </w:tcPr>
          <w:p w14:paraId="3C0166B6" w14:textId="77777777" w:rsidR="00FA4AA8" w:rsidRDefault="0015611F">
            <w:pPr>
              <w:pStyle w:val="TableParagraph"/>
              <w:spacing w:before="115" w:line="183" w:lineRule="exact"/>
              <w:ind w:right="251"/>
              <w:jc w:val="right"/>
              <w:rPr>
                <w:sz w:val="18"/>
              </w:rPr>
            </w:pPr>
            <w:r>
              <w:rPr>
                <w:sz w:val="18"/>
              </w:rPr>
              <w:t>711</w:t>
            </w:r>
          </w:p>
        </w:tc>
        <w:tc>
          <w:tcPr>
            <w:tcW w:w="1341" w:type="dxa"/>
            <w:tcBorders>
              <w:top w:val="single" w:sz="8" w:space="0" w:color="000000"/>
              <w:bottom w:val="single" w:sz="8" w:space="0" w:color="000000"/>
            </w:tcBorders>
          </w:tcPr>
          <w:p w14:paraId="1CCE2052" w14:textId="77777777" w:rsidR="00FA4AA8" w:rsidRDefault="0015611F">
            <w:pPr>
              <w:pStyle w:val="TableParagraph"/>
              <w:spacing w:before="115" w:line="183" w:lineRule="exact"/>
              <w:ind w:right="236"/>
              <w:jc w:val="right"/>
              <w:rPr>
                <w:sz w:val="18"/>
              </w:rPr>
            </w:pPr>
            <w:r>
              <w:rPr>
                <w:sz w:val="18"/>
              </w:rPr>
              <w:t>(41)</w:t>
            </w:r>
          </w:p>
        </w:tc>
        <w:tc>
          <w:tcPr>
            <w:tcW w:w="1297" w:type="dxa"/>
            <w:tcBorders>
              <w:top w:val="single" w:sz="8" w:space="0" w:color="000000"/>
              <w:bottom w:val="single" w:sz="8" w:space="0" w:color="000000"/>
            </w:tcBorders>
          </w:tcPr>
          <w:p w14:paraId="2ABAB937" w14:textId="77777777" w:rsidR="00FA4AA8" w:rsidRDefault="0015611F">
            <w:pPr>
              <w:pStyle w:val="TableParagraph"/>
              <w:spacing w:before="115" w:line="183" w:lineRule="exact"/>
              <w:ind w:right="297"/>
              <w:jc w:val="right"/>
              <w:rPr>
                <w:sz w:val="18"/>
              </w:rPr>
            </w:pPr>
            <w:r>
              <w:rPr>
                <w:sz w:val="18"/>
              </w:rPr>
              <w:t>499</w:t>
            </w:r>
          </w:p>
        </w:tc>
        <w:tc>
          <w:tcPr>
            <w:tcW w:w="1088" w:type="dxa"/>
            <w:tcBorders>
              <w:top w:val="single" w:sz="8" w:space="0" w:color="000000"/>
              <w:bottom w:val="single" w:sz="8" w:space="0" w:color="000000"/>
            </w:tcBorders>
          </w:tcPr>
          <w:p w14:paraId="58603B23" w14:textId="77777777" w:rsidR="00FA4AA8" w:rsidRDefault="0015611F">
            <w:pPr>
              <w:pStyle w:val="TableParagraph"/>
              <w:spacing w:before="115" w:line="183" w:lineRule="exact"/>
              <w:ind w:right="89"/>
              <w:jc w:val="right"/>
              <w:rPr>
                <w:sz w:val="18"/>
              </w:rPr>
            </w:pPr>
            <w:r>
              <w:rPr>
                <w:sz w:val="18"/>
              </w:rPr>
              <w:t>1,169</w:t>
            </w:r>
          </w:p>
        </w:tc>
      </w:tr>
      <w:tr w:rsidR="00FA4AA8" w14:paraId="3930AF1D" w14:textId="77777777">
        <w:trPr>
          <w:trHeight w:val="339"/>
        </w:trPr>
        <w:tc>
          <w:tcPr>
            <w:tcW w:w="363" w:type="dxa"/>
          </w:tcPr>
          <w:p w14:paraId="13EC4990" w14:textId="77777777" w:rsidR="00FA4AA8" w:rsidRDefault="00FA4AA8">
            <w:pPr>
              <w:pStyle w:val="TableParagraph"/>
              <w:rPr>
                <w:rFonts w:ascii="Times New Roman"/>
                <w:sz w:val="18"/>
              </w:rPr>
            </w:pPr>
          </w:p>
        </w:tc>
        <w:tc>
          <w:tcPr>
            <w:tcW w:w="4696" w:type="dxa"/>
          </w:tcPr>
          <w:p w14:paraId="6ACEDBEC" w14:textId="77777777" w:rsidR="00FA4AA8" w:rsidRDefault="0015611F">
            <w:pPr>
              <w:pStyle w:val="TableParagraph"/>
              <w:spacing w:before="115" w:line="204" w:lineRule="exact"/>
              <w:ind w:left="126"/>
              <w:rPr>
                <w:b/>
                <w:sz w:val="18"/>
              </w:rPr>
            </w:pPr>
            <w:r>
              <w:rPr>
                <w:b/>
                <w:sz w:val="18"/>
              </w:rPr>
              <w:t>Contributions</w:t>
            </w:r>
          </w:p>
        </w:tc>
        <w:tc>
          <w:tcPr>
            <w:tcW w:w="1175" w:type="dxa"/>
            <w:tcBorders>
              <w:top w:val="single" w:sz="8" w:space="0" w:color="000000"/>
            </w:tcBorders>
          </w:tcPr>
          <w:p w14:paraId="1CD7D8EF" w14:textId="77777777" w:rsidR="00FA4AA8" w:rsidRDefault="00FA4AA8">
            <w:pPr>
              <w:pStyle w:val="TableParagraph"/>
              <w:rPr>
                <w:rFonts w:ascii="Times New Roman"/>
                <w:sz w:val="18"/>
              </w:rPr>
            </w:pPr>
          </w:p>
        </w:tc>
        <w:tc>
          <w:tcPr>
            <w:tcW w:w="1341" w:type="dxa"/>
            <w:tcBorders>
              <w:top w:val="single" w:sz="8" w:space="0" w:color="000000"/>
            </w:tcBorders>
          </w:tcPr>
          <w:p w14:paraId="1FAA0764" w14:textId="77777777" w:rsidR="00FA4AA8" w:rsidRDefault="00FA4AA8">
            <w:pPr>
              <w:pStyle w:val="TableParagraph"/>
              <w:rPr>
                <w:rFonts w:ascii="Times New Roman"/>
                <w:sz w:val="18"/>
              </w:rPr>
            </w:pPr>
          </w:p>
        </w:tc>
        <w:tc>
          <w:tcPr>
            <w:tcW w:w="1297" w:type="dxa"/>
            <w:tcBorders>
              <w:top w:val="single" w:sz="8" w:space="0" w:color="000000"/>
            </w:tcBorders>
          </w:tcPr>
          <w:p w14:paraId="58EA5481" w14:textId="77777777" w:rsidR="00FA4AA8" w:rsidRDefault="00FA4AA8">
            <w:pPr>
              <w:pStyle w:val="TableParagraph"/>
              <w:rPr>
                <w:rFonts w:ascii="Times New Roman"/>
                <w:sz w:val="18"/>
              </w:rPr>
            </w:pPr>
          </w:p>
        </w:tc>
        <w:tc>
          <w:tcPr>
            <w:tcW w:w="1088" w:type="dxa"/>
            <w:tcBorders>
              <w:top w:val="single" w:sz="8" w:space="0" w:color="000000"/>
            </w:tcBorders>
          </w:tcPr>
          <w:p w14:paraId="30B8B626" w14:textId="77777777" w:rsidR="00FA4AA8" w:rsidRDefault="00FA4AA8">
            <w:pPr>
              <w:pStyle w:val="TableParagraph"/>
              <w:rPr>
                <w:rFonts w:ascii="Times New Roman"/>
                <w:sz w:val="18"/>
              </w:rPr>
            </w:pPr>
          </w:p>
        </w:tc>
      </w:tr>
      <w:tr w:rsidR="00FA4AA8" w14:paraId="36405254" w14:textId="77777777">
        <w:trPr>
          <w:trHeight w:val="250"/>
        </w:trPr>
        <w:tc>
          <w:tcPr>
            <w:tcW w:w="363" w:type="dxa"/>
          </w:tcPr>
          <w:p w14:paraId="1BBAC72D" w14:textId="77777777" w:rsidR="00FA4AA8" w:rsidRDefault="00FA4AA8">
            <w:pPr>
              <w:pStyle w:val="TableParagraph"/>
              <w:rPr>
                <w:rFonts w:ascii="Times New Roman"/>
                <w:sz w:val="18"/>
              </w:rPr>
            </w:pPr>
          </w:p>
        </w:tc>
        <w:tc>
          <w:tcPr>
            <w:tcW w:w="4696" w:type="dxa"/>
          </w:tcPr>
          <w:p w14:paraId="6777C271" w14:textId="77777777" w:rsidR="00FA4AA8" w:rsidRDefault="0015611F">
            <w:pPr>
              <w:pStyle w:val="TableParagraph"/>
              <w:spacing w:before="13"/>
              <w:ind w:left="126"/>
              <w:rPr>
                <w:sz w:val="18"/>
              </w:rPr>
            </w:pPr>
            <w:r>
              <w:rPr>
                <w:sz w:val="18"/>
              </w:rPr>
              <w:t>Employers</w:t>
            </w:r>
          </w:p>
        </w:tc>
        <w:tc>
          <w:tcPr>
            <w:tcW w:w="1175" w:type="dxa"/>
          </w:tcPr>
          <w:p w14:paraId="786B529F" w14:textId="77777777" w:rsidR="00FA4AA8" w:rsidRDefault="0015611F">
            <w:pPr>
              <w:pStyle w:val="TableParagraph"/>
              <w:spacing w:before="11"/>
              <w:ind w:right="251"/>
              <w:jc w:val="right"/>
              <w:rPr>
                <w:sz w:val="18"/>
              </w:rPr>
            </w:pPr>
            <w:r>
              <w:rPr>
                <w:sz w:val="18"/>
              </w:rPr>
              <w:t>556</w:t>
            </w:r>
          </w:p>
        </w:tc>
        <w:tc>
          <w:tcPr>
            <w:tcW w:w="1341" w:type="dxa"/>
          </w:tcPr>
          <w:p w14:paraId="484D9B57" w14:textId="77777777" w:rsidR="00FA4AA8" w:rsidRDefault="0015611F">
            <w:pPr>
              <w:pStyle w:val="TableParagraph"/>
              <w:spacing w:before="11"/>
              <w:ind w:right="296"/>
              <w:jc w:val="right"/>
              <w:rPr>
                <w:sz w:val="18"/>
              </w:rPr>
            </w:pPr>
            <w:r>
              <w:rPr>
                <w:sz w:val="18"/>
              </w:rPr>
              <w:t>200</w:t>
            </w:r>
          </w:p>
        </w:tc>
        <w:tc>
          <w:tcPr>
            <w:tcW w:w="1297" w:type="dxa"/>
          </w:tcPr>
          <w:p w14:paraId="644D42ED" w14:textId="77777777" w:rsidR="00FA4AA8" w:rsidRDefault="0015611F">
            <w:pPr>
              <w:pStyle w:val="TableParagraph"/>
              <w:spacing w:before="11"/>
              <w:ind w:right="297"/>
              <w:jc w:val="right"/>
              <w:rPr>
                <w:sz w:val="18"/>
              </w:rPr>
            </w:pPr>
            <w:r>
              <w:rPr>
                <w:sz w:val="18"/>
              </w:rPr>
              <w:t>84</w:t>
            </w:r>
          </w:p>
        </w:tc>
        <w:tc>
          <w:tcPr>
            <w:tcW w:w="1088" w:type="dxa"/>
          </w:tcPr>
          <w:p w14:paraId="030D74A3" w14:textId="77777777" w:rsidR="00FA4AA8" w:rsidRDefault="0015611F">
            <w:pPr>
              <w:pStyle w:val="TableParagraph"/>
              <w:spacing w:before="11"/>
              <w:ind w:right="89"/>
              <w:jc w:val="right"/>
              <w:rPr>
                <w:sz w:val="18"/>
              </w:rPr>
            </w:pPr>
            <w:r>
              <w:rPr>
                <w:sz w:val="18"/>
              </w:rPr>
              <w:t>840</w:t>
            </w:r>
          </w:p>
        </w:tc>
      </w:tr>
      <w:tr w:rsidR="00FA4AA8" w14:paraId="06FBEB6A" w14:textId="77777777">
        <w:trPr>
          <w:trHeight w:val="256"/>
        </w:trPr>
        <w:tc>
          <w:tcPr>
            <w:tcW w:w="363" w:type="dxa"/>
          </w:tcPr>
          <w:p w14:paraId="5CA33470" w14:textId="77777777" w:rsidR="00FA4AA8" w:rsidRDefault="00FA4AA8">
            <w:pPr>
              <w:pStyle w:val="TableParagraph"/>
              <w:rPr>
                <w:rFonts w:ascii="Times New Roman"/>
                <w:sz w:val="18"/>
              </w:rPr>
            </w:pPr>
          </w:p>
        </w:tc>
        <w:tc>
          <w:tcPr>
            <w:tcW w:w="4696" w:type="dxa"/>
          </w:tcPr>
          <w:p w14:paraId="7C1F87F2" w14:textId="77777777" w:rsidR="00FA4AA8" w:rsidRDefault="0015611F">
            <w:pPr>
              <w:pStyle w:val="TableParagraph"/>
              <w:spacing w:before="26"/>
              <w:ind w:left="126"/>
              <w:rPr>
                <w:sz w:val="18"/>
              </w:rPr>
            </w:pPr>
            <w:r>
              <w:rPr>
                <w:sz w:val="18"/>
              </w:rPr>
              <w:t>Plan participants</w:t>
            </w:r>
          </w:p>
        </w:tc>
        <w:tc>
          <w:tcPr>
            <w:tcW w:w="1175" w:type="dxa"/>
            <w:tcBorders>
              <w:bottom w:val="single" w:sz="8" w:space="0" w:color="000000"/>
            </w:tcBorders>
          </w:tcPr>
          <w:p w14:paraId="60AF5842" w14:textId="77777777" w:rsidR="00FA4AA8" w:rsidRDefault="0015611F">
            <w:pPr>
              <w:pStyle w:val="TableParagraph"/>
              <w:spacing w:before="24"/>
              <w:ind w:right="251"/>
              <w:jc w:val="right"/>
              <w:rPr>
                <w:sz w:val="18"/>
              </w:rPr>
            </w:pPr>
            <w:r>
              <w:rPr>
                <w:sz w:val="18"/>
              </w:rPr>
              <w:t>483</w:t>
            </w:r>
          </w:p>
        </w:tc>
        <w:tc>
          <w:tcPr>
            <w:tcW w:w="1341" w:type="dxa"/>
            <w:tcBorders>
              <w:bottom w:val="single" w:sz="8" w:space="0" w:color="000000"/>
            </w:tcBorders>
          </w:tcPr>
          <w:p w14:paraId="41D9B3DE" w14:textId="77777777" w:rsidR="00FA4AA8" w:rsidRDefault="0015611F">
            <w:pPr>
              <w:pStyle w:val="TableParagraph"/>
              <w:spacing w:before="24"/>
              <w:ind w:right="296"/>
              <w:jc w:val="right"/>
              <w:rPr>
                <w:sz w:val="18"/>
              </w:rPr>
            </w:pPr>
            <w:r>
              <w:rPr>
                <w:sz w:val="18"/>
              </w:rPr>
              <w:t>-</w:t>
            </w:r>
          </w:p>
        </w:tc>
        <w:tc>
          <w:tcPr>
            <w:tcW w:w="1297" w:type="dxa"/>
            <w:tcBorders>
              <w:bottom w:val="single" w:sz="8" w:space="0" w:color="000000"/>
            </w:tcBorders>
          </w:tcPr>
          <w:p w14:paraId="57D627F5" w14:textId="77777777" w:rsidR="00FA4AA8" w:rsidRDefault="0015611F">
            <w:pPr>
              <w:pStyle w:val="TableParagraph"/>
              <w:spacing w:before="24"/>
              <w:ind w:right="297"/>
              <w:jc w:val="right"/>
              <w:rPr>
                <w:sz w:val="18"/>
              </w:rPr>
            </w:pPr>
            <w:r>
              <w:rPr>
                <w:sz w:val="18"/>
              </w:rPr>
              <w:t>98</w:t>
            </w:r>
          </w:p>
        </w:tc>
        <w:tc>
          <w:tcPr>
            <w:tcW w:w="1088" w:type="dxa"/>
            <w:tcBorders>
              <w:bottom w:val="single" w:sz="8" w:space="0" w:color="000000"/>
            </w:tcBorders>
          </w:tcPr>
          <w:p w14:paraId="4DC7D9D0" w14:textId="77777777" w:rsidR="00FA4AA8" w:rsidRDefault="0015611F">
            <w:pPr>
              <w:pStyle w:val="TableParagraph"/>
              <w:spacing w:before="24"/>
              <w:ind w:right="89"/>
              <w:jc w:val="right"/>
              <w:rPr>
                <w:sz w:val="18"/>
              </w:rPr>
            </w:pPr>
            <w:r>
              <w:rPr>
                <w:sz w:val="18"/>
              </w:rPr>
              <w:t>581</w:t>
            </w:r>
          </w:p>
        </w:tc>
      </w:tr>
      <w:tr w:rsidR="00FA4AA8" w14:paraId="29015249" w14:textId="77777777">
        <w:trPr>
          <w:trHeight w:val="318"/>
        </w:trPr>
        <w:tc>
          <w:tcPr>
            <w:tcW w:w="363" w:type="dxa"/>
          </w:tcPr>
          <w:p w14:paraId="0982F5BD" w14:textId="77777777" w:rsidR="00FA4AA8" w:rsidRDefault="00FA4AA8">
            <w:pPr>
              <w:pStyle w:val="TableParagraph"/>
              <w:rPr>
                <w:rFonts w:ascii="Times New Roman"/>
                <w:sz w:val="18"/>
              </w:rPr>
            </w:pPr>
          </w:p>
        </w:tc>
        <w:tc>
          <w:tcPr>
            <w:tcW w:w="4696" w:type="dxa"/>
          </w:tcPr>
          <w:p w14:paraId="0019F7EE" w14:textId="77777777" w:rsidR="00FA4AA8" w:rsidRDefault="00FA4AA8">
            <w:pPr>
              <w:pStyle w:val="TableParagraph"/>
              <w:rPr>
                <w:rFonts w:ascii="Times New Roman"/>
                <w:sz w:val="18"/>
              </w:rPr>
            </w:pPr>
          </w:p>
        </w:tc>
        <w:tc>
          <w:tcPr>
            <w:tcW w:w="1175" w:type="dxa"/>
            <w:tcBorders>
              <w:top w:val="single" w:sz="8" w:space="0" w:color="000000"/>
              <w:bottom w:val="single" w:sz="8" w:space="0" w:color="000000"/>
            </w:tcBorders>
          </w:tcPr>
          <w:p w14:paraId="7F4915A3" w14:textId="77777777" w:rsidR="00FA4AA8" w:rsidRDefault="0015611F">
            <w:pPr>
              <w:pStyle w:val="TableParagraph"/>
              <w:spacing w:before="115" w:line="183" w:lineRule="exact"/>
              <w:ind w:right="251"/>
              <w:jc w:val="right"/>
              <w:rPr>
                <w:sz w:val="18"/>
              </w:rPr>
            </w:pPr>
            <w:r>
              <w:rPr>
                <w:sz w:val="18"/>
              </w:rPr>
              <w:t>1,039</w:t>
            </w:r>
          </w:p>
        </w:tc>
        <w:tc>
          <w:tcPr>
            <w:tcW w:w="1341" w:type="dxa"/>
            <w:tcBorders>
              <w:top w:val="single" w:sz="8" w:space="0" w:color="000000"/>
              <w:bottom w:val="single" w:sz="8" w:space="0" w:color="000000"/>
            </w:tcBorders>
          </w:tcPr>
          <w:p w14:paraId="31D0068D" w14:textId="77777777" w:rsidR="00FA4AA8" w:rsidRDefault="0015611F">
            <w:pPr>
              <w:pStyle w:val="TableParagraph"/>
              <w:spacing w:before="115" w:line="183" w:lineRule="exact"/>
              <w:ind w:right="296"/>
              <w:jc w:val="right"/>
              <w:rPr>
                <w:sz w:val="18"/>
              </w:rPr>
            </w:pPr>
            <w:r>
              <w:rPr>
                <w:sz w:val="18"/>
              </w:rPr>
              <w:t>200</w:t>
            </w:r>
          </w:p>
        </w:tc>
        <w:tc>
          <w:tcPr>
            <w:tcW w:w="1297" w:type="dxa"/>
            <w:tcBorders>
              <w:top w:val="single" w:sz="8" w:space="0" w:color="000000"/>
              <w:bottom w:val="single" w:sz="8" w:space="0" w:color="000000"/>
            </w:tcBorders>
          </w:tcPr>
          <w:p w14:paraId="14982BE9" w14:textId="77777777" w:rsidR="00FA4AA8" w:rsidRDefault="0015611F">
            <w:pPr>
              <w:pStyle w:val="TableParagraph"/>
              <w:spacing w:before="115" w:line="183" w:lineRule="exact"/>
              <w:ind w:right="297"/>
              <w:jc w:val="right"/>
              <w:rPr>
                <w:sz w:val="18"/>
              </w:rPr>
            </w:pPr>
            <w:r>
              <w:rPr>
                <w:sz w:val="18"/>
              </w:rPr>
              <w:t>182</w:t>
            </w:r>
          </w:p>
        </w:tc>
        <w:tc>
          <w:tcPr>
            <w:tcW w:w="1088" w:type="dxa"/>
            <w:tcBorders>
              <w:top w:val="single" w:sz="8" w:space="0" w:color="000000"/>
              <w:bottom w:val="single" w:sz="8" w:space="0" w:color="000000"/>
            </w:tcBorders>
          </w:tcPr>
          <w:p w14:paraId="2CD95792" w14:textId="77777777" w:rsidR="00FA4AA8" w:rsidRDefault="0015611F">
            <w:pPr>
              <w:pStyle w:val="TableParagraph"/>
              <w:spacing w:before="115" w:line="183" w:lineRule="exact"/>
              <w:ind w:right="89"/>
              <w:jc w:val="right"/>
              <w:rPr>
                <w:sz w:val="18"/>
              </w:rPr>
            </w:pPr>
            <w:r>
              <w:rPr>
                <w:sz w:val="18"/>
              </w:rPr>
              <w:t>1,421</w:t>
            </w:r>
          </w:p>
        </w:tc>
      </w:tr>
      <w:tr w:rsidR="00FA4AA8" w14:paraId="071C3B8F" w14:textId="77777777">
        <w:trPr>
          <w:trHeight w:val="339"/>
        </w:trPr>
        <w:tc>
          <w:tcPr>
            <w:tcW w:w="363" w:type="dxa"/>
          </w:tcPr>
          <w:p w14:paraId="32BE709E" w14:textId="77777777" w:rsidR="00FA4AA8" w:rsidRDefault="00FA4AA8">
            <w:pPr>
              <w:pStyle w:val="TableParagraph"/>
              <w:rPr>
                <w:rFonts w:ascii="Times New Roman"/>
                <w:sz w:val="18"/>
              </w:rPr>
            </w:pPr>
          </w:p>
        </w:tc>
        <w:tc>
          <w:tcPr>
            <w:tcW w:w="4696" w:type="dxa"/>
          </w:tcPr>
          <w:p w14:paraId="4EF33CC8" w14:textId="77777777" w:rsidR="00FA4AA8" w:rsidRDefault="0015611F">
            <w:pPr>
              <w:pStyle w:val="TableParagraph"/>
              <w:spacing w:before="115" w:line="204" w:lineRule="exact"/>
              <w:ind w:left="126"/>
              <w:rPr>
                <w:b/>
                <w:sz w:val="18"/>
              </w:rPr>
            </w:pPr>
            <w:r>
              <w:rPr>
                <w:b/>
                <w:sz w:val="18"/>
              </w:rPr>
              <w:t>Payments from plan</w:t>
            </w:r>
          </w:p>
        </w:tc>
        <w:tc>
          <w:tcPr>
            <w:tcW w:w="1175" w:type="dxa"/>
            <w:tcBorders>
              <w:top w:val="single" w:sz="8" w:space="0" w:color="000000"/>
            </w:tcBorders>
          </w:tcPr>
          <w:p w14:paraId="646FA743" w14:textId="77777777" w:rsidR="00FA4AA8" w:rsidRDefault="00FA4AA8">
            <w:pPr>
              <w:pStyle w:val="TableParagraph"/>
              <w:rPr>
                <w:rFonts w:ascii="Times New Roman"/>
                <w:sz w:val="18"/>
              </w:rPr>
            </w:pPr>
          </w:p>
        </w:tc>
        <w:tc>
          <w:tcPr>
            <w:tcW w:w="1341" w:type="dxa"/>
            <w:tcBorders>
              <w:top w:val="single" w:sz="8" w:space="0" w:color="000000"/>
            </w:tcBorders>
          </w:tcPr>
          <w:p w14:paraId="2A7090AE" w14:textId="77777777" w:rsidR="00FA4AA8" w:rsidRDefault="00FA4AA8">
            <w:pPr>
              <w:pStyle w:val="TableParagraph"/>
              <w:rPr>
                <w:rFonts w:ascii="Times New Roman"/>
                <w:sz w:val="18"/>
              </w:rPr>
            </w:pPr>
          </w:p>
        </w:tc>
        <w:tc>
          <w:tcPr>
            <w:tcW w:w="1297" w:type="dxa"/>
            <w:tcBorders>
              <w:top w:val="single" w:sz="8" w:space="0" w:color="000000"/>
            </w:tcBorders>
          </w:tcPr>
          <w:p w14:paraId="3B6B26CC" w14:textId="77777777" w:rsidR="00FA4AA8" w:rsidRDefault="00FA4AA8">
            <w:pPr>
              <w:pStyle w:val="TableParagraph"/>
              <w:rPr>
                <w:rFonts w:ascii="Times New Roman"/>
                <w:sz w:val="18"/>
              </w:rPr>
            </w:pPr>
          </w:p>
        </w:tc>
        <w:tc>
          <w:tcPr>
            <w:tcW w:w="1088" w:type="dxa"/>
            <w:tcBorders>
              <w:top w:val="single" w:sz="8" w:space="0" w:color="000000"/>
            </w:tcBorders>
          </w:tcPr>
          <w:p w14:paraId="18BC33CF" w14:textId="77777777" w:rsidR="00FA4AA8" w:rsidRDefault="00FA4AA8">
            <w:pPr>
              <w:pStyle w:val="TableParagraph"/>
              <w:rPr>
                <w:rFonts w:ascii="Times New Roman"/>
                <w:sz w:val="18"/>
              </w:rPr>
            </w:pPr>
          </w:p>
        </w:tc>
      </w:tr>
      <w:tr w:rsidR="00FA4AA8" w14:paraId="039C5CED" w14:textId="77777777">
        <w:trPr>
          <w:trHeight w:val="250"/>
        </w:trPr>
        <w:tc>
          <w:tcPr>
            <w:tcW w:w="363" w:type="dxa"/>
          </w:tcPr>
          <w:p w14:paraId="612588A1" w14:textId="77777777" w:rsidR="00FA4AA8" w:rsidRDefault="00FA4AA8">
            <w:pPr>
              <w:pStyle w:val="TableParagraph"/>
              <w:rPr>
                <w:rFonts w:ascii="Times New Roman"/>
                <w:sz w:val="18"/>
              </w:rPr>
            </w:pPr>
          </w:p>
        </w:tc>
        <w:tc>
          <w:tcPr>
            <w:tcW w:w="4696" w:type="dxa"/>
          </w:tcPr>
          <w:p w14:paraId="77F784B7" w14:textId="77777777" w:rsidR="00FA4AA8" w:rsidRDefault="0015611F">
            <w:pPr>
              <w:pStyle w:val="TableParagraph"/>
              <w:spacing w:before="13"/>
              <w:ind w:left="126"/>
              <w:rPr>
                <w:sz w:val="18"/>
              </w:rPr>
            </w:pPr>
            <w:r>
              <w:rPr>
                <w:sz w:val="18"/>
              </w:rPr>
              <w:t>Benefits paid</w:t>
            </w:r>
          </w:p>
        </w:tc>
        <w:tc>
          <w:tcPr>
            <w:tcW w:w="1175" w:type="dxa"/>
          </w:tcPr>
          <w:p w14:paraId="6DAB66D3" w14:textId="77777777" w:rsidR="00FA4AA8" w:rsidRDefault="0015611F">
            <w:pPr>
              <w:pStyle w:val="TableParagraph"/>
              <w:spacing w:before="11"/>
              <w:ind w:right="191"/>
              <w:jc w:val="right"/>
              <w:rPr>
                <w:sz w:val="18"/>
              </w:rPr>
            </w:pPr>
            <w:r>
              <w:rPr>
                <w:sz w:val="18"/>
              </w:rPr>
              <w:t>(17,417)</w:t>
            </w:r>
          </w:p>
        </w:tc>
        <w:tc>
          <w:tcPr>
            <w:tcW w:w="1341" w:type="dxa"/>
          </w:tcPr>
          <w:p w14:paraId="6394A0B7" w14:textId="77777777" w:rsidR="00FA4AA8" w:rsidRDefault="0015611F">
            <w:pPr>
              <w:pStyle w:val="TableParagraph"/>
              <w:spacing w:before="11"/>
              <w:ind w:right="236"/>
              <w:jc w:val="right"/>
              <w:rPr>
                <w:sz w:val="18"/>
              </w:rPr>
            </w:pPr>
            <w:r>
              <w:rPr>
                <w:sz w:val="18"/>
              </w:rPr>
              <w:t>(2,075)</w:t>
            </w:r>
          </w:p>
        </w:tc>
        <w:tc>
          <w:tcPr>
            <w:tcW w:w="1297" w:type="dxa"/>
          </w:tcPr>
          <w:p w14:paraId="57E67441" w14:textId="77777777" w:rsidR="00FA4AA8" w:rsidRDefault="0015611F">
            <w:pPr>
              <w:pStyle w:val="TableParagraph"/>
              <w:spacing w:before="11"/>
              <w:ind w:right="237"/>
              <w:jc w:val="right"/>
              <w:rPr>
                <w:sz w:val="18"/>
              </w:rPr>
            </w:pPr>
            <w:r>
              <w:rPr>
                <w:sz w:val="18"/>
              </w:rPr>
              <w:t>(18,151)</w:t>
            </w:r>
          </w:p>
        </w:tc>
        <w:tc>
          <w:tcPr>
            <w:tcW w:w="1088" w:type="dxa"/>
          </w:tcPr>
          <w:p w14:paraId="3F06D168" w14:textId="77777777" w:rsidR="00FA4AA8" w:rsidRDefault="0015611F">
            <w:pPr>
              <w:pStyle w:val="TableParagraph"/>
              <w:spacing w:before="11"/>
              <w:ind w:right="29"/>
              <w:jc w:val="right"/>
              <w:rPr>
                <w:sz w:val="18"/>
              </w:rPr>
            </w:pPr>
            <w:r>
              <w:rPr>
                <w:sz w:val="18"/>
              </w:rPr>
              <w:t>(37,643)</w:t>
            </w:r>
          </w:p>
        </w:tc>
      </w:tr>
      <w:tr w:rsidR="00FA4AA8" w14:paraId="59178B37" w14:textId="77777777">
        <w:trPr>
          <w:trHeight w:val="256"/>
        </w:trPr>
        <w:tc>
          <w:tcPr>
            <w:tcW w:w="363" w:type="dxa"/>
          </w:tcPr>
          <w:p w14:paraId="20A590EB" w14:textId="77777777" w:rsidR="00FA4AA8" w:rsidRDefault="00FA4AA8">
            <w:pPr>
              <w:pStyle w:val="TableParagraph"/>
              <w:rPr>
                <w:rFonts w:ascii="Times New Roman"/>
                <w:sz w:val="18"/>
              </w:rPr>
            </w:pPr>
          </w:p>
        </w:tc>
        <w:tc>
          <w:tcPr>
            <w:tcW w:w="4696" w:type="dxa"/>
          </w:tcPr>
          <w:p w14:paraId="0AB55048" w14:textId="77777777" w:rsidR="00FA4AA8" w:rsidRDefault="0015611F">
            <w:pPr>
              <w:pStyle w:val="TableParagraph"/>
              <w:spacing w:before="26"/>
              <w:ind w:left="126"/>
              <w:rPr>
                <w:sz w:val="18"/>
              </w:rPr>
            </w:pPr>
            <w:r>
              <w:rPr>
                <w:sz w:val="18"/>
              </w:rPr>
              <w:t>Taxes, premiums and expenses paid</w:t>
            </w:r>
          </w:p>
        </w:tc>
        <w:tc>
          <w:tcPr>
            <w:tcW w:w="1175" w:type="dxa"/>
            <w:tcBorders>
              <w:bottom w:val="single" w:sz="8" w:space="0" w:color="000000"/>
            </w:tcBorders>
          </w:tcPr>
          <w:p w14:paraId="68D58384" w14:textId="77777777" w:rsidR="00FA4AA8" w:rsidRDefault="0015611F">
            <w:pPr>
              <w:pStyle w:val="TableParagraph"/>
              <w:spacing w:before="24"/>
              <w:ind w:right="191"/>
              <w:jc w:val="right"/>
              <w:rPr>
                <w:sz w:val="18"/>
              </w:rPr>
            </w:pPr>
            <w:r>
              <w:rPr>
                <w:sz w:val="18"/>
              </w:rPr>
              <w:t>(162)</w:t>
            </w:r>
          </w:p>
        </w:tc>
        <w:tc>
          <w:tcPr>
            <w:tcW w:w="1341" w:type="dxa"/>
            <w:tcBorders>
              <w:bottom w:val="single" w:sz="8" w:space="0" w:color="000000"/>
            </w:tcBorders>
          </w:tcPr>
          <w:p w14:paraId="622342FB" w14:textId="77777777" w:rsidR="00FA4AA8" w:rsidRDefault="0015611F">
            <w:pPr>
              <w:pStyle w:val="TableParagraph"/>
              <w:spacing w:before="24"/>
              <w:ind w:right="236"/>
              <w:jc w:val="right"/>
              <w:rPr>
                <w:sz w:val="18"/>
              </w:rPr>
            </w:pPr>
            <w:r>
              <w:rPr>
                <w:sz w:val="18"/>
              </w:rPr>
              <w:t>(246)</w:t>
            </w:r>
          </w:p>
        </w:tc>
        <w:tc>
          <w:tcPr>
            <w:tcW w:w="1297" w:type="dxa"/>
            <w:tcBorders>
              <w:bottom w:val="single" w:sz="8" w:space="0" w:color="000000"/>
            </w:tcBorders>
          </w:tcPr>
          <w:p w14:paraId="7DCD83D3" w14:textId="77777777" w:rsidR="00FA4AA8" w:rsidRDefault="0015611F">
            <w:pPr>
              <w:pStyle w:val="TableParagraph"/>
              <w:spacing w:before="24"/>
              <w:ind w:right="297"/>
              <w:jc w:val="right"/>
              <w:rPr>
                <w:sz w:val="18"/>
              </w:rPr>
            </w:pPr>
            <w:r>
              <w:rPr>
                <w:sz w:val="18"/>
              </w:rPr>
              <w:t>2,390</w:t>
            </w:r>
          </w:p>
        </w:tc>
        <w:tc>
          <w:tcPr>
            <w:tcW w:w="1088" w:type="dxa"/>
            <w:tcBorders>
              <w:bottom w:val="single" w:sz="8" w:space="0" w:color="000000"/>
            </w:tcBorders>
          </w:tcPr>
          <w:p w14:paraId="50474464" w14:textId="77777777" w:rsidR="00FA4AA8" w:rsidRDefault="0015611F">
            <w:pPr>
              <w:pStyle w:val="TableParagraph"/>
              <w:spacing w:before="24"/>
              <w:ind w:right="89"/>
              <w:jc w:val="right"/>
              <w:rPr>
                <w:sz w:val="18"/>
              </w:rPr>
            </w:pPr>
            <w:r>
              <w:rPr>
                <w:sz w:val="18"/>
              </w:rPr>
              <w:t>1,982</w:t>
            </w:r>
          </w:p>
        </w:tc>
      </w:tr>
      <w:tr w:rsidR="00FA4AA8" w14:paraId="067E143B" w14:textId="77777777">
        <w:trPr>
          <w:trHeight w:val="318"/>
        </w:trPr>
        <w:tc>
          <w:tcPr>
            <w:tcW w:w="363" w:type="dxa"/>
          </w:tcPr>
          <w:p w14:paraId="7744A37B" w14:textId="77777777" w:rsidR="00FA4AA8" w:rsidRDefault="00FA4AA8">
            <w:pPr>
              <w:pStyle w:val="TableParagraph"/>
              <w:rPr>
                <w:rFonts w:ascii="Times New Roman"/>
                <w:sz w:val="18"/>
              </w:rPr>
            </w:pPr>
          </w:p>
        </w:tc>
        <w:tc>
          <w:tcPr>
            <w:tcW w:w="4696" w:type="dxa"/>
          </w:tcPr>
          <w:p w14:paraId="1F40921B" w14:textId="77777777" w:rsidR="00FA4AA8" w:rsidRDefault="00FA4AA8">
            <w:pPr>
              <w:pStyle w:val="TableParagraph"/>
              <w:rPr>
                <w:rFonts w:ascii="Times New Roman"/>
                <w:sz w:val="18"/>
              </w:rPr>
            </w:pPr>
          </w:p>
        </w:tc>
        <w:tc>
          <w:tcPr>
            <w:tcW w:w="1175" w:type="dxa"/>
            <w:tcBorders>
              <w:top w:val="single" w:sz="8" w:space="0" w:color="000000"/>
              <w:bottom w:val="single" w:sz="8" w:space="0" w:color="000000"/>
            </w:tcBorders>
          </w:tcPr>
          <w:p w14:paraId="0B31E95B" w14:textId="77777777" w:rsidR="00FA4AA8" w:rsidRDefault="0015611F">
            <w:pPr>
              <w:pStyle w:val="TableParagraph"/>
              <w:spacing w:before="115" w:line="183" w:lineRule="exact"/>
              <w:ind w:right="191"/>
              <w:jc w:val="right"/>
              <w:rPr>
                <w:sz w:val="18"/>
              </w:rPr>
            </w:pPr>
            <w:r>
              <w:rPr>
                <w:sz w:val="18"/>
              </w:rPr>
              <w:t>(17,579)</w:t>
            </w:r>
          </w:p>
        </w:tc>
        <w:tc>
          <w:tcPr>
            <w:tcW w:w="1341" w:type="dxa"/>
            <w:tcBorders>
              <w:top w:val="single" w:sz="8" w:space="0" w:color="000000"/>
              <w:bottom w:val="single" w:sz="8" w:space="0" w:color="000000"/>
            </w:tcBorders>
          </w:tcPr>
          <w:p w14:paraId="14D20FD8" w14:textId="77777777" w:rsidR="00FA4AA8" w:rsidRDefault="0015611F">
            <w:pPr>
              <w:pStyle w:val="TableParagraph"/>
              <w:spacing w:before="115" w:line="183" w:lineRule="exact"/>
              <w:ind w:right="236"/>
              <w:jc w:val="right"/>
              <w:rPr>
                <w:sz w:val="18"/>
              </w:rPr>
            </w:pPr>
            <w:r>
              <w:rPr>
                <w:sz w:val="18"/>
              </w:rPr>
              <w:t>(2,321)</w:t>
            </w:r>
          </w:p>
        </w:tc>
        <w:tc>
          <w:tcPr>
            <w:tcW w:w="1297" w:type="dxa"/>
            <w:tcBorders>
              <w:top w:val="single" w:sz="8" w:space="0" w:color="000000"/>
              <w:bottom w:val="single" w:sz="8" w:space="0" w:color="000000"/>
            </w:tcBorders>
          </w:tcPr>
          <w:p w14:paraId="59B68565" w14:textId="77777777" w:rsidR="00FA4AA8" w:rsidRDefault="0015611F">
            <w:pPr>
              <w:pStyle w:val="TableParagraph"/>
              <w:spacing w:before="115" w:line="183" w:lineRule="exact"/>
              <w:ind w:right="237"/>
              <w:jc w:val="right"/>
              <w:rPr>
                <w:sz w:val="18"/>
              </w:rPr>
            </w:pPr>
            <w:r>
              <w:rPr>
                <w:sz w:val="18"/>
              </w:rPr>
              <w:t>(15,761)</w:t>
            </w:r>
          </w:p>
        </w:tc>
        <w:tc>
          <w:tcPr>
            <w:tcW w:w="1088" w:type="dxa"/>
            <w:tcBorders>
              <w:top w:val="single" w:sz="8" w:space="0" w:color="000000"/>
              <w:bottom w:val="single" w:sz="8" w:space="0" w:color="000000"/>
            </w:tcBorders>
          </w:tcPr>
          <w:p w14:paraId="4A2848CF" w14:textId="77777777" w:rsidR="00FA4AA8" w:rsidRDefault="0015611F">
            <w:pPr>
              <w:pStyle w:val="TableParagraph"/>
              <w:spacing w:before="115" w:line="183" w:lineRule="exact"/>
              <w:ind w:right="29"/>
              <w:jc w:val="right"/>
              <w:rPr>
                <w:sz w:val="18"/>
              </w:rPr>
            </w:pPr>
            <w:r>
              <w:rPr>
                <w:sz w:val="18"/>
              </w:rPr>
              <w:t>(35,661)</w:t>
            </w:r>
          </w:p>
        </w:tc>
      </w:tr>
      <w:tr w:rsidR="00FA4AA8" w14:paraId="6E802395" w14:textId="77777777">
        <w:trPr>
          <w:trHeight w:val="320"/>
        </w:trPr>
        <w:tc>
          <w:tcPr>
            <w:tcW w:w="363" w:type="dxa"/>
          </w:tcPr>
          <w:p w14:paraId="2DDAC58B" w14:textId="77777777" w:rsidR="00FA4AA8" w:rsidRDefault="00FA4AA8">
            <w:pPr>
              <w:pStyle w:val="TableParagraph"/>
              <w:rPr>
                <w:rFonts w:ascii="Times New Roman"/>
                <w:sz w:val="18"/>
              </w:rPr>
            </w:pPr>
          </w:p>
        </w:tc>
        <w:tc>
          <w:tcPr>
            <w:tcW w:w="4696" w:type="dxa"/>
          </w:tcPr>
          <w:p w14:paraId="3CD9427C" w14:textId="77777777" w:rsidR="00FA4AA8" w:rsidRDefault="0015611F">
            <w:pPr>
              <w:pStyle w:val="TableParagraph"/>
              <w:spacing w:before="115" w:line="185" w:lineRule="exact"/>
              <w:ind w:left="126"/>
              <w:rPr>
                <w:b/>
                <w:sz w:val="18"/>
              </w:rPr>
            </w:pPr>
            <w:r>
              <w:rPr>
                <w:b/>
                <w:sz w:val="18"/>
              </w:rPr>
              <w:t>Closing fair value of plans assets</w:t>
            </w:r>
          </w:p>
        </w:tc>
        <w:tc>
          <w:tcPr>
            <w:tcW w:w="1175" w:type="dxa"/>
            <w:tcBorders>
              <w:top w:val="single" w:sz="8" w:space="0" w:color="000000"/>
              <w:bottom w:val="double" w:sz="2" w:space="0" w:color="000000"/>
            </w:tcBorders>
          </w:tcPr>
          <w:p w14:paraId="75D8527B" w14:textId="77777777" w:rsidR="00FA4AA8" w:rsidRDefault="0015611F">
            <w:pPr>
              <w:pStyle w:val="TableParagraph"/>
              <w:spacing w:before="115" w:line="185" w:lineRule="exact"/>
              <w:ind w:right="251"/>
              <w:jc w:val="right"/>
              <w:rPr>
                <w:sz w:val="18"/>
              </w:rPr>
            </w:pPr>
            <w:r>
              <w:rPr>
                <w:sz w:val="18"/>
              </w:rPr>
              <w:t>12,535</w:t>
            </w:r>
          </w:p>
        </w:tc>
        <w:tc>
          <w:tcPr>
            <w:tcW w:w="1341" w:type="dxa"/>
            <w:tcBorders>
              <w:top w:val="single" w:sz="8" w:space="0" w:color="000000"/>
              <w:bottom w:val="double" w:sz="2" w:space="0" w:color="000000"/>
            </w:tcBorders>
          </w:tcPr>
          <w:p w14:paraId="06E124CF" w14:textId="77777777" w:rsidR="00FA4AA8" w:rsidRDefault="0015611F">
            <w:pPr>
              <w:pStyle w:val="TableParagraph"/>
              <w:spacing w:before="115" w:line="185" w:lineRule="exact"/>
              <w:ind w:right="296"/>
              <w:jc w:val="right"/>
              <w:rPr>
                <w:sz w:val="18"/>
              </w:rPr>
            </w:pPr>
            <w:r>
              <w:rPr>
                <w:sz w:val="18"/>
              </w:rPr>
              <w:t>105</w:t>
            </w:r>
          </w:p>
        </w:tc>
        <w:tc>
          <w:tcPr>
            <w:tcW w:w="1297" w:type="dxa"/>
            <w:tcBorders>
              <w:top w:val="single" w:sz="8" w:space="0" w:color="000000"/>
              <w:bottom w:val="double" w:sz="2" w:space="0" w:color="000000"/>
            </w:tcBorders>
          </w:tcPr>
          <w:p w14:paraId="064DD0E0" w14:textId="77777777" w:rsidR="00FA4AA8" w:rsidRDefault="0015611F">
            <w:pPr>
              <w:pStyle w:val="TableParagraph"/>
              <w:spacing w:before="115" w:line="185" w:lineRule="exact"/>
              <w:ind w:right="297"/>
              <w:jc w:val="right"/>
              <w:rPr>
                <w:sz w:val="18"/>
              </w:rPr>
            </w:pPr>
            <w:r>
              <w:rPr>
                <w:sz w:val="18"/>
              </w:rPr>
              <w:t>78,635</w:t>
            </w:r>
          </w:p>
        </w:tc>
        <w:tc>
          <w:tcPr>
            <w:tcW w:w="1088" w:type="dxa"/>
            <w:tcBorders>
              <w:top w:val="single" w:sz="8" w:space="0" w:color="000000"/>
              <w:bottom w:val="double" w:sz="2" w:space="0" w:color="000000"/>
            </w:tcBorders>
          </w:tcPr>
          <w:p w14:paraId="7252D346" w14:textId="77777777" w:rsidR="00FA4AA8" w:rsidRDefault="0015611F">
            <w:pPr>
              <w:pStyle w:val="TableParagraph"/>
              <w:spacing w:before="115" w:line="185" w:lineRule="exact"/>
              <w:ind w:right="89"/>
              <w:jc w:val="right"/>
              <w:rPr>
                <w:sz w:val="18"/>
              </w:rPr>
            </w:pPr>
            <w:r>
              <w:rPr>
                <w:sz w:val="18"/>
              </w:rPr>
              <w:t>91,275</w:t>
            </w:r>
          </w:p>
        </w:tc>
      </w:tr>
    </w:tbl>
    <w:p w14:paraId="44E1EE69" w14:textId="77777777" w:rsidR="00FA4AA8" w:rsidRDefault="00FA4AA8">
      <w:pPr>
        <w:spacing w:line="185" w:lineRule="exact"/>
        <w:jc w:val="right"/>
        <w:rPr>
          <w:sz w:val="18"/>
        </w:rPr>
        <w:sectPr w:rsidR="00FA4AA8">
          <w:pgSz w:w="11910" w:h="16840"/>
          <w:pgMar w:top="2220" w:right="880" w:bottom="720" w:left="840" w:header="1016" w:footer="523" w:gutter="0"/>
          <w:cols w:space="720"/>
        </w:sectPr>
      </w:pPr>
    </w:p>
    <w:p w14:paraId="2A83FF8C" w14:textId="77777777" w:rsidR="00FA4AA8" w:rsidRDefault="00FA4AA8">
      <w:pPr>
        <w:pStyle w:val="BodyText"/>
        <w:rPr>
          <w:b/>
          <w:sz w:val="20"/>
        </w:rPr>
      </w:pPr>
    </w:p>
    <w:p w14:paraId="24EF69B0" w14:textId="77777777" w:rsidR="00FA4AA8" w:rsidRDefault="00FA4AA8">
      <w:pPr>
        <w:pStyle w:val="BodyText"/>
        <w:spacing w:before="10"/>
        <w:rPr>
          <w:b/>
          <w:sz w:val="29"/>
        </w:rPr>
      </w:pPr>
    </w:p>
    <w:p w14:paraId="0FB657E3" w14:textId="77777777" w:rsidR="00FA4AA8" w:rsidRDefault="0015611F">
      <w:pPr>
        <w:pStyle w:val="ListParagraph"/>
        <w:numPr>
          <w:ilvl w:val="0"/>
          <w:numId w:val="71"/>
        </w:numPr>
        <w:tabs>
          <w:tab w:val="left" w:pos="564"/>
        </w:tabs>
        <w:spacing w:before="94"/>
        <w:ind w:hanging="397"/>
        <w:rPr>
          <w:b/>
          <w:sz w:val="18"/>
        </w:rPr>
      </w:pPr>
      <w:bookmarkStart w:id="98" w:name="39_Events_Occurring_After_the_Reporting_"/>
      <w:bookmarkEnd w:id="98"/>
      <w:r>
        <w:rPr>
          <w:b/>
          <w:sz w:val="18"/>
        </w:rPr>
        <w:t>Events Occurring After the Reporting Date</w:t>
      </w:r>
    </w:p>
    <w:p w14:paraId="615655DC" w14:textId="77777777" w:rsidR="00FA4AA8" w:rsidRDefault="00FA4AA8">
      <w:pPr>
        <w:pStyle w:val="BodyText"/>
        <w:rPr>
          <w:b/>
          <w:sz w:val="25"/>
        </w:rPr>
      </w:pPr>
    </w:p>
    <w:p w14:paraId="4828D42E" w14:textId="77777777" w:rsidR="00FA4AA8" w:rsidRDefault="0015611F">
      <w:pPr>
        <w:pStyle w:val="BodyText"/>
        <w:ind w:left="564"/>
      </w:pPr>
      <w:r>
        <w:t>There are no events identified after the Statement of Financial Position date that would have a material impact on the financial statements.</w:t>
      </w:r>
    </w:p>
    <w:p w14:paraId="6160BAD5" w14:textId="77777777" w:rsidR="00FA4AA8" w:rsidRDefault="00FA4AA8">
      <w:pPr>
        <w:pStyle w:val="BodyText"/>
        <w:rPr>
          <w:sz w:val="20"/>
        </w:rPr>
      </w:pPr>
    </w:p>
    <w:p w14:paraId="56EC5A37" w14:textId="77777777" w:rsidR="00FA4AA8" w:rsidRDefault="00FA4AA8">
      <w:pPr>
        <w:pStyle w:val="BodyText"/>
        <w:rPr>
          <w:sz w:val="20"/>
        </w:rPr>
      </w:pPr>
    </w:p>
    <w:p w14:paraId="444DCBD8" w14:textId="77777777" w:rsidR="00FA4AA8" w:rsidRDefault="00FA4AA8">
      <w:pPr>
        <w:pStyle w:val="BodyText"/>
        <w:spacing w:before="10"/>
        <w:rPr>
          <w:sz w:val="27"/>
        </w:rPr>
      </w:pPr>
    </w:p>
    <w:p w14:paraId="7791EB77" w14:textId="77777777" w:rsidR="00FA4AA8" w:rsidRDefault="0015611F">
      <w:pPr>
        <w:spacing w:before="1"/>
        <w:ind w:left="564"/>
        <w:rPr>
          <w:sz w:val="18"/>
        </w:rPr>
      </w:pPr>
      <w:r>
        <w:rPr>
          <w:b/>
          <w:sz w:val="18"/>
        </w:rPr>
        <w:t>End of Audited Financial Statements</w:t>
      </w:r>
      <w:r>
        <w:rPr>
          <w:sz w:val="18"/>
        </w:rPr>
        <w:t>.</w:t>
      </w:r>
    </w:p>
    <w:p w14:paraId="340337CE" w14:textId="77777777" w:rsidR="00FA4AA8" w:rsidRDefault="00FA4AA8">
      <w:pPr>
        <w:rPr>
          <w:sz w:val="18"/>
        </w:rPr>
        <w:sectPr w:rsidR="00FA4AA8">
          <w:pgSz w:w="11910" w:h="16840"/>
          <w:pgMar w:top="2220" w:right="880" w:bottom="720" w:left="840" w:header="1016" w:footer="523" w:gutter="0"/>
          <w:cols w:space="720"/>
        </w:sectPr>
      </w:pPr>
    </w:p>
    <w:p w14:paraId="7A80B22C" w14:textId="77777777" w:rsidR="00FA4AA8" w:rsidRDefault="0015611F">
      <w:pPr>
        <w:pStyle w:val="BodyText"/>
        <w:ind w:left="4681"/>
        <w:rPr>
          <w:sz w:val="20"/>
        </w:rPr>
      </w:pPr>
      <w:r>
        <w:rPr>
          <w:noProof/>
          <w:sz w:val="20"/>
          <w:lang w:val="en-AU" w:eastAsia="en-AU"/>
        </w:rPr>
        <w:drawing>
          <wp:inline distT="0" distB="0" distL="0" distR="0" wp14:anchorId="772CAAB1" wp14:editId="079D4309">
            <wp:extent cx="627870" cy="164592"/>
            <wp:effectExtent l="0" t="0" r="0" b="0"/>
            <wp:docPr id="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png"/>
                    <pic:cNvPicPr/>
                  </pic:nvPicPr>
                  <pic:blipFill>
                    <a:blip r:embed="rId49" cstate="print"/>
                    <a:stretch>
                      <a:fillRect/>
                    </a:stretch>
                  </pic:blipFill>
                  <pic:spPr>
                    <a:xfrm>
                      <a:off x="0" y="0"/>
                      <a:ext cx="627870" cy="164592"/>
                    </a:xfrm>
                    <a:prstGeom prst="rect">
                      <a:avLst/>
                    </a:prstGeom>
                  </pic:spPr>
                </pic:pic>
              </a:graphicData>
            </a:graphic>
          </wp:inline>
        </w:drawing>
      </w:r>
    </w:p>
    <w:p w14:paraId="3640481B" w14:textId="77777777" w:rsidR="00FA4AA8" w:rsidRDefault="0015611F">
      <w:pPr>
        <w:pStyle w:val="BodyText"/>
        <w:spacing w:before="7"/>
        <w:rPr>
          <w:sz w:val="15"/>
        </w:rPr>
      </w:pPr>
      <w:r>
        <w:rPr>
          <w:noProof/>
          <w:lang w:val="en-AU" w:eastAsia="en-AU"/>
        </w:rPr>
        <w:drawing>
          <wp:anchor distT="0" distB="0" distL="0" distR="0" simplePos="0" relativeHeight="56" behindDoc="0" locked="0" layoutInCell="1" allowOverlap="1" wp14:anchorId="37217820" wp14:editId="1A0A44E2">
            <wp:simplePos x="0" y="0"/>
            <wp:positionH relativeFrom="page">
              <wp:posOffset>3337784</wp:posOffset>
            </wp:positionH>
            <wp:positionV relativeFrom="paragraph">
              <wp:posOffset>138743</wp:posOffset>
            </wp:positionV>
            <wp:extent cx="792457" cy="451103"/>
            <wp:effectExtent l="0" t="0" r="0" b="0"/>
            <wp:wrapTopAndBottom/>
            <wp:docPr id="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png"/>
                    <pic:cNvPicPr/>
                  </pic:nvPicPr>
                  <pic:blipFill>
                    <a:blip r:embed="rId50" cstate="print"/>
                    <a:stretch>
                      <a:fillRect/>
                    </a:stretch>
                  </pic:blipFill>
                  <pic:spPr>
                    <a:xfrm>
                      <a:off x="0" y="0"/>
                      <a:ext cx="792457" cy="451103"/>
                    </a:xfrm>
                    <a:prstGeom prst="rect">
                      <a:avLst/>
                    </a:prstGeom>
                  </pic:spPr>
                </pic:pic>
              </a:graphicData>
            </a:graphic>
          </wp:anchor>
        </w:drawing>
      </w:r>
    </w:p>
    <w:p w14:paraId="5B1B130B" w14:textId="77777777" w:rsidR="00FA4AA8" w:rsidRDefault="00FA4AA8">
      <w:pPr>
        <w:pStyle w:val="BodyText"/>
        <w:spacing w:before="7"/>
        <w:rPr>
          <w:sz w:val="6"/>
        </w:rPr>
      </w:pPr>
    </w:p>
    <w:p w14:paraId="38B661AA" w14:textId="77777777" w:rsidR="00FA4AA8" w:rsidRDefault="0015611F">
      <w:pPr>
        <w:pStyle w:val="BodyText"/>
        <w:ind w:left="4527"/>
        <w:rPr>
          <w:sz w:val="20"/>
        </w:rPr>
      </w:pPr>
      <w:r>
        <w:rPr>
          <w:noProof/>
          <w:sz w:val="20"/>
          <w:lang w:val="en-AU" w:eastAsia="en-AU"/>
        </w:rPr>
        <w:drawing>
          <wp:inline distT="0" distB="0" distL="0" distR="0" wp14:anchorId="1701631A" wp14:editId="2B439D7C">
            <wp:extent cx="810745" cy="231648"/>
            <wp:effectExtent l="0" t="0" r="0" b="0"/>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51" cstate="print"/>
                    <a:stretch>
                      <a:fillRect/>
                    </a:stretch>
                  </pic:blipFill>
                  <pic:spPr>
                    <a:xfrm>
                      <a:off x="0" y="0"/>
                      <a:ext cx="810745" cy="231648"/>
                    </a:xfrm>
                    <a:prstGeom prst="rect">
                      <a:avLst/>
                    </a:prstGeom>
                  </pic:spPr>
                </pic:pic>
              </a:graphicData>
            </a:graphic>
          </wp:inline>
        </w:drawing>
      </w:r>
    </w:p>
    <w:p w14:paraId="47CD9A56" w14:textId="77777777" w:rsidR="00FA4AA8" w:rsidRDefault="00FA4AA8">
      <w:pPr>
        <w:pStyle w:val="BodyText"/>
        <w:rPr>
          <w:sz w:val="20"/>
        </w:rPr>
      </w:pPr>
    </w:p>
    <w:p w14:paraId="35A6BE71" w14:textId="77777777" w:rsidR="00FA4AA8" w:rsidRDefault="00FA4AA8">
      <w:pPr>
        <w:pStyle w:val="BodyText"/>
        <w:spacing w:before="11"/>
        <w:rPr>
          <w:sz w:val="22"/>
        </w:rPr>
      </w:pPr>
    </w:p>
    <w:p w14:paraId="58E4CFCA" w14:textId="77777777" w:rsidR="00FA4AA8" w:rsidRDefault="0015611F">
      <w:pPr>
        <w:spacing w:before="92"/>
        <w:ind w:left="86" w:right="155"/>
        <w:jc w:val="center"/>
        <w:rPr>
          <w:sz w:val="23"/>
        </w:rPr>
      </w:pPr>
      <w:r>
        <w:rPr>
          <w:sz w:val="23"/>
        </w:rPr>
        <w:t>INDEPENDENT AUDITOR’S REPORT</w:t>
      </w:r>
    </w:p>
    <w:p w14:paraId="5D0450F2" w14:textId="77777777" w:rsidR="00FA4AA8" w:rsidRDefault="0015611F">
      <w:pPr>
        <w:spacing w:before="167"/>
        <w:ind w:left="69" w:right="155"/>
        <w:jc w:val="center"/>
        <w:rPr>
          <w:sz w:val="21"/>
        </w:rPr>
      </w:pPr>
      <w:r>
        <w:rPr>
          <w:sz w:val="21"/>
        </w:rPr>
        <w:t>Western Sydney University</w:t>
      </w:r>
    </w:p>
    <w:p w14:paraId="09A24895" w14:textId="77777777" w:rsidR="00FA4AA8" w:rsidRDefault="00FA4AA8">
      <w:pPr>
        <w:pStyle w:val="BodyText"/>
        <w:rPr>
          <w:sz w:val="22"/>
        </w:rPr>
      </w:pPr>
    </w:p>
    <w:p w14:paraId="31C7287D" w14:textId="77777777" w:rsidR="00FA4AA8" w:rsidRDefault="00FA4AA8">
      <w:pPr>
        <w:pStyle w:val="BodyText"/>
        <w:spacing w:before="9"/>
        <w:rPr>
          <w:sz w:val="28"/>
        </w:rPr>
      </w:pPr>
    </w:p>
    <w:p w14:paraId="40690B44" w14:textId="77777777" w:rsidR="00FA4AA8" w:rsidRDefault="0015611F">
      <w:pPr>
        <w:spacing w:before="1"/>
        <w:ind w:left="672"/>
        <w:rPr>
          <w:sz w:val="21"/>
        </w:rPr>
      </w:pPr>
      <w:r>
        <w:rPr>
          <w:sz w:val="21"/>
        </w:rPr>
        <w:t>To Members of the New South Wales Parliament</w:t>
      </w:r>
    </w:p>
    <w:p w14:paraId="18E210F6" w14:textId="77777777" w:rsidR="00FA4AA8" w:rsidRDefault="0015611F">
      <w:pPr>
        <w:spacing w:before="172"/>
        <w:ind w:left="666"/>
        <w:rPr>
          <w:sz w:val="24"/>
        </w:rPr>
      </w:pPr>
      <w:r>
        <w:rPr>
          <w:w w:val="110"/>
          <w:sz w:val="24"/>
        </w:rPr>
        <w:t>Opinion</w:t>
      </w:r>
    </w:p>
    <w:p w14:paraId="33B17E5E" w14:textId="77777777" w:rsidR="00FA4AA8" w:rsidRDefault="0015611F">
      <w:pPr>
        <w:spacing w:before="107"/>
        <w:ind w:left="667" w:right="837"/>
        <w:rPr>
          <w:sz w:val="21"/>
        </w:rPr>
      </w:pPr>
      <w:r>
        <w:rPr>
          <w:color w:val="0F0F0F"/>
          <w:w w:val="95"/>
          <w:sz w:val="21"/>
        </w:rPr>
        <w:t>I</w:t>
      </w:r>
      <w:r>
        <w:rPr>
          <w:color w:val="0F0F0F"/>
          <w:spacing w:val="-18"/>
          <w:w w:val="95"/>
          <w:sz w:val="21"/>
        </w:rPr>
        <w:t xml:space="preserve"> </w:t>
      </w:r>
      <w:r>
        <w:rPr>
          <w:w w:val="95"/>
          <w:sz w:val="21"/>
        </w:rPr>
        <w:t>have</w:t>
      </w:r>
      <w:r>
        <w:rPr>
          <w:spacing w:val="-13"/>
          <w:w w:val="95"/>
          <w:sz w:val="21"/>
        </w:rPr>
        <w:t xml:space="preserve"> </w:t>
      </w:r>
      <w:r>
        <w:rPr>
          <w:w w:val="95"/>
          <w:sz w:val="21"/>
        </w:rPr>
        <w:t>audited</w:t>
      </w:r>
      <w:r>
        <w:rPr>
          <w:spacing w:val="-16"/>
          <w:w w:val="95"/>
          <w:sz w:val="21"/>
        </w:rPr>
        <w:t xml:space="preserve"> </w:t>
      </w:r>
      <w:r>
        <w:rPr>
          <w:w w:val="95"/>
          <w:sz w:val="21"/>
        </w:rPr>
        <w:t>the</w:t>
      </w:r>
      <w:r>
        <w:rPr>
          <w:spacing w:val="-17"/>
          <w:w w:val="95"/>
          <w:sz w:val="21"/>
        </w:rPr>
        <w:t xml:space="preserve"> </w:t>
      </w:r>
      <w:r>
        <w:rPr>
          <w:w w:val="95"/>
          <w:sz w:val="21"/>
        </w:rPr>
        <w:t>accompanying</w:t>
      </w:r>
      <w:r>
        <w:rPr>
          <w:spacing w:val="8"/>
          <w:w w:val="95"/>
          <w:sz w:val="21"/>
        </w:rPr>
        <w:t xml:space="preserve"> </w:t>
      </w:r>
      <w:r>
        <w:rPr>
          <w:w w:val="95"/>
          <w:sz w:val="21"/>
        </w:rPr>
        <w:t>financial</w:t>
      </w:r>
      <w:r>
        <w:rPr>
          <w:spacing w:val="-5"/>
          <w:w w:val="95"/>
          <w:sz w:val="21"/>
        </w:rPr>
        <w:t xml:space="preserve"> </w:t>
      </w:r>
      <w:r>
        <w:rPr>
          <w:w w:val="95"/>
          <w:sz w:val="21"/>
        </w:rPr>
        <w:t>statements</w:t>
      </w:r>
      <w:r>
        <w:rPr>
          <w:spacing w:val="-8"/>
          <w:w w:val="95"/>
          <w:sz w:val="21"/>
        </w:rPr>
        <w:t xml:space="preserve"> </w:t>
      </w:r>
      <w:r>
        <w:rPr>
          <w:w w:val="95"/>
          <w:sz w:val="21"/>
        </w:rPr>
        <w:t>of</w:t>
      </w:r>
      <w:r>
        <w:rPr>
          <w:spacing w:val="-18"/>
          <w:w w:val="95"/>
          <w:sz w:val="21"/>
        </w:rPr>
        <w:t xml:space="preserve"> </w:t>
      </w:r>
      <w:r>
        <w:rPr>
          <w:w w:val="95"/>
          <w:sz w:val="21"/>
        </w:rPr>
        <w:t>Western</w:t>
      </w:r>
      <w:r>
        <w:rPr>
          <w:spacing w:val="-6"/>
          <w:w w:val="95"/>
          <w:sz w:val="21"/>
        </w:rPr>
        <w:t xml:space="preserve"> </w:t>
      </w:r>
      <w:r>
        <w:rPr>
          <w:w w:val="95"/>
          <w:sz w:val="21"/>
        </w:rPr>
        <w:t>Sydney</w:t>
      </w:r>
      <w:r>
        <w:rPr>
          <w:spacing w:val="2"/>
          <w:w w:val="95"/>
          <w:sz w:val="21"/>
        </w:rPr>
        <w:t xml:space="preserve"> </w:t>
      </w:r>
      <w:r>
        <w:rPr>
          <w:w w:val="95"/>
          <w:sz w:val="21"/>
        </w:rPr>
        <w:t>University</w:t>
      </w:r>
      <w:r>
        <w:rPr>
          <w:spacing w:val="-4"/>
          <w:w w:val="95"/>
          <w:sz w:val="21"/>
        </w:rPr>
        <w:t xml:space="preserve"> </w:t>
      </w:r>
      <w:r>
        <w:rPr>
          <w:w w:val="95"/>
          <w:sz w:val="21"/>
        </w:rPr>
        <w:t>(the</w:t>
      </w:r>
      <w:r>
        <w:rPr>
          <w:spacing w:val="-15"/>
          <w:w w:val="95"/>
          <w:sz w:val="21"/>
        </w:rPr>
        <w:t xml:space="preserve"> </w:t>
      </w:r>
      <w:r>
        <w:rPr>
          <w:w w:val="95"/>
          <w:sz w:val="21"/>
        </w:rPr>
        <w:t>U</w:t>
      </w:r>
      <w:r>
        <w:rPr>
          <w:spacing w:val="-41"/>
          <w:w w:val="95"/>
          <w:sz w:val="21"/>
        </w:rPr>
        <w:t xml:space="preserve"> </w:t>
      </w:r>
      <w:r>
        <w:rPr>
          <w:w w:val="95"/>
          <w:sz w:val="21"/>
        </w:rPr>
        <w:t xml:space="preserve">diversity), which comprise the Income Statement and Statement of Comprehensive Income for the year ended </w:t>
      </w:r>
      <w:r>
        <w:rPr>
          <w:sz w:val="21"/>
        </w:rPr>
        <w:t>31</w:t>
      </w:r>
      <w:r>
        <w:rPr>
          <w:spacing w:val="-34"/>
          <w:sz w:val="21"/>
        </w:rPr>
        <w:t xml:space="preserve"> </w:t>
      </w:r>
      <w:r>
        <w:rPr>
          <w:sz w:val="21"/>
        </w:rPr>
        <w:t>December</w:t>
      </w:r>
      <w:r>
        <w:rPr>
          <w:spacing w:val="-24"/>
          <w:sz w:val="21"/>
        </w:rPr>
        <w:t xml:space="preserve"> </w:t>
      </w:r>
      <w:r>
        <w:rPr>
          <w:sz w:val="21"/>
        </w:rPr>
        <w:t>2018,</w:t>
      </w:r>
      <w:r>
        <w:rPr>
          <w:spacing w:val="-30"/>
          <w:sz w:val="21"/>
        </w:rPr>
        <w:t xml:space="preserve"> </w:t>
      </w:r>
      <w:r>
        <w:rPr>
          <w:sz w:val="21"/>
        </w:rPr>
        <w:t>the</w:t>
      </w:r>
      <w:r>
        <w:rPr>
          <w:spacing w:val="-30"/>
          <w:sz w:val="21"/>
        </w:rPr>
        <w:t xml:space="preserve"> </w:t>
      </w:r>
      <w:r>
        <w:rPr>
          <w:sz w:val="21"/>
        </w:rPr>
        <w:t>Statement</w:t>
      </w:r>
      <w:r>
        <w:rPr>
          <w:spacing w:val="-22"/>
          <w:sz w:val="21"/>
        </w:rPr>
        <w:t xml:space="preserve"> </w:t>
      </w:r>
      <w:r>
        <w:rPr>
          <w:sz w:val="21"/>
        </w:rPr>
        <w:t>of</w:t>
      </w:r>
      <w:r>
        <w:rPr>
          <w:spacing w:val="-32"/>
          <w:sz w:val="21"/>
        </w:rPr>
        <w:t xml:space="preserve"> </w:t>
      </w:r>
      <w:r>
        <w:rPr>
          <w:sz w:val="21"/>
        </w:rPr>
        <w:t>Financial</w:t>
      </w:r>
      <w:r>
        <w:rPr>
          <w:spacing w:val="-26"/>
          <w:sz w:val="21"/>
        </w:rPr>
        <w:t xml:space="preserve"> </w:t>
      </w:r>
      <w:r>
        <w:rPr>
          <w:sz w:val="21"/>
        </w:rPr>
        <w:t>Position</w:t>
      </w:r>
      <w:r>
        <w:rPr>
          <w:spacing w:val="-27"/>
          <w:sz w:val="21"/>
        </w:rPr>
        <w:t xml:space="preserve"> </w:t>
      </w:r>
      <w:r>
        <w:rPr>
          <w:sz w:val="21"/>
        </w:rPr>
        <w:t>as</w:t>
      </w:r>
      <w:r>
        <w:rPr>
          <w:spacing w:val="-33"/>
          <w:sz w:val="21"/>
        </w:rPr>
        <w:t xml:space="preserve"> </w:t>
      </w:r>
      <w:r>
        <w:rPr>
          <w:sz w:val="21"/>
        </w:rPr>
        <w:t>at</w:t>
      </w:r>
      <w:r>
        <w:rPr>
          <w:spacing w:val="-32"/>
          <w:sz w:val="21"/>
        </w:rPr>
        <w:t xml:space="preserve"> </w:t>
      </w:r>
      <w:r>
        <w:rPr>
          <w:sz w:val="21"/>
        </w:rPr>
        <w:t>31</w:t>
      </w:r>
      <w:r>
        <w:rPr>
          <w:spacing w:val="-33"/>
          <w:sz w:val="21"/>
        </w:rPr>
        <w:t xml:space="preserve"> </w:t>
      </w:r>
      <w:r>
        <w:rPr>
          <w:sz w:val="21"/>
        </w:rPr>
        <w:t>December</w:t>
      </w:r>
      <w:r>
        <w:rPr>
          <w:spacing w:val="-19"/>
          <w:sz w:val="21"/>
        </w:rPr>
        <w:t xml:space="preserve"> </w:t>
      </w:r>
      <w:r>
        <w:rPr>
          <w:sz w:val="21"/>
        </w:rPr>
        <w:t>2018,</w:t>
      </w:r>
      <w:r>
        <w:rPr>
          <w:spacing w:val="-30"/>
          <w:sz w:val="21"/>
        </w:rPr>
        <w:t xml:space="preserve"> </w:t>
      </w:r>
      <w:r>
        <w:rPr>
          <w:sz w:val="21"/>
        </w:rPr>
        <w:t>the</w:t>
      </w:r>
      <w:r>
        <w:rPr>
          <w:spacing w:val="-34"/>
          <w:sz w:val="21"/>
        </w:rPr>
        <w:t xml:space="preserve"> </w:t>
      </w:r>
      <w:r>
        <w:rPr>
          <w:sz w:val="21"/>
        </w:rPr>
        <w:t>Statement</w:t>
      </w:r>
      <w:r>
        <w:rPr>
          <w:spacing w:val="-26"/>
          <w:sz w:val="21"/>
        </w:rPr>
        <w:t xml:space="preserve"> </w:t>
      </w:r>
      <w:r>
        <w:rPr>
          <w:sz w:val="21"/>
        </w:rPr>
        <w:t>of Changes</w:t>
      </w:r>
      <w:r>
        <w:rPr>
          <w:spacing w:val="-21"/>
          <w:sz w:val="21"/>
        </w:rPr>
        <w:t xml:space="preserve"> </w:t>
      </w:r>
      <w:r>
        <w:rPr>
          <w:sz w:val="21"/>
        </w:rPr>
        <w:t>in</w:t>
      </w:r>
      <w:r>
        <w:rPr>
          <w:spacing w:val="-20"/>
          <w:sz w:val="21"/>
        </w:rPr>
        <w:t xml:space="preserve"> </w:t>
      </w:r>
      <w:r>
        <w:rPr>
          <w:sz w:val="21"/>
        </w:rPr>
        <w:t>Equity</w:t>
      </w:r>
      <w:r>
        <w:rPr>
          <w:spacing w:val="-21"/>
          <w:sz w:val="21"/>
        </w:rPr>
        <w:t xml:space="preserve"> </w:t>
      </w:r>
      <w:r>
        <w:rPr>
          <w:sz w:val="21"/>
        </w:rPr>
        <w:t>and</w:t>
      </w:r>
      <w:r>
        <w:rPr>
          <w:spacing w:val="-23"/>
          <w:sz w:val="21"/>
        </w:rPr>
        <w:t xml:space="preserve"> </w:t>
      </w:r>
      <w:r>
        <w:rPr>
          <w:sz w:val="21"/>
        </w:rPr>
        <w:t>the</w:t>
      </w:r>
      <w:r>
        <w:rPr>
          <w:spacing w:val="-23"/>
          <w:sz w:val="21"/>
        </w:rPr>
        <w:t xml:space="preserve"> </w:t>
      </w:r>
      <w:r>
        <w:rPr>
          <w:sz w:val="21"/>
        </w:rPr>
        <w:t>Statement</w:t>
      </w:r>
      <w:r>
        <w:rPr>
          <w:spacing w:val="-19"/>
          <w:sz w:val="21"/>
        </w:rPr>
        <w:t xml:space="preserve"> </w:t>
      </w:r>
      <w:r>
        <w:rPr>
          <w:sz w:val="21"/>
        </w:rPr>
        <w:t>of</w:t>
      </w:r>
      <w:r>
        <w:rPr>
          <w:spacing w:val="-28"/>
          <w:sz w:val="21"/>
        </w:rPr>
        <w:t xml:space="preserve"> </w:t>
      </w:r>
      <w:r>
        <w:rPr>
          <w:sz w:val="21"/>
        </w:rPr>
        <w:t>Cash</w:t>
      </w:r>
      <w:r>
        <w:rPr>
          <w:spacing w:val="-23"/>
          <w:sz w:val="21"/>
        </w:rPr>
        <w:t xml:space="preserve"> </w:t>
      </w:r>
      <w:r>
        <w:rPr>
          <w:sz w:val="21"/>
        </w:rPr>
        <w:t>Flows</w:t>
      </w:r>
      <w:r>
        <w:rPr>
          <w:spacing w:val="-19"/>
          <w:sz w:val="21"/>
        </w:rPr>
        <w:t xml:space="preserve"> </w:t>
      </w:r>
      <w:r>
        <w:rPr>
          <w:sz w:val="21"/>
        </w:rPr>
        <w:t>for</w:t>
      </w:r>
      <w:r>
        <w:rPr>
          <w:spacing w:val="-25"/>
          <w:sz w:val="21"/>
        </w:rPr>
        <w:t xml:space="preserve"> </w:t>
      </w:r>
      <w:r>
        <w:rPr>
          <w:sz w:val="21"/>
        </w:rPr>
        <w:t>the</w:t>
      </w:r>
      <w:r>
        <w:rPr>
          <w:spacing w:val="-20"/>
          <w:sz w:val="21"/>
        </w:rPr>
        <w:t xml:space="preserve"> </w:t>
      </w:r>
      <w:r>
        <w:rPr>
          <w:sz w:val="21"/>
        </w:rPr>
        <w:t>year</w:t>
      </w:r>
      <w:r>
        <w:rPr>
          <w:spacing w:val="-24"/>
          <w:sz w:val="21"/>
        </w:rPr>
        <w:t xml:space="preserve"> </w:t>
      </w:r>
      <w:r>
        <w:rPr>
          <w:sz w:val="21"/>
        </w:rPr>
        <w:t>then</w:t>
      </w:r>
      <w:r>
        <w:rPr>
          <w:spacing w:val="-29"/>
          <w:sz w:val="21"/>
        </w:rPr>
        <w:t xml:space="preserve"> </w:t>
      </w:r>
      <w:r>
        <w:rPr>
          <w:sz w:val="21"/>
        </w:rPr>
        <w:t>ended,</w:t>
      </w:r>
      <w:r>
        <w:rPr>
          <w:spacing w:val="-16"/>
          <w:sz w:val="21"/>
        </w:rPr>
        <w:t xml:space="preserve"> </w:t>
      </w:r>
      <w:r>
        <w:rPr>
          <w:sz w:val="21"/>
        </w:rPr>
        <w:t>notes</w:t>
      </w:r>
      <w:r>
        <w:rPr>
          <w:spacing w:val="-26"/>
          <w:sz w:val="21"/>
        </w:rPr>
        <w:t xml:space="preserve"> </w:t>
      </w:r>
      <w:r>
        <w:rPr>
          <w:sz w:val="21"/>
        </w:rPr>
        <w:t>comprising</w:t>
      </w:r>
      <w:r>
        <w:rPr>
          <w:spacing w:val="-18"/>
          <w:sz w:val="21"/>
        </w:rPr>
        <w:t xml:space="preserve"> </w:t>
      </w:r>
      <w:r>
        <w:rPr>
          <w:sz w:val="21"/>
        </w:rPr>
        <w:t xml:space="preserve">a </w:t>
      </w:r>
      <w:r>
        <w:rPr>
          <w:w w:val="95"/>
          <w:sz w:val="21"/>
        </w:rPr>
        <w:t xml:space="preserve">Summary of Significant Accounting Policies and other explanatory information, and the Responsible Entities Declaration of the University and the consolidated entity. The consolidated entity comprises </w:t>
      </w:r>
      <w:r>
        <w:rPr>
          <w:sz w:val="21"/>
        </w:rPr>
        <w:t>the</w:t>
      </w:r>
      <w:r>
        <w:rPr>
          <w:spacing w:val="-29"/>
          <w:sz w:val="21"/>
        </w:rPr>
        <w:t xml:space="preserve"> </w:t>
      </w:r>
      <w:r>
        <w:rPr>
          <w:sz w:val="21"/>
        </w:rPr>
        <w:t>University</w:t>
      </w:r>
      <w:r>
        <w:rPr>
          <w:spacing w:val="-20"/>
          <w:sz w:val="21"/>
        </w:rPr>
        <w:t xml:space="preserve"> </w:t>
      </w:r>
      <w:r>
        <w:rPr>
          <w:sz w:val="21"/>
        </w:rPr>
        <w:t>and</w:t>
      </w:r>
      <w:r>
        <w:rPr>
          <w:spacing w:val="-24"/>
          <w:sz w:val="21"/>
        </w:rPr>
        <w:t xml:space="preserve"> </w:t>
      </w:r>
      <w:r>
        <w:rPr>
          <w:sz w:val="21"/>
        </w:rPr>
        <w:t>the</w:t>
      </w:r>
      <w:r>
        <w:rPr>
          <w:spacing w:val="-25"/>
          <w:sz w:val="21"/>
        </w:rPr>
        <w:t xml:space="preserve"> </w:t>
      </w:r>
      <w:r>
        <w:rPr>
          <w:sz w:val="21"/>
        </w:rPr>
        <w:t>entities</w:t>
      </w:r>
      <w:r>
        <w:rPr>
          <w:spacing w:val="-29"/>
          <w:sz w:val="21"/>
        </w:rPr>
        <w:t xml:space="preserve"> </w:t>
      </w:r>
      <w:r>
        <w:rPr>
          <w:sz w:val="21"/>
        </w:rPr>
        <w:t>it</w:t>
      </w:r>
      <w:r>
        <w:rPr>
          <w:spacing w:val="-27"/>
          <w:sz w:val="21"/>
        </w:rPr>
        <w:t xml:space="preserve"> </w:t>
      </w:r>
      <w:r>
        <w:rPr>
          <w:sz w:val="21"/>
        </w:rPr>
        <w:t>controlled</w:t>
      </w:r>
      <w:r>
        <w:rPr>
          <w:spacing w:val="-20"/>
          <w:sz w:val="21"/>
        </w:rPr>
        <w:t xml:space="preserve"> </w:t>
      </w:r>
      <w:r>
        <w:rPr>
          <w:sz w:val="21"/>
        </w:rPr>
        <w:t>at</w:t>
      </w:r>
      <w:r>
        <w:rPr>
          <w:spacing w:val="-29"/>
          <w:sz w:val="21"/>
        </w:rPr>
        <w:t xml:space="preserve"> </w:t>
      </w:r>
      <w:r>
        <w:rPr>
          <w:sz w:val="21"/>
        </w:rPr>
        <w:t>the</w:t>
      </w:r>
      <w:r>
        <w:rPr>
          <w:spacing w:val="-26"/>
          <w:sz w:val="21"/>
        </w:rPr>
        <w:t xml:space="preserve"> </w:t>
      </w:r>
      <w:r>
        <w:rPr>
          <w:sz w:val="21"/>
        </w:rPr>
        <w:t>year's</w:t>
      </w:r>
      <w:r>
        <w:rPr>
          <w:spacing w:val="-27"/>
          <w:sz w:val="21"/>
        </w:rPr>
        <w:t xml:space="preserve"> </w:t>
      </w:r>
      <w:r>
        <w:rPr>
          <w:sz w:val="21"/>
        </w:rPr>
        <w:t>end</w:t>
      </w:r>
      <w:r>
        <w:rPr>
          <w:spacing w:val="-26"/>
          <w:sz w:val="21"/>
        </w:rPr>
        <w:t xml:space="preserve"> </w:t>
      </w:r>
      <w:r>
        <w:rPr>
          <w:sz w:val="21"/>
        </w:rPr>
        <w:t>or</w:t>
      </w:r>
      <w:r>
        <w:rPr>
          <w:spacing w:val="-27"/>
          <w:sz w:val="21"/>
        </w:rPr>
        <w:t xml:space="preserve"> </w:t>
      </w:r>
      <w:r>
        <w:rPr>
          <w:sz w:val="21"/>
        </w:rPr>
        <w:t>from</w:t>
      </w:r>
      <w:r>
        <w:rPr>
          <w:spacing w:val="-22"/>
          <w:sz w:val="21"/>
        </w:rPr>
        <w:t xml:space="preserve"> </w:t>
      </w:r>
      <w:r>
        <w:rPr>
          <w:sz w:val="21"/>
        </w:rPr>
        <w:t>time</w:t>
      </w:r>
      <w:r>
        <w:rPr>
          <w:spacing w:val="-31"/>
          <w:sz w:val="21"/>
        </w:rPr>
        <w:t xml:space="preserve"> </w:t>
      </w:r>
      <w:r>
        <w:rPr>
          <w:sz w:val="21"/>
        </w:rPr>
        <w:t>to</w:t>
      </w:r>
      <w:r>
        <w:rPr>
          <w:spacing w:val="-28"/>
          <w:sz w:val="21"/>
        </w:rPr>
        <w:t xml:space="preserve"> </w:t>
      </w:r>
      <w:r>
        <w:rPr>
          <w:sz w:val="21"/>
        </w:rPr>
        <w:t>time</w:t>
      </w:r>
      <w:r>
        <w:rPr>
          <w:spacing w:val="-27"/>
          <w:sz w:val="21"/>
        </w:rPr>
        <w:t xml:space="preserve"> </w:t>
      </w:r>
      <w:r>
        <w:rPr>
          <w:sz w:val="21"/>
        </w:rPr>
        <w:t>during</w:t>
      </w:r>
      <w:r>
        <w:rPr>
          <w:spacing w:val="-22"/>
          <w:sz w:val="21"/>
        </w:rPr>
        <w:t xml:space="preserve"> </w:t>
      </w:r>
      <w:r>
        <w:rPr>
          <w:sz w:val="21"/>
        </w:rPr>
        <w:t>the</w:t>
      </w:r>
      <w:r>
        <w:rPr>
          <w:spacing w:val="-25"/>
          <w:sz w:val="21"/>
        </w:rPr>
        <w:t xml:space="preserve"> </w:t>
      </w:r>
      <w:r>
        <w:rPr>
          <w:sz w:val="21"/>
        </w:rPr>
        <w:t>financial year.</w:t>
      </w:r>
    </w:p>
    <w:p w14:paraId="3B499D30" w14:textId="77777777" w:rsidR="00FA4AA8" w:rsidRDefault="0015611F">
      <w:pPr>
        <w:spacing w:before="166"/>
        <w:ind w:left="667"/>
        <w:rPr>
          <w:sz w:val="21"/>
        </w:rPr>
      </w:pPr>
      <w:r>
        <w:rPr>
          <w:sz w:val="21"/>
        </w:rPr>
        <w:t>In my opinion, the financial statements:</w:t>
      </w:r>
    </w:p>
    <w:p w14:paraId="12200764" w14:textId="77777777" w:rsidR="00FA4AA8" w:rsidRDefault="0015611F">
      <w:pPr>
        <w:pStyle w:val="ListParagraph"/>
        <w:numPr>
          <w:ilvl w:val="1"/>
          <w:numId w:val="71"/>
        </w:numPr>
        <w:tabs>
          <w:tab w:val="left" w:pos="1237"/>
          <w:tab w:val="left" w:pos="1238"/>
        </w:tabs>
        <w:spacing w:before="167"/>
        <w:ind w:right="780" w:hanging="570"/>
        <w:rPr>
          <w:sz w:val="21"/>
        </w:rPr>
      </w:pPr>
      <w:r>
        <w:rPr>
          <w:sz w:val="21"/>
        </w:rPr>
        <w:t>give</w:t>
      </w:r>
      <w:r>
        <w:rPr>
          <w:spacing w:val="-33"/>
          <w:sz w:val="21"/>
        </w:rPr>
        <w:t xml:space="preserve"> </w:t>
      </w:r>
      <w:r>
        <w:rPr>
          <w:sz w:val="21"/>
        </w:rPr>
        <w:t>a</w:t>
      </w:r>
      <w:r>
        <w:rPr>
          <w:spacing w:val="-29"/>
          <w:sz w:val="21"/>
        </w:rPr>
        <w:t xml:space="preserve"> </w:t>
      </w:r>
      <w:r>
        <w:rPr>
          <w:sz w:val="21"/>
        </w:rPr>
        <w:t>true</w:t>
      </w:r>
      <w:r>
        <w:rPr>
          <w:spacing w:val="-32"/>
          <w:sz w:val="21"/>
        </w:rPr>
        <w:t xml:space="preserve"> </w:t>
      </w:r>
      <w:r>
        <w:rPr>
          <w:sz w:val="21"/>
        </w:rPr>
        <w:t>and</w:t>
      </w:r>
      <w:r>
        <w:rPr>
          <w:spacing w:val="-28"/>
          <w:sz w:val="21"/>
        </w:rPr>
        <w:t xml:space="preserve"> </w:t>
      </w:r>
      <w:r>
        <w:rPr>
          <w:sz w:val="21"/>
        </w:rPr>
        <w:t>fair</w:t>
      </w:r>
      <w:r>
        <w:rPr>
          <w:spacing w:val="-31"/>
          <w:sz w:val="21"/>
        </w:rPr>
        <w:t xml:space="preserve"> </w:t>
      </w:r>
      <w:r>
        <w:rPr>
          <w:sz w:val="21"/>
        </w:rPr>
        <w:t>view</w:t>
      </w:r>
      <w:r>
        <w:rPr>
          <w:spacing w:val="-29"/>
          <w:sz w:val="21"/>
        </w:rPr>
        <w:t xml:space="preserve"> </w:t>
      </w:r>
      <w:r>
        <w:rPr>
          <w:sz w:val="21"/>
        </w:rPr>
        <w:t>of</w:t>
      </w:r>
      <w:r>
        <w:rPr>
          <w:spacing w:val="-30"/>
          <w:sz w:val="21"/>
        </w:rPr>
        <w:t xml:space="preserve"> </w:t>
      </w:r>
      <w:r>
        <w:rPr>
          <w:sz w:val="21"/>
        </w:rPr>
        <w:t>the</w:t>
      </w:r>
      <w:r>
        <w:rPr>
          <w:spacing w:val="-31"/>
          <w:sz w:val="21"/>
        </w:rPr>
        <w:t xml:space="preserve"> </w:t>
      </w:r>
      <w:r>
        <w:rPr>
          <w:sz w:val="21"/>
        </w:rPr>
        <w:t>financial</w:t>
      </w:r>
      <w:r>
        <w:rPr>
          <w:spacing w:val="-29"/>
          <w:sz w:val="21"/>
        </w:rPr>
        <w:t xml:space="preserve"> </w:t>
      </w:r>
      <w:r>
        <w:rPr>
          <w:sz w:val="21"/>
        </w:rPr>
        <w:t>position</w:t>
      </w:r>
      <w:r>
        <w:rPr>
          <w:spacing w:val="-27"/>
          <w:sz w:val="21"/>
        </w:rPr>
        <w:t xml:space="preserve"> </w:t>
      </w:r>
      <w:r>
        <w:rPr>
          <w:sz w:val="21"/>
        </w:rPr>
        <w:t>of</w:t>
      </w:r>
      <w:r>
        <w:rPr>
          <w:spacing w:val="-30"/>
          <w:sz w:val="21"/>
        </w:rPr>
        <w:t xml:space="preserve"> </w:t>
      </w:r>
      <w:r>
        <w:rPr>
          <w:sz w:val="21"/>
        </w:rPr>
        <w:t>the</w:t>
      </w:r>
      <w:r>
        <w:rPr>
          <w:spacing w:val="-33"/>
          <w:sz w:val="21"/>
        </w:rPr>
        <w:t xml:space="preserve"> </w:t>
      </w:r>
      <w:r>
        <w:rPr>
          <w:sz w:val="21"/>
        </w:rPr>
        <w:t>University</w:t>
      </w:r>
      <w:r>
        <w:rPr>
          <w:spacing w:val="-22"/>
          <w:sz w:val="21"/>
        </w:rPr>
        <w:t xml:space="preserve"> </w:t>
      </w:r>
      <w:r>
        <w:rPr>
          <w:sz w:val="21"/>
        </w:rPr>
        <w:t>and</w:t>
      </w:r>
      <w:r>
        <w:rPr>
          <w:spacing w:val="-29"/>
          <w:sz w:val="21"/>
        </w:rPr>
        <w:t xml:space="preserve"> </w:t>
      </w:r>
      <w:r>
        <w:rPr>
          <w:sz w:val="21"/>
        </w:rPr>
        <w:t>the</w:t>
      </w:r>
      <w:r>
        <w:rPr>
          <w:spacing w:val="-30"/>
          <w:sz w:val="21"/>
        </w:rPr>
        <w:t xml:space="preserve"> </w:t>
      </w:r>
      <w:r>
        <w:rPr>
          <w:sz w:val="21"/>
        </w:rPr>
        <w:t>consolidated</w:t>
      </w:r>
      <w:r>
        <w:rPr>
          <w:spacing w:val="-26"/>
          <w:sz w:val="21"/>
        </w:rPr>
        <w:t xml:space="preserve"> </w:t>
      </w:r>
      <w:r>
        <w:rPr>
          <w:sz w:val="21"/>
        </w:rPr>
        <w:t>entity,</w:t>
      </w:r>
      <w:r>
        <w:rPr>
          <w:spacing w:val="-27"/>
          <w:sz w:val="21"/>
        </w:rPr>
        <w:t xml:space="preserve"> </w:t>
      </w:r>
      <w:r>
        <w:rPr>
          <w:sz w:val="21"/>
        </w:rPr>
        <w:t>as at 31 December 2018, and of their financial performance and cash flows for the year then ended in accordance with Australian Accounting</w:t>
      </w:r>
      <w:r>
        <w:rPr>
          <w:spacing w:val="10"/>
          <w:sz w:val="21"/>
        </w:rPr>
        <w:t xml:space="preserve"> </w:t>
      </w:r>
      <w:r>
        <w:rPr>
          <w:sz w:val="21"/>
        </w:rPr>
        <w:t>Standards</w:t>
      </w:r>
    </w:p>
    <w:p w14:paraId="71C84FB5" w14:textId="77777777" w:rsidR="00FA4AA8" w:rsidRDefault="0015611F">
      <w:pPr>
        <w:pStyle w:val="ListParagraph"/>
        <w:numPr>
          <w:ilvl w:val="1"/>
          <w:numId w:val="71"/>
        </w:numPr>
        <w:tabs>
          <w:tab w:val="left" w:pos="1236"/>
          <w:tab w:val="left" w:pos="1237"/>
        </w:tabs>
        <w:spacing w:before="58" w:line="242" w:lineRule="auto"/>
        <w:ind w:left="1231" w:right="1015" w:hanging="565"/>
        <w:rPr>
          <w:sz w:val="21"/>
        </w:rPr>
      </w:pPr>
      <w:r>
        <w:rPr>
          <w:sz w:val="21"/>
        </w:rPr>
        <w:t>are</w:t>
      </w:r>
      <w:r>
        <w:rPr>
          <w:spacing w:val="-38"/>
          <w:sz w:val="21"/>
        </w:rPr>
        <w:t xml:space="preserve"> </w:t>
      </w:r>
      <w:r>
        <w:rPr>
          <w:sz w:val="21"/>
        </w:rPr>
        <w:t>in</w:t>
      </w:r>
      <w:r>
        <w:rPr>
          <w:spacing w:val="-35"/>
          <w:sz w:val="21"/>
        </w:rPr>
        <w:t xml:space="preserve"> </w:t>
      </w:r>
      <w:r>
        <w:rPr>
          <w:sz w:val="21"/>
        </w:rPr>
        <w:t>accordance</w:t>
      </w:r>
      <w:r>
        <w:rPr>
          <w:spacing w:val="-23"/>
          <w:sz w:val="21"/>
        </w:rPr>
        <w:t xml:space="preserve"> </w:t>
      </w:r>
      <w:r>
        <w:rPr>
          <w:sz w:val="21"/>
        </w:rPr>
        <w:t>with</w:t>
      </w:r>
      <w:r>
        <w:rPr>
          <w:spacing w:val="-36"/>
          <w:sz w:val="21"/>
        </w:rPr>
        <w:t xml:space="preserve"> </w:t>
      </w:r>
      <w:r>
        <w:rPr>
          <w:sz w:val="21"/>
        </w:rPr>
        <w:t>section</w:t>
      </w:r>
      <w:r>
        <w:rPr>
          <w:spacing w:val="-31"/>
          <w:sz w:val="21"/>
        </w:rPr>
        <w:t xml:space="preserve"> </w:t>
      </w:r>
      <w:r>
        <w:rPr>
          <w:color w:val="151515"/>
          <w:spacing w:val="2"/>
          <w:sz w:val="21"/>
        </w:rPr>
        <w:t>41</w:t>
      </w:r>
      <w:r>
        <w:rPr>
          <w:spacing w:val="2"/>
          <w:sz w:val="21"/>
        </w:rPr>
        <w:t>B</w:t>
      </w:r>
      <w:r>
        <w:rPr>
          <w:spacing w:val="-36"/>
          <w:sz w:val="21"/>
        </w:rPr>
        <w:t xml:space="preserve"> </w:t>
      </w:r>
      <w:r>
        <w:rPr>
          <w:sz w:val="21"/>
        </w:rPr>
        <w:t>of</w:t>
      </w:r>
      <w:r>
        <w:rPr>
          <w:spacing w:val="-31"/>
          <w:sz w:val="21"/>
        </w:rPr>
        <w:t xml:space="preserve"> </w:t>
      </w:r>
      <w:r>
        <w:rPr>
          <w:sz w:val="21"/>
        </w:rPr>
        <w:t>the</w:t>
      </w:r>
      <w:r>
        <w:rPr>
          <w:spacing w:val="-32"/>
          <w:sz w:val="21"/>
        </w:rPr>
        <w:t xml:space="preserve"> </w:t>
      </w:r>
      <w:r>
        <w:rPr>
          <w:i/>
          <w:sz w:val="21"/>
        </w:rPr>
        <w:t>Public</w:t>
      </w:r>
      <w:r>
        <w:rPr>
          <w:i/>
          <w:spacing w:val="-32"/>
          <w:sz w:val="21"/>
        </w:rPr>
        <w:t xml:space="preserve"> </w:t>
      </w:r>
      <w:r>
        <w:rPr>
          <w:i/>
          <w:color w:val="111111"/>
          <w:sz w:val="21"/>
        </w:rPr>
        <w:t>Finance</w:t>
      </w:r>
      <w:r>
        <w:rPr>
          <w:i/>
          <w:color w:val="111111"/>
          <w:spacing w:val="-31"/>
          <w:sz w:val="21"/>
        </w:rPr>
        <w:t xml:space="preserve"> </w:t>
      </w:r>
      <w:r>
        <w:rPr>
          <w:i/>
          <w:sz w:val="21"/>
        </w:rPr>
        <w:t>and</w:t>
      </w:r>
      <w:r>
        <w:rPr>
          <w:i/>
          <w:spacing w:val="-26"/>
          <w:sz w:val="21"/>
        </w:rPr>
        <w:t xml:space="preserve"> </w:t>
      </w:r>
      <w:r>
        <w:rPr>
          <w:i/>
          <w:sz w:val="21"/>
        </w:rPr>
        <w:t>Aii0i’t</w:t>
      </w:r>
      <w:r>
        <w:rPr>
          <w:i/>
          <w:spacing w:val="-30"/>
          <w:sz w:val="21"/>
        </w:rPr>
        <w:t xml:space="preserve"> </w:t>
      </w:r>
      <w:r>
        <w:rPr>
          <w:i/>
          <w:sz w:val="21"/>
        </w:rPr>
        <w:t>Act</w:t>
      </w:r>
      <w:r>
        <w:rPr>
          <w:i/>
          <w:spacing w:val="-34"/>
          <w:sz w:val="21"/>
        </w:rPr>
        <w:t xml:space="preserve"> </w:t>
      </w:r>
      <w:r>
        <w:rPr>
          <w:i/>
          <w:sz w:val="21"/>
        </w:rPr>
        <w:t>198J</w:t>
      </w:r>
      <w:r>
        <w:rPr>
          <w:i/>
          <w:spacing w:val="-25"/>
          <w:sz w:val="21"/>
        </w:rPr>
        <w:t xml:space="preserve"> </w:t>
      </w:r>
      <w:r>
        <w:rPr>
          <w:sz w:val="21"/>
        </w:rPr>
        <w:t>(PF&amp;A</w:t>
      </w:r>
      <w:r>
        <w:rPr>
          <w:spacing w:val="-30"/>
          <w:sz w:val="21"/>
        </w:rPr>
        <w:t xml:space="preserve"> </w:t>
      </w:r>
      <w:r>
        <w:rPr>
          <w:sz w:val="21"/>
        </w:rPr>
        <w:t>Act)</w:t>
      </w:r>
      <w:r>
        <w:rPr>
          <w:spacing w:val="-30"/>
          <w:sz w:val="21"/>
        </w:rPr>
        <w:t xml:space="preserve"> </w:t>
      </w:r>
      <w:r>
        <w:rPr>
          <w:sz w:val="21"/>
        </w:rPr>
        <w:t>and the Public Finance and Audit Regulation</w:t>
      </w:r>
      <w:r>
        <w:rPr>
          <w:spacing w:val="30"/>
          <w:sz w:val="21"/>
        </w:rPr>
        <w:t xml:space="preserve"> </w:t>
      </w:r>
      <w:r>
        <w:rPr>
          <w:sz w:val="21"/>
        </w:rPr>
        <w:t>2015</w:t>
      </w:r>
    </w:p>
    <w:p w14:paraId="2CA6BE6D" w14:textId="77777777" w:rsidR="00FA4AA8" w:rsidRDefault="0015611F">
      <w:pPr>
        <w:pStyle w:val="ListParagraph"/>
        <w:numPr>
          <w:ilvl w:val="1"/>
          <w:numId w:val="71"/>
        </w:numPr>
        <w:tabs>
          <w:tab w:val="left" w:pos="1235"/>
          <w:tab w:val="left" w:pos="1236"/>
        </w:tabs>
        <w:spacing w:before="59"/>
        <w:ind w:left="1235" w:right="903" w:hanging="569"/>
        <w:rPr>
          <w:i/>
          <w:sz w:val="21"/>
        </w:rPr>
      </w:pPr>
      <w:r>
        <w:rPr>
          <w:w w:val="95"/>
          <w:sz w:val="21"/>
        </w:rPr>
        <w:t>comply with the 'Financial Statement Guidelines for Australian Higher Education Providers for the</w:t>
      </w:r>
      <w:r>
        <w:rPr>
          <w:spacing w:val="-15"/>
          <w:w w:val="95"/>
          <w:sz w:val="21"/>
        </w:rPr>
        <w:t xml:space="preserve"> </w:t>
      </w:r>
      <w:r>
        <w:rPr>
          <w:w w:val="95"/>
          <w:sz w:val="21"/>
        </w:rPr>
        <w:t>2018</w:t>
      </w:r>
      <w:r>
        <w:rPr>
          <w:spacing w:val="-5"/>
          <w:w w:val="95"/>
          <w:sz w:val="21"/>
        </w:rPr>
        <w:t xml:space="preserve"> </w:t>
      </w:r>
      <w:r>
        <w:rPr>
          <w:w w:val="95"/>
          <w:sz w:val="21"/>
        </w:rPr>
        <w:t>Reporting</w:t>
      </w:r>
      <w:r>
        <w:rPr>
          <w:spacing w:val="-4"/>
          <w:w w:val="95"/>
          <w:sz w:val="21"/>
        </w:rPr>
        <w:t xml:space="preserve"> </w:t>
      </w:r>
      <w:r>
        <w:rPr>
          <w:w w:val="95"/>
          <w:sz w:val="21"/>
        </w:rPr>
        <w:t>Period'</w:t>
      </w:r>
      <w:r>
        <w:rPr>
          <w:spacing w:val="1"/>
          <w:w w:val="95"/>
          <w:sz w:val="21"/>
        </w:rPr>
        <w:t xml:space="preserve"> </w:t>
      </w:r>
      <w:r>
        <w:rPr>
          <w:w w:val="95"/>
          <w:sz w:val="21"/>
        </w:rPr>
        <w:t>(the</w:t>
      </w:r>
      <w:r>
        <w:rPr>
          <w:spacing w:val="-17"/>
          <w:w w:val="95"/>
          <w:sz w:val="21"/>
        </w:rPr>
        <w:t xml:space="preserve"> </w:t>
      </w:r>
      <w:r>
        <w:rPr>
          <w:w w:val="95"/>
          <w:sz w:val="21"/>
        </w:rPr>
        <w:t>Guidelines), issued</w:t>
      </w:r>
      <w:r>
        <w:rPr>
          <w:spacing w:val="-7"/>
          <w:w w:val="95"/>
          <w:sz w:val="21"/>
        </w:rPr>
        <w:t xml:space="preserve"> </w:t>
      </w:r>
      <w:r>
        <w:rPr>
          <w:w w:val="95"/>
          <w:sz w:val="21"/>
        </w:rPr>
        <w:t>by</w:t>
      </w:r>
      <w:r>
        <w:rPr>
          <w:spacing w:val="-9"/>
          <w:w w:val="95"/>
          <w:sz w:val="21"/>
        </w:rPr>
        <w:t xml:space="preserve"> </w:t>
      </w:r>
      <w:r>
        <w:rPr>
          <w:w w:val="95"/>
          <w:sz w:val="21"/>
        </w:rPr>
        <w:t>the</w:t>
      </w:r>
      <w:r>
        <w:rPr>
          <w:spacing w:val="-10"/>
          <w:w w:val="95"/>
          <w:sz w:val="21"/>
        </w:rPr>
        <w:t xml:space="preserve"> </w:t>
      </w:r>
      <w:r>
        <w:rPr>
          <w:w w:val="95"/>
          <w:sz w:val="21"/>
        </w:rPr>
        <w:t>Australian</w:t>
      </w:r>
      <w:r>
        <w:rPr>
          <w:spacing w:val="-6"/>
          <w:w w:val="95"/>
          <w:sz w:val="21"/>
        </w:rPr>
        <w:t xml:space="preserve"> </w:t>
      </w:r>
      <w:r>
        <w:rPr>
          <w:w w:val="95"/>
          <w:sz w:val="21"/>
        </w:rPr>
        <w:t>Government</w:t>
      </w:r>
      <w:r>
        <w:rPr>
          <w:spacing w:val="3"/>
          <w:w w:val="95"/>
          <w:sz w:val="21"/>
        </w:rPr>
        <w:t xml:space="preserve"> </w:t>
      </w:r>
      <w:r>
        <w:rPr>
          <w:w w:val="95"/>
          <w:sz w:val="21"/>
        </w:rPr>
        <w:t>Depa</w:t>
      </w:r>
      <w:r w:rsidR="00733831">
        <w:rPr>
          <w:w w:val="95"/>
          <w:sz w:val="21"/>
        </w:rPr>
        <w:t>rt</w:t>
      </w:r>
      <w:r>
        <w:rPr>
          <w:w w:val="95"/>
          <w:sz w:val="21"/>
        </w:rPr>
        <w:t xml:space="preserve">ment </w:t>
      </w:r>
      <w:r>
        <w:rPr>
          <w:sz w:val="21"/>
        </w:rPr>
        <w:t>of</w:t>
      </w:r>
      <w:r>
        <w:rPr>
          <w:spacing w:val="-28"/>
          <w:sz w:val="21"/>
        </w:rPr>
        <w:t xml:space="preserve"> </w:t>
      </w:r>
      <w:r>
        <w:rPr>
          <w:sz w:val="21"/>
        </w:rPr>
        <w:t>Education</w:t>
      </w:r>
      <w:r>
        <w:rPr>
          <w:spacing w:val="-21"/>
          <w:sz w:val="21"/>
        </w:rPr>
        <w:t xml:space="preserve"> </w:t>
      </w:r>
      <w:r>
        <w:rPr>
          <w:sz w:val="21"/>
        </w:rPr>
        <w:t>and</w:t>
      </w:r>
      <w:r>
        <w:rPr>
          <w:spacing w:val="-30"/>
          <w:sz w:val="21"/>
        </w:rPr>
        <w:t xml:space="preserve"> </w:t>
      </w:r>
      <w:r>
        <w:rPr>
          <w:sz w:val="21"/>
        </w:rPr>
        <w:t>Training,</w:t>
      </w:r>
      <w:r>
        <w:rPr>
          <w:spacing w:val="-15"/>
          <w:sz w:val="21"/>
        </w:rPr>
        <w:t xml:space="preserve"> </w:t>
      </w:r>
      <w:r>
        <w:rPr>
          <w:sz w:val="21"/>
        </w:rPr>
        <w:t>pursuant</w:t>
      </w:r>
      <w:r>
        <w:rPr>
          <w:spacing w:val="-15"/>
          <w:sz w:val="21"/>
        </w:rPr>
        <w:t xml:space="preserve"> </w:t>
      </w:r>
      <w:r>
        <w:rPr>
          <w:sz w:val="21"/>
        </w:rPr>
        <w:t>to</w:t>
      </w:r>
      <w:r>
        <w:rPr>
          <w:spacing w:val="-28"/>
          <w:sz w:val="21"/>
        </w:rPr>
        <w:t xml:space="preserve"> </w:t>
      </w:r>
      <w:r>
        <w:rPr>
          <w:color w:val="0A0A0A"/>
          <w:sz w:val="21"/>
        </w:rPr>
        <w:t>the</w:t>
      </w:r>
      <w:r>
        <w:rPr>
          <w:color w:val="0A0A0A"/>
          <w:spacing w:val="-30"/>
          <w:sz w:val="21"/>
        </w:rPr>
        <w:t xml:space="preserve"> </w:t>
      </w:r>
      <w:r>
        <w:rPr>
          <w:i/>
          <w:sz w:val="21"/>
        </w:rPr>
        <w:t>Higher</w:t>
      </w:r>
      <w:r>
        <w:rPr>
          <w:i/>
          <w:spacing w:val="-18"/>
          <w:sz w:val="21"/>
        </w:rPr>
        <w:t xml:space="preserve"> </w:t>
      </w:r>
      <w:r>
        <w:rPr>
          <w:i/>
          <w:sz w:val="21"/>
        </w:rPr>
        <w:t>Education</w:t>
      </w:r>
      <w:r>
        <w:rPr>
          <w:i/>
          <w:spacing w:val="-11"/>
          <w:sz w:val="21"/>
        </w:rPr>
        <w:t xml:space="preserve"> </w:t>
      </w:r>
      <w:r>
        <w:rPr>
          <w:sz w:val="21"/>
        </w:rPr>
        <w:t>Support</w:t>
      </w:r>
      <w:r>
        <w:rPr>
          <w:spacing w:val="-26"/>
          <w:sz w:val="21"/>
        </w:rPr>
        <w:t xml:space="preserve"> </w:t>
      </w:r>
      <w:r>
        <w:rPr>
          <w:i/>
          <w:sz w:val="21"/>
        </w:rPr>
        <w:t>Act</w:t>
      </w:r>
      <w:r>
        <w:rPr>
          <w:i/>
          <w:spacing w:val="-23"/>
          <w:sz w:val="21"/>
        </w:rPr>
        <w:t xml:space="preserve"> </w:t>
      </w:r>
      <w:r>
        <w:rPr>
          <w:i/>
          <w:sz w:val="21"/>
        </w:rPr>
        <w:t>2003,</w:t>
      </w:r>
      <w:r>
        <w:rPr>
          <w:i/>
          <w:spacing w:val="-26"/>
          <w:sz w:val="21"/>
        </w:rPr>
        <w:t xml:space="preserve"> </w:t>
      </w:r>
      <w:r>
        <w:rPr>
          <w:sz w:val="21"/>
        </w:rPr>
        <w:t>the</w:t>
      </w:r>
      <w:r>
        <w:rPr>
          <w:spacing w:val="-26"/>
          <w:sz w:val="21"/>
        </w:rPr>
        <w:t xml:space="preserve"> </w:t>
      </w:r>
      <w:r>
        <w:rPr>
          <w:i/>
          <w:sz w:val="21"/>
        </w:rPr>
        <w:t xml:space="preserve">Higher Education Funding </w:t>
      </w:r>
      <w:r>
        <w:rPr>
          <w:i/>
          <w:color w:val="1D1D1D"/>
          <w:sz w:val="21"/>
        </w:rPr>
        <w:t xml:space="preserve">Act </w:t>
      </w:r>
      <w:r>
        <w:rPr>
          <w:i/>
          <w:sz w:val="21"/>
        </w:rPr>
        <w:t xml:space="preserve">1988 </w:t>
      </w:r>
      <w:r>
        <w:rPr>
          <w:sz w:val="21"/>
        </w:rPr>
        <w:t xml:space="preserve">and the </w:t>
      </w:r>
      <w:r>
        <w:rPr>
          <w:i/>
          <w:sz w:val="21"/>
        </w:rPr>
        <w:t>Australian Research Council Act</w:t>
      </w:r>
      <w:r>
        <w:rPr>
          <w:i/>
          <w:spacing w:val="-36"/>
          <w:sz w:val="21"/>
        </w:rPr>
        <w:t xml:space="preserve"> </w:t>
      </w:r>
      <w:r>
        <w:rPr>
          <w:i/>
          <w:sz w:val="21"/>
        </w:rPr>
        <w:t>2001</w:t>
      </w:r>
    </w:p>
    <w:p w14:paraId="13E43630" w14:textId="77777777" w:rsidR="00FA4AA8" w:rsidRDefault="0015611F">
      <w:pPr>
        <w:pStyle w:val="ListParagraph"/>
        <w:numPr>
          <w:ilvl w:val="1"/>
          <w:numId w:val="71"/>
        </w:numPr>
        <w:tabs>
          <w:tab w:val="left" w:pos="1231"/>
        </w:tabs>
        <w:spacing w:before="57"/>
        <w:ind w:left="1220" w:right="1229" w:hanging="555"/>
        <w:jc w:val="both"/>
        <w:rPr>
          <w:sz w:val="21"/>
        </w:rPr>
      </w:pPr>
      <w:r>
        <w:rPr>
          <w:sz w:val="21"/>
        </w:rPr>
        <w:t>have</w:t>
      </w:r>
      <w:r>
        <w:rPr>
          <w:spacing w:val="-38"/>
          <w:sz w:val="21"/>
        </w:rPr>
        <w:t xml:space="preserve"> </w:t>
      </w:r>
      <w:r>
        <w:rPr>
          <w:sz w:val="21"/>
        </w:rPr>
        <w:t>been</w:t>
      </w:r>
      <w:r>
        <w:rPr>
          <w:spacing w:val="-35"/>
          <w:sz w:val="21"/>
        </w:rPr>
        <w:t xml:space="preserve"> </w:t>
      </w:r>
      <w:r>
        <w:rPr>
          <w:sz w:val="21"/>
        </w:rPr>
        <w:t>prepared</w:t>
      </w:r>
      <w:r>
        <w:rPr>
          <w:spacing w:val="-38"/>
          <w:sz w:val="21"/>
        </w:rPr>
        <w:t xml:space="preserve"> </w:t>
      </w:r>
      <w:r>
        <w:rPr>
          <w:sz w:val="21"/>
        </w:rPr>
        <w:t>in</w:t>
      </w:r>
      <w:r>
        <w:rPr>
          <w:spacing w:val="-39"/>
          <w:sz w:val="21"/>
        </w:rPr>
        <w:t xml:space="preserve"> </w:t>
      </w:r>
      <w:r>
        <w:rPr>
          <w:sz w:val="21"/>
        </w:rPr>
        <w:t>accordance</w:t>
      </w:r>
      <w:r>
        <w:rPr>
          <w:spacing w:val="-30"/>
          <w:sz w:val="21"/>
        </w:rPr>
        <w:t xml:space="preserve"> </w:t>
      </w:r>
      <w:r>
        <w:rPr>
          <w:sz w:val="21"/>
        </w:rPr>
        <w:t>with</w:t>
      </w:r>
      <w:r>
        <w:rPr>
          <w:spacing w:val="-37"/>
          <w:sz w:val="21"/>
        </w:rPr>
        <w:t xml:space="preserve"> </w:t>
      </w:r>
      <w:r>
        <w:rPr>
          <w:sz w:val="21"/>
        </w:rPr>
        <w:t>Division</w:t>
      </w:r>
      <w:r>
        <w:rPr>
          <w:spacing w:val="-37"/>
          <w:sz w:val="21"/>
        </w:rPr>
        <w:t xml:space="preserve"> </w:t>
      </w:r>
      <w:r>
        <w:rPr>
          <w:sz w:val="21"/>
        </w:rPr>
        <w:t>60</w:t>
      </w:r>
      <w:r>
        <w:rPr>
          <w:spacing w:val="-37"/>
          <w:sz w:val="21"/>
        </w:rPr>
        <w:t xml:space="preserve"> </w:t>
      </w:r>
      <w:r>
        <w:rPr>
          <w:sz w:val="21"/>
        </w:rPr>
        <w:t>of</w:t>
      </w:r>
      <w:r>
        <w:rPr>
          <w:spacing w:val="-37"/>
          <w:sz w:val="21"/>
        </w:rPr>
        <w:t xml:space="preserve"> </w:t>
      </w:r>
      <w:r>
        <w:rPr>
          <w:sz w:val="21"/>
        </w:rPr>
        <w:t>the</w:t>
      </w:r>
      <w:r>
        <w:rPr>
          <w:spacing w:val="-35"/>
          <w:sz w:val="21"/>
        </w:rPr>
        <w:t xml:space="preserve"> </w:t>
      </w:r>
      <w:r>
        <w:rPr>
          <w:i/>
          <w:sz w:val="21"/>
        </w:rPr>
        <w:t>Australian</w:t>
      </w:r>
      <w:r>
        <w:rPr>
          <w:i/>
          <w:spacing w:val="-35"/>
          <w:sz w:val="21"/>
        </w:rPr>
        <w:t xml:space="preserve"> </w:t>
      </w:r>
      <w:r>
        <w:rPr>
          <w:i/>
          <w:sz w:val="21"/>
        </w:rPr>
        <w:t>Charities</w:t>
      </w:r>
      <w:r>
        <w:rPr>
          <w:i/>
          <w:spacing w:val="-33"/>
          <w:sz w:val="21"/>
        </w:rPr>
        <w:t xml:space="preserve"> </w:t>
      </w:r>
      <w:r>
        <w:rPr>
          <w:i/>
          <w:color w:val="0F0F0F"/>
          <w:sz w:val="21"/>
        </w:rPr>
        <w:t>and</w:t>
      </w:r>
      <w:r>
        <w:rPr>
          <w:i/>
          <w:color w:val="0F0F0F"/>
          <w:spacing w:val="-37"/>
          <w:sz w:val="21"/>
        </w:rPr>
        <w:t xml:space="preserve"> </w:t>
      </w:r>
      <w:r>
        <w:rPr>
          <w:i/>
          <w:sz w:val="21"/>
        </w:rPr>
        <w:t xml:space="preserve">Not-for- </w:t>
      </w:r>
      <w:r>
        <w:rPr>
          <w:w w:val="95"/>
          <w:sz w:val="21"/>
        </w:rPr>
        <w:t xml:space="preserve">pro/its </w:t>
      </w:r>
      <w:r>
        <w:rPr>
          <w:i/>
          <w:w w:val="95"/>
          <w:sz w:val="21"/>
        </w:rPr>
        <w:t xml:space="preserve">Commission Act 2012 </w:t>
      </w:r>
      <w:r>
        <w:rPr>
          <w:w w:val="95"/>
          <w:sz w:val="21"/>
        </w:rPr>
        <w:t xml:space="preserve">and Division 60 of the Australian Charities and Not-for-profits </w:t>
      </w:r>
      <w:r>
        <w:rPr>
          <w:sz w:val="21"/>
        </w:rPr>
        <w:t>Commission Regulation</w:t>
      </w:r>
      <w:r>
        <w:rPr>
          <w:spacing w:val="33"/>
          <w:sz w:val="21"/>
        </w:rPr>
        <w:t xml:space="preserve"> </w:t>
      </w:r>
      <w:r>
        <w:rPr>
          <w:sz w:val="21"/>
        </w:rPr>
        <w:t>2013.</w:t>
      </w:r>
    </w:p>
    <w:p w14:paraId="34FF9A11" w14:textId="77777777" w:rsidR="00FA4AA8" w:rsidRDefault="0015611F">
      <w:pPr>
        <w:spacing w:before="197"/>
        <w:ind w:left="671"/>
        <w:rPr>
          <w:sz w:val="21"/>
        </w:rPr>
      </w:pPr>
      <w:r>
        <w:rPr>
          <w:color w:val="0F0F0F"/>
          <w:sz w:val="21"/>
        </w:rPr>
        <w:t xml:space="preserve">My </w:t>
      </w:r>
      <w:r>
        <w:rPr>
          <w:sz w:val="21"/>
        </w:rPr>
        <w:t xml:space="preserve">opinion should be read </w:t>
      </w:r>
      <w:r>
        <w:rPr>
          <w:color w:val="161616"/>
          <w:sz w:val="21"/>
        </w:rPr>
        <w:t xml:space="preserve">in </w:t>
      </w:r>
      <w:r>
        <w:rPr>
          <w:sz w:val="21"/>
        </w:rPr>
        <w:t>conjunction with the rest of this report.</w:t>
      </w:r>
    </w:p>
    <w:p w14:paraId="4CC654B8" w14:textId="77777777" w:rsidR="00FA4AA8" w:rsidRDefault="0015611F">
      <w:pPr>
        <w:spacing w:before="172"/>
        <w:ind w:left="669"/>
        <w:rPr>
          <w:sz w:val="24"/>
        </w:rPr>
      </w:pPr>
      <w:r>
        <w:rPr>
          <w:w w:val="110"/>
          <w:sz w:val="24"/>
        </w:rPr>
        <w:t>Basis for Opinion</w:t>
      </w:r>
    </w:p>
    <w:p w14:paraId="6FACE8D0" w14:textId="77777777" w:rsidR="00FA4AA8" w:rsidRDefault="0015611F">
      <w:pPr>
        <w:spacing w:before="114" w:line="237" w:lineRule="auto"/>
        <w:ind w:left="671" w:right="837" w:hanging="4"/>
        <w:rPr>
          <w:sz w:val="21"/>
        </w:rPr>
      </w:pPr>
      <w:r>
        <w:rPr>
          <w:color w:val="161616"/>
          <w:w w:val="95"/>
          <w:sz w:val="21"/>
        </w:rPr>
        <w:t>I</w:t>
      </w:r>
      <w:r>
        <w:rPr>
          <w:color w:val="161616"/>
          <w:spacing w:val="-18"/>
          <w:w w:val="95"/>
          <w:sz w:val="21"/>
        </w:rPr>
        <w:t xml:space="preserve"> </w:t>
      </w:r>
      <w:r>
        <w:rPr>
          <w:w w:val="95"/>
          <w:sz w:val="21"/>
        </w:rPr>
        <w:t>conducted</w:t>
      </w:r>
      <w:r>
        <w:rPr>
          <w:spacing w:val="12"/>
          <w:w w:val="95"/>
          <w:sz w:val="21"/>
        </w:rPr>
        <w:t xml:space="preserve"> </w:t>
      </w:r>
      <w:r>
        <w:rPr>
          <w:w w:val="95"/>
          <w:sz w:val="21"/>
        </w:rPr>
        <w:t>my</w:t>
      </w:r>
      <w:r>
        <w:rPr>
          <w:spacing w:val="-8"/>
          <w:w w:val="95"/>
          <w:sz w:val="21"/>
        </w:rPr>
        <w:t xml:space="preserve"> </w:t>
      </w:r>
      <w:r>
        <w:rPr>
          <w:w w:val="95"/>
          <w:sz w:val="21"/>
        </w:rPr>
        <w:t>audit</w:t>
      </w:r>
      <w:r>
        <w:rPr>
          <w:spacing w:val="-12"/>
          <w:w w:val="95"/>
          <w:sz w:val="21"/>
        </w:rPr>
        <w:t xml:space="preserve"> </w:t>
      </w:r>
      <w:r>
        <w:rPr>
          <w:color w:val="181818"/>
          <w:w w:val="95"/>
          <w:sz w:val="21"/>
        </w:rPr>
        <w:t>in</w:t>
      </w:r>
      <w:r>
        <w:rPr>
          <w:color w:val="181818"/>
          <w:spacing w:val="-13"/>
          <w:w w:val="95"/>
          <w:sz w:val="21"/>
        </w:rPr>
        <w:t xml:space="preserve"> </w:t>
      </w:r>
      <w:r>
        <w:rPr>
          <w:w w:val="95"/>
          <w:sz w:val="21"/>
        </w:rPr>
        <w:t>accordance</w:t>
      </w:r>
      <w:r>
        <w:rPr>
          <w:spacing w:val="6"/>
          <w:w w:val="95"/>
          <w:sz w:val="21"/>
        </w:rPr>
        <w:t xml:space="preserve"> </w:t>
      </w:r>
      <w:r>
        <w:rPr>
          <w:w w:val="95"/>
          <w:sz w:val="21"/>
        </w:rPr>
        <w:t>with</w:t>
      </w:r>
      <w:r>
        <w:rPr>
          <w:spacing w:val="-5"/>
          <w:w w:val="95"/>
          <w:sz w:val="21"/>
        </w:rPr>
        <w:t xml:space="preserve"> </w:t>
      </w:r>
      <w:r>
        <w:rPr>
          <w:w w:val="95"/>
          <w:sz w:val="21"/>
        </w:rPr>
        <w:t>Australian</w:t>
      </w:r>
      <w:r>
        <w:rPr>
          <w:spacing w:val="6"/>
          <w:w w:val="95"/>
          <w:sz w:val="21"/>
        </w:rPr>
        <w:t xml:space="preserve"> </w:t>
      </w:r>
      <w:r>
        <w:rPr>
          <w:w w:val="95"/>
          <w:sz w:val="21"/>
        </w:rPr>
        <w:t>Auditing</w:t>
      </w:r>
      <w:r>
        <w:rPr>
          <w:spacing w:val="4"/>
          <w:w w:val="95"/>
          <w:sz w:val="21"/>
        </w:rPr>
        <w:t xml:space="preserve"> </w:t>
      </w:r>
      <w:r>
        <w:rPr>
          <w:w w:val="95"/>
          <w:sz w:val="21"/>
        </w:rPr>
        <w:t>Standards.</w:t>
      </w:r>
      <w:r>
        <w:rPr>
          <w:spacing w:val="2"/>
          <w:w w:val="95"/>
          <w:sz w:val="21"/>
        </w:rPr>
        <w:t xml:space="preserve"> </w:t>
      </w:r>
      <w:r>
        <w:rPr>
          <w:w w:val="95"/>
          <w:sz w:val="21"/>
        </w:rPr>
        <w:t>My</w:t>
      </w:r>
      <w:r>
        <w:rPr>
          <w:spacing w:val="-6"/>
          <w:w w:val="95"/>
          <w:sz w:val="21"/>
        </w:rPr>
        <w:t xml:space="preserve"> </w:t>
      </w:r>
      <w:r>
        <w:rPr>
          <w:w w:val="95"/>
          <w:sz w:val="21"/>
        </w:rPr>
        <w:t>responsibilities</w:t>
      </w:r>
      <w:r>
        <w:rPr>
          <w:spacing w:val="-15"/>
          <w:w w:val="95"/>
          <w:sz w:val="21"/>
        </w:rPr>
        <w:t xml:space="preserve"> </w:t>
      </w:r>
      <w:r>
        <w:rPr>
          <w:w w:val="95"/>
          <w:sz w:val="21"/>
        </w:rPr>
        <w:t>under</w:t>
      </w:r>
      <w:r>
        <w:rPr>
          <w:spacing w:val="-5"/>
          <w:w w:val="95"/>
          <w:sz w:val="21"/>
        </w:rPr>
        <w:t xml:space="preserve"> </w:t>
      </w:r>
      <w:r>
        <w:rPr>
          <w:w w:val="95"/>
          <w:sz w:val="21"/>
        </w:rPr>
        <w:t xml:space="preserve">the </w:t>
      </w:r>
      <w:r>
        <w:rPr>
          <w:sz w:val="21"/>
        </w:rPr>
        <w:t>standards</w:t>
      </w:r>
      <w:r>
        <w:rPr>
          <w:spacing w:val="-26"/>
          <w:sz w:val="21"/>
        </w:rPr>
        <w:t xml:space="preserve"> </w:t>
      </w:r>
      <w:r>
        <w:rPr>
          <w:sz w:val="21"/>
        </w:rPr>
        <w:t>are</w:t>
      </w:r>
      <w:r>
        <w:rPr>
          <w:spacing w:val="-32"/>
          <w:sz w:val="21"/>
        </w:rPr>
        <w:t xml:space="preserve"> </w:t>
      </w:r>
      <w:r>
        <w:rPr>
          <w:sz w:val="21"/>
        </w:rPr>
        <w:t>described</w:t>
      </w:r>
      <w:r>
        <w:rPr>
          <w:spacing w:val="-23"/>
          <w:sz w:val="21"/>
        </w:rPr>
        <w:t xml:space="preserve"> </w:t>
      </w:r>
      <w:r>
        <w:rPr>
          <w:sz w:val="21"/>
        </w:rPr>
        <w:t>in</w:t>
      </w:r>
      <w:r>
        <w:rPr>
          <w:spacing w:val="-29"/>
          <w:sz w:val="21"/>
        </w:rPr>
        <w:t xml:space="preserve"> </w:t>
      </w:r>
      <w:r>
        <w:rPr>
          <w:sz w:val="21"/>
        </w:rPr>
        <w:t>the</w:t>
      </w:r>
      <w:r>
        <w:rPr>
          <w:spacing w:val="-29"/>
          <w:sz w:val="21"/>
        </w:rPr>
        <w:t xml:space="preserve"> </w:t>
      </w:r>
      <w:r>
        <w:rPr>
          <w:sz w:val="21"/>
        </w:rPr>
        <w:t>'Auditor’s</w:t>
      </w:r>
      <w:r>
        <w:rPr>
          <w:spacing w:val="-26"/>
          <w:sz w:val="21"/>
        </w:rPr>
        <w:t xml:space="preserve"> </w:t>
      </w:r>
      <w:r>
        <w:rPr>
          <w:sz w:val="21"/>
        </w:rPr>
        <w:t>Responsibilities</w:t>
      </w:r>
      <w:r>
        <w:rPr>
          <w:spacing w:val="-39"/>
          <w:sz w:val="21"/>
        </w:rPr>
        <w:t xml:space="preserve"> </w:t>
      </w:r>
      <w:r>
        <w:rPr>
          <w:sz w:val="21"/>
        </w:rPr>
        <w:t>for</w:t>
      </w:r>
      <w:r>
        <w:rPr>
          <w:spacing w:val="-30"/>
          <w:sz w:val="21"/>
        </w:rPr>
        <w:t xml:space="preserve"> </w:t>
      </w:r>
      <w:r>
        <w:rPr>
          <w:color w:val="0C0C0C"/>
          <w:sz w:val="21"/>
        </w:rPr>
        <w:t>the</w:t>
      </w:r>
      <w:r>
        <w:rPr>
          <w:color w:val="0C0C0C"/>
          <w:spacing w:val="-29"/>
          <w:sz w:val="21"/>
        </w:rPr>
        <w:t xml:space="preserve"> </w:t>
      </w:r>
      <w:r>
        <w:rPr>
          <w:sz w:val="21"/>
        </w:rPr>
        <w:t>Audit</w:t>
      </w:r>
      <w:r>
        <w:rPr>
          <w:spacing w:val="-33"/>
          <w:sz w:val="21"/>
        </w:rPr>
        <w:t xml:space="preserve"> </w:t>
      </w:r>
      <w:r>
        <w:rPr>
          <w:color w:val="1A1A1A"/>
          <w:sz w:val="21"/>
        </w:rPr>
        <w:t>of</w:t>
      </w:r>
      <w:r>
        <w:rPr>
          <w:color w:val="1A1A1A"/>
          <w:spacing w:val="-29"/>
          <w:sz w:val="21"/>
        </w:rPr>
        <w:t xml:space="preserve"> </w:t>
      </w:r>
      <w:r>
        <w:rPr>
          <w:sz w:val="21"/>
        </w:rPr>
        <w:t>the</w:t>
      </w:r>
      <w:r>
        <w:rPr>
          <w:spacing w:val="-32"/>
          <w:sz w:val="21"/>
        </w:rPr>
        <w:t xml:space="preserve"> </w:t>
      </w:r>
      <w:r>
        <w:rPr>
          <w:sz w:val="21"/>
        </w:rPr>
        <w:t>Financial</w:t>
      </w:r>
      <w:r>
        <w:rPr>
          <w:spacing w:val="-22"/>
          <w:sz w:val="21"/>
        </w:rPr>
        <w:t xml:space="preserve"> </w:t>
      </w:r>
      <w:r>
        <w:rPr>
          <w:sz w:val="21"/>
        </w:rPr>
        <w:t>Statements' section of my</w:t>
      </w:r>
      <w:r>
        <w:rPr>
          <w:spacing w:val="11"/>
          <w:sz w:val="21"/>
        </w:rPr>
        <w:t xml:space="preserve"> </w:t>
      </w:r>
      <w:r>
        <w:rPr>
          <w:sz w:val="21"/>
        </w:rPr>
        <w:t>report.</w:t>
      </w:r>
    </w:p>
    <w:p w14:paraId="576C68D3" w14:textId="77777777" w:rsidR="00FA4AA8" w:rsidRDefault="0015611F">
      <w:pPr>
        <w:spacing w:before="169"/>
        <w:ind w:left="667"/>
        <w:rPr>
          <w:sz w:val="21"/>
        </w:rPr>
      </w:pPr>
      <w:r>
        <w:rPr>
          <w:sz w:val="21"/>
        </w:rPr>
        <w:t xml:space="preserve">I am independent of the University </w:t>
      </w:r>
      <w:r>
        <w:rPr>
          <w:color w:val="1F1F1F"/>
          <w:sz w:val="21"/>
        </w:rPr>
        <w:t xml:space="preserve">in </w:t>
      </w:r>
      <w:r>
        <w:rPr>
          <w:sz w:val="21"/>
        </w:rPr>
        <w:t xml:space="preserve">accordance with the requirements of </w:t>
      </w:r>
      <w:r>
        <w:rPr>
          <w:color w:val="212121"/>
          <w:sz w:val="21"/>
        </w:rPr>
        <w:t>the:</w:t>
      </w:r>
    </w:p>
    <w:p w14:paraId="74FE4AD4" w14:textId="77777777" w:rsidR="00FA4AA8" w:rsidRDefault="0015611F">
      <w:pPr>
        <w:pStyle w:val="ListParagraph"/>
        <w:numPr>
          <w:ilvl w:val="1"/>
          <w:numId w:val="71"/>
        </w:numPr>
        <w:tabs>
          <w:tab w:val="left" w:pos="1244"/>
          <w:tab w:val="left" w:pos="1245"/>
        </w:tabs>
        <w:spacing w:before="171"/>
        <w:ind w:left="1244" w:hanging="569"/>
        <w:rPr>
          <w:sz w:val="21"/>
        </w:rPr>
      </w:pPr>
      <w:r>
        <w:rPr>
          <w:sz w:val="21"/>
        </w:rPr>
        <w:t>Australian Auditing</w:t>
      </w:r>
      <w:r>
        <w:rPr>
          <w:spacing w:val="-19"/>
          <w:sz w:val="21"/>
        </w:rPr>
        <w:t xml:space="preserve"> </w:t>
      </w:r>
      <w:r>
        <w:rPr>
          <w:sz w:val="21"/>
        </w:rPr>
        <w:t>Standards</w:t>
      </w:r>
    </w:p>
    <w:p w14:paraId="5A89A199" w14:textId="77777777" w:rsidR="00FA4AA8" w:rsidRDefault="0015611F">
      <w:pPr>
        <w:pStyle w:val="ListParagraph"/>
        <w:numPr>
          <w:ilvl w:val="1"/>
          <w:numId w:val="71"/>
        </w:numPr>
        <w:tabs>
          <w:tab w:val="left" w:pos="1234"/>
          <w:tab w:val="left" w:pos="1235"/>
        </w:tabs>
        <w:spacing w:before="56"/>
        <w:ind w:left="1237" w:right="1635" w:hanging="562"/>
        <w:rPr>
          <w:sz w:val="21"/>
        </w:rPr>
      </w:pPr>
      <w:r>
        <w:rPr>
          <w:w w:val="95"/>
          <w:sz w:val="21"/>
        </w:rPr>
        <w:t xml:space="preserve">Accounting Professional and Ethical Standards Board's APES 110 ’Code </w:t>
      </w:r>
      <w:r>
        <w:rPr>
          <w:color w:val="0F0F0F"/>
          <w:w w:val="95"/>
          <w:sz w:val="21"/>
        </w:rPr>
        <w:t xml:space="preserve">of </w:t>
      </w:r>
      <w:r>
        <w:rPr>
          <w:w w:val="95"/>
          <w:sz w:val="21"/>
        </w:rPr>
        <w:t xml:space="preserve">Ethics for </w:t>
      </w:r>
      <w:r>
        <w:rPr>
          <w:sz w:val="21"/>
        </w:rPr>
        <w:t>Professional Accountants’ (APES</w:t>
      </w:r>
      <w:r>
        <w:rPr>
          <w:spacing w:val="32"/>
          <w:sz w:val="21"/>
        </w:rPr>
        <w:t xml:space="preserve"> </w:t>
      </w:r>
      <w:r>
        <w:rPr>
          <w:sz w:val="21"/>
        </w:rPr>
        <w:t>110).</w:t>
      </w:r>
    </w:p>
    <w:p w14:paraId="6D094AB6" w14:textId="77777777" w:rsidR="00FA4AA8" w:rsidRDefault="00FA4AA8">
      <w:pPr>
        <w:pStyle w:val="BodyText"/>
        <w:spacing w:before="3"/>
        <w:rPr>
          <w:sz w:val="17"/>
        </w:rPr>
      </w:pPr>
    </w:p>
    <w:p w14:paraId="18842A0C" w14:textId="77777777" w:rsidR="00FA4AA8" w:rsidRDefault="0015611F">
      <w:pPr>
        <w:spacing w:before="1"/>
        <w:ind w:left="667"/>
        <w:rPr>
          <w:sz w:val="21"/>
        </w:rPr>
      </w:pPr>
      <w:r>
        <w:rPr>
          <w:sz w:val="21"/>
        </w:rPr>
        <w:t xml:space="preserve">I have fulfilled </w:t>
      </w:r>
      <w:r>
        <w:rPr>
          <w:color w:val="131313"/>
          <w:sz w:val="21"/>
        </w:rPr>
        <w:t xml:space="preserve">my </w:t>
      </w:r>
      <w:r>
        <w:rPr>
          <w:sz w:val="21"/>
        </w:rPr>
        <w:t>other ethical responsibilities in accordance with APES 110.</w:t>
      </w:r>
    </w:p>
    <w:p w14:paraId="214DC0A3" w14:textId="77777777" w:rsidR="00FA4AA8" w:rsidRDefault="00FA4AA8">
      <w:pPr>
        <w:pStyle w:val="BodyText"/>
        <w:rPr>
          <w:sz w:val="20"/>
        </w:rPr>
      </w:pPr>
    </w:p>
    <w:p w14:paraId="3EE4027C" w14:textId="77777777" w:rsidR="00FA4AA8" w:rsidRDefault="00FA4AA8">
      <w:pPr>
        <w:pStyle w:val="BodyText"/>
        <w:rPr>
          <w:sz w:val="20"/>
        </w:rPr>
      </w:pPr>
    </w:p>
    <w:p w14:paraId="4C401DA5" w14:textId="77777777" w:rsidR="00FA4AA8" w:rsidRDefault="00FA4AA8">
      <w:pPr>
        <w:pStyle w:val="BodyText"/>
        <w:rPr>
          <w:sz w:val="20"/>
        </w:rPr>
      </w:pPr>
    </w:p>
    <w:p w14:paraId="52BE3189" w14:textId="77777777" w:rsidR="00FA4AA8" w:rsidRDefault="00FA4AA8">
      <w:pPr>
        <w:pStyle w:val="BodyText"/>
        <w:rPr>
          <w:sz w:val="20"/>
        </w:rPr>
      </w:pPr>
    </w:p>
    <w:p w14:paraId="657F3281" w14:textId="77777777" w:rsidR="00FA4AA8" w:rsidRDefault="00FA4AA8">
      <w:pPr>
        <w:pStyle w:val="BodyText"/>
        <w:rPr>
          <w:sz w:val="20"/>
        </w:rPr>
      </w:pPr>
    </w:p>
    <w:p w14:paraId="5BC1619E" w14:textId="77777777" w:rsidR="00FA4AA8" w:rsidRDefault="00FA4AA8">
      <w:pPr>
        <w:pStyle w:val="BodyText"/>
        <w:rPr>
          <w:sz w:val="20"/>
        </w:rPr>
      </w:pPr>
    </w:p>
    <w:p w14:paraId="24CAD3AD" w14:textId="77777777" w:rsidR="00FA4AA8" w:rsidRDefault="007E2441">
      <w:pPr>
        <w:pStyle w:val="BodyText"/>
        <w:spacing w:before="8"/>
        <w:rPr>
          <w:sz w:val="21"/>
        </w:rPr>
      </w:pPr>
      <w:r>
        <w:rPr>
          <w:noProof/>
          <w:lang w:val="en-AU" w:eastAsia="en-AU"/>
        </w:rPr>
        <mc:AlternateContent>
          <mc:Choice Requires="wps">
            <w:drawing>
              <wp:anchor distT="0" distB="0" distL="0" distR="0" simplePos="0" relativeHeight="487617024" behindDoc="1" locked="0" layoutInCell="1" allowOverlap="1" wp14:anchorId="5BFD6AFF" wp14:editId="23FEA762">
                <wp:simplePos x="0" y="0"/>
                <wp:positionH relativeFrom="page">
                  <wp:posOffset>514985</wp:posOffset>
                </wp:positionH>
                <wp:positionV relativeFrom="paragraph">
                  <wp:posOffset>193040</wp:posOffset>
                </wp:positionV>
                <wp:extent cx="6474460" cy="1270"/>
                <wp:effectExtent l="0" t="0" r="0" b="0"/>
                <wp:wrapTopAndBottom/>
                <wp:docPr id="2202" name="Freeform 19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4460" cy="1270"/>
                        </a:xfrm>
                        <a:custGeom>
                          <a:avLst/>
                          <a:gdLst>
                            <a:gd name="T0" fmla="+- 0 811 811"/>
                            <a:gd name="T1" fmla="*/ T0 w 10196"/>
                            <a:gd name="T2" fmla="+- 0 11007 811"/>
                            <a:gd name="T3" fmla="*/ T2 w 10196"/>
                          </a:gdLst>
                          <a:ahLst/>
                          <a:cxnLst>
                            <a:cxn ang="0">
                              <a:pos x="T1" y="0"/>
                            </a:cxn>
                            <a:cxn ang="0">
                              <a:pos x="T3" y="0"/>
                            </a:cxn>
                          </a:cxnLst>
                          <a:rect l="0" t="0" r="r" b="b"/>
                          <a:pathLst>
                            <a:path w="10196">
                              <a:moveTo>
                                <a:pt x="0" y="0"/>
                              </a:moveTo>
                              <a:lnTo>
                                <a:pt x="10196" y="0"/>
                              </a:lnTo>
                            </a:path>
                          </a:pathLst>
                        </a:custGeom>
                        <a:noFill/>
                        <a:ln w="18290">
                          <a:solidFill>
                            <a:srgbClr val="2121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601DB" id="Freeform 1968" o:spid="_x0000_s1026" style="position:absolute;margin-left:40.55pt;margin-top:15.2pt;width:509.8pt;height:.1pt;z-index:-15699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19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" path="m,l10196,e" filled="f" strokecolor="#212121" strokeweight=".50806mm">
                <v:path arrowok="t" o:connecttype="custom" o:connectlocs="0,0;6474460,0" o:connectangles="0,0"/>
                <w10:wrap type="topAndBottom" anchorx="page"/>
              </v:shape>
            </w:pict>
          </mc:Fallback>
        </mc:AlternateContent>
      </w:r>
    </w:p>
    <w:p w14:paraId="14274F32" w14:textId="77777777" w:rsidR="00FA4AA8" w:rsidRDefault="0015611F">
      <w:pPr>
        <w:spacing w:before="132"/>
        <w:ind w:left="145" w:right="155"/>
        <w:jc w:val="center"/>
        <w:rPr>
          <w:sz w:val="14"/>
        </w:rPr>
      </w:pPr>
      <w:r>
        <w:rPr>
          <w:sz w:val="14"/>
        </w:rPr>
        <w:t xml:space="preserve">Level 15, 1 Margaret Street, Sydney NSW 2000 </w:t>
      </w:r>
      <w:r>
        <w:rPr>
          <w:color w:val="2B2B2B"/>
          <w:sz w:val="14"/>
        </w:rPr>
        <w:t xml:space="preserve">I </w:t>
      </w:r>
      <w:r>
        <w:rPr>
          <w:sz w:val="14"/>
        </w:rPr>
        <w:t xml:space="preserve">GPO Box 12, Sydney NSW 2001 </w:t>
      </w:r>
      <w:r>
        <w:rPr>
          <w:color w:val="1F1F1F"/>
          <w:sz w:val="14"/>
        </w:rPr>
        <w:t xml:space="preserve">I </w:t>
      </w:r>
      <w:r>
        <w:rPr>
          <w:sz w:val="14"/>
        </w:rPr>
        <w:t xml:space="preserve">t 02 9275 7101 </w:t>
      </w:r>
      <w:r>
        <w:rPr>
          <w:color w:val="545454"/>
          <w:sz w:val="14"/>
        </w:rPr>
        <w:t xml:space="preserve">I </w:t>
      </w:r>
      <w:r>
        <w:rPr>
          <w:sz w:val="14"/>
        </w:rPr>
        <w:t xml:space="preserve">f 02 9275 7179 </w:t>
      </w:r>
      <w:r>
        <w:rPr>
          <w:color w:val="606060"/>
          <w:sz w:val="14"/>
        </w:rPr>
        <w:t xml:space="preserve">I </w:t>
      </w:r>
      <w:r>
        <w:rPr>
          <w:sz w:val="14"/>
        </w:rPr>
        <w:t xml:space="preserve">e mai16audit.nsw.Nov.au </w:t>
      </w:r>
      <w:r>
        <w:rPr>
          <w:color w:val="3B3B3B"/>
          <w:sz w:val="14"/>
        </w:rPr>
        <w:t xml:space="preserve">I </w:t>
      </w:r>
      <w:r>
        <w:rPr>
          <w:sz w:val="14"/>
        </w:rPr>
        <w:t>audit.nsw.gov.au</w:t>
      </w:r>
    </w:p>
    <w:p w14:paraId="4315DF3F" w14:textId="77777777" w:rsidR="00FA4AA8" w:rsidRDefault="00FA4AA8">
      <w:pPr>
        <w:jc w:val="center"/>
        <w:rPr>
          <w:sz w:val="14"/>
        </w:rPr>
        <w:sectPr w:rsidR="00FA4AA8">
          <w:headerReference w:type="default" r:id="rId52"/>
          <w:footerReference w:type="default" r:id="rId53"/>
          <w:pgSz w:w="11900" w:h="16840"/>
          <w:pgMar w:top="520" w:right="780" w:bottom="720" w:left="700" w:header="0" w:footer="523" w:gutter="0"/>
          <w:pgNumType w:start="84"/>
          <w:cols w:space="720"/>
        </w:sectPr>
      </w:pPr>
    </w:p>
    <w:p w14:paraId="39224290" w14:textId="77777777" w:rsidR="00FA4AA8" w:rsidRDefault="0015611F">
      <w:pPr>
        <w:pStyle w:val="Heading9"/>
        <w:spacing w:before="72" w:line="242" w:lineRule="auto"/>
        <w:ind w:left="666" w:right="1672" w:hanging="1"/>
      </w:pPr>
      <w:r>
        <w:rPr>
          <w:w w:val="95"/>
        </w:rPr>
        <w:t xml:space="preserve">Parliament promotes independence by ensuring the Auditor-General and the Audit Office of </w:t>
      </w:r>
      <w:r>
        <w:t>New South Wales are not compromised in their roles by:</w:t>
      </w:r>
    </w:p>
    <w:p w14:paraId="72605D82" w14:textId="77777777" w:rsidR="00FA4AA8" w:rsidRDefault="0015611F">
      <w:pPr>
        <w:pStyle w:val="ListParagraph"/>
        <w:numPr>
          <w:ilvl w:val="1"/>
          <w:numId w:val="71"/>
        </w:numPr>
        <w:tabs>
          <w:tab w:val="left" w:pos="1225"/>
          <w:tab w:val="left" w:pos="1226"/>
        </w:tabs>
        <w:spacing w:before="166"/>
        <w:ind w:left="1230" w:right="2056" w:hanging="569"/>
        <w:rPr>
          <w:sz w:val="21"/>
        </w:rPr>
      </w:pPr>
      <w:r>
        <w:rPr>
          <w:w w:val="95"/>
          <w:sz w:val="21"/>
        </w:rPr>
        <w:t>providing that</w:t>
      </w:r>
      <w:r>
        <w:rPr>
          <w:spacing w:val="-10"/>
          <w:w w:val="95"/>
          <w:sz w:val="21"/>
        </w:rPr>
        <w:t xml:space="preserve"> </w:t>
      </w:r>
      <w:r>
        <w:rPr>
          <w:color w:val="0C0C0C"/>
          <w:w w:val="95"/>
          <w:sz w:val="21"/>
        </w:rPr>
        <w:t>only</w:t>
      </w:r>
      <w:r>
        <w:rPr>
          <w:color w:val="0C0C0C"/>
          <w:spacing w:val="-3"/>
          <w:w w:val="95"/>
          <w:sz w:val="21"/>
        </w:rPr>
        <w:t xml:space="preserve"> </w:t>
      </w:r>
      <w:r>
        <w:rPr>
          <w:w w:val="95"/>
          <w:sz w:val="21"/>
        </w:rPr>
        <w:t>Parliament, and</w:t>
      </w:r>
      <w:r>
        <w:rPr>
          <w:spacing w:val="-10"/>
          <w:w w:val="95"/>
          <w:sz w:val="21"/>
        </w:rPr>
        <w:t xml:space="preserve"> </w:t>
      </w:r>
      <w:r>
        <w:rPr>
          <w:w w:val="95"/>
          <w:sz w:val="21"/>
        </w:rPr>
        <w:t>not</w:t>
      </w:r>
      <w:r>
        <w:rPr>
          <w:spacing w:val="-15"/>
          <w:w w:val="95"/>
          <w:sz w:val="21"/>
        </w:rPr>
        <w:t xml:space="preserve"> </w:t>
      </w:r>
      <w:r>
        <w:rPr>
          <w:w w:val="95"/>
          <w:sz w:val="21"/>
        </w:rPr>
        <w:t>the</w:t>
      </w:r>
      <w:r>
        <w:rPr>
          <w:spacing w:val="-15"/>
          <w:w w:val="95"/>
          <w:sz w:val="21"/>
        </w:rPr>
        <w:t xml:space="preserve"> </w:t>
      </w:r>
      <w:r>
        <w:rPr>
          <w:w w:val="95"/>
          <w:sz w:val="21"/>
        </w:rPr>
        <w:t>executive</w:t>
      </w:r>
      <w:r>
        <w:rPr>
          <w:spacing w:val="-1"/>
          <w:w w:val="95"/>
          <w:sz w:val="21"/>
        </w:rPr>
        <w:t xml:space="preserve"> </w:t>
      </w:r>
      <w:r>
        <w:rPr>
          <w:w w:val="95"/>
          <w:sz w:val="21"/>
        </w:rPr>
        <w:t>government,</w:t>
      </w:r>
      <w:r>
        <w:rPr>
          <w:spacing w:val="-2"/>
          <w:w w:val="95"/>
          <w:sz w:val="21"/>
        </w:rPr>
        <w:t xml:space="preserve"> </w:t>
      </w:r>
      <w:r>
        <w:rPr>
          <w:w w:val="95"/>
          <w:sz w:val="21"/>
        </w:rPr>
        <w:t>can</w:t>
      </w:r>
      <w:r>
        <w:rPr>
          <w:spacing w:val="-9"/>
          <w:w w:val="95"/>
          <w:sz w:val="21"/>
        </w:rPr>
        <w:t xml:space="preserve"> </w:t>
      </w:r>
      <w:r>
        <w:rPr>
          <w:w w:val="95"/>
          <w:sz w:val="21"/>
        </w:rPr>
        <w:t>remove</w:t>
      </w:r>
      <w:r>
        <w:rPr>
          <w:spacing w:val="-11"/>
          <w:w w:val="95"/>
          <w:sz w:val="21"/>
        </w:rPr>
        <w:t xml:space="preserve"> </w:t>
      </w:r>
      <w:r>
        <w:rPr>
          <w:w w:val="95"/>
          <w:sz w:val="21"/>
        </w:rPr>
        <w:t xml:space="preserve">an </w:t>
      </w:r>
      <w:r>
        <w:rPr>
          <w:sz w:val="21"/>
        </w:rPr>
        <w:t>Auditor-General</w:t>
      </w:r>
    </w:p>
    <w:p w14:paraId="75F04433" w14:textId="77777777" w:rsidR="00FA4AA8" w:rsidRDefault="0015611F">
      <w:pPr>
        <w:pStyle w:val="ListParagraph"/>
        <w:numPr>
          <w:ilvl w:val="1"/>
          <w:numId w:val="71"/>
        </w:numPr>
        <w:tabs>
          <w:tab w:val="left" w:pos="1225"/>
          <w:tab w:val="left" w:pos="1226"/>
        </w:tabs>
        <w:spacing w:before="59"/>
        <w:ind w:left="1225" w:hanging="565"/>
        <w:rPr>
          <w:sz w:val="21"/>
        </w:rPr>
      </w:pPr>
      <w:r>
        <w:rPr>
          <w:sz w:val="21"/>
        </w:rPr>
        <w:t>mandating the Auditor-General as auditor of public sector</w:t>
      </w:r>
      <w:r>
        <w:rPr>
          <w:spacing w:val="-16"/>
          <w:sz w:val="21"/>
        </w:rPr>
        <w:t xml:space="preserve"> </w:t>
      </w:r>
      <w:r>
        <w:rPr>
          <w:sz w:val="21"/>
        </w:rPr>
        <w:t>agencies</w:t>
      </w:r>
    </w:p>
    <w:p w14:paraId="1D756206" w14:textId="77777777" w:rsidR="00FA4AA8" w:rsidRDefault="0015611F">
      <w:pPr>
        <w:pStyle w:val="ListParagraph"/>
        <w:numPr>
          <w:ilvl w:val="1"/>
          <w:numId w:val="71"/>
        </w:numPr>
        <w:tabs>
          <w:tab w:val="left" w:pos="1225"/>
          <w:tab w:val="left" w:pos="1226"/>
        </w:tabs>
        <w:spacing w:before="56"/>
        <w:ind w:left="1225" w:hanging="565"/>
        <w:rPr>
          <w:sz w:val="21"/>
        </w:rPr>
      </w:pPr>
      <w:r>
        <w:rPr>
          <w:sz w:val="21"/>
        </w:rPr>
        <w:t>precluding the Auditor-General from providing non-audit</w:t>
      </w:r>
      <w:r>
        <w:rPr>
          <w:spacing w:val="13"/>
          <w:sz w:val="21"/>
        </w:rPr>
        <w:t xml:space="preserve"> </w:t>
      </w:r>
      <w:r>
        <w:rPr>
          <w:sz w:val="21"/>
        </w:rPr>
        <w:t>services.</w:t>
      </w:r>
    </w:p>
    <w:p w14:paraId="3B3E3FA5" w14:textId="77777777" w:rsidR="00FA4AA8" w:rsidRDefault="0015611F">
      <w:pPr>
        <w:spacing w:before="196"/>
        <w:ind w:left="660" w:right="837" w:hanging="3"/>
        <w:rPr>
          <w:sz w:val="21"/>
        </w:rPr>
      </w:pPr>
      <w:r>
        <w:rPr>
          <w:color w:val="0F0F0F"/>
          <w:sz w:val="21"/>
        </w:rPr>
        <w:t>I</w:t>
      </w:r>
      <w:r>
        <w:rPr>
          <w:color w:val="0F0F0F"/>
          <w:spacing w:val="-34"/>
          <w:sz w:val="21"/>
        </w:rPr>
        <w:t xml:space="preserve"> </w:t>
      </w:r>
      <w:r>
        <w:rPr>
          <w:sz w:val="21"/>
        </w:rPr>
        <w:t>believe</w:t>
      </w:r>
      <w:r>
        <w:rPr>
          <w:spacing w:val="-25"/>
          <w:sz w:val="21"/>
        </w:rPr>
        <w:t xml:space="preserve"> </w:t>
      </w:r>
      <w:r>
        <w:rPr>
          <w:sz w:val="21"/>
        </w:rPr>
        <w:t>the</w:t>
      </w:r>
      <w:r>
        <w:rPr>
          <w:spacing w:val="-29"/>
          <w:sz w:val="21"/>
        </w:rPr>
        <w:t xml:space="preserve"> </w:t>
      </w:r>
      <w:r>
        <w:rPr>
          <w:sz w:val="21"/>
        </w:rPr>
        <w:t>audit</w:t>
      </w:r>
      <w:r>
        <w:rPr>
          <w:spacing w:val="-32"/>
          <w:sz w:val="21"/>
        </w:rPr>
        <w:t xml:space="preserve"> </w:t>
      </w:r>
      <w:r>
        <w:rPr>
          <w:sz w:val="21"/>
        </w:rPr>
        <w:t>evidence</w:t>
      </w:r>
      <w:r>
        <w:rPr>
          <w:spacing w:val="-32"/>
          <w:sz w:val="21"/>
        </w:rPr>
        <w:t xml:space="preserve"> </w:t>
      </w:r>
      <w:r>
        <w:rPr>
          <w:sz w:val="21"/>
        </w:rPr>
        <w:t>I</w:t>
      </w:r>
      <w:r>
        <w:rPr>
          <w:spacing w:val="-34"/>
          <w:sz w:val="21"/>
        </w:rPr>
        <w:t xml:space="preserve"> </w:t>
      </w:r>
      <w:r>
        <w:rPr>
          <w:sz w:val="21"/>
        </w:rPr>
        <w:t>have</w:t>
      </w:r>
      <w:r>
        <w:rPr>
          <w:spacing w:val="-35"/>
          <w:sz w:val="21"/>
        </w:rPr>
        <w:t xml:space="preserve"> </w:t>
      </w:r>
      <w:r>
        <w:rPr>
          <w:sz w:val="21"/>
        </w:rPr>
        <w:t>obtained</w:t>
      </w:r>
      <w:r>
        <w:rPr>
          <w:spacing w:val="-28"/>
          <w:sz w:val="21"/>
        </w:rPr>
        <w:t xml:space="preserve"> </w:t>
      </w:r>
      <w:r>
        <w:rPr>
          <w:color w:val="161616"/>
          <w:sz w:val="21"/>
        </w:rPr>
        <w:t>is</w:t>
      </w:r>
      <w:r>
        <w:rPr>
          <w:color w:val="161616"/>
          <w:spacing w:val="-34"/>
          <w:sz w:val="21"/>
        </w:rPr>
        <w:t xml:space="preserve"> </w:t>
      </w:r>
      <w:r>
        <w:rPr>
          <w:sz w:val="21"/>
        </w:rPr>
        <w:t>sufficient</w:t>
      </w:r>
      <w:r>
        <w:rPr>
          <w:spacing w:val="-31"/>
          <w:sz w:val="21"/>
        </w:rPr>
        <w:t xml:space="preserve"> </w:t>
      </w:r>
      <w:r>
        <w:rPr>
          <w:sz w:val="21"/>
        </w:rPr>
        <w:t>and</w:t>
      </w:r>
      <w:r>
        <w:rPr>
          <w:spacing w:val="-29"/>
          <w:sz w:val="21"/>
        </w:rPr>
        <w:t xml:space="preserve"> </w:t>
      </w:r>
      <w:r>
        <w:rPr>
          <w:sz w:val="21"/>
        </w:rPr>
        <w:t>appropriate</w:t>
      </w:r>
      <w:r>
        <w:rPr>
          <w:spacing w:val="-25"/>
          <w:sz w:val="21"/>
        </w:rPr>
        <w:t xml:space="preserve"> </w:t>
      </w:r>
      <w:r>
        <w:rPr>
          <w:color w:val="161616"/>
          <w:sz w:val="21"/>
        </w:rPr>
        <w:t>to</w:t>
      </w:r>
      <w:r>
        <w:rPr>
          <w:color w:val="161616"/>
          <w:spacing w:val="-35"/>
          <w:sz w:val="21"/>
        </w:rPr>
        <w:t xml:space="preserve"> </w:t>
      </w:r>
      <w:r>
        <w:rPr>
          <w:sz w:val="21"/>
        </w:rPr>
        <w:t>provide</w:t>
      </w:r>
      <w:r>
        <w:rPr>
          <w:spacing w:val="-27"/>
          <w:sz w:val="21"/>
        </w:rPr>
        <w:t xml:space="preserve"> </w:t>
      </w:r>
      <w:r>
        <w:rPr>
          <w:color w:val="0C0C0C"/>
          <w:sz w:val="21"/>
        </w:rPr>
        <w:t>a</w:t>
      </w:r>
      <w:r>
        <w:rPr>
          <w:color w:val="0C0C0C"/>
          <w:spacing w:val="-31"/>
          <w:sz w:val="21"/>
        </w:rPr>
        <w:t xml:space="preserve"> </w:t>
      </w:r>
      <w:r>
        <w:rPr>
          <w:sz w:val="21"/>
        </w:rPr>
        <w:t>basis</w:t>
      </w:r>
      <w:r>
        <w:rPr>
          <w:spacing w:val="-26"/>
          <w:sz w:val="21"/>
        </w:rPr>
        <w:t xml:space="preserve"> </w:t>
      </w:r>
      <w:r>
        <w:rPr>
          <w:sz w:val="21"/>
        </w:rPr>
        <w:t>for</w:t>
      </w:r>
      <w:r>
        <w:rPr>
          <w:spacing w:val="-35"/>
          <w:sz w:val="21"/>
        </w:rPr>
        <w:t xml:space="preserve"> </w:t>
      </w:r>
      <w:r>
        <w:rPr>
          <w:sz w:val="21"/>
        </w:rPr>
        <w:t>my audit</w:t>
      </w:r>
      <w:r>
        <w:rPr>
          <w:spacing w:val="7"/>
          <w:sz w:val="21"/>
        </w:rPr>
        <w:t xml:space="preserve"> </w:t>
      </w:r>
      <w:r>
        <w:rPr>
          <w:sz w:val="21"/>
        </w:rPr>
        <w:t>opinion.</w:t>
      </w:r>
    </w:p>
    <w:p w14:paraId="5E1C7102" w14:textId="77777777" w:rsidR="00FA4AA8" w:rsidRDefault="0015611F">
      <w:pPr>
        <w:spacing w:before="170"/>
        <w:ind w:left="657"/>
        <w:rPr>
          <w:b/>
          <w:sz w:val="24"/>
        </w:rPr>
      </w:pPr>
      <w:r>
        <w:rPr>
          <w:b/>
          <w:sz w:val="24"/>
        </w:rPr>
        <w:t>Other Information</w:t>
      </w:r>
    </w:p>
    <w:p w14:paraId="0428524A" w14:textId="77777777" w:rsidR="00FA4AA8" w:rsidRDefault="0015611F">
      <w:pPr>
        <w:spacing w:before="112"/>
        <w:ind w:left="655" w:right="837" w:firstLine="2"/>
        <w:rPr>
          <w:sz w:val="21"/>
        </w:rPr>
      </w:pPr>
      <w:r>
        <w:rPr>
          <w:sz w:val="21"/>
        </w:rPr>
        <w:t>Other</w:t>
      </w:r>
      <w:r>
        <w:rPr>
          <w:spacing w:val="-31"/>
          <w:sz w:val="21"/>
        </w:rPr>
        <w:t xml:space="preserve"> </w:t>
      </w:r>
      <w:r>
        <w:rPr>
          <w:sz w:val="21"/>
        </w:rPr>
        <w:t>information</w:t>
      </w:r>
      <w:r>
        <w:rPr>
          <w:spacing w:val="-25"/>
          <w:sz w:val="21"/>
        </w:rPr>
        <w:t xml:space="preserve"> </w:t>
      </w:r>
      <w:r>
        <w:rPr>
          <w:sz w:val="21"/>
        </w:rPr>
        <w:t>comprises</w:t>
      </w:r>
      <w:r>
        <w:rPr>
          <w:spacing w:val="-21"/>
          <w:sz w:val="21"/>
        </w:rPr>
        <w:t xml:space="preserve"> </w:t>
      </w:r>
      <w:r>
        <w:rPr>
          <w:sz w:val="21"/>
        </w:rPr>
        <w:t>the</w:t>
      </w:r>
      <w:r>
        <w:rPr>
          <w:spacing w:val="-33"/>
          <w:sz w:val="21"/>
        </w:rPr>
        <w:t xml:space="preserve"> </w:t>
      </w:r>
      <w:r>
        <w:rPr>
          <w:sz w:val="21"/>
        </w:rPr>
        <w:t>information</w:t>
      </w:r>
      <w:r>
        <w:rPr>
          <w:spacing w:val="-23"/>
          <w:sz w:val="21"/>
        </w:rPr>
        <w:t xml:space="preserve"> </w:t>
      </w:r>
      <w:r>
        <w:rPr>
          <w:sz w:val="21"/>
        </w:rPr>
        <w:t>included</w:t>
      </w:r>
      <w:r>
        <w:rPr>
          <w:spacing w:val="-27"/>
          <w:sz w:val="21"/>
        </w:rPr>
        <w:t xml:space="preserve"> </w:t>
      </w:r>
      <w:r>
        <w:rPr>
          <w:sz w:val="21"/>
        </w:rPr>
        <w:t>in</w:t>
      </w:r>
      <w:r>
        <w:rPr>
          <w:spacing w:val="-26"/>
          <w:sz w:val="21"/>
        </w:rPr>
        <w:t xml:space="preserve"> </w:t>
      </w:r>
      <w:r>
        <w:rPr>
          <w:sz w:val="21"/>
        </w:rPr>
        <w:t>the</w:t>
      </w:r>
      <w:r>
        <w:rPr>
          <w:spacing w:val="-29"/>
          <w:sz w:val="21"/>
        </w:rPr>
        <w:t xml:space="preserve"> </w:t>
      </w:r>
      <w:r>
        <w:rPr>
          <w:sz w:val="21"/>
        </w:rPr>
        <w:t>University's</w:t>
      </w:r>
      <w:r>
        <w:rPr>
          <w:spacing w:val="-17"/>
          <w:sz w:val="21"/>
        </w:rPr>
        <w:t xml:space="preserve"> </w:t>
      </w:r>
      <w:r>
        <w:rPr>
          <w:sz w:val="21"/>
        </w:rPr>
        <w:t>annual</w:t>
      </w:r>
      <w:r>
        <w:rPr>
          <w:spacing w:val="-28"/>
          <w:sz w:val="21"/>
        </w:rPr>
        <w:t xml:space="preserve"> </w:t>
      </w:r>
      <w:r>
        <w:rPr>
          <w:color w:val="0E0E0E"/>
          <w:sz w:val="21"/>
        </w:rPr>
        <w:t>report</w:t>
      </w:r>
      <w:r>
        <w:rPr>
          <w:color w:val="0E0E0E"/>
          <w:spacing w:val="-25"/>
          <w:sz w:val="21"/>
        </w:rPr>
        <w:t xml:space="preserve"> </w:t>
      </w:r>
      <w:r>
        <w:rPr>
          <w:sz w:val="21"/>
        </w:rPr>
        <w:t>for</w:t>
      </w:r>
      <w:r>
        <w:rPr>
          <w:spacing w:val="-27"/>
          <w:sz w:val="21"/>
        </w:rPr>
        <w:t xml:space="preserve"> </w:t>
      </w:r>
      <w:r>
        <w:rPr>
          <w:color w:val="181818"/>
          <w:sz w:val="21"/>
        </w:rPr>
        <w:t>the</w:t>
      </w:r>
      <w:r>
        <w:rPr>
          <w:color w:val="181818"/>
          <w:spacing w:val="-28"/>
          <w:sz w:val="21"/>
        </w:rPr>
        <w:t xml:space="preserve"> </w:t>
      </w:r>
      <w:r>
        <w:rPr>
          <w:sz w:val="21"/>
        </w:rPr>
        <w:t>year ended</w:t>
      </w:r>
      <w:r>
        <w:rPr>
          <w:spacing w:val="-35"/>
          <w:sz w:val="21"/>
        </w:rPr>
        <w:t xml:space="preserve"> </w:t>
      </w:r>
      <w:r>
        <w:rPr>
          <w:sz w:val="21"/>
        </w:rPr>
        <w:t>31</w:t>
      </w:r>
      <w:r>
        <w:rPr>
          <w:spacing w:val="-39"/>
          <w:sz w:val="21"/>
        </w:rPr>
        <w:t xml:space="preserve"> </w:t>
      </w:r>
      <w:r>
        <w:rPr>
          <w:sz w:val="21"/>
        </w:rPr>
        <w:t>December</w:t>
      </w:r>
      <w:r>
        <w:rPr>
          <w:spacing w:val="-30"/>
          <w:sz w:val="21"/>
        </w:rPr>
        <w:t xml:space="preserve"> </w:t>
      </w:r>
      <w:r>
        <w:rPr>
          <w:sz w:val="21"/>
        </w:rPr>
        <w:t>2018,</w:t>
      </w:r>
      <w:r>
        <w:rPr>
          <w:spacing w:val="-33"/>
          <w:sz w:val="21"/>
        </w:rPr>
        <w:t xml:space="preserve"> </w:t>
      </w:r>
      <w:r>
        <w:rPr>
          <w:sz w:val="21"/>
        </w:rPr>
        <w:t>other</w:t>
      </w:r>
      <w:r>
        <w:rPr>
          <w:spacing w:val="-35"/>
          <w:sz w:val="21"/>
        </w:rPr>
        <w:t xml:space="preserve"> </w:t>
      </w:r>
      <w:r>
        <w:rPr>
          <w:sz w:val="21"/>
        </w:rPr>
        <w:t>than</w:t>
      </w:r>
      <w:r>
        <w:rPr>
          <w:spacing w:val="-34"/>
          <w:sz w:val="21"/>
        </w:rPr>
        <w:t xml:space="preserve"> </w:t>
      </w:r>
      <w:r>
        <w:rPr>
          <w:sz w:val="21"/>
        </w:rPr>
        <w:t>the</w:t>
      </w:r>
      <w:r>
        <w:rPr>
          <w:spacing w:val="-36"/>
          <w:sz w:val="21"/>
        </w:rPr>
        <w:t xml:space="preserve"> </w:t>
      </w:r>
      <w:r>
        <w:rPr>
          <w:sz w:val="21"/>
        </w:rPr>
        <w:t>financial</w:t>
      </w:r>
      <w:r>
        <w:rPr>
          <w:spacing w:val="-34"/>
          <w:sz w:val="21"/>
        </w:rPr>
        <w:t xml:space="preserve"> </w:t>
      </w:r>
      <w:r>
        <w:rPr>
          <w:sz w:val="21"/>
        </w:rPr>
        <w:t>statements</w:t>
      </w:r>
      <w:r>
        <w:rPr>
          <w:spacing w:val="-30"/>
          <w:sz w:val="21"/>
        </w:rPr>
        <w:t xml:space="preserve"> </w:t>
      </w:r>
      <w:r>
        <w:rPr>
          <w:sz w:val="21"/>
        </w:rPr>
        <w:t>and</w:t>
      </w:r>
      <w:r>
        <w:rPr>
          <w:spacing w:val="-39"/>
          <w:sz w:val="21"/>
        </w:rPr>
        <w:t xml:space="preserve"> </w:t>
      </w:r>
      <w:r>
        <w:rPr>
          <w:sz w:val="21"/>
        </w:rPr>
        <w:t>my</w:t>
      </w:r>
      <w:r>
        <w:rPr>
          <w:spacing w:val="-36"/>
          <w:sz w:val="21"/>
        </w:rPr>
        <w:t xml:space="preserve"> </w:t>
      </w:r>
      <w:r>
        <w:rPr>
          <w:sz w:val="21"/>
        </w:rPr>
        <w:t>Independent</w:t>
      </w:r>
      <w:r>
        <w:rPr>
          <w:spacing w:val="-27"/>
          <w:sz w:val="21"/>
        </w:rPr>
        <w:t xml:space="preserve"> </w:t>
      </w:r>
      <w:r>
        <w:rPr>
          <w:sz w:val="21"/>
        </w:rPr>
        <w:t>Auditor’s</w:t>
      </w:r>
      <w:r>
        <w:rPr>
          <w:spacing w:val="-35"/>
          <w:sz w:val="21"/>
        </w:rPr>
        <w:t xml:space="preserve"> </w:t>
      </w:r>
      <w:r>
        <w:rPr>
          <w:sz w:val="21"/>
        </w:rPr>
        <w:t>Report thereon.</w:t>
      </w:r>
      <w:r>
        <w:rPr>
          <w:spacing w:val="-32"/>
          <w:sz w:val="21"/>
        </w:rPr>
        <w:t xml:space="preserve"> </w:t>
      </w:r>
      <w:r>
        <w:rPr>
          <w:sz w:val="21"/>
        </w:rPr>
        <w:t>The</w:t>
      </w:r>
      <w:r>
        <w:rPr>
          <w:spacing w:val="-35"/>
          <w:sz w:val="21"/>
        </w:rPr>
        <w:t xml:space="preserve"> </w:t>
      </w:r>
      <w:r>
        <w:rPr>
          <w:sz w:val="21"/>
        </w:rPr>
        <w:t>Board</w:t>
      </w:r>
      <w:r>
        <w:rPr>
          <w:spacing w:val="-32"/>
          <w:sz w:val="21"/>
        </w:rPr>
        <w:t xml:space="preserve"> </w:t>
      </w:r>
      <w:r>
        <w:rPr>
          <w:sz w:val="21"/>
        </w:rPr>
        <w:t>of</w:t>
      </w:r>
      <w:r>
        <w:rPr>
          <w:spacing w:val="-37"/>
          <w:sz w:val="21"/>
        </w:rPr>
        <w:t xml:space="preserve"> </w:t>
      </w:r>
      <w:r>
        <w:rPr>
          <w:sz w:val="21"/>
        </w:rPr>
        <w:t>Trustees</w:t>
      </w:r>
      <w:r>
        <w:rPr>
          <w:spacing w:val="-33"/>
          <w:sz w:val="21"/>
        </w:rPr>
        <w:t xml:space="preserve"> </w:t>
      </w:r>
      <w:r>
        <w:rPr>
          <w:sz w:val="21"/>
        </w:rPr>
        <w:t>of</w:t>
      </w:r>
      <w:r>
        <w:rPr>
          <w:spacing w:val="-33"/>
          <w:sz w:val="21"/>
        </w:rPr>
        <w:t xml:space="preserve"> </w:t>
      </w:r>
      <w:r>
        <w:rPr>
          <w:sz w:val="21"/>
        </w:rPr>
        <w:t>the</w:t>
      </w:r>
      <w:r>
        <w:rPr>
          <w:spacing w:val="-33"/>
          <w:sz w:val="21"/>
        </w:rPr>
        <w:t xml:space="preserve"> </w:t>
      </w:r>
      <w:r>
        <w:rPr>
          <w:sz w:val="21"/>
        </w:rPr>
        <w:t>University</w:t>
      </w:r>
      <w:r>
        <w:rPr>
          <w:spacing w:val="-30"/>
          <w:sz w:val="21"/>
        </w:rPr>
        <w:t xml:space="preserve"> </w:t>
      </w:r>
      <w:r>
        <w:rPr>
          <w:sz w:val="21"/>
        </w:rPr>
        <w:t>are</w:t>
      </w:r>
      <w:r>
        <w:rPr>
          <w:spacing w:val="-38"/>
          <w:sz w:val="21"/>
        </w:rPr>
        <w:t xml:space="preserve"> </w:t>
      </w:r>
      <w:r>
        <w:rPr>
          <w:sz w:val="21"/>
        </w:rPr>
        <w:t>responsible</w:t>
      </w:r>
      <w:r>
        <w:rPr>
          <w:spacing w:val="-28"/>
          <w:sz w:val="21"/>
        </w:rPr>
        <w:t xml:space="preserve"> </w:t>
      </w:r>
      <w:r>
        <w:rPr>
          <w:sz w:val="21"/>
        </w:rPr>
        <w:t>for</w:t>
      </w:r>
      <w:r>
        <w:rPr>
          <w:spacing w:val="-35"/>
          <w:sz w:val="21"/>
        </w:rPr>
        <w:t xml:space="preserve"> </w:t>
      </w:r>
      <w:r>
        <w:rPr>
          <w:sz w:val="21"/>
        </w:rPr>
        <w:t>the</w:t>
      </w:r>
      <w:r>
        <w:rPr>
          <w:spacing w:val="-35"/>
          <w:sz w:val="21"/>
        </w:rPr>
        <w:t xml:space="preserve"> </w:t>
      </w:r>
      <w:r>
        <w:rPr>
          <w:sz w:val="21"/>
        </w:rPr>
        <w:t>other</w:t>
      </w:r>
      <w:r>
        <w:rPr>
          <w:spacing w:val="-35"/>
          <w:sz w:val="21"/>
        </w:rPr>
        <w:t xml:space="preserve"> </w:t>
      </w:r>
      <w:r>
        <w:rPr>
          <w:sz w:val="21"/>
        </w:rPr>
        <w:t>Information.</w:t>
      </w:r>
      <w:r>
        <w:rPr>
          <w:spacing w:val="-21"/>
          <w:sz w:val="21"/>
        </w:rPr>
        <w:t xml:space="preserve"> </w:t>
      </w:r>
      <w:r>
        <w:rPr>
          <w:sz w:val="21"/>
        </w:rPr>
        <w:t>At</w:t>
      </w:r>
      <w:r>
        <w:rPr>
          <w:spacing w:val="-37"/>
          <w:sz w:val="21"/>
        </w:rPr>
        <w:t xml:space="preserve"> </w:t>
      </w:r>
      <w:r>
        <w:rPr>
          <w:sz w:val="21"/>
        </w:rPr>
        <w:t>the</w:t>
      </w:r>
      <w:r>
        <w:rPr>
          <w:spacing w:val="-32"/>
          <w:sz w:val="21"/>
        </w:rPr>
        <w:t xml:space="preserve"> </w:t>
      </w:r>
      <w:r>
        <w:rPr>
          <w:sz w:val="21"/>
        </w:rPr>
        <w:t xml:space="preserve">date </w:t>
      </w:r>
      <w:r>
        <w:rPr>
          <w:w w:val="95"/>
          <w:sz w:val="21"/>
        </w:rPr>
        <w:t>of</w:t>
      </w:r>
      <w:r>
        <w:rPr>
          <w:spacing w:val="-16"/>
          <w:w w:val="95"/>
          <w:sz w:val="21"/>
        </w:rPr>
        <w:t xml:space="preserve"> </w:t>
      </w:r>
      <w:r>
        <w:rPr>
          <w:w w:val="95"/>
          <w:sz w:val="21"/>
        </w:rPr>
        <w:t>this</w:t>
      </w:r>
      <w:r>
        <w:rPr>
          <w:spacing w:val="-14"/>
          <w:w w:val="95"/>
          <w:sz w:val="21"/>
        </w:rPr>
        <w:t xml:space="preserve"> </w:t>
      </w:r>
      <w:r>
        <w:rPr>
          <w:w w:val="95"/>
          <w:sz w:val="21"/>
        </w:rPr>
        <w:t>Independent</w:t>
      </w:r>
      <w:r>
        <w:rPr>
          <w:spacing w:val="7"/>
          <w:w w:val="95"/>
          <w:sz w:val="21"/>
        </w:rPr>
        <w:t xml:space="preserve"> </w:t>
      </w:r>
      <w:r>
        <w:rPr>
          <w:w w:val="95"/>
          <w:sz w:val="21"/>
        </w:rPr>
        <w:t>Auditor's</w:t>
      </w:r>
      <w:r>
        <w:rPr>
          <w:spacing w:val="-7"/>
          <w:w w:val="95"/>
          <w:sz w:val="21"/>
        </w:rPr>
        <w:t xml:space="preserve"> </w:t>
      </w:r>
      <w:r>
        <w:rPr>
          <w:w w:val="95"/>
          <w:sz w:val="21"/>
        </w:rPr>
        <w:t>Report,</w:t>
      </w:r>
      <w:r>
        <w:rPr>
          <w:spacing w:val="-5"/>
          <w:w w:val="95"/>
          <w:sz w:val="21"/>
        </w:rPr>
        <w:t xml:space="preserve"> </w:t>
      </w:r>
      <w:r>
        <w:rPr>
          <w:w w:val="95"/>
          <w:sz w:val="21"/>
        </w:rPr>
        <w:t>the</w:t>
      </w:r>
      <w:r>
        <w:rPr>
          <w:spacing w:val="-7"/>
          <w:w w:val="95"/>
          <w:sz w:val="21"/>
        </w:rPr>
        <w:t xml:space="preserve"> </w:t>
      </w:r>
      <w:r>
        <w:rPr>
          <w:w w:val="95"/>
          <w:sz w:val="21"/>
        </w:rPr>
        <w:t>other</w:t>
      </w:r>
      <w:r>
        <w:rPr>
          <w:spacing w:val="-2"/>
          <w:w w:val="95"/>
          <w:sz w:val="21"/>
        </w:rPr>
        <w:t xml:space="preserve"> </w:t>
      </w:r>
      <w:r>
        <w:rPr>
          <w:w w:val="95"/>
          <w:sz w:val="21"/>
        </w:rPr>
        <w:t>information</w:t>
      </w:r>
      <w:r>
        <w:rPr>
          <w:spacing w:val="-1"/>
          <w:w w:val="95"/>
          <w:sz w:val="21"/>
        </w:rPr>
        <w:t xml:space="preserve"> </w:t>
      </w:r>
      <w:r>
        <w:rPr>
          <w:color w:val="2D2D2D"/>
          <w:w w:val="95"/>
          <w:sz w:val="21"/>
        </w:rPr>
        <w:t>I</w:t>
      </w:r>
      <w:r>
        <w:rPr>
          <w:color w:val="2D2D2D"/>
          <w:spacing w:val="-15"/>
          <w:w w:val="95"/>
          <w:sz w:val="21"/>
        </w:rPr>
        <w:t xml:space="preserve"> </w:t>
      </w:r>
      <w:r>
        <w:rPr>
          <w:w w:val="95"/>
          <w:sz w:val="21"/>
        </w:rPr>
        <w:t>have</w:t>
      </w:r>
      <w:r>
        <w:rPr>
          <w:spacing w:val="-8"/>
          <w:w w:val="95"/>
          <w:sz w:val="21"/>
        </w:rPr>
        <w:t xml:space="preserve"> </w:t>
      </w:r>
      <w:r>
        <w:rPr>
          <w:w w:val="95"/>
          <w:sz w:val="21"/>
        </w:rPr>
        <w:t>received</w:t>
      </w:r>
      <w:r>
        <w:rPr>
          <w:spacing w:val="-4"/>
          <w:w w:val="95"/>
          <w:sz w:val="21"/>
        </w:rPr>
        <w:t xml:space="preserve"> </w:t>
      </w:r>
      <w:r>
        <w:rPr>
          <w:w w:val="95"/>
          <w:sz w:val="21"/>
        </w:rPr>
        <w:t>comprise the</w:t>
      </w:r>
      <w:r>
        <w:rPr>
          <w:spacing w:val="-9"/>
          <w:w w:val="95"/>
          <w:sz w:val="21"/>
        </w:rPr>
        <w:t xml:space="preserve"> </w:t>
      </w:r>
      <w:r>
        <w:rPr>
          <w:w w:val="95"/>
          <w:sz w:val="21"/>
        </w:rPr>
        <w:t>Statement</w:t>
      </w:r>
      <w:r>
        <w:rPr>
          <w:spacing w:val="-1"/>
          <w:w w:val="95"/>
          <w:sz w:val="21"/>
        </w:rPr>
        <w:t xml:space="preserve"> </w:t>
      </w:r>
      <w:r>
        <w:rPr>
          <w:w w:val="95"/>
          <w:sz w:val="21"/>
        </w:rPr>
        <w:t xml:space="preserve">by </w:t>
      </w:r>
      <w:r>
        <w:rPr>
          <w:sz w:val="21"/>
        </w:rPr>
        <w:t xml:space="preserve">the Members </w:t>
      </w:r>
      <w:r>
        <w:rPr>
          <w:color w:val="0F0F0F"/>
          <w:sz w:val="21"/>
        </w:rPr>
        <w:t xml:space="preserve">of </w:t>
      </w:r>
      <w:r>
        <w:rPr>
          <w:sz w:val="21"/>
        </w:rPr>
        <w:t>the Board of</w:t>
      </w:r>
      <w:r>
        <w:rPr>
          <w:spacing w:val="-1"/>
          <w:sz w:val="21"/>
        </w:rPr>
        <w:t xml:space="preserve"> </w:t>
      </w:r>
      <w:r>
        <w:rPr>
          <w:sz w:val="21"/>
        </w:rPr>
        <w:t>Trustees.</w:t>
      </w:r>
    </w:p>
    <w:p w14:paraId="19E99E54" w14:textId="77777777" w:rsidR="00FA4AA8" w:rsidRDefault="0015611F">
      <w:pPr>
        <w:spacing w:before="166"/>
        <w:ind w:left="655" w:right="837" w:hanging="8"/>
        <w:rPr>
          <w:sz w:val="21"/>
        </w:rPr>
      </w:pPr>
      <w:r>
        <w:rPr>
          <w:sz w:val="21"/>
        </w:rPr>
        <w:t>My</w:t>
      </w:r>
      <w:r>
        <w:rPr>
          <w:spacing w:val="-32"/>
          <w:sz w:val="21"/>
        </w:rPr>
        <w:t xml:space="preserve"> </w:t>
      </w:r>
      <w:r>
        <w:rPr>
          <w:sz w:val="21"/>
        </w:rPr>
        <w:t>opinion</w:t>
      </w:r>
      <w:r>
        <w:rPr>
          <w:spacing w:val="-29"/>
          <w:sz w:val="21"/>
        </w:rPr>
        <w:t xml:space="preserve"> </w:t>
      </w:r>
      <w:r>
        <w:rPr>
          <w:sz w:val="21"/>
        </w:rPr>
        <w:t>on</w:t>
      </w:r>
      <w:r>
        <w:rPr>
          <w:spacing w:val="-35"/>
          <w:sz w:val="21"/>
        </w:rPr>
        <w:t xml:space="preserve"> </w:t>
      </w:r>
      <w:r>
        <w:rPr>
          <w:sz w:val="21"/>
        </w:rPr>
        <w:t>the</w:t>
      </w:r>
      <w:r>
        <w:rPr>
          <w:spacing w:val="-35"/>
          <w:sz w:val="21"/>
        </w:rPr>
        <w:t xml:space="preserve"> </w:t>
      </w:r>
      <w:r>
        <w:rPr>
          <w:sz w:val="21"/>
        </w:rPr>
        <w:t>financial</w:t>
      </w:r>
      <w:r>
        <w:rPr>
          <w:spacing w:val="-30"/>
          <w:sz w:val="21"/>
        </w:rPr>
        <w:t xml:space="preserve"> </w:t>
      </w:r>
      <w:r>
        <w:rPr>
          <w:sz w:val="21"/>
        </w:rPr>
        <w:t>statements</w:t>
      </w:r>
      <w:r>
        <w:rPr>
          <w:spacing w:val="-32"/>
          <w:sz w:val="21"/>
        </w:rPr>
        <w:t xml:space="preserve"> </w:t>
      </w:r>
      <w:r>
        <w:rPr>
          <w:sz w:val="21"/>
        </w:rPr>
        <w:t>does</w:t>
      </w:r>
      <w:r>
        <w:rPr>
          <w:spacing w:val="-35"/>
          <w:sz w:val="21"/>
        </w:rPr>
        <w:t xml:space="preserve"> </w:t>
      </w:r>
      <w:r>
        <w:rPr>
          <w:sz w:val="21"/>
        </w:rPr>
        <w:t>not</w:t>
      </w:r>
      <w:r>
        <w:rPr>
          <w:spacing w:val="-35"/>
          <w:sz w:val="21"/>
        </w:rPr>
        <w:t xml:space="preserve"> </w:t>
      </w:r>
      <w:r>
        <w:rPr>
          <w:sz w:val="21"/>
        </w:rPr>
        <w:t>cover</w:t>
      </w:r>
      <w:r>
        <w:rPr>
          <w:spacing w:val="-33"/>
          <w:sz w:val="21"/>
        </w:rPr>
        <w:t xml:space="preserve"> </w:t>
      </w:r>
      <w:r>
        <w:rPr>
          <w:sz w:val="21"/>
        </w:rPr>
        <w:t>the</w:t>
      </w:r>
      <w:r>
        <w:rPr>
          <w:spacing w:val="-33"/>
          <w:sz w:val="21"/>
        </w:rPr>
        <w:t xml:space="preserve"> </w:t>
      </w:r>
      <w:r>
        <w:rPr>
          <w:sz w:val="21"/>
        </w:rPr>
        <w:t>other</w:t>
      </w:r>
      <w:r>
        <w:rPr>
          <w:spacing w:val="-34"/>
          <w:sz w:val="21"/>
        </w:rPr>
        <w:t xml:space="preserve"> </w:t>
      </w:r>
      <w:r>
        <w:rPr>
          <w:sz w:val="21"/>
        </w:rPr>
        <w:t>information.</w:t>
      </w:r>
      <w:r>
        <w:rPr>
          <w:spacing w:val="-30"/>
          <w:sz w:val="21"/>
        </w:rPr>
        <w:t xml:space="preserve"> </w:t>
      </w:r>
      <w:r>
        <w:rPr>
          <w:sz w:val="21"/>
        </w:rPr>
        <w:t>Accordingly,</w:t>
      </w:r>
      <w:r>
        <w:rPr>
          <w:spacing w:val="-28"/>
          <w:sz w:val="21"/>
        </w:rPr>
        <w:t xml:space="preserve"> </w:t>
      </w:r>
      <w:r>
        <w:rPr>
          <w:color w:val="0F0F0F"/>
          <w:sz w:val="21"/>
        </w:rPr>
        <w:t>I</w:t>
      </w:r>
      <w:r>
        <w:rPr>
          <w:color w:val="0F0F0F"/>
          <w:spacing w:val="-38"/>
          <w:sz w:val="21"/>
        </w:rPr>
        <w:t xml:space="preserve"> </w:t>
      </w:r>
      <w:r>
        <w:rPr>
          <w:sz w:val="21"/>
        </w:rPr>
        <w:t>do</w:t>
      </w:r>
      <w:r>
        <w:rPr>
          <w:spacing w:val="-36"/>
          <w:sz w:val="21"/>
        </w:rPr>
        <w:t xml:space="preserve"> </w:t>
      </w:r>
      <w:r>
        <w:rPr>
          <w:sz w:val="21"/>
        </w:rPr>
        <w:t>not express any form of assurance conclusion on the other</w:t>
      </w:r>
      <w:r>
        <w:rPr>
          <w:spacing w:val="-9"/>
          <w:sz w:val="21"/>
        </w:rPr>
        <w:t xml:space="preserve"> </w:t>
      </w:r>
      <w:r>
        <w:rPr>
          <w:sz w:val="21"/>
        </w:rPr>
        <w:t>information.</w:t>
      </w:r>
    </w:p>
    <w:p w14:paraId="326BADE5" w14:textId="77777777" w:rsidR="00FA4AA8" w:rsidRDefault="0015611F">
      <w:pPr>
        <w:spacing w:before="170"/>
        <w:ind w:left="649" w:right="837" w:firstLine="3"/>
        <w:rPr>
          <w:sz w:val="21"/>
        </w:rPr>
      </w:pPr>
      <w:r>
        <w:rPr>
          <w:sz w:val="21"/>
        </w:rPr>
        <w:t xml:space="preserve">In connection with my audit of the financial statements, my responsibility </w:t>
      </w:r>
      <w:r>
        <w:rPr>
          <w:color w:val="111111"/>
          <w:sz w:val="21"/>
        </w:rPr>
        <w:t xml:space="preserve">is </w:t>
      </w:r>
      <w:r>
        <w:rPr>
          <w:sz w:val="21"/>
        </w:rPr>
        <w:t xml:space="preserve">to read the other </w:t>
      </w:r>
      <w:r>
        <w:rPr>
          <w:w w:val="95"/>
          <w:sz w:val="21"/>
        </w:rPr>
        <w:t>information</w:t>
      </w:r>
      <w:r>
        <w:rPr>
          <w:spacing w:val="1"/>
          <w:w w:val="95"/>
          <w:sz w:val="21"/>
        </w:rPr>
        <w:t xml:space="preserve"> </w:t>
      </w:r>
      <w:r>
        <w:rPr>
          <w:w w:val="95"/>
          <w:sz w:val="21"/>
        </w:rPr>
        <w:t>and,</w:t>
      </w:r>
      <w:r>
        <w:rPr>
          <w:spacing w:val="-8"/>
          <w:w w:val="95"/>
          <w:sz w:val="21"/>
        </w:rPr>
        <w:t xml:space="preserve"> </w:t>
      </w:r>
      <w:r>
        <w:rPr>
          <w:w w:val="95"/>
          <w:sz w:val="21"/>
        </w:rPr>
        <w:t>in</w:t>
      </w:r>
      <w:r>
        <w:rPr>
          <w:spacing w:val="-10"/>
          <w:w w:val="95"/>
          <w:sz w:val="21"/>
        </w:rPr>
        <w:t xml:space="preserve"> </w:t>
      </w:r>
      <w:r>
        <w:rPr>
          <w:w w:val="95"/>
          <w:sz w:val="21"/>
        </w:rPr>
        <w:t>doing</w:t>
      </w:r>
      <w:r>
        <w:rPr>
          <w:spacing w:val="-4"/>
          <w:w w:val="95"/>
          <w:sz w:val="21"/>
        </w:rPr>
        <w:t xml:space="preserve"> </w:t>
      </w:r>
      <w:r>
        <w:rPr>
          <w:w w:val="95"/>
          <w:sz w:val="21"/>
        </w:rPr>
        <w:t>so,</w:t>
      </w:r>
      <w:r>
        <w:rPr>
          <w:spacing w:val="-13"/>
          <w:w w:val="95"/>
          <w:sz w:val="21"/>
        </w:rPr>
        <w:t xml:space="preserve"> </w:t>
      </w:r>
      <w:r>
        <w:rPr>
          <w:w w:val="95"/>
          <w:sz w:val="21"/>
        </w:rPr>
        <w:t>consider</w:t>
      </w:r>
      <w:r>
        <w:rPr>
          <w:spacing w:val="-1"/>
          <w:w w:val="95"/>
          <w:sz w:val="21"/>
        </w:rPr>
        <w:t xml:space="preserve"> </w:t>
      </w:r>
      <w:r>
        <w:rPr>
          <w:w w:val="95"/>
          <w:sz w:val="21"/>
        </w:rPr>
        <w:t>whether</w:t>
      </w:r>
      <w:r>
        <w:rPr>
          <w:spacing w:val="-3"/>
          <w:w w:val="95"/>
          <w:sz w:val="21"/>
        </w:rPr>
        <w:t xml:space="preserve"> </w:t>
      </w:r>
      <w:r>
        <w:rPr>
          <w:w w:val="95"/>
          <w:sz w:val="21"/>
        </w:rPr>
        <w:t>the</w:t>
      </w:r>
      <w:r>
        <w:rPr>
          <w:spacing w:val="-6"/>
          <w:w w:val="95"/>
          <w:sz w:val="21"/>
        </w:rPr>
        <w:t xml:space="preserve"> </w:t>
      </w:r>
      <w:r>
        <w:rPr>
          <w:w w:val="95"/>
          <w:sz w:val="21"/>
        </w:rPr>
        <w:t>other</w:t>
      </w:r>
      <w:r>
        <w:rPr>
          <w:spacing w:val="-6"/>
          <w:w w:val="95"/>
          <w:sz w:val="21"/>
        </w:rPr>
        <w:t xml:space="preserve"> </w:t>
      </w:r>
      <w:r>
        <w:rPr>
          <w:w w:val="95"/>
          <w:sz w:val="21"/>
        </w:rPr>
        <w:t>information</w:t>
      </w:r>
      <w:r>
        <w:rPr>
          <w:spacing w:val="-4"/>
          <w:w w:val="95"/>
          <w:sz w:val="21"/>
        </w:rPr>
        <w:t xml:space="preserve"> </w:t>
      </w:r>
      <w:r>
        <w:rPr>
          <w:w w:val="95"/>
          <w:sz w:val="21"/>
        </w:rPr>
        <w:t>is</w:t>
      </w:r>
      <w:r>
        <w:rPr>
          <w:spacing w:val="-12"/>
          <w:w w:val="95"/>
          <w:sz w:val="21"/>
        </w:rPr>
        <w:t xml:space="preserve"> </w:t>
      </w:r>
      <w:r>
        <w:rPr>
          <w:w w:val="95"/>
          <w:sz w:val="21"/>
        </w:rPr>
        <w:t>materially</w:t>
      </w:r>
      <w:r>
        <w:rPr>
          <w:spacing w:val="1"/>
          <w:w w:val="95"/>
          <w:sz w:val="21"/>
        </w:rPr>
        <w:t xml:space="preserve"> </w:t>
      </w:r>
      <w:r>
        <w:rPr>
          <w:w w:val="95"/>
          <w:sz w:val="21"/>
        </w:rPr>
        <w:t>inconsistent</w:t>
      </w:r>
      <w:r>
        <w:rPr>
          <w:spacing w:val="2"/>
          <w:w w:val="95"/>
          <w:sz w:val="21"/>
        </w:rPr>
        <w:t xml:space="preserve"> </w:t>
      </w:r>
      <w:r>
        <w:rPr>
          <w:w w:val="95"/>
          <w:sz w:val="21"/>
        </w:rPr>
        <w:t>with</w:t>
      </w:r>
      <w:r>
        <w:rPr>
          <w:spacing w:val="-14"/>
          <w:w w:val="95"/>
          <w:sz w:val="21"/>
        </w:rPr>
        <w:t xml:space="preserve"> </w:t>
      </w:r>
      <w:r>
        <w:rPr>
          <w:w w:val="95"/>
          <w:sz w:val="21"/>
        </w:rPr>
        <w:t xml:space="preserve">the </w:t>
      </w:r>
      <w:r>
        <w:rPr>
          <w:sz w:val="21"/>
        </w:rPr>
        <w:t>financial</w:t>
      </w:r>
      <w:r>
        <w:rPr>
          <w:spacing w:val="-21"/>
          <w:sz w:val="21"/>
        </w:rPr>
        <w:t xml:space="preserve"> </w:t>
      </w:r>
      <w:r>
        <w:rPr>
          <w:sz w:val="21"/>
        </w:rPr>
        <w:t>statements</w:t>
      </w:r>
      <w:r>
        <w:rPr>
          <w:spacing w:val="-17"/>
          <w:sz w:val="21"/>
        </w:rPr>
        <w:t xml:space="preserve"> </w:t>
      </w:r>
      <w:r>
        <w:rPr>
          <w:color w:val="131313"/>
          <w:sz w:val="21"/>
        </w:rPr>
        <w:t>or</w:t>
      </w:r>
      <w:r>
        <w:rPr>
          <w:color w:val="131313"/>
          <w:spacing w:val="-33"/>
          <w:sz w:val="21"/>
        </w:rPr>
        <w:t xml:space="preserve"> </w:t>
      </w:r>
      <w:r>
        <w:rPr>
          <w:sz w:val="21"/>
        </w:rPr>
        <w:t>my</w:t>
      </w:r>
      <w:r>
        <w:rPr>
          <w:spacing w:val="-24"/>
          <w:sz w:val="21"/>
        </w:rPr>
        <w:t xml:space="preserve"> </w:t>
      </w:r>
      <w:r>
        <w:rPr>
          <w:sz w:val="21"/>
        </w:rPr>
        <w:t>knowledge</w:t>
      </w:r>
      <w:r>
        <w:rPr>
          <w:spacing w:val="-16"/>
          <w:sz w:val="21"/>
        </w:rPr>
        <w:t xml:space="preserve"> </w:t>
      </w:r>
      <w:r>
        <w:rPr>
          <w:sz w:val="21"/>
        </w:rPr>
        <w:t>obtained</w:t>
      </w:r>
      <w:r>
        <w:rPr>
          <w:spacing w:val="-24"/>
          <w:sz w:val="21"/>
        </w:rPr>
        <w:t xml:space="preserve"> </w:t>
      </w:r>
      <w:r>
        <w:rPr>
          <w:sz w:val="21"/>
        </w:rPr>
        <w:t>in</w:t>
      </w:r>
      <w:r>
        <w:rPr>
          <w:spacing w:val="-28"/>
          <w:sz w:val="21"/>
        </w:rPr>
        <w:t xml:space="preserve"> </w:t>
      </w:r>
      <w:r>
        <w:rPr>
          <w:sz w:val="21"/>
        </w:rPr>
        <w:t>the</w:t>
      </w:r>
      <w:r>
        <w:rPr>
          <w:spacing w:val="-24"/>
          <w:sz w:val="21"/>
        </w:rPr>
        <w:t xml:space="preserve"> </w:t>
      </w:r>
      <w:r>
        <w:rPr>
          <w:sz w:val="21"/>
        </w:rPr>
        <w:t>audit,</w:t>
      </w:r>
      <w:r>
        <w:rPr>
          <w:spacing w:val="-23"/>
          <w:sz w:val="21"/>
        </w:rPr>
        <w:t xml:space="preserve"> </w:t>
      </w:r>
      <w:r>
        <w:rPr>
          <w:color w:val="0F0F0F"/>
          <w:sz w:val="21"/>
        </w:rPr>
        <w:t>or</w:t>
      </w:r>
      <w:r>
        <w:rPr>
          <w:color w:val="0F0F0F"/>
          <w:spacing w:val="-29"/>
          <w:sz w:val="21"/>
        </w:rPr>
        <w:t xml:space="preserve"> </w:t>
      </w:r>
      <w:r>
        <w:rPr>
          <w:sz w:val="21"/>
        </w:rPr>
        <w:t>otherwise</w:t>
      </w:r>
      <w:r>
        <w:rPr>
          <w:spacing w:val="-20"/>
          <w:sz w:val="21"/>
        </w:rPr>
        <w:t xml:space="preserve"> </w:t>
      </w:r>
      <w:r w:rsidR="00733831">
        <w:rPr>
          <w:sz w:val="21"/>
        </w:rPr>
        <w:t>appears</w:t>
      </w:r>
      <w:r>
        <w:rPr>
          <w:spacing w:val="-21"/>
          <w:sz w:val="21"/>
        </w:rPr>
        <w:t xml:space="preserve"> </w:t>
      </w:r>
      <w:r>
        <w:rPr>
          <w:sz w:val="21"/>
        </w:rPr>
        <w:t>to</w:t>
      </w:r>
      <w:r>
        <w:rPr>
          <w:spacing w:val="-29"/>
          <w:sz w:val="21"/>
        </w:rPr>
        <w:t xml:space="preserve"> </w:t>
      </w:r>
      <w:r>
        <w:rPr>
          <w:sz w:val="21"/>
        </w:rPr>
        <w:t>be</w:t>
      </w:r>
      <w:r>
        <w:rPr>
          <w:spacing w:val="-28"/>
          <w:sz w:val="21"/>
        </w:rPr>
        <w:t xml:space="preserve"> </w:t>
      </w:r>
      <w:r>
        <w:rPr>
          <w:sz w:val="21"/>
        </w:rPr>
        <w:t>materially misstated.</w:t>
      </w:r>
    </w:p>
    <w:p w14:paraId="67FAF890" w14:textId="77777777" w:rsidR="00FA4AA8" w:rsidRDefault="0015611F">
      <w:pPr>
        <w:spacing w:before="172"/>
        <w:ind w:left="644" w:right="837" w:firstLine="8"/>
        <w:rPr>
          <w:sz w:val="21"/>
        </w:rPr>
      </w:pPr>
      <w:r>
        <w:rPr>
          <w:sz w:val="21"/>
        </w:rPr>
        <w:t>If,</w:t>
      </w:r>
      <w:r>
        <w:rPr>
          <w:spacing w:val="-31"/>
          <w:sz w:val="21"/>
        </w:rPr>
        <w:t xml:space="preserve"> </w:t>
      </w:r>
      <w:r>
        <w:rPr>
          <w:sz w:val="21"/>
        </w:rPr>
        <w:t>based</w:t>
      </w:r>
      <w:r>
        <w:rPr>
          <w:spacing w:val="-27"/>
          <w:sz w:val="21"/>
        </w:rPr>
        <w:t xml:space="preserve"> </w:t>
      </w:r>
      <w:r>
        <w:rPr>
          <w:sz w:val="21"/>
        </w:rPr>
        <w:t>on</w:t>
      </w:r>
      <w:r>
        <w:rPr>
          <w:spacing w:val="-30"/>
          <w:sz w:val="21"/>
        </w:rPr>
        <w:t xml:space="preserve"> </w:t>
      </w:r>
      <w:r>
        <w:rPr>
          <w:sz w:val="21"/>
        </w:rPr>
        <w:t>the</w:t>
      </w:r>
      <w:r>
        <w:rPr>
          <w:spacing w:val="-29"/>
          <w:sz w:val="21"/>
        </w:rPr>
        <w:t xml:space="preserve"> </w:t>
      </w:r>
      <w:r>
        <w:rPr>
          <w:sz w:val="21"/>
        </w:rPr>
        <w:t>work</w:t>
      </w:r>
      <w:r>
        <w:rPr>
          <w:spacing w:val="-29"/>
          <w:sz w:val="21"/>
        </w:rPr>
        <w:t xml:space="preserve"> </w:t>
      </w:r>
      <w:r>
        <w:rPr>
          <w:sz w:val="21"/>
        </w:rPr>
        <w:t>I</w:t>
      </w:r>
      <w:r>
        <w:rPr>
          <w:spacing w:val="-33"/>
          <w:sz w:val="21"/>
        </w:rPr>
        <w:t xml:space="preserve"> </w:t>
      </w:r>
      <w:r>
        <w:rPr>
          <w:sz w:val="21"/>
        </w:rPr>
        <w:t>have</w:t>
      </w:r>
      <w:r>
        <w:rPr>
          <w:spacing w:val="-29"/>
          <w:sz w:val="21"/>
        </w:rPr>
        <w:t xml:space="preserve"> </w:t>
      </w:r>
      <w:r>
        <w:rPr>
          <w:sz w:val="21"/>
        </w:rPr>
        <w:t>performed,</w:t>
      </w:r>
      <w:r>
        <w:rPr>
          <w:spacing w:val="-23"/>
          <w:sz w:val="21"/>
        </w:rPr>
        <w:t xml:space="preserve"> </w:t>
      </w:r>
      <w:r>
        <w:rPr>
          <w:sz w:val="21"/>
        </w:rPr>
        <w:t>I</w:t>
      </w:r>
      <w:r>
        <w:rPr>
          <w:spacing w:val="-35"/>
          <w:sz w:val="21"/>
        </w:rPr>
        <w:t xml:space="preserve"> </w:t>
      </w:r>
      <w:r>
        <w:rPr>
          <w:sz w:val="21"/>
        </w:rPr>
        <w:t>conclude</w:t>
      </w:r>
      <w:r>
        <w:rPr>
          <w:spacing w:val="-28"/>
          <w:sz w:val="21"/>
        </w:rPr>
        <w:t xml:space="preserve"> </w:t>
      </w:r>
      <w:r>
        <w:rPr>
          <w:sz w:val="21"/>
        </w:rPr>
        <w:t>there</w:t>
      </w:r>
      <w:r>
        <w:rPr>
          <w:spacing w:val="-30"/>
          <w:sz w:val="21"/>
        </w:rPr>
        <w:t xml:space="preserve"> </w:t>
      </w:r>
      <w:r>
        <w:rPr>
          <w:sz w:val="21"/>
        </w:rPr>
        <w:t>is</w:t>
      </w:r>
      <w:r>
        <w:rPr>
          <w:spacing w:val="-28"/>
          <w:sz w:val="21"/>
        </w:rPr>
        <w:t xml:space="preserve"> </w:t>
      </w:r>
      <w:r>
        <w:rPr>
          <w:color w:val="0E0E0E"/>
          <w:sz w:val="21"/>
        </w:rPr>
        <w:t>a</w:t>
      </w:r>
      <w:r>
        <w:rPr>
          <w:color w:val="0E0E0E"/>
          <w:spacing w:val="-33"/>
          <w:sz w:val="21"/>
        </w:rPr>
        <w:t xml:space="preserve"> </w:t>
      </w:r>
      <w:r>
        <w:rPr>
          <w:color w:val="0F0F0F"/>
          <w:sz w:val="21"/>
        </w:rPr>
        <w:t>material</w:t>
      </w:r>
      <w:r>
        <w:rPr>
          <w:color w:val="0F0F0F"/>
          <w:spacing w:val="-30"/>
          <w:sz w:val="21"/>
        </w:rPr>
        <w:t xml:space="preserve"> </w:t>
      </w:r>
      <w:r>
        <w:rPr>
          <w:sz w:val="21"/>
        </w:rPr>
        <w:t>misstatement</w:t>
      </w:r>
      <w:r>
        <w:rPr>
          <w:spacing w:val="-21"/>
          <w:sz w:val="21"/>
        </w:rPr>
        <w:t xml:space="preserve"> </w:t>
      </w:r>
      <w:r>
        <w:rPr>
          <w:sz w:val="21"/>
        </w:rPr>
        <w:t>of</w:t>
      </w:r>
      <w:r>
        <w:rPr>
          <w:spacing w:val="-29"/>
          <w:sz w:val="21"/>
        </w:rPr>
        <w:t xml:space="preserve"> </w:t>
      </w:r>
      <w:r>
        <w:rPr>
          <w:sz w:val="21"/>
        </w:rPr>
        <w:t>the</w:t>
      </w:r>
      <w:r>
        <w:rPr>
          <w:spacing w:val="-29"/>
          <w:sz w:val="21"/>
        </w:rPr>
        <w:t xml:space="preserve"> </w:t>
      </w:r>
      <w:r>
        <w:rPr>
          <w:color w:val="0E0E0E"/>
          <w:sz w:val="21"/>
        </w:rPr>
        <w:t xml:space="preserve">other </w:t>
      </w:r>
      <w:r>
        <w:rPr>
          <w:sz w:val="21"/>
        </w:rPr>
        <w:t xml:space="preserve">information, </w:t>
      </w:r>
      <w:r>
        <w:rPr>
          <w:color w:val="1A1A1A"/>
          <w:sz w:val="21"/>
        </w:rPr>
        <w:t xml:space="preserve">I </w:t>
      </w:r>
      <w:r>
        <w:rPr>
          <w:sz w:val="21"/>
        </w:rPr>
        <w:t>must report that</w:t>
      </w:r>
      <w:r>
        <w:rPr>
          <w:spacing w:val="20"/>
          <w:sz w:val="21"/>
        </w:rPr>
        <w:t xml:space="preserve"> </w:t>
      </w:r>
      <w:r>
        <w:rPr>
          <w:sz w:val="21"/>
        </w:rPr>
        <w:t>fact.</w:t>
      </w:r>
    </w:p>
    <w:p w14:paraId="221EAC5E" w14:textId="77777777" w:rsidR="00FA4AA8" w:rsidRDefault="0015611F">
      <w:pPr>
        <w:spacing w:before="169"/>
        <w:ind w:left="648"/>
        <w:rPr>
          <w:sz w:val="21"/>
        </w:rPr>
      </w:pPr>
      <w:r>
        <w:rPr>
          <w:sz w:val="21"/>
        </w:rPr>
        <w:t xml:space="preserve">I have nothing to report </w:t>
      </w:r>
      <w:r>
        <w:rPr>
          <w:color w:val="0C0C0C"/>
          <w:sz w:val="21"/>
        </w:rPr>
        <w:t xml:space="preserve">in </w:t>
      </w:r>
      <w:r>
        <w:rPr>
          <w:sz w:val="21"/>
        </w:rPr>
        <w:t>this regard.</w:t>
      </w:r>
    </w:p>
    <w:p w14:paraId="0DC755E3" w14:textId="77777777" w:rsidR="00FA4AA8" w:rsidRDefault="0015611F">
      <w:pPr>
        <w:spacing w:before="172"/>
        <w:ind w:left="650"/>
        <w:rPr>
          <w:b/>
          <w:sz w:val="24"/>
        </w:rPr>
      </w:pPr>
      <w:r>
        <w:rPr>
          <w:b/>
          <w:sz w:val="24"/>
        </w:rPr>
        <w:t>University Board of Trustees’ Responsibilities for the Financial Statements</w:t>
      </w:r>
    </w:p>
    <w:p w14:paraId="3336A0BC" w14:textId="77777777" w:rsidR="00FA4AA8" w:rsidRDefault="0015611F">
      <w:pPr>
        <w:spacing w:before="117"/>
        <w:ind w:left="651" w:right="837" w:firstLine="1"/>
        <w:rPr>
          <w:sz w:val="21"/>
        </w:rPr>
      </w:pPr>
      <w:r>
        <w:rPr>
          <w:sz w:val="21"/>
        </w:rPr>
        <w:t>The Board of Trustees is responsible for the preparation and fair presentation of the financial statements</w:t>
      </w:r>
      <w:r>
        <w:rPr>
          <w:spacing w:val="-31"/>
          <w:sz w:val="21"/>
        </w:rPr>
        <w:t xml:space="preserve"> </w:t>
      </w:r>
      <w:r>
        <w:rPr>
          <w:sz w:val="21"/>
        </w:rPr>
        <w:t>in</w:t>
      </w:r>
      <w:r>
        <w:rPr>
          <w:spacing w:val="-36"/>
          <w:sz w:val="21"/>
        </w:rPr>
        <w:t xml:space="preserve"> </w:t>
      </w:r>
      <w:r>
        <w:rPr>
          <w:sz w:val="21"/>
        </w:rPr>
        <w:t>accordance</w:t>
      </w:r>
      <w:r>
        <w:rPr>
          <w:spacing w:val="-28"/>
          <w:sz w:val="21"/>
        </w:rPr>
        <w:t xml:space="preserve"> </w:t>
      </w:r>
      <w:r>
        <w:rPr>
          <w:sz w:val="21"/>
        </w:rPr>
        <w:t>with</w:t>
      </w:r>
      <w:r>
        <w:rPr>
          <w:spacing w:val="-35"/>
          <w:sz w:val="21"/>
        </w:rPr>
        <w:t xml:space="preserve"> </w:t>
      </w:r>
      <w:r>
        <w:rPr>
          <w:sz w:val="21"/>
        </w:rPr>
        <w:t>Australian</w:t>
      </w:r>
      <w:r>
        <w:rPr>
          <w:spacing w:val="-27"/>
          <w:sz w:val="21"/>
        </w:rPr>
        <w:t xml:space="preserve"> </w:t>
      </w:r>
      <w:r>
        <w:rPr>
          <w:sz w:val="21"/>
        </w:rPr>
        <w:t>Accounting</w:t>
      </w:r>
      <w:r>
        <w:rPr>
          <w:spacing w:val="-32"/>
          <w:sz w:val="21"/>
        </w:rPr>
        <w:t xml:space="preserve"> </w:t>
      </w:r>
      <w:r>
        <w:rPr>
          <w:sz w:val="21"/>
        </w:rPr>
        <w:t>Standards,</w:t>
      </w:r>
      <w:r>
        <w:rPr>
          <w:spacing w:val="-24"/>
          <w:sz w:val="21"/>
        </w:rPr>
        <w:t xml:space="preserve"> </w:t>
      </w:r>
      <w:r>
        <w:rPr>
          <w:sz w:val="21"/>
        </w:rPr>
        <w:t>the</w:t>
      </w:r>
      <w:r>
        <w:rPr>
          <w:spacing w:val="-33"/>
          <w:sz w:val="21"/>
        </w:rPr>
        <w:t xml:space="preserve"> </w:t>
      </w:r>
      <w:r>
        <w:rPr>
          <w:sz w:val="21"/>
        </w:rPr>
        <w:t>PF&amp;A</w:t>
      </w:r>
      <w:r>
        <w:rPr>
          <w:spacing w:val="-29"/>
          <w:sz w:val="21"/>
        </w:rPr>
        <w:t xml:space="preserve"> </w:t>
      </w:r>
      <w:r>
        <w:rPr>
          <w:sz w:val="21"/>
        </w:rPr>
        <w:t>Act,</w:t>
      </w:r>
      <w:r>
        <w:rPr>
          <w:spacing w:val="-35"/>
          <w:sz w:val="21"/>
        </w:rPr>
        <w:t xml:space="preserve"> </w:t>
      </w:r>
      <w:r>
        <w:rPr>
          <w:sz w:val="21"/>
        </w:rPr>
        <w:t>the</w:t>
      </w:r>
      <w:r>
        <w:rPr>
          <w:spacing w:val="-38"/>
          <w:sz w:val="21"/>
        </w:rPr>
        <w:t xml:space="preserve"> </w:t>
      </w:r>
      <w:r>
        <w:rPr>
          <w:sz w:val="21"/>
        </w:rPr>
        <w:t>Guidelines</w:t>
      </w:r>
      <w:r>
        <w:rPr>
          <w:spacing w:val="-32"/>
          <w:sz w:val="21"/>
        </w:rPr>
        <w:t xml:space="preserve"> </w:t>
      </w:r>
      <w:r>
        <w:rPr>
          <w:sz w:val="21"/>
        </w:rPr>
        <w:t>and the</w:t>
      </w:r>
      <w:r>
        <w:rPr>
          <w:spacing w:val="-36"/>
          <w:sz w:val="21"/>
        </w:rPr>
        <w:t xml:space="preserve"> </w:t>
      </w:r>
      <w:r>
        <w:rPr>
          <w:i/>
          <w:sz w:val="21"/>
        </w:rPr>
        <w:t>Australian</w:t>
      </w:r>
      <w:r>
        <w:rPr>
          <w:i/>
          <w:spacing w:val="-35"/>
          <w:sz w:val="21"/>
        </w:rPr>
        <w:t xml:space="preserve"> </w:t>
      </w:r>
      <w:r>
        <w:rPr>
          <w:i/>
          <w:sz w:val="21"/>
        </w:rPr>
        <w:t>Charities</w:t>
      </w:r>
      <w:r>
        <w:rPr>
          <w:i/>
          <w:spacing w:val="-36"/>
          <w:sz w:val="21"/>
        </w:rPr>
        <w:t xml:space="preserve"> </w:t>
      </w:r>
      <w:r>
        <w:rPr>
          <w:i/>
          <w:sz w:val="21"/>
        </w:rPr>
        <w:t>and</w:t>
      </w:r>
      <w:r>
        <w:rPr>
          <w:i/>
          <w:spacing w:val="-37"/>
          <w:sz w:val="21"/>
        </w:rPr>
        <w:t xml:space="preserve"> </w:t>
      </w:r>
      <w:r>
        <w:rPr>
          <w:i/>
          <w:sz w:val="21"/>
        </w:rPr>
        <w:t>Not-for-Profits</w:t>
      </w:r>
      <w:r>
        <w:rPr>
          <w:i/>
          <w:spacing w:val="-39"/>
          <w:sz w:val="21"/>
        </w:rPr>
        <w:t xml:space="preserve"> </w:t>
      </w:r>
      <w:r>
        <w:rPr>
          <w:i/>
          <w:sz w:val="21"/>
        </w:rPr>
        <w:t>Commission</w:t>
      </w:r>
      <w:r>
        <w:rPr>
          <w:i/>
          <w:spacing w:val="-31"/>
          <w:sz w:val="21"/>
        </w:rPr>
        <w:t xml:space="preserve"> </w:t>
      </w:r>
      <w:r>
        <w:rPr>
          <w:i/>
          <w:color w:val="181818"/>
          <w:sz w:val="21"/>
        </w:rPr>
        <w:t>Act</w:t>
      </w:r>
      <w:r>
        <w:rPr>
          <w:i/>
          <w:color w:val="181818"/>
          <w:spacing w:val="-38"/>
          <w:sz w:val="21"/>
        </w:rPr>
        <w:t xml:space="preserve"> </w:t>
      </w:r>
      <w:r>
        <w:rPr>
          <w:i/>
          <w:sz w:val="21"/>
        </w:rPr>
        <w:t>2012,</w:t>
      </w:r>
      <w:r>
        <w:rPr>
          <w:i/>
          <w:spacing w:val="-39"/>
          <w:sz w:val="21"/>
        </w:rPr>
        <w:t xml:space="preserve"> </w:t>
      </w:r>
      <w:r>
        <w:rPr>
          <w:sz w:val="21"/>
        </w:rPr>
        <w:t>and</w:t>
      </w:r>
      <w:r>
        <w:rPr>
          <w:spacing w:val="-40"/>
          <w:sz w:val="21"/>
        </w:rPr>
        <w:t xml:space="preserve"> </w:t>
      </w:r>
      <w:r>
        <w:rPr>
          <w:sz w:val="21"/>
        </w:rPr>
        <w:t>for</w:t>
      </w:r>
      <w:r>
        <w:rPr>
          <w:spacing w:val="-39"/>
          <w:sz w:val="21"/>
        </w:rPr>
        <w:t xml:space="preserve"> </w:t>
      </w:r>
      <w:r>
        <w:rPr>
          <w:sz w:val="21"/>
        </w:rPr>
        <w:t>such</w:t>
      </w:r>
      <w:r>
        <w:rPr>
          <w:spacing w:val="-35"/>
          <w:sz w:val="21"/>
        </w:rPr>
        <w:t xml:space="preserve"> </w:t>
      </w:r>
      <w:r>
        <w:rPr>
          <w:sz w:val="21"/>
        </w:rPr>
        <w:t>internal</w:t>
      </w:r>
      <w:r>
        <w:rPr>
          <w:spacing w:val="-39"/>
          <w:sz w:val="21"/>
        </w:rPr>
        <w:t xml:space="preserve"> </w:t>
      </w:r>
      <w:r>
        <w:rPr>
          <w:sz w:val="21"/>
        </w:rPr>
        <w:t>control</w:t>
      </w:r>
      <w:r>
        <w:rPr>
          <w:spacing w:val="-36"/>
          <w:sz w:val="21"/>
        </w:rPr>
        <w:t xml:space="preserve"> </w:t>
      </w:r>
      <w:r>
        <w:rPr>
          <w:sz w:val="21"/>
        </w:rPr>
        <w:t>as</w:t>
      </w:r>
      <w:r>
        <w:rPr>
          <w:spacing w:val="-38"/>
          <w:sz w:val="21"/>
        </w:rPr>
        <w:t xml:space="preserve"> </w:t>
      </w:r>
      <w:r>
        <w:rPr>
          <w:color w:val="0C0C0C"/>
          <w:sz w:val="21"/>
        </w:rPr>
        <w:t xml:space="preserve">the </w:t>
      </w:r>
      <w:r>
        <w:rPr>
          <w:sz w:val="21"/>
        </w:rPr>
        <w:t>Board of Trustees determine is necessary to enable the preparation and fair presentation of the financial</w:t>
      </w:r>
      <w:r>
        <w:rPr>
          <w:spacing w:val="-14"/>
          <w:sz w:val="21"/>
        </w:rPr>
        <w:t xml:space="preserve"> </w:t>
      </w:r>
      <w:r>
        <w:rPr>
          <w:sz w:val="21"/>
        </w:rPr>
        <w:t>statements</w:t>
      </w:r>
      <w:r>
        <w:rPr>
          <w:spacing w:val="-9"/>
          <w:sz w:val="21"/>
        </w:rPr>
        <w:t xml:space="preserve"> </w:t>
      </w:r>
      <w:r>
        <w:rPr>
          <w:sz w:val="21"/>
        </w:rPr>
        <w:t>that</w:t>
      </w:r>
      <w:r>
        <w:rPr>
          <w:spacing w:val="-24"/>
          <w:sz w:val="21"/>
        </w:rPr>
        <w:t xml:space="preserve"> </w:t>
      </w:r>
      <w:r>
        <w:rPr>
          <w:sz w:val="21"/>
        </w:rPr>
        <w:t>are</w:t>
      </w:r>
      <w:r>
        <w:rPr>
          <w:spacing w:val="-17"/>
          <w:sz w:val="21"/>
        </w:rPr>
        <w:t xml:space="preserve"> </w:t>
      </w:r>
      <w:r>
        <w:rPr>
          <w:sz w:val="21"/>
        </w:rPr>
        <w:t>free</w:t>
      </w:r>
      <w:r>
        <w:rPr>
          <w:spacing w:val="-15"/>
          <w:sz w:val="21"/>
        </w:rPr>
        <w:t xml:space="preserve"> </w:t>
      </w:r>
      <w:r>
        <w:rPr>
          <w:sz w:val="21"/>
        </w:rPr>
        <w:t>from</w:t>
      </w:r>
      <w:r>
        <w:rPr>
          <w:spacing w:val="-13"/>
          <w:sz w:val="21"/>
        </w:rPr>
        <w:t xml:space="preserve"> </w:t>
      </w:r>
      <w:r>
        <w:rPr>
          <w:sz w:val="21"/>
        </w:rPr>
        <w:t>material</w:t>
      </w:r>
      <w:r>
        <w:rPr>
          <w:spacing w:val="-21"/>
          <w:sz w:val="21"/>
        </w:rPr>
        <w:t xml:space="preserve"> </w:t>
      </w:r>
      <w:r>
        <w:rPr>
          <w:sz w:val="21"/>
        </w:rPr>
        <w:t>misstatement,</w:t>
      </w:r>
      <w:r>
        <w:rPr>
          <w:spacing w:val="-2"/>
          <w:sz w:val="21"/>
        </w:rPr>
        <w:t xml:space="preserve"> </w:t>
      </w:r>
      <w:r>
        <w:rPr>
          <w:sz w:val="21"/>
        </w:rPr>
        <w:t>whether</w:t>
      </w:r>
      <w:r>
        <w:rPr>
          <w:spacing w:val="-14"/>
          <w:sz w:val="21"/>
        </w:rPr>
        <w:t xml:space="preserve"> </w:t>
      </w:r>
      <w:r>
        <w:rPr>
          <w:sz w:val="21"/>
        </w:rPr>
        <w:t>due</w:t>
      </w:r>
      <w:r>
        <w:rPr>
          <w:spacing w:val="-14"/>
          <w:sz w:val="21"/>
        </w:rPr>
        <w:t xml:space="preserve"> </w:t>
      </w:r>
      <w:r>
        <w:rPr>
          <w:color w:val="161616"/>
          <w:sz w:val="21"/>
        </w:rPr>
        <w:t>to</w:t>
      </w:r>
      <w:r>
        <w:rPr>
          <w:color w:val="161616"/>
          <w:spacing w:val="-14"/>
          <w:sz w:val="21"/>
        </w:rPr>
        <w:t xml:space="preserve"> </w:t>
      </w:r>
      <w:r>
        <w:rPr>
          <w:sz w:val="21"/>
        </w:rPr>
        <w:t>fraud</w:t>
      </w:r>
      <w:r>
        <w:rPr>
          <w:spacing w:val="-19"/>
          <w:sz w:val="21"/>
        </w:rPr>
        <w:t xml:space="preserve"> </w:t>
      </w:r>
      <w:r>
        <w:rPr>
          <w:sz w:val="21"/>
        </w:rPr>
        <w:t>or</w:t>
      </w:r>
      <w:r>
        <w:rPr>
          <w:spacing w:val="-24"/>
          <w:sz w:val="21"/>
        </w:rPr>
        <w:t xml:space="preserve"> </w:t>
      </w:r>
      <w:r>
        <w:rPr>
          <w:sz w:val="21"/>
        </w:rPr>
        <w:t>error.</w:t>
      </w:r>
    </w:p>
    <w:p w14:paraId="51C119C6" w14:textId="77777777" w:rsidR="00FA4AA8" w:rsidRDefault="0015611F">
      <w:pPr>
        <w:spacing w:before="166"/>
        <w:ind w:left="645" w:right="715" w:hanging="2"/>
        <w:rPr>
          <w:sz w:val="21"/>
        </w:rPr>
      </w:pPr>
      <w:r>
        <w:rPr>
          <w:color w:val="161616"/>
          <w:sz w:val="21"/>
        </w:rPr>
        <w:t xml:space="preserve">In </w:t>
      </w:r>
      <w:r>
        <w:rPr>
          <w:sz w:val="21"/>
        </w:rPr>
        <w:t xml:space="preserve">preparing the financial statements, </w:t>
      </w:r>
      <w:r>
        <w:rPr>
          <w:color w:val="1A1A1A"/>
          <w:sz w:val="21"/>
        </w:rPr>
        <w:t xml:space="preserve">the </w:t>
      </w:r>
      <w:r>
        <w:rPr>
          <w:sz w:val="21"/>
        </w:rPr>
        <w:t xml:space="preserve">Board of Trustees is responsible for assessing </w:t>
      </w:r>
      <w:r>
        <w:rPr>
          <w:color w:val="0F0F0F"/>
          <w:sz w:val="21"/>
        </w:rPr>
        <w:t xml:space="preserve">the </w:t>
      </w:r>
      <w:r>
        <w:rPr>
          <w:sz w:val="21"/>
        </w:rPr>
        <w:t>University’s</w:t>
      </w:r>
      <w:r>
        <w:rPr>
          <w:spacing w:val="-19"/>
          <w:sz w:val="21"/>
        </w:rPr>
        <w:t xml:space="preserve"> </w:t>
      </w:r>
      <w:r>
        <w:rPr>
          <w:sz w:val="21"/>
        </w:rPr>
        <w:t>ability</w:t>
      </w:r>
      <w:r>
        <w:rPr>
          <w:spacing w:val="-21"/>
          <w:sz w:val="21"/>
        </w:rPr>
        <w:t xml:space="preserve"> </w:t>
      </w:r>
      <w:r>
        <w:rPr>
          <w:sz w:val="21"/>
        </w:rPr>
        <w:t>to</w:t>
      </w:r>
      <w:r>
        <w:rPr>
          <w:spacing w:val="-29"/>
          <w:sz w:val="21"/>
        </w:rPr>
        <w:t xml:space="preserve"> </w:t>
      </w:r>
      <w:r>
        <w:rPr>
          <w:sz w:val="21"/>
        </w:rPr>
        <w:t>continue</w:t>
      </w:r>
      <w:r>
        <w:rPr>
          <w:spacing w:val="-23"/>
          <w:sz w:val="21"/>
        </w:rPr>
        <w:t xml:space="preserve"> </w:t>
      </w:r>
      <w:r>
        <w:rPr>
          <w:sz w:val="21"/>
        </w:rPr>
        <w:t>as</w:t>
      </w:r>
      <w:r>
        <w:rPr>
          <w:spacing w:val="-32"/>
          <w:sz w:val="21"/>
        </w:rPr>
        <w:t xml:space="preserve"> </w:t>
      </w:r>
      <w:r>
        <w:rPr>
          <w:sz w:val="21"/>
        </w:rPr>
        <w:t>a</w:t>
      </w:r>
      <w:r>
        <w:rPr>
          <w:spacing w:val="-29"/>
          <w:sz w:val="21"/>
        </w:rPr>
        <w:t xml:space="preserve"> </w:t>
      </w:r>
      <w:r>
        <w:rPr>
          <w:sz w:val="21"/>
        </w:rPr>
        <w:t>going</w:t>
      </w:r>
      <w:r>
        <w:rPr>
          <w:spacing w:val="-27"/>
          <w:sz w:val="21"/>
        </w:rPr>
        <w:t xml:space="preserve"> </w:t>
      </w:r>
      <w:r>
        <w:rPr>
          <w:sz w:val="21"/>
        </w:rPr>
        <w:t>concern,</w:t>
      </w:r>
      <w:r>
        <w:rPr>
          <w:spacing w:val="-23"/>
          <w:sz w:val="21"/>
        </w:rPr>
        <w:t xml:space="preserve"> </w:t>
      </w:r>
      <w:r>
        <w:rPr>
          <w:sz w:val="21"/>
        </w:rPr>
        <w:t>disclosing</w:t>
      </w:r>
      <w:r>
        <w:rPr>
          <w:spacing w:val="-26"/>
          <w:sz w:val="21"/>
        </w:rPr>
        <w:t xml:space="preserve"> </w:t>
      </w:r>
      <w:r>
        <w:rPr>
          <w:color w:val="1A1A1A"/>
          <w:sz w:val="21"/>
        </w:rPr>
        <w:t>as</w:t>
      </w:r>
      <w:r>
        <w:rPr>
          <w:color w:val="1A1A1A"/>
          <w:spacing w:val="-32"/>
          <w:sz w:val="21"/>
        </w:rPr>
        <w:t xml:space="preserve"> </w:t>
      </w:r>
      <w:r>
        <w:rPr>
          <w:sz w:val="21"/>
        </w:rPr>
        <w:t>applicable,</w:t>
      </w:r>
      <w:r>
        <w:rPr>
          <w:spacing w:val="-23"/>
          <w:sz w:val="21"/>
        </w:rPr>
        <w:t xml:space="preserve"> </w:t>
      </w:r>
      <w:r>
        <w:rPr>
          <w:sz w:val="21"/>
        </w:rPr>
        <w:t>matters</w:t>
      </w:r>
      <w:r>
        <w:rPr>
          <w:spacing w:val="-25"/>
          <w:sz w:val="21"/>
        </w:rPr>
        <w:t xml:space="preserve"> </w:t>
      </w:r>
      <w:r>
        <w:rPr>
          <w:sz w:val="21"/>
        </w:rPr>
        <w:t>related</w:t>
      </w:r>
      <w:r>
        <w:rPr>
          <w:spacing w:val="-25"/>
          <w:sz w:val="21"/>
        </w:rPr>
        <w:t xml:space="preserve"> </w:t>
      </w:r>
      <w:r>
        <w:rPr>
          <w:sz w:val="21"/>
        </w:rPr>
        <w:t>to</w:t>
      </w:r>
      <w:r>
        <w:rPr>
          <w:spacing w:val="-32"/>
          <w:sz w:val="21"/>
        </w:rPr>
        <w:t xml:space="preserve"> </w:t>
      </w:r>
      <w:r>
        <w:rPr>
          <w:sz w:val="21"/>
        </w:rPr>
        <w:t>going concern</w:t>
      </w:r>
      <w:r>
        <w:rPr>
          <w:spacing w:val="-32"/>
          <w:sz w:val="21"/>
        </w:rPr>
        <w:t xml:space="preserve"> </w:t>
      </w:r>
      <w:r>
        <w:rPr>
          <w:sz w:val="21"/>
        </w:rPr>
        <w:t>and</w:t>
      </w:r>
      <w:r>
        <w:rPr>
          <w:spacing w:val="-39"/>
          <w:sz w:val="21"/>
        </w:rPr>
        <w:t xml:space="preserve"> </w:t>
      </w:r>
      <w:r>
        <w:rPr>
          <w:sz w:val="21"/>
        </w:rPr>
        <w:t>using</w:t>
      </w:r>
      <w:r>
        <w:rPr>
          <w:spacing w:val="-32"/>
          <w:sz w:val="21"/>
        </w:rPr>
        <w:t xml:space="preserve"> </w:t>
      </w:r>
      <w:r>
        <w:rPr>
          <w:color w:val="0A0A0A"/>
          <w:sz w:val="21"/>
        </w:rPr>
        <w:t>the</w:t>
      </w:r>
      <w:r>
        <w:rPr>
          <w:color w:val="0A0A0A"/>
          <w:spacing w:val="-38"/>
          <w:sz w:val="21"/>
        </w:rPr>
        <w:t xml:space="preserve"> </w:t>
      </w:r>
      <w:r>
        <w:rPr>
          <w:sz w:val="21"/>
        </w:rPr>
        <w:t>going</w:t>
      </w:r>
      <w:r>
        <w:rPr>
          <w:spacing w:val="-37"/>
          <w:sz w:val="21"/>
        </w:rPr>
        <w:t xml:space="preserve"> </w:t>
      </w:r>
      <w:r>
        <w:rPr>
          <w:sz w:val="21"/>
        </w:rPr>
        <w:t>concern</w:t>
      </w:r>
      <w:r>
        <w:rPr>
          <w:spacing w:val="-31"/>
          <w:sz w:val="21"/>
        </w:rPr>
        <w:t xml:space="preserve"> </w:t>
      </w:r>
      <w:r>
        <w:rPr>
          <w:sz w:val="21"/>
        </w:rPr>
        <w:t>basis</w:t>
      </w:r>
      <w:r>
        <w:rPr>
          <w:spacing w:val="-35"/>
          <w:sz w:val="21"/>
        </w:rPr>
        <w:t xml:space="preserve"> </w:t>
      </w:r>
      <w:r>
        <w:rPr>
          <w:sz w:val="21"/>
        </w:rPr>
        <w:t>of</w:t>
      </w:r>
      <w:r>
        <w:rPr>
          <w:spacing w:val="-36"/>
          <w:sz w:val="21"/>
        </w:rPr>
        <w:t xml:space="preserve"> </w:t>
      </w:r>
      <w:r>
        <w:rPr>
          <w:sz w:val="21"/>
        </w:rPr>
        <w:t>accounting</w:t>
      </w:r>
      <w:r>
        <w:rPr>
          <w:spacing w:val="-36"/>
          <w:sz w:val="21"/>
        </w:rPr>
        <w:t xml:space="preserve"> </w:t>
      </w:r>
      <w:r>
        <w:rPr>
          <w:sz w:val="21"/>
        </w:rPr>
        <w:t>except</w:t>
      </w:r>
      <w:r>
        <w:rPr>
          <w:spacing w:val="-33"/>
          <w:sz w:val="21"/>
        </w:rPr>
        <w:t xml:space="preserve"> </w:t>
      </w:r>
      <w:r>
        <w:rPr>
          <w:color w:val="0F0F0F"/>
          <w:sz w:val="21"/>
        </w:rPr>
        <w:t>where</w:t>
      </w:r>
      <w:r>
        <w:rPr>
          <w:color w:val="0F0F0F"/>
          <w:spacing w:val="-35"/>
          <w:sz w:val="21"/>
        </w:rPr>
        <w:t xml:space="preserve"> </w:t>
      </w:r>
      <w:r>
        <w:rPr>
          <w:sz w:val="21"/>
        </w:rPr>
        <w:t>the</w:t>
      </w:r>
      <w:r>
        <w:rPr>
          <w:spacing w:val="-35"/>
          <w:sz w:val="21"/>
        </w:rPr>
        <w:t xml:space="preserve"> </w:t>
      </w:r>
      <w:r>
        <w:rPr>
          <w:sz w:val="21"/>
        </w:rPr>
        <w:t>University</w:t>
      </w:r>
      <w:r>
        <w:rPr>
          <w:spacing w:val="-26"/>
          <w:sz w:val="21"/>
        </w:rPr>
        <w:t xml:space="preserve"> </w:t>
      </w:r>
      <w:r>
        <w:rPr>
          <w:sz w:val="21"/>
        </w:rPr>
        <w:t>will</w:t>
      </w:r>
      <w:r>
        <w:rPr>
          <w:spacing w:val="-38"/>
          <w:sz w:val="21"/>
        </w:rPr>
        <w:t xml:space="preserve"> </w:t>
      </w:r>
      <w:r>
        <w:rPr>
          <w:sz w:val="21"/>
        </w:rPr>
        <w:t>be</w:t>
      </w:r>
      <w:r>
        <w:rPr>
          <w:spacing w:val="-39"/>
          <w:sz w:val="21"/>
        </w:rPr>
        <w:t xml:space="preserve"> </w:t>
      </w:r>
      <w:r>
        <w:rPr>
          <w:sz w:val="21"/>
        </w:rPr>
        <w:t xml:space="preserve">dissolved by an Act of Parliament </w:t>
      </w:r>
      <w:r>
        <w:rPr>
          <w:color w:val="0F0F0F"/>
          <w:sz w:val="21"/>
        </w:rPr>
        <w:t xml:space="preserve">or </w:t>
      </w:r>
      <w:r>
        <w:rPr>
          <w:sz w:val="21"/>
        </w:rPr>
        <w:t>otherwise cease</w:t>
      </w:r>
      <w:r>
        <w:rPr>
          <w:spacing w:val="4"/>
          <w:sz w:val="21"/>
        </w:rPr>
        <w:t xml:space="preserve"> </w:t>
      </w:r>
      <w:r>
        <w:rPr>
          <w:sz w:val="21"/>
        </w:rPr>
        <w:t>operations.</w:t>
      </w:r>
    </w:p>
    <w:p w14:paraId="780693B9" w14:textId="77777777" w:rsidR="00FA4AA8" w:rsidRDefault="0015611F">
      <w:pPr>
        <w:spacing w:before="168"/>
        <w:ind w:left="653"/>
        <w:rPr>
          <w:b/>
          <w:sz w:val="24"/>
        </w:rPr>
      </w:pPr>
      <w:r>
        <w:rPr>
          <w:b/>
          <w:sz w:val="24"/>
        </w:rPr>
        <w:t>Auditor’s Responsibilities for the Audit of the Financial Statements</w:t>
      </w:r>
    </w:p>
    <w:p w14:paraId="2F5E1565" w14:textId="77777777" w:rsidR="00FA4AA8" w:rsidRDefault="0015611F">
      <w:pPr>
        <w:spacing w:before="107"/>
        <w:ind w:left="647"/>
        <w:rPr>
          <w:sz w:val="21"/>
        </w:rPr>
      </w:pPr>
      <w:r>
        <w:rPr>
          <w:sz w:val="21"/>
        </w:rPr>
        <w:t xml:space="preserve">My objectives </w:t>
      </w:r>
      <w:r>
        <w:rPr>
          <w:color w:val="0C0C0C"/>
          <w:sz w:val="21"/>
        </w:rPr>
        <w:t xml:space="preserve">are </w:t>
      </w:r>
      <w:r>
        <w:rPr>
          <w:sz w:val="21"/>
        </w:rPr>
        <w:t>to.</w:t>
      </w:r>
    </w:p>
    <w:p w14:paraId="4767A0D4" w14:textId="77777777" w:rsidR="00FA4AA8" w:rsidRDefault="0015611F">
      <w:pPr>
        <w:pStyle w:val="ListParagraph"/>
        <w:numPr>
          <w:ilvl w:val="1"/>
          <w:numId w:val="71"/>
        </w:numPr>
        <w:tabs>
          <w:tab w:val="left" w:pos="1208"/>
          <w:tab w:val="left" w:pos="1209"/>
        </w:tabs>
        <w:spacing w:before="171"/>
        <w:ind w:left="1211" w:right="980" w:hanging="564"/>
        <w:rPr>
          <w:sz w:val="21"/>
        </w:rPr>
      </w:pPr>
      <w:r>
        <w:rPr>
          <w:sz w:val="21"/>
        </w:rPr>
        <w:t>obtain</w:t>
      </w:r>
      <w:r>
        <w:rPr>
          <w:spacing w:val="-35"/>
          <w:sz w:val="21"/>
        </w:rPr>
        <w:t xml:space="preserve"> </w:t>
      </w:r>
      <w:r>
        <w:rPr>
          <w:sz w:val="21"/>
        </w:rPr>
        <w:t>reasonable</w:t>
      </w:r>
      <w:r>
        <w:rPr>
          <w:spacing w:val="-32"/>
          <w:sz w:val="21"/>
        </w:rPr>
        <w:t xml:space="preserve"> </w:t>
      </w:r>
      <w:r>
        <w:rPr>
          <w:sz w:val="21"/>
        </w:rPr>
        <w:t>assurance</w:t>
      </w:r>
      <w:r>
        <w:rPr>
          <w:spacing w:val="-36"/>
          <w:sz w:val="21"/>
        </w:rPr>
        <w:t xml:space="preserve"> </w:t>
      </w:r>
      <w:r>
        <w:rPr>
          <w:sz w:val="21"/>
        </w:rPr>
        <w:t>about</w:t>
      </w:r>
      <w:r>
        <w:rPr>
          <w:spacing w:val="-33"/>
          <w:sz w:val="21"/>
        </w:rPr>
        <w:t xml:space="preserve"> </w:t>
      </w:r>
      <w:r>
        <w:rPr>
          <w:sz w:val="21"/>
        </w:rPr>
        <w:t>whether</w:t>
      </w:r>
      <w:r>
        <w:rPr>
          <w:spacing w:val="-32"/>
          <w:sz w:val="21"/>
        </w:rPr>
        <w:t xml:space="preserve"> </w:t>
      </w:r>
      <w:r>
        <w:rPr>
          <w:sz w:val="21"/>
        </w:rPr>
        <w:t>the</w:t>
      </w:r>
      <w:r>
        <w:rPr>
          <w:spacing w:val="-38"/>
          <w:sz w:val="21"/>
        </w:rPr>
        <w:t xml:space="preserve"> </w:t>
      </w:r>
      <w:r>
        <w:rPr>
          <w:sz w:val="21"/>
        </w:rPr>
        <w:t>financial</w:t>
      </w:r>
      <w:r>
        <w:rPr>
          <w:spacing w:val="-35"/>
          <w:sz w:val="21"/>
        </w:rPr>
        <w:t xml:space="preserve"> </w:t>
      </w:r>
      <w:r>
        <w:rPr>
          <w:sz w:val="21"/>
        </w:rPr>
        <w:t>statements</w:t>
      </w:r>
      <w:r>
        <w:rPr>
          <w:spacing w:val="-34"/>
          <w:sz w:val="21"/>
        </w:rPr>
        <w:t xml:space="preserve"> </w:t>
      </w:r>
      <w:r>
        <w:rPr>
          <w:sz w:val="21"/>
        </w:rPr>
        <w:t>as</w:t>
      </w:r>
      <w:r>
        <w:rPr>
          <w:spacing w:val="-40"/>
          <w:sz w:val="21"/>
        </w:rPr>
        <w:t xml:space="preserve"> </w:t>
      </w:r>
      <w:r>
        <w:rPr>
          <w:sz w:val="21"/>
        </w:rPr>
        <w:t>a</w:t>
      </w:r>
      <w:r>
        <w:rPr>
          <w:spacing w:val="-38"/>
          <w:sz w:val="21"/>
        </w:rPr>
        <w:t xml:space="preserve"> </w:t>
      </w:r>
      <w:r>
        <w:rPr>
          <w:sz w:val="21"/>
        </w:rPr>
        <w:t>whole</w:t>
      </w:r>
      <w:r>
        <w:rPr>
          <w:spacing w:val="-37"/>
          <w:sz w:val="21"/>
        </w:rPr>
        <w:t xml:space="preserve"> </w:t>
      </w:r>
      <w:r>
        <w:rPr>
          <w:sz w:val="21"/>
        </w:rPr>
        <w:t>are</w:t>
      </w:r>
      <w:r>
        <w:rPr>
          <w:spacing w:val="-37"/>
          <w:sz w:val="21"/>
        </w:rPr>
        <w:t xml:space="preserve"> </w:t>
      </w:r>
      <w:r>
        <w:rPr>
          <w:sz w:val="21"/>
        </w:rPr>
        <w:t>free</w:t>
      </w:r>
      <w:r>
        <w:rPr>
          <w:spacing w:val="-33"/>
          <w:sz w:val="21"/>
        </w:rPr>
        <w:t xml:space="preserve"> </w:t>
      </w:r>
      <w:r>
        <w:rPr>
          <w:sz w:val="21"/>
        </w:rPr>
        <w:t>from material misstatement, whether due to fraud or</w:t>
      </w:r>
      <w:r>
        <w:rPr>
          <w:spacing w:val="-30"/>
          <w:sz w:val="21"/>
        </w:rPr>
        <w:t xml:space="preserve"> </w:t>
      </w:r>
      <w:r>
        <w:rPr>
          <w:sz w:val="21"/>
        </w:rPr>
        <w:t>error</w:t>
      </w:r>
    </w:p>
    <w:p w14:paraId="6D91B663" w14:textId="77777777" w:rsidR="00FA4AA8" w:rsidRDefault="0015611F">
      <w:pPr>
        <w:pStyle w:val="ListParagraph"/>
        <w:numPr>
          <w:ilvl w:val="1"/>
          <w:numId w:val="71"/>
        </w:numPr>
        <w:tabs>
          <w:tab w:val="left" w:pos="1210"/>
          <w:tab w:val="left" w:pos="1212"/>
        </w:tabs>
        <w:spacing w:before="55"/>
        <w:ind w:left="1211" w:hanging="565"/>
        <w:rPr>
          <w:sz w:val="21"/>
        </w:rPr>
      </w:pPr>
      <w:r>
        <w:rPr>
          <w:sz w:val="21"/>
        </w:rPr>
        <w:t>issue an Independent Auditor’s</w:t>
      </w:r>
      <w:r w:rsidR="00733831">
        <w:rPr>
          <w:sz w:val="21"/>
        </w:rPr>
        <w:t xml:space="preserve"> Report</w:t>
      </w:r>
      <w:r>
        <w:rPr>
          <w:sz w:val="21"/>
        </w:rPr>
        <w:t xml:space="preserve"> including my</w:t>
      </w:r>
      <w:r>
        <w:rPr>
          <w:spacing w:val="-24"/>
          <w:sz w:val="21"/>
        </w:rPr>
        <w:t xml:space="preserve"> </w:t>
      </w:r>
      <w:r>
        <w:rPr>
          <w:sz w:val="21"/>
        </w:rPr>
        <w:t>opinion</w:t>
      </w:r>
    </w:p>
    <w:p w14:paraId="0A0ED7D9" w14:textId="77777777" w:rsidR="00FA4AA8" w:rsidRDefault="00FA4AA8">
      <w:pPr>
        <w:pStyle w:val="BodyText"/>
        <w:spacing w:before="5"/>
        <w:rPr>
          <w:sz w:val="17"/>
        </w:rPr>
      </w:pPr>
    </w:p>
    <w:p w14:paraId="767B5840" w14:textId="77777777" w:rsidR="00FA4AA8" w:rsidRDefault="0015611F">
      <w:pPr>
        <w:ind w:left="642" w:right="837" w:hanging="1"/>
        <w:rPr>
          <w:sz w:val="21"/>
        </w:rPr>
      </w:pPr>
      <w:r>
        <w:rPr>
          <w:sz w:val="21"/>
        </w:rPr>
        <w:t>Reasonable</w:t>
      </w:r>
      <w:r>
        <w:rPr>
          <w:spacing w:val="-24"/>
          <w:sz w:val="21"/>
        </w:rPr>
        <w:t xml:space="preserve"> </w:t>
      </w:r>
      <w:r>
        <w:rPr>
          <w:sz w:val="21"/>
        </w:rPr>
        <w:t>assurance</w:t>
      </w:r>
      <w:r>
        <w:rPr>
          <w:spacing w:val="-23"/>
          <w:sz w:val="21"/>
        </w:rPr>
        <w:t xml:space="preserve"> </w:t>
      </w:r>
      <w:r>
        <w:rPr>
          <w:sz w:val="21"/>
        </w:rPr>
        <w:t>is</w:t>
      </w:r>
      <w:r>
        <w:rPr>
          <w:spacing w:val="-30"/>
          <w:sz w:val="21"/>
        </w:rPr>
        <w:t xml:space="preserve"> </w:t>
      </w:r>
      <w:r>
        <w:rPr>
          <w:sz w:val="21"/>
        </w:rPr>
        <w:t>a</w:t>
      </w:r>
      <w:r>
        <w:rPr>
          <w:spacing w:val="-30"/>
          <w:sz w:val="21"/>
        </w:rPr>
        <w:t xml:space="preserve"> </w:t>
      </w:r>
      <w:r>
        <w:rPr>
          <w:sz w:val="21"/>
        </w:rPr>
        <w:t>high</w:t>
      </w:r>
      <w:r>
        <w:rPr>
          <w:spacing w:val="-29"/>
          <w:sz w:val="21"/>
        </w:rPr>
        <w:t xml:space="preserve"> </w:t>
      </w:r>
      <w:r>
        <w:rPr>
          <w:sz w:val="21"/>
        </w:rPr>
        <w:t>level</w:t>
      </w:r>
      <w:r>
        <w:rPr>
          <w:spacing w:val="-26"/>
          <w:sz w:val="21"/>
        </w:rPr>
        <w:t xml:space="preserve"> </w:t>
      </w:r>
      <w:r>
        <w:rPr>
          <w:sz w:val="21"/>
        </w:rPr>
        <w:t>of</w:t>
      </w:r>
      <w:r>
        <w:rPr>
          <w:spacing w:val="-28"/>
          <w:sz w:val="21"/>
        </w:rPr>
        <w:t xml:space="preserve"> </w:t>
      </w:r>
      <w:r>
        <w:rPr>
          <w:sz w:val="21"/>
        </w:rPr>
        <w:t>assurance,</w:t>
      </w:r>
      <w:r>
        <w:rPr>
          <w:spacing w:val="-20"/>
          <w:sz w:val="21"/>
        </w:rPr>
        <w:t xml:space="preserve"> </w:t>
      </w:r>
      <w:r>
        <w:rPr>
          <w:sz w:val="21"/>
        </w:rPr>
        <w:t>but</w:t>
      </w:r>
      <w:r>
        <w:rPr>
          <w:spacing w:val="-31"/>
          <w:sz w:val="21"/>
        </w:rPr>
        <w:t xml:space="preserve"> </w:t>
      </w:r>
      <w:r>
        <w:rPr>
          <w:sz w:val="21"/>
        </w:rPr>
        <w:t>does</w:t>
      </w:r>
      <w:r>
        <w:rPr>
          <w:spacing w:val="-26"/>
          <w:sz w:val="21"/>
        </w:rPr>
        <w:t xml:space="preserve"> </w:t>
      </w:r>
      <w:r>
        <w:rPr>
          <w:sz w:val="21"/>
        </w:rPr>
        <w:t>not</w:t>
      </w:r>
      <w:r>
        <w:rPr>
          <w:spacing w:val="-26"/>
          <w:sz w:val="21"/>
        </w:rPr>
        <w:t xml:space="preserve"> </w:t>
      </w:r>
      <w:r>
        <w:rPr>
          <w:sz w:val="21"/>
        </w:rPr>
        <w:t>guarantee</w:t>
      </w:r>
      <w:r>
        <w:rPr>
          <w:spacing w:val="-19"/>
          <w:sz w:val="21"/>
        </w:rPr>
        <w:t xml:space="preserve"> </w:t>
      </w:r>
      <w:r>
        <w:rPr>
          <w:sz w:val="21"/>
        </w:rPr>
        <w:t>an</w:t>
      </w:r>
      <w:r>
        <w:rPr>
          <w:spacing w:val="-23"/>
          <w:sz w:val="21"/>
        </w:rPr>
        <w:t xml:space="preserve"> </w:t>
      </w:r>
      <w:r>
        <w:rPr>
          <w:sz w:val="21"/>
        </w:rPr>
        <w:t>audit</w:t>
      </w:r>
      <w:r>
        <w:rPr>
          <w:spacing w:val="-30"/>
          <w:sz w:val="21"/>
        </w:rPr>
        <w:t xml:space="preserve"> </w:t>
      </w:r>
      <w:r>
        <w:rPr>
          <w:sz w:val="21"/>
        </w:rPr>
        <w:t>conducted</w:t>
      </w:r>
      <w:r>
        <w:rPr>
          <w:spacing w:val="-18"/>
          <w:sz w:val="21"/>
        </w:rPr>
        <w:t xml:space="preserve"> </w:t>
      </w:r>
      <w:r>
        <w:rPr>
          <w:sz w:val="21"/>
        </w:rPr>
        <w:t xml:space="preserve">in accordance with Australian Auditing Standards will always detect material misstatements </w:t>
      </w:r>
      <w:r>
        <w:rPr>
          <w:w w:val="95"/>
          <w:sz w:val="21"/>
        </w:rPr>
        <w:t xml:space="preserve">Misstatements </w:t>
      </w:r>
      <w:r>
        <w:rPr>
          <w:color w:val="2D2D2D"/>
          <w:w w:val="95"/>
          <w:sz w:val="21"/>
        </w:rPr>
        <w:t xml:space="preserve">can </w:t>
      </w:r>
      <w:r>
        <w:rPr>
          <w:w w:val="95"/>
          <w:sz w:val="21"/>
        </w:rPr>
        <w:t>arise from fraud or error, Misstatements are considered material if, individually</w:t>
      </w:r>
      <w:r>
        <w:rPr>
          <w:spacing w:val="-33"/>
          <w:w w:val="95"/>
          <w:sz w:val="21"/>
        </w:rPr>
        <w:t xml:space="preserve"> </w:t>
      </w:r>
      <w:r>
        <w:rPr>
          <w:w w:val="95"/>
          <w:sz w:val="21"/>
        </w:rPr>
        <w:t xml:space="preserve">or </w:t>
      </w:r>
      <w:r>
        <w:rPr>
          <w:color w:val="1F1F1F"/>
          <w:sz w:val="21"/>
        </w:rPr>
        <w:t>in</w:t>
      </w:r>
      <w:r>
        <w:rPr>
          <w:color w:val="1F1F1F"/>
          <w:spacing w:val="-29"/>
          <w:sz w:val="21"/>
        </w:rPr>
        <w:t xml:space="preserve"> </w:t>
      </w:r>
      <w:r>
        <w:rPr>
          <w:sz w:val="21"/>
        </w:rPr>
        <w:t>agg</w:t>
      </w:r>
      <w:r>
        <w:rPr>
          <w:spacing w:val="-48"/>
          <w:sz w:val="21"/>
        </w:rPr>
        <w:t xml:space="preserve"> </w:t>
      </w:r>
      <w:r>
        <w:rPr>
          <w:sz w:val="21"/>
        </w:rPr>
        <w:t>regate,</w:t>
      </w:r>
      <w:r>
        <w:rPr>
          <w:spacing w:val="-23"/>
          <w:sz w:val="21"/>
        </w:rPr>
        <w:t xml:space="preserve"> </w:t>
      </w:r>
      <w:r>
        <w:rPr>
          <w:sz w:val="21"/>
        </w:rPr>
        <w:t>they</w:t>
      </w:r>
      <w:r>
        <w:rPr>
          <w:spacing w:val="-21"/>
          <w:sz w:val="21"/>
        </w:rPr>
        <w:t xml:space="preserve"> </w:t>
      </w:r>
      <w:r>
        <w:rPr>
          <w:color w:val="0F0F0F"/>
          <w:sz w:val="21"/>
        </w:rPr>
        <w:t>could</w:t>
      </w:r>
      <w:r>
        <w:rPr>
          <w:color w:val="0F0F0F"/>
          <w:spacing w:val="-23"/>
          <w:sz w:val="21"/>
        </w:rPr>
        <w:t xml:space="preserve"> </w:t>
      </w:r>
      <w:r>
        <w:rPr>
          <w:sz w:val="21"/>
        </w:rPr>
        <w:t>reasonably</w:t>
      </w:r>
      <w:r>
        <w:rPr>
          <w:spacing w:val="-17"/>
          <w:sz w:val="21"/>
        </w:rPr>
        <w:t xml:space="preserve"> </w:t>
      </w:r>
      <w:r>
        <w:rPr>
          <w:sz w:val="21"/>
        </w:rPr>
        <w:t>be</w:t>
      </w:r>
      <w:r>
        <w:rPr>
          <w:spacing w:val="-32"/>
          <w:sz w:val="21"/>
        </w:rPr>
        <w:t xml:space="preserve"> </w:t>
      </w:r>
      <w:r>
        <w:rPr>
          <w:sz w:val="21"/>
        </w:rPr>
        <w:t>expected</w:t>
      </w:r>
      <w:r>
        <w:rPr>
          <w:spacing w:val="-20"/>
          <w:sz w:val="21"/>
        </w:rPr>
        <w:t xml:space="preserve"> </w:t>
      </w:r>
      <w:r>
        <w:rPr>
          <w:sz w:val="21"/>
        </w:rPr>
        <w:t>to</w:t>
      </w:r>
      <w:r>
        <w:rPr>
          <w:spacing w:val="-34"/>
          <w:sz w:val="21"/>
        </w:rPr>
        <w:t xml:space="preserve"> </w:t>
      </w:r>
      <w:r>
        <w:rPr>
          <w:sz w:val="21"/>
        </w:rPr>
        <w:t>influence</w:t>
      </w:r>
      <w:r>
        <w:rPr>
          <w:spacing w:val="-17"/>
          <w:sz w:val="21"/>
        </w:rPr>
        <w:t xml:space="preserve"> </w:t>
      </w:r>
      <w:r>
        <w:rPr>
          <w:sz w:val="21"/>
        </w:rPr>
        <w:t>the</w:t>
      </w:r>
      <w:r>
        <w:rPr>
          <w:spacing w:val="-26"/>
          <w:sz w:val="21"/>
        </w:rPr>
        <w:t xml:space="preserve"> </w:t>
      </w:r>
      <w:r>
        <w:rPr>
          <w:sz w:val="21"/>
        </w:rPr>
        <w:t>economic</w:t>
      </w:r>
      <w:r>
        <w:rPr>
          <w:spacing w:val="-20"/>
          <w:sz w:val="21"/>
        </w:rPr>
        <w:t xml:space="preserve"> </w:t>
      </w:r>
      <w:r>
        <w:rPr>
          <w:sz w:val="21"/>
        </w:rPr>
        <w:t>decisions</w:t>
      </w:r>
      <w:r>
        <w:rPr>
          <w:spacing w:val="-22"/>
          <w:sz w:val="21"/>
        </w:rPr>
        <w:t xml:space="preserve"> </w:t>
      </w:r>
      <w:r>
        <w:rPr>
          <w:sz w:val="21"/>
        </w:rPr>
        <w:t>users</w:t>
      </w:r>
      <w:r>
        <w:rPr>
          <w:spacing w:val="-26"/>
          <w:sz w:val="21"/>
        </w:rPr>
        <w:t xml:space="preserve"> </w:t>
      </w:r>
      <w:r>
        <w:rPr>
          <w:sz w:val="21"/>
        </w:rPr>
        <w:t xml:space="preserve">take based on </w:t>
      </w:r>
      <w:r>
        <w:rPr>
          <w:color w:val="0F0F0F"/>
          <w:sz w:val="21"/>
        </w:rPr>
        <w:t xml:space="preserve">the </w:t>
      </w:r>
      <w:r>
        <w:rPr>
          <w:sz w:val="21"/>
        </w:rPr>
        <w:t>financial</w:t>
      </w:r>
      <w:r>
        <w:rPr>
          <w:spacing w:val="21"/>
          <w:sz w:val="21"/>
        </w:rPr>
        <w:t xml:space="preserve"> </w:t>
      </w:r>
      <w:r>
        <w:rPr>
          <w:sz w:val="21"/>
        </w:rPr>
        <w:t>statements.</w:t>
      </w:r>
    </w:p>
    <w:p w14:paraId="74F586D5" w14:textId="77777777" w:rsidR="00FA4AA8" w:rsidRDefault="0015611F">
      <w:pPr>
        <w:spacing w:before="160"/>
        <w:ind w:left="646" w:right="837" w:firstLine="7"/>
        <w:rPr>
          <w:sz w:val="21"/>
        </w:rPr>
      </w:pPr>
      <w:r>
        <w:rPr>
          <w:sz w:val="21"/>
        </w:rPr>
        <w:t>A</w:t>
      </w:r>
      <w:r>
        <w:rPr>
          <w:spacing w:val="-28"/>
          <w:sz w:val="21"/>
        </w:rPr>
        <w:t xml:space="preserve"> </w:t>
      </w:r>
      <w:r>
        <w:rPr>
          <w:sz w:val="21"/>
        </w:rPr>
        <w:t>description</w:t>
      </w:r>
      <w:r>
        <w:rPr>
          <w:spacing w:val="-23"/>
          <w:sz w:val="21"/>
        </w:rPr>
        <w:t xml:space="preserve"> </w:t>
      </w:r>
      <w:r>
        <w:rPr>
          <w:sz w:val="21"/>
        </w:rPr>
        <w:t>of</w:t>
      </w:r>
      <w:r>
        <w:rPr>
          <w:spacing w:val="-27"/>
          <w:sz w:val="21"/>
        </w:rPr>
        <w:t xml:space="preserve"> </w:t>
      </w:r>
      <w:r>
        <w:rPr>
          <w:color w:val="181818"/>
          <w:sz w:val="21"/>
        </w:rPr>
        <w:t>my</w:t>
      </w:r>
      <w:r>
        <w:rPr>
          <w:color w:val="181818"/>
          <w:spacing w:val="-25"/>
          <w:sz w:val="21"/>
        </w:rPr>
        <w:t xml:space="preserve"> </w:t>
      </w:r>
      <w:r>
        <w:rPr>
          <w:sz w:val="21"/>
        </w:rPr>
        <w:t>responsibilities</w:t>
      </w:r>
      <w:r>
        <w:rPr>
          <w:spacing w:val="-31"/>
          <w:sz w:val="21"/>
        </w:rPr>
        <w:t xml:space="preserve"> </w:t>
      </w:r>
      <w:r>
        <w:rPr>
          <w:sz w:val="21"/>
        </w:rPr>
        <w:t>for</w:t>
      </w:r>
      <w:r>
        <w:rPr>
          <w:spacing w:val="-28"/>
          <w:sz w:val="21"/>
        </w:rPr>
        <w:t xml:space="preserve"> </w:t>
      </w:r>
      <w:r>
        <w:rPr>
          <w:sz w:val="21"/>
        </w:rPr>
        <w:t>the</w:t>
      </w:r>
      <w:r>
        <w:rPr>
          <w:spacing w:val="-30"/>
          <w:sz w:val="21"/>
        </w:rPr>
        <w:t xml:space="preserve"> </w:t>
      </w:r>
      <w:r>
        <w:rPr>
          <w:sz w:val="21"/>
        </w:rPr>
        <w:t>audit</w:t>
      </w:r>
      <w:r>
        <w:rPr>
          <w:spacing w:val="-30"/>
          <w:sz w:val="21"/>
        </w:rPr>
        <w:t xml:space="preserve"> </w:t>
      </w:r>
      <w:r>
        <w:rPr>
          <w:sz w:val="21"/>
        </w:rPr>
        <w:t>of</w:t>
      </w:r>
      <w:r>
        <w:rPr>
          <w:spacing w:val="-27"/>
          <w:sz w:val="21"/>
        </w:rPr>
        <w:t xml:space="preserve"> </w:t>
      </w:r>
      <w:r>
        <w:rPr>
          <w:sz w:val="21"/>
        </w:rPr>
        <w:t>the</w:t>
      </w:r>
      <w:r>
        <w:rPr>
          <w:spacing w:val="-27"/>
          <w:sz w:val="21"/>
        </w:rPr>
        <w:t xml:space="preserve"> </w:t>
      </w:r>
      <w:r>
        <w:rPr>
          <w:sz w:val="21"/>
        </w:rPr>
        <w:t>financial</w:t>
      </w:r>
      <w:r>
        <w:rPr>
          <w:spacing w:val="-25"/>
          <w:sz w:val="21"/>
        </w:rPr>
        <w:t xml:space="preserve"> </w:t>
      </w:r>
      <w:r>
        <w:rPr>
          <w:sz w:val="21"/>
        </w:rPr>
        <w:t>statements</w:t>
      </w:r>
      <w:r>
        <w:rPr>
          <w:spacing w:val="-22"/>
          <w:sz w:val="21"/>
        </w:rPr>
        <w:t xml:space="preserve"> </w:t>
      </w:r>
      <w:r>
        <w:rPr>
          <w:sz w:val="21"/>
        </w:rPr>
        <w:t>is</w:t>
      </w:r>
      <w:r>
        <w:rPr>
          <w:spacing w:val="-29"/>
          <w:sz w:val="21"/>
        </w:rPr>
        <w:t xml:space="preserve"> </w:t>
      </w:r>
      <w:r>
        <w:rPr>
          <w:sz w:val="21"/>
        </w:rPr>
        <w:t>located</w:t>
      </w:r>
      <w:r>
        <w:rPr>
          <w:spacing w:val="-19"/>
          <w:sz w:val="21"/>
        </w:rPr>
        <w:t xml:space="preserve"> </w:t>
      </w:r>
      <w:r>
        <w:rPr>
          <w:sz w:val="21"/>
        </w:rPr>
        <w:t>at</w:t>
      </w:r>
      <w:r>
        <w:rPr>
          <w:spacing w:val="-26"/>
          <w:sz w:val="21"/>
        </w:rPr>
        <w:t xml:space="preserve"> </w:t>
      </w:r>
      <w:r>
        <w:rPr>
          <w:sz w:val="21"/>
        </w:rPr>
        <w:t>the</w:t>
      </w:r>
      <w:r>
        <w:rPr>
          <w:spacing w:val="-27"/>
          <w:sz w:val="21"/>
        </w:rPr>
        <w:t xml:space="preserve"> </w:t>
      </w:r>
      <w:r>
        <w:rPr>
          <w:sz w:val="21"/>
        </w:rPr>
        <w:t xml:space="preserve">Auditing </w:t>
      </w:r>
      <w:r>
        <w:rPr>
          <w:w w:val="95"/>
          <w:sz w:val="21"/>
        </w:rPr>
        <w:t>and</w:t>
      </w:r>
      <w:r>
        <w:rPr>
          <w:spacing w:val="-15"/>
          <w:w w:val="95"/>
          <w:sz w:val="21"/>
        </w:rPr>
        <w:t xml:space="preserve"> </w:t>
      </w:r>
      <w:r>
        <w:rPr>
          <w:w w:val="95"/>
          <w:sz w:val="21"/>
        </w:rPr>
        <w:t>Assurance</w:t>
      </w:r>
      <w:r>
        <w:rPr>
          <w:spacing w:val="-10"/>
          <w:w w:val="95"/>
          <w:sz w:val="21"/>
        </w:rPr>
        <w:t xml:space="preserve"> </w:t>
      </w:r>
      <w:r>
        <w:rPr>
          <w:w w:val="95"/>
          <w:sz w:val="21"/>
        </w:rPr>
        <w:t>Standards</w:t>
      </w:r>
      <w:r>
        <w:rPr>
          <w:spacing w:val="-6"/>
          <w:w w:val="95"/>
          <w:sz w:val="21"/>
        </w:rPr>
        <w:t xml:space="preserve"> </w:t>
      </w:r>
      <w:r>
        <w:rPr>
          <w:w w:val="95"/>
          <w:sz w:val="21"/>
        </w:rPr>
        <w:t>Board</w:t>
      </w:r>
      <w:r>
        <w:rPr>
          <w:spacing w:val="-11"/>
          <w:w w:val="95"/>
          <w:sz w:val="21"/>
        </w:rPr>
        <w:t xml:space="preserve"> </w:t>
      </w:r>
      <w:r>
        <w:rPr>
          <w:w w:val="95"/>
          <w:sz w:val="21"/>
        </w:rPr>
        <w:t>website</w:t>
      </w:r>
      <w:r>
        <w:rPr>
          <w:spacing w:val="-16"/>
          <w:w w:val="95"/>
          <w:sz w:val="21"/>
        </w:rPr>
        <w:t xml:space="preserve"> </w:t>
      </w:r>
      <w:r>
        <w:rPr>
          <w:w w:val="95"/>
          <w:sz w:val="21"/>
        </w:rPr>
        <w:t>at</w:t>
      </w:r>
      <w:r>
        <w:rPr>
          <w:spacing w:val="-22"/>
          <w:w w:val="95"/>
          <w:sz w:val="21"/>
        </w:rPr>
        <w:t xml:space="preserve"> </w:t>
      </w:r>
      <w:hyperlink r:id="rId54">
        <w:r>
          <w:rPr>
            <w:w w:val="95"/>
            <w:sz w:val="21"/>
            <w:u w:val="single" w:color="5B5B5B"/>
          </w:rPr>
          <w:t>httD://www.auasb.qov.au/aucIitor</w:t>
        </w:r>
      </w:hyperlink>
      <w:r>
        <w:rPr>
          <w:w w:val="95"/>
          <w:sz w:val="21"/>
          <w:u w:val="single" w:color="5B5B5B"/>
        </w:rPr>
        <w:t>s</w:t>
      </w:r>
      <w:r>
        <w:rPr>
          <w:spacing w:val="8"/>
          <w:w w:val="95"/>
          <w:sz w:val="21"/>
          <w:u w:val="single" w:color="5B5B5B"/>
        </w:rPr>
        <w:t xml:space="preserve"> </w:t>
      </w:r>
      <w:hyperlink r:id="rId55">
        <w:r>
          <w:rPr>
            <w:w w:val="95"/>
            <w:sz w:val="21"/>
            <w:u w:val="single" w:color="5B5B5B"/>
          </w:rPr>
          <w:t>responsibilities/ar3.pdf</w:t>
        </w:r>
      </w:hyperlink>
      <w:r>
        <w:rPr>
          <w:w w:val="95"/>
          <w:sz w:val="21"/>
        </w:rPr>
        <w:t xml:space="preserve"> </w:t>
      </w:r>
      <w:r>
        <w:rPr>
          <w:sz w:val="21"/>
        </w:rPr>
        <w:t>The description forms part of my auditor's</w:t>
      </w:r>
      <w:r>
        <w:rPr>
          <w:spacing w:val="19"/>
          <w:sz w:val="21"/>
        </w:rPr>
        <w:t xml:space="preserve"> </w:t>
      </w:r>
      <w:r>
        <w:rPr>
          <w:sz w:val="21"/>
        </w:rPr>
        <w:t>report.</w:t>
      </w:r>
    </w:p>
    <w:p w14:paraId="0A4295B0" w14:textId="77777777" w:rsidR="00FA4AA8" w:rsidRDefault="00FA4AA8">
      <w:pPr>
        <w:rPr>
          <w:sz w:val="21"/>
        </w:rPr>
        <w:sectPr w:rsidR="00FA4AA8">
          <w:headerReference w:type="default" r:id="rId56"/>
          <w:footerReference w:type="default" r:id="rId57"/>
          <w:pgSz w:w="11900" w:h="16840"/>
          <w:pgMar w:top="1180" w:right="780" w:bottom="720" w:left="700" w:header="0" w:footer="523" w:gutter="0"/>
          <w:pgNumType w:start="85"/>
          <w:cols w:space="720"/>
        </w:sectPr>
      </w:pPr>
    </w:p>
    <w:p w14:paraId="3775419A" w14:textId="77777777" w:rsidR="00FA4AA8" w:rsidRDefault="0015611F">
      <w:pPr>
        <w:spacing w:before="77"/>
        <w:ind w:left="662"/>
        <w:rPr>
          <w:sz w:val="20"/>
        </w:rPr>
      </w:pPr>
      <w:r>
        <w:rPr>
          <w:sz w:val="20"/>
        </w:rPr>
        <w:t xml:space="preserve">My opinion does </w:t>
      </w:r>
      <w:r>
        <w:rPr>
          <w:i/>
          <w:sz w:val="20"/>
        </w:rPr>
        <w:t xml:space="preserve">not </w:t>
      </w:r>
      <w:r>
        <w:rPr>
          <w:sz w:val="20"/>
        </w:rPr>
        <w:t>provide assurance.</w:t>
      </w:r>
    </w:p>
    <w:p w14:paraId="2862816C" w14:textId="77777777" w:rsidR="00FA4AA8" w:rsidRDefault="0015611F">
      <w:pPr>
        <w:pStyle w:val="ListParagraph"/>
        <w:numPr>
          <w:ilvl w:val="1"/>
          <w:numId w:val="71"/>
        </w:numPr>
        <w:tabs>
          <w:tab w:val="left" w:pos="1231"/>
          <w:tab w:val="left" w:pos="1232"/>
        </w:tabs>
        <w:spacing w:before="178"/>
        <w:ind w:left="1231" w:hanging="575"/>
        <w:rPr>
          <w:sz w:val="20"/>
        </w:rPr>
      </w:pPr>
      <w:r>
        <w:rPr>
          <w:sz w:val="20"/>
        </w:rPr>
        <w:t>that the University carried out its activities effectively, efficiently and</w:t>
      </w:r>
      <w:r>
        <w:rPr>
          <w:spacing w:val="51"/>
          <w:sz w:val="20"/>
        </w:rPr>
        <w:t xml:space="preserve"> </w:t>
      </w:r>
      <w:r>
        <w:rPr>
          <w:sz w:val="20"/>
        </w:rPr>
        <w:t>economically</w:t>
      </w:r>
    </w:p>
    <w:p w14:paraId="660BC2DB" w14:textId="77777777" w:rsidR="00FA4AA8" w:rsidRDefault="0015611F">
      <w:pPr>
        <w:pStyle w:val="ListParagraph"/>
        <w:numPr>
          <w:ilvl w:val="1"/>
          <w:numId w:val="71"/>
        </w:numPr>
        <w:tabs>
          <w:tab w:val="left" w:pos="1227"/>
          <w:tab w:val="left" w:pos="1228"/>
        </w:tabs>
        <w:spacing w:before="68" w:line="254" w:lineRule="auto"/>
        <w:ind w:left="1228" w:right="1773"/>
        <w:rPr>
          <w:sz w:val="20"/>
        </w:rPr>
      </w:pPr>
      <w:r>
        <w:rPr>
          <w:sz w:val="20"/>
        </w:rPr>
        <w:t>about</w:t>
      </w:r>
      <w:r>
        <w:rPr>
          <w:spacing w:val="-13"/>
          <w:sz w:val="20"/>
        </w:rPr>
        <w:t xml:space="preserve"> </w:t>
      </w:r>
      <w:r>
        <w:rPr>
          <w:sz w:val="20"/>
        </w:rPr>
        <w:t>the</w:t>
      </w:r>
      <w:r>
        <w:rPr>
          <w:spacing w:val="-14"/>
          <w:sz w:val="20"/>
        </w:rPr>
        <w:t xml:space="preserve"> </w:t>
      </w:r>
      <w:r>
        <w:rPr>
          <w:sz w:val="20"/>
        </w:rPr>
        <w:t>security</w:t>
      </w:r>
      <w:r>
        <w:rPr>
          <w:spacing w:val="-6"/>
          <w:sz w:val="20"/>
        </w:rPr>
        <w:t xml:space="preserve"> </w:t>
      </w:r>
      <w:r>
        <w:rPr>
          <w:color w:val="131313"/>
          <w:sz w:val="20"/>
        </w:rPr>
        <w:t>and</w:t>
      </w:r>
      <w:r>
        <w:rPr>
          <w:color w:val="131313"/>
          <w:spacing w:val="-13"/>
          <w:sz w:val="20"/>
        </w:rPr>
        <w:t xml:space="preserve"> </w:t>
      </w:r>
      <w:r>
        <w:rPr>
          <w:sz w:val="20"/>
        </w:rPr>
        <w:t>controls</w:t>
      </w:r>
      <w:r>
        <w:rPr>
          <w:spacing w:val="-10"/>
          <w:sz w:val="20"/>
        </w:rPr>
        <w:t xml:space="preserve"> </w:t>
      </w:r>
      <w:r>
        <w:rPr>
          <w:sz w:val="20"/>
        </w:rPr>
        <w:t>over</w:t>
      </w:r>
      <w:r>
        <w:rPr>
          <w:spacing w:val="-10"/>
          <w:sz w:val="20"/>
        </w:rPr>
        <w:t xml:space="preserve"> </w:t>
      </w:r>
      <w:r>
        <w:rPr>
          <w:sz w:val="20"/>
        </w:rPr>
        <w:t>the</w:t>
      </w:r>
      <w:r>
        <w:rPr>
          <w:spacing w:val="-7"/>
          <w:sz w:val="20"/>
        </w:rPr>
        <w:t xml:space="preserve"> </w:t>
      </w:r>
      <w:r>
        <w:rPr>
          <w:sz w:val="20"/>
        </w:rPr>
        <w:t>electronic</w:t>
      </w:r>
      <w:r>
        <w:rPr>
          <w:spacing w:val="-1"/>
          <w:sz w:val="20"/>
        </w:rPr>
        <w:t xml:space="preserve"> </w:t>
      </w:r>
      <w:r>
        <w:rPr>
          <w:sz w:val="20"/>
        </w:rPr>
        <w:t xml:space="preserve">publication </w:t>
      </w:r>
      <w:r>
        <w:rPr>
          <w:color w:val="151515"/>
          <w:sz w:val="20"/>
        </w:rPr>
        <w:t>of</w:t>
      </w:r>
      <w:r>
        <w:rPr>
          <w:color w:val="151515"/>
          <w:spacing w:val="-10"/>
          <w:sz w:val="20"/>
        </w:rPr>
        <w:t xml:space="preserve"> </w:t>
      </w:r>
      <w:r>
        <w:rPr>
          <w:sz w:val="20"/>
        </w:rPr>
        <w:t>the</w:t>
      </w:r>
      <w:r>
        <w:rPr>
          <w:spacing w:val="-14"/>
          <w:sz w:val="20"/>
        </w:rPr>
        <w:t xml:space="preserve"> </w:t>
      </w:r>
      <w:r>
        <w:rPr>
          <w:sz w:val="20"/>
        </w:rPr>
        <w:t>audited</w:t>
      </w:r>
      <w:r>
        <w:rPr>
          <w:spacing w:val="-4"/>
          <w:sz w:val="20"/>
        </w:rPr>
        <w:t xml:space="preserve"> </w:t>
      </w:r>
      <w:r>
        <w:rPr>
          <w:sz w:val="20"/>
        </w:rPr>
        <w:t xml:space="preserve">financial statements </w:t>
      </w:r>
      <w:r>
        <w:rPr>
          <w:color w:val="0F0F0F"/>
          <w:sz w:val="20"/>
        </w:rPr>
        <w:t xml:space="preserve">on </w:t>
      </w:r>
      <w:r>
        <w:rPr>
          <w:sz w:val="20"/>
        </w:rPr>
        <w:t>any website where they may be</w:t>
      </w:r>
      <w:r>
        <w:rPr>
          <w:spacing w:val="55"/>
          <w:sz w:val="20"/>
        </w:rPr>
        <w:t xml:space="preserve"> </w:t>
      </w:r>
      <w:r>
        <w:rPr>
          <w:sz w:val="20"/>
        </w:rPr>
        <w:t>presented</w:t>
      </w:r>
    </w:p>
    <w:p w14:paraId="6C3F355B" w14:textId="77777777" w:rsidR="00FA4AA8" w:rsidRDefault="0015611F">
      <w:pPr>
        <w:pStyle w:val="ListParagraph"/>
        <w:numPr>
          <w:ilvl w:val="1"/>
          <w:numId w:val="71"/>
        </w:numPr>
        <w:tabs>
          <w:tab w:val="left" w:pos="1227"/>
          <w:tab w:val="left" w:pos="1228"/>
        </w:tabs>
        <w:spacing w:before="50"/>
        <w:ind w:left="1227"/>
        <w:rPr>
          <w:sz w:val="20"/>
        </w:rPr>
      </w:pPr>
      <w:r>
        <w:rPr>
          <w:sz w:val="20"/>
        </w:rPr>
        <w:t xml:space="preserve">about any other information which may </w:t>
      </w:r>
      <w:r>
        <w:rPr>
          <w:color w:val="0C0C0C"/>
          <w:sz w:val="20"/>
        </w:rPr>
        <w:t xml:space="preserve">have </w:t>
      </w:r>
      <w:r>
        <w:rPr>
          <w:sz w:val="20"/>
        </w:rPr>
        <w:t>been hyperlinked to/from the financial</w:t>
      </w:r>
      <w:r>
        <w:rPr>
          <w:spacing w:val="14"/>
          <w:sz w:val="20"/>
        </w:rPr>
        <w:t xml:space="preserve"> </w:t>
      </w:r>
      <w:r>
        <w:rPr>
          <w:sz w:val="20"/>
        </w:rPr>
        <w:t>statements.</w:t>
      </w:r>
    </w:p>
    <w:p w14:paraId="4FEED02E" w14:textId="77777777" w:rsidR="00FA4AA8" w:rsidRDefault="00FA4AA8">
      <w:pPr>
        <w:pStyle w:val="BodyText"/>
        <w:rPr>
          <w:sz w:val="20"/>
        </w:rPr>
      </w:pPr>
    </w:p>
    <w:p w14:paraId="17B552C0" w14:textId="77777777" w:rsidR="00FA4AA8" w:rsidRDefault="00FA4AA8">
      <w:pPr>
        <w:pStyle w:val="BodyText"/>
        <w:rPr>
          <w:sz w:val="20"/>
        </w:rPr>
      </w:pPr>
    </w:p>
    <w:p w14:paraId="223441A8" w14:textId="77777777" w:rsidR="00FA4AA8" w:rsidRDefault="00FA4AA8">
      <w:pPr>
        <w:pStyle w:val="BodyText"/>
        <w:rPr>
          <w:sz w:val="20"/>
        </w:rPr>
      </w:pPr>
    </w:p>
    <w:p w14:paraId="49C77C75" w14:textId="77777777" w:rsidR="00FA4AA8" w:rsidRDefault="00FA4AA8">
      <w:pPr>
        <w:pStyle w:val="BodyText"/>
        <w:rPr>
          <w:sz w:val="20"/>
        </w:rPr>
      </w:pPr>
    </w:p>
    <w:p w14:paraId="04FE77B7" w14:textId="77777777" w:rsidR="00FA4AA8" w:rsidRDefault="00FA4AA8">
      <w:pPr>
        <w:pStyle w:val="BodyText"/>
        <w:rPr>
          <w:sz w:val="20"/>
        </w:rPr>
      </w:pPr>
    </w:p>
    <w:p w14:paraId="3143477A" w14:textId="77777777" w:rsidR="00FA4AA8" w:rsidRDefault="0015611F">
      <w:pPr>
        <w:pStyle w:val="BodyText"/>
        <w:spacing w:before="5"/>
        <w:rPr>
          <w:sz w:val="11"/>
        </w:rPr>
      </w:pPr>
      <w:r>
        <w:rPr>
          <w:noProof/>
          <w:lang w:val="en-AU" w:eastAsia="en-AU"/>
        </w:rPr>
        <w:drawing>
          <wp:anchor distT="0" distB="0" distL="0" distR="0" simplePos="0" relativeHeight="58" behindDoc="0" locked="0" layoutInCell="1" allowOverlap="1" wp14:anchorId="7B681FE8" wp14:editId="649D0828">
            <wp:simplePos x="0" y="0"/>
            <wp:positionH relativeFrom="page">
              <wp:posOffset>1076016</wp:posOffset>
            </wp:positionH>
            <wp:positionV relativeFrom="paragraph">
              <wp:posOffset>108700</wp:posOffset>
            </wp:positionV>
            <wp:extent cx="2127445" cy="268224"/>
            <wp:effectExtent l="0" t="0" r="0" b="0"/>
            <wp:wrapTopAndBottom/>
            <wp:docPr id="1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jpeg"/>
                    <pic:cNvPicPr/>
                  </pic:nvPicPr>
                  <pic:blipFill>
                    <a:blip r:embed="rId58" cstate="print"/>
                    <a:stretch>
                      <a:fillRect/>
                    </a:stretch>
                  </pic:blipFill>
                  <pic:spPr>
                    <a:xfrm>
                      <a:off x="0" y="0"/>
                      <a:ext cx="2127445" cy="268224"/>
                    </a:xfrm>
                    <a:prstGeom prst="rect">
                      <a:avLst/>
                    </a:prstGeom>
                  </pic:spPr>
                </pic:pic>
              </a:graphicData>
            </a:graphic>
          </wp:anchor>
        </w:drawing>
      </w:r>
    </w:p>
    <w:p w14:paraId="7D19DC4C" w14:textId="77777777" w:rsidR="00FA4AA8" w:rsidRDefault="0015611F">
      <w:pPr>
        <w:spacing w:before="86"/>
        <w:ind w:left="662"/>
        <w:rPr>
          <w:sz w:val="20"/>
        </w:rPr>
      </w:pPr>
      <w:r>
        <w:rPr>
          <w:sz w:val="20"/>
        </w:rPr>
        <w:t>Margaret Crawford</w:t>
      </w:r>
    </w:p>
    <w:p w14:paraId="64254CAA" w14:textId="77777777" w:rsidR="00FA4AA8" w:rsidRDefault="0015611F">
      <w:pPr>
        <w:ind w:left="658"/>
        <w:rPr>
          <w:sz w:val="21"/>
        </w:rPr>
      </w:pPr>
      <w:r>
        <w:rPr>
          <w:sz w:val="21"/>
        </w:rPr>
        <w:t>Auditor-General of NSW</w:t>
      </w:r>
    </w:p>
    <w:p w14:paraId="05FAF5BF" w14:textId="77777777" w:rsidR="00FA4AA8" w:rsidRDefault="00FA4AA8">
      <w:pPr>
        <w:pStyle w:val="BodyText"/>
        <w:rPr>
          <w:sz w:val="22"/>
        </w:rPr>
      </w:pPr>
    </w:p>
    <w:p w14:paraId="07B247A7" w14:textId="77777777" w:rsidR="00FA4AA8" w:rsidRDefault="00FA4AA8">
      <w:pPr>
        <w:pStyle w:val="BodyText"/>
        <w:spacing w:before="7"/>
        <w:rPr>
          <w:sz w:val="29"/>
        </w:rPr>
      </w:pPr>
    </w:p>
    <w:p w14:paraId="5D738C09" w14:textId="77777777" w:rsidR="00FA4AA8" w:rsidRDefault="0015611F">
      <w:pPr>
        <w:spacing w:line="249" w:lineRule="auto"/>
        <w:ind w:left="658" w:right="8461" w:firstLine="172"/>
        <w:rPr>
          <w:sz w:val="20"/>
        </w:rPr>
      </w:pPr>
      <w:r>
        <w:rPr>
          <w:sz w:val="20"/>
        </w:rPr>
        <w:t>April 2019 SYDNEY</w:t>
      </w:r>
    </w:p>
    <w:p w14:paraId="34D02237" w14:textId="77777777" w:rsidR="00FA4AA8" w:rsidRDefault="00FA4AA8">
      <w:pPr>
        <w:spacing w:line="249" w:lineRule="auto"/>
        <w:rPr>
          <w:sz w:val="20"/>
        </w:rPr>
        <w:sectPr w:rsidR="00FA4AA8">
          <w:headerReference w:type="default" r:id="rId59"/>
          <w:footerReference w:type="default" r:id="rId60"/>
          <w:pgSz w:w="11900" w:h="16840"/>
          <w:pgMar w:top="1180" w:right="780" w:bottom="720" w:left="700" w:header="0" w:footer="523" w:gutter="0"/>
          <w:pgNumType w:start="86"/>
          <w:cols w:space="720"/>
        </w:sectPr>
      </w:pPr>
    </w:p>
    <w:p w14:paraId="2FBD75DE" w14:textId="77777777" w:rsidR="00FA4AA8" w:rsidRDefault="00FA4AA8">
      <w:pPr>
        <w:pStyle w:val="BodyText"/>
        <w:rPr>
          <w:sz w:val="20"/>
        </w:rPr>
      </w:pPr>
    </w:p>
    <w:p w14:paraId="125F8FFB" w14:textId="77777777" w:rsidR="00FA4AA8" w:rsidRDefault="00FA4AA8">
      <w:pPr>
        <w:pStyle w:val="BodyText"/>
        <w:rPr>
          <w:sz w:val="20"/>
        </w:rPr>
      </w:pPr>
    </w:p>
    <w:p w14:paraId="77234AD9" w14:textId="77777777" w:rsidR="00FA4AA8" w:rsidRDefault="00FA4AA8">
      <w:pPr>
        <w:pStyle w:val="BodyText"/>
        <w:rPr>
          <w:sz w:val="20"/>
        </w:rPr>
      </w:pPr>
    </w:p>
    <w:p w14:paraId="1FFB6FA7" w14:textId="77777777" w:rsidR="00FA4AA8" w:rsidRDefault="00FA4AA8">
      <w:pPr>
        <w:pStyle w:val="BodyText"/>
        <w:rPr>
          <w:sz w:val="20"/>
        </w:rPr>
      </w:pPr>
    </w:p>
    <w:p w14:paraId="0BF72739" w14:textId="77777777" w:rsidR="00FA4AA8" w:rsidRDefault="00FA4AA8">
      <w:pPr>
        <w:pStyle w:val="BodyText"/>
        <w:rPr>
          <w:sz w:val="20"/>
        </w:rPr>
      </w:pPr>
    </w:p>
    <w:p w14:paraId="23A8691C" w14:textId="77777777" w:rsidR="00FA4AA8" w:rsidRDefault="00FA4AA8">
      <w:pPr>
        <w:pStyle w:val="BodyText"/>
        <w:rPr>
          <w:sz w:val="20"/>
        </w:rPr>
      </w:pPr>
    </w:p>
    <w:p w14:paraId="0ED521E1" w14:textId="77777777" w:rsidR="00FA4AA8" w:rsidRDefault="00FA4AA8">
      <w:pPr>
        <w:pStyle w:val="BodyText"/>
        <w:rPr>
          <w:sz w:val="20"/>
        </w:rPr>
      </w:pPr>
    </w:p>
    <w:p w14:paraId="21816BE3" w14:textId="77777777" w:rsidR="00FA4AA8" w:rsidRDefault="00FA4AA8">
      <w:pPr>
        <w:pStyle w:val="BodyText"/>
        <w:rPr>
          <w:sz w:val="20"/>
        </w:rPr>
      </w:pPr>
    </w:p>
    <w:p w14:paraId="7D14B150" w14:textId="77777777" w:rsidR="00FA4AA8" w:rsidRDefault="00FA4AA8">
      <w:pPr>
        <w:pStyle w:val="BodyText"/>
        <w:rPr>
          <w:sz w:val="20"/>
        </w:rPr>
      </w:pPr>
    </w:p>
    <w:p w14:paraId="1DE33FB4" w14:textId="77777777" w:rsidR="00FA4AA8" w:rsidRDefault="00FA4AA8">
      <w:pPr>
        <w:pStyle w:val="BodyText"/>
        <w:rPr>
          <w:sz w:val="20"/>
        </w:rPr>
      </w:pPr>
    </w:p>
    <w:p w14:paraId="320F96C3" w14:textId="77777777" w:rsidR="00FA4AA8" w:rsidRDefault="00FA4AA8">
      <w:pPr>
        <w:pStyle w:val="BodyText"/>
        <w:rPr>
          <w:sz w:val="20"/>
        </w:rPr>
      </w:pPr>
    </w:p>
    <w:p w14:paraId="1B177D6D" w14:textId="77777777" w:rsidR="00FA4AA8" w:rsidRDefault="00FA4AA8">
      <w:pPr>
        <w:pStyle w:val="BodyText"/>
        <w:rPr>
          <w:sz w:val="20"/>
        </w:rPr>
      </w:pPr>
    </w:p>
    <w:p w14:paraId="6F33761E" w14:textId="77777777" w:rsidR="00FA4AA8" w:rsidRDefault="00FA4AA8">
      <w:pPr>
        <w:pStyle w:val="BodyText"/>
        <w:rPr>
          <w:sz w:val="20"/>
        </w:rPr>
      </w:pPr>
    </w:p>
    <w:p w14:paraId="24474D98" w14:textId="77777777" w:rsidR="00FA4AA8" w:rsidRDefault="00FA4AA8">
      <w:pPr>
        <w:pStyle w:val="BodyText"/>
        <w:rPr>
          <w:sz w:val="20"/>
        </w:rPr>
      </w:pPr>
    </w:p>
    <w:p w14:paraId="5E787AE3" w14:textId="77777777" w:rsidR="00FA4AA8" w:rsidRDefault="00FA4AA8">
      <w:pPr>
        <w:pStyle w:val="BodyText"/>
        <w:rPr>
          <w:sz w:val="20"/>
        </w:rPr>
      </w:pPr>
    </w:p>
    <w:p w14:paraId="4F0F38EC" w14:textId="77777777" w:rsidR="00FA4AA8" w:rsidRDefault="00FA4AA8">
      <w:pPr>
        <w:pStyle w:val="BodyText"/>
        <w:rPr>
          <w:sz w:val="20"/>
        </w:rPr>
      </w:pPr>
    </w:p>
    <w:p w14:paraId="16078323" w14:textId="77777777" w:rsidR="00FA4AA8" w:rsidRDefault="00FA4AA8">
      <w:pPr>
        <w:pStyle w:val="BodyText"/>
        <w:rPr>
          <w:sz w:val="20"/>
        </w:rPr>
      </w:pPr>
    </w:p>
    <w:p w14:paraId="393EA18B" w14:textId="77777777" w:rsidR="00FA4AA8" w:rsidRDefault="00FA4AA8">
      <w:pPr>
        <w:pStyle w:val="BodyText"/>
        <w:rPr>
          <w:sz w:val="20"/>
        </w:rPr>
      </w:pPr>
    </w:p>
    <w:p w14:paraId="32C82471" w14:textId="77777777" w:rsidR="00FA4AA8" w:rsidRDefault="00FA4AA8">
      <w:pPr>
        <w:pStyle w:val="BodyText"/>
        <w:spacing w:before="11"/>
        <w:rPr>
          <w:sz w:val="24"/>
        </w:rPr>
      </w:pPr>
    </w:p>
    <w:p w14:paraId="432ADFD0" w14:textId="77777777" w:rsidR="00FA4AA8" w:rsidRDefault="0015611F">
      <w:pPr>
        <w:spacing w:before="82"/>
        <w:ind w:left="127"/>
        <w:rPr>
          <w:b/>
          <w:sz w:val="56"/>
        </w:rPr>
      </w:pPr>
      <w:bookmarkStart w:id="99" w:name="3._WSU_Enterprises_Pty_Ltd_-_2018_Financ"/>
      <w:bookmarkStart w:id="100" w:name="Western_Sydney_Enterprises_Pty_Ltd_2018_"/>
      <w:bookmarkEnd w:id="99"/>
      <w:bookmarkEnd w:id="100"/>
      <w:r>
        <w:rPr>
          <w:b/>
          <w:sz w:val="56"/>
        </w:rPr>
        <w:t>Western Sydney University Enterprises Pty Limited Trading as Western Sydney University The College</w:t>
      </w:r>
    </w:p>
    <w:p w14:paraId="5ED90374" w14:textId="77777777" w:rsidR="00FA4AA8" w:rsidRDefault="0015611F">
      <w:pPr>
        <w:spacing w:before="1"/>
        <w:ind w:left="127"/>
        <w:rPr>
          <w:b/>
          <w:sz w:val="20"/>
        </w:rPr>
      </w:pPr>
      <w:r>
        <w:rPr>
          <w:b/>
          <w:sz w:val="20"/>
        </w:rPr>
        <w:t>ABN: 44 003 474 468</w:t>
      </w:r>
    </w:p>
    <w:p w14:paraId="466671A0" w14:textId="77777777" w:rsidR="00FA4AA8" w:rsidRDefault="00FA4AA8">
      <w:pPr>
        <w:pStyle w:val="BodyText"/>
        <w:spacing w:before="11"/>
        <w:rPr>
          <w:b/>
          <w:sz w:val="27"/>
        </w:rPr>
      </w:pPr>
    </w:p>
    <w:p w14:paraId="6321E3F6" w14:textId="77777777" w:rsidR="00FA4AA8" w:rsidRDefault="0015611F">
      <w:pPr>
        <w:ind w:left="127"/>
        <w:rPr>
          <w:b/>
          <w:sz w:val="28"/>
        </w:rPr>
      </w:pPr>
      <w:r>
        <w:rPr>
          <w:b/>
          <w:sz w:val="28"/>
        </w:rPr>
        <w:t>Financial Statements</w:t>
      </w:r>
    </w:p>
    <w:p w14:paraId="2633303B" w14:textId="77777777" w:rsidR="00FA4AA8" w:rsidRDefault="0015611F">
      <w:pPr>
        <w:spacing w:before="230"/>
        <w:ind w:left="127"/>
        <w:rPr>
          <w:b/>
          <w:sz w:val="20"/>
        </w:rPr>
      </w:pPr>
      <w:r>
        <w:rPr>
          <w:b/>
          <w:sz w:val="20"/>
        </w:rPr>
        <w:t>For the Year Ended 31 December 2018</w:t>
      </w:r>
    </w:p>
    <w:p w14:paraId="14CE1570" w14:textId="77777777" w:rsidR="00FA4AA8" w:rsidRDefault="00FA4AA8">
      <w:pPr>
        <w:pStyle w:val="BodyText"/>
        <w:rPr>
          <w:b/>
          <w:sz w:val="22"/>
        </w:rPr>
      </w:pPr>
    </w:p>
    <w:p w14:paraId="41192089" w14:textId="77777777" w:rsidR="00FA4AA8" w:rsidRDefault="00FA4AA8">
      <w:pPr>
        <w:pStyle w:val="BodyText"/>
        <w:rPr>
          <w:b/>
          <w:sz w:val="22"/>
        </w:rPr>
      </w:pPr>
    </w:p>
    <w:p w14:paraId="7C02001B" w14:textId="77777777" w:rsidR="00FA4AA8" w:rsidRDefault="00FA4AA8">
      <w:pPr>
        <w:pStyle w:val="BodyText"/>
        <w:rPr>
          <w:b/>
          <w:sz w:val="22"/>
        </w:rPr>
      </w:pPr>
    </w:p>
    <w:p w14:paraId="73CB11ED" w14:textId="77777777" w:rsidR="00FA4AA8" w:rsidRDefault="00FA4AA8">
      <w:pPr>
        <w:pStyle w:val="BodyText"/>
        <w:rPr>
          <w:b/>
          <w:sz w:val="22"/>
        </w:rPr>
      </w:pPr>
    </w:p>
    <w:p w14:paraId="507BB6B2" w14:textId="77777777" w:rsidR="00FA4AA8" w:rsidRDefault="00FA4AA8">
      <w:pPr>
        <w:pStyle w:val="BodyText"/>
        <w:rPr>
          <w:b/>
          <w:sz w:val="22"/>
        </w:rPr>
      </w:pPr>
    </w:p>
    <w:p w14:paraId="351C9F69" w14:textId="77777777" w:rsidR="00FA4AA8" w:rsidRDefault="00FA4AA8">
      <w:pPr>
        <w:pStyle w:val="BodyText"/>
        <w:rPr>
          <w:b/>
          <w:sz w:val="22"/>
        </w:rPr>
      </w:pPr>
    </w:p>
    <w:p w14:paraId="261C4355" w14:textId="77777777" w:rsidR="00FA4AA8" w:rsidRDefault="00FA4AA8">
      <w:pPr>
        <w:pStyle w:val="BodyText"/>
        <w:rPr>
          <w:b/>
          <w:sz w:val="22"/>
        </w:rPr>
      </w:pPr>
    </w:p>
    <w:p w14:paraId="254FD299" w14:textId="77777777" w:rsidR="00FA4AA8" w:rsidRDefault="00FA4AA8">
      <w:pPr>
        <w:pStyle w:val="BodyText"/>
        <w:rPr>
          <w:b/>
          <w:sz w:val="22"/>
        </w:rPr>
      </w:pPr>
    </w:p>
    <w:p w14:paraId="024EEC56" w14:textId="77777777" w:rsidR="00FA4AA8" w:rsidRDefault="00FA4AA8">
      <w:pPr>
        <w:pStyle w:val="BodyText"/>
        <w:rPr>
          <w:b/>
          <w:sz w:val="22"/>
        </w:rPr>
      </w:pPr>
    </w:p>
    <w:p w14:paraId="28CD4DED" w14:textId="77777777" w:rsidR="00FA4AA8" w:rsidRDefault="00FA4AA8">
      <w:pPr>
        <w:pStyle w:val="BodyText"/>
        <w:spacing w:before="3"/>
        <w:rPr>
          <w:b/>
          <w:sz w:val="25"/>
        </w:rPr>
      </w:pPr>
    </w:p>
    <w:p w14:paraId="673336CB" w14:textId="77777777" w:rsidR="00FA4AA8" w:rsidRDefault="0015611F">
      <w:pPr>
        <w:spacing w:before="1"/>
        <w:ind w:left="107" w:right="231"/>
        <w:rPr>
          <w:sz w:val="20"/>
        </w:rPr>
      </w:pPr>
      <w:r>
        <w:rPr>
          <w:sz w:val="20"/>
        </w:rPr>
        <w:t>These financial statements are of Western Sydney University Enterprises Pty Limited as an individual entity. The financial statements are presented in the Australian currency.</w:t>
      </w:r>
    </w:p>
    <w:p w14:paraId="32C9F558" w14:textId="77777777" w:rsidR="00FA4AA8" w:rsidRDefault="0015611F">
      <w:pPr>
        <w:spacing w:before="170"/>
        <w:ind w:left="107" w:right="231"/>
        <w:rPr>
          <w:sz w:val="20"/>
        </w:rPr>
      </w:pPr>
      <w:r>
        <w:rPr>
          <w:sz w:val="20"/>
        </w:rPr>
        <w:t>Western Sydney University Enterprises Pty Limited (the Company) is a company limited by shares, incorporated and domiciled in Australia. Its registered office and principal place of business is:</w:t>
      </w:r>
    </w:p>
    <w:p w14:paraId="08D60484" w14:textId="77777777" w:rsidR="00FA4AA8" w:rsidRDefault="0015611F">
      <w:pPr>
        <w:spacing w:before="170"/>
        <w:ind w:left="107"/>
        <w:rPr>
          <w:sz w:val="20"/>
        </w:rPr>
      </w:pPr>
      <w:r>
        <w:rPr>
          <w:sz w:val="20"/>
        </w:rPr>
        <w:t>Nirimba Education Precinct</w:t>
      </w:r>
    </w:p>
    <w:p w14:paraId="157803BD" w14:textId="77777777" w:rsidR="00FA4AA8" w:rsidRDefault="0015611F">
      <w:pPr>
        <w:spacing w:before="169"/>
        <w:ind w:left="107"/>
        <w:rPr>
          <w:sz w:val="20"/>
        </w:rPr>
      </w:pPr>
      <w:r>
        <w:rPr>
          <w:sz w:val="20"/>
        </w:rPr>
        <w:t>Eastern Road, Quakers Hill NSW 2763</w:t>
      </w:r>
    </w:p>
    <w:p w14:paraId="38341D96" w14:textId="77777777" w:rsidR="00FA4AA8" w:rsidRDefault="0015611F">
      <w:pPr>
        <w:spacing w:before="170"/>
        <w:ind w:left="107"/>
        <w:rPr>
          <w:sz w:val="20"/>
        </w:rPr>
      </w:pPr>
      <w:r>
        <w:rPr>
          <w:sz w:val="20"/>
        </w:rPr>
        <w:t>A description of the nature of the Company's operations and its principal activities is included in the directors' report on pages 88 to 90, which is not part of these financial statements.</w:t>
      </w:r>
    </w:p>
    <w:p w14:paraId="425FD89C" w14:textId="77777777" w:rsidR="00FA4AA8" w:rsidRDefault="0015611F">
      <w:pPr>
        <w:spacing w:before="170"/>
        <w:ind w:left="107"/>
        <w:rPr>
          <w:sz w:val="20"/>
        </w:rPr>
      </w:pPr>
      <w:r>
        <w:rPr>
          <w:sz w:val="20"/>
        </w:rPr>
        <w:t>The financial statements were authorised for issue by the directors on 15 March 2019. The directors have the power to amend and reissue the financial statements.</w:t>
      </w:r>
    </w:p>
    <w:p w14:paraId="7205BFB2" w14:textId="77777777" w:rsidR="00FA4AA8" w:rsidRDefault="00FA4AA8">
      <w:pPr>
        <w:rPr>
          <w:sz w:val="20"/>
        </w:rPr>
        <w:sectPr w:rsidR="00FA4AA8">
          <w:headerReference w:type="default" r:id="rId61"/>
          <w:footerReference w:type="default" r:id="rId62"/>
          <w:pgSz w:w="11910" w:h="16840"/>
          <w:pgMar w:top="1580" w:right="880" w:bottom="720" w:left="880" w:header="0" w:footer="523" w:gutter="0"/>
          <w:pgNumType w:start="87"/>
          <w:cols w:space="720"/>
        </w:sectPr>
      </w:pPr>
    </w:p>
    <w:p w14:paraId="61980680" w14:textId="77777777" w:rsidR="00FA4AA8" w:rsidRDefault="00FA4AA8">
      <w:pPr>
        <w:pStyle w:val="BodyText"/>
        <w:spacing w:before="6"/>
        <w:rPr>
          <w:sz w:val="21"/>
        </w:rPr>
      </w:pPr>
    </w:p>
    <w:p w14:paraId="203E39A3" w14:textId="77777777" w:rsidR="00FA4AA8" w:rsidRDefault="0015611F">
      <w:pPr>
        <w:spacing w:before="91"/>
        <w:ind w:left="127"/>
        <w:rPr>
          <w:b/>
          <w:sz w:val="28"/>
        </w:rPr>
      </w:pPr>
      <w:bookmarkStart w:id="101" w:name="Directors'_Report_and_Directors'_Declara"/>
      <w:bookmarkEnd w:id="101"/>
      <w:r>
        <w:rPr>
          <w:b/>
          <w:sz w:val="28"/>
        </w:rPr>
        <w:t>Directors' Report</w:t>
      </w:r>
    </w:p>
    <w:p w14:paraId="0E35F397" w14:textId="77777777" w:rsidR="00FA4AA8" w:rsidRDefault="0015611F">
      <w:pPr>
        <w:spacing w:before="57"/>
        <w:ind w:left="127"/>
        <w:rPr>
          <w:b/>
        </w:rPr>
      </w:pPr>
      <w:bookmarkStart w:id="102" w:name="1._General_information_"/>
      <w:bookmarkEnd w:id="102"/>
      <w:r>
        <w:rPr>
          <w:b/>
        </w:rPr>
        <w:t>31 December 2018</w:t>
      </w:r>
    </w:p>
    <w:p w14:paraId="46CEA55F" w14:textId="77777777" w:rsidR="00FA4AA8" w:rsidRDefault="00FA4AA8">
      <w:pPr>
        <w:pStyle w:val="BodyText"/>
        <w:rPr>
          <w:b/>
          <w:sz w:val="25"/>
        </w:rPr>
      </w:pPr>
    </w:p>
    <w:p w14:paraId="00AB0C3A" w14:textId="77777777" w:rsidR="00FA4AA8" w:rsidRDefault="0015611F">
      <w:pPr>
        <w:pStyle w:val="BodyText"/>
        <w:ind w:left="524"/>
      </w:pPr>
      <w:r>
        <w:t>The directors present their report on Western Sydney University Enterprises Pty Limited trading as Western Sydney University The College (the Company) for the financial year ended 31 December 2018.</w:t>
      </w:r>
    </w:p>
    <w:p w14:paraId="3D00B0F6" w14:textId="77777777" w:rsidR="00FA4AA8" w:rsidRDefault="00FA4AA8">
      <w:pPr>
        <w:pStyle w:val="BodyText"/>
        <w:spacing w:before="11"/>
        <w:rPr>
          <w:sz w:val="24"/>
        </w:rPr>
      </w:pPr>
    </w:p>
    <w:p w14:paraId="5E91A76E" w14:textId="77777777" w:rsidR="00FA4AA8" w:rsidRDefault="0015611F">
      <w:pPr>
        <w:numPr>
          <w:ilvl w:val="0"/>
          <w:numId w:val="70"/>
        </w:numPr>
        <w:tabs>
          <w:tab w:val="left" w:pos="522"/>
          <w:tab w:val="left" w:pos="523"/>
        </w:tabs>
        <w:spacing w:line="595" w:lineRule="auto"/>
        <w:ind w:right="7537"/>
        <w:rPr>
          <w:b/>
          <w:sz w:val="18"/>
        </w:rPr>
      </w:pPr>
      <w:r>
        <w:rPr>
          <w:b/>
          <w:sz w:val="18"/>
        </w:rPr>
        <w:t>General information Information on</w:t>
      </w:r>
      <w:r>
        <w:rPr>
          <w:b/>
          <w:spacing w:val="-11"/>
          <w:sz w:val="18"/>
        </w:rPr>
        <w:t xml:space="preserve"> </w:t>
      </w:r>
      <w:r>
        <w:rPr>
          <w:b/>
          <w:sz w:val="18"/>
        </w:rPr>
        <w:t>directors</w:t>
      </w:r>
    </w:p>
    <w:p w14:paraId="14D11901" w14:textId="77777777" w:rsidR="00FA4AA8" w:rsidRDefault="0015611F">
      <w:pPr>
        <w:pStyle w:val="BodyText"/>
        <w:spacing w:line="193" w:lineRule="exact"/>
        <w:ind w:left="524"/>
      </w:pPr>
      <w:r>
        <w:t>The name and qualification of each person who has been a director during the year and to the date of this report are:</w:t>
      </w:r>
    </w:p>
    <w:p w14:paraId="34B90060" w14:textId="77777777" w:rsidR="00FA4AA8" w:rsidRDefault="00FA4AA8">
      <w:pPr>
        <w:pStyle w:val="BodyText"/>
        <w:spacing w:before="4"/>
        <w:rPr>
          <w:sz w:val="25"/>
        </w:rPr>
      </w:pPr>
    </w:p>
    <w:p w14:paraId="38502184" w14:textId="77777777" w:rsidR="00FA4AA8" w:rsidRDefault="0015611F">
      <w:pPr>
        <w:pStyle w:val="BodyText"/>
        <w:tabs>
          <w:tab w:val="left" w:pos="2875"/>
        </w:tabs>
        <w:spacing w:before="1" w:line="612" w:lineRule="auto"/>
        <w:ind w:left="523" w:right="2896"/>
      </w:pPr>
      <w:r>
        <w:t>Ms</w:t>
      </w:r>
      <w:r>
        <w:rPr>
          <w:spacing w:val="-5"/>
        </w:rPr>
        <w:t xml:space="preserve"> </w:t>
      </w:r>
      <w:r>
        <w:t>Belinda</w:t>
      </w:r>
      <w:r>
        <w:rPr>
          <w:spacing w:val="-4"/>
        </w:rPr>
        <w:t xml:space="preserve"> </w:t>
      </w:r>
      <w:r>
        <w:t>Robinson</w:t>
      </w:r>
      <w:r>
        <w:tab/>
        <w:t>BA</w:t>
      </w:r>
      <w:r>
        <w:rPr>
          <w:spacing w:val="-5"/>
        </w:rPr>
        <w:t xml:space="preserve"> </w:t>
      </w:r>
      <w:r>
        <w:t>MEnvLaw</w:t>
      </w:r>
      <w:r>
        <w:rPr>
          <w:spacing w:val="-9"/>
        </w:rPr>
        <w:t xml:space="preserve"> </w:t>
      </w:r>
      <w:r>
        <w:t>FAICD</w:t>
      </w:r>
      <w:r>
        <w:rPr>
          <w:spacing w:val="-4"/>
        </w:rPr>
        <w:t xml:space="preserve"> </w:t>
      </w:r>
      <w:r>
        <w:t>-</w:t>
      </w:r>
      <w:r>
        <w:rPr>
          <w:spacing w:val="-5"/>
        </w:rPr>
        <w:t xml:space="preserve"> </w:t>
      </w:r>
      <w:r>
        <w:t>Appointed</w:t>
      </w:r>
      <w:r>
        <w:rPr>
          <w:spacing w:val="-5"/>
        </w:rPr>
        <w:t xml:space="preserve"> </w:t>
      </w:r>
      <w:r>
        <w:t>25</w:t>
      </w:r>
      <w:r>
        <w:rPr>
          <w:spacing w:val="-5"/>
        </w:rPr>
        <w:t xml:space="preserve"> </w:t>
      </w:r>
      <w:r>
        <w:t>June</w:t>
      </w:r>
      <w:r>
        <w:rPr>
          <w:spacing w:val="-4"/>
        </w:rPr>
        <w:t xml:space="preserve"> </w:t>
      </w:r>
      <w:r>
        <w:t>2018</w:t>
      </w:r>
      <w:r>
        <w:rPr>
          <w:spacing w:val="-5"/>
        </w:rPr>
        <w:t xml:space="preserve"> </w:t>
      </w:r>
      <w:r>
        <w:t>(Chair) Mr</w:t>
      </w:r>
      <w:r>
        <w:rPr>
          <w:spacing w:val="-4"/>
        </w:rPr>
        <w:t xml:space="preserve"> </w:t>
      </w:r>
      <w:r>
        <w:t>Angelo</w:t>
      </w:r>
      <w:r>
        <w:rPr>
          <w:spacing w:val="-4"/>
        </w:rPr>
        <w:t xml:space="preserve"> </w:t>
      </w:r>
      <w:r>
        <w:t>Kourtis</w:t>
      </w:r>
      <w:r>
        <w:tab/>
        <w:t>BA</w:t>
      </w:r>
    </w:p>
    <w:p w14:paraId="75229918" w14:textId="77777777" w:rsidR="00FA4AA8" w:rsidRDefault="0015611F">
      <w:pPr>
        <w:pStyle w:val="BodyText"/>
        <w:tabs>
          <w:tab w:val="left" w:pos="2875"/>
        </w:tabs>
        <w:ind w:left="523"/>
      </w:pPr>
      <w:r>
        <w:t>Ms</w:t>
      </w:r>
      <w:r>
        <w:rPr>
          <w:spacing w:val="-6"/>
        </w:rPr>
        <w:t xml:space="preserve"> </w:t>
      </w:r>
      <w:r>
        <w:t>Caroline</w:t>
      </w:r>
      <w:r>
        <w:rPr>
          <w:spacing w:val="-5"/>
        </w:rPr>
        <w:t xml:space="preserve"> </w:t>
      </w:r>
      <w:r>
        <w:t>Hutchinson</w:t>
      </w:r>
      <w:r>
        <w:tab/>
        <w:t>B Economics, B</w:t>
      </w:r>
      <w:r>
        <w:rPr>
          <w:spacing w:val="-3"/>
        </w:rPr>
        <w:t xml:space="preserve"> </w:t>
      </w:r>
      <w:r>
        <w:t>Laws</w:t>
      </w:r>
    </w:p>
    <w:p w14:paraId="4B582D3F" w14:textId="77777777" w:rsidR="00FA4AA8" w:rsidRDefault="00FA4AA8">
      <w:pPr>
        <w:pStyle w:val="BodyText"/>
        <w:spacing w:before="8"/>
        <w:rPr>
          <w:sz w:val="25"/>
        </w:rPr>
      </w:pPr>
    </w:p>
    <w:p w14:paraId="10CCA9B9" w14:textId="77777777" w:rsidR="00FA4AA8" w:rsidRDefault="0015611F">
      <w:pPr>
        <w:pStyle w:val="BodyText"/>
        <w:tabs>
          <w:tab w:val="left" w:pos="2875"/>
        </w:tabs>
        <w:ind w:left="523"/>
      </w:pPr>
      <w:r>
        <w:t>Ms</w:t>
      </w:r>
      <w:r>
        <w:rPr>
          <w:spacing w:val="-2"/>
        </w:rPr>
        <w:t xml:space="preserve"> </w:t>
      </w:r>
      <w:r>
        <w:t>Le</w:t>
      </w:r>
      <w:r>
        <w:rPr>
          <w:spacing w:val="-2"/>
        </w:rPr>
        <w:t xml:space="preserve"> </w:t>
      </w:r>
      <w:r>
        <w:t>Ho</w:t>
      </w:r>
      <w:r>
        <w:tab/>
        <w:t>Cert III Transport &amp;</w:t>
      </w:r>
      <w:r>
        <w:rPr>
          <w:spacing w:val="-1"/>
        </w:rPr>
        <w:t xml:space="preserve"> </w:t>
      </w:r>
      <w:r>
        <w:t>Logistics</w:t>
      </w:r>
    </w:p>
    <w:p w14:paraId="1697DDE6" w14:textId="77777777" w:rsidR="00FA4AA8" w:rsidRDefault="00FA4AA8">
      <w:pPr>
        <w:pStyle w:val="BodyText"/>
        <w:spacing w:before="11"/>
        <w:rPr>
          <w:sz w:val="27"/>
        </w:rPr>
      </w:pPr>
    </w:p>
    <w:p w14:paraId="5B28832A" w14:textId="77777777" w:rsidR="00FA4AA8" w:rsidRDefault="0015611F">
      <w:pPr>
        <w:pStyle w:val="BodyText"/>
        <w:tabs>
          <w:tab w:val="left" w:pos="2875"/>
        </w:tabs>
        <w:spacing w:line="612" w:lineRule="auto"/>
        <w:ind w:left="523" w:right="2335"/>
      </w:pPr>
      <w:r>
        <w:t>Professor</w:t>
      </w:r>
      <w:r>
        <w:rPr>
          <w:spacing w:val="-6"/>
        </w:rPr>
        <w:t xml:space="preserve"> </w:t>
      </w:r>
      <w:r>
        <w:t>Michele</w:t>
      </w:r>
      <w:r>
        <w:rPr>
          <w:spacing w:val="-6"/>
        </w:rPr>
        <w:t xml:space="preserve"> </w:t>
      </w:r>
      <w:r>
        <w:t>Simons</w:t>
      </w:r>
      <w:r>
        <w:tab/>
        <w:t>Doctor</w:t>
      </w:r>
      <w:r>
        <w:rPr>
          <w:spacing w:val="-5"/>
        </w:rPr>
        <w:t xml:space="preserve"> </w:t>
      </w:r>
      <w:r>
        <w:t>of</w:t>
      </w:r>
      <w:r>
        <w:rPr>
          <w:spacing w:val="-5"/>
        </w:rPr>
        <w:t xml:space="preserve"> </w:t>
      </w:r>
      <w:r>
        <w:t>Philosphy</w:t>
      </w:r>
      <w:r>
        <w:rPr>
          <w:spacing w:val="-5"/>
        </w:rPr>
        <w:t xml:space="preserve"> </w:t>
      </w:r>
      <w:r>
        <w:t>(PhD),</w:t>
      </w:r>
      <w:r>
        <w:rPr>
          <w:spacing w:val="-5"/>
        </w:rPr>
        <w:t xml:space="preserve"> </w:t>
      </w:r>
      <w:r>
        <w:t>BSocSC</w:t>
      </w:r>
      <w:r>
        <w:rPr>
          <w:spacing w:val="-5"/>
        </w:rPr>
        <w:t xml:space="preserve"> </w:t>
      </w:r>
      <w:r>
        <w:t>-</w:t>
      </w:r>
      <w:r>
        <w:rPr>
          <w:spacing w:val="-5"/>
        </w:rPr>
        <w:t xml:space="preserve"> </w:t>
      </w:r>
      <w:r>
        <w:t>Appointed</w:t>
      </w:r>
      <w:r>
        <w:rPr>
          <w:spacing w:val="-6"/>
        </w:rPr>
        <w:t xml:space="preserve"> </w:t>
      </w:r>
      <w:r>
        <w:t>10</w:t>
      </w:r>
      <w:r>
        <w:rPr>
          <w:spacing w:val="-5"/>
        </w:rPr>
        <w:t xml:space="preserve"> </w:t>
      </w:r>
      <w:r>
        <w:t>April</w:t>
      </w:r>
      <w:r>
        <w:rPr>
          <w:spacing w:val="-5"/>
        </w:rPr>
        <w:t xml:space="preserve"> </w:t>
      </w:r>
      <w:r>
        <w:t>2018 Mr</w:t>
      </w:r>
      <w:r>
        <w:rPr>
          <w:spacing w:val="-3"/>
        </w:rPr>
        <w:t xml:space="preserve"> </w:t>
      </w:r>
      <w:r>
        <w:t>Ramy</w:t>
      </w:r>
      <w:r>
        <w:rPr>
          <w:spacing w:val="-3"/>
        </w:rPr>
        <w:t xml:space="preserve"> </w:t>
      </w:r>
      <w:r>
        <w:t>Aziz</w:t>
      </w:r>
      <w:r>
        <w:tab/>
        <w:t>B.Bus, FCPA, FGIA</w:t>
      </w:r>
    </w:p>
    <w:p w14:paraId="3C3CCE74" w14:textId="77777777" w:rsidR="00FA4AA8" w:rsidRDefault="0015611F">
      <w:pPr>
        <w:pStyle w:val="BodyText"/>
        <w:tabs>
          <w:tab w:val="left" w:pos="2875"/>
        </w:tabs>
        <w:spacing w:line="182" w:lineRule="exact"/>
        <w:ind w:left="523"/>
      </w:pPr>
      <w:r>
        <w:t>Mr</w:t>
      </w:r>
      <w:r>
        <w:rPr>
          <w:spacing w:val="-4"/>
        </w:rPr>
        <w:t xml:space="preserve"> </w:t>
      </w:r>
      <w:r>
        <w:t>Robin</w:t>
      </w:r>
      <w:r>
        <w:rPr>
          <w:spacing w:val="-4"/>
        </w:rPr>
        <w:t xml:space="preserve"> </w:t>
      </w:r>
      <w:r>
        <w:t>Shreeve</w:t>
      </w:r>
      <w:r>
        <w:tab/>
        <w:t>B Arts (Hons), M Arts</w:t>
      </w:r>
    </w:p>
    <w:p w14:paraId="03C91D13" w14:textId="77777777" w:rsidR="00FA4AA8" w:rsidRDefault="00FA4AA8">
      <w:pPr>
        <w:pStyle w:val="BodyText"/>
        <w:spacing w:before="8"/>
        <w:rPr>
          <w:sz w:val="25"/>
        </w:rPr>
      </w:pPr>
    </w:p>
    <w:p w14:paraId="556D08B7" w14:textId="77777777" w:rsidR="00FA4AA8" w:rsidRDefault="0015611F">
      <w:pPr>
        <w:pStyle w:val="BodyText"/>
        <w:tabs>
          <w:tab w:val="left" w:pos="2875"/>
        </w:tabs>
        <w:ind w:left="523"/>
      </w:pPr>
      <w:r>
        <w:t>Professor</w:t>
      </w:r>
      <w:r>
        <w:rPr>
          <w:spacing w:val="-6"/>
        </w:rPr>
        <w:t xml:space="preserve"> </w:t>
      </w:r>
      <w:r>
        <w:t>Simon</w:t>
      </w:r>
      <w:r>
        <w:rPr>
          <w:spacing w:val="-5"/>
        </w:rPr>
        <w:t xml:space="preserve"> </w:t>
      </w:r>
      <w:r>
        <w:t>Barrie</w:t>
      </w:r>
      <w:r>
        <w:tab/>
        <w:t>Doctor of Philosophy (PhD), B.App</w:t>
      </w:r>
      <w:r>
        <w:rPr>
          <w:spacing w:val="-6"/>
        </w:rPr>
        <w:t xml:space="preserve"> </w:t>
      </w:r>
      <w:r>
        <w:t>Sci</w:t>
      </w:r>
    </w:p>
    <w:p w14:paraId="52F431C4" w14:textId="77777777" w:rsidR="00FA4AA8" w:rsidRDefault="00FA4AA8">
      <w:pPr>
        <w:pStyle w:val="BodyText"/>
        <w:spacing w:before="11"/>
        <w:rPr>
          <w:sz w:val="27"/>
        </w:rPr>
      </w:pPr>
    </w:p>
    <w:p w14:paraId="7D260B82" w14:textId="77777777" w:rsidR="00FA4AA8" w:rsidRDefault="0015611F">
      <w:pPr>
        <w:pStyle w:val="BodyText"/>
        <w:ind w:left="2876" w:right="1511" w:hanging="2352"/>
      </w:pPr>
      <w:r>
        <w:t>Professor Denise Kirkpatrick Doctor of Philosophy (PhD), Education - Previous Chair and appointed 10 April 2018 (Alternate Director)</w:t>
      </w:r>
    </w:p>
    <w:p w14:paraId="37947C3A" w14:textId="77777777" w:rsidR="00FA4AA8" w:rsidRDefault="00FA4AA8">
      <w:pPr>
        <w:pStyle w:val="BodyText"/>
        <w:rPr>
          <w:sz w:val="20"/>
        </w:rPr>
      </w:pPr>
    </w:p>
    <w:p w14:paraId="566E9C9A" w14:textId="77777777" w:rsidR="00FA4AA8" w:rsidRDefault="0015611F">
      <w:pPr>
        <w:pStyle w:val="BodyText"/>
        <w:tabs>
          <w:tab w:val="left" w:pos="2875"/>
        </w:tabs>
        <w:spacing w:before="148"/>
        <w:ind w:left="2876" w:right="1745" w:hanging="2352"/>
      </w:pPr>
      <w:r>
        <w:t>Mr</w:t>
      </w:r>
      <w:r>
        <w:rPr>
          <w:spacing w:val="-5"/>
        </w:rPr>
        <w:t xml:space="preserve"> </w:t>
      </w:r>
      <w:r>
        <w:t>Michael</w:t>
      </w:r>
      <w:r>
        <w:rPr>
          <w:spacing w:val="-4"/>
        </w:rPr>
        <w:t xml:space="preserve"> </w:t>
      </w:r>
      <w:r>
        <w:t>Burgess</w:t>
      </w:r>
      <w:r>
        <w:tab/>
        <w:t>Grad</w:t>
      </w:r>
      <w:r>
        <w:rPr>
          <w:spacing w:val="-5"/>
        </w:rPr>
        <w:t xml:space="preserve"> </w:t>
      </w:r>
      <w:r>
        <w:t>Dip</w:t>
      </w:r>
      <w:r>
        <w:rPr>
          <w:spacing w:val="-5"/>
        </w:rPr>
        <w:t xml:space="preserve"> </w:t>
      </w:r>
      <w:r>
        <w:t>Marketing</w:t>
      </w:r>
      <w:r>
        <w:rPr>
          <w:spacing w:val="-6"/>
        </w:rPr>
        <w:t xml:space="preserve"> </w:t>
      </w:r>
      <w:r>
        <w:t>B</w:t>
      </w:r>
      <w:r>
        <w:rPr>
          <w:spacing w:val="-5"/>
        </w:rPr>
        <w:t xml:space="preserve"> </w:t>
      </w:r>
      <w:r>
        <w:t>Agricultural</w:t>
      </w:r>
      <w:r>
        <w:rPr>
          <w:spacing w:val="-5"/>
        </w:rPr>
        <w:t xml:space="preserve"> </w:t>
      </w:r>
      <w:r>
        <w:t>Sci</w:t>
      </w:r>
      <w:r>
        <w:rPr>
          <w:spacing w:val="-6"/>
        </w:rPr>
        <w:t xml:space="preserve"> </w:t>
      </w:r>
      <w:r>
        <w:t>(Econ)</w:t>
      </w:r>
      <w:r>
        <w:rPr>
          <w:spacing w:val="-5"/>
        </w:rPr>
        <w:t xml:space="preserve"> </w:t>
      </w:r>
      <w:r>
        <w:t>Appointed</w:t>
      </w:r>
      <w:r>
        <w:rPr>
          <w:spacing w:val="-5"/>
        </w:rPr>
        <w:t xml:space="preserve"> </w:t>
      </w:r>
      <w:r>
        <w:t>10</w:t>
      </w:r>
      <w:r>
        <w:rPr>
          <w:spacing w:val="-6"/>
        </w:rPr>
        <w:t xml:space="preserve"> </w:t>
      </w:r>
      <w:r>
        <w:t>April</w:t>
      </w:r>
      <w:r>
        <w:rPr>
          <w:spacing w:val="-5"/>
        </w:rPr>
        <w:t xml:space="preserve"> </w:t>
      </w:r>
      <w:r>
        <w:t>2018 (Alternate</w:t>
      </w:r>
      <w:r>
        <w:rPr>
          <w:spacing w:val="-2"/>
        </w:rPr>
        <w:t xml:space="preserve"> </w:t>
      </w:r>
      <w:r>
        <w:t>Director)</w:t>
      </w:r>
    </w:p>
    <w:p w14:paraId="6C7AB07C" w14:textId="77777777" w:rsidR="00FA4AA8" w:rsidRDefault="00FA4AA8">
      <w:pPr>
        <w:pStyle w:val="BodyText"/>
        <w:rPr>
          <w:sz w:val="20"/>
        </w:rPr>
      </w:pPr>
    </w:p>
    <w:p w14:paraId="39D17E82" w14:textId="77777777" w:rsidR="00FA4AA8" w:rsidRDefault="00FA4AA8">
      <w:pPr>
        <w:pStyle w:val="BodyText"/>
        <w:rPr>
          <w:sz w:val="20"/>
        </w:rPr>
      </w:pPr>
    </w:p>
    <w:p w14:paraId="34EF05A3" w14:textId="77777777" w:rsidR="00FA4AA8" w:rsidRDefault="0015611F">
      <w:pPr>
        <w:pStyle w:val="BodyText"/>
        <w:spacing w:before="119"/>
        <w:ind w:left="524"/>
      </w:pPr>
      <w:r>
        <w:t>Directors have been in office since the start of the financial year to the date of this report unless otherwise stated.</w:t>
      </w:r>
    </w:p>
    <w:p w14:paraId="50B811D6" w14:textId="77777777" w:rsidR="00FA4AA8" w:rsidRDefault="00FA4AA8">
      <w:pPr>
        <w:pStyle w:val="BodyText"/>
        <w:spacing w:before="8"/>
        <w:rPr>
          <w:sz w:val="26"/>
        </w:rPr>
      </w:pPr>
    </w:p>
    <w:p w14:paraId="40910D7E" w14:textId="77777777" w:rsidR="00FA4AA8" w:rsidRDefault="0015611F">
      <w:pPr>
        <w:ind w:left="522"/>
        <w:rPr>
          <w:b/>
          <w:sz w:val="18"/>
        </w:rPr>
      </w:pPr>
      <w:r>
        <w:rPr>
          <w:b/>
          <w:sz w:val="18"/>
        </w:rPr>
        <w:t>Principal activities and significant changes in nature of activities</w:t>
      </w:r>
    </w:p>
    <w:p w14:paraId="17BF70F2" w14:textId="77777777" w:rsidR="00FA4AA8" w:rsidRDefault="00FA4AA8">
      <w:pPr>
        <w:pStyle w:val="BodyText"/>
        <w:spacing w:before="5"/>
        <w:rPr>
          <w:b/>
          <w:sz w:val="25"/>
        </w:rPr>
      </w:pPr>
    </w:p>
    <w:p w14:paraId="265CA30C" w14:textId="77777777" w:rsidR="00FA4AA8" w:rsidRDefault="0015611F">
      <w:pPr>
        <w:pStyle w:val="BodyText"/>
        <w:ind w:left="523"/>
      </w:pPr>
      <w:r>
        <w:t>The principal activities of the Company during the financial year were:</w:t>
      </w:r>
    </w:p>
    <w:p w14:paraId="4AE7C080" w14:textId="77777777" w:rsidR="00FA4AA8" w:rsidRDefault="00FA4AA8">
      <w:pPr>
        <w:pStyle w:val="BodyText"/>
        <w:spacing w:before="6"/>
        <w:rPr>
          <w:sz w:val="25"/>
        </w:rPr>
      </w:pPr>
    </w:p>
    <w:p w14:paraId="37D0D0BB" w14:textId="77777777" w:rsidR="00FA4AA8" w:rsidRDefault="0015611F">
      <w:pPr>
        <w:pStyle w:val="ListParagraph"/>
        <w:numPr>
          <w:ilvl w:val="1"/>
          <w:numId w:val="70"/>
        </w:numPr>
        <w:tabs>
          <w:tab w:val="left" w:pos="1090"/>
          <w:tab w:val="left" w:pos="1091"/>
        </w:tabs>
        <w:ind w:hanging="568"/>
        <w:rPr>
          <w:sz w:val="18"/>
        </w:rPr>
      </w:pPr>
      <w:r>
        <w:rPr>
          <w:sz w:val="18"/>
        </w:rPr>
        <w:t>Provision of educational</w:t>
      </w:r>
      <w:r>
        <w:rPr>
          <w:spacing w:val="-4"/>
          <w:sz w:val="18"/>
        </w:rPr>
        <w:t xml:space="preserve"> </w:t>
      </w:r>
      <w:r>
        <w:rPr>
          <w:sz w:val="18"/>
        </w:rPr>
        <w:t>services</w:t>
      </w:r>
    </w:p>
    <w:p w14:paraId="60E474CB" w14:textId="77777777" w:rsidR="00FA4AA8" w:rsidRDefault="00FA4AA8">
      <w:pPr>
        <w:pStyle w:val="BodyText"/>
        <w:spacing w:before="11"/>
        <w:rPr>
          <w:sz w:val="24"/>
        </w:rPr>
      </w:pPr>
    </w:p>
    <w:p w14:paraId="376167F0" w14:textId="77777777" w:rsidR="00FA4AA8" w:rsidRDefault="0015611F">
      <w:pPr>
        <w:pStyle w:val="BodyText"/>
        <w:ind w:left="523"/>
      </w:pPr>
      <w:r>
        <w:t>There were no significant changes in the nature of the Company's principal activities during the financial year.</w:t>
      </w:r>
    </w:p>
    <w:p w14:paraId="2EDD3403" w14:textId="77777777" w:rsidR="00FA4AA8" w:rsidRDefault="00FA4AA8">
      <w:pPr>
        <w:sectPr w:rsidR="00FA4AA8">
          <w:headerReference w:type="default" r:id="rId63"/>
          <w:footerReference w:type="default" r:id="rId64"/>
          <w:pgSz w:w="11910" w:h="16840"/>
          <w:pgMar w:top="1720" w:right="880" w:bottom="720" w:left="880" w:header="1017" w:footer="523" w:gutter="0"/>
          <w:pgNumType w:start="88"/>
          <w:cols w:space="720"/>
        </w:sectPr>
      </w:pPr>
    </w:p>
    <w:p w14:paraId="7721180D" w14:textId="77777777" w:rsidR="00FA4AA8" w:rsidRDefault="00FA4AA8">
      <w:pPr>
        <w:pStyle w:val="BodyText"/>
        <w:spacing w:before="6"/>
        <w:rPr>
          <w:sz w:val="21"/>
        </w:rPr>
      </w:pPr>
    </w:p>
    <w:p w14:paraId="4BA49712" w14:textId="77777777" w:rsidR="00FA4AA8" w:rsidRDefault="0015611F">
      <w:pPr>
        <w:pStyle w:val="Heading2"/>
        <w:ind w:left="127"/>
      </w:pPr>
      <w:bookmarkStart w:id="103" w:name="2._Operating_results_and_review_of_opera"/>
      <w:bookmarkEnd w:id="103"/>
      <w:r>
        <w:t>Directors' Report</w:t>
      </w:r>
    </w:p>
    <w:p w14:paraId="04445A32" w14:textId="77777777" w:rsidR="00FA4AA8" w:rsidRDefault="0015611F">
      <w:pPr>
        <w:pStyle w:val="Heading6"/>
        <w:spacing w:before="57"/>
        <w:ind w:left="127"/>
      </w:pPr>
      <w:r>
        <w:t>31 December 2018</w:t>
      </w:r>
    </w:p>
    <w:p w14:paraId="4D44DCAC" w14:textId="77777777" w:rsidR="00FA4AA8" w:rsidRDefault="00FA4AA8">
      <w:pPr>
        <w:pStyle w:val="BodyText"/>
        <w:rPr>
          <w:b/>
          <w:sz w:val="25"/>
        </w:rPr>
      </w:pPr>
    </w:p>
    <w:p w14:paraId="65D28846" w14:textId="77777777" w:rsidR="00FA4AA8" w:rsidRDefault="0015611F">
      <w:pPr>
        <w:numPr>
          <w:ilvl w:val="0"/>
          <w:numId w:val="70"/>
        </w:numPr>
        <w:tabs>
          <w:tab w:val="left" w:pos="522"/>
          <w:tab w:val="left" w:pos="523"/>
        </w:tabs>
        <w:ind w:hanging="396"/>
        <w:rPr>
          <w:b/>
          <w:sz w:val="18"/>
        </w:rPr>
      </w:pPr>
      <w:r>
        <w:rPr>
          <w:b/>
          <w:sz w:val="18"/>
        </w:rPr>
        <w:t>Operating results and review of operations for the</w:t>
      </w:r>
      <w:r>
        <w:rPr>
          <w:b/>
          <w:spacing w:val="1"/>
          <w:sz w:val="18"/>
        </w:rPr>
        <w:t xml:space="preserve"> </w:t>
      </w:r>
      <w:r>
        <w:rPr>
          <w:b/>
          <w:sz w:val="18"/>
        </w:rPr>
        <w:t>year</w:t>
      </w:r>
    </w:p>
    <w:p w14:paraId="58C2E4CE" w14:textId="77777777" w:rsidR="00FA4AA8" w:rsidRDefault="00FA4AA8">
      <w:pPr>
        <w:pStyle w:val="BodyText"/>
        <w:rPr>
          <w:b/>
          <w:sz w:val="25"/>
        </w:rPr>
      </w:pPr>
    </w:p>
    <w:p w14:paraId="47D0AAF2" w14:textId="77777777" w:rsidR="00FA4AA8" w:rsidRDefault="0015611F">
      <w:pPr>
        <w:pStyle w:val="BodyText"/>
        <w:ind w:left="523"/>
      </w:pPr>
      <w:r>
        <w:t>The net result of the Company for the year ended 31 December 2018 amounted to NIL (2017: nil) which included a</w:t>
      </w:r>
      <w:bookmarkStart w:id="104" w:name="3._Other_items_"/>
      <w:bookmarkEnd w:id="104"/>
      <w:r>
        <w:t xml:space="preserve"> royalty payment to the parent entity of $ 23,755,693 (2017: $22,919,450).</w:t>
      </w:r>
    </w:p>
    <w:p w14:paraId="2B3AE646" w14:textId="77777777" w:rsidR="00FA4AA8" w:rsidRDefault="00FA4AA8">
      <w:pPr>
        <w:pStyle w:val="BodyText"/>
        <w:spacing w:before="11"/>
        <w:rPr>
          <w:sz w:val="24"/>
        </w:rPr>
      </w:pPr>
    </w:p>
    <w:p w14:paraId="0DA0D58A" w14:textId="77777777" w:rsidR="00FA4AA8" w:rsidRDefault="0015611F">
      <w:pPr>
        <w:pStyle w:val="BodyText"/>
        <w:ind w:left="524"/>
      </w:pPr>
      <w:r>
        <w:t>The Company experienced its highest level of growth in 2018 in student enrolments after a decline in 2017. The 2018 year represented the first full year of the funding freeze on Commonwealth Government Supported Places by the Government, with the increase in student enrolments not proportional to the growth to revenue from 2017.</w:t>
      </w:r>
    </w:p>
    <w:p w14:paraId="6E2CB4E5" w14:textId="77777777" w:rsidR="00FA4AA8" w:rsidRDefault="00FA4AA8">
      <w:pPr>
        <w:pStyle w:val="BodyText"/>
        <w:spacing w:before="10"/>
        <w:rPr>
          <w:sz w:val="24"/>
        </w:rPr>
      </w:pPr>
    </w:p>
    <w:p w14:paraId="4424A403" w14:textId="77777777" w:rsidR="00FA4AA8" w:rsidRDefault="0015611F">
      <w:pPr>
        <w:numPr>
          <w:ilvl w:val="0"/>
          <w:numId w:val="70"/>
        </w:numPr>
        <w:tabs>
          <w:tab w:val="left" w:pos="522"/>
          <w:tab w:val="left" w:pos="523"/>
        </w:tabs>
        <w:ind w:hanging="396"/>
        <w:rPr>
          <w:b/>
          <w:sz w:val="18"/>
        </w:rPr>
      </w:pPr>
      <w:r>
        <w:rPr>
          <w:b/>
          <w:sz w:val="18"/>
        </w:rPr>
        <w:t>Other items</w:t>
      </w:r>
    </w:p>
    <w:p w14:paraId="4CB4D371" w14:textId="77777777" w:rsidR="00FA4AA8" w:rsidRDefault="00FA4AA8">
      <w:pPr>
        <w:pStyle w:val="BodyText"/>
        <w:spacing w:before="8"/>
        <w:rPr>
          <w:b/>
          <w:sz w:val="26"/>
        </w:rPr>
      </w:pPr>
    </w:p>
    <w:p w14:paraId="50207369" w14:textId="77777777" w:rsidR="00FA4AA8" w:rsidRDefault="0015611F">
      <w:pPr>
        <w:ind w:left="522"/>
        <w:rPr>
          <w:b/>
          <w:sz w:val="18"/>
        </w:rPr>
      </w:pPr>
      <w:r>
        <w:rPr>
          <w:b/>
          <w:sz w:val="18"/>
        </w:rPr>
        <w:t>Significant changes in state of affairs</w:t>
      </w:r>
    </w:p>
    <w:p w14:paraId="07F8696D" w14:textId="77777777" w:rsidR="00FA4AA8" w:rsidRDefault="00FA4AA8">
      <w:pPr>
        <w:pStyle w:val="BodyText"/>
        <w:spacing w:before="4"/>
        <w:rPr>
          <w:b/>
          <w:sz w:val="25"/>
        </w:rPr>
      </w:pPr>
    </w:p>
    <w:p w14:paraId="5FF12BC0" w14:textId="77777777" w:rsidR="00FA4AA8" w:rsidRDefault="0015611F">
      <w:pPr>
        <w:pStyle w:val="BodyText"/>
        <w:ind w:left="524"/>
      </w:pPr>
      <w:r>
        <w:t>On 24 May 2017, the name of the Company was changed from UWS Enterprises Pty Limited to Western Sydney University Enterprises Pty Limited. No significant changes in the nature of the Company's activities occurred during the year.</w:t>
      </w:r>
    </w:p>
    <w:p w14:paraId="42284495" w14:textId="77777777" w:rsidR="00FA4AA8" w:rsidRDefault="00FA4AA8">
      <w:pPr>
        <w:pStyle w:val="BodyText"/>
        <w:spacing w:before="7"/>
        <w:rPr>
          <w:sz w:val="26"/>
        </w:rPr>
      </w:pPr>
    </w:p>
    <w:p w14:paraId="1DDBEE2F" w14:textId="77777777" w:rsidR="00FA4AA8" w:rsidRDefault="0015611F">
      <w:pPr>
        <w:ind w:left="522"/>
        <w:rPr>
          <w:b/>
          <w:sz w:val="18"/>
        </w:rPr>
      </w:pPr>
      <w:r>
        <w:rPr>
          <w:b/>
          <w:sz w:val="18"/>
        </w:rPr>
        <w:t>Events after the reporting date</w:t>
      </w:r>
    </w:p>
    <w:p w14:paraId="194D43B0" w14:textId="77777777" w:rsidR="00FA4AA8" w:rsidRDefault="00FA4AA8">
      <w:pPr>
        <w:pStyle w:val="BodyText"/>
        <w:spacing w:before="4"/>
        <w:rPr>
          <w:b/>
          <w:sz w:val="25"/>
        </w:rPr>
      </w:pPr>
    </w:p>
    <w:p w14:paraId="442A7CC5" w14:textId="77777777" w:rsidR="00FA4AA8" w:rsidRDefault="0015611F">
      <w:pPr>
        <w:pStyle w:val="BodyText"/>
        <w:spacing w:before="1"/>
        <w:ind w:left="524" w:right="101"/>
      </w:pPr>
      <w:r>
        <w:t>No matters or circumstances have arisen since the end of the financial year which significantly affected or could significantly affect the operations of the Company, the results of those operations or the state of affairs of the Company in future financial years.</w:t>
      </w:r>
    </w:p>
    <w:p w14:paraId="2D01767F" w14:textId="77777777" w:rsidR="00FA4AA8" w:rsidRDefault="00FA4AA8">
      <w:pPr>
        <w:pStyle w:val="BodyText"/>
        <w:spacing w:before="6"/>
        <w:rPr>
          <w:sz w:val="26"/>
        </w:rPr>
      </w:pPr>
    </w:p>
    <w:p w14:paraId="2C2BB350" w14:textId="77777777" w:rsidR="00FA4AA8" w:rsidRDefault="0015611F">
      <w:pPr>
        <w:ind w:left="522"/>
        <w:rPr>
          <w:b/>
          <w:sz w:val="18"/>
        </w:rPr>
      </w:pPr>
      <w:r>
        <w:rPr>
          <w:b/>
          <w:sz w:val="18"/>
        </w:rPr>
        <w:t>Future developments and results</w:t>
      </w:r>
    </w:p>
    <w:p w14:paraId="238AE15A" w14:textId="77777777" w:rsidR="00FA4AA8" w:rsidRDefault="00FA4AA8">
      <w:pPr>
        <w:pStyle w:val="BodyText"/>
        <w:spacing w:before="5"/>
        <w:rPr>
          <w:b/>
          <w:sz w:val="25"/>
        </w:rPr>
      </w:pPr>
    </w:p>
    <w:p w14:paraId="21F3F2A5" w14:textId="77777777" w:rsidR="00FA4AA8" w:rsidRDefault="0015611F">
      <w:pPr>
        <w:pStyle w:val="BodyText"/>
        <w:ind w:left="523" w:right="231"/>
      </w:pPr>
      <w:r>
        <w:t>Likely developments in the operations of the Company and the expected results of those operations in future financial years have not been included in this report as the inclusion of such information is likely to result in unreasonable prejudice to the Company.</w:t>
      </w:r>
    </w:p>
    <w:p w14:paraId="26B05938" w14:textId="77777777" w:rsidR="00FA4AA8" w:rsidRDefault="00FA4AA8">
      <w:pPr>
        <w:pStyle w:val="BodyText"/>
        <w:spacing w:before="6"/>
        <w:rPr>
          <w:sz w:val="26"/>
        </w:rPr>
      </w:pPr>
    </w:p>
    <w:p w14:paraId="565B7270" w14:textId="77777777" w:rsidR="00FA4AA8" w:rsidRDefault="0015611F">
      <w:pPr>
        <w:ind w:left="522"/>
        <w:rPr>
          <w:b/>
          <w:sz w:val="18"/>
        </w:rPr>
      </w:pPr>
      <w:r>
        <w:rPr>
          <w:b/>
          <w:sz w:val="18"/>
        </w:rPr>
        <w:t>Environmental issues</w:t>
      </w:r>
    </w:p>
    <w:p w14:paraId="0D421C44" w14:textId="77777777" w:rsidR="00FA4AA8" w:rsidRDefault="00FA4AA8">
      <w:pPr>
        <w:pStyle w:val="BodyText"/>
        <w:spacing w:before="5"/>
        <w:rPr>
          <w:b/>
          <w:sz w:val="25"/>
        </w:rPr>
      </w:pPr>
    </w:p>
    <w:p w14:paraId="3C430D8F" w14:textId="77777777" w:rsidR="00FA4AA8" w:rsidRDefault="0015611F">
      <w:pPr>
        <w:pStyle w:val="BodyText"/>
        <w:ind w:left="523"/>
      </w:pPr>
      <w:r>
        <w:t>The Company's operations are not regulated by any significant environmental regulations under a law of the Commonwealth or of a state or territory of Australia.</w:t>
      </w:r>
    </w:p>
    <w:p w14:paraId="736BEAE8" w14:textId="77777777" w:rsidR="00FA4AA8" w:rsidRDefault="00FA4AA8">
      <w:pPr>
        <w:pStyle w:val="BodyText"/>
        <w:spacing w:before="7"/>
        <w:rPr>
          <w:sz w:val="26"/>
        </w:rPr>
      </w:pPr>
    </w:p>
    <w:p w14:paraId="0E1FBCD2" w14:textId="77777777" w:rsidR="00FA4AA8" w:rsidRDefault="0015611F">
      <w:pPr>
        <w:ind w:left="522"/>
        <w:rPr>
          <w:b/>
          <w:sz w:val="18"/>
        </w:rPr>
      </w:pPr>
      <w:bookmarkStart w:id="105" w:name="Company_secretary"/>
      <w:bookmarkEnd w:id="105"/>
      <w:r>
        <w:rPr>
          <w:b/>
          <w:sz w:val="18"/>
        </w:rPr>
        <w:t>Dividends paid or recommended</w:t>
      </w:r>
    </w:p>
    <w:p w14:paraId="729B858D" w14:textId="77777777" w:rsidR="00FA4AA8" w:rsidRDefault="00FA4AA8">
      <w:pPr>
        <w:pStyle w:val="BodyText"/>
        <w:spacing w:before="5"/>
        <w:rPr>
          <w:b/>
          <w:sz w:val="25"/>
        </w:rPr>
      </w:pPr>
    </w:p>
    <w:p w14:paraId="535F5414" w14:textId="77777777" w:rsidR="00FA4AA8" w:rsidRDefault="0015611F">
      <w:pPr>
        <w:pStyle w:val="BodyText"/>
        <w:ind w:left="523"/>
      </w:pPr>
      <w:r>
        <w:t>No dividend was paid or payable since the commencement of the financial year and up to and including the date of signing the report (2017: nil).</w:t>
      </w:r>
    </w:p>
    <w:p w14:paraId="0B2965CD" w14:textId="77777777" w:rsidR="00FA4AA8" w:rsidRDefault="00FA4AA8">
      <w:pPr>
        <w:pStyle w:val="BodyText"/>
        <w:spacing w:before="7"/>
        <w:rPr>
          <w:sz w:val="26"/>
        </w:rPr>
      </w:pPr>
    </w:p>
    <w:p w14:paraId="4E33177A" w14:textId="77777777" w:rsidR="00FA4AA8" w:rsidRDefault="0015611F">
      <w:pPr>
        <w:ind w:left="522"/>
        <w:rPr>
          <w:b/>
          <w:sz w:val="18"/>
        </w:rPr>
      </w:pPr>
      <w:r>
        <w:rPr>
          <w:b/>
          <w:sz w:val="18"/>
        </w:rPr>
        <w:t>Company secretary</w:t>
      </w:r>
    </w:p>
    <w:p w14:paraId="19189165" w14:textId="77777777" w:rsidR="00FA4AA8" w:rsidRDefault="00FA4AA8">
      <w:pPr>
        <w:pStyle w:val="BodyText"/>
        <w:spacing w:before="5"/>
        <w:rPr>
          <w:b/>
          <w:sz w:val="25"/>
        </w:rPr>
      </w:pPr>
    </w:p>
    <w:p w14:paraId="5E8E7CA6" w14:textId="77777777" w:rsidR="00FA4AA8" w:rsidRDefault="0015611F">
      <w:pPr>
        <w:pStyle w:val="BodyText"/>
        <w:ind w:left="523" w:right="231"/>
      </w:pPr>
      <w:r>
        <w:t>Ms Wendy Barker held the position of Company Secretary for the whole of the financial year and to the date of this report.</w:t>
      </w:r>
    </w:p>
    <w:p w14:paraId="1B50C58C" w14:textId="77777777" w:rsidR="00FA4AA8" w:rsidRDefault="00FA4AA8">
      <w:pPr>
        <w:sectPr w:rsidR="00FA4AA8">
          <w:pgSz w:w="11910" w:h="16840"/>
          <w:pgMar w:top="1720" w:right="880" w:bottom="720" w:left="880" w:header="1017" w:footer="523" w:gutter="0"/>
          <w:cols w:space="720"/>
        </w:sectPr>
      </w:pPr>
    </w:p>
    <w:p w14:paraId="04B74C27" w14:textId="77777777" w:rsidR="00FA4AA8" w:rsidRDefault="00FA4AA8">
      <w:pPr>
        <w:pStyle w:val="BodyText"/>
        <w:spacing w:before="6"/>
        <w:rPr>
          <w:sz w:val="21"/>
        </w:rPr>
      </w:pPr>
    </w:p>
    <w:p w14:paraId="06F121CE" w14:textId="77777777" w:rsidR="00FA4AA8" w:rsidRDefault="0015611F">
      <w:pPr>
        <w:pStyle w:val="Heading2"/>
        <w:ind w:left="127"/>
      </w:pPr>
      <w:bookmarkStart w:id="106" w:name="Indemnification_and_insurance_of_officer"/>
      <w:bookmarkEnd w:id="106"/>
      <w:r>
        <w:t>Directors' Report</w:t>
      </w:r>
    </w:p>
    <w:p w14:paraId="6BAA80B3" w14:textId="77777777" w:rsidR="00FA4AA8" w:rsidRDefault="0015611F">
      <w:pPr>
        <w:pStyle w:val="Heading6"/>
        <w:spacing w:before="57"/>
        <w:ind w:left="127"/>
      </w:pPr>
      <w:r>
        <w:t>31 December 2018</w:t>
      </w:r>
    </w:p>
    <w:p w14:paraId="07183AF5" w14:textId="77777777" w:rsidR="00FA4AA8" w:rsidRDefault="00FA4AA8">
      <w:pPr>
        <w:pStyle w:val="BodyText"/>
        <w:rPr>
          <w:b/>
          <w:sz w:val="25"/>
        </w:rPr>
      </w:pPr>
    </w:p>
    <w:p w14:paraId="479A7A15" w14:textId="77777777" w:rsidR="00FA4AA8" w:rsidRDefault="0015611F">
      <w:pPr>
        <w:ind w:left="522"/>
        <w:rPr>
          <w:b/>
          <w:sz w:val="18"/>
        </w:rPr>
      </w:pPr>
      <w:bookmarkStart w:id="107" w:name="Proceedings_on_behalf_of_company_"/>
      <w:bookmarkEnd w:id="107"/>
      <w:r>
        <w:rPr>
          <w:b/>
          <w:sz w:val="18"/>
        </w:rPr>
        <w:t>Indemnification and insurance of officers and auditors</w:t>
      </w:r>
    </w:p>
    <w:p w14:paraId="0C4A507F" w14:textId="77777777" w:rsidR="00FA4AA8" w:rsidRDefault="00FA4AA8">
      <w:pPr>
        <w:pStyle w:val="BodyText"/>
        <w:rPr>
          <w:b/>
          <w:sz w:val="25"/>
        </w:rPr>
      </w:pPr>
    </w:p>
    <w:p w14:paraId="19FEDBF3" w14:textId="77777777" w:rsidR="00FA4AA8" w:rsidRDefault="0015611F">
      <w:pPr>
        <w:pStyle w:val="BodyText"/>
        <w:ind w:left="523" w:right="231"/>
      </w:pPr>
      <w:r>
        <w:t>The Company is insured externally and in line with the parent entity's policies for all significant areas of risk exposure and accordingly, is not a self-insurer and makes no provision in its financial statements for internal coverage.</w:t>
      </w:r>
    </w:p>
    <w:p w14:paraId="6148BB83" w14:textId="77777777" w:rsidR="00FA4AA8" w:rsidRDefault="00FA4AA8">
      <w:pPr>
        <w:pStyle w:val="BodyText"/>
        <w:spacing w:before="11"/>
        <w:rPr>
          <w:sz w:val="24"/>
        </w:rPr>
      </w:pPr>
    </w:p>
    <w:p w14:paraId="3E4E804F" w14:textId="77777777" w:rsidR="00FA4AA8" w:rsidRDefault="0015611F">
      <w:pPr>
        <w:ind w:left="522"/>
        <w:rPr>
          <w:b/>
          <w:sz w:val="18"/>
        </w:rPr>
      </w:pPr>
      <w:r>
        <w:rPr>
          <w:b/>
          <w:sz w:val="18"/>
        </w:rPr>
        <w:t>Proceedings on behalf of company</w:t>
      </w:r>
    </w:p>
    <w:p w14:paraId="649D29DE" w14:textId="77777777" w:rsidR="00FA4AA8" w:rsidRDefault="00FA4AA8">
      <w:pPr>
        <w:pStyle w:val="BodyText"/>
        <w:rPr>
          <w:b/>
          <w:sz w:val="25"/>
        </w:rPr>
      </w:pPr>
    </w:p>
    <w:p w14:paraId="7C5C1B50" w14:textId="77777777" w:rsidR="00FA4AA8" w:rsidRDefault="0015611F">
      <w:pPr>
        <w:pStyle w:val="BodyText"/>
        <w:ind w:left="523"/>
      </w:pPr>
      <w:bookmarkStart w:id="108" w:name="Auditor's_independence_declaration"/>
      <w:bookmarkEnd w:id="108"/>
      <w:r>
        <w:t>No person has applied for leave of court to bring proceedings on behalf of the Company or intervene in any proceedings to which the Company is a party for the purpose of taking responsibility on behalf of the Company for all or any part of those proceedings.</w:t>
      </w:r>
    </w:p>
    <w:p w14:paraId="7490BAF4" w14:textId="77777777" w:rsidR="00FA4AA8" w:rsidRDefault="00FA4AA8">
      <w:pPr>
        <w:pStyle w:val="BodyText"/>
        <w:spacing w:before="10"/>
        <w:rPr>
          <w:sz w:val="24"/>
        </w:rPr>
      </w:pPr>
    </w:p>
    <w:p w14:paraId="6F611C3F" w14:textId="77777777" w:rsidR="00FA4AA8" w:rsidRDefault="0015611F">
      <w:pPr>
        <w:pStyle w:val="BodyText"/>
        <w:ind w:left="524"/>
      </w:pPr>
      <w:r>
        <w:t>The Company was not a party to any such proceedings during the year.</w:t>
      </w:r>
    </w:p>
    <w:p w14:paraId="7B859598" w14:textId="77777777" w:rsidR="00FA4AA8" w:rsidRDefault="00FA4AA8">
      <w:pPr>
        <w:pStyle w:val="BodyText"/>
        <w:spacing w:before="7"/>
        <w:rPr>
          <w:sz w:val="26"/>
        </w:rPr>
      </w:pPr>
    </w:p>
    <w:p w14:paraId="4EC8DA09" w14:textId="77777777" w:rsidR="00FA4AA8" w:rsidRDefault="0015611F">
      <w:pPr>
        <w:spacing w:before="1"/>
        <w:ind w:left="522"/>
        <w:rPr>
          <w:b/>
          <w:sz w:val="18"/>
        </w:rPr>
      </w:pPr>
      <w:r>
        <w:rPr>
          <w:b/>
          <w:sz w:val="18"/>
        </w:rPr>
        <w:t>Auditor's independence declaration</w:t>
      </w:r>
    </w:p>
    <w:p w14:paraId="0A6161D1" w14:textId="77777777" w:rsidR="00FA4AA8" w:rsidRDefault="00FA4AA8">
      <w:pPr>
        <w:pStyle w:val="BodyText"/>
        <w:spacing w:before="5"/>
        <w:rPr>
          <w:b/>
          <w:sz w:val="25"/>
        </w:rPr>
      </w:pPr>
    </w:p>
    <w:p w14:paraId="54F23A88" w14:textId="77777777" w:rsidR="00FA4AA8" w:rsidRDefault="0015611F">
      <w:pPr>
        <w:pStyle w:val="BodyText"/>
        <w:ind w:left="523" w:right="231"/>
      </w:pPr>
      <w:r>
        <w:t xml:space="preserve">The auditor's independence declaration in accordance with section 307C of the </w:t>
      </w:r>
      <w:r>
        <w:rPr>
          <w:i/>
        </w:rPr>
        <w:t>Corporations Act 2001</w:t>
      </w:r>
      <w:r>
        <w:t>, for the year ended 31 December 2018 has been received and can be found on page 93 of the financial statements.</w:t>
      </w:r>
    </w:p>
    <w:p w14:paraId="6BBC68AB" w14:textId="77777777" w:rsidR="00FA4AA8" w:rsidRDefault="00FA4AA8">
      <w:pPr>
        <w:pStyle w:val="BodyText"/>
        <w:spacing w:before="10"/>
        <w:rPr>
          <w:sz w:val="24"/>
        </w:rPr>
      </w:pPr>
    </w:p>
    <w:p w14:paraId="36084C3A" w14:textId="77777777" w:rsidR="00FA4AA8" w:rsidRDefault="0015611F">
      <w:pPr>
        <w:pStyle w:val="BodyText"/>
        <w:ind w:left="524"/>
      </w:pPr>
      <w:r>
        <w:t>This report is made in accordance with a resolution of the Board of Directors.</w:t>
      </w:r>
    </w:p>
    <w:p w14:paraId="77611A51" w14:textId="77777777" w:rsidR="00FA4AA8" w:rsidRDefault="00FA4AA8">
      <w:pPr>
        <w:pStyle w:val="BodyText"/>
        <w:rPr>
          <w:sz w:val="20"/>
        </w:rPr>
      </w:pPr>
    </w:p>
    <w:p w14:paraId="633BA00B" w14:textId="77777777" w:rsidR="00FA4AA8" w:rsidRDefault="00FA4AA8">
      <w:pPr>
        <w:pStyle w:val="BodyText"/>
        <w:spacing w:before="3"/>
        <w:rPr>
          <w:sz w:val="19"/>
        </w:rPr>
      </w:pPr>
    </w:p>
    <w:p w14:paraId="0177A156" w14:textId="77777777" w:rsidR="00FA4AA8" w:rsidRDefault="007E2441">
      <w:pPr>
        <w:pStyle w:val="BodyText"/>
        <w:ind w:left="494"/>
      </w:pPr>
      <w:r>
        <w:rPr>
          <w:noProof/>
          <w:lang w:val="en-AU" w:eastAsia="en-AU"/>
        </w:rPr>
        <mc:AlternateContent>
          <mc:Choice Requires="wps">
            <w:drawing>
              <wp:anchor distT="0" distB="0" distL="114300" distR="114300" simplePos="0" relativeHeight="462746624" behindDoc="1" locked="0" layoutInCell="1" allowOverlap="1" wp14:anchorId="774ED08D" wp14:editId="25A3B240">
                <wp:simplePos x="0" y="0"/>
                <wp:positionH relativeFrom="page">
                  <wp:posOffset>1337945</wp:posOffset>
                </wp:positionH>
                <wp:positionV relativeFrom="paragraph">
                  <wp:posOffset>363855</wp:posOffset>
                </wp:positionV>
                <wp:extent cx="2014855" cy="128270"/>
                <wp:effectExtent l="0" t="0" r="0" b="0"/>
                <wp:wrapNone/>
                <wp:docPr id="2201" name="Text Box 1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485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9CCE6" w14:textId="77777777" w:rsidR="001F3ACE" w:rsidRDefault="001F3ACE">
                            <w:pPr>
                              <w:pStyle w:val="BodyText"/>
                              <w:spacing w:line="201" w:lineRule="exact"/>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ED08D" id="Text Box 1967" o:spid="_x0000_s1039" type="#_x0000_t202" style="position:absolute;left:0;text-align:left;margin-left:105.35pt;margin-top:28.65pt;width:158.65pt;height:10.1pt;z-index:-405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" filled="f" stroked="f">
                <v:textbox inset="0,0,0,0">
                  <w:txbxContent>
                    <w:p w14:paraId="66C9CCE6" w14:textId="77777777" w:rsidR="001F3ACE" w:rsidRDefault="001F3ACE">
                      <w:pPr>
                        <w:pStyle w:val="BodyText"/>
                        <w:spacing w:line="201" w:lineRule="exact"/>
                      </w:pPr>
                      <w:r>
                        <w:t>...............................................................</w:t>
                      </w:r>
                    </w:p>
                  </w:txbxContent>
                </v:textbox>
                <w10:wrap anchorx="page"/>
              </v:shape>
            </w:pict>
          </mc:Fallback>
        </mc:AlternateContent>
      </w:r>
      <w:r>
        <w:rPr>
          <w:noProof/>
          <w:lang w:val="en-AU" w:eastAsia="en-AU"/>
        </w:rPr>
        <mc:AlternateContent>
          <mc:Choice Requires="wps">
            <w:drawing>
              <wp:anchor distT="0" distB="0" distL="114300" distR="114300" simplePos="0" relativeHeight="462747136" behindDoc="1" locked="0" layoutInCell="1" allowOverlap="1" wp14:anchorId="13FA1300" wp14:editId="7BB7A0FE">
                <wp:simplePos x="0" y="0"/>
                <wp:positionH relativeFrom="page">
                  <wp:posOffset>4389120</wp:posOffset>
                </wp:positionH>
                <wp:positionV relativeFrom="paragraph">
                  <wp:posOffset>363855</wp:posOffset>
                </wp:positionV>
                <wp:extent cx="2047240" cy="128270"/>
                <wp:effectExtent l="0" t="0" r="0" b="0"/>
                <wp:wrapNone/>
                <wp:docPr id="2200" name="Text Box 1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24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80BDE" w14:textId="77777777" w:rsidR="001F3ACE" w:rsidRDefault="001F3ACE">
                            <w:pPr>
                              <w:pStyle w:val="BodyText"/>
                              <w:spacing w:line="201" w:lineRule="exact"/>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A1300" id="Text Box 1966" o:spid="_x0000_s1040" type="#_x0000_t202" style="position:absolute;left:0;text-align:left;margin-left:345.6pt;margin-top:28.65pt;width:161.2pt;height:10.1pt;z-index:-40569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" filled="f" stroked="f">
                <v:textbox inset="0,0,0,0">
                  <w:txbxContent>
                    <w:p w14:paraId="68480BDE" w14:textId="77777777" w:rsidR="001F3ACE" w:rsidRDefault="001F3ACE">
                      <w:pPr>
                        <w:pStyle w:val="BodyText"/>
                        <w:spacing w:line="201" w:lineRule="exact"/>
                      </w:pPr>
                      <w:r>
                        <w:t>................................................................</w:t>
                      </w:r>
                    </w:p>
                  </w:txbxContent>
                </v:textbox>
                <w10:wrap anchorx="page"/>
              </v:shape>
            </w:pict>
          </mc:Fallback>
        </mc:AlternateContent>
      </w:r>
      <w:r w:rsidR="0015611F">
        <w:rPr>
          <w:noProof/>
          <w:lang w:val="en-AU" w:eastAsia="en-AU"/>
        </w:rPr>
        <w:drawing>
          <wp:anchor distT="0" distB="0" distL="0" distR="0" simplePos="0" relativeHeight="15759872" behindDoc="0" locked="0" layoutInCell="1" allowOverlap="1" wp14:anchorId="4EA820BE" wp14:editId="22FCE53A">
            <wp:simplePos x="0" y="0"/>
            <wp:positionH relativeFrom="page">
              <wp:posOffset>1281696</wp:posOffset>
            </wp:positionH>
            <wp:positionV relativeFrom="paragraph">
              <wp:posOffset>1023663</wp:posOffset>
            </wp:positionV>
            <wp:extent cx="1652701" cy="360138"/>
            <wp:effectExtent l="0" t="0" r="0" b="0"/>
            <wp:wrapNone/>
            <wp:docPr id="1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jpeg"/>
                    <pic:cNvPicPr/>
                  </pic:nvPicPr>
                  <pic:blipFill>
                    <a:blip r:embed="rId65" cstate="print"/>
                    <a:stretch>
                      <a:fillRect/>
                    </a:stretch>
                  </pic:blipFill>
                  <pic:spPr>
                    <a:xfrm>
                      <a:off x="0" y="0"/>
                      <a:ext cx="1652701" cy="360138"/>
                    </a:xfrm>
                    <a:prstGeom prst="rect">
                      <a:avLst/>
                    </a:prstGeom>
                  </pic:spPr>
                </pic:pic>
              </a:graphicData>
            </a:graphic>
          </wp:anchor>
        </w:drawing>
      </w:r>
      <w:r w:rsidR="0015611F">
        <w:t>Director:</w:t>
      </w:r>
      <w:r w:rsidR="0015611F">
        <w:rPr>
          <w:spacing w:val="-28"/>
        </w:rPr>
        <w:t xml:space="preserve"> </w:t>
      </w:r>
      <w:r w:rsidR="0015611F">
        <w:rPr>
          <w:noProof/>
          <w:spacing w:val="-28"/>
          <w:position w:val="-12"/>
          <w:lang w:val="en-AU" w:eastAsia="en-AU"/>
        </w:rPr>
        <w:drawing>
          <wp:inline distT="0" distB="0" distL="0" distR="0" wp14:anchorId="5AF2B17E" wp14:editId="2B901D4B">
            <wp:extent cx="2054745" cy="547684"/>
            <wp:effectExtent l="0" t="0" r="0" b="0"/>
            <wp:docPr id="1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jpeg"/>
                    <pic:cNvPicPr/>
                  </pic:nvPicPr>
                  <pic:blipFill>
                    <a:blip r:embed="rId66" cstate="print"/>
                    <a:stretch>
                      <a:fillRect/>
                    </a:stretch>
                  </pic:blipFill>
                  <pic:spPr>
                    <a:xfrm>
                      <a:off x="0" y="0"/>
                      <a:ext cx="2054745" cy="547684"/>
                    </a:xfrm>
                    <a:prstGeom prst="rect">
                      <a:avLst/>
                    </a:prstGeom>
                  </pic:spPr>
                </pic:pic>
              </a:graphicData>
            </a:graphic>
          </wp:inline>
        </w:drawing>
      </w:r>
      <w:r w:rsidR="0015611F">
        <w:rPr>
          <w:rFonts w:ascii="Times New Roman"/>
          <w:spacing w:val="-28"/>
        </w:rPr>
        <w:t xml:space="preserve">                                                  </w:t>
      </w:r>
      <w:r w:rsidR="0015611F">
        <w:rPr>
          <w:rFonts w:ascii="Times New Roman"/>
          <w:spacing w:val="-3"/>
        </w:rPr>
        <w:t xml:space="preserve"> </w:t>
      </w:r>
      <w:r w:rsidR="0015611F">
        <w:t xml:space="preserve">Director: </w:t>
      </w:r>
      <w:r w:rsidR="0015611F">
        <w:rPr>
          <w:noProof/>
          <w:spacing w:val="-18"/>
          <w:position w:val="-72"/>
          <w:lang w:val="en-AU" w:eastAsia="en-AU"/>
        </w:rPr>
        <w:drawing>
          <wp:inline distT="0" distB="0" distL="0" distR="0" wp14:anchorId="52C09D03" wp14:editId="425462F7">
            <wp:extent cx="2159444" cy="892312"/>
            <wp:effectExtent l="0" t="0" r="0" b="0"/>
            <wp:docPr id="2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jpeg"/>
                    <pic:cNvPicPr/>
                  </pic:nvPicPr>
                  <pic:blipFill>
                    <a:blip r:embed="rId67" cstate="print"/>
                    <a:stretch>
                      <a:fillRect/>
                    </a:stretch>
                  </pic:blipFill>
                  <pic:spPr>
                    <a:xfrm>
                      <a:off x="0" y="0"/>
                      <a:ext cx="2159444" cy="892312"/>
                    </a:xfrm>
                    <a:prstGeom prst="rect">
                      <a:avLst/>
                    </a:prstGeom>
                  </pic:spPr>
                </pic:pic>
              </a:graphicData>
            </a:graphic>
          </wp:inline>
        </w:drawing>
      </w:r>
    </w:p>
    <w:p w14:paraId="657523D3" w14:textId="77777777" w:rsidR="00FA4AA8" w:rsidRDefault="0015611F">
      <w:pPr>
        <w:pStyle w:val="BodyText"/>
        <w:spacing w:before="354"/>
        <w:ind w:left="495"/>
      </w:pPr>
      <w:r>
        <w:t>Dated:</w:t>
      </w:r>
    </w:p>
    <w:p w14:paraId="59EC4FB6" w14:textId="77777777" w:rsidR="00FA4AA8" w:rsidRDefault="00FA4AA8">
      <w:pPr>
        <w:sectPr w:rsidR="00FA4AA8">
          <w:pgSz w:w="11910" w:h="16840"/>
          <w:pgMar w:top="1720" w:right="880" w:bottom="720" w:left="880" w:header="1017" w:footer="523" w:gutter="0"/>
          <w:cols w:space="720"/>
        </w:sectPr>
      </w:pPr>
    </w:p>
    <w:p w14:paraId="59BADA4C" w14:textId="77777777" w:rsidR="00FA4AA8" w:rsidRDefault="00FA4AA8">
      <w:pPr>
        <w:pStyle w:val="BodyText"/>
        <w:spacing w:before="6"/>
        <w:rPr>
          <w:sz w:val="21"/>
        </w:rPr>
      </w:pPr>
    </w:p>
    <w:p w14:paraId="70558600" w14:textId="77777777" w:rsidR="00FA4AA8" w:rsidRDefault="0015611F">
      <w:pPr>
        <w:pStyle w:val="Heading2"/>
        <w:ind w:left="127"/>
      </w:pPr>
      <w:r>
        <w:t>Directors' Declaration</w:t>
      </w:r>
    </w:p>
    <w:p w14:paraId="1C029986" w14:textId="77777777" w:rsidR="00FA4AA8" w:rsidRDefault="00FA4AA8">
      <w:pPr>
        <w:pStyle w:val="BodyText"/>
        <w:rPr>
          <w:b/>
          <w:sz w:val="25"/>
        </w:rPr>
      </w:pPr>
    </w:p>
    <w:p w14:paraId="2AC87655" w14:textId="77777777" w:rsidR="00FA4AA8" w:rsidRDefault="0015611F">
      <w:pPr>
        <w:pStyle w:val="BodyText"/>
        <w:ind w:left="127"/>
      </w:pPr>
      <w:r>
        <w:t>In the directors' opinion:</w:t>
      </w:r>
    </w:p>
    <w:p w14:paraId="67706DBF" w14:textId="77777777" w:rsidR="00FA4AA8" w:rsidRDefault="00FA4AA8">
      <w:pPr>
        <w:pStyle w:val="BodyText"/>
        <w:spacing w:before="7"/>
        <w:rPr>
          <w:sz w:val="19"/>
        </w:rPr>
      </w:pPr>
    </w:p>
    <w:p w14:paraId="5F2F348B" w14:textId="77777777" w:rsidR="00FA4AA8" w:rsidRDefault="0015611F">
      <w:pPr>
        <w:pStyle w:val="ListParagraph"/>
        <w:numPr>
          <w:ilvl w:val="0"/>
          <w:numId w:val="69"/>
        </w:numPr>
        <w:tabs>
          <w:tab w:val="left" w:pos="523"/>
          <w:tab w:val="left" w:pos="524"/>
        </w:tabs>
        <w:spacing w:line="290" w:lineRule="auto"/>
        <w:ind w:left="523" w:right="838"/>
        <w:rPr>
          <w:sz w:val="18"/>
        </w:rPr>
      </w:pPr>
      <w:r>
        <w:rPr>
          <w:sz w:val="18"/>
        </w:rPr>
        <w:t>the</w:t>
      </w:r>
      <w:r>
        <w:rPr>
          <w:spacing w:val="-4"/>
          <w:sz w:val="18"/>
        </w:rPr>
        <w:t xml:space="preserve"> </w:t>
      </w:r>
      <w:r>
        <w:rPr>
          <w:sz w:val="18"/>
        </w:rPr>
        <w:t>financial</w:t>
      </w:r>
      <w:r>
        <w:rPr>
          <w:spacing w:val="-4"/>
          <w:sz w:val="18"/>
        </w:rPr>
        <w:t xml:space="preserve"> </w:t>
      </w:r>
      <w:r>
        <w:rPr>
          <w:sz w:val="18"/>
        </w:rPr>
        <w:t>statements</w:t>
      </w:r>
      <w:r>
        <w:rPr>
          <w:spacing w:val="-5"/>
          <w:sz w:val="18"/>
        </w:rPr>
        <w:t xml:space="preserve"> </w:t>
      </w:r>
      <w:r>
        <w:rPr>
          <w:sz w:val="18"/>
        </w:rPr>
        <w:t>and</w:t>
      </w:r>
      <w:r>
        <w:rPr>
          <w:spacing w:val="-4"/>
          <w:sz w:val="18"/>
        </w:rPr>
        <w:t xml:space="preserve"> </w:t>
      </w:r>
      <w:r>
        <w:rPr>
          <w:sz w:val="18"/>
        </w:rPr>
        <w:t>notes,</w:t>
      </w:r>
      <w:r>
        <w:rPr>
          <w:spacing w:val="-5"/>
          <w:sz w:val="18"/>
        </w:rPr>
        <w:t xml:space="preserve"> </w:t>
      </w:r>
      <w:r>
        <w:rPr>
          <w:sz w:val="18"/>
        </w:rPr>
        <w:t>as</w:t>
      </w:r>
      <w:r>
        <w:rPr>
          <w:spacing w:val="-4"/>
          <w:sz w:val="18"/>
        </w:rPr>
        <w:t xml:space="preserve"> </w:t>
      </w:r>
      <w:r>
        <w:rPr>
          <w:sz w:val="18"/>
        </w:rPr>
        <w:t>set</w:t>
      </w:r>
      <w:r>
        <w:rPr>
          <w:spacing w:val="-5"/>
          <w:sz w:val="18"/>
        </w:rPr>
        <w:t xml:space="preserve"> </w:t>
      </w:r>
      <w:r>
        <w:rPr>
          <w:sz w:val="18"/>
        </w:rPr>
        <w:t>out</w:t>
      </w:r>
      <w:r>
        <w:rPr>
          <w:spacing w:val="-4"/>
          <w:sz w:val="18"/>
        </w:rPr>
        <w:t xml:space="preserve"> </w:t>
      </w:r>
      <w:r>
        <w:rPr>
          <w:sz w:val="18"/>
        </w:rPr>
        <w:t>on</w:t>
      </w:r>
      <w:r>
        <w:rPr>
          <w:spacing w:val="-4"/>
          <w:sz w:val="18"/>
        </w:rPr>
        <w:t xml:space="preserve"> </w:t>
      </w:r>
      <w:r>
        <w:rPr>
          <w:sz w:val="18"/>
        </w:rPr>
        <w:t>pages</w:t>
      </w:r>
      <w:r>
        <w:rPr>
          <w:spacing w:val="-5"/>
          <w:sz w:val="18"/>
        </w:rPr>
        <w:t xml:space="preserve"> </w:t>
      </w:r>
      <w:r>
        <w:rPr>
          <w:sz w:val="18"/>
        </w:rPr>
        <w:t>94</w:t>
      </w:r>
      <w:r>
        <w:rPr>
          <w:spacing w:val="-4"/>
          <w:sz w:val="18"/>
        </w:rPr>
        <w:t xml:space="preserve"> </w:t>
      </w:r>
      <w:r>
        <w:rPr>
          <w:sz w:val="18"/>
        </w:rPr>
        <w:t>to</w:t>
      </w:r>
      <w:r>
        <w:rPr>
          <w:spacing w:val="-5"/>
          <w:sz w:val="18"/>
        </w:rPr>
        <w:t xml:space="preserve"> </w:t>
      </w:r>
      <w:r>
        <w:rPr>
          <w:sz w:val="18"/>
        </w:rPr>
        <w:t>115,</w:t>
      </w:r>
      <w:r>
        <w:rPr>
          <w:spacing w:val="-4"/>
          <w:sz w:val="18"/>
        </w:rPr>
        <w:t xml:space="preserve"> </w:t>
      </w:r>
      <w:r>
        <w:rPr>
          <w:sz w:val="18"/>
        </w:rPr>
        <w:t>are</w:t>
      </w:r>
      <w:r>
        <w:rPr>
          <w:spacing w:val="-5"/>
          <w:sz w:val="18"/>
        </w:rPr>
        <w:t xml:space="preserve"> </w:t>
      </w:r>
      <w:r>
        <w:rPr>
          <w:sz w:val="18"/>
        </w:rPr>
        <w:t>in</w:t>
      </w:r>
      <w:r>
        <w:rPr>
          <w:spacing w:val="-4"/>
          <w:sz w:val="18"/>
        </w:rPr>
        <w:t xml:space="preserve"> </w:t>
      </w:r>
      <w:r>
        <w:rPr>
          <w:sz w:val="18"/>
        </w:rPr>
        <w:t>accordance</w:t>
      </w:r>
      <w:r>
        <w:rPr>
          <w:spacing w:val="-4"/>
          <w:sz w:val="18"/>
        </w:rPr>
        <w:t xml:space="preserve"> </w:t>
      </w:r>
      <w:r>
        <w:rPr>
          <w:sz w:val="18"/>
        </w:rPr>
        <w:t>with</w:t>
      </w:r>
      <w:r>
        <w:rPr>
          <w:spacing w:val="-5"/>
          <w:sz w:val="18"/>
        </w:rPr>
        <w:t xml:space="preserve"> </w:t>
      </w:r>
      <w:r>
        <w:rPr>
          <w:sz w:val="18"/>
        </w:rPr>
        <w:t>the</w:t>
      </w:r>
      <w:r>
        <w:rPr>
          <w:spacing w:val="-3"/>
          <w:sz w:val="18"/>
        </w:rPr>
        <w:t xml:space="preserve"> </w:t>
      </w:r>
      <w:r>
        <w:rPr>
          <w:i/>
          <w:sz w:val="18"/>
        </w:rPr>
        <w:t>Corporations</w:t>
      </w:r>
      <w:r>
        <w:rPr>
          <w:i/>
          <w:spacing w:val="-5"/>
          <w:sz w:val="18"/>
        </w:rPr>
        <w:t xml:space="preserve"> </w:t>
      </w:r>
      <w:r>
        <w:rPr>
          <w:i/>
          <w:sz w:val="18"/>
        </w:rPr>
        <w:t>Act 2001</w:t>
      </w:r>
      <w:r>
        <w:rPr>
          <w:sz w:val="18"/>
        </w:rPr>
        <w:t>,</w:t>
      </w:r>
      <w:r>
        <w:rPr>
          <w:spacing w:val="-1"/>
          <w:sz w:val="18"/>
        </w:rPr>
        <w:t xml:space="preserve"> </w:t>
      </w:r>
      <w:r>
        <w:rPr>
          <w:sz w:val="18"/>
        </w:rPr>
        <w:t>including:</w:t>
      </w:r>
    </w:p>
    <w:p w14:paraId="30FF9183" w14:textId="77777777" w:rsidR="00FA4AA8" w:rsidRDefault="00FA4AA8">
      <w:pPr>
        <w:pStyle w:val="BodyText"/>
        <w:spacing w:before="7"/>
        <w:rPr>
          <w:sz w:val="19"/>
        </w:rPr>
      </w:pPr>
    </w:p>
    <w:p w14:paraId="577E2056" w14:textId="77777777" w:rsidR="00FA4AA8" w:rsidRDefault="0015611F">
      <w:pPr>
        <w:pStyle w:val="ListParagraph"/>
        <w:numPr>
          <w:ilvl w:val="1"/>
          <w:numId w:val="69"/>
        </w:numPr>
        <w:tabs>
          <w:tab w:val="left" w:pos="922"/>
        </w:tabs>
        <w:spacing w:line="230" w:lineRule="auto"/>
        <w:ind w:right="729"/>
        <w:rPr>
          <w:sz w:val="18"/>
        </w:rPr>
      </w:pPr>
      <w:r>
        <w:rPr>
          <w:sz w:val="18"/>
        </w:rPr>
        <w:t xml:space="preserve">complying with Australian Accounting Standards - Reduced Disclosure Requirements, the </w:t>
      </w:r>
      <w:r>
        <w:rPr>
          <w:i/>
          <w:sz w:val="18"/>
        </w:rPr>
        <w:t>Corporations Regulations</w:t>
      </w:r>
      <w:r>
        <w:rPr>
          <w:i/>
          <w:spacing w:val="-6"/>
          <w:sz w:val="18"/>
        </w:rPr>
        <w:t xml:space="preserve"> </w:t>
      </w:r>
      <w:r>
        <w:rPr>
          <w:i/>
          <w:sz w:val="18"/>
        </w:rPr>
        <w:t>2001,</w:t>
      </w:r>
      <w:r>
        <w:rPr>
          <w:i/>
          <w:spacing w:val="-5"/>
          <w:sz w:val="18"/>
        </w:rPr>
        <w:t xml:space="preserve"> </w:t>
      </w:r>
      <w:r>
        <w:rPr>
          <w:i/>
          <w:sz w:val="18"/>
        </w:rPr>
        <w:t>Public</w:t>
      </w:r>
      <w:r>
        <w:rPr>
          <w:i/>
          <w:spacing w:val="-6"/>
          <w:sz w:val="18"/>
        </w:rPr>
        <w:t xml:space="preserve"> </w:t>
      </w:r>
      <w:r>
        <w:rPr>
          <w:i/>
          <w:sz w:val="18"/>
        </w:rPr>
        <w:t>Finance</w:t>
      </w:r>
      <w:r>
        <w:rPr>
          <w:i/>
          <w:spacing w:val="-5"/>
          <w:sz w:val="18"/>
        </w:rPr>
        <w:t xml:space="preserve"> </w:t>
      </w:r>
      <w:r>
        <w:rPr>
          <w:i/>
          <w:sz w:val="18"/>
        </w:rPr>
        <w:t>and</w:t>
      </w:r>
      <w:r>
        <w:rPr>
          <w:i/>
          <w:spacing w:val="-6"/>
          <w:sz w:val="18"/>
        </w:rPr>
        <w:t xml:space="preserve"> </w:t>
      </w:r>
      <w:r>
        <w:rPr>
          <w:i/>
          <w:sz w:val="18"/>
        </w:rPr>
        <w:t>Audit</w:t>
      </w:r>
      <w:r>
        <w:rPr>
          <w:i/>
          <w:spacing w:val="-5"/>
          <w:sz w:val="18"/>
        </w:rPr>
        <w:t xml:space="preserve"> </w:t>
      </w:r>
      <w:r>
        <w:rPr>
          <w:i/>
          <w:sz w:val="18"/>
        </w:rPr>
        <w:t>Act</w:t>
      </w:r>
      <w:r>
        <w:rPr>
          <w:i/>
          <w:spacing w:val="-6"/>
          <w:sz w:val="18"/>
        </w:rPr>
        <w:t xml:space="preserve"> </w:t>
      </w:r>
      <w:r>
        <w:rPr>
          <w:i/>
          <w:sz w:val="18"/>
        </w:rPr>
        <w:t>1983,</w:t>
      </w:r>
      <w:r>
        <w:rPr>
          <w:i/>
          <w:spacing w:val="-5"/>
          <w:sz w:val="18"/>
        </w:rPr>
        <w:t xml:space="preserve"> </w:t>
      </w:r>
      <w:r>
        <w:rPr>
          <w:i/>
          <w:sz w:val="18"/>
        </w:rPr>
        <w:t>Public</w:t>
      </w:r>
      <w:r>
        <w:rPr>
          <w:i/>
          <w:spacing w:val="-5"/>
          <w:sz w:val="18"/>
        </w:rPr>
        <w:t xml:space="preserve"> </w:t>
      </w:r>
      <w:r>
        <w:rPr>
          <w:i/>
          <w:sz w:val="18"/>
        </w:rPr>
        <w:t>Finance</w:t>
      </w:r>
      <w:r>
        <w:rPr>
          <w:i/>
          <w:spacing w:val="-6"/>
          <w:sz w:val="18"/>
        </w:rPr>
        <w:t xml:space="preserve"> </w:t>
      </w:r>
      <w:r>
        <w:rPr>
          <w:i/>
          <w:sz w:val="18"/>
        </w:rPr>
        <w:t>and</w:t>
      </w:r>
      <w:r>
        <w:rPr>
          <w:i/>
          <w:spacing w:val="-5"/>
          <w:sz w:val="18"/>
        </w:rPr>
        <w:t xml:space="preserve"> </w:t>
      </w:r>
      <w:r>
        <w:rPr>
          <w:i/>
          <w:sz w:val="18"/>
        </w:rPr>
        <w:t>Audit</w:t>
      </w:r>
      <w:r>
        <w:rPr>
          <w:i/>
          <w:spacing w:val="-6"/>
          <w:sz w:val="18"/>
        </w:rPr>
        <w:t xml:space="preserve"> </w:t>
      </w:r>
      <w:r>
        <w:rPr>
          <w:i/>
          <w:sz w:val="18"/>
        </w:rPr>
        <w:t>Regulation</w:t>
      </w:r>
      <w:r>
        <w:rPr>
          <w:i/>
          <w:spacing w:val="-5"/>
          <w:sz w:val="18"/>
        </w:rPr>
        <w:t xml:space="preserve"> </w:t>
      </w:r>
      <w:r>
        <w:rPr>
          <w:i/>
          <w:sz w:val="18"/>
        </w:rPr>
        <w:t>201</w:t>
      </w:r>
      <w:r>
        <w:rPr>
          <w:sz w:val="18"/>
        </w:rPr>
        <w:t>5</w:t>
      </w:r>
      <w:r>
        <w:rPr>
          <w:spacing w:val="-6"/>
          <w:sz w:val="18"/>
        </w:rPr>
        <w:t xml:space="preserve"> </w:t>
      </w:r>
      <w:r>
        <w:rPr>
          <w:sz w:val="18"/>
        </w:rPr>
        <w:t>and</w:t>
      </w:r>
      <w:r>
        <w:rPr>
          <w:spacing w:val="-5"/>
          <w:sz w:val="18"/>
        </w:rPr>
        <w:t xml:space="preserve"> </w:t>
      </w:r>
      <w:r>
        <w:rPr>
          <w:sz w:val="18"/>
        </w:rPr>
        <w:t>other mandatory professional reporting requirements,</w:t>
      </w:r>
      <w:r>
        <w:rPr>
          <w:spacing w:val="-6"/>
          <w:sz w:val="18"/>
        </w:rPr>
        <w:t xml:space="preserve"> </w:t>
      </w:r>
      <w:r>
        <w:rPr>
          <w:sz w:val="18"/>
        </w:rPr>
        <w:t>and</w:t>
      </w:r>
    </w:p>
    <w:p w14:paraId="1CAB639A" w14:textId="77777777" w:rsidR="00FA4AA8" w:rsidRDefault="00FA4AA8">
      <w:pPr>
        <w:pStyle w:val="BodyText"/>
        <w:spacing w:before="3"/>
        <w:rPr>
          <w:sz w:val="25"/>
        </w:rPr>
      </w:pPr>
    </w:p>
    <w:p w14:paraId="7618D50C" w14:textId="77777777" w:rsidR="00FA4AA8" w:rsidRDefault="0015611F">
      <w:pPr>
        <w:pStyle w:val="ListParagraph"/>
        <w:numPr>
          <w:ilvl w:val="1"/>
          <w:numId w:val="69"/>
        </w:numPr>
        <w:tabs>
          <w:tab w:val="left" w:pos="922"/>
        </w:tabs>
        <w:ind w:right="278"/>
        <w:rPr>
          <w:sz w:val="18"/>
        </w:rPr>
      </w:pPr>
      <w:r>
        <w:rPr>
          <w:sz w:val="18"/>
        </w:rPr>
        <w:t>giving</w:t>
      </w:r>
      <w:r>
        <w:rPr>
          <w:spacing w:val="-5"/>
          <w:sz w:val="18"/>
        </w:rPr>
        <w:t xml:space="preserve"> </w:t>
      </w:r>
      <w:r>
        <w:rPr>
          <w:sz w:val="18"/>
        </w:rPr>
        <w:t>a</w:t>
      </w:r>
      <w:r>
        <w:rPr>
          <w:spacing w:val="-5"/>
          <w:sz w:val="18"/>
        </w:rPr>
        <w:t xml:space="preserve"> </w:t>
      </w:r>
      <w:r>
        <w:rPr>
          <w:sz w:val="18"/>
        </w:rPr>
        <w:t>true</w:t>
      </w:r>
      <w:r>
        <w:rPr>
          <w:spacing w:val="-5"/>
          <w:sz w:val="18"/>
        </w:rPr>
        <w:t xml:space="preserve"> </w:t>
      </w:r>
      <w:r>
        <w:rPr>
          <w:sz w:val="18"/>
        </w:rPr>
        <w:t>and</w:t>
      </w:r>
      <w:r>
        <w:rPr>
          <w:spacing w:val="-5"/>
          <w:sz w:val="18"/>
        </w:rPr>
        <w:t xml:space="preserve"> </w:t>
      </w:r>
      <w:r>
        <w:rPr>
          <w:sz w:val="18"/>
        </w:rPr>
        <w:t>fair</w:t>
      </w:r>
      <w:r>
        <w:rPr>
          <w:spacing w:val="-5"/>
          <w:sz w:val="18"/>
        </w:rPr>
        <w:t xml:space="preserve"> </w:t>
      </w:r>
      <w:r>
        <w:rPr>
          <w:sz w:val="18"/>
        </w:rPr>
        <w:t>view</w:t>
      </w:r>
      <w:r>
        <w:rPr>
          <w:spacing w:val="-9"/>
          <w:sz w:val="18"/>
        </w:rPr>
        <w:t xml:space="preserve"> </w:t>
      </w:r>
      <w:r>
        <w:rPr>
          <w:sz w:val="18"/>
        </w:rPr>
        <w:t>of</w:t>
      </w:r>
      <w:r>
        <w:rPr>
          <w:spacing w:val="-4"/>
          <w:sz w:val="18"/>
        </w:rPr>
        <w:t xml:space="preserve"> </w:t>
      </w:r>
      <w:r>
        <w:rPr>
          <w:sz w:val="18"/>
        </w:rPr>
        <w:t>the</w:t>
      </w:r>
      <w:r>
        <w:rPr>
          <w:spacing w:val="-5"/>
          <w:sz w:val="18"/>
        </w:rPr>
        <w:t xml:space="preserve"> </w:t>
      </w:r>
      <w:r>
        <w:rPr>
          <w:sz w:val="18"/>
        </w:rPr>
        <w:t>company's</w:t>
      </w:r>
      <w:r>
        <w:rPr>
          <w:spacing w:val="-5"/>
          <w:sz w:val="18"/>
        </w:rPr>
        <w:t xml:space="preserve"> </w:t>
      </w:r>
      <w:r>
        <w:rPr>
          <w:sz w:val="18"/>
        </w:rPr>
        <w:t>financial</w:t>
      </w:r>
      <w:r>
        <w:rPr>
          <w:spacing w:val="-5"/>
          <w:sz w:val="18"/>
        </w:rPr>
        <w:t xml:space="preserve"> </w:t>
      </w:r>
      <w:r>
        <w:rPr>
          <w:sz w:val="18"/>
        </w:rPr>
        <w:t>position</w:t>
      </w:r>
      <w:r>
        <w:rPr>
          <w:spacing w:val="-5"/>
          <w:sz w:val="18"/>
        </w:rPr>
        <w:t xml:space="preserve"> </w:t>
      </w:r>
      <w:r>
        <w:rPr>
          <w:sz w:val="18"/>
        </w:rPr>
        <w:t>as</w:t>
      </w:r>
      <w:r>
        <w:rPr>
          <w:spacing w:val="-5"/>
          <w:sz w:val="18"/>
        </w:rPr>
        <w:t xml:space="preserve"> </w:t>
      </w:r>
      <w:r>
        <w:rPr>
          <w:sz w:val="18"/>
        </w:rPr>
        <w:t>at</w:t>
      </w:r>
      <w:r>
        <w:rPr>
          <w:spacing w:val="-5"/>
          <w:sz w:val="18"/>
        </w:rPr>
        <w:t xml:space="preserve"> </w:t>
      </w:r>
      <w:r>
        <w:rPr>
          <w:sz w:val="18"/>
        </w:rPr>
        <w:t>31</w:t>
      </w:r>
      <w:r>
        <w:rPr>
          <w:spacing w:val="-5"/>
          <w:sz w:val="18"/>
        </w:rPr>
        <w:t xml:space="preserve"> </w:t>
      </w:r>
      <w:r>
        <w:rPr>
          <w:sz w:val="18"/>
        </w:rPr>
        <w:t>December</w:t>
      </w:r>
      <w:r>
        <w:rPr>
          <w:spacing w:val="-5"/>
          <w:sz w:val="18"/>
        </w:rPr>
        <w:t xml:space="preserve"> </w:t>
      </w:r>
      <w:r>
        <w:rPr>
          <w:sz w:val="18"/>
        </w:rPr>
        <w:t>2018</w:t>
      </w:r>
      <w:r>
        <w:rPr>
          <w:spacing w:val="-4"/>
          <w:sz w:val="18"/>
        </w:rPr>
        <w:t xml:space="preserve"> </w:t>
      </w:r>
      <w:r>
        <w:rPr>
          <w:sz w:val="18"/>
        </w:rPr>
        <w:t>and</w:t>
      </w:r>
      <w:r>
        <w:rPr>
          <w:spacing w:val="-5"/>
          <w:sz w:val="18"/>
        </w:rPr>
        <w:t xml:space="preserve"> </w:t>
      </w:r>
      <w:r>
        <w:rPr>
          <w:sz w:val="18"/>
        </w:rPr>
        <w:t>financial</w:t>
      </w:r>
      <w:r>
        <w:rPr>
          <w:spacing w:val="-5"/>
          <w:sz w:val="18"/>
        </w:rPr>
        <w:t xml:space="preserve"> </w:t>
      </w:r>
      <w:r>
        <w:rPr>
          <w:sz w:val="18"/>
        </w:rPr>
        <w:t>performance for the financial year ended on that date,</w:t>
      </w:r>
      <w:r>
        <w:rPr>
          <w:spacing w:val="-11"/>
          <w:sz w:val="18"/>
        </w:rPr>
        <w:t xml:space="preserve"> </w:t>
      </w:r>
      <w:r>
        <w:rPr>
          <w:sz w:val="18"/>
        </w:rPr>
        <w:t>and;</w:t>
      </w:r>
    </w:p>
    <w:p w14:paraId="31B21FDA" w14:textId="77777777" w:rsidR="00FA4AA8" w:rsidRDefault="00FA4AA8">
      <w:pPr>
        <w:pStyle w:val="BodyText"/>
        <w:spacing w:before="9"/>
        <w:rPr>
          <w:sz w:val="17"/>
        </w:rPr>
      </w:pPr>
    </w:p>
    <w:p w14:paraId="197CB6A7" w14:textId="77777777" w:rsidR="00FA4AA8" w:rsidRDefault="0015611F">
      <w:pPr>
        <w:pStyle w:val="ListParagraph"/>
        <w:numPr>
          <w:ilvl w:val="0"/>
          <w:numId w:val="69"/>
        </w:numPr>
        <w:tabs>
          <w:tab w:val="left" w:pos="523"/>
          <w:tab w:val="left" w:pos="524"/>
        </w:tabs>
        <w:spacing w:before="1"/>
        <w:ind w:left="523" w:right="338"/>
        <w:rPr>
          <w:sz w:val="18"/>
        </w:rPr>
      </w:pPr>
      <w:r>
        <w:rPr>
          <w:sz w:val="18"/>
        </w:rPr>
        <w:t>there</w:t>
      </w:r>
      <w:r>
        <w:rPr>
          <w:spacing w:val="-5"/>
          <w:sz w:val="18"/>
        </w:rPr>
        <w:t xml:space="preserve"> </w:t>
      </w:r>
      <w:r>
        <w:rPr>
          <w:sz w:val="18"/>
        </w:rPr>
        <w:t>are</w:t>
      </w:r>
      <w:r>
        <w:rPr>
          <w:spacing w:val="-5"/>
          <w:sz w:val="18"/>
        </w:rPr>
        <w:t xml:space="preserve"> </w:t>
      </w:r>
      <w:r>
        <w:rPr>
          <w:sz w:val="18"/>
        </w:rPr>
        <w:t>reasonable</w:t>
      </w:r>
      <w:r>
        <w:rPr>
          <w:spacing w:val="-4"/>
          <w:sz w:val="18"/>
        </w:rPr>
        <w:t xml:space="preserve"> </w:t>
      </w:r>
      <w:r>
        <w:rPr>
          <w:sz w:val="18"/>
        </w:rPr>
        <w:t>grounds</w:t>
      </w:r>
      <w:r>
        <w:rPr>
          <w:spacing w:val="-5"/>
          <w:sz w:val="18"/>
        </w:rPr>
        <w:t xml:space="preserve"> </w:t>
      </w:r>
      <w:r>
        <w:rPr>
          <w:sz w:val="18"/>
        </w:rPr>
        <w:t>to</w:t>
      </w:r>
      <w:r>
        <w:rPr>
          <w:spacing w:val="-4"/>
          <w:sz w:val="18"/>
        </w:rPr>
        <w:t xml:space="preserve"> </w:t>
      </w:r>
      <w:r>
        <w:rPr>
          <w:sz w:val="18"/>
        </w:rPr>
        <w:t>believe</w:t>
      </w:r>
      <w:r>
        <w:rPr>
          <w:spacing w:val="-5"/>
          <w:sz w:val="18"/>
        </w:rPr>
        <w:t xml:space="preserve"> </w:t>
      </w:r>
      <w:r>
        <w:rPr>
          <w:sz w:val="18"/>
        </w:rPr>
        <w:t>that</w:t>
      </w:r>
      <w:r>
        <w:rPr>
          <w:spacing w:val="-4"/>
          <w:sz w:val="18"/>
        </w:rPr>
        <w:t xml:space="preserve"> </w:t>
      </w:r>
      <w:r>
        <w:rPr>
          <w:sz w:val="18"/>
        </w:rPr>
        <w:t>the</w:t>
      </w:r>
      <w:r>
        <w:rPr>
          <w:spacing w:val="-5"/>
          <w:sz w:val="18"/>
        </w:rPr>
        <w:t xml:space="preserve"> </w:t>
      </w:r>
      <w:r>
        <w:rPr>
          <w:sz w:val="18"/>
        </w:rPr>
        <w:t>company</w:t>
      </w:r>
      <w:r>
        <w:rPr>
          <w:spacing w:val="-4"/>
          <w:sz w:val="18"/>
        </w:rPr>
        <w:t xml:space="preserve"> </w:t>
      </w:r>
      <w:r>
        <w:rPr>
          <w:sz w:val="18"/>
        </w:rPr>
        <w:t>will</w:t>
      </w:r>
      <w:r>
        <w:rPr>
          <w:spacing w:val="-5"/>
          <w:sz w:val="18"/>
        </w:rPr>
        <w:t xml:space="preserve"> </w:t>
      </w:r>
      <w:r>
        <w:rPr>
          <w:sz w:val="18"/>
        </w:rPr>
        <w:t>be</w:t>
      </w:r>
      <w:r>
        <w:rPr>
          <w:spacing w:val="-4"/>
          <w:sz w:val="18"/>
        </w:rPr>
        <w:t xml:space="preserve"> </w:t>
      </w:r>
      <w:r>
        <w:rPr>
          <w:sz w:val="18"/>
        </w:rPr>
        <w:t>able</w:t>
      </w:r>
      <w:r>
        <w:rPr>
          <w:spacing w:val="-5"/>
          <w:sz w:val="18"/>
        </w:rPr>
        <w:t xml:space="preserve"> </w:t>
      </w:r>
      <w:r>
        <w:rPr>
          <w:sz w:val="18"/>
        </w:rPr>
        <w:t>to</w:t>
      </w:r>
      <w:r>
        <w:rPr>
          <w:spacing w:val="-4"/>
          <w:sz w:val="18"/>
        </w:rPr>
        <w:t xml:space="preserve"> </w:t>
      </w:r>
      <w:r>
        <w:rPr>
          <w:sz w:val="18"/>
        </w:rPr>
        <w:t>pay</w:t>
      </w:r>
      <w:r>
        <w:rPr>
          <w:spacing w:val="-5"/>
          <w:sz w:val="18"/>
        </w:rPr>
        <w:t xml:space="preserve"> </w:t>
      </w:r>
      <w:r>
        <w:rPr>
          <w:sz w:val="18"/>
        </w:rPr>
        <w:t>its</w:t>
      </w:r>
      <w:r>
        <w:rPr>
          <w:spacing w:val="-4"/>
          <w:sz w:val="18"/>
        </w:rPr>
        <w:t xml:space="preserve"> </w:t>
      </w:r>
      <w:r>
        <w:rPr>
          <w:sz w:val="18"/>
        </w:rPr>
        <w:t>debts</w:t>
      </w:r>
      <w:r>
        <w:rPr>
          <w:spacing w:val="-5"/>
          <w:sz w:val="18"/>
        </w:rPr>
        <w:t xml:space="preserve"> </w:t>
      </w:r>
      <w:r>
        <w:rPr>
          <w:sz w:val="18"/>
        </w:rPr>
        <w:t>as</w:t>
      </w:r>
      <w:r>
        <w:rPr>
          <w:spacing w:val="-4"/>
          <w:sz w:val="18"/>
        </w:rPr>
        <w:t xml:space="preserve"> </w:t>
      </w:r>
      <w:r>
        <w:rPr>
          <w:sz w:val="18"/>
        </w:rPr>
        <w:t>and</w:t>
      </w:r>
      <w:r>
        <w:rPr>
          <w:spacing w:val="-5"/>
          <w:sz w:val="18"/>
        </w:rPr>
        <w:t xml:space="preserve"> </w:t>
      </w:r>
      <w:r>
        <w:rPr>
          <w:sz w:val="18"/>
        </w:rPr>
        <w:t>when</w:t>
      </w:r>
      <w:r>
        <w:rPr>
          <w:spacing w:val="-4"/>
          <w:sz w:val="18"/>
        </w:rPr>
        <w:t xml:space="preserve"> </w:t>
      </w:r>
      <w:r>
        <w:rPr>
          <w:sz w:val="18"/>
        </w:rPr>
        <w:t>they</w:t>
      </w:r>
      <w:r>
        <w:rPr>
          <w:spacing w:val="-5"/>
          <w:sz w:val="18"/>
        </w:rPr>
        <w:t xml:space="preserve"> </w:t>
      </w:r>
      <w:r>
        <w:rPr>
          <w:sz w:val="18"/>
        </w:rPr>
        <w:t>become</w:t>
      </w:r>
      <w:r>
        <w:rPr>
          <w:spacing w:val="-4"/>
          <w:sz w:val="18"/>
        </w:rPr>
        <w:t xml:space="preserve"> </w:t>
      </w:r>
      <w:r>
        <w:rPr>
          <w:sz w:val="18"/>
        </w:rPr>
        <w:t>due and</w:t>
      </w:r>
      <w:r>
        <w:rPr>
          <w:spacing w:val="-3"/>
          <w:sz w:val="18"/>
        </w:rPr>
        <w:t xml:space="preserve"> </w:t>
      </w:r>
      <w:r>
        <w:rPr>
          <w:sz w:val="18"/>
        </w:rPr>
        <w:t>payable,</w:t>
      </w:r>
    </w:p>
    <w:p w14:paraId="6077F0F1" w14:textId="77777777" w:rsidR="00FA4AA8" w:rsidRDefault="00FA4AA8">
      <w:pPr>
        <w:pStyle w:val="BodyText"/>
        <w:spacing w:before="9"/>
        <w:rPr>
          <w:sz w:val="17"/>
        </w:rPr>
      </w:pPr>
    </w:p>
    <w:p w14:paraId="74634A4E" w14:textId="77777777" w:rsidR="00FA4AA8" w:rsidRDefault="0015611F">
      <w:pPr>
        <w:pStyle w:val="ListParagraph"/>
        <w:numPr>
          <w:ilvl w:val="0"/>
          <w:numId w:val="69"/>
        </w:numPr>
        <w:tabs>
          <w:tab w:val="left" w:pos="523"/>
          <w:tab w:val="left" w:pos="524"/>
        </w:tabs>
        <w:ind w:left="523" w:right="178"/>
        <w:rPr>
          <w:sz w:val="18"/>
        </w:rPr>
      </w:pPr>
      <w:r>
        <w:rPr>
          <w:sz w:val="18"/>
        </w:rPr>
        <w:t>We</w:t>
      </w:r>
      <w:r>
        <w:rPr>
          <w:spacing w:val="-6"/>
          <w:sz w:val="18"/>
        </w:rPr>
        <w:t xml:space="preserve"> </w:t>
      </w:r>
      <w:r>
        <w:rPr>
          <w:sz w:val="18"/>
        </w:rPr>
        <w:t>are</w:t>
      </w:r>
      <w:r>
        <w:rPr>
          <w:spacing w:val="-6"/>
          <w:sz w:val="18"/>
        </w:rPr>
        <w:t xml:space="preserve"> </w:t>
      </w:r>
      <w:r>
        <w:rPr>
          <w:sz w:val="18"/>
        </w:rPr>
        <w:t>not</w:t>
      </w:r>
      <w:r>
        <w:rPr>
          <w:spacing w:val="-5"/>
          <w:sz w:val="18"/>
        </w:rPr>
        <w:t xml:space="preserve"> </w:t>
      </w:r>
      <w:r>
        <w:rPr>
          <w:sz w:val="18"/>
        </w:rPr>
        <w:t>aware</w:t>
      </w:r>
      <w:r>
        <w:rPr>
          <w:spacing w:val="-6"/>
          <w:sz w:val="18"/>
        </w:rPr>
        <w:t xml:space="preserve"> </w:t>
      </w:r>
      <w:r>
        <w:rPr>
          <w:sz w:val="18"/>
        </w:rPr>
        <w:t>of</w:t>
      </w:r>
      <w:r>
        <w:rPr>
          <w:spacing w:val="-6"/>
          <w:sz w:val="18"/>
        </w:rPr>
        <w:t xml:space="preserve"> </w:t>
      </w:r>
      <w:r>
        <w:rPr>
          <w:sz w:val="18"/>
        </w:rPr>
        <w:t>any</w:t>
      </w:r>
      <w:r>
        <w:rPr>
          <w:spacing w:val="-5"/>
          <w:sz w:val="18"/>
        </w:rPr>
        <w:t xml:space="preserve"> </w:t>
      </w:r>
      <w:r>
        <w:rPr>
          <w:sz w:val="18"/>
        </w:rPr>
        <w:t>circumstances</w:t>
      </w:r>
      <w:r>
        <w:rPr>
          <w:spacing w:val="-6"/>
          <w:sz w:val="18"/>
        </w:rPr>
        <w:t xml:space="preserve"> </w:t>
      </w:r>
      <w:r>
        <w:rPr>
          <w:sz w:val="18"/>
        </w:rPr>
        <w:t>which</w:t>
      </w:r>
      <w:r>
        <w:rPr>
          <w:spacing w:val="-5"/>
          <w:sz w:val="18"/>
        </w:rPr>
        <w:t xml:space="preserve"> </w:t>
      </w:r>
      <w:r>
        <w:rPr>
          <w:sz w:val="18"/>
        </w:rPr>
        <w:t>would</w:t>
      </w:r>
      <w:r>
        <w:rPr>
          <w:spacing w:val="-6"/>
          <w:sz w:val="18"/>
        </w:rPr>
        <w:t xml:space="preserve"> </w:t>
      </w:r>
      <w:r>
        <w:rPr>
          <w:sz w:val="18"/>
        </w:rPr>
        <w:t>render</w:t>
      </w:r>
      <w:r>
        <w:rPr>
          <w:spacing w:val="-6"/>
          <w:sz w:val="18"/>
        </w:rPr>
        <w:t xml:space="preserve"> </w:t>
      </w:r>
      <w:r>
        <w:rPr>
          <w:sz w:val="18"/>
        </w:rPr>
        <w:t>any</w:t>
      </w:r>
      <w:r>
        <w:rPr>
          <w:spacing w:val="-5"/>
          <w:sz w:val="18"/>
        </w:rPr>
        <w:t xml:space="preserve"> </w:t>
      </w:r>
      <w:r>
        <w:rPr>
          <w:sz w:val="18"/>
        </w:rPr>
        <w:t>particulars</w:t>
      </w:r>
      <w:r>
        <w:rPr>
          <w:spacing w:val="-6"/>
          <w:sz w:val="18"/>
        </w:rPr>
        <w:t xml:space="preserve"> </w:t>
      </w:r>
      <w:r>
        <w:rPr>
          <w:sz w:val="18"/>
        </w:rPr>
        <w:t>in</w:t>
      </w:r>
      <w:r>
        <w:rPr>
          <w:spacing w:val="-6"/>
          <w:sz w:val="18"/>
        </w:rPr>
        <w:t xml:space="preserve"> </w:t>
      </w:r>
      <w:r>
        <w:rPr>
          <w:sz w:val="18"/>
        </w:rPr>
        <w:t>the</w:t>
      </w:r>
      <w:r>
        <w:rPr>
          <w:spacing w:val="-5"/>
          <w:sz w:val="18"/>
        </w:rPr>
        <w:t xml:space="preserve"> </w:t>
      </w:r>
      <w:r>
        <w:rPr>
          <w:sz w:val="18"/>
        </w:rPr>
        <w:t>financial</w:t>
      </w:r>
      <w:r>
        <w:rPr>
          <w:spacing w:val="-6"/>
          <w:sz w:val="18"/>
        </w:rPr>
        <w:t xml:space="preserve"> </w:t>
      </w:r>
      <w:r>
        <w:rPr>
          <w:sz w:val="18"/>
        </w:rPr>
        <w:t>statements</w:t>
      </w:r>
      <w:r>
        <w:rPr>
          <w:spacing w:val="-5"/>
          <w:sz w:val="18"/>
        </w:rPr>
        <w:t xml:space="preserve"> </w:t>
      </w:r>
      <w:r>
        <w:rPr>
          <w:sz w:val="18"/>
        </w:rPr>
        <w:t>to</w:t>
      </w:r>
      <w:r>
        <w:rPr>
          <w:spacing w:val="-6"/>
          <w:sz w:val="18"/>
        </w:rPr>
        <w:t xml:space="preserve"> </w:t>
      </w:r>
      <w:r>
        <w:rPr>
          <w:sz w:val="18"/>
        </w:rPr>
        <w:t>be</w:t>
      </w:r>
      <w:r>
        <w:rPr>
          <w:spacing w:val="-6"/>
          <w:sz w:val="18"/>
        </w:rPr>
        <w:t xml:space="preserve"> </w:t>
      </w:r>
      <w:r>
        <w:rPr>
          <w:sz w:val="18"/>
        </w:rPr>
        <w:t>misleading or</w:t>
      </w:r>
      <w:r>
        <w:rPr>
          <w:spacing w:val="-2"/>
          <w:sz w:val="18"/>
        </w:rPr>
        <w:t xml:space="preserve"> </w:t>
      </w:r>
      <w:r>
        <w:rPr>
          <w:sz w:val="18"/>
        </w:rPr>
        <w:t>inaccurate.</w:t>
      </w:r>
    </w:p>
    <w:p w14:paraId="20267CBD" w14:textId="77777777" w:rsidR="00FA4AA8" w:rsidRDefault="00FA4AA8">
      <w:pPr>
        <w:pStyle w:val="BodyText"/>
        <w:rPr>
          <w:sz w:val="20"/>
        </w:rPr>
      </w:pPr>
    </w:p>
    <w:p w14:paraId="7F8C0F6F" w14:textId="77777777" w:rsidR="00FA4AA8" w:rsidRDefault="00FA4AA8">
      <w:pPr>
        <w:pStyle w:val="BodyText"/>
        <w:spacing w:before="10"/>
        <w:rPr>
          <w:sz w:val="22"/>
        </w:rPr>
      </w:pPr>
    </w:p>
    <w:p w14:paraId="3B391F0B" w14:textId="77777777" w:rsidR="00FA4AA8" w:rsidRDefault="0015611F">
      <w:pPr>
        <w:pStyle w:val="BodyText"/>
        <w:spacing w:before="1" w:line="207" w:lineRule="exact"/>
        <w:ind w:left="127"/>
      </w:pPr>
      <w:r>
        <w:t>This declaration is made in accordance with a resolution of the Board of Directors, pursuant to section 295(4) of the</w:t>
      </w:r>
    </w:p>
    <w:p w14:paraId="1968BD71" w14:textId="77777777" w:rsidR="00FA4AA8" w:rsidRDefault="0015611F">
      <w:pPr>
        <w:spacing w:line="207" w:lineRule="exact"/>
        <w:ind w:left="128"/>
        <w:rPr>
          <w:sz w:val="18"/>
        </w:rPr>
      </w:pPr>
      <w:r>
        <w:rPr>
          <w:i/>
          <w:sz w:val="18"/>
        </w:rPr>
        <w:t>Corporations Act 2001</w:t>
      </w:r>
      <w:r>
        <w:rPr>
          <w:sz w:val="18"/>
        </w:rPr>
        <w:t xml:space="preserve">, and 41(C) of the </w:t>
      </w:r>
      <w:r>
        <w:rPr>
          <w:i/>
          <w:sz w:val="18"/>
        </w:rPr>
        <w:t>Public Finance and Audit Act 1983</w:t>
      </w:r>
      <w:r>
        <w:rPr>
          <w:sz w:val="18"/>
        </w:rPr>
        <w:t>.</w:t>
      </w:r>
    </w:p>
    <w:p w14:paraId="623866B9" w14:textId="77777777" w:rsidR="00FA4AA8" w:rsidRDefault="00FA4AA8">
      <w:pPr>
        <w:pStyle w:val="BodyText"/>
        <w:rPr>
          <w:sz w:val="20"/>
        </w:rPr>
      </w:pPr>
    </w:p>
    <w:p w14:paraId="28C9BCC5" w14:textId="77777777" w:rsidR="00FA4AA8" w:rsidRDefault="00FA4AA8">
      <w:pPr>
        <w:pStyle w:val="BodyText"/>
        <w:rPr>
          <w:sz w:val="20"/>
        </w:rPr>
      </w:pPr>
    </w:p>
    <w:p w14:paraId="5E5BAB2E" w14:textId="77777777" w:rsidR="00FA4AA8" w:rsidRDefault="00FA4AA8">
      <w:pPr>
        <w:pStyle w:val="BodyText"/>
        <w:spacing w:before="4"/>
        <w:rPr>
          <w:sz w:val="26"/>
        </w:rPr>
      </w:pPr>
    </w:p>
    <w:p w14:paraId="7DC2E6D6" w14:textId="77777777" w:rsidR="00FA4AA8" w:rsidRDefault="007E2441">
      <w:pPr>
        <w:pStyle w:val="BodyText"/>
        <w:ind w:left="169"/>
      </w:pPr>
      <w:r>
        <w:rPr>
          <w:noProof/>
          <w:lang w:val="en-AU" w:eastAsia="en-AU"/>
        </w:rPr>
        <mc:AlternateContent>
          <mc:Choice Requires="wps">
            <w:drawing>
              <wp:anchor distT="0" distB="0" distL="114300" distR="114300" simplePos="0" relativeHeight="462748160" behindDoc="1" locked="0" layoutInCell="1" allowOverlap="1" wp14:anchorId="3A6586A1" wp14:editId="63EAB3B7">
                <wp:simplePos x="0" y="0"/>
                <wp:positionH relativeFrom="page">
                  <wp:posOffset>1099820</wp:posOffset>
                </wp:positionH>
                <wp:positionV relativeFrom="paragraph">
                  <wp:posOffset>253365</wp:posOffset>
                </wp:positionV>
                <wp:extent cx="2110740" cy="128270"/>
                <wp:effectExtent l="0" t="0" r="0" b="0"/>
                <wp:wrapNone/>
                <wp:docPr id="2199" name="Text Box 1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074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86B18" w14:textId="77777777" w:rsidR="001F3ACE" w:rsidRDefault="001F3ACE">
                            <w:pPr>
                              <w:pStyle w:val="BodyText"/>
                              <w:spacing w:line="201" w:lineRule="exact"/>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586A1" id="Text Box 1965" o:spid="_x0000_s1041" type="#_x0000_t202" style="position:absolute;left:0;text-align:left;margin-left:86.6pt;margin-top:19.95pt;width:166.2pt;height:10.1pt;z-index:-4056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" filled="f" stroked="f">
                <v:textbox inset="0,0,0,0">
                  <w:txbxContent>
                    <w:p w14:paraId="19F86B18" w14:textId="77777777" w:rsidR="001F3ACE" w:rsidRDefault="001F3ACE">
                      <w:pPr>
                        <w:pStyle w:val="BodyText"/>
                        <w:spacing w:line="201" w:lineRule="exact"/>
                      </w:pPr>
                      <w:r>
                        <w:t>..................................................................</w:t>
                      </w:r>
                    </w:p>
                  </w:txbxContent>
                </v:textbox>
                <w10:wrap anchorx="page"/>
              </v:shape>
            </w:pict>
          </mc:Fallback>
        </mc:AlternateContent>
      </w:r>
      <w:r>
        <w:rPr>
          <w:noProof/>
          <w:lang w:val="en-AU" w:eastAsia="en-AU"/>
        </w:rPr>
        <mc:AlternateContent>
          <mc:Choice Requires="wps">
            <w:drawing>
              <wp:anchor distT="0" distB="0" distL="114300" distR="114300" simplePos="0" relativeHeight="462748672" behindDoc="1" locked="0" layoutInCell="1" allowOverlap="1" wp14:anchorId="3DFD5C88" wp14:editId="3BD39A35">
                <wp:simplePos x="0" y="0"/>
                <wp:positionH relativeFrom="page">
                  <wp:posOffset>4249420</wp:posOffset>
                </wp:positionH>
                <wp:positionV relativeFrom="paragraph">
                  <wp:posOffset>253365</wp:posOffset>
                </wp:positionV>
                <wp:extent cx="2110740" cy="128270"/>
                <wp:effectExtent l="0" t="0" r="0" b="0"/>
                <wp:wrapNone/>
                <wp:docPr id="2198" name="Text Box 1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074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11846" w14:textId="77777777" w:rsidR="001F3ACE" w:rsidRDefault="001F3ACE">
                            <w:pPr>
                              <w:pStyle w:val="BodyText"/>
                              <w:spacing w:line="201" w:lineRule="exact"/>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D5C88" id="Text Box 1964" o:spid="_x0000_s1042" type="#_x0000_t202" style="position:absolute;left:0;text-align:left;margin-left:334.6pt;margin-top:19.95pt;width:166.2pt;height:10.1pt;z-index:-4056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" filled="f" stroked="f">
                <v:textbox inset="0,0,0,0">
                  <w:txbxContent>
                    <w:p w14:paraId="7A811846" w14:textId="77777777" w:rsidR="001F3ACE" w:rsidRDefault="001F3ACE">
                      <w:pPr>
                        <w:pStyle w:val="BodyText"/>
                        <w:spacing w:line="201" w:lineRule="exact"/>
                      </w:pPr>
                      <w:r>
                        <w:t>..................................................................</w:t>
                      </w:r>
                    </w:p>
                  </w:txbxContent>
                </v:textbox>
                <w10:wrap anchorx="page"/>
              </v:shape>
            </w:pict>
          </mc:Fallback>
        </mc:AlternateContent>
      </w:r>
      <w:r w:rsidR="0015611F">
        <w:rPr>
          <w:noProof/>
          <w:lang w:val="en-AU" w:eastAsia="en-AU"/>
        </w:rPr>
        <w:drawing>
          <wp:anchor distT="0" distB="0" distL="0" distR="0" simplePos="0" relativeHeight="15761408" behindDoc="0" locked="0" layoutInCell="1" allowOverlap="1" wp14:anchorId="3FCFC410" wp14:editId="20A1675E">
            <wp:simplePos x="0" y="0"/>
            <wp:positionH relativeFrom="page">
              <wp:posOffset>4262780</wp:posOffset>
            </wp:positionH>
            <wp:positionV relativeFrom="paragraph">
              <wp:posOffset>-73576</wp:posOffset>
            </wp:positionV>
            <wp:extent cx="2092883" cy="952846"/>
            <wp:effectExtent l="0" t="0" r="0" b="0"/>
            <wp:wrapNone/>
            <wp:docPr id="2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jpeg"/>
                    <pic:cNvPicPr/>
                  </pic:nvPicPr>
                  <pic:blipFill>
                    <a:blip r:embed="rId68" cstate="print"/>
                    <a:stretch>
                      <a:fillRect/>
                    </a:stretch>
                  </pic:blipFill>
                  <pic:spPr>
                    <a:xfrm>
                      <a:off x="0" y="0"/>
                      <a:ext cx="2092883" cy="952846"/>
                    </a:xfrm>
                    <a:prstGeom prst="rect">
                      <a:avLst/>
                    </a:prstGeom>
                  </pic:spPr>
                </pic:pic>
              </a:graphicData>
            </a:graphic>
          </wp:anchor>
        </w:drawing>
      </w:r>
      <w:r w:rsidR="0015611F">
        <w:t>Director</w:t>
      </w:r>
      <w:r w:rsidR="0015611F">
        <w:rPr>
          <w:spacing w:val="-29"/>
        </w:rPr>
        <w:t xml:space="preserve"> </w:t>
      </w:r>
      <w:r w:rsidR="0015611F">
        <w:rPr>
          <w:noProof/>
          <w:spacing w:val="-29"/>
          <w:position w:val="-4"/>
          <w:lang w:val="en-AU" w:eastAsia="en-AU"/>
        </w:rPr>
        <w:drawing>
          <wp:inline distT="0" distB="0" distL="0" distR="0" wp14:anchorId="6B07348C" wp14:editId="0E77CFEE">
            <wp:extent cx="2160663" cy="390523"/>
            <wp:effectExtent l="0" t="0" r="0" b="0"/>
            <wp:docPr id="2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8.jpeg"/>
                    <pic:cNvPicPr/>
                  </pic:nvPicPr>
                  <pic:blipFill>
                    <a:blip r:embed="rId69" cstate="print"/>
                    <a:stretch>
                      <a:fillRect/>
                    </a:stretch>
                  </pic:blipFill>
                  <pic:spPr>
                    <a:xfrm>
                      <a:off x="0" y="0"/>
                      <a:ext cx="2160663" cy="390523"/>
                    </a:xfrm>
                    <a:prstGeom prst="rect">
                      <a:avLst/>
                    </a:prstGeom>
                  </pic:spPr>
                </pic:pic>
              </a:graphicData>
            </a:graphic>
          </wp:inline>
        </w:drawing>
      </w:r>
      <w:r w:rsidR="0015611F">
        <w:rPr>
          <w:rFonts w:ascii="Times New Roman"/>
          <w:spacing w:val="-29"/>
        </w:rPr>
        <w:t xml:space="preserve">                                                       </w:t>
      </w:r>
      <w:r w:rsidR="0015611F">
        <w:rPr>
          <w:rFonts w:ascii="Times New Roman"/>
          <w:spacing w:val="7"/>
        </w:rPr>
        <w:t xml:space="preserve"> </w:t>
      </w:r>
      <w:r w:rsidR="0015611F">
        <w:t>Director</w:t>
      </w:r>
    </w:p>
    <w:p w14:paraId="391EABDC" w14:textId="77777777" w:rsidR="00FA4AA8" w:rsidRDefault="00FA4AA8">
      <w:pPr>
        <w:pStyle w:val="BodyText"/>
        <w:spacing w:before="3"/>
        <w:rPr>
          <w:sz w:val="57"/>
        </w:rPr>
      </w:pPr>
    </w:p>
    <w:p w14:paraId="68B3E42C" w14:textId="77777777" w:rsidR="00FA4AA8" w:rsidRDefault="0015611F">
      <w:pPr>
        <w:pStyle w:val="BodyText"/>
        <w:ind w:left="127"/>
      </w:pPr>
      <w:r>
        <w:rPr>
          <w:noProof/>
          <w:lang w:val="en-AU" w:eastAsia="en-AU"/>
        </w:rPr>
        <w:drawing>
          <wp:anchor distT="0" distB="0" distL="0" distR="0" simplePos="0" relativeHeight="15761920" behindDoc="0" locked="0" layoutInCell="1" allowOverlap="1" wp14:anchorId="257094AF" wp14:editId="6B04D264">
            <wp:simplePos x="0" y="0"/>
            <wp:positionH relativeFrom="page">
              <wp:posOffset>1035315</wp:posOffset>
            </wp:positionH>
            <wp:positionV relativeFrom="paragraph">
              <wp:posOffset>6252</wp:posOffset>
            </wp:positionV>
            <wp:extent cx="1641411" cy="293479"/>
            <wp:effectExtent l="0" t="0" r="0" b="0"/>
            <wp:wrapNone/>
            <wp:docPr id="2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9.jpeg"/>
                    <pic:cNvPicPr/>
                  </pic:nvPicPr>
                  <pic:blipFill>
                    <a:blip r:embed="rId70" cstate="print"/>
                    <a:stretch>
                      <a:fillRect/>
                    </a:stretch>
                  </pic:blipFill>
                  <pic:spPr>
                    <a:xfrm>
                      <a:off x="0" y="0"/>
                      <a:ext cx="1641411" cy="293479"/>
                    </a:xfrm>
                    <a:prstGeom prst="rect">
                      <a:avLst/>
                    </a:prstGeom>
                  </pic:spPr>
                </pic:pic>
              </a:graphicData>
            </a:graphic>
          </wp:anchor>
        </w:drawing>
      </w:r>
      <w:r>
        <w:t>Dated</w:t>
      </w:r>
    </w:p>
    <w:p w14:paraId="5845503D" w14:textId="77777777" w:rsidR="00FA4AA8" w:rsidRDefault="00FA4AA8">
      <w:pPr>
        <w:sectPr w:rsidR="00FA4AA8">
          <w:pgSz w:w="11910" w:h="16840"/>
          <w:pgMar w:top="1720" w:right="880" w:bottom="720" w:left="880" w:header="1017" w:footer="523" w:gutter="0"/>
          <w:cols w:space="720"/>
        </w:sectPr>
      </w:pPr>
    </w:p>
    <w:p w14:paraId="76240F58" w14:textId="77777777" w:rsidR="00FA4AA8" w:rsidRDefault="00FA4AA8">
      <w:pPr>
        <w:pStyle w:val="BodyText"/>
        <w:spacing w:before="1"/>
        <w:rPr>
          <w:sz w:val="17"/>
        </w:rPr>
      </w:pPr>
    </w:p>
    <w:p w14:paraId="606DA558" w14:textId="77777777" w:rsidR="00FA4AA8" w:rsidRDefault="0015611F">
      <w:pPr>
        <w:pStyle w:val="Heading2"/>
        <w:spacing w:before="90"/>
        <w:ind w:left="127"/>
      </w:pPr>
      <w:bookmarkStart w:id="109" w:name="Responsible_Entities_Declaration"/>
      <w:bookmarkEnd w:id="109"/>
      <w:r>
        <w:t>Responsible Entities' Declaration</w:t>
      </w:r>
    </w:p>
    <w:p w14:paraId="696CFCE7" w14:textId="77777777" w:rsidR="00FA4AA8" w:rsidRDefault="00FA4AA8">
      <w:pPr>
        <w:pStyle w:val="BodyText"/>
        <w:spacing w:before="1"/>
        <w:rPr>
          <w:b/>
          <w:sz w:val="25"/>
        </w:rPr>
      </w:pPr>
    </w:p>
    <w:p w14:paraId="152F2541" w14:textId="77777777" w:rsidR="00FA4AA8" w:rsidRDefault="0015611F">
      <w:pPr>
        <w:pStyle w:val="BodyText"/>
        <w:ind w:left="127"/>
      </w:pPr>
      <w:r>
        <w:t>The responsible entities declare that in the responsible entities' opinion:</w:t>
      </w:r>
    </w:p>
    <w:p w14:paraId="4CB4E157" w14:textId="77777777" w:rsidR="00FA4AA8" w:rsidRDefault="00FA4AA8">
      <w:pPr>
        <w:pStyle w:val="BodyText"/>
        <w:rPr>
          <w:sz w:val="25"/>
        </w:rPr>
      </w:pPr>
    </w:p>
    <w:p w14:paraId="52359F52" w14:textId="77777777" w:rsidR="00FA4AA8" w:rsidRDefault="0015611F">
      <w:pPr>
        <w:pStyle w:val="ListParagraph"/>
        <w:numPr>
          <w:ilvl w:val="0"/>
          <w:numId w:val="68"/>
        </w:numPr>
        <w:tabs>
          <w:tab w:val="left" w:pos="847"/>
          <w:tab w:val="left" w:pos="848"/>
        </w:tabs>
        <w:ind w:right="385"/>
        <w:rPr>
          <w:sz w:val="18"/>
        </w:rPr>
      </w:pPr>
      <w:r>
        <w:rPr>
          <w:sz w:val="18"/>
        </w:rPr>
        <w:t>there</w:t>
      </w:r>
      <w:r>
        <w:rPr>
          <w:spacing w:val="-5"/>
          <w:sz w:val="18"/>
        </w:rPr>
        <w:t xml:space="preserve"> </w:t>
      </w:r>
      <w:r>
        <w:rPr>
          <w:sz w:val="18"/>
        </w:rPr>
        <w:t>are</w:t>
      </w:r>
      <w:r>
        <w:rPr>
          <w:spacing w:val="-4"/>
          <w:sz w:val="18"/>
        </w:rPr>
        <w:t xml:space="preserve"> </w:t>
      </w:r>
      <w:r>
        <w:rPr>
          <w:sz w:val="18"/>
        </w:rPr>
        <w:t>reasonable</w:t>
      </w:r>
      <w:r>
        <w:rPr>
          <w:spacing w:val="-5"/>
          <w:sz w:val="18"/>
        </w:rPr>
        <w:t xml:space="preserve"> </w:t>
      </w:r>
      <w:r>
        <w:rPr>
          <w:sz w:val="18"/>
        </w:rPr>
        <w:t>grounds</w:t>
      </w:r>
      <w:r>
        <w:rPr>
          <w:spacing w:val="-4"/>
          <w:sz w:val="18"/>
        </w:rPr>
        <w:t xml:space="preserve"> </w:t>
      </w:r>
      <w:r>
        <w:rPr>
          <w:sz w:val="18"/>
        </w:rPr>
        <w:t>to</w:t>
      </w:r>
      <w:r>
        <w:rPr>
          <w:spacing w:val="-5"/>
          <w:sz w:val="18"/>
        </w:rPr>
        <w:t xml:space="preserve"> </w:t>
      </w:r>
      <w:r>
        <w:rPr>
          <w:sz w:val="18"/>
        </w:rPr>
        <w:t>believe</w:t>
      </w:r>
      <w:r>
        <w:rPr>
          <w:spacing w:val="-4"/>
          <w:sz w:val="18"/>
        </w:rPr>
        <w:t xml:space="preserve"> </w:t>
      </w:r>
      <w:r>
        <w:rPr>
          <w:sz w:val="18"/>
        </w:rPr>
        <w:t>that</w:t>
      </w:r>
      <w:r>
        <w:rPr>
          <w:spacing w:val="-4"/>
          <w:sz w:val="18"/>
        </w:rPr>
        <w:t xml:space="preserve"> </w:t>
      </w:r>
      <w:r>
        <w:rPr>
          <w:sz w:val="18"/>
        </w:rPr>
        <w:t>the</w:t>
      </w:r>
      <w:r>
        <w:rPr>
          <w:spacing w:val="-5"/>
          <w:sz w:val="18"/>
        </w:rPr>
        <w:t xml:space="preserve"> </w:t>
      </w:r>
      <w:r>
        <w:rPr>
          <w:sz w:val="18"/>
        </w:rPr>
        <w:t>registered</w:t>
      </w:r>
      <w:r>
        <w:rPr>
          <w:spacing w:val="-4"/>
          <w:sz w:val="18"/>
        </w:rPr>
        <w:t xml:space="preserve"> </w:t>
      </w:r>
      <w:r>
        <w:rPr>
          <w:sz w:val="18"/>
        </w:rPr>
        <w:t>entity</w:t>
      </w:r>
      <w:r>
        <w:rPr>
          <w:spacing w:val="-5"/>
          <w:sz w:val="18"/>
        </w:rPr>
        <w:t xml:space="preserve"> </w:t>
      </w:r>
      <w:r>
        <w:rPr>
          <w:sz w:val="18"/>
        </w:rPr>
        <w:t>is</w:t>
      </w:r>
      <w:r>
        <w:rPr>
          <w:spacing w:val="-4"/>
          <w:sz w:val="18"/>
        </w:rPr>
        <w:t xml:space="preserve"> </w:t>
      </w:r>
      <w:r>
        <w:rPr>
          <w:sz w:val="18"/>
        </w:rPr>
        <w:t>able</w:t>
      </w:r>
      <w:r>
        <w:rPr>
          <w:spacing w:val="-4"/>
          <w:sz w:val="18"/>
        </w:rPr>
        <w:t xml:space="preserve"> </w:t>
      </w:r>
      <w:r>
        <w:rPr>
          <w:sz w:val="18"/>
        </w:rPr>
        <w:t>to</w:t>
      </w:r>
      <w:r>
        <w:rPr>
          <w:spacing w:val="-5"/>
          <w:sz w:val="18"/>
        </w:rPr>
        <w:t xml:space="preserve"> </w:t>
      </w:r>
      <w:r>
        <w:rPr>
          <w:sz w:val="18"/>
        </w:rPr>
        <w:t>pay</w:t>
      </w:r>
      <w:r>
        <w:rPr>
          <w:spacing w:val="-4"/>
          <w:sz w:val="18"/>
        </w:rPr>
        <w:t xml:space="preserve"> </w:t>
      </w:r>
      <w:r>
        <w:rPr>
          <w:sz w:val="18"/>
        </w:rPr>
        <w:t>all</w:t>
      </w:r>
      <w:r>
        <w:rPr>
          <w:spacing w:val="-5"/>
          <w:sz w:val="18"/>
        </w:rPr>
        <w:t xml:space="preserve"> </w:t>
      </w:r>
      <w:r>
        <w:rPr>
          <w:sz w:val="18"/>
        </w:rPr>
        <w:t>of</w:t>
      </w:r>
      <w:r>
        <w:rPr>
          <w:spacing w:val="-4"/>
          <w:sz w:val="18"/>
        </w:rPr>
        <w:t xml:space="preserve"> </w:t>
      </w:r>
      <w:r>
        <w:rPr>
          <w:sz w:val="18"/>
        </w:rPr>
        <w:t>its</w:t>
      </w:r>
      <w:r>
        <w:rPr>
          <w:spacing w:val="-4"/>
          <w:sz w:val="18"/>
        </w:rPr>
        <w:t xml:space="preserve"> </w:t>
      </w:r>
      <w:r>
        <w:rPr>
          <w:sz w:val="18"/>
        </w:rPr>
        <w:t>debts,</w:t>
      </w:r>
      <w:r>
        <w:rPr>
          <w:spacing w:val="-5"/>
          <w:sz w:val="18"/>
        </w:rPr>
        <w:t xml:space="preserve"> </w:t>
      </w:r>
      <w:r>
        <w:rPr>
          <w:sz w:val="18"/>
        </w:rPr>
        <w:t>as</w:t>
      </w:r>
      <w:r>
        <w:rPr>
          <w:spacing w:val="-4"/>
          <w:sz w:val="18"/>
        </w:rPr>
        <w:t xml:space="preserve"> </w:t>
      </w:r>
      <w:r>
        <w:rPr>
          <w:sz w:val="18"/>
        </w:rPr>
        <w:t>and</w:t>
      </w:r>
      <w:r>
        <w:rPr>
          <w:spacing w:val="-5"/>
          <w:sz w:val="18"/>
        </w:rPr>
        <w:t xml:space="preserve"> </w:t>
      </w:r>
      <w:r>
        <w:rPr>
          <w:sz w:val="18"/>
        </w:rPr>
        <w:t>when</w:t>
      </w:r>
      <w:r>
        <w:rPr>
          <w:spacing w:val="-4"/>
          <w:sz w:val="18"/>
        </w:rPr>
        <w:t xml:space="preserve"> </w:t>
      </w:r>
      <w:r>
        <w:rPr>
          <w:sz w:val="18"/>
        </w:rPr>
        <w:t>they become due and payable;</w:t>
      </w:r>
      <w:r>
        <w:rPr>
          <w:spacing w:val="-5"/>
          <w:sz w:val="18"/>
        </w:rPr>
        <w:t xml:space="preserve"> </w:t>
      </w:r>
      <w:r>
        <w:rPr>
          <w:sz w:val="18"/>
        </w:rPr>
        <w:t>and</w:t>
      </w:r>
    </w:p>
    <w:p w14:paraId="6E2DE906" w14:textId="77777777" w:rsidR="00FA4AA8" w:rsidRDefault="00FA4AA8">
      <w:pPr>
        <w:pStyle w:val="BodyText"/>
        <w:spacing w:before="10"/>
        <w:rPr>
          <w:sz w:val="24"/>
        </w:rPr>
      </w:pPr>
    </w:p>
    <w:p w14:paraId="72517C05" w14:textId="77777777" w:rsidR="00FA4AA8" w:rsidRDefault="0015611F">
      <w:pPr>
        <w:pStyle w:val="ListParagraph"/>
        <w:numPr>
          <w:ilvl w:val="0"/>
          <w:numId w:val="68"/>
        </w:numPr>
        <w:tabs>
          <w:tab w:val="left" w:pos="847"/>
          <w:tab w:val="left" w:pos="848"/>
        </w:tabs>
        <w:spacing w:before="1"/>
        <w:ind w:right="1007"/>
        <w:rPr>
          <w:i/>
          <w:sz w:val="18"/>
        </w:rPr>
      </w:pPr>
      <w:r>
        <w:rPr>
          <w:sz w:val="18"/>
        </w:rPr>
        <w:t>the</w:t>
      </w:r>
      <w:r>
        <w:rPr>
          <w:spacing w:val="-7"/>
          <w:sz w:val="18"/>
        </w:rPr>
        <w:t xml:space="preserve"> </w:t>
      </w:r>
      <w:r>
        <w:rPr>
          <w:sz w:val="18"/>
        </w:rPr>
        <w:t>financial</w:t>
      </w:r>
      <w:r>
        <w:rPr>
          <w:spacing w:val="-6"/>
          <w:sz w:val="18"/>
        </w:rPr>
        <w:t xml:space="preserve"> </w:t>
      </w:r>
      <w:r>
        <w:rPr>
          <w:sz w:val="18"/>
        </w:rPr>
        <w:t>statements</w:t>
      </w:r>
      <w:r>
        <w:rPr>
          <w:spacing w:val="-7"/>
          <w:sz w:val="18"/>
        </w:rPr>
        <w:t xml:space="preserve"> </w:t>
      </w:r>
      <w:r>
        <w:rPr>
          <w:sz w:val="18"/>
        </w:rPr>
        <w:t>and</w:t>
      </w:r>
      <w:r>
        <w:rPr>
          <w:spacing w:val="-6"/>
          <w:sz w:val="18"/>
        </w:rPr>
        <w:t xml:space="preserve"> </w:t>
      </w:r>
      <w:r>
        <w:rPr>
          <w:sz w:val="18"/>
        </w:rPr>
        <w:t>notes</w:t>
      </w:r>
      <w:r>
        <w:rPr>
          <w:spacing w:val="-7"/>
          <w:sz w:val="18"/>
        </w:rPr>
        <w:t xml:space="preserve"> </w:t>
      </w:r>
      <w:r>
        <w:rPr>
          <w:sz w:val="18"/>
        </w:rPr>
        <w:t>satisfy</w:t>
      </w:r>
      <w:r>
        <w:rPr>
          <w:spacing w:val="-6"/>
          <w:sz w:val="18"/>
        </w:rPr>
        <w:t xml:space="preserve"> </w:t>
      </w:r>
      <w:r>
        <w:rPr>
          <w:sz w:val="18"/>
        </w:rPr>
        <w:t>the</w:t>
      </w:r>
      <w:r>
        <w:rPr>
          <w:spacing w:val="-7"/>
          <w:sz w:val="18"/>
        </w:rPr>
        <w:t xml:space="preserve"> </w:t>
      </w:r>
      <w:r>
        <w:rPr>
          <w:sz w:val="18"/>
        </w:rPr>
        <w:t>requirements</w:t>
      </w:r>
      <w:r>
        <w:rPr>
          <w:spacing w:val="-6"/>
          <w:sz w:val="18"/>
        </w:rPr>
        <w:t xml:space="preserve"> </w:t>
      </w:r>
      <w:r>
        <w:rPr>
          <w:sz w:val="18"/>
        </w:rPr>
        <w:t>of</w:t>
      </w:r>
      <w:r>
        <w:rPr>
          <w:spacing w:val="-7"/>
          <w:sz w:val="18"/>
        </w:rPr>
        <w:t xml:space="preserve"> </w:t>
      </w:r>
      <w:r>
        <w:rPr>
          <w:sz w:val="18"/>
        </w:rPr>
        <w:t>the</w:t>
      </w:r>
      <w:r>
        <w:rPr>
          <w:spacing w:val="-7"/>
          <w:sz w:val="18"/>
        </w:rPr>
        <w:t xml:space="preserve"> </w:t>
      </w:r>
      <w:r>
        <w:rPr>
          <w:i/>
          <w:sz w:val="18"/>
        </w:rPr>
        <w:t>Australian</w:t>
      </w:r>
      <w:r>
        <w:rPr>
          <w:i/>
          <w:spacing w:val="-7"/>
          <w:sz w:val="18"/>
        </w:rPr>
        <w:t xml:space="preserve"> </w:t>
      </w:r>
      <w:r>
        <w:rPr>
          <w:i/>
          <w:sz w:val="18"/>
        </w:rPr>
        <w:t>Charities</w:t>
      </w:r>
      <w:r>
        <w:rPr>
          <w:i/>
          <w:spacing w:val="-6"/>
          <w:sz w:val="18"/>
        </w:rPr>
        <w:t xml:space="preserve"> </w:t>
      </w:r>
      <w:r>
        <w:rPr>
          <w:i/>
          <w:sz w:val="18"/>
        </w:rPr>
        <w:t>and</w:t>
      </w:r>
      <w:r>
        <w:rPr>
          <w:i/>
          <w:spacing w:val="-7"/>
          <w:sz w:val="18"/>
        </w:rPr>
        <w:t xml:space="preserve"> </w:t>
      </w:r>
      <w:r>
        <w:rPr>
          <w:i/>
          <w:sz w:val="18"/>
        </w:rPr>
        <w:t>Not-for-profits Commission Act</w:t>
      </w:r>
      <w:r>
        <w:rPr>
          <w:i/>
          <w:spacing w:val="-3"/>
          <w:sz w:val="18"/>
        </w:rPr>
        <w:t xml:space="preserve"> </w:t>
      </w:r>
      <w:r>
        <w:rPr>
          <w:i/>
          <w:sz w:val="18"/>
        </w:rPr>
        <w:t>2012.</w:t>
      </w:r>
    </w:p>
    <w:p w14:paraId="3B0FBAF0" w14:textId="77777777" w:rsidR="00FA4AA8" w:rsidRDefault="00FA4AA8">
      <w:pPr>
        <w:pStyle w:val="BodyText"/>
        <w:spacing w:before="10"/>
        <w:rPr>
          <w:i/>
          <w:sz w:val="24"/>
        </w:rPr>
      </w:pPr>
    </w:p>
    <w:p w14:paraId="65834B0C" w14:textId="77777777" w:rsidR="00FA4AA8" w:rsidRDefault="0015611F">
      <w:pPr>
        <w:ind w:left="128"/>
        <w:rPr>
          <w:i/>
          <w:sz w:val="18"/>
        </w:rPr>
      </w:pPr>
      <w:r>
        <w:rPr>
          <w:sz w:val="18"/>
        </w:rPr>
        <w:t xml:space="preserve">Signed in accordance with subsection 60.15(2) of the </w:t>
      </w:r>
      <w:r>
        <w:rPr>
          <w:i/>
          <w:sz w:val="18"/>
        </w:rPr>
        <w:t>Australian Charities and Not-for-profits Commission Regulation 2013.</w:t>
      </w:r>
    </w:p>
    <w:p w14:paraId="78E2FE99" w14:textId="77777777" w:rsidR="00FA4AA8" w:rsidRDefault="00FA4AA8">
      <w:pPr>
        <w:pStyle w:val="BodyText"/>
        <w:rPr>
          <w:i/>
          <w:sz w:val="20"/>
        </w:rPr>
      </w:pPr>
    </w:p>
    <w:p w14:paraId="374E1B5C" w14:textId="77777777" w:rsidR="00FA4AA8" w:rsidRDefault="00FA4AA8">
      <w:pPr>
        <w:pStyle w:val="BodyText"/>
        <w:spacing w:before="11"/>
        <w:rPr>
          <w:i/>
          <w:sz w:val="24"/>
        </w:rPr>
      </w:pPr>
    </w:p>
    <w:p w14:paraId="4A7C61ED" w14:textId="77777777" w:rsidR="00FA4AA8" w:rsidRDefault="007E2441">
      <w:pPr>
        <w:pStyle w:val="BodyText"/>
        <w:spacing w:line="376" w:lineRule="auto"/>
        <w:ind w:left="127" w:right="5963"/>
      </w:pPr>
      <w:r>
        <w:rPr>
          <w:noProof/>
          <w:lang w:val="en-AU" w:eastAsia="en-AU"/>
        </w:rPr>
        <mc:AlternateContent>
          <mc:Choice Requires="wps">
            <w:drawing>
              <wp:anchor distT="0" distB="0" distL="114300" distR="114300" simplePos="0" relativeHeight="462750208" behindDoc="1" locked="0" layoutInCell="1" allowOverlap="1" wp14:anchorId="330837D8" wp14:editId="5D533A80">
                <wp:simplePos x="0" y="0"/>
                <wp:positionH relativeFrom="page">
                  <wp:posOffset>1073150</wp:posOffset>
                </wp:positionH>
                <wp:positionV relativeFrom="paragraph">
                  <wp:posOffset>286385</wp:posOffset>
                </wp:positionV>
                <wp:extent cx="2110740" cy="128270"/>
                <wp:effectExtent l="0" t="0" r="0" b="0"/>
                <wp:wrapNone/>
                <wp:docPr id="2197" name="Text Box 1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074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544C6" w14:textId="77777777" w:rsidR="001F3ACE" w:rsidRDefault="001F3ACE">
                            <w:pPr>
                              <w:pStyle w:val="BodyText"/>
                              <w:spacing w:line="201" w:lineRule="exact"/>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837D8" id="Text Box 1963" o:spid="_x0000_s1043" type="#_x0000_t202" style="position:absolute;left:0;text-align:left;margin-left:84.5pt;margin-top:22.55pt;width:166.2pt;height:10.1pt;z-index:-40566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" filled="f" stroked="f">
                <v:textbox inset="0,0,0,0">
                  <w:txbxContent>
                    <w:p w14:paraId="545544C6" w14:textId="77777777" w:rsidR="001F3ACE" w:rsidRDefault="001F3ACE">
                      <w:pPr>
                        <w:pStyle w:val="BodyText"/>
                        <w:spacing w:line="201" w:lineRule="exact"/>
                      </w:pPr>
                      <w:r>
                        <w:t>..................................................................</w:t>
                      </w:r>
                    </w:p>
                  </w:txbxContent>
                </v:textbox>
                <w10:wrap anchorx="page"/>
              </v:shape>
            </w:pict>
          </mc:Fallback>
        </mc:AlternateContent>
      </w:r>
      <w:r w:rsidR="0015611F">
        <w:rPr>
          <w:noProof/>
          <w:lang w:val="en-AU" w:eastAsia="en-AU"/>
        </w:rPr>
        <w:drawing>
          <wp:anchor distT="0" distB="0" distL="0" distR="0" simplePos="0" relativeHeight="462750720" behindDoc="1" locked="0" layoutInCell="1" allowOverlap="1" wp14:anchorId="5CF822F4" wp14:editId="3661DE68">
            <wp:simplePos x="0" y="0"/>
            <wp:positionH relativeFrom="page">
              <wp:posOffset>986448</wp:posOffset>
            </wp:positionH>
            <wp:positionV relativeFrom="paragraph">
              <wp:posOffset>665295</wp:posOffset>
            </wp:positionV>
            <wp:extent cx="1494675" cy="356342"/>
            <wp:effectExtent l="0" t="0" r="0" b="0"/>
            <wp:wrapNone/>
            <wp:docPr id="2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0.jpeg"/>
                    <pic:cNvPicPr/>
                  </pic:nvPicPr>
                  <pic:blipFill>
                    <a:blip r:embed="rId71" cstate="print"/>
                    <a:stretch>
                      <a:fillRect/>
                    </a:stretch>
                  </pic:blipFill>
                  <pic:spPr>
                    <a:xfrm>
                      <a:off x="0" y="0"/>
                      <a:ext cx="1494675" cy="356342"/>
                    </a:xfrm>
                    <a:prstGeom prst="rect">
                      <a:avLst/>
                    </a:prstGeom>
                  </pic:spPr>
                </pic:pic>
              </a:graphicData>
            </a:graphic>
          </wp:anchor>
        </w:drawing>
      </w:r>
      <w:r w:rsidR="0015611F">
        <w:t>Director</w:t>
      </w:r>
      <w:r w:rsidR="0015611F">
        <w:rPr>
          <w:spacing w:val="-14"/>
        </w:rPr>
        <w:t xml:space="preserve"> </w:t>
      </w:r>
      <w:r w:rsidR="0015611F">
        <w:rPr>
          <w:noProof/>
          <w:spacing w:val="-29"/>
          <w:position w:val="-5"/>
          <w:lang w:val="en-AU" w:eastAsia="en-AU"/>
        </w:rPr>
        <w:drawing>
          <wp:inline distT="0" distB="0" distL="0" distR="0" wp14:anchorId="639E079B" wp14:editId="4096BE9E">
            <wp:extent cx="2142109" cy="430187"/>
            <wp:effectExtent l="0" t="0" r="0" b="0"/>
            <wp:docPr id="3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1.jpeg"/>
                    <pic:cNvPicPr/>
                  </pic:nvPicPr>
                  <pic:blipFill>
                    <a:blip r:embed="rId72" cstate="print"/>
                    <a:stretch>
                      <a:fillRect/>
                    </a:stretch>
                  </pic:blipFill>
                  <pic:spPr>
                    <a:xfrm>
                      <a:off x="0" y="0"/>
                      <a:ext cx="2142109" cy="430187"/>
                    </a:xfrm>
                    <a:prstGeom prst="rect">
                      <a:avLst/>
                    </a:prstGeom>
                  </pic:spPr>
                </pic:pic>
              </a:graphicData>
            </a:graphic>
          </wp:inline>
        </w:drawing>
      </w:r>
      <w:r w:rsidR="0015611F">
        <w:rPr>
          <w:rFonts w:ascii="Times New Roman"/>
          <w:spacing w:val="-14"/>
          <w:position w:val="-5"/>
        </w:rPr>
        <w:t xml:space="preserve"> </w:t>
      </w:r>
      <w:r w:rsidR="0015611F">
        <w:t>Date</w:t>
      </w:r>
    </w:p>
    <w:p w14:paraId="20C5A235" w14:textId="77777777" w:rsidR="00FA4AA8" w:rsidRDefault="00FA4AA8">
      <w:pPr>
        <w:spacing w:line="376" w:lineRule="auto"/>
        <w:sectPr w:rsidR="00FA4AA8">
          <w:pgSz w:w="11910" w:h="16840"/>
          <w:pgMar w:top="1720" w:right="880" w:bottom="720" w:left="880" w:header="1017" w:footer="523" w:gutter="0"/>
          <w:cols w:space="720"/>
        </w:sectPr>
      </w:pPr>
    </w:p>
    <w:p w14:paraId="58EC8E50" w14:textId="77777777" w:rsidR="00FA4AA8" w:rsidRDefault="0015611F">
      <w:pPr>
        <w:pStyle w:val="BodyText"/>
        <w:ind w:left="4676"/>
        <w:rPr>
          <w:sz w:val="20"/>
        </w:rPr>
      </w:pPr>
      <w:r>
        <w:rPr>
          <w:noProof/>
          <w:sz w:val="20"/>
          <w:lang w:val="en-AU" w:eastAsia="en-AU"/>
        </w:rPr>
        <w:drawing>
          <wp:inline distT="0" distB="0" distL="0" distR="0" wp14:anchorId="721B9028" wp14:editId="267649CA">
            <wp:extent cx="627870" cy="164592"/>
            <wp:effectExtent l="0" t="0" r="0" b="0"/>
            <wp:docPr id="3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2.jpeg"/>
                    <pic:cNvPicPr/>
                  </pic:nvPicPr>
                  <pic:blipFill>
                    <a:blip r:embed="rId73" cstate="print"/>
                    <a:stretch>
                      <a:fillRect/>
                    </a:stretch>
                  </pic:blipFill>
                  <pic:spPr>
                    <a:xfrm>
                      <a:off x="0" y="0"/>
                      <a:ext cx="627870" cy="164592"/>
                    </a:xfrm>
                    <a:prstGeom prst="rect">
                      <a:avLst/>
                    </a:prstGeom>
                  </pic:spPr>
                </pic:pic>
              </a:graphicData>
            </a:graphic>
          </wp:inline>
        </w:drawing>
      </w:r>
    </w:p>
    <w:p w14:paraId="061C82B6" w14:textId="77777777" w:rsidR="00FA4AA8" w:rsidRDefault="007E2441">
      <w:pPr>
        <w:pStyle w:val="BodyText"/>
        <w:rPr>
          <w:sz w:val="14"/>
        </w:rPr>
      </w:pPr>
      <w:r>
        <w:rPr>
          <w:noProof/>
          <w:lang w:val="en-AU" w:eastAsia="en-AU"/>
        </w:rPr>
        <mc:AlternateContent>
          <mc:Choice Requires="wpg">
            <w:drawing>
              <wp:anchor distT="0" distB="0" distL="0" distR="0" simplePos="0" relativeHeight="487622656" behindDoc="1" locked="0" layoutInCell="1" allowOverlap="1" wp14:anchorId="22F99C95" wp14:editId="5CF8BD92">
                <wp:simplePos x="0" y="0"/>
                <wp:positionH relativeFrom="page">
                  <wp:posOffset>3240405</wp:posOffset>
                </wp:positionH>
                <wp:positionV relativeFrom="paragraph">
                  <wp:posOffset>127000</wp:posOffset>
                </wp:positionV>
                <wp:extent cx="993775" cy="463550"/>
                <wp:effectExtent l="0" t="0" r="0" b="0"/>
                <wp:wrapTopAndBottom/>
                <wp:docPr id="2192" name="Group 1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3775" cy="463550"/>
                          <a:chOff x="5103" y="200"/>
                          <a:chExt cx="1565" cy="730"/>
                        </a:xfrm>
                      </wpg:grpSpPr>
                      <pic:pic xmlns:pic="http://schemas.openxmlformats.org/drawingml/2006/picture">
                        <pic:nvPicPr>
                          <pic:cNvPr id="2193" name="Picture 196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5256" y="224"/>
                            <a:ext cx="1249" cy="7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4" name="Picture 196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5102" y="209"/>
                            <a:ext cx="130"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5" name="Picture 196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6494" y="200"/>
                            <a:ext cx="130"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6" name="Picture 195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6562" y="291"/>
                            <a:ext cx="106" cy="1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3EFAB72" id="Group 1958" o:spid="_x0000_s1026" style="position:absolute;margin-left:255.15pt;margin-top:10pt;width:78.25pt;height:36.5pt;z-index:-15693824;mso-wrap-distance-left:0;mso-wrap-distance-right:0;mso-position-horizontal-relative:page" coordorigin="5103,200" coordsize="1565,7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">
                <v:shape id="Picture 1962" o:spid="_x0000_s1027" type="#_x0000_t75" style="position:absolute;left:5256;top:224;width:1249;height: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">
                  <v:imagedata r:id="rId78" o:title=""/>
                </v:shape>
                <v:shape id="Picture 1961" o:spid="_x0000_s1028" type="#_x0000_t75" style="position:absolute;left:5102;top:209;width:130;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">
                  <v:imagedata r:id="rId79" o:title=""/>
                </v:shape>
                <v:shape id="Picture 1960" o:spid="_x0000_s1029" type="#_x0000_t75" style="position:absolute;left:6494;top:200;width:130;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">
                  <v:imagedata r:id="rId80" o:title=""/>
                </v:shape>
                <v:shape id="Picture 1959" o:spid="_x0000_s1030" type="#_x0000_t75" style="position:absolute;left:6562;top:291;width:106;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">
                  <v:imagedata r:id="rId81" o:title=""/>
                </v:shape>
                <w10:wrap type="topAndBottom" anchorx="page"/>
              </v:group>
            </w:pict>
          </mc:Fallback>
        </mc:AlternateContent>
      </w:r>
    </w:p>
    <w:p w14:paraId="0ECF25F6" w14:textId="77777777" w:rsidR="00FA4AA8" w:rsidRDefault="0015611F">
      <w:pPr>
        <w:tabs>
          <w:tab w:val="left" w:pos="1140"/>
        </w:tabs>
        <w:spacing w:before="124"/>
        <w:ind w:right="177"/>
        <w:jc w:val="center"/>
        <w:rPr>
          <w:rFonts w:ascii="Courier New" w:hAnsi="Courier New"/>
          <w:sz w:val="15"/>
        </w:rPr>
      </w:pPr>
      <w:bookmarkStart w:id="110" w:name="Audit_declaration"/>
      <w:bookmarkEnd w:id="110"/>
      <w:r>
        <w:rPr>
          <w:rFonts w:ascii="Courier New" w:hAnsi="Courier New"/>
          <w:sz w:val="15"/>
        </w:rPr>
        <w:t>’f</w:t>
      </w:r>
      <w:r>
        <w:rPr>
          <w:rFonts w:ascii="Courier New" w:hAnsi="Courier New"/>
          <w:sz w:val="15"/>
        </w:rPr>
        <w:tab/>
        <w:t>G</w:t>
      </w:r>
    </w:p>
    <w:p w14:paraId="3BEFF76E" w14:textId="77777777" w:rsidR="00FA4AA8" w:rsidRDefault="0015611F">
      <w:pPr>
        <w:spacing w:before="18"/>
        <w:ind w:right="407"/>
        <w:jc w:val="center"/>
        <w:rPr>
          <w:rFonts w:ascii="Courier New" w:hAnsi="Courier New"/>
          <w:sz w:val="15"/>
        </w:rPr>
      </w:pPr>
      <w:r>
        <w:rPr>
          <w:rFonts w:ascii="Courier New" w:hAnsi="Courier New"/>
          <w:w w:val="105"/>
          <w:sz w:val="15"/>
        </w:rPr>
        <w:t>’#OUTFl</w:t>
      </w:r>
    </w:p>
    <w:p w14:paraId="7FF3FF1D" w14:textId="77777777" w:rsidR="00FA4AA8" w:rsidRDefault="00FA4AA8">
      <w:pPr>
        <w:pStyle w:val="BodyText"/>
        <w:rPr>
          <w:rFonts w:ascii="Courier New"/>
          <w:sz w:val="16"/>
        </w:rPr>
      </w:pPr>
    </w:p>
    <w:p w14:paraId="4E8EF8AA" w14:textId="77777777" w:rsidR="00FA4AA8" w:rsidRDefault="00FA4AA8">
      <w:pPr>
        <w:pStyle w:val="BodyText"/>
        <w:rPr>
          <w:rFonts w:ascii="Courier New"/>
          <w:sz w:val="16"/>
        </w:rPr>
      </w:pPr>
    </w:p>
    <w:p w14:paraId="5DE678C8" w14:textId="77777777" w:rsidR="00FA4AA8" w:rsidRDefault="00FA4AA8">
      <w:pPr>
        <w:pStyle w:val="BodyText"/>
        <w:rPr>
          <w:rFonts w:ascii="Courier New"/>
          <w:sz w:val="16"/>
        </w:rPr>
      </w:pPr>
    </w:p>
    <w:p w14:paraId="6DB4877D" w14:textId="77777777" w:rsidR="00FA4AA8" w:rsidRDefault="00FA4AA8">
      <w:pPr>
        <w:pStyle w:val="BodyText"/>
        <w:rPr>
          <w:rFonts w:ascii="Courier New"/>
          <w:sz w:val="16"/>
        </w:rPr>
      </w:pPr>
    </w:p>
    <w:p w14:paraId="41BEC9C2" w14:textId="77777777" w:rsidR="00FA4AA8" w:rsidRDefault="0015611F">
      <w:pPr>
        <w:spacing w:before="127"/>
        <w:ind w:left="663"/>
        <w:rPr>
          <w:sz w:val="20"/>
        </w:rPr>
      </w:pPr>
      <w:r>
        <w:rPr>
          <w:sz w:val="20"/>
        </w:rPr>
        <w:t>To the Directors</w:t>
      </w:r>
    </w:p>
    <w:p w14:paraId="4F4F015A" w14:textId="77777777" w:rsidR="00FA4AA8" w:rsidRDefault="0015611F">
      <w:pPr>
        <w:spacing w:before="178"/>
        <w:ind w:left="670"/>
        <w:rPr>
          <w:sz w:val="20"/>
        </w:rPr>
      </w:pPr>
      <w:r>
        <w:rPr>
          <w:sz w:val="20"/>
        </w:rPr>
        <w:t>Western Sydney University Enterprises Pty Limited</w:t>
      </w:r>
    </w:p>
    <w:p w14:paraId="24F3A66D" w14:textId="77777777" w:rsidR="00FA4AA8" w:rsidRDefault="0015611F">
      <w:pPr>
        <w:spacing w:before="173"/>
        <w:ind w:left="669"/>
        <w:rPr>
          <w:sz w:val="21"/>
        </w:rPr>
      </w:pPr>
      <w:r>
        <w:rPr>
          <w:sz w:val="21"/>
        </w:rPr>
        <w:t>(trading as Western Sydney University The College)</w:t>
      </w:r>
    </w:p>
    <w:p w14:paraId="32445713" w14:textId="77777777" w:rsidR="00FA4AA8" w:rsidRDefault="00FA4AA8">
      <w:pPr>
        <w:pStyle w:val="BodyText"/>
        <w:rPr>
          <w:sz w:val="22"/>
        </w:rPr>
      </w:pPr>
    </w:p>
    <w:p w14:paraId="02CD4594" w14:textId="77777777" w:rsidR="00FA4AA8" w:rsidRDefault="00FA4AA8">
      <w:pPr>
        <w:pStyle w:val="BodyText"/>
        <w:spacing w:before="3"/>
        <w:rPr>
          <w:sz w:val="29"/>
        </w:rPr>
      </w:pPr>
    </w:p>
    <w:p w14:paraId="17F2F1CB" w14:textId="77777777" w:rsidR="00FA4AA8" w:rsidRDefault="0015611F">
      <w:pPr>
        <w:ind w:right="52"/>
        <w:jc w:val="center"/>
        <w:rPr>
          <w:sz w:val="23"/>
        </w:rPr>
      </w:pPr>
      <w:r>
        <w:rPr>
          <w:w w:val="110"/>
          <w:sz w:val="23"/>
        </w:rPr>
        <w:t>Auditor’s Independence Declaration</w:t>
      </w:r>
    </w:p>
    <w:p w14:paraId="5E32C6F9" w14:textId="77777777" w:rsidR="00FA4AA8" w:rsidRDefault="00FA4AA8">
      <w:pPr>
        <w:pStyle w:val="BodyText"/>
        <w:rPr>
          <w:sz w:val="26"/>
        </w:rPr>
      </w:pPr>
    </w:p>
    <w:p w14:paraId="5D082136" w14:textId="77777777" w:rsidR="00FA4AA8" w:rsidRDefault="00FA4AA8">
      <w:pPr>
        <w:pStyle w:val="BodyText"/>
        <w:spacing w:before="10"/>
        <w:rPr>
          <w:sz w:val="24"/>
        </w:rPr>
      </w:pPr>
    </w:p>
    <w:p w14:paraId="1BEEFDE5" w14:textId="77777777" w:rsidR="00FA4AA8" w:rsidRDefault="0015611F">
      <w:pPr>
        <w:ind w:left="665" w:right="486" w:firstLine="2"/>
        <w:rPr>
          <w:sz w:val="21"/>
        </w:rPr>
      </w:pPr>
      <w:r>
        <w:rPr>
          <w:sz w:val="21"/>
        </w:rPr>
        <w:t>As</w:t>
      </w:r>
      <w:r>
        <w:rPr>
          <w:spacing w:val="-29"/>
          <w:sz w:val="21"/>
        </w:rPr>
        <w:t xml:space="preserve"> </w:t>
      </w:r>
      <w:r>
        <w:rPr>
          <w:sz w:val="21"/>
        </w:rPr>
        <w:t>auditor</w:t>
      </w:r>
      <w:r>
        <w:rPr>
          <w:spacing w:val="-22"/>
          <w:sz w:val="21"/>
        </w:rPr>
        <w:t xml:space="preserve"> </w:t>
      </w:r>
      <w:r>
        <w:rPr>
          <w:sz w:val="21"/>
        </w:rPr>
        <w:t>for</w:t>
      </w:r>
      <w:r>
        <w:rPr>
          <w:spacing w:val="-26"/>
          <w:sz w:val="21"/>
        </w:rPr>
        <w:t xml:space="preserve"> </w:t>
      </w:r>
      <w:r>
        <w:rPr>
          <w:sz w:val="21"/>
        </w:rPr>
        <w:t>the</w:t>
      </w:r>
      <w:r>
        <w:rPr>
          <w:spacing w:val="-25"/>
          <w:sz w:val="21"/>
        </w:rPr>
        <w:t xml:space="preserve"> </w:t>
      </w:r>
      <w:r>
        <w:rPr>
          <w:sz w:val="21"/>
        </w:rPr>
        <w:t>audit</w:t>
      </w:r>
      <w:r>
        <w:rPr>
          <w:spacing w:val="-26"/>
          <w:sz w:val="21"/>
        </w:rPr>
        <w:t xml:space="preserve"> </w:t>
      </w:r>
      <w:r>
        <w:rPr>
          <w:sz w:val="21"/>
        </w:rPr>
        <w:t>of</w:t>
      </w:r>
      <w:r>
        <w:rPr>
          <w:spacing w:val="-25"/>
          <w:sz w:val="21"/>
        </w:rPr>
        <w:t xml:space="preserve"> </w:t>
      </w:r>
      <w:r>
        <w:rPr>
          <w:sz w:val="21"/>
        </w:rPr>
        <w:t>the</w:t>
      </w:r>
      <w:r>
        <w:rPr>
          <w:spacing w:val="-23"/>
          <w:sz w:val="21"/>
        </w:rPr>
        <w:t xml:space="preserve"> </w:t>
      </w:r>
      <w:r>
        <w:rPr>
          <w:sz w:val="21"/>
        </w:rPr>
        <w:t>financial</w:t>
      </w:r>
      <w:r>
        <w:rPr>
          <w:spacing w:val="-22"/>
          <w:sz w:val="21"/>
        </w:rPr>
        <w:t xml:space="preserve"> </w:t>
      </w:r>
      <w:r>
        <w:rPr>
          <w:sz w:val="21"/>
        </w:rPr>
        <w:t>statements</w:t>
      </w:r>
      <w:r>
        <w:rPr>
          <w:spacing w:val="-23"/>
          <w:sz w:val="21"/>
        </w:rPr>
        <w:t xml:space="preserve"> </w:t>
      </w:r>
      <w:r>
        <w:rPr>
          <w:sz w:val="21"/>
        </w:rPr>
        <w:t>of</w:t>
      </w:r>
      <w:r>
        <w:rPr>
          <w:spacing w:val="-24"/>
          <w:sz w:val="21"/>
        </w:rPr>
        <w:t xml:space="preserve"> </w:t>
      </w:r>
      <w:r>
        <w:rPr>
          <w:sz w:val="21"/>
        </w:rPr>
        <w:t>Western</w:t>
      </w:r>
      <w:r>
        <w:rPr>
          <w:spacing w:val="-23"/>
          <w:sz w:val="21"/>
        </w:rPr>
        <w:t xml:space="preserve"> </w:t>
      </w:r>
      <w:r>
        <w:rPr>
          <w:sz w:val="21"/>
        </w:rPr>
        <w:t>Sydney</w:t>
      </w:r>
      <w:r>
        <w:rPr>
          <w:spacing w:val="-18"/>
          <w:sz w:val="21"/>
        </w:rPr>
        <w:t xml:space="preserve"> </w:t>
      </w:r>
      <w:r>
        <w:rPr>
          <w:sz w:val="21"/>
        </w:rPr>
        <w:t>University</w:t>
      </w:r>
      <w:r>
        <w:rPr>
          <w:spacing w:val="-17"/>
          <w:sz w:val="21"/>
        </w:rPr>
        <w:t xml:space="preserve"> </w:t>
      </w:r>
      <w:r>
        <w:rPr>
          <w:sz w:val="21"/>
        </w:rPr>
        <w:t>Enterprises</w:t>
      </w:r>
      <w:r>
        <w:rPr>
          <w:spacing w:val="-13"/>
          <w:sz w:val="21"/>
        </w:rPr>
        <w:t xml:space="preserve"> </w:t>
      </w:r>
      <w:r>
        <w:rPr>
          <w:sz w:val="21"/>
        </w:rPr>
        <w:t>Pty Limited</w:t>
      </w:r>
      <w:r>
        <w:rPr>
          <w:spacing w:val="-38"/>
          <w:sz w:val="21"/>
        </w:rPr>
        <w:t xml:space="preserve"> </w:t>
      </w:r>
      <w:r>
        <w:rPr>
          <w:sz w:val="21"/>
        </w:rPr>
        <w:t>(trading</w:t>
      </w:r>
      <w:r>
        <w:rPr>
          <w:spacing w:val="-33"/>
          <w:sz w:val="21"/>
        </w:rPr>
        <w:t xml:space="preserve"> </w:t>
      </w:r>
      <w:r>
        <w:rPr>
          <w:sz w:val="21"/>
        </w:rPr>
        <w:t>as</w:t>
      </w:r>
      <w:r>
        <w:rPr>
          <w:spacing w:val="-40"/>
          <w:sz w:val="21"/>
        </w:rPr>
        <w:t xml:space="preserve"> </w:t>
      </w:r>
      <w:r>
        <w:rPr>
          <w:sz w:val="21"/>
        </w:rPr>
        <w:t>Western</w:t>
      </w:r>
      <w:r>
        <w:rPr>
          <w:spacing w:val="-34"/>
          <w:sz w:val="21"/>
        </w:rPr>
        <w:t xml:space="preserve"> </w:t>
      </w:r>
      <w:r>
        <w:rPr>
          <w:sz w:val="21"/>
        </w:rPr>
        <w:t>Syd</w:t>
      </w:r>
      <w:r>
        <w:rPr>
          <w:spacing w:val="-51"/>
          <w:sz w:val="21"/>
        </w:rPr>
        <w:t xml:space="preserve"> </w:t>
      </w:r>
      <w:r>
        <w:rPr>
          <w:sz w:val="21"/>
        </w:rPr>
        <w:t>ney</w:t>
      </w:r>
      <w:r>
        <w:rPr>
          <w:spacing w:val="-35"/>
          <w:sz w:val="21"/>
        </w:rPr>
        <w:t xml:space="preserve"> </w:t>
      </w:r>
      <w:r>
        <w:rPr>
          <w:sz w:val="21"/>
        </w:rPr>
        <w:t>University</w:t>
      </w:r>
      <w:r>
        <w:rPr>
          <w:spacing w:val="-32"/>
          <w:sz w:val="21"/>
        </w:rPr>
        <w:t xml:space="preserve"> </w:t>
      </w:r>
      <w:r>
        <w:rPr>
          <w:sz w:val="21"/>
        </w:rPr>
        <w:t>The</w:t>
      </w:r>
      <w:r w:rsidR="009C3740">
        <w:rPr>
          <w:spacing w:val="-38"/>
          <w:sz w:val="21"/>
        </w:rPr>
        <w:t xml:space="preserve"> </w:t>
      </w:r>
      <w:r>
        <w:rPr>
          <w:sz w:val="21"/>
        </w:rPr>
        <w:t>College)</w:t>
      </w:r>
      <w:r>
        <w:rPr>
          <w:spacing w:val="-33"/>
          <w:sz w:val="21"/>
        </w:rPr>
        <w:t xml:space="preserve"> </w:t>
      </w:r>
      <w:r>
        <w:rPr>
          <w:sz w:val="21"/>
        </w:rPr>
        <w:t>for</w:t>
      </w:r>
      <w:r>
        <w:rPr>
          <w:spacing w:val="-36"/>
          <w:sz w:val="21"/>
        </w:rPr>
        <w:t xml:space="preserve"> </w:t>
      </w:r>
      <w:r>
        <w:rPr>
          <w:sz w:val="21"/>
        </w:rPr>
        <w:t>the</w:t>
      </w:r>
      <w:r>
        <w:rPr>
          <w:spacing w:val="-36"/>
          <w:sz w:val="21"/>
        </w:rPr>
        <w:t xml:space="preserve"> </w:t>
      </w:r>
      <w:r>
        <w:rPr>
          <w:sz w:val="21"/>
        </w:rPr>
        <w:t>year</w:t>
      </w:r>
      <w:r>
        <w:rPr>
          <w:spacing w:val="-35"/>
          <w:sz w:val="21"/>
        </w:rPr>
        <w:t xml:space="preserve"> </w:t>
      </w:r>
      <w:r>
        <w:rPr>
          <w:sz w:val="21"/>
        </w:rPr>
        <w:t>ended</w:t>
      </w:r>
      <w:r>
        <w:rPr>
          <w:spacing w:val="-32"/>
          <w:sz w:val="21"/>
        </w:rPr>
        <w:t xml:space="preserve"> </w:t>
      </w:r>
      <w:r>
        <w:rPr>
          <w:sz w:val="21"/>
        </w:rPr>
        <w:t>31</w:t>
      </w:r>
      <w:r>
        <w:rPr>
          <w:spacing w:val="-38"/>
          <w:sz w:val="21"/>
        </w:rPr>
        <w:t xml:space="preserve"> </w:t>
      </w:r>
      <w:r>
        <w:rPr>
          <w:sz w:val="21"/>
        </w:rPr>
        <w:t>December</w:t>
      </w:r>
      <w:r>
        <w:rPr>
          <w:spacing w:val="-31"/>
          <w:sz w:val="21"/>
        </w:rPr>
        <w:t xml:space="preserve"> </w:t>
      </w:r>
      <w:r>
        <w:rPr>
          <w:sz w:val="21"/>
        </w:rPr>
        <w:t>2018,</w:t>
      </w:r>
      <w:r>
        <w:rPr>
          <w:spacing w:val="-37"/>
          <w:sz w:val="21"/>
        </w:rPr>
        <w:t xml:space="preserve"> </w:t>
      </w:r>
      <w:r>
        <w:rPr>
          <w:sz w:val="21"/>
        </w:rPr>
        <w:t>I declare,</w:t>
      </w:r>
      <w:r>
        <w:rPr>
          <w:spacing w:val="-5"/>
          <w:sz w:val="21"/>
        </w:rPr>
        <w:t xml:space="preserve"> </w:t>
      </w:r>
      <w:r>
        <w:rPr>
          <w:sz w:val="21"/>
        </w:rPr>
        <w:t>to</w:t>
      </w:r>
      <w:r>
        <w:rPr>
          <w:spacing w:val="-11"/>
          <w:sz w:val="21"/>
        </w:rPr>
        <w:t xml:space="preserve"> </w:t>
      </w:r>
      <w:r>
        <w:rPr>
          <w:sz w:val="21"/>
        </w:rPr>
        <w:t>the</w:t>
      </w:r>
      <w:r>
        <w:rPr>
          <w:spacing w:val="-15"/>
          <w:sz w:val="21"/>
        </w:rPr>
        <w:t xml:space="preserve"> </w:t>
      </w:r>
      <w:r>
        <w:rPr>
          <w:sz w:val="21"/>
        </w:rPr>
        <w:t>best</w:t>
      </w:r>
      <w:r>
        <w:rPr>
          <w:spacing w:val="-7"/>
          <w:sz w:val="21"/>
        </w:rPr>
        <w:t xml:space="preserve"> </w:t>
      </w:r>
      <w:r>
        <w:rPr>
          <w:sz w:val="21"/>
        </w:rPr>
        <w:t>of</w:t>
      </w:r>
      <w:r>
        <w:rPr>
          <w:spacing w:val="-11"/>
          <w:sz w:val="21"/>
        </w:rPr>
        <w:t xml:space="preserve"> </w:t>
      </w:r>
      <w:r>
        <w:rPr>
          <w:sz w:val="21"/>
        </w:rPr>
        <w:t>my</w:t>
      </w:r>
      <w:r>
        <w:rPr>
          <w:spacing w:val="-9"/>
          <w:sz w:val="21"/>
        </w:rPr>
        <w:t xml:space="preserve"> </w:t>
      </w:r>
      <w:r>
        <w:rPr>
          <w:sz w:val="21"/>
        </w:rPr>
        <w:t>knowledge</w:t>
      </w:r>
      <w:r>
        <w:rPr>
          <w:spacing w:val="-9"/>
          <w:sz w:val="21"/>
        </w:rPr>
        <w:t xml:space="preserve"> </w:t>
      </w:r>
      <w:r>
        <w:rPr>
          <w:sz w:val="21"/>
        </w:rPr>
        <w:t>and</w:t>
      </w:r>
      <w:r>
        <w:rPr>
          <w:spacing w:val="-9"/>
          <w:sz w:val="21"/>
        </w:rPr>
        <w:t xml:space="preserve"> </w:t>
      </w:r>
      <w:r>
        <w:rPr>
          <w:sz w:val="21"/>
        </w:rPr>
        <w:t>belief,</w:t>
      </w:r>
      <w:r>
        <w:rPr>
          <w:spacing w:val="-5"/>
          <w:sz w:val="21"/>
        </w:rPr>
        <w:t xml:space="preserve"> </w:t>
      </w:r>
      <w:r>
        <w:rPr>
          <w:sz w:val="21"/>
        </w:rPr>
        <w:t>there</w:t>
      </w:r>
      <w:r>
        <w:rPr>
          <w:spacing w:val="-11"/>
          <w:sz w:val="21"/>
        </w:rPr>
        <w:t xml:space="preserve"> </w:t>
      </w:r>
      <w:r>
        <w:rPr>
          <w:sz w:val="21"/>
        </w:rPr>
        <w:t>have</w:t>
      </w:r>
      <w:r>
        <w:rPr>
          <w:spacing w:val="-9"/>
          <w:sz w:val="21"/>
        </w:rPr>
        <w:t xml:space="preserve"> </w:t>
      </w:r>
      <w:r>
        <w:rPr>
          <w:sz w:val="21"/>
        </w:rPr>
        <w:t>been</w:t>
      </w:r>
      <w:r>
        <w:rPr>
          <w:spacing w:val="-7"/>
          <w:sz w:val="21"/>
        </w:rPr>
        <w:t xml:space="preserve"> </w:t>
      </w:r>
      <w:r>
        <w:rPr>
          <w:sz w:val="21"/>
        </w:rPr>
        <w:t>no</w:t>
      </w:r>
      <w:r>
        <w:rPr>
          <w:spacing w:val="-20"/>
          <w:sz w:val="21"/>
        </w:rPr>
        <w:t xml:space="preserve"> </w:t>
      </w:r>
      <w:r>
        <w:rPr>
          <w:sz w:val="21"/>
        </w:rPr>
        <w:t>contraventions</w:t>
      </w:r>
      <w:r>
        <w:rPr>
          <w:spacing w:val="-19"/>
          <w:sz w:val="21"/>
        </w:rPr>
        <w:t xml:space="preserve"> </w:t>
      </w:r>
      <w:r>
        <w:rPr>
          <w:sz w:val="21"/>
        </w:rPr>
        <w:t>of:</w:t>
      </w:r>
    </w:p>
    <w:p w14:paraId="3A8EF589" w14:textId="77777777" w:rsidR="00FA4AA8" w:rsidRDefault="0015611F">
      <w:pPr>
        <w:pStyle w:val="ListParagraph"/>
        <w:numPr>
          <w:ilvl w:val="1"/>
          <w:numId w:val="68"/>
        </w:numPr>
        <w:tabs>
          <w:tab w:val="left" w:pos="1240"/>
          <w:tab w:val="left" w:pos="1241"/>
        </w:tabs>
        <w:spacing w:before="169"/>
        <w:ind w:hanging="580"/>
        <w:rPr>
          <w:sz w:val="21"/>
        </w:rPr>
      </w:pPr>
      <w:r>
        <w:rPr>
          <w:sz w:val="21"/>
        </w:rPr>
        <w:t>the</w:t>
      </w:r>
      <w:r>
        <w:rPr>
          <w:spacing w:val="-23"/>
          <w:sz w:val="21"/>
        </w:rPr>
        <w:t xml:space="preserve"> </w:t>
      </w:r>
      <w:r>
        <w:rPr>
          <w:sz w:val="21"/>
        </w:rPr>
        <w:t>auditor</w:t>
      </w:r>
      <w:r>
        <w:rPr>
          <w:spacing w:val="-12"/>
          <w:sz w:val="21"/>
        </w:rPr>
        <w:t xml:space="preserve"> </w:t>
      </w:r>
      <w:r>
        <w:rPr>
          <w:sz w:val="21"/>
        </w:rPr>
        <w:t>independence</w:t>
      </w:r>
      <w:r>
        <w:rPr>
          <w:spacing w:val="-4"/>
          <w:sz w:val="21"/>
        </w:rPr>
        <w:t xml:space="preserve"> </w:t>
      </w:r>
      <w:r>
        <w:rPr>
          <w:sz w:val="21"/>
        </w:rPr>
        <w:t>requirements</w:t>
      </w:r>
      <w:r>
        <w:rPr>
          <w:spacing w:val="-6"/>
          <w:sz w:val="21"/>
        </w:rPr>
        <w:t xml:space="preserve"> </w:t>
      </w:r>
      <w:r>
        <w:rPr>
          <w:sz w:val="21"/>
        </w:rPr>
        <w:t>of</w:t>
      </w:r>
      <w:r>
        <w:rPr>
          <w:spacing w:val="-13"/>
          <w:sz w:val="21"/>
        </w:rPr>
        <w:t xml:space="preserve"> </w:t>
      </w:r>
      <w:r>
        <w:rPr>
          <w:sz w:val="21"/>
        </w:rPr>
        <w:t>the</w:t>
      </w:r>
      <w:r>
        <w:rPr>
          <w:spacing w:val="-11"/>
          <w:sz w:val="21"/>
        </w:rPr>
        <w:t xml:space="preserve"> </w:t>
      </w:r>
      <w:r>
        <w:rPr>
          <w:i/>
          <w:sz w:val="21"/>
        </w:rPr>
        <w:t>Corporations</w:t>
      </w:r>
      <w:r>
        <w:rPr>
          <w:i/>
          <w:spacing w:val="3"/>
          <w:sz w:val="21"/>
        </w:rPr>
        <w:t xml:space="preserve"> </w:t>
      </w:r>
      <w:r>
        <w:rPr>
          <w:i/>
          <w:sz w:val="21"/>
        </w:rPr>
        <w:t>Act</w:t>
      </w:r>
      <w:r>
        <w:rPr>
          <w:i/>
          <w:spacing w:val="-17"/>
          <w:sz w:val="21"/>
        </w:rPr>
        <w:t xml:space="preserve"> </w:t>
      </w:r>
      <w:r>
        <w:rPr>
          <w:i/>
          <w:sz w:val="21"/>
        </w:rPr>
        <w:t>2001</w:t>
      </w:r>
      <w:r>
        <w:rPr>
          <w:i/>
          <w:spacing w:val="-5"/>
          <w:sz w:val="21"/>
        </w:rPr>
        <w:t xml:space="preserve"> </w:t>
      </w:r>
      <w:r>
        <w:rPr>
          <w:sz w:val="21"/>
        </w:rPr>
        <w:t>in</w:t>
      </w:r>
      <w:r>
        <w:rPr>
          <w:spacing w:val="-17"/>
          <w:sz w:val="21"/>
        </w:rPr>
        <w:t xml:space="preserve"> </w:t>
      </w:r>
      <w:r>
        <w:rPr>
          <w:sz w:val="21"/>
        </w:rPr>
        <w:t>relation</w:t>
      </w:r>
      <w:r>
        <w:rPr>
          <w:spacing w:val="-6"/>
          <w:sz w:val="21"/>
        </w:rPr>
        <w:t xml:space="preserve"> </w:t>
      </w:r>
      <w:r>
        <w:rPr>
          <w:sz w:val="21"/>
        </w:rPr>
        <w:t>to</w:t>
      </w:r>
      <w:r>
        <w:rPr>
          <w:spacing w:val="-17"/>
          <w:sz w:val="21"/>
        </w:rPr>
        <w:t xml:space="preserve"> </w:t>
      </w:r>
      <w:r>
        <w:rPr>
          <w:sz w:val="21"/>
        </w:rPr>
        <w:t>the</w:t>
      </w:r>
      <w:r>
        <w:rPr>
          <w:spacing w:val="-16"/>
          <w:sz w:val="21"/>
        </w:rPr>
        <w:t xml:space="preserve"> </w:t>
      </w:r>
      <w:r>
        <w:rPr>
          <w:sz w:val="21"/>
        </w:rPr>
        <w:t>audit</w:t>
      </w:r>
    </w:p>
    <w:p w14:paraId="196E5D37" w14:textId="77777777" w:rsidR="00FA4AA8" w:rsidRDefault="0015611F">
      <w:pPr>
        <w:pStyle w:val="ListParagraph"/>
        <w:numPr>
          <w:ilvl w:val="1"/>
          <w:numId w:val="68"/>
        </w:numPr>
        <w:tabs>
          <w:tab w:val="left" w:pos="1236"/>
          <w:tab w:val="left" w:pos="1237"/>
        </w:tabs>
        <w:spacing w:before="61"/>
        <w:ind w:left="1236" w:hanging="576"/>
        <w:rPr>
          <w:sz w:val="21"/>
        </w:rPr>
      </w:pPr>
      <w:r>
        <w:rPr>
          <w:sz w:val="21"/>
        </w:rPr>
        <w:t>any applicable code of professional conduct in relation to the</w:t>
      </w:r>
      <w:r>
        <w:rPr>
          <w:spacing w:val="4"/>
          <w:sz w:val="21"/>
        </w:rPr>
        <w:t xml:space="preserve"> </w:t>
      </w:r>
      <w:r>
        <w:rPr>
          <w:sz w:val="21"/>
        </w:rPr>
        <w:t>audit.</w:t>
      </w:r>
    </w:p>
    <w:p w14:paraId="39FAD5A8" w14:textId="77777777" w:rsidR="00FA4AA8" w:rsidRDefault="00FA4AA8">
      <w:pPr>
        <w:pStyle w:val="BodyText"/>
        <w:rPr>
          <w:sz w:val="20"/>
        </w:rPr>
      </w:pPr>
    </w:p>
    <w:p w14:paraId="66E35D3A" w14:textId="77777777" w:rsidR="00FA4AA8" w:rsidRDefault="00FA4AA8">
      <w:pPr>
        <w:pStyle w:val="BodyText"/>
        <w:rPr>
          <w:sz w:val="20"/>
        </w:rPr>
      </w:pPr>
    </w:p>
    <w:p w14:paraId="3B7C7A0C" w14:textId="77777777" w:rsidR="00FA4AA8" w:rsidRDefault="00FA4AA8">
      <w:pPr>
        <w:pStyle w:val="BodyText"/>
        <w:rPr>
          <w:sz w:val="20"/>
        </w:rPr>
      </w:pPr>
    </w:p>
    <w:p w14:paraId="3163017E" w14:textId="77777777" w:rsidR="00FA4AA8" w:rsidRDefault="0015611F">
      <w:pPr>
        <w:pStyle w:val="BodyText"/>
        <w:spacing w:before="11"/>
        <w:rPr>
          <w:sz w:val="14"/>
        </w:rPr>
      </w:pPr>
      <w:r>
        <w:rPr>
          <w:noProof/>
          <w:lang w:val="en-AU" w:eastAsia="en-AU"/>
        </w:rPr>
        <w:drawing>
          <wp:anchor distT="0" distB="0" distL="0" distR="0" simplePos="0" relativeHeight="69" behindDoc="0" locked="0" layoutInCell="1" allowOverlap="1" wp14:anchorId="4D8D61C8" wp14:editId="43ED0408">
            <wp:simplePos x="0" y="0"/>
            <wp:positionH relativeFrom="page">
              <wp:posOffset>1033341</wp:posOffset>
            </wp:positionH>
            <wp:positionV relativeFrom="paragraph">
              <wp:posOffset>134039</wp:posOffset>
            </wp:positionV>
            <wp:extent cx="2002480" cy="225551"/>
            <wp:effectExtent l="0" t="0" r="0" b="0"/>
            <wp:wrapTopAndBottom/>
            <wp:docPr id="3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7.jpeg"/>
                    <pic:cNvPicPr/>
                  </pic:nvPicPr>
                  <pic:blipFill>
                    <a:blip r:embed="rId82" cstate="print"/>
                    <a:stretch>
                      <a:fillRect/>
                    </a:stretch>
                  </pic:blipFill>
                  <pic:spPr>
                    <a:xfrm>
                      <a:off x="0" y="0"/>
                      <a:ext cx="2002480" cy="225551"/>
                    </a:xfrm>
                    <a:prstGeom prst="rect">
                      <a:avLst/>
                    </a:prstGeom>
                  </pic:spPr>
                </pic:pic>
              </a:graphicData>
            </a:graphic>
          </wp:anchor>
        </w:drawing>
      </w:r>
    </w:p>
    <w:p w14:paraId="3E3CFE2A" w14:textId="77777777" w:rsidR="00FA4AA8" w:rsidRDefault="0015611F">
      <w:pPr>
        <w:spacing w:before="148" w:line="242" w:lineRule="auto"/>
        <w:ind w:left="673" w:right="7576" w:hanging="7"/>
        <w:rPr>
          <w:sz w:val="21"/>
        </w:rPr>
      </w:pPr>
      <w:r>
        <w:rPr>
          <w:sz w:val="21"/>
        </w:rPr>
        <w:t xml:space="preserve">Margaret Crawford </w:t>
      </w:r>
      <w:r>
        <w:rPr>
          <w:w w:val="95"/>
          <w:sz w:val="21"/>
        </w:rPr>
        <w:t>Auditor-General of NSW</w:t>
      </w:r>
    </w:p>
    <w:p w14:paraId="44EF5E5C" w14:textId="77777777" w:rsidR="00FA4AA8" w:rsidRDefault="00FA4AA8">
      <w:pPr>
        <w:pStyle w:val="BodyText"/>
        <w:rPr>
          <w:sz w:val="22"/>
        </w:rPr>
      </w:pPr>
    </w:p>
    <w:p w14:paraId="2E03C5BE" w14:textId="77777777" w:rsidR="00FA4AA8" w:rsidRDefault="00FA4AA8">
      <w:pPr>
        <w:pStyle w:val="BodyText"/>
        <w:spacing w:before="4"/>
        <w:rPr>
          <w:sz w:val="28"/>
        </w:rPr>
      </w:pPr>
    </w:p>
    <w:p w14:paraId="61C5C717" w14:textId="77777777" w:rsidR="00FA4AA8" w:rsidRDefault="0015611F">
      <w:pPr>
        <w:spacing w:line="232" w:lineRule="auto"/>
        <w:ind w:left="672" w:right="7631" w:hanging="106"/>
        <w:rPr>
          <w:sz w:val="21"/>
        </w:rPr>
      </w:pPr>
      <w:r>
        <w:rPr>
          <w:noProof/>
          <w:lang w:val="en-AU" w:eastAsia="en-AU"/>
        </w:rPr>
        <w:drawing>
          <wp:inline distT="0" distB="0" distL="0" distR="0" wp14:anchorId="76C08098" wp14:editId="52123151">
            <wp:extent cx="36578" cy="131076"/>
            <wp:effectExtent l="0" t="0" r="0" b="0"/>
            <wp:docPr id="3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8.png"/>
                    <pic:cNvPicPr/>
                  </pic:nvPicPr>
                  <pic:blipFill>
                    <a:blip r:embed="rId83" cstate="print"/>
                    <a:stretch>
                      <a:fillRect/>
                    </a:stretch>
                  </pic:blipFill>
                  <pic:spPr>
                    <a:xfrm>
                      <a:off x="0" y="0"/>
                      <a:ext cx="36578" cy="131076"/>
                    </a:xfrm>
                    <a:prstGeom prst="rect">
                      <a:avLst/>
                    </a:prstGeom>
                  </pic:spPr>
                </pic:pic>
              </a:graphicData>
            </a:graphic>
          </wp:inline>
        </w:drawing>
      </w:r>
      <w:r>
        <w:rPr>
          <w:rFonts w:ascii="Times New Roman"/>
          <w:spacing w:val="-4"/>
          <w:sz w:val="20"/>
        </w:rPr>
        <w:t xml:space="preserve"> </w:t>
      </w:r>
      <w:r>
        <w:rPr>
          <w:w w:val="115"/>
          <w:sz w:val="21"/>
        </w:rPr>
        <w:t xml:space="preserve">March </w:t>
      </w:r>
      <w:r>
        <w:rPr>
          <w:spacing w:val="-4"/>
          <w:w w:val="105"/>
          <w:sz w:val="21"/>
        </w:rPr>
        <w:t xml:space="preserve">2019 </w:t>
      </w:r>
      <w:r>
        <w:rPr>
          <w:w w:val="105"/>
          <w:sz w:val="21"/>
        </w:rPr>
        <w:t>SYDNEY</w:t>
      </w:r>
    </w:p>
    <w:p w14:paraId="7B73989D" w14:textId="77777777" w:rsidR="00FA4AA8" w:rsidRDefault="00FA4AA8">
      <w:pPr>
        <w:pStyle w:val="BodyText"/>
        <w:rPr>
          <w:sz w:val="20"/>
        </w:rPr>
      </w:pPr>
    </w:p>
    <w:p w14:paraId="1CB2C862" w14:textId="77777777" w:rsidR="00FA4AA8" w:rsidRDefault="00FA4AA8">
      <w:pPr>
        <w:pStyle w:val="BodyText"/>
        <w:rPr>
          <w:sz w:val="20"/>
        </w:rPr>
      </w:pPr>
    </w:p>
    <w:p w14:paraId="11BE0922" w14:textId="77777777" w:rsidR="00FA4AA8" w:rsidRDefault="00FA4AA8">
      <w:pPr>
        <w:pStyle w:val="BodyText"/>
        <w:rPr>
          <w:sz w:val="20"/>
        </w:rPr>
      </w:pPr>
    </w:p>
    <w:p w14:paraId="4271134D" w14:textId="77777777" w:rsidR="00FA4AA8" w:rsidRDefault="00FA4AA8">
      <w:pPr>
        <w:pStyle w:val="BodyText"/>
        <w:rPr>
          <w:sz w:val="20"/>
        </w:rPr>
      </w:pPr>
    </w:p>
    <w:p w14:paraId="06FE426C" w14:textId="77777777" w:rsidR="00FA4AA8" w:rsidRDefault="00FA4AA8">
      <w:pPr>
        <w:pStyle w:val="BodyText"/>
        <w:rPr>
          <w:sz w:val="20"/>
        </w:rPr>
      </w:pPr>
    </w:p>
    <w:p w14:paraId="6346EDB8" w14:textId="77777777" w:rsidR="00FA4AA8" w:rsidRDefault="00FA4AA8">
      <w:pPr>
        <w:pStyle w:val="BodyText"/>
        <w:rPr>
          <w:sz w:val="20"/>
        </w:rPr>
      </w:pPr>
    </w:p>
    <w:p w14:paraId="331A866F" w14:textId="77777777" w:rsidR="00FA4AA8" w:rsidRDefault="00FA4AA8">
      <w:pPr>
        <w:pStyle w:val="BodyText"/>
        <w:rPr>
          <w:sz w:val="20"/>
        </w:rPr>
      </w:pPr>
    </w:p>
    <w:p w14:paraId="1BA41AF5" w14:textId="77777777" w:rsidR="00FA4AA8" w:rsidRDefault="00FA4AA8">
      <w:pPr>
        <w:pStyle w:val="BodyText"/>
        <w:rPr>
          <w:sz w:val="20"/>
        </w:rPr>
      </w:pPr>
    </w:p>
    <w:p w14:paraId="01AAD930" w14:textId="77777777" w:rsidR="00FA4AA8" w:rsidRDefault="00FA4AA8">
      <w:pPr>
        <w:pStyle w:val="BodyText"/>
        <w:rPr>
          <w:sz w:val="20"/>
        </w:rPr>
      </w:pPr>
    </w:p>
    <w:p w14:paraId="125AB20D" w14:textId="77777777" w:rsidR="00FA4AA8" w:rsidRDefault="00FA4AA8">
      <w:pPr>
        <w:pStyle w:val="BodyText"/>
        <w:rPr>
          <w:sz w:val="20"/>
        </w:rPr>
      </w:pPr>
    </w:p>
    <w:p w14:paraId="3C6D4543" w14:textId="77777777" w:rsidR="00FA4AA8" w:rsidRDefault="00FA4AA8">
      <w:pPr>
        <w:pStyle w:val="BodyText"/>
        <w:rPr>
          <w:sz w:val="20"/>
        </w:rPr>
      </w:pPr>
    </w:p>
    <w:p w14:paraId="4706F015" w14:textId="77777777" w:rsidR="00FA4AA8" w:rsidRDefault="00FA4AA8">
      <w:pPr>
        <w:pStyle w:val="BodyText"/>
        <w:rPr>
          <w:sz w:val="20"/>
        </w:rPr>
      </w:pPr>
    </w:p>
    <w:p w14:paraId="7035402D" w14:textId="77777777" w:rsidR="00FA4AA8" w:rsidRDefault="00FA4AA8">
      <w:pPr>
        <w:pStyle w:val="BodyText"/>
        <w:rPr>
          <w:sz w:val="20"/>
        </w:rPr>
      </w:pPr>
    </w:p>
    <w:p w14:paraId="45EBE36D" w14:textId="77777777" w:rsidR="00FA4AA8" w:rsidRDefault="00FA4AA8">
      <w:pPr>
        <w:pStyle w:val="BodyText"/>
        <w:rPr>
          <w:sz w:val="20"/>
        </w:rPr>
      </w:pPr>
    </w:p>
    <w:p w14:paraId="0580A7CA" w14:textId="77777777" w:rsidR="00FA4AA8" w:rsidRDefault="00FA4AA8">
      <w:pPr>
        <w:pStyle w:val="BodyText"/>
        <w:rPr>
          <w:sz w:val="20"/>
        </w:rPr>
      </w:pPr>
    </w:p>
    <w:p w14:paraId="33B1A608" w14:textId="77777777" w:rsidR="00FA4AA8" w:rsidRDefault="00FA4AA8">
      <w:pPr>
        <w:pStyle w:val="BodyText"/>
        <w:rPr>
          <w:sz w:val="20"/>
        </w:rPr>
      </w:pPr>
    </w:p>
    <w:p w14:paraId="413B5CD8" w14:textId="77777777" w:rsidR="00FA4AA8" w:rsidRDefault="00FA4AA8">
      <w:pPr>
        <w:pStyle w:val="BodyText"/>
        <w:rPr>
          <w:sz w:val="20"/>
        </w:rPr>
      </w:pPr>
    </w:p>
    <w:p w14:paraId="1D659F71" w14:textId="77777777" w:rsidR="00FA4AA8" w:rsidRDefault="00FA4AA8">
      <w:pPr>
        <w:pStyle w:val="BodyText"/>
        <w:rPr>
          <w:sz w:val="20"/>
        </w:rPr>
      </w:pPr>
    </w:p>
    <w:p w14:paraId="5EA264C7" w14:textId="77777777" w:rsidR="00FA4AA8" w:rsidRDefault="00FA4AA8">
      <w:pPr>
        <w:pStyle w:val="BodyText"/>
        <w:rPr>
          <w:sz w:val="20"/>
        </w:rPr>
      </w:pPr>
    </w:p>
    <w:p w14:paraId="1700FF03" w14:textId="77777777" w:rsidR="00FA4AA8" w:rsidRDefault="00FA4AA8">
      <w:pPr>
        <w:pStyle w:val="BodyText"/>
        <w:rPr>
          <w:sz w:val="20"/>
        </w:rPr>
      </w:pPr>
    </w:p>
    <w:p w14:paraId="1C43CBF7" w14:textId="77777777" w:rsidR="00FA4AA8" w:rsidRDefault="00FA4AA8">
      <w:pPr>
        <w:pStyle w:val="BodyText"/>
        <w:rPr>
          <w:sz w:val="20"/>
        </w:rPr>
      </w:pPr>
    </w:p>
    <w:p w14:paraId="6FF48D35" w14:textId="77777777" w:rsidR="00FA4AA8" w:rsidRDefault="00FA4AA8">
      <w:pPr>
        <w:pStyle w:val="BodyText"/>
        <w:rPr>
          <w:sz w:val="20"/>
        </w:rPr>
      </w:pPr>
    </w:p>
    <w:p w14:paraId="13DA193A" w14:textId="77777777" w:rsidR="00FA4AA8" w:rsidRDefault="00FA4AA8">
      <w:pPr>
        <w:pStyle w:val="BodyText"/>
        <w:rPr>
          <w:sz w:val="20"/>
        </w:rPr>
      </w:pPr>
    </w:p>
    <w:p w14:paraId="310679FF" w14:textId="77777777" w:rsidR="00FA4AA8" w:rsidRDefault="007E2441">
      <w:pPr>
        <w:pStyle w:val="BodyText"/>
        <w:spacing w:before="11"/>
        <w:rPr>
          <w:sz w:val="25"/>
        </w:rPr>
      </w:pPr>
      <w:r>
        <w:rPr>
          <w:noProof/>
          <w:lang w:val="en-AU" w:eastAsia="en-AU"/>
        </w:rPr>
        <mc:AlternateContent>
          <mc:Choice Requires="wps">
            <w:drawing>
              <wp:anchor distT="0" distB="0" distL="0" distR="0" simplePos="0" relativeHeight="487623680" behindDoc="1" locked="0" layoutInCell="1" allowOverlap="1" wp14:anchorId="1EFAD20F" wp14:editId="175956EE">
                <wp:simplePos x="0" y="0"/>
                <wp:positionH relativeFrom="page">
                  <wp:posOffset>518160</wp:posOffset>
                </wp:positionH>
                <wp:positionV relativeFrom="paragraph">
                  <wp:posOffset>220980</wp:posOffset>
                </wp:positionV>
                <wp:extent cx="6456680" cy="1270"/>
                <wp:effectExtent l="0" t="0" r="0" b="0"/>
                <wp:wrapTopAndBottom/>
                <wp:docPr id="2191" name="Freeform 19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56680" cy="1270"/>
                        </a:xfrm>
                        <a:custGeom>
                          <a:avLst/>
                          <a:gdLst>
                            <a:gd name="T0" fmla="+- 0 816 816"/>
                            <a:gd name="T1" fmla="*/ T0 w 10168"/>
                            <a:gd name="T2" fmla="+- 0 10983 816"/>
                            <a:gd name="T3" fmla="*/ T2 w 10168"/>
                          </a:gdLst>
                          <a:ahLst/>
                          <a:cxnLst>
                            <a:cxn ang="0">
                              <a:pos x="T1" y="0"/>
                            </a:cxn>
                            <a:cxn ang="0">
                              <a:pos x="T3" y="0"/>
                            </a:cxn>
                          </a:cxnLst>
                          <a:rect l="0" t="0" r="r" b="b"/>
                          <a:pathLst>
                            <a:path w="10168">
                              <a:moveTo>
                                <a:pt x="0" y="0"/>
                              </a:moveTo>
                              <a:lnTo>
                                <a:pt x="10167" y="0"/>
                              </a:lnTo>
                            </a:path>
                          </a:pathLst>
                        </a:custGeom>
                        <a:noFill/>
                        <a:ln w="121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50881" id="Freeform 1957" o:spid="_x0000_s1026" style="position:absolute;margin-left:40.8pt;margin-top:17.4pt;width:508.4pt;height:.1pt;z-index:-15692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16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" path="m,l10167,e" filled="f" strokeweight=".33869mm">
                <v:path arrowok="t" o:connecttype="custom" o:connectlocs="0,0;6456045,0" o:connectangles="0,0"/>
                <w10:wrap type="topAndBottom" anchorx="page"/>
              </v:shape>
            </w:pict>
          </mc:Fallback>
        </mc:AlternateContent>
      </w:r>
    </w:p>
    <w:p w14:paraId="608300C1" w14:textId="77777777" w:rsidR="00FA4AA8" w:rsidRDefault="0015611F">
      <w:pPr>
        <w:spacing w:before="137"/>
        <w:ind w:left="200" w:right="177"/>
        <w:jc w:val="center"/>
        <w:rPr>
          <w:sz w:val="14"/>
        </w:rPr>
      </w:pPr>
      <w:r>
        <w:rPr>
          <w:sz w:val="14"/>
        </w:rPr>
        <w:t xml:space="preserve">Level 15, 1 Margaret Street, Sydney NSW 2000 I GPO Box 12, Sydney NSW 2001 I t 02 9275 7101 I f 02 9275 7179 I </w:t>
      </w:r>
      <w:r w:rsidR="00A74DE7">
        <w:rPr>
          <w:color w:val="0F0F0F"/>
          <w:sz w:val="14"/>
        </w:rPr>
        <w:t>e</w:t>
      </w:r>
      <w:r>
        <w:rPr>
          <w:color w:val="0F0F0F"/>
          <w:sz w:val="14"/>
        </w:rPr>
        <w:t xml:space="preserve"> </w:t>
      </w:r>
      <w:r>
        <w:rPr>
          <w:sz w:val="14"/>
        </w:rPr>
        <w:t>ma</w:t>
      </w:r>
      <w:r w:rsidR="00A74DE7">
        <w:rPr>
          <w:sz w:val="14"/>
        </w:rPr>
        <w:t>i</w:t>
      </w:r>
      <w:r>
        <w:rPr>
          <w:sz w:val="14"/>
        </w:rPr>
        <w:t>l audit.nsw.gov</w:t>
      </w:r>
      <w:r w:rsidR="00A74DE7">
        <w:rPr>
          <w:sz w:val="14"/>
        </w:rPr>
        <w:t>.</w:t>
      </w:r>
      <w:r>
        <w:rPr>
          <w:sz w:val="14"/>
        </w:rPr>
        <w:t xml:space="preserve">au </w:t>
      </w:r>
      <w:r>
        <w:rPr>
          <w:color w:val="0F0F0F"/>
          <w:sz w:val="14"/>
        </w:rPr>
        <w:t xml:space="preserve">I </w:t>
      </w:r>
      <w:r>
        <w:rPr>
          <w:sz w:val="14"/>
        </w:rPr>
        <w:t>audit.nsw.gov.au</w:t>
      </w:r>
    </w:p>
    <w:p w14:paraId="1CC0D324" w14:textId="77777777" w:rsidR="00FA4AA8" w:rsidRDefault="00FA4AA8">
      <w:pPr>
        <w:jc w:val="center"/>
        <w:rPr>
          <w:sz w:val="14"/>
        </w:rPr>
        <w:sectPr w:rsidR="00FA4AA8">
          <w:headerReference w:type="default" r:id="rId84"/>
          <w:footerReference w:type="default" r:id="rId85"/>
          <w:pgSz w:w="11900" w:h="16840"/>
          <w:pgMar w:top="620" w:right="800" w:bottom="700" w:left="700" w:header="0" w:footer="506" w:gutter="0"/>
          <w:pgNumType w:start="93"/>
          <w:cols w:space="720"/>
        </w:sectPr>
      </w:pPr>
    </w:p>
    <w:p w14:paraId="2C70DC8D" w14:textId="77777777" w:rsidR="00FA4AA8" w:rsidRDefault="00FA4AA8">
      <w:pPr>
        <w:pStyle w:val="BodyText"/>
        <w:rPr>
          <w:sz w:val="20"/>
        </w:rPr>
      </w:pPr>
    </w:p>
    <w:p w14:paraId="00C9EA36" w14:textId="77777777" w:rsidR="00FA4AA8" w:rsidRDefault="00FA4AA8">
      <w:pPr>
        <w:pStyle w:val="BodyText"/>
        <w:spacing w:before="3"/>
        <w:rPr>
          <w:sz w:val="10"/>
        </w:rPr>
      </w:pPr>
    </w:p>
    <w:tbl>
      <w:tblPr>
        <w:tblW w:w="0" w:type="auto"/>
        <w:tblInd w:w="125" w:type="dxa"/>
        <w:tblLayout w:type="fixed"/>
        <w:tblCellMar>
          <w:left w:w="0" w:type="dxa"/>
          <w:right w:w="0" w:type="dxa"/>
        </w:tblCellMar>
        <w:tblLook w:val="01E0" w:firstRow="1" w:lastRow="1" w:firstColumn="1" w:lastColumn="1" w:noHBand="0" w:noVBand="0"/>
      </w:tblPr>
      <w:tblGrid>
        <w:gridCol w:w="5834"/>
        <w:gridCol w:w="1538"/>
        <w:gridCol w:w="1408"/>
        <w:gridCol w:w="1222"/>
      </w:tblGrid>
      <w:tr w:rsidR="00FA4AA8" w14:paraId="535872E4" w14:textId="77777777">
        <w:trPr>
          <w:trHeight w:val="344"/>
        </w:trPr>
        <w:tc>
          <w:tcPr>
            <w:tcW w:w="5834" w:type="dxa"/>
          </w:tcPr>
          <w:p w14:paraId="5D2ADD0D" w14:textId="77777777" w:rsidR="00FA4AA8" w:rsidRDefault="0015611F">
            <w:pPr>
              <w:pStyle w:val="TableParagraph"/>
              <w:spacing w:line="312" w:lineRule="exact"/>
              <w:ind w:left="50"/>
              <w:rPr>
                <w:b/>
                <w:sz w:val="28"/>
              </w:rPr>
            </w:pPr>
            <w:r>
              <w:rPr>
                <w:b/>
                <w:sz w:val="28"/>
              </w:rPr>
              <w:t>Statement of Comprehensive Income</w:t>
            </w:r>
          </w:p>
        </w:tc>
        <w:tc>
          <w:tcPr>
            <w:tcW w:w="4168" w:type="dxa"/>
            <w:gridSpan w:val="3"/>
            <w:vMerge w:val="restart"/>
          </w:tcPr>
          <w:p w14:paraId="506F27D8" w14:textId="77777777" w:rsidR="00FA4AA8" w:rsidRDefault="00FA4AA8">
            <w:pPr>
              <w:pStyle w:val="TableParagraph"/>
              <w:rPr>
                <w:rFonts w:ascii="Times New Roman"/>
                <w:sz w:val="18"/>
              </w:rPr>
            </w:pPr>
          </w:p>
        </w:tc>
      </w:tr>
      <w:tr w:rsidR="00FA4AA8" w14:paraId="409B0E52" w14:textId="77777777">
        <w:trPr>
          <w:trHeight w:val="486"/>
        </w:trPr>
        <w:tc>
          <w:tcPr>
            <w:tcW w:w="5834" w:type="dxa"/>
          </w:tcPr>
          <w:p w14:paraId="033C847A" w14:textId="77777777" w:rsidR="00FA4AA8" w:rsidRDefault="0015611F">
            <w:pPr>
              <w:pStyle w:val="TableParagraph"/>
              <w:spacing w:before="25"/>
              <w:ind w:left="50"/>
              <w:rPr>
                <w:b/>
              </w:rPr>
            </w:pPr>
            <w:r>
              <w:rPr>
                <w:b/>
              </w:rPr>
              <w:t>For the Year Ended 31 December 2018</w:t>
            </w:r>
          </w:p>
        </w:tc>
        <w:tc>
          <w:tcPr>
            <w:tcW w:w="4168" w:type="dxa"/>
            <w:gridSpan w:val="3"/>
            <w:vMerge/>
            <w:tcBorders>
              <w:top w:val="nil"/>
            </w:tcBorders>
          </w:tcPr>
          <w:p w14:paraId="43B2E229" w14:textId="77777777" w:rsidR="00FA4AA8" w:rsidRDefault="00FA4AA8">
            <w:pPr>
              <w:rPr>
                <w:sz w:val="2"/>
                <w:szCs w:val="2"/>
              </w:rPr>
            </w:pPr>
          </w:p>
        </w:tc>
      </w:tr>
      <w:tr w:rsidR="00FA4AA8" w14:paraId="43F12DD3" w14:textId="77777777">
        <w:trPr>
          <w:trHeight w:val="446"/>
        </w:trPr>
        <w:tc>
          <w:tcPr>
            <w:tcW w:w="5834" w:type="dxa"/>
          </w:tcPr>
          <w:p w14:paraId="17813EF3" w14:textId="77777777" w:rsidR="00FA4AA8" w:rsidRDefault="00FA4AA8">
            <w:pPr>
              <w:pStyle w:val="TableParagraph"/>
              <w:rPr>
                <w:rFonts w:ascii="Times New Roman"/>
                <w:sz w:val="18"/>
              </w:rPr>
            </w:pPr>
          </w:p>
        </w:tc>
        <w:tc>
          <w:tcPr>
            <w:tcW w:w="1538" w:type="dxa"/>
          </w:tcPr>
          <w:p w14:paraId="5458BDFA" w14:textId="77777777" w:rsidR="00FA4AA8" w:rsidRDefault="00FA4AA8">
            <w:pPr>
              <w:pStyle w:val="TableParagraph"/>
              <w:rPr>
                <w:rFonts w:ascii="Times New Roman"/>
                <w:sz w:val="18"/>
              </w:rPr>
            </w:pPr>
          </w:p>
        </w:tc>
        <w:tc>
          <w:tcPr>
            <w:tcW w:w="1408" w:type="dxa"/>
          </w:tcPr>
          <w:p w14:paraId="6B7D0785" w14:textId="77777777" w:rsidR="00FA4AA8" w:rsidRDefault="00FA4AA8">
            <w:pPr>
              <w:pStyle w:val="TableParagraph"/>
              <w:spacing w:before="7"/>
              <w:rPr>
                <w:sz w:val="17"/>
              </w:rPr>
            </w:pPr>
          </w:p>
          <w:p w14:paraId="36966224" w14:textId="77777777" w:rsidR="00FA4AA8" w:rsidRDefault="0015611F">
            <w:pPr>
              <w:pStyle w:val="TableParagraph"/>
              <w:ind w:right="331"/>
              <w:jc w:val="right"/>
              <w:rPr>
                <w:b/>
                <w:sz w:val="18"/>
              </w:rPr>
            </w:pPr>
            <w:r>
              <w:rPr>
                <w:b/>
                <w:sz w:val="18"/>
              </w:rPr>
              <w:t>2018</w:t>
            </w:r>
          </w:p>
        </w:tc>
        <w:tc>
          <w:tcPr>
            <w:tcW w:w="1222" w:type="dxa"/>
          </w:tcPr>
          <w:p w14:paraId="423FDD6A" w14:textId="77777777" w:rsidR="00FA4AA8" w:rsidRDefault="00FA4AA8">
            <w:pPr>
              <w:pStyle w:val="TableParagraph"/>
              <w:spacing w:before="7"/>
              <w:rPr>
                <w:sz w:val="17"/>
              </w:rPr>
            </w:pPr>
          </w:p>
          <w:p w14:paraId="271DF949" w14:textId="77777777" w:rsidR="00FA4AA8" w:rsidRDefault="0015611F">
            <w:pPr>
              <w:pStyle w:val="TableParagraph"/>
              <w:ind w:left="590"/>
              <w:rPr>
                <w:b/>
                <w:sz w:val="18"/>
              </w:rPr>
            </w:pPr>
            <w:r>
              <w:rPr>
                <w:b/>
                <w:sz w:val="18"/>
              </w:rPr>
              <w:t>2017</w:t>
            </w:r>
          </w:p>
        </w:tc>
      </w:tr>
      <w:tr w:rsidR="00FA4AA8" w14:paraId="2D4A0512" w14:textId="77777777">
        <w:trPr>
          <w:trHeight w:val="313"/>
        </w:trPr>
        <w:tc>
          <w:tcPr>
            <w:tcW w:w="5834" w:type="dxa"/>
          </w:tcPr>
          <w:p w14:paraId="1677DC5C" w14:textId="77777777" w:rsidR="00FA4AA8" w:rsidRDefault="00FA4AA8">
            <w:pPr>
              <w:pStyle w:val="TableParagraph"/>
              <w:rPr>
                <w:rFonts w:ascii="Times New Roman"/>
                <w:sz w:val="18"/>
              </w:rPr>
            </w:pPr>
          </w:p>
        </w:tc>
        <w:tc>
          <w:tcPr>
            <w:tcW w:w="1538" w:type="dxa"/>
          </w:tcPr>
          <w:p w14:paraId="0F4D6DB2" w14:textId="77777777" w:rsidR="00FA4AA8" w:rsidRDefault="0015611F">
            <w:pPr>
              <w:pStyle w:val="TableParagraph"/>
              <w:spacing w:before="30"/>
              <w:ind w:right="150"/>
              <w:jc w:val="right"/>
              <w:rPr>
                <w:b/>
                <w:sz w:val="18"/>
              </w:rPr>
            </w:pPr>
            <w:r>
              <w:rPr>
                <w:b/>
                <w:sz w:val="18"/>
              </w:rPr>
              <w:t>Notes</w:t>
            </w:r>
          </w:p>
        </w:tc>
        <w:tc>
          <w:tcPr>
            <w:tcW w:w="1408" w:type="dxa"/>
          </w:tcPr>
          <w:p w14:paraId="287608F4" w14:textId="77777777" w:rsidR="00FA4AA8" w:rsidRDefault="0015611F">
            <w:pPr>
              <w:pStyle w:val="TableParagraph"/>
              <w:spacing w:before="30"/>
              <w:ind w:left="926"/>
              <w:rPr>
                <w:b/>
                <w:sz w:val="18"/>
              </w:rPr>
            </w:pPr>
            <w:r>
              <w:rPr>
                <w:b/>
                <w:sz w:val="18"/>
              </w:rPr>
              <w:t>$</w:t>
            </w:r>
          </w:p>
        </w:tc>
        <w:tc>
          <w:tcPr>
            <w:tcW w:w="1222" w:type="dxa"/>
          </w:tcPr>
          <w:p w14:paraId="53423076" w14:textId="77777777" w:rsidR="00FA4AA8" w:rsidRDefault="0015611F">
            <w:pPr>
              <w:pStyle w:val="TableParagraph"/>
              <w:spacing w:before="30"/>
              <w:ind w:right="278"/>
              <w:jc w:val="right"/>
              <w:rPr>
                <w:b/>
                <w:sz w:val="18"/>
              </w:rPr>
            </w:pPr>
            <w:r>
              <w:rPr>
                <w:b/>
                <w:sz w:val="18"/>
              </w:rPr>
              <w:t>$</w:t>
            </w:r>
          </w:p>
        </w:tc>
      </w:tr>
      <w:tr w:rsidR="00FA4AA8" w14:paraId="476B4022" w14:textId="77777777">
        <w:trPr>
          <w:trHeight w:val="293"/>
        </w:trPr>
        <w:tc>
          <w:tcPr>
            <w:tcW w:w="5834" w:type="dxa"/>
          </w:tcPr>
          <w:p w14:paraId="0BB15417" w14:textId="77777777" w:rsidR="00FA4AA8" w:rsidRDefault="0015611F">
            <w:pPr>
              <w:pStyle w:val="TableParagraph"/>
              <w:spacing w:before="70" w:line="203" w:lineRule="exact"/>
              <w:ind w:left="77"/>
              <w:rPr>
                <w:b/>
                <w:sz w:val="18"/>
              </w:rPr>
            </w:pPr>
            <w:r>
              <w:rPr>
                <w:b/>
                <w:sz w:val="18"/>
              </w:rPr>
              <w:t>Revenue</w:t>
            </w:r>
          </w:p>
        </w:tc>
        <w:tc>
          <w:tcPr>
            <w:tcW w:w="1538" w:type="dxa"/>
          </w:tcPr>
          <w:p w14:paraId="2CF3B3F3" w14:textId="77777777" w:rsidR="00FA4AA8" w:rsidRDefault="00FA4AA8">
            <w:pPr>
              <w:pStyle w:val="TableParagraph"/>
              <w:rPr>
                <w:rFonts w:ascii="Times New Roman"/>
                <w:sz w:val="18"/>
              </w:rPr>
            </w:pPr>
          </w:p>
        </w:tc>
        <w:tc>
          <w:tcPr>
            <w:tcW w:w="1408" w:type="dxa"/>
          </w:tcPr>
          <w:p w14:paraId="1C4B3098" w14:textId="77777777" w:rsidR="00FA4AA8" w:rsidRDefault="00FA4AA8">
            <w:pPr>
              <w:pStyle w:val="TableParagraph"/>
              <w:rPr>
                <w:rFonts w:ascii="Times New Roman"/>
                <w:sz w:val="18"/>
              </w:rPr>
            </w:pPr>
          </w:p>
        </w:tc>
        <w:tc>
          <w:tcPr>
            <w:tcW w:w="1222" w:type="dxa"/>
          </w:tcPr>
          <w:p w14:paraId="0B93FD5B" w14:textId="77777777" w:rsidR="00FA4AA8" w:rsidRDefault="00FA4AA8">
            <w:pPr>
              <w:pStyle w:val="TableParagraph"/>
              <w:rPr>
                <w:rFonts w:ascii="Times New Roman"/>
                <w:sz w:val="18"/>
              </w:rPr>
            </w:pPr>
          </w:p>
        </w:tc>
      </w:tr>
      <w:tr w:rsidR="00FA4AA8" w14:paraId="67E4E3FA" w14:textId="77777777">
        <w:trPr>
          <w:trHeight w:val="249"/>
        </w:trPr>
        <w:tc>
          <w:tcPr>
            <w:tcW w:w="5834" w:type="dxa"/>
          </w:tcPr>
          <w:p w14:paraId="78883B67" w14:textId="77777777" w:rsidR="00FA4AA8" w:rsidRDefault="0015611F">
            <w:pPr>
              <w:pStyle w:val="TableParagraph"/>
              <w:spacing w:before="10"/>
              <w:ind w:left="77"/>
              <w:rPr>
                <w:sz w:val="18"/>
              </w:rPr>
            </w:pPr>
            <w:r>
              <w:rPr>
                <w:sz w:val="18"/>
              </w:rPr>
              <w:t>Rendering of services</w:t>
            </w:r>
          </w:p>
        </w:tc>
        <w:tc>
          <w:tcPr>
            <w:tcW w:w="1538" w:type="dxa"/>
          </w:tcPr>
          <w:p w14:paraId="1D5BE391" w14:textId="77777777" w:rsidR="00FA4AA8" w:rsidRDefault="0015611F">
            <w:pPr>
              <w:pStyle w:val="TableParagraph"/>
              <w:spacing w:before="11"/>
              <w:ind w:right="241"/>
              <w:jc w:val="right"/>
              <w:rPr>
                <w:sz w:val="18"/>
              </w:rPr>
            </w:pPr>
            <w:r>
              <w:rPr>
                <w:sz w:val="18"/>
              </w:rPr>
              <w:t>2(a)</w:t>
            </w:r>
          </w:p>
        </w:tc>
        <w:tc>
          <w:tcPr>
            <w:tcW w:w="1408" w:type="dxa"/>
          </w:tcPr>
          <w:p w14:paraId="693602F9" w14:textId="77777777" w:rsidR="00FA4AA8" w:rsidRDefault="0015611F">
            <w:pPr>
              <w:pStyle w:val="TableParagraph"/>
              <w:spacing w:before="11"/>
              <w:ind w:right="197"/>
              <w:jc w:val="right"/>
              <w:rPr>
                <w:b/>
                <w:sz w:val="18"/>
              </w:rPr>
            </w:pPr>
            <w:r>
              <w:rPr>
                <w:b/>
                <w:sz w:val="18"/>
              </w:rPr>
              <w:t>59,737,058</w:t>
            </w:r>
          </w:p>
        </w:tc>
        <w:tc>
          <w:tcPr>
            <w:tcW w:w="1222" w:type="dxa"/>
          </w:tcPr>
          <w:p w14:paraId="581CE75E" w14:textId="77777777" w:rsidR="00FA4AA8" w:rsidRDefault="0015611F">
            <w:pPr>
              <w:pStyle w:val="TableParagraph"/>
              <w:spacing w:before="11"/>
              <w:ind w:left="200"/>
              <w:rPr>
                <w:sz w:val="18"/>
              </w:rPr>
            </w:pPr>
            <w:r>
              <w:rPr>
                <w:sz w:val="18"/>
              </w:rPr>
              <w:t>59,399,557</w:t>
            </w:r>
          </w:p>
        </w:tc>
      </w:tr>
      <w:tr w:rsidR="00FA4AA8" w14:paraId="21F1DA01" w14:textId="77777777">
        <w:trPr>
          <w:trHeight w:val="263"/>
        </w:trPr>
        <w:tc>
          <w:tcPr>
            <w:tcW w:w="5834" w:type="dxa"/>
          </w:tcPr>
          <w:p w14:paraId="530ADE10" w14:textId="77777777" w:rsidR="00FA4AA8" w:rsidRDefault="0015611F">
            <w:pPr>
              <w:pStyle w:val="TableParagraph"/>
              <w:spacing w:before="25"/>
              <w:ind w:left="77"/>
              <w:rPr>
                <w:sz w:val="18"/>
              </w:rPr>
            </w:pPr>
            <w:r>
              <w:rPr>
                <w:sz w:val="18"/>
              </w:rPr>
              <w:t>Interest revenue</w:t>
            </w:r>
          </w:p>
        </w:tc>
        <w:tc>
          <w:tcPr>
            <w:tcW w:w="1538" w:type="dxa"/>
          </w:tcPr>
          <w:p w14:paraId="62F5E965" w14:textId="77777777" w:rsidR="00FA4AA8" w:rsidRDefault="00FA4AA8">
            <w:pPr>
              <w:pStyle w:val="TableParagraph"/>
              <w:rPr>
                <w:rFonts w:ascii="Times New Roman"/>
                <w:sz w:val="18"/>
              </w:rPr>
            </w:pPr>
          </w:p>
        </w:tc>
        <w:tc>
          <w:tcPr>
            <w:tcW w:w="1408" w:type="dxa"/>
          </w:tcPr>
          <w:p w14:paraId="0F07C2E0" w14:textId="77777777" w:rsidR="00FA4AA8" w:rsidRDefault="0015611F">
            <w:pPr>
              <w:pStyle w:val="TableParagraph"/>
              <w:spacing w:before="26"/>
              <w:ind w:right="197"/>
              <w:jc w:val="right"/>
              <w:rPr>
                <w:b/>
                <w:sz w:val="18"/>
              </w:rPr>
            </w:pPr>
            <w:r>
              <w:rPr>
                <w:b/>
                <w:sz w:val="18"/>
              </w:rPr>
              <w:t>298,009</w:t>
            </w:r>
          </w:p>
        </w:tc>
        <w:tc>
          <w:tcPr>
            <w:tcW w:w="1222" w:type="dxa"/>
          </w:tcPr>
          <w:p w14:paraId="37CBD687" w14:textId="77777777" w:rsidR="00FA4AA8" w:rsidRDefault="0015611F">
            <w:pPr>
              <w:pStyle w:val="TableParagraph"/>
              <w:spacing w:before="26"/>
              <w:ind w:left="450"/>
              <w:rPr>
                <w:sz w:val="18"/>
              </w:rPr>
            </w:pPr>
            <w:r>
              <w:rPr>
                <w:sz w:val="18"/>
              </w:rPr>
              <w:t>233,742</w:t>
            </w:r>
          </w:p>
        </w:tc>
      </w:tr>
      <w:tr w:rsidR="00FA4AA8" w14:paraId="40AB63A4" w14:textId="77777777">
        <w:trPr>
          <w:trHeight w:val="468"/>
        </w:trPr>
        <w:tc>
          <w:tcPr>
            <w:tcW w:w="5834" w:type="dxa"/>
          </w:tcPr>
          <w:p w14:paraId="56450D7D" w14:textId="77777777" w:rsidR="00FA4AA8" w:rsidRDefault="0015611F">
            <w:pPr>
              <w:pStyle w:val="TableParagraph"/>
              <w:spacing w:before="25"/>
              <w:ind w:left="77" w:right="1294"/>
              <w:rPr>
                <w:sz w:val="18"/>
              </w:rPr>
            </w:pPr>
            <w:r>
              <w:rPr>
                <w:sz w:val="18"/>
              </w:rPr>
              <w:t>Share of net profit or (loss) on investments accounted for using the equity method</w:t>
            </w:r>
          </w:p>
        </w:tc>
        <w:tc>
          <w:tcPr>
            <w:tcW w:w="1538" w:type="dxa"/>
          </w:tcPr>
          <w:p w14:paraId="322345EF" w14:textId="77777777" w:rsidR="00FA4AA8" w:rsidRDefault="0015611F">
            <w:pPr>
              <w:pStyle w:val="TableParagraph"/>
              <w:spacing w:before="26"/>
              <w:ind w:right="121"/>
              <w:jc w:val="right"/>
              <w:rPr>
                <w:sz w:val="18"/>
              </w:rPr>
            </w:pPr>
            <w:r>
              <w:rPr>
                <w:sz w:val="18"/>
              </w:rPr>
              <w:t>3,15(c)</w:t>
            </w:r>
          </w:p>
        </w:tc>
        <w:tc>
          <w:tcPr>
            <w:tcW w:w="1408" w:type="dxa"/>
          </w:tcPr>
          <w:p w14:paraId="0E3EAD48" w14:textId="77777777" w:rsidR="00FA4AA8" w:rsidRDefault="00FA4AA8">
            <w:pPr>
              <w:pStyle w:val="TableParagraph"/>
              <w:rPr>
                <w:sz w:val="20"/>
              </w:rPr>
            </w:pPr>
          </w:p>
          <w:p w14:paraId="158A5343" w14:textId="77777777" w:rsidR="00FA4AA8" w:rsidRDefault="0015611F">
            <w:pPr>
              <w:pStyle w:val="TableParagraph"/>
              <w:ind w:right="197"/>
              <w:jc w:val="right"/>
              <w:rPr>
                <w:b/>
                <w:sz w:val="18"/>
              </w:rPr>
            </w:pPr>
            <w:r>
              <w:rPr>
                <w:b/>
                <w:sz w:val="18"/>
              </w:rPr>
              <w:t>190,052</w:t>
            </w:r>
          </w:p>
        </w:tc>
        <w:tc>
          <w:tcPr>
            <w:tcW w:w="1222" w:type="dxa"/>
          </w:tcPr>
          <w:p w14:paraId="76A8FC57" w14:textId="77777777" w:rsidR="00FA4AA8" w:rsidRDefault="00FA4AA8">
            <w:pPr>
              <w:pStyle w:val="TableParagraph"/>
              <w:rPr>
                <w:sz w:val="20"/>
              </w:rPr>
            </w:pPr>
          </w:p>
          <w:p w14:paraId="4BE58EFD" w14:textId="77777777" w:rsidR="00FA4AA8" w:rsidRDefault="0015611F">
            <w:pPr>
              <w:pStyle w:val="TableParagraph"/>
              <w:ind w:right="62"/>
              <w:jc w:val="right"/>
              <w:rPr>
                <w:sz w:val="18"/>
              </w:rPr>
            </w:pPr>
            <w:r>
              <w:rPr>
                <w:sz w:val="18"/>
              </w:rPr>
              <w:t>(833,847)</w:t>
            </w:r>
          </w:p>
        </w:tc>
      </w:tr>
      <w:tr w:rsidR="00FA4AA8" w14:paraId="27218B68" w14:textId="77777777">
        <w:trPr>
          <w:trHeight w:val="279"/>
        </w:trPr>
        <w:tc>
          <w:tcPr>
            <w:tcW w:w="5834" w:type="dxa"/>
          </w:tcPr>
          <w:p w14:paraId="0A1A5B5B" w14:textId="77777777" w:rsidR="00FA4AA8" w:rsidRDefault="0015611F">
            <w:pPr>
              <w:pStyle w:val="TableParagraph"/>
              <w:spacing w:before="24"/>
              <w:ind w:left="77"/>
              <w:rPr>
                <w:sz w:val="18"/>
              </w:rPr>
            </w:pPr>
            <w:r>
              <w:rPr>
                <w:sz w:val="18"/>
              </w:rPr>
              <w:t>Other revenue</w:t>
            </w:r>
          </w:p>
        </w:tc>
        <w:tc>
          <w:tcPr>
            <w:tcW w:w="1538" w:type="dxa"/>
          </w:tcPr>
          <w:p w14:paraId="302F5E31" w14:textId="77777777" w:rsidR="00FA4AA8" w:rsidRDefault="0015611F">
            <w:pPr>
              <w:pStyle w:val="TableParagraph"/>
              <w:spacing w:before="25"/>
              <w:ind w:right="241"/>
              <w:jc w:val="right"/>
              <w:rPr>
                <w:sz w:val="18"/>
              </w:rPr>
            </w:pPr>
            <w:r>
              <w:rPr>
                <w:sz w:val="18"/>
              </w:rPr>
              <w:t>2(b)</w:t>
            </w:r>
          </w:p>
        </w:tc>
        <w:tc>
          <w:tcPr>
            <w:tcW w:w="1408" w:type="dxa"/>
          </w:tcPr>
          <w:p w14:paraId="243D571E" w14:textId="77777777" w:rsidR="00FA4AA8" w:rsidRDefault="0015611F">
            <w:pPr>
              <w:pStyle w:val="TableParagraph"/>
              <w:spacing w:before="25"/>
              <w:ind w:right="197"/>
              <w:jc w:val="right"/>
              <w:rPr>
                <w:b/>
                <w:sz w:val="18"/>
              </w:rPr>
            </w:pPr>
            <w:r>
              <w:rPr>
                <w:b/>
                <w:sz w:val="18"/>
              </w:rPr>
              <w:t>697,830</w:t>
            </w:r>
          </w:p>
        </w:tc>
        <w:tc>
          <w:tcPr>
            <w:tcW w:w="1222" w:type="dxa"/>
          </w:tcPr>
          <w:p w14:paraId="6043E127" w14:textId="77777777" w:rsidR="00FA4AA8" w:rsidRDefault="0015611F">
            <w:pPr>
              <w:pStyle w:val="TableParagraph"/>
              <w:spacing w:before="25"/>
              <w:ind w:left="450"/>
              <w:rPr>
                <w:sz w:val="18"/>
              </w:rPr>
            </w:pPr>
            <w:r>
              <w:rPr>
                <w:sz w:val="18"/>
              </w:rPr>
              <w:t>806,407</w:t>
            </w:r>
          </w:p>
        </w:tc>
      </w:tr>
      <w:tr w:rsidR="00FA4AA8" w14:paraId="312EB37D" w14:textId="77777777">
        <w:trPr>
          <w:trHeight w:val="320"/>
        </w:trPr>
        <w:tc>
          <w:tcPr>
            <w:tcW w:w="10002" w:type="dxa"/>
            <w:gridSpan w:val="4"/>
          </w:tcPr>
          <w:p w14:paraId="4CEDE062" w14:textId="77777777" w:rsidR="00FA4AA8" w:rsidRDefault="007E2441">
            <w:pPr>
              <w:pStyle w:val="TableParagraph"/>
              <w:spacing w:line="20" w:lineRule="exact"/>
              <w:ind w:left="7371" w:right="-44"/>
              <w:rPr>
                <w:sz w:val="2"/>
              </w:rPr>
            </w:pPr>
            <w:r>
              <w:rPr>
                <w:noProof/>
                <w:sz w:val="2"/>
                <w:lang w:val="en-AU" w:eastAsia="en-AU"/>
              </w:rPr>
              <mc:AlternateContent>
                <mc:Choice Requires="wpg">
                  <w:drawing>
                    <wp:inline distT="0" distB="0" distL="0" distR="0" wp14:anchorId="596894E4" wp14:editId="1C24E405">
                      <wp:extent cx="1647825" cy="12700"/>
                      <wp:effectExtent l="9525" t="9525" r="9525" b="6350"/>
                      <wp:docPr id="2126" name="Group 1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7825" cy="12700"/>
                                <a:chOff x="0" y="0"/>
                                <a:chExt cx="2595" cy="20"/>
                              </a:xfrm>
                            </wpg:grpSpPr>
                            <wps:wsp>
                              <wps:cNvPr id="2127" name="Line 1956"/>
                              <wps:cNvCnPr>
                                <a:cxnSpLocks noChangeShapeType="1"/>
                              </wps:cNvCnPr>
                              <wps:spPr bwMode="auto">
                                <a:xfrm>
                                  <a:off x="0" y="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128" name="Line 1955"/>
                              <wps:cNvCnPr>
                                <a:cxnSpLocks noChangeShapeType="1"/>
                              </wps:cNvCnPr>
                              <wps:spPr bwMode="auto">
                                <a:xfrm>
                                  <a:off x="0" y="2"/>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129" name="Line 1954"/>
                              <wps:cNvCnPr>
                                <a:cxnSpLocks noChangeShapeType="1"/>
                              </wps:cNvCnPr>
                              <wps:spPr bwMode="auto">
                                <a:xfrm>
                                  <a:off x="0" y="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130" name="Line 1953"/>
                              <wps:cNvCnPr>
                                <a:cxnSpLocks noChangeShapeType="1"/>
                              </wps:cNvCnPr>
                              <wps:spPr bwMode="auto">
                                <a:xfrm>
                                  <a:off x="0" y="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131" name="Line 1952"/>
                              <wps:cNvCnPr>
                                <a:cxnSpLocks noChangeShapeType="1"/>
                              </wps:cNvCnPr>
                              <wps:spPr bwMode="auto">
                                <a:xfrm>
                                  <a:off x="0" y="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132" name="Line 1951"/>
                              <wps:cNvCnPr>
                                <a:cxnSpLocks noChangeShapeType="1"/>
                              </wps:cNvCnPr>
                              <wps:spPr bwMode="auto">
                                <a:xfrm>
                                  <a:off x="0" y="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133" name="Line 1950"/>
                              <wps:cNvCnPr>
                                <a:cxnSpLocks noChangeShapeType="1"/>
                              </wps:cNvCnPr>
                              <wps:spPr bwMode="auto">
                                <a:xfrm>
                                  <a:off x="0" y="8"/>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134" name="Line 1949"/>
                              <wps:cNvCnPr>
                                <a:cxnSpLocks noChangeShapeType="1"/>
                              </wps:cNvCnPr>
                              <wps:spPr bwMode="auto">
                                <a:xfrm>
                                  <a:off x="0" y="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135" name="Line 1948"/>
                              <wps:cNvCnPr>
                                <a:cxnSpLocks noChangeShapeType="1"/>
                              </wps:cNvCnPr>
                              <wps:spPr bwMode="auto">
                                <a:xfrm>
                                  <a:off x="0" y="10"/>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136" name="Line 1947"/>
                              <wps:cNvCnPr>
                                <a:cxnSpLocks noChangeShapeType="1"/>
                              </wps:cNvCnPr>
                              <wps:spPr bwMode="auto">
                                <a:xfrm>
                                  <a:off x="0" y="1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137" name="Line 1946"/>
                              <wps:cNvCnPr>
                                <a:cxnSpLocks noChangeShapeType="1"/>
                              </wps:cNvCnPr>
                              <wps:spPr bwMode="auto">
                                <a:xfrm>
                                  <a:off x="0" y="1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138" name="Line 1945"/>
                              <wps:cNvCnPr>
                                <a:cxnSpLocks noChangeShapeType="1"/>
                              </wps:cNvCnPr>
                              <wps:spPr bwMode="auto">
                                <a:xfrm>
                                  <a:off x="0" y="1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139" name="Line 1944"/>
                              <wps:cNvCnPr>
                                <a:cxnSpLocks noChangeShapeType="1"/>
                              </wps:cNvCnPr>
                              <wps:spPr bwMode="auto">
                                <a:xfrm>
                                  <a:off x="0" y="1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140" name="Line 1943"/>
                              <wps:cNvCnPr>
                                <a:cxnSpLocks noChangeShapeType="1"/>
                              </wps:cNvCnPr>
                              <wps:spPr bwMode="auto">
                                <a:xfrm>
                                  <a:off x="0" y="16"/>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141" name="Line 1942"/>
                              <wps:cNvCnPr>
                                <a:cxnSpLocks noChangeShapeType="1"/>
                              </wps:cNvCnPr>
                              <wps:spPr bwMode="auto">
                                <a:xfrm>
                                  <a:off x="0" y="1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142" name="Line 1941"/>
                              <wps:cNvCnPr>
                                <a:cxnSpLocks noChangeShapeType="1"/>
                              </wps:cNvCnPr>
                              <wps:spPr bwMode="auto">
                                <a:xfrm>
                                  <a:off x="0" y="1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143" name="Line 1940"/>
                              <wps:cNvCnPr>
                                <a:cxnSpLocks noChangeShapeType="1"/>
                              </wps:cNvCnPr>
                              <wps:spPr bwMode="auto">
                                <a:xfrm>
                                  <a:off x="1297" y="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144" name="Line 1939"/>
                              <wps:cNvCnPr>
                                <a:cxnSpLocks noChangeShapeType="1"/>
                              </wps:cNvCnPr>
                              <wps:spPr bwMode="auto">
                                <a:xfrm>
                                  <a:off x="1297" y="2"/>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145" name="Line 1938"/>
                              <wps:cNvCnPr>
                                <a:cxnSpLocks noChangeShapeType="1"/>
                              </wps:cNvCnPr>
                              <wps:spPr bwMode="auto">
                                <a:xfrm>
                                  <a:off x="1297" y="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146" name="Line 1937"/>
                              <wps:cNvCnPr>
                                <a:cxnSpLocks noChangeShapeType="1"/>
                              </wps:cNvCnPr>
                              <wps:spPr bwMode="auto">
                                <a:xfrm>
                                  <a:off x="1297" y="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147" name="Line 1936"/>
                              <wps:cNvCnPr>
                                <a:cxnSpLocks noChangeShapeType="1"/>
                              </wps:cNvCnPr>
                              <wps:spPr bwMode="auto">
                                <a:xfrm>
                                  <a:off x="1297" y="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148" name="Line 1935"/>
                              <wps:cNvCnPr>
                                <a:cxnSpLocks noChangeShapeType="1"/>
                              </wps:cNvCnPr>
                              <wps:spPr bwMode="auto">
                                <a:xfrm>
                                  <a:off x="1297" y="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149" name="Line 1934"/>
                              <wps:cNvCnPr>
                                <a:cxnSpLocks noChangeShapeType="1"/>
                              </wps:cNvCnPr>
                              <wps:spPr bwMode="auto">
                                <a:xfrm>
                                  <a:off x="1297" y="8"/>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150" name="Line 1933"/>
                              <wps:cNvCnPr>
                                <a:cxnSpLocks noChangeShapeType="1"/>
                              </wps:cNvCnPr>
                              <wps:spPr bwMode="auto">
                                <a:xfrm>
                                  <a:off x="1297" y="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151" name="Line 1932"/>
                              <wps:cNvCnPr>
                                <a:cxnSpLocks noChangeShapeType="1"/>
                              </wps:cNvCnPr>
                              <wps:spPr bwMode="auto">
                                <a:xfrm>
                                  <a:off x="1297" y="10"/>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152" name="Line 1931"/>
                              <wps:cNvCnPr>
                                <a:cxnSpLocks noChangeShapeType="1"/>
                              </wps:cNvCnPr>
                              <wps:spPr bwMode="auto">
                                <a:xfrm>
                                  <a:off x="1297" y="1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153" name="Line 1930"/>
                              <wps:cNvCnPr>
                                <a:cxnSpLocks noChangeShapeType="1"/>
                              </wps:cNvCnPr>
                              <wps:spPr bwMode="auto">
                                <a:xfrm>
                                  <a:off x="1297" y="1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154" name="Line 1929"/>
                              <wps:cNvCnPr>
                                <a:cxnSpLocks noChangeShapeType="1"/>
                              </wps:cNvCnPr>
                              <wps:spPr bwMode="auto">
                                <a:xfrm>
                                  <a:off x="1297" y="1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155" name="Line 1928"/>
                              <wps:cNvCnPr>
                                <a:cxnSpLocks noChangeShapeType="1"/>
                              </wps:cNvCnPr>
                              <wps:spPr bwMode="auto">
                                <a:xfrm>
                                  <a:off x="1297" y="1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156" name="Line 1927"/>
                              <wps:cNvCnPr>
                                <a:cxnSpLocks noChangeShapeType="1"/>
                              </wps:cNvCnPr>
                              <wps:spPr bwMode="auto">
                                <a:xfrm>
                                  <a:off x="1297" y="16"/>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157" name="Line 1926"/>
                              <wps:cNvCnPr>
                                <a:cxnSpLocks noChangeShapeType="1"/>
                              </wps:cNvCnPr>
                              <wps:spPr bwMode="auto">
                                <a:xfrm>
                                  <a:off x="1297" y="1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158" name="Line 1925"/>
                              <wps:cNvCnPr>
                                <a:cxnSpLocks noChangeShapeType="1"/>
                              </wps:cNvCnPr>
                              <wps:spPr bwMode="auto">
                                <a:xfrm>
                                  <a:off x="1297" y="1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159" name="Line 1924"/>
                              <wps:cNvCnPr>
                                <a:cxnSpLocks noChangeShapeType="1"/>
                              </wps:cNvCnPr>
                              <wps:spPr bwMode="auto">
                                <a:xfrm>
                                  <a:off x="0" y="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160" name="Line 1923"/>
                              <wps:cNvCnPr>
                                <a:cxnSpLocks noChangeShapeType="1"/>
                              </wps:cNvCnPr>
                              <wps:spPr bwMode="auto">
                                <a:xfrm>
                                  <a:off x="0" y="2"/>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161" name="Line 1922"/>
                              <wps:cNvCnPr>
                                <a:cxnSpLocks noChangeShapeType="1"/>
                              </wps:cNvCnPr>
                              <wps:spPr bwMode="auto">
                                <a:xfrm>
                                  <a:off x="0" y="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162" name="Line 1921"/>
                              <wps:cNvCnPr>
                                <a:cxnSpLocks noChangeShapeType="1"/>
                              </wps:cNvCnPr>
                              <wps:spPr bwMode="auto">
                                <a:xfrm>
                                  <a:off x="0" y="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163" name="Line 1920"/>
                              <wps:cNvCnPr>
                                <a:cxnSpLocks noChangeShapeType="1"/>
                              </wps:cNvCnPr>
                              <wps:spPr bwMode="auto">
                                <a:xfrm>
                                  <a:off x="0" y="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164" name="Line 1919"/>
                              <wps:cNvCnPr>
                                <a:cxnSpLocks noChangeShapeType="1"/>
                              </wps:cNvCnPr>
                              <wps:spPr bwMode="auto">
                                <a:xfrm>
                                  <a:off x="0" y="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165" name="Line 1918"/>
                              <wps:cNvCnPr>
                                <a:cxnSpLocks noChangeShapeType="1"/>
                              </wps:cNvCnPr>
                              <wps:spPr bwMode="auto">
                                <a:xfrm>
                                  <a:off x="0" y="8"/>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166" name="Line 1917"/>
                              <wps:cNvCnPr>
                                <a:cxnSpLocks noChangeShapeType="1"/>
                              </wps:cNvCnPr>
                              <wps:spPr bwMode="auto">
                                <a:xfrm>
                                  <a:off x="0" y="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167" name="Line 1916"/>
                              <wps:cNvCnPr>
                                <a:cxnSpLocks noChangeShapeType="1"/>
                              </wps:cNvCnPr>
                              <wps:spPr bwMode="auto">
                                <a:xfrm>
                                  <a:off x="0" y="10"/>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168" name="Line 1915"/>
                              <wps:cNvCnPr>
                                <a:cxnSpLocks noChangeShapeType="1"/>
                              </wps:cNvCnPr>
                              <wps:spPr bwMode="auto">
                                <a:xfrm>
                                  <a:off x="0" y="1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169" name="Line 1914"/>
                              <wps:cNvCnPr>
                                <a:cxnSpLocks noChangeShapeType="1"/>
                              </wps:cNvCnPr>
                              <wps:spPr bwMode="auto">
                                <a:xfrm>
                                  <a:off x="0" y="1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170" name="Line 1913"/>
                              <wps:cNvCnPr>
                                <a:cxnSpLocks noChangeShapeType="1"/>
                              </wps:cNvCnPr>
                              <wps:spPr bwMode="auto">
                                <a:xfrm>
                                  <a:off x="0" y="1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171" name="Line 1912"/>
                              <wps:cNvCnPr>
                                <a:cxnSpLocks noChangeShapeType="1"/>
                              </wps:cNvCnPr>
                              <wps:spPr bwMode="auto">
                                <a:xfrm>
                                  <a:off x="0" y="1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172" name="Line 1911"/>
                              <wps:cNvCnPr>
                                <a:cxnSpLocks noChangeShapeType="1"/>
                              </wps:cNvCnPr>
                              <wps:spPr bwMode="auto">
                                <a:xfrm>
                                  <a:off x="0" y="16"/>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173" name="Line 1910"/>
                              <wps:cNvCnPr>
                                <a:cxnSpLocks noChangeShapeType="1"/>
                              </wps:cNvCnPr>
                              <wps:spPr bwMode="auto">
                                <a:xfrm>
                                  <a:off x="0" y="1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174" name="Line 1909"/>
                              <wps:cNvCnPr>
                                <a:cxnSpLocks noChangeShapeType="1"/>
                              </wps:cNvCnPr>
                              <wps:spPr bwMode="auto">
                                <a:xfrm>
                                  <a:off x="0" y="1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175" name="Line 1908"/>
                              <wps:cNvCnPr>
                                <a:cxnSpLocks noChangeShapeType="1"/>
                              </wps:cNvCnPr>
                              <wps:spPr bwMode="auto">
                                <a:xfrm>
                                  <a:off x="1297" y="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176" name="Line 1907"/>
                              <wps:cNvCnPr>
                                <a:cxnSpLocks noChangeShapeType="1"/>
                              </wps:cNvCnPr>
                              <wps:spPr bwMode="auto">
                                <a:xfrm>
                                  <a:off x="1297" y="2"/>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177" name="Line 1906"/>
                              <wps:cNvCnPr>
                                <a:cxnSpLocks noChangeShapeType="1"/>
                              </wps:cNvCnPr>
                              <wps:spPr bwMode="auto">
                                <a:xfrm>
                                  <a:off x="1297" y="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178" name="Line 1905"/>
                              <wps:cNvCnPr>
                                <a:cxnSpLocks noChangeShapeType="1"/>
                              </wps:cNvCnPr>
                              <wps:spPr bwMode="auto">
                                <a:xfrm>
                                  <a:off x="1297" y="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179" name="Line 1904"/>
                              <wps:cNvCnPr>
                                <a:cxnSpLocks noChangeShapeType="1"/>
                              </wps:cNvCnPr>
                              <wps:spPr bwMode="auto">
                                <a:xfrm>
                                  <a:off x="1297" y="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180" name="Line 1903"/>
                              <wps:cNvCnPr>
                                <a:cxnSpLocks noChangeShapeType="1"/>
                              </wps:cNvCnPr>
                              <wps:spPr bwMode="auto">
                                <a:xfrm>
                                  <a:off x="1297" y="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181" name="Line 1902"/>
                              <wps:cNvCnPr>
                                <a:cxnSpLocks noChangeShapeType="1"/>
                              </wps:cNvCnPr>
                              <wps:spPr bwMode="auto">
                                <a:xfrm>
                                  <a:off x="1297" y="8"/>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182" name="Line 1901"/>
                              <wps:cNvCnPr>
                                <a:cxnSpLocks noChangeShapeType="1"/>
                              </wps:cNvCnPr>
                              <wps:spPr bwMode="auto">
                                <a:xfrm>
                                  <a:off x="1297" y="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183" name="Line 1900"/>
                              <wps:cNvCnPr>
                                <a:cxnSpLocks noChangeShapeType="1"/>
                              </wps:cNvCnPr>
                              <wps:spPr bwMode="auto">
                                <a:xfrm>
                                  <a:off x="1297" y="10"/>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184" name="Line 1899"/>
                              <wps:cNvCnPr>
                                <a:cxnSpLocks noChangeShapeType="1"/>
                              </wps:cNvCnPr>
                              <wps:spPr bwMode="auto">
                                <a:xfrm>
                                  <a:off x="1297" y="1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185" name="Line 1898"/>
                              <wps:cNvCnPr>
                                <a:cxnSpLocks noChangeShapeType="1"/>
                              </wps:cNvCnPr>
                              <wps:spPr bwMode="auto">
                                <a:xfrm>
                                  <a:off x="1297" y="1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186" name="Line 1897"/>
                              <wps:cNvCnPr>
                                <a:cxnSpLocks noChangeShapeType="1"/>
                              </wps:cNvCnPr>
                              <wps:spPr bwMode="auto">
                                <a:xfrm>
                                  <a:off x="1297" y="1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187" name="Line 1896"/>
                              <wps:cNvCnPr>
                                <a:cxnSpLocks noChangeShapeType="1"/>
                              </wps:cNvCnPr>
                              <wps:spPr bwMode="auto">
                                <a:xfrm>
                                  <a:off x="1297" y="1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188" name="Line 1895"/>
                              <wps:cNvCnPr>
                                <a:cxnSpLocks noChangeShapeType="1"/>
                              </wps:cNvCnPr>
                              <wps:spPr bwMode="auto">
                                <a:xfrm>
                                  <a:off x="1297" y="16"/>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189" name="Line 1894"/>
                              <wps:cNvCnPr>
                                <a:cxnSpLocks noChangeShapeType="1"/>
                              </wps:cNvCnPr>
                              <wps:spPr bwMode="auto">
                                <a:xfrm>
                                  <a:off x="1297" y="1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190" name="Line 1893"/>
                              <wps:cNvCnPr>
                                <a:cxnSpLocks noChangeShapeType="1"/>
                              </wps:cNvCnPr>
                              <wps:spPr bwMode="auto">
                                <a:xfrm>
                                  <a:off x="1297" y="1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B425E4E" id="Group 1892" o:spid="_x0000_s1026" style="width:129.75pt;height:1pt;mso-position-horizontal-relative:char;mso-position-vertical-relative:line" coordsize="259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">
                      <v:line id="Line 1956" o:spid="_x0000_s1027" style="position:absolute;visibility:visible;mso-wrap-style:square" from="0,1" to="12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" strokeweight=".06pt"/>
                      <v:line id="Line 1955" o:spid="_x0000_s1028" style="position:absolute;visibility:visible;mso-wrap-style:square" from="0,2" to="12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" strokeweight=".06pt"/>
                      <v:line id="Line 1954" o:spid="_x0000_s1029" style="position:absolute;visibility:visible;mso-wrap-style:square" from="0,3" to="12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" strokeweight=".06pt"/>
                      <v:line id="Line 1953" o:spid="_x0000_s1030" style="position:absolute;visibility:visible;mso-wrap-style:square" from="0,4" to="12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" strokeweight=".06pt"/>
                      <v:line id="Line 1952" o:spid="_x0000_s1031" style="position:absolute;visibility:visible;mso-wrap-style:square" from="0,5" to="12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" strokeweight=".06pt"/>
                      <v:line id="Line 1951" o:spid="_x0000_s1032" style="position:absolute;visibility:visible;mso-wrap-style:square" from="0,7" to="12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" strokeweight=".06pt"/>
                      <v:line id="Line 1950" o:spid="_x0000_s1033" style="position:absolute;visibility:visible;mso-wrap-style:square" from="0,8" to="12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" strokeweight=".06pt"/>
                      <v:line id="Line 1949" o:spid="_x0000_s1034" style="position:absolute;visibility:visible;mso-wrap-style:square" from="0,9" to="12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" strokeweight=".06pt"/>
                      <v:line id="Line 1948" o:spid="_x0000_s1035" style="position:absolute;visibility:visible;mso-wrap-style:square" from="0,10" to="129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" strokeweight=".06pt"/>
                      <v:line id="Line 1947" o:spid="_x0000_s1036" style="position:absolute;visibility:visible;mso-wrap-style:square" from="0,11" to="129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" strokeweight=".06pt"/>
                      <v:line id="Line 1946" o:spid="_x0000_s1037" style="position:absolute;visibility:visible;mso-wrap-style:square" from="0,13" to="129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" strokeweight=".06pt"/>
                      <v:line id="Line 1945" o:spid="_x0000_s1038" style="position:absolute;visibility:visible;mso-wrap-style:square" from="0,14" to="129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" strokeweight=".06pt"/>
                      <v:line id="Line 1944" o:spid="_x0000_s1039" style="position:absolute;visibility:visible;mso-wrap-style:square" from="0,15" to="129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" strokeweight=".06pt"/>
                      <v:line id="Line 1943" o:spid="_x0000_s1040" style="position:absolute;visibility:visible;mso-wrap-style:square" from="0,16" to="129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" strokeweight=".06pt"/>
                      <v:line id="Line 1942" o:spid="_x0000_s1041" style="position:absolute;visibility:visible;mso-wrap-style:square" from="0,17" to="129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" strokeweight=".06pt"/>
                      <v:line id="Line 1941" o:spid="_x0000_s1042" style="position:absolute;visibility:visible;mso-wrap-style:square" from="0,19" to="129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" strokeweight=".06pt"/>
                      <v:line id="Line 1940" o:spid="_x0000_s1043" style="position:absolute;visibility:visible;mso-wrap-style:square" from="1297,1" to="25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" strokeweight=".06pt"/>
                      <v:line id="Line 1939" o:spid="_x0000_s1044" style="position:absolute;visibility:visible;mso-wrap-style:square" from="1297,2" to="25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" strokeweight=".06pt"/>
                      <v:line id="Line 1938" o:spid="_x0000_s1045" style="position:absolute;visibility:visible;mso-wrap-style:square" from="1297,3" to="25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" strokeweight=".06pt"/>
                      <v:line id="Line 1937" o:spid="_x0000_s1046" style="position:absolute;visibility:visible;mso-wrap-style:square" from="1297,4" to="2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" strokeweight=".06pt"/>
                      <v:line id="Line 1936" o:spid="_x0000_s1047" style="position:absolute;visibility:visible;mso-wrap-style:square" from="1297,5" to="25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" strokeweight=".06pt"/>
                      <v:line id="Line 1935" o:spid="_x0000_s1048" style="position:absolute;visibility:visible;mso-wrap-style:square" from="1297,7" to="25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" strokeweight=".06pt"/>
                      <v:line id="Line 1934" o:spid="_x0000_s1049" style="position:absolute;visibility:visible;mso-wrap-style:square" from="1297,8" to="25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" strokeweight=".06pt"/>
                      <v:line id="Line 1933" o:spid="_x0000_s1050" style="position:absolute;visibility:visible;mso-wrap-style:square" from="1297,9" to="25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" strokeweight=".06pt"/>
                      <v:line id="Line 1932" o:spid="_x0000_s1051" style="position:absolute;visibility:visible;mso-wrap-style:square" from="1297,10" to="259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" strokeweight=".06pt"/>
                      <v:line id="Line 1931" o:spid="_x0000_s1052" style="position:absolute;visibility:visible;mso-wrap-style:square" from="1297,11" to="259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" strokeweight=".06pt"/>
                      <v:line id="Line 1930" o:spid="_x0000_s1053" style="position:absolute;visibility:visible;mso-wrap-style:square" from="1297,13" to="259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" strokeweight=".06pt"/>
                      <v:line id="Line 1929" o:spid="_x0000_s1054" style="position:absolute;visibility:visible;mso-wrap-style:square" from="1297,14" to="259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" strokeweight=".06pt"/>
                      <v:line id="Line 1928" o:spid="_x0000_s1055" style="position:absolute;visibility:visible;mso-wrap-style:square" from="1297,15" to="259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" strokeweight=".06pt"/>
                      <v:line id="Line 1927" o:spid="_x0000_s1056" style="position:absolute;visibility:visible;mso-wrap-style:square" from="1297,16" to="259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" strokeweight=".06pt"/>
                      <v:line id="Line 1926" o:spid="_x0000_s1057" style="position:absolute;visibility:visible;mso-wrap-style:square" from="1297,17" to="259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" strokeweight=".06pt"/>
                      <v:line id="Line 1925" o:spid="_x0000_s1058" style="position:absolute;visibility:visible;mso-wrap-style:square" from="1297,19" to="259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" strokeweight=".06pt"/>
                      <v:line id="Line 1924" o:spid="_x0000_s1059" style="position:absolute;visibility:visible;mso-wrap-style:square" from="0,1" to="12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" strokeweight=".06pt"/>
                      <v:line id="Line 1923" o:spid="_x0000_s1060" style="position:absolute;visibility:visible;mso-wrap-style:square" from="0,2" to="12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" strokeweight=".06pt"/>
                      <v:line id="Line 1922" o:spid="_x0000_s1061" style="position:absolute;visibility:visible;mso-wrap-style:square" from="0,3" to="12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" strokeweight=".06pt"/>
                      <v:line id="Line 1921" o:spid="_x0000_s1062" style="position:absolute;visibility:visible;mso-wrap-style:square" from="0,4" to="12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" strokeweight=".06pt"/>
                      <v:line id="Line 1920" o:spid="_x0000_s1063" style="position:absolute;visibility:visible;mso-wrap-style:square" from="0,5" to="12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" strokeweight=".06pt"/>
                      <v:line id="Line 1919" o:spid="_x0000_s1064" style="position:absolute;visibility:visible;mso-wrap-style:square" from="0,7" to="12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" strokeweight=".06pt"/>
                      <v:line id="Line 1918" o:spid="_x0000_s1065" style="position:absolute;visibility:visible;mso-wrap-style:square" from="0,8" to="12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" strokeweight=".06pt"/>
                      <v:line id="Line 1917" o:spid="_x0000_s1066" style="position:absolute;visibility:visible;mso-wrap-style:square" from="0,9" to="12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" strokeweight=".06pt"/>
                      <v:line id="Line 1916" o:spid="_x0000_s1067" style="position:absolute;visibility:visible;mso-wrap-style:square" from="0,10" to="129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" strokeweight=".06pt"/>
                      <v:line id="Line 1915" o:spid="_x0000_s1068" style="position:absolute;visibility:visible;mso-wrap-style:square" from="0,11" to="129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" strokeweight=".06pt"/>
                      <v:line id="Line 1914" o:spid="_x0000_s1069" style="position:absolute;visibility:visible;mso-wrap-style:square" from="0,13" to="129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" strokeweight=".06pt"/>
                      <v:line id="Line 1913" o:spid="_x0000_s1070" style="position:absolute;visibility:visible;mso-wrap-style:square" from="0,14" to="129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" strokeweight=".06pt"/>
                      <v:line id="Line 1912" o:spid="_x0000_s1071" style="position:absolute;visibility:visible;mso-wrap-style:square" from="0,15" to="129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" strokeweight=".06pt"/>
                      <v:line id="Line 1911" o:spid="_x0000_s1072" style="position:absolute;visibility:visible;mso-wrap-style:square" from="0,16" to="129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" strokeweight=".06pt"/>
                      <v:line id="Line 1910" o:spid="_x0000_s1073" style="position:absolute;visibility:visible;mso-wrap-style:square" from="0,17" to="129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" strokeweight=".06pt"/>
                      <v:line id="Line 1909" o:spid="_x0000_s1074" style="position:absolute;visibility:visible;mso-wrap-style:square" from="0,19" to="129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" strokeweight=".06pt"/>
                      <v:line id="Line 1908" o:spid="_x0000_s1075" style="position:absolute;visibility:visible;mso-wrap-style:square" from="1297,1" to="25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" strokeweight=".06pt"/>
                      <v:line id="Line 1907" o:spid="_x0000_s1076" style="position:absolute;visibility:visible;mso-wrap-style:square" from="1297,2" to="25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" strokeweight=".06pt"/>
                      <v:line id="Line 1906" o:spid="_x0000_s1077" style="position:absolute;visibility:visible;mso-wrap-style:square" from="1297,3" to="25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" strokeweight=".06pt"/>
                      <v:line id="Line 1905" o:spid="_x0000_s1078" style="position:absolute;visibility:visible;mso-wrap-style:square" from="1297,4" to="2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" strokeweight=".06pt"/>
                      <v:line id="Line 1904" o:spid="_x0000_s1079" style="position:absolute;visibility:visible;mso-wrap-style:square" from="1297,5" to="25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" strokeweight=".06pt"/>
                      <v:line id="Line 1903" o:spid="_x0000_s1080" style="position:absolute;visibility:visible;mso-wrap-style:square" from="1297,7" to="25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" strokeweight=".06pt"/>
                      <v:line id="Line 1902" o:spid="_x0000_s1081" style="position:absolute;visibility:visible;mso-wrap-style:square" from="1297,8" to="25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" strokeweight=".06pt"/>
                      <v:line id="Line 1901" o:spid="_x0000_s1082" style="position:absolute;visibility:visible;mso-wrap-style:square" from="1297,9" to="25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" strokeweight=".06pt"/>
                      <v:line id="Line 1900" o:spid="_x0000_s1083" style="position:absolute;visibility:visible;mso-wrap-style:square" from="1297,10" to="259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" strokeweight=".06pt"/>
                      <v:line id="Line 1899" o:spid="_x0000_s1084" style="position:absolute;visibility:visible;mso-wrap-style:square" from="1297,11" to="259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" strokeweight=".06pt"/>
                      <v:line id="Line 1898" o:spid="_x0000_s1085" style="position:absolute;visibility:visible;mso-wrap-style:square" from="1297,13" to="259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" strokeweight=".06pt"/>
                      <v:line id="Line 1897" o:spid="_x0000_s1086" style="position:absolute;visibility:visible;mso-wrap-style:square" from="1297,14" to="259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" strokeweight=".06pt"/>
                      <v:line id="Line 1896" o:spid="_x0000_s1087" style="position:absolute;visibility:visible;mso-wrap-style:square" from="1297,15" to="259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" strokeweight=".06pt"/>
                      <v:line id="Line 1895" o:spid="_x0000_s1088" style="position:absolute;visibility:visible;mso-wrap-style:square" from="1297,16" to="259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" strokeweight=".06pt"/>
                      <v:line id="Line 1894" o:spid="_x0000_s1089" style="position:absolute;visibility:visible;mso-wrap-style:square" from="1297,17" to="259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" strokeweight=".06pt"/>
                      <v:line id="Line 1893" o:spid="_x0000_s1090" style="position:absolute;visibility:visible;mso-wrap-style:square" from="1297,19" to="259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" strokeweight=".06pt"/>
                      <w10:anchorlock/>
                    </v:group>
                  </w:pict>
                </mc:Fallback>
              </mc:AlternateContent>
            </w:r>
          </w:p>
          <w:p w14:paraId="5CC5F401" w14:textId="77777777" w:rsidR="00FA4AA8" w:rsidRDefault="0015611F">
            <w:pPr>
              <w:pStyle w:val="TableParagraph"/>
              <w:tabs>
                <w:tab w:val="left" w:pos="7372"/>
                <w:tab w:val="left" w:pos="7683"/>
                <w:tab w:val="left" w:pos="8980"/>
              </w:tabs>
              <w:spacing w:before="93" w:line="187" w:lineRule="exact"/>
              <w:ind w:left="77"/>
              <w:rPr>
                <w:sz w:val="18"/>
              </w:rPr>
            </w:pPr>
            <w:r>
              <w:rPr>
                <w:b/>
                <w:sz w:val="18"/>
              </w:rPr>
              <w:t>Total</w:t>
            </w:r>
            <w:r>
              <w:rPr>
                <w:b/>
                <w:spacing w:val="-2"/>
                <w:sz w:val="18"/>
              </w:rPr>
              <w:t xml:space="preserve"> </w:t>
            </w:r>
            <w:r>
              <w:rPr>
                <w:b/>
                <w:sz w:val="18"/>
              </w:rPr>
              <w:t>revenue</w:t>
            </w:r>
            <w:r>
              <w:rPr>
                <w:b/>
                <w:sz w:val="18"/>
              </w:rPr>
              <w:tab/>
            </w:r>
            <w:r>
              <w:rPr>
                <w:b/>
                <w:sz w:val="18"/>
                <w:u w:val="single"/>
              </w:rPr>
              <w:t xml:space="preserve"> </w:t>
            </w:r>
            <w:r>
              <w:rPr>
                <w:b/>
                <w:sz w:val="18"/>
                <w:u w:val="single"/>
              </w:rPr>
              <w:tab/>
              <w:t>60,922,949</w:t>
            </w:r>
            <w:r>
              <w:rPr>
                <w:b/>
                <w:sz w:val="18"/>
                <w:u w:val="single"/>
              </w:rPr>
              <w:tab/>
            </w:r>
            <w:r>
              <w:rPr>
                <w:sz w:val="18"/>
                <w:u w:val="single"/>
              </w:rPr>
              <w:t>59,605,859</w:t>
            </w:r>
          </w:p>
        </w:tc>
      </w:tr>
      <w:tr w:rsidR="00FA4AA8" w14:paraId="325870D6" w14:textId="77777777">
        <w:trPr>
          <w:trHeight w:val="467"/>
        </w:trPr>
        <w:tc>
          <w:tcPr>
            <w:tcW w:w="5834" w:type="dxa"/>
          </w:tcPr>
          <w:p w14:paraId="67A8962E" w14:textId="77777777" w:rsidR="00FA4AA8" w:rsidRDefault="00FA4AA8">
            <w:pPr>
              <w:pStyle w:val="TableParagraph"/>
              <w:spacing w:before="2"/>
              <w:rPr>
                <w:sz w:val="21"/>
              </w:rPr>
            </w:pPr>
          </w:p>
          <w:p w14:paraId="49963F66" w14:textId="77777777" w:rsidR="00FA4AA8" w:rsidRDefault="0015611F">
            <w:pPr>
              <w:pStyle w:val="TableParagraph"/>
              <w:spacing w:line="203" w:lineRule="exact"/>
              <w:ind w:left="77"/>
              <w:rPr>
                <w:b/>
                <w:sz w:val="18"/>
              </w:rPr>
            </w:pPr>
            <w:r>
              <w:rPr>
                <w:b/>
                <w:sz w:val="18"/>
              </w:rPr>
              <w:t>Expenses</w:t>
            </w:r>
          </w:p>
        </w:tc>
        <w:tc>
          <w:tcPr>
            <w:tcW w:w="1538" w:type="dxa"/>
          </w:tcPr>
          <w:p w14:paraId="240AF9FB" w14:textId="77777777" w:rsidR="00FA4AA8" w:rsidRDefault="00FA4AA8">
            <w:pPr>
              <w:pStyle w:val="TableParagraph"/>
              <w:rPr>
                <w:rFonts w:ascii="Times New Roman"/>
                <w:sz w:val="18"/>
              </w:rPr>
            </w:pPr>
          </w:p>
        </w:tc>
        <w:tc>
          <w:tcPr>
            <w:tcW w:w="1408" w:type="dxa"/>
          </w:tcPr>
          <w:p w14:paraId="5424E86D" w14:textId="77777777" w:rsidR="00FA4AA8" w:rsidRDefault="00FA4AA8">
            <w:pPr>
              <w:pStyle w:val="TableParagraph"/>
              <w:rPr>
                <w:rFonts w:ascii="Times New Roman"/>
                <w:sz w:val="18"/>
              </w:rPr>
            </w:pPr>
          </w:p>
        </w:tc>
        <w:tc>
          <w:tcPr>
            <w:tcW w:w="1222" w:type="dxa"/>
          </w:tcPr>
          <w:p w14:paraId="26F57A10" w14:textId="77777777" w:rsidR="00FA4AA8" w:rsidRDefault="00FA4AA8">
            <w:pPr>
              <w:pStyle w:val="TableParagraph"/>
              <w:rPr>
                <w:rFonts w:ascii="Times New Roman"/>
                <w:sz w:val="18"/>
              </w:rPr>
            </w:pPr>
          </w:p>
        </w:tc>
      </w:tr>
      <w:tr w:rsidR="00FA4AA8" w14:paraId="0BDD0E98" w14:textId="77777777">
        <w:trPr>
          <w:trHeight w:val="249"/>
        </w:trPr>
        <w:tc>
          <w:tcPr>
            <w:tcW w:w="5834" w:type="dxa"/>
          </w:tcPr>
          <w:p w14:paraId="05ED7DFD" w14:textId="77777777" w:rsidR="00FA4AA8" w:rsidRDefault="0015611F">
            <w:pPr>
              <w:pStyle w:val="TableParagraph"/>
              <w:spacing w:before="10"/>
              <w:ind w:left="77"/>
              <w:rPr>
                <w:sz w:val="18"/>
              </w:rPr>
            </w:pPr>
            <w:r>
              <w:rPr>
                <w:sz w:val="18"/>
              </w:rPr>
              <w:t>Employee related expenses</w:t>
            </w:r>
          </w:p>
        </w:tc>
        <w:tc>
          <w:tcPr>
            <w:tcW w:w="1538" w:type="dxa"/>
          </w:tcPr>
          <w:p w14:paraId="030707E3" w14:textId="77777777" w:rsidR="00FA4AA8" w:rsidRDefault="0015611F">
            <w:pPr>
              <w:pStyle w:val="TableParagraph"/>
              <w:spacing w:before="11"/>
              <w:ind w:right="349"/>
              <w:jc w:val="right"/>
              <w:rPr>
                <w:sz w:val="18"/>
              </w:rPr>
            </w:pPr>
            <w:r>
              <w:rPr>
                <w:sz w:val="18"/>
              </w:rPr>
              <w:t>4</w:t>
            </w:r>
          </w:p>
        </w:tc>
        <w:tc>
          <w:tcPr>
            <w:tcW w:w="1408" w:type="dxa"/>
          </w:tcPr>
          <w:p w14:paraId="3FC6530D" w14:textId="77777777" w:rsidR="00FA4AA8" w:rsidRDefault="0015611F">
            <w:pPr>
              <w:pStyle w:val="TableParagraph"/>
              <w:spacing w:before="11"/>
              <w:ind w:right="137"/>
              <w:jc w:val="right"/>
              <w:rPr>
                <w:b/>
                <w:sz w:val="18"/>
              </w:rPr>
            </w:pPr>
            <w:r>
              <w:rPr>
                <w:b/>
                <w:sz w:val="18"/>
              </w:rPr>
              <w:t>(29,559,706)</w:t>
            </w:r>
          </w:p>
        </w:tc>
        <w:tc>
          <w:tcPr>
            <w:tcW w:w="1222" w:type="dxa"/>
          </w:tcPr>
          <w:p w14:paraId="366CED6C" w14:textId="77777777" w:rsidR="00FA4AA8" w:rsidRDefault="0015611F">
            <w:pPr>
              <w:pStyle w:val="TableParagraph"/>
              <w:spacing w:before="11"/>
              <w:ind w:right="62"/>
              <w:jc w:val="right"/>
              <w:rPr>
                <w:sz w:val="18"/>
              </w:rPr>
            </w:pPr>
            <w:r>
              <w:rPr>
                <w:sz w:val="18"/>
              </w:rPr>
              <w:t>(29,426,549)</w:t>
            </w:r>
          </w:p>
        </w:tc>
      </w:tr>
      <w:tr w:rsidR="00FA4AA8" w14:paraId="322880FF" w14:textId="77777777">
        <w:trPr>
          <w:trHeight w:val="263"/>
        </w:trPr>
        <w:tc>
          <w:tcPr>
            <w:tcW w:w="5834" w:type="dxa"/>
          </w:tcPr>
          <w:p w14:paraId="3A85A633" w14:textId="77777777" w:rsidR="00FA4AA8" w:rsidRDefault="0015611F">
            <w:pPr>
              <w:pStyle w:val="TableParagraph"/>
              <w:spacing w:before="25"/>
              <w:ind w:left="77"/>
              <w:rPr>
                <w:sz w:val="18"/>
              </w:rPr>
            </w:pPr>
            <w:r>
              <w:rPr>
                <w:sz w:val="18"/>
              </w:rPr>
              <w:t>Royalty to parent</w:t>
            </w:r>
          </w:p>
        </w:tc>
        <w:tc>
          <w:tcPr>
            <w:tcW w:w="1538" w:type="dxa"/>
          </w:tcPr>
          <w:p w14:paraId="3445C938" w14:textId="77777777" w:rsidR="00FA4AA8" w:rsidRDefault="0015611F">
            <w:pPr>
              <w:pStyle w:val="TableParagraph"/>
              <w:spacing w:before="26"/>
              <w:ind w:right="191"/>
              <w:jc w:val="right"/>
              <w:rPr>
                <w:sz w:val="18"/>
              </w:rPr>
            </w:pPr>
            <w:r>
              <w:rPr>
                <w:sz w:val="18"/>
              </w:rPr>
              <w:t>15(b)</w:t>
            </w:r>
          </w:p>
        </w:tc>
        <w:tc>
          <w:tcPr>
            <w:tcW w:w="1408" w:type="dxa"/>
          </w:tcPr>
          <w:p w14:paraId="74454940" w14:textId="77777777" w:rsidR="00FA4AA8" w:rsidRDefault="0015611F">
            <w:pPr>
              <w:pStyle w:val="TableParagraph"/>
              <w:spacing w:before="26"/>
              <w:ind w:right="137"/>
              <w:jc w:val="right"/>
              <w:rPr>
                <w:b/>
                <w:sz w:val="18"/>
              </w:rPr>
            </w:pPr>
            <w:r>
              <w:rPr>
                <w:b/>
                <w:sz w:val="18"/>
              </w:rPr>
              <w:t>(23,755,693)</w:t>
            </w:r>
          </w:p>
        </w:tc>
        <w:tc>
          <w:tcPr>
            <w:tcW w:w="1222" w:type="dxa"/>
          </w:tcPr>
          <w:p w14:paraId="21180946" w14:textId="77777777" w:rsidR="00FA4AA8" w:rsidRDefault="0015611F">
            <w:pPr>
              <w:pStyle w:val="TableParagraph"/>
              <w:spacing w:before="26"/>
              <w:ind w:right="62"/>
              <w:jc w:val="right"/>
              <w:rPr>
                <w:sz w:val="18"/>
              </w:rPr>
            </w:pPr>
            <w:r>
              <w:rPr>
                <w:sz w:val="18"/>
              </w:rPr>
              <w:t>(22,919,450)</w:t>
            </w:r>
          </w:p>
        </w:tc>
      </w:tr>
      <w:tr w:rsidR="00FA4AA8" w14:paraId="6A362AF0" w14:textId="77777777">
        <w:trPr>
          <w:trHeight w:val="264"/>
        </w:trPr>
        <w:tc>
          <w:tcPr>
            <w:tcW w:w="5834" w:type="dxa"/>
          </w:tcPr>
          <w:p w14:paraId="56E983D0" w14:textId="77777777" w:rsidR="00FA4AA8" w:rsidRDefault="0015611F">
            <w:pPr>
              <w:pStyle w:val="TableParagraph"/>
              <w:spacing w:before="25"/>
              <w:ind w:left="77"/>
              <w:rPr>
                <w:sz w:val="18"/>
              </w:rPr>
            </w:pPr>
            <w:r>
              <w:rPr>
                <w:sz w:val="18"/>
              </w:rPr>
              <w:t>Fees for service</w:t>
            </w:r>
          </w:p>
        </w:tc>
        <w:tc>
          <w:tcPr>
            <w:tcW w:w="1538" w:type="dxa"/>
          </w:tcPr>
          <w:p w14:paraId="57729FD9" w14:textId="77777777" w:rsidR="00FA4AA8" w:rsidRDefault="0015611F">
            <w:pPr>
              <w:pStyle w:val="TableParagraph"/>
              <w:spacing w:before="26"/>
              <w:ind w:right="349"/>
              <w:jc w:val="right"/>
              <w:rPr>
                <w:sz w:val="18"/>
              </w:rPr>
            </w:pPr>
            <w:r>
              <w:rPr>
                <w:sz w:val="18"/>
              </w:rPr>
              <w:t>4</w:t>
            </w:r>
          </w:p>
        </w:tc>
        <w:tc>
          <w:tcPr>
            <w:tcW w:w="1408" w:type="dxa"/>
          </w:tcPr>
          <w:p w14:paraId="636B2724" w14:textId="77777777" w:rsidR="00FA4AA8" w:rsidRDefault="0015611F">
            <w:pPr>
              <w:pStyle w:val="TableParagraph"/>
              <w:spacing w:before="26"/>
              <w:ind w:right="137"/>
              <w:jc w:val="right"/>
              <w:rPr>
                <w:b/>
                <w:sz w:val="18"/>
              </w:rPr>
            </w:pPr>
            <w:r>
              <w:rPr>
                <w:b/>
                <w:sz w:val="18"/>
              </w:rPr>
              <w:t>(3,677,189)</w:t>
            </w:r>
          </w:p>
        </w:tc>
        <w:tc>
          <w:tcPr>
            <w:tcW w:w="1222" w:type="dxa"/>
          </w:tcPr>
          <w:p w14:paraId="20C96BB8" w14:textId="77777777" w:rsidR="00FA4AA8" w:rsidRDefault="0015611F">
            <w:pPr>
              <w:pStyle w:val="TableParagraph"/>
              <w:spacing w:before="26"/>
              <w:ind w:right="62"/>
              <w:jc w:val="right"/>
              <w:rPr>
                <w:sz w:val="18"/>
              </w:rPr>
            </w:pPr>
            <w:r>
              <w:rPr>
                <w:sz w:val="18"/>
              </w:rPr>
              <w:t>(3,297,498)</w:t>
            </w:r>
          </w:p>
        </w:tc>
      </w:tr>
      <w:tr w:rsidR="00FA4AA8" w14:paraId="5A9933C5" w14:textId="77777777">
        <w:trPr>
          <w:trHeight w:val="263"/>
        </w:trPr>
        <w:tc>
          <w:tcPr>
            <w:tcW w:w="5834" w:type="dxa"/>
          </w:tcPr>
          <w:p w14:paraId="3B1A22C3" w14:textId="77777777" w:rsidR="00FA4AA8" w:rsidRDefault="0015611F">
            <w:pPr>
              <w:pStyle w:val="TableParagraph"/>
              <w:spacing w:before="25"/>
              <w:ind w:left="77"/>
              <w:rPr>
                <w:sz w:val="18"/>
              </w:rPr>
            </w:pPr>
            <w:r>
              <w:rPr>
                <w:sz w:val="18"/>
              </w:rPr>
              <w:t>Depreciation and amortisation expense</w:t>
            </w:r>
          </w:p>
        </w:tc>
        <w:tc>
          <w:tcPr>
            <w:tcW w:w="1538" w:type="dxa"/>
          </w:tcPr>
          <w:p w14:paraId="74B46A0E" w14:textId="77777777" w:rsidR="00FA4AA8" w:rsidRDefault="0015611F">
            <w:pPr>
              <w:pStyle w:val="TableParagraph"/>
              <w:spacing w:before="26"/>
              <w:ind w:right="349"/>
              <w:jc w:val="right"/>
              <w:rPr>
                <w:sz w:val="18"/>
              </w:rPr>
            </w:pPr>
            <w:r>
              <w:rPr>
                <w:sz w:val="18"/>
              </w:rPr>
              <w:t>4</w:t>
            </w:r>
          </w:p>
        </w:tc>
        <w:tc>
          <w:tcPr>
            <w:tcW w:w="1408" w:type="dxa"/>
          </w:tcPr>
          <w:p w14:paraId="48558569" w14:textId="77777777" w:rsidR="00FA4AA8" w:rsidRDefault="0015611F">
            <w:pPr>
              <w:pStyle w:val="TableParagraph"/>
              <w:spacing w:before="26"/>
              <w:ind w:right="137"/>
              <w:jc w:val="right"/>
              <w:rPr>
                <w:b/>
                <w:sz w:val="18"/>
              </w:rPr>
            </w:pPr>
            <w:r>
              <w:rPr>
                <w:b/>
                <w:sz w:val="18"/>
              </w:rPr>
              <w:t>(1,137,332)</w:t>
            </w:r>
          </w:p>
        </w:tc>
        <w:tc>
          <w:tcPr>
            <w:tcW w:w="1222" w:type="dxa"/>
          </w:tcPr>
          <w:p w14:paraId="13EBDD65" w14:textId="77777777" w:rsidR="00FA4AA8" w:rsidRDefault="0015611F">
            <w:pPr>
              <w:pStyle w:val="TableParagraph"/>
              <w:spacing w:before="26"/>
              <w:ind w:right="62"/>
              <w:jc w:val="right"/>
              <w:rPr>
                <w:sz w:val="18"/>
              </w:rPr>
            </w:pPr>
            <w:r>
              <w:rPr>
                <w:sz w:val="18"/>
              </w:rPr>
              <w:t>(1,669,715)</w:t>
            </w:r>
          </w:p>
        </w:tc>
      </w:tr>
      <w:tr w:rsidR="00FA4AA8" w14:paraId="1015433D" w14:textId="77777777">
        <w:trPr>
          <w:trHeight w:val="263"/>
        </w:trPr>
        <w:tc>
          <w:tcPr>
            <w:tcW w:w="5834" w:type="dxa"/>
          </w:tcPr>
          <w:p w14:paraId="426402BA" w14:textId="77777777" w:rsidR="00FA4AA8" w:rsidRDefault="0015611F">
            <w:pPr>
              <w:pStyle w:val="TableParagraph"/>
              <w:spacing w:before="25"/>
              <w:ind w:left="77"/>
              <w:rPr>
                <w:sz w:val="18"/>
              </w:rPr>
            </w:pPr>
            <w:r>
              <w:rPr>
                <w:sz w:val="18"/>
              </w:rPr>
              <w:t>Impairment of asset</w:t>
            </w:r>
          </w:p>
        </w:tc>
        <w:tc>
          <w:tcPr>
            <w:tcW w:w="1538" w:type="dxa"/>
          </w:tcPr>
          <w:p w14:paraId="11C98492" w14:textId="77777777" w:rsidR="00FA4AA8" w:rsidRDefault="0015611F">
            <w:pPr>
              <w:pStyle w:val="TableParagraph"/>
              <w:spacing w:before="26"/>
              <w:ind w:right="349"/>
              <w:jc w:val="right"/>
              <w:rPr>
                <w:sz w:val="18"/>
              </w:rPr>
            </w:pPr>
            <w:r>
              <w:rPr>
                <w:sz w:val="18"/>
              </w:rPr>
              <w:t>4</w:t>
            </w:r>
          </w:p>
        </w:tc>
        <w:tc>
          <w:tcPr>
            <w:tcW w:w="1408" w:type="dxa"/>
          </w:tcPr>
          <w:p w14:paraId="7AEF9733" w14:textId="77777777" w:rsidR="00FA4AA8" w:rsidRDefault="0015611F">
            <w:pPr>
              <w:pStyle w:val="TableParagraph"/>
              <w:spacing w:before="26"/>
              <w:ind w:right="137"/>
              <w:jc w:val="right"/>
              <w:rPr>
                <w:b/>
                <w:sz w:val="18"/>
              </w:rPr>
            </w:pPr>
            <w:r>
              <w:rPr>
                <w:b/>
                <w:sz w:val="18"/>
              </w:rPr>
              <w:t>(106,234)</w:t>
            </w:r>
          </w:p>
        </w:tc>
        <w:tc>
          <w:tcPr>
            <w:tcW w:w="1222" w:type="dxa"/>
          </w:tcPr>
          <w:p w14:paraId="54886847" w14:textId="77777777" w:rsidR="00FA4AA8" w:rsidRDefault="0015611F">
            <w:pPr>
              <w:pStyle w:val="TableParagraph"/>
              <w:spacing w:before="26"/>
              <w:ind w:right="121"/>
              <w:jc w:val="right"/>
              <w:rPr>
                <w:sz w:val="18"/>
              </w:rPr>
            </w:pPr>
            <w:r>
              <w:rPr>
                <w:sz w:val="18"/>
              </w:rPr>
              <w:t>6,910</w:t>
            </w:r>
          </w:p>
        </w:tc>
      </w:tr>
      <w:tr w:rsidR="00FA4AA8" w14:paraId="498414D6" w14:textId="77777777">
        <w:trPr>
          <w:trHeight w:val="269"/>
        </w:trPr>
        <w:tc>
          <w:tcPr>
            <w:tcW w:w="5834" w:type="dxa"/>
          </w:tcPr>
          <w:p w14:paraId="1AC12DAA" w14:textId="77777777" w:rsidR="00FA4AA8" w:rsidRDefault="0015611F">
            <w:pPr>
              <w:pStyle w:val="TableParagraph"/>
              <w:spacing w:before="25"/>
              <w:ind w:left="77"/>
              <w:rPr>
                <w:sz w:val="18"/>
              </w:rPr>
            </w:pPr>
            <w:r>
              <w:rPr>
                <w:sz w:val="18"/>
              </w:rPr>
              <w:t>Other expenses</w:t>
            </w:r>
          </w:p>
        </w:tc>
        <w:tc>
          <w:tcPr>
            <w:tcW w:w="1538" w:type="dxa"/>
          </w:tcPr>
          <w:p w14:paraId="00019692" w14:textId="77777777" w:rsidR="00FA4AA8" w:rsidRDefault="0015611F">
            <w:pPr>
              <w:pStyle w:val="TableParagraph"/>
              <w:spacing w:before="26"/>
              <w:ind w:right="349"/>
              <w:jc w:val="right"/>
              <w:rPr>
                <w:sz w:val="18"/>
              </w:rPr>
            </w:pPr>
            <w:r>
              <w:rPr>
                <w:sz w:val="18"/>
              </w:rPr>
              <w:t>4</w:t>
            </w:r>
          </w:p>
        </w:tc>
        <w:tc>
          <w:tcPr>
            <w:tcW w:w="1408" w:type="dxa"/>
          </w:tcPr>
          <w:p w14:paraId="57FA2146" w14:textId="77777777" w:rsidR="00FA4AA8" w:rsidRDefault="0015611F">
            <w:pPr>
              <w:pStyle w:val="TableParagraph"/>
              <w:spacing w:before="26"/>
              <w:ind w:right="137"/>
              <w:jc w:val="right"/>
              <w:rPr>
                <w:b/>
                <w:sz w:val="18"/>
              </w:rPr>
            </w:pPr>
            <w:r>
              <w:rPr>
                <w:b/>
                <w:sz w:val="18"/>
              </w:rPr>
              <w:t>(2,686,795)</w:t>
            </w:r>
          </w:p>
        </w:tc>
        <w:tc>
          <w:tcPr>
            <w:tcW w:w="1222" w:type="dxa"/>
          </w:tcPr>
          <w:p w14:paraId="31DB6A26" w14:textId="77777777" w:rsidR="00FA4AA8" w:rsidRDefault="0015611F">
            <w:pPr>
              <w:pStyle w:val="TableParagraph"/>
              <w:spacing w:before="26"/>
              <w:ind w:right="62"/>
              <w:jc w:val="right"/>
              <w:rPr>
                <w:sz w:val="18"/>
              </w:rPr>
            </w:pPr>
            <w:r>
              <w:rPr>
                <w:sz w:val="18"/>
              </w:rPr>
              <w:t>(2,299,557)</w:t>
            </w:r>
          </w:p>
        </w:tc>
      </w:tr>
      <w:tr w:rsidR="00FA4AA8" w14:paraId="28077B5D" w14:textId="77777777">
        <w:trPr>
          <w:trHeight w:val="379"/>
        </w:trPr>
        <w:tc>
          <w:tcPr>
            <w:tcW w:w="7372" w:type="dxa"/>
            <w:gridSpan w:val="2"/>
          </w:tcPr>
          <w:p w14:paraId="6B203832" w14:textId="77777777" w:rsidR="00FA4AA8" w:rsidRDefault="0015611F">
            <w:pPr>
              <w:pStyle w:val="TableParagraph"/>
              <w:spacing w:before="113"/>
              <w:ind w:left="77"/>
              <w:rPr>
                <w:b/>
                <w:sz w:val="18"/>
              </w:rPr>
            </w:pPr>
            <w:r>
              <w:rPr>
                <w:b/>
                <w:sz w:val="18"/>
              </w:rPr>
              <w:t>Total Expenses</w:t>
            </w:r>
          </w:p>
        </w:tc>
        <w:tc>
          <w:tcPr>
            <w:tcW w:w="2630" w:type="dxa"/>
            <w:gridSpan w:val="2"/>
            <w:tcBorders>
              <w:top w:val="single" w:sz="8" w:space="0" w:color="000000"/>
            </w:tcBorders>
          </w:tcPr>
          <w:p w14:paraId="4E18C9EE" w14:textId="77777777" w:rsidR="00FA4AA8" w:rsidRDefault="0015611F">
            <w:pPr>
              <w:pStyle w:val="TableParagraph"/>
              <w:tabs>
                <w:tab w:val="left" w:pos="251"/>
                <w:tab w:val="left" w:pos="1548"/>
              </w:tabs>
              <w:spacing w:before="113"/>
              <w:rPr>
                <w:sz w:val="18"/>
              </w:rPr>
            </w:pPr>
            <w:r>
              <w:rPr>
                <w:rFonts w:ascii="Times New Roman"/>
                <w:sz w:val="18"/>
                <w:u w:val="single"/>
              </w:rPr>
              <w:t xml:space="preserve"> </w:t>
            </w:r>
            <w:r>
              <w:rPr>
                <w:rFonts w:ascii="Times New Roman"/>
                <w:sz w:val="18"/>
                <w:u w:val="single"/>
              </w:rPr>
              <w:tab/>
            </w:r>
            <w:r>
              <w:rPr>
                <w:b/>
                <w:sz w:val="18"/>
                <w:u w:val="single"/>
              </w:rPr>
              <w:t>(60,922,949)</w:t>
            </w:r>
            <w:r>
              <w:rPr>
                <w:b/>
                <w:sz w:val="18"/>
                <w:u w:val="single"/>
              </w:rPr>
              <w:tab/>
            </w:r>
            <w:r>
              <w:rPr>
                <w:sz w:val="18"/>
                <w:u w:val="single"/>
              </w:rPr>
              <w:t>(59,605,859)</w:t>
            </w:r>
          </w:p>
        </w:tc>
      </w:tr>
      <w:tr w:rsidR="00FA4AA8" w14:paraId="629BCC63" w14:textId="77777777">
        <w:trPr>
          <w:trHeight w:val="267"/>
        </w:trPr>
        <w:tc>
          <w:tcPr>
            <w:tcW w:w="7372" w:type="dxa"/>
            <w:gridSpan w:val="2"/>
          </w:tcPr>
          <w:p w14:paraId="421478B3" w14:textId="77777777" w:rsidR="00FA4AA8" w:rsidRDefault="0015611F">
            <w:pPr>
              <w:pStyle w:val="TableParagraph"/>
              <w:spacing w:before="62" w:line="185" w:lineRule="exact"/>
              <w:ind w:left="77"/>
              <w:rPr>
                <w:b/>
                <w:sz w:val="18"/>
              </w:rPr>
            </w:pPr>
            <w:r>
              <w:rPr>
                <w:b/>
                <w:sz w:val="18"/>
              </w:rPr>
              <w:t>Surplus / (deficit) for the year</w:t>
            </w:r>
          </w:p>
        </w:tc>
        <w:tc>
          <w:tcPr>
            <w:tcW w:w="2630" w:type="dxa"/>
            <w:gridSpan w:val="2"/>
            <w:tcBorders>
              <w:bottom w:val="single" w:sz="8" w:space="0" w:color="000000"/>
            </w:tcBorders>
          </w:tcPr>
          <w:p w14:paraId="266743AB" w14:textId="77777777" w:rsidR="00FA4AA8" w:rsidRDefault="0015611F">
            <w:pPr>
              <w:pStyle w:val="TableParagraph"/>
              <w:tabs>
                <w:tab w:val="left" w:pos="2445"/>
              </w:tabs>
              <w:spacing w:before="62" w:line="185" w:lineRule="exact"/>
              <w:ind w:left="1148"/>
              <w:rPr>
                <w:sz w:val="18"/>
              </w:rPr>
            </w:pPr>
            <w:r>
              <w:rPr>
                <w:b/>
                <w:sz w:val="18"/>
              </w:rPr>
              <w:t>-</w:t>
            </w:r>
            <w:r>
              <w:rPr>
                <w:b/>
                <w:sz w:val="18"/>
              </w:rPr>
              <w:tab/>
            </w:r>
            <w:r>
              <w:rPr>
                <w:sz w:val="18"/>
              </w:rPr>
              <w:t>-</w:t>
            </w:r>
          </w:p>
        </w:tc>
      </w:tr>
      <w:tr w:rsidR="00FA4AA8" w14:paraId="780B6408" w14:textId="77777777">
        <w:trPr>
          <w:trHeight w:val="263"/>
        </w:trPr>
        <w:tc>
          <w:tcPr>
            <w:tcW w:w="7372" w:type="dxa"/>
            <w:gridSpan w:val="2"/>
          </w:tcPr>
          <w:p w14:paraId="0DFCE6EE" w14:textId="77777777" w:rsidR="00FA4AA8" w:rsidRDefault="0015611F">
            <w:pPr>
              <w:pStyle w:val="TableParagraph"/>
              <w:spacing w:before="28"/>
              <w:ind w:left="77"/>
              <w:rPr>
                <w:sz w:val="18"/>
              </w:rPr>
            </w:pPr>
            <w:r>
              <w:rPr>
                <w:sz w:val="18"/>
              </w:rPr>
              <w:t>Other comprehensive income</w:t>
            </w:r>
          </w:p>
        </w:tc>
        <w:tc>
          <w:tcPr>
            <w:tcW w:w="2630" w:type="dxa"/>
            <w:gridSpan w:val="2"/>
            <w:tcBorders>
              <w:top w:val="single" w:sz="8" w:space="0" w:color="000000"/>
              <w:bottom w:val="single" w:sz="8" w:space="0" w:color="000000"/>
            </w:tcBorders>
          </w:tcPr>
          <w:p w14:paraId="3A3400B1" w14:textId="77777777" w:rsidR="00FA4AA8" w:rsidRDefault="0015611F">
            <w:pPr>
              <w:pStyle w:val="TableParagraph"/>
              <w:tabs>
                <w:tab w:val="left" w:pos="2445"/>
              </w:tabs>
              <w:spacing w:before="29"/>
              <w:ind w:left="1148"/>
              <w:rPr>
                <w:sz w:val="18"/>
              </w:rPr>
            </w:pPr>
            <w:r>
              <w:rPr>
                <w:b/>
                <w:sz w:val="18"/>
              </w:rPr>
              <w:t>-</w:t>
            </w:r>
            <w:r>
              <w:rPr>
                <w:b/>
                <w:sz w:val="18"/>
              </w:rPr>
              <w:tab/>
            </w:r>
            <w:r>
              <w:rPr>
                <w:sz w:val="18"/>
              </w:rPr>
              <w:t>-</w:t>
            </w:r>
          </w:p>
        </w:tc>
      </w:tr>
      <w:tr w:rsidR="00FA4AA8" w14:paraId="2AB44697" w14:textId="77777777">
        <w:trPr>
          <w:trHeight w:val="313"/>
        </w:trPr>
        <w:tc>
          <w:tcPr>
            <w:tcW w:w="7372" w:type="dxa"/>
            <w:gridSpan w:val="2"/>
          </w:tcPr>
          <w:p w14:paraId="68099006" w14:textId="77777777" w:rsidR="00FA4AA8" w:rsidRDefault="0015611F">
            <w:pPr>
              <w:pStyle w:val="TableParagraph"/>
              <w:spacing w:before="113" w:line="180" w:lineRule="exact"/>
              <w:ind w:left="77"/>
              <w:rPr>
                <w:b/>
                <w:sz w:val="18"/>
              </w:rPr>
            </w:pPr>
            <w:r>
              <w:rPr>
                <w:b/>
                <w:sz w:val="18"/>
              </w:rPr>
              <w:t>Total comprehensive income for the year</w:t>
            </w:r>
          </w:p>
        </w:tc>
        <w:tc>
          <w:tcPr>
            <w:tcW w:w="2630" w:type="dxa"/>
            <w:gridSpan w:val="2"/>
            <w:tcBorders>
              <w:top w:val="single" w:sz="8" w:space="0" w:color="000000"/>
              <w:bottom w:val="double" w:sz="3" w:space="0" w:color="000000"/>
            </w:tcBorders>
          </w:tcPr>
          <w:p w14:paraId="51E71F9A" w14:textId="77777777" w:rsidR="00FA4AA8" w:rsidRDefault="0015611F">
            <w:pPr>
              <w:pStyle w:val="TableParagraph"/>
              <w:tabs>
                <w:tab w:val="left" w:pos="2445"/>
              </w:tabs>
              <w:spacing w:before="113" w:line="180" w:lineRule="exact"/>
              <w:ind w:left="1148"/>
              <w:rPr>
                <w:sz w:val="18"/>
              </w:rPr>
            </w:pPr>
            <w:r>
              <w:rPr>
                <w:b/>
                <w:sz w:val="18"/>
              </w:rPr>
              <w:t>-</w:t>
            </w:r>
            <w:r>
              <w:rPr>
                <w:b/>
                <w:sz w:val="18"/>
              </w:rPr>
              <w:tab/>
            </w:r>
            <w:r>
              <w:rPr>
                <w:sz w:val="18"/>
              </w:rPr>
              <w:t>-</w:t>
            </w:r>
          </w:p>
        </w:tc>
      </w:tr>
      <w:tr w:rsidR="00FA4AA8" w14:paraId="53396288" w14:textId="77777777">
        <w:trPr>
          <w:trHeight w:val="331"/>
        </w:trPr>
        <w:tc>
          <w:tcPr>
            <w:tcW w:w="7372" w:type="dxa"/>
            <w:gridSpan w:val="2"/>
          </w:tcPr>
          <w:p w14:paraId="6104DB0E" w14:textId="77777777" w:rsidR="00FA4AA8" w:rsidRDefault="0015611F">
            <w:pPr>
              <w:pStyle w:val="TableParagraph"/>
              <w:spacing w:before="108" w:line="203" w:lineRule="exact"/>
              <w:ind w:left="77"/>
              <w:rPr>
                <w:b/>
                <w:sz w:val="18"/>
              </w:rPr>
            </w:pPr>
            <w:r>
              <w:rPr>
                <w:b/>
                <w:sz w:val="18"/>
              </w:rPr>
              <w:t>Comprehensive income for the year attributable to</w:t>
            </w:r>
          </w:p>
        </w:tc>
        <w:tc>
          <w:tcPr>
            <w:tcW w:w="2630" w:type="dxa"/>
            <w:gridSpan w:val="2"/>
            <w:tcBorders>
              <w:top w:val="double" w:sz="3" w:space="0" w:color="000000"/>
            </w:tcBorders>
          </w:tcPr>
          <w:p w14:paraId="12549DE0" w14:textId="77777777" w:rsidR="00FA4AA8" w:rsidRDefault="00FA4AA8">
            <w:pPr>
              <w:pStyle w:val="TableParagraph"/>
              <w:rPr>
                <w:rFonts w:ascii="Times New Roman"/>
                <w:sz w:val="18"/>
              </w:rPr>
            </w:pPr>
          </w:p>
        </w:tc>
      </w:tr>
      <w:tr w:rsidR="00FA4AA8" w14:paraId="2C1288D3" w14:textId="77777777">
        <w:trPr>
          <w:trHeight w:val="249"/>
        </w:trPr>
        <w:tc>
          <w:tcPr>
            <w:tcW w:w="7372" w:type="dxa"/>
            <w:gridSpan w:val="2"/>
          </w:tcPr>
          <w:p w14:paraId="5B85D22C" w14:textId="77777777" w:rsidR="00FA4AA8" w:rsidRDefault="0015611F">
            <w:pPr>
              <w:pStyle w:val="TableParagraph"/>
              <w:spacing w:before="10"/>
              <w:ind w:left="77"/>
              <w:rPr>
                <w:sz w:val="18"/>
              </w:rPr>
            </w:pPr>
            <w:r>
              <w:rPr>
                <w:sz w:val="18"/>
              </w:rPr>
              <w:t>Non - controlling interest</w:t>
            </w:r>
          </w:p>
        </w:tc>
        <w:tc>
          <w:tcPr>
            <w:tcW w:w="2630" w:type="dxa"/>
            <w:gridSpan w:val="2"/>
          </w:tcPr>
          <w:p w14:paraId="37DCC8DD" w14:textId="77777777" w:rsidR="00FA4AA8" w:rsidRDefault="0015611F">
            <w:pPr>
              <w:pStyle w:val="TableParagraph"/>
              <w:tabs>
                <w:tab w:val="left" w:pos="2445"/>
              </w:tabs>
              <w:spacing w:before="11"/>
              <w:ind w:left="1148"/>
              <w:rPr>
                <w:sz w:val="18"/>
              </w:rPr>
            </w:pPr>
            <w:r>
              <w:rPr>
                <w:b/>
                <w:sz w:val="18"/>
              </w:rPr>
              <w:t>-</w:t>
            </w:r>
            <w:r>
              <w:rPr>
                <w:b/>
                <w:sz w:val="18"/>
              </w:rPr>
              <w:tab/>
            </w:r>
            <w:r>
              <w:rPr>
                <w:sz w:val="18"/>
              </w:rPr>
              <w:t>-</w:t>
            </w:r>
          </w:p>
        </w:tc>
      </w:tr>
      <w:tr w:rsidR="00FA4AA8" w14:paraId="384DED2A" w14:textId="77777777">
        <w:trPr>
          <w:trHeight w:val="260"/>
        </w:trPr>
        <w:tc>
          <w:tcPr>
            <w:tcW w:w="7372" w:type="dxa"/>
            <w:gridSpan w:val="2"/>
          </w:tcPr>
          <w:p w14:paraId="5E17C584" w14:textId="77777777" w:rsidR="00FA4AA8" w:rsidRDefault="0015611F">
            <w:pPr>
              <w:pStyle w:val="TableParagraph"/>
              <w:spacing w:before="25"/>
              <w:ind w:left="77"/>
              <w:rPr>
                <w:sz w:val="18"/>
              </w:rPr>
            </w:pPr>
            <w:r>
              <w:rPr>
                <w:sz w:val="18"/>
              </w:rPr>
              <w:t>Western Sydney University (The Parent)</w:t>
            </w:r>
          </w:p>
        </w:tc>
        <w:tc>
          <w:tcPr>
            <w:tcW w:w="2630" w:type="dxa"/>
            <w:gridSpan w:val="2"/>
            <w:tcBorders>
              <w:bottom w:val="single" w:sz="8" w:space="0" w:color="000000"/>
            </w:tcBorders>
          </w:tcPr>
          <w:p w14:paraId="51014200" w14:textId="77777777" w:rsidR="00FA4AA8" w:rsidRDefault="0015611F">
            <w:pPr>
              <w:pStyle w:val="TableParagraph"/>
              <w:tabs>
                <w:tab w:val="left" w:pos="2445"/>
              </w:tabs>
              <w:spacing w:before="26"/>
              <w:ind w:left="1148"/>
              <w:rPr>
                <w:sz w:val="18"/>
              </w:rPr>
            </w:pPr>
            <w:r>
              <w:rPr>
                <w:b/>
                <w:sz w:val="18"/>
              </w:rPr>
              <w:t>-</w:t>
            </w:r>
            <w:r>
              <w:rPr>
                <w:b/>
                <w:sz w:val="18"/>
              </w:rPr>
              <w:tab/>
            </w:r>
            <w:r>
              <w:rPr>
                <w:sz w:val="18"/>
              </w:rPr>
              <w:t>-</w:t>
            </w:r>
          </w:p>
        </w:tc>
      </w:tr>
      <w:tr w:rsidR="00FA4AA8" w14:paraId="46293B56" w14:textId="77777777">
        <w:trPr>
          <w:trHeight w:val="313"/>
        </w:trPr>
        <w:tc>
          <w:tcPr>
            <w:tcW w:w="7372" w:type="dxa"/>
            <w:gridSpan w:val="2"/>
          </w:tcPr>
          <w:p w14:paraId="20904511" w14:textId="77777777" w:rsidR="00FA4AA8" w:rsidRDefault="0015611F">
            <w:pPr>
              <w:pStyle w:val="TableParagraph"/>
              <w:spacing w:before="113" w:line="180" w:lineRule="exact"/>
              <w:ind w:left="77"/>
              <w:rPr>
                <w:b/>
                <w:sz w:val="18"/>
              </w:rPr>
            </w:pPr>
            <w:r>
              <w:rPr>
                <w:b/>
                <w:sz w:val="18"/>
              </w:rPr>
              <w:t>Total comprehensive income for the year</w:t>
            </w:r>
          </w:p>
        </w:tc>
        <w:tc>
          <w:tcPr>
            <w:tcW w:w="2630" w:type="dxa"/>
            <w:gridSpan w:val="2"/>
            <w:tcBorders>
              <w:top w:val="single" w:sz="8" w:space="0" w:color="000000"/>
              <w:bottom w:val="double" w:sz="3" w:space="0" w:color="000000"/>
            </w:tcBorders>
          </w:tcPr>
          <w:p w14:paraId="59B66ABA" w14:textId="77777777" w:rsidR="00FA4AA8" w:rsidRDefault="0015611F">
            <w:pPr>
              <w:pStyle w:val="TableParagraph"/>
              <w:tabs>
                <w:tab w:val="left" w:pos="2445"/>
              </w:tabs>
              <w:spacing w:before="113" w:line="180" w:lineRule="exact"/>
              <w:ind w:left="1148"/>
              <w:rPr>
                <w:sz w:val="18"/>
              </w:rPr>
            </w:pPr>
            <w:r>
              <w:rPr>
                <w:b/>
                <w:sz w:val="18"/>
              </w:rPr>
              <w:t>-</w:t>
            </w:r>
            <w:r>
              <w:rPr>
                <w:b/>
                <w:sz w:val="18"/>
              </w:rPr>
              <w:tab/>
            </w:r>
            <w:r>
              <w:rPr>
                <w:sz w:val="18"/>
              </w:rPr>
              <w:t>-</w:t>
            </w:r>
          </w:p>
        </w:tc>
      </w:tr>
    </w:tbl>
    <w:p w14:paraId="36D61CF2" w14:textId="77777777" w:rsidR="00FA4AA8" w:rsidRDefault="00FA4AA8">
      <w:pPr>
        <w:pStyle w:val="BodyText"/>
        <w:rPr>
          <w:sz w:val="20"/>
        </w:rPr>
      </w:pPr>
    </w:p>
    <w:p w14:paraId="4F214D6D" w14:textId="77777777" w:rsidR="00FA4AA8" w:rsidRDefault="00FA4AA8">
      <w:pPr>
        <w:pStyle w:val="BodyText"/>
        <w:rPr>
          <w:sz w:val="20"/>
        </w:rPr>
      </w:pPr>
    </w:p>
    <w:p w14:paraId="4BA41C73" w14:textId="77777777" w:rsidR="00FA4AA8" w:rsidRDefault="00FA4AA8">
      <w:pPr>
        <w:pStyle w:val="BodyText"/>
        <w:rPr>
          <w:sz w:val="20"/>
        </w:rPr>
      </w:pPr>
    </w:p>
    <w:p w14:paraId="71E4370C" w14:textId="77777777" w:rsidR="00FA4AA8" w:rsidRDefault="00FA4AA8">
      <w:pPr>
        <w:pStyle w:val="BodyText"/>
        <w:rPr>
          <w:sz w:val="20"/>
        </w:rPr>
      </w:pPr>
    </w:p>
    <w:p w14:paraId="5B20CE4E" w14:textId="77777777" w:rsidR="00FA4AA8" w:rsidRDefault="00FA4AA8">
      <w:pPr>
        <w:pStyle w:val="BodyText"/>
        <w:rPr>
          <w:sz w:val="20"/>
        </w:rPr>
      </w:pPr>
    </w:p>
    <w:p w14:paraId="1497656C" w14:textId="77777777" w:rsidR="00FA4AA8" w:rsidRDefault="00FA4AA8">
      <w:pPr>
        <w:pStyle w:val="BodyText"/>
        <w:rPr>
          <w:sz w:val="20"/>
        </w:rPr>
      </w:pPr>
    </w:p>
    <w:p w14:paraId="0F1AA6F8" w14:textId="77777777" w:rsidR="00FA4AA8" w:rsidRDefault="00FA4AA8">
      <w:pPr>
        <w:pStyle w:val="BodyText"/>
        <w:rPr>
          <w:sz w:val="20"/>
        </w:rPr>
      </w:pPr>
    </w:p>
    <w:p w14:paraId="0C843D8E" w14:textId="77777777" w:rsidR="00FA4AA8" w:rsidRDefault="00FA4AA8">
      <w:pPr>
        <w:pStyle w:val="BodyText"/>
        <w:rPr>
          <w:sz w:val="20"/>
        </w:rPr>
      </w:pPr>
    </w:p>
    <w:p w14:paraId="483A32AC" w14:textId="77777777" w:rsidR="00FA4AA8" w:rsidRDefault="00FA4AA8">
      <w:pPr>
        <w:pStyle w:val="BodyText"/>
        <w:rPr>
          <w:sz w:val="20"/>
        </w:rPr>
      </w:pPr>
    </w:p>
    <w:p w14:paraId="7BB6D243" w14:textId="77777777" w:rsidR="00FA4AA8" w:rsidRDefault="00FA4AA8">
      <w:pPr>
        <w:pStyle w:val="BodyText"/>
        <w:rPr>
          <w:sz w:val="20"/>
        </w:rPr>
      </w:pPr>
    </w:p>
    <w:p w14:paraId="2FAD561E" w14:textId="77777777" w:rsidR="00FA4AA8" w:rsidRDefault="00FA4AA8">
      <w:pPr>
        <w:pStyle w:val="BodyText"/>
        <w:rPr>
          <w:sz w:val="20"/>
        </w:rPr>
      </w:pPr>
    </w:p>
    <w:p w14:paraId="27CD8774" w14:textId="77777777" w:rsidR="00FA4AA8" w:rsidRDefault="00FA4AA8">
      <w:pPr>
        <w:pStyle w:val="BodyText"/>
        <w:rPr>
          <w:sz w:val="20"/>
        </w:rPr>
      </w:pPr>
    </w:p>
    <w:p w14:paraId="12D23CB8" w14:textId="77777777" w:rsidR="00FA4AA8" w:rsidRDefault="00FA4AA8">
      <w:pPr>
        <w:pStyle w:val="BodyText"/>
        <w:rPr>
          <w:sz w:val="20"/>
        </w:rPr>
      </w:pPr>
    </w:p>
    <w:p w14:paraId="26700E93" w14:textId="77777777" w:rsidR="00FA4AA8" w:rsidRDefault="00FA4AA8">
      <w:pPr>
        <w:pStyle w:val="BodyText"/>
        <w:rPr>
          <w:sz w:val="20"/>
        </w:rPr>
      </w:pPr>
    </w:p>
    <w:p w14:paraId="33EBEBEE" w14:textId="77777777" w:rsidR="00FA4AA8" w:rsidRDefault="00FA4AA8">
      <w:pPr>
        <w:pStyle w:val="BodyText"/>
        <w:rPr>
          <w:sz w:val="20"/>
        </w:rPr>
      </w:pPr>
    </w:p>
    <w:p w14:paraId="7CC6CAB8" w14:textId="77777777" w:rsidR="00FA4AA8" w:rsidRDefault="00FA4AA8">
      <w:pPr>
        <w:pStyle w:val="BodyText"/>
        <w:rPr>
          <w:sz w:val="20"/>
        </w:rPr>
      </w:pPr>
    </w:p>
    <w:p w14:paraId="715BFD10" w14:textId="77777777" w:rsidR="00FA4AA8" w:rsidRDefault="00FA4AA8">
      <w:pPr>
        <w:pStyle w:val="BodyText"/>
        <w:rPr>
          <w:sz w:val="20"/>
        </w:rPr>
      </w:pPr>
    </w:p>
    <w:p w14:paraId="71083157" w14:textId="77777777" w:rsidR="00FA4AA8" w:rsidRDefault="00FA4AA8">
      <w:pPr>
        <w:pStyle w:val="BodyText"/>
        <w:rPr>
          <w:sz w:val="20"/>
        </w:rPr>
      </w:pPr>
    </w:p>
    <w:p w14:paraId="6259D169" w14:textId="77777777" w:rsidR="00FA4AA8" w:rsidRDefault="00FA4AA8">
      <w:pPr>
        <w:pStyle w:val="BodyText"/>
        <w:rPr>
          <w:sz w:val="20"/>
        </w:rPr>
      </w:pPr>
    </w:p>
    <w:p w14:paraId="2AC39E42" w14:textId="77777777" w:rsidR="00FA4AA8" w:rsidRDefault="00FA4AA8">
      <w:pPr>
        <w:pStyle w:val="BodyText"/>
        <w:rPr>
          <w:sz w:val="20"/>
        </w:rPr>
      </w:pPr>
    </w:p>
    <w:p w14:paraId="2D9B2025" w14:textId="77777777" w:rsidR="00FA4AA8" w:rsidRDefault="00FA4AA8">
      <w:pPr>
        <w:pStyle w:val="BodyText"/>
        <w:rPr>
          <w:sz w:val="20"/>
        </w:rPr>
      </w:pPr>
    </w:p>
    <w:p w14:paraId="332D00F0" w14:textId="77777777" w:rsidR="00FA4AA8" w:rsidRDefault="00FA4AA8">
      <w:pPr>
        <w:pStyle w:val="BodyText"/>
        <w:rPr>
          <w:sz w:val="20"/>
        </w:rPr>
      </w:pPr>
    </w:p>
    <w:p w14:paraId="6089B454" w14:textId="77777777" w:rsidR="00FA4AA8" w:rsidRDefault="00FA4AA8">
      <w:pPr>
        <w:pStyle w:val="BodyText"/>
        <w:spacing w:before="9"/>
        <w:rPr>
          <w:sz w:val="20"/>
        </w:rPr>
      </w:pPr>
    </w:p>
    <w:p w14:paraId="1DD7DCC0" w14:textId="77777777" w:rsidR="00FA4AA8" w:rsidRDefault="0015611F">
      <w:pPr>
        <w:pStyle w:val="BodyText"/>
        <w:spacing w:before="94"/>
        <w:ind w:left="2726"/>
      </w:pPr>
      <w:r>
        <w:t>The accompanying notes form part of these financial statements.</w:t>
      </w:r>
    </w:p>
    <w:p w14:paraId="7D3C6A3E" w14:textId="77777777" w:rsidR="00FA4AA8" w:rsidRDefault="00FA4AA8">
      <w:pPr>
        <w:sectPr w:rsidR="00FA4AA8">
          <w:headerReference w:type="default" r:id="rId86"/>
          <w:footerReference w:type="default" r:id="rId87"/>
          <w:pgSz w:w="11910" w:h="16840"/>
          <w:pgMar w:top="1720" w:right="840" w:bottom="720" w:left="840" w:header="1017" w:footer="523" w:gutter="0"/>
          <w:pgNumType w:start="94"/>
          <w:cols w:space="720"/>
        </w:sectPr>
      </w:pPr>
    </w:p>
    <w:p w14:paraId="11C4CB15" w14:textId="77777777" w:rsidR="00FA4AA8" w:rsidRDefault="00FA4AA8">
      <w:pPr>
        <w:pStyle w:val="BodyText"/>
        <w:rPr>
          <w:sz w:val="20"/>
        </w:rPr>
      </w:pPr>
    </w:p>
    <w:p w14:paraId="45AF902A" w14:textId="77777777" w:rsidR="00FA4AA8" w:rsidRDefault="00FA4AA8">
      <w:pPr>
        <w:pStyle w:val="BodyText"/>
        <w:spacing w:before="3"/>
        <w:rPr>
          <w:sz w:val="10"/>
        </w:rPr>
      </w:pPr>
    </w:p>
    <w:tbl>
      <w:tblPr>
        <w:tblW w:w="0" w:type="auto"/>
        <w:tblInd w:w="125" w:type="dxa"/>
        <w:tblLayout w:type="fixed"/>
        <w:tblCellMar>
          <w:left w:w="0" w:type="dxa"/>
          <w:right w:w="0" w:type="dxa"/>
        </w:tblCellMar>
        <w:tblLook w:val="01E0" w:firstRow="1" w:lastRow="1" w:firstColumn="1" w:lastColumn="1" w:noHBand="0" w:noVBand="0"/>
      </w:tblPr>
      <w:tblGrid>
        <w:gridCol w:w="5526"/>
        <w:gridCol w:w="1846"/>
        <w:gridCol w:w="1408"/>
        <w:gridCol w:w="1186"/>
      </w:tblGrid>
      <w:tr w:rsidR="00FA4AA8" w14:paraId="261816B6" w14:textId="77777777">
        <w:trPr>
          <w:trHeight w:val="344"/>
        </w:trPr>
        <w:tc>
          <w:tcPr>
            <w:tcW w:w="5526" w:type="dxa"/>
          </w:tcPr>
          <w:p w14:paraId="7B3A6330" w14:textId="77777777" w:rsidR="00FA4AA8" w:rsidRDefault="0015611F">
            <w:pPr>
              <w:pStyle w:val="TableParagraph"/>
              <w:spacing w:line="312" w:lineRule="exact"/>
              <w:ind w:left="50"/>
              <w:rPr>
                <w:b/>
                <w:sz w:val="28"/>
              </w:rPr>
            </w:pPr>
            <w:r>
              <w:rPr>
                <w:b/>
                <w:sz w:val="28"/>
              </w:rPr>
              <w:t>Statement of Financial Position</w:t>
            </w:r>
          </w:p>
        </w:tc>
        <w:tc>
          <w:tcPr>
            <w:tcW w:w="4440" w:type="dxa"/>
            <w:gridSpan w:val="3"/>
            <w:vMerge w:val="restart"/>
          </w:tcPr>
          <w:p w14:paraId="09FC10AB" w14:textId="77777777" w:rsidR="00FA4AA8" w:rsidRDefault="00FA4AA8">
            <w:pPr>
              <w:pStyle w:val="TableParagraph"/>
              <w:rPr>
                <w:rFonts w:ascii="Times New Roman"/>
                <w:sz w:val="18"/>
              </w:rPr>
            </w:pPr>
          </w:p>
        </w:tc>
      </w:tr>
      <w:tr w:rsidR="00FA4AA8" w14:paraId="3C4A92B7" w14:textId="77777777">
        <w:trPr>
          <w:trHeight w:val="486"/>
        </w:trPr>
        <w:tc>
          <w:tcPr>
            <w:tcW w:w="5526" w:type="dxa"/>
          </w:tcPr>
          <w:p w14:paraId="052C0C80" w14:textId="77777777" w:rsidR="00FA4AA8" w:rsidRDefault="0015611F">
            <w:pPr>
              <w:pStyle w:val="TableParagraph"/>
              <w:spacing w:before="25"/>
              <w:ind w:left="50"/>
              <w:rPr>
                <w:b/>
              </w:rPr>
            </w:pPr>
            <w:r>
              <w:rPr>
                <w:b/>
              </w:rPr>
              <w:t>As At 31 December 2018</w:t>
            </w:r>
          </w:p>
        </w:tc>
        <w:tc>
          <w:tcPr>
            <w:tcW w:w="4440" w:type="dxa"/>
            <w:gridSpan w:val="3"/>
            <w:vMerge/>
            <w:tcBorders>
              <w:top w:val="nil"/>
            </w:tcBorders>
          </w:tcPr>
          <w:p w14:paraId="05E84FD0" w14:textId="77777777" w:rsidR="00FA4AA8" w:rsidRDefault="00FA4AA8">
            <w:pPr>
              <w:rPr>
                <w:sz w:val="2"/>
                <w:szCs w:val="2"/>
              </w:rPr>
            </w:pPr>
          </w:p>
        </w:tc>
      </w:tr>
      <w:tr w:rsidR="00FA4AA8" w14:paraId="11AC528A" w14:textId="77777777">
        <w:trPr>
          <w:trHeight w:val="446"/>
        </w:trPr>
        <w:tc>
          <w:tcPr>
            <w:tcW w:w="5526" w:type="dxa"/>
          </w:tcPr>
          <w:p w14:paraId="13EB3A25" w14:textId="77777777" w:rsidR="00FA4AA8" w:rsidRDefault="00FA4AA8">
            <w:pPr>
              <w:pStyle w:val="TableParagraph"/>
              <w:rPr>
                <w:rFonts w:ascii="Times New Roman"/>
                <w:sz w:val="18"/>
              </w:rPr>
            </w:pPr>
          </w:p>
        </w:tc>
        <w:tc>
          <w:tcPr>
            <w:tcW w:w="1846" w:type="dxa"/>
          </w:tcPr>
          <w:p w14:paraId="422251BE" w14:textId="77777777" w:rsidR="00FA4AA8" w:rsidRDefault="00FA4AA8">
            <w:pPr>
              <w:pStyle w:val="TableParagraph"/>
              <w:rPr>
                <w:rFonts w:ascii="Times New Roman"/>
                <w:sz w:val="18"/>
              </w:rPr>
            </w:pPr>
          </w:p>
        </w:tc>
        <w:tc>
          <w:tcPr>
            <w:tcW w:w="1408" w:type="dxa"/>
          </w:tcPr>
          <w:p w14:paraId="39A6B79F" w14:textId="77777777" w:rsidR="00FA4AA8" w:rsidRDefault="00FA4AA8">
            <w:pPr>
              <w:pStyle w:val="TableParagraph"/>
              <w:spacing w:before="7"/>
              <w:rPr>
                <w:sz w:val="17"/>
              </w:rPr>
            </w:pPr>
          </w:p>
          <w:p w14:paraId="4BDF212F" w14:textId="77777777" w:rsidR="00FA4AA8" w:rsidRDefault="0015611F">
            <w:pPr>
              <w:pStyle w:val="TableParagraph"/>
              <w:ind w:right="306"/>
              <w:jc w:val="right"/>
              <w:rPr>
                <w:b/>
                <w:sz w:val="18"/>
              </w:rPr>
            </w:pPr>
            <w:r>
              <w:rPr>
                <w:b/>
                <w:sz w:val="18"/>
              </w:rPr>
              <w:t>2018</w:t>
            </w:r>
          </w:p>
        </w:tc>
        <w:tc>
          <w:tcPr>
            <w:tcW w:w="1186" w:type="dxa"/>
          </w:tcPr>
          <w:p w14:paraId="4A08DA6C" w14:textId="77777777" w:rsidR="00FA4AA8" w:rsidRDefault="00FA4AA8">
            <w:pPr>
              <w:pStyle w:val="TableParagraph"/>
              <w:spacing w:before="7"/>
              <w:rPr>
                <w:sz w:val="17"/>
              </w:rPr>
            </w:pPr>
          </w:p>
          <w:p w14:paraId="50B02C9D" w14:textId="77777777" w:rsidR="00FA4AA8" w:rsidRDefault="0015611F">
            <w:pPr>
              <w:pStyle w:val="TableParagraph"/>
              <w:ind w:right="170"/>
              <w:jc w:val="right"/>
              <w:rPr>
                <w:b/>
                <w:sz w:val="18"/>
              </w:rPr>
            </w:pPr>
            <w:r>
              <w:rPr>
                <w:b/>
                <w:sz w:val="18"/>
              </w:rPr>
              <w:t>2017</w:t>
            </w:r>
          </w:p>
        </w:tc>
      </w:tr>
      <w:tr w:rsidR="00FA4AA8" w14:paraId="47425F4A" w14:textId="77777777">
        <w:trPr>
          <w:trHeight w:val="313"/>
        </w:trPr>
        <w:tc>
          <w:tcPr>
            <w:tcW w:w="5526" w:type="dxa"/>
          </w:tcPr>
          <w:p w14:paraId="1AE720E5" w14:textId="77777777" w:rsidR="00FA4AA8" w:rsidRDefault="00FA4AA8">
            <w:pPr>
              <w:pStyle w:val="TableParagraph"/>
              <w:rPr>
                <w:rFonts w:ascii="Times New Roman"/>
                <w:sz w:val="18"/>
              </w:rPr>
            </w:pPr>
          </w:p>
        </w:tc>
        <w:tc>
          <w:tcPr>
            <w:tcW w:w="1846" w:type="dxa"/>
          </w:tcPr>
          <w:p w14:paraId="2FE5C3D7" w14:textId="77777777" w:rsidR="00FA4AA8" w:rsidRDefault="0015611F">
            <w:pPr>
              <w:pStyle w:val="TableParagraph"/>
              <w:spacing w:before="30"/>
              <w:ind w:right="36"/>
              <w:jc w:val="right"/>
              <w:rPr>
                <w:b/>
                <w:sz w:val="18"/>
              </w:rPr>
            </w:pPr>
            <w:r>
              <w:rPr>
                <w:b/>
                <w:sz w:val="18"/>
              </w:rPr>
              <w:t>Notes</w:t>
            </w:r>
          </w:p>
        </w:tc>
        <w:tc>
          <w:tcPr>
            <w:tcW w:w="1408" w:type="dxa"/>
          </w:tcPr>
          <w:p w14:paraId="1C96CFFF" w14:textId="77777777" w:rsidR="00FA4AA8" w:rsidRDefault="0015611F">
            <w:pPr>
              <w:pStyle w:val="TableParagraph"/>
              <w:spacing w:before="30"/>
              <w:ind w:left="926"/>
              <w:rPr>
                <w:b/>
                <w:sz w:val="18"/>
              </w:rPr>
            </w:pPr>
            <w:r>
              <w:rPr>
                <w:b/>
                <w:sz w:val="18"/>
              </w:rPr>
              <w:t>$</w:t>
            </w:r>
          </w:p>
        </w:tc>
        <w:tc>
          <w:tcPr>
            <w:tcW w:w="1186" w:type="dxa"/>
          </w:tcPr>
          <w:p w14:paraId="60B628A6" w14:textId="77777777" w:rsidR="00FA4AA8" w:rsidRDefault="0015611F">
            <w:pPr>
              <w:pStyle w:val="TableParagraph"/>
              <w:spacing w:before="30"/>
              <w:ind w:right="242"/>
              <w:jc w:val="right"/>
              <w:rPr>
                <w:b/>
                <w:sz w:val="18"/>
              </w:rPr>
            </w:pPr>
            <w:r>
              <w:rPr>
                <w:b/>
                <w:sz w:val="18"/>
              </w:rPr>
              <w:t>$</w:t>
            </w:r>
          </w:p>
        </w:tc>
      </w:tr>
      <w:tr w:rsidR="00FA4AA8" w14:paraId="56CA89F1" w14:textId="77777777">
        <w:trPr>
          <w:trHeight w:val="542"/>
        </w:trPr>
        <w:tc>
          <w:tcPr>
            <w:tcW w:w="5526" w:type="dxa"/>
          </w:tcPr>
          <w:p w14:paraId="584E84CE" w14:textId="77777777" w:rsidR="00FA4AA8" w:rsidRDefault="0015611F">
            <w:pPr>
              <w:pStyle w:val="TableParagraph"/>
              <w:spacing w:before="70"/>
              <w:ind w:left="77"/>
              <w:rPr>
                <w:b/>
                <w:sz w:val="18"/>
              </w:rPr>
            </w:pPr>
            <w:r>
              <w:rPr>
                <w:b/>
                <w:sz w:val="18"/>
              </w:rPr>
              <w:t>ASSETS</w:t>
            </w:r>
          </w:p>
          <w:p w14:paraId="5749B464" w14:textId="77777777" w:rsidR="00FA4AA8" w:rsidRDefault="0015611F">
            <w:pPr>
              <w:pStyle w:val="TableParagraph"/>
              <w:spacing w:before="27"/>
              <w:ind w:left="77"/>
              <w:rPr>
                <w:b/>
                <w:sz w:val="18"/>
              </w:rPr>
            </w:pPr>
            <w:r>
              <w:rPr>
                <w:b/>
                <w:sz w:val="18"/>
              </w:rPr>
              <w:t>Current Assets</w:t>
            </w:r>
          </w:p>
        </w:tc>
        <w:tc>
          <w:tcPr>
            <w:tcW w:w="1846" w:type="dxa"/>
          </w:tcPr>
          <w:p w14:paraId="419A4D33" w14:textId="77777777" w:rsidR="00FA4AA8" w:rsidRDefault="00FA4AA8">
            <w:pPr>
              <w:pStyle w:val="TableParagraph"/>
              <w:rPr>
                <w:rFonts w:ascii="Times New Roman"/>
                <w:sz w:val="18"/>
              </w:rPr>
            </w:pPr>
          </w:p>
        </w:tc>
        <w:tc>
          <w:tcPr>
            <w:tcW w:w="1408" w:type="dxa"/>
          </w:tcPr>
          <w:p w14:paraId="57907471" w14:textId="77777777" w:rsidR="00FA4AA8" w:rsidRDefault="00FA4AA8">
            <w:pPr>
              <w:pStyle w:val="TableParagraph"/>
              <w:rPr>
                <w:rFonts w:ascii="Times New Roman"/>
                <w:sz w:val="18"/>
              </w:rPr>
            </w:pPr>
          </w:p>
        </w:tc>
        <w:tc>
          <w:tcPr>
            <w:tcW w:w="1186" w:type="dxa"/>
          </w:tcPr>
          <w:p w14:paraId="5BD007DD" w14:textId="77777777" w:rsidR="00FA4AA8" w:rsidRDefault="00FA4AA8">
            <w:pPr>
              <w:pStyle w:val="TableParagraph"/>
              <w:rPr>
                <w:rFonts w:ascii="Times New Roman"/>
                <w:sz w:val="18"/>
              </w:rPr>
            </w:pPr>
          </w:p>
        </w:tc>
      </w:tr>
      <w:tr w:rsidR="00FA4AA8" w14:paraId="6B3CA243" w14:textId="77777777">
        <w:trPr>
          <w:trHeight w:val="264"/>
        </w:trPr>
        <w:tc>
          <w:tcPr>
            <w:tcW w:w="5526" w:type="dxa"/>
          </w:tcPr>
          <w:p w14:paraId="331AC888" w14:textId="77777777" w:rsidR="00FA4AA8" w:rsidRDefault="0015611F">
            <w:pPr>
              <w:pStyle w:val="TableParagraph"/>
              <w:spacing w:before="25"/>
              <w:ind w:left="77"/>
              <w:rPr>
                <w:sz w:val="18"/>
              </w:rPr>
            </w:pPr>
            <w:r>
              <w:rPr>
                <w:sz w:val="18"/>
              </w:rPr>
              <w:t>Cash and cash equivalents</w:t>
            </w:r>
          </w:p>
        </w:tc>
        <w:tc>
          <w:tcPr>
            <w:tcW w:w="1846" w:type="dxa"/>
          </w:tcPr>
          <w:p w14:paraId="258BC50D" w14:textId="77777777" w:rsidR="00FA4AA8" w:rsidRDefault="0015611F">
            <w:pPr>
              <w:pStyle w:val="TableParagraph"/>
              <w:spacing w:before="26"/>
              <w:ind w:right="235"/>
              <w:jc w:val="right"/>
              <w:rPr>
                <w:sz w:val="18"/>
              </w:rPr>
            </w:pPr>
            <w:r>
              <w:rPr>
                <w:sz w:val="18"/>
              </w:rPr>
              <w:t>5</w:t>
            </w:r>
          </w:p>
        </w:tc>
        <w:tc>
          <w:tcPr>
            <w:tcW w:w="1408" w:type="dxa"/>
          </w:tcPr>
          <w:p w14:paraId="7E134DAC" w14:textId="77777777" w:rsidR="00FA4AA8" w:rsidRDefault="0015611F">
            <w:pPr>
              <w:pStyle w:val="TableParagraph"/>
              <w:spacing w:before="26"/>
              <w:ind w:right="197"/>
              <w:jc w:val="right"/>
              <w:rPr>
                <w:b/>
                <w:sz w:val="18"/>
              </w:rPr>
            </w:pPr>
            <w:r>
              <w:rPr>
                <w:b/>
                <w:sz w:val="18"/>
              </w:rPr>
              <w:t>2,259,828</w:t>
            </w:r>
          </w:p>
        </w:tc>
        <w:tc>
          <w:tcPr>
            <w:tcW w:w="1186" w:type="dxa"/>
          </w:tcPr>
          <w:p w14:paraId="4597CA67" w14:textId="77777777" w:rsidR="00FA4AA8" w:rsidRDefault="0015611F">
            <w:pPr>
              <w:pStyle w:val="TableParagraph"/>
              <w:spacing w:before="26"/>
              <w:ind w:right="85"/>
              <w:jc w:val="right"/>
              <w:rPr>
                <w:sz w:val="18"/>
              </w:rPr>
            </w:pPr>
            <w:r>
              <w:rPr>
                <w:sz w:val="18"/>
              </w:rPr>
              <w:t>906,965</w:t>
            </w:r>
          </w:p>
        </w:tc>
      </w:tr>
      <w:tr w:rsidR="00FA4AA8" w14:paraId="71D03CBC" w14:textId="77777777">
        <w:trPr>
          <w:trHeight w:val="263"/>
        </w:trPr>
        <w:tc>
          <w:tcPr>
            <w:tcW w:w="5526" w:type="dxa"/>
          </w:tcPr>
          <w:p w14:paraId="1029E42C" w14:textId="77777777" w:rsidR="00FA4AA8" w:rsidRDefault="0015611F">
            <w:pPr>
              <w:pStyle w:val="TableParagraph"/>
              <w:spacing w:before="25"/>
              <w:ind w:left="77"/>
              <w:rPr>
                <w:sz w:val="18"/>
              </w:rPr>
            </w:pPr>
            <w:r>
              <w:rPr>
                <w:sz w:val="18"/>
              </w:rPr>
              <w:t>Loans to parent entity</w:t>
            </w:r>
          </w:p>
        </w:tc>
        <w:tc>
          <w:tcPr>
            <w:tcW w:w="1846" w:type="dxa"/>
          </w:tcPr>
          <w:p w14:paraId="32231AF7" w14:textId="77777777" w:rsidR="00FA4AA8" w:rsidRDefault="0015611F">
            <w:pPr>
              <w:pStyle w:val="TableParagraph"/>
              <w:spacing w:before="26"/>
              <w:ind w:right="81"/>
              <w:jc w:val="right"/>
              <w:rPr>
                <w:sz w:val="18"/>
              </w:rPr>
            </w:pPr>
            <w:r>
              <w:rPr>
                <w:sz w:val="18"/>
              </w:rPr>
              <w:t>15(c)</w:t>
            </w:r>
          </w:p>
        </w:tc>
        <w:tc>
          <w:tcPr>
            <w:tcW w:w="1408" w:type="dxa"/>
          </w:tcPr>
          <w:p w14:paraId="07CE4B4D" w14:textId="77777777" w:rsidR="00FA4AA8" w:rsidRDefault="0015611F">
            <w:pPr>
              <w:pStyle w:val="TableParagraph"/>
              <w:spacing w:before="26"/>
              <w:ind w:right="197"/>
              <w:jc w:val="right"/>
              <w:rPr>
                <w:b/>
                <w:sz w:val="18"/>
              </w:rPr>
            </w:pPr>
            <w:r>
              <w:rPr>
                <w:b/>
                <w:sz w:val="18"/>
              </w:rPr>
              <w:t>9,798,582</w:t>
            </w:r>
          </w:p>
        </w:tc>
        <w:tc>
          <w:tcPr>
            <w:tcW w:w="1186" w:type="dxa"/>
          </w:tcPr>
          <w:p w14:paraId="102B8D16" w14:textId="77777777" w:rsidR="00FA4AA8" w:rsidRDefault="0015611F">
            <w:pPr>
              <w:pStyle w:val="TableParagraph"/>
              <w:spacing w:before="26"/>
              <w:ind w:right="87"/>
              <w:jc w:val="right"/>
              <w:rPr>
                <w:sz w:val="18"/>
              </w:rPr>
            </w:pPr>
            <w:r>
              <w:rPr>
                <w:sz w:val="18"/>
              </w:rPr>
              <w:t>7,001,886</w:t>
            </w:r>
          </w:p>
        </w:tc>
      </w:tr>
      <w:tr w:rsidR="00FA4AA8" w14:paraId="203F51B6" w14:textId="77777777">
        <w:trPr>
          <w:trHeight w:val="264"/>
        </w:trPr>
        <w:tc>
          <w:tcPr>
            <w:tcW w:w="5526" w:type="dxa"/>
          </w:tcPr>
          <w:p w14:paraId="5CB6FDE5" w14:textId="77777777" w:rsidR="00FA4AA8" w:rsidRDefault="0015611F">
            <w:pPr>
              <w:pStyle w:val="TableParagraph"/>
              <w:spacing w:before="25"/>
              <w:ind w:left="77"/>
              <w:rPr>
                <w:sz w:val="18"/>
              </w:rPr>
            </w:pPr>
            <w:r>
              <w:rPr>
                <w:sz w:val="18"/>
              </w:rPr>
              <w:t>Trade and other receivables</w:t>
            </w:r>
          </w:p>
        </w:tc>
        <w:tc>
          <w:tcPr>
            <w:tcW w:w="1846" w:type="dxa"/>
          </w:tcPr>
          <w:p w14:paraId="73370EEF" w14:textId="77777777" w:rsidR="00FA4AA8" w:rsidRDefault="0015611F">
            <w:pPr>
              <w:pStyle w:val="TableParagraph"/>
              <w:spacing w:before="26"/>
              <w:ind w:right="235"/>
              <w:jc w:val="right"/>
              <w:rPr>
                <w:sz w:val="18"/>
              </w:rPr>
            </w:pPr>
            <w:r>
              <w:rPr>
                <w:sz w:val="18"/>
              </w:rPr>
              <w:t>6</w:t>
            </w:r>
          </w:p>
        </w:tc>
        <w:tc>
          <w:tcPr>
            <w:tcW w:w="1408" w:type="dxa"/>
          </w:tcPr>
          <w:p w14:paraId="2244D160" w14:textId="77777777" w:rsidR="00FA4AA8" w:rsidRDefault="0015611F">
            <w:pPr>
              <w:pStyle w:val="TableParagraph"/>
              <w:spacing w:before="26"/>
              <w:ind w:right="197"/>
              <w:jc w:val="right"/>
              <w:rPr>
                <w:b/>
                <w:sz w:val="18"/>
              </w:rPr>
            </w:pPr>
            <w:r>
              <w:rPr>
                <w:b/>
                <w:sz w:val="18"/>
              </w:rPr>
              <w:t>277,112</w:t>
            </w:r>
          </w:p>
        </w:tc>
        <w:tc>
          <w:tcPr>
            <w:tcW w:w="1186" w:type="dxa"/>
          </w:tcPr>
          <w:p w14:paraId="45210EBD" w14:textId="77777777" w:rsidR="00FA4AA8" w:rsidRDefault="0015611F">
            <w:pPr>
              <w:pStyle w:val="TableParagraph"/>
              <w:spacing w:before="26"/>
              <w:ind w:right="85"/>
              <w:jc w:val="right"/>
              <w:rPr>
                <w:sz w:val="18"/>
              </w:rPr>
            </w:pPr>
            <w:r>
              <w:rPr>
                <w:sz w:val="18"/>
              </w:rPr>
              <w:t>429,588</w:t>
            </w:r>
          </w:p>
        </w:tc>
      </w:tr>
      <w:tr w:rsidR="00FA4AA8" w14:paraId="48DC7362" w14:textId="77777777">
        <w:trPr>
          <w:trHeight w:val="263"/>
        </w:trPr>
        <w:tc>
          <w:tcPr>
            <w:tcW w:w="5526" w:type="dxa"/>
          </w:tcPr>
          <w:p w14:paraId="382E7FEB" w14:textId="77777777" w:rsidR="00FA4AA8" w:rsidRDefault="0015611F">
            <w:pPr>
              <w:pStyle w:val="TableParagraph"/>
              <w:spacing w:before="25"/>
              <w:ind w:left="77"/>
              <w:rPr>
                <w:sz w:val="18"/>
              </w:rPr>
            </w:pPr>
            <w:r>
              <w:rPr>
                <w:sz w:val="18"/>
              </w:rPr>
              <w:t>Receivables from joint venture</w:t>
            </w:r>
          </w:p>
        </w:tc>
        <w:tc>
          <w:tcPr>
            <w:tcW w:w="1846" w:type="dxa"/>
          </w:tcPr>
          <w:p w14:paraId="6AEE3B2D" w14:textId="77777777" w:rsidR="00FA4AA8" w:rsidRDefault="0015611F">
            <w:pPr>
              <w:pStyle w:val="TableParagraph"/>
              <w:spacing w:before="26"/>
              <w:ind w:right="77"/>
              <w:jc w:val="right"/>
              <w:rPr>
                <w:sz w:val="18"/>
              </w:rPr>
            </w:pPr>
            <w:r>
              <w:rPr>
                <w:sz w:val="18"/>
              </w:rPr>
              <w:t>15(d)</w:t>
            </w:r>
          </w:p>
        </w:tc>
        <w:tc>
          <w:tcPr>
            <w:tcW w:w="1408" w:type="dxa"/>
          </w:tcPr>
          <w:p w14:paraId="50612143" w14:textId="77777777" w:rsidR="00FA4AA8" w:rsidRDefault="0015611F">
            <w:pPr>
              <w:pStyle w:val="TableParagraph"/>
              <w:spacing w:before="26"/>
              <w:ind w:right="197"/>
              <w:jc w:val="right"/>
              <w:rPr>
                <w:b/>
                <w:sz w:val="18"/>
              </w:rPr>
            </w:pPr>
            <w:r>
              <w:rPr>
                <w:b/>
                <w:sz w:val="18"/>
              </w:rPr>
              <w:t>1,292,667</w:t>
            </w:r>
          </w:p>
        </w:tc>
        <w:tc>
          <w:tcPr>
            <w:tcW w:w="1186" w:type="dxa"/>
          </w:tcPr>
          <w:p w14:paraId="3945E12E" w14:textId="77777777" w:rsidR="00FA4AA8" w:rsidRDefault="0015611F">
            <w:pPr>
              <w:pStyle w:val="TableParagraph"/>
              <w:spacing w:before="26"/>
              <w:ind w:right="87"/>
              <w:jc w:val="right"/>
              <w:rPr>
                <w:sz w:val="18"/>
              </w:rPr>
            </w:pPr>
            <w:r>
              <w:rPr>
                <w:sz w:val="18"/>
              </w:rPr>
              <w:t>1,651,601</w:t>
            </w:r>
          </w:p>
        </w:tc>
      </w:tr>
      <w:tr w:rsidR="00FA4AA8" w14:paraId="2F8165BD" w14:textId="77777777">
        <w:trPr>
          <w:trHeight w:val="260"/>
        </w:trPr>
        <w:tc>
          <w:tcPr>
            <w:tcW w:w="5526" w:type="dxa"/>
          </w:tcPr>
          <w:p w14:paraId="4C434FFE" w14:textId="77777777" w:rsidR="00FA4AA8" w:rsidRDefault="0015611F">
            <w:pPr>
              <w:pStyle w:val="TableParagraph"/>
              <w:spacing w:before="25"/>
              <w:ind w:left="77"/>
              <w:rPr>
                <w:sz w:val="18"/>
              </w:rPr>
            </w:pPr>
            <w:r>
              <w:rPr>
                <w:sz w:val="18"/>
              </w:rPr>
              <w:t>Prepayments</w:t>
            </w:r>
          </w:p>
        </w:tc>
        <w:tc>
          <w:tcPr>
            <w:tcW w:w="1846" w:type="dxa"/>
          </w:tcPr>
          <w:p w14:paraId="4D609180" w14:textId="77777777" w:rsidR="00FA4AA8" w:rsidRDefault="0015611F">
            <w:pPr>
              <w:pStyle w:val="TableParagraph"/>
              <w:spacing w:before="26"/>
              <w:ind w:right="235"/>
              <w:jc w:val="right"/>
              <w:rPr>
                <w:sz w:val="18"/>
              </w:rPr>
            </w:pPr>
            <w:r>
              <w:rPr>
                <w:sz w:val="18"/>
              </w:rPr>
              <w:t>7</w:t>
            </w:r>
          </w:p>
        </w:tc>
        <w:tc>
          <w:tcPr>
            <w:tcW w:w="1408" w:type="dxa"/>
            <w:tcBorders>
              <w:bottom w:val="single" w:sz="8" w:space="0" w:color="000000"/>
            </w:tcBorders>
          </w:tcPr>
          <w:p w14:paraId="0CBAA742" w14:textId="77777777" w:rsidR="00FA4AA8" w:rsidRDefault="0015611F">
            <w:pPr>
              <w:pStyle w:val="TableParagraph"/>
              <w:spacing w:before="26"/>
              <w:ind w:right="197"/>
              <w:jc w:val="right"/>
              <w:rPr>
                <w:b/>
                <w:sz w:val="18"/>
              </w:rPr>
            </w:pPr>
            <w:r>
              <w:rPr>
                <w:b/>
                <w:sz w:val="18"/>
              </w:rPr>
              <w:t>5,102</w:t>
            </w:r>
          </w:p>
        </w:tc>
        <w:tc>
          <w:tcPr>
            <w:tcW w:w="1186" w:type="dxa"/>
            <w:tcBorders>
              <w:bottom w:val="single" w:sz="8" w:space="0" w:color="000000"/>
            </w:tcBorders>
          </w:tcPr>
          <w:p w14:paraId="6FAF3497" w14:textId="77777777" w:rsidR="00FA4AA8" w:rsidRDefault="0015611F">
            <w:pPr>
              <w:pStyle w:val="TableParagraph"/>
              <w:spacing w:before="26"/>
              <w:ind w:right="85"/>
              <w:jc w:val="right"/>
              <w:rPr>
                <w:sz w:val="18"/>
              </w:rPr>
            </w:pPr>
            <w:r>
              <w:rPr>
                <w:sz w:val="18"/>
              </w:rPr>
              <w:t>302,358</w:t>
            </w:r>
          </w:p>
        </w:tc>
      </w:tr>
      <w:tr w:rsidR="00FA4AA8" w14:paraId="04D4C05F" w14:textId="77777777">
        <w:trPr>
          <w:trHeight w:val="313"/>
        </w:trPr>
        <w:tc>
          <w:tcPr>
            <w:tcW w:w="5526" w:type="dxa"/>
          </w:tcPr>
          <w:p w14:paraId="1228D842" w14:textId="77777777" w:rsidR="00FA4AA8" w:rsidRDefault="0015611F">
            <w:pPr>
              <w:pStyle w:val="TableParagraph"/>
              <w:spacing w:before="28"/>
              <w:ind w:left="77"/>
              <w:rPr>
                <w:b/>
                <w:sz w:val="18"/>
              </w:rPr>
            </w:pPr>
            <w:r>
              <w:rPr>
                <w:b/>
                <w:sz w:val="18"/>
              </w:rPr>
              <w:t>Total Current Assets</w:t>
            </w:r>
          </w:p>
        </w:tc>
        <w:tc>
          <w:tcPr>
            <w:tcW w:w="1846" w:type="dxa"/>
          </w:tcPr>
          <w:p w14:paraId="43FD123A" w14:textId="77777777" w:rsidR="00FA4AA8" w:rsidRDefault="00FA4AA8">
            <w:pPr>
              <w:pStyle w:val="TableParagraph"/>
              <w:rPr>
                <w:rFonts w:ascii="Times New Roman"/>
                <w:sz w:val="18"/>
              </w:rPr>
            </w:pPr>
          </w:p>
        </w:tc>
        <w:tc>
          <w:tcPr>
            <w:tcW w:w="1408" w:type="dxa"/>
            <w:tcBorders>
              <w:top w:val="single" w:sz="8" w:space="0" w:color="000000"/>
              <w:bottom w:val="double" w:sz="3" w:space="0" w:color="000000"/>
            </w:tcBorders>
          </w:tcPr>
          <w:p w14:paraId="5EB10207" w14:textId="77777777" w:rsidR="00FA4AA8" w:rsidRDefault="0015611F">
            <w:pPr>
              <w:pStyle w:val="TableParagraph"/>
              <w:spacing w:before="113" w:line="180" w:lineRule="exact"/>
              <w:ind w:right="197"/>
              <w:jc w:val="right"/>
              <w:rPr>
                <w:b/>
                <w:sz w:val="18"/>
              </w:rPr>
            </w:pPr>
            <w:r>
              <w:rPr>
                <w:b/>
                <w:sz w:val="18"/>
              </w:rPr>
              <w:t>13,633,291</w:t>
            </w:r>
          </w:p>
        </w:tc>
        <w:tc>
          <w:tcPr>
            <w:tcW w:w="1186" w:type="dxa"/>
            <w:tcBorders>
              <w:top w:val="single" w:sz="8" w:space="0" w:color="000000"/>
              <w:bottom w:val="double" w:sz="3" w:space="0" w:color="000000"/>
            </w:tcBorders>
          </w:tcPr>
          <w:p w14:paraId="47A7A0E8" w14:textId="77777777" w:rsidR="00FA4AA8" w:rsidRDefault="0015611F">
            <w:pPr>
              <w:pStyle w:val="TableParagraph"/>
              <w:spacing w:before="113" w:line="180" w:lineRule="exact"/>
              <w:ind w:right="87"/>
              <w:jc w:val="right"/>
              <w:rPr>
                <w:sz w:val="18"/>
              </w:rPr>
            </w:pPr>
            <w:r>
              <w:rPr>
                <w:sz w:val="18"/>
              </w:rPr>
              <w:t>10,292,398</w:t>
            </w:r>
          </w:p>
        </w:tc>
      </w:tr>
      <w:tr w:rsidR="00FA4AA8" w14:paraId="1442FCCA" w14:textId="77777777">
        <w:trPr>
          <w:trHeight w:val="261"/>
        </w:trPr>
        <w:tc>
          <w:tcPr>
            <w:tcW w:w="5526" w:type="dxa"/>
          </w:tcPr>
          <w:p w14:paraId="70E4B90D" w14:textId="77777777" w:rsidR="00FA4AA8" w:rsidRDefault="0015611F">
            <w:pPr>
              <w:pStyle w:val="TableParagraph"/>
              <w:spacing w:before="23"/>
              <w:ind w:left="77"/>
              <w:rPr>
                <w:b/>
                <w:sz w:val="18"/>
              </w:rPr>
            </w:pPr>
            <w:r>
              <w:rPr>
                <w:b/>
                <w:sz w:val="18"/>
              </w:rPr>
              <w:t>Non-Current Assets</w:t>
            </w:r>
          </w:p>
        </w:tc>
        <w:tc>
          <w:tcPr>
            <w:tcW w:w="1846" w:type="dxa"/>
          </w:tcPr>
          <w:p w14:paraId="119C1EF0" w14:textId="77777777" w:rsidR="00FA4AA8" w:rsidRDefault="00FA4AA8">
            <w:pPr>
              <w:pStyle w:val="TableParagraph"/>
              <w:rPr>
                <w:rFonts w:ascii="Times New Roman"/>
                <w:sz w:val="18"/>
              </w:rPr>
            </w:pPr>
          </w:p>
        </w:tc>
        <w:tc>
          <w:tcPr>
            <w:tcW w:w="1408" w:type="dxa"/>
            <w:tcBorders>
              <w:top w:val="double" w:sz="3" w:space="0" w:color="000000"/>
            </w:tcBorders>
          </w:tcPr>
          <w:p w14:paraId="2D5B905D" w14:textId="77777777" w:rsidR="00FA4AA8" w:rsidRDefault="00FA4AA8">
            <w:pPr>
              <w:pStyle w:val="TableParagraph"/>
              <w:rPr>
                <w:rFonts w:ascii="Times New Roman"/>
                <w:sz w:val="18"/>
              </w:rPr>
            </w:pPr>
          </w:p>
        </w:tc>
        <w:tc>
          <w:tcPr>
            <w:tcW w:w="1186" w:type="dxa"/>
            <w:tcBorders>
              <w:top w:val="double" w:sz="3" w:space="0" w:color="000000"/>
            </w:tcBorders>
          </w:tcPr>
          <w:p w14:paraId="2CBE1BF3" w14:textId="77777777" w:rsidR="00FA4AA8" w:rsidRDefault="00FA4AA8">
            <w:pPr>
              <w:pStyle w:val="TableParagraph"/>
              <w:rPr>
                <w:rFonts w:ascii="Times New Roman"/>
                <w:sz w:val="18"/>
              </w:rPr>
            </w:pPr>
          </w:p>
        </w:tc>
      </w:tr>
      <w:tr w:rsidR="00FA4AA8" w14:paraId="36D8CDBC" w14:textId="77777777">
        <w:trPr>
          <w:trHeight w:val="264"/>
        </w:trPr>
        <w:tc>
          <w:tcPr>
            <w:tcW w:w="5526" w:type="dxa"/>
          </w:tcPr>
          <w:p w14:paraId="68E89E1B" w14:textId="77777777" w:rsidR="00FA4AA8" w:rsidRDefault="0015611F">
            <w:pPr>
              <w:pStyle w:val="TableParagraph"/>
              <w:spacing w:before="25"/>
              <w:ind w:left="77"/>
              <w:rPr>
                <w:sz w:val="18"/>
              </w:rPr>
            </w:pPr>
            <w:r>
              <w:rPr>
                <w:sz w:val="18"/>
              </w:rPr>
              <w:t>Loans to joint venture</w:t>
            </w:r>
          </w:p>
        </w:tc>
        <w:tc>
          <w:tcPr>
            <w:tcW w:w="1846" w:type="dxa"/>
          </w:tcPr>
          <w:p w14:paraId="3F067203" w14:textId="77777777" w:rsidR="00FA4AA8" w:rsidRDefault="0015611F">
            <w:pPr>
              <w:pStyle w:val="TableParagraph"/>
              <w:spacing w:before="26"/>
              <w:ind w:right="81"/>
              <w:jc w:val="right"/>
              <w:rPr>
                <w:sz w:val="18"/>
              </w:rPr>
            </w:pPr>
            <w:r>
              <w:rPr>
                <w:sz w:val="18"/>
              </w:rPr>
              <w:t>15(c)</w:t>
            </w:r>
          </w:p>
        </w:tc>
        <w:tc>
          <w:tcPr>
            <w:tcW w:w="1408" w:type="dxa"/>
          </w:tcPr>
          <w:p w14:paraId="7550AEC2" w14:textId="77777777" w:rsidR="00FA4AA8" w:rsidRDefault="0015611F">
            <w:pPr>
              <w:pStyle w:val="TableParagraph"/>
              <w:spacing w:before="26"/>
              <w:ind w:right="197"/>
              <w:jc w:val="right"/>
              <w:rPr>
                <w:b/>
                <w:sz w:val="18"/>
              </w:rPr>
            </w:pPr>
            <w:r>
              <w:rPr>
                <w:b/>
                <w:sz w:val="18"/>
              </w:rPr>
              <w:t>654,095</w:t>
            </w:r>
          </w:p>
        </w:tc>
        <w:tc>
          <w:tcPr>
            <w:tcW w:w="1186" w:type="dxa"/>
          </w:tcPr>
          <w:p w14:paraId="334D483B" w14:textId="77777777" w:rsidR="00FA4AA8" w:rsidRDefault="0015611F">
            <w:pPr>
              <w:pStyle w:val="TableParagraph"/>
              <w:spacing w:before="26"/>
              <w:ind w:right="85"/>
              <w:jc w:val="right"/>
              <w:rPr>
                <w:sz w:val="18"/>
              </w:rPr>
            </w:pPr>
            <w:r>
              <w:rPr>
                <w:sz w:val="18"/>
              </w:rPr>
              <w:t>214,043</w:t>
            </w:r>
          </w:p>
        </w:tc>
      </w:tr>
      <w:tr w:rsidR="00FA4AA8" w14:paraId="49BC4338" w14:textId="77777777">
        <w:trPr>
          <w:trHeight w:val="260"/>
        </w:trPr>
        <w:tc>
          <w:tcPr>
            <w:tcW w:w="5526" w:type="dxa"/>
          </w:tcPr>
          <w:p w14:paraId="36597805" w14:textId="77777777" w:rsidR="00FA4AA8" w:rsidRDefault="0015611F">
            <w:pPr>
              <w:pStyle w:val="TableParagraph"/>
              <w:spacing w:before="25"/>
              <w:ind w:left="77"/>
              <w:rPr>
                <w:sz w:val="18"/>
              </w:rPr>
            </w:pPr>
            <w:r>
              <w:rPr>
                <w:sz w:val="18"/>
              </w:rPr>
              <w:t>Property, plant and equipment</w:t>
            </w:r>
          </w:p>
        </w:tc>
        <w:tc>
          <w:tcPr>
            <w:tcW w:w="1846" w:type="dxa"/>
          </w:tcPr>
          <w:p w14:paraId="215E1FAD" w14:textId="77777777" w:rsidR="00FA4AA8" w:rsidRDefault="0015611F">
            <w:pPr>
              <w:pStyle w:val="TableParagraph"/>
              <w:spacing w:before="26"/>
              <w:ind w:right="127"/>
              <w:jc w:val="right"/>
              <w:rPr>
                <w:sz w:val="18"/>
              </w:rPr>
            </w:pPr>
            <w:r>
              <w:rPr>
                <w:sz w:val="18"/>
              </w:rPr>
              <w:t>8(a)</w:t>
            </w:r>
          </w:p>
        </w:tc>
        <w:tc>
          <w:tcPr>
            <w:tcW w:w="1408" w:type="dxa"/>
            <w:tcBorders>
              <w:bottom w:val="single" w:sz="8" w:space="0" w:color="000000"/>
            </w:tcBorders>
          </w:tcPr>
          <w:p w14:paraId="32F1EABE" w14:textId="77777777" w:rsidR="00FA4AA8" w:rsidRDefault="0015611F">
            <w:pPr>
              <w:pStyle w:val="TableParagraph"/>
              <w:spacing w:before="26"/>
              <w:ind w:right="197"/>
              <w:jc w:val="right"/>
              <w:rPr>
                <w:b/>
                <w:sz w:val="18"/>
              </w:rPr>
            </w:pPr>
            <w:r>
              <w:rPr>
                <w:b/>
                <w:sz w:val="18"/>
              </w:rPr>
              <w:t>3,211,241</w:t>
            </w:r>
          </w:p>
        </w:tc>
        <w:tc>
          <w:tcPr>
            <w:tcW w:w="1186" w:type="dxa"/>
            <w:tcBorders>
              <w:bottom w:val="single" w:sz="8" w:space="0" w:color="000000"/>
            </w:tcBorders>
          </w:tcPr>
          <w:p w14:paraId="05C74C06" w14:textId="77777777" w:rsidR="00FA4AA8" w:rsidRDefault="0015611F">
            <w:pPr>
              <w:pStyle w:val="TableParagraph"/>
              <w:spacing w:before="26"/>
              <w:ind w:right="87"/>
              <w:jc w:val="right"/>
              <w:rPr>
                <w:sz w:val="18"/>
              </w:rPr>
            </w:pPr>
            <w:r>
              <w:rPr>
                <w:sz w:val="18"/>
              </w:rPr>
              <w:t>4,254,369</w:t>
            </w:r>
          </w:p>
        </w:tc>
      </w:tr>
    </w:tbl>
    <w:p w14:paraId="566B884B" w14:textId="77777777" w:rsidR="00FA4AA8" w:rsidRDefault="007E2441">
      <w:pPr>
        <w:tabs>
          <w:tab w:val="left" w:pos="7900"/>
          <w:tab w:val="left" w:pos="9197"/>
        </w:tabs>
        <w:spacing w:before="19" w:after="13"/>
        <w:ind w:left="195"/>
        <w:rPr>
          <w:sz w:val="18"/>
        </w:rPr>
      </w:pPr>
      <w:r>
        <w:rPr>
          <w:noProof/>
          <w:lang w:val="en-AU" w:eastAsia="en-AU"/>
        </w:rPr>
        <mc:AlternateContent>
          <mc:Choice Requires="wpg">
            <w:drawing>
              <wp:anchor distT="0" distB="0" distL="114300" distR="114300" simplePos="0" relativeHeight="15766016" behindDoc="0" locked="0" layoutInCell="1" allowOverlap="1" wp14:anchorId="4E4C4A97" wp14:editId="5FD6543A">
                <wp:simplePos x="0" y="0"/>
                <wp:positionH relativeFrom="page">
                  <wp:posOffset>5289550</wp:posOffset>
                </wp:positionH>
                <wp:positionV relativeFrom="paragraph">
                  <wp:posOffset>196850</wp:posOffset>
                </wp:positionV>
                <wp:extent cx="1647825" cy="12700"/>
                <wp:effectExtent l="0" t="0" r="0" b="0"/>
                <wp:wrapNone/>
                <wp:docPr id="2061" name="Group 1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7825" cy="12700"/>
                          <a:chOff x="8330" y="310"/>
                          <a:chExt cx="2595" cy="20"/>
                        </a:xfrm>
                      </wpg:grpSpPr>
                      <wps:wsp>
                        <wps:cNvPr id="2062" name="Line 1891"/>
                        <wps:cNvCnPr>
                          <a:cxnSpLocks noChangeShapeType="1"/>
                        </wps:cNvCnPr>
                        <wps:spPr bwMode="auto">
                          <a:xfrm>
                            <a:off x="8330" y="310"/>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063" name="Line 1890"/>
                        <wps:cNvCnPr>
                          <a:cxnSpLocks noChangeShapeType="1"/>
                        </wps:cNvCnPr>
                        <wps:spPr bwMode="auto">
                          <a:xfrm>
                            <a:off x="8330" y="311"/>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064" name="Line 1889"/>
                        <wps:cNvCnPr>
                          <a:cxnSpLocks noChangeShapeType="1"/>
                        </wps:cNvCnPr>
                        <wps:spPr bwMode="auto">
                          <a:xfrm>
                            <a:off x="8330" y="313"/>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065" name="Line 1888"/>
                        <wps:cNvCnPr>
                          <a:cxnSpLocks noChangeShapeType="1"/>
                        </wps:cNvCnPr>
                        <wps:spPr bwMode="auto">
                          <a:xfrm>
                            <a:off x="8330" y="314"/>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066" name="Line 1887"/>
                        <wps:cNvCnPr>
                          <a:cxnSpLocks noChangeShapeType="1"/>
                        </wps:cNvCnPr>
                        <wps:spPr bwMode="auto">
                          <a:xfrm>
                            <a:off x="8330" y="315"/>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067" name="Line 1886"/>
                        <wps:cNvCnPr>
                          <a:cxnSpLocks noChangeShapeType="1"/>
                        </wps:cNvCnPr>
                        <wps:spPr bwMode="auto">
                          <a:xfrm>
                            <a:off x="8330" y="316"/>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068" name="Line 1885"/>
                        <wps:cNvCnPr>
                          <a:cxnSpLocks noChangeShapeType="1"/>
                        </wps:cNvCnPr>
                        <wps:spPr bwMode="auto">
                          <a:xfrm>
                            <a:off x="8330" y="317"/>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069" name="Line 1884"/>
                        <wps:cNvCnPr>
                          <a:cxnSpLocks noChangeShapeType="1"/>
                        </wps:cNvCnPr>
                        <wps:spPr bwMode="auto">
                          <a:xfrm>
                            <a:off x="8330" y="319"/>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070" name="Line 1883"/>
                        <wps:cNvCnPr>
                          <a:cxnSpLocks noChangeShapeType="1"/>
                        </wps:cNvCnPr>
                        <wps:spPr bwMode="auto">
                          <a:xfrm>
                            <a:off x="8330" y="320"/>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071" name="Line 1882"/>
                        <wps:cNvCnPr>
                          <a:cxnSpLocks noChangeShapeType="1"/>
                        </wps:cNvCnPr>
                        <wps:spPr bwMode="auto">
                          <a:xfrm>
                            <a:off x="8330" y="321"/>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072" name="Line 1881"/>
                        <wps:cNvCnPr>
                          <a:cxnSpLocks noChangeShapeType="1"/>
                        </wps:cNvCnPr>
                        <wps:spPr bwMode="auto">
                          <a:xfrm>
                            <a:off x="8330" y="322"/>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073" name="Line 1880"/>
                        <wps:cNvCnPr>
                          <a:cxnSpLocks noChangeShapeType="1"/>
                        </wps:cNvCnPr>
                        <wps:spPr bwMode="auto">
                          <a:xfrm>
                            <a:off x="8330" y="323"/>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074" name="Line 1879"/>
                        <wps:cNvCnPr>
                          <a:cxnSpLocks noChangeShapeType="1"/>
                        </wps:cNvCnPr>
                        <wps:spPr bwMode="auto">
                          <a:xfrm>
                            <a:off x="8330" y="325"/>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075" name="Line 1878"/>
                        <wps:cNvCnPr>
                          <a:cxnSpLocks noChangeShapeType="1"/>
                        </wps:cNvCnPr>
                        <wps:spPr bwMode="auto">
                          <a:xfrm>
                            <a:off x="8330" y="326"/>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076" name="Line 1877"/>
                        <wps:cNvCnPr>
                          <a:cxnSpLocks noChangeShapeType="1"/>
                        </wps:cNvCnPr>
                        <wps:spPr bwMode="auto">
                          <a:xfrm>
                            <a:off x="8330" y="327"/>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077" name="Line 1876"/>
                        <wps:cNvCnPr>
                          <a:cxnSpLocks noChangeShapeType="1"/>
                        </wps:cNvCnPr>
                        <wps:spPr bwMode="auto">
                          <a:xfrm>
                            <a:off x="8330" y="328"/>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078" name="Line 1875"/>
                        <wps:cNvCnPr>
                          <a:cxnSpLocks noChangeShapeType="1"/>
                        </wps:cNvCnPr>
                        <wps:spPr bwMode="auto">
                          <a:xfrm>
                            <a:off x="9628" y="310"/>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079" name="Line 1874"/>
                        <wps:cNvCnPr>
                          <a:cxnSpLocks noChangeShapeType="1"/>
                        </wps:cNvCnPr>
                        <wps:spPr bwMode="auto">
                          <a:xfrm>
                            <a:off x="9628" y="31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080" name="Line 1873"/>
                        <wps:cNvCnPr>
                          <a:cxnSpLocks noChangeShapeType="1"/>
                        </wps:cNvCnPr>
                        <wps:spPr bwMode="auto">
                          <a:xfrm>
                            <a:off x="9628" y="31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081" name="Line 1872"/>
                        <wps:cNvCnPr>
                          <a:cxnSpLocks noChangeShapeType="1"/>
                        </wps:cNvCnPr>
                        <wps:spPr bwMode="auto">
                          <a:xfrm>
                            <a:off x="9628" y="31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082" name="Line 1871"/>
                        <wps:cNvCnPr>
                          <a:cxnSpLocks noChangeShapeType="1"/>
                        </wps:cNvCnPr>
                        <wps:spPr bwMode="auto">
                          <a:xfrm>
                            <a:off x="9628" y="31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083" name="Line 1870"/>
                        <wps:cNvCnPr>
                          <a:cxnSpLocks noChangeShapeType="1"/>
                        </wps:cNvCnPr>
                        <wps:spPr bwMode="auto">
                          <a:xfrm>
                            <a:off x="9628" y="316"/>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084" name="Line 1869"/>
                        <wps:cNvCnPr>
                          <a:cxnSpLocks noChangeShapeType="1"/>
                        </wps:cNvCnPr>
                        <wps:spPr bwMode="auto">
                          <a:xfrm>
                            <a:off x="9628" y="31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085" name="Line 1868"/>
                        <wps:cNvCnPr>
                          <a:cxnSpLocks noChangeShapeType="1"/>
                        </wps:cNvCnPr>
                        <wps:spPr bwMode="auto">
                          <a:xfrm>
                            <a:off x="9628" y="31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086" name="Line 1867"/>
                        <wps:cNvCnPr>
                          <a:cxnSpLocks noChangeShapeType="1"/>
                        </wps:cNvCnPr>
                        <wps:spPr bwMode="auto">
                          <a:xfrm>
                            <a:off x="9628" y="320"/>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087" name="Line 1866"/>
                        <wps:cNvCnPr>
                          <a:cxnSpLocks noChangeShapeType="1"/>
                        </wps:cNvCnPr>
                        <wps:spPr bwMode="auto">
                          <a:xfrm>
                            <a:off x="9628" y="32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088" name="Line 1865"/>
                        <wps:cNvCnPr>
                          <a:cxnSpLocks noChangeShapeType="1"/>
                        </wps:cNvCnPr>
                        <wps:spPr bwMode="auto">
                          <a:xfrm>
                            <a:off x="9628" y="322"/>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089" name="Line 1864"/>
                        <wps:cNvCnPr>
                          <a:cxnSpLocks noChangeShapeType="1"/>
                        </wps:cNvCnPr>
                        <wps:spPr bwMode="auto">
                          <a:xfrm>
                            <a:off x="9628" y="32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090" name="Line 1863"/>
                        <wps:cNvCnPr>
                          <a:cxnSpLocks noChangeShapeType="1"/>
                        </wps:cNvCnPr>
                        <wps:spPr bwMode="auto">
                          <a:xfrm>
                            <a:off x="9628" y="32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091" name="Line 1862"/>
                        <wps:cNvCnPr>
                          <a:cxnSpLocks noChangeShapeType="1"/>
                        </wps:cNvCnPr>
                        <wps:spPr bwMode="auto">
                          <a:xfrm>
                            <a:off x="9628" y="326"/>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092" name="Line 1861"/>
                        <wps:cNvCnPr>
                          <a:cxnSpLocks noChangeShapeType="1"/>
                        </wps:cNvCnPr>
                        <wps:spPr bwMode="auto">
                          <a:xfrm>
                            <a:off x="9628" y="32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093" name="Line 1860"/>
                        <wps:cNvCnPr>
                          <a:cxnSpLocks noChangeShapeType="1"/>
                        </wps:cNvCnPr>
                        <wps:spPr bwMode="auto">
                          <a:xfrm>
                            <a:off x="9628" y="328"/>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094" name="Line 1859"/>
                        <wps:cNvCnPr>
                          <a:cxnSpLocks noChangeShapeType="1"/>
                        </wps:cNvCnPr>
                        <wps:spPr bwMode="auto">
                          <a:xfrm>
                            <a:off x="8330" y="310"/>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095" name="Line 1858"/>
                        <wps:cNvCnPr>
                          <a:cxnSpLocks noChangeShapeType="1"/>
                        </wps:cNvCnPr>
                        <wps:spPr bwMode="auto">
                          <a:xfrm>
                            <a:off x="8330" y="311"/>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096" name="Line 1857"/>
                        <wps:cNvCnPr>
                          <a:cxnSpLocks noChangeShapeType="1"/>
                        </wps:cNvCnPr>
                        <wps:spPr bwMode="auto">
                          <a:xfrm>
                            <a:off x="8330" y="313"/>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097" name="Line 1856"/>
                        <wps:cNvCnPr>
                          <a:cxnSpLocks noChangeShapeType="1"/>
                        </wps:cNvCnPr>
                        <wps:spPr bwMode="auto">
                          <a:xfrm>
                            <a:off x="8330" y="314"/>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098" name="Line 1855"/>
                        <wps:cNvCnPr>
                          <a:cxnSpLocks noChangeShapeType="1"/>
                        </wps:cNvCnPr>
                        <wps:spPr bwMode="auto">
                          <a:xfrm>
                            <a:off x="8330" y="315"/>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099" name="Line 1854"/>
                        <wps:cNvCnPr>
                          <a:cxnSpLocks noChangeShapeType="1"/>
                        </wps:cNvCnPr>
                        <wps:spPr bwMode="auto">
                          <a:xfrm>
                            <a:off x="8330" y="316"/>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100" name="Line 1853"/>
                        <wps:cNvCnPr>
                          <a:cxnSpLocks noChangeShapeType="1"/>
                        </wps:cNvCnPr>
                        <wps:spPr bwMode="auto">
                          <a:xfrm>
                            <a:off x="8330" y="317"/>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101" name="Line 1852"/>
                        <wps:cNvCnPr>
                          <a:cxnSpLocks noChangeShapeType="1"/>
                        </wps:cNvCnPr>
                        <wps:spPr bwMode="auto">
                          <a:xfrm>
                            <a:off x="8330" y="319"/>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102" name="Line 1851"/>
                        <wps:cNvCnPr>
                          <a:cxnSpLocks noChangeShapeType="1"/>
                        </wps:cNvCnPr>
                        <wps:spPr bwMode="auto">
                          <a:xfrm>
                            <a:off x="8330" y="320"/>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103" name="Line 1850"/>
                        <wps:cNvCnPr>
                          <a:cxnSpLocks noChangeShapeType="1"/>
                        </wps:cNvCnPr>
                        <wps:spPr bwMode="auto">
                          <a:xfrm>
                            <a:off x="8330" y="321"/>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104" name="Line 1849"/>
                        <wps:cNvCnPr>
                          <a:cxnSpLocks noChangeShapeType="1"/>
                        </wps:cNvCnPr>
                        <wps:spPr bwMode="auto">
                          <a:xfrm>
                            <a:off x="8330" y="322"/>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105" name="Line 1848"/>
                        <wps:cNvCnPr>
                          <a:cxnSpLocks noChangeShapeType="1"/>
                        </wps:cNvCnPr>
                        <wps:spPr bwMode="auto">
                          <a:xfrm>
                            <a:off x="8330" y="323"/>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106" name="Line 1847"/>
                        <wps:cNvCnPr>
                          <a:cxnSpLocks noChangeShapeType="1"/>
                        </wps:cNvCnPr>
                        <wps:spPr bwMode="auto">
                          <a:xfrm>
                            <a:off x="8330" y="325"/>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107" name="Line 1846"/>
                        <wps:cNvCnPr>
                          <a:cxnSpLocks noChangeShapeType="1"/>
                        </wps:cNvCnPr>
                        <wps:spPr bwMode="auto">
                          <a:xfrm>
                            <a:off x="8330" y="326"/>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108" name="Line 1845"/>
                        <wps:cNvCnPr>
                          <a:cxnSpLocks noChangeShapeType="1"/>
                        </wps:cNvCnPr>
                        <wps:spPr bwMode="auto">
                          <a:xfrm>
                            <a:off x="8330" y="327"/>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109" name="Line 1844"/>
                        <wps:cNvCnPr>
                          <a:cxnSpLocks noChangeShapeType="1"/>
                        </wps:cNvCnPr>
                        <wps:spPr bwMode="auto">
                          <a:xfrm>
                            <a:off x="8330" y="328"/>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110" name="Line 1843"/>
                        <wps:cNvCnPr>
                          <a:cxnSpLocks noChangeShapeType="1"/>
                        </wps:cNvCnPr>
                        <wps:spPr bwMode="auto">
                          <a:xfrm>
                            <a:off x="9628" y="310"/>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111" name="Line 1842"/>
                        <wps:cNvCnPr>
                          <a:cxnSpLocks noChangeShapeType="1"/>
                        </wps:cNvCnPr>
                        <wps:spPr bwMode="auto">
                          <a:xfrm>
                            <a:off x="9628" y="31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112" name="Line 1841"/>
                        <wps:cNvCnPr>
                          <a:cxnSpLocks noChangeShapeType="1"/>
                        </wps:cNvCnPr>
                        <wps:spPr bwMode="auto">
                          <a:xfrm>
                            <a:off x="9628" y="31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113" name="Line 1840"/>
                        <wps:cNvCnPr>
                          <a:cxnSpLocks noChangeShapeType="1"/>
                        </wps:cNvCnPr>
                        <wps:spPr bwMode="auto">
                          <a:xfrm>
                            <a:off x="9628" y="31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114" name="Line 1839"/>
                        <wps:cNvCnPr>
                          <a:cxnSpLocks noChangeShapeType="1"/>
                        </wps:cNvCnPr>
                        <wps:spPr bwMode="auto">
                          <a:xfrm>
                            <a:off x="9628" y="31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115" name="Line 1838"/>
                        <wps:cNvCnPr>
                          <a:cxnSpLocks noChangeShapeType="1"/>
                        </wps:cNvCnPr>
                        <wps:spPr bwMode="auto">
                          <a:xfrm>
                            <a:off x="9628" y="316"/>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116" name="Line 1837"/>
                        <wps:cNvCnPr>
                          <a:cxnSpLocks noChangeShapeType="1"/>
                        </wps:cNvCnPr>
                        <wps:spPr bwMode="auto">
                          <a:xfrm>
                            <a:off x="9628" y="31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117" name="Line 1836"/>
                        <wps:cNvCnPr>
                          <a:cxnSpLocks noChangeShapeType="1"/>
                        </wps:cNvCnPr>
                        <wps:spPr bwMode="auto">
                          <a:xfrm>
                            <a:off x="9628" y="31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118" name="Line 1835"/>
                        <wps:cNvCnPr>
                          <a:cxnSpLocks noChangeShapeType="1"/>
                        </wps:cNvCnPr>
                        <wps:spPr bwMode="auto">
                          <a:xfrm>
                            <a:off x="9628" y="320"/>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119" name="Line 1834"/>
                        <wps:cNvCnPr>
                          <a:cxnSpLocks noChangeShapeType="1"/>
                        </wps:cNvCnPr>
                        <wps:spPr bwMode="auto">
                          <a:xfrm>
                            <a:off x="9628" y="32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120" name="Line 1833"/>
                        <wps:cNvCnPr>
                          <a:cxnSpLocks noChangeShapeType="1"/>
                        </wps:cNvCnPr>
                        <wps:spPr bwMode="auto">
                          <a:xfrm>
                            <a:off x="9628" y="322"/>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121" name="Line 1832"/>
                        <wps:cNvCnPr>
                          <a:cxnSpLocks noChangeShapeType="1"/>
                        </wps:cNvCnPr>
                        <wps:spPr bwMode="auto">
                          <a:xfrm>
                            <a:off x="9628" y="32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122" name="Line 1831"/>
                        <wps:cNvCnPr>
                          <a:cxnSpLocks noChangeShapeType="1"/>
                        </wps:cNvCnPr>
                        <wps:spPr bwMode="auto">
                          <a:xfrm>
                            <a:off x="9628" y="32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123" name="Line 1830"/>
                        <wps:cNvCnPr>
                          <a:cxnSpLocks noChangeShapeType="1"/>
                        </wps:cNvCnPr>
                        <wps:spPr bwMode="auto">
                          <a:xfrm>
                            <a:off x="9628" y="326"/>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124" name="Line 1829"/>
                        <wps:cNvCnPr>
                          <a:cxnSpLocks noChangeShapeType="1"/>
                        </wps:cNvCnPr>
                        <wps:spPr bwMode="auto">
                          <a:xfrm>
                            <a:off x="9628" y="32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125" name="Line 1828"/>
                        <wps:cNvCnPr>
                          <a:cxnSpLocks noChangeShapeType="1"/>
                        </wps:cNvCnPr>
                        <wps:spPr bwMode="auto">
                          <a:xfrm>
                            <a:off x="9628" y="328"/>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64352A" id="Group 1827" o:spid="_x0000_s1026" style="position:absolute;margin-left:416.5pt;margin-top:15.5pt;width:129.75pt;height:1pt;z-index:15766016;mso-position-horizontal-relative:page" coordorigin="8330,310" coordsize="259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">
                <v:line id="Line 1891" o:spid="_x0000_s1027" style="position:absolute;visibility:visible;mso-wrap-style:square" from="8330,310" to="9628,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" strokeweight=".06pt"/>
                <v:line id="Line 1890" o:spid="_x0000_s1028" style="position:absolute;visibility:visible;mso-wrap-style:square" from="8330,311" to="9628,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" strokeweight=".06pt"/>
                <v:line id="Line 1889" o:spid="_x0000_s1029" style="position:absolute;visibility:visible;mso-wrap-style:square" from="8330,313" to="9628,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" strokeweight=".06pt"/>
                <v:line id="Line 1888" o:spid="_x0000_s1030" style="position:absolute;visibility:visible;mso-wrap-style:square" from="8330,314" to="9628,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" strokeweight=".06pt"/>
                <v:line id="Line 1887" o:spid="_x0000_s1031" style="position:absolute;visibility:visible;mso-wrap-style:square" from="8330,315" to="9628,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" strokeweight=".06pt"/>
                <v:line id="Line 1886" o:spid="_x0000_s1032" style="position:absolute;visibility:visible;mso-wrap-style:square" from="8330,316" to="9628,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" strokeweight=".06pt"/>
                <v:line id="Line 1885" o:spid="_x0000_s1033" style="position:absolute;visibility:visible;mso-wrap-style:square" from="8330,317" to="9628,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" strokeweight=".06pt"/>
                <v:line id="Line 1884" o:spid="_x0000_s1034" style="position:absolute;visibility:visible;mso-wrap-style:square" from="8330,319" to="9628,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" strokeweight=".06pt"/>
                <v:line id="Line 1883" o:spid="_x0000_s1035" style="position:absolute;visibility:visible;mso-wrap-style:square" from="8330,320" to="9628,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" strokeweight=".06pt"/>
                <v:line id="Line 1882" o:spid="_x0000_s1036" style="position:absolute;visibility:visible;mso-wrap-style:square" from="8330,321" to="9628,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" strokeweight=".06pt"/>
                <v:line id="Line 1881" o:spid="_x0000_s1037" style="position:absolute;visibility:visible;mso-wrap-style:square" from="8330,322" to="9628,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" strokeweight=".06pt"/>
                <v:line id="Line 1880" o:spid="_x0000_s1038" style="position:absolute;visibility:visible;mso-wrap-style:square" from="8330,323" to="9628,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" strokeweight=".06pt"/>
                <v:line id="Line 1879" o:spid="_x0000_s1039" style="position:absolute;visibility:visible;mso-wrap-style:square" from="8330,325" to="9628,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" strokeweight=".06pt"/>
                <v:line id="Line 1878" o:spid="_x0000_s1040" style="position:absolute;visibility:visible;mso-wrap-style:square" from="8330,326" to="9628,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" strokeweight=".06pt"/>
                <v:line id="Line 1877" o:spid="_x0000_s1041" style="position:absolute;visibility:visible;mso-wrap-style:square" from="8330,327" to="9628,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" strokeweight=".06pt"/>
                <v:line id="Line 1876" o:spid="_x0000_s1042" style="position:absolute;visibility:visible;mso-wrap-style:square" from="8330,328" to="9628,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" strokeweight=".06pt"/>
                <v:line id="Line 1875" o:spid="_x0000_s1043" style="position:absolute;visibility:visible;mso-wrap-style:square" from="9628,310" to="10925,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" strokeweight=".06pt"/>
                <v:line id="Line 1874" o:spid="_x0000_s1044" style="position:absolute;visibility:visible;mso-wrap-style:square" from="9628,311" to="10925,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" strokeweight=".06pt"/>
                <v:line id="Line 1873" o:spid="_x0000_s1045" style="position:absolute;visibility:visible;mso-wrap-style:square" from="9628,313" to="1092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" strokeweight=".06pt"/>
                <v:line id="Line 1872" o:spid="_x0000_s1046" style="position:absolute;visibility:visible;mso-wrap-style:square" from="9628,314" to="10925,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" strokeweight=".06pt"/>
                <v:line id="Line 1871" o:spid="_x0000_s1047" style="position:absolute;visibility:visible;mso-wrap-style:square" from="9628,315" to="10925,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" strokeweight=".06pt"/>
                <v:line id="Line 1870" o:spid="_x0000_s1048" style="position:absolute;visibility:visible;mso-wrap-style:square" from="9628,316" to="1092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" strokeweight=".06pt"/>
                <v:line id="Line 1869" o:spid="_x0000_s1049" style="position:absolute;visibility:visible;mso-wrap-style:square" from="9628,317" to="10925,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" strokeweight=".06pt"/>
                <v:line id="Line 1868" o:spid="_x0000_s1050" style="position:absolute;visibility:visible;mso-wrap-style:square" from="9628,319" to="10925,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" strokeweight=".06pt"/>
                <v:line id="Line 1867" o:spid="_x0000_s1051" style="position:absolute;visibility:visible;mso-wrap-style:square" from="9628,320" to="10925,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" strokeweight=".06pt"/>
                <v:line id="Line 1866" o:spid="_x0000_s1052" style="position:absolute;visibility:visible;mso-wrap-style:square" from="9628,321" to="10925,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" strokeweight=".06pt"/>
                <v:line id="Line 1865" o:spid="_x0000_s1053" style="position:absolute;visibility:visible;mso-wrap-style:square" from="9628,322" to="10925,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" strokeweight=".06pt"/>
                <v:line id="Line 1864" o:spid="_x0000_s1054" style="position:absolute;visibility:visible;mso-wrap-style:square" from="9628,323" to="10925,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" strokeweight=".06pt"/>
                <v:line id="Line 1863" o:spid="_x0000_s1055" style="position:absolute;visibility:visible;mso-wrap-style:square" from="9628,325" to="10925,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" strokeweight=".06pt"/>
                <v:line id="Line 1862" o:spid="_x0000_s1056" style="position:absolute;visibility:visible;mso-wrap-style:square" from="9628,326" to="10925,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" strokeweight=".06pt"/>
                <v:line id="Line 1861" o:spid="_x0000_s1057" style="position:absolute;visibility:visible;mso-wrap-style:square" from="9628,327" to="10925,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" strokeweight=".06pt"/>
                <v:line id="Line 1860" o:spid="_x0000_s1058" style="position:absolute;visibility:visible;mso-wrap-style:square" from="9628,328" to="10925,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" strokeweight=".06pt"/>
                <v:line id="Line 1859" o:spid="_x0000_s1059" style="position:absolute;visibility:visible;mso-wrap-style:square" from="8330,310" to="9628,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" strokeweight=".06pt"/>
                <v:line id="Line 1858" o:spid="_x0000_s1060" style="position:absolute;visibility:visible;mso-wrap-style:square" from="8330,311" to="9628,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" strokeweight=".06pt"/>
                <v:line id="Line 1857" o:spid="_x0000_s1061" style="position:absolute;visibility:visible;mso-wrap-style:square" from="8330,313" to="9628,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" strokeweight=".06pt"/>
                <v:line id="Line 1856" o:spid="_x0000_s1062" style="position:absolute;visibility:visible;mso-wrap-style:square" from="8330,314" to="9628,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" strokeweight=".06pt"/>
                <v:line id="Line 1855" o:spid="_x0000_s1063" style="position:absolute;visibility:visible;mso-wrap-style:square" from="8330,315" to="9628,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" strokeweight=".06pt"/>
                <v:line id="Line 1854" o:spid="_x0000_s1064" style="position:absolute;visibility:visible;mso-wrap-style:square" from="8330,316" to="9628,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" strokeweight=".06pt"/>
                <v:line id="Line 1853" o:spid="_x0000_s1065" style="position:absolute;visibility:visible;mso-wrap-style:square" from="8330,317" to="9628,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" strokeweight=".06pt"/>
                <v:line id="Line 1852" o:spid="_x0000_s1066" style="position:absolute;visibility:visible;mso-wrap-style:square" from="8330,319" to="9628,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" strokeweight=".06pt"/>
                <v:line id="Line 1851" o:spid="_x0000_s1067" style="position:absolute;visibility:visible;mso-wrap-style:square" from="8330,320" to="9628,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" strokeweight=".06pt"/>
                <v:line id="Line 1850" o:spid="_x0000_s1068" style="position:absolute;visibility:visible;mso-wrap-style:square" from="8330,321" to="9628,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" strokeweight=".06pt"/>
                <v:line id="Line 1849" o:spid="_x0000_s1069" style="position:absolute;visibility:visible;mso-wrap-style:square" from="8330,322" to="9628,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" strokeweight=".06pt"/>
                <v:line id="Line 1848" o:spid="_x0000_s1070" style="position:absolute;visibility:visible;mso-wrap-style:square" from="8330,323" to="9628,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" strokeweight=".06pt"/>
                <v:line id="Line 1847" o:spid="_x0000_s1071" style="position:absolute;visibility:visible;mso-wrap-style:square" from="8330,325" to="9628,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" strokeweight=".06pt"/>
                <v:line id="Line 1846" o:spid="_x0000_s1072" style="position:absolute;visibility:visible;mso-wrap-style:square" from="8330,326" to="9628,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" strokeweight=".06pt"/>
                <v:line id="Line 1845" o:spid="_x0000_s1073" style="position:absolute;visibility:visible;mso-wrap-style:square" from="8330,327" to="9628,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" strokeweight=".06pt"/>
                <v:line id="Line 1844" o:spid="_x0000_s1074" style="position:absolute;visibility:visible;mso-wrap-style:square" from="8330,328" to="9628,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" strokeweight=".06pt"/>
                <v:line id="Line 1843" o:spid="_x0000_s1075" style="position:absolute;visibility:visible;mso-wrap-style:square" from="9628,310" to="10925,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" strokeweight=".06pt"/>
                <v:line id="Line 1842" o:spid="_x0000_s1076" style="position:absolute;visibility:visible;mso-wrap-style:square" from="9628,311" to="10925,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" strokeweight=".06pt"/>
                <v:line id="Line 1841" o:spid="_x0000_s1077" style="position:absolute;visibility:visible;mso-wrap-style:square" from="9628,313" to="1092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" strokeweight=".06pt"/>
                <v:line id="Line 1840" o:spid="_x0000_s1078" style="position:absolute;visibility:visible;mso-wrap-style:square" from="9628,314" to="10925,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" strokeweight=".06pt"/>
                <v:line id="Line 1839" o:spid="_x0000_s1079" style="position:absolute;visibility:visible;mso-wrap-style:square" from="9628,315" to="10925,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" strokeweight=".06pt"/>
                <v:line id="Line 1838" o:spid="_x0000_s1080" style="position:absolute;visibility:visible;mso-wrap-style:square" from="9628,316" to="1092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" strokeweight=".06pt"/>
                <v:line id="Line 1837" o:spid="_x0000_s1081" style="position:absolute;visibility:visible;mso-wrap-style:square" from="9628,317" to="10925,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" strokeweight=".06pt"/>
                <v:line id="Line 1836" o:spid="_x0000_s1082" style="position:absolute;visibility:visible;mso-wrap-style:square" from="9628,319" to="10925,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" strokeweight=".06pt"/>
                <v:line id="Line 1835" o:spid="_x0000_s1083" style="position:absolute;visibility:visible;mso-wrap-style:square" from="9628,320" to="10925,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" strokeweight=".06pt"/>
                <v:line id="Line 1834" o:spid="_x0000_s1084" style="position:absolute;visibility:visible;mso-wrap-style:square" from="9628,321" to="10925,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" strokeweight=".06pt"/>
                <v:line id="Line 1833" o:spid="_x0000_s1085" style="position:absolute;visibility:visible;mso-wrap-style:square" from="9628,322" to="10925,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" strokeweight=".06pt"/>
                <v:line id="Line 1832" o:spid="_x0000_s1086" style="position:absolute;visibility:visible;mso-wrap-style:square" from="9628,323" to="10925,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" strokeweight=".06pt"/>
                <v:line id="Line 1831" o:spid="_x0000_s1087" style="position:absolute;visibility:visible;mso-wrap-style:square" from="9628,325" to="10925,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" strokeweight=".06pt"/>
                <v:line id="Line 1830" o:spid="_x0000_s1088" style="position:absolute;visibility:visible;mso-wrap-style:square" from="9628,326" to="10925,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" strokeweight=".06pt"/>
                <v:line id="Line 1829" o:spid="_x0000_s1089" style="position:absolute;visibility:visible;mso-wrap-style:square" from="9628,327" to="10925,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" strokeweight=".06pt"/>
                <v:line id="Line 1828" o:spid="_x0000_s1090" style="position:absolute;visibility:visible;mso-wrap-style:square" from="9628,328" to="10925,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" strokeweight=".06pt"/>
                <w10:wrap anchorx="page"/>
              </v:group>
            </w:pict>
          </mc:Fallback>
        </mc:AlternateContent>
      </w:r>
      <w:r w:rsidR="0015611F">
        <w:rPr>
          <w:b/>
          <w:sz w:val="18"/>
        </w:rPr>
        <w:t>Total</w:t>
      </w:r>
      <w:r w:rsidR="0015611F">
        <w:rPr>
          <w:b/>
          <w:spacing w:val="-2"/>
          <w:sz w:val="18"/>
        </w:rPr>
        <w:t xml:space="preserve"> </w:t>
      </w:r>
      <w:r w:rsidR="0015611F">
        <w:rPr>
          <w:b/>
          <w:sz w:val="18"/>
        </w:rPr>
        <w:t>Non-Current</w:t>
      </w:r>
      <w:r w:rsidR="0015611F">
        <w:rPr>
          <w:b/>
          <w:spacing w:val="-2"/>
          <w:sz w:val="18"/>
        </w:rPr>
        <w:t xml:space="preserve"> </w:t>
      </w:r>
      <w:r w:rsidR="0015611F">
        <w:rPr>
          <w:b/>
          <w:sz w:val="18"/>
        </w:rPr>
        <w:t>Assets</w:t>
      </w:r>
      <w:r w:rsidR="0015611F">
        <w:rPr>
          <w:b/>
          <w:sz w:val="18"/>
        </w:rPr>
        <w:tab/>
      </w:r>
      <w:r w:rsidR="0015611F">
        <w:rPr>
          <w:b/>
          <w:position w:val="-8"/>
          <w:sz w:val="18"/>
        </w:rPr>
        <w:t>3,865,336</w:t>
      </w:r>
      <w:r w:rsidR="0015611F">
        <w:rPr>
          <w:b/>
          <w:position w:val="-8"/>
          <w:sz w:val="18"/>
        </w:rPr>
        <w:tab/>
      </w:r>
      <w:r w:rsidR="0015611F">
        <w:rPr>
          <w:position w:val="-8"/>
          <w:sz w:val="18"/>
        </w:rPr>
        <w:t>4,468,412</w:t>
      </w:r>
    </w:p>
    <w:tbl>
      <w:tblPr>
        <w:tblW w:w="0" w:type="auto"/>
        <w:tblInd w:w="153" w:type="dxa"/>
        <w:tblLayout w:type="fixed"/>
        <w:tblCellMar>
          <w:left w:w="0" w:type="dxa"/>
          <w:right w:w="0" w:type="dxa"/>
        </w:tblCellMar>
        <w:tblLook w:val="01E0" w:firstRow="1" w:lastRow="1" w:firstColumn="1" w:lastColumn="1" w:noHBand="0" w:noVBand="0"/>
      </w:tblPr>
      <w:tblGrid>
        <w:gridCol w:w="4617"/>
        <w:gridCol w:w="2727"/>
        <w:gridCol w:w="1408"/>
        <w:gridCol w:w="1186"/>
      </w:tblGrid>
      <w:tr w:rsidR="00FA4AA8" w14:paraId="7F070B7F" w14:textId="77777777">
        <w:trPr>
          <w:trHeight w:val="313"/>
        </w:trPr>
        <w:tc>
          <w:tcPr>
            <w:tcW w:w="4617" w:type="dxa"/>
          </w:tcPr>
          <w:p w14:paraId="765893FD" w14:textId="77777777" w:rsidR="00FA4AA8" w:rsidRDefault="0015611F">
            <w:pPr>
              <w:pStyle w:val="TableParagraph"/>
              <w:spacing w:before="28"/>
              <w:ind w:left="50"/>
              <w:rPr>
                <w:b/>
                <w:sz w:val="18"/>
              </w:rPr>
            </w:pPr>
            <w:r>
              <w:rPr>
                <w:b/>
                <w:sz w:val="18"/>
              </w:rPr>
              <w:t>Total Assets</w:t>
            </w:r>
          </w:p>
        </w:tc>
        <w:tc>
          <w:tcPr>
            <w:tcW w:w="2727" w:type="dxa"/>
          </w:tcPr>
          <w:p w14:paraId="3F323C95" w14:textId="77777777" w:rsidR="00FA4AA8" w:rsidRDefault="00FA4AA8">
            <w:pPr>
              <w:pStyle w:val="TableParagraph"/>
              <w:rPr>
                <w:rFonts w:ascii="Times New Roman"/>
                <w:sz w:val="18"/>
              </w:rPr>
            </w:pPr>
          </w:p>
        </w:tc>
        <w:tc>
          <w:tcPr>
            <w:tcW w:w="1408" w:type="dxa"/>
            <w:tcBorders>
              <w:bottom w:val="double" w:sz="3" w:space="0" w:color="000000"/>
            </w:tcBorders>
          </w:tcPr>
          <w:p w14:paraId="054AFAB9" w14:textId="77777777" w:rsidR="00FA4AA8" w:rsidRDefault="0015611F">
            <w:pPr>
              <w:pStyle w:val="TableParagraph"/>
              <w:spacing w:before="113" w:line="180" w:lineRule="exact"/>
              <w:ind w:right="196"/>
              <w:jc w:val="right"/>
              <w:rPr>
                <w:b/>
                <w:sz w:val="18"/>
              </w:rPr>
            </w:pPr>
            <w:r>
              <w:rPr>
                <w:b/>
                <w:sz w:val="18"/>
              </w:rPr>
              <w:t>17,498,627</w:t>
            </w:r>
          </w:p>
        </w:tc>
        <w:tc>
          <w:tcPr>
            <w:tcW w:w="1186" w:type="dxa"/>
            <w:tcBorders>
              <w:bottom w:val="double" w:sz="3" w:space="0" w:color="000000"/>
            </w:tcBorders>
          </w:tcPr>
          <w:p w14:paraId="28812F79" w14:textId="77777777" w:rsidR="00FA4AA8" w:rsidRDefault="0015611F">
            <w:pPr>
              <w:pStyle w:val="TableParagraph"/>
              <w:spacing w:before="113" w:line="180" w:lineRule="exact"/>
              <w:ind w:right="85"/>
              <w:jc w:val="right"/>
              <w:rPr>
                <w:sz w:val="18"/>
              </w:rPr>
            </w:pPr>
            <w:r>
              <w:rPr>
                <w:sz w:val="18"/>
              </w:rPr>
              <w:t>14,760,810</w:t>
            </w:r>
          </w:p>
        </w:tc>
      </w:tr>
      <w:tr w:rsidR="00FA4AA8" w14:paraId="7535E21B" w14:textId="77777777">
        <w:trPr>
          <w:trHeight w:val="580"/>
        </w:trPr>
        <w:tc>
          <w:tcPr>
            <w:tcW w:w="4617" w:type="dxa"/>
          </w:tcPr>
          <w:p w14:paraId="4C50FF79" w14:textId="77777777" w:rsidR="00FA4AA8" w:rsidRDefault="0015611F">
            <w:pPr>
              <w:pStyle w:val="TableParagraph"/>
              <w:spacing w:before="108"/>
              <w:ind w:left="50"/>
              <w:rPr>
                <w:b/>
                <w:sz w:val="18"/>
              </w:rPr>
            </w:pPr>
            <w:r>
              <w:rPr>
                <w:b/>
                <w:sz w:val="18"/>
              </w:rPr>
              <w:t>LIABILITIES</w:t>
            </w:r>
          </w:p>
          <w:p w14:paraId="5A659401" w14:textId="77777777" w:rsidR="00FA4AA8" w:rsidRDefault="0015611F">
            <w:pPr>
              <w:pStyle w:val="TableParagraph"/>
              <w:spacing w:before="27"/>
              <w:ind w:left="50"/>
              <w:rPr>
                <w:b/>
                <w:sz w:val="18"/>
              </w:rPr>
            </w:pPr>
            <w:r>
              <w:rPr>
                <w:b/>
                <w:sz w:val="18"/>
              </w:rPr>
              <w:t>Current Liabilities</w:t>
            </w:r>
          </w:p>
        </w:tc>
        <w:tc>
          <w:tcPr>
            <w:tcW w:w="2727" w:type="dxa"/>
          </w:tcPr>
          <w:p w14:paraId="05EBDC68" w14:textId="77777777" w:rsidR="00FA4AA8" w:rsidRDefault="00FA4AA8">
            <w:pPr>
              <w:pStyle w:val="TableParagraph"/>
              <w:rPr>
                <w:rFonts w:ascii="Times New Roman"/>
                <w:sz w:val="18"/>
              </w:rPr>
            </w:pPr>
          </w:p>
        </w:tc>
        <w:tc>
          <w:tcPr>
            <w:tcW w:w="1408" w:type="dxa"/>
            <w:tcBorders>
              <w:top w:val="double" w:sz="3" w:space="0" w:color="000000"/>
            </w:tcBorders>
          </w:tcPr>
          <w:p w14:paraId="447346CA" w14:textId="77777777" w:rsidR="00FA4AA8" w:rsidRDefault="00FA4AA8">
            <w:pPr>
              <w:pStyle w:val="TableParagraph"/>
              <w:rPr>
                <w:rFonts w:ascii="Times New Roman"/>
                <w:sz w:val="18"/>
              </w:rPr>
            </w:pPr>
          </w:p>
        </w:tc>
        <w:tc>
          <w:tcPr>
            <w:tcW w:w="1186" w:type="dxa"/>
            <w:tcBorders>
              <w:top w:val="double" w:sz="3" w:space="0" w:color="000000"/>
            </w:tcBorders>
          </w:tcPr>
          <w:p w14:paraId="156F9864" w14:textId="77777777" w:rsidR="00FA4AA8" w:rsidRDefault="00FA4AA8">
            <w:pPr>
              <w:pStyle w:val="TableParagraph"/>
              <w:rPr>
                <w:rFonts w:ascii="Times New Roman"/>
                <w:sz w:val="18"/>
              </w:rPr>
            </w:pPr>
          </w:p>
        </w:tc>
      </w:tr>
      <w:tr w:rsidR="00FA4AA8" w14:paraId="5ABF9A4E" w14:textId="77777777">
        <w:trPr>
          <w:trHeight w:val="264"/>
        </w:trPr>
        <w:tc>
          <w:tcPr>
            <w:tcW w:w="4617" w:type="dxa"/>
          </w:tcPr>
          <w:p w14:paraId="2F302557" w14:textId="77777777" w:rsidR="00FA4AA8" w:rsidRDefault="0015611F">
            <w:pPr>
              <w:pStyle w:val="TableParagraph"/>
              <w:spacing w:before="25"/>
              <w:ind w:left="50"/>
              <w:rPr>
                <w:sz w:val="18"/>
              </w:rPr>
            </w:pPr>
            <w:r>
              <w:rPr>
                <w:sz w:val="18"/>
              </w:rPr>
              <w:t>Trade payables</w:t>
            </w:r>
          </w:p>
        </w:tc>
        <w:tc>
          <w:tcPr>
            <w:tcW w:w="2727" w:type="dxa"/>
          </w:tcPr>
          <w:p w14:paraId="65153413" w14:textId="77777777" w:rsidR="00FA4AA8" w:rsidRDefault="00FA4AA8">
            <w:pPr>
              <w:pStyle w:val="TableParagraph"/>
              <w:rPr>
                <w:rFonts w:ascii="Times New Roman"/>
                <w:sz w:val="18"/>
              </w:rPr>
            </w:pPr>
          </w:p>
        </w:tc>
        <w:tc>
          <w:tcPr>
            <w:tcW w:w="1408" w:type="dxa"/>
          </w:tcPr>
          <w:p w14:paraId="797BA2F4" w14:textId="77777777" w:rsidR="00FA4AA8" w:rsidRDefault="0015611F">
            <w:pPr>
              <w:pStyle w:val="TableParagraph"/>
              <w:spacing w:before="26"/>
              <w:ind w:right="196"/>
              <w:jc w:val="right"/>
              <w:rPr>
                <w:b/>
                <w:sz w:val="18"/>
              </w:rPr>
            </w:pPr>
            <w:r>
              <w:rPr>
                <w:b/>
                <w:sz w:val="18"/>
              </w:rPr>
              <w:t>94,188</w:t>
            </w:r>
          </w:p>
        </w:tc>
        <w:tc>
          <w:tcPr>
            <w:tcW w:w="1186" w:type="dxa"/>
          </w:tcPr>
          <w:p w14:paraId="1727539E" w14:textId="77777777" w:rsidR="00FA4AA8" w:rsidRDefault="0015611F">
            <w:pPr>
              <w:pStyle w:val="TableParagraph"/>
              <w:spacing w:before="26"/>
              <w:ind w:right="85"/>
              <w:jc w:val="right"/>
              <w:rPr>
                <w:sz w:val="18"/>
              </w:rPr>
            </w:pPr>
            <w:r>
              <w:rPr>
                <w:sz w:val="18"/>
              </w:rPr>
              <w:t>467,295</w:t>
            </w:r>
          </w:p>
        </w:tc>
      </w:tr>
      <w:tr w:rsidR="00FA4AA8" w14:paraId="54F98A5D" w14:textId="77777777">
        <w:trPr>
          <w:trHeight w:val="264"/>
        </w:trPr>
        <w:tc>
          <w:tcPr>
            <w:tcW w:w="4617" w:type="dxa"/>
          </w:tcPr>
          <w:p w14:paraId="038F8E3D" w14:textId="77777777" w:rsidR="00FA4AA8" w:rsidRDefault="0015611F">
            <w:pPr>
              <w:pStyle w:val="TableParagraph"/>
              <w:spacing w:before="25"/>
              <w:ind w:left="50"/>
              <w:rPr>
                <w:sz w:val="18"/>
              </w:rPr>
            </w:pPr>
            <w:r>
              <w:rPr>
                <w:sz w:val="18"/>
              </w:rPr>
              <w:t>Tuition fees advance receipts</w:t>
            </w:r>
          </w:p>
        </w:tc>
        <w:tc>
          <w:tcPr>
            <w:tcW w:w="2727" w:type="dxa"/>
          </w:tcPr>
          <w:p w14:paraId="35505CDA" w14:textId="77777777" w:rsidR="00FA4AA8" w:rsidRDefault="00FA4AA8">
            <w:pPr>
              <w:pStyle w:val="TableParagraph"/>
              <w:rPr>
                <w:rFonts w:ascii="Times New Roman"/>
                <w:sz w:val="18"/>
              </w:rPr>
            </w:pPr>
          </w:p>
        </w:tc>
        <w:tc>
          <w:tcPr>
            <w:tcW w:w="1408" w:type="dxa"/>
          </w:tcPr>
          <w:p w14:paraId="6706F4DB" w14:textId="77777777" w:rsidR="00FA4AA8" w:rsidRDefault="0015611F">
            <w:pPr>
              <w:pStyle w:val="TableParagraph"/>
              <w:spacing w:before="26"/>
              <w:ind w:right="196"/>
              <w:jc w:val="right"/>
              <w:rPr>
                <w:b/>
                <w:sz w:val="18"/>
              </w:rPr>
            </w:pPr>
            <w:r>
              <w:rPr>
                <w:b/>
                <w:sz w:val="18"/>
              </w:rPr>
              <w:t>1,338,864</w:t>
            </w:r>
          </w:p>
        </w:tc>
        <w:tc>
          <w:tcPr>
            <w:tcW w:w="1186" w:type="dxa"/>
          </w:tcPr>
          <w:p w14:paraId="10EC5159" w14:textId="77777777" w:rsidR="00FA4AA8" w:rsidRDefault="0015611F">
            <w:pPr>
              <w:pStyle w:val="TableParagraph"/>
              <w:spacing w:before="26"/>
              <w:ind w:right="85"/>
              <w:jc w:val="right"/>
              <w:rPr>
                <w:sz w:val="18"/>
              </w:rPr>
            </w:pPr>
            <w:r>
              <w:rPr>
                <w:sz w:val="18"/>
              </w:rPr>
              <w:t>1,074,170</w:t>
            </w:r>
          </w:p>
        </w:tc>
      </w:tr>
      <w:tr w:rsidR="00FA4AA8" w14:paraId="5B832D39" w14:textId="77777777">
        <w:trPr>
          <w:trHeight w:val="263"/>
        </w:trPr>
        <w:tc>
          <w:tcPr>
            <w:tcW w:w="4617" w:type="dxa"/>
          </w:tcPr>
          <w:p w14:paraId="043DF31F" w14:textId="77777777" w:rsidR="00FA4AA8" w:rsidRDefault="0015611F">
            <w:pPr>
              <w:pStyle w:val="TableParagraph"/>
              <w:spacing w:before="25"/>
              <w:ind w:left="50"/>
              <w:rPr>
                <w:sz w:val="18"/>
              </w:rPr>
            </w:pPr>
            <w:r>
              <w:rPr>
                <w:sz w:val="18"/>
              </w:rPr>
              <w:t>Amounts due to joint venture</w:t>
            </w:r>
          </w:p>
        </w:tc>
        <w:tc>
          <w:tcPr>
            <w:tcW w:w="2727" w:type="dxa"/>
          </w:tcPr>
          <w:p w14:paraId="57A49DDD" w14:textId="77777777" w:rsidR="00FA4AA8" w:rsidRDefault="0015611F">
            <w:pPr>
              <w:pStyle w:val="TableParagraph"/>
              <w:spacing w:before="26"/>
              <w:ind w:left="2208" w:right="58"/>
              <w:jc w:val="center"/>
              <w:rPr>
                <w:sz w:val="18"/>
              </w:rPr>
            </w:pPr>
            <w:r>
              <w:rPr>
                <w:sz w:val="18"/>
              </w:rPr>
              <w:t>15(d)</w:t>
            </w:r>
          </w:p>
        </w:tc>
        <w:tc>
          <w:tcPr>
            <w:tcW w:w="1408" w:type="dxa"/>
          </w:tcPr>
          <w:p w14:paraId="61490A90" w14:textId="77777777" w:rsidR="00FA4AA8" w:rsidRDefault="0015611F">
            <w:pPr>
              <w:pStyle w:val="TableParagraph"/>
              <w:spacing w:before="26"/>
              <w:ind w:right="196"/>
              <w:jc w:val="right"/>
              <w:rPr>
                <w:b/>
                <w:sz w:val="18"/>
              </w:rPr>
            </w:pPr>
            <w:r>
              <w:rPr>
                <w:b/>
                <w:sz w:val="18"/>
              </w:rPr>
              <w:t>1,590,760</w:t>
            </w:r>
          </w:p>
        </w:tc>
        <w:tc>
          <w:tcPr>
            <w:tcW w:w="1186" w:type="dxa"/>
          </w:tcPr>
          <w:p w14:paraId="4A272A00" w14:textId="77777777" w:rsidR="00FA4AA8" w:rsidRDefault="0015611F">
            <w:pPr>
              <w:pStyle w:val="TableParagraph"/>
              <w:spacing w:before="26"/>
              <w:ind w:right="85"/>
              <w:jc w:val="right"/>
              <w:rPr>
                <w:sz w:val="18"/>
              </w:rPr>
            </w:pPr>
            <w:r>
              <w:rPr>
                <w:sz w:val="18"/>
              </w:rPr>
              <w:t>-</w:t>
            </w:r>
          </w:p>
        </w:tc>
      </w:tr>
      <w:tr w:rsidR="00FA4AA8" w14:paraId="7DFD4157" w14:textId="77777777">
        <w:trPr>
          <w:trHeight w:val="263"/>
        </w:trPr>
        <w:tc>
          <w:tcPr>
            <w:tcW w:w="4617" w:type="dxa"/>
          </w:tcPr>
          <w:p w14:paraId="526ABAC6" w14:textId="77777777" w:rsidR="00FA4AA8" w:rsidRDefault="0015611F">
            <w:pPr>
              <w:pStyle w:val="TableParagraph"/>
              <w:spacing w:before="25"/>
              <w:ind w:left="50"/>
              <w:rPr>
                <w:sz w:val="18"/>
              </w:rPr>
            </w:pPr>
            <w:r>
              <w:rPr>
                <w:sz w:val="18"/>
              </w:rPr>
              <w:t>Accrued expenses</w:t>
            </w:r>
          </w:p>
        </w:tc>
        <w:tc>
          <w:tcPr>
            <w:tcW w:w="2727" w:type="dxa"/>
          </w:tcPr>
          <w:p w14:paraId="638C1A50" w14:textId="77777777" w:rsidR="00FA4AA8" w:rsidRDefault="0015611F">
            <w:pPr>
              <w:pStyle w:val="TableParagraph"/>
              <w:spacing w:before="26"/>
              <w:ind w:left="2151"/>
              <w:jc w:val="center"/>
              <w:rPr>
                <w:sz w:val="18"/>
              </w:rPr>
            </w:pPr>
            <w:r>
              <w:rPr>
                <w:sz w:val="18"/>
              </w:rPr>
              <w:t>9</w:t>
            </w:r>
          </w:p>
        </w:tc>
        <w:tc>
          <w:tcPr>
            <w:tcW w:w="1408" w:type="dxa"/>
          </w:tcPr>
          <w:p w14:paraId="10DA6DD8" w14:textId="77777777" w:rsidR="00FA4AA8" w:rsidRDefault="0015611F">
            <w:pPr>
              <w:pStyle w:val="TableParagraph"/>
              <w:spacing w:before="26"/>
              <w:ind w:right="196"/>
              <w:jc w:val="right"/>
              <w:rPr>
                <w:b/>
                <w:sz w:val="18"/>
              </w:rPr>
            </w:pPr>
            <w:r>
              <w:rPr>
                <w:b/>
                <w:sz w:val="18"/>
              </w:rPr>
              <w:t>4,289,281</w:t>
            </w:r>
          </w:p>
        </w:tc>
        <w:tc>
          <w:tcPr>
            <w:tcW w:w="1186" w:type="dxa"/>
          </w:tcPr>
          <w:p w14:paraId="26B4B7D6" w14:textId="77777777" w:rsidR="00FA4AA8" w:rsidRDefault="0015611F">
            <w:pPr>
              <w:pStyle w:val="TableParagraph"/>
              <w:spacing w:before="26"/>
              <w:ind w:right="85"/>
              <w:jc w:val="right"/>
              <w:rPr>
                <w:sz w:val="18"/>
              </w:rPr>
            </w:pPr>
            <w:r>
              <w:rPr>
                <w:sz w:val="18"/>
              </w:rPr>
              <w:t>3,009,422</w:t>
            </w:r>
          </w:p>
        </w:tc>
      </w:tr>
      <w:tr w:rsidR="00FA4AA8" w14:paraId="099A2E8B" w14:textId="77777777">
        <w:trPr>
          <w:trHeight w:val="263"/>
        </w:trPr>
        <w:tc>
          <w:tcPr>
            <w:tcW w:w="4617" w:type="dxa"/>
          </w:tcPr>
          <w:p w14:paraId="77C09413" w14:textId="77777777" w:rsidR="00FA4AA8" w:rsidRDefault="0015611F">
            <w:pPr>
              <w:pStyle w:val="TableParagraph"/>
              <w:spacing w:before="25"/>
              <w:ind w:left="50"/>
              <w:rPr>
                <w:sz w:val="18"/>
              </w:rPr>
            </w:pPr>
            <w:r>
              <w:rPr>
                <w:sz w:val="18"/>
              </w:rPr>
              <w:t>Provisions</w:t>
            </w:r>
          </w:p>
        </w:tc>
        <w:tc>
          <w:tcPr>
            <w:tcW w:w="2727" w:type="dxa"/>
          </w:tcPr>
          <w:p w14:paraId="31FD8547" w14:textId="77777777" w:rsidR="00FA4AA8" w:rsidRDefault="0015611F">
            <w:pPr>
              <w:pStyle w:val="TableParagraph"/>
              <w:spacing w:before="26"/>
              <w:ind w:left="2208" w:right="58"/>
              <w:jc w:val="center"/>
              <w:rPr>
                <w:sz w:val="18"/>
              </w:rPr>
            </w:pPr>
            <w:r>
              <w:rPr>
                <w:sz w:val="18"/>
              </w:rPr>
              <w:t>10</w:t>
            </w:r>
          </w:p>
        </w:tc>
        <w:tc>
          <w:tcPr>
            <w:tcW w:w="1408" w:type="dxa"/>
          </w:tcPr>
          <w:p w14:paraId="65EECFAE" w14:textId="77777777" w:rsidR="00FA4AA8" w:rsidRDefault="0015611F">
            <w:pPr>
              <w:pStyle w:val="TableParagraph"/>
              <w:spacing w:before="26"/>
              <w:ind w:right="196"/>
              <w:jc w:val="right"/>
              <w:rPr>
                <w:b/>
                <w:sz w:val="18"/>
              </w:rPr>
            </w:pPr>
            <w:r>
              <w:rPr>
                <w:b/>
                <w:sz w:val="18"/>
              </w:rPr>
              <w:t>2,082,712</w:t>
            </w:r>
          </w:p>
        </w:tc>
        <w:tc>
          <w:tcPr>
            <w:tcW w:w="1186" w:type="dxa"/>
          </w:tcPr>
          <w:p w14:paraId="15A22CB7" w14:textId="77777777" w:rsidR="00FA4AA8" w:rsidRDefault="0015611F">
            <w:pPr>
              <w:pStyle w:val="TableParagraph"/>
              <w:spacing w:before="26"/>
              <w:ind w:right="85"/>
              <w:jc w:val="right"/>
              <w:rPr>
                <w:sz w:val="18"/>
              </w:rPr>
            </w:pPr>
            <w:r>
              <w:rPr>
                <w:sz w:val="18"/>
              </w:rPr>
              <w:t>2,131,424</w:t>
            </w:r>
          </w:p>
        </w:tc>
      </w:tr>
      <w:tr w:rsidR="00FA4AA8" w14:paraId="346CFD83" w14:textId="77777777">
        <w:trPr>
          <w:trHeight w:val="260"/>
        </w:trPr>
        <w:tc>
          <w:tcPr>
            <w:tcW w:w="4617" w:type="dxa"/>
          </w:tcPr>
          <w:p w14:paraId="7AF8379A" w14:textId="77777777" w:rsidR="00FA4AA8" w:rsidRDefault="0015611F">
            <w:pPr>
              <w:pStyle w:val="TableParagraph"/>
              <w:spacing w:before="25"/>
              <w:ind w:left="50"/>
              <w:rPr>
                <w:sz w:val="18"/>
              </w:rPr>
            </w:pPr>
            <w:r>
              <w:rPr>
                <w:sz w:val="18"/>
              </w:rPr>
              <w:t>Other liabilities</w:t>
            </w:r>
          </w:p>
        </w:tc>
        <w:tc>
          <w:tcPr>
            <w:tcW w:w="2727" w:type="dxa"/>
          </w:tcPr>
          <w:p w14:paraId="1F79F620" w14:textId="77777777" w:rsidR="00FA4AA8" w:rsidRDefault="0015611F">
            <w:pPr>
              <w:pStyle w:val="TableParagraph"/>
              <w:spacing w:before="26"/>
              <w:ind w:left="2208" w:right="58"/>
              <w:jc w:val="center"/>
              <w:rPr>
                <w:sz w:val="18"/>
              </w:rPr>
            </w:pPr>
            <w:r>
              <w:rPr>
                <w:sz w:val="18"/>
              </w:rPr>
              <w:t>11</w:t>
            </w:r>
          </w:p>
        </w:tc>
        <w:tc>
          <w:tcPr>
            <w:tcW w:w="1408" w:type="dxa"/>
            <w:tcBorders>
              <w:bottom w:val="single" w:sz="8" w:space="0" w:color="000000"/>
            </w:tcBorders>
          </w:tcPr>
          <w:p w14:paraId="24E3E1C0" w14:textId="77777777" w:rsidR="00FA4AA8" w:rsidRDefault="0015611F">
            <w:pPr>
              <w:pStyle w:val="TableParagraph"/>
              <w:spacing w:before="26"/>
              <w:ind w:right="196"/>
              <w:jc w:val="right"/>
              <w:rPr>
                <w:b/>
                <w:sz w:val="18"/>
              </w:rPr>
            </w:pPr>
            <w:r>
              <w:rPr>
                <w:b/>
                <w:sz w:val="18"/>
              </w:rPr>
              <w:t>486,350</w:t>
            </w:r>
          </w:p>
        </w:tc>
        <w:tc>
          <w:tcPr>
            <w:tcW w:w="1186" w:type="dxa"/>
            <w:tcBorders>
              <w:bottom w:val="single" w:sz="8" w:space="0" w:color="000000"/>
            </w:tcBorders>
          </w:tcPr>
          <w:p w14:paraId="55583819" w14:textId="77777777" w:rsidR="00FA4AA8" w:rsidRDefault="0015611F">
            <w:pPr>
              <w:pStyle w:val="TableParagraph"/>
              <w:spacing w:before="26"/>
              <w:ind w:right="85"/>
              <w:jc w:val="right"/>
              <w:rPr>
                <w:sz w:val="18"/>
              </w:rPr>
            </w:pPr>
            <w:r>
              <w:rPr>
                <w:sz w:val="18"/>
              </w:rPr>
              <w:t>561,050</w:t>
            </w:r>
          </w:p>
        </w:tc>
      </w:tr>
      <w:tr w:rsidR="00FA4AA8" w14:paraId="16A837C6" w14:textId="77777777">
        <w:trPr>
          <w:trHeight w:val="318"/>
        </w:trPr>
        <w:tc>
          <w:tcPr>
            <w:tcW w:w="4617" w:type="dxa"/>
          </w:tcPr>
          <w:p w14:paraId="544649AE" w14:textId="77777777" w:rsidR="00FA4AA8" w:rsidRDefault="0015611F">
            <w:pPr>
              <w:pStyle w:val="TableParagraph"/>
              <w:spacing w:before="28"/>
              <w:ind w:left="50"/>
              <w:rPr>
                <w:b/>
                <w:sz w:val="18"/>
              </w:rPr>
            </w:pPr>
            <w:r>
              <w:rPr>
                <w:b/>
                <w:sz w:val="18"/>
              </w:rPr>
              <w:t>Total Current Liabilities</w:t>
            </w:r>
          </w:p>
        </w:tc>
        <w:tc>
          <w:tcPr>
            <w:tcW w:w="2727" w:type="dxa"/>
          </w:tcPr>
          <w:p w14:paraId="27856FCE" w14:textId="77777777" w:rsidR="00FA4AA8" w:rsidRDefault="00FA4AA8">
            <w:pPr>
              <w:pStyle w:val="TableParagraph"/>
              <w:rPr>
                <w:rFonts w:ascii="Times New Roman"/>
                <w:sz w:val="18"/>
              </w:rPr>
            </w:pPr>
          </w:p>
        </w:tc>
        <w:tc>
          <w:tcPr>
            <w:tcW w:w="1408" w:type="dxa"/>
            <w:tcBorders>
              <w:top w:val="single" w:sz="8" w:space="0" w:color="000000"/>
              <w:bottom w:val="single" w:sz="8" w:space="0" w:color="000000"/>
            </w:tcBorders>
          </w:tcPr>
          <w:p w14:paraId="451EF246" w14:textId="77777777" w:rsidR="00FA4AA8" w:rsidRDefault="0015611F">
            <w:pPr>
              <w:pStyle w:val="TableParagraph"/>
              <w:spacing w:before="113" w:line="185" w:lineRule="exact"/>
              <w:ind w:right="196"/>
              <w:jc w:val="right"/>
              <w:rPr>
                <w:b/>
                <w:sz w:val="18"/>
              </w:rPr>
            </w:pPr>
            <w:r>
              <w:rPr>
                <w:b/>
                <w:sz w:val="18"/>
              </w:rPr>
              <w:t>9,882,155</w:t>
            </w:r>
          </w:p>
        </w:tc>
        <w:tc>
          <w:tcPr>
            <w:tcW w:w="1186" w:type="dxa"/>
            <w:tcBorders>
              <w:top w:val="single" w:sz="8" w:space="0" w:color="000000"/>
              <w:bottom w:val="single" w:sz="8" w:space="0" w:color="000000"/>
            </w:tcBorders>
          </w:tcPr>
          <w:p w14:paraId="4F41495C" w14:textId="77777777" w:rsidR="00FA4AA8" w:rsidRDefault="0015611F">
            <w:pPr>
              <w:pStyle w:val="TableParagraph"/>
              <w:spacing w:before="113" w:line="185" w:lineRule="exact"/>
              <w:ind w:right="85"/>
              <w:jc w:val="right"/>
              <w:rPr>
                <w:sz w:val="18"/>
              </w:rPr>
            </w:pPr>
            <w:r>
              <w:rPr>
                <w:sz w:val="18"/>
              </w:rPr>
              <w:t>7,243,361</w:t>
            </w:r>
          </w:p>
        </w:tc>
      </w:tr>
      <w:tr w:rsidR="00FA4AA8" w14:paraId="3FD488AA" w14:textId="77777777">
        <w:trPr>
          <w:trHeight w:val="266"/>
        </w:trPr>
        <w:tc>
          <w:tcPr>
            <w:tcW w:w="4617" w:type="dxa"/>
          </w:tcPr>
          <w:p w14:paraId="4E70693E" w14:textId="77777777" w:rsidR="00FA4AA8" w:rsidRDefault="0015611F">
            <w:pPr>
              <w:pStyle w:val="TableParagraph"/>
              <w:spacing w:before="28"/>
              <w:ind w:left="50"/>
              <w:rPr>
                <w:b/>
                <w:sz w:val="18"/>
              </w:rPr>
            </w:pPr>
            <w:r>
              <w:rPr>
                <w:b/>
                <w:sz w:val="18"/>
              </w:rPr>
              <w:t>Non-Current Liabilities</w:t>
            </w:r>
          </w:p>
        </w:tc>
        <w:tc>
          <w:tcPr>
            <w:tcW w:w="2727" w:type="dxa"/>
          </w:tcPr>
          <w:p w14:paraId="49823FD9" w14:textId="77777777" w:rsidR="00FA4AA8" w:rsidRDefault="00FA4AA8">
            <w:pPr>
              <w:pStyle w:val="TableParagraph"/>
              <w:rPr>
                <w:rFonts w:ascii="Times New Roman"/>
                <w:sz w:val="18"/>
              </w:rPr>
            </w:pPr>
          </w:p>
        </w:tc>
        <w:tc>
          <w:tcPr>
            <w:tcW w:w="1408" w:type="dxa"/>
            <w:tcBorders>
              <w:top w:val="single" w:sz="8" w:space="0" w:color="000000"/>
            </w:tcBorders>
          </w:tcPr>
          <w:p w14:paraId="24D836E2" w14:textId="77777777" w:rsidR="00FA4AA8" w:rsidRDefault="00FA4AA8">
            <w:pPr>
              <w:pStyle w:val="TableParagraph"/>
              <w:rPr>
                <w:rFonts w:ascii="Times New Roman"/>
                <w:sz w:val="18"/>
              </w:rPr>
            </w:pPr>
          </w:p>
        </w:tc>
        <w:tc>
          <w:tcPr>
            <w:tcW w:w="1186" w:type="dxa"/>
            <w:tcBorders>
              <w:top w:val="single" w:sz="8" w:space="0" w:color="000000"/>
            </w:tcBorders>
          </w:tcPr>
          <w:p w14:paraId="15BE47C8" w14:textId="77777777" w:rsidR="00FA4AA8" w:rsidRDefault="00FA4AA8">
            <w:pPr>
              <w:pStyle w:val="TableParagraph"/>
              <w:rPr>
                <w:rFonts w:ascii="Times New Roman"/>
                <w:sz w:val="18"/>
              </w:rPr>
            </w:pPr>
          </w:p>
        </w:tc>
      </w:tr>
      <w:tr w:rsidR="00FA4AA8" w14:paraId="45205F97" w14:textId="77777777">
        <w:trPr>
          <w:trHeight w:val="260"/>
        </w:trPr>
        <w:tc>
          <w:tcPr>
            <w:tcW w:w="4617" w:type="dxa"/>
          </w:tcPr>
          <w:p w14:paraId="578BC6C3" w14:textId="77777777" w:rsidR="00FA4AA8" w:rsidRDefault="0015611F">
            <w:pPr>
              <w:pStyle w:val="TableParagraph"/>
              <w:spacing w:before="25"/>
              <w:ind w:left="50"/>
              <w:rPr>
                <w:sz w:val="18"/>
              </w:rPr>
            </w:pPr>
            <w:r>
              <w:rPr>
                <w:sz w:val="18"/>
              </w:rPr>
              <w:t>Provisions</w:t>
            </w:r>
          </w:p>
        </w:tc>
        <w:tc>
          <w:tcPr>
            <w:tcW w:w="2727" w:type="dxa"/>
          </w:tcPr>
          <w:p w14:paraId="2854FAFC" w14:textId="77777777" w:rsidR="00FA4AA8" w:rsidRDefault="0015611F">
            <w:pPr>
              <w:pStyle w:val="TableParagraph"/>
              <w:spacing w:before="26"/>
              <w:ind w:left="2208" w:right="58"/>
              <w:jc w:val="center"/>
              <w:rPr>
                <w:sz w:val="18"/>
              </w:rPr>
            </w:pPr>
            <w:r>
              <w:rPr>
                <w:sz w:val="18"/>
              </w:rPr>
              <w:t>10</w:t>
            </w:r>
          </w:p>
        </w:tc>
        <w:tc>
          <w:tcPr>
            <w:tcW w:w="1408" w:type="dxa"/>
            <w:tcBorders>
              <w:bottom w:val="single" w:sz="8" w:space="0" w:color="000000"/>
            </w:tcBorders>
          </w:tcPr>
          <w:p w14:paraId="5F2D6EB6" w14:textId="77777777" w:rsidR="00FA4AA8" w:rsidRDefault="0015611F">
            <w:pPr>
              <w:pStyle w:val="TableParagraph"/>
              <w:spacing w:before="26"/>
              <w:ind w:right="196"/>
              <w:jc w:val="right"/>
              <w:rPr>
                <w:b/>
                <w:sz w:val="18"/>
              </w:rPr>
            </w:pPr>
            <w:r>
              <w:rPr>
                <w:b/>
                <w:sz w:val="18"/>
              </w:rPr>
              <w:t>851,023</w:t>
            </w:r>
          </w:p>
        </w:tc>
        <w:tc>
          <w:tcPr>
            <w:tcW w:w="1186" w:type="dxa"/>
            <w:tcBorders>
              <w:bottom w:val="single" w:sz="8" w:space="0" w:color="000000"/>
            </w:tcBorders>
          </w:tcPr>
          <w:p w14:paraId="6CFD1BCC" w14:textId="77777777" w:rsidR="00FA4AA8" w:rsidRDefault="0015611F">
            <w:pPr>
              <w:pStyle w:val="TableParagraph"/>
              <w:spacing w:before="26"/>
              <w:ind w:right="85"/>
              <w:jc w:val="right"/>
              <w:rPr>
                <w:sz w:val="18"/>
              </w:rPr>
            </w:pPr>
            <w:r>
              <w:rPr>
                <w:sz w:val="18"/>
              </w:rPr>
              <w:t>752,000</w:t>
            </w:r>
          </w:p>
        </w:tc>
      </w:tr>
    </w:tbl>
    <w:p w14:paraId="05FFEEB6" w14:textId="77777777" w:rsidR="00FA4AA8" w:rsidRDefault="007E2441">
      <w:pPr>
        <w:spacing w:before="19" w:line="391" w:lineRule="auto"/>
        <w:ind w:left="195" w:right="7594"/>
        <w:rPr>
          <w:b/>
          <w:sz w:val="18"/>
        </w:rPr>
      </w:pPr>
      <w:r>
        <w:rPr>
          <w:noProof/>
          <w:lang w:val="en-AU" w:eastAsia="en-AU"/>
        </w:rPr>
        <mc:AlternateContent>
          <mc:Choice Requires="wps">
            <w:drawing>
              <wp:anchor distT="0" distB="0" distL="114300" distR="114300" simplePos="0" relativeHeight="15766528" behindDoc="0" locked="0" layoutInCell="1" allowOverlap="1" wp14:anchorId="3C6A18F3" wp14:editId="4D4C00FC">
                <wp:simplePos x="0" y="0"/>
                <wp:positionH relativeFrom="page">
                  <wp:posOffset>4941570</wp:posOffset>
                </wp:positionH>
                <wp:positionV relativeFrom="paragraph">
                  <wp:posOffset>-6350</wp:posOffset>
                </wp:positionV>
                <wp:extent cx="1995805" cy="436245"/>
                <wp:effectExtent l="0" t="0" r="0" b="0"/>
                <wp:wrapNone/>
                <wp:docPr id="2060" name="Text Box 1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5805" cy="436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548"/>
                              <w:gridCol w:w="1458"/>
                              <w:gridCol w:w="1136"/>
                            </w:tblGrid>
                            <w:tr w:rsidR="001F3ACE" w14:paraId="534D97A1" w14:textId="77777777">
                              <w:trPr>
                                <w:trHeight w:val="318"/>
                              </w:trPr>
                              <w:tc>
                                <w:tcPr>
                                  <w:tcW w:w="548" w:type="dxa"/>
                                </w:tcPr>
                                <w:p w14:paraId="316C9620" w14:textId="77777777" w:rsidR="001F3ACE" w:rsidRDefault="001F3ACE">
                                  <w:pPr>
                                    <w:pStyle w:val="TableParagraph"/>
                                    <w:rPr>
                                      <w:rFonts w:ascii="Times New Roman"/>
                                      <w:sz w:val="18"/>
                                    </w:rPr>
                                  </w:pPr>
                                </w:p>
                              </w:tc>
                              <w:tc>
                                <w:tcPr>
                                  <w:tcW w:w="1458" w:type="dxa"/>
                                  <w:tcBorders>
                                    <w:bottom w:val="single" w:sz="8" w:space="0" w:color="000000"/>
                                  </w:tcBorders>
                                </w:tcPr>
                                <w:p w14:paraId="2DC814DB" w14:textId="77777777" w:rsidR="001F3ACE" w:rsidRDefault="001F3ACE">
                                  <w:pPr>
                                    <w:pStyle w:val="TableParagraph"/>
                                    <w:spacing w:before="113" w:line="185" w:lineRule="exact"/>
                                    <w:ind w:right="247"/>
                                    <w:jc w:val="right"/>
                                    <w:rPr>
                                      <w:b/>
                                      <w:sz w:val="18"/>
                                    </w:rPr>
                                  </w:pPr>
                                  <w:r>
                                    <w:rPr>
                                      <w:b/>
                                      <w:sz w:val="18"/>
                                    </w:rPr>
                                    <w:t>851,023</w:t>
                                  </w:r>
                                </w:p>
                              </w:tc>
                              <w:tc>
                                <w:tcPr>
                                  <w:tcW w:w="1136" w:type="dxa"/>
                                  <w:tcBorders>
                                    <w:bottom w:val="single" w:sz="8" w:space="0" w:color="000000"/>
                                  </w:tcBorders>
                                </w:tcPr>
                                <w:p w14:paraId="6FD4D71E" w14:textId="77777777" w:rsidR="001F3ACE" w:rsidRDefault="001F3ACE">
                                  <w:pPr>
                                    <w:pStyle w:val="TableParagraph"/>
                                    <w:spacing w:before="113" w:line="185" w:lineRule="exact"/>
                                    <w:ind w:right="86"/>
                                    <w:jc w:val="right"/>
                                    <w:rPr>
                                      <w:sz w:val="18"/>
                                    </w:rPr>
                                  </w:pPr>
                                  <w:r>
                                    <w:rPr>
                                      <w:sz w:val="18"/>
                                    </w:rPr>
                                    <w:t>752,000</w:t>
                                  </w:r>
                                </w:p>
                              </w:tc>
                            </w:tr>
                            <w:tr w:rsidR="001F3ACE" w14:paraId="47CC7127" w14:textId="77777777">
                              <w:trPr>
                                <w:trHeight w:val="318"/>
                              </w:trPr>
                              <w:tc>
                                <w:tcPr>
                                  <w:tcW w:w="548" w:type="dxa"/>
                                </w:tcPr>
                                <w:p w14:paraId="62BECD88" w14:textId="77777777" w:rsidR="001F3ACE" w:rsidRDefault="001F3ACE">
                                  <w:pPr>
                                    <w:pStyle w:val="TableParagraph"/>
                                    <w:rPr>
                                      <w:rFonts w:ascii="Times New Roman"/>
                                      <w:sz w:val="18"/>
                                    </w:rPr>
                                  </w:pPr>
                                </w:p>
                              </w:tc>
                              <w:tc>
                                <w:tcPr>
                                  <w:tcW w:w="1458" w:type="dxa"/>
                                  <w:tcBorders>
                                    <w:top w:val="single" w:sz="8" w:space="0" w:color="000000"/>
                                    <w:bottom w:val="single" w:sz="8" w:space="0" w:color="000000"/>
                                  </w:tcBorders>
                                </w:tcPr>
                                <w:p w14:paraId="4CDFD6A3" w14:textId="77777777" w:rsidR="001F3ACE" w:rsidRDefault="001F3ACE">
                                  <w:pPr>
                                    <w:pStyle w:val="TableParagraph"/>
                                    <w:spacing w:before="113" w:line="185" w:lineRule="exact"/>
                                    <w:ind w:right="247"/>
                                    <w:jc w:val="right"/>
                                    <w:rPr>
                                      <w:b/>
                                      <w:sz w:val="18"/>
                                    </w:rPr>
                                  </w:pPr>
                                  <w:r>
                                    <w:rPr>
                                      <w:b/>
                                      <w:sz w:val="18"/>
                                    </w:rPr>
                                    <w:t>10,733,178</w:t>
                                  </w:r>
                                </w:p>
                              </w:tc>
                              <w:tc>
                                <w:tcPr>
                                  <w:tcW w:w="1136" w:type="dxa"/>
                                  <w:tcBorders>
                                    <w:top w:val="single" w:sz="8" w:space="0" w:color="000000"/>
                                    <w:bottom w:val="single" w:sz="8" w:space="0" w:color="000000"/>
                                  </w:tcBorders>
                                </w:tcPr>
                                <w:p w14:paraId="423A0B33" w14:textId="77777777" w:rsidR="001F3ACE" w:rsidRDefault="001F3ACE">
                                  <w:pPr>
                                    <w:pStyle w:val="TableParagraph"/>
                                    <w:spacing w:before="113" w:line="185" w:lineRule="exact"/>
                                    <w:ind w:right="86"/>
                                    <w:jc w:val="right"/>
                                    <w:rPr>
                                      <w:sz w:val="18"/>
                                    </w:rPr>
                                  </w:pPr>
                                  <w:r>
                                    <w:rPr>
                                      <w:sz w:val="18"/>
                                    </w:rPr>
                                    <w:t>7,995,361</w:t>
                                  </w:r>
                                </w:p>
                              </w:tc>
                            </w:tr>
                          </w:tbl>
                          <w:p w14:paraId="091DC5E7" w14:textId="77777777" w:rsidR="001F3ACE" w:rsidRDefault="001F3AC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A18F3" id="Text Box 1826" o:spid="_x0000_s1044" type="#_x0000_t202" style="position:absolute;left:0;text-align:left;margin-left:389.1pt;margin-top:-.5pt;width:157.15pt;height:34.35pt;z-index:1576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548"/>
                        <w:gridCol w:w="1458"/>
                        <w:gridCol w:w="1136"/>
                      </w:tblGrid>
                      <w:tr w:rsidR="001F3ACE" w14:paraId="534D97A1" w14:textId="77777777">
                        <w:trPr>
                          <w:trHeight w:val="318"/>
                        </w:trPr>
                        <w:tc>
                          <w:tcPr>
                            <w:tcW w:w="548" w:type="dxa"/>
                          </w:tcPr>
                          <w:p w14:paraId="316C9620" w14:textId="77777777" w:rsidR="001F3ACE" w:rsidRDefault="001F3ACE">
                            <w:pPr>
                              <w:pStyle w:val="TableParagraph"/>
                              <w:rPr>
                                <w:rFonts w:ascii="Times New Roman"/>
                                <w:sz w:val="18"/>
                              </w:rPr>
                            </w:pPr>
                          </w:p>
                        </w:tc>
                        <w:tc>
                          <w:tcPr>
                            <w:tcW w:w="1458" w:type="dxa"/>
                            <w:tcBorders>
                              <w:bottom w:val="single" w:sz="8" w:space="0" w:color="000000"/>
                            </w:tcBorders>
                          </w:tcPr>
                          <w:p w14:paraId="2DC814DB" w14:textId="77777777" w:rsidR="001F3ACE" w:rsidRDefault="001F3ACE">
                            <w:pPr>
                              <w:pStyle w:val="TableParagraph"/>
                              <w:spacing w:before="113" w:line="185" w:lineRule="exact"/>
                              <w:ind w:right="247"/>
                              <w:jc w:val="right"/>
                              <w:rPr>
                                <w:b/>
                                <w:sz w:val="18"/>
                              </w:rPr>
                            </w:pPr>
                            <w:r>
                              <w:rPr>
                                <w:b/>
                                <w:sz w:val="18"/>
                              </w:rPr>
                              <w:t>851,023</w:t>
                            </w:r>
                          </w:p>
                        </w:tc>
                        <w:tc>
                          <w:tcPr>
                            <w:tcW w:w="1136" w:type="dxa"/>
                            <w:tcBorders>
                              <w:bottom w:val="single" w:sz="8" w:space="0" w:color="000000"/>
                            </w:tcBorders>
                          </w:tcPr>
                          <w:p w14:paraId="6FD4D71E" w14:textId="77777777" w:rsidR="001F3ACE" w:rsidRDefault="001F3ACE">
                            <w:pPr>
                              <w:pStyle w:val="TableParagraph"/>
                              <w:spacing w:before="113" w:line="185" w:lineRule="exact"/>
                              <w:ind w:right="86"/>
                              <w:jc w:val="right"/>
                              <w:rPr>
                                <w:sz w:val="18"/>
                              </w:rPr>
                            </w:pPr>
                            <w:r>
                              <w:rPr>
                                <w:sz w:val="18"/>
                              </w:rPr>
                              <w:t>752,000</w:t>
                            </w:r>
                          </w:p>
                        </w:tc>
                      </w:tr>
                      <w:tr w:rsidR="001F3ACE" w14:paraId="47CC7127" w14:textId="77777777">
                        <w:trPr>
                          <w:trHeight w:val="318"/>
                        </w:trPr>
                        <w:tc>
                          <w:tcPr>
                            <w:tcW w:w="548" w:type="dxa"/>
                          </w:tcPr>
                          <w:p w14:paraId="62BECD88" w14:textId="77777777" w:rsidR="001F3ACE" w:rsidRDefault="001F3ACE">
                            <w:pPr>
                              <w:pStyle w:val="TableParagraph"/>
                              <w:rPr>
                                <w:rFonts w:ascii="Times New Roman"/>
                                <w:sz w:val="18"/>
                              </w:rPr>
                            </w:pPr>
                          </w:p>
                        </w:tc>
                        <w:tc>
                          <w:tcPr>
                            <w:tcW w:w="1458" w:type="dxa"/>
                            <w:tcBorders>
                              <w:top w:val="single" w:sz="8" w:space="0" w:color="000000"/>
                              <w:bottom w:val="single" w:sz="8" w:space="0" w:color="000000"/>
                            </w:tcBorders>
                          </w:tcPr>
                          <w:p w14:paraId="4CDFD6A3" w14:textId="77777777" w:rsidR="001F3ACE" w:rsidRDefault="001F3ACE">
                            <w:pPr>
                              <w:pStyle w:val="TableParagraph"/>
                              <w:spacing w:before="113" w:line="185" w:lineRule="exact"/>
                              <w:ind w:right="247"/>
                              <w:jc w:val="right"/>
                              <w:rPr>
                                <w:b/>
                                <w:sz w:val="18"/>
                              </w:rPr>
                            </w:pPr>
                            <w:r>
                              <w:rPr>
                                <w:b/>
                                <w:sz w:val="18"/>
                              </w:rPr>
                              <w:t>10,733,178</w:t>
                            </w:r>
                          </w:p>
                        </w:tc>
                        <w:tc>
                          <w:tcPr>
                            <w:tcW w:w="1136" w:type="dxa"/>
                            <w:tcBorders>
                              <w:top w:val="single" w:sz="8" w:space="0" w:color="000000"/>
                              <w:bottom w:val="single" w:sz="8" w:space="0" w:color="000000"/>
                            </w:tcBorders>
                          </w:tcPr>
                          <w:p w14:paraId="423A0B33" w14:textId="77777777" w:rsidR="001F3ACE" w:rsidRDefault="001F3ACE">
                            <w:pPr>
                              <w:pStyle w:val="TableParagraph"/>
                              <w:spacing w:before="113" w:line="185" w:lineRule="exact"/>
                              <w:ind w:right="86"/>
                              <w:jc w:val="right"/>
                              <w:rPr>
                                <w:sz w:val="18"/>
                              </w:rPr>
                            </w:pPr>
                            <w:r>
                              <w:rPr>
                                <w:sz w:val="18"/>
                              </w:rPr>
                              <w:t>7,995,361</w:t>
                            </w:r>
                          </w:p>
                        </w:tc>
                      </w:tr>
                    </w:tbl>
                    <w:p w14:paraId="091DC5E7" w14:textId="77777777" w:rsidR="001F3ACE" w:rsidRDefault="001F3ACE">
                      <w:pPr>
                        <w:pStyle w:val="BodyText"/>
                      </w:pPr>
                    </w:p>
                  </w:txbxContent>
                </v:textbox>
                <w10:wrap anchorx="page"/>
              </v:shape>
            </w:pict>
          </mc:Fallback>
        </mc:AlternateContent>
      </w:r>
      <w:r w:rsidR="0015611F">
        <w:rPr>
          <w:b/>
          <w:sz w:val="18"/>
        </w:rPr>
        <w:t>Total Non-Current Liabilities Total Liabilities</w:t>
      </w:r>
    </w:p>
    <w:tbl>
      <w:tblPr>
        <w:tblW w:w="0" w:type="auto"/>
        <w:tblInd w:w="153" w:type="dxa"/>
        <w:tblLayout w:type="fixed"/>
        <w:tblCellMar>
          <w:left w:w="0" w:type="dxa"/>
          <w:right w:w="0" w:type="dxa"/>
        </w:tblCellMar>
        <w:tblLook w:val="01E0" w:firstRow="1" w:lastRow="1" w:firstColumn="1" w:lastColumn="1" w:noHBand="0" w:noVBand="0"/>
      </w:tblPr>
      <w:tblGrid>
        <w:gridCol w:w="4230"/>
        <w:gridCol w:w="3114"/>
        <w:gridCol w:w="1458"/>
        <w:gridCol w:w="1136"/>
      </w:tblGrid>
      <w:tr w:rsidR="00FA4AA8" w14:paraId="7AC04581" w14:textId="77777777">
        <w:trPr>
          <w:trHeight w:val="313"/>
        </w:trPr>
        <w:tc>
          <w:tcPr>
            <w:tcW w:w="4230" w:type="dxa"/>
          </w:tcPr>
          <w:p w14:paraId="46758133" w14:textId="77777777" w:rsidR="00FA4AA8" w:rsidRDefault="0015611F">
            <w:pPr>
              <w:pStyle w:val="TableParagraph"/>
              <w:spacing w:before="2"/>
              <w:ind w:left="50"/>
              <w:rPr>
                <w:b/>
                <w:sz w:val="18"/>
              </w:rPr>
            </w:pPr>
            <w:r>
              <w:rPr>
                <w:b/>
                <w:sz w:val="18"/>
              </w:rPr>
              <w:t>Net Assets</w:t>
            </w:r>
          </w:p>
        </w:tc>
        <w:tc>
          <w:tcPr>
            <w:tcW w:w="3114" w:type="dxa"/>
          </w:tcPr>
          <w:p w14:paraId="24EA6D80" w14:textId="77777777" w:rsidR="00FA4AA8" w:rsidRDefault="00FA4AA8">
            <w:pPr>
              <w:pStyle w:val="TableParagraph"/>
              <w:rPr>
                <w:rFonts w:ascii="Times New Roman"/>
                <w:sz w:val="18"/>
              </w:rPr>
            </w:pPr>
          </w:p>
        </w:tc>
        <w:tc>
          <w:tcPr>
            <w:tcW w:w="1458" w:type="dxa"/>
            <w:tcBorders>
              <w:bottom w:val="double" w:sz="3" w:space="0" w:color="000000"/>
            </w:tcBorders>
          </w:tcPr>
          <w:p w14:paraId="50779786" w14:textId="77777777" w:rsidR="00FA4AA8" w:rsidRDefault="0015611F">
            <w:pPr>
              <w:pStyle w:val="TableParagraph"/>
              <w:spacing w:before="87" w:line="207" w:lineRule="exact"/>
              <w:ind w:right="246"/>
              <w:jc w:val="right"/>
              <w:rPr>
                <w:b/>
                <w:sz w:val="18"/>
              </w:rPr>
            </w:pPr>
            <w:r>
              <w:rPr>
                <w:b/>
                <w:sz w:val="18"/>
              </w:rPr>
              <w:t>6,765,449</w:t>
            </w:r>
          </w:p>
        </w:tc>
        <w:tc>
          <w:tcPr>
            <w:tcW w:w="1136" w:type="dxa"/>
            <w:tcBorders>
              <w:bottom w:val="double" w:sz="3" w:space="0" w:color="000000"/>
            </w:tcBorders>
          </w:tcPr>
          <w:p w14:paraId="16FCC939" w14:textId="77777777" w:rsidR="00FA4AA8" w:rsidRDefault="0015611F">
            <w:pPr>
              <w:pStyle w:val="TableParagraph"/>
              <w:spacing w:before="87" w:line="207" w:lineRule="exact"/>
              <w:ind w:right="85"/>
              <w:jc w:val="right"/>
              <w:rPr>
                <w:sz w:val="18"/>
              </w:rPr>
            </w:pPr>
            <w:r>
              <w:rPr>
                <w:sz w:val="18"/>
              </w:rPr>
              <w:t>6,765,449</w:t>
            </w:r>
          </w:p>
        </w:tc>
      </w:tr>
      <w:tr w:rsidR="00FA4AA8" w14:paraId="3DC2DBA5" w14:textId="77777777">
        <w:trPr>
          <w:trHeight w:val="876"/>
        </w:trPr>
        <w:tc>
          <w:tcPr>
            <w:tcW w:w="4230" w:type="dxa"/>
          </w:tcPr>
          <w:p w14:paraId="3D374FBD" w14:textId="77777777" w:rsidR="00FA4AA8" w:rsidRDefault="00FA4AA8">
            <w:pPr>
              <w:pStyle w:val="TableParagraph"/>
              <w:rPr>
                <w:b/>
                <w:sz w:val="20"/>
              </w:rPr>
            </w:pPr>
          </w:p>
          <w:p w14:paraId="0DFAD277" w14:textId="77777777" w:rsidR="00FA4AA8" w:rsidRDefault="0015611F">
            <w:pPr>
              <w:pStyle w:val="TableParagraph"/>
              <w:spacing w:before="147"/>
              <w:ind w:left="50"/>
              <w:rPr>
                <w:b/>
                <w:sz w:val="18"/>
              </w:rPr>
            </w:pPr>
            <w:r>
              <w:rPr>
                <w:b/>
                <w:sz w:val="18"/>
              </w:rPr>
              <w:t>EQUITY</w:t>
            </w:r>
          </w:p>
          <w:p w14:paraId="6A68D9AC" w14:textId="77777777" w:rsidR="00FA4AA8" w:rsidRDefault="0015611F">
            <w:pPr>
              <w:pStyle w:val="TableParagraph"/>
              <w:spacing w:before="27"/>
              <w:ind w:left="50"/>
              <w:rPr>
                <w:sz w:val="18"/>
              </w:rPr>
            </w:pPr>
            <w:r>
              <w:rPr>
                <w:sz w:val="18"/>
              </w:rPr>
              <w:t>Issued capital</w:t>
            </w:r>
          </w:p>
        </w:tc>
        <w:tc>
          <w:tcPr>
            <w:tcW w:w="3114" w:type="dxa"/>
          </w:tcPr>
          <w:p w14:paraId="53738F66" w14:textId="77777777" w:rsidR="00FA4AA8" w:rsidRDefault="00FA4AA8">
            <w:pPr>
              <w:pStyle w:val="TableParagraph"/>
              <w:rPr>
                <w:b/>
                <w:sz w:val="20"/>
              </w:rPr>
            </w:pPr>
          </w:p>
          <w:p w14:paraId="135115D2" w14:textId="77777777" w:rsidR="00FA4AA8" w:rsidRDefault="00FA4AA8">
            <w:pPr>
              <w:pStyle w:val="TableParagraph"/>
              <w:rPr>
                <w:b/>
                <w:sz w:val="20"/>
              </w:rPr>
            </w:pPr>
          </w:p>
          <w:p w14:paraId="28BEE3FF" w14:textId="77777777" w:rsidR="00FA4AA8" w:rsidRDefault="0015611F">
            <w:pPr>
              <w:pStyle w:val="TableParagraph"/>
              <w:spacing w:before="152"/>
              <w:ind w:right="186"/>
              <w:jc w:val="right"/>
              <w:rPr>
                <w:sz w:val="18"/>
              </w:rPr>
            </w:pPr>
            <w:r>
              <w:rPr>
                <w:sz w:val="18"/>
              </w:rPr>
              <w:t>12</w:t>
            </w:r>
          </w:p>
        </w:tc>
        <w:tc>
          <w:tcPr>
            <w:tcW w:w="1458" w:type="dxa"/>
            <w:tcBorders>
              <w:top w:val="double" w:sz="3" w:space="0" w:color="000000"/>
            </w:tcBorders>
          </w:tcPr>
          <w:p w14:paraId="3E3D64C9" w14:textId="77777777" w:rsidR="00FA4AA8" w:rsidRDefault="00FA4AA8">
            <w:pPr>
              <w:pStyle w:val="TableParagraph"/>
              <w:rPr>
                <w:b/>
                <w:sz w:val="20"/>
              </w:rPr>
            </w:pPr>
          </w:p>
          <w:p w14:paraId="545040DE" w14:textId="77777777" w:rsidR="00FA4AA8" w:rsidRDefault="00FA4AA8">
            <w:pPr>
              <w:pStyle w:val="TableParagraph"/>
              <w:rPr>
                <w:b/>
                <w:sz w:val="20"/>
              </w:rPr>
            </w:pPr>
          </w:p>
          <w:p w14:paraId="25D57A4A" w14:textId="77777777" w:rsidR="00FA4AA8" w:rsidRDefault="0015611F">
            <w:pPr>
              <w:pStyle w:val="TableParagraph"/>
              <w:spacing w:before="152"/>
              <w:ind w:right="246"/>
              <w:jc w:val="right"/>
              <w:rPr>
                <w:b/>
                <w:sz w:val="18"/>
              </w:rPr>
            </w:pPr>
            <w:r>
              <w:rPr>
                <w:b/>
                <w:sz w:val="18"/>
              </w:rPr>
              <w:t>1</w:t>
            </w:r>
          </w:p>
        </w:tc>
        <w:tc>
          <w:tcPr>
            <w:tcW w:w="1136" w:type="dxa"/>
            <w:tcBorders>
              <w:top w:val="double" w:sz="3" w:space="0" w:color="000000"/>
            </w:tcBorders>
          </w:tcPr>
          <w:p w14:paraId="09C1231B" w14:textId="77777777" w:rsidR="00FA4AA8" w:rsidRDefault="00FA4AA8">
            <w:pPr>
              <w:pStyle w:val="TableParagraph"/>
              <w:rPr>
                <w:b/>
                <w:sz w:val="20"/>
              </w:rPr>
            </w:pPr>
          </w:p>
          <w:p w14:paraId="516C7B74" w14:textId="77777777" w:rsidR="00FA4AA8" w:rsidRDefault="00FA4AA8">
            <w:pPr>
              <w:pStyle w:val="TableParagraph"/>
              <w:rPr>
                <w:b/>
                <w:sz w:val="20"/>
              </w:rPr>
            </w:pPr>
          </w:p>
          <w:p w14:paraId="49C8F745" w14:textId="77777777" w:rsidR="00FA4AA8" w:rsidRDefault="0015611F">
            <w:pPr>
              <w:pStyle w:val="TableParagraph"/>
              <w:spacing w:before="152"/>
              <w:ind w:right="85"/>
              <w:jc w:val="right"/>
              <w:rPr>
                <w:sz w:val="18"/>
              </w:rPr>
            </w:pPr>
            <w:r>
              <w:rPr>
                <w:sz w:val="18"/>
              </w:rPr>
              <w:t>1</w:t>
            </w:r>
          </w:p>
        </w:tc>
      </w:tr>
      <w:tr w:rsidR="00FA4AA8" w14:paraId="11100417" w14:textId="77777777">
        <w:trPr>
          <w:trHeight w:val="260"/>
        </w:trPr>
        <w:tc>
          <w:tcPr>
            <w:tcW w:w="4230" w:type="dxa"/>
          </w:tcPr>
          <w:p w14:paraId="77713104" w14:textId="77777777" w:rsidR="00FA4AA8" w:rsidRDefault="0015611F">
            <w:pPr>
              <w:pStyle w:val="TableParagraph"/>
              <w:spacing w:line="205" w:lineRule="exact"/>
              <w:ind w:left="50"/>
              <w:rPr>
                <w:sz w:val="18"/>
              </w:rPr>
            </w:pPr>
            <w:r>
              <w:rPr>
                <w:sz w:val="18"/>
              </w:rPr>
              <w:t>Retained earnings</w:t>
            </w:r>
          </w:p>
        </w:tc>
        <w:tc>
          <w:tcPr>
            <w:tcW w:w="3114" w:type="dxa"/>
          </w:tcPr>
          <w:p w14:paraId="4C724BC1" w14:textId="77777777" w:rsidR="00FA4AA8" w:rsidRDefault="00FA4AA8">
            <w:pPr>
              <w:pStyle w:val="TableParagraph"/>
              <w:rPr>
                <w:rFonts w:ascii="Times New Roman"/>
                <w:sz w:val="18"/>
              </w:rPr>
            </w:pPr>
          </w:p>
        </w:tc>
        <w:tc>
          <w:tcPr>
            <w:tcW w:w="1458" w:type="dxa"/>
            <w:tcBorders>
              <w:bottom w:val="single" w:sz="8" w:space="0" w:color="000000"/>
            </w:tcBorders>
          </w:tcPr>
          <w:p w14:paraId="57D11B21" w14:textId="77777777" w:rsidR="00FA4AA8" w:rsidRDefault="0015611F">
            <w:pPr>
              <w:pStyle w:val="TableParagraph"/>
              <w:spacing w:line="207" w:lineRule="exact"/>
              <w:ind w:right="246"/>
              <w:jc w:val="right"/>
              <w:rPr>
                <w:b/>
                <w:sz w:val="18"/>
              </w:rPr>
            </w:pPr>
            <w:r>
              <w:rPr>
                <w:b/>
                <w:sz w:val="18"/>
              </w:rPr>
              <w:t>6,765,448</w:t>
            </w:r>
          </w:p>
        </w:tc>
        <w:tc>
          <w:tcPr>
            <w:tcW w:w="1136" w:type="dxa"/>
            <w:tcBorders>
              <w:bottom w:val="single" w:sz="8" w:space="0" w:color="000000"/>
            </w:tcBorders>
          </w:tcPr>
          <w:p w14:paraId="0C0AB009" w14:textId="77777777" w:rsidR="00FA4AA8" w:rsidRDefault="0015611F">
            <w:pPr>
              <w:pStyle w:val="TableParagraph"/>
              <w:spacing w:line="207" w:lineRule="exact"/>
              <w:ind w:right="85"/>
              <w:jc w:val="right"/>
              <w:rPr>
                <w:sz w:val="18"/>
              </w:rPr>
            </w:pPr>
            <w:r>
              <w:rPr>
                <w:sz w:val="18"/>
              </w:rPr>
              <w:t>6,765,448</w:t>
            </w:r>
          </w:p>
        </w:tc>
      </w:tr>
    </w:tbl>
    <w:p w14:paraId="2E79B063" w14:textId="77777777" w:rsidR="00FA4AA8" w:rsidRDefault="0015611F">
      <w:pPr>
        <w:tabs>
          <w:tab w:val="left" w:pos="7900"/>
          <w:tab w:val="left" w:pos="9197"/>
        </w:tabs>
        <w:ind w:left="195"/>
        <w:rPr>
          <w:sz w:val="18"/>
        </w:rPr>
      </w:pPr>
      <w:r>
        <w:rPr>
          <w:b/>
          <w:position w:val="9"/>
          <w:sz w:val="18"/>
        </w:rPr>
        <w:t>Total Equity</w:t>
      </w:r>
      <w:r>
        <w:rPr>
          <w:b/>
          <w:position w:val="9"/>
          <w:sz w:val="18"/>
        </w:rPr>
        <w:tab/>
      </w:r>
      <w:r>
        <w:rPr>
          <w:b/>
          <w:sz w:val="18"/>
        </w:rPr>
        <w:t>6,765,449</w:t>
      </w:r>
      <w:r>
        <w:rPr>
          <w:b/>
          <w:sz w:val="18"/>
        </w:rPr>
        <w:tab/>
      </w:r>
      <w:r>
        <w:rPr>
          <w:sz w:val="18"/>
        </w:rPr>
        <w:t>6,765,449</w:t>
      </w:r>
    </w:p>
    <w:p w14:paraId="0D708B21" w14:textId="77777777" w:rsidR="00FA4AA8" w:rsidRDefault="007E2441">
      <w:pPr>
        <w:pStyle w:val="BodyText"/>
        <w:spacing w:line="50" w:lineRule="exact"/>
        <w:ind w:left="7489"/>
        <w:rPr>
          <w:sz w:val="5"/>
        </w:rPr>
      </w:pPr>
      <w:r>
        <w:rPr>
          <w:noProof/>
          <w:sz w:val="5"/>
          <w:lang w:val="en-AU" w:eastAsia="en-AU"/>
        </w:rPr>
        <mc:AlternateContent>
          <mc:Choice Requires="wpg">
            <w:drawing>
              <wp:inline distT="0" distB="0" distL="0" distR="0" wp14:anchorId="77CEB429" wp14:editId="4FE28952">
                <wp:extent cx="1647825" cy="31750"/>
                <wp:effectExtent l="9525" t="9525" r="9525" b="6350"/>
                <wp:docPr id="2007" name="Group 1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7825" cy="31750"/>
                          <a:chOff x="0" y="0"/>
                          <a:chExt cx="2595" cy="50"/>
                        </a:xfrm>
                      </wpg:grpSpPr>
                      <wps:wsp>
                        <wps:cNvPr id="2008" name="Line 1825"/>
                        <wps:cNvCnPr>
                          <a:cxnSpLocks noChangeShapeType="1"/>
                        </wps:cNvCnPr>
                        <wps:spPr bwMode="auto">
                          <a:xfrm>
                            <a:off x="0" y="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009" name="Line 1824"/>
                        <wps:cNvCnPr>
                          <a:cxnSpLocks noChangeShapeType="1"/>
                        </wps:cNvCnPr>
                        <wps:spPr bwMode="auto">
                          <a:xfrm>
                            <a:off x="0" y="2"/>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010" name="Line 1823"/>
                        <wps:cNvCnPr>
                          <a:cxnSpLocks noChangeShapeType="1"/>
                        </wps:cNvCnPr>
                        <wps:spPr bwMode="auto">
                          <a:xfrm>
                            <a:off x="0" y="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011" name="Line 1822"/>
                        <wps:cNvCnPr>
                          <a:cxnSpLocks noChangeShapeType="1"/>
                        </wps:cNvCnPr>
                        <wps:spPr bwMode="auto">
                          <a:xfrm>
                            <a:off x="0" y="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012" name="Line 1821"/>
                        <wps:cNvCnPr>
                          <a:cxnSpLocks noChangeShapeType="1"/>
                        </wps:cNvCnPr>
                        <wps:spPr bwMode="auto">
                          <a:xfrm>
                            <a:off x="0" y="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013" name="Line 1820"/>
                        <wps:cNvCnPr>
                          <a:cxnSpLocks noChangeShapeType="1"/>
                        </wps:cNvCnPr>
                        <wps:spPr bwMode="auto">
                          <a:xfrm>
                            <a:off x="0" y="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014" name="Line 1819"/>
                        <wps:cNvCnPr>
                          <a:cxnSpLocks noChangeShapeType="1"/>
                        </wps:cNvCnPr>
                        <wps:spPr bwMode="auto">
                          <a:xfrm>
                            <a:off x="0" y="8"/>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015" name="Line 1818"/>
                        <wps:cNvCnPr>
                          <a:cxnSpLocks noChangeShapeType="1"/>
                        </wps:cNvCnPr>
                        <wps:spPr bwMode="auto">
                          <a:xfrm>
                            <a:off x="0" y="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016" name="Line 1817"/>
                        <wps:cNvCnPr>
                          <a:cxnSpLocks noChangeShapeType="1"/>
                        </wps:cNvCnPr>
                        <wps:spPr bwMode="auto">
                          <a:xfrm>
                            <a:off x="0" y="10"/>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017" name="Line 1816"/>
                        <wps:cNvCnPr>
                          <a:cxnSpLocks noChangeShapeType="1"/>
                        </wps:cNvCnPr>
                        <wps:spPr bwMode="auto">
                          <a:xfrm>
                            <a:off x="0" y="1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018" name="Line 1815"/>
                        <wps:cNvCnPr>
                          <a:cxnSpLocks noChangeShapeType="1"/>
                        </wps:cNvCnPr>
                        <wps:spPr bwMode="auto">
                          <a:xfrm>
                            <a:off x="0" y="1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019" name="Line 1814"/>
                        <wps:cNvCnPr>
                          <a:cxnSpLocks noChangeShapeType="1"/>
                        </wps:cNvCnPr>
                        <wps:spPr bwMode="auto">
                          <a:xfrm>
                            <a:off x="0" y="1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020" name="Line 1813"/>
                        <wps:cNvCnPr>
                          <a:cxnSpLocks noChangeShapeType="1"/>
                        </wps:cNvCnPr>
                        <wps:spPr bwMode="auto">
                          <a:xfrm>
                            <a:off x="0" y="1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021" name="Line 1812"/>
                        <wps:cNvCnPr>
                          <a:cxnSpLocks noChangeShapeType="1"/>
                        </wps:cNvCnPr>
                        <wps:spPr bwMode="auto">
                          <a:xfrm>
                            <a:off x="0" y="3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022" name="Line 1811"/>
                        <wps:cNvCnPr>
                          <a:cxnSpLocks noChangeShapeType="1"/>
                        </wps:cNvCnPr>
                        <wps:spPr bwMode="auto">
                          <a:xfrm>
                            <a:off x="0" y="3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023" name="Line 1810"/>
                        <wps:cNvCnPr>
                          <a:cxnSpLocks noChangeShapeType="1"/>
                        </wps:cNvCnPr>
                        <wps:spPr bwMode="auto">
                          <a:xfrm>
                            <a:off x="0" y="3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024" name="Line 1809"/>
                        <wps:cNvCnPr>
                          <a:cxnSpLocks noChangeShapeType="1"/>
                        </wps:cNvCnPr>
                        <wps:spPr bwMode="auto">
                          <a:xfrm>
                            <a:off x="0" y="38"/>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025" name="Line 1808"/>
                        <wps:cNvCnPr>
                          <a:cxnSpLocks noChangeShapeType="1"/>
                        </wps:cNvCnPr>
                        <wps:spPr bwMode="auto">
                          <a:xfrm>
                            <a:off x="0" y="3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026" name="Line 1807"/>
                        <wps:cNvCnPr>
                          <a:cxnSpLocks noChangeShapeType="1"/>
                        </wps:cNvCnPr>
                        <wps:spPr bwMode="auto">
                          <a:xfrm>
                            <a:off x="0" y="40"/>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027" name="Line 1806"/>
                        <wps:cNvCnPr>
                          <a:cxnSpLocks noChangeShapeType="1"/>
                        </wps:cNvCnPr>
                        <wps:spPr bwMode="auto">
                          <a:xfrm>
                            <a:off x="0" y="4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028" name="Line 1805"/>
                        <wps:cNvCnPr>
                          <a:cxnSpLocks noChangeShapeType="1"/>
                        </wps:cNvCnPr>
                        <wps:spPr bwMode="auto">
                          <a:xfrm>
                            <a:off x="0" y="4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029" name="Line 1804"/>
                        <wps:cNvCnPr>
                          <a:cxnSpLocks noChangeShapeType="1"/>
                        </wps:cNvCnPr>
                        <wps:spPr bwMode="auto">
                          <a:xfrm>
                            <a:off x="0" y="4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030" name="Line 1803"/>
                        <wps:cNvCnPr>
                          <a:cxnSpLocks noChangeShapeType="1"/>
                        </wps:cNvCnPr>
                        <wps:spPr bwMode="auto">
                          <a:xfrm>
                            <a:off x="0" y="4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031" name="Line 1802"/>
                        <wps:cNvCnPr>
                          <a:cxnSpLocks noChangeShapeType="1"/>
                        </wps:cNvCnPr>
                        <wps:spPr bwMode="auto">
                          <a:xfrm>
                            <a:off x="0" y="46"/>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032" name="Line 1801"/>
                        <wps:cNvCnPr>
                          <a:cxnSpLocks noChangeShapeType="1"/>
                        </wps:cNvCnPr>
                        <wps:spPr bwMode="auto">
                          <a:xfrm>
                            <a:off x="0" y="4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033" name="Line 1800"/>
                        <wps:cNvCnPr>
                          <a:cxnSpLocks noChangeShapeType="1"/>
                        </wps:cNvCnPr>
                        <wps:spPr bwMode="auto">
                          <a:xfrm>
                            <a:off x="0" y="4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034" name="Line 1799"/>
                        <wps:cNvCnPr>
                          <a:cxnSpLocks noChangeShapeType="1"/>
                        </wps:cNvCnPr>
                        <wps:spPr bwMode="auto">
                          <a:xfrm>
                            <a:off x="1297" y="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035" name="Line 1798"/>
                        <wps:cNvCnPr>
                          <a:cxnSpLocks noChangeShapeType="1"/>
                        </wps:cNvCnPr>
                        <wps:spPr bwMode="auto">
                          <a:xfrm>
                            <a:off x="1297" y="2"/>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036" name="Line 1797"/>
                        <wps:cNvCnPr>
                          <a:cxnSpLocks noChangeShapeType="1"/>
                        </wps:cNvCnPr>
                        <wps:spPr bwMode="auto">
                          <a:xfrm>
                            <a:off x="1297" y="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037" name="Line 1796"/>
                        <wps:cNvCnPr>
                          <a:cxnSpLocks noChangeShapeType="1"/>
                        </wps:cNvCnPr>
                        <wps:spPr bwMode="auto">
                          <a:xfrm>
                            <a:off x="1297" y="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038" name="Line 1795"/>
                        <wps:cNvCnPr>
                          <a:cxnSpLocks noChangeShapeType="1"/>
                        </wps:cNvCnPr>
                        <wps:spPr bwMode="auto">
                          <a:xfrm>
                            <a:off x="1297" y="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039" name="Line 1794"/>
                        <wps:cNvCnPr>
                          <a:cxnSpLocks noChangeShapeType="1"/>
                        </wps:cNvCnPr>
                        <wps:spPr bwMode="auto">
                          <a:xfrm>
                            <a:off x="1297" y="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040" name="Line 1793"/>
                        <wps:cNvCnPr>
                          <a:cxnSpLocks noChangeShapeType="1"/>
                        </wps:cNvCnPr>
                        <wps:spPr bwMode="auto">
                          <a:xfrm>
                            <a:off x="1297" y="8"/>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041" name="Line 1792"/>
                        <wps:cNvCnPr>
                          <a:cxnSpLocks noChangeShapeType="1"/>
                        </wps:cNvCnPr>
                        <wps:spPr bwMode="auto">
                          <a:xfrm>
                            <a:off x="1297" y="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042" name="Line 1791"/>
                        <wps:cNvCnPr>
                          <a:cxnSpLocks noChangeShapeType="1"/>
                        </wps:cNvCnPr>
                        <wps:spPr bwMode="auto">
                          <a:xfrm>
                            <a:off x="1297" y="10"/>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043" name="Line 1790"/>
                        <wps:cNvCnPr>
                          <a:cxnSpLocks noChangeShapeType="1"/>
                        </wps:cNvCnPr>
                        <wps:spPr bwMode="auto">
                          <a:xfrm>
                            <a:off x="1297" y="1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044" name="Line 1789"/>
                        <wps:cNvCnPr>
                          <a:cxnSpLocks noChangeShapeType="1"/>
                        </wps:cNvCnPr>
                        <wps:spPr bwMode="auto">
                          <a:xfrm>
                            <a:off x="1297" y="1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045" name="Line 1788"/>
                        <wps:cNvCnPr>
                          <a:cxnSpLocks noChangeShapeType="1"/>
                        </wps:cNvCnPr>
                        <wps:spPr bwMode="auto">
                          <a:xfrm>
                            <a:off x="1297" y="1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046" name="Line 1787"/>
                        <wps:cNvCnPr>
                          <a:cxnSpLocks noChangeShapeType="1"/>
                        </wps:cNvCnPr>
                        <wps:spPr bwMode="auto">
                          <a:xfrm>
                            <a:off x="1297" y="1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047" name="Line 1786"/>
                        <wps:cNvCnPr>
                          <a:cxnSpLocks noChangeShapeType="1"/>
                        </wps:cNvCnPr>
                        <wps:spPr bwMode="auto">
                          <a:xfrm>
                            <a:off x="1297" y="3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048" name="Line 1785"/>
                        <wps:cNvCnPr>
                          <a:cxnSpLocks noChangeShapeType="1"/>
                        </wps:cNvCnPr>
                        <wps:spPr bwMode="auto">
                          <a:xfrm>
                            <a:off x="1297" y="3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049" name="Line 1784"/>
                        <wps:cNvCnPr>
                          <a:cxnSpLocks noChangeShapeType="1"/>
                        </wps:cNvCnPr>
                        <wps:spPr bwMode="auto">
                          <a:xfrm>
                            <a:off x="1297" y="3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050" name="Line 1783"/>
                        <wps:cNvCnPr>
                          <a:cxnSpLocks noChangeShapeType="1"/>
                        </wps:cNvCnPr>
                        <wps:spPr bwMode="auto">
                          <a:xfrm>
                            <a:off x="1297" y="38"/>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051" name="Line 1782"/>
                        <wps:cNvCnPr>
                          <a:cxnSpLocks noChangeShapeType="1"/>
                        </wps:cNvCnPr>
                        <wps:spPr bwMode="auto">
                          <a:xfrm>
                            <a:off x="1297" y="3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052" name="Line 1781"/>
                        <wps:cNvCnPr>
                          <a:cxnSpLocks noChangeShapeType="1"/>
                        </wps:cNvCnPr>
                        <wps:spPr bwMode="auto">
                          <a:xfrm>
                            <a:off x="1297" y="40"/>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053" name="Line 1780"/>
                        <wps:cNvCnPr>
                          <a:cxnSpLocks noChangeShapeType="1"/>
                        </wps:cNvCnPr>
                        <wps:spPr bwMode="auto">
                          <a:xfrm>
                            <a:off x="1297" y="4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054" name="Line 1779"/>
                        <wps:cNvCnPr>
                          <a:cxnSpLocks noChangeShapeType="1"/>
                        </wps:cNvCnPr>
                        <wps:spPr bwMode="auto">
                          <a:xfrm>
                            <a:off x="1297" y="4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055" name="Line 1778"/>
                        <wps:cNvCnPr>
                          <a:cxnSpLocks noChangeShapeType="1"/>
                        </wps:cNvCnPr>
                        <wps:spPr bwMode="auto">
                          <a:xfrm>
                            <a:off x="1297" y="4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056" name="Line 1777"/>
                        <wps:cNvCnPr>
                          <a:cxnSpLocks noChangeShapeType="1"/>
                        </wps:cNvCnPr>
                        <wps:spPr bwMode="auto">
                          <a:xfrm>
                            <a:off x="1297" y="4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057" name="Line 1776"/>
                        <wps:cNvCnPr>
                          <a:cxnSpLocks noChangeShapeType="1"/>
                        </wps:cNvCnPr>
                        <wps:spPr bwMode="auto">
                          <a:xfrm>
                            <a:off x="1297" y="46"/>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058" name="Line 1775"/>
                        <wps:cNvCnPr>
                          <a:cxnSpLocks noChangeShapeType="1"/>
                        </wps:cNvCnPr>
                        <wps:spPr bwMode="auto">
                          <a:xfrm>
                            <a:off x="1297" y="4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059" name="Line 1774"/>
                        <wps:cNvCnPr>
                          <a:cxnSpLocks noChangeShapeType="1"/>
                        </wps:cNvCnPr>
                        <wps:spPr bwMode="auto">
                          <a:xfrm>
                            <a:off x="1297" y="4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BEB0498" id="Group 1773" o:spid="_x0000_s1026" style="width:129.75pt;height:2.5pt;mso-position-horizontal-relative:char;mso-position-vertical-relative:line" coordsize="25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">
                <v:line id="Line 1825" o:spid="_x0000_s1027" style="position:absolute;visibility:visible;mso-wrap-style:square" from="0,1" to="12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" strokeweight=".06pt"/>
                <v:line id="Line 1824" o:spid="_x0000_s1028" style="position:absolute;visibility:visible;mso-wrap-style:square" from="0,2" to="12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" strokeweight=".06pt"/>
                <v:line id="Line 1823" o:spid="_x0000_s1029" style="position:absolute;visibility:visible;mso-wrap-style:square" from="0,3" to="12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" strokeweight=".06pt"/>
                <v:line id="Line 1822" o:spid="_x0000_s1030" style="position:absolute;visibility:visible;mso-wrap-style:square" from="0,4" to="12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" strokeweight=".06pt"/>
                <v:line id="Line 1821" o:spid="_x0000_s1031" style="position:absolute;visibility:visible;mso-wrap-style:square" from="0,5" to="12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" strokeweight=".06pt"/>
                <v:line id="Line 1820" o:spid="_x0000_s1032" style="position:absolute;visibility:visible;mso-wrap-style:square" from="0,7" to="12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" strokeweight=".06pt"/>
                <v:line id="Line 1819" o:spid="_x0000_s1033" style="position:absolute;visibility:visible;mso-wrap-style:square" from="0,8" to="12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" strokeweight=".06pt"/>
                <v:line id="Line 1818" o:spid="_x0000_s1034" style="position:absolute;visibility:visible;mso-wrap-style:square" from="0,9" to="12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" strokeweight=".06pt"/>
                <v:line id="Line 1817" o:spid="_x0000_s1035" style="position:absolute;visibility:visible;mso-wrap-style:square" from="0,10" to="129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" strokeweight=".06pt"/>
                <v:line id="Line 1816" o:spid="_x0000_s1036" style="position:absolute;visibility:visible;mso-wrap-style:square" from="0,11" to="129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" strokeweight=".06pt"/>
                <v:line id="Line 1815" o:spid="_x0000_s1037" style="position:absolute;visibility:visible;mso-wrap-style:square" from="0,13" to="129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" strokeweight=".06pt"/>
                <v:line id="Line 1814" o:spid="_x0000_s1038" style="position:absolute;visibility:visible;mso-wrap-style:square" from="0,14" to="129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" strokeweight=".06pt"/>
                <v:line id="Line 1813" o:spid="_x0000_s1039" style="position:absolute;visibility:visible;mso-wrap-style:square" from="0,15" to="129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" strokeweight=".06pt"/>
                <v:line id="Line 1812" o:spid="_x0000_s1040" style="position:absolute;visibility:visible;mso-wrap-style:square" from="0,34" to="129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" strokeweight=".06pt"/>
                <v:line id="Line 1811" o:spid="_x0000_s1041" style="position:absolute;visibility:visible;mso-wrap-style:square" from="0,35" to="129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" strokeweight=".06pt"/>
                <v:line id="Line 1810" o:spid="_x0000_s1042" style="position:absolute;visibility:visible;mso-wrap-style:square" from="0,37" to="129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" strokeweight=".06pt"/>
                <v:line id="Line 1809" o:spid="_x0000_s1043" style="position:absolute;visibility:visible;mso-wrap-style:square" from="0,38" to="12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" strokeweight=".06pt"/>
                <v:line id="Line 1808" o:spid="_x0000_s1044" style="position:absolute;visibility:visible;mso-wrap-style:square" from="0,39" to="129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" strokeweight=".06pt"/>
                <v:line id="Line 1807" o:spid="_x0000_s1045" style="position:absolute;visibility:visible;mso-wrap-style:square" from="0,40" to="129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" strokeweight=".06pt"/>
                <v:line id="Line 1806" o:spid="_x0000_s1046" style="position:absolute;visibility:visible;mso-wrap-style:square" from="0,41" to="129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" strokeweight=".06pt"/>
                <v:line id="Line 1805" o:spid="_x0000_s1047" style="position:absolute;visibility:visible;mso-wrap-style:square" from="0,43" to="129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" strokeweight=".06pt"/>
                <v:line id="Line 1804" o:spid="_x0000_s1048" style="position:absolute;visibility:visible;mso-wrap-style:square" from="0,44" to="129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" strokeweight=".06pt"/>
                <v:line id="Line 1803" o:spid="_x0000_s1049" style="position:absolute;visibility:visible;mso-wrap-style:square" from="0,45" to="129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" strokeweight=".06pt"/>
                <v:line id="Line 1802" o:spid="_x0000_s1050" style="position:absolute;visibility:visible;mso-wrap-style:square" from="0,46" to="129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" strokeweight=".06pt"/>
                <v:line id="Line 1801" o:spid="_x0000_s1051" style="position:absolute;visibility:visible;mso-wrap-style:square" from="0,47" to="129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" strokeweight=".06pt"/>
                <v:line id="Line 1800" o:spid="_x0000_s1052" style="position:absolute;visibility:visible;mso-wrap-style:square" from="0,49" to="129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" strokeweight=".06pt"/>
                <v:line id="Line 1799" o:spid="_x0000_s1053" style="position:absolute;visibility:visible;mso-wrap-style:square" from="1297,1" to="25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" strokeweight=".06pt"/>
                <v:line id="Line 1798" o:spid="_x0000_s1054" style="position:absolute;visibility:visible;mso-wrap-style:square" from="1297,2" to="25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" strokeweight=".06pt"/>
                <v:line id="Line 1797" o:spid="_x0000_s1055" style="position:absolute;visibility:visible;mso-wrap-style:square" from="1297,3" to="25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" strokeweight=".06pt"/>
                <v:line id="Line 1796" o:spid="_x0000_s1056" style="position:absolute;visibility:visible;mso-wrap-style:square" from="1297,4" to="2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" strokeweight=".06pt"/>
                <v:line id="Line 1795" o:spid="_x0000_s1057" style="position:absolute;visibility:visible;mso-wrap-style:square" from="1297,5" to="25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" strokeweight=".06pt"/>
                <v:line id="Line 1794" o:spid="_x0000_s1058" style="position:absolute;visibility:visible;mso-wrap-style:square" from="1297,7" to="25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" strokeweight=".06pt"/>
                <v:line id="Line 1793" o:spid="_x0000_s1059" style="position:absolute;visibility:visible;mso-wrap-style:square" from="1297,8" to="25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" strokeweight=".06pt"/>
                <v:line id="Line 1792" o:spid="_x0000_s1060" style="position:absolute;visibility:visible;mso-wrap-style:square" from="1297,9" to="25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" strokeweight=".06pt"/>
                <v:line id="Line 1791" o:spid="_x0000_s1061" style="position:absolute;visibility:visible;mso-wrap-style:square" from="1297,10" to="259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" strokeweight=".06pt"/>
                <v:line id="Line 1790" o:spid="_x0000_s1062" style="position:absolute;visibility:visible;mso-wrap-style:square" from="1297,11" to="259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" strokeweight=".06pt"/>
                <v:line id="Line 1789" o:spid="_x0000_s1063" style="position:absolute;visibility:visible;mso-wrap-style:square" from="1297,13" to="259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" strokeweight=".06pt"/>
                <v:line id="Line 1788" o:spid="_x0000_s1064" style="position:absolute;visibility:visible;mso-wrap-style:square" from="1297,14" to="259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" strokeweight=".06pt"/>
                <v:line id="Line 1787" o:spid="_x0000_s1065" style="position:absolute;visibility:visible;mso-wrap-style:square" from="1297,15" to="259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" strokeweight=".06pt"/>
                <v:line id="Line 1786" o:spid="_x0000_s1066" style="position:absolute;visibility:visible;mso-wrap-style:square" from="1297,34" to="25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" strokeweight=".06pt"/>
                <v:line id="Line 1785" o:spid="_x0000_s1067" style="position:absolute;visibility:visible;mso-wrap-style:square" from="1297,35" to="259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" strokeweight=".06pt"/>
                <v:line id="Line 1784" o:spid="_x0000_s1068" style="position:absolute;visibility:visible;mso-wrap-style:square" from="1297,37" to="25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" strokeweight=".06pt"/>
                <v:line id="Line 1783" o:spid="_x0000_s1069" style="position:absolute;visibility:visible;mso-wrap-style:square" from="1297,38" to="259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" strokeweight=".06pt"/>
                <v:line id="Line 1782" o:spid="_x0000_s1070" style="position:absolute;visibility:visible;mso-wrap-style:square" from="1297,39" to="259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" strokeweight=".06pt"/>
                <v:line id="Line 1781" o:spid="_x0000_s1071" style="position:absolute;visibility:visible;mso-wrap-style:square" from="1297,40" to="259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" strokeweight=".06pt"/>
                <v:line id="Line 1780" o:spid="_x0000_s1072" style="position:absolute;visibility:visible;mso-wrap-style:square" from="1297,41" to="259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" strokeweight=".06pt"/>
                <v:line id="Line 1779" o:spid="_x0000_s1073" style="position:absolute;visibility:visible;mso-wrap-style:square" from="1297,43" to="259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" strokeweight=".06pt"/>
                <v:line id="Line 1778" o:spid="_x0000_s1074" style="position:absolute;visibility:visible;mso-wrap-style:square" from="1297,44" to="259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" strokeweight=".06pt"/>
                <v:line id="Line 1777" o:spid="_x0000_s1075" style="position:absolute;visibility:visible;mso-wrap-style:square" from="1297,45" to="259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" strokeweight=".06pt"/>
                <v:line id="Line 1776" o:spid="_x0000_s1076" style="position:absolute;visibility:visible;mso-wrap-style:square" from="1297,46" to="259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" strokeweight=".06pt"/>
                <v:line id="Line 1775" o:spid="_x0000_s1077" style="position:absolute;visibility:visible;mso-wrap-style:square" from="1297,47" to="259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" strokeweight=".06pt"/>
                <v:line id="Line 1774" o:spid="_x0000_s1078" style="position:absolute;visibility:visible;mso-wrap-style:square" from="1297,49" to="259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" strokeweight=".06pt"/>
                <w10:anchorlock/>
              </v:group>
            </w:pict>
          </mc:Fallback>
        </mc:AlternateContent>
      </w:r>
    </w:p>
    <w:p w14:paraId="31961734" w14:textId="77777777" w:rsidR="00FA4AA8" w:rsidRDefault="00FA4AA8">
      <w:pPr>
        <w:pStyle w:val="BodyText"/>
        <w:rPr>
          <w:sz w:val="20"/>
        </w:rPr>
      </w:pPr>
    </w:p>
    <w:p w14:paraId="6604F1CA" w14:textId="77777777" w:rsidR="00FA4AA8" w:rsidRDefault="00FA4AA8">
      <w:pPr>
        <w:pStyle w:val="BodyText"/>
        <w:rPr>
          <w:sz w:val="20"/>
        </w:rPr>
      </w:pPr>
    </w:p>
    <w:p w14:paraId="66BCD2A8" w14:textId="77777777" w:rsidR="00FA4AA8" w:rsidRDefault="00FA4AA8">
      <w:pPr>
        <w:pStyle w:val="BodyText"/>
        <w:rPr>
          <w:sz w:val="20"/>
        </w:rPr>
      </w:pPr>
    </w:p>
    <w:p w14:paraId="74EA7608" w14:textId="77777777" w:rsidR="00FA4AA8" w:rsidRDefault="00FA4AA8">
      <w:pPr>
        <w:pStyle w:val="BodyText"/>
        <w:rPr>
          <w:sz w:val="20"/>
        </w:rPr>
      </w:pPr>
    </w:p>
    <w:p w14:paraId="61BF0C89" w14:textId="77777777" w:rsidR="00FA4AA8" w:rsidRDefault="00FA4AA8">
      <w:pPr>
        <w:pStyle w:val="BodyText"/>
        <w:rPr>
          <w:sz w:val="20"/>
        </w:rPr>
      </w:pPr>
    </w:p>
    <w:p w14:paraId="7950D8E1" w14:textId="77777777" w:rsidR="00FA4AA8" w:rsidRDefault="00FA4AA8">
      <w:pPr>
        <w:pStyle w:val="BodyText"/>
        <w:rPr>
          <w:sz w:val="20"/>
        </w:rPr>
      </w:pPr>
    </w:p>
    <w:p w14:paraId="2D9D2C45" w14:textId="77777777" w:rsidR="00FA4AA8" w:rsidRDefault="00FA4AA8">
      <w:pPr>
        <w:pStyle w:val="BodyText"/>
        <w:rPr>
          <w:sz w:val="20"/>
        </w:rPr>
      </w:pPr>
    </w:p>
    <w:p w14:paraId="01B828B7" w14:textId="77777777" w:rsidR="00FA4AA8" w:rsidRDefault="00FA4AA8">
      <w:pPr>
        <w:pStyle w:val="BodyText"/>
        <w:rPr>
          <w:sz w:val="20"/>
        </w:rPr>
      </w:pPr>
    </w:p>
    <w:p w14:paraId="10FE9933" w14:textId="77777777" w:rsidR="00FA4AA8" w:rsidRDefault="00FA4AA8">
      <w:pPr>
        <w:pStyle w:val="BodyText"/>
        <w:rPr>
          <w:sz w:val="20"/>
        </w:rPr>
      </w:pPr>
    </w:p>
    <w:p w14:paraId="1247ED29" w14:textId="77777777" w:rsidR="00FA4AA8" w:rsidRDefault="00FA4AA8">
      <w:pPr>
        <w:pStyle w:val="BodyText"/>
        <w:spacing w:before="8"/>
        <w:rPr>
          <w:sz w:val="24"/>
        </w:rPr>
      </w:pPr>
    </w:p>
    <w:p w14:paraId="6C61E7C7" w14:textId="77777777" w:rsidR="00FA4AA8" w:rsidRDefault="0015611F">
      <w:pPr>
        <w:pStyle w:val="BodyText"/>
        <w:spacing w:before="95"/>
        <w:ind w:left="2717"/>
      </w:pPr>
      <w:r>
        <w:t>The accompanying notes form part of these financial statements.</w:t>
      </w:r>
    </w:p>
    <w:p w14:paraId="0305ABBE" w14:textId="77777777" w:rsidR="00FA4AA8" w:rsidRDefault="00FA4AA8">
      <w:pPr>
        <w:sectPr w:rsidR="00FA4AA8">
          <w:pgSz w:w="11910" w:h="16840"/>
          <w:pgMar w:top="1720" w:right="840" w:bottom="720" w:left="840" w:header="1017" w:footer="523" w:gutter="0"/>
          <w:cols w:space="720"/>
        </w:sectPr>
      </w:pPr>
    </w:p>
    <w:p w14:paraId="0B9A419D" w14:textId="77777777" w:rsidR="00FA4AA8" w:rsidRDefault="00FA4AA8">
      <w:pPr>
        <w:pStyle w:val="BodyText"/>
        <w:rPr>
          <w:sz w:val="20"/>
        </w:rPr>
      </w:pPr>
    </w:p>
    <w:p w14:paraId="37D3D03F" w14:textId="77777777" w:rsidR="00FA4AA8" w:rsidRDefault="00FA4AA8">
      <w:pPr>
        <w:pStyle w:val="BodyText"/>
        <w:spacing w:before="3"/>
        <w:rPr>
          <w:sz w:val="10"/>
        </w:rPr>
      </w:pPr>
    </w:p>
    <w:tbl>
      <w:tblPr>
        <w:tblW w:w="0" w:type="auto"/>
        <w:tblInd w:w="125" w:type="dxa"/>
        <w:tblLayout w:type="fixed"/>
        <w:tblCellMar>
          <w:left w:w="0" w:type="dxa"/>
          <w:right w:w="0" w:type="dxa"/>
        </w:tblCellMar>
        <w:tblLook w:val="01E0" w:firstRow="1" w:lastRow="1" w:firstColumn="1" w:lastColumn="1" w:noHBand="0" w:noVBand="0"/>
      </w:tblPr>
      <w:tblGrid>
        <w:gridCol w:w="6296"/>
        <w:gridCol w:w="973"/>
        <w:gridCol w:w="320"/>
        <w:gridCol w:w="1280"/>
        <w:gridCol w:w="1100"/>
      </w:tblGrid>
      <w:tr w:rsidR="00FA4AA8" w14:paraId="236480BD" w14:textId="77777777">
        <w:trPr>
          <w:trHeight w:val="344"/>
        </w:trPr>
        <w:tc>
          <w:tcPr>
            <w:tcW w:w="6296" w:type="dxa"/>
          </w:tcPr>
          <w:p w14:paraId="53E8D1CD" w14:textId="77777777" w:rsidR="00FA4AA8" w:rsidRDefault="0015611F">
            <w:pPr>
              <w:pStyle w:val="TableParagraph"/>
              <w:spacing w:line="312" w:lineRule="exact"/>
              <w:ind w:left="50"/>
              <w:rPr>
                <w:b/>
                <w:sz w:val="28"/>
              </w:rPr>
            </w:pPr>
            <w:r>
              <w:rPr>
                <w:b/>
                <w:sz w:val="28"/>
              </w:rPr>
              <w:t>Statement of Changes in Equity</w:t>
            </w:r>
          </w:p>
        </w:tc>
        <w:tc>
          <w:tcPr>
            <w:tcW w:w="3673" w:type="dxa"/>
            <w:gridSpan w:val="4"/>
            <w:vMerge w:val="restart"/>
          </w:tcPr>
          <w:p w14:paraId="25C5769F" w14:textId="77777777" w:rsidR="00FA4AA8" w:rsidRDefault="00FA4AA8">
            <w:pPr>
              <w:pStyle w:val="TableParagraph"/>
              <w:rPr>
                <w:rFonts w:ascii="Times New Roman"/>
                <w:sz w:val="18"/>
              </w:rPr>
            </w:pPr>
          </w:p>
        </w:tc>
      </w:tr>
      <w:tr w:rsidR="00FA4AA8" w14:paraId="7DE8D834" w14:textId="77777777">
        <w:trPr>
          <w:trHeight w:val="486"/>
        </w:trPr>
        <w:tc>
          <w:tcPr>
            <w:tcW w:w="6296" w:type="dxa"/>
          </w:tcPr>
          <w:p w14:paraId="61AB975E" w14:textId="77777777" w:rsidR="00FA4AA8" w:rsidRDefault="0015611F">
            <w:pPr>
              <w:pStyle w:val="TableParagraph"/>
              <w:spacing w:before="25"/>
              <w:ind w:left="50"/>
              <w:rPr>
                <w:b/>
              </w:rPr>
            </w:pPr>
            <w:r>
              <w:rPr>
                <w:b/>
              </w:rPr>
              <w:t>For the Year Ended 31 December 2018</w:t>
            </w:r>
          </w:p>
        </w:tc>
        <w:tc>
          <w:tcPr>
            <w:tcW w:w="3673" w:type="dxa"/>
            <w:gridSpan w:val="4"/>
            <w:vMerge/>
            <w:tcBorders>
              <w:top w:val="nil"/>
            </w:tcBorders>
          </w:tcPr>
          <w:p w14:paraId="0EDAE0A5" w14:textId="77777777" w:rsidR="00FA4AA8" w:rsidRDefault="00FA4AA8">
            <w:pPr>
              <w:rPr>
                <w:sz w:val="2"/>
                <w:szCs w:val="2"/>
              </w:rPr>
            </w:pPr>
          </w:p>
        </w:tc>
      </w:tr>
      <w:tr w:rsidR="00FA4AA8" w14:paraId="5A7077EE" w14:textId="77777777">
        <w:trPr>
          <w:trHeight w:val="652"/>
        </w:trPr>
        <w:tc>
          <w:tcPr>
            <w:tcW w:w="6296" w:type="dxa"/>
          </w:tcPr>
          <w:p w14:paraId="68BB40EB" w14:textId="77777777" w:rsidR="00FA4AA8" w:rsidRDefault="00FA4AA8">
            <w:pPr>
              <w:pStyle w:val="TableParagraph"/>
              <w:rPr>
                <w:rFonts w:ascii="Times New Roman"/>
                <w:sz w:val="18"/>
              </w:rPr>
            </w:pPr>
          </w:p>
        </w:tc>
        <w:tc>
          <w:tcPr>
            <w:tcW w:w="973" w:type="dxa"/>
          </w:tcPr>
          <w:p w14:paraId="72B6654A" w14:textId="77777777" w:rsidR="00FA4AA8" w:rsidRDefault="00FA4AA8">
            <w:pPr>
              <w:pStyle w:val="TableParagraph"/>
              <w:spacing w:before="7"/>
              <w:rPr>
                <w:sz w:val="17"/>
              </w:rPr>
            </w:pPr>
          </w:p>
          <w:p w14:paraId="5A58B3A1" w14:textId="77777777" w:rsidR="00FA4AA8" w:rsidRDefault="0015611F">
            <w:pPr>
              <w:pStyle w:val="TableParagraph"/>
              <w:ind w:left="310" w:right="42" w:firstLine="15"/>
              <w:rPr>
                <w:b/>
                <w:sz w:val="18"/>
              </w:rPr>
            </w:pPr>
            <w:r>
              <w:rPr>
                <w:b/>
                <w:sz w:val="18"/>
              </w:rPr>
              <w:t>Issued Capital</w:t>
            </w:r>
          </w:p>
        </w:tc>
        <w:tc>
          <w:tcPr>
            <w:tcW w:w="320" w:type="dxa"/>
          </w:tcPr>
          <w:p w14:paraId="17F0091F" w14:textId="77777777" w:rsidR="00FA4AA8" w:rsidRDefault="00FA4AA8">
            <w:pPr>
              <w:pStyle w:val="TableParagraph"/>
              <w:rPr>
                <w:rFonts w:ascii="Times New Roman"/>
                <w:sz w:val="18"/>
              </w:rPr>
            </w:pPr>
          </w:p>
        </w:tc>
        <w:tc>
          <w:tcPr>
            <w:tcW w:w="1280" w:type="dxa"/>
          </w:tcPr>
          <w:p w14:paraId="6E9AB7BC" w14:textId="77777777" w:rsidR="00FA4AA8" w:rsidRDefault="00FA4AA8">
            <w:pPr>
              <w:pStyle w:val="TableParagraph"/>
              <w:spacing w:before="7"/>
              <w:rPr>
                <w:sz w:val="17"/>
              </w:rPr>
            </w:pPr>
          </w:p>
          <w:p w14:paraId="4087A075" w14:textId="77777777" w:rsidR="00FA4AA8" w:rsidRDefault="0015611F">
            <w:pPr>
              <w:pStyle w:val="TableParagraph"/>
              <w:ind w:left="156" w:right="333" w:firstLine="6"/>
              <w:rPr>
                <w:b/>
                <w:sz w:val="18"/>
              </w:rPr>
            </w:pPr>
            <w:r>
              <w:rPr>
                <w:b/>
                <w:sz w:val="18"/>
              </w:rPr>
              <w:t>Retained Earnings</w:t>
            </w:r>
          </w:p>
        </w:tc>
        <w:tc>
          <w:tcPr>
            <w:tcW w:w="1100" w:type="dxa"/>
          </w:tcPr>
          <w:p w14:paraId="2E237768" w14:textId="77777777" w:rsidR="00FA4AA8" w:rsidRDefault="00FA4AA8">
            <w:pPr>
              <w:pStyle w:val="TableParagraph"/>
              <w:rPr>
                <w:sz w:val="20"/>
              </w:rPr>
            </w:pPr>
          </w:p>
          <w:p w14:paraId="21A88E86" w14:textId="77777777" w:rsidR="00FA4AA8" w:rsidRDefault="0015611F">
            <w:pPr>
              <w:pStyle w:val="TableParagraph"/>
              <w:spacing w:before="179"/>
              <w:ind w:left="257"/>
              <w:rPr>
                <w:b/>
                <w:sz w:val="18"/>
              </w:rPr>
            </w:pPr>
            <w:r>
              <w:rPr>
                <w:b/>
                <w:sz w:val="18"/>
              </w:rPr>
              <w:t>Total</w:t>
            </w:r>
          </w:p>
        </w:tc>
      </w:tr>
      <w:tr w:rsidR="00FA4AA8" w14:paraId="7BF6EF48" w14:textId="77777777">
        <w:trPr>
          <w:trHeight w:val="269"/>
        </w:trPr>
        <w:tc>
          <w:tcPr>
            <w:tcW w:w="6296" w:type="dxa"/>
          </w:tcPr>
          <w:p w14:paraId="27B5C9B8" w14:textId="77777777" w:rsidR="00FA4AA8" w:rsidRDefault="00FA4AA8">
            <w:pPr>
              <w:pStyle w:val="TableParagraph"/>
              <w:rPr>
                <w:rFonts w:ascii="Times New Roman"/>
                <w:sz w:val="18"/>
              </w:rPr>
            </w:pPr>
          </w:p>
        </w:tc>
        <w:tc>
          <w:tcPr>
            <w:tcW w:w="973" w:type="dxa"/>
            <w:tcBorders>
              <w:bottom w:val="single" w:sz="8" w:space="0" w:color="000000"/>
            </w:tcBorders>
          </w:tcPr>
          <w:p w14:paraId="04084CAC" w14:textId="77777777" w:rsidR="00FA4AA8" w:rsidRDefault="0015611F">
            <w:pPr>
              <w:pStyle w:val="TableParagraph"/>
              <w:spacing w:before="30"/>
              <w:ind w:left="561"/>
              <w:rPr>
                <w:b/>
                <w:sz w:val="18"/>
              </w:rPr>
            </w:pPr>
            <w:r>
              <w:rPr>
                <w:b/>
                <w:sz w:val="18"/>
              </w:rPr>
              <w:t>$</w:t>
            </w:r>
          </w:p>
        </w:tc>
        <w:tc>
          <w:tcPr>
            <w:tcW w:w="320" w:type="dxa"/>
            <w:tcBorders>
              <w:bottom w:val="single" w:sz="8" w:space="0" w:color="000000"/>
            </w:tcBorders>
          </w:tcPr>
          <w:p w14:paraId="4D721822" w14:textId="77777777" w:rsidR="00FA4AA8" w:rsidRDefault="00FA4AA8">
            <w:pPr>
              <w:pStyle w:val="TableParagraph"/>
              <w:rPr>
                <w:rFonts w:ascii="Times New Roman"/>
                <w:sz w:val="18"/>
              </w:rPr>
            </w:pPr>
          </w:p>
        </w:tc>
        <w:tc>
          <w:tcPr>
            <w:tcW w:w="1280" w:type="dxa"/>
            <w:tcBorders>
              <w:bottom w:val="single" w:sz="8" w:space="0" w:color="000000"/>
            </w:tcBorders>
          </w:tcPr>
          <w:p w14:paraId="2D14AC4A" w14:textId="77777777" w:rsidR="00FA4AA8" w:rsidRDefault="0015611F">
            <w:pPr>
              <w:pStyle w:val="TableParagraph"/>
              <w:spacing w:before="30"/>
              <w:ind w:right="192"/>
              <w:jc w:val="center"/>
              <w:rPr>
                <w:b/>
                <w:sz w:val="18"/>
              </w:rPr>
            </w:pPr>
            <w:r>
              <w:rPr>
                <w:b/>
                <w:sz w:val="18"/>
              </w:rPr>
              <w:t>$</w:t>
            </w:r>
          </w:p>
        </w:tc>
        <w:tc>
          <w:tcPr>
            <w:tcW w:w="1100" w:type="dxa"/>
            <w:tcBorders>
              <w:bottom w:val="single" w:sz="8" w:space="0" w:color="000000"/>
            </w:tcBorders>
          </w:tcPr>
          <w:p w14:paraId="0D2267DB" w14:textId="77777777" w:rsidR="00FA4AA8" w:rsidRDefault="0015611F">
            <w:pPr>
              <w:pStyle w:val="TableParagraph"/>
              <w:spacing w:before="30"/>
              <w:ind w:right="151"/>
              <w:jc w:val="center"/>
              <w:rPr>
                <w:b/>
                <w:sz w:val="18"/>
              </w:rPr>
            </w:pPr>
            <w:r>
              <w:rPr>
                <w:b/>
                <w:sz w:val="18"/>
              </w:rPr>
              <w:t>$</w:t>
            </w:r>
          </w:p>
        </w:tc>
      </w:tr>
      <w:tr w:rsidR="00FA4AA8" w14:paraId="58621B5C" w14:textId="77777777">
        <w:trPr>
          <w:trHeight w:val="277"/>
        </w:trPr>
        <w:tc>
          <w:tcPr>
            <w:tcW w:w="6296" w:type="dxa"/>
          </w:tcPr>
          <w:p w14:paraId="4B469C3C" w14:textId="77777777" w:rsidR="00FA4AA8" w:rsidRDefault="0015611F">
            <w:pPr>
              <w:pStyle w:val="TableParagraph"/>
              <w:spacing w:before="34"/>
              <w:ind w:left="77"/>
              <w:rPr>
                <w:b/>
                <w:sz w:val="18"/>
              </w:rPr>
            </w:pPr>
            <w:r>
              <w:rPr>
                <w:b/>
                <w:sz w:val="18"/>
              </w:rPr>
              <w:t>Balance at 1 January 2018</w:t>
            </w:r>
          </w:p>
        </w:tc>
        <w:tc>
          <w:tcPr>
            <w:tcW w:w="973" w:type="dxa"/>
            <w:tcBorders>
              <w:top w:val="single" w:sz="8" w:space="0" w:color="000000"/>
            </w:tcBorders>
          </w:tcPr>
          <w:p w14:paraId="6EE48608" w14:textId="77777777" w:rsidR="00FA4AA8" w:rsidRDefault="00FA4AA8">
            <w:pPr>
              <w:pStyle w:val="TableParagraph"/>
              <w:rPr>
                <w:rFonts w:ascii="Times New Roman"/>
                <w:sz w:val="18"/>
              </w:rPr>
            </w:pPr>
          </w:p>
        </w:tc>
        <w:tc>
          <w:tcPr>
            <w:tcW w:w="320" w:type="dxa"/>
            <w:tcBorders>
              <w:top w:val="single" w:sz="8" w:space="0" w:color="000000"/>
            </w:tcBorders>
          </w:tcPr>
          <w:p w14:paraId="4FF6D1BF" w14:textId="77777777" w:rsidR="00FA4AA8" w:rsidRDefault="0015611F">
            <w:pPr>
              <w:pStyle w:val="TableParagraph"/>
              <w:spacing w:before="39"/>
              <w:ind w:left="62"/>
              <w:rPr>
                <w:b/>
                <w:sz w:val="18"/>
              </w:rPr>
            </w:pPr>
            <w:r>
              <w:rPr>
                <w:b/>
                <w:sz w:val="18"/>
              </w:rPr>
              <w:t>1</w:t>
            </w:r>
          </w:p>
        </w:tc>
        <w:tc>
          <w:tcPr>
            <w:tcW w:w="1280" w:type="dxa"/>
            <w:tcBorders>
              <w:top w:val="single" w:sz="8" w:space="0" w:color="000000"/>
            </w:tcBorders>
          </w:tcPr>
          <w:p w14:paraId="4AD97B81" w14:textId="77777777" w:rsidR="00FA4AA8" w:rsidRDefault="0015611F">
            <w:pPr>
              <w:pStyle w:val="TableParagraph"/>
              <w:spacing w:before="39"/>
              <w:ind w:right="211"/>
              <w:jc w:val="right"/>
              <w:rPr>
                <w:b/>
                <w:sz w:val="18"/>
              </w:rPr>
            </w:pPr>
            <w:r>
              <w:rPr>
                <w:b/>
                <w:sz w:val="18"/>
              </w:rPr>
              <w:t>6,765,448</w:t>
            </w:r>
          </w:p>
        </w:tc>
        <w:tc>
          <w:tcPr>
            <w:tcW w:w="1100" w:type="dxa"/>
            <w:tcBorders>
              <w:top w:val="single" w:sz="8" w:space="0" w:color="000000"/>
            </w:tcBorders>
          </w:tcPr>
          <w:p w14:paraId="1463EC04" w14:textId="77777777" w:rsidR="00FA4AA8" w:rsidRDefault="0015611F">
            <w:pPr>
              <w:pStyle w:val="TableParagraph"/>
              <w:spacing w:before="39"/>
              <w:ind w:right="87"/>
              <w:jc w:val="right"/>
              <w:rPr>
                <w:b/>
                <w:sz w:val="18"/>
              </w:rPr>
            </w:pPr>
            <w:r>
              <w:rPr>
                <w:b/>
                <w:sz w:val="18"/>
              </w:rPr>
              <w:t>6,765,449</w:t>
            </w:r>
          </w:p>
        </w:tc>
      </w:tr>
      <w:tr w:rsidR="00FA4AA8" w14:paraId="063DED7D" w14:textId="77777777">
        <w:trPr>
          <w:trHeight w:val="264"/>
        </w:trPr>
        <w:tc>
          <w:tcPr>
            <w:tcW w:w="6296" w:type="dxa"/>
          </w:tcPr>
          <w:p w14:paraId="46C08452" w14:textId="77777777" w:rsidR="00FA4AA8" w:rsidRDefault="0015611F">
            <w:pPr>
              <w:pStyle w:val="TableParagraph"/>
              <w:spacing w:before="26"/>
              <w:ind w:left="77"/>
              <w:rPr>
                <w:sz w:val="18"/>
              </w:rPr>
            </w:pPr>
            <w:r>
              <w:rPr>
                <w:sz w:val="18"/>
              </w:rPr>
              <w:t>Surplus / (deficit) for the year</w:t>
            </w:r>
          </w:p>
        </w:tc>
        <w:tc>
          <w:tcPr>
            <w:tcW w:w="973" w:type="dxa"/>
          </w:tcPr>
          <w:p w14:paraId="62A106D8" w14:textId="77777777" w:rsidR="00FA4AA8" w:rsidRDefault="00FA4AA8">
            <w:pPr>
              <w:pStyle w:val="TableParagraph"/>
              <w:rPr>
                <w:rFonts w:ascii="Times New Roman"/>
                <w:sz w:val="18"/>
              </w:rPr>
            </w:pPr>
          </w:p>
        </w:tc>
        <w:tc>
          <w:tcPr>
            <w:tcW w:w="320" w:type="dxa"/>
          </w:tcPr>
          <w:p w14:paraId="56906A21" w14:textId="77777777" w:rsidR="00FA4AA8" w:rsidRDefault="0015611F">
            <w:pPr>
              <w:pStyle w:val="TableParagraph"/>
              <w:spacing w:before="25"/>
              <w:ind w:left="102"/>
              <w:rPr>
                <w:b/>
                <w:sz w:val="18"/>
              </w:rPr>
            </w:pPr>
            <w:r>
              <w:rPr>
                <w:b/>
                <w:sz w:val="18"/>
              </w:rPr>
              <w:t>-</w:t>
            </w:r>
          </w:p>
        </w:tc>
        <w:tc>
          <w:tcPr>
            <w:tcW w:w="1280" w:type="dxa"/>
          </w:tcPr>
          <w:p w14:paraId="7D444FC6" w14:textId="77777777" w:rsidR="00FA4AA8" w:rsidRDefault="0015611F">
            <w:pPr>
              <w:pStyle w:val="TableParagraph"/>
              <w:spacing w:before="25"/>
              <w:ind w:right="211"/>
              <w:jc w:val="right"/>
              <w:rPr>
                <w:b/>
                <w:sz w:val="18"/>
              </w:rPr>
            </w:pPr>
            <w:r>
              <w:rPr>
                <w:b/>
                <w:sz w:val="18"/>
              </w:rPr>
              <w:t>-</w:t>
            </w:r>
          </w:p>
        </w:tc>
        <w:tc>
          <w:tcPr>
            <w:tcW w:w="1100" w:type="dxa"/>
          </w:tcPr>
          <w:p w14:paraId="40B54C53" w14:textId="77777777" w:rsidR="00FA4AA8" w:rsidRDefault="0015611F">
            <w:pPr>
              <w:pStyle w:val="TableParagraph"/>
              <w:spacing w:before="25"/>
              <w:ind w:right="87"/>
              <w:jc w:val="right"/>
              <w:rPr>
                <w:b/>
                <w:sz w:val="18"/>
              </w:rPr>
            </w:pPr>
            <w:r>
              <w:rPr>
                <w:b/>
                <w:sz w:val="18"/>
              </w:rPr>
              <w:t>-</w:t>
            </w:r>
          </w:p>
        </w:tc>
      </w:tr>
      <w:tr w:rsidR="00FA4AA8" w14:paraId="0BCDED80" w14:textId="77777777">
        <w:trPr>
          <w:trHeight w:val="258"/>
        </w:trPr>
        <w:tc>
          <w:tcPr>
            <w:tcW w:w="6296" w:type="dxa"/>
          </w:tcPr>
          <w:p w14:paraId="10CC8604" w14:textId="77777777" w:rsidR="00FA4AA8" w:rsidRDefault="0015611F">
            <w:pPr>
              <w:pStyle w:val="TableParagraph"/>
              <w:spacing w:before="26"/>
              <w:ind w:left="77"/>
              <w:rPr>
                <w:sz w:val="18"/>
              </w:rPr>
            </w:pPr>
            <w:r>
              <w:rPr>
                <w:sz w:val="18"/>
              </w:rPr>
              <w:t>Other comprehensive income</w:t>
            </w:r>
          </w:p>
        </w:tc>
        <w:tc>
          <w:tcPr>
            <w:tcW w:w="973" w:type="dxa"/>
            <w:tcBorders>
              <w:bottom w:val="single" w:sz="8" w:space="0" w:color="000000"/>
            </w:tcBorders>
          </w:tcPr>
          <w:p w14:paraId="113E045F" w14:textId="77777777" w:rsidR="00FA4AA8" w:rsidRDefault="00FA4AA8">
            <w:pPr>
              <w:pStyle w:val="TableParagraph"/>
              <w:rPr>
                <w:rFonts w:ascii="Times New Roman"/>
                <w:sz w:val="18"/>
              </w:rPr>
            </w:pPr>
          </w:p>
        </w:tc>
        <w:tc>
          <w:tcPr>
            <w:tcW w:w="320" w:type="dxa"/>
            <w:tcBorders>
              <w:bottom w:val="single" w:sz="8" w:space="0" w:color="000000"/>
            </w:tcBorders>
          </w:tcPr>
          <w:p w14:paraId="133A7DD7" w14:textId="77777777" w:rsidR="00FA4AA8" w:rsidRDefault="0015611F">
            <w:pPr>
              <w:pStyle w:val="TableParagraph"/>
              <w:spacing w:before="25"/>
              <w:ind w:left="102"/>
              <w:rPr>
                <w:b/>
                <w:sz w:val="18"/>
              </w:rPr>
            </w:pPr>
            <w:r>
              <w:rPr>
                <w:b/>
                <w:sz w:val="18"/>
              </w:rPr>
              <w:t>-</w:t>
            </w:r>
          </w:p>
        </w:tc>
        <w:tc>
          <w:tcPr>
            <w:tcW w:w="1280" w:type="dxa"/>
            <w:tcBorders>
              <w:bottom w:val="single" w:sz="8" w:space="0" w:color="000000"/>
            </w:tcBorders>
          </w:tcPr>
          <w:p w14:paraId="45FA65F7" w14:textId="77777777" w:rsidR="00FA4AA8" w:rsidRDefault="0015611F">
            <w:pPr>
              <w:pStyle w:val="TableParagraph"/>
              <w:spacing w:before="25"/>
              <w:ind w:right="211"/>
              <w:jc w:val="right"/>
              <w:rPr>
                <w:b/>
                <w:sz w:val="18"/>
              </w:rPr>
            </w:pPr>
            <w:r>
              <w:rPr>
                <w:b/>
                <w:sz w:val="18"/>
              </w:rPr>
              <w:t>-</w:t>
            </w:r>
          </w:p>
        </w:tc>
        <w:tc>
          <w:tcPr>
            <w:tcW w:w="1100" w:type="dxa"/>
            <w:tcBorders>
              <w:bottom w:val="single" w:sz="8" w:space="0" w:color="000000"/>
            </w:tcBorders>
          </w:tcPr>
          <w:p w14:paraId="32268BCC" w14:textId="77777777" w:rsidR="00FA4AA8" w:rsidRDefault="0015611F">
            <w:pPr>
              <w:pStyle w:val="TableParagraph"/>
              <w:spacing w:before="25"/>
              <w:ind w:right="87"/>
              <w:jc w:val="right"/>
              <w:rPr>
                <w:b/>
                <w:sz w:val="18"/>
              </w:rPr>
            </w:pPr>
            <w:r>
              <w:rPr>
                <w:b/>
                <w:sz w:val="18"/>
              </w:rPr>
              <w:t>-</w:t>
            </w:r>
          </w:p>
        </w:tc>
      </w:tr>
      <w:tr w:rsidR="00FA4AA8" w14:paraId="3226FF2C" w14:textId="77777777">
        <w:trPr>
          <w:trHeight w:val="318"/>
        </w:trPr>
        <w:tc>
          <w:tcPr>
            <w:tcW w:w="6296" w:type="dxa"/>
          </w:tcPr>
          <w:p w14:paraId="761CF98D" w14:textId="77777777" w:rsidR="00FA4AA8" w:rsidRDefault="0015611F">
            <w:pPr>
              <w:pStyle w:val="TableParagraph"/>
              <w:spacing w:before="113" w:line="185" w:lineRule="exact"/>
              <w:ind w:left="77"/>
              <w:rPr>
                <w:b/>
                <w:sz w:val="18"/>
              </w:rPr>
            </w:pPr>
            <w:r>
              <w:rPr>
                <w:b/>
                <w:sz w:val="18"/>
              </w:rPr>
              <w:t>Total comprehensive income for the year</w:t>
            </w:r>
          </w:p>
        </w:tc>
        <w:tc>
          <w:tcPr>
            <w:tcW w:w="973" w:type="dxa"/>
            <w:tcBorders>
              <w:top w:val="single" w:sz="8" w:space="0" w:color="000000"/>
              <w:bottom w:val="single" w:sz="8" w:space="0" w:color="000000"/>
            </w:tcBorders>
          </w:tcPr>
          <w:p w14:paraId="509E7CF3" w14:textId="77777777" w:rsidR="00FA4AA8" w:rsidRDefault="00FA4AA8">
            <w:pPr>
              <w:pStyle w:val="TableParagraph"/>
              <w:rPr>
                <w:rFonts w:ascii="Times New Roman"/>
                <w:sz w:val="18"/>
              </w:rPr>
            </w:pPr>
          </w:p>
        </w:tc>
        <w:tc>
          <w:tcPr>
            <w:tcW w:w="320" w:type="dxa"/>
            <w:tcBorders>
              <w:top w:val="single" w:sz="8" w:space="0" w:color="000000"/>
              <w:bottom w:val="single" w:sz="8" w:space="0" w:color="000000"/>
            </w:tcBorders>
          </w:tcPr>
          <w:p w14:paraId="6B2C5150" w14:textId="77777777" w:rsidR="00FA4AA8" w:rsidRDefault="0015611F">
            <w:pPr>
              <w:pStyle w:val="TableParagraph"/>
              <w:spacing w:before="113" w:line="185" w:lineRule="exact"/>
              <w:ind w:left="102"/>
              <w:rPr>
                <w:b/>
                <w:sz w:val="18"/>
              </w:rPr>
            </w:pPr>
            <w:r>
              <w:rPr>
                <w:b/>
                <w:sz w:val="18"/>
              </w:rPr>
              <w:t>-</w:t>
            </w:r>
          </w:p>
        </w:tc>
        <w:tc>
          <w:tcPr>
            <w:tcW w:w="1280" w:type="dxa"/>
            <w:tcBorders>
              <w:top w:val="single" w:sz="8" w:space="0" w:color="000000"/>
              <w:bottom w:val="single" w:sz="8" w:space="0" w:color="000000"/>
            </w:tcBorders>
          </w:tcPr>
          <w:p w14:paraId="1E385E81" w14:textId="77777777" w:rsidR="00FA4AA8" w:rsidRDefault="0015611F">
            <w:pPr>
              <w:pStyle w:val="TableParagraph"/>
              <w:spacing w:before="113" w:line="185" w:lineRule="exact"/>
              <w:ind w:right="211"/>
              <w:jc w:val="right"/>
              <w:rPr>
                <w:b/>
                <w:sz w:val="18"/>
              </w:rPr>
            </w:pPr>
            <w:r>
              <w:rPr>
                <w:b/>
                <w:sz w:val="18"/>
              </w:rPr>
              <w:t>-</w:t>
            </w:r>
          </w:p>
        </w:tc>
        <w:tc>
          <w:tcPr>
            <w:tcW w:w="1100" w:type="dxa"/>
            <w:tcBorders>
              <w:top w:val="single" w:sz="8" w:space="0" w:color="000000"/>
              <w:bottom w:val="single" w:sz="8" w:space="0" w:color="000000"/>
            </w:tcBorders>
          </w:tcPr>
          <w:p w14:paraId="738E38D3" w14:textId="77777777" w:rsidR="00FA4AA8" w:rsidRDefault="0015611F">
            <w:pPr>
              <w:pStyle w:val="TableParagraph"/>
              <w:spacing w:before="113" w:line="185" w:lineRule="exact"/>
              <w:ind w:right="87"/>
              <w:jc w:val="right"/>
              <w:rPr>
                <w:b/>
                <w:sz w:val="18"/>
              </w:rPr>
            </w:pPr>
            <w:r>
              <w:rPr>
                <w:b/>
                <w:sz w:val="18"/>
              </w:rPr>
              <w:t>-</w:t>
            </w:r>
          </w:p>
        </w:tc>
      </w:tr>
      <w:tr w:rsidR="00FA4AA8" w14:paraId="6CC5EAAA" w14:textId="77777777">
        <w:trPr>
          <w:trHeight w:val="313"/>
        </w:trPr>
        <w:tc>
          <w:tcPr>
            <w:tcW w:w="6296" w:type="dxa"/>
          </w:tcPr>
          <w:p w14:paraId="1D181307" w14:textId="77777777" w:rsidR="00FA4AA8" w:rsidRDefault="0015611F">
            <w:pPr>
              <w:pStyle w:val="TableParagraph"/>
              <w:spacing w:before="113" w:line="180" w:lineRule="exact"/>
              <w:ind w:left="77"/>
              <w:rPr>
                <w:b/>
                <w:sz w:val="18"/>
              </w:rPr>
            </w:pPr>
            <w:r>
              <w:rPr>
                <w:b/>
                <w:sz w:val="18"/>
              </w:rPr>
              <w:t>Balance at 31 December 2018</w:t>
            </w:r>
          </w:p>
        </w:tc>
        <w:tc>
          <w:tcPr>
            <w:tcW w:w="973" w:type="dxa"/>
            <w:tcBorders>
              <w:top w:val="single" w:sz="8" w:space="0" w:color="000000"/>
              <w:bottom w:val="double" w:sz="3" w:space="0" w:color="000000"/>
            </w:tcBorders>
          </w:tcPr>
          <w:p w14:paraId="3F9EB76E" w14:textId="77777777" w:rsidR="00FA4AA8" w:rsidRDefault="00FA4AA8">
            <w:pPr>
              <w:pStyle w:val="TableParagraph"/>
              <w:rPr>
                <w:rFonts w:ascii="Times New Roman"/>
                <w:sz w:val="18"/>
              </w:rPr>
            </w:pPr>
          </w:p>
        </w:tc>
        <w:tc>
          <w:tcPr>
            <w:tcW w:w="320" w:type="dxa"/>
            <w:tcBorders>
              <w:top w:val="single" w:sz="8" w:space="0" w:color="000000"/>
              <w:bottom w:val="double" w:sz="3" w:space="0" w:color="000000"/>
            </w:tcBorders>
          </w:tcPr>
          <w:p w14:paraId="46EFC02A" w14:textId="77777777" w:rsidR="00FA4AA8" w:rsidRDefault="0015611F">
            <w:pPr>
              <w:pStyle w:val="TableParagraph"/>
              <w:spacing w:before="113" w:line="180" w:lineRule="exact"/>
              <w:ind w:left="62"/>
              <w:rPr>
                <w:b/>
                <w:sz w:val="18"/>
              </w:rPr>
            </w:pPr>
            <w:r>
              <w:rPr>
                <w:b/>
                <w:sz w:val="18"/>
              </w:rPr>
              <w:t>1</w:t>
            </w:r>
          </w:p>
        </w:tc>
        <w:tc>
          <w:tcPr>
            <w:tcW w:w="1280" w:type="dxa"/>
            <w:tcBorders>
              <w:top w:val="single" w:sz="8" w:space="0" w:color="000000"/>
              <w:bottom w:val="double" w:sz="3" w:space="0" w:color="000000"/>
            </w:tcBorders>
          </w:tcPr>
          <w:p w14:paraId="76ABF6DA" w14:textId="77777777" w:rsidR="00FA4AA8" w:rsidRDefault="0015611F">
            <w:pPr>
              <w:pStyle w:val="TableParagraph"/>
              <w:spacing w:before="113" w:line="180" w:lineRule="exact"/>
              <w:ind w:right="211"/>
              <w:jc w:val="right"/>
              <w:rPr>
                <w:b/>
                <w:sz w:val="18"/>
              </w:rPr>
            </w:pPr>
            <w:r>
              <w:rPr>
                <w:b/>
                <w:sz w:val="18"/>
              </w:rPr>
              <w:t>6,765,448</w:t>
            </w:r>
          </w:p>
        </w:tc>
        <w:tc>
          <w:tcPr>
            <w:tcW w:w="1100" w:type="dxa"/>
            <w:tcBorders>
              <w:top w:val="single" w:sz="8" w:space="0" w:color="000000"/>
              <w:bottom w:val="double" w:sz="3" w:space="0" w:color="000000"/>
            </w:tcBorders>
          </w:tcPr>
          <w:p w14:paraId="3E2A031B" w14:textId="77777777" w:rsidR="00FA4AA8" w:rsidRDefault="0015611F">
            <w:pPr>
              <w:pStyle w:val="TableParagraph"/>
              <w:spacing w:before="113" w:line="180" w:lineRule="exact"/>
              <w:ind w:right="87"/>
              <w:jc w:val="right"/>
              <w:rPr>
                <w:b/>
                <w:sz w:val="18"/>
              </w:rPr>
            </w:pPr>
            <w:r>
              <w:rPr>
                <w:b/>
                <w:sz w:val="18"/>
              </w:rPr>
              <w:t>6,765,449</w:t>
            </w:r>
          </w:p>
        </w:tc>
      </w:tr>
    </w:tbl>
    <w:p w14:paraId="7FC85D03" w14:textId="77777777" w:rsidR="00FA4AA8" w:rsidRDefault="00FA4AA8">
      <w:pPr>
        <w:pStyle w:val="BodyText"/>
        <w:rPr>
          <w:sz w:val="20"/>
        </w:rPr>
      </w:pPr>
    </w:p>
    <w:p w14:paraId="44A5339A" w14:textId="77777777" w:rsidR="00FA4AA8" w:rsidRDefault="00FA4AA8">
      <w:pPr>
        <w:pStyle w:val="BodyText"/>
        <w:rPr>
          <w:sz w:val="20"/>
        </w:rPr>
      </w:pPr>
    </w:p>
    <w:p w14:paraId="10B969FF" w14:textId="77777777" w:rsidR="00FA4AA8" w:rsidRDefault="00FA4AA8">
      <w:pPr>
        <w:pStyle w:val="BodyText"/>
        <w:rPr>
          <w:sz w:val="20"/>
        </w:rPr>
      </w:pPr>
    </w:p>
    <w:p w14:paraId="34242751" w14:textId="77777777" w:rsidR="00FA4AA8" w:rsidRDefault="00FA4AA8">
      <w:pPr>
        <w:pStyle w:val="BodyText"/>
        <w:spacing w:before="3"/>
        <w:rPr>
          <w:sz w:val="21"/>
        </w:rPr>
      </w:pPr>
    </w:p>
    <w:tbl>
      <w:tblPr>
        <w:tblW w:w="0" w:type="auto"/>
        <w:tblInd w:w="153" w:type="dxa"/>
        <w:tblLayout w:type="fixed"/>
        <w:tblCellMar>
          <w:left w:w="0" w:type="dxa"/>
          <w:right w:w="0" w:type="dxa"/>
        </w:tblCellMar>
        <w:tblLook w:val="01E0" w:firstRow="1" w:lastRow="1" w:firstColumn="1" w:lastColumn="1" w:noHBand="0" w:noVBand="0"/>
      </w:tblPr>
      <w:tblGrid>
        <w:gridCol w:w="6268"/>
        <w:gridCol w:w="972"/>
        <w:gridCol w:w="319"/>
        <w:gridCol w:w="1279"/>
        <w:gridCol w:w="1099"/>
      </w:tblGrid>
      <w:tr w:rsidR="00FA4AA8" w14:paraId="2B8E5829" w14:textId="77777777">
        <w:trPr>
          <w:trHeight w:val="443"/>
        </w:trPr>
        <w:tc>
          <w:tcPr>
            <w:tcW w:w="6268" w:type="dxa"/>
            <w:vMerge w:val="restart"/>
          </w:tcPr>
          <w:p w14:paraId="6A05136F" w14:textId="77777777" w:rsidR="00FA4AA8" w:rsidRDefault="00FA4AA8">
            <w:pPr>
              <w:pStyle w:val="TableParagraph"/>
              <w:rPr>
                <w:rFonts w:ascii="Times New Roman"/>
                <w:sz w:val="18"/>
              </w:rPr>
            </w:pPr>
          </w:p>
        </w:tc>
        <w:tc>
          <w:tcPr>
            <w:tcW w:w="972" w:type="dxa"/>
          </w:tcPr>
          <w:p w14:paraId="5FC76E53" w14:textId="77777777" w:rsidR="00FA4AA8" w:rsidRDefault="0015611F">
            <w:pPr>
              <w:pStyle w:val="TableParagraph"/>
              <w:ind w:left="311" w:right="40" w:firstLine="15"/>
              <w:rPr>
                <w:b/>
                <w:sz w:val="18"/>
              </w:rPr>
            </w:pPr>
            <w:r>
              <w:rPr>
                <w:b/>
                <w:sz w:val="18"/>
              </w:rPr>
              <w:t>Issued Capital</w:t>
            </w:r>
          </w:p>
        </w:tc>
        <w:tc>
          <w:tcPr>
            <w:tcW w:w="319" w:type="dxa"/>
          </w:tcPr>
          <w:p w14:paraId="00E060AA" w14:textId="77777777" w:rsidR="00FA4AA8" w:rsidRDefault="00FA4AA8">
            <w:pPr>
              <w:pStyle w:val="TableParagraph"/>
              <w:rPr>
                <w:rFonts w:ascii="Times New Roman"/>
                <w:sz w:val="18"/>
              </w:rPr>
            </w:pPr>
          </w:p>
        </w:tc>
        <w:tc>
          <w:tcPr>
            <w:tcW w:w="1279" w:type="dxa"/>
          </w:tcPr>
          <w:p w14:paraId="3AE90C8F" w14:textId="77777777" w:rsidR="00FA4AA8" w:rsidRDefault="0015611F">
            <w:pPr>
              <w:pStyle w:val="TableParagraph"/>
              <w:ind w:left="159" w:right="329" w:firstLine="6"/>
              <w:rPr>
                <w:b/>
                <w:sz w:val="18"/>
              </w:rPr>
            </w:pPr>
            <w:r>
              <w:rPr>
                <w:b/>
                <w:sz w:val="18"/>
              </w:rPr>
              <w:t>Retained Earnings</w:t>
            </w:r>
          </w:p>
        </w:tc>
        <w:tc>
          <w:tcPr>
            <w:tcW w:w="1099" w:type="dxa"/>
          </w:tcPr>
          <w:p w14:paraId="1993A9A3" w14:textId="77777777" w:rsidR="00FA4AA8" w:rsidRDefault="00FA4AA8">
            <w:pPr>
              <w:pStyle w:val="TableParagraph"/>
              <w:spacing w:before="5"/>
              <w:rPr>
                <w:sz w:val="17"/>
              </w:rPr>
            </w:pPr>
          </w:p>
          <w:p w14:paraId="50DF8F6E" w14:textId="77777777" w:rsidR="00FA4AA8" w:rsidRDefault="0015611F">
            <w:pPr>
              <w:pStyle w:val="TableParagraph"/>
              <w:ind w:left="261"/>
              <w:rPr>
                <w:b/>
                <w:sz w:val="18"/>
              </w:rPr>
            </w:pPr>
            <w:r>
              <w:rPr>
                <w:b/>
                <w:sz w:val="18"/>
              </w:rPr>
              <w:t>Total</w:t>
            </w:r>
          </w:p>
        </w:tc>
      </w:tr>
      <w:tr w:rsidR="00FA4AA8" w14:paraId="45FD9401" w14:textId="77777777">
        <w:trPr>
          <w:trHeight w:val="269"/>
        </w:trPr>
        <w:tc>
          <w:tcPr>
            <w:tcW w:w="6268" w:type="dxa"/>
            <w:vMerge/>
            <w:tcBorders>
              <w:top w:val="nil"/>
            </w:tcBorders>
          </w:tcPr>
          <w:p w14:paraId="0ED8F7A3" w14:textId="77777777" w:rsidR="00FA4AA8" w:rsidRDefault="00FA4AA8">
            <w:pPr>
              <w:rPr>
                <w:sz w:val="2"/>
                <w:szCs w:val="2"/>
              </w:rPr>
            </w:pPr>
          </w:p>
        </w:tc>
        <w:tc>
          <w:tcPr>
            <w:tcW w:w="972" w:type="dxa"/>
            <w:tcBorders>
              <w:bottom w:val="single" w:sz="8" w:space="0" w:color="000000"/>
            </w:tcBorders>
          </w:tcPr>
          <w:p w14:paraId="34A0DA6B" w14:textId="77777777" w:rsidR="00FA4AA8" w:rsidRDefault="0015611F">
            <w:pPr>
              <w:pStyle w:val="TableParagraph"/>
              <w:spacing w:before="30"/>
              <w:ind w:left="562"/>
              <w:rPr>
                <w:b/>
                <w:sz w:val="18"/>
              </w:rPr>
            </w:pPr>
            <w:r>
              <w:rPr>
                <w:b/>
                <w:sz w:val="18"/>
              </w:rPr>
              <w:t>$</w:t>
            </w:r>
          </w:p>
        </w:tc>
        <w:tc>
          <w:tcPr>
            <w:tcW w:w="319" w:type="dxa"/>
            <w:tcBorders>
              <w:bottom w:val="single" w:sz="8" w:space="0" w:color="000000"/>
            </w:tcBorders>
          </w:tcPr>
          <w:p w14:paraId="19E8092C" w14:textId="77777777" w:rsidR="00FA4AA8" w:rsidRDefault="00FA4AA8">
            <w:pPr>
              <w:pStyle w:val="TableParagraph"/>
              <w:rPr>
                <w:rFonts w:ascii="Times New Roman"/>
                <w:sz w:val="18"/>
              </w:rPr>
            </w:pPr>
          </w:p>
        </w:tc>
        <w:tc>
          <w:tcPr>
            <w:tcW w:w="1279" w:type="dxa"/>
            <w:tcBorders>
              <w:bottom w:val="single" w:sz="8" w:space="0" w:color="000000"/>
            </w:tcBorders>
          </w:tcPr>
          <w:p w14:paraId="75B4AFB4" w14:textId="77777777" w:rsidR="00FA4AA8" w:rsidRDefault="0015611F">
            <w:pPr>
              <w:pStyle w:val="TableParagraph"/>
              <w:spacing w:before="30"/>
              <w:ind w:right="186"/>
              <w:jc w:val="center"/>
              <w:rPr>
                <w:b/>
                <w:sz w:val="18"/>
              </w:rPr>
            </w:pPr>
            <w:r>
              <w:rPr>
                <w:b/>
                <w:sz w:val="18"/>
              </w:rPr>
              <w:t>$</w:t>
            </w:r>
          </w:p>
        </w:tc>
        <w:tc>
          <w:tcPr>
            <w:tcW w:w="1099" w:type="dxa"/>
            <w:tcBorders>
              <w:bottom w:val="single" w:sz="8" w:space="0" w:color="000000"/>
            </w:tcBorders>
          </w:tcPr>
          <w:p w14:paraId="2FC57A9D" w14:textId="77777777" w:rsidR="00FA4AA8" w:rsidRDefault="0015611F">
            <w:pPr>
              <w:pStyle w:val="TableParagraph"/>
              <w:spacing w:before="30"/>
              <w:ind w:right="143"/>
              <w:jc w:val="center"/>
              <w:rPr>
                <w:b/>
                <w:sz w:val="18"/>
              </w:rPr>
            </w:pPr>
            <w:r>
              <w:rPr>
                <w:b/>
                <w:sz w:val="18"/>
              </w:rPr>
              <w:t>$</w:t>
            </w:r>
          </w:p>
        </w:tc>
      </w:tr>
      <w:tr w:rsidR="00FA4AA8" w14:paraId="5ADDC98B" w14:textId="77777777">
        <w:trPr>
          <w:trHeight w:val="800"/>
        </w:trPr>
        <w:tc>
          <w:tcPr>
            <w:tcW w:w="6268" w:type="dxa"/>
          </w:tcPr>
          <w:p w14:paraId="2C23C255" w14:textId="77777777" w:rsidR="00FA4AA8" w:rsidRDefault="0015611F">
            <w:pPr>
              <w:pStyle w:val="TableParagraph"/>
              <w:spacing w:before="34"/>
              <w:ind w:left="50"/>
              <w:rPr>
                <w:b/>
                <w:sz w:val="18"/>
              </w:rPr>
            </w:pPr>
            <w:r>
              <w:rPr>
                <w:b/>
                <w:sz w:val="18"/>
              </w:rPr>
              <w:t>Balance at 1 January 2017</w:t>
            </w:r>
          </w:p>
          <w:p w14:paraId="72E2F3CB" w14:textId="77777777" w:rsidR="00FA4AA8" w:rsidRDefault="0015611F">
            <w:pPr>
              <w:pStyle w:val="TableParagraph"/>
              <w:spacing w:before="10" w:line="260" w:lineRule="atLeast"/>
              <w:ind w:left="50" w:right="3476"/>
              <w:rPr>
                <w:sz w:val="18"/>
              </w:rPr>
            </w:pPr>
            <w:r>
              <w:rPr>
                <w:sz w:val="18"/>
              </w:rPr>
              <w:t>Surplus / (deficit) for the year Other comprehensive income</w:t>
            </w:r>
          </w:p>
        </w:tc>
        <w:tc>
          <w:tcPr>
            <w:tcW w:w="972" w:type="dxa"/>
            <w:tcBorders>
              <w:top w:val="single" w:sz="8" w:space="0" w:color="000000"/>
              <w:bottom w:val="single" w:sz="8" w:space="0" w:color="000000"/>
            </w:tcBorders>
          </w:tcPr>
          <w:p w14:paraId="07AFA670" w14:textId="77777777" w:rsidR="00FA4AA8" w:rsidRDefault="00FA4AA8">
            <w:pPr>
              <w:pStyle w:val="TableParagraph"/>
              <w:rPr>
                <w:rFonts w:ascii="Times New Roman"/>
                <w:sz w:val="18"/>
              </w:rPr>
            </w:pPr>
          </w:p>
        </w:tc>
        <w:tc>
          <w:tcPr>
            <w:tcW w:w="319" w:type="dxa"/>
            <w:tcBorders>
              <w:top w:val="single" w:sz="8" w:space="0" w:color="000000"/>
              <w:bottom w:val="single" w:sz="8" w:space="0" w:color="000000"/>
            </w:tcBorders>
          </w:tcPr>
          <w:p w14:paraId="7890DB8B" w14:textId="77777777" w:rsidR="00FA4AA8" w:rsidRDefault="0015611F">
            <w:pPr>
              <w:pStyle w:val="TableParagraph"/>
              <w:spacing w:before="39"/>
              <w:ind w:left="64"/>
              <w:rPr>
                <w:sz w:val="18"/>
              </w:rPr>
            </w:pPr>
            <w:r>
              <w:rPr>
                <w:sz w:val="18"/>
              </w:rPr>
              <w:t>1</w:t>
            </w:r>
          </w:p>
          <w:p w14:paraId="684360ED" w14:textId="77777777" w:rsidR="00FA4AA8" w:rsidRDefault="0015611F">
            <w:pPr>
              <w:pStyle w:val="TableParagraph"/>
              <w:spacing w:before="57"/>
              <w:ind w:left="103"/>
              <w:rPr>
                <w:sz w:val="18"/>
              </w:rPr>
            </w:pPr>
            <w:r>
              <w:rPr>
                <w:sz w:val="18"/>
              </w:rPr>
              <w:t>-</w:t>
            </w:r>
          </w:p>
          <w:p w14:paraId="7BEA40A1" w14:textId="77777777" w:rsidR="00FA4AA8" w:rsidRDefault="0015611F">
            <w:pPr>
              <w:pStyle w:val="TableParagraph"/>
              <w:spacing w:before="57"/>
              <w:ind w:left="103"/>
              <w:rPr>
                <w:sz w:val="18"/>
              </w:rPr>
            </w:pPr>
            <w:r>
              <w:rPr>
                <w:sz w:val="18"/>
              </w:rPr>
              <w:t>-</w:t>
            </w:r>
          </w:p>
        </w:tc>
        <w:tc>
          <w:tcPr>
            <w:tcW w:w="1279" w:type="dxa"/>
            <w:tcBorders>
              <w:top w:val="single" w:sz="8" w:space="0" w:color="000000"/>
              <w:bottom w:val="single" w:sz="8" w:space="0" w:color="000000"/>
            </w:tcBorders>
          </w:tcPr>
          <w:p w14:paraId="64BE6D34" w14:textId="77777777" w:rsidR="00FA4AA8" w:rsidRDefault="0015611F">
            <w:pPr>
              <w:pStyle w:val="TableParagraph"/>
              <w:spacing w:before="39"/>
              <w:ind w:right="208"/>
              <w:jc w:val="right"/>
              <w:rPr>
                <w:sz w:val="18"/>
              </w:rPr>
            </w:pPr>
            <w:r>
              <w:rPr>
                <w:sz w:val="18"/>
              </w:rPr>
              <w:t>6,765,448</w:t>
            </w:r>
          </w:p>
          <w:p w14:paraId="78704286" w14:textId="77777777" w:rsidR="00FA4AA8" w:rsidRDefault="0015611F">
            <w:pPr>
              <w:pStyle w:val="TableParagraph"/>
              <w:spacing w:before="57"/>
              <w:ind w:right="208"/>
              <w:jc w:val="right"/>
              <w:rPr>
                <w:sz w:val="18"/>
              </w:rPr>
            </w:pPr>
            <w:r>
              <w:rPr>
                <w:sz w:val="18"/>
              </w:rPr>
              <w:t>-</w:t>
            </w:r>
          </w:p>
          <w:p w14:paraId="05B4F855" w14:textId="77777777" w:rsidR="00FA4AA8" w:rsidRDefault="0015611F">
            <w:pPr>
              <w:pStyle w:val="TableParagraph"/>
              <w:spacing w:before="57"/>
              <w:ind w:right="208"/>
              <w:jc w:val="right"/>
              <w:rPr>
                <w:sz w:val="18"/>
              </w:rPr>
            </w:pPr>
            <w:r>
              <w:rPr>
                <w:sz w:val="18"/>
              </w:rPr>
              <w:t>-</w:t>
            </w:r>
          </w:p>
        </w:tc>
        <w:tc>
          <w:tcPr>
            <w:tcW w:w="1099" w:type="dxa"/>
            <w:tcBorders>
              <w:top w:val="single" w:sz="8" w:space="0" w:color="000000"/>
              <w:bottom w:val="single" w:sz="8" w:space="0" w:color="000000"/>
            </w:tcBorders>
          </w:tcPr>
          <w:p w14:paraId="0AA78CDB" w14:textId="77777777" w:rsidR="00FA4AA8" w:rsidRDefault="0015611F">
            <w:pPr>
              <w:pStyle w:val="TableParagraph"/>
              <w:spacing w:before="39"/>
              <w:ind w:right="83"/>
              <w:jc w:val="right"/>
              <w:rPr>
                <w:sz w:val="18"/>
              </w:rPr>
            </w:pPr>
            <w:r>
              <w:rPr>
                <w:sz w:val="18"/>
              </w:rPr>
              <w:t>6,765,449</w:t>
            </w:r>
          </w:p>
          <w:p w14:paraId="58D354F8" w14:textId="77777777" w:rsidR="00FA4AA8" w:rsidRDefault="0015611F">
            <w:pPr>
              <w:pStyle w:val="TableParagraph"/>
              <w:spacing w:before="57"/>
              <w:ind w:right="83"/>
              <w:jc w:val="right"/>
              <w:rPr>
                <w:sz w:val="18"/>
              </w:rPr>
            </w:pPr>
            <w:r>
              <w:rPr>
                <w:sz w:val="18"/>
              </w:rPr>
              <w:t>-</w:t>
            </w:r>
          </w:p>
          <w:p w14:paraId="3E6F9CC3" w14:textId="77777777" w:rsidR="00FA4AA8" w:rsidRDefault="0015611F">
            <w:pPr>
              <w:pStyle w:val="TableParagraph"/>
              <w:spacing w:before="57"/>
              <w:ind w:right="83"/>
              <w:jc w:val="right"/>
              <w:rPr>
                <w:sz w:val="18"/>
              </w:rPr>
            </w:pPr>
            <w:r>
              <w:rPr>
                <w:sz w:val="18"/>
              </w:rPr>
              <w:t>-</w:t>
            </w:r>
          </w:p>
        </w:tc>
      </w:tr>
      <w:tr w:rsidR="00FA4AA8" w14:paraId="258EDDA3" w14:textId="77777777">
        <w:trPr>
          <w:trHeight w:val="318"/>
        </w:trPr>
        <w:tc>
          <w:tcPr>
            <w:tcW w:w="6268" w:type="dxa"/>
          </w:tcPr>
          <w:p w14:paraId="0989B822" w14:textId="77777777" w:rsidR="00FA4AA8" w:rsidRDefault="0015611F">
            <w:pPr>
              <w:pStyle w:val="TableParagraph"/>
              <w:spacing w:before="113" w:line="185" w:lineRule="exact"/>
              <w:ind w:left="50"/>
              <w:rPr>
                <w:b/>
                <w:sz w:val="18"/>
              </w:rPr>
            </w:pPr>
            <w:r>
              <w:rPr>
                <w:b/>
                <w:sz w:val="18"/>
              </w:rPr>
              <w:t>Total comprehensive income for the year</w:t>
            </w:r>
          </w:p>
        </w:tc>
        <w:tc>
          <w:tcPr>
            <w:tcW w:w="972" w:type="dxa"/>
            <w:tcBorders>
              <w:top w:val="single" w:sz="8" w:space="0" w:color="000000"/>
              <w:bottom w:val="single" w:sz="8" w:space="0" w:color="000000"/>
            </w:tcBorders>
          </w:tcPr>
          <w:p w14:paraId="0369B3A4" w14:textId="77777777" w:rsidR="00FA4AA8" w:rsidRDefault="00FA4AA8">
            <w:pPr>
              <w:pStyle w:val="TableParagraph"/>
              <w:rPr>
                <w:rFonts w:ascii="Times New Roman"/>
                <w:sz w:val="18"/>
              </w:rPr>
            </w:pPr>
          </w:p>
        </w:tc>
        <w:tc>
          <w:tcPr>
            <w:tcW w:w="319" w:type="dxa"/>
            <w:tcBorders>
              <w:top w:val="single" w:sz="8" w:space="0" w:color="000000"/>
              <w:bottom w:val="single" w:sz="8" w:space="0" w:color="000000"/>
            </w:tcBorders>
          </w:tcPr>
          <w:p w14:paraId="091D5267" w14:textId="77777777" w:rsidR="00FA4AA8" w:rsidRDefault="0015611F">
            <w:pPr>
              <w:pStyle w:val="TableParagraph"/>
              <w:spacing w:before="113" w:line="185" w:lineRule="exact"/>
              <w:ind w:left="103"/>
              <w:rPr>
                <w:sz w:val="18"/>
              </w:rPr>
            </w:pPr>
            <w:r>
              <w:rPr>
                <w:sz w:val="18"/>
              </w:rPr>
              <w:t>-</w:t>
            </w:r>
          </w:p>
        </w:tc>
        <w:tc>
          <w:tcPr>
            <w:tcW w:w="1279" w:type="dxa"/>
            <w:tcBorders>
              <w:top w:val="single" w:sz="8" w:space="0" w:color="000000"/>
              <w:bottom w:val="single" w:sz="8" w:space="0" w:color="000000"/>
            </w:tcBorders>
          </w:tcPr>
          <w:p w14:paraId="44EEF942" w14:textId="77777777" w:rsidR="00FA4AA8" w:rsidRDefault="0015611F">
            <w:pPr>
              <w:pStyle w:val="TableParagraph"/>
              <w:spacing w:before="113" w:line="185" w:lineRule="exact"/>
              <w:ind w:right="208"/>
              <w:jc w:val="right"/>
              <w:rPr>
                <w:sz w:val="18"/>
              </w:rPr>
            </w:pPr>
            <w:r>
              <w:rPr>
                <w:sz w:val="18"/>
              </w:rPr>
              <w:t>-</w:t>
            </w:r>
          </w:p>
        </w:tc>
        <w:tc>
          <w:tcPr>
            <w:tcW w:w="1099" w:type="dxa"/>
            <w:tcBorders>
              <w:top w:val="single" w:sz="8" w:space="0" w:color="000000"/>
              <w:bottom w:val="single" w:sz="8" w:space="0" w:color="000000"/>
            </w:tcBorders>
          </w:tcPr>
          <w:p w14:paraId="1EDD2987" w14:textId="77777777" w:rsidR="00FA4AA8" w:rsidRDefault="0015611F">
            <w:pPr>
              <w:pStyle w:val="TableParagraph"/>
              <w:spacing w:before="113" w:line="185" w:lineRule="exact"/>
              <w:ind w:right="83"/>
              <w:jc w:val="right"/>
              <w:rPr>
                <w:sz w:val="18"/>
              </w:rPr>
            </w:pPr>
            <w:r>
              <w:rPr>
                <w:sz w:val="18"/>
              </w:rPr>
              <w:t>-</w:t>
            </w:r>
          </w:p>
        </w:tc>
      </w:tr>
      <w:tr w:rsidR="00FA4AA8" w14:paraId="2AB1D4E7" w14:textId="77777777">
        <w:trPr>
          <w:trHeight w:val="313"/>
        </w:trPr>
        <w:tc>
          <w:tcPr>
            <w:tcW w:w="6268" w:type="dxa"/>
          </w:tcPr>
          <w:p w14:paraId="74D97587" w14:textId="77777777" w:rsidR="00FA4AA8" w:rsidRDefault="0015611F">
            <w:pPr>
              <w:pStyle w:val="TableParagraph"/>
              <w:spacing w:before="113" w:line="180" w:lineRule="exact"/>
              <w:ind w:left="50"/>
              <w:rPr>
                <w:b/>
                <w:sz w:val="18"/>
              </w:rPr>
            </w:pPr>
            <w:r>
              <w:rPr>
                <w:b/>
                <w:sz w:val="18"/>
              </w:rPr>
              <w:t>Balance at 31 December 2017</w:t>
            </w:r>
          </w:p>
        </w:tc>
        <w:tc>
          <w:tcPr>
            <w:tcW w:w="972" w:type="dxa"/>
            <w:tcBorders>
              <w:top w:val="single" w:sz="8" w:space="0" w:color="000000"/>
              <w:bottom w:val="double" w:sz="3" w:space="0" w:color="000000"/>
            </w:tcBorders>
          </w:tcPr>
          <w:p w14:paraId="557EA88A" w14:textId="77777777" w:rsidR="00FA4AA8" w:rsidRDefault="00FA4AA8">
            <w:pPr>
              <w:pStyle w:val="TableParagraph"/>
              <w:rPr>
                <w:rFonts w:ascii="Times New Roman"/>
                <w:sz w:val="18"/>
              </w:rPr>
            </w:pPr>
          </w:p>
        </w:tc>
        <w:tc>
          <w:tcPr>
            <w:tcW w:w="319" w:type="dxa"/>
            <w:tcBorders>
              <w:top w:val="single" w:sz="8" w:space="0" w:color="000000"/>
              <w:bottom w:val="double" w:sz="3" w:space="0" w:color="000000"/>
            </w:tcBorders>
          </w:tcPr>
          <w:p w14:paraId="77149091" w14:textId="77777777" w:rsidR="00FA4AA8" w:rsidRDefault="0015611F">
            <w:pPr>
              <w:pStyle w:val="TableParagraph"/>
              <w:spacing w:before="113" w:line="180" w:lineRule="exact"/>
              <w:ind w:left="64"/>
              <w:rPr>
                <w:sz w:val="18"/>
              </w:rPr>
            </w:pPr>
            <w:r>
              <w:rPr>
                <w:sz w:val="18"/>
              </w:rPr>
              <w:t>1</w:t>
            </w:r>
          </w:p>
        </w:tc>
        <w:tc>
          <w:tcPr>
            <w:tcW w:w="1279" w:type="dxa"/>
            <w:tcBorders>
              <w:top w:val="single" w:sz="8" w:space="0" w:color="000000"/>
              <w:bottom w:val="double" w:sz="3" w:space="0" w:color="000000"/>
            </w:tcBorders>
          </w:tcPr>
          <w:p w14:paraId="6AFB1418" w14:textId="77777777" w:rsidR="00FA4AA8" w:rsidRDefault="0015611F">
            <w:pPr>
              <w:pStyle w:val="TableParagraph"/>
              <w:spacing w:before="113" w:line="180" w:lineRule="exact"/>
              <w:ind w:right="208"/>
              <w:jc w:val="right"/>
              <w:rPr>
                <w:sz w:val="18"/>
              </w:rPr>
            </w:pPr>
            <w:r>
              <w:rPr>
                <w:sz w:val="18"/>
              </w:rPr>
              <w:t>6,765,448</w:t>
            </w:r>
          </w:p>
        </w:tc>
        <w:tc>
          <w:tcPr>
            <w:tcW w:w="1099" w:type="dxa"/>
            <w:tcBorders>
              <w:top w:val="single" w:sz="8" w:space="0" w:color="000000"/>
              <w:bottom w:val="double" w:sz="3" w:space="0" w:color="000000"/>
            </w:tcBorders>
          </w:tcPr>
          <w:p w14:paraId="3D3EBBA7" w14:textId="77777777" w:rsidR="00FA4AA8" w:rsidRDefault="0015611F">
            <w:pPr>
              <w:pStyle w:val="TableParagraph"/>
              <w:spacing w:before="113" w:line="180" w:lineRule="exact"/>
              <w:ind w:right="83"/>
              <w:jc w:val="right"/>
              <w:rPr>
                <w:sz w:val="18"/>
              </w:rPr>
            </w:pPr>
            <w:r>
              <w:rPr>
                <w:sz w:val="18"/>
              </w:rPr>
              <w:t>6,765,449</w:t>
            </w:r>
          </w:p>
        </w:tc>
      </w:tr>
    </w:tbl>
    <w:p w14:paraId="03417697" w14:textId="77777777" w:rsidR="00FA4AA8" w:rsidRDefault="00FA4AA8">
      <w:pPr>
        <w:spacing w:line="180" w:lineRule="exact"/>
        <w:jc w:val="right"/>
        <w:rPr>
          <w:sz w:val="18"/>
        </w:rPr>
        <w:sectPr w:rsidR="00FA4AA8">
          <w:headerReference w:type="default" r:id="rId88"/>
          <w:footerReference w:type="default" r:id="rId89"/>
          <w:pgSz w:w="11910" w:h="16840"/>
          <w:pgMar w:top="1720" w:right="840" w:bottom="1200" w:left="840" w:header="1017" w:footer="1017" w:gutter="0"/>
          <w:pgNumType w:start="96"/>
          <w:cols w:space="720"/>
        </w:sectPr>
      </w:pPr>
    </w:p>
    <w:p w14:paraId="016F3C13" w14:textId="77777777" w:rsidR="00FA4AA8" w:rsidRDefault="007E2441">
      <w:pPr>
        <w:pStyle w:val="BodyText"/>
        <w:rPr>
          <w:sz w:val="20"/>
        </w:rPr>
      </w:pPr>
      <w:r>
        <w:rPr>
          <w:noProof/>
          <w:lang w:val="en-AU" w:eastAsia="en-AU"/>
        </w:rPr>
        <mc:AlternateContent>
          <mc:Choice Requires="wpg">
            <w:drawing>
              <wp:anchor distT="0" distB="0" distL="114300" distR="114300" simplePos="0" relativeHeight="462754816" behindDoc="1" locked="0" layoutInCell="1" allowOverlap="1" wp14:anchorId="40BAF584" wp14:editId="5F69A3EA">
                <wp:simplePos x="0" y="0"/>
                <wp:positionH relativeFrom="page">
                  <wp:posOffset>5289550</wp:posOffset>
                </wp:positionH>
                <wp:positionV relativeFrom="page">
                  <wp:posOffset>6214745</wp:posOffset>
                </wp:positionV>
                <wp:extent cx="1647825" cy="31750"/>
                <wp:effectExtent l="0" t="0" r="0" b="0"/>
                <wp:wrapNone/>
                <wp:docPr id="1954" name="Group 1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7825" cy="31750"/>
                          <a:chOff x="8330" y="9787"/>
                          <a:chExt cx="2595" cy="50"/>
                        </a:xfrm>
                      </wpg:grpSpPr>
                      <wps:wsp>
                        <wps:cNvPr id="1955" name="Line 1772"/>
                        <wps:cNvCnPr>
                          <a:cxnSpLocks noChangeShapeType="1"/>
                        </wps:cNvCnPr>
                        <wps:spPr bwMode="auto">
                          <a:xfrm>
                            <a:off x="8330" y="9788"/>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956" name="Line 1771"/>
                        <wps:cNvCnPr>
                          <a:cxnSpLocks noChangeShapeType="1"/>
                        </wps:cNvCnPr>
                        <wps:spPr bwMode="auto">
                          <a:xfrm>
                            <a:off x="8330" y="9789"/>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957" name="Line 1770"/>
                        <wps:cNvCnPr>
                          <a:cxnSpLocks noChangeShapeType="1"/>
                        </wps:cNvCnPr>
                        <wps:spPr bwMode="auto">
                          <a:xfrm>
                            <a:off x="8330" y="9790"/>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958" name="Line 1769"/>
                        <wps:cNvCnPr>
                          <a:cxnSpLocks noChangeShapeType="1"/>
                        </wps:cNvCnPr>
                        <wps:spPr bwMode="auto">
                          <a:xfrm>
                            <a:off x="8330" y="9791"/>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959" name="Line 1768"/>
                        <wps:cNvCnPr>
                          <a:cxnSpLocks noChangeShapeType="1"/>
                        </wps:cNvCnPr>
                        <wps:spPr bwMode="auto">
                          <a:xfrm>
                            <a:off x="8330" y="9793"/>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960" name="Line 1767"/>
                        <wps:cNvCnPr>
                          <a:cxnSpLocks noChangeShapeType="1"/>
                        </wps:cNvCnPr>
                        <wps:spPr bwMode="auto">
                          <a:xfrm>
                            <a:off x="8330" y="9794"/>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961" name="Line 1766"/>
                        <wps:cNvCnPr>
                          <a:cxnSpLocks noChangeShapeType="1"/>
                        </wps:cNvCnPr>
                        <wps:spPr bwMode="auto">
                          <a:xfrm>
                            <a:off x="8330" y="9795"/>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962" name="Line 1765"/>
                        <wps:cNvCnPr>
                          <a:cxnSpLocks noChangeShapeType="1"/>
                        </wps:cNvCnPr>
                        <wps:spPr bwMode="auto">
                          <a:xfrm>
                            <a:off x="8330" y="9796"/>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963" name="Line 1764"/>
                        <wps:cNvCnPr>
                          <a:cxnSpLocks noChangeShapeType="1"/>
                        </wps:cNvCnPr>
                        <wps:spPr bwMode="auto">
                          <a:xfrm>
                            <a:off x="8330" y="9797"/>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964" name="Line 1763"/>
                        <wps:cNvCnPr>
                          <a:cxnSpLocks noChangeShapeType="1"/>
                        </wps:cNvCnPr>
                        <wps:spPr bwMode="auto">
                          <a:xfrm>
                            <a:off x="8330" y="9799"/>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965" name="Line 1762"/>
                        <wps:cNvCnPr>
                          <a:cxnSpLocks noChangeShapeType="1"/>
                        </wps:cNvCnPr>
                        <wps:spPr bwMode="auto">
                          <a:xfrm>
                            <a:off x="8330" y="9800"/>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966" name="Line 1761"/>
                        <wps:cNvCnPr>
                          <a:cxnSpLocks noChangeShapeType="1"/>
                        </wps:cNvCnPr>
                        <wps:spPr bwMode="auto">
                          <a:xfrm>
                            <a:off x="8330" y="9801"/>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967" name="Line 1760"/>
                        <wps:cNvCnPr>
                          <a:cxnSpLocks noChangeShapeType="1"/>
                        </wps:cNvCnPr>
                        <wps:spPr bwMode="auto">
                          <a:xfrm>
                            <a:off x="8330" y="9802"/>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968" name="Line 1759"/>
                        <wps:cNvCnPr>
                          <a:cxnSpLocks noChangeShapeType="1"/>
                        </wps:cNvCnPr>
                        <wps:spPr bwMode="auto">
                          <a:xfrm>
                            <a:off x="8330" y="9821"/>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969" name="Line 1758"/>
                        <wps:cNvCnPr>
                          <a:cxnSpLocks noChangeShapeType="1"/>
                        </wps:cNvCnPr>
                        <wps:spPr bwMode="auto">
                          <a:xfrm>
                            <a:off x="8330" y="9823"/>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970" name="Line 1757"/>
                        <wps:cNvCnPr>
                          <a:cxnSpLocks noChangeShapeType="1"/>
                        </wps:cNvCnPr>
                        <wps:spPr bwMode="auto">
                          <a:xfrm>
                            <a:off x="8330" y="9824"/>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971" name="Line 1756"/>
                        <wps:cNvCnPr>
                          <a:cxnSpLocks noChangeShapeType="1"/>
                        </wps:cNvCnPr>
                        <wps:spPr bwMode="auto">
                          <a:xfrm>
                            <a:off x="8330" y="9825"/>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972" name="Line 1755"/>
                        <wps:cNvCnPr>
                          <a:cxnSpLocks noChangeShapeType="1"/>
                        </wps:cNvCnPr>
                        <wps:spPr bwMode="auto">
                          <a:xfrm>
                            <a:off x="8330" y="9826"/>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973" name="Line 1754"/>
                        <wps:cNvCnPr>
                          <a:cxnSpLocks noChangeShapeType="1"/>
                        </wps:cNvCnPr>
                        <wps:spPr bwMode="auto">
                          <a:xfrm>
                            <a:off x="8330" y="9827"/>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974" name="Line 1753"/>
                        <wps:cNvCnPr>
                          <a:cxnSpLocks noChangeShapeType="1"/>
                        </wps:cNvCnPr>
                        <wps:spPr bwMode="auto">
                          <a:xfrm>
                            <a:off x="8330" y="9829"/>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975" name="Line 1752"/>
                        <wps:cNvCnPr>
                          <a:cxnSpLocks noChangeShapeType="1"/>
                        </wps:cNvCnPr>
                        <wps:spPr bwMode="auto">
                          <a:xfrm>
                            <a:off x="8330" y="9830"/>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976" name="Line 1751"/>
                        <wps:cNvCnPr>
                          <a:cxnSpLocks noChangeShapeType="1"/>
                        </wps:cNvCnPr>
                        <wps:spPr bwMode="auto">
                          <a:xfrm>
                            <a:off x="8330" y="9831"/>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977" name="Line 1750"/>
                        <wps:cNvCnPr>
                          <a:cxnSpLocks noChangeShapeType="1"/>
                        </wps:cNvCnPr>
                        <wps:spPr bwMode="auto">
                          <a:xfrm>
                            <a:off x="8330" y="9832"/>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978" name="Line 1749"/>
                        <wps:cNvCnPr>
                          <a:cxnSpLocks noChangeShapeType="1"/>
                        </wps:cNvCnPr>
                        <wps:spPr bwMode="auto">
                          <a:xfrm>
                            <a:off x="8330" y="9833"/>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979" name="Line 1748"/>
                        <wps:cNvCnPr>
                          <a:cxnSpLocks noChangeShapeType="1"/>
                        </wps:cNvCnPr>
                        <wps:spPr bwMode="auto">
                          <a:xfrm>
                            <a:off x="8330" y="9835"/>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980" name="Line 1747"/>
                        <wps:cNvCnPr>
                          <a:cxnSpLocks noChangeShapeType="1"/>
                        </wps:cNvCnPr>
                        <wps:spPr bwMode="auto">
                          <a:xfrm>
                            <a:off x="8330" y="9836"/>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981" name="Line 1746"/>
                        <wps:cNvCnPr>
                          <a:cxnSpLocks noChangeShapeType="1"/>
                        </wps:cNvCnPr>
                        <wps:spPr bwMode="auto">
                          <a:xfrm>
                            <a:off x="9628" y="9788"/>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982" name="Line 1745"/>
                        <wps:cNvCnPr>
                          <a:cxnSpLocks noChangeShapeType="1"/>
                        </wps:cNvCnPr>
                        <wps:spPr bwMode="auto">
                          <a:xfrm>
                            <a:off x="9628" y="978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983" name="Line 1744"/>
                        <wps:cNvCnPr>
                          <a:cxnSpLocks noChangeShapeType="1"/>
                        </wps:cNvCnPr>
                        <wps:spPr bwMode="auto">
                          <a:xfrm>
                            <a:off x="9628" y="9790"/>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984" name="Line 1743"/>
                        <wps:cNvCnPr>
                          <a:cxnSpLocks noChangeShapeType="1"/>
                        </wps:cNvCnPr>
                        <wps:spPr bwMode="auto">
                          <a:xfrm>
                            <a:off x="9628" y="979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985" name="Line 1742"/>
                        <wps:cNvCnPr>
                          <a:cxnSpLocks noChangeShapeType="1"/>
                        </wps:cNvCnPr>
                        <wps:spPr bwMode="auto">
                          <a:xfrm>
                            <a:off x="9628" y="979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986" name="Line 1741"/>
                        <wps:cNvCnPr>
                          <a:cxnSpLocks noChangeShapeType="1"/>
                        </wps:cNvCnPr>
                        <wps:spPr bwMode="auto">
                          <a:xfrm>
                            <a:off x="9628" y="979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987" name="Line 1740"/>
                        <wps:cNvCnPr>
                          <a:cxnSpLocks noChangeShapeType="1"/>
                        </wps:cNvCnPr>
                        <wps:spPr bwMode="auto">
                          <a:xfrm>
                            <a:off x="9628" y="979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988" name="Line 1739"/>
                        <wps:cNvCnPr>
                          <a:cxnSpLocks noChangeShapeType="1"/>
                        </wps:cNvCnPr>
                        <wps:spPr bwMode="auto">
                          <a:xfrm>
                            <a:off x="9628" y="9796"/>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989" name="Line 1738"/>
                        <wps:cNvCnPr>
                          <a:cxnSpLocks noChangeShapeType="1"/>
                        </wps:cNvCnPr>
                        <wps:spPr bwMode="auto">
                          <a:xfrm>
                            <a:off x="9628" y="979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990" name="Line 1737"/>
                        <wps:cNvCnPr>
                          <a:cxnSpLocks noChangeShapeType="1"/>
                        </wps:cNvCnPr>
                        <wps:spPr bwMode="auto">
                          <a:xfrm>
                            <a:off x="9628" y="979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991" name="Line 1736"/>
                        <wps:cNvCnPr>
                          <a:cxnSpLocks noChangeShapeType="1"/>
                        </wps:cNvCnPr>
                        <wps:spPr bwMode="auto">
                          <a:xfrm>
                            <a:off x="9628" y="9800"/>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992" name="Line 1735"/>
                        <wps:cNvCnPr>
                          <a:cxnSpLocks noChangeShapeType="1"/>
                        </wps:cNvCnPr>
                        <wps:spPr bwMode="auto">
                          <a:xfrm>
                            <a:off x="9628" y="980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993" name="Line 1734"/>
                        <wps:cNvCnPr>
                          <a:cxnSpLocks noChangeShapeType="1"/>
                        </wps:cNvCnPr>
                        <wps:spPr bwMode="auto">
                          <a:xfrm>
                            <a:off x="9628" y="9802"/>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994" name="Line 1733"/>
                        <wps:cNvCnPr>
                          <a:cxnSpLocks noChangeShapeType="1"/>
                        </wps:cNvCnPr>
                        <wps:spPr bwMode="auto">
                          <a:xfrm>
                            <a:off x="9628" y="982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995" name="Line 1732"/>
                        <wps:cNvCnPr>
                          <a:cxnSpLocks noChangeShapeType="1"/>
                        </wps:cNvCnPr>
                        <wps:spPr bwMode="auto">
                          <a:xfrm>
                            <a:off x="9628" y="982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996" name="Line 1731"/>
                        <wps:cNvCnPr>
                          <a:cxnSpLocks noChangeShapeType="1"/>
                        </wps:cNvCnPr>
                        <wps:spPr bwMode="auto">
                          <a:xfrm>
                            <a:off x="9628" y="982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997" name="Line 1730"/>
                        <wps:cNvCnPr>
                          <a:cxnSpLocks noChangeShapeType="1"/>
                        </wps:cNvCnPr>
                        <wps:spPr bwMode="auto">
                          <a:xfrm>
                            <a:off x="9628" y="982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998" name="Line 1729"/>
                        <wps:cNvCnPr>
                          <a:cxnSpLocks noChangeShapeType="1"/>
                        </wps:cNvCnPr>
                        <wps:spPr bwMode="auto">
                          <a:xfrm>
                            <a:off x="9628" y="9826"/>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999" name="Line 1728"/>
                        <wps:cNvCnPr>
                          <a:cxnSpLocks noChangeShapeType="1"/>
                        </wps:cNvCnPr>
                        <wps:spPr bwMode="auto">
                          <a:xfrm>
                            <a:off x="9628" y="982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000" name="Line 1727"/>
                        <wps:cNvCnPr>
                          <a:cxnSpLocks noChangeShapeType="1"/>
                        </wps:cNvCnPr>
                        <wps:spPr bwMode="auto">
                          <a:xfrm>
                            <a:off x="9628" y="982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001" name="Line 1726"/>
                        <wps:cNvCnPr>
                          <a:cxnSpLocks noChangeShapeType="1"/>
                        </wps:cNvCnPr>
                        <wps:spPr bwMode="auto">
                          <a:xfrm>
                            <a:off x="9628" y="9830"/>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002" name="Line 1725"/>
                        <wps:cNvCnPr>
                          <a:cxnSpLocks noChangeShapeType="1"/>
                        </wps:cNvCnPr>
                        <wps:spPr bwMode="auto">
                          <a:xfrm>
                            <a:off x="9628" y="983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003" name="Line 1724"/>
                        <wps:cNvCnPr>
                          <a:cxnSpLocks noChangeShapeType="1"/>
                        </wps:cNvCnPr>
                        <wps:spPr bwMode="auto">
                          <a:xfrm>
                            <a:off x="9628" y="9832"/>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004" name="Line 1723"/>
                        <wps:cNvCnPr>
                          <a:cxnSpLocks noChangeShapeType="1"/>
                        </wps:cNvCnPr>
                        <wps:spPr bwMode="auto">
                          <a:xfrm>
                            <a:off x="9628" y="983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005" name="Line 1722"/>
                        <wps:cNvCnPr>
                          <a:cxnSpLocks noChangeShapeType="1"/>
                        </wps:cNvCnPr>
                        <wps:spPr bwMode="auto">
                          <a:xfrm>
                            <a:off x="9628" y="983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006" name="Line 1721"/>
                        <wps:cNvCnPr>
                          <a:cxnSpLocks noChangeShapeType="1"/>
                        </wps:cNvCnPr>
                        <wps:spPr bwMode="auto">
                          <a:xfrm>
                            <a:off x="9628" y="9836"/>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5CFC29" id="Group 1720" o:spid="_x0000_s1026" style="position:absolute;margin-left:416.5pt;margin-top:489.35pt;width:129.75pt;height:2.5pt;z-index:-40561664;mso-position-horizontal-relative:page;mso-position-vertical-relative:page" coordorigin="8330,9787" coordsize="25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">
                <v:line id="Line 1772" o:spid="_x0000_s1027" style="position:absolute;visibility:visible;mso-wrap-style:square" from="8330,9788" to="9628,9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" strokeweight=".06pt"/>
                <v:line id="Line 1771" o:spid="_x0000_s1028" style="position:absolute;visibility:visible;mso-wrap-style:square" from="8330,9789" to="9628,9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" strokeweight=".06pt"/>
                <v:line id="Line 1770" o:spid="_x0000_s1029" style="position:absolute;visibility:visible;mso-wrap-style:square" from="8330,9790" to="9628,9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" strokeweight=".06pt"/>
                <v:line id="Line 1769" o:spid="_x0000_s1030" style="position:absolute;visibility:visible;mso-wrap-style:square" from="8330,9791" to="9628,9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" strokeweight=".06pt"/>
                <v:line id="Line 1768" o:spid="_x0000_s1031" style="position:absolute;visibility:visible;mso-wrap-style:square" from="8330,9793" to="9628,9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" strokeweight=".06pt"/>
                <v:line id="Line 1767" o:spid="_x0000_s1032" style="position:absolute;visibility:visible;mso-wrap-style:square" from="8330,9794" to="9628,9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" strokeweight=".06pt"/>
                <v:line id="Line 1766" o:spid="_x0000_s1033" style="position:absolute;visibility:visible;mso-wrap-style:square" from="8330,9795" to="9628,9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" strokeweight=".06pt"/>
                <v:line id="Line 1765" o:spid="_x0000_s1034" style="position:absolute;visibility:visible;mso-wrap-style:square" from="8330,9796" to="9628,9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" strokeweight=".06pt"/>
                <v:line id="Line 1764" o:spid="_x0000_s1035" style="position:absolute;visibility:visible;mso-wrap-style:square" from="8330,9797" to="9628,9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" strokeweight=".06pt"/>
                <v:line id="Line 1763" o:spid="_x0000_s1036" style="position:absolute;visibility:visible;mso-wrap-style:square" from="8330,9799" to="9628,9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" strokeweight=".06pt"/>
                <v:line id="Line 1762" o:spid="_x0000_s1037" style="position:absolute;visibility:visible;mso-wrap-style:square" from="8330,9800" to="9628,9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" strokeweight=".06pt"/>
                <v:line id="Line 1761" o:spid="_x0000_s1038" style="position:absolute;visibility:visible;mso-wrap-style:square" from="8330,9801" to="9628,9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" strokeweight=".06pt"/>
                <v:line id="Line 1760" o:spid="_x0000_s1039" style="position:absolute;visibility:visible;mso-wrap-style:square" from="8330,9802" to="9628,9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" strokeweight=".06pt"/>
                <v:line id="Line 1759" o:spid="_x0000_s1040" style="position:absolute;visibility:visible;mso-wrap-style:square" from="8330,9821" to="9628,9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" strokeweight=".06pt"/>
                <v:line id="Line 1758" o:spid="_x0000_s1041" style="position:absolute;visibility:visible;mso-wrap-style:square" from="8330,9823" to="9628,9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" strokeweight=".06pt"/>
                <v:line id="Line 1757" o:spid="_x0000_s1042" style="position:absolute;visibility:visible;mso-wrap-style:square" from="8330,9824" to="9628,9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" strokeweight=".06pt"/>
                <v:line id="Line 1756" o:spid="_x0000_s1043" style="position:absolute;visibility:visible;mso-wrap-style:square" from="8330,9825" to="9628,9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" strokeweight=".06pt"/>
                <v:line id="Line 1755" o:spid="_x0000_s1044" style="position:absolute;visibility:visible;mso-wrap-style:square" from="8330,9826" to="9628,9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" strokeweight=".06pt"/>
                <v:line id="Line 1754" o:spid="_x0000_s1045" style="position:absolute;visibility:visible;mso-wrap-style:square" from="8330,9827" to="9628,9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" strokeweight=".06pt"/>
                <v:line id="Line 1753" o:spid="_x0000_s1046" style="position:absolute;visibility:visible;mso-wrap-style:square" from="8330,9829" to="9628,9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" strokeweight=".06pt"/>
                <v:line id="Line 1752" o:spid="_x0000_s1047" style="position:absolute;visibility:visible;mso-wrap-style:square" from="8330,9830" to="9628,9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" strokeweight=".06pt"/>
                <v:line id="Line 1751" o:spid="_x0000_s1048" style="position:absolute;visibility:visible;mso-wrap-style:square" from="8330,9831" to="9628,9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" strokeweight=".06pt"/>
                <v:line id="Line 1750" o:spid="_x0000_s1049" style="position:absolute;visibility:visible;mso-wrap-style:square" from="8330,9832" to="9628,9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" strokeweight=".06pt"/>
                <v:line id="Line 1749" o:spid="_x0000_s1050" style="position:absolute;visibility:visible;mso-wrap-style:square" from="8330,9833" to="9628,9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" strokeweight=".06pt"/>
                <v:line id="Line 1748" o:spid="_x0000_s1051" style="position:absolute;visibility:visible;mso-wrap-style:square" from="8330,9835" to="9628,9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" strokeweight=".06pt"/>
                <v:line id="Line 1747" o:spid="_x0000_s1052" style="position:absolute;visibility:visible;mso-wrap-style:square" from="8330,9836" to="9628,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" strokeweight=".06pt"/>
                <v:line id="Line 1746" o:spid="_x0000_s1053" style="position:absolute;visibility:visible;mso-wrap-style:square" from="9628,9788" to="10925,9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" strokeweight=".06pt"/>
                <v:line id="Line 1745" o:spid="_x0000_s1054" style="position:absolute;visibility:visible;mso-wrap-style:square" from="9628,9789" to="10925,9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" strokeweight=".06pt"/>
                <v:line id="Line 1744" o:spid="_x0000_s1055" style="position:absolute;visibility:visible;mso-wrap-style:square" from="9628,9790" to="10925,9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" strokeweight=".06pt"/>
                <v:line id="Line 1743" o:spid="_x0000_s1056" style="position:absolute;visibility:visible;mso-wrap-style:square" from="9628,9791" to="10925,9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" strokeweight=".06pt"/>
                <v:line id="Line 1742" o:spid="_x0000_s1057" style="position:absolute;visibility:visible;mso-wrap-style:square" from="9628,9793" to="10925,9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" strokeweight=".06pt"/>
                <v:line id="Line 1741" o:spid="_x0000_s1058" style="position:absolute;visibility:visible;mso-wrap-style:square" from="9628,9794" to="10925,9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" strokeweight=".06pt"/>
                <v:line id="Line 1740" o:spid="_x0000_s1059" style="position:absolute;visibility:visible;mso-wrap-style:square" from="9628,9795" to="10925,9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" strokeweight=".06pt"/>
                <v:line id="Line 1739" o:spid="_x0000_s1060" style="position:absolute;visibility:visible;mso-wrap-style:square" from="9628,9796" to="10925,9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" strokeweight=".06pt"/>
                <v:line id="Line 1738" o:spid="_x0000_s1061" style="position:absolute;visibility:visible;mso-wrap-style:square" from="9628,9797" to="10925,9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" strokeweight=".06pt"/>
                <v:line id="Line 1737" o:spid="_x0000_s1062" style="position:absolute;visibility:visible;mso-wrap-style:square" from="9628,9799" to="10925,9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" strokeweight=".06pt"/>
                <v:line id="Line 1736" o:spid="_x0000_s1063" style="position:absolute;visibility:visible;mso-wrap-style:square" from="9628,9800" to="10925,9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" strokeweight=".06pt"/>
                <v:line id="Line 1735" o:spid="_x0000_s1064" style="position:absolute;visibility:visible;mso-wrap-style:square" from="9628,9801" to="10925,9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" strokeweight=".06pt"/>
                <v:line id="Line 1734" o:spid="_x0000_s1065" style="position:absolute;visibility:visible;mso-wrap-style:square" from="9628,9802" to="10925,9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" strokeweight=".06pt"/>
                <v:line id="Line 1733" o:spid="_x0000_s1066" style="position:absolute;visibility:visible;mso-wrap-style:square" from="9628,9821" to="10925,9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" strokeweight=".06pt"/>
                <v:line id="Line 1732" o:spid="_x0000_s1067" style="position:absolute;visibility:visible;mso-wrap-style:square" from="9628,9823" to="10925,9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" strokeweight=".06pt"/>
                <v:line id="Line 1731" o:spid="_x0000_s1068" style="position:absolute;visibility:visible;mso-wrap-style:square" from="9628,9824" to="10925,9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" strokeweight=".06pt"/>
                <v:line id="Line 1730" o:spid="_x0000_s1069" style="position:absolute;visibility:visible;mso-wrap-style:square" from="9628,9825" to="10925,9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" strokeweight=".06pt"/>
                <v:line id="Line 1729" o:spid="_x0000_s1070" style="position:absolute;visibility:visible;mso-wrap-style:square" from="9628,9826" to="10925,9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" strokeweight=".06pt"/>
                <v:line id="Line 1728" o:spid="_x0000_s1071" style="position:absolute;visibility:visible;mso-wrap-style:square" from="9628,9827" to="10925,9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" strokeweight=".06pt"/>
                <v:line id="Line 1727" o:spid="_x0000_s1072" style="position:absolute;visibility:visible;mso-wrap-style:square" from="9628,9829" to="10925,9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" strokeweight=".06pt"/>
                <v:line id="Line 1726" o:spid="_x0000_s1073" style="position:absolute;visibility:visible;mso-wrap-style:square" from="9628,9830" to="10925,9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" strokeweight=".06pt"/>
                <v:line id="Line 1725" o:spid="_x0000_s1074" style="position:absolute;visibility:visible;mso-wrap-style:square" from="9628,9831" to="10925,9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" strokeweight=".06pt"/>
                <v:line id="Line 1724" o:spid="_x0000_s1075" style="position:absolute;visibility:visible;mso-wrap-style:square" from="9628,9832" to="10925,9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" strokeweight=".06pt"/>
                <v:line id="Line 1723" o:spid="_x0000_s1076" style="position:absolute;visibility:visible;mso-wrap-style:square" from="9628,9833" to="10925,9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" strokeweight=".06pt"/>
                <v:line id="Line 1722" o:spid="_x0000_s1077" style="position:absolute;visibility:visible;mso-wrap-style:square" from="9628,9835" to="10925,9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" strokeweight=".06pt"/>
                <v:line id="Line 1721" o:spid="_x0000_s1078" style="position:absolute;visibility:visible;mso-wrap-style:square" from="9628,9836" to="10925,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" strokeweight=".06pt"/>
                <w10:wrap anchorx="page" anchory="page"/>
              </v:group>
            </w:pict>
          </mc:Fallback>
        </mc:AlternateContent>
      </w:r>
    </w:p>
    <w:p w14:paraId="236067BE" w14:textId="77777777" w:rsidR="00FA4AA8" w:rsidRDefault="00FA4AA8">
      <w:pPr>
        <w:pStyle w:val="BodyText"/>
        <w:spacing w:before="3"/>
        <w:rPr>
          <w:sz w:val="10"/>
        </w:rPr>
      </w:pPr>
    </w:p>
    <w:tbl>
      <w:tblPr>
        <w:tblW w:w="0" w:type="auto"/>
        <w:tblInd w:w="125" w:type="dxa"/>
        <w:tblLayout w:type="fixed"/>
        <w:tblCellMar>
          <w:left w:w="0" w:type="dxa"/>
          <w:right w:w="0" w:type="dxa"/>
        </w:tblCellMar>
        <w:tblLook w:val="01E0" w:firstRow="1" w:lastRow="1" w:firstColumn="1" w:lastColumn="1" w:noHBand="0" w:noVBand="0"/>
      </w:tblPr>
      <w:tblGrid>
        <w:gridCol w:w="5583"/>
        <w:gridCol w:w="1789"/>
        <w:gridCol w:w="1408"/>
        <w:gridCol w:w="1192"/>
      </w:tblGrid>
      <w:tr w:rsidR="00FA4AA8" w14:paraId="09FCC6B8" w14:textId="77777777">
        <w:trPr>
          <w:trHeight w:val="344"/>
        </w:trPr>
        <w:tc>
          <w:tcPr>
            <w:tcW w:w="5583" w:type="dxa"/>
          </w:tcPr>
          <w:p w14:paraId="4478AF65" w14:textId="77777777" w:rsidR="00FA4AA8" w:rsidRDefault="0015611F">
            <w:pPr>
              <w:pStyle w:val="TableParagraph"/>
              <w:spacing w:line="312" w:lineRule="exact"/>
              <w:ind w:left="50"/>
              <w:rPr>
                <w:b/>
                <w:sz w:val="28"/>
              </w:rPr>
            </w:pPr>
            <w:r>
              <w:rPr>
                <w:b/>
                <w:sz w:val="28"/>
              </w:rPr>
              <w:t>Statement of Cash Flows</w:t>
            </w:r>
          </w:p>
        </w:tc>
        <w:tc>
          <w:tcPr>
            <w:tcW w:w="4389" w:type="dxa"/>
            <w:gridSpan w:val="3"/>
            <w:vMerge w:val="restart"/>
          </w:tcPr>
          <w:p w14:paraId="64ED9868" w14:textId="77777777" w:rsidR="00FA4AA8" w:rsidRDefault="00FA4AA8">
            <w:pPr>
              <w:pStyle w:val="TableParagraph"/>
              <w:rPr>
                <w:rFonts w:ascii="Times New Roman"/>
                <w:sz w:val="18"/>
              </w:rPr>
            </w:pPr>
          </w:p>
        </w:tc>
      </w:tr>
      <w:tr w:rsidR="00FA4AA8" w14:paraId="5FD3BDDA" w14:textId="77777777">
        <w:trPr>
          <w:trHeight w:val="486"/>
        </w:trPr>
        <w:tc>
          <w:tcPr>
            <w:tcW w:w="5583" w:type="dxa"/>
          </w:tcPr>
          <w:p w14:paraId="41603AC3" w14:textId="77777777" w:rsidR="00FA4AA8" w:rsidRDefault="0015611F">
            <w:pPr>
              <w:pStyle w:val="TableParagraph"/>
              <w:spacing w:before="25"/>
              <w:ind w:left="50"/>
              <w:rPr>
                <w:b/>
              </w:rPr>
            </w:pPr>
            <w:r>
              <w:rPr>
                <w:b/>
              </w:rPr>
              <w:t>For the Year Ended 31 December 2018</w:t>
            </w:r>
          </w:p>
        </w:tc>
        <w:tc>
          <w:tcPr>
            <w:tcW w:w="4389" w:type="dxa"/>
            <w:gridSpan w:val="3"/>
            <w:vMerge/>
            <w:tcBorders>
              <w:top w:val="nil"/>
            </w:tcBorders>
          </w:tcPr>
          <w:p w14:paraId="23BB3457" w14:textId="77777777" w:rsidR="00FA4AA8" w:rsidRDefault="00FA4AA8">
            <w:pPr>
              <w:rPr>
                <w:sz w:val="2"/>
                <w:szCs w:val="2"/>
              </w:rPr>
            </w:pPr>
          </w:p>
        </w:tc>
      </w:tr>
      <w:tr w:rsidR="00FA4AA8" w14:paraId="0405419B" w14:textId="77777777">
        <w:trPr>
          <w:trHeight w:val="446"/>
        </w:trPr>
        <w:tc>
          <w:tcPr>
            <w:tcW w:w="5583" w:type="dxa"/>
          </w:tcPr>
          <w:p w14:paraId="592742A3" w14:textId="77777777" w:rsidR="00FA4AA8" w:rsidRDefault="00FA4AA8">
            <w:pPr>
              <w:pStyle w:val="TableParagraph"/>
              <w:rPr>
                <w:rFonts w:ascii="Times New Roman"/>
                <w:sz w:val="18"/>
              </w:rPr>
            </w:pPr>
          </w:p>
        </w:tc>
        <w:tc>
          <w:tcPr>
            <w:tcW w:w="1789" w:type="dxa"/>
          </w:tcPr>
          <w:p w14:paraId="52345D60" w14:textId="77777777" w:rsidR="00FA4AA8" w:rsidRDefault="00FA4AA8">
            <w:pPr>
              <w:pStyle w:val="TableParagraph"/>
              <w:rPr>
                <w:rFonts w:ascii="Times New Roman"/>
                <w:sz w:val="18"/>
              </w:rPr>
            </w:pPr>
          </w:p>
        </w:tc>
        <w:tc>
          <w:tcPr>
            <w:tcW w:w="1408" w:type="dxa"/>
          </w:tcPr>
          <w:p w14:paraId="3DEF16E0" w14:textId="77777777" w:rsidR="00FA4AA8" w:rsidRDefault="00FA4AA8">
            <w:pPr>
              <w:pStyle w:val="TableParagraph"/>
              <w:spacing w:before="7"/>
              <w:rPr>
                <w:sz w:val="17"/>
              </w:rPr>
            </w:pPr>
          </w:p>
          <w:p w14:paraId="184D518A" w14:textId="77777777" w:rsidR="00FA4AA8" w:rsidRDefault="0015611F">
            <w:pPr>
              <w:pStyle w:val="TableParagraph"/>
              <w:ind w:left="676"/>
              <w:rPr>
                <w:b/>
                <w:sz w:val="18"/>
              </w:rPr>
            </w:pPr>
            <w:r>
              <w:rPr>
                <w:b/>
                <w:sz w:val="18"/>
              </w:rPr>
              <w:t>2018</w:t>
            </w:r>
          </w:p>
        </w:tc>
        <w:tc>
          <w:tcPr>
            <w:tcW w:w="1192" w:type="dxa"/>
          </w:tcPr>
          <w:p w14:paraId="693DDD84" w14:textId="77777777" w:rsidR="00FA4AA8" w:rsidRDefault="00FA4AA8">
            <w:pPr>
              <w:pStyle w:val="TableParagraph"/>
              <w:spacing w:before="7"/>
              <w:rPr>
                <w:sz w:val="17"/>
              </w:rPr>
            </w:pPr>
          </w:p>
          <w:p w14:paraId="05680E9D" w14:textId="77777777" w:rsidR="00FA4AA8" w:rsidRDefault="0015611F">
            <w:pPr>
              <w:pStyle w:val="TableParagraph"/>
              <w:ind w:left="565"/>
              <w:rPr>
                <w:b/>
                <w:sz w:val="18"/>
              </w:rPr>
            </w:pPr>
            <w:r>
              <w:rPr>
                <w:b/>
                <w:sz w:val="18"/>
              </w:rPr>
              <w:t>2017</w:t>
            </w:r>
          </w:p>
        </w:tc>
      </w:tr>
      <w:tr w:rsidR="00FA4AA8" w14:paraId="31F3AFE7" w14:textId="77777777">
        <w:trPr>
          <w:trHeight w:val="313"/>
        </w:trPr>
        <w:tc>
          <w:tcPr>
            <w:tcW w:w="5583" w:type="dxa"/>
          </w:tcPr>
          <w:p w14:paraId="58B27CFF" w14:textId="77777777" w:rsidR="00FA4AA8" w:rsidRDefault="00FA4AA8">
            <w:pPr>
              <w:pStyle w:val="TableParagraph"/>
              <w:rPr>
                <w:rFonts w:ascii="Times New Roman"/>
                <w:sz w:val="18"/>
              </w:rPr>
            </w:pPr>
          </w:p>
        </w:tc>
        <w:tc>
          <w:tcPr>
            <w:tcW w:w="1789" w:type="dxa"/>
          </w:tcPr>
          <w:p w14:paraId="52722A7D" w14:textId="77777777" w:rsidR="00FA4AA8" w:rsidRDefault="0015611F">
            <w:pPr>
              <w:pStyle w:val="TableParagraph"/>
              <w:spacing w:before="30"/>
              <w:ind w:right="88"/>
              <w:jc w:val="right"/>
              <w:rPr>
                <w:b/>
                <w:sz w:val="18"/>
              </w:rPr>
            </w:pPr>
            <w:r>
              <w:rPr>
                <w:b/>
                <w:sz w:val="18"/>
              </w:rPr>
              <w:t>Notes</w:t>
            </w:r>
          </w:p>
        </w:tc>
        <w:tc>
          <w:tcPr>
            <w:tcW w:w="1408" w:type="dxa"/>
          </w:tcPr>
          <w:p w14:paraId="00D4CDD0" w14:textId="77777777" w:rsidR="00FA4AA8" w:rsidRDefault="0015611F">
            <w:pPr>
              <w:pStyle w:val="TableParagraph"/>
              <w:spacing w:before="30"/>
              <w:ind w:right="353"/>
              <w:jc w:val="right"/>
              <w:rPr>
                <w:b/>
                <w:sz w:val="18"/>
              </w:rPr>
            </w:pPr>
            <w:r>
              <w:rPr>
                <w:b/>
                <w:sz w:val="18"/>
              </w:rPr>
              <w:t>$</w:t>
            </w:r>
          </w:p>
        </w:tc>
        <w:tc>
          <w:tcPr>
            <w:tcW w:w="1192" w:type="dxa"/>
          </w:tcPr>
          <w:p w14:paraId="7EE85437" w14:textId="77777777" w:rsidR="00FA4AA8" w:rsidRDefault="0015611F">
            <w:pPr>
              <w:pStyle w:val="TableParagraph"/>
              <w:spacing w:before="30"/>
              <w:ind w:right="273"/>
              <w:jc w:val="right"/>
              <w:rPr>
                <w:b/>
                <w:sz w:val="18"/>
              </w:rPr>
            </w:pPr>
            <w:r>
              <w:rPr>
                <w:b/>
                <w:sz w:val="18"/>
              </w:rPr>
              <w:t>$</w:t>
            </w:r>
          </w:p>
        </w:tc>
      </w:tr>
      <w:tr w:rsidR="00FA4AA8" w14:paraId="5FBFA248" w14:textId="77777777">
        <w:trPr>
          <w:trHeight w:val="543"/>
        </w:trPr>
        <w:tc>
          <w:tcPr>
            <w:tcW w:w="5583" w:type="dxa"/>
          </w:tcPr>
          <w:p w14:paraId="6CB001EA" w14:textId="77777777" w:rsidR="00FA4AA8" w:rsidRDefault="0015611F">
            <w:pPr>
              <w:pStyle w:val="TableParagraph"/>
              <w:spacing w:before="70"/>
              <w:ind w:left="77"/>
              <w:rPr>
                <w:b/>
                <w:sz w:val="18"/>
              </w:rPr>
            </w:pPr>
            <w:r>
              <w:rPr>
                <w:b/>
                <w:sz w:val="18"/>
              </w:rPr>
              <w:t>CASH FLOWS FROM OPERATING ACTIVITIES:</w:t>
            </w:r>
          </w:p>
          <w:p w14:paraId="37465569" w14:textId="77777777" w:rsidR="00FA4AA8" w:rsidRDefault="0015611F">
            <w:pPr>
              <w:pStyle w:val="TableParagraph"/>
              <w:spacing w:before="27"/>
              <w:ind w:left="77"/>
              <w:rPr>
                <w:sz w:val="18"/>
              </w:rPr>
            </w:pPr>
            <w:r>
              <w:rPr>
                <w:sz w:val="18"/>
              </w:rPr>
              <w:t>Receipts from customers</w:t>
            </w:r>
          </w:p>
        </w:tc>
        <w:tc>
          <w:tcPr>
            <w:tcW w:w="1789" w:type="dxa"/>
          </w:tcPr>
          <w:p w14:paraId="20476A19" w14:textId="77777777" w:rsidR="00FA4AA8" w:rsidRDefault="00FA4AA8">
            <w:pPr>
              <w:pStyle w:val="TableParagraph"/>
              <w:rPr>
                <w:rFonts w:ascii="Times New Roman"/>
                <w:sz w:val="18"/>
              </w:rPr>
            </w:pPr>
          </w:p>
        </w:tc>
        <w:tc>
          <w:tcPr>
            <w:tcW w:w="1408" w:type="dxa"/>
          </w:tcPr>
          <w:p w14:paraId="6EBE0976" w14:textId="77777777" w:rsidR="00FA4AA8" w:rsidRDefault="00FA4AA8">
            <w:pPr>
              <w:pStyle w:val="TableParagraph"/>
              <w:spacing w:before="6"/>
              <w:rPr>
                <w:sz w:val="26"/>
              </w:rPr>
            </w:pPr>
          </w:p>
          <w:p w14:paraId="0B7DDF8B" w14:textId="77777777" w:rsidR="00FA4AA8" w:rsidRDefault="0015611F">
            <w:pPr>
              <w:pStyle w:val="TableParagraph"/>
              <w:ind w:right="197"/>
              <w:jc w:val="right"/>
              <w:rPr>
                <w:b/>
                <w:sz w:val="18"/>
              </w:rPr>
            </w:pPr>
            <w:r>
              <w:rPr>
                <w:b/>
                <w:sz w:val="18"/>
              </w:rPr>
              <w:t>61,252,024</w:t>
            </w:r>
          </w:p>
        </w:tc>
        <w:tc>
          <w:tcPr>
            <w:tcW w:w="1192" w:type="dxa"/>
          </w:tcPr>
          <w:p w14:paraId="76F58BB8" w14:textId="77777777" w:rsidR="00FA4AA8" w:rsidRDefault="00FA4AA8">
            <w:pPr>
              <w:pStyle w:val="TableParagraph"/>
              <w:spacing w:before="6"/>
              <w:rPr>
                <w:sz w:val="26"/>
              </w:rPr>
            </w:pPr>
          </w:p>
          <w:p w14:paraId="44FE02D6" w14:textId="77777777" w:rsidR="00FA4AA8" w:rsidRDefault="0015611F">
            <w:pPr>
              <w:pStyle w:val="TableParagraph"/>
              <w:ind w:left="200"/>
              <w:rPr>
                <w:sz w:val="18"/>
              </w:rPr>
            </w:pPr>
            <w:r>
              <w:rPr>
                <w:sz w:val="18"/>
              </w:rPr>
              <w:t>59,777,225</w:t>
            </w:r>
          </w:p>
        </w:tc>
      </w:tr>
      <w:tr w:rsidR="00FA4AA8" w14:paraId="2E142C10" w14:textId="77777777">
        <w:trPr>
          <w:trHeight w:val="263"/>
        </w:trPr>
        <w:tc>
          <w:tcPr>
            <w:tcW w:w="5583" w:type="dxa"/>
          </w:tcPr>
          <w:p w14:paraId="55C19C7D" w14:textId="77777777" w:rsidR="00FA4AA8" w:rsidRDefault="0015611F">
            <w:pPr>
              <w:pStyle w:val="TableParagraph"/>
              <w:spacing w:before="25"/>
              <w:ind w:left="77"/>
              <w:rPr>
                <w:sz w:val="18"/>
              </w:rPr>
            </w:pPr>
            <w:r>
              <w:rPr>
                <w:sz w:val="18"/>
              </w:rPr>
              <w:t>Payments to suppliers and employees</w:t>
            </w:r>
          </w:p>
        </w:tc>
        <w:tc>
          <w:tcPr>
            <w:tcW w:w="1789" w:type="dxa"/>
          </w:tcPr>
          <w:p w14:paraId="7F9D5CAB" w14:textId="77777777" w:rsidR="00FA4AA8" w:rsidRDefault="00FA4AA8">
            <w:pPr>
              <w:pStyle w:val="TableParagraph"/>
              <w:rPr>
                <w:rFonts w:ascii="Times New Roman"/>
                <w:sz w:val="18"/>
              </w:rPr>
            </w:pPr>
          </w:p>
        </w:tc>
        <w:tc>
          <w:tcPr>
            <w:tcW w:w="1408" w:type="dxa"/>
          </w:tcPr>
          <w:p w14:paraId="52F91696" w14:textId="77777777" w:rsidR="00FA4AA8" w:rsidRDefault="0015611F">
            <w:pPr>
              <w:pStyle w:val="TableParagraph"/>
              <w:spacing w:before="26"/>
              <w:ind w:right="137"/>
              <w:jc w:val="right"/>
              <w:rPr>
                <w:b/>
                <w:sz w:val="18"/>
              </w:rPr>
            </w:pPr>
            <w:r>
              <w:rPr>
                <w:b/>
                <w:sz w:val="18"/>
              </w:rPr>
              <w:t>(57,729,828)</w:t>
            </w:r>
          </w:p>
        </w:tc>
        <w:tc>
          <w:tcPr>
            <w:tcW w:w="1192" w:type="dxa"/>
          </w:tcPr>
          <w:p w14:paraId="38E46C1B" w14:textId="77777777" w:rsidR="00FA4AA8" w:rsidRDefault="0015611F">
            <w:pPr>
              <w:pStyle w:val="TableParagraph"/>
              <w:spacing w:before="26"/>
              <w:ind w:right="32"/>
              <w:jc w:val="right"/>
              <w:rPr>
                <w:sz w:val="18"/>
              </w:rPr>
            </w:pPr>
            <w:r>
              <w:rPr>
                <w:sz w:val="18"/>
              </w:rPr>
              <w:t>(58,983,576)</w:t>
            </w:r>
          </w:p>
        </w:tc>
      </w:tr>
      <w:tr w:rsidR="00FA4AA8" w14:paraId="230F57AF" w14:textId="77777777">
        <w:trPr>
          <w:trHeight w:val="264"/>
        </w:trPr>
        <w:tc>
          <w:tcPr>
            <w:tcW w:w="5583" w:type="dxa"/>
          </w:tcPr>
          <w:p w14:paraId="56EB3D00" w14:textId="77777777" w:rsidR="00FA4AA8" w:rsidRDefault="0015611F">
            <w:pPr>
              <w:pStyle w:val="TableParagraph"/>
              <w:spacing w:before="25"/>
              <w:ind w:left="77"/>
              <w:rPr>
                <w:sz w:val="18"/>
              </w:rPr>
            </w:pPr>
            <w:r>
              <w:rPr>
                <w:sz w:val="18"/>
              </w:rPr>
              <w:t>Interest received</w:t>
            </w:r>
          </w:p>
        </w:tc>
        <w:tc>
          <w:tcPr>
            <w:tcW w:w="1789" w:type="dxa"/>
          </w:tcPr>
          <w:p w14:paraId="19900504" w14:textId="77777777" w:rsidR="00FA4AA8" w:rsidRDefault="00FA4AA8">
            <w:pPr>
              <w:pStyle w:val="TableParagraph"/>
              <w:rPr>
                <w:rFonts w:ascii="Times New Roman"/>
                <w:sz w:val="18"/>
              </w:rPr>
            </w:pPr>
          </w:p>
        </w:tc>
        <w:tc>
          <w:tcPr>
            <w:tcW w:w="1408" w:type="dxa"/>
          </w:tcPr>
          <w:p w14:paraId="451D2007" w14:textId="77777777" w:rsidR="00FA4AA8" w:rsidRDefault="0015611F">
            <w:pPr>
              <w:pStyle w:val="TableParagraph"/>
              <w:spacing w:before="26"/>
              <w:ind w:right="197"/>
              <w:jc w:val="right"/>
              <w:rPr>
                <w:b/>
                <w:sz w:val="18"/>
              </w:rPr>
            </w:pPr>
            <w:r>
              <w:rPr>
                <w:b/>
                <w:sz w:val="18"/>
              </w:rPr>
              <w:t>120,407</w:t>
            </w:r>
          </w:p>
        </w:tc>
        <w:tc>
          <w:tcPr>
            <w:tcW w:w="1192" w:type="dxa"/>
          </w:tcPr>
          <w:p w14:paraId="09628184" w14:textId="77777777" w:rsidR="00FA4AA8" w:rsidRDefault="0015611F">
            <w:pPr>
              <w:pStyle w:val="TableParagraph"/>
              <w:spacing w:before="26"/>
              <w:ind w:right="91"/>
              <w:jc w:val="right"/>
              <w:rPr>
                <w:sz w:val="18"/>
              </w:rPr>
            </w:pPr>
            <w:r>
              <w:rPr>
                <w:sz w:val="18"/>
              </w:rPr>
              <w:t>84,853</w:t>
            </w:r>
          </w:p>
        </w:tc>
      </w:tr>
      <w:tr w:rsidR="00FA4AA8" w14:paraId="4C4714C7" w14:textId="77777777">
        <w:trPr>
          <w:trHeight w:val="260"/>
        </w:trPr>
        <w:tc>
          <w:tcPr>
            <w:tcW w:w="5583" w:type="dxa"/>
          </w:tcPr>
          <w:p w14:paraId="1EA386EE" w14:textId="77777777" w:rsidR="00FA4AA8" w:rsidRDefault="0015611F">
            <w:pPr>
              <w:pStyle w:val="TableParagraph"/>
              <w:spacing w:before="25"/>
              <w:ind w:left="77"/>
              <w:rPr>
                <w:sz w:val="18"/>
              </w:rPr>
            </w:pPr>
            <w:r>
              <w:rPr>
                <w:sz w:val="18"/>
              </w:rPr>
              <w:t>Other receipts / (payments)</w:t>
            </w:r>
          </w:p>
        </w:tc>
        <w:tc>
          <w:tcPr>
            <w:tcW w:w="1789" w:type="dxa"/>
          </w:tcPr>
          <w:p w14:paraId="027C0E57" w14:textId="77777777" w:rsidR="00FA4AA8" w:rsidRDefault="00FA4AA8">
            <w:pPr>
              <w:pStyle w:val="TableParagraph"/>
              <w:rPr>
                <w:rFonts w:ascii="Times New Roman"/>
                <w:sz w:val="18"/>
              </w:rPr>
            </w:pPr>
          </w:p>
        </w:tc>
        <w:tc>
          <w:tcPr>
            <w:tcW w:w="1408" w:type="dxa"/>
            <w:tcBorders>
              <w:bottom w:val="single" w:sz="8" w:space="0" w:color="000000"/>
            </w:tcBorders>
          </w:tcPr>
          <w:p w14:paraId="6C3EC3B8" w14:textId="77777777" w:rsidR="00FA4AA8" w:rsidRDefault="0015611F">
            <w:pPr>
              <w:pStyle w:val="TableParagraph"/>
              <w:spacing w:before="26"/>
              <w:ind w:right="197"/>
              <w:jc w:val="right"/>
              <w:rPr>
                <w:b/>
                <w:sz w:val="18"/>
              </w:rPr>
            </w:pPr>
            <w:r>
              <w:rPr>
                <w:b/>
                <w:sz w:val="18"/>
              </w:rPr>
              <w:t>697,830</w:t>
            </w:r>
          </w:p>
        </w:tc>
        <w:tc>
          <w:tcPr>
            <w:tcW w:w="1192" w:type="dxa"/>
            <w:tcBorders>
              <w:bottom w:val="single" w:sz="8" w:space="0" w:color="000000"/>
            </w:tcBorders>
          </w:tcPr>
          <w:p w14:paraId="3EE758D1" w14:textId="77777777" w:rsidR="00FA4AA8" w:rsidRDefault="0015611F">
            <w:pPr>
              <w:pStyle w:val="TableParagraph"/>
              <w:spacing w:before="26"/>
              <w:ind w:left="450"/>
              <w:rPr>
                <w:sz w:val="18"/>
              </w:rPr>
            </w:pPr>
            <w:r>
              <w:rPr>
                <w:sz w:val="18"/>
              </w:rPr>
              <w:t>806,407</w:t>
            </w:r>
          </w:p>
        </w:tc>
      </w:tr>
      <w:tr w:rsidR="00FA4AA8" w14:paraId="3CCFBC3F" w14:textId="77777777">
        <w:trPr>
          <w:trHeight w:val="318"/>
        </w:trPr>
        <w:tc>
          <w:tcPr>
            <w:tcW w:w="5583" w:type="dxa"/>
          </w:tcPr>
          <w:p w14:paraId="5DF501BD" w14:textId="77777777" w:rsidR="00FA4AA8" w:rsidRDefault="0015611F">
            <w:pPr>
              <w:pStyle w:val="TableParagraph"/>
              <w:spacing w:before="28"/>
              <w:ind w:left="77"/>
              <w:rPr>
                <w:b/>
                <w:sz w:val="18"/>
              </w:rPr>
            </w:pPr>
            <w:r>
              <w:rPr>
                <w:b/>
                <w:sz w:val="18"/>
              </w:rPr>
              <w:t>Net cash provided by operating activities</w:t>
            </w:r>
          </w:p>
        </w:tc>
        <w:tc>
          <w:tcPr>
            <w:tcW w:w="1789" w:type="dxa"/>
          </w:tcPr>
          <w:p w14:paraId="1B509BA2" w14:textId="77777777" w:rsidR="00FA4AA8" w:rsidRDefault="00FA4AA8">
            <w:pPr>
              <w:pStyle w:val="TableParagraph"/>
              <w:rPr>
                <w:rFonts w:ascii="Times New Roman"/>
                <w:sz w:val="18"/>
              </w:rPr>
            </w:pPr>
          </w:p>
        </w:tc>
        <w:tc>
          <w:tcPr>
            <w:tcW w:w="1408" w:type="dxa"/>
            <w:tcBorders>
              <w:top w:val="single" w:sz="8" w:space="0" w:color="000000"/>
              <w:bottom w:val="single" w:sz="8" w:space="0" w:color="000000"/>
            </w:tcBorders>
          </w:tcPr>
          <w:p w14:paraId="7E6F65DF" w14:textId="77777777" w:rsidR="00FA4AA8" w:rsidRDefault="0015611F">
            <w:pPr>
              <w:pStyle w:val="TableParagraph"/>
              <w:spacing w:before="113" w:line="185" w:lineRule="exact"/>
              <w:ind w:right="197"/>
              <w:jc w:val="right"/>
              <w:rPr>
                <w:b/>
                <w:sz w:val="18"/>
              </w:rPr>
            </w:pPr>
            <w:r>
              <w:rPr>
                <w:b/>
                <w:sz w:val="18"/>
              </w:rPr>
              <w:t>4,340,433</w:t>
            </w:r>
          </w:p>
        </w:tc>
        <w:tc>
          <w:tcPr>
            <w:tcW w:w="1192" w:type="dxa"/>
            <w:tcBorders>
              <w:top w:val="single" w:sz="8" w:space="0" w:color="000000"/>
              <w:bottom w:val="single" w:sz="8" w:space="0" w:color="000000"/>
            </w:tcBorders>
          </w:tcPr>
          <w:p w14:paraId="12A41BEB" w14:textId="77777777" w:rsidR="00FA4AA8" w:rsidRDefault="0015611F">
            <w:pPr>
              <w:pStyle w:val="TableParagraph"/>
              <w:spacing w:before="113" w:line="185" w:lineRule="exact"/>
              <w:ind w:left="300"/>
              <w:rPr>
                <w:sz w:val="18"/>
              </w:rPr>
            </w:pPr>
            <w:r>
              <w:rPr>
                <w:sz w:val="18"/>
              </w:rPr>
              <w:t>1,684,909</w:t>
            </w:r>
          </w:p>
        </w:tc>
      </w:tr>
      <w:tr w:rsidR="00FA4AA8" w14:paraId="79F370F7" w14:textId="77777777">
        <w:trPr>
          <w:trHeight w:val="881"/>
        </w:trPr>
        <w:tc>
          <w:tcPr>
            <w:tcW w:w="5583" w:type="dxa"/>
          </w:tcPr>
          <w:p w14:paraId="0875875F" w14:textId="77777777" w:rsidR="00FA4AA8" w:rsidRDefault="00FA4AA8">
            <w:pPr>
              <w:pStyle w:val="TableParagraph"/>
              <w:rPr>
                <w:sz w:val="20"/>
              </w:rPr>
            </w:pPr>
          </w:p>
          <w:p w14:paraId="1FD6E9C2" w14:textId="77777777" w:rsidR="00FA4AA8" w:rsidRDefault="0015611F">
            <w:pPr>
              <w:pStyle w:val="TableParagraph"/>
              <w:spacing w:before="178"/>
              <w:ind w:left="77"/>
              <w:rPr>
                <w:b/>
                <w:sz w:val="18"/>
              </w:rPr>
            </w:pPr>
            <w:r>
              <w:rPr>
                <w:b/>
                <w:sz w:val="18"/>
              </w:rPr>
              <w:t>CASH FLOWS FROM INVESTING ACTIVITIES:</w:t>
            </w:r>
          </w:p>
          <w:p w14:paraId="12D26B54" w14:textId="77777777" w:rsidR="00FA4AA8" w:rsidRDefault="0015611F">
            <w:pPr>
              <w:pStyle w:val="TableParagraph"/>
              <w:spacing w:before="27"/>
              <w:ind w:left="77"/>
              <w:rPr>
                <w:sz w:val="18"/>
              </w:rPr>
            </w:pPr>
            <w:r>
              <w:rPr>
                <w:sz w:val="18"/>
              </w:rPr>
              <w:t>Return of capital works funding</w:t>
            </w:r>
          </w:p>
        </w:tc>
        <w:tc>
          <w:tcPr>
            <w:tcW w:w="1789" w:type="dxa"/>
          </w:tcPr>
          <w:p w14:paraId="2D6C43AB" w14:textId="77777777" w:rsidR="00FA4AA8" w:rsidRDefault="00FA4AA8">
            <w:pPr>
              <w:pStyle w:val="TableParagraph"/>
              <w:rPr>
                <w:rFonts w:ascii="Times New Roman"/>
                <w:sz w:val="18"/>
              </w:rPr>
            </w:pPr>
          </w:p>
        </w:tc>
        <w:tc>
          <w:tcPr>
            <w:tcW w:w="1408" w:type="dxa"/>
            <w:tcBorders>
              <w:top w:val="single" w:sz="8" w:space="0" w:color="000000"/>
            </w:tcBorders>
          </w:tcPr>
          <w:p w14:paraId="2D6CBBE8" w14:textId="77777777" w:rsidR="00FA4AA8" w:rsidRDefault="00FA4AA8">
            <w:pPr>
              <w:pStyle w:val="TableParagraph"/>
              <w:rPr>
                <w:sz w:val="20"/>
              </w:rPr>
            </w:pPr>
          </w:p>
          <w:p w14:paraId="3F718361" w14:textId="77777777" w:rsidR="00FA4AA8" w:rsidRDefault="00FA4AA8">
            <w:pPr>
              <w:pStyle w:val="TableParagraph"/>
              <w:rPr>
                <w:sz w:val="20"/>
              </w:rPr>
            </w:pPr>
          </w:p>
          <w:p w14:paraId="00CA00C0" w14:textId="77777777" w:rsidR="00FA4AA8" w:rsidRDefault="00FA4AA8">
            <w:pPr>
              <w:pStyle w:val="TableParagraph"/>
              <w:spacing w:before="11"/>
              <w:rPr>
                <w:sz w:val="15"/>
              </w:rPr>
            </w:pPr>
          </w:p>
          <w:p w14:paraId="608B776D" w14:textId="77777777" w:rsidR="00FA4AA8" w:rsidRDefault="0015611F">
            <w:pPr>
              <w:pStyle w:val="TableParagraph"/>
              <w:ind w:right="197"/>
              <w:jc w:val="right"/>
              <w:rPr>
                <w:b/>
                <w:sz w:val="18"/>
              </w:rPr>
            </w:pPr>
            <w:r>
              <w:rPr>
                <w:b/>
                <w:sz w:val="18"/>
              </w:rPr>
              <w:t>-</w:t>
            </w:r>
          </w:p>
        </w:tc>
        <w:tc>
          <w:tcPr>
            <w:tcW w:w="1192" w:type="dxa"/>
            <w:tcBorders>
              <w:top w:val="single" w:sz="8" w:space="0" w:color="000000"/>
            </w:tcBorders>
          </w:tcPr>
          <w:p w14:paraId="61717AD8" w14:textId="77777777" w:rsidR="00FA4AA8" w:rsidRDefault="00FA4AA8">
            <w:pPr>
              <w:pStyle w:val="TableParagraph"/>
              <w:rPr>
                <w:sz w:val="20"/>
              </w:rPr>
            </w:pPr>
          </w:p>
          <w:p w14:paraId="5982AB80" w14:textId="77777777" w:rsidR="00FA4AA8" w:rsidRDefault="00FA4AA8">
            <w:pPr>
              <w:pStyle w:val="TableParagraph"/>
              <w:rPr>
                <w:sz w:val="20"/>
              </w:rPr>
            </w:pPr>
          </w:p>
          <w:p w14:paraId="04FA3115" w14:textId="77777777" w:rsidR="00FA4AA8" w:rsidRDefault="00FA4AA8">
            <w:pPr>
              <w:pStyle w:val="TableParagraph"/>
              <w:spacing w:before="11"/>
              <w:rPr>
                <w:sz w:val="15"/>
              </w:rPr>
            </w:pPr>
          </w:p>
          <w:p w14:paraId="0D39B578" w14:textId="77777777" w:rsidR="00FA4AA8" w:rsidRDefault="0015611F">
            <w:pPr>
              <w:pStyle w:val="TableParagraph"/>
              <w:ind w:left="450"/>
              <w:rPr>
                <w:sz w:val="18"/>
              </w:rPr>
            </w:pPr>
            <w:r>
              <w:rPr>
                <w:sz w:val="18"/>
              </w:rPr>
              <w:t>158,454</w:t>
            </w:r>
          </w:p>
        </w:tc>
      </w:tr>
      <w:tr w:rsidR="00FA4AA8" w14:paraId="33AD70B2" w14:textId="77777777">
        <w:trPr>
          <w:trHeight w:val="264"/>
        </w:trPr>
        <w:tc>
          <w:tcPr>
            <w:tcW w:w="5583" w:type="dxa"/>
          </w:tcPr>
          <w:p w14:paraId="0B41B2AA" w14:textId="77777777" w:rsidR="00FA4AA8" w:rsidRDefault="0015611F">
            <w:pPr>
              <w:pStyle w:val="TableParagraph"/>
              <w:spacing w:before="25"/>
              <w:ind w:left="77"/>
              <w:rPr>
                <w:sz w:val="18"/>
              </w:rPr>
            </w:pPr>
            <w:r>
              <w:rPr>
                <w:sz w:val="18"/>
              </w:rPr>
              <w:t>Purchase of property, plant and equipment</w:t>
            </w:r>
          </w:p>
        </w:tc>
        <w:tc>
          <w:tcPr>
            <w:tcW w:w="1789" w:type="dxa"/>
          </w:tcPr>
          <w:p w14:paraId="726FCBD7" w14:textId="77777777" w:rsidR="00FA4AA8" w:rsidRDefault="00FA4AA8">
            <w:pPr>
              <w:pStyle w:val="TableParagraph"/>
              <w:rPr>
                <w:rFonts w:ascii="Times New Roman"/>
                <w:sz w:val="18"/>
              </w:rPr>
            </w:pPr>
          </w:p>
        </w:tc>
        <w:tc>
          <w:tcPr>
            <w:tcW w:w="1408" w:type="dxa"/>
          </w:tcPr>
          <w:p w14:paraId="45EBFE20" w14:textId="77777777" w:rsidR="00FA4AA8" w:rsidRDefault="0015611F">
            <w:pPr>
              <w:pStyle w:val="TableParagraph"/>
              <w:spacing w:before="26"/>
              <w:ind w:right="137"/>
              <w:jc w:val="right"/>
              <w:rPr>
                <w:b/>
                <w:sz w:val="18"/>
              </w:rPr>
            </w:pPr>
            <w:r>
              <w:rPr>
                <w:b/>
                <w:sz w:val="18"/>
              </w:rPr>
              <w:t>(118,476)</w:t>
            </w:r>
          </w:p>
        </w:tc>
        <w:tc>
          <w:tcPr>
            <w:tcW w:w="1192" w:type="dxa"/>
          </w:tcPr>
          <w:p w14:paraId="0980F7C2" w14:textId="77777777" w:rsidR="00FA4AA8" w:rsidRDefault="0015611F">
            <w:pPr>
              <w:pStyle w:val="TableParagraph"/>
              <w:spacing w:before="26"/>
              <w:ind w:right="32"/>
              <w:jc w:val="right"/>
              <w:rPr>
                <w:sz w:val="18"/>
              </w:rPr>
            </w:pPr>
            <w:r>
              <w:rPr>
                <w:sz w:val="18"/>
              </w:rPr>
              <w:t>(44,185)</w:t>
            </w:r>
          </w:p>
        </w:tc>
      </w:tr>
      <w:tr w:rsidR="00FA4AA8" w14:paraId="5AD8DBA9" w14:textId="77777777">
        <w:trPr>
          <w:trHeight w:val="263"/>
        </w:trPr>
        <w:tc>
          <w:tcPr>
            <w:tcW w:w="5583" w:type="dxa"/>
          </w:tcPr>
          <w:p w14:paraId="1FC91E61" w14:textId="77777777" w:rsidR="00FA4AA8" w:rsidRDefault="0015611F">
            <w:pPr>
              <w:pStyle w:val="TableParagraph"/>
              <w:spacing w:before="25"/>
              <w:ind w:left="77"/>
              <w:rPr>
                <w:sz w:val="18"/>
              </w:rPr>
            </w:pPr>
            <w:r>
              <w:rPr>
                <w:sz w:val="18"/>
              </w:rPr>
              <w:t>Payments for operations of joint venture</w:t>
            </w:r>
          </w:p>
        </w:tc>
        <w:tc>
          <w:tcPr>
            <w:tcW w:w="1789" w:type="dxa"/>
          </w:tcPr>
          <w:p w14:paraId="019F2E2F" w14:textId="77777777" w:rsidR="00FA4AA8" w:rsidRDefault="0015611F">
            <w:pPr>
              <w:pStyle w:val="TableParagraph"/>
              <w:spacing w:before="26"/>
              <w:ind w:right="139"/>
              <w:jc w:val="right"/>
              <w:rPr>
                <w:sz w:val="18"/>
              </w:rPr>
            </w:pPr>
            <w:r>
              <w:rPr>
                <w:sz w:val="18"/>
              </w:rPr>
              <w:t>15(c)</w:t>
            </w:r>
          </w:p>
        </w:tc>
        <w:tc>
          <w:tcPr>
            <w:tcW w:w="1408" w:type="dxa"/>
          </w:tcPr>
          <w:p w14:paraId="52BB645D" w14:textId="77777777" w:rsidR="00FA4AA8" w:rsidRDefault="0015611F">
            <w:pPr>
              <w:pStyle w:val="TableParagraph"/>
              <w:spacing w:before="26"/>
              <w:ind w:right="137"/>
              <w:jc w:val="right"/>
              <w:rPr>
                <w:b/>
                <w:sz w:val="18"/>
              </w:rPr>
            </w:pPr>
            <w:r>
              <w:rPr>
                <w:b/>
                <w:sz w:val="18"/>
              </w:rPr>
              <w:t>(250,000)</w:t>
            </w:r>
          </w:p>
        </w:tc>
        <w:tc>
          <w:tcPr>
            <w:tcW w:w="1192" w:type="dxa"/>
          </w:tcPr>
          <w:p w14:paraId="7A0632D4" w14:textId="77777777" w:rsidR="00FA4AA8" w:rsidRDefault="0015611F">
            <w:pPr>
              <w:pStyle w:val="TableParagraph"/>
              <w:spacing w:before="26"/>
              <w:ind w:right="32"/>
              <w:jc w:val="right"/>
              <w:rPr>
                <w:sz w:val="18"/>
              </w:rPr>
            </w:pPr>
            <w:r>
              <w:rPr>
                <w:sz w:val="18"/>
              </w:rPr>
              <w:t>(800,000)</w:t>
            </w:r>
          </w:p>
        </w:tc>
      </w:tr>
      <w:tr w:rsidR="00FA4AA8" w14:paraId="54F0E3E0" w14:textId="77777777">
        <w:trPr>
          <w:trHeight w:val="264"/>
        </w:trPr>
        <w:tc>
          <w:tcPr>
            <w:tcW w:w="5583" w:type="dxa"/>
          </w:tcPr>
          <w:p w14:paraId="4C6FCAEB" w14:textId="77777777" w:rsidR="00FA4AA8" w:rsidRDefault="0015611F">
            <w:pPr>
              <w:pStyle w:val="TableParagraph"/>
              <w:spacing w:before="25"/>
              <w:ind w:left="77"/>
              <w:rPr>
                <w:sz w:val="18"/>
              </w:rPr>
            </w:pPr>
            <w:r>
              <w:rPr>
                <w:sz w:val="18"/>
              </w:rPr>
              <w:t>Repayments received from the parent entity</w:t>
            </w:r>
          </w:p>
        </w:tc>
        <w:tc>
          <w:tcPr>
            <w:tcW w:w="1789" w:type="dxa"/>
          </w:tcPr>
          <w:p w14:paraId="77C8821E" w14:textId="77777777" w:rsidR="00FA4AA8" w:rsidRDefault="0015611F">
            <w:pPr>
              <w:pStyle w:val="TableParagraph"/>
              <w:spacing w:before="26"/>
              <w:ind w:right="139"/>
              <w:jc w:val="right"/>
              <w:rPr>
                <w:sz w:val="18"/>
              </w:rPr>
            </w:pPr>
            <w:r>
              <w:rPr>
                <w:sz w:val="18"/>
              </w:rPr>
              <w:t>15(c)</w:t>
            </w:r>
          </w:p>
        </w:tc>
        <w:tc>
          <w:tcPr>
            <w:tcW w:w="1408" w:type="dxa"/>
          </w:tcPr>
          <w:p w14:paraId="6234B68D" w14:textId="77777777" w:rsidR="00FA4AA8" w:rsidRDefault="0015611F">
            <w:pPr>
              <w:pStyle w:val="TableParagraph"/>
              <w:spacing w:before="26"/>
              <w:ind w:right="197"/>
              <w:jc w:val="right"/>
              <w:rPr>
                <w:b/>
                <w:sz w:val="18"/>
              </w:rPr>
            </w:pPr>
            <w:r>
              <w:rPr>
                <w:b/>
                <w:sz w:val="18"/>
              </w:rPr>
              <w:t>10,396,835</w:t>
            </w:r>
          </w:p>
        </w:tc>
        <w:tc>
          <w:tcPr>
            <w:tcW w:w="1192" w:type="dxa"/>
          </w:tcPr>
          <w:p w14:paraId="1B4C3097" w14:textId="77777777" w:rsidR="00FA4AA8" w:rsidRDefault="0015611F">
            <w:pPr>
              <w:pStyle w:val="TableParagraph"/>
              <w:spacing w:before="26"/>
              <w:ind w:left="200"/>
              <w:rPr>
                <w:sz w:val="18"/>
              </w:rPr>
            </w:pPr>
            <w:r>
              <w:rPr>
                <w:sz w:val="18"/>
              </w:rPr>
              <w:t>12,774,984</w:t>
            </w:r>
          </w:p>
        </w:tc>
      </w:tr>
      <w:tr w:rsidR="00FA4AA8" w14:paraId="67622B4E" w14:textId="77777777">
        <w:trPr>
          <w:trHeight w:val="260"/>
        </w:trPr>
        <w:tc>
          <w:tcPr>
            <w:tcW w:w="5583" w:type="dxa"/>
          </w:tcPr>
          <w:p w14:paraId="3862EC1B" w14:textId="77777777" w:rsidR="00FA4AA8" w:rsidRDefault="0015611F">
            <w:pPr>
              <w:pStyle w:val="TableParagraph"/>
              <w:spacing w:before="25"/>
              <w:ind w:left="77"/>
              <w:rPr>
                <w:sz w:val="18"/>
              </w:rPr>
            </w:pPr>
            <w:r>
              <w:rPr>
                <w:sz w:val="18"/>
              </w:rPr>
              <w:t>Advances made to the parent entity</w:t>
            </w:r>
          </w:p>
        </w:tc>
        <w:tc>
          <w:tcPr>
            <w:tcW w:w="1789" w:type="dxa"/>
          </w:tcPr>
          <w:p w14:paraId="46089895" w14:textId="77777777" w:rsidR="00FA4AA8" w:rsidRDefault="0015611F">
            <w:pPr>
              <w:pStyle w:val="TableParagraph"/>
              <w:spacing w:before="26"/>
              <w:ind w:right="139"/>
              <w:jc w:val="right"/>
              <w:rPr>
                <w:sz w:val="18"/>
              </w:rPr>
            </w:pPr>
            <w:r>
              <w:rPr>
                <w:sz w:val="18"/>
              </w:rPr>
              <w:t>15(c)</w:t>
            </w:r>
          </w:p>
        </w:tc>
        <w:tc>
          <w:tcPr>
            <w:tcW w:w="1408" w:type="dxa"/>
            <w:tcBorders>
              <w:bottom w:val="single" w:sz="8" w:space="0" w:color="000000"/>
            </w:tcBorders>
          </w:tcPr>
          <w:p w14:paraId="52D25EA0" w14:textId="77777777" w:rsidR="00FA4AA8" w:rsidRDefault="0015611F">
            <w:pPr>
              <w:pStyle w:val="TableParagraph"/>
              <w:spacing w:before="26"/>
              <w:ind w:right="137"/>
              <w:jc w:val="right"/>
              <w:rPr>
                <w:b/>
                <w:sz w:val="18"/>
              </w:rPr>
            </w:pPr>
            <w:r>
              <w:rPr>
                <w:b/>
                <w:sz w:val="18"/>
              </w:rPr>
              <w:t>(13,015,929)</w:t>
            </w:r>
          </w:p>
        </w:tc>
        <w:tc>
          <w:tcPr>
            <w:tcW w:w="1192" w:type="dxa"/>
            <w:tcBorders>
              <w:bottom w:val="single" w:sz="8" w:space="0" w:color="000000"/>
            </w:tcBorders>
          </w:tcPr>
          <w:p w14:paraId="6B84F970" w14:textId="77777777" w:rsidR="00FA4AA8" w:rsidRDefault="0015611F">
            <w:pPr>
              <w:pStyle w:val="TableParagraph"/>
              <w:spacing w:before="26"/>
              <w:ind w:right="32"/>
              <w:jc w:val="right"/>
              <w:rPr>
                <w:sz w:val="18"/>
              </w:rPr>
            </w:pPr>
            <w:r>
              <w:rPr>
                <w:sz w:val="18"/>
              </w:rPr>
              <w:t>(13,976,255)</w:t>
            </w:r>
          </w:p>
        </w:tc>
      </w:tr>
      <w:tr w:rsidR="00FA4AA8" w14:paraId="0AB748A9" w14:textId="77777777">
        <w:trPr>
          <w:trHeight w:val="536"/>
        </w:trPr>
        <w:tc>
          <w:tcPr>
            <w:tcW w:w="7372" w:type="dxa"/>
            <w:gridSpan w:val="2"/>
          </w:tcPr>
          <w:p w14:paraId="3C2445A6" w14:textId="77777777" w:rsidR="00FA4AA8" w:rsidRDefault="0015611F">
            <w:pPr>
              <w:pStyle w:val="TableParagraph"/>
              <w:spacing w:before="18"/>
              <w:ind w:left="77"/>
              <w:rPr>
                <w:b/>
                <w:sz w:val="18"/>
              </w:rPr>
            </w:pPr>
            <w:r>
              <w:rPr>
                <w:b/>
                <w:sz w:val="18"/>
              </w:rPr>
              <w:t>Net cash used in investing activities</w:t>
            </w:r>
          </w:p>
        </w:tc>
        <w:tc>
          <w:tcPr>
            <w:tcW w:w="2600" w:type="dxa"/>
            <w:gridSpan w:val="2"/>
          </w:tcPr>
          <w:p w14:paraId="5690C3E0" w14:textId="77777777" w:rsidR="00FA4AA8" w:rsidRDefault="0015611F">
            <w:pPr>
              <w:pStyle w:val="TableParagraph"/>
              <w:tabs>
                <w:tab w:val="left" w:pos="350"/>
                <w:tab w:val="left" w:pos="1647"/>
              </w:tabs>
              <w:spacing w:before="103"/>
              <w:rPr>
                <w:sz w:val="18"/>
              </w:rPr>
            </w:pPr>
            <w:r>
              <w:rPr>
                <w:rFonts w:ascii="Times New Roman"/>
                <w:sz w:val="18"/>
                <w:u w:val="single"/>
              </w:rPr>
              <w:t xml:space="preserve"> </w:t>
            </w:r>
            <w:r>
              <w:rPr>
                <w:rFonts w:ascii="Times New Roman"/>
                <w:sz w:val="18"/>
                <w:u w:val="single"/>
              </w:rPr>
              <w:tab/>
            </w:r>
            <w:r>
              <w:rPr>
                <w:b/>
                <w:sz w:val="18"/>
                <w:u w:val="single"/>
              </w:rPr>
              <w:t>(2,987,570)</w:t>
            </w:r>
            <w:r>
              <w:rPr>
                <w:b/>
                <w:sz w:val="18"/>
                <w:u w:val="single"/>
              </w:rPr>
              <w:tab/>
            </w:r>
            <w:r>
              <w:rPr>
                <w:sz w:val="18"/>
                <w:u w:val="single"/>
              </w:rPr>
              <w:t>(1,887,002)</w:t>
            </w:r>
          </w:p>
        </w:tc>
      </w:tr>
      <w:tr w:rsidR="00FA4AA8" w14:paraId="5FFDD855" w14:textId="77777777">
        <w:trPr>
          <w:trHeight w:val="485"/>
        </w:trPr>
        <w:tc>
          <w:tcPr>
            <w:tcW w:w="7372" w:type="dxa"/>
            <w:gridSpan w:val="2"/>
          </w:tcPr>
          <w:p w14:paraId="346B3E88" w14:textId="77777777" w:rsidR="00FA4AA8" w:rsidRDefault="00FA4AA8">
            <w:pPr>
              <w:pStyle w:val="TableParagraph"/>
              <w:spacing w:before="2"/>
              <w:rPr>
                <w:sz w:val="18"/>
              </w:rPr>
            </w:pPr>
          </w:p>
          <w:p w14:paraId="114AB7A8" w14:textId="77777777" w:rsidR="00FA4AA8" w:rsidRDefault="0015611F">
            <w:pPr>
              <w:pStyle w:val="TableParagraph"/>
              <w:spacing w:before="1"/>
              <w:ind w:left="77"/>
              <w:rPr>
                <w:b/>
                <w:sz w:val="18"/>
              </w:rPr>
            </w:pPr>
            <w:r>
              <w:rPr>
                <w:b/>
                <w:sz w:val="18"/>
              </w:rPr>
              <w:t>CASH FLOWS FROM FINANCING ACTIVITIES:</w:t>
            </w:r>
          </w:p>
        </w:tc>
        <w:tc>
          <w:tcPr>
            <w:tcW w:w="2600" w:type="dxa"/>
            <w:gridSpan w:val="2"/>
          </w:tcPr>
          <w:p w14:paraId="7A74701C" w14:textId="77777777" w:rsidR="00FA4AA8" w:rsidRDefault="00FA4AA8">
            <w:pPr>
              <w:pStyle w:val="TableParagraph"/>
              <w:rPr>
                <w:rFonts w:ascii="Times New Roman"/>
                <w:sz w:val="18"/>
              </w:rPr>
            </w:pPr>
          </w:p>
        </w:tc>
      </w:tr>
      <w:tr w:rsidR="00FA4AA8" w14:paraId="58721632" w14:textId="77777777">
        <w:trPr>
          <w:trHeight w:val="267"/>
        </w:trPr>
        <w:tc>
          <w:tcPr>
            <w:tcW w:w="7372" w:type="dxa"/>
            <w:gridSpan w:val="2"/>
          </w:tcPr>
          <w:p w14:paraId="28611FF4" w14:textId="77777777" w:rsidR="00FA4AA8" w:rsidRDefault="0015611F">
            <w:pPr>
              <w:pStyle w:val="TableParagraph"/>
              <w:spacing w:line="185" w:lineRule="exact"/>
              <w:ind w:left="77"/>
              <w:rPr>
                <w:b/>
                <w:sz w:val="18"/>
              </w:rPr>
            </w:pPr>
            <w:r>
              <w:rPr>
                <w:b/>
                <w:sz w:val="18"/>
              </w:rPr>
              <w:t>Net cash provided by financing activities</w:t>
            </w:r>
          </w:p>
        </w:tc>
        <w:tc>
          <w:tcPr>
            <w:tcW w:w="2600" w:type="dxa"/>
            <w:gridSpan w:val="2"/>
            <w:tcBorders>
              <w:bottom w:val="single" w:sz="8" w:space="0" w:color="000000"/>
            </w:tcBorders>
          </w:tcPr>
          <w:p w14:paraId="31139CC6" w14:textId="77777777" w:rsidR="00FA4AA8" w:rsidRDefault="0015611F">
            <w:pPr>
              <w:pStyle w:val="TableParagraph"/>
              <w:tabs>
                <w:tab w:val="left" w:pos="2445"/>
              </w:tabs>
              <w:spacing w:before="62" w:line="185" w:lineRule="exact"/>
              <w:ind w:left="1148"/>
              <w:rPr>
                <w:sz w:val="18"/>
              </w:rPr>
            </w:pPr>
            <w:r>
              <w:rPr>
                <w:b/>
                <w:sz w:val="18"/>
              </w:rPr>
              <w:t>-</w:t>
            </w:r>
            <w:r>
              <w:rPr>
                <w:b/>
                <w:sz w:val="18"/>
              </w:rPr>
              <w:tab/>
            </w:r>
            <w:r>
              <w:rPr>
                <w:sz w:val="18"/>
              </w:rPr>
              <w:t>-</w:t>
            </w:r>
          </w:p>
        </w:tc>
      </w:tr>
      <w:tr w:rsidR="00FA4AA8" w14:paraId="618686D0" w14:textId="77777777">
        <w:trPr>
          <w:trHeight w:val="562"/>
        </w:trPr>
        <w:tc>
          <w:tcPr>
            <w:tcW w:w="7372" w:type="dxa"/>
            <w:gridSpan w:val="2"/>
          </w:tcPr>
          <w:p w14:paraId="2BCA53D5" w14:textId="77777777" w:rsidR="00FA4AA8" w:rsidRDefault="00FA4AA8">
            <w:pPr>
              <w:pStyle w:val="TableParagraph"/>
              <w:spacing w:before="1"/>
              <w:rPr>
                <w:sz w:val="28"/>
              </w:rPr>
            </w:pPr>
          </w:p>
          <w:p w14:paraId="0BFED9CA" w14:textId="77777777" w:rsidR="00FA4AA8" w:rsidRDefault="0015611F">
            <w:pPr>
              <w:pStyle w:val="TableParagraph"/>
              <w:ind w:left="77"/>
              <w:rPr>
                <w:b/>
                <w:sz w:val="18"/>
              </w:rPr>
            </w:pPr>
            <w:r>
              <w:rPr>
                <w:b/>
                <w:sz w:val="18"/>
              </w:rPr>
              <w:t>Net increase / (decrease) in cash and cash equivalents held</w:t>
            </w:r>
          </w:p>
        </w:tc>
        <w:tc>
          <w:tcPr>
            <w:tcW w:w="2600" w:type="dxa"/>
            <w:gridSpan w:val="2"/>
            <w:tcBorders>
              <w:top w:val="single" w:sz="8" w:space="0" w:color="000000"/>
            </w:tcBorders>
          </w:tcPr>
          <w:p w14:paraId="4AF5D1D4" w14:textId="77777777" w:rsidR="00FA4AA8" w:rsidRDefault="00FA4AA8">
            <w:pPr>
              <w:pStyle w:val="TableParagraph"/>
              <w:spacing w:before="2"/>
              <w:rPr>
                <w:sz w:val="28"/>
              </w:rPr>
            </w:pPr>
          </w:p>
          <w:p w14:paraId="537F9BBD" w14:textId="77777777" w:rsidR="00FA4AA8" w:rsidRDefault="0015611F">
            <w:pPr>
              <w:pStyle w:val="TableParagraph"/>
              <w:tabs>
                <w:tab w:val="left" w:pos="1797"/>
              </w:tabs>
              <w:ind w:left="410"/>
              <w:rPr>
                <w:sz w:val="18"/>
              </w:rPr>
            </w:pPr>
            <w:r>
              <w:rPr>
                <w:b/>
                <w:sz w:val="18"/>
              </w:rPr>
              <w:t>1,352,863</w:t>
            </w:r>
            <w:r>
              <w:rPr>
                <w:b/>
                <w:sz w:val="18"/>
              </w:rPr>
              <w:tab/>
            </w:r>
            <w:r>
              <w:rPr>
                <w:sz w:val="18"/>
              </w:rPr>
              <w:t>(202,093)</w:t>
            </w:r>
          </w:p>
        </w:tc>
      </w:tr>
      <w:tr w:rsidR="00FA4AA8" w14:paraId="0ACCF3B9" w14:textId="77777777">
        <w:trPr>
          <w:trHeight w:val="260"/>
        </w:trPr>
        <w:tc>
          <w:tcPr>
            <w:tcW w:w="7372" w:type="dxa"/>
            <w:gridSpan w:val="2"/>
          </w:tcPr>
          <w:p w14:paraId="00EEBBA6" w14:textId="77777777" w:rsidR="00FA4AA8" w:rsidRDefault="0015611F">
            <w:pPr>
              <w:pStyle w:val="TableParagraph"/>
              <w:spacing w:before="25"/>
              <w:ind w:left="77"/>
              <w:rPr>
                <w:b/>
                <w:sz w:val="18"/>
              </w:rPr>
            </w:pPr>
            <w:r>
              <w:rPr>
                <w:b/>
                <w:sz w:val="18"/>
              </w:rPr>
              <w:t>Cash and cash equivalents at beginning of year</w:t>
            </w:r>
          </w:p>
        </w:tc>
        <w:tc>
          <w:tcPr>
            <w:tcW w:w="2600" w:type="dxa"/>
            <w:gridSpan w:val="2"/>
            <w:tcBorders>
              <w:bottom w:val="single" w:sz="8" w:space="0" w:color="000000"/>
            </w:tcBorders>
          </w:tcPr>
          <w:p w14:paraId="61A179DD" w14:textId="77777777" w:rsidR="00FA4AA8" w:rsidRDefault="0015611F">
            <w:pPr>
              <w:pStyle w:val="TableParagraph"/>
              <w:tabs>
                <w:tab w:val="left" w:pos="1707"/>
              </w:tabs>
              <w:spacing w:before="26"/>
              <w:ind w:left="560"/>
              <w:rPr>
                <w:sz w:val="18"/>
              </w:rPr>
            </w:pPr>
            <w:r>
              <w:rPr>
                <w:b/>
                <w:sz w:val="18"/>
              </w:rPr>
              <w:t>906,965</w:t>
            </w:r>
            <w:r>
              <w:rPr>
                <w:b/>
                <w:sz w:val="18"/>
              </w:rPr>
              <w:tab/>
            </w:r>
            <w:r>
              <w:rPr>
                <w:sz w:val="18"/>
              </w:rPr>
              <w:t>1,109,058</w:t>
            </w:r>
          </w:p>
        </w:tc>
      </w:tr>
      <w:tr w:rsidR="00FA4AA8" w14:paraId="5CCB86A2" w14:textId="77777777">
        <w:trPr>
          <w:trHeight w:val="367"/>
        </w:trPr>
        <w:tc>
          <w:tcPr>
            <w:tcW w:w="5583" w:type="dxa"/>
          </w:tcPr>
          <w:p w14:paraId="73AEB661" w14:textId="77777777" w:rsidR="00FA4AA8" w:rsidRDefault="0015611F">
            <w:pPr>
              <w:pStyle w:val="TableParagraph"/>
              <w:spacing w:before="18"/>
              <w:ind w:left="77"/>
              <w:rPr>
                <w:b/>
                <w:sz w:val="18"/>
              </w:rPr>
            </w:pPr>
            <w:r>
              <w:rPr>
                <w:b/>
                <w:sz w:val="18"/>
              </w:rPr>
              <w:t>Cash and cash equivalents at end of financial year</w:t>
            </w:r>
          </w:p>
        </w:tc>
        <w:tc>
          <w:tcPr>
            <w:tcW w:w="1789" w:type="dxa"/>
          </w:tcPr>
          <w:p w14:paraId="10978D98" w14:textId="77777777" w:rsidR="00FA4AA8" w:rsidRDefault="0015611F">
            <w:pPr>
              <w:pStyle w:val="TableParagraph"/>
              <w:spacing w:before="19"/>
              <w:ind w:right="235"/>
              <w:jc w:val="right"/>
              <w:rPr>
                <w:sz w:val="18"/>
              </w:rPr>
            </w:pPr>
            <w:r>
              <w:rPr>
                <w:sz w:val="18"/>
              </w:rPr>
              <w:t>5</w:t>
            </w:r>
          </w:p>
        </w:tc>
        <w:tc>
          <w:tcPr>
            <w:tcW w:w="1408" w:type="dxa"/>
          </w:tcPr>
          <w:p w14:paraId="211FB87E" w14:textId="77777777" w:rsidR="00FA4AA8" w:rsidRDefault="0015611F">
            <w:pPr>
              <w:pStyle w:val="TableParagraph"/>
              <w:spacing w:before="103"/>
              <w:ind w:right="197"/>
              <w:jc w:val="right"/>
              <w:rPr>
                <w:b/>
                <w:sz w:val="18"/>
              </w:rPr>
            </w:pPr>
            <w:r>
              <w:rPr>
                <w:b/>
                <w:sz w:val="18"/>
              </w:rPr>
              <w:t>2,259,828</w:t>
            </w:r>
          </w:p>
        </w:tc>
        <w:tc>
          <w:tcPr>
            <w:tcW w:w="1192" w:type="dxa"/>
          </w:tcPr>
          <w:p w14:paraId="58F57D0F" w14:textId="77777777" w:rsidR="00FA4AA8" w:rsidRDefault="0015611F">
            <w:pPr>
              <w:pStyle w:val="TableParagraph"/>
              <w:spacing w:before="103"/>
              <w:ind w:left="450"/>
              <w:rPr>
                <w:sz w:val="18"/>
              </w:rPr>
            </w:pPr>
            <w:r>
              <w:rPr>
                <w:sz w:val="18"/>
              </w:rPr>
              <w:t>906,965</w:t>
            </w:r>
          </w:p>
        </w:tc>
      </w:tr>
    </w:tbl>
    <w:p w14:paraId="06F8DB0F" w14:textId="77777777" w:rsidR="00FA4AA8" w:rsidRDefault="00FA4AA8">
      <w:pPr>
        <w:rPr>
          <w:sz w:val="18"/>
        </w:rPr>
        <w:sectPr w:rsidR="00FA4AA8">
          <w:pgSz w:w="11910" w:h="16840"/>
          <w:pgMar w:top="1720" w:right="840" w:bottom="1200" w:left="840" w:header="1017" w:footer="1017" w:gutter="0"/>
          <w:cols w:space="720"/>
        </w:sectPr>
      </w:pPr>
    </w:p>
    <w:p w14:paraId="13F878A3" w14:textId="77777777" w:rsidR="00FA4AA8" w:rsidRDefault="00FA4AA8">
      <w:pPr>
        <w:pStyle w:val="BodyText"/>
        <w:spacing w:before="6"/>
        <w:rPr>
          <w:sz w:val="21"/>
        </w:rPr>
      </w:pPr>
    </w:p>
    <w:p w14:paraId="3E38C2CE" w14:textId="77777777" w:rsidR="00FA4AA8" w:rsidRDefault="0015611F">
      <w:pPr>
        <w:pStyle w:val="Heading2"/>
      </w:pPr>
      <w:r>
        <w:t>Notes to the Financial Statements</w:t>
      </w:r>
    </w:p>
    <w:p w14:paraId="22963E84" w14:textId="77777777" w:rsidR="00FA4AA8" w:rsidRDefault="0015611F">
      <w:pPr>
        <w:pStyle w:val="Heading6"/>
        <w:spacing w:before="57"/>
        <w:ind w:left="167"/>
      </w:pPr>
      <w:r>
        <w:t>For the Year Ended 31 December 2018</w:t>
      </w:r>
    </w:p>
    <w:p w14:paraId="78E91415" w14:textId="77777777" w:rsidR="00FA4AA8" w:rsidRDefault="00FA4AA8">
      <w:pPr>
        <w:pStyle w:val="BodyText"/>
        <w:rPr>
          <w:b/>
          <w:sz w:val="24"/>
        </w:rPr>
      </w:pPr>
    </w:p>
    <w:p w14:paraId="20B46A6F" w14:textId="77777777" w:rsidR="00FA4AA8" w:rsidRDefault="00FA4AA8">
      <w:pPr>
        <w:pStyle w:val="BodyText"/>
        <w:rPr>
          <w:b/>
          <w:sz w:val="34"/>
        </w:rPr>
      </w:pPr>
    </w:p>
    <w:p w14:paraId="4463E117" w14:textId="77777777" w:rsidR="00FA4AA8" w:rsidRDefault="0015611F">
      <w:pPr>
        <w:tabs>
          <w:tab w:val="left" w:pos="563"/>
        </w:tabs>
        <w:ind w:left="169"/>
        <w:rPr>
          <w:b/>
          <w:sz w:val="18"/>
        </w:rPr>
      </w:pPr>
      <w:r>
        <w:rPr>
          <w:b/>
          <w:sz w:val="18"/>
        </w:rPr>
        <w:t>1</w:t>
      </w:r>
      <w:r>
        <w:rPr>
          <w:b/>
          <w:sz w:val="18"/>
        </w:rPr>
        <w:tab/>
        <w:t>Summary of Significant Accounting</w:t>
      </w:r>
      <w:r>
        <w:rPr>
          <w:b/>
          <w:spacing w:val="-1"/>
          <w:sz w:val="18"/>
        </w:rPr>
        <w:t xml:space="preserve"> </w:t>
      </w:r>
      <w:r>
        <w:rPr>
          <w:b/>
          <w:sz w:val="18"/>
        </w:rPr>
        <w:t>Policies</w:t>
      </w:r>
    </w:p>
    <w:p w14:paraId="46BF151C" w14:textId="77777777" w:rsidR="00FA4AA8" w:rsidRDefault="00FA4AA8">
      <w:pPr>
        <w:pStyle w:val="BodyText"/>
        <w:spacing w:before="11"/>
        <w:rPr>
          <w:b/>
          <w:sz w:val="24"/>
        </w:rPr>
      </w:pPr>
    </w:p>
    <w:p w14:paraId="2B99A046" w14:textId="77777777" w:rsidR="00FA4AA8" w:rsidRDefault="0015611F">
      <w:pPr>
        <w:pStyle w:val="BodyText"/>
        <w:ind w:left="565" w:right="91"/>
      </w:pPr>
      <w:r>
        <w:t xml:space="preserve">Western Sydney University </w:t>
      </w:r>
      <w:r w:rsidR="00A74DE7">
        <w:t>Enterprises</w:t>
      </w:r>
      <w:r>
        <w:t xml:space="preserve"> Pty Limited trading as Western Sydney University </w:t>
      </w:r>
      <w:r w:rsidR="00A74DE7">
        <w:t>the</w:t>
      </w:r>
      <w:r>
        <w:t xml:space="preserve"> College (the Company) is a registered Company limited by shares and is a not-for-profit controlled entity of Western Sydney University. Prior to 24 May 2017 the Company was known as UWS Enterprises Pty Limited. The Company is incorporated and domiciled in Australia.</w:t>
      </w:r>
    </w:p>
    <w:p w14:paraId="3FA673BF" w14:textId="77777777" w:rsidR="00FA4AA8" w:rsidRDefault="00FA4AA8">
      <w:pPr>
        <w:pStyle w:val="BodyText"/>
        <w:spacing w:before="10"/>
        <w:rPr>
          <w:sz w:val="24"/>
        </w:rPr>
      </w:pPr>
    </w:p>
    <w:p w14:paraId="6FB349D0" w14:textId="77777777" w:rsidR="00FA4AA8" w:rsidRDefault="0015611F">
      <w:pPr>
        <w:pStyle w:val="BodyText"/>
        <w:ind w:left="565"/>
      </w:pPr>
      <w:r>
        <w:t>The principal accounting policies adopted in the preparation of these financial statements are set out below. These policies have been consistently applied to all the years reported, unless otherwise stated.</w:t>
      </w:r>
    </w:p>
    <w:p w14:paraId="4C23B230" w14:textId="77777777" w:rsidR="00FA4AA8" w:rsidRDefault="00FA4AA8">
      <w:pPr>
        <w:pStyle w:val="BodyText"/>
        <w:spacing w:before="11"/>
        <w:rPr>
          <w:sz w:val="24"/>
        </w:rPr>
      </w:pPr>
    </w:p>
    <w:p w14:paraId="1077BE92" w14:textId="77777777" w:rsidR="00FA4AA8" w:rsidRDefault="0015611F">
      <w:pPr>
        <w:pStyle w:val="BodyText"/>
        <w:ind w:left="565"/>
      </w:pPr>
      <w:r>
        <w:t xml:space="preserve">The registered office of the Company is </w:t>
      </w:r>
      <w:r w:rsidR="00A74DE7">
        <w:t>Marimba</w:t>
      </w:r>
      <w:r>
        <w:t xml:space="preserve"> Education </w:t>
      </w:r>
      <w:r w:rsidR="00A74DE7">
        <w:t>Precinct</w:t>
      </w:r>
      <w:r>
        <w:t>, Eastern Road, Quakers Hill NSW 2763.</w:t>
      </w:r>
    </w:p>
    <w:p w14:paraId="5CD6A66D" w14:textId="77777777" w:rsidR="00FA4AA8" w:rsidRDefault="00FA4AA8">
      <w:pPr>
        <w:pStyle w:val="BodyText"/>
        <w:spacing w:before="11"/>
        <w:rPr>
          <w:sz w:val="24"/>
        </w:rPr>
      </w:pPr>
    </w:p>
    <w:p w14:paraId="31BB9710" w14:textId="77777777" w:rsidR="00FA4AA8" w:rsidRDefault="0015611F">
      <w:pPr>
        <w:numPr>
          <w:ilvl w:val="0"/>
          <w:numId w:val="11"/>
        </w:numPr>
        <w:tabs>
          <w:tab w:val="left" w:pos="1130"/>
          <w:tab w:val="left" w:pos="1131"/>
        </w:tabs>
        <w:rPr>
          <w:b/>
          <w:sz w:val="18"/>
        </w:rPr>
      </w:pPr>
      <w:r>
        <w:rPr>
          <w:b/>
          <w:sz w:val="18"/>
        </w:rPr>
        <w:t>Basis of</w:t>
      </w:r>
      <w:r>
        <w:rPr>
          <w:b/>
          <w:spacing w:val="-3"/>
          <w:sz w:val="18"/>
        </w:rPr>
        <w:t xml:space="preserve"> </w:t>
      </w:r>
      <w:r>
        <w:rPr>
          <w:b/>
          <w:sz w:val="18"/>
        </w:rPr>
        <w:t>Preparation</w:t>
      </w:r>
    </w:p>
    <w:p w14:paraId="049F1722" w14:textId="77777777" w:rsidR="00FA4AA8" w:rsidRDefault="00FA4AA8">
      <w:pPr>
        <w:pStyle w:val="BodyText"/>
        <w:rPr>
          <w:b/>
          <w:sz w:val="25"/>
        </w:rPr>
      </w:pPr>
    </w:p>
    <w:p w14:paraId="6647306B" w14:textId="77777777" w:rsidR="00FA4AA8" w:rsidRDefault="0015611F">
      <w:pPr>
        <w:ind w:left="1130"/>
        <w:rPr>
          <w:sz w:val="18"/>
        </w:rPr>
      </w:pPr>
      <w:r>
        <w:rPr>
          <w:sz w:val="18"/>
        </w:rPr>
        <w:t xml:space="preserve">The financial statements are general purpose financial statements which have been prepared in accordance with Australian Accounting Standards, Australian Accounting Interpretations, the </w:t>
      </w:r>
      <w:r>
        <w:rPr>
          <w:i/>
          <w:sz w:val="18"/>
        </w:rPr>
        <w:t>Corporations Act 2001</w:t>
      </w:r>
      <w:r>
        <w:rPr>
          <w:sz w:val="18"/>
        </w:rPr>
        <w:t xml:space="preserve">, the </w:t>
      </w:r>
      <w:r>
        <w:rPr>
          <w:i/>
          <w:sz w:val="18"/>
        </w:rPr>
        <w:t>Public Finance &amp; Audit Act 1983</w:t>
      </w:r>
      <w:r>
        <w:rPr>
          <w:sz w:val="18"/>
        </w:rPr>
        <w:t xml:space="preserve">, </w:t>
      </w:r>
      <w:r>
        <w:rPr>
          <w:i/>
          <w:sz w:val="18"/>
        </w:rPr>
        <w:t>Public Finance &amp; Audit Regulation 2015</w:t>
      </w:r>
      <w:r>
        <w:rPr>
          <w:sz w:val="18"/>
        </w:rPr>
        <w:t xml:space="preserve">, the </w:t>
      </w:r>
      <w:r>
        <w:rPr>
          <w:i/>
          <w:sz w:val="18"/>
        </w:rPr>
        <w:t xml:space="preserve">Australian Charities and Not-for profits Commission Act 2012 </w:t>
      </w:r>
      <w:r>
        <w:rPr>
          <w:sz w:val="18"/>
        </w:rPr>
        <w:t xml:space="preserve">and </w:t>
      </w:r>
      <w:r>
        <w:rPr>
          <w:i/>
          <w:sz w:val="18"/>
        </w:rPr>
        <w:t>Division 60 of the Regulation 201</w:t>
      </w:r>
      <w:r>
        <w:rPr>
          <w:sz w:val="18"/>
        </w:rPr>
        <w:t>3.</w:t>
      </w:r>
    </w:p>
    <w:p w14:paraId="54195422" w14:textId="77777777" w:rsidR="00FA4AA8" w:rsidRDefault="00FA4AA8">
      <w:pPr>
        <w:pStyle w:val="BodyText"/>
        <w:spacing w:before="10"/>
        <w:rPr>
          <w:sz w:val="24"/>
        </w:rPr>
      </w:pPr>
    </w:p>
    <w:p w14:paraId="6ABD7F54" w14:textId="77777777" w:rsidR="00FA4AA8" w:rsidRDefault="0015611F">
      <w:pPr>
        <w:pStyle w:val="BodyText"/>
        <w:ind w:left="1130"/>
      </w:pPr>
      <w:r>
        <w:t>These financial statements comply with Australian Accounting Standards - Reduced Disclosure Requirements as issued by the Australian Accounting Standards Board.</w:t>
      </w:r>
    </w:p>
    <w:p w14:paraId="02CAB7B3" w14:textId="77777777" w:rsidR="00FA4AA8" w:rsidRDefault="00FA4AA8">
      <w:pPr>
        <w:pStyle w:val="BodyText"/>
        <w:spacing w:before="10"/>
        <w:rPr>
          <w:sz w:val="24"/>
        </w:rPr>
      </w:pPr>
    </w:p>
    <w:p w14:paraId="35F5FD02" w14:textId="77777777" w:rsidR="00FA4AA8" w:rsidRDefault="0015611F">
      <w:pPr>
        <w:pStyle w:val="BodyText"/>
        <w:spacing w:before="1"/>
        <w:ind w:left="1130"/>
      </w:pPr>
      <w:bookmarkStart w:id="111" w:name="i._Critical_accounting_estimates_and_jud"/>
      <w:bookmarkEnd w:id="111"/>
      <w:r>
        <w:t>The financial statements have been prepared on an accrual basis and are based on historical costs, modified, where applicable, by the measurement at fair value of selected non-current assets, financial assets and financial liabilities.</w:t>
      </w:r>
    </w:p>
    <w:p w14:paraId="38F80B4C" w14:textId="77777777" w:rsidR="00FA4AA8" w:rsidRDefault="00FA4AA8">
      <w:pPr>
        <w:pStyle w:val="BodyText"/>
        <w:spacing w:before="10"/>
        <w:rPr>
          <w:sz w:val="24"/>
        </w:rPr>
      </w:pPr>
    </w:p>
    <w:p w14:paraId="1ED63DB9" w14:textId="77777777" w:rsidR="00FA4AA8" w:rsidRDefault="0015611F">
      <w:pPr>
        <w:pStyle w:val="BodyText"/>
        <w:ind w:left="1130"/>
      </w:pPr>
      <w:r>
        <w:t>The financial statements were authorised for issue by the Directors of the Company on 15 March 2019.</w:t>
      </w:r>
    </w:p>
    <w:p w14:paraId="1C0AB741" w14:textId="77777777" w:rsidR="00FA4AA8" w:rsidRDefault="00FA4AA8">
      <w:pPr>
        <w:pStyle w:val="BodyText"/>
        <w:rPr>
          <w:sz w:val="25"/>
        </w:rPr>
      </w:pPr>
    </w:p>
    <w:p w14:paraId="6224F24E" w14:textId="77777777" w:rsidR="00FA4AA8" w:rsidRDefault="0015611F">
      <w:pPr>
        <w:numPr>
          <w:ilvl w:val="1"/>
          <w:numId w:val="11"/>
        </w:numPr>
        <w:tabs>
          <w:tab w:val="left" w:pos="1527"/>
          <w:tab w:val="left" w:pos="1528"/>
        </w:tabs>
        <w:rPr>
          <w:b/>
          <w:sz w:val="18"/>
        </w:rPr>
      </w:pPr>
      <w:r>
        <w:rPr>
          <w:b/>
          <w:sz w:val="18"/>
        </w:rPr>
        <w:t>Critical accounting estimates and</w:t>
      </w:r>
      <w:r>
        <w:rPr>
          <w:b/>
          <w:spacing w:val="-6"/>
          <w:sz w:val="18"/>
        </w:rPr>
        <w:t xml:space="preserve"> </w:t>
      </w:r>
      <w:r>
        <w:rPr>
          <w:b/>
          <w:sz w:val="18"/>
        </w:rPr>
        <w:t>judgements</w:t>
      </w:r>
    </w:p>
    <w:p w14:paraId="3E70954B" w14:textId="77777777" w:rsidR="00FA4AA8" w:rsidRDefault="00FA4AA8">
      <w:pPr>
        <w:pStyle w:val="BodyText"/>
        <w:rPr>
          <w:b/>
          <w:sz w:val="25"/>
        </w:rPr>
      </w:pPr>
    </w:p>
    <w:p w14:paraId="001C3ADD" w14:textId="77777777" w:rsidR="00FA4AA8" w:rsidRDefault="0015611F">
      <w:pPr>
        <w:pStyle w:val="BodyText"/>
        <w:ind w:left="1130" w:right="256"/>
      </w:pPr>
      <w:bookmarkStart w:id="112" w:name="ii._Foreign_currency_transactions_and_ba"/>
      <w:bookmarkEnd w:id="112"/>
      <w:r>
        <w:t>The preparation of financial statements in conformity with Australian Accounting Standards requires the use of certain critical accounting estimates. It also requires management to exercise its judgement in the process of applying the Company's accounting policies. The estimates and underlying assumptions are reviewed on an ongoing basis. All significant estimates or assumptions made in preparation of the financial statements have been explained in the accounting policy notes or subsequent notes.</w:t>
      </w:r>
    </w:p>
    <w:p w14:paraId="560AD0E1" w14:textId="77777777" w:rsidR="00FA4AA8" w:rsidRDefault="00FA4AA8">
      <w:pPr>
        <w:pStyle w:val="BodyText"/>
        <w:spacing w:before="9"/>
        <w:rPr>
          <w:sz w:val="24"/>
        </w:rPr>
      </w:pPr>
    </w:p>
    <w:p w14:paraId="77FC221A" w14:textId="77777777" w:rsidR="00FA4AA8" w:rsidRDefault="0015611F">
      <w:pPr>
        <w:numPr>
          <w:ilvl w:val="1"/>
          <w:numId w:val="11"/>
        </w:numPr>
        <w:tabs>
          <w:tab w:val="left" w:pos="1527"/>
          <w:tab w:val="left" w:pos="1528"/>
        </w:tabs>
        <w:rPr>
          <w:b/>
          <w:sz w:val="18"/>
        </w:rPr>
      </w:pPr>
      <w:bookmarkStart w:id="113" w:name="(b)_Principles_of_Consolidation_"/>
      <w:bookmarkEnd w:id="113"/>
      <w:r>
        <w:rPr>
          <w:b/>
          <w:sz w:val="18"/>
        </w:rPr>
        <w:t>Foreign currency transactions and</w:t>
      </w:r>
      <w:r>
        <w:rPr>
          <w:b/>
          <w:spacing w:val="-5"/>
          <w:sz w:val="18"/>
        </w:rPr>
        <w:t xml:space="preserve"> </w:t>
      </w:r>
      <w:r>
        <w:rPr>
          <w:b/>
          <w:sz w:val="18"/>
        </w:rPr>
        <w:t>balances</w:t>
      </w:r>
    </w:p>
    <w:p w14:paraId="1EB529EC" w14:textId="77777777" w:rsidR="00FA4AA8" w:rsidRDefault="00FA4AA8">
      <w:pPr>
        <w:pStyle w:val="BodyText"/>
        <w:rPr>
          <w:b/>
          <w:sz w:val="25"/>
        </w:rPr>
      </w:pPr>
    </w:p>
    <w:p w14:paraId="2715FA8F" w14:textId="77777777" w:rsidR="00FA4AA8" w:rsidRDefault="0015611F">
      <w:pPr>
        <w:pStyle w:val="BodyText"/>
        <w:ind w:left="1130" w:right="256"/>
      </w:pPr>
      <w:r>
        <w:t>The functional currency of the Company is measured using the currency of the primary economic environment which is Australian dollars. The financial statements are presented in Australian dollars which is the parent entity's functional and presentation currency.</w:t>
      </w:r>
    </w:p>
    <w:p w14:paraId="1139FFCB" w14:textId="77777777" w:rsidR="00FA4AA8" w:rsidRDefault="00FA4AA8">
      <w:pPr>
        <w:pStyle w:val="BodyText"/>
        <w:spacing w:before="10"/>
        <w:rPr>
          <w:sz w:val="24"/>
        </w:rPr>
      </w:pPr>
    </w:p>
    <w:p w14:paraId="7916B8ED" w14:textId="77777777" w:rsidR="00FA4AA8" w:rsidRDefault="0015611F">
      <w:pPr>
        <w:numPr>
          <w:ilvl w:val="0"/>
          <w:numId w:val="11"/>
        </w:numPr>
        <w:tabs>
          <w:tab w:val="left" w:pos="1130"/>
          <w:tab w:val="left" w:pos="1131"/>
        </w:tabs>
        <w:spacing w:line="573" w:lineRule="auto"/>
        <w:ind w:left="1131" w:right="6759" w:hanging="568"/>
        <w:rPr>
          <w:b/>
          <w:sz w:val="18"/>
        </w:rPr>
      </w:pPr>
      <w:r>
        <w:rPr>
          <w:b/>
          <w:sz w:val="18"/>
        </w:rPr>
        <w:t xml:space="preserve">Principles of </w:t>
      </w:r>
      <w:r>
        <w:rPr>
          <w:b/>
          <w:spacing w:val="-2"/>
          <w:sz w:val="18"/>
        </w:rPr>
        <w:t xml:space="preserve">Consolidation </w:t>
      </w:r>
      <w:r>
        <w:rPr>
          <w:b/>
          <w:sz w:val="18"/>
        </w:rPr>
        <w:t>Joint</w:t>
      </w:r>
      <w:r>
        <w:rPr>
          <w:b/>
          <w:spacing w:val="-2"/>
          <w:sz w:val="18"/>
        </w:rPr>
        <w:t xml:space="preserve"> </w:t>
      </w:r>
      <w:r>
        <w:rPr>
          <w:b/>
          <w:sz w:val="18"/>
        </w:rPr>
        <w:t>Arrangements</w:t>
      </w:r>
    </w:p>
    <w:p w14:paraId="77C1666A" w14:textId="77777777" w:rsidR="00FA4AA8" w:rsidRDefault="0015611F">
      <w:pPr>
        <w:pStyle w:val="BodyText"/>
        <w:ind w:left="1130" w:right="125"/>
      </w:pPr>
      <w:r>
        <w:t>The Company determined that the Joint Arrangement with Navitas Ltd for the establishment of the Western Sydney University International College Pty Ltd ("the International College") is a Joint Venture equally controlled by the Company and Navitas Ltd.</w:t>
      </w:r>
    </w:p>
    <w:p w14:paraId="5182D656" w14:textId="77777777" w:rsidR="00FA4AA8" w:rsidRDefault="00FA4AA8">
      <w:pPr>
        <w:pStyle w:val="BodyText"/>
        <w:spacing w:before="10"/>
        <w:rPr>
          <w:sz w:val="24"/>
        </w:rPr>
      </w:pPr>
    </w:p>
    <w:p w14:paraId="23657564" w14:textId="77777777" w:rsidR="00FA4AA8" w:rsidRDefault="0015611F">
      <w:pPr>
        <w:pStyle w:val="BodyText"/>
        <w:ind w:left="1130" w:right="125"/>
      </w:pPr>
      <w:r>
        <w:t>The Company's interest in the Joint Venture is accounted for in the financial statements using the equity method in accordance with AASB 11 Joint Arrangements. Details of equity accounted investments are set out in note 3.</w:t>
      </w:r>
    </w:p>
    <w:p w14:paraId="06553022" w14:textId="77777777" w:rsidR="00FA4AA8" w:rsidRDefault="00FA4AA8">
      <w:pPr>
        <w:sectPr w:rsidR="00FA4AA8">
          <w:headerReference w:type="default" r:id="rId90"/>
          <w:footerReference w:type="default" r:id="rId91"/>
          <w:pgSz w:w="11910" w:h="16840"/>
          <w:pgMar w:top="1720" w:right="840" w:bottom="720" w:left="840" w:header="1017" w:footer="523" w:gutter="0"/>
          <w:pgNumType w:start="98"/>
          <w:cols w:space="720"/>
        </w:sectPr>
      </w:pPr>
    </w:p>
    <w:p w14:paraId="0D2441AD" w14:textId="77777777" w:rsidR="00FA4AA8" w:rsidRDefault="00FA4AA8">
      <w:pPr>
        <w:pStyle w:val="BodyText"/>
        <w:spacing w:before="6"/>
        <w:rPr>
          <w:sz w:val="21"/>
        </w:rPr>
      </w:pPr>
    </w:p>
    <w:p w14:paraId="42F83B9A" w14:textId="77777777" w:rsidR="00FA4AA8" w:rsidRDefault="0015611F">
      <w:pPr>
        <w:pStyle w:val="Heading2"/>
      </w:pPr>
      <w:r>
        <w:t>Notes to the Financial Statements</w:t>
      </w:r>
    </w:p>
    <w:p w14:paraId="48134DCC" w14:textId="77777777" w:rsidR="00FA4AA8" w:rsidRDefault="0015611F">
      <w:pPr>
        <w:pStyle w:val="Heading6"/>
        <w:spacing w:before="57"/>
        <w:ind w:left="167"/>
      </w:pPr>
      <w:bookmarkStart w:id="114" w:name="(c)_Income_Tax_"/>
      <w:bookmarkEnd w:id="114"/>
      <w:r>
        <w:t>For the Year Ended 31 December 2018</w:t>
      </w:r>
    </w:p>
    <w:p w14:paraId="279C768F" w14:textId="77777777" w:rsidR="00FA4AA8" w:rsidRDefault="00FA4AA8">
      <w:pPr>
        <w:pStyle w:val="BodyText"/>
        <w:rPr>
          <w:b/>
          <w:sz w:val="24"/>
        </w:rPr>
      </w:pPr>
    </w:p>
    <w:p w14:paraId="387D118F" w14:textId="77777777" w:rsidR="00FA4AA8" w:rsidRDefault="00FA4AA8">
      <w:pPr>
        <w:pStyle w:val="BodyText"/>
        <w:rPr>
          <w:b/>
          <w:sz w:val="34"/>
        </w:rPr>
      </w:pPr>
    </w:p>
    <w:p w14:paraId="31176AF9" w14:textId="77777777" w:rsidR="00FA4AA8" w:rsidRDefault="0015611F">
      <w:pPr>
        <w:tabs>
          <w:tab w:val="left" w:pos="563"/>
        </w:tabs>
        <w:ind w:left="169"/>
        <w:rPr>
          <w:b/>
          <w:sz w:val="18"/>
        </w:rPr>
      </w:pPr>
      <w:r>
        <w:rPr>
          <w:b/>
          <w:sz w:val="18"/>
        </w:rPr>
        <w:t>1</w:t>
      </w:r>
      <w:r>
        <w:rPr>
          <w:b/>
          <w:sz w:val="18"/>
        </w:rPr>
        <w:tab/>
        <w:t>Summary of Significant Accounting Policies</w:t>
      </w:r>
      <w:r>
        <w:rPr>
          <w:b/>
          <w:spacing w:val="-1"/>
          <w:sz w:val="18"/>
        </w:rPr>
        <w:t xml:space="preserve"> </w:t>
      </w:r>
      <w:r>
        <w:rPr>
          <w:b/>
          <w:sz w:val="18"/>
        </w:rPr>
        <w:t>(continued)</w:t>
      </w:r>
    </w:p>
    <w:p w14:paraId="6A6FABFE" w14:textId="77777777" w:rsidR="00FA4AA8" w:rsidRDefault="00FA4AA8">
      <w:pPr>
        <w:pStyle w:val="BodyText"/>
        <w:spacing w:before="11"/>
        <w:rPr>
          <w:b/>
          <w:sz w:val="24"/>
        </w:rPr>
      </w:pPr>
    </w:p>
    <w:p w14:paraId="592631CC" w14:textId="77777777" w:rsidR="00FA4AA8" w:rsidRDefault="0015611F">
      <w:pPr>
        <w:pStyle w:val="ListParagraph"/>
        <w:numPr>
          <w:ilvl w:val="0"/>
          <w:numId w:val="11"/>
        </w:numPr>
        <w:tabs>
          <w:tab w:val="left" w:pos="1130"/>
          <w:tab w:val="left" w:pos="1131"/>
        </w:tabs>
        <w:rPr>
          <w:b/>
          <w:sz w:val="18"/>
        </w:rPr>
      </w:pPr>
      <w:r>
        <w:rPr>
          <w:b/>
          <w:sz w:val="18"/>
        </w:rPr>
        <w:t>Income Tax</w:t>
      </w:r>
    </w:p>
    <w:p w14:paraId="295148FC" w14:textId="77777777" w:rsidR="00FA4AA8" w:rsidRDefault="00FA4AA8">
      <w:pPr>
        <w:pStyle w:val="BodyText"/>
        <w:rPr>
          <w:b/>
          <w:sz w:val="25"/>
        </w:rPr>
      </w:pPr>
    </w:p>
    <w:p w14:paraId="2E69B846" w14:textId="77777777" w:rsidR="00FA4AA8" w:rsidRDefault="0015611F">
      <w:pPr>
        <w:pStyle w:val="BodyText"/>
        <w:ind w:left="1130"/>
      </w:pPr>
      <w:r>
        <w:t xml:space="preserve">The Company is exempt from the payment of tax by virtue of section 50-5 of the </w:t>
      </w:r>
      <w:r>
        <w:rPr>
          <w:i/>
        </w:rPr>
        <w:t>Income Tax Assessment Act 1997</w:t>
      </w:r>
      <w:r>
        <w:t>. Accordingly, no provision for income tax liability or future income tax benefit has been included in the accounts.</w:t>
      </w:r>
    </w:p>
    <w:p w14:paraId="28CF2F45" w14:textId="77777777" w:rsidR="00FA4AA8" w:rsidRDefault="00FA4AA8">
      <w:pPr>
        <w:pStyle w:val="BodyText"/>
        <w:spacing w:before="10"/>
        <w:rPr>
          <w:sz w:val="24"/>
        </w:rPr>
      </w:pPr>
    </w:p>
    <w:p w14:paraId="2F553BBD" w14:textId="77777777" w:rsidR="00FA4AA8" w:rsidRDefault="0015611F">
      <w:pPr>
        <w:numPr>
          <w:ilvl w:val="0"/>
          <w:numId w:val="11"/>
        </w:numPr>
        <w:tabs>
          <w:tab w:val="left" w:pos="1130"/>
          <w:tab w:val="left" w:pos="1131"/>
        </w:tabs>
        <w:rPr>
          <w:b/>
          <w:sz w:val="18"/>
        </w:rPr>
      </w:pPr>
      <w:r>
        <w:rPr>
          <w:b/>
          <w:sz w:val="18"/>
        </w:rPr>
        <w:t>Goods and Services Tax</w:t>
      </w:r>
      <w:r>
        <w:rPr>
          <w:b/>
          <w:spacing w:val="-1"/>
          <w:sz w:val="18"/>
        </w:rPr>
        <w:t xml:space="preserve"> </w:t>
      </w:r>
      <w:r>
        <w:rPr>
          <w:b/>
          <w:sz w:val="18"/>
        </w:rPr>
        <w:t>(GST)</w:t>
      </w:r>
    </w:p>
    <w:p w14:paraId="73E19B0C" w14:textId="77777777" w:rsidR="00FA4AA8" w:rsidRDefault="00FA4AA8">
      <w:pPr>
        <w:pStyle w:val="BodyText"/>
        <w:rPr>
          <w:b/>
          <w:sz w:val="25"/>
        </w:rPr>
      </w:pPr>
    </w:p>
    <w:p w14:paraId="31060FF3" w14:textId="77777777" w:rsidR="00FA4AA8" w:rsidRDefault="0015611F">
      <w:pPr>
        <w:pStyle w:val="BodyText"/>
        <w:ind w:left="1130" w:right="156"/>
      </w:pPr>
      <w:r>
        <w:t>Revenues, expenses and assets are recognised net of the amount of GST, except where the amount of GST incurred is not recoverable from the Australian Tax Office. In these circumstances the GST is recognised as part of the cost of acquisition of the asset or as part of an item of the expense. Receivables and payables in the statement of financial position are shown inclusive of GST.</w:t>
      </w:r>
    </w:p>
    <w:p w14:paraId="509EA907" w14:textId="77777777" w:rsidR="00FA4AA8" w:rsidRDefault="00FA4AA8">
      <w:pPr>
        <w:pStyle w:val="BodyText"/>
        <w:spacing w:before="10"/>
        <w:rPr>
          <w:sz w:val="24"/>
        </w:rPr>
      </w:pPr>
    </w:p>
    <w:p w14:paraId="71C763E1" w14:textId="77777777" w:rsidR="00FA4AA8" w:rsidRDefault="0015611F">
      <w:pPr>
        <w:pStyle w:val="BodyText"/>
        <w:ind w:left="1130" w:right="201"/>
      </w:pPr>
      <w:r>
        <w:t>Cash flows are presented on a gross basis. The GST components of cash flows arising from investing or financing activities, which are recoverable from, or payable to the taxation authority, are presented as operating cash flows.</w:t>
      </w:r>
    </w:p>
    <w:p w14:paraId="094FB5FD" w14:textId="77777777" w:rsidR="00FA4AA8" w:rsidRDefault="00FA4AA8">
      <w:pPr>
        <w:pStyle w:val="BodyText"/>
        <w:spacing w:before="10"/>
        <w:rPr>
          <w:sz w:val="24"/>
        </w:rPr>
      </w:pPr>
    </w:p>
    <w:p w14:paraId="52055924" w14:textId="77777777" w:rsidR="00FA4AA8" w:rsidRDefault="0015611F">
      <w:pPr>
        <w:pStyle w:val="BodyText"/>
        <w:ind w:left="1130"/>
      </w:pPr>
      <w:r>
        <w:t>The Company is grouped with the parent entity for GST purposes and therefore the net GST receivable or GST payable is not reflected within these statements.</w:t>
      </w:r>
    </w:p>
    <w:p w14:paraId="323996B1" w14:textId="77777777" w:rsidR="00FA4AA8" w:rsidRDefault="00FA4AA8">
      <w:pPr>
        <w:pStyle w:val="BodyText"/>
        <w:spacing w:before="11"/>
        <w:rPr>
          <w:sz w:val="24"/>
        </w:rPr>
      </w:pPr>
    </w:p>
    <w:p w14:paraId="6656CB42" w14:textId="77777777" w:rsidR="00FA4AA8" w:rsidRDefault="0015611F">
      <w:pPr>
        <w:numPr>
          <w:ilvl w:val="0"/>
          <w:numId w:val="11"/>
        </w:numPr>
        <w:tabs>
          <w:tab w:val="left" w:pos="1130"/>
          <w:tab w:val="left" w:pos="1131"/>
        </w:tabs>
        <w:spacing w:line="595" w:lineRule="auto"/>
        <w:ind w:right="4607"/>
        <w:rPr>
          <w:b/>
          <w:sz w:val="18"/>
        </w:rPr>
      </w:pPr>
      <w:r>
        <w:rPr>
          <w:b/>
          <w:sz w:val="18"/>
        </w:rPr>
        <w:t xml:space="preserve">Initial application of Australian Accounting Standard </w:t>
      </w:r>
      <w:r>
        <w:rPr>
          <w:b/>
          <w:spacing w:val="-4"/>
          <w:sz w:val="18"/>
        </w:rPr>
        <w:t xml:space="preserve">AASB </w:t>
      </w:r>
      <w:r>
        <w:rPr>
          <w:b/>
          <w:sz w:val="18"/>
        </w:rPr>
        <w:t>9 Financial</w:t>
      </w:r>
      <w:r>
        <w:rPr>
          <w:b/>
          <w:spacing w:val="4"/>
          <w:sz w:val="18"/>
        </w:rPr>
        <w:t xml:space="preserve"> </w:t>
      </w:r>
      <w:r>
        <w:rPr>
          <w:b/>
          <w:sz w:val="18"/>
        </w:rPr>
        <w:t>Instruments</w:t>
      </w:r>
    </w:p>
    <w:p w14:paraId="2AC07D57" w14:textId="77777777" w:rsidR="00FA4AA8" w:rsidRDefault="0015611F">
      <w:pPr>
        <w:spacing w:line="193" w:lineRule="exact"/>
        <w:ind w:left="1130"/>
        <w:rPr>
          <w:sz w:val="18"/>
        </w:rPr>
      </w:pPr>
      <w:r>
        <w:rPr>
          <w:sz w:val="18"/>
        </w:rPr>
        <w:t xml:space="preserve">AASB9 </w:t>
      </w:r>
      <w:r>
        <w:rPr>
          <w:i/>
          <w:sz w:val="18"/>
        </w:rPr>
        <w:t xml:space="preserve">Financial Instruments </w:t>
      </w:r>
      <w:r>
        <w:rPr>
          <w:sz w:val="18"/>
        </w:rPr>
        <w:t xml:space="preserve">replaces AASB139 </w:t>
      </w:r>
      <w:r>
        <w:rPr>
          <w:i/>
          <w:sz w:val="18"/>
        </w:rPr>
        <w:t xml:space="preserve">Financial Instruments: Recognition and Measurement </w:t>
      </w:r>
      <w:r>
        <w:rPr>
          <w:sz w:val="18"/>
        </w:rPr>
        <w:t>for</w:t>
      </w:r>
    </w:p>
    <w:p w14:paraId="35954EB1" w14:textId="77777777" w:rsidR="00FA4AA8" w:rsidRDefault="0015611F">
      <w:pPr>
        <w:pStyle w:val="BodyText"/>
        <w:ind w:left="1130"/>
      </w:pPr>
      <w:r>
        <w:t>annual periods beginning on or after 1 January 2018, bringing together all three aspects of the accounting for financial instruments: classification and measurement, impairment and hedge accounting.</w:t>
      </w:r>
    </w:p>
    <w:p w14:paraId="3BF8BF35" w14:textId="77777777" w:rsidR="00FA4AA8" w:rsidRDefault="00FA4AA8">
      <w:pPr>
        <w:pStyle w:val="BodyText"/>
        <w:spacing w:before="11"/>
        <w:rPr>
          <w:sz w:val="24"/>
        </w:rPr>
      </w:pPr>
    </w:p>
    <w:p w14:paraId="50CC251A" w14:textId="77777777" w:rsidR="00FA4AA8" w:rsidRDefault="0015611F">
      <w:pPr>
        <w:pStyle w:val="BodyText"/>
        <w:ind w:left="1130" w:right="256"/>
      </w:pPr>
      <w:r>
        <w:t>The Company applied AASB9 retrospectively, with an initial application date of 1 January 2018. The Company has not restated the comparative information, which continues to be reported under AASB139.</w:t>
      </w:r>
    </w:p>
    <w:p w14:paraId="42B82FE9" w14:textId="77777777" w:rsidR="00FA4AA8" w:rsidRDefault="00FA4AA8">
      <w:pPr>
        <w:pStyle w:val="BodyText"/>
        <w:spacing w:before="10"/>
        <w:rPr>
          <w:sz w:val="24"/>
        </w:rPr>
      </w:pPr>
    </w:p>
    <w:p w14:paraId="2F12D2D7" w14:textId="77777777" w:rsidR="00FA4AA8" w:rsidRDefault="0015611F">
      <w:pPr>
        <w:pStyle w:val="BodyText"/>
        <w:spacing w:before="1"/>
        <w:ind w:left="1130"/>
      </w:pPr>
      <w:r>
        <w:t>The nature and effect of the changes as a result of adoption of AASB9 are described as follows:</w:t>
      </w:r>
    </w:p>
    <w:p w14:paraId="002F49BE" w14:textId="77777777" w:rsidR="00FA4AA8" w:rsidRDefault="00FA4AA8">
      <w:pPr>
        <w:pStyle w:val="BodyText"/>
        <w:spacing w:before="11"/>
        <w:rPr>
          <w:sz w:val="24"/>
        </w:rPr>
      </w:pPr>
    </w:p>
    <w:p w14:paraId="312CA403" w14:textId="77777777" w:rsidR="00FA4AA8" w:rsidRDefault="0015611F">
      <w:pPr>
        <w:ind w:left="1131"/>
        <w:rPr>
          <w:b/>
          <w:sz w:val="18"/>
        </w:rPr>
      </w:pPr>
      <w:r>
        <w:rPr>
          <w:b/>
          <w:sz w:val="18"/>
        </w:rPr>
        <w:t>Impairment</w:t>
      </w:r>
    </w:p>
    <w:p w14:paraId="189CE474" w14:textId="77777777" w:rsidR="00FA4AA8" w:rsidRDefault="00FA4AA8">
      <w:pPr>
        <w:pStyle w:val="BodyText"/>
        <w:rPr>
          <w:b/>
          <w:sz w:val="25"/>
        </w:rPr>
      </w:pPr>
    </w:p>
    <w:p w14:paraId="55F50471" w14:textId="77777777" w:rsidR="00FA4AA8" w:rsidRDefault="0015611F">
      <w:pPr>
        <w:pStyle w:val="BodyText"/>
        <w:ind w:left="1130" w:right="201"/>
      </w:pPr>
      <w:r>
        <w:t>The adoption of AASB9 has changed the Company’s accounting for impairment losses for financial assets by replacing AASB139’s incurred loss approach with a forward-looking expected credit loss (ECL) approach. Refer to note 6 for details.</w:t>
      </w:r>
    </w:p>
    <w:p w14:paraId="33B835C6" w14:textId="77777777" w:rsidR="00FA4AA8" w:rsidRDefault="00FA4AA8">
      <w:pPr>
        <w:sectPr w:rsidR="00FA4AA8">
          <w:pgSz w:w="11910" w:h="16840"/>
          <w:pgMar w:top="1720" w:right="840" w:bottom="720" w:left="840" w:header="1017" w:footer="523" w:gutter="0"/>
          <w:cols w:space="720"/>
        </w:sectPr>
      </w:pPr>
    </w:p>
    <w:p w14:paraId="3CF3B4C9" w14:textId="77777777" w:rsidR="00FA4AA8" w:rsidRDefault="00FA4AA8">
      <w:pPr>
        <w:pStyle w:val="BodyText"/>
        <w:spacing w:before="6"/>
        <w:rPr>
          <w:sz w:val="21"/>
        </w:rPr>
      </w:pPr>
    </w:p>
    <w:p w14:paraId="6C6B6446" w14:textId="77777777" w:rsidR="00FA4AA8" w:rsidRDefault="0015611F">
      <w:pPr>
        <w:pStyle w:val="Heading2"/>
      </w:pPr>
      <w:r>
        <w:t>Notes to the Financial Statements</w:t>
      </w:r>
    </w:p>
    <w:p w14:paraId="6EF2C8CA" w14:textId="77777777" w:rsidR="00FA4AA8" w:rsidRDefault="0015611F">
      <w:pPr>
        <w:pStyle w:val="Heading6"/>
        <w:spacing w:before="57"/>
        <w:ind w:left="167"/>
      </w:pPr>
      <w:bookmarkStart w:id="115" w:name="(f)_Comparative_Amounts_"/>
      <w:bookmarkEnd w:id="115"/>
      <w:r>
        <w:t>For the Year Ended 31 December 2018</w:t>
      </w:r>
    </w:p>
    <w:p w14:paraId="730DD4DB" w14:textId="77777777" w:rsidR="00FA4AA8" w:rsidRDefault="00FA4AA8">
      <w:pPr>
        <w:pStyle w:val="BodyText"/>
        <w:rPr>
          <w:b/>
          <w:sz w:val="24"/>
        </w:rPr>
      </w:pPr>
    </w:p>
    <w:p w14:paraId="74ABCFEA" w14:textId="77777777" w:rsidR="00FA4AA8" w:rsidRDefault="00FA4AA8">
      <w:pPr>
        <w:pStyle w:val="BodyText"/>
        <w:rPr>
          <w:b/>
          <w:sz w:val="34"/>
        </w:rPr>
      </w:pPr>
    </w:p>
    <w:p w14:paraId="7E5435AC" w14:textId="77777777" w:rsidR="00FA4AA8" w:rsidRDefault="0015611F">
      <w:pPr>
        <w:tabs>
          <w:tab w:val="left" w:pos="563"/>
        </w:tabs>
        <w:ind w:left="169"/>
        <w:rPr>
          <w:b/>
          <w:sz w:val="18"/>
        </w:rPr>
      </w:pPr>
      <w:r>
        <w:rPr>
          <w:b/>
          <w:sz w:val="18"/>
        </w:rPr>
        <w:t>1</w:t>
      </w:r>
      <w:r>
        <w:rPr>
          <w:b/>
          <w:sz w:val="18"/>
        </w:rPr>
        <w:tab/>
        <w:t>Summary of Significant Accounting Policies</w:t>
      </w:r>
      <w:r>
        <w:rPr>
          <w:b/>
          <w:spacing w:val="-1"/>
          <w:sz w:val="18"/>
        </w:rPr>
        <w:t xml:space="preserve"> </w:t>
      </w:r>
      <w:r>
        <w:rPr>
          <w:b/>
          <w:sz w:val="18"/>
        </w:rPr>
        <w:t>(continued)</w:t>
      </w:r>
    </w:p>
    <w:p w14:paraId="7F9BF673" w14:textId="77777777" w:rsidR="00FA4AA8" w:rsidRDefault="00FA4AA8">
      <w:pPr>
        <w:pStyle w:val="BodyText"/>
        <w:spacing w:before="11"/>
        <w:rPr>
          <w:b/>
          <w:sz w:val="24"/>
        </w:rPr>
      </w:pPr>
    </w:p>
    <w:p w14:paraId="1D4A9A6F" w14:textId="77777777" w:rsidR="00FA4AA8" w:rsidRDefault="0015611F">
      <w:pPr>
        <w:pStyle w:val="ListParagraph"/>
        <w:numPr>
          <w:ilvl w:val="0"/>
          <w:numId w:val="11"/>
        </w:numPr>
        <w:tabs>
          <w:tab w:val="left" w:pos="1130"/>
          <w:tab w:val="left" w:pos="1131"/>
        </w:tabs>
        <w:rPr>
          <w:b/>
          <w:sz w:val="18"/>
        </w:rPr>
      </w:pPr>
      <w:r>
        <w:rPr>
          <w:b/>
          <w:sz w:val="18"/>
        </w:rPr>
        <w:t>Comparative</w:t>
      </w:r>
      <w:r>
        <w:rPr>
          <w:b/>
          <w:spacing w:val="-2"/>
          <w:sz w:val="18"/>
        </w:rPr>
        <w:t xml:space="preserve"> </w:t>
      </w:r>
      <w:r>
        <w:rPr>
          <w:b/>
          <w:sz w:val="18"/>
        </w:rPr>
        <w:t>Amounts</w:t>
      </w:r>
    </w:p>
    <w:p w14:paraId="52134327" w14:textId="77777777" w:rsidR="00FA4AA8" w:rsidRDefault="00FA4AA8">
      <w:pPr>
        <w:pStyle w:val="BodyText"/>
        <w:rPr>
          <w:b/>
          <w:sz w:val="25"/>
        </w:rPr>
      </w:pPr>
    </w:p>
    <w:p w14:paraId="48041D2A" w14:textId="77777777" w:rsidR="00FA4AA8" w:rsidRDefault="0015611F">
      <w:pPr>
        <w:pStyle w:val="BodyText"/>
        <w:ind w:left="1130"/>
      </w:pPr>
      <w:r>
        <w:t>When required by Accounting Standards, comparative figures have been adjusted to conform to changes in presentation for the current financial year.</w:t>
      </w:r>
    </w:p>
    <w:p w14:paraId="60DFA09C" w14:textId="77777777" w:rsidR="00FA4AA8" w:rsidRDefault="00FA4AA8">
      <w:pPr>
        <w:pStyle w:val="BodyText"/>
        <w:spacing w:before="11"/>
        <w:rPr>
          <w:sz w:val="24"/>
        </w:rPr>
      </w:pPr>
    </w:p>
    <w:p w14:paraId="7E215E07" w14:textId="77777777" w:rsidR="00FA4AA8" w:rsidRDefault="0015611F">
      <w:pPr>
        <w:pStyle w:val="BodyText"/>
        <w:ind w:left="1130"/>
      </w:pPr>
      <w:r>
        <w:t>The following items have been adjusted to conform with the current year's presentation.</w:t>
      </w:r>
    </w:p>
    <w:p w14:paraId="61213F2F" w14:textId="77777777" w:rsidR="00FA4AA8" w:rsidRDefault="00FA4AA8">
      <w:pPr>
        <w:pStyle w:val="BodyText"/>
        <w:rPr>
          <w:sz w:val="20"/>
        </w:rPr>
      </w:pPr>
    </w:p>
    <w:p w14:paraId="5381C5AA" w14:textId="77777777" w:rsidR="00FA4AA8" w:rsidRDefault="00FA4AA8">
      <w:pPr>
        <w:pStyle w:val="BodyText"/>
        <w:spacing w:before="4"/>
        <w:rPr>
          <w:sz w:val="26"/>
        </w:rPr>
      </w:pPr>
    </w:p>
    <w:tbl>
      <w:tblPr>
        <w:tblW w:w="0" w:type="auto"/>
        <w:tblInd w:w="1116" w:type="dxa"/>
        <w:tblLayout w:type="fixed"/>
        <w:tblCellMar>
          <w:left w:w="0" w:type="dxa"/>
          <w:right w:w="0" w:type="dxa"/>
        </w:tblCellMar>
        <w:tblLook w:val="01E0" w:firstRow="1" w:lastRow="1" w:firstColumn="1" w:lastColumn="1" w:noHBand="0" w:noVBand="0"/>
      </w:tblPr>
      <w:tblGrid>
        <w:gridCol w:w="4203"/>
        <w:gridCol w:w="761"/>
        <w:gridCol w:w="1265"/>
        <w:gridCol w:w="1603"/>
        <w:gridCol w:w="1145"/>
      </w:tblGrid>
      <w:tr w:rsidR="00FA4AA8" w14:paraId="6FFBEBAB" w14:textId="77777777">
        <w:trPr>
          <w:trHeight w:val="510"/>
        </w:trPr>
        <w:tc>
          <w:tcPr>
            <w:tcW w:w="4203" w:type="dxa"/>
            <w:vMerge w:val="restart"/>
          </w:tcPr>
          <w:p w14:paraId="3488F18F" w14:textId="77777777" w:rsidR="00FA4AA8" w:rsidRDefault="00FA4AA8">
            <w:pPr>
              <w:pStyle w:val="TableParagraph"/>
              <w:rPr>
                <w:rFonts w:ascii="Times New Roman"/>
                <w:sz w:val="18"/>
              </w:rPr>
            </w:pPr>
          </w:p>
        </w:tc>
        <w:tc>
          <w:tcPr>
            <w:tcW w:w="761" w:type="dxa"/>
          </w:tcPr>
          <w:p w14:paraId="04A7DCE2" w14:textId="77777777" w:rsidR="00FA4AA8" w:rsidRDefault="00FA4AA8">
            <w:pPr>
              <w:pStyle w:val="TableParagraph"/>
              <w:rPr>
                <w:rFonts w:ascii="Times New Roman"/>
                <w:sz w:val="18"/>
              </w:rPr>
            </w:pPr>
          </w:p>
        </w:tc>
        <w:tc>
          <w:tcPr>
            <w:tcW w:w="1265" w:type="dxa"/>
          </w:tcPr>
          <w:p w14:paraId="36D18D17" w14:textId="77777777" w:rsidR="00FA4AA8" w:rsidRDefault="0015611F">
            <w:pPr>
              <w:pStyle w:val="TableParagraph"/>
              <w:spacing w:line="201" w:lineRule="exact"/>
              <w:ind w:left="232" w:right="202"/>
              <w:jc w:val="center"/>
              <w:rPr>
                <w:b/>
                <w:sz w:val="18"/>
              </w:rPr>
            </w:pPr>
            <w:r>
              <w:rPr>
                <w:b/>
                <w:sz w:val="18"/>
              </w:rPr>
              <w:t>2017</w:t>
            </w:r>
          </w:p>
          <w:p w14:paraId="201E6DAB" w14:textId="77777777" w:rsidR="00FA4AA8" w:rsidRDefault="0015611F">
            <w:pPr>
              <w:pStyle w:val="TableParagraph"/>
              <w:spacing w:before="66"/>
              <w:ind w:left="232" w:right="202"/>
              <w:jc w:val="center"/>
              <w:rPr>
                <w:b/>
                <w:sz w:val="18"/>
              </w:rPr>
            </w:pPr>
            <w:r>
              <w:rPr>
                <w:b/>
                <w:sz w:val="18"/>
              </w:rPr>
              <w:t>Reported</w:t>
            </w:r>
          </w:p>
        </w:tc>
        <w:tc>
          <w:tcPr>
            <w:tcW w:w="1603" w:type="dxa"/>
          </w:tcPr>
          <w:p w14:paraId="4A620972" w14:textId="77777777" w:rsidR="00FA4AA8" w:rsidRDefault="00FA4AA8">
            <w:pPr>
              <w:pStyle w:val="TableParagraph"/>
              <w:spacing w:before="3"/>
              <w:rPr>
                <w:sz w:val="23"/>
              </w:rPr>
            </w:pPr>
          </w:p>
          <w:p w14:paraId="2E112977" w14:textId="77777777" w:rsidR="00FA4AA8" w:rsidRDefault="0015611F">
            <w:pPr>
              <w:pStyle w:val="TableParagraph"/>
              <w:ind w:right="176"/>
              <w:jc w:val="right"/>
              <w:rPr>
                <w:b/>
                <w:sz w:val="18"/>
              </w:rPr>
            </w:pPr>
            <w:r>
              <w:rPr>
                <w:b/>
                <w:sz w:val="18"/>
              </w:rPr>
              <w:t>Reclassification</w:t>
            </w:r>
          </w:p>
        </w:tc>
        <w:tc>
          <w:tcPr>
            <w:tcW w:w="1145" w:type="dxa"/>
          </w:tcPr>
          <w:p w14:paraId="637085E8" w14:textId="77777777" w:rsidR="00FA4AA8" w:rsidRDefault="0015611F">
            <w:pPr>
              <w:pStyle w:val="TableParagraph"/>
              <w:spacing w:line="201" w:lineRule="exact"/>
              <w:ind w:left="129" w:right="283"/>
              <w:jc w:val="center"/>
              <w:rPr>
                <w:b/>
                <w:sz w:val="18"/>
              </w:rPr>
            </w:pPr>
            <w:r>
              <w:rPr>
                <w:b/>
                <w:sz w:val="18"/>
              </w:rPr>
              <w:t>2017</w:t>
            </w:r>
          </w:p>
          <w:p w14:paraId="6ECE00A7" w14:textId="77777777" w:rsidR="00FA4AA8" w:rsidRDefault="0015611F">
            <w:pPr>
              <w:pStyle w:val="TableParagraph"/>
              <w:spacing w:before="66"/>
              <w:ind w:left="130" w:right="283"/>
              <w:jc w:val="center"/>
              <w:rPr>
                <w:b/>
                <w:sz w:val="18"/>
              </w:rPr>
            </w:pPr>
            <w:r>
              <w:rPr>
                <w:b/>
                <w:sz w:val="18"/>
              </w:rPr>
              <w:t>Revised</w:t>
            </w:r>
          </w:p>
        </w:tc>
      </w:tr>
      <w:tr w:rsidR="00FA4AA8" w14:paraId="03A1171C" w14:textId="77777777">
        <w:trPr>
          <w:trHeight w:val="313"/>
        </w:trPr>
        <w:tc>
          <w:tcPr>
            <w:tcW w:w="4203" w:type="dxa"/>
            <w:vMerge/>
            <w:tcBorders>
              <w:top w:val="nil"/>
            </w:tcBorders>
          </w:tcPr>
          <w:p w14:paraId="2E8CF9A1" w14:textId="77777777" w:rsidR="00FA4AA8" w:rsidRDefault="00FA4AA8">
            <w:pPr>
              <w:rPr>
                <w:sz w:val="2"/>
                <w:szCs w:val="2"/>
              </w:rPr>
            </w:pPr>
          </w:p>
        </w:tc>
        <w:tc>
          <w:tcPr>
            <w:tcW w:w="761" w:type="dxa"/>
          </w:tcPr>
          <w:p w14:paraId="71516EBA" w14:textId="77777777" w:rsidR="00FA4AA8" w:rsidRDefault="0015611F">
            <w:pPr>
              <w:pStyle w:val="TableParagraph"/>
              <w:spacing w:before="30"/>
              <w:ind w:left="201" w:right="19"/>
              <w:jc w:val="center"/>
              <w:rPr>
                <w:b/>
                <w:sz w:val="18"/>
              </w:rPr>
            </w:pPr>
            <w:r>
              <w:rPr>
                <w:b/>
                <w:sz w:val="18"/>
              </w:rPr>
              <w:t>Notes</w:t>
            </w:r>
          </w:p>
        </w:tc>
        <w:tc>
          <w:tcPr>
            <w:tcW w:w="1265" w:type="dxa"/>
          </w:tcPr>
          <w:p w14:paraId="5C11BC38" w14:textId="77777777" w:rsidR="00FA4AA8" w:rsidRDefault="0015611F">
            <w:pPr>
              <w:pStyle w:val="TableParagraph"/>
              <w:spacing w:before="30"/>
              <w:ind w:left="32"/>
              <w:jc w:val="center"/>
              <w:rPr>
                <w:b/>
                <w:sz w:val="18"/>
              </w:rPr>
            </w:pPr>
            <w:r>
              <w:rPr>
                <w:b/>
                <w:sz w:val="18"/>
              </w:rPr>
              <w:t>$</w:t>
            </w:r>
          </w:p>
        </w:tc>
        <w:tc>
          <w:tcPr>
            <w:tcW w:w="1603" w:type="dxa"/>
          </w:tcPr>
          <w:p w14:paraId="2F6EAADA" w14:textId="77777777" w:rsidR="00FA4AA8" w:rsidRDefault="0015611F">
            <w:pPr>
              <w:pStyle w:val="TableParagraph"/>
              <w:spacing w:before="30"/>
              <w:ind w:right="118"/>
              <w:jc w:val="center"/>
              <w:rPr>
                <w:b/>
                <w:sz w:val="18"/>
              </w:rPr>
            </w:pPr>
            <w:r>
              <w:rPr>
                <w:b/>
                <w:sz w:val="18"/>
              </w:rPr>
              <w:t>$</w:t>
            </w:r>
          </w:p>
        </w:tc>
        <w:tc>
          <w:tcPr>
            <w:tcW w:w="1145" w:type="dxa"/>
          </w:tcPr>
          <w:p w14:paraId="439D465C" w14:textId="77777777" w:rsidR="00FA4AA8" w:rsidRDefault="0015611F">
            <w:pPr>
              <w:pStyle w:val="TableParagraph"/>
              <w:spacing w:before="30"/>
              <w:ind w:right="152"/>
              <w:jc w:val="center"/>
              <w:rPr>
                <w:b/>
                <w:sz w:val="18"/>
              </w:rPr>
            </w:pPr>
            <w:r>
              <w:rPr>
                <w:b/>
                <w:sz w:val="18"/>
              </w:rPr>
              <w:t>$</w:t>
            </w:r>
          </w:p>
        </w:tc>
      </w:tr>
      <w:tr w:rsidR="00FA4AA8" w14:paraId="670E61C7" w14:textId="77777777">
        <w:trPr>
          <w:trHeight w:val="542"/>
        </w:trPr>
        <w:tc>
          <w:tcPr>
            <w:tcW w:w="4203" w:type="dxa"/>
          </w:tcPr>
          <w:p w14:paraId="56003EEC" w14:textId="77777777" w:rsidR="00FA4AA8" w:rsidRDefault="0015611F">
            <w:pPr>
              <w:pStyle w:val="TableParagraph"/>
              <w:spacing w:before="70"/>
              <w:ind w:left="50"/>
              <w:rPr>
                <w:b/>
                <w:sz w:val="18"/>
              </w:rPr>
            </w:pPr>
            <w:r>
              <w:rPr>
                <w:b/>
                <w:sz w:val="18"/>
              </w:rPr>
              <w:t>Statement of Comprehensive Income</w:t>
            </w:r>
          </w:p>
          <w:p w14:paraId="627AD4F3" w14:textId="77777777" w:rsidR="00FA4AA8" w:rsidRDefault="0015611F">
            <w:pPr>
              <w:pStyle w:val="TableParagraph"/>
              <w:spacing w:before="27"/>
              <w:ind w:left="50"/>
              <w:rPr>
                <w:sz w:val="18"/>
              </w:rPr>
            </w:pPr>
            <w:r>
              <w:rPr>
                <w:sz w:val="18"/>
              </w:rPr>
              <w:t>Advertising, marketing and promotional expenses</w:t>
            </w:r>
          </w:p>
        </w:tc>
        <w:tc>
          <w:tcPr>
            <w:tcW w:w="761" w:type="dxa"/>
          </w:tcPr>
          <w:p w14:paraId="1D4859BA" w14:textId="77777777" w:rsidR="00FA4AA8" w:rsidRDefault="00FA4AA8">
            <w:pPr>
              <w:pStyle w:val="TableParagraph"/>
              <w:spacing w:before="5"/>
              <w:rPr>
                <w:sz w:val="26"/>
              </w:rPr>
            </w:pPr>
          </w:p>
          <w:p w14:paraId="7BA6FA2D" w14:textId="77777777" w:rsidR="00FA4AA8" w:rsidRDefault="0015611F">
            <w:pPr>
              <w:pStyle w:val="TableParagraph"/>
              <w:ind w:left="184"/>
              <w:jc w:val="center"/>
              <w:rPr>
                <w:sz w:val="18"/>
              </w:rPr>
            </w:pPr>
            <w:r>
              <w:rPr>
                <w:sz w:val="18"/>
              </w:rPr>
              <w:t>4</w:t>
            </w:r>
          </w:p>
        </w:tc>
        <w:tc>
          <w:tcPr>
            <w:tcW w:w="1265" w:type="dxa"/>
          </w:tcPr>
          <w:p w14:paraId="4FD886BC" w14:textId="77777777" w:rsidR="00FA4AA8" w:rsidRDefault="00FA4AA8">
            <w:pPr>
              <w:pStyle w:val="TableParagraph"/>
              <w:spacing w:before="6"/>
              <w:rPr>
                <w:sz w:val="26"/>
              </w:rPr>
            </w:pPr>
          </w:p>
          <w:p w14:paraId="40B5B3D6" w14:textId="77777777" w:rsidR="00FA4AA8" w:rsidRDefault="0015611F">
            <w:pPr>
              <w:pStyle w:val="TableParagraph"/>
              <w:ind w:right="54"/>
              <w:jc w:val="right"/>
              <w:rPr>
                <w:sz w:val="18"/>
              </w:rPr>
            </w:pPr>
            <w:r>
              <w:rPr>
                <w:sz w:val="18"/>
              </w:rPr>
              <w:t>355,619</w:t>
            </w:r>
          </w:p>
        </w:tc>
        <w:tc>
          <w:tcPr>
            <w:tcW w:w="1603" w:type="dxa"/>
          </w:tcPr>
          <w:p w14:paraId="15C0F4E8" w14:textId="77777777" w:rsidR="00FA4AA8" w:rsidRDefault="00FA4AA8">
            <w:pPr>
              <w:pStyle w:val="TableParagraph"/>
              <w:spacing w:before="6"/>
              <w:rPr>
                <w:sz w:val="26"/>
              </w:rPr>
            </w:pPr>
          </w:p>
          <w:p w14:paraId="26802BCB" w14:textId="77777777" w:rsidR="00FA4AA8" w:rsidRDefault="0015611F">
            <w:pPr>
              <w:pStyle w:val="TableParagraph"/>
              <w:ind w:right="151"/>
              <w:jc w:val="right"/>
              <w:rPr>
                <w:sz w:val="18"/>
              </w:rPr>
            </w:pPr>
            <w:r>
              <w:rPr>
                <w:sz w:val="18"/>
              </w:rPr>
              <w:t>(355,619)</w:t>
            </w:r>
          </w:p>
        </w:tc>
        <w:tc>
          <w:tcPr>
            <w:tcW w:w="1145" w:type="dxa"/>
          </w:tcPr>
          <w:p w14:paraId="1E1CD77A" w14:textId="77777777" w:rsidR="00FA4AA8" w:rsidRDefault="00FA4AA8">
            <w:pPr>
              <w:pStyle w:val="TableParagraph"/>
              <w:spacing w:before="6"/>
              <w:rPr>
                <w:sz w:val="26"/>
              </w:rPr>
            </w:pPr>
          </w:p>
          <w:p w14:paraId="538316CC" w14:textId="77777777" w:rsidR="00FA4AA8" w:rsidRDefault="0015611F">
            <w:pPr>
              <w:pStyle w:val="TableParagraph"/>
              <w:ind w:right="88"/>
              <w:jc w:val="right"/>
              <w:rPr>
                <w:sz w:val="18"/>
              </w:rPr>
            </w:pPr>
            <w:r>
              <w:rPr>
                <w:sz w:val="18"/>
              </w:rPr>
              <w:t>-</w:t>
            </w:r>
          </w:p>
        </w:tc>
      </w:tr>
      <w:tr w:rsidR="00FA4AA8" w14:paraId="39BFBFE2" w14:textId="77777777">
        <w:trPr>
          <w:trHeight w:val="263"/>
        </w:trPr>
        <w:tc>
          <w:tcPr>
            <w:tcW w:w="4203" w:type="dxa"/>
          </w:tcPr>
          <w:p w14:paraId="2DCA0F0C" w14:textId="77777777" w:rsidR="00FA4AA8" w:rsidRDefault="0015611F">
            <w:pPr>
              <w:pStyle w:val="TableParagraph"/>
              <w:spacing w:before="25"/>
              <w:ind w:left="50"/>
              <w:rPr>
                <w:sz w:val="18"/>
              </w:rPr>
            </w:pPr>
            <w:r>
              <w:rPr>
                <w:sz w:val="18"/>
              </w:rPr>
              <w:t>Occupancy expenses</w:t>
            </w:r>
          </w:p>
        </w:tc>
        <w:tc>
          <w:tcPr>
            <w:tcW w:w="761" w:type="dxa"/>
          </w:tcPr>
          <w:p w14:paraId="3BB00D96" w14:textId="77777777" w:rsidR="00FA4AA8" w:rsidRDefault="00FA4AA8">
            <w:pPr>
              <w:pStyle w:val="TableParagraph"/>
              <w:rPr>
                <w:rFonts w:ascii="Times New Roman"/>
                <w:sz w:val="18"/>
              </w:rPr>
            </w:pPr>
          </w:p>
        </w:tc>
        <w:tc>
          <w:tcPr>
            <w:tcW w:w="1265" w:type="dxa"/>
          </w:tcPr>
          <w:p w14:paraId="6C05FF3E" w14:textId="77777777" w:rsidR="00FA4AA8" w:rsidRDefault="0015611F">
            <w:pPr>
              <w:pStyle w:val="TableParagraph"/>
              <w:spacing w:before="26"/>
              <w:ind w:right="54"/>
              <w:jc w:val="right"/>
              <w:rPr>
                <w:sz w:val="18"/>
              </w:rPr>
            </w:pPr>
            <w:r>
              <w:rPr>
                <w:sz w:val="18"/>
              </w:rPr>
              <w:t>288,576</w:t>
            </w:r>
          </w:p>
        </w:tc>
        <w:tc>
          <w:tcPr>
            <w:tcW w:w="1603" w:type="dxa"/>
          </w:tcPr>
          <w:p w14:paraId="3D1DDFDD" w14:textId="77777777" w:rsidR="00FA4AA8" w:rsidRDefault="0015611F">
            <w:pPr>
              <w:pStyle w:val="TableParagraph"/>
              <w:spacing w:before="26"/>
              <w:ind w:right="151"/>
              <w:jc w:val="right"/>
              <w:rPr>
                <w:sz w:val="18"/>
              </w:rPr>
            </w:pPr>
            <w:r>
              <w:rPr>
                <w:sz w:val="18"/>
              </w:rPr>
              <w:t>(288,576)</w:t>
            </w:r>
          </w:p>
        </w:tc>
        <w:tc>
          <w:tcPr>
            <w:tcW w:w="1145" w:type="dxa"/>
          </w:tcPr>
          <w:p w14:paraId="3E220251" w14:textId="77777777" w:rsidR="00FA4AA8" w:rsidRDefault="0015611F">
            <w:pPr>
              <w:pStyle w:val="TableParagraph"/>
              <w:spacing w:before="26"/>
              <w:ind w:right="88"/>
              <w:jc w:val="right"/>
              <w:rPr>
                <w:sz w:val="18"/>
              </w:rPr>
            </w:pPr>
            <w:r>
              <w:rPr>
                <w:sz w:val="18"/>
              </w:rPr>
              <w:t>-</w:t>
            </w:r>
          </w:p>
        </w:tc>
      </w:tr>
      <w:tr w:rsidR="00FA4AA8" w14:paraId="451F3F64" w14:textId="77777777">
        <w:trPr>
          <w:trHeight w:val="263"/>
        </w:trPr>
        <w:tc>
          <w:tcPr>
            <w:tcW w:w="4203" w:type="dxa"/>
          </w:tcPr>
          <w:p w14:paraId="0C310E82" w14:textId="77777777" w:rsidR="00FA4AA8" w:rsidRDefault="0015611F">
            <w:pPr>
              <w:pStyle w:val="TableParagraph"/>
              <w:spacing w:before="25"/>
              <w:ind w:left="50"/>
              <w:rPr>
                <w:sz w:val="18"/>
              </w:rPr>
            </w:pPr>
            <w:r>
              <w:rPr>
                <w:sz w:val="18"/>
              </w:rPr>
              <w:t>Consumables and supplies</w:t>
            </w:r>
          </w:p>
        </w:tc>
        <w:tc>
          <w:tcPr>
            <w:tcW w:w="761" w:type="dxa"/>
          </w:tcPr>
          <w:p w14:paraId="510636B1" w14:textId="77777777" w:rsidR="00FA4AA8" w:rsidRDefault="0015611F">
            <w:pPr>
              <w:pStyle w:val="TableParagraph"/>
              <w:spacing w:before="25"/>
              <w:ind w:left="184"/>
              <w:jc w:val="center"/>
              <w:rPr>
                <w:sz w:val="18"/>
              </w:rPr>
            </w:pPr>
            <w:r>
              <w:rPr>
                <w:sz w:val="18"/>
              </w:rPr>
              <w:t>4</w:t>
            </w:r>
          </w:p>
        </w:tc>
        <w:tc>
          <w:tcPr>
            <w:tcW w:w="1265" w:type="dxa"/>
          </w:tcPr>
          <w:p w14:paraId="766CF73E" w14:textId="77777777" w:rsidR="00FA4AA8" w:rsidRDefault="0015611F">
            <w:pPr>
              <w:pStyle w:val="TableParagraph"/>
              <w:spacing w:before="26"/>
              <w:ind w:right="54"/>
              <w:jc w:val="right"/>
              <w:rPr>
                <w:sz w:val="18"/>
              </w:rPr>
            </w:pPr>
            <w:r>
              <w:rPr>
                <w:sz w:val="18"/>
              </w:rPr>
              <w:t>228,624</w:t>
            </w:r>
          </w:p>
        </w:tc>
        <w:tc>
          <w:tcPr>
            <w:tcW w:w="1603" w:type="dxa"/>
          </w:tcPr>
          <w:p w14:paraId="4D5608A6" w14:textId="77777777" w:rsidR="00FA4AA8" w:rsidRDefault="0015611F">
            <w:pPr>
              <w:pStyle w:val="TableParagraph"/>
              <w:spacing w:before="26"/>
              <w:ind w:right="151"/>
              <w:jc w:val="right"/>
              <w:rPr>
                <w:sz w:val="18"/>
              </w:rPr>
            </w:pPr>
            <w:r>
              <w:rPr>
                <w:sz w:val="18"/>
              </w:rPr>
              <w:t>(228,624)</w:t>
            </w:r>
          </w:p>
        </w:tc>
        <w:tc>
          <w:tcPr>
            <w:tcW w:w="1145" w:type="dxa"/>
          </w:tcPr>
          <w:p w14:paraId="78969D58" w14:textId="77777777" w:rsidR="00FA4AA8" w:rsidRDefault="0015611F">
            <w:pPr>
              <w:pStyle w:val="TableParagraph"/>
              <w:spacing w:before="26"/>
              <w:ind w:right="88"/>
              <w:jc w:val="right"/>
              <w:rPr>
                <w:sz w:val="18"/>
              </w:rPr>
            </w:pPr>
            <w:r>
              <w:rPr>
                <w:sz w:val="18"/>
              </w:rPr>
              <w:t>-</w:t>
            </w:r>
          </w:p>
        </w:tc>
      </w:tr>
      <w:tr w:rsidR="00FA4AA8" w14:paraId="74FC9A10" w14:textId="77777777">
        <w:trPr>
          <w:trHeight w:val="263"/>
        </w:trPr>
        <w:tc>
          <w:tcPr>
            <w:tcW w:w="4203" w:type="dxa"/>
          </w:tcPr>
          <w:p w14:paraId="5ACFB412" w14:textId="77777777" w:rsidR="00FA4AA8" w:rsidRDefault="0015611F">
            <w:pPr>
              <w:pStyle w:val="TableParagraph"/>
              <w:spacing w:before="25"/>
              <w:ind w:left="50"/>
              <w:rPr>
                <w:sz w:val="18"/>
              </w:rPr>
            </w:pPr>
            <w:r>
              <w:rPr>
                <w:sz w:val="18"/>
              </w:rPr>
              <w:t>Student expenses</w:t>
            </w:r>
          </w:p>
        </w:tc>
        <w:tc>
          <w:tcPr>
            <w:tcW w:w="761" w:type="dxa"/>
          </w:tcPr>
          <w:p w14:paraId="6D3C0116" w14:textId="77777777" w:rsidR="00FA4AA8" w:rsidRDefault="0015611F">
            <w:pPr>
              <w:pStyle w:val="TableParagraph"/>
              <w:spacing w:before="25"/>
              <w:ind w:left="184"/>
              <w:jc w:val="center"/>
              <w:rPr>
                <w:sz w:val="18"/>
              </w:rPr>
            </w:pPr>
            <w:r>
              <w:rPr>
                <w:sz w:val="18"/>
              </w:rPr>
              <w:t>4</w:t>
            </w:r>
          </w:p>
        </w:tc>
        <w:tc>
          <w:tcPr>
            <w:tcW w:w="1265" w:type="dxa"/>
          </w:tcPr>
          <w:p w14:paraId="32028E12" w14:textId="77777777" w:rsidR="00FA4AA8" w:rsidRDefault="0015611F">
            <w:pPr>
              <w:pStyle w:val="TableParagraph"/>
              <w:spacing w:before="26"/>
              <w:ind w:right="54"/>
              <w:jc w:val="right"/>
              <w:rPr>
                <w:sz w:val="18"/>
              </w:rPr>
            </w:pPr>
            <w:r>
              <w:rPr>
                <w:sz w:val="18"/>
              </w:rPr>
              <w:t>192,252</w:t>
            </w:r>
          </w:p>
        </w:tc>
        <w:tc>
          <w:tcPr>
            <w:tcW w:w="1603" w:type="dxa"/>
          </w:tcPr>
          <w:p w14:paraId="271123BB" w14:textId="77777777" w:rsidR="00FA4AA8" w:rsidRDefault="0015611F">
            <w:pPr>
              <w:pStyle w:val="TableParagraph"/>
              <w:spacing w:before="26"/>
              <w:ind w:right="151"/>
              <w:jc w:val="right"/>
              <w:rPr>
                <w:sz w:val="18"/>
              </w:rPr>
            </w:pPr>
            <w:r>
              <w:rPr>
                <w:sz w:val="18"/>
              </w:rPr>
              <w:t>(192,252)</w:t>
            </w:r>
          </w:p>
        </w:tc>
        <w:tc>
          <w:tcPr>
            <w:tcW w:w="1145" w:type="dxa"/>
          </w:tcPr>
          <w:p w14:paraId="57947295" w14:textId="77777777" w:rsidR="00FA4AA8" w:rsidRDefault="0015611F">
            <w:pPr>
              <w:pStyle w:val="TableParagraph"/>
              <w:spacing w:before="26"/>
              <w:ind w:right="88"/>
              <w:jc w:val="right"/>
              <w:rPr>
                <w:sz w:val="18"/>
              </w:rPr>
            </w:pPr>
            <w:r>
              <w:rPr>
                <w:sz w:val="18"/>
              </w:rPr>
              <w:t>-</w:t>
            </w:r>
          </w:p>
        </w:tc>
      </w:tr>
      <w:tr w:rsidR="00FA4AA8" w14:paraId="47E2E64F" w14:textId="77777777">
        <w:trPr>
          <w:trHeight w:val="263"/>
        </w:trPr>
        <w:tc>
          <w:tcPr>
            <w:tcW w:w="4203" w:type="dxa"/>
          </w:tcPr>
          <w:p w14:paraId="19AF5326" w14:textId="77777777" w:rsidR="00FA4AA8" w:rsidRDefault="0015611F">
            <w:pPr>
              <w:pStyle w:val="TableParagraph"/>
              <w:spacing w:before="25"/>
              <w:ind w:left="50"/>
              <w:rPr>
                <w:sz w:val="18"/>
              </w:rPr>
            </w:pPr>
            <w:r>
              <w:rPr>
                <w:sz w:val="18"/>
              </w:rPr>
              <w:t>Impairment of assets</w:t>
            </w:r>
          </w:p>
        </w:tc>
        <w:tc>
          <w:tcPr>
            <w:tcW w:w="761" w:type="dxa"/>
          </w:tcPr>
          <w:p w14:paraId="76158BAE" w14:textId="77777777" w:rsidR="00FA4AA8" w:rsidRDefault="0015611F">
            <w:pPr>
              <w:pStyle w:val="TableParagraph"/>
              <w:spacing w:before="25"/>
              <w:ind w:left="184"/>
              <w:jc w:val="center"/>
              <w:rPr>
                <w:sz w:val="18"/>
              </w:rPr>
            </w:pPr>
            <w:r>
              <w:rPr>
                <w:sz w:val="18"/>
              </w:rPr>
              <w:t>4</w:t>
            </w:r>
          </w:p>
        </w:tc>
        <w:tc>
          <w:tcPr>
            <w:tcW w:w="1265" w:type="dxa"/>
          </w:tcPr>
          <w:p w14:paraId="339C78DD" w14:textId="77777777" w:rsidR="00FA4AA8" w:rsidRDefault="0015611F">
            <w:pPr>
              <w:pStyle w:val="TableParagraph"/>
              <w:spacing w:before="26"/>
              <w:ind w:right="54"/>
              <w:jc w:val="right"/>
              <w:rPr>
                <w:sz w:val="18"/>
              </w:rPr>
            </w:pPr>
            <w:r>
              <w:rPr>
                <w:sz w:val="18"/>
              </w:rPr>
              <w:t>-</w:t>
            </w:r>
          </w:p>
        </w:tc>
        <w:tc>
          <w:tcPr>
            <w:tcW w:w="1603" w:type="dxa"/>
          </w:tcPr>
          <w:p w14:paraId="14D58A6F" w14:textId="77777777" w:rsidR="00FA4AA8" w:rsidRDefault="0015611F">
            <w:pPr>
              <w:pStyle w:val="TableParagraph"/>
              <w:spacing w:before="26"/>
              <w:ind w:right="151"/>
              <w:jc w:val="right"/>
              <w:rPr>
                <w:sz w:val="18"/>
              </w:rPr>
            </w:pPr>
            <w:r>
              <w:rPr>
                <w:sz w:val="18"/>
              </w:rPr>
              <w:t>(6,910)</w:t>
            </w:r>
          </w:p>
        </w:tc>
        <w:tc>
          <w:tcPr>
            <w:tcW w:w="1145" w:type="dxa"/>
          </w:tcPr>
          <w:p w14:paraId="5F2C7720" w14:textId="77777777" w:rsidR="00FA4AA8" w:rsidRDefault="0015611F">
            <w:pPr>
              <w:pStyle w:val="TableParagraph"/>
              <w:spacing w:before="26"/>
              <w:ind w:right="28"/>
              <w:jc w:val="right"/>
              <w:rPr>
                <w:sz w:val="18"/>
              </w:rPr>
            </w:pPr>
            <w:r>
              <w:rPr>
                <w:sz w:val="18"/>
              </w:rPr>
              <w:t>(6,910)</w:t>
            </w:r>
          </w:p>
        </w:tc>
      </w:tr>
      <w:tr w:rsidR="00FA4AA8" w14:paraId="79812FE9" w14:textId="77777777">
        <w:trPr>
          <w:trHeight w:val="260"/>
        </w:trPr>
        <w:tc>
          <w:tcPr>
            <w:tcW w:w="4203" w:type="dxa"/>
          </w:tcPr>
          <w:p w14:paraId="66AA3CD0" w14:textId="77777777" w:rsidR="00FA4AA8" w:rsidRDefault="0015611F">
            <w:pPr>
              <w:pStyle w:val="TableParagraph"/>
              <w:spacing w:before="25"/>
              <w:ind w:left="50"/>
              <w:rPr>
                <w:sz w:val="18"/>
              </w:rPr>
            </w:pPr>
            <w:r>
              <w:rPr>
                <w:sz w:val="18"/>
              </w:rPr>
              <w:t>Other expenses</w:t>
            </w:r>
          </w:p>
        </w:tc>
        <w:tc>
          <w:tcPr>
            <w:tcW w:w="761" w:type="dxa"/>
          </w:tcPr>
          <w:p w14:paraId="2BEBE8C8" w14:textId="77777777" w:rsidR="00FA4AA8" w:rsidRDefault="0015611F">
            <w:pPr>
              <w:pStyle w:val="TableParagraph"/>
              <w:spacing w:before="25"/>
              <w:ind w:left="184"/>
              <w:jc w:val="center"/>
              <w:rPr>
                <w:sz w:val="18"/>
              </w:rPr>
            </w:pPr>
            <w:r>
              <w:rPr>
                <w:sz w:val="18"/>
              </w:rPr>
              <w:t>4</w:t>
            </w:r>
          </w:p>
        </w:tc>
        <w:tc>
          <w:tcPr>
            <w:tcW w:w="1265" w:type="dxa"/>
            <w:tcBorders>
              <w:bottom w:val="single" w:sz="8" w:space="0" w:color="000000"/>
            </w:tcBorders>
          </w:tcPr>
          <w:p w14:paraId="144E05BE" w14:textId="77777777" w:rsidR="00FA4AA8" w:rsidRDefault="0015611F">
            <w:pPr>
              <w:pStyle w:val="TableParagraph"/>
              <w:spacing w:before="26"/>
              <w:ind w:right="54"/>
              <w:jc w:val="right"/>
              <w:rPr>
                <w:sz w:val="18"/>
              </w:rPr>
            </w:pPr>
            <w:r>
              <w:rPr>
                <w:sz w:val="18"/>
              </w:rPr>
              <w:t>1,227,576</w:t>
            </w:r>
          </w:p>
        </w:tc>
        <w:tc>
          <w:tcPr>
            <w:tcW w:w="1603" w:type="dxa"/>
            <w:tcBorders>
              <w:bottom w:val="single" w:sz="8" w:space="0" w:color="000000"/>
            </w:tcBorders>
          </w:tcPr>
          <w:p w14:paraId="103F0FA3" w14:textId="77777777" w:rsidR="00FA4AA8" w:rsidRDefault="0015611F">
            <w:pPr>
              <w:pStyle w:val="TableParagraph"/>
              <w:spacing w:before="26"/>
              <w:ind w:right="211"/>
              <w:jc w:val="right"/>
              <w:rPr>
                <w:sz w:val="18"/>
              </w:rPr>
            </w:pPr>
            <w:r>
              <w:rPr>
                <w:sz w:val="18"/>
              </w:rPr>
              <w:t>1,071,981</w:t>
            </w:r>
          </w:p>
        </w:tc>
        <w:tc>
          <w:tcPr>
            <w:tcW w:w="1145" w:type="dxa"/>
            <w:tcBorders>
              <w:bottom w:val="single" w:sz="8" w:space="0" w:color="000000"/>
            </w:tcBorders>
          </w:tcPr>
          <w:p w14:paraId="5E4789E0" w14:textId="77777777" w:rsidR="00FA4AA8" w:rsidRDefault="0015611F">
            <w:pPr>
              <w:pStyle w:val="TableParagraph"/>
              <w:spacing w:before="26"/>
              <w:ind w:left="256"/>
              <w:rPr>
                <w:sz w:val="18"/>
              </w:rPr>
            </w:pPr>
            <w:r>
              <w:rPr>
                <w:sz w:val="18"/>
              </w:rPr>
              <w:t>2,299,557</w:t>
            </w:r>
          </w:p>
        </w:tc>
      </w:tr>
      <w:tr w:rsidR="00FA4AA8" w14:paraId="73B1D5D4" w14:textId="77777777">
        <w:trPr>
          <w:trHeight w:val="318"/>
        </w:trPr>
        <w:tc>
          <w:tcPr>
            <w:tcW w:w="4203" w:type="dxa"/>
          </w:tcPr>
          <w:p w14:paraId="6C18002B" w14:textId="77777777" w:rsidR="00FA4AA8" w:rsidRDefault="0015611F">
            <w:pPr>
              <w:pStyle w:val="TableParagraph"/>
              <w:spacing w:before="113" w:line="185" w:lineRule="exact"/>
              <w:ind w:left="50"/>
              <w:rPr>
                <w:b/>
                <w:sz w:val="18"/>
              </w:rPr>
            </w:pPr>
            <w:r>
              <w:rPr>
                <w:b/>
                <w:sz w:val="18"/>
              </w:rPr>
              <w:t>Net effect on total expenses</w:t>
            </w:r>
          </w:p>
        </w:tc>
        <w:tc>
          <w:tcPr>
            <w:tcW w:w="761" w:type="dxa"/>
          </w:tcPr>
          <w:p w14:paraId="6FCB5BA4" w14:textId="77777777" w:rsidR="00FA4AA8" w:rsidRDefault="00FA4AA8">
            <w:pPr>
              <w:pStyle w:val="TableParagraph"/>
              <w:rPr>
                <w:rFonts w:ascii="Times New Roman"/>
                <w:sz w:val="18"/>
              </w:rPr>
            </w:pPr>
          </w:p>
        </w:tc>
        <w:tc>
          <w:tcPr>
            <w:tcW w:w="1265" w:type="dxa"/>
            <w:tcBorders>
              <w:top w:val="single" w:sz="8" w:space="0" w:color="000000"/>
              <w:bottom w:val="single" w:sz="8" w:space="0" w:color="000000"/>
            </w:tcBorders>
          </w:tcPr>
          <w:p w14:paraId="6787A3AD" w14:textId="77777777" w:rsidR="00FA4AA8" w:rsidRDefault="0015611F">
            <w:pPr>
              <w:pStyle w:val="TableParagraph"/>
              <w:spacing w:before="113" w:line="185" w:lineRule="exact"/>
              <w:ind w:right="54"/>
              <w:jc w:val="right"/>
              <w:rPr>
                <w:sz w:val="18"/>
              </w:rPr>
            </w:pPr>
            <w:r>
              <w:rPr>
                <w:sz w:val="18"/>
              </w:rPr>
              <w:t>2,292,647</w:t>
            </w:r>
          </w:p>
        </w:tc>
        <w:tc>
          <w:tcPr>
            <w:tcW w:w="1603" w:type="dxa"/>
            <w:tcBorders>
              <w:top w:val="single" w:sz="8" w:space="0" w:color="000000"/>
              <w:bottom w:val="single" w:sz="8" w:space="0" w:color="000000"/>
            </w:tcBorders>
          </w:tcPr>
          <w:p w14:paraId="599F22DA" w14:textId="77777777" w:rsidR="00FA4AA8" w:rsidRDefault="0015611F">
            <w:pPr>
              <w:pStyle w:val="TableParagraph"/>
              <w:spacing w:before="113" w:line="185" w:lineRule="exact"/>
              <w:ind w:right="211"/>
              <w:jc w:val="right"/>
              <w:rPr>
                <w:b/>
                <w:sz w:val="18"/>
              </w:rPr>
            </w:pPr>
            <w:r>
              <w:rPr>
                <w:b/>
                <w:sz w:val="18"/>
              </w:rPr>
              <w:t>-</w:t>
            </w:r>
          </w:p>
        </w:tc>
        <w:tc>
          <w:tcPr>
            <w:tcW w:w="1145" w:type="dxa"/>
            <w:tcBorders>
              <w:top w:val="single" w:sz="8" w:space="0" w:color="000000"/>
              <w:bottom w:val="single" w:sz="8" w:space="0" w:color="000000"/>
            </w:tcBorders>
          </w:tcPr>
          <w:p w14:paraId="4908DA77" w14:textId="77777777" w:rsidR="00FA4AA8" w:rsidRDefault="0015611F">
            <w:pPr>
              <w:pStyle w:val="TableParagraph"/>
              <w:spacing w:before="113" w:line="185" w:lineRule="exact"/>
              <w:ind w:left="256"/>
              <w:rPr>
                <w:sz w:val="18"/>
              </w:rPr>
            </w:pPr>
            <w:r>
              <w:rPr>
                <w:sz w:val="18"/>
              </w:rPr>
              <w:t>2,292,647</w:t>
            </w:r>
          </w:p>
        </w:tc>
      </w:tr>
      <w:tr w:rsidR="00FA4AA8" w14:paraId="099C0B64" w14:textId="77777777">
        <w:trPr>
          <w:trHeight w:val="586"/>
        </w:trPr>
        <w:tc>
          <w:tcPr>
            <w:tcW w:w="4203" w:type="dxa"/>
          </w:tcPr>
          <w:p w14:paraId="0865149D" w14:textId="77777777" w:rsidR="00FA4AA8" w:rsidRDefault="0015611F">
            <w:pPr>
              <w:pStyle w:val="TableParagraph"/>
              <w:spacing w:before="113"/>
              <w:ind w:left="50"/>
              <w:rPr>
                <w:b/>
                <w:sz w:val="18"/>
              </w:rPr>
            </w:pPr>
            <w:r>
              <w:rPr>
                <w:b/>
                <w:sz w:val="18"/>
              </w:rPr>
              <w:t>Statement of Financial Position</w:t>
            </w:r>
          </w:p>
          <w:p w14:paraId="28D48269" w14:textId="77777777" w:rsidR="00FA4AA8" w:rsidRDefault="0015611F">
            <w:pPr>
              <w:pStyle w:val="TableParagraph"/>
              <w:spacing w:before="27"/>
              <w:ind w:left="50"/>
              <w:rPr>
                <w:sz w:val="18"/>
              </w:rPr>
            </w:pPr>
            <w:r>
              <w:rPr>
                <w:sz w:val="18"/>
              </w:rPr>
              <w:t>Accrued expenses</w:t>
            </w:r>
          </w:p>
        </w:tc>
        <w:tc>
          <w:tcPr>
            <w:tcW w:w="761" w:type="dxa"/>
          </w:tcPr>
          <w:p w14:paraId="7B9BB289" w14:textId="77777777" w:rsidR="00FA4AA8" w:rsidRDefault="00FA4AA8">
            <w:pPr>
              <w:pStyle w:val="TableParagraph"/>
              <w:rPr>
                <w:sz w:val="20"/>
              </w:rPr>
            </w:pPr>
          </w:p>
          <w:p w14:paraId="1F1D1B0C" w14:textId="77777777" w:rsidR="00FA4AA8" w:rsidRDefault="0015611F">
            <w:pPr>
              <w:pStyle w:val="TableParagraph"/>
              <w:spacing w:before="117"/>
              <w:ind w:left="184"/>
              <w:jc w:val="center"/>
              <w:rPr>
                <w:sz w:val="18"/>
              </w:rPr>
            </w:pPr>
            <w:r>
              <w:rPr>
                <w:sz w:val="18"/>
              </w:rPr>
              <w:t>9</w:t>
            </w:r>
          </w:p>
        </w:tc>
        <w:tc>
          <w:tcPr>
            <w:tcW w:w="1265" w:type="dxa"/>
            <w:tcBorders>
              <w:top w:val="single" w:sz="8" w:space="0" w:color="000000"/>
            </w:tcBorders>
          </w:tcPr>
          <w:p w14:paraId="3AA356C7" w14:textId="77777777" w:rsidR="00FA4AA8" w:rsidRDefault="00FA4AA8">
            <w:pPr>
              <w:pStyle w:val="TableParagraph"/>
              <w:rPr>
                <w:sz w:val="20"/>
              </w:rPr>
            </w:pPr>
          </w:p>
          <w:p w14:paraId="2744EBB5" w14:textId="77777777" w:rsidR="00FA4AA8" w:rsidRDefault="0015611F">
            <w:pPr>
              <w:pStyle w:val="TableParagraph"/>
              <w:spacing w:before="118"/>
              <w:ind w:right="54"/>
              <w:jc w:val="right"/>
              <w:rPr>
                <w:sz w:val="18"/>
              </w:rPr>
            </w:pPr>
            <w:r>
              <w:rPr>
                <w:sz w:val="18"/>
              </w:rPr>
              <w:t>3,016,451</w:t>
            </w:r>
          </w:p>
        </w:tc>
        <w:tc>
          <w:tcPr>
            <w:tcW w:w="1603" w:type="dxa"/>
            <w:tcBorders>
              <w:top w:val="single" w:sz="8" w:space="0" w:color="000000"/>
            </w:tcBorders>
          </w:tcPr>
          <w:p w14:paraId="1A13494F" w14:textId="77777777" w:rsidR="00FA4AA8" w:rsidRDefault="00FA4AA8">
            <w:pPr>
              <w:pStyle w:val="TableParagraph"/>
              <w:rPr>
                <w:sz w:val="20"/>
              </w:rPr>
            </w:pPr>
          </w:p>
          <w:p w14:paraId="70F02B45" w14:textId="77777777" w:rsidR="00FA4AA8" w:rsidRDefault="0015611F">
            <w:pPr>
              <w:pStyle w:val="TableParagraph"/>
              <w:spacing w:before="118"/>
              <w:ind w:right="151"/>
              <w:jc w:val="right"/>
              <w:rPr>
                <w:sz w:val="18"/>
              </w:rPr>
            </w:pPr>
            <w:r>
              <w:rPr>
                <w:sz w:val="18"/>
              </w:rPr>
              <w:t>(7,029)</w:t>
            </w:r>
          </w:p>
        </w:tc>
        <w:tc>
          <w:tcPr>
            <w:tcW w:w="1145" w:type="dxa"/>
            <w:tcBorders>
              <w:top w:val="single" w:sz="8" w:space="0" w:color="000000"/>
            </w:tcBorders>
          </w:tcPr>
          <w:p w14:paraId="48B8F286" w14:textId="77777777" w:rsidR="00FA4AA8" w:rsidRDefault="00FA4AA8">
            <w:pPr>
              <w:pStyle w:val="TableParagraph"/>
              <w:rPr>
                <w:sz w:val="20"/>
              </w:rPr>
            </w:pPr>
          </w:p>
          <w:p w14:paraId="7A3CCD47" w14:textId="77777777" w:rsidR="00FA4AA8" w:rsidRDefault="0015611F">
            <w:pPr>
              <w:pStyle w:val="TableParagraph"/>
              <w:spacing w:before="118"/>
              <w:ind w:left="256"/>
              <w:rPr>
                <w:sz w:val="18"/>
              </w:rPr>
            </w:pPr>
            <w:r>
              <w:rPr>
                <w:sz w:val="18"/>
              </w:rPr>
              <w:t>3,009,422</w:t>
            </w:r>
          </w:p>
        </w:tc>
      </w:tr>
      <w:tr w:rsidR="00FA4AA8" w14:paraId="3C0FA8DA" w14:textId="77777777">
        <w:trPr>
          <w:trHeight w:val="260"/>
        </w:trPr>
        <w:tc>
          <w:tcPr>
            <w:tcW w:w="4203" w:type="dxa"/>
          </w:tcPr>
          <w:p w14:paraId="426DB2B3" w14:textId="77777777" w:rsidR="00FA4AA8" w:rsidRDefault="0015611F">
            <w:pPr>
              <w:pStyle w:val="TableParagraph"/>
              <w:spacing w:before="25"/>
              <w:ind w:left="50"/>
              <w:rPr>
                <w:sz w:val="18"/>
              </w:rPr>
            </w:pPr>
            <w:r>
              <w:rPr>
                <w:sz w:val="18"/>
              </w:rPr>
              <w:t>Other liabilities</w:t>
            </w:r>
          </w:p>
        </w:tc>
        <w:tc>
          <w:tcPr>
            <w:tcW w:w="761" w:type="dxa"/>
          </w:tcPr>
          <w:p w14:paraId="056D5FC9" w14:textId="77777777" w:rsidR="00FA4AA8" w:rsidRDefault="0015611F">
            <w:pPr>
              <w:pStyle w:val="TableParagraph"/>
              <w:spacing w:before="25"/>
              <w:ind w:left="201" w:right="19"/>
              <w:jc w:val="center"/>
              <w:rPr>
                <w:sz w:val="18"/>
              </w:rPr>
            </w:pPr>
            <w:r>
              <w:rPr>
                <w:sz w:val="18"/>
              </w:rPr>
              <w:t>11</w:t>
            </w:r>
          </w:p>
        </w:tc>
        <w:tc>
          <w:tcPr>
            <w:tcW w:w="1265" w:type="dxa"/>
            <w:tcBorders>
              <w:bottom w:val="single" w:sz="8" w:space="0" w:color="000000"/>
            </w:tcBorders>
          </w:tcPr>
          <w:p w14:paraId="500064EE" w14:textId="77777777" w:rsidR="00FA4AA8" w:rsidRDefault="0015611F">
            <w:pPr>
              <w:pStyle w:val="TableParagraph"/>
              <w:spacing w:before="26"/>
              <w:ind w:right="54"/>
              <w:jc w:val="right"/>
              <w:rPr>
                <w:sz w:val="18"/>
              </w:rPr>
            </w:pPr>
            <w:r>
              <w:rPr>
                <w:sz w:val="18"/>
              </w:rPr>
              <w:t>554,021</w:t>
            </w:r>
          </w:p>
        </w:tc>
        <w:tc>
          <w:tcPr>
            <w:tcW w:w="1603" w:type="dxa"/>
            <w:tcBorders>
              <w:bottom w:val="single" w:sz="8" w:space="0" w:color="000000"/>
            </w:tcBorders>
          </w:tcPr>
          <w:p w14:paraId="3A2CE02B" w14:textId="77777777" w:rsidR="00FA4AA8" w:rsidRDefault="0015611F">
            <w:pPr>
              <w:pStyle w:val="TableParagraph"/>
              <w:spacing w:before="26"/>
              <w:ind w:right="211"/>
              <w:jc w:val="right"/>
              <w:rPr>
                <w:sz w:val="18"/>
              </w:rPr>
            </w:pPr>
            <w:r>
              <w:rPr>
                <w:sz w:val="18"/>
              </w:rPr>
              <w:t>7,029</w:t>
            </w:r>
          </w:p>
        </w:tc>
        <w:tc>
          <w:tcPr>
            <w:tcW w:w="1145" w:type="dxa"/>
            <w:tcBorders>
              <w:bottom w:val="single" w:sz="8" w:space="0" w:color="000000"/>
            </w:tcBorders>
          </w:tcPr>
          <w:p w14:paraId="66A0A610" w14:textId="77777777" w:rsidR="00FA4AA8" w:rsidRDefault="0015611F">
            <w:pPr>
              <w:pStyle w:val="TableParagraph"/>
              <w:spacing w:before="26"/>
              <w:ind w:left="406"/>
              <w:rPr>
                <w:sz w:val="18"/>
              </w:rPr>
            </w:pPr>
            <w:r>
              <w:rPr>
                <w:sz w:val="18"/>
              </w:rPr>
              <w:t>561,050</w:t>
            </w:r>
          </w:p>
        </w:tc>
      </w:tr>
      <w:tr w:rsidR="00FA4AA8" w14:paraId="5EA4C55D" w14:textId="77777777">
        <w:trPr>
          <w:trHeight w:val="318"/>
        </w:trPr>
        <w:tc>
          <w:tcPr>
            <w:tcW w:w="4203" w:type="dxa"/>
          </w:tcPr>
          <w:p w14:paraId="3FCD8265" w14:textId="77777777" w:rsidR="00FA4AA8" w:rsidRDefault="0015611F">
            <w:pPr>
              <w:pStyle w:val="TableParagraph"/>
              <w:spacing w:before="113" w:line="185" w:lineRule="exact"/>
              <w:ind w:left="50"/>
              <w:rPr>
                <w:b/>
                <w:sz w:val="18"/>
              </w:rPr>
            </w:pPr>
            <w:r>
              <w:rPr>
                <w:b/>
                <w:sz w:val="18"/>
              </w:rPr>
              <w:t>Net effect on current liabilities</w:t>
            </w:r>
          </w:p>
        </w:tc>
        <w:tc>
          <w:tcPr>
            <w:tcW w:w="761" w:type="dxa"/>
          </w:tcPr>
          <w:p w14:paraId="4A10364E" w14:textId="77777777" w:rsidR="00FA4AA8" w:rsidRDefault="00FA4AA8">
            <w:pPr>
              <w:pStyle w:val="TableParagraph"/>
              <w:rPr>
                <w:rFonts w:ascii="Times New Roman"/>
                <w:sz w:val="18"/>
              </w:rPr>
            </w:pPr>
          </w:p>
        </w:tc>
        <w:tc>
          <w:tcPr>
            <w:tcW w:w="1265" w:type="dxa"/>
            <w:tcBorders>
              <w:top w:val="single" w:sz="8" w:space="0" w:color="000000"/>
              <w:bottom w:val="single" w:sz="8" w:space="0" w:color="000000"/>
            </w:tcBorders>
          </w:tcPr>
          <w:p w14:paraId="6B003177" w14:textId="77777777" w:rsidR="00FA4AA8" w:rsidRDefault="0015611F">
            <w:pPr>
              <w:pStyle w:val="TableParagraph"/>
              <w:spacing w:before="113" w:line="185" w:lineRule="exact"/>
              <w:ind w:right="54"/>
              <w:jc w:val="right"/>
              <w:rPr>
                <w:sz w:val="18"/>
              </w:rPr>
            </w:pPr>
            <w:r>
              <w:rPr>
                <w:sz w:val="18"/>
              </w:rPr>
              <w:t>3,570,472</w:t>
            </w:r>
          </w:p>
        </w:tc>
        <w:tc>
          <w:tcPr>
            <w:tcW w:w="1603" w:type="dxa"/>
            <w:tcBorders>
              <w:top w:val="single" w:sz="8" w:space="0" w:color="000000"/>
              <w:bottom w:val="single" w:sz="8" w:space="0" w:color="000000"/>
            </w:tcBorders>
          </w:tcPr>
          <w:p w14:paraId="017687FD" w14:textId="77777777" w:rsidR="00FA4AA8" w:rsidRDefault="0015611F">
            <w:pPr>
              <w:pStyle w:val="TableParagraph"/>
              <w:spacing w:before="113" w:line="185" w:lineRule="exact"/>
              <w:ind w:right="211"/>
              <w:jc w:val="right"/>
              <w:rPr>
                <w:b/>
                <w:sz w:val="18"/>
              </w:rPr>
            </w:pPr>
            <w:r>
              <w:rPr>
                <w:b/>
                <w:sz w:val="18"/>
              </w:rPr>
              <w:t>-</w:t>
            </w:r>
          </w:p>
        </w:tc>
        <w:tc>
          <w:tcPr>
            <w:tcW w:w="1145" w:type="dxa"/>
            <w:tcBorders>
              <w:top w:val="single" w:sz="8" w:space="0" w:color="000000"/>
              <w:bottom w:val="single" w:sz="8" w:space="0" w:color="000000"/>
            </w:tcBorders>
          </w:tcPr>
          <w:p w14:paraId="3B4B9BCC" w14:textId="77777777" w:rsidR="00FA4AA8" w:rsidRDefault="0015611F">
            <w:pPr>
              <w:pStyle w:val="TableParagraph"/>
              <w:spacing w:before="113" w:line="185" w:lineRule="exact"/>
              <w:ind w:left="256"/>
              <w:rPr>
                <w:sz w:val="18"/>
              </w:rPr>
            </w:pPr>
            <w:r>
              <w:rPr>
                <w:sz w:val="18"/>
              </w:rPr>
              <w:t>3,570,472</w:t>
            </w:r>
          </w:p>
        </w:tc>
      </w:tr>
    </w:tbl>
    <w:p w14:paraId="7234676F" w14:textId="77777777" w:rsidR="00FA4AA8" w:rsidRDefault="00FA4AA8">
      <w:pPr>
        <w:spacing w:line="185" w:lineRule="exact"/>
        <w:rPr>
          <w:sz w:val="18"/>
        </w:rPr>
        <w:sectPr w:rsidR="00FA4AA8">
          <w:pgSz w:w="11910" w:h="16840"/>
          <w:pgMar w:top="1720" w:right="840" w:bottom="720" w:left="840" w:header="1017" w:footer="523" w:gutter="0"/>
          <w:cols w:space="720"/>
        </w:sectPr>
      </w:pPr>
    </w:p>
    <w:p w14:paraId="5F7107AE" w14:textId="77777777" w:rsidR="00FA4AA8" w:rsidRDefault="00FA4AA8">
      <w:pPr>
        <w:pStyle w:val="BodyText"/>
        <w:spacing w:before="6"/>
        <w:rPr>
          <w:sz w:val="21"/>
        </w:rPr>
      </w:pPr>
    </w:p>
    <w:p w14:paraId="0E408FE1" w14:textId="77777777" w:rsidR="00FA4AA8" w:rsidRDefault="0015611F">
      <w:pPr>
        <w:pStyle w:val="Heading2"/>
      </w:pPr>
      <w:r>
        <w:t>Notes to the Financial Statements</w:t>
      </w:r>
    </w:p>
    <w:p w14:paraId="5DDC7344" w14:textId="77777777" w:rsidR="00FA4AA8" w:rsidRDefault="0015611F">
      <w:pPr>
        <w:pStyle w:val="Heading6"/>
        <w:spacing w:before="57"/>
        <w:ind w:left="167"/>
      </w:pPr>
      <w:bookmarkStart w:id="116" w:name="(a)_Rendering_of_services"/>
      <w:bookmarkEnd w:id="116"/>
      <w:r>
        <w:t>For the Year Ended 31 December 2018</w:t>
      </w:r>
    </w:p>
    <w:p w14:paraId="6D3EF14F" w14:textId="77777777" w:rsidR="00FA4AA8" w:rsidRDefault="00FA4AA8">
      <w:pPr>
        <w:pStyle w:val="BodyText"/>
        <w:rPr>
          <w:b/>
          <w:sz w:val="20"/>
        </w:rPr>
      </w:pPr>
    </w:p>
    <w:p w14:paraId="22BC5C56" w14:textId="77777777" w:rsidR="00FA4AA8" w:rsidRDefault="00FA4AA8">
      <w:pPr>
        <w:pStyle w:val="BodyText"/>
        <w:rPr>
          <w:b/>
          <w:sz w:val="20"/>
        </w:rPr>
      </w:pPr>
    </w:p>
    <w:p w14:paraId="2F2F13CE" w14:textId="77777777" w:rsidR="00FA4AA8" w:rsidRDefault="00FA4AA8">
      <w:pPr>
        <w:pStyle w:val="BodyText"/>
        <w:spacing w:before="5" w:after="1"/>
        <w:rPr>
          <w:b/>
        </w:rPr>
      </w:pPr>
    </w:p>
    <w:tbl>
      <w:tblPr>
        <w:tblW w:w="0" w:type="auto"/>
        <w:tblInd w:w="126" w:type="dxa"/>
        <w:tblLayout w:type="fixed"/>
        <w:tblCellMar>
          <w:left w:w="0" w:type="dxa"/>
          <w:right w:w="0" w:type="dxa"/>
        </w:tblCellMar>
        <w:tblLook w:val="01E0" w:firstRow="1" w:lastRow="1" w:firstColumn="1" w:lastColumn="1" w:noHBand="0" w:noVBand="0"/>
      </w:tblPr>
      <w:tblGrid>
        <w:gridCol w:w="297"/>
        <w:gridCol w:w="7073"/>
        <w:gridCol w:w="1408"/>
        <w:gridCol w:w="1185"/>
      </w:tblGrid>
      <w:tr w:rsidR="00FA4AA8" w14:paraId="21B2EF6F" w14:textId="77777777">
        <w:trPr>
          <w:trHeight w:val="736"/>
        </w:trPr>
        <w:tc>
          <w:tcPr>
            <w:tcW w:w="297" w:type="dxa"/>
          </w:tcPr>
          <w:p w14:paraId="3C178108" w14:textId="77777777" w:rsidR="00FA4AA8" w:rsidRDefault="0015611F">
            <w:pPr>
              <w:pStyle w:val="TableParagraph"/>
              <w:spacing w:line="201" w:lineRule="exact"/>
              <w:ind w:left="50"/>
              <w:rPr>
                <w:b/>
                <w:sz w:val="18"/>
              </w:rPr>
            </w:pPr>
            <w:r>
              <w:rPr>
                <w:b/>
                <w:sz w:val="18"/>
              </w:rPr>
              <w:t>2</w:t>
            </w:r>
          </w:p>
        </w:tc>
        <w:tc>
          <w:tcPr>
            <w:tcW w:w="7073" w:type="dxa"/>
          </w:tcPr>
          <w:p w14:paraId="6CBDD669" w14:textId="77777777" w:rsidR="00FA4AA8" w:rsidRDefault="0015611F">
            <w:pPr>
              <w:pStyle w:val="TableParagraph"/>
              <w:spacing w:line="201" w:lineRule="exact"/>
              <w:ind w:left="147"/>
              <w:rPr>
                <w:b/>
                <w:sz w:val="18"/>
              </w:rPr>
            </w:pPr>
            <w:r>
              <w:rPr>
                <w:b/>
                <w:sz w:val="18"/>
              </w:rPr>
              <w:t>Revenue</w:t>
            </w:r>
          </w:p>
          <w:p w14:paraId="49D7776D" w14:textId="77777777" w:rsidR="00FA4AA8" w:rsidRDefault="00FA4AA8">
            <w:pPr>
              <w:pStyle w:val="TableParagraph"/>
              <w:spacing w:before="7"/>
              <w:rPr>
                <w:b/>
                <w:sz w:val="26"/>
              </w:rPr>
            </w:pPr>
          </w:p>
          <w:p w14:paraId="6A0D5F0C" w14:textId="77777777" w:rsidR="00FA4AA8" w:rsidRDefault="0015611F">
            <w:pPr>
              <w:pStyle w:val="TableParagraph"/>
              <w:tabs>
                <w:tab w:val="left" w:pos="715"/>
              </w:tabs>
              <w:ind w:left="149"/>
              <w:rPr>
                <w:b/>
                <w:sz w:val="18"/>
              </w:rPr>
            </w:pPr>
            <w:r>
              <w:rPr>
                <w:b/>
                <w:sz w:val="18"/>
              </w:rPr>
              <w:t>(a)</w:t>
            </w:r>
            <w:r>
              <w:rPr>
                <w:b/>
                <w:sz w:val="18"/>
              </w:rPr>
              <w:tab/>
              <w:t>Rendering of</w:t>
            </w:r>
            <w:r>
              <w:rPr>
                <w:b/>
                <w:spacing w:val="-2"/>
                <w:sz w:val="18"/>
              </w:rPr>
              <w:t xml:space="preserve"> </w:t>
            </w:r>
            <w:r>
              <w:rPr>
                <w:b/>
                <w:sz w:val="18"/>
              </w:rPr>
              <w:t>services</w:t>
            </w:r>
          </w:p>
        </w:tc>
        <w:tc>
          <w:tcPr>
            <w:tcW w:w="2593" w:type="dxa"/>
            <w:gridSpan w:val="2"/>
          </w:tcPr>
          <w:p w14:paraId="1E043005" w14:textId="77777777" w:rsidR="00FA4AA8" w:rsidRDefault="00FA4AA8">
            <w:pPr>
              <w:pStyle w:val="TableParagraph"/>
              <w:rPr>
                <w:rFonts w:ascii="Times New Roman"/>
                <w:sz w:val="18"/>
              </w:rPr>
            </w:pPr>
          </w:p>
        </w:tc>
      </w:tr>
      <w:tr w:rsidR="00FA4AA8" w14:paraId="4793CC48" w14:textId="77777777">
        <w:trPr>
          <w:trHeight w:val="259"/>
        </w:trPr>
        <w:tc>
          <w:tcPr>
            <w:tcW w:w="297" w:type="dxa"/>
          </w:tcPr>
          <w:p w14:paraId="689830F7" w14:textId="77777777" w:rsidR="00FA4AA8" w:rsidRDefault="00FA4AA8">
            <w:pPr>
              <w:pStyle w:val="TableParagraph"/>
              <w:rPr>
                <w:rFonts w:ascii="Times New Roman"/>
                <w:sz w:val="18"/>
              </w:rPr>
            </w:pPr>
          </w:p>
        </w:tc>
        <w:tc>
          <w:tcPr>
            <w:tcW w:w="7073" w:type="dxa"/>
          </w:tcPr>
          <w:p w14:paraId="319B640D" w14:textId="77777777" w:rsidR="00FA4AA8" w:rsidRDefault="00FA4AA8">
            <w:pPr>
              <w:pStyle w:val="TableParagraph"/>
              <w:rPr>
                <w:rFonts w:ascii="Times New Roman"/>
                <w:sz w:val="18"/>
              </w:rPr>
            </w:pPr>
          </w:p>
        </w:tc>
        <w:tc>
          <w:tcPr>
            <w:tcW w:w="1408" w:type="dxa"/>
          </w:tcPr>
          <w:p w14:paraId="315A04EA" w14:textId="77777777" w:rsidR="00FA4AA8" w:rsidRDefault="0015611F">
            <w:pPr>
              <w:pStyle w:val="TableParagraph"/>
              <w:spacing w:before="16"/>
              <w:ind w:left="452" w:right="514"/>
              <w:jc w:val="center"/>
              <w:rPr>
                <w:b/>
                <w:sz w:val="18"/>
              </w:rPr>
            </w:pPr>
            <w:r>
              <w:rPr>
                <w:b/>
                <w:sz w:val="18"/>
              </w:rPr>
              <w:t>2018</w:t>
            </w:r>
          </w:p>
        </w:tc>
        <w:tc>
          <w:tcPr>
            <w:tcW w:w="1185" w:type="dxa"/>
          </w:tcPr>
          <w:p w14:paraId="657B55B4" w14:textId="77777777" w:rsidR="00FA4AA8" w:rsidRDefault="0015611F">
            <w:pPr>
              <w:pStyle w:val="TableParagraph"/>
              <w:spacing w:before="16"/>
              <w:ind w:left="347"/>
              <w:rPr>
                <w:b/>
                <w:sz w:val="18"/>
              </w:rPr>
            </w:pPr>
            <w:r>
              <w:rPr>
                <w:b/>
                <w:sz w:val="18"/>
              </w:rPr>
              <w:t>2017</w:t>
            </w:r>
          </w:p>
        </w:tc>
      </w:tr>
      <w:tr w:rsidR="00FA4AA8" w14:paraId="5CCBE876" w14:textId="77777777">
        <w:trPr>
          <w:trHeight w:val="270"/>
        </w:trPr>
        <w:tc>
          <w:tcPr>
            <w:tcW w:w="297" w:type="dxa"/>
          </w:tcPr>
          <w:p w14:paraId="0C10C398" w14:textId="77777777" w:rsidR="00FA4AA8" w:rsidRDefault="00FA4AA8">
            <w:pPr>
              <w:pStyle w:val="TableParagraph"/>
              <w:rPr>
                <w:rFonts w:ascii="Times New Roman"/>
                <w:sz w:val="18"/>
              </w:rPr>
            </w:pPr>
          </w:p>
        </w:tc>
        <w:tc>
          <w:tcPr>
            <w:tcW w:w="7073" w:type="dxa"/>
          </w:tcPr>
          <w:p w14:paraId="7A2C6519" w14:textId="77777777" w:rsidR="00FA4AA8" w:rsidRDefault="00FA4AA8">
            <w:pPr>
              <w:pStyle w:val="TableParagraph"/>
              <w:rPr>
                <w:rFonts w:ascii="Times New Roman"/>
                <w:sz w:val="18"/>
              </w:rPr>
            </w:pPr>
          </w:p>
        </w:tc>
        <w:tc>
          <w:tcPr>
            <w:tcW w:w="1408" w:type="dxa"/>
          </w:tcPr>
          <w:p w14:paraId="142F69D8" w14:textId="77777777" w:rsidR="00FA4AA8" w:rsidRDefault="0015611F">
            <w:pPr>
              <w:pStyle w:val="TableParagraph"/>
              <w:spacing w:before="30"/>
              <w:ind w:right="60"/>
              <w:jc w:val="center"/>
              <w:rPr>
                <w:b/>
                <w:sz w:val="18"/>
              </w:rPr>
            </w:pPr>
            <w:bookmarkStart w:id="117" w:name="(b)_Other_revenue"/>
            <w:bookmarkEnd w:id="117"/>
            <w:r>
              <w:rPr>
                <w:b/>
                <w:sz w:val="18"/>
              </w:rPr>
              <w:t>$</w:t>
            </w:r>
          </w:p>
        </w:tc>
        <w:tc>
          <w:tcPr>
            <w:tcW w:w="1185" w:type="dxa"/>
          </w:tcPr>
          <w:p w14:paraId="79FC3D63" w14:textId="77777777" w:rsidR="00FA4AA8" w:rsidRDefault="0015611F">
            <w:pPr>
              <w:pStyle w:val="TableParagraph"/>
              <w:spacing w:before="30"/>
              <w:ind w:right="87"/>
              <w:jc w:val="center"/>
              <w:rPr>
                <w:b/>
                <w:sz w:val="18"/>
              </w:rPr>
            </w:pPr>
            <w:r>
              <w:rPr>
                <w:b/>
                <w:sz w:val="18"/>
              </w:rPr>
              <w:t>$</w:t>
            </w:r>
          </w:p>
        </w:tc>
      </w:tr>
      <w:tr w:rsidR="00FA4AA8" w14:paraId="3ECBA18C" w14:textId="77777777">
        <w:trPr>
          <w:trHeight w:val="266"/>
        </w:trPr>
        <w:tc>
          <w:tcPr>
            <w:tcW w:w="297" w:type="dxa"/>
          </w:tcPr>
          <w:p w14:paraId="15A1ED7B" w14:textId="77777777" w:rsidR="00FA4AA8" w:rsidRDefault="00FA4AA8">
            <w:pPr>
              <w:pStyle w:val="TableParagraph"/>
              <w:rPr>
                <w:rFonts w:ascii="Times New Roman"/>
                <w:sz w:val="18"/>
              </w:rPr>
            </w:pPr>
          </w:p>
        </w:tc>
        <w:tc>
          <w:tcPr>
            <w:tcW w:w="7073" w:type="dxa"/>
          </w:tcPr>
          <w:p w14:paraId="00204FC5" w14:textId="77777777" w:rsidR="00FA4AA8" w:rsidRDefault="0015611F">
            <w:pPr>
              <w:pStyle w:val="TableParagraph"/>
              <w:spacing w:before="27"/>
              <w:ind w:left="761"/>
              <w:rPr>
                <w:sz w:val="18"/>
              </w:rPr>
            </w:pPr>
            <w:r>
              <w:rPr>
                <w:sz w:val="18"/>
              </w:rPr>
              <w:t>Tuition income</w:t>
            </w:r>
          </w:p>
        </w:tc>
        <w:tc>
          <w:tcPr>
            <w:tcW w:w="1408" w:type="dxa"/>
          </w:tcPr>
          <w:p w14:paraId="72A0E200" w14:textId="77777777" w:rsidR="00FA4AA8" w:rsidRDefault="0015611F">
            <w:pPr>
              <w:pStyle w:val="TableParagraph"/>
              <w:spacing w:before="28"/>
              <w:ind w:right="195"/>
              <w:jc w:val="right"/>
              <w:rPr>
                <w:b/>
                <w:sz w:val="18"/>
              </w:rPr>
            </w:pPr>
            <w:r>
              <w:rPr>
                <w:b/>
                <w:sz w:val="18"/>
              </w:rPr>
              <w:t>56,597,831</w:t>
            </w:r>
          </w:p>
        </w:tc>
        <w:tc>
          <w:tcPr>
            <w:tcW w:w="1185" w:type="dxa"/>
          </w:tcPr>
          <w:p w14:paraId="210B0500" w14:textId="77777777" w:rsidR="00FA4AA8" w:rsidRDefault="0015611F">
            <w:pPr>
              <w:pStyle w:val="TableParagraph"/>
              <w:spacing w:before="28"/>
              <w:ind w:right="84"/>
              <w:jc w:val="right"/>
              <w:rPr>
                <w:sz w:val="18"/>
              </w:rPr>
            </w:pPr>
            <w:r>
              <w:rPr>
                <w:sz w:val="18"/>
              </w:rPr>
              <w:t>55,899,633</w:t>
            </w:r>
          </w:p>
        </w:tc>
      </w:tr>
      <w:tr w:rsidR="00FA4AA8" w14:paraId="34F899BA" w14:textId="77777777">
        <w:trPr>
          <w:trHeight w:val="260"/>
        </w:trPr>
        <w:tc>
          <w:tcPr>
            <w:tcW w:w="297" w:type="dxa"/>
          </w:tcPr>
          <w:p w14:paraId="25015BD1" w14:textId="77777777" w:rsidR="00FA4AA8" w:rsidRDefault="00FA4AA8">
            <w:pPr>
              <w:pStyle w:val="TableParagraph"/>
              <w:rPr>
                <w:rFonts w:ascii="Times New Roman"/>
                <w:sz w:val="18"/>
              </w:rPr>
            </w:pPr>
          </w:p>
        </w:tc>
        <w:tc>
          <w:tcPr>
            <w:tcW w:w="7073" w:type="dxa"/>
          </w:tcPr>
          <w:p w14:paraId="402C203E" w14:textId="77777777" w:rsidR="00FA4AA8" w:rsidRDefault="0015611F">
            <w:pPr>
              <w:pStyle w:val="TableParagraph"/>
              <w:spacing w:before="25"/>
              <w:ind w:left="761"/>
              <w:rPr>
                <w:sz w:val="18"/>
              </w:rPr>
            </w:pPr>
            <w:r>
              <w:rPr>
                <w:sz w:val="18"/>
              </w:rPr>
              <w:t>Student test fees and charges</w:t>
            </w:r>
          </w:p>
        </w:tc>
        <w:tc>
          <w:tcPr>
            <w:tcW w:w="1408" w:type="dxa"/>
            <w:tcBorders>
              <w:bottom w:val="single" w:sz="8" w:space="0" w:color="000000"/>
            </w:tcBorders>
          </w:tcPr>
          <w:p w14:paraId="77DDB0A7" w14:textId="77777777" w:rsidR="00FA4AA8" w:rsidRDefault="0015611F">
            <w:pPr>
              <w:pStyle w:val="TableParagraph"/>
              <w:spacing w:before="26"/>
              <w:ind w:right="195"/>
              <w:jc w:val="right"/>
              <w:rPr>
                <w:b/>
                <w:sz w:val="18"/>
              </w:rPr>
            </w:pPr>
            <w:r>
              <w:rPr>
                <w:b/>
                <w:sz w:val="18"/>
              </w:rPr>
              <w:t>3,139,227</w:t>
            </w:r>
          </w:p>
        </w:tc>
        <w:tc>
          <w:tcPr>
            <w:tcW w:w="1185" w:type="dxa"/>
            <w:tcBorders>
              <w:bottom w:val="single" w:sz="8" w:space="0" w:color="000000"/>
            </w:tcBorders>
          </w:tcPr>
          <w:p w14:paraId="0ECEF779" w14:textId="77777777" w:rsidR="00FA4AA8" w:rsidRDefault="0015611F">
            <w:pPr>
              <w:pStyle w:val="TableParagraph"/>
              <w:spacing w:before="26"/>
              <w:ind w:right="84"/>
              <w:jc w:val="right"/>
              <w:rPr>
                <w:sz w:val="18"/>
              </w:rPr>
            </w:pPr>
            <w:r>
              <w:rPr>
                <w:sz w:val="18"/>
              </w:rPr>
              <w:t>3,499,924</w:t>
            </w:r>
          </w:p>
        </w:tc>
      </w:tr>
      <w:tr w:rsidR="00FA4AA8" w14:paraId="5D85982A" w14:textId="77777777">
        <w:trPr>
          <w:trHeight w:val="313"/>
        </w:trPr>
        <w:tc>
          <w:tcPr>
            <w:tcW w:w="297" w:type="dxa"/>
          </w:tcPr>
          <w:p w14:paraId="402E33F6" w14:textId="77777777" w:rsidR="00FA4AA8" w:rsidRDefault="00FA4AA8">
            <w:pPr>
              <w:pStyle w:val="TableParagraph"/>
              <w:rPr>
                <w:rFonts w:ascii="Times New Roman"/>
                <w:sz w:val="18"/>
              </w:rPr>
            </w:pPr>
          </w:p>
        </w:tc>
        <w:tc>
          <w:tcPr>
            <w:tcW w:w="7073" w:type="dxa"/>
          </w:tcPr>
          <w:p w14:paraId="478C3178" w14:textId="77777777" w:rsidR="00FA4AA8" w:rsidRDefault="0015611F">
            <w:pPr>
              <w:pStyle w:val="TableParagraph"/>
              <w:spacing w:before="113" w:line="180" w:lineRule="exact"/>
              <w:ind w:left="761"/>
              <w:rPr>
                <w:b/>
                <w:sz w:val="18"/>
              </w:rPr>
            </w:pPr>
            <w:r>
              <w:rPr>
                <w:b/>
                <w:sz w:val="18"/>
              </w:rPr>
              <w:t>Total revenue from rendering of services</w:t>
            </w:r>
          </w:p>
        </w:tc>
        <w:tc>
          <w:tcPr>
            <w:tcW w:w="1408" w:type="dxa"/>
            <w:tcBorders>
              <w:top w:val="single" w:sz="8" w:space="0" w:color="000000"/>
              <w:bottom w:val="double" w:sz="3" w:space="0" w:color="000000"/>
            </w:tcBorders>
          </w:tcPr>
          <w:p w14:paraId="68529EE9" w14:textId="77777777" w:rsidR="00FA4AA8" w:rsidRDefault="0015611F">
            <w:pPr>
              <w:pStyle w:val="TableParagraph"/>
              <w:spacing w:before="113" w:line="180" w:lineRule="exact"/>
              <w:ind w:right="195"/>
              <w:jc w:val="right"/>
              <w:rPr>
                <w:b/>
                <w:sz w:val="18"/>
              </w:rPr>
            </w:pPr>
            <w:r>
              <w:rPr>
                <w:b/>
                <w:sz w:val="18"/>
              </w:rPr>
              <w:t>59,737,058</w:t>
            </w:r>
          </w:p>
        </w:tc>
        <w:tc>
          <w:tcPr>
            <w:tcW w:w="1185" w:type="dxa"/>
            <w:tcBorders>
              <w:top w:val="single" w:sz="8" w:space="0" w:color="000000"/>
              <w:bottom w:val="double" w:sz="3" w:space="0" w:color="000000"/>
            </w:tcBorders>
          </w:tcPr>
          <w:p w14:paraId="44A73413" w14:textId="77777777" w:rsidR="00FA4AA8" w:rsidRDefault="0015611F">
            <w:pPr>
              <w:pStyle w:val="TableParagraph"/>
              <w:spacing w:before="113" w:line="180" w:lineRule="exact"/>
              <w:ind w:right="84"/>
              <w:jc w:val="right"/>
              <w:rPr>
                <w:sz w:val="18"/>
              </w:rPr>
            </w:pPr>
            <w:r>
              <w:rPr>
                <w:sz w:val="18"/>
              </w:rPr>
              <w:t>59,399,557</w:t>
            </w:r>
          </w:p>
        </w:tc>
      </w:tr>
      <w:tr w:rsidR="00FA4AA8" w14:paraId="52F099B2" w14:textId="77777777">
        <w:trPr>
          <w:trHeight w:val="790"/>
        </w:trPr>
        <w:tc>
          <w:tcPr>
            <w:tcW w:w="297" w:type="dxa"/>
          </w:tcPr>
          <w:p w14:paraId="692B663C" w14:textId="77777777" w:rsidR="00FA4AA8" w:rsidRDefault="00FA4AA8">
            <w:pPr>
              <w:pStyle w:val="TableParagraph"/>
              <w:rPr>
                <w:rFonts w:ascii="Times New Roman"/>
                <w:sz w:val="18"/>
              </w:rPr>
            </w:pPr>
          </w:p>
        </w:tc>
        <w:tc>
          <w:tcPr>
            <w:tcW w:w="7073" w:type="dxa"/>
          </w:tcPr>
          <w:p w14:paraId="40FE09FA" w14:textId="77777777" w:rsidR="00FA4AA8" w:rsidRDefault="00FA4AA8">
            <w:pPr>
              <w:pStyle w:val="TableParagraph"/>
              <w:spacing w:before="3"/>
              <w:rPr>
                <w:b/>
                <w:sz w:val="26"/>
              </w:rPr>
            </w:pPr>
          </w:p>
          <w:p w14:paraId="6CD19129" w14:textId="77777777" w:rsidR="00FA4AA8" w:rsidRDefault="0015611F">
            <w:pPr>
              <w:pStyle w:val="TableParagraph"/>
              <w:tabs>
                <w:tab w:val="left" w:pos="715"/>
              </w:tabs>
              <w:ind w:left="149"/>
              <w:rPr>
                <w:b/>
                <w:sz w:val="18"/>
              </w:rPr>
            </w:pPr>
            <w:r>
              <w:rPr>
                <w:b/>
                <w:sz w:val="18"/>
              </w:rPr>
              <w:t>(b)</w:t>
            </w:r>
            <w:r>
              <w:rPr>
                <w:b/>
                <w:sz w:val="18"/>
              </w:rPr>
              <w:tab/>
              <w:t>Other</w:t>
            </w:r>
            <w:r>
              <w:rPr>
                <w:b/>
                <w:spacing w:val="-2"/>
                <w:sz w:val="18"/>
              </w:rPr>
              <w:t xml:space="preserve"> </w:t>
            </w:r>
            <w:r>
              <w:rPr>
                <w:b/>
                <w:sz w:val="18"/>
              </w:rPr>
              <w:t>revenue</w:t>
            </w:r>
          </w:p>
        </w:tc>
        <w:tc>
          <w:tcPr>
            <w:tcW w:w="1408" w:type="dxa"/>
            <w:tcBorders>
              <w:top w:val="double" w:sz="3" w:space="0" w:color="000000"/>
            </w:tcBorders>
          </w:tcPr>
          <w:p w14:paraId="3EBACDD4" w14:textId="77777777" w:rsidR="00FA4AA8" w:rsidRDefault="00FA4AA8">
            <w:pPr>
              <w:pStyle w:val="TableParagraph"/>
              <w:rPr>
                <w:b/>
                <w:sz w:val="20"/>
              </w:rPr>
            </w:pPr>
          </w:p>
          <w:p w14:paraId="1F770247" w14:textId="77777777" w:rsidR="00FA4AA8" w:rsidRDefault="00FA4AA8">
            <w:pPr>
              <w:pStyle w:val="TableParagraph"/>
              <w:spacing w:before="7"/>
              <w:rPr>
                <w:b/>
                <w:sz w:val="27"/>
              </w:rPr>
            </w:pPr>
          </w:p>
          <w:p w14:paraId="339F237A" w14:textId="77777777" w:rsidR="00FA4AA8" w:rsidRDefault="0015611F">
            <w:pPr>
              <w:pStyle w:val="TableParagraph"/>
              <w:ind w:left="450"/>
              <w:rPr>
                <w:b/>
                <w:sz w:val="18"/>
              </w:rPr>
            </w:pPr>
            <w:r>
              <w:rPr>
                <w:b/>
                <w:sz w:val="18"/>
              </w:rPr>
              <w:t>2018</w:t>
            </w:r>
          </w:p>
        </w:tc>
        <w:tc>
          <w:tcPr>
            <w:tcW w:w="1185" w:type="dxa"/>
            <w:tcBorders>
              <w:top w:val="double" w:sz="3" w:space="0" w:color="000000"/>
            </w:tcBorders>
          </w:tcPr>
          <w:p w14:paraId="7B20D64F" w14:textId="77777777" w:rsidR="00FA4AA8" w:rsidRDefault="00FA4AA8">
            <w:pPr>
              <w:pStyle w:val="TableParagraph"/>
              <w:rPr>
                <w:b/>
                <w:sz w:val="20"/>
              </w:rPr>
            </w:pPr>
          </w:p>
          <w:p w14:paraId="35CA907B" w14:textId="77777777" w:rsidR="00FA4AA8" w:rsidRDefault="00FA4AA8">
            <w:pPr>
              <w:pStyle w:val="TableParagraph"/>
              <w:spacing w:before="7"/>
              <w:rPr>
                <w:b/>
                <w:sz w:val="27"/>
              </w:rPr>
            </w:pPr>
          </w:p>
          <w:p w14:paraId="37159B39" w14:textId="77777777" w:rsidR="00FA4AA8" w:rsidRDefault="0015611F">
            <w:pPr>
              <w:pStyle w:val="TableParagraph"/>
              <w:ind w:left="326"/>
              <w:rPr>
                <w:b/>
                <w:sz w:val="18"/>
              </w:rPr>
            </w:pPr>
            <w:r>
              <w:rPr>
                <w:b/>
                <w:sz w:val="18"/>
              </w:rPr>
              <w:t>2017</w:t>
            </w:r>
          </w:p>
        </w:tc>
      </w:tr>
      <w:tr w:rsidR="00FA4AA8" w14:paraId="6D64D2E4" w14:textId="77777777">
        <w:trPr>
          <w:trHeight w:val="270"/>
        </w:trPr>
        <w:tc>
          <w:tcPr>
            <w:tcW w:w="297" w:type="dxa"/>
          </w:tcPr>
          <w:p w14:paraId="73452025" w14:textId="77777777" w:rsidR="00FA4AA8" w:rsidRDefault="00FA4AA8">
            <w:pPr>
              <w:pStyle w:val="TableParagraph"/>
              <w:rPr>
                <w:rFonts w:ascii="Times New Roman"/>
                <w:sz w:val="18"/>
              </w:rPr>
            </w:pPr>
          </w:p>
        </w:tc>
        <w:tc>
          <w:tcPr>
            <w:tcW w:w="7073" w:type="dxa"/>
          </w:tcPr>
          <w:p w14:paraId="3DEF2D84" w14:textId="77777777" w:rsidR="00FA4AA8" w:rsidRDefault="00FA4AA8">
            <w:pPr>
              <w:pStyle w:val="TableParagraph"/>
              <w:rPr>
                <w:rFonts w:ascii="Times New Roman"/>
                <w:sz w:val="18"/>
              </w:rPr>
            </w:pPr>
          </w:p>
        </w:tc>
        <w:tc>
          <w:tcPr>
            <w:tcW w:w="1408" w:type="dxa"/>
          </w:tcPr>
          <w:p w14:paraId="1BB20762" w14:textId="77777777" w:rsidR="00FA4AA8" w:rsidRDefault="0015611F">
            <w:pPr>
              <w:pStyle w:val="TableParagraph"/>
              <w:spacing w:before="30"/>
              <w:ind w:right="105"/>
              <w:jc w:val="center"/>
              <w:rPr>
                <w:b/>
                <w:sz w:val="18"/>
              </w:rPr>
            </w:pPr>
            <w:r>
              <w:rPr>
                <w:b/>
                <w:sz w:val="18"/>
              </w:rPr>
              <w:t>$</w:t>
            </w:r>
          </w:p>
        </w:tc>
        <w:tc>
          <w:tcPr>
            <w:tcW w:w="1185" w:type="dxa"/>
          </w:tcPr>
          <w:p w14:paraId="17D1F9B2" w14:textId="77777777" w:rsidR="00FA4AA8" w:rsidRDefault="0015611F">
            <w:pPr>
              <w:pStyle w:val="TableParagraph"/>
              <w:spacing w:before="30"/>
              <w:ind w:right="130"/>
              <w:jc w:val="center"/>
              <w:rPr>
                <w:b/>
                <w:sz w:val="18"/>
              </w:rPr>
            </w:pPr>
            <w:r>
              <w:rPr>
                <w:b/>
                <w:sz w:val="18"/>
              </w:rPr>
              <w:t>$</w:t>
            </w:r>
          </w:p>
        </w:tc>
      </w:tr>
      <w:tr w:rsidR="00FA4AA8" w14:paraId="36BD9FE2" w14:textId="77777777">
        <w:trPr>
          <w:trHeight w:val="266"/>
        </w:trPr>
        <w:tc>
          <w:tcPr>
            <w:tcW w:w="297" w:type="dxa"/>
          </w:tcPr>
          <w:p w14:paraId="4FFB5BA1" w14:textId="77777777" w:rsidR="00FA4AA8" w:rsidRDefault="00FA4AA8">
            <w:pPr>
              <w:pStyle w:val="TableParagraph"/>
              <w:rPr>
                <w:rFonts w:ascii="Times New Roman"/>
                <w:sz w:val="18"/>
              </w:rPr>
            </w:pPr>
          </w:p>
        </w:tc>
        <w:tc>
          <w:tcPr>
            <w:tcW w:w="7073" w:type="dxa"/>
          </w:tcPr>
          <w:p w14:paraId="78F7116B" w14:textId="77777777" w:rsidR="00FA4AA8" w:rsidRDefault="0015611F">
            <w:pPr>
              <w:pStyle w:val="TableParagraph"/>
              <w:spacing w:before="27"/>
              <w:ind w:left="716"/>
              <w:rPr>
                <w:sz w:val="18"/>
              </w:rPr>
            </w:pPr>
            <w:r>
              <w:rPr>
                <w:sz w:val="18"/>
              </w:rPr>
              <w:t>Service fee from joint venture</w:t>
            </w:r>
          </w:p>
        </w:tc>
        <w:tc>
          <w:tcPr>
            <w:tcW w:w="1408" w:type="dxa"/>
          </w:tcPr>
          <w:p w14:paraId="39641F39" w14:textId="77777777" w:rsidR="00FA4AA8" w:rsidRDefault="0015611F">
            <w:pPr>
              <w:pStyle w:val="TableParagraph"/>
              <w:spacing w:before="28"/>
              <w:ind w:right="196"/>
              <w:jc w:val="right"/>
              <w:rPr>
                <w:b/>
                <w:sz w:val="18"/>
              </w:rPr>
            </w:pPr>
            <w:r>
              <w:rPr>
                <w:b/>
                <w:sz w:val="18"/>
              </w:rPr>
              <w:t>608,783</w:t>
            </w:r>
          </w:p>
        </w:tc>
        <w:tc>
          <w:tcPr>
            <w:tcW w:w="1185" w:type="dxa"/>
          </w:tcPr>
          <w:p w14:paraId="510E902B" w14:textId="77777777" w:rsidR="00FA4AA8" w:rsidRDefault="0015611F">
            <w:pPr>
              <w:pStyle w:val="TableParagraph"/>
              <w:spacing w:before="28"/>
              <w:ind w:right="82"/>
              <w:jc w:val="right"/>
              <w:rPr>
                <w:sz w:val="18"/>
              </w:rPr>
            </w:pPr>
            <w:r>
              <w:rPr>
                <w:sz w:val="18"/>
              </w:rPr>
              <w:t>619,439</w:t>
            </w:r>
          </w:p>
        </w:tc>
      </w:tr>
      <w:tr w:rsidR="00FA4AA8" w14:paraId="18D50BCF" w14:textId="77777777">
        <w:trPr>
          <w:trHeight w:val="263"/>
        </w:trPr>
        <w:tc>
          <w:tcPr>
            <w:tcW w:w="297" w:type="dxa"/>
          </w:tcPr>
          <w:p w14:paraId="23AB67E9" w14:textId="77777777" w:rsidR="00FA4AA8" w:rsidRDefault="00FA4AA8">
            <w:pPr>
              <w:pStyle w:val="TableParagraph"/>
              <w:rPr>
                <w:rFonts w:ascii="Times New Roman"/>
                <w:sz w:val="18"/>
              </w:rPr>
            </w:pPr>
          </w:p>
        </w:tc>
        <w:tc>
          <w:tcPr>
            <w:tcW w:w="7073" w:type="dxa"/>
          </w:tcPr>
          <w:p w14:paraId="01BE2213" w14:textId="77777777" w:rsidR="00FA4AA8" w:rsidRDefault="0015611F">
            <w:pPr>
              <w:pStyle w:val="TableParagraph"/>
              <w:spacing w:before="25"/>
              <w:ind w:left="716"/>
              <w:rPr>
                <w:sz w:val="18"/>
              </w:rPr>
            </w:pPr>
            <w:r>
              <w:rPr>
                <w:sz w:val="18"/>
              </w:rPr>
              <w:t>Rental revenue</w:t>
            </w:r>
          </w:p>
        </w:tc>
        <w:tc>
          <w:tcPr>
            <w:tcW w:w="1408" w:type="dxa"/>
          </w:tcPr>
          <w:p w14:paraId="762DF0DD" w14:textId="77777777" w:rsidR="00FA4AA8" w:rsidRDefault="0015611F">
            <w:pPr>
              <w:pStyle w:val="TableParagraph"/>
              <w:spacing w:before="26"/>
              <w:ind w:right="196"/>
              <w:jc w:val="right"/>
              <w:rPr>
                <w:b/>
                <w:sz w:val="18"/>
              </w:rPr>
            </w:pPr>
            <w:r>
              <w:rPr>
                <w:b/>
                <w:sz w:val="18"/>
              </w:rPr>
              <w:t>47,382</w:t>
            </w:r>
          </w:p>
        </w:tc>
        <w:tc>
          <w:tcPr>
            <w:tcW w:w="1185" w:type="dxa"/>
          </w:tcPr>
          <w:p w14:paraId="5B7E56CE" w14:textId="77777777" w:rsidR="00FA4AA8" w:rsidRDefault="0015611F">
            <w:pPr>
              <w:pStyle w:val="TableParagraph"/>
              <w:spacing w:before="26"/>
              <w:ind w:right="82"/>
              <w:jc w:val="right"/>
              <w:rPr>
                <w:sz w:val="18"/>
              </w:rPr>
            </w:pPr>
            <w:r>
              <w:rPr>
                <w:sz w:val="18"/>
              </w:rPr>
              <w:t>55,911</w:t>
            </w:r>
          </w:p>
        </w:tc>
      </w:tr>
      <w:tr w:rsidR="00FA4AA8" w14:paraId="16ECD286" w14:textId="77777777">
        <w:trPr>
          <w:trHeight w:val="263"/>
        </w:trPr>
        <w:tc>
          <w:tcPr>
            <w:tcW w:w="297" w:type="dxa"/>
          </w:tcPr>
          <w:p w14:paraId="4032B80D" w14:textId="77777777" w:rsidR="00FA4AA8" w:rsidRDefault="00FA4AA8">
            <w:pPr>
              <w:pStyle w:val="TableParagraph"/>
              <w:rPr>
                <w:rFonts w:ascii="Times New Roman"/>
                <w:sz w:val="18"/>
              </w:rPr>
            </w:pPr>
          </w:p>
        </w:tc>
        <w:tc>
          <w:tcPr>
            <w:tcW w:w="7073" w:type="dxa"/>
          </w:tcPr>
          <w:p w14:paraId="74CB98DF" w14:textId="77777777" w:rsidR="00FA4AA8" w:rsidRDefault="0015611F">
            <w:pPr>
              <w:pStyle w:val="TableParagraph"/>
              <w:spacing w:before="25"/>
              <w:ind w:left="716"/>
              <w:rPr>
                <w:sz w:val="18"/>
              </w:rPr>
            </w:pPr>
            <w:r>
              <w:rPr>
                <w:sz w:val="18"/>
              </w:rPr>
              <w:t>Education and training revenue</w:t>
            </w:r>
          </w:p>
        </w:tc>
        <w:tc>
          <w:tcPr>
            <w:tcW w:w="1408" w:type="dxa"/>
          </w:tcPr>
          <w:p w14:paraId="41B48E29" w14:textId="77777777" w:rsidR="00FA4AA8" w:rsidRDefault="0015611F">
            <w:pPr>
              <w:pStyle w:val="TableParagraph"/>
              <w:spacing w:before="26"/>
              <w:ind w:right="196"/>
              <w:jc w:val="right"/>
              <w:rPr>
                <w:b/>
                <w:sz w:val="18"/>
              </w:rPr>
            </w:pPr>
            <w:r>
              <w:rPr>
                <w:b/>
                <w:sz w:val="18"/>
              </w:rPr>
              <w:t>12,131</w:t>
            </w:r>
          </w:p>
        </w:tc>
        <w:tc>
          <w:tcPr>
            <w:tcW w:w="1185" w:type="dxa"/>
          </w:tcPr>
          <w:p w14:paraId="46BE8B25" w14:textId="77777777" w:rsidR="00FA4AA8" w:rsidRDefault="0015611F">
            <w:pPr>
              <w:pStyle w:val="TableParagraph"/>
              <w:spacing w:before="26"/>
              <w:ind w:right="82"/>
              <w:jc w:val="right"/>
              <w:rPr>
                <w:sz w:val="18"/>
              </w:rPr>
            </w:pPr>
            <w:r>
              <w:rPr>
                <w:sz w:val="18"/>
              </w:rPr>
              <w:t>92,579</w:t>
            </w:r>
          </w:p>
        </w:tc>
      </w:tr>
      <w:tr w:rsidR="00FA4AA8" w14:paraId="78943AD5" w14:textId="77777777">
        <w:trPr>
          <w:trHeight w:val="260"/>
        </w:trPr>
        <w:tc>
          <w:tcPr>
            <w:tcW w:w="297" w:type="dxa"/>
          </w:tcPr>
          <w:p w14:paraId="16552E7B" w14:textId="77777777" w:rsidR="00FA4AA8" w:rsidRDefault="00FA4AA8">
            <w:pPr>
              <w:pStyle w:val="TableParagraph"/>
              <w:rPr>
                <w:rFonts w:ascii="Times New Roman"/>
                <w:sz w:val="18"/>
              </w:rPr>
            </w:pPr>
          </w:p>
        </w:tc>
        <w:tc>
          <w:tcPr>
            <w:tcW w:w="7073" w:type="dxa"/>
          </w:tcPr>
          <w:p w14:paraId="5CE4E951" w14:textId="77777777" w:rsidR="00FA4AA8" w:rsidRDefault="0015611F">
            <w:pPr>
              <w:pStyle w:val="TableParagraph"/>
              <w:spacing w:before="25"/>
              <w:ind w:left="716"/>
              <w:rPr>
                <w:sz w:val="18"/>
              </w:rPr>
            </w:pPr>
            <w:r>
              <w:rPr>
                <w:sz w:val="18"/>
              </w:rPr>
              <w:t>Other income</w:t>
            </w:r>
          </w:p>
        </w:tc>
        <w:tc>
          <w:tcPr>
            <w:tcW w:w="1408" w:type="dxa"/>
            <w:tcBorders>
              <w:bottom w:val="single" w:sz="8" w:space="0" w:color="000000"/>
            </w:tcBorders>
          </w:tcPr>
          <w:p w14:paraId="54D7B0F3" w14:textId="77777777" w:rsidR="00FA4AA8" w:rsidRDefault="0015611F">
            <w:pPr>
              <w:pStyle w:val="TableParagraph"/>
              <w:spacing w:before="26"/>
              <w:ind w:right="196"/>
              <w:jc w:val="right"/>
              <w:rPr>
                <w:b/>
                <w:sz w:val="18"/>
              </w:rPr>
            </w:pPr>
            <w:r>
              <w:rPr>
                <w:b/>
                <w:sz w:val="18"/>
              </w:rPr>
              <w:t>29,534</w:t>
            </w:r>
          </w:p>
        </w:tc>
        <w:tc>
          <w:tcPr>
            <w:tcW w:w="1185" w:type="dxa"/>
            <w:tcBorders>
              <w:bottom w:val="single" w:sz="8" w:space="0" w:color="000000"/>
            </w:tcBorders>
          </w:tcPr>
          <w:p w14:paraId="71AC4306" w14:textId="77777777" w:rsidR="00FA4AA8" w:rsidRDefault="0015611F">
            <w:pPr>
              <w:pStyle w:val="TableParagraph"/>
              <w:spacing w:before="26"/>
              <w:ind w:right="82"/>
              <w:jc w:val="right"/>
              <w:rPr>
                <w:sz w:val="18"/>
              </w:rPr>
            </w:pPr>
            <w:r>
              <w:rPr>
                <w:sz w:val="18"/>
              </w:rPr>
              <w:t>38,478</w:t>
            </w:r>
          </w:p>
        </w:tc>
      </w:tr>
      <w:tr w:rsidR="00FA4AA8" w14:paraId="62A1057B" w14:textId="77777777">
        <w:trPr>
          <w:trHeight w:val="313"/>
        </w:trPr>
        <w:tc>
          <w:tcPr>
            <w:tcW w:w="297" w:type="dxa"/>
          </w:tcPr>
          <w:p w14:paraId="69A1EEBE" w14:textId="77777777" w:rsidR="00FA4AA8" w:rsidRDefault="00FA4AA8">
            <w:pPr>
              <w:pStyle w:val="TableParagraph"/>
              <w:rPr>
                <w:rFonts w:ascii="Times New Roman"/>
                <w:sz w:val="18"/>
              </w:rPr>
            </w:pPr>
          </w:p>
        </w:tc>
        <w:tc>
          <w:tcPr>
            <w:tcW w:w="7073" w:type="dxa"/>
          </w:tcPr>
          <w:p w14:paraId="0450E87C" w14:textId="77777777" w:rsidR="00FA4AA8" w:rsidRDefault="0015611F">
            <w:pPr>
              <w:pStyle w:val="TableParagraph"/>
              <w:spacing w:before="113" w:line="180" w:lineRule="exact"/>
              <w:ind w:left="716"/>
              <w:rPr>
                <w:b/>
                <w:sz w:val="18"/>
              </w:rPr>
            </w:pPr>
            <w:r>
              <w:rPr>
                <w:b/>
                <w:sz w:val="18"/>
              </w:rPr>
              <w:t>Total other revenue</w:t>
            </w:r>
          </w:p>
        </w:tc>
        <w:tc>
          <w:tcPr>
            <w:tcW w:w="1408" w:type="dxa"/>
            <w:tcBorders>
              <w:top w:val="single" w:sz="8" w:space="0" w:color="000000"/>
              <w:bottom w:val="double" w:sz="3" w:space="0" w:color="000000"/>
            </w:tcBorders>
          </w:tcPr>
          <w:p w14:paraId="2EF3A162" w14:textId="77777777" w:rsidR="00FA4AA8" w:rsidRDefault="0015611F">
            <w:pPr>
              <w:pStyle w:val="TableParagraph"/>
              <w:spacing w:before="113" w:line="180" w:lineRule="exact"/>
              <w:ind w:right="196"/>
              <w:jc w:val="right"/>
              <w:rPr>
                <w:b/>
                <w:sz w:val="18"/>
              </w:rPr>
            </w:pPr>
            <w:r>
              <w:rPr>
                <w:b/>
                <w:sz w:val="18"/>
              </w:rPr>
              <w:t>697,830</w:t>
            </w:r>
          </w:p>
        </w:tc>
        <w:tc>
          <w:tcPr>
            <w:tcW w:w="1185" w:type="dxa"/>
            <w:tcBorders>
              <w:top w:val="single" w:sz="8" w:space="0" w:color="000000"/>
              <w:bottom w:val="double" w:sz="3" w:space="0" w:color="000000"/>
            </w:tcBorders>
          </w:tcPr>
          <w:p w14:paraId="5382F941" w14:textId="77777777" w:rsidR="00FA4AA8" w:rsidRDefault="0015611F">
            <w:pPr>
              <w:pStyle w:val="TableParagraph"/>
              <w:spacing w:before="113" w:line="180" w:lineRule="exact"/>
              <w:ind w:right="82"/>
              <w:jc w:val="right"/>
              <w:rPr>
                <w:sz w:val="18"/>
              </w:rPr>
            </w:pPr>
            <w:r>
              <w:rPr>
                <w:sz w:val="18"/>
              </w:rPr>
              <w:t>806,407</w:t>
            </w:r>
          </w:p>
        </w:tc>
      </w:tr>
    </w:tbl>
    <w:p w14:paraId="565C3BD7" w14:textId="77777777" w:rsidR="00FA4AA8" w:rsidRDefault="00FA4AA8">
      <w:pPr>
        <w:pStyle w:val="BodyText"/>
        <w:rPr>
          <w:b/>
          <w:sz w:val="20"/>
        </w:rPr>
      </w:pPr>
    </w:p>
    <w:p w14:paraId="2B70801F" w14:textId="77777777" w:rsidR="00FA4AA8" w:rsidRDefault="00FA4AA8">
      <w:pPr>
        <w:pStyle w:val="BodyText"/>
        <w:spacing w:before="6"/>
        <w:rPr>
          <w:b/>
          <w:sz w:val="23"/>
        </w:rPr>
      </w:pPr>
    </w:p>
    <w:p w14:paraId="15EFF703" w14:textId="77777777" w:rsidR="00FA4AA8" w:rsidRDefault="0015611F">
      <w:pPr>
        <w:ind w:left="564"/>
        <w:rPr>
          <w:i/>
          <w:sz w:val="18"/>
        </w:rPr>
      </w:pPr>
      <w:r>
        <w:rPr>
          <w:i/>
          <w:sz w:val="18"/>
          <w:u w:val="single"/>
        </w:rPr>
        <w:t>Accounting Policy</w:t>
      </w:r>
    </w:p>
    <w:p w14:paraId="31E3E816" w14:textId="77777777" w:rsidR="00FA4AA8" w:rsidRDefault="00FA4AA8">
      <w:pPr>
        <w:pStyle w:val="BodyText"/>
        <w:spacing w:before="2"/>
        <w:rPr>
          <w:i/>
          <w:sz w:val="17"/>
        </w:rPr>
      </w:pPr>
    </w:p>
    <w:p w14:paraId="0F4B5E19" w14:textId="77777777" w:rsidR="00FA4AA8" w:rsidRDefault="0015611F">
      <w:pPr>
        <w:pStyle w:val="BodyText"/>
        <w:spacing w:before="95"/>
        <w:ind w:left="565"/>
      </w:pPr>
      <w:r>
        <w:t>The Company recognises revenue when the amount of the revenue can be measured reliably, it is probable that economic benefits will flow to the Company and specific criteria have been met for each of the Company's activities as discussed below.</w:t>
      </w:r>
    </w:p>
    <w:p w14:paraId="5965B135" w14:textId="77777777" w:rsidR="00FA4AA8" w:rsidRDefault="00FA4AA8">
      <w:pPr>
        <w:pStyle w:val="BodyText"/>
        <w:spacing w:before="10"/>
        <w:rPr>
          <w:sz w:val="24"/>
        </w:rPr>
      </w:pPr>
    </w:p>
    <w:p w14:paraId="2D4C2D13" w14:textId="77777777" w:rsidR="00FA4AA8" w:rsidRDefault="0015611F">
      <w:pPr>
        <w:pStyle w:val="BodyText"/>
        <w:ind w:left="565" w:right="256"/>
      </w:pPr>
      <w:r>
        <w:t>Revenue is measured at the fair value of the consideration received or receivable after taking into account any trade discounts and volume rebates allowed. Any consideration deferred is treated as the provision of finance and is discounted at a rate of interest that is generally accepted in the market for similar arrangements. The difference between the amount initially recognised and the amount ultimately received is interest revenue.</w:t>
      </w:r>
    </w:p>
    <w:p w14:paraId="5E69FE2E" w14:textId="77777777" w:rsidR="00FA4AA8" w:rsidRDefault="00FA4AA8">
      <w:pPr>
        <w:pStyle w:val="BodyText"/>
        <w:spacing w:before="10"/>
        <w:rPr>
          <w:sz w:val="24"/>
        </w:rPr>
      </w:pPr>
    </w:p>
    <w:p w14:paraId="2349011B" w14:textId="77777777" w:rsidR="00FA4AA8" w:rsidRDefault="0015611F">
      <w:pPr>
        <w:pStyle w:val="BodyText"/>
        <w:ind w:left="565"/>
      </w:pPr>
      <w:r>
        <w:t>All revenue is stated net of the amount of goods and services tax (GST).</w:t>
      </w:r>
    </w:p>
    <w:p w14:paraId="42BC2CD8" w14:textId="77777777" w:rsidR="00FA4AA8" w:rsidRDefault="00FA4AA8">
      <w:pPr>
        <w:pStyle w:val="BodyText"/>
        <w:spacing w:before="11"/>
        <w:rPr>
          <w:sz w:val="24"/>
        </w:rPr>
      </w:pPr>
    </w:p>
    <w:p w14:paraId="4811319C" w14:textId="77777777" w:rsidR="00FA4AA8" w:rsidRDefault="0015611F">
      <w:pPr>
        <w:numPr>
          <w:ilvl w:val="0"/>
          <w:numId w:val="67"/>
        </w:numPr>
        <w:tabs>
          <w:tab w:val="left" w:pos="962"/>
        </w:tabs>
        <w:ind w:hanging="397"/>
        <w:rPr>
          <w:b/>
          <w:sz w:val="18"/>
        </w:rPr>
      </w:pPr>
      <w:r>
        <w:rPr>
          <w:b/>
          <w:sz w:val="18"/>
        </w:rPr>
        <w:t>Rendering of</w:t>
      </w:r>
      <w:r>
        <w:rPr>
          <w:b/>
          <w:spacing w:val="-2"/>
          <w:sz w:val="18"/>
        </w:rPr>
        <w:t xml:space="preserve"> </w:t>
      </w:r>
      <w:r>
        <w:rPr>
          <w:b/>
          <w:sz w:val="18"/>
        </w:rPr>
        <w:t>services</w:t>
      </w:r>
    </w:p>
    <w:p w14:paraId="56A91107" w14:textId="77777777" w:rsidR="00FA4AA8" w:rsidRDefault="00FA4AA8">
      <w:pPr>
        <w:pStyle w:val="BodyText"/>
        <w:rPr>
          <w:b/>
          <w:sz w:val="25"/>
        </w:rPr>
      </w:pPr>
    </w:p>
    <w:p w14:paraId="2EFF0DD7" w14:textId="77777777" w:rsidR="00FA4AA8" w:rsidRDefault="0015611F">
      <w:pPr>
        <w:pStyle w:val="BodyText"/>
        <w:ind w:left="565" w:right="205"/>
        <w:jc w:val="both"/>
      </w:pPr>
      <w:r>
        <w:t>Revenue recognition relating to the rendering of services is determined with reference to the stage of completion of the transaction</w:t>
      </w:r>
      <w:r>
        <w:rPr>
          <w:spacing w:val="-5"/>
        </w:rPr>
        <w:t xml:space="preserve"> </w:t>
      </w:r>
      <w:r>
        <w:t>at</w:t>
      </w:r>
      <w:r>
        <w:rPr>
          <w:spacing w:val="-5"/>
        </w:rPr>
        <w:t xml:space="preserve"> </w:t>
      </w:r>
      <w:r>
        <w:t>the</w:t>
      </w:r>
      <w:r>
        <w:rPr>
          <w:spacing w:val="-5"/>
        </w:rPr>
        <w:t xml:space="preserve"> </w:t>
      </w:r>
      <w:r>
        <w:t>end</w:t>
      </w:r>
      <w:r>
        <w:rPr>
          <w:spacing w:val="-5"/>
        </w:rPr>
        <w:t xml:space="preserve"> </w:t>
      </w:r>
      <w:r>
        <w:t>of</w:t>
      </w:r>
      <w:r>
        <w:rPr>
          <w:spacing w:val="-5"/>
        </w:rPr>
        <w:t xml:space="preserve"> </w:t>
      </w:r>
      <w:r>
        <w:t>the</w:t>
      </w:r>
      <w:r>
        <w:rPr>
          <w:spacing w:val="-5"/>
        </w:rPr>
        <w:t xml:space="preserve"> </w:t>
      </w:r>
      <w:r>
        <w:t>reporting</w:t>
      </w:r>
      <w:r>
        <w:rPr>
          <w:spacing w:val="-5"/>
        </w:rPr>
        <w:t xml:space="preserve"> </w:t>
      </w:r>
      <w:r>
        <w:t>period</w:t>
      </w:r>
      <w:r>
        <w:rPr>
          <w:spacing w:val="-5"/>
        </w:rPr>
        <w:t xml:space="preserve"> </w:t>
      </w:r>
      <w:r>
        <w:t>and</w:t>
      </w:r>
      <w:r>
        <w:rPr>
          <w:spacing w:val="-5"/>
        </w:rPr>
        <w:t xml:space="preserve"> </w:t>
      </w:r>
      <w:r>
        <w:t>where</w:t>
      </w:r>
      <w:r>
        <w:rPr>
          <w:spacing w:val="-4"/>
        </w:rPr>
        <w:t xml:space="preserve"> </w:t>
      </w:r>
      <w:r>
        <w:t>the</w:t>
      </w:r>
      <w:r>
        <w:rPr>
          <w:spacing w:val="-5"/>
        </w:rPr>
        <w:t xml:space="preserve"> </w:t>
      </w:r>
      <w:r>
        <w:t>outcome</w:t>
      </w:r>
      <w:r>
        <w:rPr>
          <w:spacing w:val="-5"/>
        </w:rPr>
        <w:t xml:space="preserve"> </w:t>
      </w:r>
      <w:r>
        <w:t>of</w:t>
      </w:r>
      <w:r>
        <w:rPr>
          <w:spacing w:val="-5"/>
        </w:rPr>
        <w:t xml:space="preserve"> </w:t>
      </w:r>
      <w:r>
        <w:t>the</w:t>
      </w:r>
      <w:r>
        <w:rPr>
          <w:spacing w:val="-5"/>
        </w:rPr>
        <w:t xml:space="preserve"> </w:t>
      </w:r>
      <w:r>
        <w:t>contract</w:t>
      </w:r>
      <w:r>
        <w:rPr>
          <w:spacing w:val="-5"/>
        </w:rPr>
        <w:t xml:space="preserve"> </w:t>
      </w:r>
      <w:r>
        <w:t>can</w:t>
      </w:r>
      <w:r>
        <w:rPr>
          <w:spacing w:val="-5"/>
        </w:rPr>
        <w:t xml:space="preserve"> </w:t>
      </w:r>
      <w:r>
        <w:t>be</w:t>
      </w:r>
      <w:r>
        <w:rPr>
          <w:spacing w:val="-5"/>
        </w:rPr>
        <w:t xml:space="preserve"> </w:t>
      </w:r>
      <w:r>
        <w:t>estimated</w:t>
      </w:r>
      <w:r>
        <w:rPr>
          <w:spacing w:val="-5"/>
        </w:rPr>
        <w:t xml:space="preserve"> </w:t>
      </w:r>
      <w:r>
        <w:t>reliably.</w:t>
      </w:r>
      <w:r>
        <w:rPr>
          <w:spacing w:val="-5"/>
        </w:rPr>
        <w:t xml:space="preserve"> </w:t>
      </w:r>
      <w:r>
        <w:t>Stage</w:t>
      </w:r>
      <w:r>
        <w:rPr>
          <w:spacing w:val="-4"/>
        </w:rPr>
        <w:t xml:space="preserve"> </w:t>
      </w:r>
      <w:r>
        <w:t>of completion is determined with reference to the services performed to date as a percentage of total anticipated services to</w:t>
      </w:r>
      <w:r>
        <w:rPr>
          <w:spacing w:val="-6"/>
        </w:rPr>
        <w:t xml:space="preserve"> </w:t>
      </w:r>
      <w:r>
        <w:t>be</w:t>
      </w:r>
      <w:r>
        <w:rPr>
          <w:spacing w:val="-5"/>
        </w:rPr>
        <w:t xml:space="preserve"> </w:t>
      </w:r>
      <w:r>
        <w:t>performed.</w:t>
      </w:r>
      <w:r>
        <w:rPr>
          <w:spacing w:val="-5"/>
        </w:rPr>
        <w:t xml:space="preserve"> </w:t>
      </w:r>
      <w:r>
        <w:t>Where</w:t>
      </w:r>
      <w:r>
        <w:rPr>
          <w:spacing w:val="-5"/>
        </w:rPr>
        <w:t xml:space="preserve"> </w:t>
      </w:r>
      <w:r>
        <w:t>the</w:t>
      </w:r>
      <w:r>
        <w:rPr>
          <w:spacing w:val="-5"/>
        </w:rPr>
        <w:t xml:space="preserve"> </w:t>
      </w:r>
      <w:r>
        <w:t>outcome</w:t>
      </w:r>
      <w:r>
        <w:rPr>
          <w:spacing w:val="-5"/>
        </w:rPr>
        <w:t xml:space="preserve"> </w:t>
      </w:r>
      <w:r>
        <w:t>cannot</w:t>
      </w:r>
      <w:r>
        <w:rPr>
          <w:spacing w:val="-5"/>
        </w:rPr>
        <w:t xml:space="preserve"> </w:t>
      </w:r>
      <w:r>
        <w:t>be</w:t>
      </w:r>
      <w:r>
        <w:rPr>
          <w:spacing w:val="-5"/>
        </w:rPr>
        <w:t xml:space="preserve"> </w:t>
      </w:r>
      <w:r>
        <w:t>estimated</w:t>
      </w:r>
      <w:r>
        <w:rPr>
          <w:spacing w:val="-6"/>
        </w:rPr>
        <w:t xml:space="preserve"> </w:t>
      </w:r>
      <w:r>
        <w:t>reliably,</w:t>
      </w:r>
      <w:r>
        <w:rPr>
          <w:spacing w:val="-5"/>
        </w:rPr>
        <w:t xml:space="preserve"> </w:t>
      </w:r>
      <w:r>
        <w:t>revenue</w:t>
      </w:r>
      <w:r>
        <w:rPr>
          <w:spacing w:val="-5"/>
        </w:rPr>
        <w:t xml:space="preserve"> </w:t>
      </w:r>
      <w:r>
        <w:t>is</w:t>
      </w:r>
      <w:r>
        <w:rPr>
          <w:spacing w:val="-5"/>
        </w:rPr>
        <w:t xml:space="preserve"> </w:t>
      </w:r>
      <w:r>
        <w:t>recognised</w:t>
      </w:r>
      <w:r>
        <w:rPr>
          <w:spacing w:val="-5"/>
        </w:rPr>
        <w:t xml:space="preserve"> </w:t>
      </w:r>
      <w:r>
        <w:t>only</w:t>
      </w:r>
      <w:r>
        <w:rPr>
          <w:spacing w:val="-5"/>
        </w:rPr>
        <w:t xml:space="preserve"> </w:t>
      </w:r>
      <w:r>
        <w:t>to</w:t>
      </w:r>
      <w:r>
        <w:rPr>
          <w:spacing w:val="-5"/>
        </w:rPr>
        <w:t xml:space="preserve"> </w:t>
      </w:r>
      <w:r>
        <w:t>the</w:t>
      </w:r>
      <w:r>
        <w:rPr>
          <w:spacing w:val="-5"/>
        </w:rPr>
        <w:t xml:space="preserve"> </w:t>
      </w:r>
      <w:r>
        <w:t>extent</w:t>
      </w:r>
      <w:r>
        <w:rPr>
          <w:spacing w:val="-5"/>
        </w:rPr>
        <w:t xml:space="preserve"> </w:t>
      </w:r>
      <w:r>
        <w:t>that</w:t>
      </w:r>
      <w:r>
        <w:rPr>
          <w:spacing w:val="-6"/>
        </w:rPr>
        <w:t xml:space="preserve"> </w:t>
      </w:r>
      <w:r>
        <w:t>related expenditure is</w:t>
      </w:r>
      <w:r>
        <w:rPr>
          <w:spacing w:val="-3"/>
        </w:rPr>
        <w:t xml:space="preserve"> </w:t>
      </w:r>
      <w:r>
        <w:t>recoverable.</w:t>
      </w:r>
    </w:p>
    <w:p w14:paraId="09C2B1D9" w14:textId="77777777" w:rsidR="00FA4AA8" w:rsidRDefault="00FA4AA8">
      <w:pPr>
        <w:pStyle w:val="BodyText"/>
        <w:spacing w:before="9"/>
        <w:rPr>
          <w:sz w:val="24"/>
        </w:rPr>
      </w:pPr>
    </w:p>
    <w:p w14:paraId="0D2D82EA" w14:textId="77777777" w:rsidR="00FA4AA8" w:rsidRDefault="0015611F">
      <w:pPr>
        <w:numPr>
          <w:ilvl w:val="0"/>
          <w:numId w:val="67"/>
        </w:numPr>
        <w:tabs>
          <w:tab w:val="left" w:pos="962"/>
        </w:tabs>
        <w:ind w:hanging="397"/>
        <w:rPr>
          <w:b/>
          <w:sz w:val="18"/>
        </w:rPr>
      </w:pPr>
      <w:r>
        <w:rPr>
          <w:b/>
          <w:sz w:val="18"/>
        </w:rPr>
        <w:t>Other</w:t>
      </w:r>
      <w:r>
        <w:rPr>
          <w:b/>
          <w:spacing w:val="-2"/>
          <w:sz w:val="18"/>
        </w:rPr>
        <w:t xml:space="preserve"> </w:t>
      </w:r>
      <w:r>
        <w:rPr>
          <w:b/>
          <w:sz w:val="18"/>
        </w:rPr>
        <w:t>revenue</w:t>
      </w:r>
    </w:p>
    <w:p w14:paraId="2603FD83" w14:textId="77777777" w:rsidR="00FA4AA8" w:rsidRDefault="00FA4AA8">
      <w:pPr>
        <w:pStyle w:val="BodyText"/>
        <w:rPr>
          <w:b/>
          <w:sz w:val="25"/>
        </w:rPr>
      </w:pPr>
    </w:p>
    <w:p w14:paraId="02214E67" w14:textId="77777777" w:rsidR="00FA4AA8" w:rsidRDefault="0015611F">
      <w:pPr>
        <w:pStyle w:val="BodyText"/>
        <w:ind w:left="565" w:right="172"/>
        <w:jc w:val="both"/>
      </w:pPr>
      <w:r>
        <w:t>Other</w:t>
      </w:r>
      <w:r>
        <w:rPr>
          <w:spacing w:val="-7"/>
        </w:rPr>
        <w:t xml:space="preserve"> </w:t>
      </w:r>
      <w:r>
        <w:t>revenue</w:t>
      </w:r>
      <w:r>
        <w:rPr>
          <w:spacing w:val="-6"/>
        </w:rPr>
        <w:t xml:space="preserve"> </w:t>
      </w:r>
      <w:r>
        <w:t>includes</w:t>
      </w:r>
      <w:r>
        <w:rPr>
          <w:spacing w:val="-7"/>
        </w:rPr>
        <w:t xml:space="preserve"> </w:t>
      </w:r>
      <w:r>
        <w:t>income</w:t>
      </w:r>
      <w:r>
        <w:rPr>
          <w:spacing w:val="-6"/>
        </w:rPr>
        <w:t xml:space="preserve"> </w:t>
      </w:r>
      <w:r>
        <w:t>from</w:t>
      </w:r>
      <w:r>
        <w:rPr>
          <w:spacing w:val="-6"/>
        </w:rPr>
        <w:t xml:space="preserve"> </w:t>
      </w:r>
      <w:r>
        <w:t>on-campus</w:t>
      </w:r>
      <w:r>
        <w:rPr>
          <w:spacing w:val="-7"/>
        </w:rPr>
        <w:t xml:space="preserve"> </w:t>
      </w:r>
      <w:r>
        <w:t>non-academic</w:t>
      </w:r>
      <w:r>
        <w:rPr>
          <w:spacing w:val="-6"/>
        </w:rPr>
        <w:t xml:space="preserve"> </w:t>
      </w:r>
      <w:r>
        <w:t>services,</w:t>
      </w:r>
      <w:r>
        <w:rPr>
          <w:spacing w:val="-7"/>
        </w:rPr>
        <w:t xml:space="preserve"> </w:t>
      </w:r>
      <w:r>
        <w:t>venue</w:t>
      </w:r>
      <w:r>
        <w:rPr>
          <w:spacing w:val="-6"/>
        </w:rPr>
        <w:t xml:space="preserve"> </w:t>
      </w:r>
      <w:r>
        <w:t>hire</w:t>
      </w:r>
      <w:r>
        <w:rPr>
          <w:spacing w:val="-6"/>
        </w:rPr>
        <w:t xml:space="preserve"> </w:t>
      </w:r>
      <w:r>
        <w:t>and</w:t>
      </w:r>
      <w:r>
        <w:rPr>
          <w:spacing w:val="-7"/>
        </w:rPr>
        <w:t xml:space="preserve"> </w:t>
      </w:r>
      <w:r>
        <w:t>scholarships.</w:t>
      </w:r>
      <w:r>
        <w:rPr>
          <w:spacing w:val="-6"/>
        </w:rPr>
        <w:t xml:space="preserve"> </w:t>
      </w:r>
      <w:r>
        <w:t>Other</w:t>
      </w:r>
      <w:r>
        <w:rPr>
          <w:spacing w:val="-7"/>
        </w:rPr>
        <w:t xml:space="preserve"> </w:t>
      </w:r>
      <w:r>
        <w:t>revenue</w:t>
      </w:r>
      <w:r>
        <w:rPr>
          <w:spacing w:val="-6"/>
        </w:rPr>
        <w:t xml:space="preserve"> </w:t>
      </w:r>
      <w:r>
        <w:t>is recognised</w:t>
      </w:r>
      <w:r>
        <w:rPr>
          <w:spacing w:val="-5"/>
        </w:rPr>
        <w:t xml:space="preserve"> </w:t>
      </w:r>
      <w:r>
        <w:t>when</w:t>
      </w:r>
      <w:r>
        <w:rPr>
          <w:spacing w:val="-4"/>
        </w:rPr>
        <w:t xml:space="preserve"> </w:t>
      </w:r>
      <w:r>
        <w:t>the</w:t>
      </w:r>
      <w:r>
        <w:rPr>
          <w:spacing w:val="-5"/>
        </w:rPr>
        <w:t xml:space="preserve"> </w:t>
      </w:r>
      <w:r>
        <w:t>Company</w:t>
      </w:r>
      <w:r>
        <w:rPr>
          <w:spacing w:val="-6"/>
        </w:rPr>
        <w:t xml:space="preserve"> </w:t>
      </w:r>
      <w:r>
        <w:t>becomes</w:t>
      </w:r>
      <w:r>
        <w:rPr>
          <w:spacing w:val="-4"/>
        </w:rPr>
        <w:t xml:space="preserve"> </w:t>
      </w:r>
      <w:r>
        <w:t>entitled</w:t>
      </w:r>
      <w:r>
        <w:rPr>
          <w:spacing w:val="-4"/>
        </w:rPr>
        <w:t xml:space="preserve"> </w:t>
      </w:r>
      <w:r>
        <w:t>to</w:t>
      </w:r>
      <w:r>
        <w:rPr>
          <w:spacing w:val="-5"/>
        </w:rPr>
        <w:t xml:space="preserve"> </w:t>
      </w:r>
      <w:r>
        <w:t>receive</w:t>
      </w:r>
      <w:r>
        <w:rPr>
          <w:spacing w:val="-4"/>
        </w:rPr>
        <w:t xml:space="preserve"> </w:t>
      </w:r>
      <w:r>
        <w:t>the</w:t>
      </w:r>
      <w:r>
        <w:rPr>
          <w:spacing w:val="-4"/>
        </w:rPr>
        <w:t xml:space="preserve"> </w:t>
      </w:r>
      <w:r>
        <w:t>revenue</w:t>
      </w:r>
      <w:r>
        <w:rPr>
          <w:spacing w:val="-5"/>
        </w:rPr>
        <w:t xml:space="preserve"> </w:t>
      </w:r>
      <w:r>
        <w:t>and</w:t>
      </w:r>
      <w:r>
        <w:rPr>
          <w:spacing w:val="-4"/>
        </w:rPr>
        <w:t xml:space="preserve"> </w:t>
      </w:r>
      <w:r>
        <w:t>the</w:t>
      </w:r>
      <w:r>
        <w:rPr>
          <w:spacing w:val="-4"/>
        </w:rPr>
        <w:t xml:space="preserve"> </w:t>
      </w:r>
      <w:r>
        <w:t>revenue</w:t>
      </w:r>
      <w:r>
        <w:rPr>
          <w:spacing w:val="-5"/>
        </w:rPr>
        <w:t xml:space="preserve"> </w:t>
      </w:r>
      <w:r>
        <w:t>can</w:t>
      </w:r>
      <w:r>
        <w:rPr>
          <w:spacing w:val="-4"/>
        </w:rPr>
        <w:t xml:space="preserve"> </w:t>
      </w:r>
      <w:r>
        <w:t>be</w:t>
      </w:r>
      <w:r>
        <w:rPr>
          <w:spacing w:val="-4"/>
        </w:rPr>
        <w:t xml:space="preserve"> </w:t>
      </w:r>
      <w:r>
        <w:t>reliably</w:t>
      </w:r>
      <w:r>
        <w:rPr>
          <w:spacing w:val="-5"/>
        </w:rPr>
        <w:t xml:space="preserve"> </w:t>
      </w:r>
      <w:r>
        <w:t>measured.</w:t>
      </w:r>
    </w:p>
    <w:p w14:paraId="52C987A7" w14:textId="77777777" w:rsidR="00FA4AA8" w:rsidRDefault="00FA4AA8">
      <w:pPr>
        <w:jc w:val="both"/>
        <w:sectPr w:rsidR="00FA4AA8">
          <w:pgSz w:w="11910" w:h="16840"/>
          <w:pgMar w:top="1720" w:right="840" w:bottom="720" w:left="840" w:header="1017" w:footer="523" w:gutter="0"/>
          <w:cols w:space="720"/>
        </w:sectPr>
      </w:pPr>
    </w:p>
    <w:p w14:paraId="18660164" w14:textId="77777777" w:rsidR="00FA4AA8" w:rsidRDefault="00FA4AA8">
      <w:pPr>
        <w:pStyle w:val="BodyText"/>
        <w:spacing w:before="6"/>
        <w:rPr>
          <w:sz w:val="21"/>
        </w:rPr>
      </w:pPr>
    </w:p>
    <w:p w14:paraId="1C501D24" w14:textId="77777777" w:rsidR="00FA4AA8" w:rsidRDefault="0015611F">
      <w:pPr>
        <w:pStyle w:val="Heading2"/>
      </w:pPr>
      <w:bookmarkStart w:id="118" w:name="3_Investments_accounted_for_using_the_eq"/>
      <w:bookmarkEnd w:id="118"/>
      <w:r>
        <w:t>Notes to the Financial Statements</w:t>
      </w:r>
    </w:p>
    <w:p w14:paraId="487AB051" w14:textId="77777777" w:rsidR="00FA4AA8" w:rsidRDefault="0015611F">
      <w:pPr>
        <w:pStyle w:val="Heading6"/>
        <w:spacing w:before="57"/>
        <w:ind w:left="167"/>
      </w:pPr>
      <w:r>
        <w:t>For the Year Ended 31 December 2018</w:t>
      </w:r>
    </w:p>
    <w:p w14:paraId="25CADCC8" w14:textId="77777777" w:rsidR="00FA4AA8" w:rsidRDefault="00FA4AA8">
      <w:pPr>
        <w:pStyle w:val="BodyText"/>
        <w:rPr>
          <w:b/>
          <w:sz w:val="24"/>
        </w:rPr>
      </w:pPr>
    </w:p>
    <w:p w14:paraId="7284B7D3" w14:textId="77777777" w:rsidR="00FA4AA8" w:rsidRDefault="00FA4AA8">
      <w:pPr>
        <w:pStyle w:val="BodyText"/>
        <w:rPr>
          <w:b/>
          <w:sz w:val="34"/>
        </w:rPr>
      </w:pPr>
    </w:p>
    <w:p w14:paraId="688D0B51" w14:textId="77777777" w:rsidR="00FA4AA8" w:rsidRDefault="0015611F">
      <w:pPr>
        <w:numPr>
          <w:ilvl w:val="0"/>
          <w:numId w:val="66"/>
        </w:numPr>
        <w:tabs>
          <w:tab w:val="left" w:pos="563"/>
          <w:tab w:val="left" w:pos="564"/>
        </w:tabs>
        <w:rPr>
          <w:b/>
          <w:sz w:val="18"/>
        </w:rPr>
      </w:pPr>
      <w:bookmarkStart w:id="119" w:name="Commitment_and_Contingent_liability_from"/>
      <w:bookmarkEnd w:id="119"/>
      <w:r>
        <w:rPr>
          <w:b/>
          <w:sz w:val="18"/>
        </w:rPr>
        <w:t>Investments accounted for using the equity</w:t>
      </w:r>
      <w:r>
        <w:rPr>
          <w:b/>
          <w:spacing w:val="-5"/>
          <w:sz w:val="18"/>
        </w:rPr>
        <w:t xml:space="preserve"> </w:t>
      </w:r>
      <w:r>
        <w:rPr>
          <w:b/>
          <w:sz w:val="18"/>
        </w:rPr>
        <w:t>method</w:t>
      </w:r>
    </w:p>
    <w:p w14:paraId="05F81166" w14:textId="77777777" w:rsidR="00FA4AA8" w:rsidRDefault="00FA4AA8">
      <w:pPr>
        <w:pStyle w:val="BodyText"/>
        <w:spacing w:before="11"/>
        <w:rPr>
          <w:b/>
          <w:sz w:val="24"/>
        </w:rPr>
      </w:pPr>
    </w:p>
    <w:p w14:paraId="18C029E8" w14:textId="77777777" w:rsidR="00FA4AA8" w:rsidRDefault="0015611F">
      <w:pPr>
        <w:pStyle w:val="BodyText"/>
        <w:ind w:left="565"/>
      </w:pPr>
      <w:r>
        <w:t>In April 2015, the Company entered into a Joint Venture Agreement with Navitas Ltd to form Western Sydney University International College Pty Ltd to operate an international college at Parramatta, New South Wales. The Company owns 50% of the entity.</w:t>
      </w:r>
    </w:p>
    <w:p w14:paraId="1F14776F" w14:textId="77777777" w:rsidR="00FA4AA8" w:rsidRDefault="00FA4AA8">
      <w:pPr>
        <w:pStyle w:val="BodyText"/>
        <w:spacing w:before="6"/>
        <w:rPr>
          <w:sz w:val="26"/>
        </w:rPr>
      </w:pPr>
    </w:p>
    <w:p w14:paraId="6F36A21B" w14:textId="77777777" w:rsidR="00FA4AA8" w:rsidRDefault="0015611F">
      <w:pPr>
        <w:spacing w:before="1"/>
        <w:ind w:left="565"/>
        <w:rPr>
          <w:b/>
          <w:sz w:val="18"/>
        </w:rPr>
      </w:pPr>
      <w:r>
        <w:rPr>
          <w:b/>
          <w:sz w:val="18"/>
        </w:rPr>
        <w:t>Commitment and Contingent liability from joint venture entities</w:t>
      </w:r>
    </w:p>
    <w:p w14:paraId="1DF5DC46" w14:textId="77777777" w:rsidR="00FA4AA8" w:rsidRDefault="00FA4AA8">
      <w:pPr>
        <w:pStyle w:val="BodyText"/>
        <w:spacing w:before="4"/>
        <w:rPr>
          <w:b/>
          <w:sz w:val="25"/>
        </w:rPr>
      </w:pPr>
    </w:p>
    <w:p w14:paraId="7C1023A5" w14:textId="77777777" w:rsidR="00FA4AA8" w:rsidRDefault="0015611F">
      <w:pPr>
        <w:pStyle w:val="BodyText"/>
        <w:ind w:left="563"/>
      </w:pPr>
      <w:r>
        <w:t>There are no capital expenditure commitments and contingent liabilities arising from the Company's interest in the joint venture. There are no events identified after the reporting date that would have a material impact on the financial statements (2017: nil).</w:t>
      </w:r>
    </w:p>
    <w:p w14:paraId="12347651" w14:textId="77777777" w:rsidR="00FA4AA8" w:rsidRDefault="00FA4AA8">
      <w:pPr>
        <w:pStyle w:val="BodyText"/>
        <w:spacing w:before="7"/>
        <w:rPr>
          <w:sz w:val="26"/>
        </w:rPr>
      </w:pPr>
    </w:p>
    <w:p w14:paraId="01ABC132" w14:textId="77777777" w:rsidR="00FA4AA8" w:rsidRDefault="0015611F">
      <w:pPr>
        <w:ind w:left="565"/>
        <w:rPr>
          <w:i/>
          <w:sz w:val="18"/>
        </w:rPr>
      </w:pPr>
      <w:r>
        <w:rPr>
          <w:i/>
          <w:sz w:val="18"/>
          <w:u w:val="single"/>
        </w:rPr>
        <w:t>Accounting Policy</w:t>
      </w:r>
    </w:p>
    <w:p w14:paraId="351F3E62" w14:textId="77777777" w:rsidR="00FA4AA8" w:rsidRDefault="00FA4AA8">
      <w:pPr>
        <w:pStyle w:val="BodyText"/>
        <w:spacing w:before="2"/>
        <w:rPr>
          <w:i/>
          <w:sz w:val="17"/>
        </w:rPr>
      </w:pPr>
    </w:p>
    <w:p w14:paraId="0AA8F752" w14:textId="77777777" w:rsidR="00FA4AA8" w:rsidRDefault="0015611F">
      <w:pPr>
        <w:pStyle w:val="BodyText"/>
        <w:spacing w:before="95"/>
        <w:ind w:left="620"/>
      </w:pPr>
      <w:r>
        <w:t>Under the equity method of accounting, the Company recognises its share of the profits and losses in the International College in the statement of comprehensive income.</w:t>
      </w:r>
    </w:p>
    <w:p w14:paraId="0F24B45F" w14:textId="77777777" w:rsidR="00FA4AA8" w:rsidRDefault="00FA4AA8">
      <w:pPr>
        <w:pStyle w:val="BodyText"/>
        <w:spacing w:before="10"/>
        <w:rPr>
          <w:sz w:val="24"/>
        </w:rPr>
      </w:pPr>
    </w:p>
    <w:p w14:paraId="0E28611A" w14:textId="77777777" w:rsidR="00FA4AA8" w:rsidRDefault="0015611F">
      <w:pPr>
        <w:pStyle w:val="BodyText"/>
        <w:ind w:left="620" w:right="256"/>
      </w:pPr>
      <w:r>
        <w:t>The initial recognition of the investment in joint venture is recognised at cost, which includes the purchase price and any directly attributable expenditures necessary to obtain it.</w:t>
      </w:r>
    </w:p>
    <w:p w14:paraId="3E21EBF3" w14:textId="77777777" w:rsidR="00FA4AA8" w:rsidRDefault="00FA4AA8">
      <w:pPr>
        <w:pStyle w:val="BodyText"/>
        <w:rPr>
          <w:sz w:val="25"/>
        </w:rPr>
      </w:pPr>
    </w:p>
    <w:p w14:paraId="3665AA63" w14:textId="77777777" w:rsidR="00FA4AA8" w:rsidRDefault="0015611F">
      <w:pPr>
        <w:pStyle w:val="BodyText"/>
        <w:ind w:left="620"/>
      </w:pPr>
      <w:r>
        <w:t>The carrying amount is adjusted to recognise the company's share of the profit or loss of the International College after the date of acquisition.</w:t>
      </w:r>
    </w:p>
    <w:p w14:paraId="75465B06" w14:textId="77777777" w:rsidR="00FA4AA8" w:rsidRDefault="00FA4AA8">
      <w:pPr>
        <w:pStyle w:val="BodyText"/>
        <w:spacing w:before="10"/>
        <w:rPr>
          <w:sz w:val="24"/>
        </w:rPr>
      </w:pPr>
    </w:p>
    <w:p w14:paraId="271EE4D3" w14:textId="77777777" w:rsidR="00FA4AA8" w:rsidRDefault="0015611F">
      <w:pPr>
        <w:pStyle w:val="BodyText"/>
        <w:spacing w:before="1"/>
        <w:ind w:left="620" w:right="201"/>
      </w:pPr>
      <w:r>
        <w:t>Any shareholder loans, in substance, could form a part of the company's net investment in the joint venture and are taken into account when assessing the amount of any losses recognised by the Company relating to its interest in the International College and distributions received from the International College reduce the carrying amount of the investment.</w:t>
      </w:r>
    </w:p>
    <w:p w14:paraId="673D3F01" w14:textId="77777777" w:rsidR="00FA4AA8" w:rsidRDefault="00FA4AA8">
      <w:pPr>
        <w:pStyle w:val="BodyText"/>
        <w:spacing w:before="9"/>
        <w:rPr>
          <w:sz w:val="24"/>
        </w:rPr>
      </w:pPr>
    </w:p>
    <w:p w14:paraId="33A6E6BA" w14:textId="77777777" w:rsidR="00FA4AA8" w:rsidRDefault="0015611F">
      <w:pPr>
        <w:pStyle w:val="BodyText"/>
        <w:ind w:left="620"/>
      </w:pPr>
      <w:r>
        <w:t>Details of loans and share of profits and losses of joint venture are disclosed in note 15(c).</w:t>
      </w:r>
    </w:p>
    <w:p w14:paraId="24EE2D7C" w14:textId="77777777" w:rsidR="00FA4AA8" w:rsidRDefault="00FA4AA8">
      <w:pPr>
        <w:pStyle w:val="BodyText"/>
        <w:rPr>
          <w:sz w:val="25"/>
        </w:rPr>
      </w:pPr>
    </w:p>
    <w:p w14:paraId="6053C590" w14:textId="77777777" w:rsidR="00FA4AA8" w:rsidRDefault="0015611F">
      <w:pPr>
        <w:numPr>
          <w:ilvl w:val="0"/>
          <w:numId w:val="66"/>
        </w:numPr>
        <w:tabs>
          <w:tab w:val="left" w:pos="563"/>
          <w:tab w:val="left" w:pos="564"/>
        </w:tabs>
        <w:spacing w:after="40"/>
        <w:rPr>
          <w:b/>
          <w:sz w:val="18"/>
        </w:rPr>
      </w:pPr>
      <w:r>
        <w:rPr>
          <w:b/>
          <w:sz w:val="18"/>
        </w:rPr>
        <w:t>Expenses</w:t>
      </w:r>
    </w:p>
    <w:tbl>
      <w:tblPr>
        <w:tblW w:w="0" w:type="auto"/>
        <w:tblInd w:w="126" w:type="dxa"/>
        <w:tblLayout w:type="fixed"/>
        <w:tblCellMar>
          <w:left w:w="0" w:type="dxa"/>
          <w:right w:w="0" w:type="dxa"/>
        </w:tblCellMar>
        <w:tblLook w:val="01E0" w:firstRow="1" w:lastRow="1" w:firstColumn="1" w:lastColumn="1" w:noHBand="0" w:noVBand="0"/>
      </w:tblPr>
      <w:tblGrid>
        <w:gridCol w:w="7628"/>
        <w:gridCol w:w="1126"/>
        <w:gridCol w:w="1215"/>
      </w:tblGrid>
      <w:tr w:rsidR="00FA4AA8" w14:paraId="7BD5B89F" w14:textId="77777777">
        <w:trPr>
          <w:trHeight w:val="550"/>
        </w:trPr>
        <w:tc>
          <w:tcPr>
            <w:tcW w:w="7628" w:type="dxa"/>
          </w:tcPr>
          <w:p w14:paraId="08CF0526" w14:textId="77777777" w:rsidR="00FA4AA8" w:rsidRDefault="00FA4AA8">
            <w:pPr>
              <w:pStyle w:val="TableParagraph"/>
              <w:rPr>
                <w:rFonts w:ascii="Times New Roman"/>
                <w:sz w:val="18"/>
              </w:rPr>
            </w:pPr>
          </w:p>
        </w:tc>
        <w:tc>
          <w:tcPr>
            <w:tcW w:w="1126" w:type="dxa"/>
          </w:tcPr>
          <w:p w14:paraId="0905427F" w14:textId="77777777" w:rsidR="00FA4AA8" w:rsidRDefault="0015611F">
            <w:pPr>
              <w:pStyle w:val="TableParagraph"/>
              <w:spacing w:line="201" w:lineRule="exact"/>
              <w:ind w:left="112" w:right="573"/>
              <w:jc w:val="center"/>
              <w:rPr>
                <w:b/>
                <w:sz w:val="18"/>
              </w:rPr>
            </w:pPr>
            <w:r>
              <w:rPr>
                <w:b/>
                <w:sz w:val="18"/>
              </w:rPr>
              <w:t>2018</w:t>
            </w:r>
          </w:p>
          <w:p w14:paraId="29D4C4C0" w14:textId="77777777" w:rsidR="00FA4AA8" w:rsidRDefault="0015611F">
            <w:pPr>
              <w:pStyle w:val="TableParagraph"/>
              <w:spacing w:before="66"/>
              <w:ind w:right="459"/>
              <w:jc w:val="center"/>
              <w:rPr>
                <w:b/>
                <w:sz w:val="18"/>
              </w:rPr>
            </w:pPr>
            <w:r>
              <w:rPr>
                <w:b/>
                <w:sz w:val="18"/>
              </w:rPr>
              <w:t>$</w:t>
            </w:r>
          </w:p>
        </w:tc>
        <w:tc>
          <w:tcPr>
            <w:tcW w:w="1215" w:type="dxa"/>
          </w:tcPr>
          <w:p w14:paraId="628CBF95" w14:textId="77777777" w:rsidR="00FA4AA8" w:rsidRDefault="0015611F">
            <w:pPr>
              <w:pStyle w:val="TableParagraph"/>
              <w:spacing w:line="201" w:lineRule="exact"/>
              <w:ind w:left="303" w:right="470"/>
              <w:jc w:val="center"/>
              <w:rPr>
                <w:b/>
                <w:sz w:val="18"/>
              </w:rPr>
            </w:pPr>
            <w:r>
              <w:rPr>
                <w:b/>
                <w:sz w:val="18"/>
              </w:rPr>
              <w:t>2017</w:t>
            </w:r>
          </w:p>
          <w:p w14:paraId="4C9E9C0F" w14:textId="77777777" w:rsidR="00FA4AA8" w:rsidRDefault="0015611F">
            <w:pPr>
              <w:pStyle w:val="TableParagraph"/>
              <w:spacing w:before="66"/>
              <w:ind w:right="165"/>
              <w:jc w:val="center"/>
              <w:rPr>
                <w:b/>
                <w:sz w:val="18"/>
              </w:rPr>
            </w:pPr>
            <w:r>
              <w:rPr>
                <w:b/>
                <w:sz w:val="18"/>
              </w:rPr>
              <w:t>$</w:t>
            </w:r>
          </w:p>
        </w:tc>
      </w:tr>
      <w:tr w:rsidR="00FA4AA8" w14:paraId="34684D61" w14:textId="77777777">
        <w:trPr>
          <w:trHeight w:val="544"/>
        </w:trPr>
        <w:tc>
          <w:tcPr>
            <w:tcW w:w="7628" w:type="dxa"/>
          </w:tcPr>
          <w:p w14:paraId="5118AF69" w14:textId="77777777" w:rsidR="00FA4AA8" w:rsidRDefault="0015611F">
            <w:pPr>
              <w:pStyle w:val="TableParagraph"/>
              <w:spacing w:before="70"/>
              <w:ind w:left="473"/>
              <w:rPr>
                <w:b/>
                <w:sz w:val="18"/>
              </w:rPr>
            </w:pPr>
            <w:r>
              <w:rPr>
                <w:b/>
                <w:sz w:val="18"/>
              </w:rPr>
              <w:t>Employee related expense (including academic and non academic)</w:t>
            </w:r>
          </w:p>
          <w:p w14:paraId="3B0E2E87" w14:textId="77777777" w:rsidR="00FA4AA8" w:rsidRDefault="0015611F">
            <w:pPr>
              <w:pStyle w:val="TableParagraph"/>
              <w:spacing w:before="29"/>
              <w:ind w:left="473"/>
              <w:rPr>
                <w:sz w:val="18"/>
              </w:rPr>
            </w:pPr>
            <w:r>
              <w:rPr>
                <w:sz w:val="18"/>
              </w:rPr>
              <w:t>Salaries and wages</w:t>
            </w:r>
          </w:p>
        </w:tc>
        <w:tc>
          <w:tcPr>
            <w:tcW w:w="1126" w:type="dxa"/>
          </w:tcPr>
          <w:p w14:paraId="2A1BD3A6" w14:textId="77777777" w:rsidR="00FA4AA8" w:rsidRDefault="00FA4AA8">
            <w:pPr>
              <w:pStyle w:val="TableParagraph"/>
              <w:spacing w:before="6"/>
              <w:rPr>
                <w:b/>
                <w:sz w:val="26"/>
              </w:rPr>
            </w:pPr>
          </w:p>
          <w:p w14:paraId="089362A5" w14:textId="77777777" w:rsidR="00FA4AA8" w:rsidRDefault="0015611F">
            <w:pPr>
              <w:pStyle w:val="TableParagraph"/>
              <w:ind w:right="226"/>
              <w:jc w:val="right"/>
              <w:rPr>
                <w:b/>
                <w:sz w:val="18"/>
              </w:rPr>
            </w:pPr>
            <w:r>
              <w:rPr>
                <w:b/>
                <w:spacing w:val="-1"/>
                <w:sz w:val="18"/>
              </w:rPr>
              <w:t>23,323,260</w:t>
            </w:r>
          </w:p>
        </w:tc>
        <w:tc>
          <w:tcPr>
            <w:tcW w:w="1215" w:type="dxa"/>
          </w:tcPr>
          <w:p w14:paraId="193C1788" w14:textId="77777777" w:rsidR="00FA4AA8" w:rsidRDefault="00FA4AA8">
            <w:pPr>
              <w:pStyle w:val="TableParagraph"/>
              <w:spacing w:before="6"/>
              <w:rPr>
                <w:b/>
                <w:sz w:val="26"/>
              </w:rPr>
            </w:pPr>
          </w:p>
          <w:p w14:paraId="315F69BD" w14:textId="77777777" w:rsidR="00FA4AA8" w:rsidRDefault="0015611F">
            <w:pPr>
              <w:pStyle w:val="TableParagraph"/>
              <w:ind w:right="86"/>
              <w:jc w:val="right"/>
              <w:rPr>
                <w:sz w:val="18"/>
              </w:rPr>
            </w:pPr>
            <w:r>
              <w:rPr>
                <w:sz w:val="18"/>
              </w:rPr>
              <w:t>23,103,409</w:t>
            </w:r>
          </w:p>
        </w:tc>
      </w:tr>
      <w:tr w:rsidR="00FA4AA8" w14:paraId="65BB12E7" w14:textId="77777777">
        <w:trPr>
          <w:trHeight w:val="263"/>
        </w:trPr>
        <w:tc>
          <w:tcPr>
            <w:tcW w:w="7628" w:type="dxa"/>
          </w:tcPr>
          <w:p w14:paraId="206D5449" w14:textId="77777777" w:rsidR="00FA4AA8" w:rsidRDefault="0015611F">
            <w:pPr>
              <w:pStyle w:val="TableParagraph"/>
              <w:spacing w:before="26"/>
              <w:ind w:left="473"/>
              <w:rPr>
                <w:sz w:val="18"/>
              </w:rPr>
            </w:pPr>
            <w:r>
              <w:rPr>
                <w:sz w:val="18"/>
              </w:rPr>
              <w:t>Superannuation</w:t>
            </w:r>
          </w:p>
        </w:tc>
        <w:tc>
          <w:tcPr>
            <w:tcW w:w="1126" w:type="dxa"/>
          </w:tcPr>
          <w:p w14:paraId="1D474A64" w14:textId="77777777" w:rsidR="00FA4AA8" w:rsidRDefault="0015611F">
            <w:pPr>
              <w:pStyle w:val="TableParagraph"/>
              <w:spacing w:before="25"/>
              <w:ind w:right="226"/>
              <w:jc w:val="right"/>
              <w:rPr>
                <w:b/>
                <w:sz w:val="18"/>
              </w:rPr>
            </w:pPr>
            <w:r>
              <w:rPr>
                <w:b/>
                <w:sz w:val="18"/>
              </w:rPr>
              <w:t>2,831,999</w:t>
            </w:r>
          </w:p>
        </w:tc>
        <w:tc>
          <w:tcPr>
            <w:tcW w:w="1215" w:type="dxa"/>
          </w:tcPr>
          <w:p w14:paraId="52FD97F2" w14:textId="77777777" w:rsidR="00FA4AA8" w:rsidRDefault="0015611F">
            <w:pPr>
              <w:pStyle w:val="TableParagraph"/>
              <w:spacing w:before="25"/>
              <w:ind w:right="86"/>
              <w:jc w:val="right"/>
              <w:rPr>
                <w:sz w:val="18"/>
              </w:rPr>
            </w:pPr>
            <w:r>
              <w:rPr>
                <w:sz w:val="18"/>
              </w:rPr>
              <w:t>2,573,618</w:t>
            </w:r>
          </w:p>
        </w:tc>
      </w:tr>
      <w:tr w:rsidR="00FA4AA8" w14:paraId="01F4A71F" w14:textId="77777777">
        <w:trPr>
          <w:trHeight w:val="273"/>
        </w:trPr>
        <w:tc>
          <w:tcPr>
            <w:tcW w:w="7628" w:type="dxa"/>
          </w:tcPr>
          <w:p w14:paraId="54D108A6" w14:textId="77777777" w:rsidR="00FA4AA8" w:rsidRDefault="0015611F">
            <w:pPr>
              <w:pStyle w:val="TableParagraph"/>
              <w:spacing w:before="26"/>
              <w:ind w:left="473"/>
              <w:rPr>
                <w:sz w:val="18"/>
              </w:rPr>
            </w:pPr>
            <w:r>
              <w:rPr>
                <w:sz w:val="18"/>
              </w:rPr>
              <w:t>Payroll tax</w:t>
            </w:r>
          </w:p>
        </w:tc>
        <w:tc>
          <w:tcPr>
            <w:tcW w:w="1126" w:type="dxa"/>
          </w:tcPr>
          <w:p w14:paraId="7245B53F" w14:textId="77777777" w:rsidR="00FA4AA8" w:rsidRDefault="0015611F">
            <w:pPr>
              <w:pStyle w:val="TableParagraph"/>
              <w:spacing w:before="25"/>
              <w:ind w:right="226"/>
              <w:jc w:val="right"/>
              <w:rPr>
                <w:b/>
                <w:sz w:val="18"/>
              </w:rPr>
            </w:pPr>
            <w:r>
              <w:rPr>
                <w:b/>
                <w:sz w:val="18"/>
              </w:rPr>
              <w:t>1,630,999</w:t>
            </w:r>
          </w:p>
        </w:tc>
        <w:tc>
          <w:tcPr>
            <w:tcW w:w="1215" w:type="dxa"/>
          </w:tcPr>
          <w:p w14:paraId="77473622" w14:textId="77777777" w:rsidR="00FA4AA8" w:rsidRDefault="0015611F">
            <w:pPr>
              <w:pStyle w:val="TableParagraph"/>
              <w:spacing w:before="25"/>
              <w:ind w:right="86"/>
              <w:jc w:val="right"/>
              <w:rPr>
                <w:sz w:val="18"/>
              </w:rPr>
            </w:pPr>
            <w:r>
              <w:rPr>
                <w:sz w:val="18"/>
              </w:rPr>
              <w:t>1,581,192</w:t>
            </w:r>
          </w:p>
        </w:tc>
      </w:tr>
      <w:tr w:rsidR="00FA4AA8" w14:paraId="48A1F51D" w14:textId="77777777">
        <w:trPr>
          <w:trHeight w:val="283"/>
        </w:trPr>
        <w:tc>
          <w:tcPr>
            <w:tcW w:w="7628" w:type="dxa"/>
          </w:tcPr>
          <w:p w14:paraId="21BC11FA" w14:textId="77777777" w:rsidR="00FA4AA8" w:rsidRDefault="0015611F">
            <w:pPr>
              <w:pStyle w:val="TableParagraph"/>
              <w:spacing w:before="35"/>
              <w:ind w:left="473"/>
              <w:rPr>
                <w:sz w:val="18"/>
              </w:rPr>
            </w:pPr>
            <w:r>
              <w:rPr>
                <w:sz w:val="18"/>
              </w:rPr>
              <w:t>Leave</w:t>
            </w:r>
          </w:p>
        </w:tc>
        <w:tc>
          <w:tcPr>
            <w:tcW w:w="1126" w:type="dxa"/>
          </w:tcPr>
          <w:p w14:paraId="470A62C3" w14:textId="77777777" w:rsidR="00FA4AA8" w:rsidRDefault="0015611F">
            <w:pPr>
              <w:pStyle w:val="TableParagraph"/>
              <w:spacing w:before="34"/>
              <w:ind w:right="226"/>
              <w:jc w:val="right"/>
              <w:rPr>
                <w:b/>
                <w:sz w:val="18"/>
              </w:rPr>
            </w:pPr>
            <w:r>
              <w:rPr>
                <w:b/>
                <w:sz w:val="18"/>
              </w:rPr>
              <w:t>1,616,400</w:t>
            </w:r>
          </w:p>
        </w:tc>
        <w:tc>
          <w:tcPr>
            <w:tcW w:w="1215" w:type="dxa"/>
          </w:tcPr>
          <w:p w14:paraId="747BB37F" w14:textId="77777777" w:rsidR="00FA4AA8" w:rsidRDefault="0015611F">
            <w:pPr>
              <w:pStyle w:val="TableParagraph"/>
              <w:spacing w:before="34"/>
              <w:ind w:right="86"/>
              <w:jc w:val="right"/>
              <w:rPr>
                <w:sz w:val="18"/>
              </w:rPr>
            </w:pPr>
            <w:r>
              <w:rPr>
                <w:sz w:val="18"/>
              </w:rPr>
              <w:t>1,763,566</w:t>
            </w:r>
          </w:p>
        </w:tc>
      </w:tr>
      <w:tr w:rsidR="00FA4AA8" w14:paraId="5294B2C7" w14:textId="77777777">
        <w:trPr>
          <w:trHeight w:val="273"/>
        </w:trPr>
        <w:tc>
          <w:tcPr>
            <w:tcW w:w="7628" w:type="dxa"/>
          </w:tcPr>
          <w:p w14:paraId="08453B9F" w14:textId="77777777" w:rsidR="00FA4AA8" w:rsidRDefault="0015611F">
            <w:pPr>
              <w:pStyle w:val="TableParagraph"/>
              <w:spacing w:before="35"/>
              <w:ind w:left="473"/>
              <w:rPr>
                <w:sz w:val="18"/>
              </w:rPr>
            </w:pPr>
            <w:r>
              <w:rPr>
                <w:sz w:val="18"/>
              </w:rPr>
              <w:t>Workers compensation</w:t>
            </w:r>
          </w:p>
        </w:tc>
        <w:tc>
          <w:tcPr>
            <w:tcW w:w="1126" w:type="dxa"/>
          </w:tcPr>
          <w:p w14:paraId="630CED52" w14:textId="77777777" w:rsidR="00FA4AA8" w:rsidRDefault="0015611F">
            <w:pPr>
              <w:pStyle w:val="TableParagraph"/>
              <w:spacing w:before="34"/>
              <w:ind w:right="226"/>
              <w:jc w:val="right"/>
              <w:rPr>
                <w:b/>
                <w:sz w:val="18"/>
              </w:rPr>
            </w:pPr>
            <w:r>
              <w:rPr>
                <w:b/>
                <w:sz w:val="18"/>
              </w:rPr>
              <w:t>115,460</w:t>
            </w:r>
          </w:p>
        </w:tc>
        <w:tc>
          <w:tcPr>
            <w:tcW w:w="1215" w:type="dxa"/>
          </w:tcPr>
          <w:p w14:paraId="01F9433A" w14:textId="77777777" w:rsidR="00FA4AA8" w:rsidRDefault="0015611F">
            <w:pPr>
              <w:pStyle w:val="TableParagraph"/>
              <w:spacing w:before="34"/>
              <w:ind w:right="86"/>
              <w:jc w:val="right"/>
              <w:rPr>
                <w:sz w:val="18"/>
              </w:rPr>
            </w:pPr>
            <w:r>
              <w:rPr>
                <w:sz w:val="18"/>
              </w:rPr>
              <w:t>90,226</w:t>
            </w:r>
          </w:p>
        </w:tc>
      </w:tr>
      <w:tr w:rsidR="00FA4AA8" w14:paraId="71A54E41" w14:textId="77777777">
        <w:trPr>
          <w:trHeight w:val="258"/>
        </w:trPr>
        <w:tc>
          <w:tcPr>
            <w:tcW w:w="7628" w:type="dxa"/>
          </w:tcPr>
          <w:p w14:paraId="2D9B6AAB" w14:textId="77777777" w:rsidR="00FA4AA8" w:rsidRDefault="0015611F">
            <w:pPr>
              <w:pStyle w:val="TableParagraph"/>
              <w:spacing w:before="26"/>
              <w:ind w:left="473"/>
              <w:rPr>
                <w:sz w:val="18"/>
              </w:rPr>
            </w:pPr>
            <w:r>
              <w:rPr>
                <w:sz w:val="18"/>
              </w:rPr>
              <w:t>Redundancies</w:t>
            </w:r>
          </w:p>
        </w:tc>
        <w:tc>
          <w:tcPr>
            <w:tcW w:w="1126" w:type="dxa"/>
            <w:tcBorders>
              <w:bottom w:val="single" w:sz="8" w:space="0" w:color="000000"/>
            </w:tcBorders>
          </w:tcPr>
          <w:p w14:paraId="3E57DB97" w14:textId="77777777" w:rsidR="00FA4AA8" w:rsidRDefault="0015611F">
            <w:pPr>
              <w:pStyle w:val="TableParagraph"/>
              <w:spacing w:before="25"/>
              <w:ind w:right="226"/>
              <w:jc w:val="right"/>
              <w:rPr>
                <w:b/>
                <w:sz w:val="18"/>
              </w:rPr>
            </w:pPr>
            <w:r>
              <w:rPr>
                <w:b/>
                <w:sz w:val="18"/>
              </w:rPr>
              <w:t>41,588</w:t>
            </w:r>
          </w:p>
        </w:tc>
        <w:tc>
          <w:tcPr>
            <w:tcW w:w="1215" w:type="dxa"/>
            <w:tcBorders>
              <w:bottom w:val="single" w:sz="8" w:space="0" w:color="000000"/>
            </w:tcBorders>
          </w:tcPr>
          <w:p w14:paraId="4B9015E8" w14:textId="77777777" w:rsidR="00FA4AA8" w:rsidRDefault="0015611F">
            <w:pPr>
              <w:pStyle w:val="TableParagraph"/>
              <w:spacing w:before="25"/>
              <w:ind w:right="86"/>
              <w:jc w:val="right"/>
              <w:rPr>
                <w:sz w:val="18"/>
              </w:rPr>
            </w:pPr>
            <w:r>
              <w:rPr>
                <w:sz w:val="18"/>
              </w:rPr>
              <w:t>314,538</w:t>
            </w:r>
          </w:p>
        </w:tc>
      </w:tr>
      <w:tr w:rsidR="00FA4AA8" w14:paraId="7AEF2069" w14:textId="77777777">
        <w:trPr>
          <w:trHeight w:val="313"/>
        </w:trPr>
        <w:tc>
          <w:tcPr>
            <w:tcW w:w="7628" w:type="dxa"/>
          </w:tcPr>
          <w:p w14:paraId="6DB7FFCF" w14:textId="77777777" w:rsidR="00FA4AA8" w:rsidRDefault="0015611F">
            <w:pPr>
              <w:pStyle w:val="TableParagraph"/>
              <w:spacing w:before="113" w:line="180" w:lineRule="exact"/>
              <w:ind w:left="473"/>
              <w:rPr>
                <w:b/>
                <w:sz w:val="18"/>
              </w:rPr>
            </w:pPr>
            <w:r>
              <w:rPr>
                <w:b/>
                <w:sz w:val="18"/>
              </w:rPr>
              <w:t>Total employee related expenses</w:t>
            </w:r>
          </w:p>
        </w:tc>
        <w:tc>
          <w:tcPr>
            <w:tcW w:w="1126" w:type="dxa"/>
            <w:tcBorders>
              <w:top w:val="single" w:sz="8" w:space="0" w:color="000000"/>
              <w:bottom w:val="double" w:sz="3" w:space="0" w:color="000000"/>
            </w:tcBorders>
          </w:tcPr>
          <w:p w14:paraId="46DD8D21" w14:textId="77777777" w:rsidR="00FA4AA8" w:rsidRDefault="0015611F">
            <w:pPr>
              <w:pStyle w:val="TableParagraph"/>
              <w:spacing w:before="113" w:line="180" w:lineRule="exact"/>
              <w:ind w:right="226"/>
              <w:jc w:val="right"/>
              <w:rPr>
                <w:b/>
                <w:sz w:val="18"/>
              </w:rPr>
            </w:pPr>
            <w:r>
              <w:rPr>
                <w:b/>
                <w:spacing w:val="-1"/>
                <w:sz w:val="18"/>
              </w:rPr>
              <w:t>29,559,706</w:t>
            </w:r>
          </w:p>
        </w:tc>
        <w:tc>
          <w:tcPr>
            <w:tcW w:w="1215" w:type="dxa"/>
            <w:tcBorders>
              <w:top w:val="single" w:sz="8" w:space="0" w:color="000000"/>
              <w:bottom w:val="double" w:sz="3" w:space="0" w:color="000000"/>
            </w:tcBorders>
          </w:tcPr>
          <w:p w14:paraId="3C7BF83D" w14:textId="77777777" w:rsidR="00FA4AA8" w:rsidRDefault="0015611F">
            <w:pPr>
              <w:pStyle w:val="TableParagraph"/>
              <w:spacing w:before="113" w:line="180" w:lineRule="exact"/>
              <w:ind w:right="86"/>
              <w:jc w:val="right"/>
              <w:rPr>
                <w:sz w:val="18"/>
              </w:rPr>
            </w:pPr>
            <w:r>
              <w:rPr>
                <w:sz w:val="18"/>
              </w:rPr>
              <w:t>29,426,549</w:t>
            </w:r>
          </w:p>
        </w:tc>
      </w:tr>
    </w:tbl>
    <w:p w14:paraId="42BB5DB2" w14:textId="77777777" w:rsidR="00FA4AA8" w:rsidRDefault="00FA4AA8">
      <w:pPr>
        <w:spacing w:line="180" w:lineRule="exact"/>
        <w:jc w:val="right"/>
        <w:rPr>
          <w:sz w:val="18"/>
        </w:rPr>
        <w:sectPr w:rsidR="00FA4AA8">
          <w:pgSz w:w="11910" w:h="16840"/>
          <w:pgMar w:top="1720" w:right="840" w:bottom="720" w:left="840" w:header="1017" w:footer="523" w:gutter="0"/>
          <w:cols w:space="720"/>
        </w:sectPr>
      </w:pPr>
    </w:p>
    <w:p w14:paraId="290651C1" w14:textId="77777777" w:rsidR="00FA4AA8" w:rsidRDefault="00FA4AA8">
      <w:pPr>
        <w:pStyle w:val="BodyText"/>
        <w:spacing w:before="6"/>
        <w:rPr>
          <w:b/>
          <w:sz w:val="21"/>
        </w:rPr>
      </w:pPr>
    </w:p>
    <w:p w14:paraId="727B15A7" w14:textId="77777777" w:rsidR="00FA4AA8" w:rsidRDefault="0015611F">
      <w:pPr>
        <w:spacing w:before="91"/>
        <w:ind w:left="167"/>
        <w:rPr>
          <w:b/>
          <w:sz w:val="28"/>
        </w:rPr>
      </w:pPr>
      <w:r>
        <w:rPr>
          <w:b/>
          <w:sz w:val="28"/>
        </w:rPr>
        <w:t>Notes to the Financial Statements</w:t>
      </w:r>
    </w:p>
    <w:p w14:paraId="76FA9EE0" w14:textId="77777777" w:rsidR="00FA4AA8" w:rsidRDefault="0015611F">
      <w:pPr>
        <w:spacing w:before="57"/>
        <w:ind w:left="167"/>
        <w:rPr>
          <w:b/>
        </w:rPr>
      </w:pPr>
      <w:r>
        <w:rPr>
          <w:b/>
        </w:rPr>
        <w:t>For the Year Ended 31 December 2018</w:t>
      </w:r>
    </w:p>
    <w:p w14:paraId="07ADF748" w14:textId="77777777" w:rsidR="00FA4AA8" w:rsidRDefault="00FA4AA8">
      <w:pPr>
        <w:pStyle w:val="BodyText"/>
        <w:rPr>
          <w:b/>
          <w:sz w:val="20"/>
        </w:rPr>
      </w:pPr>
    </w:p>
    <w:p w14:paraId="37F43B08" w14:textId="77777777" w:rsidR="00FA4AA8" w:rsidRDefault="00FA4AA8">
      <w:pPr>
        <w:pStyle w:val="BodyText"/>
        <w:rPr>
          <w:b/>
          <w:sz w:val="20"/>
        </w:rPr>
      </w:pPr>
    </w:p>
    <w:p w14:paraId="2F896C63" w14:textId="77777777" w:rsidR="00FA4AA8" w:rsidRDefault="00FA4AA8">
      <w:pPr>
        <w:pStyle w:val="BodyText"/>
        <w:spacing w:before="5" w:after="1"/>
        <w:rPr>
          <w:b/>
        </w:rPr>
      </w:pPr>
    </w:p>
    <w:tbl>
      <w:tblPr>
        <w:tblW w:w="0" w:type="auto"/>
        <w:tblInd w:w="125" w:type="dxa"/>
        <w:tblLayout w:type="fixed"/>
        <w:tblCellMar>
          <w:left w:w="0" w:type="dxa"/>
          <w:right w:w="0" w:type="dxa"/>
        </w:tblCellMar>
        <w:tblLook w:val="01E0" w:firstRow="1" w:lastRow="1" w:firstColumn="1" w:lastColumn="1" w:noHBand="0" w:noVBand="0"/>
      </w:tblPr>
      <w:tblGrid>
        <w:gridCol w:w="298"/>
        <w:gridCol w:w="7007"/>
        <w:gridCol w:w="1497"/>
        <w:gridCol w:w="1166"/>
      </w:tblGrid>
      <w:tr w:rsidR="00FA4AA8" w14:paraId="30EFB7FD" w14:textId="77777777">
        <w:trPr>
          <w:trHeight w:val="220"/>
        </w:trPr>
        <w:tc>
          <w:tcPr>
            <w:tcW w:w="298" w:type="dxa"/>
          </w:tcPr>
          <w:p w14:paraId="460FDA92" w14:textId="77777777" w:rsidR="00FA4AA8" w:rsidRDefault="0015611F">
            <w:pPr>
              <w:pStyle w:val="TableParagraph"/>
              <w:spacing w:line="201" w:lineRule="exact"/>
              <w:ind w:left="50"/>
              <w:rPr>
                <w:b/>
                <w:sz w:val="18"/>
              </w:rPr>
            </w:pPr>
            <w:r>
              <w:rPr>
                <w:b/>
                <w:sz w:val="18"/>
              </w:rPr>
              <w:t>4</w:t>
            </w:r>
          </w:p>
        </w:tc>
        <w:tc>
          <w:tcPr>
            <w:tcW w:w="7007" w:type="dxa"/>
          </w:tcPr>
          <w:p w14:paraId="6940ED40" w14:textId="77777777" w:rsidR="00FA4AA8" w:rsidRDefault="0015611F">
            <w:pPr>
              <w:pStyle w:val="TableParagraph"/>
              <w:spacing w:line="201" w:lineRule="exact"/>
              <w:ind w:left="148"/>
              <w:rPr>
                <w:b/>
                <w:sz w:val="18"/>
              </w:rPr>
            </w:pPr>
            <w:r>
              <w:rPr>
                <w:b/>
                <w:sz w:val="18"/>
              </w:rPr>
              <w:t>Expenses (continued)</w:t>
            </w:r>
          </w:p>
        </w:tc>
        <w:tc>
          <w:tcPr>
            <w:tcW w:w="2663" w:type="dxa"/>
            <w:gridSpan w:val="2"/>
          </w:tcPr>
          <w:p w14:paraId="7ADAA4C3" w14:textId="77777777" w:rsidR="00FA4AA8" w:rsidRDefault="00FA4AA8">
            <w:pPr>
              <w:pStyle w:val="TableParagraph"/>
              <w:rPr>
                <w:rFonts w:ascii="Times New Roman"/>
                <w:sz w:val="14"/>
              </w:rPr>
            </w:pPr>
          </w:p>
        </w:tc>
      </w:tr>
      <w:tr w:rsidR="00FA4AA8" w14:paraId="5FFCCDDE" w14:textId="77777777">
        <w:trPr>
          <w:trHeight w:val="256"/>
        </w:trPr>
        <w:tc>
          <w:tcPr>
            <w:tcW w:w="298" w:type="dxa"/>
          </w:tcPr>
          <w:p w14:paraId="77723528" w14:textId="77777777" w:rsidR="00FA4AA8" w:rsidRDefault="00FA4AA8">
            <w:pPr>
              <w:pStyle w:val="TableParagraph"/>
              <w:rPr>
                <w:rFonts w:ascii="Times New Roman"/>
                <w:sz w:val="18"/>
              </w:rPr>
            </w:pPr>
          </w:p>
        </w:tc>
        <w:tc>
          <w:tcPr>
            <w:tcW w:w="7007" w:type="dxa"/>
          </w:tcPr>
          <w:p w14:paraId="736E2DF9" w14:textId="77777777" w:rsidR="00FA4AA8" w:rsidRDefault="00FA4AA8">
            <w:pPr>
              <w:pStyle w:val="TableParagraph"/>
              <w:rPr>
                <w:rFonts w:ascii="Times New Roman"/>
                <w:sz w:val="18"/>
              </w:rPr>
            </w:pPr>
          </w:p>
        </w:tc>
        <w:tc>
          <w:tcPr>
            <w:tcW w:w="1497" w:type="dxa"/>
          </w:tcPr>
          <w:p w14:paraId="64E69FC4" w14:textId="77777777" w:rsidR="00FA4AA8" w:rsidRDefault="0015611F">
            <w:pPr>
              <w:pStyle w:val="TableParagraph"/>
              <w:spacing w:before="13"/>
              <w:ind w:left="456"/>
              <w:rPr>
                <w:b/>
                <w:sz w:val="18"/>
              </w:rPr>
            </w:pPr>
            <w:r>
              <w:rPr>
                <w:b/>
                <w:sz w:val="18"/>
              </w:rPr>
              <w:t>2018</w:t>
            </w:r>
          </w:p>
        </w:tc>
        <w:tc>
          <w:tcPr>
            <w:tcW w:w="1166" w:type="dxa"/>
          </w:tcPr>
          <w:p w14:paraId="7E8C1B35" w14:textId="77777777" w:rsidR="00FA4AA8" w:rsidRDefault="0015611F">
            <w:pPr>
              <w:pStyle w:val="TableParagraph"/>
              <w:spacing w:before="13"/>
              <w:ind w:left="276"/>
              <w:rPr>
                <w:b/>
                <w:sz w:val="18"/>
              </w:rPr>
            </w:pPr>
            <w:r>
              <w:rPr>
                <w:b/>
                <w:sz w:val="18"/>
              </w:rPr>
              <w:t>2017</w:t>
            </w:r>
          </w:p>
        </w:tc>
      </w:tr>
      <w:tr w:rsidR="00FA4AA8" w14:paraId="0AB0509B" w14:textId="77777777">
        <w:trPr>
          <w:trHeight w:val="256"/>
        </w:trPr>
        <w:tc>
          <w:tcPr>
            <w:tcW w:w="298" w:type="dxa"/>
          </w:tcPr>
          <w:p w14:paraId="0072A32E" w14:textId="77777777" w:rsidR="00FA4AA8" w:rsidRDefault="00FA4AA8">
            <w:pPr>
              <w:pStyle w:val="TableParagraph"/>
              <w:rPr>
                <w:rFonts w:ascii="Times New Roman"/>
                <w:sz w:val="18"/>
              </w:rPr>
            </w:pPr>
          </w:p>
        </w:tc>
        <w:tc>
          <w:tcPr>
            <w:tcW w:w="7007" w:type="dxa"/>
          </w:tcPr>
          <w:p w14:paraId="48EAD3E8" w14:textId="77777777" w:rsidR="00FA4AA8" w:rsidRDefault="00FA4AA8">
            <w:pPr>
              <w:pStyle w:val="TableParagraph"/>
              <w:rPr>
                <w:rFonts w:ascii="Times New Roman"/>
                <w:sz w:val="18"/>
              </w:rPr>
            </w:pPr>
          </w:p>
        </w:tc>
        <w:tc>
          <w:tcPr>
            <w:tcW w:w="1497" w:type="dxa"/>
          </w:tcPr>
          <w:p w14:paraId="73D04DF6" w14:textId="77777777" w:rsidR="00FA4AA8" w:rsidRDefault="0015611F">
            <w:pPr>
              <w:pStyle w:val="TableParagraph"/>
              <w:spacing w:before="30" w:line="206" w:lineRule="exact"/>
              <w:ind w:right="182"/>
              <w:jc w:val="center"/>
              <w:rPr>
                <w:b/>
                <w:sz w:val="18"/>
              </w:rPr>
            </w:pPr>
            <w:r>
              <w:rPr>
                <w:b/>
                <w:sz w:val="18"/>
              </w:rPr>
              <w:t>$</w:t>
            </w:r>
          </w:p>
        </w:tc>
        <w:tc>
          <w:tcPr>
            <w:tcW w:w="1166" w:type="dxa"/>
          </w:tcPr>
          <w:p w14:paraId="194BC424" w14:textId="77777777" w:rsidR="00FA4AA8" w:rsidRDefault="0015611F">
            <w:pPr>
              <w:pStyle w:val="TableParagraph"/>
              <w:spacing w:before="30" w:line="206" w:lineRule="exact"/>
              <w:ind w:right="210"/>
              <w:jc w:val="center"/>
              <w:rPr>
                <w:b/>
                <w:sz w:val="18"/>
              </w:rPr>
            </w:pPr>
            <w:r>
              <w:rPr>
                <w:b/>
                <w:sz w:val="18"/>
              </w:rPr>
              <w:t>$</w:t>
            </w:r>
          </w:p>
        </w:tc>
      </w:tr>
      <w:tr w:rsidR="00FA4AA8" w14:paraId="16E1396B" w14:textId="77777777">
        <w:trPr>
          <w:trHeight w:val="251"/>
        </w:trPr>
        <w:tc>
          <w:tcPr>
            <w:tcW w:w="298" w:type="dxa"/>
          </w:tcPr>
          <w:p w14:paraId="2910EE47" w14:textId="77777777" w:rsidR="00FA4AA8" w:rsidRDefault="00FA4AA8">
            <w:pPr>
              <w:pStyle w:val="TableParagraph"/>
              <w:rPr>
                <w:rFonts w:ascii="Times New Roman"/>
                <w:sz w:val="18"/>
              </w:rPr>
            </w:pPr>
          </w:p>
        </w:tc>
        <w:tc>
          <w:tcPr>
            <w:tcW w:w="7007" w:type="dxa"/>
          </w:tcPr>
          <w:p w14:paraId="0991D477" w14:textId="77777777" w:rsidR="00FA4AA8" w:rsidRDefault="0015611F">
            <w:pPr>
              <w:pStyle w:val="TableParagraph"/>
              <w:spacing w:before="13"/>
              <w:ind w:left="176"/>
              <w:rPr>
                <w:b/>
                <w:sz w:val="18"/>
              </w:rPr>
            </w:pPr>
            <w:r>
              <w:rPr>
                <w:b/>
                <w:sz w:val="18"/>
              </w:rPr>
              <w:t>Fees for service</w:t>
            </w:r>
          </w:p>
        </w:tc>
        <w:tc>
          <w:tcPr>
            <w:tcW w:w="1497" w:type="dxa"/>
          </w:tcPr>
          <w:p w14:paraId="3A909553" w14:textId="77777777" w:rsidR="00FA4AA8" w:rsidRDefault="00FA4AA8">
            <w:pPr>
              <w:pStyle w:val="TableParagraph"/>
              <w:rPr>
                <w:rFonts w:ascii="Times New Roman"/>
                <w:sz w:val="18"/>
              </w:rPr>
            </w:pPr>
          </w:p>
        </w:tc>
        <w:tc>
          <w:tcPr>
            <w:tcW w:w="1166" w:type="dxa"/>
          </w:tcPr>
          <w:p w14:paraId="57BD5E8D" w14:textId="77777777" w:rsidR="00FA4AA8" w:rsidRDefault="00FA4AA8">
            <w:pPr>
              <w:pStyle w:val="TableParagraph"/>
              <w:rPr>
                <w:rFonts w:ascii="Times New Roman"/>
                <w:sz w:val="18"/>
              </w:rPr>
            </w:pPr>
          </w:p>
        </w:tc>
      </w:tr>
      <w:tr w:rsidR="00FA4AA8" w14:paraId="52C52148" w14:textId="77777777">
        <w:trPr>
          <w:trHeight w:val="263"/>
        </w:trPr>
        <w:tc>
          <w:tcPr>
            <w:tcW w:w="298" w:type="dxa"/>
          </w:tcPr>
          <w:p w14:paraId="59646A74" w14:textId="77777777" w:rsidR="00FA4AA8" w:rsidRDefault="00FA4AA8">
            <w:pPr>
              <w:pStyle w:val="TableParagraph"/>
              <w:rPr>
                <w:rFonts w:ascii="Times New Roman"/>
                <w:sz w:val="18"/>
              </w:rPr>
            </w:pPr>
          </w:p>
        </w:tc>
        <w:tc>
          <w:tcPr>
            <w:tcW w:w="7007" w:type="dxa"/>
          </w:tcPr>
          <w:p w14:paraId="7C54C0E6" w14:textId="77777777" w:rsidR="00FA4AA8" w:rsidRDefault="0015611F">
            <w:pPr>
              <w:pStyle w:val="TableParagraph"/>
              <w:spacing w:before="26"/>
              <w:ind w:left="176"/>
              <w:rPr>
                <w:sz w:val="18"/>
              </w:rPr>
            </w:pPr>
            <w:r>
              <w:rPr>
                <w:sz w:val="18"/>
              </w:rPr>
              <w:t>Testing fees</w:t>
            </w:r>
          </w:p>
        </w:tc>
        <w:tc>
          <w:tcPr>
            <w:tcW w:w="1497" w:type="dxa"/>
          </w:tcPr>
          <w:p w14:paraId="5A7932CF" w14:textId="77777777" w:rsidR="00FA4AA8" w:rsidRDefault="0015611F">
            <w:pPr>
              <w:pStyle w:val="TableParagraph"/>
              <w:spacing w:before="25"/>
              <w:ind w:right="273"/>
              <w:jc w:val="right"/>
              <w:rPr>
                <w:b/>
                <w:sz w:val="18"/>
              </w:rPr>
            </w:pPr>
            <w:r>
              <w:rPr>
                <w:b/>
                <w:sz w:val="18"/>
              </w:rPr>
              <w:t>1,302,500</w:t>
            </w:r>
          </w:p>
        </w:tc>
        <w:tc>
          <w:tcPr>
            <w:tcW w:w="1166" w:type="dxa"/>
          </w:tcPr>
          <w:p w14:paraId="769F27C1" w14:textId="77777777" w:rsidR="00FA4AA8" w:rsidRDefault="0015611F">
            <w:pPr>
              <w:pStyle w:val="TableParagraph"/>
              <w:spacing w:before="25"/>
              <w:ind w:left="281"/>
              <w:rPr>
                <w:sz w:val="18"/>
              </w:rPr>
            </w:pPr>
            <w:r>
              <w:rPr>
                <w:sz w:val="18"/>
              </w:rPr>
              <w:t>1,704,985</w:t>
            </w:r>
          </w:p>
        </w:tc>
      </w:tr>
      <w:tr w:rsidR="00FA4AA8" w14:paraId="1EAD9D55" w14:textId="77777777">
        <w:trPr>
          <w:trHeight w:val="264"/>
        </w:trPr>
        <w:tc>
          <w:tcPr>
            <w:tcW w:w="298" w:type="dxa"/>
          </w:tcPr>
          <w:p w14:paraId="6F9A9EE5" w14:textId="77777777" w:rsidR="00FA4AA8" w:rsidRDefault="00FA4AA8">
            <w:pPr>
              <w:pStyle w:val="TableParagraph"/>
              <w:rPr>
                <w:rFonts w:ascii="Times New Roman"/>
                <w:sz w:val="18"/>
              </w:rPr>
            </w:pPr>
          </w:p>
        </w:tc>
        <w:tc>
          <w:tcPr>
            <w:tcW w:w="7007" w:type="dxa"/>
          </w:tcPr>
          <w:p w14:paraId="19CEABEF" w14:textId="77777777" w:rsidR="00FA4AA8" w:rsidRDefault="0015611F">
            <w:pPr>
              <w:pStyle w:val="TableParagraph"/>
              <w:spacing w:before="26"/>
              <w:ind w:left="176"/>
              <w:rPr>
                <w:sz w:val="18"/>
              </w:rPr>
            </w:pPr>
            <w:r>
              <w:rPr>
                <w:sz w:val="18"/>
              </w:rPr>
              <w:t>Agent's commission</w:t>
            </w:r>
          </w:p>
        </w:tc>
        <w:tc>
          <w:tcPr>
            <w:tcW w:w="1497" w:type="dxa"/>
          </w:tcPr>
          <w:p w14:paraId="28A6A34D" w14:textId="77777777" w:rsidR="00FA4AA8" w:rsidRDefault="0015611F">
            <w:pPr>
              <w:pStyle w:val="TableParagraph"/>
              <w:spacing w:before="25"/>
              <w:ind w:right="273"/>
              <w:jc w:val="right"/>
              <w:rPr>
                <w:b/>
                <w:sz w:val="18"/>
              </w:rPr>
            </w:pPr>
            <w:r>
              <w:rPr>
                <w:b/>
                <w:sz w:val="18"/>
              </w:rPr>
              <w:t>794,332</w:t>
            </w:r>
          </w:p>
        </w:tc>
        <w:tc>
          <w:tcPr>
            <w:tcW w:w="1166" w:type="dxa"/>
          </w:tcPr>
          <w:p w14:paraId="1BD392A6" w14:textId="77777777" w:rsidR="00FA4AA8" w:rsidRDefault="0015611F">
            <w:pPr>
              <w:pStyle w:val="TableParagraph"/>
              <w:spacing w:before="25"/>
              <w:ind w:left="431"/>
              <w:rPr>
                <w:sz w:val="18"/>
              </w:rPr>
            </w:pPr>
            <w:r>
              <w:rPr>
                <w:sz w:val="18"/>
              </w:rPr>
              <w:t>362,258</w:t>
            </w:r>
          </w:p>
        </w:tc>
      </w:tr>
      <w:tr w:rsidR="00FA4AA8" w14:paraId="178055CD" w14:textId="77777777">
        <w:trPr>
          <w:trHeight w:val="273"/>
        </w:trPr>
        <w:tc>
          <w:tcPr>
            <w:tcW w:w="298" w:type="dxa"/>
          </w:tcPr>
          <w:p w14:paraId="0579941C" w14:textId="77777777" w:rsidR="00FA4AA8" w:rsidRDefault="00FA4AA8">
            <w:pPr>
              <w:pStyle w:val="TableParagraph"/>
              <w:rPr>
                <w:rFonts w:ascii="Times New Roman"/>
                <w:sz w:val="18"/>
              </w:rPr>
            </w:pPr>
          </w:p>
        </w:tc>
        <w:tc>
          <w:tcPr>
            <w:tcW w:w="7007" w:type="dxa"/>
          </w:tcPr>
          <w:p w14:paraId="24339B90" w14:textId="77777777" w:rsidR="00FA4AA8" w:rsidRDefault="0015611F">
            <w:pPr>
              <w:pStyle w:val="TableParagraph"/>
              <w:spacing w:before="26"/>
              <w:ind w:left="176"/>
              <w:rPr>
                <w:sz w:val="18"/>
              </w:rPr>
            </w:pPr>
            <w:r>
              <w:rPr>
                <w:sz w:val="18"/>
              </w:rPr>
              <w:t>Study tours</w:t>
            </w:r>
          </w:p>
        </w:tc>
        <w:tc>
          <w:tcPr>
            <w:tcW w:w="1497" w:type="dxa"/>
          </w:tcPr>
          <w:p w14:paraId="6AE3AF4A" w14:textId="77777777" w:rsidR="00FA4AA8" w:rsidRDefault="0015611F">
            <w:pPr>
              <w:pStyle w:val="TableParagraph"/>
              <w:spacing w:before="25"/>
              <w:ind w:right="273"/>
              <w:jc w:val="right"/>
              <w:rPr>
                <w:b/>
                <w:sz w:val="18"/>
              </w:rPr>
            </w:pPr>
            <w:r>
              <w:rPr>
                <w:b/>
                <w:sz w:val="18"/>
              </w:rPr>
              <w:t>502,227</w:t>
            </w:r>
          </w:p>
        </w:tc>
        <w:tc>
          <w:tcPr>
            <w:tcW w:w="1166" w:type="dxa"/>
          </w:tcPr>
          <w:p w14:paraId="3BC88AC4" w14:textId="77777777" w:rsidR="00FA4AA8" w:rsidRDefault="0015611F">
            <w:pPr>
              <w:pStyle w:val="TableParagraph"/>
              <w:spacing w:before="25"/>
              <w:ind w:left="431"/>
              <w:rPr>
                <w:sz w:val="18"/>
              </w:rPr>
            </w:pPr>
            <w:r>
              <w:rPr>
                <w:sz w:val="18"/>
              </w:rPr>
              <w:t>637,608</w:t>
            </w:r>
          </w:p>
        </w:tc>
      </w:tr>
      <w:tr w:rsidR="00FA4AA8" w14:paraId="429006BD" w14:textId="77777777">
        <w:trPr>
          <w:trHeight w:val="283"/>
        </w:trPr>
        <w:tc>
          <w:tcPr>
            <w:tcW w:w="298" w:type="dxa"/>
          </w:tcPr>
          <w:p w14:paraId="31684FB9" w14:textId="77777777" w:rsidR="00FA4AA8" w:rsidRDefault="00FA4AA8">
            <w:pPr>
              <w:pStyle w:val="TableParagraph"/>
              <w:rPr>
                <w:rFonts w:ascii="Times New Roman"/>
                <w:sz w:val="18"/>
              </w:rPr>
            </w:pPr>
          </w:p>
        </w:tc>
        <w:tc>
          <w:tcPr>
            <w:tcW w:w="7007" w:type="dxa"/>
          </w:tcPr>
          <w:p w14:paraId="09C7332B" w14:textId="77777777" w:rsidR="00FA4AA8" w:rsidRDefault="0015611F">
            <w:pPr>
              <w:pStyle w:val="TableParagraph"/>
              <w:spacing w:before="35"/>
              <w:ind w:left="176"/>
              <w:rPr>
                <w:sz w:val="18"/>
              </w:rPr>
            </w:pPr>
            <w:r>
              <w:rPr>
                <w:sz w:val="18"/>
              </w:rPr>
              <w:t>Temporary contract staff</w:t>
            </w:r>
          </w:p>
        </w:tc>
        <w:tc>
          <w:tcPr>
            <w:tcW w:w="1497" w:type="dxa"/>
          </w:tcPr>
          <w:p w14:paraId="3A02AC9F" w14:textId="77777777" w:rsidR="00FA4AA8" w:rsidRDefault="0015611F">
            <w:pPr>
              <w:pStyle w:val="TableParagraph"/>
              <w:spacing w:before="34"/>
              <w:ind w:right="273"/>
              <w:jc w:val="right"/>
              <w:rPr>
                <w:b/>
                <w:sz w:val="18"/>
              </w:rPr>
            </w:pPr>
            <w:r>
              <w:rPr>
                <w:b/>
                <w:sz w:val="18"/>
              </w:rPr>
              <w:t>414,540</w:t>
            </w:r>
          </w:p>
        </w:tc>
        <w:tc>
          <w:tcPr>
            <w:tcW w:w="1166" w:type="dxa"/>
          </w:tcPr>
          <w:p w14:paraId="13A52BDA" w14:textId="77777777" w:rsidR="00FA4AA8" w:rsidRDefault="0015611F">
            <w:pPr>
              <w:pStyle w:val="TableParagraph"/>
              <w:spacing w:before="34"/>
              <w:ind w:right="84"/>
              <w:jc w:val="right"/>
              <w:rPr>
                <w:sz w:val="18"/>
              </w:rPr>
            </w:pPr>
            <w:r>
              <w:rPr>
                <w:sz w:val="18"/>
              </w:rPr>
              <w:t>66,491</w:t>
            </w:r>
          </w:p>
        </w:tc>
      </w:tr>
      <w:tr w:rsidR="00FA4AA8" w14:paraId="0A31BCEC" w14:textId="77777777">
        <w:trPr>
          <w:trHeight w:val="273"/>
        </w:trPr>
        <w:tc>
          <w:tcPr>
            <w:tcW w:w="298" w:type="dxa"/>
          </w:tcPr>
          <w:p w14:paraId="2A5F5182" w14:textId="77777777" w:rsidR="00FA4AA8" w:rsidRDefault="00FA4AA8">
            <w:pPr>
              <w:pStyle w:val="TableParagraph"/>
              <w:rPr>
                <w:rFonts w:ascii="Times New Roman"/>
                <w:sz w:val="18"/>
              </w:rPr>
            </w:pPr>
          </w:p>
        </w:tc>
        <w:tc>
          <w:tcPr>
            <w:tcW w:w="7007" w:type="dxa"/>
          </w:tcPr>
          <w:p w14:paraId="25C6C1B1" w14:textId="77777777" w:rsidR="00FA4AA8" w:rsidRDefault="0015611F">
            <w:pPr>
              <w:pStyle w:val="TableParagraph"/>
              <w:spacing w:before="35"/>
              <w:ind w:left="176"/>
              <w:rPr>
                <w:sz w:val="18"/>
              </w:rPr>
            </w:pPr>
            <w:r>
              <w:rPr>
                <w:sz w:val="18"/>
              </w:rPr>
              <w:t>Consultants</w:t>
            </w:r>
          </w:p>
        </w:tc>
        <w:tc>
          <w:tcPr>
            <w:tcW w:w="1497" w:type="dxa"/>
          </w:tcPr>
          <w:p w14:paraId="5501787E" w14:textId="77777777" w:rsidR="00FA4AA8" w:rsidRDefault="0015611F">
            <w:pPr>
              <w:pStyle w:val="TableParagraph"/>
              <w:spacing w:before="34"/>
              <w:ind w:right="273"/>
              <w:jc w:val="right"/>
              <w:rPr>
                <w:b/>
                <w:sz w:val="18"/>
              </w:rPr>
            </w:pPr>
            <w:r>
              <w:rPr>
                <w:b/>
                <w:sz w:val="18"/>
              </w:rPr>
              <w:t>402,852</w:t>
            </w:r>
          </w:p>
        </w:tc>
        <w:tc>
          <w:tcPr>
            <w:tcW w:w="1166" w:type="dxa"/>
          </w:tcPr>
          <w:p w14:paraId="347867C5" w14:textId="77777777" w:rsidR="00FA4AA8" w:rsidRDefault="0015611F">
            <w:pPr>
              <w:pStyle w:val="TableParagraph"/>
              <w:spacing w:before="34"/>
              <w:ind w:left="431"/>
              <w:rPr>
                <w:sz w:val="18"/>
              </w:rPr>
            </w:pPr>
            <w:r>
              <w:rPr>
                <w:sz w:val="18"/>
              </w:rPr>
              <w:t>267,950</w:t>
            </w:r>
          </w:p>
        </w:tc>
      </w:tr>
      <w:tr w:rsidR="00FA4AA8" w14:paraId="70E1AC20" w14:textId="77777777">
        <w:trPr>
          <w:trHeight w:val="258"/>
        </w:trPr>
        <w:tc>
          <w:tcPr>
            <w:tcW w:w="298" w:type="dxa"/>
          </w:tcPr>
          <w:p w14:paraId="312960BC" w14:textId="77777777" w:rsidR="00FA4AA8" w:rsidRDefault="00FA4AA8">
            <w:pPr>
              <w:pStyle w:val="TableParagraph"/>
              <w:rPr>
                <w:rFonts w:ascii="Times New Roman"/>
                <w:sz w:val="18"/>
              </w:rPr>
            </w:pPr>
          </w:p>
        </w:tc>
        <w:tc>
          <w:tcPr>
            <w:tcW w:w="7007" w:type="dxa"/>
          </w:tcPr>
          <w:p w14:paraId="1B70CC37" w14:textId="77777777" w:rsidR="00FA4AA8" w:rsidRDefault="0015611F">
            <w:pPr>
              <w:pStyle w:val="TableParagraph"/>
              <w:spacing w:before="26"/>
              <w:ind w:left="176"/>
              <w:rPr>
                <w:sz w:val="18"/>
              </w:rPr>
            </w:pPr>
            <w:r>
              <w:rPr>
                <w:sz w:val="18"/>
              </w:rPr>
              <w:t>Other</w:t>
            </w:r>
          </w:p>
        </w:tc>
        <w:tc>
          <w:tcPr>
            <w:tcW w:w="1497" w:type="dxa"/>
            <w:tcBorders>
              <w:bottom w:val="single" w:sz="8" w:space="0" w:color="000000"/>
            </w:tcBorders>
          </w:tcPr>
          <w:p w14:paraId="51570B22" w14:textId="77777777" w:rsidR="00FA4AA8" w:rsidRDefault="0015611F">
            <w:pPr>
              <w:pStyle w:val="TableParagraph"/>
              <w:spacing w:before="25"/>
              <w:ind w:right="273"/>
              <w:jc w:val="right"/>
              <w:rPr>
                <w:b/>
                <w:sz w:val="18"/>
              </w:rPr>
            </w:pPr>
            <w:r>
              <w:rPr>
                <w:b/>
                <w:sz w:val="18"/>
              </w:rPr>
              <w:t>260,738</w:t>
            </w:r>
          </w:p>
        </w:tc>
        <w:tc>
          <w:tcPr>
            <w:tcW w:w="1166" w:type="dxa"/>
            <w:tcBorders>
              <w:bottom w:val="single" w:sz="8" w:space="0" w:color="000000"/>
            </w:tcBorders>
          </w:tcPr>
          <w:p w14:paraId="1352F730" w14:textId="77777777" w:rsidR="00FA4AA8" w:rsidRDefault="0015611F">
            <w:pPr>
              <w:pStyle w:val="TableParagraph"/>
              <w:spacing w:before="25"/>
              <w:ind w:left="431"/>
              <w:rPr>
                <w:sz w:val="18"/>
              </w:rPr>
            </w:pPr>
            <w:r>
              <w:rPr>
                <w:sz w:val="18"/>
              </w:rPr>
              <w:t>258,206</w:t>
            </w:r>
          </w:p>
        </w:tc>
      </w:tr>
      <w:tr w:rsidR="00FA4AA8" w14:paraId="4721C297" w14:textId="77777777">
        <w:trPr>
          <w:trHeight w:val="313"/>
        </w:trPr>
        <w:tc>
          <w:tcPr>
            <w:tcW w:w="298" w:type="dxa"/>
          </w:tcPr>
          <w:p w14:paraId="1C95309A" w14:textId="77777777" w:rsidR="00FA4AA8" w:rsidRDefault="00FA4AA8">
            <w:pPr>
              <w:pStyle w:val="TableParagraph"/>
              <w:rPr>
                <w:rFonts w:ascii="Times New Roman"/>
                <w:sz w:val="18"/>
              </w:rPr>
            </w:pPr>
          </w:p>
        </w:tc>
        <w:tc>
          <w:tcPr>
            <w:tcW w:w="7007" w:type="dxa"/>
          </w:tcPr>
          <w:p w14:paraId="227649DB" w14:textId="77777777" w:rsidR="00FA4AA8" w:rsidRDefault="0015611F">
            <w:pPr>
              <w:pStyle w:val="TableParagraph"/>
              <w:spacing w:before="113" w:line="180" w:lineRule="exact"/>
              <w:ind w:left="176"/>
              <w:rPr>
                <w:b/>
                <w:sz w:val="18"/>
              </w:rPr>
            </w:pPr>
            <w:r>
              <w:rPr>
                <w:b/>
                <w:sz w:val="18"/>
              </w:rPr>
              <w:t>Total fees for service</w:t>
            </w:r>
          </w:p>
        </w:tc>
        <w:tc>
          <w:tcPr>
            <w:tcW w:w="1497" w:type="dxa"/>
            <w:tcBorders>
              <w:top w:val="single" w:sz="8" w:space="0" w:color="000000"/>
              <w:bottom w:val="double" w:sz="3" w:space="0" w:color="000000"/>
            </w:tcBorders>
          </w:tcPr>
          <w:p w14:paraId="2EFC1C18" w14:textId="77777777" w:rsidR="00FA4AA8" w:rsidRDefault="0015611F">
            <w:pPr>
              <w:pStyle w:val="TableParagraph"/>
              <w:spacing w:before="113" w:line="180" w:lineRule="exact"/>
              <w:ind w:right="273"/>
              <w:jc w:val="right"/>
              <w:rPr>
                <w:b/>
                <w:sz w:val="18"/>
              </w:rPr>
            </w:pPr>
            <w:r>
              <w:rPr>
                <w:b/>
                <w:sz w:val="18"/>
              </w:rPr>
              <w:t>3,677,189</w:t>
            </w:r>
          </w:p>
        </w:tc>
        <w:tc>
          <w:tcPr>
            <w:tcW w:w="1166" w:type="dxa"/>
            <w:tcBorders>
              <w:top w:val="single" w:sz="8" w:space="0" w:color="000000"/>
              <w:bottom w:val="double" w:sz="3" w:space="0" w:color="000000"/>
            </w:tcBorders>
          </w:tcPr>
          <w:p w14:paraId="18CE8DC7" w14:textId="77777777" w:rsidR="00FA4AA8" w:rsidRDefault="0015611F">
            <w:pPr>
              <w:pStyle w:val="TableParagraph"/>
              <w:spacing w:before="113" w:line="180" w:lineRule="exact"/>
              <w:ind w:left="281"/>
              <w:rPr>
                <w:sz w:val="18"/>
              </w:rPr>
            </w:pPr>
            <w:r>
              <w:rPr>
                <w:sz w:val="18"/>
              </w:rPr>
              <w:t>3,297,498</w:t>
            </w:r>
          </w:p>
        </w:tc>
      </w:tr>
      <w:tr w:rsidR="00FA4AA8" w14:paraId="2B38BE02" w14:textId="77777777">
        <w:trPr>
          <w:trHeight w:val="582"/>
        </w:trPr>
        <w:tc>
          <w:tcPr>
            <w:tcW w:w="298" w:type="dxa"/>
          </w:tcPr>
          <w:p w14:paraId="7532F6A4" w14:textId="77777777" w:rsidR="00FA4AA8" w:rsidRDefault="00FA4AA8">
            <w:pPr>
              <w:pStyle w:val="TableParagraph"/>
              <w:rPr>
                <w:rFonts w:ascii="Times New Roman"/>
                <w:sz w:val="18"/>
              </w:rPr>
            </w:pPr>
          </w:p>
        </w:tc>
        <w:tc>
          <w:tcPr>
            <w:tcW w:w="7007" w:type="dxa"/>
          </w:tcPr>
          <w:p w14:paraId="3F2CDEF9" w14:textId="77777777" w:rsidR="00FA4AA8" w:rsidRDefault="0015611F">
            <w:pPr>
              <w:pStyle w:val="TableParagraph"/>
              <w:spacing w:before="108"/>
              <w:ind w:left="176"/>
              <w:rPr>
                <w:b/>
                <w:sz w:val="18"/>
              </w:rPr>
            </w:pPr>
            <w:r>
              <w:rPr>
                <w:b/>
                <w:sz w:val="18"/>
              </w:rPr>
              <w:t>Depreciation and amortisation</w:t>
            </w:r>
          </w:p>
          <w:p w14:paraId="3772D7CA" w14:textId="77777777" w:rsidR="00FA4AA8" w:rsidRDefault="0015611F">
            <w:pPr>
              <w:pStyle w:val="TableParagraph"/>
              <w:spacing w:before="29"/>
              <w:ind w:left="176"/>
              <w:rPr>
                <w:sz w:val="18"/>
              </w:rPr>
            </w:pPr>
            <w:r>
              <w:rPr>
                <w:sz w:val="18"/>
              </w:rPr>
              <w:t>Leasehold improvements</w:t>
            </w:r>
          </w:p>
        </w:tc>
        <w:tc>
          <w:tcPr>
            <w:tcW w:w="1497" w:type="dxa"/>
            <w:tcBorders>
              <w:top w:val="double" w:sz="3" w:space="0" w:color="000000"/>
            </w:tcBorders>
          </w:tcPr>
          <w:p w14:paraId="4BCD3859" w14:textId="77777777" w:rsidR="00FA4AA8" w:rsidRDefault="00FA4AA8">
            <w:pPr>
              <w:pStyle w:val="TableParagraph"/>
              <w:spacing w:before="10"/>
              <w:rPr>
                <w:b/>
                <w:sz w:val="29"/>
              </w:rPr>
            </w:pPr>
          </w:p>
          <w:p w14:paraId="1AF7919D" w14:textId="77777777" w:rsidR="00FA4AA8" w:rsidRDefault="0015611F">
            <w:pPr>
              <w:pStyle w:val="TableParagraph"/>
              <w:ind w:right="273"/>
              <w:jc w:val="right"/>
              <w:rPr>
                <w:b/>
                <w:sz w:val="18"/>
              </w:rPr>
            </w:pPr>
            <w:r>
              <w:rPr>
                <w:b/>
                <w:sz w:val="18"/>
              </w:rPr>
              <w:t>1,035,969</w:t>
            </w:r>
          </w:p>
        </w:tc>
        <w:tc>
          <w:tcPr>
            <w:tcW w:w="1166" w:type="dxa"/>
            <w:tcBorders>
              <w:top w:val="double" w:sz="3" w:space="0" w:color="000000"/>
            </w:tcBorders>
          </w:tcPr>
          <w:p w14:paraId="269A015D" w14:textId="77777777" w:rsidR="00FA4AA8" w:rsidRDefault="00FA4AA8">
            <w:pPr>
              <w:pStyle w:val="TableParagraph"/>
              <w:spacing w:before="10"/>
              <w:rPr>
                <w:b/>
                <w:sz w:val="29"/>
              </w:rPr>
            </w:pPr>
          </w:p>
          <w:p w14:paraId="7D3311A4" w14:textId="77777777" w:rsidR="00FA4AA8" w:rsidRDefault="0015611F">
            <w:pPr>
              <w:pStyle w:val="TableParagraph"/>
              <w:ind w:left="281"/>
              <w:rPr>
                <w:sz w:val="18"/>
              </w:rPr>
            </w:pPr>
            <w:r>
              <w:rPr>
                <w:sz w:val="18"/>
              </w:rPr>
              <w:t>1,420,153</w:t>
            </w:r>
          </w:p>
        </w:tc>
      </w:tr>
      <w:tr w:rsidR="00FA4AA8" w14:paraId="74E6313A" w14:textId="77777777">
        <w:trPr>
          <w:trHeight w:val="263"/>
        </w:trPr>
        <w:tc>
          <w:tcPr>
            <w:tcW w:w="298" w:type="dxa"/>
          </w:tcPr>
          <w:p w14:paraId="3ADE2F43" w14:textId="77777777" w:rsidR="00FA4AA8" w:rsidRDefault="00FA4AA8">
            <w:pPr>
              <w:pStyle w:val="TableParagraph"/>
              <w:rPr>
                <w:rFonts w:ascii="Times New Roman"/>
                <w:sz w:val="18"/>
              </w:rPr>
            </w:pPr>
          </w:p>
        </w:tc>
        <w:tc>
          <w:tcPr>
            <w:tcW w:w="7007" w:type="dxa"/>
          </w:tcPr>
          <w:p w14:paraId="78C803B0" w14:textId="77777777" w:rsidR="00FA4AA8" w:rsidRDefault="0015611F">
            <w:pPr>
              <w:pStyle w:val="TableParagraph"/>
              <w:spacing w:before="26"/>
              <w:ind w:left="176"/>
              <w:rPr>
                <w:sz w:val="18"/>
              </w:rPr>
            </w:pPr>
            <w:r>
              <w:rPr>
                <w:sz w:val="18"/>
              </w:rPr>
              <w:t>Plant and equipment</w:t>
            </w:r>
          </w:p>
        </w:tc>
        <w:tc>
          <w:tcPr>
            <w:tcW w:w="1497" w:type="dxa"/>
          </w:tcPr>
          <w:p w14:paraId="2C427BC9" w14:textId="77777777" w:rsidR="00FA4AA8" w:rsidRDefault="0015611F">
            <w:pPr>
              <w:pStyle w:val="TableParagraph"/>
              <w:spacing w:before="25"/>
              <w:ind w:right="273"/>
              <w:jc w:val="right"/>
              <w:rPr>
                <w:b/>
                <w:sz w:val="18"/>
              </w:rPr>
            </w:pPr>
            <w:r>
              <w:rPr>
                <w:b/>
                <w:sz w:val="18"/>
              </w:rPr>
              <w:t>101,363</w:t>
            </w:r>
          </w:p>
        </w:tc>
        <w:tc>
          <w:tcPr>
            <w:tcW w:w="1166" w:type="dxa"/>
          </w:tcPr>
          <w:p w14:paraId="0D93A9CF" w14:textId="77777777" w:rsidR="00FA4AA8" w:rsidRDefault="0015611F">
            <w:pPr>
              <w:pStyle w:val="TableParagraph"/>
              <w:spacing w:before="25"/>
              <w:ind w:right="84"/>
              <w:jc w:val="right"/>
              <w:rPr>
                <w:sz w:val="18"/>
              </w:rPr>
            </w:pPr>
            <w:r>
              <w:rPr>
                <w:sz w:val="18"/>
              </w:rPr>
              <w:t>95,904</w:t>
            </w:r>
          </w:p>
        </w:tc>
      </w:tr>
      <w:tr w:rsidR="00FA4AA8" w14:paraId="005AC0B2" w14:textId="77777777">
        <w:trPr>
          <w:trHeight w:val="258"/>
        </w:trPr>
        <w:tc>
          <w:tcPr>
            <w:tcW w:w="298" w:type="dxa"/>
          </w:tcPr>
          <w:p w14:paraId="3DFB85C4" w14:textId="77777777" w:rsidR="00FA4AA8" w:rsidRDefault="00FA4AA8">
            <w:pPr>
              <w:pStyle w:val="TableParagraph"/>
              <w:rPr>
                <w:rFonts w:ascii="Times New Roman"/>
                <w:sz w:val="18"/>
              </w:rPr>
            </w:pPr>
          </w:p>
        </w:tc>
        <w:tc>
          <w:tcPr>
            <w:tcW w:w="7007" w:type="dxa"/>
          </w:tcPr>
          <w:p w14:paraId="7547883E" w14:textId="77777777" w:rsidR="00FA4AA8" w:rsidRDefault="0015611F">
            <w:pPr>
              <w:pStyle w:val="TableParagraph"/>
              <w:spacing w:before="26"/>
              <w:ind w:left="176"/>
              <w:rPr>
                <w:sz w:val="18"/>
              </w:rPr>
            </w:pPr>
            <w:r>
              <w:rPr>
                <w:sz w:val="18"/>
              </w:rPr>
              <w:t>Intangible assets</w:t>
            </w:r>
          </w:p>
        </w:tc>
        <w:tc>
          <w:tcPr>
            <w:tcW w:w="1497" w:type="dxa"/>
            <w:tcBorders>
              <w:bottom w:val="single" w:sz="8" w:space="0" w:color="000000"/>
            </w:tcBorders>
          </w:tcPr>
          <w:p w14:paraId="54429CC5" w14:textId="77777777" w:rsidR="00FA4AA8" w:rsidRDefault="0015611F">
            <w:pPr>
              <w:pStyle w:val="TableParagraph"/>
              <w:spacing w:before="25"/>
              <w:ind w:right="273"/>
              <w:jc w:val="right"/>
              <w:rPr>
                <w:b/>
                <w:sz w:val="18"/>
              </w:rPr>
            </w:pPr>
            <w:r>
              <w:rPr>
                <w:b/>
                <w:sz w:val="18"/>
              </w:rPr>
              <w:t>-</w:t>
            </w:r>
          </w:p>
        </w:tc>
        <w:tc>
          <w:tcPr>
            <w:tcW w:w="1166" w:type="dxa"/>
            <w:tcBorders>
              <w:bottom w:val="single" w:sz="8" w:space="0" w:color="000000"/>
            </w:tcBorders>
          </w:tcPr>
          <w:p w14:paraId="1A852149" w14:textId="77777777" w:rsidR="00FA4AA8" w:rsidRDefault="0015611F">
            <w:pPr>
              <w:pStyle w:val="TableParagraph"/>
              <w:spacing w:before="25"/>
              <w:ind w:left="431"/>
              <w:rPr>
                <w:sz w:val="18"/>
              </w:rPr>
            </w:pPr>
            <w:r>
              <w:rPr>
                <w:sz w:val="18"/>
              </w:rPr>
              <w:t>153,658</w:t>
            </w:r>
          </w:p>
        </w:tc>
      </w:tr>
      <w:tr w:rsidR="00FA4AA8" w14:paraId="41983D83" w14:textId="77777777">
        <w:trPr>
          <w:trHeight w:val="313"/>
        </w:trPr>
        <w:tc>
          <w:tcPr>
            <w:tcW w:w="298" w:type="dxa"/>
          </w:tcPr>
          <w:p w14:paraId="349F119B" w14:textId="77777777" w:rsidR="00FA4AA8" w:rsidRDefault="00FA4AA8">
            <w:pPr>
              <w:pStyle w:val="TableParagraph"/>
              <w:rPr>
                <w:rFonts w:ascii="Times New Roman"/>
                <w:sz w:val="18"/>
              </w:rPr>
            </w:pPr>
          </w:p>
        </w:tc>
        <w:tc>
          <w:tcPr>
            <w:tcW w:w="7007" w:type="dxa"/>
          </w:tcPr>
          <w:p w14:paraId="55732FD7" w14:textId="77777777" w:rsidR="00FA4AA8" w:rsidRDefault="0015611F">
            <w:pPr>
              <w:pStyle w:val="TableParagraph"/>
              <w:spacing w:before="84"/>
              <w:ind w:left="176"/>
              <w:rPr>
                <w:b/>
                <w:sz w:val="18"/>
              </w:rPr>
            </w:pPr>
            <w:r>
              <w:rPr>
                <w:b/>
                <w:sz w:val="18"/>
              </w:rPr>
              <w:t>Total depreciation and amortisation</w:t>
            </w:r>
          </w:p>
        </w:tc>
        <w:tc>
          <w:tcPr>
            <w:tcW w:w="1497" w:type="dxa"/>
            <w:tcBorders>
              <w:top w:val="single" w:sz="8" w:space="0" w:color="000000"/>
              <w:bottom w:val="double" w:sz="3" w:space="0" w:color="000000"/>
            </w:tcBorders>
          </w:tcPr>
          <w:p w14:paraId="3EFF2CBD" w14:textId="77777777" w:rsidR="00FA4AA8" w:rsidRDefault="0015611F">
            <w:pPr>
              <w:pStyle w:val="TableParagraph"/>
              <w:spacing w:before="113" w:line="180" w:lineRule="exact"/>
              <w:ind w:right="273"/>
              <w:jc w:val="right"/>
              <w:rPr>
                <w:b/>
                <w:sz w:val="18"/>
              </w:rPr>
            </w:pPr>
            <w:r>
              <w:rPr>
                <w:b/>
                <w:sz w:val="18"/>
              </w:rPr>
              <w:t>1,137,332</w:t>
            </w:r>
          </w:p>
        </w:tc>
        <w:tc>
          <w:tcPr>
            <w:tcW w:w="1166" w:type="dxa"/>
            <w:tcBorders>
              <w:top w:val="single" w:sz="8" w:space="0" w:color="000000"/>
              <w:bottom w:val="double" w:sz="3" w:space="0" w:color="000000"/>
            </w:tcBorders>
          </w:tcPr>
          <w:p w14:paraId="5E641C22" w14:textId="77777777" w:rsidR="00FA4AA8" w:rsidRDefault="0015611F">
            <w:pPr>
              <w:pStyle w:val="TableParagraph"/>
              <w:spacing w:before="113" w:line="180" w:lineRule="exact"/>
              <w:ind w:left="281"/>
              <w:rPr>
                <w:sz w:val="18"/>
              </w:rPr>
            </w:pPr>
            <w:r>
              <w:rPr>
                <w:sz w:val="18"/>
              </w:rPr>
              <w:t>1,669,715</w:t>
            </w:r>
          </w:p>
        </w:tc>
      </w:tr>
      <w:tr w:rsidR="00FA4AA8" w14:paraId="3DEA309B" w14:textId="77777777">
        <w:trPr>
          <w:trHeight w:val="582"/>
        </w:trPr>
        <w:tc>
          <w:tcPr>
            <w:tcW w:w="298" w:type="dxa"/>
          </w:tcPr>
          <w:p w14:paraId="087C996B" w14:textId="77777777" w:rsidR="00FA4AA8" w:rsidRDefault="00FA4AA8">
            <w:pPr>
              <w:pStyle w:val="TableParagraph"/>
              <w:rPr>
                <w:rFonts w:ascii="Times New Roman"/>
                <w:sz w:val="18"/>
              </w:rPr>
            </w:pPr>
          </w:p>
        </w:tc>
        <w:tc>
          <w:tcPr>
            <w:tcW w:w="7007" w:type="dxa"/>
          </w:tcPr>
          <w:p w14:paraId="2F1654A5" w14:textId="77777777" w:rsidR="00FA4AA8" w:rsidRDefault="0015611F">
            <w:pPr>
              <w:pStyle w:val="TableParagraph"/>
              <w:spacing w:before="108"/>
              <w:ind w:left="176"/>
              <w:rPr>
                <w:b/>
                <w:sz w:val="18"/>
              </w:rPr>
            </w:pPr>
            <w:r>
              <w:rPr>
                <w:b/>
                <w:sz w:val="18"/>
              </w:rPr>
              <w:t>Impairment of</w:t>
            </w:r>
            <w:r>
              <w:rPr>
                <w:b/>
                <w:spacing w:val="-8"/>
                <w:sz w:val="18"/>
              </w:rPr>
              <w:t xml:space="preserve"> </w:t>
            </w:r>
            <w:r>
              <w:rPr>
                <w:b/>
                <w:sz w:val="18"/>
              </w:rPr>
              <w:t>assets</w:t>
            </w:r>
          </w:p>
          <w:p w14:paraId="06BA0F51" w14:textId="77777777" w:rsidR="00FA4AA8" w:rsidRDefault="0015611F">
            <w:pPr>
              <w:pStyle w:val="TableParagraph"/>
              <w:spacing w:before="29"/>
              <w:ind w:left="176"/>
              <w:rPr>
                <w:sz w:val="18"/>
              </w:rPr>
            </w:pPr>
            <w:r>
              <w:rPr>
                <w:sz w:val="18"/>
              </w:rPr>
              <w:t>Bad and doubtful</w:t>
            </w:r>
            <w:r>
              <w:rPr>
                <w:spacing w:val="-19"/>
                <w:sz w:val="18"/>
              </w:rPr>
              <w:t xml:space="preserve"> </w:t>
            </w:r>
            <w:r>
              <w:rPr>
                <w:sz w:val="18"/>
              </w:rPr>
              <w:t>debts</w:t>
            </w:r>
          </w:p>
        </w:tc>
        <w:tc>
          <w:tcPr>
            <w:tcW w:w="1497" w:type="dxa"/>
            <w:tcBorders>
              <w:top w:val="double" w:sz="3" w:space="0" w:color="000000"/>
            </w:tcBorders>
          </w:tcPr>
          <w:p w14:paraId="2AEA53F2" w14:textId="77777777" w:rsidR="00FA4AA8" w:rsidRDefault="00FA4AA8">
            <w:pPr>
              <w:pStyle w:val="TableParagraph"/>
              <w:spacing w:before="10"/>
              <w:rPr>
                <w:b/>
                <w:sz w:val="29"/>
              </w:rPr>
            </w:pPr>
          </w:p>
          <w:p w14:paraId="7AA32342" w14:textId="77777777" w:rsidR="00FA4AA8" w:rsidRDefault="0015611F">
            <w:pPr>
              <w:pStyle w:val="TableParagraph"/>
              <w:ind w:right="274"/>
              <w:jc w:val="right"/>
              <w:rPr>
                <w:b/>
                <w:sz w:val="18"/>
              </w:rPr>
            </w:pPr>
            <w:r>
              <w:rPr>
                <w:b/>
                <w:sz w:val="18"/>
              </w:rPr>
              <w:t>81,962</w:t>
            </w:r>
          </w:p>
        </w:tc>
        <w:tc>
          <w:tcPr>
            <w:tcW w:w="1166" w:type="dxa"/>
            <w:tcBorders>
              <w:top w:val="double" w:sz="3" w:space="0" w:color="000000"/>
            </w:tcBorders>
          </w:tcPr>
          <w:p w14:paraId="5F8C8B98" w14:textId="77777777" w:rsidR="00FA4AA8" w:rsidRDefault="00FA4AA8">
            <w:pPr>
              <w:pStyle w:val="TableParagraph"/>
              <w:spacing w:before="10"/>
              <w:rPr>
                <w:b/>
                <w:sz w:val="29"/>
              </w:rPr>
            </w:pPr>
          </w:p>
          <w:p w14:paraId="2DD4205C" w14:textId="77777777" w:rsidR="00FA4AA8" w:rsidRDefault="0015611F">
            <w:pPr>
              <w:pStyle w:val="TableParagraph"/>
              <w:ind w:right="25"/>
              <w:jc w:val="right"/>
              <w:rPr>
                <w:sz w:val="18"/>
              </w:rPr>
            </w:pPr>
            <w:r>
              <w:rPr>
                <w:sz w:val="18"/>
              </w:rPr>
              <w:t>(6,910)</w:t>
            </w:r>
          </w:p>
        </w:tc>
      </w:tr>
      <w:tr w:rsidR="00FA4AA8" w14:paraId="07B45A7B" w14:textId="77777777">
        <w:trPr>
          <w:trHeight w:val="258"/>
        </w:trPr>
        <w:tc>
          <w:tcPr>
            <w:tcW w:w="298" w:type="dxa"/>
          </w:tcPr>
          <w:p w14:paraId="5C577336" w14:textId="77777777" w:rsidR="00FA4AA8" w:rsidRDefault="00FA4AA8">
            <w:pPr>
              <w:pStyle w:val="TableParagraph"/>
              <w:rPr>
                <w:rFonts w:ascii="Times New Roman"/>
                <w:sz w:val="18"/>
              </w:rPr>
            </w:pPr>
          </w:p>
        </w:tc>
        <w:tc>
          <w:tcPr>
            <w:tcW w:w="7007" w:type="dxa"/>
          </w:tcPr>
          <w:p w14:paraId="21EBD4B5" w14:textId="77777777" w:rsidR="00FA4AA8" w:rsidRDefault="0015611F">
            <w:pPr>
              <w:pStyle w:val="TableParagraph"/>
              <w:spacing w:before="26"/>
              <w:ind w:left="176"/>
              <w:rPr>
                <w:sz w:val="18"/>
              </w:rPr>
            </w:pPr>
            <w:r>
              <w:rPr>
                <w:sz w:val="18"/>
              </w:rPr>
              <w:t>Net loss on disposal of assets</w:t>
            </w:r>
          </w:p>
        </w:tc>
        <w:tc>
          <w:tcPr>
            <w:tcW w:w="1497" w:type="dxa"/>
            <w:tcBorders>
              <w:bottom w:val="single" w:sz="8" w:space="0" w:color="000000"/>
            </w:tcBorders>
          </w:tcPr>
          <w:p w14:paraId="6F4BE16B" w14:textId="77777777" w:rsidR="00FA4AA8" w:rsidRDefault="0015611F">
            <w:pPr>
              <w:pStyle w:val="TableParagraph"/>
              <w:spacing w:before="25"/>
              <w:ind w:right="274"/>
              <w:jc w:val="right"/>
              <w:rPr>
                <w:b/>
                <w:sz w:val="18"/>
              </w:rPr>
            </w:pPr>
            <w:r>
              <w:rPr>
                <w:b/>
                <w:sz w:val="18"/>
              </w:rPr>
              <w:t>24,272</w:t>
            </w:r>
          </w:p>
        </w:tc>
        <w:tc>
          <w:tcPr>
            <w:tcW w:w="1166" w:type="dxa"/>
            <w:tcBorders>
              <w:bottom w:val="single" w:sz="8" w:space="0" w:color="000000"/>
            </w:tcBorders>
          </w:tcPr>
          <w:p w14:paraId="4D13B284" w14:textId="77777777" w:rsidR="00FA4AA8" w:rsidRDefault="0015611F">
            <w:pPr>
              <w:pStyle w:val="TableParagraph"/>
              <w:spacing w:before="25"/>
              <w:ind w:right="85"/>
              <w:jc w:val="right"/>
              <w:rPr>
                <w:sz w:val="18"/>
              </w:rPr>
            </w:pPr>
            <w:r>
              <w:rPr>
                <w:sz w:val="18"/>
              </w:rPr>
              <w:t>-</w:t>
            </w:r>
          </w:p>
        </w:tc>
      </w:tr>
      <w:tr w:rsidR="00FA4AA8" w14:paraId="64346D99" w14:textId="77777777">
        <w:trPr>
          <w:trHeight w:val="313"/>
        </w:trPr>
        <w:tc>
          <w:tcPr>
            <w:tcW w:w="298" w:type="dxa"/>
          </w:tcPr>
          <w:p w14:paraId="2CFFE312" w14:textId="77777777" w:rsidR="00FA4AA8" w:rsidRDefault="00FA4AA8">
            <w:pPr>
              <w:pStyle w:val="TableParagraph"/>
              <w:rPr>
                <w:rFonts w:ascii="Times New Roman"/>
                <w:sz w:val="18"/>
              </w:rPr>
            </w:pPr>
          </w:p>
        </w:tc>
        <w:tc>
          <w:tcPr>
            <w:tcW w:w="7007" w:type="dxa"/>
          </w:tcPr>
          <w:p w14:paraId="6FB700D4" w14:textId="77777777" w:rsidR="00FA4AA8" w:rsidRDefault="0015611F">
            <w:pPr>
              <w:pStyle w:val="TableParagraph"/>
              <w:spacing w:before="113" w:line="180" w:lineRule="exact"/>
              <w:ind w:left="176"/>
              <w:rPr>
                <w:b/>
                <w:sz w:val="18"/>
              </w:rPr>
            </w:pPr>
            <w:r>
              <w:rPr>
                <w:b/>
                <w:sz w:val="18"/>
              </w:rPr>
              <w:t>Total impairment of assets</w:t>
            </w:r>
          </w:p>
        </w:tc>
        <w:tc>
          <w:tcPr>
            <w:tcW w:w="1497" w:type="dxa"/>
            <w:tcBorders>
              <w:top w:val="single" w:sz="8" w:space="0" w:color="000000"/>
              <w:bottom w:val="double" w:sz="3" w:space="0" w:color="000000"/>
            </w:tcBorders>
          </w:tcPr>
          <w:p w14:paraId="5AA7B64E" w14:textId="77777777" w:rsidR="00FA4AA8" w:rsidRDefault="0015611F">
            <w:pPr>
              <w:pStyle w:val="TableParagraph"/>
              <w:spacing w:before="113" w:line="180" w:lineRule="exact"/>
              <w:ind w:right="274"/>
              <w:jc w:val="right"/>
              <w:rPr>
                <w:b/>
                <w:sz w:val="18"/>
              </w:rPr>
            </w:pPr>
            <w:r>
              <w:rPr>
                <w:b/>
                <w:sz w:val="18"/>
              </w:rPr>
              <w:t>106,234</w:t>
            </w:r>
          </w:p>
        </w:tc>
        <w:tc>
          <w:tcPr>
            <w:tcW w:w="1166" w:type="dxa"/>
            <w:tcBorders>
              <w:top w:val="single" w:sz="8" w:space="0" w:color="000000"/>
              <w:bottom w:val="double" w:sz="3" w:space="0" w:color="000000"/>
            </w:tcBorders>
          </w:tcPr>
          <w:p w14:paraId="6F09C0C0" w14:textId="77777777" w:rsidR="00FA4AA8" w:rsidRDefault="0015611F">
            <w:pPr>
              <w:pStyle w:val="TableParagraph"/>
              <w:spacing w:before="113" w:line="180" w:lineRule="exact"/>
              <w:ind w:right="25"/>
              <w:jc w:val="right"/>
              <w:rPr>
                <w:sz w:val="18"/>
              </w:rPr>
            </w:pPr>
            <w:r>
              <w:rPr>
                <w:sz w:val="18"/>
              </w:rPr>
              <w:t>(6,910)</w:t>
            </w:r>
          </w:p>
        </w:tc>
      </w:tr>
      <w:tr w:rsidR="00FA4AA8" w14:paraId="10BD57CD" w14:textId="77777777">
        <w:trPr>
          <w:trHeight w:val="582"/>
        </w:trPr>
        <w:tc>
          <w:tcPr>
            <w:tcW w:w="298" w:type="dxa"/>
          </w:tcPr>
          <w:p w14:paraId="4A5D7D7E" w14:textId="77777777" w:rsidR="00FA4AA8" w:rsidRDefault="00FA4AA8">
            <w:pPr>
              <w:pStyle w:val="TableParagraph"/>
              <w:rPr>
                <w:rFonts w:ascii="Times New Roman"/>
                <w:sz w:val="18"/>
              </w:rPr>
            </w:pPr>
          </w:p>
        </w:tc>
        <w:tc>
          <w:tcPr>
            <w:tcW w:w="7007" w:type="dxa"/>
          </w:tcPr>
          <w:p w14:paraId="7FA42EB9" w14:textId="77777777" w:rsidR="00FA4AA8" w:rsidRDefault="0015611F">
            <w:pPr>
              <w:pStyle w:val="TableParagraph"/>
              <w:spacing w:before="108"/>
              <w:ind w:left="176"/>
              <w:rPr>
                <w:b/>
                <w:sz w:val="18"/>
              </w:rPr>
            </w:pPr>
            <w:r>
              <w:rPr>
                <w:b/>
                <w:sz w:val="18"/>
              </w:rPr>
              <w:t>Other expenses</w:t>
            </w:r>
          </w:p>
          <w:p w14:paraId="58A17B3F" w14:textId="77777777" w:rsidR="00FA4AA8" w:rsidRDefault="0015611F">
            <w:pPr>
              <w:pStyle w:val="TableParagraph"/>
              <w:spacing w:before="29"/>
              <w:ind w:left="176"/>
              <w:rPr>
                <w:sz w:val="18"/>
              </w:rPr>
            </w:pPr>
            <w:r>
              <w:rPr>
                <w:sz w:val="18"/>
              </w:rPr>
              <w:t>Advertising, marketing and promotional expenses</w:t>
            </w:r>
          </w:p>
        </w:tc>
        <w:tc>
          <w:tcPr>
            <w:tcW w:w="1497" w:type="dxa"/>
            <w:tcBorders>
              <w:top w:val="double" w:sz="3" w:space="0" w:color="000000"/>
            </w:tcBorders>
          </w:tcPr>
          <w:p w14:paraId="46020C75" w14:textId="77777777" w:rsidR="00FA4AA8" w:rsidRDefault="00FA4AA8">
            <w:pPr>
              <w:pStyle w:val="TableParagraph"/>
              <w:spacing w:before="10"/>
              <w:rPr>
                <w:b/>
                <w:sz w:val="29"/>
              </w:rPr>
            </w:pPr>
          </w:p>
          <w:p w14:paraId="57A4C5E9" w14:textId="77777777" w:rsidR="00FA4AA8" w:rsidRDefault="0015611F">
            <w:pPr>
              <w:pStyle w:val="TableParagraph"/>
              <w:ind w:right="274"/>
              <w:jc w:val="right"/>
              <w:rPr>
                <w:b/>
                <w:sz w:val="18"/>
              </w:rPr>
            </w:pPr>
            <w:r>
              <w:rPr>
                <w:b/>
                <w:sz w:val="18"/>
              </w:rPr>
              <w:t>708,208</w:t>
            </w:r>
          </w:p>
        </w:tc>
        <w:tc>
          <w:tcPr>
            <w:tcW w:w="1166" w:type="dxa"/>
            <w:tcBorders>
              <w:top w:val="double" w:sz="3" w:space="0" w:color="000000"/>
            </w:tcBorders>
          </w:tcPr>
          <w:p w14:paraId="67495A94" w14:textId="77777777" w:rsidR="00FA4AA8" w:rsidRDefault="00FA4AA8">
            <w:pPr>
              <w:pStyle w:val="TableParagraph"/>
              <w:spacing w:before="10"/>
              <w:rPr>
                <w:b/>
                <w:sz w:val="29"/>
              </w:rPr>
            </w:pPr>
          </w:p>
          <w:p w14:paraId="0424BEEE" w14:textId="77777777" w:rsidR="00FA4AA8" w:rsidRDefault="0015611F">
            <w:pPr>
              <w:pStyle w:val="TableParagraph"/>
              <w:ind w:left="430"/>
              <w:rPr>
                <w:sz w:val="18"/>
              </w:rPr>
            </w:pPr>
            <w:r>
              <w:rPr>
                <w:sz w:val="18"/>
              </w:rPr>
              <w:t>355,619</w:t>
            </w:r>
          </w:p>
        </w:tc>
      </w:tr>
      <w:tr w:rsidR="00FA4AA8" w14:paraId="7E7F6358" w14:textId="77777777">
        <w:trPr>
          <w:trHeight w:val="263"/>
        </w:trPr>
        <w:tc>
          <w:tcPr>
            <w:tcW w:w="298" w:type="dxa"/>
          </w:tcPr>
          <w:p w14:paraId="4ADE14CF" w14:textId="77777777" w:rsidR="00FA4AA8" w:rsidRDefault="00FA4AA8">
            <w:pPr>
              <w:pStyle w:val="TableParagraph"/>
              <w:rPr>
                <w:rFonts w:ascii="Times New Roman"/>
                <w:sz w:val="18"/>
              </w:rPr>
            </w:pPr>
          </w:p>
        </w:tc>
        <w:tc>
          <w:tcPr>
            <w:tcW w:w="7007" w:type="dxa"/>
          </w:tcPr>
          <w:p w14:paraId="44D13206" w14:textId="77777777" w:rsidR="00FA4AA8" w:rsidRDefault="0015611F">
            <w:pPr>
              <w:pStyle w:val="TableParagraph"/>
              <w:spacing w:before="26"/>
              <w:ind w:left="176"/>
              <w:rPr>
                <w:sz w:val="18"/>
              </w:rPr>
            </w:pPr>
            <w:r>
              <w:rPr>
                <w:sz w:val="18"/>
              </w:rPr>
              <w:t>Equipment lease</w:t>
            </w:r>
          </w:p>
        </w:tc>
        <w:tc>
          <w:tcPr>
            <w:tcW w:w="1497" w:type="dxa"/>
          </w:tcPr>
          <w:p w14:paraId="2878EE71" w14:textId="77777777" w:rsidR="00FA4AA8" w:rsidRDefault="0015611F">
            <w:pPr>
              <w:pStyle w:val="TableParagraph"/>
              <w:spacing w:before="25"/>
              <w:ind w:right="274"/>
              <w:jc w:val="right"/>
              <w:rPr>
                <w:b/>
                <w:sz w:val="18"/>
              </w:rPr>
            </w:pPr>
            <w:r>
              <w:rPr>
                <w:b/>
                <w:sz w:val="18"/>
              </w:rPr>
              <w:t>345,727</w:t>
            </w:r>
          </w:p>
        </w:tc>
        <w:tc>
          <w:tcPr>
            <w:tcW w:w="1166" w:type="dxa"/>
          </w:tcPr>
          <w:p w14:paraId="42602BDC" w14:textId="77777777" w:rsidR="00FA4AA8" w:rsidRDefault="0015611F">
            <w:pPr>
              <w:pStyle w:val="TableParagraph"/>
              <w:spacing w:before="25"/>
              <w:ind w:left="430"/>
              <w:rPr>
                <w:sz w:val="18"/>
              </w:rPr>
            </w:pPr>
            <w:r>
              <w:rPr>
                <w:sz w:val="18"/>
              </w:rPr>
              <w:t>369,090</w:t>
            </w:r>
          </w:p>
        </w:tc>
      </w:tr>
      <w:tr w:rsidR="00FA4AA8" w14:paraId="09C27F60" w14:textId="77777777">
        <w:trPr>
          <w:trHeight w:val="263"/>
        </w:trPr>
        <w:tc>
          <w:tcPr>
            <w:tcW w:w="298" w:type="dxa"/>
          </w:tcPr>
          <w:p w14:paraId="781331A8" w14:textId="77777777" w:rsidR="00FA4AA8" w:rsidRDefault="00FA4AA8">
            <w:pPr>
              <w:pStyle w:val="TableParagraph"/>
              <w:rPr>
                <w:rFonts w:ascii="Times New Roman"/>
                <w:sz w:val="18"/>
              </w:rPr>
            </w:pPr>
          </w:p>
        </w:tc>
        <w:tc>
          <w:tcPr>
            <w:tcW w:w="7007" w:type="dxa"/>
          </w:tcPr>
          <w:p w14:paraId="136502A1" w14:textId="77777777" w:rsidR="00FA4AA8" w:rsidRDefault="0015611F">
            <w:pPr>
              <w:pStyle w:val="TableParagraph"/>
              <w:spacing w:before="26"/>
              <w:ind w:left="176"/>
              <w:rPr>
                <w:sz w:val="18"/>
              </w:rPr>
            </w:pPr>
            <w:r>
              <w:rPr>
                <w:sz w:val="18"/>
              </w:rPr>
              <w:t>Postage, printing, telephone &amp; internet</w:t>
            </w:r>
          </w:p>
        </w:tc>
        <w:tc>
          <w:tcPr>
            <w:tcW w:w="1497" w:type="dxa"/>
          </w:tcPr>
          <w:p w14:paraId="25229310" w14:textId="77777777" w:rsidR="00FA4AA8" w:rsidRDefault="0015611F">
            <w:pPr>
              <w:pStyle w:val="TableParagraph"/>
              <w:spacing w:before="25"/>
              <w:ind w:right="274"/>
              <w:jc w:val="right"/>
              <w:rPr>
                <w:b/>
                <w:sz w:val="18"/>
              </w:rPr>
            </w:pPr>
            <w:r>
              <w:rPr>
                <w:b/>
                <w:sz w:val="18"/>
              </w:rPr>
              <w:t>334,527</w:t>
            </w:r>
          </w:p>
        </w:tc>
        <w:tc>
          <w:tcPr>
            <w:tcW w:w="1166" w:type="dxa"/>
          </w:tcPr>
          <w:p w14:paraId="3A70859C" w14:textId="77777777" w:rsidR="00FA4AA8" w:rsidRDefault="0015611F">
            <w:pPr>
              <w:pStyle w:val="TableParagraph"/>
              <w:spacing w:before="25"/>
              <w:ind w:left="430"/>
              <w:rPr>
                <w:sz w:val="18"/>
              </w:rPr>
            </w:pPr>
            <w:r>
              <w:rPr>
                <w:sz w:val="18"/>
              </w:rPr>
              <w:t>532,391</w:t>
            </w:r>
          </w:p>
        </w:tc>
      </w:tr>
      <w:tr w:rsidR="00FA4AA8" w14:paraId="0A44BA2F" w14:textId="77777777">
        <w:trPr>
          <w:trHeight w:val="263"/>
        </w:trPr>
        <w:tc>
          <w:tcPr>
            <w:tcW w:w="298" w:type="dxa"/>
          </w:tcPr>
          <w:p w14:paraId="059D4737" w14:textId="77777777" w:rsidR="00FA4AA8" w:rsidRDefault="00FA4AA8">
            <w:pPr>
              <w:pStyle w:val="TableParagraph"/>
              <w:rPr>
                <w:rFonts w:ascii="Times New Roman"/>
                <w:sz w:val="18"/>
              </w:rPr>
            </w:pPr>
          </w:p>
        </w:tc>
        <w:tc>
          <w:tcPr>
            <w:tcW w:w="7007" w:type="dxa"/>
          </w:tcPr>
          <w:p w14:paraId="7DC1CB70" w14:textId="77777777" w:rsidR="00FA4AA8" w:rsidRDefault="0015611F">
            <w:pPr>
              <w:pStyle w:val="TableParagraph"/>
              <w:spacing w:before="26"/>
              <w:ind w:left="176"/>
              <w:rPr>
                <w:sz w:val="18"/>
              </w:rPr>
            </w:pPr>
            <w:r>
              <w:rPr>
                <w:sz w:val="18"/>
              </w:rPr>
              <w:t>Relocation expenses</w:t>
            </w:r>
          </w:p>
        </w:tc>
        <w:tc>
          <w:tcPr>
            <w:tcW w:w="1497" w:type="dxa"/>
          </w:tcPr>
          <w:p w14:paraId="0EA68C50" w14:textId="77777777" w:rsidR="00FA4AA8" w:rsidRDefault="0015611F">
            <w:pPr>
              <w:pStyle w:val="TableParagraph"/>
              <w:spacing w:before="25"/>
              <w:ind w:right="274"/>
              <w:jc w:val="right"/>
              <w:rPr>
                <w:b/>
                <w:sz w:val="18"/>
              </w:rPr>
            </w:pPr>
            <w:r>
              <w:rPr>
                <w:b/>
                <w:sz w:val="18"/>
              </w:rPr>
              <w:t>278,007</w:t>
            </w:r>
          </w:p>
        </w:tc>
        <w:tc>
          <w:tcPr>
            <w:tcW w:w="1166" w:type="dxa"/>
          </w:tcPr>
          <w:p w14:paraId="2661A005" w14:textId="77777777" w:rsidR="00FA4AA8" w:rsidRDefault="0015611F">
            <w:pPr>
              <w:pStyle w:val="TableParagraph"/>
              <w:spacing w:before="25"/>
              <w:ind w:right="85"/>
              <w:jc w:val="right"/>
              <w:rPr>
                <w:sz w:val="18"/>
              </w:rPr>
            </w:pPr>
            <w:r>
              <w:rPr>
                <w:sz w:val="18"/>
              </w:rPr>
              <w:t>30,306</w:t>
            </w:r>
          </w:p>
        </w:tc>
      </w:tr>
      <w:tr w:rsidR="00FA4AA8" w14:paraId="2A51E9C1" w14:textId="77777777">
        <w:trPr>
          <w:trHeight w:val="263"/>
        </w:trPr>
        <w:tc>
          <w:tcPr>
            <w:tcW w:w="298" w:type="dxa"/>
          </w:tcPr>
          <w:p w14:paraId="09A752CD" w14:textId="77777777" w:rsidR="00FA4AA8" w:rsidRDefault="00FA4AA8">
            <w:pPr>
              <w:pStyle w:val="TableParagraph"/>
              <w:rPr>
                <w:rFonts w:ascii="Times New Roman"/>
                <w:sz w:val="18"/>
              </w:rPr>
            </w:pPr>
          </w:p>
        </w:tc>
        <w:tc>
          <w:tcPr>
            <w:tcW w:w="7007" w:type="dxa"/>
          </w:tcPr>
          <w:p w14:paraId="73203F03" w14:textId="77777777" w:rsidR="00FA4AA8" w:rsidRDefault="0015611F">
            <w:pPr>
              <w:pStyle w:val="TableParagraph"/>
              <w:spacing w:before="26"/>
              <w:ind w:left="176"/>
              <w:rPr>
                <w:sz w:val="18"/>
              </w:rPr>
            </w:pPr>
            <w:r>
              <w:rPr>
                <w:sz w:val="18"/>
              </w:rPr>
              <w:t>Consumables and supplies</w:t>
            </w:r>
          </w:p>
        </w:tc>
        <w:tc>
          <w:tcPr>
            <w:tcW w:w="1497" w:type="dxa"/>
          </w:tcPr>
          <w:p w14:paraId="371E4D4D" w14:textId="77777777" w:rsidR="00FA4AA8" w:rsidRDefault="0015611F">
            <w:pPr>
              <w:pStyle w:val="TableParagraph"/>
              <w:spacing w:before="25"/>
              <w:ind w:right="274"/>
              <w:jc w:val="right"/>
              <w:rPr>
                <w:b/>
                <w:sz w:val="18"/>
              </w:rPr>
            </w:pPr>
            <w:r>
              <w:rPr>
                <w:b/>
                <w:sz w:val="18"/>
              </w:rPr>
              <w:t>269,798</w:t>
            </w:r>
          </w:p>
        </w:tc>
        <w:tc>
          <w:tcPr>
            <w:tcW w:w="1166" w:type="dxa"/>
          </w:tcPr>
          <w:p w14:paraId="20885C84" w14:textId="77777777" w:rsidR="00FA4AA8" w:rsidRDefault="0015611F">
            <w:pPr>
              <w:pStyle w:val="TableParagraph"/>
              <w:spacing w:before="25"/>
              <w:ind w:left="430"/>
              <w:rPr>
                <w:sz w:val="18"/>
              </w:rPr>
            </w:pPr>
            <w:r>
              <w:rPr>
                <w:sz w:val="18"/>
              </w:rPr>
              <w:t>228,624</w:t>
            </w:r>
          </w:p>
        </w:tc>
      </w:tr>
      <w:tr w:rsidR="00FA4AA8" w14:paraId="304A1817" w14:textId="77777777">
        <w:trPr>
          <w:trHeight w:val="263"/>
        </w:trPr>
        <w:tc>
          <w:tcPr>
            <w:tcW w:w="298" w:type="dxa"/>
          </w:tcPr>
          <w:p w14:paraId="238154A0" w14:textId="77777777" w:rsidR="00FA4AA8" w:rsidRDefault="00FA4AA8">
            <w:pPr>
              <w:pStyle w:val="TableParagraph"/>
              <w:rPr>
                <w:rFonts w:ascii="Times New Roman"/>
                <w:sz w:val="18"/>
              </w:rPr>
            </w:pPr>
          </w:p>
        </w:tc>
        <w:tc>
          <w:tcPr>
            <w:tcW w:w="7007" w:type="dxa"/>
          </w:tcPr>
          <w:p w14:paraId="33984ADA" w14:textId="77777777" w:rsidR="00FA4AA8" w:rsidRDefault="0015611F">
            <w:pPr>
              <w:pStyle w:val="TableParagraph"/>
              <w:spacing w:before="26"/>
              <w:ind w:left="176"/>
              <w:rPr>
                <w:sz w:val="18"/>
              </w:rPr>
            </w:pPr>
            <w:r>
              <w:rPr>
                <w:sz w:val="18"/>
              </w:rPr>
              <w:t>Student expenses</w:t>
            </w:r>
          </w:p>
        </w:tc>
        <w:tc>
          <w:tcPr>
            <w:tcW w:w="1497" w:type="dxa"/>
          </w:tcPr>
          <w:p w14:paraId="747C6708" w14:textId="77777777" w:rsidR="00FA4AA8" w:rsidRDefault="0015611F">
            <w:pPr>
              <w:pStyle w:val="TableParagraph"/>
              <w:spacing w:before="25"/>
              <w:ind w:right="274"/>
              <w:jc w:val="right"/>
              <w:rPr>
                <w:b/>
                <w:sz w:val="18"/>
              </w:rPr>
            </w:pPr>
            <w:r>
              <w:rPr>
                <w:b/>
                <w:sz w:val="18"/>
              </w:rPr>
              <w:t>249,054</w:t>
            </w:r>
          </w:p>
        </w:tc>
        <w:tc>
          <w:tcPr>
            <w:tcW w:w="1166" w:type="dxa"/>
          </w:tcPr>
          <w:p w14:paraId="638995F1" w14:textId="77777777" w:rsidR="00FA4AA8" w:rsidRDefault="0015611F">
            <w:pPr>
              <w:pStyle w:val="TableParagraph"/>
              <w:spacing w:before="25"/>
              <w:ind w:left="430"/>
              <w:rPr>
                <w:sz w:val="18"/>
              </w:rPr>
            </w:pPr>
            <w:r>
              <w:rPr>
                <w:sz w:val="18"/>
              </w:rPr>
              <w:t>192,252</w:t>
            </w:r>
          </w:p>
        </w:tc>
      </w:tr>
      <w:tr w:rsidR="00FA4AA8" w14:paraId="523CEDF5" w14:textId="77777777">
        <w:trPr>
          <w:trHeight w:val="263"/>
        </w:trPr>
        <w:tc>
          <w:tcPr>
            <w:tcW w:w="298" w:type="dxa"/>
          </w:tcPr>
          <w:p w14:paraId="258B0685" w14:textId="77777777" w:rsidR="00FA4AA8" w:rsidRDefault="00FA4AA8">
            <w:pPr>
              <w:pStyle w:val="TableParagraph"/>
              <w:rPr>
                <w:rFonts w:ascii="Times New Roman"/>
                <w:sz w:val="18"/>
              </w:rPr>
            </w:pPr>
          </w:p>
        </w:tc>
        <w:tc>
          <w:tcPr>
            <w:tcW w:w="7007" w:type="dxa"/>
          </w:tcPr>
          <w:p w14:paraId="6185DFD3" w14:textId="77777777" w:rsidR="00FA4AA8" w:rsidRDefault="0015611F">
            <w:pPr>
              <w:pStyle w:val="TableParagraph"/>
              <w:spacing w:before="26"/>
              <w:ind w:left="176"/>
              <w:rPr>
                <w:sz w:val="18"/>
              </w:rPr>
            </w:pPr>
            <w:r>
              <w:rPr>
                <w:sz w:val="18"/>
              </w:rPr>
              <w:t>Travel and related staff development and training</w:t>
            </w:r>
          </w:p>
        </w:tc>
        <w:tc>
          <w:tcPr>
            <w:tcW w:w="1497" w:type="dxa"/>
          </w:tcPr>
          <w:p w14:paraId="67E894BD" w14:textId="77777777" w:rsidR="00FA4AA8" w:rsidRDefault="0015611F">
            <w:pPr>
              <w:pStyle w:val="TableParagraph"/>
              <w:spacing w:before="25"/>
              <w:ind w:right="274"/>
              <w:jc w:val="right"/>
              <w:rPr>
                <w:b/>
                <w:sz w:val="18"/>
              </w:rPr>
            </w:pPr>
            <w:r>
              <w:rPr>
                <w:b/>
                <w:sz w:val="18"/>
              </w:rPr>
              <w:t>150,982</w:t>
            </w:r>
          </w:p>
        </w:tc>
        <w:tc>
          <w:tcPr>
            <w:tcW w:w="1166" w:type="dxa"/>
          </w:tcPr>
          <w:p w14:paraId="609F16DC" w14:textId="77777777" w:rsidR="00FA4AA8" w:rsidRDefault="0015611F">
            <w:pPr>
              <w:pStyle w:val="TableParagraph"/>
              <w:spacing w:before="25"/>
              <w:ind w:right="85"/>
              <w:jc w:val="right"/>
              <w:rPr>
                <w:sz w:val="18"/>
              </w:rPr>
            </w:pPr>
            <w:r>
              <w:rPr>
                <w:sz w:val="18"/>
              </w:rPr>
              <w:t>98,327</w:t>
            </w:r>
          </w:p>
        </w:tc>
      </w:tr>
      <w:tr w:rsidR="00FA4AA8" w14:paraId="5AC0D3D4" w14:textId="77777777">
        <w:trPr>
          <w:trHeight w:val="263"/>
        </w:trPr>
        <w:tc>
          <w:tcPr>
            <w:tcW w:w="298" w:type="dxa"/>
          </w:tcPr>
          <w:p w14:paraId="0681A966" w14:textId="77777777" w:rsidR="00FA4AA8" w:rsidRDefault="00FA4AA8">
            <w:pPr>
              <w:pStyle w:val="TableParagraph"/>
              <w:rPr>
                <w:rFonts w:ascii="Times New Roman"/>
                <w:sz w:val="18"/>
              </w:rPr>
            </w:pPr>
          </w:p>
        </w:tc>
        <w:tc>
          <w:tcPr>
            <w:tcW w:w="7007" w:type="dxa"/>
          </w:tcPr>
          <w:p w14:paraId="374C55EB" w14:textId="77777777" w:rsidR="00FA4AA8" w:rsidRDefault="0015611F">
            <w:pPr>
              <w:pStyle w:val="TableParagraph"/>
              <w:spacing w:before="26"/>
              <w:ind w:left="176"/>
              <w:rPr>
                <w:sz w:val="18"/>
              </w:rPr>
            </w:pPr>
            <w:r>
              <w:rPr>
                <w:sz w:val="18"/>
              </w:rPr>
              <w:t>Minor equipment and furniture</w:t>
            </w:r>
          </w:p>
        </w:tc>
        <w:tc>
          <w:tcPr>
            <w:tcW w:w="1497" w:type="dxa"/>
          </w:tcPr>
          <w:p w14:paraId="0688E421" w14:textId="77777777" w:rsidR="00FA4AA8" w:rsidRDefault="0015611F">
            <w:pPr>
              <w:pStyle w:val="TableParagraph"/>
              <w:spacing w:before="25"/>
              <w:ind w:right="274"/>
              <w:jc w:val="right"/>
              <w:rPr>
                <w:b/>
                <w:sz w:val="18"/>
              </w:rPr>
            </w:pPr>
            <w:r>
              <w:rPr>
                <w:b/>
                <w:sz w:val="18"/>
              </w:rPr>
              <w:t>81,261</w:t>
            </w:r>
          </w:p>
        </w:tc>
        <w:tc>
          <w:tcPr>
            <w:tcW w:w="1166" w:type="dxa"/>
          </w:tcPr>
          <w:p w14:paraId="4CA46B9A" w14:textId="77777777" w:rsidR="00FA4AA8" w:rsidRDefault="0015611F">
            <w:pPr>
              <w:pStyle w:val="TableParagraph"/>
              <w:spacing w:before="25"/>
              <w:ind w:right="85"/>
              <w:jc w:val="right"/>
              <w:rPr>
                <w:sz w:val="18"/>
              </w:rPr>
            </w:pPr>
            <w:r>
              <w:rPr>
                <w:sz w:val="18"/>
              </w:rPr>
              <w:t>77,123</w:t>
            </w:r>
          </w:p>
        </w:tc>
      </w:tr>
      <w:tr w:rsidR="00FA4AA8" w14:paraId="4767B84B" w14:textId="77777777">
        <w:trPr>
          <w:trHeight w:val="263"/>
        </w:trPr>
        <w:tc>
          <w:tcPr>
            <w:tcW w:w="298" w:type="dxa"/>
          </w:tcPr>
          <w:p w14:paraId="328B4089" w14:textId="77777777" w:rsidR="00FA4AA8" w:rsidRDefault="00FA4AA8">
            <w:pPr>
              <w:pStyle w:val="TableParagraph"/>
              <w:rPr>
                <w:rFonts w:ascii="Times New Roman"/>
                <w:sz w:val="18"/>
              </w:rPr>
            </w:pPr>
          </w:p>
        </w:tc>
        <w:tc>
          <w:tcPr>
            <w:tcW w:w="7007" w:type="dxa"/>
          </w:tcPr>
          <w:p w14:paraId="23379D6A" w14:textId="77777777" w:rsidR="00FA4AA8" w:rsidRDefault="0015611F">
            <w:pPr>
              <w:pStyle w:val="TableParagraph"/>
              <w:spacing w:before="26"/>
              <w:ind w:left="176"/>
              <w:rPr>
                <w:sz w:val="18"/>
              </w:rPr>
            </w:pPr>
            <w:r>
              <w:rPr>
                <w:sz w:val="18"/>
              </w:rPr>
              <w:t>Lease of building teaching space</w:t>
            </w:r>
          </w:p>
        </w:tc>
        <w:tc>
          <w:tcPr>
            <w:tcW w:w="1497" w:type="dxa"/>
          </w:tcPr>
          <w:p w14:paraId="279EB696" w14:textId="77777777" w:rsidR="00FA4AA8" w:rsidRDefault="0015611F">
            <w:pPr>
              <w:pStyle w:val="TableParagraph"/>
              <w:spacing w:before="25"/>
              <w:ind w:right="274"/>
              <w:jc w:val="right"/>
              <w:rPr>
                <w:b/>
                <w:sz w:val="18"/>
              </w:rPr>
            </w:pPr>
            <w:r>
              <w:rPr>
                <w:b/>
                <w:sz w:val="18"/>
              </w:rPr>
              <w:t>68,433</w:t>
            </w:r>
          </w:p>
        </w:tc>
        <w:tc>
          <w:tcPr>
            <w:tcW w:w="1166" w:type="dxa"/>
          </w:tcPr>
          <w:p w14:paraId="0ECF727C" w14:textId="77777777" w:rsidR="00FA4AA8" w:rsidRDefault="0015611F">
            <w:pPr>
              <w:pStyle w:val="TableParagraph"/>
              <w:spacing w:before="25"/>
              <w:ind w:left="430"/>
              <w:rPr>
                <w:sz w:val="18"/>
              </w:rPr>
            </w:pPr>
            <w:r>
              <w:rPr>
                <w:sz w:val="18"/>
              </w:rPr>
              <w:t>193,928</w:t>
            </w:r>
          </w:p>
        </w:tc>
      </w:tr>
      <w:tr w:rsidR="00FA4AA8" w14:paraId="1FDC7682" w14:textId="77777777">
        <w:trPr>
          <w:trHeight w:val="263"/>
        </w:trPr>
        <w:tc>
          <w:tcPr>
            <w:tcW w:w="298" w:type="dxa"/>
          </w:tcPr>
          <w:p w14:paraId="7115E664" w14:textId="77777777" w:rsidR="00FA4AA8" w:rsidRDefault="00FA4AA8">
            <w:pPr>
              <w:pStyle w:val="TableParagraph"/>
              <w:rPr>
                <w:rFonts w:ascii="Times New Roman"/>
                <w:sz w:val="18"/>
              </w:rPr>
            </w:pPr>
          </w:p>
        </w:tc>
        <w:tc>
          <w:tcPr>
            <w:tcW w:w="7007" w:type="dxa"/>
          </w:tcPr>
          <w:p w14:paraId="70347FAA" w14:textId="77777777" w:rsidR="00FA4AA8" w:rsidRDefault="0015611F">
            <w:pPr>
              <w:pStyle w:val="TableParagraph"/>
              <w:spacing w:before="26"/>
              <w:ind w:left="176"/>
              <w:rPr>
                <w:sz w:val="18"/>
              </w:rPr>
            </w:pPr>
            <w:r>
              <w:rPr>
                <w:sz w:val="18"/>
              </w:rPr>
              <w:t>Motor vehicle expenses</w:t>
            </w:r>
          </w:p>
        </w:tc>
        <w:tc>
          <w:tcPr>
            <w:tcW w:w="1497" w:type="dxa"/>
          </w:tcPr>
          <w:p w14:paraId="291287FB" w14:textId="77777777" w:rsidR="00FA4AA8" w:rsidRDefault="0015611F">
            <w:pPr>
              <w:pStyle w:val="TableParagraph"/>
              <w:spacing w:before="25"/>
              <w:ind w:right="274"/>
              <w:jc w:val="right"/>
              <w:rPr>
                <w:b/>
                <w:sz w:val="18"/>
              </w:rPr>
            </w:pPr>
            <w:r>
              <w:rPr>
                <w:b/>
                <w:sz w:val="18"/>
              </w:rPr>
              <w:t>60,163</w:t>
            </w:r>
          </w:p>
        </w:tc>
        <w:tc>
          <w:tcPr>
            <w:tcW w:w="1166" w:type="dxa"/>
          </w:tcPr>
          <w:p w14:paraId="46F77F53" w14:textId="77777777" w:rsidR="00FA4AA8" w:rsidRDefault="0015611F">
            <w:pPr>
              <w:pStyle w:val="TableParagraph"/>
              <w:spacing w:before="25"/>
              <w:ind w:left="430"/>
              <w:rPr>
                <w:sz w:val="18"/>
              </w:rPr>
            </w:pPr>
            <w:r>
              <w:rPr>
                <w:sz w:val="18"/>
              </w:rPr>
              <w:t>101,453</w:t>
            </w:r>
          </w:p>
        </w:tc>
      </w:tr>
      <w:tr w:rsidR="00FA4AA8" w14:paraId="39D69546" w14:textId="77777777">
        <w:trPr>
          <w:trHeight w:val="263"/>
        </w:trPr>
        <w:tc>
          <w:tcPr>
            <w:tcW w:w="298" w:type="dxa"/>
          </w:tcPr>
          <w:p w14:paraId="67BB2D85" w14:textId="77777777" w:rsidR="00FA4AA8" w:rsidRDefault="00FA4AA8">
            <w:pPr>
              <w:pStyle w:val="TableParagraph"/>
              <w:rPr>
                <w:rFonts w:ascii="Times New Roman"/>
                <w:sz w:val="18"/>
              </w:rPr>
            </w:pPr>
          </w:p>
        </w:tc>
        <w:tc>
          <w:tcPr>
            <w:tcW w:w="7007" w:type="dxa"/>
          </w:tcPr>
          <w:p w14:paraId="12CE2E6C" w14:textId="77777777" w:rsidR="00FA4AA8" w:rsidRDefault="0015611F">
            <w:pPr>
              <w:pStyle w:val="TableParagraph"/>
              <w:spacing w:before="26"/>
              <w:ind w:left="176"/>
              <w:rPr>
                <w:sz w:val="18"/>
              </w:rPr>
            </w:pPr>
            <w:r>
              <w:rPr>
                <w:sz w:val="18"/>
              </w:rPr>
              <w:t>Utilities and cleaning</w:t>
            </w:r>
          </w:p>
        </w:tc>
        <w:tc>
          <w:tcPr>
            <w:tcW w:w="1497" w:type="dxa"/>
          </w:tcPr>
          <w:p w14:paraId="0AD79651" w14:textId="77777777" w:rsidR="00FA4AA8" w:rsidRDefault="0015611F">
            <w:pPr>
              <w:pStyle w:val="TableParagraph"/>
              <w:spacing w:before="25"/>
              <w:ind w:right="274"/>
              <w:jc w:val="right"/>
              <w:rPr>
                <w:b/>
                <w:sz w:val="18"/>
              </w:rPr>
            </w:pPr>
            <w:r>
              <w:rPr>
                <w:b/>
                <w:sz w:val="18"/>
              </w:rPr>
              <w:t>45,885</w:t>
            </w:r>
          </w:p>
        </w:tc>
        <w:tc>
          <w:tcPr>
            <w:tcW w:w="1166" w:type="dxa"/>
          </w:tcPr>
          <w:p w14:paraId="0BAE53EE" w14:textId="77777777" w:rsidR="00FA4AA8" w:rsidRDefault="0015611F">
            <w:pPr>
              <w:pStyle w:val="TableParagraph"/>
              <w:spacing w:before="25"/>
              <w:ind w:right="85"/>
              <w:jc w:val="right"/>
              <w:rPr>
                <w:sz w:val="18"/>
              </w:rPr>
            </w:pPr>
            <w:r>
              <w:rPr>
                <w:sz w:val="18"/>
              </w:rPr>
              <w:t>64,342</w:t>
            </w:r>
          </w:p>
        </w:tc>
      </w:tr>
      <w:tr w:rsidR="00FA4AA8" w14:paraId="5310AAB0" w14:textId="77777777">
        <w:trPr>
          <w:trHeight w:val="258"/>
        </w:trPr>
        <w:tc>
          <w:tcPr>
            <w:tcW w:w="298" w:type="dxa"/>
          </w:tcPr>
          <w:p w14:paraId="782960AA" w14:textId="77777777" w:rsidR="00FA4AA8" w:rsidRDefault="00FA4AA8">
            <w:pPr>
              <w:pStyle w:val="TableParagraph"/>
              <w:rPr>
                <w:rFonts w:ascii="Times New Roman"/>
                <w:sz w:val="18"/>
              </w:rPr>
            </w:pPr>
          </w:p>
        </w:tc>
        <w:tc>
          <w:tcPr>
            <w:tcW w:w="7007" w:type="dxa"/>
          </w:tcPr>
          <w:p w14:paraId="666E4979" w14:textId="77777777" w:rsidR="00FA4AA8" w:rsidRDefault="0015611F">
            <w:pPr>
              <w:pStyle w:val="TableParagraph"/>
              <w:spacing w:before="26"/>
              <w:ind w:left="176"/>
              <w:rPr>
                <w:sz w:val="18"/>
              </w:rPr>
            </w:pPr>
            <w:r>
              <w:rPr>
                <w:sz w:val="18"/>
              </w:rPr>
              <w:t>Sundry expenses</w:t>
            </w:r>
          </w:p>
        </w:tc>
        <w:tc>
          <w:tcPr>
            <w:tcW w:w="1497" w:type="dxa"/>
            <w:tcBorders>
              <w:bottom w:val="single" w:sz="8" w:space="0" w:color="000000"/>
            </w:tcBorders>
          </w:tcPr>
          <w:p w14:paraId="3005A091" w14:textId="77777777" w:rsidR="00FA4AA8" w:rsidRDefault="0015611F">
            <w:pPr>
              <w:pStyle w:val="TableParagraph"/>
              <w:spacing w:before="25"/>
              <w:ind w:right="274"/>
              <w:jc w:val="right"/>
              <w:rPr>
                <w:b/>
                <w:sz w:val="18"/>
              </w:rPr>
            </w:pPr>
            <w:r>
              <w:rPr>
                <w:b/>
                <w:sz w:val="18"/>
              </w:rPr>
              <w:t>94,750</w:t>
            </w:r>
          </w:p>
        </w:tc>
        <w:tc>
          <w:tcPr>
            <w:tcW w:w="1166" w:type="dxa"/>
            <w:tcBorders>
              <w:bottom w:val="single" w:sz="8" w:space="0" w:color="000000"/>
            </w:tcBorders>
          </w:tcPr>
          <w:p w14:paraId="62EDACF2" w14:textId="77777777" w:rsidR="00FA4AA8" w:rsidRDefault="0015611F">
            <w:pPr>
              <w:pStyle w:val="TableParagraph"/>
              <w:spacing w:before="25"/>
              <w:ind w:right="85"/>
              <w:jc w:val="right"/>
              <w:rPr>
                <w:sz w:val="18"/>
              </w:rPr>
            </w:pPr>
            <w:r>
              <w:rPr>
                <w:sz w:val="18"/>
              </w:rPr>
              <w:t>56,102</w:t>
            </w:r>
          </w:p>
        </w:tc>
      </w:tr>
      <w:tr w:rsidR="00FA4AA8" w14:paraId="61191989" w14:textId="77777777">
        <w:trPr>
          <w:trHeight w:val="313"/>
        </w:trPr>
        <w:tc>
          <w:tcPr>
            <w:tcW w:w="298" w:type="dxa"/>
          </w:tcPr>
          <w:p w14:paraId="4170F58F" w14:textId="77777777" w:rsidR="00FA4AA8" w:rsidRDefault="00FA4AA8">
            <w:pPr>
              <w:pStyle w:val="TableParagraph"/>
              <w:rPr>
                <w:rFonts w:ascii="Times New Roman"/>
                <w:sz w:val="18"/>
              </w:rPr>
            </w:pPr>
          </w:p>
        </w:tc>
        <w:tc>
          <w:tcPr>
            <w:tcW w:w="7007" w:type="dxa"/>
          </w:tcPr>
          <w:p w14:paraId="25893DB3" w14:textId="77777777" w:rsidR="00FA4AA8" w:rsidRDefault="0015611F">
            <w:pPr>
              <w:pStyle w:val="TableParagraph"/>
              <w:spacing w:before="113" w:line="180" w:lineRule="exact"/>
              <w:ind w:left="176"/>
              <w:rPr>
                <w:b/>
                <w:sz w:val="18"/>
              </w:rPr>
            </w:pPr>
            <w:r>
              <w:rPr>
                <w:b/>
                <w:sz w:val="18"/>
              </w:rPr>
              <w:t>Total other expenses</w:t>
            </w:r>
          </w:p>
        </w:tc>
        <w:tc>
          <w:tcPr>
            <w:tcW w:w="1497" w:type="dxa"/>
            <w:tcBorders>
              <w:top w:val="single" w:sz="8" w:space="0" w:color="000000"/>
              <w:bottom w:val="double" w:sz="3" w:space="0" w:color="000000"/>
            </w:tcBorders>
          </w:tcPr>
          <w:p w14:paraId="1D10D233" w14:textId="77777777" w:rsidR="00FA4AA8" w:rsidRDefault="0015611F">
            <w:pPr>
              <w:pStyle w:val="TableParagraph"/>
              <w:spacing w:before="113" w:line="180" w:lineRule="exact"/>
              <w:ind w:right="274"/>
              <w:jc w:val="right"/>
              <w:rPr>
                <w:b/>
                <w:sz w:val="18"/>
              </w:rPr>
            </w:pPr>
            <w:r>
              <w:rPr>
                <w:b/>
                <w:sz w:val="18"/>
              </w:rPr>
              <w:t>2,686,795</w:t>
            </w:r>
          </w:p>
        </w:tc>
        <w:tc>
          <w:tcPr>
            <w:tcW w:w="1166" w:type="dxa"/>
            <w:tcBorders>
              <w:top w:val="single" w:sz="8" w:space="0" w:color="000000"/>
              <w:bottom w:val="double" w:sz="3" w:space="0" w:color="000000"/>
            </w:tcBorders>
          </w:tcPr>
          <w:p w14:paraId="295C9DA9" w14:textId="77777777" w:rsidR="00FA4AA8" w:rsidRDefault="0015611F">
            <w:pPr>
              <w:pStyle w:val="TableParagraph"/>
              <w:spacing w:before="113" w:line="180" w:lineRule="exact"/>
              <w:ind w:left="280"/>
              <w:rPr>
                <w:sz w:val="18"/>
              </w:rPr>
            </w:pPr>
            <w:r>
              <w:rPr>
                <w:sz w:val="18"/>
              </w:rPr>
              <w:t>2,299,557</w:t>
            </w:r>
          </w:p>
        </w:tc>
      </w:tr>
      <w:tr w:rsidR="00FA4AA8" w14:paraId="7C7AAFF3" w14:textId="77777777">
        <w:trPr>
          <w:trHeight w:val="658"/>
        </w:trPr>
        <w:tc>
          <w:tcPr>
            <w:tcW w:w="298" w:type="dxa"/>
          </w:tcPr>
          <w:p w14:paraId="1AF57F01" w14:textId="77777777" w:rsidR="00FA4AA8" w:rsidRDefault="00FA4AA8">
            <w:pPr>
              <w:pStyle w:val="TableParagraph"/>
              <w:rPr>
                <w:rFonts w:ascii="Times New Roman"/>
                <w:sz w:val="18"/>
              </w:rPr>
            </w:pPr>
          </w:p>
        </w:tc>
        <w:tc>
          <w:tcPr>
            <w:tcW w:w="7007" w:type="dxa"/>
          </w:tcPr>
          <w:p w14:paraId="571601DC" w14:textId="77777777" w:rsidR="00FA4AA8" w:rsidRDefault="00FA4AA8">
            <w:pPr>
              <w:pStyle w:val="TableParagraph"/>
              <w:spacing w:before="3"/>
              <w:rPr>
                <w:b/>
                <w:sz w:val="26"/>
              </w:rPr>
            </w:pPr>
          </w:p>
          <w:p w14:paraId="02522D1E" w14:textId="77777777" w:rsidR="00FA4AA8" w:rsidRDefault="0015611F">
            <w:pPr>
              <w:pStyle w:val="TableParagraph"/>
              <w:ind w:left="149"/>
              <w:rPr>
                <w:i/>
                <w:sz w:val="18"/>
              </w:rPr>
            </w:pPr>
            <w:r>
              <w:rPr>
                <w:i/>
                <w:sz w:val="18"/>
                <w:u w:val="single"/>
              </w:rPr>
              <w:t>Accounting Policy</w:t>
            </w:r>
          </w:p>
        </w:tc>
        <w:tc>
          <w:tcPr>
            <w:tcW w:w="1497" w:type="dxa"/>
            <w:tcBorders>
              <w:top w:val="double" w:sz="3" w:space="0" w:color="000000"/>
            </w:tcBorders>
          </w:tcPr>
          <w:p w14:paraId="2599835C" w14:textId="77777777" w:rsidR="00FA4AA8" w:rsidRDefault="00FA4AA8">
            <w:pPr>
              <w:pStyle w:val="TableParagraph"/>
              <w:rPr>
                <w:rFonts w:ascii="Times New Roman"/>
                <w:sz w:val="18"/>
              </w:rPr>
            </w:pPr>
          </w:p>
        </w:tc>
        <w:tc>
          <w:tcPr>
            <w:tcW w:w="1166" w:type="dxa"/>
            <w:tcBorders>
              <w:top w:val="double" w:sz="3" w:space="0" w:color="000000"/>
            </w:tcBorders>
          </w:tcPr>
          <w:p w14:paraId="0D512164" w14:textId="77777777" w:rsidR="00FA4AA8" w:rsidRDefault="00FA4AA8">
            <w:pPr>
              <w:pStyle w:val="TableParagraph"/>
              <w:rPr>
                <w:rFonts w:ascii="Times New Roman"/>
                <w:sz w:val="18"/>
              </w:rPr>
            </w:pPr>
          </w:p>
        </w:tc>
      </w:tr>
      <w:tr w:rsidR="00FA4AA8" w14:paraId="54A031C9" w14:textId="77777777">
        <w:trPr>
          <w:trHeight w:val="350"/>
        </w:trPr>
        <w:tc>
          <w:tcPr>
            <w:tcW w:w="298" w:type="dxa"/>
          </w:tcPr>
          <w:p w14:paraId="09BCE714" w14:textId="77777777" w:rsidR="00FA4AA8" w:rsidRDefault="00FA4AA8">
            <w:pPr>
              <w:pStyle w:val="TableParagraph"/>
              <w:rPr>
                <w:rFonts w:ascii="Times New Roman"/>
                <w:sz w:val="18"/>
              </w:rPr>
            </w:pPr>
          </w:p>
        </w:tc>
        <w:tc>
          <w:tcPr>
            <w:tcW w:w="7007" w:type="dxa"/>
          </w:tcPr>
          <w:p w14:paraId="2EF9B006" w14:textId="77777777" w:rsidR="00FA4AA8" w:rsidRDefault="0015611F">
            <w:pPr>
              <w:pStyle w:val="TableParagraph"/>
              <w:spacing w:before="143" w:line="187" w:lineRule="exact"/>
              <w:ind w:left="149"/>
              <w:rPr>
                <w:b/>
                <w:sz w:val="18"/>
              </w:rPr>
            </w:pPr>
            <w:r>
              <w:rPr>
                <w:b/>
                <w:sz w:val="18"/>
              </w:rPr>
              <w:t>Operating Leases</w:t>
            </w:r>
          </w:p>
        </w:tc>
        <w:tc>
          <w:tcPr>
            <w:tcW w:w="1497" w:type="dxa"/>
          </w:tcPr>
          <w:p w14:paraId="3BE2B424" w14:textId="77777777" w:rsidR="00FA4AA8" w:rsidRDefault="00FA4AA8">
            <w:pPr>
              <w:pStyle w:val="TableParagraph"/>
              <w:rPr>
                <w:rFonts w:ascii="Times New Roman"/>
                <w:sz w:val="18"/>
              </w:rPr>
            </w:pPr>
          </w:p>
        </w:tc>
        <w:tc>
          <w:tcPr>
            <w:tcW w:w="1166" w:type="dxa"/>
          </w:tcPr>
          <w:p w14:paraId="03259A61" w14:textId="77777777" w:rsidR="00FA4AA8" w:rsidRDefault="00FA4AA8">
            <w:pPr>
              <w:pStyle w:val="TableParagraph"/>
              <w:rPr>
                <w:rFonts w:ascii="Times New Roman"/>
                <w:sz w:val="18"/>
              </w:rPr>
            </w:pPr>
          </w:p>
        </w:tc>
      </w:tr>
    </w:tbl>
    <w:p w14:paraId="20A2CEDB" w14:textId="77777777" w:rsidR="00FA4AA8" w:rsidRDefault="00FA4AA8">
      <w:pPr>
        <w:pStyle w:val="BodyText"/>
        <w:spacing w:before="9"/>
        <w:rPr>
          <w:b/>
          <w:sz w:val="16"/>
        </w:rPr>
      </w:pPr>
    </w:p>
    <w:p w14:paraId="20E66214" w14:textId="77777777" w:rsidR="00FA4AA8" w:rsidRDefault="0015611F">
      <w:pPr>
        <w:pStyle w:val="BodyText"/>
        <w:spacing w:before="94"/>
        <w:ind w:left="565" w:right="256"/>
      </w:pPr>
      <w:r>
        <w:t>Lease payments for operating leases, where substantially all of the risks and benefits remain with the lessor, are charged as expenses on a straight-line basis over the life of the lease term.</w:t>
      </w:r>
    </w:p>
    <w:p w14:paraId="414D6DC9" w14:textId="77777777" w:rsidR="00FA4AA8" w:rsidRDefault="00FA4AA8">
      <w:pPr>
        <w:sectPr w:rsidR="00FA4AA8">
          <w:pgSz w:w="11910" w:h="16840"/>
          <w:pgMar w:top="1720" w:right="840" w:bottom="720" w:left="840" w:header="1017" w:footer="523" w:gutter="0"/>
          <w:cols w:space="720"/>
        </w:sectPr>
      </w:pPr>
    </w:p>
    <w:p w14:paraId="52798DA9" w14:textId="77777777" w:rsidR="00FA4AA8" w:rsidRDefault="00FA4AA8">
      <w:pPr>
        <w:pStyle w:val="BodyText"/>
        <w:spacing w:before="6"/>
        <w:rPr>
          <w:sz w:val="21"/>
        </w:rPr>
      </w:pPr>
    </w:p>
    <w:p w14:paraId="1C3C7DD7" w14:textId="77777777" w:rsidR="00FA4AA8" w:rsidRDefault="0015611F">
      <w:pPr>
        <w:pStyle w:val="Heading2"/>
      </w:pPr>
      <w:bookmarkStart w:id="120" w:name="5_Cash_and_cash_equivalents_"/>
      <w:bookmarkEnd w:id="120"/>
      <w:r>
        <w:t>Notes to the Financial Statements</w:t>
      </w:r>
    </w:p>
    <w:p w14:paraId="57B454BB" w14:textId="77777777" w:rsidR="00FA4AA8" w:rsidRDefault="0015611F">
      <w:pPr>
        <w:pStyle w:val="Heading6"/>
        <w:spacing w:before="57"/>
        <w:ind w:left="167"/>
      </w:pPr>
      <w:r>
        <w:t>For the Year Ended 31 December 2018</w:t>
      </w:r>
    </w:p>
    <w:p w14:paraId="3C23698B" w14:textId="77777777" w:rsidR="00FA4AA8" w:rsidRDefault="00FA4AA8">
      <w:pPr>
        <w:pStyle w:val="BodyText"/>
        <w:rPr>
          <w:b/>
          <w:sz w:val="20"/>
        </w:rPr>
      </w:pPr>
    </w:p>
    <w:p w14:paraId="3594CAA5" w14:textId="77777777" w:rsidR="00FA4AA8" w:rsidRDefault="00FA4AA8">
      <w:pPr>
        <w:pStyle w:val="BodyText"/>
        <w:rPr>
          <w:b/>
          <w:sz w:val="20"/>
        </w:rPr>
      </w:pPr>
    </w:p>
    <w:p w14:paraId="282EEAEB" w14:textId="77777777" w:rsidR="00FA4AA8" w:rsidRDefault="00FA4AA8">
      <w:pPr>
        <w:pStyle w:val="BodyText"/>
        <w:spacing w:before="5" w:after="1"/>
        <w:rPr>
          <w:b/>
        </w:rPr>
      </w:pPr>
    </w:p>
    <w:tbl>
      <w:tblPr>
        <w:tblW w:w="0" w:type="auto"/>
        <w:tblInd w:w="126" w:type="dxa"/>
        <w:tblLayout w:type="fixed"/>
        <w:tblCellMar>
          <w:left w:w="0" w:type="dxa"/>
          <w:right w:w="0" w:type="dxa"/>
        </w:tblCellMar>
        <w:tblLook w:val="01E0" w:firstRow="1" w:lastRow="1" w:firstColumn="1" w:lastColumn="1" w:noHBand="0" w:noVBand="0"/>
      </w:tblPr>
      <w:tblGrid>
        <w:gridCol w:w="297"/>
        <w:gridCol w:w="7073"/>
        <w:gridCol w:w="1532"/>
        <w:gridCol w:w="1060"/>
      </w:tblGrid>
      <w:tr w:rsidR="00FA4AA8" w14:paraId="615879BA" w14:textId="77777777">
        <w:trPr>
          <w:trHeight w:val="220"/>
        </w:trPr>
        <w:tc>
          <w:tcPr>
            <w:tcW w:w="297" w:type="dxa"/>
          </w:tcPr>
          <w:p w14:paraId="2AF6FE15" w14:textId="77777777" w:rsidR="00FA4AA8" w:rsidRDefault="0015611F">
            <w:pPr>
              <w:pStyle w:val="TableParagraph"/>
              <w:spacing w:line="201" w:lineRule="exact"/>
              <w:ind w:left="50"/>
              <w:rPr>
                <w:b/>
                <w:sz w:val="18"/>
              </w:rPr>
            </w:pPr>
            <w:r>
              <w:rPr>
                <w:b/>
                <w:sz w:val="18"/>
              </w:rPr>
              <w:t>5</w:t>
            </w:r>
          </w:p>
        </w:tc>
        <w:tc>
          <w:tcPr>
            <w:tcW w:w="7073" w:type="dxa"/>
          </w:tcPr>
          <w:p w14:paraId="607E34C2" w14:textId="77777777" w:rsidR="00FA4AA8" w:rsidRDefault="0015611F">
            <w:pPr>
              <w:pStyle w:val="TableParagraph"/>
              <w:spacing w:line="201" w:lineRule="exact"/>
              <w:ind w:left="147"/>
              <w:rPr>
                <w:b/>
                <w:sz w:val="18"/>
              </w:rPr>
            </w:pPr>
            <w:r>
              <w:rPr>
                <w:b/>
                <w:sz w:val="18"/>
              </w:rPr>
              <w:t>Cash and cash equivalents</w:t>
            </w:r>
          </w:p>
        </w:tc>
        <w:tc>
          <w:tcPr>
            <w:tcW w:w="1532" w:type="dxa"/>
          </w:tcPr>
          <w:p w14:paraId="64BADB1A" w14:textId="77777777" w:rsidR="00FA4AA8" w:rsidRDefault="00FA4AA8">
            <w:pPr>
              <w:pStyle w:val="TableParagraph"/>
              <w:rPr>
                <w:rFonts w:ascii="Times New Roman"/>
                <w:sz w:val="14"/>
              </w:rPr>
            </w:pPr>
          </w:p>
        </w:tc>
        <w:tc>
          <w:tcPr>
            <w:tcW w:w="1060" w:type="dxa"/>
          </w:tcPr>
          <w:p w14:paraId="6F747279" w14:textId="77777777" w:rsidR="00FA4AA8" w:rsidRDefault="00FA4AA8">
            <w:pPr>
              <w:pStyle w:val="TableParagraph"/>
              <w:rPr>
                <w:rFonts w:ascii="Times New Roman"/>
                <w:sz w:val="14"/>
              </w:rPr>
            </w:pPr>
          </w:p>
        </w:tc>
      </w:tr>
      <w:tr w:rsidR="00FA4AA8" w14:paraId="247E5F59" w14:textId="77777777">
        <w:trPr>
          <w:trHeight w:val="256"/>
        </w:trPr>
        <w:tc>
          <w:tcPr>
            <w:tcW w:w="297" w:type="dxa"/>
          </w:tcPr>
          <w:p w14:paraId="1A42B275" w14:textId="77777777" w:rsidR="00FA4AA8" w:rsidRDefault="00FA4AA8">
            <w:pPr>
              <w:pStyle w:val="TableParagraph"/>
              <w:rPr>
                <w:rFonts w:ascii="Times New Roman"/>
                <w:sz w:val="18"/>
              </w:rPr>
            </w:pPr>
          </w:p>
        </w:tc>
        <w:tc>
          <w:tcPr>
            <w:tcW w:w="7073" w:type="dxa"/>
          </w:tcPr>
          <w:p w14:paraId="0BC4FCD6" w14:textId="77777777" w:rsidR="00FA4AA8" w:rsidRDefault="00FA4AA8">
            <w:pPr>
              <w:pStyle w:val="TableParagraph"/>
              <w:rPr>
                <w:rFonts w:ascii="Times New Roman"/>
                <w:sz w:val="18"/>
              </w:rPr>
            </w:pPr>
          </w:p>
        </w:tc>
        <w:tc>
          <w:tcPr>
            <w:tcW w:w="1532" w:type="dxa"/>
          </w:tcPr>
          <w:p w14:paraId="1F24586A" w14:textId="77777777" w:rsidR="00FA4AA8" w:rsidRDefault="0015611F">
            <w:pPr>
              <w:pStyle w:val="TableParagraph"/>
              <w:spacing w:before="13"/>
              <w:ind w:right="404"/>
              <w:jc w:val="right"/>
              <w:rPr>
                <w:b/>
                <w:sz w:val="18"/>
              </w:rPr>
            </w:pPr>
            <w:r>
              <w:rPr>
                <w:b/>
                <w:sz w:val="18"/>
              </w:rPr>
              <w:t>2018</w:t>
            </w:r>
          </w:p>
        </w:tc>
        <w:tc>
          <w:tcPr>
            <w:tcW w:w="1060" w:type="dxa"/>
          </w:tcPr>
          <w:p w14:paraId="5060969A" w14:textId="77777777" w:rsidR="00FA4AA8" w:rsidRDefault="0015611F">
            <w:pPr>
              <w:pStyle w:val="TableParagraph"/>
              <w:spacing w:before="13"/>
              <w:ind w:left="467"/>
              <w:rPr>
                <w:b/>
                <w:sz w:val="18"/>
              </w:rPr>
            </w:pPr>
            <w:r>
              <w:rPr>
                <w:b/>
                <w:sz w:val="18"/>
              </w:rPr>
              <w:t>2017</w:t>
            </w:r>
          </w:p>
        </w:tc>
      </w:tr>
      <w:tr w:rsidR="00FA4AA8" w14:paraId="56DBF7B1" w14:textId="77777777">
        <w:trPr>
          <w:trHeight w:val="271"/>
        </w:trPr>
        <w:tc>
          <w:tcPr>
            <w:tcW w:w="297" w:type="dxa"/>
          </w:tcPr>
          <w:p w14:paraId="1F1CA529" w14:textId="77777777" w:rsidR="00FA4AA8" w:rsidRDefault="00FA4AA8">
            <w:pPr>
              <w:pStyle w:val="TableParagraph"/>
              <w:rPr>
                <w:rFonts w:ascii="Times New Roman"/>
                <w:sz w:val="18"/>
              </w:rPr>
            </w:pPr>
          </w:p>
        </w:tc>
        <w:tc>
          <w:tcPr>
            <w:tcW w:w="7073" w:type="dxa"/>
          </w:tcPr>
          <w:p w14:paraId="28F8E8D8" w14:textId="77777777" w:rsidR="00FA4AA8" w:rsidRDefault="00FA4AA8">
            <w:pPr>
              <w:pStyle w:val="TableParagraph"/>
              <w:rPr>
                <w:rFonts w:ascii="Times New Roman"/>
                <w:sz w:val="18"/>
              </w:rPr>
            </w:pPr>
          </w:p>
        </w:tc>
        <w:tc>
          <w:tcPr>
            <w:tcW w:w="1532" w:type="dxa"/>
          </w:tcPr>
          <w:p w14:paraId="70095CDD" w14:textId="77777777" w:rsidR="00FA4AA8" w:rsidRDefault="0015611F">
            <w:pPr>
              <w:pStyle w:val="TableParagraph"/>
              <w:spacing w:before="30"/>
              <w:ind w:right="451"/>
              <w:jc w:val="right"/>
              <w:rPr>
                <w:b/>
                <w:sz w:val="18"/>
              </w:rPr>
            </w:pPr>
            <w:r>
              <w:rPr>
                <w:b/>
                <w:sz w:val="18"/>
              </w:rPr>
              <w:t>$</w:t>
            </w:r>
          </w:p>
        </w:tc>
        <w:tc>
          <w:tcPr>
            <w:tcW w:w="1060" w:type="dxa"/>
          </w:tcPr>
          <w:p w14:paraId="323C858B" w14:textId="77777777" w:rsidR="00FA4AA8" w:rsidRDefault="0015611F">
            <w:pPr>
              <w:pStyle w:val="TableParagraph"/>
              <w:spacing w:before="30"/>
              <w:ind w:right="239"/>
              <w:jc w:val="right"/>
              <w:rPr>
                <w:b/>
                <w:sz w:val="18"/>
              </w:rPr>
            </w:pPr>
            <w:r>
              <w:rPr>
                <w:b/>
                <w:sz w:val="18"/>
              </w:rPr>
              <w:t>$</w:t>
            </w:r>
          </w:p>
        </w:tc>
      </w:tr>
      <w:tr w:rsidR="00FA4AA8" w14:paraId="603FD72A" w14:textId="77777777">
        <w:trPr>
          <w:trHeight w:val="267"/>
        </w:trPr>
        <w:tc>
          <w:tcPr>
            <w:tcW w:w="297" w:type="dxa"/>
          </w:tcPr>
          <w:p w14:paraId="4FBA251B" w14:textId="77777777" w:rsidR="00FA4AA8" w:rsidRDefault="00FA4AA8">
            <w:pPr>
              <w:pStyle w:val="TableParagraph"/>
              <w:rPr>
                <w:rFonts w:ascii="Times New Roman"/>
                <w:sz w:val="18"/>
              </w:rPr>
            </w:pPr>
          </w:p>
        </w:tc>
        <w:tc>
          <w:tcPr>
            <w:tcW w:w="7073" w:type="dxa"/>
          </w:tcPr>
          <w:p w14:paraId="332E548D" w14:textId="77777777" w:rsidR="00FA4AA8" w:rsidRDefault="0015611F">
            <w:pPr>
              <w:pStyle w:val="TableParagraph"/>
              <w:spacing w:before="29"/>
              <w:ind w:left="147"/>
              <w:rPr>
                <w:sz w:val="18"/>
              </w:rPr>
            </w:pPr>
            <w:r>
              <w:rPr>
                <w:sz w:val="18"/>
              </w:rPr>
              <w:t>Cash at bank and on hand</w:t>
            </w:r>
          </w:p>
        </w:tc>
        <w:tc>
          <w:tcPr>
            <w:tcW w:w="1532" w:type="dxa"/>
          </w:tcPr>
          <w:p w14:paraId="136E739A" w14:textId="77777777" w:rsidR="00FA4AA8" w:rsidRDefault="0015611F">
            <w:pPr>
              <w:pStyle w:val="TableParagraph"/>
              <w:spacing w:before="28"/>
              <w:ind w:right="320"/>
              <w:jc w:val="right"/>
              <w:rPr>
                <w:b/>
                <w:sz w:val="18"/>
              </w:rPr>
            </w:pPr>
            <w:r>
              <w:rPr>
                <w:b/>
                <w:sz w:val="18"/>
              </w:rPr>
              <w:t>1,840,863</w:t>
            </w:r>
          </w:p>
        </w:tc>
        <w:tc>
          <w:tcPr>
            <w:tcW w:w="1060" w:type="dxa"/>
          </w:tcPr>
          <w:p w14:paraId="0F558E46" w14:textId="77777777" w:rsidR="00FA4AA8" w:rsidRDefault="0015611F">
            <w:pPr>
              <w:pStyle w:val="TableParagraph"/>
              <w:spacing w:before="28"/>
              <w:ind w:right="83"/>
              <w:jc w:val="right"/>
              <w:rPr>
                <w:sz w:val="18"/>
              </w:rPr>
            </w:pPr>
            <w:r>
              <w:rPr>
                <w:sz w:val="18"/>
              </w:rPr>
              <w:t>496,431</w:t>
            </w:r>
          </w:p>
        </w:tc>
      </w:tr>
      <w:tr w:rsidR="00FA4AA8" w14:paraId="46D8307C" w14:textId="77777777">
        <w:trPr>
          <w:trHeight w:val="258"/>
        </w:trPr>
        <w:tc>
          <w:tcPr>
            <w:tcW w:w="297" w:type="dxa"/>
          </w:tcPr>
          <w:p w14:paraId="0C2E47E5" w14:textId="77777777" w:rsidR="00FA4AA8" w:rsidRDefault="00FA4AA8">
            <w:pPr>
              <w:pStyle w:val="TableParagraph"/>
              <w:rPr>
                <w:rFonts w:ascii="Times New Roman"/>
                <w:sz w:val="18"/>
              </w:rPr>
            </w:pPr>
          </w:p>
        </w:tc>
        <w:tc>
          <w:tcPr>
            <w:tcW w:w="7073" w:type="dxa"/>
          </w:tcPr>
          <w:p w14:paraId="6688C34D" w14:textId="77777777" w:rsidR="00FA4AA8" w:rsidRDefault="0015611F">
            <w:pPr>
              <w:pStyle w:val="TableParagraph"/>
              <w:spacing w:before="26"/>
              <w:ind w:left="147"/>
              <w:rPr>
                <w:sz w:val="18"/>
              </w:rPr>
            </w:pPr>
            <w:r>
              <w:rPr>
                <w:sz w:val="18"/>
              </w:rPr>
              <w:t>TCorp Investment Facility</w:t>
            </w:r>
          </w:p>
        </w:tc>
        <w:tc>
          <w:tcPr>
            <w:tcW w:w="1532" w:type="dxa"/>
            <w:tcBorders>
              <w:bottom w:val="single" w:sz="8" w:space="0" w:color="000000"/>
            </w:tcBorders>
          </w:tcPr>
          <w:p w14:paraId="27B95A22" w14:textId="77777777" w:rsidR="00FA4AA8" w:rsidRDefault="0015611F">
            <w:pPr>
              <w:pStyle w:val="TableParagraph"/>
              <w:spacing w:before="25"/>
              <w:ind w:right="320"/>
              <w:jc w:val="right"/>
              <w:rPr>
                <w:b/>
                <w:sz w:val="18"/>
              </w:rPr>
            </w:pPr>
            <w:r>
              <w:rPr>
                <w:b/>
                <w:sz w:val="18"/>
              </w:rPr>
              <w:t>418,965</w:t>
            </w:r>
          </w:p>
        </w:tc>
        <w:tc>
          <w:tcPr>
            <w:tcW w:w="1060" w:type="dxa"/>
            <w:tcBorders>
              <w:bottom w:val="single" w:sz="8" w:space="0" w:color="000000"/>
            </w:tcBorders>
          </w:tcPr>
          <w:p w14:paraId="0CC3992E" w14:textId="77777777" w:rsidR="00FA4AA8" w:rsidRDefault="0015611F">
            <w:pPr>
              <w:pStyle w:val="TableParagraph"/>
              <w:spacing w:before="25"/>
              <w:ind w:right="83"/>
              <w:jc w:val="right"/>
              <w:rPr>
                <w:sz w:val="18"/>
              </w:rPr>
            </w:pPr>
            <w:r>
              <w:rPr>
                <w:sz w:val="18"/>
              </w:rPr>
              <w:t>410,534</w:t>
            </w:r>
          </w:p>
        </w:tc>
      </w:tr>
      <w:tr w:rsidR="00FA4AA8" w14:paraId="14F0427B" w14:textId="77777777">
        <w:trPr>
          <w:trHeight w:val="519"/>
        </w:trPr>
        <w:tc>
          <w:tcPr>
            <w:tcW w:w="297" w:type="dxa"/>
          </w:tcPr>
          <w:p w14:paraId="6EC8D66B" w14:textId="77777777" w:rsidR="00FA4AA8" w:rsidRDefault="00FA4AA8">
            <w:pPr>
              <w:pStyle w:val="TableParagraph"/>
              <w:rPr>
                <w:rFonts w:ascii="Times New Roman"/>
                <w:sz w:val="18"/>
              </w:rPr>
            </w:pPr>
          </w:p>
        </w:tc>
        <w:tc>
          <w:tcPr>
            <w:tcW w:w="7073" w:type="dxa"/>
          </w:tcPr>
          <w:p w14:paraId="29D6AAC1" w14:textId="77777777" w:rsidR="00FA4AA8" w:rsidRDefault="0015611F">
            <w:pPr>
              <w:pStyle w:val="TableParagraph"/>
              <w:spacing w:before="117" w:line="206" w:lineRule="exact"/>
              <w:ind w:left="147" w:right="1804"/>
              <w:rPr>
                <w:b/>
                <w:sz w:val="18"/>
              </w:rPr>
            </w:pPr>
            <w:r>
              <w:rPr>
                <w:b/>
                <w:sz w:val="18"/>
              </w:rPr>
              <w:t>Total cash and cash equivalents in the statement of financial position and statement of cash flows</w:t>
            </w:r>
          </w:p>
        </w:tc>
        <w:tc>
          <w:tcPr>
            <w:tcW w:w="1532" w:type="dxa"/>
            <w:tcBorders>
              <w:top w:val="single" w:sz="8" w:space="0" w:color="000000"/>
              <w:bottom w:val="double" w:sz="3" w:space="0" w:color="000000"/>
            </w:tcBorders>
          </w:tcPr>
          <w:p w14:paraId="2B616689" w14:textId="77777777" w:rsidR="00FA4AA8" w:rsidRDefault="00FA4AA8">
            <w:pPr>
              <w:pStyle w:val="TableParagraph"/>
              <w:spacing w:before="9"/>
              <w:rPr>
                <w:b/>
                <w:sz w:val="27"/>
              </w:rPr>
            </w:pPr>
          </w:p>
          <w:p w14:paraId="52A766FE" w14:textId="77777777" w:rsidR="00FA4AA8" w:rsidRDefault="0015611F">
            <w:pPr>
              <w:pStyle w:val="TableParagraph"/>
              <w:spacing w:line="180" w:lineRule="exact"/>
              <w:ind w:right="320"/>
              <w:jc w:val="right"/>
              <w:rPr>
                <w:b/>
                <w:sz w:val="18"/>
              </w:rPr>
            </w:pPr>
            <w:r>
              <w:rPr>
                <w:b/>
                <w:sz w:val="18"/>
              </w:rPr>
              <w:t>2,259,828</w:t>
            </w:r>
          </w:p>
        </w:tc>
        <w:tc>
          <w:tcPr>
            <w:tcW w:w="1060" w:type="dxa"/>
            <w:tcBorders>
              <w:top w:val="single" w:sz="8" w:space="0" w:color="000000"/>
              <w:bottom w:val="double" w:sz="3" w:space="0" w:color="000000"/>
            </w:tcBorders>
          </w:tcPr>
          <w:p w14:paraId="7B26F437" w14:textId="77777777" w:rsidR="00FA4AA8" w:rsidRDefault="00FA4AA8">
            <w:pPr>
              <w:pStyle w:val="TableParagraph"/>
              <w:spacing w:before="9"/>
              <w:rPr>
                <w:b/>
                <w:sz w:val="27"/>
              </w:rPr>
            </w:pPr>
          </w:p>
          <w:p w14:paraId="2073C8EF" w14:textId="77777777" w:rsidR="00FA4AA8" w:rsidRDefault="0015611F">
            <w:pPr>
              <w:pStyle w:val="TableParagraph"/>
              <w:spacing w:line="180" w:lineRule="exact"/>
              <w:ind w:right="83"/>
              <w:jc w:val="right"/>
              <w:rPr>
                <w:sz w:val="18"/>
              </w:rPr>
            </w:pPr>
            <w:r>
              <w:rPr>
                <w:sz w:val="18"/>
              </w:rPr>
              <w:t>906,965</w:t>
            </w:r>
          </w:p>
        </w:tc>
      </w:tr>
    </w:tbl>
    <w:p w14:paraId="6033315D" w14:textId="77777777" w:rsidR="00FA4AA8" w:rsidRDefault="00FA4AA8">
      <w:pPr>
        <w:pStyle w:val="BodyText"/>
        <w:rPr>
          <w:b/>
          <w:sz w:val="20"/>
        </w:rPr>
      </w:pPr>
    </w:p>
    <w:p w14:paraId="26F99DF8" w14:textId="77777777" w:rsidR="00FA4AA8" w:rsidRDefault="00FA4AA8">
      <w:pPr>
        <w:pStyle w:val="BodyText"/>
        <w:rPr>
          <w:b/>
          <w:sz w:val="20"/>
        </w:rPr>
      </w:pPr>
    </w:p>
    <w:p w14:paraId="512DFD1F" w14:textId="77777777" w:rsidR="00FA4AA8" w:rsidRDefault="00FA4AA8">
      <w:pPr>
        <w:pStyle w:val="BodyText"/>
        <w:spacing w:before="4" w:after="1"/>
        <w:rPr>
          <w:b/>
          <w:sz w:val="29"/>
        </w:rPr>
      </w:pPr>
    </w:p>
    <w:tbl>
      <w:tblPr>
        <w:tblW w:w="0" w:type="auto"/>
        <w:tblInd w:w="126" w:type="dxa"/>
        <w:tblLayout w:type="fixed"/>
        <w:tblCellMar>
          <w:left w:w="0" w:type="dxa"/>
          <w:right w:w="0" w:type="dxa"/>
        </w:tblCellMar>
        <w:tblLook w:val="01E0" w:firstRow="1" w:lastRow="1" w:firstColumn="1" w:lastColumn="1" w:noHBand="0" w:noVBand="0"/>
      </w:tblPr>
      <w:tblGrid>
        <w:gridCol w:w="297"/>
        <w:gridCol w:w="5136"/>
        <w:gridCol w:w="1937"/>
        <w:gridCol w:w="1564"/>
        <w:gridCol w:w="1030"/>
      </w:tblGrid>
      <w:tr w:rsidR="00FA4AA8" w14:paraId="74F543C6" w14:textId="77777777">
        <w:trPr>
          <w:trHeight w:val="220"/>
        </w:trPr>
        <w:tc>
          <w:tcPr>
            <w:tcW w:w="297" w:type="dxa"/>
          </w:tcPr>
          <w:p w14:paraId="6C5479C8" w14:textId="77777777" w:rsidR="00FA4AA8" w:rsidRDefault="0015611F">
            <w:pPr>
              <w:pStyle w:val="TableParagraph"/>
              <w:spacing w:line="201" w:lineRule="exact"/>
              <w:ind w:left="50"/>
              <w:rPr>
                <w:b/>
                <w:sz w:val="18"/>
              </w:rPr>
            </w:pPr>
            <w:r>
              <w:rPr>
                <w:b/>
                <w:sz w:val="18"/>
              </w:rPr>
              <w:t>6</w:t>
            </w:r>
          </w:p>
        </w:tc>
        <w:tc>
          <w:tcPr>
            <w:tcW w:w="5136" w:type="dxa"/>
          </w:tcPr>
          <w:p w14:paraId="7FD0E098" w14:textId="77777777" w:rsidR="00FA4AA8" w:rsidRDefault="0015611F">
            <w:pPr>
              <w:pStyle w:val="TableParagraph"/>
              <w:spacing w:line="201" w:lineRule="exact"/>
              <w:ind w:left="147"/>
              <w:rPr>
                <w:b/>
                <w:sz w:val="18"/>
              </w:rPr>
            </w:pPr>
            <w:r>
              <w:rPr>
                <w:b/>
                <w:sz w:val="18"/>
              </w:rPr>
              <w:t>Trade and other receivables</w:t>
            </w:r>
          </w:p>
        </w:tc>
        <w:tc>
          <w:tcPr>
            <w:tcW w:w="4531" w:type="dxa"/>
            <w:gridSpan w:val="3"/>
          </w:tcPr>
          <w:p w14:paraId="0B4519A3" w14:textId="77777777" w:rsidR="00FA4AA8" w:rsidRDefault="00FA4AA8">
            <w:pPr>
              <w:pStyle w:val="TableParagraph"/>
              <w:rPr>
                <w:rFonts w:ascii="Times New Roman"/>
                <w:sz w:val="14"/>
              </w:rPr>
            </w:pPr>
          </w:p>
        </w:tc>
      </w:tr>
      <w:tr w:rsidR="00FA4AA8" w14:paraId="69A84D50" w14:textId="77777777">
        <w:trPr>
          <w:trHeight w:val="256"/>
        </w:trPr>
        <w:tc>
          <w:tcPr>
            <w:tcW w:w="297" w:type="dxa"/>
          </w:tcPr>
          <w:p w14:paraId="003600AA" w14:textId="77777777" w:rsidR="00FA4AA8" w:rsidRDefault="00FA4AA8">
            <w:pPr>
              <w:pStyle w:val="TableParagraph"/>
              <w:rPr>
                <w:rFonts w:ascii="Times New Roman"/>
                <w:sz w:val="18"/>
              </w:rPr>
            </w:pPr>
          </w:p>
        </w:tc>
        <w:tc>
          <w:tcPr>
            <w:tcW w:w="5136" w:type="dxa"/>
          </w:tcPr>
          <w:p w14:paraId="32C42571" w14:textId="77777777" w:rsidR="00FA4AA8" w:rsidRDefault="00FA4AA8">
            <w:pPr>
              <w:pStyle w:val="TableParagraph"/>
              <w:rPr>
                <w:rFonts w:ascii="Times New Roman"/>
                <w:sz w:val="18"/>
              </w:rPr>
            </w:pPr>
          </w:p>
        </w:tc>
        <w:tc>
          <w:tcPr>
            <w:tcW w:w="1937" w:type="dxa"/>
          </w:tcPr>
          <w:p w14:paraId="29DD35EC" w14:textId="77777777" w:rsidR="00FA4AA8" w:rsidRDefault="00FA4AA8">
            <w:pPr>
              <w:pStyle w:val="TableParagraph"/>
              <w:rPr>
                <w:rFonts w:ascii="Times New Roman"/>
                <w:sz w:val="18"/>
              </w:rPr>
            </w:pPr>
          </w:p>
        </w:tc>
        <w:tc>
          <w:tcPr>
            <w:tcW w:w="1564" w:type="dxa"/>
          </w:tcPr>
          <w:p w14:paraId="266A66BE" w14:textId="77777777" w:rsidR="00FA4AA8" w:rsidRDefault="0015611F">
            <w:pPr>
              <w:pStyle w:val="TableParagraph"/>
              <w:spacing w:before="13"/>
              <w:ind w:left="749"/>
              <w:rPr>
                <w:b/>
                <w:sz w:val="18"/>
              </w:rPr>
            </w:pPr>
            <w:r>
              <w:rPr>
                <w:b/>
                <w:sz w:val="18"/>
              </w:rPr>
              <w:t>2018</w:t>
            </w:r>
          </w:p>
        </w:tc>
        <w:tc>
          <w:tcPr>
            <w:tcW w:w="1030" w:type="dxa"/>
          </w:tcPr>
          <w:p w14:paraId="5AF44FDA" w14:textId="77777777" w:rsidR="00FA4AA8" w:rsidRDefault="0015611F">
            <w:pPr>
              <w:pStyle w:val="TableParagraph"/>
              <w:spacing w:before="13"/>
              <w:ind w:right="135"/>
              <w:jc w:val="right"/>
              <w:rPr>
                <w:b/>
                <w:sz w:val="18"/>
              </w:rPr>
            </w:pPr>
            <w:r>
              <w:rPr>
                <w:b/>
                <w:sz w:val="18"/>
              </w:rPr>
              <w:t>2017</w:t>
            </w:r>
          </w:p>
        </w:tc>
      </w:tr>
      <w:tr w:rsidR="00FA4AA8" w14:paraId="01C64D32" w14:textId="77777777">
        <w:trPr>
          <w:trHeight w:val="270"/>
        </w:trPr>
        <w:tc>
          <w:tcPr>
            <w:tcW w:w="297" w:type="dxa"/>
          </w:tcPr>
          <w:p w14:paraId="78AADE36" w14:textId="77777777" w:rsidR="00FA4AA8" w:rsidRDefault="00FA4AA8">
            <w:pPr>
              <w:pStyle w:val="TableParagraph"/>
              <w:rPr>
                <w:rFonts w:ascii="Times New Roman"/>
                <w:sz w:val="18"/>
              </w:rPr>
            </w:pPr>
          </w:p>
        </w:tc>
        <w:tc>
          <w:tcPr>
            <w:tcW w:w="5136" w:type="dxa"/>
          </w:tcPr>
          <w:p w14:paraId="4E1BA9E3" w14:textId="77777777" w:rsidR="00FA4AA8" w:rsidRDefault="00FA4AA8">
            <w:pPr>
              <w:pStyle w:val="TableParagraph"/>
              <w:rPr>
                <w:rFonts w:ascii="Times New Roman"/>
                <w:sz w:val="18"/>
              </w:rPr>
            </w:pPr>
          </w:p>
        </w:tc>
        <w:tc>
          <w:tcPr>
            <w:tcW w:w="1937" w:type="dxa"/>
          </w:tcPr>
          <w:p w14:paraId="16515570" w14:textId="77777777" w:rsidR="00FA4AA8" w:rsidRDefault="0015611F">
            <w:pPr>
              <w:pStyle w:val="TableParagraph"/>
              <w:spacing w:before="30"/>
              <w:ind w:right="76"/>
              <w:jc w:val="right"/>
              <w:rPr>
                <w:b/>
                <w:sz w:val="18"/>
              </w:rPr>
            </w:pPr>
            <w:r>
              <w:rPr>
                <w:b/>
                <w:sz w:val="18"/>
              </w:rPr>
              <w:t>Note</w:t>
            </w:r>
          </w:p>
        </w:tc>
        <w:tc>
          <w:tcPr>
            <w:tcW w:w="1564" w:type="dxa"/>
          </w:tcPr>
          <w:p w14:paraId="494779B6" w14:textId="77777777" w:rsidR="00FA4AA8" w:rsidRDefault="0015611F">
            <w:pPr>
              <w:pStyle w:val="TableParagraph"/>
              <w:spacing w:before="30"/>
              <w:ind w:right="461"/>
              <w:jc w:val="right"/>
              <w:rPr>
                <w:b/>
                <w:sz w:val="18"/>
              </w:rPr>
            </w:pPr>
            <w:r>
              <w:rPr>
                <w:b/>
                <w:sz w:val="18"/>
              </w:rPr>
              <w:t>$</w:t>
            </w:r>
          </w:p>
        </w:tc>
        <w:tc>
          <w:tcPr>
            <w:tcW w:w="1030" w:type="dxa"/>
          </w:tcPr>
          <w:p w14:paraId="561514A8" w14:textId="77777777" w:rsidR="00FA4AA8" w:rsidRDefault="0015611F">
            <w:pPr>
              <w:pStyle w:val="TableParagraph"/>
              <w:spacing w:before="30"/>
              <w:ind w:right="208"/>
              <w:jc w:val="right"/>
              <w:rPr>
                <w:b/>
                <w:sz w:val="18"/>
              </w:rPr>
            </w:pPr>
            <w:r>
              <w:rPr>
                <w:b/>
                <w:sz w:val="18"/>
              </w:rPr>
              <w:t>$</w:t>
            </w:r>
          </w:p>
        </w:tc>
      </w:tr>
      <w:tr w:rsidR="00FA4AA8" w14:paraId="6AE7FB0F" w14:textId="77777777">
        <w:trPr>
          <w:trHeight w:val="266"/>
        </w:trPr>
        <w:tc>
          <w:tcPr>
            <w:tcW w:w="297" w:type="dxa"/>
          </w:tcPr>
          <w:p w14:paraId="2F8C3AAD" w14:textId="77777777" w:rsidR="00FA4AA8" w:rsidRDefault="00FA4AA8">
            <w:pPr>
              <w:pStyle w:val="TableParagraph"/>
              <w:rPr>
                <w:rFonts w:ascii="Times New Roman"/>
                <w:sz w:val="18"/>
              </w:rPr>
            </w:pPr>
          </w:p>
        </w:tc>
        <w:tc>
          <w:tcPr>
            <w:tcW w:w="5136" w:type="dxa"/>
          </w:tcPr>
          <w:p w14:paraId="31B3CB94" w14:textId="77777777" w:rsidR="00FA4AA8" w:rsidRDefault="0015611F">
            <w:pPr>
              <w:pStyle w:val="TableParagraph"/>
              <w:spacing w:before="27"/>
              <w:ind w:left="193"/>
              <w:rPr>
                <w:sz w:val="18"/>
              </w:rPr>
            </w:pPr>
            <w:r>
              <w:rPr>
                <w:sz w:val="18"/>
              </w:rPr>
              <w:t>Student receivables</w:t>
            </w:r>
          </w:p>
        </w:tc>
        <w:tc>
          <w:tcPr>
            <w:tcW w:w="1937" w:type="dxa"/>
          </w:tcPr>
          <w:p w14:paraId="5995B73E" w14:textId="77777777" w:rsidR="00FA4AA8" w:rsidRDefault="00FA4AA8">
            <w:pPr>
              <w:pStyle w:val="TableParagraph"/>
              <w:rPr>
                <w:rFonts w:ascii="Times New Roman"/>
                <w:sz w:val="18"/>
              </w:rPr>
            </w:pPr>
          </w:p>
        </w:tc>
        <w:tc>
          <w:tcPr>
            <w:tcW w:w="1564" w:type="dxa"/>
          </w:tcPr>
          <w:p w14:paraId="5FA3B47E" w14:textId="77777777" w:rsidR="00FA4AA8" w:rsidRDefault="0015611F">
            <w:pPr>
              <w:pStyle w:val="TableParagraph"/>
              <w:spacing w:before="28"/>
              <w:ind w:right="351"/>
              <w:jc w:val="right"/>
              <w:rPr>
                <w:b/>
                <w:sz w:val="18"/>
              </w:rPr>
            </w:pPr>
            <w:r>
              <w:rPr>
                <w:b/>
                <w:sz w:val="18"/>
              </w:rPr>
              <w:t>177,864</w:t>
            </w:r>
          </w:p>
        </w:tc>
        <w:tc>
          <w:tcPr>
            <w:tcW w:w="1030" w:type="dxa"/>
          </w:tcPr>
          <w:p w14:paraId="26501FFD" w14:textId="77777777" w:rsidR="00FA4AA8" w:rsidRDefault="0015611F">
            <w:pPr>
              <w:pStyle w:val="TableParagraph"/>
              <w:spacing w:before="28"/>
              <w:ind w:left="295"/>
              <w:rPr>
                <w:sz w:val="18"/>
              </w:rPr>
            </w:pPr>
            <w:r>
              <w:rPr>
                <w:sz w:val="18"/>
              </w:rPr>
              <w:t>151,122</w:t>
            </w:r>
          </w:p>
        </w:tc>
      </w:tr>
      <w:tr w:rsidR="00FA4AA8" w14:paraId="305447A4" w14:textId="77777777">
        <w:trPr>
          <w:trHeight w:val="263"/>
        </w:trPr>
        <w:tc>
          <w:tcPr>
            <w:tcW w:w="297" w:type="dxa"/>
          </w:tcPr>
          <w:p w14:paraId="60975998" w14:textId="77777777" w:rsidR="00FA4AA8" w:rsidRDefault="00FA4AA8">
            <w:pPr>
              <w:pStyle w:val="TableParagraph"/>
              <w:rPr>
                <w:rFonts w:ascii="Times New Roman"/>
                <w:sz w:val="18"/>
              </w:rPr>
            </w:pPr>
          </w:p>
        </w:tc>
        <w:tc>
          <w:tcPr>
            <w:tcW w:w="5136" w:type="dxa"/>
          </w:tcPr>
          <w:p w14:paraId="295512D5" w14:textId="77777777" w:rsidR="00FA4AA8" w:rsidRDefault="0015611F">
            <w:pPr>
              <w:pStyle w:val="TableParagraph"/>
              <w:spacing w:before="25"/>
              <w:ind w:left="193"/>
              <w:rPr>
                <w:sz w:val="18"/>
              </w:rPr>
            </w:pPr>
            <w:r>
              <w:rPr>
                <w:sz w:val="18"/>
              </w:rPr>
              <w:t>Trade receivables</w:t>
            </w:r>
          </w:p>
        </w:tc>
        <w:tc>
          <w:tcPr>
            <w:tcW w:w="1937" w:type="dxa"/>
          </w:tcPr>
          <w:p w14:paraId="3FC03D76" w14:textId="77777777" w:rsidR="00FA4AA8" w:rsidRDefault="00FA4AA8">
            <w:pPr>
              <w:pStyle w:val="TableParagraph"/>
              <w:rPr>
                <w:rFonts w:ascii="Times New Roman"/>
                <w:sz w:val="18"/>
              </w:rPr>
            </w:pPr>
          </w:p>
        </w:tc>
        <w:tc>
          <w:tcPr>
            <w:tcW w:w="1564" w:type="dxa"/>
          </w:tcPr>
          <w:p w14:paraId="4D02A7AA" w14:textId="77777777" w:rsidR="00FA4AA8" w:rsidRDefault="0015611F">
            <w:pPr>
              <w:pStyle w:val="TableParagraph"/>
              <w:spacing w:before="26"/>
              <w:ind w:right="351"/>
              <w:jc w:val="right"/>
              <w:rPr>
                <w:b/>
                <w:sz w:val="18"/>
              </w:rPr>
            </w:pPr>
            <w:r>
              <w:rPr>
                <w:b/>
                <w:sz w:val="18"/>
              </w:rPr>
              <w:t>119,343</w:t>
            </w:r>
          </w:p>
        </w:tc>
        <w:tc>
          <w:tcPr>
            <w:tcW w:w="1030" w:type="dxa"/>
          </w:tcPr>
          <w:p w14:paraId="79E70FC1" w14:textId="77777777" w:rsidR="00FA4AA8" w:rsidRDefault="0015611F">
            <w:pPr>
              <w:pStyle w:val="TableParagraph"/>
              <w:spacing w:before="26"/>
              <w:ind w:left="295"/>
              <w:rPr>
                <w:sz w:val="18"/>
              </w:rPr>
            </w:pPr>
            <w:r>
              <w:rPr>
                <w:sz w:val="18"/>
              </w:rPr>
              <w:t>266,571</w:t>
            </w:r>
          </w:p>
        </w:tc>
      </w:tr>
      <w:tr w:rsidR="00FA4AA8" w14:paraId="5D603941" w14:textId="77777777">
        <w:trPr>
          <w:trHeight w:val="260"/>
        </w:trPr>
        <w:tc>
          <w:tcPr>
            <w:tcW w:w="297" w:type="dxa"/>
          </w:tcPr>
          <w:p w14:paraId="2C4D210B" w14:textId="77777777" w:rsidR="00FA4AA8" w:rsidRDefault="00FA4AA8">
            <w:pPr>
              <w:pStyle w:val="TableParagraph"/>
              <w:rPr>
                <w:rFonts w:ascii="Times New Roman"/>
                <w:sz w:val="18"/>
              </w:rPr>
            </w:pPr>
          </w:p>
        </w:tc>
        <w:tc>
          <w:tcPr>
            <w:tcW w:w="5136" w:type="dxa"/>
          </w:tcPr>
          <w:p w14:paraId="25F95AE5" w14:textId="77777777" w:rsidR="00FA4AA8" w:rsidRDefault="0015611F">
            <w:pPr>
              <w:pStyle w:val="TableParagraph"/>
              <w:spacing w:before="25"/>
              <w:ind w:left="193"/>
              <w:rPr>
                <w:sz w:val="18"/>
              </w:rPr>
            </w:pPr>
            <w:r>
              <w:rPr>
                <w:sz w:val="18"/>
              </w:rPr>
              <w:t>Less: Provision for impaired receivables</w:t>
            </w:r>
          </w:p>
        </w:tc>
        <w:tc>
          <w:tcPr>
            <w:tcW w:w="1937" w:type="dxa"/>
          </w:tcPr>
          <w:p w14:paraId="6A20C9FF" w14:textId="77777777" w:rsidR="00FA4AA8" w:rsidRDefault="0015611F">
            <w:pPr>
              <w:pStyle w:val="TableParagraph"/>
              <w:spacing w:before="27"/>
              <w:ind w:right="118"/>
              <w:jc w:val="right"/>
              <w:rPr>
                <w:sz w:val="18"/>
              </w:rPr>
            </w:pPr>
            <w:r>
              <w:rPr>
                <w:sz w:val="18"/>
              </w:rPr>
              <w:t>6(a)</w:t>
            </w:r>
          </w:p>
        </w:tc>
        <w:tc>
          <w:tcPr>
            <w:tcW w:w="1564" w:type="dxa"/>
            <w:tcBorders>
              <w:bottom w:val="single" w:sz="8" w:space="0" w:color="000000"/>
            </w:tcBorders>
          </w:tcPr>
          <w:p w14:paraId="06F22E6E" w14:textId="77777777" w:rsidR="00FA4AA8" w:rsidRDefault="0015611F">
            <w:pPr>
              <w:pStyle w:val="TableParagraph"/>
              <w:spacing w:before="26"/>
              <w:ind w:right="291"/>
              <w:jc w:val="right"/>
              <w:rPr>
                <w:b/>
                <w:sz w:val="18"/>
              </w:rPr>
            </w:pPr>
            <w:r>
              <w:rPr>
                <w:b/>
                <w:sz w:val="18"/>
              </w:rPr>
              <w:t>(97,801)</w:t>
            </w:r>
          </w:p>
        </w:tc>
        <w:tc>
          <w:tcPr>
            <w:tcW w:w="1030" w:type="dxa"/>
            <w:tcBorders>
              <w:bottom w:val="single" w:sz="8" w:space="0" w:color="000000"/>
            </w:tcBorders>
          </w:tcPr>
          <w:p w14:paraId="13EBEFEE" w14:textId="77777777" w:rsidR="00FA4AA8" w:rsidRDefault="0015611F">
            <w:pPr>
              <w:pStyle w:val="TableParagraph"/>
              <w:spacing w:before="26"/>
              <w:ind w:right="24"/>
              <w:jc w:val="right"/>
              <w:rPr>
                <w:sz w:val="18"/>
              </w:rPr>
            </w:pPr>
            <w:r>
              <w:rPr>
                <w:sz w:val="18"/>
              </w:rPr>
              <w:t>(19,469)</w:t>
            </w:r>
          </w:p>
        </w:tc>
      </w:tr>
      <w:tr w:rsidR="00FA4AA8" w14:paraId="7CAA20D3" w14:textId="77777777">
        <w:trPr>
          <w:trHeight w:val="318"/>
        </w:trPr>
        <w:tc>
          <w:tcPr>
            <w:tcW w:w="297" w:type="dxa"/>
          </w:tcPr>
          <w:p w14:paraId="4F814A81" w14:textId="77777777" w:rsidR="00FA4AA8" w:rsidRDefault="00FA4AA8">
            <w:pPr>
              <w:pStyle w:val="TableParagraph"/>
              <w:rPr>
                <w:rFonts w:ascii="Times New Roman"/>
                <w:sz w:val="18"/>
              </w:rPr>
            </w:pPr>
          </w:p>
        </w:tc>
        <w:tc>
          <w:tcPr>
            <w:tcW w:w="5136" w:type="dxa"/>
          </w:tcPr>
          <w:p w14:paraId="2E14132D" w14:textId="77777777" w:rsidR="00FA4AA8" w:rsidRDefault="0015611F">
            <w:pPr>
              <w:pStyle w:val="TableParagraph"/>
              <w:spacing w:before="113" w:line="185" w:lineRule="exact"/>
              <w:ind w:left="193"/>
              <w:rPr>
                <w:b/>
                <w:sz w:val="18"/>
              </w:rPr>
            </w:pPr>
            <w:r>
              <w:rPr>
                <w:b/>
                <w:sz w:val="18"/>
              </w:rPr>
              <w:t>Net student and trade receivables</w:t>
            </w:r>
          </w:p>
        </w:tc>
        <w:tc>
          <w:tcPr>
            <w:tcW w:w="1937" w:type="dxa"/>
          </w:tcPr>
          <w:p w14:paraId="533076CB" w14:textId="77777777" w:rsidR="00FA4AA8" w:rsidRDefault="00FA4AA8">
            <w:pPr>
              <w:pStyle w:val="TableParagraph"/>
              <w:rPr>
                <w:rFonts w:ascii="Times New Roman"/>
                <w:sz w:val="18"/>
              </w:rPr>
            </w:pPr>
          </w:p>
        </w:tc>
        <w:tc>
          <w:tcPr>
            <w:tcW w:w="1564" w:type="dxa"/>
            <w:tcBorders>
              <w:top w:val="single" w:sz="8" w:space="0" w:color="000000"/>
              <w:bottom w:val="single" w:sz="8" w:space="0" w:color="000000"/>
            </w:tcBorders>
          </w:tcPr>
          <w:p w14:paraId="054A3499" w14:textId="77777777" w:rsidR="00FA4AA8" w:rsidRDefault="0015611F">
            <w:pPr>
              <w:pStyle w:val="TableParagraph"/>
              <w:spacing w:before="113" w:line="185" w:lineRule="exact"/>
              <w:ind w:right="351"/>
              <w:jc w:val="right"/>
              <w:rPr>
                <w:b/>
                <w:sz w:val="18"/>
              </w:rPr>
            </w:pPr>
            <w:r>
              <w:rPr>
                <w:b/>
                <w:sz w:val="18"/>
              </w:rPr>
              <w:t>199,406</w:t>
            </w:r>
          </w:p>
        </w:tc>
        <w:tc>
          <w:tcPr>
            <w:tcW w:w="1030" w:type="dxa"/>
            <w:tcBorders>
              <w:top w:val="single" w:sz="8" w:space="0" w:color="000000"/>
              <w:bottom w:val="single" w:sz="8" w:space="0" w:color="000000"/>
            </w:tcBorders>
          </w:tcPr>
          <w:p w14:paraId="0AD085D0" w14:textId="77777777" w:rsidR="00FA4AA8" w:rsidRDefault="0015611F">
            <w:pPr>
              <w:pStyle w:val="TableParagraph"/>
              <w:spacing w:before="113" w:line="185" w:lineRule="exact"/>
              <w:ind w:left="295"/>
              <w:rPr>
                <w:sz w:val="18"/>
              </w:rPr>
            </w:pPr>
            <w:r>
              <w:rPr>
                <w:sz w:val="18"/>
              </w:rPr>
              <w:t>398,224</w:t>
            </w:r>
          </w:p>
        </w:tc>
      </w:tr>
      <w:tr w:rsidR="00FA4AA8" w14:paraId="583CC7C9" w14:textId="77777777">
        <w:trPr>
          <w:trHeight w:val="528"/>
        </w:trPr>
        <w:tc>
          <w:tcPr>
            <w:tcW w:w="297" w:type="dxa"/>
          </w:tcPr>
          <w:p w14:paraId="25BA3B8F" w14:textId="77777777" w:rsidR="00FA4AA8" w:rsidRDefault="00FA4AA8">
            <w:pPr>
              <w:pStyle w:val="TableParagraph"/>
              <w:rPr>
                <w:rFonts w:ascii="Times New Roman"/>
                <w:sz w:val="18"/>
              </w:rPr>
            </w:pPr>
          </w:p>
        </w:tc>
        <w:tc>
          <w:tcPr>
            <w:tcW w:w="5136" w:type="dxa"/>
          </w:tcPr>
          <w:p w14:paraId="748BAEFE" w14:textId="77777777" w:rsidR="00FA4AA8" w:rsidRDefault="00FA4AA8">
            <w:pPr>
              <w:pStyle w:val="TableParagraph"/>
              <w:spacing w:before="3"/>
              <w:rPr>
                <w:b/>
                <w:sz w:val="25"/>
              </w:rPr>
            </w:pPr>
          </w:p>
          <w:p w14:paraId="2DC54282" w14:textId="77777777" w:rsidR="00FA4AA8" w:rsidRDefault="0015611F">
            <w:pPr>
              <w:pStyle w:val="TableParagraph"/>
              <w:ind w:left="193"/>
              <w:rPr>
                <w:sz w:val="18"/>
              </w:rPr>
            </w:pPr>
            <w:r>
              <w:rPr>
                <w:sz w:val="18"/>
              </w:rPr>
              <w:t>Accrued revenue</w:t>
            </w:r>
          </w:p>
        </w:tc>
        <w:tc>
          <w:tcPr>
            <w:tcW w:w="1937" w:type="dxa"/>
          </w:tcPr>
          <w:p w14:paraId="03952F00" w14:textId="77777777" w:rsidR="00FA4AA8" w:rsidRDefault="00FA4AA8">
            <w:pPr>
              <w:pStyle w:val="TableParagraph"/>
              <w:rPr>
                <w:rFonts w:ascii="Times New Roman"/>
                <w:sz w:val="18"/>
              </w:rPr>
            </w:pPr>
          </w:p>
        </w:tc>
        <w:tc>
          <w:tcPr>
            <w:tcW w:w="1564" w:type="dxa"/>
            <w:tcBorders>
              <w:top w:val="single" w:sz="8" w:space="0" w:color="000000"/>
            </w:tcBorders>
          </w:tcPr>
          <w:p w14:paraId="0D38C834" w14:textId="77777777" w:rsidR="00FA4AA8" w:rsidRDefault="00FA4AA8">
            <w:pPr>
              <w:pStyle w:val="TableParagraph"/>
              <w:spacing w:before="3"/>
              <w:rPr>
                <w:b/>
                <w:sz w:val="25"/>
              </w:rPr>
            </w:pPr>
          </w:p>
          <w:p w14:paraId="56652504" w14:textId="77777777" w:rsidR="00FA4AA8" w:rsidRDefault="0015611F">
            <w:pPr>
              <w:pStyle w:val="TableParagraph"/>
              <w:ind w:right="351"/>
              <w:jc w:val="right"/>
              <w:rPr>
                <w:b/>
                <w:sz w:val="18"/>
              </w:rPr>
            </w:pPr>
            <w:r>
              <w:rPr>
                <w:b/>
                <w:sz w:val="18"/>
              </w:rPr>
              <w:t>76,083</w:t>
            </w:r>
          </w:p>
        </w:tc>
        <w:tc>
          <w:tcPr>
            <w:tcW w:w="1030" w:type="dxa"/>
            <w:tcBorders>
              <w:top w:val="single" w:sz="8" w:space="0" w:color="000000"/>
            </w:tcBorders>
          </w:tcPr>
          <w:p w14:paraId="0149F827" w14:textId="77777777" w:rsidR="00FA4AA8" w:rsidRDefault="00FA4AA8">
            <w:pPr>
              <w:pStyle w:val="TableParagraph"/>
              <w:spacing w:before="3"/>
              <w:rPr>
                <w:b/>
                <w:sz w:val="25"/>
              </w:rPr>
            </w:pPr>
          </w:p>
          <w:p w14:paraId="0DC1A0A6" w14:textId="77777777" w:rsidR="00FA4AA8" w:rsidRDefault="0015611F">
            <w:pPr>
              <w:pStyle w:val="TableParagraph"/>
              <w:ind w:left="395"/>
              <w:rPr>
                <w:sz w:val="18"/>
              </w:rPr>
            </w:pPr>
            <w:r>
              <w:rPr>
                <w:sz w:val="18"/>
              </w:rPr>
              <w:t>28,288</w:t>
            </w:r>
          </w:p>
        </w:tc>
      </w:tr>
      <w:tr w:rsidR="00FA4AA8" w14:paraId="1C4773BC" w14:textId="77777777">
        <w:trPr>
          <w:trHeight w:val="264"/>
        </w:trPr>
        <w:tc>
          <w:tcPr>
            <w:tcW w:w="297" w:type="dxa"/>
          </w:tcPr>
          <w:p w14:paraId="2EC95A4D" w14:textId="77777777" w:rsidR="00FA4AA8" w:rsidRDefault="00FA4AA8">
            <w:pPr>
              <w:pStyle w:val="TableParagraph"/>
              <w:rPr>
                <w:rFonts w:ascii="Times New Roman"/>
                <w:sz w:val="18"/>
              </w:rPr>
            </w:pPr>
          </w:p>
        </w:tc>
        <w:tc>
          <w:tcPr>
            <w:tcW w:w="5136" w:type="dxa"/>
          </w:tcPr>
          <w:p w14:paraId="7D9A09E5" w14:textId="77777777" w:rsidR="00FA4AA8" w:rsidRDefault="0015611F">
            <w:pPr>
              <w:pStyle w:val="TableParagraph"/>
              <w:spacing w:before="25"/>
              <w:ind w:left="193"/>
              <w:rPr>
                <w:sz w:val="18"/>
              </w:rPr>
            </w:pPr>
            <w:r>
              <w:rPr>
                <w:sz w:val="18"/>
              </w:rPr>
              <w:t>Accrued interest</w:t>
            </w:r>
          </w:p>
        </w:tc>
        <w:tc>
          <w:tcPr>
            <w:tcW w:w="1937" w:type="dxa"/>
          </w:tcPr>
          <w:p w14:paraId="197A92CD" w14:textId="77777777" w:rsidR="00FA4AA8" w:rsidRDefault="00FA4AA8">
            <w:pPr>
              <w:pStyle w:val="TableParagraph"/>
              <w:rPr>
                <w:rFonts w:ascii="Times New Roman"/>
                <w:sz w:val="18"/>
              </w:rPr>
            </w:pPr>
          </w:p>
        </w:tc>
        <w:tc>
          <w:tcPr>
            <w:tcW w:w="1564" w:type="dxa"/>
          </w:tcPr>
          <w:p w14:paraId="0E5E78A6" w14:textId="77777777" w:rsidR="00FA4AA8" w:rsidRDefault="0015611F">
            <w:pPr>
              <w:pStyle w:val="TableParagraph"/>
              <w:spacing w:before="26"/>
              <w:ind w:right="351"/>
              <w:jc w:val="right"/>
              <w:rPr>
                <w:b/>
                <w:sz w:val="18"/>
              </w:rPr>
            </w:pPr>
            <w:r>
              <w:rPr>
                <w:b/>
                <w:sz w:val="18"/>
              </w:rPr>
              <w:t>1,623</w:t>
            </w:r>
          </w:p>
        </w:tc>
        <w:tc>
          <w:tcPr>
            <w:tcW w:w="1030" w:type="dxa"/>
          </w:tcPr>
          <w:p w14:paraId="5947384B" w14:textId="77777777" w:rsidR="00FA4AA8" w:rsidRDefault="0015611F">
            <w:pPr>
              <w:pStyle w:val="TableParagraph"/>
              <w:spacing w:before="26"/>
              <w:ind w:right="84"/>
              <w:jc w:val="right"/>
              <w:rPr>
                <w:sz w:val="18"/>
              </w:rPr>
            </w:pPr>
            <w:r>
              <w:rPr>
                <w:sz w:val="18"/>
              </w:rPr>
              <w:t>965</w:t>
            </w:r>
          </w:p>
        </w:tc>
      </w:tr>
      <w:tr w:rsidR="00FA4AA8" w14:paraId="09CF9B2D" w14:textId="77777777">
        <w:trPr>
          <w:trHeight w:val="259"/>
        </w:trPr>
        <w:tc>
          <w:tcPr>
            <w:tcW w:w="297" w:type="dxa"/>
          </w:tcPr>
          <w:p w14:paraId="7C2FA8A4" w14:textId="77777777" w:rsidR="00FA4AA8" w:rsidRDefault="00FA4AA8">
            <w:pPr>
              <w:pStyle w:val="TableParagraph"/>
              <w:rPr>
                <w:rFonts w:ascii="Times New Roman"/>
                <w:sz w:val="18"/>
              </w:rPr>
            </w:pPr>
          </w:p>
        </w:tc>
        <w:tc>
          <w:tcPr>
            <w:tcW w:w="5136" w:type="dxa"/>
          </w:tcPr>
          <w:p w14:paraId="4B65A85E" w14:textId="77777777" w:rsidR="00FA4AA8" w:rsidRDefault="0015611F">
            <w:pPr>
              <w:pStyle w:val="TableParagraph"/>
              <w:spacing w:before="26"/>
              <w:ind w:left="193"/>
              <w:rPr>
                <w:sz w:val="18"/>
              </w:rPr>
            </w:pPr>
            <w:r>
              <w:rPr>
                <w:sz w:val="18"/>
              </w:rPr>
              <w:t>Other receivables</w:t>
            </w:r>
          </w:p>
        </w:tc>
        <w:tc>
          <w:tcPr>
            <w:tcW w:w="1937" w:type="dxa"/>
          </w:tcPr>
          <w:p w14:paraId="15F903AE" w14:textId="77777777" w:rsidR="00FA4AA8" w:rsidRDefault="00FA4AA8">
            <w:pPr>
              <w:pStyle w:val="TableParagraph"/>
              <w:rPr>
                <w:rFonts w:ascii="Times New Roman"/>
                <w:sz w:val="18"/>
              </w:rPr>
            </w:pPr>
          </w:p>
        </w:tc>
        <w:tc>
          <w:tcPr>
            <w:tcW w:w="1564" w:type="dxa"/>
            <w:tcBorders>
              <w:bottom w:val="single" w:sz="8" w:space="0" w:color="000000"/>
            </w:tcBorders>
          </w:tcPr>
          <w:p w14:paraId="0D0EE269" w14:textId="77777777" w:rsidR="00FA4AA8" w:rsidRDefault="0015611F">
            <w:pPr>
              <w:pStyle w:val="TableParagraph"/>
              <w:spacing w:before="25"/>
              <w:ind w:right="351"/>
              <w:jc w:val="right"/>
              <w:rPr>
                <w:b/>
                <w:sz w:val="18"/>
              </w:rPr>
            </w:pPr>
            <w:r>
              <w:rPr>
                <w:b/>
                <w:sz w:val="18"/>
              </w:rPr>
              <w:t>-</w:t>
            </w:r>
          </w:p>
        </w:tc>
        <w:tc>
          <w:tcPr>
            <w:tcW w:w="1030" w:type="dxa"/>
            <w:tcBorders>
              <w:bottom w:val="single" w:sz="8" w:space="0" w:color="000000"/>
            </w:tcBorders>
          </w:tcPr>
          <w:p w14:paraId="0F109277" w14:textId="77777777" w:rsidR="00FA4AA8" w:rsidRDefault="0015611F">
            <w:pPr>
              <w:pStyle w:val="TableParagraph"/>
              <w:spacing w:before="25"/>
              <w:ind w:right="83"/>
              <w:jc w:val="right"/>
              <w:rPr>
                <w:sz w:val="18"/>
              </w:rPr>
            </w:pPr>
            <w:r>
              <w:rPr>
                <w:sz w:val="18"/>
              </w:rPr>
              <w:t>2,111</w:t>
            </w:r>
          </w:p>
        </w:tc>
      </w:tr>
      <w:tr w:rsidR="00FA4AA8" w14:paraId="055C47AD" w14:textId="77777777">
        <w:trPr>
          <w:trHeight w:val="313"/>
        </w:trPr>
        <w:tc>
          <w:tcPr>
            <w:tcW w:w="297" w:type="dxa"/>
          </w:tcPr>
          <w:p w14:paraId="7C80CCCF" w14:textId="77777777" w:rsidR="00FA4AA8" w:rsidRDefault="00FA4AA8">
            <w:pPr>
              <w:pStyle w:val="TableParagraph"/>
              <w:rPr>
                <w:rFonts w:ascii="Times New Roman"/>
                <w:sz w:val="18"/>
              </w:rPr>
            </w:pPr>
          </w:p>
        </w:tc>
        <w:tc>
          <w:tcPr>
            <w:tcW w:w="5136" w:type="dxa"/>
          </w:tcPr>
          <w:p w14:paraId="743E1BA1" w14:textId="77777777" w:rsidR="00FA4AA8" w:rsidRDefault="0015611F">
            <w:pPr>
              <w:pStyle w:val="TableParagraph"/>
              <w:spacing w:before="113" w:line="180" w:lineRule="exact"/>
              <w:ind w:left="193"/>
              <w:rPr>
                <w:b/>
                <w:sz w:val="18"/>
              </w:rPr>
            </w:pPr>
            <w:r>
              <w:rPr>
                <w:b/>
                <w:sz w:val="18"/>
              </w:rPr>
              <w:t>Total current trade and other receivables</w:t>
            </w:r>
          </w:p>
        </w:tc>
        <w:tc>
          <w:tcPr>
            <w:tcW w:w="1937" w:type="dxa"/>
          </w:tcPr>
          <w:p w14:paraId="0DB6E833" w14:textId="77777777" w:rsidR="00FA4AA8" w:rsidRDefault="00FA4AA8">
            <w:pPr>
              <w:pStyle w:val="TableParagraph"/>
              <w:rPr>
                <w:rFonts w:ascii="Times New Roman"/>
                <w:sz w:val="18"/>
              </w:rPr>
            </w:pPr>
          </w:p>
        </w:tc>
        <w:tc>
          <w:tcPr>
            <w:tcW w:w="1564" w:type="dxa"/>
            <w:tcBorders>
              <w:top w:val="single" w:sz="8" w:space="0" w:color="000000"/>
              <w:bottom w:val="double" w:sz="3" w:space="0" w:color="000000"/>
            </w:tcBorders>
          </w:tcPr>
          <w:p w14:paraId="3CF6B7FB" w14:textId="77777777" w:rsidR="00FA4AA8" w:rsidRDefault="0015611F">
            <w:pPr>
              <w:pStyle w:val="TableParagraph"/>
              <w:spacing w:before="113" w:line="180" w:lineRule="exact"/>
              <w:ind w:right="351"/>
              <w:jc w:val="right"/>
              <w:rPr>
                <w:b/>
                <w:sz w:val="18"/>
              </w:rPr>
            </w:pPr>
            <w:r>
              <w:rPr>
                <w:b/>
                <w:sz w:val="18"/>
              </w:rPr>
              <w:t>277,112</w:t>
            </w:r>
          </w:p>
        </w:tc>
        <w:tc>
          <w:tcPr>
            <w:tcW w:w="1030" w:type="dxa"/>
            <w:tcBorders>
              <w:top w:val="single" w:sz="8" w:space="0" w:color="000000"/>
              <w:bottom w:val="double" w:sz="3" w:space="0" w:color="000000"/>
            </w:tcBorders>
          </w:tcPr>
          <w:p w14:paraId="5FFCEEA6" w14:textId="77777777" w:rsidR="00FA4AA8" w:rsidRDefault="0015611F">
            <w:pPr>
              <w:pStyle w:val="TableParagraph"/>
              <w:spacing w:before="113" w:line="180" w:lineRule="exact"/>
              <w:ind w:left="295"/>
              <w:rPr>
                <w:sz w:val="18"/>
              </w:rPr>
            </w:pPr>
            <w:r>
              <w:rPr>
                <w:sz w:val="18"/>
              </w:rPr>
              <w:t>429,588</w:t>
            </w:r>
          </w:p>
        </w:tc>
      </w:tr>
      <w:tr w:rsidR="00FA4AA8" w14:paraId="0C86A1E2" w14:textId="77777777">
        <w:trPr>
          <w:trHeight w:val="509"/>
        </w:trPr>
        <w:tc>
          <w:tcPr>
            <w:tcW w:w="297" w:type="dxa"/>
          </w:tcPr>
          <w:p w14:paraId="40366481" w14:textId="77777777" w:rsidR="00FA4AA8" w:rsidRDefault="00FA4AA8">
            <w:pPr>
              <w:pStyle w:val="TableParagraph"/>
              <w:rPr>
                <w:rFonts w:ascii="Times New Roman"/>
                <w:sz w:val="18"/>
              </w:rPr>
            </w:pPr>
          </w:p>
        </w:tc>
        <w:tc>
          <w:tcPr>
            <w:tcW w:w="5136" w:type="dxa"/>
          </w:tcPr>
          <w:p w14:paraId="01BA8C99" w14:textId="77777777" w:rsidR="00FA4AA8" w:rsidRDefault="00FA4AA8">
            <w:pPr>
              <w:pStyle w:val="TableParagraph"/>
              <w:spacing w:before="3"/>
              <w:rPr>
                <w:b/>
                <w:sz w:val="26"/>
              </w:rPr>
            </w:pPr>
          </w:p>
          <w:p w14:paraId="6CB073FD" w14:textId="77777777" w:rsidR="00FA4AA8" w:rsidRDefault="0015611F">
            <w:pPr>
              <w:pStyle w:val="TableParagraph"/>
              <w:spacing w:line="187" w:lineRule="exact"/>
              <w:ind w:left="147"/>
              <w:rPr>
                <w:i/>
                <w:sz w:val="18"/>
              </w:rPr>
            </w:pPr>
            <w:r>
              <w:rPr>
                <w:i/>
                <w:sz w:val="18"/>
                <w:u w:val="single"/>
              </w:rPr>
              <w:t>Accounting Policy</w:t>
            </w:r>
          </w:p>
        </w:tc>
        <w:tc>
          <w:tcPr>
            <w:tcW w:w="1937" w:type="dxa"/>
          </w:tcPr>
          <w:p w14:paraId="485EA9C6" w14:textId="77777777" w:rsidR="00FA4AA8" w:rsidRDefault="00FA4AA8">
            <w:pPr>
              <w:pStyle w:val="TableParagraph"/>
              <w:rPr>
                <w:rFonts w:ascii="Times New Roman"/>
                <w:sz w:val="18"/>
              </w:rPr>
            </w:pPr>
          </w:p>
        </w:tc>
        <w:tc>
          <w:tcPr>
            <w:tcW w:w="1564" w:type="dxa"/>
            <w:tcBorders>
              <w:top w:val="double" w:sz="3" w:space="0" w:color="000000"/>
            </w:tcBorders>
          </w:tcPr>
          <w:p w14:paraId="72A3DAE2" w14:textId="77777777" w:rsidR="00FA4AA8" w:rsidRDefault="00FA4AA8">
            <w:pPr>
              <w:pStyle w:val="TableParagraph"/>
              <w:rPr>
                <w:rFonts w:ascii="Times New Roman"/>
                <w:sz w:val="18"/>
              </w:rPr>
            </w:pPr>
          </w:p>
        </w:tc>
        <w:tc>
          <w:tcPr>
            <w:tcW w:w="1030" w:type="dxa"/>
            <w:tcBorders>
              <w:top w:val="double" w:sz="3" w:space="0" w:color="000000"/>
            </w:tcBorders>
          </w:tcPr>
          <w:p w14:paraId="1310F4A9" w14:textId="77777777" w:rsidR="00FA4AA8" w:rsidRDefault="00FA4AA8">
            <w:pPr>
              <w:pStyle w:val="TableParagraph"/>
              <w:rPr>
                <w:rFonts w:ascii="Times New Roman"/>
                <w:sz w:val="18"/>
              </w:rPr>
            </w:pPr>
          </w:p>
        </w:tc>
      </w:tr>
    </w:tbl>
    <w:p w14:paraId="23FD0E34" w14:textId="77777777" w:rsidR="00FA4AA8" w:rsidRDefault="00FA4AA8">
      <w:pPr>
        <w:pStyle w:val="BodyText"/>
        <w:spacing w:before="2"/>
        <w:rPr>
          <w:b/>
          <w:sz w:val="17"/>
        </w:rPr>
      </w:pPr>
    </w:p>
    <w:p w14:paraId="3E16B616" w14:textId="77777777" w:rsidR="00FA4AA8" w:rsidRDefault="0015611F">
      <w:pPr>
        <w:pStyle w:val="BodyText"/>
        <w:spacing w:before="94"/>
        <w:ind w:left="565" w:right="125"/>
      </w:pPr>
      <w:r>
        <w:t>Trade receivables are recognised initially at fair value and subsequently measured at amortised cost using the effective interest method, less provision for impairment. The Company's standard terms of trade receivables is 14 days from the date of recognition. They are presented as current assets unless collection is not expected for more than 12 months after the reporting date.</w:t>
      </w:r>
    </w:p>
    <w:p w14:paraId="085431A1" w14:textId="77777777" w:rsidR="00FA4AA8" w:rsidRDefault="00FA4AA8">
      <w:pPr>
        <w:pStyle w:val="BodyText"/>
        <w:spacing w:before="10"/>
        <w:rPr>
          <w:sz w:val="24"/>
        </w:rPr>
      </w:pPr>
    </w:p>
    <w:p w14:paraId="2100937B" w14:textId="77777777" w:rsidR="00FA4AA8" w:rsidRDefault="0015611F">
      <w:pPr>
        <w:pStyle w:val="BodyText"/>
        <w:ind w:left="565" w:right="256"/>
      </w:pPr>
      <w:r>
        <w:t>For trade receivables the Company applies a simplified approach in calculating expected credit losses ("ECLs"). Therefore, the Company does not track changes in credit risk, but instead recognises a loss allowance based on lifetime ECLs at each reporting date. The Company has established a provision matrix that is based on its historical credit</w:t>
      </w:r>
      <w:r>
        <w:rPr>
          <w:spacing w:val="-7"/>
        </w:rPr>
        <w:t xml:space="preserve"> </w:t>
      </w:r>
      <w:r>
        <w:t>loss</w:t>
      </w:r>
      <w:r>
        <w:rPr>
          <w:spacing w:val="-6"/>
        </w:rPr>
        <w:t xml:space="preserve"> </w:t>
      </w:r>
      <w:r>
        <w:t>experience,</w:t>
      </w:r>
      <w:r>
        <w:rPr>
          <w:spacing w:val="-7"/>
        </w:rPr>
        <w:t xml:space="preserve"> </w:t>
      </w:r>
      <w:r>
        <w:t>adjusted</w:t>
      </w:r>
      <w:r>
        <w:rPr>
          <w:spacing w:val="-6"/>
        </w:rPr>
        <w:t xml:space="preserve"> </w:t>
      </w:r>
      <w:r>
        <w:t>for</w:t>
      </w:r>
      <w:r>
        <w:rPr>
          <w:spacing w:val="-6"/>
        </w:rPr>
        <w:t xml:space="preserve"> </w:t>
      </w:r>
      <w:r>
        <w:t>forward-looking</w:t>
      </w:r>
      <w:r>
        <w:rPr>
          <w:spacing w:val="-7"/>
        </w:rPr>
        <w:t xml:space="preserve"> </w:t>
      </w:r>
      <w:r>
        <w:t>factors</w:t>
      </w:r>
      <w:r>
        <w:rPr>
          <w:spacing w:val="-6"/>
        </w:rPr>
        <w:t xml:space="preserve"> </w:t>
      </w:r>
      <w:r>
        <w:t>specific</w:t>
      </w:r>
      <w:r>
        <w:rPr>
          <w:spacing w:val="-7"/>
        </w:rPr>
        <w:t xml:space="preserve"> </w:t>
      </w:r>
      <w:r>
        <w:t>to</w:t>
      </w:r>
      <w:r>
        <w:rPr>
          <w:spacing w:val="-6"/>
        </w:rPr>
        <w:t xml:space="preserve"> </w:t>
      </w:r>
      <w:r>
        <w:t>the</w:t>
      </w:r>
      <w:r>
        <w:rPr>
          <w:spacing w:val="-6"/>
        </w:rPr>
        <w:t xml:space="preserve"> </w:t>
      </w:r>
      <w:r>
        <w:t>debtors</w:t>
      </w:r>
      <w:r>
        <w:rPr>
          <w:spacing w:val="-7"/>
        </w:rPr>
        <w:t xml:space="preserve"> </w:t>
      </w:r>
      <w:r>
        <w:t>and</w:t>
      </w:r>
      <w:r>
        <w:rPr>
          <w:spacing w:val="-6"/>
        </w:rPr>
        <w:t xml:space="preserve"> </w:t>
      </w:r>
      <w:r>
        <w:t>the</w:t>
      </w:r>
      <w:r>
        <w:rPr>
          <w:spacing w:val="-7"/>
        </w:rPr>
        <w:t xml:space="preserve"> </w:t>
      </w:r>
      <w:r>
        <w:t>economic</w:t>
      </w:r>
      <w:r>
        <w:rPr>
          <w:spacing w:val="-6"/>
        </w:rPr>
        <w:t xml:space="preserve"> </w:t>
      </w:r>
      <w:r>
        <w:t>environment.</w:t>
      </w:r>
      <w:r>
        <w:rPr>
          <w:spacing w:val="-6"/>
        </w:rPr>
        <w:t xml:space="preserve"> </w:t>
      </w:r>
      <w:r>
        <w:t>The amount of provision is recognised in the statement of comprehensive</w:t>
      </w:r>
      <w:r>
        <w:rPr>
          <w:spacing w:val="-18"/>
        </w:rPr>
        <w:t xml:space="preserve"> </w:t>
      </w:r>
      <w:r>
        <w:t>income.</w:t>
      </w:r>
    </w:p>
    <w:p w14:paraId="2E268CAF" w14:textId="77777777" w:rsidR="00FA4AA8" w:rsidRDefault="00FA4AA8">
      <w:pPr>
        <w:pStyle w:val="BodyText"/>
        <w:spacing w:before="9"/>
        <w:rPr>
          <w:sz w:val="24"/>
        </w:rPr>
      </w:pPr>
    </w:p>
    <w:p w14:paraId="17EFD57E" w14:textId="77777777" w:rsidR="00FA4AA8" w:rsidRDefault="0015611F">
      <w:pPr>
        <w:pStyle w:val="BodyText"/>
        <w:ind w:left="565"/>
      </w:pPr>
      <w:r>
        <w:t>Refer</w:t>
      </w:r>
      <w:r>
        <w:rPr>
          <w:spacing w:val="-6"/>
        </w:rPr>
        <w:t xml:space="preserve"> </w:t>
      </w:r>
      <w:r>
        <w:t>to</w:t>
      </w:r>
      <w:r>
        <w:rPr>
          <w:spacing w:val="-6"/>
        </w:rPr>
        <w:t xml:space="preserve"> </w:t>
      </w:r>
      <w:r>
        <w:t>note</w:t>
      </w:r>
      <w:r>
        <w:rPr>
          <w:spacing w:val="-5"/>
        </w:rPr>
        <w:t xml:space="preserve"> </w:t>
      </w:r>
      <w:r>
        <w:t>15(d)</w:t>
      </w:r>
      <w:r>
        <w:rPr>
          <w:spacing w:val="-4"/>
        </w:rPr>
        <w:t xml:space="preserve"> </w:t>
      </w:r>
      <w:r>
        <w:t>for</w:t>
      </w:r>
      <w:r>
        <w:rPr>
          <w:spacing w:val="-6"/>
        </w:rPr>
        <w:t xml:space="preserve"> </w:t>
      </w:r>
      <w:r>
        <w:t>policies</w:t>
      </w:r>
      <w:r>
        <w:rPr>
          <w:spacing w:val="-6"/>
        </w:rPr>
        <w:t xml:space="preserve"> </w:t>
      </w:r>
      <w:r>
        <w:t>on</w:t>
      </w:r>
      <w:r>
        <w:rPr>
          <w:spacing w:val="-5"/>
        </w:rPr>
        <w:t xml:space="preserve"> </w:t>
      </w:r>
      <w:r>
        <w:t>the</w:t>
      </w:r>
      <w:r>
        <w:rPr>
          <w:spacing w:val="-6"/>
        </w:rPr>
        <w:t xml:space="preserve"> </w:t>
      </w:r>
      <w:r>
        <w:t>classification</w:t>
      </w:r>
      <w:r>
        <w:rPr>
          <w:spacing w:val="-6"/>
        </w:rPr>
        <w:t xml:space="preserve"> </w:t>
      </w:r>
      <w:r>
        <w:t>of</w:t>
      </w:r>
      <w:r>
        <w:rPr>
          <w:spacing w:val="-5"/>
        </w:rPr>
        <w:t xml:space="preserve"> </w:t>
      </w:r>
      <w:r>
        <w:t>Loans</w:t>
      </w:r>
      <w:r>
        <w:rPr>
          <w:spacing w:val="-6"/>
        </w:rPr>
        <w:t xml:space="preserve"> </w:t>
      </w:r>
      <w:r>
        <w:t>and</w:t>
      </w:r>
      <w:r>
        <w:rPr>
          <w:spacing w:val="-5"/>
        </w:rPr>
        <w:t xml:space="preserve"> </w:t>
      </w:r>
      <w:r>
        <w:t>receivables.</w:t>
      </w:r>
    </w:p>
    <w:p w14:paraId="66DDF3ED" w14:textId="77777777" w:rsidR="00FA4AA8" w:rsidRDefault="00FA4AA8">
      <w:pPr>
        <w:sectPr w:rsidR="00FA4AA8">
          <w:pgSz w:w="11910" w:h="16840"/>
          <w:pgMar w:top="1720" w:right="840" w:bottom="720" w:left="840" w:header="1017" w:footer="523" w:gutter="0"/>
          <w:cols w:space="720"/>
        </w:sectPr>
      </w:pPr>
    </w:p>
    <w:p w14:paraId="6BE3AAEE" w14:textId="77777777" w:rsidR="00FA4AA8" w:rsidRDefault="00FA4AA8">
      <w:pPr>
        <w:pStyle w:val="BodyText"/>
        <w:spacing w:before="6"/>
        <w:rPr>
          <w:sz w:val="21"/>
        </w:rPr>
      </w:pPr>
    </w:p>
    <w:p w14:paraId="18215284" w14:textId="77777777" w:rsidR="00FA4AA8" w:rsidRDefault="0015611F">
      <w:pPr>
        <w:pStyle w:val="Heading2"/>
      </w:pPr>
      <w:r>
        <w:t>Notes to the Financial Statements</w:t>
      </w:r>
    </w:p>
    <w:p w14:paraId="516754B7" w14:textId="77777777" w:rsidR="00FA4AA8" w:rsidRDefault="0015611F">
      <w:pPr>
        <w:pStyle w:val="Heading6"/>
        <w:spacing w:before="57"/>
        <w:ind w:left="167"/>
      </w:pPr>
      <w:bookmarkStart w:id="121" w:name="(a)_Provision_for_impairment_of_receivab"/>
      <w:bookmarkEnd w:id="121"/>
      <w:r>
        <w:t>For the Year Ended 31 December 2018</w:t>
      </w:r>
    </w:p>
    <w:p w14:paraId="0429C441" w14:textId="77777777" w:rsidR="00FA4AA8" w:rsidRDefault="00FA4AA8">
      <w:pPr>
        <w:pStyle w:val="BodyText"/>
        <w:rPr>
          <w:b/>
          <w:sz w:val="24"/>
        </w:rPr>
      </w:pPr>
    </w:p>
    <w:p w14:paraId="515AA7F0" w14:textId="77777777" w:rsidR="00FA4AA8" w:rsidRDefault="00FA4AA8">
      <w:pPr>
        <w:pStyle w:val="BodyText"/>
        <w:rPr>
          <w:b/>
          <w:sz w:val="34"/>
        </w:rPr>
      </w:pPr>
    </w:p>
    <w:p w14:paraId="1DE9701E" w14:textId="77777777" w:rsidR="00FA4AA8" w:rsidRDefault="0015611F">
      <w:pPr>
        <w:tabs>
          <w:tab w:val="left" w:pos="563"/>
        </w:tabs>
        <w:ind w:left="167"/>
        <w:rPr>
          <w:b/>
          <w:sz w:val="18"/>
        </w:rPr>
      </w:pPr>
      <w:r>
        <w:rPr>
          <w:b/>
          <w:sz w:val="18"/>
        </w:rPr>
        <w:t>6</w:t>
      </w:r>
      <w:r>
        <w:rPr>
          <w:b/>
          <w:sz w:val="18"/>
        </w:rPr>
        <w:tab/>
        <w:t>Trade and other receivables</w:t>
      </w:r>
      <w:r>
        <w:rPr>
          <w:b/>
          <w:spacing w:val="-2"/>
          <w:sz w:val="18"/>
        </w:rPr>
        <w:t xml:space="preserve"> </w:t>
      </w:r>
      <w:r>
        <w:rPr>
          <w:b/>
          <w:sz w:val="18"/>
        </w:rPr>
        <w:t>(continued)</w:t>
      </w:r>
    </w:p>
    <w:p w14:paraId="1F7EDEC8" w14:textId="77777777" w:rsidR="00FA4AA8" w:rsidRDefault="00FA4AA8">
      <w:pPr>
        <w:pStyle w:val="BodyText"/>
        <w:spacing w:before="7"/>
        <w:rPr>
          <w:b/>
          <w:sz w:val="26"/>
        </w:rPr>
      </w:pPr>
    </w:p>
    <w:p w14:paraId="613554C1" w14:textId="77777777" w:rsidR="00FA4AA8" w:rsidRDefault="0015611F">
      <w:pPr>
        <w:pStyle w:val="ListParagraph"/>
        <w:numPr>
          <w:ilvl w:val="0"/>
          <w:numId w:val="10"/>
        </w:numPr>
        <w:tabs>
          <w:tab w:val="left" w:pos="1131"/>
          <w:tab w:val="left" w:pos="1132"/>
        </w:tabs>
        <w:rPr>
          <w:b/>
          <w:sz w:val="18"/>
        </w:rPr>
      </w:pPr>
      <w:r>
        <w:rPr>
          <w:b/>
          <w:sz w:val="18"/>
        </w:rPr>
        <w:t>Provision for impairment of</w:t>
      </w:r>
      <w:r>
        <w:rPr>
          <w:b/>
          <w:spacing w:val="-1"/>
          <w:sz w:val="18"/>
        </w:rPr>
        <w:t xml:space="preserve"> </w:t>
      </w:r>
      <w:r>
        <w:rPr>
          <w:b/>
          <w:sz w:val="18"/>
        </w:rPr>
        <w:t>receivables</w:t>
      </w:r>
    </w:p>
    <w:p w14:paraId="56014F7F" w14:textId="77777777" w:rsidR="00FA4AA8" w:rsidRDefault="00FA4AA8">
      <w:pPr>
        <w:pStyle w:val="BodyText"/>
        <w:spacing w:before="5"/>
        <w:rPr>
          <w:b/>
          <w:sz w:val="25"/>
        </w:rPr>
      </w:pPr>
    </w:p>
    <w:p w14:paraId="0B539DBF" w14:textId="77777777" w:rsidR="00FA4AA8" w:rsidRDefault="0015611F">
      <w:pPr>
        <w:pStyle w:val="BodyText"/>
        <w:ind w:left="1132"/>
      </w:pPr>
      <w:r>
        <w:t>Set out below is the movement in the allowance for expected credit losses of trade receivables:</w:t>
      </w:r>
    </w:p>
    <w:p w14:paraId="21D75D5D" w14:textId="77777777" w:rsidR="00FA4AA8" w:rsidRDefault="00FA4AA8">
      <w:pPr>
        <w:pStyle w:val="BodyText"/>
        <w:rPr>
          <w:sz w:val="20"/>
        </w:rPr>
      </w:pPr>
    </w:p>
    <w:p w14:paraId="5E257C5E" w14:textId="77777777" w:rsidR="00FA4AA8" w:rsidRDefault="00FA4AA8">
      <w:pPr>
        <w:pStyle w:val="BodyText"/>
        <w:spacing w:before="4"/>
        <w:rPr>
          <w:sz w:val="26"/>
        </w:rPr>
      </w:pPr>
    </w:p>
    <w:tbl>
      <w:tblPr>
        <w:tblW w:w="0" w:type="auto"/>
        <w:tblInd w:w="1090" w:type="dxa"/>
        <w:tblLayout w:type="fixed"/>
        <w:tblCellMar>
          <w:left w:w="0" w:type="dxa"/>
          <w:right w:w="0" w:type="dxa"/>
        </w:tblCellMar>
        <w:tblLook w:val="01E0" w:firstRow="1" w:lastRow="1" w:firstColumn="1" w:lastColumn="1" w:noHBand="0" w:noVBand="0"/>
      </w:tblPr>
      <w:tblGrid>
        <w:gridCol w:w="6409"/>
        <w:gridCol w:w="1583"/>
        <w:gridCol w:w="1012"/>
      </w:tblGrid>
      <w:tr w:rsidR="00FA4AA8" w14:paraId="46AD6BFF" w14:textId="77777777">
        <w:trPr>
          <w:trHeight w:val="508"/>
        </w:trPr>
        <w:tc>
          <w:tcPr>
            <w:tcW w:w="6409" w:type="dxa"/>
          </w:tcPr>
          <w:p w14:paraId="5F211C34" w14:textId="77777777" w:rsidR="00FA4AA8" w:rsidRDefault="00FA4AA8">
            <w:pPr>
              <w:pStyle w:val="TableParagraph"/>
              <w:rPr>
                <w:rFonts w:ascii="Times New Roman"/>
                <w:sz w:val="18"/>
              </w:rPr>
            </w:pPr>
          </w:p>
        </w:tc>
        <w:tc>
          <w:tcPr>
            <w:tcW w:w="1583" w:type="dxa"/>
          </w:tcPr>
          <w:p w14:paraId="1443F2FA" w14:textId="77777777" w:rsidR="00FA4AA8" w:rsidRDefault="0015611F">
            <w:pPr>
              <w:pStyle w:val="TableParagraph"/>
              <w:spacing w:line="201" w:lineRule="exact"/>
              <w:ind w:right="532"/>
              <w:jc w:val="right"/>
              <w:rPr>
                <w:b/>
                <w:sz w:val="18"/>
              </w:rPr>
            </w:pPr>
            <w:r>
              <w:rPr>
                <w:b/>
                <w:sz w:val="18"/>
              </w:rPr>
              <w:t>2018</w:t>
            </w:r>
          </w:p>
          <w:p w14:paraId="0DCD0C82" w14:textId="77777777" w:rsidR="00FA4AA8" w:rsidRDefault="0015611F">
            <w:pPr>
              <w:pStyle w:val="TableParagraph"/>
              <w:spacing w:before="66"/>
              <w:ind w:right="579"/>
              <w:jc w:val="right"/>
              <w:rPr>
                <w:b/>
                <w:sz w:val="18"/>
              </w:rPr>
            </w:pPr>
            <w:r>
              <w:rPr>
                <w:b/>
                <w:sz w:val="18"/>
              </w:rPr>
              <w:t>$</w:t>
            </w:r>
          </w:p>
        </w:tc>
        <w:tc>
          <w:tcPr>
            <w:tcW w:w="1012" w:type="dxa"/>
          </w:tcPr>
          <w:p w14:paraId="0E6586BC" w14:textId="77777777" w:rsidR="00FA4AA8" w:rsidRDefault="0015611F">
            <w:pPr>
              <w:pStyle w:val="TableParagraph"/>
              <w:spacing w:line="201" w:lineRule="exact"/>
              <w:ind w:right="196"/>
              <w:jc w:val="right"/>
              <w:rPr>
                <w:b/>
                <w:sz w:val="18"/>
              </w:rPr>
            </w:pPr>
            <w:r>
              <w:rPr>
                <w:b/>
                <w:sz w:val="18"/>
              </w:rPr>
              <w:t>2017</w:t>
            </w:r>
          </w:p>
          <w:p w14:paraId="67EE93EA" w14:textId="77777777" w:rsidR="00FA4AA8" w:rsidRDefault="0015611F">
            <w:pPr>
              <w:pStyle w:val="TableParagraph"/>
              <w:spacing w:before="66"/>
              <w:ind w:right="269"/>
              <w:jc w:val="right"/>
              <w:rPr>
                <w:b/>
                <w:sz w:val="18"/>
              </w:rPr>
            </w:pPr>
            <w:r>
              <w:rPr>
                <w:b/>
                <w:sz w:val="18"/>
              </w:rPr>
              <w:t>$</w:t>
            </w:r>
          </w:p>
        </w:tc>
      </w:tr>
      <w:tr w:rsidR="00FA4AA8" w14:paraId="18A80BB7" w14:textId="77777777">
        <w:trPr>
          <w:trHeight w:val="267"/>
        </w:trPr>
        <w:tc>
          <w:tcPr>
            <w:tcW w:w="6409" w:type="dxa"/>
          </w:tcPr>
          <w:p w14:paraId="0614F65F" w14:textId="77777777" w:rsidR="00FA4AA8" w:rsidRDefault="0015611F">
            <w:pPr>
              <w:pStyle w:val="TableParagraph"/>
              <w:spacing w:before="29"/>
              <w:ind w:left="50"/>
              <w:rPr>
                <w:sz w:val="18"/>
              </w:rPr>
            </w:pPr>
            <w:r>
              <w:rPr>
                <w:sz w:val="18"/>
              </w:rPr>
              <w:t>Opening balance as at 1 January</w:t>
            </w:r>
          </w:p>
        </w:tc>
        <w:tc>
          <w:tcPr>
            <w:tcW w:w="1583" w:type="dxa"/>
          </w:tcPr>
          <w:p w14:paraId="6D3C6117" w14:textId="77777777" w:rsidR="00FA4AA8" w:rsidRDefault="0015611F">
            <w:pPr>
              <w:pStyle w:val="TableParagraph"/>
              <w:spacing w:before="28"/>
              <w:ind w:right="372"/>
              <w:jc w:val="right"/>
              <w:rPr>
                <w:b/>
                <w:sz w:val="18"/>
              </w:rPr>
            </w:pPr>
            <w:r>
              <w:rPr>
                <w:b/>
                <w:sz w:val="18"/>
              </w:rPr>
              <w:t>19,469</w:t>
            </w:r>
          </w:p>
        </w:tc>
        <w:tc>
          <w:tcPr>
            <w:tcW w:w="1012" w:type="dxa"/>
          </w:tcPr>
          <w:p w14:paraId="4065B39B" w14:textId="77777777" w:rsidR="00FA4AA8" w:rsidRDefault="0015611F">
            <w:pPr>
              <w:pStyle w:val="TableParagraph"/>
              <w:spacing w:before="28"/>
              <w:ind w:left="292" w:right="8"/>
              <w:jc w:val="center"/>
              <w:rPr>
                <w:sz w:val="18"/>
              </w:rPr>
            </w:pPr>
            <w:r>
              <w:rPr>
                <w:sz w:val="18"/>
              </w:rPr>
              <w:t>26,379</w:t>
            </w:r>
          </w:p>
        </w:tc>
      </w:tr>
      <w:tr w:rsidR="00FA4AA8" w14:paraId="16D18BB7" w14:textId="77777777">
        <w:trPr>
          <w:trHeight w:val="264"/>
        </w:trPr>
        <w:tc>
          <w:tcPr>
            <w:tcW w:w="6409" w:type="dxa"/>
          </w:tcPr>
          <w:p w14:paraId="01D62D1F" w14:textId="77777777" w:rsidR="00FA4AA8" w:rsidRDefault="0015611F">
            <w:pPr>
              <w:pStyle w:val="TableParagraph"/>
              <w:spacing w:before="26"/>
              <w:ind w:left="50"/>
              <w:rPr>
                <w:sz w:val="18"/>
              </w:rPr>
            </w:pPr>
            <w:r>
              <w:rPr>
                <w:sz w:val="18"/>
              </w:rPr>
              <w:t>Provision for expected credit losses</w:t>
            </w:r>
          </w:p>
        </w:tc>
        <w:tc>
          <w:tcPr>
            <w:tcW w:w="1583" w:type="dxa"/>
          </w:tcPr>
          <w:p w14:paraId="108DB63D" w14:textId="77777777" w:rsidR="00FA4AA8" w:rsidRDefault="0015611F">
            <w:pPr>
              <w:pStyle w:val="TableParagraph"/>
              <w:spacing w:before="25"/>
              <w:ind w:right="372"/>
              <w:jc w:val="right"/>
              <w:rPr>
                <w:b/>
                <w:sz w:val="18"/>
              </w:rPr>
            </w:pPr>
            <w:r>
              <w:rPr>
                <w:b/>
                <w:sz w:val="18"/>
              </w:rPr>
              <w:t>81,962</w:t>
            </w:r>
          </w:p>
        </w:tc>
        <w:tc>
          <w:tcPr>
            <w:tcW w:w="1012" w:type="dxa"/>
          </w:tcPr>
          <w:p w14:paraId="2794E994" w14:textId="77777777" w:rsidR="00FA4AA8" w:rsidRDefault="0015611F">
            <w:pPr>
              <w:pStyle w:val="TableParagraph"/>
              <w:spacing w:before="25"/>
              <w:ind w:left="292" w:right="8"/>
              <w:jc w:val="center"/>
              <w:rPr>
                <w:sz w:val="18"/>
              </w:rPr>
            </w:pPr>
            <w:r>
              <w:rPr>
                <w:sz w:val="18"/>
              </w:rPr>
              <w:t>27,097</w:t>
            </w:r>
          </w:p>
        </w:tc>
      </w:tr>
      <w:tr w:rsidR="00FA4AA8" w14:paraId="290902FF" w14:textId="77777777">
        <w:trPr>
          <w:trHeight w:val="258"/>
        </w:trPr>
        <w:tc>
          <w:tcPr>
            <w:tcW w:w="6409" w:type="dxa"/>
          </w:tcPr>
          <w:p w14:paraId="7FE9A0C0" w14:textId="77777777" w:rsidR="00FA4AA8" w:rsidRDefault="0015611F">
            <w:pPr>
              <w:pStyle w:val="TableParagraph"/>
              <w:spacing w:before="26"/>
              <w:ind w:left="50"/>
              <w:rPr>
                <w:sz w:val="18"/>
              </w:rPr>
            </w:pPr>
            <w:r>
              <w:rPr>
                <w:sz w:val="18"/>
              </w:rPr>
              <w:t>Write-off</w:t>
            </w:r>
          </w:p>
        </w:tc>
        <w:tc>
          <w:tcPr>
            <w:tcW w:w="1583" w:type="dxa"/>
            <w:tcBorders>
              <w:bottom w:val="single" w:sz="8" w:space="0" w:color="000000"/>
            </w:tcBorders>
          </w:tcPr>
          <w:p w14:paraId="40C8EB92" w14:textId="77777777" w:rsidR="00FA4AA8" w:rsidRDefault="0015611F">
            <w:pPr>
              <w:pStyle w:val="TableParagraph"/>
              <w:spacing w:before="25"/>
              <w:ind w:right="313"/>
              <w:jc w:val="right"/>
              <w:rPr>
                <w:b/>
                <w:sz w:val="18"/>
              </w:rPr>
            </w:pPr>
            <w:r>
              <w:rPr>
                <w:b/>
                <w:sz w:val="18"/>
              </w:rPr>
              <w:t>(3,630)</w:t>
            </w:r>
          </w:p>
        </w:tc>
        <w:tc>
          <w:tcPr>
            <w:tcW w:w="1012" w:type="dxa"/>
            <w:tcBorders>
              <w:bottom w:val="single" w:sz="8" w:space="0" w:color="000000"/>
            </w:tcBorders>
          </w:tcPr>
          <w:p w14:paraId="770229C3" w14:textId="77777777" w:rsidR="00FA4AA8" w:rsidRDefault="0015611F">
            <w:pPr>
              <w:pStyle w:val="TableParagraph"/>
              <w:spacing w:before="25"/>
              <w:ind w:left="292" w:right="8"/>
              <w:jc w:val="center"/>
              <w:rPr>
                <w:sz w:val="18"/>
              </w:rPr>
            </w:pPr>
            <w:r>
              <w:rPr>
                <w:sz w:val="18"/>
              </w:rPr>
              <w:t>(34,007)</w:t>
            </w:r>
          </w:p>
        </w:tc>
      </w:tr>
      <w:tr w:rsidR="00FA4AA8" w14:paraId="48852EE0" w14:textId="77777777">
        <w:trPr>
          <w:trHeight w:val="313"/>
        </w:trPr>
        <w:tc>
          <w:tcPr>
            <w:tcW w:w="6409" w:type="dxa"/>
          </w:tcPr>
          <w:p w14:paraId="59C4AC81" w14:textId="77777777" w:rsidR="00FA4AA8" w:rsidRDefault="0015611F">
            <w:pPr>
              <w:pStyle w:val="TableParagraph"/>
              <w:spacing w:before="113" w:line="180" w:lineRule="exact"/>
              <w:ind w:left="50"/>
              <w:rPr>
                <w:b/>
                <w:sz w:val="18"/>
              </w:rPr>
            </w:pPr>
            <w:bookmarkStart w:id="122" w:name="(b)_Receivables_past_due_but_not_impaire"/>
            <w:bookmarkEnd w:id="122"/>
            <w:r>
              <w:rPr>
                <w:b/>
                <w:sz w:val="18"/>
              </w:rPr>
              <w:t>Balance as at 31 December</w:t>
            </w:r>
          </w:p>
        </w:tc>
        <w:tc>
          <w:tcPr>
            <w:tcW w:w="1583" w:type="dxa"/>
            <w:tcBorders>
              <w:top w:val="single" w:sz="8" w:space="0" w:color="000000"/>
              <w:bottom w:val="double" w:sz="3" w:space="0" w:color="000000"/>
            </w:tcBorders>
          </w:tcPr>
          <w:p w14:paraId="691AAFB8" w14:textId="77777777" w:rsidR="00FA4AA8" w:rsidRDefault="0015611F">
            <w:pPr>
              <w:pStyle w:val="TableParagraph"/>
              <w:spacing w:before="113" w:line="180" w:lineRule="exact"/>
              <w:ind w:right="372"/>
              <w:jc w:val="right"/>
              <w:rPr>
                <w:b/>
                <w:sz w:val="18"/>
              </w:rPr>
            </w:pPr>
            <w:r>
              <w:rPr>
                <w:b/>
                <w:sz w:val="18"/>
              </w:rPr>
              <w:t>97,801</w:t>
            </w:r>
          </w:p>
        </w:tc>
        <w:tc>
          <w:tcPr>
            <w:tcW w:w="1012" w:type="dxa"/>
            <w:tcBorders>
              <w:top w:val="single" w:sz="8" w:space="0" w:color="000000"/>
              <w:bottom w:val="double" w:sz="3" w:space="0" w:color="000000"/>
            </w:tcBorders>
          </w:tcPr>
          <w:p w14:paraId="3FD42466" w14:textId="77777777" w:rsidR="00FA4AA8" w:rsidRDefault="0015611F">
            <w:pPr>
              <w:pStyle w:val="TableParagraph"/>
              <w:spacing w:before="113" w:line="180" w:lineRule="exact"/>
              <w:ind w:left="292" w:right="8"/>
              <w:jc w:val="center"/>
              <w:rPr>
                <w:sz w:val="18"/>
              </w:rPr>
            </w:pPr>
            <w:r>
              <w:rPr>
                <w:sz w:val="18"/>
              </w:rPr>
              <w:t>19,469</w:t>
            </w:r>
          </w:p>
        </w:tc>
      </w:tr>
    </w:tbl>
    <w:p w14:paraId="38642EB4" w14:textId="77777777" w:rsidR="00FA4AA8" w:rsidRDefault="00FA4AA8">
      <w:pPr>
        <w:pStyle w:val="BodyText"/>
        <w:spacing w:before="8"/>
        <w:rPr>
          <w:sz w:val="17"/>
        </w:rPr>
      </w:pPr>
    </w:p>
    <w:p w14:paraId="7660755F" w14:textId="77777777" w:rsidR="00FA4AA8" w:rsidRDefault="0015611F">
      <w:pPr>
        <w:pStyle w:val="BodyText"/>
        <w:spacing w:before="94"/>
        <w:ind w:left="1187"/>
      </w:pPr>
      <w:r>
        <w:t>The creation and release of the provision for impaired receivables has been included in the statement of comprehensive income. Amounts charged to the provision account are generally written off when there is no expectation of recovering additional cash.</w:t>
      </w:r>
    </w:p>
    <w:p w14:paraId="6D83B060" w14:textId="77777777" w:rsidR="00FA4AA8" w:rsidRDefault="00FA4AA8">
      <w:pPr>
        <w:pStyle w:val="BodyText"/>
        <w:spacing w:before="6"/>
        <w:rPr>
          <w:sz w:val="26"/>
        </w:rPr>
      </w:pPr>
    </w:p>
    <w:p w14:paraId="70123E3F" w14:textId="77777777" w:rsidR="00FA4AA8" w:rsidRDefault="0015611F">
      <w:pPr>
        <w:numPr>
          <w:ilvl w:val="0"/>
          <w:numId w:val="10"/>
        </w:numPr>
        <w:tabs>
          <w:tab w:val="left" w:pos="1131"/>
          <w:tab w:val="left" w:pos="1132"/>
        </w:tabs>
        <w:spacing w:before="1"/>
        <w:rPr>
          <w:b/>
          <w:sz w:val="18"/>
        </w:rPr>
      </w:pPr>
      <w:r>
        <w:rPr>
          <w:b/>
          <w:sz w:val="18"/>
        </w:rPr>
        <w:t>Receivables past due but not</w:t>
      </w:r>
      <w:r>
        <w:rPr>
          <w:b/>
          <w:spacing w:val="-1"/>
          <w:sz w:val="18"/>
        </w:rPr>
        <w:t xml:space="preserve"> </w:t>
      </w:r>
      <w:r>
        <w:rPr>
          <w:b/>
          <w:sz w:val="18"/>
        </w:rPr>
        <w:t>impaired</w:t>
      </w:r>
    </w:p>
    <w:p w14:paraId="06EADBF8" w14:textId="77777777" w:rsidR="00FA4AA8" w:rsidRDefault="00FA4AA8">
      <w:pPr>
        <w:pStyle w:val="BodyText"/>
        <w:spacing w:before="4"/>
        <w:rPr>
          <w:b/>
          <w:sz w:val="25"/>
        </w:rPr>
      </w:pPr>
    </w:p>
    <w:p w14:paraId="7B056DEA" w14:textId="77777777" w:rsidR="00FA4AA8" w:rsidRDefault="0015611F">
      <w:pPr>
        <w:pStyle w:val="BodyText"/>
        <w:spacing w:after="39"/>
        <w:ind w:left="1132"/>
      </w:pPr>
      <w:r>
        <w:t>These relate to a number of independent customers for whom there is no recent history of default. The ageing analysis of these receivables is as follows:</w:t>
      </w:r>
    </w:p>
    <w:tbl>
      <w:tblPr>
        <w:tblW w:w="0" w:type="auto"/>
        <w:tblInd w:w="1117" w:type="dxa"/>
        <w:tblLayout w:type="fixed"/>
        <w:tblCellMar>
          <w:left w:w="0" w:type="dxa"/>
          <w:right w:w="0" w:type="dxa"/>
        </w:tblCellMar>
        <w:tblLook w:val="01E0" w:firstRow="1" w:lastRow="1" w:firstColumn="1" w:lastColumn="1" w:noHBand="0" w:noVBand="0"/>
      </w:tblPr>
      <w:tblGrid>
        <w:gridCol w:w="6381"/>
        <w:gridCol w:w="1534"/>
        <w:gridCol w:w="1060"/>
      </w:tblGrid>
      <w:tr w:rsidR="00FA4AA8" w14:paraId="7EE0C548" w14:textId="77777777">
        <w:trPr>
          <w:trHeight w:val="508"/>
        </w:trPr>
        <w:tc>
          <w:tcPr>
            <w:tcW w:w="6381" w:type="dxa"/>
          </w:tcPr>
          <w:p w14:paraId="1A56AC63" w14:textId="77777777" w:rsidR="00FA4AA8" w:rsidRDefault="00FA4AA8">
            <w:pPr>
              <w:pStyle w:val="TableParagraph"/>
              <w:rPr>
                <w:rFonts w:ascii="Times New Roman"/>
                <w:sz w:val="18"/>
              </w:rPr>
            </w:pPr>
          </w:p>
        </w:tc>
        <w:tc>
          <w:tcPr>
            <w:tcW w:w="1534" w:type="dxa"/>
          </w:tcPr>
          <w:p w14:paraId="0A20078B" w14:textId="77777777" w:rsidR="00FA4AA8" w:rsidRDefault="0015611F">
            <w:pPr>
              <w:pStyle w:val="TableParagraph"/>
              <w:spacing w:line="201" w:lineRule="exact"/>
              <w:ind w:right="406"/>
              <w:jc w:val="right"/>
              <w:rPr>
                <w:b/>
                <w:sz w:val="18"/>
              </w:rPr>
            </w:pPr>
            <w:r>
              <w:rPr>
                <w:b/>
                <w:sz w:val="18"/>
              </w:rPr>
              <w:t>2018</w:t>
            </w:r>
          </w:p>
          <w:p w14:paraId="09CE0E1B" w14:textId="77777777" w:rsidR="00FA4AA8" w:rsidRDefault="0015611F">
            <w:pPr>
              <w:pStyle w:val="TableParagraph"/>
              <w:spacing w:before="66"/>
              <w:ind w:right="478"/>
              <w:jc w:val="right"/>
              <w:rPr>
                <w:b/>
                <w:sz w:val="18"/>
              </w:rPr>
            </w:pPr>
            <w:r>
              <w:rPr>
                <w:b/>
                <w:sz w:val="18"/>
              </w:rPr>
              <w:t>$</w:t>
            </w:r>
          </w:p>
        </w:tc>
        <w:tc>
          <w:tcPr>
            <w:tcW w:w="1060" w:type="dxa"/>
          </w:tcPr>
          <w:p w14:paraId="40FFD489" w14:textId="77777777" w:rsidR="00FA4AA8" w:rsidRDefault="0015611F">
            <w:pPr>
              <w:pStyle w:val="TableParagraph"/>
              <w:spacing w:line="201" w:lineRule="exact"/>
              <w:ind w:right="183"/>
              <w:jc w:val="right"/>
              <w:rPr>
                <w:b/>
                <w:sz w:val="18"/>
              </w:rPr>
            </w:pPr>
            <w:r>
              <w:rPr>
                <w:b/>
                <w:sz w:val="18"/>
              </w:rPr>
              <w:t>2017</w:t>
            </w:r>
          </w:p>
          <w:p w14:paraId="3189647C" w14:textId="77777777" w:rsidR="00FA4AA8" w:rsidRDefault="0015611F">
            <w:pPr>
              <w:pStyle w:val="TableParagraph"/>
              <w:spacing w:before="66"/>
              <w:ind w:right="281"/>
              <w:jc w:val="right"/>
              <w:rPr>
                <w:b/>
                <w:sz w:val="18"/>
              </w:rPr>
            </w:pPr>
            <w:r>
              <w:rPr>
                <w:b/>
                <w:sz w:val="18"/>
              </w:rPr>
              <w:t>$</w:t>
            </w:r>
          </w:p>
        </w:tc>
      </w:tr>
      <w:tr w:rsidR="00FA4AA8" w14:paraId="6AC47E9C" w14:textId="77777777">
        <w:trPr>
          <w:trHeight w:val="266"/>
        </w:trPr>
        <w:tc>
          <w:tcPr>
            <w:tcW w:w="6381" w:type="dxa"/>
          </w:tcPr>
          <w:p w14:paraId="0FFD4C00" w14:textId="77777777" w:rsidR="00FA4AA8" w:rsidRDefault="0015611F">
            <w:pPr>
              <w:pStyle w:val="TableParagraph"/>
              <w:spacing w:before="29"/>
              <w:ind w:left="50"/>
              <w:rPr>
                <w:sz w:val="18"/>
              </w:rPr>
            </w:pPr>
            <w:bookmarkStart w:id="123" w:name="7_Prepayments_"/>
            <w:bookmarkEnd w:id="123"/>
            <w:r>
              <w:rPr>
                <w:sz w:val="18"/>
              </w:rPr>
              <w:t>3 to 6 months</w:t>
            </w:r>
          </w:p>
        </w:tc>
        <w:tc>
          <w:tcPr>
            <w:tcW w:w="1534" w:type="dxa"/>
          </w:tcPr>
          <w:p w14:paraId="035964C2" w14:textId="77777777" w:rsidR="00FA4AA8" w:rsidRDefault="0015611F">
            <w:pPr>
              <w:pStyle w:val="TableParagraph"/>
              <w:spacing w:before="28"/>
              <w:ind w:right="322"/>
              <w:jc w:val="right"/>
              <w:rPr>
                <w:b/>
                <w:sz w:val="18"/>
              </w:rPr>
            </w:pPr>
            <w:r>
              <w:rPr>
                <w:b/>
                <w:sz w:val="18"/>
              </w:rPr>
              <w:t>267,274</w:t>
            </w:r>
          </w:p>
        </w:tc>
        <w:tc>
          <w:tcPr>
            <w:tcW w:w="1060" w:type="dxa"/>
          </w:tcPr>
          <w:p w14:paraId="177B2844" w14:textId="77777777" w:rsidR="00FA4AA8" w:rsidRDefault="0015611F">
            <w:pPr>
              <w:pStyle w:val="TableParagraph"/>
              <w:spacing w:before="28"/>
              <w:ind w:right="84"/>
              <w:jc w:val="right"/>
              <w:rPr>
                <w:sz w:val="18"/>
              </w:rPr>
            </w:pPr>
            <w:r>
              <w:rPr>
                <w:sz w:val="18"/>
              </w:rPr>
              <w:t>415,937</w:t>
            </w:r>
          </w:p>
        </w:tc>
      </w:tr>
      <w:tr w:rsidR="00FA4AA8" w14:paraId="1D861707" w14:textId="77777777">
        <w:trPr>
          <w:trHeight w:val="263"/>
        </w:trPr>
        <w:tc>
          <w:tcPr>
            <w:tcW w:w="6381" w:type="dxa"/>
          </w:tcPr>
          <w:p w14:paraId="0F3A1292" w14:textId="77777777" w:rsidR="00FA4AA8" w:rsidRDefault="0015611F">
            <w:pPr>
              <w:pStyle w:val="TableParagraph"/>
              <w:spacing w:before="26"/>
              <w:ind w:left="50"/>
              <w:rPr>
                <w:sz w:val="18"/>
              </w:rPr>
            </w:pPr>
            <w:r>
              <w:rPr>
                <w:sz w:val="18"/>
              </w:rPr>
              <w:t>6 to 12 months</w:t>
            </w:r>
          </w:p>
        </w:tc>
        <w:tc>
          <w:tcPr>
            <w:tcW w:w="1534" w:type="dxa"/>
          </w:tcPr>
          <w:p w14:paraId="41E73418" w14:textId="77777777" w:rsidR="00FA4AA8" w:rsidRDefault="0015611F">
            <w:pPr>
              <w:pStyle w:val="TableParagraph"/>
              <w:spacing w:before="25"/>
              <w:ind w:right="322"/>
              <w:jc w:val="right"/>
              <w:rPr>
                <w:b/>
                <w:sz w:val="18"/>
              </w:rPr>
            </w:pPr>
            <w:r>
              <w:rPr>
                <w:b/>
                <w:sz w:val="18"/>
              </w:rPr>
              <w:t>4,348</w:t>
            </w:r>
          </w:p>
        </w:tc>
        <w:tc>
          <w:tcPr>
            <w:tcW w:w="1060" w:type="dxa"/>
          </w:tcPr>
          <w:p w14:paraId="5DC65A61" w14:textId="77777777" w:rsidR="00FA4AA8" w:rsidRDefault="0015611F">
            <w:pPr>
              <w:pStyle w:val="TableParagraph"/>
              <w:spacing w:before="25"/>
              <w:ind w:right="84"/>
              <w:jc w:val="right"/>
              <w:rPr>
                <w:sz w:val="18"/>
              </w:rPr>
            </w:pPr>
            <w:r>
              <w:rPr>
                <w:sz w:val="18"/>
              </w:rPr>
              <w:t>13,651</w:t>
            </w:r>
          </w:p>
        </w:tc>
      </w:tr>
      <w:tr w:rsidR="00FA4AA8" w14:paraId="661C6F9E" w14:textId="77777777">
        <w:trPr>
          <w:trHeight w:val="258"/>
        </w:trPr>
        <w:tc>
          <w:tcPr>
            <w:tcW w:w="6381" w:type="dxa"/>
          </w:tcPr>
          <w:p w14:paraId="3C2E2E93" w14:textId="77777777" w:rsidR="00FA4AA8" w:rsidRDefault="0015611F">
            <w:pPr>
              <w:pStyle w:val="TableParagraph"/>
              <w:spacing w:before="26"/>
              <w:ind w:left="50"/>
              <w:rPr>
                <w:sz w:val="18"/>
              </w:rPr>
            </w:pPr>
            <w:r>
              <w:rPr>
                <w:sz w:val="18"/>
              </w:rPr>
              <w:t>Over 12 months</w:t>
            </w:r>
          </w:p>
        </w:tc>
        <w:tc>
          <w:tcPr>
            <w:tcW w:w="1534" w:type="dxa"/>
            <w:tcBorders>
              <w:bottom w:val="single" w:sz="8" w:space="0" w:color="000000"/>
            </w:tcBorders>
          </w:tcPr>
          <w:p w14:paraId="52BD9EBC" w14:textId="77777777" w:rsidR="00FA4AA8" w:rsidRDefault="0015611F">
            <w:pPr>
              <w:pStyle w:val="TableParagraph"/>
              <w:spacing w:before="25"/>
              <w:ind w:right="322"/>
              <w:jc w:val="right"/>
              <w:rPr>
                <w:b/>
                <w:sz w:val="18"/>
              </w:rPr>
            </w:pPr>
            <w:r>
              <w:rPr>
                <w:b/>
                <w:sz w:val="18"/>
              </w:rPr>
              <w:t>5,490</w:t>
            </w:r>
          </w:p>
        </w:tc>
        <w:tc>
          <w:tcPr>
            <w:tcW w:w="1060" w:type="dxa"/>
            <w:tcBorders>
              <w:bottom w:val="single" w:sz="8" w:space="0" w:color="000000"/>
            </w:tcBorders>
          </w:tcPr>
          <w:p w14:paraId="4F7F6A43" w14:textId="77777777" w:rsidR="00FA4AA8" w:rsidRDefault="0015611F">
            <w:pPr>
              <w:pStyle w:val="TableParagraph"/>
              <w:spacing w:before="25"/>
              <w:ind w:right="85"/>
              <w:jc w:val="right"/>
              <w:rPr>
                <w:sz w:val="18"/>
              </w:rPr>
            </w:pPr>
            <w:r>
              <w:rPr>
                <w:sz w:val="18"/>
              </w:rPr>
              <w:t>-</w:t>
            </w:r>
          </w:p>
        </w:tc>
      </w:tr>
      <w:tr w:rsidR="00FA4AA8" w14:paraId="5A8D1C9E" w14:textId="77777777">
        <w:trPr>
          <w:trHeight w:val="313"/>
        </w:trPr>
        <w:tc>
          <w:tcPr>
            <w:tcW w:w="6381" w:type="dxa"/>
          </w:tcPr>
          <w:p w14:paraId="6BF2F416" w14:textId="77777777" w:rsidR="00FA4AA8" w:rsidRDefault="0015611F">
            <w:pPr>
              <w:pStyle w:val="TableParagraph"/>
              <w:spacing w:before="113" w:line="180" w:lineRule="exact"/>
              <w:ind w:left="50"/>
              <w:rPr>
                <w:b/>
                <w:sz w:val="18"/>
              </w:rPr>
            </w:pPr>
            <w:r>
              <w:rPr>
                <w:b/>
                <w:sz w:val="18"/>
              </w:rPr>
              <w:t>Total past due but not impaired receivables</w:t>
            </w:r>
          </w:p>
        </w:tc>
        <w:tc>
          <w:tcPr>
            <w:tcW w:w="1534" w:type="dxa"/>
            <w:tcBorders>
              <w:top w:val="single" w:sz="8" w:space="0" w:color="000000"/>
              <w:bottom w:val="double" w:sz="3" w:space="0" w:color="000000"/>
            </w:tcBorders>
          </w:tcPr>
          <w:p w14:paraId="628ADB36" w14:textId="77777777" w:rsidR="00FA4AA8" w:rsidRDefault="0015611F">
            <w:pPr>
              <w:pStyle w:val="TableParagraph"/>
              <w:spacing w:before="113" w:line="180" w:lineRule="exact"/>
              <w:ind w:right="322"/>
              <w:jc w:val="right"/>
              <w:rPr>
                <w:b/>
                <w:sz w:val="18"/>
              </w:rPr>
            </w:pPr>
            <w:r>
              <w:rPr>
                <w:b/>
                <w:sz w:val="18"/>
              </w:rPr>
              <w:t>277,112</w:t>
            </w:r>
          </w:p>
        </w:tc>
        <w:tc>
          <w:tcPr>
            <w:tcW w:w="1060" w:type="dxa"/>
            <w:tcBorders>
              <w:top w:val="single" w:sz="8" w:space="0" w:color="000000"/>
              <w:bottom w:val="double" w:sz="3" w:space="0" w:color="000000"/>
            </w:tcBorders>
          </w:tcPr>
          <w:p w14:paraId="0408A420" w14:textId="77777777" w:rsidR="00FA4AA8" w:rsidRDefault="0015611F">
            <w:pPr>
              <w:pStyle w:val="TableParagraph"/>
              <w:spacing w:before="113" w:line="180" w:lineRule="exact"/>
              <w:ind w:right="84"/>
              <w:jc w:val="right"/>
              <w:rPr>
                <w:sz w:val="18"/>
              </w:rPr>
            </w:pPr>
            <w:r>
              <w:rPr>
                <w:sz w:val="18"/>
              </w:rPr>
              <w:t>429,588</w:t>
            </w:r>
          </w:p>
        </w:tc>
      </w:tr>
    </w:tbl>
    <w:p w14:paraId="728FADB1" w14:textId="77777777" w:rsidR="00FA4AA8" w:rsidRDefault="00FA4AA8">
      <w:pPr>
        <w:pStyle w:val="BodyText"/>
        <w:rPr>
          <w:sz w:val="20"/>
        </w:rPr>
      </w:pPr>
    </w:p>
    <w:p w14:paraId="0D074668" w14:textId="77777777" w:rsidR="00FA4AA8" w:rsidRDefault="00FA4AA8">
      <w:pPr>
        <w:pStyle w:val="BodyText"/>
        <w:rPr>
          <w:sz w:val="20"/>
        </w:rPr>
      </w:pPr>
    </w:p>
    <w:p w14:paraId="6B24B4DB" w14:textId="77777777" w:rsidR="00FA4AA8" w:rsidRDefault="00FA4AA8">
      <w:pPr>
        <w:pStyle w:val="BodyText"/>
        <w:spacing w:before="4" w:after="1"/>
        <w:rPr>
          <w:sz w:val="29"/>
        </w:rPr>
      </w:pPr>
    </w:p>
    <w:tbl>
      <w:tblPr>
        <w:tblW w:w="0" w:type="auto"/>
        <w:tblInd w:w="126" w:type="dxa"/>
        <w:tblLayout w:type="fixed"/>
        <w:tblCellMar>
          <w:left w:w="0" w:type="dxa"/>
          <w:right w:w="0" w:type="dxa"/>
        </w:tblCellMar>
        <w:tblLook w:val="01E0" w:firstRow="1" w:lastRow="1" w:firstColumn="1" w:lastColumn="1" w:noHBand="0" w:noVBand="0"/>
      </w:tblPr>
      <w:tblGrid>
        <w:gridCol w:w="297"/>
        <w:gridCol w:w="7073"/>
        <w:gridCol w:w="1533"/>
        <w:gridCol w:w="1060"/>
      </w:tblGrid>
      <w:tr w:rsidR="00FA4AA8" w14:paraId="20BE416D" w14:textId="77777777">
        <w:trPr>
          <w:trHeight w:val="220"/>
        </w:trPr>
        <w:tc>
          <w:tcPr>
            <w:tcW w:w="297" w:type="dxa"/>
          </w:tcPr>
          <w:p w14:paraId="7A3B34C9" w14:textId="77777777" w:rsidR="00FA4AA8" w:rsidRDefault="0015611F">
            <w:pPr>
              <w:pStyle w:val="TableParagraph"/>
              <w:spacing w:line="201" w:lineRule="exact"/>
              <w:ind w:left="50"/>
              <w:rPr>
                <w:b/>
                <w:sz w:val="18"/>
              </w:rPr>
            </w:pPr>
            <w:r>
              <w:rPr>
                <w:b/>
                <w:sz w:val="18"/>
              </w:rPr>
              <w:t>7</w:t>
            </w:r>
          </w:p>
        </w:tc>
        <w:tc>
          <w:tcPr>
            <w:tcW w:w="7073" w:type="dxa"/>
          </w:tcPr>
          <w:p w14:paraId="4C64ED58" w14:textId="77777777" w:rsidR="00FA4AA8" w:rsidRDefault="0015611F">
            <w:pPr>
              <w:pStyle w:val="TableParagraph"/>
              <w:spacing w:line="201" w:lineRule="exact"/>
              <w:ind w:left="147"/>
              <w:rPr>
                <w:b/>
                <w:sz w:val="18"/>
              </w:rPr>
            </w:pPr>
            <w:r>
              <w:rPr>
                <w:b/>
                <w:sz w:val="18"/>
              </w:rPr>
              <w:t>Prepayments</w:t>
            </w:r>
          </w:p>
        </w:tc>
        <w:tc>
          <w:tcPr>
            <w:tcW w:w="2593" w:type="dxa"/>
            <w:gridSpan w:val="2"/>
          </w:tcPr>
          <w:p w14:paraId="56F21937" w14:textId="77777777" w:rsidR="00FA4AA8" w:rsidRDefault="00FA4AA8">
            <w:pPr>
              <w:pStyle w:val="TableParagraph"/>
              <w:rPr>
                <w:rFonts w:ascii="Times New Roman"/>
                <w:sz w:val="14"/>
              </w:rPr>
            </w:pPr>
          </w:p>
        </w:tc>
      </w:tr>
      <w:tr w:rsidR="00FA4AA8" w14:paraId="64EE6A8F" w14:textId="77777777">
        <w:trPr>
          <w:trHeight w:val="256"/>
        </w:trPr>
        <w:tc>
          <w:tcPr>
            <w:tcW w:w="297" w:type="dxa"/>
          </w:tcPr>
          <w:p w14:paraId="3DE0C266" w14:textId="77777777" w:rsidR="00FA4AA8" w:rsidRDefault="00FA4AA8">
            <w:pPr>
              <w:pStyle w:val="TableParagraph"/>
              <w:rPr>
                <w:rFonts w:ascii="Times New Roman"/>
                <w:sz w:val="18"/>
              </w:rPr>
            </w:pPr>
          </w:p>
        </w:tc>
        <w:tc>
          <w:tcPr>
            <w:tcW w:w="7073" w:type="dxa"/>
          </w:tcPr>
          <w:p w14:paraId="728E87B0" w14:textId="77777777" w:rsidR="00FA4AA8" w:rsidRDefault="00FA4AA8">
            <w:pPr>
              <w:pStyle w:val="TableParagraph"/>
              <w:rPr>
                <w:rFonts w:ascii="Times New Roman"/>
                <w:sz w:val="18"/>
              </w:rPr>
            </w:pPr>
          </w:p>
        </w:tc>
        <w:tc>
          <w:tcPr>
            <w:tcW w:w="1533" w:type="dxa"/>
          </w:tcPr>
          <w:p w14:paraId="60F85376" w14:textId="77777777" w:rsidR="00FA4AA8" w:rsidRDefault="0015611F">
            <w:pPr>
              <w:pStyle w:val="TableParagraph"/>
              <w:spacing w:before="13"/>
              <w:ind w:right="455"/>
              <w:jc w:val="right"/>
              <w:rPr>
                <w:b/>
                <w:sz w:val="18"/>
              </w:rPr>
            </w:pPr>
            <w:r>
              <w:rPr>
                <w:b/>
                <w:sz w:val="18"/>
              </w:rPr>
              <w:t>2018</w:t>
            </w:r>
          </w:p>
        </w:tc>
        <w:tc>
          <w:tcPr>
            <w:tcW w:w="1060" w:type="dxa"/>
          </w:tcPr>
          <w:p w14:paraId="31A6BEB1" w14:textId="77777777" w:rsidR="00FA4AA8" w:rsidRDefault="0015611F">
            <w:pPr>
              <w:pStyle w:val="TableParagraph"/>
              <w:spacing w:before="13"/>
              <w:ind w:left="438"/>
              <w:rPr>
                <w:b/>
                <w:sz w:val="18"/>
              </w:rPr>
            </w:pPr>
            <w:r>
              <w:rPr>
                <w:b/>
                <w:sz w:val="18"/>
              </w:rPr>
              <w:t>2017</w:t>
            </w:r>
          </w:p>
        </w:tc>
      </w:tr>
      <w:tr w:rsidR="00FA4AA8" w14:paraId="211C5FD1" w14:textId="77777777">
        <w:trPr>
          <w:trHeight w:val="271"/>
        </w:trPr>
        <w:tc>
          <w:tcPr>
            <w:tcW w:w="297" w:type="dxa"/>
          </w:tcPr>
          <w:p w14:paraId="297ADD1F" w14:textId="77777777" w:rsidR="00FA4AA8" w:rsidRDefault="00FA4AA8">
            <w:pPr>
              <w:pStyle w:val="TableParagraph"/>
              <w:rPr>
                <w:rFonts w:ascii="Times New Roman"/>
                <w:sz w:val="18"/>
              </w:rPr>
            </w:pPr>
          </w:p>
        </w:tc>
        <w:tc>
          <w:tcPr>
            <w:tcW w:w="7073" w:type="dxa"/>
          </w:tcPr>
          <w:p w14:paraId="6981BAB0" w14:textId="77777777" w:rsidR="00FA4AA8" w:rsidRDefault="00FA4AA8">
            <w:pPr>
              <w:pStyle w:val="TableParagraph"/>
              <w:rPr>
                <w:rFonts w:ascii="Times New Roman"/>
                <w:sz w:val="18"/>
              </w:rPr>
            </w:pPr>
          </w:p>
        </w:tc>
        <w:tc>
          <w:tcPr>
            <w:tcW w:w="1533" w:type="dxa"/>
          </w:tcPr>
          <w:p w14:paraId="30E3D645" w14:textId="77777777" w:rsidR="00FA4AA8" w:rsidRDefault="0015611F">
            <w:pPr>
              <w:pStyle w:val="TableParagraph"/>
              <w:spacing w:before="30"/>
              <w:ind w:left="371"/>
              <w:jc w:val="center"/>
              <w:rPr>
                <w:b/>
                <w:sz w:val="18"/>
              </w:rPr>
            </w:pPr>
            <w:r>
              <w:rPr>
                <w:b/>
                <w:sz w:val="18"/>
              </w:rPr>
              <w:t>$</w:t>
            </w:r>
          </w:p>
        </w:tc>
        <w:tc>
          <w:tcPr>
            <w:tcW w:w="1060" w:type="dxa"/>
          </w:tcPr>
          <w:p w14:paraId="2F9FD0DC" w14:textId="77777777" w:rsidR="00FA4AA8" w:rsidRDefault="0015611F">
            <w:pPr>
              <w:pStyle w:val="TableParagraph"/>
              <w:spacing w:before="30"/>
              <w:ind w:left="664"/>
              <w:rPr>
                <w:b/>
                <w:sz w:val="18"/>
              </w:rPr>
            </w:pPr>
            <w:r>
              <w:rPr>
                <w:b/>
                <w:sz w:val="18"/>
              </w:rPr>
              <w:t>$</w:t>
            </w:r>
          </w:p>
        </w:tc>
      </w:tr>
      <w:tr w:rsidR="00FA4AA8" w14:paraId="7794DEF6" w14:textId="77777777">
        <w:trPr>
          <w:trHeight w:val="266"/>
        </w:trPr>
        <w:tc>
          <w:tcPr>
            <w:tcW w:w="297" w:type="dxa"/>
          </w:tcPr>
          <w:p w14:paraId="58948ADF" w14:textId="77777777" w:rsidR="00FA4AA8" w:rsidRDefault="00FA4AA8">
            <w:pPr>
              <w:pStyle w:val="TableParagraph"/>
              <w:rPr>
                <w:rFonts w:ascii="Times New Roman"/>
                <w:sz w:val="18"/>
              </w:rPr>
            </w:pPr>
          </w:p>
        </w:tc>
        <w:tc>
          <w:tcPr>
            <w:tcW w:w="7073" w:type="dxa"/>
          </w:tcPr>
          <w:p w14:paraId="55A084D2" w14:textId="77777777" w:rsidR="00FA4AA8" w:rsidRDefault="0015611F">
            <w:pPr>
              <w:pStyle w:val="TableParagraph"/>
              <w:spacing w:before="29"/>
              <w:ind w:left="191"/>
              <w:rPr>
                <w:sz w:val="18"/>
              </w:rPr>
            </w:pPr>
            <w:r>
              <w:rPr>
                <w:sz w:val="18"/>
              </w:rPr>
              <w:t>Prepayments</w:t>
            </w:r>
          </w:p>
        </w:tc>
        <w:tc>
          <w:tcPr>
            <w:tcW w:w="1533" w:type="dxa"/>
          </w:tcPr>
          <w:p w14:paraId="0A145724" w14:textId="77777777" w:rsidR="00FA4AA8" w:rsidRDefault="0015611F">
            <w:pPr>
              <w:pStyle w:val="TableParagraph"/>
              <w:spacing w:before="28"/>
              <w:ind w:right="321"/>
              <w:jc w:val="right"/>
              <w:rPr>
                <w:b/>
                <w:sz w:val="18"/>
              </w:rPr>
            </w:pPr>
            <w:r>
              <w:rPr>
                <w:b/>
                <w:sz w:val="18"/>
              </w:rPr>
              <w:t>5,102</w:t>
            </w:r>
          </w:p>
        </w:tc>
        <w:tc>
          <w:tcPr>
            <w:tcW w:w="1060" w:type="dxa"/>
          </w:tcPr>
          <w:p w14:paraId="495FB44E" w14:textId="77777777" w:rsidR="00FA4AA8" w:rsidRDefault="0015611F">
            <w:pPr>
              <w:pStyle w:val="TableParagraph"/>
              <w:spacing w:before="28"/>
              <w:ind w:right="82"/>
              <w:jc w:val="right"/>
              <w:rPr>
                <w:sz w:val="18"/>
              </w:rPr>
            </w:pPr>
            <w:r>
              <w:rPr>
                <w:sz w:val="18"/>
              </w:rPr>
              <w:t>52,358</w:t>
            </w:r>
          </w:p>
        </w:tc>
      </w:tr>
      <w:tr w:rsidR="00FA4AA8" w14:paraId="5AF0C2DC" w14:textId="77777777">
        <w:trPr>
          <w:trHeight w:val="258"/>
        </w:trPr>
        <w:tc>
          <w:tcPr>
            <w:tcW w:w="297" w:type="dxa"/>
          </w:tcPr>
          <w:p w14:paraId="253A8046" w14:textId="77777777" w:rsidR="00FA4AA8" w:rsidRDefault="00FA4AA8">
            <w:pPr>
              <w:pStyle w:val="TableParagraph"/>
              <w:rPr>
                <w:rFonts w:ascii="Times New Roman"/>
                <w:sz w:val="18"/>
              </w:rPr>
            </w:pPr>
          </w:p>
        </w:tc>
        <w:tc>
          <w:tcPr>
            <w:tcW w:w="7073" w:type="dxa"/>
          </w:tcPr>
          <w:p w14:paraId="5057CF7A" w14:textId="77777777" w:rsidR="00FA4AA8" w:rsidRDefault="0015611F">
            <w:pPr>
              <w:pStyle w:val="TableParagraph"/>
              <w:spacing w:before="26"/>
              <w:ind w:left="191"/>
              <w:rPr>
                <w:sz w:val="18"/>
              </w:rPr>
            </w:pPr>
            <w:r>
              <w:rPr>
                <w:sz w:val="18"/>
              </w:rPr>
              <w:t>Payments made to parent entity for capital projects</w:t>
            </w:r>
          </w:p>
        </w:tc>
        <w:tc>
          <w:tcPr>
            <w:tcW w:w="1533" w:type="dxa"/>
            <w:tcBorders>
              <w:bottom w:val="single" w:sz="8" w:space="0" w:color="000000"/>
            </w:tcBorders>
          </w:tcPr>
          <w:p w14:paraId="53BF5130" w14:textId="77777777" w:rsidR="00FA4AA8" w:rsidRDefault="0015611F">
            <w:pPr>
              <w:pStyle w:val="TableParagraph"/>
              <w:spacing w:before="25"/>
              <w:ind w:right="321"/>
              <w:jc w:val="right"/>
              <w:rPr>
                <w:b/>
                <w:sz w:val="18"/>
              </w:rPr>
            </w:pPr>
            <w:r>
              <w:rPr>
                <w:b/>
                <w:sz w:val="18"/>
              </w:rPr>
              <w:t>-</w:t>
            </w:r>
          </w:p>
        </w:tc>
        <w:tc>
          <w:tcPr>
            <w:tcW w:w="1060" w:type="dxa"/>
            <w:tcBorders>
              <w:bottom w:val="single" w:sz="8" w:space="0" w:color="000000"/>
            </w:tcBorders>
          </w:tcPr>
          <w:p w14:paraId="6D9A7E6B" w14:textId="77777777" w:rsidR="00FA4AA8" w:rsidRDefault="0015611F">
            <w:pPr>
              <w:pStyle w:val="TableParagraph"/>
              <w:spacing w:before="25"/>
              <w:ind w:right="82"/>
              <w:jc w:val="right"/>
              <w:rPr>
                <w:sz w:val="18"/>
              </w:rPr>
            </w:pPr>
            <w:r>
              <w:rPr>
                <w:sz w:val="18"/>
              </w:rPr>
              <w:t>250,000</w:t>
            </w:r>
          </w:p>
        </w:tc>
      </w:tr>
      <w:tr w:rsidR="00FA4AA8" w14:paraId="5F2B03D8" w14:textId="77777777">
        <w:trPr>
          <w:trHeight w:val="313"/>
        </w:trPr>
        <w:tc>
          <w:tcPr>
            <w:tcW w:w="297" w:type="dxa"/>
          </w:tcPr>
          <w:p w14:paraId="617052A7" w14:textId="77777777" w:rsidR="00FA4AA8" w:rsidRDefault="00FA4AA8">
            <w:pPr>
              <w:pStyle w:val="TableParagraph"/>
              <w:rPr>
                <w:rFonts w:ascii="Times New Roman"/>
                <w:sz w:val="18"/>
              </w:rPr>
            </w:pPr>
          </w:p>
        </w:tc>
        <w:tc>
          <w:tcPr>
            <w:tcW w:w="7073" w:type="dxa"/>
          </w:tcPr>
          <w:p w14:paraId="2D1FBD9D" w14:textId="77777777" w:rsidR="00FA4AA8" w:rsidRDefault="0015611F">
            <w:pPr>
              <w:pStyle w:val="TableParagraph"/>
              <w:spacing w:before="113" w:line="180" w:lineRule="exact"/>
              <w:ind w:left="190"/>
              <w:rPr>
                <w:b/>
                <w:sz w:val="18"/>
              </w:rPr>
            </w:pPr>
            <w:r>
              <w:rPr>
                <w:b/>
                <w:sz w:val="18"/>
              </w:rPr>
              <w:t>Total Prepayments</w:t>
            </w:r>
          </w:p>
        </w:tc>
        <w:tc>
          <w:tcPr>
            <w:tcW w:w="1533" w:type="dxa"/>
            <w:tcBorders>
              <w:top w:val="single" w:sz="8" w:space="0" w:color="000000"/>
              <w:bottom w:val="double" w:sz="3" w:space="0" w:color="000000"/>
            </w:tcBorders>
          </w:tcPr>
          <w:p w14:paraId="35BA0DEC" w14:textId="77777777" w:rsidR="00FA4AA8" w:rsidRDefault="0015611F">
            <w:pPr>
              <w:pStyle w:val="TableParagraph"/>
              <w:spacing w:before="113" w:line="180" w:lineRule="exact"/>
              <w:ind w:right="321"/>
              <w:jc w:val="right"/>
              <w:rPr>
                <w:b/>
                <w:sz w:val="18"/>
              </w:rPr>
            </w:pPr>
            <w:r>
              <w:rPr>
                <w:b/>
                <w:sz w:val="18"/>
              </w:rPr>
              <w:t>5,102</w:t>
            </w:r>
          </w:p>
        </w:tc>
        <w:tc>
          <w:tcPr>
            <w:tcW w:w="1060" w:type="dxa"/>
            <w:tcBorders>
              <w:top w:val="single" w:sz="8" w:space="0" w:color="000000"/>
              <w:bottom w:val="double" w:sz="3" w:space="0" w:color="000000"/>
            </w:tcBorders>
          </w:tcPr>
          <w:p w14:paraId="3DB4E110" w14:textId="77777777" w:rsidR="00FA4AA8" w:rsidRDefault="0015611F">
            <w:pPr>
              <w:pStyle w:val="TableParagraph"/>
              <w:spacing w:before="113" w:line="180" w:lineRule="exact"/>
              <w:ind w:right="82"/>
              <w:jc w:val="right"/>
              <w:rPr>
                <w:sz w:val="18"/>
              </w:rPr>
            </w:pPr>
            <w:r>
              <w:rPr>
                <w:sz w:val="18"/>
              </w:rPr>
              <w:t>302,358</w:t>
            </w:r>
          </w:p>
        </w:tc>
      </w:tr>
    </w:tbl>
    <w:p w14:paraId="103F57EE" w14:textId="77777777" w:rsidR="00FA4AA8" w:rsidRDefault="00FA4AA8">
      <w:pPr>
        <w:spacing w:line="180" w:lineRule="exact"/>
        <w:jc w:val="right"/>
        <w:rPr>
          <w:sz w:val="18"/>
        </w:rPr>
        <w:sectPr w:rsidR="00FA4AA8">
          <w:pgSz w:w="11910" w:h="16840"/>
          <w:pgMar w:top="1720" w:right="840" w:bottom="720" w:left="840" w:header="1017" w:footer="523" w:gutter="0"/>
          <w:cols w:space="720"/>
        </w:sectPr>
      </w:pPr>
    </w:p>
    <w:p w14:paraId="691CEC7F" w14:textId="77777777" w:rsidR="00FA4AA8" w:rsidRDefault="00FA4AA8">
      <w:pPr>
        <w:pStyle w:val="BodyText"/>
        <w:spacing w:before="6"/>
        <w:rPr>
          <w:sz w:val="21"/>
        </w:rPr>
      </w:pPr>
    </w:p>
    <w:p w14:paraId="15A9B655" w14:textId="77777777" w:rsidR="00FA4AA8" w:rsidRDefault="0015611F">
      <w:pPr>
        <w:pStyle w:val="Heading2"/>
      </w:pPr>
      <w:bookmarkStart w:id="124" w:name="8_Property,_plant_and_equipment_"/>
      <w:bookmarkEnd w:id="124"/>
      <w:r>
        <w:t>Notes to the Financial Statements</w:t>
      </w:r>
    </w:p>
    <w:p w14:paraId="2AC48776" w14:textId="77777777" w:rsidR="00FA4AA8" w:rsidRDefault="0015611F">
      <w:pPr>
        <w:pStyle w:val="Heading6"/>
        <w:spacing w:before="57"/>
        <w:ind w:left="167"/>
      </w:pPr>
      <w:bookmarkStart w:id="125" w:name="(a)_Movements_in_Carrying_Amounts"/>
      <w:bookmarkEnd w:id="125"/>
      <w:r>
        <w:t>For the Year Ended 31 December 2018</w:t>
      </w:r>
    </w:p>
    <w:p w14:paraId="508D96A1" w14:textId="77777777" w:rsidR="00FA4AA8" w:rsidRDefault="00FA4AA8">
      <w:pPr>
        <w:pStyle w:val="BodyText"/>
        <w:rPr>
          <w:b/>
          <w:sz w:val="24"/>
        </w:rPr>
      </w:pPr>
    </w:p>
    <w:p w14:paraId="62D87361" w14:textId="77777777" w:rsidR="00FA4AA8" w:rsidRDefault="00FA4AA8">
      <w:pPr>
        <w:pStyle w:val="BodyText"/>
        <w:rPr>
          <w:b/>
          <w:sz w:val="34"/>
        </w:rPr>
      </w:pPr>
    </w:p>
    <w:p w14:paraId="24CF48BA" w14:textId="77777777" w:rsidR="00FA4AA8" w:rsidRDefault="0015611F">
      <w:pPr>
        <w:tabs>
          <w:tab w:val="left" w:pos="563"/>
        </w:tabs>
        <w:ind w:left="169"/>
        <w:rPr>
          <w:b/>
          <w:sz w:val="18"/>
        </w:rPr>
      </w:pPr>
      <w:r>
        <w:rPr>
          <w:b/>
          <w:sz w:val="18"/>
        </w:rPr>
        <w:t>8</w:t>
      </w:r>
      <w:r>
        <w:rPr>
          <w:b/>
          <w:sz w:val="18"/>
        </w:rPr>
        <w:tab/>
        <w:t>Property, plant and</w:t>
      </w:r>
      <w:r>
        <w:rPr>
          <w:b/>
          <w:spacing w:val="-1"/>
          <w:sz w:val="18"/>
        </w:rPr>
        <w:t xml:space="preserve"> </w:t>
      </w:r>
      <w:r>
        <w:rPr>
          <w:b/>
          <w:sz w:val="18"/>
        </w:rPr>
        <w:t>equipment</w:t>
      </w:r>
    </w:p>
    <w:p w14:paraId="3F25BE0B" w14:textId="77777777" w:rsidR="00FA4AA8" w:rsidRDefault="00FA4AA8">
      <w:pPr>
        <w:pStyle w:val="BodyText"/>
        <w:spacing w:before="7"/>
        <w:rPr>
          <w:b/>
          <w:sz w:val="26"/>
        </w:rPr>
      </w:pPr>
    </w:p>
    <w:p w14:paraId="25F887DC" w14:textId="77777777" w:rsidR="00FA4AA8" w:rsidRDefault="0015611F">
      <w:pPr>
        <w:pStyle w:val="ListParagraph"/>
        <w:numPr>
          <w:ilvl w:val="0"/>
          <w:numId w:val="9"/>
        </w:numPr>
        <w:tabs>
          <w:tab w:val="left" w:pos="1131"/>
          <w:tab w:val="left" w:pos="1132"/>
        </w:tabs>
        <w:rPr>
          <w:b/>
          <w:sz w:val="18"/>
        </w:rPr>
      </w:pPr>
      <w:r>
        <w:rPr>
          <w:b/>
          <w:sz w:val="18"/>
        </w:rPr>
        <w:t>Movements in Carrying</w:t>
      </w:r>
      <w:r>
        <w:rPr>
          <w:b/>
          <w:spacing w:val="-4"/>
          <w:sz w:val="18"/>
        </w:rPr>
        <w:t xml:space="preserve"> </w:t>
      </w:r>
      <w:r>
        <w:rPr>
          <w:b/>
          <w:sz w:val="18"/>
        </w:rPr>
        <w:t>Amounts</w:t>
      </w:r>
    </w:p>
    <w:p w14:paraId="4A80D0EC" w14:textId="77777777" w:rsidR="00FA4AA8" w:rsidRDefault="00FA4AA8">
      <w:pPr>
        <w:pStyle w:val="BodyText"/>
        <w:spacing w:before="5"/>
        <w:rPr>
          <w:b/>
          <w:sz w:val="25"/>
        </w:rPr>
      </w:pPr>
    </w:p>
    <w:p w14:paraId="4ADBCAF2" w14:textId="77777777" w:rsidR="00FA4AA8" w:rsidRDefault="0015611F">
      <w:pPr>
        <w:pStyle w:val="BodyText"/>
        <w:ind w:left="1132" w:right="256"/>
      </w:pPr>
      <w:r>
        <w:t>Movement in the carrying amounts for each class of property, plant and equipment between the beginning and the end of the financial year:</w:t>
      </w:r>
    </w:p>
    <w:p w14:paraId="6D057E41" w14:textId="77777777" w:rsidR="00FA4AA8" w:rsidRDefault="00FA4AA8">
      <w:pPr>
        <w:sectPr w:rsidR="00FA4AA8">
          <w:pgSz w:w="11910" w:h="16840"/>
          <w:pgMar w:top="1720" w:right="840" w:bottom="720" w:left="840" w:header="1017" w:footer="523" w:gutter="0"/>
          <w:cols w:space="720"/>
        </w:sectPr>
      </w:pPr>
    </w:p>
    <w:p w14:paraId="06C96360" w14:textId="77777777" w:rsidR="00FA4AA8" w:rsidRDefault="0015611F">
      <w:pPr>
        <w:spacing w:before="33"/>
        <w:ind w:left="4168"/>
        <w:jc w:val="center"/>
        <w:rPr>
          <w:b/>
          <w:sz w:val="18"/>
        </w:rPr>
      </w:pPr>
      <w:r>
        <w:rPr>
          <w:b/>
          <w:sz w:val="18"/>
        </w:rPr>
        <w:t>Construction in Progress</w:t>
      </w:r>
    </w:p>
    <w:p w14:paraId="76F612BE" w14:textId="77777777" w:rsidR="00FA4AA8" w:rsidRDefault="0015611F">
      <w:pPr>
        <w:spacing w:before="66"/>
        <w:ind w:left="4171"/>
        <w:jc w:val="center"/>
        <w:rPr>
          <w:b/>
          <w:sz w:val="18"/>
        </w:rPr>
      </w:pPr>
      <w:r>
        <w:rPr>
          <w:b/>
          <w:sz w:val="18"/>
        </w:rPr>
        <w:t>$</w:t>
      </w:r>
    </w:p>
    <w:p w14:paraId="5939FE0E" w14:textId="77777777" w:rsidR="00FA4AA8" w:rsidRDefault="0015611F">
      <w:pPr>
        <w:spacing w:before="33"/>
        <w:ind w:left="30" w:hanging="2"/>
        <w:jc w:val="center"/>
        <w:rPr>
          <w:b/>
          <w:sz w:val="18"/>
        </w:rPr>
      </w:pPr>
      <w:r>
        <w:br w:type="column"/>
      </w:r>
      <w:r>
        <w:rPr>
          <w:b/>
          <w:sz w:val="18"/>
        </w:rPr>
        <w:t xml:space="preserve">Leasehold </w:t>
      </w:r>
      <w:r>
        <w:rPr>
          <w:b/>
          <w:spacing w:val="-1"/>
          <w:sz w:val="18"/>
        </w:rPr>
        <w:t>Improvements</w:t>
      </w:r>
    </w:p>
    <w:p w14:paraId="20D442D1" w14:textId="77777777" w:rsidR="00FA4AA8" w:rsidRDefault="0015611F">
      <w:pPr>
        <w:spacing w:before="66"/>
        <w:ind w:left="81"/>
        <w:jc w:val="center"/>
        <w:rPr>
          <w:b/>
          <w:sz w:val="18"/>
        </w:rPr>
      </w:pPr>
      <w:r>
        <w:rPr>
          <w:b/>
          <w:sz w:val="18"/>
        </w:rPr>
        <w:t>$</w:t>
      </w:r>
    </w:p>
    <w:p w14:paraId="0A141CB4" w14:textId="77777777" w:rsidR="00FA4AA8" w:rsidRDefault="0015611F">
      <w:pPr>
        <w:spacing w:before="33"/>
        <w:ind w:left="178" w:hanging="1"/>
        <w:jc w:val="center"/>
        <w:rPr>
          <w:b/>
          <w:sz w:val="18"/>
        </w:rPr>
      </w:pPr>
      <w:r>
        <w:br w:type="column"/>
      </w:r>
      <w:r>
        <w:rPr>
          <w:b/>
          <w:sz w:val="18"/>
        </w:rPr>
        <w:t>Plant and Equipment</w:t>
      </w:r>
    </w:p>
    <w:p w14:paraId="409DD186" w14:textId="77777777" w:rsidR="00FA4AA8" w:rsidRDefault="0015611F">
      <w:pPr>
        <w:spacing w:before="66"/>
        <w:ind w:left="179"/>
        <w:jc w:val="center"/>
        <w:rPr>
          <w:b/>
          <w:sz w:val="18"/>
        </w:rPr>
      </w:pPr>
      <w:r>
        <w:rPr>
          <w:b/>
          <w:sz w:val="18"/>
        </w:rPr>
        <w:t>$</w:t>
      </w:r>
    </w:p>
    <w:p w14:paraId="017BDB00" w14:textId="77777777" w:rsidR="00FA4AA8" w:rsidRDefault="0015611F">
      <w:pPr>
        <w:pStyle w:val="BodyText"/>
        <w:spacing w:before="9"/>
        <w:rPr>
          <w:b/>
          <w:sz w:val="20"/>
        </w:rPr>
      </w:pPr>
      <w:r>
        <w:br w:type="column"/>
      </w:r>
    </w:p>
    <w:p w14:paraId="078D2FE6" w14:textId="77777777" w:rsidR="00FA4AA8" w:rsidRDefault="0015611F">
      <w:pPr>
        <w:ind w:left="312"/>
        <w:jc w:val="center"/>
        <w:rPr>
          <w:b/>
          <w:sz w:val="18"/>
        </w:rPr>
      </w:pPr>
      <w:r>
        <w:rPr>
          <w:b/>
          <w:sz w:val="18"/>
        </w:rPr>
        <w:t>Artwork</w:t>
      </w:r>
    </w:p>
    <w:p w14:paraId="4E733411" w14:textId="77777777" w:rsidR="00FA4AA8" w:rsidRDefault="0015611F">
      <w:pPr>
        <w:spacing w:before="67"/>
        <w:ind w:left="313"/>
        <w:jc w:val="center"/>
        <w:rPr>
          <w:b/>
          <w:sz w:val="18"/>
        </w:rPr>
      </w:pPr>
      <w:r>
        <w:rPr>
          <w:b/>
          <w:sz w:val="18"/>
        </w:rPr>
        <w:t>$</w:t>
      </w:r>
    </w:p>
    <w:p w14:paraId="34A14748" w14:textId="77777777" w:rsidR="00FA4AA8" w:rsidRDefault="0015611F">
      <w:pPr>
        <w:pStyle w:val="BodyText"/>
        <w:spacing w:before="9"/>
        <w:rPr>
          <w:b/>
          <w:sz w:val="20"/>
        </w:rPr>
      </w:pPr>
      <w:r>
        <w:br w:type="column"/>
      </w:r>
    </w:p>
    <w:p w14:paraId="2A3861E2" w14:textId="77777777" w:rsidR="00FA4AA8" w:rsidRDefault="0015611F">
      <w:pPr>
        <w:ind w:left="465" w:right="488"/>
        <w:jc w:val="center"/>
        <w:rPr>
          <w:b/>
          <w:sz w:val="18"/>
        </w:rPr>
      </w:pPr>
      <w:r>
        <w:rPr>
          <w:b/>
          <w:sz w:val="18"/>
        </w:rPr>
        <w:t>Total</w:t>
      </w:r>
    </w:p>
    <w:p w14:paraId="500FF4F1" w14:textId="77777777" w:rsidR="00FA4AA8" w:rsidRDefault="0015611F">
      <w:pPr>
        <w:spacing w:before="67"/>
        <w:ind w:right="22"/>
        <w:jc w:val="center"/>
        <w:rPr>
          <w:b/>
          <w:sz w:val="18"/>
        </w:rPr>
      </w:pPr>
      <w:r>
        <w:rPr>
          <w:b/>
          <w:sz w:val="18"/>
        </w:rPr>
        <w:t>$</w:t>
      </w:r>
    </w:p>
    <w:p w14:paraId="0F34933A" w14:textId="77777777" w:rsidR="00FA4AA8" w:rsidRDefault="00FA4AA8">
      <w:pPr>
        <w:jc w:val="center"/>
        <w:rPr>
          <w:sz w:val="18"/>
        </w:rPr>
        <w:sectPr w:rsidR="00FA4AA8">
          <w:type w:val="continuous"/>
          <w:pgSz w:w="11910" w:h="16840"/>
          <w:pgMar w:top="20" w:right="840" w:bottom="0" w:left="840" w:header="720" w:footer="720" w:gutter="0"/>
          <w:cols w:num="5" w:space="720" w:equalWidth="0">
            <w:col w:w="5289" w:space="40"/>
            <w:col w:w="1256" w:space="39"/>
            <w:col w:w="1110" w:space="40"/>
            <w:col w:w="993" w:space="40"/>
            <w:col w:w="1423"/>
          </w:cols>
        </w:sectPr>
      </w:pPr>
    </w:p>
    <w:p w14:paraId="6F00CB18" w14:textId="77777777" w:rsidR="00FA4AA8" w:rsidRDefault="00FA4AA8">
      <w:pPr>
        <w:pStyle w:val="BodyText"/>
        <w:spacing w:before="2"/>
        <w:rPr>
          <w:b/>
          <w:sz w:val="13"/>
        </w:rPr>
      </w:pPr>
    </w:p>
    <w:tbl>
      <w:tblPr>
        <w:tblW w:w="0" w:type="auto"/>
        <w:tblInd w:w="1089" w:type="dxa"/>
        <w:tblLayout w:type="fixed"/>
        <w:tblCellMar>
          <w:left w:w="0" w:type="dxa"/>
          <w:right w:w="0" w:type="dxa"/>
        </w:tblCellMar>
        <w:tblLook w:val="01E0" w:firstRow="1" w:lastRow="1" w:firstColumn="1" w:lastColumn="1" w:noHBand="0" w:noVBand="0"/>
      </w:tblPr>
      <w:tblGrid>
        <w:gridCol w:w="2872"/>
        <w:gridCol w:w="1513"/>
        <w:gridCol w:w="1402"/>
        <w:gridCol w:w="1237"/>
        <w:gridCol w:w="891"/>
        <w:gridCol w:w="1083"/>
      </w:tblGrid>
      <w:tr w:rsidR="00FA4AA8" w14:paraId="0050C9A7" w14:textId="77777777">
        <w:trPr>
          <w:trHeight w:val="468"/>
        </w:trPr>
        <w:tc>
          <w:tcPr>
            <w:tcW w:w="2872" w:type="dxa"/>
          </w:tcPr>
          <w:p w14:paraId="0C7C4C50" w14:textId="77777777" w:rsidR="00FA4AA8" w:rsidRDefault="0015611F">
            <w:pPr>
              <w:pStyle w:val="TableParagraph"/>
              <w:spacing w:line="201" w:lineRule="exact"/>
              <w:ind w:left="50"/>
              <w:rPr>
                <w:b/>
                <w:sz w:val="18"/>
              </w:rPr>
            </w:pPr>
            <w:r>
              <w:rPr>
                <w:b/>
                <w:sz w:val="18"/>
              </w:rPr>
              <w:t>At 1 January 2017</w:t>
            </w:r>
          </w:p>
          <w:p w14:paraId="17883E74" w14:textId="77777777" w:rsidR="00FA4AA8" w:rsidRDefault="0015611F">
            <w:pPr>
              <w:pStyle w:val="TableParagraph"/>
              <w:spacing w:before="29"/>
              <w:ind w:left="50"/>
              <w:rPr>
                <w:sz w:val="18"/>
              </w:rPr>
            </w:pPr>
            <w:r>
              <w:rPr>
                <w:sz w:val="18"/>
              </w:rPr>
              <w:t>Cost</w:t>
            </w:r>
          </w:p>
        </w:tc>
        <w:tc>
          <w:tcPr>
            <w:tcW w:w="1513" w:type="dxa"/>
          </w:tcPr>
          <w:p w14:paraId="60D0B41E" w14:textId="77777777" w:rsidR="00FA4AA8" w:rsidRDefault="00FA4AA8">
            <w:pPr>
              <w:pStyle w:val="TableParagraph"/>
              <w:spacing w:before="10"/>
              <w:rPr>
                <w:b/>
                <w:sz w:val="19"/>
              </w:rPr>
            </w:pPr>
          </w:p>
          <w:p w14:paraId="419AC3C8" w14:textId="77777777" w:rsidR="00FA4AA8" w:rsidRDefault="0015611F">
            <w:pPr>
              <w:pStyle w:val="TableParagraph"/>
              <w:spacing w:before="1"/>
              <w:ind w:right="217"/>
              <w:jc w:val="right"/>
              <w:rPr>
                <w:sz w:val="18"/>
              </w:rPr>
            </w:pPr>
            <w:r>
              <w:rPr>
                <w:sz w:val="18"/>
              </w:rPr>
              <w:t>-</w:t>
            </w:r>
          </w:p>
        </w:tc>
        <w:tc>
          <w:tcPr>
            <w:tcW w:w="1402" w:type="dxa"/>
          </w:tcPr>
          <w:p w14:paraId="6955A42C" w14:textId="77777777" w:rsidR="00FA4AA8" w:rsidRDefault="00FA4AA8">
            <w:pPr>
              <w:pStyle w:val="TableParagraph"/>
              <w:spacing w:before="10"/>
              <w:rPr>
                <w:b/>
                <w:sz w:val="19"/>
              </w:rPr>
            </w:pPr>
          </w:p>
          <w:p w14:paraId="158827FE" w14:textId="77777777" w:rsidR="00FA4AA8" w:rsidRDefault="0015611F">
            <w:pPr>
              <w:pStyle w:val="TableParagraph"/>
              <w:spacing w:before="1"/>
              <w:ind w:left="281"/>
              <w:rPr>
                <w:sz w:val="18"/>
              </w:rPr>
            </w:pPr>
            <w:r>
              <w:rPr>
                <w:sz w:val="18"/>
              </w:rPr>
              <w:t>8,742,040</w:t>
            </w:r>
          </w:p>
        </w:tc>
        <w:tc>
          <w:tcPr>
            <w:tcW w:w="1237" w:type="dxa"/>
          </w:tcPr>
          <w:p w14:paraId="2373065B" w14:textId="77777777" w:rsidR="00FA4AA8" w:rsidRDefault="00FA4AA8">
            <w:pPr>
              <w:pStyle w:val="TableParagraph"/>
              <w:spacing w:before="10"/>
              <w:rPr>
                <w:b/>
                <w:sz w:val="19"/>
              </w:rPr>
            </w:pPr>
          </w:p>
          <w:p w14:paraId="0EC784B0" w14:textId="77777777" w:rsidR="00FA4AA8" w:rsidRDefault="0015611F">
            <w:pPr>
              <w:pStyle w:val="TableParagraph"/>
              <w:spacing w:before="1"/>
              <w:ind w:right="260"/>
              <w:jc w:val="right"/>
              <w:rPr>
                <w:sz w:val="18"/>
              </w:rPr>
            </w:pPr>
            <w:r>
              <w:rPr>
                <w:sz w:val="18"/>
              </w:rPr>
              <w:t>901,463</w:t>
            </w:r>
          </w:p>
        </w:tc>
        <w:tc>
          <w:tcPr>
            <w:tcW w:w="891" w:type="dxa"/>
          </w:tcPr>
          <w:p w14:paraId="173A0D2F" w14:textId="77777777" w:rsidR="00FA4AA8" w:rsidRDefault="00FA4AA8">
            <w:pPr>
              <w:pStyle w:val="TableParagraph"/>
              <w:spacing w:before="10"/>
              <w:rPr>
                <w:b/>
                <w:sz w:val="19"/>
              </w:rPr>
            </w:pPr>
          </w:p>
          <w:p w14:paraId="29189539" w14:textId="77777777" w:rsidR="00FA4AA8" w:rsidRDefault="0015611F">
            <w:pPr>
              <w:pStyle w:val="TableParagraph"/>
              <w:spacing w:before="1"/>
              <w:ind w:right="132"/>
              <w:jc w:val="right"/>
              <w:rPr>
                <w:sz w:val="18"/>
              </w:rPr>
            </w:pPr>
            <w:r>
              <w:rPr>
                <w:sz w:val="18"/>
              </w:rPr>
              <w:t>11,909</w:t>
            </w:r>
          </w:p>
        </w:tc>
        <w:tc>
          <w:tcPr>
            <w:tcW w:w="1083" w:type="dxa"/>
          </w:tcPr>
          <w:p w14:paraId="2F217AAF" w14:textId="77777777" w:rsidR="00FA4AA8" w:rsidRDefault="00FA4AA8">
            <w:pPr>
              <w:pStyle w:val="TableParagraph"/>
              <w:spacing w:before="10"/>
              <w:rPr>
                <w:b/>
                <w:sz w:val="19"/>
              </w:rPr>
            </w:pPr>
          </w:p>
          <w:p w14:paraId="326C5049" w14:textId="77777777" w:rsidR="00FA4AA8" w:rsidRDefault="0015611F">
            <w:pPr>
              <w:pStyle w:val="TableParagraph"/>
              <w:spacing w:before="1"/>
              <w:ind w:left="201"/>
              <w:rPr>
                <w:sz w:val="18"/>
              </w:rPr>
            </w:pPr>
            <w:r>
              <w:rPr>
                <w:sz w:val="18"/>
              </w:rPr>
              <w:t>9,655,412</w:t>
            </w:r>
          </w:p>
        </w:tc>
      </w:tr>
      <w:tr w:rsidR="00FA4AA8" w14:paraId="45811A0B" w14:textId="77777777">
        <w:trPr>
          <w:trHeight w:val="258"/>
        </w:trPr>
        <w:tc>
          <w:tcPr>
            <w:tcW w:w="2872" w:type="dxa"/>
          </w:tcPr>
          <w:p w14:paraId="3654C9EF" w14:textId="77777777" w:rsidR="00FA4AA8" w:rsidRDefault="0015611F">
            <w:pPr>
              <w:pStyle w:val="TableParagraph"/>
              <w:spacing w:before="26"/>
              <w:ind w:left="50"/>
              <w:rPr>
                <w:sz w:val="18"/>
              </w:rPr>
            </w:pPr>
            <w:r>
              <w:rPr>
                <w:sz w:val="18"/>
              </w:rPr>
              <w:t>Accumulated depreciation</w:t>
            </w:r>
          </w:p>
        </w:tc>
        <w:tc>
          <w:tcPr>
            <w:tcW w:w="1513" w:type="dxa"/>
            <w:tcBorders>
              <w:bottom w:val="single" w:sz="8" w:space="0" w:color="000000"/>
            </w:tcBorders>
          </w:tcPr>
          <w:p w14:paraId="6DD3AD7D" w14:textId="77777777" w:rsidR="00FA4AA8" w:rsidRDefault="0015611F">
            <w:pPr>
              <w:pStyle w:val="TableParagraph"/>
              <w:spacing w:before="25"/>
              <w:ind w:right="217"/>
              <w:jc w:val="right"/>
              <w:rPr>
                <w:sz w:val="18"/>
              </w:rPr>
            </w:pPr>
            <w:r>
              <w:rPr>
                <w:sz w:val="18"/>
              </w:rPr>
              <w:t>-</w:t>
            </w:r>
          </w:p>
        </w:tc>
        <w:tc>
          <w:tcPr>
            <w:tcW w:w="1402" w:type="dxa"/>
            <w:tcBorders>
              <w:bottom w:val="single" w:sz="8" w:space="0" w:color="000000"/>
            </w:tcBorders>
          </w:tcPr>
          <w:p w14:paraId="6CB39090" w14:textId="77777777" w:rsidR="00FA4AA8" w:rsidRDefault="0015611F">
            <w:pPr>
              <w:pStyle w:val="TableParagraph"/>
              <w:spacing w:before="25"/>
              <w:ind w:left="221"/>
              <w:rPr>
                <w:sz w:val="18"/>
              </w:rPr>
            </w:pPr>
            <w:r>
              <w:rPr>
                <w:sz w:val="18"/>
              </w:rPr>
              <w:t>(3,841,451)</w:t>
            </w:r>
          </w:p>
        </w:tc>
        <w:tc>
          <w:tcPr>
            <w:tcW w:w="1237" w:type="dxa"/>
            <w:tcBorders>
              <w:bottom w:val="single" w:sz="8" w:space="0" w:color="000000"/>
            </w:tcBorders>
          </w:tcPr>
          <w:p w14:paraId="3FBDE3C4" w14:textId="77777777" w:rsidR="00FA4AA8" w:rsidRDefault="0015611F">
            <w:pPr>
              <w:pStyle w:val="TableParagraph"/>
              <w:spacing w:before="25"/>
              <w:ind w:right="200"/>
              <w:jc w:val="right"/>
              <w:rPr>
                <w:sz w:val="18"/>
              </w:rPr>
            </w:pPr>
            <w:r>
              <w:rPr>
                <w:sz w:val="18"/>
              </w:rPr>
              <w:t>(551,666)</w:t>
            </w:r>
          </w:p>
        </w:tc>
        <w:tc>
          <w:tcPr>
            <w:tcW w:w="891" w:type="dxa"/>
            <w:tcBorders>
              <w:bottom w:val="single" w:sz="8" w:space="0" w:color="000000"/>
            </w:tcBorders>
          </w:tcPr>
          <w:p w14:paraId="72D7AEFE" w14:textId="77777777" w:rsidR="00FA4AA8" w:rsidRDefault="0015611F">
            <w:pPr>
              <w:pStyle w:val="TableParagraph"/>
              <w:spacing w:before="25"/>
              <w:ind w:right="132"/>
              <w:jc w:val="right"/>
              <w:rPr>
                <w:sz w:val="18"/>
              </w:rPr>
            </w:pPr>
            <w:r>
              <w:rPr>
                <w:sz w:val="18"/>
              </w:rPr>
              <w:t>-</w:t>
            </w:r>
          </w:p>
        </w:tc>
        <w:tc>
          <w:tcPr>
            <w:tcW w:w="1083" w:type="dxa"/>
            <w:tcBorders>
              <w:bottom w:val="single" w:sz="8" w:space="0" w:color="000000"/>
            </w:tcBorders>
          </w:tcPr>
          <w:p w14:paraId="5761297A" w14:textId="77777777" w:rsidR="00FA4AA8" w:rsidRDefault="0015611F">
            <w:pPr>
              <w:pStyle w:val="TableParagraph"/>
              <w:spacing w:before="25"/>
              <w:ind w:right="21"/>
              <w:jc w:val="right"/>
              <w:rPr>
                <w:sz w:val="18"/>
              </w:rPr>
            </w:pPr>
            <w:r>
              <w:rPr>
                <w:sz w:val="18"/>
              </w:rPr>
              <w:t>(4,393,117)</w:t>
            </w:r>
          </w:p>
        </w:tc>
      </w:tr>
      <w:tr w:rsidR="00FA4AA8" w14:paraId="67A9A364" w14:textId="77777777">
        <w:trPr>
          <w:trHeight w:val="318"/>
        </w:trPr>
        <w:tc>
          <w:tcPr>
            <w:tcW w:w="2872" w:type="dxa"/>
          </w:tcPr>
          <w:p w14:paraId="04D0E0FB" w14:textId="77777777" w:rsidR="00FA4AA8" w:rsidRDefault="0015611F">
            <w:pPr>
              <w:pStyle w:val="TableParagraph"/>
              <w:spacing w:before="113" w:line="185" w:lineRule="exact"/>
              <w:ind w:left="50"/>
              <w:rPr>
                <w:b/>
                <w:sz w:val="18"/>
              </w:rPr>
            </w:pPr>
            <w:r>
              <w:rPr>
                <w:b/>
                <w:sz w:val="18"/>
              </w:rPr>
              <w:t>Net book amount</w:t>
            </w:r>
          </w:p>
        </w:tc>
        <w:tc>
          <w:tcPr>
            <w:tcW w:w="1513" w:type="dxa"/>
            <w:tcBorders>
              <w:top w:val="single" w:sz="8" w:space="0" w:color="000000"/>
              <w:bottom w:val="single" w:sz="8" w:space="0" w:color="000000"/>
            </w:tcBorders>
          </w:tcPr>
          <w:p w14:paraId="5C53AD83" w14:textId="77777777" w:rsidR="00FA4AA8" w:rsidRDefault="0015611F">
            <w:pPr>
              <w:pStyle w:val="TableParagraph"/>
              <w:spacing w:before="113" w:line="185" w:lineRule="exact"/>
              <w:ind w:right="217"/>
              <w:jc w:val="right"/>
              <w:rPr>
                <w:sz w:val="18"/>
              </w:rPr>
            </w:pPr>
            <w:r>
              <w:rPr>
                <w:sz w:val="18"/>
              </w:rPr>
              <w:t>-</w:t>
            </w:r>
          </w:p>
        </w:tc>
        <w:tc>
          <w:tcPr>
            <w:tcW w:w="1402" w:type="dxa"/>
            <w:tcBorders>
              <w:top w:val="single" w:sz="8" w:space="0" w:color="000000"/>
              <w:bottom w:val="single" w:sz="8" w:space="0" w:color="000000"/>
            </w:tcBorders>
          </w:tcPr>
          <w:p w14:paraId="11345A80" w14:textId="77777777" w:rsidR="00FA4AA8" w:rsidRDefault="0015611F">
            <w:pPr>
              <w:pStyle w:val="TableParagraph"/>
              <w:spacing w:before="113" w:line="185" w:lineRule="exact"/>
              <w:ind w:left="281"/>
              <w:rPr>
                <w:sz w:val="18"/>
              </w:rPr>
            </w:pPr>
            <w:r>
              <w:rPr>
                <w:sz w:val="18"/>
              </w:rPr>
              <w:t>4,900,589</w:t>
            </w:r>
          </w:p>
        </w:tc>
        <w:tc>
          <w:tcPr>
            <w:tcW w:w="1237" w:type="dxa"/>
            <w:tcBorders>
              <w:top w:val="single" w:sz="8" w:space="0" w:color="000000"/>
              <w:bottom w:val="single" w:sz="8" w:space="0" w:color="000000"/>
            </w:tcBorders>
          </w:tcPr>
          <w:p w14:paraId="2080A729" w14:textId="77777777" w:rsidR="00FA4AA8" w:rsidRDefault="0015611F">
            <w:pPr>
              <w:pStyle w:val="TableParagraph"/>
              <w:spacing w:before="113" w:line="185" w:lineRule="exact"/>
              <w:ind w:right="260"/>
              <w:jc w:val="right"/>
              <w:rPr>
                <w:sz w:val="18"/>
              </w:rPr>
            </w:pPr>
            <w:r>
              <w:rPr>
                <w:sz w:val="18"/>
              </w:rPr>
              <w:t>349,797</w:t>
            </w:r>
          </w:p>
        </w:tc>
        <w:tc>
          <w:tcPr>
            <w:tcW w:w="891" w:type="dxa"/>
            <w:tcBorders>
              <w:top w:val="single" w:sz="8" w:space="0" w:color="000000"/>
              <w:bottom w:val="single" w:sz="8" w:space="0" w:color="000000"/>
            </w:tcBorders>
          </w:tcPr>
          <w:p w14:paraId="02998E64" w14:textId="77777777" w:rsidR="00FA4AA8" w:rsidRDefault="0015611F">
            <w:pPr>
              <w:pStyle w:val="TableParagraph"/>
              <w:spacing w:before="113" w:line="185" w:lineRule="exact"/>
              <w:ind w:right="132"/>
              <w:jc w:val="right"/>
              <w:rPr>
                <w:sz w:val="18"/>
              </w:rPr>
            </w:pPr>
            <w:r>
              <w:rPr>
                <w:sz w:val="18"/>
              </w:rPr>
              <w:t>11,909</w:t>
            </w:r>
          </w:p>
        </w:tc>
        <w:tc>
          <w:tcPr>
            <w:tcW w:w="1083" w:type="dxa"/>
            <w:tcBorders>
              <w:top w:val="single" w:sz="8" w:space="0" w:color="000000"/>
              <w:bottom w:val="single" w:sz="8" w:space="0" w:color="000000"/>
            </w:tcBorders>
          </w:tcPr>
          <w:p w14:paraId="57F8322C" w14:textId="77777777" w:rsidR="00FA4AA8" w:rsidRDefault="0015611F">
            <w:pPr>
              <w:pStyle w:val="TableParagraph"/>
              <w:spacing w:before="113" w:line="185" w:lineRule="exact"/>
              <w:ind w:left="201"/>
              <w:rPr>
                <w:sz w:val="18"/>
              </w:rPr>
            </w:pPr>
            <w:r>
              <w:rPr>
                <w:sz w:val="18"/>
              </w:rPr>
              <w:t>5,262,295</w:t>
            </w:r>
          </w:p>
        </w:tc>
      </w:tr>
      <w:tr w:rsidR="00FA4AA8" w14:paraId="5B96EA74" w14:textId="77777777">
        <w:trPr>
          <w:trHeight w:val="587"/>
        </w:trPr>
        <w:tc>
          <w:tcPr>
            <w:tcW w:w="2872" w:type="dxa"/>
          </w:tcPr>
          <w:p w14:paraId="71EE2943" w14:textId="77777777" w:rsidR="00FA4AA8" w:rsidRDefault="0015611F">
            <w:pPr>
              <w:pStyle w:val="TableParagraph"/>
              <w:spacing w:before="113"/>
              <w:ind w:left="50"/>
              <w:rPr>
                <w:b/>
                <w:sz w:val="18"/>
              </w:rPr>
            </w:pPr>
            <w:r>
              <w:rPr>
                <w:b/>
                <w:sz w:val="18"/>
              </w:rPr>
              <w:t>Year ended 31 December 2017</w:t>
            </w:r>
          </w:p>
          <w:p w14:paraId="58B1EBCB" w14:textId="77777777" w:rsidR="00FA4AA8" w:rsidRDefault="0015611F">
            <w:pPr>
              <w:pStyle w:val="TableParagraph"/>
              <w:spacing w:before="29"/>
              <w:ind w:left="50"/>
              <w:rPr>
                <w:sz w:val="18"/>
              </w:rPr>
            </w:pPr>
            <w:r>
              <w:rPr>
                <w:sz w:val="18"/>
              </w:rPr>
              <w:t>Opening net book amount</w:t>
            </w:r>
          </w:p>
        </w:tc>
        <w:tc>
          <w:tcPr>
            <w:tcW w:w="1513" w:type="dxa"/>
            <w:tcBorders>
              <w:top w:val="single" w:sz="8" w:space="0" w:color="000000"/>
            </w:tcBorders>
          </w:tcPr>
          <w:p w14:paraId="3CAFBFB6" w14:textId="77777777" w:rsidR="00FA4AA8" w:rsidRDefault="00FA4AA8">
            <w:pPr>
              <w:pStyle w:val="TableParagraph"/>
              <w:rPr>
                <w:b/>
                <w:sz w:val="20"/>
              </w:rPr>
            </w:pPr>
          </w:p>
          <w:p w14:paraId="3D5A7159" w14:textId="77777777" w:rsidR="00FA4AA8" w:rsidRDefault="0015611F">
            <w:pPr>
              <w:pStyle w:val="TableParagraph"/>
              <w:spacing w:before="118"/>
              <w:ind w:right="217"/>
              <w:jc w:val="right"/>
              <w:rPr>
                <w:sz w:val="18"/>
              </w:rPr>
            </w:pPr>
            <w:r>
              <w:rPr>
                <w:sz w:val="18"/>
              </w:rPr>
              <w:t>-</w:t>
            </w:r>
          </w:p>
        </w:tc>
        <w:tc>
          <w:tcPr>
            <w:tcW w:w="1402" w:type="dxa"/>
            <w:tcBorders>
              <w:top w:val="single" w:sz="8" w:space="0" w:color="000000"/>
            </w:tcBorders>
          </w:tcPr>
          <w:p w14:paraId="51BB4111" w14:textId="77777777" w:rsidR="00FA4AA8" w:rsidRDefault="00FA4AA8">
            <w:pPr>
              <w:pStyle w:val="TableParagraph"/>
              <w:rPr>
                <w:b/>
                <w:sz w:val="20"/>
              </w:rPr>
            </w:pPr>
          </w:p>
          <w:p w14:paraId="17BC0BEF" w14:textId="77777777" w:rsidR="00FA4AA8" w:rsidRDefault="0015611F">
            <w:pPr>
              <w:pStyle w:val="TableParagraph"/>
              <w:spacing w:before="118"/>
              <w:ind w:left="281"/>
              <w:rPr>
                <w:sz w:val="18"/>
              </w:rPr>
            </w:pPr>
            <w:r>
              <w:rPr>
                <w:sz w:val="18"/>
              </w:rPr>
              <w:t>4,900,589</w:t>
            </w:r>
          </w:p>
        </w:tc>
        <w:tc>
          <w:tcPr>
            <w:tcW w:w="1237" w:type="dxa"/>
            <w:tcBorders>
              <w:top w:val="single" w:sz="8" w:space="0" w:color="000000"/>
            </w:tcBorders>
          </w:tcPr>
          <w:p w14:paraId="242292BD" w14:textId="77777777" w:rsidR="00FA4AA8" w:rsidRDefault="00FA4AA8">
            <w:pPr>
              <w:pStyle w:val="TableParagraph"/>
              <w:rPr>
                <w:b/>
                <w:sz w:val="20"/>
              </w:rPr>
            </w:pPr>
          </w:p>
          <w:p w14:paraId="5D641800" w14:textId="77777777" w:rsidR="00FA4AA8" w:rsidRDefault="0015611F">
            <w:pPr>
              <w:pStyle w:val="TableParagraph"/>
              <w:spacing w:before="118"/>
              <w:ind w:right="260"/>
              <w:jc w:val="right"/>
              <w:rPr>
                <w:sz w:val="18"/>
              </w:rPr>
            </w:pPr>
            <w:r>
              <w:rPr>
                <w:sz w:val="18"/>
              </w:rPr>
              <w:t>349,797</w:t>
            </w:r>
          </w:p>
        </w:tc>
        <w:tc>
          <w:tcPr>
            <w:tcW w:w="891" w:type="dxa"/>
            <w:tcBorders>
              <w:top w:val="single" w:sz="8" w:space="0" w:color="000000"/>
            </w:tcBorders>
          </w:tcPr>
          <w:p w14:paraId="63F9B2CE" w14:textId="77777777" w:rsidR="00FA4AA8" w:rsidRDefault="00FA4AA8">
            <w:pPr>
              <w:pStyle w:val="TableParagraph"/>
              <w:rPr>
                <w:b/>
                <w:sz w:val="20"/>
              </w:rPr>
            </w:pPr>
          </w:p>
          <w:p w14:paraId="7D4D7DDF" w14:textId="77777777" w:rsidR="00FA4AA8" w:rsidRDefault="0015611F">
            <w:pPr>
              <w:pStyle w:val="TableParagraph"/>
              <w:spacing w:before="118"/>
              <w:ind w:right="132"/>
              <w:jc w:val="right"/>
              <w:rPr>
                <w:sz w:val="18"/>
              </w:rPr>
            </w:pPr>
            <w:r>
              <w:rPr>
                <w:sz w:val="18"/>
              </w:rPr>
              <w:t>11,909</w:t>
            </w:r>
          </w:p>
        </w:tc>
        <w:tc>
          <w:tcPr>
            <w:tcW w:w="1083" w:type="dxa"/>
            <w:tcBorders>
              <w:top w:val="single" w:sz="8" w:space="0" w:color="000000"/>
            </w:tcBorders>
          </w:tcPr>
          <w:p w14:paraId="20E2C994" w14:textId="77777777" w:rsidR="00FA4AA8" w:rsidRDefault="00FA4AA8">
            <w:pPr>
              <w:pStyle w:val="TableParagraph"/>
              <w:rPr>
                <w:b/>
                <w:sz w:val="20"/>
              </w:rPr>
            </w:pPr>
          </w:p>
          <w:p w14:paraId="375BE618" w14:textId="77777777" w:rsidR="00FA4AA8" w:rsidRDefault="0015611F">
            <w:pPr>
              <w:pStyle w:val="TableParagraph"/>
              <w:spacing w:before="118"/>
              <w:ind w:left="201"/>
              <w:rPr>
                <w:sz w:val="18"/>
              </w:rPr>
            </w:pPr>
            <w:r>
              <w:rPr>
                <w:sz w:val="18"/>
              </w:rPr>
              <w:t>5,262,295</w:t>
            </w:r>
          </w:p>
        </w:tc>
      </w:tr>
      <w:tr w:rsidR="00FA4AA8" w14:paraId="25EF15D3" w14:textId="77777777">
        <w:trPr>
          <w:trHeight w:val="263"/>
        </w:trPr>
        <w:tc>
          <w:tcPr>
            <w:tcW w:w="2872" w:type="dxa"/>
          </w:tcPr>
          <w:p w14:paraId="47AD45C6" w14:textId="77777777" w:rsidR="00FA4AA8" w:rsidRDefault="0015611F">
            <w:pPr>
              <w:pStyle w:val="TableParagraph"/>
              <w:spacing w:before="26"/>
              <w:ind w:left="50"/>
              <w:rPr>
                <w:sz w:val="18"/>
              </w:rPr>
            </w:pPr>
            <w:r>
              <w:rPr>
                <w:sz w:val="18"/>
              </w:rPr>
              <w:t>Additions</w:t>
            </w:r>
          </w:p>
        </w:tc>
        <w:tc>
          <w:tcPr>
            <w:tcW w:w="1513" w:type="dxa"/>
          </w:tcPr>
          <w:p w14:paraId="5D5A8A67" w14:textId="77777777" w:rsidR="00FA4AA8" w:rsidRDefault="0015611F">
            <w:pPr>
              <w:pStyle w:val="TableParagraph"/>
              <w:spacing w:before="25"/>
              <w:ind w:right="217"/>
              <w:jc w:val="right"/>
              <w:rPr>
                <w:sz w:val="18"/>
              </w:rPr>
            </w:pPr>
            <w:r>
              <w:rPr>
                <w:sz w:val="18"/>
              </w:rPr>
              <w:t>-</w:t>
            </w:r>
          </w:p>
        </w:tc>
        <w:tc>
          <w:tcPr>
            <w:tcW w:w="1402" w:type="dxa"/>
          </w:tcPr>
          <w:p w14:paraId="757C8A93" w14:textId="77777777" w:rsidR="00FA4AA8" w:rsidRDefault="0015611F">
            <w:pPr>
              <w:pStyle w:val="TableParagraph"/>
              <w:spacing w:before="25"/>
              <w:ind w:left="431"/>
              <w:rPr>
                <w:sz w:val="18"/>
              </w:rPr>
            </w:pPr>
            <w:r>
              <w:rPr>
                <w:sz w:val="18"/>
              </w:rPr>
              <w:t>463,946</w:t>
            </w:r>
          </w:p>
        </w:tc>
        <w:tc>
          <w:tcPr>
            <w:tcW w:w="1237" w:type="dxa"/>
          </w:tcPr>
          <w:p w14:paraId="45DD1E97" w14:textId="77777777" w:rsidR="00FA4AA8" w:rsidRDefault="0015611F">
            <w:pPr>
              <w:pStyle w:val="TableParagraph"/>
              <w:spacing w:before="25"/>
              <w:ind w:right="260"/>
              <w:jc w:val="right"/>
              <w:rPr>
                <w:sz w:val="18"/>
              </w:rPr>
            </w:pPr>
            <w:r>
              <w:rPr>
                <w:sz w:val="18"/>
              </w:rPr>
              <w:t>44,185</w:t>
            </w:r>
          </w:p>
        </w:tc>
        <w:tc>
          <w:tcPr>
            <w:tcW w:w="891" w:type="dxa"/>
          </w:tcPr>
          <w:p w14:paraId="4EEB63FE" w14:textId="77777777" w:rsidR="00FA4AA8" w:rsidRDefault="0015611F">
            <w:pPr>
              <w:pStyle w:val="TableParagraph"/>
              <w:spacing w:before="25"/>
              <w:ind w:right="132"/>
              <w:jc w:val="right"/>
              <w:rPr>
                <w:sz w:val="18"/>
              </w:rPr>
            </w:pPr>
            <w:r>
              <w:rPr>
                <w:sz w:val="18"/>
              </w:rPr>
              <w:t>-</w:t>
            </w:r>
          </w:p>
        </w:tc>
        <w:tc>
          <w:tcPr>
            <w:tcW w:w="1083" w:type="dxa"/>
          </w:tcPr>
          <w:p w14:paraId="3767D8A5" w14:textId="77777777" w:rsidR="00FA4AA8" w:rsidRDefault="0015611F">
            <w:pPr>
              <w:pStyle w:val="TableParagraph"/>
              <w:spacing w:before="25"/>
              <w:ind w:left="351"/>
              <w:rPr>
                <w:sz w:val="18"/>
              </w:rPr>
            </w:pPr>
            <w:r>
              <w:rPr>
                <w:sz w:val="18"/>
              </w:rPr>
              <w:t>508,131</w:t>
            </w:r>
          </w:p>
        </w:tc>
      </w:tr>
      <w:tr w:rsidR="00FA4AA8" w14:paraId="71636081" w14:textId="77777777">
        <w:trPr>
          <w:trHeight w:val="258"/>
        </w:trPr>
        <w:tc>
          <w:tcPr>
            <w:tcW w:w="2872" w:type="dxa"/>
          </w:tcPr>
          <w:p w14:paraId="6024F7FF" w14:textId="77777777" w:rsidR="00FA4AA8" w:rsidRDefault="0015611F">
            <w:pPr>
              <w:pStyle w:val="TableParagraph"/>
              <w:spacing w:before="26"/>
              <w:ind w:left="50"/>
              <w:rPr>
                <w:sz w:val="18"/>
              </w:rPr>
            </w:pPr>
            <w:r>
              <w:rPr>
                <w:sz w:val="18"/>
              </w:rPr>
              <w:t>Depreciation expense</w:t>
            </w:r>
          </w:p>
        </w:tc>
        <w:tc>
          <w:tcPr>
            <w:tcW w:w="1513" w:type="dxa"/>
            <w:tcBorders>
              <w:bottom w:val="single" w:sz="8" w:space="0" w:color="000000"/>
            </w:tcBorders>
          </w:tcPr>
          <w:p w14:paraId="054AE242" w14:textId="77777777" w:rsidR="00FA4AA8" w:rsidRDefault="0015611F">
            <w:pPr>
              <w:pStyle w:val="TableParagraph"/>
              <w:spacing w:before="25"/>
              <w:ind w:right="217"/>
              <w:jc w:val="right"/>
              <w:rPr>
                <w:sz w:val="18"/>
              </w:rPr>
            </w:pPr>
            <w:r>
              <w:rPr>
                <w:sz w:val="18"/>
              </w:rPr>
              <w:t>-</w:t>
            </w:r>
          </w:p>
        </w:tc>
        <w:tc>
          <w:tcPr>
            <w:tcW w:w="1402" w:type="dxa"/>
            <w:tcBorders>
              <w:bottom w:val="single" w:sz="8" w:space="0" w:color="000000"/>
            </w:tcBorders>
          </w:tcPr>
          <w:p w14:paraId="24D6B1AE" w14:textId="77777777" w:rsidR="00FA4AA8" w:rsidRDefault="0015611F">
            <w:pPr>
              <w:pStyle w:val="TableParagraph"/>
              <w:spacing w:before="25"/>
              <w:ind w:left="221"/>
              <w:rPr>
                <w:sz w:val="18"/>
              </w:rPr>
            </w:pPr>
            <w:r>
              <w:rPr>
                <w:sz w:val="18"/>
              </w:rPr>
              <w:t>(1,420,153)</w:t>
            </w:r>
          </w:p>
        </w:tc>
        <w:tc>
          <w:tcPr>
            <w:tcW w:w="1237" w:type="dxa"/>
            <w:tcBorders>
              <w:bottom w:val="single" w:sz="8" w:space="0" w:color="000000"/>
            </w:tcBorders>
          </w:tcPr>
          <w:p w14:paraId="5B6B206C" w14:textId="77777777" w:rsidR="00FA4AA8" w:rsidRDefault="0015611F">
            <w:pPr>
              <w:pStyle w:val="TableParagraph"/>
              <w:spacing w:before="25"/>
              <w:ind w:right="200"/>
              <w:jc w:val="right"/>
              <w:rPr>
                <w:sz w:val="18"/>
              </w:rPr>
            </w:pPr>
            <w:r>
              <w:rPr>
                <w:sz w:val="18"/>
              </w:rPr>
              <w:t>(95,904)</w:t>
            </w:r>
          </w:p>
        </w:tc>
        <w:tc>
          <w:tcPr>
            <w:tcW w:w="891" w:type="dxa"/>
            <w:tcBorders>
              <w:bottom w:val="single" w:sz="8" w:space="0" w:color="000000"/>
            </w:tcBorders>
          </w:tcPr>
          <w:p w14:paraId="37C7C2A0" w14:textId="77777777" w:rsidR="00FA4AA8" w:rsidRDefault="0015611F">
            <w:pPr>
              <w:pStyle w:val="TableParagraph"/>
              <w:spacing w:before="25"/>
              <w:ind w:right="132"/>
              <w:jc w:val="right"/>
              <w:rPr>
                <w:sz w:val="18"/>
              </w:rPr>
            </w:pPr>
            <w:r>
              <w:rPr>
                <w:sz w:val="18"/>
              </w:rPr>
              <w:t>-</w:t>
            </w:r>
          </w:p>
        </w:tc>
        <w:tc>
          <w:tcPr>
            <w:tcW w:w="1083" w:type="dxa"/>
            <w:tcBorders>
              <w:bottom w:val="single" w:sz="8" w:space="0" w:color="000000"/>
            </w:tcBorders>
          </w:tcPr>
          <w:p w14:paraId="0582437A" w14:textId="77777777" w:rsidR="00FA4AA8" w:rsidRDefault="0015611F">
            <w:pPr>
              <w:pStyle w:val="TableParagraph"/>
              <w:spacing w:before="25"/>
              <w:ind w:right="21"/>
              <w:jc w:val="right"/>
              <w:rPr>
                <w:sz w:val="18"/>
              </w:rPr>
            </w:pPr>
            <w:r>
              <w:rPr>
                <w:sz w:val="18"/>
              </w:rPr>
              <w:t>(1,516,057)</w:t>
            </w:r>
          </w:p>
        </w:tc>
      </w:tr>
      <w:tr w:rsidR="00FA4AA8" w14:paraId="503DCBF9" w14:textId="77777777">
        <w:trPr>
          <w:trHeight w:val="318"/>
        </w:trPr>
        <w:tc>
          <w:tcPr>
            <w:tcW w:w="2872" w:type="dxa"/>
          </w:tcPr>
          <w:p w14:paraId="0C7A361E" w14:textId="77777777" w:rsidR="00FA4AA8" w:rsidRDefault="0015611F">
            <w:pPr>
              <w:pStyle w:val="TableParagraph"/>
              <w:spacing w:before="113" w:line="185" w:lineRule="exact"/>
              <w:ind w:left="50"/>
              <w:rPr>
                <w:b/>
                <w:sz w:val="18"/>
              </w:rPr>
            </w:pPr>
            <w:r>
              <w:rPr>
                <w:b/>
                <w:sz w:val="18"/>
              </w:rPr>
              <w:t>Closing net book amount</w:t>
            </w:r>
          </w:p>
        </w:tc>
        <w:tc>
          <w:tcPr>
            <w:tcW w:w="1513" w:type="dxa"/>
            <w:tcBorders>
              <w:top w:val="single" w:sz="8" w:space="0" w:color="000000"/>
              <w:bottom w:val="single" w:sz="8" w:space="0" w:color="000000"/>
            </w:tcBorders>
          </w:tcPr>
          <w:p w14:paraId="477ADD1D" w14:textId="77777777" w:rsidR="00FA4AA8" w:rsidRDefault="0015611F">
            <w:pPr>
              <w:pStyle w:val="TableParagraph"/>
              <w:spacing w:before="113" w:line="185" w:lineRule="exact"/>
              <w:ind w:right="217"/>
              <w:jc w:val="right"/>
              <w:rPr>
                <w:sz w:val="18"/>
              </w:rPr>
            </w:pPr>
            <w:r>
              <w:rPr>
                <w:sz w:val="18"/>
              </w:rPr>
              <w:t>-</w:t>
            </w:r>
          </w:p>
        </w:tc>
        <w:tc>
          <w:tcPr>
            <w:tcW w:w="1402" w:type="dxa"/>
            <w:tcBorders>
              <w:top w:val="single" w:sz="8" w:space="0" w:color="000000"/>
              <w:bottom w:val="single" w:sz="8" w:space="0" w:color="000000"/>
            </w:tcBorders>
          </w:tcPr>
          <w:p w14:paraId="4F816E90" w14:textId="77777777" w:rsidR="00FA4AA8" w:rsidRDefault="0015611F">
            <w:pPr>
              <w:pStyle w:val="TableParagraph"/>
              <w:spacing w:before="113" w:line="185" w:lineRule="exact"/>
              <w:ind w:left="281"/>
              <w:rPr>
                <w:sz w:val="18"/>
              </w:rPr>
            </w:pPr>
            <w:r>
              <w:rPr>
                <w:sz w:val="18"/>
              </w:rPr>
              <w:t>3,944,382</w:t>
            </w:r>
          </w:p>
        </w:tc>
        <w:tc>
          <w:tcPr>
            <w:tcW w:w="1237" w:type="dxa"/>
            <w:tcBorders>
              <w:top w:val="single" w:sz="8" w:space="0" w:color="000000"/>
              <w:bottom w:val="single" w:sz="8" w:space="0" w:color="000000"/>
            </w:tcBorders>
          </w:tcPr>
          <w:p w14:paraId="337B59AA" w14:textId="77777777" w:rsidR="00FA4AA8" w:rsidRDefault="0015611F">
            <w:pPr>
              <w:pStyle w:val="TableParagraph"/>
              <w:spacing w:before="113" w:line="185" w:lineRule="exact"/>
              <w:ind w:right="260"/>
              <w:jc w:val="right"/>
              <w:rPr>
                <w:sz w:val="18"/>
              </w:rPr>
            </w:pPr>
            <w:r>
              <w:rPr>
                <w:sz w:val="18"/>
              </w:rPr>
              <w:t>298,078</w:t>
            </w:r>
          </w:p>
        </w:tc>
        <w:tc>
          <w:tcPr>
            <w:tcW w:w="891" w:type="dxa"/>
            <w:tcBorders>
              <w:top w:val="single" w:sz="8" w:space="0" w:color="000000"/>
              <w:bottom w:val="single" w:sz="8" w:space="0" w:color="000000"/>
            </w:tcBorders>
          </w:tcPr>
          <w:p w14:paraId="1E2B8FF3" w14:textId="77777777" w:rsidR="00FA4AA8" w:rsidRDefault="0015611F">
            <w:pPr>
              <w:pStyle w:val="TableParagraph"/>
              <w:spacing w:before="113" w:line="185" w:lineRule="exact"/>
              <w:ind w:right="132"/>
              <w:jc w:val="right"/>
              <w:rPr>
                <w:sz w:val="18"/>
              </w:rPr>
            </w:pPr>
            <w:r>
              <w:rPr>
                <w:sz w:val="18"/>
              </w:rPr>
              <w:t>11,909</w:t>
            </w:r>
          </w:p>
        </w:tc>
        <w:tc>
          <w:tcPr>
            <w:tcW w:w="1083" w:type="dxa"/>
            <w:tcBorders>
              <w:top w:val="single" w:sz="8" w:space="0" w:color="000000"/>
              <w:bottom w:val="single" w:sz="8" w:space="0" w:color="000000"/>
            </w:tcBorders>
          </w:tcPr>
          <w:p w14:paraId="083E11CE" w14:textId="77777777" w:rsidR="00FA4AA8" w:rsidRDefault="0015611F">
            <w:pPr>
              <w:pStyle w:val="TableParagraph"/>
              <w:spacing w:before="113" w:line="185" w:lineRule="exact"/>
              <w:ind w:left="201"/>
              <w:rPr>
                <w:sz w:val="18"/>
              </w:rPr>
            </w:pPr>
            <w:r>
              <w:rPr>
                <w:sz w:val="18"/>
              </w:rPr>
              <w:t>4,254,369</w:t>
            </w:r>
          </w:p>
        </w:tc>
      </w:tr>
      <w:tr w:rsidR="00FA4AA8" w14:paraId="1E7743DE" w14:textId="77777777">
        <w:trPr>
          <w:trHeight w:val="587"/>
        </w:trPr>
        <w:tc>
          <w:tcPr>
            <w:tcW w:w="2872" w:type="dxa"/>
          </w:tcPr>
          <w:p w14:paraId="6DC6FBE0" w14:textId="77777777" w:rsidR="00FA4AA8" w:rsidRDefault="0015611F">
            <w:pPr>
              <w:pStyle w:val="TableParagraph"/>
              <w:spacing w:before="113"/>
              <w:ind w:left="50"/>
              <w:rPr>
                <w:b/>
                <w:sz w:val="18"/>
              </w:rPr>
            </w:pPr>
            <w:r>
              <w:rPr>
                <w:b/>
                <w:sz w:val="18"/>
              </w:rPr>
              <w:t>At 31 December 2017</w:t>
            </w:r>
          </w:p>
          <w:p w14:paraId="05B9BA36" w14:textId="77777777" w:rsidR="00FA4AA8" w:rsidRDefault="0015611F">
            <w:pPr>
              <w:pStyle w:val="TableParagraph"/>
              <w:spacing w:before="29"/>
              <w:ind w:left="50"/>
              <w:rPr>
                <w:sz w:val="18"/>
              </w:rPr>
            </w:pPr>
            <w:r>
              <w:rPr>
                <w:sz w:val="18"/>
              </w:rPr>
              <w:t>Cost</w:t>
            </w:r>
          </w:p>
        </w:tc>
        <w:tc>
          <w:tcPr>
            <w:tcW w:w="1513" w:type="dxa"/>
            <w:tcBorders>
              <w:top w:val="single" w:sz="8" w:space="0" w:color="000000"/>
            </w:tcBorders>
          </w:tcPr>
          <w:p w14:paraId="41296A95" w14:textId="77777777" w:rsidR="00FA4AA8" w:rsidRDefault="00FA4AA8">
            <w:pPr>
              <w:pStyle w:val="TableParagraph"/>
              <w:rPr>
                <w:b/>
                <w:sz w:val="20"/>
              </w:rPr>
            </w:pPr>
          </w:p>
          <w:p w14:paraId="6CEA9C1C" w14:textId="77777777" w:rsidR="00FA4AA8" w:rsidRDefault="0015611F">
            <w:pPr>
              <w:pStyle w:val="TableParagraph"/>
              <w:spacing w:before="118"/>
              <w:ind w:right="217"/>
              <w:jc w:val="right"/>
              <w:rPr>
                <w:sz w:val="18"/>
              </w:rPr>
            </w:pPr>
            <w:r>
              <w:rPr>
                <w:sz w:val="18"/>
              </w:rPr>
              <w:t>-</w:t>
            </w:r>
          </w:p>
        </w:tc>
        <w:tc>
          <w:tcPr>
            <w:tcW w:w="1402" w:type="dxa"/>
            <w:tcBorders>
              <w:top w:val="single" w:sz="8" w:space="0" w:color="000000"/>
            </w:tcBorders>
          </w:tcPr>
          <w:p w14:paraId="7F73D109" w14:textId="77777777" w:rsidR="00FA4AA8" w:rsidRDefault="00FA4AA8">
            <w:pPr>
              <w:pStyle w:val="TableParagraph"/>
              <w:rPr>
                <w:b/>
                <w:sz w:val="20"/>
              </w:rPr>
            </w:pPr>
          </w:p>
          <w:p w14:paraId="192731A5" w14:textId="77777777" w:rsidR="00FA4AA8" w:rsidRDefault="0015611F">
            <w:pPr>
              <w:pStyle w:val="TableParagraph"/>
              <w:spacing w:before="118"/>
              <w:ind w:left="281"/>
              <w:rPr>
                <w:sz w:val="18"/>
              </w:rPr>
            </w:pPr>
            <w:r>
              <w:rPr>
                <w:sz w:val="18"/>
              </w:rPr>
              <w:t>7,808,816</w:t>
            </w:r>
          </w:p>
        </w:tc>
        <w:tc>
          <w:tcPr>
            <w:tcW w:w="1237" w:type="dxa"/>
            <w:tcBorders>
              <w:top w:val="single" w:sz="8" w:space="0" w:color="000000"/>
            </w:tcBorders>
          </w:tcPr>
          <w:p w14:paraId="0FA845A9" w14:textId="77777777" w:rsidR="00FA4AA8" w:rsidRDefault="00FA4AA8">
            <w:pPr>
              <w:pStyle w:val="TableParagraph"/>
              <w:rPr>
                <w:b/>
                <w:sz w:val="20"/>
              </w:rPr>
            </w:pPr>
          </w:p>
          <w:p w14:paraId="45851925" w14:textId="77777777" w:rsidR="00FA4AA8" w:rsidRDefault="0015611F">
            <w:pPr>
              <w:pStyle w:val="TableParagraph"/>
              <w:spacing w:before="118"/>
              <w:ind w:right="260"/>
              <w:jc w:val="right"/>
              <w:rPr>
                <w:sz w:val="18"/>
              </w:rPr>
            </w:pPr>
            <w:r>
              <w:rPr>
                <w:sz w:val="18"/>
              </w:rPr>
              <w:t>787,844</w:t>
            </w:r>
          </w:p>
        </w:tc>
        <w:tc>
          <w:tcPr>
            <w:tcW w:w="891" w:type="dxa"/>
            <w:tcBorders>
              <w:top w:val="single" w:sz="8" w:space="0" w:color="000000"/>
            </w:tcBorders>
          </w:tcPr>
          <w:p w14:paraId="1E22757D" w14:textId="77777777" w:rsidR="00FA4AA8" w:rsidRDefault="00FA4AA8">
            <w:pPr>
              <w:pStyle w:val="TableParagraph"/>
              <w:rPr>
                <w:b/>
                <w:sz w:val="20"/>
              </w:rPr>
            </w:pPr>
          </w:p>
          <w:p w14:paraId="2B01F61B" w14:textId="77777777" w:rsidR="00FA4AA8" w:rsidRDefault="0015611F">
            <w:pPr>
              <w:pStyle w:val="TableParagraph"/>
              <w:spacing w:before="118"/>
              <w:ind w:right="132"/>
              <w:jc w:val="right"/>
              <w:rPr>
                <w:sz w:val="18"/>
              </w:rPr>
            </w:pPr>
            <w:r>
              <w:rPr>
                <w:sz w:val="18"/>
              </w:rPr>
              <w:t>11,909</w:t>
            </w:r>
          </w:p>
        </w:tc>
        <w:tc>
          <w:tcPr>
            <w:tcW w:w="1083" w:type="dxa"/>
            <w:tcBorders>
              <w:top w:val="single" w:sz="8" w:space="0" w:color="000000"/>
            </w:tcBorders>
          </w:tcPr>
          <w:p w14:paraId="054B3E68" w14:textId="77777777" w:rsidR="00FA4AA8" w:rsidRDefault="00FA4AA8">
            <w:pPr>
              <w:pStyle w:val="TableParagraph"/>
              <w:rPr>
                <w:b/>
                <w:sz w:val="20"/>
              </w:rPr>
            </w:pPr>
          </w:p>
          <w:p w14:paraId="32A5D208" w14:textId="77777777" w:rsidR="00FA4AA8" w:rsidRDefault="0015611F">
            <w:pPr>
              <w:pStyle w:val="TableParagraph"/>
              <w:spacing w:before="118"/>
              <w:ind w:left="201"/>
              <w:rPr>
                <w:sz w:val="18"/>
              </w:rPr>
            </w:pPr>
            <w:r>
              <w:rPr>
                <w:sz w:val="18"/>
              </w:rPr>
              <w:t>8,608,569</w:t>
            </w:r>
          </w:p>
        </w:tc>
      </w:tr>
      <w:tr w:rsidR="00FA4AA8" w14:paraId="40910374" w14:textId="77777777">
        <w:trPr>
          <w:trHeight w:val="258"/>
        </w:trPr>
        <w:tc>
          <w:tcPr>
            <w:tcW w:w="2872" w:type="dxa"/>
          </w:tcPr>
          <w:p w14:paraId="60734FA6" w14:textId="77777777" w:rsidR="00FA4AA8" w:rsidRDefault="0015611F">
            <w:pPr>
              <w:pStyle w:val="TableParagraph"/>
              <w:spacing w:before="26"/>
              <w:ind w:left="50"/>
              <w:rPr>
                <w:sz w:val="18"/>
              </w:rPr>
            </w:pPr>
            <w:r>
              <w:rPr>
                <w:sz w:val="18"/>
              </w:rPr>
              <w:t>Accumulated depreciation</w:t>
            </w:r>
          </w:p>
        </w:tc>
        <w:tc>
          <w:tcPr>
            <w:tcW w:w="1513" w:type="dxa"/>
            <w:tcBorders>
              <w:bottom w:val="single" w:sz="8" w:space="0" w:color="000000"/>
            </w:tcBorders>
          </w:tcPr>
          <w:p w14:paraId="42C36F64" w14:textId="77777777" w:rsidR="00FA4AA8" w:rsidRDefault="0015611F">
            <w:pPr>
              <w:pStyle w:val="TableParagraph"/>
              <w:spacing w:before="25"/>
              <w:ind w:right="217"/>
              <w:jc w:val="right"/>
              <w:rPr>
                <w:sz w:val="18"/>
              </w:rPr>
            </w:pPr>
            <w:r>
              <w:rPr>
                <w:sz w:val="18"/>
              </w:rPr>
              <w:t>-</w:t>
            </w:r>
          </w:p>
        </w:tc>
        <w:tc>
          <w:tcPr>
            <w:tcW w:w="1402" w:type="dxa"/>
            <w:tcBorders>
              <w:bottom w:val="single" w:sz="8" w:space="0" w:color="000000"/>
            </w:tcBorders>
          </w:tcPr>
          <w:p w14:paraId="5E95323B" w14:textId="77777777" w:rsidR="00FA4AA8" w:rsidRDefault="0015611F">
            <w:pPr>
              <w:pStyle w:val="TableParagraph"/>
              <w:spacing w:before="25"/>
              <w:ind w:left="221"/>
              <w:rPr>
                <w:sz w:val="18"/>
              </w:rPr>
            </w:pPr>
            <w:r>
              <w:rPr>
                <w:sz w:val="18"/>
              </w:rPr>
              <w:t>(3,864,434)</w:t>
            </w:r>
          </w:p>
        </w:tc>
        <w:tc>
          <w:tcPr>
            <w:tcW w:w="1237" w:type="dxa"/>
            <w:tcBorders>
              <w:bottom w:val="single" w:sz="8" w:space="0" w:color="000000"/>
            </w:tcBorders>
          </w:tcPr>
          <w:p w14:paraId="1CB4F8A6" w14:textId="77777777" w:rsidR="00FA4AA8" w:rsidRDefault="0015611F">
            <w:pPr>
              <w:pStyle w:val="TableParagraph"/>
              <w:spacing w:before="25"/>
              <w:ind w:right="200"/>
              <w:jc w:val="right"/>
              <w:rPr>
                <w:sz w:val="18"/>
              </w:rPr>
            </w:pPr>
            <w:r>
              <w:rPr>
                <w:sz w:val="18"/>
              </w:rPr>
              <w:t>(489,766)</w:t>
            </w:r>
          </w:p>
        </w:tc>
        <w:tc>
          <w:tcPr>
            <w:tcW w:w="891" w:type="dxa"/>
            <w:tcBorders>
              <w:bottom w:val="single" w:sz="8" w:space="0" w:color="000000"/>
            </w:tcBorders>
          </w:tcPr>
          <w:p w14:paraId="65B3AB67" w14:textId="77777777" w:rsidR="00FA4AA8" w:rsidRDefault="0015611F">
            <w:pPr>
              <w:pStyle w:val="TableParagraph"/>
              <w:spacing w:before="25"/>
              <w:ind w:right="132"/>
              <w:jc w:val="right"/>
              <w:rPr>
                <w:sz w:val="18"/>
              </w:rPr>
            </w:pPr>
            <w:r>
              <w:rPr>
                <w:sz w:val="18"/>
              </w:rPr>
              <w:t>-</w:t>
            </w:r>
          </w:p>
        </w:tc>
        <w:tc>
          <w:tcPr>
            <w:tcW w:w="1083" w:type="dxa"/>
            <w:tcBorders>
              <w:bottom w:val="single" w:sz="8" w:space="0" w:color="000000"/>
            </w:tcBorders>
          </w:tcPr>
          <w:p w14:paraId="38C389FA" w14:textId="77777777" w:rsidR="00FA4AA8" w:rsidRDefault="0015611F">
            <w:pPr>
              <w:pStyle w:val="TableParagraph"/>
              <w:spacing w:before="25"/>
              <w:ind w:right="21"/>
              <w:jc w:val="right"/>
              <w:rPr>
                <w:sz w:val="18"/>
              </w:rPr>
            </w:pPr>
            <w:r>
              <w:rPr>
                <w:sz w:val="18"/>
              </w:rPr>
              <w:t>(4,354,200)</w:t>
            </w:r>
          </w:p>
        </w:tc>
      </w:tr>
      <w:tr w:rsidR="00FA4AA8" w14:paraId="14714729" w14:textId="77777777">
        <w:trPr>
          <w:trHeight w:val="313"/>
        </w:trPr>
        <w:tc>
          <w:tcPr>
            <w:tcW w:w="2872" w:type="dxa"/>
          </w:tcPr>
          <w:p w14:paraId="163E457F" w14:textId="77777777" w:rsidR="00FA4AA8" w:rsidRDefault="0015611F">
            <w:pPr>
              <w:pStyle w:val="TableParagraph"/>
              <w:spacing w:before="113" w:line="180" w:lineRule="exact"/>
              <w:ind w:left="50"/>
              <w:rPr>
                <w:b/>
                <w:sz w:val="18"/>
              </w:rPr>
            </w:pPr>
            <w:r>
              <w:rPr>
                <w:b/>
                <w:sz w:val="18"/>
              </w:rPr>
              <w:t>Net book amount</w:t>
            </w:r>
          </w:p>
        </w:tc>
        <w:tc>
          <w:tcPr>
            <w:tcW w:w="1513" w:type="dxa"/>
            <w:tcBorders>
              <w:top w:val="single" w:sz="8" w:space="0" w:color="000000"/>
              <w:bottom w:val="double" w:sz="3" w:space="0" w:color="000000"/>
            </w:tcBorders>
          </w:tcPr>
          <w:p w14:paraId="6DFCD022" w14:textId="77777777" w:rsidR="00FA4AA8" w:rsidRDefault="0015611F">
            <w:pPr>
              <w:pStyle w:val="TableParagraph"/>
              <w:spacing w:before="113" w:line="180" w:lineRule="exact"/>
              <w:ind w:right="217"/>
              <w:jc w:val="right"/>
              <w:rPr>
                <w:sz w:val="18"/>
              </w:rPr>
            </w:pPr>
            <w:r>
              <w:rPr>
                <w:sz w:val="18"/>
              </w:rPr>
              <w:t>-</w:t>
            </w:r>
          </w:p>
        </w:tc>
        <w:tc>
          <w:tcPr>
            <w:tcW w:w="1402" w:type="dxa"/>
            <w:tcBorders>
              <w:top w:val="single" w:sz="8" w:space="0" w:color="000000"/>
              <w:bottom w:val="double" w:sz="3" w:space="0" w:color="000000"/>
            </w:tcBorders>
          </w:tcPr>
          <w:p w14:paraId="16C98EA2" w14:textId="77777777" w:rsidR="00FA4AA8" w:rsidRDefault="0015611F">
            <w:pPr>
              <w:pStyle w:val="TableParagraph"/>
              <w:spacing w:before="113" w:line="180" w:lineRule="exact"/>
              <w:ind w:left="281"/>
              <w:rPr>
                <w:sz w:val="18"/>
              </w:rPr>
            </w:pPr>
            <w:r>
              <w:rPr>
                <w:sz w:val="18"/>
              </w:rPr>
              <w:t>3,944,382</w:t>
            </w:r>
          </w:p>
        </w:tc>
        <w:tc>
          <w:tcPr>
            <w:tcW w:w="1237" w:type="dxa"/>
            <w:tcBorders>
              <w:top w:val="single" w:sz="8" w:space="0" w:color="000000"/>
              <w:bottom w:val="double" w:sz="3" w:space="0" w:color="000000"/>
            </w:tcBorders>
          </w:tcPr>
          <w:p w14:paraId="4D718E14" w14:textId="77777777" w:rsidR="00FA4AA8" w:rsidRDefault="0015611F">
            <w:pPr>
              <w:pStyle w:val="TableParagraph"/>
              <w:spacing w:before="113" w:line="180" w:lineRule="exact"/>
              <w:ind w:right="260"/>
              <w:jc w:val="right"/>
              <w:rPr>
                <w:sz w:val="18"/>
              </w:rPr>
            </w:pPr>
            <w:r>
              <w:rPr>
                <w:sz w:val="18"/>
              </w:rPr>
              <w:t>298,078</w:t>
            </w:r>
          </w:p>
        </w:tc>
        <w:tc>
          <w:tcPr>
            <w:tcW w:w="891" w:type="dxa"/>
            <w:tcBorders>
              <w:top w:val="single" w:sz="8" w:space="0" w:color="000000"/>
              <w:bottom w:val="double" w:sz="3" w:space="0" w:color="000000"/>
            </w:tcBorders>
          </w:tcPr>
          <w:p w14:paraId="18647C12" w14:textId="77777777" w:rsidR="00FA4AA8" w:rsidRDefault="0015611F">
            <w:pPr>
              <w:pStyle w:val="TableParagraph"/>
              <w:spacing w:before="113" w:line="180" w:lineRule="exact"/>
              <w:ind w:right="132"/>
              <w:jc w:val="right"/>
              <w:rPr>
                <w:sz w:val="18"/>
              </w:rPr>
            </w:pPr>
            <w:r>
              <w:rPr>
                <w:sz w:val="18"/>
              </w:rPr>
              <w:t>11,909</w:t>
            </w:r>
          </w:p>
        </w:tc>
        <w:tc>
          <w:tcPr>
            <w:tcW w:w="1083" w:type="dxa"/>
            <w:tcBorders>
              <w:top w:val="single" w:sz="8" w:space="0" w:color="000000"/>
              <w:bottom w:val="double" w:sz="3" w:space="0" w:color="000000"/>
            </w:tcBorders>
          </w:tcPr>
          <w:p w14:paraId="61F87A1B" w14:textId="77777777" w:rsidR="00FA4AA8" w:rsidRDefault="0015611F">
            <w:pPr>
              <w:pStyle w:val="TableParagraph"/>
              <w:spacing w:before="113" w:line="180" w:lineRule="exact"/>
              <w:ind w:left="201"/>
              <w:rPr>
                <w:sz w:val="18"/>
              </w:rPr>
            </w:pPr>
            <w:r>
              <w:rPr>
                <w:sz w:val="18"/>
              </w:rPr>
              <w:t>4,254,369</w:t>
            </w:r>
          </w:p>
        </w:tc>
      </w:tr>
      <w:tr w:rsidR="00FA4AA8" w14:paraId="0DBB65B7" w14:textId="77777777">
        <w:trPr>
          <w:trHeight w:val="901"/>
        </w:trPr>
        <w:tc>
          <w:tcPr>
            <w:tcW w:w="2872" w:type="dxa"/>
          </w:tcPr>
          <w:p w14:paraId="58C3B234" w14:textId="77777777" w:rsidR="00FA4AA8" w:rsidRDefault="00FA4AA8">
            <w:pPr>
              <w:pStyle w:val="TableParagraph"/>
              <w:rPr>
                <w:b/>
                <w:sz w:val="20"/>
              </w:rPr>
            </w:pPr>
          </w:p>
          <w:p w14:paraId="66986B93" w14:textId="77777777" w:rsidR="00FA4AA8" w:rsidRDefault="00FA4AA8">
            <w:pPr>
              <w:pStyle w:val="TableParagraph"/>
              <w:spacing w:before="2"/>
              <w:rPr>
                <w:b/>
                <w:sz w:val="17"/>
              </w:rPr>
            </w:pPr>
          </w:p>
          <w:p w14:paraId="0063DBD2" w14:textId="77777777" w:rsidR="00FA4AA8" w:rsidRDefault="0015611F">
            <w:pPr>
              <w:pStyle w:val="TableParagraph"/>
              <w:ind w:left="50"/>
              <w:rPr>
                <w:b/>
                <w:sz w:val="18"/>
              </w:rPr>
            </w:pPr>
            <w:r>
              <w:rPr>
                <w:b/>
                <w:sz w:val="18"/>
              </w:rPr>
              <w:t>Year ended 31 December 2018</w:t>
            </w:r>
          </w:p>
          <w:p w14:paraId="11F4AC9B" w14:textId="77777777" w:rsidR="00FA4AA8" w:rsidRDefault="0015611F">
            <w:pPr>
              <w:pStyle w:val="TableParagraph"/>
              <w:spacing w:before="29"/>
              <w:ind w:left="50"/>
              <w:rPr>
                <w:sz w:val="18"/>
              </w:rPr>
            </w:pPr>
            <w:r>
              <w:rPr>
                <w:sz w:val="18"/>
              </w:rPr>
              <w:t>Opening net book amount</w:t>
            </w:r>
          </w:p>
        </w:tc>
        <w:tc>
          <w:tcPr>
            <w:tcW w:w="1513" w:type="dxa"/>
            <w:tcBorders>
              <w:top w:val="double" w:sz="3" w:space="0" w:color="000000"/>
            </w:tcBorders>
          </w:tcPr>
          <w:p w14:paraId="728E7B51" w14:textId="77777777" w:rsidR="00FA4AA8" w:rsidRDefault="00FA4AA8">
            <w:pPr>
              <w:pStyle w:val="TableParagraph"/>
              <w:rPr>
                <w:b/>
                <w:sz w:val="20"/>
              </w:rPr>
            </w:pPr>
          </w:p>
          <w:p w14:paraId="5F1DC5CC" w14:textId="77777777" w:rsidR="00FA4AA8" w:rsidRDefault="00FA4AA8">
            <w:pPr>
              <w:pStyle w:val="TableParagraph"/>
              <w:rPr>
                <w:b/>
                <w:sz w:val="20"/>
              </w:rPr>
            </w:pPr>
          </w:p>
          <w:p w14:paraId="1439FA67" w14:textId="77777777" w:rsidR="00FA4AA8" w:rsidRDefault="00FA4AA8">
            <w:pPr>
              <w:pStyle w:val="TableParagraph"/>
              <w:spacing w:before="7"/>
              <w:rPr>
                <w:b/>
                <w:sz w:val="17"/>
              </w:rPr>
            </w:pPr>
          </w:p>
          <w:p w14:paraId="0F480C59" w14:textId="77777777" w:rsidR="00FA4AA8" w:rsidRDefault="0015611F">
            <w:pPr>
              <w:pStyle w:val="TableParagraph"/>
              <w:ind w:right="217"/>
              <w:jc w:val="right"/>
              <w:rPr>
                <w:sz w:val="18"/>
              </w:rPr>
            </w:pPr>
            <w:r>
              <w:rPr>
                <w:sz w:val="18"/>
              </w:rPr>
              <w:t>-</w:t>
            </w:r>
          </w:p>
        </w:tc>
        <w:tc>
          <w:tcPr>
            <w:tcW w:w="1402" w:type="dxa"/>
            <w:tcBorders>
              <w:top w:val="double" w:sz="3" w:space="0" w:color="000000"/>
            </w:tcBorders>
          </w:tcPr>
          <w:p w14:paraId="5A0E7E62" w14:textId="77777777" w:rsidR="00FA4AA8" w:rsidRDefault="00FA4AA8">
            <w:pPr>
              <w:pStyle w:val="TableParagraph"/>
              <w:rPr>
                <w:b/>
                <w:sz w:val="20"/>
              </w:rPr>
            </w:pPr>
          </w:p>
          <w:p w14:paraId="79135D73" w14:textId="77777777" w:rsidR="00FA4AA8" w:rsidRDefault="00FA4AA8">
            <w:pPr>
              <w:pStyle w:val="TableParagraph"/>
              <w:rPr>
                <w:b/>
                <w:sz w:val="20"/>
              </w:rPr>
            </w:pPr>
          </w:p>
          <w:p w14:paraId="76F4FB89" w14:textId="77777777" w:rsidR="00FA4AA8" w:rsidRDefault="00FA4AA8">
            <w:pPr>
              <w:pStyle w:val="TableParagraph"/>
              <w:spacing w:before="7"/>
              <w:rPr>
                <w:b/>
                <w:sz w:val="17"/>
              </w:rPr>
            </w:pPr>
          </w:p>
          <w:p w14:paraId="2F62B33A" w14:textId="77777777" w:rsidR="00FA4AA8" w:rsidRDefault="0015611F">
            <w:pPr>
              <w:pStyle w:val="TableParagraph"/>
              <w:ind w:left="281"/>
              <w:rPr>
                <w:sz w:val="18"/>
              </w:rPr>
            </w:pPr>
            <w:r>
              <w:rPr>
                <w:sz w:val="18"/>
              </w:rPr>
              <w:t>3,944,382</w:t>
            </w:r>
          </w:p>
        </w:tc>
        <w:tc>
          <w:tcPr>
            <w:tcW w:w="1237" w:type="dxa"/>
            <w:tcBorders>
              <w:top w:val="double" w:sz="3" w:space="0" w:color="000000"/>
            </w:tcBorders>
          </w:tcPr>
          <w:p w14:paraId="788286AB" w14:textId="77777777" w:rsidR="00FA4AA8" w:rsidRDefault="00FA4AA8">
            <w:pPr>
              <w:pStyle w:val="TableParagraph"/>
              <w:rPr>
                <w:b/>
                <w:sz w:val="20"/>
              </w:rPr>
            </w:pPr>
          </w:p>
          <w:p w14:paraId="42753CB7" w14:textId="77777777" w:rsidR="00FA4AA8" w:rsidRDefault="00FA4AA8">
            <w:pPr>
              <w:pStyle w:val="TableParagraph"/>
              <w:rPr>
                <w:b/>
                <w:sz w:val="20"/>
              </w:rPr>
            </w:pPr>
          </w:p>
          <w:p w14:paraId="26A71638" w14:textId="77777777" w:rsidR="00FA4AA8" w:rsidRDefault="00FA4AA8">
            <w:pPr>
              <w:pStyle w:val="TableParagraph"/>
              <w:spacing w:before="7"/>
              <w:rPr>
                <w:b/>
                <w:sz w:val="17"/>
              </w:rPr>
            </w:pPr>
          </w:p>
          <w:p w14:paraId="730C1EBC" w14:textId="77777777" w:rsidR="00FA4AA8" w:rsidRDefault="0015611F">
            <w:pPr>
              <w:pStyle w:val="TableParagraph"/>
              <w:ind w:right="260"/>
              <w:jc w:val="right"/>
              <w:rPr>
                <w:sz w:val="18"/>
              </w:rPr>
            </w:pPr>
            <w:r>
              <w:rPr>
                <w:sz w:val="18"/>
              </w:rPr>
              <w:t>298,078</w:t>
            </w:r>
          </w:p>
        </w:tc>
        <w:tc>
          <w:tcPr>
            <w:tcW w:w="891" w:type="dxa"/>
            <w:tcBorders>
              <w:top w:val="double" w:sz="3" w:space="0" w:color="000000"/>
            </w:tcBorders>
          </w:tcPr>
          <w:p w14:paraId="3303FB92" w14:textId="77777777" w:rsidR="00FA4AA8" w:rsidRDefault="00FA4AA8">
            <w:pPr>
              <w:pStyle w:val="TableParagraph"/>
              <w:rPr>
                <w:b/>
                <w:sz w:val="20"/>
              </w:rPr>
            </w:pPr>
          </w:p>
          <w:p w14:paraId="3AD6F1D2" w14:textId="77777777" w:rsidR="00FA4AA8" w:rsidRDefault="00FA4AA8">
            <w:pPr>
              <w:pStyle w:val="TableParagraph"/>
              <w:rPr>
                <w:b/>
                <w:sz w:val="20"/>
              </w:rPr>
            </w:pPr>
          </w:p>
          <w:p w14:paraId="6307E0B3" w14:textId="77777777" w:rsidR="00FA4AA8" w:rsidRDefault="00FA4AA8">
            <w:pPr>
              <w:pStyle w:val="TableParagraph"/>
              <w:spacing w:before="7"/>
              <w:rPr>
                <w:b/>
                <w:sz w:val="17"/>
              </w:rPr>
            </w:pPr>
          </w:p>
          <w:p w14:paraId="404423F2" w14:textId="77777777" w:rsidR="00FA4AA8" w:rsidRDefault="0015611F">
            <w:pPr>
              <w:pStyle w:val="TableParagraph"/>
              <w:ind w:right="132"/>
              <w:jc w:val="right"/>
              <w:rPr>
                <w:sz w:val="18"/>
              </w:rPr>
            </w:pPr>
            <w:r>
              <w:rPr>
                <w:sz w:val="18"/>
              </w:rPr>
              <w:t>11,909</w:t>
            </w:r>
          </w:p>
        </w:tc>
        <w:tc>
          <w:tcPr>
            <w:tcW w:w="1083" w:type="dxa"/>
            <w:tcBorders>
              <w:top w:val="double" w:sz="3" w:space="0" w:color="000000"/>
            </w:tcBorders>
          </w:tcPr>
          <w:p w14:paraId="1123CA7E" w14:textId="77777777" w:rsidR="00FA4AA8" w:rsidRDefault="00FA4AA8">
            <w:pPr>
              <w:pStyle w:val="TableParagraph"/>
              <w:rPr>
                <w:b/>
                <w:sz w:val="20"/>
              </w:rPr>
            </w:pPr>
          </w:p>
          <w:p w14:paraId="251BF381" w14:textId="77777777" w:rsidR="00FA4AA8" w:rsidRDefault="00FA4AA8">
            <w:pPr>
              <w:pStyle w:val="TableParagraph"/>
              <w:rPr>
                <w:b/>
                <w:sz w:val="20"/>
              </w:rPr>
            </w:pPr>
          </w:p>
          <w:p w14:paraId="3C596A64" w14:textId="77777777" w:rsidR="00FA4AA8" w:rsidRDefault="00FA4AA8">
            <w:pPr>
              <w:pStyle w:val="TableParagraph"/>
              <w:spacing w:before="7"/>
              <w:rPr>
                <w:b/>
                <w:sz w:val="17"/>
              </w:rPr>
            </w:pPr>
          </w:p>
          <w:p w14:paraId="4D533F97" w14:textId="77777777" w:rsidR="00FA4AA8" w:rsidRDefault="0015611F">
            <w:pPr>
              <w:pStyle w:val="TableParagraph"/>
              <w:ind w:left="201"/>
              <w:rPr>
                <w:sz w:val="18"/>
              </w:rPr>
            </w:pPr>
            <w:r>
              <w:rPr>
                <w:sz w:val="18"/>
              </w:rPr>
              <w:t>4,254,369</w:t>
            </w:r>
          </w:p>
        </w:tc>
      </w:tr>
      <w:tr w:rsidR="00FA4AA8" w14:paraId="7858CBDF" w14:textId="77777777">
        <w:trPr>
          <w:trHeight w:val="263"/>
        </w:trPr>
        <w:tc>
          <w:tcPr>
            <w:tcW w:w="2872" w:type="dxa"/>
          </w:tcPr>
          <w:p w14:paraId="6939D97F" w14:textId="77777777" w:rsidR="00FA4AA8" w:rsidRDefault="0015611F">
            <w:pPr>
              <w:pStyle w:val="TableParagraph"/>
              <w:spacing w:before="26"/>
              <w:ind w:left="50"/>
              <w:rPr>
                <w:sz w:val="18"/>
              </w:rPr>
            </w:pPr>
            <w:r>
              <w:rPr>
                <w:sz w:val="18"/>
              </w:rPr>
              <w:t>Additions</w:t>
            </w:r>
          </w:p>
        </w:tc>
        <w:tc>
          <w:tcPr>
            <w:tcW w:w="1513" w:type="dxa"/>
          </w:tcPr>
          <w:p w14:paraId="6B59C9EE" w14:textId="77777777" w:rsidR="00FA4AA8" w:rsidRDefault="0015611F">
            <w:pPr>
              <w:pStyle w:val="TableParagraph"/>
              <w:spacing w:before="25"/>
              <w:ind w:right="216"/>
              <w:jc w:val="right"/>
              <w:rPr>
                <w:sz w:val="18"/>
              </w:rPr>
            </w:pPr>
            <w:r>
              <w:rPr>
                <w:sz w:val="18"/>
              </w:rPr>
              <w:t>73,635</w:t>
            </w:r>
          </w:p>
        </w:tc>
        <w:tc>
          <w:tcPr>
            <w:tcW w:w="1402" w:type="dxa"/>
          </w:tcPr>
          <w:p w14:paraId="6EA4A5C5" w14:textId="77777777" w:rsidR="00FA4AA8" w:rsidRDefault="0015611F">
            <w:pPr>
              <w:pStyle w:val="TableParagraph"/>
              <w:spacing w:before="25"/>
              <w:ind w:right="320"/>
              <w:jc w:val="right"/>
              <w:rPr>
                <w:sz w:val="18"/>
              </w:rPr>
            </w:pPr>
            <w:r>
              <w:rPr>
                <w:sz w:val="18"/>
              </w:rPr>
              <w:t>-</w:t>
            </w:r>
          </w:p>
        </w:tc>
        <w:tc>
          <w:tcPr>
            <w:tcW w:w="1237" w:type="dxa"/>
          </w:tcPr>
          <w:p w14:paraId="3D786F93" w14:textId="77777777" w:rsidR="00FA4AA8" w:rsidRDefault="0015611F">
            <w:pPr>
              <w:pStyle w:val="TableParagraph"/>
              <w:spacing w:before="25"/>
              <w:ind w:right="260"/>
              <w:jc w:val="right"/>
              <w:rPr>
                <w:sz w:val="18"/>
              </w:rPr>
            </w:pPr>
            <w:r>
              <w:rPr>
                <w:sz w:val="18"/>
              </w:rPr>
              <w:t>44,841</w:t>
            </w:r>
          </w:p>
        </w:tc>
        <w:tc>
          <w:tcPr>
            <w:tcW w:w="891" w:type="dxa"/>
          </w:tcPr>
          <w:p w14:paraId="505D41BA" w14:textId="77777777" w:rsidR="00FA4AA8" w:rsidRDefault="0015611F">
            <w:pPr>
              <w:pStyle w:val="TableParagraph"/>
              <w:spacing w:before="25"/>
              <w:ind w:right="132"/>
              <w:jc w:val="right"/>
              <w:rPr>
                <w:sz w:val="18"/>
              </w:rPr>
            </w:pPr>
            <w:r>
              <w:rPr>
                <w:sz w:val="18"/>
              </w:rPr>
              <w:t>-</w:t>
            </w:r>
          </w:p>
        </w:tc>
        <w:tc>
          <w:tcPr>
            <w:tcW w:w="1083" w:type="dxa"/>
          </w:tcPr>
          <w:p w14:paraId="24AF68EB" w14:textId="77777777" w:rsidR="00FA4AA8" w:rsidRDefault="0015611F">
            <w:pPr>
              <w:pStyle w:val="TableParagraph"/>
              <w:spacing w:before="25"/>
              <w:ind w:left="351"/>
              <w:rPr>
                <w:sz w:val="18"/>
              </w:rPr>
            </w:pPr>
            <w:r>
              <w:rPr>
                <w:sz w:val="18"/>
              </w:rPr>
              <w:t>118,476</w:t>
            </w:r>
          </w:p>
        </w:tc>
      </w:tr>
      <w:tr w:rsidR="00FA4AA8" w14:paraId="2CF75B8C" w14:textId="77777777">
        <w:trPr>
          <w:trHeight w:val="263"/>
        </w:trPr>
        <w:tc>
          <w:tcPr>
            <w:tcW w:w="2872" w:type="dxa"/>
          </w:tcPr>
          <w:p w14:paraId="01921550" w14:textId="77777777" w:rsidR="00FA4AA8" w:rsidRDefault="0015611F">
            <w:pPr>
              <w:pStyle w:val="TableParagraph"/>
              <w:spacing w:before="26"/>
              <w:ind w:left="50"/>
              <w:rPr>
                <w:sz w:val="18"/>
              </w:rPr>
            </w:pPr>
            <w:r>
              <w:rPr>
                <w:sz w:val="18"/>
              </w:rPr>
              <w:t>Disposals</w:t>
            </w:r>
          </w:p>
        </w:tc>
        <w:tc>
          <w:tcPr>
            <w:tcW w:w="1513" w:type="dxa"/>
          </w:tcPr>
          <w:p w14:paraId="5C4855BC" w14:textId="77777777" w:rsidR="00FA4AA8" w:rsidRDefault="0015611F">
            <w:pPr>
              <w:pStyle w:val="TableParagraph"/>
              <w:spacing w:before="25"/>
              <w:ind w:right="217"/>
              <w:jc w:val="right"/>
              <w:rPr>
                <w:sz w:val="18"/>
              </w:rPr>
            </w:pPr>
            <w:r>
              <w:rPr>
                <w:sz w:val="18"/>
              </w:rPr>
              <w:t>-</w:t>
            </w:r>
          </w:p>
        </w:tc>
        <w:tc>
          <w:tcPr>
            <w:tcW w:w="1402" w:type="dxa"/>
          </w:tcPr>
          <w:p w14:paraId="5E0DE590" w14:textId="77777777" w:rsidR="00FA4AA8" w:rsidRDefault="0015611F">
            <w:pPr>
              <w:pStyle w:val="TableParagraph"/>
              <w:spacing w:before="25"/>
              <w:ind w:right="260"/>
              <w:jc w:val="right"/>
              <w:rPr>
                <w:sz w:val="18"/>
              </w:rPr>
            </w:pPr>
            <w:r>
              <w:rPr>
                <w:sz w:val="18"/>
              </w:rPr>
              <w:t>(24,272)</w:t>
            </w:r>
          </w:p>
        </w:tc>
        <w:tc>
          <w:tcPr>
            <w:tcW w:w="1237" w:type="dxa"/>
          </w:tcPr>
          <w:p w14:paraId="562CA991" w14:textId="77777777" w:rsidR="00FA4AA8" w:rsidRDefault="0015611F">
            <w:pPr>
              <w:pStyle w:val="TableParagraph"/>
              <w:spacing w:before="25"/>
              <w:ind w:right="260"/>
              <w:jc w:val="right"/>
              <w:rPr>
                <w:sz w:val="18"/>
              </w:rPr>
            </w:pPr>
            <w:r>
              <w:rPr>
                <w:sz w:val="18"/>
              </w:rPr>
              <w:t>-</w:t>
            </w:r>
          </w:p>
        </w:tc>
        <w:tc>
          <w:tcPr>
            <w:tcW w:w="891" w:type="dxa"/>
          </w:tcPr>
          <w:p w14:paraId="0A71FADE" w14:textId="77777777" w:rsidR="00FA4AA8" w:rsidRDefault="0015611F">
            <w:pPr>
              <w:pStyle w:val="TableParagraph"/>
              <w:spacing w:before="25"/>
              <w:ind w:right="132"/>
              <w:jc w:val="right"/>
              <w:rPr>
                <w:sz w:val="18"/>
              </w:rPr>
            </w:pPr>
            <w:r>
              <w:rPr>
                <w:sz w:val="18"/>
              </w:rPr>
              <w:t>-</w:t>
            </w:r>
          </w:p>
        </w:tc>
        <w:tc>
          <w:tcPr>
            <w:tcW w:w="1083" w:type="dxa"/>
          </w:tcPr>
          <w:p w14:paraId="51B1CC4C" w14:textId="77777777" w:rsidR="00FA4AA8" w:rsidRDefault="0015611F">
            <w:pPr>
              <w:pStyle w:val="TableParagraph"/>
              <w:spacing w:before="25"/>
              <w:ind w:right="21"/>
              <w:jc w:val="right"/>
              <w:rPr>
                <w:sz w:val="18"/>
              </w:rPr>
            </w:pPr>
            <w:r>
              <w:rPr>
                <w:sz w:val="18"/>
              </w:rPr>
              <w:t>(24,272)</w:t>
            </w:r>
          </w:p>
        </w:tc>
      </w:tr>
      <w:tr w:rsidR="00FA4AA8" w14:paraId="27525494" w14:textId="77777777">
        <w:trPr>
          <w:trHeight w:val="258"/>
        </w:trPr>
        <w:tc>
          <w:tcPr>
            <w:tcW w:w="2872" w:type="dxa"/>
          </w:tcPr>
          <w:p w14:paraId="287FDED4" w14:textId="77777777" w:rsidR="00FA4AA8" w:rsidRDefault="0015611F">
            <w:pPr>
              <w:pStyle w:val="TableParagraph"/>
              <w:spacing w:before="26"/>
              <w:ind w:left="50"/>
              <w:rPr>
                <w:sz w:val="18"/>
              </w:rPr>
            </w:pPr>
            <w:r>
              <w:rPr>
                <w:sz w:val="18"/>
              </w:rPr>
              <w:t>Depreciation expense</w:t>
            </w:r>
          </w:p>
        </w:tc>
        <w:tc>
          <w:tcPr>
            <w:tcW w:w="1513" w:type="dxa"/>
            <w:tcBorders>
              <w:bottom w:val="single" w:sz="8" w:space="0" w:color="000000"/>
            </w:tcBorders>
          </w:tcPr>
          <w:p w14:paraId="4C94441B" w14:textId="77777777" w:rsidR="00FA4AA8" w:rsidRDefault="0015611F">
            <w:pPr>
              <w:pStyle w:val="TableParagraph"/>
              <w:spacing w:before="25"/>
              <w:ind w:right="217"/>
              <w:jc w:val="right"/>
              <w:rPr>
                <w:sz w:val="18"/>
              </w:rPr>
            </w:pPr>
            <w:r>
              <w:rPr>
                <w:sz w:val="18"/>
              </w:rPr>
              <w:t>-</w:t>
            </w:r>
          </w:p>
        </w:tc>
        <w:tc>
          <w:tcPr>
            <w:tcW w:w="1402" w:type="dxa"/>
            <w:tcBorders>
              <w:bottom w:val="single" w:sz="8" w:space="0" w:color="000000"/>
            </w:tcBorders>
          </w:tcPr>
          <w:p w14:paraId="6F059885" w14:textId="77777777" w:rsidR="00FA4AA8" w:rsidRDefault="0015611F">
            <w:pPr>
              <w:pStyle w:val="TableParagraph"/>
              <w:spacing w:before="25"/>
              <w:ind w:left="221"/>
              <w:rPr>
                <w:sz w:val="18"/>
              </w:rPr>
            </w:pPr>
            <w:r>
              <w:rPr>
                <w:sz w:val="18"/>
              </w:rPr>
              <w:t>(1,035,969)</w:t>
            </w:r>
          </w:p>
        </w:tc>
        <w:tc>
          <w:tcPr>
            <w:tcW w:w="1237" w:type="dxa"/>
            <w:tcBorders>
              <w:bottom w:val="single" w:sz="8" w:space="0" w:color="000000"/>
            </w:tcBorders>
          </w:tcPr>
          <w:p w14:paraId="44B928EB" w14:textId="77777777" w:rsidR="00FA4AA8" w:rsidRDefault="0015611F">
            <w:pPr>
              <w:pStyle w:val="TableParagraph"/>
              <w:spacing w:before="25"/>
              <w:ind w:right="200"/>
              <w:jc w:val="right"/>
              <w:rPr>
                <w:sz w:val="18"/>
              </w:rPr>
            </w:pPr>
            <w:r>
              <w:rPr>
                <w:sz w:val="18"/>
              </w:rPr>
              <w:t>(101,363)</w:t>
            </w:r>
          </w:p>
        </w:tc>
        <w:tc>
          <w:tcPr>
            <w:tcW w:w="891" w:type="dxa"/>
            <w:tcBorders>
              <w:bottom w:val="single" w:sz="8" w:space="0" w:color="000000"/>
            </w:tcBorders>
          </w:tcPr>
          <w:p w14:paraId="0E6389EE" w14:textId="77777777" w:rsidR="00FA4AA8" w:rsidRDefault="0015611F">
            <w:pPr>
              <w:pStyle w:val="TableParagraph"/>
              <w:spacing w:before="25"/>
              <w:ind w:right="132"/>
              <w:jc w:val="right"/>
              <w:rPr>
                <w:sz w:val="18"/>
              </w:rPr>
            </w:pPr>
            <w:r>
              <w:rPr>
                <w:sz w:val="18"/>
              </w:rPr>
              <w:t>-</w:t>
            </w:r>
          </w:p>
        </w:tc>
        <w:tc>
          <w:tcPr>
            <w:tcW w:w="1083" w:type="dxa"/>
            <w:tcBorders>
              <w:bottom w:val="single" w:sz="8" w:space="0" w:color="000000"/>
            </w:tcBorders>
          </w:tcPr>
          <w:p w14:paraId="1BAF18AD" w14:textId="77777777" w:rsidR="00FA4AA8" w:rsidRDefault="0015611F">
            <w:pPr>
              <w:pStyle w:val="TableParagraph"/>
              <w:spacing w:before="25"/>
              <w:ind w:right="21"/>
              <w:jc w:val="right"/>
              <w:rPr>
                <w:sz w:val="18"/>
              </w:rPr>
            </w:pPr>
            <w:r>
              <w:rPr>
                <w:sz w:val="18"/>
              </w:rPr>
              <w:t>(1,137,332)</w:t>
            </w:r>
          </w:p>
        </w:tc>
      </w:tr>
      <w:tr w:rsidR="00FA4AA8" w14:paraId="3D424D5B" w14:textId="77777777">
        <w:trPr>
          <w:trHeight w:val="318"/>
        </w:trPr>
        <w:tc>
          <w:tcPr>
            <w:tcW w:w="2872" w:type="dxa"/>
          </w:tcPr>
          <w:p w14:paraId="1C83804B" w14:textId="77777777" w:rsidR="00FA4AA8" w:rsidRDefault="0015611F">
            <w:pPr>
              <w:pStyle w:val="TableParagraph"/>
              <w:spacing w:before="113" w:line="185" w:lineRule="exact"/>
              <w:ind w:left="50"/>
              <w:rPr>
                <w:b/>
                <w:sz w:val="18"/>
              </w:rPr>
            </w:pPr>
            <w:r>
              <w:rPr>
                <w:b/>
                <w:sz w:val="18"/>
              </w:rPr>
              <w:t>Closing net book amount</w:t>
            </w:r>
          </w:p>
        </w:tc>
        <w:tc>
          <w:tcPr>
            <w:tcW w:w="1513" w:type="dxa"/>
            <w:tcBorders>
              <w:top w:val="single" w:sz="8" w:space="0" w:color="000000"/>
              <w:bottom w:val="single" w:sz="8" w:space="0" w:color="000000"/>
            </w:tcBorders>
          </w:tcPr>
          <w:p w14:paraId="7BDD7E81" w14:textId="77777777" w:rsidR="00FA4AA8" w:rsidRDefault="0015611F">
            <w:pPr>
              <w:pStyle w:val="TableParagraph"/>
              <w:spacing w:before="113" w:line="185" w:lineRule="exact"/>
              <w:ind w:right="216"/>
              <w:jc w:val="right"/>
              <w:rPr>
                <w:b/>
                <w:sz w:val="18"/>
              </w:rPr>
            </w:pPr>
            <w:r>
              <w:rPr>
                <w:b/>
                <w:sz w:val="18"/>
              </w:rPr>
              <w:t>73,635</w:t>
            </w:r>
          </w:p>
        </w:tc>
        <w:tc>
          <w:tcPr>
            <w:tcW w:w="1402" w:type="dxa"/>
            <w:tcBorders>
              <w:top w:val="single" w:sz="8" w:space="0" w:color="000000"/>
              <w:bottom w:val="single" w:sz="8" w:space="0" w:color="000000"/>
            </w:tcBorders>
          </w:tcPr>
          <w:p w14:paraId="7B4B2314" w14:textId="77777777" w:rsidR="00FA4AA8" w:rsidRDefault="0015611F">
            <w:pPr>
              <w:pStyle w:val="TableParagraph"/>
              <w:spacing w:before="113" w:line="185" w:lineRule="exact"/>
              <w:ind w:left="281"/>
              <w:rPr>
                <w:b/>
                <w:sz w:val="18"/>
              </w:rPr>
            </w:pPr>
            <w:r>
              <w:rPr>
                <w:b/>
                <w:sz w:val="18"/>
              </w:rPr>
              <w:t>2,884,141</w:t>
            </w:r>
          </w:p>
        </w:tc>
        <w:tc>
          <w:tcPr>
            <w:tcW w:w="1237" w:type="dxa"/>
            <w:tcBorders>
              <w:top w:val="single" w:sz="8" w:space="0" w:color="000000"/>
              <w:bottom w:val="single" w:sz="8" w:space="0" w:color="000000"/>
            </w:tcBorders>
          </w:tcPr>
          <w:p w14:paraId="0C8DBF2A" w14:textId="77777777" w:rsidR="00FA4AA8" w:rsidRDefault="0015611F">
            <w:pPr>
              <w:pStyle w:val="TableParagraph"/>
              <w:spacing w:before="113" w:line="185" w:lineRule="exact"/>
              <w:ind w:right="260"/>
              <w:jc w:val="right"/>
              <w:rPr>
                <w:b/>
                <w:sz w:val="18"/>
              </w:rPr>
            </w:pPr>
            <w:r>
              <w:rPr>
                <w:b/>
                <w:sz w:val="18"/>
              </w:rPr>
              <w:t>241,556</w:t>
            </w:r>
          </w:p>
        </w:tc>
        <w:tc>
          <w:tcPr>
            <w:tcW w:w="891" w:type="dxa"/>
            <w:tcBorders>
              <w:top w:val="single" w:sz="8" w:space="0" w:color="000000"/>
              <w:bottom w:val="single" w:sz="8" w:space="0" w:color="000000"/>
            </w:tcBorders>
          </w:tcPr>
          <w:p w14:paraId="34EB5C57" w14:textId="77777777" w:rsidR="00FA4AA8" w:rsidRDefault="0015611F">
            <w:pPr>
              <w:pStyle w:val="TableParagraph"/>
              <w:spacing w:before="113" w:line="185" w:lineRule="exact"/>
              <w:ind w:right="132"/>
              <w:jc w:val="right"/>
              <w:rPr>
                <w:b/>
                <w:sz w:val="18"/>
              </w:rPr>
            </w:pPr>
            <w:r>
              <w:rPr>
                <w:b/>
                <w:sz w:val="18"/>
              </w:rPr>
              <w:t>11,909</w:t>
            </w:r>
          </w:p>
        </w:tc>
        <w:tc>
          <w:tcPr>
            <w:tcW w:w="1083" w:type="dxa"/>
            <w:tcBorders>
              <w:top w:val="single" w:sz="8" w:space="0" w:color="000000"/>
              <w:bottom w:val="single" w:sz="8" w:space="0" w:color="000000"/>
            </w:tcBorders>
          </w:tcPr>
          <w:p w14:paraId="44424448" w14:textId="77777777" w:rsidR="00FA4AA8" w:rsidRDefault="0015611F">
            <w:pPr>
              <w:pStyle w:val="TableParagraph"/>
              <w:spacing w:before="113" w:line="185" w:lineRule="exact"/>
              <w:ind w:left="201"/>
              <w:rPr>
                <w:b/>
                <w:sz w:val="18"/>
              </w:rPr>
            </w:pPr>
            <w:r>
              <w:rPr>
                <w:b/>
                <w:sz w:val="18"/>
              </w:rPr>
              <w:t>3,211,241</w:t>
            </w:r>
          </w:p>
        </w:tc>
      </w:tr>
      <w:tr w:rsidR="00FA4AA8" w14:paraId="7FF500AF" w14:textId="77777777">
        <w:trPr>
          <w:trHeight w:val="587"/>
        </w:trPr>
        <w:tc>
          <w:tcPr>
            <w:tcW w:w="2872" w:type="dxa"/>
          </w:tcPr>
          <w:p w14:paraId="339E75AD" w14:textId="77777777" w:rsidR="00FA4AA8" w:rsidRDefault="0015611F">
            <w:pPr>
              <w:pStyle w:val="TableParagraph"/>
              <w:spacing w:before="113"/>
              <w:ind w:left="50"/>
              <w:rPr>
                <w:b/>
                <w:sz w:val="18"/>
              </w:rPr>
            </w:pPr>
            <w:r>
              <w:rPr>
                <w:b/>
                <w:sz w:val="18"/>
              </w:rPr>
              <w:t>At 31 December 2018</w:t>
            </w:r>
          </w:p>
          <w:p w14:paraId="61152A9D" w14:textId="77777777" w:rsidR="00FA4AA8" w:rsidRDefault="0015611F">
            <w:pPr>
              <w:pStyle w:val="TableParagraph"/>
              <w:spacing w:before="29"/>
              <w:ind w:left="50"/>
              <w:rPr>
                <w:sz w:val="18"/>
              </w:rPr>
            </w:pPr>
            <w:r>
              <w:rPr>
                <w:sz w:val="18"/>
              </w:rPr>
              <w:t>Cost</w:t>
            </w:r>
          </w:p>
        </w:tc>
        <w:tc>
          <w:tcPr>
            <w:tcW w:w="1513" w:type="dxa"/>
            <w:tcBorders>
              <w:top w:val="single" w:sz="8" w:space="0" w:color="000000"/>
            </w:tcBorders>
          </w:tcPr>
          <w:p w14:paraId="0410AECB" w14:textId="77777777" w:rsidR="00FA4AA8" w:rsidRDefault="00FA4AA8">
            <w:pPr>
              <w:pStyle w:val="TableParagraph"/>
              <w:rPr>
                <w:b/>
                <w:sz w:val="20"/>
              </w:rPr>
            </w:pPr>
          </w:p>
          <w:p w14:paraId="0F0E487D" w14:textId="77777777" w:rsidR="00FA4AA8" w:rsidRDefault="0015611F">
            <w:pPr>
              <w:pStyle w:val="TableParagraph"/>
              <w:spacing w:before="118"/>
              <w:ind w:right="216"/>
              <w:jc w:val="right"/>
              <w:rPr>
                <w:sz w:val="18"/>
              </w:rPr>
            </w:pPr>
            <w:r>
              <w:rPr>
                <w:sz w:val="18"/>
              </w:rPr>
              <w:t>73,635</w:t>
            </w:r>
          </w:p>
        </w:tc>
        <w:tc>
          <w:tcPr>
            <w:tcW w:w="1402" w:type="dxa"/>
            <w:tcBorders>
              <w:top w:val="single" w:sz="8" w:space="0" w:color="000000"/>
            </w:tcBorders>
          </w:tcPr>
          <w:p w14:paraId="31FF935E" w14:textId="77777777" w:rsidR="00FA4AA8" w:rsidRDefault="00FA4AA8">
            <w:pPr>
              <w:pStyle w:val="TableParagraph"/>
              <w:rPr>
                <w:b/>
                <w:sz w:val="20"/>
              </w:rPr>
            </w:pPr>
          </w:p>
          <w:p w14:paraId="34C53A37" w14:textId="77777777" w:rsidR="00FA4AA8" w:rsidRDefault="0015611F">
            <w:pPr>
              <w:pStyle w:val="TableParagraph"/>
              <w:spacing w:before="118"/>
              <w:ind w:left="281"/>
              <w:rPr>
                <w:sz w:val="18"/>
              </w:rPr>
            </w:pPr>
            <w:r>
              <w:rPr>
                <w:sz w:val="18"/>
              </w:rPr>
              <w:t>7,681,870</w:t>
            </w:r>
          </w:p>
        </w:tc>
        <w:tc>
          <w:tcPr>
            <w:tcW w:w="1237" w:type="dxa"/>
            <w:tcBorders>
              <w:top w:val="single" w:sz="8" w:space="0" w:color="000000"/>
            </w:tcBorders>
          </w:tcPr>
          <w:p w14:paraId="0D572B3F" w14:textId="77777777" w:rsidR="00FA4AA8" w:rsidRDefault="00FA4AA8">
            <w:pPr>
              <w:pStyle w:val="TableParagraph"/>
              <w:rPr>
                <w:b/>
                <w:sz w:val="20"/>
              </w:rPr>
            </w:pPr>
          </w:p>
          <w:p w14:paraId="6422CC80" w14:textId="77777777" w:rsidR="00FA4AA8" w:rsidRDefault="0015611F">
            <w:pPr>
              <w:pStyle w:val="TableParagraph"/>
              <w:spacing w:before="118"/>
              <w:ind w:right="260"/>
              <w:jc w:val="right"/>
              <w:rPr>
                <w:sz w:val="18"/>
              </w:rPr>
            </w:pPr>
            <w:r>
              <w:rPr>
                <w:sz w:val="18"/>
              </w:rPr>
              <w:t>832,684</w:t>
            </w:r>
          </w:p>
        </w:tc>
        <w:tc>
          <w:tcPr>
            <w:tcW w:w="891" w:type="dxa"/>
            <w:tcBorders>
              <w:top w:val="single" w:sz="8" w:space="0" w:color="000000"/>
            </w:tcBorders>
          </w:tcPr>
          <w:p w14:paraId="260C48AE" w14:textId="77777777" w:rsidR="00FA4AA8" w:rsidRDefault="00FA4AA8">
            <w:pPr>
              <w:pStyle w:val="TableParagraph"/>
              <w:rPr>
                <w:b/>
                <w:sz w:val="20"/>
              </w:rPr>
            </w:pPr>
          </w:p>
          <w:p w14:paraId="404D108E" w14:textId="77777777" w:rsidR="00FA4AA8" w:rsidRDefault="0015611F">
            <w:pPr>
              <w:pStyle w:val="TableParagraph"/>
              <w:spacing w:before="118"/>
              <w:ind w:right="132"/>
              <w:jc w:val="right"/>
              <w:rPr>
                <w:sz w:val="18"/>
              </w:rPr>
            </w:pPr>
            <w:r>
              <w:rPr>
                <w:sz w:val="18"/>
              </w:rPr>
              <w:t>11,909</w:t>
            </w:r>
          </w:p>
        </w:tc>
        <w:tc>
          <w:tcPr>
            <w:tcW w:w="1083" w:type="dxa"/>
            <w:tcBorders>
              <w:top w:val="single" w:sz="8" w:space="0" w:color="000000"/>
            </w:tcBorders>
          </w:tcPr>
          <w:p w14:paraId="6780ED27" w14:textId="77777777" w:rsidR="00FA4AA8" w:rsidRDefault="00FA4AA8">
            <w:pPr>
              <w:pStyle w:val="TableParagraph"/>
              <w:rPr>
                <w:b/>
                <w:sz w:val="20"/>
              </w:rPr>
            </w:pPr>
          </w:p>
          <w:p w14:paraId="5816DBA4" w14:textId="77777777" w:rsidR="00FA4AA8" w:rsidRDefault="0015611F">
            <w:pPr>
              <w:pStyle w:val="TableParagraph"/>
              <w:spacing w:before="118"/>
              <w:ind w:left="201"/>
              <w:rPr>
                <w:sz w:val="18"/>
              </w:rPr>
            </w:pPr>
            <w:r>
              <w:rPr>
                <w:sz w:val="18"/>
              </w:rPr>
              <w:t>8,600,098</w:t>
            </w:r>
          </w:p>
        </w:tc>
      </w:tr>
      <w:tr w:rsidR="00FA4AA8" w14:paraId="50F28213" w14:textId="77777777">
        <w:trPr>
          <w:trHeight w:val="258"/>
        </w:trPr>
        <w:tc>
          <w:tcPr>
            <w:tcW w:w="2872" w:type="dxa"/>
          </w:tcPr>
          <w:p w14:paraId="75283F2B" w14:textId="77777777" w:rsidR="00FA4AA8" w:rsidRDefault="0015611F">
            <w:pPr>
              <w:pStyle w:val="TableParagraph"/>
              <w:spacing w:before="26"/>
              <w:ind w:left="50"/>
              <w:rPr>
                <w:sz w:val="18"/>
              </w:rPr>
            </w:pPr>
            <w:r>
              <w:rPr>
                <w:sz w:val="18"/>
              </w:rPr>
              <w:t>Accumulated depreciation</w:t>
            </w:r>
          </w:p>
        </w:tc>
        <w:tc>
          <w:tcPr>
            <w:tcW w:w="1513" w:type="dxa"/>
            <w:tcBorders>
              <w:bottom w:val="single" w:sz="8" w:space="0" w:color="000000"/>
            </w:tcBorders>
          </w:tcPr>
          <w:p w14:paraId="240C4FBB" w14:textId="77777777" w:rsidR="00FA4AA8" w:rsidRDefault="0015611F">
            <w:pPr>
              <w:pStyle w:val="TableParagraph"/>
              <w:spacing w:before="25"/>
              <w:ind w:right="217"/>
              <w:jc w:val="right"/>
              <w:rPr>
                <w:sz w:val="18"/>
              </w:rPr>
            </w:pPr>
            <w:r>
              <w:rPr>
                <w:sz w:val="18"/>
              </w:rPr>
              <w:t>-</w:t>
            </w:r>
          </w:p>
        </w:tc>
        <w:tc>
          <w:tcPr>
            <w:tcW w:w="1402" w:type="dxa"/>
            <w:tcBorders>
              <w:bottom w:val="single" w:sz="8" w:space="0" w:color="000000"/>
            </w:tcBorders>
          </w:tcPr>
          <w:p w14:paraId="075B7D32" w14:textId="77777777" w:rsidR="00FA4AA8" w:rsidRDefault="0015611F">
            <w:pPr>
              <w:pStyle w:val="TableParagraph"/>
              <w:spacing w:before="25"/>
              <w:ind w:left="221"/>
              <w:rPr>
                <w:sz w:val="18"/>
              </w:rPr>
            </w:pPr>
            <w:r>
              <w:rPr>
                <w:sz w:val="18"/>
              </w:rPr>
              <w:t>(4,797,729)</w:t>
            </w:r>
          </w:p>
        </w:tc>
        <w:tc>
          <w:tcPr>
            <w:tcW w:w="1237" w:type="dxa"/>
            <w:tcBorders>
              <w:bottom w:val="single" w:sz="8" w:space="0" w:color="000000"/>
            </w:tcBorders>
          </w:tcPr>
          <w:p w14:paraId="5BDEACD9" w14:textId="77777777" w:rsidR="00FA4AA8" w:rsidRDefault="0015611F">
            <w:pPr>
              <w:pStyle w:val="TableParagraph"/>
              <w:spacing w:before="25"/>
              <w:ind w:right="200"/>
              <w:jc w:val="right"/>
              <w:rPr>
                <w:sz w:val="18"/>
              </w:rPr>
            </w:pPr>
            <w:r>
              <w:rPr>
                <w:sz w:val="18"/>
              </w:rPr>
              <w:t>(591,128)</w:t>
            </w:r>
          </w:p>
        </w:tc>
        <w:tc>
          <w:tcPr>
            <w:tcW w:w="891" w:type="dxa"/>
            <w:tcBorders>
              <w:bottom w:val="single" w:sz="8" w:space="0" w:color="000000"/>
            </w:tcBorders>
          </w:tcPr>
          <w:p w14:paraId="0899D7D4" w14:textId="77777777" w:rsidR="00FA4AA8" w:rsidRDefault="0015611F">
            <w:pPr>
              <w:pStyle w:val="TableParagraph"/>
              <w:spacing w:before="25"/>
              <w:ind w:right="132"/>
              <w:jc w:val="right"/>
              <w:rPr>
                <w:sz w:val="18"/>
              </w:rPr>
            </w:pPr>
            <w:r>
              <w:rPr>
                <w:sz w:val="18"/>
              </w:rPr>
              <w:t>-</w:t>
            </w:r>
          </w:p>
        </w:tc>
        <w:tc>
          <w:tcPr>
            <w:tcW w:w="1083" w:type="dxa"/>
            <w:tcBorders>
              <w:bottom w:val="single" w:sz="8" w:space="0" w:color="000000"/>
            </w:tcBorders>
          </w:tcPr>
          <w:p w14:paraId="10F98F13" w14:textId="77777777" w:rsidR="00FA4AA8" w:rsidRDefault="0015611F">
            <w:pPr>
              <w:pStyle w:val="TableParagraph"/>
              <w:spacing w:before="25"/>
              <w:ind w:right="21"/>
              <w:jc w:val="right"/>
              <w:rPr>
                <w:sz w:val="18"/>
              </w:rPr>
            </w:pPr>
            <w:r>
              <w:rPr>
                <w:sz w:val="18"/>
              </w:rPr>
              <w:t>(5,388,857)</w:t>
            </w:r>
          </w:p>
        </w:tc>
      </w:tr>
    </w:tbl>
    <w:p w14:paraId="0274F942" w14:textId="77777777" w:rsidR="00FA4AA8" w:rsidRDefault="0015611F">
      <w:pPr>
        <w:tabs>
          <w:tab w:val="left" w:pos="4699"/>
          <w:tab w:val="left" w:pos="5747"/>
          <w:tab w:val="left" w:pos="7195"/>
          <w:tab w:val="left" w:pos="8313"/>
          <w:tab w:val="left" w:pos="9197"/>
        </w:tabs>
        <w:spacing w:before="104"/>
        <w:ind w:left="1131"/>
        <w:rPr>
          <w:b/>
          <w:sz w:val="18"/>
        </w:rPr>
      </w:pPr>
      <w:r>
        <w:rPr>
          <w:b/>
          <w:sz w:val="18"/>
        </w:rPr>
        <w:t>Net book amount</w:t>
      </w:r>
      <w:r>
        <w:rPr>
          <w:b/>
          <w:sz w:val="18"/>
        </w:rPr>
        <w:tab/>
        <w:t>73,635</w:t>
      </w:r>
      <w:r>
        <w:rPr>
          <w:b/>
          <w:sz w:val="18"/>
        </w:rPr>
        <w:tab/>
        <w:t>2,884,141</w:t>
      </w:r>
      <w:r>
        <w:rPr>
          <w:b/>
          <w:sz w:val="18"/>
          <w:u w:val="double"/>
        </w:rPr>
        <w:t xml:space="preserve"> </w:t>
      </w:r>
      <w:r>
        <w:rPr>
          <w:b/>
          <w:sz w:val="18"/>
          <w:u w:val="double"/>
        </w:rPr>
        <w:tab/>
      </w:r>
      <w:r>
        <w:rPr>
          <w:b/>
          <w:sz w:val="18"/>
          <w:u w:val="single"/>
        </w:rPr>
        <w:t>241,55</w:t>
      </w:r>
      <w:r>
        <w:rPr>
          <w:b/>
          <w:sz w:val="18"/>
        </w:rPr>
        <w:t>6</w:t>
      </w:r>
      <w:r>
        <w:rPr>
          <w:b/>
          <w:sz w:val="18"/>
        </w:rPr>
        <w:tab/>
      </w:r>
      <w:r>
        <w:rPr>
          <w:b/>
          <w:sz w:val="18"/>
          <w:u w:val="single"/>
        </w:rPr>
        <w:t>11,90</w:t>
      </w:r>
      <w:r>
        <w:rPr>
          <w:b/>
          <w:sz w:val="18"/>
        </w:rPr>
        <w:t>9</w:t>
      </w:r>
      <w:r>
        <w:rPr>
          <w:b/>
          <w:sz w:val="18"/>
        </w:rPr>
        <w:tab/>
        <w:t>3,211,241</w:t>
      </w:r>
    </w:p>
    <w:p w14:paraId="5C8B1119" w14:textId="77777777" w:rsidR="00FA4AA8" w:rsidRDefault="007E2441">
      <w:pPr>
        <w:pStyle w:val="BodyText"/>
        <w:spacing w:line="50" w:lineRule="exact"/>
        <w:ind w:left="3953"/>
        <w:rPr>
          <w:sz w:val="5"/>
        </w:rPr>
      </w:pPr>
      <w:r>
        <w:rPr>
          <w:noProof/>
          <w:sz w:val="5"/>
          <w:lang w:val="en-AU" w:eastAsia="en-AU"/>
        </w:rPr>
        <mc:AlternateContent>
          <mc:Choice Requires="wpg">
            <w:drawing>
              <wp:inline distT="0" distB="0" distL="0" distR="0" wp14:anchorId="72C2357A" wp14:editId="1F8A719F">
                <wp:extent cx="3892550" cy="31750"/>
                <wp:effectExtent l="9525" t="9525" r="12700" b="6350"/>
                <wp:docPr id="1802" name="Group 1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2550" cy="31750"/>
                          <a:chOff x="0" y="0"/>
                          <a:chExt cx="6130" cy="50"/>
                        </a:xfrm>
                      </wpg:grpSpPr>
                      <wps:wsp>
                        <wps:cNvPr id="1803" name="Line 1719"/>
                        <wps:cNvCnPr>
                          <a:cxnSpLocks noChangeShapeType="1"/>
                        </wps:cNvCnPr>
                        <wps:spPr bwMode="auto">
                          <a:xfrm>
                            <a:off x="0" y="1"/>
                            <a:ext cx="169"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804" name="Line 1718"/>
                        <wps:cNvCnPr>
                          <a:cxnSpLocks noChangeShapeType="1"/>
                        </wps:cNvCnPr>
                        <wps:spPr bwMode="auto">
                          <a:xfrm>
                            <a:off x="0" y="2"/>
                            <a:ext cx="169"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805" name="Line 1717"/>
                        <wps:cNvCnPr>
                          <a:cxnSpLocks noChangeShapeType="1"/>
                        </wps:cNvCnPr>
                        <wps:spPr bwMode="auto">
                          <a:xfrm>
                            <a:off x="0" y="3"/>
                            <a:ext cx="169"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806" name="Line 1716"/>
                        <wps:cNvCnPr>
                          <a:cxnSpLocks noChangeShapeType="1"/>
                        </wps:cNvCnPr>
                        <wps:spPr bwMode="auto">
                          <a:xfrm>
                            <a:off x="0" y="4"/>
                            <a:ext cx="169"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807" name="Line 1715"/>
                        <wps:cNvCnPr>
                          <a:cxnSpLocks noChangeShapeType="1"/>
                        </wps:cNvCnPr>
                        <wps:spPr bwMode="auto">
                          <a:xfrm>
                            <a:off x="0" y="5"/>
                            <a:ext cx="169"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808" name="Line 1714"/>
                        <wps:cNvCnPr>
                          <a:cxnSpLocks noChangeShapeType="1"/>
                        </wps:cNvCnPr>
                        <wps:spPr bwMode="auto">
                          <a:xfrm>
                            <a:off x="0" y="7"/>
                            <a:ext cx="169"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809" name="Line 1713"/>
                        <wps:cNvCnPr>
                          <a:cxnSpLocks noChangeShapeType="1"/>
                        </wps:cNvCnPr>
                        <wps:spPr bwMode="auto">
                          <a:xfrm>
                            <a:off x="0" y="8"/>
                            <a:ext cx="169"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810" name="Line 1712"/>
                        <wps:cNvCnPr>
                          <a:cxnSpLocks noChangeShapeType="1"/>
                        </wps:cNvCnPr>
                        <wps:spPr bwMode="auto">
                          <a:xfrm>
                            <a:off x="0" y="9"/>
                            <a:ext cx="169"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811" name="Line 1711"/>
                        <wps:cNvCnPr>
                          <a:cxnSpLocks noChangeShapeType="1"/>
                        </wps:cNvCnPr>
                        <wps:spPr bwMode="auto">
                          <a:xfrm>
                            <a:off x="0" y="10"/>
                            <a:ext cx="169"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812" name="Line 1710"/>
                        <wps:cNvCnPr>
                          <a:cxnSpLocks noChangeShapeType="1"/>
                        </wps:cNvCnPr>
                        <wps:spPr bwMode="auto">
                          <a:xfrm>
                            <a:off x="0" y="11"/>
                            <a:ext cx="169"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813" name="Line 1709"/>
                        <wps:cNvCnPr>
                          <a:cxnSpLocks noChangeShapeType="1"/>
                        </wps:cNvCnPr>
                        <wps:spPr bwMode="auto">
                          <a:xfrm>
                            <a:off x="0" y="13"/>
                            <a:ext cx="169"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814" name="Line 1708"/>
                        <wps:cNvCnPr>
                          <a:cxnSpLocks noChangeShapeType="1"/>
                        </wps:cNvCnPr>
                        <wps:spPr bwMode="auto">
                          <a:xfrm>
                            <a:off x="0" y="14"/>
                            <a:ext cx="169"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815" name="Line 1707"/>
                        <wps:cNvCnPr>
                          <a:cxnSpLocks noChangeShapeType="1"/>
                        </wps:cNvCnPr>
                        <wps:spPr bwMode="auto">
                          <a:xfrm>
                            <a:off x="0" y="15"/>
                            <a:ext cx="169"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816" name="Line 1706"/>
                        <wps:cNvCnPr>
                          <a:cxnSpLocks noChangeShapeType="1"/>
                        </wps:cNvCnPr>
                        <wps:spPr bwMode="auto">
                          <a:xfrm>
                            <a:off x="0" y="34"/>
                            <a:ext cx="169"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817" name="Line 1705"/>
                        <wps:cNvCnPr>
                          <a:cxnSpLocks noChangeShapeType="1"/>
                        </wps:cNvCnPr>
                        <wps:spPr bwMode="auto">
                          <a:xfrm>
                            <a:off x="0" y="35"/>
                            <a:ext cx="169"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818" name="Line 1704"/>
                        <wps:cNvCnPr>
                          <a:cxnSpLocks noChangeShapeType="1"/>
                        </wps:cNvCnPr>
                        <wps:spPr bwMode="auto">
                          <a:xfrm>
                            <a:off x="0" y="37"/>
                            <a:ext cx="169"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819" name="Line 1703"/>
                        <wps:cNvCnPr>
                          <a:cxnSpLocks noChangeShapeType="1"/>
                        </wps:cNvCnPr>
                        <wps:spPr bwMode="auto">
                          <a:xfrm>
                            <a:off x="0" y="38"/>
                            <a:ext cx="169"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820" name="Line 1702"/>
                        <wps:cNvCnPr>
                          <a:cxnSpLocks noChangeShapeType="1"/>
                        </wps:cNvCnPr>
                        <wps:spPr bwMode="auto">
                          <a:xfrm>
                            <a:off x="0" y="39"/>
                            <a:ext cx="169"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821" name="Line 1701"/>
                        <wps:cNvCnPr>
                          <a:cxnSpLocks noChangeShapeType="1"/>
                        </wps:cNvCnPr>
                        <wps:spPr bwMode="auto">
                          <a:xfrm>
                            <a:off x="0" y="40"/>
                            <a:ext cx="169"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822" name="Line 1700"/>
                        <wps:cNvCnPr>
                          <a:cxnSpLocks noChangeShapeType="1"/>
                        </wps:cNvCnPr>
                        <wps:spPr bwMode="auto">
                          <a:xfrm>
                            <a:off x="0" y="41"/>
                            <a:ext cx="169"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823" name="Line 1699"/>
                        <wps:cNvCnPr>
                          <a:cxnSpLocks noChangeShapeType="1"/>
                        </wps:cNvCnPr>
                        <wps:spPr bwMode="auto">
                          <a:xfrm>
                            <a:off x="0" y="43"/>
                            <a:ext cx="169"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824" name="Line 1698"/>
                        <wps:cNvCnPr>
                          <a:cxnSpLocks noChangeShapeType="1"/>
                        </wps:cNvCnPr>
                        <wps:spPr bwMode="auto">
                          <a:xfrm>
                            <a:off x="0" y="44"/>
                            <a:ext cx="169"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825" name="Line 1697"/>
                        <wps:cNvCnPr>
                          <a:cxnSpLocks noChangeShapeType="1"/>
                        </wps:cNvCnPr>
                        <wps:spPr bwMode="auto">
                          <a:xfrm>
                            <a:off x="0" y="45"/>
                            <a:ext cx="169"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826" name="Line 1696"/>
                        <wps:cNvCnPr>
                          <a:cxnSpLocks noChangeShapeType="1"/>
                        </wps:cNvCnPr>
                        <wps:spPr bwMode="auto">
                          <a:xfrm>
                            <a:off x="0" y="46"/>
                            <a:ext cx="169"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827" name="Line 1695"/>
                        <wps:cNvCnPr>
                          <a:cxnSpLocks noChangeShapeType="1"/>
                        </wps:cNvCnPr>
                        <wps:spPr bwMode="auto">
                          <a:xfrm>
                            <a:off x="0" y="47"/>
                            <a:ext cx="169"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828" name="Line 1694"/>
                        <wps:cNvCnPr>
                          <a:cxnSpLocks noChangeShapeType="1"/>
                        </wps:cNvCnPr>
                        <wps:spPr bwMode="auto">
                          <a:xfrm>
                            <a:off x="0" y="49"/>
                            <a:ext cx="169"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829" name="Line 1693"/>
                        <wps:cNvCnPr>
                          <a:cxnSpLocks noChangeShapeType="1"/>
                        </wps:cNvCnPr>
                        <wps:spPr bwMode="auto">
                          <a:xfrm>
                            <a:off x="169" y="1"/>
                            <a:ext cx="121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830" name="Line 1692"/>
                        <wps:cNvCnPr>
                          <a:cxnSpLocks noChangeShapeType="1"/>
                        </wps:cNvCnPr>
                        <wps:spPr bwMode="auto">
                          <a:xfrm>
                            <a:off x="169" y="2"/>
                            <a:ext cx="121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831" name="Line 1691"/>
                        <wps:cNvCnPr>
                          <a:cxnSpLocks noChangeShapeType="1"/>
                        </wps:cNvCnPr>
                        <wps:spPr bwMode="auto">
                          <a:xfrm>
                            <a:off x="169" y="3"/>
                            <a:ext cx="121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832" name="Line 1690"/>
                        <wps:cNvCnPr>
                          <a:cxnSpLocks noChangeShapeType="1"/>
                        </wps:cNvCnPr>
                        <wps:spPr bwMode="auto">
                          <a:xfrm>
                            <a:off x="169" y="4"/>
                            <a:ext cx="121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833" name="Line 1689"/>
                        <wps:cNvCnPr>
                          <a:cxnSpLocks noChangeShapeType="1"/>
                        </wps:cNvCnPr>
                        <wps:spPr bwMode="auto">
                          <a:xfrm>
                            <a:off x="169" y="5"/>
                            <a:ext cx="121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834" name="Line 1688"/>
                        <wps:cNvCnPr>
                          <a:cxnSpLocks noChangeShapeType="1"/>
                        </wps:cNvCnPr>
                        <wps:spPr bwMode="auto">
                          <a:xfrm>
                            <a:off x="169" y="7"/>
                            <a:ext cx="121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835" name="Line 1687"/>
                        <wps:cNvCnPr>
                          <a:cxnSpLocks noChangeShapeType="1"/>
                        </wps:cNvCnPr>
                        <wps:spPr bwMode="auto">
                          <a:xfrm>
                            <a:off x="169" y="8"/>
                            <a:ext cx="121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836" name="Line 1686"/>
                        <wps:cNvCnPr>
                          <a:cxnSpLocks noChangeShapeType="1"/>
                        </wps:cNvCnPr>
                        <wps:spPr bwMode="auto">
                          <a:xfrm>
                            <a:off x="169" y="9"/>
                            <a:ext cx="121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837" name="Line 1685"/>
                        <wps:cNvCnPr>
                          <a:cxnSpLocks noChangeShapeType="1"/>
                        </wps:cNvCnPr>
                        <wps:spPr bwMode="auto">
                          <a:xfrm>
                            <a:off x="169" y="10"/>
                            <a:ext cx="121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838" name="Line 1684"/>
                        <wps:cNvCnPr>
                          <a:cxnSpLocks noChangeShapeType="1"/>
                        </wps:cNvCnPr>
                        <wps:spPr bwMode="auto">
                          <a:xfrm>
                            <a:off x="169" y="11"/>
                            <a:ext cx="121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839" name="Line 1683"/>
                        <wps:cNvCnPr>
                          <a:cxnSpLocks noChangeShapeType="1"/>
                        </wps:cNvCnPr>
                        <wps:spPr bwMode="auto">
                          <a:xfrm>
                            <a:off x="169" y="13"/>
                            <a:ext cx="121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840" name="Line 1682"/>
                        <wps:cNvCnPr>
                          <a:cxnSpLocks noChangeShapeType="1"/>
                        </wps:cNvCnPr>
                        <wps:spPr bwMode="auto">
                          <a:xfrm>
                            <a:off x="169" y="14"/>
                            <a:ext cx="121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841" name="Line 1681"/>
                        <wps:cNvCnPr>
                          <a:cxnSpLocks noChangeShapeType="1"/>
                        </wps:cNvCnPr>
                        <wps:spPr bwMode="auto">
                          <a:xfrm>
                            <a:off x="169" y="15"/>
                            <a:ext cx="121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842" name="Line 1680"/>
                        <wps:cNvCnPr>
                          <a:cxnSpLocks noChangeShapeType="1"/>
                        </wps:cNvCnPr>
                        <wps:spPr bwMode="auto">
                          <a:xfrm>
                            <a:off x="169" y="34"/>
                            <a:ext cx="121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843" name="Line 1679"/>
                        <wps:cNvCnPr>
                          <a:cxnSpLocks noChangeShapeType="1"/>
                        </wps:cNvCnPr>
                        <wps:spPr bwMode="auto">
                          <a:xfrm>
                            <a:off x="169" y="35"/>
                            <a:ext cx="121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844" name="Line 1678"/>
                        <wps:cNvCnPr>
                          <a:cxnSpLocks noChangeShapeType="1"/>
                        </wps:cNvCnPr>
                        <wps:spPr bwMode="auto">
                          <a:xfrm>
                            <a:off x="169" y="37"/>
                            <a:ext cx="121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845" name="Line 1677"/>
                        <wps:cNvCnPr>
                          <a:cxnSpLocks noChangeShapeType="1"/>
                        </wps:cNvCnPr>
                        <wps:spPr bwMode="auto">
                          <a:xfrm>
                            <a:off x="169" y="38"/>
                            <a:ext cx="121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846" name="Line 1676"/>
                        <wps:cNvCnPr>
                          <a:cxnSpLocks noChangeShapeType="1"/>
                        </wps:cNvCnPr>
                        <wps:spPr bwMode="auto">
                          <a:xfrm>
                            <a:off x="169" y="39"/>
                            <a:ext cx="121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847" name="Line 1675"/>
                        <wps:cNvCnPr>
                          <a:cxnSpLocks noChangeShapeType="1"/>
                        </wps:cNvCnPr>
                        <wps:spPr bwMode="auto">
                          <a:xfrm>
                            <a:off x="169" y="40"/>
                            <a:ext cx="121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848" name="Line 1674"/>
                        <wps:cNvCnPr>
                          <a:cxnSpLocks noChangeShapeType="1"/>
                        </wps:cNvCnPr>
                        <wps:spPr bwMode="auto">
                          <a:xfrm>
                            <a:off x="169" y="41"/>
                            <a:ext cx="121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849" name="Line 1673"/>
                        <wps:cNvCnPr>
                          <a:cxnSpLocks noChangeShapeType="1"/>
                        </wps:cNvCnPr>
                        <wps:spPr bwMode="auto">
                          <a:xfrm>
                            <a:off x="169" y="43"/>
                            <a:ext cx="121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850" name="Line 1672"/>
                        <wps:cNvCnPr>
                          <a:cxnSpLocks noChangeShapeType="1"/>
                        </wps:cNvCnPr>
                        <wps:spPr bwMode="auto">
                          <a:xfrm>
                            <a:off x="169" y="44"/>
                            <a:ext cx="121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851" name="Line 1671"/>
                        <wps:cNvCnPr>
                          <a:cxnSpLocks noChangeShapeType="1"/>
                        </wps:cNvCnPr>
                        <wps:spPr bwMode="auto">
                          <a:xfrm>
                            <a:off x="169" y="45"/>
                            <a:ext cx="121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852" name="Line 1670"/>
                        <wps:cNvCnPr>
                          <a:cxnSpLocks noChangeShapeType="1"/>
                        </wps:cNvCnPr>
                        <wps:spPr bwMode="auto">
                          <a:xfrm>
                            <a:off x="169" y="46"/>
                            <a:ext cx="121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853" name="Line 1669"/>
                        <wps:cNvCnPr>
                          <a:cxnSpLocks noChangeShapeType="1"/>
                        </wps:cNvCnPr>
                        <wps:spPr bwMode="auto">
                          <a:xfrm>
                            <a:off x="169" y="47"/>
                            <a:ext cx="121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854" name="Line 1668"/>
                        <wps:cNvCnPr>
                          <a:cxnSpLocks noChangeShapeType="1"/>
                        </wps:cNvCnPr>
                        <wps:spPr bwMode="auto">
                          <a:xfrm>
                            <a:off x="169" y="49"/>
                            <a:ext cx="121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855" name="Line 1667"/>
                        <wps:cNvCnPr>
                          <a:cxnSpLocks noChangeShapeType="1"/>
                        </wps:cNvCnPr>
                        <wps:spPr bwMode="auto">
                          <a:xfrm>
                            <a:off x="1382" y="1"/>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856" name="Line 1666"/>
                        <wps:cNvCnPr>
                          <a:cxnSpLocks noChangeShapeType="1"/>
                        </wps:cNvCnPr>
                        <wps:spPr bwMode="auto">
                          <a:xfrm>
                            <a:off x="1382" y="2"/>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857" name="Line 1665"/>
                        <wps:cNvCnPr>
                          <a:cxnSpLocks noChangeShapeType="1"/>
                        </wps:cNvCnPr>
                        <wps:spPr bwMode="auto">
                          <a:xfrm>
                            <a:off x="1382" y="3"/>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858" name="Line 1664"/>
                        <wps:cNvCnPr>
                          <a:cxnSpLocks noChangeShapeType="1"/>
                        </wps:cNvCnPr>
                        <wps:spPr bwMode="auto">
                          <a:xfrm>
                            <a:off x="1382" y="4"/>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859" name="Line 1663"/>
                        <wps:cNvCnPr>
                          <a:cxnSpLocks noChangeShapeType="1"/>
                        </wps:cNvCnPr>
                        <wps:spPr bwMode="auto">
                          <a:xfrm>
                            <a:off x="1382" y="5"/>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860" name="Line 1662"/>
                        <wps:cNvCnPr>
                          <a:cxnSpLocks noChangeShapeType="1"/>
                        </wps:cNvCnPr>
                        <wps:spPr bwMode="auto">
                          <a:xfrm>
                            <a:off x="1382" y="7"/>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861" name="Line 1661"/>
                        <wps:cNvCnPr>
                          <a:cxnSpLocks noChangeShapeType="1"/>
                        </wps:cNvCnPr>
                        <wps:spPr bwMode="auto">
                          <a:xfrm>
                            <a:off x="1382" y="8"/>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862" name="Line 1660"/>
                        <wps:cNvCnPr>
                          <a:cxnSpLocks noChangeShapeType="1"/>
                        </wps:cNvCnPr>
                        <wps:spPr bwMode="auto">
                          <a:xfrm>
                            <a:off x="1382" y="9"/>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863" name="Line 1659"/>
                        <wps:cNvCnPr>
                          <a:cxnSpLocks noChangeShapeType="1"/>
                        </wps:cNvCnPr>
                        <wps:spPr bwMode="auto">
                          <a:xfrm>
                            <a:off x="1382" y="10"/>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864" name="Line 1658"/>
                        <wps:cNvCnPr>
                          <a:cxnSpLocks noChangeShapeType="1"/>
                        </wps:cNvCnPr>
                        <wps:spPr bwMode="auto">
                          <a:xfrm>
                            <a:off x="1382" y="11"/>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865" name="Line 1657"/>
                        <wps:cNvCnPr>
                          <a:cxnSpLocks noChangeShapeType="1"/>
                        </wps:cNvCnPr>
                        <wps:spPr bwMode="auto">
                          <a:xfrm>
                            <a:off x="1382" y="13"/>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866" name="Line 1656"/>
                        <wps:cNvCnPr>
                          <a:cxnSpLocks noChangeShapeType="1"/>
                        </wps:cNvCnPr>
                        <wps:spPr bwMode="auto">
                          <a:xfrm>
                            <a:off x="1382" y="14"/>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867" name="Line 1655"/>
                        <wps:cNvCnPr>
                          <a:cxnSpLocks noChangeShapeType="1"/>
                        </wps:cNvCnPr>
                        <wps:spPr bwMode="auto">
                          <a:xfrm>
                            <a:off x="1382" y="15"/>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868" name="Line 1654"/>
                        <wps:cNvCnPr>
                          <a:cxnSpLocks noChangeShapeType="1"/>
                        </wps:cNvCnPr>
                        <wps:spPr bwMode="auto">
                          <a:xfrm>
                            <a:off x="1382" y="34"/>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869" name="Line 1653"/>
                        <wps:cNvCnPr>
                          <a:cxnSpLocks noChangeShapeType="1"/>
                        </wps:cNvCnPr>
                        <wps:spPr bwMode="auto">
                          <a:xfrm>
                            <a:off x="1382" y="35"/>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870" name="Line 1652"/>
                        <wps:cNvCnPr>
                          <a:cxnSpLocks noChangeShapeType="1"/>
                        </wps:cNvCnPr>
                        <wps:spPr bwMode="auto">
                          <a:xfrm>
                            <a:off x="1382" y="37"/>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871" name="Line 1651"/>
                        <wps:cNvCnPr>
                          <a:cxnSpLocks noChangeShapeType="1"/>
                        </wps:cNvCnPr>
                        <wps:spPr bwMode="auto">
                          <a:xfrm>
                            <a:off x="1382" y="38"/>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872" name="Line 1650"/>
                        <wps:cNvCnPr>
                          <a:cxnSpLocks noChangeShapeType="1"/>
                        </wps:cNvCnPr>
                        <wps:spPr bwMode="auto">
                          <a:xfrm>
                            <a:off x="1382" y="39"/>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873" name="Line 1649"/>
                        <wps:cNvCnPr>
                          <a:cxnSpLocks noChangeShapeType="1"/>
                        </wps:cNvCnPr>
                        <wps:spPr bwMode="auto">
                          <a:xfrm>
                            <a:off x="1382" y="40"/>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874" name="Line 1648"/>
                        <wps:cNvCnPr>
                          <a:cxnSpLocks noChangeShapeType="1"/>
                        </wps:cNvCnPr>
                        <wps:spPr bwMode="auto">
                          <a:xfrm>
                            <a:off x="1382" y="41"/>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875" name="Line 1647"/>
                        <wps:cNvCnPr>
                          <a:cxnSpLocks noChangeShapeType="1"/>
                        </wps:cNvCnPr>
                        <wps:spPr bwMode="auto">
                          <a:xfrm>
                            <a:off x="1382" y="43"/>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876" name="Line 1646"/>
                        <wps:cNvCnPr>
                          <a:cxnSpLocks noChangeShapeType="1"/>
                        </wps:cNvCnPr>
                        <wps:spPr bwMode="auto">
                          <a:xfrm>
                            <a:off x="1382" y="44"/>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877" name="Line 1645"/>
                        <wps:cNvCnPr>
                          <a:cxnSpLocks noChangeShapeType="1"/>
                        </wps:cNvCnPr>
                        <wps:spPr bwMode="auto">
                          <a:xfrm>
                            <a:off x="1382" y="45"/>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878" name="Line 1644"/>
                        <wps:cNvCnPr>
                          <a:cxnSpLocks noChangeShapeType="1"/>
                        </wps:cNvCnPr>
                        <wps:spPr bwMode="auto">
                          <a:xfrm>
                            <a:off x="1382" y="46"/>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879" name="Line 1643"/>
                        <wps:cNvCnPr>
                          <a:cxnSpLocks noChangeShapeType="1"/>
                        </wps:cNvCnPr>
                        <wps:spPr bwMode="auto">
                          <a:xfrm>
                            <a:off x="1382" y="47"/>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880" name="Line 1642"/>
                        <wps:cNvCnPr>
                          <a:cxnSpLocks noChangeShapeType="1"/>
                        </wps:cNvCnPr>
                        <wps:spPr bwMode="auto">
                          <a:xfrm>
                            <a:off x="1382" y="49"/>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881" name="Line 1641"/>
                        <wps:cNvCnPr>
                          <a:cxnSpLocks noChangeShapeType="1"/>
                        </wps:cNvCnPr>
                        <wps:spPr bwMode="auto">
                          <a:xfrm>
                            <a:off x="2680" y="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882" name="Line 1640"/>
                        <wps:cNvCnPr>
                          <a:cxnSpLocks noChangeShapeType="1"/>
                        </wps:cNvCnPr>
                        <wps:spPr bwMode="auto">
                          <a:xfrm>
                            <a:off x="2680" y="2"/>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883" name="Line 1639"/>
                        <wps:cNvCnPr>
                          <a:cxnSpLocks noChangeShapeType="1"/>
                        </wps:cNvCnPr>
                        <wps:spPr bwMode="auto">
                          <a:xfrm>
                            <a:off x="2680" y="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884" name="Line 1638"/>
                        <wps:cNvCnPr>
                          <a:cxnSpLocks noChangeShapeType="1"/>
                        </wps:cNvCnPr>
                        <wps:spPr bwMode="auto">
                          <a:xfrm>
                            <a:off x="2680" y="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885" name="Line 1637"/>
                        <wps:cNvCnPr>
                          <a:cxnSpLocks noChangeShapeType="1"/>
                        </wps:cNvCnPr>
                        <wps:spPr bwMode="auto">
                          <a:xfrm>
                            <a:off x="2680" y="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886" name="Line 1636"/>
                        <wps:cNvCnPr>
                          <a:cxnSpLocks noChangeShapeType="1"/>
                        </wps:cNvCnPr>
                        <wps:spPr bwMode="auto">
                          <a:xfrm>
                            <a:off x="2680" y="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887" name="Line 1635"/>
                        <wps:cNvCnPr>
                          <a:cxnSpLocks noChangeShapeType="1"/>
                        </wps:cNvCnPr>
                        <wps:spPr bwMode="auto">
                          <a:xfrm>
                            <a:off x="2680" y="10"/>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888" name="Line 1634"/>
                        <wps:cNvCnPr>
                          <a:cxnSpLocks noChangeShapeType="1"/>
                        </wps:cNvCnPr>
                        <wps:spPr bwMode="auto">
                          <a:xfrm>
                            <a:off x="2680" y="1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889" name="Line 1633"/>
                        <wps:cNvCnPr>
                          <a:cxnSpLocks noChangeShapeType="1"/>
                        </wps:cNvCnPr>
                        <wps:spPr bwMode="auto">
                          <a:xfrm>
                            <a:off x="2680" y="1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890" name="Line 1632"/>
                        <wps:cNvCnPr>
                          <a:cxnSpLocks noChangeShapeType="1"/>
                        </wps:cNvCnPr>
                        <wps:spPr bwMode="auto">
                          <a:xfrm>
                            <a:off x="2680" y="1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891" name="Line 1631"/>
                        <wps:cNvCnPr>
                          <a:cxnSpLocks noChangeShapeType="1"/>
                        </wps:cNvCnPr>
                        <wps:spPr bwMode="auto">
                          <a:xfrm>
                            <a:off x="2680" y="1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892" name="Line 1630"/>
                        <wps:cNvCnPr>
                          <a:cxnSpLocks noChangeShapeType="1"/>
                        </wps:cNvCnPr>
                        <wps:spPr bwMode="auto">
                          <a:xfrm>
                            <a:off x="2680" y="3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893" name="Line 1629"/>
                        <wps:cNvCnPr>
                          <a:cxnSpLocks noChangeShapeType="1"/>
                        </wps:cNvCnPr>
                        <wps:spPr bwMode="auto">
                          <a:xfrm>
                            <a:off x="2680" y="3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894" name="Line 1628"/>
                        <wps:cNvCnPr>
                          <a:cxnSpLocks noChangeShapeType="1"/>
                        </wps:cNvCnPr>
                        <wps:spPr bwMode="auto">
                          <a:xfrm>
                            <a:off x="2680" y="3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895" name="Line 1627"/>
                        <wps:cNvCnPr>
                          <a:cxnSpLocks noChangeShapeType="1"/>
                        </wps:cNvCnPr>
                        <wps:spPr bwMode="auto">
                          <a:xfrm>
                            <a:off x="2680" y="38"/>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896" name="Line 1626"/>
                        <wps:cNvCnPr>
                          <a:cxnSpLocks noChangeShapeType="1"/>
                        </wps:cNvCnPr>
                        <wps:spPr bwMode="auto">
                          <a:xfrm>
                            <a:off x="2680" y="3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897" name="Line 1625"/>
                        <wps:cNvCnPr>
                          <a:cxnSpLocks noChangeShapeType="1"/>
                        </wps:cNvCnPr>
                        <wps:spPr bwMode="auto">
                          <a:xfrm>
                            <a:off x="2680" y="40"/>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898" name="Line 1624"/>
                        <wps:cNvCnPr>
                          <a:cxnSpLocks noChangeShapeType="1"/>
                        </wps:cNvCnPr>
                        <wps:spPr bwMode="auto">
                          <a:xfrm>
                            <a:off x="2680" y="4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899" name="Line 1623"/>
                        <wps:cNvCnPr>
                          <a:cxnSpLocks noChangeShapeType="1"/>
                        </wps:cNvCnPr>
                        <wps:spPr bwMode="auto">
                          <a:xfrm>
                            <a:off x="2680" y="4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900" name="Line 1622"/>
                        <wps:cNvCnPr>
                          <a:cxnSpLocks noChangeShapeType="1"/>
                        </wps:cNvCnPr>
                        <wps:spPr bwMode="auto">
                          <a:xfrm>
                            <a:off x="2680" y="4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901" name="Line 1621"/>
                        <wps:cNvCnPr>
                          <a:cxnSpLocks noChangeShapeType="1"/>
                        </wps:cNvCnPr>
                        <wps:spPr bwMode="auto">
                          <a:xfrm>
                            <a:off x="2680" y="4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902" name="Line 1620"/>
                        <wps:cNvCnPr>
                          <a:cxnSpLocks noChangeShapeType="1"/>
                        </wps:cNvCnPr>
                        <wps:spPr bwMode="auto">
                          <a:xfrm>
                            <a:off x="2680" y="46"/>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903" name="Line 1619"/>
                        <wps:cNvCnPr>
                          <a:cxnSpLocks noChangeShapeType="1"/>
                        </wps:cNvCnPr>
                        <wps:spPr bwMode="auto">
                          <a:xfrm>
                            <a:off x="2680" y="4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904" name="Line 1618"/>
                        <wps:cNvCnPr>
                          <a:cxnSpLocks noChangeShapeType="1"/>
                        </wps:cNvCnPr>
                        <wps:spPr bwMode="auto">
                          <a:xfrm>
                            <a:off x="2680" y="4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905" name="Line 1617"/>
                        <wps:cNvCnPr>
                          <a:cxnSpLocks noChangeShapeType="1"/>
                        </wps:cNvCnPr>
                        <wps:spPr bwMode="auto">
                          <a:xfrm>
                            <a:off x="3977" y="1"/>
                            <a:ext cx="102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906" name="Line 1616"/>
                        <wps:cNvCnPr>
                          <a:cxnSpLocks noChangeShapeType="1"/>
                        </wps:cNvCnPr>
                        <wps:spPr bwMode="auto">
                          <a:xfrm>
                            <a:off x="3977" y="2"/>
                            <a:ext cx="102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907" name="Line 1615"/>
                        <wps:cNvCnPr>
                          <a:cxnSpLocks noChangeShapeType="1"/>
                        </wps:cNvCnPr>
                        <wps:spPr bwMode="auto">
                          <a:xfrm>
                            <a:off x="3977" y="3"/>
                            <a:ext cx="102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908" name="Line 1614"/>
                        <wps:cNvCnPr>
                          <a:cxnSpLocks noChangeShapeType="1"/>
                        </wps:cNvCnPr>
                        <wps:spPr bwMode="auto">
                          <a:xfrm>
                            <a:off x="3977" y="4"/>
                            <a:ext cx="102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909" name="Line 1613"/>
                        <wps:cNvCnPr>
                          <a:cxnSpLocks noChangeShapeType="1"/>
                        </wps:cNvCnPr>
                        <wps:spPr bwMode="auto">
                          <a:xfrm>
                            <a:off x="3977" y="5"/>
                            <a:ext cx="102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910" name="Line 1612"/>
                        <wps:cNvCnPr>
                          <a:cxnSpLocks noChangeShapeType="1"/>
                        </wps:cNvCnPr>
                        <wps:spPr bwMode="auto">
                          <a:xfrm>
                            <a:off x="3977" y="7"/>
                            <a:ext cx="102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911" name="Line 1611"/>
                        <wps:cNvCnPr>
                          <a:cxnSpLocks noChangeShapeType="1"/>
                        </wps:cNvCnPr>
                        <wps:spPr bwMode="auto">
                          <a:xfrm>
                            <a:off x="3977" y="10"/>
                            <a:ext cx="102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912" name="Line 1610"/>
                        <wps:cNvCnPr>
                          <a:cxnSpLocks noChangeShapeType="1"/>
                        </wps:cNvCnPr>
                        <wps:spPr bwMode="auto">
                          <a:xfrm>
                            <a:off x="3977" y="11"/>
                            <a:ext cx="102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913" name="Line 1609"/>
                        <wps:cNvCnPr>
                          <a:cxnSpLocks noChangeShapeType="1"/>
                        </wps:cNvCnPr>
                        <wps:spPr bwMode="auto">
                          <a:xfrm>
                            <a:off x="3977" y="13"/>
                            <a:ext cx="102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914" name="Line 1608"/>
                        <wps:cNvCnPr>
                          <a:cxnSpLocks noChangeShapeType="1"/>
                        </wps:cNvCnPr>
                        <wps:spPr bwMode="auto">
                          <a:xfrm>
                            <a:off x="3977" y="14"/>
                            <a:ext cx="102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915" name="Line 1607"/>
                        <wps:cNvCnPr>
                          <a:cxnSpLocks noChangeShapeType="1"/>
                        </wps:cNvCnPr>
                        <wps:spPr bwMode="auto">
                          <a:xfrm>
                            <a:off x="3977" y="15"/>
                            <a:ext cx="102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916" name="Line 1606"/>
                        <wps:cNvCnPr>
                          <a:cxnSpLocks noChangeShapeType="1"/>
                        </wps:cNvCnPr>
                        <wps:spPr bwMode="auto">
                          <a:xfrm>
                            <a:off x="3977" y="34"/>
                            <a:ext cx="102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917" name="Line 1605"/>
                        <wps:cNvCnPr>
                          <a:cxnSpLocks noChangeShapeType="1"/>
                        </wps:cNvCnPr>
                        <wps:spPr bwMode="auto">
                          <a:xfrm>
                            <a:off x="3977" y="35"/>
                            <a:ext cx="102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918" name="Line 1604"/>
                        <wps:cNvCnPr>
                          <a:cxnSpLocks noChangeShapeType="1"/>
                        </wps:cNvCnPr>
                        <wps:spPr bwMode="auto">
                          <a:xfrm>
                            <a:off x="3977" y="37"/>
                            <a:ext cx="102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919" name="Line 1603"/>
                        <wps:cNvCnPr>
                          <a:cxnSpLocks noChangeShapeType="1"/>
                        </wps:cNvCnPr>
                        <wps:spPr bwMode="auto">
                          <a:xfrm>
                            <a:off x="3977" y="38"/>
                            <a:ext cx="102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920" name="Line 1602"/>
                        <wps:cNvCnPr>
                          <a:cxnSpLocks noChangeShapeType="1"/>
                        </wps:cNvCnPr>
                        <wps:spPr bwMode="auto">
                          <a:xfrm>
                            <a:off x="3977" y="39"/>
                            <a:ext cx="102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921" name="Line 1601"/>
                        <wps:cNvCnPr>
                          <a:cxnSpLocks noChangeShapeType="1"/>
                        </wps:cNvCnPr>
                        <wps:spPr bwMode="auto">
                          <a:xfrm>
                            <a:off x="3977" y="40"/>
                            <a:ext cx="102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922" name="Line 1600"/>
                        <wps:cNvCnPr>
                          <a:cxnSpLocks noChangeShapeType="1"/>
                        </wps:cNvCnPr>
                        <wps:spPr bwMode="auto">
                          <a:xfrm>
                            <a:off x="3977" y="41"/>
                            <a:ext cx="102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923" name="Line 1599"/>
                        <wps:cNvCnPr>
                          <a:cxnSpLocks noChangeShapeType="1"/>
                        </wps:cNvCnPr>
                        <wps:spPr bwMode="auto">
                          <a:xfrm>
                            <a:off x="3977" y="43"/>
                            <a:ext cx="102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924" name="Line 1598"/>
                        <wps:cNvCnPr>
                          <a:cxnSpLocks noChangeShapeType="1"/>
                        </wps:cNvCnPr>
                        <wps:spPr bwMode="auto">
                          <a:xfrm>
                            <a:off x="3977" y="44"/>
                            <a:ext cx="102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925" name="Line 1597"/>
                        <wps:cNvCnPr>
                          <a:cxnSpLocks noChangeShapeType="1"/>
                        </wps:cNvCnPr>
                        <wps:spPr bwMode="auto">
                          <a:xfrm>
                            <a:off x="3977" y="45"/>
                            <a:ext cx="102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926" name="Line 1596"/>
                        <wps:cNvCnPr>
                          <a:cxnSpLocks noChangeShapeType="1"/>
                        </wps:cNvCnPr>
                        <wps:spPr bwMode="auto">
                          <a:xfrm>
                            <a:off x="3977" y="46"/>
                            <a:ext cx="102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927" name="Line 1595"/>
                        <wps:cNvCnPr>
                          <a:cxnSpLocks noChangeShapeType="1"/>
                        </wps:cNvCnPr>
                        <wps:spPr bwMode="auto">
                          <a:xfrm>
                            <a:off x="3977" y="47"/>
                            <a:ext cx="102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928" name="Line 1594"/>
                        <wps:cNvCnPr>
                          <a:cxnSpLocks noChangeShapeType="1"/>
                        </wps:cNvCnPr>
                        <wps:spPr bwMode="auto">
                          <a:xfrm>
                            <a:off x="3977" y="49"/>
                            <a:ext cx="102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929" name="Line 1593"/>
                        <wps:cNvCnPr>
                          <a:cxnSpLocks noChangeShapeType="1"/>
                        </wps:cNvCnPr>
                        <wps:spPr bwMode="auto">
                          <a:xfrm>
                            <a:off x="4997" y="1"/>
                            <a:ext cx="113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930" name="Line 1592"/>
                        <wps:cNvCnPr>
                          <a:cxnSpLocks noChangeShapeType="1"/>
                        </wps:cNvCnPr>
                        <wps:spPr bwMode="auto">
                          <a:xfrm>
                            <a:off x="4997" y="2"/>
                            <a:ext cx="113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931" name="Line 1591"/>
                        <wps:cNvCnPr>
                          <a:cxnSpLocks noChangeShapeType="1"/>
                        </wps:cNvCnPr>
                        <wps:spPr bwMode="auto">
                          <a:xfrm>
                            <a:off x="4997" y="3"/>
                            <a:ext cx="113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932" name="Line 1590"/>
                        <wps:cNvCnPr>
                          <a:cxnSpLocks noChangeShapeType="1"/>
                        </wps:cNvCnPr>
                        <wps:spPr bwMode="auto">
                          <a:xfrm>
                            <a:off x="4997" y="4"/>
                            <a:ext cx="113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933" name="Line 1589"/>
                        <wps:cNvCnPr>
                          <a:cxnSpLocks noChangeShapeType="1"/>
                        </wps:cNvCnPr>
                        <wps:spPr bwMode="auto">
                          <a:xfrm>
                            <a:off x="4997" y="5"/>
                            <a:ext cx="113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934" name="Line 1588"/>
                        <wps:cNvCnPr>
                          <a:cxnSpLocks noChangeShapeType="1"/>
                        </wps:cNvCnPr>
                        <wps:spPr bwMode="auto">
                          <a:xfrm>
                            <a:off x="4997" y="7"/>
                            <a:ext cx="113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935" name="Line 1587"/>
                        <wps:cNvCnPr>
                          <a:cxnSpLocks noChangeShapeType="1"/>
                        </wps:cNvCnPr>
                        <wps:spPr bwMode="auto">
                          <a:xfrm>
                            <a:off x="4997" y="9"/>
                            <a:ext cx="113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936" name="Line 1586"/>
                        <wps:cNvCnPr>
                          <a:cxnSpLocks noChangeShapeType="1"/>
                        </wps:cNvCnPr>
                        <wps:spPr bwMode="auto">
                          <a:xfrm>
                            <a:off x="4997" y="10"/>
                            <a:ext cx="113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937" name="Line 1585"/>
                        <wps:cNvCnPr>
                          <a:cxnSpLocks noChangeShapeType="1"/>
                        </wps:cNvCnPr>
                        <wps:spPr bwMode="auto">
                          <a:xfrm>
                            <a:off x="4997" y="11"/>
                            <a:ext cx="113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938" name="Line 1584"/>
                        <wps:cNvCnPr>
                          <a:cxnSpLocks noChangeShapeType="1"/>
                        </wps:cNvCnPr>
                        <wps:spPr bwMode="auto">
                          <a:xfrm>
                            <a:off x="4997" y="13"/>
                            <a:ext cx="113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939" name="Line 1583"/>
                        <wps:cNvCnPr>
                          <a:cxnSpLocks noChangeShapeType="1"/>
                        </wps:cNvCnPr>
                        <wps:spPr bwMode="auto">
                          <a:xfrm>
                            <a:off x="4997" y="14"/>
                            <a:ext cx="113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940" name="Line 1582"/>
                        <wps:cNvCnPr>
                          <a:cxnSpLocks noChangeShapeType="1"/>
                        </wps:cNvCnPr>
                        <wps:spPr bwMode="auto">
                          <a:xfrm>
                            <a:off x="4997" y="15"/>
                            <a:ext cx="113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941" name="Line 1581"/>
                        <wps:cNvCnPr>
                          <a:cxnSpLocks noChangeShapeType="1"/>
                        </wps:cNvCnPr>
                        <wps:spPr bwMode="auto">
                          <a:xfrm>
                            <a:off x="4997" y="34"/>
                            <a:ext cx="113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942" name="Line 1580"/>
                        <wps:cNvCnPr>
                          <a:cxnSpLocks noChangeShapeType="1"/>
                        </wps:cNvCnPr>
                        <wps:spPr bwMode="auto">
                          <a:xfrm>
                            <a:off x="4997" y="35"/>
                            <a:ext cx="113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943" name="Line 1579"/>
                        <wps:cNvCnPr>
                          <a:cxnSpLocks noChangeShapeType="1"/>
                        </wps:cNvCnPr>
                        <wps:spPr bwMode="auto">
                          <a:xfrm>
                            <a:off x="4997" y="37"/>
                            <a:ext cx="113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944" name="Line 1578"/>
                        <wps:cNvCnPr>
                          <a:cxnSpLocks noChangeShapeType="1"/>
                        </wps:cNvCnPr>
                        <wps:spPr bwMode="auto">
                          <a:xfrm>
                            <a:off x="4997" y="38"/>
                            <a:ext cx="113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945" name="Line 1577"/>
                        <wps:cNvCnPr>
                          <a:cxnSpLocks noChangeShapeType="1"/>
                        </wps:cNvCnPr>
                        <wps:spPr bwMode="auto">
                          <a:xfrm>
                            <a:off x="4997" y="39"/>
                            <a:ext cx="113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946" name="Line 1576"/>
                        <wps:cNvCnPr>
                          <a:cxnSpLocks noChangeShapeType="1"/>
                        </wps:cNvCnPr>
                        <wps:spPr bwMode="auto">
                          <a:xfrm>
                            <a:off x="4997" y="40"/>
                            <a:ext cx="113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947" name="Line 1575"/>
                        <wps:cNvCnPr>
                          <a:cxnSpLocks noChangeShapeType="1"/>
                        </wps:cNvCnPr>
                        <wps:spPr bwMode="auto">
                          <a:xfrm>
                            <a:off x="4997" y="41"/>
                            <a:ext cx="113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948" name="Line 1574"/>
                        <wps:cNvCnPr>
                          <a:cxnSpLocks noChangeShapeType="1"/>
                        </wps:cNvCnPr>
                        <wps:spPr bwMode="auto">
                          <a:xfrm>
                            <a:off x="4997" y="43"/>
                            <a:ext cx="113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949" name="Line 1573"/>
                        <wps:cNvCnPr>
                          <a:cxnSpLocks noChangeShapeType="1"/>
                        </wps:cNvCnPr>
                        <wps:spPr bwMode="auto">
                          <a:xfrm>
                            <a:off x="4997" y="44"/>
                            <a:ext cx="113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950" name="Line 1572"/>
                        <wps:cNvCnPr>
                          <a:cxnSpLocks noChangeShapeType="1"/>
                        </wps:cNvCnPr>
                        <wps:spPr bwMode="auto">
                          <a:xfrm>
                            <a:off x="4997" y="45"/>
                            <a:ext cx="113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951" name="Line 1571"/>
                        <wps:cNvCnPr>
                          <a:cxnSpLocks noChangeShapeType="1"/>
                        </wps:cNvCnPr>
                        <wps:spPr bwMode="auto">
                          <a:xfrm>
                            <a:off x="4997" y="46"/>
                            <a:ext cx="113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952" name="Line 1570"/>
                        <wps:cNvCnPr>
                          <a:cxnSpLocks noChangeShapeType="1"/>
                        </wps:cNvCnPr>
                        <wps:spPr bwMode="auto">
                          <a:xfrm>
                            <a:off x="4997" y="47"/>
                            <a:ext cx="113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953" name="Line 1569"/>
                        <wps:cNvCnPr>
                          <a:cxnSpLocks noChangeShapeType="1"/>
                        </wps:cNvCnPr>
                        <wps:spPr bwMode="auto">
                          <a:xfrm>
                            <a:off x="4997" y="49"/>
                            <a:ext cx="113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92F118A" id="Group 1568" o:spid="_x0000_s1026" style="width:306.5pt;height:2.5pt;mso-position-horizontal-relative:char;mso-position-vertical-relative:line" coordsize="61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">
                <v:line id="Line 1719" o:spid="_x0000_s1027" style="position:absolute;visibility:visible;mso-wrap-style:square" from="0,1" to="1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" strokeweight=".06pt"/>
                <v:line id="Line 1718" o:spid="_x0000_s1028" style="position:absolute;visibility:visible;mso-wrap-style:square" from="0,2" to="1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" strokeweight=".06pt"/>
                <v:line id="Line 1717" o:spid="_x0000_s1029" style="position:absolute;visibility:visible;mso-wrap-style:square" from="0,3" to="1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" strokeweight=".06pt"/>
                <v:line id="Line 1716" o:spid="_x0000_s1030" style="position:absolute;visibility:visible;mso-wrap-style:square" from="0,4" to="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" strokeweight=".06pt"/>
                <v:line id="Line 1715" o:spid="_x0000_s1031" style="position:absolute;visibility:visible;mso-wrap-style:square" from="0,5" to="1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" strokeweight=".06pt"/>
                <v:line id="Line 1714" o:spid="_x0000_s1032" style="position:absolute;visibility:visible;mso-wrap-style:square" from="0,7" to="1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" strokeweight=".06pt"/>
                <v:line id="Line 1713" o:spid="_x0000_s1033" style="position:absolute;visibility:visible;mso-wrap-style:square" from="0,8" to="1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" strokeweight=".06pt"/>
                <v:line id="Line 1712" o:spid="_x0000_s1034" style="position:absolute;visibility:visible;mso-wrap-style:square" from="0,9" to="1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" strokeweight=".06pt"/>
                <v:line id="Line 1711" o:spid="_x0000_s1035" style="position:absolute;visibility:visible;mso-wrap-style:square" from="0,10" to="16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" strokeweight=".06pt"/>
                <v:line id="Line 1710" o:spid="_x0000_s1036" style="position:absolute;visibility:visible;mso-wrap-style:square" from="0,11" to="16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" strokeweight=".06pt"/>
                <v:line id="Line 1709" o:spid="_x0000_s1037" style="position:absolute;visibility:visible;mso-wrap-style:square" from="0,13" to="16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" strokeweight=".06pt"/>
                <v:line id="Line 1708" o:spid="_x0000_s1038" style="position:absolute;visibility:visible;mso-wrap-style:square" from="0,14" to="16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" strokeweight=".06pt"/>
                <v:line id="Line 1707" o:spid="_x0000_s1039" style="position:absolute;visibility:visible;mso-wrap-style:square" from="0,15" to="16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" strokeweight=".06pt"/>
                <v:line id="Line 1706" o:spid="_x0000_s1040" style="position:absolute;visibility:visible;mso-wrap-style:square" from="0,34" to="16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" strokeweight=".06pt"/>
                <v:line id="Line 1705" o:spid="_x0000_s1041" style="position:absolute;visibility:visible;mso-wrap-style:square" from="0,35" to="16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" strokeweight=".06pt"/>
                <v:line id="Line 1704" o:spid="_x0000_s1042" style="position:absolute;visibility:visible;mso-wrap-style:square" from="0,37" to="16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" strokeweight=".06pt"/>
                <v:line id="Line 1703" o:spid="_x0000_s1043" style="position:absolute;visibility:visible;mso-wrap-style:square" from="0,38" to="16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" strokeweight=".06pt"/>
                <v:line id="Line 1702" o:spid="_x0000_s1044" style="position:absolute;visibility:visible;mso-wrap-style:square" from="0,39" to="16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" strokeweight=".06pt"/>
                <v:line id="Line 1701" o:spid="_x0000_s1045" style="position:absolute;visibility:visible;mso-wrap-style:square" from="0,40" to="16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" strokeweight=".06pt"/>
                <v:line id="Line 1700" o:spid="_x0000_s1046" style="position:absolute;visibility:visible;mso-wrap-style:square" from="0,41" to="16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" strokeweight=".06pt"/>
                <v:line id="Line 1699" o:spid="_x0000_s1047" style="position:absolute;visibility:visible;mso-wrap-style:square" from="0,43" to="16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" strokeweight=".06pt"/>
                <v:line id="Line 1698" o:spid="_x0000_s1048" style="position:absolute;visibility:visible;mso-wrap-style:square" from="0,44" to="16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" strokeweight=".06pt"/>
                <v:line id="Line 1697" o:spid="_x0000_s1049" style="position:absolute;visibility:visible;mso-wrap-style:square" from="0,45" to="16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" strokeweight=".06pt"/>
                <v:line id="Line 1696" o:spid="_x0000_s1050" style="position:absolute;visibility:visible;mso-wrap-style:square" from="0,46" to="16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" strokeweight=".06pt"/>
                <v:line id="Line 1695" o:spid="_x0000_s1051" style="position:absolute;visibility:visible;mso-wrap-style:square" from="0,47" to="16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" strokeweight=".06pt"/>
                <v:line id="Line 1694" o:spid="_x0000_s1052" style="position:absolute;visibility:visible;mso-wrap-style:square" from="0,49" to="16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" strokeweight=".06pt"/>
                <v:line id="Line 1693" o:spid="_x0000_s1053" style="position:absolute;visibility:visible;mso-wrap-style:square" from="169,1" to="13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" strokeweight=".06pt"/>
                <v:line id="Line 1692" o:spid="_x0000_s1054" style="position:absolute;visibility:visible;mso-wrap-style:square" from="169,2" to="13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" strokeweight=".06pt"/>
                <v:line id="Line 1691" o:spid="_x0000_s1055" style="position:absolute;visibility:visible;mso-wrap-style:square" from="169,3" to="13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" strokeweight=".06pt"/>
                <v:line id="Line 1690" o:spid="_x0000_s1056" style="position:absolute;visibility:visible;mso-wrap-style:square" from="169,4" to="13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" strokeweight=".06pt"/>
                <v:line id="Line 1689" o:spid="_x0000_s1057" style="position:absolute;visibility:visible;mso-wrap-style:square" from="169,5" to="13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" strokeweight=".06pt"/>
                <v:line id="Line 1688" o:spid="_x0000_s1058" style="position:absolute;visibility:visible;mso-wrap-style:square" from="169,7" to="13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" strokeweight=".06pt"/>
                <v:line id="Line 1687" o:spid="_x0000_s1059" style="position:absolute;visibility:visible;mso-wrap-style:square" from="169,8" to="13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" strokeweight=".06pt"/>
                <v:line id="Line 1686" o:spid="_x0000_s1060" style="position:absolute;visibility:visible;mso-wrap-style:square" from="169,9" to="13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" strokeweight=".06pt"/>
                <v:line id="Line 1685" o:spid="_x0000_s1061" style="position:absolute;visibility:visible;mso-wrap-style:square" from="169,10" to="138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" strokeweight=".06pt"/>
                <v:line id="Line 1684" o:spid="_x0000_s1062" style="position:absolute;visibility:visible;mso-wrap-style:square" from="169,11" to="138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" strokeweight=".06pt"/>
                <v:line id="Line 1683" o:spid="_x0000_s1063" style="position:absolute;visibility:visible;mso-wrap-style:square" from="169,13" to="138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" strokeweight=".06pt"/>
                <v:line id="Line 1682" o:spid="_x0000_s1064" style="position:absolute;visibility:visible;mso-wrap-style:square" from="169,14" to="138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" strokeweight=".06pt"/>
                <v:line id="Line 1681" o:spid="_x0000_s1065" style="position:absolute;visibility:visible;mso-wrap-style:square" from="169,15" to="138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" strokeweight=".06pt"/>
                <v:line id="Line 1680" o:spid="_x0000_s1066" style="position:absolute;visibility:visible;mso-wrap-style:square" from="169,34" to="13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" strokeweight=".06pt"/>
                <v:line id="Line 1679" o:spid="_x0000_s1067" style="position:absolute;visibility:visible;mso-wrap-style:square" from="169,35" to="138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" strokeweight=".06pt"/>
                <v:line id="Line 1678" o:spid="_x0000_s1068" style="position:absolute;visibility:visible;mso-wrap-style:square" from="169,37" to="138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" strokeweight=".06pt"/>
                <v:line id="Line 1677" o:spid="_x0000_s1069" style="position:absolute;visibility:visible;mso-wrap-style:square" from="169,38" to="138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" strokeweight=".06pt"/>
                <v:line id="Line 1676" o:spid="_x0000_s1070" style="position:absolute;visibility:visible;mso-wrap-style:square" from="169,39" to="138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" strokeweight=".06pt"/>
                <v:line id="Line 1675" o:spid="_x0000_s1071" style="position:absolute;visibility:visible;mso-wrap-style:square" from="169,40" to="138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" strokeweight=".06pt"/>
                <v:line id="Line 1674" o:spid="_x0000_s1072" style="position:absolute;visibility:visible;mso-wrap-style:square" from="169,41" to="138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" strokeweight=".06pt"/>
                <v:line id="Line 1673" o:spid="_x0000_s1073" style="position:absolute;visibility:visible;mso-wrap-style:square" from="169,43" to="138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" strokeweight=".06pt"/>
                <v:line id="Line 1672" o:spid="_x0000_s1074" style="position:absolute;visibility:visible;mso-wrap-style:square" from="169,44" to="138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" strokeweight=".06pt"/>
                <v:line id="Line 1671" o:spid="_x0000_s1075" style="position:absolute;visibility:visible;mso-wrap-style:square" from="169,45" to="138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" strokeweight=".06pt"/>
                <v:line id="Line 1670" o:spid="_x0000_s1076" style="position:absolute;visibility:visible;mso-wrap-style:square" from="169,46" to="138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" strokeweight=".06pt"/>
                <v:line id="Line 1669" o:spid="_x0000_s1077" style="position:absolute;visibility:visible;mso-wrap-style:square" from="169,47" to="138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" strokeweight=".06pt"/>
                <v:line id="Line 1668" o:spid="_x0000_s1078" style="position:absolute;visibility:visible;mso-wrap-style:square" from="169,49" to="138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" strokeweight=".06pt"/>
                <v:line id="Line 1667" o:spid="_x0000_s1079" style="position:absolute;visibility:visible;mso-wrap-style:square" from="1382,1" to="26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" strokeweight=".06pt"/>
                <v:line id="Line 1666" o:spid="_x0000_s1080" style="position:absolute;visibility:visible;mso-wrap-style:square" from="1382,2" to="26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" strokeweight=".06pt"/>
                <v:line id="Line 1665" o:spid="_x0000_s1081" style="position:absolute;visibility:visible;mso-wrap-style:square" from="1382,3" to="26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" strokeweight=".06pt"/>
                <v:line id="Line 1664" o:spid="_x0000_s1082" style="position:absolute;visibility:visible;mso-wrap-style:square" from="1382,4" to="26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" strokeweight=".06pt"/>
                <v:line id="Line 1663" o:spid="_x0000_s1083" style="position:absolute;visibility:visible;mso-wrap-style:square" from="1382,5" to="26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" strokeweight=".06pt"/>
                <v:line id="Line 1662" o:spid="_x0000_s1084" style="position:absolute;visibility:visible;mso-wrap-style:square" from="1382,7" to="26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" strokeweight=".06pt"/>
                <v:line id="Line 1661" o:spid="_x0000_s1085" style="position:absolute;visibility:visible;mso-wrap-style:square" from="1382,8" to="26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" strokeweight=".06pt"/>
                <v:line id="Line 1660" o:spid="_x0000_s1086" style="position:absolute;visibility:visible;mso-wrap-style:square" from="1382,9" to="26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" strokeweight=".06pt"/>
                <v:line id="Line 1659" o:spid="_x0000_s1087" style="position:absolute;visibility:visible;mso-wrap-style:square" from="1382,10" to="268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" strokeweight=".06pt"/>
                <v:line id="Line 1658" o:spid="_x0000_s1088" style="position:absolute;visibility:visible;mso-wrap-style:square" from="1382,11" to="268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" strokeweight=".06pt"/>
                <v:line id="Line 1657" o:spid="_x0000_s1089" style="position:absolute;visibility:visible;mso-wrap-style:square" from="1382,13" to="268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" strokeweight=".06pt"/>
                <v:line id="Line 1656" o:spid="_x0000_s1090" style="position:absolute;visibility:visible;mso-wrap-style:square" from="1382,14" to="268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" strokeweight=".06pt"/>
                <v:line id="Line 1655" o:spid="_x0000_s1091" style="position:absolute;visibility:visible;mso-wrap-style:square" from="1382,15" to="268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" strokeweight=".06pt"/>
                <v:line id="Line 1654" o:spid="_x0000_s1092" style="position:absolute;visibility:visible;mso-wrap-style:square" from="1382,34" to="268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" strokeweight=".06pt"/>
                <v:line id="Line 1653" o:spid="_x0000_s1093" style="position:absolute;visibility:visible;mso-wrap-style:square" from="1382,35" to="268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" strokeweight=".06pt"/>
                <v:line id="Line 1652" o:spid="_x0000_s1094" style="position:absolute;visibility:visible;mso-wrap-style:square" from="1382,37" to="268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" strokeweight=".06pt"/>
                <v:line id="Line 1651" o:spid="_x0000_s1095" style="position:absolute;visibility:visible;mso-wrap-style:square" from="1382,38" to="268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" strokeweight=".06pt"/>
                <v:line id="Line 1650" o:spid="_x0000_s1096" style="position:absolute;visibility:visible;mso-wrap-style:square" from="1382,39" to="268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" strokeweight=".06pt"/>
                <v:line id="Line 1649" o:spid="_x0000_s1097" style="position:absolute;visibility:visible;mso-wrap-style:square" from="1382,40" to="268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" strokeweight=".06pt"/>
                <v:line id="Line 1648" o:spid="_x0000_s1098" style="position:absolute;visibility:visible;mso-wrap-style:square" from="1382,41" to="268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" strokeweight=".06pt"/>
                <v:line id="Line 1647" o:spid="_x0000_s1099" style="position:absolute;visibility:visible;mso-wrap-style:square" from="1382,43" to="268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" strokeweight=".06pt"/>
                <v:line id="Line 1646" o:spid="_x0000_s1100" style="position:absolute;visibility:visible;mso-wrap-style:square" from="1382,44" to="268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" strokeweight=".06pt"/>
                <v:line id="Line 1645" o:spid="_x0000_s1101" style="position:absolute;visibility:visible;mso-wrap-style:square" from="1382,45" to="268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" strokeweight=".06pt"/>
                <v:line id="Line 1644" o:spid="_x0000_s1102" style="position:absolute;visibility:visible;mso-wrap-style:square" from="1382,46" to="268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" strokeweight=".06pt"/>
                <v:line id="Line 1643" o:spid="_x0000_s1103" style="position:absolute;visibility:visible;mso-wrap-style:square" from="1382,47" to="268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" strokeweight=".06pt"/>
                <v:line id="Line 1642" o:spid="_x0000_s1104" style="position:absolute;visibility:visible;mso-wrap-style:square" from="1382,49" to="268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" strokeweight=".06pt"/>
                <v:line id="Line 1641" o:spid="_x0000_s1105" style="position:absolute;visibility:visible;mso-wrap-style:square" from="2680,1" to="39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" strokeweight=".06pt"/>
                <v:line id="Line 1640" o:spid="_x0000_s1106" style="position:absolute;visibility:visible;mso-wrap-style:square" from="2680,2" to="39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" strokeweight=".06pt"/>
                <v:line id="Line 1639" o:spid="_x0000_s1107" style="position:absolute;visibility:visible;mso-wrap-style:square" from="2680,3" to="39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" strokeweight=".06pt"/>
                <v:line id="Line 1638" o:spid="_x0000_s1108" style="position:absolute;visibility:visible;mso-wrap-style:square" from="2680,4" to="39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" strokeweight=".06pt"/>
                <v:line id="Line 1637" o:spid="_x0000_s1109" style="position:absolute;visibility:visible;mso-wrap-style:square" from="2680,5" to="39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" strokeweight=".06pt"/>
                <v:line id="Line 1636" o:spid="_x0000_s1110" style="position:absolute;visibility:visible;mso-wrap-style:square" from="2680,7" to="39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" strokeweight=".06pt"/>
                <v:line id="Line 1635" o:spid="_x0000_s1111" style="position:absolute;visibility:visible;mso-wrap-style:square" from="2680,10" to="397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" strokeweight=".06pt"/>
                <v:line id="Line 1634" o:spid="_x0000_s1112" style="position:absolute;visibility:visible;mso-wrap-style:square" from="2680,11" to="397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" strokeweight=".06pt"/>
                <v:line id="Line 1633" o:spid="_x0000_s1113" style="position:absolute;visibility:visible;mso-wrap-style:square" from="2680,13" to="397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" strokeweight=".06pt"/>
                <v:line id="Line 1632" o:spid="_x0000_s1114" style="position:absolute;visibility:visible;mso-wrap-style:square" from="2680,14" to="397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" strokeweight=".06pt"/>
                <v:line id="Line 1631" o:spid="_x0000_s1115" style="position:absolute;visibility:visible;mso-wrap-style:square" from="2680,15" to="39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" strokeweight=".06pt"/>
                <v:line id="Line 1630" o:spid="_x0000_s1116" style="position:absolute;visibility:visible;mso-wrap-style:square" from="2680,34" to="397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" strokeweight=".06pt"/>
                <v:line id="Line 1629" o:spid="_x0000_s1117" style="position:absolute;visibility:visible;mso-wrap-style:square" from="2680,35" to="397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" strokeweight=".06pt"/>
                <v:line id="Line 1628" o:spid="_x0000_s1118" style="position:absolute;visibility:visible;mso-wrap-style:square" from="2680,37" to="397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" strokeweight=".06pt"/>
                <v:line id="Line 1627" o:spid="_x0000_s1119" style="position:absolute;visibility:visible;mso-wrap-style:square" from="2680,38" to="397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" strokeweight=".06pt"/>
                <v:line id="Line 1626" o:spid="_x0000_s1120" style="position:absolute;visibility:visible;mso-wrap-style:square" from="2680,39" to="397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" strokeweight=".06pt"/>
                <v:line id="Line 1625" o:spid="_x0000_s1121" style="position:absolute;visibility:visible;mso-wrap-style:square" from="2680,40" to="397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" strokeweight=".06pt"/>
                <v:line id="Line 1624" o:spid="_x0000_s1122" style="position:absolute;visibility:visible;mso-wrap-style:square" from="2680,41" to="397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" strokeweight=".06pt"/>
                <v:line id="Line 1623" o:spid="_x0000_s1123" style="position:absolute;visibility:visible;mso-wrap-style:square" from="2680,43" to="397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" strokeweight=".06pt"/>
                <v:line id="Line 1622" o:spid="_x0000_s1124" style="position:absolute;visibility:visible;mso-wrap-style:square" from="2680,44" to="397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" strokeweight=".06pt"/>
                <v:line id="Line 1621" o:spid="_x0000_s1125" style="position:absolute;visibility:visible;mso-wrap-style:square" from="2680,45" to="397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" strokeweight=".06pt"/>
                <v:line id="Line 1620" o:spid="_x0000_s1126" style="position:absolute;visibility:visible;mso-wrap-style:square" from="2680,46" to="397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" strokeweight=".06pt"/>
                <v:line id="Line 1619" o:spid="_x0000_s1127" style="position:absolute;visibility:visible;mso-wrap-style:square" from="2680,47" to="397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" strokeweight=".06pt"/>
                <v:line id="Line 1618" o:spid="_x0000_s1128" style="position:absolute;visibility:visible;mso-wrap-style:square" from="2680,49" to="397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" strokeweight=".06pt"/>
                <v:line id="Line 1617" o:spid="_x0000_s1129" style="position:absolute;visibility:visible;mso-wrap-style:square" from="3977,1" to="49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" strokeweight=".06pt"/>
                <v:line id="Line 1616" o:spid="_x0000_s1130" style="position:absolute;visibility:visible;mso-wrap-style:square" from="3977,2" to="49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" strokeweight=".06pt"/>
                <v:line id="Line 1615" o:spid="_x0000_s1131" style="position:absolute;visibility:visible;mso-wrap-style:square" from="3977,3" to="49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" strokeweight=".06pt"/>
                <v:line id="Line 1614" o:spid="_x0000_s1132" style="position:absolute;visibility:visible;mso-wrap-style:square" from="3977,4" to="49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" strokeweight=".06pt"/>
                <v:line id="Line 1613" o:spid="_x0000_s1133" style="position:absolute;visibility:visible;mso-wrap-style:square" from="3977,5" to="49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" strokeweight=".06pt"/>
                <v:line id="Line 1612" o:spid="_x0000_s1134" style="position:absolute;visibility:visible;mso-wrap-style:square" from="3977,7" to="49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" strokeweight=".06pt"/>
                <v:line id="Line 1611" o:spid="_x0000_s1135" style="position:absolute;visibility:visible;mso-wrap-style:square" from="3977,10" to="499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" strokeweight=".06pt"/>
                <v:line id="Line 1610" o:spid="_x0000_s1136" style="position:absolute;visibility:visible;mso-wrap-style:square" from="3977,11" to="499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" strokeweight=".06pt"/>
                <v:line id="Line 1609" o:spid="_x0000_s1137" style="position:absolute;visibility:visible;mso-wrap-style:square" from="3977,13" to="499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" strokeweight=".06pt"/>
                <v:line id="Line 1608" o:spid="_x0000_s1138" style="position:absolute;visibility:visible;mso-wrap-style:square" from="3977,14" to="499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" strokeweight=".06pt"/>
                <v:line id="Line 1607" o:spid="_x0000_s1139" style="position:absolute;visibility:visible;mso-wrap-style:square" from="3977,15" to="499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" strokeweight=".06pt"/>
                <v:line id="Line 1606" o:spid="_x0000_s1140" style="position:absolute;visibility:visible;mso-wrap-style:square" from="3977,34" to="499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" strokeweight=".06pt"/>
                <v:line id="Line 1605" o:spid="_x0000_s1141" style="position:absolute;visibility:visible;mso-wrap-style:square" from="3977,35" to="499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" strokeweight=".06pt"/>
                <v:line id="Line 1604" o:spid="_x0000_s1142" style="position:absolute;visibility:visible;mso-wrap-style:square" from="3977,37" to="499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" strokeweight=".06pt"/>
                <v:line id="Line 1603" o:spid="_x0000_s1143" style="position:absolute;visibility:visible;mso-wrap-style:square" from="3977,38" to="49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" strokeweight=".06pt"/>
                <v:line id="Line 1602" o:spid="_x0000_s1144" style="position:absolute;visibility:visible;mso-wrap-style:square" from="3977,39" to="499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" strokeweight=".06pt"/>
                <v:line id="Line 1601" o:spid="_x0000_s1145" style="position:absolute;visibility:visible;mso-wrap-style:square" from="3977,40" to="499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" strokeweight=".06pt"/>
                <v:line id="Line 1600" o:spid="_x0000_s1146" style="position:absolute;visibility:visible;mso-wrap-style:square" from="3977,41" to="499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" strokeweight=".06pt"/>
                <v:line id="Line 1599" o:spid="_x0000_s1147" style="position:absolute;visibility:visible;mso-wrap-style:square" from="3977,43" to="499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" strokeweight=".06pt"/>
                <v:line id="Line 1598" o:spid="_x0000_s1148" style="position:absolute;visibility:visible;mso-wrap-style:square" from="3977,44" to="499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" strokeweight=".06pt"/>
                <v:line id="Line 1597" o:spid="_x0000_s1149" style="position:absolute;visibility:visible;mso-wrap-style:square" from="3977,45" to="499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" strokeweight=".06pt"/>
                <v:line id="Line 1596" o:spid="_x0000_s1150" style="position:absolute;visibility:visible;mso-wrap-style:square" from="3977,46" to="499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" strokeweight=".06pt"/>
                <v:line id="Line 1595" o:spid="_x0000_s1151" style="position:absolute;visibility:visible;mso-wrap-style:square" from="3977,47" to="499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" strokeweight=".06pt"/>
                <v:line id="Line 1594" o:spid="_x0000_s1152" style="position:absolute;visibility:visible;mso-wrap-style:square" from="3977,49" to="499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" strokeweight=".06pt"/>
                <v:line id="Line 1593" o:spid="_x0000_s1153" style="position:absolute;visibility:visible;mso-wrap-style:square" from="4997,1" to="61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" strokeweight=".06pt"/>
                <v:line id="Line 1592" o:spid="_x0000_s1154" style="position:absolute;visibility:visible;mso-wrap-style:square" from="4997,2" to="6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" strokeweight=".06pt"/>
                <v:line id="Line 1591" o:spid="_x0000_s1155" style="position:absolute;visibility:visible;mso-wrap-style:square" from="4997,3" to="61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" strokeweight=".06pt"/>
                <v:line id="Line 1590" o:spid="_x0000_s1156" style="position:absolute;visibility:visible;mso-wrap-style:square" from="4997,4" to="61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" strokeweight=".06pt"/>
                <v:line id="Line 1589" o:spid="_x0000_s1157" style="position:absolute;visibility:visible;mso-wrap-style:square" from="4997,5" to="6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" strokeweight=".06pt"/>
                <v:line id="Line 1588" o:spid="_x0000_s1158" style="position:absolute;visibility:visible;mso-wrap-style:square" from="4997,7" to="61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" strokeweight=".06pt"/>
                <v:line id="Line 1587" o:spid="_x0000_s1159" style="position:absolute;visibility:visible;mso-wrap-style:square" from="4997,9" to="61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" strokeweight=".06pt"/>
                <v:line id="Line 1586" o:spid="_x0000_s1160" style="position:absolute;visibility:visible;mso-wrap-style:square" from="4997,10" to="613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" strokeweight=".06pt"/>
                <v:line id="Line 1585" o:spid="_x0000_s1161" style="position:absolute;visibility:visible;mso-wrap-style:square" from="4997,11" to="613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" strokeweight=".06pt"/>
                <v:line id="Line 1584" o:spid="_x0000_s1162" style="position:absolute;visibility:visible;mso-wrap-style:square" from="4997,13" to="613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" strokeweight=".06pt"/>
                <v:line id="Line 1583" o:spid="_x0000_s1163" style="position:absolute;visibility:visible;mso-wrap-style:square" from="4997,14" to="613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" strokeweight=".06pt"/>
                <v:line id="Line 1582" o:spid="_x0000_s1164" style="position:absolute;visibility:visible;mso-wrap-style:square" from="4997,15" to="613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" strokeweight=".06pt"/>
                <v:line id="Line 1581" o:spid="_x0000_s1165" style="position:absolute;visibility:visible;mso-wrap-style:square" from="4997,34" to="613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" strokeweight=".06pt"/>
                <v:line id="Line 1580" o:spid="_x0000_s1166" style="position:absolute;visibility:visible;mso-wrap-style:square" from="4997,35" to="61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" strokeweight=".06pt"/>
                <v:line id="Line 1579" o:spid="_x0000_s1167" style="position:absolute;visibility:visible;mso-wrap-style:square" from="4997,37" to="613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" strokeweight=".06pt"/>
                <v:line id="Line 1578" o:spid="_x0000_s1168" style="position:absolute;visibility:visible;mso-wrap-style:square" from="4997,38" to="613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" strokeweight=".06pt"/>
                <v:line id="Line 1577" o:spid="_x0000_s1169" style="position:absolute;visibility:visible;mso-wrap-style:square" from="4997,39" to="613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" strokeweight=".06pt"/>
                <v:line id="Line 1576" o:spid="_x0000_s1170" style="position:absolute;visibility:visible;mso-wrap-style:square" from="4997,40" to="613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" strokeweight=".06pt"/>
                <v:line id="Line 1575" o:spid="_x0000_s1171" style="position:absolute;visibility:visible;mso-wrap-style:square" from="4997,41" to="613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" strokeweight=".06pt"/>
                <v:line id="Line 1574" o:spid="_x0000_s1172" style="position:absolute;visibility:visible;mso-wrap-style:square" from="4997,43" to="613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" strokeweight=".06pt"/>
                <v:line id="Line 1573" o:spid="_x0000_s1173" style="position:absolute;visibility:visible;mso-wrap-style:square" from="4997,44" to="613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" strokeweight=".06pt"/>
                <v:line id="Line 1572" o:spid="_x0000_s1174" style="position:absolute;visibility:visible;mso-wrap-style:square" from="4997,45" to="613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" strokeweight=".06pt"/>
                <v:line id="Line 1571" o:spid="_x0000_s1175" style="position:absolute;visibility:visible;mso-wrap-style:square" from="4997,46" to="613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" strokeweight=".06pt"/>
                <v:line id="Line 1570" o:spid="_x0000_s1176" style="position:absolute;visibility:visible;mso-wrap-style:square" from="4997,47" to="613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" strokeweight=".06pt"/>
                <v:line id="Line 1569" o:spid="_x0000_s1177" style="position:absolute;visibility:visible;mso-wrap-style:square" from="4997,49" to="613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" strokeweight=".06pt"/>
                <w10:anchorlock/>
              </v:group>
            </w:pict>
          </mc:Fallback>
        </mc:AlternateContent>
      </w:r>
    </w:p>
    <w:p w14:paraId="5E1BC7CC" w14:textId="77777777" w:rsidR="00FA4AA8" w:rsidRDefault="00FA4AA8">
      <w:pPr>
        <w:spacing w:line="50" w:lineRule="exact"/>
        <w:rPr>
          <w:sz w:val="5"/>
        </w:rPr>
        <w:sectPr w:rsidR="00FA4AA8">
          <w:type w:val="continuous"/>
          <w:pgSz w:w="11910" w:h="16840"/>
          <w:pgMar w:top="20" w:right="840" w:bottom="0" w:left="840" w:header="720" w:footer="720" w:gutter="0"/>
          <w:cols w:space="720"/>
        </w:sectPr>
      </w:pPr>
    </w:p>
    <w:p w14:paraId="6ACCB42C" w14:textId="77777777" w:rsidR="00FA4AA8" w:rsidRDefault="00FA4AA8">
      <w:pPr>
        <w:pStyle w:val="BodyText"/>
        <w:spacing w:before="6"/>
        <w:rPr>
          <w:b/>
          <w:sz w:val="21"/>
        </w:rPr>
      </w:pPr>
    </w:p>
    <w:p w14:paraId="4A28FEBC" w14:textId="77777777" w:rsidR="00FA4AA8" w:rsidRDefault="0015611F">
      <w:pPr>
        <w:spacing w:before="91"/>
        <w:ind w:left="167"/>
        <w:rPr>
          <w:b/>
          <w:sz w:val="28"/>
        </w:rPr>
      </w:pPr>
      <w:r>
        <w:rPr>
          <w:b/>
          <w:sz w:val="28"/>
        </w:rPr>
        <w:t>Notes to the Financial Statements</w:t>
      </w:r>
    </w:p>
    <w:p w14:paraId="21C14ACA" w14:textId="77777777" w:rsidR="00FA4AA8" w:rsidRDefault="0015611F">
      <w:pPr>
        <w:spacing w:before="57"/>
        <w:ind w:left="167"/>
        <w:rPr>
          <w:b/>
        </w:rPr>
      </w:pPr>
      <w:bookmarkStart w:id="126" w:name="(b)_Capital_commitments"/>
      <w:bookmarkStart w:id="127" w:name="Capital_expenditure_contracted_for_at_th"/>
      <w:bookmarkEnd w:id="126"/>
      <w:bookmarkEnd w:id="127"/>
      <w:r>
        <w:rPr>
          <w:b/>
        </w:rPr>
        <w:t>For the Year Ended 31 December</w:t>
      </w:r>
      <w:r>
        <w:rPr>
          <w:b/>
          <w:spacing w:val="-8"/>
        </w:rPr>
        <w:t xml:space="preserve"> </w:t>
      </w:r>
      <w:r>
        <w:rPr>
          <w:b/>
        </w:rPr>
        <w:t>2018</w:t>
      </w:r>
    </w:p>
    <w:p w14:paraId="0F5EEEB8" w14:textId="77777777" w:rsidR="00FA4AA8" w:rsidRDefault="00FA4AA8">
      <w:pPr>
        <w:pStyle w:val="BodyText"/>
        <w:rPr>
          <w:b/>
          <w:sz w:val="24"/>
        </w:rPr>
      </w:pPr>
    </w:p>
    <w:p w14:paraId="47F8B952" w14:textId="77777777" w:rsidR="00FA4AA8" w:rsidRDefault="00FA4AA8">
      <w:pPr>
        <w:pStyle w:val="BodyText"/>
        <w:rPr>
          <w:b/>
          <w:sz w:val="34"/>
        </w:rPr>
      </w:pPr>
    </w:p>
    <w:p w14:paraId="2BEA6CA3" w14:textId="77777777" w:rsidR="00FA4AA8" w:rsidRDefault="0015611F">
      <w:pPr>
        <w:tabs>
          <w:tab w:val="left" w:pos="563"/>
        </w:tabs>
        <w:ind w:left="167"/>
        <w:rPr>
          <w:b/>
          <w:sz w:val="18"/>
        </w:rPr>
      </w:pPr>
      <w:r>
        <w:rPr>
          <w:b/>
          <w:sz w:val="18"/>
        </w:rPr>
        <w:t>8</w:t>
      </w:r>
      <w:r>
        <w:rPr>
          <w:b/>
          <w:sz w:val="18"/>
        </w:rPr>
        <w:tab/>
        <w:t>Property, plant and equipment (continued)</w:t>
      </w:r>
    </w:p>
    <w:p w14:paraId="5B5667A1" w14:textId="77777777" w:rsidR="00FA4AA8" w:rsidRDefault="00FA4AA8">
      <w:pPr>
        <w:pStyle w:val="BodyText"/>
        <w:spacing w:before="7"/>
        <w:rPr>
          <w:b/>
          <w:sz w:val="26"/>
        </w:rPr>
      </w:pPr>
    </w:p>
    <w:p w14:paraId="1CD27118" w14:textId="77777777" w:rsidR="00FA4AA8" w:rsidRDefault="0015611F">
      <w:pPr>
        <w:pStyle w:val="ListParagraph"/>
        <w:numPr>
          <w:ilvl w:val="0"/>
          <w:numId w:val="9"/>
        </w:numPr>
        <w:tabs>
          <w:tab w:val="left" w:pos="1131"/>
          <w:tab w:val="left" w:pos="1132"/>
        </w:tabs>
        <w:rPr>
          <w:b/>
          <w:sz w:val="18"/>
        </w:rPr>
      </w:pPr>
      <w:r>
        <w:rPr>
          <w:b/>
          <w:sz w:val="18"/>
        </w:rPr>
        <w:t>Capital</w:t>
      </w:r>
      <w:r>
        <w:rPr>
          <w:b/>
          <w:spacing w:val="-2"/>
          <w:sz w:val="18"/>
        </w:rPr>
        <w:t xml:space="preserve"> </w:t>
      </w:r>
      <w:r>
        <w:rPr>
          <w:b/>
          <w:sz w:val="18"/>
        </w:rPr>
        <w:t>commitments</w:t>
      </w:r>
    </w:p>
    <w:p w14:paraId="504964E2" w14:textId="77777777" w:rsidR="00FA4AA8" w:rsidRDefault="00FA4AA8">
      <w:pPr>
        <w:pStyle w:val="BodyText"/>
        <w:spacing w:before="3"/>
        <w:rPr>
          <w:b/>
          <w:sz w:val="17"/>
        </w:rPr>
      </w:pPr>
    </w:p>
    <w:p w14:paraId="2AB010AA" w14:textId="77777777" w:rsidR="00FA4AA8" w:rsidRDefault="00FA4AA8">
      <w:pPr>
        <w:rPr>
          <w:sz w:val="17"/>
        </w:rPr>
        <w:sectPr w:rsidR="00FA4AA8">
          <w:pgSz w:w="11910" w:h="16840"/>
          <w:pgMar w:top="1720" w:right="840" w:bottom="720" w:left="840" w:header="1017" w:footer="523" w:gutter="0"/>
          <w:cols w:space="720"/>
        </w:sectPr>
      </w:pPr>
    </w:p>
    <w:p w14:paraId="3F7C0613" w14:textId="77777777" w:rsidR="00FA4AA8" w:rsidRDefault="0015611F">
      <w:pPr>
        <w:pStyle w:val="BodyText"/>
        <w:spacing w:before="94"/>
        <w:ind w:left="1131"/>
        <w:rPr>
          <w:b/>
        </w:rPr>
      </w:pPr>
      <w:r>
        <w:t>Capital</w:t>
      </w:r>
      <w:r>
        <w:rPr>
          <w:spacing w:val="-7"/>
        </w:rPr>
        <w:t xml:space="preserve"> </w:t>
      </w:r>
      <w:r>
        <w:t>expenditure</w:t>
      </w:r>
      <w:r>
        <w:rPr>
          <w:spacing w:val="-6"/>
        </w:rPr>
        <w:t xml:space="preserve"> </w:t>
      </w:r>
      <w:r>
        <w:t>contracted</w:t>
      </w:r>
      <w:r>
        <w:rPr>
          <w:spacing w:val="-6"/>
        </w:rPr>
        <w:t xml:space="preserve"> </w:t>
      </w:r>
      <w:r>
        <w:t>for</w:t>
      </w:r>
      <w:r>
        <w:rPr>
          <w:spacing w:val="-6"/>
        </w:rPr>
        <w:t xml:space="preserve"> </w:t>
      </w:r>
      <w:r>
        <w:t>at</w:t>
      </w:r>
      <w:r>
        <w:rPr>
          <w:spacing w:val="-6"/>
        </w:rPr>
        <w:t xml:space="preserve"> </w:t>
      </w:r>
      <w:r>
        <w:t>the</w:t>
      </w:r>
      <w:r>
        <w:rPr>
          <w:spacing w:val="-6"/>
        </w:rPr>
        <w:t xml:space="preserve"> </w:t>
      </w:r>
      <w:r>
        <w:t>reporting</w:t>
      </w:r>
      <w:r>
        <w:rPr>
          <w:spacing w:val="-6"/>
        </w:rPr>
        <w:t xml:space="preserve"> </w:t>
      </w:r>
      <w:r>
        <w:t>date</w:t>
      </w:r>
      <w:r>
        <w:rPr>
          <w:spacing w:val="-6"/>
        </w:rPr>
        <w:t xml:space="preserve"> </w:t>
      </w:r>
      <w:r>
        <w:t>but</w:t>
      </w:r>
      <w:r>
        <w:rPr>
          <w:spacing w:val="-6"/>
        </w:rPr>
        <w:t xml:space="preserve"> </w:t>
      </w:r>
      <w:r>
        <w:t>not</w:t>
      </w:r>
      <w:r>
        <w:rPr>
          <w:spacing w:val="-6"/>
        </w:rPr>
        <w:t xml:space="preserve"> </w:t>
      </w:r>
      <w:r>
        <w:t>recognised</w:t>
      </w:r>
      <w:r>
        <w:rPr>
          <w:spacing w:val="-6"/>
        </w:rPr>
        <w:t xml:space="preserve"> </w:t>
      </w:r>
      <w:r>
        <w:t>as</w:t>
      </w:r>
      <w:r>
        <w:rPr>
          <w:spacing w:val="-6"/>
        </w:rPr>
        <w:t xml:space="preserve"> </w:t>
      </w:r>
      <w:r>
        <w:t>liabilities</w:t>
      </w:r>
      <w:r>
        <w:rPr>
          <w:spacing w:val="-6"/>
        </w:rPr>
        <w:t xml:space="preserve"> </w:t>
      </w:r>
      <w:r>
        <w:t>are</w:t>
      </w:r>
      <w:r>
        <w:rPr>
          <w:b/>
        </w:rPr>
        <w:t>:</w:t>
      </w:r>
    </w:p>
    <w:p w14:paraId="1401E936" w14:textId="77777777" w:rsidR="00FA4AA8" w:rsidRDefault="00FA4AA8">
      <w:pPr>
        <w:pStyle w:val="BodyText"/>
        <w:spacing w:before="10"/>
        <w:rPr>
          <w:b/>
          <w:sz w:val="16"/>
        </w:rPr>
      </w:pPr>
    </w:p>
    <w:p w14:paraId="285C7C15" w14:textId="77777777" w:rsidR="00FA4AA8" w:rsidRDefault="0015611F">
      <w:pPr>
        <w:ind w:left="7906" w:right="2"/>
        <w:jc w:val="center"/>
        <w:rPr>
          <w:b/>
          <w:sz w:val="18"/>
        </w:rPr>
      </w:pPr>
      <w:r>
        <w:rPr>
          <w:b/>
          <w:sz w:val="18"/>
        </w:rPr>
        <w:t>2018</w:t>
      </w:r>
    </w:p>
    <w:p w14:paraId="7F1105B2" w14:textId="77777777" w:rsidR="00FA4AA8" w:rsidRDefault="0015611F">
      <w:pPr>
        <w:spacing w:before="67"/>
        <w:ind w:left="7906"/>
        <w:jc w:val="center"/>
        <w:rPr>
          <w:b/>
          <w:sz w:val="18"/>
        </w:rPr>
      </w:pPr>
      <w:r>
        <w:rPr>
          <w:b/>
          <w:sz w:val="18"/>
        </w:rPr>
        <w:t>$</w:t>
      </w:r>
    </w:p>
    <w:p w14:paraId="4B147639" w14:textId="77777777" w:rsidR="00FA4AA8" w:rsidRDefault="0015611F">
      <w:pPr>
        <w:pStyle w:val="BodyText"/>
        <w:rPr>
          <w:b/>
          <w:sz w:val="20"/>
        </w:rPr>
      </w:pPr>
      <w:r>
        <w:br w:type="column"/>
      </w:r>
    </w:p>
    <w:p w14:paraId="6B084C96" w14:textId="77777777" w:rsidR="00FA4AA8" w:rsidRDefault="00FA4AA8">
      <w:pPr>
        <w:pStyle w:val="BodyText"/>
        <w:rPr>
          <w:b/>
          <w:sz w:val="23"/>
        </w:rPr>
      </w:pPr>
    </w:p>
    <w:p w14:paraId="386EF534" w14:textId="77777777" w:rsidR="00FA4AA8" w:rsidRDefault="0015611F">
      <w:pPr>
        <w:ind w:left="816" w:right="583"/>
        <w:jc w:val="center"/>
        <w:rPr>
          <w:b/>
          <w:sz w:val="18"/>
        </w:rPr>
      </w:pPr>
      <w:r>
        <w:rPr>
          <w:b/>
          <w:sz w:val="18"/>
        </w:rPr>
        <w:t>2017</w:t>
      </w:r>
    </w:p>
    <w:p w14:paraId="13C19626" w14:textId="77777777" w:rsidR="00FA4AA8" w:rsidRDefault="0015611F">
      <w:pPr>
        <w:spacing w:before="67"/>
        <w:ind w:left="235"/>
        <w:jc w:val="center"/>
        <w:rPr>
          <w:b/>
          <w:sz w:val="18"/>
        </w:rPr>
      </w:pPr>
      <w:r>
        <w:rPr>
          <w:b/>
          <w:sz w:val="18"/>
        </w:rPr>
        <w:t>$</w:t>
      </w:r>
    </w:p>
    <w:p w14:paraId="04A9E382" w14:textId="77777777" w:rsidR="00FA4AA8" w:rsidRDefault="00FA4AA8">
      <w:pPr>
        <w:jc w:val="center"/>
        <w:rPr>
          <w:sz w:val="18"/>
        </w:rPr>
        <w:sectPr w:rsidR="00FA4AA8">
          <w:type w:val="continuous"/>
          <w:pgSz w:w="11910" w:h="16840"/>
          <w:pgMar w:top="20" w:right="840" w:bottom="0" w:left="840" w:header="720" w:footer="720" w:gutter="0"/>
          <w:cols w:num="2" w:space="720" w:equalWidth="0">
            <w:col w:w="8349" w:space="40"/>
            <w:col w:w="1841"/>
          </w:cols>
        </w:sectPr>
      </w:pPr>
    </w:p>
    <w:p w14:paraId="0489B272" w14:textId="77777777" w:rsidR="00FA4AA8" w:rsidRDefault="007E2441">
      <w:pPr>
        <w:pStyle w:val="BodyText"/>
        <w:tabs>
          <w:tab w:val="left" w:pos="8152"/>
          <w:tab w:val="left" w:pos="9549"/>
        </w:tabs>
        <w:spacing w:before="63"/>
        <w:ind w:left="1132"/>
      </w:pPr>
      <w:r>
        <w:rPr>
          <w:noProof/>
          <w:lang w:val="en-AU" w:eastAsia="en-AU"/>
        </w:rPr>
        <mc:AlternateContent>
          <mc:Choice Requires="wpg">
            <w:drawing>
              <wp:anchor distT="0" distB="0" distL="0" distR="0" simplePos="0" relativeHeight="487627264" behindDoc="1" locked="0" layoutInCell="1" allowOverlap="1" wp14:anchorId="1D35B49C" wp14:editId="305E81F7">
                <wp:simplePos x="0" y="0"/>
                <wp:positionH relativeFrom="page">
                  <wp:posOffset>5290820</wp:posOffset>
                </wp:positionH>
                <wp:positionV relativeFrom="paragraph">
                  <wp:posOffset>187960</wp:posOffset>
                </wp:positionV>
                <wp:extent cx="1647825" cy="31750"/>
                <wp:effectExtent l="0" t="0" r="0" b="0"/>
                <wp:wrapTopAndBottom/>
                <wp:docPr id="1749" name="Group 1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7825" cy="31750"/>
                          <a:chOff x="8332" y="296"/>
                          <a:chExt cx="2595" cy="50"/>
                        </a:xfrm>
                      </wpg:grpSpPr>
                      <wps:wsp>
                        <wps:cNvPr id="1750" name="Line 1567"/>
                        <wps:cNvCnPr>
                          <a:cxnSpLocks noChangeShapeType="1"/>
                        </wps:cNvCnPr>
                        <wps:spPr bwMode="auto">
                          <a:xfrm>
                            <a:off x="8332" y="29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751" name="Line 1566"/>
                        <wps:cNvCnPr>
                          <a:cxnSpLocks noChangeShapeType="1"/>
                        </wps:cNvCnPr>
                        <wps:spPr bwMode="auto">
                          <a:xfrm>
                            <a:off x="8332" y="298"/>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752" name="Line 1565"/>
                        <wps:cNvCnPr>
                          <a:cxnSpLocks noChangeShapeType="1"/>
                        </wps:cNvCnPr>
                        <wps:spPr bwMode="auto">
                          <a:xfrm>
                            <a:off x="8332" y="29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753" name="Line 1564"/>
                        <wps:cNvCnPr>
                          <a:cxnSpLocks noChangeShapeType="1"/>
                        </wps:cNvCnPr>
                        <wps:spPr bwMode="auto">
                          <a:xfrm>
                            <a:off x="8332" y="300"/>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754" name="Line 1563"/>
                        <wps:cNvCnPr>
                          <a:cxnSpLocks noChangeShapeType="1"/>
                        </wps:cNvCnPr>
                        <wps:spPr bwMode="auto">
                          <a:xfrm>
                            <a:off x="8332" y="30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755" name="Line 1562"/>
                        <wps:cNvCnPr>
                          <a:cxnSpLocks noChangeShapeType="1"/>
                        </wps:cNvCnPr>
                        <wps:spPr bwMode="auto">
                          <a:xfrm>
                            <a:off x="8332" y="30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756" name="Line 1561"/>
                        <wps:cNvCnPr>
                          <a:cxnSpLocks noChangeShapeType="1"/>
                        </wps:cNvCnPr>
                        <wps:spPr bwMode="auto">
                          <a:xfrm>
                            <a:off x="8332" y="30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757" name="Line 1560"/>
                        <wps:cNvCnPr>
                          <a:cxnSpLocks noChangeShapeType="1"/>
                        </wps:cNvCnPr>
                        <wps:spPr bwMode="auto">
                          <a:xfrm>
                            <a:off x="8332" y="30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758" name="Line 1559"/>
                        <wps:cNvCnPr>
                          <a:cxnSpLocks noChangeShapeType="1"/>
                        </wps:cNvCnPr>
                        <wps:spPr bwMode="auto">
                          <a:xfrm>
                            <a:off x="8332" y="306"/>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759" name="Line 1558"/>
                        <wps:cNvCnPr>
                          <a:cxnSpLocks noChangeShapeType="1"/>
                        </wps:cNvCnPr>
                        <wps:spPr bwMode="auto">
                          <a:xfrm>
                            <a:off x="8332" y="30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760" name="Line 1557"/>
                        <wps:cNvCnPr>
                          <a:cxnSpLocks noChangeShapeType="1"/>
                        </wps:cNvCnPr>
                        <wps:spPr bwMode="auto">
                          <a:xfrm>
                            <a:off x="8332" y="30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761" name="Line 1556"/>
                        <wps:cNvCnPr>
                          <a:cxnSpLocks noChangeShapeType="1"/>
                        </wps:cNvCnPr>
                        <wps:spPr bwMode="auto">
                          <a:xfrm>
                            <a:off x="8332" y="310"/>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762" name="Line 1555"/>
                        <wps:cNvCnPr>
                          <a:cxnSpLocks noChangeShapeType="1"/>
                        </wps:cNvCnPr>
                        <wps:spPr bwMode="auto">
                          <a:xfrm>
                            <a:off x="8332" y="31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763" name="Line 1554"/>
                        <wps:cNvCnPr>
                          <a:cxnSpLocks noChangeShapeType="1"/>
                        </wps:cNvCnPr>
                        <wps:spPr bwMode="auto">
                          <a:xfrm>
                            <a:off x="8332" y="330"/>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764" name="Line 1553"/>
                        <wps:cNvCnPr>
                          <a:cxnSpLocks noChangeShapeType="1"/>
                        </wps:cNvCnPr>
                        <wps:spPr bwMode="auto">
                          <a:xfrm>
                            <a:off x="8332" y="33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765" name="Line 1552"/>
                        <wps:cNvCnPr>
                          <a:cxnSpLocks noChangeShapeType="1"/>
                        </wps:cNvCnPr>
                        <wps:spPr bwMode="auto">
                          <a:xfrm>
                            <a:off x="8332" y="33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766" name="Line 1551"/>
                        <wps:cNvCnPr>
                          <a:cxnSpLocks noChangeShapeType="1"/>
                        </wps:cNvCnPr>
                        <wps:spPr bwMode="auto">
                          <a:xfrm>
                            <a:off x="8332" y="33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767" name="Line 1550"/>
                        <wps:cNvCnPr>
                          <a:cxnSpLocks noChangeShapeType="1"/>
                        </wps:cNvCnPr>
                        <wps:spPr bwMode="auto">
                          <a:xfrm>
                            <a:off x="8332" y="33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768" name="Line 1549"/>
                        <wps:cNvCnPr>
                          <a:cxnSpLocks noChangeShapeType="1"/>
                        </wps:cNvCnPr>
                        <wps:spPr bwMode="auto">
                          <a:xfrm>
                            <a:off x="8332" y="336"/>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769" name="Line 1548"/>
                        <wps:cNvCnPr>
                          <a:cxnSpLocks noChangeShapeType="1"/>
                        </wps:cNvCnPr>
                        <wps:spPr bwMode="auto">
                          <a:xfrm>
                            <a:off x="8332" y="33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770" name="Line 1547"/>
                        <wps:cNvCnPr>
                          <a:cxnSpLocks noChangeShapeType="1"/>
                        </wps:cNvCnPr>
                        <wps:spPr bwMode="auto">
                          <a:xfrm>
                            <a:off x="8332" y="33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771" name="Line 1546"/>
                        <wps:cNvCnPr>
                          <a:cxnSpLocks noChangeShapeType="1"/>
                        </wps:cNvCnPr>
                        <wps:spPr bwMode="auto">
                          <a:xfrm>
                            <a:off x="8332" y="340"/>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772" name="Line 1545"/>
                        <wps:cNvCnPr>
                          <a:cxnSpLocks noChangeShapeType="1"/>
                        </wps:cNvCnPr>
                        <wps:spPr bwMode="auto">
                          <a:xfrm>
                            <a:off x="8332" y="34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773" name="Line 1544"/>
                        <wps:cNvCnPr>
                          <a:cxnSpLocks noChangeShapeType="1"/>
                        </wps:cNvCnPr>
                        <wps:spPr bwMode="auto">
                          <a:xfrm>
                            <a:off x="8332" y="342"/>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774" name="Line 1543"/>
                        <wps:cNvCnPr>
                          <a:cxnSpLocks noChangeShapeType="1"/>
                        </wps:cNvCnPr>
                        <wps:spPr bwMode="auto">
                          <a:xfrm>
                            <a:off x="8332" y="34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775" name="Line 1542"/>
                        <wps:cNvCnPr>
                          <a:cxnSpLocks noChangeShapeType="1"/>
                        </wps:cNvCnPr>
                        <wps:spPr bwMode="auto">
                          <a:xfrm>
                            <a:off x="8332" y="34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776" name="Line 1541"/>
                        <wps:cNvCnPr>
                          <a:cxnSpLocks noChangeShapeType="1"/>
                        </wps:cNvCnPr>
                        <wps:spPr bwMode="auto">
                          <a:xfrm>
                            <a:off x="9629" y="29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777" name="Line 1540"/>
                        <wps:cNvCnPr>
                          <a:cxnSpLocks noChangeShapeType="1"/>
                        </wps:cNvCnPr>
                        <wps:spPr bwMode="auto">
                          <a:xfrm>
                            <a:off x="9629" y="298"/>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778" name="Line 1539"/>
                        <wps:cNvCnPr>
                          <a:cxnSpLocks noChangeShapeType="1"/>
                        </wps:cNvCnPr>
                        <wps:spPr bwMode="auto">
                          <a:xfrm>
                            <a:off x="9629" y="29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779" name="Line 1538"/>
                        <wps:cNvCnPr>
                          <a:cxnSpLocks noChangeShapeType="1"/>
                        </wps:cNvCnPr>
                        <wps:spPr bwMode="auto">
                          <a:xfrm>
                            <a:off x="9629" y="300"/>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780" name="Line 1537"/>
                        <wps:cNvCnPr>
                          <a:cxnSpLocks noChangeShapeType="1"/>
                        </wps:cNvCnPr>
                        <wps:spPr bwMode="auto">
                          <a:xfrm>
                            <a:off x="9629" y="30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781" name="Line 1536"/>
                        <wps:cNvCnPr>
                          <a:cxnSpLocks noChangeShapeType="1"/>
                        </wps:cNvCnPr>
                        <wps:spPr bwMode="auto">
                          <a:xfrm>
                            <a:off x="9629" y="30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782" name="Line 1535"/>
                        <wps:cNvCnPr>
                          <a:cxnSpLocks noChangeShapeType="1"/>
                        </wps:cNvCnPr>
                        <wps:spPr bwMode="auto">
                          <a:xfrm>
                            <a:off x="9629" y="30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783" name="Line 1534"/>
                        <wps:cNvCnPr>
                          <a:cxnSpLocks noChangeShapeType="1"/>
                        </wps:cNvCnPr>
                        <wps:spPr bwMode="auto">
                          <a:xfrm>
                            <a:off x="9629" y="30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784" name="Line 1533"/>
                        <wps:cNvCnPr>
                          <a:cxnSpLocks noChangeShapeType="1"/>
                        </wps:cNvCnPr>
                        <wps:spPr bwMode="auto">
                          <a:xfrm>
                            <a:off x="9629" y="306"/>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785" name="Line 1532"/>
                        <wps:cNvCnPr>
                          <a:cxnSpLocks noChangeShapeType="1"/>
                        </wps:cNvCnPr>
                        <wps:spPr bwMode="auto">
                          <a:xfrm>
                            <a:off x="9629" y="30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786" name="Line 1531"/>
                        <wps:cNvCnPr>
                          <a:cxnSpLocks noChangeShapeType="1"/>
                        </wps:cNvCnPr>
                        <wps:spPr bwMode="auto">
                          <a:xfrm>
                            <a:off x="9629" y="30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787" name="Line 1530"/>
                        <wps:cNvCnPr>
                          <a:cxnSpLocks noChangeShapeType="1"/>
                        </wps:cNvCnPr>
                        <wps:spPr bwMode="auto">
                          <a:xfrm>
                            <a:off x="9629" y="310"/>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788" name="Line 1529"/>
                        <wps:cNvCnPr>
                          <a:cxnSpLocks noChangeShapeType="1"/>
                        </wps:cNvCnPr>
                        <wps:spPr bwMode="auto">
                          <a:xfrm>
                            <a:off x="9629" y="31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789" name="Line 1528"/>
                        <wps:cNvCnPr>
                          <a:cxnSpLocks noChangeShapeType="1"/>
                        </wps:cNvCnPr>
                        <wps:spPr bwMode="auto">
                          <a:xfrm>
                            <a:off x="9629" y="330"/>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790" name="Line 1527"/>
                        <wps:cNvCnPr>
                          <a:cxnSpLocks noChangeShapeType="1"/>
                        </wps:cNvCnPr>
                        <wps:spPr bwMode="auto">
                          <a:xfrm>
                            <a:off x="9629" y="33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791" name="Line 1526"/>
                        <wps:cNvCnPr>
                          <a:cxnSpLocks noChangeShapeType="1"/>
                        </wps:cNvCnPr>
                        <wps:spPr bwMode="auto">
                          <a:xfrm>
                            <a:off x="9629" y="33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792" name="Line 1525"/>
                        <wps:cNvCnPr>
                          <a:cxnSpLocks noChangeShapeType="1"/>
                        </wps:cNvCnPr>
                        <wps:spPr bwMode="auto">
                          <a:xfrm>
                            <a:off x="9629" y="33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793" name="Line 1524"/>
                        <wps:cNvCnPr>
                          <a:cxnSpLocks noChangeShapeType="1"/>
                        </wps:cNvCnPr>
                        <wps:spPr bwMode="auto">
                          <a:xfrm>
                            <a:off x="9629" y="33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794" name="Line 1523"/>
                        <wps:cNvCnPr>
                          <a:cxnSpLocks noChangeShapeType="1"/>
                        </wps:cNvCnPr>
                        <wps:spPr bwMode="auto">
                          <a:xfrm>
                            <a:off x="9629" y="336"/>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795" name="Line 1522"/>
                        <wps:cNvCnPr>
                          <a:cxnSpLocks noChangeShapeType="1"/>
                        </wps:cNvCnPr>
                        <wps:spPr bwMode="auto">
                          <a:xfrm>
                            <a:off x="9629" y="33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796" name="Line 1521"/>
                        <wps:cNvCnPr>
                          <a:cxnSpLocks noChangeShapeType="1"/>
                        </wps:cNvCnPr>
                        <wps:spPr bwMode="auto">
                          <a:xfrm>
                            <a:off x="9629" y="33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797" name="Line 1520"/>
                        <wps:cNvCnPr>
                          <a:cxnSpLocks noChangeShapeType="1"/>
                        </wps:cNvCnPr>
                        <wps:spPr bwMode="auto">
                          <a:xfrm>
                            <a:off x="9629" y="340"/>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798" name="Line 1519"/>
                        <wps:cNvCnPr>
                          <a:cxnSpLocks noChangeShapeType="1"/>
                        </wps:cNvCnPr>
                        <wps:spPr bwMode="auto">
                          <a:xfrm>
                            <a:off x="9629" y="34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799" name="Line 1518"/>
                        <wps:cNvCnPr>
                          <a:cxnSpLocks noChangeShapeType="1"/>
                        </wps:cNvCnPr>
                        <wps:spPr bwMode="auto">
                          <a:xfrm>
                            <a:off x="9629" y="342"/>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800" name="Line 1517"/>
                        <wps:cNvCnPr>
                          <a:cxnSpLocks noChangeShapeType="1"/>
                        </wps:cNvCnPr>
                        <wps:spPr bwMode="auto">
                          <a:xfrm>
                            <a:off x="9629" y="34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801" name="Line 1516"/>
                        <wps:cNvCnPr>
                          <a:cxnSpLocks noChangeShapeType="1"/>
                        </wps:cNvCnPr>
                        <wps:spPr bwMode="auto">
                          <a:xfrm>
                            <a:off x="9629" y="34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62A26C" id="Group 1515" o:spid="_x0000_s1026" style="position:absolute;margin-left:416.6pt;margin-top:14.8pt;width:129.75pt;height:2.5pt;z-index:-15689216;mso-wrap-distance-left:0;mso-wrap-distance-right:0;mso-position-horizontal-relative:page" coordorigin="8332,296" coordsize="25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">
                <v:line id="Line 1567" o:spid="_x0000_s1027" style="position:absolute;visibility:visible;mso-wrap-style:square" from="8332,297" to="962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" strokeweight=".06pt"/>
                <v:line id="Line 1566" o:spid="_x0000_s1028" style="position:absolute;visibility:visible;mso-wrap-style:square" from="8332,298" to="9629,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" strokeweight=".06pt"/>
                <v:line id="Line 1565" o:spid="_x0000_s1029" style="position:absolute;visibility:visible;mso-wrap-style:square" from="8332,299" to="9629,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" strokeweight=".06pt"/>
                <v:line id="Line 1564" o:spid="_x0000_s1030" style="position:absolute;visibility:visible;mso-wrap-style:square" from="8332,300" to="9629,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" strokeweight=".06pt"/>
                <v:line id="Line 1563" o:spid="_x0000_s1031" style="position:absolute;visibility:visible;mso-wrap-style:square" from="8332,301" to="9629,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" strokeweight=".06pt"/>
                <v:line id="Line 1562" o:spid="_x0000_s1032" style="position:absolute;visibility:visible;mso-wrap-style:square" from="8332,303" to="9629,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" strokeweight=".06pt"/>
                <v:line id="Line 1561" o:spid="_x0000_s1033" style="position:absolute;visibility:visible;mso-wrap-style:square" from="8332,304" to="9629,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" strokeweight=".06pt"/>
                <v:line id="Line 1560" o:spid="_x0000_s1034" style="position:absolute;visibility:visible;mso-wrap-style:square" from="8332,305" to="9629,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" strokeweight=".06pt"/>
                <v:line id="Line 1559" o:spid="_x0000_s1035" style="position:absolute;visibility:visible;mso-wrap-style:square" from="8332,306" to="9629,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" strokeweight=".06pt"/>
                <v:line id="Line 1558" o:spid="_x0000_s1036" style="position:absolute;visibility:visible;mso-wrap-style:square" from="8332,307" to="9629,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" strokeweight=".06pt"/>
                <v:line id="Line 1557" o:spid="_x0000_s1037" style="position:absolute;visibility:visible;mso-wrap-style:square" from="8332,309" to="9629,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" strokeweight=".06pt"/>
                <v:line id="Line 1556" o:spid="_x0000_s1038" style="position:absolute;visibility:visible;mso-wrap-style:square" from="8332,310" to="9629,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" strokeweight=".06pt"/>
                <v:line id="Line 1555" o:spid="_x0000_s1039" style="position:absolute;visibility:visible;mso-wrap-style:square" from="8332,311" to="9629,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" strokeweight=".06pt"/>
                <v:line id="Line 1554" o:spid="_x0000_s1040" style="position:absolute;visibility:visible;mso-wrap-style:square" from="8332,330" to="9629,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" strokeweight=".06pt"/>
                <v:line id="Line 1553" o:spid="_x0000_s1041" style="position:absolute;visibility:visible;mso-wrap-style:square" from="8332,331" to="962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" strokeweight=".06pt"/>
                <v:line id="Line 1552" o:spid="_x0000_s1042" style="position:absolute;visibility:visible;mso-wrap-style:square" from="8332,333" to="9629,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" strokeweight=".06pt"/>
                <v:line id="Line 1551" o:spid="_x0000_s1043" style="position:absolute;visibility:visible;mso-wrap-style:square" from="8332,334" to="9629,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" strokeweight=".06pt"/>
                <v:line id="Line 1550" o:spid="_x0000_s1044" style="position:absolute;visibility:visible;mso-wrap-style:square" from="8332,335" to="9629,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" strokeweight=".06pt"/>
                <v:line id="Line 1549" o:spid="_x0000_s1045" style="position:absolute;visibility:visible;mso-wrap-style:square" from="8332,336" to="9629,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" strokeweight=".06pt"/>
                <v:line id="Line 1548" o:spid="_x0000_s1046" style="position:absolute;visibility:visible;mso-wrap-style:square" from="8332,337" to="962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" strokeweight=".06pt"/>
                <v:line id="Line 1547" o:spid="_x0000_s1047" style="position:absolute;visibility:visible;mso-wrap-style:square" from="8332,339" to="9629,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" strokeweight=".06pt"/>
                <v:line id="Line 1546" o:spid="_x0000_s1048" style="position:absolute;visibility:visible;mso-wrap-style:square" from="8332,340" to="9629,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" strokeweight=".06pt"/>
                <v:line id="Line 1545" o:spid="_x0000_s1049" style="position:absolute;visibility:visible;mso-wrap-style:square" from="8332,341" to="9629,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" strokeweight=".06pt"/>
                <v:line id="Line 1544" o:spid="_x0000_s1050" style="position:absolute;visibility:visible;mso-wrap-style:square" from="8332,342" to="9629,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" strokeweight=".06pt"/>
                <v:line id="Line 1543" o:spid="_x0000_s1051" style="position:absolute;visibility:visible;mso-wrap-style:square" from="8332,343" to="9629,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" strokeweight=".06pt"/>
                <v:line id="Line 1542" o:spid="_x0000_s1052" style="position:absolute;visibility:visible;mso-wrap-style:square" from="8332,345" to="9629,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" strokeweight=".06pt"/>
                <v:line id="Line 1541" o:spid="_x0000_s1053" style="position:absolute;visibility:visible;mso-wrap-style:square" from="9629,297" to="10926,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" strokeweight=".06pt"/>
                <v:line id="Line 1540" o:spid="_x0000_s1054" style="position:absolute;visibility:visible;mso-wrap-style:square" from="9629,298" to="10926,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" strokeweight=".06pt"/>
                <v:line id="Line 1539" o:spid="_x0000_s1055" style="position:absolute;visibility:visible;mso-wrap-style:square" from="9629,299" to="10926,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" strokeweight=".06pt"/>
                <v:line id="Line 1538" o:spid="_x0000_s1056" style="position:absolute;visibility:visible;mso-wrap-style:square" from="9629,300" to="10926,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" strokeweight=".06pt"/>
                <v:line id="Line 1537" o:spid="_x0000_s1057" style="position:absolute;visibility:visible;mso-wrap-style:square" from="9629,301" to="10926,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" strokeweight=".06pt"/>
                <v:line id="Line 1536" o:spid="_x0000_s1058" style="position:absolute;visibility:visible;mso-wrap-style:square" from="9629,303" to="1092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" strokeweight=".06pt"/>
                <v:line id="Line 1535" o:spid="_x0000_s1059" style="position:absolute;visibility:visible;mso-wrap-style:square" from="9629,304" to="10926,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" strokeweight=".06pt"/>
                <v:line id="Line 1534" o:spid="_x0000_s1060" style="position:absolute;visibility:visible;mso-wrap-style:square" from="9629,305" to="10926,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" strokeweight=".06pt"/>
                <v:line id="Line 1533" o:spid="_x0000_s1061" style="position:absolute;visibility:visible;mso-wrap-style:square" from="9629,306" to="1092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" strokeweight=".06pt"/>
                <v:line id="Line 1532" o:spid="_x0000_s1062" style="position:absolute;visibility:visible;mso-wrap-style:square" from="9629,307" to="10926,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" strokeweight=".06pt"/>
                <v:line id="Line 1531" o:spid="_x0000_s1063" style="position:absolute;visibility:visible;mso-wrap-style:square" from="9629,309" to="10926,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" strokeweight=".06pt"/>
                <v:line id="Line 1530" o:spid="_x0000_s1064" style="position:absolute;visibility:visible;mso-wrap-style:square" from="9629,310" to="10926,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" strokeweight=".06pt"/>
                <v:line id="Line 1529" o:spid="_x0000_s1065" style="position:absolute;visibility:visible;mso-wrap-style:square" from="9629,311" to="10926,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" strokeweight=".06pt"/>
                <v:line id="Line 1528" o:spid="_x0000_s1066" style="position:absolute;visibility:visible;mso-wrap-style:square" from="9629,330" to="10926,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" strokeweight=".06pt"/>
                <v:line id="Line 1527" o:spid="_x0000_s1067" style="position:absolute;visibility:visible;mso-wrap-style:square" from="9629,331" to="10926,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" strokeweight=".06pt"/>
                <v:line id="Line 1526" o:spid="_x0000_s1068" style="position:absolute;visibility:visible;mso-wrap-style:square" from="9629,333" to="10926,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" strokeweight=".06pt"/>
                <v:line id="Line 1525" o:spid="_x0000_s1069" style="position:absolute;visibility:visible;mso-wrap-style:square" from="9629,334" to="10926,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" strokeweight=".06pt"/>
                <v:line id="Line 1524" o:spid="_x0000_s1070" style="position:absolute;visibility:visible;mso-wrap-style:square" from="9629,335" to="10926,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" strokeweight=".06pt"/>
                <v:line id="Line 1523" o:spid="_x0000_s1071" style="position:absolute;visibility:visible;mso-wrap-style:square" from="9629,336" to="10926,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" strokeweight=".06pt"/>
                <v:line id="Line 1522" o:spid="_x0000_s1072" style="position:absolute;visibility:visible;mso-wrap-style:square" from="9629,337" to="10926,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" strokeweight=".06pt"/>
                <v:line id="Line 1521" o:spid="_x0000_s1073" style="position:absolute;visibility:visible;mso-wrap-style:square" from="9629,339" to="1092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" strokeweight=".06pt"/>
                <v:line id="Line 1520" o:spid="_x0000_s1074" style="position:absolute;visibility:visible;mso-wrap-style:square" from="9629,340" to="10926,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" strokeweight=".06pt"/>
                <v:line id="Line 1519" o:spid="_x0000_s1075" style="position:absolute;visibility:visible;mso-wrap-style:square" from="9629,341" to="10926,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" strokeweight=".06pt"/>
                <v:line id="Line 1518" o:spid="_x0000_s1076" style="position:absolute;visibility:visible;mso-wrap-style:square" from="9629,342" to="10926,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" strokeweight=".06pt"/>
                <v:line id="Line 1517" o:spid="_x0000_s1077" style="position:absolute;visibility:visible;mso-wrap-style:square" from="9629,343" to="10926,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" strokeweight=".06pt"/>
                <v:line id="Line 1516" o:spid="_x0000_s1078" style="position:absolute;visibility:visible;mso-wrap-style:square" from="9629,345" to="10926,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" strokeweight=".06pt"/>
                <w10:wrap type="topAndBottom" anchorx="page"/>
              </v:group>
            </w:pict>
          </mc:Fallback>
        </mc:AlternateContent>
      </w:r>
      <w:r w:rsidR="0015611F">
        <w:t>- no later than</w:t>
      </w:r>
      <w:r w:rsidR="0015611F">
        <w:rPr>
          <w:spacing w:val="-11"/>
        </w:rPr>
        <w:t xml:space="preserve"> </w:t>
      </w:r>
      <w:r w:rsidR="0015611F">
        <w:t>1</w:t>
      </w:r>
      <w:r w:rsidR="0015611F">
        <w:rPr>
          <w:spacing w:val="-2"/>
        </w:rPr>
        <w:t xml:space="preserve"> </w:t>
      </w:r>
      <w:r w:rsidR="0015611F">
        <w:t>year</w:t>
      </w:r>
      <w:r w:rsidR="0015611F">
        <w:tab/>
      </w:r>
      <w:r w:rsidR="0015611F">
        <w:rPr>
          <w:b/>
        </w:rPr>
        <w:t>16,715</w:t>
      </w:r>
      <w:r w:rsidR="0015611F">
        <w:rPr>
          <w:b/>
        </w:rPr>
        <w:tab/>
      </w:r>
      <w:r w:rsidR="0015611F">
        <w:t>8,806</w:t>
      </w:r>
    </w:p>
    <w:p w14:paraId="318F6614" w14:textId="77777777" w:rsidR="00FA4AA8" w:rsidRDefault="00FA4AA8">
      <w:pPr>
        <w:pStyle w:val="BodyText"/>
        <w:rPr>
          <w:sz w:val="16"/>
        </w:rPr>
      </w:pPr>
    </w:p>
    <w:p w14:paraId="654BDC9D" w14:textId="77777777" w:rsidR="00FA4AA8" w:rsidRDefault="0015611F">
      <w:pPr>
        <w:spacing w:before="94"/>
        <w:ind w:left="564"/>
        <w:rPr>
          <w:i/>
          <w:sz w:val="18"/>
        </w:rPr>
      </w:pPr>
      <w:r>
        <w:rPr>
          <w:i/>
          <w:sz w:val="18"/>
          <w:u w:val="single"/>
        </w:rPr>
        <w:t>Accounting Policy</w:t>
      </w:r>
    </w:p>
    <w:p w14:paraId="2A5B5A96" w14:textId="77777777" w:rsidR="00FA4AA8" w:rsidRDefault="00FA4AA8">
      <w:pPr>
        <w:pStyle w:val="BodyText"/>
        <w:spacing w:before="3"/>
        <w:rPr>
          <w:i/>
          <w:sz w:val="17"/>
        </w:rPr>
      </w:pPr>
    </w:p>
    <w:p w14:paraId="0DAF0762" w14:textId="77777777" w:rsidR="00FA4AA8" w:rsidRDefault="0015611F">
      <w:pPr>
        <w:numPr>
          <w:ilvl w:val="0"/>
          <w:numId w:val="65"/>
        </w:numPr>
        <w:tabs>
          <w:tab w:val="left" w:pos="962"/>
        </w:tabs>
        <w:spacing w:before="94"/>
        <w:ind w:hanging="397"/>
        <w:rPr>
          <w:b/>
          <w:sz w:val="18"/>
        </w:rPr>
      </w:pPr>
      <w:r>
        <w:rPr>
          <w:b/>
          <w:sz w:val="18"/>
        </w:rPr>
        <w:t>Measurement by Asset</w:t>
      </w:r>
      <w:r>
        <w:rPr>
          <w:b/>
          <w:spacing w:val="-4"/>
          <w:sz w:val="18"/>
        </w:rPr>
        <w:t xml:space="preserve"> </w:t>
      </w:r>
      <w:r>
        <w:rPr>
          <w:b/>
          <w:sz w:val="18"/>
        </w:rPr>
        <w:t>Class</w:t>
      </w:r>
    </w:p>
    <w:p w14:paraId="0EBAFABE" w14:textId="77777777" w:rsidR="00FA4AA8" w:rsidRDefault="00FA4AA8">
      <w:pPr>
        <w:pStyle w:val="BodyText"/>
        <w:rPr>
          <w:b/>
          <w:sz w:val="25"/>
        </w:rPr>
      </w:pPr>
    </w:p>
    <w:p w14:paraId="36321115" w14:textId="77777777" w:rsidR="00FA4AA8" w:rsidRDefault="0015611F">
      <w:pPr>
        <w:pStyle w:val="BodyText"/>
        <w:ind w:left="565"/>
      </w:pPr>
      <w:r>
        <w:t>Each class of property, plant and equipment is carried at cost as indicated less, where applicable, any accumulated depreciation and impairment losses.</w:t>
      </w:r>
    </w:p>
    <w:p w14:paraId="39C6261A" w14:textId="77777777" w:rsidR="00FA4AA8" w:rsidRDefault="00FA4AA8">
      <w:pPr>
        <w:pStyle w:val="BodyText"/>
        <w:spacing w:before="11"/>
        <w:rPr>
          <w:sz w:val="24"/>
        </w:rPr>
      </w:pPr>
    </w:p>
    <w:p w14:paraId="01B07443" w14:textId="77777777" w:rsidR="00FA4AA8" w:rsidRDefault="0015611F">
      <w:pPr>
        <w:pStyle w:val="BodyText"/>
        <w:ind w:left="565"/>
      </w:pPr>
      <w:r>
        <w:t>Subsequent costs are included in the asset's carrying amount or recognised as a separate asset, as appropriate, only when it is probable that future economic benefits associated with the item will flow to the Company and the cost of the item can be measured reliably. All other repairs and maintenance are charged to the income statement during the financial period in which they are incurred.</w:t>
      </w:r>
    </w:p>
    <w:p w14:paraId="6968E662" w14:textId="77777777" w:rsidR="00FA4AA8" w:rsidRDefault="00FA4AA8">
      <w:pPr>
        <w:pStyle w:val="BodyText"/>
        <w:spacing w:before="10"/>
        <w:rPr>
          <w:sz w:val="24"/>
        </w:rPr>
      </w:pPr>
    </w:p>
    <w:p w14:paraId="785B38B5" w14:textId="77777777" w:rsidR="00FA4AA8" w:rsidRDefault="0015611F">
      <w:pPr>
        <w:pStyle w:val="BodyText"/>
        <w:ind w:left="565" w:right="256"/>
      </w:pPr>
      <w:r>
        <w:t>Leasehold improvements and plant and equipment are measured on a cost basis (cost less depreciation and impairment losses). Cost includes expenditure that is directly attributable to the asset.</w:t>
      </w:r>
    </w:p>
    <w:p w14:paraId="5E9B794E" w14:textId="77777777" w:rsidR="00FA4AA8" w:rsidRDefault="00FA4AA8">
      <w:pPr>
        <w:pStyle w:val="BodyText"/>
        <w:spacing w:before="10"/>
        <w:rPr>
          <w:sz w:val="24"/>
        </w:rPr>
      </w:pPr>
    </w:p>
    <w:p w14:paraId="0D89816D" w14:textId="77777777" w:rsidR="00FA4AA8" w:rsidRDefault="0015611F">
      <w:pPr>
        <w:pStyle w:val="BodyText"/>
        <w:spacing w:before="1"/>
        <w:ind w:left="565"/>
      </w:pPr>
      <w:r>
        <w:t>Artwork is measured on a cost basis. Cost includes expenditure that is directly attributable to the asset. Art is a non- depreciable asset.</w:t>
      </w:r>
    </w:p>
    <w:p w14:paraId="6F36EF23" w14:textId="77777777" w:rsidR="00FA4AA8" w:rsidRDefault="00FA4AA8">
      <w:pPr>
        <w:pStyle w:val="BodyText"/>
        <w:spacing w:before="10"/>
        <w:rPr>
          <w:sz w:val="24"/>
        </w:rPr>
      </w:pPr>
    </w:p>
    <w:p w14:paraId="298108ED" w14:textId="77777777" w:rsidR="00FA4AA8" w:rsidRDefault="0015611F">
      <w:pPr>
        <w:numPr>
          <w:ilvl w:val="0"/>
          <w:numId w:val="65"/>
        </w:numPr>
        <w:tabs>
          <w:tab w:val="left" w:pos="962"/>
        </w:tabs>
        <w:ind w:hanging="397"/>
        <w:rPr>
          <w:b/>
          <w:sz w:val="18"/>
        </w:rPr>
      </w:pPr>
      <w:r>
        <w:rPr>
          <w:b/>
          <w:sz w:val="18"/>
        </w:rPr>
        <w:t>Depreciation</w:t>
      </w:r>
    </w:p>
    <w:p w14:paraId="564045A3" w14:textId="77777777" w:rsidR="00FA4AA8" w:rsidRDefault="00FA4AA8">
      <w:pPr>
        <w:pStyle w:val="BodyText"/>
        <w:rPr>
          <w:b/>
          <w:sz w:val="25"/>
        </w:rPr>
      </w:pPr>
    </w:p>
    <w:p w14:paraId="7ABC5A60" w14:textId="77777777" w:rsidR="00FA4AA8" w:rsidRDefault="0015611F">
      <w:pPr>
        <w:pStyle w:val="BodyText"/>
        <w:ind w:left="565"/>
      </w:pPr>
      <w:r>
        <w:t>Depreciation on plant and equipment is calculated on a straight-line basis over the asset's useful life to the Company commencing from the time the asset is held ready for use. Leasehold improvements are depreciated over the shorter of either the unexpired period of the lease or the estimated useful lives of the improvements.</w:t>
      </w:r>
    </w:p>
    <w:p w14:paraId="26E3FEC0" w14:textId="77777777" w:rsidR="00FA4AA8" w:rsidRDefault="00FA4AA8">
      <w:pPr>
        <w:pStyle w:val="BodyText"/>
        <w:spacing w:before="10"/>
        <w:rPr>
          <w:sz w:val="24"/>
        </w:rPr>
      </w:pPr>
    </w:p>
    <w:p w14:paraId="13B0D88E" w14:textId="77777777" w:rsidR="00FA4AA8" w:rsidRDefault="0015611F">
      <w:pPr>
        <w:pStyle w:val="BodyText"/>
        <w:spacing w:before="1"/>
        <w:ind w:left="565"/>
      </w:pPr>
      <w:r>
        <w:t>The estimated useful lives used for each class of depreciable asset are:</w:t>
      </w:r>
    </w:p>
    <w:p w14:paraId="02707A09" w14:textId="77777777" w:rsidR="00FA4AA8" w:rsidRDefault="00FA4AA8">
      <w:pPr>
        <w:pStyle w:val="BodyText"/>
        <w:spacing w:before="7"/>
        <w:rPr>
          <w:sz w:val="26"/>
        </w:rPr>
      </w:pPr>
    </w:p>
    <w:p w14:paraId="30065275" w14:textId="77777777" w:rsidR="00FA4AA8" w:rsidRDefault="0015611F">
      <w:pPr>
        <w:tabs>
          <w:tab w:val="left" w:pos="5124"/>
        </w:tabs>
        <w:ind w:left="564"/>
        <w:rPr>
          <w:b/>
          <w:sz w:val="18"/>
        </w:rPr>
      </w:pPr>
      <w:r>
        <w:rPr>
          <w:b/>
          <w:sz w:val="18"/>
        </w:rPr>
        <w:t>Class of</w:t>
      </w:r>
      <w:r>
        <w:rPr>
          <w:b/>
          <w:spacing w:val="-6"/>
          <w:sz w:val="18"/>
        </w:rPr>
        <w:t xml:space="preserve"> </w:t>
      </w:r>
      <w:r>
        <w:rPr>
          <w:b/>
          <w:sz w:val="18"/>
        </w:rPr>
        <w:t>Fixed</w:t>
      </w:r>
      <w:r>
        <w:rPr>
          <w:b/>
          <w:spacing w:val="-2"/>
          <w:sz w:val="18"/>
        </w:rPr>
        <w:t xml:space="preserve"> </w:t>
      </w:r>
      <w:r>
        <w:rPr>
          <w:b/>
          <w:sz w:val="18"/>
        </w:rPr>
        <w:t>Asset</w:t>
      </w:r>
      <w:r>
        <w:rPr>
          <w:b/>
          <w:sz w:val="18"/>
        </w:rPr>
        <w:tab/>
        <w:t>Useful life</w:t>
      </w:r>
    </w:p>
    <w:p w14:paraId="7D962C44" w14:textId="77777777" w:rsidR="00FA4AA8" w:rsidRDefault="0015611F">
      <w:pPr>
        <w:pStyle w:val="BodyText"/>
        <w:tabs>
          <w:tab w:val="left" w:pos="5264"/>
        </w:tabs>
        <w:spacing w:before="62"/>
        <w:ind w:left="564"/>
      </w:pPr>
      <w:r>
        <w:t>Computer</w:t>
      </w:r>
      <w:r>
        <w:rPr>
          <w:spacing w:val="-6"/>
        </w:rPr>
        <w:t xml:space="preserve"> </w:t>
      </w:r>
      <w:r>
        <w:t>Equipment</w:t>
      </w:r>
      <w:r>
        <w:tab/>
        <w:t>3-4</w:t>
      </w:r>
      <w:r>
        <w:rPr>
          <w:spacing w:val="-8"/>
        </w:rPr>
        <w:t xml:space="preserve"> </w:t>
      </w:r>
      <w:r>
        <w:t>years</w:t>
      </w:r>
    </w:p>
    <w:p w14:paraId="052D34C7" w14:textId="77777777" w:rsidR="00FA4AA8" w:rsidRDefault="0015611F">
      <w:pPr>
        <w:pStyle w:val="BodyText"/>
        <w:tabs>
          <w:tab w:val="left" w:pos="5264"/>
        </w:tabs>
        <w:spacing w:before="57"/>
        <w:ind w:left="564"/>
      </w:pPr>
      <w:r>
        <w:t>Leasehold</w:t>
      </w:r>
      <w:r>
        <w:rPr>
          <w:spacing w:val="-8"/>
        </w:rPr>
        <w:t xml:space="preserve"> </w:t>
      </w:r>
      <w:r>
        <w:t>Improvements</w:t>
      </w:r>
      <w:r>
        <w:tab/>
        <w:t>2-6</w:t>
      </w:r>
      <w:r>
        <w:rPr>
          <w:spacing w:val="-8"/>
        </w:rPr>
        <w:t xml:space="preserve"> </w:t>
      </w:r>
      <w:r>
        <w:t>years</w:t>
      </w:r>
    </w:p>
    <w:p w14:paraId="324E6460" w14:textId="77777777" w:rsidR="00FA4AA8" w:rsidRDefault="0015611F">
      <w:pPr>
        <w:pStyle w:val="BodyText"/>
        <w:tabs>
          <w:tab w:val="left" w:pos="5264"/>
        </w:tabs>
        <w:spacing w:before="57"/>
        <w:ind w:left="564"/>
      </w:pPr>
      <w:r>
        <w:t>Motor</w:t>
      </w:r>
      <w:r>
        <w:rPr>
          <w:spacing w:val="-5"/>
        </w:rPr>
        <w:t xml:space="preserve"> </w:t>
      </w:r>
      <w:r>
        <w:t>Vehicles</w:t>
      </w:r>
      <w:r>
        <w:tab/>
        <w:t>6-7</w:t>
      </w:r>
      <w:r>
        <w:rPr>
          <w:spacing w:val="-8"/>
        </w:rPr>
        <w:t xml:space="preserve"> </w:t>
      </w:r>
      <w:r>
        <w:t>years</w:t>
      </w:r>
    </w:p>
    <w:p w14:paraId="046D858E" w14:textId="77777777" w:rsidR="00FA4AA8" w:rsidRDefault="0015611F">
      <w:pPr>
        <w:pStyle w:val="BodyText"/>
        <w:tabs>
          <w:tab w:val="left" w:pos="5065"/>
        </w:tabs>
        <w:spacing w:before="57"/>
        <w:ind w:left="564"/>
      </w:pPr>
      <w:r>
        <w:t>Other</w:t>
      </w:r>
      <w:r>
        <w:rPr>
          <w:spacing w:val="-5"/>
        </w:rPr>
        <w:t xml:space="preserve"> </w:t>
      </w:r>
      <w:r>
        <w:t>Equipment</w:t>
      </w:r>
      <w:r>
        <w:tab/>
        <w:t>10-20</w:t>
      </w:r>
      <w:r>
        <w:rPr>
          <w:spacing w:val="-10"/>
        </w:rPr>
        <w:t xml:space="preserve"> </w:t>
      </w:r>
      <w:r>
        <w:t>years</w:t>
      </w:r>
    </w:p>
    <w:p w14:paraId="78A9416B" w14:textId="77777777" w:rsidR="00FA4AA8" w:rsidRDefault="00FA4AA8">
      <w:pPr>
        <w:pStyle w:val="BodyText"/>
        <w:spacing w:before="6"/>
        <w:rPr>
          <w:sz w:val="27"/>
        </w:rPr>
      </w:pPr>
    </w:p>
    <w:p w14:paraId="103FA5DA" w14:textId="77777777" w:rsidR="00FA4AA8" w:rsidRDefault="0015611F">
      <w:pPr>
        <w:pStyle w:val="BodyText"/>
        <w:ind w:left="565" w:right="256"/>
      </w:pPr>
      <w:r>
        <w:t>The assets' residual values and useful lives are reviewed, and adjusted if appropriate, at the end of each reporting period.</w:t>
      </w:r>
    </w:p>
    <w:p w14:paraId="74CA58F6" w14:textId="77777777" w:rsidR="00FA4AA8" w:rsidRDefault="00FA4AA8">
      <w:pPr>
        <w:pStyle w:val="BodyText"/>
        <w:spacing w:before="11"/>
        <w:rPr>
          <w:sz w:val="24"/>
        </w:rPr>
      </w:pPr>
    </w:p>
    <w:p w14:paraId="11C3BB1F" w14:textId="77777777" w:rsidR="00FA4AA8" w:rsidRDefault="0015611F">
      <w:pPr>
        <w:pStyle w:val="BodyText"/>
        <w:ind w:left="565" w:right="201"/>
      </w:pPr>
      <w:r>
        <w:t>An asset's carrying amount is written down immediately to its recoverable amount if the asset's carrying amount is greater than its estimated recoverable amount. Gains and losses on disposals are determined by comparing proceeds with the carrying amount. These gains and losses are included in the statement of comprehensive income.</w:t>
      </w:r>
    </w:p>
    <w:p w14:paraId="1CEE6184" w14:textId="77777777" w:rsidR="00FA4AA8" w:rsidRDefault="00FA4AA8">
      <w:pPr>
        <w:sectPr w:rsidR="00FA4AA8">
          <w:type w:val="continuous"/>
          <w:pgSz w:w="11910" w:h="16840"/>
          <w:pgMar w:top="20" w:right="840" w:bottom="0" w:left="840" w:header="720" w:footer="720" w:gutter="0"/>
          <w:cols w:space="720"/>
        </w:sectPr>
      </w:pPr>
    </w:p>
    <w:p w14:paraId="001FC2D9" w14:textId="77777777" w:rsidR="00FA4AA8" w:rsidRDefault="00FA4AA8">
      <w:pPr>
        <w:pStyle w:val="BodyText"/>
        <w:spacing w:before="6"/>
        <w:rPr>
          <w:sz w:val="21"/>
        </w:rPr>
      </w:pPr>
    </w:p>
    <w:p w14:paraId="5D82B3A8" w14:textId="77777777" w:rsidR="00FA4AA8" w:rsidRDefault="0015611F">
      <w:pPr>
        <w:pStyle w:val="Heading2"/>
      </w:pPr>
      <w:bookmarkStart w:id="128" w:name="9_Accrued_expenses_"/>
      <w:bookmarkEnd w:id="128"/>
      <w:r>
        <w:t>Notes to the Financial Statements</w:t>
      </w:r>
    </w:p>
    <w:p w14:paraId="7A33100B" w14:textId="77777777" w:rsidR="00FA4AA8" w:rsidRDefault="0015611F">
      <w:pPr>
        <w:pStyle w:val="Heading6"/>
        <w:spacing w:before="57"/>
        <w:ind w:left="167"/>
      </w:pPr>
      <w:r>
        <w:t>For the Year Ended 31 December 2018</w:t>
      </w:r>
    </w:p>
    <w:p w14:paraId="13FB6053" w14:textId="77777777" w:rsidR="00FA4AA8" w:rsidRDefault="00FA4AA8">
      <w:pPr>
        <w:pStyle w:val="BodyText"/>
        <w:rPr>
          <w:b/>
          <w:sz w:val="20"/>
        </w:rPr>
      </w:pPr>
    </w:p>
    <w:p w14:paraId="2DAAFA0A" w14:textId="77777777" w:rsidR="00FA4AA8" w:rsidRDefault="00FA4AA8">
      <w:pPr>
        <w:pStyle w:val="BodyText"/>
        <w:rPr>
          <w:b/>
          <w:sz w:val="20"/>
        </w:rPr>
      </w:pPr>
    </w:p>
    <w:p w14:paraId="134719B8" w14:textId="77777777" w:rsidR="00FA4AA8" w:rsidRDefault="00FA4AA8">
      <w:pPr>
        <w:pStyle w:val="BodyText"/>
        <w:spacing w:before="5" w:after="1"/>
        <w:rPr>
          <w:b/>
        </w:rPr>
      </w:pPr>
    </w:p>
    <w:tbl>
      <w:tblPr>
        <w:tblW w:w="0" w:type="auto"/>
        <w:tblInd w:w="126" w:type="dxa"/>
        <w:tblLayout w:type="fixed"/>
        <w:tblCellMar>
          <w:left w:w="0" w:type="dxa"/>
          <w:right w:w="0" w:type="dxa"/>
        </w:tblCellMar>
        <w:tblLook w:val="01E0" w:firstRow="1" w:lastRow="1" w:firstColumn="1" w:lastColumn="1" w:noHBand="0" w:noVBand="0"/>
      </w:tblPr>
      <w:tblGrid>
        <w:gridCol w:w="297"/>
        <w:gridCol w:w="7074"/>
        <w:gridCol w:w="1457"/>
        <w:gridCol w:w="1135"/>
      </w:tblGrid>
      <w:tr w:rsidR="00FA4AA8" w14:paraId="60A51908" w14:textId="77777777">
        <w:trPr>
          <w:trHeight w:val="220"/>
        </w:trPr>
        <w:tc>
          <w:tcPr>
            <w:tcW w:w="297" w:type="dxa"/>
          </w:tcPr>
          <w:p w14:paraId="29B25148" w14:textId="77777777" w:rsidR="00FA4AA8" w:rsidRDefault="0015611F">
            <w:pPr>
              <w:pStyle w:val="TableParagraph"/>
              <w:spacing w:line="201" w:lineRule="exact"/>
              <w:ind w:left="50"/>
              <w:rPr>
                <w:b/>
                <w:sz w:val="18"/>
              </w:rPr>
            </w:pPr>
            <w:r>
              <w:rPr>
                <w:b/>
                <w:sz w:val="18"/>
              </w:rPr>
              <w:t>9</w:t>
            </w:r>
          </w:p>
        </w:tc>
        <w:tc>
          <w:tcPr>
            <w:tcW w:w="7074" w:type="dxa"/>
          </w:tcPr>
          <w:p w14:paraId="38E4FBCB" w14:textId="77777777" w:rsidR="00FA4AA8" w:rsidRDefault="0015611F">
            <w:pPr>
              <w:pStyle w:val="TableParagraph"/>
              <w:spacing w:line="201" w:lineRule="exact"/>
              <w:ind w:left="147"/>
              <w:rPr>
                <w:b/>
                <w:sz w:val="18"/>
              </w:rPr>
            </w:pPr>
            <w:r>
              <w:rPr>
                <w:b/>
                <w:sz w:val="18"/>
              </w:rPr>
              <w:t>Accrued expenses</w:t>
            </w:r>
          </w:p>
        </w:tc>
        <w:tc>
          <w:tcPr>
            <w:tcW w:w="2592" w:type="dxa"/>
            <w:gridSpan w:val="2"/>
          </w:tcPr>
          <w:p w14:paraId="439C5CE8" w14:textId="77777777" w:rsidR="00FA4AA8" w:rsidRDefault="00FA4AA8">
            <w:pPr>
              <w:pStyle w:val="TableParagraph"/>
              <w:rPr>
                <w:rFonts w:ascii="Times New Roman"/>
                <w:sz w:val="14"/>
              </w:rPr>
            </w:pPr>
          </w:p>
        </w:tc>
      </w:tr>
      <w:tr w:rsidR="00FA4AA8" w14:paraId="1127F9F6" w14:textId="77777777">
        <w:trPr>
          <w:trHeight w:val="256"/>
        </w:trPr>
        <w:tc>
          <w:tcPr>
            <w:tcW w:w="297" w:type="dxa"/>
          </w:tcPr>
          <w:p w14:paraId="38BE1F33" w14:textId="77777777" w:rsidR="00FA4AA8" w:rsidRDefault="00FA4AA8">
            <w:pPr>
              <w:pStyle w:val="TableParagraph"/>
              <w:rPr>
                <w:rFonts w:ascii="Times New Roman"/>
                <w:sz w:val="18"/>
              </w:rPr>
            </w:pPr>
          </w:p>
        </w:tc>
        <w:tc>
          <w:tcPr>
            <w:tcW w:w="7074" w:type="dxa"/>
          </w:tcPr>
          <w:p w14:paraId="70BFB274" w14:textId="77777777" w:rsidR="00FA4AA8" w:rsidRDefault="00FA4AA8">
            <w:pPr>
              <w:pStyle w:val="TableParagraph"/>
              <w:rPr>
                <w:rFonts w:ascii="Times New Roman"/>
                <w:sz w:val="18"/>
              </w:rPr>
            </w:pPr>
          </w:p>
        </w:tc>
        <w:tc>
          <w:tcPr>
            <w:tcW w:w="1457" w:type="dxa"/>
          </w:tcPr>
          <w:p w14:paraId="052DFE8F" w14:textId="77777777" w:rsidR="00FA4AA8" w:rsidRDefault="0015611F">
            <w:pPr>
              <w:pStyle w:val="TableParagraph"/>
              <w:spacing w:before="13"/>
              <w:ind w:left="471"/>
              <w:rPr>
                <w:b/>
                <w:sz w:val="18"/>
              </w:rPr>
            </w:pPr>
            <w:r>
              <w:rPr>
                <w:b/>
                <w:sz w:val="18"/>
              </w:rPr>
              <w:t>2018</w:t>
            </w:r>
          </w:p>
        </w:tc>
        <w:tc>
          <w:tcPr>
            <w:tcW w:w="1135" w:type="dxa"/>
          </w:tcPr>
          <w:p w14:paraId="508B7583" w14:textId="77777777" w:rsidR="00FA4AA8" w:rsidRDefault="0015611F">
            <w:pPr>
              <w:pStyle w:val="TableParagraph"/>
              <w:spacing w:before="13"/>
              <w:ind w:left="297"/>
              <w:rPr>
                <w:b/>
                <w:sz w:val="18"/>
              </w:rPr>
            </w:pPr>
            <w:r>
              <w:rPr>
                <w:b/>
                <w:sz w:val="18"/>
              </w:rPr>
              <w:t>2017</w:t>
            </w:r>
          </w:p>
        </w:tc>
      </w:tr>
      <w:tr w:rsidR="00FA4AA8" w14:paraId="4856CEEE" w14:textId="77777777">
        <w:trPr>
          <w:trHeight w:val="313"/>
        </w:trPr>
        <w:tc>
          <w:tcPr>
            <w:tcW w:w="297" w:type="dxa"/>
          </w:tcPr>
          <w:p w14:paraId="45ACFDE7" w14:textId="77777777" w:rsidR="00FA4AA8" w:rsidRDefault="00FA4AA8">
            <w:pPr>
              <w:pStyle w:val="TableParagraph"/>
              <w:rPr>
                <w:rFonts w:ascii="Times New Roman"/>
                <w:sz w:val="18"/>
              </w:rPr>
            </w:pPr>
          </w:p>
        </w:tc>
        <w:tc>
          <w:tcPr>
            <w:tcW w:w="7074" w:type="dxa"/>
          </w:tcPr>
          <w:p w14:paraId="18954EDA" w14:textId="77777777" w:rsidR="00FA4AA8" w:rsidRDefault="00FA4AA8">
            <w:pPr>
              <w:pStyle w:val="TableParagraph"/>
              <w:rPr>
                <w:rFonts w:ascii="Times New Roman"/>
                <w:sz w:val="18"/>
              </w:rPr>
            </w:pPr>
          </w:p>
        </w:tc>
        <w:tc>
          <w:tcPr>
            <w:tcW w:w="1457" w:type="dxa"/>
          </w:tcPr>
          <w:p w14:paraId="32FEC30F" w14:textId="77777777" w:rsidR="00FA4AA8" w:rsidRDefault="0015611F">
            <w:pPr>
              <w:pStyle w:val="TableParagraph"/>
              <w:spacing w:before="30"/>
              <w:ind w:right="111"/>
              <w:jc w:val="center"/>
              <w:rPr>
                <w:b/>
                <w:sz w:val="18"/>
              </w:rPr>
            </w:pPr>
            <w:r>
              <w:rPr>
                <w:b/>
                <w:sz w:val="18"/>
              </w:rPr>
              <w:t>$</w:t>
            </w:r>
          </w:p>
        </w:tc>
        <w:tc>
          <w:tcPr>
            <w:tcW w:w="1135" w:type="dxa"/>
          </w:tcPr>
          <w:p w14:paraId="728DE353" w14:textId="77777777" w:rsidR="00FA4AA8" w:rsidRDefault="0015611F">
            <w:pPr>
              <w:pStyle w:val="TableParagraph"/>
              <w:spacing w:before="30"/>
              <w:ind w:right="137"/>
              <w:jc w:val="center"/>
              <w:rPr>
                <w:b/>
                <w:sz w:val="18"/>
              </w:rPr>
            </w:pPr>
            <w:r>
              <w:rPr>
                <w:b/>
                <w:sz w:val="18"/>
              </w:rPr>
              <w:t>$</w:t>
            </w:r>
          </w:p>
        </w:tc>
      </w:tr>
      <w:tr w:rsidR="00FA4AA8" w14:paraId="784D177C" w14:textId="77777777">
        <w:trPr>
          <w:trHeight w:val="543"/>
        </w:trPr>
        <w:tc>
          <w:tcPr>
            <w:tcW w:w="297" w:type="dxa"/>
          </w:tcPr>
          <w:p w14:paraId="454D49F7" w14:textId="77777777" w:rsidR="00FA4AA8" w:rsidRDefault="00FA4AA8">
            <w:pPr>
              <w:pStyle w:val="TableParagraph"/>
              <w:rPr>
                <w:rFonts w:ascii="Times New Roman"/>
                <w:sz w:val="18"/>
              </w:rPr>
            </w:pPr>
          </w:p>
        </w:tc>
        <w:tc>
          <w:tcPr>
            <w:tcW w:w="7074" w:type="dxa"/>
          </w:tcPr>
          <w:p w14:paraId="411B69D6" w14:textId="77777777" w:rsidR="00FA4AA8" w:rsidRDefault="0015611F">
            <w:pPr>
              <w:pStyle w:val="TableParagraph"/>
              <w:spacing w:before="70"/>
              <w:ind w:left="192"/>
              <w:rPr>
                <w:b/>
                <w:sz w:val="18"/>
              </w:rPr>
            </w:pPr>
            <w:r>
              <w:rPr>
                <w:b/>
                <w:sz w:val="18"/>
              </w:rPr>
              <w:t>Current</w:t>
            </w:r>
          </w:p>
          <w:p w14:paraId="53B8202A" w14:textId="77777777" w:rsidR="00FA4AA8" w:rsidRDefault="0015611F">
            <w:pPr>
              <w:pStyle w:val="TableParagraph"/>
              <w:spacing w:before="27"/>
              <w:ind w:left="192"/>
              <w:rPr>
                <w:sz w:val="18"/>
              </w:rPr>
            </w:pPr>
            <w:r>
              <w:rPr>
                <w:sz w:val="18"/>
              </w:rPr>
              <w:t>Agents' commissions</w:t>
            </w:r>
          </w:p>
        </w:tc>
        <w:tc>
          <w:tcPr>
            <w:tcW w:w="1457" w:type="dxa"/>
          </w:tcPr>
          <w:p w14:paraId="59B6DAE6" w14:textId="77777777" w:rsidR="00FA4AA8" w:rsidRDefault="00FA4AA8">
            <w:pPr>
              <w:pStyle w:val="TableParagraph"/>
              <w:spacing w:before="6"/>
              <w:rPr>
                <w:b/>
                <w:sz w:val="26"/>
              </w:rPr>
            </w:pPr>
          </w:p>
          <w:p w14:paraId="56F89C1E" w14:textId="77777777" w:rsidR="00FA4AA8" w:rsidRDefault="0015611F">
            <w:pPr>
              <w:pStyle w:val="TableParagraph"/>
              <w:ind w:right="245"/>
              <w:jc w:val="right"/>
              <w:rPr>
                <w:b/>
                <w:sz w:val="18"/>
              </w:rPr>
            </w:pPr>
            <w:r>
              <w:rPr>
                <w:b/>
                <w:sz w:val="18"/>
              </w:rPr>
              <w:t>2,334,977</w:t>
            </w:r>
          </w:p>
        </w:tc>
        <w:tc>
          <w:tcPr>
            <w:tcW w:w="1135" w:type="dxa"/>
          </w:tcPr>
          <w:p w14:paraId="1A8A20B0" w14:textId="77777777" w:rsidR="00FA4AA8" w:rsidRDefault="00FA4AA8">
            <w:pPr>
              <w:pStyle w:val="TableParagraph"/>
              <w:spacing w:before="6"/>
              <w:rPr>
                <w:b/>
                <w:sz w:val="26"/>
              </w:rPr>
            </w:pPr>
          </w:p>
          <w:p w14:paraId="4014C818" w14:textId="77777777" w:rsidR="00FA4AA8" w:rsidRDefault="0015611F">
            <w:pPr>
              <w:pStyle w:val="TableParagraph"/>
              <w:ind w:right="84"/>
              <w:jc w:val="right"/>
              <w:rPr>
                <w:sz w:val="18"/>
              </w:rPr>
            </w:pPr>
            <w:r>
              <w:rPr>
                <w:sz w:val="18"/>
              </w:rPr>
              <w:t>1,730,563</w:t>
            </w:r>
          </w:p>
        </w:tc>
      </w:tr>
      <w:tr w:rsidR="00FA4AA8" w14:paraId="235C2882" w14:textId="77777777">
        <w:trPr>
          <w:trHeight w:val="263"/>
        </w:trPr>
        <w:tc>
          <w:tcPr>
            <w:tcW w:w="297" w:type="dxa"/>
          </w:tcPr>
          <w:p w14:paraId="408AD6EC" w14:textId="77777777" w:rsidR="00FA4AA8" w:rsidRDefault="00FA4AA8">
            <w:pPr>
              <w:pStyle w:val="TableParagraph"/>
              <w:rPr>
                <w:rFonts w:ascii="Times New Roman"/>
                <w:sz w:val="18"/>
              </w:rPr>
            </w:pPr>
          </w:p>
        </w:tc>
        <w:tc>
          <w:tcPr>
            <w:tcW w:w="7074" w:type="dxa"/>
          </w:tcPr>
          <w:p w14:paraId="296404B6" w14:textId="77777777" w:rsidR="00FA4AA8" w:rsidRDefault="0015611F">
            <w:pPr>
              <w:pStyle w:val="TableParagraph"/>
              <w:spacing w:before="25"/>
              <w:ind w:left="192"/>
              <w:rPr>
                <w:sz w:val="18"/>
              </w:rPr>
            </w:pPr>
            <w:r>
              <w:rPr>
                <w:sz w:val="18"/>
              </w:rPr>
              <w:t>Salary</w:t>
            </w:r>
          </w:p>
        </w:tc>
        <w:tc>
          <w:tcPr>
            <w:tcW w:w="1457" w:type="dxa"/>
          </w:tcPr>
          <w:p w14:paraId="7D157FF2" w14:textId="77777777" w:rsidR="00FA4AA8" w:rsidRDefault="0015611F">
            <w:pPr>
              <w:pStyle w:val="TableParagraph"/>
              <w:spacing w:before="26"/>
              <w:ind w:right="245"/>
              <w:jc w:val="right"/>
              <w:rPr>
                <w:b/>
                <w:sz w:val="18"/>
              </w:rPr>
            </w:pPr>
            <w:r>
              <w:rPr>
                <w:b/>
                <w:sz w:val="18"/>
              </w:rPr>
              <w:t>1,317,629</w:t>
            </w:r>
          </w:p>
        </w:tc>
        <w:tc>
          <w:tcPr>
            <w:tcW w:w="1135" w:type="dxa"/>
          </w:tcPr>
          <w:p w14:paraId="3CDA7235" w14:textId="77777777" w:rsidR="00FA4AA8" w:rsidRDefault="0015611F">
            <w:pPr>
              <w:pStyle w:val="TableParagraph"/>
              <w:spacing w:before="26"/>
              <w:ind w:right="82"/>
              <w:jc w:val="right"/>
              <w:rPr>
                <w:sz w:val="18"/>
              </w:rPr>
            </w:pPr>
            <w:r>
              <w:rPr>
                <w:sz w:val="18"/>
              </w:rPr>
              <w:t>811,307</w:t>
            </w:r>
          </w:p>
        </w:tc>
      </w:tr>
      <w:tr w:rsidR="00FA4AA8" w14:paraId="7BEAD3F0" w14:textId="77777777">
        <w:trPr>
          <w:trHeight w:val="264"/>
        </w:trPr>
        <w:tc>
          <w:tcPr>
            <w:tcW w:w="297" w:type="dxa"/>
          </w:tcPr>
          <w:p w14:paraId="218AC11F" w14:textId="77777777" w:rsidR="00FA4AA8" w:rsidRDefault="00FA4AA8">
            <w:pPr>
              <w:pStyle w:val="TableParagraph"/>
              <w:rPr>
                <w:rFonts w:ascii="Times New Roman"/>
                <w:sz w:val="18"/>
              </w:rPr>
            </w:pPr>
          </w:p>
        </w:tc>
        <w:tc>
          <w:tcPr>
            <w:tcW w:w="7074" w:type="dxa"/>
          </w:tcPr>
          <w:p w14:paraId="631F7716" w14:textId="77777777" w:rsidR="00FA4AA8" w:rsidRDefault="0015611F">
            <w:pPr>
              <w:pStyle w:val="TableParagraph"/>
              <w:spacing w:before="25"/>
              <w:ind w:left="192"/>
              <w:rPr>
                <w:sz w:val="18"/>
              </w:rPr>
            </w:pPr>
            <w:r>
              <w:rPr>
                <w:sz w:val="18"/>
              </w:rPr>
              <w:t>Non-salary overheads</w:t>
            </w:r>
          </w:p>
        </w:tc>
        <w:tc>
          <w:tcPr>
            <w:tcW w:w="1457" w:type="dxa"/>
          </w:tcPr>
          <w:p w14:paraId="49286301" w14:textId="77777777" w:rsidR="00FA4AA8" w:rsidRDefault="0015611F">
            <w:pPr>
              <w:pStyle w:val="TableParagraph"/>
              <w:spacing w:before="26"/>
              <w:ind w:right="245"/>
              <w:jc w:val="right"/>
              <w:rPr>
                <w:b/>
                <w:sz w:val="18"/>
              </w:rPr>
            </w:pPr>
            <w:r>
              <w:rPr>
                <w:b/>
                <w:sz w:val="18"/>
              </w:rPr>
              <w:t>599,790</w:t>
            </w:r>
          </w:p>
        </w:tc>
        <w:tc>
          <w:tcPr>
            <w:tcW w:w="1135" w:type="dxa"/>
          </w:tcPr>
          <w:p w14:paraId="2D6AF94D" w14:textId="77777777" w:rsidR="00FA4AA8" w:rsidRDefault="0015611F">
            <w:pPr>
              <w:pStyle w:val="TableParagraph"/>
              <w:spacing w:before="26"/>
              <w:ind w:right="82"/>
              <w:jc w:val="right"/>
              <w:rPr>
                <w:sz w:val="18"/>
              </w:rPr>
            </w:pPr>
            <w:r>
              <w:rPr>
                <w:sz w:val="18"/>
              </w:rPr>
              <w:t>355,554</w:t>
            </w:r>
          </w:p>
        </w:tc>
      </w:tr>
      <w:tr w:rsidR="00FA4AA8" w14:paraId="49FB2ABE" w14:textId="77777777">
        <w:trPr>
          <w:trHeight w:val="260"/>
        </w:trPr>
        <w:tc>
          <w:tcPr>
            <w:tcW w:w="297" w:type="dxa"/>
          </w:tcPr>
          <w:p w14:paraId="7AD19DA3" w14:textId="77777777" w:rsidR="00FA4AA8" w:rsidRDefault="00FA4AA8">
            <w:pPr>
              <w:pStyle w:val="TableParagraph"/>
              <w:rPr>
                <w:rFonts w:ascii="Times New Roman"/>
                <w:sz w:val="18"/>
              </w:rPr>
            </w:pPr>
          </w:p>
        </w:tc>
        <w:tc>
          <w:tcPr>
            <w:tcW w:w="7074" w:type="dxa"/>
          </w:tcPr>
          <w:p w14:paraId="5699755E" w14:textId="77777777" w:rsidR="00FA4AA8" w:rsidRDefault="0015611F">
            <w:pPr>
              <w:pStyle w:val="TableParagraph"/>
              <w:spacing w:before="25"/>
              <w:ind w:left="192"/>
              <w:rPr>
                <w:sz w:val="18"/>
              </w:rPr>
            </w:pPr>
            <w:r>
              <w:rPr>
                <w:sz w:val="18"/>
              </w:rPr>
              <w:t>Provision for staff redundancy</w:t>
            </w:r>
          </w:p>
        </w:tc>
        <w:tc>
          <w:tcPr>
            <w:tcW w:w="1457" w:type="dxa"/>
            <w:tcBorders>
              <w:bottom w:val="single" w:sz="8" w:space="0" w:color="000000"/>
            </w:tcBorders>
          </w:tcPr>
          <w:p w14:paraId="58387A6D" w14:textId="77777777" w:rsidR="00FA4AA8" w:rsidRDefault="0015611F">
            <w:pPr>
              <w:pStyle w:val="TableParagraph"/>
              <w:spacing w:before="26"/>
              <w:ind w:right="245"/>
              <w:jc w:val="right"/>
              <w:rPr>
                <w:b/>
                <w:sz w:val="18"/>
              </w:rPr>
            </w:pPr>
            <w:r>
              <w:rPr>
                <w:b/>
                <w:sz w:val="18"/>
              </w:rPr>
              <w:t>36,885</w:t>
            </w:r>
          </w:p>
        </w:tc>
        <w:tc>
          <w:tcPr>
            <w:tcW w:w="1135" w:type="dxa"/>
            <w:tcBorders>
              <w:bottom w:val="single" w:sz="8" w:space="0" w:color="000000"/>
            </w:tcBorders>
          </w:tcPr>
          <w:p w14:paraId="09BD9B4A" w14:textId="77777777" w:rsidR="00FA4AA8" w:rsidRDefault="0015611F">
            <w:pPr>
              <w:pStyle w:val="TableParagraph"/>
              <w:spacing w:before="26"/>
              <w:ind w:right="82"/>
              <w:jc w:val="right"/>
              <w:rPr>
                <w:sz w:val="18"/>
              </w:rPr>
            </w:pPr>
            <w:r>
              <w:rPr>
                <w:sz w:val="18"/>
              </w:rPr>
              <w:t>111,998</w:t>
            </w:r>
          </w:p>
        </w:tc>
      </w:tr>
      <w:tr w:rsidR="00FA4AA8" w14:paraId="76A6A178" w14:textId="77777777">
        <w:trPr>
          <w:trHeight w:val="313"/>
        </w:trPr>
        <w:tc>
          <w:tcPr>
            <w:tcW w:w="297" w:type="dxa"/>
          </w:tcPr>
          <w:p w14:paraId="43A39217" w14:textId="77777777" w:rsidR="00FA4AA8" w:rsidRDefault="00FA4AA8">
            <w:pPr>
              <w:pStyle w:val="TableParagraph"/>
              <w:rPr>
                <w:rFonts w:ascii="Times New Roman"/>
                <w:sz w:val="18"/>
              </w:rPr>
            </w:pPr>
          </w:p>
        </w:tc>
        <w:tc>
          <w:tcPr>
            <w:tcW w:w="7074" w:type="dxa"/>
          </w:tcPr>
          <w:p w14:paraId="752858BD" w14:textId="77777777" w:rsidR="00FA4AA8" w:rsidRDefault="0015611F">
            <w:pPr>
              <w:pStyle w:val="TableParagraph"/>
              <w:spacing w:before="113" w:line="180" w:lineRule="exact"/>
              <w:ind w:left="192"/>
              <w:rPr>
                <w:b/>
                <w:sz w:val="18"/>
              </w:rPr>
            </w:pPr>
            <w:r>
              <w:rPr>
                <w:b/>
                <w:sz w:val="18"/>
              </w:rPr>
              <w:t>Total accrued expenses</w:t>
            </w:r>
          </w:p>
        </w:tc>
        <w:tc>
          <w:tcPr>
            <w:tcW w:w="1457" w:type="dxa"/>
            <w:tcBorders>
              <w:top w:val="single" w:sz="8" w:space="0" w:color="000000"/>
              <w:bottom w:val="double" w:sz="3" w:space="0" w:color="000000"/>
            </w:tcBorders>
          </w:tcPr>
          <w:p w14:paraId="27E14971" w14:textId="77777777" w:rsidR="00FA4AA8" w:rsidRDefault="0015611F">
            <w:pPr>
              <w:pStyle w:val="TableParagraph"/>
              <w:spacing w:before="113" w:line="180" w:lineRule="exact"/>
              <w:ind w:right="245"/>
              <w:jc w:val="right"/>
              <w:rPr>
                <w:b/>
                <w:sz w:val="18"/>
              </w:rPr>
            </w:pPr>
            <w:r>
              <w:rPr>
                <w:b/>
                <w:sz w:val="18"/>
              </w:rPr>
              <w:t>4,289,281</w:t>
            </w:r>
          </w:p>
        </w:tc>
        <w:tc>
          <w:tcPr>
            <w:tcW w:w="1135" w:type="dxa"/>
            <w:tcBorders>
              <w:top w:val="single" w:sz="8" w:space="0" w:color="000000"/>
              <w:bottom w:val="double" w:sz="3" w:space="0" w:color="000000"/>
            </w:tcBorders>
          </w:tcPr>
          <w:p w14:paraId="08CB346B" w14:textId="77777777" w:rsidR="00FA4AA8" w:rsidRDefault="0015611F">
            <w:pPr>
              <w:pStyle w:val="TableParagraph"/>
              <w:spacing w:before="113" w:line="180" w:lineRule="exact"/>
              <w:ind w:right="84"/>
              <w:jc w:val="right"/>
              <w:rPr>
                <w:sz w:val="18"/>
              </w:rPr>
            </w:pPr>
            <w:r>
              <w:rPr>
                <w:sz w:val="18"/>
              </w:rPr>
              <w:t>3,009,422</w:t>
            </w:r>
          </w:p>
        </w:tc>
      </w:tr>
      <w:tr w:rsidR="00FA4AA8" w14:paraId="1EC26AD4" w14:textId="77777777">
        <w:trPr>
          <w:trHeight w:val="509"/>
        </w:trPr>
        <w:tc>
          <w:tcPr>
            <w:tcW w:w="297" w:type="dxa"/>
          </w:tcPr>
          <w:p w14:paraId="718D6610" w14:textId="77777777" w:rsidR="00FA4AA8" w:rsidRDefault="00FA4AA8">
            <w:pPr>
              <w:pStyle w:val="TableParagraph"/>
              <w:rPr>
                <w:rFonts w:ascii="Times New Roman"/>
                <w:sz w:val="18"/>
              </w:rPr>
            </w:pPr>
          </w:p>
        </w:tc>
        <w:tc>
          <w:tcPr>
            <w:tcW w:w="7074" w:type="dxa"/>
          </w:tcPr>
          <w:p w14:paraId="58915C30" w14:textId="77777777" w:rsidR="00FA4AA8" w:rsidRDefault="00FA4AA8">
            <w:pPr>
              <w:pStyle w:val="TableParagraph"/>
              <w:spacing w:before="3"/>
              <w:rPr>
                <w:b/>
                <w:sz w:val="26"/>
              </w:rPr>
            </w:pPr>
          </w:p>
          <w:p w14:paraId="5B8A7853" w14:textId="77777777" w:rsidR="00FA4AA8" w:rsidRDefault="0015611F">
            <w:pPr>
              <w:pStyle w:val="TableParagraph"/>
              <w:spacing w:line="187" w:lineRule="exact"/>
              <w:ind w:left="149"/>
              <w:rPr>
                <w:i/>
                <w:sz w:val="18"/>
              </w:rPr>
            </w:pPr>
            <w:r>
              <w:rPr>
                <w:i/>
                <w:sz w:val="18"/>
                <w:u w:val="single"/>
              </w:rPr>
              <w:t>Accounting Policy</w:t>
            </w:r>
          </w:p>
        </w:tc>
        <w:tc>
          <w:tcPr>
            <w:tcW w:w="1457" w:type="dxa"/>
            <w:tcBorders>
              <w:top w:val="double" w:sz="3" w:space="0" w:color="000000"/>
            </w:tcBorders>
          </w:tcPr>
          <w:p w14:paraId="6A36EEA7" w14:textId="77777777" w:rsidR="00FA4AA8" w:rsidRDefault="00FA4AA8">
            <w:pPr>
              <w:pStyle w:val="TableParagraph"/>
              <w:rPr>
                <w:rFonts w:ascii="Times New Roman"/>
                <w:sz w:val="18"/>
              </w:rPr>
            </w:pPr>
          </w:p>
        </w:tc>
        <w:tc>
          <w:tcPr>
            <w:tcW w:w="1135" w:type="dxa"/>
            <w:tcBorders>
              <w:top w:val="double" w:sz="3" w:space="0" w:color="000000"/>
            </w:tcBorders>
          </w:tcPr>
          <w:p w14:paraId="586E6917" w14:textId="77777777" w:rsidR="00FA4AA8" w:rsidRDefault="00FA4AA8">
            <w:pPr>
              <w:pStyle w:val="TableParagraph"/>
              <w:rPr>
                <w:rFonts w:ascii="Times New Roman"/>
                <w:sz w:val="18"/>
              </w:rPr>
            </w:pPr>
          </w:p>
        </w:tc>
      </w:tr>
    </w:tbl>
    <w:p w14:paraId="238907D5" w14:textId="77777777" w:rsidR="00FA4AA8" w:rsidRDefault="00FA4AA8">
      <w:pPr>
        <w:pStyle w:val="BodyText"/>
        <w:spacing w:before="2"/>
        <w:rPr>
          <w:b/>
          <w:sz w:val="17"/>
        </w:rPr>
      </w:pPr>
    </w:p>
    <w:p w14:paraId="5AFE2E6D" w14:textId="77777777" w:rsidR="00FA4AA8" w:rsidRDefault="0015611F">
      <w:pPr>
        <w:pStyle w:val="BodyText"/>
        <w:spacing w:before="94"/>
        <w:ind w:left="563"/>
      </w:pPr>
      <w:r>
        <w:t>These amounts represent liabilities for goods and services provided to the Company prior to the end of financial year, which are unpaid.</w:t>
      </w:r>
    </w:p>
    <w:p w14:paraId="6447E057" w14:textId="77777777" w:rsidR="00FA4AA8" w:rsidRDefault="00FA4AA8">
      <w:pPr>
        <w:pStyle w:val="BodyText"/>
        <w:rPr>
          <w:sz w:val="25"/>
        </w:rPr>
      </w:pPr>
    </w:p>
    <w:p w14:paraId="34765428" w14:textId="77777777" w:rsidR="00FA4AA8" w:rsidRDefault="0015611F">
      <w:pPr>
        <w:pStyle w:val="BodyText"/>
        <w:ind w:left="563"/>
      </w:pPr>
      <w:r>
        <w:t>Termination benefits are payable when employment is terminated before the normal retirement date, or when an employee accepts an offer of benefits in exchange for the termination of employment. The Company recognises the expense and liability for termination benefits either when it can no longer withdraw the offer of those benefits or when it has recognised costs for restructuring within the scope of AASB 137 that involves the payment of termination benefits. The expense and liability are recognised when the Company is demonstrably committed to either terminating the employment of current employees according to a detailed formal plan without possibility of withdrawal or providing termination benefits as a result of an offer made to encourage voluntary redundancy.</w:t>
      </w:r>
    </w:p>
    <w:p w14:paraId="3A87413F" w14:textId="77777777" w:rsidR="00FA4AA8" w:rsidRDefault="00FA4AA8">
      <w:pPr>
        <w:pStyle w:val="BodyText"/>
        <w:spacing w:before="8"/>
        <w:rPr>
          <w:sz w:val="24"/>
        </w:rPr>
      </w:pPr>
    </w:p>
    <w:p w14:paraId="71DEE8FF" w14:textId="77777777" w:rsidR="00FA4AA8" w:rsidRDefault="0015611F">
      <w:pPr>
        <w:pStyle w:val="BodyText"/>
        <w:ind w:left="563" w:right="201"/>
      </w:pPr>
      <w:r>
        <w:t>Termination benefits are measured on initial recognition and subsequent changes are measured and recognised in accordance with the nature of the employee benefit. Benefits expected to be settled wholly within 12 months are measured at the undiscounted amount expected to be paid. Benefits not expected to be settled before 12 months after the end of the reporting period are discounted at present value.</w:t>
      </w:r>
    </w:p>
    <w:p w14:paraId="0F9D7A0C" w14:textId="77777777" w:rsidR="00FA4AA8" w:rsidRDefault="00FA4AA8">
      <w:pPr>
        <w:sectPr w:rsidR="00FA4AA8">
          <w:pgSz w:w="11910" w:h="16840"/>
          <w:pgMar w:top="1720" w:right="840" w:bottom="720" w:left="840" w:header="1017" w:footer="523" w:gutter="0"/>
          <w:cols w:space="720"/>
        </w:sectPr>
      </w:pPr>
    </w:p>
    <w:p w14:paraId="275FD822" w14:textId="77777777" w:rsidR="00FA4AA8" w:rsidRDefault="00FA4AA8">
      <w:pPr>
        <w:pStyle w:val="BodyText"/>
        <w:spacing w:before="6"/>
        <w:rPr>
          <w:sz w:val="21"/>
        </w:rPr>
      </w:pPr>
    </w:p>
    <w:p w14:paraId="22F3458E" w14:textId="77777777" w:rsidR="00FA4AA8" w:rsidRDefault="0015611F">
      <w:pPr>
        <w:pStyle w:val="Heading2"/>
      </w:pPr>
      <w:bookmarkStart w:id="129" w:name="10_Provisions_"/>
      <w:bookmarkEnd w:id="129"/>
      <w:r>
        <w:t>Notes to the Financial Statements</w:t>
      </w:r>
    </w:p>
    <w:p w14:paraId="69C00AB6" w14:textId="77777777" w:rsidR="00FA4AA8" w:rsidRDefault="0015611F">
      <w:pPr>
        <w:pStyle w:val="Heading6"/>
        <w:spacing w:before="57"/>
        <w:ind w:left="167"/>
      </w:pPr>
      <w:r>
        <w:t>For the Year Ended 31 December 2018</w:t>
      </w:r>
    </w:p>
    <w:p w14:paraId="0767D5D1" w14:textId="77777777" w:rsidR="00FA4AA8" w:rsidRDefault="00FA4AA8">
      <w:pPr>
        <w:pStyle w:val="BodyText"/>
        <w:rPr>
          <w:b/>
          <w:sz w:val="20"/>
        </w:rPr>
      </w:pPr>
    </w:p>
    <w:p w14:paraId="35826368" w14:textId="77777777" w:rsidR="00FA4AA8" w:rsidRDefault="00FA4AA8">
      <w:pPr>
        <w:pStyle w:val="BodyText"/>
        <w:rPr>
          <w:b/>
          <w:sz w:val="20"/>
        </w:rPr>
      </w:pPr>
    </w:p>
    <w:p w14:paraId="662C5443" w14:textId="77777777" w:rsidR="00FA4AA8" w:rsidRDefault="00FA4AA8">
      <w:pPr>
        <w:pStyle w:val="BodyText"/>
        <w:spacing w:before="5" w:after="1"/>
        <w:rPr>
          <w:b/>
        </w:rPr>
      </w:pPr>
    </w:p>
    <w:tbl>
      <w:tblPr>
        <w:tblW w:w="0" w:type="auto"/>
        <w:tblInd w:w="126" w:type="dxa"/>
        <w:tblLayout w:type="fixed"/>
        <w:tblCellMar>
          <w:left w:w="0" w:type="dxa"/>
          <w:right w:w="0" w:type="dxa"/>
        </w:tblCellMar>
        <w:tblLook w:val="01E0" w:firstRow="1" w:lastRow="1" w:firstColumn="1" w:lastColumn="1" w:noHBand="0" w:noVBand="0"/>
      </w:tblPr>
      <w:tblGrid>
        <w:gridCol w:w="7371"/>
        <w:gridCol w:w="1458"/>
        <w:gridCol w:w="1135"/>
      </w:tblGrid>
      <w:tr w:rsidR="00FA4AA8" w14:paraId="663BB307" w14:textId="77777777">
        <w:trPr>
          <w:trHeight w:val="220"/>
        </w:trPr>
        <w:tc>
          <w:tcPr>
            <w:tcW w:w="7371" w:type="dxa"/>
          </w:tcPr>
          <w:p w14:paraId="4DA9731E" w14:textId="77777777" w:rsidR="00FA4AA8" w:rsidRDefault="0015611F">
            <w:pPr>
              <w:pStyle w:val="TableParagraph"/>
              <w:spacing w:line="201" w:lineRule="exact"/>
              <w:ind w:left="50"/>
              <w:rPr>
                <w:b/>
                <w:sz w:val="18"/>
              </w:rPr>
            </w:pPr>
            <w:r>
              <w:rPr>
                <w:b/>
                <w:sz w:val="18"/>
              </w:rPr>
              <w:t>10 Provisions</w:t>
            </w:r>
          </w:p>
        </w:tc>
        <w:tc>
          <w:tcPr>
            <w:tcW w:w="2593" w:type="dxa"/>
            <w:gridSpan w:val="2"/>
          </w:tcPr>
          <w:p w14:paraId="78B22B80" w14:textId="77777777" w:rsidR="00FA4AA8" w:rsidRDefault="00FA4AA8">
            <w:pPr>
              <w:pStyle w:val="TableParagraph"/>
              <w:rPr>
                <w:rFonts w:ascii="Times New Roman"/>
                <w:sz w:val="14"/>
              </w:rPr>
            </w:pPr>
          </w:p>
        </w:tc>
      </w:tr>
      <w:tr w:rsidR="00FA4AA8" w14:paraId="630B7B7D" w14:textId="77777777">
        <w:trPr>
          <w:trHeight w:val="256"/>
        </w:trPr>
        <w:tc>
          <w:tcPr>
            <w:tcW w:w="7371" w:type="dxa"/>
          </w:tcPr>
          <w:p w14:paraId="1B4FF22E" w14:textId="77777777" w:rsidR="00FA4AA8" w:rsidRDefault="00FA4AA8">
            <w:pPr>
              <w:pStyle w:val="TableParagraph"/>
              <w:rPr>
                <w:rFonts w:ascii="Times New Roman"/>
                <w:sz w:val="18"/>
              </w:rPr>
            </w:pPr>
          </w:p>
        </w:tc>
        <w:tc>
          <w:tcPr>
            <w:tcW w:w="1458" w:type="dxa"/>
          </w:tcPr>
          <w:p w14:paraId="650A91FF" w14:textId="77777777" w:rsidR="00FA4AA8" w:rsidRDefault="0015611F">
            <w:pPr>
              <w:pStyle w:val="TableParagraph"/>
              <w:spacing w:before="13"/>
              <w:ind w:left="448"/>
              <w:rPr>
                <w:b/>
                <w:sz w:val="18"/>
              </w:rPr>
            </w:pPr>
            <w:r>
              <w:rPr>
                <w:b/>
                <w:sz w:val="18"/>
              </w:rPr>
              <w:t>2018</w:t>
            </w:r>
          </w:p>
        </w:tc>
        <w:tc>
          <w:tcPr>
            <w:tcW w:w="1135" w:type="dxa"/>
          </w:tcPr>
          <w:p w14:paraId="618FC1D2" w14:textId="77777777" w:rsidR="00FA4AA8" w:rsidRDefault="0015611F">
            <w:pPr>
              <w:pStyle w:val="TableParagraph"/>
              <w:spacing w:before="13"/>
              <w:ind w:left="275"/>
              <w:rPr>
                <w:b/>
                <w:sz w:val="18"/>
              </w:rPr>
            </w:pPr>
            <w:r>
              <w:rPr>
                <w:b/>
                <w:sz w:val="18"/>
              </w:rPr>
              <w:t>2017</w:t>
            </w:r>
          </w:p>
        </w:tc>
      </w:tr>
      <w:tr w:rsidR="00FA4AA8" w14:paraId="68AB1F85" w14:textId="77777777">
        <w:trPr>
          <w:trHeight w:val="270"/>
        </w:trPr>
        <w:tc>
          <w:tcPr>
            <w:tcW w:w="7371" w:type="dxa"/>
          </w:tcPr>
          <w:p w14:paraId="4A8D6152" w14:textId="77777777" w:rsidR="00FA4AA8" w:rsidRDefault="00FA4AA8">
            <w:pPr>
              <w:pStyle w:val="TableParagraph"/>
              <w:rPr>
                <w:rFonts w:ascii="Times New Roman"/>
                <w:sz w:val="18"/>
              </w:rPr>
            </w:pPr>
          </w:p>
        </w:tc>
        <w:tc>
          <w:tcPr>
            <w:tcW w:w="1458" w:type="dxa"/>
          </w:tcPr>
          <w:p w14:paraId="2CDB6ABF" w14:textId="77777777" w:rsidR="00FA4AA8" w:rsidRDefault="0015611F">
            <w:pPr>
              <w:pStyle w:val="TableParagraph"/>
              <w:spacing w:before="30"/>
              <w:ind w:right="157"/>
              <w:jc w:val="center"/>
              <w:rPr>
                <w:b/>
                <w:sz w:val="18"/>
              </w:rPr>
            </w:pPr>
            <w:r>
              <w:rPr>
                <w:b/>
                <w:sz w:val="18"/>
              </w:rPr>
              <w:t>$</w:t>
            </w:r>
          </w:p>
        </w:tc>
        <w:tc>
          <w:tcPr>
            <w:tcW w:w="1135" w:type="dxa"/>
          </w:tcPr>
          <w:p w14:paraId="789AE0B3" w14:textId="77777777" w:rsidR="00FA4AA8" w:rsidRDefault="0015611F">
            <w:pPr>
              <w:pStyle w:val="TableParagraph"/>
              <w:spacing w:before="30"/>
              <w:ind w:right="182"/>
              <w:jc w:val="center"/>
              <w:rPr>
                <w:b/>
                <w:sz w:val="18"/>
              </w:rPr>
            </w:pPr>
            <w:r>
              <w:rPr>
                <w:b/>
                <w:sz w:val="18"/>
              </w:rPr>
              <w:t>$</w:t>
            </w:r>
          </w:p>
        </w:tc>
      </w:tr>
      <w:tr w:rsidR="00FA4AA8" w14:paraId="3B7C3FAC" w14:textId="77777777">
        <w:trPr>
          <w:trHeight w:val="529"/>
        </w:trPr>
        <w:tc>
          <w:tcPr>
            <w:tcW w:w="7371" w:type="dxa"/>
          </w:tcPr>
          <w:p w14:paraId="07E5321F" w14:textId="77777777" w:rsidR="00FA4AA8" w:rsidRDefault="0015611F">
            <w:pPr>
              <w:pStyle w:val="TableParagraph"/>
              <w:spacing w:before="27"/>
              <w:ind w:left="445"/>
              <w:rPr>
                <w:b/>
                <w:sz w:val="18"/>
              </w:rPr>
            </w:pPr>
            <w:bookmarkStart w:id="130" w:name="Amounts_not_expected_to_be_settled_withi"/>
            <w:bookmarkEnd w:id="130"/>
            <w:r>
              <w:rPr>
                <w:b/>
                <w:sz w:val="18"/>
              </w:rPr>
              <w:t>Current</w:t>
            </w:r>
          </w:p>
          <w:p w14:paraId="7EC08BF3" w14:textId="77777777" w:rsidR="00FA4AA8" w:rsidRDefault="0015611F">
            <w:pPr>
              <w:pStyle w:val="TableParagraph"/>
              <w:spacing w:before="57"/>
              <w:ind w:left="446"/>
              <w:rPr>
                <w:sz w:val="18"/>
              </w:rPr>
            </w:pPr>
            <w:r>
              <w:rPr>
                <w:sz w:val="18"/>
              </w:rPr>
              <w:t>Annual leave</w:t>
            </w:r>
          </w:p>
        </w:tc>
        <w:tc>
          <w:tcPr>
            <w:tcW w:w="1458" w:type="dxa"/>
          </w:tcPr>
          <w:p w14:paraId="3BC5EE6D" w14:textId="77777777" w:rsidR="00FA4AA8" w:rsidRDefault="00FA4AA8">
            <w:pPr>
              <w:pStyle w:val="TableParagraph"/>
              <w:spacing w:before="2"/>
              <w:rPr>
                <w:b/>
                <w:sz w:val="25"/>
              </w:rPr>
            </w:pPr>
          </w:p>
          <w:p w14:paraId="33589CE5" w14:textId="77777777" w:rsidR="00FA4AA8" w:rsidRDefault="0015611F">
            <w:pPr>
              <w:pStyle w:val="TableParagraph"/>
              <w:ind w:right="247"/>
              <w:jc w:val="right"/>
              <w:rPr>
                <w:b/>
                <w:sz w:val="18"/>
              </w:rPr>
            </w:pPr>
            <w:r>
              <w:rPr>
                <w:b/>
                <w:sz w:val="18"/>
              </w:rPr>
              <w:t>1,417,143</w:t>
            </w:r>
          </w:p>
        </w:tc>
        <w:tc>
          <w:tcPr>
            <w:tcW w:w="1135" w:type="dxa"/>
          </w:tcPr>
          <w:p w14:paraId="6987DA1A" w14:textId="77777777" w:rsidR="00FA4AA8" w:rsidRDefault="00FA4AA8">
            <w:pPr>
              <w:pStyle w:val="TableParagraph"/>
              <w:spacing w:before="2"/>
              <w:rPr>
                <w:b/>
                <w:sz w:val="25"/>
              </w:rPr>
            </w:pPr>
          </w:p>
          <w:p w14:paraId="1BC6FA47" w14:textId="77777777" w:rsidR="00FA4AA8" w:rsidRDefault="0015611F">
            <w:pPr>
              <w:pStyle w:val="TableParagraph"/>
              <w:ind w:right="85"/>
              <w:jc w:val="right"/>
              <w:rPr>
                <w:sz w:val="18"/>
              </w:rPr>
            </w:pPr>
            <w:r>
              <w:rPr>
                <w:sz w:val="18"/>
              </w:rPr>
              <w:t>1,465,424</w:t>
            </w:r>
          </w:p>
        </w:tc>
      </w:tr>
      <w:tr w:rsidR="00FA4AA8" w14:paraId="26484E5D" w14:textId="77777777">
        <w:trPr>
          <w:trHeight w:val="258"/>
        </w:trPr>
        <w:tc>
          <w:tcPr>
            <w:tcW w:w="7371" w:type="dxa"/>
          </w:tcPr>
          <w:p w14:paraId="28A38712" w14:textId="77777777" w:rsidR="00FA4AA8" w:rsidRDefault="0015611F">
            <w:pPr>
              <w:pStyle w:val="TableParagraph"/>
              <w:spacing w:before="26"/>
              <w:ind w:left="446"/>
              <w:rPr>
                <w:sz w:val="18"/>
              </w:rPr>
            </w:pPr>
            <w:r>
              <w:rPr>
                <w:sz w:val="18"/>
              </w:rPr>
              <w:t>Long service leave</w:t>
            </w:r>
          </w:p>
        </w:tc>
        <w:tc>
          <w:tcPr>
            <w:tcW w:w="1458" w:type="dxa"/>
            <w:tcBorders>
              <w:bottom w:val="single" w:sz="8" w:space="0" w:color="000000"/>
            </w:tcBorders>
          </w:tcPr>
          <w:p w14:paraId="2481925C" w14:textId="77777777" w:rsidR="00FA4AA8" w:rsidRDefault="0015611F">
            <w:pPr>
              <w:pStyle w:val="TableParagraph"/>
              <w:spacing w:before="25"/>
              <w:ind w:right="247"/>
              <w:jc w:val="right"/>
              <w:rPr>
                <w:b/>
                <w:sz w:val="18"/>
              </w:rPr>
            </w:pPr>
            <w:r>
              <w:rPr>
                <w:b/>
                <w:sz w:val="18"/>
              </w:rPr>
              <w:t>665,569</w:t>
            </w:r>
          </w:p>
        </w:tc>
        <w:tc>
          <w:tcPr>
            <w:tcW w:w="1135" w:type="dxa"/>
            <w:tcBorders>
              <w:bottom w:val="single" w:sz="8" w:space="0" w:color="000000"/>
            </w:tcBorders>
          </w:tcPr>
          <w:p w14:paraId="19D89E94" w14:textId="77777777" w:rsidR="00FA4AA8" w:rsidRDefault="0015611F">
            <w:pPr>
              <w:pStyle w:val="TableParagraph"/>
              <w:spacing w:before="25"/>
              <w:ind w:right="83"/>
              <w:jc w:val="right"/>
              <w:rPr>
                <w:sz w:val="18"/>
              </w:rPr>
            </w:pPr>
            <w:r>
              <w:rPr>
                <w:sz w:val="18"/>
              </w:rPr>
              <w:t>666,000</w:t>
            </w:r>
          </w:p>
        </w:tc>
      </w:tr>
      <w:tr w:rsidR="00FA4AA8" w14:paraId="4270565F" w14:textId="77777777">
        <w:trPr>
          <w:trHeight w:val="313"/>
        </w:trPr>
        <w:tc>
          <w:tcPr>
            <w:tcW w:w="7371" w:type="dxa"/>
          </w:tcPr>
          <w:p w14:paraId="3EF2FAE9" w14:textId="77777777" w:rsidR="00FA4AA8" w:rsidRDefault="0015611F">
            <w:pPr>
              <w:pStyle w:val="TableParagraph"/>
              <w:spacing w:before="113" w:line="180" w:lineRule="exact"/>
              <w:ind w:left="446"/>
              <w:rPr>
                <w:b/>
                <w:sz w:val="18"/>
              </w:rPr>
            </w:pPr>
            <w:r>
              <w:rPr>
                <w:b/>
                <w:sz w:val="18"/>
              </w:rPr>
              <w:t>Total current provisions</w:t>
            </w:r>
          </w:p>
        </w:tc>
        <w:tc>
          <w:tcPr>
            <w:tcW w:w="1458" w:type="dxa"/>
            <w:tcBorders>
              <w:top w:val="single" w:sz="8" w:space="0" w:color="000000"/>
              <w:bottom w:val="double" w:sz="3" w:space="0" w:color="000000"/>
            </w:tcBorders>
          </w:tcPr>
          <w:p w14:paraId="0A908E2C" w14:textId="77777777" w:rsidR="00FA4AA8" w:rsidRDefault="0015611F">
            <w:pPr>
              <w:pStyle w:val="TableParagraph"/>
              <w:spacing w:before="113" w:line="180" w:lineRule="exact"/>
              <w:ind w:right="247"/>
              <w:jc w:val="right"/>
              <w:rPr>
                <w:b/>
                <w:sz w:val="18"/>
              </w:rPr>
            </w:pPr>
            <w:r>
              <w:rPr>
                <w:b/>
                <w:sz w:val="18"/>
              </w:rPr>
              <w:t>2,082,712</w:t>
            </w:r>
          </w:p>
        </w:tc>
        <w:tc>
          <w:tcPr>
            <w:tcW w:w="1135" w:type="dxa"/>
            <w:tcBorders>
              <w:top w:val="single" w:sz="8" w:space="0" w:color="000000"/>
              <w:bottom w:val="double" w:sz="3" w:space="0" w:color="000000"/>
            </w:tcBorders>
          </w:tcPr>
          <w:p w14:paraId="66AAD312" w14:textId="77777777" w:rsidR="00FA4AA8" w:rsidRDefault="0015611F">
            <w:pPr>
              <w:pStyle w:val="TableParagraph"/>
              <w:spacing w:before="113" w:line="180" w:lineRule="exact"/>
              <w:ind w:right="85"/>
              <w:jc w:val="right"/>
              <w:rPr>
                <w:sz w:val="18"/>
              </w:rPr>
            </w:pPr>
            <w:r>
              <w:rPr>
                <w:sz w:val="18"/>
              </w:rPr>
              <w:t>2,131,424</w:t>
            </w:r>
          </w:p>
        </w:tc>
      </w:tr>
      <w:tr w:rsidR="00FA4AA8" w14:paraId="6470CF1D" w14:textId="77777777">
        <w:trPr>
          <w:trHeight w:val="509"/>
        </w:trPr>
        <w:tc>
          <w:tcPr>
            <w:tcW w:w="7371" w:type="dxa"/>
          </w:tcPr>
          <w:p w14:paraId="6AAE4583" w14:textId="77777777" w:rsidR="00FA4AA8" w:rsidRDefault="00FA4AA8">
            <w:pPr>
              <w:pStyle w:val="TableParagraph"/>
              <w:spacing w:before="3"/>
              <w:rPr>
                <w:b/>
                <w:sz w:val="26"/>
              </w:rPr>
            </w:pPr>
          </w:p>
          <w:p w14:paraId="3AADABF9" w14:textId="77777777" w:rsidR="00FA4AA8" w:rsidRDefault="0015611F">
            <w:pPr>
              <w:pStyle w:val="TableParagraph"/>
              <w:spacing w:line="187" w:lineRule="exact"/>
              <w:ind w:left="444"/>
              <w:rPr>
                <w:b/>
                <w:sz w:val="18"/>
              </w:rPr>
            </w:pPr>
            <w:r>
              <w:rPr>
                <w:b/>
                <w:sz w:val="18"/>
              </w:rPr>
              <w:t>Amounts not expected to be settled within the next 12 months</w:t>
            </w:r>
          </w:p>
        </w:tc>
        <w:tc>
          <w:tcPr>
            <w:tcW w:w="1458" w:type="dxa"/>
            <w:tcBorders>
              <w:top w:val="double" w:sz="3" w:space="0" w:color="000000"/>
            </w:tcBorders>
          </w:tcPr>
          <w:p w14:paraId="33AB5330" w14:textId="77777777" w:rsidR="00FA4AA8" w:rsidRDefault="00FA4AA8">
            <w:pPr>
              <w:pStyle w:val="TableParagraph"/>
              <w:rPr>
                <w:rFonts w:ascii="Times New Roman"/>
                <w:sz w:val="18"/>
              </w:rPr>
            </w:pPr>
          </w:p>
        </w:tc>
        <w:tc>
          <w:tcPr>
            <w:tcW w:w="1135" w:type="dxa"/>
            <w:tcBorders>
              <w:top w:val="double" w:sz="3" w:space="0" w:color="000000"/>
            </w:tcBorders>
          </w:tcPr>
          <w:p w14:paraId="4EA32936" w14:textId="77777777" w:rsidR="00FA4AA8" w:rsidRDefault="00FA4AA8">
            <w:pPr>
              <w:pStyle w:val="TableParagraph"/>
              <w:rPr>
                <w:rFonts w:ascii="Times New Roman"/>
                <w:sz w:val="18"/>
              </w:rPr>
            </w:pPr>
          </w:p>
        </w:tc>
      </w:tr>
    </w:tbl>
    <w:p w14:paraId="56C664D9" w14:textId="77777777" w:rsidR="00FA4AA8" w:rsidRDefault="00FA4AA8">
      <w:pPr>
        <w:pStyle w:val="BodyText"/>
        <w:spacing w:before="2"/>
        <w:rPr>
          <w:b/>
          <w:sz w:val="17"/>
        </w:rPr>
      </w:pPr>
    </w:p>
    <w:p w14:paraId="1417C675" w14:textId="77777777" w:rsidR="00FA4AA8" w:rsidRDefault="0015611F">
      <w:pPr>
        <w:pStyle w:val="BodyText"/>
        <w:spacing w:before="94" w:after="37"/>
        <w:ind w:left="565"/>
      </w:pPr>
      <w:r>
        <w:t>The current provision for employee benefits includes accrued annual leave. The entire amount of the provision is presented as current, since the Company does not have an unconditional right to defer settlement of any of these obligations. However, based on past experience, the Company does not expect all employees to take the full amount of accrued leave or require payment within the next 12 months. The following amounts reflect leave that is not expected to be taken or paid within the next 12 months.</w:t>
      </w:r>
    </w:p>
    <w:tbl>
      <w:tblPr>
        <w:tblW w:w="0" w:type="auto"/>
        <w:tblInd w:w="522" w:type="dxa"/>
        <w:tblLayout w:type="fixed"/>
        <w:tblCellMar>
          <w:left w:w="0" w:type="dxa"/>
          <w:right w:w="0" w:type="dxa"/>
        </w:tblCellMar>
        <w:tblLook w:val="01E0" w:firstRow="1" w:lastRow="1" w:firstColumn="1" w:lastColumn="1" w:noHBand="0" w:noVBand="0"/>
      </w:tblPr>
      <w:tblGrid>
        <w:gridCol w:w="6976"/>
        <w:gridCol w:w="1471"/>
        <w:gridCol w:w="1123"/>
      </w:tblGrid>
      <w:tr w:rsidR="00FA4AA8" w14:paraId="25A6FDC9" w14:textId="77777777">
        <w:trPr>
          <w:trHeight w:val="508"/>
        </w:trPr>
        <w:tc>
          <w:tcPr>
            <w:tcW w:w="6976" w:type="dxa"/>
          </w:tcPr>
          <w:p w14:paraId="6F252003" w14:textId="77777777" w:rsidR="00FA4AA8" w:rsidRDefault="00FA4AA8">
            <w:pPr>
              <w:pStyle w:val="TableParagraph"/>
              <w:rPr>
                <w:rFonts w:ascii="Times New Roman"/>
                <w:sz w:val="18"/>
              </w:rPr>
            </w:pPr>
          </w:p>
        </w:tc>
        <w:tc>
          <w:tcPr>
            <w:tcW w:w="1471" w:type="dxa"/>
          </w:tcPr>
          <w:p w14:paraId="7E4A050D" w14:textId="77777777" w:rsidR="00FA4AA8" w:rsidRDefault="0015611F">
            <w:pPr>
              <w:pStyle w:val="TableParagraph"/>
              <w:spacing w:line="201" w:lineRule="exact"/>
              <w:ind w:left="428" w:right="600"/>
              <w:jc w:val="center"/>
              <w:rPr>
                <w:b/>
                <w:sz w:val="18"/>
              </w:rPr>
            </w:pPr>
            <w:r>
              <w:rPr>
                <w:b/>
                <w:sz w:val="18"/>
              </w:rPr>
              <w:t>2018</w:t>
            </w:r>
          </w:p>
          <w:p w14:paraId="78B0CE90" w14:textId="77777777" w:rsidR="00FA4AA8" w:rsidRDefault="0015611F">
            <w:pPr>
              <w:pStyle w:val="TableParagraph"/>
              <w:spacing w:before="66"/>
              <w:ind w:right="170"/>
              <w:jc w:val="center"/>
              <w:rPr>
                <w:b/>
                <w:sz w:val="18"/>
              </w:rPr>
            </w:pPr>
            <w:r>
              <w:rPr>
                <w:b/>
                <w:sz w:val="18"/>
              </w:rPr>
              <w:t>$</w:t>
            </w:r>
          </w:p>
        </w:tc>
        <w:tc>
          <w:tcPr>
            <w:tcW w:w="1123" w:type="dxa"/>
          </w:tcPr>
          <w:p w14:paraId="31F15A7B" w14:textId="77777777" w:rsidR="00FA4AA8" w:rsidRDefault="0015611F">
            <w:pPr>
              <w:pStyle w:val="TableParagraph"/>
              <w:spacing w:line="201" w:lineRule="exact"/>
              <w:ind w:left="241" w:right="439"/>
              <w:jc w:val="center"/>
              <w:rPr>
                <w:b/>
                <w:sz w:val="18"/>
              </w:rPr>
            </w:pPr>
            <w:r>
              <w:rPr>
                <w:b/>
                <w:sz w:val="18"/>
              </w:rPr>
              <w:t>2017</w:t>
            </w:r>
          </w:p>
          <w:p w14:paraId="1328F761" w14:textId="77777777" w:rsidR="00FA4AA8" w:rsidRDefault="0015611F">
            <w:pPr>
              <w:pStyle w:val="TableParagraph"/>
              <w:spacing w:before="66"/>
              <w:ind w:right="196"/>
              <w:jc w:val="center"/>
              <w:rPr>
                <w:b/>
                <w:sz w:val="18"/>
              </w:rPr>
            </w:pPr>
            <w:r>
              <w:rPr>
                <w:b/>
                <w:sz w:val="18"/>
              </w:rPr>
              <w:t>$</w:t>
            </w:r>
          </w:p>
        </w:tc>
      </w:tr>
      <w:tr w:rsidR="00FA4AA8" w14:paraId="1E935111" w14:textId="77777777">
        <w:trPr>
          <w:trHeight w:val="276"/>
        </w:trPr>
        <w:tc>
          <w:tcPr>
            <w:tcW w:w="6976" w:type="dxa"/>
          </w:tcPr>
          <w:p w14:paraId="1262CEAE" w14:textId="77777777" w:rsidR="00FA4AA8" w:rsidRDefault="0015611F">
            <w:pPr>
              <w:pStyle w:val="TableParagraph"/>
              <w:spacing w:before="29"/>
              <w:ind w:left="50"/>
              <w:rPr>
                <w:sz w:val="18"/>
              </w:rPr>
            </w:pPr>
            <w:r>
              <w:rPr>
                <w:sz w:val="18"/>
              </w:rPr>
              <w:t>Annual leave obligations expected to be settled after 12 months</w:t>
            </w:r>
          </w:p>
        </w:tc>
        <w:tc>
          <w:tcPr>
            <w:tcW w:w="1471" w:type="dxa"/>
          </w:tcPr>
          <w:p w14:paraId="739FA7B3" w14:textId="77777777" w:rsidR="00FA4AA8" w:rsidRDefault="0015611F">
            <w:pPr>
              <w:pStyle w:val="TableParagraph"/>
              <w:spacing w:before="28"/>
              <w:ind w:right="260"/>
              <w:jc w:val="right"/>
              <w:rPr>
                <w:b/>
                <w:sz w:val="18"/>
              </w:rPr>
            </w:pPr>
            <w:r>
              <w:rPr>
                <w:b/>
                <w:sz w:val="18"/>
              </w:rPr>
              <w:t>159,889</w:t>
            </w:r>
          </w:p>
        </w:tc>
        <w:tc>
          <w:tcPr>
            <w:tcW w:w="1123" w:type="dxa"/>
          </w:tcPr>
          <w:p w14:paraId="4EF16A99" w14:textId="77777777" w:rsidR="00FA4AA8" w:rsidRDefault="0015611F">
            <w:pPr>
              <w:pStyle w:val="TableParagraph"/>
              <w:spacing w:before="28"/>
              <w:ind w:right="84"/>
              <w:jc w:val="right"/>
              <w:rPr>
                <w:sz w:val="18"/>
              </w:rPr>
            </w:pPr>
            <w:r>
              <w:rPr>
                <w:sz w:val="18"/>
              </w:rPr>
              <w:t>187,301</w:t>
            </w:r>
          </w:p>
        </w:tc>
      </w:tr>
      <w:tr w:rsidR="00FA4AA8" w14:paraId="00B38383" w14:textId="77777777">
        <w:trPr>
          <w:trHeight w:val="268"/>
        </w:trPr>
        <w:tc>
          <w:tcPr>
            <w:tcW w:w="6976" w:type="dxa"/>
          </w:tcPr>
          <w:p w14:paraId="1499B8B8" w14:textId="77777777" w:rsidR="00FA4AA8" w:rsidRDefault="0015611F">
            <w:pPr>
              <w:pStyle w:val="TableParagraph"/>
              <w:spacing w:before="35"/>
              <w:ind w:left="50"/>
              <w:rPr>
                <w:sz w:val="18"/>
              </w:rPr>
            </w:pPr>
            <w:r>
              <w:rPr>
                <w:sz w:val="18"/>
              </w:rPr>
              <w:t>Long service leave obligations expected to be settled after 12 months</w:t>
            </w:r>
          </w:p>
        </w:tc>
        <w:tc>
          <w:tcPr>
            <w:tcW w:w="1471" w:type="dxa"/>
            <w:tcBorders>
              <w:bottom w:val="single" w:sz="8" w:space="0" w:color="000000"/>
            </w:tcBorders>
          </w:tcPr>
          <w:p w14:paraId="68501F84" w14:textId="77777777" w:rsidR="00FA4AA8" w:rsidRDefault="0015611F">
            <w:pPr>
              <w:pStyle w:val="TableParagraph"/>
              <w:spacing w:before="34"/>
              <w:ind w:right="260"/>
              <w:jc w:val="right"/>
              <w:rPr>
                <w:b/>
                <w:sz w:val="18"/>
              </w:rPr>
            </w:pPr>
            <w:r>
              <w:rPr>
                <w:b/>
                <w:sz w:val="18"/>
              </w:rPr>
              <w:t>491,605</w:t>
            </w:r>
          </w:p>
        </w:tc>
        <w:tc>
          <w:tcPr>
            <w:tcW w:w="1123" w:type="dxa"/>
            <w:tcBorders>
              <w:bottom w:val="single" w:sz="8" w:space="0" w:color="000000"/>
            </w:tcBorders>
          </w:tcPr>
          <w:p w14:paraId="64D5FF64" w14:textId="77777777" w:rsidR="00FA4AA8" w:rsidRDefault="0015611F">
            <w:pPr>
              <w:pStyle w:val="TableParagraph"/>
              <w:spacing w:before="34"/>
              <w:ind w:right="84"/>
              <w:jc w:val="right"/>
              <w:rPr>
                <w:sz w:val="18"/>
              </w:rPr>
            </w:pPr>
            <w:r>
              <w:rPr>
                <w:sz w:val="18"/>
              </w:rPr>
              <w:t>428,713</w:t>
            </w:r>
          </w:p>
        </w:tc>
      </w:tr>
      <w:tr w:rsidR="00FA4AA8" w14:paraId="3FE7C5DF" w14:textId="77777777">
        <w:trPr>
          <w:trHeight w:val="313"/>
        </w:trPr>
        <w:tc>
          <w:tcPr>
            <w:tcW w:w="6976" w:type="dxa"/>
          </w:tcPr>
          <w:p w14:paraId="01C8E673" w14:textId="77777777" w:rsidR="00FA4AA8" w:rsidRDefault="00FA4AA8">
            <w:pPr>
              <w:pStyle w:val="TableParagraph"/>
              <w:rPr>
                <w:rFonts w:ascii="Times New Roman"/>
                <w:sz w:val="18"/>
              </w:rPr>
            </w:pPr>
          </w:p>
        </w:tc>
        <w:tc>
          <w:tcPr>
            <w:tcW w:w="1471" w:type="dxa"/>
            <w:tcBorders>
              <w:top w:val="single" w:sz="8" w:space="0" w:color="000000"/>
              <w:bottom w:val="double" w:sz="3" w:space="0" w:color="000000"/>
            </w:tcBorders>
          </w:tcPr>
          <w:p w14:paraId="133D838D" w14:textId="77777777" w:rsidR="00FA4AA8" w:rsidRDefault="0015611F">
            <w:pPr>
              <w:pStyle w:val="TableParagraph"/>
              <w:spacing w:before="113" w:line="180" w:lineRule="exact"/>
              <w:ind w:right="260"/>
              <w:jc w:val="right"/>
              <w:rPr>
                <w:b/>
                <w:sz w:val="18"/>
              </w:rPr>
            </w:pPr>
            <w:r>
              <w:rPr>
                <w:b/>
                <w:sz w:val="18"/>
              </w:rPr>
              <w:t>651,494</w:t>
            </w:r>
          </w:p>
        </w:tc>
        <w:tc>
          <w:tcPr>
            <w:tcW w:w="1123" w:type="dxa"/>
            <w:tcBorders>
              <w:top w:val="single" w:sz="8" w:space="0" w:color="000000"/>
              <w:bottom w:val="double" w:sz="3" w:space="0" w:color="000000"/>
            </w:tcBorders>
          </w:tcPr>
          <w:p w14:paraId="39EC78EC" w14:textId="77777777" w:rsidR="00FA4AA8" w:rsidRDefault="0015611F">
            <w:pPr>
              <w:pStyle w:val="TableParagraph"/>
              <w:spacing w:before="113" w:line="180" w:lineRule="exact"/>
              <w:ind w:right="84"/>
              <w:jc w:val="right"/>
              <w:rPr>
                <w:sz w:val="18"/>
              </w:rPr>
            </w:pPr>
            <w:r>
              <w:rPr>
                <w:sz w:val="18"/>
              </w:rPr>
              <w:t>616,014</w:t>
            </w:r>
          </w:p>
        </w:tc>
      </w:tr>
      <w:tr w:rsidR="00FA4AA8" w14:paraId="564A684B" w14:textId="77777777">
        <w:trPr>
          <w:trHeight w:val="545"/>
        </w:trPr>
        <w:tc>
          <w:tcPr>
            <w:tcW w:w="6976" w:type="dxa"/>
          </w:tcPr>
          <w:p w14:paraId="399ECCC9" w14:textId="77777777" w:rsidR="00FA4AA8" w:rsidRDefault="00FA4AA8">
            <w:pPr>
              <w:pStyle w:val="TableParagraph"/>
              <w:rPr>
                <w:rFonts w:ascii="Times New Roman"/>
                <w:sz w:val="18"/>
              </w:rPr>
            </w:pPr>
          </w:p>
        </w:tc>
        <w:tc>
          <w:tcPr>
            <w:tcW w:w="1471" w:type="dxa"/>
            <w:tcBorders>
              <w:top w:val="double" w:sz="3" w:space="0" w:color="000000"/>
            </w:tcBorders>
          </w:tcPr>
          <w:p w14:paraId="1C230D85" w14:textId="77777777" w:rsidR="00FA4AA8" w:rsidRDefault="00FA4AA8">
            <w:pPr>
              <w:pStyle w:val="TableParagraph"/>
              <w:spacing w:before="3"/>
              <w:rPr>
                <w:sz w:val="26"/>
              </w:rPr>
            </w:pPr>
          </w:p>
          <w:p w14:paraId="07CA5A45" w14:textId="77777777" w:rsidR="00FA4AA8" w:rsidRDefault="0015611F">
            <w:pPr>
              <w:pStyle w:val="TableParagraph"/>
              <w:ind w:left="472"/>
              <w:rPr>
                <w:b/>
                <w:sz w:val="18"/>
              </w:rPr>
            </w:pPr>
            <w:r>
              <w:rPr>
                <w:b/>
                <w:sz w:val="18"/>
              </w:rPr>
              <w:t>2018</w:t>
            </w:r>
          </w:p>
        </w:tc>
        <w:tc>
          <w:tcPr>
            <w:tcW w:w="1123" w:type="dxa"/>
            <w:tcBorders>
              <w:top w:val="double" w:sz="3" w:space="0" w:color="000000"/>
            </w:tcBorders>
          </w:tcPr>
          <w:p w14:paraId="78F5D052" w14:textId="77777777" w:rsidR="00FA4AA8" w:rsidRDefault="00FA4AA8">
            <w:pPr>
              <w:pStyle w:val="TableParagraph"/>
              <w:spacing w:before="3"/>
              <w:rPr>
                <w:sz w:val="26"/>
              </w:rPr>
            </w:pPr>
          </w:p>
          <w:p w14:paraId="0945D008" w14:textId="77777777" w:rsidR="00FA4AA8" w:rsidRDefault="0015611F">
            <w:pPr>
              <w:pStyle w:val="TableParagraph"/>
              <w:ind w:left="283"/>
              <w:rPr>
                <w:b/>
                <w:sz w:val="18"/>
              </w:rPr>
            </w:pPr>
            <w:r>
              <w:rPr>
                <w:b/>
                <w:sz w:val="18"/>
              </w:rPr>
              <w:t>2017</w:t>
            </w:r>
          </w:p>
        </w:tc>
      </w:tr>
      <w:tr w:rsidR="00FA4AA8" w14:paraId="57E51934" w14:textId="77777777">
        <w:trPr>
          <w:trHeight w:val="270"/>
        </w:trPr>
        <w:tc>
          <w:tcPr>
            <w:tcW w:w="6976" w:type="dxa"/>
          </w:tcPr>
          <w:p w14:paraId="7F8FF795" w14:textId="77777777" w:rsidR="00FA4AA8" w:rsidRDefault="00FA4AA8">
            <w:pPr>
              <w:pStyle w:val="TableParagraph"/>
              <w:rPr>
                <w:rFonts w:ascii="Times New Roman"/>
                <w:sz w:val="18"/>
              </w:rPr>
            </w:pPr>
          </w:p>
        </w:tc>
        <w:tc>
          <w:tcPr>
            <w:tcW w:w="1471" w:type="dxa"/>
          </w:tcPr>
          <w:p w14:paraId="511A1660" w14:textId="77777777" w:rsidR="00FA4AA8" w:rsidRDefault="0015611F">
            <w:pPr>
              <w:pStyle w:val="TableParagraph"/>
              <w:spacing w:before="30"/>
              <w:ind w:right="124"/>
              <w:jc w:val="center"/>
              <w:rPr>
                <w:b/>
                <w:sz w:val="18"/>
              </w:rPr>
            </w:pPr>
            <w:r>
              <w:rPr>
                <w:b/>
                <w:sz w:val="18"/>
              </w:rPr>
              <w:t>$</w:t>
            </w:r>
          </w:p>
        </w:tc>
        <w:tc>
          <w:tcPr>
            <w:tcW w:w="1123" w:type="dxa"/>
          </w:tcPr>
          <w:p w14:paraId="70D93577" w14:textId="77777777" w:rsidR="00FA4AA8" w:rsidRDefault="0015611F">
            <w:pPr>
              <w:pStyle w:val="TableParagraph"/>
              <w:spacing w:before="30"/>
              <w:ind w:left="433"/>
              <w:rPr>
                <w:b/>
                <w:sz w:val="18"/>
              </w:rPr>
            </w:pPr>
            <w:r>
              <w:rPr>
                <w:b/>
                <w:sz w:val="18"/>
              </w:rPr>
              <w:t>$</w:t>
            </w:r>
          </w:p>
        </w:tc>
      </w:tr>
      <w:tr w:rsidR="00FA4AA8" w14:paraId="196E238A" w14:textId="77777777">
        <w:trPr>
          <w:trHeight w:val="519"/>
        </w:trPr>
        <w:tc>
          <w:tcPr>
            <w:tcW w:w="6976" w:type="dxa"/>
          </w:tcPr>
          <w:p w14:paraId="0B04CD37" w14:textId="77777777" w:rsidR="00FA4AA8" w:rsidRDefault="0015611F">
            <w:pPr>
              <w:pStyle w:val="TableParagraph"/>
              <w:spacing w:before="27"/>
              <w:ind w:left="89"/>
              <w:rPr>
                <w:b/>
                <w:sz w:val="18"/>
              </w:rPr>
            </w:pPr>
            <w:r>
              <w:rPr>
                <w:b/>
                <w:sz w:val="18"/>
              </w:rPr>
              <w:t>Non-Current</w:t>
            </w:r>
          </w:p>
          <w:p w14:paraId="52416AFB" w14:textId="77777777" w:rsidR="00FA4AA8" w:rsidRDefault="0015611F">
            <w:pPr>
              <w:pStyle w:val="TableParagraph"/>
              <w:spacing w:before="57"/>
              <w:ind w:left="89"/>
              <w:rPr>
                <w:sz w:val="18"/>
              </w:rPr>
            </w:pPr>
            <w:r>
              <w:rPr>
                <w:sz w:val="18"/>
              </w:rPr>
              <w:t>Long service leave</w:t>
            </w:r>
          </w:p>
        </w:tc>
        <w:tc>
          <w:tcPr>
            <w:tcW w:w="1471" w:type="dxa"/>
            <w:tcBorders>
              <w:bottom w:val="double" w:sz="3" w:space="0" w:color="000000"/>
            </w:tcBorders>
          </w:tcPr>
          <w:p w14:paraId="32B1FB46" w14:textId="77777777" w:rsidR="00FA4AA8" w:rsidRDefault="00FA4AA8">
            <w:pPr>
              <w:pStyle w:val="TableParagraph"/>
              <w:spacing w:before="2"/>
              <w:rPr>
                <w:sz w:val="25"/>
              </w:rPr>
            </w:pPr>
          </w:p>
          <w:p w14:paraId="710168F8" w14:textId="77777777" w:rsidR="00FA4AA8" w:rsidRDefault="0015611F">
            <w:pPr>
              <w:pStyle w:val="TableParagraph"/>
              <w:ind w:right="258"/>
              <w:jc w:val="right"/>
              <w:rPr>
                <w:b/>
                <w:sz w:val="18"/>
              </w:rPr>
            </w:pPr>
            <w:r>
              <w:rPr>
                <w:b/>
                <w:sz w:val="18"/>
              </w:rPr>
              <w:t>851,023</w:t>
            </w:r>
          </w:p>
        </w:tc>
        <w:tc>
          <w:tcPr>
            <w:tcW w:w="1123" w:type="dxa"/>
            <w:tcBorders>
              <w:bottom w:val="double" w:sz="3" w:space="0" w:color="000000"/>
            </w:tcBorders>
          </w:tcPr>
          <w:p w14:paraId="5E24E94E" w14:textId="77777777" w:rsidR="00FA4AA8" w:rsidRDefault="00FA4AA8">
            <w:pPr>
              <w:pStyle w:val="TableParagraph"/>
              <w:spacing w:before="2"/>
              <w:rPr>
                <w:sz w:val="25"/>
              </w:rPr>
            </w:pPr>
          </w:p>
          <w:p w14:paraId="49172EE0" w14:textId="77777777" w:rsidR="00FA4AA8" w:rsidRDefault="0015611F">
            <w:pPr>
              <w:pStyle w:val="TableParagraph"/>
              <w:ind w:right="85"/>
              <w:jc w:val="right"/>
              <w:rPr>
                <w:sz w:val="18"/>
              </w:rPr>
            </w:pPr>
            <w:r>
              <w:rPr>
                <w:sz w:val="18"/>
              </w:rPr>
              <w:t>752,000</w:t>
            </w:r>
          </w:p>
        </w:tc>
      </w:tr>
      <w:tr w:rsidR="00FA4AA8" w14:paraId="17793306" w14:textId="77777777">
        <w:trPr>
          <w:trHeight w:val="509"/>
        </w:trPr>
        <w:tc>
          <w:tcPr>
            <w:tcW w:w="6976" w:type="dxa"/>
          </w:tcPr>
          <w:p w14:paraId="315628A5" w14:textId="77777777" w:rsidR="00FA4AA8" w:rsidRDefault="00FA4AA8">
            <w:pPr>
              <w:pStyle w:val="TableParagraph"/>
              <w:spacing w:before="3"/>
              <w:rPr>
                <w:sz w:val="26"/>
              </w:rPr>
            </w:pPr>
          </w:p>
          <w:p w14:paraId="51620EAB" w14:textId="77777777" w:rsidR="00FA4AA8" w:rsidRDefault="0015611F">
            <w:pPr>
              <w:pStyle w:val="TableParagraph"/>
              <w:spacing w:line="187" w:lineRule="exact"/>
              <w:ind w:left="50"/>
              <w:rPr>
                <w:i/>
                <w:sz w:val="18"/>
              </w:rPr>
            </w:pPr>
            <w:r>
              <w:rPr>
                <w:i/>
                <w:sz w:val="18"/>
                <w:u w:val="single"/>
              </w:rPr>
              <w:t>Accounting Policy</w:t>
            </w:r>
          </w:p>
        </w:tc>
        <w:tc>
          <w:tcPr>
            <w:tcW w:w="1471" w:type="dxa"/>
            <w:tcBorders>
              <w:top w:val="double" w:sz="3" w:space="0" w:color="000000"/>
            </w:tcBorders>
          </w:tcPr>
          <w:p w14:paraId="39D98FF6" w14:textId="77777777" w:rsidR="00FA4AA8" w:rsidRDefault="00FA4AA8">
            <w:pPr>
              <w:pStyle w:val="TableParagraph"/>
              <w:rPr>
                <w:rFonts w:ascii="Times New Roman"/>
                <w:sz w:val="18"/>
              </w:rPr>
            </w:pPr>
          </w:p>
        </w:tc>
        <w:tc>
          <w:tcPr>
            <w:tcW w:w="1123" w:type="dxa"/>
            <w:tcBorders>
              <w:top w:val="double" w:sz="3" w:space="0" w:color="000000"/>
            </w:tcBorders>
          </w:tcPr>
          <w:p w14:paraId="6A74A209" w14:textId="77777777" w:rsidR="00FA4AA8" w:rsidRDefault="00FA4AA8">
            <w:pPr>
              <w:pStyle w:val="TableParagraph"/>
              <w:rPr>
                <w:rFonts w:ascii="Times New Roman"/>
                <w:sz w:val="18"/>
              </w:rPr>
            </w:pPr>
          </w:p>
        </w:tc>
      </w:tr>
    </w:tbl>
    <w:p w14:paraId="1FA73B68" w14:textId="77777777" w:rsidR="00FA4AA8" w:rsidRDefault="00FA4AA8">
      <w:pPr>
        <w:pStyle w:val="BodyText"/>
        <w:spacing w:before="4"/>
        <w:rPr>
          <w:sz w:val="25"/>
        </w:rPr>
      </w:pPr>
    </w:p>
    <w:p w14:paraId="6D9ED088" w14:textId="77777777" w:rsidR="00FA4AA8" w:rsidRDefault="0015611F">
      <w:pPr>
        <w:pStyle w:val="BodyText"/>
        <w:ind w:left="564" w:right="201"/>
      </w:pPr>
      <w:r>
        <w:t>Liabilities for short-term employee benefits including wages and salaries and non-monetary benefits are measured at the amount expected to be paid when the liability is settled, if it is expected to be settled wholly before 12 months after the end of the reporting period, and is recognised in other payables. Liabilities for non-accumulating sick leave are recognised when the leave is taken and measured at the rates payable.</w:t>
      </w:r>
    </w:p>
    <w:p w14:paraId="00B2E3C0" w14:textId="77777777" w:rsidR="00FA4AA8" w:rsidRDefault="00FA4AA8">
      <w:pPr>
        <w:pStyle w:val="BodyText"/>
        <w:spacing w:before="10"/>
        <w:rPr>
          <w:sz w:val="24"/>
        </w:rPr>
      </w:pPr>
    </w:p>
    <w:p w14:paraId="69D7F76B" w14:textId="77777777" w:rsidR="00FA4AA8" w:rsidRDefault="0015611F">
      <w:pPr>
        <w:pStyle w:val="BodyText"/>
        <w:ind w:left="564"/>
      </w:pPr>
      <w:r>
        <w:t>The liability for other long-term benefits are those that are not expected to be settled wholly before 12 months after the end of the annual reporting period. Other long term employee benefits include such things as annual leave and long service leave.</w:t>
      </w:r>
    </w:p>
    <w:p w14:paraId="1D3BA655" w14:textId="77777777" w:rsidR="00FA4AA8" w:rsidRDefault="00FA4AA8">
      <w:pPr>
        <w:pStyle w:val="BodyText"/>
        <w:spacing w:before="10"/>
        <w:rPr>
          <w:sz w:val="24"/>
        </w:rPr>
      </w:pPr>
    </w:p>
    <w:p w14:paraId="1468BD62" w14:textId="77777777" w:rsidR="00FA4AA8" w:rsidRDefault="0015611F">
      <w:pPr>
        <w:pStyle w:val="BodyText"/>
        <w:ind w:left="564" w:right="125"/>
      </w:pPr>
      <w:r>
        <w:t>It is measured at the present value of expected future payments to be made in respect of services provided by employees up to the reporting date using the projected unit credit method. Consideration is given to expected future wages and salary levels, experience of employee departures and periods of service. Expected future payments are discounted using market yields at the reporting date on national government bonds with terms to maturity and currency that match, as closely as possible, the estimated future cash flows.</w:t>
      </w:r>
    </w:p>
    <w:p w14:paraId="11361C6A" w14:textId="77777777" w:rsidR="00FA4AA8" w:rsidRDefault="00FA4AA8">
      <w:pPr>
        <w:pStyle w:val="BodyText"/>
        <w:spacing w:before="9"/>
        <w:rPr>
          <w:sz w:val="24"/>
        </w:rPr>
      </w:pPr>
    </w:p>
    <w:p w14:paraId="63ECD0BE" w14:textId="77777777" w:rsidR="00FA4AA8" w:rsidRDefault="0015611F">
      <w:pPr>
        <w:pStyle w:val="BodyText"/>
        <w:spacing w:before="1"/>
        <w:ind w:left="564" w:right="345"/>
        <w:jc w:val="both"/>
      </w:pPr>
      <w:r>
        <w:t>Regardless</w:t>
      </w:r>
      <w:r>
        <w:rPr>
          <w:spacing w:val="-6"/>
        </w:rPr>
        <w:t xml:space="preserve"> </w:t>
      </w:r>
      <w:r>
        <w:t>of</w:t>
      </w:r>
      <w:r>
        <w:rPr>
          <w:spacing w:val="-5"/>
        </w:rPr>
        <w:t xml:space="preserve"> </w:t>
      </w:r>
      <w:r>
        <w:t>the</w:t>
      </w:r>
      <w:r>
        <w:rPr>
          <w:spacing w:val="-6"/>
        </w:rPr>
        <w:t xml:space="preserve"> </w:t>
      </w:r>
      <w:r>
        <w:t>expected</w:t>
      </w:r>
      <w:r>
        <w:rPr>
          <w:spacing w:val="-5"/>
        </w:rPr>
        <w:t xml:space="preserve"> </w:t>
      </w:r>
      <w:r>
        <w:t>timing</w:t>
      </w:r>
      <w:r>
        <w:rPr>
          <w:spacing w:val="-5"/>
        </w:rPr>
        <w:t xml:space="preserve"> </w:t>
      </w:r>
      <w:r>
        <w:t>of</w:t>
      </w:r>
      <w:r>
        <w:rPr>
          <w:spacing w:val="-6"/>
        </w:rPr>
        <w:t xml:space="preserve"> </w:t>
      </w:r>
      <w:r>
        <w:t>settlements,</w:t>
      </w:r>
      <w:r>
        <w:rPr>
          <w:spacing w:val="-5"/>
        </w:rPr>
        <w:t xml:space="preserve"> </w:t>
      </w:r>
      <w:r>
        <w:t>provisions</w:t>
      </w:r>
      <w:r>
        <w:rPr>
          <w:spacing w:val="-6"/>
        </w:rPr>
        <w:t xml:space="preserve"> </w:t>
      </w:r>
      <w:r>
        <w:t>made</w:t>
      </w:r>
      <w:r>
        <w:rPr>
          <w:spacing w:val="-5"/>
        </w:rPr>
        <w:t xml:space="preserve"> </w:t>
      </w:r>
      <w:r>
        <w:t>in</w:t>
      </w:r>
      <w:r>
        <w:rPr>
          <w:spacing w:val="-5"/>
        </w:rPr>
        <w:t xml:space="preserve"> </w:t>
      </w:r>
      <w:r>
        <w:t>respect</w:t>
      </w:r>
      <w:r>
        <w:rPr>
          <w:spacing w:val="-6"/>
        </w:rPr>
        <w:t xml:space="preserve"> </w:t>
      </w:r>
      <w:r>
        <w:t>of</w:t>
      </w:r>
      <w:r>
        <w:rPr>
          <w:spacing w:val="-5"/>
        </w:rPr>
        <w:t xml:space="preserve"> </w:t>
      </w:r>
      <w:r>
        <w:t>employee</w:t>
      </w:r>
      <w:r>
        <w:rPr>
          <w:spacing w:val="-5"/>
        </w:rPr>
        <w:t xml:space="preserve"> </w:t>
      </w:r>
      <w:r>
        <w:t>benefits</w:t>
      </w:r>
      <w:r>
        <w:rPr>
          <w:spacing w:val="-6"/>
        </w:rPr>
        <w:t xml:space="preserve"> </w:t>
      </w:r>
      <w:r>
        <w:t>are</w:t>
      </w:r>
      <w:r>
        <w:rPr>
          <w:spacing w:val="-5"/>
        </w:rPr>
        <w:t xml:space="preserve"> </w:t>
      </w:r>
      <w:r>
        <w:t>classified</w:t>
      </w:r>
      <w:r>
        <w:rPr>
          <w:spacing w:val="-6"/>
        </w:rPr>
        <w:t xml:space="preserve"> </w:t>
      </w:r>
      <w:r>
        <w:t>as</w:t>
      </w:r>
      <w:r>
        <w:rPr>
          <w:spacing w:val="-5"/>
        </w:rPr>
        <w:t xml:space="preserve"> </w:t>
      </w:r>
      <w:r>
        <w:t>a current liability, unless there is an unconditional right to defer the settlement of the liability for at least 12 months after the reporting date, in which case it be classified as a non-current</w:t>
      </w:r>
      <w:r>
        <w:rPr>
          <w:spacing w:val="-21"/>
        </w:rPr>
        <w:t xml:space="preserve"> </w:t>
      </w:r>
      <w:r>
        <w:t>liability.</w:t>
      </w:r>
    </w:p>
    <w:p w14:paraId="0F10F8BF" w14:textId="77777777" w:rsidR="00FA4AA8" w:rsidRDefault="00FA4AA8">
      <w:pPr>
        <w:jc w:val="both"/>
        <w:sectPr w:rsidR="00FA4AA8">
          <w:pgSz w:w="11910" w:h="16840"/>
          <w:pgMar w:top="1720" w:right="840" w:bottom="720" w:left="840" w:header="1017" w:footer="523" w:gutter="0"/>
          <w:cols w:space="720"/>
        </w:sectPr>
      </w:pPr>
    </w:p>
    <w:p w14:paraId="19236432" w14:textId="77777777" w:rsidR="00FA4AA8" w:rsidRDefault="00FA4AA8">
      <w:pPr>
        <w:pStyle w:val="BodyText"/>
        <w:rPr>
          <w:sz w:val="20"/>
        </w:rPr>
      </w:pPr>
    </w:p>
    <w:p w14:paraId="7DC79D77" w14:textId="77777777" w:rsidR="00FA4AA8" w:rsidRDefault="00FA4AA8">
      <w:pPr>
        <w:pStyle w:val="BodyText"/>
        <w:spacing w:before="9"/>
        <w:rPr>
          <w:sz w:val="29"/>
        </w:rPr>
      </w:pPr>
    </w:p>
    <w:p w14:paraId="6DF0CD1F" w14:textId="77777777" w:rsidR="00FA4AA8" w:rsidRDefault="00FA4AA8">
      <w:pPr>
        <w:rPr>
          <w:sz w:val="29"/>
        </w:rPr>
        <w:sectPr w:rsidR="00FA4AA8">
          <w:headerReference w:type="default" r:id="rId92"/>
          <w:footerReference w:type="default" r:id="rId93"/>
          <w:pgSz w:w="11910" w:h="16840"/>
          <w:pgMar w:top="2700" w:right="840" w:bottom="720" w:left="840" w:header="1017" w:footer="523" w:gutter="0"/>
          <w:pgNumType w:start="110"/>
          <w:cols w:space="720"/>
        </w:sectPr>
      </w:pPr>
    </w:p>
    <w:p w14:paraId="49FA17DF" w14:textId="77777777" w:rsidR="00FA4AA8" w:rsidRDefault="0015611F">
      <w:pPr>
        <w:numPr>
          <w:ilvl w:val="0"/>
          <w:numId w:val="64"/>
        </w:numPr>
        <w:tabs>
          <w:tab w:val="left" w:pos="564"/>
        </w:tabs>
        <w:spacing w:before="94"/>
        <w:rPr>
          <w:b/>
          <w:sz w:val="18"/>
        </w:rPr>
      </w:pPr>
      <w:bookmarkStart w:id="131" w:name="Contingent_Liabilities"/>
      <w:bookmarkStart w:id="132" w:name="11_Other_liabilities_"/>
      <w:bookmarkEnd w:id="131"/>
      <w:bookmarkEnd w:id="132"/>
      <w:r>
        <w:rPr>
          <w:b/>
          <w:sz w:val="18"/>
        </w:rPr>
        <w:t>Other liabilities</w:t>
      </w:r>
    </w:p>
    <w:p w14:paraId="1A72985C" w14:textId="77777777" w:rsidR="00FA4AA8" w:rsidRDefault="00FA4AA8">
      <w:pPr>
        <w:pStyle w:val="BodyText"/>
        <w:rPr>
          <w:b/>
          <w:sz w:val="20"/>
        </w:rPr>
      </w:pPr>
    </w:p>
    <w:p w14:paraId="394BCCCD" w14:textId="77777777" w:rsidR="00FA4AA8" w:rsidRDefault="00FA4AA8">
      <w:pPr>
        <w:pStyle w:val="BodyText"/>
        <w:rPr>
          <w:b/>
          <w:sz w:val="20"/>
        </w:rPr>
      </w:pPr>
    </w:p>
    <w:p w14:paraId="2BFCA3F9" w14:textId="77777777" w:rsidR="00FA4AA8" w:rsidRDefault="00FA4AA8">
      <w:pPr>
        <w:pStyle w:val="BodyText"/>
        <w:spacing w:before="4"/>
        <w:rPr>
          <w:b/>
          <w:sz w:val="17"/>
        </w:rPr>
      </w:pPr>
    </w:p>
    <w:p w14:paraId="162B5696" w14:textId="77777777" w:rsidR="00FA4AA8" w:rsidRDefault="0015611F">
      <w:pPr>
        <w:ind w:left="565"/>
        <w:rPr>
          <w:b/>
          <w:sz w:val="18"/>
        </w:rPr>
      </w:pPr>
      <w:r>
        <w:rPr>
          <w:b/>
          <w:sz w:val="18"/>
        </w:rPr>
        <w:t>Current</w:t>
      </w:r>
    </w:p>
    <w:p w14:paraId="17A564C7" w14:textId="77777777" w:rsidR="00FA4AA8" w:rsidRDefault="0015611F">
      <w:pPr>
        <w:pStyle w:val="BodyText"/>
        <w:rPr>
          <w:b/>
          <w:sz w:val="29"/>
        </w:rPr>
      </w:pPr>
      <w:r>
        <w:br w:type="column"/>
      </w:r>
    </w:p>
    <w:p w14:paraId="3F17E72E" w14:textId="77777777" w:rsidR="00FA4AA8" w:rsidRDefault="0015611F">
      <w:pPr>
        <w:ind w:left="148" w:right="19"/>
        <w:jc w:val="center"/>
        <w:rPr>
          <w:b/>
          <w:sz w:val="18"/>
        </w:rPr>
      </w:pPr>
      <w:r>
        <w:rPr>
          <w:b/>
          <w:sz w:val="18"/>
        </w:rPr>
        <w:t>2018</w:t>
      </w:r>
    </w:p>
    <w:p w14:paraId="130CB518" w14:textId="77777777" w:rsidR="00FA4AA8" w:rsidRDefault="0015611F">
      <w:pPr>
        <w:spacing w:before="67"/>
        <w:ind w:left="130"/>
        <w:jc w:val="center"/>
        <w:rPr>
          <w:b/>
          <w:sz w:val="18"/>
        </w:rPr>
      </w:pPr>
      <w:r>
        <w:rPr>
          <w:b/>
          <w:sz w:val="18"/>
        </w:rPr>
        <w:t>$</w:t>
      </w:r>
    </w:p>
    <w:p w14:paraId="698C03FA" w14:textId="77777777" w:rsidR="00FA4AA8" w:rsidRDefault="0015611F">
      <w:pPr>
        <w:pStyle w:val="BodyText"/>
        <w:rPr>
          <w:b/>
          <w:sz w:val="29"/>
        </w:rPr>
      </w:pPr>
      <w:r>
        <w:br w:type="column"/>
      </w:r>
    </w:p>
    <w:p w14:paraId="3B8178BE" w14:textId="77777777" w:rsidR="00FA4AA8" w:rsidRDefault="0015611F">
      <w:pPr>
        <w:ind w:left="151" w:right="582"/>
        <w:jc w:val="center"/>
        <w:rPr>
          <w:b/>
          <w:sz w:val="18"/>
        </w:rPr>
      </w:pPr>
      <w:r>
        <w:rPr>
          <w:b/>
          <w:sz w:val="18"/>
        </w:rPr>
        <w:t>2017</w:t>
      </w:r>
    </w:p>
    <w:p w14:paraId="7101F294" w14:textId="77777777" w:rsidR="00FA4AA8" w:rsidRDefault="0015611F">
      <w:pPr>
        <w:spacing w:before="67"/>
        <w:ind w:right="429"/>
        <w:jc w:val="center"/>
        <w:rPr>
          <w:b/>
          <w:sz w:val="18"/>
        </w:rPr>
      </w:pPr>
      <w:r>
        <w:rPr>
          <w:b/>
          <w:sz w:val="18"/>
        </w:rPr>
        <w:t>$</w:t>
      </w:r>
    </w:p>
    <w:p w14:paraId="72C404A2" w14:textId="77777777" w:rsidR="00FA4AA8" w:rsidRDefault="00FA4AA8">
      <w:pPr>
        <w:jc w:val="center"/>
        <w:rPr>
          <w:sz w:val="18"/>
        </w:rPr>
        <w:sectPr w:rsidR="00FA4AA8">
          <w:type w:val="continuous"/>
          <w:pgSz w:w="11910" w:h="16840"/>
          <w:pgMar w:top="20" w:right="840" w:bottom="0" w:left="840" w:header="720" w:footer="720" w:gutter="0"/>
          <w:cols w:num="3" w:space="720" w:equalWidth="0">
            <w:col w:w="1908" w:space="5885"/>
            <w:col w:w="608" w:space="654"/>
            <w:col w:w="1175"/>
          </w:cols>
        </w:sectPr>
      </w:pPr>
    </w:p>
    <w:p w14:paraId="64F2B834" w14:textId="77777777" w:rsidR="00FA4AA8" w:rsidRDefault="0015611F">
      <w:pPr>
        <w:tabs>
          <w:tab w:val="left" w:pos="8051"/>
          <w:tab w:val="left" w:pos="9350"/>
        </w:tabs>
        <w:spacing w:before="28"/>
        <w:ind w:left="565"/>
        <w:rPr>
          <w:sz w:val="18"/>
        </w:rPr>
      </w:pPr>
      <w:r>
        <w:rPr>
          <w:sz w:val="18"/>
        </w:rPr>
        <w:t>Accrued</w:t>
      </w:r>
      <w:r>
        <w:rPr>
          <w:spacing w:val="-5"/>
          <w:sz w:val="18"/>
        </w:rPr>
        <w:t xml:space="preserve"> </w:t>
      </w:r>
      <w:r>
        <w:rPr>
          <w:sz w:val="18"/>
        </w:rPr>
        <w:t>taxes</w:t>
      </w:r>
      <w:r>
        <w:rPr>
          <w:sz w:val="18"/>
        </w:rPr>
        <w:tab/>
      </w:r>
      <w:r>
        <w:rPr>
          <w:b/>
          <w:sz w:val="18"/>
        </w:rPr>
        <w:t>400,240</w:t>
      </w:r>
      <w:r>
        <w:rPr>
          <w:b/>
          <w:sz w:val="18"/>
        </w:rPr>
        <w:tab/>
      </w:r>
      <w:r>
        <w:rPr>
          <w:sz w:val="18"/>
        </w:rPr>
        <w:t>409,180</w:t>
      </w:r>
    </w:p>
    <w:p w14:paraId="4E919EBF" w14:textId="77777777" w:rsidR="00FA4AA8" w:rsidRDefault="007E2441">
      <w:pPr>
        <w:tabs>
          <w:tab w:val="left" w:pos="8151"/>
          <w:tab w:val="left" w:pos="9350"/>
        </w:tabs>
        <w:spacing w:before="57"/>
        <w:ind w:left="565"/>
        <w:rPr>
          <w:sz w:val="18"/>
        </w:rPr>
      </w:pPr>
      <w:r>
        <w:rPr>
          <w:noProof/>
          <w:lang w:val="en-AU" w:eastAsia="en-AU"/>
        </w:rPr>
        <mc:AlternateContent>
          <mc:Choice Requires="wpg">
            <w:drawing>
              <wp:anchor distT="0" distB="0" distL="0" distR="0" simplePos="0" relativeHeight="487627776" behindDoc="1" locked="0" layoutInCell="1" allowOverlap="1" wp14:anchorId="34ACAA89" wp14:editId="5F172063">
                <wp:simplePos x="0" y="0"/>
                <wp:positionH relativeFrom="page">
                  <wp:posOffset>5318760</wp:posOffset>
                </wp:positionH>
                <wp:positionV relativeFrom="paragraph">
                  <wp:posOffset>184785</wp:posOffset>
                </wp:positionV>
                <wp:extent cx="1619250" cy="12700"/>
                <wp:effectExtent l="0" t="0" r="0" b="0"/>
                <wp:wrapTopAndBottom/>
                <wp:docPr id="1716" name="Group 1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0" cy="12700"/>
                          <a:chOff x="8376" y="291"/>
                          <a:chExt cx="2550" cy="20"/>
                        </a:xfrm>
                      </wpg:grpSpPr>
                      <wps:wsp>
                        <wps:cNvPr id="1717" name="Line 1514"/>
                        <wps:cNvCnPr>
                          <a:cxnSpLocks noChangeShapeType="1"/>
                        </wps:cNvCnPr>
                        <wps:spPr bwMode="auto">
                          <a:xfrm>
                            <a:off x="8376" y="292"/>
                            <a:ext cx="125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718" name="Line 1513"/>
                        <wps:cNvCnPr>
                          <a:cxnSpLocks noChangeShapeType="1"/>
                        </wps:cNvCnPr>
                        <wps:spPr bwMode="auto">
                          <a:xfrm>
                            <a:off x="8376" y="293"/>
                            <a:ext cx="125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719" name="Line 1512"/>
                        <wps:cNvCnPr>
                          <a:cxnSpLocks noChangeShapeType="1"/>
                        </wps:cNvCnPr>
                        <wps:spPr bwMode="auto">
                          <a:xfrm>
                            <a:off x="8376" y="294"/>
                            <a:ext cx="125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720" name="Line 1511"/>
                        <wps:cNvCnPr>
                          <a:cxnSpLocks noChangeShapeType="1"/>
                        </wps:cNvCnPr>
                        <wps:spPr bwMode="auto">
                          <a:xfrm>
                            <a:off x="8376" y="295"/>
                            <a:ext cx="125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721" name="Line 1510"/>
                        <wps:cNvCnPr>
                          <a:cxnSpLocks noChangeShapeType="1"/>
                        </wps:cNvCnPr>
                        <wps:spPr bwMode="auto">
                          <a:xfrm>
                            <a:off x="8376" y="297"/>
                            <a:ext cx="125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722" name="Line 1509"/>
                        <wps:cNvCnPr>
                          <a:cxnSpLocks noChangeShapeType="1"/>
                        </wps:cNvCnPr>
                        <wps:spPr bwMode="auto">
                          <a:xfrm>
                            <a:off x="8376" y="298"/>
                            <a:ext cx="125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723" name="Line 1508"/>
                        <wps:cNvCnPr>
                          <a:cxnSpLocks noChangeShapeType="1"/>
                        </wps:cNvCnPr>
                        <wps:spPr bwMode="auto">
                          <a:xfrm>
                            <a:off x="8376" y="299"/>
                            <a:ext cx="125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724" name="Line 1507"/>
                        <wps:cNvCnPr>
                          <a:cxnSpLocks noChangeShapeType="1"/>
                        </wps:cNvCnPr>
                        <wps:spPr bwMode="auto">
                          <a:xfrm>
                            <a:off x="8376" y="300"/>
                            <a:ext cx="125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725" name="Line 1506"/>
                        <wps:cNvCnPr>
                          <a:cxnSpLocks noChangeShapeType="1"/>
                        </wps:cNvCnPr>
                        <wps:spPr bwMode="auto">
                          <a:xfrm>
                            <a:off x="8376" y="301"/>
                            <a:ext cx="125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726" name="Line 1505"/>
                        <wps:cNvCnPr>
                          <a:cxnSpLocks noChangeShapeType="1"/>
                        </wps:cNvCnPr>
                        <wps:spPr bwMode="auto">
                          <a:xfrm>
                            <a:off x="8376" y="303"/>
                            <a:ext cx="125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727" name="Line 1504"/>
                        <wps:cNvCnPr>
                          <a:cxnSpLocks noChangeShapeType="1"/>
                        </wps:cNvCnPr>
                        <wps:spPr bwMode="auto">
                          <a:xfrm>
                            <a:off x="8376" y="304"/>
                            <a:ext cx="125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728" name="Line 1503"/>
                        <wps:cNvCnPr>
                          <a:cxnSpLocks noChangeShapeType="1"/>
                        </wps:cNvCnPr>
                        <wps:spPr bwMode="auto">
                          <a:xfrm>
                            <a:off x="8376" y="305"/>
                            <a:ext cx="125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729" name="Line 1502"/>
                        <wps:cNvCnPr>
                          <a:cxnSpLocks noChangeShapeType="1"/>
                        </wps:cNvCnPr>
                        <wps:spPr bwMode="auto">
                          <a:xfrm>
                            <a:off x="8376" y="306"/>
                            <a:ext cx="125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730" name="Line 1501"/>
                        <wps:cNvCnPr>
                          <a:cxnSpLocks noChangeShapeType="1"/>
                        </wps:cNvCnPr>
                        <wps:spPr bwMode="auto">
                          <a:xfrm>
                            <a:off x="8376" y="307"/>
                            <a:ext cx="125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731" name="Line 1500"/>
                        <wps:cNvCnPr>
                          <a:cxnSpLocks noChangeShapeType="1"/>
                        </wps:cNvCnPr>
                        <wps:spPr bwMode="auto">
                          <a:xfrm>
                            <a:off x="8376" y="309"/>
                            <a:ext cx="125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732" name="Line 1499"/>
                        <wps:cNvCnPr>
                          <a:cxnSpLocks noChangeShapeType="1"/>
                        </wps:cNvCnPr>
                        <wps:spPr bwMode="auto">
                          <a:xfrm>
                            <a:off x="8376" y="310"/>
                            <a:ext cx="125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733" name="Line 1498"/>
                        <wps:cNvCnPr>
                          <a:cxnSpLocks noChangeShapeType="1"/>
                        </wps:cNvCnPr>
                        <wps:spPr bwMode="auto">
                          <a:xfrm>
                            <a:off x="9629" y="292"/>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734" name="Line 1497"/>
                        <wps:cNvCnPr>
                          <a:cxnSpLocks noChangeShapeType="1"/>
                        </wps:cNvCnPr>
                        <wps:spPr bwMode="auto">
                          <a:xfrm>
                            <a:off x="9629" y="29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735" name="Line 1496"/>
                        <wps:cNvCnPr>
                          <a:cxnSpLocks noChangeShapeType="1"/>
                        </wps:cNvCnPr>
                        <wps:spPr bwMode="auto">
                          <a:xfrm>
                            <a:off x="9629" y="29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736" name="Line 1495"/>
                        <wps:cNvCnPr>
                          <a:cxnSpLocks noChangeShapeType="1"/>
                        </wps:cNvCnPr>
                        <wps:spPr bwMode="auto">
                          <a:xfrm>
                            <a:off x="9629" y="29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737" name="Line 1494"/>
                        <wps:cNvCnPr>
                          <a:cxnSpLocks noChangeShapeType="1"/>
                        </wps:cNvCnPr>
                        <wps:spPr bwMode="auto">
                          <a:xfrm>
                            <a:off x="9629" y="29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738" name="Line 1493"/>
                        <wps:cNvCnPr>
                          <a:cxnSpLocks noChangeShapeType="1"/>
                        </wps:cNvCnPr>
                        <wps:spPr bwMode="auto">
                          <a:xfrm>
                            <a:off x="9629" y="298"/>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739" name="Line 1492"/>
                        <wps:cNvCnPr>
                          <a:cxnSpLocks noChangeShapeType="1"/>
                        </wps:cNvCnPr>
                        <wps:spPr bwMode="auto">
                          <a:xfrm>
                            <a:off x="9629" y="29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740" name="Line 1491"/>
                        <wps:cNvCnPr>
                          <a:cxnSpLocks noChangeShapeType="1"/>
                        </wps:cNvCnPr>
                        <wps:spPr bwMode="auto">
                          <a:xfrm>
                            <a:off x="9629" y="300"/>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741" name="Line 1490"/>
                        <wps:cNvCnPr>
                          <a:cxnSpLocks noChangeShapeType="1"/>
                        </wps:cNvCnPr>
                        <wps:spPr bwMode="auto">
                          <a:xfrm>
                            <a:off x="9629" y="30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742" name="Line 1489"/>
                        <wps:cNvCnPr>
                          <a:cxnSpLocks noChangeShapeType="1"/>
                        </wps:cNvCnPr>
                        <wps:spPr bwMode="auto">
                          <a:xfrm>
                            <a:off x="9629" y="30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743" name="Line 1488"/>
                        <wps:cNvCnPr>
                          <a:cxnSpLocks noChangeShapeType="1"/>
                        </wps:cNvCnPr>
                        <wps:spPr bwMode="auto">
                          <a:xfrm>
                            <a:off x="9629" y="30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744" name="Line 1487"/>
                        <wps:cNvCnPr>
                          <a:cxnSpLocks noChangeShapeType="1"/>
                        </wps:cNvCnPr>
                        <wps:spPr bwMode="auto">
                          <a:xfrm>
                            <a:off x="9629" y="30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745" name="Line 1486"/>
                        <wps:cNvCnPr>
                          <a:cxnSpLocks noChangeShapeType="1"/>
                        </wps:cNvCnPr>
                        <wps:spPr bwMode="auto">
                          <a:xfrm>
                            <a:off x="9629" y="306"/>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746" name="Line 1485"/>
                        <wps:cNvCnPr>
                          <a:cxnSpLocks noChangeShapeType="1"/>
                        </wps:cNvCnPr>
                        <wps:spPr bwMode="auto">
                          <a:xfrm>
                            <a:off x="9629" y="30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747" name="Line 1484"/>
                        <wps:cNvCnPr>
                          <a:cxnSpLocks noChangeShapeType="1"/>
                        </wps:cNvCnPr>
                        <wps:spPr bwMode="auto">
                          <a:xfrm>
                            <a:off x="9629" y="30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748" name="Line 1483"/>
                        <wps:cNvCnPr>
                          <a:cxnSpLocks noChangeShapeType="1"/>
                        </wps:cNvCnPr>
                        <wps:spPr bwMode="auto">
                          <a:xfrm>
                            <a:off x="9629" y="310"/>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2A969E" id="Group 1482" o:spid="_x0000_s1026" style="position:absolute;margin-left:418.8pt;margin-top:14.55pt;width:127.5pt;height:1pt;z-index:-15688704;mso-wrap-distance-left:0;mso-wrap-distance-right:0;mso-position-horizontal-relative:page" coordorigin="8376,291" coordsize="25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">
                <v:line id="Line 1514" o:spid="_x0000_s1027" style="position:absolute;visibility:visible;mso-wrap-style:square" from="8376,292" to="9629,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" strokeweight=".06pt"/>
                <v:line id="Line 1513" o:spid="_x0000_s1028" style="position:absolute;visibility:visible;mso-wrap-style:square" from="8376,293" to="9629,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" strokeweight=".06pt"/>
                <v:line id="Line 1512" o:spid="_x0000_s1029" style="position:absolute;visibility:visible;mso-wrap-style:square" from="8376,294" to="9629,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" strokeweight=".06pt"/>
                <v:line id="Line 1511" o:spid="_x0000_s1030" style="position:absolute;visibility:visible;mso-wrap-style:square" from="8376,295" to="962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" strokeweight=".06pt"/>
                <v:line id="Line 1510" o:spid="_x0000_s1031" style="position:absolute;visibility:visible;mso-wrap-style:square" from="8376,297" to="962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" strokeweight=".06pt"/>
                <v:line id="Line 1509" o:spid="_x0000_s1032" style="position:absolute;visibility:visible;mso-wrap-style:square" from="8376,298" to="9629,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" strokeweight=".06pt"/>
                <v:line id="Line 1508" o:spid="_x0000_s1033" style="position:absolute;visibility:visible;mso-wrap-style:square" from="8376,299" to="9629,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" strokeweight=".06pt"/>
                <v:line id="Line 1507" o:spid="_x0000_s1034" style="position:absolute;visibility:visible;mso-wrap-style:square" from="8376,300" to="9629,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" strokeweight=".06pt"/>
                <v:line id="Line 1506" o:spid="_x0000_s1035" style="position:absolute;visibility:visible;mso-wrap-style:square" from="8376,301" to="9629,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" strokeweight=".06pt"/>
                <v:line id="Line 1505" o:spid="_x0000_s1036" style="position:absolute;visibility:visible;mso-wrap-style:square" from="8376,303" to="9629,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" strokeweight=".06pt"/>
                <v:line id="Line 1504" o:spid="_x0000_s1037" style="position:absolute;visibility:visible;mso-wrap-style:square" from="8376,304" to="9629,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" strokeweight=".06pt"/>
                <v:line id="Line 1503" o:spid="_x0000_s1038" style="position:absolute;visibility:visible;mso-wrap-style:square" from="8376,305" to="9629,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" strokeweight=".06pt"/>
                <v:line id="Line 1502" o:spid="_x0000_s1039" style="position:absolute;visibility:visible;mso-wrap-style:square" from="8376,306" to="9629,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" strokeweight=".06pt"/>
                <v:line id="Line 1501" o:spid="_x0000_s1040" style="position:absolute;visibility:visible;mso-wrap-style:square" from="8376,307" to="9629,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" strokeweight=".06pt"/>
                <v:line id="Line 1500" o:spid="_x0000_s1041" style="position:absolute;visibility:visible;mso-wrap-style:square" from="8376,309" to="9629,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" strokeweight=".06pt"/>
                <v:line id="Line 1499" o:spid="_x0000_s1042" style="position:absolute;visibility:visible;mso-wrap-style:square" from="8376,310" to="9629,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" strokeweight=".06pt"/>
                <v:line id="Line 1498" o:spid="_x0000_s1043" style="position:absolute;visibility:visible;mso-wrap-style:square" from="9629,292" to="10926,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" strokeweight=".06pt"/>
                <v:line id="Line 1497" o:spid="_x0000_s1044" style="position:absolute;visibility:visible;mso-wrap-style:square" from="9629,293" to="10926,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" strokeweight=".06pt"/>
                <v:line id="Line 1496" o:spid="_x0000_s1045" style="position:absolute;visibility:visible;mso-wrap-style:square" from="9629,294" to="1092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" strokeweight=".06pt"/>
                <v:line id="Line 1495" o:spid="_x0000_s1046" style="position:absolute;visibility:visible;mso-wrap-style:square" from="9629,295" to="10926,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" strokeweight=".06pt"/>
                <v:line id="Line 1494" o:spid="_x0000_s1047" style="position:absolute;visibility:visible;mso-wrap-style:square" from="9629,297" to="10926,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" strokeweight=".06pt"/>
                <v:line id="Line 1493" o:spid="_x0000_s1048" style="position:absolute;visibility:visible;mso-wrap-style:square" from="9629,298" to="10926,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" strokeweight=".06pt"/>
                <v:line id="Line 1492" o:spid="_x0000_s1049" style="position:absolute;visibility:visible;mso-wrap-style:square" from="9629,299" to="10926,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" strokeweight=".06pt"/>
                <v:line id="Line 1491" o:spid="_x0000_s1050" style="position:absolute;visibility:visible;mso-wrap-style:square" from="9629,300" to="10926,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" strokeweight=".06pt"/>
                <v:line id="Line 1490" o:spid="_x0000_s1051" style="position:absolute;visibility:visible;mso-wrap-style:square" from="9629,301" to="10926,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" strokeweight=".06pt"/>
                <v:line id="Line 1489" o:spid="_x0000_s1052" style="position:absolute;visibility:visible;mso-wrap-style:square" from="9629,303" to="1092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" strokeweight=".06pt"/>
                <v:line id="Line 1488" o:spid="_x0000_s1053" style="position:absolute;visibility:visible;mso-wrap-style:square" from="9629,304" to="10926,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" strokeweight=".06pt"/>
                <v:line id="Line 1487" o:spid="_x0000_s1054" style="position:absolute;visibility:visible;mso-wrap-style:square" from="9629,305" to="10926,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" strokeweight=".06pt"/>
                <v:line id="Line 1486" o:spid="_x0000_s1055" style="position:absolute;visibility:visible;mso-wrap-style:square" from="9629,306" to="1092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" strokeweight=".06pt"/>
                <v:line id="Line 1485" o:spid="_x0000_s1056" style="position:absolute;visibility:visible;mso-wrap-style:square" from="9629,307" to="10926,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" strokeweight=".06pt"/>
                <v:line id="Line 1484" o:spid="_x0000_s1057" style="position:absolute;visibility:visible;mso-wrap-style:square" from="9629,309" to="10926,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" strokeweight=".06pt"/>
                <v:line id="Line 1483" o:spid="_x0000_s1058" style="position:absolute;visibility:visible;mso-wrap-style:square" from="9629,310" to="10926,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" strokeweight=".06pt"/>
                <w10:wrap type="topAndBottom" anchorx="page"/>
              </v:group>
            </w:pict>
          </mc:Fallback>
        </mc:AlternateContent>
      </w:r>
      <w:r w:rsidR="0015611F">
        <w:rPr>
          <w:sz w:val="18"/>
        </w:rPr>
        <w:t>Unearned</w:t>
      </w:r>
      <w:r w:rsidR="0015611F">
        <w:rPr>
          <w:spacing w:val="-6"/>
          <w:sz w:val="18"/>
        </w:rPr>
        <w:t xml:space="preserve"> </w:t>
      </w:r>
      <w:r w:rsidR="0015611F">
        <w:rPr>
          <w:sz w:val="18"/>
        </w:rPr>
        <w:t>revenue</w:t>
      </w:r>
      <w:r w:rsidR="0015611F">
        <w:rPr>
          <w:sz w:val="18"/>
        </w:rPr>
        <w:tab/>
      </w:r>
      <w:r w:rsidR="0015611F">
        <w:rPr>
          <w:b/>
          <w:sz w:val="18"/>
        </w:rPr>
        <w:t>86,110</w:t>
      </w:r>
      <w:r w:rsidR="0015611F">
        <w:rPr>
          <w:b/>
          <w:sz w:val="18"/>
        </w:rPr>
        <w:tab/>
      </w:r>
      <w:r w:rsidR="0015611F">
        <w:rPr>
          <w:sz w:val="18"/>
        </w:rPr>
        <w:t>151,870</w:t>
      </w:r>
    </w:p>
    <w:p w14:paraId="4383E8E4" w14:textId="77777777" w:rsidR="00FA4AA8" w:rsidRDefault="0015611F">
      <w:pPr>
        <w:tabs>
          <w:tab w:val="left" w:pos="8051"/>
          <w:tab w:val="left" w:pos="9350"/>
        </w:tabs>
        <w:spacing w:before="84"/>
        <w:ind w:left="565"/>
        <w:rPr>
          <w:sz w:val="18"/>
        </w:rPr>
      </w:pPr>
      <w:r>
        <w:rPr>
          <w:b/>
          <w:sz w:val="18"/>
        </w:rPr>
        <w:t>Total other liabilities</w:t>
      </w:r>
      <w:r>
        <w:rPr>
          <w:b/>
          <w:sz w:val="18"/>
        </w:rPr>
        <w:tab/>
        <w:t>486,350</w:t>
      </w:r>
      <w:r>
        <w:rPr>
          <w:b/>
          <w:sz w:val="18"/>
        </w:rPr>
        <w:tab/>
      </w:r>
      <w:r>
        <w:rPr>
          <w:sz w:val="18"/>
        </w:rPr>
        <w:t>561,050</w:t>
      </w:r>
    </w:p>
    <w:p w14:paraId="368A550F" w14:textId="77777777" w:rsidR="00FA4AA8" w:rsidRDefault="007E2441">
      <w:pPr>
        <w:pStyle w:val="BodyText"/>
        <w:spacing w:line="50" w:lineRule="exact"/>
        <w:ind w:left="7535"/>
        <w:rPr>
          <w:sz w:val="4"/>
        </w:rPr>
      </w:pPr>
      <w:r>
        <w:rPr>
          <w:noProof/>
          <w:sz w:val="4"/>
          <w:lang w:val="en-AU" w:eastAsia="en-AU"/>
        </w:rPr>
        <mc:AlternateContent>
          <mc:Choice Requires="wpg">
            <w:drawing>
              <wp:inline distT="0" distB="0" distL="0" distR="0" wp14:anchorId="15424EE8" wp14:editId="2BD9E510">
                <wp:extent cx="1619250" cy="31750"/>
                <wp:effectExtent l="9525" t="9525" r="9525" b="6350"/>
                <wp:docPr id="1663" name="Group 1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0" cy="31750"/>
                          <a:chOff x="0" y="0"/>
                          <a:chExt cx="2550" cy="50"/>
                        </a:xfrm>
                      </wpg:grpSpPr>
                      <wps:wsp>
                        <wps:cNvPr id="1664" name="Line 1481"/>
                        <wps:cNvCnPr>
                          <a:cxnSpLocks noChangeShapeType="1"/>
                        </wps:cNvCnPr>
                        <wps:spPr bwMode="auto">
                          <a:xfrm>
                            <a:off x="0" y="1"/>
                            <a:ext cx="125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665" name="Line 1480"/>
                        <wps:cNvCnPr>
                          <a:cxnSpLocks noChangeShapeType="1"/>
                        </wps:cNvCnPr>
                        <wps:spPr bwMode="auto">
                          <a:xfrm>
                            <a:off x="0" y="2"/>
                            <a:ext cx="125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666" name="Line 1479"/>
                        <wps:cNvCnPr>
                          <a:cxnSpLocks noChangeShapeType="1"/>
                        </wps:cNvCnPr>
                        <wps:spPr bwMode="auto">
                          <a:xfrm>
                            <a:off x="0" y="3"/>
                            <a:ext cx="125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667" name="Line 1478"/>
                        <wps:cNvCnPr>
                          <a:cxnSpLocks noChangeShapeType="1"/>
                        </wps:cNvCnPr>
                        <wps:spPr bwMode="auto">
                          <a:xfrm>
                            <a:off x="0" y="4"/>
                            <a:ext cx="125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668" name="Line 1477"/>
                        <wps:cNvCnPr>
                          <a:cxnSpLocks noChangeShapeType="1"/>
                        </wps:cNvCnPr>
                        <wps:spPr bwMode="auto">
                          <a:xfrm>
                            <a:off x="0" y="5"/>
                            <a:ext cx="125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669" name="Line 1476"/>
                        <wps:cNvCnPr>
                          <a:cxnSpLocks noChangeShapeType="1"/>
                        </wps:cNvCnPr>
                        <wps:spPr bwMode="auto">
                          <a:xfrm>
                            <a:off x="0" y="7"/>
                            <a:ext cx="125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670" name="Line 1475"/>
                        <wps:cNvCnPr>
                          <a:cxnSpLocks noChangeShapeType="1"/>
                        </wps:cNvCnPr>
                        <wps:spPr bwMode="auto">
                          <a:xfrm>
                            <a:off x="0" y="8"/>
                            <a:ext cx="125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671" name="Line 1474"/>
                        <wps:cNvCnPr>
                          <a:cxnSpLocks noChangeShapeType="1"/>
                        </wps:cNvCnPr>
                        <wps:spPr bwMode="auto">
                          <a:xfrm>
                            <a:off x="0" y="9"/>
                            <a:ext cx="125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672" name="Line 1473"/>
                        <wps:cNvCnPr>
                          <a:cxnSpLocks noChangeShapeType="1"/>
                        </wps:cNvCnPr>
                        <wps:spPr bwMode="auto">
                          <a:xfrm>
                            <a:off x="0" y="10"/>
                            <a:ext cx="125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673" name="Line 1472"/>
                        <wps:cNvCnPr>
                          <a:cxnSpLocks noChangeShapeType="1"/>
                        </wps:cNvCnPr>
                        <wps:spPr bwMode="auto">
                          <a:xfrm>
                            <a:off x="0" y="11"/>
                            <a:ext cx="125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674" name="Line 1471"/>
                        <wps:cNvCnPr>
                          <a:cxnSpLocks noChangeShapeType="1"/>
                        </wps:cNvCnPr>
                        <wps:spPr bwMode="auto">
                          <a:xfrm>
                            <a:off x="0" y="13"/>
                            <a:ext cx="125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675" name="Line 1470"/>
                        <wps:cNvCnPr>
                          <a:cxnSpLocks noChangeShapeType="1"/>
                        </wps:cNvCnPr>
                        <wps:spPr bwMode="auto">
                          <a:xfrm>
                            <a:off x="0" y="14"/>
                            <a:ext cx="125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676" name="Line 1469"/>
                        <wps:cNvCnPr>
                          <a:cxnSpLocks noChangeShapeType="1"/>
                        </wps:cNvCnPr>
                        <wps:spPr bwMode="auto">
                          <a:xfrm>
                            <a:off x="0" y="15"/>
                            <a:ext cx="125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677" name="Line 1468"/>
                        <wps:cNvCnPr>
                          <a:cxnSpLocks noChangeShapeType="1"/>
                        </wps:cNvCnPr>
                        <wps:spPr bwMode="auto">
                          <a:xfrm>
                            <a:off x="0" y="34"/>
                            <a:ext cx="125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678" name="Line 1467"/>
                        <wps:cNvCnPr>
                          <a:cxnSpLocks noChangeShapeType="1"/>
                        </wps:cNvCnPr>
                        <wps:spPr bwMode="auto">
                          <a:xfrm>
                            <a:off x="0" y="35"/>
                            <a:ext cx="125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679" name="Line 1466"/>
                        <wps:cNvCnPr>
                          <a:cxnSpLocks noChangeShapeType="1"/>
                        </wps:cNvCnPr>
                        <wps:spPr bwMode="auto">
                          <a:xfrm>
                            <a:off x="0" y="37"/>
                            <a:ext cx="125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680" name="Line 1465"/>
                        <wps:cNvCnPr>
                          <a:cxnSpLocks noChangeShapeType="1"/>
                        </wps:cNvCnPr>
                        <wps:spPr bwMode="auto">
                          <a:xfrm>
                            <a:off x="0" y="38"/>
                            <a:ext cx="125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681" name="Line 1464"/>
                        <wps:cNvCnPr>
                          <a:cxnSpLocks noChangeShapeType="1"/>
                        </wps:cNvCnPr>
                        <wps:spPr bwMode="auto">
                          <a:xfrm>
                            <a:off x="0" y="39"/>
                            <a:ext cx="125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682" name="Line 1463"/>
                        <wps:cNvCnPr>
                          <a:cxnSpLocks noChangeShapeType="1"/>
                        </wps:cNvCnPr>
                        <wps:spPr bwMode="auto">
                          <a:xfrm>
                            <a:off x="0" y="40"/>
                            <a:ext cx="125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683" name="Line 1462"/>
                        <wps:cNvCnPr>
                          <a:cxnSpLocks noChangeShapeType="1"/>
                        </wps:cNvCnPr>
                        <wps:spPr bwMode="auto">
                          <a:xfrm>
                            <a:off x="0" y="41"/>
                            <a:ext cx="125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684" name="Line 1461"/>
                        <wps:cNvCnPr>
                          <a:cxnSpLocks noChangeShapeType="1"/>
                        </wps:cNvCnPr>
                        <wps:spPr bwMode="auto">
                          <a:xfrm>
                            <a:off x="0" y="43"/>
                            <a:ext cx="125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685" name="Line 1460"/>
                        <wps:cNvCnPr>
                          <a:cxnSpLocks noChangeShapeType="1"/>
                        </wps:cNvCnPr>
                        <wps:spPr bwMode="auto">
                          <a:xfrm>
                            <a:off x="0" y="44"/>
                            <a:ext cx="125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686" name="Line 1459"/>
                        <wps:cNvCnPr>
                          <a:cxnSpLocks noChangeShapeType="1"/>
                        </wps:cNvCnPr>
                        <wps:spPr bwMode="auto">
                          <a:xfrm>
                            <a:off x="0" y="45"/>
                            <a:ext cx="125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687" name="Line 1458"/>
                        <wps:cNvCnPr>
                          <a:cxnSpLocks noChangeShapeType="1"/>
                        </wps:cNvCnPr>
                        <wps:spPr bwMode="auto">
                          <a:xfrm>
                            <a:off x="0" y="46"/>
                            <a:ext cx="125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688" name="Line 1457"/>
                        <wps:cNvCnPr>
                          <a:cxnSpLocks noChangeShapeType="1"/>
                        </wps:cNvCnPr>
                        <wps:spPr bwMode="auto">
                          <a:xfrm>
                            <a:off x="0" y="47"/>
                            <a:ext cx="125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689" name="Line 1456"/>
                        <wps:cNvCnPr>
                          <a:cxnSpLocks noChangeShapeType="1"/>
                        </wps:cNvCnPr>
                        <wps:spPr bwMode="auto">
                          <a:xfrm>
                            <a:off x="0" y="49"/>
                            <a:ext cx="125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690" name="Line 1455"/>
                        <wps:cNvCnPr>
                          <a:cxnSpLocks noChangeShapeType="1"/>
                        </wps:cNvCnPr>
                        <wps:spPr bwMode="auto">
                          <a:xfrm>
                            <a:off x="1253" y="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691" name="Line 1454"/>
                        <wps:cNvCnPr>
                          <a:cxnSpLocks noChangeShapeType="1"/>
                        </wps:cNvCnPr>
                        <wps:spPr bwMode="auto">
                          <a:xfrm>
                            <a:off x="1253" y="2"/>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692" name="Line 1453"/>
                        <wps:cNvCnPr>
                          <a:cxnSpLocks noChangeShapeType="1"/>
                        </wps:cNvCnPr>
                        <wps:spPr bwMode="auto">
                          <a:xfrm>
                            <a:off x="1253" y="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693" name="Line 1452"/>
                        <wps:cNvCnPr>
                          <a:cxnSpLocks noChangeShapeType="1"/>
                        </wps:cNvCnPr>
                        <wps:spPr bwMode="auto">
                          <a:xfrm>
                            <a:off x="1253" y="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694" name="Line 1451"/>
                        <wps:cNvCnPr>
                          <a:cxnSpLocks noChangeShapeType="1"/>
                        </wps:cNvCnPr>
                        <wps:spPr bwMode="auto">
                          <a:xfrm>
                            <a:off x="1253" y="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695" name="Line 1450"/>
                        <wps:cNvCnPr>
                          <a:cxnSpLocks noChangeShapeType="1"/>
                        </wps:cNvCnPr>
                        <wps:spPr bwMode="auto">
                          <a:xfrm>
                            <a:off x="1253" y="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696" name="Line 1449"/>
                        <wps:cNvCnPr>
                          <a:cxnSpLocks noChangeShapeType="1"/>
                        </wps:cNvCnPr>
                        <wps:spPr bwMode="auto">
                          <a:xfrm>
                            <a:off x="1253" y="8"/>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697" name="Line 1448"/>
                        <wps:cNvCnPr>
                          <a:cxnSpLocks noChangeShapeType="1"/>
                        </wps:cNvCnPr>
                        <wps:spPr bwMode="auto">
                          <a:xfrm>
                            <a:off x="1253" y="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698" name="Line 1447"/>
                        <wps:cNvCnPr>
                          <a:cxnSpLocks noChangeShapeType="1"/>
                        </wps:cNvCnPr>
                        <wps:spPr bwMode="auto">
                          <a:xfrm>
                            <a:off x="1253" y="10"/>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699" name="Line 1446"/>
                        <wps:cNvCnPr>
                          <a:cxnSpLocks noChangeShapeType="1"/>
                        </wps:cNvCnPr>
                        <wps:spPr bwMode="auto">
                          <a:xfrm>
                            <a:off x="1253" y="1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700" name="Line 1445"/>
                        <wps:cNvCnPr>
                          <a:cxnSpLocks noChangeShapeType="1"/>
                        </wps:cNvCnPr>
                        <wps:spPr bwMode="auto">
                          <a:xfrm>
                            <a:off x="1253" y="1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701" name="Line 1444"/>
                        <wps:cNvCnPr>
                          <a:cxnSpLocks noChangeShapeType="1"/>
                        </wps:cNvCnPr>
                        <wps:spPr bwMode="auto">
                          <a:xfrm>
                            <a:off x="1253" y="1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702" name="Line 1443"/>
                        <wps:cNvCnPr>
                          <a:cxnSpLocks noChangeShapeType="1"/>
                        </wps:cNvCnPr>
                        <wps:spPr bwMode="auto">
                          <a:xfrm>
                            <a:off x="1253" y="1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703" name="Line 1442"/>
                        <wps:cNvCnPr>
                          <a:cxnSpLocks noChangeShapeType="1"/>
                        </wps:cNvCnPr>
                        <wps:spPr bwMode="auto">
                          <a:xfrm>
                            <a:off x="1253" y="3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704" name="Line 1441"/>
                        <wps:cNvCnPr>
                          <a:cxnSpLocks noChangeShapeType="1"/>
                        </wps:cNvCnPr>
                        <wps:spPr bwMode="auto">
                          <a:xfrm>
                            <a:off x="1253" y="3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705" name="Line 1440"/>
                        <wps:cNvCnPr>
                          <a:cxnSpLocks noChangeShapeType="1"/>
                        </wps:cNvCnPr>
                        <wps:spPr bwMode="auto">
                          <a:xfrm>
                            <a:off x="1253" y="3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706" name="Line 1439"/>
                        <wps:cNvCnPr>
                          <a:cxnSpLocks noChangeShapeType="1"/>
                        </wps:cNvCnPr>
                        <wps:spPr bwMode="auto">
                          <a:xfrm>
                            <a:off x="1253" y="38"/>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707" name="Line 1438"/>
                        <wps:cNvCnPr>
                          <a:cxnSpLocks noChangeShapeType="1"/>
                        </wps:cNvCnPr>
                        <wps:spPr bwMode="auto">
                          <a:xfrm>
                            <a:off x="1253" y="3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708" name="Line 1437"/>
                        <wps:cNvCnPr>
                          <a:cxnSpLocks noChangeShapeType="1"/>
                        </wps:cNvCnPr>
                        <wps:spPr bwMode="auto">
                          <a:xfrm>
                            <a:off x="1253" y="40"/>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709" name="Line 1436"/>
                        <wps:cNvCnPr>
                          <a:cxnSpLocks noChangeShapeType="1"/>
                        </wps:cNvCnPr>
                        <wps:spPr bwMode="auto">
                          <a:xfrm>
                            <a:off x="1253" y="4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710" name="Line 1435"/>
                        <wps:cNvCnPr>
                          <a:cxnSpLocks noChangeShapeType="1"/>
                        </wps:cNvCnPr>
                        <wps:spPr bwMode="auto">
                          <a:xfrm>
                            <a:off x="1253" y="4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711" name="Line 1434"/>
                        <wps:cNvCnPr>
                          <a:cxnSpLocks noChangeShapeType="1"/>
                        </wps:cNvCnPr>
                        <wps:spPr bwMode="auto">
                          <a:xfrm>
                            <a:off x="1253" y="4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712" name="Line 1433"/>
                        <wps:cNvCnPr>
                          <a:cxnSpLocks noChangeShapeType="1"/>
                        </wps:cNvCnPr>
                        <wps:spPr bwMode="auto">
                          <a:xfrm>
                            <a:off x="1253" y="4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713" name="Line 1432"/>
                        <wps:cNvCnPr>
                          <a:cxnSpLocks noChangeShapeType="1"/>
                        </wps:cNvCnPr>
                        <wps:spPr bwMode="auto">
                          <a:xfrm>
                            <a:off x="1253" y="46"/>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714" name="Line 1431"/>
                        <wps:cNvCnPr>
                          <a:cxnSpLocks noChangeShapeType="1"/>
                        </wps:cNvCnPr>
                        <wps:spPr bwMode="auto">
                          <a:xfrm>
                            <a:off x="1253" y="4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715" name="Line 1430"/>
                        <wps:cNvCnPr>
                          <a:cxnSpLocks noChangeShapeType="1"/>
                        </wps:cNvCnPr>
                        <wps:spPr bwMode="auto">
                          <a:xfrm>
                            <a:off x="1253" y="4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19071AF" id="Group 1429" o:spid="_x0000_s1026" style="width:127.5pt;height:2.5pt;mso-position-horizontal-relative:char;mso-position-vertical-relative:line" coordsize="25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">
                <v:line id="Line 1481" o:spid="_x0000_s1027" style="position:absolute;visibility:visible;mso-wrap-style:square" from="0,1" to="12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" strokeweight=".06pt"/>
                <v:line id="Line 1480" o:spid="_x0000_s1028" style="position:absolute;visibility:visible;mso-wrap-style:square" from="0,2" to="12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" strokeweight=".06pt"/>
                <v:line id="Line 1479" o:spid="_x0000_s1029" style="position:absolute;visibility:visible;mso-wrap-style:square" from="0,3" to="12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" strokeweight=".06pt"/>
                <v:line id="Line 1478" o:spid="_x0000_s1030" style="position:absolute;visibility:visible;mso-wrap-style:square" from="0,4" to="12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" strokeweight=".06pt"/>
                <v:line id="Line 1477" o:spid="_x0000_s1031" style="position:absolute;visibility:visible;mso-wrap-style:square" from="0,5" to="12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" strokeweight=".06pt"/>
                <v:line id="Line 1476" o:spid="_x0000_s1032" style="position:absolute;visibility:visible;mso-wrap-style:square" from="0,7" to="12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" strokeweight=".06pt"/>
                <v:line id="Line 1475" o:spid="_x0000_s1033" style="position:absolute;visibility:visible;mso-wrap-style:square" from="0,8" to="12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" strokeweight=".06pt"/>
                <v:line id="Line 1474" o:spid="_x0000_s1034" style="position:absolute;visibility:visible;mso-wrap-style:square" from="0,9" to="12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" strokeweight=".06pt"/>
                <v:line id="Line 1473" o:spid="_x0000_s1035" style="position:absolute;visibility:visible;mso-wrap-style:square" from="0,10" to="125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" strokeweight=".06pt"/>
                <v:line id="Line 1472" o:spid="_x0000_s1036" style="position:absolute;visibility:visible;mso-wrap-style:square" from="0,11" to="125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" strokeweight=".06pt"/>
                <v:line id="Line 1471" o:spid="_x0000_s1037" style="position:absolute;visibility:visible;mso-wrap-style:square" from="0,13" to="12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" strokeweight=".06pt"/>
                <v:line id="Line 1470" o:spid="_x0000_s1038" style="position:absolute;visibility:visible;mso-wrap-style:square" from="0,14" to="125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" strokeweight=".06pt"/>
                <v:line id="Line 1469" o:spid="_x0000_s1039" style="position:absolute;visibility:visible;mso-wrap-style:square" from="0,15" to="125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" strokeweight=".06pt"/>
                <v:line id="Line 1468" o:spid="_x0000_s1040" style="position:absolute;visibility:visible;mso-wrap-style:square" from="0,34" to="12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" strokeweight=".06pt"/>
                <v:line id="Line 1467" o:spid="_x0000_s1041" style="position:absolute;visibility:visible;mso-wrap-style:square" from="0,35" to="125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" strokeweight=".06pt"/>
                <v:line id="Line 1466" o:spid="_x0000_s1042" style="position:absolute;visibility:visible;mso-wrap-style:square" from="0,37" to="125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" strokeweight=".06pt"/>
                <v:line id="Line 1465" o:spid="_x0000_s1043" style="position:absolute;visibility:visible;mso-wrap-style:square" from="0,38" to="125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" strokeweight=".06pt"/>
                <v:line id="Line 1464" o:spid="_x0000_s1044" style="position:absolute;visibility:visible;mso-wrap-style:square" from="0,39" to="125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" strokeweight=".06pt"/>
                <v:line id="Line 1463" o:spid="_x0000_s1045" style="position:absolute;visibility:visible;mso-wrap-style:square" from="0,40" to="125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" strokeweight=".06pt"/>
                <v:line id="Line 1462" o:spid="_x0000_s1046" style="position:absolute;visibility:visible;mso-wrap-style:square" from="0,41" to="125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" strokeweight=".06pt"/>
                <v:line id="Line 1461" o:spid="_x0000_s1047" style="position:absolute;visibility:visible;mso-wrap-style:square" from="0,43" to="125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" strokeweight=".06pt"/>
                <v:line id="Line 1460" o:spid="_x0000_s1048" style="position:absolute;visibility:visible;mso-wrap-style:square" from="0,44" to="125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" strokeweight=".06pt"/>
                <v:line id="Line 1459" o:spid="_x0000_s1049" style="position:absolute;visibility:visible;mso-wrap-style:square" from="0,45" to="125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" strokeweight=".06pt"/>
                <v:line id="Line 1458" o:spid="_x0000_s1050" style="position:absolute;visibility:visible;mso-wrap-style:square" from="0,46" to="125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" strokeweight=".06pt"/>
                <v:line id="Line 1457" o:spid="_x0000_s1051" style="position:absolute;visibility:visible;mso-wrap-style:square" from="0,47" to="125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" strokeweight=".06pt"/>
                <v:line id="Line 1456" o:spid="_x0000_s1052" style="position:absolute;visibility:visible;mso-wrap-style:square" from="0,49" to="125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" strokeweight=".06pt"/>
                <v:line id="Line 1455" o:spid="_x0000_s1053" style="position:absolute;visibility:visible;mso-wrap-style:square" from="1253,1" to="25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" strokeweight=".06pt"/>
                <v:line id="Line 1454" o:spid="_x0000_s1054" style="position:absolute;visibility:visible;mso-wrap-style:square" from="1253,2" to="2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" strokeweight=".06pt"/>
                <v:line id="Line 1453" o:spid="_x0000_s1055" style="position:absolute;visibility:visible;mso-wrap-style:square" from="1253,3" to="25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" strokeweight=".06pt"/>
                <v:line id="Line 1452" o:spid="_x0000_s1056" style="position:absolute;visibility:visible;mso-wrap-style:square" from="1253,4" to="25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" strokeweight=".06pt"/>
                <v:line id="Line 1451" o:spid="_x0000_s1057" style="position:absolute;visibility:visible;mso-wrap-style:square" from="1253,5" to="25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" strokeweight=".06pt"/>
                <v:line id="Line 1450" o:spid="_x0000_s1058" style="position:absolute;visibility:visible;mso-wrap-style:square" from="1253,7" to="25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" strokeweight=".06pt"/>
                <v:line id="Line 1449" o:spid="_x0000_s1059" style="position:absolute;visibility:visible;mso-wrap-style:square" from="1253,8" to="25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" strokeweight=".06pt"/>
                <v:line id="Line 1448" o:spid="_x0000_s1060" style="position:absolute;visibility:visible;mso-wrap-style:square" from="1253,9" to="25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" strokeweight=".06pt"/>
                <v:line id="Line 1447" o:spid="_x0000_s1061" style="position:absolute;visibility:visible;mso-wrap-style:square" from="1253,10" to="255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" strokeweight=".06pt"/>
                <v:line id="Line 1446" o:spid="_x0000_s1062" style="position:absolute;visibility:visible;mso-wrap-style:square" from="1253,11" to="255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" strokeweight=".06pt"/>
                <v:line id="Line 1445" o:spid="_x0000_s1063" style="position:absolute;visibility:visible;mso-wrap-style:square" from="1253,13" to="255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" strokeweight=".06pt"/>
                <v:line id="Line 1444" o:spid="_x0000_s1064" style="position:absolute;visibility:visible;mso-wrap-style:square" from="1253,14" to="255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" strokeweight=".06pt"/>
                <v:line id="Line 1443" o:spid="_x0000_s1065" style="position:absolute;visibility:visible;mso-wrap-style:square" from="1253,15" to="255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" strokeweight=".06pt"/>
                <v:line id="Line 1442" o:spid="_x0000_s1066" style="position:absolute;visibility:visible;mso-wrap-style:square" from="1253,34" to="255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" strokeweight=".06pt"/>
                <v:line id="Line 1441" o:spid="_x0000_s1067" style="position:absolute;visibility:visible;mso-wrap-style:square" from="1253,35" to="255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" strokeweight=".06pt"/>
                <v:line id="Line 1440" o:spid="_x0000_s1068" style="position:absolute;visibility:visible;mso-wrap-style:square" from="1253,37" to="255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" strokeweight=".06pt"/>
                <v:line id="Line 1439" o:spid="_x0000_s1069" style="position:absolute;visibility:visible;mso-wrap-style:square" from="1253,38" to="255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" strokeweight=".06pt"/>
                <v:line id="Line 1438" o:spid="_x0000_s1070" style="position:absolute;visibility:visible;mso-wrap-style:square" from="1253,39" to="255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" strokeweight=".06pt"/>
                <v:line id="Line 1437" o:spid="_x0000_s1071" style="position:absolute;visibility:visible;mso-wrap-style:square" from="1253,40" to="25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" strokeweight=".06pt"/>
                <v:line id="Line 1436" o:spid="_x0000_s1072" style="position:absolute;visibility:visible;mso-wrap-style:square" from="1253,41" to="25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" strokeweight=".06pt"/>
                <v:line id="Line 1435" o:spid="_x0000_s1073" style="position:absolute;visibility:visible;mso-wrap-style:square" from="1253,43" to="255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" strokeweight=".06pt"/>
                <v:line id="Line 1434" o:spid="_x0000_s1074" style="position:absolute;visibility:visible;mso-wrap-style:square" from="1253,44" to="255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" strokeweight=".06pt"/>
                <v:line id="Line 1433" o:spid="_x0000_s1075" style="position:absolute;visibility:visible;mso-wrap-style:square" from="1253,45" to="255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" strokeweight=".06pt"/>
                <v:line id="Line 1432" o:spid="_x0000_s1076" style="position:absolute;visibility:visible;mso-wrap-style:square" from="1253,46" to="255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" strokeweight=".06pt"/>
                <v:line id="Line 1431" o:spid="_x0000_s1077" style="position:absolute;visibility:visible;mso-wrap-style:square" from="1253,47" to="255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" strokeweight=".06pt"/>
                <v:line id="Line 1430" o:spid="_x0000_s1078" style="position:absolute;visibility:visible;mso-wrap-style:square" from="1253,49" to="25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" strokeweight=".06pt"/>
                <w10:anchorlock/>
              </v:group>
            </w:pict>
          </mc:Fallback>
        </mc:AlternateContent>
      </w:r>
    </w:p>
    <w:p w14:paraId="73EDFF4E" w14:textId="77777777" w:rsidR="00FA4AA8" w:rsidRDefault="00FA4AA8">
      <w:pPr>
        <w:pStyle w:val="BodyText"/>
        <w:spacing w:before="5"/>
      </w:pPr>
    </w:p>
    <w:p w14:paraId="0C6851E5" w14:textId="77777777" w:rsidR="00FA4AA8" w:rsidRDefault="0015611F">
      <w:pPr>
        <w:pStyle w:val="ListParagraph"/>
        <w:numPr>
          <w:ilvl w:val="1"/>
          <w:numId w:val="64"/>
        </w:numPr>
        <w:tabs>
          <w:tab w:val="left" w:pos="1131"/>
          <w:tab w:val="left" w:pos="1132"/>
        </w:tabs>
        <w:spacing w:before="94"/>
        <w:rPr>
          <w:b/>
          <w:sz w:val="18"/>
        </w:rPr>
      </w:pPr>
      <w:r>
        <w:rPr>
          <w:b/>
          <w:sz w:val="18"/>
        </w:rPr>
        <w:t>Operating lease</w:t>
      </w:r>
      <w:r>
        <w:rPr>
          <w:b/>
          <w:spacing w:val="-1"/>
          <w:sz w:val="18"/>
        </w:rPr>
        <w:t xml:space="preserve"> </w:t>
      </w:r>
      <w:r>
        <w:rPr>
          <w:b/>
          <w:sz w:val="18"/>
        </w:rPr>
        <w:t>commitments</w:t>
      </w:r>
    </w:p>
    <w:p w14:paraId="191A69BA" w14:textId="77777777" w:rsidR="00FA4AA8" w:rsidRDefault="00FA4AA8">
      <w:pPr>
        <w:pStyle w:val="BodyText"/>
        <w:spacing w:before="4"/>
        <w:rPr>
          <w:b/>
          <w:sz w:val="25"/>
        </w:rPr>
      </w:pPr>
    </w:p>
    <w:p w14:paraId="2556CC81" w14:textId="77777777" w:rsidR="00FA4AA8" w:rsidRDefault="0015611F">
      <w:pPr>
        <w:pStyle w:val="BodyText"/>
        <w:spacing w:before="1" w:after="38"/>
        <w:ind w:left="1132"/>
      </w:pPr>
      <w:r>
        <w:t>The Company leases plant and office equipment under non-cancellable operating leases contracted for but not capitalised in the financial statements. The leases have renewal rights, whereby the terms of the lease are renegotiated.</w:t>
      </w:r>
    </w:p>
    <w:tbl>
      <w:tblPr>
        <w:tblW w:w="0" w:type="auto"/>
        <w:tblInd w:w="1117" w:type="dxa"/>
        <w:tblLayout w:type="fixed"/>
        <w:tblCellMar>
          <w:left w:w="0" w:type="dxa"/>
          <w:right w:w="0" w:type="dxa"/>
        </w:tblCellMar>
        <w:tblLook w:val="01E0" w:firstRow="1" w:lastRow="1" w:firstColumn="1" w:lastColumn="1" w:noHBand="0" w:noVBand="0"/>
      </w:tblPr>
      <w:tblGrid>
        <w:gridCol w:w="6381"/>
        <w:gridCol w:w="1471"/>
        <w:gridCol w:w="1123"/>
      </w:tblGrid>
      <w:tr w:rsidR="00FA4AA8" w14:paraId="3631AB96" w14:textId="77777777">
        <w:trPr>
          <w:trHeight w:val="550"/>
        </w:trPr>
        <w:tc>
          <w:tcPr>
            <w:tcW w:w="6381" w:type="dxa"/>
          </w:tcPr>
          <w:p w14:paraId="0DF032BB" w14:textId="77777777" w:rsidR="00FA4AA8" w:rsidRDefault="00FA4AA8">
            <w:pPr>
              <w:pStyle w:val="TableParagraph"/>
              <w:rPr>
                <w:rFonts w:ascii="Times New Roman"/>
                <w:sz w:val="18"/>
              </w:rPr>
            </w:pPr>
          </w:p>
        </w:tc>
        <w:tc>
          <w:tcPr>
            <w:tcW w:w="1471" w:type="dxa"/>
          </w:tcPr>
          <w:p w14:paraId="52D6D672" w14:textId="77777777" w:rsidR="00FA4AA8" w:rsidRDefault="0015611F">
            <w:pPr>
              <w:pStyle w:val="TableParagraph"/>
              <w:spacing w:line="201" w:lineRule="exact"/>
              <w:ind w:left="429" w:right="599"/>
              <w:jc w:val="center"/>
              <w:rPr>
                <w:b/>
                <w:sz w:val="18"/>
              </w:rPr>
            </w:pPr>
            <w:r>
              <w:rPr>
                <w:b/>
                <w:sz w:val="18"/>
              </w:rPr>
              <w:t>2018</w:t>
            </w:r>
          </w:p>
          <w:p w14:paraId="16EDBB31" w14:textId="77777777" w:rsidR="00FA4AA8" w:rsidRDefault="0015611F">
            <w:pPr>
              <w:pStyle w:val="TableParagraph"/>
              <w:spacing w:before="66"/>
              <w:ind w:right="168"/>
              <w:jc w:val="center"/>
              <w:rPr>
                <w:b/>
                <w:sz w:val="18"/>
              </w:rPr>
            </w:pPr>
            <w:r>
              <w:rPr>
                <w:b/>
                <w:sz w:val="18"/>
              </w:rPr>
              <w:t>$</w:t>
            </w:r>
          </w:p>
        </w:tc>
        <w:tc>
          <w:tcPr>
            <w:tcW w:w="1123" w:type="dxa"/>
          </w:tcPr>
          <w:p w14:paraId="3933103B" w14:textId="77777777" w:rsidR="00FA4AA8" w:rsidRDefault="0015611F">
            <w:pPr>
              <w:pStyle w:val="TableParagraph"/>
              <w:spacing w:line="201" w:lineRule="exact"/>
              <w:ind w:left="241" w:right="439"/>
              <w:jc w:val="center"/>
              <w:rPr>
                <w:b/>
                <w:sz w:val="18"/>
              </w:rPr>
            </w:pPr>
            <w:r>
              <w:rPr>
                <w:b/>
                <w:sz w:val="18"/>
              </w:rPr>
              <w:t>2017</w:t>
            </w:r>
          </w:p>
          <w:p w14:paraId="77028192" w14:textId="77777777" w:rsidR="00FA4AA8" w:rsidRDefault="0015611F">
            <w:pPr>
              <w:pStyle w:val="TableParagraph"/>
              <w:spacing w:before="66"/>
              <w:ind w:right="196"/>
              <w:jc w:val="center"/>
              <w:rPr>
                <w:b/>
                <w:sz w:val="18"/>
              </w:rPr>
            </w:pPr>
            <w:r>
              <w:rPr>
                <w:b/>
                <w:sz w:val="18"/>
              </w:rPr>
              <w:t>$</w:t>
            </w:r>
          </w:p>
        </w:tc>
      </w:tr>
      <w:tr w:rsidR="00FA4AA8" w14:paraId="5B73A3F4" w14:textId="77777777">
        <w:trPr>
          <w:trHeight w:val="544"/>
        </w:trPr>
        <w:tc>
          <w:tcPr>
            <w:tcW w:w="6381" w:type="dxa"/>
          </w:tcPr>
          <w:p w14:paraId="2A90628D" w14:textId="77777777" w:rsidR="00FA4AA8" w:rsidRDefault="0015611F">
            <w:pPr>
              <w:pStyle w:val="TableParagraph"/>
              <w:spacing w:before="70"/>
              <w:ind w:left="50"/>
              <w:rPr>
                <w:b/>
                <w:sz w:val="18"/>
              </w:rPr>
            </w:pPr>
            <w:r>
              <w:rPr>
                <w:b/>
                <w:sz w:val="18"/>
              </w:rPr>
              <w:t>Payable - minimum lease payments</w:t>
            </w:r>
          </w:p>
          <w:p w14:paraId="00217286" w14:textId="77777777" w:rsidR="00FA4AA8" w:rsidRDefault="0015611F">
            <w:pPr>
              <w:pStyle w:val="TableParagraph"/>
              <w:spacing w:before="29"/>
              <w:ind w:left="50"/>
              <w:rPr>
                <w:sz w:val="18"/>
              </w:rPr>
            </w:pPr>
            <w:bookmarkStart w:id="133" w:name="12_Issued_Capital_"/>
            <w:bookmarkEnd w:id="133"/>
            <w:r>
              <w:rPr>
                <w:sz w:val="18"/>
              </w:rPr>
              <w:t>- no later than 1 year</w:t>
            </w:r>
          </w:p>
        </w:tc>
        <w:tc>
          <w:tcPr>
            <w:tcW w:w="1471" w:type="dxa"/>
          </w:tcPr>
          <w:p w14:paraId="1E33341B" w14:textId="77777777" w:rsidR="00FA4AA8" w:rsidRDefault="00FA4AA8">
            <w:pPr>
              <w:pStyle w:val="TableParagraph"/>
              <w:spacing w:before="6"/>
              <w:rPr>
                <w:sz w:val="26"/>
              </w:rPr>
            </w:pPr>
          </w:p>
          <w:p w14:paraId="2D62B6D8" w14:textId="77777777" w:rsidR="00FA4AA8" w:rsidRDefault="0015611F">
            <w:pPr>
              <w:pStyle w:val="TableParagraph"/>
              <w:ind w:right="259"/>
              <w:jc w:val="right"/>
              <w:rPr>
                <w:b/>
                <w:sz w:val="18"/>
              </w:rPr>
            </w:pPr>
            <w:r>
              <w:rPr>
                <w:b/>
                <w:sz w:val="18"/>
              </w:rPr>
              <w:t>399,679</w:t>
            </w:r>
          </w:p>
        </w:tc>
        <w:tc>
          <w:tcPr>
            <w:tcW w:w="1123" w:type="dxa"/>
          </w:tcPr>
          <w:p w14:paraId="3F0D45D3" w14:textId="77777777" w:rsidR="00FA4AA8" w:rsidRDefault="00FA4AA8">
            <w:pPr>
              <w:pStyle w:val="TableParagraph"/>
              <w:spacing w:before="6"/>
              <w:rPr>
                <w:sz w:val="26"/>
              </w:rPr>
            </w:pPr>
          </w:p>
          <w:p w14:paraId="7B3C82D2" w14:textId="77777777" w:rsidR="00FA4AA8" w:rsidRDefault="0015611F">
            <w:pPr>
              <w:pStyle w:val="TableParagraph"/>
              <w:ind w:right="84"/>
              <w:jc w:val="right"/>
              <w:rPr>
                <w:sz w:val="18"/>
              </w:rPr>
            </w:pPr>
            <w:r>
              <w:rPr>
                <w:sz w:val="18"/>
              </w:rPr>
              <w:t>307,480</w:t>
            </w:r>
          </w:p>
        </w:tc>
      </w:tr>
      <w:tr w:rsidR="00FA4AA8" w14:paraId="32C2D42F" w14:textId="77777777">
        <w:trPr>
          <w:trHeight w:val="263"/>
        </w:trPr>
        <w:tc>
          <w:tcPr>
            <w:tcW w:w="6381" w:type="dxa"/>
          </w:tcPr>
          <w:p w14:paraId="7E65B69B" w14:textId="77777777" w:rsidR="00FA4AA8" w:rsidRDefault="0015611F">
            <w:pPr>
              <w:pStyle w:val="TableParagraph"/>
              <w:spacing w:before="26"/>
              <w:ind w:left="50"/>
              <w:rPr>
                <w:sz w:val="18"/>
              </w:rPr>
            </w:pPr>
            <w:r>
              <w:rPr>
                <w:sz w:val="18"/>
              </w:rPr>
              <w:t>- between 1 year and 5 years</w:t>
            </w:r>
          </w:p>
        </w:tc>
        <w:tc>
          <w:tcPr>
            <w:tcW w:w="1471" w:type="dxa"/>
          </w:tcPr>
          <w:p w14:paraId="1F1B58E3" w14:textId="77777777" w:rsidR="00FA4AA8" w:rsidRDefault="0015611F">
            <w:pPr>
              <w:pStyle w:val="TableParagraph"/>
              <w:spacing w:before="25"/>
              <w:ind w:right="259"/>
              <w:jc w:val="right"/>
              <w:rPr>
                <w:b/>
                <w:sz w:val="18"/>
              </w:rPr>
            </w:pPr>
            <w:r>
              <w:rPr>
                <w:b/>
                <w:sz w:val="18"/>
              </w:rPr>
              <w:t>386,039</w:t>
            </w:r>
          </w:p>
        </w:tc>
        <w:tc>
          <w:tcPr>
            <w:tcW w:w="1123" w:type="dxa"/>
          </w:tcPr>
          <w:p w14:paraId="772DCA9D" w14:textId="77777777" w:rsidR="00FA4AA8" w:rsidRDefault="0015611F">
            <w:pPr>
              <w:pStyle w:val="TableParagraph"/>
              <w:spacing w:before="25"/>
              <w:ind w:right="84"/>
              <w:jc w:val="right"/>
              <w:rPr>
                <w:sz w:val="18"/>
              </w:rPr>
            </w:pPr>
            <w:r>
              <w:rPr>
                <w:sz w:val="18"/>
              </w:rPr>
              <w:t>438,015</w:t>
            </w:r>
          </w:p>
        </w:tc>
      </w:tr>
      <w:tr w:rsidR="00FA4AA8" w14:paraId="3B7E3DF5" w14:textId="77777777">
        <w:trPr>
          <w:trHeight w:val="258"/>
        </w:trPr>
        <w:tc>
          <w:tcPr>
            <w:tcW w:w="6381" w:type="dxa"/>
          </w:tcPr>
          <w:p w14:paraId="7752DF52" w14:textId="77777777" w:rsidR="00FA4AA8" w:rsidRDefault="0015611F">
            <w:pPr>
              <w:pStyle w:val="TableParagraph"/>
              <w:spacing w:before="26"/>
              <w:ind w:left="50"/>
              <w:rPr>
                <w:sz w:val="18"/>
              </w:rPr>
            </w:pPr>
            <w:r>
              <w:rPr>
                <w:sz w:val="18"/>
              </w:rPr>
              <w:t>- greater than 5 years</w:t>
            </w:r>
          </w:p>
        </w:tc>
        <w:tc>
          <w:tcPr>
            <w:tcW w:w="1471" w:type="dxa"/>
            <w:tcBorders>
              <w:bottom w:val="single" w:sz="8" w:space="0" w:color="000000"/>
            </w:tcBorders>
          </w:tcPr>
          <w:p w14:paraId="414E3B3C" w14:textId="77777777" w:rsidR="00FA4AA8" w:rsidRDefault="0015611F">
            <w:pPr>
              <w:pStyle w:val="TableParagraph"/>
              <w:spacing w:before="25"/>
              <w:ind w:right="259"/>
              <w:jc w:val="right"/>
              <w:rPr>
                <w:b/>
                <w:sz w:val="18"/>
              </w:rPr>
            </w:pPr>
            <w:r>
              <w:rPr>
                <w:b/>
                <w:sz w:val="18"/>
              </w:rPr>
              <w:t>-</w:t>
            </w:r>
          </w:p>
        </w:tc>
        <w:tc>
          <w:tcPr>
            <w:tcW w:w="1123" w:type="dxa"/>
            <w:tcBorders>
              <w:bottom w:val="single" w:sz="8" w:space="0" w:color="000000"/>
            </w:tcBorders>
          </w:tcPr>
          <w:p w14:paraId="71433CBE" w14:textId="77777777" w:rsidR="00FA4AA8" w:rsidRDefault="0015611F">
            <w:pPr>
              <w:pStyle w:val="TableParagraph"/>
              <w:spacing w:before="25"/>
              <w:ind w:right="85"/>
              <w:jc w:val="right"/>
              <w:rPr>
                <w:sz w:val="18"/>
              </w:rPr>
            </w:pPr>
            <w:r>
              <w:rPr>
                <w:sz w:val="18"/>
              </w:rPr>
              <w:t>-</w:t>
            </w:r>
          </w:p>
        </w:tc>
      </w:tr>
      <w:tr w:rsidR="00FA4AA8" w14:paraId="3831EE68" w14:textId="77777777">
        <w:trPr>
          <w:trHeight w:val="313"/>
        </w:trPr>
        <w:tc>
          <w:tcPr>
            <w:tcW w:w="6381" w:type="dxa"/>
          </w:tcPr>
          <w:p w14:paraId="751BC06F" w14:textId="77777777" w:rsidR="00FA4AA8" w:rsidRDefault="0015611F">
            <w:pPr>
              <w:pStyle w:val="TableParagraph"/>
              <w:spacing w:before="113" w:line="180" w:lineRule="exact"/>
              <w:ind w:left="50"/>
              <w:rPr>
                <w:b/>
                <w:sz w:val="18"/>
              </w:rPr>
            </w:pPr>
            <w:r>
              <w:rPr>
                <w:b/>
                <w:sz w:val="18"/>
              </w:rPr>
              <w:t>Total future minimum lease payments</w:t>
            </w:r>
          </w:p>
        </w:tc>
        <w:tc>
          <w:tcPr>
            <w:tcW w:w="1471" w:type="dxa"/>
            <w:tcBorders>
              <w:top w:val="single" w:sz="8" w:space="0" w:color="000000"/>
              <w:bottom w:val="double" w:sz="3" w:space="0" w:color="000000"/>
            </w:tcBorders>
          </w:tcPr>
          <w:p w14:paraId="44B259C3" w14:textId="77777777" w:rsidR="00FA4AA8" w:rsidRDefault="0015611F">
            <w:pPr>
              <w:pStyle w:val="TableParagraph"/>
              <w:spacing w:before="113" w:line="180" w:lineRule="exact"/>
              <w:ind w:right="259"/>
              <w:jc w:val="right"/>
              <w:rPr>
                <w:b/>
                <w:sz w:val="18"/>
              </w:rPr>
            </w:pPr>
            <w:r>
              <w:rPr>
                <w:b/>
                <w:sz w:val="18"/>
              </w:rPr>
              <w:t>785,718</w:t>
            </w:r>
          </w:p>
        </w:tc>
        <w:tc>
          <w:tcPr>
            <w:tcW w:w="1123" w:type="dxa"/>
            <w:tcBorders>
              <w:top w:val="single" w:sz="8" w:space="0" w:color="000000"/>
              <w:bottom w:val="double" w:sz="3" w:space="0" w:color="000000"/>
            </w:tcBorders>
          </w:tcPr>
          <w:p w14:paraId="092A5600" w14:textId="77777777" w:rsidR="00FA4AA8" w:rsidRDefault="0015611F">
            <w:pPr>
              <w:pStyle w:val="TableParagraph"/>
              <w:spacing w:before="113" w:line="180" w:lineRule="exact"/>
              <w:ind w:right="84"/>
              <w:jc w:val="right"/>
              <w:rPr>
                <w:sz w:val="18"/>
              </w:rPr>
            </w:pPr>
            <w:r>
              <w:rPr>
                <w:sz w:val="18"/>
              </w:rPr>
              <w:t>745,495</w:t>
            </w:r>
          </w:p>
        </w:tc>
      </w:tr>
    </w:tbl>
    <w:p w14:paraId="6E93CC4B" w14:textId="77777777" w:rsidR="00FA4AA8" w:rsidRDefault="00FA4AA8">
      <w:pPr>
        <w:pStyle w:val="BodyText"/>
        <w:rPr>
          <w:sz w:val="20"/>
        </w:rPr>
      </w:pPr>
    </w:p>
    <w:p w14:paraId="37114226" w14:textId="77777777" w:rsidR="00FA4AA8" w:rsidRDefault="00FA4AA8">
      <w:pPr>
        <w:pStyle w:val="BodyText"/>
        <w:rPr>
          <w:sz w:val="20"/>
        </w:rPr>
      </w:pPr>
    </w:p>
    <w:p w14:paraId="2C236AAC" w14:textId="77777777" w:rsidR="00FA4AA8" w:rsidRDefault="00FA4AA8">
      <w:pPr>
        <w:pStyle w:val="BodyText"/>
        <w:spacing w:before="8"/>
        <w:rPr>
          <w:sz w:val="20"/>
        </w:rPr>
      </w:pPr>
    </w:p>
    <w:p w14:paraId="65C00B2B" w14:textId="77777777" w:rsidR="00FA4AA8" w:rsidRDefault="00FA4AA8">
      <w:pPr>
        <w:rPr>
          <w:sz w:val="20"/>
        </w:rPr>
        <w:sectPr w:rsidR="00FA4AA8">
          <w:type w:val="continuous"/>
          <w:pgSz w:w="11910" w:h="16840"/>
          <w:pgMar w:top="20" w:right="840" w:bottom="0" w:left="840" w:header="720" w:footer="720" w:gutter="0"/>
          <w:cols w:space="720"/>
        </w:sectPr>
      </w:pPr>
    </w:p>
    <w:p w14:paraId="137963CA" w14:textId="77777777" w:rsidR="00FA4AA8" w:rsidRDefault="0015611F">
      <w:pPr>
        <w:numPr>
          <w:ilvl w:val="0"/>
          <w:numId w:val="64"/>
        </w:numPr>
        <w:tabs>
          <w:tab w:val="left" w:pos="564"/>
        </w:tabs>
        <w:spacing w:before="94"/>
        <w:rPr>
          <w:b/>
          <w:sz w:val="18"/>
        </w:rPr>
      </w:pPr>
      <w:r>
        <w:rPr>
          <w:b/>
          <w:sz w:val="18"/>
        </w:rPr>
        <w:t>Issued</w:t>
      </w:r>
      <w:r>
        <w:rPr>
          <w:b/>
          <w:spacing w:val="-4"/>
          <w:sz w:val="18"/>
        </w:rPr>
        <w:t xml:space="preserve"> </w:t>
      </w:r>
      <w:r>
        <w:rPr>
          <w:b/>
          <w:sz w:val="18"/>
        </w:rPr>
        <w:t>Capital</w:t>
      </w:r>
    </w:p>
    <w:p w14:paraId="32F5F6D4" w14:textId="77777777" w:rsidR="00FA4AA8" w:rsidRDefault="0015611F">
      <w:pPr>
        <w:pStyle w:val="BodyText"/>
        <w:rPr>
          <w:b/>
          <w:sz w:val="29"/>
        </w:rPr>
      </w:pPr>
      <w:r>
        <w:br w:type="column"/>
      </w:r>
    </w:p>
    <w:p w14:paraId="210AF092" w14:textId="77777777" w:rsidR="00FA4AA8" w:rsidRDefault="0015611F">
      <w:pPr>
        <w:spacing w:before="1"/>
        <w:ind w:left="148" w:right="19"/>
        <w:jc w:val="center"/>
        <w:rPr>
          <w:b/>
          <w:sz w:val="18"/>
        </w:rPr>
      </w:pPr>
      <w:r>
        <w:rPr>
          <w:b/>
          <w:sz w:val="18"/>
        </w:rPr>
        <w:t>2018</w:t>
      </w:r>
    </w:p>
    <w:p w14:paraId="3BBBC471" w14:textId="77777777" w:rsidR="00FA4AA8" w:rsidRDefault="0015611F">
      <w:pPr>
        <w:spacing w:before="66"/>
        <w:ind w:left="130"/>
        <w:jc w:val="center"/>
        <w:rPr>
          <w:b/>
          <w:sz w:val="18"/>
        </w:rPr>
      </w:pPr>
      <w:r>
        <w:rPr>
          <w:b/>
          <w:sz w:val="18"/>
        </w:rPr>
        <w:t>$</w:t>
      </w:r>
    </w:p>
    <w:p w14:paraId="2D6BEDC1" w14:textId="77777777" w:rsidR="00FA4AA8" w:rsidRDefault="0015611F">
      <w:pPr>
        <w:pStyle w:val="BodyText"/>
        <w:rPr>
          <w:b/>
          <w:sz w:val="29"/>
        </w:rPr>
      </w:pPr>
      <w:r>
        <w:br w:type="column"/>
      </w:r>
    </w:p>
    <w:p w14:paraId="208CE2A0" w14:textId="77777777" w:rsidR="00FA4AA8" w:rsidRDefault="0015611F">
      <w:pPr>
        <w:spacing w:before="1"/>
        <w:ind w:left="151" w:right="582"/>
        <w:jc w:val="center"/>
        <w:rPr>
          <w:b/>
          <w:sz w:val="18"/>
        </w:rPr>
      </w:pPr>
      <w:r>
        <w:rPr>
          <w:b/>
          <w:sz w:val="18"/>
        </w:rPr>
        <w:t>2017</w:t>
      </w:r>
    </w:p>
    <w:p w14:paraId="57DEE1F9" w14:textId="77777777" w:rsidR="00FA4AA8" w:rsidRDefault="0015611F">
      <w:pPr>
        <w:spacing w:before="66"/>
        <w:ind w:right="429"/>
        <w:jc w:val="center"/>
        <w:rPr>
          <w:b/>
          <w:sz w:val="18"/>
        </w:rPr>
      </w:pPr>
      <w:r>
        <w:rPr>
          <w:b/>
          <w:sz w:val="18"/>
        </w:rPr>
        <w:t>$</w:t>
      </w:r>
    </w:p>
    <w:p w14:paraId="1C900319" w14:textId="77777777" w:rsidR="00FA4AA8" w:rsidRDefault="00FA4AA8">
      <w:pPr>
        <w:jc w:val="center"/>
        <w:rPr>
          <w:sz w:val="18"/>
        </w:rPr>
        <w:sectPr w:rsidR="00FA4AA8">
          <w:type w:val="continuous"/>
          <w:pgSz w:w="11910" w:h="16840"/>
          <w:pgMar w:top="20" w:right="840" w:bottom="0" w:left="840" w:header="720" w:footer="720" w:gutter="0"/>
          <w:cols w:num="3" w:space="720" w:equalWidth="0">
            <w:col w:w="1825" w:space="5946"/>
            <w:col w:w="608" w:space="676"/>
            <w:col w:w="1175"/>
          </w:cols>
        </w:sectPr>
      </w:pPr>
    </w:p>
    <w:p w14:paraId="5BD3904D" w14:textId="77777777" w:rsidR="00FA4AA8" w:rsidRDefault="007E2441">
      <w:pPr>
        <w:pStyle w:val="BodyText"/>
        <w:tabs>
          <w:tab w:val="left" w:pos="8600"/>
          <w:tab w:val="right" w:pos="9998"/>
        </w:tabs>
        <w:spacing w:before="63"/>
        <w:ind w:left="565"/>
      </w:pPr>
      <w:r>
        <w:rPr>
          <w:noProof/>
          <w:lang w:val="en-AU" w:eastAsia="en-AU"/>
        </w:rPr>
        <mc:AlternateContent>
          <mc:Choice Requires="wpg">
            <w:drawing>
              <wp:anchor distT="0" distB="0" distL="114300" distR="114300" simplePos="0" relativeHeight="15770112" behindDoc="0" locked="0" layoutInCell="1" allowOverlap="1" wp14:anchorId="613554ED" wp14:editId="5607F830">
                <wp:simplePos x="0" y="0"/>
                <wp:positionH relativeFrom="page">
                  <wp:posOffset>5290820</wp:posOffset>
                </wp:positionH>
                <wp:positionV relativeFrom="paragraph">
                  <wp:posOffset>187960</wp:posOffset>
                </wp:positionV>
                <wp:extent cx="1647825" cy="12700"/>
                <wp:effectExtent l="0" t="0" r="0" b="0"/>
                <wp:wrapNone/>
                <wp:docPr id="1630" name="Group 1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7825" cy="12700"/>
                          <a:chOff x="8332" y="296"/>
                          <a:chExt cx="2595" cy="20"/>
                        </a:xfrm>
                      </wpg:grpSpPr>
                      <wps:wsp>
                        <wps:cNvPr id="1631" name="Line 1428"/>
                        <wps:cNvCnPr>
                          <a:cxnSpLocks noChangeShapeType="1"/>
                        </wps:cNvCnPr>
                        <wps:spPr bwMode="auto">
                          <a:xfrm>
                            <a:off x="8332" y="29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632" name="Line 1427"/>
                        <wps:cNvCnPr>
                          <a:cxnSpLocks noChangeShapeType="1"/>
                        </wps:cNvCnPr>
                        <wps:spPr bwMode="auto">
                          <a:xfrm>
                            <a:off x="8332" y="298"/>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633" name="Line 1426"/>
                        <wps:cNvCnPr>
                          <a:cxnSpLocks noChangeShapeType="1"/>
                        </wps:cNvCnPr>
                        <wps:spPr bwMode="auto">
                          <a:xfrm>
                            <a:off x="8332" y="29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634" name="Line 1425"/>
                        <wps:cNvCnPr>
                          <a:cxnSpLocks noChangeShapeType="1"/>
                        </wps:cNvCnPr>
                        <wps:spPr bwMode="auto">
                          <a:xfrm>
                            <a:off x="8332" y="300"/>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635" name="Line 1424"/>
                        <wps:cNvCnPr>
                          <a:cxnSpLocks noChangeShapeType="1"/>
                        </wps:cNvCnPr>
                        <wps:spPr bwMode="auto">
                          <a:xfrm>
                            <a:off x="8332" y="30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636" name="Line 1423"/>
                        <wps:cNvCnPr>
                          <a:cxnSpLocks noChangeShapeType="1"/>
                        </wps:cNvCnPr>
                        <wps:spPr bwMode="auto">
                          <a:xfrm>
                            <a:off x="8332" y="30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637" name="Line 1422"/>
                        <wps:cNvCnPr>
                          <a:cxnSpLocks noChangeShapeType="1"/>
                        </wps:cNvCnPr>
                        <wps:spPr bwMode="auto">
                          <a:xfrm>
                            <a:off x="8332" y="30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638" name="Line 1421"/>
                        <wps:cNvCnPr>
                          <a:cxnSpLocks noChangeShapeType="1"/>
                        </wps:cNvCnPr>
                        <wps:spPr bwMode="auto">
                          <a:xfrm>
                            <a:off x="8332" y="30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639" name="Line 1420"/>
                        <wps:cNvCnPr>
                          <a:cxnSpLocks noChangeShapeType="1"/>
                        </wps:cNvCnPr>
                        <wps:spPr bwMode="auto">
                          <a:xfrm>
                            <a:off x="8332" y="306"/>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640" name="Line 1419"/>
                        <wps:cNvCnPr>
                          <a:cxnSpLocks noChangeShapeType="1"/>
                        </wps:cNvCnPr>
                        <wps:spPr bwMode="auto">
                          <a:xfrm>
                            <a:off x="8332" y="30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641" name="Line 1418"/>
                        <wps:cNvCnPr>
                          <a:cxnSpLocks noChangeShapeType="1"/>
                        </wps:cNvCnPr>
                        <wps:spPr bwMode="auto">
                          <a:xfrm>
                            <a:off x="8332" y="30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642" name="Line 1417"/>
                        <wps:cNvCnPr>
                          <a:cxnSpLocks noChangeShapeType="1"/>
                        </wps:cNvCnPr>
                        <wps:spPr bwMode="auto">
                          <a:xfrm>
                            <a:off x="8332" y="310"/>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643" name="Line 1416"/>
                        <wps:cNvCnPr>
                          <a:cxnSpLocks noChangeShapeType="1"/>
                        </wps:cNvCnPr>
                        <wps:spPr bwMode="auto">
                          <a:xfrm>
                            <a:off x="8332" y="31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644" name="Line 1415"/>
                        <wps:cNvCnPr>
                          <a:cxnSpLocks noChangeShapeType="1"/>
                        </wps:cNvCnPr>
                        <wps:spPr bwMode="auto">
                          <a:xfrm>
                            <a:off x="8332" y="312"/>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645" name="Line 1414"/>
                        <wps:cNvCnPr>
                          <a:cxnSpLocks noChangeShapeType="1"/>
                        </wps:cNvCnPr>
                        <wps:spPr bwMode="auto">
                          <a:xfrm>
                            <a:off x="8332" y="31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646" name="Line 1413"/>
                        <wps:cNvCnPr>
                          <a:cxnSpLocks noChangeShapeType="1"/>
                        </wps:cNvCnPr>
                        <wps:spPr bwMode="auto">
                          <a:xfrm>
                            <a:off x="8332" y="31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647" name="Line 1412"/>
                        <wps:cNvCnPr>
                          <a:cxnSpLocks noChangeShapeType="1"/>
                        </wps:cNvCnPr>
                        <wps:spPr bwMode="auto">
                          <a:xfrm>
                            <a:off x="9629" y="29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648" name="Line 1411"/>
                        <wps:cNvCnPr>
                          <a:cxnSpLocks noChangeShapeType="1"/>
                        </wps:cNvCnPr>
                        <wps:spPr bwMode="auto">
                          <a:xfrm>
                            <a:off x="9629" y="298"/>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649" name="Line 1410"/>
                        <wps:cNvCnPr>
                          <a:cxnSpLocks noChangeShapeType="1"/>
                        </wps:cNvCnPr>
                        <wps:spPr bwMode="auto">
                          <a:xfrm>
                            <a:off x="9629" y="29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650" name="Line 1409"/>
                        <wps:cNvCnPr>
                          <a:cxnSpLocks noChangeShapeType="1"/>
                        </wps:cNvCnPr>
                        <wps:spPr bwMode="auto">
                          <a:xfrm>
                            <a:off x="9629" y="300"/>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651" name="Line 1408"/>
                        <wps:cNvCnPr>
                          <a:cxnSpLocks noChangeShapeType="1"/>
                        </wps:cNvCnPr>
                        <wps:spPr bwMode="auto">
                          <a:xfrm>
                            <a:off x="9629" y="30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652" name="Line 1407"/>
                        <wps:cNvCnPr>
                          <a:cxnSpLocks noChangeShapeType="1"/>
                        </wps:cNvCnPr>
                        <wps:spPr bwMode="auto">
                          <a:xfrm>
                            <a:off x="9629" y="30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653" name="Line 1406"/>
                        <wps:cNvCnPr>
                          <a:cxnSpLocks noChangeShapeType="1"/>
                        </wps:cNvCnPr>
                        <wps:spPr bwMode="auto">
                          <a:xfrm>
                            <a:off x="9629" y="30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654" name="Line 1405"/>
                        <wps:cNvCnPr>
                          <a:cxnSpLocks noChangeShapeType="1"/>
                        </wps:cNvCnPr>
                        <wps:spPr bwMode="auto">
                          <a:xfrm>
                            <a:off x="9629" y="30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655" name="Line 1404"/>
                        <wps:cNvCnPr>
                          <a:cxnSpLocks noChangeShapeType="1"/>
                        </wps:cNvCnPr>
                        <wps:spPr bwMode="auto">
                          <a:xfrm>
                            <a:off x="9629" y="306"/>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656" name="Line 1403"/>
                        <wps:cNvCnPr>
                          <a:cxnSpLocks noChangeShapeType="1"/>
                        </wps:cNvCnPr>
                        <wps:spPr bwMode="auto">
                          <a:xfrm>
                            <a:off x="9629" y="30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657" name="Line 1402"/>
                        <wps:cNvCnPr>
                          <a:cxnSpLocks noChangeShapeType="1"/>
                        </wps:cNvCnPr>
                        <wps:spPr bwMode="auto">
                          <a:xfrm>
                            <a:off x="9629" y="30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658" name="Line 1401"/>
                        <wps:cNvCnPr>
                          <a:cxnSpLocks noChangeShapeType="1"/>
                        </wps:cNvCnPr>
                        <wps:spPr bwMode="auto">
                          <a:xfrm>
                            <a:off x="9629" y="310"/>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659" name="Line 1400"/>
                        <wps:cNvCnPr>
                          <a:cxnSpLocks noChangeShapeType="1"/>
                        </wps:cNvCnPr>
                        <wps:spPr bwMode="auto">
                          <a:xfrm>
                            <a:off x="9629" y="31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660" name="Line 1399"/>
                        <wps:cNvCnPr>
                          <a:cxnSpLocks noChangeShapeType="1"/>
                        </wps:cNvCnPr>
                        <wps:spPr bwMode="auto">
                          <a:xfrm>
                            <a:off x="9629" y="312"/>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661" name="Line 1398"/>
                        <wps:cNvCnPr>
                          <a:cxnSpLocks noChangeShapeType="1"/>
                        </wps:cNvCnPr>
                        <wps:spPr bwMode="auto">
                          <a:xfrm>
                            <a:off x="9629" y="31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662" name="Line 1397"/>
                        <wps:cNvCnPr>
                          <a:cxnSpLocks noChangeShapeType="1"/>
                        </wps:cNvCnPr>
                        <wps:spPr bwMode="auto">
                          <a:xfrm>
                            <a:off x="9629" y="31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92BDD9" id="Group 1396" o:spid="_x0000_s1026" style="position:absolute;margin-left:416.6pt;margin-top:14.8pt;width:129.75pt;height:1pt;z-index:15770112;mso-position-horizontal-relative:page" coordorigin="8332,296" coordsize="259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">
                <v:line id="Line 1428" o:spid="_x0000_s1027" style="position:absolute;visibility:visible;mso-wrap-style:square" from="8332,297" to="962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" strokeweight=".06pt"/>
                <v:line id="Line 1427" o:spid="_x0000_s1028" style="position:absolute;visibility:visible;mso-wrap-style:square" from="8332,298" to="9629,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" strokeweight=".06pt"/>
                <v:line id="Line 1426" o:spid="_x0000_s1029" style="position:absolute;visibility:visible;mso-wrap-style:square" from="8332,299" to="9629,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" strokeweight=".06pt"/>
                <v:line id="Line 1425" o:spid="_x0000_s1030" style="position:absolute;visibility:visible;mso-wrap-style:square" from="8332,300" to="9629,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" strokeweight=".06pt"/>
                <v:line id="Line 1424" o:spid="_x0000_s1031" style="position:absolute;visibility:visible;mso-wrap-style:square" from="8332,301" to="9629,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" strokeweight=".06pt"/>
                <v:line id="Line 1423" o:spid="_x0000_s1032" style="position:absolute;visibility:visible;mso-wrap-style:square" from="8332,303" to="9629,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" strokeweight=".06pt"/>
                <v:line id="Line 1422" o:spid="_x0000_s1033" style="position:absolute;visibility:visible;mso-wrap-style:square" from="8332,304" to="9629,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" strokeweight=".06pt"/>
                <v:line id="Line 1421" o:spid="_x0000_s1034" style="position:absolute;visibility:visible;mso-wrap-style:square" from="8332,305" to="9629,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" strokeweight=".06pt"/>
                <v:line id="Line 1420" o:spid="_x0000_s1035" style="position:absolute;visibility:visible;mso-wrap-style:square" from="8332,306" to="9629,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" strokeweight=".06pt"/>
                <v:line id="Line 1419" o:spid="_x0000_s1036" style="position:absolute;visibility:visible;mso-wrap-style:square" from="8332,307" to="9629,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" strokeweight=".06pt"/>
                <v:line id="Line 1418" o:spid="_x0000_s1037" style="position:absolute;visibility:visible;mso-wrap-style:square" from="8332,309" to="9629,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" strokeweight=".06pt"/>
                <v:line id="Line 1417" o:spid="_x0000_s1038" style="position:absolute;visibility:visible;mso-wrap-style:square" from="8332,310" to="9629,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" strokeweight=".06pt"/>
                <v:line id="Line 1416" o:spid="_x0000_s1039" style="position:absolute;visibility:visible;mso-wrap-style:square" from="8332,311" to="9629,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" strokeweight=".06pt"/>
                <v:line id="Line 1415" o:spid="_x0000_s1040" style="position:absolute;visibility:visible;mso-wrap-style:square" from="8332,312" to="9629,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" strokeweight=".06pt"/>
                <v:line id="Line 1414" o:spid="_x0000_s1041" style="position:absolute;visibility:visible;mso-wrap-style:square" from="8332,313" to="9629,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" strokeweight=".06pt"/>
                <v:line id="Line 1413" o:spid="_x0000_s1042" style="position:absolute;visibility:visible;mso-wrap-style:square" from="8332,315" to="9629,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" strokeweight=".06pt"/>
                <v:line id="Line 1412" o:spid="_x0000_s1043" style="position:absolute;visibility:visible;mso-wrap-style:square" from="9629,297" to="10926,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" strokeweight=".06pt"/>
                <v:line id="Line 1411" o:spid="_x0000_s1044" style="position:absolute;visibility:visible;mso-wrap-style:square" from="9629,298" to="10926,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" strokeweight=".06pt"/>
                <v:line id="Line 1410" o:spid="_x0000_s1045" style="position:absolute;visibility:visible;mso-wrap-style:square" from="9629,299" to="10926,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" strokeweight=".06pt"/>
                <v:line id="Line 1409" o:spid="_x0000_s1046" style="position:absolute;visibility:visible;mso-wrap-style:square" from="9629,300" to="10926,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" strokeweight=".06pt"/>
                <v:line id="Line 1408" o:spid="_x0000_s1047" style="position:absolute;visibility:visible;mso-wrap-style:square" from="9629,301" to="10926,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" strokeweight=".06pt"/>
                <v:line id="Line 1407" o:spid="_x0000_s1048" style="position:absolute;visibility:visible;mso-wrap-style:square" from="9629,303" to="1092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" strokeweight=".06pt"/>
                <v:line id="Line 1406" o:spid="_x0000_s1049" style="position:absolute;visibility:visible;mso-wrap-style:square" from="9629,304" to="10926,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" strokeweight=".06pt"/>
                <v:line id="Line 1405" o:spid="_x0000_s1050" style="position:absolute;visibility:visible;mso-wrap-style:square" from="9629,305" to="10926,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" strokeweight=".06pt"/>
                <v:line id="Line 1404" o:spid="_x0000_s1051" style="position:absolute;visibility:visible;mso-wrap-style:square" from="9629,306" to="1092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" strokeweight=".06pt"/>
                <v:line id="Line 1403" o:spid="_x0000_s1052" style="position:absolute;visibility:visible;mso-wrap-style:square" from="9629,307" to="10926,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" strokeweight=".06pt"/>
                <v:line id="Line 1402" o:spid="_x0000_s1053" style="position:absolute;visibility:visible;mso-wrap-style:square" from="9629,309" to="10926,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" strokeweight=".06pt"/>
                <v:line id="Line 1401" o:spid="_x0000_s1054" style="position:absolute;visibility:visible;mso-wrap-style:square" from="9629,310" to="10926,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" strokeweight=".06pt"/>
                <v:line id="Line 1400" o:spid="_x0000_s1055" style="position:absolute;visibility:visible;mso-wrap-style:square" from="9629,311" to="10926,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" strokeweight=".06pt"/>
                <v:line id="Line 1399" o:spid="_x0000_s1056" style="position:absolute;visibility:visible;mso-wrap-style:square" from="9629,312" to="10926,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" strokeweight=".06pt"/>
                <v:line id="Line 1398" o:spid="_x0000_s1057" style="position:absolute;visibility:visible;mso-wrap-style:square" from="9629,313" to="1092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" strokeweight=".06pt"/>
                <v:line id="Line 1397" o:spid="_x0000_s1058" style="position:absolute;visibility:visible;mso-wrap-style:square" from="9629,315" to="1092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" strokeweight=".06pt"/>
                <w10:wrap anchorx="page"/>
              </v:group>
            </w:pict>
          </mc:Fallback>
        </mc:AlternateContent>
      </w:r>
      <w:r w:rsidR="0015611F">
        <w:t>Ordinary</w:t>
      </w:r>
      <w:r w:rsidR="0015611F">
        <w:rPr>
          <w:spacing w:val="-5"/>
        </w:rPr>
        <w:t xml:space="preserve"> </w:t>
      </w:r>
      <w:r w:rsidR="0015611F">
        <w:t>shares</w:t>
      </w:r>
      <w:r w:rsidR="0015611F">
        <w:tab/>
      </w:r>
      <w:r w:rsidR="0015611F">
        <w:rPr>
          <w:b/>
        </w:rPr>
        <w:t>1</w:t>
      </w:r>
      <w:r w:rsidR="0015611F">
        <w:rPr>
          <w:b/>
        </w:rPr>
        <w:tab/>
      </w:r>
      <w:r w:rsidR="0015611F">
        <w:t>1</w:t>
      </w:r>
    </w:p>
    <w:p w14:paraId="5E53B8FB" w14:textId="77777777" w:rsidR="00FA4AA8" w:rsidRDefault="0015611F">
      <w:pPr>
        <w:tabs>
          <w:tab w:val="left" w:pos="8600"/>
          <w:tab w:val="right" w:pos="9998"/>
        </w:tabs>
        <w:spacing w:before="159"/>
        <w:ind w:left="565"/>
        <w:rPr>
          <w:sz w:val="18"/>
        </w:rPr>
      </w:pPr>
      <w:r>
        <w:rPr>
          <w:b/>
          <w:sz w:val="18"/>
        </w:rPr>
        <w:t>Total contributed equity</w:t>
      </w:r>
      <w:r>
        <w:rPr>
          <w:b/>
          <w:sz w:val="18"/>
        </w:rPr>
        <w:tab/>
        <w:t>1</w:t>
      </w:r>
      <w:r>
        <w:rPr>
          <w:b/>
          <w:sz w:val="18"/>
        </w:rPr>
        <w:tab/>
      </w:r>
      <w:r>
        <w:rPr>
          <w:sz w:val="18"/>
        </w:rPr>
        <w:t>1</w:t>
      </w:r>
    </w:p>
    <w:p w14:paraId="4CEC5B4F" w14:textId="77777777" w:rsidR="00FA4AA8" w:rsidRDefault="007E2441">
      <w:pPr>
        <w:pStyle w:val="BodyText"/>
        <w:spacing w:line="50" w:lineRule="exact"/>
        <w:ind w:left="7490"/>
        <w:rPr>
          <w:sz w:val="5"/>
        </w:rPr>
      </w:pPr>
      <w:r>
        <w:rPr>
          <w:noProof/>
          <w:sz w:val="5"/>
          <w:lang w:val="en-AU" w:eastAsia="en-AU"/>
        </w:rPr>
        <mc:AlternateContent>
          <mc:Choice Requires="wpg">
            <w:drawing>
              <wp:inline distT="0" distB="0" distL="0" distR="0" wp14:anchorId="0AC93F74" wp14:editId="6593FBD6">
                <wp:extent cx="1647825" cy="31750"/>
                <wp:effectExtent l="9525" t="9525" r="9525" b="6350"/>
                <wp:docPr id="1577" name="Group 1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7825" cy="31750"/>
                          <a:chOff x="0" y="0"/>
                          <a:chExt cx="2595" cy="50"/>
                        </a:xfrm>
                      </wpg:grpSpPr>
                      <wps:wsp>
                        <wps:cNvPr id="1578" name="Line 1395"/>
                        <wps:cNvCnPr>
                          <a:cxnSpLocks noChangeShapeType="1"/>
                        </wps:cNvCnPr>
                        <wps:spPr bwMode="auto">
                          <a:xfrm>
                            <a:off x="0" y="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579" name="Line 1394"/>
                        <wps:cNvCnPr>
                          <a:cxnSpLocks noChangeShapeType="1"/>
                        </wps:cNvCnPr>
                        <wps:spPr bwMode="auto">
                          <a:xfrm>
                            <a:off x="0" y="2"/>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580" name="Line 1393"/>
                        <wps:cNvCnPr>
                          <a:cxnSpLocks noChangeShapeType="1"/>
                        </wps:cNvCnPr>
                        <wps:spPr bwMode="auto">
                          <a:xfrm>
                            <a:off x="0" y="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581" name="Line 1392"/>
                        <wps:cNvCnPr>
                          <a:cxnSpLocks noChangeShapeType="1"/>
                        </wps:cNvCnPr>
                        <wps:spPr bwMode="auto">
                          <a:xfrm>
                            <a:off x="0" y="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582" name="Line 1391"/>
                        <wps:cNvCnPr>
                          <a:cxnSpLocks noChangeShapeType="1"/>
                        </wps:cNvCnPr>
                        <wps:spPr bwMode="auto">
                          <a:xfrm>
                            <a:off x="0" y="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583" name="Line 1390"/>
                        <wps:cNvCnPr>
                          <a:cxnSpLocks noChangeShapeType="1"/>
                        </wps:cNvCnPr>
                        <wps:spPr bwMode="auto">
                          <a:xfrm>
                            <a:off x="0" y="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584" name="Line 1389"/>
                        <wps:cNvCnPr>
                          <a:cxnSpLocks noChangeShapeType="1"/>
                        </wps:cNvCnPr>
                        <wps:spPr bwMode="auto">
                          <a:xfrm>
                            <a:off x="0" y="8"/>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585" name="Line 1388"/>
                        <wps:cNvCnPr>
                          <a:cxnSpLocks noChangeShapeType="1"/>
                        </wps:cNvCnPr>
                        <wps:spPr bwMode="auto">
                          <a:xfrm>
                            <a:off x="0" y="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586" name="Line 1387"/>
                        <wps:cNvCnPr>
                          <a:cxnSpLocks noChangeShapeType="1"/>
                        </wps:cNvCnPr>
                        <wps:spPr bwMode="auto">
                          <a:xfrm>
                            <a:off x="0" y="10"/>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587" name="Line 1386"/>
                        <wps:cNvCnPr>
                          <a:cxnSpLocks noChangeShapeType="1"/>
                        </wps:cNvCnPr>
                        <wps:spPr bwMode="auto">
                          <a:xfrm>
                            <a:off x="0" y="1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588" name="Line 1385"/>
                        <wps:cNvCnPr>
                          <a:cxnSpLocks noChangeShapeType="1"/>
                        </wps:cNvCnPr>
                        <wps:spPr bwMode="auto">
                          <a:xfrm>
                            <a:off x="0" y="1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589" name="Line 1384"/>
                        <wps:cNvCnPr>
                          <a:cxnSpLocks noChangeShapeType="1"/>
                        </wps:cNvCnPr>
                        <wps:spPr bwMode="auto">
                          <a:xfrm>
                            <a:off x="0" y="1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590" name="Line 1383"/>
                        <wps:cNvCnPr>
                          <a:cxnSpLocks noChangeShapeType="1"/>
                        </wps:cNvCnPr>
                        <wps:spPr bwMode="auto">
                          <a:xfrm>
                            <a:off x="0" y="1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591" name="Line 1382"/>
                        <wps:cNvCnPr>
                          <a:cxnSpLocks noChangeShapeType="1"/>
                        </wps:cNvCnPr>
                        <wps:spPr bwMode="auto">
                          <a:xfrm>
                            <a:off x="0" y="3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592" name="Line 1381"/>
                        <wps:cNvCnPr>
                          <a:cxnSpLocks noChangeShapeType="1"/>
                        </wps:cNvCnPr>
                        <wps:spPr bwMode="auto">
                          <a:xfrm>
                            <a:off x="0" y="3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593" name="Line 1380"/>
                        <wps:cNvCnPr>
                          <a:cxnSpLocks noChangeShapeType="1"/>
                        </wps:cNvCnPr>
                        <wps:spPr bwMode="auto">
                          <a:xfrm>
                            <a:off x="0" y="3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594" name="Line 1379"/>
                        <wps:cNvCnPr>
                          <a:cxnSpLocks noChangeShapeType="1"/>
                        </wps:cNvCnPr>
                        <wps:spPr bwMode="auto">
                          <a:xfrm>
                            <a:off x="0" y="38"/>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595" name="Line 1378"/>
                        <wps:cNvCnPr>
                          <a:cxnSpLocks noChangeShapeType="1"/>
                        </wps:cNvCnPr>
                        <wps:spPr bwMode="auto">
                          <a:xfrm>
                            <a:off x="0" y="3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596" name="Line 1377"/>
                        <wps:cNvCnPr>
                          <a:cxnSpLocks noChangeShapeType="1"/>
                        </wps:cNvCnPr>
                        <wps:spPr bwMode="auto">
                          <a:xfrm>
                            <a:off x="0" y="40"/>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597" name="Line 1376"/>
                        <wps:cNvCnPr>
                          <a:cxnSpLocks noChangeShapeType="1"/>
                        </wps:cNvCnPr>
                        <wps:spPr bwMode="auto">
                          <a:xfrm>
                            <a:off x="0" y="4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598" name="Line 1375"/>
                        <wps:cNvCnPr>
                          <a:cxnSpLocks noChangeShapeType="1"/>
                        </wps:cNvCnPr>
                        <wps:spPr bwMode="auto">
                          <a:xfrm>
                            <a:off x="0" y="4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599" name="Line 1374"/>
                        <wps:cNvCnPr>
                          <a:cxnSpLocks noChangeShapeType="1"/>
                        </wps:cNvCnPr>
                        <wps:spPr bwMode="auto">
                          <a:xfrm>
                            <a:off x="0" y="4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600" name="Line 1373"/>
                        <wps:cNvCnPr>
                          <a:cxnSpLocks noChangeShapeType="1"/>
                        </wps:cNvCnPr>
                        <wps:spPr bwMode="auto">
                          <a:xfrm>
                            <a:off x="0" y="4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601" name="Line 1372"/>
                        <wps:cNvCnPr>
                          <a:cxnSpLocks noChangeShapeType="1"/>
                        </wps:cNvCnPr>
                        <wps:spPr bwMode="auto">
                          <a:xfrm>
                            <a:off x="0" y="46"/>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602" name="Line 1371"/>
                        <wps:cNvCnPr>
                          <a:cxnSpLocks noChangeShapeType="1"/>
                        </wps:cNvCnPr>
                        <wps:spPr bwMode="auto">
                          <a:xfrm>
                            <a:off x="0" y="4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603" name="Line 1370"/>
                        <wps:cNvCnPr>
                          <a:cxnSpLocks noChangeShapeType="1"/>
                        </wps:cNvCnPr>
                        <wps:spPr bwMode="auto">
                          <a:xfrm>
                            <a:off x="0" y="4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604" name="Line 1369"/>
                        <wps:cNvCnPr>
                          <a:cxnSpLocks noChangeShapeType="1"/>
                        </wps:cNvCnPr>
                        <wps:spPr bwMode="auto">
                          <a:xfrm>
                            <a:off x="1297" y="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605" name="Line 1368"/>
                        <wps:cNvCnPr>
                          <a:cxnSpLocks noChangeShapeType="1"/>
                        </wps:cNvCnPr>
                        <wps:spPr bwMode="auto">
                          <a:xfrm>
                            <a:off x="1297" y="2"/>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606" name="Line 1367"/>
                        <wps:cNvCnPr>
                          <a:cxnSpLocks noChangeShapeType="1"/>
                        </wps:cNvCnPr>
                        <wps:spPr bwMode="auto">
                          <a:xfrm>
                            <a:off x="1297" y="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607" name="Line 1366"/>
                        <wps:cNvCnPr>
                          <a:cxnSpLocks noChangeShapeType="1"/>
                        </wps:cNvCnPr>
                        <wps:spPr bwMode="auto">
                          <a:xfrm>
                            <a:off x="1297" y="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608" name="Line 1365"/>
                        <wps:cNvCnPr>
                          <a:cxnSpLocks noChangeShapeType="1"/>
                        </wps:cNvCnPr>
                        <wps:spPr bwMode="auto">
                          <a:xfrm>
                            <a:off x="1297" y="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609" name="Line 1364"/>
                        <wps:cNvCnPr>
                          <a:cxnSpLocks noChangeShapeType="1"/>
                        </wps:cNvCnPr>
                        <wps:spPr bwMode="auto">
                          <a:xfrm>
                            <a:off x="1297" y="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610" name="Line 1363"/>
                        <wps:cNvCnPr>
                          <a:cxnSpLocks noChangeShapeType="1"/>
                        </wps:cNvCnPr>
                        <wps:spPr bwMode="auto">
                          <a:xfrm>
                            <a:off x="1297" y="8"/>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611" name="Line 1362"/>
                        <wps:cNvCnPr>
                          <a:cxnSpLocks noChangeShapeType="1"/>
                        </wps:cNvCnPr>
                        <wps:spPr bwMode="auto">
                          <a:xfrm>
                            <a:off x="1297" y="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612" name="Line 1361"/>
                        <wps:cNvCnPr>
                          <a:cxnSpLocks noChangeShapeType="1"/>
                        </wps:cNvCnPr>
                        <wps:spPr bwMode="auto">
                          <a:xfrm>
                            <a:off x="1297" y="10"/>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613" name="Line 1360"/>
                        <wps:cNvCnPr>
                          <a:cxnSpLocks noChangeShapeType="1"/>
                        </wps:cNvCnPr>
                        <wps:spPr bwMode="auto">
                          <a:xfrm>
                            <a:off x="1297" y="1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614" name="Line 1359"/>
                        <wps:cNvCnPr>
                          <a:cxnSpLocks noChangeShapeType="1"/>
                        </wps:cNvCnPr>
                        <wps:spPr bwMode="auto">
                          <a:xfrm>
                            <a:off x="1297" y="1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615" name="Line 1358"/>
                        <wps:cNvCnPr>
                          <a:cxnSpLocks noChangeShapeType="1"/>
                        </wps:cNvCnPr>
                        <wps:spPr bwMode="auto">
                          <a:xfrm>
                            <a:off x="1297" y="1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616" name="Line 1357"/>
                        <wps:cNvCnPr>
                          <a:cxnSpLocks noChangeShapeType="1"/>
                        </wps:cNvCnPr>
                        <wps:spPr bwMode="auto">
                          <a:xfrm>
                            <a:off x="1297" y="1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617" name="Line 1356"/>
                        <wps:cNvCnPr>
                          <a:cxnSpLocks noChangeShapeType="1"/>
                        </wps:cNvCnPr>
                        <wps:spPr bwMode="auto">
                          <a:xfrm>
                            <a:off x="1297" y="3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618" name="Line 1355"/>
                        <wps:cNvCnPr>
                          <a:cxnSpLocks noChangeShapeType="1"/>
                        </wps:cNvCnPr>
                        <wps:spPr bwMode="auto">
                          <a:xfrm>
                            <a:off x="1297" y="3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619" name="Line 1354"/>
                        <wps:cNvCnPr>
                          <a:cxnSpLocks noChangeShapeType="1"/>
                        </wps:cNvCnPr>
                        <wps:spPr bwMode="auto">
                          <a:xfrm>
                            <a:off x="1297" y="3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620" name="Line 1353"/>
                        <wps:cNvCnPr>
                          <a:cxnSpLocks noChangeShapeType="1"/>
                        </wps:cNvCnPr>
                        <wps:spPr bwMode="auto">
                          <a:xfrm>
                            <a:off x="1297" y="38"/>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621" name="Line 1352"/>
                        <wps:cNvCnPr>
                          <a:cxnSpLocks noChangeShapeType="1"/>
                        </wps:cNvCnPr>
                        <wps:spPr bwMode="auto">
                          <a:xfrm>
                            <a:off x="1297" y="3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622" name="Line 1351"/>
                        <wps:cNvCnPr>
                          <a:cxnSpLocks noChangeShapeType="1"/>
                        </wps:cNvCnPr>
                        <wps:spPr bwMode="auto">
                          <a:xfrm>
                            <a:off x="1297" y="40"/>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623" name="Line 1350"/>
                        <wps:cNvCnPr>
                          <a:cxnSpLocks noChangeShapeType="1"/>
                        </wps:cNvCnPr>
                        <wps:spPr bwMode="auto">
                          <a:xfrm>
                            <a:off x="1297" y="4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624" name="Line 1349"/>
                        <wps:cNvCnPr>
                          <a:cxnSpLocks noChangeShapeType="1"/>
                        </wps:cNvCnPr>
                        <wps:spPr bwMode="auto">
                          <a:xfrm>
                            <a:off x="1297" y="4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625" name="Line 1348"/>
                        <wps:cNvCnPr>
                          <a:cxnSpLocks noChangeShapeType="1"/>
                        </wps:cNvCnPr>
                        <wps:spPr bwMode="auto">
                          <a:xfrm>
                            <a:off x="1297" y="4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626" name="Line 1347"/>
                        <wps:cNvCnPr>
                          <a:cxnSpLocks noChangeShapeType="1"/>
                        </wps:cNvCnPr>
                        <wps:spPr bwMode="auto">
                          <a:xfrm>
                            <a:off x="1297" y="4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627" name="Line 1346"/>
                        <wps:cNvCnPr>
                          <a:cxnSpLocks noChangeShapeType="1"/>
                        </wps:cNvCnPr>
                        <wps:spPr bwMode="auto">
                          <a:xfrm>
                            <a:off x="1297" y="46"/>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628" name="Line 1345"/>
                        <wps:cNvCnPr>
                          <a:cxnSpLocks noChangeShapeType="1"/>
                        </wps:cNvCnPr>
                        <wps:spPr bwMode="auto">
                          <a:xfrm>
                            <a:off x="1297" y="4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629" name="Line 1344"/>
                        <wps:cNvCnPr>
                          <a:cxnSpLocks noChangeShapeType="1"/>
                        </wps:cNvCnPr>
                        <wps:spPr bwMode="auto">
                          <a:xfrm>
                            <a:off x="1297" y="4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C7F8322" id="Group 1343" o:spid="_x0000_s1026" style="width:129.75pt;height:2.5pt;mso-position-horizontal-relative:char;mso-position-vertical-relative:line" coordsize="25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">
                <v:line id="Line 1395" o:spid="_x0000_s1027" style="position:absolute;visibility:visible;mso-wrap-style:square" from="0,1" to="12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" strokeweight=".06pt"/>
                <v:line id="Line 1394" o:spid="_x0000_s1028" style="position:absolute;visibility:visible;mso-wrap-style:square" from="0,2" to="12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" strokeweight=".06pt"/>
                <v:line id="Line 1393" o:spid="_x0000_s1029" style="position:absolute;visibility:visible;mso-wrap-style:square" from="0,3" to="12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" strokeweight=".06pt"/>
                <v:line id="Line 1392" o:spid="_x0000_s1030" style="position:absolute;visibility:visible;mso-wrap-style:square" from="0,4" to="12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" strokeweight=".06pt"/>
                <v:line id="Line 1391" o:spid="_x0000_s1031" style="position:absolute;visibility:visible;mso-wrap-style:square" from="0,5" to="12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" strokeweight=".06pt"/>
                <v:line id="Line 1390" o:spid="_x0000_s1032" style="position:absolute;visibility:visible;mso-wrap-style:square" from="0,7" to="12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" strokeweight=".06pt"/>
                <v:line id="Line 1389" o:spid="_x0000_s1033" style="position:absolute;visibility:visible;mso-wrap-style:square" from="0,8" to="12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" strokeweight=".06pt"/>
                <v:line id="Line 1388" o:spid="_x0000_s1034" style="position:absolute;visibility:visible;mso-wrap-style:square" from="0,9" to="12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" strokeweight=".06pt"/>
                <v:line id="Line 1387" o:spid="_x0000_s1035" style="position:absolute;visibility:visible;mso-wrap-style:square" from="0,10" to="129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" strokeweight=".06pt"/>
                <v:line id="Line 1386" o:spid="_x0000_s1036" style="position:absolute;visibility:visible;mso-wrap-style:square" from="0,11" to="129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" strokeweight=".06pt"/>
                <v:line id="Line 1385" o:spid="_x0000_s1037" style="position:absolute;visibility:visible;mso-wrap-style:square" from="0,13" to="129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" strokeweight=".06pt"/>
                <v:line id="Line 1384" o:spid="_x0000_s1038" style="position:absolute;visibility:visible;mso-wrap-style:square" from="0,14" to="129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" strokeweight=".06pt"/>
                <v:line id="Line 1383" o:spid="_x0000_s1039" style="position:absolute;visibility:visible;mso-wrap-style:square" from="0,15" to="129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" strokeweight=".06pt"/>
                <v:line id="Line 1382" o:spid="_x0000_s1040" style="position:absolute;visibility:visible;mso-wrap-style:square" from="0,34" to="129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" strokeweight=".06pt"/>
                <v:line id="Line 1381" o:spid="_x0000_s1041" style="position:absolute;visibility:visible;mso-wrap-style:square" from="0,35" to="129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" strokeweight=".06pt"/>
                <v:line id="Line 1380" o:spid="_x0000_s1042" style="position:absolute;visibility:visible;mso-wrap-style:square" from="0,37" to="129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" strokeweight=".06pt"/>
                <v:line id="Line 1379" o:spid="_x0000_s1043" style="position:absolute;visibility:visible;mso-wrap-style:square" from="0,38" to="12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" strokeweight=".06pt"/>
                <v:line id="Line 1378" o:spid="_x0000_s1044" style="position:absolute;visibility:visible;mso-wrap-style:square" from="0,39" to="129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" strokeweight=".06pt"/>
                <v:line id="Line 1377" o:spid="_x0000_s1045" style="position:absolute;visibility:visible;mso-wrap-style:square" from="0,40" to="129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" strokeweight=".06pt"/>
                <v:line id="Line 1376" o:spid="_x0000_s1046" style="position:absolute;visibility:visible;mso-wrap-style:square" from="0,41" to="129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" strokeweight=".06pt"/>
                <v:line id="Line 1375" o:spid="_x0000_s1047" style="position:absolute;visibility:visible;mso-wrap-style:square" from="0,43" to="129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" strokeweight=".06pt"/>
                <v:line id="Line 1374" o:spid="_x0000_s1048" style="position:absolute;visibility:visible;mso-wrap-style:square" from="0,44" to="129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" strokeweight=".06pt"/>
                <v:line id="Line 1373" o:spid="_x0000_s1049" style="position:absolute;visibility:visible;mso-wrap-style:square" from="0,45" to="129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" strokeweight=".06pt"/>
                <v:line id="Line 1372" o:spid="_x0000_s1050" style="position:absolute;visibility:visible;mso-wrap-style:square" from="0,46" to="129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" strokeweight=".06pt"/>
                <v:line id="Line 1371" o:spid="_x0000_s1051" style="position:absolute;visibility:visible;mso-wrap-style:square" from="0,47" to="129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" strokeweight=".06pt"/>
                <v:line id="Line 1370" o:spid="_x0000_s1052" style="position:absolute;visibility:visible;mso-wrap-style:square" from="0,49" to="129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" strokeweight=".06pt"/>
                <v:line id="Line 1369" o:spid="_x0000_s1053" style="position:absolute;visibility:visible;mso-wrap-style:square" from="1297,1" to="25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" strokeweight=".06pt"/>
                <v:line id="Line 1368" o:spid="_x0000_s1054" style="position:absolute;visibility:visible;mso-wrap-style:square" from="1297,2" to="25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" strokeweight=".06pt"/>
                <v:line id="Line 1367" o:spid="_x0000_s1055" style="position:absolute;visibility:visible;mso-wrap-style:square" from="1297,3" to="25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" strokeweight=".06pt"/>
                <v:line id="Line 1366" o:spid="_x0000_s1056" style="position:absolute;visibility:visible;mso-wrap-style:square" from="1297,4" to="2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" strokeweight=".06pt"/>
                <v:line id="Line 1365" o:spid="_x0000_s1057" style="position:absolute;visibility:visible;mso-wrap-style:square" from="1297,5" to="25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" strokeweight=".06pt"/>
                <v:line id="Line 1364" o:spid="_x0000_s1058" style="position:absolute;visibility:visible;mso-wrap-style:square" from="1297,7" to="25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" strokeweight=".06pt"/>
                <v:line id="Line 1363" o:spid="_x0000_s1059" style="position:absolute;visibility:visible;mso-wrap-style:square" from="1297,8" to="25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" strokeweight=".06pt"/>
                <v:line id="Line 1362" o:spid="_x0000_s1060" style="position:absolute;visibility:visible;mso-wrap-style:square" from="1297,9" to="25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" strokeweight=".06pt"/>
                <v:line id="Line 1361" o:spid="_x0000_s1061" style="position:absolute;visibility:visible;mso-wrap-style:square" from="1297,10" to="259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" strokeweight=".06pt"/>
                <v:line id="Line 1360" o:spid="_x0000_s1062" style="position:absolute;visibility:visible;mso-wrap-style:square" from="1297,11" to="259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" strokeweight=".06pt"/>
                <v:line id="Line 1359" o:spid="_x0000_s1063" style="position:absolute;visibility:visible;mso-wrap-style:square" from="1297,13" to="259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" strokeweight=".06pt"/>
                <v:line id="Line 1358" o:spid="_x0000_s1064" style="position:absolute;visibility:visible;mso-wrap-style:square" from="1297,14" to="259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" strokeweight=".06pt"/>
                <v:line id="Line 1357" o:spid="_x0000_s1065" style="position:absolute;visibility:visible;mso-wrap-style:square" from="1297,15" to="259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" strokeweight=".06pt"/>
                <v:line id="Line 1356" o:spid="_x0000_s1066" style="position:absolute;visibility:visible;mso-wrap-style:square" from="1297,34" to="25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" strokeweight=".06pt"/>
                <v:line id="Line 1355" o:spid="_x0000_s1067" style="position:absolute;visibility:visible;mso-wrap-style:square" from="1297,35" to="259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" strokeweight=".06pt"/>
                <v:line id="Line 1354" o:spid="_x0000_s1068" style="position:absolute;visibility:visible;mso-wrap-style:square" from="1297,37" to="25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" strokeweight=".06pt"/>
                <v:line id="Line 1353" o:spid="_x0000_s1069" style="position:absolute;visibility:visible;mso-wrap-style:square" from="1297,38" to="259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" strokeweight=".06pt"/>
                <v:line id="Line 1352" o:spid="_x0000_s1070" style="position:absolute;visibility:visible;mso-wrap-style:square" from="1297,39" to="259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" strokeweight=".06pt"/>
                <v:line id="Line 1351" o:spid="_x0000_s1071" style="position:absolute;visibility:visible;mso-wrap-style:square" from="1297,40" to="259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" strokeweight=".06pt"/>
                <v:line id="Line 1350" o:spid="_x0000_s1072" style="position:absolute;visibility:visible;mso-wrap-style:square" from="1297,41" to="259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" strokeweight=".06pt"/>
                <v:line id="Line 1349" o:spid="_x0000_s1073" style="position:absolute;visibility:visible;mso-wrap-style:square" from="1297,43" to="259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" strokeweight=".06pt"/>
                <v:line id="Line 1348" o:spid="_x0000_s1074" style="position:absolute;visibility:visible;mso-wrap-style:square" from="1297,44" to="259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" strokeweight=".06pt"/>
                <v:line id="Line 1347" o:spid="_x0000_s1075" style="position:absolute;visibility:visible;mso-wrap-style:square" from="1297,45" to="259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" strokeweight=".06pt"/>
                <v:line id="Line 1346" o:spid="_x0000_s1076" style="position:absolute;visibility:visible;mso-wrap-style:square" from="1297,46" to="259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" strokeweight=".06pt"/>
                <v:line id="Line 1345" o:spid="_x0000_s1077" style="position:absolute;visibility:visible;mso-wrap-style:square" from="1297,47" to="259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" strokeweight=".06pt"/>
                <v:line id="Line 1344" o:spid="_x0000_s1078" style="position:absolute;visibility:visible;mso-wrap-style:square" from="1297,49" to="259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" strokeweight=".06pt"/>
                <w10:anchorlock/>
              </v:group>
            </w:pict>
          </mc:Fallback>
        </mc:AlternateContent>
      </w:r>
    </w:p>
    <w:p w14:paraId="2277D5A5" w14:textId="77777777" w:rsidR="00FA4AA8" w:rsidRDefault="00FA4AA8">
      <w:pPr>
        <w:pStyle w:val="BodyText"/>
        <w:rPr>
          <w:sz w:val="20"/>
        </w:rPr>
      </w:pPr>
    </w:p>
    <w:p w14:paraId="6A4BDCA7" w14:textId="77777777" w:rsidR="00FA4AA8" w:rsidRDefault="00FA4AA8">
      <w:pPr>
        <w:pStyle w:val="BodyText"/>
        <w:rPr>
          <w:sz w:val="20"/>
        </w:rPr>
      </w:pPr>
    </w:p>
    <w:p w14:paraId="7B5CD7F8" w14:textId="77777777" w:rsidR="00FA4AA8" w:rsidRDefault="00FA4AA8">
      <w:pPr>
        <w:pStyle w:val="BodyText"/>
        <w:spacing w:before="11"/>
        <w:rPr>
          <w:sz w:val="27"/>
        </w:rPr>
      </w:pPr>
    </w:p>
    <w:p w14:paraId="33D6351D" w14:textId="77777777" w:rsidR="00FA4AA8" w:rsidRDefault="0015611F">
      <w:pPr>
        <w:pStyle w:val="ListParagraph"/>
        <w:numPr>
          <w:ilvl w:val="0"/>
          <w:numId w:val="64"/>
        </w:numPr>
        <w:tabs>
          <w:tab w:val="left" w:pos="564"/>
        </w:tabs>
        <w:spacing w:line="588" w:lineRule="auto"/>
        <w:ind w:right="7824"/>
        <w:rPr>
          <w:i/>
          <w:sz w:val="18"/>
        </w:rPr>
      </w:pPr>
      <w:r>
        <w:rPr>
          <w:b/>
          <w:sz w:val="18"/>
        </w:rPr>
        <w:t xml:space="preserve">Contingencies Contingent Liabilities </w:t>
      </w:r>
      <w:r>
        <w:rPr>
          <w:i/>
          <w:sz w:val="18"/>
        </w:rPr>
        <w:t>Claims</w:t>
      </w:r>
    </w:p>
    <w:p w14:paraId="3BC0624B" w14:textId="77777777" w:rsidR="00FA4AA8" w:rsidRDefault="0015611F">
      <w:pPr>
        <w:pStyle w:val="BodyText"/>
        <w:spacing w:line="193" w:lineRule="exact"/>
        <w:ind w:left="564"/>
      </w:pPr>
      <w:r>
        <w:t>The Directors of the Company are not aware of the existence of any legal claims as 31 December 2018 (2017: nil).</w:t>
      </w:r>
    </w:p>
    <w:p w14:paraId="5E879908" w14:textId="77777777" w:rsidR="00FA4AA8" w:rsidRDefault="00FA4AA8">
      <w:pPr>
        <w:pStyle w:val="BodyText"/>
        <w:rPr>
          <w:sz w:val="25"/>
        </w:rPr>
      </w:pPr>
    </w:p>
    <w:p w14:paraId="1306B42E" w14:textId="77777777" w:rsidR="00FA4AA8" w:rsidRDefault="0015611F">
      <w:pPr>
        <w:ind w:left="563"/>
        <w:rPr>
          <w:i/>
          <w:sz w:val="18"/>
        </w:rPr>
      </w:pPr>
      <w:r>
        <w:rPr>
          <w:i/>
          <w:sz w:val="18"/>
        </w:rPr>
        <w:t>Guarantees</w:t>
      </w:r>
    </w:p>
    <w:p w14:paraId="033B0E40" w14:textId="77777777" w:rsidR="00FA4AA8" w:rsidRDefault="00FA4AA8">
      <w:pPr>
        <w:pStyle w:val="BodyText"/>
        <w:rPr>
          <w:i/>
          <w:sz w:val="25"/>
        </w:rPr>
      </w:pPr>
    </w:p>
    <w:p w14:paraId="0B9E4FF2" w14:textId="77777777" w:rsidR="00FA4AA8" w:rsidRDefault="0015611F">
      <w:pPr>
        <w:pStyle w:val="BodyText"/>
        <w:spacing w:line="573" w:lineRule="auto"/>
        <w:ind w:left="563" w:right="256"/>
      </w:pPr>
      <w:r>
        <w:t>The Directors of the Company are not aware of any guarantees that are in place as at 31 December 2018 (2017: nil).</w:t>
      </w:r>
      <w:bookmarkStart w:id="134" w:name="13_Contingencies_"/>
      <w:bookmarkEnd w:id="134"/>
      <w:r>
        <w:t xml:space="preserve"> The Directors of the Company are not aware of any further instances.</w:t>
      </w:r>
    </w:p>
    <w:p w14:paraId="536DAE36" w14:textId="77777777" w:rsidR="00FA4AA8" w:rsidRDefault="00FA4AA8">
      <w:pPr>
        <w:spacing w:line="573" w:lineRule="auto"/>
        <w:sectPr w:rsidR="00FA4AA8">
          <w:type w:val="continuous"/>
          <w:pgSz w:w="11910" w:h="16840"/>
          <w:pgMar w:top="20" w:right="840" w:bottom="0" w:left="840" w:header="720" w:footer="720" w:gutter="0"/>
          <w:cols w:space="720"/>
        </w:sectPr>
      </w:pPr>
    </w:p>
    <w:p w14:paraId="31C14066" w14:textId="77777777" w:rsidR="00FA4AA8" w:rsidRDefault="00FA4AA8">
      <w:pPr>
        <w:pStyle w:val="BodyText"/>
        <w:rPr>
          <w:sz w:val="20"/>
        </w:rPr>
      </w:pPr>
    </w:p>
    <w:p w14:paraId="5DD05E19" w14:textId="77777777" w:rsidR="00FA4AA8" w:rsidRDefault="00FA4AA8">
      <w:pPr>
        <w:pStyle w:val="BodyText"/>
        <w:spacing w:before="9"/>
        <w:rPr>
          <w:sz w:val="29"/>
        </w:rPr>
      </w:pPr>
    </w:p>
    <w:p w14:paraId="1DB6C524" w14:textId="77777777" w:rsidR="00FA4AA8" w:rsidRDefault="0015611F">
      <w:pPr>
        <w:numPr>
          <w:ilvl w:val="0"/>
          <w:numId w:val="64"/>
        </w:numPr>
        <w:tabs>
          <w:tab w:val="left" w:pos="564"/>
        </w:tabs>
        <w:spacing w:before="94"/>
        <w:rPr>
          <w:b/>
          <w:sz w:val="18"/>
        </w:rPr>
      </w:pPr>
      <w:bookmarkStart w:id="135" w:name="14_Key_management_personnel_disclosures_"/>
      <w:bookmarkEnd w:id="135"/>
      <w:r>
        <w:rPr>
          <w:b/>
          <w:sz w:val="18"/>
        </w:rPr>
        <w:t>Key management personnel</w:t>
      </w:r>
      <w:r>
        <w:rPr>
          <w:b/>
          <w:spacing w:val="-4"/>
          <w:sz w:val="18"/>
        </w:rPr>
        <w:t xml:space="preserve"> </w:t>
      </w:r>
      <w:r>
        <w:rPr>
          <w:b/>
          <w:sz w:val="18"/>
        </w:rPr>
        <w:t>disclosures</w:t>
      </w:r>
    </w:p>
    <w:p w14:paraId="07B5CAAD" w14:textId="77777777" w:rsidR="00FA4AA8" w:rsidRDefault="00FA4AA8">
      <w:pPr>
        <w:pStyle w:val="BodyText"/>
        <w:spacing w:before="7"/>
        <w:rPr>
          <w:b/>
          <w:sz w:val="26"/>
        </w:rPr>
      </w:pPr>
    </w:p>
    <w:p w14:paraId="642D0518" w14:textId="77777777" w:rsidR="00FA4AA8" w:rsidRDefault="0015611F">
      <w:pPr>
        <w:pStyle w:val="ListParagraph"/>
        <w:numPr>
          <w:ilvl w:val="1"/>
          <w:numId w:val="64"/>
        </w:numPr>
        <w:tabs>
          <w:tab w:val="left" w:pos="1131"/>
          <w:tab w:val="left" w:pos="1132"/>
        </w:tabs>
        <w:spacing w:before="1"/>
        <w:rPr>
          <w:b/>
          <w:sz w:val="18"/>
        </w:rPr>
      </w:pPr>
      <w:r>
        <w:rPr>
          <w:b/>
          <w:sz w:val="18"/>
        </w:rPr>
        <w:t>Responsible persons and executive</w:t>
      </w:r>
      <w:r>
        <w:rPr>
          <w:b/>
          <w:spacing w:val="-5"/>
          <w:sz w:val="18"/>
        </w:rPr>
        <w:t xml:space="preserve"> </w:t>
      </w:r>
      <w:r>
        <w:rPr>
          <w:b/>
          <w:sz w:val="18"/>
        </w:rPr>
        <w:t>officers</w:t>
      </w:r>
    </w:p>
    <w:p w14:paraId="2E29570A" w14:textId="77777777" w:rsidR="00FA4AA8" w:rsidRDefault="00FA4AA8">
      <w:pPr>
        <w:pStyle w:val="BodyText"/>
        <w:spacing w:before="4"/>
        <w:rPr>
          <w:b/>
          <w:sz w:val="25"/>
        </w:rPr>
      </w:pPr>
    </w:p>
    <w:p w14:paraId="02FCF500" w14:textId="77777777" w:rsidR="00FA4AA8" w:rsidRDefault="0015611F">
      <w:pPr>
        <w:pStyle w:val="BodyText"/>
        <w:ind w:left="1132" w:right="256"/>
      </w:pPr>
      <w:r>
        <w:t>The following persons were responsible persons and executive officers of Western Sydney University Enterprises Pty Limited during the financial year.</w:t>
      </w:r>
    </w:p>
    <w:p w14:paraId="3D4FB6B9" w14:textId="77777777" w:rsidR="00FA4AA8" w:rsidRDefault="00FA4AA8">
      <w:pPr>
        <w:pStyle w:val="BodyText"/>
        <w:spacing w:before="5"/>
        <w:rPr>
          <w:sz w:val="29"/>
        </w:rPr>
      </w:pPr>
    </w:p>
    <w:p w14:paraId="3621BA1E" w14:textId="77777777" w:rsidR="00FA4AA8" w:rsidRDefault="0015611F">
      <w:pPr>
        <w:pStyle w:val="BodyText"/>
        <w:spacing w:line="607" w:lineRule="auto"/>
        <w:ind w:left="1132" w:right="4886"/>
      </w:pPr>
      <w:r>
        <w:t>Mr Alan Moran - Acting CEO (Ceased 1 July 2018) Dr Nicolene Murdoch - CEO (Appointed 2 July 2018)</w:t>
      </w:r>
    </w:p>
    <w:p w14:paraId="46EDD263" w14:textId="77777777" w:rsidR="00FA4AA8" w:rsidRDefault="0015611F">
      <w:pPr>
        <w:numPr>
          <w:ilvl w:val="1"/>
          <w:numId w:val="64"/>
        </w:numPr>
        <w:tabs>
          <w:tab w:val="left" w:pos="1131"/>
          <w:tab w:val="left" w:pos="1132"/>
        </w:tabs>
        <w:spacing w:before="17"/>
        <w:rPr>
          <w:b/>
          <w:sz w:val="18"/>
        </w:rPr>
      </w:pPr>
      <w:r>
        <w:rPr>
          <w:b/>
          <w:sz w:val="18"/>
        </w:rPr>
        <w:t>Board of</w:t>
      </w:r>
      <w:r>
        <w:rPr>
          <w:b/>
          <w:spacing w:val="-2"/>
          <w:sz w:val="18"/>
        </w:rPr>
        <w:t xml:space="preserve"> </w:t>
      </w:r>
      <w:r>
        <w:rPr>
          <w:b/>
          <w:sz w:val="18"/>
        </w:rPr>
        <w:t>Directors</w:t>
      </w:r>
    </w:p>
    <w:p w14:paraId="2CACF05D" w14:textId="77777777" w:rsidR="00FA4AA8" w:rsidRDefault="00FA4AA8">
      <w:pPr>
        <w:pStyle w:val="BodyText"/>
        <w:spacing w:before="5"/>
        <w:rPr>
          <w:b/>
          <w:sz w:val="25"/>
        </w:rPr>
      </w:pPr>
    </w:p>
    <w:p w14:paraId="018DF5CF" w14:textId="77777777" w:rsidR="00FA4AA8" w:rsidRDefault="0015611F">
      <w:pPr>
        <w:pStyle w:val="BodyText"/>
        <w:ind w:left="1132" w:right="256"/>
      </w:pPr>
      <w:r>
        <w:t>The following persons were Non-Executive Directors of Western Sydney University Enterprises Pty Limited during the financial year.</w:t>
      </w:r>
    </w:p>
    <w:p w14:paraId="3E1BA765" w14:textId="77777777" w:rsidR="00FA4AA8" w:rsidRDefault="00FA4AA8">
      <w:pPr>
        <w:pStyle w:val="BodyText"/>
        <w:spacing w:before="5"/>
        <w:rPr>
          <w:sz w:val="29"/>
        </w:rPr>
      </w:pPr>
    </w:p>
    <w:p w14:paraId="45F19313" w14:textId="77777777" w:rsidR="00FA4AA8" w:rsidRDefault="0015611F">
      <w:pPr>
        <w:pStyle w:val="BodyText"/>
        <w:spacing w:line="607" w:lineRule="auto"/>
        <w:ind w:left="1132" w:right="5446"/>
      </w:pPr>
      <w:r>
        <w:t>Ms Belinda Robinson (Chair - Independent) Mr Angelo Kourtis</w:t>
      </w:r>
    </w:p>
    <w:p w14:paraId="5FA42CD9" w14:textId="77777777" w:rsidR="00FA4AA8" w:rsidRDefault="0015611F">
      <w:pPr>
        <w:pStyle w:val="BodyText"/>
        <w:spacing w:line="607" w:lineRule="auto"/>
        <w:ind w:left="1132" w:right="5796"/>
      </w:pPr>
      <w:r>
        <w:t>Ms Caroline Hutchinson (Independent) Ms Le Ho (Independent)</w:t>
      </w:r>
    </w:p>
    <w:p w14:paraId="38595EB8" w14:textId="77777777" w:rsidR="00FA4AA8" w:rsidRDefault="0015611F">
      <w:pPr>
        <w:pStyle w:val="BodyText"/>
        <w:spacing w:line="607" w:lineRule="auto"/>
        <w:ind w:left="1132" w:right="6797"/>
      </w:pPr>
      <w:r>
        <w:t>Professor Michele Simons Mr Ramy Aziz (Independent)</w:t>
      </w:r>
    </w:p>
    <w:p w14:paraId="5793832C" w14:textId="77777777" w:rsidR="00FA4AA8" w:rsidRDefault="0015611F">
      <w:pPr>
        <w:pStyle w:val="BodyText"/>
        <w:spacing w:line="609" w:lineRule="auto"/>
        <w:ind w:left="1132" w:right="6456"/>
      </w:pPr>
      <w:r>
        <w:t>Mr Robin Shreeve (Independent) Professor Simon Barrie</w:t>
      </w:r>
    </w:p>
    <w:p w14:paraId="511C1004" w14:textId="77777777" w:rsidR="00FA4AA8" w:rsidRDefault="0015611F">
      <w:pPr>
        <w:pStyle w:val="BodyText"/>
        <w:spacing w:line="607" w:lineRule="auto"/>
        <w:ind w:left="1132" w:right="5125"/>
      </w:pPr>
      <w:r>
        <w:t>Professor Denise Kirkpatrick (Alternate Director) Mr Michael Burgess (Alternate Director)</w:t>
      </w:r>
    </w:p>
    <w:p w14:paraId="3C9F4BE9" w14:textId="77777777" w:rsidR="00FA4AA8" w:rsidRDefault="00FA4AA8">
      <w:pPr>
        <w:spacing w:line="607" w:lineRule="auto"/>
        <w:sectPr w:rsidR="00FA4AA8">
          <w:pgSz w:w="11910" w:h="16840"/>
          <w:pgMar w:top="2700" w:right="840" w:bottom="720" w:left="840" w:header="1017" w:footer="523" w:gutter="0"/>
          <w:cols w:space="720"/>
        </w:sectPr>
      </w:pPr>
    </w:p>
    <w:p w14:paraId="462FF70C" w14:textId="77777777" w:rsidR="00FA4AA8" w:rsidRDefault="00FA4AA8">
      <w:pPr>
        <w:pStyle w:val="BodyText"/>
        <w:rPr>
          <w:sz w:val="20"/>
        </w:rPr>
      </w:pPr>
    </w:p>
    <w:p w14:paraId="39255330" w14:textId="77777777" w:rsidR="00FA4AA8" w:rsidRDefault="00FA4AA8">
      <w:pPr>
        <w:pStyle w:val="BodyText"/>
        <w:spacing w:before="9"/>
        <w:rPr>
          <w:sz w:val="29"/>
        </w:rPr>
      </w:pPr>
    </w:p>
    <w:p w14:paraId="67F52B62" w14:textId="77777777" w:rsidR="00FA4AA8" w:rsidRDefault="0015611F">
      <w:pPr>
        <w:numPr>
          <w:ilvl w:val="0"/>
          <w:numId w:val="63"/>
        </w:numPr>
        <w:tabs>
          <w:tab w:val="left" w:pos="564"/>
        </w:tabs>
        <w:spacing w:before="94"/>
        <w:ind w:hanging="397"/>
        <w:rPr>
          <w:b/>
          <w:sz w:val="18"/>
        </w:rPr>
      </w:pPr>
      <w:bookmarkStart w:id="136" w:name="(c)_Remuneration_of_Board_Members_and_Ex"/>
      <w:bookmarkEnd w:id="136"/>
      <w:r>
        <w:rPr>
          <w:b/>
          <w:sz w:val="18"/>
        </w:rPr>
        <w:t>Key management personnel disclosures</w:t>
      </w:r>
      <w:r>
        <w:rPr>
          <w:b/>
          <w:spacing w:val="-3"/>
          <w:sz w:val="18"/>
        </w:rPr>
        <w:t xml:space="preserve"> </w:t>
      </w:r>
      <w:r>
        <w:rPr>
          <w:b/>
          <w:sz w:val="18"/>
        </w:rPr>
        <w:t>(continued)</w:t>
      </w:r>
    </w:p>
    <w:p w14:paraId="438E2B5D" w14:textId="77777777" w:rsidR="00FA4AA8" w:rsidRDefault="00FA4AA8">
      <w:pPr>
        <w:pStyle w:val="BodyText"/>
        <w:spacing w:before="5"/>
        <w:rPr>
          <w:b/>
        </w:rPr>
      </w:pPr>
    </w:p>
    <w:p w14:paraId="402263AE" w14:textId="77777777" w:rsidR="00FA4AA8" w:rsidRDefault="00FA4AA8">
      <w:pPr>
        <w:sectPr w:rsidR="00FA4AA8">
          <w:pgSz w:w="11910" w:h="16840"/>
          <w:pgMar w:top="2700" w:right="840" w:bottom="720" w:left="840" w:header="1017" w:footer="523" w:gutter="0"/>
          <w:cols w:space="720"/>
        </w:sectPr>
      </w:pPr>
    </w:p>
    <w:p w14:paraId="0256DC56" w14:textId="77777777" w:rsidR="00FA4AA8" w:rsidRDefault="0015611F">
      <w:pPr>
        <w:pStyle w:val="ListParagraph"/>
        <w:numPr>
          <w:ilvl w:val="1"/>
          <w:numId w:val="64"/>
        </w:numPr>
        <w:tabs>
          <w:tab w:val="left" w:pos="1131"/>
          <w:tab w:val="left" w:pos="1132"/>
        </w:tabs>
        <w:spacing w:before="95"/>
        <w:rPr>
          <w:b/>
          <w:sz w:val="18"/>
        </w:rPr>
      </w:pPr>
      <w:r>
        <w:rPr>
          <w:b/>
          <w:sz w:val="18"/>
        </w:rPr>
        <w:t>Remuneration of Board Members and</w:t>
      </w:r>
      <w:r>
        <w:rPr>
          <w:b/>
          <w:spacing w:val="-22"/>
          <w:sz w:val="18"/>
        </w:rPr>
        <w:t xml:space="preserve"> </w:t>
      </w:r>
      <w:r>
        <w:rPr>
          <w:b/>
          <w:sz w:val="18"/>
        </w:rPr>
        <w:t>Executives</w:t>
      </w:r>
    </w:p>
    <w:p w14:paraId="594F85B7" w14:textId="77777777" w:rsidR="00FA4AA8" w:rsidRDefault="00FA4AA8">
      <w:pPr>
        <w:pStyle w:val="BodyText"/>
        <w:rPr>
          <w:b/>
          <w:sz w:val="20"/>
        </w:rPr>
      </w:pPr>
    </w:p>
    <w:p w14:paraId="5AC99958" w14:textId="77777777" w:rsidR="00FA4AA8" w:rsidRDefault="00FA4AA8">
      <w:pPr>
        <w:pStyle w:val="BodyText"/>
        <w:rPr>
          <w:b/>
          <w:sz w:val="20"/>
        </w:rPr>
      </w:pPr>
    </w:p>
    <w:p w14:paraId="030CA9FA" w14:textId="77777777" w:rsidR="00FA4AA8" w:rsidRDefault="00FA4AA8">
      <w:pPr>
        <w:pStyle w:val="BodyText"/>
        <w:spacing w:before="8"/>
        <w:rPr>
          <w:b/>
          <w:sz w:val="17"/>
        </w:rPr>
      </w:pPr>
    </w:p>
    <w:p w14:paraId="17E1899B" w14:textId="77777777" w:rsidR="00FA4AA8" w:rsidRDefault="0015611F">
      <w:pPr>
        <w:ind w:left="1160"/>
        <w:rPr>
          <w:b/>
          <w:sz w:val="18"/>
        </w:rPr>
      </w:pPr>
      <w:r>
        <w:rPr>
          <w:b/>
          <w:sz w:val="18"/>
        </w:rPr>
        <w:t>Remuneration of board members</w:t>
      </w:r>
    </w:p>
    <w:p w14:paraId="4268B21D" w14:textId="77777777" w:rsidR="00FA4AA8" w:rsidRDefault="0015611F">
      <w:pPr>
        <w:pStyle w:val="BodyText"/>
        <w:spacing w:before="6"/>
        <w:rPr>
          <w:b/>
          <w:sz w:val="29"/>
        </w:rPr>
      </w:pPr>
      <w:r>
        <w:br w:type="column"/>
      </w:r>
    </w:p>
    <w:p w14:paraId="4585D2DC" w14:textId="77777777" w:rsidR="00FA4AA8" w:rsidRDefault="0015611F">
      <w:pPr>
        <w:ind w:left="564"/>
        <w:jc w:val="center"/>
        <w:rPr>
          <w:b/>
          <w:sz w:val="18"/>
        </w:rPr>
      </w:pPr>
      <w:r>
        <w:rPr>
          <w:b/>
          <w:sz w:val="18"/>
        </w:rPr>
        <w:t>2018</w:t>
      </w:r>
    </w:p>
    <w:p w14:paraId="39F710F9" w14:textId="77777777" w:rsidR="00FA4AA8" w:rsidRDefault="0015611F">
      <w:pPr>
        <w:spacing w:before="66"/>
        <w:ind w:left="565"/>
        <w:jc w:val="center"/>
        <w:rPr>
          <w:b/>
          <w:sz w:val="18"/>
        </w:rPr>
      </w:pPr>
      <w:r>
        <w:rPr>
          <w:b/>
          <w:spacing w:val="-1"/>
          <w:sz w:val="18"/>
        </w:rPr>
        <w:t>Number</w:t>
      </w:r>
    </w:p>
    <w:p w14:paraId="5652EC22" w14:textId="77777777" w:rsidR="00FA4AA8" w:rsidRDefault="0015611F">
      <w:pPr>
        <w:pStyle w:val="BodyText"/>
        <w:spacing w:before="6"/>
        <w:rPr>
          <w:b/>
          <w:sz w:val="29"/>
        </w:rPr>
      </w:pPr>
      <w:r>
        <w:br w:type="column"/>
      </w:r>
    </w:p>
    <w:p w14:paraId="4639BFB9" w14:textId="77777777" w:rsidR="00FA4AA8" w:rsidRDefault="0015611F">
      <w:pPr>
        <w:ind w:left="544" w:right="443"/>
        <w:jc w:val="center"/>
        <w:rPr>
          <w:b/>
          <w:sz w:val="18"/>
        </w:rPr>
      </w:pPr>
      <w:r>
        <w:rPr>
          <w:b/>
          <w:sz w:val="18"/>
        </w:rPr>
        <w:t>2017</w:t>
      </w:r>
    </w:p>
    <w:p w14:paraId="307D0136" w14:textId="77777777" w:rsidR="00FA4AA8" w:rsidRDefault="0015611F">
      <w:pPr>
        <w:spacing w:before="66"/>
        <w:ind w:left="544" w:right="443"/>
        <w:jc w:val="center"/>
        <w:rPr>
          <w:b/>
          <w:sz w:val="18"/>
        </w:rPr>
      </w:pPr>
      <w:r>
        <w:rPr>
          <w:b/>
          <w:sz w:val="18"/>
        </w:rPr>
        <w:t>Number</w:t>
      </w:r>
    </w:p>
    <w:p w14:paraId="46A448C3" w14:textId="77777777" w:rsidR="00FA4AA8" w:rsidRDefault="00FA4AA8">
      <w:pPr>
        <w:jc w:val="center"/>
        <w:rPr>
          <w:sz w:val="18"/>
        </w:rPr>
        <w:sectPr w:rsidR="00FA4AA8">
          <w:type w:val="continuous"/>
          <w:pgSz w:w="11910" w:h="16840"/>
          <w:pgMar w:top="20" w:right="840" w:bottom="0" w:left="840" w:header="720" w:footer="720" w:gutter="0"/>
          <w:cols w:num="3" w:space="720" w:equalWidth="0">
            <w:col w:w="5367" w:space="1869"/>
            <w:col w:w="1245" w:space="40"/>
            <w:col w:w="1709"/>
          </w:cols>
        </w:sectPr>
      </w:pPr>
    </w:p>
    <w:p w14:paraId="27883A02" w14:textId="77777777" w:rsidR="00FA4AA8" w:rsidRDefault="007E2441">
      <w:pPr>
        <w:pStyle w:val="BodyText"/>
        <w:tabs>
          <w:tab w:val="left" w:pos="8601"/>
          <w:tab w:val="right" w:pos="9998"/>
        </w:tabs>
        <w:spacing w:before="30"/>
        <w:ind w:left="1160"/>
      </w:pPr>
      <w:r>
        <w:rPr>
          <w:noProof/>
          <w:lang w:val="en-AU" w:eastAsia="en-AU"/>
        </w:rPr>
        <mc:AlternateContent>
          <mc:Choice Requires="wpg">
            <w:drawing>
              <wp:anchor distT="0" distB="0" distL="114300" distR="114300" simplePos="0" relativeHeight="15773184" behindDoc="0" locked="0" layoutInCell="1" allowOverlap="1" wp14:anchorId="79313182" wp14:editId="6F453039">
                <wp:simplePos x="0" y="0"/>
                <wp:positionH relativeFrom="page">
                  <wp:posOffset>5290820</wp:posOffset>
                </wp:positionH>
                <wp:positionV relativeFrom="paragraph">
                  <wp:posOffset>167005</wp:posOffset>
                </wp:positionV>
                <wp:extent cx="1647825" cy="12700"/>
                <wp:effectExtent l="0" t="0" r="0" b="0"/>
                <wp:wrapNone/>
                <wp:docPr id="1544" name="Group 1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7825" cy="12700"/>
                          <a:chOff x="8332" y="263"/>
                          <a:chExt cx="2595" cy="20"/>
                        </a:xfrm>
                      </wpg:grpSpPr>
                      <wps:wsp>
                        <wps:cNvPr id="1545" name="Line 1342"/>
                        <wps:cNvCnPr>
                          <a:cxnSpLocks noChangeShapeType="1"/>
                        </wps:cNvCnPr>
                        <wps:spPr bwMode="auto">
                          <a:xfrm>
                            <a:off x="8332" y="26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546" name="Line 1341"/>
                        <wps:cNvCnPr>
                          <a:cxnSpLocks noChangeShapeType="1"/>
                        </wps:cNvCnPr>
                        <wps:spPr bwMode="auto">
                          <a:xfrm>
                            <a:off x="8332" y="26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547" name="Line 1340"/>
                        <wps:cNvCnPr>
                          <a:cxnSpLocks noChangeShapeType="1"/>
                        </wps:cNvCnPr>
                        <wps:spPr bwMode="auto">
                          <a:xfrm>
                            <a:off x="8332" y="266"/>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548" name="Line 1339"/>
                        <wps:cNvCnPr>
                          <a:cxnSpLocks noChangeShapeType="1"/>
                        </wps:cNvCnPr>
                        <wps:spPr bwMode="auto">
                          <a:xfrm>
                            <a:off x="8332" y="26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549" name="Line 1338"/>
                        <wps:cNvCnPr>
                          <a:cxnSpLocks noChangeShapeType="1"/>
                        </wps:cNvCnPr>
                        <wps:spPr bwMode="auto">
                          <a:xfrm>
                            <a:off x="8332" y="268"/>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550" name="Line 1337"/>
                        <wps:cNvCnPr>
                          <a:cxnSpLocks noChangeShapeType="1"/>
                        </wps:cNvCnPr>
                        <wps:spPr bwMode="auto">
                          <a:xfrm>
                            <a:off x="8332" y="270"/>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551" name="Line 1336"/>
                        <wps:cNvCnPr>
                          <a:cxnSpLocks noChangeShapeType="1"/>
                        </wps:cNvCnPr>
                        <wps:spPr bwMode="auto">
                          <a:xfrm>
                            <a:off x="8332" y="27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552" name="Line 1335"/>
                        <wps:cNvCnPr>
                          <a:cxnSpLocks noChangeShapeType="1"/>
                        </wps:cNvCnPr>
                        <wps:spPr bwMode="auto">
                          <a:xfrm>
                            <a:off x="8332" y="272"/>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553" name="Line 1334"/>
                        <wps:cNvCnPr>
                          <a:cxnSpLocks noChangeShapeType="1"/>
                        </wps:cNvCnPr>
                        <wps:spPr bwMode="auto">
                          <a:xfrm>
                            <a:off x="8332" y="27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554" name="Line 1333"/>
                        <wps:cNvCnPr>
                          <a:cxnSpLocks noChangeShapeType="1"/>
                        </wps:cNvCnPr>
                        <wps:spPr bwMode="auto">
                          <a:xfrm>
                            <a:off x="8332" y="27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555" name="Line 1332"/>
                        <wps:cNvCnPr>
                          <a:cxnSpLocks noChangeShapeType="1"/>
                        </wps:cNvCnPr>
                        <wps:spPr bwMode="auto">
                          <a:xfrm>
                            <a:off x="8332" y="276"/>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556" name="Line 1331"/>
                        <wps:cNvCnPr>
                          <a:cxnSpLocks noChangeShapeType="1"/>
                        </wps:cNvCnPr>
                        <wps:spPr bwMode="auto">
                          <a:xfrm>
                            <a:off x="8332" y="27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557" name="Line 1330"/>
                        <wps:cNvCnPr>
                          <a:cxnSpLocks noChangeShapeType="1"/>
                        </wps:cNvCnPr>
                        <wps:spPr bwMode="auto">
                          <a:xfrm>
                            <a:off x="8332" y="278"/>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558" name="Line 1329"/>
                        <wps:cNvCnPr>
                          <a:cxnSpLocks noChangeShapeType="1"/>
                        </wps:cNvCnPr>
                        <wps:spPr bwMode="auto">
                          <a:xfrm>
                            <a:off x="8332" y="27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559" name="Line 1328"/>
                        <wps:cNvCnPr>
                          <a:cxnSpLocks noChangeShapeType="1"/>
                        </wps:cNvCnPr>
                        <wps:spPr bwMode="auto">
                          <a:xfrm>
                            <a:off x="8332" y="280"/>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560" name="Line 1327"/>
                        <wps:cNvCnPr>
                          <a:cxnSpLocks noChangeShapeType="1"/>
                        </wps:cNvCnPr>
                        <wps:spPr bwMode="auto">
                          <a:xfrm>
                            <a:off x="8332" y="282"/>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561" name="Line 1326"/>
                        <wps:cNvCnPr>
                          <a:cxnSpLocks noChangeShapeType="1"/>
                        </wps:cNvCnPr>
                        <wps:spPr bwMode="auto">
                          <a:xfrm>
                            <a:off x="9629" y="26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562" name="Line 1325"/>
                        <wps:cNvCnPr>
                          <a:cxnSpLocks noChangeShapeType="1"/>
                        </wps:cNvCnPr>
                        <wps:spPr bwMode="auto">
                          <a:xfrm>
                            <a:off x="9629" y="26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563" name="Line 1324"/>
                        <wps:cNvCnPr>
                          <a:cxnSpLocks noChangeShapeType="1"/>
                        </wps:cNvCnPr>
                        <wps:spPr bwMode="auto">
                          <a:xfrm>
                            <a:off x="9629" y="266"/>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564" name="Line 1323"/>
                        <wps:cNvCnPr>
                          <a:cxnSpLocks noChangeShapeType="1"/>
                        </wps:cNvCnPr>
                        <wps:spPr bwMode="auto">
                          <a:xfrm>
                            <a:off x="9629" y="26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565" name="Line 1322"/>
                        <wps:cNvCnPr>
                          <a:cxnSpLocks noChangeShapeType="1"/>
                        </wps:cNvCnPr>
                        <wps:spPr bwMode="auto">
                          <a:xfrm>
                            <a:off x="9629" y="268"/>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566" name="Line 1321"/>
                        <wps:cNvCnPr>
                          <a:cxnSpLocks noChangeShapeType="1"/>
                        </wps:cNvCnPr>
                        <wps:spPr bwMode="auto">
                          <a:xfrm>
                            <a:off x="9629" y="270"/>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567" name="Line 1320"/>
                        <wps:cNvCnPr>
                          <a:cxnSpLocks noChangeShapeType="1"/>
                        </wps:cNvCnPr>
                        <wps:spPr bwMode="auto">
                          <a:xfrm>
                            <a:off x="9629" y="27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568" name="Line 1319"/>
                        <wps:cNvCnPr>
                          <a:cxnSpLocks noChangeShapeType="1"/>
                        </wps:cNvCnPr>
                        <wps:spPr bwMode="auto">
                          <a:xfrm>
                            <a:off x="9629" y="272"/>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569" name="Line 1318"/>
                        <wps:cNvCnPr>
                          <a:cxnSpLocks noChangeShapeType="1"/>
                        </wps:cNvCnPr>
                        <wps:spPr bwMode="auto">
                          <a:xfrm>
                            <a:off x="9629" y="27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570" name="Line 1317"/>
                        <wps:cNvCnPr>
                          <a:cxnSpLocks noChangeShapeType="1"/>
                        </wps:cNvCnPr>
                        <wps:spPr bwMode="auto">
                          <a:xfrm>
                            <a:off x="9629" y="27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571" name="Line 1316"/>
                        <wps:cNvCnPr>
                          <a:cxnSpLocks noChangeShapeType="1"/>
                        </wps:cNvCnPr>
                        <wps:spPr bwMode="auto">
                          <a:xfrm>
                            <a:off x="9629" y="276"/>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572" name="Line 1315"/>
                        <wps:cNvCnPr>
                          <a:cxnSpLocks noChangeShapeType="1"/>
                        </wps:cNvCnPr>
                        <wps:spPr bwMode="auto">
                          <a:xfrm>
                            <a:off x="9629" y="27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573" name="Line 1314"/>
                        <wps:cNvCnPr>
                          <a:cxnSpLocks noChangeShapeType="1"/>
                        </wps:cNvCnPr>
                        <wps:spPr bwMode="auto">
                          <a:xfrm>
                            <a:off x="9629" y="278"/>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574" name="Line 1313"/>
                        <wps:cNvCnPr>
                          <a:cxnSpLocks noChangeShapeType="1"/>
                        </wps:cNvCnPr>
                        <wps:spPr bwMode="auto">
                          <a:xfrm>
                            <a:off x="9629" y="27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575" name="Line 1312"/>
                        <wps:cNvCnPr>
                          <a:cxnSpLocks noChangeShapeType="1"/>
                        </wps:cNvCnPr>
                        <wps:spPr bwMode="auto">
                          <a:xfrm>
                            <a:off x="9629" y="280"/>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576" name="Line 1311"/>
                        <wps:cNvCnPr>
                          <a:cxnSpLocks noChangeShapeType="1"/>
                        </wps:cNvCnPr>
                        <wps:spPr bwMode="auto">
                          <a:xfrm>
                            <a:off x="9629" y="282"/>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10CA08" id="Group 1310" o:spid="_x0000_s1026" style="position:absolute;margin-left:416.6pt;margin-top:13.15pt;width:129.75pt;height:1pt;z-index:15773184;mso-position-horizontal-relative:page" coordorigin="8332,263" coordsize="259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">
                <v:line id="Line 1342" o:spid="_x0000_s1027" style="position:absolute;visibility:visible;mso-wrap-style:square" from="8332,264" to="9629,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" strokeweight=".06pt"/>
                <v:line id="Line 1341" o:spid="_x0000_s1028" style="position:absolute;visibility:visible;mso-wrap-style:square" from="8332,265" to="9629,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" strokeweight=".06pt"/>
                <v:line id="Line 1340" o:spid="_x0000_s1029" style="position:absolute;visibility:visible;mso-wrap-style:square" from="8332,266" to="962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" strokeweight=".06pt"/>
                <v:line id="Line 1339" o:spid="_x0000_s1030" style="position:absolute;visibility:visible;mso-wrap-style:square" from="8332,267" to="9629,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" strokeweight=".06pt"/>
                <v:line id="Line 1338" o:spid="_x0000_s1031" style="position:absolute;visibility:visible;mso-wrap-style:square" from="8332,268" to="9629,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" strokeweight=".06pt"/>
                <v:line id="Line 1337" o:spid="_x0000_s1032" style="position:absolute;visibility:visible;mso-wrap-style:square" from="8332,270" to="9629,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" strokeweight=".06pt"/>
                <v:line id="Line 1336" o:spid="_x0000_s1033" style="position:absolute;visibility:visible;mso-wrap-style:square" from="8332,271" to="9629,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" strokeweight=".06pt"/>
                <v:line id="Line 1335" o:spid="_x0000_s1034" style="position:absolute;visibility:visible;mso-wrap-style:square" from="8332,272" to="9629,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" strokeweight=".06pt"/>
                <v:line id="Line 1334" o:spid="_x0000_s1035" style="position:absolute;visibility:visible;mso-wrap-style:square" from="8332,273" to="9629,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" strokeweight=".06pt"/>
                <v:line id="Line 1333" o:spid="_x0000_s1036" style="position:absolute;visibility:visible;mso-wrap-style:square" from="8332,274" to="9629,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" strokeweight=".06pt"/>
                <v:line id="Line 1332" o:spid="_x0000_s1037" style="position:absolute;visibility:visible;mso-wrap-style:square" from="8332,276" to="9629,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" strokeweight=".06pt"/>
                <v:line id="Line 1331" o:spid="_x0000_s1038" style="position:absolute;visibility:visible;mso-wrap-style:square" from="8332,277" to="9629,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" strokeweight=".06pt"/>
                <v:line id="Line 1330" o:spid="_x0000_s1039" style="position:absolute;visibility:visible;mso-wrap-style:square" from="8332,278" to="9629,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" strokeweight=".06pt"/>
                <v:line id="Line 1329" o:spid="_x0000_s1040" style="position:absolute;visibility:visible;mso-wrap-style:square" from="8332,279" to="9629,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" strokeweight=".06pt"/>
                <v:line id="Line 1328" o:spid="_x0000_s1041" style="position:absolute;visibility:visible;mso-wrap-style:square" from="8332,280" to="9629,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" strokeweight=".06pt"/>
                <v:line id="Line 1327" o:spid="_x0000_s1042" style="position:absolute;visibility:visible;mso-wrap-style:square" from="8332,282" to="9629,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" strokeweight=".06pt"/>
                <v:line id="Line 1326" o:spid="_x0000_s1043" style="position:absolute;visibility:visible;mso-wrap-style:square" from="9629,264" to="10926,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" strokeweight=".06pt"/>
                <v:line id="Line 1325" o:spid="_x0000_s1044" style="position:absolute;visibility:visible;mso-wrap-style:square" from="9629,265" to="10926,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" strokeweight=".06pt"/>
                <v:line id="Line 1324" o:spid="_x0000_s1045" style="position:absolute;visibility:visible;mso-wrap-style:square" from="9629,266" to="10926,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" strokeweight=".06pt"/>
                <v:line id="Line 1323" o:spid="_x0000_s1046" style="position:absolute;visibility:visible;mso-wrap-style:square" from="9629,267" to="10926,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" strokeweight=".06pt"/>
                <v:line id="Line 1322" o:spid="_x0000_s1047" style="position:absolute;visibility:visible;mso-wrap-style:square" from="9629,268" to="10926,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" strokeweight=".06pt"/>
                <v:line id="Line 1321" o:spid="_x0000_s1048" style="position:absolute;visibility:visible;mso-wrap-style:square" from="9629,270" to="10926,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" strokeweight=".06pt"/>
                <v:line id="Line 1320" o:spid="_x0000_s1049" style="position:absolute;visibility:visible;mso-wrap-style:square" from="9629,271" to="10926,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" strokeweight=".06pt"/>
                <v:line id="Line 1319" o:spid="_x0000_s1050" style="position:absolute;visibility:visible;mso-wrap-style:square" from="9629,272" to="10926,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" strokeweight=".06pt"/>
                <v:line id="Line 1318" o:spid="_x0000_s1051" style="position:absolute;visibility:visible;mso-wrap-style:square" from="9629,273" to="10926,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" strokeweight=".06pt"/>
                <v:line id="Line 1317" o:spid="_x0000_s1052" style="position:absolute;visibility:visible;mso-wrap-style:square" from="9629,274" to="10926,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" strokeweight=".06pt"/>
                <v:line id="Line 1316" o:spid="_x0000_s1053" style="position:absolute;visibility:visible;mso-wrap-style:square" from="9629,276" to="10926,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" strokeweight=".06pt"/>
                <v:line id="Line 1315" o:spid="_x0000_s1054" style="position:absolute;visibility:visible;mso-wrap-style:square" from="9629,277" to="10926,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" strokeweight=".06pt"/>
                <v:line id="Line 1314" o:spid="_x0000_s1055" style="position:absolute;visibility:visible;mso-wrap-style:square" from="9629,278" to="10926,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" strokeweight=".06pt"/>
                <v:line id="Line 1313" o:spid="_x0000_s1056" style="position:absolute;visibility:visible;mso-wrap-style:square" from="9629,279" to="10926,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" strokeweight=".06pt"/>
                <v:line id="Line 1312" o:spid="_x0000_s1057" style="position:absolute;visibility:visible;mso-wrap-style:square" from="9629,280" to="1092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" strokeweight=".06pt"/>
                <v:line id="Line 1311" o:spid="_x0000_s1058" style="position:absolute;visibility:visible;mso-wrap-style:square" from="9629,282" to="10926,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" strokeweight=".06pt"/>
                <w10:wrap anchorx="page"/>
              </v:group>
            </w:pict>
          </mc:Fallback>
        </mc:AlternateContent>
      </w:r>
      <w:r w:rsidR="0015611F">
        <w:t>$10,000</w:t>
      </w:r>
      <w:r w:rsidR="0015611F">
        <w:rPr>
          <w:spacing w:val="-5"/>
        </w:rPr>
        <w:t xml:space="preserve"> </w:t>
      </w:r>
      <w:r w:rsidR="0015611F">
        <w:t>to</w:t>
      </w:r>
      <w:r w:rsidR="0015611F">
        <w:rPr>
          <w:spacing w:val="-4"/>
        </w:rPr>
        <w:t xml:space="preserve"> </w:t>
      </w:r>
      <w:r w:rsidR="0015611F">
        <w:t>$19,999</w:t>
      </w:r>
      <w:r w:rsidR="0015611F">
        <w:tab/>
      </w:r>
      <w:r w:rsidR="0015611F">
        <w:rPr>
          <w:b/>
        </w:rPr>
        <w:t>5</w:t>
      </w:r>
      <w:r w:rsidR="0015611F">
        <w:rPr>
          <w:b/>
        </w:rPr>
        <w:tab/>
      </w:r>
      <w:r w:rsidR="0015611F">
        <w:t>3</w:t>
      </w:r>
    </w:p>
    <w:p w14:paraId="3026180C" w14:textId="77777777" w:rsidR="00FA4AA8" w:rsidRDefault="0015611F">
      <w:pPr>
        <w:tabs>
          <w:tab w:val="left" w:pos="1297"/>
        </w:tabs>
        <w:spacing w:before="159"/>
        <w:ind w:right="224"/>
        <w:jc w:val="right"/>
        <w:rPr>
          <w:sz w:val="18"/>
        </w:rPr>
      </w:pPr>
      <w:r>
        <w:rPr>
          <w:b/>
          <w:sz w:val="18"/>
        </w:rPr>
        <w:t>5</w:t>
      </w:r>
      <w:r>
        <w:rPr>
          <w:b/>
          <w:sz w:val="18"/>
        </w:rPr>
        <w:tab/>
      </w:r>
      <w:r>
        <w:rPr>
          <w:sz w:val="18"/>
        </w:rPr>
        <w:t>3</w:t>
      </w:r>
    </w:p>
    <w:p w14:paraId="40755C7A" w14:textId="77777777" w:rsidR="00FA4AA8" w:rsidRDefault="007E2441">
      <w:pPr>
        <w:pStyle w:val="BodyText"/>
        <w:spacing w:line="20" w:lineRule="exact"/>
        <w:ind w:left="7490"/>
        <w:rPr>
          <w:sz w:val="2"/>
        </w:rPr>
      </w:pPr>
      <w:r>
        <w:rPr>
          <w:noProof/>
          <w:sz w:val="2"/>
          <w:lang w:val="en-AU" w:eastAsia="en-AU"/>
        </w:rPr>
        <mc:AlternateContent>
          <mc:Choice Requires="wpg">
            <w:drawing>
              <wp:inline distT="0" distB="0" distL="0" distR="0" wp14:anchorId="4C57FF68" wp14:editId="66EE06A1">
                <wp:extent cx="1647825" cy="12700"/>
                <wp:effectExtent l="9525" t="9525" r="9525" b="6350"/>
                <wp:docPr id="1511" name="Group 1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7825" cy="12700"/>
                          <a:chOff x="0" y="0"/>
                          <a:chExt cx="2595" cy="20"/>
                        </a:xfrm>
                      </wpg:grpSpPr>
                      <wps:wsp>
                        <wps:cNvPr id="1512" name="Line 1309"/>
                        <wps:cNvCnPr>
                          <a:cxnSpLocks noChangeShapeType="1"/>
                        </wps:cNvCnPr>
                        <wps:spPr bwMode="auto">
                          <a:xfrm>
                            <a:off x="0" y="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513" name="Line 1308"/>
                        <wps:cNvCnPr>
                          <a:cxnSpLocks noChangeShapeType="1"/>
                        </wps:cNvCnPr>
                        <wps:spPr bwMode="auto">
                          <a:xfrm>
                            <a:off x="0" y="2"/>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514" name="Line 1307"/>
                        <wps:cNvCnPr>
                          <a:cxnSpLocks noChangeShapeType="1"/>
                        </wps:cNvCnPr>
                        <wps:spPr bwMode="auto">
                          <a:xfrm>
                            <a:off x="0" y="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515" name="Line 1306"/>
                        <wps:cNvCnPr>
                          <a:cxnSpLocks noChangeShapeType="1"/>
                        </wps:cNvCnPr>
                        <wps:spPr bwMode="auto">
                          <a:xfrm>
                            <a:off x="0" y="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516" name="Line 1305"/>
                        <wps:cNvCnPr>
                          <a:cxnSpLocks noChangeShapeType="1"/>
                        </wps:cNvCnPr>
                        <wps:spPr bwMode="auto">
                          <a:xfrm>
                            <a:off x="0" y="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517" name="Line 1304"/>
                        <wps:cNvCnPr>
                          <a:cxnSpLocks noChangeShapeType="1"/>
                        </wps:cNvCnPr>
                        <wps:spPr bwMode="auto">
                          <a:xfrm>
                            <a:off x="0" y="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518" name="Line 1303"/>
                        <wps:cNvCnPr>
                          <a:cxnSpLocks noChangeShapeType="1"/>
                        </wps:cNvCnPr>
                        <wps:spPr bwMode="auto">
                          <a:xfrm>
                            <a:off x="0" y="8"/>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519" name="Line 1302"/>
                        <wps:cNvCnPr>
                          <a:cxnSpLocks noChangeShapeType="1"/>
                        </wps:cNvCnPr>
                        <wps:spPr bwMode="auto">
                          <a:xfrm>
                            <a:off x="0" y="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520" name="Line 1301"/>
                        <wps:cNvCnPr>
                          <a:cxnSpLocks noChangeShapeType="1"/>
                        </wps:cNvCnPr>
                        <wps:spPr bwMode="auto">
                          <a:xfrm>
                            <a:off x="0" y="10"/>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521" name="Line 1300"/>
                        <wps:cNvCnPr>
                          <a:cxnSpLocks noChangeShapeType="1"/>
                        </wps:cNvCnPr>
                        <wps:spPr bwMode="auto">
                          <a:xfrm>
                            <a:off x="0" y="1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522" name="Line 1299"/>
                        <wps:cNvCnPr>
                          <a:cxnSpLocks noChangeShapeType="1"/>
                        </wps:cNvCnPr>
                        <wps:spPr bwMode="auto">
                          <a:xfrm>
                            <a:off x="0" y="1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523" name="Line 1298"/>
                        <wps:cNvCnPr>
                          <a:cxnSpLocks noChangeShapeType="1"/>
                        </wps:cNvCnPr>
                        <wps:spPr bwMode="auto">
                          <a:xfrm>
                            <a:off x="0" y="1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524" name="Line 1297"/>
                        <wps:cNvCnPr>
                          <a:cxnSpLocks noChangeShapeType="1"/>
                        </wps:cNvCnPr>
                        <wps:spPr bwMode="auto">
                          <a:xfrm>
                            <a:off x="0" y="1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525" name="Line 1296"/>
                        <wps:cNvCnPr>
                          <a:cxnSpLocks noChangeShapeType="1"/>
                        </wps:cNvCnPr>
                        <wps:spPr bwMode="auto">
                          <a:xfrm>
                            <a:off x="0" y="16"/>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526" name="Line 1295"/>
                        <wps:cNvCnPr>
                          <a:cxnSpLocks noChangeShapeType="1"/>
                        </wps:cNvCnPr>
                        <wps:spPr bwMode="auto">
                          <a:xfrm>
                            <a:off x="0" y="1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527" name="Line 1294"/>
                        <wps:cNvCnPr>
                          <a:cxnSpLocks noChangeShapeType="1"/>
                        </wps:cNvCnPr>
                        <wps:spPr bwMode="auto">
                          <a:xfrm>
                            <a:off x="0" y="1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528" name="Line 1293"/>
                        <wps:cNvCnPr>
                          <a:cxnSpLocks noChangeShapeType="1"/>
                        </wps:cNvCnPr>
                        <wps:spPr bwMode="auto">
                          <a:xfrm>
                            <a:off x="1297" y="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529" name="Line 1292"/>
                        <wps:cNvCnPr>
                          <a:cxnSpLocks noChangeShapeType="1"/>
                        </wps:cNvCnPr>
                        <wps:spPr bwMode="auto">
                          <a:xfrm>
                            <a:off x="1297" y="2"/>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530" name="Line 1291"/>
                        <wps:cNvCnPr>
                          <a:cxnSpLocks noChangeShapeType="1"/>
                        </wps:cNvCnPr>
                        <wps:spPr bwMode="auto">
                          <a:xfrm>
                            <a:off x="1297" y="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531" name="Line 1290"/>
                        <wps:cNvCnPr>
                          <a:cxnSpLocks noChangeShapeType="1"/>
                        </wps:cNvCnPr>
                        <wps:spPr bwMode="auto">
                          <a:xfrm>
                            <a:off x="1297" y="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532" name="Line 1289"/>
                        <wps:cNvCnPr>
                          <a:cxnSpLocks noChangeShapeType="1"/>
                        </wps:cNvCnPr>
                        <wps:spPr bwMode="auto">
                          <a:xfrm>
                            <a:off x="1297" y="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533" name="Line 1288"/>
                        <wps:cNvCnPr>
                          <a:cxnSpLocks noChangeShapeType="1"/>
                        </wps:cNvCnPr>
                        <wps:spPr bwMode="auto">
                          <a:xfrm>
                            <a:off x="1297" y="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534" name="Line 1287"/>
                        <wps:cNvCnPr>
                          <a:cxnSpLocks noChangeShapeType="1"/>
                        </wps:cNvCnPr>
                        <wps:spPr bwMode="auto">
                          <a:xfrm>
                            <a:off x="1297" y="8"/>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535" name="Line 1286"/>
                        <wps:cNvCnPr>
                          <a:cxnSpLocks noChangeShapeType="1"/>
                        </wps:cNvCnPr>
                        <wps:spPr bwMode="auto">
                          <a:xfrm>
                            <a:off x="1297" y="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536" name="Line 1285"/>
                        <wps:cNvCnPr>
                          <a:cxnSpLocks noChangeShapeType="1"/>
                        </wps:cNvCnPr>
                        <wps:spPr bwMode="auto">
                          <a:xfrm>
                            <a:off x="1297" y="10"/>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537" name="Line 1284"/>
                        <wps:cNvCnPr>
                          <a:cxnSpLocks noChangeShapeType="1"/>
                        </wps:cNvCnPr>
                        <wps:spPr bwMode="auto">
                          <a:xfrm>
                            <a:off x="1297" y="1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538" name="Line 1283"/>
                        <wps:cNvCnPr>
                          <a:cxnSpLocks noChangeShapeType="1"/>
                        </wps:cNvCnPr>
                        <wps:spPr bwMode="auto">
                          <a:xfrm>
                            <a:off x="1297" y="1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539" name="Line 1282"/>
                        <wps:cNvCnPr>
                          <a:cxnSpLocks noChangeShapeType="1"/>
                        </wps:cNvCnPr>
                        <wps:spPr bwMode="auto">
                          <a:xfrm>
                            <a:off x="1297" y="1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540" name="Line 1281"/>
                        <wps:cNvCnPr>
                          <a:cxnSpLocks noChangeShapeType="1"/>
                        </wps:cNvCnPr>
                        <wps:spPr bwMode="auto">
                          <a:xfrm>
                            <a:off x="1297" y="1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541" name="Line 1280"/>
                        <wps:cNvCnPr>
                          <a:cxnSpLocks noChangeShapeType="1"/>
                        </wps:cNvCnPr>
                        <wps:spPr bwMode="auto">
                          <a:xfrm>
                            <a:off x="1297" y="16"/>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542" name="Line 1279"/>
                        <wps:cNvCnPr>
                          <a:cxnSpLocks noChangeShapeType="1"/>
                        </wps:cNvCnPr>
                        <wps:spPr bwMode="auto">
                          <a:xfrm>
                            <a:off x="1297" y="1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543" name="Line 1278"/>
                        <wps:cNvCnPr>
                          <a:cxnSpLocks noChangeShapeType="1"/>
                        </wps:cNvCnPr>
                        <wps:spPr bwMode="auto">
                          <a:xfrm>
                            <a:off x="1297" y="1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B7115CC" id="Group 1277" o:spid="_x0000_s1026" style="width:129.75pt;height:1pt;mso-position-horizontal-relative:char;mso-position-vertical-relative:line" coordsize="259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">
                <v:line id="Line 1309" o:spid="_x0000_s1027" style="position:absolute;visibility:visible;mso-wrap-style:square" from="0,1" to="12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" strokeweight=".06pt"/>
                <v:line id="Line 1308" o:spid="_x0000_s1028" style="position:absolute;visibility:visible;mso-wrap-style:square" from="0,2" to="12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" strokeweight=".06pt"/>
                <v:line id="Line 1307" o:spid="_x0000_s1029" style="position:absolute;visibility:visible;mso-wrap-style:square" from="0,3" to="12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" strokeweight=".06pt"/>
                <v:line id="Line 1306" o:spid="_x0000_s1030" style="position:absolute;visibility:visible;mso-wrap-style:square" from="0,4" to="12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" strokeweight=".06pt"/>
                <v:line id="Line 1305" o:spid="_x0000_s1031" style="position:absolute;visibility:visible;mso-wrap-style:square" from="0,5" to="12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" strokeweight=".06pt"/>
                <v:line id="Line 1304" o:spid="_x0000_s1032" style="position:absolute;visibility:visible;mso-wrap-style:square" from="0,7" to="12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" strokeweight=".06pt"/>
                <v:line id="Line 1303" o:spid="_x0000_s1033" style="position:absolute;visibility:visible;mso-wrap-style:square" from="0,8" to="12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" strokeweight=".06pt"/>
                <v:line id="Line 1302" o:spid="_x0000_s1034" style="position:absolute;visibility:visible;mso-wrap-style:square" from="0,9" to="12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" strokeweight=".06pt"/>
                <v:line id="Line 1301" o:spid="_x0000_s1035" style="position:absolute;visibility:visible;mso-wrap-style:square" from="0,10" to="129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" strokeweight=".06pt"/>
                <v:line id="Line 1300" o:spid="_x0000_s1036" style="position:absolute;visibility:visible;mso-wrap-style:square" from="0,11" to="129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" strokeweight=".06pt"/>
                <v:line id="Line 1299" o:spid="_x0000_s1037" style="position:absolute;visibility:visible;mso-wrap-style:square" from="0,13" to="129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" strokeweight=".06pt"/>
                <v:line id="Line 1298" o:spid="_x0000_s1038" style="position:absolute;visibility:visible;mso-wrap-style:square" from="0,14" to="129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" strokeweight=".06pt"/>
                <v:line id="Line 1297" o:spid="_x0000_s1039" style="position:absolute;visibility:visible;mso-wrap-style:square" from="0,15" to="129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" strokeweight=".06pt"/>
                <v:line id="Line 1296" o:spid="_x0000_s1040" style="position:absolute;visibility:visible;mso-wrap-style:square" from="0,16" to="129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" strokeweight=".06pt"/>
                <v:line id="Line 1295" o:spid="_x0000_s1041" style="position:absolute;visibility:visible;mso-wrap-style:square" from="0,17" to="129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" strokeweight=".06pt"/>
                <v:line id="Line 1294" o:spid="_x0000_s1042" style="position:absolute;visibility:visible;mso-wrap-style:square" from="0,19" to="129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" strokeweight=".06pt"/>
                <v:line id="Line 1293" o:spid="_x0000_s1043" style="position:absolute;visibility:visible;mso-wrap-style:square" from="1297,1" to="25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" strokeweight=".06pt"/>
                <v:line id="Line 1292" o:spid="_x0000_s1044" style="position:absolute;visibility:visible;mso-wrap-style:square" from="1297,2" to="25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" strokeweight=".06pt"/>
                <v:line id="Line 1291" o:spid="_x0000_s1045" style="position:absolute;visibility:visible;mso-wrap-style:square" from="1297,3" to="25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" strokeweight=".06pt"/>
                <v:line id="Line 1290" o:spid="_x0000_s1046" style="position:absolute;visibility:visible;mso-wrap-style:square" from="1297,4" to="2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" strokeweight=".06pt"/>
                <v:line id="Line 1289" o:spid="_x0000_s1047" style="position:absolute;visibility:visible;mso-wrap-style:square" from="1297,5" to="25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" strokeweight=".06pt"/>
                <v:line id="Line 1288" o:spid="_x0000_s1048" style="position:absolute;visibility:visible;mso-wrap-style:square" from="1297,7" to="25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" strokeweight=".06pt"/>
                <v:line id="Line 1287" o:spid="_x0000_s1049" style="position:absolute;visibility:visible;mso-wrap-style:square" from="1297,8" to="25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" strokeweight=".06pt"/>
                <v:line id="Line 1286" o:spid="_x0000_s1050" style="position:absolute;visibility:visible;mso-wrap-style:square" from="1297,9" to="25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" strokeweight=".06pt"/>
                <v:line id="Line 1285" o:spid="_x0000_s1051" style="position:absolute;visibility:visible;mso-wrap-style:square" from="1297,10" to="259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" strokeweight=".06pt"/>
                <v:line id="Line 1284" o:spid="_x0000_s1052" style="position:absolute;visibility:visible;mso-wrap-style:square" from="1297,11" to="259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" strokeweight=".06pt"/>
                <v:line id="Line 1283" o:spid="_x0000_s1053" style="position:absolute;visibility:visible;mso-wrap-style:square" from="1297,13" to="259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" strokeweight=".06pt"/>
                <v:line id="Line 1282" o:spid="_x0000_s1054" style="position:absolute;visibility:visible;mso-wrap-style:square" from="1297,14" to="259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" strokeweight=".06pt"/>
                <v:line id="Line 1281" o:spid="_x0000_s1055" style="position:absolute;visibility:visible;mso-wrap-style:square" from="1297,15" to="259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" strokeweight=".06pt"/>
                <v:line id="Line 1280" o:spid="_x0000_s1056" style="position:absolute;visibility:visible;mso-wrap-style:square" from="1297,16" to="259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" strokeweight=".06pt"/>
                <v:line id="Line 1279" o:spid="_x0000_s1057" style="position:absolute;visibility:visible;mso-wrap-style:square" from="1297,17" to="259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" strokeweight=".06pt"/>
                <v:line id="Line 1278" o:spid="_x0000_s1058" style="position:absolute;visibility:visible;mso-wrap-style:square" from="1297,19" to="259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" strokeweight=".06pt"/>
                <w10:anchorlock/>
              </v:group>
            </w:pict>
          </mc:Fallback>
        </mc:AlternateContent>
      </w:r>
    </w:p>
    <w:p w14:paraId="71697F2C" w14:textId="77777777" w:rsidR="00FA4AA8" w:rsidRDefault="00FA4AA8">
      <w:pPr>
        <w:pStyle w:val="BodyText"/>
        <w:spacing w:before="3"/>
        <w:rPr>
          <w:sz w:val="25"/>
        </w:rPr>
      </w:pPr>
    </w:p>
    <w:p w14:paraId="7740A66E" w14:textId="77777777" w:rsidR="00FA4AA8" w:rsidRDefault="0015611F">
      <w:pPr>
        <w:spacing w:before="94"/>
        <w:ind w:left="1160"/>
        <w:rPr>
          <w:b/>
          <w:sz w:val="18"/>
        </w:rPr>
      </w:pPr>
      <w:r>
        <w:rPr>
          <w:b/>
          <w:sz w:val="18"/>
        </w:rPr>
        <w:t>Remuneration of executive officers*</w:t>
      </w:r>
    </w:p>
    <w:p w14:paraId="063DB616" w14:textId="77777777" w:rsidR="00FA4AA8" w:rsidRDefault="0015611F">
      <w:pPr>
        <w:pStyle w:val="BodyText"/>
        <w:tabs>
          <w:tab w:val="left" w:pos="8641"/>
          <w:tab w:val="left" w:pos="9898"/>
        </w:tabs>
        <w:spacing w:before="30"/>
        <w:ind w:left="1160"/>
      </w:pPr>
      <w:r>
        <w:t>$290,000</w:t>
      </w:r>
      <w:r>
        <w:rPr>
          <w:spacing w:val="-5"/>
        </w:rPr>
        <w:t xml:space="preserve"> </w:t>
      </w:r>
      <w:r>
        <w:t>-</w:t>
      </w:r>
      <w:r>
        <w:rPr>
          <w:spacing w:val="-4"/>
        </w:rPr>
        <w:t xml:space="preserve"> </w:t>
      </w:r>
      <w:r>
        <w:t>$299,999</w:t>
      </w:r>
      <w:r>
        <w:tab/>
      </w:r>
      <w:r>
        <w:rPr>
          <w:b/>
        </w:rPr>
        <w:t>-</w:t>
      </w:r>
      <w:r>
        <w:rPr>
          <w:b/>
        </w:rPr>
        <w:tab/>
      </w:r>
      <w:r>
        <w:t>1</w:t>
      </w:r>
    </w:p>
    <w:p w14:paraId="087F21AB" w14:textId="77777777" w:rsidR="00FA4AA8" w:rsidRDefault="007E2441">
      <w:pPr>
        <w:pStyle w:val="BodyText"/>
        <w:tabs>
          <w:tab w:val="left" w:pos="8601"/>
          <w:tab w:val="left" w:pos="9898"/>
        </w:tabs>
        <w:spacing w:before="57"/>
        <w:ind w:left="1160"/>
      </w:pPr>
      <w:r>
        <w:rPr>
          <w:noProof/>
          <w:lang w:val="en-AU" w:eastAsia="en-AU"/>
        </w:rPr>
        <mc:AlternateContent>
          <mc:Choice Requires="wpg">
            <w:drawing>
              <wp:anchor distT="0" distB="0" distL="0" distR="0" simplePos="0" relativeHeight="487630336" behindDoc="1" locked="0" layoutInCell="1" allowOverlap="1" wp14:anchorId="54814420" wp14:editId="7E1F6034">
                <wp:simplePos x="0" y="0"/>
                <wp:positionH relativeFrom="page">
                  <wp:posOffset>5290820</wp:posOffset>
                </wp:positionH>
                <wp:positionV relativeFrom="paragraph">
                  <wp:posOffset>184150</wp:posOffset>
                </wp:positionV>
                <wp:extent cx="1647825" cy="12700"/>
                <wp:effectExtent l="0" t="0" r="0" b="0"/>
                <wp:wrapTopAndBottom/>
                <wp:docPr id="1478" name="Group 1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7825" cy="12700"/>
                          <a:chOff x="8332" y="290"/>
                          <a:chExt cx="2595" cy="20"/>
                        </a:xfrm>
                      </wpg:grpSpPr>
                      <wps:wsp>
                        <wps:cNvPr id="1479" name="Line 1276"/>
                        <wps:cNvCnPr>
                          <a:cxnSpLocks noChangeShapeType="1"/>
                        </wps:cNvCnPr>
                        <wps:spPr bwMode="auto">
                          <a:xfrm>
                            <a:off x="8332" y="29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480" name="Line 1275"/>
                        <wps:cNvCnPr>
                          <a:cxnSpLocks noChangeShapeType="1"/>
                        </wps:cNvCnPr>
                        <wps:spPr bwMode="auto">
                          <a:xfrm>
                            <a:off x="8332" y="292"/>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481" name="Line 1274"/>
                        <wps:cNvCnPr>
                          <a:cxnSpLocks noChangeShapeType="1"/>
                        </wps:cNvCnPr>
                        <wps:spPr bwMode="auto">
                          <a:xfrm>
                            <a:off x="8332" y="29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482" name="Line 1273"/>
                        <wps:cNvCnPr>
                          <a:cxnSpLocks noChangeShapeType="1"/>
                        </wps:cNvCnPr>
                        <wps:spPr bwMode="auto">
                          <a:xfrm>
                            <a:off x="8332" y="29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483" name="Line 1272"/>
                        <wps:cNvCnPr>
                          <a:cxnSpLocks noChangeShapeType="1"/>
                        </wps:cNvCnPr>
                        <wps:spPr bwMode="auto">
                          <a:xfrm>
                            <a:off x="8332" y="29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484" name="Line 1271"/>
                        <wps:cNvCnPr>
                          <a:cxnSpLocks noChangeShapeType="1"/>
                        </wps:cNvCnPr>
                        <wps:spPr bwMode="auto">
                          <a:xfrm>
                            <a:off x="8332" y="29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485" name="Line 1270"/>
                        <wps:cNvCnPr>
                          <a:cxnSpLocks noChangeShapeType="1"/>
                        </wps:cNvCnPr>
                        <wps:spPr bwMode="auto">
                          <a:xfrm>
                            <a:off x="8332" y="298"/>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486" name="Line 1269"/>
                        <wps:cNvCnPr>
                          <a:cxnSpLocks noChangeShapeType="1"/>
                        </wps:cNvCnPr>
                        <wps:spPr bwMode="auto">
                          <a:xfrm>
                            <a:off x="8332" y="29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487" name="Line 1268"/>
                        <wps:cNvCnPr>
                          <a:cxnSpLocks noChangeShapeType="1"/>
                        </wps:cNvCnPr>
                        <wps:spPr bwMode="auto">
                          <a:xfrm>
                            <a:off x="8332" y="300"/>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488" name="Line 1267"/>
                        <wps:cNvCnPr>
                          <a:cxnSpLocks noChangeShapeType="1"/>
                        </wps:cNvCnPr>
                        <wps:spPr bwMode="auto">
                          <a:xfrm>
                            <a:off x="8332" y="30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489" name="Line 1266"/>
                        <wps:cNvCnPr>
                          <a:cxnSpLocks noChangeShapeType="1"/>
                        </wps:cNvCnPr>
                        <wps:spPr bwMode="auto">
                          <a:xfrm>
                            <a:off x="8332" y="30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490" name="Line 1265"/>
                        <wps:cNvCnPr>
                          <a:cxnSpLocks noChangeShapeType="1"/>
                        </wps:cNvCnPr>
                        <wps:spPr bwMode="auto">
                          <a:xfrm>
                            <a:off x="8332" y="30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491" name="Line 1264"/>
                        <wps:cNvCnPr>
                          <a:cxnSpLocks noChangeShapeType="1"/>
                        </wps:cNvCnPr>
                        <wps:spPr bwMode="auto">
                          <a:xfrm>
                            <a:off x="8332" y="30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492" name="Line 1263"/>
                        <wps:cNvCnPr>
                          <a:cxnSpLocks noChangeShapeType="1"/>
                        </wps:cNvCnPr>
                        <wps:spPr bwMode="auto">
                          <a:xfrm>
                            <a:off x="8332" y="306"/>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493" name="Line 1262"/>
                        <wps:cNvCnPr>
                          <a:cxnSpLocks noChangeShapeType="1"/>
                        </wps:cNvCnPr>
                        <wps:spPr bwMode="auto">
                          <a:xfrm>
                            <a:off x="8332" y="30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494" name="Line 1261"/>
                        <wps:cNvCnPr>
                          <a:cxnSpLocks noChangeShapeType="1"/>
                        </wps:cNvCnPr>
                        <wps:spPr bwMode="auto">
                          <a:xfrm>
                            <a:off x="8332" y="30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495" name="Line 1260"/>
                        <wps:cNvCnPr>
                          <a:cxnSpLocks noChangeShapeType="1"/>
                        </wps:cNvCnPr>
                        <wps:spPr bwMode="auto">
                          <a:xfrm>
                            <a:off x="9629" y="29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496" name="Line 1259"/>
                        <wps:cNvCnPr>
                          <a:cxnSpLocks noChangeShapeType="1"/>
                        </wps:cNvCnPr>
                        <wps:spPr bwMode="auto">
                          <a:xfrm>
                            <a:off x="9629" y="292"/>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497" name="Line 1258"/>
                        <wps:cNvCnPr>
                          <a:cxnSpLocks noChangeShapeType="1"/>
                        </wps:cNvCnPr>
                        <wps:spPr bwMode="auto">
                          <a:xfrm>
                            <a:off x="9629" y="29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498" name="Line 1257"/>
                        <wps:cNvCnPr>
                          <a:cxnSpLocks noChangeShapeType="1"/>
                        </wps:cNvCnPr>
                        <wps:spPr bwMode="auto">
                          <a:xfrm>
                            <a:off x="9629" y="29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499" name="Line 1256"/>
                        <wps:cNvCnPr>
                          <a:cxnSpLocks noChangeShapeType="1"/>
                        </wps:cNvCnPr>
                        <wps:spPr bwMode="auto">
                          <a:xfrm>
                            <a:off x="9629" y="29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500" name="Line 1255"/>
                        <wps:cNvCnPr>
                          <a:cxnSpLocks noChangeShapeType="1"/>
                        </wps:cNvCnPr>
                        <wps:spPr bwMode="auto">
                          <a:xfrm>
                            <a:off x="9629" y="29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501" name="Line 1254"/>
                        <wps:cNvCnPr>
                          <a:cxnSpLocks noChangeShapeType="1"/>
                        </wps:cNvCnPr>
                        <wps:spPr bwMode="auto">
                          <a:xfrm>
                            <a:off x="9629" y="298"/>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502" name="Line 1253"/>
                        <wps:cNvCnPr>
                          <a:cxnSpLocks noChangeShapeType="1"/>
                        </wps:cNvCnPr>
                        <wps:spPr bwMode="auto">
                          <a:xfrm>
                            <a:off x="9629" y="29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503" name="Line 1252"/>
                        <wps:cNvCnPr>
                          <a:cxnSpLocks noChangeShapeType="1"/>
                        </wps:cNvCnPr>
                        <wps:spPr bwMode="auto">
                          <a:xfrm>
                            <a:off x="9629" y="300"/>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504" name="Line 1251"/>
                        <wps:cNvCnPr>
                          <a:cxnSpLocks noChangeShapeType="1"/>
                        </wps:cNvCnPr>
                        <wps:spPr bwMode="auto">
                          <a:xfrm>
                            <a:off x="9629" y="30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505" name="Line 1250"/>
                        <wps:cNvCnPr>
                          <a:cxnSpLocks noChangeShapeType="1"/>
                        </wps:cNvCnPr>
                        <wps:spPr bwMode="auto">
                          <a:xfrm>
                            <a:off x="9629" y="30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506" name="Line 1249"/>
                        <wps:cNvCnPr>
                          <a:cxnSpLocks noChangeShapeType="1"/>
                        </wps:cNvCnPr>
                        <wps:spPr bwMode="auto">
                          <a:xfrm>
                            <a:off x="9629" y="30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507" name="Line 1248"/>
                        <wps:cNvCnPr>
                          <a:cxnSpLocks noChangeShapeType="1"/>
                        </wps:cNvCnPr>
                        <wps:spPr bwMode="auto">
                          <a:xfrm>
                            <a:off x="9629" y="30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508" name="Line 1247"/>
                        <wps:cNvCnPr>
                          <a:cxnSpLocks noChangeShapeType="1"/>
                        </wps:cNvCnPr>
                        <wps:spPr bwMode="auto">
                          <a:xfrm>
                            <a:off x="9629" y="306"/>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509" name="Line 1246"/>
                        <wps:cNvCnPr>
                          <a:cxnSpLocks noChangeShapeType="1"/>
                        </wps:cNvCnPr>
                        <wps:spPr bwMode="auto">
                          <a:xfrm>
                            <a:off x="9629" y="30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510" name="Line 1245"/>
                        <wps:cNvCnPr>
                          <a:cxnSpLocks noChangeShapeType="1"/>
                        </wps:cNvCnPr>
                        <wps:spPr bwMode="auto">
                          <a:xfrm>
                            <a:off x="9629" y="30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78E0CB" id="Group 1244" o:spid="_x0000_s1026" style="position:absolute;margin-left:416.6pt;margin-top:14.5pt;width:129.75pt;height:1pt;z-index:-15686144;mso-wrap-distance-left:0;mso-wrap-distance-right:0;mso-position-horizontal-relative:page" coordorigin="8332,290" coordsize="259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">
                <v:line id="Line 1276" o:spid="_x0000_s1027" style="position:absolute;visibility:visible;mso-wrap-style:square" from="8332,291" to="962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" strokeweight=".06pt"/>
                <v:line id="Line 1275" o:spid="_x0000_s1028" style="position:absolute;visibility:visible;mso-wrap-style:square" from="8332,292" to="9629,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" strokeweight=".06pt"/>
                <v:line id="Line 1274" o:spid="_x0000_s1029" style="position:absolute;visibility:visible;mso-wrap-style:square" from="8332,293" to="9629,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" strokeweight=".06pt"/>
                <v:line id="Line 1273" o:spid="_x0000_s1030" style="position:absolute;visibility:visible;mso-wrap-style:square" from="8332,294" to="9629,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" strokeweight=".06pt"/>
                <v:line id="Line 1272" o:spid="_x0000_s1031" style="position:absolute;visibility:visible;mso-wrap-style:square" from="8332,295" to="962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" strokeweight=".06pt"/>
                <v:line id="Line 1271" o:spid="_x0000_s1032" style="position:absolute;visibility:visible;mso-wrap-style:square" from="8332,297" to="962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" strokeweight=".06pt"/>
                <v:line id="Line 1270" o:spid="_x0000_s1033" style="position:absolute;visibility:visible;mso-wrap-style:square" from="8332,298" to="9629,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" strokeweight=".06pt"/>
                <v:line id="Line 1269" o:spid="_x0000_s1034" style="position:absolute;visibility:visible;mso-wrap-style:square" from="8332,299" to="9629,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" strokeweight=".06pt"/>
                <v:line id="Line 1268" o:spid="_x0000_s1035" style="position:absolute;visibility:visible;mso-wrap-style:square" from="8332,300" to="9629,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" strokeweight=".06pt"/>
                <v:line id="Line 1267" o:spid="_x0000_s1036" style="position:absolute;visibility:visible;mso-wrap-style:square" from="8332,301" to="9629,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" strokeweight=".06pt"/>
                <v:line id="Line 1266" o:spid="_x0000_s1037" style="position:absolute;visibility:visible;mso-wrap-style:square" from="8332,303" to="9629,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" strokeweight=".06pt"/>
                <v:line id="Line 1265" o:spid="_x0000_s1038" style="position:absolute;visibility:visible;mso-wrap-style:square" from="8332,304" to="9629,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" strokeweight=".06pt"/>
                <v:line id="Line 1264" o:spid="_x0000_s1039" style="position:absolute;visibility:visible;mso-wrap-style:square" from="8332,305" to="9629,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" strokeweight=".06pt"/>
                <v:line id="Line 1263" o:spid="_x0000_s1040" style="position:absolute;visibility:visible;mso-wrap-style:square" from="8332,306" to="9629,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" strokeweight=".06pt"/>
                <v:line id="Line 1262" o:spid="_x0000_s1041" style="position:absolute;visibility:visible;mso-wrap-style:square" from="8332,307" to="9629,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" strokeweight=".06pt"/>
                <v:line id="Line 1261" o:spid="_x0000_s1042" style="position:absolute;visibility:visible;mso-wrap-style:square" from="8332,309" to="9629,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" strokeweight=".06pt"/>
                <v:line id="Line 1260" o:spid="_x0000_s1043" style="position:absolute;visibility:visible;mso-wrap-style:square" from="9629,291" to="10926,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" strokeweight=".06pt"/>
                <v:line id="Line 1259" o:spid="_x0000_s1044" style="position:absolute;visibility:visible;mso-wrap-style:square" from="9629,292" to="10926,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" strokeweight=".06pt"/>
                <v:line id="Line 1258" o:spid="_x0000_s1045" style="position:absolute;visibility:visible;mso-wrap-style:square" from="9629,293" to="10926,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" strokeweight=".06pt"/>
                <v:line id="Line 1257" o:spid="_x0000_s1046" style="position:absolute;visibility:visible;mso-wrap-style:square" from="9629,294" to="1092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" strokeweight=".06pt"/>
                <v:line id="Line 1256" o:spid="_x0000_s1047" style="position:absolute;visibility:visible;mso-wrap-style:square" from="9629,295" to="10926,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" strokeweight=".06pt"/>
                <v:line id="Line 1255" o:spid="_x0000_s1048" style="position:absolute;visibility:visible;mso-wrap-style:square" from="9629,297" to="10926,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" strokeweight=".06pt"/>
                <v:line id="Line 1254" o:spid="_x0000_s1049" style="position:absolute;visibility:visible;mso-wrap-style:square" from="9629,298" to="10926,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" strokeweight=".06pt"/>
                <v:line id="Line 1253" o:spid="_x0000_s1050" style="position:absolute;visibility:visible;mso-wrap-style:square" from="9629,299" to="10926,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" strokeweight=".06pt"/>
                <v:line id="Line 1252" o:spid="_x0000_s1051" style="position:absolute;visibility:visible;mso-wrap-style:square" from="9629,300" to="10926,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" strokeweight=".06pt"/>
                <v:line id="Line 1251" o:spid="_x0000_s1052" style="position:absolute;visibility:visible;mso-wrap-style:square" from="9629,301" to="10926,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" strokeweight=".06pt"/>
                <v:line id="Line 1250" o:spid="_x0000_s1053" style="position:absolute;visibility:visible;mso-wrap-style:square" from="9629,303" to="1092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" strokeweight=".06pt"/>
                <v:line id="Line 1249" o:spid="_x0000_s1054" style="position:absolute;visibility:visible;mso-wrap-style:square" from="9629,304" to="10926,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" strokeweight=".06pt"/>
                <v:line id="Line 1248" o:spid="_x0000_s1055" style="position:absolute;visibility:visible;mso-wrap-style:square" from="9629,305" to="10926,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" strokeweight=".06pt"/>
                <v:line id="Line 1247" o:spid="_x0000_s1056" style="position:absolute;visibility:visible;mso-wrap-style:square" from="9629,306" to="1092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" strokeweight=".06pt"/>
                <v:line id="Line 1246" o:spid="_x0000_s1057" style="position:absolute;visibility:visible;mso-wrap-style:square" from="9629,307" to="10926,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" strokeweight=".06pt"/>
                <v:line id="Line 1245" o:spid="_x0000_s1058" style="position:absolute;visibility:visible;mso-wrap-style:square" from="9629,309" to="10926,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" strokeweight=".06pt"/>
                <w10:wrap type="topAndBottom" anchorx="page"/>
              </v:group>
            </w:pict>
          </mc:Fallback>
        </mc:AlternateContent>
      </w:r>
      <w:r w:rsidR="0015611F">
        <w:t>$300,000</w:t>
      </w:r>
      <w:r w:rsidR="0015611F">
        <w:rPr>
          <w:spacing w:val="-5"/>
        </w:rPr>
        <w:t xml:space="preserve"> </w:t>
      </w:r>
      <w:r w:rsidR="0015611F">
        <w:t>-</w:t>
      </w:r>
      <w:r w:rsidR="0015611F">
        <w:rPr>
          <w:spacing w:val="-4"/>
        </w:rPr>
        <w:t xml:space="preserve"> </w:t>
      </w:r>
      <w:r w:rsidR="0015611F">
        <w:t>$309,999</w:t>
      </w:r>
      <w:r w:rsidR="0015611F">
        <w:tab/>
      </w:r>
      <w:r w:rsidR="0015611F">
        <w:rPr>
          <w:b/>
        </w:rPr>
        <w:t>2</w:t>
      </w:r>
      <w:r w:rsidR="0015611F">
        <w:rPr>
          <w:b/>
        </w:rPr>
        <w:tab/>
      </w:r>
      <w:r w:rsidR="0015611F">
        <w:t>1</w:t>
      </w:r>
    </w:p>
    <w:p w14:paraId="103B4F07" w14:textId="77777777" w:rsidR="00FA4AA8" w:rsidRDefault="0015611F">
      <w:pPr>
        <w:tabs>
          <w:tab w:val="left" w:pos="1297"/>
        </w:tabs>
        <w:spacing w:before="84"/>
        <w:ind w:right="224"/>
        <w:jc w:val="right"/>
        <w:rPr>
          <w:sz w:val="18"/>
        </w:rPr>
      </w:pPr>
      <w:bookmarkStart w:id="137" w:name="(d)_Key_management_personnel_compensatio"/>
      <w:bookmarkEnd w:id="137"/>
      <w:r>
        <w:rPr>
          <w:b/>
          <w:sz w:val="18"/>
        </w:rPr>
        <w:t>2</w:t>
      </w:r>
      <w:r>
        <w:rPr>
          <w:b/>
          <w:sz w:val="18"/>
        </w:rPr>
        <w:tab/>
      </w:r>
      <w:r>
        <w:rPr>
          <w:sz w:val="18"/>
        </w:rPr>
        <w:t>2</w:t>
      </w:r>
    </w:p>
    <w:p w14:paraId="4E5371F8" w14:textId="77777777" w:rsidR="00FA4AA8" w:rsidRDefault="007E2441">
      <w:pPr>
        <w:pStyle w:val="BodyText"/>
        <w:spacing w:line="20" w:lineRule="exact"/>
        <w:ind w:left="7490"/>
        <w:rPr>
          <w:sz w:val="2"/>
        </w:rPr>
      </w:pPr>
      <w:r>
        <w:rPr>
          <w:noProof/>
          <w:sz w:val="2"/>
          <w:lang w:val="en-AU" w:eastAsia="en-AU"/>
        </w:rPr>
        <mc:AlternateContent>
          <mc:Choice Requires="wpg">
            <w:drawing>
              <wp:inline distT="0" distB="0" distL="0" distR="0" wp14:anchorId="14BAB044" wp14:editId="5908E077">
                <wp:extent cx="1647825" cy="12700"/>
                <wp:effectExtent l="9525" t="9525" r="9525" b="6350"/>
                <wp:docPr id="1445" name="Group 1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7825" cy="12700"/>
                          <a:chOff x="0" y="0"/>
                          <a:chExt cx="2595" cy="20"/>
                        </a:xfrm>
                      </wpg:grpSpPr>
                      <wps:wsp>
                        <wps:cNvPr id="1446" name="Line 1243"/>
                        <wps:cNvCnPr>
                          <a:cxnSpLocks noChangeShapeType="1"/>
                        </wps:cNvCnPr>
                        <wps:spPr bwMode="auto">
                          <a:xfrm>
                            <a:off x="0" y="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447" name="Line 1242"/>
                        <wps:cNvCnPr>
                          <a:cxnSpLocks noChangeShapeType="1"/>
                        </wps:cNvCnPr>
                        <wps:spPr bwMode="auto">
                          <a:xfrm>
                            <a:off x="0" y="2"/>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448" name="Line 1241"/>
                        <wps:cNvCnPr>
                          <a:cxnSpLocks noChangeShapeType="1"/>
                        </wps:cNvCnPr>
                        <wps:spPr bwMode="auto">
                          <a:xfrm>
                            <a:off x="0" y="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449" name="Line 1240"/>
                        <wps:cNvCnPr>
                          <a:cxnSpLocks noChangeShapeType="1"/>
                        </wps:cNvCnPr>
                        <wps:spPr bwMode="auto">
                          <a:xfrm>
                            <a:off x="0" y="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450" name="Line 1239"/>
                        <wps:cNvCnPr>
                          <a:cxnSpLocks noChangeShapeType="1"/>
                        </wps:cNvCnPr>
                        <wps:spPr bwMode="auto">
                          <a:xfrm>
                            <a:off x="0" y="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451" name="Line 1238"/>
                        <wps:cNvCnPr>
                          <a:cxnSpLocks noChangeShapeType="1"/>
                        </wps:cNvCnPr>
                        <wps:spPr bwMode="auto">
                          <a:xfrm>
                            <a:off x="0" y="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452" name="Line 1237"/>
                        <wps:cNvCnPr>
                          <a:cxnSpLocks noChangeShapeType="1"/>
                        </wps:cNvCnPr>
                        <wps:spPr bwMode="auto">
                          <a:xfrm>
                            <a:off x="0" y="8"/>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453" name="Line 1236"/>
                        <wps:cNvCnPr>
                          <a:cxnSpLocks noChangeShapeType="1"/>
                        </wps:cNvCnPr>
                        <wps:spPr bwMode="auto">
                          <a:xfrm>
                            <a:off x="0" y="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454" name="Line 1235"/>
                        <wps:cNvCnPr>
                          <a:cxnSpLocks noChangeShapeType="1"/>
                        </wps:cNvCnPr>
                        <wps:spPr bwMode="auto">
                          <a:xfrm>
                            <a:off x="0" y="10"/>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455" name="Line 1234"/>
                        <wps:cNvCnPr>
                          <a:cxnSpLocks noChangeShapeType="1"/>
                        </wps:cNvCnPr>
                        <wps:spPr bwMode="auto">
                          <a:xfrm>
                            <a:off x="0" y="1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456" name="Line 1233"/>
                        <wps:cNvCnPr>
                          <a:cxnSpLocks noChangeShapeType="1"/>
                        </wps:cNvCnPr>
                        <wps:spPr bwMode="auto">
                          <a:xfrm>
                            <a:off x="0" y="1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457" name="Line 1232"/>
                        <wps:cNvCnPr>
                          <a:cxnSpLocks noChangeShapeType="1"/>
                        </wps:cNvCnPr>
                        <wps:spPr bwMode="auto">
                          <a:xfrm>
                            <a:off x="0" y="1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458" name="Line 1231"/>
                        <wps:cNvCnPr>
                          <a:cxnSpLocks noChangeShapeType="1"/>
                        </wps:cNvCnPr>
                        <wps:spPr bwMode="auto">
                          <a:xfrm>
                            <a:off x="0" y="1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459" name="Line 1230"/>
                        <wps:cNvCnPr>
                          <a:cxnSpLocks noChangeShapeType="1"/>
                        </wps:cNvCnPr>
                        <wps:spPr bwMode="auto">
                          <a:xfrm>
                            <a:off x="0" y="16"/>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460" name="Line 1229"/>
                        <wps:cNvCnPr>
                          <a:cxnSpLocks noChangeShapeType="1"/>
                        </wps:cNvCnPr>
                        <wps:spPr bwMode="auto">
                          <a:xfrm>
                            <a:off x="0" y="1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461" name="Line 1228"/>
                        <wps:cNvCnPr>
                          <a:cxnSpLocks noChangeShapeType="1"/>
                        </wps:cNvCnPr>
                        <wps:spPr bwMode="auto">
                          <a:xfrm>
                            <a:off x="0" y="1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462" name="Line 1227"/>
                        <wps:cNvCnPr>
                          <a:cxnSpLocks noChangeShapeType="1"/>
                        </wps:cNvCnPr>
                        <wps:spPr bwMode="auto">
                          <a:xfrm>
                            <a:off x="1297" y="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463" name="Line 1226"/>
                        <wps:cNvCnPr>
                          <a:cxnSpLocks noChangeShapeType="1"/>
                        </wps:cNvCnPr>
                        <wps:spPr bwMode="auto">
                          <a:xfrm>
                            <a:off x="1297" y="2"/>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464" name="Line 1225"/>
                        <wps:cNvCnPr>
                          <a:cxnSpLocks noChangeShapeType="1"/>
                        </wps:cNvCnPr>
                        <wps:spPr bwMode="auto">
                          <a:xfrm>
                            <a:off x="1297" y="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465" name="Line 1224"/>
                        <wps:cNvCnPr>
                          <a:cxnSpLocks noChangeShapeType="1"/>
                        </wps:cNvCnPr>
                        <wps:spPr bwMode="auto">
                          <a:xfrm>
                            <a:off x="1297" y="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466" name="Line 1223"/>
                        <wps:cNvCnPr>
                          <a:cxnSpLocks noChangeShapeType="1"/>
                        </wps:cNvCnPr>
                        <wps:spPr bwMode="auto">
                          <a:xfrm>
                            <a:off x="1297" y="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467" name="Line 1222"/>
                        <wps:cNvCnPr>
                          <a:cxnSpLocks noChangeShapeType="1"/>
                        </wps:cNvCnPr>
                        <wps:spPr bwMode="auto">
                          <a:xfrm>
                            <a:off x="1297" y="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468" name="Line 1221"/>
                        <wps:cNvCnPr>
                          <a:cxnSpLocks noChangeShapeType="1"/>
                        </wps:cNvCnPr>
                        <wps:spPr bwMode="auto">
                          <a:xfrm>
                            <a:off x="1297" y="8"/>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469" name="Line 1220"/>
                        <wps:cNvCnPr>
                          <a:cxnSpLocks noChangeShapeType="1"/>
                        </wps:cNvCnPr>
                        <wps:spPr bwMode="auto">
                          <a:xfrm>
                            <a:off x="1297" y="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470" name="Line 1219"/>
                        <wps:cNvCnPr>
                          <a:cxnSpLocks noChangeShapeType="1"/>
                        </wps:cNvCnPr>
                        <wps:spPr bwMode="auto">
                          <a:xfrm>
                            <a:off x="1297" y="10"/>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471" name="Line 1218"/>
                        <wps:cNvCnPr>
                          <a:cxnSpLocks noChangeShapeType="1"/>
                        </wps:cNvCnPr>
                        <wps:spPr bwMode="auto">
                          <a:xfrm>
                            <a:off x="1297" y="1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472" name="Line 1217"/>
                        <wps:cNvCnPr>
                          <a:cxnSpLocks noChangeShapeType="1"/>
                        </wps:cNvCnPr>
                        <wps:spPr bwMode="auto">
                          <a:xfrm>
                            <a:off x="1297" y="1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473" name="Line 1216"/>
                        <wps:cNvCnPr>
                          <a:cxnSpLocks noChangeShapeType="1"/>
                        </wps:cNvCnPr>
                        <wps:spPr bwMode="auto">
                          <a:xfrm>
                            <a:off x="1297" y="1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474" name="Line 1215"/>
                        <wps:cNvCnPr>
                          <a:cxnSpLocks noChangeShapeType="1"/>
                        </wps:cNvCnPr>
                        <wps:spPr bwMode="auto">
                          <a:xfrm>
                            <a:off x="1297" y="1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475" name="Line 1214"/>
                        <wps:cNvCnPr>
                          <a:cxnSpLocks noChangeShapeType="1"/>
                        </wps:cNvCnPr>
                        <wps:spPr bwMode="auto">
                          <a:xfrm>
                            <a:off x="1297" y="16"/>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476" name="Line 1213"/>
                        <wps:cNvCnPr>
                          <a:cxnSpLocks noChangeShapeType="1"/>
                        </wps:cNvCnPr>
                        <wps:spPr bwMode="auto">
                          <a:xfrm>
                            <a:off x="1297" y="1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477" name="Line 1212"/>
                        <wps:cNvCnPr>
                          <a:cxnSpLocks noChangeShapeType="1"/>
                        </wps:cNvCnPr>
                        <wps:spPr bwMode="auto">
                          <a:xfrm>
                            <a:off x="1297" y="1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E318256" id="Group 1211" o:spid="_x0000_s1026" style="width:129.75pt;height:1pt;mso-position-horizontal-relative:char;mso-position-vertical-relative:line" coordsize="259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">
                <v:line id="Line 1243" o:spid="_x0000_s1027" style="position:absolute;visibility:visible;mso-wrap-style:square" from="0,1" to="12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" strokeweight=".06pt"/>
                <v:line id="Line 1242" o:spid="_x0000_s1028" style="position:absolute;visibility:visible;mso-wrap-style:square" from="0,2" to="12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" strokeweight=".06pt"/>
                <v:line id="Line 1241" o:spid="_x0000_s1029" style="position:absolute;visibility:visible;mso-wrap-style:square" from="0,3" to="12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" strokeweight=".06pt"/>
                <v:line id="Line 1240" o:spid="_x0000_s1030" style="position:absolute;visibility:visible;mso-wrap-style:square" from="0,4" to="12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" strokeweight=".06pt"/>
                <v:line id="Line 1239" o:spid="_x0000_s1031" style="position:absolute;visibility:visible;mso-wrap-style:square" from="0,5" to="12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" strokeweight=".06pt"/>
                <v:line id="Line 1238" o:spid="_x0000_s1032" style="position:absolute;visibility:visible;mso-wrap-style:square" from="0,7" to="12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" strokeweight=".06pt"/>
                <v:line id="Line 1237" o:spid="_x0000_s1033" style="position:absolute;visibility:visible;mso-wrap-style:square" from="0,8" to="12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" strokeweight=".06pt"/>
                <v:line id="Line 1236" o:spid="_x0000_s1034" style="position:absolute;visibility:visible;mso-wrap-style:square" from="0,9" to="12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" strokeweight=".06pt"/>
                <v:line id="Line 1235" o:spid="_x0000_s1035" style="position:absolute;visibility:visible;mso-wrap-style:square" from="0,10" to="129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" strokeweight=".06pt"/>
                <v:line id="Line 1234" o:spid="_x0000_s1036" style="position:absolute;visibility:visible;mso-wrap-style:square" from="0,11" to="129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" strokeweight=".06pt"/>
                <v:line id="Line 1233" o:spid="_x0000_s1037" style="position:absolute;visibility:visible;mso-wrap-style:square" from="0,13" to="129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" strokeweight=".06pt"/>
                <v:line id="Line 1232" o:spid="_x0000_s1038" style="position:absolute;visibility:visible;mso-wrap-style:square" from="0,14" to="129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" strokeweight=".06pt"/>
                <v:line id="Line 1231" o:spid="_x0000_s1039" style="position:absolute;visibility:visible;mso-wrap-style:square" from="0,15" to="129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" strokeweight=".06pt"/>
                <v:line id="Line 1230" o:spid="_x0000_s1040" style="position:absolute;visibility:visible;mso-wrap-style:square" from="0,16" to="129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" strokeweight=".06pt"/>
                <v:line id="Line 1229" o:spid="_x0000_s1041" style="position:absolute;visibility:visible;mso-wrap-style:square" from="0,17" to="129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" strokeweight=".06pt"/>
                <v:line id="Line 1228" o:spid="_x0000_s1042" style="position:absolute;visibility:visible;mso-wrap-style:square" from="0,19" to="129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" strokeweight=".06pt"/>
                <v:line id="Line 1227" o:spid="_x0000_s1043" style="position:absolute;visibility:visible;mso-wrap-style:square" from="1297,1" to="25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" strokeweight=".06pt"/>
                <v:line id="Line 1226" o:spid="_x0000_s1044" style="position:absolute;visibility:visible;mso-wrap-style:square" from="1297,2" to="25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" strokeweight=".06pt"/>
                <v:line id="Line 1225" o:spid="_x0000_s1045" style="position:absolute;visibility:visible;mso-wrap-style:square" from="1297,3" to="25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" strokeweight=".06pt"/>
                <v:line id="Line 1224" o:spid="_x0000_s1046" style="position:absolute;visibility:visible;mso-wrap-style:square" from="1297,4" to="2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" strokeweight=".06pt"/>
                <v:line id="Line 1223" o:spid="_x0000_s1047" style="position:absolute;visibility:visible;mso-wrap-style:square" from="1297,5" to="25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" strokeweight=".06pt"/>
                <v:line id="Line 1222" o:spid="_x0000_s1048" style="position:absolute;visibility:visible;mso-wrap-style:square" from="1297,7" to="25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" strokeweight=".06pt"/>
                <v:line id="Line 1221" o:spid="_x0000_s1049" style="position:absolute;visibility:visible;mso-wrap-style:square" from="1297,8" to="25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" strokeweight=".06pt"/>
                <v:line id="Line 1220" o:spid="_x0000_s1050" style="position:absolute;visibility:visible;mso-wrap-style:square" from="1297,9" to="25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" strokeweight=".06pt"/>
                <v:line id="Line 1219" o:spid="_x0000_s1051" style="position:absolute;visibility:visible;mso-wrap-style:square" from="1297,10" to="259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" strokeweight=".06pt"/>
                <v:line id="Line 1218" o:spid="_x0000_s1052" style="position:absolute;visibility:visible;mso-wrap-style:square" from="1297,11" to="259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" strokeweight=".06pt"/>
                <v:line id="Line 1217" o:spid="_x0000_s1053" style="position:absolute;visibility:visible;mso-wrap-style:square" from="1297,13" to="259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" strokeweight=".06pt"/>
                <v:line id="Line 1216" o:spid="_x0000_s1054" style="position:absolute;visibility:visible;mso-wrap-style:square" from="1297,14" to="259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" strokeweight=".06pt"/>
                <v:line id="Line 1215" o:spid="_x0000_s1055" style="position:absolute;visibility:visible;mso-wrap-style:square" from="1297,15" to="259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" strokeweight=".06pt"/>
                <v:line id="Line 1214" o:spid="_x0000_s1056" style="position:absolute;visibility:visible;mso-wrap-style:square" from="1297,16" to="259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" strokeweight=".06pt"/>
                <v:line id="Line 1213" o:spid="_x0000_s1057" style="position:absolute;visibility:visible;mso-wrap-style:square" from="1297,17" to="259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" strokeweight=".06pt"/>
                <v:line id="Line 1212" o:spid="_x0000_s1058" style="position:absolute;visibility:visible;mso-wrap-style:square" from="1297,19" to="259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" strokeweight=".06pt"/>
                <w10:anchorlock/>
              </v:group>
            </w:pict>
          </mc:Fallback>
        </mc:AlternateContent>
      </w:r>
    </w:p>
    <w:p w14:paraId="72481A4C" w14:textId="77777777" w:rsidR="00FA4AA8" w:rsidRDefault="00FA4AA8">
      <w:pPr>
        <w:pStyle w:val="BodyText"/>
        <w:spacing w:before="8"/>
        <w:rPr>
          <w:sz w:val="16"/>
        </w:rPr>
      </w:pPr>
    </w:p>
    <w:p w14:paraId="5325C254" w14:textId="77777777" w:rsidR="00FA4AA8" w:rsidRDefault="0015611F">
      <w:pPr>
        <w:pStyle w:val="BodyText"/>
        <w:spacing w:before="95"/>
        <w:ind w:left="1132"/>
      </w:pPr>
      <w:r>
        <w:t>*Remuneration is reflected on an annualised total remuneration package for those key management personnel who were members of the Executive for a part of any year.</w:t>
      </w:r>
    </w:p>
    <w:p w14:paraId="6A9CFFEF" w14:textId="77777777" w:rsidR="00FA4AA8" w:rsidRDefault="00FA4AA8">
      <w:pPr>
        <w:pStyle w:val="BodyText"/>
        <w:spacing w:before="7"/>
        <w:rPr>
          <w:sz w:val="26"/>
        </w:rPr>
      </w:pPr>
    </w:p>
    <w:p w14:paraId="2413517D" w14:textId="77777777" w:rsidR="00FA4AA8" w:rsidRDefault="0015611F">
      <w:pPr>
        <w:numPr>
          <w:ilvl w:val="1"/>
          <w:numId w:val="64"/>
        </w:numPr>
        <w:tabs>
          <w:tab w:val="left" w:pos="1131"/>
          <w:tab w:val="left" w:pos="1132"/>
        </w:tabs>
        <w:rPr>
          <w:b/>
          <w:sz w:val="18"/>
        </w:rPr>
      </w:pPr>
      <w:r>
        <w:rPr>
          <w:b/>
          <w:sz w:val="18"/>
        </w:rPr>
        <w:t>Key management personnel</w:t>
      </w:r>
      <w:r>
        <w:rPr>
          <w:b/>
          <w:spacing w:val="-4"/>
          <w:sz w:val="18"/>
        </w:rPr>
        <w:t xml:space="preserve"> </w:t>
      </w:r>
      <w:r>
        <w:rPr>
          <w:b/>
          <w:sz w:val="18"/>
        </w:rPr>
        <w:t>compensation</w:t>
      </w:r>
    </w:p>
    <w:p w14:paraId="1429DDD6" w14:textId="77777777" w:rsidR="00FA4AA8" w:rsidRDefault="00FA4AA8">
      <w:pPr>
        <w:pStyle w:val="BodyText"/>
        <w:spacing w:before="4"/>
        <w:rPr>
          <w:b/>
          <w:sz w:val="25"/>
        </w:rPr>
      </w:pPr>
    </w:p>
    <w:p w14:paraId="253021C7" w14:textId="77777777" w:rsidR="00FA4AA8" w:rsidRDefault="0015611F">
      <w:pPr>
        <w:pStyle w:val="BodyText"/>
        <w:ind w:left="1132" w:right="256"/>
      </w:pPr>
      <w:r>
        <w:t>Total remuneration to independent Board members and Executives of the Company during the year are as follows:</w:t>
      </w:r>
    </w:p>
    <w:p w14:paraId="428C8A43" w14:textId="77777777" w:rsidR="00FA4AA8" w:rsidRDefault="00FA4AA8">
      <w:pPr>
        <w:sectPr w:rsidR="00FA4AA8">
          <w:type w:val="continuous"/>
          <w:pgSz w:w="11910" w:h="16840"/>
          <w:pgMar w:top="20" w:right="840" w:bottom="0" w:left="840" w:header="720" w:footer="720" w:gutter="0"/>
          <w:cols w:space="720"/>
        </w:sectPr>
      </w:pPr>
    </w:p>
    <w:p w14:paraId="24A1044F" w14:textId="77777777" w:rsidR="00FA4AA8" w:rsidRDefault="0015611F">
      <w:pPr>
        <w:spacing w:before="33"/>
        <w:ind w:left="7941"/>
        <w:jc w:val="center"/>
        <w:rPr>
          <w:b/>
          <w:sz w:val="18"/>
        </w:rPr>
      </w:pPr>
      <w:r>
        <w:rPr>
          <w:b/>
          <w:spacing w:val="-1"/>
          <w:sz w:val="18"/>
        </w:rPr>
        <w:t>2018</w:t>
      </w:r>
    </w:p>
    <w:p w14:paraId="502F079E" w14:textId="77777777" w:rsidR="00FA4AA8" w:rsidRDefault="0015611F">
      <w:pPr>
        <w:spacing w:before="67"/>
        <w:ind w:left="7943"/>
        <w:jc w:val="center"/>
        <w:rPr>
          <w:b/>
          <w:sz w:val="18"/>
        </w:rPr>
      </w:pPr>
      <w:r>
        <w:rPr>
          <w:b/>
          <w:sz w:val="18"/>
        </w:rPr>
        <w:t>$</w:t>
      </w:r>
    </w:p>
    <w:p w14:paraId="374405BA" w14:textId="77777777" w:rsidR="00FA4AA8" w:rsidRDefault="0015611F">
      <w:pPr>
        <w:spacing w:before="33"/>
        <w:ind w:left="825" w:right="584"/>
        <w:jc w:val="center"/>
        <w:rPr>
          <w:b/>
          <w:sz w:val="18"/>
        </w:rPr>
      </w:pPr>
      <w:r>
        <w:br w:type="column"/>
      </w:r>
      <w:r>
        <w:rPr>
          <w:b/>
          <w:sz w:val="18"/>
        </w:rPr>
        <w:t>2017</w:t>
      </w:r>
    </w:p>
    <w:p w14:paraId="479C756E" w14:textId="77777777" w:rsidR="00FA4AA8" w:rsidRDefault="0015611F">
      <w:pPr>
        <w:spacing w:before="67"/>
        <w:ind w:left="243"/>
        <w:jc w:val="center"/>
        <w:rPr>
          <w:b/>
          <w:sz w:val="18"/>
        </w:rPr>
      </w:pPr>
      <w:r>
        <w:rPr>
          <w:b/>
          <w:sz w:val="18"/>
        </w:rPr>
        <w:t>$</w:t>
      </w:r>
    </w:p>
    <w:p w14:paraId="5851D407" w14:textId="77777777" w:rsidR="00FA4AA8" w:rsidRDefault="00FA4AA8">
      <w:pPr>
        <w:jc w:val="center"/>
        <w:rPr>
          <w:sz w:val="18"/>
        </w:rPr>
        <w:sectPr w:rsidR="00FA4AA8">
          <w:type w:val="continuous"/>
          <w:pgSz w:w="11910" w:h="16840"/>
          <w:pgMar w:top="20" w:right="840" w:bottom="0" w:left="840" w:header="720" w:footer="720" w:gutter="0"/>
          <w:cols w:num="2" w:space="720" w:equalWidth="0">
            <w:col w:w="8340" w:space="40"/>
            <w:col w:w="1850"/>
          </w:cols>
        </w:sectPr>
      </w:pPr>
    </w:p>
    <w:p w14:paraId="563FECEE" w14:textId="77777777" w:rsidR="00FA4AA8" w:rsidRDefault="0015611F">
      <w:pPr>
        <w:pStyle w:val="BodyText"/>
        <w:tabs>
          <w:tab w:val="left" w:pos="8053"/>
          <w:tab w:val="left" w:pos="9350"/>
        </w:tabs>
        <w:spacing w:before="93"/>
        <w:ind w:left="1160"/>
      </w:pPr>
      <w:bookmarkStart w:id="138" w:name="(e)_______Other_key_management_personnel"/>
      <w:bookmarkEnd w:id="138"/>
      <w:r>
        <w:t>Short-term</w:t>
      </w:r>
      <w:r>
        <w:rPr>
          <w:spacing w:val="-7"/>
        </w:rPr>
        <w:t xml:space="preserve"> </w:t>
      </w:r>
      <w:r>
        <w:t>employee</w:t>
      </w:r>
      <w:r>
        <w:rPr>
          <w:spacing w:val="-7"/>
        </w:rPr>
        <w:t xml:space="preserve"> </w:t>
      </w:r>
      <w:r>
        <w:t>benefits</w:t>
      </w:r>
      <w:r>
        <w:tab/>
      </w:r>
      <w:r>
        <w:rPr>
          <w:b/>
        </w:rPr>
        <w:t>340,345</w:t>
      </w:r>
      <w:r>
        <w:rPr>
          <w:b/>
        </w:rPr>
        <w:tab/>
      </w:r>
      <w:r>
        <w:t>302,679</w:t>
      </w:r>
    </w:p>
    <w:p w14:paraId="6D713EE0" w14:textId="77777777" w:rsidR="00FA4AA8" w:rsidRDefault="007E2441">
      <w:pPr>
        <w:pStyle w:val="BodyText"/>
        <w:tabs>
          <w:tab w:val="left" w:pos="8152"/>
          <w:tab w:val="left" w:pos="9449"/>
        </w:tabs>
        <w:spacing w:before="57"/>
        <w:ind w:left="1160"/>
      </w:pPr>
      <w:r>
        <w:rPr>
          <w:noProof/>
          <w:lang w:val="en-AU" w:eastAsia="en-AU"/>
        </w:rPr>
        <mc:AlternateContent>
          <mc:Choice Requires="wpg">
            <w:drawing>
              <wp:anchor distT="0" distB="0" distL="0" distR="0" simplePos="0" relativeHeight="487631360" behindDoc="1" locked="0" layoutInCell="1" allowOverlap="1" wp14:anchorId="4498252C" wp14:editId="1BD6F110">
                <wp:simplePos x="0" y="0"/>
                <wp:positionH relativeFrom="page">
                  <wp:posOffset>5290820</wp:posOffset>
                </wp:positionH>
                <wp:positionV relativeFrom="paragraph">
                  <wp:posOffset>184150</wp:posOffset>
                </wp:positionV>
                <wp:extent cx="1647825" cy="12700"/>
                <wp:effectExtent l="0" t="0" r="0" b="0"/>
                <wp:wrapTopAndBottom/>
                <wp:docPr id="1412" name="Group 1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7825" cy="12700"/>
                          <a:chOff x="8332" y="290"/>
                          <a:chExt cx="2595" cy="20"/>
                        </a:xfrm>
                      </wpg:grpSpPr>
                      <wps:wsp>
                        <wps:cNvPr id="1413" name="Line 1210"/>
                        <wps:cNvCnPr>
                          <a:cxnSpLocks noChangeShapeType="1"/>
                        </wps:cNvCnPr>
                        <wps:spPr bwMode="auto">
                          <a:xfrm>
                            <a:off x="8332" y="29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414" name="Line 1209"/>
                        <wps:cNvCnPr>
                          <a:cxnSpLocks noChangeShapeType="1"/>
                        </wps:cNvCnPr>
                        <wps:spPr bwMode="auto">
                          <a:xfrm>
                            <a:off x="8332" y="292"/>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415" name="Line 1208"/>
                        <wps:cNvCnPr>
                          <a:cxnSpLocks noChangeShapeType="1"/>
                        </wps:cNvCnPr>
                        <wps:spPr bwMode="auto">
                          <a:xfrm>
                            <a:off x="8332" y="29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416" name="Line 1207"/>
                        <wps:cNvCnPr>
                          <a:cxnSpLocks noChangeShapeType="1"/>
                        </wps:cNvCnPr>
                        <wps:spPr bwMode="auto">
                          <a:xfrm>
                            <a:off x="8332" y="29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417" name="Line 1206"/>
                        <wps:cNvCnPr>
                          <a:cxnSpLocks noChangeShapeType="1"/>
                        </wps:cNvCnPr>
                        <wps:spPr bwMode="auto">
                          <a:xfrm>
                            <a:off x="8332" y="29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418" name="Line 1205"/>
                        <wps:cNvCnPr>
                          <a:cxnSpLocks noChangeShapeType="1"/>
                        </wps:cNvCnPr>
                        <wps:spPr bwMode="auto">
                          <a:xfrm>
                            <a:off x="8332" y="29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419" name="Line 1204"/>
                        <wps:cNvCnPr>
                          <a:cxnSpLocks noChangeShapeType="1"/>
                        </wps:cNvCnPr>
                        <wps:spPr bwMode="auto">
                          <a:xfrm>
                            <a:off x="8332" y="298"/>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420" name="Line 1203"/>
                        <wps:cNvCnPr>
                          <a:cxnSpLocks noChangeShapeType="1"/>
                        </wps:cNvCnPr>
                        <wps:spPr bwMode="auto">
                          <a:xfrm>
                            <a:off x="8332" y="29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421" name="Line 1202"/>
                        <wps:cNvCnPr>
                          <a:cxnSpLocks noChangeShapeType="1"/>
                        </wps:cNvCnPr>
                        <wps:spPr bwMode="auto">
                          <a:xfrm>
                            <a:off x="8332" y="300"/>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422" name="Line 1201"/>
                        <wps:cNvCnPr>
                          <a:cxnSpLocks noChangeShapeType="1"/>
                        </wps:cNvCnPr>
                        <wps:spPr bwMode="auto">
                          <a:xfrm>
                            <a:off x="8332" y="30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423" name="Line 1200"/>
                        <wps:cNvCnPr>
                          <a:cxnSpLocks noChangeShapeType="1"/>
                        </wps:cNvCnPr>
                        <wps:spPr bwMode="auto">
                          <a:xfrm>
                            <a:off x="8332" y="30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424" name="Line 1199"/>
                        <wps:cNvCnPr>
                          <a:cxnSpLocks noChangeShapeType="1"/>
                        </wps:cNvCnPr>
                        <wps:spPr bwMode="auto">
                          <a:xfrm>
                            <a:off x="8332" y="30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425" name="Line 1198"/>
                        <wps:cNvCnPr>
                          <a:cxnSpLocks noChangeShapeType="1"/>
                        </wps:cNvCnPr>
                        <wps:spPr bwMode="auto">
                          <a:xfrm>
                            <a:off x="8332" y="30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426" name="Line 1197"/>
                        <wps:cNvCnPr>
                          <a:cxnSpLocks noChangeShapeType="1"/>
                        </wps:cNvCnPr>
                        <wps:spPr bwMode="auto">
                          <a:xfrm>
                            <a:off x="8332" y="306"/>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427" name="Line 1196"/>
                        <wps:cNvCnPr>
                          <a:cxnSpLocks noChangeShapeType="1"/>
                        </wps:cNvCnPr>
                        <wps:spPr bwMode="auto">
                          <a:xfrm>
                            <a:off x="8332" y="30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428" name="Line 1195"/>
                        <wps:cNvCnPr>
                          <a:cxnSpLocks noChangeShapeType="1"/>
                        </wps:cNvCnPr>
                        <wps:spPr bwMode="auto">
                          <a:xfrm>
                            <a:off x="8332" y="30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429" name="Line 1194"/>
                        <wps:cNvCnPr>
                          <a:cxnSpLocks noChangeShapeType="1"/>
                        </wps:cNvCnPr>
                        <wps:spPr bwMode="auto">
                          <a:xfrm>
                            <a:off x="9629" y="29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430" name="Line 1193"/>
                        <wps:cNvCnPr>
                          <a:cxnSpLocks noChangeShapeType="1"/>
                        </wps:cNvCnPr>
                        <wps:spPr bwMode="auto">
                          <a:xfrm>
                            <a:off x="9629" y="292"/>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431" name="Line 1192"/>
                        <wps:cNvCnPr>
                          <a:cxnSpLocks noChangeShapeType="1"/>
                        </wps:cNvCnPr>
                        <wps:spPr bwMode="auto">
                          <a:xfrm>
                            <a:off x="9629" y="29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432" name="Line 1191"/>
                        <wps:cNvCnPr>
                          <a:cxnSpLocks noChangeShapeType="1"/>
                        </wps:cNvCnPr>
                        <wps:spPr bwMode="auto">
                          <a:xfrm>
                            <a:off x="9629" y="29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433" name="Line 1190"/>
                        <wps:cNvCnPr>
                          <a:cxnSpLocks noChangeShapeType="1"/>
                        </wps:cNvCnPr>
                        <wps:spPr bwMode="auto">
                          <a:xfrm>
                            <a:off x="9629" y="29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434" name="Line 1189"/>
                        <wps:cNvCnPr>
                          <a:cxnSpLocks noChangeShapeType="1"/>
                        </wps:cNvCnPr>
                        <wps:spPr bwMode="auto">
                          <a:xfrm>
                            <a:off x="9629" y="29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435" name="Line 1188"/>
                        <wps:cNvCnPr>
                          <a:cxnSpLocks noChangeShapeType="1"/>
                        </wps:cNvCnPr>
                        <wps:spPr bwMode="auto">
                          <a:xfrm>
                            <a:off x="9629" y="298"/>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436" name="Line 1187"/>
                        <wps:cNvCnPr>
                          <a:cxnSpLocks noChangeShapeType="1"/>
                        </wps:cNvCnPr>
                        <wps:spPr bwMode="auto">
                          <a:xfrm>
                            <a:off x="9629" y="29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437" name="Line 1186"/>
                        <wps:cNvCnPr>
                          <a:cxnSpLocks noChangeShapeType="1"/>
                        </wps:cNvCnPr>
                        <wps:spPr bwMode="auto">
                          <a:xfrm>
                            <a:off x="9629" y="300"/>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438" name="Line 1185"/>
                        <wps:cNvCnPr>
                          <a:cxnSpLocks noChangeShapeType="1"/>
                        </wps:cNvCnPr>
                        <wps:spPr bwMode="auto">
                          <a:xfrm>
                            <a:off x="9629" y="30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439" name="Line 1184"/>
                        <wps:cNvCnPr>
                          <a:cxnSpLocks noChangeShapeType="1"/>
                        </wps:cNvCnPr>
                        <wps:spPr bwMode="auto">
                          <a:xfrm>
                            <a:off x="9629" y="30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440" name="Line 1183"/>
                        <wps:cNvCnPr>
                          <a:cxnSpLocks noChangeShapeType="1"/>
                        </wps:cNvCnPr>
                        <wps:spPr bwMode="auto">
                          <a:xfrm>
                            <a:off x="9629" y="30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441" name="Line 1182"/>
                        <wps:cNvCnPr>
                          <a:cxnSpLocks noChangeShapeType="1"/>
                        </wps:cNvCnPr>
                        <wps:spPr bwMode="auto">
                          <a:xfrm>
                            <a:off x="9629" y="30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442" name="Line 1181"/>
                        <wps:cNvCnPr>
                          <a:cxnSpLocks noChangeShapeType="1"/>
                        </wps:cNvCnPr>
                        <wps:spPr bwMode="auto">
                          <a:xfrm>
                            <a:off x="9629" y="306"/>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443" name="Line 1180"/>
                        <wps:cNvCnPr>
                          <a:cxnSpLocks noChangeShapeType="1"/>
                        </wps:cNvCnPr>
                        <wps:spPr bwMode="auto">
                          <a:xfrm>
                            <a:off x="9629" y="30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444" name="Line 1179"/>
                        <wps:cNvCnPr>
                          <a:cxnSpLocks noChangeShapeType="1"/>
                        </wps:cNvCnPr>
                        <wps:spPr bwMode="auto">
                          <a:xfrm>
                            <a:off x="9629" y="30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408FD4" id="Group 1178" o:spid="_x0000_s1026" style="position:absolute;margin-left:416.6pt;margin-top:14.5pt;width:129.75pt;height:1pt;z-index:-15685120;mso-wrap-distance-left:0;mso-wrap-distance-right:0;mso-position-horizontal-relative:page" coordorigin="8332,290" coordsize="259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">
                <v:line id="Line 1210" o:spid="_x0000_s1027" style="position:absolute;visibility:visible;mso-wrap-style:square" from="8332,291" to="962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" strokeweight=".06pt"/>
                <v:line id="Line 1209" o:spid="_x0000_s1028" style="position:absolute;visibility:visible;mso-wrap-style:square" from="8332,292" to="9629,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" strokeweight=".06pt"/>
                <v:line id="Line 1208" o:spid="_x0000_s1029" style="position:absolute;visibility:visible;mso-wrap-style:square" from="8332,293" to="9629,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" strokeweight=".06pt"/>
                <v:line id="Line 1207" o:spid="_x0000_s1030" style="position:absolute;visibility:visible;mso-wrap-style:square" from="8332,294" to="9629,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" strokeweight=".06pt"/>
                <v:line id="Line 1206" o:spid="_x0000_s1031" style="position:absolute;visibility:visible;mso-wrap-style:square" from="8332,295" to="962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" strokeweight=".06pt"/>
                <v:line id="Line 1205" o:spid="_x0000_s1032" style="position:absolute;visibility:visible;mso-wrap-style:square" from="8332,297" to="962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" strokeweight=".06pt"/>
                <v:line id="Line 1204" o:spid="_x0000_s1033" style="position:absolute;visibility:visible;mso-wrap-style:square" from="8332,298" to="9629,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" strokeweight=".06pt"/>
                <v:line id="Line 1203" o:spid="_x0000_s1034" style="position:absolute;visibility:visible;mso-wrap-style:square" from="8332,299" to="9629,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" strokeweight=".06pt"/>
                <v:line id="Line 1202" o:spid="_x0000_s1035" style="position:absolute;visibility:visible;mso-wrap-style:square" from="8332,300" to="9629,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" strokeweight=".06pt"/>
                <v:line id="Line 1201" o:spid="_x0000_s1036" style="position:absolute;visibility:visible;mso-wrap-style:square" from="8332,301" to="9629,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" strokeweight=".06pt"/>
                <v:line id="Line 1200" o:spid="_x0000_s1037" style="position:absolute;visibility:visible;mso-wrap-style:square" from="8332,303" to="9629,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" strokeweight=".06pt"/>
                <v:line id="Line 1199" o:spid="_x0000_s1038" style="position:absolute;visibility:visible;mso-wrap-style:square" from="8332,304" to="9629,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" strokeweight=".06pt"/>
                <v:line id="Line 1198" o:spid="_x0000_s1039" style="position:absolute;visibility:visible;mso-wrap-style:square" from="8332,305" to="9629,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" strokeweight=".06pt"/>
                <v:line id="Line 1197" o:spid="_x0000_s1040" style="position:absolute;visibility:visible;mso-wrap-style:square" from="8332,306" to="9629,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" strokeweight=".06pt"/>
                <v:line id="Line 1196" o:spid="_x0000_s1041" style="position:absolute;visibility:visible;mso-wrap-style:square" from="8332,307" to="9629,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" strokeweight=".06pt"/>
                <v:line id="Line 1195" o:spid="_x0000_s1042" style="position:absolute;visibility:visible;mso-wrap-style:square" from="8332,309" to="9629,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" strokeweight=".06pt"/>
                <v:line id="Line 1194" o:spid="_x0000_s1043" style="position:absolute;visibility:visible;mso-wrap-style:square" from="9629,291" to="10926,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" strokeweight=".06pt"/>
                <v:line id="Line 1193" o:spid="_x0000_s1044" style="position:absolute;visibility:visible;mso-wrap-style:square" from="9629,292" to="10926,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" strokeweight=".06pt"/>
                <v:line id="Line 1192" o:spid="_x0000_s1045" style="position:absolute;visibility:visible;mso-wrap-style:square" from="9629,293" to="10926,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" strokeweight=".06pt"/>
                <v:line id="Line 1191" o:spid="_x0000_s1046" style="position:absolute;visibility:visible;mso-wrap-style:square" from="9629,294" to="1092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" strokeweight=".06pt"/>
                <v:line id="Line 1190" o:spid="_x0000_s1047" style="position:absolute;visibility:visible;mso-wrap-style:square" from="9629,295" to="10926,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" strokeweight=".06pt"/>
                <v:line id="Line 1189" o:spid="_x0000_s1048" style="position:absolute;visibility:visible;mso-wrap-style:square" from="9629,297" to="10926,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" strokeweight=".06pt"/>
                <v:line id="Line 1188" o:spid="_x0000_s1049" style="position:absolute;visibility:visible;mso-wrap-style:square" from="9629,298" to="10926,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" strokeweight=".06pt"/>
                <v:line id="Line 1187" o:spid="_x0000_s1050" style="position:absolute;visibility:visible;mso-wrap-style:square" from="9629,299" to="10926,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" strokeweight=".06pt"/>
                <v:line id="Line 1186" o:spid="_x0000_s1051" style="position:absolute;visibility:visible;mso-wrap-style:square" from="9629,300" to="10926,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" strokeweight=".06pt"/>
                <v:line id="Line 1185" o:spid="_x0000_s1052" style="position:absolute;visibility:visible;mso-wrap-style:square" from="9629,301" to="10926,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" strokeweight=".06pt"/>
                <v:line id="Line 1184" o:spid="_x0000_s1053" style="position:absolute;visibility:visible;mso-wrap-style:square" from="9629,303" to="1092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" strokeweight=".06pt"/>
                <v:line id="Line 1183" o:spid="_x0000_s1054" style="position:absolute;visibility:visible;mso-wrap-style:square" from="9629,304" to="10926,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" strokeweight=".06pt"/>
                <v:line id="Line 1182" o:spid="_x0000_s1055" style="position:absolute;visibility:visible;mso-wrap-style:square" from="9629,305" to="10926,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" strokeweight=".06pt"/>
                <v:line id="Line 1181" o:spid="_x0000_s1056" style="position:absolute;visibility:visible;mso-wrap-style:square" from="9629,306" to="1092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" strokeweight=".06pt"/>
                <v:line id="Line 1180" o:spid="_x0000_s1057" style="position:absolute;visibility:visible;mso-wrap-style:square" from="9629,307" to="10926,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" strokeweight=".06pt"/>
                <v:line id="Line 1179" o:spid="_x0000_s1058" style="position:absolute;visibility:visible;mso-wrap-style:square" from="9629,309" to="10926,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" strokeweight=".06pt"/>
                <w10:wrap type="topAndBottom" anchorx="page"/>
              </v:group>
            </w:pict>
          </mc:Fallback>
        </mc:AlternateContent>
      </w:r>
      <w:r w:rsidR="0015611F">
        <w:t>Post-employment</w:t>
      </w:r>
      <w:r w:rsidR="0015611F">
        <w:rPr>
          <w:spacing w:val="-8"/>
        </w:rPr>
        <w:t xml:space="preserve"> </w:t>
      </w:r>
      <w:r w:rsidR="0015611F">
        <w:t>benefits</w:t>
      </w:r>
      <w:r w:rsidR="0015611F">
        <w:tab/>
      </w:r>
      <w:r w:rsidR="0015611F">
        <w:rPr>
          <w:b/>
        </w:rPr>
        <w:t>27,334</w:t>
      </w:r>
      <w:r w:rsidR="0015611F">
        <w:rPr>
          <w:b/>
        </w:rPr>
        <w:tab/>
      </w:r>
      <w:r w:rsidR="0015611F">
        <w:t>24,841</w:t>
      </w:r>
    </w:p>
    <w:p w14:paraId="2C85FE1A" w14:textId="77777777" w:rsidR="00FA4AA8" w:rsidRDefault="0015611F">
      <w:pPr>
        <w:tabs>
          <w:tab w:val="left" w:pos="8053"/>
          <w:tab w:val="left" w:pos="9350"/>
        </w:tabs>
        <w:spacing w:before="84"/>
        <w:ind w:left="1160"/>
        <w:rPr>
          <w:sz w:val="18"/>
        </w:rPr>
      </w:pPr>
      <w:r>
        <w:rPr>
          <w:b/>
          <w:sz w:val="18"/>
        </w:rPr>
        <w:t>Total key management</w:t>
      </w:r>
      <w:r>
        <w:rPr>
          <w:b/>
          <w:spacing w:val="-13"/>
          <w:sz w:val="18"/>
        </w:rPr>
        <w:t xml:space="preserve"> </w:t>
      </w:r>
      <w:r>
        <w:rPr>
          <w:b/>
          <w:sz w:val="18"/>
        </w:rPr>
        <w:t>personnel</w:t>
      </w:r>
      <w:r>
        <w:rPr>
          <w:b/>
          <w:spacing w:val="-4"/>
          <w:sz w:val="18"/>
        </w:rPr>
        <w:t xml:space="preserve"> </w:t>
      </w:r>
      <w:r>
        <w:rPr>
          <w:b/>
          <w:sz w:val="18"/>
        </w:rPr>
        <w:t>compensation</w:t>
      </w:r>
      <w:r>
        <w:rPr>
          <w:b/>
          <w:sz w:val="18"/>
        </w:rPr>
        <w:tab/>
        <w:t>367,679</w:t>
      </w:r>
      <w:r>
        <w:rPr>
          <w:b/>
          <w:sz w:val="18"/>
        </w:rPr>
        <w:tab/>
      </w:r>
      <w:r>
        <w:rPr>
          <w:sz w:val="18"/>
        </w:rPr>
        <w:t>327,520</w:t>
      </w:r>
    </w:p>
    <w:p w14:paraId="2B72067C" w14:textId="77777777" w:rsidR="00FA4AA8" w:rsidRDefault="007E2441">
      <w:pPr>
        <w:pStyle w:val="BodyText"/>
        <w:spacing w:line="50" w:lineRule="exact"/>
        <w:ind w:left="7490"/>
        <w:rPr>
          <w:sz w:val="5"/>
        </w:rPr>
      </w:pPr>
      <w:r>
        <w:rPr>
          <w:noProof/>
          <w:sz w:val="5"/>
          <w:lang w:val="en-AU" w:eastAsia="en-AU"/>
        </w:rPr>
        <mc:AlternateContent>
          <mc:Choice Requires="wpg">
            <w:drawing>
              <wp:inline distT="0" distB="0" distL="0" distR="0" wp14:anchorId="1FEAB1C1" wp14:editId="09B202C5">
                <wp:extent cx="1647825" cy="31750"/>
                <wp:effectExtent l="9525" t="9525" r="9525" b="6350"/>
                <wp:docPr id="1359" name="Group 1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7825" cy="31750"/>
                          <a:chOff x="0" y="0"/>
                          <a:chExt cx="2595" cy="50"/>
                        </a:xfrm>
                      </wpg:grpSpPr>
                      <wps:wsp>
                        <wps:cNvPr id="1360" name="Line 1177"/>
                        <wps:cNvCnPr>
                          <a:cxnSpLocks noChangeShapeType="1"/>
                        </wps:cNvCnPr>
                        <wps:spPr bwMode="auto">
                          <a:xfrm>
                            <a:off x="0" y="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361" name="Line 1176"/>
                        <wps:cNvCnPr>
                          <a:cxnSpLocks noChangeShapeType="1"/>
                        </wps:cNvCnPr>
                        <wps:spPr bwMode="auto">
                          <a:xfrm>
                            <a:off x="0" y="2"/>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362" name="Line 1175"/>
                        <wps:cNvCnPr>
                          <a:cxnSpLocks noChangeShapeType="1"/>
                        </wps:cNvCnPr>
                        <wps:spPr bwMode="auto">
                          <a:xfrm>
                            <a:off x="0" y="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363" name="Line 1174"/>
                        <wps:cNvCnPr>
                          <a:cxnSpLocks noChangeShapeType="1"/>
                        </wps:cNvCnPr>
                        <wps:spPr bwMode="auto">
                          <a:xfrm>
                            <a:off x="0" y="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364" name="Line 1173"/>
                        <wps:cNvCnPr>
                          <a:cxnSpLocks noChangeShapeType="1"/>
                        </wps:cNvCnPr>
                        <wps:spPr bwMode="auto">
                          <a:xfrm>
                            <a:off x="0" y="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365" name="Line 1172"/>
                        <wps:cNvCnPr>
                          <a:cxnSpLocks noChangeShapeType="1"/>
                        </wps:cNvCnPr>
                        <wps:spPr bwMode="auto">
                          <a:xfrm>
                            <a:off x="0" y="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366" name="Line 1171"/>
                        <wps:cNvCnPr>
                          <a:cxnSpLocks noChangeShapeType="1"/>
                        </wps:cNvCnPr>
                        <wps:spPr bwMode="auto">
                          <a:xfrm>
                            <a:off x="0" y="8"/>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367" name="Line 1170"/>
                        <wps:cNvCnPr>
                          <a:cxnSpLocks noChangeShapeType="1"/>
                        </wps:cNvCnPr>
                        <wps:spPr bwMode="auto">
                          <a:xfrm>
                            <a:off x="0" y="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368" name="Line 1169"/>
                        <wps:cNvCnPr>
                          <a:cxnSpLocks noChangeShapeType="1"/>
                        </wps:cNvCnPr>
                        <wps:spPr bwMode="auto">
                          <a:xfrm>
                            <a:off x="0" y="10"/>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369" name="Line 1168"/>
                        <wps:cNvCnPr>
                          <a:cxnSpLocks noChangeShapeType="1"/>
                        </wps:cNvCnPr>
                        <wps:spPr bwMode="auto">
                          <a:xfrm>
                            <a:off x="0" y="1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370" name="Line 1167"/>
                        <wps:cNvCnPr>
                          <a:cxnSpLocks noChangeShapeType="1"/>
                        </wps:cNvCnPr>
                        <wps:spPr bwMode="auto">
                          <a:xfrm>
                            <a:off x="0" y="1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371" name="Line 1166"/>
                        <wps:cNvCnPr>
                          <a:cxnSpLocks noChangeShapeType="1"/>
                        </wps:cNvCnPr>
                        <wps:spPr bwMode="auto">
                          <a:xfrm>
                            <a:off x="0" y="1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372" name="Line 1165"/>
                        <wps:cNvCnPr>
                          <a:cxnSpLocks noChangeShapeType="1"/>
                        </wps:cNvCnPr>
                        <wps:spPr bwMode="auto">
                          <a:xfrm>
                            <a:off x="0" y="1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373" name="Line 1164"/>
                        <wps:cNvCnPr>
                          <a:cxnSpLocks noChangeShapeType="1"/>
                        </wps:cNvCnPr>
                        <wps:spPr bwMode="auto">
                          <a:xfrm>
                            <a:off x="0" y="3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374" name="Line 1163"/>
                        <wps:cNvCnPr>
                          <a:cxnSpLocks noChangeShapeType="1"/>
                        </wps:cNvCnPr>
                        <wps:spPr bwMode="auto">
                          <a:xfrm>
                            <a:off x="0" y="3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375" name="Line 1162"/>
                        <wps:cNvCnPr>
                          <a:cxnSpLocks noChangeShapeType="1"/>
                        </wps:cNvCnPr>
                        <wps:spPr bwMode="auto">
                          <a:xfrm>
                            <a:off x="0" y="3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376" name="Line 1161"/>
                        <wps:cNvCnPr>
                          <a:cxnSpLocks noChangeShapeType="1"/>
                        </wps:cNvCnPr>
                        <wps:spPr bwMode="auto">
                          <a:xfrm>
                            <a:off x="0" y="38"/>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377" name="Line 1160"/>
                        <wps:cNvCnPr>
                          <a:cxnSpLocks noChangeShapeType="1"/>
                        </wps:cNvCnPr>
                        <wps:spPr bwMode="auto">
                          <a:xfrm>
                            <a:off x="0" y="3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378" name="Line 1159"/>
                        <wps:cNvCnPr>
                          <a:cxnSpLocks noChangeShapeType="1"/>
                        </wps:cNvCnPr>
                        <wps:spPr bwMode="auto">
                          <a:xfrm>
                            <a:off x="0" y="40"/>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379" name="Line 1158"/>
                        <wps:cNvCnPr>
                          <a:cxnSpLocks noChangeShapeType="1"/>
                        </wps:cNvCnPr>
                        <wps:spPr bwMode="auto">
                          <a:xfrm>
                            <a:off x="0" y="4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380" name="Line 1157"/>
                        <wps:cNvCnPr>
                          <a:cxnSpLocks noChangeShapeType="1"/>
                        </wps:cNvCnPr>
                        <wps:spPr bwMode="auto">
                          <a:xfrm>
                            <a:off x="0" y="4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381" name="Line 1156"/>
                        <wps:cNvCnPr>
                          <a:cxnSpLocks noChangeShapeType="1"/>
                        </wps:cNvCnPr>
                        <wps:spPr bwMode="auto">
                          <a:xfrm>
                            <a:off x="0" y="4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382" name="Line 1155"/>
                        <wps:cNvCnPr>
                          <a:cxnSpLocks noChangeShapeType="1"/>
                        </wps:cNvCnPr>
                        <wps:spPr bwMode="auto">
                          <a:xfrm>
                            <a:off x="0" y="4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383" name="Line 1154"/>
                        <wps:cNvCnPr>
                          <a:cxnSpLocks noChangeShapeType="1"/>
                        </wps:cNvCnPr>
                        <wps:spPr bwMode="auto">
                          <a:xfrm>
                            <a:off x="0" y="46"/>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384" name="Line 1153"/>
                        <wps:cNvCnPr>
                          <a:cxnSpLocks noChangeShapeType="1"/>
                        </wps:cNvCnPr>
                        <wps:spPr bwMode="auto">
                          <a:xfrm>
                            <a:off x="0" y="4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385" name="Line 1152"/>
                        <wps:cNvCnPr>
                          <a:cxnSpLocks noChangeShapeType="1"/>
                        </wps:cNvCnPr>
                        <wps:spPr bwMode="auto">
                          <a:xfrm>
                            <a:off x="0" y="4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386" name="Line 1151"/>
                        <wps:cNvCnPr>
                          <a:cxnSpLocks noChangeShapeType="1"/>
                        </wps:cNvCnPr>
                        <wps:spPr bwMode="auto">
                          <a:xfrm>
                            <a:off x="1297" y="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387" name="Line 1150"/>
                        <wps:cNvCnPr>
                          <a:cxnSpLocks noChangeShapeType="1"/>
                        </wps:cNvCnPr>
                        <wps:spPr bwMode="auto">
                          <a:xfrm>
                            <a:off x="1297" y="2"/>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388" name="Line 1149"/>
                        <wps:cNvCnPr>
                          <a:cxnSpLocks noChangeShapeType="1"/>
                        </wps:cNvCnPr>
                        <wps:spPr bwMode="auto">
                          <a:xfrm>
                            <a:off x="1297" y="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389" name="Line 1148"/>
                        <wps:cNvCnPr>
                          <a:cxnSpLocks noChangeShapeType="1"/>
                        </wps:cNvCnPr>
                        <wps:spPr bwMode="auto">
                          <a:xfrm>
                            <a:off x="1297" y="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390" name="Line 1147"/>
                        <wps:cNvCnPr>
                          <a:cxnSpLocks noChangeShapeType="1"/>
                        </wps:cNvCnPr>
                        <wps:spPr bwMode="auto">
                          <a:xfrm>
                            <a:off x="1297" y="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391" name="Line 1146"/>
                        <wps:cNvCnPr>
                          <a:cxnSpLocks noChangeShapeType="1"/>
                        </wps:cNvCnPr>
                        <wps:spPr bwMode="auto">
                          <a:xfrm>
                            <a:off x="1297" y="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392" name="Line 1145"/>
                        <wps:cNvCnPr>
                          <a:cxnSpLocks noChangeShapeType="1"/>
                        </wps:cNvCnPr>
                        <wps:spPr bwMode="auto">
                          <a:xfrm>
                            <a:off x="1297" y="8"/>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393" name="Line 1144"/>
                        <wps:cNvCnPr>
                          <a:cxnSpLocks noChangeShapeType="1"/>
                        </wps:cNvCnPr>
                        <wps:spPr bwMode="auto">
                          <a:xfrm>
                            <a:off x="1297" y="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394" name="Line 1143"/>
                        <wps:cNvCnPr>
                          <a:cxnSpLocks noChangeShapeType="1"/>
                        </wps:cNvCnPr>
                        <wps:spPr bwMode="auto">
                          <a:xfrm>
                            <a:off x="1297" y="10"/>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395" name="Line 1142"/>
                        <wps:cNvCnPr>
                          <a:cxnSpLocks noChangeShapeType="1"/>
                        </wps:cNvCnPr>
                        <wps:spPr bwMode="auto">
                          <a:xfrm>
                            <a:off x="1297" y="1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396" name="Line 1141"/>
                        <wps:cNvCnPr>
                          <a:cxnSpLocks noChangeShapeType="1"/>
                        </wps:cNvCnPr>
                        <wps:spPr bwMode="auto">
                          <a:xfrm>
                            <a:off x="1297" y="1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397" name="Line 1140"/>
                        <wps:cNvCnPr>
                          <a:cxnSpLocks noChangeShapeType="1"/>
                        </wps:cNvCnPr>
                        <wps:spPr bwMode="auto">
                          <a:xfrm>
                            <a:off x="1297" y="1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398" name="Line 1139"/>
                        <wps:cNvCnPr>
                          <a:cxnSpLocks noChangeShapeType="1"/>
                        </wps:cNvCnPr>
                        <wps:spPr bwMode="auto">
                          <a:xfrm>
                            <a:off x="1297" y="1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399" name="Line 1138"/>
                        <wps:cNvCnPr>
                          <a:cxnSpLocks noChangeShapeType="1"/>
                        </wps:cNvCnPr>
                        <wps:spPr bwMode="auto">
                          <a:xfrm>
                            <a:off x="1297" y="3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400" name="Line 1137"/>
                        <wps:cNvCnPr>
                          <a:cxnSpLocks noChangeShapeType="1"/>
                        </wps:cNvCnPr>
                        <wps:spPr bwMode="auto">
                          <a:xfrm>
                            <a:off x="1297" y="3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401" name="Line 1136"/>
                        <wps:cNvCnPr>
                          <a:cxnSpLocks noChangeShapeType="1"/>
                        </wps:cNvCnPr>
                        <wps:spPr bwMode="auto">
                          <a:xfrm>
                            <a:off x="1297" y="3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402" name="Line 1135"/>
                        <wps:cNvCnPr>
                          <a:cxnSpLocks noChangeShapeType="1"/>
                        </wps:cNvCnPr>
                        <wps:spPr bwMode="auto">
                          <a:xfrm>
                            <a:off x="1297" y="38"/>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403" name="Line 1134"/>
                        <wps:cNvCnPr>
                          <a:cxnSpLocks noChangeShapeType="1"/>
                        </wps:cNvCnPr>
                        <wps:spPr bwMode="auto">
                          <a:xfrm>
                            <a:off x="1297" y="3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404" name="Line 1133"/>
                        <wps:cNvCnPr>
                          <a:cxnSpLocks noChangeShapeType="1"/>
                        </wps:cNvCnPr>
                        <wps:spPr bwMode="auto">
                          <a:xfrm>
                            <a:off x="1297" y="40"/>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405" name="Line 1132"/>
                        <wps:cNvCnPr>
                          <a:cxnSpLocks noChangeShapeType="1"/>
                        </wps:cNvCnPr>
                        <wps:spPr bwMode="auto">
                          <a:xfrm>
                            <a:off x="1297" y="4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406" name="Line 1131"/>
                        <wps:cNvCnPr>
                          <a:cxnSpLocks noChangeShapeType="1"/>
                        </wps:cNvCnPr>
                        <wps:spPr bwMode="auto">
                          <a:xfrm>
                            <a:off x="1297" y="4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407" name="Line 1130"/>
                        <wps:cNvCnPr>
                          <a:cxnSpLocks noChangeShapeType="1"/>
                        </wps:cNvCnPr>
                        <wps:spPr bwMode="auto">
                          <a:xfrm>
                            <a:off x="1297" y="4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408" name="Line 1129"/>
                        <wps:cNvCnPr>
                          <a:cxnSpLocks noChangeShapeType="1"/>
                        </wps:cNvCnPr>
                        <wps:spPr bwMode="auto">
                          <a:xfrm>
                            <a:off x="1297" y="4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409" name="Line 1128"/>
                        <wps:cNvCnPr>
                          <a:cxnSpLocks noChangeShapeType="1"/>
                        </wps:cNvCnPr>
                        <wps:spPr bwMode="auto">
                          <a:xfrm>
                            <a:off x="1297" y="46"/>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410" name="Line 1127"/>
                        <wps:cNvCnPr>
                          <a:cxnSpLocks noChangeShapeType="1"/>
                        </wps:cNvCnPr>
                        <wps:spPr bwMode="auto">
                          <a:xfrm>
                            <a:off x="1297" y="4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411" name="Line 1126"/>
                        <wps:cNvCnPr>
                          <a:cxnSpLocks noChangeShapeType="1"/>
                        </wps:cNvCnPr>
                        <wps:spPr bwMode="auto">
                          <a:xfrm>
                            <a:off x="1297" y="4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F25B461" id="Group 1125" o:spid="_x0000_s1026" style="width:129.75pt;height:2.5pt;mso-position-horizontal-relative:char;mso-position-vertical-relative:line" coordsize="25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">
                <v:line id="Line 1177" o:spid="_x0000_s1027" style="position:absolute;visibility:visible;mso-wrap-style:square" from="0,1" to="12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" strokeweight=".06pt"/>
                <v:line id="Line 1176" o:spid="_x0000_s1028" style="position:absolute;visibility:visible;mso-wrap-style:square" from="0,2" to="12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" strokeweight=".06pt"/>
                <v:line id="Line 1175" o:spid="_x0000_s1029" style="position:absolute;visibility:visible;mso-wrap-style:square" from="0,3" to="12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" strokeweight=".06pt"/>
                <v:line id="Line 1174" o:spid="_x0000_s1030" style="position:absolute;visibility:visible;mso-wrap-style:square" from="0,4" to="12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" strokeweight=".06pt"/>
                <v:line id="Line 1173" o:spid="_x0000_s1031" style="position:absolute;visibility:visible;mso-wrap-style:square" from="0,5" to="12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" strokeweight=".06pt"/>
                <v:line id="Line 1172" o:spid="_x0000_s1032" style="position:absolute;visibility:visible;mso-wrap-style:square" from="0,7" to="12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" strokeweight=".06pt"/>
                <v:line id="Line 1171" o:spid="_x0000_s1033" style="position:absolute;visibility:visible;mso-wrap-style:square" from="0,8" to="12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" strokeweight=".06pt"/>
                <v:line id="Line 1170" o:spid="_x0000_s1034" style="position:absolute;visibility:visible;mso-wrap-style:square" from="0,9" to="12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" strokeweight=".06pt"/>
                <v:line id="Line 1169" o:spid="_x0000_s1035" style="position:absolute;visibility:visible;mso-wrap-style:square" from="0,10" to="129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" strokeweight=".06pt"/>
                <v:line id="Line 1168" o:spid="_x0000_s1036" style="position:absolute;visibility:visible;mso-wrap-style:square" from="0,11" to="129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" strokeweight=".06pt"/>
                <v:line id="Line 1167" o:spid="_x0000_s1037" style="position:absolute;visibility:visible;mso-wrap-style:square" from="0,13" to="129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" strokeweight=".06pt"/>
                <v:line id="Line 1166" o:spid="_x0000_s1038" style="position:absolute;visibility:visible;mso-wrap-style:square" from="0,14" to="129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" strokeweight=".06pt"/>
                <v:line id="Line 1165" o:spid="_x0000_s1039" style="position:absolute;visibility:visible;mso-wrap-style:square" from="0,15" to="129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" strokeweight=".06pt"/>
                <v:line id="Line 1164" o:spid="_x0000_s1040" style="position:absolute;visibility:visible;mso-wrap-style:square" from="0,34" to="129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" strokeweight=".06pt"/>
                <v:line id="Line 1163" o:spid="_x0000_s1041" style="position:absolute;visibility:visible;mso-wrap-style:square" from="0,35" to="129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" strokeweight=".06pt"/>
                <v:line id="Line 1162" o:spid="_x0000_s1042" style="position:absolute;visibility:visible;mso-wrap-style:square" from="0,37" to="129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" strokeweight=".06pt"/>
                <v:line id="Line 1161" o:spid="_x0000_s1043" style="position:absolute;visibility:visible;mso-wrap-style:square" from="0,38" to="12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" strokeweight=".06pt"/>
                <v:line id="Line 1160" o:spid="_x0000_s1044" style="position:absolute;visibility:visible;mso-wrap-style:square" from="0,39" to="129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" strokeweight=".06pt"/>
                <v:line id="Line 1159" o:spid="_x0000_s1045" style="position:absolute;visibility:visible;mso-wrap-style:square" from="0,40" to="129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" strokeweight=".06pt"/>
                <v:line id="Line 1158" o:spid="_x0000_s1046" style="position:absolute;visibility:visible;mso-wrap-style:square" from="0,41" to="129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" strokeweight=".06pt"/>
                <v:line id="Line 1157" o:spid="_x0000_s1047" style="position:absolute;visibility:visible;mso-wrap-style:square" from="0,43" to="129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" strokeweight=".06pt"/>
                <v:line id="Line 1156" o:spid="_x0000_s1048" style="position:absolute;visibility:visible;mso-wrap-style:square" from="0,44" to="129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" strokeweight=".06pt"/>
                <v:line id="Line 1155" o:spid="_x0000_s1049" style="position:absolute;visibility:visible;mso-wrap-style:square" from="0,45" to="129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" strokeweight=".06pt"/>
                <v:line id="Line 1154" o:spid="_x0000_s1050" style="position:absolute;visibility:visible;mso-wrap-style:square" from="0,46" to="129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" strokeweight=".06pt"/>
                <v:line id="Line 1153" o:spid="_x0000_s1051" style="position:absolute;visibility:visible;mso-wrap-style:square" from="0,47" to="129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" strokeweight=".06pt"/>
                <v:line id="Line 1152" o:spid="_x0000_s1052" style="position:absolute;visibility:visible;mso-wrap-style:square" from="0,49" to="129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" strokeweight=".06pt"/>
                <v:line id="Line 1151" o:spid="_x0000_s1053" style="position:absolute;visibility:visible;mso-wrap-style:square" from="1297,1" to="25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" strokeweight=".06pt"/>
                <v:line id="Line 1150" o:spid="_x0000_s1054" style="position:absolute;visibility:visible;mso-wrap-style:square" from="1297,2" to="25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" strokeweight=".06pt"/>
                <v:line id="Line 1149" o:spid="_x0000_s1055" style="position:absolute;visibility:visible;mso-wrap-style:square" from="1297,3" to="25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" strokeweight=".06pt"/>
                <v:line id="Line 1148" o:spid="_x0000_s1056" style="position:absolute;visibility:visible;mso-wrap-style:square" from="1297,4" to="2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" strokeweight=".06pt"/>
                <v:line id="Line 1147" o:spid="_x0000_s1057" style="position:absolute;visibility:visible;mso-wrap-style:square" from="1297,5" to="25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" strokeweight=".06pt"/>
                <v:line id="Line 1146" o:spid="_x0000_s1058" style="position:absolute;visibility:visible;mso-wrap-style:square" from="1297,7" to="25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" strokeweight=".06pt"/>
                <v:line id="Line 1145" o:spid="_x0000_s1059" style="position:absolute;visibility:visible;mso-wrap-style:square" from="1297,8" to="25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" strokeweight=".06pt"/>
                <v:line id="Line 1144" o:spid="_x0000_s1060" style="position:absolute;visibility:visible;mso-wrap-style:square" from="1297,9" to="25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" strokeweight=".06pt"/>
                <v:line id="Line 1143" o:spid="_x0000_s1061" style="position:absolute;visibility:visible;mso-wrap-style:square" from="1297,10" to="259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" strokeweight=".06pt"/>
                <v:line id="Line 1142" o:spid="_x0000_s1062" style="position:absolute;visibility:visible;mso-wrap-style:square" from="1297,11" to="259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" strokeweight=".06pt"/>
                <v:line id="Line 1141" o:spid="_x0000_s1063" style="position:absolute;visibility:visible;mso-wrap-style:square" from="1297,13" to="259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" strokeweight=".06pt"/>
                <v:line id="Line 1140" o:spid="_x0000_s1064" style="position:absolute;visibility:visible;mso-wrap-style:square" from="1297,14" to="259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" strokeweight=".06pt"/>
                <v:line id="Line 1139" o:spid="_x0000_s1065" style="position:absolute;visibility:visible;mso-wrap-style:square" from="1297,15" to="259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" strokeweight=".06pt"/>
                <v:line id="Line 1138" o:spid="_x0000_s1066" style="position:absolute;visibility:visible;mso-wrap-style:square" from="1297,34" to="25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" strokeweight=".06pt"/>
                <v:line id="Line 1137" o:spid="_x0000_s1067" style="position:absolute;visibility:visible;mso-wrap-style:square" from="1297,35" to="259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" strokeweight=".06pt"/>
                <v:line id="Line 1136" o:spid="_x0000_s1068" style="position:absolute;visibility:visible;mso-wrap-style:square" from="1297,37" to="25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" strokeweight=".06pt"/>
                <v:line id="Line 1135" o:spid="_x0000_s1069" style="position:absolute;visibility:visible;mso-wrap-style:square" from="1297,38" to="259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" strokeweight=".06pt"/>
                <v:line id="Line 1134" o:spid="_x0000_s1070" style="position:absolute;visibility:visible;mso-wrap-style:square" from="1297,39" to="259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" strokeweight=".06pt"/>
                <v:line id="Line 1133" o:spid="_x0000_s1071" style="position:absolute;visibility:visible;mso-wrap-style:square" from="1297,40" to="259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" strokeweight=".06pt"/>
                <v:line id="Line 1132" o:spid="_x0000_s1072" style="position:absolute;visibility:visible;mso-wrap-style:square" from="1297,41" to="259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" strokeweight=".06pt"/>
                <v:line id="Line 1131" o:spid="_x0000_s1073" style="position:absolute;visibility:visible;mso-wrap-style:square" from="1297,43" to="259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" strokeweight=".06pt"/>
                <v:line id="Line 1130" o:spid="_x0000_s1074" style="position:absolute;visibility:visible;mso-wrap-style:square" from="1297,44" to="259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" strokeweight=".06pt"/>
                <v:line id="Line 1129" o:spid="_x0000_s1075" style="position:absolute;visibility:visible;mso-wrap-style:square" from="1297,45" to="259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" strokeweight=".06pt"/>
                <v:line id="Line 1128" o:spid="_x0000_s1076" style="position:absolute;visibility:visible;mso-wrap-style:square" from="1297,46" to="259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" strokeweight=".06pt"/>
                <v:line id="Line 1127" o:spid="_x0000_s1077" style="position:absolute;visibility:visible;mso-wrap-style:square" from="1297,47" to="259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" strokeweight=".06pt"/>
                <v:line id="Line 1126" o:spid="_x0000_s1078" style="position:absolute;visibility:visible;mso-wrap-style:square" from="1297,49" to="259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" strokeweight=".06pt"/>
                <w10:anchorlock/>
              </v:group>
            </w:pict>
          </mc:Fallback>
        </mc:AlternateContent>
      </w:r>
    </w:p>
    <w:p w14:paraId="506F911F" w14:textId="77777777" w:rsidR="00FA4AA8" w:rsidRDefault="00FA4AA8">
      <w:pPr>
        <w:pStyle w:val="BodyText"/>
        <w:rPr>
          <w:sz w:val="20"/>
        </w:rPr>
      </w:pPr>
    </w:p>
    <w:p w14:paraId="631F3670" w14:textId="77777777" w:rsidR="00FA4AA8" w:rsidRDefault="00FA4AA8">
      <w:pPr>
        <w:pStyle w:val="BodyText"/>
        <w:spacing w:before="7"/>
        <w:rPr>
          <w:sz w:val="20"/>
        </w:rPr>
      </w:pPr>
    </w:p>
    <w:p w14:paraId="3F786145" w14:textId="77777777" w:rsidR="00FA4AA8" w:rsidRDefault="0015611F">
      <w:pPr>
        <w:pStyle w:val="ListParagraph"/>
        <w:numPr>
          <w:ilvl w:val="1"/>
          <w:numId w:val="64"/>
        </w:numPr>
        <w:tabs>
          <w:tab w:val="left" w:pos="1136"/>
          <w:tab w:val="left" w:pos="1137"/>
        </w:tabs>
        <w:ind w:left="1136" w:hanging="573"/>
        <w:rPr>
          <w:b/>
          <w:sz w:val="18"/>
        </w:rPr>
      </w:pPr>
      <w:r>
        <w:rPr>
          <w:b/>
          <w:sz w:val="18"/>
        </w:rPr>
        <w:t>Other key management personnel</w:t>
      </w:r>
      <w:r>
        <w:rPr>
          <w:b/>
          <w:spacing w:val="-5"/>
          <w:sz w:val="18"/>
        </w:rPr>
        <w:t xml:space="preserve"> </w:t>
      </w:r>
      <w:r>
        <w:rPr>
          <w:b/>
          <w:sz w:val="18"/>
        </w:rPr>
        <w:t>transactions</w:t>
      </w:r>
    </w:p>
    <w:p w14:paraId="08387434" w14:textId="77777777" w:rsidR="00FA4AA8" w:rsidRDefault="00FA4AA8">
      <w:pPr>
        <w:pStyle w:val="BodyText"/>
        <w:spacing w:before="4"/>
        <w:rPr>
          <w:b/>
          <w:sz w:val="25"/>
        </w:rPr>
      </w:pPr>
    </w:p>
    <w:p w14:paraId="78CEA416" w14:textId="77777777" w:rsidR="00FA4AA8" w:rsidRDefault="0015611F">
      <w:pPr>
        <w:pStyle w:val="BodyText"/>
        <w:ind w:left="1132"/>
      </w:pPr>
      <w:r>
        <w:t>No other transactions made with key management personnel during the year (2017: nil).</w:t>
      </w:r>
    </w:p>
    <w:p w14:paraId="2A79DED9" w14:textId="77777777" w:rsidR="00FA4AA8" w:rsidRDefault="00FA4AA8">
      <w:pPr>
        <w:sectPr w:rsidR="00FA4AA8">
          <w:type w:val="continuous"/>
          <w:pgSz w:w="11910" w:h="16840"/>
          <w:pgMar w:top="20" w:right="840" w:bottom="0" w:left="840" w:header="720" w:footer="720" w:gutter="0"/>
          <w:cols w:space="720"/>
        </w:sectPr>
      </w:pPr>
    </w:p>
    <w:p w14:paraId="2066F23E" w14:textId="77777777" w:rsidR="00FA4AA8" w:rsidRDefault="00FA4AA8">
      <w:pPr>
        <w:pStyle w:val="BodyText"/>
        <w:rPr>
          <w:sz w:val="20"/>
        </w:rPr>
      </w:pPr>
    </w:p>
    <w:p w14:paraId="2867EBF9" w14:textId="77777777" w:rsidR="00FA4AA8" w:rsidRDefault="00FA4AA8">
      <w:pPr>
        <w:pStyle w:val="BodyText"/>
        <w:spacing w:before="9"/>
        <w:rPr>
          <w:sz w:val="29"/>
        </w:rPr>
      </w:pPr>
    </w:p>
    <w:p w14:paraId="35D472D2" w14:textId="77777777" w:rsidR="00FA4AA8" w:rsidRDefault="0015611F">
      <w:pPr>
        <w:numPr>
          <w:ilvl w:val="0"/>
          <w:numId w:val="63"/>
        </w:numPr>
        <w:tabs>
          <w:tab w:val="left" w:pos="564"/>
        </w:tabs>
        <w:spacing w:before="94"/>
        <w:ind w:hanging="395"/>
        <w:rPr>
          <w:b/>
          <w:sz w:val="18"/>
        </w:rPr>
      </w:pPr>
      <w:bookmarkStart w:id="139" w:name="15_Related_Parties_"/>
      <w:bookmarkStart w:id="140" w:name="(a)_The_Company's_main_related_parties_a"/>
      <w:bookmarkEnd w:id="139"/>
      <w:bookmarkEnd w:id="140"/>
      <w:r>
        <w:rPr>
          <w:b/>
          <w:sz w:val="18"/>
        </w:rPr>
        <w:t>Related</w:t>
      </w:r>
      <w:r>
        <w:rPr>
          <w:b/>
          <w:spacing w:val="-2"/>
          <w:sz w:val="18"/>
        </w:rPr>
        <w:t xml:space="preserve"> </w:t>
      </w:r>
      <w:r>
        <w:rPr>
          <w:b/>
          <w:sz w:val="18"/>
        </w:rPr>
        <w:t>Parties</w:t>
      </w:r>
    </w:p>
    <w:p w14:paraId="3245A115" w14:textId="77777777" w:rsidR="00FA4AA8" w:rsidRDefault="00FA4AA8">
      <w:pPr>
        <w:pStyle w:val="BodyText"/>
        <w:spacing w:before="7"/>
        <w:rPr>
          <w:b/>
          <w:sz w:val="26"/>
        </w:rPr>
      </w:pPr>
    </w:p>
    <w:p w14:paraId="34415E59" w14:textId="77777777" w:rsidR="00FA4AA8" w:rsidRDefault="0015611F">
      <w:pPr>
        <w:pStyle w:val="ListParagraph"/>
        <w:numPr>
          <w:ilvl w:val="1"/>
          <w:numId w:val="63"/>
        </w:numPr>
        <w:tabs>
          <w:tab w:val="left" w:pos="1131"/>
          <w:tab w:val="left" w:pos="1132"/>
        </w:tabs>
        <w:spacing w:before="1"/>
        <w:rPr>
          <w:b/>
          <w:sz w:val="18"/>
        </w:rPr>
      </w:pPr>
      <w:r>
        <w:rPr>
          <w:b/>
          <w:sz w:val="18"/>
        </w:rPr>
        <w:t>The Company's main related parties are as</w:t>
      </w:r>
      <w:r>
        <w:rPr>
          <w:b/>
          <w:spacing w:val="-7"/>
          <w:sz w:val="18"/>
        </w:rPr>
        <w:t xml:space="preserve"> </w:t>
      </w:r>
      <w:r>
        <w:rPr>
          <w:b/>
          <w:sz w:val="18"/>
        </w:rPr>
        <w:t>follows:</w:t>
      </w:r>
    </w:p>
    <w:p w14:paraId="4ACD4D41" w14:textId="77777777" w:rsidR="00FA4AA8" w:rsidRDefault="00FA4AA8">
      <w:pPr>
        <w:pStyle w:val="BodyText"/>
        <w:spacing w:before="4"/>
        <w:rPr>
          <w:b/>
          <w:sz w:val="25"/>
        </w:rPr>
      </w:pPr>
    </w:p>
    <w:p w14:paraId="4119970C" w14:textId="77777777" w:rsidR="00FA4AA8" w:rsidRDefault="0015611F">
      <w:pPr>
        <w:pStyle w:val="ListParagraph"/>
        <w:numPr>
          <w:ilvl w:val="2"/>
          <w:numId w:val="63"/>
        </w:numPr>
        <w:tabs>
          <w:tab w:val="left" w:pos="1340"/>
        </w:tabs>
        <w:ind w:hanging="141"/>
        <w:jc w:val="left"/>
        <w:rPr>
          <w:i/>
          <w:sz w:val="18"/>
        </w:rPr>
      </w:pPr>
      <w:r>
        <w:rPr>
          <w:i/>
          <w:sz w:val="18"/>
        </w:rPr>
        <w:t>Entities exercising control over the</w:t>
      </w:r>
      <w:r>
        <w:rPr>
          <w:i/>
          <w:spacing w:val="-6"/>
          <w:sz w:val="18"/>
        </w:rPr>
        <w:t xml:space="preserve"> </w:t>
      </w:r>
      <w:r>
        <w:rPr>
          <w:i/>
          <w:sz w:val="18"/>
        </w:rPr>
        <w:t>Company:</w:t>
      </w:r>
    </w:p>
    <w:p w14:paraId="0DC4786F" w14:textId="77777777" w:rsidR="00FA4AA8" w:rsidRDefault="00FA4AA8">
      <w:pPr>
        <w:pStyle w:val="BodyText"/>
        <w:rPr>
          <w:i/>
          <w:sz w:val="25"/>
        </w:rPr>
      </w:pPr>
    </w:p>
    <w:p w14:paraId="454D0255" w14:textId="77777777" w:rsidR="00FA4AA8" w:rsidRDefault="0015611F">
      <w:pPr>
        <w:pStyle w:val="BodyText"/>
        <w:ind w:left="1132" w:right="256"/>
      </w:pPr>
      <w:r>
        <w:t>The parent entity, which exercises control over the Company, is Western Sydney University which wholly owns the Company.</w:t>
      </w:r>
    </w:p>
    <w:p w14:paraId="365F3FB6" w14:textId="77777777" w:rsidR="00FA4AA8" w:rsidRDefault="00FA4AA8">
      <w:pPr>
        <w:pStyle w:val="BodyText"/>
        <w:spacing w:before="11"/>
        <w:rPr>
          <w:sz w:val="24"/>
        </w:rPr>
      </w:pPr>
    </w:p>
    <w:p w14:paraId="7F1BF1DE" w14:textId="77777777" w:rsidR="00FA4AA8" w:rsidRDefault="0015611F">
      <w:pPr>
        <w:pStyle w:val="ListParagraph"/>
        <w:numPr>
          <w:ilvl w:val="2"/>
          <w:numId w:val="63"/>
        </w:numPr>
        <w:tabs>
          <w:tab w:val="left" w:pos="1305"/>
        </w:tabs>
        <w:ind w:left="1304" w:hanging="181"/>
        <w:jc w:val="left"/>
        <w:rPr>
          <w:i/>
          <w:sz w:val="18"/>
        </w:rPr>
      </w:pPr>
      <w:r>
        <w:rPr>
          <w:i/>
          <w:sz w:val="18"/>
        </w:rPr>
        <w:t>Joint Venture with Navitas</w:t>
      </w:r>
      <w:r>
        <w:rPr>
          <w:i/>
          <w:spacing w:val="-3"/>
          <w:sz w:val="18"/>
        </w:rPr>
        <w:t xml:space="preserve"> </w:t>
      </w:r>
      <w:r>
        <w:rPr>
          <w:i/>
          <w:sz w:val="18"/>
        </w:rPr>
        <w:t>Ltd:</w:t>
      </w:r>
    </w:p>
    <w:p w14:paraId="6E1AE029" w14:textId="77777777" w:rsidR="00FA4AA8" w:rsidRDefault="00FA4AA8">
      <w:pPr>
        <w:pStyle w:val="BodyText"/>
        <w:rPr>
          <w:i/>
          <w:sz w:val="25"/>
        </w:rPr>
      </w:pPr>
    </w:p>
    <w:p w14:paraId="18167152" w14:textId="77777777" w:rsidR="00FA4AA8" w:rsidRDefault="0015611F">
      <w:pPr>
        <w:pStyle w:val="BodyText"/>
        <w:ind w:left="1132"/>
      </w:pPr>
      <w:r>
        <w:t>Interests in joint venture are set out in note 3.</w:t>
      </w:r>
    </w:p>
    <w:p w14:paraId="300603F9" w14:textId="77777777" w:rsidR="00FA4AA8" w:rsidRDefault="00FA4AA8">
      <w:pPr>
        <w:pStyle w:val="BodyText"/>
        <w:spacing w:before="7"/>
        <w:rPr>
          <w:sz w:val="26"/>
        </w:rPr>
      </w:pPr>
    </w:p>
    <w:p w14:paraId="71D32F3C" w14:textId="77777777" w:rsidR="00FA4AA8" w:rsidRDefault="0015611F">
      <w:pPr>
        <w:numPr>
          <w:ilvl w:val="1"/>
          <w:numId w:val="63"/>
        </w:numPr>
        <w:tabs>
          <w:tab w:val="left" w:pos="1131"/>
          <w:tab w:val="left" w:pos="1132"/>
        </w:tabs>
        <w:spacing w:before="1"/>
        <w:rPr>
          <w:b/>
          <w:sz w:val="18"/>
        </w:rPr>
      </w:pPr>
      <w:r>
        <w:rPr>
          <w:b/>
          <w:sz w:val="18"/>
        </w:rPr>
        <w:t>Transactions with related</w:t>
      </w:r>
      <w:r>
        <w:rPr>
          <w:b/>
          <w:spacing w:val="-2"/>
          <w:sz w:val="18"/>
        </w:rPr>
        <w:t xml:space="preserve"> </w:t>
      </w:r>
      <w:r>
        <w:rPr>
          <w:b/>
          <w:sz w:val="18"/>
        </w:rPr>
        <w:t>parties</w:t>
      </w:r>
    </w:p>
    <w:p w14:paraId="4DC81173" w14:textId="77777777" w:rsidR="00FA4AA8" w:rsidRDefault="00FA4AA8">
      <w:pPr>
        <w:pStyle w:val="BodyText"/>
        <w:spacing w:before="4"/>
        <w:rPr>
          <w:b/>
          <w:sz w:val="25"/>
        </w:rPr>
      </w:pPr>
    </w:p>
    <w:p w14:paraId="0F523DF9" w14:textId="77777777" w:rsidR="00FA4AA8" w:rsidRDefault="0015611F">
      <w:pPr>
        <w:pStyle w:val="BodyText"/>
        <w:ind w:left="1132"/>
      </w:pPr>
      <w:r>
        <w:t>Transactions</w:t>
      </w:r>
      <w:r>
        <w:rPr>
          <w:spacing w:val="-6"/>
        </w:rPr>
        <w:t xml:space="preserve"> </w:t>
      </w:r>
      <w:r>
        <w:t>between</w:t>
      </w:r>
      <w:r>
        <w:rPr>
          <w:spacing w:val="-6"/>
        </w:rPr>
        <w:t xml:space="preserve"> </w:t>
      </w:r>
      <w:r>
        <w:t>related</w:t>
      </w:r>
      <w:r>
        <w:rPr>
          <w:spacing w:val="-5"/>
        </w:rPr>
        <w:t xml:space="preserve"> </w:t>
      </w:r>
      <w:r>
        <w:t>parties</w:t>
      </w:r>
      <w:r>
        <w:rPr>
          <w:spacing w:val="-6"/>
        </w:rPr>
        <w:t xml:space="preserve"> </w:t>
      </w:r>
      <w:r>
        <w:t>are</w:t>
      </w:r>
      <w:r>
        <w:rPr>
          <w:spacing w:val="-5"/>
        </w:rPr>
        <w:t xml:space="preserve"> </w:t>
      </w:r>
      <w:r>
        <w:t>on</w:t>
      </w:r>
      <w:r>
        <w:rPr>
          <w:spacing w:val="-6"/>
        </w:rPr>
        <w:t xml:space="preserve"> </w:t>
      </w:r>
      <w:r>
        <w:t>normal</w:t>
      </w:r>
      <w:r>
        <w:rPr>
          <w:spacing w:val="-6"/>
        </w:rPr>
        <w:t xml:space="preserve"> </w:t>
      </w:r>
      <w:r>
        <w:t>commercial</w:t>
      </w:r>
      <w:r>
        <w:rPr>
          <w:spacing w:val="-5"/>
        </w:rPr>
        <w:t xml:space="preserve"> </w:t>
      </w:r>
      <w:r>
        <w:t>terms</w:t>
      </w:r>
      <w:r>
        <w:rPr>
          <w:spacing w:val="-6"/>
        </w:rPr>
        <w:t xml:space="preserve"> </w:t>
      </w:r>
      <w:r>
        <w:t>and</w:t>
      </w:r>
      <w:r>
        <w:rPr>
          <w:spacing w:val="-5"/>
        </w:rPr>
        <w:t xml:space="preserve"> </w:t>
      </w:r>
      <w:r>
        <w:t>conditions</w:t>
      </w:r>
      <w:r>
        <w:rPr>
          <w:spacing w:val="-6"/>
        </w:rPr>
        <w:t xml:space="preserve"> </w:t>
      </w:r>
      <w:r>
        <w:t>no</w:t>
      </w:r>
      <w:r>
        <w:rPr>
          <w:spacing w:val="-5"/>
        </w:rPr>
        <w:t xml:space="preserve"> </w:t>
      </w:r>
      <w:r>
        <w:t>more</w:t>
      </w:r>
      <w:r>
        <w:rPr>
          <w:spacing w:val="-6"/>
        </w:rPr>
        <w:t xml:space="preserve"> </w:t>
      </w:r>
      <w:r>
        <w:t>favourable</w:t>
      </w:r>
      <w:r>
        <w:rPr>
          <w:spacing w:val="-6"/>
        </w:rPr>
        <w:t xml:space="preserve"> </w:t>
      </w:r>
      <w:r>
        <w:t>than those available to other parties unless otherwise</w:t>
      </w:r>
      <w:r>
        <w:rPr>
          <w:spacing w:val="-11"/>
        </w:rPr>
        <w:t xml:space="preserve"> </w:t>
      </w:r>
      <w:r>
        <w:t>stated.</w:t>
      </w:r>
    </w:p>
    <w:p w14:paraId="61204116" w14:textId="77777777" w:rsidR="00FA4AA8" w:rsidRDefault="00FA4AA8">
      <w:pPr>
        <w:pStyle w:val="BodyText"/>
        <w:rPr>
          <w:sz w:val="25"/>
        </w:rPr>
      </w:pPr>
    </w:p>
    <w:p w14:paraId="2D6DDBB5" w14:textId="77777777" w:rsidR="00FA4AA8" w:rsidRDefault="0015611F">
      <w:pPr>
        <w:pStyle w:val="BodyText"/>
        <w:spacing w:after="39"/>
        <w:ind w:left="1132"/>
      </w:pPr>
      <w:r>
        <w:t>The</w:t>
      </w:r>
      <w:r>
        <w:rPr>
          <w:spacing w:val="-8"/>
        </w:rPr>
        <w:t xml:space="preserve"> </w:t>
      </w:r>
      <w:r>
        <w:t>following</w:t>
      </w:r>
      <w:r>
        <w:rPr>
          <w:spacing w:val="-9"/>
        </w:rPr>
        <w:t xml:space="preserve"> </w:t>
      </w:r>
      <w:r>
        <w:t>transactions</w:t>
      </w:r>
      <w:r>
        <w:rPr>
          <w:spacing w:val="-8"/>
        </w:rPr>
        <w:t xml:space="preserve"> </w:t>
      </w:r>
      <w:r>
        <w:t>occurred</w:t>
      </w:r>
      <w:r>
        <w:rPr>
          <w:spacing w:val="-9"/>
        </w:rPr>
        <w:t xml:space="preserve"> </w:t>
      </w:r>
      <w:r>
        <w:t>with</w:t>
      </w:r>
      <w:r>
        <w:rPr>
          <w:spacing w:val="-8"/>
        </w:rPr>
        <w:t xml:space="preserve"> </w:t>
      </w:r>
      <w:r>
        <w:t>related</w:t>
      </w:r>
      <w:r>
        <w:rPr>
          <w:spacing w:val="-8"/>
        </w:rPr>
        <w:t xml:space="preserve"> </w:t>
      </w:r>
      <w:r>
        <w:t>parties:</w:t>
      </w:r>
    </w:p>
    <w:tbl>
      <w:tblPr>
        <w:tblW w:w="0" w:type="auto"/>
        <w:tblInd w:w="1090" w:type="dxa"/>
        <w:tblLayout w:type="fixed"/>
        <w:tblCellMar>
          <w:left w:w="0" w:type="dxa"/>
          <w:right w:w="0" w:type="dxa"/>
        </w:tblCellMar>
        <w:tblLook w:val="01E0" w:firstRow="1" w:lastRow="1" w:firstColumn="1" w:lastColumn="1" w:noHBand="0" w:noVBand="0"/>
      </w:tblPr>
      <w:tblGrid>
        <w:gridCol w:w="6744"/>
        <w:gridCol w:w="1198"/>
        <w:gridCol w:w="1063"/>
      </w:tblGrid>
      <w:tr w:rsidR="00FA4AA8" w14:paraId="5D6A5253" w14:textId="77777777">
        <w:trPr>
          <w:trHeight w:val="550"/>
        </w:trPr>
        <w:tc>
          <w:tcPr>
            <w:tcW w:w="6744" w:type="dxa"/>
          </w:tcPr>
          <w:p w14:paraId="6A928C1D" w14:textId="77777777" w:rsidR="00FA4AA8" w:rsidRDefault="00FA4AA8">
            <w:pPr>
              <w:pStyle w:val="TableParagraph"/>
              <w:rPr>
                <w:rFonts w:ascii="Times New Roman"/>
                <w:sz w:val="18"/>
              </w:rPr>
            </w:pPr>
          </w:p>
        </w:tc>
        <w:tc>
          <w:tcPr>
            <w:tcW w:w="1198" w:type="dxa"/>
          </w:tcPr>
          <w:p w14:paraId="13161AD1" w14:textId="77777777" w:rsidR="00FA4AA8" w:rsidRDefault="0015611F">
            <w:pPr>
              <w:pStyle w:val="TableParagraph"/>
              <w:spacing w:line="201" w:lineRule="exact"/>
              <w:ind w:left="378" w:right="379"/>
              <w:jc w:val="center"/>
              <w:rPr>
                <w:b/>
                <w:sz w:val="18"/>
              </w:rPr>
            </w:pPr>
            <w:r>
              <w:rPr>
                <w:b/>
                <w:sz w:val="18"/>
              </w:rPr>
              <w:t>2018</w:t>
            </w:r>
          </w:p>
          <w:p w14:paraId="520F7514" w14:textId="77777777" w:rsidR="00FA4AA8" w:rsidRDefault="0015611F">
            <w:pPr>
              <w:pStyle w:val="TableParagraph"/>
              <w:spacing w:before="66"/>
              <w:ind w:right="1"/>
              <w:jc w:val="center"/>
              <w:rPr>
                <w:b/>
                <w:sz w:val="18"/>
              </w:rPr>
            </w:pPr>
            <w:r>
              <w:rPr>
                <w:b/>
                <w:sz w:val="18"/>
              </w:rPr>
              <w:t>$</w:t>
            </w:r>
          </w:p>
        </w:tc>
        <w:tc>
          <w:tcPr>
            <w:tcW w:w="1063" w:type="dxa"/>
          </w:tcPr>
          <w:p w14:paraId="360B601A" w14:textId="77777777" w:rsidR="00FA4AA8" w:rsidRDefault="0015611F">
            <w:pPr>
              <w:pStyle w:val="TableParagraph"/>
              <w:spacing w:line="201" w:lineRule="exact"/>
              <w:ind w:left="296" w:right="326"/>
              <w:jc w:val="center"/>
              <w:rPr>
                <w:b/>
                <w:sz w:val="18"/>
              </w:rPr>
            </w:pPr>
            <w:r>
              <w:rPr>
                <w:b/>
                <w:sz w:val="18"/>
              </w:rPr>
              <w:t>2017</w:t>
            </w:r>
          </w:p>
          <w:p w14:paraId="6D728522" w14:textId="77777777" w:rsidR="00FA4AA8" w:rsidRDefault="0015611F">
            <w:pPr>
              <w:pStyle w:val="TableParagraph"/>
              <w:spacing w:before="66"/>
              <w:ind w:right="28"/>
              <w:jc w:val="center"/>
              <w:rPr>
                <w:b/>
                <w:sz w:val="18"/>
              </w:rPr>
            </w:pPr>
            <w:r>
              <w:rPr>
                <w:b/>
                <w:sz w:val="18"/>
              </w:rPr>
              <w:t>$</w:t>
            </w:r>
          </w:p>
        </w:tc>
      </w:tr>
      <w:tr w:rsidR="00FA4AA8" w14:paraId="7559E1EA" w14:textId="77777777">
        <w:trPr>
          <w:trHeight w:val="542"/>
        </w:trPr>
        <w:tc>
          <w:tcPr>
            <w:tcW w:w="6744" w:type="dxa"/>
          </w:tcPr>
          <w:p w14:paraId="52E5266C" w14:textId="77777777" w:rsidR="00FA4AA8" w:rsidRDefault="0015611F">
            <w:pPr>
              <w:pStyle w:val="TableParagraph"/>
              <w:spacing w:before="70"/>
              <w:ind w:left="93"/>
              <w:rPr>
                <w:b/>
                <w:sz w:val="18"/>
              </w:rPr>
            </w:pPr>
            <w:r>
              <w:rPr>
                <w:b/>
                <w:sz w:val="18"/>
              </w:rPr>
              <w:t>Purchase of goods and services</w:t>
            </w:r>
          </w:p>
          <w:p w14:paraId="3BFFE922" w14:textId="77777777" w:rsidR="00FA4AA8" w:rsidRDefault="0015611F">
            <w:pPr>
              <w:pStyle w:val="TableParagraph"/>
              <w:spacing w:before="27"/>
              <w:ind w:left="93"/>
              <w:rPr>
                <w:sz w:val="18"/>
              </w:rPr>
            </w:pPr>
            <w:r>
              <w:rPr>
                <w:sz w:val="18"/>
              </w:rPr>
              <w:t>Payment to parent entity for capital projects</w:t>
            </w:r>
          </w:p>
        </w:tc>
        <w:tc>
          <w:tcPr>
            <w:tcW w:w="1198" w:type="dxa"/>
          </w:tcPr>
          <w:p w14:paraId="639F8668" w14:textId="77777777" w:rsidR="00FA4AA8" w:rsidRDefault="00FA4AA8">
            <w:pPr>
              <w:pStyle w:val="TableParagraph"/>
              <w:spacing w:before="6"/>
              <w:rPr>
                <w:sz w:val="26"/>
              </w:rPr>
            </w:pPr>
          </w:p>
          <w:p w14:paraId="79F42170" w14:textId="77777777" w:rsidR="00FA4AA8" w:rsidRDefault="0015611F">
            <w:pPr>
              <w:pStyle w:val="TableParagraph"/>
              <w:ind w:right="134"/>
              <w:jc w:val="right"/>
              <w:rPr>
                <w:b/>
                <w:sz w:val="18"/>
              </w:rPr>
            </w:pPr>
            <w:r>
              <w:rPr>
                <w:b/>
                <w:sz w:val="18"/>
              </w:rPr>
              <w:t>73,635</w:t>
            </w:r>
          </w:p>
        </w:tc>
        <w:tc>
          <w:tcPr>
            <w:tcW w:w="1063" w:type="dxa"/>
          </w:tcPr>
          <w:p w14:paraId="25B3C7D7" w14:textId="77777777" w:rsidR="00FA4AA8" w:rsidRDefault="00FA4AA8">
            <w:pPr>
              <w:pStyle w:val="TableParagraph"/>
              <w:spacing w:before="6"/>
              <w:rPr>
                <w:sz w:val="26"/>
              </w:rPr>
            </w:pPr>
          </w:p>
          <w:p w14:paraId="7D064A36" w14:textId="77777777" w:rsidR="00FA4AA8" w:rsidRDefault="0015611F">
            <w:pPr>
              <w:pStyle w:val="TableParagraph"/>
              <w:ind w:left="325"/>
              <w:rPr>
                <w:sz w:val="18"/>
              </w:rPr>
            </w:pPr>
            <w:r>
              <w:rPr>
                <w:sz w:val="18"/>
              </w:rPr>
              <w:t>463,946</w:t>
            </w:r>
          </w:p>
        </w:tc>
      </w:tr>
      <w:tr w:rsidR="00FA4AA8" w14:paraId="2166CC7A" w14:textId="77777777">
        <w:trPr>
          <w:trHeight w:val="260"/>
        </w:trPr>
        <w:tc>
          <w:tcPr>
            <w:tcW w:w="6744" w:type="dxa"/>
          </w:tcPr>
          <w:p w14:paraId="143CC838" w14:textId="77777777" w:rsidR="00FA4AA8" w:rsidRDefault="0015611F">
            <w:pPr>
              <w:pStyle w:val="TableParagraph"/>
              <w:spacing w:before="25"/>
              <w:ind w:left="93"/>
              <w:rPr>
                <w:sz w:val="18"/>
              </w:rPr>
            </w:pPr>
            <w:r>
              <w:rPr>
                <w:sz w:val="18"/>
              </w:rPr>
              <w:t>Purchase of catering services from other related parties</w:t>
            </w:r>
          </w:p>
        </w:tc>
        <w:tc>
          <w:tcPr>
            <w:tcW w:w="1198" w:type="dxa"/>
            <w:tcBorders>
              <w:bottom w:val="single" w:sz="8" w:space="0" w:color="000000"/>
            </w:tcBorders>
          </w:tcPr>
          <w:p w14:paraId="7AD9C9B5" w14:textId="77777777" w:rsidR="00FA4AA8" w:rsidRDefault="0015611F">
            <w:pPr>
              <w:pStyle w:val="TableParagraph"/>
              <w:spacing w:before="26"/>
              <w:ind w:right="134"/>
              <w:jc w:val="right"/>
              <w:rPr>
                <w:b/>
                <w:sz w:val="18"/>
              </w:rPr>
            </w:pPr>
            <w:r>
              <w:rPr>
                <w:b/>
                <w:sz w:val="18"/>
              </w:rPr>
              <w:t>24,990</w:t>
            </w:r>
          </w:p>
        </w:tc>
        <w:tc>
          <w:tcPr>
            <w:tcW w:w="1063" w:type="dxa"/>
            <w:tcBorders>
              <w:bottom w:val="single" w:sz="8" w:space="0" w:color="000000"/>
            </w:tcBorders>
          </w:tcPr>
          <w:p w14:paraId="101C1BE5" w14:textId="77777777" w:rsidR="00FA4AA8" w:rsidRDefault="0015611F">
            <w:pPr>
              <w:pStyle w:val="TableParagraph"/>
              <w:spacing w:before="26"/>
              <w:ind w:right="87"/>
              <w:jc w:val="right"/>
              <w:rPr>
                <w:sz w:val="18"/>
              </w:rPr>
            </w:pPr>
            <w:r>
              <w:rPr>
                <w:sz w:val="18"/>
              </w:rPr>
              <w:t>38,675</w:t>
            </w:r>
          </w:p>
        </w:tc>
      </w:tr>
      <w:tr w:rsidR="00FA4AA8" w14:paraId="1B0306C1" w14:textId="77777777">
        <w:trPr>
          <w:trHeight w:val="313"/>
        </w:trPr>
        <w:tc>
          <w:tcPr>
            <w:tcW w:w="6744" w:type="dxa"/>
          </w:tcPr>
          <w:p w14:paraId="7FBF2534" w14:textId="77777777" w:rsidR="00FA4AA8" w:rsidRDefault="0015611F">
            <w:pPr>
              <w:pStyle w:val="TableParagraph"/>
              <w:spacing w:before="113" w:line="180" w:lineRule="exact"/>
              <w:ind w:left="93"/>
              <w:rPr>
                <w:b/>
                <w:sz w:val="18"/>
              </w:rPr>
            </w:pPr>
            <w:r>
              <w:rPr>
                <w:b/>
                <w:sz w:val="18"/>
              </w:rPr>
              <w:t>Total</w:t>
            </w:r>
          </w:p>
        </w:tc>
        <w:tc>
          <w:tcPr>
            <w:tcW w:w="1198" w:type="dxa"/>
            <w:tcBorders>
              <w:top w:val="single" w:sz="8" w:space="0" w:color="000000"/>
              <w:bottom w:val="double" w:sz="3" w:space="0" w:color="000000"/>
            </w:tcBorders>
          </w:tcPr>
          <w:p w14:paraId="630347A1" w14:textId="77777777" w:rsidR="00FA4AA8" w:rsidRDefault="0015611F">
            <w:pPr>
              <w:pStyle w:val="TableParagraph"/>
              <w:spacing w:before="113" w:line="180" w:lineRule="exact"/>
              <w:ind w:right="134"/>
              <w:jc w:val="right"/>
              <w:rPr>
                <w:b/>
                <w:sz w:val="18"/>
              </w:rPr>
            </w:pPr>
            <w:r>
              <w:rPr>
                <w:b/>
                <w:sz w:val="18"/>
              </w:rPr>
              <w:t>98,625</w:t>
            </w:r>
          </w:p>
        </w:tc>
        <w:tc>
          <w:tcPr>
            <w:tcW w:w="1063" w:type="dxa"/>
            <w:tcBorders>
              <w:top w:val="single" w:sz="8" w:space="0" w:color="000000"/>
              <w:bottom w:val="double" w:sz="3" w:space="0" w:color="000000"/>
            </w:tcBorders>
          </w:tcPr>
          <w:p w14:paraId="0FDFE28D" w14:textId="77777777" w:rsidR="00FA4AA8" w:rsidRDefault="0015611F">
            <w:pPr>
              <w:pStyle w:val="TableParagraph"/>
              <w:spacing w:before="113" w:line="180" w:lineRule="exact"/>
              <w:ind w:left="325"/>
              <w:rPr>
                <w:sz w:val="18"/>
              </w:rPr>
            </w:pPr>
            <w:r>
              <w:rPr>
                <w:sz w:val="18"/>
              </w:rPr>
              <w:t>502,621</w:t>
            </w:r>
          </w:p>
        </w:tc>
      </w:tr>
      <w:tr w:rsidR="00FA4AA8" w14:paraId="1BFED38F" w14:textId="77777777">
        <w:trPr>
          <w:trHeight w:val="590"/>
        </w:trPr>
        <w:tc>
          <w:tcPr>
            <w:tcW w:w="6744" w:type="dxa"/>
          </w:tcPr>
          <w:p w14:paraId="5E26D12F" w14:textId="77777777" w:rsidR="00FA4AA8" w:rsidRDefault="0015611F">
            <w:pPr>
              <w:pStyle w:val="TableParagraph"/>
              <w:spacing w:before="108"/>
              <w:ind w:left="93"/>
              <w:rPr>
                <w:b/>
                <w:sz w:val="18"/>
              </w:rPr>
            </w:pPr>
            <w:r>
              <w:rPr>
                <w:b/>
                <w:sz w:val="18"/>
              </w:rPr>
              <w:t>Other transactions</w:t>
            </w:r>
          </w:p>
          <w:p w14:paraId="1233E553" w14:textId="77777777" w:rsidR="00FA4AA8" w:rsidRDefault="0015611F">
            <w:pPr>
              <w:pStyle w:val="TableParagraph"/>
              <w:spacing w:before="27"/>
              <w:ind w:left="93"/>
              <w:rPr>
                <w:sz w:val="18"/>
              </w:rPr>
            </w:pPr>
            <w:r>
              <w:rPr>
                <w:sz w:val="18"/>
              </w:rPr>
              <w:t>Royalty to parent entity</w:t>
            </w:r>
          </w:p>
        </w:tc>
        <w:tc>
          <w:tcPr>
            <w:tcW w:w="1198" w:type="dxa"/>
            <w:tcBorders>
              <w:top w:val="double" w:sz="3" w:space="0" w:color="000000"/>
            </w:tcBorders>
          </w:tcPr>
          <w:p w14:paraId="6BF14E2F" w14:textId="77777777" w:rsidR="00FA4AA8" w:rsidRDefault="00FA4AA8">
            <w:pPr>
              <w:pStyle w:val="TableParagraph"/>
              <w:spacing w:before="10"/>
              <w:rPr>
                <w:sz w:val="29"/>
              </w:rPr>
            </w:pPr>
          </w:p>
          <w:p w14:paraId="23514149" w14:textId="77777777" w:rsidR="00FA4AA8" w:rsidRDefault="0015611F">
            <w:pPr>
              <w:pStyle w:val="TableParagraph"/>
              <w:ind w:right="134"/>
              <w:jc w:val="right"/>
              <w:rPr>
                <w:b/>
                <w:sz w:val="18"/>
              </w:rPr>
            </w:pPr>
            <w:r>
              <w:rPr>
                <w:b/>
                <w:sz w:val="18"/>
              </w:rPr>
              <w:t>23,755,693</w:t>
            </w:r>
          </w:p>
        </w:tc>
        <w:tc>
          <w:tcPr>
            <w:tcW w:w="1063" w:type="dxa"/>
            <w:tcBorders>
              <w:top w:val="double" w:sz="3" w:space="0" w:color="000000"/>
            </w:tcBorders>
          </w:tcPr>
          <w:p w14:paraId="7F4249AF" w14:textId="77777777" w:rsidR="00FA4AA8" w:rsidRDefault="00FA4AA8">
            <w:pPr>
              <w:pStyle w:val="TableParagraph"/>
              <w:spacing w:before="10"/>
              <w:rPr>
                <w:sz w:val="29"/>
              </w:rPr>
            </w:pPr>
          </w:p>
          <w:p w14:paraId="2D11B94F" w14:textId="77777777" w:rsidR="00FA4AA8" w:rsidRDefault="0015611F">
            <w:pPr>
              <w:pStyle w:val="TableParagraph"/>
              <w:ind w:left="76"/>
              <w:rPr>
                <w:sz w:val="18"/>
              </w:rPr>
            </w:pPr>
            <w:r>
              <w:rPr>
                <w:sz w:val="18"/>
              </w:rPr>
              <w:t>22,919,450</w:t>
            </w:r>
          </w:p>
        </w:tc>
      </w:tr>
      <w:tr w:rsidR="00FA4AA8" w14:paraId="393E51CE" w14:textId="77777777">
        <w:trPr>
          <w:trHeight w:val="273"/>
        </w:trPr>
        <w:tc>
          <w:tcPr>
            <w:tcW w:w="6744" w:type="dxa"/>
          </w:tcPr>
          <w:p w14:paraId="1A06CFD8" w14:textId="77777777" w:rsidR="00FA4AA8" w:rsidRDefault="0015611F">
            <w:pPr>
              <w:pStyle w:val="TableParagraph"/>
              <w:spacing w:before="34"/>
              <w:ind w:left="93"/>
              <w:rPr>
                <w:sz w:val="18"/>
              </w:rPr>
            </w:pPr>
            <w:r>
              <w:rPr>
                <w:sz w:val="18"/>
              </w:rPr>
              <w:t>Payment of management fee to joint venture</w:t>
            </w:r>
          </w:p>
        </w:tc>
        <w:tc>
          <w:tcPr>
            <w:tcW w:w="1198" w:type="dxa"/>
          </w:tcPr>
          <w:p w14:paraId="12606278" w14:textId="77777777" w:rsidR="00FA4AA8" w:rsidRDefault="0015611F">
            <w:pPr>
              <w:pStyle w:val="TableParagraph"/>
              <w:spacing w:before="35"/>
              <w:ind w:right="134"/>
              <w:jc w:val="right"/>
              <w:rPr>
                <w:b/>
                <w:sz w:val="18"/>
              </w:rPr>
            </w:pPr>
            <w:r>
              <w:rPr>
                <w:b/>
                <w:sz w:val="18"/>
              </w:rPr>
              <w:t>8,889,082</w:t>
            </w:r>
          </w:p>
        </w:tc>
        <w:tc>
          <w:tcPr>
            <w:tcW w:w="1063" w:type="dxa"/>
          </w:tcPr>
          <w:p w14:paraId="16AE56A2" w14:textId="77777777" w:rsidR="00FA4AA8" w:rsidRDefault="0015611F">
            <w:pPr>
              <w:pStyle w:val="TableParagraph"/>
              <w:spacing w:before="35"/>
              <w:ind w:left="175"/>
              <w:rPr>
                <w:sz w:val="18"/>
              </w:rPr>
            </w:pPr>
            <w:r>
              <w:rPr>
                <w:sz w:val="18"/>
              </w:rPr>
              <w:t>6,194,392</w:t>
            </w:r>
          </w:p>
        </w:tc>
      </w:tr>
      <w:tr w:rsidR="00FA4AA8" w14:paraId="46E820BC" w14:textId="77777777">
        <w:trPr>
          <w:trHeight w:val="263"/>
        </w:trPr>
        <w:tc>
          <w:tcPr>
            <w:tcW w:w="6744" w:type="dxa"/>
          </w:tcPr>
          <w:p w14:paraId="26D51438" w14:textId="77777777" w:rsidR="00FA4AA8" w:rsidRDefault="0015611F">
            <w:pPr>
              <w:pStyle w:val="TableParagraph"/>
              <w:spacing w:before="25"/>
              <w:ind w:left="93"/>
              <w:rPr>
                <w:sz w:val="18"/>
              </w:rPr>
            </w:pPr>
            <w:r>
              <w:rPr>
                <w:sz w:val="18"/>
              </w:rPr>
              <w:t>Recoupment of commissions, salaries and other expenses from joint venture</w:t>
            </w:r>
          </w:p>
        </w:tc>
        <w:tc>
          <w:tcPr>
            <w:tcW w:w="1198" w:type="dxa"/>
          </w:tcPr>
          <w:p w14:paraId="57756DA7" w14:textId="77777777" w:rsidR="00FA4AA8" w:rsidRDefault="0015611F">
            <w:pPr>
              <w:pStyle w:val="TableParagraph"/>
              <w:spacing w:before="26"/>
              <w:ind w:right="74"/>
              <w:jc w:val="right"/>
              <w:rPr>
                <w:b/>
                <w:sz w:val="18"/>
              </w:rPr>
            </w:pPr>
            <w:r>
              <w:rPr>
                <w:b/>
                <w:sz w:val="18"/>
              </w:rPr>
              <w:t>(3,733,246)</w:t>
            </w:r>
          </w:p>
        </w:tc>
        <w:tc>
          <w:tcPr>
            <w:tcW w:w="1063" w:type="dxa"/>
          </w:tcPr>
          <w:p w14:paraId="4EFC7A2E" w14:textId="77777777" w:rsidR="00FA4AA8" w:rsidRDefault="0015611F">
            <w:pPr>
              <w:pStyle w:val="TableParagraph"/>
              <w:spacing w:before="26"/>
              <w:ind w:left="115"/>
              <w:rPr>
                <w:sz w:val="18"/>
              </w:rPr>
            </w:pPr>
            <w:r>
              <w:rPr>
                <w:sz w:val="18"/>
              </w:rPr>
              <w:t>(3,040,209)</w:t>
            </w:r>
          </w:p>
        </w:tc>
      </w:tr>
      <w:tr w:rsidR="00FA4AA8" w14:paraId="0A484485" w14:textId="77777777">
        <w:trPr>
          <w:trHeight w:val="263"/>
        </w:trPr>
        <w:tc>
          <w:tcPr>
            <w:tcW w:w="6744" w:type="dxa"/>
          </w:tcPr>
          <w:p w14:paraId="523CA6F6" w14:textId="77777777" w:rsidR="00FA4AA8" w:rsidRDefault="0015611F">
            <w:pPr>
              <w:pStyle w:val="TableParagraph"/>
              <w:spacing w:before="25"/>
              <w:ind w:left="93"/>
              <w:rPr>
                <w:sz w:val="18"/>
              </w:rPr>
            </w:pPr>
            <w:r>
              <w:rPr>
                <w:sz w:val="18"/>
              </w:rPr>
              <w:t>Service fee from joint venture</w:t>
            </w:r>
          </w:p>
        </w:tc>
        <w:tc>
          <w:tcPr>
            <w:tcW w:w="1198" w:type="dxa"/>
          </w:tcPr>
          <w:p w14:paraId="7BDDFCF6" w14:textId="77777777" w:rsidR="00FA4AA8" w:rsidRDefault="0015611F">
            <w:pPr>
              <w:pStyle w:val="TableParagraph"/>
              <w:spacing w:before="26"/>
              <w:ind w:right="74"/>
              <w:jc w:val="right"/>
              <w:rPr>
                <w:b/>
                <w:sz w:val="18"/>
              </w:rPr>
            </w:pPr>
            <w:r>
              <w:rPr>
                <w:b/>
                <w:sz w:val="18"/>
              </w:rPr>
              <w:t>(608,783)</w:t>
            </w:r>
          </w:p>
        </w:tc>
        <w:tc>
          <w:tcPr>
            <w:tcW w:w="1063" w:type="dxa"/>
          </w:tcPr>
          <w:p w14:paraId="0E3E6228" w14:textId="77777777" w:rsidR="00FA4AA8" w:rsidRDefault="0015611F">
            <w:pPr>
              <w:pStyle w:val="TableParagraph"/>
              <w:spacing w:before="26"/>
              <w:ind w:right="27"/>
              <w:jc w:val="right"/>
              <w:rPr>
                <w:sz w:val="18"/>
              </w:rPr>
            </w:pPr>
            <w:r>
              <w:rPr>
                <w:sz w:val="18"/>
              </w:rPr>
              <w:t>(619,439)</w:t>
            </w:r>
          </w:p>
        </w:tc>
      </w:tr>
      <w:tr w:rsidR="00FA4AA8" w14:paraId="365B096F" w14:textId="77777777">
        <w:trPr>
          <w:trHeight w:val="263"/>
        </w:trPr>
        <w:tc>
          <w:tcPr>
            <w:tcW w:w="6744" w:type="dxa"/>
          </w:tcPr>
          <w:p w14:paraId="11794756" w14:textId="77777777" w:rsidR="00FA4AA8" w:rsidRDefault="0015611F">
            <w:pPr>
              <w:pStyle w:val="TableParagraph"/>
              <w:spacing w:before="25"/>
              <w:ind w:left="93"/>
              <w:rPr>
                <w:sz w:val="18"/>
              </w:rPr>
            </w:pPr>
            <w:r>
              <w:rPr>
                <w:sz w:val="18"/>
              </w:rPr>
              <w:t>Share of (profit) loss of joint venture</w:t>
            </w:r>
          </w:p>
        </w:tc>
        <w:tc>
          <w:tcPr>
            <w:tcW w:w="1198" w:type="dxa"/>
          </w:tcPr>
          <w:p w14:paraId="74B25760" w14:textId="77777777" w:rsidR="00FA4AA8" w:rsidRDefault="0015611F">
            <w:pPr>
              <w:pStyle w:val="TableParagraph"/>
              <w:spacing w:before="26"/>
              <w:ind w:right="74"/>
              <w:jc w:val="right"/>
              <w:rPr>
                <w:b/>
                <w:sz w:val="18"/>
              </w:rPr>
            </w:pPr>
            <w:r>
              <w:rPr>
                <w:b/>
                <w:sz w:val="18"/>
              </w:rPr>
              <w:t>(190,052)</w:t>
            </w:r>
          </w:p>
        </w:tc>
        <w:tc>
          <w:tcPr>
            <w:tcW w:w="1063" w:type="dxa"/>
          </w:tcPr>
          <w:p w14:paraId="78CEF35C" w14:textId="77777777" w:rsidR="00FA4AA8" w:rsidRDefault="0015611F">
            <w:pPr>
              <w:pStyle w:val="TableParagraph"/>
              <w:spacing w:before="26"/>
              <w:ind w:left="325"/>
              <w:rPr>
                <w:sz w:val="18"/>
              </w:rPr>
            </w:pPr>
            <w:r>
              <w:rPr>
                <w:sz w:val="18"/>
              </w:rPr>
              <w:t>833,847</w:t>
            </w:r>
          </w:p>
        </w:tc>
      </w:tr>
      <w:tr w:rsidR="00FA4AA8" w14:paraId="0F58CE2E" w14:textId="77777777">
        <w:trPr>
          <w:trHeight w:val="260"/>
        </w:trPr>
        <w:tc>
          <w:tcPr>
            <w:tcW w:w="6744" w:type="dxa"/>
          </w:tcPr>
          <w:p w14:paraId="5D85A849" w14:textId="77777777" w:rsidR="00FA4AA8" w:rsidRDefault="0015611F">
            <w:pPr>
              <w:pStyle w:val="TableParagraph"/>
              <w:spacing w:before="25"/>
              <w:ind w:left="93"/>
              <w:rPr>
                <w:sz w:val="18"/>
              </w:rPr>
            </w:pPr>
            <w:r>
              <w:rPr>
                <w:sz w:val="18"/>
              </w:rPr>
              <w:t>Interest received on loan to joint venture</w:t>
            </w:r>
          </w:p>
        </w:tc>
        <w:tc>
          <w:tcPr>
            <w:tcW w:w="1198" w:type="dxa"/>
            <w:tcBorders>
              <w:bottom w:val="single" w:sz="8" w:space="0" w:color="000000"/>
            </w:tcBorders>
          </w:tcPr>
          <w:p w14:paraId="6B95E4DD" w14:textId="77777777" w:rsidR="00FA4AA8" w:rsidRDefault="0015611F">
            <w:pPr>
              <w:pStyle w:val="TableParagraph"/>
              <w:spacing w:before="26"/>
              <w:ind w:right="74"/>
              <w:jc w:val="right"/>
              <w:rPr>
                <w:b/>
                <w:sz w:val="18"/>
              </w:rPr>
            </w:pPr>
            <w:r>
              <w:rPr>
                <w:b/>
                <w:sz w:val="18"/>
              </w:rPr>
              <w:t>(104,147)</w:t>
            </w:r>
          </w:p>
        </w:tc>
        <w:tc>
          <w:tcPr>
            <w:tcW w:w="1063" w:type="dxa"/>
            <w:tcBorders>
              <w:bottom w:val="single" w:sz="8" w:space="0" w:color="000000"/>
            </w:tcBorders>
          </w:tcPr>
          <w:p w14:paraId="7079E526" w14:textId="77777777" w:rsidR="00FA4AA8" w:rsidRDefault="0015611F">
            <w:pPr>
              <w:pStyle w:val="TableParagraph"/>
              <w:spacing w:before="26"/>
              <w:ind w:right="27"/>
              <w:jc w:val="right"/>
              <w:rPr>
                <w:sz w:val="18"/>
              </w:rPr>
            </w:pPr>
            <w:r>
              <w:rPr>
                <w:sz w:val="18"/>
              </w:rPr>
              <w:t>(70,040)</w:t>
            </w:r>
          </w:p>
        </w:tc>
      </w:tr>
      <w:tr w:rsidR="00FA4AA8" w14:paraId="4D1DE0F4" w14:textId="77777777">
        <w:trPr>
          <w:trHeight w:val="313"/>
        </w:trPr>
        <w:tc>
          <w:tcPr>
            <w:tcW w:w="6744" w:type="dxa"/>
          </w:tcPr>
          <w:p w14:paraId="5CEA796D" w14:textId="77777777" w:rsidR="00FA4AA8" w:rsidRDefault="0015611F">
            <w:pPr>
              <w:pStyle w:val="TableParagraph"/>
              <w:spacing w:before="113" w:line="180" w:lineRule="exact"/>
              <w:ind w:left="93"/>
              <w:rPr>
                <w:b/>
                <w:sz w:val="18"/>
              </w:rPr>
            </w:pPr>
            <w:r>
              <w:rPr>
                <w:b/>
                <w:sz w:val="18"/>
              </w:rPr>
              <w:t>Total</w:t>
            </w:r>
          </w:p>
        </w:tc>
        <w:tc>
          <w:tcPr>
            <w:tcW w:w="1198" w:type="dxa"/>
            <w:tcBorders>
              <w:top w:val="single" w:sz="8" w:space="0" w:color="000000"/>
              <w:bottom w:val="double" w:sz="3" w:space="0" w:color="000000"/>
            </w:tcBorders>
          </w:tcPr>
          <w:p w14:paraId="2A4125B6" w14:textId="77777777" w:rsidR="00FA4AA8" w:rsidRDefault="0015611F">
            <w:pPr>
              <w:pStyle w:val="TableParagraph"/>
              <w:spacing w:before="113" w:line="180" w:lineRule="exact"/>
              <w:ind w:right="134"/>
              <w:jc w:val="right"/>
              <w:rPr>
                <w:b/>
                <w:sz w:val="18"/>
              </w:rPr>
            </w:pPr>
            <w:r>
              <w:rPr>
                <w:b/>
                <w:sz w:val="18"/>
              </w:rPr>
              <w:t>28,008,547</w:t>
            </w:r>
          </w:p>
        </w:tc>
        <w:tc>
          <w:tcPr>
            <w:tcW w:w="1063" w:type="dxa"/>
            <w:tcBorders>
              <w:top w:val="single" w:sz="8" w:space="0" w:color="000000"/>
              <w:bottom w:val="double" w:sz="3" w:space="0" w:color="000000"/>
            </w:tcBorders>
          </w:tcPr>
          <w:p w14:paraId="20508C2A" w14:textId="77777777" w:rsidR="00FA4AA8" w:rsidRDefault="0015611F">
            <w:pPr>
              <w:pStyle w:val="TableParagraph"/>
              <w:spacing w:before="113" w:line="180" w:lineRule="exact"/>
              <w:ind w:left="76"/>
              <w:rPr>
                <w:sz w:val="18"/>
              </w:rPr>
            </w:pPr>
            <w:r>
              <w:rPr>
                <w:sz w:val="18"/>
              </w:rPr>
              <w:t>26,218,001</w:t>
            </w:r>
          </w:p>
        </w:tc>
      </w:tr>
    </w:tbl>
    <w:p w14:paraId="0E4BC53D" w14:textId="77777777" w:rsidR="00FA4AA8" w:rsidRDefault="00FA4AA8">
      <w:pPr>
        <w:pStyle w:val="BodyText"/>
        <w:spacing w:before="6"/>
        <w:rPr>
          <w:sz w:val="27"/>
        </w:rPr>
      </w:pPr>
    </w:p>
    <w:p w14:paraId="0BDA6B69" w14:textId="77777777" w:rsidR="00FA4AA8" w:rsidRDefault="0015611F">
      <w:pPr>
        <w:ind w:left="564"/>
        <w:rPr>
          <w:i/>
          <w:sz w:val="18"/>
        </w:rPr>
      </w:pPr>
      <w:r>
        <w:rPr>
          <w:i/>
          <w:sz w:val="18"/>
          <w:u w:val="single"/>
        </w:rPr>
        <w:t>Accounting Policy</w:t>
      </w:r>
    </w:p>
    <w:p w14:paraId="5557621A" w14:textId="77777777" w:rsidR="00FA4AA8" w:rsidRDefault="00FA4AA8">
      <w:pPr>
        <w:pStyle w:val="BodyText"/>
        <w:spacing w:before="3"/>
        <w:rPr>
          <w:i/>
          <w:sz w:val="17"/>
        </w:rPr>
      </w:pPr>
    </w:p>
    <w:p w14:paraId="145B59D0" w14:textId="77777777" w:rsidR="00FA4AA8" w:rsidRDefault="0015611F">
      <w:pPr>
        <w:pStyle w:val="BodyText"/>
        <w:spacing w:before="94"/>
        <w:ind w:left="565"/>
      </w:pPr>
      <w:r>
        <w:t>The Company pays a royalty to the parent entity for access to the parent entity's intellectual property, infrastructure, premises and business services. The royalty is determined as 100% of the Company's operating surplus before royalty.</w:t>
      </w:r>
    </w:p>
    <w:p w14:paraId="0F91364A" w14:textId="77777777" w:rsidR="00FA4AA8" w:rsidRDefault="00FA4AA8">
      <w:pPr>
        <w:sectPr w:rsidR="00FA4AA8">
          <w:pgSz w:w="11910" w:h="16840"/>
          <w:pgMar w:top="2700" w:right="840" w:bottom="720" w:left="840" w:header="1017" w:footer="523" w:gutter="0"/>
          <w:cols w:space="720"/>
        </w:sectPr>
      </w:pPr>
    </w:p>
    <w:p w14:paraId="50DC716D" w14:textId="77777777" w:rsidR="00FA4AA8" w:rsidRDefault="00FA4AA8">
      <w:pPr>
        <w:pStyle w:val="BodyText"/>
        <w:rPr>
          <w:sz w:val="20"/>
        </w:rPr>
      </w:pPr>
    </w:p>
    <w:p w14:paraId="33F83372" w14:textId="77777777" w:rsidR="00FA4AA8" w:rsidRDefault="00FA4AA8">
      <w:pPr>
        <w:pStyle w:val="BodyText"/>
        <w:rPr>
          <w:sz w:val="20"/>
        </w:rPr>
      </w:pPr>
    </w:p>
    <w:p w14:paraId="53DA75E1" w14:textId="77777777" w:rsidR="00FA4AA8" w:rsidRDefault="00FA4AA8">
      <w:pPr>
        <w:pStyle w:val="BodyText"/>
        <w:spacing w:before="5"/>
      </w:pPr>
    </w:p>
    <w:tbl>
      <w:tblPr>
        <w:tblW w:w="0" w:type="auto"/>
        <w:tblInd w:w="125" w:type="dxa"/>
        <w:tblLayout w:type="fixed"/>
        <w:tblCellMar>
          <w:left w:w="0" w:type="dxa"/>
          <w:right w:w="0" w:type="dxa"/>
        </w:tblCellMar>
        <w:tblLook w:val="01E0" w:firstRow="1" w:lastRow="1" w:firstColumn="1" w:lastColumn="1" w:noHBand="0" w:noVBand="0"/>
      </w:tblPr>
      <w:tblGrid>
        <w:gridCol w:w="7372"/>
        <w:gridCol w:w="1409"/>
        <w:gridCol w:w="1185"/>
      </w:tblGrid>
      <w:tr w:rsidR="00FA4AA8" w14:paraId="64A1DCA5" w14:textId="77777777">
        <w:trPr>
          <w:trHeight w:val="736"/>
        </w:trPr>
        <w:tc>
          <w:tcPr>
            <w:tcW w:w="7372" w:type="dxa"/>
          </w:tcPr>
          <w:p w14:paraId="7EE90DEE" w14:textId="77777777" w:rsidR="00FA4AA8" w:rsidRDefault="0015611F">
            <w:pPr>
              <w:pStyle w:val="TableParagraph"/>
              <w:spacing w:line="201" w:lineRule="exact"/>
              <w:ind w:left="50"/>
              <w:rPr>
                <w:b/>
                <w:sz w:val="18"/>
              </w:rPr>
            </w:pPr>
            <w:bookmarkStart w:id="141" w:name="(c)_Loans_to/from_related_parties"/>
            <w:bookmarkEnd w:id="141"/>
            <w:r>
              <w:rPr>
                <w:b/>
                <w:sz w:val="18"/>
              </w:rPr>
              <w:t>15 Related Parties (continued)</w:t>
            </w:r>
          </w:p>
          <w:p w14:paraId="4DC85175" w14:textId="77777777" w:rsidR="00FA4AA8" w:rsidRDefault="00FA4AA8">
            <w:pPr>
              <w:pStyle w:val="TableParagraph"/>
              <w:spacing w:before="7"/>
              <w:rPr>
                <w:sz w:val="26"/>
              </w:rPr>
            </w:pPr>
          </w:p>
          <w:p w14:paraId="18E9C1DC" w14:textId="77777777" w:rsidR="00FA4AA8" w:rsidRDefault="0015611F">
            <w:pPr>
              <w:pStyle w:val="TableParagraph"/>
              <w:tabs>
                <w:tab w:val="left" w:pos="1013"/>
              </w:tabs>
              <w:ind w:left="447"/>
              <w:rPr>
                <w:b/>
                <w:sz w:val="18"/>
              </w:rPr>
            </w:pPr>
            <w:r>
              <w:rPr>
                <w:b/>
                <w:sz w:val="18"/>
              </w:rPr>
              <w:t>(c)</w:t>
            </w:r>
            <w:r>
              <w:rPr>
                <w:b/>
                <w:sz w:val="18"/>
              </w:rPr>
              <w:tab/>
              <w:t>Loans to/from related</w:t>
            </w:r>
            <w:r>
              <w:rPr>
                <w:b/>
                <w:spacing w:val="-2"/>
                <w:sz w:val="18"/>
              </w:rPr>
              <w:t xml:space="preserve"> </w:t>
            </w:r>
            <w:r>
              <w:rPr>
                <w:b/>
                <w:sz w:val="18"/>
              </w:rPr>
              <w:t>parties</w:t>
            </w:r>
          </w:p>
        </w:tc>
        <w:tc>
          <w:tcPr>
            <w:tcW w:w="2594" w:type="dxa"/>
            <w:gridSpan w:val="2"/>
          </w:tcPr>
          <w:p w14:paraId="5ABECBEB" w14:textId="77777777" w:rsidR="00FA4AA8" w:rsidRDefault="00FA4AA8">
            <w:pPr>
              <w:pStyle w:val="TableParagraph"/>
              <w:rPr>
                <w:rFonts w:ascii="Times New Roman"/>
                <w:sz w:val="18"/>
              </w:rPr>
            </w:pPr>
          </w:p>
        </w:tc>
      </w:tr>
      <w:tr w:rsidR="00FA4AA8" w14:paraId="6140AC09" w14:textId="77777777">
        <w:trPr>
          <w:trHeight w:val="259"/>
        </w:trPr>
        <w:tc>
          <w:tcPr>
            <w:tcW w:w="7372" w:type="dxa"/>
          </w:tcPr>
          <w:p w14:paraId="309AA3D2" w14:textId="77777777" w:rsidR="00FA4AA8" w:rsidRDefault="00FA4AA8">
            <w:pPr>
              <w:pStyle w:val="TableParagraph"/>
              <w:rPr>
                <w:rFonts w:ascii="Times New Roman"/>
                <w:sz w:val="18"/>
              </w:rPr>
            </w:pPr>
          </w:p>
        </w:tc>
        <w:tc>
          <w:tcPr>
            <w:tcW w:w="1409" w:type="dxa"/>
          </w:tcPr>
          <w:p w14:paraId="378B8F20" w14:textId="77777777" w:rsidR="00FA4AA8" w:rsidRDefault="0015611F">
            <w:pPr>
              <w:pStyle w:val="TableParagraph"/>
              <w:spacing w:before="16"/>
              <w:ind w:left="449"/>
              <w:rPr>
                <w:b/>
                <w:sz w:val="18"/>
              </w:rPr>
            </w:pPr>
            <w:r>
              <w:rPr>
                <w:b/>
                <w:sz w:val="18"/>
              </w:rPr>
              <w:t>2018</w:t>
            </w:r>
          </w:p>
        </w:tc>
        <w:tc>
          <w:tcPr>
            <w:tcW w:w="1185" w:type="dxa"/>
          </w:tcPr>
          <w:p w14:paraId="7FFE7E4F" w14:textId="77777777" w:rsidR="00FA4AA8" w:rsidRDefault="0015611F">
            <w:pPr>
              <w:pStyle w:val="TableParagraph"/>
              <w:spacing w:before="16"/>
              <w:ind w:left="325"/>
              <w:rPr>
                <w:b/>
                <w:sz w:val="18"/>
              </w:rPr>
            </w:pPr>
            <w:r>
              <w:rPr>
                <w:b/>
                <w:sz w:val="18"/>
              </w:rPr>
              <w:t>2017</w:t>
            </w:r>
          </w:p>
        </w:tc>
      </w:tr>
      <w:tr w:rsidR="00FA4AA8" w14:paraId="7BCB9919" w14:textId="77777777">
        <w:trPr>
          <w:trHeight w:val="313"/>
        </w:trPr>
        <w:tc>
          <w:tcPr>
            <w:tcW w:w="7372" w:type="dxa"/>
          </w:tcPr>
          <w:p w14:paraId="0914C18B" w14:textId="77777777" w:rsidR="00FA4AA8" w:rsidRDefault="00FA4AA8">
            <w:pPr>
              <w:pStyle w:val="TableParagraph"/>
              <w:rPr>
                <w:rFonts w:ascii="Times New Roman"/>
                <w:sz w:val="18"/>
              </w:rPr>
            </w:pPr>
          </w:p>
        </w:tc>
        <w:tc>
          <w:tcPr>
            <w:tcW w:w="1409" w:type="dxa"/>
          </w:tcPr>
          <w:p w14:paraId="7C51B707" w14:textId="77777777" w:rsidR="00FA4AA8" w:rsidRDefault="0015611F">
            <w:pPr>
              <w:pStyle w:val="TableParagraph"/>
              <w:spacing w:before="30"/>
              <w:ind w:right="108"/>
              <w:jc w:val="center"/>
              <w:rPr>
                <w:b/>
                <w:sz w:val="18"/>
              </w:rPr>
            </w:pPr>
            <w:r>
              <w:rPr>
                <w:b/>
                <w:sz w:val="18"/>
              </w:rPr>
              <w:t>$</w:t>
            </w:r>
          </w:p>
        </w:tc>
        <w:tc>
          <w:tcPr>
            <w:tcW w:w="1185" w:type="dxa"/>
          </w:tcPr>
          <w:p w14:paraId="65E776F6" w14:textId="77777777" w:rsidR="00FA4AA8" w:rsidRDefault="0015611F">
            <w:pPr>
              <w:pStyle w:val="TableParagraph"/>
              <w:spacing w:before="30"/>
              <w:ind w:right="132"/>
              <w:jc w:val="center"/>
              <w:rPr>
                <w:b/>
                <w:sz w:val="18"/>
              </w:rPr>
            </w:pPr>
            <w:r>
              <w:rPr>
                <w:b/>
                <w:sz w:val="18"/>
              </w:rPr>
              <w:t>$</w:t>
            </w:r>
          </w:p>
        </w:tc>
      </w:tr>
      <w:tr w:rsidR="00FA4AA8" w14:paraId="2A70D576" w14:textId="77777777">
        <w:trPr>
          <w:trHeight w:val="544"/>
        </w:trPr>
        <w:tc>
          <w:tcPr>
            <w:tcW w:w="7372" w:type="dxa"/>
          </w:tcPr>
          <w:p w14:paraId="4CBD5D33" w14:textId="77777777" w:rsidR="00FA4AA8" w:rsidRDefault="0015611F">
            <w:pPr>
              <w:pStyle w:val="TableParagraph"/>
              <w:spacing w:before="70"/>
              <w:ind w:left="1013"/>
              <w:rPr>
                <w:b/>
                <w:sz w:val="18"/>
              </w:rPr>
            </w:pPr>
            <w:r>
              <w:rPr>
                <w:b/>
                <w:sz w:val="18"/>
              </w:rPr>
              <w:t>Loans to Parent</w:t>
            </w:r>
          </w:p>
          <w:p w14:paraId="17AD56F4" w14:textId="77777777" w:rsidR="00FA4AA8" w:rsidRDefault="0015611F">
            <w:pPr>
              <w:pStyle w:val="TableParagraph"/>
              <w:spacing w:before="29"/>
              <w:ind w:left="1013"/>
              <w:rPr>
                <w:sz w:val="18"/>
              </w:rPr>
            </w:pPr>
            <w:r>
              <w:rPr>
                <w:sz w:val="18"/>
              </w:rPr>
              <w:t>Beginning of the year</w:t>
            </w:r>
          </w:p>
        </w:tc>
        <w:tc>
          <w:tcPr>
            <w:tcW w:w="1409" w:type="dxa"/>
          </w:tcPr>
          <w:p w14:paraId="6FED97EB" w14:textId="77777777" w:rsidR="00FA4AA8" w:rsidRDefault="00FA4AA8">
            <w:pPr>
              <w:pStyle w:val="TableParagraph"/>
              <w:spacing w:before="6"/>
              <w:rPr>
                <w:sz w:val="26"/>
              </w:rPr>
            </w:pPr>
          </w:p>
          <w:p w14:paraId="08EA04F1" w14:textId="77777777" w:rsidR="00FA4AA8" w:rsidRDefault="0015611F">
            <w:pPr>
              <w:pStyle w:val="TableParagraph"/>
              <w:ind w:right="198"/>
              <w:jc w:val="right"/>
              <w:rPr>
                <w:b/>
                <w:sz w:val="18"/>
              </w:rPr>
            </w:pPr>
            <w:r>
              <w:rPr>
                <w:b/>
                <w:sz w:val="18"/>
              </w:rPr>
              <w:t>7,001,886</w:t>
            </w:r>
          </w:p>
        </w:tc>
        <w:tc>
          <w:tcPr>
            <w:tcW w:w="1185" w:type="dxa"/>
          </w:tcPr>
          <w:p w14:paraId="14CC3AB0" w14:textId="77777777" w:rsidR="00FA4AA8" w:rsidRDefault="00FA4AA8">
            <w:pPr>
              <w:pStyle w:val="TableParagraph"/>
              <w:spacing w:before="6"/>
              <w:rPr>
                <w:sz w:val="26"/>
              </w:rPr>
            </w:pPr>
          </w:p>
          <w:p w14:paraId="79F4410F" w14:textId="77777777" w:rsidR="00FA4AA8" w:rsidRDefault="0015611F">
            <w:pPr>
              <w:pStyle w:val="TableParagraph"/>
              <w:ind w:left="301"/>
              <w:rPr>
                <w:sz w:val="18"/>
              </w:rPr>
            </w:pPr>
            <w:r>
              <w:rPr>
                <w:sz w:val="18"/>
              </w:rPr>
              <w:t>5,651,726</w:t>
            </w:r>
          </w:p>
        </w:tc>
      </w:tr>
      <w:tr w:rsidR="00FA4AA8" w14:paraId="469B30D1" w14:textId="77777777">
        <w:trPr>
          <w:trHeight w:val="264"/>
        </w:trPr>
        <w:tc>
          <w:tcPr>
            <w:tcW w:w="7372" w:type="dxa"/>
          </w:tcPr>
          <w:p w14:paraId="45B9D0D4" w14:textId="77777777" w:rsidR="00FA4AA8" w:rsidRDefault="0015611F">
            <w:pPr>
              <w:pStyle w:val="TableParagraph"/>
              <w:spacing w:before="26"/>
              <w:ind w:left="1013"/>
              <w:rPr>
                <w:sz w:val="18"/>
              </w:rPr>
            </w:pPr>
            <w:r>
              <w:rPr>
                <w:sz w:val="18"/>
              </w:rPr>
              <w:t>Loans advanced</w:t>
            </w:r>
          </w:p>
        </w:tc>
        <w:tc>
          <w:tcPr>
            <w:tcW w:w="1409" w:type="dxa"/>
          </w:tcPr>
          <w:p w14:paraId="048D415E" w14:textId="77777777" w:rsidR="00FA4AA8" w:rsidRDefault="0015611F">
            <w:pPr>
              <w:pStyle w:val="TableParagraph"/>
              <w:spacing w:before="25"/>
              <w:ind w:right="198"/>
              <w:jc w:val="right"/>
              <w:rPr>
                <w:b/>
                <w:sz w:val="18"/>
              </w:rPr>
            </w:pPr>
            <w:r>
              <w:rPr>
                <w:b/>
                <w:sz w:val="18"/>
              </w:rPr>
              <w:t>13,015,929</w:t>
            </w:r>
          </w:p>
        </w:tc>
        <w:tc>
          <w:tcPr>
            <w:tcW w:w="1185" w:type="dxa"/>
          </w:tcPr>
          <w:p w14:paraId="3A11594A" w14:textId="77777777" w:rsidR="00FA4AA8" w:rsidRDefault="0015611F">
            <w:pPr>
              <w:pStyle w:val="TableParagraph"/>
              <w:spacing w:before="25"/>
              <w:ind w:left="201"/>
              <w:rPr>
                <w:sz w:val="18"/>
              </w:rPr>
            </w:pPr>
            <w:r>
              <w:rPr>
                <w:sz w:val="18"/>
              </w:rPr>
              <w:t>13,976,255</w:t>
            </w:r>
          </w:p>
        </w:tc>
      </w:tr>
      <w:tr w:rsidR="00FA4AA8" w14:paraId="707AF1C8" w14:textId="77777777">
        <w:trPr>
          <w:trHeight w:val="264"/>
        </w:trPr>
        <w:tc>
          <w:tcPr>
            <w:tcW w:w="7372" w:type="dxa"/>
          </w:tcPr>
          <w:p w14:paraId="4AAC9FF6" w14:textId="77777777" w:rsidR="00FA4AA8" w:rsidRDefault="0015611F">
            <w:pPr>
              <w:pStyle w:val="TableParagraph"/>
              <w:spacing w:before="26"/>
              <w:ind w:left="1013"/>
              <w:rPr>
                <w:sz w:val="18"/>
              </w:rPr>
            </w:pPr>
            <w:r>
              <w:rPr>
                <w:sz w:val="18"/>
              </w:rPr>
              <w:t>Loan repayments received</w:t>
            </w:r>
          </w:p>
        </w:tc>
        <w:tc>
          <w:tcPr>
            <w:tcW w:w="1409" w:type="dxa"/>
          </w:tcPr>
          <w:p w14:paraId="5B8178A2" w14:textId="77777777" w:rsidR="00FA4AA8" w:rsidRDefault="0015611F">
            <w:pPr>
              <w:pStyle w:val="TableParagraph"/>
              <w:spacing w:before="25"/>
              <w:ind w:right="137"/>
              <w:jc w:val="right"/>
              <w:rPr>
                <w:b/>
                <w:sz w:val="18"/>
              </w:rPr>
            </w:pPr>
            <w:r>
              <w:rPr>
                <w:b/>
                <w:sz w:val="18"/>
              </w:rPr>
              <w:t>(10,396,835)</w:t>
            </w:r>
          </w:p>
        </w:tc>
        <w:tc>
          <w:tcPr>
            <w:tcW w:w="1185" w:type="dxa"/>
          </w:tcPr>
          <w:p w14:paraId="10FDB7A5" w14:textId="77777777" w:rsidR="00FA4AA8" w:rsidRDefault="0015611F">
            <w:pPr>
              <w:pStyle w:val="TableParagraph"/>
              <w:spacing w:before="25"/>
              <w:ind w:right="23"/>
              <w:jc w:val="right"/>
              <w:rPr>
                <w:sz w:val="18"/>
              </w:rPr>
            </w:pPr>
            <w:r>
              <w:rPr>
                <w:sz w:val="18"/>
              </w:rPr>
              <w:t>(12,774,984)</w:t>
            </w:r>
          </w:p>
        </w:tc>
      </w:tr>
      <w:tr w:rsidR="00FA4AA8" w14:paraId="5DDEAE11" w14:textId="77777777">
        <w:trPr>
          <w:trHeight w:val="258"/>
        </w:trPr>
        <w:tc>
          <w:tcPr>
            <w:tcW w:w="7372" w:type="dxa"/>
          </w:tcPr>
          <w:p w14:paraId="379A7261" w14:textId="77777777" w:rsidR="00FA4AA8" w:rsidRDefault="0015611F">
            <w:pPr>
              <w:pStyle w:val="TableParagraph"/>
              <w:spacing w:before="26"/>
              <w:ind w:left="1013"/>
              <w:rPr>
                <w:sz w:val="18"/>
              </w:rPr>
            </w:pPr>
            <w:r>
              <w:rPr>
                <w:sz w:val="18"/>
              </w:rPr>
              <w:t>Interest charged</w:t>
            </w:r>
          </w:p>
        </w:tc>
        <w:tc>
          <w:tcPr>
            <w:tcW w:w="1409" w:type="dxa"/>
            <w:tcBorders>
              <w:bottom w:val="single" w:sz="8" w:space="0" w:color="000000"/>
            </w:tcBorders>
          </w:tcPr>
          <w:p w14:paraId="3B22BC4B" w14:textId="77777777" w:rsidR="00FA4AA8" w:rsidRDefault="0015611F">
            <w:pPr>
              <w:pStyle w:val="TableParagraph"/>
              <w:spacing w:before="25"/>
              <w:ind w:right="196"/>
              <w:jc w:val="right"/>
              <w:rPr>
                <w:b/>
                <w:sz w:val="18"/>
              </w:rPr>
            </w:pPr>
            <w:r>
              <w:rPr>
                <w:b/>
                <w:sz w:val="18"/>
              </w:rPr>
              <w:t>177,602</w:t>
            </w:r>
          </w:p>
        </w:tc>
        <w:tc>
          <w:tcPr>
            <w:tcW w:w="1185" w:type="dxa"/>
            <w:tcBorders>
              <w:bottom w:val="single" w:sz="8" w:space="0" w:color="000000"/>
            </w:tcBorders>
          </w:tcPr>
          <w:p w14:paraId="3E9E66E8" w14:textId="77777777" w:rsidR="00FA4AA8" w:rsidRDefault="0015611F">
            <w:pPr>
              <w:pStyle w:val="TableParagraph"/>
              <w:spacing w:before="25"/>
              <w:ind w:left="451"/>
              <w:rPr>
                <w:sz w:val="18"/>
              </w:rPr>
            </w:pPr>
            <w:r>
              <w:rPr>
                <w:sz w:val="18"/>
              </w:rPr>
              <w:t>148,889</w:t>
            </w:r>
          </w:p>
        </w:tc>
      </w:tr>
      <w:tr w:rsidR="00FA4AA8" w14:paraId="02152C9B" w14:textId="77777777">
        <w:trPr>
          <w:trHeight w:val="313"/>
        </w:trPr>
        <w:tc>
          <w:tcPr>
            <w:tcW w:w="7372" w:type="dxa"/>
          </w:tcPr>
          <w:p w14:paraId="42C8AF92" w14:textId="77777777" w:rsidR="00FA4AA8" w:rsidRDefault="0015611F">
            <w:pPr>
              <w:pStyle w:val="TableParagraph"/>
              <w:spacing w:before="113" w:line="180" w:lineRule="exact"/>
              <w:ind w:left="1013"/>
              <w:rPr>
                <w:b/>
                <w:sz w:val="18"/>
              </w:rPr>
            </w:pPr>
            <w:r>
              <w:rPr>
                <w:b/>
                <w:sz w:val="18"/>
              </w:rPr>
              <w:t>End of year</w:t>
            </w:r>
          </w:p>
        </w:tc>
        <w:tc>
          <w:tcPr>
            <w:tcW w:w="1409" w:type="dxa"/>
            <w:tcBorders>
              <w:top w:val="single" w:sz="8" w:space="0" w:color="000000"/>
              <w:bottom w:val="double" w:sz="3" w:space="0" w:color="000000"/>
            </w:tcBorders>
          </w:tcPr>
          <w:p w14:paraId="2804555F" w14:textId="77777777" w:rsidR="00FA4AA8" w:rsidRDefault="0015611F">
            <w:pPr>
              <w:pStyle w:val="TableParagraph"/>
              <w:spacing w:before="113" w:line="180" w:lineRule="exact"/>
              <w:ind w:right="198"/>
              <w:jc w:val="right"/>
              <w:rPr>
                <w:b/>
                <w:sz w:val="18"/>
              </w:rPr>
            </w:pPr>
            <w:r>
              <w:rPr>
                <w:b/>
                <w:sz w:val="18"/>
              </w:rPr>
              <w:t>9,798,582</w:t>
            </w:r>
          </w:p>
        </w:tc>
        <w:tc>
          <w:tcPr>
            <w:tcW w:w="1185" w:type="dxa"/>
            <w:tcBorders>
              <w:top w:val="single" w:sz="8" w:space="0" w:color="000000"/>
              <w:bottom w:val="double" w:sz="3" w:space="0" w:color="000000"/>
            </w:tcBorders>
          </w:tcPr>
          <w:p w14:paraId="494BF57A" w14:textId="77777777" w:rsidR="00FA4AA8" w:rsidRDefault="0015611F">
            <w:pPr>
              <w:pStyle w:val="TableParagraph"/>
              <w:spacing w:before="113" w:line="180" w:lineRule="exact"/>
              <w:ind w:left="301"/>
              <w:rPr>
                <w:sz w:val="18"/>
              </w:rPr>
            </w:pPr>
            <w:r>
              <w:rPr>
                <w:sz w:val="18"/>
              </w:rPr>
              <w:t>7,001,886</w:t>
            </w:r>
          </w:p>
        </w:tc>
      </w:tr>
      <w:tr w:rsidR="00FA4AA8" w14:paraId="33FACDEA" w14:textId="77777777">
        <w:trPr>
          <w:trHeight w:val="582"/>
        </w:trPr>
        <w:tc>
          <w:tcPr>
            <w:tcW w:w="7372" w:type="dxa"/>
          </w:tcPr>
          <w:p w14:paraId="015CDD47" w14:textId="77777777" w:rsidR="00FA4AA8" w:rsidRDefault="0015611F">
            <w:pPr>
              <w:pStyle w:val="TableParagraph"/>
              <w:spacing w:before="108"/>
              <w:ind w:left="1041"/>
              <w:rPr>
                <w:b/>
                <w:sz w:val="18"/>
              </w:rPr>
            </w:pPr>
            <w:r>
              <w:rPr>
                <w:b/>
                <w:sz w:val="18"/>
              </w:rPr>
              <w:t>Loans to Joint Venture</w:t>
            </w:r>
          </w:p>
          <w:p w14:paraId="62A18B4A" w14:textId="77777777" w:rsidR="00FA4AA8" w:rsidRDefault="0015611F">
            <w:pPr>
              <w:pStyle w:val="TableParagraph"/>
              <w:spacing w:before="29"/>
              <w:ind w:left="1041"/>
              <w:rPr>
                <w:sz w:val="18"/>
              </w:rPr>
            </w:pPr>
            <w:r>
              <w:rPr>
                <w:sz w:val="18"/>
              </w:rPr>
              <w:t>Beginning of the year</w:t>
            </w:r>
          </w:p>
        </w:tc>
        <w:tc>
          <w:tcPr>
            <w:tcW w:w="1409" w:type="dxa"/>
            <w:tcBorders>
              <w:top w:val="double" w:sz="3" w:space="0" w:color="000000"/>
            </w:tcBorders>
          </w:tcPr>
          <w:p w14:paraId="6A6983F2" w14:textId="77777777" w:rsidR="00FA4AA8" w:rsidRDefault="00FA4AA8">
            <w:pPr>
              <w:pStyle w:val="TableParagraph"/>
              <w:spacing w:before="10"/>
              <w:rPr>
                <w:sz w:val="29"/>
              </w:rPr>
            </w:pPr>
          </w:p>
          <w:p w14:paraId="6CF7C17D" w14:textId="77777777" w:rsidR="00FA4AA8" w:rsidRDefault="0015611F">
            <w:pPr>
              <w:pStyle w:val="TableParagraph"/>
              <w:ind w:right="198"/>
              <w:jc w:val="right"/>
              <w:rPr>
                <w:b/>
                <w:sz w:val="18"/>
              </w:rPr>
            </w:pPr>
            <w:r>
              <w:rPr>
                <w:b/>
                <w:sz w:val="18"/>
              </w:rPr>
              <w:t>214,043</w:t>
            </w:r>
          </w:p>
        </w:tc>
        <w:tc>
          <w:tcPr>
            <w:tcW w:w="1185" w:type="dxa"/>
            <w:tcBorders>
              <w:top w:val="double" w:sz="3" w:space="0" w:color="000000"/>
            </w:tcBorders>
          </w:tcPr>
          <w:p w14:paraId="77C6CBCC" w14:textId="77777777" w:rsidR="00FA4AA8" w:rsidRDefault="00FA4AA8">
            <w:pPr>
              <w:pStyle w:val="TableParagraph"/>
              <w:spacing w:before="10"/>
              <w:rPr>
                <w:sz w:val="29"/>
              </w:rPr>
            </w:pPr>
          </w:p>
          <w:p w14:paraId="208546D3" w14:textId="77777777" w:rsidR="00FA4AA8" w:rsidRDefault="0015611F">
            <w:pPr>
              <w:pStyle w:val="TableParagraph"/>
              <w:ind w:left="450"/>
              <w:rPr>
                <w:sz w:val="18"/>
              </w:rPr>
            </w:pPr>
            <w:r>
              <w:rPr>
                <w:sz w:val="18"/>
              </w:rPr>
              <w:t>247,890</w:t>
            </w:r>
          </w:p>
        </w:tc>
      </w:tr>
      <w:tr w:rsidR="00FA4AA8" w14:paraId="63933C88" w14:textId="77777777">
        <w:trPr>
          <w:trHeight w:val="263"/>
        </w:trPr>
        <w:tc>
          <w:tcPr>
            <w:tcW w:w="7372" w:type="dxa"/>
          </w:tcPr>
          <w:p w14:paraId="37BA6BDD" w14:textId="77777777" w:rsidR="00FA4AA8" w:rsidRDefault="0015611F">
            <w:pPr>
              <w:pStyle w:val="TableParagraph"/>
              <w:spacing w:before="26"/>
              <w:ind w:left="1041"/>
              <w:rPr>
                <w:sz w:val="18"/>
              </w:rPr>
            </w:pPr>
            <w:bookmarkStart w:id="142" w:name="(d)_Outstanding_balances"/>
            <w:bookmarkEnd w:id="142"/>
            <w:r>
              <w:rPr>
                <w:sz w:val="18"/>
              </w:rPr>
              <w:t>Loans advanced</w:t>
            </w:r>
          </w:p>
        </w:tc>
        <w:tc>
          <w:tcPr>
            <w:tcW w:w="1409" w:type="dxa"/>
          </w:tcPr>
          <w:p w14:paraId="05C8DFAB" w14:textId="77777777" w:rsidR="00FA4AA8" w:rsidRDefault="0015611F">
            <w:pPr>
              <w:pStyle w:val="TableParagraph"/>
              <w:spacing w:before="25"/>
              <w:ind w:right="198"/>
              <w:jc w:val="right"/>
              <w:rPr>
                <w:b/>
                <w:sz w:val="18"/>
              </w:rPr>
            </w:pPr>
            <w:r>
              <w:rPr>
                <w:b/>
                <w:sz w:val="18"/>
              </w:rPr>
              <w:t>250,000</w:t>
            </w:r>
          </w:p>
        </w:tc>
        <w:tc>
          <w:tcPr>
            <w:tcW w:w="1185" w:type="dxa"/>
          </w:tcPr>
          <w:p w14:paraId="0639698F" w14:textId="77777777" w:rsidR="00FA4AA8" w:rsidRDefault="0015611F">
            <w:pPr>
              <w:pStyle w:val="TableParagraph"/>
              <w:spacing w:before="25"/>
              <w:ind w:left="450"/>
              <w:rPr>
                <w:sz w:val="18"/>
              </w:rPr>
            </w:pPr>
            <w:r>
              <w:rPr>
                <w:sz w:val="18"/>
              </w:rPr>
              <w:t>800,000</w:t>
            </w:r>
          </w:p>
        </w:tc>
      </w:tr>
      <w:tr w:rsidR="00FA4AA8" w14:paraId="7E179BFA" w14:textId="77777777">
        <w:trPr>
          <w:trHeight w:val="258"/>
        </w:trPr>
        <w:tc>
          <w:tcPr>
            <w:tcW w:w="7372" w:type="dxa"/>
          </w:tcPr>
          <w:p w14:paraId="22862658" w14:textId="77777777" w:rsidR="00FA4AA8" w:rsidRDefault="0015611F">
            <w:pPr>
              <w:pStyle w:val="TableParagraph"/>
              <w:spacing w:before="26"/>
              <w:ind w:left="1041"/>
              <w:rPr>
                <w:sz w:val="18"/>
              </w:rPr>
            </w:pPr>
            <w:r>
              <w:rPr>
                <w:sz w:val="18"/>
              </w:rPr>
              <w:t>Share of profit (loss) of joint venture</w:t>
            </w:r>
          </w:p>
        </w:tc>
        <w:tc>
          <w:tcPr>
            <w:tcW w:w="1409" w:type="dxa"/>
            <w:tcBorders>
              <w:bottom w:val="single" w:sz="8" w:space="0" w:color="000000"/>
            </w:tcBorders>
          </w:tcPr>
          <w:p w14:paraId="0F79B7E4" w14:textId="77777777" w:rsidR="00FA4AA8" w:rsidRDefault="0015611F">
            <w:pPr>
              <w:pStyle w:val="TableParagraph"/>
              <w:spacing w:before="25"/>
              <w:ind w:right="198"/>
              <w:jc w:val="right"/>
              <w:rPr>
                <w:b/>
                <w:sz w:val="18"/>
              </w:rPr>
            </w:pPr>
            <w:r>
              <w:rPr>
                <w:b/>
                <w:sz w:val="18"/>
              </w:rPr>
              <w:t>190,052</w:t>
            </w:r>
          </w:p>
        </w:tc>
        <w:tc>
          <w:tcPr>
            <w:tcW w:w="1185" w:type="dxa"/>
            <w:tcBorders>
              <w:bottom w:val="single" w:sz="8" w:space="0" w:color="000000"/>
            </w:tcBorders>
          </w:tcPr>
          <w:p w14:paraId="4B9068F7" w14:textId="77777777" w:rsidR="00FA4AA8" w:rsidRDefault="0015611F">
            <w:pPr>
              <w:pStyle w:val="TableParagraph"/>
              <w:spacing w:before="25"/>
              <w:ind w:right="25"/>
              <w:jc w:val="right"/>
              <w:rPr>
                <w:sz w:val="18"/>
              </w:rPr>
            </w:pPr>
            <w:r>
              <w:rPr>
                <w:sz w:val="18"/>
              </w:rPr>
              <w:t>(833,847)</w:t>
            </w:r>
          </w:p>
        </w:tc>
      </w:tr>
      <w:tr w:rsidR="00FA4AA8" w14:paraId="4CA43D50" w14:textId="77777777">
        <w:trPr>
          <w:trHeight w:val="313"/>
        </w:trPr>
        <w:tc>
          <w:tcPr>
            <w:tcW w:w="7372" w:type="dxa"/>
          </w:tcPr>
          <w:p w14:paraId="6AC7B443" w14:textId="77777777" w:rsidR="00FA4AA8" w:rsidRDefault="0015611F">
            <w:pPr>
              <w:pStyle w:val="TableParagraph"/>
              <w:spacing w:before="113" w:line="180" w:lineRule="exact"/>
              <w:ind w:left="1041"/>
              <w:rPr>
                <w:b/>
                <w:sz w:val="18"/>
              </w:rPr>
            </w:pPr>
            <w:r>
              <w:rPr>
                <w:b/>
                <w:sz w:val="18"/>
              </w:rPr>
              <w:t>End of year</w:t>
            </w:r>
          </w:p>
        </w:tc>
        <w:tc>
          <w:tcPr>
            <w:tcW w:w="1409" w:type="dxa"/>
            <w:tcBorders>
              <w:top w:val="single" w:sz="8" w:space="0" w:color="000000"/>
              <w:bottom w:val="double" w:sz="3" w:space="0" w:color="000000"/>
            </w:tcBorders>
          </w:tcPr>
          <w:p w14:paraId="0A5B64A8" w14:textId="77777777" w:rsidR="00FA4AA8" w:rsidRDefault="0015611F">
            <w:pPr>
              <w:pStyle w:val="TableParagraph"/>
              <w:spacing w:before="113" w:line="180" w:lineRule="exact"/>
              <w:ind w:right="198"/>
              <w:jc w:val="right"/>
              <w:rPr>
                <w:b/>
                <w:sz w:val="18"/>
              </w:rPr>
            </w:pPr>
            <w:r>
              <w:rPr>
                <w:b/>
                <w:sz w:val="18"/>
              </w:rPr>
              <w:t>654,095</w:t>
            </w:r>
          </w:p>
        </w:tc>
        <w:tc>
          <w:tcPr>
            <w:tcW w:w="1185" w:type="dxa"/>
            <w:tcBorders>
              <w:top w:val="single" w:sz="8" w:space="0" w:color="000000"/>
              <w:bottom w:val="double" w:sz="3" w:space="0" w:color="000000"/>
            </w:tcBorders>
          </w:tcPr>
          <w:p w14:paraId="6F312D50" w14:textId="77777777" w:rsidR="00FA4AA8" w:rsidRDefault="0015611F">
            <w:pPr>
              <w:pStyle w:val="TableParagraph"/>
              <w:spacing w:before="113" w:line="180" w:lineRule="exact"/>
              <w:ind w:left="450"/>
              <w:rPr>
                <w:sz w:val="18"/>
              </w:rPr>
            </w:pPr>
            <w:r>
              <w:rPr>
                <w:sz w:val="18"/>
              </w:rPr>
              <w:t>214,043</w:t>
            </w:r>
          </w:p>
        </w:tc>
      </w:tr>
      <w:tr w:rsidR="00FA4AA8" w14:paraId="26194745" w14:textId="77777777">
        <w:trPr>
          <w:trHeight w:val="670"/>
        </w:trPr>
        <w:tc>
          <w:tcPr>
            <w:tcW w:w="7372" w:type="dxa"/>
          </w:tcPr>
          <w:p w14:paraId="53D10B97" w14:textId="77777777" w:rsidR="00FA4AA8" w:rsidRDefault="00FA4AA8">
            <w:pPr>
              <w:pStyle w:val="TableParagraph"/>
              <w:rPr>
                <w:sz w:val="20"/>
              </w:rPr>
            </w:pPr>
          </w:p>
          <w:p w14:paraId="15B67E6B" w14:textId="77777777" w:rsidR="00FA4AA8" w:rsidRDefault="00FA4AA8">
            <w:pPr>
              <w:pStyle w:val="TableParagraph"/>
              <w:spacing w:before="3"/>
              <w:rPr>
                <w:sz w:val="20"/>
              </w:rPr>
            </w:pPr>
          </w:p>
          <w:p w14:paraId="151C8B31" w14:textId="77777777" w:rsidR="00FA4AA8" w:rsidRDefault="0015611F">
            <w:pPr>
              <w:pStyle w:val="TableParagraph"/>
              <w:tabs>
                <w:tab w:val="left" w:pos="1013"/>
              </w:tabs>
              <w:spacing w:line="187" w:lineRule="exact"/>
              <w:ind w:left="447"/>
              <w:rPr>
                <w:b/>
                <w:sz w:val="18"/>
              </w:rPr>
            </w:pPr>
            <w:r>
              <w:rPr>
                <w:b/>
                <w:sz w:val="18"/>
              </w:rPr>
              <w:t>(d)</w:t>
            </w:r>
            <w:r>
              <w:rPr>
                <w:b/>
                <w:sz w:val="18"/>
              </w:rPr>
              <w:tab/>
              <w:t>Outstanding balances</w:t>
            </w:r>
          </w:p>
        </w:tc>
        <w:tc>
          <w:tcPr>
            <w:tcW w:w="1409" w:type="dxa"/>
            <w:tcBorders>
              <w:top w:val="double" w:sz="3" w:space="0" w:color="000000"/>
            </w:tcBorders>
          </w:tcPr>
          <w:p w14:paraId="031492BF" w14:textId="77777777" w:rsidR="00FA4AA8" w:rsidRDefault="00FA4AA8">
            <w:pPr>
              <w:pStyle w:val="TableParagraph"/>
              <w:rPr>
                <w:rFonts w:ascii="Times New Roman"/>
                <w:sz w:val="18"/>
              </w:rPr>
            </w:pPr>
          </w:p>
        </w:tc>
        <w:tc>
          <w:tcPr>
            <w:tcW w:w="1185" w:type="dxa"/>
            <w:tcBorders>
              <w:top w:val="double" w:sz="3" w:space="0" w:color="000000"/>
            </w:tcBorders>
          </w:tcPr>
          <w:p w14:paraId="474E68DA" w14:textId="77777777" w:rsidR="00FA4AA8" w:rsidRDefault="00FA4AA8">
            <w:pPr>
              <w:pStyle w:val="TableParagraph"/>
              <w:rPr>
                <w:rFonts w:ascii="Times New Roman"/>
                <w:sz w:val="18"/>
              </w:rPr>
            </w:pPr>
          </w:p>
        </w:tc>
      </w:tr>
      <w:tr w:rsidR="00FA4AA8" w14:paraId="03C2A19A" w14:textId="77777777">
        <w:trPr>
          <w:trHeight w:val="499"/>
        </w:trPr>
        <w:tc>
          <w:tcPr>
            <w:tcW w:w="9966" w:type="dxa"/>
            <w:gridSpan w:val="3"/>
          </w:tcPr>
          <w:p w14:paraId="32CFE4E7" w14:textId="77777777" w:rsidR="00FA4AA8" w:rsidRDefault="00FA4AA8">
            <w:pPr>
              <w:pStyle w:val="TableParagraph"/>
              <w:spacing w:before="4"/>
              <w:rPr>
                <w:sz w:val="25"/>
              </w:rPr>
            </w:pPr>
          </w:p>
          <w:p w14:paraId="6C8D4CA7" w14:textId="77777777" w:rsidR="00FA4AA8" w:rsidRDefault="0015611F">
            <w:pPr>
              <w:pStyle w:val="TableParagraph"/>
              <w:spacing w:line="187" w:lineRule="exact"/>
              <w:ind w:left="1014"/>
              <w:rPr>
                <w:sz w:val="18"/>
              </w:rPr>
            </w:pPr>
            <w:r>
              <w:rPr>
                <w:sz w:val="18"/>
              </w:rPr>
              <w:t>The following balances are outstanding at the reporting date in relation to transactions with related parties:</w:t>
            </w:r>
          </w:p>
        </w:tc>
      </w:tr>
      <w:tr w:rsidR="00FA4AA8" w14:paraId="4B0D52E3" w14:textId="77777777">
        <w:trPr>
          <w:trHeight w:val="276"/>
        </w:trPr>
        <w:tc>
          <w:tcPr>
            <w:tcW w:w="7372" w:type="dxa"/>
          </w:tcPr>
          <w:p w14:paraId="5CBE3908" w14:textId="77777777" w:rsidR="00FA4AA8" w:rsidRDefault="00FA4AA8">
            <w:pPr>
              <w:pStyle w:val="TableParagraph"/>
              <w:rPr>
                <w:rFonts w:ascii="Times New Roman"/>
                <w:sz w:val="18"/>
              </w:rPr>
            </w:pPr>
          </w:p>
        </w:tc>
        <w:tc>
          <w:tcPr>
            <w:tcW w:w="1409" w:type="dxa"/>
          </w:tcPr>
          <w:p w14:paraId="089EC891" w14:textId="77777777" w:rsidR="00FA4AA8" w:rsidRDefault="0015611F">
            <w:pPr>
              <w:pStyle w:val="TableParagraph"/>
              <w:spacing w:before="33"/>
              <w:ind w:left="450"/>
              <w:rPr>
                <w:b/>
                <w:sz w:val="18"/>
              </w:rPr>
            </w:pPr>
            <w:r>
              <w:rPr>
                <w:b/>
                <w:sz w:val="18"/>
              </w:rPr>
              <w:t>2018</w:t>
            </w:r>
          </w:p>
        </w:tc>
        <w:tc>
          <w:tcPr>
            <w:tcW w:w="1185" w:type="dxa"/>
          </w:tcPr>
          <w:p w14:paraId="4E81224A" w14:textId="77777777" w:rsidR="00FA4AA8" w:rsidRDefault="0015611F">
            <w:pPr>
              <w:pStyle w:val="TableParagraph"/>
              <w:spacing w:before="33"/>
              <w:ind w:left="325"/>
              <w:rPr>
                <w:b/>
                <w:sz w:val="18"/>
              </w:rPr>
            </w:pPr>
            <w:r>
              <w:rPr>
                <w:b/>
                <w:sz w:val="18"/>
              </w:rPr>
              <w:t>2017</w:t>
            </w:r>
          </w:p>
        </w:tc>
      </w:tr>
      <w:tr w:rsidR="00FA4AA8" w14:paraId="1D5A71F5" w14:textId="77777777">
        <w:trPr>
          <w:trHeight w:val="285"/>
        </w:trPr>
        <w:tc>
          <w:tcPr>
            <w:tcW w:w="7372" w:type="dxa"/>
          </w:tcPr>
          <w:p w14:paraId="5931BEC8" w14:textId="77777777" w:rsidR="00FA4AA8" w:rsidRDefault="00FA4AA8">
            <w:pPr>
              <w:pStyle w:val="TableParagraph"/>
              <w:rPr>
                <w:rFonts w:ascii="Times New Roman"/>
                <w:sz w:val="18"/>
              </w:rPr>
            </w:pPr>
          </w:p>
        </w:tc>
        <w:tc>
          <w:tcPr>
            <w:tcW w:w="1409" w:type="dxa"/>
          </w:tcPr>
          <w:p w14:paraId="6470E335" w14:textId="77777777" w:rsidR="00FA4AA8" w:rsidRDefault="0015611F">
            <w:pPr>
              <w:pStyle w:val="TableParagraph"/>
              <w:spacing w:before="30"/>
              <w:ind w:right="106"/>
              <w:jc w:val="center"/>
              <w:rPr>
                <w:b/>
                <w:sz w:val="18"/>
              </w:rPr>
            </w:pPr>
            <w:r>
              <w:rPr>
                <w:b/>
                <w:sz w:val="18"/>
              </w:rPr>
              <w:t>$</w:t>
            </w:r>
          </w:p>
        </w:tc>
        <w:tc>
          <w:tcPr>
            <w:tcW w:w="1185" w:type="dxa"/>
          </w:tcPr>
          <w:p w14:paraId="59C95F50" w14:textId="77777777" w:rsidR="00FA4AA8" w:rsidRDefault="0015611F">
            <w:pPr>
              <w:pStyle w:val="TableParagraph"/>
              <w:spacing w:before="30"/>
              <w:ind w:right="132"/>
              <w:jc w:val="center"/>
              <w:rPr>
                <w:b/>
                <w:sz w:val="18"/>
              </w:rPr>
            </w:pPr>
            <w:r>
              <w:rPr>
                <w:b/>
                <w:sz w:val="18"/>
              </w:rPr>
              <w:t>$</w:t>
            </w:r>
          </w:p>
        </w:tc>
      </w:tr>
      <w:tr w:rsidR="00FA4AA8" w14:paraId="1951B2D0" w14:textId="77777777">
        <w:trPr>
          <w:trHeight w:val="280"/>
        </w:trPr>
        <w:tc>
          <w:tcPr>
            <w:tcW w:w="7372" w:type="dxa"/>
          </w:tcPr>
          <w:p w14:paraId="31D27B14" w14:textId="77777777" w:rsidR="00FA4AA8" w:rsidRDefault="0015611F">
            <w:pPr>
              <w:pStyle w:val="TableParagraph"/>
              <w:spacing w:before="42"/>
              <w:ind w:left="1042"/>
              <w:rPr>
                <w:sz w:val="18"/>
              </w:rPr>
            </w:pPr>
            <w:r>
              <w:rPr>
                <w:sz w:val="18"/>
              </w:rPr>
              <w:t>Current receivables (loans)</w:t>
            </w:r>
          </w:p>
        </w:tc>
        <w:tc>
          <w:tcPr>
            <w:tcW w:w="1409" w:type="dxa"/>
          </w:tcPr>
          <w:p w14:paraId="72C87525" w14:textId="77777777" w:rsidR="00FA4AA8" w:rsidRDefault="00FA4AA8">
            <w:pPr>
              <w:pStyle w:val="TableParagraph"/>
              <w:rPr>
                <w:rFonts w:ascii="Times New Roman"/>
                <w:sz w:val="18"/>
              </w:rPr>
            </w:pPr>
          </w:p>
        </w:tc>
        <w:tc>
          <w:tcPr>
            <w:tcW w:w="1185" w:type="dxa"/>
          </w:tcPr>
          <w:p w14:paraId="0F430634" w14:textId="77777777" w:rsidR="00FA4AA8" w:rsidRDefault="00FA4AA8">
            <w:pPr>
              <w:pStyle w:val="TableParagraph"/>
              <w:rPr>
                <w:rFonts w:ascii="Times New Roman"/>
                <w:sz w:val="18"/>
              </w:rPr>
            </w:pPr>
          </w:p>
        </w:tc>
      </w:tr>
      <w:tr w:rsidR="00FA4AA8" w14:paraId="6D27131E" w14:textId="77777777">
        <w:trPr>
          <w:trHeight w:val="233"/>
        </w:trPr>
        <w:tc>
          <w:tcPr>
            <w:tcW w:w="7372" w:type="dxa"/>
          </w:tcPr>
          <w:p w14:paraId="6E4598B2" w14:textId="77777777" w:rsidR="00FA4AA8" w:rsidRDefault="0015611F">
            <w:pPr>
              <w:pStyle w:val="TableParagraph"/>
              <w:spacing w:before="26" w:line="187" w:lineRule="exact"/>
              <w:ind w:left="1257"/>
              <w:rPr>
                <w:sz w:val="18"/>
              </w:rPr>
            </w:pPr>
            <w:r>
              <w:rPr>
                <w:sz w:val="18"/>
              </w:rPr>
              <w:t>Western Sydney University</w:t>
            </w:r>
          </w:p>
        </w:tc>
        <w:tc>
          <w:tcPr>
            <w:tcW w:w="1409" w:type="dxa"/>
          </w:tcPr>
          <w:p w14:paraId="7EFFDB46" w14:textId="77777777" w:rsidR="00FA4AA8" w:rsidRDefault="0015611F">
            <w:pPr>
              <w:pStyle w:val="TableParagraph"/>
              <w:spacing w:before="25" w:line="188" w:lineRule="exact"/>
              <w:ind w:right="198"/>
              <w:jc w:val="right"/>
              <w:rPr>
                <w:b/>
                <w:sz w:val="18"/>
              </w:rPr>
            </w:pPr>
            <w:r>
              <w:rPr>
                <w:b/>
                <w:sz w:val="18"/>
              </w:rPr>
              <w:t>9,798,582</w:t>
            </w:r>
          </w:p>
        </w:tc>
        <w:tc>
          <w:tcPr>
            <w:tcW w:w="1185" w:type="dxa"/>
          </w:tcPr>
          <w:p w14:paraId="388BFAF3" w14:textId="77777777" w:rsidR="00FA4AA8" w:rsidRDefault="0015611F">
            <w:pPr>
              <w:pStyle w:val="TableParagraph"/>
              <w:spacing w:before="25" w:line="188" w:lineRule="exact"/>
              <w:ind w:left="301"/>
              <w:rPr>
                <w:sz w:val="18"/>
              </w:rPr>
            </w:pPr>
            <w:r>
              <w:rPr>
                <w:sz w:val="18"/>
              </w:rPr>
              <w:t>7,001,886</w:t>
            </w:r>
          </w:p>
        </w:tc>
      </w:tr>
      <w:tr w:rsidR="00FA4AA8" w14:paraId="6D4E9C36" w14:textId="77777777">
        <w:trPr>
          <w:trHeight w:val="261"/>
        </w:trPr>
        <w:tc>
          <w:tcPr>
            <w:tcW w:w="7372" w:type="dxa"/>
          </w:tcPr>
          <w:p w14:paraId="0F1553BF" w14:textId="77777777" w:rsidR="00FA4AA8" w:rsidRDefault="0015611F">
            <w:pPr>
              <w:pStyle w:val="TableParagraph"/>
              <w:spacing w:before="54" w:line="187" w:lineRule="exact"/>
              <w:ind w:left="1042"/>
              <w:rPr>
                <w:sz w:val="18"/>
              </w:rPr>
            </w:pPr>
            <w:r>
              <w:rPr>
                <w:sz w:val="18"/>
              </w:rPr>
              <w:t>Current receivables (provision of services)</w:t>
            </w:r>
          </w:p>
        </w:tc>
        <w:tc>
          <w:tcPr>
            <w:tcW w:w="1409" w:type="dxa"/>
          </w:tcPr>
          <w:p w14:paraId="403A84F4" w14:textId="77777777" w:rsidR="00FA4AA8" w:rsidRDefault="00FA4AA8">
            <w:pPr>
              <w:pStyle w:val="TableParagraph"/>
              <w:rPr>
                <w:rFonts w:ascii="Times New Roman"/>
                <w:sz w:val="18"/>
              </w:rPr>
            </w:pPr>
          </w:p>
        </w:tc>
        <w:tc>
          <w:tcPr>
            <w:tcW w:w="1185" w:type="dxa"/>
          </w:tcPr>
          <w:p w14:paraId="200B51D2" w14:textId="77777777" w:rsidR="00FA4AA8" w:rsidRDefault="00FA4AA8">
            <w:pPr>
              <w:pStyle w:val="TableParagraph"/>
              <w:rPr>
                <w:rFonts w:ascii="Times New Roman"/>
                <w:sz w:val="18"/>
              </w:rPr>
            </w:pPr>
          </w:p>
        </w:tc>
      </w:tr>
      <w:tr w:rsidR="00FA4AA8" w14:paraId="085F7590" w14:textId="77777777">
        <w:trPr>
          <w:trHeight w:val="289"/>
        </w:trPr>
        <w:tc>
          <w:tcPr>
            <w:tcW w:w="7372" w:type="dxa"/>
          </w:tcPr>
          <w:p w14:paraId="7BCBA2EC" w14:textId="77777777" w:rsidR="00FA4AA8" w:rsidRDefault="0015611F">
            <w:pPr>
              <w:pStyle w:val="TableParagraph"/>
              <w:spacing w:before="57"/>
              <w:ind w:right="1656"/>
              <w:jc w:val="right"/>
              <w:rPr>
                <w:sz w:val="18"/>
              </w:rPr>
            </w:pPr>
            <w:r>
              <w:rPr>
                <w:sz w:val="18"/>
              </w:rPr>
              <w:t>Western Sydney University International College Pty Ltd</w:t>
            </w:r>
          </w:p>
        </w:tc>
        <w:tc>
          <w:tcPr>
            <w:tcW w:w="1409" w:type="dxa"/>
            <w:tcBorders>
              <w:bottom w:val="single" w:sz="8" w:space="0" w:color="000000"/>
            </w:tcBorders>
          </w:tcPr>
          <w:p w14:paraId="4E3639BC" w14:textId="77777777" w:rsidR="00FA4AA8" w:rsidRDefault="0015611F">
            <w:pPr>
              <w:pStyle w:val="TableParagraph"/>
              <w:spacing w:before="56"/>
              <w:ind w:right="198"/>
              <w:jc w:val="right"/>
              <w:rPr>
                <w:b/>
                <w:sz w:val="18"/>
              </w:rPr>
            </w:pPr>
            <w:r>
              <w:rPr>
                <w:b/>
                <w:sz w:val="18"/>
              </w:rPr>
              <w:t>1,292,667</w:t>
            </w:r>
          </w:p>
        </w:tc>
        <w:tc>
          <w:tcPr>
            <w:tcW w:w="1185" w:type="dxa"/>
            <w:tcBorders>
              <w:bottom w:val="single" w:sz="8" w:space="0" w:color="000000"/>
            </w:tcBorders>
          </w:tcPr>
          <w:p w14:paraId="1151C0D5" w14:textId="77777777" w:rsidR="00FA4AA8" w:rsidRDefault="0015611F">
            <w:pPr>
              <w:pStyle w:val="TableParagraph"/>
              <w:spacing w:before="56"/>
              <w:ind w:left="301"/>
              <w:rPr>
                <w:sz w:val="18"/>
              </w:rPr>
            </w:pPr>
            <w:r>
              <w:rPr>
                <w:sz w:val="18"/>
              </w:rPr>
              <w:t>1,651,601</w:t>
            </w:r>
          </w:p>
        </w:tc>
      </w:tr>
      <w:tr w:rsidR="00FA4AA8" w14:paraId="7E99C54B" w14:textId="77777777">
        <w:trPr>
          <w:trHeight w:val="313"/>
        </w:trPr>
        <w:tc>
          <w:tcPr>
            <w:tcW w:w="7372" w:type="dxa"/>
          </w:tcPr>
          <w:p w14:paraId="512DC20B" w14:textId="77777777" w:rsidR="00FA4AA8" w:rsidRDefault="0015611F">
            <w:pPr>
              <w:pStyle w:val="TableParagraph"/>
              <w:spacing w:before="113" w:line="180" w:lineRule="exact"/>
              <w:ind w:left="1042"/>
              <w:rPr>
                <w:b/>
                <w:sz w:val="18"/>
              </w:rPr>
            </w:pPr>
            <w:r>
              <w:rPr>
                <w:b/>
                <w:sz w:val="18"/>
              </w:rPr>
              <w:t>Total current receivables</w:t>
            </w:r>
          </w:p>
        </w:tc>
        <w:tc>
          <w:tcPr>
            <w:tcW w:w="1409" w:type="dxa"/>
            <w:tcBorders>
              <w:top w:val="single" w:sz="8" w:space="0" w:color="000000"/>
              <w:bottom w:val="double" w:sz="3" w:space="0" w:color="000000"/>
            </w:tcBorders>
          </w:tcPr>
          <w:p w14:paraId="637A0AB1" w14:textId="77777777" w:rsidR="00FA4AA8" w:rsidRDefault="0015611F">
            <w:pPr>
              <w:pStyle w:val="TableParagraph"/>
              <w:spacing w:before="113" w:line="180" w:lineRule="exact"/>
              <w:ind w:right="198"/>
              <w:jc w:val="right"/>
              <w:rPr>
                <w:b/>
                <w:sz w:val="18"/>
              </w:rPr>
            </w:pPr>
            <w:r>
              <w:rPr>
                <w:b/>
                <w:sz w:val="18"/>
              </w:rPr>
              <w:t>11,091,249</w:t>
            </w:r>
          </w:p>
        </w:tc>
        <w:tc>
          <w:tcPr>
            <w:tcW w:w="1185" w:type="dxa"/>
            <w:tcBorders>
              <w:top w:val="single" w:sz="8" w:space="0" w:color="000000"/>
              <w:bottom w:val="double" w:sz="3" w:space="0" w:color="000000"/>
            </w:tcBorders>
          </w:tcPr>
          <w:p w14:paraId="5BF91B50" w14:textId="77777777" w:rsidR="00FA4AA8" w:rsidRDefault="0015611F">
            <w:pPr>
              <w:pStyle w:val="TableParagraph"/>
              <w:spacing w:before="113" w:line="180" w:lineRule="exact"/>
              <w:ind w:left="301"/>
              <w:rPr>
                <w:sz w:val="18"/>
              </w:rPr>
            </w:pPr>
            <w:r>
              <w:rPr>
                <w:sz w:val="18"/>
              </w:rPr>
              <w:t>8,653,487</w:t>
            </w:r>
          </w:p>
        </w:tc>
      </w:tr>
      <w:tr w:rsidR="00FA4AA8" w14:paraId="42674BA0" w14:textId="77777777">
        <w:trPr>
          <w:trHeight w:val="526"/>
        </w:trPr>
        <w:tc>
          <w:tcPr>
            <w:tcW w:w="7372" w:type="dxa"/>
          </w:tcPr>
          <w:p w14:paraId="6C32CA66" w14:textId="77777777" w:rsidR="00FA4AA8" w:rsidRDefault="00FA4AA8">
            <w:pPr>
              <w:pStyle w:val="TableParagraph"/>
              <w:spacing w:before="2"/>
              <w:rPr>
                <w:sz w:val="24"/>
              </w:rPr>
            </w:pPr>
          </w:p>
          <w:p w14:paraId="738BAA81" w14:textId="77777777" w:rsidR="00FA4AA8" w:rsidRDefault="0015611F">
            <w:pPr>
              <w:pStyle w:val="TableParagraph"/>
              <w:ind w:left="1042"/>
              <w:rPr>
                <w:sz w:val="18"/>
              </w:rPr>
            </w:pPr>
            <w:r>
              <w:rPr>
                <w:sz w:val="18"/>
              </w:rPr>
              <w:t>Non-current receivables (loans)</w:t>
            </w:r>
          </w:p>
        </w:tc>
        <w:tc>
          <w:tcPr>
            <w:tcW w:w="1409" w:type="dxa"/>
            <w:tcBorders>
              <w:top w:val="double" w:sz="3" w:space="0" w:color="000000"/>
            </w:tcBorders>
          </w:tcPr>
          <w:p w14:paraId="50191604" w14:textId="77777777" w:rsidR="00FA4AA8" w:rsidRDefault="00FA4AA8">
            <w:pPr>
              <w:pStyle w:val="TableParagraph"/>
              <w:rPr>
                <w:rFonts w:ascii="Times New Roman"/>
                <w:sz w:val="18"/>
              </w:rPr>
            </w:pPr>
          </w:p>
        </w:tc>
        <w:tc>
          <w:tcPr>
            <w:tcW w:w="1185" w:type="dxa"/>
            <w:tcBorders>
              <w:top w:val="double" w:sz="3" w:space="0" w:color="000000"/>
            </w:tcBorders>
          </w:tcPr>
          <w:p w14:paraId="6D6E7ABB" w14:textId="77777777" w:rsidR="00FA4AA8" w:rsidRDefault="00FA4AA8">
            <w:pPr>
              <w:pStyle w:val="TableParagraph"/>
              <w:rPr>
                <w:rFonts w:ascii="Times New Roman"/>
                <w:sz w:val="18"/>
              </w:rPr>
            </w:pPr>
          </w:p>
        </w:tc>
      </w:tr>
      <w:tr w:rsidR="00FA4AA8" w14:paraId="761CD9A6" w14:textId="77777777">
        <w:trPr>
          <w:trHeight w:val="268"/>
        </w:trPr>
        <w:tc>
          <w:tcPr>
            <w:tcW w:w="7372" w:type="dxa"/>
          </w:tcPr>
          <w:p w14:paraId="0FCCFDFD" w14:textId="77777777" w:rsidR="00FA4AA8" w:rsidRDefault="0015611F">
            <w:pPr>
              <w:pStyle w:val="TableParagraph"/>
              <w:spacing w:before="35"/>
              <w:ind w:right="1656"/>
              <w:jc w:val="right"/>
              <w:rPr>
                <w:sz w:val="18"/>
              </w:rPr>
            </w:pPr>
            <w:r>
              <w:rPr>
                <w:sz w:val="18"/>
              </w:rPr>
              <w:t>Western Sydney University International College Pty Ltd</w:t>
            </w:r>
          </w:p>
        </w:tc>
        <w:tc>
          <w:tcPr>
            <w:tcW w:w="1409" w:type="dxa"/>
            <w:tcBorders>
              <w:bottom w:val="single" w:sz="8" w:space="0" w:color="000000"/>
            </w:tcBorders>
          </w:tcPr>
          <w:p w14:paraId="4638839D" w14:textId="77777777" w:rsidR="00FA4AA8" w:rsidRDefault="0015611F">
            <w:pPr>
              <w:pStyle w:val="TableParagraph"/>
              <w:spacing w:before="34"/>
              <w:ind w:right="196"/>
              <w:jc w:val="right"/>
              <w:rPr>
                <w:b/>
                <w:sz w:val="18"/>
              </w:rPr>
            </w:pPr>
            <w:r>
              <w:rPr>
                <w:b/>
                <w:sz w:val="18"/>
              </w:rPr>
              <w:t>654,095</w:t>
            </w:r>
          </w:p>
        </w:tc>
        <w:tc>
          <w:tcPr>
            <w:tcW w:w="1185" w:type="dxa"/>
            <w:tcBorders>
              <w:bottom w:val="single" w:sz="8" w:space="0" w:color="000000"/>
            </w:tcBorders>
          </w:tcPr>
          <w:p w14:paraId="011DFA6D" w14:textId="77777777" w:rsidR="00FA4AA8" w:rsidRDefault="0015611F">
            <w:pPr>
              <w:pStyle w:val="TableParagraph"/>
              <w:spacing w:before="34"/>
              <w:ind w:left="451"/>
              <w:rPr>
                <w:sz w:val="18"/>
              </w:rPr>
            </w:pPr>
            <w:r>
              <w:rPr>
                <w:sz w:val="18"/>
              </w:rPr>
              <w:t>214,043</w:t>
            </w:r>
          </w:p>
        </w:tc>
      </w:tr>
      <w:tr w:rsidR="00FA4AA8" w14:paraId="2499EF41" w14:textId="77777777">
        <w:trPr>
          <w:trHeight w:val="313"/>
        </w:trPr>
        <w:tc>
          <w:tcPr>
            <w:tcW w:w="7372" w:type="dxa"/>
          </w:tcPr>
          <w:p w14:paraId="4BD69C08" w14:textId="77777777" w:rsidR="00FA4AA8" w:rsidRDefault="0015611F">
            <w:pPr>
              <w:pStyle w:val="TableParagraph"/>
              <w:spacing w:before="113" w:line="180" w:lineRule="exact"/>
              <w:ind w:left="1042"/>
              <w:rPr>
                <w:b/>
                <w:sz w:val="18"/>
              </w:rPr>
            </w:pPr>
            <w:r>
              <w:rPr>
                <w:b/>
                <w:sz w:val="18"/>
              </w:rPr>
              <w:t>Total non-current receivables</w:t>
            </w:r>
          </w:p>
        </w:tc>
        <w:tc>
          <w:tcPr>
            <w:tcW w:w="1409" w:type="dxa"/>
            <w:tcBorders>
              <w:top w:val="single" w:sz="8" w:space="0" w:color="000000"/>
              <w:bottom w:val="double" w:sz="3" w:space="0" w:color="000000"/>
            </w:tcBorders>
          </w:tcPr>
          <w:p w14:paraId="032CC57D" w14:textId="77777777" w:rsidR="00FA4AA8" w:rsidRDefault="0015611F">
            <w:pPr>
              <w:pStyle w:val="TableParagraph"/>
              <w:spacing w:before="113" w:line="180" w:lineRule="exact"/>
              <w:ind w:right="196"/>
              <w:jc w:val="right"/>
              <w:rPr>
                <w:b/>
                <w:sz w:val="18"/>
              </w:rPr>
            </w:pPr>
            <w:r>
              <w:rPr>
                <w:b/>
                <w:sz w:val="18"/>
              </w:rPr>
              <w:t>654,095</w:t>
            </w:r>
          </w:p>
        </w:tc>
        <w:tc>
          <w:tcPr>
            <w:tcW w:w="1185" w:type="dxa"/>
            <w:tcBorders>
              <w:top w:val="single" w:sz="8" w:space="0" w:color="000000"/>
              <w:bottom w:val="double" w:sz="3" w:space="0" w:color="000000"/>
            </w:tcBorders>
          </w:tcPr>
          <w:p w14:paraId="67A0F312" w14:textId="77777777" w:rsidR="00FA4AA8" w:rsidRDefault="0015611F">
            <w:pPr>
              <w:pStyle w:val="TableParagraph"/>
              <w:spacing w:before="113" w:line="180" w:lineRule="exact"/>
              <w:ind w:left="451"/>
              <w:rPr>
                <w:sz w:val="18"/>
              </w:rPr>
            </w:pPr>
            <w:r>
              <w:rPr>
                <w:sz w:val="18"/>
              </w:rPr>
              <w:t>214,043</w:t>
            </w:r>
          </w:p>
        </w:tc>
      </w:tr>
      <w:tr w:rsidR="00FA4AA8" w14:paraId="2B6C4128" w14:textId="77777777">
        <w:trPr>
          <w:trHeight w:val="522"/>
        </w:trPr>
        <w:tc>
          <w:tcPr>
            <w:tcW w:w="7372" w:type="dxa"/>
          </w:tcPr>
          <w:p w14:paraId="407C68CE" w14:textId="77777777" w:rsidR="00FA4AA8" w:rsidRDefault="00FA4AA8">
            <w:pPr>
              <w:pStyle w:val="TableParagraph"/>
              <w:spacing w:before="8"/>
              <w:rPr>
                <w:sz w:val="24"/>
              </w:rPr>
            </w:pPr>
          </w:p>
          <w:p w14:paraId="7FCD78A7" w14:textId="77777777" w:rsidR="00FA4AA8" w:rsidRDefault="0015611F">
            <w:pPr>
              <w:pStyle w:val="TableParagraph"/>
              <w:ind w:left="1042"/>
              <w:rPr>
                <w:sz w:val="18"/>
              </w:rPr>
            </w:pPr>
            <w:r>
              <w:rPr>
                <w:sz w:val="18"/>
              </w:rPr>
              <w:t>Current payables (purchase of services)</w:t>
            </w:r>
          </w:p>
        </w:tc>
        <w:tc>
          <w:tcPr>
            <w:tcW w:w="1409" w:type="dxa"/>
            <w:tcBorders>
              <w:top w:val="double" w:sz="3" w:space="0" w:color="000000"/>
            </w:tcBorders>
          </w:tcPr>
          <w:p w14:paraId="089AAC5C" w14:textId="77777777" w:rsidR="00FA4AA8" w:rsidRDefault="00FA4AA8">
            <w:pPr>
              <w:pStyle w:val="TableParagraph"/>
              <w:rPr>
                <w:rFonts w:ascii="Times New Roman"/>
                <w:sz w:val="18"/>
              </w:rPr>
            </w:pPr>
          </w:p>
        </w:tc>
        <w:tc>
          <w:tcPr>
            <w:tcW w:w="1185" w:type="dxa"/>
            <w:tcBorders>
              <w:top w:val="double" w:sz="3" w:space="0" w:color="000000"/>
            </w:tcBorders>
          </w:tcPr>
          <w:p w14:paraId="30D30B7B" w14:textId="77777777" w:rsidR="00FA4AA8" w:rsidRDefault="00FA4AA8">
            <w:pPr>
              <w:pStyle w:val="TableParagraph"/>
              <w:rPr>
                <w:rFonts w:ascii="Times New Roman"/>
                <w:sz w:val="18"/>
              </w:rPr>
            </w:pPr>
          </w:p>
        </w:tc>
      </w:tr>
      <w:tr w:rsidR="00FA4AA8" w14:paraId="34DA1ABC" w14:textId="77777777">
        <w:trPr>
          <w:trHeight w:val="258"/>
        </w:trPr>
        <w:tc>
          <w:tcPr>
            <w:tcW w:w="7372" w:type="dxa"/>
          </w:tcPr>
          <w:p w14:paraId="730C5C57" w14:textId="77777777" w:rsidR="00FA4AA8" w:rsidRDefault="0015611F">
            <w:pPr>
              <w:pStyle w:val="TableParagraph"/>
              <w:spacing w:before="26"/>
              <w:ind w:right="1656"/>
              <w:jc w:val="right"/>
              <w:rPr>
                <w:sz w:val="18"/>
              </w:rPr>
            </w:pPr>
            <w:r>
              <w:rPr>
                <w:sz w:val="18"/>
              </w:rPr>
              <w:t>Western Sydney University International College Pty Ltd</w:t>
            </w:r>
          </w:p>
        </w:tc>
        <w:tc>
          <w:tcPr>
            <w:tcW w:w="1409" w:type="dxa"/>
            <w:tcBorders>
              <w:bottom w:val="single" w:sz="8" w:space="0" w:color="000000"/>
            </w:tcBorders>
          </w:tcPr>
          <w:p w14:paraId="3C3F7A61" w14:textId="77777777" w:rsidR="00FA4AA8" w:rsidRDefault="0015611F">
            <w:pPr>
              <w:pStyle w:val="TableParagraph"/>
              <w:spacing w:before="25"/>
              <w:ind w:right="198"/>
              <w:jc w:val="right"/>
              <w:rPr>
                <w:b/>
                <w:sz w:val="18"/>
              </w:rPr>
            </w:pPr>
            <w:r>
              <w:rPr>
                <w:b/>
                <w:sz w:val="18"/>
              </w:rPr>
              <w:t>1,590,760</w:t>
            </w:r>
          </w:p>
        </w:tc>
        <w:tc>
          <w:tcPr>
            <w:tcW w:w="1185" w:type="dxa"/>
            <w:tcBorders>
              <w:bottom w:val="single" w:sz="8" w:space="0" w:color="000000"/>
            </w:tcBorders>
          </w:tcPr>
          <w:p w14:paraId="6A46AFFB" w14:textId="77777777" w:rsidR="00FA4AA8" w:rsidRDefault="0015611F">
            <w:pPr>
              <w:pStyle w:val="TableParagraph"/>
              <w:spacing w:before="25"/>
              <w:ind w:right="83"/>
              <w:jc w:val="right"/>
              <w:rPr>
                <w:sz w:val="18"/>
              </w:rPr>
            </w:pPr>
            <w:r>
              <w:rPr>
                <w:sz w:val="18"/>
              </w:rPr>
              <w:t>-</w:t>
            </w:r>
          </w:p>
        </w:tc>
      </w:tr>
      <w:tr w:rsidR="00FA4AA8" w14:paraId="1A3A82F6" w14:textId="77777777">
        <w:trPr>
          <w:trHeight w:val="313"/>
        </w:trPr>
        <w:tc>
          <w:tcPr>
            <w:tcW w:w="7372" w:type="dxa"/>
          </w:tcPr>
          <w:p w14:paraId="2E405D03" w14:textId="77777777" w:rsidR="00FA4AA8" w:rsidRDefault="0015611F">
            <w:pPr>
              <w:pStyle w:val="TableParagraph"/>
              <w:spacing w:before="113" w:line="180" w:lineRule="exact"/>
              <w:ind w:left="1042"/>
              <w:rPr>
                <w:b/>
                <w:sz w:val="18"/>
              </w:rPr>
            </w:pPr>
            <w:r>
              <w:rPr>
                <w:b/>
                <w:sz w:val="18"/>
              </w:rPr>
              <w:t>Total current payables</w:t>
            </w:r>
          </w:p>
        </w:tc>
        <w:tc>
          <w:tcPr>
            <w:tcW w:w="1409" w:type="dxa"/>
            <w:tcBorders>
              <w:top w:val="single" w:sz="8" w:space="0" w:color="000000"/>
              <w:bottom w:val="double" w:sz="3" w:space="0" w:color="000000"/>
            </w:tcBorders>
          </w:tcPr>
          <w:p w14:paraId="763D1733" w14:textId="77777777" w:rsidR="00FA4AA8" w:rsidRDefault="0015611F">
            <w:pPr>
              <w:pStyle w:val="TableParagraph"/>
              <w:spacing w:before="113" w:line="180" w:lineRule="exact"/>
              <w:ind w:right="198"/>
              <w:jc w:val="right"/>
              <w:rPr>
                <w:b/>
                <w:sz w:val="18"/>
              </w:rPr>
            </w:pPr>
            <w:r>
              <w:rPr>
                <w:b/>
                <w:sz w:val="18"/>
              </w:rPr>
              <w:t>1,590,760</w:t>
            </w:r>
          </w:p>
        </w:tc>
        <w:tc>
          <w:tcPr>
            <w:tcW w:w="1185" w:type="dxa"/>
            <w:tcBorders>
              <w:top w:val="single" w:sz="8" w:space="0" w:color="000000"/>
              <w:bottom w:val="double" w:sz="3" w:space="0" w:color="000000"/>
            </w:tcBorders>
          </w:tcPr>
          <w:p w14:paraId="20AFFAF0" w14:textId="77777777" w:rsidR="00FA4AA8" w:rsidRDefault="0015611F">
            <w:pPr>
              <w:pStyle w:val="TableParagraph"/>
              <w:spacing w:before="113" w:line="180" w:lineRule="exact"/>
              <w:ind w:right="83"/>
              <w:jc w:val="right"/>
              <w:rPr>
                <w:sz w:val="18"/>
              </w:rPr>
            </w:pPr>
            <w:r>
              <w:rPr>
                <w:sz w:val="18"/>
              </w:rPr>
              <w:t>-</w:t>
            </w:r>
          </w:p>
        </w:tc>
      </w:tr>
    </w:tbl>
    <w:p w14:paraId="51BECC91" w14:textId="77777777" w:rsidR="00FA4AA8" w:rsidRDefault="00FA4AA8">
      <w:pPr>
        <w:pStyle w:val="BodyText"/>
        <w:spacing w:before="8"/>
        <w:rPr>
          <w:sz w:val="17"/>
        </w:rPr>
      </w:pPr>
    </w:p>
    <w:p w14:paraId="1FBAAF2B" w14:textId="77777777" w:rsidR="00FA4AA8" w:rsidRDefault="0015611F">
      <w:pPr>
        <w:pStyle w:val="BodyText"/>
        <w:spacing w:before="94"/>
        <w:ind w:left="1132"/>
      </w:pPr>
      <w:r>
        <w:t>No provisions for doubtful debts have been raised in relation to any outstanding balances, and no expense has been recognised in respect of bad or doubtful debts due from related parties.</w:t>
      </w:r>
    </w:p>
    <w:p w14:paraId="57DECBF4" w14:textId="77777777" w:rsidR="00FA4AA8" w:rsidRDefault="00FA4AA8">
      <w:pPr>
        <w:sectPr w:rsidR="00FA4AA8">
          <w:pgSz w:w="11910" w:h="16840"/>
          <w:pgMar w:top="2700" w:right="840" w:bottom="720" w:left="840" w:header="1017" w:footer="523" w:gutter="0"/>
          <w:cols w:space="720"/>
        </w:sectPr>
      </w:pPr>
    </w:p>
    <w:p w14:paraId="1943267C" w14:textId="77777777" w:rsidR="00FA4AA8" w:rsidRDefault="00FA4AA8">
      <w:pPr>
        <w:pStyle w:val="BodyText"/>
        <w:rPr>
          <w:sz w:val="20"/>
        </w:rPr>
      </w:pPr>
    </w:p>
    <w:p w14:paraId="40282A87" w14:textId="77777777" w:rsidR="00FA4AA8" w:rsidRDefault="00FA4AA8">
      <w:pPr>
        <w:pStyle w:val="BodyText"/>
        <w:spacing w:before="9"/>
        <w:rPr>
          <w:sz w:val="29"/>
        </w:rPr>
      </w:pPr>
    </w:p>
    <w:p w14:paraId="5FF461D2" w14:textId="77777777" w:rsidR="00FA4AA8" w:rsidRDefault="0015611F">
      <w:pPr>
        <w:numPr>
          <w:ilvl w:val="0"/>
          <w:numId w:val="62"/>
        </w:numPr>
        <w:tabs>
          <w:tab w:val="left" w:pos="564"/>
        </w:tabs>
        <w:spacing w:before="94"/>
        <w:ind w:hanging="397"/>
        <w:rPr>
          <w:b/>
          <w:sz w:val="18"/>
        </w:rPr>
      </w:pPr>
      <w:bookmarkStart w:id="143" w:name="Accounting_Policy"/>
      <w:bookmarkEnd w:id="143"/>
      <w:r>
        <w:rPr>
          <w:b/>
          <w:sz w:val="18"/>
        </w:rPr>
        <w:t>Related Parties</w:t>
      </w:r>
      <w:r>
        <w:rPr>
          <w:b/>
          <w:spacing w:val="-2"/>
          <w:sz w:val="18"/>
        </w:rPr>
        <w:t xml:space="preserve"> </w:t>
      </w:r>
      <w:r>
        <w:rPr>
          <w:b/>
          <w:sz w:val="18"/>
        </w:rPr>
        <w:t>(continued)</w:t>
      </w:r>
    </w:p>
    <w:p w14:paraId="3D599AE4" w14:textId="77777777" w:rsidR="00FA4AA8" w:rsidRDefault="00FA4AA8">
      <w:pPr>
        <w:pStyle w:val="BodyText"/>
        <w:spacing w:before="7"/>
        <w:rPr>
          <w:b/>
          <w:sz w:val="26"/>
        </w:rPr>
      </w:pPr>
    </w:p>
    <w:p w14:paraId="3198025B" w14:textId="77777777" w:rsidR="00FA4AA8" w:rsidRDefault="0015611F">
      <w:pPr>
        <w:spacing w:before="1"/>
        <w:ind w:left="564"/>
        <w:rPr>
          <w:i/>
          <w:sz w:val="18"/>
        </w:rPr>
      </w:pPr>
      <w:r>
        <w:rPr>
          <w:i/>
          <w:sz w:val="18"/>
          <w:u w:val="single"/>
        </w:rPr>
        <w:t>Accounting Policy</w:t>
      </w:r>
    </w:p>
    <w:p w14:paraId="2F9F3B9F" w14:textId="77777777" w:rsidR="00FA4AA8" w:rsidRDefault="00FA4AA8">
      <w:pPr>
        <w:pStyle w:val="BodyText"/>
        <w:spacing w:before="2"/>
        <w:rPr>
          <w:i/>
          <w:sz w:val="17"/>
        </w:rPr>
      </w:pPr>
    </w:p>
    <w:p w14:paraId="0ABEFF15" w14:textId="77777777" w:rsidR="00FA4AA8" w:rsidRDefault="0015611F">
      <w:pPr>
        <w:pStyle w:val="BodyText"/>
        <w:spacing w:before="94"/>
        <w:ind w:left="564"/>
      </w:pPr>
      <w:r>
        <w:t>Loans and receivables are non-derivative financial assets with fixed or determinable payments that are not quoted in an active market and are subsequently measured at amortised cost.</w:t>
      </w:r>
    </w:p>
    <w:p w14:paraId="5C4C8492" w14:textId="77777777" w:rsidR="00FA4AA8" w:rsidRDefault="00FA4AA8">
      <w:pPr>
        <w:pStyle w:val="BodyText"/>
        <w:spacing w:before="11"/>
        <w:rPr>
          <w:sz w:val="24"/>
        </w:rPr>
      </w:pPr>
    </w:p>
    <w:p w14:paraId="7E86BADD" w14:textId="77777777" w:rsidR="00FA4AA8" w:rsidRDefault="0015611F">
      <w:pPr>
        <w:pStyle w:val="BodyText"/>
        <w:ind w:left="563"/>
      </w:pPr>
      <w:r>
        <w:t>Loans and receivables are included in currents assets, except for those with maturities greater than 12 months after the end of the reporting period, which are classified as non-current assets.</w:t>
      </w:r>
    </w:p>
    <w:p w14:paraId="11BBAAB9" w14:textId="77777777" w:rsidR="00FA4AA8" w:rsidRDefault="00FA4AA8">
      <w:pPr>
        <w:pStyle w:val="BodyText"/>
        <w:rPr>
          <w:sz w:val="20"/>
        </w:rPr>
      </w:pPr>
    </w:p>
    <w:p w14:paraId="67912730" w14:textId="77777777" w:rsidR="00FA4AA8" w:rsidRDefault="00FA4AA8">
      <w:pPr>
        <w:pStyle w:val="BodyText"/>
        <w:rPr>
          <w:sz w:val="20"/>
        </w:rPr>
      </w:pPr>
    </w:p>
    <w:p w14:paraId="46994E2E" w14:textId="77777777" w:rsidR="00FA4AA8" w:rsidRDefault="00FA4AA8">
      <w:pPr>
        <w:pStyle w:val="BodyText"/>
        <w:spacing w:before="11"/>
        <w:rPr>
          <w:sz w:val="27"/>
        </w:rPr>
      </w:pPr>
    </w:p>
    <w:p w14:paraId="02590A37" w14:textId="77777777" w:rsidR="00FA4AA8" w:rsidRDefault="0015611F">
      <w:pPr>
        <w:numPr>
          <w:ilvl w:val="0"/>
          <w:numId w:val="62"/>
        </w:numPr>
        <w:tabs>
          <w:tab w:val="left" w:pos="564"/>
        </w:tabs>
        <w:ind w:hanging="395"/>
        <w:rPr>
          <w:b/>
          <w:sz w:val="18"/>
        </w:rPr>
      </w:pPr>
      <w:r>
        <w:rPr>
          <w:b/>
          <w:sz w:val="18"/>
        </w:rPr>
        <w:t>Events Occurring After the Reporting</w:t>
      </w:r>
      <w:r>
        <w:rPr>
          <w:b/>
          <w:spacing w:val="-3"/>
          <w:sz w:val="18"/>
        </w:rPr>
        <w:t xml:space="preserve"> </w:t>
      </w:r>
      <w:r>
        <w:rPr>
          <w:b/>
          <w:sz w:val="18"/>
        </w:rPr>
        <w:t>Date</w:t>
      </w:r>
    </w:p>
    <w:p w14:paraId="2CE988BE" w14:textId="77777777" w:rsidR="00FA4AA8" w:rsidRDefault="00FA4AA8">
      <w:pPr>
        <w:pStyle w:val="BodyText"/>
        <w:rPr>
          <w:b/>
          <w:sz w:val="25"/>
        </w:rPr>
      </w:pPr>
    </w:p>
    <w:p w14:paraId="162FB3AD" w14:textId="77777777" w:rsidR="00FA4AA8" w:rsidRDefault="0015611F">
      <w:pPr>
        <w:pStyle w:val="BodyText"/>
        <w:ind w:left="565" w:right="125"/>
      </w:pPr>
      <w:bookmarkStart w:id="144" w:name="End_of_Audited_Financial_Statements_"/>
      <w:bookmarkEnd w:id="144"/>
      <w:r>
        <w:t>No matters or circumstances have arisen since the end of the financial year which significantly affected or may significantly affect the operations of the Company, the results of those operations, or the state of affairs of the Company in future financial years.</w:t>
      </w:r>
    </w:p>
    <w:p w14:paraId="3F0CA560" w14:textId="77777777" w:rsidR="00FA4AA8" w:rsidRDefault="00FA4AA8">
      <w:pPr>
        <w:pStyle w:val="BodyText"/>
        <w:rPr>
          <w:sz w:val="20"/>
        </w:rPr>
      </w:pPr>
    </w:p>
    <w:p w14:paraId="6331302F" w14:textId="77777777" w:rsidR="00FA4AA8" w:rsidRDefault="00FA4AA8">
      <w:pPr>
        <w:pStyle w:val="BodyText"/>
        <w:spacing w:before="10"/>
        <w:rPr>
          <w:sz w:val="20"/>
        </w:rPr>
      </w:pPr>
    </w:p>
    <w:p w14:paraId="711272E2" w14:textId="77777777" w:rsidR="00FA4AA8" w:rsidRDefault="0015611F">
      <w:pPr>
        <w:ind w:left="564"/>
        <w:rPr>
          <w:b/>
          <w:sz w:val="18"/>
        </w:rPr>
      </w:pPr>
      <w:r>
        <w:rPr>
          <w:b/>
          <w:sz w:val="18"/>
        </w:rPr>
        <w:t>End of Audited Financial Statements</w:t>
      </w:r>
    </w:p>
    <w:p w14:paraId="6BCE32F2" w14:textId="77777777" w:rsidR="00FA4AA8" w:rsidRDefault="00FA4AA8">
      <w:pPr>
        <w:rPr>
          <w:sz w:val="18"/>
        </w:rPr>
        <w:sectPr w:rsidR="00FA4AA8">
          <w:pgSz w:w="11910" w:h="16840"/>
          <w:pgMar w:top="2700" w:right="840" w:bottom="720" w:left="840" w:header="1017" w:footer="523" w:gutter="0"/>
          <w:cols w:space="720"/>
        </w:sectPr>
      </w:pPr>
    </w:p>
    <w:p w14:paraId="60856F04" w14:textId="77777777" w:rsidR="00FA4AA8" w:rsidRDefault="0015611F">
      <w:pPr>
        <w:pStyle w:val="BodyText"/>
        <w:ind w:left="4567"/>
        <w:rPr>
          <w:sz w:val="20"/>
        </w:rPr>
      </w:pPr>
      <w:r>
        <w:rPr>
          <w:noProof/>
          <w:sz w:val="20"/>
          <w:lang w:val="en-AU" w:eastAsia="en-AU"/>
        </w:rPr>
        <w:drawing>
          <wp:inline distT="0" distB="0" distL="0" distR="0" wp14:anchorId="0D210840" wp14:editId="47463A12">
            <wp:extent cx="795505" cy="448055"/>
            <wp:effectExtent l="0" t="0" r="0" b="0"/>
            <wp:docPr id="3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9.jpeg"/>
                    <pic:cNvPicPr/>
                  </pic:nvPicPr>
                  <pic:blipFill>
                    <a:blip r:embed="rId94" cstate="print"/>
                    <a:stretch>
                      <a:fillRect/>
                    </a:stretch>
                  </pic:blipFill>
                  <pic:spPr>
                    <a:xfrm>
                      <a:off x="0" y="0"/>
                      <a:ext cx="795505" cy="448055"/>
                    </a:xfrm>
                    <a:prstGeom prst="rect">
                      <a:avLst/>
                    </a:prstGeom>
                  </pic:spPr>
                </pic:pic>
              </a:graphicData>
            </a:graphic>
          </wp:inline>
        </w:drawing>
      </w:r>
    </w:p>
    <w:p w14:paraId="7A00C517" w14:textId="77777777" w:rsidR="00FA4AA8" w:rsidRDefault="00FA4AA8">
      <w:pPr>
        <w:pStyle w:val="BodyText"/>
        <w:spacing w:before="9"/>
        <w:rPr>
          <w:b/>
          <w:sz w:val="8"/>
        </w:rPr>
      </w:pPr>
    </w:p>
    <w:p w14:paraId="0A95FEFE" w14:textId="77777777" w:rsidR="00FA4AA8" w:rsidRDefault="0015611F">
      <w:pPr>
        <w:pStyle w:val="BodyText"/>
        <w:ind w:left="4529"/>
        <w:rPr>
          <w:sz w:val="20"/>
        </w:rPr>
      </w:pPr>
      <w:r>
        <w:rPr>
          <w:noProof/>
          <w:sz w:val="20"/>
          <w:lang w:val="en-AU" w:eastAsia="en-AU"/>
        </w:rPr>
        <w:drawing>
          <wp:inline distT="0" distB="0" distL="0" distR="0" wp14:anchorId="6C2E8E91" wp14:editId="51203C32">
            <wp:extent cx="819889" cy="240792"/>
            <wp:effectExtent l="0" t="0" r="0" b="0"/>
            <wp:docPr id="4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0.jpeg"/>
                    <pic:cNvPicPr/>
                  </pic:nvPicPr>
                  <pic:blipFill>
                    <a:blip r:embed="rId95" cstate="print"/>
                    <a:stretch>
                      <a:fillRect/>
                    </a:stretch>
                  </pic:blipFill>
                  <pic:spPr>
                    <a:xfrm>
                      <a:off x="0" y="0"/>
                      <a:ext cx="819889" cy="240792"/>
                    </a:xfrm>
                    <a:prstGeom prst="rect">
                      <a:avLst/>
                    </a:prstGeom>
                  </pic:spPr>
                </pic:pic>
              </a:graphicData>
            </a:graphic>
          </wp:inline>
        </w:drawing>
      </w:r>
    </w:p>
    <w:p w14:paraId="3763FEA9" w14:textId="77777777" w:rsidR="00FA4AA8" w:rsidRDefault="00FA4AA8">
      <w:pPr>
        <w:pStyle w:val="BodyText"/>
        <w:rPr>
          <w:b/>
          <w:sz w:val="20"/>
        </w:rPr>
      </w:pPr>
    </w:p>
    <w:p w14:paraId="122D6F91" w14:textId="77777777" w:rsidR="00FA4AA8" w:rsidRDefault="00FA4AA8">
      <w:pPr>
        <w:pStyle w:val="BodyText"/>
        <w:spacing w:before="4"/>
        <w:rPr>
          <w:b/>
          <w:sz w:val="20"/>
        </w:rPr>
      </w:pPr>
    </w:p>
    <w:p w14:paraId="741DBCCE" w14:textId="77777777" w:rsidR="00FA4AA8" w:rsidRDefault="0015611F">
      <w:pPr>
        <w:spacing w:before="93"/>
        <w:ind w:left="2741" w:right="2750"/>
        <w:jc w:val="center"/>
        <w:rPr>
          <w:b/>
          <w:sz w:val="24"/>
        </w:rPr>
      </w:pPr>
      <w:r>
        <w:rPr>
          <w:b/>
          <w:sz w:val="24"/>
        </w:rPr>
        <w:t>INDEPENDENT AUDITOR’S REPORT</w:t>
      </w:r>
    </w:p>
    <w:p w14:paraId="33E10E57" w14:textId="77777777" w:rsidR="00FA4AA8" w:rsidRDefault="0015611F">
      <w:pPr>
        <w:spacing w:before="160" w:line="396" w:lineRule="auto"/>
        <w:ind w:left="2741" w:right="2760"/>
        <w:jc w:val="center"/>
        <w:rPr>
          <w:b/>
          <w:sz w:val="21"/>
        </w:rPr>
      </w:pPr>
      <w:r>
        <w:rPr>
          <w:b/>
          <w:w w:val="95"/>
          <w:sz w:val="21"/>
        </w:rPr>
        <w:t>Western Sydney University Enterprises Pty Limited Trading as Western Sydney University The College</w:t>
      </w:r>
    </w:p>
    <w:p w14:paraId="5BF001D6" w14:textId="77777777" w:rsidR="00FA4AA8" w:rsidRDefault="00FA4AA8">
      <w:pPr>
        <w:pStyle w:val="BodyText"/>
        <w:rPr>
          <w:b/>
          <w:sz w:val="22"/>
        </w:rPr>
      </w:pPr>
    </w:p>
    <w:p w14:paraId="21834D9B" w14:textId="77777777" w:rsidR="00FA4AA8" w:rsidRDefault="0015611F">
      <w:pPr>
        <w:spacing w:before="175" w:line="232" w:lineRule="auto"/>
        <w:ind w:left="667" w:right="811" w:firstLine="6"/>
        <w:rPr>
          <w:sz w:val="21"/>
        </w:rPr>
      </w:pPr>
      <w:r>
        <w:rPr>
          <w:w w:val="95"/>
          <w:sz w:val="21"/>
        </w:rPr>
        <w:t xml:space="preserve">To Members of the New South Wales Parliament and Members of Western Sydney University </w:t>
      </w:r>
      <w:r>
        <w:rPr>
          <w:sz w:val="21"/>
        </w:rPr>
        <w:t>Enterprises Pty Limited</w:t>
      </w:r>
    </w:p>
    <w:p w14:paraId="4544E523" w14:textId="77777777" w:rsidR="00FA4AA8" w:rsidRDefault="0015611F">
      <w:pPr>
        <w:spacing w:before="175"/>
        <w:ind w:left="668"/>
        <w:rPr>
          <w:b/>
          <w:sz w:val="24"/>
        </w:rPr>
      </w:pPr>
      <w:r>
        <w:rPr>
          <w:b/>
          <w:sz w:val="24"/>
        </w:rPr>
        <w:t>Opinion</w:t>
      </w:r>
    </w:p>
    <w:p w14:paraId="7F174188" w14:textId="77777777" w:rsidR="00FA4AA8" w:rsidRDefault="0015611F">
      <w:pPr>
        <w:spacing w:before="114" w:line="237" w:lineRule="auto"/>
        <w:ind w:left="666" w:right="811" w:hanging="3"/>
        <w:rPr>
          <w:sz w:val="21"/>
        </w:rPr>
      </w:pPr>
      <w:r>
        <w:rPr>
          <w:w w:val="95"/>
          <w:sz w:val="21"/>
        </w:rPr>
        <w:t>I</w:t>
      </w:r>
      <w:r>
        <w:rPr>
          <w:spacing w:val="-17"/>
          <w:w w:val="95"/>
          <w:sz w:val="21"/>
        </w:rPr>
        <w:t xml:space="preserve"> </w:t>
      </w:r>
      <w:r>
        <w:rPr>
          <w:w w:val="95"/>
          <w:sz w:val="21"/>
        </w:rPr>
        <w:t>have</w:t>
      </w:r>
      <w:r>
        <w:rPr>
          <w:spacing w:val="-10"/>
          <w:w w:val="95"/>
          <w:sz w:val="21"/>
        </w:rPr>
        <w:t xml:space="preserve"> </w:t>
      </w:r>
      <w:r>
        <w:rPr>
          <w:w w:val="95"/>
          <w:sz w:val="21"/>
        </w:rPr>
        <w:t>audited</w:t>
      </w:r>
      <w:r>
        <w:rPr>
          <w:spacing w:val="-11"/>
          <w:w w:val="95"/>
          <w:sz w:val="21"/>
        </w:rPr>
        <w:t xml:space="preserve"> </w:t>
      </w:r>
      <w:r>
        <w:rPr>
          <w:w w:val="95"/>
          <w:sz w:val="21"/>
        </w:rPr>
        <w:t>the</w:t>
      </w:r>
      <w:r>
        <w:rPr>
          <w:spacing w:val="-13"/>
          <w:w w:val="95"/>
          <w:sz w:val="21"/>
        </w:rPr>
        <w:t xml:space="preserve"> </w:t>
      </w:r>
      <w:r>
        <w:rPr>
          <w:w w:val="95"/>
          <w:sz w:val="21"/>
        </w:rPr>
        <w:t>accompanying</w:t>
      </w:r>
      <w:r>
        <w:rPr>
          <w:spacing w:val="5"/>
          <w:w w:val="95"/>
          <w:sz w:val="21"/>
        </w:rPr>
        <w:t xml:space="preserve"> </w:t>
      </w:r>
      <w:r>
        <w:rPr>
          <w:w w:val="95"/>
          <w:sz w:val="21"/>
        </w:rPr>
        <w:t>financial</w:t>
      </w:r>
      <w:r>
        <w:rPr>
          <w:spacing w:val="-11"/>
          <w:w w:val="95"/>
          <w:sz w:val="21"/>
        </w:rPr>
        <w:t xml:space="preserve"> </w:t>
      </w:r>
      <w:r>
        <w:rPr>
          <w:w w:val="95"/>
          <w:sz w:val="21"/>
        </w:rPr>
        <w:t>statements</w:t>
      </w:r>
      <w:r>
        <w:rPr>
          <w:spacing w:val="-1"/>
          <w:w w:val="95"/>
          <w:sz w:val="21"/>
        </w:rPr>
        <w:t xml:space="preserve"> </w:t>
      </w:r>
      <w:r>
        <w:rPr>
          <w:w w:val="95"/>
          <w:sz w:val="21"/>
        </w:rPr>
        <w:t>of</w:t>
      </w:r>
      <w:r>
        <w:rPr>
          <w:spacing w:val="-18"/>
          <w:w w:val="95"/>
          <w:sz w:val="21"/>
        </w:rPr>
        <w:t xml:space="preserve"> </w:t>
      </w:r>
      <w:r>
        <w:rPr>
          <w:w w:val="95"/>
          <w:sz w:val="21"/>
        </w:rPr>
        <w:t>Western</w:t>
      </w:r>
      <w:r>
        <w:rPr>
          <w:spacing w:val="-5"/>
          <w:w w:val="95"/>
          <w:sz w:val="21"/>
        </w:rPr>
        <w:t xml:space="preserve"> </w:t>
      </w:r>
      <w:r>
        <w:rPr>
          <w:w w:val="95"/>
          <w:sz w:val="21"/>
        </w:rPr>
        <w:t>Sydney</w:t>
      </w:r>
      <w:r>
        <w:rPr>
          <w:spacing w:val="-4"/>
          <w:w w:val="95"/>
          <w:sz w:val="21"/>
        </w:rPr>
        <w:t xml:space="preserve"> </w:t>
      </w:r>
      <w:r>
        <w:rPr>
          <w:w w:val="95"/>
          <w:sz w:val="21"/>
        </w:rPr>
        <w:t>University</w:t>
      </w:r>
      <w:r>
        <w:rPr>
          <w:spacing w:val="-2"/>
          <w:w w:val="95"/>
          <w:sz w:val="21"/>
        </w:rPr>
        <w:t xml:space="preserve"> </w:t>
      </w:r>
      <w:r>
        <w:rPr>
          <w:w w:val="95"/>
          <w:sz w:val="21"/>
        </w:rPr>
        <w:t>Enterprises</w:t>
      </w:r>
      <w:r>
        <w:rPr>
          <w:spacing w:val="-3"/>
          <w:w w:val="95"/>
          <w:sz w:val="21"/>
        </w:rPr>
        <w:t xml:space="preserve"> </w:t>
      </w:r>
      <w:r>
        <w:rPr>
          <w:w w:val="95"/>
          <w:sz w:val="21"/>
        </w:rPr>
        <w:t xml:space="preserve">Pty </w:t>
      </w:r>
      <w:r>
        <w:rPr>
          <w:sz w:val="21"/>
        </w:rPr>
        <w:t>Limited</w:t>
      </w:r>
      <w:r>
        <w:rPr>
          <w:spacing w:val="-26"/>
          <w:sz w:val="21"/>
        </w:rPr>
        <w:t xml:space="preserve"> </w:t>
      </w:r>
      <w:r>
        <w:rPr>
          <w:sz w:val="21"/>
        </w:rPr>
        <w:t>Trading</w:t>
      </w:r>
      <w:r>
        <w:rPr>
          <w:spacing w:val="-26"/>
          <w:sz w:val="21"/>
        </w:rPr>
        <w:t xml:space="preserve"> </w:t>
      </w:r>
      <w:r>
        <w:rPr>
          <w:sz w:val="21"/>
        </w:rPr>
        <w:t>as</w:t>
      </w:r>
      <w:r>
        <w:rPr>
          <w:spacing w:val="-33"/>
          <w:sz w:val="21"/>
        </w:rPr>
        <w:t xml:space="preserve"> </w:t>
      </w:r>
      <w:r>
        <w:rPr>
          <w:sz w:val="21"/>
        </w:rPr>
        <w:t>Western</w:t>
      </w:r>
      <w:r>
        <w:rPr>
          <w:spacing w:val="-25"/>
          <w:sz w:val="21"/>
        </w:rPr>
        <w:t xml:space="preserve"> </w:t>
      </w:r>
      <w:r>
        <w:rPr>
          <w:sz w:val="21"/>
        </w:rPr>
        <w:t>Sydney</w:t>
      </w:r>
      <w:r>
        <w:rPr>
          <w:spacing w:val="-21"/>
          <w:sz w:val="21"/>
        </w:rPr>
        <w:t xml:space="preserve"> </w:t>
      </w:r>
      <w:r>
        <w:rPr>
          <w:sz w:val="21"/>
        </w:rPr>
        <w:t>University</w:t>
      </w:r>
      <w:r>
        <w:rPr>
          <w:spacing w:val="-22"/>
          <w:sz w:val="21"/>
        </w:rPr>
        <w:t xml:space="preserve"> </w:t>
      </w:r>
      <w:r>
        <w:rPr>
          <w:sz w:val="21"/>
        </w:rPr>
        <w:t>The</w:t>
      </w:r>
      <w:r>
        <w:rPr>
          <w:spacing w:val="-30"/>
          <w:sz w:val="21"/>
        </w:rPr>
        <w:t xml:space="preserve"> </w:t>
      </w:r>
      <w:r>
        <w:rPr>
          <w:sz w:val="21"/>
        </w:rPr>
        <w:t>College</w:t>
      </w:r>
      <w:r>
        <w:rPr>
          <w:spacing w:val="-28"/>
          <w:sz w:val="21"/>
        </w:rPr>
        <w:t xml:space="preserve"> </w:t>
      </w:r>
      <w:r>
        <w:rPr>
          <w:sz w:val="21"/>
        </w:rPr>
        <w:t>(the</w:t>
      </w:r>
      <w:r>
        <w:rPr>
          <w:spacing w:val="-24"/>
          <w:sz w:val="21"/>
        </w:rPr>
        <w:t xml:space="preserve"> </w:t>
      </w:r>
      <w:r>
        <w:rPr>
          <w:sz w:val="21"/>
        </w:rPr>
        <w:t>Company),</w:t>
      </w:r>
      <w:r>
        <w:rPr>
          <w:spacing w:val="-21"/>
          <w:sz w:val="21"/>
        </w:rPr>
        <w:t xml:space="preserve"> </w:t>
      </w:r>
      <w:r>
        <w:rPr>
          <w:sz w:val="21"/>
        </w:rPr>
        <w:t>which</w:t>
      </w:r>
      <w:r>
        <w:rPr>
          <w:spacing w:val="-23"/>
          <w:sz w:val="21"/>
        </w:rPr>
        <w:t xml:space="preserve"> </w:t>
      </w:r>
      <w:r>
        <w:rPr>
          <w:sz w:val="21"/>
        </w:rPr>
        <w:t>comprise</w:t>
      </w:r>
      <w:r>
        <w:rPr>
          <w:spacing w:val="-22"/>
          <w:sz w:val="21"/>
        </w:rPr>
        <w:t xml:space="preserve"> </w:t>
      </w:r>
      <w:r>
        <w:rPr>
          <w:sz w:val="21"/>
        </w:rPr>
        <w:t>the Statement of Comprehensive Income for the year ended 31 December 2018, the Statement of Financial</w:t>
      </w:r>
      <w:r>
        <w:rPr>
          <w:spacing w:val="-37"/>
          <w:sz w:val="21"/>
        </w:rPr>
        <w:t xml:space="preserve"> </w:t>
      </w:r>
      <w:r>
        <w:rPr>
          <w:sz w:val="21"/>
        </w:rPr>
        <w:t>Position</w:t>
      </w:r>
      <w:r>
        <w:rPr>
          <w:spacing w:val="-34"/>
          <w:sz w:val="21"/>
        </w:rPr>
        <w:t xml:space="preserve"> </w:t>
      </w:r>
      <w:r>
        <w:rPr>
          <w:sz w:val="21"/>
        </w:rPr>
        <w:t>as</w:t>
      </w:r>
      <w:r>
        <w:rPr>
          <w:spacing w:val="-36"/>
          <w:sz w:val="21"/>
        </w:rPr>
        <w:t xml:space="preserve"> </w:t>
      </w:r>
      <w:r>
        <w:rPr>
          <w:sz w:val="21"/>
        </w:rPr>
        <w:t>at</w:t>
      </w:r>
      <w:r>
        <w:rPr>
          <w:spacing w:val="-40"/>
          <w:sz w:val="21"/>
        </w:rPr>
        <w:t xml:space="preserve"> </w:t>
      </w:r>
      <w:r>
        <w:rPr>
          <w:sz w:val="21"/>
        </w:rPr>
        <w:t>31</w:t>
      </w:r>
      <w:r>
        <w:rPr>
          <w:spacing w:val="-35"/>
          <w:sz w:val="21"/>
        </w:rPr>
        <w:t xml:space="preserve"> </w:t>
      </w:r>
      <w:r>
        <w:rPr>
          <w:sz w:val="21"/>
        </w:rPr>
        <w:t>December</w:t>
      </w:r>
      <w:r>
        <w:rPr>
          <w:spacing w:val="-30"/>
          <w:sz w:val="21"/>
        </w:rPr>
        <w:t xml:space="preserve"> </w:t>
      </w:r>
      <w:r>
        <w:rPr>
          <w:sz w:val="21"/>
        </w:rPr>
        <w:t>2018,</w:t>
      </w:r>
      <w:r>
        <w:rPr>
          <w:spacing w:val="-34"/>
          <w:sz w:val="21"/>
        </w:rPr>
        <w:t xml:space="preserve"> </w:t>
      </w:r>
      <w:r>
        <w:rPr>
          <w:sz w:val="21"/>
        </w:rPr>
        <w:t>Statement</w:t>
      </w:r>
      <w:r>
        <w:rPr>
          <w:spacing w:val="-34"/>
          <w:sz w:val="21"/>
        </w:rPr>
        <w:t xml:space="preserve"> </w:t>
      </w:r>
      <w:r>
        <w:rPr>
          <w:sz w:val="21"/>
        </w:rPr>
        <w:t>of</w:t>
      </w:r>
      <w:r>
        <w:rPr>
          <w:spacing w:val="-39"/>
          <w:sz w:val="21"/>
        </w:rPr>
        <w:t xml:space="preserve"> </w:t>
      </w:r>
      <w:r>
        <w:rPr>
          <w:sz w:val="21"/>
        </w:rPr>
        <w:t>Changes</w:t>
      </w:r>
      <w:r>
        <w:rPr>
          <w:spacing w:val="-35"/>
          <w:sz w:val="21"/>
        </w:rPr>
        <w:t xml:space="preserve"> </w:t>
      </w:r>
      <w:r>
        <w:rPr>
          <w:sz w:val="21"/>
        </w:rPr>
        <w:t>in</w:t>
      </w:r>
      <w:r>
        <w:rPr>
          <w:spacing w:val="-34"/>
          <w:sz w:val="21"/>
        </w:rPr>
        <w:t xml:space="preserve"> </w:t>
      </w:r>
      <w:r>
        <w:rPr>
          <w:sz w:val="21"/>
        </w:rPr>
        <w:t>Equity</w:t>
      </w:r>
      <w:r>
        <w:rPr>
          <w:spacing w:val="-33"/>
          <w:sz w:val="21"/>
        </w:rPr>
        <w:t xml:space="preserve"> </w:t>
      </w:r>
      <w:r>
        <w:rPr>
          <w:sz w:val="21"/>
        </w:rPr>
        <w:t>and</w:t>
      </w:r>
      <w:r>
        <w:rPr>
          <w:spacing w:val="-33"/>
          <w:sz w:val="21"/>
        </w:rPr>
        <w:t xml:space="preserve"> </w:t>
      </w:r>
      <w:r>
        <w:rPr>
          <w:sz w:val="21"/>
        </w:rPr>
        <w:t>Statement</w:t>
      </w:r>
      <w:r>
        <w:rPr>
          <w:spacing w:val="-35"/>
          <w:sz w:val="21"/>
        </w:rPr>
        <w:t xml:space="preserve"> </w:t>
      </w:r>
      <w:r>
        <w:rPr>
          <w:sz w:val="21"/>
        </w:rPr>
        <w:t>of</w:t>
      </w:r>
      <w:r>
        <w:rPr>
          <w:spacing w:val="-38"/>
          <w:sz w:val="21"/>
        </w:rPr>
        <w:t xml:space="preserve"> </w:t>
      </w:r>
      <w:r>
        <w:rPr>
          <w:sz w:val="21"/>
        </w:rPr>
        <w:t>Cash Flows</w:t>
      </w:r>
      <w:r>
        <w:rPr>
          <w:spacing w:val="-31"/>
          <w:sz w:val="21"/>
        </w:rPr>
        <w:t xml:space="preserve"> </w:t>
      </w:r>
      <w:r>
        <w:rPr>
          <w:sz w:val="21"/>
        </w:rPr>
        <w:t>for</w:t>
      </w:r>
      <w:r>
        <w:rPr>
          <w:spacing w:val="-35"/>
          <w:sz w:val="21"/>
        </w:rPr>
        <w:t xml:space="preserve"> </w:t>
      </w:r>
      <w:r>
        <w:rPr>
          <w:sz w:val="21"/>
        </w:rPr>
        <w:t>the</w:t>
      </w:r>
      <w:r>
        <w:rPr>
          <w:spacing w:val="-33"/>
          <w:sz w:val="21"/>
        </w:rPr>
        <w:t xml:space="preserve"> </w:t>
      </w:r>
      <w:r>
        <w:rPr>
          <w:sz w:val="21"/>
        </w:rPr>
        <w:t>year</w:t>
      </w:r>
      <w:r>
        <w:rPr>
          <w:spacing w:val="-33"/>
          <w:sz w:val="21"/>
        </w:rPr>
        <w:t xml:space="preserve"> </w:t>
      </w:r>
      <w:r>
        <w:rPr>
          <w:sz w:val="21"/>
        </w:rPr>
        <w:t>then</w:t>
      </w:r>
      <w:r>
        <w:rPr>
          <w:spacing w:val="-33"/>
          <w:sz w:val="21"/>
        </w:rPr>
        <w:t xml:space="preserve"> </w:t>
      </w:r>
      <w:r>
        <w:rPr>
          <w:sz w:val="21"/>
        </w:rPr>
        <w:t>ended,</w:t>
      </w:r>
      <w:r>
        <w:rPr>
          <w:spacing w:val="-33"/>
          <w:sz w:val="21"/>
        </w:rPr>
        <w:t xml:space="preserve"> </w:t>
      </w:r>
      <w:r>
        <w:rPr>
          <w:sz w:val="21"/>
        </w:rPr>
        <w:t>notes</w:t>
      </w:r>
      <w:r>
        <w:rPr>
          <w:spacing w:val="-37"/>
          <w:sz w:val="21"/>
        </w:rPr>
        <w:t xml:space="preserve"> </w:t>
      </w:r>
      <w:r>
        <w:rPr>
          <w:sz w:val="21"/>
        </w:rPr>
        <w:t>comprising</w:t>
      </w:r>
      <w:r>
        <w:rPr>
          <w:spacing w:val="-28"/>
          <w:sz w:val="21"/>
        </w:rPr>
        <w:t xml:space="preserve"> </w:t>
      </w:r>
      <w:r>
        <w:rPr>
          <w:sz w:val="21"/>
        </w:rPr>
        <w:t>a</w:t>
      </w:r>
      <w:r>
        <w:rPr>
          <w:spacing w:val="-35"/>
          <w:sz w:val="21"/>
        </w:rPr>
        <w:t xml:space="preserve"> </w:t>
      </w:r>
      <w:r>
        <w:rPr>
          <w:sz w:val="21"/>
        </w:rPr>
        <w:t>Summary</w:t>
      </w:r>
      <w:r>
        <w:rPr>
          <w:spacing w:val="-27"/>
          <w:sz w:val="21"/>
        </w:rPr>
        <w:t xml:space="preserve"> </w:t>
      </w:r>
      <w:r>
        <w:rPr>
          <w:sz w:val="21"/>
        </w:rPr>
        <w:t>of</w:t>
      </w:r>
      <w:r>
        <w:rPr>
          <w:spacing w:val="-34"/>
          <w:sz w:val="21"/>
        </w:rPr>
        <w:t xml:space="preserve"> </w:t>
      </w:r>
      <w:r>
        <w:rPr>
          <w:sz w:val="21"/>
        </w:rPr>
        <w:t>Significant</w:t>
      </w:r>
      <w:r>
        <w:rPr>
          <w:spacing w:val="-26"/>
          <w:sz w:val="21"/>
        </w:rPr>
        <w:t xml:space="preserve"> </w:t>
      </w:r>
      <w:r>
        <w:rPr>
          <w:sz w:val="21"/>
        </w:rPr>
        <w:t>Accounting</w:t>
      </w:r>
      <w:r>
        <w:rPr>
          <w:spacing w:val="-28"/>
          <w:sz w:val="21"/>
        </w:rPr>
        <w:t xml:space="preserve"> </w:t>
      </w:r>
      <w:r>
        <w:rPr>
          <w:sz w:val="21"/>
        </w:rPr>
        <w:t>Policies</w:t>
      </w:r>
      <w:r>
        <w:rPr>
          <w:spacing w:val="-35"/>
          <w:sz w:val="21"/>
        </w:rPr>
        <w:t xml:space="preserve"> </w:t>
      </w:r>
      <w:r>
        <w:rPr>
          <w:sz w:val="21"/>
        </w:rPr>
        <w:t xml:space="preserve">and </w:t>
      </w:r>
      <w:r>
        <w:rPr>
          <w:w w:val="95"/>
          <w:sz w:val="21"/>
        </w:rPr>
        <w:t>other</w:t>
      </w:r>
      <w:r>
        <w:rPr>
          <w:spacing w:val="-2"/>
          <w:w w:val="95"/>
          <w:sz w:val="21"/>
        </w:rPr>
        <w:t xml:space="preserve"> </w:t>
      </w:r>
      <w:r>
        <w:rPr>
          <w:w w:val="95"/>
          <w:sz w:val="21"/>
        </w:rPr>
        <w:t>explanatory</w:t>
      </w:r>
      <w:r>
        <w:rPr>
          <w:spacing w:val="4"/>
          <w:w w:val="95"/>
          <w:sz w:val="21"/>
        </w:rPr>
        <w:t xml:space="preserve"> </w:t>
      </w:r>
      <w:r>
        <w:rPr>
          <w:w w:val="95"/>
          <w:sz w:val="21"/>
        </w:rPr>
        <w:t>information,</w:t>
      </w:r>
      <w:r>
        <w:rPr>
          <w:spacing w:val="-6"/>
          <w:w w:val="95"/>
          <w:sz w:val="21"/>
        </w:rPr>
        <w:t xml:space="preserve"> </w:t>
      </w:r>
      <w:r>
        <w:rPr>
          <w:w w:val="95"/>
          <w:sz w:val="21"/>
        </w:rPr>
        <w:t>the</w:t>
      </w:r>
      <w:r>
        <w:rPr>
          <w:spacing w:val="-14"/>
          <w:w w:val="95"/>
          <w:sz w:val="21"/>
        </w:rPr>
        <w:t xml:space="preserve"> </w:t>
      </w:r>
      <w:r>
        <w:rPr>
          <w:w w:val="95"/>
          <w:sz w:val="21"/>
        </w:rPr>
        <w:t>Directors’</w:t>
      </w:r>
      <w:r>
        <w:rPr>
          <w:spacing w:val="-1"/>
          <w:w w:val="95"/>
          <w:sz w:val="21"/>
        </w:rPr>
        <w:t xml:space="preserve"> </w:t>
      </w:r>
      <w:r>
        <w:rPr>
          <w:w w:val="95"/>
          <w:sz w:val="21"/>
        </w:rPr>
        <w:t>Declaration</w:t>
      </w:r>
      <w:r>
        <w:rPr>
          <w:spacing w:val="2"/>
          <w:w w:val="95"/>
          <w:sz w:val="21"/>
        </w:rPr>
        <w:t xml:space="preserve"> </w:t>
      </w:r>
      <w:r>
        <w:rPr>
          <w:w w:val="95"/>
          <w:sz w:val="21"/>
        </w:rPr>
        <w:t>and</w:t>
      </w:r>
      <w:r>
        <w:rPr>
          <w:spacing w:val="-11"/>
          <w:w w:val="95"/>
          <w:sz w:val="21"/>
        </w:rPr>
        <w:t xml:space="preserve"> </w:t>
      </w:r>
      <w:r>
        <w:rPr>
          <w:w w:val="95"/>
          <w:sz w:val="21"/>
        </w:rPr>
        <w:t>the</w:t>
      </w:r>
      <w:r>
        <w:rPr>
          <w:spacing w:val="-15"/>
          <w:w w:val="95"/>
          <w:sz w:val="21"/>
        </w:rPr>
        <w:t xml:space="preserve"> </w:t>
      </w:r>
      <w:r>
        <w:rPr>
          <w:w w:val="95"/>
          <w:sz w:val="21"/>
        </w:rPr>
        <w:t>Responsible</w:t>
      </w:r>
      <w:r>
        <w:rPr>
          <w:spacing w:val="-1"/>
          <w:w w:val="95"/>
          <w:sz w:val="21"/>
        </w:rPr>
        <w:t xml:space="preserve"> </w:t>
      </w:r>
      <w:r>
        <w:rPr>
          <w:w w:val="95"/>
          <w:sz w:val="21"/>
        </w:rPr>
        <w:t>Entities'</w:t>
      </w:r>
      <w:r>
        <w:rPr>
          <w:spacing w:val="-2"/>
          <w:w w:val="95"/>
          <w:sz w:val="21"/>
        </w:rPr>
        <w:t xml:space="preserve"> </w:t>
      </w:r>
      <w:r>
        <w:rPr>
          <w:w w:val="95"/>
          <w:sz w:val="21"/>
        </w:rPr>
        <w:t>Declaration</w:t>
      </w:r>
    </w:p>
    <w:p w14:paraId="3A3A0C19" w14:textId="77777777" w:rsidR="00FA4AA8" w:rsidRDefault="0015611F">
      <w:pPr>
        <w:spacing w:before="172"/>
        <w:ind w:left="664"/>
        <w:rPr>
          <w:sz w:val="21"/>
        </w:rPr>
      </w:pPr>
      <w:r>
        <w:rPr>
          <w:sz w:val="21"/>
        </w:rPr>
        <w:t>In my opinion, the financial statements:</w:t>
      </w:r>
    </w:p>
    <w:p w14:paraId="5FEEE123" w14:textId="77777777" w:rsidR="00FA4AA8" w:rsidRDefault="0015611F">
      <w:pPr>
        <w:pStyle w:val="ListParagraph"/>
        <w:numPr>
          <w:ilvl w:val="1"/>
          <w:numId w:val="62"/>
        </w:numPr>
        <w:tabs>
          <w:tab w:val="left" w:pos="1233"/>
          <w:tab w:val="left" w:pos="1234"/>
        </w:tabs>
        <w:spacing w:before="171"/>
        <w:ind w:left="1233"/>
        <w:rPr>
          <w:sz w:val="21"/>
        </w:rPr>
      </w:pPr>
      <w:r>
        <w:rPr>
          <w:sz w:val="21"/>
        </w:rPr>
        <w:t xml:space="preserve">are in accordance with the </w:t>
      </w:r>
      <w:r>
        <w:rPr>
          <w:i/>
          <w:sz w:val="21"/>
        </w:rPr>
        <w:t>Corporations Act 2001,</w:t>
      </w:r>
      <w:r>
        <w:rPr>
          <w:i/>
          <w:spacing w:val="-25"/>
          <w:sz w:val="21"/>
        </w:rPr>
        <w:t xml:space="preserve"> </w:t>
      </w:r>
      <w:r>
        <w:rPr>
          <w:sz w:val="21"/>
        </w:rPr>
        <w:t>including:</w:t>
      </w:r>
    </w:p>
    <w:p w14:paraId="6A3FF58C" w14:textId="77777777" w:rsidR="00FA4AA8" w:rsidRDefault="0015611F">
      <w:pPr>
        <w:tabs>
          <w:tab w:val="left" w:pos="1795"/>
        </w:tabs>
        <w:spacing w:before="61"/>
        <w:ind w:left="1795" w:right="979" w:hanging="550"/>
        <w:rPr>
          <w:sz w:val="21"/>
        </w:rPr>
      </w:pPr>
      <w:r>
        <w:rPr>
          <w:w w:val="75"/>
          <w:sz w:val="21"/>
        </w:rPr>
        <w:t>—</w:t>
      </w:r>
      <w:r>
        <w:rPr>
          <w:w w:val="75"/>
          <w:sz w:val="21"/>
        </w:rPr>
        <w:tab/>
      </w:r>
      <w:r>
        <w:rPr>
          <w:sz w:val="21"/>
        </w:rPr>
        <w:t>giving</w:t>
      </w:r>
      <w:r>
        <w:rPr>
          <w:spacing w:val="-31"/>
          <w:sz w:val="21"/>
        </w:rPr>
        <w:t xml:space="preserve"> </w:t>
      </w:r>
      <w:r>
        <w:rPr>
          <w:sz w:val="21"/>
        </w:rPr>
        <w:t>a</w:t>
      </w:r>
      <w:r>
        <w:rPr>
          <w:spacing w:val="-35"/>
          <w:sz w:val="21"/>
        </w:rPr>
        <w:t xml:space="preserve"> </w:t>
      </w:r>
      <w:r>
        <w:rPr>
          <w:sz w:val="21"/>
        </w:rPr>
        <w:t>true</w:t>
      </w:r>
      <w:r>
        <w:rPr>
          <w:spacing w:val="-31"/>
          <w:sz w:val="21"/>
        </w:rPr>
        <w:t xml:space="preserve"> </w:t>
      </w:r>
      <w:r>
        <w:rPr>
          <w:sz w:val="21"/>
        </w:rPr>
        <w:t>and</w:t>
      </w:r>
      <w:r>
        <w:rPr>
          <w:spacing w:val="-31"/>
          <w:sz w:val="21"/>
        </w:rPr>
        <w:t xml:space="preserve"> </w:t>
      </w:r>
      <w:r>
        <w:rPr>
          <w:sz w:val="21"/>
        </w:rPr>
        <w:t>fair</w:t>
      </w:r>
      <w:r>
        <w:rPr>
          <w:spacing w:val="-31"/>
          <w:sz w:val="21"/>
        </w:rPr>
        <w:t xml:space="preserve"> </w:t>
      </w:r>
      <w:r>
        <w:rPr>
          <w:sz w:val="21"/>
        </w:rPr>
        <w:t>view</w:t>
      </w:r>
      <w:r>
        <w:rPr>
          <w:spacing w:val="-30"/>
          <w:sz w:val="21"/>
        </w:rPr>
        <w:t xml:space="preserve"> </w:t>
      </w:r>
      <w:r>
        <w:rPr>
          <w:sz w:val="21"/>
        </w:rPr>
        <w:t>of</w:t>
      </w:r>
      <w:r>
        <w:rPr>
          <w:spacing w:val="-30"/>
          <w:sz w:val="21"/>
        </w:rPr>
        <w:t xml:space="preserve"> </w:t>
      </w:r>
      <w:r>
        <w:rPr>
          <w:sz w:val="21"/>
        </w:rPr>
        <w:t>the</w:t>
      </w:r>
      <w:r>
        <w:rPr>
          <w:spacing w:val="-33"/>
          <w:sz w:val="21"/>
        </w:rPr>
        <w:t xml:space="preserve"> </w:t>
      </w:r>
      <w:r>
        <w:rPr>
          <w:sz w:val="21"/>
        </w:rPr>
        <w:t>Company's</w:t>
      </w:r>
      <w:r>
        <w:rPr>
          <w:spacing w:val="-24"/>
          <w:sz w:val="21"/>
        </w:rPr>
        <w:t xml:space="preserve"> </w:t>
      </w:r>
      <w:r>
        <w:rPr>
          <w:sz w:val="21"/>
        </w:rPr>
        <w:t>financial</w:t>
      </w:r>
      <w:r>
        <w:rPr>
          <w:spacing w:val="-30"/>
          <w:sz w:val="21"/>
        </w:rPr>
        <w:t xml:space="preserve"> </w:t>
      </w:r>
      <w:r>
        <w:rPr>
          <w:sz w:val="21"/>
        </w:rPr>
        <w:t>position</w:t>
      </w:r>
      <w:r>
        <w:rPr>
          <w:spacing w:val="-28"/>
          <w:sz w:val="21"/>
        </w:rPr>
        <w:t xml:space="preserve"> </w:t>
      </w:r>
      <w:r>
        <w:rPr>
          <w:sz w:val="21"/>
        </w:rPr>
        <w:t>as</w:t>
      </w:r>
      <w:r>
        <w:rPr>
          <w:spacing w:val="-31"/>
          <w:sz w:val="21"/>
        </w:rPr>
        <w:t xml:space="preserve"> </w:t>
      </w:r>
      <w:r>
        <w:rPr>
          <w:sz w:val="21"/>
        </w:rPr>
        <w:t>at</w:t>
      </w:r>
      <w:r>
        <w:rPr>
          <w:spacing w:val="-35"/>
          <w:sz w:val="21"/>
        </w:rPr>
        <w:t xml:space="preserve"> </w:t>
      </w:r>
      <w:r>
        <w:rPr>
          <w:sz w:val="21"/>
        </w:rPr>
        <w:t>31</w:t>
      </w:r>
      <w:r>
        <w:rPr>
          <w:spacing w:val="-33"/>
          <w:sz w:val="21"/>
        </w:rPr>
        <w:t xml:space="preserve"> </w:t>
      </w:r>
      <w:r>
        <w:rPr>
          <w:sz w:val="21"/>
        </w:rPr>
        <w:t>December</w:t>
      </w:r>
      <w:r>
        <w:rPr>
          <w:spacing w:val="-24"/>
          <w:sz w:val="21"/>
        </w:rPr>
        <w:t xml:space="preserve"> </w:t>
      </w:r>
      <w:r>
        <w:rPr>
          <w:sz w:val="21"/>
        </w:rPr>
        <w:t>2018 and its performance for the year ended on that date</w:t>
      </w:r>
    </w:p>
    <w:p w14:paraId="32BBE309" w14:textId="77777777" w:rsidR="00FA4AA8" w:rsidRDefault="0015611F">
      <w:pPr>
        <w:spacing w:before="59"/>
        <w:ind w:left="1794"/>
        <w:rPr>
          <w:sz w:val="21"/>
        </w:rPr>
      </w:pPr>
      <w:r>
        <w:rPr>
          <w:sz w:val="21"/>
        </w:rPr>
        <w:t>complying with A</w:t>
      </w:r>
      <w:r w:rsidR="00A74DE7">
        <w:rPr>
          <w:sz w:val="21"/>
        </w:rPr>
        <w:t>ustralian</w:t>
      </w:r>
      <w:r>
        <w:rPr>
          <w:sz w:val="21"/>
        </w:rPr>
        <w:t xml:space="preserve"> Accounting Standards and the Corporations Regulations 2001</w:t>
      </w:r>
    </w:p>
    <w:p w14:paraId="6D01AEAD" w14:textId="77777777" w:rsidR="00FA4AA8" w:rsidRDefault="0015611F">
      <w:pPr>
        <w:pStyle w:val="ListParagraph"/>
        <w:numPr>
          <w:ilvl w:val="1"/>
          <w:numId w:val="62"/>
        </w:numPr>
        <w:tabs>
          <w:tab w:val="left" w:pos="1233"/>
          <w:tab w:val="left" w:pos="1234"/>
        </w:tabs>
        <w:spacing w:before="67" w:line="232" w:lineRule="auto"/>
        <w:ind w:right="993" w:hanging="560"/>
        <w:rPr>
          <w:color w:val="0C0C0C"/>
          <w:sz w:val="21"/>
        </w:rPr>
      </w:pPr>
      <w:r>
        <w:rPr>
          <w:sz w:val="21"/>
        </w:rPr>
        <w:t>are</w:t>
      </w:r>
      <w:r>
        <w:rPr>
          <w:spacing w:val="-33"/>
          <w:sz w:val="21"/>
        </w:rPr>
        <w:t xml:space="preserve"> </w:t>
      </w:r>
      <w:r>
        <w:rPr>
          <w:sz w:val="21"/>
        </w:rPr>
        <w:t>in</w:t>
      </w:r>
      <w:r>
        <w:rPr>
          <w:spacing w:val="-32"/>
          <w:sz w:val="21"/>
        </w:rPr>
        <w:t xml:space="preserve"> </w:t>
      </w:r>
      <w:r>
        <w:rPr>
          <w:sz w:val="21"/>
        </w:rPr>
        <w:t>accordance</w:t>
      </w:r>
      <w:r>
        <w:rPr>
          <w:spacing w:val="-30"/>
          <w:sz w:val="21"/>
        </w:rPr>
        <w:t xml:space="preserve"> </w:t>
      </w:r>
      <w:r>
        <w:rPr>
          <w:sz w:val="21"/>
        </w:rPr>
        <w:t>with</w:t>
      </w:r>
      <w:r>
        <w:rPr>
          <w:spacing w:val="-33"/>
          <w:sz w:val="21"/>
        </w:rPr>
        <w:t xml:space="preserve"> </w:t>
      </w:r>
      <w:r>
        <w:rPr>
          <w:sz w:val="21"/>
        </w:rPr>
        <w:t>section</w:t>
      </w:r>
      <w:r>
        <w:rPr>
          <w:spacing w:val="-31"/>
          <w:sz w:val="21"/>
        </w:rPr>
        <w:t xml:space="preserve"> </w:t>
      </w:r>
      <w:r>
        <w:rPr>
          <w:sz w:val="21"/>
        </w:rPr>
        <w:t>41B</w:t>
      </w:r>
      <w:r>
        <w:rPr>
          <w:spacing w:val="-29"/>
          <w:sz w:val="21"/>
        </w:rPr>
        <w:t xml:space="preserve"> </w:t>
      </w:r>
      <w:r>
        <w:rPr>
          <w:sz w:val="21"/>
        </w:rPr>
        <w:t>of</w:t>
      </w:r>
      <w:r>
        <w:rPr>
          <w:spacing w:val="-33"/>
          <w:sz w:val="21"/>
        </w:rPr>
        <w:t xml:space="preserve"> </w:t>
      </w:r>
      <w:r>
        <w:rPr>
          <w:sz w:val="21"/>
        </w:rPr>
        <w:t>the</w:t>
      </w:r>
      <w:r>
        <w:rPr>
          <w:spacing w:val="-30"/>
          <w:sz w:val="21"/>
        </w:rPr>
        <w:t xml:space="preserve"> </w:t>
      </w:r>
      <w:r>
        <w:rPr>
          <w:i/>
          <w:sz w:val="21"/>
        </w:rPr>
        <w:t>Public</w:t>
      </w:r>
      <w:r>
        <w:rPr>
          <w:i/>
          <w:spacing w:val="-28"/>
          <w:sz w:val="21"/>
        </w:rPr>
        <w:t xml:space="preserve"> </w:t>
      </w:r>
      <w:r>
        <w:rPr>
          <w:i/>
          <w:sz w:val="21"/>
        </w:rPr>
        <w:t>Finance</w:t>
      </w:r>
      <w:r>
        <w:rPr>
          <w:i/>
          <w:spacing w:val="-29"/>
          <w:sz w:val="21"/>
        </w:rPr>
        <w:t xml:space="preserve"> </w:t>
      </w:r>
      <w:r>
        <w:rPr>
          <w:i/>
          <w:sz w:val="21"/>
        </w:rPr>
        <w:t>and</w:t>
      </w:r>
      <w:r>
        <w:rPr>
          <w:i/>
          <w:spacing w:val="-29"/>
          <w:sz w:val="21"/>
        </w:rPr>
        <w:t xml:space="preserve"> </w:t>
      </w:r>
      <w:r>
        <w:rPr>
          <w:i/>
          <w:sz w:val="21"/>
        </w:rPr>
        <w:t>Audit</w:t>
      </w:r>
      <w:r>
        <w:rPr>
          <w:i/>
          <w:spacing w:val="-29"/>
          <w:sz w:val="21"/>
        </w:rPr>
        <w:t xml:space="preserve"> </w:t>
      </w:r>
      <w:r>
        <w:rPr>
          <w:i/>
          <w:sz w:val="21"/>
        </w:rPr>
        <w:t>Act</w:t>
      </w:r>
      <w:r>
        <w:rPr>
          <w:i/>
          <w:spacing w:val="-29"/>
          <w:sz w:val="21"/>
        </w:rPr>
        <w:t xml:space="preserve"> </w:t>
      </w:r>
      <w:r>
        <w:rPr>
          <w:sz w:val="21"/>
        </w:rPr>
        <w:t>1983</w:t>
      </w:r>
      <w:r>
        <w:rPr>
          <w:spacing w:val="-35"/>
          <w:sz w:val="21"/>
        </w:rPr>
        <w:t xml:space="preserve"> </w:t>
      </w:r>
      <w:r>
        <w:rPr>
          <w:sz w:val="21"/>
        </w:rPr>
        <w:t>(PF&amp;A</w:t>
      </w:r>
      <w:r>
        <w:rPr>
          <w:spacing w:val="-30"/>
          <w:sz w:val="21"/>
        </w:rPr>
        <w:t xml:space="preserve"> </w:t>
      </w:r>
      <w:r>
        <w:rPr>
          <w:sz w:val="21"/>
        </w:rPr>
        <w:t>Act)</w:t>
      </w:r>
      <w:r>
        <w:rPr>
          <w:spacing w:val="-35"/>
          <w:sz w:val="21"/>
        </w:rPr>
        <w:t xml:space="preserve"> </w:t>
      </w:r>
      <w:r>
        <w:rPr>
          <w:sz w:val="21"/>
        </w:rPr>
        <w:t>and the Public Finance and Audit Regulation</w:t>
      </w:r>
      <w:r>
        <w:rPr>
          <w:spacing w:val="16"/>
          <w:sz w:val="21"/>
        </w:rPr>
        <w:t xml:space="preserve"> </w:t>
      </w:r>
      <w:r>
        <w:rPr>
          <w:sz w:val="21"/>
        </w:rPr>
        <w:t>2015</w:t>
      </w:r>
    </w:p>
    <w:p w14:paraId="74971DF4" w14:textId="77777777" w:rsidR="00FA4AA8" w:rsidRDefault="0015611F">
      <w:pPr>
        <w:pStyle w:val="Heading9"/>
        <w:numPr>
          <w:ilvl w:val="1"/>
          <w:numId w:val="62"/>
        </w:numPr>
        <w:tabs>
          <w:tab w:val="left" w:pos="1231"/>
          <w:tab w:val="left" w:pos="1232"/>
        </w:tabs>
        <w:spacing w:before="64"/>
        <w:ind w:left="1229" w:right="1799" w:hanging="562"/>
      </w:pPr>
      <w:r>
        <w:t>have</w:t>
      </w:r>
      <w:r>
        <w:rPr>
          <w:spacing w:val="-29"/>
        </w:rPr>
        <w:t xml:space="preserve"> </w:t>
      </w:r>
      <w:r>
        <w:t>been</w:t>
      </w:r>
      <w:r>
        <w:rPr>
          <w:spacing w:val="-29"/>
        </w:rPr>
        <w:t xml:space="preserve"> </w:t>
      </w:r>
      <w:r>
        <w:t>prepared</w:t>
      </w:r>
      <w:r>
        <w:rPr>
          <w:spacing w:val="-28"/>
        </w:rPr>
        <w:t xml:space="preserve"> </w:t>
      </w:r>
      <w:r>
        <w:t>in</w:t>
      </w:r>
      <w:r>
        <w:rPr>
          <w:spacing w:val="-36"/>
        </w:rPr>
        <w:t xml:space="preserve"> </w:t>
      </w:r>
      <w:r>
        <w:t>accordance</w:t>
      </w:r>
      <w:r>
        <w:rPr>
          <w:spacing w:val="-28"/>
        </w:rPr>
        <w:t xml:space="preserve"> </w:t>
      </w:r>
      <w:r>
        <w:t>with</w:t>
      </w:r>
      <w:r>
        <w:rPr>
          <w:spacing w:val="-30"/>
        </w:rPr>
        <w:t xml:space="preserve"> </w:t>
      </w:r>
      <w:r>
        <w:t>Division</w:t>
      </w:r>
      <w:r>
        <w:rPr>
          <w:spacing w:val="-26"/>
        </w:rPr>
        <w:t xml:space="preserve"> </w:t>
      </w:r>
      <w:r>
        <w:t>60</w:t>
      </w:r>
      <w:r>
        <w:rPr>
          <w:spacing w:val="-34"/>
        </w:rPr>
        <w:t xml:space="preserve"> </w:t>
      </w:r>
      <w:r>
        <w:t>of</w:t>
      </w:r>
      <w:r>
        <w:rPr>
          <w:spacing w:val="-31"/>
        </w:rPr>
        <w:t xml:space="preserve"> </w:t>
      </w:r>
      <w:r>
        <w:t>the</w:t>
      </w:r>
      <w:r>
        <w:rPr>
          <w:spacing w:val="-31"/>
        </w:rPr>
        <w:t xml:space="preserve"> </w:t>
      </w:r>
      <w:r>
        <w:t>Australian</w:t>
      </w:r>
      <w:r>
        <w:rPr>
          <w:spacing w:val="-28"/>
        </w:rPr>
        <w:t xml:space="preserve"> </w:t>
      </w:r>
      <w:r>
        <w:t>Charities</w:t>
      </w:r>
      <w:r>
        <w:rPr>
          <w:spacing w:val="-26"/>
        </w:rPr>
        <w:t xml:space="preserve"> </w:t>
      </w:r>
      <w:r>
        <w:t xml:space="preserve">and </w:t>
      </w:r>
      <w:r>
        <w:rPr>
          <w:i/>
          <w:w w:val="95"/>
        </w:rPr>
        <w:t>Not-for-profits</w:t>
      </w:r>
      <w:r>
        <w:rPr>
          <w:i/>
          <w:spacing w:val="-14"/>
          <w:w w:val="95"/>
        </w:rPr>
        <w:t xml:space="preserve"> </w:t>
      </w:r>
      <w:r>
        <w:rPr>
          <w:i/>
          <w:w w:val="95"/>
        </w:rPr>
        <w:t>Commission</w:t>
      </w:r>
      <w:r>
        <w:rPr>
          <w:i/>
          <w:spacing w:val="13"/>
          <w:w w:val="95"/>
        </w:rPr>
        <w:t xml:space="preserve"> </w:t>
      </w:r>
      <w:r>
        <w:rPr>
          <w:i/>
          <w:w w:val="95"/>
        </w:rPr>
        <w:t>Act</w:t>
      </w:r>
      <w:r>
        <w:rPr>
          <w:i/>
          <w:spacing w:val="-13"/>
          <w:w w:val="95"/>
        </w:rPr>
        <w:t xml:space="preserve"> </w:t>
      </w:r>
      <w:r>
        <w:rPr>
          <w:i/>
          <w:w w:val="95"/>
        </w:rPr>
        <w:t>2012</w:t>
      </w:r>
      <w:r>
        <w:rPr>
          <w:i/>
          <w:spacing w:val="-5"/>
          <w:w w:val="95"/>
        </w:rPr>
        <w:t xml:space="preserve"> </w:t>
      </w:r>
      <w:r>
        <w:rPr>
          <w:w w:val="95"/>
        </w:rPr>
        <w:t>and</w:t>
      </w:r>
      <w:r>
        <w:rPr>
          <w:spacing w:val="-3"/>
          <w:w w:val="95"/>
        </w:rPr>
        <w:t xml:space="preserve"> </w:t>
      </w:r>
      <w:r>
        <w:rPr>
          <w:w w:val="95"/>
        </w:rPr>
        <w:t>Division</w:t>
      </w:r>
      <w:r>
        <w:rPr>
          <w:spacing w:val="-6"/>
          <w:w w:val="95"/>
        </w:rPr>
        <w:t xml:space="preserve"> </w:t>
      </w:r>
      <w:r>
        <w:rPr>
          <w:w w:val="95"/>
        </w:rPr>
        <w:t>60</w:t>
      </w:r>
      <w:r>
        <w:rPr>
          <w:spacing w:val="-12"/>
          <w:w w:val="95"/>
        </w:rPr>
        <w:t xml:space="preserve"> </w:t>
      </w:r>
      <w:r>
        <w:rPr>
          <w:w w:val="95"/>
        </w:rPr>
        <w:t>of</w:t>
      </w:r>
      <w:r>
        <w:rPr>
          <w:spacing w:val="-8"/>
          <w:w w:val="95"/>
        </w:rPr>
        <w:t xml:space="preserve"> </w:t>
      </w:r>
      <w:r>
        <w:rPr>
          <w:w w:val="95"/>
        </w:rPr>
        <w:t>the</w:t>
      </w:r>
      <w:r>
        <w:rPr>
          <w:spacing w:val="-11"/>
          <w:w w:val="95"/>
        </w:rPr>
        <w:t xml:space="preserve"> </w:t>
      </w:r>
      <w:r>
        <w:rPr>
          <w:w w:val="95"/>
        </w:rPr>
        <w:t>Australian</w:t>
      </w:r>
      <w:r>
        <w:rPr>
          <w:spacing w:val="1"/>
          <w:w w:val="95"/>
        </w:rPr>
        <w:t xml:space="preserve"> </w:t>
      </w:r>
      <w:r>
        <w:rPr>
          <w:w w:val="95"/>
        </w:rPr>
        <w:t>Charities</w:t>
      </w:r>
      <w:r>
        <w:rPr>
          <w:spacing w:val="-2"/>
          <w:w w:val="95"/>
        </w:rPr>
        <w:t xml:space="preserve"> </w:t>
      </w:r>
      <w:r>
        <w:rPr>
          <w:w w:val="95"/>
        </w:rPr>
        <w:t xml:space="preserve">and </w:t>
      </w:r>
      <w:r>
        <w:t>Not-for-profits Commission Regulation</w:t>
      </w:r>
      <w:r>
        <w:rPr>
          <w:spacing w:val="13"/>
        </w:rPr>
        <w:t xml:space="preserve"> </w:t>
      </w:r>
      <w:r>
        <w:t>2013.</w:t>
      </w:r>
    </w:p>
    <w:p w14:paraId="64650443" w14:textId="77777777" w:rsidR="00FA4AA8" w:rsidRDefault="0015611F">
      <w:pPr>
        <w:spacing w:before="192"/>
        <w:ind w:left="668"/>
        <w:rPr>
          <w:sz w:val="21"/>
        </w:rPr>
      </w:pPr>
      <w:r>
        <w:rPr>
          <w:sz w:val="21"/>
        </w:rPr>
        <w:t>My opinion should be read in conjunction with the rest of this report.</w:t>
      </w:r>
    </w:p>
    <w:p w14:paraId="12616A77" w14:textId="77777777" w:rsidR="00FA4AA8" w:rsidRDefault="0015611F">
      <w:pPr>
        <w:spacing w:before="177"/>
        <w:ind w:left="667"/>
        <w:rPr>
          <w:b/>
          <w:sz w:val="23"/>
        </w:rPr>
      </w:pPr>
      <w:r>
        <w:rPr>
          <w:b/>
          <w:sz w:val="23"/>
        </w:rPr>
        <w:t>Basis for Opinion</w:t>
      </w:r>
    </w:p>
    <w:p w14:paraId="3E3E0ED4" w14:textId="77777777" w:rsidR="00FA4AA8" w:rsidRDefault="0015611F">
      <w:pPr>
        <w:spacing w:before="119"/>
        <w:ind w:left="672" w:right="811" w:hanging="9"/>
        <w:rPr>
          <w:sz w:val="21"/>
        </w:rPr>
      </w:pPr>
      <w:r>
        <w:rPr>
          <w:w w:val="95"/>
          <w:sz w:val="21"/>
        </w:rPr>
        <w:t>I</w:t>
      </w:r>
      <w:r>
        <w:rPr>
          <w:spacing w:val="-18"/>
          <w:w w:val="95"/>
          <w:sz w:val="21"/>
        </w:rPr>
        <w:t xml:space="preserve"> </w:t>
      </w:r>
      <w:r>
        <w:rPr>
          <w:w w:val="95"/>
          <w:sz w:val="21"/>
        </w:rPr>
        <w:t>conducted</w:t>
      </w:r>
      <w:r>
        <w:rPr>
          <w:spacing w:val="4"/>
          <w:w w:val="95"/>
          <w:sz w:val="21"/>
        </w:rPr>
        <w:t xml:space="preserve"> </w:t>
      </w:r>
      <w:r>
        <w:rPr>
          <w:w w:val="95"/>
          <w:sz w:val="21"/>
        </w:rPr>
        <w:t>my</w:t>
      </w:r>
      <w:r>
        <w:rPr>
          <w:spacing w:val="-5"/>
          <w:w w:val="95"/>
          <w:sz w:val="21"/>
        </w:rPr>
        <w:t xml:space="preserve"> </w:t>
      </w:r>
      <w:r>
        <w:rPr>
          <w:w w:val="95"/>
          <w:sz w:val="21"/>
        </w:rPr>
        <w:t>audit</w:t>
      </w:r>
      <w:r>
        <w:rPr>
          <w:spacing w:val="-9"/>
          <w:w w:val="95"/>
          <w:sz w:val="21"/>
        </w:rPr>
        <w:t xml:space="preserve"> </w:t>
      </w:r>
      <w:r>
        <w:rPr>
          <w:w w:val="95"/>
          <w:sz w:val="21"/>
        </w:rPr>
        <w:t>in</w:t>
      </w:r>
      <w:r>
        <w:rPr>
          <w:spacing w:val="-7"/>
          <w:w w:val="95"/>
          <w:sz w:val="21"/>
        </w:rPr>
        <w:t xml:space="preserve"> </w:t>
      </w:r>
      <w:r>
        <w:rPr>
          <w:w w:val="95"/>
          <w:sz w:val="21"/>
        </w:rPr>
        <w:t>accordance</w:t>
      </w:r>
      <w:r>
        <w:rPr>
          <w:spacing w:val="1"/>
          <w:w w:val="95"/>
          <w:sz w:val="21"/>
        </w:rPr>
        <w:t xml:space="preserve"> </w:t>
      </w:r>
      <w:r>
        <w:rPr>
          <w:w w:val="95"/>
          <w:sz w:val="21"/>
        </w:rPr>
        <w:t>with</w:t>
      </w:r>
      <w:r>
        <w:rPr>
          <w:spacing w:val="-14"/>
          <w:w w:val="95"/>
          <w:sz w:val="21"/>
        </w:rPr>
        <w:t xml:space="preserve"> </w:t>
      </w:r>
      <w:r>
        <w:rPr>
          <w:w w:val="95"/>
          <w:sz w:val="21"/>
        </w:rPr>
        <w:t>Australian</w:t>
      </w:r>
      <w:r>
        <w:rPr>
          <w:spacing w:val="-1"/>
          <w:w w:val="95"/>
          <w:sz w:val="21"/>
        </w:rPr>
        <w:t xml:space="preserve"> </w:t>
      </w:r>
      <w:r>
        <w:rPr>
          <w:w w:val="95"/>
          <w:sz w:val="21"/>
        </w:rPr>
        <w:t>Auditing</w:t>
      </w:r>
      <w:r>
        <w:rPr>
          <w:spacing w:val="-3"/>
          <w:w w:val="95"/>
          <w:sz w:val="21"/>
        </w:rPr>
        <w:t xml:space="preserve"> </w:t>
      </w:r>
      <w:r>
        <w:rPr>
          <w:w w:val="95"/>
          <w:sz w:val="21"/>
        </w:rPr>
        <w:t>Standards.</w:t>
      </w:r>
      <w:r>
        <w:rPr>
          <w:spacing w:val="10"/>
          <w:w w:val="95"/>
          <w:sz w:val="21"/>
        </w:rPr>
        <w:t xml:space="preserve"> </w:t>
      </w:r>
      <w:r>
        <w:rPr>
          <w:w w:val="95"/>
          <w:sz w:val="21"/>
        </w:rPr>
        <w:t>My</w:t>
      </w:r>
      <w:r>
        <w:rPr>
          <w:spacing w:val="-10"/>
          <w:w w:val="95"/>
          <w:sz w:val="21"/>
        </w:rPr>
        <w:t xml:space="preserve"> </w:t>
      </w:r>
      <w:r>
        <w:rPr>
          <w:w w:val="95"/>
          <w:sz w:val="21"/>
        </w:rPr>
        <w:t>responsibilities</w:t>
      </w:r>
      <w:r>
        <w:rPr>
          <w:spacing w:val="-22"/>
          <w:w w:val="95"/>
          <w:sz w:val="21"/>
        </w:rPr>
        <w:t xml:space="preserve"> </w:t>
      </w:r>
      <w:r>
        <w:rPr>
          <w:w w:val="95"/>
          <w:sz w:val="21"/>
        </w:rPr>
        <w:t>under</w:t>
      </w:r>
      <w:r>
        <w:rPr>
          <w:spacing w:val="-4"/>
          <w:w w:val="95"/>
          <w:sz w:val="21"/>
        </w:rPr>
        <w:t xml:space="preserve"> </w:t>
      </w:r>
      <w:r>
        <w:rPr>
          <w:w w:val="95"/>
          <w:sz w:val="21"/>
        </w:rPr>
        <w:t xml:space="preserve">the </w:t>
      </w:r>
      <w:r>
        <w:rPr>
          <w:sz w:val="21"/>
        </w:rPr>
        <w:t>standards</w:t>
      </w:r>
      <w:r>
        <w:rPr>
          <w:spacing w:val="-29"/>
          <w:sz w:val="21"/>
        </w:rPr>
        <w:t xml:space="preserve"> </w:t>
      </w:r>
      <w:r>
        <w:rPr>
          <w:sz w:val="21"/>
        </w:rPr>
        <w:t>are</w:t>
      </w:r>
      <w:r>
        <w:rPr>
          <w:spacing w:val="-32"/>
          <w:sz w:val="21"/>
        </w:rPr>
        <w:t xml:space="preserve"> </w:t>
      </w:r>
      <w:r>
        <w:rPr>
          <w:sz w:val="21"/>
        </w:rPr>
        <w:t>described</w:t>
      </w:r>
      <w:r>
        <w:rPr>
          <w:spacing w:val="-32"/>
          <w:sz w:val="21"/>
        </w:rPr>
        <w:t xml:space="preserve"> </w:t>
      </w:r>
      <w:r>
        <w:rPr>
          <w:sz w:val="21"/>
        </w:rPr>
        <w:t>in</w:t>
      </w:r>
      <w:r>
        <w:rPr>
          <w:spacing w:val="-34"/>
          <w:sz w:val="21"/>
        </w:rPr>
        <w:t xml:space="preserve"> </w:t>
      </w:r>
      <w:r>
        <w:rPr>
          <w:sz w:val="21"/>
        </w:rPr>
        <w:t>the</w:t>
      </w:r>
      <w:r>
        <w:rPr>
          <w:spacing w:val="-33"/>
          <w:sz w:val="21"/>
        </w:rPr>
        <w:t xml:space="preserve"> </w:t>
      </w:r>
      <w:r>
        <w:rPr>
          <w:sz w:val="21"/>
        </w:rPr>
        <w:t>'Auditor’s</w:t>
      </w:r>
      <w:r>
        <w:rPr>
          <w:spacing w:val="-27"/>
          <w:sz w:val="21"/>
        </w:rPr>
        <w:t xml:space="preserve"> </w:t>
      </w:r>
      <w:r>
        <w:rPr>
          <w:sz w:val="21"/>
        </w:rPr>
        <w:t>Responsibilities</w:t>
      </w:r>
      <w:r>
        <w:rPr>
          <w:spacing w:val="-33"/>
          <w:sz w:val="21"/>
        </w:rPr>
        <w:t xml:space="preserve"> </w:t>
      </w:r>
      <w:r>
        <w:rPr>
          <w:sz w:val="21"/>
        </w:rPr>
        <w:t>for</w:t>
      </w:r>
      <w:r>
        <w:rPr>
          <w:spacing w:val="-29"/>
          <w:sz w:val="21"/>
        </w:rPr>
        <w:t xml:space="preserve"> </w:t>
      </w:r>
      <w:r>
        <w:rPr>
          <w:sz w:val="21"/>
        </w:rPr>
        <w:t>the</w:t>
      </w:r>
      <w:r>
        <w:rPr>
          <w:spacing w:val="-29"/>
          <w:sz w:val="21"/>
        </w:rPr>
        <w:t xml:space="preserve"> </w:t>
      </w:r>
      <w:r>
        <w:rPr>
          <w:sz w:val="21"/>
        </w:rPr>
        <w:t>Audit</w:t>
      </w:r>
      <w:r>
        <w:rPr>
          <w:spacing w:val="-34"/>
          <w:sz w:val="21"/>
        </w:rPr>
        <w:t xml:space="preserve"> </w:t>
      </w:r>
      <w:r>
        <w:rPr>
          <w:sz w:val="21"/>
        </w:rPr>
        <w:t>of</w:t>
      </w:r>
      <w:r>
        <w:rPr>
          <w:spacing w:val="-32"/>
          <w:sz w:val="21"/>
        </w:rPr>
        <w:t xml:space="preserve"> </w:t>
      </w:r>
      <w:r>
        <w:rPr>
          <w:sz w:val="21"/>
        </w:rPr>
        <w:t>the</w:t>
      </w:r>
      <w:r>
        <w:rPr>
          <w:spacing w:val="-30"/>
          <w:sz w:val="21"/>
        </w:rPr>
        <w:t xml:space="preserve"> </w:t>
      </w:r>
      <w:r>
        <w:rPr>
          <w:sz w:val="21"/>
        </w:rPr>
        <w:t>Financial</w:t>
      </w:r>
      <w:r>
        <w:rPr>
          <w:spacing w:val="-27"/>
          <w:sz w:val="21"/>
        </w:rPr>
        <w:t xml:space="preserve"> </w:t>
      </w:r>
      <w:r>
        <w:rPr>
          <w:sz w:val="21"/>
        </w:rPr>
        <w:t>Statements’ section of my</w:t>
      </w:r>
      <w:r>
        <w:rPr>
          <w:spacing w:val="14"/>
          <w:sz w:val="21"/>
        </w:rPr>
        <w:t xml:space="preserve"> </w:t>
      </w:r>
      <w:r>
        <w:rPr>
          <w:sz w:val="21"/>
        </w:rPr>
        <w:t>report.</w:t>
      </w:r>
    </w:p>
    <w:p w14:paraId="6DCBAC4F" w14:textId="77777777" w:rsidR="00FA4AA8" w:rsidRDefault="0015611F">
      <w:pPr>
        <w:spacing w:before="145"/>
        <w:ind w:left="662"/>
        <w:rPr>
          <w:sz w:val="23"/>
        </w:rPr>
      </w:pPr>
      <w:r>
        <w:rPr>
          <w:w w:val="95"/>
          <w:sz w:val="23"/>
        </w:rPr>
        <w:t>I am independent of the Company in accordance with the requirements of the:</w:t>
      </w:r>
    </w:p>
    <w:p w14:paraId="399E55F9" w14:textId="77777777" w:rsidR="00FA4AA8" w:rsidRDefault="0015611F">
      <w:pPr>
        <w:pStyle w:val="ListParagraph"/>
        <w:numPr>
          <w:ilvl w:val="1"/>
          <w:numId w:val="62"/>
        </w:numPr>
        <w:tabs>
          <w:tab w:val="left" w:pos="1231"/>
          <w:tab w:val="left" w:pos="1232"/>
        </w:tabs>
        <w:spacing w:before="162"/>
        <w:ind w:left="1231" w:hanging="564"/>
        <w:rPr>
          <w:sz w:val="21"/>
        </w:rPr>
      </w:pPr>
      <w:r>
        <w:rPr>
          <w:sz w:val="21"/>
        </w:rPr>
        <w:t>Australian Auditing</w:t>
      </w:r>
      <w:r>
        <w:rPr>
          <w:spacing w:val="24"/>
          <w:sz w:val="21"/>
        </w:rPr>
        <w:t xml:space="preserve"> </w:t>
      </w:r>
      <w:r>
        <w:rPr>
          <w:sz w:val="21"/>
        </w:rPr>
        <w:t>Standards</w:t>
      </w:r>
    </w:p>
    <w:p w14:paraId="0A55144B" w14:textId="77777777" w:rsidR="00FA4AA8" w:rsidRDefault="0015611F">
      <w:pPr>
        <w:pStyle w:val="ListParagraph"/>
        <w:numPr>
          <w:ilvl w:val="0"/>
          <w:numId w:val="61"/>
        </w:numPr>
        <w:tabs>
          <w:tab w:val="left" w:pos="1226"/>
          <w:tab w:val="left" w:pos="1227"/>
        </w:tabs>
        <w:spacing w:before="61"/>
        <w:rPr>
          <w:i/>
          <w:sz w:val="21"/>
        </w:rPr>
      </w:pPr>
      <w:r>
        <w:rPr>
          <w:i/>
          <w:sz w:val="21"/>
        </w:rPr>
        <w:t>Corporations Act</w:t>
      </w:r>
      <w:r>
        <w:rPr>
          <w:i/>
          <w:spacing w:val="-35"/>
          <w:sz w:val="21"/>
        </w:rPr>
        <w:t xml:space="preserve"> </w:t>
      </w:r>
      <w:r>
        <w:rPr>
          <w:i/>
          <w:sz w:val="21"/>
        </w:rPr>
        <w:t>2001</w:t>
      </w:r>
    </w:p>
    <w:p w14:paraId="7CF824C2" w14:textId="77777777" w:rsidR="00FA4AA8" w:rsidRDefault="0015611F">
      <w:pPr>
        <w:pStyle w:val="Heading9"/>
        <w:numPr>
          <w:ilvl w:val="0"/>
          <w:numId w:val="60"/>
        </w:numPr>
        <w:tabs>
          <w:tab w:val="left" w:pos="1231"/>
          <w:tab w:val="left" w:pos="1232"/>
        </w:tabs>
        <w:spacing w:before="61"/>
        <w:ind w:right="1612" w:hanging="562"/>
      </w:pPr>
      <w:r>
        <w:rPr>
          <w:w w:val="95"/>
        </w:rPr>
        <w:t xml:space="preserve">Accounting Professional and Ethical Standards Board's APES 110 ‘Code of Ethics for </w:t>
      </w:r>
      <w:r>
        <w:t>Professional Accountants' (APES</w:t>
      </w:r>
      <w:r>
        <w:rPr>
          <w:spacing w:val="31"/>
        </w:rPr>
        <w:t xml:space="preserve"> </w:t>
      </w:r>
      <w:r>
        <w:t>110).</w:t>
      </w:r>
    </w:p>
    <w:p w14:paraId="56A72A6D" w14:textId="77777777" w:rsidR="00FA4AA8" w:rsidRDefault="00A74DE7">
      <w:pPr>
        <w:spacing w:before="194"/>
        <w:ind w:left="664"/>
        <w:rPr>
          <w:sz w:val="21"/>
        </w:rPr>
      </w:pPr>
      <w:r>
        <w:rPr>
          <w:sz w:val="21"/>
        </w:rPr>
        <w:t>I have fulfilled m</w:t>
      </w:r>
      <w:r w:rsidR="0015611F">
        <w:rPr>
          <w:sz w:val="21"/>
        </w:rPr>
        <w:t>y other ethical responsibilities in accordance with APES 110.</w:t>
      </w:r>
    </w:p>
    <w:p w14:paraId="66136C7D" w14:textId="77777777" w:rsidR="00FA4AA8" w:rsidRDefault="00FA4AA8">
      <w:pPr>
        <w:pStyle w:val="BodyText"/>
        <w:rPr>
          <w:sz w:val="20"/>
        </w:rPr>
      </w:pPr>
    </w:p>
    <w:p w14:paraId="1235EFE6" w14:textId="77777777" w:rsidR="00FA4AA8" w:rsidRDefault="00FA4AA8">
      <w:pPr>
        <w:pStyle w:val="BodyText"/>
        <w:rPr>
          <w:sz w:val="20"/>
        </w:rPr>
      </w:pPr>
    </w:p>
    <w:p w14:paraId="3A410107" w14:textId="77777777" w:rsidR="00FA4AA8" w:rsidRDefault="00FA4AA8">
      <w:pPr>
        <w:pStyle w:val="BodyText"/>
        <w:rPr>
          <w:sz w:val="20"/>
        </w:rPr>
      </w:pPr>
    </w:p>
    <w:p w14:paraId="6AD14567" w14:textId="77777777" w:rsidR="00FA4AA8" w:rsidRDefault="00FA4AA8">
      <w:pPr>
        <w:pStyle w:val="BodyText"/>
        <w:rPr>
          <w:sz w:val="20"/>
        </w:rPr>
      </w:pPr>
    </w:p>
    <w:p w14:paraId="796074C7" w14:textId="77777777" w:rsidR="00FA4AA8" w:rsidRDefault="00FA4AA8">
      <w:pPr>
        <w:pStyle w:val="BodyText"/>
        <w:rPr>
          <w:sz w:val="20"/>
        </w:rPr>
      </w:pPr>
    </w:p>
    <w:p w14:paraId="046CF9F2" w14:textId="77777777" w:rsidR="00FA4AA8" w:rsidRDefault="00FA4AA8">
      <w:pPr>
        <w:pStyle w:val="BodyText"/>
        <w:rPr>
          <w:sz w:val="20"/>
        </w:rPr>
      </w:pPr>
    </w:p>
    <w:p w14:paraId="63BD71EF" w14:textId="77777777" w:rsidR="00FA4AA8" w:rsidRDefault="00FA4AA8">
      <w:pPr>
        <w:pStyle w:val="BodyText"/>
        <w:rPr>
          <w:sz w:val="20"/>
        </w:rPr>
      </w:pPr>
    </w:p>
    <w:p w14:paraId="75C8C06D" w14:textId="77777777" w:rsidR="00FA4AA8" w:rsidRDefault="007E2441">
      <w:pPr>
        <w:pStyle w:val="BodyText"/>
      </w:pPr>
      <w:r>
        <w:rPr>
          <w:noProof/>
          <w:lang w:val="en-AU" w:eastAsia="en-AU"/>
        </w:rPr>
        <mc:AlternateContent>
          <mc:Choice Requires="wps">
            <w:drawing>
              <wp:anchor distT="0" distB="0" distL="0" distR="0" simplePos="0" relativeHeight="487632896" behindDoc="1" locked="0" layoutInCell="1" allowOverlap="1" wp14:anchorId="5CB23D2D" wp14:editId="3CE1E095">
                <wp:simplePos x="0" y="0"/>
                <wp:positionH relativeFrom="page">
                  <wp:posOffset>487680</wp:posOffset>
                </wp:positionH>
                <wp:positionV relativeFrom="paragraph">
                  <wp:posOffset>162560</wp:posOffset>
                </wp:positionV>
                <wp:extent cx="6441440" cy="1270"/>
                <wp:effectExtent l="0" t="0" r="0" b="0"/>
                <wp:wrapTopAndBottom/>
                <wp:docPr id="1358" name="Freeform 1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41440" cy="1270"/>
                        </a:xfrm>
                        <a:custGeom>
                          <a:avLst/>
                          <a:gdLst>
                            <a:gd name="T0" fmla="+- 0 768 768"/>
                            <a:gd name="T1" fmla="*/ T0 w 10144"/>
                            <a:gd name="T2" fmla="+- 0 10911 768"/>
                            <a:gd name="T3" fmla="*/ T2 w 10144"/>
                          </a:gdLst>
                          <a:ahLst/>
                          <a:cxnLst>
                            <a:cxn ang="0">
                              <a:pos x="T1" y="0"/>
                            </a:cxn>
                            <a:cxn ang="0">
                              <a:pos x="T3" y="0"/>
                            </a:cxn>
                          </a:cxnLst>
                          <a:rect l="0" t="0" r="r" b="b"/>
                          <a:pathLst>
                            <a:path w="10144">
                              <a:moveTo>
                                <a:pt x="0" y="0"/>
                              </a:moveTo>
                              <a:lnTo>
                                <a:pt x="10143" y="0"/>
                              </a:lnTo>
                            </a:path>
                          </a:pathLst>
                        </a:custGeom>
                        <a:noFill/>
                        <a:ln w="121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3EDA6" id="Freeform 1124" o:spid="_x0000_s1026" style="position:absolute;margin-left:38.4pt;margin-top:12.8pt;width:507.2pt;height:.1pt;z-index:-15683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14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" path="m,l10143,e" filled="f" strokeweight=".33869mm">
                <v:path arrowok="t" o:connecttype="custom" o:connectlocs="0,0;6440805,0" o:connectangles="0,0"/>
                <w10:wrap type="topAndBottom" anchorx="page"/>
              </v:shape>
            </w:pict>
          </mc:Fallback>
        </mc:AlternateContent>
      </w:r>
    </w:p>
    <w:p w14:paraId="318B174D" w14:textId="77777777" w:rsidR="00FA4AA8" w:rsidRDefault="0015611F">
      <w:pPr>
        <w:spacing w:before="141"/>
        <w:ind w:left="128" w:right="133"/>
        <w:jc w:val="center"/>
        <w:rPr>
          <w:sz w:val="14"/>
        </w:rPr>
      </w:pPr>
      <w:r>
        <w:rPr>
          <w:sz w:val="14"/>
        </w:rPr>
        <w:t xml:space="preserve">Level 15, 1 Margaret </w:t>
      </w:r>
      <w:r w:rsidR="00A74DE7">
        <w:rPr>
          <w:sz w:val="14"/>
        </w:rPr>
        <w:t>Street</w:t>
      </w:r>
      <w:r>
        <w:rPr>
          <w:sz w:val="14"/>
        </w:rPr>
        <w:t xml:space="preserve">. Sydney NSW 2000 </w:t>
      </w:r>
      <w:r>
        <w:rPr>
          <w:color w:val="666666"/>
          <w:sz w:val="14"/>
        </w:rPr>
        <w:t xml:space="preserve">I </w:t>
      </w:r>
      <w:r>
        <w:rPr>
          <w:sz w:val="14"/>
        </w:rPr>
        <w:t xml:space="preserve">GPO </w:t>
      </w:r>
      <w:r w:rsidR="00A74DE7">
        <w:rPr>
          <w:sz w:val="14"/>
        </w:rPr>
        <w:t>Box</w:t>
      </w:r>
      <w:r>
        <w:rPr>
          <w:sz w:val="14"/>
        </w:rPr>
        <w:t xml:space="preserve"> 12, </w:t>
      </w:r>
      <w:r w:rsidR="00A74DE7">
        <w:rPr>
          <w:sz w:val="14"/>
        </w:rPr>
        <w:t>Sydney</w:t>
      </w:r>
      <w:r>
        <w:rPr>
          <w:sz w:val="14"/>
        </w:rPr>
        <w:t xml:space="preserve"> NSW 2001 I t 02 9275 7101 I f 02 9275 7179 I e mai</w:t>
      </w:r>
      <w:r w:rsidR="009C3740">
        <w:rPr>
          <w:sz w:val="14"/>
        </w:rPr>
        <w:t>l</w:t>
      </w:r>
      <w:r>
        <w:rPr>
          <w:sz w:val="14"/>
        </w:rPr>
        <w:t>@audit.nsw,gov.au I audit.nsw.gov.au</w:t>
      </w:r>
    </w:p>
    <w:p w14:paraId="4009A8A2" w14:textId="77777777" w:rsidR="00FA4AA8" w:rsidRDefault="00FA4AA8">
      <w:pPr>
        <w:jc w:val="center"/>
        <w:rPr>
          <w:sz w:val="14"/>
        </w:rPr>
        <w:sectPr w:rsidR="00FA4AA8">
          <w:headerReference w:type="default" r:id="rId96"/>
          <w:footerReference w:type="default" r:id="rId97"/>
          <w:pgSz w:w="11900" w:h="16840"/>
          <w:pgMar w:top="1060" w:right="860" w:bottom="720" w:left="660" w:header="0" w:footer="523" w:gutter="0"/>
          <w:pgNumType w:start="116"/>
          <w:cols w:space="720"/>
        </w:sectPr>
      </w:pPr>
    </w:p>
    <w:p w14:paraId="4D972984" w14:textId="77777777" w:rsidR="00FA4AA8" w:rsidRDefault="0015611F">
      <w:pPr>
        <w:spacing w:before="101" w:line="208" w:lineRule="auto"/>
        <w:ind w:left="651" w:right="1329" w:hanging="1"/>
        <w:rPr>
          <w:sz w:val="24"/>
        </w:rPr>
      </w:pPr>
      <w:r>
        <w:rPr>
          <w:w w:val="85"/>
          <w:sz w:val="24"/>
        </w:rPr>
        <w:t>Parliament</w:t>
      </w:r>
      <w:r>
        <w:rPr>
          <w:spacing w:val="-22"/>
          <w:w w:val="85"/>
          <w:sz w:val="24"/>
        </w:rPr>
        <w:t xml:space="preserve"> </w:t>
      </w:r>
      <w:r>
        <w:rPr>
          <w:w w:val="85"/>
          <w:sz w:val="24"/>
        </w:rPr>
        <w:t>promotes</w:t>
      </w:r>
      <w:r>
        <w:rPr>
          <w:spacing w:val="-23"/>
          <w:w w:val="85"/>
          <w:sz w:val="24"/>
        </w:rPr>
        <w:t xml:space="preserve"> </w:t>
      </w:r>
      <w:r>
        <w:rPr>
          <w:w w:val="85"/>
          <w:sz w:val="24"/>
        </w:rPr>
        <w:t>independence</w:t>
      </w:r>
      <w:r>
        <w:rPr>
          <w:spacing w:val="-13"/>
          <w:w w:val="85"/>
          <w:sz w:val="24"/>
        </w:rPr>
        <w:t xml:space="preserve"> </w:t>
      </w:r>
      <w:r>
        <w:rPr>
          <w:w w:val="85"/>
          <w:sz w:val="24"/>
        </w:rPr>
        <w:t>by</w:t>
      </w:r>
      <w:r>
        <w:rPr>
          <w:spacing w:val="-22"/>
          <w:w w:val="85"/>
          <w:sz w:val="24"/>
        </w:rPr>
        <w:t xml:space="preserve"> </w:t>
      </w:r>
      <w:r>
        <w:rPr>
          <w:w w:val="85"/>
          <w:sz w:val="24"/>
        </w:rPr>
        <w:t>ensuring</w:t>
      </w:r>
      <w:r>
        <w:rPr>
          <w:spacing w:val="-19"/>
          <w:w w:val="85"/>
          <w:sz w:val="24"/>
        </w:rPr>
        <w:t xml:space="preserve"> </w:t>
      </w:r>
      <w:r>
        <w:rPr>
          <w:w w:val="85"/>
          <w:sz w:val="24"/>
        </w:rPr>
        <w:t>the</w:t>
      </w:r>
      <w:r>
        <w:rPr>
          <w:spacing w:val="-26"/>
          <w:w w:val="85"/>
          <w:sz w:val="24"/>
        </w:rPr>
        <w:t xml:space="preserve"> </w:t>
      </w:r>
      <w:r>
        <w:rPr>
          <w:w w:val="85"/>
          <w:sz w:val="24"/>
        </w:rPr>
        <w:t>Auditor-General</w:t>
      </w:r>
      <w:r>
        <w:rPr>
          <w:spacing w:val="-27"/>
          <w:w w:val="85"/>
          <w:sz w:val="24"/>
        </w:rPr>
        <w:t xml:space="preserve"> </w:t>
      </w:r>
      <w:r>
        <w:rPr>
          <w:w w:val="85"/>
          <w:sz w:val="24"/>
        </w:rPr>
        <w:t>and</w:t>
      </w:r>
      <w:r>
        <w:rPr>
          <w:spacing w:val="-25"/>
          <w:w w:val="85"/>
          <w:sz w:val="24"/>
        </w:rPr>
        <w:t xml:space="preserve"> </w:t>
      </w:r>
      <w:r>
        <w:rPr>
          <w:w w:val="85"/>
          <w:sz w:val="24"/>
        </w:rPr>
        <w:t>the</w:t>
      </w:r>
      <w:r>
        <w:rPr>
          <w:spacing w:val="-27"/>
          <w:w w:val="85"/>
          <w:sz w:val="24"/>
        </w:rPr>
        <w:t xml:space="preserve"> </w:t>
      </w:r>
      <w:r>
        <w:rPr>
          <w:w w:val="85"/>
          <w:sz w:val="24"/>
        </w:rPr>
        <w:t>Audit</w:t>
      </w:r>
      <w:r>
        <w:rPr>
          <w:spacing w:val="-29"/>
          <w:w w:val="85"/>
          <w:sz w:val="24"/>
        </w:rPr>
        <w:t xml:space="preserve"> </w:t>
      </w:r>
      <w:r>
        <w:rPr>
          <w:w w:val="85"/>
          <w:sz w:val="24"/>
        </w:rPr>
        <w:t>Office</w:t>
      </w:r>
      <w:r>
        <w:rPr>
          <w:spacing w:val="-23"/>
          <w:w w:val="85"/>
          <w:sz w:val="24"/>
        </w:rPr>
        <w:t xml:space="preserve"> </w:t>
      </w:r>
      <w:r>
        <w:rPr>
          <w:w w:val="85"/>
          <w:sz w:val="24"/>
        </w:rPr>
        <w:t xml:space="preserve">of </w:t>
      </w:r>
      <w:r>
        <w:rPr>
          <w:w w:val="90"/>
          <w:sz w:val="24"/>
        </w:rPr>
        <w:t>New South Wales are not compromised in their roles</w:t>
      </w:r>
      <w:r>
        <w:rPr>
          <w:spacing w:val="-29"/>
          <w:w w:val="90"/>
          <w:sz w:val="24"/>
        </w:rPr>
        <w:t xml:space="preserve"> </w:t>
      </w:r>
      <w:r>
        <w:rPr>
          <w:w w:val="90"/>
          <w:sz w:val="24"/>
        </w:rPr>
        <w:t>by:</w:t>
      </w:r>
    </w:p>
    <w:p w14:paraId="3B207E8D" w14:textId="77777777" w:rsidR="00FA4AA8" w:rsidRDefault="0015611F">
      <w:pPr>
        <w:pStyle w:val="Heading9"/>
        <w:numPr>
          <w:ilvl w:val="0"/>
          <w:numId w:val="60"/>
        </w:numPr>
        <w:tabs>
          <w:tab w:val="left" w:pos="1217"/>
          <w:tab w:val="left" w:pos="1218"/>
        </w:tabs>
        <w:spacing w:before="167" w:line="242" w:lineRule="auto"/>
        <w:ind w:left="1217" w:right="2019"/>
      </w:pPr>
      <w:r>
        <w:rPr>
          <w:w w:val="95"/>
        </w:rPr>
        <w:t>providing</w:t>
      </w:r>
      <w:r>
        <w:rPr>
          <w:spacing w:val="4"/>
          <w:w w:val="95"/>
        </w:rPr>
        <w:t xml:space="preserve"> </w:t>
      </w:r>
      <w:r>
        <w:rPr>
          <w:w w:val="95"/>
        </w:rPr>
        <w:t>that</w:t>
      </w:r>
      <w:r>
        <w:rPr>
          <w:spacing w:val="-13"/>
          <w:w w:val="95"/>
        </w:rPr>
        <w:t xml:space="preserve"> </w:t>
      </w:r>
      <w:r>
        <w:rPr>
          <w:w w:val="95"/>
        </w:rPr>
        <w:t>only</w:t>
      </w:r>
      <w:r>
        <w:rPr>
          <w:spacing w:val="-5"/>
          <w:w w:val="95"/>
        </w:rPr>
        <w:t xml:space="preserve"> </w:t>
      </w:r>
      <w:r>
        <w:rPr>
          <w:w w:val="95"/>
        </w:rPr>
        <w:t>Parliament,</w:t>
      </w:r>
      <w:r>
        <w:rPr>
          <w:spacing w:val="-1"/>
          <w:w w:val="95"/>
        </w:rPr>
        <w:t xml:space="preserve"> </w:t>
      </w:r>
      <w:r>
        <w:rPr>
          <w:w w:val="95"/>
        </w:rPr>
        <w:t>and</w:t>
      </w:r>
      <w:r>
        <w:rPr>
          <w:spacing w:val="-9"/>
          <w:w w:val="95"/>
        </w:rPr>
        <w:t xml:space="preserve"> </w:t>
      </w:r>
      <w:r>
        <w:rPr>
          <w:w w:val="95"/>
        </w:rPr>
        <w:t>not</w:t>
      </w:r>
      <w:r>
        <w:rPr>
          <w:spacing w:val="-11"/>
          <w:w w:val="95"/>
        </w:rPr>
        <w:t xml:space="preserve"> </w:t>
      </w:r>
      <w:r>
        <w:rPr>
          <w:w w:val="95"/>
        </w:rPr>
        <w:t>the</w:t>
      </w:r>
      <w:r>
        <w:rPr>
          <w:spacing w:val="-12"/>
          <w:w w:val="95"/>
        </w:rPr>
        <w:t xml:space="preserve"> </w:t>
      </w:r>
      <w:r>
        <w:rPr>
          <w:w w:val="95"/>
        </w:rPr>
        <w:t>executive</w:t>
      </w:r>
      <w:r>
        <w:rPr>
          <w:spacing w:val="2"/>
          <w:w w:val="95"/>
        </w:rPr>
        <w:t xml:space="preserve"> </w:t>
      </w:r>
      <w:r>
        <w:rPr>
          <w:w w:val="95"/>
        </w:rPr>
        <w:t>government,</w:t>
      </w:r>
      <w:r>
        <w:rPr>
          <w:spacing w:val="-7"/>
          <w:w w:val="95"/>
        </w:rPr>
        <w:t xml:space="preserve"> </w:t>
      </w:r>
      <w:r>
        <w:rPr>
          <w:w w:val="95"/>
        </w:rPr>
        <w:t>can</w:t>
      </w:r>
      <w:r>
        <w:rPr>
          <w:spacing w:val="-13"/>
          <w:w w:val="95"/>
        </w:rPr>
        <w:t xml:space="preserve"> </w:t>
      </w:r>
      <w:r>
        <w:rPr>
          <w:w w:val="95"/>
        </w:rPr>
        <w:t>remove</w:t>
      </w:r>
      <w:r>
        <w:rPr>
          <w:spacing w:val="-5"/>
          <w:w w:val="95"/>
        </w:rPr>
        <w:t xml:space="preserve"> </w:t>
      </w:r>
      <w:r>
        <w:rPr>
          <w:w w:val="95"/>
        </w:rPr>
        <w:t xml:space="preserve">an </w:t>
      </w:r>
      <w:r>
        <w:t>Auditor-General</w:t>
      </w:r>
    </w:p>
    <w:p w14:paraId="68A3B9A4" w14:textId="77777777" w:rsidR="00FA4AA8" w:rsidRDefault="0015611F">
      <w:pPr>
        <w:pStyle w:val="ListParagraph"/>
        <w:numPr>
          <w:ilvl w:val="0"/>
          <w:numId w:val="60"/>
        </w:numPr>
        <w:tabs>
          <w:tab w:val="left" w:pos="1217"/>
          <w:tab w:val="left" w:pos="1218"/>
        </w:tabs>
        <w:spacing w:before="49"/>
        <w:ind w:left="1217" w:hanging="574"/>
        <w:rPr>
          <w:sz w:val="21"/>
        </w:rPr>
      </w:pPr>
      <w:r>
        <w:rPr>
          <w:sz w:val="21"/>
        </w:rPr>
        <w:t>mandating the Auditor-General as auditor of public sector</w:t>
      </w:r>
      <w:r>
        <w:rPr>
          <w:spacing w:val="-17"/>
          <w:sz w:val="21"/>
        </w:rPr>
        <w:t xml:space="preserve"> </w:t>
      </w:r>
      <w:r>
        <w:rPr>
          <w:sz w:val="21"/>
        </w:rPr>
        <w:t>agencies</w:t>
      </w:r>
    </w:p>
    <w:p w14:paraId="6C15C149" w14:textId="77777777" w:rsidR="00FA4AA8" w:rsidRDefault="0015611F">
      <w:pPr>
        <w:pStyle w:val="ListParagraph"/>
        <w:numPr>
          <w:ilvl w:val="0"/>
          <w:numId w:val="60"/>
        </w:numPr>
        <w:tabs>
          <w:tab w:val="left" w:pos="1217"/>
          <w:tab w:val="left" w:pos="1218"/>
        </w:tabs>
        <w:spacing w:before="61"/>
        <w:ind w:left="1217" w:hanging="574"/>
        <w:rPr>
          <w:sz w:val="21"/>
        </w:rPr>
      </w:pPr>
      <w:r>
        <w:rPr>
          <w:sz w:val="21"/>
        </w:rPr>
        <w:t>precluding the Auditor-General from providing non-audit</w:t>
      </w:r>
      <w:r>
        <w:rPr>
          <w:spacing w:val="11"/>
          <w:sz w:val="21"/>
        </w:rPr>
        <w:t xml:space="preserve"> </w:t>
      </w:r>
      <w:r>
        <w:rPr>
          <w:sz w:val="21"/>
        </w:rPr>
        <w:t>services.</w:t>
      </w:r>
    </w:p>
    <w:p w14:paraId="19A4FF43" w14:textId="77777777" w:rsidR="00FA4AA8" w:rsidRDefault="0015611F">
      <w:pPr>
        <w:spacing w:before="191"/>
        <w:ind w:left="647" w:right="811" w:hanging="3"/>
        <w:rPr>
          <w:sz w:val="21"/>
        </w:rPr>
      </w:pPr>
      <w:r>
        <w:rPr>
          <w:color w:val="131313"/>
          <w:sz w:val="21"/>
        </w:rPr>
        <w:t>I</w:t>
      </w:r>
      <w:r>
        <w:rPr>
          <w:color w:val="131313"/>
          <w:spacing w:val="-30"/>
          <w:sz w:val="21"/>
        </w:rPr>
        <w:t xml:space="preserve"> </w:t>
      </w:r>
      <w:r>
        <w:rPr>
          <w:sz w:val="21"/>
        </w:rPr>
        <w:t>confirm</w:t>
      </w:r>
      <w:r>
        <w:rPr>
          <w:spacing w:val="-19"/>
          <w:sz w:val="21"/>
        </w:rPr>
        <w:t xml:space="preserve"> </w:t>
      </w:r>
      <w:r>
        <w:rPr>
          <w:sz w:val="21"/>
        </w:rPr>
        <w:t>the</w:t>
      </w:r>
      <w:r>
        <w:rPr>
          <w:spacing w:val="-28"/>
          <w:sz w:val="21"/>
        </w:rPr>
        <w:t xml:space="preserve"> </w:t>
      </w:r>
      <w:r>
        <w:rPr>
          <w:sz w:val="21"/>
        </w:rPr>
        <w:t>independence</w:t>
      </w:r>
      <w:r>
        <w:rPr>
          <w:spacing w:val="-14"/>
          <w:sz w:val="21"/>
        </w:rPr>
        <w:t xml:space="preserve"> </w:t>
      </w:r>
      <w:r>
        <w:rPr>
          <w:sz w:val="21"/>
        </w:rPr>
        <w:t>declaration,</w:t>
      </w:r>
      <w:r>
        <w:rPr>
          <w:spacing w:val="-13"/>
          <w:sz w:val="21"/>
        </w:rPr>
        <w:t xml:space="preserve"> </w:t>
      </w:r>
      <w:r>
        <w:rPr>
          <w:sz w:val="21"/>
        </w:rPr>
        <w:t>required</w:t>
      </w:r>
      <w:r>
        <w:rPr>
          <w:spacing w:val="-24"/>
          <w:sz w:val="21"/>
        </w:rPr>
        <w:t xml:space="preserve"> </w:t>
      </w:r>
      <w:r>
        <w:rPr>
          <w:sz w:val="21"/>
        </w:rPr>
        <w:t>by</w:t>
      </w:r>
      <w:r>
        <w:rPr>
          <w:spacing w:val="-27"/>
          <w:sz w:val="21"/>
        </w:rPr>
        <w:t xml:space="preserve"> </w:t>
      </w:r>
      <w:r>
        <w:rPr>
          <w:sz w:val="21"/>
        </w:rPr>
        <w:t>the</w:t>
      </w:r>
      <w:r>
        <w:rPr>
          <w:spacing w:val="-25"/>
          <w:sz w:val="21"/>
        </w:rPr>
        <w:t xml:space="preserve"> </w:t>
      </w:r>
      <w:r>
        <w:rPr>
          <w:i/>
          <w:sz w:val="21"/>
        </w:rPr>
        <w:t>Corporations</w:t>
      </w:r>
      <w:r>
        <w:rPr>
          <w:i/>
          <w:spacing w:val="-17"/>
          <w:sz w:val="21"/>
        </w:rPr>
        <w:t xml:space="preserve"> </w:t>
      </w:r>
      <w:r>
        <w:rPr>
          <w:i/>
          <w:sz w:val="21"/>
        </w:rPr>
        <w:t>Act</w:t>
      </w:r>
      <w:r>
        <w:rPr>
          <w:i/>
          <w:spacing w:val="-22"/>
          <w:sz w:val="21"/>
        </w:rPr>
        <w:t xml:space="preserve"> </w:t>
      </w:r>
      <w:r>
        <w:rPr>
          <w:i/>
          <w:sz w:val="21"/>
        </w:rPr>
        <w:t>2001,</w:t>
      </w:r>
      <w:r>
        <w:rPr>
          <w:i/>
          <w:spacing w:val="-27"/>
          <w:sz w:val="21"/>
        </w:rPr>
        <w:t xml:space="preserve"> </w:t>
      </w:r>
      <w:r>
        <w:rPr>
          <w:sz w:val="21"/>
        </w:rPr>
        <w:t>provided</w:t>
      </w:r>
      <w:r>
        <w:rPr>
          <w:spacing w:val="-20"/>
          <w:sz w:val="21"/>
        </w:rPr>
        <w:t xml:space="preserve"> </w:t>
      </w:r>
      <w:r>
        <w:rPr>
          <w:sz w:val="21"/>
        </w:rPr>
        <w:t>to</w:t>
      </w:r>
      <w:r>
        <w:rPr>
          <w:spacing w:val="-26"/>
          <w:sz w:val="21"/>
        </w:rPr>
        <w:t xml:space="preserve"> </w:t>
      </w:r>
      <w:r>
        <w:rPr>
          <w:sz w:val="21"/>
        </w:rPr>
        <w:t>the directors</w:t>
      </w:r>
      <w:r>
        <w:rPr>
          <w:spacing w:val="-26"/>
          <w:sz w:val="21"/>
        </w:rPr>
        <w:t xml:space="preserve"> </w:t>
      </w:r>
      <w:r>
        <w:rPr>
          <w:sz w:val="21"/>
        </w:rPr>
        <w:t>of</w:t>
      </w:r>
      <w:r>
        <w:rPr>
          <w:spacing w:val="-32"/>
          <w:sz w:val="21"/>
        </w:rPr>
        <w:t xml:space="preserve"> </w:t>
      </w:r>
      <w:r>
        <w:rPr>
          <w:sz w:val="21"/>
        </w:rPr>
        <w:t>the</w:t>
      </w:r>
      <w:r>
        <w:rPr>
          <w:spacing w:val="-33"/>
          <w:sz w:val="21"/>
        </w:rPr>
        <w:t xml:space="preserve"> </w:t>
      </w:r>
      <w:r>
        <w:rPr>
          <w:sz w:val="21"/>
        </w:rPr>
        <w:t>Company</w:t>
      </w:r>
      <w:r>
        <w:rPr>
          <w:spacing w:val="-23"/>
          <w:sz w:val="21"/>
        </w:rPr>
        <w:t xml:space="preserve"> </w:t>
      </w:r>
      <w:r>
        <w:rPr>
          <w:sz w:val="21"/>
        </w:rPr>
        <w:t>on</w:t>
      </w:r>
      <w:r>
        <w:rPr>
          <w:spacing w:val="-34"/>
          <w:sz w:val="21"/>
        </w:rPr>
        <w:t xml:space="preserve"> </w:t>
      </w:r>
      <w:r>
        <w:rPr>
          <w:sz w:val="21"/>
        </w:rPr>
        <w:t>14</w:t>
      </w:r>
      <w:r>
        <w:rPr>
          <w:spacing w:val="-34"/>
          <w:sz w:val="21"/>
        </w:rPr>
        <w:t xml:space="preserve"> </w:t>
      </w:r>
      <w:r>
        <w:rPr>
          <w:sz w:val="21"/>
        </w:rPr>
        <w:t>March</w:t>
      </w:r>
      <w:r>
        <w:rPr>
          <w:spacing w:val="-27"/>
          <w:sz w:val="21"/>
        </w:rPr>
        <w:t xml:space="preserve"> </w:t>
      </w:r>
      <w:r>
        <w:rPr>
          <w:sz w:val="21"/>
        </w:rPr>
        <w:t>2019,</w:t>
      </w:r>
      <w:r>
        <w:rPr>
          <w:spacing w:val="-30"/>
          <w:sz w:val="21"/>
        </w:rPr>
        <w:t xml:space="preserve"> </w:t>
      </w:r>
      <w:r>
        <w:rPr>
          <w:sz w:val="21"/>
        </w:rPr>
        <w:t>would</w:t>
      </w:r>
      <w:r>
        <w:rPr>
          <w:spacing w:val="-31"/>
          <w:sz w:val="21"/>
        </w:rPr>
        <w:t xml:space="preserve"> </w:t>
      </w:r>
      <w:r>
        <w:rPr>
          <w:sz w:val="21"/>
        </w:rPr>
        <w:t>be</w:t>
      </w:r>
      <w:r>
        <w:rPr>
          <w:spacing w:val="-31"/>
          <w:sz w:val="21"/>
        </w:rPr>
        <w:t xml:space="preserve"> </w:t>
      </w:r>
      <w:r>
        <w:rPr>
          <w:sz w:val="21"/>
        </w:rPr>
        <w:t>in</w:t>
      </w:r>
      <w:r>
        <w:rPr>
          <w:spacing w:val="-30"/>
          <w:sz w:val="21"/>
        </w:rPr>
        <w:t xml:space="preserve"> </w:t>
      </w:r>
      <w:r>
        <w:rPr>
          <w:sz w:val="21"/>
        </w:rPr>
        <w:t>the</w:t>
      </w:r>
      <w:r>
        <w:rPr>
          <w:spacing w:val="-31"/>
          <w:sz w:val="21"/>
        </w:rPr>
        <w:t xml:space="preserve"> </w:t>
      </w:r>
      <w:r>
        <w:rPr>
          <w:sz w:val="21"/>
        </w:rPr>
        <w:t>same</w:t>
      </w:r>
      <w:r>
        <w:rPr>
          <w:spacing w:val="-26"/>
          <w:sz w:val="21"/>
        </w:rPr>
        <w:t xml:space="preserve"> </w:t>
      </w:r>
      <w:r>
        <w:rPr>
          <w:sz w:val="21"/>
        </w:rPr>
        <w:t>terms</w:t>
      </w:r>
      <w:r>
        <w:rPr>
          <w:spacing w:val="-30"/>
          <w:sz w:val="21"/>
        </w:rPr>
        <w:t xml:space="preserve"> </w:t>
      </w:r>
      <w:r>
        <w:rPr>
          <w:sz w:val="21"/>
        </w:rPr>
        <w:t>if</w:t>
      </w:r>
      <w:r>
        <w:rPr>
          <w:spacing w:val="-33"/>
          <w:sz w:val="21"/>
        </w:rPr>
        <w:t xml:space="preserve"> </w:t>
      </w:r>
      <w:r>
        <w:rPr>
          <w:sz w:val="21"/>
        </w:rPr>
        <w:t>provided</w:t>
      </w:r>
      <w:r>
        <w:rPr>
          <w:spacing w:val="-23"/>
          <w:sz w:val="21"/>
        </w:rPr>
        <w:t xml:space="preserve"> </w:t>
      </w:r>
      <w:r>
        <w:rPr>
          <w:sz w:val="21"/>
        </w:rPr>
        <w:t>to</w:t>
      </w:r>
      <w:r>
        <w:rPr>
          <w:spacing w:val="-32"/>
          <w:sz w:val="21"/>
        </w:rPr>
        <w:t xml:space="preserve"> </w:t>
      </w:r>
      <w:r>
        <w:rPr>
          <w:sz w:val="21"/>
        </w:rPr>
        <w:t>the</w:t>
      </w:r>
      <w:r>
        <w:rPr>
          <w:spacing w:val="-31"/>
          <w:sz w:val="21"/>
        </w:rPr>
        <w:t xml:space="preserve"> </w:t>
      </w:r>
      <w:r>
        <w:rPr>
          <w:sz w:val="21"/>
        </w:rPr>
        <w:t>directors as at the time of this Independent Auditor's</w:t>
      </w:r>
      <w:r>
        <w:rPr>
          <w:spacing w:val="-5"/>
          <w:sz w:val="21"/>
        </w:rPr>
        <w:t xml:space="preserve"> </w:t>
      </w:r>
      <w:r>
        <w:rPr>
          <w:sz w:val="21"/>
        </w:rPr>
        <w:t>Report.</w:t>
      </w:r>
    </w:p>
    <w:p w14:paraId="69E17CFD" w14:textId="77777777" w:rsidR="00FA4AA8" w:rsidRDefault="0015611F">
      <w:pPr>
        <w:spacing w:before="168"/>
        <w:ind w:left="647" w:right="811" w:hanging="3"/>
        <w:rPr>
          <w:sz w:val="21"/>
        </w:rPr>
      </w:pPr>
      <w:r>
        <w:rPr>
          <w:sz w:val="21"/>
        </w:rPr>
        <w:t>I</w:t>
      </w:r>
      <w:r>
        <w:rPr>
          <w:spacing w:val="-35"/>
          <w:sz w:val="21"/>
        </w:rPr>
        <w:t xml:space="preserve"> </w:t>
      </w:r>
      <w:r>
        <w:rPr>
          <w:sz w:val="21"/>
        </w:rPr>
        <w:t>believe</w:t>
      </w:r>
      <w:r>
        <w:rPr>
          <w:spacing w:val="-27"/>
          <w:sz w:val="21"/>
        </w:rPr>
        <w:t xml:space="preserve"> </w:t>
      </w:r>
      <w:r>
        <w:rPr>
          <w:sz w:val="21"/>
        </w:rPr>
        <w:t>the</w:t>
      </w:r>
      <w:r>
        <w:rPr>
          <w:spacing w:val="-31"/>
          <w:sz w:val="21"/>
        </w:rPr>
        <w:t xml:space="preserve"> </w:t>
      </w:r>
      <w:r>
        <w:rPr>
          <w:sz w:val="21"/>
        </w:rPr>
        <w:t>audit</w:t>
      </w:r>
      <w:r>
        <w:rPr>
          <w:spacing w:val="-33"/>
          <w:sz w:val="21"/>
        </w:rPr>
        <w:t xml:space="preserve"> </w:t>
      </w:r>
      <w:r>
        <w:rPr>
          <w:sz w:val="21"/>
        </w:rPr>
        <w:t>evidence</w:t>
      </w:r>
      <w:r>
        <w:rPr>
          <w:spacing w:val="-26"/>
          <w:sz w:val="21"/>
        </w:rPr>
        <w:t xml:space="preserve"> </w:t>
      </w:r>
      <w:r>
        <w:rPr>
          <w:color w:val="0C0C0C"/>
          <w:sz w:val="21"/>
        </w:rPr>
        <w:t>I</w:t>
      </w:r>
      <w:r>
        <w:rPr>
          <w:color w:val="0C0C0C"/>
          <w:spacing w:val="-34"/>
          <w:sz w:val="21"/>
        </w:rPr>
        <w:t xml:space="preserve"> </w:t>
      </w:r>
      <w:r>
        <w:rPr>
          <w:sz w:val="21"/>
        </w:rPr>
        <w:t>have</w:t>
      </w:r>
      <w:r>
        <w:rPr>
          <w:spacing w:val="-28"/>
          <w:sz w:val="21"/>
        </w:rPr>
        <w:t xml:space="preserve"> </w:t>
      </w:r>
      <w:r>
        <w:rPr>
          <w:sz w:val="21"/>
        </w:rPr>
        <w:t>obtained</w:t>
      </w:r>
      <w:r>
        <w:rPr>
          <w:spacing w:val="-30"/>
          <w:sz w:val="21"/>
        </w:rPr>
        <w:t xml:space="preserve"> </w:t>
      </w:r>
      <w:r>
        <w:rPr>
          <w:sz w:val="21"/>
        </w:rPr>
        <w:t>is</w:t>
      </w:r>
      <w:r>
        <w:rPr>
          <w:spacing w:val="-32"/>
          <w:sz w:val="21"/>
        </w:rPr>
        <w:t xml:space="preserve"> </w:t>
      </w:r>
      <w:r>
        <w:rPr>
          <w:sz w:val="21"/>
        </w:rPr>
        <w:t>sufficient</w:t>
      </w:r>
      <w:r>
        <w:rPr>
          <w:spacing w:val="-28"/>
          <w:sz w:val="21"/>
        </w:rPr>
        <w:t xml:space="preserve"> </w:t>
      </w:r>
      <w:r>
        <w:rPr>
          <w:sz w:val="21"/>
        </w:rPr>
        <w:t>and</w:t>
      </w:r>
      <w:r>
        <w:rPr>
          <w:spacing w:val="-28"/>
          <w:sz w:val="21"/>
        </w:rPr>
        <w:t xml:space="preserve"> </w:t>
      </w:r>
      <w:r>
        <w:rPr>
          <w:sz w:val="21"/>
        </w:rPr>
        <w:t>appropriate</w:t>
      </w:r>
      <w:r>
        <w:rPr>
          <w:spacing w:val="-24"/>
          <w:sz w:val="21"/>
        </w:rPr>
        <w:t xml:space="preserve"> </w:t>
      </w:r>
      <w:r>
        <w:rPr>
          <w:sz w:val="21"/>
        </w:rPr>
        <w:t>to</w:t>
      </w:r>
      <w:r>
        <w:rPr>
          <w:spacing w:val="-35"/>
          <w:sz w:val="21"/>
        </w:rPr>
        <w:t xml:space="preserve"> </w:t>
      </w:r>
      <w:r>
        <w:rPr>
          <w:sz w:val="21"/>
        </w:rPr>
        <w:t>provide</w:t>
      </w:r>
      <w:r>
        <w:rPr>
          <w:spacing w:val="-29"/>
          <w:sz w:val="21"/>
        </w:rPr>
        <w:t xml:space="preserve"> </w:t>
      </w:r>
      <w:r>
        <w:rPr>
          <w:sz w:val="21"/>
        </w:rPr>
        <w:t>a</w:t>
      </w:r>
      <w:r>
        <w:rPr>
          <w:spacing w:val="-36"/>
          <w:sz w:val="21"/>
        </w:rPr>
        <w:t xml:space="preserve"> </w:t>
      </w:r>
      <w:r>
        <w:rPr>
          <w:sz w:val="21"/>
        </w:rPr>
        <w:t>basis</w:t>
      </w:r>
      <w:r>
        <w:rPr>
          <w:spacing w:val="-26"/>
          <w:sz w:val="21"/>
        </w:rPr>
        <w:t xml:space="preserve"> </w:t>
      </w:r>
      <w:r>
        <w:rPr>
          <w:sz w:val="21"/>
        </w:rPr>
        <w:t>for</w:t>
      </w:r>
      <w:r>
        <w:rPr>
          <w:spacing w:val="-35"/>
          <w:sz w:val="21"/>
        </w:rPr>
        <w:t xml:space="preserve"> </w:t>
      </w:r>
      <w:r>
        <w:rPr>
          <w:sz w:val="21"/>
        </w:rPr>
        <w:t>my audit</w:t>
      </w:r>
      <w:r>
        <w:rPr>
          <w:spacing w:val="7"/>
          <w:sz w:val="21"/>
        </w:rPr>
        <w:t xml:space="preserve"> </w:t>
      </w:r>
      <w:r>
        <w:rPr>
          <w:sz w:val="21"/>
        </w:rPr>
        <w:t>opinion.</w:t>
      </w:r>
    </w:p>
    <w:p w14:paraId="0A84D2FA" w14:textId="77777777" w:rsidR="00FA4AA8" w:rsidRDefault="0015611F">
      <w:pPr>
        <w:spacing w:before="165"/>
        <w:ind w:left="645"/>
        <w:rPr>
          <w:sz w:val="21"/>
        </w:rPr>
      </w:pPr>
      <w:r>
        <w:rPr>
          <w:sz w:val="21"/>
        </w:rPr>
        <w:t>Other Information</w:t>
      </w:r>
    </w:p>
    <w:p w14:paraId="249E64DD" w14:textId="77777777" w:rsidR="00FA4AA8" w:rsidRDefault="0015611F">
      <w:pPr>
        <w:spacing w:before="174" w:line="237" w:lineRule="auto"/>
        <w:ind w:left="635" w:right="811" w:firstLine="9"/>
        <w:rPr>
          <w:sz w:val="21"/>
        </w:rPr>
      </w:pPr>
      <w:r>
        <w:rPr>
          <w:sz w:val="21"/>
        </w:rPr>
        <w:t>Other</w:t>
      </w:r>
      <w:r>
        <w:rPr>
          <w:spacing w:val="-30"/>
          <w:sz w:val="21"/>
        </w:rPr>
        <w:t xml:space="preserve"> </w:t>
      </w:r>
      <w:r>
        <w:rPr>
          <w:sz w:val="21"/>
        </w:rPr>
        <w:t>information</w:t>
      </w:r>
      <w:r>
        <w:rPr>
          <w:spacing w:val="-30"/>
          <w:sz w:val="21"/>
        </w:rPr>
        <w:t xml:space="preserve"> </w:t>
      </w:r>
      <w:r>
        <w:rPr>
          <w:sz w:val="21"/>
        </w:rPr>
        <w:t>comprises</w:t>
      </w:r>
      <w:r>
        <w:rPr>
          <w:spacing w:val="-23"/>
          <w:sz w:val="21"/>
        </w:rPr>
        <w:t xml:space="preserve"> </w:t>
      </w:r>
      <w:r>
        <w:rPr>
          <w:sz w:val="21"/>
        </w:rPr>
        <w:t>the</w:t>
      </w:r>
      <w:r>
        <w:rPr>
          <w:spacing w:val="-30"/>
          <w:sz w:val="21"/>
        </w:rPr>
        <w:t xml:space="preserve"> </w:t>
      </w:r>
      <w:r>
        <w:rPr>
          <w:sz w:val="21"/>
        </w:rPr>
        <w:t>information</w:t>
      </w:r>
      <w:r>
        <w:rPr>
          <w:spacing w:val="-25"/>
          <w:sz w:val="21"/>
        </w:rPr>
        <w:t xml:space="preserve"> </w:t>
      </w:r>
      <w:r>
        <w:rPr>
          <w:sz w:val="21"/>
        </w:rPr>
        <w:t>included</w:t>
      </w:r>
      <w:r>
        <w:rPr>
          <w:spacing w:val="-28"/>
          <w:sz w:val="21"/>
        </w:rPr>
        <w:t xml:space="preserve"> </w:t>
      </w:r>
      <w:r>
        <w:rPr>
          <w:sz w:val="21"/>
        </w:rPr>
        <w:t>in</w:t>
      </w:r>
      <w:r>
        <w:rPr>
          <w:spacing w:val="-32"/>
          <w:sz w:val="21"/>
        </w:rPr>
        <w:t xml:space="preserve"> </w:t>
      </w:r>
      <w:r>
        <w:rPr>
          <w:sz w:val="21"/>
        </w:rPr>
        <w:t>the</w:t>
      </w:r>
      <w:r>
        <w:rPr>
          <w:spacing w:val="-33"/>
          <w:sz w:val="21"/>
        </w:rPr>
        <w:t xml:space="preserve"> </w:t>
      </w:r>
      <w:r>
        <w:rPr>
          <w:sz w:val="21"/>
        </w:rPr>
        <w:t>Company’s</w:t>
      </w:r>
      <w:r>
        <w:rPr>
          <w:spacing w:val="-22"/>
          <w:sz w:val="21"/>
        </w:rPr>
        <w:t xml:space="preserve"> </w:t>
      </w:r>
      <w:r>
        <w:rPr>
          <w:sz w:val="21"/>
        </w:rPr>
        <w:t>annual</w:t>
      </w:r>
      <w:r>
        <w:rPr>
          <w:spacing w:val="-30"/>
          <w:sz w:val="21"/>
        </w:rPr>
        <w:t xml:space="preserve"> </w:t>
      </w:r>
      <w:r>
        <w:rPr>
          <w:sz w:val="21"/>
        </w:rPr>
        <w:t>report</w:t>
      </w:r>
      <w:r>
        <w:rPr>
          <w:spacing w:val="-31"/>
          <w:sz w:val="21"/>
        </w:rPr>
        <w:t xml:space="preserve"> </w:t>
      </w:r>
      <w:r>
        <w:rPr>
          <w:sz w:val="21"/>
        </w:rPr>
        <w:t>for</w:t>
      </w:r>
      <w:r>
        <w:rPr>
          <w:spacing w:val="-31"/>
          <w:sz w:val="21"/>
        </w:rPr>
        <w:t xml:space="preserve"> </w:t>
      </w:r>
      <w:r>
        <w:rPr>
          <w:sz w:val="21"/>
        </w:rPr>
        <w:t>the</w:t>
      </w:r>
      <w:r>
        <w:rPr>
          <w:spacing w:val="-34"/>
          <w:sz w:val="21"/>
        </w:rPr>
        <w:t xml:space="preserve"> </w:t>
      </w:r>
      <w:r>
        <w:rPr>
          <w:sz w:val="21"/>
        </w:rPr>
        <w:t xml:space="preserve">year </w:t>
      </w:r>
      <w:r>
        <w:rPr>
          <w:w w:val="95"/>
          <w:sz w:val="21"/>
        </w:rPr>
        <w:t>ended</w:t>
      </w:r>
      <w:r>
        <w:rPr>
          <w:spacing w:val="-6"/>
          <w:w w:val="95"/>
          <w:sz w:val="21"/>
        </w:rPr>
        <w:t xml:space="preserve"> </w:t>
      </w:r>
      <w:r>
        <w:rPr>
          <w:w w:val="95"/>
          <w:sz w:val="21"/>
        </w:rPr>
        <w:t>31</w:t>
      </w:r>
      <w:r>
        <w:rPr>
          <w:spacing w:val="-10"/>
          <w:w w:val="95"/>
          <w:sz w:val="21"/>
        </w:rPr>
        <w:t xml:space="preserve"> </w:t>
      </w:r>
      <w:r>
        <w:rPr>
          <w:w w:val="95"/>
          <w:sz w:val="21"/>
        </w:rPr>
        <w:t>December</w:t>
      </w:r>
      <w:r>
        <w:rPr>
          <w:spacing w:val="2"/>
          <w:w w:val="95"/>
          <w:sz w:val="21"/>
        </w:rPr>
        <w:t xml:space="preserve"> </w:t>
      </w:r>
      <w:r>
        <w:rPr>
          <w:w w:val="95"/>
          <w:sz w:val="21"/>
        </w:rPr>
        <w:t>2016,</w:t>
      </w:r>
      <w:r>
        <w:rPr>
          <w:spacing w:val="-4"/>
          <w:w w:val="95"/>
          <w:sz w:val="21"/>
        </w:rPr>
        <w:t xml:space="preserve"> </w:t>
      </w:r>
      <w:r>
        <w:rPr>
          <w:w w:val="95"/>
          <w:sz w:val="21"/>
        </w:rPr>
        <w:t>other</w:t>
      </w:r>
      <w:r>
        <w:rPr>
          <w:spacing w:val="-7"/>
          <w:w w:val="95"/>
          <w:sz w:val="21"/>
        </w:rPr>
        <w:t xml:space="preserve"> </w:t>
      </w:r>
      <w:r>
        <w:rPr>
          <w:w w:val="95"/>
          <w:sz w:val="21"/>
        </w:rPr>
        <w:t>than</w:t>
      </w:r>
      <w:r>
        <w:rPr>
          <w:spacing w:val="-11"/>
          <w:w w:val="95"/>
          <w:sz w:val="21"/>
        </w:rPr>
        <w:t xml:space="preserve"> </w:t>
      </w:r>
      <w:r>
        <w:rPr>
          <w:w w:val="95"/>
          <w:sz w:val="21"/>
        </w:rPr>
        <w:t>the</w:t>
      </w:r>
      <w:r>
        <w:rPr>
          <w:spacing w:val="-14"/>
          <w:w w:val="95"/>
          <w:sz w:val="21"/>
        </w:rPr>
        <w:t xml:space="preserve"> </w:t>
      </w:r>
      <w:r>
        <w:rPr>
          <w:w w:val="95"/>
          <w:sz w:val="21"/>
        </w:rPr>
        <w:t>financial</w:t>
      </w:r>
      <w:r>
        <w:rPr>
          <w:spacing w:val="-4"/>
          <w:w w:val="95"/>
          <w:sz w:val="21"/>
        </w:rPr>
        <w:t xml:space="preserve"> </w:t>
      </w:r>
      <w:r>
        <w:rPr>
          <w:w w:val="95"/>
          <w:sz w:val="21"/>
        </w:rPr>
        <w:t>statements</w:t>
      </w:r>
      <w:r>
        <w:rPr>
          <w:spacing w:val="6"/>
          <w:w w:val="95"/>
          <w:sz w:val="21"/>
        </w:rPr>
        <w:t xml:space="preserve"> </w:t>
      </w:r>
      <w:r>
        <w:rPr>
          <w:w w:val="95"/>
          <w:sz w:val="21"/>
        </w:rPr>
        <w:t>and</w:t>
      </w:r>
      <w:r>
        <w:rPr>
          <w:spacing w:val="-7"/>
          <w:w w:val="95"/>
          <w:sz w:val="21"/>
        </w:rPr>
        <w:t xml:space="preserve"> </w:t>
      </w:r>
      <w:r>
        <w:rPr>
          <w:w w:val="95"/>
          <w:sz w:val="21"/>
        </w:rPr>
        <w:t>my</w:t>
      </w:r>
      <w:r>
        <w:rPr>
          <w:spacing w:val="-15"/>
          <w:w w:val="95"/>
          <w:sz w:val="21"/>
        </w:rPr>
        <w:t xml:space="preserve"> </w:t>
      </w:r>
      <w:r>
        <w:rPr>
          <w:w w:val="95"/>
          <w:sz w:val="21"/>
        </w:rPr>
        <w:t>Independent</w:t>
      </w:r>
      <w:r>
        <w:rPr>
          <w:spacing w:val="1"/>
          <w:w w:val="95"/>
          <w:sz w:val="21"/>
        </w:rPr>
        <w:t xml:space="preserve"> </w:t>
      </w:r>
      <w:r>
        <w:rPr>
          <w:w w:val="95"/>
          <w:sz w:val="21"/>
        </w:rPr>
        <w:t>Auditor's</w:t>
      </w:r>
      <w:r>
        <w:rPr>
          <w:spacing w:val="-13"/>
          <w:w w:val="95"/>
          <w:sz w:val="21"/>
        </w:rPr>
        <w:t xml:space="preserve"> </w:t>
      </w:r>
      <w:r>
        <w:rPr>
          <w:w w:val="95"/>
          <w:sz w:val="21"/>
        </w:rPr>
        <w:t xml:space="preserve">Report </w:t>
      </w:r>
      <w:r>
        <w:rPr>
          <w:sz w:val="21"/>
        </w:rPr>
        <w:t>thereon.</w:t>
      </w:r>
      <w:r>
        <w:rPr>
          <w:spacing w:val="-23"/>
          <w:sz w:val="21"/>
        </w:rPr>
        <w:t xml:space="preserve"> </w:t>
      </w:r>
      <w:r>
        <w:rPr>
          <w:sz w:val="21"/>
        </w:rPr>
        <w:t>The</w:t>
      </w:r>
      <w:r>
        <w:rPr>
          <w:spacing w:val="-33"/>
          <w:sz w:val="21"/>
        </w:rPr>
        <w:t xml:space="preserve"> </w:t>
      </w:r>
      <w:r>
        <w:rPr>
          <w:sz w:val="21"/>
        </w:rPr>
        <w:t>directors</w:t>
      </w:r>
      <w:r>
        <w:rPr>
          <w:spacing w:val="-26"/>
          <w:sz w:val="21"/>
        </w:rPr>
        <w:t xml:space="preserve"> </w:t>
      </w:r>
      <w:r>
        <w:rPr>
          <w:sz w:val="21"/>
        </w:rPr>
        <w:t>of</w:t>
      </w:r>
      <w:r>
        <w:rPr>
          <w:spacing w:val="-30"/>
          <w:sz w:val="21"/>
        </w:rPr>
        <w:t xml:space="preserve"> </w:t>
      </w:r>
      <w:r>
        <w:rPr>
          <w:sz w:val="21"/>
        </w:rPr>
        <w:t>the</w:t>
      </w:r>
      <w:r>
        <w:rPr>
          <w:spacing w:val="-29"/>
          <w:sz w:val="21"/>
        </w:rPr>
        <w:t xml:space="preserve"> </w:t>
      </w:r>
      <w:r>
        <w:rPr>
          <w:sz w:val="21"/>
        </w:rPr>
        <w:t>Company</w:t>
      </w:r>
      <w:r>
        <w:rPr>
          <w:spacing w:val="-18"/>
          <w:sz w:val="21"/>
        </w:rPr>
        <w:t xml:space="preserve"> </w:t>
      </w:r>
      <w:r>
        <w:rPr>
          <w:sz w:val="21"/>
        </w:rPr>
        <w:t>are</w:t>
      </w:r>
      <w:r>
        <w:rPr>
          <w:spacing w:val="-32"/>
          <w:sz w:val="21"/>
        </w:rPr>
        <w:t xml:space="preserve"> </w:t>
      </w:r>
      <w:r>
        <w:rPr>
          <w:sz w:val="21"/>
        </w:rPr>
        <w:t>responsible</w:t>
      </w:r>
      <w:r>
        <w:rPr>
          <w:spacing w:val="-23"/>
          <w:sz w:val="21"/>
        </w:rPr>
        <w:t xml:space="preserve"> </w:t>
      </w:r>
      <w:r>
        <w:rPr>
          <w:sz w:val="21"/>
        </w:rPr>
        <w:t>for</w:t>
      </w:r>
      <w:r>
        <w:rPr>
          <w:spacing w:val="-29"/>
          <w:sz w:val="21"/>
        </w:rPr>
        <w:t xml:space="preserve"> </w:t>
      </w:r>
      <w:r>
        <w:rPr>
          <w:sz w:val="21"/>
        </w:rPr>
        <w:t>the</w:t>
      </w:r>
      <w:r>
        <w:rPr>
          <w:spacing w:val="-30"/>
          <w:sz w:val="21"/>
        </w:rPr>
        <w:t xml:space="preserve"> </w:t>
      </w:r>
      <w:r>
        <w:rPr>
          <w:sz w:val="21"/>
        </w:rPr>
        <w:t>other</w:t>
      </w:r>
      <w:r>
        <w:rPr>
          <w:spacing w:val="-26"/>
          <w:sz w:val="21"/>
        </w:rPr>
        <w:t xml:space="preserve"> </w:t>
      </w:r>
      <w:r>
        <w:rPr>
          <w:sz w:val="21"/>
        </w:rPr>
        <w:t>information.</w:t>
      </w:r>
      <w:r>
        <w:rPr>
          <w:spacing w:val="-21"/>
          <w:sz w:val="21"/>
        </w:rPr>
        <w:t xml:space="preserve"> </w:t>
      </w:r>
      <w:r>
        <w:rPr>
          <w:sz w:val="21"/>
        </w:rPr>
        <w:t>At</w:t>
      </w:r>
      <w:r>
        <w:rPr>
          <w:spacing w:val="-30"/>
          <w:sz w:val="21"/>
        </w:rPr>
        <w:t xml:space="preserve"> </w:t>
      </w:r>
      <w:r>
        <w:rPr>
          <w:sz w:val="21"/>
        </w:rPr>
        <w:t>the</w:t>
      </w:r>
      <w:r>
        <w:rPr>
          <w:spacing w:val="-31"/>
          <w:sz w:val="21"/>
        </w:rPr>
        <w:t xml:space="preserve"> </w:t>
      </w:r>
      <w:r>
        <w:rPr>
          <w:sz w:val="21"/>
        </w:rPr>
        <w:t>date</w:t>
      </w:r>
      <w:r>
        <w:rPr>
          <w:spacing w:val="-31"/>
          <w:sz w:val="21"/>
        </w:rPr>
        <w:t xml:space="preserve"> </w:t>
      </w:r>
      <w:r>
        <w:rPr>
          <w:sz w:val="21"/>
        </w:rPr>
        <w:t>of</w:t>
      </w:r>
      <w:r>
        <w:rPr>
          <w:spacing w:val="-32"/>
          <w:sz w:val="21"/>
        </w:rPr>
        <w:t xml:space="preserve"> </w:t>
      </w:r>
      <w:r>
        <w:rPr>
          <w:sz w:val="21"/>
        </w:rPr>
        <w:t xml:space="preserve">this </w:t>
      </w:r>
      <w:r>
        <w:rPr>
          <w:w w:val="95"/>
          <w:sz w:val="21"/>
        </w:rPr>
        <w:t>Independent</w:t>
      </w:r>
      <w:r>
        <w:rPr>
          <w:spacing w:val="6"/>
          <w:w w:val="95"/>
          <w:sz w:val="21"/>
        </w:rPr>
        <w:t xml:space="preserve"> </w:t>
      </w:r>
      <w:r>
        <w:rPr>
          <w:w w:val="95"/>
          <w:sz w:val="21"/>
        </w:rPr>
        <w:t>Auditor's</w:t>
      </w:r>
      <w:r>
        <w:rPr>
          <w:spacing w:val="-8"/>
          <w:w w:val="95"/>
          <w:sz w:val="21"/>
        </w:rPr>
        <w:t xml:space="preserve"> </w:t>
      </w:r>
      <w:r>
        <w:rPr>
          <w:w w:val="95"/>
          <w:sz w:val="21"/>
        </w:rPr>
        <w:t>Report,</w:t>
      </w:r>
      <w:r>
        <w:rPr>
          <w:spacing w:val="-7"/>
          <w:w w:val="95"/>
          <w:sz w:val="21"/>
        </w:rPr>
        <w:t xml:space="preserve"> </w:t>
      </w:r>
      <w:r>
        <w:rPr>
          <w:w w:val="95"/>
          <w:sz w:val="21"/>
        </w:rPr>
        <w:t>the</w:t>
      </w:r>
      <w:r>
        <w:rPr>
          <w:spacing w:val="-10"/>
          <w:w w:val="95"/>
          <w:sz w:val="21"/>
        </w:rPr>
        <w:t xml:space="preserve"> </w:t>
      </w:r>
      <w:r>
        <w:rPr>
          <w:w w:val="95"/>
          <w:sz w:val="21"/>
        </w:rPr>
        <w:t>other</w:t>
      </w:r>
      <w:r>
        <w:rPr>
          <w:spacing w:val="-10"/>
          <w:w w:val="95"/>
          <w:sz w:val="21"/>
        </w:rPr>
        <w:t xml:space="preserve"> </w:t>
      </w:r>
      <w:r>
        <w:rPr>
          <w:w w:val="95"/>
          <w:sz w:val="21"/>
        </w:rPr>
        <w:t>information</w:t>
      </w:r>
      <w:r>
        <w:rPr>
          <w:spacing w:val="-8"/>
          <w:w w:val="95"/>
          <w:sz w:val="21"/>
        </w:rPr>
        <w:t xml:space="preserve"> </w:t>
      </w:r>
      <w:r>
        <w:rPr>
          <w:w w:val="95"/>
          <w:sz w:val="21"/>
        </w:rPr>
        <w:t>I</w:t>
      </w:r>
      <w:r>
        <w:rPr>
          <w:spacing w:val="-11"/>
          <w:w w:val="95"/>
          <w:sz w:val="21"/>
        </w:rPr>
        <w:t xml:space="preserve"> </w:t>
      </w:r>
      <w:r>
        <w:rPr>
          <w:w w:val="95"/>
          <w:sz w:val="21"/>
        </w:rPr>
        <w:t>have</w:t>
      </w:r>
      <w:r>
        <w:rPr>
          <w:spacing w:val="-10"/>
          <w:w w:val="95"/>
          <w:sz w:val="21"/>
        </w:rPr>
        <w:t xml:space="preserve"> </w:t>
      </w:r>
      <w:r>
        <w:rPr>
          <w:w w:val="95"/>
          <w:sz w:val="21"/>
        </w:rPr>
        <w:t>received</w:t>
      </w:r>
      <w:r>
        <w:rPr>
          <w:spacing w:val="-2"/>
          <w:w w:val="95"/>
          <w:sz w:val="21"/>
        </w:rPr>
        <w:t xml:space="preserve"> </w:t>
      </w:r>
      <w:r>
        <w:rPr>
          <w:w w:val="95"/>
          <w:sz w:val="21"/>
        </w:rPr>
        <w:t>comprise the</w:t>
      </w:r>
      <w:r>
        <w:rPr>
          <w:spacing w:val="-7"/>
          <w:w w:val="95"/>
          <w:sz w:val="21"/>
        </w:rPr>
        <w:t xml:space="preserve"> </w:t>
      </w:r>
      <w:r>
        <w:rPr>
          <w:w w:val="95"/>
          <w:sz w:val="21"/>
        </w:rPr>
        <w:t>Directors’</w:t>
      </w:r>
      <w:r>
        <w:rPr>
          <w:spacing w:val="6"/>
          <w:w w:val="95"/>
          <w:sz w:val="21"/>
        </w:rPr>
        <w:t xml:space="preserve"> </w:t>
      </w:r>
      <w:r>
        <w:rPr>
          <w:w w:val="95"/>
          <w:sz w:val="21"/>
        </w:rPr>
        <w:t>Report.</w:t>
      </w:r>
    </w:p>
    <w:p w14:paraId="6B9033EC" w14:textId="77777777" w:rsidR="00FA4AA8" w:rsidRDefault="0015611F">
      <w:pPr>
        <w:spacing w:before="165" w:line="242" w:lineRule="auto"/>
        <w:ind w:left="642" w:right="811" w:hanging="4"/>
        <w:rPr>
          <w:sz w:val="21"/>
        </w:rPr>
      </w:pPr>
      <w:r>
        <w:rPr>
          <w:sz w:val="21"/>
        </w:rPr>
        <w:t>My</w:t>
      </w:r>
      <w:r>
        <w:rPr>
          <w:spacing w:val="-32"/>
          <w:sz w:val="21"/>
        </w:rPr>
        <w:t xml:space="preserve"> </w:t>
      </w:r>
      <w:r>
        <w:rPr>
          <w:sz w:val="21"/>
        </w:rPr>
        <w:t>opinion</w:t>
      </w:r>
      <w:r>
        <w:rPr>
          <w:spacing w:val="-34"/>
          <w:sz w:val="21"/>
        </w:rPr>
        <w:t xml:space="preserve"> </w:t>
      </w:r>
      <w:r>
        <w:rPr>
          <w:sz w:val="21"/>
        </w:rPr>
        <w:t>on</w:t>
      </w:r>
      <w:r>
        <w:rPr>
          <w:spacing w:val="-38"/>
          <w:sz w:val="21"/>
        </w:rPr>
        <w:t xml:space="preserve"> </w:t>
      </w:r>
      <w:r>
        <w:rPr>
          <w:sz w:val="21"/>
        </w:rPr>
        <w:t>the</w:t>
      </w:r>
      <w:r>
        <w:rPr>
          <w:spacing w:val="-33"/>
          <w:sz w:val="21"/>
        </w:rPr>
        <w:t xml:space="preserve"> </w:t>
      </w:r>
      <w:r>
        <w:rPr>
          <w:sz w:val="21"/>
        </w:rPr>
        <w:t>financial</w:t>
      </w:r>
      <w:r>
        <w:rPr>
          <w:spacing w:val="-32"/>
          <w:sz w:val="21"/>
        </w:rPr>
        <w:t xml:space="preserve"> </w:t>
      </w:r>
      <w:r>
        <w:rPr>
          <w:sz w:val="21"/>
        </w:rPr>
        <w:t>statements</w:t>
      </w:r>
      <w:r>
        <w:rPr>
          <w:spacing w:val="-28"/>
          <w:sz w:val="21"/>
        </w:rPr>
        <w:t xml:space="preserve"> </w:t>
      </w:r>
      <w:r>
        <w:rPr>
          <w:sz w:val="21"/>
        </w:rPr>
        <w:t>does</w:t>
      </w:r>
      <w:r>
        <w:rPr>
          <w:spacing w:val="-36"/>
          <w:sz w:val="21"/>
        </w:rPr>
        <w:t xml:space="preserve"> </w:t>
      </w:r>
      <w:r>
        <w:rPr>
          <w:sz w:val="21"/>
        </w:rPr>
        <w:t>not</w:t>
      </w:r>
      <w:r>
        <w:rPr>
          <w:spacing w:val="-38"/>
          <w:sz w:val="21"/>
        </w:rPr>
        <w:t xml:space="preserve"> </w:t>
      </w:r>
      <w:r>
        <w:rPr>
          <w:sz w:val="21"/>
        </w:rPr>
        <w:t>cover</w:t>
      </w:r>
      <w:r>
        <w:rPr>
          <w:spacing w:val="-30"/>
          <w:sz w:val="21"/>
        </w:rPr>
        <w:t xml:space="preserve"> </w:t>
      </w:r>
      <w:r>
        <w:rPr>
          <w:sz w:val="21"/>
        </w:rPr>
        <w:t>the</w:t>
      </w:r>
      <w:r>
        <w:rPr>
          <w:spacing w:val="-35"/>
          <w:sz w:val="21"/>
        </w:rPr>
        <w:t xml:space="preserve"> </w:t>
      </w:r>
      <w:r>
        <w:rPr>
          <w:sz w:val="21"/>
        </w:rPr>
        <w:t>other</w:t>
      </w:r>
      <w:r>
        <w:rPr>
          <w:spacing w:val="-32"/>
          <w:sz w:val="21"/>
        </w:rPr>
        <w:t xml:space="preserve"> </w:t>
      </w:r>
      <w:r>
        <w:rPr>
          <w:sz w:val="21"/>
        </w:rPr>
        <w:t>information.</w:t>
      </w:r>
      <w:r>
        <w:rPr>
          <w:spacing w:val="-29"/>
          <w:sz w:val="21"/>
        </w:rPr>
        <w:t xml:space="preserve"> </w:t>
      </w:r>
      <w:r>
        <w:rPr>
          <w:sz w:val="21"/>
        </w:rPr>
        <w:t>Accordingly,</w:t>
      </w:r>
      <w:r>
        <w:rPr>
          <w:spacing w:val="-28"/>
          <w:sz w:val="21"/>
        </w:rPr>
        <w:t xml:space="preserve"> </w:t>
      </w:r>
      <w:r>
        <w:rPr>
          <w:sz w:val="21"/>
        </w:rPr>
        <w:t>I</w:t>
      </w:r>
      <w:r>
        <w:rPr>
          <w:spacing w:val="-36"/>
          <w:sz w:val="21"/>
        </w:rPr>
        <w:t xml:space="preserve"> </w:t>
      </w:r>
      <w:r>
        <w:rPr>
          <w:sz w:val="21"/>
        </w:rPr>
        <w:t>do</w:t>
      </w:r>
      <w:r>
        <w:rPr>
          <w:spacing w:val="-38"/>
          <w:sz w:val="21"/>
        </w:rPr>
        <w:t xml:space="preserve"> </w:t>
      </w:r>
      <w:r>
        <w:rPr>
          <w:sz w:val="21"/>
        </w:rPr>
        <w:t>not express any form of assurance conclusion on the other</w:t>
      </w:r>
      <w:r>
        <w:rPr>
          <w:spacing w:val="-21"/>
          <w:sz w:val="21"/>
        </w:rPr>
        <w:t xml:space="preserve"> </w:t>
      </w:r>
      <w:r>
        <w:rPr>
          <w:sz w:val="21"/>
        </w:rPr>
        <w:t>information.</w:t>
      </w:r>
    </w:p>
    <w:p w14:paraId="1624C312" w14:textId="77777777" w:rsidR="00FA4AA8" w:rsidRDefault="0015611F">
      <w:pPr>
        <w:spacing w:before="172" w:line="237" w:lineRule="auto"/>
        <w:ind w:left="641" w:right="811" w:hanging="6"/>
        <w:rPr>
          <w:sz w:val="21"/>
        </w:rPr>
      </w:pPr>
      <w:r>
        <w:rPr>
          <w:sz w:val="21"/>
        </w:rPr>
        <w:t xml:space="preserve">In connection with my audit of the financial statements, my responsibility is to read the other </w:t>
      </w:r>
      <w:r>
        <w:rPr>
          <w:w w:val="95"/>
          <w:sz w:val="21"/>
        </w:rPr>
        <w:t>information</w:t>
      </w:r>
      <w:r>
        <w:rPr>
          <w:spacing w:val="1"/>
          <w:w w:val="95"/>
          <w:sz w:val="21"/>
        </w:rPr>
        <w:t xml:space="preserve"> </w:t>
      </w:r>
      <w:r>
        <w:rPr>
          <w:w w:val="95"/>
          <w:sz w:val="21"/>
        </w:rPr>
        <w:t>and,</w:t>
      </w:r>
      <w:r>
        <w:rPr>
          <w:spacing w:val="-10"/>
          <w:w w:val="95"/>
          <w:sz w:val="21"/>
        </w:rPr>
        <w:t xml:space="preserve"> </w:t>
      </w:r>
      <w:r>
        <w:rPr>
          <w:w w:val="95"/>
          <w:sz w:val="21"/>
        </w:rPr>
        <w:t>in</w:t>
      </w:r>
      <w:r>
        <w:rPr>
          <w:spacing w:val="-15"/>
          <w:w w:val="95"/>
          <w:sz w:val="21"/>
        </w:rPr>
        <w:t xml:space="preserve"> </w:t>
      </w:r>
      <w:r>
        <w:rPr>
          <w:w w:val="95"/>
          <w:sz w:val="21"/>
        </w:rPr>
        <w:t>doing</w:t>
      </w:r>
      <w:r>
        <w:rPr>
          <w:spacing w:val="-4"/>
          <w:w w:val="95"/>
          <w:sz w:val="21"/>
        </w:rPr>
        <w:t xml:space="preserve"> </w:t>
      </w:r>
      <w:r>
        <w:rPr>
          <w:w w:val="95"/>
          <w:sz w:val="21"/>
        </w:rPr>
        <w:t>so,</w:t>
      </w:r>
      <w:r>
        <w:rPr>
          <w:spacing w:val="-5"/>
          <w:w w:val="95"/>
          <w:sz w:val="21"/>
        </w:rPr>
        <w:t xml:space="preserve"> </w:t>
      </w:r>
      <w:r>
        <w:rPr>
          <w:w w:val="95"/>
          <w:sz w:val="21"/>
        </w:rPr>
        <w:t>consider whether</w:t>
      </w:r>
      <w:r>
        <w:rPr>
          <w:spacing w:val="5"/>
          <w:w w:val="95"/>
          <w:sz w:val="21"/>
        </w:rPr>
        <w:t xml:space="preserve"> </w:t>
      </w:r>
      <w:r>
        <w:rPr>
          <w:w w:val="95"/>
          <w:sz w:val="21"/>
        </w:rPr>
        <w:t>the</w:t>
      </w:r>
      <w:r>
        <w:rPr>
          <w:spacing w:val="-10"/>
          <w:w w:val="95"/>
          <w:sz w:val="21"/>
        </w:rPr>
        <w:t xml:space="preserve"> </w:t>
      </w:r>
      <w:r>
        <w:rPr>
          <w:w w:val="95"/>
          <w:sz w:val="21"/>
        </w:rPr>
        <w:t>other</w:t>
      </w:r>
      <w:r>
        <w:rPr>
          <w:spacing w:val="-10"/>
          <w:w w:val="95"/>
          <w:sz w:val="21"/>
        </w:rPr>
        <w:t xml:space="preserve"> </w:t>
      </w:r>
      <w:r>
        <w:rPr>
          <w:w w:val="95"/>
          <w:sz w:val="21"/>
        </w:rPr>
        <w:t>information</w:t>
      </w:r>
      <w:r>
        <w:rPr>
          <w:spacing w:val="-4"/>
          <w:w w:val="95"/>
          <w:sz w:val="21"/>
        </w:rPr>
        <w:t xml:space="preserve"> </w:t>
      </w:r>
      <w:r>
        <w:rPr>
          <w:w w:val="95"/>
          <w:sz w:val="21"/>
        </w:rPr>
        <w:t>is</w:t>
      </w:r>
      <w:r>
        <w:rPr>
          <w:spacing w:val="-16"/>
          <w:w w:val="95"/>
          <w:sz w:val="21"/>
        </w:rPr>
        <w:t xml:space="preserve"> </w:t>
      </w:r>
      <w:r>
        <w:rPr>
          <w:w w:val="95"/>
          <w:sz w:val="21"/>
        </w:rPr>
        <w:t>materially</w:t>
      </w:r>
      <w:r>
        <w:rPr>
          <w:spacing w:val="-3"/>
          <w:w w:val="95"/>
          <w:sz w:val="21"/>
        </w:rPr>
        <w:t xml:space="preserve"> </w:t>
      </w:r>
      <w:r>
        <w:rPr>
          <w:w w:val="95"/>
          <w:sz w:val="21"/>
        </w:rPr>
        <w:t>inconsistent</w:t>
      </w:r>
      <w:r>
        <w:rPr>
          <w:spacing w:val="-1"/>
          <w:w w:val="95"/>
          <w:sz w:val="21"/>
        </w:rPr>
        <w:t xml:space="preserve"> </w:t>
      </w:r>
      <w:r>
        <w:rPr>
          <w:w w:val="95"/>
          <w:sz w:val="21"/>
        </w:rPr>
        <w:t>with</w:t>
      </w:r>
      <w:r>
        <w:rPr>
          <w:spacing w:val="-10"/>
          <w:w w:val="95"/>
          <w:sz w:val="21"/>
        </w:rPr>
        <w:t xml:space="preserve"> </w:t>
      </w:r>
      <w:r>
        <w:rPr>
          <w:w w:val="95"/>
          <w:sz w:val="21"/>
        </w:rPr>
        <w:t xml:space="preserve">the </w:t>
      </w:r>
      <w:r>
        <w:rPr>
          <w:sz w:val="21"/>
        </w:rPr>
        <w:t>financial</w:t>
      </w:r>
      <w:r>
        <w:rPr>
          <w:spacing w:val="-26"/>
          <w:sz w:val="21"/>
        </w:rPr>
        <w:t xml:space="preserve"> </w:t>
      </w:r>
      <w:r>
        <w:rPr>
          <w:sz w:val="21"/>
        </w:rPr>
        <w:t>statements</w:t>
      </w:r>
      <w:r>
        <w:rPr>
          <w:spacing w:val="-20"/>
          <w:sz w:val="21"/>
        </w:rPr>
        <w:t xml:space="preserve"> </w:t>
      </w:r>
      <w:r>
        <w:rPr>
          <w:sz w:val="21"/>
        </w:rPr>
        <w:t>or</w:t>
      </w:r>
      <w:r>
        <w:rPr>
          <w:spacing w:val="-28"/>
          <w:sz w:val="21"/>
        </w:rPr>
        <w:t xml:space="preserve"> </w:t>
      </w:r>
      <w:r>
        <w:rPr>
          <w:sz w:val="21"/>
        </w:rPr>
        <w:t>my</w:t>
      </w:r>
      <w:r>
        <w:rPr>
          <w:spacing w:val="-27"/>
          <w:sz w:val="21"/>
        </w:rPr>
        <w:t xml:space="preserve"> </w:t>
      </w:r>
      <w:r>
        <w:rPr>
          <w:sz w:val="21"/>
        </w:rPr>
        <w:t>knowledge</w:t>
      </w:r>
      <w:r>
        <w:rPr>
          <w:spacing w:val="-17"/>
          <w:sz w:val="21"/>
        </w:rPr>
        <w:t xml:space="preserve"> </w:t>
      </w:r>
      <w:r>
        <w:rPr>
          <w:sz w:val="21"/>
        </w:rPr>
        <w:t>obtained</w:t>
      </w:r>
      <w:r>
        <w:rPr>
          <w:spacing w:val="-21"/>
          <w:sz w:val="21"/>
        </w:rPr>
        <w:t xml:space="preserve"> </w:t>
      </w:r>
      <w:r>
        <w:rPr>
          <w:sz w:val="21"/>
        </w:rPr>
        <w:t>in</w:t>
      </w:r>
      <w:r>
        <w:rPr>
          <w:spacing w:val="-24"/>
          <w:sz w:val="21"/>
        </w:rPr>
        <w:t xml:space="preserve"> </w:t>
      </w:r>
      <w:r>
        <w:rPr>
          <w:sz w:val="21"/>
        </w:rPr>
        <w:t>the</w:t>
      </w:r>
      <w:r>
        <w:rPr>
          <w:spacing w:val="-24"/>
          <w:sz w:val="21"/>
        </w:rPr>
        <w:t xml:space="preserve"> </w:t>
      </w:r>
      <w:r>
        <w:rPr>
          <w:sz w:val="21"/>
        </w:rPr>
        <w:t>audit,</w:t>
      </w:r>
      <w:r>
        <w:rPr>
          <w:spacing w:val="-28"/>
          <w:sz w:val="21"/>
        </w:rPr>
        <w:t xml:space="preserve"> </w:t>
      </w:r>
      <w:r>
        <w:rPr>
          <w:sz w:val="21"/>
        </w:rPr>
        <w:t>or</w:t>
      </w:r>
      <w:r>
        <w:rPr>
          <w:spacing w:val="-25"/>
          <w:sz w:val="21"/>
        </w:rPr>
        <w:t xml:space="preserve"> </w:t>
      </w:r>
      <w:r>
        <w:rPr>
          <w:sz w:val="21"/>
        </w:rPr>
        <w:t>otherwise</w:t>
      </w:r>
      <w:r>
        <w:rPr>
          <w:spacing w:val="-20"/>
          <w:sz w:val="21"/>
        </w:rPr>
        <w:t xml:space="preserve"> </w:t>
      </w:r>
      <w:r>
        <w:rPr>
          <w:sz w:val="21"/>
        </w:rPr>
        <w:t>appears</w:t>
      </w:r>
      <w:r>
        <w:rPr>
          <w:spacing w:val="-19"/>
          <w:sz w:val="21"/>
        </w:rPr>
        <w:t xml:space="preserve"> </w:t>
      </w:r>
      <w:r>
        <w:rPr>
          <w:sz w:val="21"/>
        </w:rPr>
        <w:t>to</w:t>
      </w:r>
      <w:r>
        <w:rPr>
          <w:spacing w:val="-31"/>
          <w:sz w:val="21"/>
        </w:rPr>
        <w:t xml:space="preserve"> </w:t>
      </w:r>
      <w:r>
        <w:rPr>
          <w:sz w:val="21"/>
        </w:rPr>
        <w:t>be</w:t>
      </w:r>
      <w:r>
        <w:rPr>
          <w:spacing w:val="-32"/>
          <w:sz w:val="21"/>
        </w:rPr>
        <w:t xml:space="preserve"> </w:t>
      </w:r>
      <w:r>
        <w:rPr>
          <w:sz w:val="21"/>
        </w:rPr>
        <w:t>materially misstated.</w:t>
      </w:r>
    </w:p>
    <w:p w14:paraId="1B5C5764" w14:textId="77777777" w:rsidR="00FA4AA8" w:rsidRDefault="0015611F">
      <w:pPr>
        <w:spacing w:before="170"/>
        <w:ind w:left="641" w:right="811" w:hanging="6"/>
        <w:rPr>
          <w:sz w:val="21"/>
        </w:rPr>
      </w:pPr>
      <w:r>
        <w:rPr>
          <w:sz w:val="21"/>
        </w:rPr>
        <w:t>If,</w:t>
      </w:r>
      <w:r>
        <w:rPr>
          <w:spacing w:val="-28"/>
          <w:sz w:val="21"/>
        </w:rPr>
        <w:t xml:space="preserve"> </w:t>
      </w:r>
      <w:r>
        <w:rPr>
          <w:sz w:val="21"/>
        </w:rPr>
        <w:t>based</w:t>
      </w:r>
      <w:r>
        <w:rPr>
          <w:spacing w:val="-27"/>
          <w:sz w:val="21"/>
        </w:rPr>
        <w:t xml:space="preserve"> </w:t>
      </w:r>
      <w:r>
        <w:rPr>
          <w:sz w:val="21"/>
        </w:rPr>
        <w:t>on</w:t>
      </w:r>
      <w:r>
        <w:rPr>
          <w:spacing w:val="-32"/>
          <w:sz w:val="21"/>
        </w:rPr>
        <w:t xml:space="preserve"> </w:t>
      </w:r>
      <w:r>
        <w:rPr>
          <w:sz w:val="21"/>
        </w:rPr>
        <w:t>the</w:t>
      </w:r>
      <w:r>
        <w:rPr>
          <w:spacing w:val="-34"/>
          <w:sz w:val="21"/>
        </w:rPr>
        <w:t xml:space="preserve"> </w:t>
      </w:r>
      <w:r>
        <w:rPr>
          <w:sz w:val="21"/>
        </w:rPr>
        <w:t>work</w:t>
      </w:r>
      <w:r>
        <w:rPr>
          <w:spacing w:val="-27"/>
          <w:sz w:val="21"/>
        </w:rPr>
        <w:t xml:space="preserve"> </w:t>
      </w:r>
      <w:r>
        <w:rPr>
          <w:sz w:val="21"/>
        </w:rPr>
        <w:t>I</w:t>
      </w:r>
      <w:r>
        <w:rPr>
          <w:spacing w:val="-29"/>
          <w:sz w:val="21"/>
        </w:rPr>
        <w:t xml:space="preserve"> </w:t>
      </w:r>
      <w:r>
        <w:rPr>
          <w:sz w:val="21"/>
        </w:rPr>
        <w:t>have</w:t>
      </w:r>
      <w:r>
        <w:rPr>
          <w:spacing w:val="-31"/>
          <w:sz w:val="21"/>
        </w:rPr>
        <w:t xml:space="preserve"> </w:t>
      </w:r>
      <w:r>
        <w:rPr>
          <w:sz w:val="21"/>
        </w:rPr>
        <w:t>performed,</w:t>
      </w:r>
      <w:r>
        <w:rPr>
          <w:spacing w:val="-24"/>
          <w:sz w:val="21"/>
        </w:rPr>
        <w:t xml:space="preserve"> </w:t>
      </w:r>
      <w:r>
        <w:rPr>
          <w:sz w:val="21"/>
        </w:rPr>
        <w:t>I</w:t>
      </w:r>
      <w:r>
        <w:rPr>
          <w:spacing w:val="-27"/>
          <w:sz w:val="21"/>
        </w:rPr>
        <w:t xml:space="preserve"> </w:t>
      </w:r>
      <w:r>
        <w:rPr>
          <w:sz w:val="21"/>
        </w:rPr>
        <w:t>conclude</w:t>
      </w:r>
      <w:r>
        <w:rPr>
          <w:spacing w:val="-24"/>
          <w:sz w:val="21"/>
        </w:rPr>
        <w:t xml:space="preserve"> </w:t>
      </w:r>
      <w:r>
        <w:rPr>
          <w:sz w:val="21"/>
        </w:rPr>
        <w:t>there</w:t>
      </w:r>
      <w:r>
        <w:rPr>
          <w:spacing w:val="-32"/>
          <w:sz w:val="21"/>
        </w:rPr>
        <w:t xml:space="preserve"> </w:t>
      </w:r>
      <w:r>
        <w:rPr>
          <w:sz w:val="21"/>
        </w:rPr>
        <w:t>is</w:t>
      </w:r>
      <w:r>
        <w:rPr>
          <w:spacing w:val="-31"/>
          <w:sz w:val="21"/>
        </w:rPr>
        <w:t xml:space="preserve"> </w:t>
      </w:r>
      <w:r>
        <w:rPr>
          <w:sz w:val="21"/>
        </w:rPr>
        <w:t>a</w:t>
      </w:r>
      <w:r>
        <w:rPr>
          <w:spacing w:val="-33"/>
          <w:sz w:val="21"/>
        </w:rPr>
        <w:t xml:space="preserve"> </w:t>
      </w:r>
      <w:r>
        <w:rPr>
          <w:sz w:val="21"/>
        </w:rPr>
        <w:t>material</w:t>
      </w:r>
      <w:r>
        <w:rPr>
          <w:spacing w:val="-27"/>
          <w:sz w:val="21"/>
        </w:rPr>
        <w:t xml:space="preserve"> </w:t>
      </w:r>
      <w:r>
        <w:rPr>
          <w:sz w:val="21"/>
        </w:rPr>
        <w:t>misstatement</w:t>
      </w:r>
      <w:r>
        <w:rPr>
          <w:spacing w:val="-27"/>
          <w:sz w:val="21"/>
        </w:rPr>
        <w:t xml:space="preserve"> </w:t>
      </w:r>
      <w:r>
        <w:rPr>
          <w:sz w:val="21"/>
        </w:rPr>
        <w:t>of</w:t>
      </w:r>
      <w:r>
        <w:rPr>
          <w:spacing w:val="-30"/>
          <w:sz w:val="21"/>
        </w:rPr>
        <w:t xml:space="preserve"> </w:t>
      </w:r>
      <w:r>
        <w:rPr>
          <w:sz w:val="21"/>
        </w:rPr>
        <w:t>the</w:t>
      </w:r>
      <w:r>
        <w:rPr>
          <w:spacing w:val="-30"/>
          <w:sz w:val="21"/>
        </w:rPr>
        <w:t xml:space="preserve"> </w:t>
      </w:r>
      <w:r>
        <w:rPr>
          <w:sz w:val="21"/>
        </w:rPr>
        <w:t>other information, I must report that</w:t>
      </w:r>
      <w:r>
        <w:rPr>
          <w:spacing w:val="14"/>
          <w:sz w:val="21"/>
        </w:rPr>
        <w:t xml:space="preserve"> </w:t>
      </w:r>
      <w:r>
        <w:rPr>
          <w:sz w:val="21"/>
        </w:rPr>
        <w:t>fact.</w:t>
      </w:r>
    </w:p>
    <w:p w14:paraId="4091669A" w14:textId="77777777" w:rsidR="00FA4AA8" w:rsidRDefault="0015611F">
      <w:pPr>
        <w:spacing w:before="169"/>
        <w:ind w:left="635"/>
        <w:rPr>
          <w:sz w:val="21"/>
        </w:rPr>
      </w:pPr>
      <w:r>
        <w:rPr>
          <w:sz w:val="21"/>
        </w:rPr>
        <w:t>I have nothing to report in this regard.</w:t>
      </w:r>
    </w:p>
    <w:p w14:paraId="251A0288" w14:textId="77777777" w:rsidR="00FA4AA8" w:rsidRDefault="0015611F">
      <w:pPr>
        <w:spacing w:before="173"/>
        <w:ind w:left="637"/>
        <w:rPr>
          <w:b/>
          <w:sz w:val="24"/>
        </w:rPr>
      </w:pPr>
      <w:r>
        <w:rPr>
          <w:b/>
          <w:sz w:val="24"/>
        </w:rPr>
        <w:t>Directors’ Responsibilities for the Financial Statements</w:t>
      </w:r>
    </w:p>
    <w:p w14:paraId="71DFD40D" w14:textId="77777777" w:rsidR="00FA4AA8" w:rsidRDefault="0015611F">
      <w:pPr>
        <w:spacing w:before="114" w:line="237" w:lineRule="auto"/>
        <w:ind w:left="642" w:right="811" w:firstLine="2"/>
        <w:rPr>
          <w:sz w:val="21"/>
        </w:rPr>
      </w:pPr>
      <w:r>
        <w:rPr>
          <w:sz w:val="21"/>
        </w:rPr>
        <w:t>The</w:t>
      </w:r>
      <w:r>
        <w:rPr>
          <w:spacing w:val="-37"/>
          <w:sz w:val="21"/>
        </w:rPr>
        <w:t xml:space="preserve"> </w:t>
      </w:r>
      <w:r>
        <w:rPr>
          <w:sz w:val="21"/>
        </w:rPr>
        <w:t>directors</w:t>
      </w:r>
      <w:r>
        <w:rPr>
          <w:spacing w:val="-34"/>
          <w:sz w:val="21"/>
        </w:rPr>
        <w:t xml:space="preserve"> </w:t>
      </w:r>
      <w:r>
        <w:rPr>
          <w:sz w:val="21"/>
        </w:rPr>
        <w:t>of</w:t>
      </w:r>
      <w:r>
        <w:rPr>
          <w:spacing w:val="-38"/>
          <w:sz w:val="21"/>
        </w:rPr>
        <w:t xml:space="preserve"> </w:t>
      </w:r>
      <w:r>
        <w:rPr>
          <w:sz w:val="21"/>
        </w:rPr>
        <w:t>the</w:t>
      </w:r>
      <w:r>
        <w:rPr>
          <w:spacing w:val="-38"/>
          <w:sz w:val="21"/>
        </w:rPr>
        <w:t xml:space="preserve"> </w:t>
      </w:r>
      <w:r>
        <w:rPr>
          <w:sz w:val="21"/>
        </w:rPr>
        <w:t>Company</w:t>
      </w:r>
      <w:r>
        <w:rPr>
          <w:spacing w:val="-30"/>
          <w:sz w:val="21"/>
        </w:rPr>
        <w:t xml:space="preserve"> </w:t>
      </w:r>
      <w:r>
        <w:rPr>
          <w:sz w:val="21"/>
        </w:rPr>
        <w:t>are</w:t>
      </w:r>
      <w:r>
        <w:rPr>
          <w:spacing w:val="-39"/>
          <w:sz w:val="21"/>
        </w:rPr>
        <w:t xml:space="preserve"> </w:t>
      </w:r>
      <w:r>
        <w:rPr>
          <w:sz w:val="21"/>
        </w:rPr>
        <w:t>responsible</w:t>
      </w:r>
      <w:r>
        <w:rPr>
          <w:spacing w:val="-29"/>
          <w:sz w:val="21"/>
        </w:rPr>
        <w:t xml:space="preserve"> </w:t>
      </w:r>
      <w:r>
        <w:rPr>
          <w:sz w:val="21"/>
        </w:rPr>
        <w:t>for</w:t>
      </w:r>
      <w:r>
        <w:rPr>
          <w:spacing w:val="-36"/>
          <w:sz w:val="21"/>
        </w:rPr>
        <w:t xml:space="preserve"> </w:t>
      </w:r>
      <w:r>
        <w:rPr>
          <w:sz w:val="21"/>
        </w:rPr>
        <w:t>the</w:t>
      </w:r>
      <w:r>
        <w:rPr>
          <w:spacing w:val="-36"/>
          <w:sz w:val="21"/>
        </w:rPr>
        <w:t xml:space="preserve"> </w:t>
      </w:r>
      <w:r>
        <w:rPr>
          <w:sz w:val="21"/>
        </w:rPr>
        <w:t>preparation</w:t>
      </w:r>
      <w:r>
        <w:rPr>
          <w:spacing w:val="-33"/>
          <w:sz w:val="21"/>
        </w:rPr>
        <w:t xml:space="preserve"> </w:t>
      </w:r>
      <w:r>
        <w:rPr>
          <w:sz w:val="21"/>
        </w:rPr>
        <w:t>and</w:t>
      </w:r>
      <w:r>
        <w:rPr>
          <w:spacing w:val="-37"/>
          <w:sz w:val="21"/>
        </w:rPr>
        <w:t xml:space="preserve"> </w:t>
      </w:r>
      <w:r>
        <w:rPr>
          <w:sz w:val="21"/>
        </w:rPr>
        <w:t>fair</w:t>
      </w:r>
      <w:r>
        <w:rPr>
          <w:spacing w:val="-36"/>
          <w:sz w:val="21"/>
        </w:rPr>
        <w:t xml:space="preserve"> </w:t>
      </w:r>
      <w:r>
        <w:rPr>
          <w:sz w:val="21"/>
        </w:rPr>
        <w:t>presentation</w:t>
      </w:r>
      <w:r>
        <w:rPr>
          <w:spacing w:val="-33"/>
          <w:sz w:val="21"/>
        </w:rPr>
        <w:t xml:space="preserve"> </w:t>
      </w:r>
      <w:r>
        <w:rPr>
          <w:sz w:val="21"/>
        </w:rPr>
        <w:t>of</w:t>
      </w:r>
      <w:r>
        <w:rPr>
          <w:spacing w:val="-36"/>
          <w:sz w:val="21"/>
        </w:rPr>
        <w:t xml:space="preserve"> </w:t>
      </w:r>
      <w:r>
        <w:rPr>
          <w:sz w:val="21"/>
        </w:rPr>
        <w:t>the</w:t>
      </w:r>
      <w:r>
        <w:rPr>
          <w:spacing w:val="-35"/>
          <w:sz w:val="21"/>
        </w:rPr>
        <w:t xml:space="preserve"> </w:t>
      </w:r>
      <w:r>
        <w:rPr>
          <w:sz w:val="21"/>
        </w:rPr>
        <w:t>financial statements</w:t>
      </w:r>
      <w:r>
        <w:rPr>
          <w:spacing w:val="-29"/>
          <w:sz w:val="21"/>
        </w:rPr>
        <w:t xml:space="preserve"> </w:t>
      </w:r>
      <w:r>
        <w:rPr>
          <w:sz w:val="21"/>
        </w:rPr>
        <w:t>in</w:t>
      </w:r>
      <w:r>
        <w:rPr>
          <w:spacing w:val="-32"/>
          <w:sz w:val="21"/>
        </w:rPr>
        <w:t xml:space="preserve"> </w:t>
      </w:r>
      <w:r>
        <w:rPr>
          <w:sz w:val="21"/>
        </w:rPr>
        <w:t>accordance</w:t>
      </w:r>
      <w:r>
        <w:rPr>
          <w:spacing w:val="-26"/>
          <w:sz w:val="21"/>
        </w:rPr>
        <w:t xml:space="preserve"> </w:t>
      </w:r>
      <w:r>
        <w:rPr>
          <w:sz w:val="21"/>
        </w:rPr>
        <w:t>with</w:t>
      </w:r>
      <w:r>
        <w:rPr>
          <w:spacing w:val="-29"/>
          <w:sz w:val="21"/>
        </w:rPr>
        <w:t xml:space="preserve"> </w:t>
      </w:r>
      <w:r>
        <w:rPr>
          <w:sz w:val="21"/>
        </w:rPr>
        <w:t>Australian</w:t>
      </w:r>
      <w:r>
        <w:rPr>
          <w:spacing w:val="-24"/>
          <w:sz w:val="21"/>
        </w:rPr>
        <w:t xml:space="preserve"> </w:t>
      </w:r>
      <w:r>
        <w:rPr>
          <w:sz w:val="21"/>
        </w:rPr>
        <w:t>Accounting</w:t>
      </w:r>
      <w:r>
        <w:rPr>
          <w:spacing w:val="-23"/>
          <w:sz w:val="21"/>
        </w:rPr>
        <w:t xml:space="preserve"> </w:t>
      </w:r>
      <w:r>
        <w:rPr>
          <w:sz w:val="21"/>
        </w:rPr>
        <w:t>Standards,</w:t>
      </w:r>
      <w:r>
        <w:rPr>
          <w:spacing w:val="-21"/>
          <w:sz w:val="21"/>
        </w:rPr>
        <w:t xml:space="preserve"> </w:t>
      </w:r>
      <w:r>
        <w:rPr>
          <w:sz w:val="21"/>
        </w:rPr>
        <w:t>the</w:t>
      </w:r>
      <w:r>
        <w:rPr>
          <w:spacing w:val="-33"/>
          <w:sz w:val="21"/>
        </w:rPr>
        <w:t xml:space="preserve"> </w:t>
      </w:r>
      <w:r>
        <w:rPr>
          <w:sz w:val="21"/>
        </w:rPr>
        <w:t>PF&amp;A</w:t>
      </w:r>
      <w:r>
        <w:rPr>
          <w:spacing w:val="-28"/>
          <w:sz w:val="21"/>
        </w:rPr>
        <w:t xml:space="preserve"> </w:t>
      </w:r>
      <w:r>
        <w:rPr>
          <w:sz w:val="21"/>
        </w:rPr>
        <w:t>Act,</w:t>
      </w:r>
      <w:r>
        <w:rPr>
          <w:spacing w:val="-27"/>
          <w:sz w:val="21"/>
        </w:rPr>
        <w:t xml:space="preserve"> </w:t>
      </w:r>
      <w:r w:rsidR="00A74DE7" w:rsidRPr="00A74DE7">
        <w:rPr>
          <w:i/>
          <w:sz w:val="21"/>
        </w:rPr>
        <w:t>Corporations</w:t>
      </w:r>
      <w:r w:rsidRPr="00A74DE7">
        <w:rPr>
          <w:i/>
          <w:spacing w:val="-24"/>
          <w:sz w:val="21"/>
        </w:rPr>
        <w:t xml:space="preserve"> </w:t>
      </w:r>
      <w:r>
        <w:rPr>
          <w:i/>
          <w:sz w:val="21"/>
        </w:rPr>
        <w:t>Act 2001,</w:t>
      </w:r>
      <w:r>
        <w:rPr>
          <w:i/>
          <w:spacing w:val="-35"/>
          <w:sz w:val="21"/>
        </w:rPr>
        <w:t xml:space="preserve"> </w:t>
      </w:r>
      <w:r>
        <w:rPr>
          <w:i/>
          <w:sz w:val="21"/>
        </w:rPr>
        <w:t>the</w:t>
      </w:r>
      <w:r>
        <w:rPr>
          <w:i/>
          <w:spacing w:val="-34"/>
          <w:sz w:val="21"/>
        </w:rPr>
        <w:t xml:space="preserve"> </w:t>
      </w:r>
      <w:r>
        <w:rPr>
          <w:i/>
          <w:sz w:val="21"/>
        </w:rPr>
        <w:t>Australian</w:t>
      </w:r>
      <w:r>
        <w:rPr>
          <w:i/>
          <w:spacing w:val="-32"/>
          <w:sz w:val="21"/>
        </w:rPr>
        <w:t xml:space="preserve"> </w:t>
      </w:r>
      <w:r>
        <w:rPr>
          <w:i/>
          <w:sz w:val="21"/>
        </w:rPr>
        <w:t>Charities</w:t>
      </w:r>
      <w:r>
        <w:rPr>
          <w:i/>
          <w:spacing w:val="-27"/>
          <w:sz w:val="21"/>
        </w:rPr>
        <w:t xml:space="preserve"> </w:t>
      </w:r>
      <w:r>
        <w:rPr>
          <w:i/>
          <w:sz w:val="21"/>
        </w:rPr>
        <w:t>and</w:t>
      </w:r>
      <w:r>
        <w:rPr>
          <w:i/>
          <w:spacing w:val="-31"/>
          <w:sz w:val="21"/>
        </w:rPr>
        <w:t xml:space="preserve"> </w:t>
      </w:r>
      <w:r>
        <w:rPr>
          <w:i/>
          <w:sz w:val="21"/>
        </w:rPr>
        <w:t>Not-for-profits</w:t>
      </w:r>
      <w:r>
        <w:rPr>
          <w:i/>
          <w:spacing w:val="-39"/>
          <w:sz w:val="21"/>
        </w:rPr>
        <w:t xml:space="preserve"> </w:t>
      </w:r>
      <w:r>
        <w:rPr>
          <w:i/>
          <w:sz w:val="21"/>
        </w:rPr>
        <w:t>Commission</w:t>
      </w:r>
      <w:r>
        <w:rPr>
          <w:i/>
          <w:spacing w:val="-22"/>
          <w:sz w:val="21"/>
        </w:rPr>
        <w:t xml:space="preserve"> </w:t>
      </w:r>
      <w:r>
        <w:rPr>
          <w:i/>
          <w:sz w:val="21"/>
        </w:rPr>
        <w:t>Act</w:t>
      </w:r>
      <w:r>
        <w:rPr>
          <w:i/>
          <w:spacing w:val="-33"/>
          <w:sz w:val="21"/>
        </w:rPr>
        <w:t xml:space="preserve"> </w:t>
      </w:r>
      <w:r>
        <w:rPr>
          <w:i/>
          <w:sz w:val="21"/>
        </w:rPr>
        <w:t>2012</w:t>
      </w:r>
      <w:r>
        <w:rPr>
          <w:i/>
          <w:spacing w:val="-31"/>
          <w:sz w:val="21"/>
        </w:rPr>
        <w:t xml:space="preserve"> </w:t>
      </w:r>
      <w:r>
        <w:rPr>
          <w:sz w:val="21"/>
        </w:rPr>
        <w:t>and</w:t>
      </w:r>
      <w:r>
        <w:rPr>
          <w:spacing w:val="-32"/>
          <w:sz w:val="21"/>
        </w:rPr>
        <w:t xml:space="preserve"> </w:t>
      </w:r>
      <w:r>
        <w:rPr>
          <w:sz w:val="21"/>
        </w:rPr>
        <w:t>for</w:t>
      </w:r>
      <w:r>
        <w:rPr>
          <w:spacing w:val="-35"/>
          <w:sz w:val="21"/>
        </w:rPr>
        <w:t xml:space="preserve"> </w:t>
      </w:r>
      <w:r>
        <w:rPr>
          <w:sz w:val="21"/>
        </w:rPr>
        <w:t>such</w:t>
      </w:r>
      <w:r>
        <w:rPr>
          <w:spacing w:val="-35"/>
          <w:sz w:val="21"/>
        </w:rPr>
        <w:t xml:space="preserve"> </w:t>
      </w:r>
      <w:r>
        <w:rPr>
          <w:sz w:val="21"/>
        </w:rPr>
        <w:t>internal</w:t>
      </w:r>
      <w:r>
        <w:rPr>
          <w:spacing w:val="-37"/>
          <w:sz w:val="21"/>
        </w:rPr>
        <w:t xml:space="preserve"> </w:t>
      </w:r>
      <w:r>
        <w:rPr>
          <w:sz w:val="21"/>
        </w:rPr>
        <w:t>control as</w:t>
      </w:r>
      <w:r>
        <w:rPr>
          <w:spacing w:val="-36"/>
          <w:sz w:val="21"/>
        </w:rPr>
        <w:t xml:space="preserve"> </w:t>
      </w:r>
      <w:r>
        <w:rPr>
          <w:sz w:val="21"/>
        </w:rPr>
        <w:t>the</w:t>
      </w:r>
      <w:r>
        <w:rPr>
          <w:spacing w:val="-37"/>
          <w:sz w:val="21"/>
        </w:rPr>
        <w:t xml:space="preserve"> </w:t>
      </w:r>
      <w:r>
        <w:rPr>
          <w:sz w:val="21"/>
        </w:rPr>
        <w:t>directors</w:t>
      </w:r>
      <w:r>
        <w:rPr>
          <w:spacing w:val="-37"/>
          <w:sz w:val="21"/>
        </w:rPr>
        <w:t xml:space="preserve"> </w:t>
      </w:r>
      <w:r>
        <w:rPr>
          <w:sz w:val="21"/>
        </w:rPr>
        <w:t>determine</w:t>
      </w:r>
      <w:r>
        <w:rPr>
          <w:spacing w:val="-34"/>
          <w:sz w:val="21"/>
        </w:rPr>
        <w:t xml:space="preserve"> </w:t>
      </w:r>
      <w:r>
        <w:rPr>
          <w:sz w:val="21"/>
        </w:rPr>
        <w:t>is</w:t>
      </w:r>
      <w:r>
        <w:rPr>
          <w:spacing w:val="-37"/>
          <w:sz w:val="21"/>
        </w:rPr>
        <w:t xml:space="preserve"> </w:t>
      </w:r>
      <w:r>
        <w:rPr>
          <w:sz w:val="21"/>
        </w:rPr>
        <w:t>necessary</w:t>
      </w:r>
      <w:r>
        <w:rPr>
          <w:spacing w:val="-33"/>
          <w:sz w:val="21"/>
        </w:rPr>
        <w:t xml:space="preserve"> </w:t>
      </w:r>
      <w:r>
        <w:rPr>
          <w:sz w:val="21"/>
        </w:rPr>
        <w:t>to</w:t>
      </w:r>
      <w:r>
        <w:rPr>
          <w:spacing w:val="-37"/>
          <w:sz w:val="21"/>
        </w:rPr>
        <w:t xml:space="preserve"> </w:t>
      </w:r>
      <w:r>
        <w:rPr>
          <w:sz w:val="21"/>
        </w:rPr>
        <w:t>enable</w:t>
      </w:r>
      <w:r>
        <w:rPr>
          <w:spacing w:val="-36"/>
          <w:sz w:val="21"/>
        </w:rPr>
        <w:t xml:space="preserve"> </w:t>
      </w:r>
      <w:r>
        <w:rPr>
          <w:sz w:val="21"/>
        </w:rPr>
        <w:t>the</w:t>
      </w:r>
      <w:r>
        <w:rPr>
          <w:spacing w:val="-37"/>
          <w:sz w:val="21"/>
        </w:rPr>
        <w:t xml:space="preserve"> </w:t>
      </w:r>
      <w:r>
        <w:rPr>
          <w:sz w:val="21"/>
        </w:rPr>
        <w:t>preparation</w:t>
      </w:r>
      <w:r>
        <w:rPr>
          <w:spacing w:val="-32"/>
          <w:sz w:val="21"/>
        </w:rPr>
        <w:t xml:space="preserve"> </w:t>
      </w:r>
      <w:r>
        <w:rPr>
          <w:sz w:val="21"/>
        </w:rPr>
        <w:t>and</w:t>
      </w:r>
      <w:r>
        <w:rPr>
          <w:spacing w:val="-35"/>
          <w:sz w:val="21"/>
        </w:rPr>
        <w:t xml:space="preserve"> </w:t>
      </w:r>
      <w:r>
        <w:rPr>
          <w:sz w:val="21"/>
        </w:rPr>
        <w:t>fair</w:t>
      </w:r>
      <w:r>
        <w:rPr>
          <w:spacing w:val="-38"/>
          <w:sz w:val="21"/>
        </w:rPr>
        <w:t xml:space="preserve"> </w:t>
      </w:r>
      <w:r>
        <w:rPr>
          <w:sz w:val="21"/>
        </w:rPr>
        <w:t>presentation</w:t>
      </w:r>
      <w:r>
        <w:rPr>
          <w:spacing w:val="-34"/>
          <w:sz w:val="21"/>
        </w:rPr>
        <w:t xml:space="preserve"> </w:t>
      </w:r>
      <w:r>
        <w:rPr>
          <w:sz w:val="21"/>
        </w:rPr>
        <w:t>of</w:t>
      </w:r>
      <w:r>
        <w:rPr>
          <w:spacing w:val="-38"/>
          <w:sz w:val="21"/>
        </w:rPr>
        <w:t xml:space="preserve"> </w:t>
      </w:r>
      <w:r>
        <w:rPr>
          <w:sz w:val="21"/>
        </w:rPr>
        <w:t>the</w:t>
      </w:r>
      <w:r>
        <w:rPr>
          <w:spacing w:val="-35"/>
          <w:sz w:val="21"/>
        </w:rPr>
        <w:t xml:space="preserve"> </w:t>
      </w:r>
      <w:r>
        <w:rPr>
          <w:sz w:val="21"/>
        </w:rPr>
        <w:t>financial statements</w:t>
      </w:r>
      <w:r>
        <w:rPr>
          <w:spacing w:val="3"/>
          <w:sz w:val="21"/>
        </w:rPr>
        <w:t xml:space="preserve"> </w:t>
      </w:r>
      <w:r>
        <w:rPr>
          <w:sz w:val="21"/>
        </w:rPr>
        <w:t>that</w:t>
      </w:r>
      <w:r>
        <w:rPr>
          <w:spacing w:val="-15"/>
          <w:sz w:val="21"/>
        </w:rPr>
        <w:t xml:space="preserve"> </w:t>
      </w:r>
      <w:r>
        <w:rPr>
          <w:sz w:val="21"/>
        </w:rPr>
        <w:t>are</w:t>
      </w:r>
      <w:r>
        <w:rPr>
          <w:spacing w:val="-9"/>
          <w:sz w:val="21"/>
        </w:rPr>
        <w:t xml:space="preserve"> </w:t>
      </w:r>
      <w:r>
        <w:rPr>
          <w:sz w:val="21"/>
        </w:rPr>
        <w:t>free</w:t>
      </w:r>
      <w:r>
        <w:rPr>
          <w:spacing w:val="-11"/>
          <w:sz w:val="21"/>
        </w:rPr>
        <w:t xml:space="preserve"> </w:t>
      </w:r>
      <w:r>
        <w:rPr>
          <w:sz w:val="21"/>
        </w:rPr>
        <w:t>from</w:t>
      </w:r>
      <w:r>
        <w:rPr>
          <w:spacing w:val="-9"/>
          <w:sz w:val="21"/>
        </w:rPr>
        <w:t xml:space="preserve"> </w:t>
      </w:r>
      <w:r>
        <w:rPr>
          <w:sz w:val="21"/>
        </w:rPr>
        <w:t>material</w:t>
      </w:r>
      <w:r>
        <w:rPr>
          <w:spacing w:val="-4"/>
          <w:sz w:val="21"/>
        </w:rPr>
        <w:t xml:space="preserve"> </w:t>
      </w:r>
      <w:r>
        <w:rPr>
          <w:sz w:val="21"/>
        </w:rPr>
        <w:t>misstatement,</w:t>
      </w:r>
      <w:r>
        <w:rPr>
          <w:spacing w:val="13"/>
          <w:sz w:val="21"/>
        </w:rPr>
        <w:t xml:space="preserve"> </w:t>
      </w:r>
      <w:r>
        <w:rPr>
          <w:sz w:val="21"/>
        </w:rPr>
        <w:t>whether</w:t>
      </w:r>
      <w:r>
        <w:rPr>
          <w:spacing w:val="-4"/>
          <w:sz w:val="21"/>
        </w:rPr>
        <w:t xml:space="preserve"> </w:t>
      </w:r>
      <w:r>
        <w:rPr>
          <w:sz w:val="21"/>
        </w:rPr>
        <w:t>due</w:t>
      </w:r>
      <w:r>
        <w:rPr>
          <w:spacing w:val="-15"/>
          <w:sz w:val="21"/>
        </w:rPr>
        <w:t xml:space="preserve"> </w:t>
      </w:r>
      <w:r>
        <w:rPr>
          <w:sz w:val="21"/>
        </w:rPr>
        <w:t>to</w:t>
      </w:r>
      <w:r>
        <w:rPr>
          <w:spacing w:val="-11"/>
          <w:sz w:val="21"/>
        </w:rPr>
        <w:t xml:space="preserve"> </w:t>
      </w:r>
      <w:r>
        <w:rPr>
          <w:sz w:val="21"/>
        </w:rPr>
        <w:t>fraud</w:t>
      </w:r>
      <w:r>
        <w:rPr>
          <w:spacing w:val="-4"/>
          <w:sz w:val="21"/>
        </w:rPr>
        <w:t xml:space="preserve"> </w:t>
      </w:r>
      <w:r>
        <w:rPr>
          <w:sz w:val="21"/>
        </w:rPr>
        <w:t>or</w:t>
      </w:r>
      <w:r>
        <w:rPr>
          <w:spacing w:val="-7"/>
          <w:sz w:val="21"/>
        </w:rPr>
        <w:t xml:space="preserve"> </w:t>
      </w:r>
      <w:r>
        <w:rPr>
          <w:sz w:val="21"/>
        </w:rPr>
        <w:t>error.</w:t>
      </w:r>
    </w:p>
    <w:p w14:paraId="32D6DCDA" w14:textId="77777777" w:rsidR="00FA4AA8" w:rsidRDefault="0015611F">
      <w:pPr>
        <w:spacing w:before="171"/>
        <w:ind w:left="642" w:right="645" w:firstLine="3"/>
        <w:rPr>
          <w:sz w:val="21"/>
        </w:rPr>
      </w:pPr>
      <w:r>
        <w:rPr>
          <w:w w:val="95"/>
          <w:sz w:val="21"/>
        </w:rPr>
        <w:t>In</w:t>
      </w:r>
      <w:r>
        <w:rPr>
          <w:spacing w:val="-11"/>
          <w:w w:val="95"/>
          <w:sz w:val="21"/>
        </w:rPr>
        <w:t xml:space="preserve"> </w:t>
      </w:r>
      <w:r>
        <w:rPr>
          <w:w w:val="95"/>
          <w:sz w:val="21"/>
        </w:rPr>
        <w:t>preparing</w:t>
      </w:r>
      <w:r>
        <w:rPr>
          <w:spacing w:val="-5"/>
          <w:w w:val="95"/>
          <w:sz w:val="21"/>
        </w:rPr>
        <w:t xml:space="preserve"> </w:t>
      </w:r>
      <w:r>
        <w:rPr>
          <w:w w:val="95"/>
          <w:sz w:val="21"/>
        </w:rPr>
        <w:t>the</w:t>
      </w:r>
      <w:r>
        <w:rPr>
          <w:spacing w:val="-15"/>
          <w:w w:val="95"/>
          <w:sz w:val="21"/>
        </w:rPr>
        <w:t xml:space="preserve"> </w:t>
      </w:r>
      <w:r>
        <w:rPr>
          <w:w w:val="95"/>
          <w:sz w:val="21"/>
        </w:rPr>
        <w:t>financial</w:t>
      </w:r>
      <w:r>
        <w:rPr>
          <w:spacing w:val="-8"/>
          <w:w w:val="95"/>
          <w:sz w:val="21"/>
        </w:rPr>
        <w:t xml:space="preserve"> </w:t>
      </w:r>
      <w:r>
        <w:rPr>
          <w:w w:val="95"/>
          <w:sz w:val="21"/>
        </w:rPr>
        <w:t>statements, the</w:t>
      </w:r>
      <w:r>
        <w:rPr>
          <w:spacing w:val="-12"/>
          <w:w w:val="95"/>
          <w:sz w:val="21"/>
        </w:rPr>
        <w:t xml:space="preserve"> </w:t>
      </w:r>
      <w:r>
        <w:rPr>
          <w:w w:val="95"/>
          <w:sz w:val="21"/>
        </w:rPr>
        <w:t>directors</w:t>
      </w:r>
      <w:r>
        <w:rPr>
          <w:spacing w:val="-4"/>
          <w:w w:val="95"/>
          <w:sz w:val="21"/>
        </w:rPr>
        <w:t xml:space="preserve"> </w:t>
      </w:r>
      <w:r>
        <w:rPr>
          <w:w w:val="95"/>
          <w:sz w:val="21"/>
        </w:rPr>
        <w:t>are</w:t>
      </w:r>
      <w:r>
        <w:rPr>
          <w:spacing w:val="-12"/>
          <w:w w:val="95"/>
          <w:sz w:val="21"/>
        </w:rPr>
        <w:t xml:space="preserve"> </w:t>
      </w:r>
      <w:r>
        <w:rPr>
          <w:w w:val="95"/>
          <w:sz w:val="21"/>
        </w:rPr>
        <w:t>responsible</w:t>
      </w:r>
      <w:r>
        <w:rPr>
          <w:spacing w:val="-3"/>
          <w:w w:val="95"/>
          <w:sz w:val="21"/>
        </w:rPr>
        <w:t xml:space="preserve"> </w:t>
      </w:r>
      <w:r>
        <w:rPr>
          <w:w w:val="95"/>
          <w:sz w:val="21"/>
        </w:rPr>
        <w:t>for</w:t>
      </w:r>
      <w:r>
        <w:rPr>
          <w:spacing w:val="-8"/>
          <w:w w:val="95"/>
          <w:sz w:val="21"/>
        </w:rPr>
        <w:t xml:space="preserve"> </w:t>
      </w:r>
      <w:r>
        <w:rPr>
          <w:w w:val="95"/>
          <w:sz w:val="21"/>
        </w:rPr>
        <w:t>assessing</w:t>
      </w:r>
      <w:r>
        <w:rPr>
          <w:spacing w:val="2"/>
          <w:w w:val="95"/>
          <w:sz w:val="21"/>
        </w:rPr>
        <w:t xml:space="preserve"> </w:t>
      </w:r>
      <w:r>
        <w:rPr>
          <w:w w:val="95"/>
          <w:sz w:val="21"/>
        </w:rPr>
        <w:t>the</w:t>
      </w:r>
      <w:r>
        <w:rPr>
          <w:spacing w:val="-14"/>
          <w:w w:val="95"/>
          <w:sz w:val="21"/>
        </w:rPr>
        <w:t xml:space="preserve"> </w:t>
      </w:r>
      <w:r>
        <w:rPr>
          <w:w w:val="95"/>
          <w:sz w:val="21"/>
        </w:rPr>
        <w:t>Company’s</w:t>
      </w:r>
      <w:r>
        <w:rPr>
          <w:spacing w:val="-2"/>
          <w:w w:val="95"/>
          <w:sz w:val="21"/>
        </w:rPr>
        <w:t xml:space="preserve"> </w:t>
      </w:r>
      <w:r>
        <w:rPr>
          <w:w w:val="95"/>
          <w:sz w:val="21"/>
        </w:rPr>
        <w:t xml:space="preserve">ability </w:t>
      </w:r>
      <w:r>
        <w:rPr>
          <w:sz w:val="21"/>
        </w:rPr>
        <w:t>to</w:t>
      </w:r>
      <w:r>
        <w:rPr>
          <w:spacing w:val="-34"/>
          <w:sz w:val="21"/>
        </w:rPr>
        <w:t xml:space="preserve"> </w:t>
      </w:r>
      <w:r>
        <w:rPr>
          <w:sz w:val="21"/>
        </w:rPr>
        <w:t>continue</w:t>
      </w:r>
      <w:r>
        <w:rPr>
          <w:spacing w:val="-28"/>
          <w:sz w:val="21"/>
        </w:rPr>
        <w:t xml:space="preserve"> </w:t>
      </w:r>
      <w:r>
        <w:rPr>
          <w:sz w:val="21"/>
        </w:rPr>
        <w:t>as</w:t>
      </w:r>
      <w:r>
        <w:rPr>
          <w:spacing w:val="-32"/>
          <w:sz w:val="21"/>
        </w:rPr>
        <w:t xml:space="preserve"> </w:t>
      </w:r>
      <w:r>
        <w:rPr>
          <w:sz w:val="21"/>
        </w:rPr>
        <w:t>a</w:t>
      </w:r>
      <w:r>
        <w:rPr>
          <w:spacing w:val="-33"/>
          <w:sz w:val="21"/>
        </w:rPr>
        <w:t xml:space="preserve"> </w:t>
      </w:r>
      <w:r>
        <w:rPr>
          <w:sz w:val="21"/>
        </w:rPr>
        <w:t>going</w:t>
      </w:r>
      <w:r>
        <w:rPr>
          <w:spacing w:val="-31"/>
          <w:sz w:val="21"/>
        </w:rPr>
        <w:t xml:space="preserve"> </w:t>
      </w:r>
      <w:r>
        <w:rPr>
          <w:sz w:val="21"/>
        </w:rPr>
        <w:t>concern,</w:t>
      </w:r>
      <w:r>
        <w:rPr>
          <w:spacing w:val="-27"/>
          <w:sz w:val="21"/>
        </w:rPr>
        <w:t xml:space="preserve"> </w:t>
      </w:r>
      <w:r>
        <w:rPr>
          <w:sz w:val="21"/>
        </w:rPr>
        <w:t>disclosing,</w:t>
      </w:r>
      <w:r>
        <w:rPr>
          <w:spacing w:val="-23"/>
          <w:sz w:val="21"/>
        </w:rPr>
        <w:t xml:space="preserve"> </w:t>
      </w:r>
      <w:r>
        <w:rPr>
          <w:sz w:val="21"/>
        </w:rPr>
        <w:t>as</w:t>
      </w:r>
      <w:r>
        <w:rPr>
          <w:spacing w:val="-30"/>
          <w:sz w:val="21"/>
        </w:rPr>
        <w:t xml:space="preserve"> </w:t>
      </w:r>
      <w:r>
        <w:rPr>
          <w:sz w:val="21"/>
        </w:rPr>
        <w:t>applicable,</w:t>
      </w:r>
      <w:r>
        <w:rPr>
          <w:spacing w:val="-24"/>
          <w:sz w:val="21"/>
        </w:rPr>
        <w:t xml:space="preserve"> </w:t>
      </w:r>
      <w:r>
        <w:rPr>
          <w:sz w:val="21"/>
        </w:rPr>
        <w:t>matters</w:t>
      </w:r>
      <w:r>
        <w:rPr>
          <w:spacing w:val="-26"/>
          <w:sz w:val="21"/>
        </w:rPr>
        <w:t xml:space="preserve"> </w:t>
      </w:r>
      <w:r>
        <w:rPr>
          <w:sz w:val="21"/>
        </w:rPr>
        <w:t>related</w:t>
      </w:r>
      <w:r>
        <w:rPr>
          <w:spacing w:val="-26"/>
          <w:sz w:val="21"/>
        </w:rPr>
        <w:t xml:space="preserve"> </w:t>
      </w:r>
      <w:r>
        <w:rPr>
          <w:sz w:val="21"/>
        </w:rPr>
        <w:t>to</w:t>
      </w:r>
      <w:r>
        <w:rPr>
          <w:spacing w:val="-32"/>
          <w:sz w:val="21"/>
        </w:rPr>
        <w:t xml:space="preserve"> </w:t>
      </w:r>
      <w:r>
        <w:rPr>
          <w:sz w:val="21"/>
        </w:rPr>
        <w:t>going</w:t>
      </w:r>
      <w:r>
        <w:rPr>
          <w:spacing w:val="-32"/>
          <w:sz w:val="21"/>
        </w:rPr>
        <w:t xml:space="preserve"> </w:t>
      </w:r>
      <w:r>
        <w:rPr>
          <w:sz w:val="21"/>
        </w:rPr>
        <w:t>concern</w:t>
      </w:r>
      <w:r>
        <w:rPr>
          <w:spacing w:val="-31"/>
          <w:sz w:val="21"/>
        </w:rPr>
        <w:t xml:space="preserve"> </w:t>
      </w:r>
      <w:r>
        <w:rPr>
          <w:sz w:val="21"/>
        </w:rPr>
        <w:t>and</w:t>
      </w:r>
      <w:r>
        <w:rPr>
          <w:spacing w:val="-32"/>
          <w:sz w:val="21"/>
        </w:rPr>
        <w:t xml:space="preserve"> </w:t>
      </w:r>
      <w:r>
        <w:rPr>
          <w:sz w:val="21"/>
        </w:rPr>
        <w:t>using the</w:t>
      </w:r>
      <w:r>
        <w:rPr>
          <w:spacing w:val="-35"/>
          <w:sz w:val="21"/>
        </w:rPr>
        <w:t xml:space="preserve"> </w:t>
      </w:r>
      <w:r>
        <w:rPr>
          <w:sz w:val="21"/>
        </w:rPr>
        <w:t>going</w:t>
      </w:r>
      <w:r>
        <w:rPr>
          <w:spacing w:val="-32"/>
          <w:sz w:val="21"/>
        </w:rPr>
        <w:t xml:space="preserve"> </w:t>
      </w:r>
      <w:r>
        <w:rPr>
          <w:sz w:val="21"/>
        </w:rPr>
        <w:t>concern</w:t>
      </w:r>
      <w:r>
        <w:rPr>
          <w:spacing w:val="-35"/>
          <w:sz w:val="21"/>
        </w:rPr>
        <w:t xml:space="preserve"> </w:t>
      </w:r>
      <w:r>
        <w:rPr>
          <w:sz w:val="21"/>
        </w:rPr>
        <w:t>basis</w:t>
      </w:r>
      <w:r>
        <w:rPr>
          <w:spacing w:val="-36"/>
          <w:sz w:val="21"/>
        </w:rPr>
        <w:t xml:space="preserve"> </w:t>
      </w:r>
      <w:r>
        <w:rPr>
          <w:sz w:val="21"/>
        </w:rPr>
        <w:t>of</w:t>
      </w:r>
      <w:r>
        <w:rPr>
          <w:spacing w:val="-36"/>
          <w:sz w:val="21"/>
        </w:rPr>
        <w:t xml:space="preserve"> </w:t>
      </w:r>
      <w:r>
        <w:rPr>
          <w:sz w:val="21"/>
        </w:rPr>
        <w:t>accounting</w:t>
      </w:r>
      <w:r>
        <w:rPr>
          <w:spacing w:val="-29"/>
          <w:sz w:val="21"/>
        </w:rPr>
        <w:t xml:space="preserve"> </w:t>
      </w:r>
      <w:r>
        <w:rPr>
          <w:sz w:val="21"/>
        </w:rPr>
        <w:t>unless</w:t>
      </w:r>
      <w:r>
        <w:rPr>
          <w:spacing w:val="-28"/>
          <w:sz w:val="21"/>
        </w:rPr>
        <w:t xml:space="preserve"> </w:t>
      </w:r>
      <w:r>
        <w:rPr>
          <w:sz w:val="21"/>
        </w:rPr>
        <w:t>the</w:t>
      </w:r>
      <w:r>
        <w:rPr>
          <w:spacing w:val="-33"/>
          <w:sz w:val="21"/>
        </w:rPr>
        <w:t xml:space="preserve"> </w:t>
      </w:r>
      <w:r>
        <w:rPr>
          <w:sz w:val="21"/>
        </w:rPr>
        <w:t>directors</w:t>
      </w:r>
      <w:r>
        <w:rPr>
          <w:spacing w:val="-32"/>
          <w:sz w:val="21"/>
        </w:rPr>
        <w:t xml:space="preserve"> </w:t>
      </w:r>
      <w:r>
        <w:rPr>
          <w:sz w:val="21"/>
        </w:rPr>
        <w:t>either</w:t>
      </w:r>
      <w:r>
        <w:rPr>
          <w:spacing w:val="-31"/>
          <w:sz w:val="21"/>
        </w:rPr>
        <w:t xml:space="preserve"> </w:t>
      </w:r>
      <w:r>
        <w:rPr>
          <w:sz w:val="21"/>
        </w:rPr>
        <w:t>intend</w:t>
      </w:r>
      <w:r>
        <w:rPr>
          <w:spacing w:val="-35"/>
          <w:sz w:val="21"/>
        </w:rPr>
        <w:t xml:space="preserve"> </w:t>
      </w:r>
      <w:r>
        <w:rPr>
          <w:sz w:val="21"/>
        </w:rPr>
        <w:t>to</w:t>
      </w:r>
      <w:r>
        <w:rPr>
          <w:spacing w:val="-38"/>
          <w:sz w:val="21"/>
        </w:rPr>
        <w:t xml:space="preserve"> </w:t>
      </w:r>
      <w:r>
        <w:rPr>
          <w:sz w:val="21"/>
        </w:rPr>
        <w:t>liquidate</w:t>
      </w:r>
      <w:r>
        <w:rPr>
          <w:spacing w:val="-29"/>
          <w:sz w:val="21"/>
        </w:rPr>
        <w:t xml:space="preserve"> </w:t>
      </w:r>
      <w:r>
        <w:rPr>
          <w:sz w:val="21"/>
        </w:rPr>
        <w:t>the</w:t>
      </w:r>
      <w:r>
        <w:rPr>
          <w:spacing w:val="-36"/>
          <w:sz w:val="21"/>
        </w:rPr>
        <w:t xml:space="preserve"> </w:t>
      </w:r>
      <w:r>
        <w:rPr>
          <w:sz w:val="21"/>
        </w:rPr>
        <w:t>Company</w:t>
      </w:r>
      <w:r>
        <w:rPr>
          <w:spacing w:val="-27"/>
          <w:sz w:val="21"/>
        </w:rPr>
        <w:t xml:space="preserve"> </w:t>
      </w:r>
      <w:r>
        <w:rPr>
          <w:sz w:val="21"/>
        </w:rPr>
        <w:t>or</w:t>
      </w:r>
      <w:r>
        <w:rPr>
          <w:spacing w:val="-34"/>
          <w:sz w:val="21"/>
        </w:rPr>
        <w:t xml:space="preserve"> </w:t>
      </w:r>
      <w:r>
        <w:rPr>
          <w:sz w:val="21"/>
        </w:rPr>
        <w:t>to cease operations, or have no realistic alternative but to do</w:t>
      </w:r>
      <w:r>
        <w:rPr>
          <w:spacing w:val="10"/>
          <w:sz w:val="21"/>
        </w:rPr>
        <w:t xml:space="preserve"> </w:t>
      </w:r>
      <w:r>
        <w:rPr>
          <w:sz w:val="21"/>
        </w:rPr>
        <w:t>so.</w:t>
      </w:r>
    </w:p>
    <w:p w14:paraId="77E360D9" w14:textId="77777777" w:rsidR="00FA4AA8" w:rsidRDefault="0015611F">
      <w:pPr>
        <w:spacing w:before="167"/>
        <w:ind w:left="650"/>
        <w:rPr>
          <w:b/>
          <w:sz w:val="24"/>
        </w:rPr>
      </w:pPr>
      <w:r>
        <w:rPr>
          <w:b/>
          <w:sz w:val="24"/>
        </w:rPr>
        <w:t>Auditor’s Responsibilities for the Audit of the Financial Statements</w:t>
      </w:r>
    </w:p>
    <w:p w14:paraId="690753E0" w14:textId="77777777" w:rsidR="00FA4AA8" w:rsidRDefault="0015611F">
      <w:pPr>
        <w:spacing w:before="112"/>
        <w:ind w:left="639"/>
        <w:rPr>
          <w:sz w:val="21"/>
        </w:rPr>
      </w:pPr>
      <w:r>
        <w:rPr>
          <w:sz w:val="21"/>
        </w:rPr>
        <w:t>My objectives are to:</w:t>
      </w:r>
    </w:p>
    <w:p w14:paraId="592999B5" w14:textId="77777777" w:rsidR="00FA4AA8" w:rsidRDefault="0015611F">
      <w:pPr>
        <w:pStyle w:val="ListParagraph"/>
        <w:numPr>
          <w:ilvl w:val="0"/>
          <w:numId w:val="60"/>
        </w:numPr>
        <w:tabs>
          <w:tab w:val="left" w:pos="1219"/>
          <w:tab w:val="left" w:pos="1220"/>
        </w:tabs>
        <w:spacing w:before="178" w:line="232" w:lineRule="auto"/>
        <w:ind w:left="1217" w:right="958" w:hanging="574"/>
        <w:rPr>
          <w:sz w:val="21"/>
        </w:rPr>
      </w:pPr>
      <w:r>
        <w:rPr>
          <w:w w:val="95"/>
          <w:sz w:val="21"/>
        </w:rPr>
        <w:t>obtain</w:t>
      </w:r>
      <w:r>
        <w:rPr>
          <w:spacing w:val="-4"/>
          <w:w w:val="95"/>
          <w:sz w:val="21"/>
        </w:rPr>
        <w:t xml:space="preserve"> </w:t>
      </w:r>
      <w:r>
        <w:rPr>
          <w:w w:val="95"/>
          <w:sz w:val="21"/>
        </w:rPr>
        <w:t>reasonable</w:t>
      </w:r>
      <w:r>
        <w:rPr>
          <w:spacing w:val="-4"/>
          <w:w w:val="95"/>
          <w:sz w:val="21"/>
        </w:rPr>
        <w:t xml:space="preserve"> </w:t>
      </w:r>
      <w:r>
        <w:rPr>
          <w:w w:val="95"/>
          <w:sz w:val="21"/>
        </w:rPr>
        <w:t>assurance</w:t>
      </w:r>
      <w:r>
        <w:rPr>
          <w:spacing w:val="1"/>
          <w:w w:val="95"/>
          <w:sz w:val="21"/>
        </w:rPr>
        <w:t xml:space="preserve"> </w:t>
      </w:r>
      <w:r>
        <w:rPr>
          <w:w w:val="95"/>
          <w:sz w:val="21"/>
        </w:rPr>
        <w:t>about</w:t>
      </w:r>
      <w:r>
        <w:rPr>
          <w:spacing w:val="-4"/>
          <w:w w:val="95"/>
          <w:sz w:val="21"/>
        </w:rPr>
        <w:t xml:space="preserve"> </w:t>
      </w:r>
      <w:r>
        <w:rPr>
          <w:w w:val="95"/>
          <w:sz w:val="21"/>
        </w:rPr>
        <w:t>whether</w:t>
      </w:r>
      <w:r>
        <w:rPr>
          <w:spacing w:val="-4"/>
          <w:w w:val="95"/>
          <w:sz w:val="21"/>
        </w:rPr>
        <w:t xml:space="preserve"> </w:t>
      </w:r>
      <w:r>
        <w:rPr>
          <w:w w:val="95"/>
          <w:sz w:val="21"/>
        </w:rPr>
        <w:t>the</w:t>
      </w:r>
      <w:r>
        <w:rPr>
          <w:spacing w:val="-12"/>
          <w:w w:val="95"/>
          <w:sz w:val="21"/>
        </w:rPr>
        <w:t xml:space="preserve"> </w:t>
      </w:r>
      <w:r>
        <w:rPr>
          <w:w w:val="95"/>
          <w:sz w:val="21"/>
        </w:rPr>
        <w:t>financial</w:t>
      </w:r>
      <w:r>
        <w:rPr>
          <w:spacing w:val="-4"/>
          <w:w w:val="95"/>
          <w:sz w:val="21"/>
        </w:rPr>
        <w:t xml:space="preserve"> </w:t>
      </w:r>
      <w:r>
        <w:rPr>
          <w:w w:val="95"/>
          <w:sz w:val="21"/>
        </w:rPr>
        <w:t>statements</w:t>
      </w:r>
      <w:r>
        <w:rPr>
          <w:spacing w:val="2"/>
          <w:w w:val="95"/>
          <w:sz w:val="21"/>
        </w:rPr>
        <w:t xml:space="preserve"> </w:t>
      </w:r>
      <w:r>
        <w:rPr>
          <w:w w:val="95"/>
          <w:sz w:val="21"/>
        </w:rPr>
        <w:t>as</w:t>
      </w:r>
      <w:r>
        <w:rPr>
          <w:spacing w:val="-10"/>
          <w:w w:val="95"/>
          <w:sz w:val="21"/>
        </w:rPr>
        <w:t xml:space="preserve"> </w:t>
      </w:r>
      <w:r>
        <w:rPr>
          <w:color w:val="0C0C0C"/>
          <w:w w:val="95"/>
          <w:sz w:val="21"/>
        </w:rPr>
        <w:t>a</w:t>
      </w:r>
      <w:r>
        <w:rPr>
          <w:color w:val="0C0C0C"/>
          <w:spacing w:val="-11"/>
          <w:w w:val="95"/>
          <w:sz w:val="21"/>
        </w:rPr>
        <w:t xml:space="preserve"> </w:t>
      </w:r>
      <w:r>
        <w:rPr>
          <w:w w:val="95"/>
          <w:sz w:val="21"/>
        </w:rPr>
        <w:t>whole</w:t>
      </w:r>
      <w:r>
        <w:rPr>
          <w:spacing w:val="-6"/>
          <w:w w:val="95"/>
          <w:sz w:val="21"/>
        </w:rPr>
        <w:t xml:space="preserve"> </w:t>
      </w:r>
      <w:r>
        <w:rPr>
          <w:w w:val="95"/>
          <w:sz w:val="21"/>
        </w:rPr>
        <w:t>are</w:t>
      </w:r>
      <w:r>
        <w:rPr>
          <w:spacing w:val="-6"/>
          <w:w w:val="95"/>
          <w:sz w:val="21"/>
        </w:rPr>
        <w:t xml:space="preserve"> </w:t>
      </w:r>
      <w:r>
        <w:rPr>
          <w:w w:val="95"/>
          <w:sz w:val="21"/>
        </w:rPr>
        <w:t>free</w:t>
      </w:r>
      <w:r>
        <w:rPr>
          <w:spacing w:val="-12"/>
          <w:w w:val="95"/>
          <w:sz w:val="21"/>
        </w:rPr>
        <w:t xml:space="preserve"> </w:t>
      </w:r>
      <w:r>
        <w:rPr>
          <w:w w:val="95"/>
          <w:sz w:val="21"/>
        </w:rPr>
        <w:t xml:space="preserve">from </w:t>
      </w:r>
      <w:r>
        <w:rPr>
          <w:sz w:val="21"/>
        </w:rPr>
        <w:t>material misstatement, whether due to fraud or</w:t>
      </w:r>
      <w:r>
        <w:rPr>
          <w:spacing w:val="11"/>
          <w:sz w:val="21"/>
        </w:rPr>
        <w:t xml:space="preserve"> </w:t>
      </w:r>
      <w:r>
        <w:rPr>
          <w:sz w:val="21"/>
        </w:rPr>
        <w:t>error</w:t>
      </w:r>
    </w:p>
    <w:p w14:paraId="2BFA8CB9" w14:textId="77777777" w:rsidR="00FA4AA8" w:rsidRDefault="0015611F">
      <w:pPr>
        <w:pStyle w:val="ListParagraph"/>
        <w:numPr>
          <w:ilvl w:val="0"/>
          <w:numId w:val="60"/>
        </w:numPr>
        <w:tabs>
          <w:tab w:val="left" w:pos="1217"/>
          <w:tab w:val="left" w:pos="1218"/>
        </w:tabs>
        <w:spacing w:before="63"/>
        <w:ind w:left="1217" w:hanging="574"/>
        <w:rPr>
          <w:sz w:val="21"/>
        </w:rPr>
      </w:pPr>
      <w:r>
        <w:rPr>
          <w:sz w:val="21"/>
        </w:rPr>
        <w:t>issue an independent Auditor’s Report including my</w:t>
      </w:r>
      <w:r>
        <w:rPr>
          <w:spacing w:val="25"/>
          <w:sz w:val="21"/>
        </w:rPr>
        <w:t xml:space="preserve"> </w:t>
      </w:r>
      <w:r>
        <w:rPr>
          <w:sz w:val="21"/>
        </w:rPr>
        <w:t>opinion.</w:t>
      </w:r>
    </w:p>
    <w:p w14:paraId="45F55220" w14:textId="77777777" w:rsidR="00FA4AA8" w:rsidRDefault="00FA4AA8">
      <w:pPr>
        <w:pStyle w:val="BodyText"/>
        <w:spacing w:before="10"/>
        <w:rPr>
          <w:sz w:val="17"/>
        </w:rPr>
      </w:pPr>
    </w:p>
    <w:p w14:paraId="6F5C62F3" w14:textId="77777777" w:rsidR="00FA4AA8" w:rsidRDefault="0015611F">
      <w:pPr>
        <w:spacing w:line="232" w:lineRule="auto"/>
        <w:ind w:left="647" w:right="811"/>
        <w:rPr>
          <w:sz w:val="21"/>
        </w:rPr>
      </w:pPr>
      <w:r>
        <w:rPr>
          <w:sz w:val="21"/>
        </w:rPr>
        <w:t>Reasonable</w:t>
      </w:r>
      <w:r>
        <w:rPr>
          <w:spacing w:val="-33"/>
          <w:sz w:val="21"/>
        </w:rPr>
        <w:t xml:space="preserve"> </w:t>
      </w:r>
      <w:r>
        <w:rPr>
          <w:sz w:val="21"/>
        </w:rPr>
        <w:t>assurance</w:t>
      </w:r>
      <w:r>
        <w:rPr>
          <w:spacing w:val="-33"/>
          <w:sz w:val="21"/>
        </w:rPr>
        <w:t xml:space="preserve"> </w:t>
      </w:r>
      <w:r>
        <w:rPr>
          <w:sz w:val="21"/>
        </w:rPr>
        <w:t>is</w:t>
      </w:r>
      <w:r>
        <w:rPr>
          <w:spacing w:val="-36"/>
          <w:sz w:val="21"/>
        </w:rPr>
        <w:t xml:space="preserve"> </w:t>
      </w:r>
      <w:r>
        <w:rPr>
          <w:sz w:val="21"/>
        </w:rPr>
        <w:t>a</w:t>
      </w:r>
      <w:r>
        <w:rPr>
          <w:spacing w:val="-35"/>
          <w:sz w:val="21"/>
        </w:rPr>
        <w:t xml:space="preserve"> </w:t>
      </w:r>
      <w:r>
        <w:rPr>
          <w:sz w:val="21"/>
        </w:rPr>
        <w:t>high</w:t>
      </w:r>
      <w:r>
        <w:rPr>
          <w:spacing w:val="-33"/>
          <w:sz w:val="21"/>
        </w:rPr>
        <w:t xml:space="preserve"> </w:t>
      </w:r>
      <w:r>
        <w:rPr>
          <w:sz w:val="21"/>
        </w:rPr>
        <w:t>level</w:t>
      </w:r>
      <w:r>
        <w:rPr>
          <w:spacing w:val="-33"/>
          <w:sz w:val="21"/>
        </w:rPr>
        <w:t xml:space="preserve"> </w:t>
      </w:r>
      <w:r>
        <w:rPr>
          <w:sz w:val="21"/>
        </w:rPr>
        <w:t>of</w:t>
      </w:r>
      <w:r>
        <w:rPr>
          <w:spacing w:val="-36"/>
          <w:sz w:val="21"/>
        </w:rPr>
        <w:t xml:space="preserve"> </w:t>
      </w:r>
      <w:r>
        <w:rPr>
          <w:sz w:val="21"/>
        </w:rPr>
        <w:t>assurance,</w:t>
      </w:r>
      <w:r>
        <w:rPr>
          <w:spacing w:val="-30"/>
          <w:sz w:val="21"/>
        </w:rPr>
        <w:t xml:space="preserve"> </w:t>
      </w:r>
      <w:r>
        <w:rPr>
          <w:sz w:val="21"/>
        </w:rPr>
        <w:t>but</w:t>
      </w:r>
      <w:r>
        <w:rPr>
          <w:spacing w:val="-37"/>
          <w:sz w:val="21"/>
        </w:rPr>
        <w:t xml:space="preserve"> </w:t>
      </w:r>
      <w:r>
        <w:rPr>
          <w:sz w:val="21"/>
        </w:rPr>
        <w:t>does</w:t>
      </w:r>
      <w:r>
        <w:rPr>
          <w:spacing w:val="-33"/>
          <w:sz w:val="21"/>
        </w:rPr>
        <w:t xml:space="preserve"> </w:t>
      </w:r>
      <w:r>
        <w:rPr>
          <w:sz w:val="21"/>
        </w:rPr>
        <w:t>not</w:t>
      </w:r>
      <w:r>
        <w:rPr>
          <w:spacing w:val="-35"/>
          <w:sz w:val="21"/>
        </w:rPr>
        <w:t xml:space="preserve"> </w:t>
      </w:r>
      <w:r>
        <w:rPr>
          <w:sz w:val="21"/>
        </w:rPr>
        <w:t>guarantee</w:t>
      </w:r>
      <w:r>
        <w:rPr>
          <w:spacing w:val="-30"/>
          <w:sz w:val="21"/>
        </w:rPr>
        <w:t xml:space="preserve"> </w:t>
      </w:r>
      <w:r>
        <w:rPr>
          <w:sz w:val="21"/>
        </w:rPr>
        <w:t>an</w:t>
      </w:r>
      <w:r>
        <w:rPr>
          <w:spacing w:val="-36"/>
          <w:sz w:val="21"/>
        </w:rPr>
        <w:t xml:space="preserve"> </w:t>
      </w:r>
      <w:r>
        <w:rPr>
          <w:sz w:val="21"/>
        </w:rPr>
        <w:t>audit</w:t>
      </w:r>
      <w:r>
        <w:rPr>
          <w:spacing w:val="-34"/>
          <w:sz w:val="21"/>
        </w:rPr>
        <w:t xml:space="preserve"> </w:t>
      </w:r>
      <w:r>
        <w:rPr>
          <w:sz w:val="21"/>
        </w:rPr>
        <w:t>conducted</w:t>
      </w:r>
      <w:r>
        <w:rPr>
          <w:spacing w:val="-29"/>
          <w:sz w:val="21"/>
        </w:rPr>
        <w:t xml:space="preserve"> </w:t>
      </w:r>
      <w:r>
        <w:rPr>
          <w:sz w:val="21"/>
        </w:rPr>
        <w:t>in accordance</w:t>
      </w:r>
      <w:r>
        <w:rPr>
          <w:spacing w:val="-14"/>
          <w:sz w:val="21"/>
        </w:rPr>
        <w:t xml:space="preserve"> </w:t>
      </w:r>
      <w:r>
        <w:rPr>
          <w:sz w:val="21"/>
        </w:rPr>
        <w:t>with</w:t>
      </w:r>
      <w:r>
        <w:rPr>
          <w:spacing w:val="-19"/>
          <w:sz w:val="21"/>
        </w:rPr>
        <w:t xml:space="preserve"> </w:t>
      </w:r>
      <w:r>
        <w:rPr>
          <w:sz w:val="21"/>
        </w:rPr>
        <w:t>Australian</w:t>
      </w:r>
      <w:r>
        <w:rPr>
          <w:spacing w:val="-8"/>
          <w:sz w:val="21"/>
        </w:rPr>
        <w:t xml:space="preserve"> </w:t>
      </w:r>
      <w:r>
        <w:rPr>
          <w:sz w:val="21"/>
        </w:rPr>
        <w:t>Auditing</w:t>
      </w:r>
      <w:r>
        <w:rPr>
          <w:spacing w:val="-13"/>
          <w:sz w:val="21"/>
        </w:rPr>
        <w:t xml:space="preserve"> </w:t>
      </w:r>
      <w:r>
        <w:rPr>
          <w:sz w:val="21"/>
        </w:rPr>
        <w:t>Standards</w:t>
      </w:r>
      <w:r>
        <w:rPr>
          <w:spacing w:val="-15"/>
          <w:sz w:val="21"/>
        </w:rPr>
        <w:t xml:space="preserve"> </w:t>
      </w:r>
      <w:r>
        <w:rPr>
          <w:sz w:val="21"/>
        </w:rPr>
        <w:t>will</w:t>
      </w:r>
      <w:r>
        <w:rPr>
          <w:spacing w:val="-26"/>
          <w:sz w:val="21"/>
        </w:rPr>
        <w:t xml:space="preserve"> </w:t>
      </w:r>
      <w:r>
        <w:rPr>
          <w:sz w:val="21"/>
        </w:rPr>
        <w:t>always</w:t>
      </w:r>
      <w:r>
        <w:rPr>
          <w:spacing w:val="-22"/>
          <w:sz w:val="21"/>
        </w:rPr>
        <w:t xml:space="preserve"> </w:t>
      </w:r>
      <w:r>
        <w:rPr>
          <w:sz w:val="21"/>
        </w:rPr>
        <w:t>detect</w:t>
      </w:r>
      <w:r>
        <w:rPr>
          <w:spacing w:val="-18"/>
          <w:sz w:val="21"/>
        </w:rPr>
        <w:t xml:space="preserve"> </w:t>
      </w:r>
      <w:r>
        <w:rPr>
          <w:sz w:val="21"/>
        </w:rPr>
        <w:t>material</w:t>
      </w:r>
      <w:r>
        <w:rPr>
          <w:spacing w:val="-20"/>
          <w:sz w:val="21"/>
        </w:rPr>
        <w:t xml:space="preserve"> </w:t>
      </w:r>
      <w:r>
        <w:rPr>
          <w:sz w:val="21"/>
        </w:rPr>
        <w:t>misstatements.</w:t>
      </w:r>
    </w:p>
    <w:p w14:paraId="464CEF80" w14:textId="77777777" w:rsidR="00FA4AA8" w:rsidRDefault="0015611F">
      <w:pPr>
        <w:spacing w:before="6"/>
        <w:ind w:left="651" w:right="811" w:hanging="2"/>
        <w:rPr>
          <w:sz w:val="21"/>
        </w:rPr>
      </w:pPr>
      <w:r>
        <w:rPr>
          <w:w w:val="95"/>
          <w:sz w:val="21"/>
        </w:rPr>
        <w:t>Misstatements</w:t>
      </w:r>
      <w:r>
        <w:rPr>
          <w:spacing w:val="-1"/>
          <w:w w:val="95"/>
          <w:sz w:val="21"/>
        </w:rPr>
        <w:t xml:space="preserve"> </w:t>
      </w:r>
      <w:r>
        <w:rPr>
          <w:w w:val="95"/>
          <w:sz w:val="21"/>
        </w:rPr>
        <w:t>can</w:t>
      </w:r>
      <w:r>
        <w:rPr>
          <w:spacing w:val="-12"/>
          <w:w w:val="95"/>
          <w:sz w:val="21"/>
        </w:rPr>
        <w:t xml:space="preserve"> </w:t>
      </w:r>
      <w:r>
        <w:rPr>
          <w:w w:val="95"/>
          <w:sz w:val="21"/>
        </w:rPr>
        <w:t>arise</w:t>
      </w:r>
      <w:r>
        <w:rPr>
          <w:spacing w:val="-2"/>
          <w:w w:val="95"/>
          <w:sz w:val="21"/>
        </w:rPr>
        <w:t xml:space="preserve"> </w:t>
      </w:r>
      <w:r>
        <w:rPr>
          <w:w w:val="95"/>
          <w:sz w:val="21"/>
        </w:rPr>
        <w:t>from</w:t>
      </w:r>
      <w:r>
        <w:rPr>
          <w:spacing w:val="-5"/>
          <w:w w:val="95"/>
          <w:sz w:val="21"/>
        </w:rPr>
        <w:t xml:space="preserve"> </w:t>
      </w:r>
      <w:r>
        <w:rPr>
          <w:w w:val="95"/>
          <w:sz w:val="21"/>
        </w:rPr>
        <w:t>fraud</w:t>
      </w:r>
      <w:r>
        <w:rPr>
          <w:spacing w:val="-8"/>
          <w:w w:val="95"/>
          <w:sz w:val="21"/>
        </w:rPr>
        <w:t xml:space="preserve"> </w:t>
      </w:r>
      <w:r>
        <w:rPr>
          <w:w w:val="95"/>
          <w:sz w:val="21"/>
        </w:rPr>
        <w:t>or</w:t>
      </w:r>
      <w:r>
        <w:rPr>
          <w:spacing w:val="-10"/>
          <w:w w:val="95"/>
          <w:sz w:val="21"/>
        </w:rPr>
        <w:t xml:space="preserve"> </w:t>
      </w:r>
      <w:r>
        <w:rPr>
          <w:w w:val="95"/>
          <w:sz w:val="21"/>
        </w:rPr>
        <w:t>error.</w:t>
      </w:r>
      <w:r>
        <w:rPr>
          <w:spacing w:val="-4"/>
          <w:w w:val="95"/>
          <w:sz w:val="21"/>
        </w:rPr>
        <w:t xml:space="preserve"> </w:t>
      </w:r>
      <w:r>
        <w:rPr>
          <w:w w:val="95"/>
          <w:sz w:val="21"/>
        </w:rPr>
        <w:t>Misstatements</w:t>
      </w:r>
      <w:r>
        <w:rPr>
          <w:spacing w:val="3"/>
          <w:w w:val="95"/>
          <w:sz w:val="21"/>
        </w:rPr>
        <w:t xml:space="preserve"> </w:t>
      </w:r>
      <w:r>
        <w:rPr>
          <w:w w:val="95"/>
          <w:sz w:val="21"/>
        </w:rPr>
        <w:t>are</w:t>
      </w:r>
      <w:r>
        <w:rPr>
          <w:spacing w:val="-8"/>
          <w:w w:val="95"/>
          <w:sz w:val="21"/>
        </w:rPr>
        <w:t xml:space="preserve"> </w:t>
      </w:r>
      <w:r>
        <w:rPr>
          <w:w w:val="95"/>
          <w:sz w:val="21"/>
        </w:rPr>
        <w:t>considered</w:t>
      </w:r>
      <w:r>
        <w:rPr>
          <w:spacing w:val="1"/>
          <w:w w:val="95"/>
          <w:sz w:val="21"/>
        </w:rPr>
        <w:t xml:space="preserve"> </w:t>
      </w:r>
      <w:r>
        <w:rPr>
          <w:w w:val="95"/>
          <w:sz w:val="21"/>
        </w:rPr>
        <w:t>material</w:t>
      </w:r>
      <w:r>
        <w:rPr>
          <w:spacing w:val="-4"/>
          <w:w w:val="95"/>
          <w:sz w:val="21"/>
        </w:rPr>
        <w:t xml:space="preserve"> </w:t>
      </w:r>
      <w:r>
        <w:rPr>
          <w:w w:val="95"/>
          <w:sz w:val="21"/>
        </w:rPr>
        <w:t>if,</w:t>
      </w:r>
      <w:r>
        <w:rPr>
          <w:spacing w:val="-11"/>
          <w:w w:val="95"/>
          <w:sz w:val="21"/>
        </w:rPr>
        <w:t xml:space="preserve"> </w:t>
      </w:r>
      <w:r>
        <w:rPr>
          <w:w w:val="95"/>
          <w:sz w:val="21"/>
        </w:rPr>
        <w:t>individually</w:t>
      </w:r>
      <w:r>
        <w:rPr>
          <w:spacing w:val="5"/>
          <w:w w:val="95"/>
          <w:sz w:val="21"/>
        </w:rPr>
        <w:t xml:space="preserve"> </w:t>
      </w:r>
      <w:r>
        <w:rPr>
          <w:w w:val="95"/>
          <w:sz w:val="21"/>
        </w:rPr>
        <w:t xml:space="preserve">or </w:t>
      </w:r>
      <w:r>
        <w:rPr>
          <w:sz w:val="21"/>
        </w:rPr>
        <w:t>in</w:t>
      </w:r>
      <w:r>
        <w:rPr>
          <w:spacing w:val="-27"/>
          <w:sz w:val="21"/>
        </w:rPr>
        <w:t xml:space="preserve"> </w:t>
      </w:r>
      <w:r>
        <w:rPr>
          <w:sz w:val="21"/>
        </w:rPr>
        <w:t>aggregate,</w:t>
      </w:r>
      <w:r>
        <w:rPr>
          <w:spacing w:val="-23"/>
          <w:sz w:val="21"/>
        </w:rPr>
        <w:t xml:space="preserve"> </w:t>
      </w:r>
      <w:r>
        <w:rPr>
          <w:sz w:val="21"/>
        </w:rPr>
        <w:t>they</w:t>
      </w:r>
      <w:r>
        <w:rPr>
          <w:spacing w:val="-27"/>
          <w:sz w:val="21"/>
        </w:rPr>
        <w:t xml:space="preserve"> </w:t>
      </w:r>
      <w:r>
        <w:rPr>
          <w:sz w:val="21"/>
        </w:rPr>
        <w:t>could</w:t>
      </w:r>
      <w:r>
        <w:rPr>
          <w:spacing w:val="-24"/>
          <w:sz w:val="21"/>
        </w:rPr>
        <w:t xml:space="preserve"> </w:t>
      </w:r>
      <w:r>
        <w:rPr>
          <w:sz w:val="21"/>
        </w:rPr>
        <w:t>reasonably</w:t>
      </w:r>
      <w:r>
        <w:rPr>
          <w:spacing w:val="-19"/>
          <w:sz w:val="21"/>
        </w:rPr>
        <w:t xml:space="preserve"> </w:t>
      </w:r>
      <w:r>
        <w:rPr>
          <w:sz w:val="21"/>
        </w:rPr>
        <w:t>be</w:t>
      </w:r>
      <w:r>
        <w:rPr>
          <w:spacing w:val="-29"/>
          <w:sz w:val="21"/>
        </w:rPr>
        <w:t xml:space="preserve"> </w:t>
      </w:r>
      <w:r>
        <w:rPr>
          <w:sz w:val="21"/>
        </w:rPr>
        <w:t>expected</w:t>
      </w:r>
      <w:r>
        <w:rPr>
          <w:spacing w:val="-18"/>
          <w:sz w:val="21"/>
        </w:rPr>
        <w:t xml:space="preserve"> </w:t>
      </w:r>
      <w:r>
        <w:rPr>
          <w:sz w:val="21"/>
        </w:rPr>
        <w:t>to</w:t>
      </w:r>
      <w:r>
        <w:rPr>
          <w:spacing w:val="-32"/>
          <w:sz w:val="21"/>
        </w:rPr>
        <w:t xml:space="preserve"> </w:t>
      </w:r>
      <w:r>
        <w:rPr>
          <w:sz w:val="21"/>
        </w:rPr>
        <w:t>influence</w:t>
      </w:r>
      <w:r>
        <w:rPr>
          <w:spacing w:val="-22"/>
          <w:sz w:val="21"/>
        </w:rPr>
        <w:t xml:space="preserve"> </w:t>
      </w:r>
      <w:r>
        <w:rPr>
          <w:sz w:val="21"/>
        </w:rPr>
        <w:t>the</w:t>
      </w:r>
      <w:r>
        <w:rPr>
          <w:spacing w:val="-30"/>
          <w:sz w:val="21"/>
        </w:rPr>
        <w:t xml:space="preserve"> </w:t>
      </w:r>
      <w:r>
        <w:rPr>
          <w:sz w:val="21"/>
        </w:rPr>
        <w:t>economic</w:t>
      </w:r>
      <w:r>
        <w:rPr>
          <w:spacing w:val="-21"/>
          <w:sz w:val="21"/>
        </w:rPr>
        <w:t xml:space="preserve"> </w:t>
      </w:r>
      <w:r>
        <w:rPr>
          <w:sz w:val="21"/>
        </w:rPr>
        <w:t>decisions</w:t>
      </w:r>
      <w:r>
        <w:rPr>
          <w:spacing w:val="-26"/>
          <w:sz w:val="21"/>
        </w:rPr>
        <w:t xml:space="preserve"> </w:t>
      </w:r>
      <w:r>
        <w:rPr>
          <w:sz w:val="21"/>
        </w:rPr>
        <w:t>users</w:t>
      </w:r>
      <w:r>
        <w:rPr>
          <w:spacing w:val="-25"/>
          <w:sz w:val="21"/>
        </w:rPr>
        <w:t xml:space="preserve"> </w:t>
      </w:r>
      <w:r>
        <w:rPr>
          <w:sz w:val="21"/>
        </w:rPr>
        <w:t>take based on the financial</w:t>
      </w:r>
      <w:r>
        <w:rPr>
          <w:spacing w:val="26"/>
          <w:sz w:val="21"/>
        </w:rPr>
        <w:t xml:space="preserve"> </w:t>
      </w:r>
      <w:r>
        <w:rPr>
          <w:sz w:val="21"/>
        </w:rPr>
        <w:t>statements.</w:t>
      </w:r>
    </w:p>
    <w:p w14:paraId="108CD8A5" w14:textId="77777777" w:rsidR="00FA4AA8" w:rsidRDefault="00FA4AA8">
      <w:pPr>
        <w:rPr>
          <w:sz w:val="21"/>
        </w:rPr>
        <w:sectPr w:rsidR="00FA4AA8">
          <w:headerReference w:type="default" r:id="rId98"/>
          <w:footerReference w:type="default" r:id="rId99"/>
          <w:pgSz w:w="11900" w:h="16840"/>
          <w:pgMar w:top="1220" w:right="860" w:bottom="720" w:left="660" w:header="0" w:footer="523" w:gutter="0"/>
          <w:pgNumType w:start="117"/>
          <w:cols w:space="720"/>
        </w:sectPr>
      </w:pPr>
    </w:p>
    <w:p w14:paraId="065FEEF0" w14:textId="77777777" w:rsidR="00FA4AA8" w:rsidRDefault="0015611F">
      <w:pPr>
        <w:spacing w:before="92" w:line="218" w:lineRule="auto"/>
        <w:ind w:left="651" w:right="811" w:firstLine="8"/>
        <w:rPr>
          <w:sz w:val="23"/>
        </w:rPr>
      </w:pPr>
      <w:r>
        <w:rPr>
          <w:w w:val="90"/>
          <w:sz w:val="23"/>
        </w:rPr>
        <w:t>A</w:t>
      </w:r>
      <w:r>
        <w:rPr>
          <w:spacing w:val="-26"/>
          <w:w w:val="90"/>
          <w:sz w:val="23"/>
        </w:rPr>
        <w:t xml:space="preserve"> </w:t>
      </w:r>
      <w:r>
        <w:rPr>
          <w:w w:val="90"/>
          <w:sz w:val="23"/>
        </w:rPr>
        <w:t>description</w:t>
      </w:r>
      <w:r>
        <w:rPr>
          <w:spacing w:val="-17"/>
          <w:w w:val="90"/>
          <w:sz w:val="23"/>
        </w:rPr>
        <w:t xml:space="preserve"> </w:t>
      </w:r>
      <w:r>
        <w:rPr>
          <w:w w:val="90"/>
          <w:sz w:val="23"/>
        </w:rPr>
        <w:t>of</w:t>
      </w:r>
      <w:r>
        <w:rPr>
          <w:spacing w:val="-25"/>
          <w:w w:val="90"/>
          <w:sz w:val="23"/>
        </w:rPr>
        <w:t xml:space="preserve"> </w:t>
      </w:r>
      <w:r>
        <w:rPr>
          <w:w w:val="90"/>
          <w:sz w:val="23"/>
        </w:rPr>
        <w:t>my</w:t>
      </w:r>
      <w:r>
        <w:rPr>
          <w:spacing w:val="-23"/>
          <w:w w:val="90"/>
          <w:sz w:val="23"/>
        </w:rPr>
        <w:t xml:space="preserve"> </w:t>
      </w:r>
      <w:r>
        <w:rPr>
          <w:w w:val="90"/>
          <w:sz w:val="23"/>
        </w:rPr>
        <w:t>responsibilities</w:t>
      </w:r>
      <w:r>
        <w:rPr>
          <w:spacing w:val="-28"/>
          <w:w w:val="90"/>
          <w:sz w:val="23"/>
        </w:rPr>
        <w:t xml:space="preserve"> </w:t>
      </w:r>
      <w:r>
        <w:rPr>
          <w:w w:val="90"/>
          <w:sz w:val="23"/>
        </w:rPr>
        <w:t>for</w:t>
      </w:r>
      <w:r>
        <w:rPr>
          <w:spacing w:val="-20"/>
          <w:w w:val="90"/>
          <w:sz w:val="23"/>
        </w:rPr>
        <w:t xml:space="preserve"> </w:t>
      </w:r>
      <w:r>
        <w:rPr>
          <w:w w:val="90"/>
          <w:sz w:val="23"/>
        </w:rPr>
        <w:t>the</w:t>
      </w:r>
      <w:r>
        <w:rPr>
          <w:spacing w:val="-20"/>
          <w:w w:val="90"/>
          <w:sz w:val="23"/>
        </w:rPr>
        <w:t xml:space="preserve"> </w:t>
      </w:r>
      <w:r>
        <w:rPr>
          <w:w w:val="90"/>
          <w:sz w:val="23"/>
        </w:rPr>
        <w:t>audit</w:t>
      </w:r>
      <w:r>
        <w:rPr>
          <w:spacing w:val="-24"/>
          <w:w w:val="90"/>
          <w:sz w:val="23"/>
        </w:rPr>
        <w:t xml:space="preserve"> </w:t>
      </w:r>
      <w:r>
        <w:rPr>
          <w:w w:val="90"/>
          <w:sz w:val="23"/>
        </w:rPr>
        <w:t>of</w:t>
      </w:r>
      <w:r>
        <w:rPr>
          <w:spacing w:val="-21"/>
          <w:w w:val="90"/>
          <w:sz w:val="23"/>
        </w:rPr>
        <w:t xml:space="preserve"> </w:t>
      </w:r>
      <w:r>
        <w:rPr>
          <w:w w:val="90"/>
          <w:sz w:val="23"/>
        </w:rPr>
        <w:t>the</w:t>
      </w:r>
      <w:r>
        <w:rPr>
          <w:spacing w:val="-19"/>
          <w:w w:val="90"/>
          <w:sz w:val="23"/>
        </w:rPr>
        <w:t xml:space="preserve"> </w:t>
      </w:r>
      <w:r>
        <w:rPr>
          <w:w w:val="90"/>
          <w:sz w:val="23"/>
        </w:rPr>
        <w:t>financial</w:t>
      </w:r>
      <w:r>
        <w:rPr>
          <w:spacing w:val="-13"/>
          <w:w w:val="90"/>
          <w:sz w:val="23"/>
        </w:rPr>
        <w:t xml:space="preserve"> </w:t>
      </w:r>
      <w:r>
        <w:rPr>
          <w:w w:val="90"/>
          <w:sz w:val="23"/>
        </w:rPr>
        <w:t>statements</w:t>
      </w:r>
      <w:r>
        <w:rPr>
          <w:spacing w:val="-17"/>
          <w:w w:val="90"/>
          <w:sz w:val="23"/>
        </w:rPr>
        <w:t xml:space="preserve"> </w:t>
      </w:r>
      <w:r>
        <w:rPr>
          <w:w w:val="90"/>
          <w:sz w:val="23"/>
        </w:rPr>
        <w:t>is</w:t>
      </w:r>
      <w:r>
        <w:rPr>
          <w:spacing w:val="-20"/>
          <w:w w:val="90"/>
          <w:sz w:val="23"/>
        </w:rPr>
        <w:t xml:space="preserve"> </w:t>
      </w:r>
      <w:r>
        <w:rPr>
          <w:w w:val="90"/>
          <w:sz w:val="23"/>
        </w:rPr>
        <w:t>located</w:t>
      </w:r>
      <w:r>
        <w:rPr>
          <w:spacing w:val="-17"/>
          <w:w w:val="90"/>
          <w:sz w:val="23"/>
        </w:rPr>
        <w:t xml:space="preserve"> </w:t>
      </w:r>
      <w:r>
        <w:rPr>
          <w:w w:val="90"/>
          <w:sz w:val="23"/>
        </w:rPr>
        <w:t>at</w:t>
      </w:r>
      <w:r>
        <w:rPr>
          <w:spacing w:val="-20"/>
          <w:w w:val="90"/>
          <w:sz w:val="23"/>
        </w:rPr>
        <w:t xml:space="preserve"> </w:t>
      </w:r>
      <w:r>
        <w:rPr>
          <w:w w:val="90"/>
          <w:sz w:val="23"/>
        </w:rPr>
        <w:t>the</w:t>
      </w:r>
      <w:r>
        <w:rPr>
          <w:spacing w:val="-20"/>
          <w:w w:val="90"/>
          <w:sz w:val="23"/>
        </w:rPr>
        <w:t xml:space="preserve"> </w:t>
      </w:r>
      <w:r>
        <w:rPr>
          <w:w w:val="90"/>
          <w:sz w:val="23"/>
        </w:rPr>
        <w:t xml:space="preserve">Auditing </w:t>
      </w:r>
      <w:r>
        <w:rPr>
          <w:w w:val="85"/>
          <w:sz w:val="23"/>
        </w:rPr>
        <w:t xml:space="preserve">and Assurance Standards Board website at: </w:t>
      </w:r>
      <w:hyperlink r:id="rId100">
        <w:r>
          <w:rPr>
            <w:w w:val="85"/>
            <w:sz w:val="23"/>
            <w:u w:val="single" w:color="3F3F3F"/>
          </w:rPr>
          <w:t xml:space="preserve">www.auasb.gov.au/auditors responsibilities/ar4.pdf. </w:t>
        </w:r>
        <w:r>
          <w:rPr>
            <w:w w:val="85"/>
            <w:sz w:val="23"/>
          </w:rPr>
          <w:t>The</w:t>
        </w:r>
      </w:hyperlink>
      <w:r>
        <w:rPr>
          <w:w w:val="85"/>
          <w:sz w:val="23"/>
        </w:rPr>
        <w:t xml:space="preserve"> </w:t>
      </w:r>
      <w:r>
        <w:rPr>
          <w:w w:val="95"/>
          <w:sz w:val="23"/>
        </w:rPr>
        <w:t>description forms part of my auditor's</w:t>
      </w:r>
      <w:r>
        <w:rPr>
          <w:spacing w:val="-6"/>
          <w:w w:val="95"/>
          <w:sz w:val="23"/>
        </w:rPr>
        <w:t xml:space="preserve"> </w:t>
      </w:r>
      <w:r>
        <w:rPr>
          <w:w w:val="95"/>
          <w:sz w:val="23"/>
        </w:rPr>
        <w:t>report.</w:t>
      </w:r>
    </w:p>
    <w:p w14:paraId="295E1B1F" w14:textId="77777777" w:rsidR="00FA4AA8" w:rsidRDefault="0015611F">
      <w:pPr>
        <w:spacing w:before="166"/>
        <w:ind w:left="653"/>
        <w:rPr>
          <w:sz w:val="21"/>
        </w:rPr>
      </w:pPr>
      <w:r>
        <w:rPr>
          <w:sz w:val="21"/>
        </w:rPr>
        <w:t>My opinion does not provide assurance:</w:t>
      </w:r>
    </w:p>
    <w:p w14:paraId="1A433501" w14:textId="77777777" w:rsidR="00FA4AA8" w:rsidRDefault="0015611F">
      <w:pPr>
        <w:pStyle w:val="ListParagraph"/>
        <w:numPr>
          <w:ilvl w:val="0"/>
          <w:numId w:val="60"/>
        </w:numPr>
        <w:tabs>
          <w:tab w:val="left" w:pos="1213"/>
          <w:tab w:val="left" w:pos="1214"/>
        </w:tabs>
        <w:spacing w:before="166"/>
        <w:ind w:left="1213" w:hanging="566"/>
        <w:rPr>
          <w:sz w:val="21"/>
        </w:rPr>
      </w:pPr>
      <w:r>
        <w:rPr>
          <w:sz w:val="21"/>
        </w:rPr>
        <w:t>that</w:t>
      </w:r>
      <w:r>
        <w:rPr>
          <w:spacing w:val="-8"/>
          <w:sz w:val="21"/>
        </w:rPr>
        <w:t xml:space="preserve"> </w:t>
      </w:r>
      <w:r>
        <w:rPr>
          <w:sz w:val="21"/>
        </w:rPr>
        <w:t>the</w:t>
      </w:r>
      <w:r>
        <w:rPr>
          <w:spacing w:val="-11"/>
          <w:sz w:val="21"/>
        </w:rPr>
        <w:t xml:space="preserve"> </w:t>
      </w:r>
      <w:r>
        <w:rPr>
          <w:sz w:val="21"/>
        </w:rPr>
        <w:t>Company</w:t>
      </w:r>
      <w:r>
        <w:rPr>
          <w:spacing w:val="-3"/>
          <w:sz w:val="21"/>
        </w:rPr>
        <w:t xml:space="preserve"> </w:t>
      </w:r>
      <w:r>
        <w:rPr>
          <w:sz w:val="21"/>
        </w:rPr>
        <w:t>carried</w:t>
      </w:r>
      <w:r>
        <w:rPr>
          <w:spacing w:val="-6"/>
          <w:sz w:val="21"/>
        </w:rPr>
        <w:t xml:space="preserve"> </w:t>
      </w:r>
      <w:r>
        <w:rPr>
          <w:sz w:val="21"/>
        </w:rPr>
        <w:t>out</w:t>
      </w:r>
      <w:r>
        <w:rPr>
          <w:spacing w:val="-9"/>
          <w:sz w:val="21"/>
        </w:rPr>
        <w:t xml:space="preserve"> </w:t>
      </w:r>
      <w:r>
        <w:rPr>
          <w:sz w:val="21"/>
        </w:rPr>
        <w:t>its</w:t>
      </w:r>
      <w:r>
        <w:rPr>
          <w:spacing w:val="-9"/>
          <w:sz w:val="21"/>
        </w:rPr>
        <w:t xml:space="preserve"> </w:t>
      </w:r>
      <w:r>
        <w:rPr>
          <w:sz w:val="21"/>
        </w:rPr>
        <w:t>activities</w:t>
      </w:r>
      <w:r>
        <w:rPr>
          <w:spacing w:val="-9"/>
          <w:sz w:val="21"/>
        </w:rPr>
        <w:t xml:space="preserve"> </w:t>
      </w:r>
      <w:r>
        <w:rPr>
          <w:sz w:val="21"/>
        </w:rPr>
        <w:t>effectively,</w:t>
      </w:r>
      <w:r>
        <w:rPr>
          <w:spacing w:val="6"/>
          <w:sz w:val="21"/>
        </w:rPr>
        <w:t xml:space="preserve"> </w:t>
      </w:r>
      <w:r>
        <w:rPr>
          <w:sz w:val="21"/>
        </w:rPr>
        <w:t>efficiently</w:t>
      </w:r>
      <w:r>
        <w:rPr>
          <w:spacing w:val="7"/>
          <w:sz w:val="21"/>
        </w:rPr>
        <w:t xml:space="preserve"> </w:t>
      </w:r>
      <w:r>
        <w:rPr>
          <w:sz w:val="21"/>
        </w:rPr>
        <w:t>and</w:t>
      </w:r>
      <w:r>
        <w:rPr>
          <w:spacing w:val="-8"/>
          <w:sz w:val="21"/>
        </w:rPr>
        <w:t xml:space="preserve"> </w:t>
      </w:r>
      <w:r>
        <w:rPr>
          <w:sz w:val="21"/>
        </w:rPr>
        <w:t>economically</w:t>
      </w:r>
    </w:p>
    <w:p w14:paraId="1F551872" w14:textId="77777777" w:rsidR="00FA4AA8" w:rsidRDefault="0015611F">
      <w:pPr>
        <w:pStyle w:val="ListParagraph"/>
        <w:numPr>
          <w:ilvl w:val="0"/>
          <w:numId w:val="60"/>
        </w:numPr>
        <w:tabs>
          <w:tab w:val="left" w:pos="1209"/>
          <w:tab w:val="left" w:pos="1210"/>
        </w:tabs>
        <w:spacing w:before="66" w:line="254" w:lineRule="auto"/>
        <w:ind w:left="1210" w:right="1735" w:hanging="562"/>
        <w:rPr>
          <w:sz w:val="20"/>
        </w:rPr>
      </w:pPr>
      <w:r>
        <w:rPr>
          <w:sz w:val="20"/>
        </w:rPr>
        <w:t>about</w:t>
      </w:r>
      <w:r>
        <w:rPr>
          <w:spacing w:val="-12"/>
          <w:sz w:val="20"/>
        </w:rPr>
        <w:t xml:space="preserve"> </w:t>
      </w:r>
      <w:r>
        <w:rPr>
          <w:sz w:val="20"/>
        </w:rPr>
        <w:t>the</w:t>
      </w:r>
      <w:r>
        <w:rPr>
          <w:spacing w:val="-3"/>
          <w:sz w:val="20"/>
        </w:rPr>
        <w:t xml:space="preserve"> </w:t>
      </w:r>
      <w:r>
        <w:rPr>
          <w:sz w:val="20"/>
        </w:rPr>
        <w:t>security</w:t>
      </w:r>
      <w:r>
        <w:rPr>
          <w:spacing w:val="-6"/>
          <w:sz w:val="20"/>
        </w:rPr>
        <w:t xml:space="preserve"> </w:t>
      </w:r>
      <w:r>
        <w:rPr>
          <w:sz w:val="20"/>
        </w:rPr>
        <w:t>and</w:t>
      </w:r>
      <w:r>
        <w:rPr>
          <w:spacing w:val="-12"/>
          <w:sz w:val="20"/>
        </w:rPr>
        <w:t xml:space="preserve"> </w:t>
      </w:r>
      <w:r>
        <w:rPr>
          <w:sz w:val="20"/>
        </w:rPr>
        <w:t>controls</w:t>
      </w:r>
      <w:r>
        <w:rPr>
          <w:spacing w:val="-4"/>
          <w:sz w:val="20"/>
        </w:rPr>
        <w:t xml:space="preserve"> </w:t>
      </w:r>
      <w:r w:rsidR="00A74DE7">
        <w:rPr>
          <w:sz w:val="20"/>
        </w:rPr>
        <w:t>over</w:t>
      </w:r>
      <w:r>
        <w:rPr>
          <w:spacing w:val="-6"/>
          <w:sz w:val="20"/>
        </w:rPr>
        <w:t xml:space="preserve"> </w:t>
      </w:r>
      <w:r>
        <w:rPr>
          <w:sz w:val="20"/>
        </w:rPr>
        <w:t>the</w:t>
      </w:r>
      <w:r>
        <w:rPr>
          <w:spacing w:val="-11"/>
          <w:sz w:val="20"/>
        </w:rPr>
        <w:t xml:space="preserve"> </w:t>
      </w:r>
      <w:r>
        <w:rPr>
          <w:sz w:val="20"/>
        </w:rPr>
        <w:t>electronic</w:t>
      </w:r>
      <w:r>
        <w:rPr>
          <w:spacing w:val="-4"/>
          <w:sz w:val="20"/>
        </w:rPr>
        <w:t xml:space="preserve"> </w:t>
      </w:r>
      <w:r>
        <w:rPr>
          <w:sz w:val="20"/>
        </w:rPr>
        <w:t>publication of</w:t>
      </w:r>
      <w:r>
        <w:rPr>
          <w:spacing w:val="-9"/>
          <w:sz w:val="20"/>
        </w:rPr>
        <w:t xml:space="preserve"> </w:t>
      </w:r>
      <w:r>
        <w:rPr>
          <w:sz w:val="20"/>
        </w:rPr>
        <w:t>the</w:t>
      </w:r>
      <w:r>
        <w:rPr>
          <w:spacing w:val="-11"/>
          <w:sz w:val="20"/>
        </w:rPr>
        <w:t xml:space="preserve"> </w:t>
      </w:r>
      <w:r>
        <w:rPr>
          <w:sz w:val="20"/>
        </w:rPr>
        <w:t>audited</w:t>
      </w:r>
      <w:r>
        <w:rPr>
          <w:spacing w:val="-10"/>
          <w:sz w:val="20"/>
        </w:rPr>
        <w:t xml:space="preserve"> </w:t>
      </w:r>
      <w:r w:rsidR="00A74DE7">
        <w:rPr>
          <w:sz w:val="20"/>
        </w:rPr>
        <w:t>financial</w:t>
      </w:r>
      <w:r>
        <w:rPr>
          <w:sz w:val="20"/>
        </w:rPr>
        <w:t>! statements on any website where it may be</w:t>
      </w:r>
      <w:r>
        <w:rPr>
          <w:spacing w:val="53"/>
          <w:sz w:val="20"/>
        </w:rPr>
        <w:t xml:space="preserve"> </w:t>
      </w:r>
      <w:r>
        <w:rPr>
          <w:sz w:val="20"/>
        </w:rPr>
        <w:t>presented</w:t>
      </w:r>
    </w:p>
    <w:p w14:paraId="1E977FEB" w14:textId="77777777" w:rsidR="00FA4AA8" w:rsidRDefault="0015611F">
      <w:pPr>
        <w:pStyle w:val="ListParagraph"/>
        <w:numPr>
          <w:ilvl w:val="0"/>
          <w:numId w:val="60"/>
        </w:numPr>
        <w:tabs>
          <w:tab w:val="left" w:pos="1209"/>
          <w:tab w:val="left" w:pos="1210"/>
        </w:tabs>
        <w:spacing w:before="50"/>
        <w:ind w:left="1209" w:hanging="561"/>
        <w:rPr>
          <w:sz w:val="20"/>
        </w:rPr>
      </w:pPr>
      <w:r>
        <w:rPr>
          <w:sz w:val="20"/>
        </w:rPr>
        <w:t>about any other information which may have been hyperlinked to/from the financial</w:t>
      </w:r>
      <w:r>
        <w:rPr>
          <w:spacing w:val="4"/>
          <w:sz w:val="20"/>
        </w:rPr>
        <w:t xml:space="preserve"> </w:t>
      </w:r>
      <w:r>
        <w:rPr>
          <w:sz w:val="20"/>
        </w:rPr>
        <w:t>statements.</w:t>
      </w:r>
    </w:p>
    <w:p w14:paraId="35131E2F" w14:textId="77777777" w:rsidR="00FA4AA8" w:rsidRDefault="00FA4AA8">
      <w:pPr>
        <w:pStyle w:val="BodyText"/>
        <w:rPr>
          <w:sz w:val="20"/>
        </w:rPr>
      </w:pPr>
    </w:p>
    <w:p w14:paraId="3979B350" w14:textId="77777777" w:rsidR="00FA4AA8" w:rsidRDefault="00FA4AA8">
      <w:pPr>
        <w:pStyle w:val="BodyText"/>
        <w:rPr>
          <w:sz w:val="20"/>
        </w:rPr>
      </w:pPr>
    </w:p>
    <w:p w14:paraId="0CE0CD6C" w14:textId="77777777" w:rsidR="00FA4AA8" w:rsidRDefault="00FA4AA8">
      <w:pPr>
        <w:pStyle w:val="BodyText"/>
        <w:rPr>
          <w:sz w:val="20"/>
        </w:rPr>
      </w:pPr>
    </w:p>
    <w:p w14:paraId="2735550B" w14:textId="77777777" w:rsidR="00FA4AA8" w:rsidRDefault="00FA4AA8">
      <w:pPr>
        <w:pStyle w:val="BodyText"/>
        <w:rPr>
          <w:sz w:val="20"/>
        </w:rPr>
      </w:pPr>
    </w:p>
    <w:p w14:paraId="440C524D" w14:textId="77777777" w:rsidR="00FA4AA8" w:rsidRDefault="0015611F">
      <w:pPr>
        <w:pStyle w:val="BodyText"/>
        <w:spacing w:before="6"/>
      </w:pPr>
      <w:r>
        <w:rPr>
          <w:noProof/>
          <w:lang w:val="en-AU" w:eastAsia="en-AU"/>
        </w:rPr>
        <w:drawing>
          <wp:anchor distT="0" distB="0" distL="0" distR="0" simplePos="0" relativeHeight="89" behindDoc="0" locked="0" layoutInCell="1" allowOverlap="1" wp14:anchorId="407189EC" wp14:editId="5EC4FBBF">
            <wp:simplePos x="0" y="0"/>
            <wp:positionH relativeFrom="page">
              <wp:posOffset>987618</wp:posOffset>
            </wp:positionH>
            <wp:positionV relativeFrom="paragraph">
              <wp:posOffset>160283</wp:posOffset>
            </wp:positionV>
            <wp:extent cx="1962857" cy="295655"/>
            <wp:effectExtent l="0" t="0" r="0" b="0"/>
            <wp:wrapTopAndBottom/>
            <wp:docPr id="4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1.jpeg"/>
                    <pic:cNvPicPr/>
                  </pic:nvPicPr>
                  <pic:blipFill>
                    <a:blip r:embed="rId101" cstate="print"/>
                    <a:stretch>
                      <a:fillRect/>
                    </a:stretch>
                  </pic:blipFill>
                  <pic:spPr>
                    <a:xfrm>
                      <a:off x="0" y="0"/>
                      <a:ext cx="1962857" cy="295655"/>
                    </a:xfrm>
                    <a:prstGeom prst="rect">
                      <a:avLst/>
                    </a:prstGeom>
                  </pic:spPr>
                </pic:pic>
              </a:graphicData>
            </a:graphic>
          </wp:anchor>
        </w:drawing>
      </w:r>
    </w:p>
    <w:p w14:paraId="27BE1C81" w14:textId="77777777" w:rsidR="00FA4AA8" w:rsidRDefault="0015611F">
      <w:pPr>
        <w:spacing w:before="42" w:line="254" w:lineRule="auto"/>
        <w:ind w:left="645" w:right="7577" w:hanging="1"/>
        <w:rPr>
          <w:sz w:val="20"/>
        </w:rPr>
      </w:pPr>
      <w:r>
        <w:rPr>
          <w:sz w:val="20"/>
        </w:rPr>
        <w:t>Margaret Crawford Auditor-General of NSW</w:t>
      </w:r>
    </w:p>
    <w:p w14:paraId="4358541C" w14:textId="77777777" w:rsidR="00FA4AA8" w:rsidRDefault="00FA4AA8">
      <w:pPr>
        <w:pStyle w:val="BodyText"/>
        <w:rPr>
          <w:sz w:val="22"/>
        </w:rPr>
      </w:pPr>
    </w:p>
    <w:p w14:paraId="2E9F8872" w14:textId="77777777" w:rsidR="00FA4AA8" w:rsidRDefault="00FA4AA8">
      <w:pPr>
        <w:pStyle w:val="BodyText"/>
        <w:spacing w:before="1"/>
        <w:rPr>
          <w:sz w:val="27"/>
        </w:rPr>
      </w:pPr>
    </w:p>
    <w:p w14:paraId="394241D3" w14:textId="77777777" w:rsidR="00FA4AA8" w:rsidRDefault="0015611F">
      <w:pPr>
        <w:ind w:left="645" w:right="7607" w:hanging="82"/>
        <w:rPr>
          <w:sz w:val="21"/>
        </w:rPr>
      </w:pPr>
      <w:r>
        <w:rPr>
          <w:color w:val="073BB5"/>
          <w:sz w:val="21"/>
        </w:rPr>
        <w:t xml:space="preserve">A\ </w:t>
      </w:r>
      <w:r>
        <w:rPr>
          <w:sz w:val="21"/>
        </w:rPr>
        <w:t>March 2019 SYDNEY</w:t>
      </w:r>
    </w:p>
    <w:p w14:paraId="3DE40F46" w14:textId="77777777" w:rsidR="00FA4AA8" w:rsidRDefault="00FA4AA8">
      <w:pPr>
        <w:rPr>
          <w:sz w:val="21"/>
        </w:rPr>
        <w:sectPr w:rsidR="00FA4AA8">
          <w:headerReference w:type="default" r:id="rId102"/>
          <w:footerReference w:type="default" r:id="rId103"/>
          <w:pgSz w:w="11900" w:h="16840"/>
          <w:pgMar w:top="1180" w:right="860" w:bottom="720" w:left="660" w:header="0" w:footer="523" w:gutter="0"/>
          <w:pgNumType w:start="118"/>
          <w:cols w:space="720"/>
        </w:sectPr>
      </w:pPr>
    </w:p>
    <w:p w14:paraId="712ABF2D" w14:textId="77777777" w:rsidR="00FA4AA8" w:rsidRDefault="00FA4AA8">
      <w:pPr>
        <w:pStyle w:val="BodyText"/>
        <w:rPr>
          <w:sz w:val="20"/>
        </w:rPr>
      </w:pPr>
    </w:p>
    <w:p w14:paraId="0FF51DE2" w14:textId="77777777" w:rsidR="00FA4AA8" w:rsidRDefault="00FA4AA8">
      <w:pPr>
        <w:pStyle w:val="BodyText"/>
        <w:rPr>
          <w:sz w:val="20"/>
        </w:rPr>
      </w:pPr>
    </w:p>
    <w:p w14:paraId="49881662" w14:textId="77777777" w:rsidR="00FA4AA8" w:rsidRDefault="00FA4AA8">
      <w:pPr>
        <w:pStyle w:val="BodyText"/>
        <w:rPr>
          <w:sz w:val="20"/>
        </w:rPr>
      </w:pPr>
    </w:p>
    <w:p w14:paraId="04CF78AF" w14:textId="77777777" w:rsidR="00FA4AA8" w:rsidRDefault="00FA4AA8">
      <w:pPr>
        <w:pStyle w:val="BodyText"/>
        <w:rPr>
          <w:sz w:val="20"/>
        </w:rPr>
      </w:pPr>
    </w:p>
    <w:p w14:paraId="26558534" w14:textId="77777777" w:rsidR="00FA4AA8" w:rsidRDefault="00FA4AA8">
      <w:pPr>
        <w:pStyle w:val="BodyText"/>
        <w:rPr>
          <w:sz w:val="20"/>
        </w:rPr>
      </w:pPr>
    </w:p>
    <w:p w14:paraId="39E3D523" w14:textId="77777777" w:rsidR="00FA4AA8" w:rsidRDefault="00FA4AA8">
      <w:pPr>
        <w:pStyle w:val="BodyText"/>
        <w:rPr>
          <w:sz w:val="20"/>
        </w:rPr>
      </w:pPr>
    </w:p>
    <w:p w14:paraId="747470DC" w14:textId="77777777" w:rsidR="00FA4AA8" w:rsidRDefault="00FA4AA8">
      <w:pPr>
        <w:pStyle w:val="BodyText"/>
        <w:rPr>
          <w:sz w:val="20"/>
        </w:rPr>
      </w:pPr>
    </w:p>
    <w:p w14:paraId="321A9D43" w14:textId="77777777" w:rsidR="00FA4AA8" w:rsidRDefault="00FA4AA8">
      <w:pPr>
        <w:pStyle w:val="BodyText"/>
        <w:rPr>
          <w:sz w:val="20"/>
        </w:rPr>
      </w:pPr>
    </w:p>
    <w:p w14:paraId="420FD833" w14:textId="77777777" w:rsidR="00FA4AA8" w:rsidRDefault="00FA4AA8">
      <w:pPr>
        <w:pStyle w:val="BodyText"/>
        <w:rPr>
          <w:sz w:val="20"/>
        </w:rPr>
      </w:pPr>
    </w:p>
    <w:p w14:paraId="74E5F397" w14:textId="77777777" w:rsidR="00FA4AA8" w:rsidRDefault="00FA4AA8">
      <w:pPr>
        <w:pStyle w:val="BodyText"/>
        <w:rPr>
          <w:sz w:val="20"/>
        </w:rPr>
      </w:pPr>
    </w:p>
    <w:p w14:paraId="34BEEA9B" w14:textId="77777777" w:rsidR="00FA4AA8" w:rsidRDefault="00FA4AA8">
      <w:pPr>
        <w:pStyle w:val="BodyText"/>
        <w:rPr>
          <w:sz w:val="20"/>
        </w:rPr>
      </w:pPr>
    </w:p>
    <w:p w14:paraId="1B3B14CD" w14:textId="77777777" w:rsidR="00FA4AA8" w:rsidRDefault="00FA4AA8">
      <w:pPr>
        <w:pStyle w:val="BodyText"/>
        <w:rPr>
          <w:sz w:val="20"/>
        </w:rPr>
      </w:pPr>
    </w:p>
    <w:p w14:paraId="4499C3CE" w14:textId="77777777" w:rsidR="00FA4AA8" w:rsidRDefault="00FA4AA8">
      <w:pPr>
        <w:pStyle w:val="BodyText"/>
        <w:rPr>
          <w:sz w:val="20"/>
        </w:rPr>
      </w:pPr>
    </w:p>
    <w:p w14:paraId="59F98CAD" w14:textId="77777777" w:rsidR="00FA4AA8" w:rsidRDefault="00FA4AA8">
      <w:pPr>
        <w:pStyle w:val="BodyText"/>
        <w:rPr>
          <w:sz w:val="20"/>
        </w:rPr>
      </w:pPr>
    </w:p>
    <w:p w14:paraId="5596B6B1" w14:textId="77777777" w:rsidR="00FA4AA8" w:rsidRDefault="00FA4AA8">
      <w:pPr>
        <w:pStyle w:val="BodyText"/>
        <w:rPr>
          <w:sz w:val="20"/>
        </w:rPr>
      </w:pPr>
    </w:p>
    <w:p w14:paraId="11EB8915" w14:textId="77777777" w:rsidR="00FA4AA8" w:rsidRDefault="00FA4AA8">
      <w:pPr>
        <w:pStyle w:val="BodyText"/>
        <w:rPr>
          <w:sz w:val="20"/>
        </w:rPr>
      </w:pPr>
    </w:p>
    <w:p w14:paraId="13F6A9DF" w14:textId="77777777" w:rsidR="00FA4AA8" w:rsidRDefault="00FA4AA8">
      <w:pPr>
        <w:pStyle w:val="BodyText"/>
        <w:rPr>
          <w:sz w:val="20"/>
        </w:rPr>
      </w:pPr>
    </w:p>
    <w:p w14:paraId="78DF8F2C" w14:textId="77777777" w:rsidR="00FA4AA8" w:rsidRDefault="00FA4AA8">
      <w:pPr>
        <w:pStyle w:val="BodyText"/>
        <w:rPr>
          <w:sz w:val="20"/>
        </w:rPr>
      </w:pPr>
    </w:p>
    <w:p w14:paraId="33848FE9" w14:textId="77777777" w:rsidR="00FA4AA8" w:rsidRDefault="00FA4AA8">
      <w:pPr>
        <w:pStyle w:val="BodyText"/>
        <w:spacing w:before="10"/>
        <w:rPr>
          <w:sz w:val="24"/>
        </w:rPr>
      </w:pPr>
    </w:p>
    <w:p w14:paraId="7F919A1C" w14:textId="77777777" w:rsidR="00FA4AA8" w:rsidRDefault="0015611F">
      <w:pPr>
        <w:spacing w:before="82"/>
        <w:ind w:left="107"/>
        <w:rPr>
          <w:b/>
          <w:sz w:val="56"/>
        </w:rPr>
      </w:pPr>
      <w:bookmarkStart w:id="145" w:name="4._Western_Unlimited_Ltd_-_2018_Financia"/>
      <w:bookmarkStart w:id="146" w:name="Western_Unlimited_Ltd_-_Financial_Statem"/>
      <w:bookmarkStart w:id="147" w:name="Cover_page"/>
      <w:bookmarkEnd w:id="145"/>
      <w:bookmarkEnd w:id="146"/>
      <w:bookmarkEnd w:id="147"/>
      <w:r>
        <w:rPr>
          <w:b/>
          <w:sz w:val="56"/>
        </w:rPr>
        <w:t>Western Unlimited Ltd</w:t>
      </w:r>
    </w:p>
    <w:p w14:paraId="0FD2146B" w14:textId="77777777" w:rsidR="00FA4AA8" w:rsidRDefault="0015611F">
      <w:pPr>
        <w:ind w:left="107"/>
        <w:rPr>
          <w:b/>
          <w:sz w:val="28"/>
        </w:rPr>
      </w:pPr>
      <w:r>
        <w:rPr>
          <w:b/>
          <w:sz w:val="28"/>
        </w:rPr>
        <w:t>(formerly uwsconnect Limited)</w:t>
      </w:r>
    </w:p>
    <w:p w14:paraId="0966043F" w14:textId="77777777" w:rsidR="00FA4AA8" w:rsidRDefault="0015611F">
      <w:pPr>
        <w:spacing w:before="231"/>
        <w:ind w:left="107"/>
        <w:rPr>
          <w:b/>
          <w:sz w:val="20"/>
        </w:rPr>
      </w:pPr>
      <w:r>
        <w:rPr>
          <w:b/>
          <w:sz w:val="20"/>
        </w:rPr>
        <w:t>ABN: 45 107 759 197</w:t>
      </w:r>
    </w:p>
    <w:p w14:paraId="29BDA148" w14:textId="77777777" w:rsidR="00FA4AA8" w:rsidRDefault="00FA4AA8">
      <w:pPr>
        <w:pStyle w:val="BodyText"/>
        <w:rPr>
          <w:b/>
          <w:sz w:val="22"/>
        </w:rPr>
      </w:pPr>
    </w:p>
    <w:p w14:paraId="6AE10A11" w14:textId="77777777" w:rsidR="00FA4AA8" w:rsidRDefault="00FA4AA8">
      <w:pPr>
        <w:pStyle w:val="BodyText"/>
        <w:rPr>
          <w:b/>
          <w:sz w:val="22"/>
        </w:rPr>
      </w:pPr>
    </w:p>
    <w:p w14:paraId="564C0FE2" w14:textId="77777777" w:rsidR="00FA4AA8" w:rsidRDefault="0015611F">
      <w:pPr>
        <w:spacing w:before="137"/>
        <w:ind w:left="107"/>
        <w:rPr>
          <w:b/>
          <w:sz w:val="28"/>
        </w:rPr>
      </w:pPr>
      <w:r>
        <w:rPr>
          <w:b/>
          <w:sz w:val="28"/>
        </w:rPr>
        <w:t>Financial Statements</w:t>
      </w:r>
    </w:p>
    <w:p w14:paraId="3F0A258C" w14:textId="77777777" w:rsidR="00FA4AA8" w:rsidRDefault="0015611F">
      <w:pPr>
        <w:spacing w:before="230"/>
        <w:ind w:left="107"/>
        <w:rPr>
          <w:b/>
          <w:sz w:val="20"/>
        </w:rPr>
      </w:pPr>
      <w:r>
        <w:rPr>
          <w:b/>
          <w:sz w:val="20"/>
        </w:rPr>
        <w:t>For the Year Ended 31 December 2018</w:t>
      </w:r>
    </w:p>
    <w:p w14:paraId="034F3A8A" w14:textId="77777777" w:rsidR="00FA4AA8" w:rsidRDefault="00FA4AA8">
      <w:pPr>
        <w:pStyle w:val="BodyText"/>
        <w:rPr>
          <w:b/>
          <w:sz w:val="22"/>
        </w:rPr>
      </w:pPr>
    </w:p>
    <w:p w14:paraId="118568F9" w14:textId="77777777" w:rsidR="00FA4AA8" w:rsidRDefault="00FA4AA8">
      <w:pPr>
        <w:pStyle w:val="BodyText"/>
        <w:rPr>
          <w:b/>
          <w:sz w:val="22"/>
        </w:rPr>
      </w:pPr>
    </w:p>
    <w:p w14:paraId="4618CBB6" w14:textId="77777777" w:rsidR="00FA4AA8" w:rsidRDefault="00FA4AA8">
      <w:pPr>
        <w:pStyle w:val="BodyText"/>
        <w:rPr>
          <w:b/>
          <w:sz w:val="22"/>
        </w:rPr>
      </w:pPr>
    </w:p>
    <w:p w14:paraId="404BD8E3" w14:textId="77777777" w:rsidR="00FA4AA8" w:rsidRDefault="00FA4AA8">
      <w:pPr>
        <w:pStyle w:val="BodyText"/>
        <w:rPr>
          <w:b/>
          <w:sz w:val="22"/>
        </w:rPr>
      </w:pPr>
    </w:p>
    <w:p w14:paraId="38CC5927" w14:textId="77777777" w:rsidR="00FA4AA8" w:rsidRDefault="00FA4AA8">
      <w:pPr>
        <w:pStyle w:val="BodyText"/>
        <w:rPr>
          <w:b/>
          <w:sz w:val="22"/>
        </w:rPr>
      </w:pPr>
    </w:p>
    <w:p w14:paraId="1284FB19" w14:textId="77777777" w:rsidR="00FA4AA8" w:rsidRDefault="00FA4AA8">
      <w:pPr>
        <w:pStyle w:val="BodyText"/>
        <w:rPr>
          <w:b/>
          <w:sz w:val="22"/>
        </w:rPr>
      </w:pPr>
    </w:p>
    <w:p w14:paraId="12A19DF7" w14:textId="77777777" w:rsidR="00FA4AA8" w:rsidRDefault="00FA4AA8">
      <w:pPr>
        <w:pStyle w:val="BodyText"/>
        <w:rPr>
          <w:b/>
          <w:sz w:val="22"/>
        </w:rPr>
      </w:pPr>
    </w:p>
    <w:p w14:paraId="5D35C2D4" w14:textId="77777777" w:rsidR="00FA4AA8" w:rsidRDefault="00FA4AA8">
      <w:pPr>
        <w:pStyle w:val="BodyText"/>
        <w:rPr>
          <w:b/>
          <w:sz w:val="22"/>
        </w:rPr>
      </w:pPr>
    </w:p>
    <w:p w14:paraId="72801E66" w14:textId="77777777" w:rsidR="00FA4AA8" w:rsidRDefault="00FA4AA8">
      <w:pPr>
        <w:pStyle w:val="BodyText"/>
        <w:rPr>
          <w:b/>
          <w:sz w:val="22"/>
        </w:rPr>
      </w:pPr>
    </w:p>
    <w:p w14:paraId="381B11A9" w14:textId="77777777" w:rsidR="00FA4AA8" w:rsidRDefault="00FA4AA8">
      <w:pPr>
        <w:pStyle w:val="BodyText"/>
        <w:rPr>
          <w:b/>
          <w:sz w:val="22"/>
        </w:rPr>
      </w:pPr>
    </w:p>
    <w:p w14:paraId="01815BBC" w14:textId="77777777" w:rsidR="00FA4AA8" w:rsidRDefault="00FA4AA8">
      <w:pPr>
        <w:pStyle w:val="BodyText"/>
        <w:rPr>
          <w:b/>
          <w:sz w:val="22"/>
        </w:rPr>
      </w:pPr>
    </w:p>
    <w:p w14:paraId="5AA8FEE2" w14:textId="77777777" w:rsidR="00FA4AA8" w:rsidRDefault="00FA4AA8">
      <w:pPr>
        <w:pStyle w:val="BodyText"/>
        <w:rPr>
          <w:b/>
          <w:sz w:val="22"/>
        </w:rPr>
      </w:pPr>
    </w:p>
    <w:p w14:paraId="2046F7CD" w14:textId="77777777" w:rsidR="00FA4AA8" w:rsidRDefault="00FA4AA8">
      <w:pPr>
        <w:pStyle w:val="BodyText"/>
        <w:rPr>
          <w:b/>
          <w:sz w:val="22"/>
        </w:rPr>
      </w:pPr>
    </w:p>
    <w:p w14:paraId="5D9D2E4A" w14:textId="77777777" w:rsidR="00FA4AA8" w:rsidRDefault="00FA4AA8">
      <w:pPr>
        <w:pStyle w:val="BodyText"/>
        <w:rPr>
          <w:b/>
          <w:sz w:val="22"/>
        </w:rPr>
      </w:pPr>
    </w:p>
    <w:p w14:paraId="7205BD46" w14:textId="77777777" w:rsidR="00FA4AA8" w:rsidRDefault="00FA4AA8">
      <w:pPr>
        <w:pStyle w:val="BodyText"/>
        <w:spacing w:before="8"/>
        <w:rPr>
          <w:b/>
          <w:sz w:val="32"/>
        </w:rPr>
      </w:pPr>
    </w:p>
    <w:p w14:paraId="613B11F3" w14:textId="77777777" w:rsidR="00FA4AA8" w:rsidRDefault="0015611F">
      <w:pPr>
        <w:ind w:left="108"/>
        <w:rPr>
          <w:sz w:val="20"/>
        </w:rPr>
      </w:pPr>
      <w:r>
        <w:rPr>
          <w:sz w:val="20"/>
        </w:rPr>
        <w:t>These financial statements are the individual entity statements of Western Unlimited Ltd (the Company). The financial statements are presented in the Australian currency.</w:t>
      </w:r>
    </w:p>
    <w:p w14:paraId="322C8A4B" w14:textId="77777777" w:rsidR="00FA4AA8" w:rsidRDefault="00FA4AA8">
      <w:pPr>
        <w:pStyle w:val="BodyText"/>
        <w:spacing w:before="10"/>
        <w:rPr>
          <w:sz w:val="24"/>
        </w:rPr>
      </w:pPr>
    </w:p>
    <w:p w14:paraId="71C2321D" w14:textId="77777777" w:rsidR="00FA4AA8" w:rsidRDefault="0015611F">
      <w:pPr>
        <w:spacing w:line="297" w:lineRule="auto"/>
        <w:ind w:left="787" w:right="553" w:hanging="680"/>
        <w:rPr>
          <w:sz w:val="20"/>
        </w:rPr>
      </w:pPr>
      <w:r>
        <w:rPr>
          <w:sz w:val="20"/>
        </w:rPr>
        <w:t>The Company is limited by guarantee, incorporated and domiciled in Australia. Its registered office is: Office of Governance Services</w:t>
      </w:r>
    </w:p>
    <w:p w14:paraId="42097EB1" w14:textId="77777777" w:rsidR="00FA4AA8" w:rsidRDefault="0015611F">
      <w:pPr>
        <w:spacing w:before="1" w:line="297" w:lineRule="auto"/>
        <w:ind w:left="787" w:right="6021"/>
        <w:rPr>
          <w:sz w:val="20"/>
        </w:rPr>
      </w:pPr>
      <w:r>
        <w:rPr>
          <w:sz w:val="20"/>
        </w:rPr>
        <w:t>Building K10, Hawkesbury Campus Western Sydney University Richmond NSW 2753</w:t>
      </w:r>
    </w:p>
    <w:p w14:paraId="014E2565" w14:textId="77777777" w:rsidR="00FA4AA8" w:rsidRDefault="00FA4AA8">
      <w:pPr>
        <w:pStyle w:val="BodyText"/>
        <w:spacing w:before="11"/>
        <w:rPr>
          <w:sz w:val="24"/>
        </w:rPr>
      </w:pPr>
    </w:p>
    <w:p w14:paraId="2DFD460B" w14:textId="77777777" w:rsidR="00FA4AA8" w:rsidRDefault="0015611F">
      <w:pPr>
        <w:ind w:left="108" w:right="41"/>
        <w:rPr>
          <w:sz w:val="20"/>
        </w:rPr>
      </w:pPr>
      <w:r>
        <w:rPr>
          <w:sz w:val="20"/>
        </w:rPr>
        <w:t xml:space="preserve">The financial statements were authorised for issue by the directors on </w:t>
      </w:r>
      <w:r>
        <w:rPr>
          <w:sz w:val="18"/>
        </w:rPr>
        <w:t>4 March 2019</w:t>
      </w:r>
      <w:r>
        <w:rPr>
          <w:sz w:val="20"/>
        </w:rPr>
        <w:t>. The directors have the power to amend and reissue the financial statements.</w:t>
      </w:r>
    </w:p>
    <w:p w14:paraId="6874F03B" w14:textId="77777777" w:rsidR="00FA4AA8" w:rsidRDefault="00FA4AA8">
      <w:pPr>
        <w:rPr>
          <w:sz w:val="20"/>
        </w:rPr>
        <w:sectPr w:rsidR="00FA4AA8">
          <w:headerReference w:type="default" r:id="rId104"/>
          <w:footerReference w:type="default" r:id="rId105"/>
          <w:pgSz w:w="11910" w:h="16840"/>
          <w:pgMar w:top="1580" w:right="920" w:bottom="720" w:left="900" w:header="0" w:footer="523" w:gutter="0"/>
          <w:pgNumType w:start="119"/>
          <w:cols w:space="720"/>
        </w:sectPr>
      </w:pPr>
    </w:p>
    <w:p w14:paraId="693103C6" w14:textId="77777777" w:rsidR="00FA4AA8" w:rsidRDefault="0015611F">
      <w:pPr>
        <w:spacing w:before="54"/>
        <w:ind w:left="107"/>
        <w:rPr>
          <w:b/>
          <w:sz w:val="14"/>
        </w:rPr>
      </w:pPr>
      <w:r>
        <w:rPr>
          <w:b/>
          <w:sz w:val="14"/>
        </w:rPr>
        <w:t>ABN: 45 107 759 197</w:t>
      </w:r>
    </w:p>
    <w:p w14:paraId="186AC083" w14:textId="77777777" w:rsidR="00FA4AA8" w:rsidRDefault="00FA4AA8">
      <w:pPr>
        <w:pStyle w:val="BodyText"/>
        <w:rPr>
          <w:b/>
          <w:sz w:val="16"/>
        </w:rPr>
      </w:pPr>
    </w:p>
    <w:p w14:paraId="5268258D" w14:textId="77777777" w:rsidR="00FA4AA8" w:rsidRDefault="00FA4AA8">
      <w:pPr>
        <w:pStyle w:val="BodyText"/>
        <w:spacing w:before="6"/>
        <w:rPr>
          <w:b/>
          <w:sz w:val="13"/>
        </w:rPr>
      </w:pPr>
    </w:p>
    <w:p w14:paraId="00756266" w14:textId="77777777" w:rsidR="00FA4AA8" w:rsidRDefault="0015611F">
      <w:pPr>
        <w:pStyle w:val="Heading2"/>
        <w:spacing w:before="0"/>
        <w:ind w:left="107"/>
      </w:pPr>
      <w:r>
        <w:t>Statement by Directors</w:t>
      </w:r>
    </w:p>
    <w:p w14:paraId="324CA42B" w14:textId="77777777" w:rsidR="00FA4AA8" w:rsidRDefault="00FA4AA8">
      <w:pPr>
        <w:pStyle w:val="BodyText"/>
        <w:rPr>
          <w:b/>
          <w:sz w:val="25"/>
        </w:rPr>
      </w:pPr>
    </w:p>
    <w:p w14:paraId="4142D98B" w14:textId="77777777" w:rsidR="00FA4AA8" w:rsidRDefault="0015611F">
      <w:pPr>
        <w:pStyle w:val="BodyText"/>
        <w:ind w:left="107"/>
      </w:pPr>
      <w:r>
        <w:t>The directors of Western Unlimited Ltd declare that:</w:t>
      </w:r>
    </w:p>
    <w:p w14:paraId="3CA07942" w14:textId="77777777" w:rsidR="00FA4AA8" w:rsidRDefault="00FA4AA8">
      <w:pPr>
        <w:pStyle w:val="BodyText"/>
        <w:spacing w:before="10"/>
        <w:rPr>
          <w:sz w:val="17"/>
        </w:rPr>
      </w:pPr>
    </w:p>
    <w:p w14:paraId="7358AD58" w14:textId="77777777" w:rsidR="00FA4AA8" w:rsidRDefault="0015611F">
      <w:pPr>
        <w:pStyle w:val="ListParagraph"/>
        <w:numPr>
          <w:ilvl w:val="0"/>
          <w:numId w:val="59"/>
        </w:numPr>
        <w:tabs>
          <w:tab w:val="left" w:pos="503"/>
          <w:tab w:val="left" w:pos="504"/>
        </w:tabs>
        <w:rPr>
          <w:sz w:val="18"/>
        </w:rPr>
      </w:pPr>
      <w:r>
        <w:rPr>
          <w:sz w:val="18"/>
        </w:rPr>
        <w:t>The financial statements and</w:t>
      </w:r>
      <w:r>
        <w:rPr>
          <w:spacing w:val="4"/>
          <w:sz w:val="18"/>
        </w:rPr>
        <w:t xml:space="preserve"> </w:t>
      </w:r>
      <w:r>
        <w:rPr>
          <w:sz w:val="18"/>
        </w:rPr>
        <w:t>notes:</w:t>
      </w:r>
    </w:p>
    <w:p w14:paraId="2BFEF70A" w14:textId="77777777" w:rsidR="00FA4AA8" w:rsidRDefault="00FA4AA8">
      <w:pPr>
        <w:pStyle w:val="BodyText"/>
        <w:rPr>
          <w:sz w:val="25"/>
        </w:rPr>
      </w:pPr>
    </w:p>
    <w:p w14:paraId="6F580E07" w14:textId="77777777" w:rsidR="00FA4AA8" w:rsidRDefault="0015611F">
      <w:pPr>
        <w:pStyle w:val="ListParagraph"/>
        <w:numPr>
          <w:ilvl w:val="1"/>
          <w:numId w:val="59"/>
        </w:numPr>
        <w:tabs>
          <w:tab w:val="left" w:pos="899"/>
          <w:tab w:val="left" w:pos="900"/>
        </w:tabs>
        <w:ind w:right="545"/>
        <w:rPr>
          <w:sz w:val="18"/>
        </w:rPr>
      </w:pPr>
      <w:r>
        <w:rPr>
          <w:sz w:val="18"/>
        </w:rPr>
        <w:t>comply with Australian Accounting Standards - Reduced Disclosure Requirements (which include Australian Accounting</w:t>
      </w:r>
      <w:r>
        <w:rPr>
          <w:spacing w:val="1"/>
          <w:sz w:val="18"/>
        </w:rPr>
        <w:t xml:space="preserve"> </w:t>
      </w:r>
      <w:r>
        <w:rPr>
          <w:sz w:val="18"/>
        </w:rPr>
        <w:t>Interpretations).</w:t>
      </w:r>
    </w:p>
    <w:p w14:paraId="201F02C1" w14:textId="77777777" w:rsidR="00FA4AA8" w:rsidRDefault="00FA4AA8">
      <w:pPr>
        <w:pStyle w:val="BodyText"/>
        <w:rPr>
          <w:sz w:val="25"/>
        </w:rPr>
      </w:pPr>
    </w:p>
    <w:p w14:paraId="60B96247" w14:textId="77777777" w:rsidR="00FA4AA8" w:rsidRDefault="0015611F">
      <w:pPr>
        <w:pStyle w:val="ListParagraph"/>
        <w:numPr>
          <w:ilvl w:val="1"/>
          <w:numId w:val="59"/>
        </w:numPr>
        <w:tabs>
          <w:tab w:val="left" w:pos="899"/>
          <w:tab w:val="left" w:pos="900"/>
        </w:tabs>
        <w:rPr>
          <w:i/>
          <w:sz w:val="18"/>
        </w:rPr>
      </w:pPr>
      <w:r>
        <w:rPr>
          <w:sz w:val="18"/>
        </w:rPr>
        <w:t xml:space="preserve">comply with the </w:t>
      </w:r>
      <w:r>
        <w:rPr>
          <w:i/>
          <w:sz w:val="18"/>
        </w:rPr>
        <w:t xml:space="preserve">Public Finance and Audit Act 1983 </w:t>
      </w:r>
      <w:r>
        <w:rPr>
          <w:sz w:val="18"/>
        </w:rPr>
        <w:t xml:space="preserve">and the </w:t>
      </w:r>
      <w:r>
        <w:rPr>
          <w:i/>
          <w:sz w:val="18"/>
        </w:rPr>
        <w:t>Public Finance and Audit Regulation</w:t>
      </w:r>
      <w:r>
        <w:rPr>
          <w:i/>
          <w:spacing w:val="12"/>
          <w:sz w:val="18"/>
        </w:rPr>
        <w:t xml:space="preserve"> </w:t>
      </w:r>
      <w:r>
        <w:rPr>
          <w:i/>
          <w:sz w:val="18"/>
        </w:rPr>
        <w:t>2015</w:t>
      </w:r>
    </w:p>
    <w:p w14:paraId="42FC3887" w14:textId="77777777" w:rsidR="00FA4AA8" w:rsidRDefault="00FA4AA8">
      <w:pPr>
        <w:pStyle w:val="BodyText"/>
        <w:rPr>
          <w:i/>
          <w:sz w:val="25"/>
        </w:rPr>
      </w:pPr>
    </w:p>
    <w:p w14:paraId="61115ABF" w14:textId="77777777" w:rsidR="00FA4AA8" w:rsidRDefault="0015611F">
      <w:pPr>
        <w:pStyle w:val="ListParagraph"/>
        <w:numPr>
          <w:ilvl w:val="1"/>
          <w:numId w:val="59"/>
        </w:numPr>
        <w:tabs>
          <w:tab w:val="left" w:pos="899"/>
          <w:tab w:val="left" w:pos="900"/>
        </w:tabs>
        <w:ind w:right="239"/>
        <w:rPr>
          <w:sz w:val="18"/>
        </w:rPr>
      </w:pPr>
      <w:r>
        <w:rPr>
          <w:sz w:val="18"/>
        </w:rPr>
        <w:t>give a true and fair view of the financial position as at 31 December 2018 and financial performance for the year ended on that date of Western Unlimited</w:t>
      </w:r>
      <w:r>
        <w:rPr>
          <w:spacing w:val="7"/>
          <w:sz w:val="18"/>
        </w:rPr>
        <w:t xml:space="preserve"> </w:t>
      </w:r>
      <w:r>
        <w:rPr>
          <w:sz w:val="18"/>
        </w:rPr>
        <w:t>Ltd.</w:t>
      </w:r>
    </w:p>
    <w:p w14:paraId="71D34B11" w14:textId="77777777" w:rsidR="00FA4AA8" w:rsidRDefault="00FA4AA8">
      <w:pPr>
        <w:pStyle w:val="BodyText"/>
        <w:spacing w:before="9"/>
        <w:rPr>
          <w:sz w:val="17"/>
        </w:rPr>
      </w:pPr>
    </w:p>
    <w:p w14:paraId="51F3CAC7" w14:textId="77777777" w:rsidR="00FA4AA8" w:rsidRDefault="0015611F">
      <w:pPr>
        <w:pStyle w:val="ListParagraph"/>
        <w:numPr>
          <w:ilvl w:val="0"/>
          <w:numId w:val="59"/>
        </w:numPr>
        <w:tabs>
          <w:tab w:val="left" w:pos="503"/>
          <w:tab w:val="left" w:pos="504"/>
        </w:tabs>
        <w:ind w:left="503" w:right="490"/>
        <w:rPr>
          <w:sz w:val="18"/>
        </w:rPr>
      </w:pPr>
      <w:r>
        <w:rPr>
          <w:sz w:val="18"/>
        </w:rPr>
        <w:t>In the directors' opinion, there are reasonable grounds to believe that Western Unlimited Ltd will be able to pay its debts as and when they become due and</w:t>
      </w:r>
      <w:r>
        <w:rPr>
          <w:spacing w:val="1"/>
          <w:sz w:val="18"/>
        </w:rPr>
        <w:t xml:space="preserve"> </w:t>
      </w:r>
      <w:r>
        <w:rPr>
          <w:sz w:val="18"/>
        </w:rPr>
        <w:t>payable.</w:t>
      </w:r>
    </w:p>
    <w:p w14:paraId="10B71B06" w14:textId="77777777" w:rsidR="00FA4AA8" w:rsidRDefault="00FA4AA8">
      <w:pPr>
        <w:pStyle w:val="BodyText"/>
        <w:spacing w:before="10"/>
        <w:rPr>
          <w:sz w:val="17"/>
        </w:rPr>
      </w:pPr>
    </w:p>
    <w:p w14:paraId="5B9469C7" w14:textId="77777777" w:rsidR="00FA4AA8" w:rsidRDefault="0015611F">
      <w:pPr>
        <w:pStyle w:val="ListParagraph"/>
        <w:numPr>
          <w:ilvl w:val="0"/>
          <w:numId w:val="59"/>
        </w:numPr>
        <w:tabs>
          <w:tab w:val="left" w:pos="503"/>
          <w:tab w:val="left" w:pos="504"/>
        </w:tabs>
        <w:ind w:left="503" w:right="226"/>
        <w:rPr>
          <w:sz w:val="18"/>
        </w:rPr>
      </w:pPr>
      <w:r>
        <w:rPr>
          <w:spacing w:val="5"/>
          <w:sz w:val="18"/>
        </w:rPr>
        <w:t xml:space="preserve">We </w:t>
      </w:r>
      <w:r>
        <w:rPr>
          <w:sz w:val="18"/>
        </w:rPr>
        <w:t>are not aware of any circumstances which would render any particulars included in the financial statements to be misleading or</w:t>
      </w:r>
      <w:r>
        <w:rPr>
          <w:spacing w:val="2"/>
          <w:sz w:val="18"/>
        </w:rPr>
        <w:t xml:space="preserve"> </w:t>
      </w:r>
      <w:r>
        <w:rPr>
          <w:sz w:val="18"/>
        </w:rPr>
        <w:t>inaccurate.</w:t>
      </w:r>
    </w:p>
    <w:p w14:paraId="67AAE4C3" w14:textId="77777777" w:rsidR="00FA4AA8" w:rsidRDefault="00FA4AA8">
      <w:pPr>
        <w:pStyle w:val="BodyText"/>
        <w:spacing w:before="11"/>
        <w:rPr>
          <w:sz w:val="24"/>
        </w:rPr>
      </w:pPr>
    </w:p>
    <w:p w14:paraId="2216F524" w14:textId="77777777" w:rsidR="00FA4AA8" w:rsidRDefault="0015611F">
      <w:pPr>
        <w:ind w:left="107"/>
        <w:rPr>
          <w:i/>
          <w:sz w:val="18"/>
        </w:rPr>
      </w:pPr>
      <w:r>
        <w:rPr>
          <w:noProof/>
          <w:lang w:val="en-AU" w:eastAsia="en-AU"/>
        </w:rPr>
        <w:drawing>
          <wp:anchor distT="0" distB="0" distL="0" distR="0" simplePos="0" relativeHeight="15775232" behindDoc="0" locked="0" layoutInCell="1" allowOverlap="1" wp14:anchorId="45FAC67F" wp14:editId="409DD67F">
            <wp:simplePos x="0" y="0"/>
            <wp:positionH relativeFrom="page">
              <wp:posOffset>1888261</wp:posOffset>
            </wp:positionH>
            <wp:positionV relativeFrom="paragraph">
              <wp:posOffset>1068753</wp:posOffset>
            </wp:positionV>
            <wp:extent cx="2351646" cy="1034759"/>
            <wp:effectExtent l="0" t="0" r="0" b="0"/>
            <wp:wrapNone/>
            <wp:docPr id="4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2.jpeg"/>
                    <pic:cNvPicPr/>
                  </pic:nvPicPr>
                  <pic:blipFill>
                    <a:blip r:embed="rId106" cstate="print"/>
                    <a:stretch>
                      <a:fillRect/>
                    </a:stretch>
                  </pic:blipFill>
                  <pic:spPr>
                    <a:xfrm>
                      <a:off x="0" y="0"/>
                      <a:ext cx="2351646" cy="1034759"/>
                    </a:xfrm>
                    <a:prstGeom prst="rect">
                      <a:avLst/>
                    </a:prstGeom>
                  </pic:spPr>
                </pic:pic>
              </a:graphicData>
            </a:graphic>
          </wp:anchor>
        </w:drawing>
      </w:r>
      <w:r>
        <w:rPr>
          <w:i/>
          <w:sz w:val="18"/>
        </w:rPr>
        <w:t>This declaration is made in accordance with a resolution of the Board of Directors, pursuant to section 41(c) of the Public Finance and Audit Act 1983.</w:t>
      </w:r>
    </w:p>
    <w:p w14:paraId="65C739EC" w14:textId="77777777" w:rsidR="00FA4AA8" w:rsidRDefault="00FA4AA8">
      <w:pPr>
        <w:pStyle w:val="BodyText"/>
        <w:rPr>
          <w:i/>
          <w:sz w:val="20"/>
        </w:rPr>
      </w:pPr>
    </w:p>
    <w:p w14:paraId="2705F664" w14:textId="77777777" w:rsidR="00FA4AA8" w:rsidRDefault="00FA4AA8">
      <w:pPr>
        <w:pStyle w:val="BodyText"/>
        <w:rPr>
          <w:i/>
          <w:sz w:val="20"/>
        </w:rPr>
      </w:pPr>
    </w:p>
    <w:p w14:paraId="2ACA2422" w14:textId="77777777" w:rsidR="00FA4AA8" w:rsidRDefault="00FA4AA8">
      <w:pPr>
        <w:pStyle w:val="BodyText"/>
        <w:rPr>
          <w:i/>
          <w:sz w:val="20"/>
        </w:rPr>
      </w:pPr>
    </w:p>
    <w:p w14:paraId="27D902F8" w14:textId="77777777" w:rsidR="00FA4AA8" w:rsidRDefault="00FA4AA8">
      <w:pPr>
        <w:pStyle w:val="BodyText"/>
        <w:rPr>
          <w:i/>
          <w:sz w:val="20"/>
        </w:rPr>
      </w:pPr>
    </w:p>
    <w:p w14:paraId="4B53BD09" w14:textId="77777777" w:rsidR="00FA4AA8" w:rsidRDefault="00FA4AA8">
      <w:pPr>
        <w:pStyle w:val="BodyText"/>
        <w:rPr>
          <w:i/>
          <w:sz w:val="20"/>
        </w:rPr>
      </w:pPr>
    </w:p>
    <w:p w14:paraId="6687CD0C" w14:textId="77777777" w:rsidR="00FA4AA8" w:rsidRDefault="00FA4AA8">
      <w:pPr>
        <w:pStyle w:val="BodyText"/>
        <w:rPr>
          <w:i/>
          <w:sz w:val="20"/>
        </w:rPr>
      </w:pPr>
    </w:p>
    <w:p w14:paraId="02D229D8" w14:textId="77777777" w:rsidR="00FA4AA8" w:rsidRDefault="00FA4AA8">
      <w:pPr>
        <w:pStyle w:val="BodyText"/>
        <w:rPr>
          <w:i/>
          <w:sz w:val="20"/>
        </w:rPr>
      </w:pPr>
    </w:p>
    <w:p w14:paraId="539BE6D6" w14:textId="77777777" w:rsidR="00FA4AA8" w:rsidRDefault="00FA4AA8">
      <w:pPr>
        <w:pStyle w:val="BodyText"/>
        <w:rPr>
          <w:i/>
          <w:sz w:val="20"/>
        </w:rPr>
      </w:pPr>
    </w:p>
    <w:p w14:paraId="1EF36F65" w14:textId="77777777" w:rsidR="00FA4AA8" w:rsidRDefault="00FA4AA8">
      <w:pPr>
        <w:pStyle w:val="BodyText"/>
        <w:rPr>
          <w:i/>
          <w:sz w:val="20"/>
        </w:rPr>
      </w:pPr>
    </w:p>
    <w:p w14:paraId="7C054364" w14:textId="77777777" w:rsidR="00FA4AA8" w:rsidRDefault="00FA4AA8">
      <w:pPr>
        <w:pStyle w:val="BodyText"/>
        <w:rPr>
          <w:i/>
          <w:sz w:val="20"/>
        </w:rPr>
      </w:pPr>
    </w:p>
    <w:p w14:paraId="70F73B07" w14:textId="77777777" w:rsidR="00FA4AA8" w:rsidRDefault="00FA4AA8">
      <w:pPr>
        <w:pStyle w:val="BodyText"/>
        <w:rPr>
          <w:i/>
          <w:sz w:val="20"/>
        </w:rPr>
      </w:pPr>
    </w:p>
    <w:p w14:paraId="57A0645E" w14:textId="77777777" w:rsidR="00FA4AA8" w:rsidRDefault="00FA4AA8">
      <w:pPr>
        <w:pStyle w:val="BodyText"/>
        <w:spacing w:before="10"/>
        <w:rPr>
          <w:i/>
          <w:sz w:val="19"/>
        </w:rPr>
      </w:pPr>
    </w:p>
    <w:p w14:paraId="3F37487C" w14:textId="77777777" w:rsidR="00FA4AA8" w:rsidRDefault="0015611F">
      <w:pPr>
        <w:pStyle w:val="BodyText"/>
        <w:spacing w:before="1" w:line="573" w:lineRule="auto"/>
        <w:ind w:left="107" w:right="8972"/>
      </w:pPr>
      <w:r>
        <w:t xml:space="preserve">John </w:t>
      </w:r>
      <w:r>
        <w:rPr>
          <w:spacing w:val="-3"/>
        </w:rPr>
        <w:t xml:space="preserve">Banks </w:t>
      </w:r>
      <w:r>
        <w:t>Director</w:t>
      </w:r>
    </w:p>
    <w:p w14:paraId="46E48AD3" w14:textId="77777777" w:rsidR="00FA4AA8" w:rsidRDefault="00FA4AA8">
      <w:pPr>
        <w:pStyle w:val="BodyText"/>
        <w:rPr>
          <w:sz w:val="20"/>
        </w:rPr>
      </w:pPr>
    </w:p>
    <w:p w14:paraId="48AE88F5" w14:textId="77777777" w:rsidR="00FA4AA8" w:rsidRDefault="00FA4AA8">
      <w:pPr>
        <w:pStyle w:val="BodyText"/>
        <w:rPr>
          <w:sz w:val="20"/>
        </w:rPr>
      </w:pPr>
    </w:p>
    <w:p w14:paraId="6AC903B5" w14:textId="77777777" w:rsidR="00FA4AA8" w:rsidRDefault="0015611F">
      <w:pPr>
        <w:pStyle w:val="BodyText"/>
        <w:spacing w:before="5"/>
        <w:rPr>
          <w:sz w:val="19"/>
        </w:rPr>
      </w:pPr>
      <w:r>
        <w:rPr>
          <w:noProof/>
          <w:lang w:val="en-AU" w:eastAsia="en-AU"/>
        </w:rPr>
        <w:drawing>
          <wp:anchor distT="0" distB="0" distL="0" distR="0" simplePos="0" relativeHeight="90" behindDoc="0" locked="0" layoutInCell="1" allowOverlap="1" wp14:anchorId="023A903F" wp14:editId="1BBC66A7">
            <wp:simplePos x="0" y="0"/>
            <wp:positionH relativeFrom="page">
              <wp:posOffset>1154076</wp:posOffset>
            </wp:positionH>
            <wp:positionV relativeFrom="paragraph">
              <wp:posOffset>166896</wp:posOffset>
            </wp:positionV>
            <wp:extent cx="2576235" cy="1121664"/>
            <wp:effectExtent l="0" t="0" r="0" b="0"/>
            <wp:wrapTopAndBottom/>
            <wp:docPr id="4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3.jpeg"/>
                    <pic:cNvPicPr/>
                  </pic:nvPicPr>
                  <pic:blipFill>
                    <a:blip r:embed="rId107" cstate="print"/>
                    <a:stretch>
                      <a:fillRect/>
                    </a:stretch>
                  </pic:blipFill>
                  <pic:spPr>
                    <a:xfrm>
                      <a:off x="0" y="0"/>
                      <a:ext cx="2576235" cy="1121664"/>
                    </a:xfrm>
                    <a:prstGeom prst="rect">
                      <a:avLst/>
                    </a:prstGeom>
                  </pic:spPr>
                </pic:pic>
              </a:graphicData>
            </a:graphic>
          </wp:anchor>
        </w:drawing>
      </w:r>
    </w:p>
    <w:p w14:paraId="3CA01564" w14:textId="77777777" w:rsidR="00FA4AA8" w:rsidRDefault="00FA4AA8">
      <w:pPr>
        <w:pStyle w:val="BodyText"/>
        <w:spacing w:before="5"/>
      </w:pPr>
    </w:p>
    <w:p w14:paraId="646160B0" w14:textId="77777777" w:rsidR="00FA4AA8" w:rsidRDefault="0015611F">
      <w:pPr>
        <w:pStyle w:val="BodyText"/>
        <w:spacing w:line="573" w:lineRule="auto"/>
        <w:ind w:left="107" w:right="8972"/>
      </w:pPr>
      <w:r>
        <w:t>Bill Parasiris Director</w:t>
      </w:r>
    </w:p>
    <w:p w14:paraId="06C72518" w14:textId="77777777" w:rsidR="00FA4AA8" w:rsidRDefault="0015611F">
      <w:pPr>
        <w:pStyle w:val="BodyText"/>
        <w:spacing w:line="178" w:lineRule="exact"/>
        <w:ind w:left="107"/>
      </w:pPr>
      <w:r>
        <w:t>4 March 2019</w:t>
      </w:r>
    </w:p>
    <w:p w14:paraId="20E6C570" w14:textId="77777777" w:rsidR="00FA4AA8" w:rsidRDefault="00FA4AA8">
      <w:pPr>
        <w:spacing w:line="178" w:lineRule="exact"/>
        <w:sectPr w:rsidR="00FA4AA8">
          <w:headerReference w:type="default" r:id="rId108"/>
          <w:footerReference w:type="default" r:id="rId109"/>
          <w:pgSz w:w="11910" w:h="16840"/>
          <w:pgMar w:top="1260" w:right="920" w:bottom="720" w:left="900" w:header="1016" w:footer="523" w:gutter="0"/>
          <w:pgNumType w:start="120"/>
          <w:cols w:space="720"/>
        </w:sectPr>
      </w:pPr>
    </w:p>
    <w:p w14:paraId="50312A9C" w14:textId="77777777" w:rsidR="00FA4AA8" w:rsidRDefault="0015611F">
      <w:pPr>
        <w:ind w:left="107"/>
        <w:rPr>
          <w:b/>
          <w:sz w:val="18"/>
        </w:rPr>
      </w:pPr>
      <w:r>
        <w:rPr>
          <w:b/>
          <w:sz w:val="18"/>
        </w:rPr>
        <w:t>ABN: 45 107 759 197</w:t>
      </w:r>
    </w:p>
    <w:p w14:paraId="093C831C" w14:textId="77777777" w:rsidR="00FA4AA8" w:rsidRDefault="00FA4AA8">
      <w:pPr>
        <w:pStyle w:val="BodyText"/>
        <w:spacing w:before="4"/>
        <w:rPr>
          <w:b/>
          <w:sz w:val="29"/>
        </w:rPr>
      </w:pPr>
    </w:p>
    <w:p w14:paraId="717E73E1" w14:textId="77777777" w:rsidR="00FA4AA8" w:rsidRDefault="0015611F">
      <w:pPr>
        <w:ind w:left="107"/>
        <w:rPr>
          <w:b/>
          <w:sz w:val="28"/>
        </w:rPr>
      </w:pPr>
      <w:r>
        <w:rPr>
          <w:b/>
          <w:sz w:val="28"/>
        </w:rPr>
        <w:t>Responsible Entities' Declaration</w:t>
      </w:r>
    </w:p>
    <w:p w14:paraId="1B306D1C" w14:textId="77777777" w:rsidR="00FA4AA8" w:rsidRDefault="00FA4AA8">
      <w:pPr>
        <w:pStyle w:val="BodyText"/>
        <w:rPr>
          <w:b/>
          <w:sz w:val="25"/>
        </w:rPr>
      </w:pPr>
    </w:p>
    <w:p w14:paraId="2BD69414" w14:textId="77777777" w:rsidR="00FA4AA8" w:rsidRDefault="0015611F">
      <w:pPr>
        <w:pStyle w:val="BodyText"/>
        <w:spacing w:before="1"/>
        <w:ind w:left="107"/>
      </w:pPr>
      <w:r>
        <w:t>The responsible entity declares that in the responsible entity's opinion:</w:t>
      </w:r>
    </w:p>
    <w:p w14:paraId="61FB92FD" w14:textId="77777777" w:rsidR="00FA4AA8" w:rsidRDefault="00FA4AA8">
      <w:pPr>
        <w:pStyle w:val="BodyText"/>
        <w:spacing w:before="11"/>
        <w:rPr>
          <w:sz w:val="24"/>
        </w:rPr>
      </w:pPr>
    </w:p>
    <w:p w14:paraId="0B42D7F1" w14:textId="77777777" w:rsidR="00FA4AA8" w:rsidRDefault="0015611F">
      <w:pPr>
        <w:pStyle w:val="ListParagraph"/>
        <w:numPr>
          <w:ilvl w:val="0"/>
          <w:numId w:val="58"/>
        </w:numPr>
        <w:tabs>
          <w:tab w:val="left" w:pos="1059"/>
        </w:tabs>
        <w:ind w:right="423" w:firstLine="0"/>
        <w:rPr>
          <w:sz w:val="18"/>
        </w:rPr>
      </w:pPr>
      <w:r>
        <w:rPr>
          <w:sz w:val="18"/>
        </w:rPr>
        <w:t>there are reasonable grounds to believe that the registered entity is able to pay all of its debts, as and when they become due and payable;</w:t>
      </w:r>
      <w:r>
        <w:rPr>
          <w:spacing w:val="5"/>
          <w:sz w:val="18"/>
        </w:rPr>
        <w:t xml:space="preserve"> </w:t>
      </w:r>
      <w:r>
        <w:rPr>
          <w:sz w:val="18"/>
        </w:rPr>
        <w:t>and</w:t>
      </w:r>
    </w:p>
    <w:p w14:paraId="1E62FED6" w14:textId="77777777" w:rsidR="00FA4AA8" w:rsidRDefault="00FA4AA8">
      <w:pPr>
        <w:pStyle w:val="BodyText"/>
        <w:spacing w:before="11"/>
        <w:rPr>
          <w:sz w:val="24"/>
        </w:rPr>
      </w:pPr>
    </w:p>
    <w:p w14:paraId="56D719C1" w14:textId="77777777" w:rsidR="00FA4AA8" w:rsidRDefault="0015611F">
      <w:pPr>
        <w:pStyle w:val="ListParagraph"/>
        <w:numPr>
          <w:ilvl w:val="0"/>
          <w:numId w:val="58"/>
        </w:numPr>
        <w:tabs>
          <w:tab w:val="left" w:pos="1059"/>
        </w:tabs>
        <w:ind w:right="659" w:firstLine="0"/>
        <w:rPr>
          <w:sz w:val="18"/>
        </w:rPr>
      </w:pPr>
      <w:r>
        <w:rPr>
          <w:sz w:val="18"/>
        </w:rPr>
        <w:t xml:space="preserve">the financial statements and notes satisfy the requirements of the </w:t>
      </w:r>
      <w:r>
        <w:rPr>
          <w:i/>
          <w:sz w:val="18"/>
        </w:rPr>
        <w:t>Australian Charities and Not-for-profits Commission Act 2012</w:t>
      </w:r>
      <w:r>
        <w:rPr>
          <w:sz w:val="18"/>
        </w:rPr>
        <w:t>.</w:t>
      </w:r>
    </w:p>
    <w:p w14:paraId="1503DBEE" w14:textId="77777777" w:rsidR="00FA4AA8" w:rsidRDefault="00FA4AA8">
      <w:pPr>
        <w:pStyle w:val="BodyText"/>
        <w:spacing w:before="11"/>
        <w:rPr>
          <w:sz w:val="24"/>
        </w:rPr>
      </w:pPr>
    </w:p>
    <w:p w14:paraId="5018F2A1" w14:textId="77777777" w:rsidR="00FA4AA8" w:rsidRDefault="0015611F">
      <w:pPr>
        <w:ind w:left="107"/>
        <w:rPr>
          <w:sz w:val="18"/>
        </w:rPr>
      </w:pPr>
      <w:r>
        <w:rPr>
          <w:sz w:val="18"/>
        </w:rPr>
        <w:t xml:space="preserve">Signed in accordance with subsection 60.15(2) of the </w:t>
      </w:r>
      <w:r>
        <w:rPr>
          <w:i/>
          <w:sz w:val="18"/>
        </w:rPr>
        <w:t>Australian Charities and Not-for-profits Commission Regulation 2013</w:t>
      </w:r>
      <w:r>
        <w:rPr>
          <w:sz w:val="18"/>
        </w:rPr>
        <w:t>.</w:t>
      </w:r>
    </w:p>
    <w:p w14:paraId="6820FB07" w14:textId="77777777" w:rsidR="00FA4AA8" w:rsidRDefault="0015611F">
      <w:pPr>
        <w:pStyle w:val="BodyText"/>
        <w:spacing w:before="8"/>
        <w:rPr>
          <w:sz w:val="12"/>
        </w:rPr>
      </w:pPr>
      <w:r>
        <w:rPr>
          <w:noProof/>
          <w:lang w:val="en-AU" w:eastAsia="en-AU"/>
        </w:rPr>
        <w:drawing>
          <wp:anchor distT="0" distB="0" distL="0" distR="0" simplePos="0" relativeHeight="92" behindDoc="0" locked="0" layoutInCell="1" allowOverlap="1" wp14:anchorId="25BADD21" wp14:editId="0CC1F7E9">
            <wp:simplePos x="0" y="0"/>
            <wp:positionH relativeFrom="page">
              <wp:posOffset>2126691</wp:posOffset>
            </wp:positionH>
            <wp:positionV relativeFrom="paragraph">
              <wp:posOffset>117668</wp:posOffset>
            </wp:positionV>
            <wp:extent cx="2305920" cy="1020127"/>
            <wp:effectExtent l="0" t="0" r="0" b="0"/>
            <wp:wrapTopAndBottom/>
            <wp:docPr id="49"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4.jpeg"/>
                    <pic:cNvPicPr/>
                  </pic:nvPicPr>
                  <pic:blipFill>
                    <a:blip r:embed="rId110" cstate="print"/>
                    <a:stretch>
                      <a:fillRect/>
                    </a:stretch>
                  </pic:blipFill>
                  <pic:spPr>
                    <a:xfrm>
                      <a:off x="0" y="0"/>
                      <a:ext cx="2305920" cy="1020127"/>
                    </a:xfrm>
                    <a:prstGeom prst="rect">
                      <a:avLst/>
                    </a:prstGeom>
                  </pic:spPr>
                </pic:pic>
              </a:graphicData>
            </a:graphic>
          </wp:anchor>
        </w:drawing>
      </w:r>
    </w:p>
    <w:p w14:paraId="544B3500" w14:textId="77777777" w:rsidR="00FA4AA8" w:rsidRDefault="00FA4AA8">
      <w:pPr>
        <w:pStyle w:val="BodyText"/>
        <w:rPr>
          <w:sz w:val="20"/>
        </w:rPr>
      </w:pPr>
    </w:p>
    <w:p w14:paraId="643D2BB2" w14:textId="77777777" w:rsidR="00FA4AA8" w:rsidRDefault="00FA4AA8">
      <w:pPr>
        <w:pStyle w:val="BodyText"/>
        <w:rPr>
          <w:sz w:val="20"/>
        </w:rPr>
      </w:pPr>
    </w:p>
    <w:p w14:paraId="19C23EAF" w14:textId="77777777" w:rsidR="00FA4AA8" w:rsidRDefault="00FA4AA8">
      <w:pPr>
        <w:pStyle w:val="BodyText"/>
        <w:rPr>
          <w:sz w:val="17"/>
        </w:rPr>
      </w:pPr>
    </w:p>
    <w:p w14:paraId="4BEB6C15" w14:textId="77777777" w:rsidR="00FA4AA8" w:rsidRDefault="0015611F">
      <w:pPr>
        <w:pStyle w:val="BodyText"/>
        <w:spacing w:line="490" w:lineRule="atLeast"/>
        <w:ind w:left="107" w:right="9022"/>
      </w:pPr>
      <w:r>
        <w:t>John Banks Director</w:t>
      </w:r>
    </w:p>
    <w:p w14:paraId="219E376D" w14:textId="77777777" w:rsidR="00FA4AA8" w:rsidRDefault="0015611F">
      <w:pPr>
        <w:pStyle w:val="BodyText"/>
        <w:spacing w:before="59"/>
        <w:ind w:left="107"/>
      </w:pPr>
      <w:r>
        <w:t>4 March 2019</w:t>
      </w:r>
    </w:p>
    <w:p w14:paraId="4DC10340" w14:textId="77777777" w:rsidR="00FA4AA8" w:rsidRDefault="00FA4AA8">
      <w:pPr>
        <w:sectPr w:rsidR="00FA4AA8">
          <w:pgSz w:w="11910" w:h="16840"/>
          <w:pgMar w:top="1260" w:right="920" w:bottom="720" w:left="900" w:header="1016" w:footer="523" w:gutter="0"/>
          <w:cols w:space="720"/>
        </w:sectPr>
      </w:pPr>
    </w:p>
    <w:p w14:paraId="00A68000" w14:textId="77777777" w:rsidR="00FA4AA8" w:rsidRDefault="007E2441">
      <w:pPr>
        <w:pStyle w:val="BodyText"/>
        <w:ind w:left="4608"/>
        <w:rPr>
          <w:sz w:val="20"/>
        </w:rPr>
      </w:pPr>
      <w:r>
        <w:rPr>
          <w:noProof/>
          <w:sz w:val="20"/>
          <w:lang w:val="en-AU" w:eastAsia="en-AU"/>
        </w:rPr>
        <mc:AlternateContent>
          <mc:Choice Requires="wpg">
            <w:drawing>
              <wp:inline distT="0" distB="0" distL="0" distR="0" wp14:anchorId="08504C9C" wp14:editId="0B97C189">
                <wp:extent cx="914400" cy="759460"/>
                <wp:effectExtent l="0" t="0" r="0" b="2540"/>
                <wp:docPr id="1355" name="Group 1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759460"/>
                          <a:chOff x="0" y="0"/>
                          <a:chExt cx="1440" cy="1196"/>
                        </a:xfrm>
                      </wpg:grpSpPr>
                      <pic:pic xmlns:pic="http://schemas.openxmlformats.org/drawingml/2006/picture">
                        <pic:nvPicPr>
                          <pic:cNvPr id="1356" name="Picture 112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72" y="0"/>
                            <a:ext cx="1368" cy="11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7" name="Picture 112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475"/>
                            <a:ext cx="1268" cy="71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0E1E5E0" id="Group 1121" o:spid="_x0000_s1026" style="width:1in;height:59.8pt;mso-position-horizontal-relative:char;mso-position-vertical-relative:line" coordsize="1440,119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">
                <v:shape id="Picture 1123" o:spid="_x0000_s1027" type="#_x0000_t75" style="position:absolute;left:72;width:1368;height:1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">
                  <v:imagedata r:id="rId113" o:title=""/>
                </v:shape>
                <v:shape id="Picture 1122" o:spid="_x0000_s1028" type="#_x0000_t75" style="position:absolute;top:475;width:1268;height: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">
                  <v:imagedata r:id="rId114" o:title=""/>
                </v:shape>
                <w10:anchorlock/>
              </v:group>
            </w:pict>
          </mc:Fallback>
        </mc:AlternateContent>
      </w:r>
    </w:p>
    <w:p w14:paraId="0E8939FF" w14:textId="77777777" w:rsidR="00FA4AA8" w:rsidRDefault="00FA4AA8">
      <w:pPr>
        <w:pStyle w:val="BodyText"/>
        <w:spacing w:before="6"/>
        <w:rPr>
          <w:sz w:val="8"/>
        </w:rPr>
      </w:pPr>
    </w:p>
    <w:p w14:paraId="4182B5BE" w14:textId="77777777" w:rsidR="00FA4AA8" w:rsidRDefault="0015611F">
      <w:pPr>
        <w:pStyle w:val="BodyText"/>
        <w:ind w:left="4580"/>
        <w:rPr>
          <w:sz w:val="20"/>
        </w:rPr>
      </w:pPr>
      <w:r>
        <w:rPr>
          <w:noProof/>
          <w:sz w:val="20"/>
          <w:lang w:val="en-AU" w:eastAsia="en-AU"/>
        </w:rPr>
        <w:drawing>
          <wp:inline distT="0" distB="0" distL="0" distR="0" wp14:anchorId="57E85579" wp14:editId="0723DF59">
            <wp:extent cx="822959" cy="237744"/>
            <wp:effectExtent l="0" t="0" r="0" b="0"/>
            <wp:docPr id="51"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7.jpeg"/>
                    <pic:cNvPicPr/>
                  </pic:nvPicPr>
                  <pic:blipFill>
                    <a:blip r:embed="rId115" cstate="print"/>
                    <a:stretch>
                      <a:fillRect/>
                    </a:stretch>
                  </pic:blipFill>
                  <pic:spPr>
                    <a:xfrm>
                      <a:off x="0" y="0"/>
                      <a:ext cx="822959" cy="237744"/>
                    </a:xfrm>
                    <a:prstGeom prst="rect">
                      <a:avLst/>
                    </a:prstGeom>
                  </pic:spPr>
                </pic:pic>
              </a:graphicData>
            </a:graphic>
          </wp:inline>
        </w:drawing>
      </w:r>
    </w:p>
    <w:p w14:paraId="4E8311A7" w14:textId="77777777" w:rsidR="00FA4AA8" w:rsidRDefault="00FA4AA8">
      <w:pPr>
        <w:pStyle w:val="BodyText"/>
        <w:rPr>
          <w:sz w:val="20"/>
        </w:rPr>
      </w:pPr>
    </w:p>
    <w:p w14:paraId="15490ABD" w14:textId="77777777" w:rsidR="00FA4AA8" w:rsidRDefault="00FA4AA8">
      <w:pPr>
        <w:pStyle w:val="BodyText"/>
        <w:rPr>
          <w:sz w:val="20"/>
        </w:rPr>
      </w:pPr>
    </w:p>
    <w:p w14:paraId="2E2DAAAF" w14:textId="77777777" w:rsidR="00FA4AA8" w:rsidRDefault="00FA4AA8">
      <w:pPr>
        <w:pStyle w:val="BodyText"/>
        <w:rPr>
          <w:sz w:val="20"/>
        </w:rPr>
      </w:pPr>
    </w:p>
    <w:p w14:paraId="28F9D3FE" w14:textId="77777777" w:rsidR="00FA4AA8" w:rsidRDefault="00FA4AA8">
      <w:pPr>
        <w:pStyle w:val="BodyText"/>
        <w:rPr>
          <w:sz w:val="20"/>
        </w:rPr>
      </w:pPr>
    </w:p>
    <w:p w14:paraId="134677A4" w14:textId="77777777" w:rsidR="00FA4AA8" w:rsidRDefault="00FA4AA8">
      <w:pPr>
        <w:pStyle w:val="BodyText"/>
        <w:spacing w:before="8"/>
        <w:rPr>
          <w:sz w:val="23"/>
        </w:rPr>
      </w:pPr>
    </w:p>
    <w:p w14:paraId="1168832E" w14:textId="77777777" w:rsidR="00FA4AA8" w:rsidRDefault="0015611F">
      <w:pPr>
        <w:spacing w:before="94"/>
        <w:ind w:left="687"/>
        <w:rPr>
          <w:sz w:val="20"/>
        </w:rPr>
      </w:pPr>
      <w:r>
        <w:rPr>
          <w:color w:val="111111"/>
          <w:sz w:val="20"/>
        </w:rPr>
        <w:t xml:space="preserve">To </w:t>
      </w:r>
      <w:r>
        <w:rPr>
          <w:color w:val="131313"/>
          <w:sz w:val="20"/>
        </w:rPr>
        <w:t xml:space="preserve">the </w:t>
      </w:r>
      <w:r>
        <w:rPr>
          <w:sz w:val="20"/>
        </w:rPr>
        <w:t>Directors</w:t>
      </w:r>
    </w:p>
    <w:p w14:paraId="717D42D1" w14:textId="77777777" w:rsidR="00FA4AA8" w:rsidRDefault="0015611F">
      <w:pPr>
        <w:spacing w:before="178"/>
        <w:ind w:left="689"/>
        <w:rPr>
          <w:sz w:val="20"/>
        </w:rPr>
      </w:pPr>
      <w:r>
        <w:rPr>
          <w:color w:val="161616"/>
          <w:sz w:val="20"/>
        </w:rPr>
        <w:t xml:space="preserve">Western </w:t>
      </w:r>
      <w:r>
        <w:rPr>
          <w:sz w:val="20"/>
        </w:rPr>
        <w:t xml:space="preserve">Unlimited </w:t>
      </w:r>
      <w:r>
        <w:rPr>
          <w:color w:val="131313"/>
          <w:sz w:val="20"/>
        </w:rPr>
        <w:t>Limited</w:t>
      </w:r>
    </w:p>
    <w:p w14:paraId="6D793439" w14:textId="77777777" w:rsidR="00FA4AA8" w:rsidRDefault="00FA4AA8">
      <w:pPr>
        <w:pStyle w:val="BodyText"/>
        <w:rPr>
          <w:sz w:val="20"/>
        </w:rPr>
      </w:pPr>
    </w:p>
    <w:p w14:paraId="5DD568EA" w14:textId="77777777" w:rsidR="00FA4AA8" w:rsidRDefault="00FA4AA8">
      <w:pPr>
        <w:pStyle w:val="BodyText"/>
        <w:spacing w:before="6"/>
        <w:rPr>
          <w:sz w:val="22"/>
        </w:rPr>
      </w:pPr>
    </w:p>
    <w:p w14:paraId="5F26BCBC" w14:textId="77777777" w:rsidR="00FA4AA8" w:rsidRDefault="0015611F">
      <w:pPr>
        <w:spacing w:before="93"/>
        <w:ind w:right="12"/>
        <w:jc w:val="center"/>
        <w:rPr>
          <w:sz w:val="24"/>
        </w:rPr>
      </w:pPr>
      <w:r>
        <w:rPr>
          <w:color w:val="0F0F0F"/>
          <w:w w:val="105"/>
          <w:sz w:val="24"/>
        </w:rPr>
        <w:t xml:space="preserve">Auditor’s </w:t>
      </w:r>
      <w:r>
        <w:rPr>
          <w:w w:val="105"/>
          <w:sz w:val="24"/>
        </w:rPr>
        <w:t xml:space="preserve">Independence </w:t>
      </w:r>
      <w:r>
        <w:rPr>
          <w:color w:val="232323"/>
          <w:w w:val="105"/>
          <w:sz w:val="24"/>
        </w:rPr>
        <w:t>Declaration</w:t>
      </w:r>
    </w:p>
    <w:p w14:paraId="6C236F6E" w14:textId="77777777" w:rsidR="00FA4AA8" w:rsidRDefault="00FA4AA8">
      <w:pPr>
        <w:pStyle w:val="BodyText"/>
        <w:rPr>
          <w:sz w:val="26"/>
        </w:rPr>
      </w:pPr>
    </w:p>
    <w:p w14:paraId="2676C7D2" w14:textId="77777777" w:rsidR="00FA4AA8" w:rsidRDefault="00FA4AA8">
      <w:pPr>
        <w:pStyle w:val="BodyText"/>
        <w:spacing w:before="5"/>
        <w:rPr>
          <w:sz w:val="25"/>
        </w:rPr>
      </w:pPr>
    </w:p>
    <w:p w14:paraId="35DC9CAE" w14:textId="77777777" w:rsidR="00FA4AA8" w:rsidRDefault="0015611F">
      <w:pPr>
        <w:spacing w:line="249" w:lineRule="auto"/>
        <w:ind w:left="679" w:right="1536" w:firstLine="8"/>
        <w:rPr>
          <w:sz w:val="20"/>
        </w:rPr>
      </w:pPr>
      <w:r>
        <w:rPr>
          <w:color w:val="131313"/>
          <w:sz w:val="20"/>
        </w:rPr>
        <w:t xml:space="preserve">As </w:t>
      </w:r>
      <w:r>
        <w:rPr>
          <w:color w:val="161616"/>
          <w:sz w:val="20"/>
        </w:rPr>
        <w:t xml:space="preserve">auditor </w:t>
      </w:r>
      <w:r>
        <w:rPr>
          <w:color w:val="1F1F1F"/>
          <w:sz w:val="20"/>
        </w:rPr>
        <w:t xml:space="preserve">for </w:t>
      </w:r>
      <w:r>
        <w:rPr>
          <w:color w:val="1C1C1C"/>
          <w:sz w:val="20"/>
        </w:rPr>
        <w:t xml:space="preserve">the audit </w:t>
      </w:r>
      <w:r>
        <w:rPr>
          <w:color w:val="0F0F0F"/>
          <w:sz w:val="20"/>
        </w:rPr>
        <w:t xml:space="preserve">of </w:t>
      </w:r>
      <w:r>
        <w:rPr>
          <w:color w:val="262626"/>
          <w:sz w:val="20"/>
        </w:rPr>
        <w:t xml:space="preserve">the </w:t>
      </w:r>
      <w:r>
        <w:rPr>
          <w:sz w:val="20"/>
        </w:rPr>
        <w:t xml:space="preserve">financial </w:t>
      </w:r>
      <w:r>
        <w:rPr>
          <w:color w:val="131313"/>
          <w:sz w:val="20"/>
        </w:rPr>
        <w:t xml:space="preserve">report </w:t>
      </w:r>
      <w:r>
        <w:rPr>
          <w:color w:val="2B2B2B"/>
          <w:sz w:val="20"/>
        </w:rPr>
        <w:t xml:space="preserve">of </w:t>
      </w:r>
      <w:r>
        <w:rPr>
          <w:sz w:val="20"/>
        </w:rPr>
        <w:t xml:space="preserve">Western Unlimited </w:t>
      </w:r>
      <w:r>
        <w:rPr>
          <w:color w:val="0F0F0F"/>
          <w:sz w:val="20"/>
        </w:rPr>
        <w:t xml:space="preserve">Limited </w:t>
      </w:r>
      <w:r>
        <w:rPr>
          <w:color w:val="1F1F1F"/>
          <w:sz w:val="20"/>
        </w:rPr>
        <w:t xml:space="preserve">for </w:t>
      </w:r>
      <w:r>
        <w:rPr>
          <w:color w:val="2A2A2A"/>
          <w:sz w:val="20"/>
        </w:rPr>
        <w:t xml:space="preserve">the </w:t>
      </w:r>
      <w:r>
        <w:rPr>
          <w:color w:val="1A1A1A"/>
          <w:sz w:val="20"/>
        </w:rPr>
        <w:t xml:space="preserve">year </w:t>
      </w:r>
      <w:r>
        <w:rPr>
          <w:color w:val="1C1C1C"/>
          <w:sz w:val="20"/>
        </w:rPr>
        <w:t xml:space="preserve">ended </w:t>
      </w:r>
      <w:r>
        <w:rPr>
          <w:color w:val="232323"/>
          <w:sz w:val="20"/>
        </w:rPr>
        <w:t xml:space="preserve">31 </w:t>
      </w:r>
      <w:r>
        <w:rPr>
          <w:color w:val="0E0E0E"/>
          <w:sz w:val="20"/>
        </w:rPr>
        <w:t xml:space="preserve">December </w:t>
      </w:r>
      <w:r>
        <w:rPr>
          <w:color w:val="0C0C0C"/>
          <w:sz w:val="20"/>
        </w:rPr>
        <w:t xml:space="preserve">2018, </w:t>
      </w:r>
      <w:r>
        <w:rPr>
          <w:color w:val="1C1C1C"/>
          <w:sz w:val="20"/>
        </w:rPr>
        <w:t xml:space="preserve">I </w:t>
      </w:r>
      <w:r>
        <w:rPr>
          <w:color w:val="131313"/>
          <w:sz w:val="20"/>
        </w:rPr>
        <w:t xml:space="preserve">declare, </w:t>
      </w:r>
      <w:r>
        <w:rPr>
          <w:color w:val="0F0F0F"/>
          <w:sz w:val="20"/>
        </w:rPr>
        <w:t xml:space="preserve">to </w:t>
      </w:r>
      <w:r>
        <w:rPr>
          <w:color w:val="161616"/>
          <w:sz w:val="20"/>
        </w:rPr>
        <w:t xml:space="preserve">the </w:t>
      </w:r>
      <w:r>
        <w:rPr>
          <w:color w:val="0F0F0F"/>
          <w:sz w:val="20"/>
        </w:rPr>
        <w:t xml:space="preserve">best </w:t>
      </w:r>
      <w:r>
        <w:rPr>
          <w:color w:val="1D1D1D"/>
          <w:sz w:val="20"/>
        </w:rPr>
        <w:t xml:space="preserve">of </w:t>
      </w:r>
      <w:r>
        <w:rPr>
          <w:color w:val="161616"/>
          <w:sz w:val="20"/>
        </w:rPr>
        <w:t xml:space="preserve">my </w:t>
      </w:r>
      <w:r>
        <w:rPr>
          <w:color w:val="0A0A0A"/>
          <w:sz w:val="20"/>
        </w:rPr>
        <w:t xml:space="preserve">knowledge </w:t>
      </w:r>
      <w:r>
        <w:rPr>
          <w:color w:val="1C1C1C"/>
          <w:sz w:val="20"/>
        </w:rPr>
        <w:t xml:space="preserve">and </w:t>
      </w:r>
      <w:r>
        <w:rPr>
          <w:color w:val="1A1A1A"/>
          <w:sz w:val="20"/>
        </w:rPr>
        <w:t xml:space="preserve">belief, </w:t>
      </w:r>
      <w:r>
        <w:rPr>
          <w:color w:val="212121"/>
          <w:sz w:val="20"/>
        </w:rPr>
        <w:t xml:space="preserve">there </w:t>
      </w:r>
      <w:r>
        <w:rPr>
          <w:color w:val="0F0F0F"/>
          <w:sz w:val="20"/>
        </w:rPr>
        <w:t xml:space="preserve">have </w:t>
      </w:r>
      <w:r>
        <w:rPr>
          <w:color w:val="1A1A1A"/>
          <w:sz w:val="20"/>
        </w:rPr>
        <w:t xml:space="preserve">been no </w:t>
      </w:r>
      <w:r>
        <w:rPr>
          <w:sz w:val="20"/>
        </w:rPr>
        <w:t xml:space="preserve">contraventions </w:t>
      </w:r>
      <w:r>
        <w:rPr>
          <w:color w:val="1F1F1F"/>
          <w:sz w:val="20"/>
        </w:rPr>
        <w:t xml:space="preserve">of </w:t>
      </w:r>
      <w:r>
        <w:rPr>
          <w:color w:val="212121"/>
          <w:sz w:val="20"/>
        </w:rPr>
        <w:t xml:space="preserve">any </w:t>
      </w:r>
      <w:r>
        <w:rPr>
          <w:color w:val="131313"/>
          <w:sz w:val="20"/>
        </w:rPr>
        <w:t xml:space="preserve">applicable </w:t>
      </w:r>
      <w:r>
        <w:rPr>
          <w:color w:val="1D1D1D"/>
          <w:sz w:val="20"/>
        </w:rPr>
        <w:t xml:space="preserve">code </w:t>
      </w:r>
      <w:r>
        <w:rPr>
          <w:color w:val="232323"/>
          <w:sz w:val="20"/>
        </w:rPr>
        <w:t xml:space="preserve">of </w:t>
      </w:r>
      <w:r>
        <w:rPr>
          <w:sz w:val="20"/>
        </w:rPr>
        <w:t xml:space="preserve">professional </w:t>
      </w:r>
      <w:r>
        <w:rPr>
          <w:color w:val="181818"/>
          <w:sz w:val="20"/>
        </w:rPr>
        <w:t xml:space="preserve">conduct </w:t>
      </w:r>
      <w:r>
        <w:rPr>
          <w:color w:val="111111"/>
          <w:sz w:val="20"/>
        </w:rPr>
        <w:t xml:space="preserve">in relation </w:t>
      </w:r>
      <w:r>
        <w:rPr>
          <w:color w:val="212121"/>
          <w:sz w:val="20"/>
        </w:rPr>
        <w:t xml:space="preserve">to </w:t>
      </w:r>
      <w:r>
        <w:rPr>
          <w:color w:val="181818"/>
          <w:sz w:val="20"/>
        </w:rPr>
        <w:t xml:space="preserve">the </w:t>
      </w:r>
      <w:r>
        <w:rPr>
          <w:color w:val="0E0E0E"/>
          <w:sz w:val="20"/>
        </w:rPr>
        <w:t>audit.</w:t>
      </w:r>
    </w:p>
    <w:p w14:paraId="6B738D6F" w14:textId="77777777" w:rsidR="00FA4AA8" w:rsidRDefault="00FA4AA8">
      <w:pPr>
        <w:pStyle w:val="BodyText"/>
        <w:rPr>
          <w:sz w:val="20"/>
        </w:rPr>
      </w:pPr>
    </w:p>
    <w:p w14:paraId="4B05CD71" w14:textId="77777777" w:rsidR="00FA4AA8" w:rsidRDefault="00FA4AA8">
      <w:pPr>
        <w:pStyle w:val="BodyText"/>
        <w:rPr>
          <w:sz w:val="20"/>
        </w:rPr>
      </w:pPr>
    </w:p>
    <w:p w14:paraId="38A7341B" w14:textId="77777777" w:rsidR="00FA4AA8" w:rsidRDefault="00FA4AA8">
      <w:pPr>
        <w:pStyle w:val="BodyText"/>
        <w:rPr>
          <w:sz w:val="20"/>
        </w:rPr>
      </w:pPr>
    </w:p>
    <w:p w14:paraId="0186B14D" w14:textId="77777777" w:rsidR="00FA4AA8" w:rsidRDefault="00FA4AA8">
      <w:pPr>
        <w:pStyle w:val="BodyText"/>
        <w:rPr>
          <w:sz w:val="20"/>
        </w:rPr>
      </w:pPr>
    </w:p>
    <w:p w14:paraId="274C8102" w14:textId="77777777" w:rsidR="00FA4AA8" w:rsidRDefault="00FA4AA8">
      <w:pPr>
        <w:pStyle w:val="BodyText"/>
        <w:rPr>
          <w:sz w:val="20"/>
        </w:rPr>
      </w:pPr>
    </w:p>
    <w:p w14:paraId="3CFDFFBF" w14:textId="77777777" w:rsidR="00FA4AA8" w:rsidRDefault="0015611F">
      <w:pPr>
        <w:pStyle w:val="BodyText"/>
        <w:spacing w:before="3"/>
        <w:rPr>
          <w:sz w:val="11"/>
        </w:rPr>
      </w:pPr>
      <w:r>
        <w:rPr>
          <w:noProof/>
          <w:lang w:val="en-AU" w:eastAsia="en-AU"/>
        </w:rPr>
        <w:drawing>
          <wp:anchor distT="0" distB="0" distL="0" distR="0" simplePos="0" relativeHeight="94" behindDoc="0" locked="0" layoutInCell="1" allowOverlap="1" wp14:anchorId="063C0B63" wp14:editId="488D9554">
            <wp:simplePos x="0" y="0"/>
            <wp:positionH relativeFrom="page">
              <wp:posOffset>896111</wp:posOffset>
            </wp:positionH>
            <wp:positionV relativeFrom="paragraph">
              <wp:posOffset>107073</wp:posOffset>
            </wp:positionV>
            <wp:extent cx="2179319" cy="210312"/>
            <wp:effectExtent l="0" t="0" r="0" b="0"/>
            <wp:wrapTopAndBottom/>
            <wp:docPr id="53"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8.jpeg"/>
                    <pic:cNvPicPr/>
                  </pic:nvPicPr>
                  <pic:blipFill>
                    <a:blip r:embed="rId116" cstate="print"/>
                    <a:stretch>
                      <a:fillRect/>
                    </a:stretch>
                  </pic:blipFill>
                  <pic:spPr>
                    <a:xfrm>
                      <a:off x="0" y="0"/>
                      <a:ext cx="2179319" cy="210312"/>
                    </a:xfrm>
                    <a:prstGeom prst="rect">
                      <a:avLst/>
                    </a:prstGeom>
                  </pic:spPr>
                </pic:pic>
              </a:graphicData>
            </a:graphic>
          </wp:anchor>
        </w:drawing>
      </w:r>
    </w:p>
    <w:p w14:paraId="77491571" w14:textId="77777777" w:rsidR="00FA4AA8" w:rsidRDefault="0015611F">
      <w:pPr>
        <w:spacing w:before="148" w:line="249" w:lineRule="auto"/>
        <w:ind w:left="682" w:right="7592" w:hanging="1"/>
        <w:rPr>
          <w:sz w:val="20"/>
        </w:rPr>
      </w:pPr>
      <w:r>
        <w:rPr>
          <w:color w:val="151515"/>
          <w:sz w:val="20"/>
        </w:rPr>
        <w:t xml:space="preserve">Margaret </w:t>
      </w:r>
      <w:r>
        <w:rPr>
          <w:color w:val="0F0F0F"/>
          <w:sz w:val="20"/>
        </w:rPr>
        <w:t xml:space="preserve">Crawford </w:t>
      </w:r>
      <w:r>
        <w:rPr>
          <w:color w:val="0E0E0E"/>
          <w:sz w:val="20"/>
        </w:rPr>
        <w:t xml:space="preserve">Auditor-General </w:t>
      </w:r>
      <w:r>
        <w:rPr>
          <w:color w:val="151515"/>
          <w:sz w:val="20"/>
        </w:rPr>
        <w:t xml:space="preserve">of </w:t>
      </w:r>
      <w:r>
        <w:rPr>
          <w:sz w:val="20"/>
        </w:rPr>
        <w:t>NSW</w:t>
      </w:r>
    </w:p>
    <w:p w14:paraId="49C88A7C" w14:textId="77777777" w:rsidR="00FA4AA8" w:rsidRDefault="00FA4AA8">
      <w:pPr>
        <w:pStyle w:val="BodyText"/>
        <w:rPr>
          <w:sz w:val="22"/>
        </w:rPr>
      </w:pPr>
    </w:p>
    <w:p w14:paraId="2D758965" w14:textId="77777777" w:rsidR="00FA4AA8" w:rsidRDefault="00FA4AA8">
      <w:pPr>
        <w:pStyle w:val="BodyText"/>
        <w:spacing w:before="1"/>
        <w:rPr>
          <w:sz w:val="29"/>
        </w:rPr>
      </w:pPr>
    </w:p>
    <w:p w14:paraId="1124B313" w14:textId="77777777" w:rsidR="00FA4AA8" w:rsidRDefault="0015611F">
      <w:pPr>
        <w:spacing w:line="249" w:lineRule="auto"/>
        <w:ind w:left="682" w:right="8328" w:firstLine="335"/>
        <w:rPr>
          <w:sz w:val="20"/>
        </w:rPr>
      </w:pPr>
      <w:r>
        <w:rPr>
          <w:color w:val="181818"/>
          <w:sz w:val="20"/>
        </w:rPr>
        <w:t xml:space="preserve">March </w:t>
      </w:r>
      <w:r>
        <w:rPr>
          <w:color w:val="1C1C1C"/>
          <w:sz w:val="20"/>
        </w:rPr>
        <w:t xml:space="preserve">2019 </w:t>
      </w:r>
      <w:r>
        <w:rPr>
          <w:color w:val="262626"/>
          <w:sz w:val="20"/>
        </w:rPr>
        <w:t>SYDNEY</w:t>
      </w:r>
    </w:p>
    <w:p w14:paraId="47F6890A" w14:textId="77777777" w:rsidR="00FA4AA8" w:rsidRDefault="00FA4AA8">
      <w:pPr>
        <w:pStyle w:val="BodyText"/>
        <w:rPr>
          <w:sz w:val="20"/>
        </w:rPr>
      </w:pPr>
    </w:p>
    <w:p w14:paraId="57F413C2" w14:textId="77777777" w:rsidR="00FA4AA8" w:rsidRDefault="00FA4AA8">
      <w:pPr>
        <w:pStyle w:val="BodyText"/>
        <w:rPr>
          <w:sz w:val="20"/>
        </w:rPr>
      </w:pPr>
    </w:p>
    <w:p w14:paraId="49A6CC1F" w14:textId="77777777" w:rsidR="00FA4AA8" w:rsidRDefault="00FA4AA8">
      <w:pPr>
        <w:pStyle w:val="BodyText"/>
        <w:rPr>
          <w:sz w:val="20"/>
        </w:rPr>
      </w:pPr>
    </w:p>
    <w:p w14:paraId="1EF1A884" w14:textId="77777777" w:rsidR="00FA4AA8" w:rsidRDefault="00FA4AA8">
      <w:pPr>
        <w:pStyle w:val="BodyText"/>
        <w:rPr>
          <w:sz w:val="20"/>
        </w:rPr>
      </w:pPr>
    </w:p>
    <w:p w14:paraId="37DA8EF8" w14:textId="77777777" w:rsidR="00FA4AA8" w:rsidRDefault="00FA4AA8">
      <w:pPr>
        <w:pStyle w:val="BodyText"/>
        <w:rPr>
          <w:sz w:val="20"/>
        </w:rPr>
      </w:pPr>
    </w:p>
    <w:p w14:paraId="56AB90B7" w14:textId="77777777" w:rsidR="00FA4AA8" w:rsidRDefault="00FA4AA8">
      <w:pPr>
        <w:pStyle w:val="BodyText"/>
        <w:rPr>
          <w:sz w:val="20"/>
        </w:rPr>
      </w:pPr>
    </w:p>
    <w:p w14:paraId="0EDBA768" w14:textId="77777777" w:rsidR="00FA4AA8" w:rsidRDefault="00FA4AA8">
      <w:pPr>
        <w:pStyle w:val="BodyText"/>
        <w:rPr>
          <w:sz w:val="20"/>
        </w:rPr>
      </w:pPr>
    </w:p>
    <w:p w14:paraId="1BB1FBFA" w14:textId="77777777" w:rsidR="00FA4AA8" w:rsidRDefault="00FA4AA8">
      <w:pPr>
        <w:pStyle w:val="BodyText"/>
        <w:rPr>
          <w:sz w:val="20"/>
        </w:rPr>
      </w:pPr>
    </w:p>
    <w:p w14:paraId="161C6C55" w14:textId="77777777" w:rsidR="00FA4AA8" w:rsidRDefault="00FA4AA8">
      <w:pPr>
        <w:pStyle w:val="BodyText"/>
        <w:rPr>
          <w:sz w:val="20"/>
        </w:rPr>
      </w:pPr>
    </w:p>
    <w:p w14:paraId="5B74A96E" w14:textId="77777777" w:rsidR="00FA4AA8" w:rsidRDefault="00FA4AA8">
      <w:pPr>
        <w:pStyle w:val="BodyText"/>
        <w:rPr>
          <w:sz w:val="20"/>
        </w:rPr>
      </w:pPr>
    </w:p>
    <w:p w14:paraId="2594D5C7" w14:textId="77777777" w:rsidR="00FA4AA8" w:rsidRDefault="00FA4AA8">
      <w:pPr>
        <w:pStyle w:val="BodyText"/>
        <w:rPr>
          <w:sz w:val="20"/>
        </w:rPr>
      </w:pPr>
    </w:p>
    <w:p w14:paraId="59D9ED96" w14:textId="77777777" w:rsidR="00FA4AA8" w:rsidRDefault="00FA4AA8">
      <w:pPr>
        <w:pStyle w:val="BodyText"/>
        <w:rPr>
          <w:sz w:val="20"/>
        </w:rPr>
      </w:pPr>
    </w:p>
    <w:p w14:paraId="187C7979" w14:textId="77777777" w:rsidR="00FA4AA8" w:rsidRDefault="00FA4AA8">
      <w:pPr>
        <w:pStyle w:val="BodyText"/>
        <w:rPr>
          <w:sz w:val="20"/>
        </w:rPr>
      </w:pPr>
    </w:p>
    <w:p w14:paraId="7A4CD299" w14:textId="77777777" w:rsidR="00FA4AA8" w:rsidRDefault="00FA4AA8">
      <w:pPr>
        <w:pStyle w:val="BodyText"/>
        <w:rPr>
          <w:sz w:val="20"/>
        </w:rPr>
      </w:pPr>
    </w:p>
    <w:p w14:paraId="703827E6" w14:textId="77777777" w:rsidR="00FA4AA8" w:rsidRDefault="00FA4AA8">
      <w:pPr>
        <w:pStyle w:val="BodyText"/>
        <w:rPr>
          <w:sz w:val="20"/>
        </w:rPr>
      </w:pPr>
    </w:p>
    <w:p w14:paraId="355F872F" w14:textId="77777777" w:rsidR="00FA4AA8" w:rsidRDefault="00FA4AA8">
      <w:pPr>
        <w:pStyle w:val="BodyText"/>
        <w:rPr>
          <w:sz w:val="20"/>
        </w:rPr>
      </w:pPr>
    </w:p>
    <w:p w14:paraId="2CD1EDD1" w14:textId="77777777" w:rsidR="00FA4AA8" w:rsidRDefault="00FA4AA8">
      <w:pPr>
        <w:pStyle w:val="BodyText"/>
        <w:rPr>
          <w:sz w:val="20"/>
        </w:rPr>
      </w:pPr>
    </w:p>
    <w:p w14:paraId="0C9D394E" w14:textId="77777777" w:rsidR="00FA4AA8" w:rsidRDefault="00FA4AA8">
      <w:pPr>
        <w:pStyle w:val="BodyText"/>
        <w:rPr>
          <w:sz w:val="20"/>
        </w:rPr>
      </w:pPr>
    </w:p>
    <w:p w14:paraId="06AC18AA" w14:textId="77777777" w:rsidR="00FA4AA8" w:rsidRDefault="00FA4AA8">
      <w:pPr>
        <w:pStyle w:val="BodyText"/>
        <w:rPr>
          <w:sz w:val="20"/>
        </w:rPr>
      </w:pPr>
    </w:p>
    <w:p w14:paraId="133AF57F" w14:textId="77777777" w:rsidR="00FA4AA8" w:rsidRDefault="00FA4AA8">
      <w:pPr>
        <w:pStyle w:val="BodyText"/>
        <w:rPr>
          <w:sz w:val="20"/>
        </w:rPr>
      </w:pPr>
    </w:p>
    <w:p w14:paraId="57E8C467" w14:textId="77777777" w:rsidR="00FA4AA8" w:rsidRDefault="00FA4AA8">
      <w:pPr>
        <w:pStyle w:val="BodyText"/>
        <w:rPr>
          <w:sz w:val="20"/>
        </w:rPr>
      </w:pPr>
    </w:p>
    <w:p w14:paraId="17C39743" w14:textId="77777777" w:rsidR="00FA4AA8" w:rsidRDefault="00FA4AA8">
      <w:pPr>
        <w:pStyle w:val="BodyText"/>
        <w:rPr>
          <w:sz w:val="20"/>
        </w:rPr>
      </w:pPr>
    </w:p>
    <w:p w14:paraId="458E91C6" w14:textId="77777777" w:rsidR="00FA4AA8" w:rsidRDefault="00FA4AA8">
      <w:pPr>
        <w:pStyle w:val="BodyText"/>
        <w:rPr>
          <w:sz w:val="20"/>
        </w:rPr>
      </w:pPr>
    </w:p>
    <w:p w14:paraId="097B27C2" w14:textId="77777777" w:rsidR="00FA4AA8" w:rsidRDefault="00FA4AA8">
      <w:pPr>
        <w:pStyle w:val="BodyText"/>
        <w:rPr>
          <w:sz w:val="20"/>
        </w:rPr>
      </w:pPr>
    </w:p>
    <w:p w14:paraId="54B0F440" w14:textId="77777777" w:rsidR="00FA4AA8" w:rsidRDefault="00FA4AA8">
      <w:pPr>
        <w:pStyle w:val="BodyText"/>
        <w:rPr>
          <w:sz w:val="20"/>
        </w:rPr>
      </w:pPr>
    </w:p>
    <w:p w14:paraId="23970CA0" w14:textId="77777777" w:rsidR="00FA4AA8" w:rsidRDefault="007E2441">
      <w:pPr>
        <w:pStyle w:val="BodyText"/>
        <w:spacing w:before="1"/>
        <w:rPr>
          <w:sz w:val="13"/>
        </w:rPr>
      </w:pPr>
      <w:r>
        <w:rPr>
          <w:noProof/>
          <w:lang w:val="en-AU" w:eastAsia="en-AU"/>
        </w:rPr>
        <mc:AlternateContent>
          <mc:Choice Requires="wps">
            <w:drawing>
              <wp:anchor distT="0" distB="0" distL="0" distR="0" simplePos="0" relativeHeight="487636480" behindDoc="1" locked="0" layoutInCell="1" allowOverlap="1" wp14:anchorId="7AA6927A" wp14:editId="634E3FCA">
                <wp:simplePos x="0" y="0"/>
                <wp:positionH relativeFrom="page">
                  <wp:posOffset>518160</wp:posOffset>
                </wp:positionH>
                <wp:positionV relativeFrom="paragraph">
                  <wp:posOffset>130175</wp:posOffset>
                </wp:positionV>
                <wp:extent cx="6501765" cy="1270"/>
                <wp:effectExtent l="0" t="0" r="0" b="0"/>
                <wp:wrapTopAndBottom/>
                <wp:docPr id="1354" name="Freeform 1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01765" cy="1270"/>
                        </a:xfrm>
                        <a:custGeom>
                          <a:avLst/>
                          <a:gdLst>
                            <a:gd name="T0" fmla="+- 0 816 816"/>
                            <a:gd name="T1" fmla="*/ T0 w 10239"/>
                            <a:gd name="T2" fmla="+- 0 11054 816"/>
                            <a:gd name="T3" fmla="*/ T2 w 10239"/>
                          </a:gdLst>
                          <a:ahLst/>
                          <a:cxnLst>
                            <a:cxn ang="0">
                              <a:pos x="T1" y="0"/>
                            </a:cxn>
                            <a:cxn ang="0">
                              <a:pos x="T3" y="0"/>
                            </a:cxn>
                          </a:cxnLst>
                          <a:rect l="0" t="0" r="r" b="b"/>
                          <a:pathLst>
                            <a:path w="10239">
                              <a:moveTo>
                                <a:pt x="0" y="0"/>
                              </a:moveTo>
                              <a:lnTo>
                                <a:pt x="10238" y="0"/>
                              </a:lnTo>
                            </a:path>
                          </a:pathLst>
                        </a:custGeom>
                        <a:noFill/>
                        <a:ln w="18288">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825A4" id="Freeform 1120" o:spid="_x0000_s1026" style="position:absolute;margin-left:40.8pt;margin-top:10.25pt;width:511.95pt;height:.1pt;z-index:-15680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" path="m,l10238,e" filled="f" strokecolor="#3f3f3f" strokeweight="1.44pt">
                <v:path arrowok="t" o:connecttype="custom" o:connectlocs="0,0;6501130,0" o:connectangles="0,0"/>
                <w10:wrap type="topAndBottom" anchorx="page"/>
              </v:shape>
            </w:pict>
          </mc:Fallback>
        </mc:AlternateContent>
      </w:r>
    </w:p>
    <w:p w14:paraId="74CC13A3" w14:textId="77777777" w:rsidR="00FA4AA8" w:rsidRDefault="0015611F">
      <w:pPr>
        <w:spacing w:before="118"/>
        <w:ind w:right="1"/>
        <w:jc w:val="center"/>
        <w:rPr>
          <w:sz w:val="16"/>
        </w:rPr>
      </w:pPr>
      <w:r>
        <w:rPr>
          <w:color w:val="1C1C1C"/>
          <w:w w:val="90"/>
          <w:sz w:val="16"/>
        </w:rPr>
        <w:t xml:space="preserve">Level </w:t>
      </w:r>
      <w:r>
        <w:rPr>
          <w:color w:val="1F1F1F"/>
          <w:w w:val="90"/>
          <w:sz w:val="16"/>
        </w:rPr>
        <w:t xml:space="preserve">15, </w:t>
      </w:r>
      <w:r>
        <w:rPr>
          <w:color w:val="232323"/>
          <w:w w:val="90"/>
          <w:sz w:val="16"/>
        </w:rPr>
        <w:t xml:space="preserve">1 </w:t>
      </w:r>
      <w:r>
        <w:rPr>
          <w:color w:val="161616"/>
          <w:w w:val="90"/>
          <w:sz w:val="16"/>
        </w:rPr>
        <w:t xml:space="preserve">Margaret </w:t>
      </w:r>
      <w:r w:rsidR="00A74DE7">
        <w:rPr>
          <w:w w:val="90"/>
          <w:sz w:val="16"/>
        </w:rPr>
        <w:t>Street</w:t>
      </w:r>
      <w:r>
        <w:rPr>
          <w:w w:val="90"/>
          <w:sz w:val="16"/>
        </w:rPr>
        <w:t xml:space="preserve">, </w:t>
      </w:r>
      <w:r>
        <w:rPr>
          <w:color w:val="1A1A1A"/>
          <w:w w:val="90"/>
          <w:sz w:val="16"/>
        </w:rPr>
        <w:t xml:space="preserve">Sydney </w:t>
      </w:r>
      <w:r>
        <w:rPr>
          <w:color w:val="151515"/>
          <w:w w:val="90"/>
          <w:sz w:val="16"/>
        </w:rPr>
        <w:t xml:space="preserve">NSW </w:t>
      </w:r>
      <w:r>
        <w:rPr>
          <w:w w:val="90"/>
          <w:sz w:val="16"/>
        </w:rPr>
        <w:t xml:space="preserve">2000 </w:t>
      </w:r>
      <w:r>
        <w:rPr>
          <w:color w:val="343434"/>
          <w:w w:val="90"/>
          <w:sz w:val="16"/>
        </w:rPr>
        <w:t xml:space="preserve">I </w:t>
      </w:r>
      <w:r>
        <w:rPr>
          <w:color w:val="151515"/>
          <w:w w:val="90"/>
          <w:sz w:val="16"/>
        </w:rPr>
        <w:t xml:space="preserve">GPO </w:t>
      </w:r>
      <w:r>
        <w:rPr>
          <w:color w:val="313131"/>
          <w:w w:val="90"/>
          <w:sz w:val="16"/>
        </w:rPr>
        <w:t xml:space="preserve">Box </w:t>
      </w:r>
      <w:r>
        <w:rPr>
          <w:color w:val="0F0F0F"/>
          <w:w w:val="90"/>
          <w:sz w:val="16"/>
        </w:rPr>
        <w:t xml:space="preserve">J </w:t>
      </w:r>
      <w:r>
        <w:rPr>
          <w:color w:val="242424"/>
          <w:w w:val="90"/>
          <w:sz w:val="16"/>
        </w:rPr>
        <w:t xml:space="preserve">2, </w:t>
      </w:r>
      <w:r>
        <w:rPr>
          <w:color w:val="1C1C1C"/>
          <w:w w:val="90"/>
          <w:sz w:val="16"/>
        </w:rPr>
        <w:t xml:space="preserve">Sydney </w:t>
      </w:r>
      <w:r>
        <w:rPr>
          <w:color w:val="262626"/>
          <w:w w:val="90"/>
          <w:sz w:val="16"/>
        </w:rPr>
        <w:t xml:space="preserve">NSW </w:t>
      </w:r>
      <w:r>
        <w:rPr>
          <w:w w:val="90"/>
          <w:sz w:val="16"/>
        </w:rPr>
        <w:t xml:space="preserve">2001 </w:t>
      </w:r>
      <w:r>
        <w:rPr>
          <w:color w:val="606060"/>
          <w:w w:val="70"/>
          <w:sz w:val="16"/>
        </w:rPr>
        <w:t xml:space="preserve">1 </w:t>
      </w:r>
      <w:r>
        <w:rPr>
          <w:w w:val="90"/>
          <w:sz w:val="16"/>
        </w:rPr>
        <w:t>1</w:t>
      </w:r>
      <w:r>
        <w:rPr>
          <w:color w:val="111111"/>
          <w:w w:val="90"/>
          <w:sz w:val="16"/>
        </w:rPr>
        <w:t xml:space="preserve">02 </w:t>
      </w:r>
      <w:r>
        <w:rPr>
          <w:color w:val="0C0C0C"/>
          <w:w w:val="90"/>
          <w:sz w:val="16"/>
        </w:rPr>
        <w:t xml:space="preserve">9275 </w:t>
      </w:r>
      <w:r>
        <w:rPr>
          <w:w w:val="90"/>
          <w:sz w:val="16"/>
        </w:rPr>
        <w:t>71</w:t>
      </w:r>
      <w:r>
        <w:rPr>
          <w:color w:val="2A2A2A"/>
          <w:w w:val="90"/>
          <w:sz w:val="16"/>
        </w:rPr>
        <w:t xml:space="preserve">01 </w:t>
      </w:r>
      <w:r>
        <w:rPr>
          <w:color w:val="3B3B3B"/>
          <w:w w:val="90"/>
          <w:sz w:val="16"/>
        </w:rPr>
        <w:t xml:space="preserve">I </w:t>
      </w:r>
      <w:r>
        <w:rPr>
          <w:color w:val="1C1C1C"/>
          <w:w w:val="90"/>
          <w:sz w:val="16"/>
        </w:rPr>
        <w:t xml:space="preserve">(02 </w:t>
      </w:r>
      <w:r>
        <w:rPr>
          <w:color w:val="282828"/>
          <w:w w:val="90"/>
          <w:sz w:val="16"/>
        </w:rPr>
        <w:t xml:space="preserve">9275 </w:t>
      </w:r>
      <w:r>
        <w:rPr>
          <w:color w:val="1C1C1C"/>
          <w:w w:val="90"/>
          <w:sz w:val="16"/>
        </w:rPr>
        <w:t>71</w:t>
      </w:r>
      <w:r>
        <w:rPr>
          <w:color w:val="363636"/>
          <w:w w:val="90"/>
          <w:sz w:val="16"/>
        </w:rPr>
        <w:t xml:space="preserve">79 </w:t>
      </w:r>
      <w:r>
        <w:rPr>
          <w:color w:val="161616"/>
          <w:w w:val="90"/>
          <w:sz w:val="16"/>
        </w:rPr>
        <w:t xml:space="preserve">I </w:t>
      </w:r>
      <w:r>
        <w:rPr>
          <w:color w:val="1F1F1F"/>
          <w:w w:val="90"/>
          <w:sz w:val="16"/>
        </w:rPr>
        <w:t xml:space="preserve">e </w:t>
      </w:r>
      <w:hyperlink r:id="rId117">
        <w:r>
          <w:rPr>
            <w:w w:val="90"/>
            <w:sz w:val="16"/>
          </w:rPr>
          <w:t>mail@audit.new.gov.au</w:t>
        </w:r>
      </w:hyperlink>
      <w:r>
        <w:rPr>
          <w:w w:val="90"/>
          <w:sz w:val="16"/>
        </w:rPr>
        <w:t xml:space="preserve"> </w:t>
      </w:r>
      <w:r>
        <w:rPr>
          <w:color w:val="2F2F2F"/>
          <w:w w:val="70"/>
          <w:sz w:val="16"/>
        </w:rPr>
        <w:t xml:space="preserve">I  </w:t>
      </w:r>
      <w:r>
        <w:rPr>
          <w:w w:val="90"/>
          <w:sz w:val="16"/>
        </w:rPr>
        <w:t>audiLnsw.pov.au</w:t>
      </w:r>
    </w:p>
    <w:p w14:paraId="541A5949" w14:textId="77777777" w:rsidR="00FA4AA8" w:rsidRDefault="00FA4AA8">
      <w:pPr>
        <w:jc w:val="center"/>
        <w:rPr>
          <w:sz w:val="16"/>
        </w:rPr>
        <w:sectPr w:rsidR="00FA4AA8">
          <w:headerReference w:type="default" r:id="rId118"/>
          <w:footerReference w:type="default" r:id="rId119"/>
          <w:pgSz w:w="11910" w:h="16850"/>
          <w:pgMar w:top="660" w:right="740" w:bottom="640" w:left="700" w:header="0" w:footer="459" w:gutter="0"/>
          <w:pgNumType w:start="122"/>
          <w:cols w:space="720"/>
        </w:sectPr>
      </w:pPr>
    </w:p>
    <w:p w14:paraId="11E03624" w14:textId="77777777" w:rsidR="00FA4AA8" w:rsidRDefault="00FA4AA8">
      <w:pPr>
        <w:pStyle w:val="BodyText"/>
        <w:rPr>
          <w:sz w:val="20"/>
        </w:rPr>
      </w:pPr>
    </w:p>
    <w:p w14:paraId="6189B6C7" w14:textId="77777777" w:rsidR="00FA4AA8" w:rsidRDefault="00FA4AA8">
      <w:pPr>
        <w:pStyle w:val="BodyText"/>
        <w:spacing w:before="2"/>
        <w:rPr>
          <w:sz w:val="10"/>
        </w:rPr>
      </w:pPr>
    </w:p>
    <w:tbl>
      <w:tblPr>
        <w:tblW w:w="0" w:type="auto"/>
        <w:tblInd w:w="125" w:type="dxa"/>
        <w:tblLayout w:type="fixed"/>
        <w:tblCellMar>
          <w:left w:w="0" w:type="dxa"/>
          <w:right w:w="0" w:type="dxa"/>
        </w:tblCellMar>
        <w:tblLook w:val="01E0" w:firstRow="1" w:lastRow="1" w:firstColumn="1" w:lastColumn="1" w:noHBand="0" w:noVBand="0"/>
      </w:tblPr>
      <w:tblGrid>
        <w:gridCol w:w="5910"/>
        <w:gridCol w:w="1461"/>
        <w:gridCol w:w="1453"/>
        <w:gridCol w:w="1176"/>
      </w:tblGrid>
      <w:tr w:rsidR="00FA4AA8" w14:paraId="7D6BACFA" w14:textId="77777777">
        <w:trPr>
          <w:trHeight w:val="343"/>
        </w:trPr>
        <w:tc>
          <w:tcPr>
            <w:tcW w:w="5910" w:type="dxa"/>
          </w:tcPr>
          <w:p w14:paraId="7B35D6DE" w14:textId="77777777" w:rsidR="00FA4AA8" w:rsidRDefault="0015611F">
            <w:pPr>
              <w:pStyle w:val="TableParagraph"/>
              <w:spacing w:line="314" w:lineRule="exact"/>
              <w:ind w:left="50"/>
              <w:rPr>
                <w:b/>
                <w:sz w:val="28"/>
              </w:rPr>
            </w:pPr>
            <w:r>
              <w:rPr>
                <w:b/>
                <w:sz w:val="28"/>
              </w:rPr>
              <w:t>Statement of Comprehensive Income</w:t>
            </w:r>
          </w:p>
        </w:tc>
        <w:tc>
          <w:tcPr>
            <w:tcW w:w="4090" w:type="dxa"/>
            <w:gridSpan w:val="3"/>
            <w:vMerge w:val="restart"/>
          </w:tcPr>
          <w:p w14:paraId="5B80F609" w14:textId="77777777" w:rsidR="00FA4AA8" w:rsidRDefault="00FA4AA8">
            <w:pPr>
              <w:pStyle w:val="TableParagraph"/>
              <w:rPr>
                <w:rFonts w:ascii="Times New Roman"/>
                <w:sz w:val="18"/>
              </w:rPr>
            </w:pPr>
          </w:p>
        </w:tc>
      </w:tr>
      <w:tr w:rsidR="00FA4AA8" w14:paraId="07A33C52" w14:textId="77777777">
        <w:trPr>
          <w:trHeight w:val="486"/>
        </w:trPr>
        <w:tc>
          <w:tcPr>
            <w:tcW w:w="5910" w:type="dxa"/>
          </w:tcPr>
          <w:p w14:paraId="26D800BD" w14:textId="77777777" w:rsidR="00FA4AA8" w:rsidRDefault="0015611F">
            <w:pPr>
              <w:pStyle w:val="TableParagraph"/>
              <w:spacing w:before="23"/>
              <w:ind w:left="50"/>
              <w:rPr>
                <w:b/>
              </w:rPr>
            </w:pPr>
            <w:r>
              <w:rPr>
                <w:b/>
              </w:rPr>
              <w:t>For the Year Ended 31 December 2018</w:t>
            </w:r>
          </w:p>
        </w:tc>
        <w:tc>
          <w:tcPr>
            <w:tcW w:w="4090" w:type="dxa"/>
            <w:gridSpan w:val="3"/>
            <w:vMerge/>
            <w:tcBorders>
              <w:top w:val="nil"/>
            </w:tcBorders>
          </w:tcPr>
          <w:p w14:paraId="47A10756" w14:textId="77777777" w:rsidR="00FA4AA8" w:rsidRDefault="00FA4AA8">
            <w:pPr>
              <w:rPr>
                <w:sz w:val="2"/>
                <w:szCs w:val="2"/>
              </w:rPr>
            </w:pPr>
          </w:p>
        </w:tc>
      </w:tr>
      <w:tr w:rsidR="00FA4AA8" w14:paraId="2E09564D" w14:textId="77777777">
        <w:trPr>
          <w:trHeight w:val="446"/>
        </w:trPr>
        <w:tc>
          <w:tcPr>
            <w:tcW w:w="5910" w:type="dxa"/>
          </w:tcPr>
          <w:p w14:paraId="1C4DD39B" w14:textId="77777777" w:rsidR="00FA4AA8" w:rsidRDefault="00FA4AA8">
            <w:pPr>
              <w:pStyle w:val="TableParagraph"/>
              <w:rPr>
                <w:rFonts w:ascii="Times New Roman"/>
                <w:sz w:val="18"/>
              </w:rPr>
            </w:pPr>
          </w:p>
        </w:tc>
        <w:tc>
          <w:tcPr>
            <w:tcW w:w="1461" w:type="dxa"/>
          </w:tcPr>
          <w:p w14:paraId="70BBB586" w14:textId="77777777" w:rsidR="00FA4AA8" w:rsidRDefault="00FA4AA8">
            <w:pPr>
              <w:pStyle w:val="TableParagraph"/>
              <w:rPr>
                <w:rFonts w:ascii="Times New Roman"/>
                <w:sz w:val="18"/>
              </w:rPr>
            </w:pPr>
          </w:p>
        </w:tc>
        <w:tc>
          <w:tcPr>
            <w:tcW w:w="1453" w:type="dxa"/>
          </w:tcPr>
          <w:p w14:paraId="6C2FDC2C" w14:textId="77777777" w:rsidR="00FA4AA8" w:rsidRDefault="00FA4AA8">
            <w:pPr>
              <w:pStyle w:val="TableParagraph"/>
              <w:spacing w:before="8"/>
              <w:rPr>
                <w:sz w:val="17"/>
              </w:rPr>
            </w:pPr>
          </w:p>
          <w:p w14:paraId="031E85FD" w14:textId="77777777" w:rsidR="00FA4AA8" w:rsidRDefault="0015611F">
            <w:pPr>
              <w:pStyle w:val="TableParagraph"/>
              <w:ind w:left="443"/>
              <w:rPr>
                <w:b/>
                <w:sz w:val="18"/>
              </w:rPr>
            </w:pPr>
            <w:r>
              <w:rPr>
                <w:b/>
                <w:sz w:val="18"/>
              </w:rPr>
              <w:t>2018</w:t>
            </w:r>
          </w:p>
        </w:tc>
        <w:tc>
          <w:tcPr>
            <w:tcW w:w="1176" w:type="dxa"/>
          </w:tcPr>
          <w:p w14:paraId="4506F415" w14:textId="77777777" w:rsidR="00FA4AA8" w:rsidRDefault="00FA4AA8">
            <w:pPr>
              <w:pStyle w:val="TableParagraph"/>
              <w:spacing w:before="8"/>
              <w:rPr>
                <w:sz w:val="17"/>
              </w:rPr>
            </w:pPr>
          </w:p>
          <w:p w14:paraId="36CE93D0" w14:textId="77777777" w:rsidR="00FA4AA8" w:rsidRDefault="0015611F">
            <w:pPr>
              <w:pStyle w:val="TableParagraph"/>
              <w:ind w:left="285"/>
              <w:rPr>
                <w:b/>
                <w:sz w:val="18"/>
              </w:rPr>
            </w:pPr>
            <w:r>
              <w:rPr>
                <w:b/>
                <w:sz w:val="18"/>
              </w:rPr>
              <w:t>2017</w:t>
            </w:r>
          </w:p>
        </w:tc>
      </w:tr>
      <w:tr w:rsidR="00FA4AA8" w14:paraId="4EDBDAF6" w14:textId="77777777">
        <w:trPr>
          <w:trHeight w:val="313"/>
        </w:trPr>
        <w:tc>
          <w:tcPr>
            <w:tcW w:w="5910" w:type="dxa"/>
          </w:tcPr>
          <w:p w14:paraId="3740833E" w14:textId="77777777" w:rsidR="00FA4AA8" w:rsidRDefault="00FA4AA8">
            <w:pPr>
              <w:pStyle w:val="TableParagraph"/>
              <w:rPr>
                <w:rFonts w:ascii="Times New Roman"/>
                <w:sz w:val="18"/>
              </w:rPr>
            </w:pPr>
          </w:p>
        </w:tc>
        <w:tc>
          <w:tcPr>
            <w:tcW w:w="1461" w:type="dxa"/>
          </w:tcPr>
          <w:p w14:paraId="40F7AF00" w14:textId="77777777" w:rsidR="00FA4AA8" w:rsidRDefault="0015611F">
            <w:pPr>
              <w:pStyle w:val="TableParagraph"/>
              <w:spacing w:before="30"/>
              <w:ind w:left="899" w:right="20"/>
              <w:jc w:val="center"/>
              <w:rPr>
                <w:b/>
                <w:sz w:val="18"/>
              </w:rPr>
            </w:pPr>
            <w:r>
              <w:rPr>
                <w:b/>
                <w:sz w:val="18"/>
              </w:rPr>
              <w:t>Notes</w:t>
            </w:r>
          </w:p>
        </w:tc>
        <w:tc>
          <w:tcPr>
            <w:tcW w:w="1453" w:type="dxa"/>
          </w:tcPr>
          <w:p w14:paraId="790165CB" w14:textId="77777777" w:rsidR="00FA4AA8" w:rsidRDefault="0015611F">
            <w:pPr>
              <w:pStyle w:val="TableParagraph"/>
              <w:spacing w:before="30"/>
              <w:ind w:right="162"/>
              <w:jc w:val="center"/>
              <w:rPr>
                <w:b/>
                <w:sz w:val="18"/>
              </w:rPr>
            </w:pPr>
            <w:r>
              <w:rPr>
                <w:b/>
                <w:sz w:val="18"/>
              </w:rPr>
              <w:t>$</w:t>
            </w:r>
          </w:p>
        </w:tc>
        <w:tc>
          <w:tcPr>
            <w:tcW w:w="1176" w:type="dxa"/>
          </w:tcPr>
          <w:p w14:paraId="45AB11EF" w14:textId="77777777" w:rsidR="00FA4AA8" w:rsidRDefault="0015611F">
            <w:pPr>
              <w:pStyle w:val="TableParagraph"/>
              <w:spacing w:before="30"/>
              <w:ind w:right="199"/>
              <w:jc w:val="center"/>
              <w:rPr>
                <w:b/>
                <w:sz w:val="18"/>
              </w:rPr>
            </w:pPr>
            <w:r>
              <w:rPr>
                <w:b/>
                <w:sz w:val="18"/>
              </w:rPr>
              <w:t>$</w:t>
            </w:r>
          </w:p>
        </w:tc>
      </w:tr>
      <w:tr w:rsidR="00FA4AA8" w14:paraId="0262F55A" w14:textId="77777777">
        <w:trPr>
          <w:trHeight w:val="452"/>
        </w:trPr>
        <w:tc>
          <w:tcPr>
            <w:tcW w:w="5910" w:type="dxa"/>
          </w:tcPr>
          <w:p w14:paraId="636BE0BD" w14:textId="77777777" w:rsidR="00FA4AA8" w:rsidRDefault="0015611F">
            <w:pPr>
              <w:pStyle w:val="TableParagraph"/>
              <w:spacing w:before="70"/>
              <w:ind w:left="76"/>
              <w:rPr>
                <w:b/>
                <w:sz w:val="18"/>
              </w:rPr>
            </w:pPr>
            <w:r>
              <w:rPr>
                <w:b/>
                <w:sz w:val="18"/>
              </w:rPr>
              <w:t>Revenue</w:t>
            </w:r>
          </w:p>
        </w:tc>
        <w:tc>
          <w:tcPr>
            <w:tcW w:w="1461" w:type="dxa"/>
          </w:tcPr>
          <w:p w14:paraId="3C99968A" w14:textId="77777777" w:rsidR="00FA4AA8" w:rsidRDefault="00FA4AA8">
            <w:pPr>
              <w:pStyle w:val="TableParagraph"/>
              <w:rPr>
                <w:rFonts w:ascii="Times New Roman"/>
                <w:sz w:val="18"/>
              </w:rPr>
            </w:pPr>
          </w:p>
        </w:tc>
        <w:tc>
          <w:tcPr>
            <w:tcW w:w="1453" w:type="dxa"/>
          </w:tcPr>
          <w:p w14:paraId="6B310AD7" w14:textId="77777777" w:rsidR="00FA4AA8" w:rsidRDefault="00FA4AA8">
            <w:pPr>
              <w:pStyle w:val="TableParagraph"/>
              <w:rPr>
                <w:rFonts w:ascii="Times New Roman"/>
                <w:sz w:val="18"/>
              </w:rPr>
            </w:pPr>
          </w:p>
        </w:tc>
        <w:tc>
          <w:tcPr>
            <w:tcW w:w="1176" w:type="dxa"/>
          </w:tcPr>
          <w:p w14:paraId="5379CAB9" w14:textId="77777777" w:rsidR="00FA4AA8" w:rsidRDefault="00FA4AA8">
            <w:pPr>
              <w:pStyle w:val="TableParagraph"/>
              <w:rPr>
                <w:rFonts w:ascii="Times New Roman"/>
                <w:sz w:val="18"/>
              </w:rPr>
            </w:pPr>
          </w:p>
        </w:tc>
      </w:tr>
      <w:tr w:rsidR="00FA4AA8" w14:paraId="391FA92D" w14:textId="77777777">
        <w:trPr>
          <w:trHeight w:val="409"/>
        </w:trPr>
        <w:tc>
          <w:tcPr>
            <w:tcW w:w="5910" w:type="dxa"/>
          </w:tcPr>
          <w:p w14:paraId="296B1E84" w14:textId="77777777" w:rsidR="00FA4AA8" w:rsidRDefault="0015611F">
            <w:pPr>
              <w:pStyle w:val="TableParagraph"/>
              <w:spacing w:before="169"/>
              <w:ind w:left="76"/>
              <w:rPr>
                <w:sz w:val="18"/>
              </w:rPr>
            </w:pPr>
            <w:r>
              <w:rPr>
                <w:sz w:val="18"/>
              </w:rPr>
              <w:t>Sale of goods</w:t>
            </w:r>
          </w:p>
        </w:tc>
        <w:tc>
          <w:tcPr>
            <w:tcW w:w="1461" w:type="dxa"/>
          </w:tcPr>
          <w:p w14:paraId="0D7E76DD" w14:textId="77777777" w:rsidR="00FA4AA8" w:rsidRDefault="0015611F">
            <w:pPr>
              <w:pStyle w:val="TableParagraph"/>
              <w:spacing w:before="172"/>
              <w:ind w:left="877"/>
              <w:jc w:val="center"/>
              <w:rPr>
                <w:sz w:val="18"/>
              </w:rPr>
            </w:pPr>
            <w:r>
              <w:rPr>
                <w:sz w:val="18"/>
              </w:rPr>
              <w:t>2</w:t>
            </w:r>
          </w:p>
        </w:tc>
        <w:tc>
          <w:tcPr>
            <w:tcW w:w="1453" w:type="dxa"/>
          </w:tcPr>
          <w:p w14:paraId="47A2BCA6" w14:textId="77777777" w:rsidR="00FA4AA8" w:rsidRDefault="0015611F">
            <w:pPr>
              <w:pStyle w:val="TableParagraph"/>
              <w:spacing w:before="172"/>
              <w:ind w:right="245"/>
              <w:jc w:val="right"/>
              <w:rPr>
                <w:b/>
                <w:sz w:val="18"/>
              </w:rPr>
            </w:pPr>
            <w:r>
              <w:rPr>
                <w:b/>
                <w:sz w:val="18"/>
              </w:rPr>
              <w:t>4,508,966</w:t>
            </w:r>
          </w:p>
        </w:tc>
        <w:tc>
          <w:tcPr>
            <w:tcW w:w="1176" w:type="dxa"/>
          </w:tcPr>
          <w:p w14:paraId="492C0744" w14:textId="77777777" w:rsidR="00FA4AA8" w:rsidRDefault="0015611F">
            <w:pPr>
              <w:pStyle w:val="TableParagraph"/>
              <w:spacing w:before="172"/>
              <w:ind w:left="242"/>
              <w:rPr>
                <w:sz w:val="18"/>
              </w:rPr>
            </w:pPr>
            <w:r>
              <w:rPr>
                <w:sz w:val="18"/>
              </w:rPr>
              <w:t>5,361,382</w:t>
            </w:r>
          </w:p>
        </w:tc>
      </w:tr>
      <w:tr w:rsidR="00FA4AA8" w14:paraId="798DF42C" w14:textId="77777777">
        <w:trPr>
          <w:trHeight w:val="264"/>
        </w:trPr>
        <w:tc>
          <w:tcPr>
            <w:tcW w:w="5910" w:type="dxa"/>
          </w:tcPr>
          <w:p w14:paraId="0EA9E54A" w14:textId="77777777" w:rsidR="00FA4AA8" w:rsidRDefault="0015611F">
            <w:pPr>
              <w:pStyle w:val="TableParagraph"/>
              <w:spacing w:before="24"/>
              <w:ind w:left="76"/>
              <w:rPr>
                <w:sz w:val="18"/>
              </w:rPr>
            </w:pPr>
            <w:r>
              <w:rPr>
                <w:sz w:val="18"/>
              </w:rPr>
              <w:t>Rendering of services</w:t>
            </w:r>
          </w:p>
        </w:tc>
        <w:tc>
          <w:tcPr>
            <w:tcW w:w="1461" w:type="dxa"/>
          </w:tcPr>
          <w:p w14:paraId="26CDF55E" w14:textId="77777777" w:rsidR="00FA4AA8" w:rsidRDefault="0015611F">
            <w:pPr>
              <w:pStyle w:val="TableParagraph"/>
              <w:spacing w:before="26"/>
              <w:ind w:left="877"/>
              <w:jc w:val="center"/>
              <w:rPr>
                <w:sz w:val="18"/>
              </w:rPr>
            </w:pPr>
            <w:r>
              <w:rPr>
                <w:sz w:val="18"/>
              </w:rPr>
              <w:t>2</w:t>
            </w:r>
          </w:p>
        </w:tc>
        <w:tc>
          <w:tcPr>
            <w:tcW w:w="1453" w:type="dxa"/>
          </w:tcPr>
          <w:p w14:paraId="464AD471" w14:textId="77777777" w:rsidR="00FA4AA8" w:rsidRDefault="0015611F">
            <w:pPr>
              <w:pStyle w:val="TableParagraph"/>
              <w:spacing w:before="26"/>
              <w:ind w:right="245"/>
              <w:jc w:val="right"/>
              <w:rPr>
                <w:b/>
                <w:sz w:val="18"/>
              </w:rPr>
            </w:pPr>
            <w:r>
              <w:rPr>
                <w:b/>
                <w:sz w:val="18"/>
              </w:rPr>
              <w:t>813,962</w:t>
            </w:r>
          </w:p>
        </w:tc>
        <w:tc>
          <w:tcPr>
            <w:tcW w:w="1176" w:type="dxa"/>
          </w:tcPr>
          <w:p w14:paraId="3FC4BCDB" w14:textId="77777777" w:rsidR="00FA4AA8" w:rsidRDefault="0015611F">
            <w:pPr>
              <w:pStyle w:val="TableParagraph"/>
              <w:spacing w:before="26"/>
              <w:ind w:left="393"/>
              <w:rPr>
                <w:sz w:val="18"/>
              </w:rPr>
            </w:pPr>
            <w:r>
              <w:rPr>
                <w:sz w:val="18"/>
              </w:rPr>
              <w:t>941,284</w:t>
            </w:r>
          </w:p>
        </w:tc>
      </w:tr>
      <w:tr w:rsidR="00FA4AA8" w14:paraId="0EEBF9AA" w14:textId="77777777">
        <w:trPr>
          <w:trHeight w:val="264"/>
        </w:trPr>
        <w:tc>
          <w:tcPr>
            <w:tcW w:w="5910" w:type="dxa"/>
          </w:tcPr>
          <w:p w14:paraId="55DD3B49" w14:textId="77777777" w:rsidR="00FA4AA8" w:rsidRDefault="0015611F">
            <w:pPr>
              <w:pStyle w:val="TableParagraph"/>
              <w:spacing w:before="24"/>
              <w:ind w:left="76"/>
              <w:rPr>
                <w:sz w:val="18"/>
              </w:rPr>
            </w:pPr>
            <w:r>
              <w:rPr>
                <w:sz w:val="18"/>
              </w:rPr>
              <w:t>University funding</w:t>
            </w:r>
          </w:p>
        </w:tc>
        <w:tc>
          <w:tcPr>
            <w:tcW w:w="1461" w:type="dxa"/>
          </w:tcPr>
          <w:p w14:paraId="233850BD" w14:textId="77777777" w:rsidR="00FA4AA8" w:rsidRDefault="0015611F">
            <w:pPr>
              <w:pStyle w:val="TableParagraph"/>
              <w:spacing w:before="26"/>
              <w:ind w:left="877"/>
              <w:jc w:val="center"/>
              <w:rPr>
                <w:sz w:val="18"/>
              </w:rPr>
            </w:pPr>
            <w:r>
              <w:rPr>
                <w:sz w:val="18"/>
              </w:rPr>
              <w:t>2</w:t>
            </w:r>
          </w:p>
        </w:tc>
        <w:tc>
          <w:tcPr>
            <w:tcW w:w="1453" w:type="dxa"/>
          </w:tcPr>
          <w:p w14:paraId="427E27BF" w14:textId="77777777" w:rsidR="00FA4AA8" w:rsidRDefault="0015611F">
            <w:pPr>
              <w:pStyle w:val="TableParagraph"/>
              <w:spacing w:before="26"/>
              <w:ind w:right="244"/>
              <w:jc w:val="right"/>
              <w:rPr>
                <w:b/>
                <w:sz w:val="18"/>
              </w:rPr>
            </w:pPr>
            <w:r>
              <w:rPr>
                <w:b/>
                <w:sz w:val="18"/>
              </w:rPr>
              <w:t>-</w:t>
            </w:r>
          </w:p>
        </w:tc>
        <w:tc>
          <w:tcPr>
            <w:tcW w:w="1176" w:type="dxa"/>
          </w:tcPr>
          <w:p w14:paraId="7CC78FFE" w14:textId="77777777" w:rsidR="00FA4AA8" w:rsidRDefault="0015611F">
            <w:pPr>
              <w:pStyle w:val="TableParagraph"/>
              <w:spacing w:before="26"/>
              <w:ind w:left="242"/>
              <w:rPr>
                <w:sz w:val="18"/>
              </w:rPr>
            </w:pPr>
            <w:r>
              <w:rPr>
                <w:sz w:val="18"/>
              </w:rPr>
              <w:t>2,418,063</w:t>
            </w:r>
          </w:p>
        </w:tc>
      </w:tr>
      <w:tr w:rsidR="00FA4AA8" w14:paraId="4B008835" w14:textId="77777777">
        <w:trPr>
          <w:trHeight w:val="258"/>
        </w:trPr>
        <w:tc>
          <w:tcPr>
            <w:tcW w:w="5910" w:type="dxa"/>
          </w:tcPr>
          <w:p w14:paraId="0DD5A1F0" w14:textId="77777777" w:rsidR="00FA4AA8" w:rsidRDefault="0015611F">
            <w:pPr>
              <w:pStyle w:val="TableParagraph"/>
              <w:spacing w:before="24"/>
              <w:ind w:left="76"/>
              <w:rPr>
                <w:sz w:val="18"/>
              </w:rPr>
            </w:pPr>
            <w:r>
              <w:rPr>
                <w:sz w:val="18"/>
              </w:rPr>
              <w:t>Other revenue</w:t>
            </w:r>
          </w:p>
        </w:tc>
        <w:tc>
          <w:tcPr>
            <w:tcW w:w="1461" w:type="dxa"/>
          </w:tcPr>
          <w:p w14:paraId="57B229FC" w14:textId="77777777" w:rsidR="00FA4AA8" w:rsidRDefault="0015611F">
            <w:pPr>
              <w:pStyle w:val="TableParagraph"/>
              <w:spacing w:before="26"/>
              <w:ind w:left="877"/>
              <w:jc w:val="center"/>
              <w:rPr>
                <w:sz w:val="18"/>
              </w:rPr>
            </w:pPr>
            <w:r>
              <w:rPr>
                <w:sz w:val="18"/>
              </w:rPr>
              <w:t>2</w:t>
            </w:r>
          </w:p>
        </w:tc>
        <w:tc>
          <w:tcPr>
            <w:tcW w:w="1453" w:type="dxa"/>
            <w:tcBorders>
              <w:bottom w:val="single" w:sz="8" w:space="0" w:color="000000"/>
            </w:tcBorders>
          </w:tcPr>
          <w:p w14:paraId="6901926B" w14:textId="77777777" w:rsidR="00FA4AA8" w:rsidRDefault="0015611F">
            <w:pPr>
              <w:pStyle w:val="TableParagraph"/>
              <w:spacing w:before="26"/>
              <w:ind w:right="245"/>
              <w:jc w:val="right"/>
              <w:rPr>
                <w:b/>
                <w:sz w:val="18"/>
              </w:rPr>
            </w:pPr>
            <w:r>
              <w:rPr>
                <w:b/>
                <w:sz w:val="18"/>
              </w:rPr>
              <w:t>379,949</w:t>
            </w:r>
          </w:p>
        </w:tc>
        <w:tc>
          <w:tcPr>
            <w:tcW w:w="1176" w:type="dxa"/>
            <w:tcBorders>
              <w:bottom w:val="single" w:sz="8" w:space="0" w:color="000000"/>
            </w:tcBorders>
          </w:tcPr>
          <w:p w14:paraId="7C5B05F5" w14:textId="77777777" w:rsidR="00FA4AA8" w:rsidRDefault="0015611F">
            <w:pPr>
              <w:pStyle w:val="TableParagraph"/>
              <w:spacing w:before="26"/>
              <w:ind w:left="393"/>
              <w:rPr>
                <w:sz w:val="18"/>
              </w:rPr>
            </w:pPr>
            <w:r>
              <w:rPr>
                <w:sz w:val="18"/>
              </w:rPr>
              <w:t>740,617</w:t>
            </w:r>
          </w:p>
        </w:tc>
      </w:tr>
      <w:tr w:rsidR="00FA4AA8" w14:paraId="1D14A539" w14:textId="77777777">
        <w:trPr>
          <w:trHeight w:val="318"/>
        </w:trPr>
        <w:tc>
          <w:tcPr>
            <w:tcW w:w="5910" w:type="dxa"/>
          </w:tcPr>
          <w:p w14:paraId="6E762B00" w14:textId="77777777" w:rsidR="00FA4AA8" w:rsidRDefault="0015611F">
            <w:pPr>
              <w:pStyle w:val="TableParagraph"/>
              <w:spacing w:before="115" w:line="183" w:lineRule="exact"/>
              <w:ind w:left="76"/>
              <w:rPr>
                <w:b/>
                <w:sz w:val="18"/>
              </w:rPr>
            </w:pPr>
            <w:r>
              <w:rPr>
                <w:b/>
                <w:sz w:val="18"/>
              </w:rPr>
              <w:t>Total revenue from operations</w:t>
            </w:r>
          </w:p>
        </w:tc>
        <w:tc>
          <w:tcPr>
            <w:tcW w:w="1461" w:type="dxa"/>
          </w:tcPr>
          <w:p w14:paraId="465C7F5C" w14:textId="77777777" w:rsidR="00FA4AA8" w:rsidRDefault="00FA4AA8">
            <w:pPr>
              <w:pStyle w:val="TableParagraph"/>
              <w:rPr>
                <w:rFonts w:ascii="Times New Roman"/>
                <w:sz w:val="18"/>
              </w:rPr>
            </w:pPr>
          </w:p>
        </w:tc>
        <w:tc>
          <w:tcPr>
            <w:tcW w:w="1453" w:type="dxa"/>
            <w:tcBorders>
              <w:top w:val="single" w:sz="8" w:space="0" w:color="000000"/>
              <w:bottom w:val="single" w:sz="8" w:space="0" w:color="000000"/>
            </w:tcBorders>
          </w:tcPr>
          <w:p w14:paraId="658EB6AD" w14:textId="77777777" w:rsidR="00FA4AA8" w:rsidRDefault="0015611F">
            <w:pPr>
              <w:pStyle w:val="TableParagraph"/>
              <w:spacing w:before="115" w:line="183" w:lineRule="exact"/>
              <w:ind w:right="245"/>
              <w:jc w:val="right"/>
              <w:rPr>
                <w:b/>
                <w:sz w:val="18"/>
              </w:rPr>
            </w:pPr>
            <w:r>
              <w:rPr>
                <w:b/>
                <w:sz w:val="18"/>
              </w:rPr>
              <w:t>5,702,877</w:t>
            </w:r>
          </w:p>
        </w:tc>
        <w:tc>
          <w:tcPr>
            <w:tcW w:w="1176" w:type="dxa"/>
            <w:tcBorders>
              <w:top w:val="single" w:sz="8" w:space="0" w:color="000000"/>
              <w:bottom w:val="single" w:sz="8" w:space="0" w:color="000000"/>
            </w:tcBorders>
          </w:tcPr>
          <w:p w14:paraId="2F02E4EA" w14:textId="77777777" w:rsidR="00FA4AA8" w:rsidRDefault="0015611F">
            <w:pPr>
              <w:pStyle w:val="TableParagraph"/>
              <w:spacing w:before="115" w:line="183" w:lineRule="exact"/>
              <w:ind w:left="242"/>
              <w:rPr>
                <w:sz w:val="18"/>
              </w:rPr>
            </w:pPr>
            <w:r>
              <w:rPr>
                <w:sz w:val="18"/>
              </w:rPr>
              <w:t>9,461,346</w:t>
            </w:r>
          </w:p>
        </w:tc>
      </w:tr>
      <w:tr w:rsidR="00FA4AA8" w14:paraId="72004909" w14:textId="77777777">
        <w:trPr>
          <w:trHeight w:val="587"/>
        </w:trPr>
        <w:tc>
          <w:tcPr>
            <w:tcW w:w="5910" w:type="dxa"/>
          </w:tcPr>
          <w:p w14:paraId="3C1348BC" w14:textId="77777777" w:rsidR="00FA4AA8" w:rsidRDefault="00FA4AA8">
            <w:pPr>
              <w:pStyle w:val="TableParagraph"/>
              <w:rPr>
                <w:sz w:val="20"/>
              </w:rPr>
            </w:pPr>
          </w:p>
          <w:p w14:paraId="4ADA23A5" w14:textId="77777777" w:rsidR="00FA4AA8" w:rsidRDefault="0015611F">
            <w:pPr>
              <w:pStyle w:val="TableParagraph"/>
              <w:spacing w:before="118"/>
              <w:ind w:left="76"/>
              <w:rPr>
                <w:sz w:val="18"/>
              </w:rPr>
            </w:pPr>
            <w:r>
              <w:rPr>
                <w:sz w:val="18"/>
              </w:rPr>
              <w:t>Gain on disposal of assets</w:t>
            </w:r>
          </w:p>
        </w:tc>
        <w:tc>
          <w:tcPr>
            <w:tcW w:w="1461" w:type="dxa"/>
          </w:tcPr>
          <w:p w14:paraId="2D96587E" w14:textId="77777777" w:rsidR="00FA4AA8" w:rsidRDefault="00FA4AA8">
            <w:pPr>
              <w:pStyle w:val="TableParagraph"/>
              <w:rPr>
                <w:sz w:val="20"/>
              </w:rPr>
            </w:pPr>
          </w:p>
          <w:p w14:paraId="7BCDB4A8" w14:textId="77777777" w:rsidR="00FA4AA8" w:rsidRDefault="0015611F">
            <w:pPr>
              <w:pStyle w:val="TableParagraph"/>
              <w:spacing w:before="120"/>
              <w:ind w:left="877"/>
              <w:jc w:val="center"/>
              <w:rPr>
                <w:sz w:val="18"/>
              </w:rPr>
            </w:pPr>
            <w:r>
              <w:rPr>
                <w:sz w:val="18"/>
              </w:rPr>
              <w:t>3</w:t>
            </w:r>
          </w:p>
        </w:tc>
        <w:tc>
          <w:tcPr>
            <w:tcW w:w="1453" w:type="dxa"/>
            <w:tcBorders>
              <w:top w:val="single" w:sz="8" w:space="0" w:color="000000"/>
            </w:tcBorders>
          </w:tcPr>
          <w:p w14:paraId="1D989DE6" w14:textId="77777777" w:rsidR="00FA4AA8" w:rsidRDefault="00FA4AA8">
            <w:pPr>
              <w:pStyle w:val="TableParagraph"/>
              <w:rPr>
                <w:sz w:val="20"/>
              </w:rPr>
            </w:pPr>
          </w:p>
          <w:p w14:paraId="02EE469E" w14:textId="77777777" w:rsidR="00FA4AA8" w:rsidRDefault="0015611F">
            <w:pPr>
              <w:pStyle w:val="TableParagraph"/>
              <w:spacing w:before="120"/>
              <w:ind w:right="245"/>
              <w:jc w:val="right"/>
              <w:rPr>
                <w:b/>
                <w:sz w:val="18"/>
              </w:rPr>
            </w:pPr>
            <w:r>
              <w:rPr>
                <w:b/>
                <w:sz w:val="18"/>
              </w:rPr>
              <w:t>18,216</w:t>
            </w:r>
          </w:p>
        </w:tc>
        <w:tc>
          <w:tcPr>
            <w:tcW w:w="1176" w:type="dxa"/>
            <w:tcBorders>
              <w:top w:val="single" w:sz="8" w:space="0" w:color="000000"/>
            </w:tcBorders>
          </w:tcPr>
          <w:p w14:paraId="0A17C882" w14:textId="77777777" w:rsidR="00FA4AA8" w:rsidRDefault="00FA4AA8">
            <w:pPr>
              <w:pStyle w:val="TableParagraph"/>
              <w:rPr>
                <w:sz w:val="20"/>
              </w:rPr>
            </w:pPr>
          </w:p>
          <w:p w14:paraId="4D73E40B" w14:textId="77777777" w:rsidR="00FA4AA8" w:rsidRDefault="0015611F">
            <w:pPr>
              <w:pStyle w:val="TableParagraph"/>
              <w:spacing w:before="120"/>
              <w:ind w:right="125"/>
              <w:jc w:val="right"/>
              <w:rPr>
                <w:sz w:val="18"/>
              </w:rPr>
            </w:pPr>
            <w:r>
              <w:rPr>
                <w:sz w:val="18"/>
              </w:rPr>
              <w:t>85,596</w:t>
            </w:r>
          </w:p>
        </w:tc>
      </w:tr>
      <w:tr w:rsidR="00FA4AA8" w14:paraId="78389EDF" w14:textId="77777777">
        <w:trPr>
          <w:trHeight w:val="258"/>
        </w:trPr>
        <w:tc>
          <w:tcPr>
            <w:tcW w:w="5910" w:type="dxa"/>
          </w:tcPr>
          <w:p w14:paraId="0FFEC107" w14:textId="77777777" w:rsidR="00FA4AA8" w:rsidRDefault="0015611F">
            <w:pPr>
              <w:pStyle w:val="TableParagraph"/>
              <w:spacing w:before="24"/>
              <w:ind w:left="76"/>
              <w:rPr>
                <w:sz w:val="18"/>
              </w:rPr>
            </w:pPr>
            <w:r>
              <w:rPr>
                <w:sz w:val="18"/>
              </w:rPr>
              <w:t>Loans forgiven by the ultimate parent entity</w:t>
            </w:r>
          </w:p>
        </w:tc>
        <w:tc>
          <w:tcPr>
            <w:tcW w:w="1461" w:type="dxa"/>
          </w:tcPr>
          <w:p w14:paraId="3B3FEC9B" w14:textId="77777777" w:rsidR="00FA4AA8" w:rsidRDefault="00FA4AA8">
            <w:pPr>
              <w:pStyle w:val="TableParagraph"/>
              <w:rPr>
                <w:rFonts w:ascii="Times New Roman"/>
                <w:sz w:val="18"/>
              </w:rPr>
            </w:pPr>
          </w:p>
        </w:tc>
        <w:tc>
          <w:tcPr>
            <w:tcW w:w="1453" w:type="dxa"/>
            <w:tcBorders>
              <w:bottom w:val="single" w:sz="8" w:space="0" w:color="000000"/>
            </w:tcBorders>
          </w:tcPr>
          <w:p w14:paraId="1E64BF97" w14:textId="77777777" w:rsidR="00FA4AA8" w:rsidRDefault="0015611F">
            <w:pPr>
              <w:pStyle w:val="TableParagraph"/>
              <w:spacing w:before="26"/>
              <w:ind w:right="244"/>
              <w:jc w:val="right"/>
              <w:rPr>
                <w:b/>
                <w:sz w:val="18"/>
              </w:rPr>
            </w:pPr>
            <w:r>
              <w:rPr>
                <w:b/>
                <w:sz w:val="18"/>
              </w:rPr>
              <w:t>-</w:t>
            </w:r>
          </w:p>
        </w:tc>
        <w:tc>
          <w:tcPr>
            <w:tcW w:w="1176" w:type="dxa"/>
            <w:tcBorders>
              <w:bottom w:val="single" w:sz="8" w:space="0" w:color="000000"/>
            </w:tcBorders>
          </w:tcPr>
          <w:p w14:paraId="1A16D00F" w14:textId="77777777" w:rsidR="00FA4AA8" w:rsidRDefault="0015611F">
            <w:pPr>
              <w:pStyle w:val="TableParagraph"/>
              <w:spacing w:before="26"/>
              <w:ind w:left="242"/>
              <w:rPr>
                <w:sz w:val="18"/>
              </w:rPr>
            </w:pPr>
            <w:r>
              <w:rPr>
                <w:sz w:val="18"/>
              </w:rPr>
              <w:t>3,935,385</w:t>
            </w:r>
          </w:p>
        </w:tc>
      </w:tr>
      <w:tr w:rsidR="00FA4AA8" w14:paraId="6F479B3F" w14:textId="77777777">
        <w:trPr>
          <w:trHeight w:val="322"/>
        </w:trPr>
        <w:tc>
          <w:tcPr>
            <w:tcW w:w="10000" w:type="dxa"/>
            <w:gridSpan w:val="4"/>
          </w:tcPr>
          <w:p w14:paraId="2F33BF88" w14:textId="77777777" w:rsidR="00FA4AA8" w:rsidRDefault="0015611F">
            <w:pPr>
              <w:pStyle w:val="TableParagraph"/>
              <w:tabs>
                <w:tab w:val="left" w:pos="7369"/>
                <w:tab w:val="left" w:pos="7770"/>
                <w:tab w:val="left" w:pos="8965"/>
              </w:tabs>
              <w:spacing w:before="115" w:line="187" w:lineRule="exact"/>
              <w:ind w:left="76"/>
              <w:rPr>
                <w:sz w:val="18"/>
              </w:rPr>
            </w:pPr>
            <w:r>
              <w:rPr>
                <w:b/>
                <w:sz w:val="18"/>
              </w:rPr>
              <w:t>Total</w:t>
            </w:r>
            <w:r>
              <w:rPr>
                <w:b/>
                <w:spacing w:val="1"/>
                <w:sz w:val="18"/>
              </w:rPr>
              <w:t xml:space="preserve"> </w:t>
            </w:r>
            <w:r>
              <w:rPr>
                <w:b/>
                <w:sz w:val="18"/>
              </w:rPr>
              <w:t>income</w:t>
            </w:r>
            <w:r>
              <w:rPr>
                <w:b/>
                <w:sz w:val="18"/>
              </w:rPr>
              <w:tab/>
            </w:r>
            <w:r>
              <w:rPr>
                <w:b/>
                <w:sz w:val="18"/>
                <w:u w:val="single"/>
              </w:rPr>
              <w:t xml:space="preserve"> </w:t>
            </w:r>
            <w:r>
              <w:rPr>
                <w:b/>
                <w:sz w:val="18"/>
                <w:u w:val="single"/>
              </w:rPr>
              <w:tab/>
              <w:t>5,721,093</w:t>
            </w:r>
            <w:r>
              <w:rPr>
                <w:b/>
                <w:sz w:val="18"/>
                <w:u w:val="single"/>
              </w:rPr>
              <w:tab/>
            </w:r>
            <w:r>
              <w:rPr>
                <w:sz w:val="18"/>
                <w:u w:val="single"/>
              </w:rPr>
              <w:t>13,482,327</w:t>
            </w:r>
          </w:p>
        </w:tc>
      </w:tr>
      <w:tr w:rsidR="00FA4AA8" w14:paraId="217F1A77" w14:textId="77777777">
        <w:trPr>
          <w:trHeight w:val="833"/>
        </w:trPr>
        <w:tc>
          <w:tcPr>
            <w:tcW w:w="5910" w:type="dxa"/>
          </w:tcPr>
          <w:p w14:paraId="291BADBC" w14:textId="77777777" w:rsidR="00FA4AA8" w:rsidRDefault="00FA4AA8">
            <w:pPr>
              <w:pStyle w:val="TableParagraph"/>
              <w:rPr>
                <w:sz w:val="20"/>
              </w:rPr>
            </w:pPr>
          </w:p>
          <w:p w14:paraId="25E4C3DD" w14:textId="77777777" w:rsidR="00FA4AA8" w:rsidRDefault="00FA4AA8">
            <w:pPr>
              <w:pStyle w:val="TableParagraph"/>
              <w:spacing w:before="2"/>
              <w:rPr>
                <w:sz w:val="19"/>
              </w:rPr>
            </w:pPr>
          </w:p>
          <w:p w14:paraId="543AC276" w14:textId="77777777" w:rsidR="00FA4AA8" w:rsidRDefault="0015611F">
            <w:pPr>
              <w:pStyle w:val="TableParagraph"/>
              <w:ind w:left="76"/>
              <w:rPr>
                <w:b/>
                <w:sz w:val="18"/>
              </w:rPr>
            </w:pPr>
            <w:r>
              <w:rPr>
                <w:b/>
                <w:sz w:val="18"/>
              </w:rPr>
              <w:t>Expenses</w:t>
            </w:r>
          </w:p>
        </w:tc>
        <w:tc>
          <w:tcPr>
            <w:tcW w:w="1461" w:type="dxa"/>
          </w:tcPr>
          <w:p w14:paraId="6D430627" w14:textId="77777777" w:rsidR="00FA4AA8" w:rsidRDefault="00FA4AA8">
            <w:pPr>
              <w:pStyle w:val="TableParagraph"/>
              <w:rPr>
                <w:rFonts w:ascii="Times New Roman"/>
                <w:sz w:val="18"/>
              </w:rPr>
            </w:pPr>
          </w:p>
        </w:tc>
        <w:tc>
          <w:tcPr>
            <w:tcW w:w="1453" w:type="dxa"/>
          </w:tcPr>
          <w:p w14:paraId="3F4FE57A" w14:textId="77777777" w:rsidR="00FA4AA8" w:rsidRDefault="00FA4AA8">
            <w:pPr>
              <w:pStyle w:val="TableParagraph"/>
              <w:rPr>
                <w:rFonts w:ascii="Times New Roman"/>
                <w:sz w:val="18"/>
              </w:rPr>
            </w:pPr>
          </w:p>
        </w:tc>
        <w:tc>
          <w:tcPr>
            <w:tcW w:w="1176" w:type="dxa"/>
          </w:tcPr>
          <w:p w14:paraId="772354F4" w14:textId="77777777" w:rsidR="00FA4AA8" w:rsidRDefault="00FA4AA8">
            <w:pPr>
              <w:pStyle w:val="TableParagraph"/>
              <w:rPr>
                <w:rFonts w:ascii="Times New Roman"/>
                <w:sz w:val="18"/>
              </w:rPr>
            </w:pPr>
          </w:p>
        </w:tc>
      </w:tr>
      <w:tr w:rsidR="00FA4AA8" w14:paraId="795829B1" w14:textId="77777777">
        <w:trPr>
          <w:trHeight w:val="409"/>
        </w:trPr>
        <w:tc>
          <w:tcPr>
            <w:tcW w:w="5910" w:type="dxa"/>
          </w:tcPr>
          <w:p w14:paraId="24270A98" w14:textId="77777777" w:rsidR="00FA4AA8" w:rsidRDefault="0015611F">
            <w:pPr>
              <w:pStyle w:val="TableParagraph"/>
              <w:spacing w:before="169"/>
              <w:ind w:left="76"/>
              <w:rPr>
                <w:sz w:val="18"/>
              </w:rPr>
            </w:pPr>
            <w:r>
              <w:rPr>
                <w:sz w:val="18"/>
              </w:rPr>
              <w:t>Employee related expense</w:t>
            </w:r>
          </w:p>
        </w:tc>
        <w:tc>
          <w:tcPr>
            <w:tcW w:w="1461" w:type="dxa"/>
          </w:tcPr>
          <w:p w14:paraId="08CE2803" w14:textId="77777777" w:rsidR="00FA4AA8" w:rsidRDefault="0015611F">
            <w:pPr>
              <w:pStyle w:val="TableParagraph"/>
              <w:spacing w:before="172"/>
              <w:ind w:left="877"/>
              <w:jc w:val="center"/>
              <w:rPr>
                <w:sz w:val="18"/>
              </w:rPr>
            </w:pPr>
            <w:r>
              <w:rPr>
                <w:sz w:val="18"/>
              </w:rPr>
              <w:t>4</w:t>
            </w:r>
          </w:p>
        </w:tc>
        <w:tc>
          <w:tcPr>
            <w:tcW w:w="1453" w:type="dxa"/>
          </w:tcPr>
          <w:p w14:paraId="67E1B6CE" w14:textId="77777777" w:rsidR="00FA4AA8" w:rsidRDefault="0015611F">
            <w:pPr>
              <w:pStyle w:val="TableParagraph"/>
              <w:spacing w:before="172"/>
              <w:ind w:right="184"/>
              <w:jc w:val="right"/>
              <w:rPr>
                <w:b/>
                <w:sz w:val="18"/>
              </w:rPr>
            </w:pPr>
            <w:r>
              <w:rPr>
                <w:b/>
                <w:sz w:val="18"/>
              </w:rPr>
              <w:t>(4,341,768)</w:t>
            </w:r>
          </w:p>
        </w:tc>
        <w:tc>
          <w:tcPr>
            <w:tcW w:w="1176" w:type="dxa"/>
          </w:tcPr>
          <w:p w14:paraId="592EF41F" w14:textId="77777777" w:rsidR="00FA4AA8" w:rsidRDefault="0015611F">
            <w:pPr>
              <w:pStyle w:val="TableParagraph"/>
              <w:spacing w:before="172"/>
              <w:ind w:right="64"/>
              <w:jc w:val="right"/>
              <w:rPr>
                <w:sz w:val="18"/>
              </w:rPr>
            </w:pPr>
            <w:r>
              <w:rPr>
                <w:sz w:val="18"/>
              </w:rPr>
              <w:t>(5,517,944)</w:t>
            </w:r>
          </w:p>
        </w:tc>
      </w:tr>
      <w:tr w:rsidR="00FA4AA8" w14:paraId="4D272C3F" w14:textId="77777777">
        <w:trPr>
          <w:trHeight w:val="264"/>
        </w:trPr>
        <w:tc>
          <w:tcPr>
            <w:tcW w:w="5910" w:type="dxa"/>
          </w:tcPr>
          <w:p w14:paraId="464462BD" w14:textId="77777777" w:rsidR="00FA4AA8" w:rsidRDefault="0015611F">
            <w:pPr>
              <w:pStyle w:val="TableParagraph"/>
              <w:spacing w:before="24"/>
              <w:ind w:left="76"/>
              <w:rPr>
                <w:sz w:val="18"/>
              </w:rPr>
            </w:pPr>
            <w:r>
              <w:rPr>
                <w:sz w:val="18"/>
              </w:rPr>
              <w:t>Raw materials and consumables used</w:t>
            </w:r>
          </w:p>
        </w:tc>
        <w:tc>
          <w:tcPr>
            <w:tcW w:w="1461" w:type="dxa"/>
          </w:tcPr>
          <w:p w14:paraId="488CB4D1" w14:textId="77777777" w:rsidR="00FA4AA8" w:rsidRDefault="00FA4AA8">
            <w:pPr>
              <w:pStyle w:val="TableParagraph"/>
              <w:rPr>
                <w:rFonts w:ascii="Times New Roman"/>
                <w:sz w:val="18"/>
              </w:rPr>
            </w:pPr>
          </w:p>
        </w:tc>
        <w:tc>
          <w:tcPr>
            <w:tcW w:w="1453" w:type="dxa"/>
          </w:tcPr>
          <w:p w14:paraId="59018CB1" w14:textId="77777777" w:rsidR="00FA4AA8" w:rsidRDefault="0015611F">
            <w:pPr>
              <w:pStyle w:val="TableParagraph"/>
              <w:spacing w:before="26"/>
              <w:ind w:right="184"/>
              <w:jc w:val="right"/>
              <w:rPr>
                <w:b/>
                <w:sz w:val="18"/>
              </w:rPr>
            </w:pPr>
            <w:r>
              <w:rPr>
                <w:b/>
                <w:sz w:val="18"/>
              </w:rPr>
              <w:t>(2,227,332)</w:t>
            </w:r>
          </w:p>
        </w:tc>
        <w:tc>
          <w:tcPr>
            <w:tcW w:w="1176" w:type="dxa"/>
          </w:tcPr>
          <w:p w14:paraId="2B7F492E" w14:textId="77777777" w:rsidR="00FA4AA8" w:rsidRDefault="0015611F">
            <w:pPr>
              <w:pStyle w:val="TableParagraph"/>
              <w:spacing w:before="26"/>
              <w:ind w:right="64"/>
              <w:jc w:val="right"/>
              <w:rPr>
                <w:sz w:val="18"/>
              </w:rPr>
            </w:pPr>
            <w:r>
              <w:rPr>
                <w:sz w:val="18"/>
              </w:rPr>
              <w:t>(2,580,142)</w:t>
            </w:r>
          </w:p>
        </w:tc>
      </w:tr>
      <w:tr w:rsidR="00FA4AA8" w14:paraId="3F78966B" w14:textId="77777777">
        <w:trPr>
          <w:trHeight w:val="263"/>
        </w:trPr>
        <w:tc>
          <w:tcPr>
            <w:tcW w:w="5910" w:type="dxa"/>
          </w:tcPr>
          <w:p w14:paraId="72D9521D" w14:textId="77777777" w:rsidR="00FA4AA8" w:rsidRDefault="0015611F">
            <w:pPr>
              <w:pStyle w:val="TableParagraph"/>
              <w:spacing w:before="24"/>
              <w:ind w:left="76"/>
              <w:rPr>
                <w:sz w:val="18"/>
              </w:rPr>
            </w:pPr>
            <w:r>
              <w:rPr>
                <w:sz w:val="18"/>
              </w:rPr>
              <w:t>Occupancy expenses</w:t>
            </w:r>
          </w:p>
        </w:tc>
        <w:tc>
          <w:tcPr>
            <w:tcW w:w="1461" w:type="dxa"/>
          </w:tcPr>
          <w:p w14:paraId="16300B96" w14:textId="77777777" w:rsidR="00FA4AA8" w:rsidRDefault="0015611F">
            <w:pPr>
              <w:pStyle w:val="TableParagraph"/>
              <w:spacing w:before="26"/>
              <w:ind w:left="877"/>
              <w:jc w:val="center"/>
              <w:rPr>
                <w:sz w:val="18"/>
              </w:rPr>
            </w:pPr>
            <w:r>
              <w:rPr>
                <w:sz w:val="18"/>
              </w:rPr>
              <w:t>4</w:t>
            </w:r>
          </w:p>
        </w:tc>
        <w:tc>
          <w:tcPr>
            <w:tcW w:w="1453" w:type="dxa"/>
          </w:tcPr>
          <w:p w14:paraId="4C394671" w14:textId="77777777" w:rsidR="00FA4AA8" w:rsidRDefault="0015611F">
            <w:pPr>
              <w:pStyle w:val="TableParagraph"/>
              <w:spacing w:before="26"/>
              <w:ind w:right="184"/>
              <w:jc w:val="right"/>
              <w:rPr>
                <w:b/>
                <w:sz w:val="18"/>
              </w:rPr>
            </w:pPr>
            <w:r>
              <w:rPr>
                <w:b/>
                <w:sz w:val="18"/>
              </w:rPr>
              <w:t>(189,852)</w:t>
            </w:r>
          </w:p>
        </w:tc>
        <w:tc>
          <w:tcPr>
            <w:tcW w:w="1176" w:type="dxa"/>
          </w:tcPr>
          <w:p w14:paraId="4C504BCB" w14:textId="77777777" w:rsidR="00FA4AA8" w:rsidRDefault="0015611F">
            <w:pPr>
              <w:pStyle w:val="TableParagraph"/>
              <w:spacing w:before="26"/>
              <w:ind w:right="64"/>
              <w:jc w:val="right"/>
              <w:rPr>
                <w:sz w:val="18"/>
              </w:rPr>
            </w:pPr>
            <w:r>
              <w:rPr>
                <w:sz w:val="18"/>
              </w:rPr>
              <w:t>(237,656)</w:t>
            </w:r>
          </w:p>
        </w:tc>
      </w:tr>
      <w:tr w:rsidR="00FA4AA8" w14:paraId="24530F9B" w14:textId="77777777">
        <w:trPr>
          <w:trHeight w:val="264"/>
        </w:trPr>
        <w:tc>
          <w:tcPr>
            <w:tcW w:w="5910" w:type="dxa"/>
          </w:tcPr>
          <w:p w14:paraId="102F6163" w14:textId="77777777" w:rsidR="00FA4AA8" w:rsidRDefault="0015611F">
            <w:pPr>
              <w:pStyle w:val="TableParagraph"/>
              <w:spacing w:before="24"/>
              <w:ind w:left="76"/>
              <w:rPr>
                <w:sz w:val="18"/>
              </w:rPr>
            </w:pPr>
            <w:r>
              <w:rPr>
                <w:sz w:val="18"/>
              </w:rPr>
              <w:t>Finance costs</w:t>
            </w:r>
          </w:p>
        </w:tc>
        <w:tc>
          <w:tcPr>
            <w:tcW w:w="1461" w:type="dxa"/>
          </w:tcPr>
          <w:p w14:paraId="04B7D6A1" w14:textId="77777777" w:rsidR="00FA4AA8" w:rsidRDefault="00FA4AA8">
            <w:pPr>
              <w:pStyle w:val="TableParagraph"/>
              <w:rPr>
                <w:rFonts w:ascii="Times New Roman"/>
                <w:sz w:val="18"/>
              </w:rPr>
            </w:pPr>
          </w:p>
        </w:tc>
        <w:tc>
          <w:tcPr>
            <w:tcW w:w="1453" w:type="dxa"/>
          </w:tcPr>
          <w:p w14:paraId="1BB192CA" w14:textId="77777777" w:rsidR="00FA4AA8" w:rsidRDefault="0015611F">
            <w:pPr>
              <w:pStyle w:val="TableParagraph"/>
              <w:spacing w:before="26"/>
              <w:ind w:right="184"/>
              <w:jc w:val="right"/>
              <w:rPr>
                <w:b/>
                <w:sz w:val="18"/>
              </w:rPr>
            </w:pPr>
            <w:r>
              <w:rPr>
                <w:b/>
                <w:sz w:val="18"/>
              </w:rPr>
              <w:t>(63,306)</w:t>
            </w:r>
          </w:p>
        </w:tc>
        <w:tc>
          <w:tcPr>
            <w:tcW w:w="1176" w:type="dxa"/>
          </w:tcPr>
          <w:p w14:paraId="065920FC" w14:textId="77777777" w:rsidR="00FA4AA8" w:rsidRDefault="0015611F">
            <w:pPr>
              <w:pStyle w:val="TableParagraph"/>
              <w:spacing w:before="26"/>
              <w:ind w:right="64"/>
              <w:jc w:val="right"/>
              <w:rPr>
                <w:sz w:val="18"/>
              </w:rPr>
            </w:pPr>
            <w:r>
              <w:rPr>
                <w:sz w:val="18"/>
              </w:rPr>
              <w:t>(176,975)</w:t>
            </w:r>
          </w:p>
        </w:tc>
      </w:tr>
      <w:tr w:rsidR="00FA4AA8" w14:paraId="2FB8CDD3" w14:textId="77777777">
        <w:trPr>
          <w:trHeight w:val="264"/>
        </w:trPr>
        <w:tc>
          <w:tcPr>
            <w:tcW w:w="5910" w:type="dxa"/>
          </w:tcPr>
          <w:p w14:paraId="218A7FA8" w14:textId="77777777" w:rsidR="00FA4AA8" w:rsidRDefault="0015611F">
            <w:pPr>
              <w:pStyle w:val="TableParagraph"/>
              <w:spacing w:before="24"/>
              <w:ind w:left="76"/>
              <w:rPr>
                <w:sz w:val="18"/>
              </w:rPr>
            </w:pPr>
            <w:r>
              <w:rPr>
                <w:sz w:val="18"/>
              </w:rPr>
              <w:t>Minor equipment</w:t>
            </w:r>
          </w:p>
        </w:tc>
        <w:tc>
          <w:tcPr>
            <w:tcW w:w="1461" w:type="dxa"/>
          </w:tcPr>
          <w:p w14:paraId="59501B68" w14:textId="77777777" w:rsidR="00FA4AA8" w:rsidRDefault="00FA4AA8">
            <w:pPr>
              <w:pStyle w:val="TableParagraph"/>
              <w:rPr>
                <w:rFonts w:ascii="Times New Roman"/>
                <w:sz w:val="18"/>
              </w:rPr>
            </w:pPr>
          </w:p>
        </w:tc>
        <w:tc>
          <w:tcPr>
            <w:tcW w:w="1453" w:type="dxa"/>
          </w:tcPr>
          <w:p w14:paraId="71385AA4" w14:textId="77777777" w:rsidR="00FA4AA8" w:rsidRDefault="0015611F">
            <w:pPr>
              <w:pStyle w:val="TableParagraph"/>
              <w:spacing w:before="26"/>
              <w:ind w:right="184"/>
              <w:jc w:val="right"/>
              <w:rPr>
                <w:b/>
                <w:sz w:val="18"/>
              </w:rPr>
            </w:pPr>
            <w:r>
              <w:rPr>
                <w:b/>
                <w:sz w:val="18"/>
              </w:rPr>
              <w:t>(23,696)</w:t>
            </w:r>
          </w:p>
        </w:tc>
        <w:tc>
          <w:tcPr>
            <w:tcW w:w="1176" w:type="dxa"/>
          </w:tcPr>
          <w:p w14:paraId="19FA3B11" w14:textId="77777777" w:rsidR="00FA4AA8" w:rsidRDefault="0015611F">
            <w:pPr>
              <w:pStyle w:val="TableParagraph"/>
              <w:spacing w:before="26"/>
              <w:ind w:right="64"/>
              <w:jc w:val="right"/>
              <w:rPr>
                <w:sz w:val="18"/>
              </w:rPr>
            </w:pPr>
            <w:r>
              <w:rPr>
                <w:sz w:val="18"/>
              </w:rPr>
              <w:t>(76,935)</w:t>
            </w:r>
          </w:p>
        </w:tc>
      </w:tr>
      <w:tr w:rsidR="00FA4AA8" w14:paraId="6E4702B0" w14:textId="77777777">
        <w:trPr>
          <w:trHeight w:val="263"/>
        </w:trPr>
        <w:tc>
          <w:tcPr>
            <w:tcW w:w="5910" w:type="dxa"/>
          </w:tcPr>
          <w:p w14:paraId="5FBCD88A" w14:textId="77777777" w:rsidR="00FA4AA8" w:rsidRDefault="0015611F">
            <w:pPr>
              <w:pStyle w:val="TableParagraph"/>
              <w:spacing w:before="24"/>
              <w:ind w:left="76"/>
              <w:rPr>
                <w:sz w:val="18"/>
              </w:rPr>
            </w:pPr>
            <w:r>
              <w:rPr>
                <w:sz w:val="18"/>
              </w:rPr>
              <w:t>Depreciation and amortisation expense</w:t>
            </w:r>
          </w:p>
        </w:tc>
        <w:tc>
          <w:tcPr>
            <w:tcW w:w="1461" w:type="dxa"/>
          </w:tcPr>
          <w:p w14:paraId="6ACC0B82" w14:textId="77777777" w:rsidR="00FA4AA8" w:rsidRDefault="0015611F">
            <w:pPr>
              <w:pStyle w:val="TableParagraph"/>
              <w:spacing w:before="26"/>
              <w:ind w:left="877"/>
              <w:jc w:val="center"/>
              <w:rPr>
                <w:sz w:val="18"/>
              </w:rPr>
            </w:pPr>
            <w:r>
              <w:rPr>
                <w:sz w:val="18"/>
              </w:rPr>
              <w:t>4</w:t>
            </w:r>
          </w:p>
        </w:tc>
        <w:tc>
          <w:tcPr>
            <w:tcW w:w="1453" w:type="dxa"/>
          </w:tcPr>
          <w:p w14:paraId="30E27137" w14:textId="77777777" w:rsidR="00FA4AA8" w:rsidRDefault="0015611F">
            <w:pPr>
              <w:pStyle w:val="TableParagraph"/>
              <w:spacing w:before="26"/>
              <w:ind w:right="184"/>
              <w:jc w:val="right"/>
              <w:rPr>
                <w:b/>
                <w:sz w:val="18"/>
              </w:rPr>
            </w:pPr>
            <w:r>
              <w:rPr>
                <w:b/>
                <w:sz w:val="18"/>
              </w:rPr>
              <w:t>(10,532)</w:t>
            </w:r>
          </w:p>
        </w:tc>
        <w:tc>
          <w:tcPr>
            <w:tcW w:w="1176" w:type="dxa"/>
          </w:tcPr>
          <w:p w14:paraId="7A1E0F89" w14:textId="77777777" w:rsidR="00FA4AA8" w:rsidRDefault="0015611F">
            <w:pPr>
              <w:pStyle w:val="TableParagraph"/>
              <w:spacing w:before="26"/>
              <w:ind w:right="64"/>
              <w:jc w:val="right"/>
              <w:rPr>
                <w:sz w:val="18"/>
              </w:rPr>
            </w:pPr>
            <w:r>
              <w:rPr>
                <w:sz w:val="18"/>
              </w:rPr>
              <w:t>(20,059)</w:t>
            </w:r>
          </w:p>
        </w:tc>
      </w:tr>
      <w:tr w:rsidR="00FA4AA8" w14:paraId="155213D5" w14:textId="77777777">
        <w:trPr>
          <w:trHeight w:val="278"/>
        </w:trPr>
        <w:tc>
          <w:tcPr>
            <w:tcW w:w="5910" w:type="dxa"/>
          </w:tcPr>
          <w:p w14:paraId="353F06F6" w14:textId="77777777" w:rsidR="00FA4AA8" w:rsidRDefault="0015611F">
            <w:pPr>
              <w:pStyle w:val="TableParagraph"/>
              <w:spacing w:before="24"/>
              <w:ind w:left="76"/>
              <w:rPr>
                <w:sz w:val="18"/>
              </w:rPr>
            </w:pPr>
            <w:r>
              <w:rPr>
                <w:sz w:val="18"/>
              </w:rPr>
              <w:t>Other expenses</w:t>
            </w:r>
          </w:p>
        </w:tc>
        <w:tc>
          <w:tcPr>
            <w:tcW w:w="1461" w:type="dxa"/>
          </w:tcPr>
          <w:p w14:paraId="4DFAC9EF" w14:textId="77777777" w:rsidR="00FA4AA8" w:rsidRDefault="0015611F">
            <w:pPr>
              <w:pStyle w:val="TableParagraph"/>
              <w:spacing w:before="26"/>
              <w:ind w:left="877"/>
              <w:jc w:val="center"/>
              <w:rPr>
                <w:sz w:val="18"/>
              </w:rPr>
            </w:pPr>
            <w:r>
              <w:rPr>
                <w:sz w:val="18"/>
              </w:rPr>
              <w:t>4</w:t>
            </w:r>
          </w:p>
        </w:tc>
        <w:tc>
          <w:tcPr>
            <w:tcW w:w="1453" w:type="dxa"/>
          </w:tcPr>
          <w:p w14:paraId="2921A301" w14:textId="77777777" w:rsidR="00FA4AA8" w:rsidRDefault="0015611F">
            <w:pPr>
              <w:pStyle w:val="TableParagraph"/>
              <w:spacing w:before="26"/>
              <w:ind w:right="184"/>
              <w:jc w:val="right"/>
              <w:rPr>
                <w:b/>
                <w:sz w:val="18"/>
              </w:rPr>
            </w:pPr>
            <w:r>
              <w:rPr>
                <w:b/>
                <w:sz w:val="18"/>
              </w:rPr>
              <w:t>(597,369)</w:t>
            </w:r>
          </w:p>
        </w:tc>
        <w:tc>
          <w:tcPr>
            <w:tcW w:w="1176" w:type="dxa"/>
          </w:tcPr>
          <w:p w14:paraId="0A77144A" w14:textId="77777777" w:rsidR="00FA4AA8" w:rsidRDefault="0015611F">
            <w:pPr>
              <w:pStyle w:val="TableParagraph"/>
              <w:spacing w:before="26"/>
              <w:ind w:right="64"/>
              <w:jc w:val="right"/>
              <w:rPr>
                <w:sz w:val="18"/>
              </w:rPr>
            </w:pPr>
            <w:r>
              <w:rPr>
                <w:sz w:val="18"/>
              </w:rPr>
              <w:t>(1,763,202)</w:t>
            </w:r>
          </w:p>
        </w:tc>
      </w:tr>
      <w:tr w:rsidR="00FA4AA8" w14:paraId="72964232" w14:textId="77777777">
        <w:trPr>
          <w:trHeight w:val="322"/>
        </w:trPr>
        <w:tc>
          <w:tcPr>
            <w:tcW w:w="10000" w:type="dxa"/>
            <w:gridSpan w:val="4"/>
          </w:tcPr>
          <w:p w14:paraId="08CF87A8" w14:textId="77777777" w:rsidR="00FA4AA8" w:rsidRDefault="007E2441">
            <w:pPr>
              <w:pStyle w:val="TableParagraph"/>
              <w:spacing w:line="20" w:lineRule="exact"/>
              <w:ind w:left="7368" w:right="-44"/>
              <w:rPr>
                <w:sz w:val="2"/>
              </w:rPr>
            </w:pPr>
            <w:r>
              <w:rPr>
                <w:noProof/>
                <w:sz w:val="2"/>
                <w:lang w:val="en-AU" w:eastAsia="en-AU"/>
              </w:rPr>
              <mc:AlternateContent>
                <mc:Choice Requires="wpg">
                  <w:drawing>
                    <wp:inline distT="0" distB="0" distL="0" distR="0" wp14:anchorId="4BF210C2" wp14:editId="2079BD4B">
                      <wp:extent cx="1645920" cy="12700"/>
                      <wp:effectExtent l="9525" t="9525" r="11430" b="6350"/>
                      <wp:docPr id="1337" name="Group 1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5920" cy="12700"/>
                                <a:chOff x="0" y="0"/>
                                <a:chExt cx="2592" cy="20"/>
                              </a:xfrm>
                            </wpg:grpSpPr>
                            <wps:wsp>
                              <wps:cNvPr id="1338" name="Line 1119"/>
                              <wps:cNvCnPr>
                                <a:cxnSpLocks noChangeShapeType="1"/>
                              </wps:cNvCnPr>
                              <wps:spPr bwMode="auto">
                                <a:xfrm>
                                  <a:off x="0" y="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339" name="Line 1118"/>
                              <wps:cNvCnPr>
                                <a:cxnSpLocks noChangeShapeType="1"/>
                              </wps:cNvCnPr>
                              <wps:spPr bwMode="auto">
                                <a:xfrm>
                                  <a:off x="0" y="4"/>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340" name="Line 1117"/>
                              <wps:cNvCnPr>
                                <a:cxnSpLocks noChangeShapeType="1"/>
                              </wps:cNvCnPr>
                              <wps:spPr bwMode="auto">
                                <a:xfrm>
                                  <a:off x="0" y="6"/>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341" name="Line 1116"/>
                              <wps:cNvCnPr>
                                <a:cxnSpLocks noChangeShapeType="1"/>
                              </wps:cNvCnPr>
                              <wps:spPr bwMode="auto">
                                <a:xfrm>
                                  <a:off x="0" y="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342" name="Line 1115"/>
                              <wps:cNvCnPr>
                                <a:cxnSpLocks noChangeShapeType="1"/>
                              </wps:cNvCnPr>
                              <wps:spPr bwMode="auto">
                                <a:xfrm>
                                  <a:off x="0" y="1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343" name="Line 1114"/>
                              <wps:cNvCnPr>
                                <a:cxnSpLocks noChangeShapeType="1"/>
                              </wps:cNvCnPr>
                              <wps:spPr bwMode="auto">
                                <a:xfrm>
                                  <a:off x="0" y="1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344" name="Line 1113"/>
                              <wps:cNvCnPr>
                                <a:cxnSpLocks noChangeShapeType="1"/>
                              </wps:cNvCnPr>
                              <wps:spPr bwMode="auto">
                                <a:xfrm>
                                  <a:off x="0" y="16"/>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345" name="Line 1112"/>
                              <wps:cNvCnPr>
                                <a:cxnSpLocks noChangeShapeType="1"/>
                              </wps:cNvCnPr>
                              <wps:spPr bwMode="auto">
                                <a:xfrm>
                                  <a:off x="0" y="1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346" name="Line 1111"/>
                              <wps:cNvCnPr>
                                <a:cxnSpLocks noChangeShapeType="1"/>
                              </wps:cNvCnPr>
                              <wps:spPr bwMode="auto">
                                <a:xfrm>
                                  <a:off x="1296" y="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347" name="Line 1110"/>
                              <wps:cNvCnPr>
                                <a:cxnSpLocks noChangeShapeType="1"/>
                              </wps:cNvCnPr>
                              <wps:spPr bwMode="auto">
                                <a:xfrm>
                                  <a:off x="1296" y="4"/>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348" name="Line 1109"/>
                              <wps:cNvCnPr>
                                <a:cxnSpLocks noChangeShapeType="1"/>
                              </wps:cNvCnPr>
                              <wps:spPr bwMode="auto">
                                <a:xfrm>
                                  <a:off x="1296" y="6"/>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349" name="Line 1108"/>
                              <wps:cNvCnPr>
                                <a:cxnSpLocks noChangeShapeType="1"/>
                              </wps:cNvCnPr>
                              <wps:spPr bwMode="auto">
                                <a:xfrm>
                                  <a:off x="1296" y="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350" name="Line 1107"/>
                              <wps:cNvCnPr>
                                <a:cxnSpLocks noChangeShapeType="1"/>
                              </wps:cNvCnPr>
                              <wps:spPr bwMode="auto">
                                <a:xfrm>
                                  <a:off x="1296" y="1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351" name="Line 1106"/>
                              <wps:cNvCnPr>
                                <a:cxnSpLocks noChangeShapeType="1"/>
                              </wps:cNvCnPr>
                              <wps:spPr bwMode="auto">
                                <a:xfrm>
                                  <a:off x="1296" y="1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352" name="Line 1105"/>
                              <wps:cNvCnPr>
                                <a:cxnSpLocks noChangeShapeType="1"/>
                              </wps:cNvCnPr>
                              <wps:spPr bwMode="auto">
                                <a:xfrm>
                                  <a:off x="1296" y="16"/>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353" name="Line 1104"/>
                              <wps:cNvCnPr>
                                <a:cxnSpLocks noChangeShapeType="1"/>
                              </wps:cNvCnPr>
                              <wps:spPr bwMode="auto">
                                <a:xfrm>
                                  <a:off x="1296" y="1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B0CB9A3" id="Group 1103" o:spid="_x0000_s1026" style="width:129.6pt;height:1pt;mso-position-horizontal-relative:char;mso-position-vertical-relative:line" coordsize="259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">
                      <v:line id="Line 1119" o:spid="_x0000_s1027" style="position:absolute;visibility:visible;mso-wrap-style:square" from="0,1" to="12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" strokeweight=".12pt"/>
                      <v:line id="Line 1118" o:spid="_x0000_s1028" style="position:absolute;visibility:visible;mso-wrap-style:square" from="0,4" to="12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" strokeweight=".12pt"/>
                      <v:line id="Line 1117" o:spid="_x0000_s1029" style="position:absolute;visibility:visible;mso-wrap-style:square" from="0,6" to="12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" strokeweight=".12pt"/>
                      <v:line id="Line 1116" o:spid="_x0000_s1030" style="position:absolute;visibility:visible;mso-wrap-style:square" from="0,8" to="12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" strokeweight=".12pt"/>
                      <v:line id="Line 1115" o:spid="_x0000_s1031" style="position:absolute;visibility:visible;mso-wrap-style:square" from="0,11" to="12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" strokeweight=".12pt"/>
                      <v:line id="Line 1114" o:spid="_x0000_s1032" style="position:absolute;visibility:visible;mso-wrap-style:square" from="0,13" to="129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" strokeweight=".12pt"/>
                      <v:line id="Line 1113" o:spid="_x0000_s1033" style="position:absolute;visibility:visible;mso-wrap-style:square" from="0,16" to="129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" strokeweight=".12pt"/>
                      <v:line id="Line 1112" o:spid="_x0000_s1034" style="position:absolute;visibility:visible;mso-wrap-style:square" from="0,18" to="129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" strokeweight=".12pt"/>
                      <v:line id="Line 1111" o:spid="_x0000_s1035" style="position:absolute;visibility:visible;mso-wrap-style:square" from="1296,1" to="25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" strokeweight=".12pt"/>
                      <v:line id="Line 1110" o:spid="_x0000_s1036" style="position:absolute;visibility:visible;mso-wrap-style:square" from="1296,4" to="25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" strokeweight=".12pt"/>
                      <v:line id="Line 1109" o:spid="_x0000_s1037" style="position:absolute;visibility:visible;mso-wrap-style:square" from="1296,6" to="25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" strokeweight=".12pt"/>
                      <v:line id="Line 1108" o:spid="_x0000_s1038" style="position:absolute;visibility:visible;mso-wrap-style:square" from="1296,8" to="25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" strokeweight=".12pt"/>
                      <v:line id="Line 1107" o:spid="_x0000_s1039" style="position:absolute;visibility:visible;mso-wrap-style:square" from="1296,11" to="259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" strokeweight=".12pt"/>
                      <v:line id="Line 1106" o:spid="_x0000_s1040" style="position:absolute;visibility:visible;mso-wrap-style:square" from="1296,13" to="259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" strokeweight=".12pt"/>
                      <v:line id="Line 1105" o:spid="_x0000_s1041" style="position:absolute;visibility:visible;mso-wrap-style:square" from="1296,16" to="259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" strokeweight=".12pt"/>
                      <v:line id="Line 1104" o:spid="_x0000_s1042" style="position:absolute;visibility:visible;mso-wrap-style:square" from="1296,18" to="259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" strokeweight=".12pt"/>
                      <w10:anchorlock/>
                    </v:group>
                  </w:pict>
                </mc:Fallback>
              </mc:AlternateContent>
            </w:r>
          </w:p>
          <w:p w14:paraId="1C93F121" w14:textId="77777777" w:rsidR="00FA4AA8" w:rsidRDefault="0015611F">
            <w:pPr>
              <w:pStyle w:val="TableParagraph"/>
              <w:tabs>
                <w:tab w:val="left" w:pos="7369"/>
                <w:tab w:val="left" w:pos="7710"/>
                <w:tab w:val="left" w:pos="8905"/>
              </w:tabs>
              <w:spacing w:before="95" w:line="187" w:lineRule="exact"/>
              <w:ind w:left="76"/>
              <w:rPr>
                <w:sz w:val="18"/>
              </w:rPr>
            </w:pPr>
            <w:r>
              <w:rPr>
                <w:b/>
                <w:sz w:val="18"/>
              </w:rPr>
              <w:t>Total</w:t>
            </w:r>
            <w:r>
              <w:rPr>
                <w:b/>
                <w:spacing w:val="1"/>
                <w:sz w:val="18"/>
              </w:rPr>
              <w:t xml:space="preserve"> </w:t>
            </w:r>
            <w:r>
              <w:rPr>
                <w:b/>
                <w:sz w:val="18"/>
              </w:rPr>
              <w:t>expenses</w:t>
            </w:r>
            <w:r>
              <w:rPr>
                <w:b/>
                <w:sz w:val="18"/>
              </w:rPr>
              <w:tab/>
            </w:r>
            <w:r>
              <w:rPr>
                <w:b/>
                <w:sz w:val="18"/>
                <w:u w:val="single"/>
              </w:rPr>
              <w:t xml:space="preserve"> </w:t>
            </w:r>
            <w:r>
              <w:rPr>
                <w:b/>
                <w:sz w:val="18"/>
                <w:u w:val="single"/>
              </w:rPr>
              <w:tab/>
              <w:t>(7,453,855)</w:t>
            </w:r>
            <w:r>
              <w:rPr>
                <w:b/>
                <w:sz w:val="18"/>
                <w:u w:val="single"/>
              </w:rPr>
              <w:tab/>
            </w:r>
            <w:r>
              <w:rPr>
                <w:sz w:val="18"/>
                <w:u w:val="single"/>
              </w:rPr>
              <w:t>(10,372,913)</w:t>
            </w:r>
          </w:p>
        </w:tc>
      </w:tr>
      <w:tr w:rsidR="00FA4AA8" w14:paraId="3D920E57" w14:textId="77777777">
        <w:trPr>
          <w:trHeight w:val="334"/>
        </w:trPr>
        <w:tc>
          <w:tcPr>
            <w:tcW w:w="7371" w:type="dxa"/>
            <w:gridSpan w:val="2"/>
          </w:tcPr>
          <w:p w14:paraId="097675BF" w14:textId="77777777" w:rsidR="00FA4AA8" w:rsidRDefault="0015611F">
            <w:pPr>
              <w:pStyle w:val="TableParagraph"/>
              <w:spacing w:before="131" w:line="183" w:lineRule="exact"/>
              <w:ind w:left="76"/>
              <w:rPr>
                <w:b/>
                <w:sz w:val="18"/>
              </w:rPr>
            </w:pPr>
            <w:r>
              <w:rPr>
                <w:b/>
                <w:sz w:val="18"/>
              </w:rPr>
              <w:t>Surplus / (Deficit) for the year</w:t>
            </w:r>
          </w:p>
        </w:tc>
        <w:tc>
          <w:tcPr>
            <w:tcW w:w="1453" w:type="dxa"/>
            <w:tcBorders>
              <w:bottom w:val="single" w:sz="8" w:space="0" w:color="000000"/>
            </w:tcBorders>
          </w:tcPr>
          <w:p w14:paraId="208FE459" w14:textId="77777777" w:rsidR="00FA4AA8" w:rsidRDefault="0015611F">
            <w:pPr>
              <w:pStyle w:val="TableParagraph"/>
              <w:spacing w:before="131" w:line="183" w:lineRule="exact"/>
              <w:ind w:right="184"/>
              <w:jc w:val="right"/>
              <w:rPr>
                <w:b/>
                <w:sz w:val="18"/>
              </w:rPr>
            </w:pPr>
            <w:r>
              <w:rPr>
                <w:b/>
                <w:sz w:val="18"/>
              </w:rPr>
              <w:t>(1,732,762)</w:t>
            </w:r>
          </w:p>
        </w:tc>
        <w:tc>
          <w:tcPr>
            <w:tcW w:w="1176" w:type="dxa"/>
            <w:tcBorders>
              <w:bottom w:val="single" w:sz="8" w:space="0" w:color="000000"/>
            </w:tcBorders>
          </w:tcPr>
          <w:p w14:paraId="4B37FA81" w14:textId="77777777" w:rsidR="00FA4AA8" w:rsidRDefault="0015611F">
            <w:pPr>
              <w:pStyle w:val="TableParagraph"/>
              <w:spacing w:before="131" w:line="183" w:lineRule="exact"/>
              <w:ind w:left="242"/>
              <w:rPr>
                <w:sz w:val="18"/>
              </w:rPr>
            </w:pPr>
            <w:r>
              <w:rPr>
                <w:sz w:val="18"/>
              </w:rPr>
              <w:t>3,109,414</w:t>
            </w:r>
          </w:p>
        </w:tc>
      </w:tr>
      <w:tr w:rsidR="00FA4AA8" w14:paraId="29A86ACF" w14:textId="77777777">
        <w:trPr>
          <w:trHeight w:val="320"/>
        </w:trPr>
        <w:tc>
          <w:tcPr>
            <w:tcW w:w="7371" w:type="dxa"/>
            <w:gridSpan w:val="2"/>
          </w:tcPr>
          <w:p w14:paraId="273CF387" w14:textId="77777777" w:rsidR="00FA4AA8" w:rsidRDefault="0015611F">
            <w:pPr>
              <w:pStyle w:val="TableParagraph"/>
              <w:spacing w:before="115" w:line="185" w:lineRule="exact"/>
              <w:ind w:left="76"/>
              <w:rPr>
                <w:b/>
                <w:sz w:val="18"/>
              </w:rPr>
            </w:pPr>
            <w:r>
              <w:rPr>
                <w:b/>
                <w:sz w:val="18"/>
              </w:rPr>
              <w:t>Total comprehensive income for the year</w:t>
            </w:r>
          </w:p>
        </w:tc>
        <w:tc>
          <w:tcPr>
            <w:tcW w:w="1453" w:type="dxa"/>
            <w:tcBorders>
              <w:top w:val="single" w:sz="8" w:space="0" w:color="000000"/>
              <w:bottom w:val="double" w:sz="2" w:space="0" w:color="000000"/>
            </w:tcBorders>
          </w:tcPr>
          <w:p w14:paraId="6857464D" w14:textId="77777777" w:rsidR="00FA4AA8" w:rsidRDefault="0015611F">
            <w:pPr>
              <w:pStyle w:val="TableParagraph"/>
              <w:spacing w:before="115" w:line="185" w:lineRule="exact"/>
              <w:ind w:right="184"/>
              <w:jc w:val="right"/>
              <w:rPr>
                <w:b/>
                <w:sz w:val="18"/>
              </w:rPr>
            </w:pPr>
            <w:r>
              <w:rPr>
                <w:b/>
                <w:sz w:val="18"/>
              </w:rPr>
              <w:t>(1,732,762)</w:t>
            </w:r>
          </w:p>
        </w:tc>
        <w:tc>
          <w:tcPr>
            <w:tcW w:w="1176" w:type="dxa"/>
            <w:tcBorders>
              <w:top w:val="single" w:sz="8" w:space="0" w:color="000000"/>
              <w:bottom w:val="double" w:sz="2" w:space="0" w:color="000000"/>
            </w:tcBorders>
          </w:tcPr>
          <w:p w14:paraId="7730E404" w14:textId="77777777" w:rsidR="00FA4AA8" w:rsidRDefault="0015611F">
            <w:pPr>
              <w:pStyle w:val="TableParagraph"/>
              <w:spacing w:before="115" w:line="185" w:lineRule="exact"/>
              <w:ind w:left="242"/>
              <w:rPr>
                <w:sz w:val="18"/>
              </w:rPr>
            </w:pPr>
            <w:r>
              <w:rPr>
                <w:sz w:val="18"/>
              </w:rPr>
              <w:t>3,109,414</w:t>
            </w:r>
          </w:p>
        </w:tc>
      </w:tr>
      <w:tr w:rsidR="00FA4AA8" w14:paraId="2D3108FC" w14:textId="77777777">
        <w:trPr>
          <w:trHeight w:val="908"/>
        </w:trPr>
        <w:tc>
          <w:tcPr>
            <w:tcW w:w="7371" w:type="dxa"/>
            <w:gridSpan w:val="2"/>
          </w:tcPr>
          <w:p w14:paraId="3D165CB1" w14:textId="77777777" w:rsidR="00FA4AA8" w:rsidRDefault="00FA4AA8">
            <w:pPr>
              <w:pStyle w:val="TableParagraph"/>
              <w:rPr>
                <w:sz w:val="20"/>
              </w:rPr>
            </w:pPr>
          </w:p>
          <w:p w14:paraId="1DEED5CF" w14:textId="77777777" w:rsidR="00FA4AA8" w:rsidRDefault="00FA4AA8">
            <w:pPr>
              <w:pStyle w:val="TableParagraph"/>
              <w:spacing w:before="10"/>
              <w:rPr>
                <w:sz w:val="17"/>
              </w:rPr>
            </w:pPr>
          </w:p>
          <w:p w14:paraId="6E8D2210" w14:textId="77777777" w:rsidR="00FA4AA8" w:rsidRDefault="0015611F">
            <w:pPr>
              <w:pStyle w:val="TableParagraph"/>
              <w:ind w:left="76"/>
              <w:rPr>
                <w:b/>
                <w:sz w:val="18"/>
              </w:rPr>
            </w:pPr>
            <w:r>
              <w:rPr>
                <w:b/>
                <w:sz w:val="18"/>
              </w:rPr>
              <w:t>Comprehensive income for the year attributable to:</w:t>
            </w:r>
          </w:p>
          <w:p w14:paraId="3760C509" w14:textId="77777777" w:rsidR="00FA4AA8" w:rsidRDefault="0015611F">
            <w:pPr>
              <w:pStyle w:val="TableParagraph"/>
              <w:spacing w:before="26"/>
              <w:ind w:left="76"/>
              <w:rPr>
                <w:sz w:val="18"/>
              </w:rPr>
            </w:pPr>
            <w:r>
              <w:rPr>
                <w:sz w:val="18"/>
              </w:rPr>
              <w:t>Non-controlling interests</w:t>
            </w:r>
          </w:p>
        </w:tc>
        <w:tc>
          <w:tcPr>
            <w:tcW w:w="1453" w:type="dxa"/>
            <w:tcBorders>
              <w:top w:val="double" w:sz="2" w:space="0" w:color="000000"/>
            </w:tcBorders>
          </w:tcPr>
          <w:p w14:paraId="1673C29D" w14:textId="77777777" w:rsidR="00FA4AA8" w:rsidRDefault="00FA4AA8">
            <w:pPr>
              <w:pStyle w:val="TableParagraph"/>
              <w:rPr>
                <w:sz w:val="20"/>
              </w:rPr>
            </w:pPr>
          </w:p>
          <w:p w14:paraId="71FDBA6D" w14:textId="77777777" w:rsidR="00FA4AA8" w:rsidRDefault="00FA4AA8">
            <w:pPr>
              <w:pStyle w:val="TableParagraph"/>
              <w:rPr>
                <w:sz w:val="20"/>
              </w:rPr>
            </w:pPr>
          </w:p>
          <w:p w14:paraId="2DE5ED0C" w14:textId="77777777" w:rsidR="00FA4AA8" w:rsidRDefault="00FA4AA8">
            <w:pPr>
              <w:pStyle w:val="TableParagraph"/>
              <w:spacing w:before="4"/>
              <w:rPr>
                <w:sz w:val="18"/>
              </w:rPr>
            </w:pPr>
          </w:p>
          <w:p w14:paraId="68C3AC2A" w14:textId="77777777" w:rsidR="00FA4AA8" w:rsidRDefault="0015611F">
            <w:pPr>
              <w:pStyle w:val="TableParagraph"/>
              <w:ind w:right="244"/>
              <w:jc w:val="right"/>
              <w:rPr>
                <w:b/>
                <w:sz w:val="18"/>
              </w:rPr>
            </w:pPr>
            <w:r>
              <w:rPr>
                <w:b/>
                <w:sz w:val="18"/>
              </w:rPr>
              <w:t>-</w:t>
            </w:r>
          </w:p>
        </w:tc>
        <w:tc>
          <w:tcPr>
            <w:tcW w:w="1176" w:type="dxa"/>
            <w:tcBorders>
              <w:top w:val="double" w:sz="2" w:space="0" w:color="000000"/>
            </w:tcBorders>
          </w:tcPr>
          <w:p w14:paraId="35B0BA0D" w14:textId="77777777" w:rsidR="00FA4AA8" w:rsidRDefault="00FA4AA8">
            <w:pPr>
              <w:pStyle w:val="TableParagraph"/>
              <w:rPr>
                <w:sz w:val="20"/>
              </w:rPr>
            </w:pPr>
          </w:p>
          <w:p w14:paraId="57DE42B0" w14:textId="77777777" w:rsidR="00FA4AA8" w:rsidRDefault="00FA4AA8">
            <w:pPr>
              <w:pStyle w:val="TableParagraph"/>
              <w:rPr>
                <w:sz w:val="20"/>
              </w:rPr>
            </w:pPr>
          </w:p>
          <w:p w14:paraId="04B13C19" w14:textId="77777777" w:rsidR="00FA4AA8" w:rsidRDefault="00FA4AA8">
            <w:pPr>
              <w:pStyle w:val="TableParagraph"/>
              <w:spacing w:before="4"/>
              <w:rPr>
                <w:sz w:val="18"/>
              </w:rPr>
            </w:pPr>
          </w:p>
          <w:p w14:paraId="1E5B3C9D" w14:textId="77777777" w:rsidR="00FA4AA8" w:rsidRDefault="0015611F">
            <w:pPr>
              <w:pStyle w:val="TableParagraph"/>
              <w:ind w:right="124"/>
              <w:jc w:val="right"/>
              <w:rPr>
                <w:sz w:val="18"/>
              </w:rPr>
            </w:pPr>
            <w:r>
              <w:rPr>
                <w:sz w:val="18"/>
              </w:rPr>
              <w:t>-</w:t>
            </w:r>
          </w:p>
        </w:tc>
      </w:tr>
      <w:tr w:rsidR="00FA4AA8" w14:paraId="739517D2" w14:textId="77777777">
        <w:trPr>
          <w:trHeight w:val="258"/>
        </w:trPr>
        <w:tc>
          <w:tcPr>
            <w:tcW w:w="7371" w:type="dxa"/>
            <w:gridSpan w:val="2"/>
          </w:tcPr>
          <w:p w14:paraId="4D327CFE" w14:textId="77777777" w:rsidR="00FA4AA8" w:rsidRDefault="0015611F">
            <w:pPr>
              <w:pStyle w:val="TableParagraph"/>
              <w:spacing w:before="24"/>
              <w:ind w:left="76"/>
              <w:rPr>
                <w:sz w:val="18"/>
              </w:rPr>
            </w:pPr>
            <w:r>
              <w:rPr>
                <w:sz w:val="18"/>
              </w:rPr>
              <w:t>Parent</w:t>
            </w:r>
          </w:p>
        </w:tc>
        <w:tc>
          <w:tcPr>
            <w:tcW w:w="1453" w:type="dxa"/>
            <w:tcBorders>
              <w:bottom w:val="single" w:sz="8" w:space="0" w:color="000000"/>
            </w:tcBorders>
          </w:tcPr>
          <w:p w14:paraId="24F20720" w14:textId="77777777" w:rsidR="00FA4AA8" w:rsidRDefault="0015611F">
            <w:pPr>
              <w:pStyle w:val="TableParagraph"/>
              <w:spacing w:before="26"/>
              <w:ind w:right="184"/>
              <w:jc w:val="right"/>
              <w:rPr>
                <w:b/>
                <w:sz w:val="18"/>
              </w:rPr>
            </w:pPr>
            <w:r>
              <w:rPr>
                <w:b/>
                <w:sz w:val="18"/>
              </w:rPr>
              <w:t>(1,732,762)</w:t>
            </w:r>
          </w:p>
        </w:tc>
        <w:tc>
          <w:tcPr>
            <w:tcW w:w="1176" w:type="dxa"/>
            <w:tcBorders>
              <w:bottom w:val="single" w:sz="8" w:space="0" w:color="000000"/>
            </w:tcBorders>
          </w:tcPr>
          <w:p w14:paraId="74080AD9" w14:textId="77777777" w:rsidR="00FA4AA8" w:rsidRDefault="0015611F">
            <w:pPr>
              <w:pStyle w:val="TableParagraph"/>
              <w:spacing w:before="26"/>
              <w:ind w:left="242"/>
              <w:rPr>
                <w:sz w:val="18"/>
              </w:rPr>
            </w:pPr>
            <w:r>
              <w:rPr>
                <w:sz w:val="18"/>
              </w:rPr>
              <w:t>3,109,414</w:t>
            </w:r>
          </w:p>
        </w:tc>
      </w:tr>
      <w:tr w:rsidR="00FA4AA8" w14:paraId="6A296E07" w14:textId="77777777">
        <w:trPr>
          <w:trHeight w:val="320"/>
        </w:trPr>
        <w:tc>
          <w:tcPr>
            <w:tcW w:w="7371" w:type="dxa"/>
            <w:gridSpan w:val="2"/>
          </w:tcPr>
          <w:p w14:paraId="39BFD032" w14:textId="77777777" w:rsidR="00FA4AA8" w:rsidRDefault="0015611F">
            <w:pPr>
              <w:pStyle w:val="TableParagraph"/>
              <w:spacing w:before="115" w:line="185" w:lineRule="exact"/>
              <w:ind w:left="76"/>
              <w:rPr>
                <w:b/>
                <w:sz w:val="18"/>
              </w:rPr>
            </w:pPr>
            <w:r>
              <w:rPr>
                <w:b/>
                <w:sz w:val="18"/>
              </w:rPr>
              <w:t>Total comprehensive income for the year</w:t>
            </w:r>
          </w:p>
        </w:tc>
        <w:tc>
          <w:tcPr>
            <w:tcW w:w="1453" w:type="dxa"/>
            <w:tcBorders>
              <w:top w:val="single" w:sz="8" w:space="0" w:color="000000"/>
              <w:bottom w:val="double" w:sz="2" w:space="0" w:color="000000"/>
            </w:tcBorders>
          </w:tcPr>
          <w:p w14:paraId="0EA2E037" w14:textId="77777777" w:rsidR="00FA4AA8" w:rsidRDefault="0015611F">
            <w:pPr>
              <w:pStyle w:val="TableParagraph"/>
              <w:spacing w:before="115" w:line="185" w:lineRule="exact"/>
              <w:ind w:right="184"/>
              <w:jc w:val="right"/>
              <w:rPr>
                <w:b/>
                <w:sz w:val="18"/>
              </w:rPr>
            </w:pPr>
            <w:r>
              <w:rPr>
                <w:b/>
                <w:sz w:val="18"/>
              </w:rPr>
              <w:t>(1,732,762)</w:t>
            </w:r>
          </w:p>
        </w:tc>
        <w:tc>
          <w:tcPr>
            <w:tcW w:w="1176" w:type="dxa"/>
            <w:tcBorders>
              <w:top w:val="single" w:sz="8" w:space="0" w:color="000000"/>
              <w:bottom w:val="double" w:sz="2" w:space="0" w:color="000000"/>
            </w:tcBorders>
          </w:tcPr>
          <w:p w14:paraId="19804D7D" w14:textId="77777777" w:rsidR="00FA4AA8" w:rsidRDefault="0015611F">
            <w:pPr>
              <w:pStyle w:val="TableParagraph"/>
              <w:spacing w:before="115" w:line="185" w:lineRule="exact"/>
              <w:ind w:left="242"/>
              <w:rPr>
                <w:sz w:val="18"/>
              </w:rPr>
            </w:pPr>
            <w:r>
              <w:rPr>
                <w:sz w:val="18"/>
              </w:rPr>
              <w:t>3,109,414</w:t>
            </w:r>
          </w:p>
        </w:tc>
      </w:tr>
    </w:tbl>
    <w:p w14:paraId="526EF688" w14:textId="77777777" w:rsidR="00FA4AA8" w:rsidRDefault="00FA4AA8">
      <w:pPr>
        <w:pStyle w:val="BodyText"/>
        <w:rPr>
          <w:sz w:val="20"/>
        </w:rPr>
      </w:pPr>
    </w:p>
    <w:p w14:paraId="05F4A024" w14:textId="77777777" w:rsidR="00FA4AA8" w:rsidRDefault="00FA4AA8">
      <w:pPr>
        <w:pStyle w:val="BodyText"/>
        <w:rPr>
          <w:sz w:val="20"/>
        </w:rPr>
      </w:pPr>
    </w:p>
    <w:p w14:paraId="14B04BAA" w14:textId="77777777" w:rsidR="00FA4AA8" w:rsidRDefault="00FA4AA8">
      <w:pPr>
        <w:pStyle w:val="BodyText"/>
        <w:rPr>
          <w:sz w:val="20"/>
        </w:rPr>
      </w:pPr>
    </w:p>
    <w:p w14:paraId="4A537048" w14:textId="77777777" w:rsidR="00FA4AA8" w:rsidRDefault="00FA4AA8">
      <w:pPr>
        <w:pStyle w:val="BodyText"/>
        <w:rPr>
          <w:sz w:val="20"/>
        </w:rPr>
      </w:pPr>
    </w:p>
    <w:p w14:paraId="7E07447B" w14:textId="77777777" w:rsidR="00FA4AA8" w:rsidRDefault="00FA4AA8">
      <w:pPr>
        <w:pStyle w:val="BodyText"/>
        <w:rPr>
          <w:sz w:val="20"/>
        </w:rPr>
      </w:pPr>
    </w:p>
    <w:p w14:paraId="77DB2A13" w14:textId="77777777" w:rsidR="00FA4AA8" w:rsidRDefault="00FA4AA8">
      <w:pPr>
        <w:pStyle w:val="BodyText"/>
        <w:rPr>
          <w:sz w:val="20"/>
        </w:rPr>
      </w:pPr>
    </w:p>
    <w:p w14:paraId="2DEA23CC" w14:textId="77777777" w:rsidR="00FA4AA8" w:rsidRDefault="00FA4AA8">
      <w:pPr>
        <w:pStyle w:val="BodyText"/>
        <w:rPr>
          <w:sz w:val="20"/>
        </w:rPr>
      </w:pPr>
    </w:p>
    <w:p w14:paraId="0A6C1D8F" w14:textId="77777777" w:rsidR="00FA4AA8" w:rsidRDefault="00FA4AA8">
      <w:pPr>
        <w:pStyle w:val="BodyText"/>
        <w:rPr>
          <w:sz w:val="20"/>
        </w:rPr>
      </w:pPr>
    </w:p>
    <w:p w14:paraId="70B69F42" w14:textId="77777777" w:rsidR="00FA4AA8" w:rsidRDefault="00FA4AA8">
      <w:pPr>
        <w:pStyle w:val="BodyText"/>
        <w:rPr>
          <w:sz w:val="20"/>
        </w:rPr>
      </w:pPr>
    </w:p>
    <w:p w14:paraId="29089C8A" w14:textId="77777777" w:rsidR="00FA4AA8" w:rsidRDefault="00FA4AA8">
      <w:pPr>
        <w:pStyle w:val="BodyText"/>
        <w:rPr>
          <w:sz w:val="20"/>
        </w:rPr>
      </w:pPr>
    </w:p>
    <w:p w14:paraId="4A6A33D2" w14:textId="77777777" w:rsidR="00FA4AA8" w:rsidRDefault="00FA4AA8">
      <w:pPr>
        <w:pStyle w:val="BodyText"/>
        <w:rPr>
          <w:sz w:val="20"/>
        </w:rPr>
      </w:pPr>
    </w:p>
    <w:p w14:paraId="6752E963" w14:textId="77777777" w:rsidR="00FA4AA8" w:rsidRDefault="00FA4AA8">
      <w:pPr>
        <w:pStyle w:val="BodyText"/>
        <w:rPr>
          <w:sz w:val="20"/>
        </w:rPr>
      </w:pPr>
    </w:p>
    <w:p w14:paraId="72D05C98" w14:textId="77777777" w:rsidR="00FA4AA8" w:rsidRDefault="00FA4AA8">
      <w:pPr>
        <w:pStyle w:val="BodyText"/>
        <w:rPr>
          <w:sz w:val="20"/>
        </w:rPr>
      </w:pPr>
    </w:p>
    <w:p w14:paraId="3E7D270F" w14:textId="77777777" w:rsidR="00FA4AA8" w:rsidRDefault="00FA4AA8">
      <w:pPr>
        <w:pStyle w:val="BodyText"/>
        <w:spacing w:before="6"/>
        <w:rPr>
          <w:sz w:val="26"/>
        </w:rPr>
      </w:pPr>
    </w:p>
    <w:p w14:paraId="62503D65" w14:textId="77777777" w:rsidR="00FA4AA8" w:rsidRDefault="0015611F">
      <w:pPr>
        <w:pStyle w:val="BodyText"/>
        <w:spacing w:before="94"/>
        <w:ind w:left="194" w:right="165"/>
        <w:jc w:val="center"/>
      </w:pPr>
      <w:r>
        <w:t>The accompanying notes form part of these financial statements.</w:t>
      </w:r>
    </w:p>
    <w:p w14:paraId="3B502874" w14:textId="77777777" w:rsidR="00FA4AA8" w:rsidRDefault="00FA4AA8">
      <w:pPr>
        <w:jc w:val="center"/>
        <w:sectPr w:rsidR="00FA4AA8">
          <w:headerReference w:type="default" r:id="rId120"/>
          <w:footerReference w:type="default" r:id="rId121"/>
          <w:pgSz w:w="11910" w:h="16840"/>
          <w:pgMar w:top="1460" w:right="840" w:bottom="720" w:left="840" w:header="1016" w:footer="523" w:gutter="0"/>
          <w:pgNumType w:start="123"/>
          <w:cols w:space="720"/>
        </w:sectPr>
      </w:pPr>
    </w:p>
    <w:p w14:paraId="0D2CBF0A" w14:textId="77777777" w:rsidR="00FA4AA8" w:rsidRDefault="00FA4AA8">
      <w:pPr>
        <w:pStyle w:val="BodyText"/>
        <w:rPr>
          <w:sz w:val="20"/>
        </w:rPr>
      </w:pPr>
    </w:p>
    <w:p w14:paraId="08A98E65" w14:textId="77777777" w:rsidR="00FA4AA8" w:rsidRDefault="00FA4AA8">
      <w:pPr>
        <w:pStyle w:val="BodyText"/>
        <w:spacing w:before="2"/>
        <w:rPr>
          <w:sz w:val="10"/>
        </w:rPr>
      </w:pPr>
    </w:p>
    <w:tbl>
      <w:tblPr>
        <w:tblW w:w="0" w:type="auto"/>
        <w:tblInd w:w="125" w:type="dxa"/>
        <w:tblLayout w:type="fixed"/>
        <w:tblCellMar>
          <w:left w:w="0" w:type="dxa"/>
          <w:right w:w="0" w:type="dxa"/>
        </w:tblCellMar>
        <w:tblLook w:val="01E0" w:firstRow="1" w:lastRow="1" w:firstColumn="1" w:lastColumn="1" w:noHBand="0" w:noVBand="0"/>
      </w:tblPr>
      <w:tblGrid>
        <w:gridCol w:w="5532"/>
        <w:gridCol w:w="1839"/>
        <w:gridCol w:w="1474"/>
        <w:gridCol w:w="1119"/>
      </w:tblGrid>
      <w:tr w:rsidR="00FA4AA8" w14:paraId="3422C56A" w14:textId="77777777">
        <w:trPr>
          <w:trHeight w:val="343"/>
        </w:trPr>
        <w:tc>
          <w:tcPr>
            <w:tcW w:w="5532" w:type="dxa"/>
          </w:tcPr>
          <w:p w14:paraId="6BC86F29" w14:textId="77777777" w:rsidR="00FA4AA8" w:rsidRDefault="0015611F">
            <w:pPr>
              <w:pStyle w:val="TableParagraph"/>
              <w:spacing w:line="314" w:lineRule="exact"/>
              <w:ind w:left="50"/>
              <w:rPr>
                <w:b/>
                <w:sz w:val="28"/>
              </w:rPr>
            </w:pPr>
            <w:r>
              <w:rPr>
                <w:b/>
                <w:sz w:val="28"/>
              </w:rPr>
              <w:t>Statement of Financial Position</w:t>
            </w:r>
          </w:p>
        </w:tc>
        <w:tc>
          <w:tcPr>
            <w:tcW w:w="4432" w:type="dxa"/>
            <w:gridSpan w:val="3"/>
            <w:vMerge w:val="restart"/>
          </w:tcPr>
          <w:p w14:paraId="035D7A20" w14:textId="77777777" w:rsidR="00FA4AA8" w:rsidRDefault="00FA4AA8">
            <w:pPr>
              <w:pStyle w:val="TableParagraph"/>
              <w:rPr>
                <w:rFonts w:ascii="Times New Roman"/>
                <w:sz w:val="18"/>
              </w:rPr>
            </w:pPr>
          </w:p>
        </w:tc>
      </w:tr>
      <w:tr w:rsidR="00FA4AA8" w14:paraId="1C24C17B" w14:textId="77777777">
        <w:trPr>
          <w:trHeight w:val="486"/>
        </w:trPr>
        <w:tc>
          <w:tcPr>
            <w:tcW w:w="5532" w:type="dxa"/>
          </w:tcPr>
          <w:p w14:paraId="34FC384B" w14:textId="77777777" w:rsidR="00FA4AA8" w:rsidRDefault="0015611F">
            <w:pPr>
              <w:pStyle w:val="TableParagraph"/>
              <w:spacing w:before="23"/>
              <w:ind w:left="50"/>
              <w:rPr>
                <w:b/>
              </w:rPr>
            </w:pPr>
            <w:r>
              <w:rPr>
                <w:b/>
              </w:rPr>
              <w:t>As at 31 December 2018</w:t>
            </w:r>
          </w:p>
        </w:tc>
        <w:tc>
          <w:tcPr>
            <w:tcW w:w="4432" w:type="dxa"/>
            <w:gridSpan w:val="3"/>
            <w:vMerge/>
            <w:tcBorders>
              <w:top w:val="nil"/>
            </w:tcBorders>
          </w:tcPr>
          <w:p w14:paraId="4B086558" w14:textId="77777777" w:rsidR="00FA4AA8" w:rsidRDefault="00FA4AA8">
            <w:pPr>
              <w:rPr>
                <w:sz w:val="2"/>
                <w:szCs w:val="2"/>
              </w:rPr>
            </w:pPr>
          </w:p>
        </w:tc>
      </w:tr>
      <w:tr w:rsidR="00FA4AA8" w14:paraId="258C7F8B" w14:textId="77777777">
        <w:trPr>
          <w:trHeight w:val="446"/>
        </w:trPr>
        <w:tc>
          <w:tcPr>
            <w:tcW w:w="5532" w:type="dxa"/>
          </w:tcPr>
          <w:p w14:paraId="491F3D5C" w14:textId="77777777" w:rsidR="00FA4AA8" w:rsidRDefault="00FA4AA8">
            <w:pPr>
              <w:pStyle w:val="TableParagraph"/>
              <w:rPr>
                <w:rFonts w:ascii="Times New Roman"/>
                <w:sz w:val="18"/>
              </w:rPr>
            </w:pPr>
          </w:p>
        </w:tc>
        <w:tc>
          <w:tcPr>
            <w:tcW w:w="1839" w:type="dxa"/>
          </w:tcPr>
          <w:p w14:paraId="4E81DCAB" w14:textId="77777777" w:rsidR="00FA4AA8" w:rsidRDefault="00FA4AA8">
            <w:pPr>
              <w:pStyle w:val="TableParagraph"/>
              <w:rPr>
                <w:rFonts w:ascii="Times New Roman"/>
                <w:sz w:val="18"/>
              </w:rPr>
            </w:pPr>
          </w:p>
        </w:tc>
        <w:tc>
          <w:tcPr>
            <w:tcW w:w="1474" w:type="dxa"/>
          </w:tcPr>
          <w:p w14:paraId="66FB7BB0" w14:textId="77777777" w:rsidR="00FA4AA8" w:rsidRDefault="00FA4AA8">
            <w:pPr>
              <w:pStyle w:val="TableParagraph"/>
              <w:spacing w:before="8"/>
              <w:rPr>
                <w:sz w:val="17"/>
              </w:rPr>
            </w:pPr>
          </w:p>
          <w:p w14:paraId="58C4FA89" w14:textId="77777777" w:rsidR="00FA4AA8" w:rsidRDefault="0015611F">
            <w:pPr>
              <w:pStyle w:val="TableParagraph"/>
              <w:ind w:left="443"/>
              <w:rPr>
                <w:b/>
                <w:sz w:val="18"/>
              </w:rPr>
            </w:pPr>
            <w:r>
              <w:rPr>
                <w:b/>
                <w:sz w:val="18"/>
              </w:rPr>
              <w:t>2018</w:t>
            </w:r>
          </w:p>
        </w:tc>
        <w:tc>
          <w:tcPr>
            <w:tcW w:w="1119" w:type="dxa"/>
          </w:tcPr>
          <w:p w14:paraId="17CC2D51" w14:textId="77777777" w:rsidR="00FA4AA8" w:rsidRDefault="00FA4AA8">
            <w:pPr>
              <w:pStyle w:val="TableParagraph"/>
              <w:spacing w:before="8"/>
              <w:rPr>
                <w:sz w:val="17"/>
              </w:rPr>
            </w:pPr>
          </w:p>
          <w:p w14:paraId="0EF34436" w14:textId="77777777" w:rsidR="00FA4AA8" w:rsidRDefault="0015611F">
            <w:pPr>
              <w:pStyle w:val="TableParagraph"/>
              <w:ind w:left="265"/>
              <w:rPr>
                <w:b/>
                <w:sz w:val="18"/>
              </w:rPr>
            </w:pPr>
            <w:r>
              <w:rPr>
                <w:b/>
                <w:sz w:val="18"/>
              </w:rPr>
              <w:t>2017</w:t>
            </w:r>
          </w:p>
        </w:tc>
      </w:tr>
      <w:tr w:rsidR="00FA4AA8" w14:paraId="7A7E8F66" w14:textId="77777777">
        <w:trPr>
          <w:trHeight w:val="313"/>
        </w:trPr>
        <w:tc>
          <w:tcPr>
            <w:tcW w:w="5532" w:type="dxa"/>
          </w:tcPr>
          <w:p w14:paraId="1A05CC9E" w14:textId="77777777" w:rsidR="00FA4AA8" w:rsidRDefault="00FA4AA8">
            <w:pPr>
              <w:pStyle w:val="TableParagraph"/>
              <w:rPr>
                <w:rFonts w:ascii="Times New Roman"/>
                <w:sz w:val="18"/>
              </w:rPr>
            </w:pPr>
          </w:p>
        </w:tc>
        <w:tc>
          <w:tcPr>
            <w:tcW w:w="1839" w:type="dxa"/>
          </w:tcPr>
          <w:p w14:paraId="6B878A0F" w14:textId="77777777" w:rsidR="00FA4AA8" w:rsidRDefault="0015611F">
            <w:pPr>
              <w:pStyle w:val="TableParagraph"/>
              <w:spacing w:before="30"/>
              <w:ind w:left="1277" w:right="20"/>
              <w:jc w:val="center"/>
              <w:rPr>
                <w:b/>
                <w:sz w:val="18"/>
              </w:rPr>
            </w:pPr>
            <w:r>
              <w:rPr>
                <w:b/>
                <w:sz w:val="18"/>
              </w:rPr>
              <w:t>Notes</w:t>
            </w:r>
          </w:p>
        </w:tc>
        <w:tc>
          <w:tcPr>
            <w:tcW w:w="1474" w:type="dxa"/>
          </w:tcPr>
          <w:p w14:paraId="49C85849" w14:textId="77777777" w:rsidR="00FA4AA8" w:rsidRDefault="0015611F">
            <w:pPr>
              <w:pStyle w:val="TableParagraph"/>
              <w:spacing w:before="30"/>
              <w:ind w:right="183"/>
              <w:jc w:val="center"/>
              <w:rPr>
                <w:b/>
                <w:sz w:val="18"/>
              </w:rPr>
            </w:pPr>
            <w:r>
              <w:rPr>
                <w:b/>
                <w:sz w:val="18"/>
              </w:rPr>
              <w:t>$</w:t>
            </w:r>
          </w:p>
        </w:tc>
        <w:tc>
          <w:tcPr>
            <w:tcW w:w="1119" w:type="dxa"/>
          </w:tcPr>
          <w:p w14:paraId="25EFC5A8" w14:textId="77777777" w:rsidR="00FA4AA8" w:rsidRDefault="0015611F">
            <w:pPr>
              <w:pStyle w:val="TableParagraph"/>
              <w:spacing w:before="30"/>
              <w:ind w:right="184"/>
              <w:jc w:val="center"/>
              <w:rPr>
                <w:b/>
                <w:sz w:val="18"/>
              </w:rPr>
            </w:pPr>
            <w:r>
              <w:rPr>
                <w:b/>
                <w:sz w:val="18"/>
              </w:rPr>
              <w:t>$</w:t>
            </w:r>
          </w:p>
        </w:tc>
      </w:tr>
      <w:tr w:rsidR="00FA4AA8" w14:paraId="22D11A3B" w14:textId="77777777">
        <w:trPr>
          <w:trHeight w:val="541"/>
        </w:trPr>
        <w:tc>
          <w:tcPr>
            <w:tcW w:w="5532" w:type="dxa"/>
          </w:tcPr>
          <w:p w14:paraId="6450464C" w14:textId="77777777" w:rsidR="00FA4AA8" w:rsidRDefault="0015611F">
            <w:pPr>
              <w:pStyle w:val="TableParagraph"/>
              <w:spacing w:before="47" w:line="230" w:lineRule="atLeast"/>
              <w:ind w:left="76" w:right="4191"/>
              <w:rPr>
                <w:b/>
                <w:sz w:val="18"/>
              </w:rPr>
            </w:pPr>
            <w:r>
              <w:rPr>
                <w:b/>
                <w:sz w:val="18"/>
              </w:rPr>
              <w:t>Assets Current</w:t>
            </w:r>
            <w:r>
              <w:rPr>
                <w:b/>
                <w:spacing w:val="1"/>
                <w:sz w:val="18"/>
              </w:rPr>
              <w:t xml:space="preserve"> </w:t>
            </w:r>
            <w:r>
              <w:rPr>
                <w:b/>
                <w:spacing w:val="-3"/>
                <w:sz w:val="18"/>
              </w:rPr>
              <w:t>assets</w:t>
            </w:r>
          </w:p>
        </w:tc>
        <w:tc>
          <w:tcPr>
            <w:tcW w:w="1839" w:type="dxa"/>
          </w:tcPr>
          <w:p w14:paraId="76A5B064" w14:textId="77777777" w:rsidR="00FA4AA8" w:rsidRDefault="00FA4AA8">
            <w:pPr>
              <w:pStyle w:val="TableParagraph"/>
              <w:rPr>
                <w:rFonts w:ascii="Times New Roman"/>
                <w:sz w:val="18"/>
              </w:rPr>
            </w:pPr>
          </w:p>
        </w:tc>
        <w:tc>
          <w:tcPr>
            <w:tcW w:w="1474" w:type="dxa"/>
          </w:tcPr>
          <w:p w14:paraId="4D6CE3EA" w14:textId="77777777" w:rsidR="00FA4AA8" w:rsidRDefault="00FA4AA8">
            <w:pPr>
              <w:pStyle w:val="TableParagraph"/>
              <w:rPr>
                <w:rFonts w:ascii="Times New Roman"/>
                <w:sz w:val="18"/>
              </w:rPr>
            </w:pPr>
          </w:p>
        </w:tc>
        <w:tc>
          <w:tcPr>
            <w:tcW w:w="1119" w:type="dxa"/>
          </w:tcPr>
          <w:p w14:paraId="65705DF3" w14:textId="77777777" w:rsidR="00FA4AA8" w:rsidRDefault="00FA4AA8">
            <w:pPr>
              <w:pStyle w:val="TableParagraph"/>
              <w:rPr>
                <w:rFonts w:ascii="Times New Roman"/>
                <w:sz w:val="18"/>
              </w:rPr>
            </w:pPr>
          </w:p>
        </w:tc>
      </w:tr>
      <w:tr w:rsidR="00FA4AA8" w14:paraId="24D2DE68" w14:textId="77777777">
        <w:trPr>
          <w:trHeight w:val="265"/>
        </w:trPr>
        <w:tc>
          <w:tcPr>
            <w:tcW w:w="5532" w:type="dxa"/>
          </w:tcPr>
          <w:p w14:paraId="4AE812F0" w14:textId="77777777" w:rsidR="00FA4AA8" w:rsidRDefault="0015611F">
            <w:pPr>
              <w:pStyle w:val="TableParagraph"/>
              <w:spacing w:before="25"/>
              <w:ind w:left="76"/>
              <w:rPr>
                <w:sz w:val="18"/>
              </w:rPr>
            </w:pPr>
            <w:r>
              <w:rPr>
                <w:sz w:val="18"/>
              </w:rPr>
              <w:t>Cash and cash equivalents</w:t>
            </w:r>
          </w:p>
        </w:tc>
        <w:tc>
          <w:tcPr>
            <w:tcW w:w="1839" w:type="dxa"/>
          </w:tcPr>
          <w:p w14:paraId="442B624B" w14:textId="77777777" w:rsidR="00FA4AA8" w:rsidRDefault="0015611F">
            <w:pPr>
              <w:pStyle w:val="TableParagraph"/>
              <w:spacing w:before="28"/>
              <w:ind w:left="1255"/>
              <w:jc w:val="center"/>
              <w:rPr>
                <w:sz w:val="18"/>
              </w:rPr>
            </w:pPr>
            <w:r>
              <w:rPr>
                <w:sz w:val="18"/>
              </w:rPr>
              <w:t>5</w:t>
            </w:r>
          </w:p>
        </w:tc>
        <w:tc>
          <w:tcPr>
            <w:tcW w:w="1474" w:type="dxa"/>
          </w:tcPr>
          <w:p w14:paraId="4F66C0AB" w14:textId="77777777" w:rsidR="00FA4AA8" w:rsidRDefault="0015611F">
            <w:pPr>
              <w:pStyle w:val="TableParagraph"/>
              <w:spacing w:before="28"/>
              <w:ind w:right="266"/>
              <w:jc w:val="right"/>
              <w:rPr>
                <w:b/>
                <w:sz w:val="18"/>
              </w:rPr>
            </w:pPr>
            <w:r>
              <w:rPr>
                <w:b/>
                <w:sz w:val="18"/>
              </w:rPr>
              <w:t>57,410</w:t>
            </w:r>
          </w:p>
        </w:tc>
        <w:tc>
          <w:tcPr>
            <w:tcW w:w="1119" w:type="dxa"/>
          </w:tcPr>
          <w:p w14:paraId="33FA4FC4" w14:textId="77777777" w:rsidR="00FA4AA8" w:rsidRDefault="0015611F">
            <w:pPr>
              <w:pStyle w:val="TableParagraph"/>
              <w:spacing w:before="28"/>
              <w:ind w:right="89"/>
              <w:jc w:val="right"/>
              <w:rPr>
                <w:sz w:val="18"/>
              </w:rPr>
            </w:pPr>
            <w:r>
              <w:rPr>
                <w:sz w:val="18"/>
              </w:rPr>
              <w:t>142,653</w:t>
            </w:r>
          </w:p>
        </w:tc>
      </w:tr>
      <w:tr w:rsidR="00FA4AA8" w14:paraId="1BBEFE38" w14:textId="77777777">
        <w:trPr>
          <w:trHeight w:val="264"/>
        </w:trPr>
        <w:tc>
          <w:tcPr>
            <w:tcW w:w="5532" w:type="dxa"/>
          </w:tcPr>
          <w:p w14:paraId="48AB0B34" w14:textId="77777777" w:rsidR="00FA4AA8" w:rsidRDefault="0015611F">
            <w:pPr>
              <w:pStyle w:val="TableParagraph"/>
              <w:spacing w:before="24"/>
              <w:ind w:left="76"/>
              <w:rPr>
                <w:sz w:val="18"/>
              </w:rPr>
            </w:pPr>
            <w:r>
              <w:rPr>
                <w:sz w:val="18"/>
              </w:rPr>
              <w:t>Trade and other receivables</w:t>
            </w:r>
          </w:p>
        </w:tc>
        <w:tc>
          <w:tcPr>
            <w:tcW w:w="1839" w:type="dxa"/>
          </w:tcPr>
          <w:p w14:paraId="64D9B868" w14:textId="77777777" w:rsidR="00FA4AA8" w:rsidRDefault="0015611F">
            <w:pPr>
              <w:pStyle w:val="TableParagraph"/>
              <w:spacing w:before="26"/>
              <w:ind w:left="1255"/>
              <w:jc w:val="center"/>
              <w:rPr>
                <w:sz w:val="18"/>
              </w:rPr>
            </w:pPr>
            <w:r>
              <w:rPr>
                <w:sz w:val="18"/>
              </w:rPr>
              <w:t>6</w:t>
            </w:r>
          </w:p>
        </w:tc>
        <w:tc>
          <w:tcPr>
            <w:tcW w:w="1474" w:type="dxa"/>
          </w:tcPr>
          <w:p w14:paraId="0F846AEA" w14:textId="77777777" w:rsidR="00FA4AA8" w:rsidRDefault="0015611F">
            <w:pPr>
              <w:pStyle w:val="TableParagraph"/>
              <w:spacing w:before="26"/>
              <w:ind w:right="266"/>
              <w:jc w:val="right"/>
              <w:rPr>
                <w:b/>
                <w:sz w:val="18"/>
              </w:rPr>
            </w:pPr>
            <w:r>
              <w:rPr>
                <w:b/>
                <w:sz w:val="18"/>
              </w:rPr>
              <w:t>88,281</w:t>
            </w:r>
          </w:p>
        </w:tc>
        <w:tc>
          <w:tcPr>
            <w:tcW w:w="1119" w:type="dxa"/>
          </w:tcPr>
          <w:p w14:paraId="66065385" w14:textId="77777777" w:rsidR="00FA4AA8" w:rsidRDefault="0015611F">
            <w:pPr>
              <w:pStyle w:val="TableParagraph"/>
              <w:spacing w:before="26"/>
              <w:ind w:right="89"/>
              <w:jc w:val="right"/>
              <w:rPr>
                <w:sz w:val="18"/>
              </w:rPr>
            </w:pPr>
            <w:r>
              <w:rPr>
                <w:sz w:val="18"/>
              </w:rPr>
              <w:t>128,639</w:t>
            </w:r>
          </w:p>
        </w:tc>
      </w:tr>
      <w:tr w:rsidR="00FA4AA8" w14:paraId="523B453B" w14:textId="77777777">
        <w:trPr>
          <w:trHeight w:val="264"/>
        </w:trPr>
        <w:tc>
          <w:tcPr>
            <w:tcW w:w="5532" w:type="dxa"/>
          </w:tcPr>
          <w:p w14:paraId="092B6936" w14:textId="77777777" w:rsidR="00FA4AA8" w:rsidRDefault="0015611F">
            <w:pPr>
              <w:pStyle w:val="TableParagraph"/>
              <w:spacing w:before="24"/>
              <w:ind w:left="76"/>
              <w:rPr>
                <w:sz w:val="18"/>
              </w:rPr>
            </w:pPr>
            <w:r>
              <w:rPr>
                <w:sz w:val="18"/>
              </w:rPr>
              <w:t>Inventories</w:t>
            </w:r>
          </w:p>
        </w:tc>
        <w:tc>
          <w:tcPr>
            <w:tcW w:w="1839" w:type="dxa"/>
          </w:tcPr>
          <w:p w14:paraId="616FFF4D" w14:textId="77777777" w:rsidR="00FA4AA8" w:rsidRDefault="0015611F">
            <w:pPr>
              <w:pStyle w:val="TableParagraph"/>
              <w:spacing w:before="26"/>
              <w:ind w:left="1255"/>
              <w:jc w:val="center"/>
              <w:rPr>
                <w:sz w:val="18"/>
              </w:rPr>
            </w:pPr>
            <w:r>
              <w:rPr>
                <w:sz w:val="18"/>
              </w:rPr>
              <w:t>7</w:t>
            </w:r>
          </w:p>
        </w:tc>
        <w:tc>
          <w:tcPr>
            <w:tcW w:w="1474" w:type="dxa"/>
          </w:tcPr>
          <w:p w14:paraId="20A22024" w14:textId="77777777" w:rsidR="00FA4AA8" w:rsidRDefault="0015611F">
            <w:pPr>
              <w:pStyle w:val="TableParagraph"/>
              <w:spacing w:before="26"/>
              <w:ind w:right="266"/>
              <w:jc w:val="right"/>
              <w:rPr>
                <w:b/>
                <w:sz w:val="18"/>
              </w:rPr>
            </w:pPr>
            <w:r>
              <w:rPr>
                <w:b/>
                <w:sz w:val="18"/>
              </w:rPr>
              <w:t>27,099</w:t>
            </w:r>
          </w:p>
        </w:tc>
        <w:tc>
          <w:tcPr>
            <w:tcW w:w="1119" w:type="dxa"/>
          </w:tcPr>
          <w:p w14:paraId="06B7BF87" w14:textId="77777777" w:rsidR="00FA4AA8" w:rsidRDefault="0015611F">
            <w:pPr>
              <w:pStyle w:val="TableParagraph"/>
              <w:spacing w:before="26"/>
              <w:ind w:right="89"/>
              <w:jc w:val="right"/>
              <w:rPr>
                <w:sz w:val="18"/>
              </w:rPr>
            </w:pPr>
            <w:r>
              <w:rPr>
                <w:sz w:val="18"/>
              </w:rPr>
              <w:t>58,060</w:t>
            </w:r>
          </w:p>
        </w:tc>
      </w:tr>
      <w:tr w:rsidR="00FA4AA8" w14:paraId="5A073C7A" w14:textId="77777777">
        <w:trPr>
          <w:trHeight w:val="258"/>
        </w:trPr>
        <w:tc>
          <w:tcPr>
            <w:tcW w:w="5532" w:type="dxa"/>
          </w:tcPr>
          <w:p w14:paraId="46DBC233" w14:textId="77777777" w:rsidR="00FA4AA8" w:rsidRDefault="0015611F">
            <w:pPr>
              <w:pStyle w:val="TableParagraph"/>
              <w:spacing w:before="24"/>
              <w:ind w:left="76"/>
              <w:rPr>
                <w:sz w:val="18"/>
              </w:rPr>
            </w:pPr>
            <w:r>
              <w:rPr>
                <w:sz w:val="18"/>
              </w:rPr>
              <w:t>Other assets</w:t>
            </w:r>
          </w:p>
        </w:tc>
        <w:tc>
          <w:tcPr>
            <w:tcW w:w="1839" w:type="dxa"/>
          </w:tcPr>
          <w:p w14:paraId="77B5E93A" w14:textId="77777777" w:rsidR="00FA4AA8" w:rsidRDefault="0015611F">
            <w:pPr>
              <w:pStyle w:val="TableParagraph"/>
              <w:spacing w:before="26"/>
              <w:ind w:left="1255"/>
              <w:jc w:val="center"/>
              <w:rPr>
                <w:sz w:val="18"/>
              </w:rPr>
            </w:pPr>
            <w:r>
              <w:rPr>
                <w:sz w:val="18"/>
              </w:rPr>
              <w:t>8</w:t>
            </w:r>
          </w:p>
        </w:tc>
        <w:tc>
          <w:tcPr>
            <w:tcW w:w="1474" w:type="dxa"/>
            <w:tcBorders>
              <w:bottom w:val="single" w:sz="8" w:space="0" w:color="000000"/>
            </w:tcBorders>
          </w:tcPr>
          <w:p w14:paraId="18C159F2" w14:textId="77777777" w:rsidR="00FA4AA8" w:rsidRDefault="0015611F">
            <w:pPr>
              <w:pStyle w:val="TableParagraph"/>
              <w:spacing w:before="26"/>
              <w:ind w:right="266"/>
              <w:jc w:val="right"/>
              <w:rPr>
                <w:b/>
                <w:sz w:val="18"/>
              </w:rPr>
            </w:pPr>
            <w:r>
              <w:rPr>
                <w:b/>
                <w:sz w:val="18"/>
              </w:rPr>
              <w:t>30,577</w:t>
            </w:r>
          </w:p>
        </w:tc>
        <w:tc>
          <w:tcPr>
            <w:tcW w:w="1119" w:type="dxa"/>
            <w:tcBorders>
              <w:bottom w:val="single" w:sz="8" w:space="0" w:color="000000"/>
            </w:tcBorders>
          </w:tcPr>
          <w:p w14:paraId="4CA466C4" w14:textId="77777777" w:rsidR="00FA4AA8" w:rsidRDefault="0015611F">
            <w:pPr>
              <w:pStyle w:val="TableParagraph"/>
              <w:spacing w:before="26"/>
              <w:ind w:right="89"/>
              <w:jc w:val="right"/>
              <w:rPr>
                <w:sz w:val="18"/>
              </w:rPr>
            </w:pPr>
            <w:r>
              <w:rPr>
                <w:sz w:val="18"/>
              </w:rPr>
              <w:t>43,738</w:t>
            </w:r>
          </w:p>
        </w:tc>
      </w:tr>
      <w:tr w:rsidR="00FA4AA8" w14:paraId="426BF461" w14:textId="77777777">
        <w:trPr>
          <w:trHeight w:val="318"/>
        </w:trPr>
        <w:tc>
          <w:tcPr>
            <w:tcW w:w="5532" w:type="dxa"/>
          </w:tcPr>
          <w:p w14:paraId="62A7F4E7" w14:textId="77777777" w:rsidR="00FA4AA8" w:rsidRDefault="0015611F">
            <w:pPr>
              <w:pStyle w:val="TableParagraph"/>
              <w:spacing w:before="28"/>
              <w:ind w:left="76"/>
              <w:rPr>
                <w:b/>
                <w:sz w:val="18"/>
              </w:rPr>
            </w:pPr>
            <w:r>
              <w:rPr>
                <w:b/>
                <w:sz w:val="18"/>
              </w:rPr>
              <w:t>Total current assets</w:t>
            </w:r>
          </w:p>
        </w:tc>
        <w:tc>
          <w:tcPr>
            <w:tcW w:w="1839" w:type="dxa"/>
          </w:tcPr>
          <w:p w14:paraId="606B20ED" w14:textId="77777777" w:rsidR="00FA4AA8" w:rsidRDefault="00FA4AA8">
            <w:pPr>
              <w:pStyle w:val="TableParagraph"/>
              <w:rPr>
                <w:rFonts w:ascii="Times New Roman"/>
                <w:sz w:val="18"/>
              </w:rPr>
            </w:pPr>
          </w:p>
        </w:tc>
        <w:tc>
          <w:tcPr>
            <w:tcW w:w="1474" w:type="dxa"/>
            <w:tcBorders>
              <w:top w:val="single" w:sz="8" w:space="0" w:color="000000"/>
              <w:bottom w:val="single" w:sz="8" w:space="0" w:color="000000"/>
            </w:tcBorders>
          </w:tcPr>
          <w:p w14:paraId="08DB0A3B" w14:textId="77777777" w:rsidR="00FA4AA8" w:rsidRDefault="0015611F">
            <w:pPr>
              <w:pStyle w:val="TableParagraph"/>
              <w:spacing w:before="115" w:line="183" w:lineRule="exact"/>
              <w:ind w:right="266"/>
              <w:jc w:val="right"/>
              <w:rPr>
                <w:b/>
                <w:sz w:val="18"/>
              </w:rPr>
            </w:pPr>
            <w:r>
              <w:rPr>
                <w:b/>
                <w:sz w:val="18"/>
              </w:rPr>
              <w:t>203,367</w:t>
            </w:r>
          </w:p>
        </w:tc>
        <w:tc>
          <w:tcPr>
            <w:tcW w:w="1119" w:type="dxa"/>
            <w:tcBorders>
              <w:top w:val="single" w:sz="8" w:space="0" w:color="000000"/>
              <w:bottom w:val="single" w:sz="8" w:space="0" w:color="000000"/>
            </w:tcBorders>
          </w:tcPr>
          <w:p w14:paraId="56241CA6" w14:textId="77777777" w:rsidR="00FA4AA8" w:rsidRDefault="0015611F">
            <w:pPr>
              <w:pStyle w:val="TableParagraph"/>
              <w:spacing w:before="115" w:line="183" w:lineRule="exact"/>
              <w:ind w:right="89"/>
              <w:jc w:val="right"/>
              <w:rPr>
                <w:sz w:val="18"/>
              </w:rPr>
            </w:pPr>
            <w:r>
              <w:rPr>
                <w:sz w:val="18"/>
              </w:rPr>
              <w:t>373,090</w:t>
            </w:r>
          </w:p>
        </w:tc>
      </w:tr>
      <w:tr w:rsidR="00FA4AA8" w14:paraId="2654993A" w14:textId="77777777">
        <w:trPr>
          <w:trHeight w:val="267"/>
        </w:trPr>
        <w:tc>
          <w:tcPr>
            <w:tcW w:w="5532" w:type="dxa"/>
          </w:tcPr>
          <w:p w14:paraId="428B128B" w14:textId="77777777" w:rsidR="00FA4AA8" w:rsidRDefault="0015611F">
            <w:pPr>
              <w:pStyle w:val="TableParagraph"/>
              <w:spacing w:before="28"/>
              <w:ind w:left="76"/>
              <w:rPr>
                <w:b/>
                <w:sz w:val="18"/>
              </w:rPr>
            </w:pPr>
            <w:r>
              <w:rPr>
                <w:b/>
                <w:sz w:val="18"/>
              </w:rPr>
              <w:t>Non-current assets</w:t>
            </w:r>
          </w:p>
        </w:tc>
        <w:tc>
          <w:tcPr>
            <w:tcW w:w="1839" w:type="dxa"/>
          </w:tcPr>
          <w:p w14:paraId="6C532826" w14:textId="77777777" w:rsidR="00FA4AA8" w:rsidRDefault="00FA4AA8">
            <w:pPr>
              <w:pStyle w:val="TableParagraph"/>
              <w:rPr>
                <w:rFonts w:ascii="Times New Roman"/>
                <w:sz w:val="18"/>
              </w:rPr>
            </w:pPr>
          </w:p>
        </w:tc>
        <w:tc>
          <w:tcPr>
            <w:tcW w:w="1474" w:type="dxa"/>
            <w:tcBorders>
              <w:top w:val="single" w:sz="8" w:space="0" w:color="000000"/>
            </w:tcBorders>
          </w:tcPr>
          <w:p w14:paraId="4D3828D9" w14:textId="77777777" w:rsidR="00FA4AA8" w:rsidRDefault="00FA4AA8">
            <w:pPr>
              <w:pStyle w:val="TableParagraph"/>
              <w:rPr>
                <w:rFonts w:ascii="Times New Roman"/>
                <w:sz w:val="18"/>
              </w:rPr>
            </w:pPr>
          </w:p>
        </w:tc>
        <w:tc>
          <w:tcPr>
            <w:tcW w:w="1119" w:type="dxa"/>
            <w:tcBorders>
              <w:top w:val="single" w:sz="8" w:space="0" w:color="000000"/>
            </w:tcBorders>
          </w:tcPr>
          <w:p w14:paraId="7E83EE29" w14:textId="77777777" w:rsidR="00FA4AA8" w:rsidRDefault="00FA4AA8">
            <w:pPr>
              <w:pStyle w:val="TableParagraph"/>
              <w:rPr>
                <w:rFonts w:ascii="Times New Roman"/>
                <w:sz w:val="18"/>
              </w:rPr>
            </w:pPr>
          </w:p>
        </w:tc>
      </w:tr>
      <w:tr w:rsidR="00FA4AA8" w14:paraId="3AD90D3A" w14:textId="77777777">
        <w:trPr>
          <w:trHeight w:val="265"/>
        </w:trPr>
        <w:tc>
          <w:tcPr>
            <w:tcW w:w="5532" w:type="dxa"/>
          </w:tcPr>
          <w:p w14:paraId="16870324" w14:textId="77777777" w:rsidR="00FA4AA8" w:rsidRDefault="0015611F">
            <w:pPr>
              <w:pStyle w:val="TableParagraph"/>
              <w:spacing w:before="25"/>
              <w:ind w:left="76"/>
              <w:rPr>
                <w:sz w:val="18"/>
              </w:rPr>
            </w:pPr>
            <w:r>
              <w:rPr>
                <w:sz w:val="18"/>
              </w:rPr>
              <w:t>Property, plant and equipment</w:t>
            </w:r>
          </w:p>
        </w:tc>
        <w:tc>
          <w:tcPr>
            <w:tcW w:w="1839" w:type="dxa"/>
          </w:tcPr>
          <w:p w14:paraId="549030FA" w14:textId="77777777" w:rsidR="00FA4AA8" w:rsidRDefault="0015611F">
            <w:pPr>
              <w:pStyle w:val="TableParagraph"/>
              <w:spacing w:before="28"/>
              <w:ind w:left="1255"/>
              <w:jc w:val="center"/>
              <w:rPr>
                <w:sz w:val="18"/>
              </w:rPr>
            </w:pPr>
            <w:r>
              <w:rPr>
                <w:sz w:val="18"/>
              </w:rPr>
              <w:t>9</w:t>
            </w:r>
          </w:p>
        </w:tc>
        <w:tc>
          <w:tcPr>
            <w:tcW w:w="1474" w:type="dxa"/>
          </w:tcPr>
          <w:p w14:paraId="3AB3C9CD" w14:textId="77777777" w:rsidR="00FA4AA8" w:rsidRDefault="0015611F">
            <w:pPr>
              <w:pStyle w:val="TableParagraph"/>
              <w:spacing w:before="28"/>
              <w:ind w:right="266"/>
              <w:jc w:val="right"/>
              <w:rPr>
                <w:b/>
                <w:sz w:val="18"/>
              </w:rPr>
            </w:pPr>
            <w:r>
              <w:rPr>
                <w:b/>
                <w:sz w:val="18"/>
              </w:rPr>
              <w:t>21,758</w:t>
            </w:r>
          </w:p>
        </w:tc>
        <w:tc>
          <w:tcPr>
            <w:tcW w:w="1119" w:type="dxa"/>
          </w:tcPr>
          <w:p w14:paraId="1E51954A" w14:textId="77777777" w:rsidR="00FA4AA8" w:rsidRDefault="0015611F">
            <w:pPr>
              <w:pStyle w:val="TableParagraph"/>
              <w:spacing w:before="28"/>
              <w:ind w:right="89"/>
              <w:jc w:val="right"/>
              <w:rPr>
                <w:sz w:val="18"/>
              </w:rPr>
            </w:pPr>
            <w:r>
              <w:rPr>
                <w:sz w:val="18"/>
              </w:rPr>
              <w:t>34,346</w:t>
            </w:r>
          </w:p>
        </w:tc>
      </w:tr>
      <w:tr w:rsidR="00FA4AA8" w14:paraId="4E1B8AE3" w14:textId="77777777">
        <w:trPr>
          <w:trHeight w:val="258"/>
        </w:trPr>
        <w:tc>
          <w:tcPr>
            <w:tcW w:w="5532" w:type="dxa"/>
          </w:tcPr>
          <w:p w14:paraId="33DD3FA4" w14:textId="77777777" w:rsidR="00FA4AA8" w:rsidRDefault="0015611F">
            <w:pPr>
              <w:pStyle w:val="TableParagraph"/>
              <w:spacing w:before="24"/>
              <w:ind w:left="76"/>
              <w:rPr>
                <w:sz w:val="18"/>
              </w:rPr>
            </w:pPr>
            <w:r>
              <w:rPr>
                <w:sz w:val="18"/>
              </w:rPr>
              <w:t>Intangible assets</w:t>
            </w:r>
          </w:p>
        </w:tc>
        <w:tc>
          <w:tcPr>
            <w:tcW w:w="1839" w:type="dxa"/>
          </w:tcPr>
          <w:p w14:paraId="49DF3AB0" w14:textId="77777777" w:rsidR="00FA4AA8" w:rsidRDefault="0015611F">
            <w:pPr>
              <w:pStyle w:val="TableParagraph"/>
              <w:spacing w:before="26"/>
              <w:ind w:left="1276" w:right="20"/>
              <w:jc w:val="center"/>
              <w:rPr>
                <w:sz w:val="18"/>
              </w:rPr>
            </w:pPr>
            <w:r>
              <w:rPr>
                <w:sz w:val="18"/>
              </w:rPr>
              <w:t>10</w:t>
            </w:r>
          </w:p>
        </w:tc>
        <w:tc>
          <w:tcPr>
            <w:tcW w:w="1474" w:type="dxa"/>
            <w:tcBorders>
              <w:bottom w:val="single" w:sz="8" w:space="0" w:color="000000"/>
            </w:tcBorders>
          </w:tcPr>
          <w:p w14:paraId="13DB500D" w14:textId="77777777" w:rsidR="00FA4AA8" w:rsidRDefault="0015611F">
            <w:pPr>
              <w:pStyle w:val="TableParagraph"/>
              <w:spacing w:before="26"/>
              <w:ind w:right="265"/>
              <w:jc w:val="right"/>
              <w:rPr>
                <w:b/>
                <w:sz w:val="18"/>
              </w:rPr>
            </w:pPr>
            <w:r>
              <w:rPr>
                <w:b/>
                <w:sz w:val="18"/>
              </w:rPr>
              <w:t>-</w:t>
            </w:r>
          </w:p>
        </w:tc>
        <w:tc>
          <w:tcPr>
            <w:tcW w:w="1119" w:type="dxa"/>
            <w:tcBorders>
              <w:bottom w:val="single" w:sz="8" w:space="0" w:color="000000"/>
            </w:tcBorders>
          </w:tcPr>
          <w:p w14:paraId="5F9ABB97" w14:textId="77777777" w:rsidR="00FA4AA8" w:rsidRDefault="0015611F">
            <w:pPr>
              <w:pStyle w:val="TableParagraph"/>
              <w:spacing w:before="26"/>
              <w:ind w:right="88"/>
              <w:jc w:val="right"/>
              <w:rPr>
                <w:sz w:val="18"/>
              </w:rPr>
            </w:pPr>
            <w:r>
              <w:rPr>
                <w:sz w:val="18"/>
              </w:rPr>
              <w:t>-</w:t>
            </w:r>
          </w:p>
        </w:tc>
      </w:tr>
    </w:tbl>
    <w:p w14:paraId="11AC0A0C" w14:textId="77777777" w:rsidR="00FA4AA8" w:rsidRDefault="007E2441">
      <w:pPr>
        <w:tabs>
          <w:tab w:val="left" w:pos="8140"/>
          <w:tab w:val="left" w:pos="9436"/>
        </w:tabs>
        <w:spacing w:before="19" w:after="13"/>
        <w:ind w:left="194"/>
        <w:rPr>
          <w:sz w:val="18"/>
        </w:rPr>
      </w:pPr>
      <w:r>
        <w:rPr>
          <w:noProof/>
          <w:lang w:val="en-AU" w:eastAsia="en-AU"/>
        </w:rPr>
        <mc:AlternateContent>
          <mc:Choice Requires="wpg">
            <w:drawing>
              <wp:anchor distT="0" distB="0" distL="114300" distR="114300" simplePos="0" relativeHeight="15778816" behindDoc="0" locked="0" layoutInCell="1" allowOverlap="1" wp14:anchorId="795F9F6A" wp14:editId="6473960C">
                <wp:simplePos x="0" y="0"/>
                <wp:positionH relativeFrom="page">
                  <wp:posOffset>5288280</wp:posOffset>
                </wp:positionH>
                <wp:positionV relativeFrom="paragraph">
                  <wp:posOffset>196215</wp:posOffset>
                </wp:positionV>
                <wp:extent cx="1645920" cy="12700"/>
                <wp:effectExtent l="0" t="0" r="0" b="0"/>
                <wp:wrapNone/>
                <wp:docPr id="1304" name="Group 10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5920" cy="12700"/>
                          <a:chOff x="8328" y="309"/>
                          <a:chExt cx="2592" cy="20"/>
                        </a:xfrm>
                      </wpg:grpSpPr>
                      <wps:wsp>
                        <wps:cNvPr id="1305" name="Line 1102"/>
                        <wps:cNvCnPr>
                          <a:cxnSpLocks noChangeShapeType="1"/>
                        </wps:cNvCnPr>
                        <wps:spPr bwMode="auto">
                          <a:xfrm>
                            <a:off x="8328" y="31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306" name="Line 1101"/>
                        <wps:cNvCnPr>
                          <a:cxnSpLocks noChangeShapeType="1"/>
                        </wps:cNvCnPr>
                        <wps:spPr bwMode="auto">
                          <a:xfrm>
                            <a:off x="8328" y="31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307" name="Line 1100"/>
                        <wps:cNvCnPr>
                          <a:cxnSpLocks noChangeShapeType="1"/>
                        </wps:cNvCnPr>
                        <wps:spPr bwMode="auto">
                          <a:xfrm>
                            <a:off x="8328" y="31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308" name="Line 1099"/>
                        <wps:cNvCnPr>
                          <a:cxnSpLocks noChangeShapeType="1"/>
                        </wps:cNvCnPr>
                        <wps:spPr bwMode="auto">
                          <a:xfrm>
                            <a:off x="8328" y="317"/>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309" name="Line 1098"/>
                        <wps:cNvCnPr>
                          <a:cxnSpLocks noChangeShapeType="1"/>
                        </wps:cNvCnPr>
                        <wps:spPr bwMode="auto">
                          <a:xfrm>
                            <a:off x="8328" y="32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310" name="Line 1097"/>
                        <wps:cNvCnPr>
                          <a:cxnSpLocks noChangeShapeType="1"/>
                        </wps:cNvCnPr>
                        <wps:spPr bwMode="auto">
                          <a:xfrm>
                            <a:off x="8328" y="322"/>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311" name="Line 1096"/>
                        <wps:cNvCnPr>
                          <a:cxnSpLocks noChangeShapeType="1"/>
                        </wps:cNvCnPr>
                        <wps:spPr bwMode="auto">
                          <a:xfrm>
                            <a:off x="8328" y="32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312" name="Line 1095"/>
                        <wps:cNvCnPr>
                          <a:cxnSpLocks noChangeShapeType="1"/>
                        </wps:cNvCnPr>
                        <wps:spPr bwMode="auto">
                          <a:xfrm>
                            <a:off x="8328" y="327"/>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313" name="Line 1094"/>
                        <wps:cNvCnPr>
                          <a:cxnSpLocks noChangeShapeType="1"/>
                        </wps:cNvCnPr>
                        <wps:spPr bwMode="auto">
                          <a:xfrm>
                            <a:off x="9624" y="31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314" name="Line 1093"/>
                        <wps:cNvCnPr>
                          <a:cxnSpLocks noChangeShapeType="1"/>
                        </wps:cNvCnPr>
                        <wps:spPr bwMode="auto">
                          <a:xfrm>
                            <a:off x="9624" y="31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315" name="Line 1092"/>
                        <wps:cNvCnPr>
                          <a:cxnSpLocks noChangeShapeType="1"/>
                        </wps:cNvCnPr>
                        <wps:spPr bwMode="auto">
                          <a:xfrm>
                            <a:off x="9624" y="31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316" name="Line 1091"/>
                        <wps:cNvCnPr>
                          <a:cxnSpLocks noChangeShapeType="1"/>
                        </wps:cNvCnPr>
                        <wps:spPr bwMode="auto">
                          <a:xfrm>
                            <a:off x="9624" y="317"/>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317" name="Line 1090"/>
                        <wps:cNvCnPr>
                          <a:cxnSpLocks noChangeShapeType="1"/>
                        </wps:cNvCnPr>
                        <wps:spPr bwMode="auto">
                          <a:xfrm>
                            <a:off x="9624" y="32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318" name="Line 1089"/>
                        <wps:cNvCnPr>
                          <a:cxnSpLocks noChangeShapeType="1"/>
                        </wps:cNvCnPr>
                        <wps:spPr bwMode="auto">
                          <a:xfrm>
                            <a:off x="9624" y="322"/>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319" name="Line 1088"/>
                        <wps:cNvCnPr>
                          <a:cxnSpLocks noChangeShapeType="1"/>
                        </wps:cNvCnPr>
                        <wps:spPr bwMode="auto">
                          <a:xfrm>
                            <a:off x="9624" y="32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320" name="Line 1087"/>
                        <wps:cNvCnPr>
                          <a:cxnSpLocks noChangeShapeType="1"/>
                        </wps:cNvCnPr>
                        <wps:spPr bwMode="auto">
                          <a:xfrm>
                            <a:off x="9624" y="327"/>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321" name="Line 1086"/>
                        <wps:cNvCnPr>
                          <a:cxnSpLocks noChangeShapeType="1"/>
                        </wps:cNvCnPr>
                        <wps:spPr bwMode="auto">
                          <a:xfrm>
                            <a:off x="8328" y="31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322" name="Line 1085"/>
                        <wps:cNvCnPr>
                          <a:cxnSpLocks noChangeShapeType="1"/>
                        </wps:cNvCnPr>
                        <wps:spPr bwMode="auto">
                          <a:xfrm>
                            <a:off x="8328" y="31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323" name="Line 1084"/>
                        <wps:cNvCnPr>
                          <a:cxnSpLocks noChangeShapeType="1"/>
                        </wps:cNvCnPr>
                        <wps:spPr bwMode="auto">
                          <a:xfrm>
                            <a:off x="8328" y="31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324" name="Line 1083"/>
                        <wps:cNvCnPr>
                          <a:cxnSpLocks noChangeShapeType="1"/>
                        </wps:cNvCnPr>
                        <wps:spPr bwMode="auto">
                          <a:xfrm>
                            <a:off x="8328" y="317"/>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325" name="Line 1082"/>
                        <wps:cNvCnPr>
                          <a:cxnSpLocks noChangeShapeType="1"/>
                        </wps:cNvCnPr>
                        <wps:spPr bwMode="auto">
                          <a:xfrm>
                            <a:off x="8328" y="32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326" name="Line 1081"/>
                        <wps:cNvCnPr>
                          <a:cxnSpLocks noChangeShapeType="1"/>
                        </wps:cNvCnPr>
                        <wps:spPr bwMode="auto">
                          <a:xfrm>
                            <a:off x="8328" y="322"/>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327" name="Line 1080"/>
                        <wps:cNvCnPr>
                          <a:cxnSpLocks noChangeShapeType="1"/>
                        </wps:cNvCnPr>
                        <wps:spPr bwMode="auto">
                          <a:xfrm>
                            <a:off x="8328" y="32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328" name="Line 1079"/>
                        <wps:cNvCnPr>
                          <a:cxnSpLocks noChangeShapeType="1"/>
                        </wps:cNvCnPr>
                        <wps:spPr bwMode="auto">
                          <a:xfrm>
                            <a:off x="8328" y="327"/>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329" name="Line 1078"/>
                        <wps:cNvCnPr>
                          <a:cxnSpLocks noChangeShapeType="1"/>
                        </wps:cNvCnPr>
                        <wps:spPr bwMode="auto">
                          <a:xfrm>
                            <a:off x="9624" y="31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330" name="Line 1077"/>
                        <wps:cNvCnPr>
                          <a:cxnSpLocks noChangeShapeType="1"/>
                        </wps:cNvCnPr>
                        <wps:spPr bwMode="auto">
                          <a:xfrm>
                            <a:off x="9624" y="31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331" name="Line 1076"/>
                        <wps:cNvCnPr>
                          <a:cxnSpLocks noChangeShapeType="1"/>
                        </wps:cNvCnPr>
                        <wps:spPr bwMode="auto">
                          <a:xfrm>
                            <a:off x="9624" y="31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332" name="Line 1075"/>
                        <wps:cNvCnPr>
                          <a:cxnSpLocks noChangeShapeType="1"/>
                        </wps:cNvCnPr>
                        <wps:spPr bwMode="auto">
                          <a:xfrm>
                            <a:off x="9624" y="317"/>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333" name="Line 1074"/>
                        <wps:cNvCnPr>
                          <a:cxnSpLocks noChangeShapeType="1"/>
                        </wps:cNvCnPr>
                        <wps:spPr bwMode="auto">
                          <a:xfrm>
                            <a:off x="9624" y="32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334" name="Line 1073"/>
                        <wps:cNvCnPr>
                          <a:cxnSpLocks noChangeShapeType="1"/>
                        </wps:cNvCnPr>
                        <wps:spPr bwMode="auto">
                          <a:xfrm>
                            <a:off x="9624" y="322"/>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335" name="Line 1072"/>
                        <wps:cNvCnPr>
                          <a:cxnSpLocks noChangeShapeType="1"/>
                        </wps:cNvCnPr>
                        <wps:spPr bwMode="auto">
                          <a:xfrm>
                            <a:off x="9624" y="32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336" name="Line 1071"/>
                        <wps:cNvCnPr>
                          <a:cxnSpLocks noChangeShapeType="1"/>
                        </wps:cNvCnPr>
                        <wps:spPr bwMode="auto">
                          <a:xfrm>
                            <a:off x="9624" y="327"/>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AADD7D" id="Group 1070" o:spid="_x0000_s1026" style="position:absolute;margin-left:416.4pt;margin-top:15.45pt;width:129.6pt;height:1pt;z-index:15778816;mso-position-horizontal-relative:page" coordorigin="8328,309" coordsize="259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">
                <v:line id="Line 1102" o:spid="_x0000_s1027" style="position:absolute;visibility:visible;mso-wrap-style:square" from="8328,310" to="9624,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" strokeweight=".12pt"/>
                <v:line id="Line 1101" o:spid="_x0000_s1028" style="position:absolute;visibility:visible;mso-wrap-style:square" from="8328,313" to="9624,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" strokeweight=".12pt"/>
                <v:line id="Line 1100" o:spid="_x0000_s1029" style="position:absolute;visibility:visible;mso-wrap-style:square" from="8328,315" to="9624,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" strokeweight=".12pt"/>
                <v:line id="Line 1099" o:spid="_x0000_s1030" style="position:absolute;visibility:visible;mso-wrap-style:square" from="8328,317" to="9624,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" strokeweight=".12pt"/>
                <v:line id="Line 1098" o:spid="_x0000_s1031" style="position:absolute;visibility:visible;mso-wrap-style:square" from="8328,320" to="962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" strokeweight=".12pt"/>
                <v:line id="Line 1097" o:spid="_x0000_s1032" style="position:absolute;visibility:visible;mso-wrap-style:square" from="8328,322" to="9624,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" strokeweight=".12pt"/>
                <v:line id="Line 1096" o:spid="_x0000_s1033" style="position:absolute;visibility:visible;mso-wrap-style:square" from="8328,325" to="9624,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" strokeweight=".12pt"/>
                <v:line id="Line 1095" o:spid="_x0000_s1034" style="position:absolute;visibility:visible;mso-wrap-style:square" from="8328,327" to="9624,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" strokeweight=".12pt"/>
                <v:line id="Line 1094" o:spid="_x0000_s1035" style="position:absolute;visibility:visible;mso-wrap-style:square" from="9624,310" to="10920,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" strokeweight=".12pt"/>
                <v:line id="Line 1093" o:spid="_x0000_s1036" style="position:absolute;visibility:visible;mso-wrap-style:square" from="9624,313" to="10920,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" strokeweight=".12pt"/>
                <v:line id="Line 1092" o:spid="_x0000_s1037" style="position:absolute;visibility:visible;mso-wrap-style:square" from="9624,315" to="10920,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" strokeweight=".12pt"/>
                <v:line id="Line 1091" o:spid="_x0000_s1038" style="position:absolute;visibility:visible;mso-wrap-style:square" from="9624,317" to="10920,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" strokeweight=".12pt"/>
                <v:line id="Line 1090" o:spid="_x0000_s1039" style="position:absolute;visibility:visible;mso-wrap-style:square" from="9624,320" to="10920,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" strokeweight=".12pt"/>
                <v:line id="Line 1089" o:spid="_x0000_s1040" style="position:absolute;visibility:visible;mso-wrap-style:square" from="9624,322" to="10920,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" strokeweight=".12pt"/>
                <v:line id="Line 1088" o:spid="_x0000_s1041" style="position:absolute;visibility:visible;mso-wrap-style:square" from="9624,325" to="10920,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" strokeweight=".12pt"/>
                <v:line id="Line 1087" o:spid="_x0000_s1042" style="position:absolute;visibility:visible;mso-wrap-style:square" from="9624,327" to="10920,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" strokeweight=".12pt"/>
                <v:line id="Line 1086" o:spid="_x0000_s1043" style="position:absolute;visibility:visible;mso-wrap-style:square" from="8328,310" to="9624,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" strokeweight=".12pt"/>
                <v:line id="Line 1085" o:spid="_x0000_s1044" style="position:absolute;visibility:visible;mso-wrap-style:square" from="8328,313" to="9624,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" strokeweight=".12pt"/>
                <v:line id="Line 1084" o:spid="_x0000_s1045" style="position:absolute;visibility:visible;mso-wrap-style:square" from="8328,315" to="9624,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" strokeweight=".12pt"/>
                <v:line id="Line 1083" o:spid="_x0000_s1046" style="position:absolute;visibility:visible;mso-wrap-style:square" from="8328,317" to="9624,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" strokeweight=".12pt"/>
                <v:line id="Line 1082" o:spid="_x0000_s1047" style="position:absolute;visibility:visible;mso-wrap-style:square" from="8328,320" to="962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" strokeweight=".12pt"/>
                <v:line id="Line 1081" o:spid="_x0000_s1048" style="position:absolute;visibility:visible;mso-wrap-style:square" from="8328,322" to="9624,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" strokeweight=".12pt"/>
                <v:line id="Line 1080" o:spid="_x0000_s1049" style="position:absolute;visibility:visible;mso-wrap-style:square" from="8328,325" to="9624,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" strokeweight=".12pt"/>
                <v:line id="Line 1079" o:spid="_x0000_s1050" style="position:absolute;visibility:visible;mso-wrap-style:square" from="8328,327" to="9624,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" strokeweight=".12pt"/>
                <v:line id="Line 1078" o:spid="_x0000_s1051" style="position:absolute;visibility:visible;mso-wrap-style:square" from="9624,310" to="10920,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" strokeweight=".12pt"/>
                <v:line id="Line 1077" o:spid="_x0000_s1052" style="position:absolute;visibility:visible;mso-wrap-style:square" from="9624,313" to="10920,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" strokeweight=".12pt"/>
                <v:line id="Line 1076" o:spid="_x0000_s1053" style="position:absolute;visibility:visible;mso-wrap-style:square" from="9624,315" to="10920,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" strokeweight=".12pt"/>
                <v:line id="Line 1075" o:spid="_x0000_s1054" style="position:absolute;visibility:visible;mso-wrap-style:square" from="9624,317" to="10920,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" strokeweight=".12pt"/>
                <v:line id="Line 1074" o:spid="_x0000_s1055" style="position:absolute;visibility:visible;mso-wrap-style:square" from="9624,320" to="10920,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" strokeweight=".12pt"/>
                <v:line id="Line 1073" o:spid="_x0000_s1056" style="position:absolute;visibility:visible;mso-wrap-style:square" from="9624,322" to="10920,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" strokeweight=".12pt"/>
                <v:line id="Line 1072" o:spid="_x0000_s1057" style="position:absolute;visibility:visible;mso-wrap-style:square" from="9624,325" to="10920,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" strokeweight=".12pt"/>
                <v:line id="Line 1071" o:spid="_x0000_s1058" style="position:absolute;visibility:visible;mso-wrap-style:square" from="9624,327" to="10920,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" strokeweight=".12pt"/>
                <w10:wrap anchorx="page"/>
              </v:group>
            </w:pict>
          </mc:Fallback>
        </mc:AlternateContent>
      </w:r>
      <w:r w:rsidR="0015611F">
        <w:rPr>
          <w:b/>
          <w:sz w:val="18"/>
        </w:rPr>
        <w:t>Total non-current assets</w:t>
      </w:r>
      <w:r w:rsidR="0015611F">
        <w:rPr>
          <w:b/>
          <w:sz w:val="18"/>
        </w:rPr>
        <w:tab/>
      </w:r>
      <w:r w:rsidR="0015611F">
        <w:rPr>
          <w:b/>
          <w:position w:val="-8"/>
          <w:sz w:val="18"/>
        </w:rPr>
        <w:t>21,758</w:t>
      </w:r>
      <w:r w:rsidR="0015611F">
        <w:rPr>
          <w:b/>
          <w:position w:val="-8"/>
          <w:sz w:val="18"/>
        </w:rPr>
        <w:tab/>
      </w:r>
      <w:r w:rsidR="0015611F">
        <w:rPr>
          <w:position w:val="-8"/>
          <w:sz w:val="18"/>
        </w:rPr>
        <w:t>34,346</w:t>
      </w:r>
    </w:p>
    <w:tbl>
      <w:tblPr>
        <w:tblW w:w="0" w:type="auto"/>
        <w:tblInd w:w="151" w:type="dxa"/>
        <w:tblLayout w:type="fixed"/>
        <w:tblCellMar>
          <w:left w:w="0" w:type="dxa"/>
          <w:right w:w="0" w:type="dxa"/>
        </w:tblCellMar>
        <w:tblLook w:val="01E0" w:firstRow="1" w:lastRow="1" w:firstColumn="1" w:lastColumn="1" w:noHBand="0" w:noVBand="0"/>
      </w:tblPr>
      <w:tblGrid>
        <w:gridCol w:w="4633"/>
        <w:gridCol w:w="2710"/>
        <w:gridCol w:w="1452"/>
        <w:gridCol w:w="1140"/>
      </w:tblGrid>
      <w:tr w:rsidR="00FA4AA8" w14:paraId="50C93ECB" w14:textId="77777777">
        <w:trPr>
          <w:trHeight w:val="320"/>
        </w:trPr>
        <w:tc>
          <w:tcPr>
            <w:tcW w:w="4633" w:type="dxa"/>
          </w:tcPr>
          <w:p w14:paraId="100A3133" w14:textId="77777777" w:rsidR="00FA4AA8" w:rsidRDefault="0015611F">
            <w:pPr>
              <w:pStyle w:val="TableParagraph"/>
              <w:spacing w:before="29"/>
              <w:ind w:left="50"/>
              <w:rPr>
                <w:b/>
                <w:sz w:val="18"/>
              </w:rPr>
            </w:pPr>
            <w:r>
              <w:rPr>
                <w:b/>
                <w:sz w:val="18"/>
              </w:rPr>
              <w:t>Total assets</w:t>
            </w:r>
          </w:p>
        </w:tc>
        <w:tc>
          <w:tcPr>
            <w:tcW w:w="2710" w:type="dxa"/>
          </w:tcPr>
          <w:p w14:paraId="720E25E6" w14:textId="77777777" w:rsidR="00FA4AA8" w:rsidRDefault="00FA4AA8">
            <w:pPr>
              <w:pStyle w:val="TableParagraph"/>
              <w:rPr>
                <w:rFonts w:ascii="Times New Roman"/>
                <w:sz w:val="18"/>
              </w:rPr>
            </w:pPr>
          </w:p>
        </w:tc>
        <w:tc>
          <w:tcPr>
            <w:tcW w:w="1452" w:type="dxa"/>
            <w:tcBorders>
              <w:bottom w:val="double" w:sz="2" w:space="0" w:color="000000"/>
            </w:tcBorders>
          </w:tcPr>
          <w:p w14:paraId="23D0E77C" w14:textId="77777777" w:rsidR="00FA4AA8" w:rsidRDefault="0015611F">
            <w:pPr>
              <w:pStyle w:val="TableParagraph"/>
              <w:spacing w:before="115" w:line="185" w:lineRule="exact"/>
              <w:ind w:right="242"/>
              <w:jc w:val="right"/>
              <w:rPr>
                <w:b/>
                <w:sz w:val="18"/>
              </w:rPr>
            </w:pPr>
            <w:r>
              <w:rPr>
                <w:b/>
                <w:sz w:val="18"/>
              </w:rPr>
              <w:t>225,125</w:t>
            </w:r>
          </w:p>
        </w:tc>
        <w:tc>
          <w:tcPr>
            <w:tcW w:w="1140" w:type="dxa"/>
            <w:tcBorders>
              <w:bottom w:val="double" w:sz="2" w:space="0" w:color="000000"/>
            </w:tcBorders>
          </w:tcPr>
          <w:p w14:paraId="204D4E80" w14:textId="77777777" w:rsidR="00FA4AA8" w:rsidRDefault="0015611F">
            <w:pPr>
              <w:pStyle w:val="TableParagraph"/>
              <w:spacing w:before="115" w:line="185" w:lineRule="exact"/>
              <w:ind w:right="86"/>
              <w:jc w:val="right"/>
              <w:rPr>
                <w:sz w:val="18"/>
              </w:rPr>
            </w:pPr>
            <w:r>
              <w:rPr>
                <w:sz w:val="18"/>
              </w:rPr>
              <w:t>407,436</w:t>
            </w:r>
          </w:p>
        </w:tc>
      </w:tr>
      <w:tr w:rsidR="00FA4AA8" w14:paraId="2F0627F0" w14:textId="77777777">
        <w:trPr>
          <w:trHeight w:val="588"/>
        </w:trPr>
        <w:tc>
          <w:tcPr>
            <w:tcW w:w="4633" w:type="dxa"/>
          </w:tcPr>
          <w:p w14:paraId="537AD7B9" w14:textId="77777777" w:rsidR="00FA4AA8" w:rsidRDefault="0015611F">
            <w:pPr>
              <w:pStyle w:val="TableParagraph"/>
              <w:spacing w:before="94" w:line="230" w:lineRule="atLeast"/>
              <w:ind w:left="50" w:right="3102"/>
              <w:rPr>
                <w:b/>
                <w:sz w:val="18"/>
              </w:rPr>
            </w:pPr>
            <w:r>
              <w:rPr>
                <w:b/>
                <w:sz w:val="18"/>
              </w:rPr>
              <w:t>Liabilities Current liabilities</w:t>
            </w:r>
          </w:p>
        </w:tc>
        <w:tc>
          <w:tcPr>
            <w:tcW w:w="2710" w:type="dxa"/>
          </w:tcPr>
          <w:p w14:paraId="2AB2B637" w14:textId="77777777" w:rsidR="00FA4AA8" w:rsidRDefault="00FA4AA8">
            <w:pPr>
              <w:pStyle w:val="TableParagraph"/>
              <w:rPr>
                <w:rFonts w:ascii="Times New Roman"/>
                <w:sz w:val="18"/>
              </w:rPr>
            </w:pPr>
          </w:p>
        </w:tc>
        <w:tc>
          <w:tcPr>
            <w:tcW w:w="1452" w:type="dxa"/>
            <w:tcBorders>
              <w:top w:val="double" w:sz="2" w:space="0" w:color="000000"/>
            </w:tcBorders>
          </w:tcPr>
          <w:p w14:paraId="250525F0" w14:textId="77777777" w:rsidR="00FA4AA8" w:rsidRDefault="00FA4AA8">
            <w:pPr>
              <w:pStyle w:val="TableParagraph"/>
              <w:rPr>
                <w:rFonts w:ascii="Times New Roman"/>
                <w:sz w:val="18"/>
              </w:rPr>
            </w:pPr>
          </w:p>
        </w:tc>
        <w:tc>
          <w:tcPr>
            <w:tcW w:w="1140" w:type="dxa"/>
            <w:tcBorders>
              <w:top w:val="double" w:sz="2" w:space="0" w:color="000000"/>
            </w:tcBorders>
          </w:tcPr>
          <w:p w14:paraId="518D2661" w14:textId="77777777" w:rsidR="00FA4AA8" w:rsidRDefault="00FA4AA8">
            <w:pPr>
              <w:pStyle w:val="TableParagraph"/>
              <w:rPr>
                <w:rFonts w:ascii="Times New Roman"/>
                <w:sz w:val="18"/>
              </w:rPr>
            </w:pPr>
          </w:p>
        </w:tc>
      </w:tr>
      <w:tr w:rsidR="00FA4AA8" w14:paraId="60FE31EF" w14:textId="77777777">
        <w:trPr>
          <w:trHeight w:val="265"/>
        </w:trPr>
        <w:tc>
          <w:tcPr>
            <w:tcW w:w="4633" w:type="dxa"/>
          </w:tcPr>
          <w:p w14:paraId="1A36EDB8" w14:textId="77777777" w:rsidR="00FA4AA8" w:rsidRDefault="0015611F">
            <w:pPr>
              <w:pStyle w:val="TableParagraph"/>
              <w:spacing w:before="25"/>
              <w:ind w:left="50"/>
              <w:rPr>
                <w:sz w:val="18"/>
              </w:rPr>
            </w:pPr>
            <w:r>
              <w:rPr>
                <w:sz w:val="18"/>
              </w:rPr>
              <w:t>Trade and other payables</w:t>
            </w:r>
          </w:p>
        </w:tc>
        <w:tc>
          <w:tcPr>
            <w:tcW w:w="2710" w:type="dxa"/>
          </w:tcPr>
          <w:p w14:paraId="484A62EA" w14:textId="77777777" w:rsidR="00FA4AA8" w:rsidRDefault="0015611F">
            <w:pPr>
              <w:pStyle w:val="TableParagraph"/>
              <w:spacing w:before="28"/>
              <w:ind w:right="187"/>
              <w:jc w:val="right"/>
              <w:rPr>
                <w:sz w:val="18"/>
              </w:rPr>
            </w:pPr>
            <w:r>
              <w:rPr>
                <w:sz w:val="18"/>
              </w:rPr>
              <w:t>11</w:t>
            </w:r>
          </w:p>
        </w:tc>
        <w:tc>
          <w:tcPr>
            <w:tcW w:w="1452" w:type="dxa"/>
          </w:tcPr>
          <w:p w14:paraId="68C19840" w14:textId="77777777" w:rsidR="00FA4AA8" w:rsidRDefault="0015611F">
            <w:pPr>
              <w:pStyle w:val="TableParagraph"/>
              <w:spacing w:before="28"/>
              <w:ind w:right="242"/>
              <w:jc w:val="right"/>
              <w:rPr>
                <w:b/>
                <w:sz w:val="18"/>
              </w:rPr>
            </w:pPr>
            <w:r>
              <w:rPr>
                <w:b/>
                <w:sz w:val="18"/>
              </w:rPr>
              <w:t>242,705</w:t>
            </w:r>
          </w:p>
        </w:tc>
        <w:tc>
          <w:tcPr>
            <w:tcW w:w="1140" w:type="dxa"/>
          </w:tcPr>
          <w:p w14:paraId="65FAC902" w14:textId="77777777" w:rsidR="00FA4AA8" w:rsidRDefault="0015611F">
            <w:pPr>
              <w:pStyle w:val="TableParagraph"/>
              <w:spacing w:before="28"/>
              <w:ind w:right="86"/>
              <w:jc w:val="right"/>
              <w:rPr>
                <w:sz w:val="18"/>
              </w:rPr>
            </w:pPr>
            <w:r>
              <w:rPr>
                <w:sz w:val="18"/>
              </w:rPr>
              <w:t>390,675</w:t>
            </w:r>
          </w:p>
        </w:tc>
      </w:tr>
      <w:tr w:rsidR="00FA4AA8" w14:paraId="482AFD4A" w14:textId="77777777">
        <w:trPr>
          <w:trHeight w:val="264"/>
        </w:trPr>
        <w:tc>
          <w:tcPr>
            <w:tcW w:w="4633" w:type="dxa"/>
          </w:tcPr>
          <w:p w14:paraId="12CE805C" w14:textId="77777777" w:rsidR="00FA4AA8" w:rsidRDefault="0015611F">
            <w:pPr>
              <w:pStyle w:val="TableParagraph"/>
              <w:spacing w:before="24"/>
              <w:ind w:left="50"/>
              <w:rPr>
                <w:sz w:val="18"/>
              </w:rPr>
            </w:pPr>
            <w:r>
              <w:rPr>
                <w:sz w:val="18"/>
              </w:rPr>
              <w:t>Borrowings from the parent</w:t>
            </w:r>
          </w:p>
        </w:tc>
        <w:tc>
          <w:tcPr>
            <w:tcW w:w="2710" w:type="dxa"/>
          </w:tcPr>
          <w:p w14:paraId="171EF76E" w14:textId="77777777" w:rsidR="00FA4AA8" w:rsidRDefault="0015611F">
            <w:pPr>
              <w:pStyle w:val="TableParagraph"/>
              <w:spacing w:before="26"/>
              <w:ind w:right="187"/>
              <w:jc w:val="right"/>
              <w:rPr>
                <w:sz w:val="18"/>
              </w:rPr>
            </w:pPr>
            <w:r>
              <w:rPr>
                <w:sz w:val="18"/>
              </w:rPr>
              <w:t>12</w:t>
            </w:r>
          </w:p>
        </w:tc>
        <w:tc>
          <w:tcPr>
            <w:tcW w:w="1452" w:type="dxa"/>
          </w:tcPr>
          <w:p w14:paraId="1A06FEAC" w14:textId="77777777" w:rsidR="00FA4AA8" w:rsidRDefault="0015611F">
            <w:pPr>
              <w:pStyle w:val="TableParagraph"/>
              <w:spacing w:before="26"/>
              <w:ind w:right="242"/>
              <w:jc w:val="right"/>
              <w:rPr>
                <w:b/>
                <w:sz w:val="18"/>
              </w:rPr>
            </w:pPr>
            <w:r>
              <w:rPr>
                <w:b/>
                <w:sz w:val="18"/>
              </w:rPr>
              <w:t>2,679,303</w:t>
            </w:r>
          </w:p>
        </w:tc>
        <w:tc>
          <w:tcPr>
            <w:tcW w:w="1140" w:type="dxa"/>
          </w:tcPr>
          <w:p w14:paraId="1964B972" w14:textId="77777777" w:rsidR="00FA4AA8" w:rsidRDefault="0015611F">
            <w:pPr>
              <w:pStyle w:val="TableParagraph"/>
              <w:spacing w:before="26"/>
              <w:ind w:right="86"/>
              <w:jc w:val="right"/>
              <w:rPr>
                <w:sz w:val="18"/>
              </w:rPr>
            </w:pPr>
            <w:r>
              <w:rPr>
                <w:sz w:val="18"/>
              </w:rPr>
              <w:t>799,365</w:t>
            </w:r>
          </w:p>
        </w:tc>
      </w:tr>
      <w:tr w:rsidR="00FA4AA8" w14:paraId="716259D4" w14:textId="77777777">
        <w:trPr>
          <w:trHeight w:val="258"/>
        </w:trPr>
        <w:tc>
          <w:tcPr>
            <w:tcW w:w="4633" w:type="dxa"/>
          </w:tcPr>
          <w:p w14:paraId="3443E689" w14:textId="77777777" w:rsidR="00FA4AA8" w:rsidRDefault="0015611F">
            <w:pPr>
              <w:pStyle w:val="TableParagraph"/>
              <w:spacing w:before="24"/>
              <w:ind w:left="50"/>
              <w:rPr>
                <w:sz w:val="18"/>
              </w:rPr>
            </w:pPr>
            <w:r>
              <w:rPr>
                <w:sz w:val="18"/>
              </w:rPr>
              <w:t>Employee benefit provisions</w:t>
            </w:r>
          </w:p>
        </w:tc>
        <w:tc>
          <w:tcPr>
            <w:tcW w:w="2710" w:type="dxa"/>
          </w:tcPr>
          <w:p w14:paraId="2BEFE9C4" w14:textId="77777777" w:rsidR="00FA4AA8" w:rsidRDefault="0015611F">
            <w:pPr>
              <w:pStyle w:val="TableParagraph"/>
              <w:spacing w:before="26"/>
              <w:ind w:right="187"/>
              <w:jc w:val="right"/>
              <w:rPr>
                <w:sz w:val="18"/>
              </w:rPr>
            </w:pPr>
            <w:r>
              <w:rPr>
                <w:sz w:val="18"/>
              </w:rPr>
              <w:t>13</w:t>
            </w:r>
          </w:p>
        </w:tc>
        <w:tc>
          <w:tcPr>
            <w:tcW w:w="1452" w:type="dxa"/>
            <w:tcBorders>
              <w:bottom w:val="single" w:sz="8" w:space="0" w:color="000000"/>
            </w:tcBorders>
          </w:tcPr>
          <w:p w14:paraId="2DE7CF6F" w14:textId="77777777" w:rsidR="00FA4AA8" w:rsidRDefault="0015611F">
            <w:pPr>
              <w:pStyle w:val="TableParagraph"/>
              <w:spacing w:before="26"/>
              <w:ind w:right="242"/>
              <w:jc w:val="right"/>
              <w:rPr>
                <w:b/>
                <w:sz w:val="18"/>
              </w:rPr>
            </w:pPr>
            <w:r>
              <w:rPr>
                <w:b/>
                <w:sz w:val="18"/>
              </w:rPr>
              <w:t>238,704</w:t>
            </w:r>
          </w:p>
        </w:tc>
        <w:tc>
          <w:tcPr>
            <w:tcW w:w="1140" w:type="dxa"/>
            <w:tcBorders>
              <w:bottom w:val="single" w:sz="8" w:space="0" w:color="000000"/>
            </w:tcBorders>
          </w:tcPr>
          <w:p w14:paraId="310D96E3" w14:textId="77777777" w:rsidR="00FA4AA8" w:rsidRDefault="0015611F">
            <w:pPr>
              <w:pStyle w:val="TableParagraph"/>
              <w:spacing w:before="26"/>
              <w:ind w:right="86"/>
              <w:jc w:val="right"/>
              <w:rPr>
                <w:sz w:val="18"/>
              </w:rPr>
            </w:pPr>
            <w:r>
              <w:rPr>
                <w:sz w:val="18"/>
              </w:rPr>
              <w:t>374,226</w:t>
            </w:r>
          </w:p>
        </w:tc>
      </w:tr>
      <w:tr w:rsidR="00FA4AA8" w14:paraId="4A566181" w14:textId="77777777">
        <w:trPr>
          <w:trHeight w:val="318"/>
        </w:trPr>
        <w:tc>
          <w:tcPr>
            <w:tcW w:w="4633" w:type="dxa"/>
          </w:tcPr>
          <w:p w14:paraId="651D1246" w14:textId="77777777" w:rsidR="00FA4AA8" w:rsidRDefault="0015611F">
            <w:pPr>
              <w:pStyle w:val="TableParagraph"/>
              <w:spacing w:before="28"/>
              <w:ind w:left="50"/>
              <w:rPr>
                <w:b/>
                <w:sz w:val="18"/>
              </w:rPr>
            </w:pPr>
            <w:r>
              <w:rPr>
                <w:b/>
                <w:sz w:val="18"/>
              </w:rPr>
              <w:t>Total current liabilities</w:t>
            </w:r>
          </w:p>
        </w:tc>
        <w:tc>
          <w:tcPr>
            <w:tcW w:w="2710" w:type="dxa"/>
          </w:tcPr>
          <w:p w14:paraId="2752F5CD" w14:textId="77777777" w:rsidR="00FA4AA8" w:rsidRDefault="00FA4AA8">
            <w:pPr>
              <w:pStyle w:val="TableParagraph"/>
              <w:rPr>
                <w:rFonts w:ascii="Times New Roman"/>
                <w:sz w:val="18"/>
              </w:rPr>
            </w:pPr>
          </w:p>
        </w:tc>
        <w:tc>
          <w:tcPr>
            <w:tcW w:w="1452" w:type="dxa"/>
            <w:tcBorders>
              <w:top w:val="single" w:sz="8" w:space="0" w:color="000000"/>
              <w:bottom w:val="single" w:sz="8" w:space="0" w:color="000000"/>
            </w:tcBorders>
          </w:tcPr>
          <w:p w14:paraId="34AC824E" w14:textId="77777777" w:rsidR="00FA4AA8" w:rsidRDefault="0015611F">
            <w:pPr>
              <w:pStyle w:val="TableParagraph"/>
              <w:spacing w:before="115" w:line="183" w:lineRule="exact"/>
              <w:ind w:right="242"/>
              <w:jc w:val="right"/>
              <w:rPr>
                <w:b/>
                <w:sz w:val="18"/>
              </w:rPr>
            </w:pPr>
            <w:r>
              <w:rPr>
                <w:b/>
                <w:sz w:val="18"/>
              </w:rPr>
              <w:t>3,160,712</w:t>
            </w:r>
          </w:p>
        </w:tc>
        <w:tc>
          <w:tcPr>
            <w:tcW w:w="1140" w:type="dxa"/>
            <w:tcBorders>
              <w:top w:val="single" w:sz="8" w:space="0" w:color="000000"/>
              <w:bottom w:val="single" w:sz="8" w:space="0" w:color="000000"/>
            </w:tcBorders>
          </w:tcPr>
          <w:p w14:paraId="590FB317" w14:textId="77777777" w:rsidR="00FA4AA8" w:rsidRDefault="0015611F">
            <w:pPr>
              <w:pStyle w:val="TableParagraph"/>
              <w:spacing w:before="115" w:line="183" w:lineRule="exact"/>
              <w:ind w:right="86"/>
              <w:jc w:val="right"/>
              <w:rPr>
                <w:sz w:val="18"/>
              </w:rPr>
            </w:pPr>
            <w:r>
              <w:rPr>
                <w:sz w:val="18"/>
              </w:rPr>
              <w:t>1,564,266</w:t>
            </w:r>
          </w:p>
        </w:tc>
      </w:tr>
      <w:tr w:rsidR="00FA4AA8" w14:paraId="56A79D6C" w14:textId="77777777">
        <w:trPr>
          <w:trHeight w:val="267"/>
        </w:trPr>
        <w:tc>
          <w:tcPr>
            <w:tcW w:w="4633" w:type="dxa"/>
          </w:tcPr>
          <w:p w14:paraId="6EE77E22" w14:textId="77777777" w:rsidR="00FA4AA8" w:rsidRDefault="0015611F">
            <w:pPr>
              <w:pStyle w:val="TableParagraph"/>
              <w:spacing w:before="28"/>
              <w:ind w:left="50"/>
              <w:rPr>
                <w:b/>
                <w:sz w:val="18"/>
              </w:rPr>
            </w:pPr>
            <w:r>
              <w:rPr>
                <w:b/>
                <w:sz w:val="18"/>
              </w:rPr>
              <w:t>Non-current liabilities</w:t>
            </w:r>
          </w:p>
        </w:tc>
        <w:tc>
          <w:tcPr>
            <w:tcW w:w="2710" w:type="dxa"/>
          </w:tcPr>
          <w:p w14:paraId="41DECA40" w14:textId="77777777" w:rsidR="00FA4AA8" w:rsidRDefault="00FA4AA8">
            <w:pPr>
              <w:pStyle w:val="TableParagraph"/>
              <w:rPr>
                <w:rFonts w:ascii="Times New Roman"/>
                <w:sz w:val="18"/>
              </w:rPr>
            </w:pPr>
          </w:p>
        </w:tc>
        <w:tc>
          <w:tcPr>
            <w:tcW w:w="1452" w:type="dxa"/>
            <w:tcBorders>
              <w:top w:val="single" w:sz="8" w:space="0" w:color="000000"/>
            </w:tcBorders>
          </w:tcPr>
          <w:p w14:paraId="1B01C24F" w14:textId="77777777" w:rsidR="00FA4AA8" w:rsidRDefault="00FA4AA8">
            <w:pPr>
              <w:pStyle w:val="TableParagraph"/>
              <w:rPr>
                <w:rFonts w:ascii="Times New Roman"/>
                <w:sz w:val="18"/>
              </w:rPr>
            </w:pPr>
          </w:p>
        </w:tc>
        <w:tc>
          <w:tcPr>
            <w:tcW w:w="1140" w:type="dxa"/>
            <w:tcBorders>
              <w:top w:val="single" w:sz="8" w:space="0" w:color="000000"/>
            </w:tcBorders>
          </w:tcPr>
          <w:p w14:paraId="2D8807FF" w14:textId="77777777" w:rsidR="00FA4AA8" w:rsidRDefault="00FA4AA8">
            <w:pPr>
              <w:pStyle w:val="TableParagraph"/>
              <w:rPr>
                <w:rFonts w:ascii="Times New Roman"/>
                <w:sz w:val="18"/>
              </w:rPr>
            </w:pPr>
          </w:p>
        </w:tc>
      </w:tr>
      <w:tr w:rsidR="00FA4AA8" w14:paraId="1C49B269" w14:textId="77777777">
        <w:trPr>
          <w:trHeight w:val="260"/>
        </w:trPr>
        <w:tc>
          <w:tcPr>
            <w:tcW w:w="4633" w:type="dxa"/>
          </w:tcPr>
          <w:p w14:paraId="774F25A0" w14:textId="77777777" w:rsidR="00FA4AA8" w:rsidRDefault="0015611F">
            <w:pPr>
              <w:pStyle w:val="TableParagraph"/>
              <w:spacing w:before="25"/>
              <w:ind w:left="50"/>
              <w:rPr>
                <w:sz w:val="18"/>
              </w:rPr>
            </w:pPr>
            <w:r>
              <w:rPr>
                <w:sz w:val="18"/>
              </w:rPr>
              <w:t>Employee benefit provisions</w:t>
            </w:r>
          </w:p>
        </w:tc>
        <w:tc>
          <w:tcPr>
            <w:tcW w:w="2710" w:type="dxa"/>
          </w:tcPr>
          <w:p w14:paraId="326372D2" w14:textId="77777777" w:rsidR="00FA4AA8" w:rsidRDefault="0015611F">
            <w:pPr>
              <w:pStyle w:val="TableParagraph"/>
              <w:spacing w:before="28"/>
              <w:ind w:right="187"/>
              <w:jc w:val="right"/>
              <w:rPr>
                <w:sz w:val="18"/>
              </w:rPr>
            </w:pPr>
            <w:r>
              <w:rPr>
                <w:sz w:val="18"/>
              </w:rPr>
              <w:t>13</w:t>
            </w:r>
          </w:p>
        </w:tc>
        <w:tc>
          <w:tcPr>
            <w:tcW w:w="1452" w:type="dxa"/>
            <w:tcBorders>
              <w:bottom w:val="single" w:sz="8" w:space="0" w:color="000000"/>
            </w:tcBorders>
          </w:tcPr>
          <w:p w14:paraId="2C38BA55" w14:textId="77777777" w:rsidR="00FA4AA8" w:rsidRDefault="0015611F">
            <w:pPr>
              <w:pStyle w:val="TableParagraph"/>
              <w:spacing w:before="28"/>
              <w:ind w:right="242"/>
              <w:jc w:val="right"/>
              <w:rPr>
                <w:b/>
                <w:sz w:val="18"/>
              </w:rPr>
            </w:pPr>
            <w:r>
              <w:rPr>
                <w:b/>
                <w:sz w:val="18"/>
              </w:rPr>
              <w:t>27,005</w:t>
            </w:r>
          </w:p>
        </w:tc>
        <w:tc>
          <w:tcPr>
            <w:tcW w:w="1140" w:type="dxa"/>
            <w:tcBorders>
              <w:bottom w:val="single" w:sz="8" w:space="0" w:color="000000"/>
            </w:tcBorders>
          </w:tcPr>
          <w:p w14:paraId="175112C4" w14:textId="77777777" w:rsidR="00FA4AA8" w:rsidRDefault="0015611F">
            <w:pPr>
              <w:pStyle w:val="TableParagraph"/>
              <w:spacing w:before="28"/>
              <w:ind w:right="86"/>
              <w:jc w:val="right"/>
              <w:rPr>
                <w:sz w:val="18"/>
              </w:rPr>
            </w:pPr>
            <w:r>
              <w:rPr>
                <w:sz w:val="18"/>
              </w:rPr>
              <w:t>73,000</w:t>
            </w:r>
          </w:p>
        </w:tc>
      </w:tr>
    </w:tbl>
    <w:p w14:paraId="524E2B61" w14:textId="77777777" w:rsidR="00FA4AA8" w:rsidRDefault="007E2441">
      <w:pPr>
        <w:spacing w:before="19" w:line="391" w:lineRule="auto"/>
        <w:ind w:left="194" w:right="7705"/>
        <w:rPr>
          <w:b/>
          <w:sz w:val="18"/>
        </w:rPr>
      </w:pPr>
      <w:r>
        <w:rPr>
          <w:noProof/>
          <w:lang w:val="en-AU" w:eastAsia="en-AU"/>
        </w:rPr>
        <mc:AlternateContent>
          <mc:Choice Requires="wps">
            <w:drawing>
              <wp:anchor distT="0" distB="0" distL="114300" distR="114300" simplePos="0" relativeHeight="15779328" behindDoc="0" locked="0" layoutInCell="1" allowOverlap="1" wp14:anchorId="415043F8" wp14:editId="3F4C535E">
                <wp:simplePos x="0" y="0"/>
                <wp:positionH relativeFrom="page">
                  <wp:posOffset>5008245</wp:posOffset>
                </wp:positionH>
                <wp:positionV relativeFrom="paragraph">
                  <wp:posOffset>-6350</wp:posOffset>
                </wp:positionV>
                <wp:extent cx="1926590" cy="436245"/>
                <wp:effectExtent l="0" t="0" r="0" b="0"/>
                <wp:wrapNone/>
                <wp:docPr id="1303" name="Text Box 1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6590" cy="436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441"/>
                              <w:gridCol w:w="1452"/>
                              <w:gridCol w:w="1140"/>
                            </w:tblGrid>
                            <w:tr w:rsidR="001F3ACE" w14:paraId="00474D54" w14:textId="77777777">
                              <w:trPr>
                                <w:trHeight w:val="318"/>
                              </w:trPr>
                              <w:tc>
                                <w:tcPr>
                                  <w:tcW w:w="441" w:type="dxa"/>
                                </w:tcPr>
                                <w:p w14:paraId="22000D63" w14:textId="77777777" w:rsidR="001F3ACE" w:rsidRDefault="001F3ACE">
                                  <w:pPr>
                                    <w:pStyle w:val="TableParagraph"/>
                                    <w:rPr>
                                      <w:rFonts w:ascii="Times New Roman"/>
                                      <w:sz w:val="18"/>
                                    </w:rPr>
                                  </w:pPr>
                                </w:p>
                              </w:tc>
                              <w:tc>
                                <w:tcPr>
                                  <w:tcW w:w="1452" w:type="dxa"/>
                                  <w:tcBorders>
                                    <w:bottom w:val="single" w:sz="8" w:space="0" w:color="000000"/>
                                  </w:tcBorders>
                                </w:tcPr>
                                <w:p w14:paraId="770E594A" w14:textId="77777777" w:rsidR="001F3ACE" w:rsidRDefault="001F3ACE">
                                  <w:pPr>
                                    <w:pStyle w:val="TableParagraph"/>
                                    <w:spacing w:before="115" w:line="183" w:lineRule="exact"/>
                                    <w:ind w:right="242"/>
                                    <w:jc w:val="right"/>
                                    <w:rPr>
                                      <w:b/>
                                      <w:sz w:val="18"/>
                                    </w:rPr>
                                  </w:pPr>
                                  <w:r>
                                    <w:rPr>
                                      <w:b/>
                                      <w:sz w:val="18"/>
                                    </w:rPr>
                                    <w:t>27,005</w:t>
                                  </w:r>
                                </w:p>
                              </w:tc>
                              <w:tc>
                                <w:tcPr>
                                  <w:tcW w:w="1140" w:type="dxa"/>
                                  <w:tcBorders>
                                    <w:bottom w:val="single" w:sz="8" w:space="0" w:color="000000"/>
                                  </w:tcBorders>
                                </w:tcPr>
                                <w:p w14:paraId="7C847346" w14:textId="77777777" w:rsidR="001F3ACE" w:rsidRDefault="001F3ACE">
                                  <w:pPr>
                                    <w:pStyle w:val="TableParagraph"/>
                                    <w:spacing w:before="115" w:line="183" w:lineRule="exact"/>
                                    <w:ind w:right="86"/>
                                    <w:jc w:val="right"/>
                                    <w:rPr>
                                      <w:sz w:val="18"/>
                                    </w:rPr>
                                  </w:pPr>
                                  <w:r>
                                    <w:rPr>
                                      <w:sz w:val="18"/>
                                    </w:rPr>
                                    <w:t>73,000</w:t>
                                  </w:r>
                                </w:p>
                              </w:tc>
                            </w:tr>
                            <w:tr w:rsidR="001F3ACE" w14:paraId="22B65323" w14:textId="77777777">
                              <w:trPr>
                                <w:trHeight w:val="318"/>
                              </w:trPr>
                              <w:tc>
                                <w:tcPr>
                                  <w:tcW w:w="441" w:type="dxa"/>
                                </w:tcPr>
                                <w:p w14:paraId="4A6E3D99" w14:textId="77777777" w:rsidR="001F3ACE" w:rsidRDefault="001F3ACE">
                                  <w:pPr>
                                    <w:pStyle w:val="TableParagraph"/>
                                    <w:rPr>
                                      <w:rFonts w:ascii="Times New Roman"/>
                                      <w:sz w:val="18"/>
                                    </w:rPr>
                                  </w:pPr>
                                </w:p>
                              </w:tc>
                              <w:tc>
                                <w:tcPr>
                                  <w:tcW w:w="1452" w:type="dxa"/>
                                  <w:tcBorders>
                                    <w:top w:val="single" w:sz="8" w:space="0" w:color="000000"/>
                                    <w:bottom w:val="single" w:sz="8" w:space="0" w:color="000000"/>
                                  </w:tcBorders>
                                </w:tcPr>
                                <w:p w14:paraId="023DE543" w14:textId="77777777" w:rsidR="001F3ACE" w:rsidRDefault="001F3ACE">
                                  <w:pPr>
                                    <w:pStyle w:val="TableParagraph"/>
                                    <w:spacing w:before="115" w:line="183" w:lineRule="exact"/>
                                    <w:ind w:right="243"/>
                                    <w:jc w:val="right"/>
                                    <w:rPr>
                                      <w:b/>
                                      <w:sz w:val="18"/>
                                    </w:rPr>
                                  </w:pPr>
                                  <w:r>
                                    <w:rPr>
                                      <w:b/>
                                      <w:sz w:val="18"/>
                                    </w:rPr>
                                    <w:t>3,187,717</w:t>
                                  </w:r>
                                </w:p>
                              </w:tc>
                              <w:tc>
                                <w:tcPr>
                                  <w:tcW w:w="1140" w:type="dxa"/>
                                  <w:tcBorders>
                                    <w:top w:val="single" w:sz="8" w:space="0" w:color="000000"/>
                                    <w:bottom w:val="single" w:sz="8" w:space="0" w:color="000000"/>
                                  </w:tcBorders>
                                </w:tcPr>
                                <w:p w14:paraId="1B90F291" w14:textId="77777777" w:rsidR="001F3ACE" w:rsidRDefault="001F3ACE">
                                  <w:pPr>
                                    <w:pStyle w:val="TableParagraph"/>
                                    <w:spacing w:before="115" w:line="183" w:lineRule="exact"/>
                                    <w:ind w:right="87"/>
                                    <w:jc w:val="right"/>
                                    <w:rPr>
                                      <w:sz w:val="18"/>
                                    </w:rPr>
                                  </w:pPr>
                                  <w:r>
                                    <w:rPr>
                                      <w:sz w:val="18"/>
                                    </w:rPr>
                                    <w:t>1,637,266</w:t>
                                  </w:r>
                                </w:p>
                              </w:tc>
                            </w:tr>
                          </w:tbl>
                          <w:p w14:paraId="47A02182" w14:textId="77777777" w:rsidR="001F3ACE" w:rsidRDefault="001F3AC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043F8" id="Text Box 1069" o:spid="_x0000_s1045" type="#_x0000_t202" style="position:absolute;left:0;text-align:left;margin-left:394.35pt;margin-top:-.5pt;width:151.7pt;height:34.35pt;z-index:1577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441"/>
                        <w:gridCol w:w="1452"/>
                        <w:gridCol w:w="1140"/>
                      </w:tblGrid>
                      <w:tr w:rsidR="001F3ACE" w14:paraId="00474D54" w14:textId="77777777">
                        <w:trPr>
                          <w:trHeight w:val="318"/>
                        </w:trPr>
                        <w:tc>
                          <w:tcPr>
                            <w:tcW w:w="441" w:type="dxa"/>
                          </w:tcPr>
                          <w:p w14:paraId="22000D63" w14:textId="77777777" w:rsidR="001F3ACE" w:rsidRDefault="001F3ACE">
                            <w:pPr>
                              <w:pStyle w:val="TableParagraph"/>
                              <w:rPr>
                                <w:rFonts w:ascii="Times New Roman"/>
                                <w:sz w:val="18"/>
                              </w:rPr>
                            </w:pPr>
                          </w:p>
                        </w:tc>
                        <w:tc>
                          <w:tcPr>
                            <w:tcW w:w="1452" w:type="dxa"/>
                            <w:tcBorders>
                              <w:bottom w:val="single" w:sz="8" w:space="0" w:color="000000"/>
                            </w:tcBorders>
                          </w:tcPr>
                          <w:p w14:paraId="770E594A" w14:textId="77777777" w:rsidR="001F3ACE" w:rsidRDefault="001F3ACE">
                            <w:pPr>
                              <w:pStyle w:val="TableParagraph"/>
                              <w:spacing w:before="115" w:line="183" w:lineRule="exact"/>
                              <w:ind w:right="242"/>
                              <w:jc w:val="right"/>
                              <w:rPr>
                                <w:b/>
                                <w:sz w:val="18"/>
                              </w:rPr>
                            </w:pPr>
                            <w:r>
                              <w:rPr>
                                <w:b/>
                                <w:sz w:val="18"/>
                              </w:rPr>
                              <w:t>27,005</w:t>
                            </w:r>
                          </w:p>
                        </w:tc>
                        <w:tc>
                          <w:tcPr>
                            <w:tcW w:w="1140" w:type="dxa"/>
                            <w:tcBorders>
                              <w:bottom w:val="single" w:sz="8" w:space="0" w:color="000000"/>
                            </w:tcBorders>
                          </w:tcPr>
                          <w:p w14:paraId="7C847346" w14:textId="77777777" w:rsidR="001F3ACE" w:rsidRDefault="001F3ACE">
                            <w:pPr>
                              <w:pStyle w:val="TableParagraph"/>
                              <w:spacing w:before="115" w:line="183" w:lineRule="exact"/>
                              <w:ind w:right="86"/>
                              <w:jc w:val="right"/>
                              <w:rPr>
                                <w:sz w:val="18"/>
                              </w:rPr>
                            </w:pPr>
                            <w:r>
                              <w:rPr>
                                <w:sz w:val="18"/>
                              </w:rPr>
                              <w:t>73,000</w:t>
                            </w:r>
                          </w:p>
                        </w:tc>
                      </w:tr>
                      <w:tr w:rsidR="001F3ACE" w14:paraId="22B65323" w14:textId="77777777">
                        <w:trPr>
                          <w:trHeight w:val="318"/>
                        </w:trPr>
                        <w:tc>
                          <w:tcPr>
                            <w:tcW w:w="441" w:type="dxa"/>
                          </w:tcPr>
                          <w:p w14:paraId="4A6E3D99" w14:textId="77777777" w:rsidR="001F3ACE" w:rsidRDefault="001F3ACE">
                            <w:pPr>
                              <w:pStyle w:val="TableParagraph"/>
                              <w:rPr>
                                <w:rFonts w:ascii="Times New Roman"/>
                                <w:sz w:val="18"/>
                              </w:rPr>
                            </w:pPr>
                          </w:p>
                        </w:tc>
                        <w:tc>
                          <w:tcPr>
                            <w:tcW w:w="1452" w:type="dxa"/>
                            <w:tcBorders>
                              <w:top w:val="single" w:sz="8" w:space="0" w:color="000000"/>
                              <w:bottom w:val="single" w:sz="8" w:space="0" w:color="000000"/>
                            </w:tcBorders>
                          </w:tcPr>
                          <w:p w14:paraId="023DE543" w14:textId="77777777" w:rsidR="001F3ACE" w:rsidRDefault="001F3ACE">
                            <w:pPr>
                              <w:pStyle w:val="TableParagraph"/>
                              <w:spacing w:before="115" w:line="183" w:lineRule="exact"/>
                              <w:ind w:right="243"/>
                              <w:jc w:val="right"/>
                              <w:rPr>
                                <w:b/>
                                <w:sz w:val="18"/>
                              </w:rPr>
                            </w:pPr>
                            <w:r>
                              <w:rPr>
                                <w:b/>
                                <w:sz w:val="18"/>
                              </w:rPr>
                              <w:t>3,187,717</w:t>
                            </w:r>
                          </w:p>
                        </w:tc>
                        <w:tc>
                          <w:tcPr>
                            <w:tcW w:w="1140" w:type="dxa"/>
                            <w:tcBorders>
                              <w:top w:val="single" w:sz="8" w:space="0" w:color="000000"/>
                              <w:bottom w:val="single" w:sz="8" w:space="0" w:color="000000"/>
                            </w:tcBorders>
                          </w:tcPr>
                          <w:p w14:paraId="1B90F291" w14:textId="77777777" w:rsidR="001F3ACE" w:rsidRDefault="001F3ACE">
                            <w:pPr>
                              <w:pStyle w:val="TableParagraph"/>
                              <w:spacing w:before="115" w:line="183" w:lineRule="exact"/>
                              <w:ind w:right="87"/>
                              <w:jc w:val="right"/>
                              <w:rPr>
                                <w:sz w:val="18"/>
                              </w:rPr>
                            </w:pPr>
                            <w:r>
                              <w:rPr>
                                <w:sz w:val="18"/>
                              </w:rPr>
                              <w:t>1,637,266</w:t>
                            </w:r>
                          </w:p>
                        </w:tc>
                      </w:tr>
                    </w:tbl>
                    <w:p w14:paraId="47A02182" w14:textId="77777777" w:rsidR="001F3ACE" w:rsidRDefault="001F3ACE">
                      <w:pPr>
                        <w:pStyle w:val="BodyText"/>
                      </w:pPr>
                    </w:p>
                  </w:txbxContent>
                </v:textbox>
                <w10:wrap anchorx="page"/>
              </v:shape>
            </w:pict>
          </mc:Fallback>
        </mc:AlternateContent>
      </w:r>
      <w:r w:rsidR="0015611F">
        <w:rPr>
          <w:b/>
          <w:sz w:val="18"/>
        </w:rPr>
        <w:t>Total non-current liabilities Total liabilities</w:t>
      </w:r>
    </w:p>
    <w:p w14:paraId="1BE2FBC9" w14:textId="77777777" w:rsidR="00FA4AA8" w:rsidRDefault="0015611F">
      <w:pPr>
        <w:tabs>
          <w:tab w:val="left" w:pos="7487"/>
          <w:tab w:val="left" w:pos="7828"/>
          <w:tab w:val="left" w:pos="9124"/>
        </w:tabs>
        <w:spacing w:line="295" w:lineRule="exact"/>
        <w:ind w:left="194"/>
        <w:rPr>
          <w:sz w:val="18"/>
        </w:rPr>
      </w:pPr>
      <w:r>
        <w:rPr>
          <w:b/>
          <w:position w:val="9"/>
          <w:sz w:val="18"/>
        </w:rPr>
        <w:t>Net assets</w:t>
      </w:r>
      <w:r>
        <w:rPr>
          <w:b/>
          <w:position w:val="9"/>
          <w:sz w:val="18"/>
        </w:rPr>
        <w:tab/>
      </w:r>
      <w:r>
        <w:rPr>
          <w:b/>
          <w:sz w:val="18"/>
          <w:u w:val="thick"/>
        </w:rPr>
        <w:t xml:space="preserve"> </w:t>
      </w:r>
      <w:r>
        <w:rPr>
          <w:b/>
          <w:sz w:val="18"/>
          <w:u w:val="thick"/>
        </w:rPr>
        <w:tab/>
        <w:t>(2,962,592)</w:t>
      </w:r>
      <w:r>
        <w:rPr>
          <w:b/>
          <w:sz w:val="18"/>
          <w:u w:val="thick"/>
        </w:rPr>
        <w:tab/>
      </w:r>
      <w:r>
        <w:rPr>
          <w:sz w:val="18"/>
          <w:u w:val="thick"/>
        </w:rPr>
        <w:t>(1,229,830)</w:t>
      </w:r>
    </w:p>
    <w:p w14:paraId="6DE215CC" w14:textId="77777777" w:rsidR="00FA4AA8" w:rsidRDefault="00FA4AA8">
      <w:pPr>
        <w:pStyle w:val="BodyText"/>
        <w:rPr>
          <w:sz w:val="20"/>
        </w:rPr>
      </w:pPr>
    </w:p>
    <w:p w14:paraId="156B33C4" w14:textId="77777777" w:rsidR="00FA4AA8" w:rsidRDefault="00FA4AA8">
      <w:pPr>
        <w:pStyle w:val="BodyText"/>
        <w:spacing w:before="5"/>
        <w:rPr>
          <w:sz w:val="19"/>
        </w:rPr>
      </w:pPr>
    </w:p>
    <w:p w14:paraId="4CAD9508" w14:textId="77777777" w:rsidR="00FA4AA8" w:rsidRDefault="0015611F">
      <w:pPr>
        <w:ind w:left="194"/>
        <w:rPr>
          <w:b/>
          <w:sz w:val="18"/>
        </w:rPr>
      </w:pPr>
      <w:r>
        <w:rPr>
          <w:b/>
          <w:sz w:val="18"/>
        </w:rPr>
        <w:t>Equity</w:t>
      </w:r>
    </w:p>
    <w:p w14:paraId="3A3B41E7" w14:textId="77777777" w:rsidR="00FA4AA8" w:rsidRDefault="007E2441">
      <w:pPr>
        <w:tabs>
          <w:tab w:val="left" w:pos="7096"/>
          <w:tab w:val="left" w:pos="7828"/>
          <w:tab w:val="left" w:pos="9124"/>
        </w:tabs>
        <w:spacing w:before="28"/>
        <w:ind w:left="194"/>
        <w:rPr>
          <w:sz w:val="18"/>
        </w:rPr>
      </w:pPr>
      <w:r>
        <w:rPr>
          <w:noProof/>
          <w:lang w:val="en-AU" w:eastAsia="en-AU"/>
        </w:rPr>
        <mc:AlternateContent>
          <mc:Choice Requires="wpg">
            <w:drawing>
              <wp:anchor distT="0" distB="0" distL="0" distR="0" simplePos="0" relativeHeight="487637504" behindDoc="1" locked="0" layoutInCell="1" allowOverlap="1" wp14:anchorId="6E27018E" wp14:editId="69739E91">
                <wp:simplePos x="0" y="0"/>
                <wp:positionH relativeFrom="page">
                  <wp:posOffset>5288280</wp:posOffset>
                </wp:positionH>
                <wp:positionV relativeFrom="paragraph">
                  <wp:posOffset>165100</wp:posOffset>
                </wp:positionV>
                <wp:extent cx="1645920" cy="12700"/>
                <wp:effectExtent l="0" t="0" r="0" b="0"/>
                <wp:wrapTopAndBottom/>
                <wp:docPr id="1286" name="Group 1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5920" cy="12700"/>
                          <a:chOff x="8328" y="260"/>
                          <a:chExt cx="2592" cy="20"/>
                        </a:xfrm>
                      </wpg:grpSpPr>
                      <wps:wsp>
                        <wps:cNvPr id="1287" name="Line 1068"/>
                        <wps:cNvCnPr>
                          <a:cxnSpLocks noChangeShapeType="1"/>
                        </wps:cNvCnPr>
                        <wps:spPr bwMode="auto">
                          <a:xfrm>
                            <a:off x="8328" y="262"/>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88" name="Line 1067"/>
                        <wps:cNvCnPr>
                          <a:cxnSpLocks noChangeShapeType="1"/>
                        </wps:cNvCnPr>
                        <wps:spPr bwMode="auto">
                          <a:xfrm>
                            <a:off x="8328" y="264"/>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89" name="Line 1066"/>
                        <wps:cNvCnPr>
                          <a:cxnSpLocks noChangeShapeType="1"/>
                        </wps:cNvCnPr>
                        <wps:spPr bwMode="auto">
                          <a:xfrm>
                            <a:off x="8328" y="266"/>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90" name="Line 1065"/>
                        <wps:cNvCnPr>
                          <a:cxnSpLocks noChangeShapeType="1"/>
                        </wps:cNvCnPr>
                        <wps:spPr bwMode="auto">
                          <a:xfrm>
                            <a:off x="8328" y="269"/>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91" name="Line 1064"/>
                        <wps:cNvCnPr>
                          <a:cxnSpLocks noChangeShapeType="1"/>
                        </wps:cNvCnPr>
                        <wps:spPr bwMode="auto">
                          <a:xfrm>
                            <a:off x="8328" y="27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92" name="Line 1063"/>
                        <wps:cNvCnPr>
                          <a:cxnSpLocks noChangeShapeType="1"/>
                        </wps:cNvCnPr>
                        <wps:spPr bwMode="auto">
                          <a:xfrm>
                            <a:off x="8328" y="274"/>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93" name="Line 1062"/>
                        <wps:cNvCnPr>
                          <a:cxnSpLocks noChangeShapeType="1"/>
                        </wps:cNvCnPr>
                        <wps:spPr bwMode="auto">
                          <a:xfrm>
                            <a:off x="8328" y="276"/>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94" name="Line 1061"/>
                        <wps:cNvCnPr>
                          <a:cxnSpLocks noChangeShapeType="1"/>
                        </wps:cNvCnPr>
                        <wps:spPr bwMode="auto">
                          <a:xfrm>
                            <a:off x="8328" y="27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95" name="Line 1060"/>
                        <wps:cNvCnPr>
                          <a:cxnSpLocks noChangeShapeType="1"/>
                        </wps:cNvCnPr>
                        <wps:spPr bwMode="auto">
                          <a:xfrm>
                            <a:off x="9624" y="262"/>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96" name="Line 1059"/>
                        <wps:cNvCnPr>
                          <a:cxnSpLocks noChangeShapeType="1"/>
                        </wps:cNvCnPr>
                        <wps:spPr bwMode="auto">
                          <a:xfrm>
                            <a:off x="9624" y="264"/>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97" name="Line 1058"/>
                        <wps:cNvCnPr>
                          <a:cxnSpLocks noChangeShapeType="1"/>
                        </wps:cNvCnPr>
                        <wps:spPr bwMode="auto">
                          <a:xfrm>
                            <a:off x="9624" y="266"/>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98" name="Line 1057"/>
                        <wps:cNvCnPr>
                          <a:cxnSpLocks noChangeShapeType="1"/>
                        </wps:cNvCnPr>
                        <wps:spPr bwMode="auto">
                          <a:xfrm>
                            <a:off x="9624" y="269"/>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99" name="Line 1056"/>
                        <wps:cNvCnPr>
                          <a:cxnSpLocks noChangeShapeType="1"/>
                        </wps:cNvCnPr>
                        <wps:spPr bwMode="auto">
                          <a:xfrm>
                            <a:off x="9624" y="27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300" name="Line 1055"/>
                        <wps:cNvCnPr>
                          <a:cxnSpLocks noChangeShapeType="1"/>
                        </wps:cNvCnPr>
                        <wps:spPr bwMode="auto">
                          <a:xfrm>
                            <a:off x="9624" y="274"/>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301" name="Line 1054"/>
                        <wps:cNvCnPr>
                          <a:cxnSpLocks noChangeShapeType="1"/>
                        </wps:cNvCnPr>
                        <wps:spPr bwMode="auto">
                          <a:xfrm>
                            <a:off x="9624" y="276"/>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302" name="Line 1053"/>
                        <wps:cNvCnPr>
                          <a:cxnSpLocks noChangeShapeType="1"/>
                        </wps:cNvCnPr>
                        <wps:spPr bwMode="auto">
                          <a:xfrm>
                            <a:off x="9624" y="27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2BD034" id="Group 1052" o:spid="_x0000_s1026" style="position:absolute;margin-left:416.4pt;margin-top:13pt;width:129.6pt;height:1pt;z-index:-15678976;mso-wrap-distance-left:0;mso-wrap-distance-right:0;mso-position-horizontal-relative:page" coordorigin="8328,260" coordsize="259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">
                <v:line id="Line 1068" o:spid="_x0000_s1027" style="position:absolute;visibility:visible;mso-wrap-style:square" from="8328,262" to="9624,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" strokeweight=".12pt"/>
                <v:line id="Line 1067" o:spid="_x0000_s1028" style="position:absolute;visibility:visible;mso-wrap-style:square" from="8328,264" to="9624,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" strokeweight=".12pt"/>
                <v:line id="Line 1066" o:spid="_x0000_s1029" style="position:absolute;visibility:visible;mso-wrap-style:square" from="8328,266" to="9624,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" strokeweight=".12pt"/>
                <v:line id="Line 1065" o:spid="_x0000_s1030" style="position:absolute;visibility:visible;mso-wrap-style:square" from="8328,269" to="9624,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" strokeweight=".12pt"/>
                <v:line id="Line 1064" o:spid="_x0000_s1031" style="position:absolute;visibility:visible;mso-wrap-style:square" from="8328,271" to="9624,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" strokeweight=".12pt"/>
                <v:line id="Line 1063" o:spid="_x0000_s1032" style="position:absolute;visibility:visible;mso-wrap-style:square" from="8328,274" to="9624,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" strokeweight=".12pt"/>
                <v:line id="Line 1062" o:spid="_x0000_s1033" style="position:absolute;visibility:visible;mso-wrap-style:square" from="8328,276" to="9624,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" strokeweight=".12pt"/>
                <v:line id="Line 1061" o:spid="_x0000_s1034" style="position:absolute;visibility:visible;mso-wrap-style:square" from="8328,278" to="9624,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" strokeweight=".12pt"/>
                <v:line id="Line 1060" o:spid="_x0000_s1035" style="position:absolute;visibility:visible;mso-wrap-style:square" from="9624,262" to="10920,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" strokeweight=".12pt"/>
                <v:line id="Line 1059" o:spid="_x0000_s1036" style="position:absolute;visibility:visible;mso-wrap-style:square" from="9624,264" to="10920,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" strokeweight=".12pt"/>
                <v:line id="Line 1058" o:spid="_x0000_s1037" style="position:absolute;visibility:visible;mso-wrap-style:square" from="9624,266" to="10920,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" strokeweight=".12pt"/>
                <v:line id="Line 1057" o:spid="_x0000_s1038" style="position:absolute;visibility:visible;mso-wrap-style:square" from="9624,269" to="10920,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" strokeweight=".12pt"/>
                <v:line id="Line 1056" o:spid="_x0000_s1039" style="position:absolute;visibility:visible;mso-wrap-style:square" from="9624,271" to="10920,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" strokeweight=".12pt"/>
                <v:line id="Line 1055" o:spid="_x0000_s1040" style="position:absolute;visibility:visible;mso-wrap-style:square" from="9624,274" to="10920,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" strokeweight=".12pt"/>
                <v:line id="Line 1054" o:spid="_x0000_s1041" style="position:absolute;visibility:visible;mso-wrap-style:square" from="9624,276" to="10920,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" strokeweight=".12pt"/>
                <v:line id="Line 1053" o:spid="_x0000_s1042" style="position:absolute;visibility:visible;mso-wrap-style:square" from="9624,278" to="10920,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" strokeweight=".12pt"/>
                <w10:wrap type="topAndBottom" anchorx="page"/>
              </v:group>
            </w:pict>
          </mc:Fallback>
        </mc:AlternateContent>
      </w:r>
      <w:r w:rsidR="0015611F">
        <w:rPr>
          <w:sz w:val="18"/>
        </w:rPr>
        <w:t>Retained</w:t>
      </w:r>
      <w:r w:rsidR="0015611F">
        <w:rPr>
          <w:spacing w:val="1"/>
          <w:sz w:val="18"/>
        </w:rPr>
        <w:t xml:space="preserve"> </w:t>
      </w:r>
      <w:r w:rsidR="0015611F">
        <w:rPr>
          <w:sz w:val="18"/>
        </w:rPr>
        <w:t>earnings</w:t>
      </w:r>
      <w:r w:rsidR="0015611F">
        <w:rPr>
          <w:sz w:val="18"/>
        </w:rPr>
        <w:tab/>
        <w:t>14</w:t>
      </w:r>
      <w:r w:rsidR="0015611F">
        <w:rPr>
          <w:sz w:val="18"/>
        </w:rPr>
        <w:tab/>
      </w:r>
      <w:r w:rsidR="0015611F">
        <w:rPr>
          <w:b/>
          <w:sz w:val="18"/>
        </w:rPr>
        <w:t>(2,962,592)</w:t>
      </w:r>
      <w:r w:rsidR="0015611F">
        <w:rPr>
          <w:b/>
          <w:sz w:val="18"/>
        </w:rPr>
        <w:tab/>
      </w:r>
      <w:r w:rsidR="0015611F">
        <w:rPr>
          <w:sz w:val="18"/>
        </w:rPr>
        <w:t>(1,229,830)</w:t>
      </w:r>
    </w:p>
    <w:p w14:paraId="0E5C0746" w14:textId="77777777" w:rsidR="00FA4AA8" w:rsidRDefault="0015611F">
      <w:pPr>
        <w:tabs>
          <w:tab w:val="left" w:pos="7487"/>
          <w:tab w:val="left" w:pos="7828"/>
          <w:tab w:val="left" w:pos="9124"/>
        </w:tabs>
        <w:ind w:left="194"/>
        <w:rPr>
          <w:sz w:val="18"/>
        </w:rPr>
      </w:pPr>
      <w:r>
        <w:rPr>
          <w:b/>
          <w:position w:val="9"/>
          <w:sz w:val="18"/>
        </w:rPr>
        <w:t>Total equity</w:t>
      </w:r>
      <w:r>
        <w:rPr>
          <w:b/>
          <w:position w:val="9"/>
          <w:sz w:val="18"/>
        </w:rPr>
        <w:tab/>
      </w:r>
      <w:r>
        <w:rPr>
          <w:b/>
          <w:sz w:val="18"/>
          <w:u w:val="thick"/>
        </w:rPr>
        <w:t xml:space="preserve"> </w:t>
      </w:r>
      <w:r>
        <w:rPr>
          <w:b/>
          <w:sz w:val="18"/>
          <w:u w:val="thick"/>
        </w:rPr>
        <w:tab/>
        <w:t>(2,962,592)</w:t>
      </w:r>
      <w:r>
        <w:rPr>
          <w:b/>
          <w:sz w:val="18"/>
          <w:u w:val="thick"/>
        </w:rPr>
        <w:tab/>
      </w:r>
      <w:r>
        <w:rPr>
          <w:sz w:val="18"/>
          <w:u w:val="thick"/>
        </w:rPr>
        <w:t>(1,229,830)</w:t>
      </w:r>
    </w:p>
    <w:p w14:paraId="7B8FBF6C" w14:textId="77777777" w:rsidR="00FA4AA8" w:rsidRDefault="00FA4AA8">
      <w:pPr>
        <w:pStyle w:val="BodyText"/>
        <w:rPr>
          <w:sz w:val="20"/>
        </w:rPr>
      </w:pPr>
    </w:p>
    <w:p w14:paraId="54AF9EE0" w14:textId="77777777" w:rsidR="00FA4AA8" w:rsidRDefault="00FA4AA8">
      <w:pPr>
        <w:pStyle w:val="BodyText"/>
        <w:rPr>
          <w:sz w:val="20"/>
        </w:rPr>
      </w:pPr>
    </w:p>
    <w:p w14:paraId="706ECEF7" w14:textId="77777777" w:rsidR="00FA4AA8" w:rsidRDefault="00FA4AA8">
      <w:pPr>
        <w:pStyle w:val="BodyText"/>
        <w:rPr>
          <w:sz w:val="20"/>
        </w:rPr>
      </w:pPr>
    </w:p>
    <w:p w14:paraId="6606C088" w14:textId="77777777" w:rsidR="00FA4AA8" w:rsidRDefault="00FA4AA8">
      <w:pPr>
        <w:pStyle w:val="BodyText"/>
        <w:rPr>
          <w:sz w:val="20"/>
        </w:rPr>
      </w:pPr>
    </w:p>
    <w:p w14:paraId="2C150357" w14:textId="77777777" w:rsidR="00FA4AA8" w:rsidRDefault="00FA4AA8">
      <w:pPr>
        <w:pStyle w:val="BodyText"/>
        <w:rPr>
          <w:sz w:val="20"/>
        </w:rPr>
      </w:pPr>
    </w:p>
    <w:p w14:paraId="3D2DE398" w14:textId="77777777" w:rsidR="00FA4AA8" w:rsidRDefault="00FA4AA8">
      <w:pPr>
        <w:pStyle w:val="BodyText"/>
        <w:rPr>
          <w:sz w:val="20"/>
        </w:rPr>
      </w:pPr>
    </w:p>
    <w:p w14:paraId="24810088" w14:textId="77777777" w:rsidR="00FA4AA8" w:rsidRDefault="00FA4AA8">
      <w:pPr>
        <w:pStyle w:val="BodyText"/>
        <w:rPr>
          <w:sz w:val="20"/>
        </w:rPr>
      </w:pPr>
    </w:p>
    <w:p w14:paraId="03FE31BC" w14:textId="77777777" w:rsidR="00FA4AA8" w:rsidRDefault="00FA4AA8">
      <w:pPr>
        <w:pStyle w:val="BodyText"/>
        <w:rPr>
          <w:sz w:val="20"/>
        </w:rPr>
      </w:pPr>
    </w:p>
    <w:p w14:paraId="49C6A1FC" w14:textId="77777777" w:rsidR="00FA4AA8" w:rsidRDefault="00FA4AA8">
      <w:pPr>
        <w:pStyle w:val="BodyText"/>
        <w:rPr>
          <w:sz w:val="20"/>
        </w:rPr>
      </w:pPr>
    </w:p>
    <w:p w14:paraId="64410C39" w14:textId="77777777" w:rsidR="00FA4AA8" w:rsidRDefault="00FA4AA8">
      <w:pPr>
        <w:pStyle w:val="BodyText"/>
        <w:rPr>
          <w:sz w:val="20"/>
        </w:rPr>
      </w:pPr>
    </w:p>
    <w:p w14:paraId="2E7ED215" w14:textId="77777777" w:rsidR="00FA4AA8" w:rsidRDefault="00FA4AA8">
      <w:pPr>
        <w:pStyle w:val="BodyText"/>
        <w:rPr>
          <w:sz w:val="20"/>
        </w:rPr>
      </w:pPr>
    </w:p>
    <w:p w14:paraId="524E2E45" w14:textId="77777777" w:rsidR="00FA4AA8" w:rsidRDefault="00FA4AA8">
      <w:pPr>
        <w:pStyle w:val="BodyText"/>
        <w:rPr>
          <w:sz w:val="20"/>
        </w:rPr>
      </w:pPr>
    </w:p>
    <w:p w14:paraId="1C51E137" w14:textId="77777777" w:rsidR="00FA4AA8" w:rsidRDefault="00FA4AA8">
      <w:pPr>
        <w:pStyle w:val="BodyText"/>
        <w:rPr>
          <w:sz w:val="20"/>
        </w:rPr>
      </w:pPr>
    </w:p>
    <w:p w14:paraId="0C39ADC9" w14:textId="77777777" w:rsidR="00FA4AA8" w:rsidRDefault="00FA4AA8">
      <w:pPr>
        <w:pStyle w:val="BodyText"/>
        <w:rPr>
          <w:sz w:val="20"/>
        </w:rPr>
      </w:pPr>
    </w:p>
    <w:p w14:paraId="1BCCB158" w14:textId="77777777" w:rsidR="00FA4AA8" w:rsidRDefault="00FA4AA8">
      <w:pPr>
        <w:pStyle w:val="BodyText"/>
        <w:rPr>
          <w:sz w:val="20"/>
        </w:rPr>
      </w:pPr>
    </w:p>
    <w:p w14:paraId="16BC2EB9" w14:textId="77777777" w:rsidR="00FA4AA8" w:rsidRDefault="00FA4AA8">
      <w:pPr>
        <w:pStyle w:val="BodyText"/>
        <w:rPr>
          <w:sz w:val="20"/>
        </w:rPr>
      </w:pPr>
    </w:p>
    <w:p w14:paraId="4C593A0F" w14:textId="77777777" w:rsidR="00FA4AA8" w:rsidRDefault="00FA4AA8">
      <w:pPr>
        <w:pStyle w:val="BodyText"/>
        <w:spacing w:before="10"/>
        <w:rPr>
          <w:sz w:val="19"/>
        </w:rPr>
      </w:pPr>
    </w:p>
    <w:p w14:paraId="16153CE6" w14:textId="77777777" w:rsidR="00FA4AA8" w:rsidRDefault="0015611F">
      <w:pPr>
        <w:pStyle w:val="BodyText"/>
        <w:spacing w:before="94"/>
        <w:ind w:left="194" w:right="165"/>
        <w:jc w:val="center"/>
      </w:pPr>
      <w:r>
        <w:t>The accompanying notes form part of these financial statements.</w:t>
      </w:r>
    </w:p>
    <w:p w14:paraId="47CE092A" w14:textId="77777777" w:rsidR="00FA4AA8" w:rsidRDefault="00FA4AA8">
      <w:pPr>
        <w:jc w:val="center"/>
        <w:sectPr w:rsidR="00FA4AA8">
          <w:pgSz w:w="11910" w:h="16840"/>
          <w:pgMar w:top="1460" w:right="840" w:bottom="720" w:left="840" w:header="1016" w:footer="523" w:gutter="0"/>
          <w:cols w:space="720"/>
        </w:sectPr>
      </w:pPr>
    </w:p>
    <w:p w14:paraId="46426048" w14:textId="77777777" w:rsidR="00FA4AA8" w:rsidRDefault="00FA4AA8">
      <w:pPr>
        <w:pStyle w:val="BodyText"/>
        <w:rPr>
          <w:sz w:val="20"/>
        </w:rPr>
      </w:pPr>
    </w:p>
    <w:p w14:paraId="7B7483B1" w14:textId="77777777" w:rsidR="00FA4AA8" w:rsidRDefault="00FA4AA8">
      <w:pPr>
        <w:pStyle w:val="BodyText"/>
        <w:spacing w:before="2"/>
        <w:rPr>
          <w:sz w:val="10"/>
        </w:rPr>
      </w:pPr>
    </w:p>
    <w:tbl>
      <w:tblPr>
        <w:tblW w:w="0" w:type="auto"/>
        <w:tblInd w:w="125" w:type="dxa"/>
        <w:tblLayout w:type="fixed"/>
        <w:tblCellMar>
          <w:left w:w="0" w:type="dxa"/>
          <w:right w:w="0" w:type="dxa"/>
        </w:tblCellMar>
        <w:tblLook w:val="01E0" w:firstRow="1" w:lastRow="1" w:firstColumn="1" w:lastColumn="1" w:noHBand="0" w:noVBand="0"/>
      </w:tblPr>
      <w:tblGrid>
        <w:gridCol w:w="5627"/>
        <w:gridCol w:w="1985"/>
        <w:gridCol w:w="1165"/>
        <w:gridCol w:w="1228"/>
      </w:tblGrid>
      <w:tr w:rsidR="00FA4AA8" w14:paraId="147B00F0" w14:textId="77777777">
        <w:trPr>
          <w:trHeight w:val="343"/>
        </w:trPr>
        <w:tc>
          <w:tcPr>
            <w:tcW w:w="5627" w:type="dxa"/>
          </w:tcPr>
          <w:p w14:paraId="3FED1FD4" w14:textId="77777777" w:rsidR="00FA4AA8" w:rsidRDefault="0015611F">
            <w:pPr>
              <w:pStyle w:val="TableParagraph"/>
              <w:spacing w:line="314" w:lineRule="exact"/>
              <w:ind w:left="50"/>
              <w:rPr>
                <w:b/>
                <w:sz w:val="28"/>
              </w:rPr>
            </w:pPr>
            <w:r>
              <w:rPr>
                <w:b/>
                <w:sz w:val="28"/>
              </w:rPr>
              <w:t>Statement of Changes in Equity</w:t>
            </w:r>
          </w:p>
        </w:tc>
        <w:tc>
          <w:tcPr>
            <w:tcW w:w="1985" w:type="dxa"/>
          </w:tcPr>
          <w:p w14:paraId="06EACBAE" w14:textId="77777777" w:rsidR="00FA4AA8" w:rsidRDefault="00FA4AA8">
            <w:pPr>
              <w:pStyle w:val="TableParagraph"/>
              <w:rPr>
                <w:rFonts w:ascii="Times New Roman"/>
                <w:sz w:val="18"/>
              </w:rPr>
            </w:pPr>
          </w:p>
        </w:tc>
        <w:tc>
          <w:tcPr>
            <w:tcW w:w="1165" w:type="dxa"/>
          </w:tcPr>
          <w:p w14:paraId="78948682" w14:textId="77777777" w:rsidR="00FA4AA8" w:rsidRDefault="00FA4AA8">
            <w:pPr>
              <w:pStyle w:val="TableParagraph"/>
              <w:rPr>
                <w:rFonts w:ascii="Times New Roman"/>
                <w:sz w:val="18"/>
              </w:rPr>
            </w:pPr>
          </w:p>
        </w:tc>
        <w:tc>
          <w:tcPr>
            <w:tcW w:w="1228" w:type="dxa"/>
          </w:tcPr>
          <w:p w14:paraId="74F9212F" w14:textId="77777777" w:rsidR="00FA4AA8" w:rsidRDefault="00FA4AA8">
            <w:pPr>
              <w:pStyle w:val="TableParagraph"/>
              <w:rPr>
                <w:rFonts w:ascii="Times New Roman"/>
                <w:sz w:val="18"/>
              </w:rPr>
            </w:pPr>
          </w:p>
        </w:tc>
      </w:tr>
      <w:tr w:rsidR="00FA4AA8" w14:paraId="2413FD46" w14:textId="77777777">
        <w:trPr>
          <w:trHeight w:val="486"/>
        </w:trPr>
        <w:tc>
          <w:tcPr>
            <w:tcW w:w="5627" w:type="dxa"/>
          </w:tcPr>
          <w:p w14:paraId="4DDFAA37" w14:textId="77777777" w:rsidR="00FA4AA8" w:rsidRDefault="0015611F">
            <w:pPr>
              <w:pStyle w:val="TableParagraph"/>
              <w:spacing w:before="23"/>
              <w:ind w:left="50"/>
              <w:rPr>
                <w:b/>
              </w:rPr>
            </w:pPr>
            <w:r>
              <w:rPr>
                <w:b/>
              </w:rPr>
              <w:t>For the Year Ended 31 December 2018</w:t>
            </w:r>
          </w:p>
        </w:tc>
        <w:tc>
          <w:tcPr>
            <w:tcW w:w="1985" w:type="dxa"/>
          </w:tcPr>
          <w:p w14:paraId="1891CE35" w14:textId="77777777" w:rsidR="00FA4AA8" w:rsidRDefault="00FA4AA8">
            <w:pPr>
              <w:pStyle w:val="TableParagraph"/>
              <w:rPr>
                <w:rFonts w:ascii="Times New Roman"/>
                <w:sz w:val="18"/>
              </w:rPr>
            </w:pPr>
          </w:p>
        </w:tc>
        <w:tc>
          <w:tcPr>
            <w:tcW w:w="1165" w:type="dxa"/>
          </w:tcPr>
          <w:p w14:paraId="2CA09302" w14:textId="77777777" w:rsidR="00FA4AA8" w:rsidRDefault="00FA4AA8">
            <w:pPr>
              <w:pStyle w:val="TableParagraph"/>
              <w:rPr>
                <w:rFonts w:ascii="Times New Roman"/>
                <w:sz w:val="18"/>
              </w:rPr>
            </w:pPr>
          </w:p>
        </w:tc>
        <w:tc>
          <w:tcPr>
            <w:tcW w:w="1228" w:type="dxa"/>
          </w:tcPr>
          <w:p w14:paraId="27347FB5" w14:textId="77777777" w:rsidR="00FA4AA8" w:rsidRDefault="00FA4AA8">
            <w:pPr>
              <w:pStyle w:val="TableParagraph"/>
              <w:rPr>
                <w:rFonts w:ascii="Times New Roman"/>
                <w:sz w:val="18"/>
              </w:rPr>
            </w:pPr>
          </w:p>
        </w:tc>
      </w:tr>
      <w:tr w:rsidR="00FA4AA8" w14:paraId="27F9C887" w14:textId="77777777">
        <w:trPr>
          <w:trHeight w:val="653"/>
        </w:trPr>
        <w:tc>
          <w:tcPr>
            <w:tcW w:w="5627" w:type="dxa"/>
          </w:tcPr>
          <w:p w14:paraId="2DE83AF3" w14:textId="77777777" w:rsidR="00FA4AA8" w:rsidRDefault="00FA4AA8">
            <w:pPr>
              <w:pStyle w:val="TableParagraph"/>
              <w:rPr>
                <w:rFonts w:ascii="Times New Roman"/>
                <w:sz w:val="18"/>
              </w:rPr>
            </w:pPr>
          </w:p>
        </w:tc>
        <w:tc>
          <w:tcPr>
            <w:tcW w:w="1985" w:type="dxa"/>
          </w:tcPr>
          <w:p w14:paraId="412A51EC" w14:textId="77777777" w:rsidR="00FA4AA8" w:rsidRDefault="00FA4AA8">
            <w:pPr>
              <w:pStyle w:val="TableParagraph"/>
              <w:rPr>
                <w:rFonts w:ascii="Times New Roman"/>
                <w:sz w:val="18"/>
              </w:rPr>
            </w:pPr>
          </w:p>
        </w:tc>
        <w:tc>
          <w:tcPr>
            <w:tcW w:w="1165" w:type="dxa"/>
          </w:tcPr>
          <w:p w14:paraId="0F9595D1" w14:textId="77777777" w:rsidR="00FA4AA8" w:rsidRDefault="00FA4AA8">
            <w:pPr>
              <w:pStyle w:val="TableParagraph"/>
              <w:spacing w:before="8"/>
              <w:rPr>
                <w:sz w:val="17"/>
              </w:rPr>
            </w:pPr>
          </w:p>
          <w:p w14:paraId="78A1268C" w14:textId="77777777" w:rsidR="00FA4AA8" w:rsidRDefault="0015611F">
            <w:pPr>
              <w:pStyle w:val="TableParagraph"/>
              <w:ind w:left="130" w:right="244" w:firstLine="4"/>
              <w:rPr>
                <w:b/>
                <w:sz w:val="18"/>
              </w:rPr>
            </w:pPr>
            <w:r>
              <w:rPr>
                <w:b/>
                <w:sz w:val="18"/>
              </w:rPr>
              <w:t>Retained Earnings</w:t>
            </w:r>
          </w:p>
        </w:tc>
        <w:tc>
          <w:tcPr>
            <w:tcW w:w="1228" w:type="dxa"/>
          </w:tcPr>
          <w:p w14:paraId="5950CED4" w14:textId="77777777" w:rsidR="00FA4AA8" w:rsidRDefault="00FA4AA8">
            <w:pPr>
              <w:pStyle w:val="TableParagraph"/>
              <w:rPr>
                <w:sz w:val="20"/>
              </w:rPr>
            </w:pPr>
          </w:p>
          <w:p w14:paraId="0C1B9288" w14:textId="77777777" w:rsidR="00FA4AA8" w:rsidRDefault="00FA4AA8">
            <w:pPr>
              <w:pStyle w:val="TableParagraph"/>
              <w:spacing w:before="7"/>
              <w:rPr>
                <w:sz w:val="15"/>
              </w:rPr>
            </w:pPr>
          </w:p>
          <w:p w14:paraId="18D11405" w14:textId="77777777" w:rsidR="00FA4AA8" w:rsidRDefault="0015611F">
            <w:pPr>
              <w:pStyle w:val="TableParagraph"/>
              <w:ind w:left="61"/>
              <w:rPr>
                <w:b/>
                <w:sz w:val="18"/>
              </w:rPr>
            </w:pPr>
            <w:r>
              <w:rPr>
                <w:b/>
                <w:sz w:val="18"/>
              </w:rPr>
              <w:t>Total equity</w:t>
            </w:r>
          </w:p>
        </w:tc>
      </w:tr>
      <w:tr w:rsidR="00FA4AA8" w14:paraId="6DFFD5EB" w14:textId="77777777">
        <w:trPr>
          <w:trHeight w:val="283"/>
        </w:trPr>
        <w:tc>
          <w:tcPr>
            <w:tcW w:w="5627" w:type="dxa"/>
          </w:tcPr>
          <w:p w14:paraId="348EAC2D" w14:textId="77777777" w:rsidR="00FA4AA8" w:rsidRDefault="00FA4AA8">
            <w:pPr>
              <w:pStyle w:val="TableParagraph"/>
              <w:rPr>
                <w:rFonts w:ascii="Times New Roman"/>
                <w:sz w:val="18"/>
              </w:rPr>
            </w:pPr>
          </w:p>
        </w:tc>
        <w:tc>
          <w:tcPr>
            <w:tcW w:w="1985" w:type="dxa"/>
          </w:tcPr>
          <w:p w14:paraId="606FF89D" w14:textId="77777777" w:rsidR="00FA4AA8" w:rsidRDefault="0015611F">
            <w:pPr>
              <w:pStyle w:val="TableParagraph"/>
              <w:spacing w:before="30"/>
              <w:ind w:right="130"/>
              <w:jc w:val="right"/>
              <w:rPr>
                <w:b/>
                <w:sz w:val="18"/>
              </w:rPr>
            </w:pPr>
            <w:r>
              <w:rPr>
                <w:b/>
                <w:sz w:val="18"/>
              </w:rPr>
              <w:t>Notes</w:t>
            </w:r>
          </w:p>
        </w:tc>
        <w:tc>
          <w:tcPr>
            <w:tcW w:w="1165" w:type="dxa"/>
          </w:tcPr>
          <w:p w14:paraId="42A176B4" w14:textId="77777777" w:rsidR="00FA4AA8" w:rsidRDefault="0015611F">
            <w:pPr>
              <w:pStyle w:val="TableParagraph"/>
              <w:spacing w:before="30"/>
              <w:ind w:right="130"/>
              <w:jc w:val="center"/>
              <w:rPr>
                <w:b/>
                <w:sz w:val="18"/>
              </w:rPr>
            </w:pPr>
            <w:r>
              <w:rPr>
                <w:b/>
                <w:sz w:val="18"/>
              </w:rPr>
              <w:t>$</w:t>
            </w:r>
          </w:p>
        </w:tc>
        <w:tc>
          <w:tcPr>
            <w:tcW w:w="1228" w:type="dxa"/>
          </w:tcPr>
          <w:p w14:paraId="47539ECC" w14:textId="77777777" w:rsidR="00FA4AA8" w:rsidRDefault="0015611F">
            <w:pPr>
              <w:pStyle w:val="TableParagraph"/>
              <w:spacing w:before="30"/>
              <w:ind w:right="99"/>
              <w:jc w:val="center"/>
              <w:rPr>
                <w:b/>
                <w:sz w:val="18"/>
              </w:rPr>
            </w:pPr>
            <w:r>
              <w:rPr>
                <w:b/>
                <w:sz w:val="18"/>
              </w:rPr>
              <w:t>$</w:t>
            </w:r>
          </w:p>
        </w:tc>
      </w:tr>
      <w:tr w:rsidR="00FA4AA8" w14:paraId="7801F149" w14:textId="77777777">
        <w:trPr>
          <w:trHeight w:val="283"/>
        </w:trPr>
        <w:tc>
          <w:tcPr>
            <w:tcW w:w="5627" w:type="dxa"/>
          </w:tcPr>
          <w:p w14:paraId="0ABE8219" w14:textId="77777777" w:rsidR="00FA4AA8" w:rsidRDefault="0015611F">
            <w:pPr>
              <w:pStyle w:val="TableParagraph"/>
              <w:spacing w:before="40"/>
              <w:ind w:left="76"/>
              <w:rPr>
                <w:b/>
                <w:sz w:val="18"/>
              </w:rPr>
            </w:pPr>
            <w:r>
              <w:rPr>
                <w:b/>
                <w:sz w:val="18"/>
              </w:rPr>
              <w:t>Balance 1 January 2018</w:t>
            </w:r>
          </w:p>
        </w:tc>
        <w:tc>
          <w:tcPr>
            <w:tcW w:w="1985" w:type="dxa"/>
          </w:tcPr>
          <w:p w14:paraId="4991B7F2" w14:textId="77777777" w:rsidR="00FA4AA8" w:rsidRDefault="00FA4AA8">
            <w:pPr>
              <w:pStyle w:val="TableParagraph"/>
              <w:rPr>
                <w:rFonts w:ascii="Times New Roman"/>
                <w:sz w:val="18"/>
              </w:rPr>
            </w:pPr>
          </w:p>
        </w:tc>
        <w:tc>
          <w:tcPr>
            <w:tcW w:w="1165" w:type="dxa"/>
          </w:tcPr>
          <w:p w14:paraId="764AA7F6" w14:textId="77777777" w:rsidR="00FA4AA8" w:rsidRDefault="0015611F">
            <w:pPr>
              <w:pStyle w:val="TableParagraph"/>
              <w:spacing w:before="44"/>
              <w:ind w:right="63"/>
              <w:jc w:val="right"/>
              <w:rPr>
                <w:b/>
                <w:sz w:val="18"/>
              </w:rPr>
            </w:pPr>
            <w:r>
              <w:rPr>
                <w:b/>
                <w:sz w:val="18"/>
              </w:rPr>
              <w:t>(1,229,830)</w:t>
            </w:r>
          </w:p>
        </w:tc>
        <w:tc>
          <w:tcPr>
            <w:tcW w:w="1228" w:type="dxa"/>
          </w:tcPr>
          <w:p w14:paraId="291A7B89" w14:textId="77777777" w:rsidR="00FA4AA8" w:rsidRDefault="0015611F">
            <w:pPr>
              <w:pStyle w:val="TableParagraph"/>
              <w:spacing w:before="44"/>
              <w:ind w:right="64"/>
              <w:jc w:val="right"/>
              <w:rPr>
                <w:b/>
                <w:sz w:val="18"/>
              </w:rPr>
            </w:pPr>
            <w:r>
              <w:rPr>
                <w:b/>
                <w:sz w:val="18"/>
              </w:rPr>
              <w:t>(1,229,830)</w:t>
            </w:r>
          </w:p>
        </w:tc>
      </w:tr>
      <w:tr w:rsidR="00FA4AA8" w14:paraId="18CFF04C" w14:textId="77777777">
        <w:trPr>
          <w:trHeight w:val="277"/>
        </w:trPr>
        <w:tc>
          <w:tcPr>
            <w:tcW w:w="5627" w:type="dxa"/>
          </w:tcPr>
          <w:p w14:paraId="7D927866" w14:textId="77777777" w:rsidR="00FA4AA8" w:rsidRDefault="0015611F">
            <w:pPr>
              <w:pStyle w:val="TableParagraph"/>
              <w:spacing w:before="28"/>
              <w:ind w:left="76"/>
              <w:rPr>
                <w:sz w:val="18"/>
              </w:rPr>
            </w:pPr>
            <w:r>
              <w:rPr>
                <w:sz w:val="18"/>
              </w:rPr>
              <w:t>Surplus / (Deficit) for the year</w:t>
            </w:r>
          </w:p>
        </w:tc>
        <w:tc>
          <w:tcPr>
            <w:tcW w:w="1985" w:type="dxa"/>
          </w:tcPr>
          <w:p w14:paraId="7721DD0F" w14:textId="77777777" w:rsidR="00FA4AA8" w:rsidRDefault="00FA4AA8">
            <w:pPr>
              <w:pStyle w:val="TableParagraph"/>
              <w:rPr>
                <w:rFonts w:ascii="Times New Roman"/>
                <w:sz w:val="18"/>
              </w:rPr>
            </w:pPr>
          </w:p>
        </w:tc>
        <w:tc>
          <w:tcPr>
            <w:tcW w:w="1165" w:type="dxa"/>
          </w:tcPr>
          <w:p w14:paraId="692A79F7" w14:textId="77777777" w:rsidR="00FA4AA8" w:rsidRDefault="0015611F">
            <w:pPr>
              <w:pStyle w:val="TableParagraph"/>
              <w:spacing w:before="25"/>
              <w:ind w:right="63"/>
              <w:jc w:val="right"/>
              <w:rPr>
                <w:b/>
                <w:sz w:val="18"/>
              </w:rPr>
            </w:pPr>
            <w:r>
              <w:rPr>
                <w:b/>
                <w:sz w:val="18"/>
              </w:rPr>
              <w:t>(1,732,762)</w:t>
            </w:r>
          </w:p>
        </w:tc>
        <w:tc>
          <w:tcPr>
            <w:tcW w:w="1228" w:type="dxa"/>
          </w:tcPr>
          <w:p w14:paraId="1D95D9C4" w14:textId="77777777" w:rsidR="00FA4AA8" w:rsidRDefault="0015611F">
            <w:pPr>
              <w:pStyle w:val="TableParagraph"/>
              <w:spacing w:before="25"/>
              <w:ind w:right="64"/>
              <w:jc w:val="right"/>
              <w:rPr>
                <w:b/>
                <w:sz w:val="18"/>
              </w:rPr>
            </w:pPr>
            <w:r>
              <w:rPr>
                <w:b/>
                <w:sz w:val="18"/>
              </w:rPr>
              <w:t>(1,732,762)</w:t>
            </w:r>
          </w:p>
        </w:tc>
      </w:tr>
    </w:tbl>
    <w:p w14:paraId="7C426102" w14:textId="77777777" w:rsidR="00FA4AA8" w:rsidRDefault="007E2441">
      <w:pPr>
        <w:pStyle w:val="BodyText"/>
        <w:spacing w:line="20" w:lineRule="exact"/>
        <w:ind w:left="7634"/>
        <w:rPr>
          <w:sz w:val="2"/>
        </w:rPr>
      </w:pPr>
      <w:r>
        <w:rPr>
          <w:noProof/>
          <w:sz w:val="2"/>
          <w:lang w:val="en-AU" w:eastAsia="en-AU"/>
        </w:rPr>
        <mc:AlternateContent>
          <mc:Choice Requires="wpg">
            <w:drawing>
              <wp:inline distT="0" distB="0" distL="0" distR="0" wp14:anchorId="139715CB" wp14:editId="262BBC8D">
                <wp:extent cx="1554480" cy="12700"/>
                <wp:effectExtent l="9525" t="9525" r="7620" b="6350"/>
                <wp:docPr id="1269" name="Group 1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4480" cy="12700"/>
                          <a:chOff x="0" y="0"/>
                          <a:chExt cx="2448" cy="20"/>
                        </a:xfrm>
                      </wpg:grpSpPr>
                      <wps:wsp>
                        <wps:cNvPr id="1270" name="Line 1051"/>
                        <wps:cNvCnPr>
                          <a:cxnSpLocks noChangeShapeType="1"/>
                        </wps:cNvCnPr>
                        <wps:spPr bwMode="auto">
                          <a:xfrm>
                            <a:off x="0" y="1"/>
                            <a:ext cx="1224"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71" name="Line 1050"/>
                        <wps:cNvCnPr>
                          <a:cxnSpLocks noChangeShapeType="1"/>
                        </wps:cNvCnPr>
                        <wps:spPr bwMode="auto">
                          <a:xfrm>
                            <a:off x="0" y="4"/>
                            <a:ext cx="1224"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72" name="Line 1049"/>
                        <wps:cNvCnPr>
                          <a:cxnSpLocks noChangeShapeType="1"/>
                        </wps:cNvCnPr>
                        <wps:spPr bwMode="auto">
                          <a:xfrm>
                            <a:off x="0" y="6"/>
                            <a:ext cx="1224"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73" name="Line 1048"/>
                        <wps:cNvCnPr>
                          <a:cxnSpLocks noChangeShapeType="1"/>
                        </wps:cNvCnPr>
                        <wps:spPr bwMode="auto">
                          <a:xfrm>
                            <a:off x="0" y="8"/>
                            <a:ext cx="1224"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74" name="Line 1047"/>
                        <wps:cNvCnPr>
                          <a:cxnSpLocks noChangeShapeType="1"/>
                        </wps:cNvCnPr>
                        <wps:spPr bwMode="auto">
                          <a:xfrm>
                            <a:off x="0" y="11"/>
                            <a:ext cx="1224"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75" name="Line 1046"/>
                        <wps:cNvCnPr>
                          <a:cxnSpLocks noChangeShapeType="1"/>
                        </wps:cNvCnPr>
                        <wps:spPr bwMode="auto">
                          <a:xfrm>
                            <a:off x="0" y="13"/>
                            <a:ext cx="1224"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76" name="Line 1045"/>
                        <wps:cNvCnPr>
                          <a:cxnSpLocks noChangeShapeType="1"/>
                        </wps:cNvCnPr>
                        <wps:spPr bwMode="auto">
                          <a:xfrm>
                            <a:off x="0" y="16"/>
                            <a:ext cx="1224"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77" name="Line 1044"/>
                        <wps:cNvCnPr>
                          <a:cxnSpLocks noChangeShapeType="1"/>
                        </wps:cNvCnPr>
                        <wps:spPr bwMode="auto">
                          <a:xfrm>
                            <a:off x="0" y="18"/>
                            <a:ext cx="1224"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78" name="Line 1043"/>
                        <wps:cNvCnPr>
                          <a:cxnSpLocks noChangeShapeType="1"/>
                        </wps:cNvCnPr>
                        <wps:spPr bwMode="auto">
                          <a:xfrm>
                            <a:off x="1224" y="1"/>
                            <a:ext cx="1224"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79" name="Line 1042"/>
                        <wps:cNvCnPr>
                          <a:cxnSpLocks noChangeShapeType="1"/>
                        </wps:cNvCnPr>
                        <wps:spPr bwMode="auto">
                          <a:xfrm>
                            <a:off x="1224" y="4"/>
                            <a:ext cx="1224"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80" name="Line 1041"/>
                        <wps:cNvCnPr>
                          <a:cxnSpLocks noChangeShapeType="1"/>
                        </wps:cNvCnPr>
                        <wps:spPr bwMode="auto">
                          <a:xfrm>
                            <a:off x="1224" y="6"/>
                            <a:ext cx="1224"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81" name="Line 1040"/>
                        <wps:cNvCnPr>
                          <a:cxnSpLocks noChangeShapeType="1"/>
                        </wps:cNvCnPr>
                        <wps:spPr bwMode="auto">
                          <a:xfrm>
                            <a:off x="1224" y="8"/>
                            <a:ext cx="1224"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82" name="Line 1039"/>
                        <wps:cNvCnPr>
                          <a:cxnSpLocks noChangeShapeType="1"/>
                        </wps:cNvCnPr>
                        <wps:spPr bwMode="auto">
                          <a:xfrm>
                            <a:off x="1224" y="11"/>
                            <a:ext cx="1224"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83" name="Line 1038"/>
                        <wps:cNvCnPr>
                          <a:cxnSpLocks noChangeShapeType="1"/>
                        </wps:cNvCnPr>
                        <wps:spPr bwMode="auto">
                          <a:xfrm>
                            <a:off x="1224" y="13"/>
                            <a:ext cx="1224"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84" name="Line 1037"/>
                        <wps:cNvCnPr>
                          <a:cxnSpLocks noChangeShapeType="1"/>
                        </wps:cNvCnPr>
                        <wps:spPr bwMode="auto">
                          <a:xfrm>
                            <a:off x="1224" y="16"/>
                            <a:ext cx="1224"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85" name="Line 1036"/>
                        <wps:cNvCnPr>
                          <a:cxnSpLocks noChangeShapeType="1"/>
                        </wps:cNvCnPr>
                        <wps:spPr bwMode="auto">
                          <a:xfrm>
                            <a:off x="1224" y="18"/>
                            <a:ext cx="1224"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6ADCF62" id="Group 1035" o:spid="_x0000_s1026" style="width:122.4pt;height:1pt;mso-position-horizontal-relative:char;mso-position-vertical-relative:line" coordsize="24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">
                <v:line id="Line 1051" o:spid="_x0000_s1027" style="position:absolute;visibility:visible;mso-wrap-style:square" from="0,1" to="12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" strokeweight=".12pt"/>
                <v:line id="Line 1050" o:spid="_x0000_s1028" style="position:absolute;visibility:visible;mso-wrap-style:square" from="0,4" to="12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" strokeweight=".12pt"/>
                <v:line id="Line 1049" o:spid="_x0000_s1029" style="position:absolute;visibility:visible;mso-wrap-style:square" from="0,6" to="12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" strokeweight=".12pt"/>
                <v:line id="Line 1048" o:spid="_x0000_s1030" style="position:absolute;visibility:visible;mso-wrap-style:square" from="0,8" to="1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" strokeweight=".12pt"/>
                <v:line id="Line 1047" o:spid="_x0000_s1031" style="position:absolute;visibility:visible;mso-wrap-style:square" from="0,11" to="122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" strokeweight=".12pt"/>
                <v:line id="Line 1046" o:spid="_x0000_s1032" style="position:absolute;visibility:visible;mso-wrap-style:square" from="0,13" to="122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" strokeweight=".12pt"/>
                <v:line id="Line 1045" o:spid="_x0000_s1033" style="position:absolute;visibility:visible;mso-wrap-style:square" from="0,16" to="122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" strokeweight=".12pt"/>
                <v:line id="Line 1044" o:spid="_x0000_s1034" style="position:absolute;visibility:visible;mso-wrap-style:square" from="0,18" to="122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" strokeweight=".12pt"/>
                <v:line id="Line 1043" o:spid="_x0000_s1035" style="position:absolute;visibility:visible;mso-wrap-style:square" from="1224,1" to="24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" strokeweight=".12pt"/>
                <v:line id="Line 1042" o:spid="_x0000_s1036" style="position:absolute;visibility:visible;mso-wrap-style:square" from="1224,4" to="24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" strokeweight=".12pt"/>
                <v:line id="Line 1041" o:spid="_x0000_s1037" style="position:absolute;visibility:visible;mso-wrap-style:square" from="1224,6" to="24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" strokeweight=".12pt"/>
                <v:line id="Line 1040" o:spid="_x0000_s1038" style="position:absolute;visibility:visible;mso-wrap-style:square" from="1224,8" to="24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" strokeweight=".12pt"/>
                <v:line id="Line 1039" o:spid="_x0000_s1039" style="position:absolute;visibility:visible;mso-wrap-style:square" from="1224,11" to="244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" strokeweight=".12pt"/>
                <v:line id="Line 1038" o:spid="_x0000_s1040" style="position:absolute;visibility:visible;mso-wrap-style:square" from="1224,13" to="244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" strokeweight=".12pt"/>
                <v:line id="Line 1037" o:spid="_x0000_s1041" style="position:absolute;visibility:visible;mso-wrap-style:square" from="1224,16" to="244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" strokeweight=".12pt"/>
                <v:line id="Line 1036" o:spid="_x0000_s1042" style="position:absolute;visibility:visible;mso-wrap-style:square" from="1224,18" to="244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" strokeweight=".12pt"/>
                <w10:anchorlock/>
              </v:group>
            </w:pict>
          </mc:Fallback>
        </mc:AlternateContent>
      </w:r>
    </w:p>
    <w:p w14:paraId="19907BEC" w14:textId="77777777" w:rsidR="00FA4AA8" w:rsidRDefault="0015611F">
      <w:pPr>
        <w:tabs>
          <w:tab w:val="left" w:pos="7245"/>
          <w:tab w:val="left" w:pos="7636"/>
          <w:tab w:val="left" w:pos="7903"/>
          <w:tab w:val="left" w:pos="9129"/>
        </w:tabs>
        <w:spacing w:before="95" w:line="300" w:lineRule="auto"/>
        <w:ind w:left="194" w:right="167"/>
        <w:jc w:val="center"/>
        <w:rPr>
          <w:b/>
          <w:sz w:val="18"/>
        </w:rPr>
      </w:pPr>
      <w:r>
        <w:rPr>
          <w:b/>
          <w:sz w:val="18"/>
        </w:rPr>
        <w:t>Total comprehensive income for</w:t>
      </w:r>
      <w:r>
        <w:rPr>
          <w:b/>
          <w:spacing w:val="1"/>
          <w:sz w:val="18"/>
        </w:rPr>
        <w:t xml:space="preserve"> </w:t>
      </w:r>
      <w:r>
        <w:rPr>
          <w:b/>
          <w:sz w:val="18"/>
        </w:rPr>
        <w:t>the</w:t>
      </w:r>
      <w:r>
        <w:rPr>
          <w:b/>
          <w:spacing w:val="1"/>
          <w:sz w:val="18"/>
        </w:rPr>
        <w:t xml:space="preserve"> </w:t>
      </w:r>
      <w:r>
        <w:rPr>
          <w:b/>
          <w:spacing w:val="-3"/>
          <w:sz w:val="18"/>
        </w:rPr>
        <w:t>year</w:t>
      </w:r>
      <w:r>
        <w:rPr>
          <w:b/>
          <w:spacing w:val="-3"/>
          <w:sz w:val="18"/>
        </w:rPr>
        <w:tab/>
      </w:r>
      <w:r>
        <w:rPr>
          <w:b/>
          <w:spacing w:val="-3"/>
          <w:sz w:val="18"/>
        </w:rPr>
        <w:tab/>
      </w:r>
      <w:r>
        <w:rPr>
          <w:b/>
          <w:spacing w:val="-3"/>
          <w:sz w:val="18"/>
          <w:u w:val="single"/>
        </w:rPr>
        <w:t xml:space="preserve"> </w:t>
      </w:r>
      <w:r>
        <w:rPr>
          <w:b/>
          <w:spacing w:val="-3"/>
          <w:sz w:val="18"/>
          <w:u w:val="single"/>
        </w:rPr>
        <w:tab/>
      </w:r>
      <w:r>
        <w:rPr>
          <w:b/>
          <w:sz w:val="18"/>
          <w:u w:val="single"/>
        </w:rPr>
        <w:t>(1,732,762)</w:t>
      </w:r>
      <w:r>
        <w:rPr>
          <w:b/>
          <w:sz w:val="18"/>
          <w:u w:val="single"/>
        </w:rPr>
        <w:tab/>
      </w:r>
      <w:r>
        <w:rPr>
          <w:b/>
          <w:spacing w:val="-1"/>
          <w:sz w:val="18"/>
          <w:u w:val="single"/>
        </w:rPr>
        <w:t>(1,732,762)</w:t>
      </w:r>
      <w:r>
        <w:rPr>
          <w:b/>
          <w:spacing w:val="-1"/>
          <w:sz w:val="18"/>
        </w:rPr>
        <w:t xml:space="preserve"> </w:t>
      </w:r>
      <w:r>
        <w:rPr>
          <w:b/>
          <w:sz w:val="18"/>
        </w:rPr>
        <w:t>Balance at 31</w:t>
      </w:r>
      <w:r>
        <w:rPr>
          <w:b/>
          <w:spacing w:val="1"/>
          <w:sz w:val="18"/>
        </w:rPr>
        <w:t xml:space="preserve"> </w:t>
      </w:r>
      <w:r>
        <w:rPr>
          <w:b/>
          <w:sz w:val="18"/>
        </w:rPr>
        <w:t>December 2018</w:t>
      </w:r>
      <w:r>
        <w:rPr>
          <w:b/>
          <w:sz w:val="18"/>
        </w:rPr>
        <w:tab/>
      </w:r>
      <w:r>
        <w:rPr>
          <w:position w:val="8"/>
          <w:sz w:val="18"/>
        </w:rPr>
        <w:t>14</w:t>
      </w:r>
      <w:r>
        <w:rPr>
          <w:sz w:val="18"/>
          <w:u w:val="thick"/>
        </w:rPr>
        <w:t xml:space="preserve"> </w:t>
      </w:r>
      <w:r>
        <w:rPr>
          <w:sz w:val="18"/>
          <w:u w:val="thick"/>
        </w:rPr>
        <w:tab/>
      </w:r>
      <w:r>
        <w:rPr>
          <w:sz w:val="18"/>
          <w:u w:val="thick"/>
        </w:rPr>
        <w:tab/>
      </w:r>
      <w:r>
        <w:rPr>
          <w:b/>
          <w:sz w:val="18"/>
          <w:u w:val="thick"/>
        </w:rPr>
        <w:t>(2,962,592)</w:t>
      </w:r>
      <w:r>
        <w:rPr>
          <w:b/>
          <w:sz w:val="18"/>
          <w:u w:val="thick"/>
        </w:rPr>
        <w:tab/>
      </w:r>
      <w:r>
        <w:rPr>
          <w:b/>
          <w:spacing w:val="-1"/>
          <w:sz w:val="18"/>
          <w:u w:val="thick"/>
        </w:rPr>
        <w:t>(2,962,592)</w:t>
      </w:r>
    </w:p>
    <w:p w14:paraId="56EEB951" w14:textId="77777777" w:rsidR="00FA4AA8" w:rsidRDefault="00FA4AA8">
      <w:pPr>
        <w:pStyle w:val="BodyText"/>
        <w:spacing w:before="6"/>
        <w:rPr>
          <w:b/>
          <w:sz w:val="28"/>
        </w:rPr>
      </w:pPr>
    </w:p>
    <w:tbl>
      <w:tblPr>
        <w:tblW w:w="0" w:type="auto"/>
        <w:tblInd w:w="151" w:type="dxa"/>
        <w:tblLayout w:type="fixed"/>
        <w:tblCellMar>
          <w:left w:w="0" w:type="dxa"/>
          <w:right w:w="0" w:type="dxa"/>
        </w:tblCellMar>
        <w:tblLook w:val="01E0" w:firstRow="1" w:lastRow="1" w:firstColumn="1" w:lastColumn="1" w:noHBand="0" w:noVBand="0"/>
      </w:tblPr>
      <w:tblGrid>
        <w:gridCol w:w="4842"/>
        <w:gridCol w:w="2650"/>
        <w:gridCol w:w="1256"/>
        <w:gridCol w:w="1227"/>
      </w:tblGrid>
      <w:tr w:rsidR="00FA4AA8" w14:paraId="037F839C" w14:textId="77777777">
        <w:trPr>
          <w:trHeight w:val="443"/>
        </w:trPr>
        <w:tc>
          <w:tcPr>
            <w:tcW w:w="7492" w:type="dxa"/>
            <w:gridSpan w:val="2"/>
            <w:vMerge w:val="restart"/>
          </w:tcPr>
          <w:p w14:paraId="1F483530" w14:textId="77777777" w:rsidR="00FA4AA8" w:rsidRDefault="00FA4AA8">
            <w:pPr>
              <w:pStyle w:val="TableParagraph"/>
              <w:rPr>
                <w:rFonts w:ascii="Times New Roman"/>
                <w:sz w:val="18"/>
              </w:rPr>
            </w:pPr>
          </w:p>
        </w:tc>
        <w:tc>
          <w:tcPr>
            <w:tcW w:w="1256" w:type="dxa"/>
          </w:tcPr>
          <w:p w14:paraId="302D4755" w14:textId="77777777" w:rsidR="00FA4AA8" w:rsidRDefault="0015611F">
            <w:pPr>
              <w:pStyle w:val="TableParagraph"/>
              <w:ind w:left="223" w:right="242" w:firstLine="4"/>
              <w:rPr>
                <w:b/>
                <w:sz w:val="18"/>
              </w:rPr>
            </w:pPr>
            <w:r>
              <w:rPr>
                <w:b/>
                <w:sz w:val="18"/>
              </w:rPr>
              <w:t>Retained Earnings</w:t>
            </w:r>
          </w:p>
        </w:tc>
        <w:tc>
          <w:tcPr>
            <w:tcW w:w="1227" w:type="dxa"/>
          </w:tcPr>
          <w:p w14:paraId="54165A00" w14:textId="77777777" w:rsidR="00FA4AA8" w:rsidRDefault="00FA4AA8">
            <w:pPr>
              <w:pStyle w:val="TableParagraph"/>
              <w:spacing w:before="5"/>
              <w:rPr>
                <w:b/>
                <w:sz w:val="17"/>
              </w:rPr>
            </w:pPr>
          </w:p>
          <w:p w14:paraId="78878ED5" w14:textId="77777777" w:rsidR="00FA4AA8" w:rsidRDefault="0015611F">
            <w:pPr>
              <w:pStyle w:val="TableParagraph"/>
              <w:ind w:left="64"/>
              <w:rPr>
                <w:b/>
                <w:sz w:val="18"/>
              </w:rPr>
            </w:pPr>
            <w:r>
              <w:rPr>
                <w:b/>
                <w:sz w:val="18"/>
              </w:rPr>
              <w:t>Total equity</w:t>
            </w:r>
          </w:p>
        </w:tc>
      </w:tr>
      <w:tr w:rsidR="00FA4AA8" w14:paraId="773F63C8" w14:textId="77777777">
        <w:trPr>
          <w:trHeight w:val="283"/>
        </w:trPr>
        <w:tc>
          <w:tcPr>
            <w:tcW w:w="7492" w:type="dxa"/>
            <w:gridSpan w:val="2"/>
            <w:vMerge/>
            <w:tcBorders>
              <w:top w:val="nil"/>
            </w:tcBorders>
          </w:tcPr>
          <w:p w14:paraId="4DE89F75" w14:textId="77777777" w:rsidR="00FA4AA8" w:rsidRDefault="00FA4AA8">
            <w:pPr>
              <w:rPr>
                <w:sz w:val="2"/>
                <w:szCs w:val="2"/>
              </w:rPr>
            </w:pPr>
          </w:p>
        </w:tc>
        <w:tc>
          <w:tcPr>
            <w:tcW w:w="1256" w:type="dxa"/>
          </w:tcPr>
          <w:p w14:paraId="703A36A6" w14:textId="77777777" w:rsidR="00FA4AA8" w:rsidRDefault="0015611F">
            <w:pPr>
              <w:pStyle w:val="TableParagraph"/>
              <w:spacing w:before="30"/>
              <w:ind w:right="34"/>
              <w:jc w:val="center"/>
              <w:rPr>
                <w:b/>
                <w:sz w:val="18"/>
              </w:rPr>
            </w:pPr>
            <w:r>
              <w:rPr>
                <w:b/>
                <w:sz w:val="18"/>
              </w:rPr>
              <w:t>$</w:t>
            </w:r>
          </w:p>
        </w:tc>
        <w:tc>
          <w:tcPr>
            <w:tcW w:w="1227" w:type="dxa"/>
          </w:tcPr>
          <w:p w14:paraId="044F74C5" w14:textId="77777777" w:rsidR="00FA4AA8" w:rsidRDefault="0015611F">
            <w:pPr>
              <w:pStyle w:val="TableParagraph"/>
              <w:spacing w:before="30"/>
              <w:ind w:right="93"/>
              <w:jc w:val="center"/>
              <w:rPr>
                <w:b/>
                <w:sz w:val="18"/>
              </w:rPr>
            </w:pPr>
            <w:r>
              <w:rPr>
                <w:b/>
                <w:sz w:val="18"/>
              </w:rPr>
              <w:t>$</w:t>
            </w:r>
          </w:p>
        </w:tc>
      </w:tr>
      <w:tr w:rsidR="00FA4AA8" w14:paraId="7CEA68E2" w14:textId="77777777">
        <w:trPr>
          <w:trHeight w:val="283"/>
        </w:trPr>
        <w:tc>
          <w:tcPr>
            <w:tcW w:w="7492" w:type="dxa"/>
            <w:gridSpan w:val="2"/>
          </w:tcPr>
          <w:p w14:paraId="55E3F507" w14:textId="77777777" w:rsidR="00FA4AA8" w:rsidRDefault="0015611F">
            <w:pPr>
              <w:pStyle w:val="TableParagraph"/>
              <w:spacing w:before="40"/>
              <w:ind w:left="50"/>
              <w:rPr>
                <w:b/>
                <w:sz w:val="18"/>
              </w:rPr>
            </w:pPr>
            <w:r>
              <w:rPr>
                <w:b/>
                <w:sz w:val="18"/>
              </w:rPr>
              <w:t>Balance 1 January 2017</w:t>
            </w:r>
          </w:p>
        </w:tc>
        <w:tc>
          <w:tcPr>
            <w:tcW w:w="1256" w:type="dxa"/>
          </w:tcPr>
          <w:p w14:paraId="253BF3AC" w14:textId="77777777" w:rsidR="00FA4AA8" w:rsidRDefault="0015611F">
            <w:pPr>
              <w:pStyle w:val="TableParagraph"/>
              <w:spacing w:before="44"/>
              <w:ind w:right="60"/>
              <w:jc w:val="right"/>
              <w:rPr>
                <w:sz w:val="18"/>
              </w:rPr>
            </w:pPr>
            <w:r>
              <w:rPr>
                <w:sz w:val="18"/>
              </w:rPr>
              <w:t>(4,339,244)</w:t>
            </w:r>
          </w:p>
        </w:tc>
        <w:tc>
          <w:tcPr>
            <w:tcW w:w="1227" w:type="dxa"/>
          </w:tcPr>
          <w:p w14:paraId="07FFD711" w14:textId="77777777" w:rsidR="00FA4AA8" w:rsidRDefault="0015611F">
            <w:pPr>
              <w:pStyle w:val="TableParagraph"/>
              <w:spacing w:before="44"/>
              <w:ind w:left="237"/>
              <w:rPr>
                <w:sz w:val="18"/>
              </w:rPr>
            </w:pPr>
            <w:r>
              <w:rPr>
                <w:sz w:val="18"/>
              </w:rPr>
              <w:t>(4,339,244)</w:t>
            </w:r>
          </w:p>
        </w:tc>
      </w:tr>
      <w:tr w:rsidR="00FA4AA8" w14:paraId="21E15A26" w14:textId="77777777">
        <w:trPr>
          <w:trHeight w:val="257"/>
        </w:trPr>
        <w:tc>
          <w:tcPr>
            <w:tcW w:w="7492" w:type="dxa"/>
            <w:gridSpan w:val="2"/>
          </w:tcPr>
          <w:p w14:paraId="47C6B1C5" w14:textId="77777777" w:rsidR="00FA4AA8" w:rsidRDefault="0015611F">
            <w:pPr>
              <w:pStyle w:val="TableParagraph"/>
              <w:spacing w:before="28"/>
              <w:ind w:left="50"/>
              <w:rPr>
                <w:sz w:val="18"/>
              </w:rPr>
            </w:pPr>
            <w:r>
              <w:rPr>
                <w:sz w:val="18"/>
              </w:rPr>
              <w:t>Surplus / (Deficit) for the year</w:t>
            </w:r>
          </w:p>
        </w:tc>
        <w:tc>
          <w:tcPr>
            <w:tcW w:w="1256" w:type="dxa"/>
            <w:tcBorders>
              <w:bottom w:val="single" w:sz="8" w:space="0" w:color="000000"/>
            </w:tcBorders>
          </w:tcPr>
          <w:p w14:paraId="2C9E9C39" w14:textId="77777777" w:rsidR="00FA4AA8" w:rsidRDefault="0015611F">
            <w:pPr>
              <w:pStyle w:val="TableParagraph"/>
              <w:spacing w:before="25"/>
              <w:ind w:right="121"/>
              <w:jc w:val="right"/>
              <w:rPr>
                <w:sz w:val="18"/>
              </w:rPr>
            </w:pPr>
            <w:r>
              <w:rPr>
                <w:sz w:val="18"/>
              </w:rPr>
              <w:t>3,109,414</w:t>
            </w:r>
          </w:p>
        </w:tc>
        <w:tc>
          <w:tcPr>
            <w:tcW w:w="1227" w:type="dxa"/>
            <w:tcBorders>
              <w:bottom w:val="single" w:sz="8" w:space="0" w:color="000000"/>
            </w:tcBorders>
          </w:tcPr>
          <w:p w14:paraId="5BDBFF63" w14:textId="77777777" w:rsidR="00FA4AA8" w:rsidRDefault="0015611F">
            <w:pPr>
              <w:pStyle w:val="TableParagraph"/>
              <w:spacing w:before="25"/>
              <w:ind w:left="297"/>
              <w:rPr>
                <w:sz w:val="18"/>
              </w:rPr>
            </w:pPr>
            <w:r>
              <w:rPr>
                <w:sz w:val="18"/>
              </w:rPr>
              <w:t>3,109,414</w:t>
            </w:r>
          </w:p>
        </w:tc>
      </w:tr>
      <w:tr w:rsidR="00FA4AA8" w14:paraId="0BEC3D0B" w14:textId="77777777">
        <w:trPr>
          <w:trHeight w:val="318"/>
        </w:trPr>
        <w:tc>
          <w:tcPr>
            <w:tcW w:w="7492" w:type="dxa"/>
            <w:gridSpan w:val="2"/>
          </w:tcPr>
          <w:p w14:paraId="5D4C2DD5" w14:textId="77777777" w:rsidR="00FA4AA8" w:rsidRDefault="0015611F">
            <w:pPr>
              <w:pStyle w:val="TableParagraph"/>
              <w:spacing w:before="115" w:line="183" w:lineRule="exact"/>
              <w:ind w:left="50"/>
              <w:rPr>
                <w:b/>
                <w:sz w:val="18"/>
              </w:rPr>
            </w:pPr>
            <w:r>
              <w:rPr>
                <w:b/>
                <w:sz w:val="18"/>
              </w:rPr>
              <w:t>Total comprehensive income for the year</w:t>
            </w:r>
          </w:p>
        </w:tc>
        <w:tc>
          <w:tcPr>
            <w:tcW w:w="1256" w:type="dxa"/>
            <w:tcBorders>
              <w:top w:val="single" w:sz="8" w:space="0" w:color="000000"/>
              <w:bottom w:val="single" w:sz="8" w:space="0" w:color="000000"/>
            </w:tcBorders>
          </w:tcPr>
          <w:p w14:paraId="4E872FE7" w14:textId="77777777" w:rsidR="00FA4AA8" w:rsidRDefault="0015611F">
            <w:pPr>
              <w:pStyle w:val="TableParagraph"/>
              <w:spacing w:before="115" w:line="183" w:lineRule="exact"/>
              <w:ind w:right="121"/>
              <w:jc w:val="right"/>
              <w:rPr>
                <w:sz w:val="18"/>
              </w:rPr>
            </w:pPr>
            <w:r>
              <w:rPr>
                <w:sz w:val="18"/>
              </w:rPr>
              <w:t>3,109,414</w:t>
            </w:r>
          </w:p>
        </w:tc>
        <w:tc>
          <w:tcPr>
            <w:tcW w:w="1227" w:type="dxa"/>
            <w:tcBorders>
              <w:top w:val="single" w:sz="8" w:space="0" w:color="000000"/>
              <w:bottom w:val="single" w:sz="8" w:space="0" w:color="000000"/>
            </w:tcBorders>
          </w:tcPr>
          <w:p w14:paraId="33457D7F" w14:textId="77777777" w:rsidR="00FA4AA8" w:rsidRDefault="0015611F">
            <w:pPr>
              <w:pStyle w:val="TableParagraph"/>
              <w:spacing w:before="115" w:line="183" w:lineRule="exact"/>
              <w:ind w:left="297"/>
              <w:rPr>
                <w:sz w:val="18"/>
              </w:rPr>
            </w:pPr>
            <w:r>
              <w:rPr>
                <w:sz w:val="18"/>
              </w:rPr>
              <w:t>3,109,414</w:t>
            </w:r>
          </w:p>
        </w:tc>
      </w:tr>
      <w:tr w:rsidR="00FA4AA8" w14:paraId="69CBABA1" w14:textId="77777777">
        <w:trPr>
          <w:trHeight w:val="322"/>
        </w:trPr>
        <w:tc>
          <w:tcPr>
            <w:tcW w:w="4842" w:type="dxa"/>
          </w:tcPr>
          <w:p w14:paraId="00EE828D" w14:textId="77777777" w:rsidR="00FA4AA8" w:rsidRDefault="0015611F">
            <w:pPr>
              <w:pStyle w:val="TableParagraph"/>
              <w:spacing w:before="105" w:line="188" w:lineRule="exact"/>
              <w:ind w:left="50"/>
              <w:rPr>
                <w:b/>
                <w:sz w:val="18"/>
              </w:rPr>
            </w:pPr>
            <w:r>
              <w:rPr>
                <w:b/>
                <w:sz w:val="18"/>
              </w:rPr>
              <w:t>Balance at 31 December 2017</w:t>
            </w:r>
          </w:p>
        </w:tc>
        <w:tc>
          <w:tcPr>
            <w:tcW w:w="2650" w:type="dxa"/>
          </w:tcPr>
          <w:p w14:paraId="59130D80" w14:textId="77777777" w:rsidR="00FA4AA8" w:rsidRDefault="0015611F">
            <w:pPr>
              <w:pStyle w:val="TableParagraph"/>
              <w:spacing w:before="21"/>
              <w:ind w:right="187"/>
              <w:jc w:val="right"/>
              <w:rPr>
                <w:sz w:val="18"/>
              </w:rPr>
            </w:pPr>
            <w:r>
              <w:rPr>
                <w:sz w:val="18"/>
              </w:rPr>
              <w:t>14</w:t>
            </w:r>
          </w:p>
        </w:tc>
        <w:tc>
          <w:tcPr>
            <w:tcW w:w="2483" w:type="dxa"/>
            <w:gridSpan w:val="2"/>
          </w:tcPr>
          <w:p w14:paraId="4AF9BCC5" w14:textId="77777777" w:rsidR="00FA4AA8" w:rsidRDefault="0015611F">
            <w:pPr>
              <w:pStyle w:val="TableParagraph"/>
              <w:tabs>
                <w:tab w:val="left" w:pos="266"/>
                <w:tab w:val="left" w:pos="1493"/>
              </w:tabs>
              <w:spacing w:before="105" w:line="188" w:lineRule="exact"/>
              <w:rPr>
                <w:sz w:val="18"/>
              </w:rPr>
            </w:pPr>
            <w:r>
              <w:rPr>
                <w:rFonts w:ascii="Times New Roman"/>
                <w:sz w:val="18"/>
                <w:u w:val="thick"/>
              </w:rPr>
              <w:t xml:space="preserve"> </w:t>
            </w:r>
            <w:r>
              <w:rPr>
                <w:rFonts w:ascii="Times New Roman"/>
                <w:sz w:val="18"/>
                <w:u w:val="thick"/>
              </w:rPr>
              <w:tab/>
            </w:r>
            <w:r>
              <w:rPr>
                <w:sz w:val="18"/>
                <w:u w:val="thick"/>
              </w:rPr>
              <w:t>(1,229,830)</w:t>
            </w:r>
            <w:r>
              <w:rPr>
                <w:sz w:val="18"/>
                <w:u w:val="thick"/>
              </w:rPr>
              <w:tab/>
              <w:t>(1,229,830)</w:t>
            </w:r>
          </w:p>
        </w:tc>
      </w:tr>
    </w:tbl>
    <w:p w14:paraId="45842611" w14:textId="77777777" w:rsidR="00FA4AA8" w:rsidRDefault="00FA4AA8">
      <w:pPr>
        <w:pStyle w:val="BodyText"/>
        <w:rPr>
          <w:b/>
          <w:sz w:val="28"/>
        </w:rPr>
      </w:pPr>
    </w:p>
    <w:p w14:paraId="79B52733" w14:textId="77777777" w:rsidR="00FA4AA8" w:rsidRDefault="00FA4AA8">
      <w:pPr>
        <w:pStyle w:val="BodyText"/>
        <w:rPr>
          <w:b/>
          <w:sz w:val="28"/>
        </w:rPr>
      </w:pPr>
    </w:p>
    <w:p w14:paraId="35ADC53E" w14:textId="77777777" w:rsidR="00FA4AA8" w:rsidRDefault="00FA4AA8">
      <w:pPr>
        <w:pStyle w:val="BodyText"/>
        <w:rPr>
          <w:b/>
          <w:sz w:val="28"/>
        </w:rPr>
      </w:pPr>
    </w:p>
    <w:p w14:paraId="66749CC9" w14:textId="77777777" w:rsidR="00FA4AA8" w:rsidRDefault="00FA4AA8">
      <w:pPr>
        <w:pStyle w:val="BodyText"/>
        <w:rPr>
          <w:b/>
          <w:sz w:val="28"/>
        </w:rPr>
      </w:pPr>
    </w:p>
    <w:p w14:paraId="22AFACE1" w14:textId="77777777" w:rsidR="00FA4AA8" w:rsidRDefault="00FA4AA8">
      <w:pPr>
        <w:pStyle w:val="BodyText"/>
        <w:rPr>
          <w:b/>
          <w:sz w:val="28"/>
        </w:rPr>
      </w:pPr>
    </w:p>
    <w:p w14:paraId="4887EFC1" w14:textId="77777777" w:rsidR="00FA4AA8" w:rsidRDefault="00FA4AA8">
      <w:pPr>
        <w:pStyle w:val="BodyText"/>
        <w:rPr>
          <w:b/>
          <w:sz w:val="28"/>
        </w:rPr>
      </w:pPr>
    </w:p>
    <w:p w14:paraId="2205ABE9" w14:textId="77777777" w:rsidR="00FA4AA8" w:rsidRDefault="00FA4AA8">
      <w:pPr>
        <w:pStyle w:val="BodyText"/>
        <w:rPr>
          <w:b/>
          <w:sz w:val="28"/>
        </w:rPr>
      </w:pPr>
    </w:p>
    <w:p w14:paraId="4EA0D998" w14:textId="77777777" w:rsidR="00FA4AA8" w:rsidRDefault="00FA4AA8">
      <w:pPr>
        <w:pStyle w:val="BodyText"/>
        <w:rPr>
          <w:b/>
          <w:sz w:val="28"/>
        </w:rPr>
      </w:pPr>
    </w:p>
    <w:p w14:paraId="0BC86ECB" w14:textId="77777777" w:rsidR="00FA4AA8" w:rsidRDefault="00FA4AA8">
      <w:pPr>
        <w:pStyle w:val="BodyText"/>
        <w:rPr>
          <w:b/>
          <w:sz w:val="28"/>
        </w:rPr>
      </w:pPr>
    </w:p>
    <w:p w14:paraId="234F1BAB" w14:textId="77777777" w:rsidR="00FA4AA8" w:rsidRDefault="00FA4AA8">
      <w:pPr>
        <w:pStyle w:val="BodyText"/>
        <w:rPr>
          <w:b/>
          <w:sz w:val="28"/>
        </w:rPr>
      </w:pPr>
    </w:p>
    <w:p w14:paraId="2CE53242" w14:textId="77777777" w:rsidR="00FA4AA8" w:rsidRDefault="00FA4AA8">
      <w:pPr>
        <w:pStyle w:val="BodyText"/>
        <w:rPr>
          <w:b/>
          <w:sz w:val="28"/>
        </w:rPr>
      </w:pPr>
    </w:p>
    <w:p w14:paraId="6FC5DE39" w14:textId="77777777" w:rsidR="00FA4AA8" w:rsidRDefault="00FA4AA8">
      <w:pPr>
        <w:pStyle w:val="BodyText"/>
        <w:rPr>
          <w:b/>
          <w:sz w:val="28"/>
        </w:rPr>
      </w:pPr>
    </w:p>
    <w:p w14:paraId="14EB1F28" w14:textId="77777777" w:rsidR="00FA4AA8" w:rsidRDefault="00FA4AA8">
      <w:pPr>
        <w:pStyle w:val="BodyText"/>
        <w:rPr>
          <w:b/>
          <w:sz w:val="28"/>
        </w:rPr>
      </w:pPr>
    </w:p>
    <w:p w14:paraId="1B16EB1E" w14:textId="77777777" w:rsidR="00FA4AA8" w:rsidRDefault="00FA4AA8">
      <w:pPr>
        <w:pStyle w:val="BodyText"/>
        <w:rPr>
          <w:b/>
          <w:sz w:val="28"/>
        </w:rPr>
      </w:pPr>
    </w:p>
    <w:p w14:paraId="5946B078" w14:textId="77777777" w:rsidR="00FA4AA8" w:rsidRDefault="00FA4AA8">
      <w:pPr>
        <w:pStyle w:val="BodyText"/>
        <w:rPr>
          <w:b/>
          <w:sz w:val="28"/>
        </w:rPr>
      </w:pPr>
    </w:p>
    <w:p w14:paraId="07ECCBE1" w14:textId="77777777" w:rsidR="00FA4AA8" w:rsidRDefault="00FA4AA8">
      <w:pPr>
        <w:pStyle w:val="BodyText"/>
        <w:rPr>
          <w:b/>
          <w:sz w:val="28"/>
        </w:rPr>
      </w:pPr>
    </w:p>
    <w:p w14:paraId="225639E0" w14:textId="77777777" w:rsidR="00FA4AA8" w:rsidRDefault="00FA4AA8">
      <w:pPr>
        <w:pStyle w:val="BodyText"/>
        <w:rPr>
          <w:b/>
          <w:sz w:val="28"/>
        </w:rPr>
      </w:pPr>
    </w:p>
    <w:p w14:paraId="60F7169F" w14:textId="77777777" w:rsidR="00FA4AA8" w:rsidRDefault="00FA4AA8">
      <w:pPr>
        <w:pStyle w:val="BodyText"/>
        <w:rPr>
          <w:b/>
          <w:sz w:val="28"/>
        </w:rPr>
      </w:pPr>
    </w:p>
    <w:p w14:paraId="022BC036" w14:textId="77777777" w:rsidR="00FA4AA8" w:rsidRDefault="00FA4AA8">
      <w:pPr>
        <w:pStyle w:val="BodyText"/>
        <w:rPr>
          <w:b/>
          <w:sz w:val="28"/>
        </w:rPr>
      </w:pPr>
    </w:p>
    <w:p w14:paraId="6379810D" w14:textId="77777777" w:rsidR="00FA4AA8" w:rsidRDefault="00FA4AA8">
      <w:pPr>
        <w:pStyle w:val="BodyText"/>
        <w:rPr>
          <w:b/>
          <w:sz w:val="28"/>
        </w:rPr>
      </w:pPr>
    </w:p>
    <w:p w14:paraId="4758BAB9" w14:textId="77777777" w:rsidR="00FA4AA8" w:rsidRDefault="00FA4AA8">
      <w:pPr>
        <w:pStyle w:val="BodyText"/>
        <w:rPr>
          <w:b/>
          <w:sz w:val="28"/>
        </w:rPr>
      </w:pPr>
    </w:p>
    <w:p w14:paraId="3200245F" w14:textId="77777777" w:rsidR="00FA4AA8" w:rsidRDefault="00FA4AA8">
      <w:pPr>
        <w:pStyle w:val="BodyText"/>
        <w:rPr>
          <w:b/>
          <w:sz w:val="28"/>
        </w:rPr>
      </w:pPr>
    </w:p>
    <w:p w14:paraId="4A803032" w14:textId="77777777" w:rsidR="00FA4AA8" w:rsidRDefault="00FA4AA8">
      <w:pPr>
        <w:pStyle w:val="BodyText"/>
        <w:rPr>
          <w:b/>
          <w:sz w:val="28"/>
        </w:rPr>
      </w:pPr>
    </w:p>
    <w:p w14:paraId="32C5C648" w14:textId="77777777" w:rsidR="00FA4AA8" w:rsidRDefault="00FA4AA8">
      <w:pPr>
        <w:pStyle w:val="BodyText"/>
        <w:rPr>
          <w:b/>
          <w:sz w:val="28"/>
        </w:rPr>
      </w:pPr>
    </w:p>
    <w:p w14:paraId="68548302" w14:textId="77777777" w:rsidR="00FA4AA8" w:rsidRDefault="00FA4AA8">
      <w:pPr>
        <w:pStyle w:val="BodyText"/>
        <w:rPr>
          <w:b/>
          <w:sz w:val="28"/>
        </w:rPr>
      </w:pPr>
    </w:p>
    <w:p w14:paraId="0D32CF2D" w14:textId="77777777" w:rsidR="00FA4AA8" w:rsidRDefault="0015611F">
      <w:pPr>
        <w:pStyle w:val="BodyText"/>
        <w:spacing w:before="236"/>
        <w:ind w:left="194" w:right="165"/>
        <w:jc w:val="center"/>
      </w:pPr>
      <w:r>
        <w:t>The accompanying notes form part of these financial statements.</w:t>
      </w:r>
    </w:p>
    <w:p w14:paraId="7142B6F4" w14:textId="77777777" w:rsidR="00FA4AA8" w:rsidRDefault="00FA4AA8">
      <w:pPr>
        <w:jc w:val="center"/>
        <w:sectPr w:rsidR="00FA4AA8">
          <w:pgSz w:w="11910" w:h="16840"/>
          <w:pgMar w:top="1460" w:right="840" w:bottom="720" w:left="840" w:header="1016" w:footer="523" w:gutter="0"/>
          <w:cols w:space="720"/>
        </w:sectPr>
      </w:pPr>
    </w:p>
    <w:p w14:paraId="2771A507" w14:textId="77777777" w:rsidR="00FA4AA8" w:rsidRDefault="00FA4AA8">
      <w:pPr>
        <w:pStyle w:val="BodyText"/>
        <w:rPr>
          <w:sz w:val="20"/>
        </w:rPr>
      </w:pPr>
    </w:p>
    <w:p w14:paraId="4DD4D715" w14:textId="77777777" w:rsidR="00FA4AA8" w:rsidRDefault="00FA4AA8">
      <w:pPr>
        <w:pStyle w:val="BodyText"/>
        <w:spacing w:before="2"/>
        <w:rPr>
          <w:sz w:val="10"/>
        </w:rPr>
      </w:pPr>
    </w:p>
    <w:tbl>
      <w:tblPr>
        <w:tblW w:w="0" w:type="auto"/>
        <w:tblInd w:w="125" w:type="dxa"/>
        <w:tblLayout w:type="fixed"/>
        <w:tblCellMar>
          <w:left w:w="0" w:type="dxa"/>
          <w:right w:w="0" w:type="dxa"/>
        </w:tblCellMar>
        <w:tblLook w:val="01E0" w:firstRow="1" w:lastRow="1" w:firstColumn="1" w:lastColumn="1" w:noHBand="0" w:noVBand="0"/>
      </w:tblPr>
      <w:tblGrid>
        <w:gridCol w:w="5445"/>
        <w:gridCol w:w="1925"/>
        <w:gridCol w:w="1402"/>
        <w:gridCol w:w="1190"/>
      </w:tblGrid>
      <w:tr w:rsidR="00FA4AA8" w14:paraId="342EBFC7" w14:textId="77777777">
        <w:trPr>
          <w:trHeight w:val="343"/>
        </w:trPr>
        <w:tc>
          <w:tcPr>
            <w:tcW w:w="5445" w:type="dxa"/>
          </w:tcPr>
          <w:p w14:paraId="794C1CCA" w14:textId="77777777" w:rsidR="00FA4AA8" w:rsidRDefault="0015611F">
            <w:pPr>
              <w:pStyle w:val="TableParagraph"/>
              <w:spacing w:line="314" w:lineRule="exact"/>
              <w:ind w:left="50"/>
              <w:rPr>
                <w:b/>
                <w:sz w:val="28"/>
              </w:rPr>
            </w:pPr>
            <w:r>
              <w:rPr>
                <w:b/>
                <w:sz w:val="28"/>
              </w:rPr>
              <w:t>Statement of Cash Flows</w:t>
            </w:r>
          </w:p>
        </w:tc>
        <w:tc>
          <w:tcPr>
            <w:tcW w:w="4517" w:type="dxa"/>
            <w:gridSpan w:val="3"/>
            <w:vMerge w:val="restart"/>
          </w:tcPr>
          <w:p w14:paraId="77F95B41" w14:textId="77777777" w:rsidR="00FA4AA8" w:rsidRDefault="00FA4AA8">
            <w:pPr>
              <w:pStyle w:val="TableParagraph"/>
              <w:rPr>
                <w:rFonts w:ascii="Times New Roman"/>
                <w:sz w:val="18"/>
              </w:rPr>
            </w:pPr>
          </w:p>
        </w:tc>
      </w:tr>
      <w:tr w:rsidR="00FA4AA8" w14:paraId="37C56A4B" w14:textId="77777777">
        <w:trPr>
          <w:trHeight w:val="486"/>
        </w:trPr>
        <w:tc>
          <w:tcPr>
            <w:tcW w:w="5445" w:type="dxa"/>
          </w:tcPr>
          <w:p w14:paraId="0080162E" w14:textId="77777777" w:rsidR="00FA4AA8" w:rsidRDefault="0015611F">
            <w:pPr>
              <w:pStyle w:val="TableParagraph"/>
              <w:spacing w:before="23"/>
              <w:ind w:left="50"/>
              <w:rPr>
                <w:b/>
              </w:rPr>
            </w:pPr>
            <w:r>
              <w:rPr>
                <w:b/>
              </w:rPr>
              <w:t>For the Year Ended 31 December 2018</w:t>
            </w:r>
          </w:p>
        </w:tc>
        <w:tc>
          <w:tcPr>
            <w:tcW w:w="4517" w:type="dxa"/>
            <w:gridSpan w:val="3"/>
            <w:vMerge/>
            <w:tcBorders>
              <w:top w:val="nil"/>
            </w:tcBorders>
          </w:tcPr>
          <w:p w14:paraId="4CDF90DE" w14:textId="77777777" w:rsidR="00FA4AA8" w:rsidRDefault="00FA4AA8">
            <w:pPr>
              <w:rPr>
                <w:sz w:val="2"/>
                <w:szCs w:val="2"/>
              </w:rPr>
            </w:pPr>
          </w:p>
        </w:tc>
      </w:tr>
      <w:tr w:rsidR="00FA4AA8" w14:paraId="41B3D4BF" w14:textId="77777777">
        <w:trPr>
          <w:trHeight w:val="446"/>
        </w:trPr>
        <w:tc>
          <w:tcPr>
            <w:tcW w:w="5445" w:type="dxa"/>
          </w:tcPr>
          <w:p w14:paraId="2B8B95CA" w14:textId="77777777" w:rsidR="00FA4AA8" w:rsidRDefault="00FA4AA8">
            <w:pPr>
              <w:pStyle w:val="TableParagraph"/>
              <w:rPr>
                <w:rFonts w:ascii="Times New Roman"/>
                <w:sz w:val="18"/>
              </w:rPr>
            </w:pPr>
          </w:p>
        </w:tc>
        <w:tc>
          <w:tcPr>
            <w:tcW w:w="1925" w:type="dxa"/>
          </w:tcPr>
          <w:p w14:paraId="24FE385B" w14:textId="77777777" w:rsidR="00FA4AA8" w:rsidRDefault="00FA4AA8">
            <w:pPr>
              <w:pStyle w:val="TableParagraph"/>
              <w:rPr>
                <w:rFonts w:ascii="Times New Roman"/>
                <w:sz w:val="18"/>
              </w:rPr>
            </w:pPr>
          </w:p>
        </w:tc>
        <w:tc>
          <w:tcPr>
            <w:tcW w:w="1402" w:type="dxa"/>
          </w:tcPr>
          <w:p w14:paraId="47C4C9F5" w14:textId="77777777" w:rsidR="00FA4AA8" w:rsidRDefault="00FA4AA8">
            <w:pPr>
              <w:pStyle w:val="TableParagraph"/>
              <w:spacing w:before="8"/>
              <w:rPr>
                <w:sz w:val="17"/>
              </w:rPr>
            </w:pPr>
          </w:p>
          <w:p w14:paraId="6384A01B" w14:textId="77777777" w:rsidR="00FA4AA8" w:rsidRDefault="0015611F">
            <w:pPr>
              <w:pStyle w:val="TableParagraph"/>
              <w:ind w:left="444"/>
              <w:rPr>
                <w:b/>
                <w:sz w:val="18"/>
              </w:rPr>
            </w:pPr>
            <w:r>
              <w:rPr>
                <w:b/>
                <w:sz w:val="18"/>
              </w:rPr>
              <w:t>2018</w:t>
            </w:r>
          </w:p>
        </w:tc>
        <w:tc>
          <w:tcPr>
            <w:tcW w:w="1190" w:type="dxa"/>
          </w:tcPr>
          <w:p w14:paraId="71FF1F6C" w14:textId="77777777" w:rsidR="00FA4AA8" w:rsidRDefault="00FA4AA8">
            <w:pPr>
              <w:pStyle w:val="TableParagraph"/>
              <w:spacing w:before="8"/>
              <w:rPr>
                <w:sz w:val="17"/>
              </w:rPr>
            </w:pPr>
          </w:p>
          <w:p w14:paraId="6365567D" w14:textId="77777777" w:rsidR="00FA4AA8" w:rsidRDefault="0015611F">
            <w:pPr>
              <w:pStyle w:val="TableParagraph"/>
              <w:ind w:left="337"/>
              <w:rPr>
                <w:b/>
                <w:sz w:val="18"/>
              </w:rPr>
            </w:pPr>
            <w:r>
              <w:rPr>
                <w:b/>
                <w:sz w:val="18"/>
              </w:rPr>
              <w:t>2017</w:t>
            </w:r>
          </w:p>
        </w:tc>
      </w:tr>
      <w:tr w:rsidR="00FA4AA8" w14:paraId="3D76C175" w14:textId="77777777">
        <w:trPr>
          <w:trHeight w:val="313"/>
        </w:trPr>
        <w:tc>
          <w:tcPr>
            <w:tcW w:w="5445" w:type="dxa"/>
          </w:tcPr>
          <w:p w14:paraId="2AF58D56" w14:textId="77777777" w:rsidR="00FA4AA8" w:rsidRDefault="00FA4AA8">
            <w:pPr>
              <w:pStyle w:val="TableParagraph"/>
              <w:rPr>
                <w:rFonts w:ascii="Times New Roman"/>
                <w:sz w:val="18"/>
              </w:rPr>
            </w:pPr>
          </w:p>
        </w:tc>
        <w:tc>
          <w:tcPr>
            <w:tcW w:w="1925" w:type="dxa"/>
          </w:tcPr>
          <w:p w14:paraId="293BEFF0" w14:textId="77777777" w:rsidR="00FA4AA8" w:rsidRDefault="0015611F">
            <w:pPr>
              <w:pStyle w:val="TableParagraph"/>
              <w:spacing w:before="30"/>
              <w:ind w:right="37"/>
              <w:jc w:val="right"/>
              <w:rPr>
                <w:b/>
                <w:sz w:val="18"/>
              </w:rPr>
            </w:pPr>
            <w:r>
              <w:rPr>
                <w:b/>
                <w:sz w:val="18"/>
              </w:rPr>
              <w:t>Notes</w:t>
            </w:r>
          </w:p>
        </w:tc>
        <w:tc>
          <w:tcPr>
            <w:tcW w:w="1402" w:type="dxa"/>
          </w:tcPr>
          <w:p w14:paraId="7B709FE7" w14:textId="77777777" w:rsidR="00FA4AA8" w:rsidRDefault="0015611F">
            <w:pPr>
              <w:pStyle w:val="TableParagraph"/>
              <w:spacing w:before="30"/>
              <w:ind w:right="109"/>
              <w:jc w:val="center"/>
              <w:rPr>
                <w:b/>
                <w:sz w:val="18"/>
              </w:rPr>
            </w:pPr>
            <w:r>
              <w:rPr>
                <w:b/>
                <w:sz w:val="18"/>
              </w:rPr>
              <w:t>$</w:t>
            </w:r>
          </w:p>
        </w:tc>
        <w:tc>
          <w:tcPr>
            <w:tcW w:w="1190" w:type="dxa"/>
          </w:tcPr>
          <w:p w14:paraId="2AB35954" w14:textId="77777777" w:rsidR="00FA4AA8" w:rsidRDefault="0015611F">
            <w:pPr>
              <w:pStyle w:val="TableParagraph"/>
              <w:spacing w:before="30"/>
              <w:ind w:right="109"/>
              <w:jc w:val="center"/>
              <w:rPr>
                <w:b/>
                <w:sz w:val="18"/>
              </w:rPr>
            </w:pPr>
            <w:r>
              <w:rPr>
                <w:b/>
                <w:sz w:val="18"/>
              </w:rPr>
              <w:t>$</w:t>
            </w:r>
          </w:p>
        </w:tc>
      </w:tr>
      <w:tr w:rsidR="00FA4AA8" w14:paraId="7B05FD2A" w14:textId="77777777">
        <w:trPr>
          <w:trHeight w:val="542"/>
        </w:trPr>
        <w:tc>
          <w:tcPr>
            <w:tcW w:w="5445" w:type="dxa"/>
          </w:tcPr>
          <w:p w14:paraId="0FE88C75" w14:textId="77777777" w:rsidR="00FA4AA8" w:rsidRDefault="0015611F">
            <w:pPr>
              <w:pStyle w:val="TableParagraph"/>
              <w:spacing w:before="70"/>
              <w:ind w:left="76"/>
              <w:rPr>
                <w:b/>
                <w:sz w:val="18"/>
              </w:rPr>
            </w:pPr>
            <w:r>
              <w:rPr>
                <w:b/>
                <w:sz w:val="18"/>
              </w:rPr>
              <w:t>Cash flows from operating activities</w:t>
            </w:r>
          </w:p>
          <w:p w14:paraId="67612E02" w14:textId="77777777" w:rsidR="00FA4AA8" w:rsidRDefault="0015611F">
            <w:pPr>
              <w:pStyle w:val="TableParagraph"/>
              <w:spacing w:before="25"/>
              <w:ind w:left="76"/>
              <w:rPr>
                <w:sz w:val="18"/>
              </w:rPr>
            </w:pPr>
            <w:r>
              <w:rPr>
                <w:sz w:val="18"/>
              </w:rPr>
              <w:t>Receipts from customers</w:t>
            </w:r>
          </w:p>
        </w:tc>
        <w:tc>
          <w:tcPr>
            <w:tcW w:w="1925" w:type="dxa"/>
          </w:tcPr>
          <w:p w14:paraId="162EE3D6" w14:textId="77777777" w:rsidR="00FA4AA8" w:rsidRDefault="00FA4AA8">
            <w:pPr>
              <w:pStyle w:val="TableParagraph"/>
              <w:rPr>
                <w:rFonts w:ascii="Times New Roman"/>
                <w:sz w:val="18"/>
              </w:rPr>
            </w:pPr>
          </w:p>
        </w:tc>
        <w:tc>
          <w:tcPr>
            <w:tcW w:w="1402" w:type="dxa"/>
          </w:tcPr>
          <w:p w14:paraId="1FE74BCE" w14:textId="77777777" w:rsidR="00FA4AA8" w:rsidRDefault="00FA4AA8">
            <w:pPr>
              <w:pStyle w:val="TableParagraph"/>
              <w:spacing w:before="6"/>
              <w:rPr>
                <w:sz w:val="26"/>
              </w:rPr>
            </w:pPr>
          </w:p>
          <w:p w14:paraId="0753E71F" w14:textId="77777777" w:rsidR="00FA4AA8" w:rsidRDefault="0015611F">
            <w:pPr>
              <w:pStyle w:val="TableParagraph"/>
              <w:ind w:right="193"/>
              <w:jc w:val="right"/>
              <w:rPr>
                <w:b/>
                <w:sz w:val="18"/>
              </w:rPr>
            </w:pPr>
            <w:r>
              <w:rPr>
                <w:b/>
                <w:sz w:val="18"/>
              </w:rPr>
              <w:t>6,067,533</w:t>
            </w:r>
          </w:p>
        </w:tc>
        <w:tc>
          <w:tcPr>
            <w:tcW w:w="1190" w:type="dxa"/>
          </w:tcPr>
          <w:p w14:paraId="38D6361A" w14:textId="77777777" w:rsidR="00FA4AA8" w:rsidRDefault="00FA4AA8">
            <w:pPr>
              <w:pStyle w:val="TableParagraph"/>
              <w:spacing w:before="6"/>
              <w:rPr>
                <w:sz w:val="26"/>
              </w:rPr>
            </w:pPr>
          </w:p>
          <w:p w14:paraId="0CE652DF" w14:textId="77777777" w:rsidR="00FA4AA8" w:rsidRDefault="0015611F">
            <w:pPr>
              <w:pStyle w:val="TableParagraph"/>
              <w:ind w:left="193"/>
              <w:rPr>
                <w:sz w:val="18"/>
              </w:rPr>
            </w:pPr>
            <w:r>
              <w:rPr>
                <w:sz w:val="18"/>
              </w:rPr>
              <w:t>12,018,622</w:t>
            </w:r>
          </w:p>
        </w:tc>
      </w:tr>
      <w:tr w:rsidR="00FA4AA8" w14:paraId="6F5EBF4F" w14:textId="77777777">
        <w:trPr>
          <w:trHeight w:val="263"/>
        </w:trPr>
        <w:tc>
          <w:tcPr>
            <w:tcW w:w="5445" w:type="dxa"/>
          </w:tcPr>
          <w:p w14:paraId="2FCE3164" w14:textId="77777777" w:rsidR="00FA4AA8" w:rsidRDefault="0015611F">
            <w:pPr>
              <w:pStyle w:val="TableParagraph"/>
              <w:spacing w:before="24"/>
              <w:ind w:left="76"/>
              <w:rPr>
                <w:sz w:val="18"/>
              </w:rPr>
            </w:pPr>
            <w:r>
              <w:rPr>
                <w:sz w:val="18"/>
              </w:rPr>
              <w:t>Payments to suppliers and employees</w:t>
            </w:r>
          </w:p>
        </w:tc>
        <w:tc>
          <w:tcPr>
            <w:tcW w:w="1925" w:type="dxa"/>
          </w:tcPr>
          <w:p w14:paraId="144989FF" w14:textId="77777777" w:rsidR="00FA4AA8" w:rsidRDefault="00FA4AA8">
            <w:pPr>
              <w:pStyle w:val="TableParagraph"/>
              <w:rPr>
                <w:rFonts w:ascii="Times New Roman"/>
                <w:sz w:val="18"/>
              </w:rPr>
            </w:pPr>
          </w:p>
        </w:tc>
        <w:tc>
          <w:tcPr>
            <w:tcW w:w="1402" w:type="dxa"/>
          </w:tcPr>
          <w:p w14:paraId="643FA5BF" w14:textId="77777777" w:rsidR="00FA4AA8" w:rsidRDefault="0015611F">
            <w:pPr>
              <w:pStyle w:val="TableParagraph"/>
              <w:spacing w:before="26"/>
              <w:ind w:right="132"/>
              <w:jc w:val="right"/>
              <w:rPr>
                <w:b/>
                <w:sz w:val="18"/>
              </w:rPr>
            </w:pPr>
            <w:r>
              <w:rPr>
                <w:b/>
                <w:sz w:val="18"/>
              </w:rPr>
              <w:t>(7,993,287)</w:t>
            </w:r>
          </w:p>
        </w:tc>
        <w:tc>
          <w:tcPr>
            <w:tcW w:w="1190" w:type="dxa"/>
          </w:tcPr>
          <w:p w14:paraId="78C66D5F" w14:textId="77777777" w:rsidR="00FA4AA8" w:rsidRDefault="0015611F">
            <w:pPr>
              <w:pStyle w:val="TableParagraph"/>
              <w:spacing w:before="26"/>
              <w:ind w:right="26"/>
              <w:jc w:val="right"/>
              <w:rPr>
                <w:sz w:val="18"/>
              </w:rPr>
            </w:pPr>
            <w:r>
              <w:rPr>
                <w:sz w:val="18"/>
              </w:rPr>
              <w:t>(11,982,694)</w:t>
            </w:r>
          </w:p>
        </w:tc>
      </w:tr>
      <w:tr w:rsidR="00FA4AA8" w14:paraId="4A585EAD" w14:textId="77777777">
        <w:trPr>
          <w:trHeight w:val="264"/>
        </w:trPr>
        <w:tc>
          <w:tcPr>
            <w:tcW w:w="5445" w:type="dxa"/>
          </w:tcPr>
          <w:p w14:paraId="20DE25D3" w14:textId="77777777" w:rsidR="00FA4AA8" w:rsidRDefault="0015611F">
            <w:pPr>
              <w:pStyle w:val="TableParagraph"/>
              <w:spacing w:before="24"/>
              <w:ind w:left="76"/>
              <w:rPr>
                <w:sz w:val="18"/>
              </w:rPr>
            </w:pPr>
            <w:r>
              <w:rPr>
                <w:sz w:val="18"/>
              </w:rPr>
              <w:t>Interest received</w:t>
            </w:r>
          </w:p>
        </w:tc>
        <w:tc>
          <w:tcPr>
            <w:tcW w:w="1925" w:type="dxa"/>
          </w:tcPr>
          <w:p w14:paraId="055DC754" w14:textId="77777777" w:rsidR="00FA4AA8" w:rsidRDefault="00FA4AA8">
            <w:pPr>
              <w:pStyle w:val="TableParagraph"/>
              <w:rPr>
                <w:rFonts w:ascii="Times New Roman"/>
                <w:sz w:val="18"/>
              </w:rPr>
            </w:pPr>
          </w:p>
        </w:tc>
        <w:tc>
          <w:tcPr>
            <w:tcW w:w="1402" w:type="dxa"/>
          </w:tcPr>
          <w:p w14:paraId="79B4936A" w14:textId="77777777" w:rsidR="00FA4AA8" w:rsidRDefault="0015611F">
            <w:pPr>
              <w:pStyle w:val="TableParagraph"/>
              <w:spacing w:before="26"/>
              <w:ind w:right="193"/>
              <w:jc w:val="right"/>
              <w:rPr>
                <w:b/>
                <w:sz w:val="18"/>
              </w:rPr>
            </w:pPr>
            <w:r>
              <w:rPr>
                <w:b/>
                <w:sz w:val="18"/>
              </w:rPr>
              <w:t>3,607</w:t>
            </w:r>
          </w:p>
        </w:tc>
        <w:tc>
          <w:tcPr>
            <w:tcW w:w="1190" w:type="dxa"/>
          </w:tcPr>
          <w:p w14:paraId="1F8848AA" w14:textId="77777777" w:rsidR="00FA4AA8" w:rsidRDefault="0015611F">
            <w:pPr>
              <w:pStyle w:val="TableParagraph"/>
              <w:spacing w:before="26"/>
              <w:ind w:right="87"/>
              <w:jc w:val="right"/>
              <w:rPr>
                <w:sz w:val="18"/>
              </w:rPr>
            </w:pPr>
            <w:r>
              <w:rPr>
                <w:sz w:val="18"/>
              </w:rPr>
              <w:t>6,999</w:t>
            </w:r>
          </w:p>
        </w:tc>
      </w:tr>
      <w:tr w:rsidR="00FA4AA8" w14:paraId="5CDD9B94" w14:textId="77777777">
        <w:trPr>
          <w:trHeight w:val="258"/>
        </w:trPr>
        <w:tc>
          <w:tcPr>
            <w:tcW w:w="5445" w:type="dxa"/>
          </w:tcPr>
          <w:p w14:paraId="3B34E02D" w14:textId="77777777" w:rsidR="00FA4AA8" w:rsidRDefault="0015611F">
            <w:pPr>
              <w:pStyle w:val="TableParagraph"/>
              <w:spacing w:before="24"/>
              <w:ind w:left="76"/>
              <w:rPr>
                <w:sz w:val="18"/>
              </w:rPr>
            </w:pPr>
            <w:r>
              <w:rPr>
                <w:sz w:val="18"/>
              </w:rPr>
              <w:t>Interest paid</w:t>
            </w:r>
          </w:p>
        </w:tc>
        <w:tc>
          <w:tcPr>
            <w:tcW w:w="1925" w:type="dxa"/>
          </w:tcPr>
          <w:p w14:paraId="7688E334" w14:textId="77777777" w:rsidR="00FA4AA8" w:rsidRDefault="00FA4AA8">
            <w:pPr>
              <w:pStyle w:val="TableParagraph"/>
              <w:rPr>
                <w:rFonts w:ascii="Times New Roman"/>
                <w:sz w:val="18"/>
              </w:rPr>
            </w:pPr>
          </w:p>
        </w:tc>
        <w:tc>
          <w:tcPr>
            <w:tcW w:w="1402" w:type="dxa"/>
            <w:tcBorders>
              <w:bottom w:val="single" w:sz="8" w:space="0" w:color="000000"/>
            </w:tcBorders>
          </w:tcPr>
          <w:p w14:paraId="7C813F51" w14:textId="77777777" w:rsidR="00FA4AA8" w:rsidRDefault="0015611F">
            <w:pPr>
              <w:pStyle w:val="TableParagraph"/>
              <w:spacing w:before="26"/>
              <w:ind w:right="132"/>
              <w:jc w:val="right"/>
              <w:rPr>
                <w:b/>
                <w:sz w:val="18"/>
              </w:rPr>
            </w:pPr>
            <w:r>
              <w:rPr>
                <w:b/>
                <w:sz w:val="18"/>
              </w:rPr>
              <w:t>(68,641)</w:t>
            </w:r>
          </w:p>
        </w:tc>
        <w:tc>
          <w:tcPr>
            <w:tcW w:w="1190" w:type="dxa"/>
            <w:tcBorders>
              <w:bottom w:val="single" w:sz="8" w:space="0" w:color="000000"/>
            </w:tcBorders>
          </w:tcPr>
          <w:p w14:paraId="05670954" w14:textId="77777777" w:rsidR="00FA4AA8" w:rsidRDefault="0015611F">
            <w:pPr>
              <w:pStyle w:val="TableParagraph"/>
              <w:spacing w:before="26"/>
              <w:ind w:right="26"/>
              <w:jc w:val="right"/>
              <w:rPr>
                <w:sz w:val="18"/>
              </w:rPr>
            </w:pPr>
            <w:r>
              <w:rPr>
                <w:sz w:val="18"/>
              </w:rPr>
              <w:t>(176,975)</w:t>
            </w:r>
          </w:p>
        </w:tc>
      </w:tr>
      <w:tr w:rsidR="00FA4AA8" w14:paraId="3D3BC670" w14:textId="77777777">
        <w:trPr>
          <w:trHeight w:val="318"/>
        </w:trPr>
        <w:tc>
          <w:tcPr>
            <w:tcW w:w="5445" w:type="dxa"/>
          </w:tcPr>
          <w:p w14:paraId="3CA66238" w14:textId="77777777" w:rsidR="00FA4AA8" w:rsidRDefault="0015611F">
            <w:pPr>
              <w:pStyle w:val="TableParagraph"/>
              <w:spacing w:before="28"/>
              <w:ind w:left="76"/>
              <w:rPr>
                <w:b/>
                <w:sz w:val="18"/>
              </w:rPr>
            </w:pPr>
            <w:r>
              <w:rPr>
                <w:b/>
                <w:sz w:val="18"/>
              </w:rPr>
              <w:t>Net cash used in operating activities</w:t>
            </w:r>
          </w:p>
        </w:tc>
        <w:tc>
          <w:tcPr>
            <w:tcW w:w="1925" w:type="dxa"/>
          </w:tcPr>
          <w:p w14:paraId="5612D5EF" w14:textId="77777777" w:rsidR="00FA4AA8" w:rsidRDefault="00FA4AA8">
            <w:pPr>
              <w:pStyle w:val="TableParagraph"/>
              <w:rPr>
                <w:rFonts w:ascii="Times New Roman"/>
                <w:sz w:val="18"/>
              </w:rPr>
            </w:pPr>
          </w:p>
        </w:tc>
        <w:tc>
          <w:tcPr>
            <w:tcW w:w="1402" w:type="dxa"/>
            <w:tcBorders>
              <w:top w:val="single" w:sz="8" w:space="0" w:color="000000"/>
              <w:bottom w:val="single" w:sz="8" w:space="0" w:color="000000"/>
            </w:tcBorders>
          </w:tcPr>
          <w:p w14:paraId="2BA618A1" w14:textId="77777777" w:rsidR="00FA4AA8" w:rsidRDefault="0015611F">
            <w:pPr>
              <w:pStyle w:val="TableParagraph"/>
              <w:spacing w:before="115" w:line="183" w:lineRule="exact"/>
              <w:ind w:right="132"/>
              <w:jc w:val="right"/>
              <w:rPr>
                <w:b/>
                <w:sz w:val="18"/>
              </w:rPr>
            </w:pPr>
            <w:r>
              <w:rPr>
                <w:b/>
                <w:sz w:val="18"/>
              </w:rPr>
              <w:t>(1,990,788)</w:t>
            </w:r>
          </w:p>
        </w:tc>
        <w:tc>
          <w:tcPr>
            <w:tcW w:w="1190" w:type="dxa"/>
            <w:tcBorders>
              <w:top w:val="single" w:sz="8" w:space="0" w:color="000000"/>
              <w:bottom w:val="single" w:sz="8" w:space="0" w:color="000000"/>
            </w:tcBorders>
          </w:tcPr>
          <w:p w14:paraId="1E0B940F" w14:textId="77777777" w:rsidR="00FA4AA8" w:rsidRDefault="0015611F">
            <w:pPr>
              <w:pStyle w:val="TableParagraph"/>
              <w:spacing w:before="115" w:line="183" w:lineRule="exact"/>
              <w:ind w:right="26"/>
              <w:jc w:val="right"/>
              <w:rPr>
                <w:sz w:val="18"/>
              </w:rPr>
            </w:pPr>
            <w:r>
              <w:rPr>
                <w:sz w:val="18"/>
              </w:rPr>
              <w:t>(134,048)</w:t>
            </w:r>
          </w:p>
        </w:tc>
      </w:tr>
      <w:tr w:rsidR="00FA4AA8" w14:paraId="2EF62622" w14:textId="77777777">
        <w:trPr>
          <w:trHeight w:val="875"/>
        </w:trPr>
        <w:tc>
          <w:tcPr>
            <w:tcW w:w="5445" w:type="dxa"/>
          </w:tcPr>
          <w:p w14:paraId="39387900" w14:textId="77777777" w:rsidR="00FA4AA8" w:rsidRDefault="00FA4AA8">
            <w:pPr>
              <w:pStyle w:val="TableParagraph"/>
              <w:rPr>
                <w:sz w:val="20"/>
              </w:rPr>
            </w:pPr>
          </w:p>
          <w:p w14:paraId="4686C553" w14:textId="77777777" w:rsidR="00FA4AA8" w:rsidRDefault="0015611F">
            <w:pPr>
              <w:pStyle w:val="TableParagraph"/>
              <w:spacing w:before="178"/>
              <w:ind w:left="76"/>
              <w:rPr>
                <w:b/>
                <w:sz w:val="18"/>
              </w:rPr>
            </w:pPr>
            <w:r>
              <w:rPr>
                <w:b/>
                <w:sz w:val="18"/>
              </w:rPr>
              <w:t>Cash flows from investing activities</w:t>
            </w:r>
          </w:p>
          <w:p w14:paraId="3B4CD034" w14:textId="77777777" w:rsidR="00FA4AA8" w:rsidRDefault="0015611F">
            <w:pPr>
              <w:pStyle w:val="TableParagraph"/>
              <w:spacing w:before="25"/>
              <w:ind w:left="76"/>
              <w:rPr>
                <w:sz w:val="18"/>
              </w:rPr>
            </w:pPr>
            <w:r>
              <w:rPr>
                <w:sz w:val="18"/>
              </w:rPr>
              <w:t>Proceeds from sale of plant and equipment</w:t>
            </w:r>
          </w:p>
        </w:tc>
        <w:tc>
          <w:tcPr>
            <w:tcW w:w="1925" w:type="dxa"/>
          </w:tcPr>
          <w:p w14:paraId="0CDC2692" w14:textId="77777777" w:rsidR="00FA4AA8" w:rsidRDefault="00FA4AA8">
            <w:pPr>
              <w:pStyle w:val="TableParagraph"/>
              <w:rPr>
                <w:rFonts w:ascii="Times New Roman"/>
                <w:sz w:val="18"/>
              </w:rPr>
            </w:pPr>
          </w:p>
        </w:tc>
        <w:tc>
          <w:tcPr>
            <w:tcW w:w="1402" w:type="dxa"/>
            <w:tcBorders>
              <w:top w:val="single" w:sz="8" w:space="0" w:color="000000"/>
              <w:bottom w:val="single" w:sz="8" w:space="0" w:color="000000"/>
            </w:tcBorders>
          </w:tcPr>
          <w:p w14:paraId="74C0740C" w14:textId="77777777" w:rsidR="00FA4AA8" w:rsidRDefault="00FA4AA8">
            <w:pPr>
              <w:pStyle w:val="TableParagraph"/>
              <w:rPr>
                <w:sz w:val="20"/>
              </w:rPr>
            </w:pPr>
          </w:p>
          <w:p w14:paraId="1630D55E" w14:textId="77777777" w:rsidR="00FA4AA8" w:rsidRDefault="00FA4AA8">
            <w:pPr>
              <w:pStyle w:val="TableParagraph"/>
              <w:rPr>
                <w:sz w:val="20"/>
              </w:rPr>
            </w:pPr>
          </w:p>
          <w:p w14:paraId="6A7624ED" w14:textId="77777777" w:rsidR="00FA4AA8" w:rsidRDefault="00FA4AA8">
            <w:pPr>
              <w:pStyle w:val="TableParagraph"/>
              <w:spacing w:before="10"/>
              <w:rPr>
                <w:sz w:val="15"/>
              </w:rPr>
            </w:pPr>
          </w:p>
          <w:p w14:paraId="517397A0" w14:textId="77777777" w:rsidR="00FA4AA8" w:rsidRDefault="0015611F">
            <w:pPr>
              <w:pStyle w:val="TableParagraph"/>
              <w:ind w:right="193"/>
              <w:jc w:val="right"/>
              <w:rPr>
                <w:b/>
                <w:sz w:val="18"/>
              </w:rPr>
            </w:pPr>
            <w:r>
              <w:rPr>
                <w:b/>
                <w:sz w:val="18"/>
              </w:rPr>
              <w:t>20,272</w:t>
            </w:r>
          </w:p>
        </w:tc>
        <w:tc>
          <w:tcPr>
            <w:tcW w:w="1190" w:type="dxa"/>
            <w:tcBorders>
              <w:top w:val="single" w:sz="8" w:space="0" w:color="000000"/>
              <w:bottom w:val="single" w:sz="8" w:space="0" w:color="000000"/>
            </w:tcBorders>
          </w:tcPr>
          <w:p w14:paraId="5A8CB4CF" w14:textId="77777777" w:rsidR="00FA4AA8" w:rsidRDefault="00FA4AA8">
            <w:pPr>
              <w:pStyle w:val="TableParagraph"/>
              <w:rPr>
                <w:sz w:val="20"/>
              </w:rPr>
            </w:pPr>
          </w:p>
          <w:p w14:paraId="63014150" w14:textId="77777777" w:rsidR="00FA4AA8" w:rsidRDefault="00FA4AA8">
            <w:pPr>
              <w:pStyle w:val="TableParagraph"/>
              <w:rPr>
                <w:sz w:val="20"/>
              </w:rPr>
            </w:pPr>
          </w:p>
          <w:p w14:paraId="42338B48" w14:textId="77777777" w:rsidR="00FA4AA8" w:rsidRDefault="00FA4AA8">
            <w:pPr>
              <w:pStyle w:val="TableParagraph"/>
              <w:spacing w:before="10"/>
              <w:rPr>
                <w:sz w:val="15"/>
              </w:rPr>
            </w:pPr>
          </w:p>
          <w:p w14:paraId="4E730E3D" w14:textId="77777777" w:rsidR="00FA4AA8" w:rsidRDefault="0015611F">
            <w:pPr>
              <w:pStyle w:val="TableParagraph"/>
              <w:ind w:left="446"/>
              <w:rPr>
                <w:sz w:val="18"/>
              </w:rPr>
            </w:pPr>
            <w:r>
              <w:rPr>
                <w:sz w:val="18"/>
              </w:rPr>
              <w:t>664,350</w:t>
            </w:r>
          </w:p>
        </w:tc>
      </w:tr>
      <w:tr w:rsidR="00FA4AA8" w14:paraId="1687B85E" w14:textId="77777777">
        <w:trPr>
          <w:trHeight w:val="318"/>
        </w:trPr>
        <w:tc>
          <w:tcPr>
            <w:tcW w:w="5445" w:type="dxa"/>
          </w:tcPr>
          <w:p w14:paraId="3421B660" w14:textId="77777777" w:rsidR="00FA4AA8" w:rsidRDefault="0015611F">
            <w:pPr>
              <w:pStyle w:val="TableParagraph"/>
              <w:spacing w:before="28"/>
              <w:ind w:left="76"/>
              <w:rPr>
                <w:b/>
                <w:sz w:val="18"/>
              </w:rPr>
            </w:pPr>
            <w:r>
              <w:rPr>
                <w:b/>
                <w:sz w:val="18"/>
              </w:rPr>
              <w:t>Net cash provided by investing activities</w:t>
            </w:r>
          </w:p>
        </w:tc>
        <w:tc>
          <w:tcPr>
            <w:tcW w:w="1925" w:type="dxa"/>
          </w:tcPr>
          <w:p w14:paraId="0C5E5A6B" w14:textId="77777777" w:rsidR="00FA4AA8" w:rsidRDefault="00FA4AA8">
            <w:pPr>
              <w:pStyle w:val="TableParagraph"/>
              <w:rPr>
                <w:rFonts w:ascii="Times New Roman"/>
                <w:sz w:val="18"/>
              </w:rPr>
            </w:pPr>
          </w:p>
        </w:tc>
        <w:tc>
          <w:tcPr>
            <w:tcW w:w="1402" w:type="dxa"/>
            <w:tcBorders>
              <w:top w:val="single" w:sz="8" w:space="0" w:color="000000"/>
              <w:bottom w:val="single" w:sz="8" w:space="0" w:color="000000"/>
            </w:tcBorders>
          </w:tcPr>
          <w:p w14:paraId="1ABF70AC" w14:textId="77777777" w:rsidR="00FA4AA8" w:rsidRDefault="0015611F">
            <w:pPr>
              <w:pStyle w:val="TableParagraph"/>
              <w:spacing w:before="115" w:line="183" w:lineRule="exact"/>
              <w:ind w:right="193"/>
              <w:jc w:val="right"/>
              <w:rPr>
                <w:b/>
                <w:sz w:val="18"/>
              </w:rPr>
            </w:pPr>
            <w:r>
              <w:rPr>
                <w:b/>
                <w:sz w:val="18"/>
              </w:rPr>
              <w:t>20,272</w:t>
            </w:r>
          </w:p>
        </w:tc>
        <w:tc>
          <w:tcPr>
            <w:tcW w:w="1190" w:type="dxa"/>
            <w:tcBorders>
              <w:top w:val="single" w:sz="8" w:space="0" w:color="000000"/>
              <w:bottom w:val="single" w:sz="8" w:space="0" w:color="000000"/>
            </w:tcBorders>
          </w:tcPr>
          <w:p w14:paraId="3D5239FF" w14:textId="77777777" w:rsidR="00FA4AA8" w:rsidRDefault="0015611F">
            <w:pPr>
              <w:pStyle w:val="TableParagraph"/>
              <w:spacing w:before="115" w:line="183" w:lineRule="exact"/>
              <w:ind w:left="446"/>
              <w:rPr>
                <w:sz w:val="18"/>
              </w:rPr>
            </w:pPr>
            <w:r>
              <w:rPr>
                <w:sz w:val="18"/>
              </w:rPr>
              <w:t>664,350</w:t>
            </w:r>
          </w:p>
        </w:tc>
      </w:tr>
      <w:tr w:rsidR="00FA4AA8" w14:paraId="2A2F65A7" w14:textId="77777777">
        <w:trPr>
          <w:trHeight w:val="880"/>
        </w:trPr>
        <w:tc>
          <w:tcPr>
            <w:tcW w:w="5445" w:type="dxa"/>
          </w:tcPr>
          <w:p w14:paraId="6FB8A19F" w14:textId="77777777" w:rsidR="00FA4AA8" w:rsidRDefault="00FA4AA8">
            <w:pPr>
              <w:pStyle w:val="TableParagraph"/>
              <w:rPr>
                <w:sz w:val="20"/>
              </w:rPr>
            </w:pPr>
          </w:p>
          <w:p w14:paraId="191D48CD" w14:textId="77777777" w:rsidR="00FA4AA8" w:rsidRDefault="0015611F">
            <w:pPr>
              <w:pStyle w:val="TableParagraph"/>
              <w:spacing w:before="178"/>
              <w:ind w:left="76"/>
              <w:rPr>
                <w:b/>
                <w:sz w:val="18"/>
              </w:rPr>
            </w:pPr>
            <w:r>
              <w:rPr>
                <w:b/>
                <w:sz w:val="18"/>
              </w:rPr>
              <w:t>Cash flows from financing activities</w:t>
            </w:r>
          </w:p>
          <w:p w14:paraId="137E93A7" w14:textId="77777777" w:rsidR="00FA4AA8" w:rsidRDefault="0015611F">
            <w:pPr>
              <w:pStyle w:val="TableParagraph"/>
              <w:spacing w:before="25"/>
              <w:ind w:left="76"/>
              <w:rPr>
                <w:sz w:val="18"/>
              </w:rPr>
            </w:pPr>
            <w:r>
              <w:rPr>
                <w:sz w:val="18"/>
              </w:rPr>
              <w:t>Proceeds from borrowings</w:t>
            </w:r>
          </w:p>
        </w:tc>
        <w:tc>
          <w:tcPr>
            <w:tcW w:w="1925" w:type="dxa"/>
          </w:tcPr>
          <w:p w14:paraId="79F32377" w14:textId="77777777" w:rsidR="00FA4AA8" w:rsidRDefault="00FA4AA8">
            <w:pPr>
              <w:pStyle w:val="TableParagraph"/>
              <w:rPr>
                <w:rFonts w:ascii="Times New Roman"/>
                <w:sz w:val="18"/>
              </w:rPr>
            </w:pPr>
          </w:p>
        </w:tc>
        <w:tc>
          <w:tcPr>
            <w:tcW w:w="1402" w:type="dxa"/>
            <w:tcBorders>
              <w:top w:val="single" w:sz="8" w:space="0" w:color="000000"/>
            </w:tcBorders>
          </w:tcPr>
          <w:p w14:paraId="7FA4761A" w14:textId="77777777" w:rsidR="00FA4AA8" w:rsidRDefault="00FA4AA8">
            <w:pPr>
              <w:pStyle w:val="TableParagraph"/>
              <w:rPr>
                <w:sz w:val="20"/>
              </w:rPr>
            </w:pPr>
          </w:p>
          <w:p w14:paraId="6353B69C" w14:textId="77777777" w:rsidR="00FA4AA8" w:rsidRDefault="00FA4AA8">
            <w:pPr>
              <w:pStyle w:val="TableParagraph"/>
              <w:rPr>
                <w:sz w:val="20"/>
              </w:rPr>
            </w:pPr>
          </w:p>
          <w:p w14:paraId="1D915F8E" w14:textId="77777777" w:rsidR="00FA4AA8" w:rsidRDefault="00FA4AA8">
            <w:pPr>
              <w:pStyle w:val="TableParagraph"/>
              <w:spacing w:before="10"/>
              <w:rPr>
                <w:sz w:val="15"/>
              </w:rPr>
            </w:pPr>
          </w:p>
          <w:p w14:paraId="6D0B9F1A" w14:textId="77777777" w:rsidR="00FA4AA8" w:rsidRDefault="0015611F">
            <w:pPr>
              <w:pStyle w:val="TableParagraph"/>
              <w:ind w:right="193"/>
              <w:jc w:val="right"/>
              <w:rPr>
                <w:b/>
                <w:sz w:val="18"/>
              </w:rPr>
            </w:pPr>
            <w:r>
              <w:rPr>
                <w:b/>
                <w:sz w:val="18"/>
              </w:rPr>
              <w:t>1,885,273</w:t>
            </w:r>
          </w:p>
        </w:tc>
        <w:tc>
          <w:tcPr>
            <w:tcW w:w="1190" w:type="dxa"/>
            <w:tcBorders>
              <w:top w:val="single" w:sz="8" w:space="0" w:color="000000"/>
            </w:tcBorders>
          </w:tcPr>
          <w:p w14:paraId="71E3A473" w14:textId="77777777" w:rsidR="00FA4AA8" w:rsidRDefault="00FA4AA8">
            <w:pPr>
              <w:pStyle w:val="TableParagraph"/>
              <w:rPr>
                <w:sz w:val="20"/>
              </w:rPr>
            </w:pPr>
          </w:p>
          <w:p w14:paraId="4528C14B" w14:textId="77777777" w:rsidR="00FA4AA8" w:rsidRDefault="00FA4AA8">
            <w:pPr>
              <w:pStyle w:val="TableParagraph"/>
              <w:rPr>
                <w:sz w:val="20"/>
              </w:rPr>
            </w:pPr>
          </w:p>
          <w:p w14:paraId="478C3B47" w14:textId="77777777" w:rsidR="00FA4AA8" w:rsidRDefault="00FA4AA8">
            <w:pPr>
              <w:pStyle w:val="TableParagraph"/>
              <w:spacing w:before="10"/>
              <w:rPr>
                <w:sz w:val="15"/>
              </w:rPr>
            </w:pPr>
          </w:p>
          <w:p w14:paraId="69CAF53F" w14:textId="77777777" w:rsidR="00FA4AA8" w:rsidRDefault="0015611F">
            <w:pPr>
              <w:pStyle w:val="TableParagraph"/>
              <w:ind w:left="446"/>
              <w:rPr>
                <w:sz w:val="18"/>
              </w:rPr>
            </w:pPr>
            <w:r>
              <w:rPr>
                <w:sz w:val="18"/>
              </w:rPr>
              <w:t>899,900</w:t>
            </w:r>
          </w:p>
        </w:tc>
      </w:tr>
      <w:tr w:rsidR="00FA4AA8" w14:paraId="21AA7FB9" w14:textId="77777777">
        <w:trPr>
          <w:trHeight w:val="258"/>
        </w:trPr>
        <w:tc>
          <w:tcPr>
            <w:tcW w:w="5445" w:type="dxa"/>
          </w:tcPr>
          <w:p w14:paraId="775B837E" w14:textId="77777777" w:rsidR="00FA4AA8" w:rsidRDefault="0015611F">
            <w:pPr>
              <w:pStyle w:val="TableParagraph"/>
              <w:spacing w:before="24"/>
              <w:ind w:left="76"/>
              <w:rPr>
                <w:sz w:val="18"/>
              </w:rPr>
            </w:pPr>
            <w:r>
              <w:rPr>
                <w:sz w:val="18"/>
              </w:rPr>
              <w:t>Payment of borrowings</w:t>
            </w:r>
          </w:p>
        </w:tc>
        <w:tc>
          <w:tcPr>
            <w:tcW w:w="1925" w:type="dxa"/>
          </w:tcPr>
          <w:p w14:paraId="0CD07216" w14:textId="77777777" w:rsidR="00FA4AA8" w:rsidRDefault="00FA4AA8">
            <w:pPr>
              <w:pStyle w:val="TableParagraph"/>
              <w:rPr>
                <w:rFonts w:ascii="Times New Roman"/>
                <w:sz w:val="18"/>
              </w:rPr>
            </w:pPr>
          </w:p>
        </w:tc>
        <w:tc>
          <w:tcPr>
            <w:tcW w:w="1402" w:type="dxa"/>
            <w:tcBorders>
              <w:bottom w:val="single" w:sz="8" w:space="0" w:color="000000"/>
            </w:tcBorders>
          </w:tcPr>
          <w:p w14:paraId="33B56C77" w14:textId="77777777" w:rsidR="00FA4AA8" w:rsidRDefault="0015611F">
            <w:pPr>
              <w:pStyle w:val="TableParagraph"/>
              <w:spacing w:before="26"/>
              <w:ind w:right="192"/>
              <w:jc w:val="right"/>
              <w:rPr>
                <w:b/>
                <w:sz w:val="18"/>
              </w:rPr>
            </w:pPr>
            <w:r>
              <w:rPr>
                <w:b/>
                <w:sz w:val="18"/>
              </w:rPr>
              <w:t>-</w:t>
            </w:r>
          </w:p>
        </w:tc>
        <w:tc>
          <w:tcPr>
            <w:tcW w:w="1190" w:type="dxa"/>
            <w:tcBorders>
              <w:bottom w:val="single" w:sz="8" w:space="0" w:color="000000"/>
            </w:tcBorders>
          </w:tcPr>
          <w:p w14:paraId="520EED17" w14:textId="77777777" w:rsidR="00FA4AA8" w:rsidRDefault="0015611F">
            <w:pPr>
              <w:pStyle w:val="TableParagraph"/>
              <w:spacing w:before="26"/>
              <w:ind w:right="26"/>
              <w:jc w:val="right"/>
              <w:rPr>
                <w:sz w:val="18"/>
              </w:rPr>
            </w:pPr>
            <w:r>
              <w:rPr>
                <w:sz w:val="18"/>
              </w:rPr>
              <w:t>(1,783,557)</w:t>
            </w:r>
          </w:p>
        </w:tc>
      </w:tr>
    </w:tbl>
    <w:p w14:paraId="24F2930E" w14:textId="77777777" w:rsidR="00FA4AA8" w:rsidRDefault="0015611F">
      <w:pPr>
        <w:tabs>
          <w:tab w:val="left" w:pos="7888"/>
          <w:tab w:val="left" w:pos="9275"/>
        </w:tabs>
        <w:spacing w:before="19"/>
        <w:ind w:left="194"/>
        <w:rPr>
          <w:sz w:val="18"/>
        </w:rPr>
      </w:pPr>
      <w:r>
        <w:rPr>
          <w:b/>
          <w:sz w:val="18"/>
        </w:rPr>
        <w:t>Net cash (used in) / provided by</w:t>
      </w:r>
      <w:r>
        <w:rPr>
          <w:b/>
          <w:spacing w:val="-9"/>
          <w:sz w:val="18"/>
        </w:rPr>
        <w:t xml:space="preserve"> </w:t>
      </w:r>
      <w:r>
        <w:rPr>
          <w:b/>
          <w:sz w:val="18"/>
        </w:rPr>
        <w:t>financing activities</w:t>
      </w:r>
      <w:r>
        <w:rPr>
          <w:b/>
          <w:sz w:val="18"/>
        </w:rPr>
        <w:tab/>
      </w:r>
      <w:r>
        <w:rPr>
          <w:b/>
          <w:position w:val="-8"/>
          <w:sz w:val="18"/>
        </w:rPr>
        <w:t>1,885,273</w:t>
      </w:r>
      <w:r>
        <w:rPr>
          <w:b/>
          <w:position w:val="-8"/>
          <w:sz w:val="18"/>
        </w:rPr>
        <w:tab/>
      </w:r>
      <w:r>
        <w:rPr>
          <w:position w:val="-8"/>
          <w:sz w:val="18"/>
        </w:rPr>
        <w:t>(883,657)</w:t>
      </w:r>
    </w:p>
    <w:p w14:paraId="0900586E" w14:textId="77777777" w:rsidR="00FA4AA8" w:rsidRDefault="007E2441">
      <w:pPr>
        <w:pStyle w:val="BodyText"/>
        <w:spacing w:line="20" w:lineRule="exact"/>
        <w:ind w:left="7486"/>
        <w:rPr>
          <w:sz w:val="2"/>
        </w:rPr>
      </w:pPr>
      <w:r>
        <w:rPr>
          <w:noProof/>
          <w:sz w:val="2"/>
          <w:lang w:val="en-AU" w:eastAsia="en-AU"/>
        </w:rPr>
        <mc:AlternateContent>
          <mc:Choice Requires="wpg">
            <w:drawing>
              <wp:inline distT="0" distB="0" distL="0" distR="0" wp14:anchorId="76ED42B6" wp14:editId="072549FD">
                <wp:extent cx="1645920" cy="12700"/>
                <wp:effectExtent l="9525" t="9525" r="11430" b="6350"/>
                <wp:docPr id="1252" name="Group 1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5920" cy="12700"/>
                          <a:chOff x="0" y="0"/>
                          <a:chExt cx="2592" cy="20"/>
                        </a:xfrm>
                      </wpg:grpSpPr>
                      <wps:wsp>
                        <wps:cNvPr id="1253" name="Line 1034"/>
                        <wps:cNvCnPr>
                          <a:cxnSpLocks noChangeShapeType="1"/>
                        </wps:cNvCnPr>
                        <wps:spPr bwMode="auto">
                          <a:xfrm>
                            <a:off x="0" y="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54" name="Line 1033"/>
                        <wps:cNvCnPr>
                          <a:cxnSpLocks noChangeShapeType="1"/>
                        </wps:cNvCnPr>
                        <wps:spPr bwMode="auto">
                          <a:xfrm>
                            <a:off x="0" y="4"/>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55" name="Line 1032"/>
                        <wps:cNvCnPr>
                          <a:cxnSpLocks noChangeShapeType="1"/>
                        </wps:cNvCnPr>
                        <wps:spPr bwMode="auto">
                          <a:xfrm>
                            <a:off x="0" y="6"/>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56" name="Line 1031"/>
                        <wps:cNvCnPr>
                          <a:cxnSpLocks noChangeShapeType="1"/>
                        </wps:cNvCnPr>
                        <wps:spPr bwMode="auto">
                          <a:xfrm>
                            <a:off x="0" y="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57" name="Line 1030"/>
                        <wps:cNvCnPr>
                          <a:cxnSpLocks noChangeShapeType="1"/>
                        </wps:cNvCnPr>
                        <wps:spPr bwMode="auto">
                          <a:xfrm>
                            <a:off x="0" y="1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58" name="Line 1029"/>
                        <wps:cNvCnPr>
                          <a:cxnSpLocks noChangeShapeType="1"/>
                        </wps:cNvCnPr>
                        <wps:spPr bwMode="auto">
                          <a:xfrm>
                            <a:off x="0" y="1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59" name="Line 1028"/>
                        <wps:cNvCnPr>
                          <a:cxnSpLocks noChangeShapeType="1"/>
                        </wps:cNvCnPr>
                        <wps:spPr bwMode="auto">
                          <a:xfrm>
                            <a:off x="0" y="16"/>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60" name="Line 1027"/>
                        <wps:cNvCnPr>
                          <a:cxnSpLocks noChangeShapeType="1"/>
                        </wps:cNvCnPr>
                        <wps:spPr bwMode="auto">
                          <a:xfrm>
                            <a:off x="0" y="1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61" name="Line 1026"/>
                        <wps:cNvCnPr>
                          <a:cxnSpLocks noChangeShapeType="1"/>
                        </wps:cNvCnPr>
                        <wps:spPr bwMode="auto">
                          <a:xfrm>
                            <a:off x="1296" y="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62" name="Line 1025"/>
                        <wps:cNvCnPr>
                          <a:cxnSpLocks noChangeShapeType="1"/>
                        </wps:cNvCnPr>
                        <wps:spPr bwMode="auto">
                          <a:xfrm>
                            <a:off x="1296" y="4"/>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63" name="Line 1024"/>
                        <wps:cNvCnPr>
                          <a:cxnSpLocks noChangeShapeType="1"/>
                        </wps:cNvCnPr>
                        <wps:spPr bwMode="auto">
                          <a:xfrm>
                            <a:off x="1296" y="6"/>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64" name="Line 1023"/>
                        <wps:cNvCnPr>
                          <a:cxnSpLocks noChangeShapeType="1"/>
                        </wps:cNvCnPr>
                        <wps:spPr bwMode="auto">
                          <a:xfrm>
                            <a:off x="1296" y="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65" name="Line 1022"/>
                        <wps:cNvCnPr>
                          <a:cxnSpLocks noChangeShapeType="1"/>
                        </wps:cNvCnPr>
                        <wps:spPr bwMode="auto">
                          <a:xfrm>
                            <a:off x="1296" y="1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66" name="Line 1021"/>
                        <wps:cNvCnPr>
                          <a:cxnSpLocks noChangeShapeType="1"/>
                        </wps:cNvCnPr>
                        <wps:spPr bwMode="auto">
                          <a:xfrm>
                            <a:off x="1296" y="1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67" name="Line 1020"/>
                        <wps:cNvCnPr>
                          <a:cxnSpLocks noChangeShapeType="1"/>
                        </wps:cNvCnPr>
                        <wps:spPr bwMode="auto">
                          <a:xfrm>
                            <a:off x="1296" y="16"/>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68" name="Line 1019"/>
                        <wps:cNvCnPr>
                          <a:cxnSpLocks noChangeShapeType="1"/>
                        </wps:cNvCnPr>
                        <wps:spPr bwMode="auto">
                          <a:xfrm>
                            <a:off x="1296" y="1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B2F680E" id="Group 1018" o:spid="_x0000_s1026" style="width:129.6pt;height:1pt;mso-position-horizontal-relative:char;mso-position-vertical-relative:line" coordsize="259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">
                <v:line id="Line 1034" o:spid="_x0000_s1027" style="position:absolute;visibility:visible;mso-wrap-style:square" from="0,1" to="12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" strokeweight=".12pt"/>
                <v:line id="Line 1033" o:spid="_x0000_s1028" style="position:absolute;visibility:visible;mso-wrap-style:square" from="0,4" to="12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" strokeweight=".12pt"/>
                <v:line id="Line 1032" o:spid="_x0000_s1029" style="position:absolute;visibility:visible;mso-wrap-style:square" from="0,6" to="12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" strokeweight=".12pt"/>
                <v:line id="Line 1031" o:spid="_x0000_s1030" style="position:absolute;visibility:visible;mso-wrap-style:square" from="0,8" to="12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" strokeweight=".12pt"/>
                <v:line id="Line 1030" o:spid="_x0000_s1031" style="position:absolute;visibility:visible;mso-wrap-style:square" from="0,11" to="12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" strokeweight=".12pt"/>
                <v:line id="Line 1029" o:spid="_x0000_s1032" style="position:absolute;visibility:visible;mso-wrap-style:square" from="0,13" to="129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" strokeweight=".12pt"/>
                <v:line id="Line 1028" o:spid="_x0000_s1033" style="position:absolute;visibility:visible;mso-wrap-style:square" from="0,16" to="129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" strokeweight=".12pt"/>
                <v:line id="Line 1027" o:spid="_x0000_s1034" style="position:absolute;visibility:visible;mso-wrap-style:square" from="0,18" to="129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" strokeweight=".12pt"/>
                <v:line id="Line 1026" o:spid="_x0000_s1035" style="position:absolute;visibility:visible;mso-wrap-style:square" from="1296,1" to="25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" strokeweight=".12pt"/>
                <v:line id="Line 1025" o:spid="_x0000_s1036" style="position:absolute;visibility:visible;mso-wrap-style:square" from="1296,4" to="25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" strokeweight=".12pt"/>
                <v:line id="Line 1024" o:spid="_x0000_s1037" style="position:absolute;visibility:visible;mso-wrap-style:square" from="1296,6" to="25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" strokeweight=".12pt"/>
                <v:line id="Line 1023" o:spid="_x0000_s1038" style="position:absolute;visibility:visible;mso-wrap-style:square" from="1296,8" to="25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" strokeweight=".12pt"/>
                <v:line id="Line 1022" o:spid="_x0000_s1039" style="position:absolute;visibility:visible;mso-wrap-style:square" from="1296,11" to="259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" strokeweight=".12pt"/>
                <v:line id="Line 1021" o:spid="_x0000_s1040" style="position:absolute;visibility:visible;mso-wrap-style:square" from="1296,13" to="259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" strokeweight=".12pt"/>
                <v:line id="Line 1020" o:spid="_x0000_s1041" style="position:absolute;visibility:visible;mso-wrap-style:square" from="1296,16" to="259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" strokeweight=".12pt"/>
                <v:line id="Line 1019" o:spid="_x0000_s1042" style="position:absolute;visibility:visible;mso-wrap-style:square" from="1296,18" to="259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" strokeweight=".12pt"/>
                <w10:anchorlock/>
              </v:group>
            </w:pict>
          </mc:Fallback>
        </mc:AlternateContent>
      </w:r>
    </w:p>
    <w:p w14:paraId="6D4D2D5B" w14:textId="77777777" w:rsidR="00FA4AA8" w:rsidRDefault="00FA4AA8">
      <w:pPr>
        <w:pStyle w:val="BodyText"/>
        <w:rPr>
          <w:sz w:val="20"/>
        </w:rPr>
      </w:pPr>
    </w:p>
    <w:p w14:paraId="44D1DB25" w14:textId="77777777" w:rsidR="00FA4AA8" w:rsidRDefault="00FA4AA8">
      <w:pPr>
        <w:pStyle w:val="BodyText"/>
        <w:rPr>
          <w:sz w:val="20"/>
        </w:rPr>
      </w:pPr>
    </w:p>
    <w:p w14:paraId="41D0E140" w14:textId="77777777" w:rsidR="00FA4AA8" w:rsidRDefault="00FA4AA8">
      <w:pPr>
        <w:pStyle w:val="BodyText"/>
        <w:spacing w:before="7"/>
        <w:rPr>
          <w:sz w:val="15"/>
        </w:rPr>
      </w:pPr>
    </w:p>
    <w:tbl>
      <w:tblPr>
        <w:tblW w:w="0" w:type="auto"/>
        <w:tblInd w:w="151" w:type="dxa"/>
        <w:tblLayout w:type="fixed"/>
        <w:tblCellMar>
          <w:left w:w="0" w:type="dxa"/>
          <w:right w:w="0" w:type="dxa"/>
        </w:tblCellMar>
        <w:tblLook w:val="01E0" w:firstRow="1" w:lastRow="1" w:firstColumn="1" w:lastColumn="1" w:noHBand="0" w:noVBand="0"/>
      </w:tblPr>
      <w:tblGrid>
        <w:gridCol w:w="6080"/>
        <w:gridCol w:w="1264"/>
        <w:gridCol w:w="1528"/>
        <w:gridCol w:w="1064"/>
      </w:tblGrid>
      <w:tr w:rsidR="00FA4AA8" w14:paraId="3AAC996D" w14:textId="77777777">
        <w:trPr>
          <w:trHeight w:val="234"/>
        </w:trPr>
        <w:tc>
          <w:tcPr>
            <w:tcW w:w="6080" w:type="dxa"/>
          </w:tcPr>
          <w:p w14:paraId="055E20AE" w14:textId="77777777" w:rsidR="00FA4AA8" w:rsidRDefault="0015611F">
            <w:pPr>
              <w:pStyle w:val="TableParagraph"/>
              <w:spacing w:line="201" w:lineRule="exact"/>
              <w:ind w:left="50"/>
              <w:rPr>
                <w:b/>
                <w:sz w:val="18"/>
              </w:rPr>
            </w:pPr>
            <w:r>
              <w:rPr>
                <w:b/>
                <w:sz w:val="18"/>
              </w:rPr>
              <w:t>Net (decrease) / increase in cash and cash equivalents held</w:t>
            </w:r>
          </w:p>
        </w:tc>
        <w:tc>
          <w:tcPr>
            <w:tcW w:w="1264" w:type="dxa"/>
          </w:tcPr>
          <w:p w14:paraId="0718712E" w14:textId="77777777" w:rsidR="00FA4AA8" w:rsidRDefault="00FA4AA8">
            <w:pPr>
              <w:pStyle w:val="TableParagraph"/>
              <w:rPr>
                <w:rFonts w:ascii="Times New Roman"/>
                <w:sz w:val="16"/>
              </w:rPr>
            </w:pPr>
          </w:p>
        </w:tc>
        <w:tc>
          <w:tcPr>
            <w:tcW w:w="1528" w:type="dxa"/>
          </w:tcPr>
          <w:p w14:paraId="4FBAAD81" w14:textId="77777777" w:rsidR="00FA4AA8" w:rsidRDefault="0015611F">
            <w:pPr>
              <w:pStyle w:val="TableParagraph"/>
              <w:spacing w:line="203" w:lineRule="exact"/>
              <w:ind w:right="258"/>
              <w:jc w:val="right"/>
              <w:rPr>
                <w:b/>
                <w:sz w:val="18"/>
              </w:rPr>
            </w:pPr>
            <w:r>
              <w:rPr>
                <w:b/>
                <w:sz w:val="18"/>
              </w:rPr>
              <w:t>(85,243)</w:t>
            </w:r>
          </w:p>
        </w:tc>
        <w:tc>
          <w:tcPr>
            <w:tcW w:w="1064" w:type="dxa"/>
          </w:tcPr>
          <w:p w14:paraId="479F05C1" w14:textId="77777777" w:rsidR="00FA4AA8" w:rsidRDefault="0015611F">
            <w:pPr>
              <w:pStyle w:val="TableParagraph"/>
              <w:spacing w:line="203" w:lineRule="exact"/>
              <w:ind w:left="241" w:right="11"/>
              <w:jc w:val="center"/>
              <w:rPr>
                <w:sz w:val="18"/>
              </w:rPr>
            </w:pPr>
            <w:r>
              <w:rPr>
                <w:sz w:val="18"/>
              </w:rPr>
              <w:t>(353,355)</w:t>
            </w:r>
          </w:p>
        </w:tc>
      </w:tr>
      <w:tr w:rsidR="00FA4AA8" w14:paraId="510864AE" w14:textId="77777777">
        <w:trPr>
          <w:trHeight w:val="257"/>
        </w:trPr>
        <w:tc>
          <w:tcPr>
            <w:tcW w:w="6080" w:type="dxa"/>
          </w:tcPr>
          <w:p w14:paraId="0A86BC0C" w14:textId="77777777" w:rsidR="00FA4AA8" w:rsidRDefault="0015611F">
            <w:pPr>
              <w:pStyle w:val="TableParagraph"/>
              <w:spacing w:before="25"/>
              <w:ind w:left="50"/>
              <w:rPr>
                <w:sz w:val="18"/>
              </w:rPr>
            </w:pPr>
            <w:r>
              <w:rPr>
                <w:sz w:val="18"/>
              </w:rPr>
              <w:t>Cash and cash equivalents at beginning of the year</w:t>
            </w:r>
          </w:p>
        </w:tc>
        <w:tc>
          <w:tcPr>
            <w:tcW w:w="1264" w:type="dxa"/>
          </w:tcPr>
          <w:p w14:paraId="6DE8DCD7" w14:textId="77777777" w:rsidR="00FA4AA8" w:rsidRDefault="00FA4AA8">
            <w:pPr>
              <w:pStyle w:val="TableParagraph"/>
              <w:rPr>
                <w:rFonts w:ascii="Times New Roman"/>
                <w:sz w:val="18"/>
              </w:rPr>
            </w:pPr>
          </w:p>
        </w:tc>
        <w:tc>
          <w:tcPr>
            <w:tcW w:w="1528" w:type="dxa"/>
            <w:tcBorders>
              <w:bottom w:val="single" w:sz="8" w:space="0" w:color="000000"/>
            </w:tcBorders>
          </w:tcPr>
          <w:p w14:paraId="196D250F" w14:textId="77777777" w:rsidR="00FA4AA8" w:rsidRDefault="0015611F">
            <w:pPr>
              <w:pStyle w:val="TableParagraph"/>
              <w:spacing w:before="25"/>
              <w:ind w:right="319"/>
              <w:jc w:val="right"/>
              <w:rPr>
                <w:b/>
                <w:sz w:val="18"/>
              </w:rPr>
            </w:pPr>
            <w:r>
              <w:rPr>
                <w:b/>
                <w:sz w:val="18"/>
              </w:rPr>
              <w:t>142,653</w:t>
            </w:r>
          </w:p>
        </w:tc>
        <w:tc>
          <w:tcPr>
            <w:tcW w:w="1064" w:type="dxa"/>
            <w:tcBorders>
              <w:bottom w:val="single" w:sz="8" w:space="0" w:color="000000"/>
            </w:tcBorders>
          </w:tcPr>
          <w:p w14:paraId="0B337B28" w14:textId="77777777" w:rsidR="00FA4AA8" w:rsidRDefault="0015611F">
            <w:pPr>
              <w:pStyle w:val="TableParagraph"/>
              <w:spacing w:before="25"/>
              <w:ind w:left="241" w:right="11"/>
              <w:jc w:val="center"/>
              <w:rPr>
                <w:sz w:val="18"/>
              </w:rPr>
            </w:pPr>
            <w:r>
              <w:rPr>
                <w:sz w:val="18"/>
              </w:rPr>
              <w:t>496,008</w:t>
            </w:r>
          </w:p>
        </w:tc>
      </w:tr>
      <w:tr w:rsidR="00FA4AA8" w14:paraId="564A0A45" w14:textId="77777777">
        <w:trPr>
          <w:trHeight w:val="320"/>
        </w:trPr>
        <w:tc>
          <w:tcPr>
            <w:tcW w:w="6080" w:type="dxa"/>
          </w:tcPr>
          <w:p w14:paraId="4A0B3510" w14:textId="77777777" w:rsidR="00FA4AA8" w:rsidRDefault="0015611F">
            <w:pPr>
              <w:pStyle w:val="TableParagraph"/>
              <w:spacing w:before="28"/>
              <w:ind w:left="50"/>
              <w:rPr>
                <w:b/>
                <w:sz w:val="18"/>
              </w:rPr>
            </w:pPr>
            <w:r>
              <w:rPr>
                <w:b/>
                <w:sz w:val="18"/>
              </w:rPr>
              <w:t>Cash and cash equivalents at end of financial year</w:t>
            </w:r>
          </w:p>
        </w:tc>
        <w:tc>
          <w:tcPr>
            <w:tcW w:w="1264" w:type="dxa"/>
          </w:tcPr>
          <w:p w14:paraId="2AFF7617" w14:textId="77777777" w:rsidR="00FA4AA8" w:rsidRDefault="0015611F">
            <w:pPr>
              <w:pStyle w:val="TableParagraph"/>
              <w:spacing w:before="31"/>
              <w:ind w:right="239"/>
              <w:jc w:val="right"/>
              <w:rPr>
                <w:sz w:val="18"/>
              </w:rPr>
            </w:pPr>
            <w:r>
              <w:rPr>
                <w:sz w:val="18"/>
              </w:rPr>
              <w:t>5</w:t>
            </w:r>
          </w:p>
        </w:tc>
        <w:tc>
          <w:tcPr>
            <w:tcW w:w="1528" w:type="dxa"/>
            <w:tcBorders>
              <w:top w:val="single" w:sz="8" w:space="0" w:color="000000"/>
              <w:bottom w:val="double" w:sz="2" w:space="0" w:color="000000"/>
            </w:tcBorders>
          </w:tcPr>
          <w:p w14:paraId="25620A94" w14:textId="77777777" w:rsidR="00FA4AA8" w:rsidRDefault="0015611F">
            <w:pPr>
              <w:pStyle w:val="TableParagraph"/>
              <w:spacing w:before="115" w:line="185" w:lineRule="exact"/>
              <w:ind w:right="319"/>
              <w:jc w:val="right"/>
              <w:rPr>
                <w:b/>
                <w:sz w:val="18"/>
              </w:rPr>
            </w:pPr>
            <w:r>
              <w:rPr>
                <w:b/>
                <w:sz w:val="18"/>
              </w:rPr>
              <w:t>57,410</w:t>
            </w:r>
          </w:p>
        </w:tc>
        <w:tc>
          <w:tcPr>
            <w:tcW w:w="1064" w:type="dxa"/>
            <w:tcBorders>
              <w:top w:val="single" w:sz="8" w:space="0" w:color="000000"/>
              <w:bottom w:val="double" w:sz="2" w:space="0" w:color="000000"/>
            </w:tcBorders>
          </w:tcPr>
          <w:p w14:paraId="3D3C8869" w14:textId="77777777" w:rsidR="00FA4AA8" w:rsidRDefault="0015611F">
            <w:pPr>
              <w:pStyle w:val="TableParagraph"/>
              <w:spacing w:before="115" w:line="185" w:lineRule="exact"/>
              <w:ind w:left="241" w:right="11"/>
              <w:jc w:val="center"/>
              <w:rPr>
                <w:sz w:val="18"/>
              </w:rPr>
            </w:pPr>
            <w:r>
              <w:rPr>
                <w:sz w:val="18"/>
              </w:rPr>
              <w:t>142,653</w:t>
            </w:r>
          </w:p>
        </w:tc>
      </w:tr>
    </w:tbl>
    <w:p w14:paraId="7178E902" w14:textId="77777777" w:rsidR="00FA4AA8" w:rsidRDefault="00FA4AA8">
      <w:pPr>
        <w:pStyle w:val="BodyText"/>
        <w:rPr>
          <w:sz w:val="20"/>
        </w:rPr>
      </w:pPr>
    </w:p>
    <w:p w14:paraId="468FD9CD" w14:textId="77777777" w:rsidR="00FA4AA8" w:rsidRDefault="00FA4AA8">
      <w:pPr>
        <w:pStyle w:val="BodyText"/>
        <w:rPr>
          <w:sz w:val="20"/>
        </w:rPr>
      </w:pPr>
    </w:p>
    <w:p w14:paraId="17A372DA" w14:textId="77777777" w:rsidR="00FA4AA8" w:rsidRDefault="00FA4AA8">
      <w:pPr>
        <w:pStyle w:val="BodyText"/>
        <w:rPr>
          <w:sz w:val="20"/>
        </w:rPr>
      </w:pPr>
    </w:p>
    <w:p w14:paraId="7479E5D1" w14:textId="77777777" w:rsidR="00FA4AA8" w:rsidRDefault="00FA4AA8">
      <w:pPr>
        <w:pStyle w:val="BodyText"/>
        <w:rPr>
          <w:sz w:val="20"/>
        </w:rPr>
      </w:pPr>
    </w:p>
    <w:p w14:paraId="03726DDA" w14:textId="77777777" w:rsidR="00FA4AA8" w:rsidRDefault="00FA4AA8">
      <w:pPr>
        <w:pStyle w:val="BodyText"/>
        <w:rPr>
          <w:sz w:val="20"/>
        </w:rPr>
      </w:pPr>
    </w:p>
    <w:p w14:paraId="57ECFF76" w14:textId="77777777" w:rsidR="00FA4AA8" w:rsidRDefault="00FA4AA8">
      <w:pPr>
        <w:pStyle w:val="BodyText"/>
        <w:rPr>
          <w:sz w:val="20"/>
        </w:rPr>
      </w:pPr>
    </w:p>
    <w:p w14:paraId="3A1145B5" w14:textId="77777777" w:rsidR="00FA4AA8" w:rsidRDefault="00FA4AA8">
      <w:pPr>
        <w:pStyle w:val="BodyText"/>
        <w:rPr>
          <w:sz w:val="20"/>
        </w:rPr>
      </w:pPr>
    </w:p>
    <w:p w14:paraId="43AC038D" w14:textId="77777777" w:rsidR="00FA4AA8" w:rsidRDefault="00FA4AA8">
      <w:pPr>
        <w:pStyle w:val="BodyText"/>
        <w:rPr>
          <w:sz w:val="20"/>
        </w:rPr>
      </w:pPr>
    </w:p>
    <w:p w14:paraId="3911070C" w14:textId="77777777" w:rsidR="00FA4AA8" w:rsidRDefault="00FA4AA8">
      <w:pPr>
        <w:pStyle w:val="BodyText"/>
        <w:rPr>
          <w:sz w:val="20"/>
        </w:rPr>
      </w:pPr>
    </w:p>
    <w:p w14:paraId="5D48347E" w14:textId="77777777" w:rsidR="00FA4AA8" w:rsidRDefault="00FA4AA8">
      <w:pPr>
        <w:pStyle w:val="BodyText"/>
        <w:rPr>
          <w:sz w:val="20"/>
        </w:rPr>
      </w:pPr>
    </w:p>
    <w:p w14:paraId="3612BD83" w14:textId="77777777" w:rsidR="00FA4AA8" w:rsidRDefault="00FA4AA8">
      <w:pPr>
        <w:pStyle w:val="BodyText"/>
        <w:rPr>
          <w:sz w:val="20"/>
        </w:rPr>
      </w:pPr>
    </w:p>
    <w:p w14:paraId="07FD081C" w14:textId="77777777" w:rsidR="00FA4AA8" w:rsidRDefault="00FA4AA8">
      <w:pPr>
        <w:pStyle w:val="BodyText"/>
        <w:rPr>
          <w:sz w:val="20"/>
        </w:rPr>
      </w:pPr>
    </w:p>
    <w:p w14:paraId="112CD285" w14:textId="77777777" w:rsidR="00FA4AA8" w:rsidRDefault="00FA4AA8">
      <w:pPr>
        <w:pStyle w:val="BodyText"/>
        <w:rPr>
          <w:sz w:val="20"/>
        </w:rPr>
      </w:pPr>
    </w:p>
    <w:p w14:paraId="7F950291" w14:textId="77777777" w:rsidR="00FA4AA8" w:rsidRDefault="00FA4AA8">
      <w:pPr>
        <w:pStyle w:val="BodyText"/>
        <w:rPr>
          <w:sz w:val="20"/>
        </w:rPr>
      </w:pPr>
    </w:p>
    <w:p w14:paraId="1290751B" w14:textId="77777777" w:rsidR="00FA4AA8" w:rsidRDefault="00FA4AA8">
      <w:pPr>
        <w:pStyle w:val="BodyText"/>
        <w:rPr>
          <w:sz w:val="20"/>
        </w:rPr>
      </w:pPr>
    </w:p>
    <w:p w14:paraId="4AE94D2C" w14:textId="77777777" w:rsidR="00FA4AA8" w:rsidRDefault="00FA4AA8">
      <w:pPr>
        <w:pStyle w:val="BodyText"/>
        <w:rPr>
          <w:sz w:val="20"/>
        </w:rPr>
      </w:pPr>
    </w:p>
    <w:p w14:paraId="73426BF2" w14:textId="77777777" w:rsidR="00FA4AA8" w:rsidRDefault="00FA4AA8">
      <w:pPr>
        <w:pStyle w:val="BodyText"/>
        <w:rPr>
          <w:sz w:val="20"/>
        </w:rPr>
      </w:pPr>
    </w:p>
    <w:p w14:paraId="56341062" w14:textId="77777777" w:rsidR="00FA4AA8" w:rsidRDefault="00FA4AA8">
      <w:pPr>
        <w:pStyle w:val="BodyText"/>
        <w:rPr>
          <w:sz w:val="20"/>
        </w:rPr>
      </w:pPr>
    </w:p>
    <w:p w14:paraId="266567FB" w14:textId="77777777" w:rsidR="00FA4AA8" w:rsidRDefault="00FA4AA8">
      <w:pPr>
        <w:pStyle w:val="BodyText"/>
        <w:rPr>
          <w:sz w:val="20"/>
        </w:rPr>
      </w:pPr>
    </w:p>
    <w:p w14:paraId="1B52BCA3" w14:textId="77777777" w:rsidR="00FA4AA8" w:rsidRDefault="00FA4AA8">
      <w:pPr>
        <w:pStyle w:val="BodyText"/>
        <w:rPr>
          <w:sz w:val="20"/>
        </w:rPr>
      </w:pPr>
    </w:p>
    <w:p w14:paraId="501B7262" w14:textId="77777777" w:rsidR="00FA4AA8" w:rsidRDefault="00FA4AA8">
      <w:pPr>
        <w:pStyle w:val="BodyText"/>
        <w:rPr>
          <w:sz w:val="20"/>
        </w:rPr>
      </w:pPr>
    </w:p>
    <w:p w14:paraId="48000A25" w14:textId="77777777" w:rsidR="00FA4AA8" w:rsidRDefault="00FA4AA8">
      <w:pPr>
        <w:pStyle w:val="BodyText"/>
        <w:rPr>
          <w:sz w:val="20"/>
        </w:rPr>
      </w:pPr>
    </w:p>
    <w:p w14:paraId="44920089" w14:textId="77777777" w:rsidR="00FA4AA8" w:rsidRDefault="00FA4AA8">
      <w:pPr>
        <w:pStyle w:val="BodyText"/>
        <w:rPr>
          <w:sz w:val="20"/>
        </w:rPr>
      </w:pPr>
    </w:p>
    <w:p w14:paraId="302B7278" w14:textId="77777777" w:rsidR="00FA4AA8" w:rsidRDefault="00FA4AA8">
      <w:pPr>
        <w:pStyle w:val="BodyText"/>
        <w:rPr>
          <w:sz w:val="20"/>
        </w:rPr>
      </w:pPr>
    </w:p>
    <w:p w14:paraId="0DD33240" w14:textId="77777777" w:rsidR="00FA4AA8" w:rsidRDefault="00FA4AA8">
      <w:pPr>
        <w:pStyle w:val="BodyText"/>
        <w:rPr>
          <w:sz w:val="20"/>
        </w:rPr>
      </w:pPr>
    </w:p>
    <w:p w14:paraId="7A3B6DC1" w14:textId="77777777" w:rsidR="00FA4AA8" w:rsidRDefault="00FA4AA8">
      <w:pPr>
        <w:pStyle w:val="BodyText"/>
        <w:spacing w:before="3"/>
        <w:rPr>
          <w:sz w:val="20"/>
        </w:rPr>
      </w:pPr>
    </w:p>
    <w:p w14:paraId="54EE8145" w14:textId="77777777" w:rsidR="00FA4AA8" w:rsidRDefault="0015611F">
      <w:pPr>
        <w:pStyle w:val="BodyText"/>
        <w:spacing w:before="94"/>
        <w:ind w:left="194" w:right="165"/>
        <w:jc w:val="center"/>
      </w:pPr>
      <w:r>
        <w:t>The accompanying notes form part of these financial statements.</w:t>
      </w:r>
    </w:p>
    <w:p w14:paraId="5CE20D28" w14:textId="77777777" w:rsidR="00FA4AA8" w:rsidRDefault="00FA4AA8">
      <w:pPr>
        <w:jc w:val="center"/>
        <w:sectPr w:rsidR="00FA4AA8">
          <w:pgSz w:w="11910" w:h="16840"/>
          <w:pgMar w:top="1460" w:right="840" w:bottom="720" w:left="840" w:header="1016" w:footer="523" w:gutter="0"/>
          <w:cols w:space="720"/>
        </w:sectPr>
      </w:pPr>
    </w:p>
    <w:p w14:paraId="671F903F" w14:textId="77777777" w:rsidR="00FA4AA8" w:rsidRDefault="00FA4AA8">
      <w:pPr>
        <w:pStyle w:val="BodyText"/>
        <w:spacing w:before="6"/>
        <w:rPr>
          <w:sz w:val="21"/>
        </w:rPr>
      </w:pPr>
    </w:p>
    <w:p w14:paraId="40ED9D20" w14:textId="77777777" w:rsidR="00FA4AA8" w:rsidRDefault="0015611F">
      <w:pPr>
        <w:pStyle w:val="Heading2"/>
      </w:pPr>
      <w:r>
        <w:t>Notes to the Financial Statements</w:t>
      </w:r>
    </w:p>
    <w:p w14:paraId="76B19F1A" w14:textId="77777777" w:rsidR="00FA4AA8" w:rsidRDefault="0015611F">
      <w:pPr>
        <w:pStyle w:val="Heading6"/>
        <w:ind w:left="167"/>
      </w:pPr>
      <w:r>
        <w:t>For the Year Ended 31 December 2018</w:t>
      </w:r>
    </w:p>
    <w:p w14:paraId="1731976B" w14:textId="77777777" w:rsidR="00FA4AA8" w:rsidRDefault="00FA4AA8">
      <w:pPr>
        <w:pStyle w:val="BodyText"/>
        <w:spacing w:before="1"/>
        <w:rPr>
          <w:b/>
          <w:sz w:val="25"/>
        </w:rPr>
      </w:pPr>
    </w:p>
    <w:p w14:paraId="648A97CB" w14:textId="77777777" w:rsidR="00FA4AA8" w:rsidRDefault="0015611F">
      <w:pPr>
        <w:tabs>
          <w:tab w:val="left" w:pos="563"/>
        </w:tabs>
        <w:ind w:left="170"/>
        <w:rPr>
          <w:b/>
          <w:sz w:val="18"/>
        </w:rPr>
      </w:pPr>
      <w:r>
        <w:rPr>
          <w:b/>
          <w:sz w:val="18"/>
        </w:rPr>
        <w:t>1</w:t>
      </w:r>
      <w:r>
        <w:rPr>
          <w:b/>
          <w:sz w:val="18"/>
        </w:rPr>
        <w:tab/>
        <w:t>Summary of Significant Accounting</w:t>
      </w:r>
      <w:r>
        <w:rPr>
          <w:b/>
          <w:spacing w:val="-9"/>
          <w:sz w:val="18"/>
        </w:rPr>
        <w:t xml:space="preserve"> </w:t>
      </w:r>
      <w:r>
        <w:rPr>
          <w:b/>
          <w:sz w:val="18"/>
        </w:rPr>
        <w:t>Policies</w:t>
      </w:r>
    </w:p>
    <w:p w14:paraId="33EE423B" w14:textId="77777777" w:rsidR="00FA4AA8" w:rsidRDefault="00FA4AA8">
      <w:pPr>
        <w:pStyle w:val="BodyText"/>
        <w:rPr>
          <w:b/>
          <w:sz w:val="25"/>
        </w:rPr>
      </w:pPr>
    </w:p>
    <w:p w14:paraId="566F9218" w14:textId="77777777" w:rsidR="00FA4AA8" w:rsidRDefault="0015611F">
      <w:pPr>
        <w:pStyle w:val="BodyText"/>
        <w:ind w:left="564" w:right="201"/>
      </w:pPr>
      <w:r>
        <w:t>Western Unlimited Ltd (the Company) is a registered Company limited by guarantee and is a controlled entity of Western Sydney University. The Company name change to Western Unlimited Ltd was completed on 15 June 2017. The Company was previously known as uwsconnect Limited. The Company is incorporated and domiciled in Australia.</w:t>
      </w:r>
    </w:p>
    <w:p w14:paraId="1144998F" w14:textId="77777777" w:rsidR="00FA4AA8" w:rsidRDefault="00FA4AA8">
      <w:pPr>
        <w:pStyle w:val="BodyText"/>
        <w:spacing w:before="10"/>
        <w:rPr>
          <w:sz w:val="24"/>
        </w:rPr>
      </w:pPr>
    </w:p>
    <w:p w14:paraId="0FC3B993" w14:textId="77777777" w:rsidR="00FA4AA8" w:rsidRDefault="0015611F">
      <w:pPr>
        <w:pStyle w:val="BodyText"/>
        <w:ind w:left="564"/>
      </w:pPr>
      <w:r>
        <w:t>The principal place of business for Western Unlimited Ltd is:</w:t>
      </w:r>
    </w:p>
    <w:p w14:paraId="62B2FFD6" w14:textId="77777777" w:rsidR="00FA4AA8" w:rsidRDefault="00FA4AA8">
      <w:pPr>
        <w:pStyle w:val="BodyText"/>
        <w:spacing w:before="9"/>
        <w:rPr>
          <w:sz w:val="24"/>
        </w:rPr>
      </w:pPr>
    </w:p>
    <w:p w14:paraId="080DA0DE" w14:textId="77777777" w:rsidR="00FA4AA8" w:rsidRDefault="0015611F">
      <w:pPr>
        <w:pStyle w:val="BodyText"/>
        <w:spacing w:line="300" w:lineRule="auto"/>
        <w:ind w:left="563" w:right="6925"/>
      </w:pPr>
      <w:r>
        <w:t>Western Sydney University</w:t>
      </w:r>
      <w:bookmarkStart w:id="148" w:name="(a)_Basis_of_Preparation_"/>
      <w:bookmarkEnd w:id="148"/>
      <w:r>
        <w:t xml:space="preserve"> Building K8, Hawkesbury Campus Richmond NSW 2753</w:t>
      </w:r>
    </w:p>
    <w:p w14:paraId="0DE11C40" w14:textId="77777777" w:rsidR="00FA4AA8" w:rsidRDefault="00FA4AA8">
      <w:pPr>
        <w:pStyle w:val="BodyText"/>
        <w:spacing w:before="10"/>
        <w:rPr>
          <w:sz w:val="22"/>
        </w:rPr>
      </w:pPr>
    </w:p>
    <w:p w14:paraId="10056E30" w14:textId="77777777" w:rsidR="00FA4AA8" w:rsidRDefault="0015611F">
      <w:pPr>
        <w:pStyle w:val="BodyText"/>
        <w:ind w:left="564"/>
      </w:pPr>
      <w:r>
        <w:t>The principal accounting policies adopted in the preparation of these financial statements are set out below. These policies have been consistently applied for all years unless otherwise stated.</w:t>
      </w:r>
    </w:p>
    <w:p w14:paraId="3B60DDFC" w14:textId="77777777" w:rsidR="00FA4AA8" w:rsidRDefault="00FA4AA8">
      <w:pPr>
        <w:pStyle w:val="BodyText"/>
        <w:rPr>
          <w:sz w:val="20"/>
        </w:rPr>
      </w:pPr>
    </w:p>
    <w:p w14:paraId="0E30EF61" w14:textId="77777777" w:rsidR="00FA4AA8" w:rsidRDefault="00FA4AA8">
      <w:pPr>
        <w:pStyle w:val="BodyText"/>
        <w:spacing w:before="5"/>
        <w:rPr>
          <w:sz w:val="17"/>
        </w:rPr>
      </w:pPr>
    </w:p>
    <w:p w14:paraId="065C261F" w14:textId="77777777" w:rsidR="00FA4AA8" w:rsidRDefault="0015611F">
      <w:pPr>
        <w:numPr>
          <w:ilvl w:val="0"/>
          <w:numId w:val="8"/>
        </w:numPr>
        <w:tabs>
          <w:tab w:val="left" w:pos="1130"/>
          <w:tab w:val="left" w:pos="1131"/>
        </w:tabs>
        <w:spacing w:before="1"/>
        <w:rPr>
          <w:b/>
          <w:sz w:val="18"/>
        </w:rPr>
      </w:pPr>
      <w:r>
        <w:rPr>
          <w:b/>
          <w:sz w:val="18"/>
        </w:rPr>
        <w:t>Basis of Preparation</w:t>
      </w:r>
    </w:p>
    <w:p w14:paraId="182F2A7D" w14:textId="77777777" w:rsidR="00FA4AA8" w:rsidRDefault="0015611F">
      <w:pPr>
        <w:pStyle w:val="BodyText"/>
        <w:spacing w:before="112"/>
        <w:ind w:left="564"/>
      </w:pPr>
      <w:r>
        <w:t>The financial statements are general purpose financial statements which have been prepared in accordance with:</w:t>
      </w:r>
    </w:p>
    <w:p w14:paraId="647DABDD" w14:textId="77777777" w:rsidR="00FA4AA8" w:rsidRDefault="0015611F">
      <w:pPr>
        <w:pStyle w:val="ListParagraph"/>
        <w:numPr>
          <w:ilvl w:val="0"/>
          <w:numId w:val="57"/>
        </w:numPr>
        <w:tabs>
          <w:tab w:val="left" w:pos="675"/>
        </w:tabs>
        <w:spacing w:before="112"/>
        <w:rPr>
          <w:i/>
          <w:sz w:val="18"/>
        </w:rPr>
      </w:pPr>
      <w:r>
        <w:rPr>
          <w:i/>
          <w:sz w:val="18"/>
        </w:rPr>
        <w:t>Australian Accounting Standards (which include Australian Accounting</w:t>
      </w:r>
      <w:r>
        <w:rPr>
          <w:i/>
          <w:spacing w:val="7"/>
          <w:sz w:val="18"/>
        </w:rPr>
        <w:t xml:space="preserve"> </w:t>
      </w:r>
      <w:r>
        <w:rPr>
          <w:i/>
          <w:sz w:val="18"/>
        </w:rPr>
        <w:t>Interpretations),</w:t>
      </w:r>
    </w:p>
    <w:p w14:paraId="44372ECD" w14:textId="77777777" w:rsidR="00FA4AA8" w:rsidRDefault="0015611F">
      <w:pPr>
        <w:pStyle w:val="ListParagraph"/>
        <w:numPr>
          <w:ilvl w:val="0"/>
          <w:numId w:val="57"/>
        </w:numPr>
        <w:tabs>
          <w:tab w:val="left" w:pos="675"/>
        </w:tabs>
        <w:spacing w:before="112"/>
        <w:rPr>
          <w:sz w:val="18"/>
        </w:rPr>
      </w:pPr>
      <w:r>
        <w:rPr>
          <w:sz w:val="18"/>
        </w:rPr>
        <w:t xml:space="preserve">the </w:t>
      </w:r>
      <w:r>
        <w:rPr>
          <w:i/>
          <w:sz w:val="18"/>
        </w:rPr>
        <w:t>Public Finance and Audit Act</w:t>
      </w:r>
      <w:r>
        <w:rPr>
          <w:i/>
          <w:spacing w:val="5"/>
          <w:sz w:val="18"/>
        </w:rPr>
        <w:t xml:space="preserve"> </w:t>
      </w:r>
      <w:r>
        <w:rPr>
          <w:i/>
          <w:sz w:val="18"/>
        </w:rPr>
        <w:t>1983</w:t>
      </w:r>
      <w:r>
        <w:rPr>
          <w:sz w:val="18"/>
        </w:rPr>
        <w:t>,</w:t>
      </w:r>
    </w:p>
    <w:p w14:paraId="140B4F6F" w14:textId="77777777" w:rsidR="00FA4AA8" w:rsidRDefault="0015611F">
      <w:pPr>
        <w:pStyle w:val="ListParagraph"/>
        <w:numPr>
          <w:ilvl w:val="0"/>
          <w:numId w:val="57"/>
        </w:numPr>
        <w:tabs>
          <w:tab w:val="left" w:pos="675"/>
        </w:tabs>
        <w:spacing w:before="112"/>
        <w:ind w:hanging="112"/>
        <w:rPr>
          <w:sz w:val="18"/>
        </w:rPr>
      </w:pPr>
      <w:r>
        <w:rPr>
          <w:sz w:val="18"/>
        </w:rPr>
        <w:t xml:space="preserve">the </w:t>
      </w:r>
      <w:r>
        <w:rPr>
          <w:i/>
          <w:sz w:val="18"/>
        </w:rPr>
        <w:t>Public Finance and Audit Regulation</w:t>
      </w:r>
      <w:r>
        <w:rPr>
          <w:i/>
          <w:spacing w:val="5"/>
          <w:sz w:val="18"/>
        </w:rPr>
        <w:t xml:space="preserve"> </w:t>
      </w:r>
      <w:r>
        <w:rPr>
          <w:i/>
          <w:sz w:val="18"/>
        </w:rPr>
        <w:t>2015</w:t>
      </w:r>
      <w:r>
        <w:rPr>
          <w:sz w:val="18"/>
        </w:rPr>
        <w:t>,</w:t>
      </w:r>
    </w:p>
    <w:p w14:paraId="10F30A74" w14:textId="77777777" w:rsidR="00FA4AA8" w:rsidRDefault="0015611F">
      <w:pPr>
        <w:pStyle w:val="ListParagraph"/>
        <w:numPr>
          <w:ilvl w:val="0"/>
          <w:numId w:val="57"/>
        </w:numPr>
        <w:tabs>
          <w:tab w:val="left" w:pos="675"/>
        </w:tabs>
        <w:spacing w:before="113"/>
        <w:ind w:hanging="112"/>
        <w:rPr>
          <w:sz w:val="18"/>
        </w:rPr>
      </w:pPr>
      <w:r>
        <w:rPr>
          <w:sz w:val="18"/>
        </w:rPr>
        <w:t xml:space="preserve">the </w:t>
      </w:r>
      <w:r>
        <w:rPr>
          <w:i/>
          <w:sz w:val="18"/>
        </w:rPr>
        <w:t>Australian Charities and Not-for-profits Commission Act 2012 (ACNC Act) and Division 60 of the Regulation</w:t>
      </w:r>
      <w:r>
        <w:rPr>
          <w:i/>
          <w:spacing w:val="7"/>
          <w:sz w:val="18"/>
        </w:rPr>
        <w:t xml:space="preserve"> </w:t>
      </w:r>
      <w:r>
        <w:rPr>
          <w:i/>
          <w:sz w:val="18"/>
        </w:rPr>
        <w:t>201</w:t>
      </w:r>
      <w:r>
        <w:rPr>
          <w:sz w:val="18"/>
        </w:rPr>
        <w:t>3.</w:t>
      </w:r>
    </w:p>
    <w:p w14:paraId="56E4AF4C" w14:textId="77777777" w:rsidR="00FA4AA8" w:rsidRDefault="00FA4AA8">
      <w:pPr>
        <w:pStyle w:val="BodyText"/>
        <w:spacing w:before="11"/>
        <w:rPr>
          <w:sz w:val="24"/>
        </w:rPr>
      </w:pPr>
    </w:p>
    <w:p w14:paraId="1E25E86E" w14:textId="77777777" w:rsidR="00FA4AA8" w:rsidRDefault="0015611F">
      <w:pPr>
        <w:pStyle w:val="BodyText"/>
        <w:ind w:left="563" w:right="256"/>
      </w:pPr>
      <w:r>
        <w:t xml:space="preserve">These financial statements comply with Australian Accounting </w:t>
      </w:r>
      <w:r w:rsidR="00A74DE7">
        <w:t>Standards</w:t>
      </w:r>
      <w:r>
        <w:t xml:space="preserve"> - Reduced Disclosure Requirements as issued by the Australian Accounting Standards Board.</w:t>
      </w:r>
    </w:p>
    <w:p w14:paraId="2F527411" w14:textId="77777777" w:rsidR="00FA4AA8" w:rsidRDefault="00FA4AA8">
      <w:pPr>
        <w:pStyle w:val="BodyText"/>
        <w:spacing w:before="11"/>
        <w:rPr>
          <w:sz w:val="24"/>
        </w:rPr>
      </w:pPr>
    </w:p>
    <w:p w14:paraId="093B7B2F" w14:textId="77777777" w:rsidR="00FA4AA8" w:rsidRDefault="0015611F">
      <w:pPr>
        <w:pStyle w:val="BodyText"/>
        <w:ind w:left="563"/>
      </w:pPr>
      <w:r>
        <w:t>The financial statements have been prepared on an accrual basis and are based on historic costs, modified, where applicable, by the measurement at fair value of selected financial assets and financial liabilities.</w:t>
      </w:r>
    </w:p>
    <w:p w14:paraId="49F166BB" w14:textId="77777777" w:rsidR="00FA4AA8" w:rsidRDefault="00FA4AA8">
      <w:pPr>
        <w:pStyle w:val="BodyText"/>
        <w:spacing w:before="11"/>
        <w:rPr>
          <w:sz w:val="24"/>
        </w:rPr>
      </w:pPr>
    </w:p>
    <w:p w14:paraId="4CFEF7AA" w14:textId="77777777" w:rsidR="00FA4AA8" w:rsidRDefault="0015611F">
      <w:pPr>
        <w:pStyle w:val="BodyText"/>
        <w:ind w:left="563"/>
      </w:pPr>
      <w:r>
        <w:t>The financial statements were authorised for issue by the Board members of Western Unlimited Ltd on 4 March 2019.</w:t>
      </w:r>
    </w:p>
    <w:p w14:paraId="6C700587" w14:textId="77777777" w:rsidR="00FA4AA8" w:rsidRDefault="00FA4AA8">
      <w:pPr>
        <w:pStyle w:val="BodyText"/>
        <w:rPr>
          <w:sz w:val="25"/>
        </w:rPr>
      </w:pPr>
    </w:p>
    <w:p w14:paraId="209104E8" w14:textId="77777777" w:rsidR="00FA4AA8" w:rsidRDefault="0015611F">
      <w:pPr>
        <w:numPr>
          <w:ilvl w:val="1"/>
          <w:numId w:val="8"/>
        </w:numPr>
        <w:tabs>
          <w:tab w:val="left" w:pos="1069"/>
        </w:tabs>
        <w:rPr>
          <w:b/>
          <w:sz w:val="18"/>
        </w:rPr>
      </w:pPr>
      <w:r>
        <w:rPr>
          <w:b/>
          <w:sz w:val="18"/>
        </w:rPr>
        <w:t>Critical accounting estimates</w:t>
      </w:r>
    </w:p>
    <w:p w14:paraId="7675EB4E" w14:textId="77777777" w:rsidR="00FA4AA8" w:rsidRDefault="00FA4AA8">
      <w:pPr>
        <w:pStyle w:val="BodyText"/>
        <w:spacing w:before="11"/>
        <w:rPr>
          <w:b/>
          <w:sz w:val="24"/>
        </w:rPr>
      </w:pPr>
    </w:p>
    <w:p w14:paraId="24D103ED" w14:textId="77777777" w:rsidR="00FA4AA8" w:rsidRDefault="0015611F">
      <w:pPr>
        <w:pStyle w:val="BodyText"/>
        <w:ind w:left="1130"/>
      </w:pPr>
      <w:r>
        <w:t>The preparation of financial statements requires the use of certain critical accounting estimates. It also requires management to exercise its judgement in the process of applying the Company's accounting policies. Estimates and judgements are continually evaluated and are based on historic experience and other factors, including expectations of future events that may have a financial impact of the Company and that are believed to be reasonable under the circumstances.</w:t>
      </w:r>
    </w:p>
    <w:p w14:paraId="019066DB" w14:textId="77777777" w:rsidR="00FA4AA8" w:rsidRDefault="00FA4AA8">
      <w:pPr>
        <w:pStyle w:val="BodyText"/>
        <w:spacing w:before="9"/>
        <w:rPr>
          <w:sz w:val="24"/>
        </w:rPr>
      </w:pPr>
    </w:p>
    <w:p w14:paraId="1BC6852D" w14:textId="77777777" w:rsidR="00FA4AA8" w:rsidRDefault="0015611F">
      <w:pPr>
        <w:pStyle w:val="BodyText"/>
        <w:ind w:left="1130" w:right="414"/>
      </w:pPr>
      <w:r>
        <w:t>All significant estimates or assumptions made in the financial statements have been explained in the accounting policy notes or subsequent notes.</w:t>
      </w:r>
    </w:p>
    <w:p w14:paraId="29EFC9DF" w14:textId="77777777" w:rsidR="00FA4AA8" w:rsidRDefault="00FA4AA8">
      <w:pPr>
        <w:pStyle w:val="BodyText"/>
        <w:spacing w:before="11"/>
        <w:rPr>
          <w:sz w:val="24"/>
        </w:rPr>
      </w:pPr>
    </w:p>
    <w:p w14:paraId="6F2029AB" w14:textId="77777777" w:rsidR="00FA4AA8" w:rsidRDefault="0015611F">
      <w:pPr>
        <w:numPr>
          <w:ilvl w:val="1"/>
          <w:numId w:val="8"/>
        </w:numPr>
        <w:tabs>
          <w:tab w:val="left" w:pos="1120"/>
        </w:tabs>
        <w:ind w:left="1119" w:hanging="273"/>
        <w:rPr>
          <w:b/>
          <w:sz w:val="18"/>
        </w:rPr>
      </w:pPr>
      <w:bookmarkStart w:id="149" w:name="(b)_Income_Tax_"/>
      <w:bookmarkEnd w:id="149"/>
      <w:r>
        <w:rPr>
          <w:b/>
          <w:sz w:val="18"/>
        </w:rPr>
        <w:t>Functional and presentation currency</w:t>
      </w:r>
    </w:p>
    <w:p w14:paraId="3FEB696A" w14:textId="77777777" w:rsidR="00FA4AA8" w:rsidRDefault="00FA4AA8">
      <w:pPr>
        <w:pStyle w:val="BodyText"/>
        <w:rPr>
          <w:b/>
          <w:sz w:val="25"/>
        </w:rPr>
      </w:pPr>
    </w:p>
    <w:p w14:paraId="4537D31C" w14:textId="77777777" w:rsidR="00FA4AA8" w:rsidRDefault="0015611F">
      <w:pPr>
        <w:pStyle w:val="BodyText"/>
        <w:ind w:left="1130"/>
      </w:pPr>
      <w:r>
        <w:t>The financial statements are presented in Australian dollars.</w:t>
      </w:r>
    </w:p>
    <w:p w14:paraId="09AABD94" w14:textId="77777777" w:rsidR="00FA4AA8" w:rsidRDefault="00FA4AA8">
      <w:pPr>
        <w:pStyle w:val="BodyText"/>
        <w:rPr>
          <w:sz w:val="20"/>
        </w:rPr>
      </w:pPr>
    </w:p>
    <w:p w14:paraId="76379986" w14:textId="77777777" w:rsidR="00FA4AA8" w:rsidRDefault="00FA4AA8">
      <w:pPr>
        <w:pStyle w:val="BodyText"/>
        <w:spacing w:before="11"/>
        <w:rPr>
          <w:sz w:val="17"/>
        </w:rPr>
      </w:pPr>
    </w:p>
    <w:p w14:paraId="4E09A3D0" w14:textId="77777777" w:rsidR="00FA4AA8" w:rsidRDefault="0015611F">
      <w:pPr>
        <w:numPr>
          <w:ilvl w:val="0"/>
          <w:numId w:val="8"/>
        </w:numPr>
        <w:tabs>
          <w:tab w:val="left" w:pos="1130"/>
          <w:tab w:val="left" w:pos="1131"/>
        </w:tabs>
        <w:rPr>
          <w:b/>
          <w:sz w:val="18"/>
        </w:rPr>
      </w:pPr>
      <w:r>
        <w:rPr>
          <w:b/>
          <w:sz w:val="18"/>
        </w:rPr>
        <w:t>Income</w:t>
      </w:r>
      <w:r>
        <w:rPr>
          <w:b/>
          <w:spacing w:val="1"/>
          <w:sz w:val="18"/>
        </w:rPr>
        <w:t xml:space="preserve"> </w:t>
      </w:r>
      <w:r>
        <w:rPr>
          <w:b/>
          <w:sz w:val="18"/>
        </w:rPr>
        <w:t>Tax</w:t>
      </w:r>
    </w:p>
    <w:p w14:paraId="62DE3F66" w14:textId="77777777" w:rsidR="00FA4AA8" w:rsidRDefault="0015611F">
      <w:pPr>
        <w:pStyle w:val="BodyText"/>
        <w:spacing w:before="112"/>
        <w:ind w:left="564"/>
      </w:pPr>
      <w:r>
        <w:t>The Company is exempt from the payment of tax by virtue of section 50-B of the Income Tax Assessment Act 1997. Accordingly, no provision for income tax liability or future income income tax benefit has been included in the accounts.</w:t>
      </w:r>
    </w:p>
    <w:p w14:paraId="033307EC" w14:textId="77777777" w:rsidR="00FA4AA8" w:rsidRDefault="00FA4AA8">
      <w:pPr>
        <w:sectPr w:rsidR="00FA4AA8">
          <w:pgSz w:w="11910" w:h="16840"/>
          <w:pgMar w:top="1460" w:right="840" w:bottom="720" w:left="840" w:header="1016" w:footer="523" w:gutter="0"/>
          <w:cols w:space="720"/>
        </w:sectPr>
      </w:pPr>
    </w:p>
    <w:p w14:paraId="57C3905F" w14:textId="77777777" w:rsidR="00FA4AA8" w:rsidRDefault="00FA4AA8">
      <w:pPr>
        <w:pStyle w:val="BodyText"/>
        <w:spacing w:before="6"/>
        <w:rPr>
          <w:sz w:val="21"/>
        </w:rPr>
      </w:pPr>
    </w:p>
    <w:p w14:paraId="048669BB" w14:textId="77777777" w:rsidR="00FA4AA8" w:rsidRDefault="0015611F">
      <w:pPr>
        <w:pStyle w:val="Heading2"/>
      </w:pPr>
      <w:bookmarkStart w:id="150" w:name="(c)_Goods_and_Services_Tax_(GST)_"/>
      <w:bookmarkEnd w:id="150"/>
      <w:r>
        <w:t>Notes to the Financial Statements</w:t>
      </w:r>
    </w:p>
    <w:p w14:paraId="3392CD8D" w14:textId="77777777" w:rsidR="00FA4AA8" w:rsidRDefault="0015611F">
      <w:pPr>
        <w:pStyle w:val="Heading6"/>
        <w:ind w:left="167"/>
      </w:pPr>
      <w:r>
        <w:t>For the Year Ended 31 December 2018</w:t>
      </w:r>
    </w:p>
    <w:p w14:paraId="21E470EB" w14:textId="77777777" w:rsidR="00FA4AA8" w:rsidRDefault="00FA4AA8">
      <w:pPr>
        <w:pStyle w:val="BodyText"/>
        <w:spacing w:before="1"/>
        <w:rPr>
          <w:b/>
          <w:sz w:val="25"/>
        </w:rPr>
      </w:pPr>
    </w:p>
    <w:p w14:paraId="53CCA0EA" w14:textId="77777777" w:rsidR="00FA4AA8" w:rsidRDefault="0015611F">
      <w:pPr>
        <w:tabs>
          <w:tab w:val="left" w:pos="563"/>
        </w:tabs>
        <w:ind w:left="170"/>
        <w:rPr>
          <w:b/>
          <w:sz w:val="18"/>
        </w:rPr>
      </w:pPr>
      <w:r>
        <w:rPr>
          <w:b/>
          <w:sz w:val="18"/>
        </w:rPr>
        <w:t>1</w:t>
      </w:r>
      <w:r>
        <w:rPr>
          <w:b/>
          <w:sz w:val="18"/>
        </w:rPr>
        <w:tab/>
        <w:t>Summary of Significant Accounting Policies</w:t>
      </w:r>
      <w:r>
        <w:rPr>
          <w:b/>
          <w:spacing w:val="-9"/>
          <w:sz w:val="18"/>
        </w:rPr>
        <w:t xml:space="preserve"> </w:t>
      </w:r>
      <w:r>
        <w:rPr>
          <w:b/>
          <w:sz w:val="18"/>
        </w:rPr>
        <w:t>(Continued)</w:t>
      </w:r>
    </w:p>
    <w:p w14:paraId="6C461E07" w14:textId="77777777" w:rsidR="00FA4AA8" w:rsidRDefault="00FA4AA8">
      <w:pPr>
        <w:pStyle w:val="BodyText"/>
        <w:rPr>
          <w:b/>
          <w:sz w:val="20"/>
        </w:rPr>
      </w:pPr>
    </w:p>
    <w:p w14:paraId="58FAD765" w14:textId="77777777" w:rsidR="00FA4AA8" w:rsidRDefault="00FA4AA8">
      <w:pPr>
        <w:pStyle w:val="BodyText"/>
        <w:spacing w:before="6"/>
        <w:rPr>
          <w:b/>
          <w:sz w:val="17"/>
        </w:rPr>
      </w:pPr>
    </w:p>
    <w:p w14:paraId="2A262A6A" w14:textId="77777777" w:rsidR="00FA4AA8" w:rsidRDefault="0015611F">
      <w:pPr>
        <w:pStyle w:val="ListParagraph"/>
        <w:numPr>
          <w:ilvl w:val="0"/>
          <w:numId w:val="8"/>
        </w:numPr>
        <w:tabs>
          <w:tab w:val="left" w:pos="1130"/>
          <w:tab w:val="left" w:pos="1131"/>
        </w:tabs>
        <w:rPr>
          <w:b/>
          <w:sz w:val="18"/>
        </w:rPr>
      </w:pPr>
      <w:r>
        <w:rPr>
          <w:b/>
          <w:sz w:val="18"/>
        </w:rPr>
        <w:t>Goods and Services Tax (GST)</w:t>
      </w:r>
    </w:p>
    <w:p w14:paraId="1535ED7E" w14:textId="77777777" w:rsidR="00FA4AA8" w:rsidRDefault="0015611F">
      <w:pPr>
        <w:pStyle w:val="BodyText"/>
        <w:spacing w:before="112"/>
        <w:ind w:left="564" w:right="256"/>
      </w:pPr>
      <w:r>
        <w:t>Revenues, expenses and assets are recognised net of the amount of associated GST, unless the GST incurred is not recoverable from the Australian Taxation Office. In this case it is recognised as part of the cost of acquisition of the asset or as part of the expense.</w:t>
      </w:r>
    </w:p>
    <w:p w14:paraId="50E4AB1A" w14:textId="77777777" w:rsidR="00FA4AA8" w:rsidRDefault="0015611F">
      <w:pPr>
        <w:pStyle w:val="BodyText"/>
        <w:spacing w:before="111"/>
        <w:ind w:left="564"/>
      </w:pPr>
      <w:bookmarkStart w:id="151" w:name="(d)_Comparative_Amounts_"/>
      <w:bookmarkEnd w:id="151"/>
      <w:r>
        <w:t>Receivables and payables are stated inclusive of the amount of GST receivable or payable. The net amount of GST recoverable from, or payable to, the taxation authority is included with other receivables or payables in the statement of financial position.</w:t>
      </w:r>
    </w:p>
    <w:p w14:paraId="6F84E45A" w14:textId="77777777" w:rsidR="00FA4AA8" w:rsidRDefault="0015611F">
      <w:pPr>
        <w:pStyle w:val="BodyText"/>
        <w:spacing w:before="111"/>
        <w:ind w:left="564"/>
      </w:pPr>
      <w:r>
        <w:t>Cash flows are presented on a gross basis. The GST components of cash flows arising from investing or financing activities which are recoverable from, or payable to the taxation authority, are presented as operating cash flows.</w:t>
      </w:r>
    </w:p>
    <w:p w14:paraId="58393DB7" w14:textId="77777777" w:rsidR="00FA4AA8" w:rsidRDefault="00FA4AA8">
      <w:pPr>
        <w:pStyle w:val="BodyText"/>
        <w:spacing w:before="5"/>
        <w:rPr>
          <w:sz w:val="25"/>
        </w:rPr>
      </w:pPr>
    </w:p>
    <w:tbl>
      <w:tblPr>
        <w:tblW w:w="0" w:type="auto"/>
        <w:tblInd w:w="521" w:type="dxa"/>
        <w:tblLayout w:type="fixed"/>
        <w:tblCellMar>
          <w:left w:w="0" w:type="dxa"/>
          <w:right w:w="0" w:type="dxa"/>
        </w:tblCellMar>
        <w:tblLook w:val="01E0" w:firstRow="1" w:lastRow="1" w:firstColumn="1" w:lastColumn="1" w:noHBand="0" w:noVBand="0"/>
      </w:tblPr>
      <w:tblGrid>
        <w:gridCol w:w="448"/>
        <w:gridCol w:w="5001"/>
        <w:gridCol w:w="1298"/>
        <w:gridCol w:w="1680"/>
        <w:gridCol w:w="1137"/>
      </w:tblGrid>
      <w:tr w:rsidR="00FA4AA8" w14:paraId="6E07B613" w14:textId="77777777">
        <w:trPr>
          <w:trHeight w:val="201"/>
        </w:trPr>
        <w:tc>
          <w:tcPr>
            <w:tcW w:w="448" w:type="dxa"/>
          </w:tcPr>
          <w:p w14:paraId="27017A69" w14:textId="77777777" w:rsidR="00FA4AA8" w:rsidRDefault="0015611F">
            <w:pPr>
              <w:pStyle w:val="TableParagraph"/>
              <w:spacing w:line="181" w:lineRule="exact"/>
              <w:ind w:left="50"/>
              <w:rPr>
                <w:b/>
                <w:sz w:val="18"/>
              </w:rPr>
            </w:pPr>
            <w:r>
              <w:rPr>
                <w:b/>
                <w:sz w:val="18"/>
              </w:rPr>
              <w:t>(d)</w:t>
            </w:r>
          </w:p>
        </w:tc>
        <w:tc>
          <w:tcPr>
            <w:tcW w:w="9116" w:type="dxa"/>
            <w:gridSpan w:val="4"/>
          </w:tcPr>
          <w:p w14:paraId="7EC1DB51" w14:textId="77777777" w:rsidR="00FA4AA8" w:rsidRDefault="0015611F">
            <w:pPr>
              <w:pStyle w:val="TableParagraph"/>
              <w:spacing w:line="181" w:lineRule="exact"/>
              <w:ind w:left="168"/>
              <w:rPr>
                <w:b/>
                <w:sz w:val="18"/>
              </w:rPr>
            </w:pPr>
            <w:r>
              <w:rPr>
                <w:b/>
                <w:sz w:val="18"/>
              </w:rPr>
              <w:t>Comparative Amounts</w:t>
            </w:r>
          </w:p>
        </w:tc>
      </w:tr>
      <w:tr w:rsidR="00FA4AA8" w14:paraId="24899134" w14:textId="77777777">
        <w:trPr>
          <w:trHeight w:val="525"/>
        </w:trPr>
        <w:tc>
          <w:tcPr>
            <w:tcW w:w="9564" w:type="dxa"/>
            <w:gridSpan w:val="5"/>
          </w:tcPr>
          <w:p w14:paraId="38E0D649" w14:textId="77777777" w:rsidR="00FA4AA8" w:rsidRDefault="0015611F">
            <w:pPr>
              <w:pStyle w:val="TableParagraph"/>
              <w:spacing w:before="116" w:line="206" w:lineRule="exact"/>
              <w:ind w:left="50"/>
              <w:rPr>
                <w:sz w:val="18"/>
              </w:rPr>
            </w:pPr>
            <w:r>
              <w:rPr>
                <w:sz w:val="18"/>
              </w:rPr>
              <w:t>Where necessary, comparative information has been reclassified to enhance comparability in respect of changes in presentation adopted in the current year.</w:t>
            </w:r>
          </w:p>
        </w:tc>
      </w:tr>
      <w:tr w:rsidR="00FA4AA8" w14:paraId="3BF57F3D" w14:textId="77777777">
        <w:trPr>
          <w:trHeight w:val="274"/>
        </w:trPr>
        <w:tc>
          <w:tcPr>
            <w:tcW w:w="448" w:type="dxa"/>
          </w:tcPr>
          <w:p w14:paraId="4C9433D5" w14:textId="77777777" w:rsidR="00FA4AA8" w:rsidRDefault="00FA4AA8">
            <w:pPr>
              <w:pStyle w:val="TableParagraph"/>
              <w:rPr>
                <w:rFonts w:ascii="Times New Roman"/>
                <w:sz w:val="18"/>
              </w:rPr>
            </w:pPr>
          </w:p>
        </w:tc>
        <w:tc>
          <w:tcPr>
            <w:tcW w:w="5001" w:type="dxa"/>
          </w:tcPr>
          <w:p w14:paraId="6C955834" w14:textId="77777777" w:rsidR="00FA4AA8" w:rsidRDefault="00FA4AA8">
            <w:pPr>
              <w:pStyle w:val="TableParagraph"/>
              <w:rPr>
                <w:rFonts w:ascii="Times New Roman"/>
                <w:sz w:val="18"/>
              </w:rPr>
            </w:pPr>
          </w:p>
        </w:tc>
        <w:tc>
          <w:tcPr>
            <w:tcW w:w="1298" w:type="dxa"/>
          </w:tcPr>
          <w:p w14:paraId="3865BD53" w14:textId="77777777" w:rsidR="00FA4AA8" w:rsidRDefault="0015611F">
            <w:pPr>
              <w:pStyle w:val="TableParagraph"/>
              <w:spacing w:before="30"/>
              <w:ind w:left="469"/>
              <w:rPr>
                <w:b/>
                <w:sz w:val="18"/>
              </w:rPr>
            </w:pPr>
            <w:r>
              <w:rPr>
                <w:b/>
                <w:sz w:val="18"/>
              </w:rPr>
              <w:t>2017</w:t>
            </w:r>
          </w:p>
        </w:tc>
        <w:tc>
          <w:tcPr>
            <w:tcW w:w="1680" w:type="dxa"/>
          </w:tcPr>
          <w:p w14:paraId="321CEB80" w14:textId="77777777" w:rsidR="00FA4AA8" w:rsidRDefault="00FA4AA8">
            <w:pPr>
              <w:pStyle w:val="TableParagraph"/>
              <w:rPr>
                <w:rFonts w:ascii="Times New Roman"/>
                <w:sz w:val="18"/>
              </w:rPr>
            </w:pPr>
          </w:p>
        </w:tc>
        <w:tc>
          <w:tcPr>
            <w:tcW w:w="1137" w:type="dxa"/>
          </w:tcPr>
          <w:p w14:paraId="1A8358E1" w14:textId="77777777" w:rsidR="00FA4AA8" w:rsidRDefault="0015611F">
            <w:pPr>
              <w:pStyle w:val="TableParagraph"/>
              <w:spacing w:before="30"/>
              <w:ind w:left="332"/>
              <w:rPr>
                <w:b/>
                <w:sz w:val="18"/>
              </w:rPr>
            </w:pPr>
            <w:r>
              <w:rPr>
                <w:b/>
                <w:sz w:val="18"/>
              </w:rPr>
              <w:t>2017</w:t>
            </w:r>
          </w:p>
        </w:tc>
      </w:tr>
      <w:tr w:rsidR="00FA4AA8" w14:paraId="174A2263" w14:textId="77777777">
        <w:trPr>
          <w:trHeight w:val="273"/>
        </w:trPr>
        <w:tc>
          <w:tcPr>
            <w:tcW w:w="448" w:type="dxa"/>
          </w:tcPr>
          <w:p w14:paraId="541F1649" w14:textId="77777777" w:rsidR="00FA4AA8" w:rsidRDefault="00FA4AA8">
            <w:pPr>
              <w:pStyle w:val="TableParagraph"/>
              <w:rPr>
                <w:rFonts w:ascii="Times New Roman"/>
                <w:sz w:val="18"/>
              </w:rPr>
            </w:pPr>
          </w:p>
        </w:tc>
        <w:tc>
          <w:tcPr>
            <w:tcW w:w="5001" w:type="dxa"/>
          </w:tcPr>
          <w:p w14:paraId="47A6C12A" w14:textId="77777777" w:rsidR="00FA4AA8" w:rsidRDefault="00FA4AA8">
            <w:pPr>
              <w:pStyle w:val="TableParagraph"/>
              <w:rPr>
                <w:rFonts w:ascii="Times New Roman"/>
                <w:sz w:val="18"/>
              </w:rPr>
            </w:pPr>
          </w:p>
        </w:tc>
        <w:tc>
          <w:tcPr>
            <w:tcW w:w="1298" w:type="dxa"/>
          </w:tcPr>
          <w:p w14:paraId="634D4F82" w14:textId="77777777" w:rsidR="00FA4AA8" w:rsidRDefault="0015611F">
            <w:pPr>
              <w:pStyle w:val="TableParagraph"/>
              <w:spacing w:before="30"/>
              <w:ind w:left="274"/>
              <w:rPr>
                <w:b/>
                <w:sz w:val="18"/>
              </w:rPr>
            </w:pPr>
            <w:r>
              <w:rPr>
                <w:b/>
                <w:sz w:val="18"/>
              </w:rPr>
              <w:t>Reported</w:t>
            </w:r>
          </w:p>
        </w:tc>
        <w:tc>
          <w:tcPr>
            <w:tcW w:w="1680" w:type="dxa"/>
          </w:tcPr>
          <w:p w14:paraId="27F0139B" w14:textId="77777777" w:rsidR="00FA4AA8" w:rsidRDefault="0015611F">
            <w:pPr>
              <w:pStyle w:val="TableParagraph"/>
              <w:spacing w:before="30"/>
              <w:ind w:right="208"/>
              <w:jc w:val="right"/>
              <w:rPr>
                <w:b/>
                <w:sz w:val="18"/>
              </w:rPr>
            </w:pPr>
            <w:r>
              <w:rPr>
                <w:b/>
                <w:sz w:val="18"/>
              </w:rPr>
              <w:t>Reclassification</w:t>
            </w:r>
          </w:p>
        </w:tc>
        <w:tc>
          <w:tcPr>
            <w:tcW w:w="1137" w:type="dxa"/>
          </w:tcPr>
          <w:p w14:paraId="402CF1EF" w14:textId="77777777" w:rsidR="00FA4AA8" w:rsidRDefault="0015611F">
            <w:pPr>
              <w:pStyle w:val="TableParagraph"/>
              <w:spacing w:before="30"/>
              <w:ind w:left="188"/>
              <w:rPr>
                <w:b/>
                <w:sz w:val="18"/>
              </w:rPr>
            </w:pPr>
            <w:r>
              <w:rPr>
                <w:b/>
                <w:sz w:val="18"/>
              </w:rPr>
              <w:t>Revised</w:t>
            </w:r>
          </w:p>
        </w:tc>
      </w:tr>
      <w:tr w:rsidR="00FA4AA8" w14:paraId="179C4BDB" w14:textId="77777777">
        <w:trPr>
          <w:trHeight w:val="313"/>
        </w:trPr>
        <w:tc>
          <w:tcPr>
            <w:tcW w:w="448" w:type="dxa"/>
          </w:tcPr>
          <w:p w14:paraId="1215EB29" w14:textId="77777777" w:rsidR="00FA4AA8" w:rsidRDefault="00FA4AA8">
            <w:pPr>
              <w:pStyle w:val="TableParagraph"/>
              <w:rPr>
                <w:rFonts w:ascii="Times New Roman"/>
                <w:sz w:val="18"/>
              </w:rPr>
            </w:pPr>
          </w:p>
        </w:tc>
        <w:tc>
          <w:tcPr>
            <w:tcW w:w="5001" w:type="dxa"/>
          </w:tcPr>
          <w:p w14:paraId="6DEB4A66" w14:textId="77777777" w:rsidR="00FA4AA8" w:rsidRDefault="00FA4AA8">
            <w:pPr>
              <w:pStyle w:val="TableParagraph"/>
              <w:rPr>
                <w:rFonts w:ascii="Times New Roman"/>
                <w:sz w:val="18"/>
              </w:rPr>
            </w:pPr>
          </w:p>
        </w:tc>
        <w:tc>
          <w:tcPr>
            <w:tcW w:w="1298" w:type="dxa"/>
          </w:tcPr>
          <w:p w14:paraId="76922855" w14:textId="77777777" w:rsidR="00FA4AA8" w:rsidRDefault="0015611F">
            <w:pPr>
              <w:pStyle w:val="TableParagraph"/>
              <w:spacing w:before="30"/>
              <w:ind w:left="42"/>
              <w:jc w:val="center"/>
              <w:rPr>
                <w:b/>
                <w:sz w:val="18"/>
              </w:rPr>
            </w:pPr>
            <w:r>
              <w:rPr>
                <w:b/>
                <w:sz w:val="18"/>
              </w:rPr>
              <w:t>$</w:t>
            </w:r>
          </w:p>
        </w:tc>
        <w:tc>
          <w:tcPr>
            <w:tcW w:w="1680" w:type="dxa"/>
          </w:tcPr>
          <w:p w14:paraId="602239B1" w14:textId="77777777" w:rsidR="00FA4AA8" w:rsidRDefault="0015611F">
            <w:pPr>
              <w:pStyle w:val="TableParagraph"/>
              <w:spacing w:before="30"/>
              <w:ind w:right="115"/>
              <w:jc w:val="center"/>
              <w:rPr>
                <w:b/>
                <w:sz w:val="18"/>
              </w:rPr>
            </w:pPr>
            <w:r>
              <w:rPr>
                <w:b/>
                <w:sz w:val="18"/>
              </w:rPr>
              <w:t>$</w:t>
            </w:r>
          </w:p>
        </w:tc>
        <w:tc>
          <w:tcPr>
            <w:tcW w:w="1137" w:type="dxa"/>
          </w:tcPr>
          <w:p w14:paraId="1C0C1C09" w14:textId="77777777" w:rsidR="00FA4AA8" w:rsidRDefault="0015611F">
            <w:pPr>
              <w:pStyle w:val="TableParagraph"/>
              <w:spacing w:before="30"/>
              <w:ind w:right="67"/>
              <w:jc w:val="center"/>
              <w:rPr>
                <w:b/>
                <w:sz w:val="18"/>
              </w:rPr>
            </w:pPr>
            <w:r>
              <w:rPr>
                <w:b/>
                <w:sz w:val="18"/>
              </w:rPr>
              <w:t>$</w:t>
            </w:r>
          </w:p>
        </w:tc>
      </w:tr>
      <w:tr w:rsidR="00FA4AA8" w14:paraId="31162A49" w14:textId="77777777">
        <w:trPr>
          <w:trHeight w:val="335"/>
        </w:trPr>
        <w:tc>
          <w:tcPr>
            <w:tcW w:w="448" w:type="dxa"/>
          </w:tcPr>
          <w:p w14:paraId="6216C814" w14:textId="77777777" w:rsidR="00FA4AA8" w:rsidRDefault="00FA4AA8">
            <w:pPr>
              <w:pStyle w:val="TableParagraph"/>
              <w:rPr>
                <w:rFonts w:ascii="Times New Roman"/>
                <w:sz w:val="18"/>
              </w:rPr>
            </w:pPr>
          </w:p>
        </w:tc>
        <w:tc>
          <w:tcPr>
            <w:tcW w:w="5001" w:type="dxa"/>
          </w:tcPr>
          <w:p w14:paraId="1F0697F6" w14:textId="77777777" w:rsidR="00FA4AA8" w:rsidRDefault="0015611F">
            <w:pPr>
              <w:pStyle w:val="TableParagraph"/>
              <w:spacing w:before="70"/>
              <w:ind w:left="211"/>
              <w:rPr>
                <w:b/>
                <w:sz w:val="18"/>
              </w:rPr>
            </w:pPr>
            <w:r>
              <w:rPr>
                <w:b/>
                <w:sz w:val="18"/>
              </w:rPr>
              <w:t>Note 4: Expenses</w:t>
            </w:r>
          </w:p>
        </w:tc>
        <w:tc>
          <w:tcPr>
            <w:tcW w:w="1298" w:type="dxa"/>
          </w:tcPr>
          <w:p w14:paraId="5B007309" w14:textId="77777777" w:rsidR="00FA4AA8" w:rsidRDefault="00FA4AA8">
            <w:pPr>
              <w:pStyle w:val="TableParagraph"/>
              <w:rPr>
                <w:rFonts w:ascii="Times New Roman"/>
                <w:sz w:val="18"/>
              </w:rPr>
            </w:pPr>
          </w:p>
        </w:tc>
        <w:tc>
          <w:tcPr>
            <w:tcW w:w="1680" w:type="dxa"/>
          </w:tcPr>
          <w:p w14:paraId="3B4A02BA" w14:textId="77777777" w:rsidR="00FA4AA8" w:rsidRDefault="00FA4AA8">
            <w:pPr>
              <w:pStyle w:val="TableParagraph"/>
              <w:rPr>
                <w:rFonts w:ascii="Times New Roman"/>
                <w:sz w:val="18"/>
              </w:rPr>
            </w:pPr>
          </w:p>
        </w:tc>
        <w:tc>
          <w:tcPr>
            <w:tcW w:w="1137" w:type="dxa"/>
          </w:tcPr>
          <w:p w14:paraId="215766F9" w14:textId="77777777" w:rsidR="00FA4AA8" w:rsidRDefault="00FA4AA8">
            <w:pPr>
              <w:pStyle w:val="TableParagraph"/>
              <w:rPr>
                <w:rFonts w:ascii="Times New Roman"/>
                <w:sz w:val="18"/>
              </w:rPr>
            </w:pPr>
          </w:p>
        </w:tc>
      </w:tr>
      <w:tr w:rsidR="00FA4AA8" w14:paraId="2314EBC1" w14:textId="77777777">
        <w:trPr>
          <w:trHeight w:val="520"/>
        </w:trPr>
        <w:tc>
          <w:tcPr>
            <w:tcW w:w="448" w:type="dxa"/>
          </w:tcPr>
          <w:p w14:paraId="3A610577" w14:textId="77777777" w:rsidR="00FA4AA8" w:rsidRDefault="00FA4AA8">
            <w:pPr>
              <w:pStyle w:val="TableParagraph"/>
              <w:rPr>
                <w:rFonts w:ascii="Times New Roman"/>
                <w:sz w:val="18"/>
              </w:rPr>
            </w:pPr>
          </w:p>
        </w:tc>
        <w:tc>
          <w:tcPr>
            <w:tcW w:w="5001" w:type="dxa"/>
          </w:tcPr>
          <w:p w14:paraId="371B82FE" w14:textId="77777777" w:rsidR="00FA4AA8" w:rsidRDefault="0015611F">
            <w:pPr>
              <w:pStyle w:val="TableParagraph"/>
              <w:spacing w:before="53"/>
              <w:ind w:left="211"/>
              <w:rPr>
                <w:b/>
                <w:sz w:val="18"/>
              </w:rPr>
            </w:pPr>
            <w:r>
              <w:rPr>
                <w:b/>
                <w:sz w:val="18"/>
              </w:rPr>
              <w:t>Occupancy expenses</w:t>
            </w:r>
          </w:p>
          <w:p w14:paraId="357D1F2B" w14:textId="77777777" w:rsidR="00FA4AA8" w:rsidRDefault="0015611F">
            <w:pPr>
              <w:pStyle w:val="TableParagraph"/>
              <w:spacing w:before="30"/>
              <w:ind w:left="211"/>
              <w:rPr>
                <w:sz w:val="18"/>
              </w:rPr>
            </w:pPr>
            <w:r>
              <w:rPr>
                <w:sz w:val="18"/>
              </w:rPr>
              <w:t>Cleaning and waste removal</w:t>
            </w:r>
          </w:p>
        </w:tc>
        <w:tc>
          <w:tcPr>
            <w:tcW w:w="1298" w:type="dxa"/>
            <w:tcBorders>
              <w:bottom w:val="single" w:sz="8" w:space="0" w:color="000000"/>
            </w:tcBorders>
          </w:tcPr>
          <w:p w14:paraId="1C2186BF" w14:textId="77777777" w:rsidR="00FA4AA8" w:rsidRDefault="00FA4AA8">
            <w:pPr>
              <w:pStyle w:val="TableParagraph"/>
              <w:rPr>
                <w:sz w:val="25"/>
              </w:rPr>
            </w:pPr>
          </w:p>
          <w:p w14:paraId="4D3B03DC" w14:textId="77777777" w:rsidR="00FA4AA8" w:rsidRDefault="0015611F">
            <w:pPr>
              <w:pStyle w:val="TableParagraph"/>
              <w:spacing w:before="1"/>
              <w:ind w:right="88"/>
              <w:jc w:val="right"/>
              <w:rPr>
                <w:sz w:val="18"/>
              </w:rPr>
            </w:pPr>
            <w:r>
              <w:rPr>
                <w:sz w:val="18"/>
              </w:rPr>
              <w:t>39,376</w:t>
            </w:r>
          </w:p>
        </w:tc>
        <w:tc>
          <w:tcPr>
            <w:tcW w:w="1680" w:type="dxa"/>
            <w:tcBorders>
              <w:bottom w:val="single" w:sz="8" w:space="0" w:color="000000"/>
            </w:tcBorders>
          </w:tcPr>
          <w:p w14:paraId="6C0FEAC8" w14:textId="77777777" w:rsidR="00FA4AA8" w:rsidRDefault="00FA4AA8">
            <w:pPr>
              <w:pStyle w:val="TableParagraph"/>
              <w:rPr>
                <w:sz w:val="25"/>
              </w:rPr>
            </w:pPr>
          </w:p>
          <w:p w14:paraId="39AEEF05" w14:textId="77777777" w:rsidR="00FA4AA8" w:rsidRDefault="0015611F">
            <w:pPr>
              <w:pStyle w:val="TableParagraph"/>
              <w:spacing w:before="1"/>
              <w:ind w:right="244"/>
              <w:jc w:val="right"/>
              <w:rPr>
                <w:sz w:val="18"/>
              </w:rPr>
            </w:pPr>
            <w:r>
              <w:rPr>
                <w:sz w:val="18"/>
              </w:rPr>
              <w:t>16,699</w:t>
            </w:r>
          </w:p>
        </w:tc>
        <w:tc>
          <w:tcPr>
            <w:tcW w:w="1137" w:type="dxa"/>
            <w:tcBorders>
              <w:bottom w:val="single" w:sz="8" w:space="0" w:color="000000"/>
            </w:tcBorders>
          </w:tcPr>
          <w:p w14:paraId="0714701B" w14:textId="77777777" w:rsidR="00FA4AA8" w:rsidRDefault="00FA4AA8">
            <w:pPr>
              <w:pStyle w:val="TableParagraph"/>
              <w:rPr>
                <w:sz w:val="25"/>
              </w:rPr>
            </w:pPr>
          </w:p>
          <w:p w14:paraId="361D74C1" w14:textId="77777777" w:rsidR="00FA4AA8" w:rsidRDefault="0015611F">
            <w:pPr>
              <w:pStyle w:val="TableParagraph"/>
              <w:spacing w:before="1"/>
              <w:ind w:right="82"/>
              <w:jc w:val="right"/>
              <w:rPr>
                <w:sz w:val="18"/>
              </w:rPr>
            </w:pPr>
            <w:r>
              <w:rPr>
                <w:sz w:val="18"/>
              </w:rPr>
              <w:t>56,075</w:t>
            </w:r>
          </w:p>
        </w:tc>
      </w:tr>
      <w:tr w:rsidR="00FA4AA8" w14:paraId="0E3FBEC0" w14:textId="77777777">
        <w:trPr>
          <w:trHeight w:val="318"/>
        </w:trPr>
        <w:tc>
          <w:tcPr>
            <w:tcW w:w="448" w:type="dxa"/>
          </w:tcPr>
          <w:p w14:paraId="74A50435" w14:textId="77777777" w:rsidR="00FA4AA8" w:rsidRDefault="00FA4AA8">
            <w:pPr>
              <w:pStyle w:val="TableParagraph"/>
              <w:rPr>
                <w:rFonts w:ascii="Times New Roman"/>
                <w:sz w:val="18"/>
              </w:rPr>
            </w:pPr>
          </w:p>
        </w:tc>
        <w:tc>
          <w:tcPr>
            <w:tcW w:w="5001" w:type="dxa"/>
          </w:tcPr>
          <w:p w14:paraId="799F4ED3" w14:textId="77777777" w:rsidR="00FA4AA8" w:rsidRDefault="0015611F">
            <w:pPr>
              <w:pStyle w:val="TableParagraph"/>
              <w:spacing w:before="115" w:line="183" w:lineRule="exact"/>
              <w:ind w:left="211"/>
              <w:rPr>
                <w:b/>
                <w:sz w:val="18"/>
              </w:rPr>
            </w:pPr>
            <w:r>
              <w:rPr>
                <w:b/>
                <w:sz w:val="18"/>
              </w:rPr>
              <w:t>Total occupancy expenses</w:t>
            </w:r>
          </w:p>
        </w:tc>
        <w:tc>
          <w:tcPr>
            <w:tcW w:w="1298" w:type="dxa"/>
            <w:tcBorders>
              <w:top w:val="single" w:sz="8" w:space="0" w:color="000000"/>
              <w:bottom w:val="single" w:sz="8" w:space="0" w:color="000000"/>
            </w:tcBorders>
          </w:tcPr>
          <w:p w14:paraId="6F9FF24E" w14:textId="77777777" w:rsidR="00FA4AA8" w:rsidRDefault="0015611F">
            <w:pPr>
              <w:pStyle w:val="TableParagraph"/>
              <w:spacing w:before="115" w:line="183" w:lineRule="exact"/>
              <w:ind w:right="88"/>
              <w:jc w:val="right"/>
              <w:rPr>
                <w:sz w:val="18"/>
              </w:rPr>
            </w:pPr>
            <w:r>
              <w:rPr>
                <w:sz w:val="18"/>
              </w:rPr>
              <w:t>220,957</w:t>
            </w:r>
          </w:p>
        </w:tc>
        <w:tc>
          <w:tcPr>
            <w:tcW w:w="1680" w:type="dxa"/>
            <w:tcBorders>
              <w:top w:val="single" w:sz="8" w:space="0" w:color="000000"/>
              <w:bottom w:val="single" w:sz="8" w:space="0" w:color="000000"/>
            </w:tcBorders>
          </w:tcPr>
          <w:p w14:paraId="661F8BB3" w14:textId="77777777" w:rsidR="00FA4AA8" w:rsidRDefault="0015611F">
            <w:pPr>
              <w:pStyle w:val="TableParagraph"/>
              <w:spacing w:before="115" w:line="183" w:lineRule="exact"/>
              <w:ind w:right="244"/>
              <w:jc w:val="right"/>
              <w:rPr>
                <w:sz w:val="18"/>
              </w:rPr>
            </w:pPr>
            <w:r>
              <w:rPr>
                <w:sz w:val="18"/>
              </w:rPr>
              <w:t>16,699</w:t>
            </w:r>
          </w:p>
        </w:tc>
        <w:tc>
          <w:tcPr>
            <w:tcW w:w="1137" w:type="dxa"/>
            <w:tcBorders>
              <w:top w:val="single" w:sz="8" w:space="0" w:color="000000"/>
              <w:bottom w:val="single" w:sz="8" w:space="0" w:color="000000"/>
            </w:tcBorders>
          </w:tcPr>
          <w:p w14:paraId="633F4B7C" w14:textId="77777777" w:rsidR="00FA4AA8" w:rsidRDefault="0015611F">
            <w:pPr>
              <w:pStyle w:val="TableParagraph"/>
              <w:spacing w:before="115" w:line="183" w:lineRule="exact"/>
              <w:ind w:right="82"/>
              <w:jc w:val="right"/>
              <w:rPr>
                <w:sz w:val="18"/>
              </w:rPr>
            </w:pPr>
            <w:r>
              <w:rPr>
                <w:sz w:val="18"/>
              </w:rPr>
              <w:t>237,656</w:t>
            </w:r>
          </w:p>
        </w:tc>
      </w:tr>
      <w:tr w:rsidR="00FA4AA8" w14:paraId="1738DB9B" w14:textId="77777777">
        <w:trPr>
          <w:trHeight w:val="855"/>
        </w:trPr>
        <w:tc>
          <w:tcPr>
            <w:tcW w:w="448" w:type="dxa"/>
          </w:tcPr>
          <w:p w14:paraId="3E85720A" w14:textId="77777777" w:rsidR="00FA4AA8" w:rsidRDefault="00FA4AA8">
            <w:pPr>
              <w:pStyle w:val="TableParagraph"/>
              <w:rPr>
                <w:rFonts w:ascii="Times New Roman"/>
                <w:sz w:val="18"/>
              </w:rPr>
            </w:pPr>
          </w:p>
        </w:tc>
        <w:tc>
          <w:tcPr>
            <w:tcW w:w="5001" w:type="dxa"/>
          </w:tcPr>
          <w:p w14:paraId="2074BC81" w14:textId="77777777" w:rsidR="00FA4AA8" w:rsidRDefault="00FA4AA8">
            <w:pPr>
              <w:pStyle w:val="TableParagraph"/>
              <w:rPr>
                <w:sz w:val="20"/>
              </w:rPr>
            </w:pPr>
          </w:p>
          <w:p w14:paraId="397076A8" w14:textId="77777777" w:rsidR="00FA4AA8" w:rsidRDefault="0015611F">
            <w:pPr>
              <w:pStyle w:val="TableParagraph"/>
              <w:spacing w:before="158"/>
              <w:ind w:left="211"/>
              <w:rPr>
                <w:b/>
                <w:sz w:val="18"/>
              </w:rPr>
            </w:pPr>
            <w:r>
              <w:rPr>
                <w:b/>
                <w:sz w:val="18"/>
              </w:rPr>
              <w:t>Other expenses</w:t>
            </w:r>
          </w:p>
          <w:p w14:paraId="2A84E40C" w14:textId="77777777" w:rsidR="00FA4AA8" w:rsidRDefault="0015611F">
            <w:pPr>
              <w:pStyle w:val="TableParagraph"/>
              <w:spacing w:before="31"/>
              <w:ind w:left="211"/>
              <w:rPr>
                <w:sz w:val="18"/>
              </w:rPr>
            </w:pPr>
            <w:r>
              <w:rPr>
                <w:sz w:val="18"/>
              </w:rPr>
              <w:t>Other</w:t>
            </w:r>
          </w:p>
        </w:tc>
        <w:tc>
          <w:tcPr>
            <w:tcW w:w="1298" w:type="dxa"/>
            <w:tcBorders>
              <w:top w:val="single" w:sz="8" w:space="0" w:color="000000"/>
              <w:bottom w:val="single" w:sz="8" w:space="0" w:color="000000"/>
            </w:tcBorders>
          </w:tcPr>
          <w:p w14:paraId="472D721B" w14:textId="77777777" w:rsidR="00FA4AA8" w:rsidRDefault="00FA4AA8">
            <w:pPr>
              <w:pStyle w:val="TableParagraph"/>
              <w:rPr>
                <w:sz w:val="20"/>
              </w:rPr>
            </w:pPr>
          </w:p>
          <w:p w14:paraId="357F562B" w14:textId="77777777" w:rsidR="00FA4AA8" w:rsidRDefault="00FA4AA8">
            <w:pPr>
              <w:pStyle w:val="TableParagraph"/>
              <w:rPr>
                <w:sz w:val="20"/>
              </w:rPr>
            </w:pPr>
          </w:p>
          <w:p w14:paraId="711979B9" w14:textId="77777777" w:rsidR="00FA4AA8" w:rsidRDefault="0015611F">
            <w:pPr>
              <w:pStyle w:val="TableParagraph"/>
              <w:spacing w:before="164"/>
              <w:ind w:right="88"/>
              <w:jc w:val="right"/>
              <w:rPr>
                <w:sz w:val="18"/>
              </w:rPr>
            </w:pPr>
            <w:r>
              <w:rPr>
                <w:sz w:val="18"/>
              </w:rPr>
              <w:t>289,860</w:t>
            </w:r>
          </w:p>
        </w:tc>
        <w:tc>
          <w:tcPr>
            <w:tcW w:w="1680" w:type="dxa"/>
            <w:tcBorders>
              <w:top w:val="single" w:sz="8" w:space="0" w:color="000000"/>
              <w:bottom w:val="single" w:sz="8" w:space="0" w:color="000000"/>
            </w:tcBorders>
          </w:tcPr>
          <w:p w14:paraId="795FA0B2" w14:textId="77777777" w:rsidR="00FA4AA8" w:rsidRDefault="00FA4AA8">
            <w:pPr>
              <w:pStyle w:val="TableParagraph"/>
              <w:rPr>
                <w:sz w:val="20"/>
              </w:rPr>
            </w:pPr>
          </w:p>
          <w:p w14:paraId="64A4BB7B" w14:textId="77777777" w:rsidR="00FA4AA8" w:rsidRDefault="00FA4AA8">
            <w:pPr>
              <w:pStyle w:val="TableParagraph"/>
              <w:rPr>
                <w:sz w:val="20"/>
              </w:rPr>
            </w:pPr>
          </w:p>
          <w:p w14:paraId="1EB95067" w14:textId="77777777" w:rsidR="00FA4AA8" w:rsidRDefault="0015611F">
            <w:pPr>
              <w:pStyle w:val="TableParagraph"/>
              <w:spacing w:before="164"/>
              <w:ind w:right="183"/>
              <w:jc w:val="right"/>
              <w:rPr>
                <w:sz w:val="18"/>
              </w:rPr>
            </w:pPr>
            <w:r>
              <w:rPr>
                <w:sz w:val="18"/>
              </w:rPr>
              <w:t>(16,699)</w:t>
            </w:r>
          </w:p>
        </w:tc>
        <w:tc>
          <w:tcPr>
            <w:tcW w:w="1137" w:type="dxa"/>
            <w:tcBorders>
              <w:top w:val="single" w:sz="8" w:space="0" w:color="000000"/>
              <w:bottom w:val="single" w:sz="8" w:space="0" w:color="000000"/>
            </w:tcBorders>
          </w:tcPr>
          <w:p w14:paraId="464E366A" w14:textId="77777777" w:rsidR="00FA4AA8" w:rsidRDefault="00FA4AA8">
            <w:pPr>
              <w:pStyle w:val="TableParagraph"/>
              <w:rPr>
                <w:sz w:val="20"/>
              </w:rPr>
            </w:pPr>
          </w:p>
          <w:p w14:paraId="418A66C9" w14:textId="77777777" w:rsidR="00FA4AA8" w:rsidRDefault="00FA4AA8">
            <w:pPr>
              <w:pStyle w:val="TableParagraph"/>
              <w:rPr>
                <w:sz w:val="20"/>
              </w:rPr>
            </w:pPr>
          </w:p>
          <w:p w14:paraId="75960488" w14:textId="77777777" w:rsidR="00FA4AA8" w:rsidRDefault="0015611F">
            <w:pPr>
              <w:pStyle w:val="TableParagraph"/>
              <w:spacing w:before="164"/>
              <w:ind w:right="82"/>
              <w:jc w:val="right"/>
              <w:rPr>
                <w:sz w:val="18"/>
              </w:rPr>
            </w:pPr>
            <w:r>
              <w:rPr>
                <w:sz w:val="18"/>
              </w:rPr>
              <w:t>273,161</w:t>
            </w:r>
          </w:p>
        </w:tc>
      </w:tr>
      <w:tr w:rsidR="00FA4AA8" w14:paraId="2D759426" w14:textId="77777777">
        <w:trPr>
          <w:trHeight w:val="318"/>
        </w:trPr>
        <w:tc>
          <w:tcPr>
            <w:tcW w:w="448" w:type="dxa"/>
          </w:tcPr>
          <w:p w14:paraId="7B4D8912" w14:textId="77777777" w:rsidR="00FA4AA8" w:rsidRDefault="00FA4AA8">
            <w:pPr>
              <w:pStyle w:val="TableParagraph"/>
              <w:rPr>
                <w:rFonts w:ascii="Times New Roman"/>
                <w:sz w:val="18"/>
              </w:rPr>
            </w:pPr>
          </w:p>
        </w:tc>
        <w:tc>
          <w:tcPr>
            <w:tcW w:w="5001" w:type="dxa"/>
          </w:tcPr>
          <w:p w14:paraId="6890677B" w14:textId="77777777" w:rsidR="00FA4AA8" w:rsidRDefault="0015611F">
            <w:pPr>
              <w:pStyle w:val="TableParagraph"/>
              <w:spacing w:before="115" w:line="183" w:lineRule="exact"/>
              <w:ind w:left="211"/>
              <w:rPr>
                <w:b/>
                <w:sz w:val="18"/>
              </w:rPr>
            </w:pPr>
            <w:r>
              <w:rPr>
                <w:b/>
                <w:sz w:val="18"/>
              </w:rPr>
              <w:t>Total other expenses</w:t>
            </w:r>
          </w:p>
        </w:tc>
        <w:tc>
          <w:tcPr>
            <w:tcW w:w="1298" w:type="dxa"/>
            <w:tcBorders>
              <w:top w:val="single" w:sz="8" w:space="0" w:color="000000"/>
              <w:bottom w:val="single" w:sz="8" w:space="0" w:color="000000"/>
            </w:tcBorders>
          </w:tcPr>
          <w:p w14:paraId="06DEC1EA" w14:textId="77777777" w:rsidR="00FA4AA8" w:rsidRDefault="0015611F">
            <w:pPr>
              <w:pStyle w:val="TableParagraph"/>
              <w:spacing w:before="115" w:line="183" w:lineRule="exact"/>
              <w:ind w:right="88"/>
              <w:jc w:val="right"/>
              <w:rPr>
                <w:sz w:val="18"/>
              </w:rPr>
            </w:pPr>
            <w:r>
              <w:rPr>
                <w:sz w:val="18"/>
              </w:rPr>
              <w:t>1,779,901</w:t>
            </w:r>
          </w:p>
        </w:tc>
        <w:tc>
          <w:tcPr>
            <w:tcW w:w="1680" w:type="dxa"/>
            <w:tcBorders>
              <w:top w:val="single" w:sz="8" w:space="0" w:color="000000"/>
              <w:bottom w:val="single" w:sz="8" w:space="0" w:color="000000"/>
            </w:tcBorders>
          </w:tcPr>
          <w:p w14:paraId="2AC1D486" w14:textId="77777777" w:rsidR="00FA4AA8" w:rsidRDefault="0015611F">
            <w:pPr>
              <w:pStyle w:val="TableParagraph"/>
              <w:spacing w:before="115" w:line="183" w:lineRule="exact"/>
              <w:ind w:right="183"/>
              <w:jc w:val="right"/>
              <w:rPr>
                <w:sz w:val="18"/>
              </w:rPr>
            </w:pPr>
            <w:r>
              <w:rPr>
                <w:sz w:val="18"/>
              </w:rPr>
              <w:t>(16,699)</w:t>
            </w:r>
          </w:p>
        </w:tc>
        <w:tc>
          <w:tcPr>
            <w:tcW w:w="1137" w:type="dxa"/>
            <w:tcBorders>
              <w:top w:val="single" w:sz="8" w:space="0" w:color="000000"/>
              <w:bottom w:val="single" w:sz="8" w:space="0" w:color="000000"/>
            </w:tcBorders>
          </w:tcPr>
          <w:p w14:paraId="6902DA17" w14:textId="77777777" w:rsidR="00FA4AA8" w:rsidRDefault="0015611F">
            <w:pPr>
              <w:pStyle w:val="TableParagraph"/>
              <w:spacing w:before="115" w:line="183" w:lineRule="exact"/>
              <w:ind w:right="82"/>
              <w:jc w:val="right"/>
              <w:rPr>
                <w:sz w:val="18"/>
              </w:rPr>
            </w:pPr>
            <w:r>
              <w:rPr>
                <w:sz w:val="18"/>
              </w:rPr>
              <w:t>1,763,202</w:t>
            </w:r>
          </w:p>
        </w:tc>
      </w:tr>
      <w:tr w:rsidR="00FA4AA8" w14:paraId="5B3E1D20" w14:textId="77777777">
        <w:trPr>
          <w:trHeight w:val="856"/>
        </w:trPr>
        <w:tc>
          <w:tcPr>
            <w:tcW w:w="448" w:type="dxa"/>
          </w:tcPr>
          <w:p w14:paraId="12C14FF2" w14:textId="77777777" w:rsidR="00FA4AA8" w:rsidRDefault="00FA4AA8">
            <w:pPr>
              <w:pStyle w:val="TableParagraph"/>
              <w:rPr>
                <w:rFonts w:ascii="Times New Roman"/>
                <w:sz w:val="18"/>
              </w:rPr>
            </w:pPr>
          </w:p>
        </w:tc>
        <w:tc>
          <w:tcPr>
            <w:tcW w:w="5001" w:type="dxa"/>
          </w:tcPr>
          <w:p w14:paraId="1D24BE19" w14:textId="77777777" w:rsidR="00FA4AA8" w:rsidRDefault="00FA4AA8">
            <w:pPr>
              <w:pStyle w:val="TableParagraph"/>
              <w:rPr>
                <w:sz w:val="20"/>
              </w:rPr>
            </w:pPr>
          </w:p>
          <w:p w14:paraId="259D8DFD" w14:textId="77777777" w:rsidR="00FA4AA8" w:rsidRDefault="0015611F">
            <w:pPr>
              <w:pStyle w:val="TableParagraph"/>
              <w:spacing w:before="158"/>
              <w:ind w:left="211"/>
              <w:rPr>
                <w:b/>
                <w:sz w:val="18"/>
              </w:rPr>
            </w:pPr>
            <w:r>
              <w:rPr>
                <w:b/>
                <w:sz w:val="18"/>
              </w:rPr>
              <w:t>Note 6: Trade and other receivables</w:t>
            </w:r>
          </w:p>
          <w:p w14:paraId="285CF2A3" w14:textId="77777777" w:rsidR="00FA4AA8" w:rsidRDefault="0015611F">
            <w:pPr>
              <w:pStyle w:val="TableParagraph"/>
              <w:spacing w:before="31"/>
              <w:ind w:left="211"/>
              <w:rPr>
                <w:sz w:val="18"/>
              </w:rPr>
            </w:pPr>
            <w:r>
              <w:rPr>
                <w:sz w:val="18"/>
              </w:rPr>
              <w:t>Prepayments</w:t>
            </w:r>
          </w:p>
        </w:tc>
        <w:tc>
          <w:tcPr>
            <w:tcW w:w="1298" w:type="dxa"/>
            <w:tcBorders>
              <w:top w:val="single" w:sz="8" w:space="0" w:color="000000"/>
              <w:bottom w:val="single" w:sz="8" w:space="0" w:color="000000"/>
            </w:tcBorders>
          </w:tcPr>
          <w:p w14:paraId="10D514E2" w14:textId="77777777" w:rsidR="00FA4AA8" w:rsidRDefault="00FA4AA8">
            <w:pPr>
              <w:pStyle w:val="TableParagraph"/>
              <w:rPr>
                <w:sz w:val="20"/>
              </w:rPr>
            </w:pPr>
          </w:p>
          <w:p w14:paraId="598EE862" w14:textId="77777777" w:rsidR="00FA4AA8" w:rsidRDefault="00FA4AA8">
            <w:pPr>
              <w:pStyle w:val="TableParagraph"/>
              <w:rPr>
                <w:sz w:val="20"/>
              </w:rPr>
            </w:pPr>
          </w:p>
          <w:p w14:paraId="5A75DFFA" w14:textId="77777777" w:rsidR="00FA4AA8" w:rsidRDefault="0015611F">
            <w:pPr>
              <w:pStyle w:val="TableParagraph"/>
              <w:spacing w:before="164"/>
              <w:ind w:right="88"/>
              <w:jc w:val="right"/>
              <w:rPr>
                <w:sz w:val="18"/>
              </w:rPr>
            </w:pPr>
            <w:r>
              <w:rPr>
                <w:sz w:val="18"/>
              </w:rPr>
              <w:t>6,046</w:t>
            </w:r>
          </w:p>
        </w:tc>
        <w:tc>
          <w:tcPr>
            <w:tcW w:w="1680" w:type="dxa"/>
            <w:tcBorders>
              <w:top w:val="single" w:sz="8" w:space="0" w:color="000000"/>
              <w:bottom w:val="single" w:sz="8" w:space="0" w:color="000000"/>
            </w:tcBorders>
          </w:tcPr>
          <w:p w14:paraId="771E54A1" w14:textId="77777777" w:rsidR="00FA4AA8" w:rsidRDefault="00FA4AA8">
            <w:pPr>
              <w:pStyle w:val="TableParagraph"/>
              <w:rPr>
                <w:sz w:val="20"/>
              </w:rPr>
            </w:pPr>
          </w:p>
          <w:p w14:paraId="61A1AA62" w14:textId="77777777" w:rsidR="00FA4AA8" w:rsidRDefault="00FA4AA8">
            <w:pPr>
              <w:pStyle w:val="TableParagraph"/>
              <w:rPr>
                <w:sz w:val="20"/>
              </w:rPr>
            </w:pPr>
          </w:p>
          <w:p w14:paraId="12126239" w14:textId="77777777" w:rsidR="00FA4AA8" w:rsidRDefault="0015611F">
            <w:pPr>
              <w:pStyle w:val="TableParagraph"/>
              <w:spacing w:before="164"/>
              <w:ind w:right="244"/>
              <w:jc w:val="right"/>
              <w:rPr>
                <w:sz w:val="18"/>
              </w:rPr>
            </w:pPr>
            <w:r>
              <w:rPr>
                <w:sz w:val="18"/>
              </w:rPr>
              <w:t>23,378</w:t>
            </w:r>
          </w:p>
        </w:tc>
        <w:tc>
          <w:tcPr>
            <w:tcW w:w="1137" w:type="dxa"/>
            <w:tcBorders>
              <w:top w:val="single" w:sz="8" w:space="0" w:color="000000"/>
              <w:bottom w:val="single" w:sz="8" w:space="0" w:color="000000"/>
            </w:tcBorders>
          </w:tcPr>
          <w:p w14:paraId="664ED868" w14:textId="77777777" w:rsidR="00FA4AA8" w:rsidRDefault="00FA4AA8">
            <w:pPr>
              <w:pStyle w:val="TableParagraph"/>
              <w:rPr>
                <w:sz w:val="20"/>
              </w:rPr>
            </w:pPr>
          </w:p>
          <w:p w14:paraId="79D0F45B" w14:textId="77777777" w:rsidR="00FA4AA8" w:rsidRDefault="00FA4AA8">
            <w:pPr>
              <w:pStyle w:val="TableParagraph"/>
              <w:rPr>
                <w:sz w:val="20"/>
              </w:rPr>
            </w:pPr>
          </w:p>
          <w:p w14:paraId="603B3A72" w14:textId="77777777" w:rsidR="00FA4AA8" w:rsidRDefault="0015611F">
            <w:pPr>
              <w:pStyle w:val="TableParagraph"/>
              <w:spacing w:before="164"/>
              <w:ind w:right="82"/>
              <w:jc w:val="right"/>
              <w:rPr>
                <w:sz w:val="18"/>
              </w:rPr>
            </w:pPr>
            <w:r>
              <w:rPr>
                <w:sz w:val="18"/>
              </w:rPr>
              <w:t>29,424</w:t>
            </w:r>
          </w:p>
        </w:tc>
      </w:tr>
      <w:tr w:rsidR="00FA4AA8" w14:paraId="1B8784B5" w14:textId="77777777">
        <w:trPr>
          <w:trHeight w:val="582"/>
        </w:trPr>
        <w:tc>
          <w:tcPr>
            <w:tcW w:w="448" w:type="dxa"/>
          </w:tcPr>
          <w:p w14:paraId="78F03C2C" w14:textId="77777777" w:rsidR="00FA4AA8" w:rsidRDefault="00FA4AA8">
            <w:pPr>
              <w:pStyle w:val="TableParagraph"/>
              <w:rPr>
                <w:rFonts w:ascii="Times New Roman"/>
                <w:sz w:val="18"/>
              </w:rPr>
            </w:pPr>
          </w:p>
        </w:tc>
        <w:tc>
          <w:tcPr>
            <w:tcW w:w="5001" w:type="dxa"/>
          </w:tcPr>
          <w:p w14:paraId="3341653D" w14:textId="77777777" w:rsidR="00FA4AA8" w:rsidRDefault="0015611F">
            <w:pPr>
              <w:pStyle w:val="TableParagraph"/>
              <w:spacing w:before="115"/>
              <w:ind w:left="211"/>
              <w:rPr>
                <w:b/>
                <w:sz w:val="18"/>
              </w:rPr>
            </w:pPr>
            <w:r>
              <w:rPr>
                <w:b/>
                <w:sz w:val="18"/>
              </w:rPr>
              <w:t>Note 11: Trade and other payables</w:t>
            </w:r>
          </w:p>
          <w:p w14:paraId="6ED5955F" w14:textId="77777777" w:rsidR="00FA4AA8" w:rsidRDefault="0015611F">
            <w:pPr>
              <w:pStyle w:val="TableParagraph"/>
              <w:spacing w:before="30"/>
              <w:ind w:left="211"/>
              <w:rPr>
                <w:sz w:val="18"/>
              </w:rPr>
            </w:pPr>
            <w:r>
              <w:rPr>
                <w:sz w:val="18"/>
              </w:rPr>
              <w:t>Other payables</w:t>
            </w:r>
          </w:p>
        </w:tc>
        <w:tc>
          <w:tcPr>
            <w:tcW w:w="1298" w:type="dxa"/>
            <w:tcBorders>
              <w:top w:val="single" w:sz="8" w:space="0" w:color="000000"/>
              <w:bottom w:val="single" w:sz="8" w:space="0" w:color="000000"/>
            </w:tcBorders>
          </w:tcPr>
          <w:p w14:paraId="12D050E8" w14:textId="77777777" w:rsidR="00FA4AA8" w:rsidRDefault="00FA4AA8">
            <w:pPr>
              <w:pStyle w:val="TableParagraph"/>
              <w:rPr>
                <w:sz w:val="20"/>
              </w:rPr>
            </w:pPr>
          </w:p>
          <w:p w14:paraId="5CBC7D44" w14:textId="77777777" w:rsidR="00FA4AA8" w:rsidRDefault="0015611F">
            <w:pPr>
              <w:pStyle w:val="TableParagraph"/>
              <w:spacing w:before="120"/>
              <w:ind w:right="88"/>
              <w:jc w:val="right"/>
              <w:rPr>
                <w:sz w:val="18"/>
              </w:rPr>
            </w:pPr>
            <w:r>
              <w:rPr>
                <w:sz w:val="18"/>
              </w:rPr>
              <w:t>69,552</w:t>
            </w:r>
          </w:p>
        </w:tc>
        <w:tc>
          <w:tcPr>
            <w:tcW w:w="1680" w:type="dxa"/>
            <w:tcBorders>
              <w:top w:val="single" w:sz="8" w:space="0" w:color="000000"/>
              <w:bottom w:val="single" w:sz="8" w:space="0" w:color="000000"/>
            </w:tcBorders>
          </w:tcPr>
          <w:p w14:paraId="461E8141" w14:textId="77777777" w:rsidR="00FA4AA8" w:rsidRDefault="00FA4AA8">
            <w:pPr>
              <w:pStyle w:val="TableParagraph"/>
              <w:rPr>
                <w:sz w:val="20"/>
              </w:rPr>
            </w:pPr>
          </w:p>
          <w:p w14:paraId="1B517581" w14:textId="77777777" w:rsidR="00FA4AA8" w:rsidRDefault="0015611F">
            <w:pPr>
              <w:pStyle w:val="TableParagraph"/>
              <w:spacing w:before="120"/>
              <w:ind w:right="244"/>
              <w:jc w:val="right"/>
              <w:rPr>
                <w:sz w:val="18"/>
              </w:rPr>
            </w:pPr>
            <w:r>
              <w:rPr>
                <w:sz w:val="18"/>
              </w:rPr>
              <w:t>23,378</w:t>
            </w:r>
          </w:p>
        </w:tc>
        <w:tc>
          <w:tcPr>
            <w:tcW w:w="1137" w:type="dxa"/>
            <w:tcBorders>
              <w:top w:val="single" w:sz="8" w:space="0" w:color="000000"/>
              <w:bottom w:val="single" w:sz="8" w:space="0" w:color="000000"/>
            </w:tcBorders>
          </w:tcPr>
          <w:p w14:paraId="1F159601" w14:textId="77777777" w:rsidR="00FA4AA8" w:rsidRDefault="00FA4AA8">
            <w:pPr>
              <w:pStyle w:val="TableParagraph"/>
              <w:rPr>
                <w:sz w:val="20"/>
              </w:rPr>
            </w:pPr>
          </w:p>
          <w:p w14:paraId="1A286A6D" w14:textId="77777777" w:rsidR="00FA4AA8" w:rsidRDefault="0015611F">
            <w:pPr>
              <w:pStyle w:val="TableParagraph"/>
              <w:spacing w:before="120"/>
              <w:ind w:right="82"/>
              <w:jc w:val="right"/>
              <w:rPr>
                <w:sz w:val="18"/>
              </w:rPr>
            </w:pPr>
            <w:r>
              <w:rPr>
                <w:sz w:val="18"/>
              </w:rPr>
              <w:t>92,930</w:t>
            </w:r>
          </w:p>
        </w:tc>
      </w:tr>
      <w:tr w:rsidR="00FA4AA8" w14:paraId="2B63F68F" w14:textId="77777777">
        <w:trPr>
          <w:trHeight w:val="497"/>
        </w:trPr>
        <w:tc>
          <w:tcPr>
            <w:tcW w:w="448" w:type="dxa"/>
          </w:tcPr>
          <w:p w14:paraId="38FAD491" w14:textId="77777777" w:rsidR="00FA4AA8" w:rsidRDefault="00FA4AA8">
            <w:pPr>
              <w:pStyle w:val="TableParagraph"/>
              <w:spacing w:before="2"/>
              <w:rPr>
                <w:sz w:val="25"/>
              </w:rPr>
            </w:pPr>
          </w:p>
          <w:p w14:paraId="09B99D17" w14:textId="77777777" w:rsidR="00FA4AA8" w:rsidRDefault="0015611F">
            <w:pPr>
              <w:pStyle w:val="TableParagraph"/>
              <w:spacing w:before="1" w:line="187" w:lineRule="exact"/>
              <w:ind w:left="50"/>
              <w:rPr>
                <w:b/>
                <w:sz w:val="18"/>
              </w:rPr>
            </w:pPr>
            <w:r>
              <w:rPr>
                <w:b/>
                <w:sz w:val="18"/>
              </w:rPr>
              <w:t>(e)</w:t>
            </w:r>
          </w:p>
        </w:tc>
        <w:tc>
          <w:tcPr>
            <w:tcW w:w="5001" w:type="dxa"/>
          </w:tcPr>
          <w:p w14:paraId="30CC29BD" w14:textId="77777777" w:rsidR="00FA4AA8" w:rsidRDefault="00FA4AA8">
            <w:pPr>
              <w:pStyle w:val="TableParagraph"/>
              <w:spacing w:before="2"/>
              <w:rPr>
                <w:sz w:val="25"/>
              </w:rPr>
            </w:pPr>
          </w:p>
          <w:p w14:paraId="2369FBD9" w14:textId="77777777" w:rsidR="00FA4AA8" w:rsidRDefault="0015611F">
            <w:pPr>
              <w:pStyle w:val="TableParagraph"/>
              <w:spacing w:before="1" w:line="187" w:lineRule="exact"/>
              <w:ind w:left="168"/>
              <w:rPr>
                <w:b/>
                <w:sz w:val="18"/>
              </w:rPr>
            </w:pPr>
            <w:r>
              <w:rPr>
                <w:b/>
                <w:sz w:val="18"/>
              </w:rPr>
              <w:t>Initial application of Australian Accounting Standard</w:t>
            </w:r>
          </w:p>
        </w:tc>
        <w:tc>
          <w:tcPr>
            <w:tcW w:w="1298" w:type="dxa"/>
            <w:tcBorders>
              <w:top w:val="single" w:sz="8" w:space="0" w:color="000000"/>
            </w:tcBorders>
          </w:tcPr>
          <w:p w14:paraId="33EF728C" w14:textId="77777777" w:rsidR="00FA4AA8" w:rsidRDefault="00FA4AA8">
            <w:pPr>
              <w:pStyle w:val="TableParagraph"/>
              <w:rPr>
                <w:rFonts w:ascii="Times New Roman"/>
                <w:sz w:val="18"/>
              </w:rPr>
            </w:pPr>
          </w:p>
        </w:tc>
        <w:tc>
          <w:tcPr>
            <w:tcW w:w="1680" w:type="dxa"/>
            <w:tcBorders>
              <w:top w:val="single" w:sz="8" w:space="0" w:color="000000"/>
            </w:tcBorders>
          </w:tcPr>
          <w:p w14:paraId="040A3FFA" w14:textId="77777777" w:rsidR="00FA4AA8" w:rsidRDefault="00FA4AA8">
            <w:pPr>
              <w:pStyle w:val="TableParagraph"/>
              <w:rPr>
                <w:rFonts w:ascii="Times New Roman"/>
                <w:sz w:val="18"/>
              </w:rPr>
            </w:pPr>
          </w:p>
        </w:tc>
        <w:tc>
          <w:tcPr>
            <w:tcW w:w="1137" w:type="dxa"/>
            <w:tcBorders>
              <w:top w:val="single" w:sz="8" w:space="0" w:color="000000"/>
            </w:tcBorders>
          </w:tcPr>
          <w:p w14:paraId="18450881" w14:textId="77777777" w:rsidR="00FA4AA8" w:rsidRDefault="00FA4AA8">
            <w:pPr>
              <w:pStyle w:val="TableParagraph"/>
              <w:rPr>
                <w:rFonts w:ascii="Times New Roman"/>
                <w:sz w:val="18"/>
              </w:rPr>
            </w:pPr>
          </w:p>
        </w:tc>
      </w:tr>
      <w:tr w:rsidR="00FA4AA8" w14:paraId="0057E622" w14:textId="77777777">
        <w:trPr>
          <w:trHeight w:val="494"/>
        </w:trPr>
        <w:tc>
          <w:tcPr>
            <w:tcW w:w="9564" w:type="dxa"/>
            <w:gridSpan w:val="5"/>
          </w:tcPr>
          <w:p w14:paraId="34F6A08B" w14:textId="77777777" w:rsidR="00FA4AA8" w:rsidRDefault="00FA4AA8">
            <w:pPr>
              <w:pStyle w:val="TableParagraph"/>
              <w:spacing w:before="11"/>
              <w:rPr>
                <w:sz w:val="24"/>
              </w:rPr>
            </w:pPr>
          </w:p>
          <w:p w14:paraId="7479D11B" w14:textId="77777777" w:rsidR="00FA4AA8" w:rsidRDefault="0015611F">
            <w:pPr>
              <w:pStyle w:val="TableParagraph"/>
              <w:spacing w:line="187" w:lineRule="exact"/>
              <w:ind w:left="50"/>
              <w:rPr>
                <w:b/>
                <w:sz w:val="18"/>
              </w:rPr>
            </w:pPr>
            <w:r>
              <w:rPr>
                <w:b/>
                <w:sz w:val="18"/>
              </w:rPr>
              <w:t>AASB9 Financial Instruments</w:t>
            </w:r>
          </w:p>
        </w:tc>
      </w:tr>
    </w:tbl>
    <w:p w14:paraId="47245A6D" w14:textId="77777777" w:rsidR="00FA4AA8" w:rsidRDefault="0015611F">
      <w:pPr>
        <w:spacing w:before="112"/>
        <w:ind w:left="563" w:right="256"/>
        <w:rPr>
          <w:sz w:val="18"/>
        </w:rPr>
      </w:pPr>
      <w:r>
        <w:rPr>
          <w:sz w:val="18"/>
        </w:rPr>
        <w:t xml:space="preserve">AASB9 </w:t>
      </w:r>
      <w:r>
        <w:rPr>
          <w:i/>
          <w:sz w:val="18"/>
        </w:rPr>
        <w:t xml:space="preserve">Financial Instruments </w:t>
      </w:r>
      <w:r>
        <w:rPr>
          <w:sz w:val="18"/>
        </w:rPr>
        <w:t xml:space="preserve">replaces AASB139 </w:t>
      </w:r>
      <w:r>
        <w:rPr>
          <w:i/>
          <w:sz w:val="18"/>
        </w:rPr>
        <w:t xml:space="preserve">Financial Instruments: Recognition and Measurement </w:t>
      </w:r>
      <w:r>
        <w:rPr>
          <w:sz w:val="18"/>
        </w:rPr>
        <w:t>for annual periods beginning on or after 1 January 2018, bringing together all three aspects of the accounting for financial instruments, classification and measurement, and hedge accounting.</w:t>
      </w:r>
    </w:p>
    <w:p w14:paraId="58ADEAA7" w14:textId="77777777" w:rsidR="00FA4AA8" w:rsidRDefault="0015611F">
      <w:pPr>
        <w:pStyle w:val="BodyText"/>
        <w:spacing w:before="111"/>
        <w:ind w:left="563"/>
      </w:pPr>
      <w:r>
        <w:t>The Company applied AASB9 for the current financial year with an initial application date of 1 January 2018. The Company has not restated the comparative information, which continues to be reported under AASB139.</w:t>
      </w:r>
    </w:p>
    <w:p w14:paraId="230FF5D7" w14:textId="77777777" w:rsidR="00FA4AA8" w:rsidRDefault="0015611F">
      <w:pPr>
        <w:pStyle w:val="BodyText"/>
        <w:spacing w:before="112"/>
        <w:ind w:left="563" w:right="256"/>
      </w:pPr>
      <w:r>
        <w:t>Due to the nature of the business, the effect of the changes as a result of adoption of AASB9 are considered immaterial.</w:t>
      </w:r>
    </w:p>
    <w:p w14:paraId="36570589" w14:textId="77777777" w:rsidR="00FA4AA8" w:rsidRDefault="0015611F">
      <w:pPr>
        <w:pStyle w:val="BodyText"/>
        <w:spacing w:before="111"/>
        <w:ind w:left="563"/>
      </w:pPr>
      <w:r>
        <w:t>Refer to Note 6 for the accounting policy relating to impairment.</w:t>
      </w:r>
    </w:p>
    <w:p w14:paraId="437C16BC" w14:textId="77777777" w:rsidR="00FA4AA8" w:rsidRDefault="00FA4AA8">
      <w:pPr>
        <w:sectPr w:rsidR="00FA4AA8">
          <w:pgSz w:w="11910" w:h="16840"/>
          <w:pgMar w:top="1460" w:right="840" w:bottom="720" w:left="840" w:header="1016" w:footer="523" w:gutter="0"/>
          <w:cols w:space="720"/>
        </w:sectPr>
      </w:pPr>
    </w:p>
    <w:p w14:paraId="0A810C75" w14:textId="77777777" w:rsidR="00FA4AA8" w:rsidRDefault="00FA4AA8">
      <w:pPr>
        <w:pStyle w:val="BodyText"/>
        <w:spacing w:before="11"/>
        <w:rPr>
          <w:sz w:val="16"/>
        </w:rPr>
      </w:pPr>
    </w:p>
    <w:p w14:paraId="13C79609" w14:textId="77777777" w:rsidR="00FA4AA8" w:rsidRDefault="0015611F">
      <w:pPr>
        <w:pStyle w:val="Heading2"/>
      </w:pPr>
      <w:r>
        <w:t>Notes to the Financial Statements</w:t>
      </w:r>
    </w:p>
    <w:p w14:paraId="6AD38D37" w14:textId="77777777" w:rsidR="00FA4AA8" w:rsidRDefault="0015611F">
      <w:pPr>
        <w:pStyle w:val="Heading6"/>
        <w:ind w:left="167"/>
      </w:pPr>
      <w:r>
        <w:t>For the Year Ended 31 December 2018</w:t>
      </w:r>
    </w:p>
    <w:p w14:paraId="50DD6ECA" w14:textId="77777777" w:rsidR="00FA4AA8" w:rsidRDefault="00FA4AA8">
      <w:pPr>
        <w:pStyle w:val="BodyText"/>
        <w:rPr>
          <w:b/>
          <w:sz w:val="20"/>
        </w:rPr>
      </w:pPr>
    </w:p>
    <w:p w14:paraId="59F0264E" w14:textId="77777777" w:rsidR="00FA4AA8" w:rsidRDefault="00FA4AA8">
      <w:pPr>
        <w:pStyle w:val="BodyText"/>
        <w:spacing w:before="9"/>
        <w:rPr>
          <w:b/>
          <w:sz w:val="21"/>
        </w:rPr>
      </w:pPr>
    </w:p>
    <w:tbl>
      <w:tblPr>
        <w:tblW w:w="0" w:type="auto"/>
        <w:tblInd w:w="125" w:type="dxa"/>
        <w:tblLayout w:type="fixed"/>
        <w:tblCellMar>
          <w:left w:w="0" w:type="dxa"/>
          <w:right w:w="0" w:type="dxa"/>
        </w:tblCellMar>
        <w:tblLook w:val="01E0" w:firstRow="1" w:lastRow="1" w:firstColumn="1" w:lastColumn="1" w:noHBand="0" w:noVBand="0"/>
      </w:tblPr>
      <w:tblGrid>
        <w:gridCol w:w="395"/>
        <w:gridCol w:w="6973"/>
        <w:gridCol w:w="1455"/>
        <w:gridCol w:w="1138"/>
      </w:tblGrid>
      <w:tr w:rsidR="00FA4AA8" w14:paraId="42649C05" w14:textId="77777777">
        <w:trPr>
          <w:trHeight w:val="171"/>
        </w:trPr>
        <w:tc>
          <w:tcPr>
            <w:tcW w:w="395" w:type="dxa"/>
          </w:tcPr>
          <w:p w14:paraId="6CFA5FE4" w14:textId="77777777" w:rsidR="00FA4AA8" w:rsidRDefault="0015611F">
            <w:pPr>
              <w:pStyle w:val="TableParagraph"/>
              <w:spacing w:line="151" w:lineRule="exact"/>
              <w:ind w:left="50"/>
              <w:rPr>
                <w:b/>
                <w:sz w:val="18"/>
              </w:rPr>
            </w:pPr>
            <w:r>
              <w:rPr>
                <w:b/>
                <w:sz w:val="18"/>
              </w:rPr>
              <w:t>2</w:t>
            </w:r>
          </w:p>
        </w:tc>
        <w:tc>
          <w:tcPr>
            <w:tcW w:w="9566" w:type="dxa"/>
            <w:gridSpan w:val="3"/>
          </w:tcPr>
          <w:p w14:paraId="5C3D9AB3" w14:textId="77777777" w:rsidR="00FA4AA8" w:rsidRDefault="0015611F">
            <w:pPr>
              <w:pStyle w:val="TableParagraph"/>
              <w:spacing w:line="151" w:lineRule="exact"/>
              <w:ind w:left="48"/>
              <w:rPr>
                <w:b/>
                <w:sz w:val="18"/>
              </w:rPr>
            </w:pPr>
            <w:r>
              <w:rPr>
                <w:b/>
                <w:sz w:val="18"/>
              </w:rPr>
              <w:t>Revenue</w:t>
            </w:r>
          </w:p>
        </w:tc>
      </w:tr>
      <w:tr w:rsidR="00FA4AA8" w14:paraId="6F455BEA" w14:textId="77777777">
        <w:trPr>
          <w:trHeight w:val="237"/>
        </w:trPr>
        <w:tc>
          <w:tcPr>
            <w:tcW w:w="7368" w:type="dxa"/>
            <w:gridSpan w:val="2"/>
          </w:tcPr>
          <w:p w14:paraId="28C2413D" w14:textId="77777777" w:rsidR="00FA4AA8" w:rsidRDefault="00FA4AA8">
            <w:pPr>
              <w:pStyle w:val="TableParagraph"/>
              <w:rPr>
                <w:rFonts w:ascii="Times New Roman"/>
                <w:sz w:val="16"/>
              </w:rPr>
            </w:pPr>
          </w:p>
        </w:tc>
        <w:tc>
          <w:tcPr>
            <w:tcW w:w="1455" w:type="dxa"/>
          </w:tcPr>
          <w:p w14:paraId="3F4D7755" w14:textId="77777777" w:rsidR="00FA4AA8" w:rsidRDefault="0015611F">
            <w:pPr>
              <w:pStyle w:val="TableParagraph"/>
              <w:spacing w:line="201" w:lineRule="exact"/>
              <w:ind w:left="443"/>
              <w:rPr>
                <w:b/>
                <w:sz w:val="18"/>
              </w:rPr>
            </w:pPr>
            <w:r>
              <w:rPr>
                <w:b/>
                <w:sz w:val="18"/>
              </w:rPr>
              <w:t>2018</w:t>
            </w:r>
          </w:p>
        </w:tc>
        <w:tc>
          <w:tcPr>
            <w:tcW w:w="1138" w:type="dxa"/>
          </w:tcPr>
          <w:p w14:paraId="19E7DE3C" w14:textId="77777777" w:rsidR="00FA4AA8" w:rsidRDefault="0015611F">
            <w:pPr>
              <w:pStyle w:val="TableParagraph"/>
              <w:spacing w:line="201" w:lineRule="exact"/>
              <w:ind w:left="275"/>
              <w:rPr>
                <w:b/>
                <w:sz w:val="18"/>
              </w:rPr>
            </w:pPr>
            <w:r>
              <w:rPr>
                <w:b/>
                <w:sz w:val="18"/>
              </w:rPr>
              <w:t>2017</w:t>
            </w:r>
          </w:p>
        </w:tc>
      </w:tr>
      <w:tr w:rsidR="00FA4AA8" w14:paraId="14C1E1BA" w14:textId="77777777">
        <w:trPr>
          <w:trHeight w:val="313"/>
        </w:trPr>
        <w:tc>
          <w:tcPr>
            <w:tcW w:w="7368" w:type="dxa"/>
            <w:gridSpan w:val="2"/>
          </w:tcPr>
          <w:p w14:paraId="52E42215" w14:textId="77777777" w:rsidR="00FA4AA8" w:rsidRDefault="00FA4AA8">
            <w:pPr>
              <w:pStyle w:val="TableParagraph"/>
              <w:rPr>
                <w:rFonts w:ascii="Times New Roman"/>
                <w:sz w:val="18"/>
              </w:rPr>
            </w:pPr>
          </w:p>
        </w:tc>
        <w:tc>
          <w:tcPr>
            <w:tcW w:w="1455" w:type="dxa"/>
          </w:tcPr>
          <w:p w14:paraId="14FC660F" w14:textId="77777777" w:rsidR="00FA4AA8" w:rsidRDefault="0015611F">
            <w:pPr>
              <w:pStyle w:val="TableParagraph"/>
              <w:spacing w:before="30"/>
              <w:ind w:right="163"/>
              <w:jc w:val="center"/>
              <w:rPr>
                <w:b/>
                <w:sz w:val="18"/>
              </w:rPr>
            </w:pPr>
            <w:r>
              <w:rPr>
                <w:b/>
                <w:sz w:val="18"/>
              </w:rPr>
              <w:t>$</w:t>
            </w:r>
          </w:p>
        </w:tc>
        <w:tc>
          <w:tcPr>
            <w:tcW w:w="1138" w:type="dxa"/>
          </w:tcPr>
          <w:p w14:paraId="31E40C8A" w14:textId="77777777" w:rsidR="00FA4AA8" w:rsidRDefault="0015611F">
            <w:pPr>
              <w:pStyle w:val="TableParagraph"/>
              <w:spacing w:before="30"/>
              <w:ind w:right="183"/>
              <w:jc w:val="center"/>
              <w:rPr>
                <w:b/>
                <w:sz w:val="18"/>
              </w:rPr>
            </w:pPr>
            <w:r>
              <w:rPr>
                <w:b/>
                <w:sz w:val="18"/>
              </w:rPr>
              <w:t>$</w:t>
            </w:r>
          </w:p>
        </w:tc>
      </w:tr>
      <w:tr w:rsidR="00FA4AA8" w14:paraId="7B7C4B81" w14:textId="77777777">
        <w:trPr>
          <w:trHeight w:val="542"/>
        </w:trPr>
        <w:tc>
          <w:tcPr>
            <w:tcW w:w="7368" w:type="dxa"/>
            <w:gridSpan w:val="2"/>
          </w:tcPr>
          <w:p w14:paraId="6CFD5D02" w14:textId="77777777" w:rsidR="00FA4AA8" w:rsidRDefault="0015611F">
            <w:pPr>
              <w:pStyle w:val="TableParagraph"/>
              <w:spacing w:before="70"/>
              <w:ind w:left="445"/>
              <w:rPr>
                <w:b/>
                <w:sz w:val="18"/>
              </w:rPr>
            </w:pPr>
            <w:r>
              <w:rPr>
                <w:b/>
                <w:sz w:val="18"/>
              </w:rPr>
              <w:t>Sale of goods</w:t>
            </w:r>
          </w:p>
          <w:p w14:paraId="4EE5F7A8" w14:textId="77777777" w:rsidR="00FA4AA8" w:rsidRDefault="0015611F">
            <w:pPr>
              <w:pStyle w:val="TableParagraph"/>
              <w:spacing w:before="25"/>
              <w:ind w:left="445"/>
              <w:rPr>
                <w:sz w:val="18"/>
              </w:rPr>
            </w:pPr>
            <w:r>
              <w:rPr>
                <w:sz w:val="18"/>
              </w:rPr>
              <w:t>Food and beverage</w:t>
            </w:r>
          </w:p>
        </w:tc>
        <w:tc>
          <w:tcPr>
            <w:tcW w:w="1455" w:type="dxa"/>
          </w:tcPr>
          <w:p w14:paraId="675AD174" w14:textId="77777777" w:rsidR="00FA4AA8" w:rsidRDefault="00FA4AA8">
            <w:pPr>
              <w:pStyle w:val="TableParagraph"/>
              <w:spacing w:before="6"/>
              <w:rPr>
                <w:b/>
                <w:sz w:val="26"/>
              </w:rPr>
            </w:pPr>
          </w:p>
          <w:p w14:paraId="22223EC9" w14:textId="77777777" w:rsidR="00FA4AA8" w:rsidRDefault="0015611F">
            <w:pPr>
              <w:pStyle w:val="TableParagraph"/>
              <w:ind w:right="246"/>
              <w:jc w:val="right"/>
              <w:rPr>
                <w:b/>
                <w:sz w:val="18"/>
              </w:rPr>
            </w:pPr>
            <w:r>
              <w:rPr>
                <w:b/>
                <w:sz w:val="18"/>
              </w:rPr>
              <w:t>4,365,113</w:t>
            </w:r>
          </w:p>
        </w:tc>
        <w:tc>
          <w:tcPr>
            <w:tcW w:w="1138" w:type="dxa"/>
          </w:tcPr>
          <w:p w14:paraId="16CF7139" w14:textId="77777777" w:rsidR="00FA4AA8" w:rsidRDefault="00FA4AA8">
            <w:pPr>
              <w:pStyle w:val="TableParagraph"/>
              <w:spacing w:before="6"/>
              <w:rPr>
                <w:b/>
                <w:sz w:val="26"/>
              </w:rPr>
            </w:pPr>
          </w:p>
          <w:p w14:paraId="2F376722" w14:textId="77777777" w:rsidR="00FA4AA8" w:rsidRDefault="0015611F">
            <w:pPr>
              <w:pStyle w:val="TableParagraph"/>
              <w:ind w:right="83"/>
              <w:jc w:val="right"/>
              <w:rPr>
                <w:sz w:val="18"/>
              </w:rPr>
            </w:pPr>
            <w:r>
              <w:rPr>
                <w:sz w:val="18"/>
              </w:rPr>
              <w:t>4,911,329</w:t>
            </w:r>
          </w:p>
        </w:tc>
      </w:tr>
      <w:tr w:rsidR="00FA4AA8" w14:paraId="1141638E" w14:textId="77777777">
        <w:trPr>
          <w:trHeight w:val="264"/>
        </w:trPr>
        <w:tc>
          <w:tcPr>
            <w:tcW w:w="7368" w:type="dxa"/>
            <w:gridSpan w:val="2"/>
          </w:tcPr>
          <w:p w14:paraId="6A6990FE" w14:textId="77777777" w:rsidR="00FA4AA8" w:rsidRDefault="0015611F">
            <w:pPr>
              <w:pStyle w:val="TableParagraph"/>
              <w:spacing w:before="24"/>
              <w:ind w:left="445"/>
              <w:rPr>
                <w:sz w:val="18"/>
              </w:rPr>
            </w:pPr>
            <w:r>
              <w:rPr>
                <w:sz w:val="18"/>
              </w:rPr>
              <w:t>Retail</w:t>
            </w:r>
          </w:p>
        </w:tc>
        <w:tc>
          <w:tcPr>
            <w:tcW w:w="1455" w:type="dxa"/>
          </w:tcPr>
          <w:p w14:paraId="6EEC474C" w14:textId="77777777" w:rsidR="00FA4AA8" w:rsidRDefault="0015611F">
            <w:pPr>
              <w:pStyle w:val="TableParagraph"/>
              <w:spacing w:before="26"/>
              <w:ind w:right="246"/>
              <w:jc w:val="right"/>
              <w:rPr>
                <w:b/>
                <w:sz w:val="18"/>
              </w:rPr>
            </w:pPr>
            <w:r>
              <w:rPr>
                <w:b/>
                <w:sz w:val="18"/>
              </w:rPr>
              <w:t>143,853</w:t>
            </w:r>
          </w:p>
        </w:tc>
        <w:tc>
          <w:tcPr>
            <w:tcW w:w="1138" w:type="dxa"/>
          </w:tcPr>
          <w:p w14:paraId="79782571" w14:textId="77777777" w:rsidR="00FA4AA8" w:rsidRDefault="0015611F">
            <w:pPr>
              <w:pStyle w:val="TableParagraph"/>
              <w:spacing w:before="26"/>
              <w:ind w:right="83"/>
              <w:jc w:val="right"/>
              <w:rPr>
                <w:sz w:val="18"/>
              </w:rPr>
            </w:pPr>
            <w:r>
              <w:rPr>
                <w:sz w:val="18"/>
              </w:rPr>
              <w:t>55,653</w:t>
            </w:r>
          </w:p>
        </w:tc>
      </w:tr>
      <w:tr w:rsidR="00FA4AA8" w14:paraId="6BFF5F33" w14:textId="77777777">
        <w:trPr>
          <w:trHeight w:val="258"/>
        </w:trPr>
        <w:tc>
          <w:tcPr>
            <w:tcW w:w="7368" w:type="dxa"/>
            <w:gridSpan w:val="2"/>
          </w:tcPr>
          <w:p w14:paraId="1494E9AC" w14:textId="77777777" w:rsidR="00FA4AA8" w:rsidRDefault="0015611F">
            <w:pPr>
              <w:pStyle w:val="TableParagraph"/>
              <w:spacing w:before="24"/>
              <w:ind w:left="446"/>
              <w:rPr>
                <w:sz w:val="18"/>
              </w:rPr>
            </w:pPr>
            <w:r>
              <w:rPr>
                <w:sz w:val="18"/>
              </w:rPr>
              <w:t>Books</w:t>
            </w:r>
          </w:p>
        </w:tc>
        <w:tc>
          <w:tcPr>
            <w:tcW w:w="1455" w:type="dxa"/>
            <w:tcBorders>
              <w:bottom w:val="single" w:sz="8" w:space="0" w:color="000000"/>
            </w:tcBorders>
          </w:tcPr>
          <w:p w14:paraId="2FD52FF8" w14:textId="77777777" w:rsidR="00FA4AA8" w:rsidRDefault="0015611F">
            <w:pPr>
              <w:pStyle w:val="TableParagraph"/>
              <w:spacing w:before="26"/>
              <w:ind w:right="246"/>
              <w:jc w:val="right"/>
              <w:rPr>
                <w:b/>
                <w:sz w:val="18"/>
              </w:rPr>
            </w:pPr>
            <w:r>
              <w:rPr>
                <w:b/>
                <w:sz w:val="18"/>
              </w:rPr>
              <w:t>-</w:t>
            </w:r>
          </w:p>
        </w:tc>
        <w:tc>
          <w:tcPr>
            <w:tcW w:w="1138" w:type="dxa"/>
            <w:tcBorders>
              <w:bottom w:val="single" w:sz="8" w:space="0" w:color="000000"/>
            </w:tcBorders>
          </w:tcPr>
          <w:p w14:paraId="209E17AF" w14:textId="77777777" w:rsidR="00FA4AA8" w:rsidRDefault="0015611F">
            <w:pPr>
              <w:pStyle w:val="TableParagraph"/>
              <w:spacing w:before="26"/>
              <w:ind w:right="83"/>
              <w:jc w:val="right"/>
              <w:rPr>
                <w:sz w:val="18"/>
              </w:rPr>
            </w:pPr>
            <w:r>
              <w:rPr>
                <w:sz w:val="18"/>
              </w:rPr>
              <w:t>394,400</w:t>
            </w:r>
          </w:p>
        </w:tc>
      </w:tr>
      <w:tr w:rsidR="00FA4AA8" w14:paraId="3045BB39" w14:textId="77777777">
        <w:trPr>
          <w:trHeight w:val="320"/>
        </w:trPr>
        <w:tc>
          <w:tcPr>
            <w:tcW w:w="7368" w:type="dxa"/>
            <w:gridSpan w:val="2"/>
          </w:tcPr>
          <w:p w14:paraId="3EF4246F" w14:textId="77777777" w:rsidR="00FA4AA8" w:rsidRDefault="0015611F">
            <w:pPr>
              <w:pStyle w:val="TableParagraph"/>
              <w:spacing w:before="115" w:line="185" w:lineRule="exact"/>
              <w:ind w:left="446"/>
              <w:rPr>
                <w:b/>
                <w:sz w:val="18"/>
              </w:rPr>
            </w:pPr>
            <w:r>
              <w:rPr>
                <w:b/>
                <w:sz w:val="18"/>
              </w:rPr>
              <w:t>Total sale of goods</w:t>
            </w:r>
          </w:p>
        </w:tc>
        <w:tc>
          <w:tcPr>
            <w:tcW w:w="1455" w:type="dxa"/>
            <w:tcBorders>
              <w:top w:val="single" w:sz="8" w:space="0" w:color="000000"/>
              <w:bottom w:val="double" w:sz="2" w:space="0" w:color="000000"/>
            </w:tcBorders>
          </w:tcPr>
          <w:p w14:paraId="3726885F" w14:textId="77777777" w:rsidR="00FA4AA8" w:rsidRDefault="0015611F">
            <w:pPr>
              <w:pStyle w:val="TableParagraph"/>
              <w:spacing w:before="115" w:line="185" w:lineRule="exact"/>
              <w:ind w:right="246"/>
              <w:jc w:val="right"/>
              <w:rPr>
                <w:b/>
                <w:sz w:val="18"/>
              </w:rPr>
            </w:pPr>
            <w:r>
              <w:rPr>
                <w:b/>
                <w:sz w:val="18"/>
              </w:rPr>
              <w:t>4,508,966</w:t>
            </w:r>
          </w:p>
        </w:tc>
        <w:tc>
          <w:tcPr>
            <w:tcW w:w="1138" w:type="dxa"/>
            <w:tcBorders>
              <w:top w:val="single" w:sz="8" w:space="0" w:color="000000"/>
              <w:bottom w:val="double" w:sz="2" w:space="0" w:color="000000"/>
            </w:tcBorders>
          </w:tcPr>
          <w:p w14:paraId="5C4A7A61" w14:textId="77777777" w:rsidR="00FA4AA8" w:rsidRDefault="0015611F">
            <w:pPr>
              <w:pStyle w:val="TableParagraph"/>
              <w:spacing w:before="115" w:line="185" w:lineRule="exact"/>
              <w:ind w:right="83"/>
              <w:jc w:val="right"/>
              <w:rPr>
                <w:sz w:val="18"/>
              </w:rPr>
            </w:pPr>
            <w:r>
              <w:rPr>
                <w:sz w:val="18"/>
              </w:rPr>
              <w:t>5,361,382</w:t>
            </w:r>
          </w:p>
        </w:tc>
      </w:tr>
      <w:tr w:rsidR="00FA4AA8" w14:paraId="7EBC42E3" w14:textId="77777777">
        <w:trPr>
          <w:trHeight w:val="589"/>
        </w:trPr>
        <w:tc>
          <w:tcPr>
            <w:tcW w:w="7368" w:type="dxa"/>
            <w:gridSpan w:val="2"/>
          </w:tcPr>
          <w:p w14:paraId="7E2C4754" w14:textId="77777777" w:rsidR="00FA4AA8" w:rsidRDefault="0015611F">
            <w:pPr>
              <w:pStyle w:val="TableParagraph"/>
              <w:spacing w:before="117"/>
              <w:ind w:left="446"/>
              <w:rPr>
                <w:b/>
                <w:sz w:val="18"/>
              </w:rPr>
            </w:pPr>
            <w:r>
              <w:rPr>
                <w:b/>
                <w:sz w:val="18"/>
              </w:rPr>
              <w:t>Rendering of services</w:t>
            </w:r>
          </w:p>
          <w:p w14:paraId="03B9689E" w14:textId="77777777" w:rsidR="00FA4AA8" w:rsidRDefault="0015611F">
            <w:pPr>
              <w:pStyle w:val="TableParagraph"/>
              <w:spacing w:before="26"/>
              <w:ind w:left="446"/>
              <w:rPr>
                <w:sz w:val="18"/>
              </w:rPr>
            </w:pPr>
            <w:r>
              <w:rPr>
                <w:sz w:val="18"/>
              </w:rPr>
              <w:t>Sports</w:t>
            </w:r>
          </w:p>
        </w:tc>
        <w:tc>
          <w:tcPr>
            <w:tcW w:w="1455" w:type="dxa"/>
            <w:tcBorders>
              <w:top w:val="double" w:sz="2" w:space="0" w:color="000000"/>
            </w:tcBorders>
          </w:tcPr>
          <w:p w14:paraId="7AEF15B0" w14:textId="77777777" w:rsidR="00FA4AA8" w:rsidRDefault="00FA4AA8">
            <w:pPr>
              <w:pStyle w:val="TableParagraph"/>
              <w:rPr>
                <w:b/>
                <w:sz w:val="20"/>
              </w:rPr>
            </w:pPr>
          </w:p>
          <w:p w14:paraId="41200C28" w14:textId="77777777" w:rsidR="00FA4AA8" w:rsidRDefault="0015611F">
            <w:pPr>
              <w:pStyle w:val="TableParagraph"/>
              <w:spacing w:before="122"/>
              <w:ind w:right="246"/>
              <w:jc w:val="right"/>
              <w:rPr>
                <w:b/>
                <w:sz w:val="18"/>
              </w:rPr>
            </w:pPr>
            <w:r>
              <w:rPr>
                <w:b/>
                <w:sz w:val="18"/>
              </w:rPr>
              <w:t>802,372</w:t>
            </w:r>
          </w:p>
        </w:tc>
        <w:tc>
          <w:tcPr>
            <w:tcW w:w="1138" w:type="dxa"/>
            <w:tcBorders>
              <w:top w:val="double" w:sz="2" w:space="0" w:color="000000"/>
            </w:tcBorders>
          </w:tcPr>
          <w:p w14:paraId="057F20E5" w14:textId="77777777" w:rsidR="00FA4AA8" w:rsidRDefault="00FA4AA8">
            <w:pPr>
              <w:pStyle w:val="TableParagraph"/>
              <w:rPr>
                <w:b/>
                <w:sz w:val="20"/>
              </w:rPr>
            </w:pPr>
          </w:p>
          <w:p w14:paraId="791D93CE" w14:textId="77777777" w:rsidR="00FA4AA8" w:rsidRDefault="0015611F">
            <w:pPr>
              <w:pStyle w:val="TableParagraph"/>
              <w:spacing w:before="122"/>
              <w:ind w:right="83"/>
              <w:jc w:val="right"/>
              <w:rPr>
                <w:sz w:val="18"/>
              </w:rPr>
            </w:pPr>
            <w:r>
              <w:rPr>
                <w:sz w:val="18"/>
              </w:rPr>
              <w:t>938,157</w:t>
            </w:r>
          </w:p>
        </w:tc>
      </w:tr>
      <w:tr w:rsidR="00FA4AA8" w14:paraId="69A6E775" w14:textId="77777777">
        <w:trPr>
          <w:trHeight w:val="258"/>
        </w:trPr>
        <w:tc>
          <w:tcPr>
            <w:tcW w:w="7368" w:type="dxa"/>
            <w:gridSpan w:val="2"/>
          </w:tcPr>
          <w:p w14:paraId="175F04D0" w14:textId="77777777" w:rsidR="00FA4AA8" w:rsidRDefault="0015611F">
            <w:pPr>
              <w:pStyle w:val="TableParagraph"/>
              <w:spacing w:before="24"/>
              <w:ind w:left="445"/>
              <w:rPr>
                <w:sz w:val="18"/>
              </w:rPr>
            </w:pPr>
            <w:r>
              <w:rPr>
                <w:sz w:val="18"/>
              </w:rPr>
              <w:t>Venue hire</w:t>
            </w:r>
          </w:p>
        </w:tc>
        <w:tc>
          <w:tcPr>
            <w:tcW w:w="1455" w:type="dxa"/>
            <w:tcBorders>
              <w:bottom w:val="single" w:sz="8" w:space="0" w:color="000000"/>
            </w:tcBorders>
          </w:tcPr>
          <w:p w14:paraId="33486D44" w14:textId="77777777" w:rsidR="00FA4AA8" w:rsidRDefault="0015611F">
            <w:pPr>
              <w:pStyle w:val="TableParagraph"/>
              <w:spacing w:before="26"/>
              <w:ind w:right="246"/>
              <w:jc w:val="right"/>
              <w:rPr>
                <w:b/>
                <w:sz w:val="18"/>
              </w:rPr>
            </w:pPr>
            <w:r>
              <w:rPr>
                <w:b/>
                <w:sz w:val="18"/>
              </w:rPr>
              <w:t>11,590</w:t>
            </w:r>
          </w:p>
        </w:tc>
        <w:tc>
          <w:tcPr>
            <w:tcW w:w="1138" w:type="dxa"/>
            <w:tcBorders>
              <w:bottom w:val="single" w:sz="8" w:space="0" w:color="000000"/>
            </w:tcBorders>
          </w:tcPr>
          <w:p w14:paraId="7C948B0A" w14:textId="77777777" w:rsidR="00FA4AA8" w:rsidRDefault="0015611F">
            <w:pPr>
              <w:pStyle w:val="TableParagraph"/>
              <w:spacing w:before="26"/>
              <w:ind w:right="83"/>
              <w:jc w:val="right"/>
              <w:rPr>
                <w:sz w:val="18"/>
              </w:rPr>
            </w:pPr>
            <w:r>
              <w:rPr>
                <w:sz w:val="18"/>
              </w:rPr>
              <w:t>3,127</w:t>
            </w:r>
          </w:p>
        </w:tc>
      </w:tr>
      <w:tr w:rsidR="00FA4AA8" w14:paraId="57384A8F" w14:textId="77777777">
        <w:trPr>
          <w:trHeight w:val="320"/>
        </w:trPr>
        <w:tc>
          <w:tcPr>
            <w:tcW w:w="7368" w:type="dxa"/>
            <w:gridSpan w:val="2"/>
          </w:tcPr>
          <w:p w14:paraId="430A51D7" w14:textId="77777777" w:rsidR="00FA4AA8" w:rsidRDefault="0015611F">
            <w:pPr>
              <w:pStyle w:val="TableParagraph"/>
              <w:spacing w:before="115" w:line="185" w:lineRule="exact"/>
              <w:ind w:left="445"/>
              <w:rPr>
                <w:b/>
                <w:sz w:val="18"/>
              </w:rPr>
            </w:pPr>
            <w:r>
              <w:rPr>
                <w:b/>
                <w:sz w:val="18"/>
              </w:rPr>
              <w:t>Total rendering of services</w:t>
            </w:r>
          </w:p>
        </w:tc>
        <w:tc>
          <w:tcPr>
            <w:tcW w:w="1455" w:type="dxa"/>
            <w:tcBorders>
              <w:top w:val="single" w:sz="8" w:space="0" w:color="000000"/>
              <w:bottom w:val="double" w:sz="2" w:space="0" w:color="000000"/>
            </w:tcBorders>
          </w:tcPr>
          <w:p w14:paraId="7DF272E1" w14:textId="77777777" w:rsidR="00FA4AA8" w:rsidRDefault="0015611F">
            <w:pPr>
              <w:pStyle w:val="TableParagraph"/>
              <w:spacing w:before="115" w:line="185" w:lineRule="exact"/>
              <w:ind w:right="246"/>
              <w:jc w:val="right"/>
              <w:rPr>
                <w:b/>
                <w:sz w:val="18"/>
              </w:rPr>
            </w:pPr>
            <w:r>
              <w:rPr>
                <w:b/>
                <w:sz w:val="18"/>
              </w:rPr>
              <w:t>813,962</w:t>
            </w:r>
          </w:p>
        </w:tc>
        <w:tc>
          <w:tcPr>
            <w:tcW w:w="1138" w:type="dxa"/>
            <w:tcBorders>
              <w:top w:val="single" w:sz="8" w:space="0" w:color="000000"/>
              <w:bottom w:val="double" w:sz="2" w:space="0" w:color="000000"/>
            </w:tcBorders>
          </w:tcPr>
          <w:p w14:paraId="592E1068" w14:textId="77777777" w:rsidR="00FA4AA8" w:rsidRDefault="0015611F">
            <w:pPr>
              <w:pStyle w:val="TableParagraph"/>
              <w:spacing w:before="115" w:line="185" w:lineRule="exact"/>
              <w:ind w:right="83"/>
              <w:jc w:val="right"/>
              <w:rPr>
                <w:sz w:val="18"/>
              </w:rPr>
            </w:pPr>
            <w:r>
              <w:rPr>
                <w:sz w:val="18"/>
              </w:rPr>
              <w:t>941,284</w:t>
            </w:r>
          </w:p>
        </w:tc>
      </w:tr>
      <w:tr w:rsidR="00FA4AA8" w14:paraId="72A01538" w14:textId="77777777">
        <w:trPr>
          <w:trHeight w:val="589"/>
        </w:trPr>
        <w:tc>
          <w:tcPr>
            <w:tcW w:w="7368" w:type="dxa"/>
            <w:gridSpan w:val="2"/>
          </w:tcPr>
          <w:p w14:paraId="2591358E" w14:textId="77777777" w:rsidR="00FA4AA8" w:rsidRDefault="0015611F">
            <w:pPr>
              <w:pStyle w:val="TableParagraph"/>
              <w:spacing w:before="117"/>
              <w:ind w:left="446"/>
              <w:rPr>
                <w:b/>
                <w:sz w:val="18"/>
              </w:rPr>
            </w:pPr>
            <w:r>
              <w:rPr>
                <w:b/>
                <w:sz w:val="18"/>
              </w:rPr>
              <w:t>University funding</w:t>
            </w:r>
          </w:p>
          <w:p w14:paraId="4EC047C0" w14:textId="77777777" w:rsidR="00FA4AA8" w:rsidRDefault="0015611F">
            <w:pPr>
              <w:pStyle w:val="TableParagraph"/>
              <w:spacing w:before="26"/>
              <w:ind w:left="446"/>
              <w:rPr>
                <w:sz w:val="18"/>
              </w:rPr>
            </w:pPr>
            <w:r>
              <w:rPr>
                <w:sz w:val="18"/>
              </w:rPr>
              <w:t>University funding - general</w:t>
            </w:r>
          </w:p>
        </w:tc>
        <w:tc>
          <w:tcPr>
            <w:tcW w:w="1455" w:type="dxa"/>
            <w:tcBorders>
              <w:top w:val="double" w:sz="2" w:space="0" w:color="000000"/>
            </w:tcBorders>
          </w:tcPr>
          <w:p w14:paraId="418D6F4F" w14:textId="77777777" w:rsidR="00FA4AA8" w:rsidRDefault="00FA4AA8">
            <w:pPr>
              <w:pStyle w:val="TableParagraph"/>
              <w:rPr>
                <w:b/>
                <w:sz w:val="20"/>
              </w:rPr>
            </w:pPr>
          </w:p>
          <w:p w14:paraId="69F40C61" w14:textId="77777777" w:rsidR="00FA4AA8" w:rsidRDefault="0015611F">
            <w:pPr>
              <w:pStyle w:val="TableParagraph"/>
              <w:spacing w:before="122"/>
              <w:ind w:right="246"/>
              <w:jc w:val="right"/>
              <w:rPr>
                <w:b/>
                <w:sz w:val="18"/>
              </w:rPr>
            </w:pPr>
            <w:r>
              <w:rPr>
                <w:b/>
                <w:sz w:val="18"/>
              </w:rPr>
              <w:t>-</w:t>
            </w:r>
          </w:p>
        </w:tc>
        <w:tc>
          <w:tcPr>
            <w:tcW w:w="1138" w:type="dxa"/>
            <w:tcBorders>
              <w:top w:val="double" w:sz="2" w:space="0" w:color="000000"/>
            </w:tcBorders>
          </w:tcPr>
          <w:p w14:paraId="528BC78B" w14:textId="77777777" w:rsidR="00FA4AA8" w:rsidRDefault="00FA4AA8">
            <w:pPr>
              <w:pStyle w:val="TableParagraph"/>
              <w:rPr>
                <w:b/>
                <w:sz w:val="20"/>
              </w:rPr>
            </w:pPr>
          </w:p>
          <w:p w14:paraId="57730553" w14:textId="77777777" w:rsidR="00FA4AA8" w:rsidRDefault="0015611F">
            <w:pPr>
              <w:pStyle w:val="TableParagraph"/>
              <w:spacing w:before="122"/>
              <w:ind w:right="83"/>
              <w:jc w:val="right"/>
              <w:rPr>
                <w:sz w:val="18"/>
              </w:rPr>
            </w:pPr>
            <w:r>
              <w:rPr>
                <w:sz w:val="18"/>
              </w:rPr>
              <w:t>1,200,000</w:t>
            </w:r>
          </w:p>
        </w:tc>
      </w:tr>
      <w:tr w:rsidR="00FA4AA8" w14:paraId="3E8C439F" w14:textId="77777777">
        <w:trPr>
          <w:trHeight w:val="263"/>
        </w:trPr>
        <w:tc>
          <w:tcPr>
            <w:tcW w:w="7368" w:type="dxa"/>
            <w:gridSpan w:val="2"/>
          </w:tcPr>
          <w:p w14:paraId="025AFDE8" w14:textId="77777777" w:rsidR="00FA4AA8" w:rsidRDefault="0015611F">
            <w:pPr>
              <w:pStyle w:val="TableParagraph"/>
              <w:spacing w:before="24"/>
              <w:ind w:left="445"/>
              <w:rPr>
                <w:sz w:val="18"/>
              </w:rPr>
            </w:pPr>
            <w:r>
              <w:rPr>
                <w:sz w:val="18"/>
              </w:rPr>
              <w:t>University funding - community services</w:t>
            </w:r>
          </w:p>
        </w:tc>
        <w:tc>
          <w:tcPr>
            <w:tcW w:w="1455" w:type="dxa"/>
          </w:tcPr>
          <w:p w14:paraId="77CB6ACB" w14:textId="77777777" w:rsidR="00FA4AA8" w:rsidRDefault="0015611F">
            <w:pPr>
              <w:pStyle w:val="TableParagraph"/>
              <w:spacing w:before="26"/>
              <w:ind w:right="246"/>
              <w:jc w:val="right"/>
              <w:rPr>
                <w:b/>
                <w:sz w:val="18"/>
              </w:rPr>
            </w:pPr>
            <w:r>
              <w:rPr>
                <w:b/>
                <w:sz w:val="18"/>
              </w:rPr>
              <w:t>-</w:t>
            </w:r>
          </w:p>
        </w:tc>
        <w:tc>
          <w:tcPr>
            <w:tcW w:w="1138" w:type="dxa"/>
          </w:tcPr>
          <w:p w14:paraId="51CCF2D2" w14:textId="77777777" w:rsidR="00FA4AA8" w:rsidRDefault="0015611F">
            <w:pPr>
              <w:pStyle w:val="TableParagraph"/>
              <w:spacing w:before="26"/>
              <w:ind w:right="83"/>
              <w:jc w:val="right"/>
              <w:rPr>
                <w:sz w:val="18"/>
              </w:rPr>
            </w:pPr>
            <w:r>
              <w:rPr>
                <w:sz w:val="18"/>
              </w:rPr>
              <w:t>425,694</w:t>
            </w:r>
          </w:p>
        </w:tc>
      </w:tr>
      <w:tr w:rsidR="00FA4AA8" w14:paraId="6076CD8A" w14:textId="77777777">
        <w:trPr>
          <w:trHeight w:val="264"/>
        </w:trPr>
        <w:tc>
          <w:tcPr>
            <w:tcW w:w="7368" w:type="dxa"/>
            <w:gridSpan w:val="2"/>
          </w:tcPr>
          <w:p w14:paraId="260B02BB" w14:textId="77777777" w:rsidR="00FA4AA8" w:rsidRDefault="0015611F">
            <w:pPr>
              <w:pStyle w:val="TableParagraph"/>
              <w:spacing w:before="24"/>
              <w:ind w:left="445"/>
              <w:rPr>
                <w:sz w:val="18"/>
              </w:rPr>
            </w:pPr>
            <w:r>
              <w:rPr>
                <w:sz w:val="18"/>
              </w:rPr>
              <w:t>University funding - clubs</w:t>
            </w:r>
          </w:p>
        </w:tc>
        <w:tc>
          <w:tcPr>
            <w:tcW w:w="1455" w:type="dxa"/>
          </w:tcPr>
          <w:p w14:paraId="0F747CDB" w14:textId="77777777" w:rsidR="00FA4AA8" w:rsidRDefault="0015611F">
            <w:pPr>
              <w:pStyle w:val="TableParagraph"/>
              <w:spacing w:before="26"/>
              <w:ind w:right="246"/>
              <w:jc w:val="right"/>
              <w:rPr>
                <w:b/>
                <w:sz w:val="18"/>
              </w:rPr>
            </w:pPr>
            <w:r>
              <w:rPr>
                <w:b/>
                <w:sz w:val="18"/>
              </w:rPr>
              <w:t>-</w:t>
            </w:r>
          </w:p>
        </w:tc>
        <w:tc>
          <w:tcPr>
            <w:tcW w:w="1138" w:type="dxa"/>
          </w:tcPr>
          <w:p w14:paraId="02E68486" w14:textId="77777777" w:rsidR="00FA4AA8" w:rsidRDefault="0015611F">
            <w:pPr>
              <w:pStyle w:val="TableParagraph"/>
              <w:spacing w:before="26"/>
              <w:ind w:right="83"/>
              <w:jc w:val="right"/>
              <w:rPr>
                <w:sz w:val="18"/>
              </w:rPr>
            </w:pPr>
            <w:r>
              <w:rPr>
                <w:sz w:val="18"/>
              </w:rPr>
              <w:t>350,000</w:t>
            </w:r>
          </w:p>
        </w:tc>
      </w:tr>
      <w:tr w:rsidR="00FA4AA8" w14:paraId="402C2D65" w14:textId="77777777">
        <w:trPr>
          <w:trHeight w:val="258"/>
        </w:trPr>
        <w:tc>
          <w:tcPr>
            <w:tcW w:w="7368" w:type="dxa"/>
            <w:gridSpan w:val="2"/>
          </w:tcPr>
          <w:p w14:paraId="48B7FE34" w14:textId="77777777" w:rsidR="00FA4AA8" w:rsidRDefault="0015611F">
            <w:pPr>
              <w:pStyle w:val="TableParagraph"/>
              <w:spacing w:before="24"/>
              <w:ind w:left="445"/>
              <w:rPr>
                <w:sz w:val="18"/>
              </w:rPr>
            </w:pPr>
            <w:r>
              <w:rPr>
                <w:sz w:val="18"/>
              </w:rPr>
              <w:t>University funding - sport</w:t>
            </w:r>
          </w:p>
        </w:tc>
        <w:tc>
          <w:tcPr>
            <w:tcW w:w="1455" w:type="dxa"/>
            <w:tcBorders>
              <w:bottom w:val="single" w:sz="8" w:space="0" w:color="000000"/>
            </w:tcBorders>
          </w:tcPr>
          <w:p w14:paraId="559FDDEA" w14:textId="77777777" w:rsidR="00FA4AA8" w:rsidRDefault="0015611F">
            <w:pPr>
              <w:pStyle w:val="TableParagraph"/>
              <w:spacing w:before="26"/>
              <w:ind w:right="246"/>
              <w:jc w:val="right"/>
              <w:rPr>
                <w:b/>
                <w:sz w:val="18"/>
              </w:rPr>
            </w:pPr>
            <w:r>
              <w:rPr>
                <w:b/>
                <w:sz w:val="18"/>
              </w:rPr>
              <w:t>-</w:t>
            </w:r>
          </w:p>
        </w:tc>
        <w:tc>
          <w:tcPr>
            <w:tcW w:w="1138" w:type="dxa"/>
            <w:tcBorders>
              <w:bottom w:val="single" w:sz="8" w:space="0" w:color="000000"/>
            </w:tcBorders>
          </w:tcPr>
          <w:p w14:paraId="71114FB8" w14:textId="77777777" w:rsidR="00FA4AA8" w:rsidRDefault="0015611F">
            <w:pPr>
              <w:pStyle w:val="TableParagraph"/>
              <w:spacing w:before="26"/>
              <w:ind w:right="83"/>
              <w:jc w:val="right"/>
              <w:rPr>
                <w:sz w:val="18"/>
              </w:rPr>
            </w:pPr>
            <w:r>
              <w:rPr>
                <w:sz w:val="18"/>
              </w:rPr>
              <w:t>442,369</w:t>
            </w:r>
          </w:p>
        </w:tc>
      </w:tr>
      <w:tr w:rsidR="00FA4AA8" w14:paraId="3E11EA3E" w14:textId="77777777">
        <w:trPr>
          <w:trHeight w:val="325"/>
        </w:trPr>
        <w:tc>
          <w:tcPr>
            <w:tcW w:w="7368" w:type="dxa"/>
            <w:gridSpan w:val="2"/>
          </w:tcPr>
          <w:p w14:paraId="79D656BA" w14:textId="77777777" w:rsidR="00FA4AA8" w:rsidRDefault="0015611F">
            <w:pPr>
              <w:pStyle w:val="TableParagraph"/>
              <w:spacing w:before="115" w:line="190" w:lineRule="exact"/>
              <w:ind w:left="446"/>
              <w:rPr>
                <w:b/>
                <w:sz w:val="18"/>
              </w:rPr>
            </w:pPr>
            <w:r>
              <w:rPr>
                <w:b/>
                <w:sz w:val="18"/>
              </w:rPr>
              <w:t>Total University funding</w:t>
            </w:r>
          </w:p>
        </w:tc>
        <w:tc>
          <w:tcPr>
            <w:tcW w:w="1455" w:type="dxa"/>
            <w:tcBorders>
              <w:top w:val="single" w:sz="8" w:space="0" w:color="000000"/>
              <w:bottom w:val="thinThickMediumGap" w:sz="4" w:space="0" w:color="000000"/>
            </w:tcBorders>
          </w:tcPr>
          <w:p w14:paraId="2ECA1203" w14:textId="77777777" w:rsidR="00FA4AA8" w:rsidRDefault="0015611F">
            <w:pPr>
              <w:pStyle w:val="TableParagraph"/>
              <w:spacing w:before="115" w:line="190" w:lineRule="exact"/>
              <w:ind w:right="246"/>
              <w:jc w:val="right"/>
              <w:rPr>
                <w:b/>
                <w:sz w:val="18"/>
              </w:rPr>
            </w:pPr>
            <w:r>
              <w:rPr>
                <w:b/>
                <w:sz w:val="18"/>
              </w:rPr>
              <w:t>-</w:t>
            </w:r>
          </w:p>
        </w:tc>
        <w:tc>
          <w:tcPr>
            <w:tcW w:w="1138" w:type="dxa"/>
            <w:tcBorders>
              <w:top w:val="single" w:sz="8" w:space="0" w:color="000000"/>
              <w:bottom w:val="thinThickMediumGap" w:sz="4" w:space="0" w:color="000000"/>
            </w:tcBorders>
          </w:tcPr>
          <w:p w14:paraId="1921BB0F" w14:textId="77777777" w:rsidR="00FA4AA8" w:rsidRDefault="0015611F">
            <w:pPr>
              <w:pStyle w:val="TableParagraph"/>
              <w:spacing w:before="115" w:line="190" w:lineRule="exact"/>
              <w:ind w:right="83"/>
              <w:jc w:val="right"/>
              <w:rPr>
                <w:sz w:val="18"/>
              </w:rPr>
            </w:pPr>
            <w:r>
              <w:rPr>
                <w:sz w:val="18"/>
              </w:rPr>
              <w:t>2,418,063</w:t>
            </w:r>
          </w:p>
        </w:tc>
      </w:tr>
      <w:tr w:rsidR="00FA4AA8" w14:paraId="6D6BD34F" w14:textId="77777777">
        <w:trPr>
          <w:trHeight w:val="599"/>
        </w:trPr>
        <w:tc>
          <w:tcPr>
            <w:tcW w:w="7368" w:type="dxa"/>
            <w:gridSpan w:val="2"/>
          </w:tcPr>
          <w:p w14:paraId="5054246A" w14:textId="77777777" w:rsidR="00FA4AA8" w:rsidRDefault="0015611F">
            <w:pPr>
              <w:pStyle w:val="TableParagraph"/>
              <w:spacing w:before="127"/>
              <w:ind w:left="446"/>
              <w:rPr>
                <w:b/>
                <w:sz w:val="18"/>
              </w:rPr>
            </w:pPr>
            <w:r>
              <w:rPr>
                <w:b/>
                <w:sz w:val="18"/>
              </w:rPr>
              <w:t>Other revenue</w:t>
            </w:r>
          </w:p>
          <w:p w14:paraId="4705D2D2" w14:textId="77777777" w:rsidR="00FA4AA8" w:rsidRDefault="0015611F">
            <w:pPr>
              <w:pStyle w:val="TableParagraph"/>
              <w:spacing w:before="25"/>
              <w:ind w:left="446"/>
              <w:rPr>
                <w:sz w:val="18"/>
              </w:rPr>
            </w:pPr>
            <w:r>
              <w:rPr>
                <w:sz w:val="18"/>
              </w:rPr>
              <w:t>Bank interest</w:t>
            </w:r>
          </w:p>
        </w:tc>
        <w:tc>
          <w:tcPr>
            <w:tcW w:w="1455" w:type="dxa"/>
            <w:tcBorders>
              <w:top w:val="thickThinMediumGap" w:sz="4" w:space="0" w:color="000000"/>
            </w:tcBorders>
          </w:tcPr>
          <w:p w14:paraId="457593BC" w14:textId="77777777" w:rsidR="00FA4AA8" w:rsidRDefault="00FA4AA8">
            <w:pPr>
              <w:pStyle w:val="TableParagraph"/>
              <w:rPr>
                <w:b/>
                <w:sz w:val="20"/>
              </w:rPr>
            </w:pPr>
          </w:p>
          <w:p w14:paraId="4AB17E25" w14:textId="77777777" w:rsidR="00FA4AA8" w:rsidRDefault="0015611F">
            <w:pPr>
              <w:pStyle w:val="TableParagraph"/>
              <w:spacing w:before="132"/>
              <w:ind w:right="246"/>
              <w:jc w:val="right"/>
              <w:rPr>
                <w:b/>
                <w:sz w:val="18"/>
              </w:rPr>
            </w:pPr>
            <w:r>
              <w:rPr>
                <w:b/>
                <w:sz w:val="18"/>
              </w:rPr>
              <w:t>3,607</w:t>
            </w:r>
          </w:p>
        </w:tc>
        <w:tc>
          <w:tcPr>
            <w:tcW w:w="1138" w:type="dxa"/>
            <w:tcBorders>
              <w:top w:val="thickThinMediumGap" w:sz="4" w:space="0" w:color="000000"/>
            </w:tcBorders>
          </w:tcPr>
          <w:p w14:paraId="16412C08" w14:textId="77777777" w:rsidR="00FA4AA8" w:rsidRDefault="00FA4AA8">
            <w:pPr>
              <w:pStyle w:val="TableParagraph"/>
              <w:rPr>
                <w:b/>
                <w:sz w:val="20"/>
              </w:rPr>
            </w:pPr>
          </w:p>
          <w:p w14:paraId="5D42F989" w14:textId="77777777" w:rsidR="00FA4AA8" w:rsidRDefault="0015611F">
            <w:pPr>
              <w:pStyle w:val="TableParagraph"/>
              <w:spacing w:before="132"/>
              <w:ind w:right="83"/>
              <w:jc w:val="right"/>
              <w:rPr>
                <w:sz w:val="18"/>
              </w:rPr>
            </w:pPr>
            <w:r>
              <w:rPr>
                <w:sz w:val="18"/>
              </w:rPr>
              <w:t>6,999</w:t>
            </w:r>
          </w:p>
        </w:tc>
      </w:tr>
      <w:tr w:rsidR="00FA4AA8" w14:paraId="531F179A" w14:textId="77777777">
        <w:trPr>
          <w:trHeight w:val="258"/>
        </w:trPr>
        <w:tc>
          <w:tcPr>
            <w:tcW w:w="7368" w:type="dxa"/>
            <w:gridSpan w:val="2"/>
          </w:tcPr>
          <w:p w14:paraId="5C967608" w14:textId="77777777" w:rsidR="00FA4AA8" w:rsidRDefault="0015611F">
            <w:pPr>
              <w:pStyle w:val="TableParagraph"/>
              <w:spacing w:before="24"/>
              <w:ind w:left="445"/>
              <w:rPr>
                <w:sz w:val="18"/>
              </w:rPr>
            </w:pPr>
            <w:r>
              <w:rPr>
                <w:sz w:val="18"/>
              </w:rPr>
              <w:t>Other revenue</w:t>
            </w:r>
          </w:p>
        </w:tc>
        <w:tc>
          <w:tcPr>
            <w:tcW w:w="1455" w:type="dxa"/>
            <w:tcBorders>
              <w:bottom w:val="single" w:sz="8" w:space="0" w:color="000000"/>
            </w:tcBorders>
          </w:tcPr>
          <w:p w14:paraId="133B0652" w14:textId="77777777" w:rsidR="00FA4AA8" w:rsidRDefault="0015611F">
            <w:pPr>
              <w:pStyle w:val="TableParagraph"/>
              <w:spacing w:before="26"/>
              <w:ind w:right="246"/>
              <w:jc w:val="right"/>
              <w:rPr>
                <w:b/>
                <w:sz w:val="18"/>
              </w:rPr>
            </w:pPr>
            <w:r>
              <w:rPr>
                <w:b/>
                <w:sz w:val="18"/>
              </w:rPr>
              <w:t>376,342</w:t>
            </w:r>
          </w:p>
        </w:tc>
        <w:tc>
          <w:tcPr>
            <w:tcW w:w="1138" w:type="dxa"/>
            <w:tcBorders>
              <w:bottom w:val="single" w:sz="8" w:space="0" w:color="000000"/>
            </w:tcBorders>
          </w:tcPr>
          <w:p w14:paraId="5A6E4377" w14:textId="77777777" w:rsidR="00FA4AA8" w:rsidRDefault="0015611F">
            <w:pPr>
              <w:pStyle w:val="TableParagraph"/>
              <w:spacing w:before="26"/>
              <w:ind w:right="83"/>
              <w:jc w:val="right"/>
              <w:rPr>
                <w:sz w:val="18"/>
              </w:rPr>
            </w:pPr>
            <w:r>
              <w:rPr>
                <w:sz w:val="18"/>
              </w:rPr>
              <w:t>733,618</w:t>
            </w:r>
          </w:p>
        </w:tc>
      </w:tr>
      <w:tr w:rsidR="00FA4AA8" w14:paraId="02613D9D" w14:textId="77777777">
        <w:trPr>
          <w:trHeight w:val="318"/>
        </w:trPr>
        <w:tc>
          <w:tcPr>
            <w:tcW w:w="7368" w:type="dxa"/>
            <w:gridSpan w:val="2"/>
          </w:tcPr>
          <w:p w14:paraId="6AD953F2" w14:textId="77777777" w:rsidR="00FA4AA8" w:rsidRDefault="0015611F">
            <w:pPr>
              <w:pStyle w:val="TableParagraph"/>
              <w:spacing w:before="115" w:line="183" w:lineRule="exact"/>
              <w:ind w:left="445"/>
              <w:rPr>
                <w:b/>
                <w:sz w:val="18"/>
              </w:rPr>
            </w:pPr>
            <w:r>
              <w:rPr>
                <w:b/>
                <w:sz w:val="18"/>
              </w:rPr>
              <w:t>Total other revenue</w:t>
            </w:r>
          </w:p>
        </w:tc>
        <w:tc>
          <w:tcPr>
            <w:tcW w:w="1455" w:type="dxa"/>
            <w:tcBorders>
              <w:top w:val="single" w:sz="8" w:space="0" w:color="000000"/>
              <w:bottom w:val="single" w:sz="8" w:space="0" w:color="000000"/>
            </w:tcBorders>
          </w:tcPr>
          <w:p w14:paraId="2E76656C" w14:textId="77777777" w:rsidR="00FA4AA8" w:rsidRDefault="0015611F">
            <w:pPr>
              <w:pStyle w:val="TableParagraph"/>
              <w:spacing w:before="115" w:line="183" w:lineRule="exact"/>
              <w:ind w:right="246"/>
              <w:jc w:val="right"/>
              <w:rPr>
                <w:b/>
                <w:sz w:val="18"/>
              </w:rPr>
            </w:pPr>
            <w:r>
              <w:rPr>
                <w:b/>
                <w:sz w:val="18"/>
              </w:rPr>
              <w:t>379,949</w:t>
            </w:r>
          </w:p>
        </w:tc>
        <w:tc>
          <w:tcPr>
            <w:tcW w:w="1138" w:type="dxa"/>
            <w:tcBorders>
              <w:top w:val="single" w:sz="8" w:space="0" w:color="000000"/>
              <w:bottom w:val="single" w:sz="8" w:space="0" w:color="000000"/>
            </w:tcBorders>
          </w:tcPr>
          <w:p w14:paraId="0F1DB97A" w14:textId="77777777" w:rsidR="00FA4AA8" w:rsidRDefault="0015611F">
            <w:pPr>
              <w:pStyle w:val="TableParagraph"/>
              <w:spacing w:before="115" w:line="183" w:lineRule="exact"/>
              <w:ind w:right="83"/>
              <w:jc w:val="right"/>
              <w:rPr>
                <w:sz w:val="18"/>
              </w:rPr>
            </w:pPr>
            <w:r>
              <w:rPr>
                <w:sz w:val="18"/>
              </w:rPr>
              <w:t>740,617</w:t>
            </w:r>
          </w:p>
        </w:tc>
      </w:tr>
      <w:tr w:rsidR="00FA4AA8" w14:paraId="3CB18DA5" w14:textId="77777777">
        <w:trPr>
          <w:trHeight w:val="320"/>
        </w:trPr>
        <w:tc>
          <w:tcPr>
            <w:tcW w:w="7368" w:type="dxa"/>
            <w:gridSpan w:val="2"/>
          </w:tcPr>
          <w:p w14:paraId="67855DAA" w14:textId="77777777" w:rsidR="00FA4AA8" w:rsidRDefault="0015611F">
            <w:pPr>
              <w:pStyle w:val="TableParagraph"/>
              <w:spacing w:before="115" w:line="185" w:lineRule="exact"/>
              <w:ind w:left="446"/>
              <w:rPr>
                <w:b/>
                <w:sz w:val="18"/>
              </w:rPr>
            </w:pPr>
            <w:r>
              <w:rPr>
                <w:b/>
                <w:sz w:val="18"/>
              </w:rPr>
              <w:t>Total revenue from operations</w:t>
            </w:r>
          </w:p>
        </w:tc>
        <w:tc>
          <w:tcPr>
            <w:tcW w:w="1455" w:type="dxa"/>
            <w:tcBorders>
              <w:top w:val="single" w:sz="8" w:space="0" w:color="000000"/>
              <w:bottom w:val="double" w:sz="2" w:space="0" w:color="000000"/>
            </w:tcBorders>
          </w:tcPr>
          <w:p w14:paraId="0267345B" w14:textId="77777777" w:rsidR="00FA4AA8" w:rsidRDefault="0015611F">
            <w:pPr>
              <w:pStyle w:val="TableParagraph"/>
              <w:spacing w:before="115" w:line="185" w:lineRule="exact"/>
              <w:ind w:right="246"/>
              <w:jc w:val="right"/>
              <w:rPr>
                <w:b/>
                <w:sz w:val="18"/>
              </w:rPr>
            </w:pPr>
            <w:r>
              <w:rPr>
                <w:b/>
                <w:sz w:val="18"/>
              </w:rPr>
              <w:t>5,702,877</w:t>
            </w:r>
          </w:p>
        </w:tc>
        <w:tc>
          <w:tcPr>
            <w:tcW w:w="1138" w:type="dxa"/>
            <w:tcBorders>
              <w:top w:val="single" w:sz="8" w:space="0" w:color="000000"/>
              <w:bottom w:val="double" w:sz="2" w:space="0" w:color="000000"/>
            </w:tcBorders>
          </w:tcPr>
          <w:p w14:paraId="4C503943" w14:textId="77777777" w:rsidR="00FA4AA8" w:rsidRDefault="0015611F">
            <w:pPr>
              <w:pStyle w:val="TableParagraph"/>
              <w:spacing w:before="115" w:line="185" w:lineRule="exact"/>
              <w:ind w:right="83"/>
              <w:jc w:val="right"/>
              <w:rPr>
                <w:sz w:val="18"/>
              </w:rPr>
            </w:pPr>
            <w:r>
              <w:rPr>
                <w:sz w:val="18"/>
              </w:rPr>
              <w:t>9,461,346</w:t>
            </w:r>
          </w:p>
        </w:tc>
      </w:tr>
      <w:tr w:rsidR="00FA4AA8" w14:paraId="2E590BA7" w14:textId="77777777">
        <w:trPr>
          <w:trHeight w:val="499"/>
        </w:trPr>
        <w:tc>
          <w:tcPr>
            <w:tcW w:w="7368" w:type="dxa"/>
            <w:gridSpan w:val="2"/>
          </w:tcPr>
          <w:p w14:paraId="0293B64E" w14:textId="77777777" w:rsidR="00FA4AA8" w:rsidRDefault="00FA4AA8">
            <w:pPr>
              <w:pStyle w:val="TableParagraph"/>
              <w:spacing w:before="4"/>
              <w:rPr>
                <w:b/>
                <w:sz w:val="25"/>
              </w:rPr>
            </w:pPr>
          </w:p>
          <w:p w14:paraId="77C58D1F" w14:textId="77777777" w:rsidR="00FA4AA8" w:rsidRDefault="0015611F">
            <w:pPr>
              <w:pStyle w:val="TableParagraph"/>
              <w:spacing w:line="187" w:lineRule="exact"/>
              <w:ind w:left="446"/>
              <w:rPr>
                <w:i/>
                <w:sz w:val="18"/>
              </w:rPr>
            </w:pPr>
            <w:r>
              <w:rPr>
                <w:i/>
                <w:sz w:val="18"/>
                <w:u w:val="single"/>
              </w:rPr>
              <w:t>Accounting policy</w:t>
            </w:r>
          </w:p>
        </w:tc>
        <w:tc>
          <w:tcPr>
            <w:tcW w:w="1455" w:type="dxa"/>
            <w:tcBorders>
              <w:top w:val="double" w:sz="2" w:space="0" w:color="000000"/>
            </w:tcBorders>
          </w:tcPr>
          <w:p w14:paraId="70C3E6B5" w14:textId="77777777" w:rsidR="00FA4AA8" w:rsidRDefault="00FA4AA8">
            <w:pPr>
              <w:pStyle w:val="TableParagraph"/>
              <w:rPr>
                <w:rFonts w:ascii="Times New Roman"/>
                <w:sz w:val="18"/>
              </w:rPr>
            </w:pPr>
          </w:p>
        </w:tc>
        <w:tc>
          <w:tcPr>
            <w:tcW w:w="1138" w:type="dxa"/>
            <w:tcBorders>
              <w:top w:val="double" w:sz="2" w:space="0" w:color="000000"/>
            </w:tcBorders>
          </w:tcPr>
          <w:p w14:paraId="267695AE" w14:textId="77777777" w:rsidR="00FA4AA8" w:rsidRDefault="00FA4AA8">
            <w:pPr>
              <w:pStyle w:val="TableParagraph"/>
              <w:rPr>
                <w:rFonts w:ascii="Times New Roman"/>
                <w:sz w:val="18"/>
              </w:rPr>
            </w:pPr>
          </w:p>
        </w:tc>
      </w:tr>
    </w:tbl>
    <w:p w14:paraId="2920DE89" w14:textId="77777777" w:rsidR="00FA4AA8" w:rsidRDefault="00FA4AA8">
      <w:pPr>
        <w:pStyle w:val="BodyText"/>
        <w:spacing w:before="9"/>
        <w:rPr>
          <w:b/>
          <w:sz w:val="16"/>
        </w:rPr>
      </w:pPr>
    </w:p>
    <w:p w14:paraId="6D05F194" w14:textId="77777777" w:rsidR="00FA4AA8" w:rsidRDefault="0015611F">
      <w:pPr>
        <w:pStyle w:val="BodyText"/>
        <w:spacing w:before="94"/>
        <w:ind w:left="564" w:right="201"/>
      </w:pPr>
      <w:r>
        <w:t>The Company recognises revenue when the amount can be reliably measured, it is probable that future economic benefits will flow to the Company and specific criteria have been met for each of the Company's activities as described below. The Company bases its estimates on historical results, taking into consideration the type of customer, the type of transaction and the specifics of each arrangement.</w:t>
      </w:r>
    </w:p>
    <w:p w14:paraId="1811A35E" w14:textId="77777777" w:rsidR="00FA4AA8" w:rsidRDefault="00FA4AA8">
      <w:pPr>
        <w:pStyle w:val="BodyText"/>
        <w:spacing w:before="10"/>
        <w:rPr>
          <w:sz w:val="24"/>
        </w:rPr>
      </w:pPr>
    </w:p>
    <w:p w14:paraId="77B51680" w14:textId="77777777" w:rsidR="00FA4AA8" w:rsidRDefault="0015611F">
      <w:pPr>
        <w:pStyle w:val="BodyText"/>
        <w:ind w:left="564" w:right="256"/>
      </w:pPr>
      <w:r>
        <w:t>Revenue is measured at the fair value of the consideration received or receivable. Amounts disclosed as revenue are net of returns, trade allowances, rebates and amounts collected on behalf of third parties.</w:t>
      </w:r>
    </w:p>
    <w:p w14:paraId="792D2608" w14:textId="77777777" w:rsidR="00FA4AA8" w:rsidRDefault="00FA4AA8">
      <w:pPr>
        <w:pStyle w:val="BodyText"/>
        <w:spacing w:before="10"/>
        <w:rPr>
          <w:sz w:val="24"/>
        </w:rPr>
      </w:pPr>
    </w:p>
    <w:p w14:paraId="5418F2B9" w14:textId="77777777" w:rsidR="00FA4AA8" w:rsidRDefault="0015611F">
      <w:pPr>
        <w:numPr>
          <w:ilvl w:val="0"/>
          <w:numId w:val="56"/>
        </w:numPr>
        <w:tabs>
          <w:tab w:val="left" w:pos="786"/>
        </w:tabs>
        <w:spacing w:before="1"/>
        <w:rPr>
          <w:b/>
          <w:sz w:val="18"/>
        </w:rPr>
      </w:pPr>
      <w:r>
        <w:rPr>
          <w:b/>
          <w:sz w:val="18"/>
        </w:rPr>
        <w:t>Sale of goods and rendering of services</w:t>
      </w:r>
    </w:p>
    <w:p w14:paraId="5C2479BF" w14:textId="77777777" w:rsidR="00FA4AA8" w:rsidRDefault="00FA4AA8">
      <w:pPr>
        <w:pStyle w:val="BodyText"/>
        <w:spacing w:before="11"/>
        <w:rPr>
          <w:b/>
          <w:sz w:val="24"/>
        </w:rPr>
      </w:pPr>
    </w:p>
    <w:p w14:paraId="7E5F8CB8" w14:textId="77777777" w:rsidR="00FA4AA8" w:rsidRDefault="0015611F">
      <w:pPr>
        <w:pStyle w:val="BodyText"/>
        <w:ind w:left="564" w:right="723"/>
        <w:jc w:val="both"/>
      </w:pPr>
      <w:r>
        <w:t>A sale is recorded when goods have been delivered to the customer, the customer has accepted the goods and collectability of the related receivables is probable. Revenue from rendering of services is recognised when that service has been provided.</w:t>
      </w:r>
    </w:p>
    <w:p w14:paraId="32A6641C" w14:textId="77777777" w:rsidR="00FA4AA8" w:rsidRDefault="00FA4AA8">
      <w:pPr>
        <w:pStyle w:val="BodyText"/>
        <w:spacing w:before="10"/>
        <w:rPr>
          <w:sz w:val="24"/>
        </w:rPr>
      </w:pPr>
    </w:p>
    <w:p w14:paraId="345B43FD" w14:textId="77777777" w:rsidR="00FA4AA8" w:rsidRDefault="0015611F">
      <w:pPr>
        <w:numPr>
          <w:ilvl w:val="0"/>
          <w:numId w:val="56"/>
        </w:numPr>
        <w:tabs>
          <w:tab w:val="left" w:pos="835"/>
        </w:tabs>
        <w:ind w:left="834" w:hanging="271"/>
        <w:rPr>
          <w:b/>
          <w:sz w:val="18"/>
        </w:rPr>
      </w:pPr>
      <w:r>
        <w:rPr>
          <w:b/>
          <w:sz w:val="18"/>
        </w:rPr>
        <w:t>Other revenue</w:t>
      </w:r>
    </w:p>
    <w:p w14:paraId="2C4C1522" w14:textId="77777777" w:rsidR="00FA4AA8" w:rsidRDefault="00FA4AA8">
      <w:pPr>
        <w:pStyle w:val="BodyText"/>
        <w:rPr>
          <w:b/>
          <w:sz w:val="25"/>
        </w:rPr>
      </w:pPr>
    </w:p>
    <w:p w14:paraId="7DD3731E" w14:textId="77777777" w:rsidR="00FA4AA8" w:rsidRDefault="0015611F">
      <w:pPr>
        <w:pStyle w:val="BodyText"/>
        <w:ind w:left="564"/>
        <w:jc w:val="both"/>
      </w:pPr>
      <w:r>
        <w:t>All other material revenue is accounted for on an accrual basis.</w:t>
      </w:r>
    </w:p>
    <w:p w14:paraId="33F447D3" w14:textId="77777777" w:rsidR="00FA4AA8" w:rsidRDefault="00FA4AA8">
      <w:pPr>
        <w:jc w:val="both"/>
        <w:sectPr w:rsidR="00FA4AA8">
          <w:pgSz w:w="11910" w:h="16840"/>
          <w:pgMar w:top="1460" w:right="840" w:bottom="720" w:left="840" w:header="1016" w:footer="523" w:gutter="0"/>
          <w:cols w:space="720"/>
        </w:sectPr>
      </w:pPr>
    </w:p>
    <w:p w14:paraId="3D74424B" w14:textId="77777777" w:rsidR="00FA4AA8" w:rsidRDefault="00FA4AA8">
      <w:pPr>
        <w:pStyle w:val="BodyText"/>
        <w:spacing w:before="6"/>
        <w:rPr>
          <w:sz w:val="21"/>
        </w:rPr>
      </w:pPr>
    </w:p>
    <w:p w14:paraId="30200C84" w14:textId="77777777" w:rsidR="00FA4AA8" w:rsidRDefault="0015611F">
      <w:pPr>
        <w:pStyle w:val="Heading2"/>
      </w:pPr>
      <w:bookmarkStart w:id="152" w:name="3_Gain_on_disposal_of_assets_"/>
      <w:bookmarkEnd w:id="152"/>
      <w:r>
        <w:t>Notes to the Financial Statements</w:t>
      </w:r>
    </w:p>
    <w:p w14:paraId="588CF28D" w14:textId="77777777" w:rsidR="00FA4AA8" w:rsidRDefault="0015611F">
      <w:pPr>
        <w:pStyle w:val="Heading6"/>
        <w:ind w:left="167"/>
      </w:pPr>
      <w:r>
        <w:t>For the Year Ended 31 December 2018</w:t>
      </w:r>
    </w:p>
    <w:p w14:paraId="3241F9D1" w14:textId="77777777" w:rsidR="00FA4AA8" w:rsidRDefault="00FA4AA8">
      <w:pPr>
        <w:pStyle w:val="BodyText"/>
        <w:rPr>
          <w:b/>
          <w:sz w:val="20"/>
        </w:rPr>
      </w:pPr>
    </w:p>
    <w:p w14:paraId="2819A4AA" w14:textId="77777777" w:rsidR="00FA4AA8" w:rsidRDefault="00FA4AA8">
      <w:pPr>
        <w:pStyle w:val="BodyText"/>
        <w:spacing w:before="9"/>
        <w:rPr>
          <w:b/>
          <w:sz w:val="16"/>
        </w:rPr>
      </w:pPr>
    </w:p>
    <w:tbl>
      <w:tblPr>
        <w:tblW w:w="0" w:type="auto"/>
        <w:tblInd w:w="127" w:type="dxa"/>
        <w:tblLayout w:type="fixed"/>
        <w:tblCellMar>
          <w:left w:w="0" w:type="dxa"/>
          <w:right w:w="0" w:type="dxa"/>
        </w:tblCellMar>
        <w:tblLook w:val="01E0" w:firstRow="1" w:lastRow="1" w:firstColumn="1" w:lastColumn="1" w:noHBand="0" w:noVBand="0"/>
      </w:tblPr>
      <w:tblGrid>
        <w:gridCol w:w="297"/>
        <w:gridCol w:w="7071"/>
        <w:gridCol w:w="1499"/>
        <w:gridCol w:w="1093"/>
      </w:tblGrid>
      <w:tr w:rsidR="00FA4AA8" w14:paraId="7B69BB7B" w14:textId="77777777">
        <w:trPr>
          <w:trHeight w:val="530"/>
        </w:trPr>
        <w:tc>
          <w:tcPr>
            <w:tcW w:w="297" w:type="dxa"/>
          </w:tcPr>
          <w:p w14:paraId="7ACECA26" w14:textId="77777777" w:rsidR="00FA4AA8" w:rsidRDefault="0015611F">
            <w:pPr>
              <w:pStyle w:val="TableParagraph"/>
              <w:spacing w:line="201" w:lineRule="exact"/>
              <w:ind w:left="50"/>
              <w:rPr>
                <w:b/>
                <w:sz w:val="18"/>
              </w:rPr>
            </w:pPr>
            <w:r>
              <w:rPr>
                <w:b/>
                <w:sz w:val="18"/>
              </w:rPr>
              <w:t>3</w:t>
            </w:r>
          </w:p>
        </w:tc>
        <w:tc>
          <w:tcPr>
            <w:tcW w:w="7071" w:type="dxa"/>
          </w:tcPr>
          <w:p w14:paraId="6A2DFD14" w14:textId="77777777" w:rsidR="00FA4AA8" w:rsidRDefault="0015611F">
            <w:pPr>
              <w:pStyle w:val="TableParagraph"/>
              <w:spacing w:line="201" w:lineRule="exact"/>
              <w:ind w:left="146"/>
              <w:rPr>
                <w:b/>
                <w:sz w:val="18"/>
              </w:rPr>
            </w:pPr>
            <w:r>
              <w:rPr>
                <w:b/>
                <w:sz w:val="18"/>
              </w:rPr>
              <w:t>Gain on disposal of assets</w:t>
            </w:r>
          </w:p>
        </w:tc>
        <w:tc>
          <w:tcPr>
            <w:tcW w:w="1499" w:type="dxa"/>
          </w:tcPr>
          <w:p w14:paraId="0152CA0D" w14:textId="77777777" w:rsidR="00FA4AA8" w:rsidRDefault="00FA4AA8">
            <w:pPr>
              <w:pStyle w:val="TableParagraph"/>
              <w:rPr>
                <w:rFonts w:ascii="Times New Roman"/>
                <w:sz w:val="18"/>
              </w:rPr>
            </w:pPr>
          </w:p>
        </w:tc>
        <w:tc>
          <w:tcPr>
            <w:tcW w:w="1093" w:type="dxa"/>
          </w:tcPr>
          <w:p w14:paraId="601E09C5" w14:textId="77777777" w:rsidR="00FA4AA8" w:rsidRDefault="00FA4AA8">
            <w:pPr>
              <w:pStyle w:val="TableParagraph"/>
              <w:rPr>
                <w:rFonts w:ascii="Times New Roman"/>
                <w:sz w:val="18"/>
              </w:rPr>
            </w:pPr>
          </w:p>
        </w:tc>
      </w:tr>
      <w:tr w:rsidR="00FA4AA8" w14:paraId="15FFE8DE" w14:textId="77777777">
        <w:trPr>
          <w:trHeight w:val="566"/>
        </w:trPr>
        <w:tc>
          <w:tcPr>
            <w:tcW w:w="297" w:type="dxa"/>
          </w:tcPr>
          <w:p w14:paraId="224A5F16" w14:textId="77777777" w:rsidR="00FA4AA8" w:rsidRDefault="00FA4AA8">
            <w:pPr>
              <w:pStyle w:val="TableParagraph"/>
              <w:rPr>
                <w:rFonts w:ascii="Times New Roman"/>
                <w:sz w:val="18"/>
              </w:rPr>
            </w:pPr>
          </w:p>
        </w:tc>
        <w:tc>
          <w:tcPr>
            <w:tcW w:w="7071" w:type="dxa"/>
          </w:tcPr>
          <w:p w14:paraId="1A2E9D25" w14:textId="77777777" w:rsidR="00FA4AA8" w:rsidRDefault="00FA4AA8">
            <w:pPr>
              <w:pStyle w:val="TableParagraph"/>
              <w:rPr>
                <w:rFonts w:ascii="Times New Roman"/>
                <w:sz w:val="18"/>
              </w:rPr>
            </w:pPr>
          </w:p>
        </w:tc>
        <w:tc>
          <w:tcPr>
            <w:tcW w:w="1499" w:type="dxa"/>
          </w:tcPr>
          <w:p w14:paraId="094F593B" w14:textId="77777777" w:rsidR="00FA4AA8" w:rsidRDefault="00FA4AA8">
            <w:pPr>
              <w:pStyle w:val="TableParagraph"/>
              <w:spacing w:before="1"/>
              <w:rPr>
                <w:b/>
                <w:sz w:val="28"/>
              </w:rPr>
            </w:pPr>
          </w:p>
          <w:p w14:paraId="441ED62B" w14:textId="77777777" w:rsidR="00FA4AA8" w:rsidRDefault="0015611F">
            <w:pPr>
              <w:pStyle w:val="TableParagraph"/>
              <w:ind w:left="431"/>
              <w:rPr>
                <w:b/>
                <w:sz w:val="18"/>
              </w:rPr>
            </w:pPr>
            <w:r>
              <w:rPr>
                <w:b/>
                <w:sz w:val="18"/>
              </w:rPr>
              <w:t>2018</w:t>
            </w:r>
          </w:p>
        </w:tc>
        <w:tc>
          <w:tcPr>
            <w:tcW w:w="1093" w:type="dxa"/>
          </w:tcPr>
          <w:p w14:paraId="6E0B1020" w14:textId="77777777" w:rsidR="00FA4AA8" w:rsidRDefault="00FA4AA8">
            <w:pPr>
              <w:pStyle w:val="TableParagraph"/>
              <w:spacing w:before="1"/>
              <w:rPr>
                <w:b/>
                <w:sz w:val="28"/>
              </w:rPr>
            </w:pPr>
          </w:p>
          <w:p w14:paraId="39769A08" w14:textId="77777777" w:rsidR="00FA4AA8" w:rsidRDefault="0015611F">
            <w:pPr>
              <w:pStyle w:val="TableParagraph"/>
              <w:ind w:left="228"/>
              <w:rPr>
                <w:b/>
                <w:sz w:val="18"/>
              </w:rPr>
            </w:pPr>
            <w:r>
              <w:rPr>
                <w:b/>
                <w:sz w:val="18"/>
              </w:rPr>
              <w:t>2017</w:t>
            </w:r>
          </w:p>
        </w:tc>
      </w:tr>
      <w:tr w:rsidR="00FA4AA8" w14:paraId="4A9CBF39" w14:textId="77777777">
        <w:trPr>
          <w:trHeight w:val="271"/>
        </w:trPr>
        <w:tc>
          <w:tcPr>
            <w:tcW w:w="297" w:type="dxa"/>
          </w:tcPr>
          <w:p w14:paraId="15955CD3" w14:textId="77777777" w:rsidR="00FA4AA8" w:rsidRDefault="00FA4AA8">
            <w:pPr>
              <w:pStyle w:val="TableParagraph"/>
              <w:rPr>
                <w:rFonts w:ascii="Times New Roman"/>
                <w:sz w:val="18"/>
              </w:rPr>
            </w:pPr>
          </w:p>
        </w:tc>
        <w:tc>
          <w:tcPr>
            <w:tcW w:w="7071" w:type="dxa"/>
          </w:tcPr>
          <w:p w14:paraId="1E16CBC4" w14:textId="77777777" w:rsidR="00FA4AA8" w:rsidRDefault="00FA4AA8">
            <w:pPr>
              <w:pStyle w:val="TableParagraph"/>
              <w:rPr>
                <w:rFonts w:ascii="Times New Roman"/>
                <w:sz w:val="18"/>
              </w:rPr>
            </w:pPr>
          </w:p>
        </w:tc>
        <w:tc>
          <w:tcPr>
            <w:tcW w:w="1499" w:type="dxa"/>
          </w:tcPr>
          <w:p w14:paraId="6B93F21F" w14:textId="77777777" w:rsidR="00FA4AA8" w:rsidRDefault="0015611F">
            <w:pPr>
              <w:pStyle w:val="TableParagraph"/>
              <w:spacing w:before="30"/>
              <w:ind w:right="231"/>
              <w:jc w:val="center"/>
              <w:rPr>
                <w:b/>
                <w:sz w:val="18"/>
              </w:rPr>
            </w:pPr>
            <w:r>
              <w:rPr>
                <w:b/>
                <w:sz w:val="18"/>
              </w:rPr>
              <w:t>$</w:t>
            </w:r>
          </w:p>
        </w:tc>
        <w:tc>
          <w:tcPr>
            <w:tcW w:w="1093" w:type="dxa"/>
          </w:tcPr>
          <w:p w14:paraId="25BC79E3" w14:textId="77777777" w:rsidR="00FA4AA8" w:rsidRDefault="0015611F">
            <w:pPr>
              <w:pStyle w:val="TableParagraph"/>
              <w:spacing w:before="30"/>
              <w:ind w:right="231"/>
              <w:jc w:val="center"/>
              <w:rPr>
                <w:b/>
                <w:sz w:val="18"/>
              </w:rPr>
            </w:pPr>
            <w:r>
              <w:rPr>
                <w:b/>
                <w:sz w:val="18"/>
              </w:rPr>
              <w:t>$</w:t>
            </w:r>
          </w:p>
        </w:tc>
      </w:tr>
      <w:tr w:rsidR="00FA4AA8" w14:paraId="2BF81B0D" w14:textId="77777777">
        <w:trPr>
          <w:trHeight w:val="267"/>
        </w:trPr>
        <w:tc>
          <w:tcPr>
            <w:tcW w:w="297" w:type="dxa"/>
          </w:tcPr>
          <w:p w14:paraId="7A60CBAA" w14:textId="77777777" w:rsidR="00FA4AA8" w:rsidRDefault="00FA4AA8">
            <w:pPr>
              <w:pStyle w:val="TableParagraph"/>
              <w:rPr>
                <w:rFonts w:ascii="Times New Roman"/>
                <w:sz w:val="18"/>
              </w:rPr>
            </w:pPr>
          </w:p>
        </w:tc>
        <w:tc>
          <w:tcPr>
            <w:tcW w:w="7071" w:type="dxa"/>
          </w:tcPr>
          <w:p w14:paraId="6E72306A" w14:textId="77777777" w:rsidR="00FA4AA8" w:rsidRDefault="0015611F">
            <w:pPr>
              <w:pStyle w:val="TableParagraph"/>
              <w:spacing w:before="30"/>
              <w:ind w:left="146"/>
              <w:rPr>
                <w:sz w:val="18"/>
              </w:rPr>
            </w:pPr>
            <w:r>
              <w:rPr>
                <w:sz w:val="18"/>
              </w:rPr>
              <w:t>Proceeds from sale</w:t>
            </w:r>
          </w:p>
        </w:tc>
        <w:tc>
          <w:tcPr>
            <w:tcW w:w="1499" w:type="dxa"/>
          </w:tcPr>
          <w:p w14:paraId="2DB855DC" w14:textId="77777777" w:rsidR="00FA4AA8" w:rsidRDefault="0015611F">
            <w:pPr>
              <w:pStyle w:val="TableParagraph"/>
              <w:spacing w:before="28"/>
              <w:ind w:right="288"/>
              <w:jc w:val="right"/>
              <w:rPr>
                <w:b/>
                <w:sz w:val="18"/>
              </w:rPr>
            </w:pPr>
            <w:r>
              <w:rPr>
                <w:b/>
                <w:sz w:val="18"/>
              </w:rPr>
              <w:t>20,272</w:t>
            </w:r>
          </w:p>
        </w:tc>
        <w:tc>
          <w:tcPr>
            <w:tcW w:w="1093" w:type="dxa"/>
          </w:tcPr>
          <w:p w14:paraId="13C29C6F" w14:textId="77777777" w:rsidR="00FA4AA8" w:rsidRDefault="0015611F">
            <w:pPr>
              <w:pStyle w:val="TableParagraph"/>
              <w:spacing w:before="28"/>
              <w:ind w:left="351"/>
              <w:rPr>
                <w:sz w:val="18"/>
              </w:rPr>
            </w:pPr>
            <w:r>
              <w:rPr>
                <w:sz w:val="18"/>
              </w:rPr>
              <w:t>234,350</w:t>
            </w:r>
          </w:p>
        </w:tc>
      </w:tr>
      <w:tr w:rsidR="00FA4AA8" w14:paraId="483F1F21" w14:textId="77777777">
        <w:trPr>
          <w:trHeight w:val="256"/>
        </w:trPr>
        <w:tc>
          <w:tcPr>
            <w:tcW w:w="297" w:type="dxa"/>
          </w:tcPr>
          <w:p w14:paraId="68329B8F" w14:textId="77777777" w:rsidR="00FA4AA8" w:rsidRDefault="00FA4AA8">
            <w:pPr>
              <w:pStyle w:val="TableParagraph"/>
              <w:rPr>
                <w:rFonts w:ascii="Times New Roman"/>
                <w:sz w:val="18"/>
              </w:rPr>
            </w:pPr>
          </w:p>
        </w:tc>
        <w:tc>
          <w:tcPr>
            <w:tcW w:w="7071" w:type="dxa"/>
          </w:tcPr>
          <w:p w14:paraId="7886B4FB" w14:textId="77777777" w:rsidR="00FA4AA8" w:rsidRDefault="0015611F">
            <w:pPr>
              <w:pStyle w:val="TableParagraph"/>
              <w:spacing w:before="26"/>
              <w:ind w:left="146"/>
              <w:rPr>
                <w:sz w:val="18"/>
              </w:rPr>
            </w:pPr>
            <w:r>
              <w:rPr>
                <w:sz w:val="18"/>
              </w:rPr>
              <w:t>Carrying amount of assets sold</w:t>
            </w:r>
          </w:p>
        </w:tc>
        <w:tc>
          <w:tcPr>
            <w:tcW w:w="1499" w:type="dxa"/>
            <w:tcBorders>
              <w:bottom w:val="single" w:sz="8" w:space="0" w:color="000000"/>
            </w:tcBorders>
          </w:tcPr>
          <w:p w14:paraId="62DA00EF" w14:textId="77777777" w:rsidR="00FA4AA8" w:rsidRDefault="0015611F">
            <w:pPr>
              <w:pStyle w:val="TableParagraph"/>
              <w:spacing w:before="24"/>
              <w:ind w:right="227"/>
              <w:jc w:val="right"/>
              <w:rPr>
                <w:b/>
                <w:sz w:val="18"/>
              </w:rPr>
            </w:pPr>
            <w:r>
              <w:rPr>
                <w:b/>
                <w:sz w:val="18"/>
              </w:rPr>
              <w:t>(2,056)</w:t>
            </w:r>
          </w:p>
        </w:tc>
        <w:tc>
          <w:tcPr>
            <w:tcW w:w="1093" w:type="dxa"/>
            <w:tcBorders>
              <w:bottom w:val="single" w:sz="8" w:space="0" w:color="000000"/>
            </w:tcBorders>
          </w:tcPr>
          <w:p w14:paraId="6062C57C" w14:textId="77777777" w:rsidR="00FA4AA8" w:rsidRDefault="0015611F">
            <w:pPr>
              <w:pStyle w:val="TableParagraph"/>
              <w:spacing w:before="24"/>
              <w:ind w:left="291"/>
              <w:rPr>
                <w:sz w:val="18"/>
              </w:rPr>
            </w:pPr>
            <w:r>
              <w:rPr>
                <w:sz w:val="18"/>
              </w:rPr>
              <w:t>(148,754)</w:t>
            </w:r>
          </w:p>
        </w:tc>
      </w:tr>
      <w:tr w:rsidR="00FA4AA8" w14:paraId="01768A26" w14:textId="77777777">
        <w:trPr>
          <w:trHeight w:val="320"/>
        </w:trPr>
        <w:tc>
          <w:tcPr>
            <w:tcW w:w="297" w:type="dxa"/>
          </w:tcPr>
          <w:p w14:paraId="389A2335" w14:textId="77777777" w:rsidR="00FA4AA8" w:rsidRDefault="00FA4AA8">
            <w:pPr>
              <w:pStyle w:val="TableParagraph"/>
              <w:rPr>
                <w:rFonts w:ascii="Times New Roman"/>
                <w:sz w:val="18"/>
              </w:rPr>
            </w:pPr>
          </w:p>
        </w:tc>
        <w:tc>
          <w:tcPr>
            <w:tcW w:w="7071" w:type="dxa"/>
          </w:tcPr>
          <w:p w14:paraId="0C458984" w14:textId="77777777" w:rsidR="00FA4AA8" w:rsidRDefault="0015611F">
            <w:pPr>
              <w:pStyle w:val="TableParagraph"/>
              <w:spacing w:before="115" w:line="185" w:lineRule="exact"/>
              <w:ind w:left="146"/>
              <w:rPr>
                <w:b/>
                <w:sz w:val="18"/>
              </w:rPr>
            </w:pPr>
            <w:r>
              <w:rPr>
                <w:b/>
                <w:sz w:val="18"/>
              </w:rPr>
              <w:t>Total gain on disposal of assets</w:t>
            </w:r>
          </w:p>
        </w:tc>
        <w:tc>
          <w:tcPr>
            <w:tcW w:w="1499" w:type="dxa"/>
            <w:tcBorders>
              <w:top w:val="single" w:sz="8" w:space="0" w:color="000000"/>
              <w:bottom w:val="double" w:sz="2" w:space="0" w:color="000000"/>
            </w:tcBorders>
          </w:tcPr>
          <w:p w14:paraId="62B93796" w14:textId="77777777" w:rsidR="00FA4AA8" w:rsidRDefault="0015611F">
            <w:pPr>
              <w:pStyle w:val="TableParagraph"/>
              <w:spacing w:before="115" w:line="185" w:lineRule="exact"/>
              <w:ind w:right="288"/>
              <w:jc w:val="right"/>
              <w:rPr>
                <w:b/>
                <w:sz w:val="18"/>
              </w:rPr>
            </w:pPr>
            <w:r>
              <w:rPr>
                <w:b/>
                <w:sz w:val="18"/>
              </w:rPr>
              <w:t>18,216</w:t>
            </w:r>
          </w:p>
        </w:tc>
        <w:tc>
          <w:tcPr>
            <w:tcW w:w="1093" w:type="dxa"/>
            <w:tcBorders>
              <w:top w:val="single" w:sz="8" w:space="0" w:color="000000"/>
              <w:bottom w:val="double" w:sz="2" w:space="0" w:color="000000"/>
            </w:tcBorders>
          </w:tcPr>
          <w:p w14:paraId="76965CE4" w14:textId="77777777" w:rsidR="00FA4AA8" w:rsidRDefault="0015611F">
            <w:pPr>
              <w:pStyle w:val="TableParagraph"/>
              <w:spacing w:before="115" w:line="185" w:lineRule="exact"/>
              <w:ind w:left="451"/>
              <w:rPr>
                <w:sz w:val="18"/>
              </w:rPr>
            </w:pPr>
            <w:r>
              <w:rPr>
                <w:sz w:val="18"/>
              </w:rPr>
              <w:t>85,596</w:t>
            </w:r>
          </w:p>
        </w:tc>
      </w:tr>
      <w:tr w:rsidR="00FA4AA8" w14:paraId="11575F65" w14:textId="77777777">
        <w:trPr>
          <w:trHeight w:val="499"/>
        </w:trPr>
        <w:tc>
          <w:tcPr>
            <w:tcW w:w="297" w:type="dxa"/>
          </w:tcPr>
          <w:p w14:paraId="3B9E75E6" w14:textId="77777777" w:rsidR="00FA4AA8" w:rsidRDefault="00FA4AA8">
            <w:pPr>
              <w:pStyle w:val="TableParagraph"/>
              <w:rPr>
                <w:rFonts w:ascii="Times New Roman"/>
                <w:sz w:val="18"/>
              </w:rPr>
            </w:pPr>
          </w:p>
        </w:tc>
        <w:tc>
          <w:tcPr>
            <w:tcW w:w="7071" w:type="dxa"/>
          </w:tcPr>
          <w:p w14:paraId="491DC4D5" w14:textId="77777777" w:rsidR="00FA4AA8" w:rsidRDefault="00FA4AA8">
            <w:pPr>
              <w:pStyle w:val="TableParagraph"/>
              <w:spacing w:before="4"/>
              <w:rPr>
                <w:b/>
                <w:sz w:val="25"/>
              </w:rPr>
            </w:pPr>
          </w:p>
          <w:p w14:paraId="1615013D" w14:textId="77777777" w:rsidR="00FA4AA8" w:rsidRDefault="0015611F">
            <w:pPr>
              <w:pStyle w:val="TableParagraph"/>
              <w:spacing w:line="187" w:lineRule="exact"/>
              <w:ind w:left="146"/>
              <w:rPr>
                <w:i/>
                <w:sz w:val="18"/>
              </w:rPr>
            </w:pPr>
            <w:bookmarkStart w:id="153" w:name="4_Expenses_"/>
            <w:bookmarkEnd w:id="153"/>
            <w:r>
              <w:rPr>
                <w:i/>
                <w:sz w:val="18"/>
                <w:u w:val="single"/>
              </w:rPr>
              <w:t>Accounting Policy</w:t>
            </w:r>
          </w:p>
        </w:tc>
        <w:tc>
          <w:tcPr>
            <w:tcW w:w="1499" w:type="dxa"/>
            <w:tcBorders>
              <w:top w:val="double" w:sz="2" w:space="0" w:color="000000"/>
            </w:tcBorders>
          </w:tcPr>
          <w:p w14:paraId="3EDD3D2E" w14:textId="77777777" w:rsidR="00FA4AA8" w:rsidRDefault="00FA4AA8">
            <w:pPr>
              <w:pStyle w:val="TableParagraph"/>
              <w:rPr>
                <w:rFonts w:ascii="Times New Roman"/>
                <w:sz w:val="18"/>
              </w:rPr>
            </w:pPr>
          </w:p>
        </w:tc>
        <w:tc>
          <w:tcPr>
            <w:tcW w:w="1093" w:type="dxa"/>
            <w:tcBorders>
              <w:top w:val="double" w:sz="2" w:space="0" w:color="000000"/>
            </w:tcBorders>
          </w:tcPr>
          <w:p w14:paraId="4880D425" w14:textId="77777777" w:rsidR="00FA4AA8" w:rsidRDefault="00FA4AA8">
            <w:pPr>
              <w:pStyle w:val="TableParagraph"/>
              <w:rPr>
                <w:rFonts w:ascii="Times New Roman"/>
                <w:sz w:val="18"/>
              </w:rPr>
            </w:pPr>
          </w:p>
        </w:tc>
      </w:tr>
    </w:tbl>
    <w:p w14:paraId="5FF351E6" w14:textId="77777777" w:rsidR="00FA4AA8" w:rsidRDefault="00FA4AA8">
      <w:pPr>
        <w:pStyle w:val="BodyText"/>
        <w:rPr>
          <w:b/>
          <w:sz w:val="12"/>
        </w:rPr>
      </w:pPr>
    </w:p>
    <w:p w14:paraId="1499C4D7" w14:textId="77777777" w:rsidR="00FA4AA8" w:rsidRDefault="0015611F">
      <w:pPr>
        <w:pStyle w:val="BodyText"/>
        <w:spacing w:before="94"/>
        <w:ind w:left="564"/>
      </w:pPr>
      <w:r>
        <w:t>Gains and losses on disposals are determined by comparing proceeds with carrying amount. These are included in the statement of comprehensive income.</w:t>
      </w:r>
    </w:p>
    <w:p w14:paraId="6A212F3D" w14:textId="77777777" w:rsidR="00FA4AA8" w:rsidRDefault="00FA4AA8">
      <w:pPr>
        <w:pStyle w:val="BodyText"/>
        <w:rPr>
          <w:sz w:val="20"/>
        </w:rPr>
      </w:pPr>
    </w:p>
    <w:p w14:paraId="161E2DC6" w14:textId="77777777" w:rsidR="00FA4AA8" w:rsidRDefault="00FA4AA8">
      <w:pPr>
        <w:pStyle w:val="BodyText"/>
        <w:spacing w:before="11"/>
        <w:rPr>
          <w:sz w:val="17"/>
        </w:rPr>
      </w:pPr>
    </w:p>
    <w:tbl>
      <w:tblPr>
        <w:tblW w:w="0" w:type="auto"/>
        <w:tblInd w:w="127" w:type="dxa"/>
        <w:tblLayout w:type="fixed"/>
        <w:tblCellMar>
          <w:left w:w="0" w:type="dxa"/>
          <w:right w:w="0" w:type="dxa"/>
        </w:tblCellMar>
        <w:tblLook w:val="01E0" w:firstRow="1" w:lastRow="1" w:firstColumn="1" w:lastColumn="1" w:noHBand="0" w:noVBand="0"/>
      </w:tblPr>
      <w:tblGrid>
        <w:gridCol w:w="297"/>
        <w:gridCol w:w="7071"/>
        <w:gridCol w:w="1455"/>
        <w:gridCol w:w="1138"/>
      </w:tblGrid>
      <w:tr w:rsidR="00FA4AA8" w14:paraId="58FA3D64" w14:textId="77777777">
        <w:trPr>
          <w:trHeight w:val="220"/>
        </w:trPr>
        <w:tc>
          <w:tcPr>
            <w:tcW w:w="297" w:type="dxa"/>
          </w:tcPr>
          <w:p w14:paraId="1ECECD03" w14:textId="77777777" w:rsidR="00FA4AA8" w:rsidRDefault="0015611F">
            <w:pPr>
              <w:pStyle w:val="TableParagraph"/>
              <w:spacing w:line="201" w:lineRule="exact"/>
              <w:ind w:left="50"/>
              <w:rPr>
                <w:b/>
                <w:sz w:val="18"/>
              </w:rPr>
            </w:pPr>
            <w:r>
              <w:rPr>
                <w:b/>
                <w:sz w:val="18"/>
              </w:rPr>
              <w:t>4</w:t>
            </w:r>
          </w:p>
        </w:tc>
        <w:tc>
          <w:tcPr>
            <w:tcW w:w="7071" w:type="dxa"/>
          </w:tcPr>
          <w:p w14:paraId="7E9BBBE3" w14:textId="77777777" w:rsidR="00FA4AA8" w:rsidRDefault="0015611F">
            <w:pPr>
              <w:pStyle w:val="TableParagraph"/>
              <w:spacing w:line="201" w:lineRule="exact"/>
              <w:ind w:left="146"/>
              <w:rPr>
                <w:b/>
                <w:sz w:val="18"/>
              </w:rPr>
            </w:pPr>
            <w:r>
              <w:rPr>
                <w:b/>
                <w:sz w:val="18"/>
              </w:rPr>
              <w:t>Expenses</w:t>
            </w:r>
          </w:p>
        </w:tc>
        <w:tc>
          <w:tcPr>
            <w:tcW w:w="2593" w:type="dxa"/>
            <w:gridSpan w:val="2"/>
          </w:tcPr>
          <w:p w14:paraId="3783DE77" w14:textId="77777777" w:rsidR="00FA4AA8" w:rsidRDefault="00FA4AA8">
            <w:pPr>
              <w:pStyle w:val="TableParagraph"/>
              <w:rPr>
                <w:rFonts w:ascii="Times New Roman"/>
                <w:sz w:val="14"/>
              </w:rPr>
            </w:pPr>
          </w:p>
        </w:tc>
      </w:tr>
      <w:tr w:rsidR="00FA4AA8" w14:paraId="1997583C" w14:textId="77777777">
        <w:trPr>
          <w:trHeight w:val="256"/>
        </w:trPr>
        <w:tc>
          <w:tcPr>
            <w:tcW w:w="297" w:type="dxa"/>
          </w:tcPr>
          <w:p w14:paraId="13120E15" w14:textId="77777777" w:rsidR="00FA4AA8" w:rsidRDefault="00FA4AA8">
            <w:pPr>
              <w:pStyle w:val="TableParagraph"/>
              <w:rPr>
                <w:rFonts w:ascii="Times New Roman"/>
                <w:sz w:val="18"/>
              </w:rPr>
            </w:pPr>
          </w:p>
        </w:tc>
        <w:tc>
          <w:tcPr>
            <w:tcW w:w="7071" w:type="dxa"/>
          </w:tcPr>
          <w:p w14:paraId="36B2EC8F" w14:textId="77777777" w:rsidR="00FA4AA8" w:rsidRDefault="00FA4AA8">
            <w:pPr>
              <w:pStyle w:val="TableParagraph"/>
              <w:rPr>
                <w:rFonts w:ascii="Times New Roman"/>
                <w:sz w:val="18"/>
              </w:rPr>
            </w:pPr>
          </w:p>
        </w:tc>
        <w:tc>
          <w:tcPr>
            <w:tcW w:w="1455" w:type="dxa"/>
          </w:tcPr>
          <w:p w14:paraId="0929F4E2" w14:textId="77777777" w:rsidR="00FA4AA8" w:rsidRDefault="0015611F">
            <w:pPr>
              <w:pStyle w:val="TableParagraph"/>
              <w:spacing w:before="13"/>
              <w:ind w:left="431"/>
              <w:rPr>
                <w:b/>
                <w:sz w:val="18"/>
              </w:rPr>
            </w:pPr>
            <w:r>
              <w:rPr>
                <w:b/>
                <w:sz w:val="18"/>
              </w:rPr>
              <w:t>2018</w:t>
            </w:r>
          </w:p>
        </w:tc>
        <w:tc>
          <w:tcPr>
            <w:tcW w:w="1138" w:type="dxa"/>
          </w:tcPr>
          <w:p w14:paraId="29A427CB" w14:textId="77777777" w:rsidR="00FA4AA8" w:rsidRDefault="0015611F">
            <w:pPr>
              <w:pStyle w:val="TableParagraph"/>
              <w:spacing w:before="13"/>
              <w:ind w:left="272"/>
              <w:rPr>
                <w:b/>
                <w:sz w:val="18"/>
              </w:rPr>
            </w:pPr>
            <w:r>
              <w:rPr>
                <w:b/>
                <w:sz w:val="18"/>
              </w:rPr>
              <w:t>2017</w:t>
            </w:r>
          </w:p>
        </w:tc>
      </w:tr>
      <w:tr w:rsidR="00FA4AA8" w14:paraId="775E6747" w14:textId="77777777">
        <w:trPr>
          <w:trHeight w:val="313"/>
        </w:trPr>
        <w:tc>
          <w:tcPr>
            <w:tcW w:w="297" w:type="dxa"/>
          </w:tcPr>
          <w:p w14:paraId="5E20C632" w14:textId="77777777" w:rsidR="00FA4AA8" w:rsidRDefault="00FA4AA8">
            <w:pPr>
              <w:pStyle w:val="TableParagraph"/>
              <w:rPr>
                <w:rFonts w:ascii="Times New Roman"/>
                <w:sz w:val="18"/>
              </w:rPr>
            </w:pPr>
          </w:p>
        </w:tc>
        <w:tc>
          <w:tcPr>
            <w:tcW w:w="7071" w:type="dxa"/>
          </w:tcPr>
          <w:p w14:paraId="2A60422F" w14:textId="77777777" w:rsidR="00FA4AA8" w:rsidRDefault="00FA4AA8">
            <w:pPr>
              <w:pStyle w:val="TableParagraph"/>
              <w:rPr>
                <w:rFonts w:ascii="Times New Roman"/>
                <w:sz w:val="18"/>
              </w:rPr>
            </w:pPr>
          </w:p>
        </w:tc>
        <w:tc>
          <w:tcPr>
            <w:tcW w:w="1455" w:type="dxa"/>
          </w:tcPr>
          <w:p w14:paraId="49D7CCA1" w14:textId="77777777" w:rsidR="00FA4AA8" w:rsidRDefault="0015611F">
            <w:pPr>
              <w:pStyle w:val="TableParagraph"/>
              <w:spacing w:before="30"/>
              <w:ind w:right="187"/>
              <w:jc w:val="center"/>
              <w:rPr>
                <w:b/>
                <w:sz w:val="18"/>
              </w:rPr>
            </w:pPr>
            <w:r>
              <w:rPr>
                <w:b/>
                <w:sz w:val="18"/>
              </w:rPr>
              <w:t>$</w:t>
            </w:r>
          </w:p>
        </w:tc>
        <w:tc>
          <w:tcPr>
            <w:tcW w:w="1138" w:type="dxa"/>
          </w:tcPr>
          <w:p w14:paraId="76D2283B" w14:textId="77777777" w:rsidR="00FA4AA8" w:rsidRDefault="0015611F">
            <w:pPr>
              <w:pStyle w:val="TableParagraph"/>
              <w:spacing w:before="30"/>
              <w:ind w:right="188"/>
              <w:jc w:val="center"/>
              <w:rPr>
                <w:b/>
                <w:sz w:val="18"/>
              </w:rPr>
            </w:pPr>
            <w:r>
              <w:rPr>
                <w:b/>
                <w:sz w:val="18"/>
              </w:rPr>
              <w:t>$</w:t>
            </w:r>
          </w:p>
        </w:tc>
      </w:tr>
      <w:tr w:rsidR="00FA4AA8" w14:paraId="614FB15F" w14:textId="77777777">
        <w:trPr>
          <w:trHeight w:val="544"/>
        </w:trPr>
        <w:tc>
          <w:tcPr>
            <w:tcW w:w="297" w:type="dxa"/>
          </w:tcPr>
          <w:p w14:paraId="7BACF4C4" w14:textId="77777777" w:rsidR="00FA4AA8" w:rsidRDefault="00FA4AA8">
            <w:pPr>
              <w:pStyle w:val="TableParagraph"/>
              <w:rPr>
                <w:rFonts w:ascii="Times New Roman"/>
                <w:sz w:val="18"/>
              </w:rPr>
            </w:pPr>
          </w:p>
        </w:tc>
        <w:tc>
          <w:tcPr>
            <w:tcW w:w="7071" w:type="dxa"/>
          </w:tcPr>
          <w:p w14:paraId="35370BA6" w14:textId="77777777" w:rsidR="00FA4AA8" w:rsidRDefault="0015611F">
            <w:pPr>
              <w:pStyle w:val="TableParagraph"/>
              <w:spacing w:before="70"/>
              <w:ind w:left="146"/>
              <w:rPr>
                <w:b/>
                <w:sz w:val="18"/>
              </w:rPr>
            </w:pPr>
            <w:r>
              <w:rPr>
                <w:b/>
                <w:sz w:val="18"/>
              </w:rPr>
              <w:t>Employee related expenses</w:t>
            </w:r>
          </w:p>
          <w:p w14:paraId="1BC6B04E" w14:textId="77777777" w:rsidR="00FA4AA8" w:rsidRDefault="0015611F">
            <w:pPr>
              <w:pStyle w:val="TableParagraph"/>
              <w:spacing w:before="30"/>
              <w:ind w:left="146"/>
              <w:rPr>
                <w:sz w:val="18"/>
              </w:rPr>
            </w:pPr>
            <w:r>
              <w:rPr>
                <w:sz w:val="18"/>
              </w:rPr>
              <w:t>Salaries and wages</w:t>
            </w:r>
          </w:p>
        </w:tc>
        <w:tc>
          <w:tcPr>
            <w:tcW w:w="1455" w:type="dxa"/>
          </w:tcPr>
          <w:p w14:paraId="30666160" w14:textId="77777777" w:rsidR="00FA4AA8" w:rsidRDefault="00FA4AA8">
            <w:pPr>
              <w:pStyle w:val="TableParagraph"/>
              <w:spacing w:before="6"/>
              <w:rPr>
                <w:sz w:val="26"/>
              </w:rPr>
            </w:pPr>
          </w:p>
          <w:p w14:paraId="62B26CD3" w14:textId="77777777" w:rsidR="00FA4AA8" w:rsidRDefault="0015611F">
            <w:pPr>
              <w:pStyle w:val="TableParagraph"/>
              <w:ind w:right="244"/>
              <w:jc w:val="right"/>
              <w:rPr>
                <w:b/>
                <w:sz w:val="18"/>
              </w:rPr>
            </w:pPr>
            <w:r>
              <w:rPr>
                <w:b/>
                <w:sz w:val="18"/>
              </w:rPr>
              <w:t>3,684,926</w:t>
            </w:r>
          </w:p>
        </w:tc>
        <w:tc>
          <w:tcPr>
            <w:tcW w:w="1138" w:type="dxa"/>
          </w:tcPr>
          <w:p w14:paraId="7205C965" w14:textId="77777777" w:rsidR="00FA4AA8" w:rsidRDefault="00FA4AA8">
            <w:pPr>
              <w:pStyle w:val="TableParagraph"/>
              <w:spacing w:before="6"/>
              <w:rPr>
                <w:sz w:val="26"/>
              </w:rPr>
            </w:pPr>
          </w:p>
          <w:p w14:paraId="630C135D" w14:textId="77777777" w:rsidR="00FA4AA8" w:rsidRDefault="0015611F">
            <w:pPr>
              <w:pStyle w:val="TableParagraph"/>
              <w:ind w:right="86"/>
              <w:jc w:val="right"/>
              <w:rPr>
                <w:sz w:val="18"/>
              </w:rPr>
            </w:pPr>
            <w:r>
              <w:rPr>
                <w:sz w:val="18"/>
              </w:rPr>
              <w:t>4,566,992</w:t>
            </w:r>
          </w:p>
        </w:tc>
      </w:tr>
      <w:tr w:rsidR="00FA4AA8" w14:paraId="7A969631" w14:textId="77777777">
        <w:trPr>
          <w:trHeight w:val="263"/>
        </w:trPr>
        <w:tc>
          <w:tcPr>
            <w:tcW w:w="297" w:type="dxa"/>
          </w:tcPr>
          <w:p w14:paraId="49547A81" w14:textId="77777777" w:rsidR="00FA4AA8" w:rsidRDefault="00FA4AA8">
            <w:pPr>
              <w:pStyle w:val="TableParagraph"/>
              <w:rPr>
                <w:rFonts w:ascii="Times New Roman"/>
                <w:sz w:val="18"/>
              </w:rPr>
            </w:pPr>
          </w:p>
        </w:tc>
        <w:tc>
          <w:tcPr>
            <w:tcW w:w="7071" w:type="dxa"/>
          </w:tcPr>
          <w:p w14:paraId="48EC7D68" w14:textId="77777777" w:rsidR="00FA4AA8" w:rsidRDefault="0015611F">
            <w:pPr>
              <w:pStyle w:val="TableParagraph"/>
              <w:spacing w:before="26"/>
              <w:ind w:left="146"/>
              <w:rPr>
                <w:sz w:val="18"/>
              </w:rPr>
            </w:pPr>
            <w:r>
              <w:rPr>
                <w:sz w:val="18"/>
              </w:rPr>
              <w:t>Superannuation</w:t>
            </w:r>
          </w:p>
        </w:tc>
        <w:tc>
          <w:tcPr>
            <w:tcW w:w="1455" w:type="dxa"/>
          </w:tcPr>
          <w:p w14:paraId="3393D0C1" w14:textId="77777777" w:rsidR="00FA4AA8" w:rsidRDefault="0015611F">
            <w:pPr>
              <w:pStyle w:val="TableParagraph"/>
              <w:spacing w:before="24"/>
              <w:ind w:right="244"/>
              <w:jc w:val="right"/>
              <w:rPr>
                <w:b/>
                <w:sz w:val="18"/>
              </w:rPr>
            </w:pPr>
            <w:r>
              <w:rPr>
                <w:b/>
                <w:sz w:val="18"/>
              </w:rPr>
              <w:t>331,391</w:t>
            </w:r>
          </w:p>
        </w:tc>
        <w:tc>
          <w:tcPr>
            <w:tcW w:w="1138" w:type="dxa"/>
          </w:tcPr>
          <w:p w14:paraId="48BC4B03" w14:textId="77777777" w:rsidR="00FA4AA8" w:rsidRDefault="0015611F">
            <w:pPr>
              <w:pStyle w:val="TableParagraph"/>
              <w:spacing w:before="24"/>
              <w:ind w:right="86"/>
              <w:jc w:val="right"/>
              <w:rPr>
                <w:sz w:val="18"/>
              </w:rPr>
            </w:pPr>
            <w:r>
              <w:rPr>
                <w:sz w:val="18"/>
              </w:rPr>
              <w:t>405,629</w:t>
            </w:r>
          </w:p>
        </w:tc>
      </w:tr>
      <w:tr w:rsidR="00FA4AA8" w14:paraId="238ED09E" w14:textId="77777777">
        <w:trPr>
          <w:trHeight w:val="264"/>
        </w:trPr>
        <w:tc>
          <w:tcPr>
            <w:tcW w:w="297" w:type="dxa"/>
          </w:tcPr>
          <w:p w14:paraId="7E0CC969" w14:textId="77777777" w:rsidR="00FA4AA8" w:rsidRDefault="00FA4AA8">
            <w:pPr>
              <w:pStyle w:val="TableParagraph"/>
              <w:rPr>
                <w:rFonts w:ascii="Times New Roman"/>
                <w:sz w:val="18"/>
              </w:rPr>
            </w:pPr>
          </w:p>
        </w:tc>
        <w:tc>
          <w:tcPr>
            <w:tcW w:w="7071" w:type="dxa"/>
          </w:tcPr>
          <w:p w14:paraId="4B97CBD6" w14:textId="77777777" w:rsidR="00FA4AA8" w:rsidRDefault="0015611F">
            <w:pPr>
              <w:pStyle w:val="TableParagraph"/>
              <w:spacing w:before="26"/>
              <w:ind w:left="146"/>
              <w:rPr>
                <w:sz w:val="18"/>
              </w:rPr>
            </w:pPr>
            <w:r>
              <w:rPr>
                <w:sz w:val="18"/>
              </w:rPr>
              <w:t>Annual leave</w:t>
            </w:r>
          </w:p>
        </w:tc>
        <w:tc>
          <w:tcPr>
            <w:tcW w:w="1455" w:type="dxa"/>
          </w:tcPr>
          <w:p w14:paraId="1973B2FA" w14:textId="77777777" w:rsidR="00FA4AA8" w:rsidRDefault="0015611F">
            <w:pPr>
              <w:pStyle w:val="TableParagraph"/>
              <w:spacing w:before="24"/>
              <w:ind w:right="244"/>
              <w:jc w:val="right"/>
              <w:rPr>
                <w:b/>
                <w:sz w:val="18"/>
              </w:rPr>
            </w:pPr>
            <w:r>
              <w:rPr>
                <w:b/>
                <w:sz w:val="18"/>
              </w:rPr>
              <w:t>102,474</w:t>
            </w:r>
          </w:p>
        </w:tc>
        <w:tc>
          <w:tcPr>
            <w:tcW w:w="1138" w:type="dxa"/>
          </w:tcPr>
          <w:p w14:paraId="06A5D952" w14:textId="77777777" w:rsidR="00FA4AA8" w:rsidRDefault="0015611F">
            <w:pPr>
              <w:pStyle w:val="TableParagraph"/>
              <w:spacing w:before="24"/>
              <w:ind w:right="86"/>
              <w:jc w:val="right"/>
              <w:rPr>
                <w:sz w:val="18"/>
              </w:rPr>
            </w:pPr>
            <w:r>
              <w:rPr>
                <w:sz w:val="18"/>
              </w:rPr>
              <w:t>170,742</w:t>
            </w:r>
          </w:p>
        </w:tc>
      </w:tr>
      <w:tr w:rsidR="00FA4AA8" w14:paraId="20728DC2" w14:textId="77777777">
        <w:trPr>
          <w:trHeight w:val="263"/>
        </w:trPr>
        <w:tc>
          <w:tcPr>
            <w:tcW w:w="297" w:type="dxa"/>
          </w:tcPr>
          <w:p w14:paraId="38E60F39" w14:textId="77777777" w:rsidR="00FA4AA8" w:rsidRDefault="00FA4AA8">
            <w:pPr>
              <w:pStyle w:val="TableParagraph"/>
              <w:rPr>
                <w:rFonts w:ascii="Times New Roman"/>
                <w:sz w:val="18"/>
              </w:rPr>
            </w:pPr>
          </w:p>
        </w:tc>
        <w:tc>
          <w:tcPr>
            <w:tcW w:w="7071" w:type="dxa"/>
          </w:tcPr>
          <w:p w14:paraId="6CE2BEAB" w14:textId="77777777" w:rsidR="00FA4AA8" w:rsidRDefault="0015611F">
            <w:pPr>
              <w:pStyle w:val="TableParagraph"/>
              <w:spacing w:before="26"/>
              <w:ind w:left="146"/>
              <w:rPr>
                <w:sz w:val="18"/>
              </w:rPr>
            </w:pPr>
            <w:r>
              <w:rPr>
                <w:sz w:val="18"/>
              </w:rPr>
              <w:t>Workers compensation</w:t>
            </w:r>
          </w:p>
        </w:tc>
        <w:tc>
          <w:tcPr>
            <w:tcW w:w="1455" w:type="dxa"/>
          </w:tcPr>
          <w:p w14:paraId="51B99277" w14:textId="77777777" w:rsidR="00FA4AA8" w:rsidRDefault="0015611F">
            <w:pPr>
              <w:pStyle w:val="TableParagraph"/>
              <w:spacing w:before="24"/>
              <w:ind w:right="244"/>
              <w:jc w:val="right"/>
              <w:rPr>
                <w:b/>
                <w:sz w:val="18"/>
              </w:rPr>
            </w:pPr>
            <w:r>
              <w:rPr>
                <w:b/>
                <w:sz w:val="18"/>
              </w:rPr>
              <w:t>95,205</w:t>
            </w:r>
          </w:p>
        </w:tc>
        <w:tc>
          <w:tcPr>
            <w:tcW w:w="1138" w:type="dxa"/>
          </w:tcPr>
          <w:p w14:paraId="5734D23F" w14:textId="77777777" w:rsidR="00FA4AA8" w:rsidRDefault="0015611F">
            <w:pPr>
              <w:pStyle w:val="TableParagraph"/>
              <w:spacing w:before="24"/>
              <w:ind w:right="86"/>
              <w:jc w:val="right"/>
              <w:rPr>
                <w:sz w:val="18"/>
              </w:rPr>
            </w:pPr>
            <w:r>
              <w:rPr>
                <w:sz w:val="18"/>
              </w:rPr>
              <w:t>39,442</w:t>
            </w:r>
          </w:p>
        </w:tc>
      </w:tr>
      <w:tr w:rsidR="00FA4AA8" w14:paraId="0FF0CEC6" w14:textId="77777777">
        <w:trPr>
          <w:trHeight w:val="263"/>
        </w:trPr>
        <w:tc>
          <w:tcPr>
            <w:tcW w:w="297" w:type="dxa"/>
          </w:tcPr>
          <w:p w14:paraId="65B52144" w14:textId="77777777" w:rsidR="00FA4AA8" w:rsidRDefault="00FA4AA8">
            <w:pPr>
              <w:pStyle w:val="TableParagraph"/>
              <w:rPr>
                <w:rFonts w:ascii="Times New Roman"/>
                <w:sz w:val="18"/>
              </w:rPr>
            </w:pPr>
          </w:p>
        </w:tc>
        <w:tc>
          <w:tcPr>
            <w:tcW w:w="7071" w:type="dxa"/>
          </w:tcPr>
          <w:p w14:paraId="70CA2D14" w14:textId="77777777" w:rsidR="00FA4AA8" w:rsidRDefault="0015611F">
            <w:pPr>
              <w:pStyle w:val="TableParagraph"/>
              <w:spacing w:before="26"/>
              <w:ind w:left="146"/>
              <w:rPr>
                <w:sz w:val="18"/>
              </w:rPr>
            </w:pPr>
            <w:r>
              <w:rPr>
                <w:sz w:val="18"/>
              </w:rPr>
              <w:t>Long service leave</w:t>
            </w:r>
          </w:p>
        </w:tc>
        <w:tc>
          <w:tcPr>
            <w:tcW w:w="1455" w:type="dxa"/>
          </w:tcPr>
          <w:p w14:paraId="17305061" w14:textId="77777777" w:rsidR="00FA4AA8" w:rsidRDefault="0015611F">
            <w:pPr>
              <w:pStyle w:val="TableParagraph"/>
              <w:spacing w:before="24"/>
              <w:ind w:right="244"/>
              <w:jc w:val="right"/>
              <w:rPr>
                <w:b/>
                <w:sz w:val="18"/>
              </w:rPr>
            </w:pPr>
            <w:r>
              <w:rPr>
                <w:b/>
                <w:sz w:val="18"/>
              </w:rPr>
              <w:t>69,061</w:t>
            </w:r>
          </w:p>
        </w:tc>
        <w:tc>
          <w:tcPr>
            <w:tcW w:w="1138" w:type="dxa"/>
          </w:tcPr>
          <w:p w14:paraId="3388534F" w14:textId="77777777" w:rsidR="00FA4AA8" w:rsidRDefault="0015611F">
            <w:pPr>
              <w:pStyle w:val="TableParagraph"/>
              <w:spacing w:before="24"/>
              <w:ind w:right="86"/>
              <w:jc w:val="right"/>
              <w:rPr>
                <w:sz w:val="18"/>
              </w:rPr>
            </w:pPr>
            <w:r>
              <w:rPr>
                <w:sz w:val="18"/>
              </w:rPr>
              <w:t>108,524</w:t>
            </w:r>
          </w:p>
        </w:tc>
      </w:tr>
      <w:tr w:rsidR="00FA4AA8" w14:paraId="70AC43DB" w14:textId="77777777">
        <w:trPr>
          <w:trHeight w:val="256"/>
        </w:trPr>
        <w:tc>
          <w:tcPr>
            <w:tcW w:w="297" w:type="dxa"/>
          </w:tcPr>
          <w:p w14:paraId="243949F0" w14:textId="77777777" w:rsidR="00FA4AA8" w:rsidRDefault="00FA4AA8">
            <w:pPr>
              <w:pStyle w:val="TableParagraph"/>
              <w:rPr>
                <w:rFonts w:ascii="Times New Roman"/>
                <w:sz w:val="18"/>
              </w:rPr>
            </w:pPr>
          </w:p>
        </w:tc>
        <w:tc>
          <w:tcPr>
            <w:tcW w:w="7071" w:type="dxa"/>
          </w:tcPr>
          <w:p w14:paraId="44D64505" w14:textId="77777777" w:rsidR="00FA4AA8" w:rsidRDefault="0015611F">
            <w:pPr>
              <w:pStyle w:val="TableParagraph"/>
              <w:spacing w:before="26"/>
              <w:ind w:left="146"/>
              <w:rPr>
                <w:sz w:val="18"/>
              </w:rPr>
            </w:pPr>
            <w:r>
              <w:rPr>
                <w:sz w:val="18"/>
              </w:rPr>
              <w:t>Other</w:t>
            </w:r>
          </w:p>
        </w:tc>
        <w:tc>
          <w:tcPr>
            <w:tcW w:w="1455" w:type="dxa"/>
            <w:tcBorders>
              <w:bottom w:val="single" w:sz="8" w:space="0" w:color="000000"/>
            </w:tcBorders>
          </w:tcPr>
          <w:p w14:paraId="6B229992" w14:textId="77777777" w:rsidR="00FA4AA8" w:rsidRDefault="0015611F">
            <w:pPr>
              <w:pStyle w:val="TableParagraph"/>
              <w:spacing w:before="24"/>
              <w:ind w:right="244"/>
              <w:jc w:val="right"/>
              <w:rPr>
                <w:b/>
                <w:sz w:val="18"/>
              </w:rPr>
            </w:pPr>
            <w:r>
              <w:rPr>
                <w:b/>
                <w:sz w:val="18"/>
              </w:rPr>
              <w:t>58,711</w:t>
            </w:r>
          </w:p>
        </w:tc>
        <w:tc>
          <w:tcPr>
            <w:tcW w:w="1138" w:type="dxa"/>
            <w:tcBorders>
              <w:bottom w:val="single" w:sz="8" w:space="0" w:color="000000"/>
            </w:tcBorders>
          </w:tcPr>
          <w:p w14:paraId="296A5E31" w14:textId="77777777" w:rsidR="00FA4AA8" w:rsidRDefault="0015611F">
            <w:pPr>
              <w:pStyle w:val="TableParagraph"/>
              <w:spacing w:before="24"/>
              <w:ind w:right="86"/>
              <w:jc w:val="right"/>
              <w:rPr>
                <w:sz w:val="18"/>
              </w:rPr>
            </w:pPr>
            <w:r>
              <w:rPr>
                <w:sz w:val="18"/>
              </w:rPr>
              <w:t>226,615</w:t>
            </w:r>
          </w:p>
        </w:tc>
      </w:tr>
      <w:tr w:rsidR="00FA4AA8" w14:paraId="4FE128F0" w14:textId="77777777">
        <w:trPr>
          <w:trHeight w:val="320"/>
        </w:trPr>
        <w:tc>
          <w:tcPr>
            <w:tcW w:w="297" w:type="dxa"/>
          </w:tcPr>
          <w:p w14:paraId="1BB42265" w14:textId="77777777" w:rsidR="00FA4AA8" w:rsidRDefault="00FA4AA8">
            <w:pPr>
              <w:pStyle w:val="TableParagraph"/>
              <w:rPr>
                <w:rFonts w:ascii="Times New Roman"/>
                <w:sz w:val="18"/>
              </w:rPr>
            </w:pPr>
          </w:p>
        </w:tc>
        <w:tc>
          <w:tcPr>
            <w:tcW w:w="7071" w:type="dxa"/>
          </w:tcPr>
          <w:p w14:paraId="68983DA7" w14:textId="77777777" w:rsidR="00FA4AA8" w:rsidRDefault="0015611F">
            <w:pPr>
              <w:pStyle w:val="TableParagraph"/>
              <w:spacing w:before="115" w:line="185" w:lineRule="exact"/>
              <w:ind w:left="146"/>
              <w:rPr>
                <w:b/>
                <w:sz w:val="18"/>
              </w:rPr>
            </w:pPr>
            <w:r>
              <w:rPr>
                <w:b/>
                <w:sz w:val="18"/>
              </w:rPr>
              <w:t>Total employee related expenses</w:t>
            </w:r>
          </w:p>
        </w:tc>
        <w:tc>
          <w:tcPr>
            <w:tcW w:w="1455" w:type="dxa"/>
            <w:tcBorders>
              <w:top w:val="single" w:sz="8" w:space="0" w:color="000000"/>
              <w:bottom w:val="double" w:sz="2" w:space="0" w:color="000000"/>
            </w:tcBorders>
          </w:tcPr>
          <w:p w14:paraId="33821C04" w14:textId="77777777" w:rsidR="00FA4AA8" w:rsidRDefault="0015611F">
            <w:pPr>
              <w:pStyle w:val="TableParagraph"/>
              <w:spacing w:before="115" w:line="185" w:lineRule="exact"/>
              <w:ind w:right="244"/>
              <w:jc w:val="right"/>
              <w:rPr>
                <w:b/>
                <w:sz w:val="18"/>
              </w:rPr>
            </w:pPr>
            <w:r>
              <w:rPr>
                <w:b/>
                <w:sz w:val="18"/>
              </w:rPr>
              <w:t>4,341,768</w:t>
            </w:r>
          </w:p>
        </w:tc>
        <w:tc>
          <w:tcPr>
            <w:tcW w:w="1138" w:type="dxa"/>
            <w:tcBorders>
              <w:top w:val="single" w:sz="8" w:space="0" w:color="000000"/>
              <w:bottom w:val="double" w:sz="2" w:space="0" w:color="000000"/>
            </w:tcBorders>
          </w:tcPr>
          <w:p w14:paraId="217991F5" w14:textId="77777777" w:rsidR="00FA4AA8" w:rsidRDefault="0015611F">
            <w:pPr>
              <w:pStyle w:val="TableParagraph"/>
              <w:spacing w:before="115" w:line="185" w:lineRule="exact"/>
              <w:ind w:right="86"/>
              <w:jc w:val="right"/>
              <w:rPr>
                <w:sz w:val="18"/>
              </w:rPr>
            </w:pPr>
            <w:r>
              <w:rPr>
                <w:sz w:val="18"/>
              </w:rPr>
              <w:t>5,517,944</w:t>
            </w:r>
          </w:p>
        </w:tc>
      </w:tr>
      <w:tr w:rsidR="00FA4AA8" w14:paraId="25067D60" w14:textId="77777777">
        <w:trPr>
          <w:trHeight w:val="923"/>
        </w:trPr>
        <w:tc>
          <w:tcPr>
            <w:tcW w:w="297" w:type="dxa"/>
          </w:tcPr>
          <w:p w14:paraId="0BEC5D3A" w14:textId="77777777" w:rsidR="00FA4AA8" w:rsidRDefault="00FA4AA8">
            <w:pPr>
              <w:pStyle w:val="TableParagraph"/>
              <w:rPr>
                <w:rFonts w:ascii="Times New Roman"/>
                <w:sz w:val="18"/>
              </w:rPr>
            </w:pPr>
          </w:p>
        </w:tc>
        <w:tc>
          <w:tcPr>
            <w:tcW w:w="7071" w:type="dxa"/>
          </w:tcPr>
          <w:p w14:paraId="05C12BFA" w14:textId="77777777" w:rsidR="00FA4AA8" w:rsidRDefault="00FA4AA8">
            <w:pPr>
              <w:pStyle w:val="TableParagraph"/>
              <w:rPr>
                <w:sz w:val="20"/>
              </w:rPr>
            </w:pPr>
          </w:p>
          <w:p w14:paraId="5EC0C83F" w14:textId="77777777" w:rsidR="00FA4AA8" w:rsidRDefault="00FA4AA8">
            <w:pPr>
              <w:pStyle w:val="TableParagraph"/>
              <w:spacing w:before="11"/>
              <w:rPr>
                <w:sz w:val="18"/>
              </w:rPr>
            </w:pPr>
          </w:p>
          <w:p w14:paraId="24CEFC18" w14:textId="77777777" w:rsidR="00FA4AA8" w:rsidRDefault="0015611F">
            <w:pPr>
              <w:pStyle w:val="TableParagraph"/>
              <w:ind w:left="146"/>
              <w:rPr>
                <w:b/>
                <w:sz w:val="18"/>
              </w:rPr>
            </w:pPr>
            <w:r>
              <w:rPr>
                <w:b/>
                <w:sz w:val="18"/>
              </w:rPr>
              <w:t>Occupancy expenses*</w:t>
            </w:r>
          </w:p>
          <w:p w14:paraId="33A9EB14" w14:textId="77777777" w:rsidR="00FA4AA8" w:rsidRDefault="0015611F">
            <w:pPr>
              <w:pStyle w:val="TableParagraph"/>
              <w:spacing w:before="31"/>
              <w:ind w:left="146"/>
              <w:rPr>
                <w:sz w:val="18"/>
              </w:rPr>
            </w:pPr>
            <w:r>
              <w:rPr>
                <w:sz w:val="18"/>
              </w:rPr>
              <w:t>Repairs and maintenance</w:t>
            </w:r>
          </w:p>
        </w:tc>
        <w:tc>
          <w:tcPr>
            <w:tcW w:w="1455" w:type="dxa"/>
            <w:tcBorders>
              <w:top w:val="double" w:sz="2" w:space="0" w:color="000000"/>
            </w:tcBorders>
          </w:tcPr>
          <w:p w14:paraId="18AC2740" w14:textId="77777777" w:rsidR="00FA4AA8" w:rsidRDefault="00FA4AA8">
            <w:pPr>
              <w:pStyle w:val="TableParagraph"/>
              <w:rPr>
                <w:sz w:val="20"/>
              </w:rPr>
            </w:pPr>
          </w:p>
          <w:p w14:paraId="1F6A7295" w14:textId="77777777" w:rsidR="00FA4AA8" w:rsidRDefault="00FA4AA8">
            <w:pPr>
              <w:pStyle w:val="TableParagraph"/>
              <w:rPr>
                <w:sz w:val="20"/>
              </w:rPr>
            </w:pPr>
          </w:p>
          <w:p w14:paraId="51BA77AC" w14:textId="77777777" w:rsidR="00FA4AA8" w:rsidRDefault="00FA4AA8">
            <w:pPr>
              <w:pStyle w:val="TableParagraph"/>
              <w:spacing w:before="5"/>
              <w:rPr>
                <w:sz w:val="19"/>
              </w:rPr>
            </w:pPr>
          </w:p>
          <w:p w14:paraId="798DEE80" w14:textId="77777777" w:rsidR="00FA4AA8" w:rsidRDefault="0015611F">
            <w:pPr>
              <w:pStyle w:val="TableParagraph"/>
              <w:ind w:right="244"/>
              <w:jc w:val="right"/>
              <w:rPr>
                <w:b/>
                <w:sz w:val="18"/>
              </w:rPr>
            </w:pPr>
            <w:r>
              <w:rPr>
                <w:b/>
                <w:sz w:val="18"/>
              </w:rPr>
              <w:t>70,941</w:t>
            </w:r>
          </w:p>
        </w:tc>
        <w:tc>
          <w:tcPr>
            <w:tcW w:w="1138" w:type="dxa"/>
            <w:tcBorders>
              <w:top w:val="double" w:sz="2" w:space="0" w:color="000000"/>
            </w:tcBorders>
          </w:tcPr>
          <w:p w14:paraId="5503AFB7" w14:textId="77777777" w:rsidR="00FA4AA8" w:rsidRDefault="00FA4AA8">
            <w:pPr>
              <w:pStyle w:val="TableParagraph"/>
              <w:rPr>
                <w:sz w:val="20"/>
              </w:rPr>
            </w:pPr>
          </w:p>
          <w:p w14:paraId="0978EC34" w14:textId="77777777" w:rsidR="00FA4AA8" w:rsidRDefault="00FA4AA8">
            <w:pPr>
              <w:pStyle w:val="TableParagraph"/>
              <w:rPr>
                <w:sz w:val="20"/>
              </w:rPr>
            </w:pPr>
          </w:p>
          <w:p w14:paraId="7F0A4FDE" w14:textId="77777777" w:rsidR="00FA4AA8" w:rsidRDefault="00FA4AA8">
            <w:pPr>
              <w:pStyle w:val="TableParagraph"/>
              <w:spacing w:before="5"/>
              <w:rPr>
                <w:sz w:val="19"/>
              </w:rPr>
            </w:pPr>
          </w:p>
          <w:p w14:paraId="49A6F4B4" w14:textId="77777777" w:rsidR="00FA4AA8" w:rsidRDefault="0015611F">
            <w:pPr>
              <w:pStyle w:val="TableParagraph"/>
              <w:ind w:right="86"/>
              <w:jc w:val="right"/>
              <w:rPr>
                <w:sz w:val="18"/>
              </w:rPr>
            </w:pPr>
            <w:r>
              <w:rPr>
                <w:sz w:val="18"/>
              </w:rPr>
              <w:t>94,523</w:t>
            </w:r>
          </w:p>
        </w:tc>
      </w:tr>
      <w:tr w:rsidR="00FA4AA8" w14:paraId="19C318F5" w14:textId="77777777">
        <w:trPr>
          <w:trHeight w:val="264"/>
        </w:trPr>
        <w:tc>
          <w:tcPr>
            <w:tcW w:w="297" w:type="dxa"/>
          </w:tcPr>
          <w:p w14:paraId="05049981" w14:textId="77777777" w:rsidR="00FA4AA8" w:rsidRDefault="00FA4AA8">
            <w:pPr>
              <w:pStyle w:val="TableParagraph"/>
              <w:rPr>
                <w:rFonts w:ascii="Times New Roman"/>
                <w:sz w:val="18"/>
              </w:rPr>
            </w:pPr>
          </w:p>
        </w:tc>
        <w:tc>
          <w:tcPr>
            <w:tcW w:w="7071" w:type="dxa"/>
          </w:tcPr>
          <w:p w14:paraId="1C81A43C" w14:textId="77777777" w:rsidR="00FA4AA8" w:rsidRDefault="0015611F">
            <w:pPr>
              <w:pStyle w:val="TableParagraph"/>
              <w:spacing w:before="26"/>
              <w:ind w:left="146"/>
              <w:rPr>
                <w:sz w:val="18"/>
              </w:rPr>
            </w:pPr>
            <w:r>
              <w:rPr>
                <w:sz w:val="18"/>
              </w:rPr>
              <w:t>Cleaning and waste removal</w:t>
            </w:r>
          </w:p>
        </w:tc>
        <w:tc>
          <w:tcPr>
            <w:tcW w:w="1455" w:type="dxa"/>
          </w:tcPr>
          <w:p w14:paraId="34865861" w14:textId="77777777" w:rsidR="00FA4AA8" w:rsidRDefault="0015611F">
            <w:pPr>
              <w:pStyle w:val="TableParagraph"/>
              <w:spacing w:before="24"/>
              <w:ind w:right="244"/>
              <w:jc w:val="right"/>
              <w:rPr>
                <w:b/>
                <w:sz w:val="18"/>
              </w:rPr>
            </w:pPr>
            <w:r>
              <w:rPr>
                <w:b/>
                <w:sz w:val="18"/>
              </w:rPr>
              <w:t>48,831</w:t>
            </w:r>
          </w:p>
        </w:tc>
        <w:tc>
          <w:tcPr>
            <w:tcW w:w="1138" w:type="dxa"/>
          </w:tcPr>
          <w:p w14:paraId="20F95F20" w14:textId="77777777" w:rsidR="00FA4AA8" w:rsidRDefault="0015611F">
            <w:pPr>
              <w:pStyle w:val="TableParagraph"/>
              <w:spacing w:before="24"/>
              <w:ind w:right="86"/>
              <w:jc w:val="right"/>
              <w:rPr>
                <w:sz w:val="18"/>
              </w:rPr>
            </w:pPr>
            <w:r>
              <w:rPr>
                <w:sz w:val="18"/>
              </w:rPr>
              <w:t>56,075</w:t>
            </w:r>
          </w:p>
        </w:tc>
      </w:tr>
      <w:tr w:rsidR="00FA4AA8" w14:paraId="12816932" w14:textId="77777777">
        <w:trPr>
          <w:trHeight w:val="263"/>
        </w:trPr>
        <w:tc>
          <w:tcPr>
            <w:tcW w:w="297" w:type="dxa"/>
          </w:tcPr>
          <w:p w14:paraId="6CA129AC" w14:textId="77777777" w:rsidR="00FA4AA8" w:rsidRDefault="00FA4AA8">
            <w:pPr>
              <w:pStyle w:val="TableParagraph"/>
              <w:rPr>
                <w:rFonts w:ascii="Times New Roman"/>
                <w:sz w:val="18"/>
              </w:rPr>
            </w:pPr>
          </w:p>
        </w:tc>
        <w:tc>
          <w:tcPr>
            <w:tcW w:w="7071" w:type="dxa"/>
          </w:tcPr>
          <w:p w14:paraId="7DC88DF0" w14:textId="77777777" w:rsidR="00FA4AA8" w:rsidRDefault="0015611F">
            <w:pPr>
              <w:pStyle w:val="TableParagraph"/>
              <w:spacing w:before="26"/>
              <w:ind w:left="146"/>
              <w:rPr>
                <w:sz w:val="18"/>
              </w:rPr>
            </w:pPr>
            <w:r>
              <w:rPr>
                <w:sz w:val="18"/>
              </w:rPr>
              <w:t>Minimum lease payments on operating leases</w:t>
            </w:r>
          </w:p>
        </w:tc>
        <w:tc>
          <w:tcPr>
            <w:tcW w:w="1455" w:type="dxa"/>
          </w:tcPr>
          <w:p w14:paraId="11FA241B" w14:textId="77777777" w:rsidR="00FA4AA8" w:rsidRDefault="0015611F">
            <w:pPr>
              <w:pStyle w:val="TableParagraph"/>
              <w:spacing w:before="24"/>
              <w:ind w:right="244"/>
              <w:jc w:val="right"/>
              <w:rPr>
                <w:b/>
                <w:sz w:val="18"/>
              </w:rPr>
            </w:pPr>
            <w:r>
              <w:rPr>
                <w:b/>
                <w:sz w:val="18"/>
              </w:rPr>
              <w:t>46,168</w:t>
            </w:r>
          </w:p>
        </w:tc>
        <w:tc>
          <w:tcPr>
            <w:tcW w:w="1138" w:type="dxa"/>
          </w:tcPr>
          <w:p w14:paraId="4447D349" w14:textId="77777777" w:rsidR="00FA4AA8" w:rsidRDefault="0015611F">
            <w:pPr>
              <w:pStyle w:val="TableParagraph"/>
              <w:spacing w:before="24"/>
              <w:ind w:right="86"/>
              <w:jc w:val="right"/>
              <w:rPr>
                <w:sz w:val="18"/>
              </w:rPr>
            </w:pPr>
            <w:r>
              <w:rPr>
                <w:sz w:val="18"/>
              </w:rPr>
              <w:t>24,774</w:t>
            </w:r>
          </w:p>
        </w:tc>
      </w:tr>
      <w:tr w:rsidR="00FA4AA8" w14:paraId="236EFA60" w14:textId="77777777">
        <w:trPr>
          <w:trHeight w:val="264"/>
        </w:trPr>
        <w:tc>
          <w:tcPr>
            <w:tcW w:w="297" w:type="dxa"/>
          </w:tcPr>
          <w:p w14:paraId="09AD5632" w14:textId="77777777" w:rsidR="00FA4AA8" w:rsidRDefault="00FA4AA8">
            <w:pPr>
              <w:pStyle w:val="TableParagraph"/>
              <w:rPr>
                <w:rFonts w:ascii="Times New Roman"/>
                <w:sz w:val="18"/>
              </w:rPr>
            </w:pPr>
          </w:p>
        </w:tc>
        <w:tc>
          <w:tcPr>
            <w:tcW w:w="7071" w:type="dxa"/>
          </w:tcPr>
          <w:p w14:paraId="59D06406" w14:textId="77777777" w:rsidR="00FA4AA8" w:rsidRDefault="0015611F">
            <w:pPr>
              <w:pStyle w:val="TableParagraph"/>
              <w:spacing w:before="26"/>
              <w:ind w:left="146"/>
              <w:rPr>
                <w:sz w:val="18"/>
              </w:rPr>
            </w:pPr>
            <w:r>
              <w:rPr>
                <w:sz w:val="18"/>
              </w:rPr>
              <w:t>Utilities</w:t>
            </w:r>
          </w:p>
        </w:tc>
        <w:tc>
          <w:tcPr>
            <w:tcW w:w="1455" w:type="dxa"/>
          </w:tcPr>
          <w:p w14:paraId="2A9A2C4C" w14:textId="77777777" w:rsidR="00FA4AA8" w:rsidRDefault="0015611F">
            <w:pPr>
              <w:pStyle w:val="TableParagraph"/>
              <w:spacing w:before="24"/>
              <w:ind w:right="244"/>
              <w:jc w:val="right"/>
              <w:rPr>
                <w:b/>
                <w:sz w:val="18"/>
              </w:rPr>
            </w:pPr>
            <w:r>
              <w:rPr>
                <w:b/>
                <w:sz w:val="18"/>
              </w:rPr>
              <w:t>19,847</w:t>
            </w:r>
          </w:p>
        </w:tc>
        <w:tc>
          <w:tcPr>
            <w:tcW w:w="1138" w:type="dxa"/>
          </w:tcPr>
          <w:p w14:paraId="77A22B95" w14:textId="77777777" w:rsidR="00FA4AA8" w:rsidRDefault="0015611F">
            <w:pPr>
              <w:pStyle w:val="TableParagraph"/>
              <w:spacing w:before="24"/>
              <w:ind w:right="86"/>
              <w:jc w:val="right"/>
              <w:rPr>
                <w:sz w:val="18"/>
              </w:rPr>
            </w:pPr>
            <w:r>
              <w:rPr>
                <w:sz w:val="18"/>
              </w:rPr>
              <w:t>33,861</w:t>
            </w:r>
          </w:p>
        </w:tc>
      </w:tr>
      <w:tr w:rsidR="00FA4AA8" w14:paraId="3AB90F45" w14:textId="77777777">
        <w:trPr>
          <w:trHeight w:val="256"/>
        </w:trPr>
        <w:tc>
          <w:tcPr>
            <w:tcW w:w="297" w:type="dxa"/>
          </w:tcPr>
          <w:p w14:paraId="73880977" w14:textId="77777777" w:rsidR="00FA4AA8" w:rsidRDefault="00FA4AA8">
            <w:pPr>
              <w:pStyle w:val="TableParagraph"/>
              <w:rPr>
                <w:rFonts w:ascii="Times New Roman"/>
                <w:sz w:val="18"/>
              </w:rPr>
            </w:pPr>
          </w:p>
        </w:tc>
        <w:tc>
          <w:tcPr>
            <w:tcW w:w="7071" w:type="dxa"/>
          </w:tcPr>
          <w:p w14:paraId="44E01D35" w14:textId="77777777" w:rsidR="00FA4AA8" w:rsidRDefault="0015611F">
            <w:pPr>
              <w:pStyle w:val="TableParagraph"/>
              <w:spacing w:before="26"/>
              <w:ind w:left="146"/>
              <w:rPr>
                <w:sz w:val="18"/>
              </w:rPr>
            </w:pPr>
            <w:r>
              <w:rPr>
                <w:sz w:val="18"/>
              </w:rPr>
              <w:t>Security</w:t>
            </w:r>
          </w:p>
        </w:tc>
        <w:tc>
          <w:tcPr>
            <w:tcW w:w="1455" w:type="dxa"/>
            <w:tcBorders>
              <w:bottom w:val="single" w:sz="8" w:space="0" w:color="000000"/>
            </w:tcBorders>
          </w:tcPr>
          <w:p w14:paraId="64CD4136" w14:textId="77777777" w:rsidR="00FA4AA8" w:rsidRDefault="0015611F">
            <w:pPr>
              <w:pStyle w:val="TableParagraph"/>
              <w:spacing w:before="24"/>
              <w:ind w:right="244"/>
              <w:jc w:val="right"/>
              <w:rPr>
                <w:b/>
                <w:sz w:val="18"/>
              </w:rPr>
            </w:pPr>
            <w:r>
              <w:rPr>
                <w:b/>
                <w:sz w:val="18"/>
              </w:rPr>
              <w:t>4,065</w:t>
            </w:r>
          </w:p>
        </w:tc>
        <w:tc>
          <w:tcPr>
            <w:tcW w:w="1138" w:type="dxa"/>
            <w:tcBorders>
              <w:bottom w:val="single" w:sz="8" w:space="0" w:color="000000"/>
            </w:tcBorders>
          </w:tcPr>
          <w:p w14:paraId="314B8EFB" w14:textId="77777777" w:rsidR="00FA4AA8" w:rsidRDefault="0015611F">
            <w:pPr>
              <w:pStyle w:val="TableParagraph"/>
              <w:spacing w:before="24"/>
              <w:ind w:right="86"/>
              <w:jc w:val="right"/>
              <w:rPr>
                <w:sz w:val="18"/>
              </w:rPr>
            </w:pPr>
            <w:r>
              <w:rPr>
                <w:sz w:val="18"/>
              </w:rPr>
              <w:t>28,423</w:t>
            </w:r>
          </w:p>
        </w:tc>
      </w:tr>
      <w:tr w:rsidR="00FA4AA8" w14:paraId="7C4D42D3" w14:textId="77777777">
        <w:trPr>
          <w:trHeight w:val="320"/>
        </w:trPr>
        <w:tc>
          <w:tcPr>
            <w:tcW w:w="297" w:type="dxa"/>
          </w:tcPr>
          <w:p w14:paraId="688BACF8" w14:textId="77777777" w:rsidR="00FA4AA8" w:rsidRDefault="00FA4AA8">
            <w:pPr>
              <w:pStyle w:val="TableParagraph"/>
              <w:rPr>
                <w:rFonts w:ascii="Times New Roman"/>
                <w:sz w:val="18"/>
              </w:rPr>
            </w:pPr>
          </w:p>
        </w:tc>
        <w:tc>
          <w:tcPr>
            <w:tcW w:w="7071" w:type="dxa"/>
          </w:tcPr>
          <w:p w14:paraId="51779D4E" w14:textId="77777777" w:rsidR="00FA4AA8" w:rsidRDefault="0015611F">
            <w:pPr>
              <w:pStyle w:val="TableParagraph"/>
              <w:spacing w:before="115" w:line="185" w:lineRule="exact"/>
              <w:ind w:left="146"/>
              <w:rPr>
                <w:b/>
                <w:sz w:val="18"/>
              </w:rPr>
            </w:pPr>
            <w:r>
              <w:rPr>
                <w:b/>
                <w:sz w:val="18"/>
              </w:rPr>
              <w:t>Total occupancy expenses</w:t>
            </w:r>
          </w:p>
        </w:tc>
        <w:tc>
          <w:tcPr>
            <w:tcW w:w="1455" w:type="dxa"/>
            <w:tcBorders>
              <w:top w:val="single" w:sz="8" w:space="0" w:color="000000"/>
              <w:bottom w:val="double" w:sz="2" w:space="0" w:color="000000"/>
            </w:tcBorders>
          </w:tcPr>
          <w:p w14:paraId="74DA92CC" w14:textId="77777777" w:rsidR="00FA4AA8" w:rsidRDefault="0015611F">
            <w:pPr>
              <w:pStyle w:val="TableParagraph"/>
              <w:spacing w:before="115" w:line="185" w:lineRule="exact"/>
              <w:ind w:right="244"/>
              <w:jc w:val="right"/>
              <w:rPr>
                <w:b/>
                <w:sz w:val="18"/>
              </w:rPr>
            </w:pPr>
            <w:r>
              <w:rPr>
                <w:b/>
                <w:sz w:val="18"/>
              </w:rPr>
              <w:t>189,852</w:t>
            </w:r>
          </w:p>
        </w:tc>
        <w:tc>
          <w:tcPr>
            <w:tcW w:w="1138" w:type="dxa"/>
            <w:tcBorders>
              <w:top w:val="single" w:sz="8" w:space="0" w:color="000000"/>
              <w:bottom w:val="double" w:sz="2" w:space="0" w:color="000000"/>
            </w:tcBorders>
          </w:tcPr>
          <w:p w14:paraId="003E97AC" w14:textId="77777777" w:rsidR="00FA4AA8" w:rsidRDefault="0015611F">
            <w:pPr>
              <w:pStyle w:val="TableParagraph"/>
              <w:spacing w:before="115" w:line="185" w:lineRule="exact"/>
              <w:ind w:right="86"/>
              <w:jc w:val="right"/>
              <w:rPr>
                <w:sz w:val="18"/>
              </w:rPr>
            </w:pPr>
            <w:r>
              <w:rPr>
                <w:sz w:val="18"/>
              </w:rPr>
              <w:t>237,656</w:t>
            </w:r>
          </w:p>
        </w:tc>
      </w:tr>
    </w:tbl>
    <w:p w14:paraId="3B099257" w14:textId="77777777" w:rsidR="00FA4AA8" w:rsidRDefault="00FA4AA8">
      <w:pPr>
        <w:pStyle w:val="BodyText"/>
        <w:spacing w:before="10"/>
        <w:rPr>
          <w:sz w:val="17"/>
        </w:rPr>
      </w:pPr>
    </w:p>
    <w:p w14:paraId="793FD4DD" w14:textId="77777777" w:rsidR="00FA4AA8" w:rsidRDefault="0015611F">
      <w:pPr>
        <w:pStyle w:val="BodyText"/>
        <w:spacing w:before="95"/>
        <w:ind w:left="564" w:right="143"/>
        <w:jc w:val="both"/>
      </w:pPr>
      <w:r>
        <w:t>* Western Unlimited Ltd currently resides in facilities owned by the University for which there is no charge. The value of this accommodation cannot be reliably measured or quantified due to the specialised nature of the premises, therefore no expense has been recognised in the financial statements.</w:t>
      </w:r>
    </w:p>
    <w:p w14:paraId="20D62A82" w14:textId="77777777" w:rsidR="00FA4AA8" w:rsidRDefault="00FA4AA8">
      <w:pPr>
        <w:pStyle w:val="BodyText"/>
        <w:rPr>
          <w:sz w:val="20"/>
        </w:rPr>
      </w:pPr>
    </w:p>
    <w:p w14:paraId="53297965" w14:textId="77777777" w:rsidR="00FA4AA8" w:rsidRDefault="00FA4AA8">
      <w:pPr>
        <w:pStyle w:val="BodyText"/>
        <w:rPr>
          <w:sz w:val="20"/>
        </w:rPr>
      </w:pPr>
    </w:p>
    <w:p w14:paraId="7922EC0F" w14:textId="77777777" w:rsidR="00FA4AA8" w:rsidRDefault="00FA4AA8">
      <w:pPr>
        <w:pStyle w:val="BodyText"/>
        <w:spacing w:before="1"/>
        <w:rPr>
          <w:sz w:val="13"/>
        </w:rPr>
      </w:pPr>
    </w:p>
    <w:tbl>
      <w:tblPr>
        <w:tblW w:w="0" w:type="auto"/>
        <w:tblInd w:w="521" w:type="dxa"/>
        <w:tblLayout w:type="fixed"/>
        <w:tblCellMar>
          <w:left w:w="0" w:type="dxa"/>
          <w:right w:w="0" w:type="dxa"/>
        </w:tblCellMar>
        <w:tblLook w:val="01E0" w:firstRow="1" w:lastRow="1" w:firstColumn="1" w:lastColumn="1" w:noHBand="0" w:noVBand="0"/>
      </w:tblPr>
      <w:tblGrid>
        <w:gridCol w:w="6974"/>
        <w:gridCol w:w="1580"/>
        <w:gridCol w:w="1011"/>
      </w:tblGrid>
      <w:tr w:rsidR="00FA4AA8" w14:paraId="02E63454" w14:textId="77777777">
        <w:trPr>
          <w:trHeight w:val="218"/>
        </w:trPr>
        <w:tc>
          <w:tcPr>
            <w:tcW w:w="6974" w:type="dxa"/>
          </w:tcPr>
          <w:p w14:paraId="4BC6E985" w14:textId="77777777" w:rsidR="00FA4AA8" w:rsidRDefault="0015611F">
            <w:pPr>
              <w:pStyle w:val="TableParagraph"/>
              <w:spacing w:line="198" w:lineRule="exact"/>
              <w:ind w:left="50"/>
              <w:rPr>
                <w:b/>
                <w:sz w:val="18"/>
              </w:rPr>
            </w:pPr>
            <w:r>
              <w:rPr>
                <w:b/>
                <w:sz w:val="18"/>
              </w:rPr>
              <w:t>Depreciation</w:t>
            </w:r>
          </w:p>
        </w:tc>
        <w:tc>
          <w:tcPr>
            <w:tcW w:w="2591" w:type="dxa"/>
            <w:gridSpan w:val="2"/>
          </w:tcPr>
          <w:p w14:paraId="28F966B7" w14:textId="77777777" w:rsidR="00FA4AA8" w:rsidRDefault="00FA4AA8">
            <w:pPr>
              <w:pStyle w:val="TableParagraph"/>
              <w:rPr>
                <w:rFonts w:ascii="Times New Roman"/>
                <w:sz w:val="14"/>
              </w:rPr>
            </w:pPr>
          </w:p>
        </w:tc>
      </w:tr>
      <w:tr w:rsidR="00FA4AA8" w14:paraId="02B76162" w14:textId="77777777">
        <w:trPr>
          <w:trHeight w:val="250"/>
        </w:trPr>
        <w:tc>
          <w:tcPr>
            <w:tcW w:w="6974" w:type="dxa"/>
          </w:tcPr>
          <w:p w14:paraId="547236AF" w14:textId="77777777" w:rsidR="00FA4AA8" w:rsidRDefault="0015611F">
            <w:pPr>
              <w:pStyle w:val="TableParagraph"/>
              <w:spacing w:before="13"/>
              <w:ind w:left="50"/>
              <w:rPr>
                <w:sz w:val="18"/>
              </w:rPr>
            </w:pPr>
            <w:r>
              <w:rPr>
                <w:sz w:val="18"/>
              </w:rPr>
              <w:t>Plant and equipment</w:t>
            </w:r>
          </w:p>
        </w:tc>
        <w:tc>
          <w:tcPr>
            <w:tcW w:w="1580" w:type="dxa"/>
          </w:tcPr>
          <w:p w14:paraId="3CA8ABF2" w14:textId="77777777" w:rsidR="00FA4AA8" w:rsidRDefault="0015611F">
            <w:pPr>
              <w:pStyle w:val="TableParagraph"/>
              <w:spacing w:before="11"/>
              <w:ind w:right="368"/>
              <w:jc w:val="right"/>
              <w:rPr>
                <w:b/>
                <w:sz w:val="18"/>
              </w:rPr>
            </w:pPr>
            <w:r>
              <w:rPr>
                <w:b/>
                <w:sz w:val="18"/>
              </w:rPr>
              <w:t>8,426</w:t>
            </w:r>
          </w:p>
        </w:tc>
        <w:tc>
          <w:tcPr>
            <w:tcW w:w="1011" w:type="dxa"/>
          </w:tcPr>
          <w:p w14:paraId="2DD941A0" w14:textId="77777777" w:rsidR="00FA4AA8" w:rsidRDefault="0015611F">
            <w:pPr>
              <w:pStyle w:val="TableParagraph"/>
              <w:spacing w:before="11"/>
              <w:ind w:right="83"/>
              <w:jc w:val="right"/>
              <w:rPr>
                <w:sz w:val="18"/>
              </w:rPr>
            </w:pPr>
            <w:r>
              <w:rPr>
                <w:sz w:val="18"/>
              </w:rPr>
              <w:t>8,914</w:t>
            </w:r>
          </w:p>
        </w:tc>
      </w:tr>
      <w:tr w:rsidR="00FA4AA8" w14:paraId="09AE64E6" w14:textId="77777777">
        <w:trPr>
          <w:trHeight w:val="256"/>
        </w:trPr>
        <w:tc>
          <w:tcPr>
            <w:tcW w:w="6974" w:type="dxa"/>
          </w:tcPr>
          <w:p w14:paraId="501FA04D" w14:textId="77777777" w:rsidR="00FA4AA8" w:rsidRDefault="0015611F">
            <w:pPr>
              <w:pStyle w:val="TableParagraph"/>
              <w:spacing w:before="26"/>
              <w:ind w:left="50"/>
              <w:rPr>
                <w:sz w:val="18"/>
              </w:rPr>
            </w:pPr>
            <w:r>
              <w:rPr>
                <w:sz w:val="18"/>
              </w:rPr>
              <w:t>Motor vehicles</w:t>
            </w:r>
          </w:p>
        </w:tc>
        <w:tc>
          <w:tcPr>
            <w:tcW w:w="1580" w:type="dxa"/>
            <w:tcBorders>
              <w:bottom w:val="single" w:sz="8" w:space="0" w:color="000000"/>
            </w:tcBorders>
          </w:tcPr>
          <w:p w14:paraId="6855908D" w14:textId="77777777" w:rsidR="00FA4AA8" w:rsidRDefault="0015611F">
            <w:pPr>
              <w:pStyle w:val="TableParagraph"/>
              <w:spacing w:before="24"/>
              <w:ind w:right="368"/>
              <w:jc w:val="right"/>
              <w:rPr>
                <w:b/>
                <w:sz w:val="18"/>
              </w:rPr>
            </w:pPr>
            <w:r>
              <w:rPr>
                <w:b/>
                <w:sz w:val="18"/>
              </w:rPr>
              <w:t>2,106</w:t>
            </w:r>
          </w:p>
        </w:tc>
        <w:tc>
          <w:tcPr>
            <w:tcW w:w="1011" w:type="dxa"/>
            <w:tcBorders>
              <w:bottom w:val="single" w:sz="8" w:space="0" w:color="000000"/>
            </w:tcBorders>
          </w:tcPr>
          <w:p w14:paraId="35975541" w14:textId="77777777" w:rsidR="00FA4AA8" w:rsidRDefault="0015611F">
            <w:pPr>
              <w:pStyle w:val="TableParagraph"/>
              <w:spacing w:before="24"/>
              <w:ind w:right="83"/>
              <w:jc w:val="right"/>
              <w:rPr>
                <w:sz w:val="18"/>
              </w:rPr>
            </w:pPr>
            <w:r>
              <w:rPr>
                <w:sz w:val="18"/>
              </w:rPr>
              <w:t>11,145</w:t>
            </w:r>
          </w:p>
        </w:tc>
      </w:tr>
      <w:tr w:rsidR="00FA4AA8" w14:paraId="20BFD519" w14:textId="77777777">
        <w:trPr>
          <w:trHeight w:val="320"/>
        </w:trPr>
        <w:tc>
          <w:tcPr>
            <w:tcW w:w="6974" w:type="dxa"/>
          </w:tcPr>
          <w:p w14:paraId="02618D92" w14:textId="77777777" w:rsidR="00FA4AA8" w:rsidRDefault="0015611F">
            <w:pPr>
              <w:pStyle w:val="TableParagraph"/>
              <w:spacing w:before="115" w:line="185" w:lineRule="exact"/>
              <w:ind w:left="50"/>
              <w:rPr>
                <w:b/>
                <w:sz w:val="18"/>
              </w:rPr>
            </w:pPr>
            <w:r>
              <w:rPr>
                <w:b/>
                <w:sz w:val="18"/>
              </w:rPr>
              <w:t>Total depreciation</w:t>
            </w:r>
          </w:p>
        </w:tc>
        <w:tc>
          <w:tcPr>
            <w:tcW w:w="1580" w:type="dxa"/>
            <w:tcBorders>
              <w:top w:val="single" w:sz="8" w:space="0" w:color="000000"/>
              <w:bottom w:val="double" w:sz="2" w:space="0" w:color="000000"/>
            </w:tcBorders>
          </w:tcPr>
          <w:p w14:paraId="7380CE7C" w14:textId="77777777" w:rsidR="00FA4AA8" w:rsidRDefault="0015611F">
            <w:pPr>
              <w:pStyle w:val="TableParagraph"/>
              <w:spacing w:before="115" w:line="185" w:lineRule="exact"/>
              <w:ind w:right="368"/>
              <w:jc w:val="right"/>
              <w:rPr>
                <w:b/>
                <w:sz w:val="18"/>
              </w:rPr>
            </w:pPr>
            <w:r>
              <w:rPr>
                <w:b/>
                <w:sz w:val="18"/>
              </w:rPr>
              <w:t>10,532</w:t>
            </w:r>
          </w:p>
        </w:tc>
        <w:tc>
          <w:tcPr>
            <w:tcW w:w="1011" w:type="dxa"/>
            <w:tcBorders>
              <w:top w:val="single" w:sz="8" w:space="0" w:color="000000"/>
              <w:bottom w:val="double" w:sz="2" w:space="0" w:color="000000"/>
            </w:tcBorders>
          </w:tcPr>
          <w:p w14:paraId="2F7E70F3" w14:textId="77777777" w:rsidR="00FA4AA8" w:rsidRDefault="0015611F">
            <w:pPr>
              <w:pStyle w:val="TableParagraph"/>
              <w:spacing w:before="115" w:line="185" w:lineRule="exact"/>
              <w:ind w:right="83"/>
              <w:jc w:val="right"/>
              <w:rPr>
                <w:sz w:val="18"/>
              </w:rPr>
            </w:pPr>
            <w:r>
              <w:rPr>
                <w:sz w:val="18"/>
              </w:rPr>
              <w:t>20,059</w:t>
            </w:r>
          </w:p>
        </w:tc>
      </w:tr>
    </w:tbl>
    <w:p w14:paraId="7A5EEA1C" w14:textId="77777777" w:rsidR="00FA4AA8" w:rsidRDefault="00FA4AA8">
      <w:pPr>
        <w:spacing w:line="185" w:lineRule="exact"/>
        <w:jc w:val="right"/>
        <w:rPr>
          <w:sz w:val="18"/>
        </w:rPr>
        <w:sectPr w:rsidR="00FA4AA8">
          <w:pgSz w:w="11910" w:h="16840"/>
          <w:pgMar w:top="1460" w:right="840" w:bottom="720" w:left="840" w:header="1016" w:footer="523" w:gutter="0"/>
          <w:cols w:space="720"/>
        </w:sectPr>
      </w:pPr>
    </w:p>
    <w:p w14:paraId="26481FB2" w14:textId="77777777" w:rsidR="00FA4AA8" w:rsidRDefault="00FA4AA8">
      <w:pPr>
        <w:pStyle w:val="BodyText"/>
        <w:spacing w:before="6"/>
        <w:rPr>
          <w:sz w:val="21"/>
        </w:rPr>
      </w:pPr>
    </w:p>
    <w:p w14:paraId="37F4BC51" w14:textId="77777777" w:rsidR="00FA4AA8" w:rsidRDefault="0015611F">
      <w:pPr>
        <w:pStyle w:val="Heading2"/>
      </w:pPr>
      <w:r>
        <w:t>Notes to the Financial Statements</w:t>
      </w:r>
    </w:p>
    <w:p w14:paraId="42E9424C" w14:textId="77777777" w:rsidR="00FA4AA8" w:rsidRDefault="0015611F">
      <w:pPr>
        <w:pStyle w:val="Heading6"/>
        <w:ind w:left="167"/>
      </w:pPr>
      <w:r>
        <w:t>For the Year Ended 31 December 2018</w:t>
      </w:r>
    </w:p>
    <w:p w14:paraId="09A13368" w14:textId="77777777" w:rsidR="00FA4AA8" w:rsidRDefault="00FA4AA8">
      <w:pPr>
        <w:pStyle w:val="BodyText"/>
        <w:spacing w:before="7"/>
        <w:rPr>
          <w:b/>
          <w:sz w:val="25"/>
        </w:rPr>
      </w:pPr>
    </w:p>
    <w:tbl>
      <w:tblPr>
        <w:tblW w:w="0" w:type="auto"/>
        <w:tblInd w:w="127" w:type="dxa"/>
        <w:tblLayout w:type="fixed"/>
        <w:tblCellMar>
          <w:left w:w="0" w:type="dxa"/>
          <w:right w:w="0" w:type="dxa"/>
        </w:tblCellMar>
        <w:tblLook w:val="01E0" w:firstRow="1" w:lastRow="1" w:firstColumn="1" w:lastColumn="1" w:noHBand="0" w:noVBand="0"/>
      </w:tblPr>
      <w:tblGrid>
        <w:gridCol w:w="297"/>
        <w:gridCol w:w="7071"/>
        <w:gridCol w:w="1455"/>
        <w:gridCol w:w="1138"/>
      </w:tblGrid>
      <w:tr w:rsidR="00FA4AA8" w14:paraId="64346AA8" w14:textId="77777777">
        <w:trPr>
          <w:trHeight w:val="234"/>
        </w:trPr>
        <w:tc>
          <w:tcPr>
            <w:tcW w:w="297" w:type="dxa"/>
          </w:tcPr>
          <w:p w14:paraId="083DCF70" w14:textId="77777777" w:rsidR="00FA4AA8" w:rsidRDefault="0015611F">
            <w:pPr>
              <w:pStyle w:val="TableParagraph"/>
              <w:spacing w:line="201" w:lineRule="exact"/>
              <w:ind w:left="50"/>
              <w:rPr>
                <w:b/>
                <w:sz w:val="18"/>
              </w:rPr>
            </w:pPr>
            <w:r>
              <w:rPr>
                <w:b/>
                <w:sz w:val="18"/>
              </w:rPr>
              <w:t>4</w:t>
            </w:r>
          </w:p>
        </w:tc>
        <w:tc>
          <w:tcPr>
            <w:tcW w:w="7071" w:type="dxa"/>
          </w:tcPr>
          <w:p w14:paraId="464BA712" w14:textId="77777777" w:rsidR="00FA4AA8" w:rsidRDefault="0015611F">
            <w:pPr>
              <w:pStyle w:val="TableParagraph"/>
              <w:spacing w:line="201" w:lineRule="exact"/>
              <w:ind w:left="146"/>
              <w:rPr>
                <w:b/>
                <w:sz w:val="18"/>
              </w:rPr>
            </w:pPr>
            <w:r>
              <w:rPr>
                <w:b/>
                <w:sz w:val="18"/>
              </w:rPr>
              <w:t>Expenses (Continued)</w:t>
            </w:r>
          </w:p>
        </w:tc>
        <w:tc>
          <w:tcPr>
            <w:tcW w:w="2593" w:type="dxa"/>
            <w:gridSpan w:val="2"/>
          </w:tcPr>
          <w:p w14:paraId="5F553DE5" w14:textId="77777777" w:rsidR="00FA4AA8" w:rsidRDefault="00FA4AA8">
            <w:pPr>
              <w:pStyle w:val="TableParagraph"/>
              <w:rPr>
                <w:rFonts w:ascii="Times New Roman"/>
                <w:sz w:val="16"/>
              </w:rPr>
            </w:pPr>
          </w:p>
        </w:tc>
      </w:tr>
      <w:tr w:rsidR="00FA4AA8" w14:paraId="1D968E29" w14:textId="77777777">
        <w:trPr>
          <w:trHeight w:val="271"/>
        </w:trPr>
        <w:tc>
          <w:tcPr>
            <w:tcW w:w="297" w:type="dxa"/>
          </w:tcPr>
          <w:p w14:paraId="49ECA185" w14:textId="77777777" w:rsidR="00FA4AA8" w:rsidRDefault="00FA4AA8">
            <w:pPr>
              <w:pStyle w:val="TableParagraph"/>
              <w:rPr>
                <w:rFonts w:ascii="Times New Roman"/>
                <w:sz w:val="18"/>
              </w:rPr>
            </w:pPr>
          </w:p>
        </w:tc>
        <w:tc>
          <w:tcPr>
            <w:tcW w:w="7071" w:type="dxa"/>
          </w:tcPr>
          <w:p w14:paraId="15FD5A23" w14:textId="77777777" w:rsidR="00FA4AA8" w:rsidRDefault="00FA4AA8">
            <w:pPr>
              <w:pStyle w:val="TableParagraph"/>
              <w:rPr>
                <w:rFonts w:ascii="Times New Roman"/>
                <w:sz w:val="18"/>
              </w:rPr>
            </w:pPr>
          </w:p>
        </w:tc>
        <w:tc>
          <w:tcPr>
            <w:tcW w:w="1455" w:type="dxa"/>
          </w:tcPr>
          <w:p w14:paraId="3377BCFE" w14:textId="77777777" w:rsidR="00FA4AA8" w:rsidRDefault="0015611F">
            <w:pPr>
              <w:pStyle w:val="TableParagraph"/>
              <w:spacing w:before="28"/>
              <w:ind w:left="431"/>
              <w:rPr>
                <w:b/>
                <w:sz w:val="18"/>
              </w:rPr>
            </w:pPr>
            <w:r>
              <w:rPr>
                <w:b/>
                <w:sz w:val="18"/>
              </w:rPr>
              <w:t>2018</w:t>
            </w:r>
          </w:p>
        </w:tc>
        <w:tc>
          <w:tcPr>
            <w:tcW w:w="1138" w:type="dxa"/>
          </w:tcPr>
          <w:p w14:paraId="139A32AB" w14:textId="77777777" w:rsidR="00FA4AA8" w:rsidRDefault="0015611F">
            <w:pPr>
              <w:pStyle w:val="TableParagraph"/>
              <w:spacing w:before="28"/>
              <w:ind w:left="272"/>
              <w:rPr>
                <w:b/>
                <w:sz w:val="18"/>
              </w:rPr>
            </w:pPr>
            <w:r>
              <w:rPr>
                <w:b/>
                <w:sz w:val="18"/>
              </w:rPr>
              <w:t>2017</w:t>
            </w:r>
          </w:p>
        </w:tc>
      </w:tr>
      <w:tr w:rsidR="00FA4AA8" w14:paraId="7D3059F8" w14:textId="77777777">
        <w:trPr>
          <w:trHeight w:val="327"/>
        </w:trPr>
        <w:tc>
          <w:tcPr>
            <w:tcW w:w="297" w:type="dxa"/>
          </w:tcPr>
          <w:p w14:paraId="33D86BAD" w14:textId="77777777" w:rsidR="00FA4AA8" w:rsidRDefault="00FA4AA8">
            <w:pPr>
              <w:pStyle w:val="TableParagraph"/>
              <w:rPr>
                <w:rFonts w:ascii="Times New Roman"/>
                <w:sz w:val="18"/>
              </w:rPr>
            </w:pPr>
          </w:p>
        </w:tc>
        <w:tc>
          <w:tcPr>
            <w:tcW w:w="7071" w:type="dxa"/>
          </w:tcPr>
          <w:p w14:paraId="10A788D8" w14:textId="77777777" w:rsidR="00FA4AA8" w:rsidRDefault="00FA4AA8">
            <w:pPr>
              <w:pStyle w:val="TableParagraph"/>
              <w:rPr>
                <w:rFonts w:ascii="Times New Roman"/>
                <w:sz w:val="18"/>
              </w:rPr>
            </w:pPr>
          </w:p>
        </w:tc>
        <w:tc>
          <w:tcPr>
            <w:tcW w:w="1455" w:type="dxa"/>
          </w:tcPr>
          <w:p w14:paraId="06397467" w14:textId="77777777" w:rsidR="00FA4AA8" w:rsidRDefault="0015611F">
            <w:pPr>
              <w:pStyle w:val="TableParagraph"/>
              <w:spacing w:before="30"/>
              <w:ind w:right="187"/>
              <w:jc w:val="center"/>
              <w:rPr>
                <w:b/>
                <w:sz w:val="18"/>
              </w:rPr>
            </w:pPr>
            <w:r>
              <w:rPr>
                <w:b/>
                <w:sz w:val="18"/>
              </w:rPr>
              <w:t>$</w:t>
            </w:r>
          </w:p>
        </w:tc>
        <w:tc>
          <w:tcPr>
            <w:tcW w:w="1138" w:type="dxa"/>
          </w:tcPr>
          <w:p w14:paraId="65335427" w14:textId="77777777" w:rsidR="00FA4AA8" w:rsidRDefault="0015611F">
            <w:pPr>
              <w:pStyle w:val="TableParagraph"/>
              <w:spacing w:before="30"/>
              <w:ind w:right="188"/>
              <w:jc w:val="center"/>
              <w:rPr>
                <w:b/>
                <w:sz w:val="18"/>
              </w:rPr>
            </w:pPr>
            <w:r>
              <w:rPr>
                <w:b/>
                <w:sz w:val="18"/>
              </w:rPr>
              <w:t>$</w:t>
            </w:r>
          </w:p>
        </w:tc>
      </w:tr>
      <w:tr w:rsidR="00FA4AA8" w14:paraId="7FF8CAF2" w14:textId="77777777">
        <w:trPr>
          <w:trHeight w:val="559"/>
        </w:trPr>
        <w:tc>
          <w:tcPr>
            <w:tcW w:w="297" w:type="dxa"/>
          </w:tcPr>
          <w:p w14:paraId="42F87E52" w14:textId="77777777" w:rsidR="00FA4AA8" w:rsidRDefault="00FA4AA8">
            <w:pPr>
              <w:pStyle w:val="TableParagraph"/>
              <w:rPr>
                <w:rFonts w:ascii="Times New Roman"/>
                <w:sz w:val="18"/>
              </w:rPr>
            </w:pPr>
          </w:p>
        </w:tc>
        <w:tc>
          <w:tcPr>
            <w:tcW w:w="7071" w:type="dxa"/>
          </w:tcPr>
          <w:p w14:paraId="5212FA1D" w14:textId="77777777" w:rsidR="00FA4AA8" w:rsidRDefault="0015611F">
            <w:pPr>
              <w:pStyle w:val="TableParagraph"/>
              <w:spacing w:before="84"/>
              <w:ind w:left="146"/>
              <w:rPr>
                <w:b/>
                <w:sz w:val="18"/>
              </w:rPr>
            </w:pPr>
            <w:r>
              <w:rPr>
                <w:b/>
                <w:sz w:val="18"/>
              </w:rPr>
              <w:t>Other expenses</w:t>
            </w:r>
          </w:p>
          <w:p w14:paraId="3D11FAB5" w14:textId="77777777" w:rsidR="00FA4AA8" w:rsidRDefault="0015611F">
            <w:pPr>
              <w:pStyle w:val="TableParagraph"/>
              <w:spacing w:before="31"/>
              <w:ind w:left="146"/>
              <w:rPr>
                <w:sz w:val="18"/>
              </w:rPr>
            </w:pPr>
            <w:r>
              <w:rPr>
                <w:sz w:val="18"/>
              </w:rPr>
              <w:t>Consultancy, agency and service provider fees</w:t>
            </w:r>
          </w:p>
        </w:tc>
        <w:tc>
          <w:tcPr>
            <w:tcW w:w="1455" w:type="dxa"/>
          </w:tcPr>
          <w:p w14:paraId="75CBD93A" w14:textId="77777777" w:rsidR="00FA4AA8" w:rsidRDefault="00FA4AA8">
            <w:pPr>
              <w:pStyle w:val="TableParagraph"/>
              <w:spacing w:before="9"/>
              <w:rPr>
                <w:b/>
                <w:sz w:val="27"/>
              </w:rPr>
            </w:pPr>
          </w:p>
          <w:p w14:paraId="2859805B" w14:textId="77777777" w:rsidR="00FA4AA8" w:rsidRDefault="0015611F">
            <w:pPr>
              <w:pStyle w:val="TableParagraph"/>
              <w:ind w:right="244"/>
              <w:jc w:val="right"/>
              <w:rPr>
                <w:b/>
                <w:sz w:val="18"/>
              </w:rPr>
            </w:pPr>
            <w:r>
              <w:rPr>
                <w:b/>
                <w:sz w:val="18"/>
              </w:rPr>
              <w:t>230,964</w:t>
            </w:r>
          </w:p>
        </w:tc>
        <w:tc>
          <w:tcPr>
            <w:tcW w:w="1138" w:type="dxa"/>
          </w:tcPr>
          <w:p w14:paraId="0C9DE752" w14:textId="77777777" w:rsidR="00FA4AA8" w:rsidRDefault="00FA4AA8">
            <w:pPr>
              <w:pStyle w:val="TableParagraph"/>
              <w:spacing w:before="9"/>
              <w:rPr>
                <w:b/>
                <w:sz w:val="27"/>
              </w:rPr>
            </w:pPr>
          </w:p>
          <w:p w14:paraId="20BFFA7A" w14:textId="77777777" w:rsidR="00FA4AA8" w:rsidRDefault="0015611F">
            <w:pPr>
              <w:pStyle w:val="TableParagraph"/>
              <w:ind w:right="86"/>
              <w:jc w:val="right"/>
              <w:rPr>
                <w:sz w:val="18"/>
              </w:rPr>
            </w:pPr>
            <w:r>
              <w:rPr>
                <w:sz w:val="18"/>
              </w:rPr>
              <w:t>234,065</w:t>
            </w:r>
          </w:p>
        </w:tc>
      </w:tr>
      <w:tr w:rsidR="00FA4AA8" w14:paraId="7B4E5C6A" w14:textId="77777777">
        <w:trPr>
          <w:trHeight w:val="263"/>
        </w:trPr>
        <w:tc>
          <w:tcPr>
            <w:tcW w:w="297" w:type="dxa"/>
          </w:tcPr>
          <w:p w14:paraId="068EA1B3" w14:textId="77777777" w:rsidR="00FA4AA8" w:rsidRDefault="00FA4AA8">
            <w:pPr>
              <w:pStyle w:val="TableParagraph"/>
              <w:rPr>
                <w:rFonts w:ascii="Times New Roman"/>
                <w:sz w:val="18"/>
              </w:rPr>
            </w:pPr>
          </w:p>
        </w:tc>
        <w:tc>
          <w:tcPr>
            <w:tcW w:w="7071" w:type="dxa"/>
          </w:tcPr>
          <w:p w14:paraId="28DE0634" w14:textId="77777777" w:rsidR="00FA4AA8" w:rsidRDefault="0015611F">
            <w:pPr>
              <w:pStyle w:val="TableParagraph"/>
              <w:spacing w:before="26"/>
              <w:ind w:left="146"/>
              <w:rPr>
                <w:sz w:val="18"/>
              </w:rPr>
            </w:pPr>
            <w:r>
              <w:rPr>
                <w:sz w:val="18"/>
              </w:rPr>
              <w:t>Consumables and supplies</w:t>
            </w:r>
          </w:p>
        </w:tc>
        <w:tc>
          <w:tcPr>
            <w:tcW w:w="1455" w:type="dxa"/>
          </w:tcPr>
          <w:p w14:paraId="68A0B8E1" w14:textId="77777777" w:rsidR="00FA4AA8" w:rsidRDefault="0015611F">
            <w:pPr>
              <w:pStyle w:val="TableParagraph"/>
              <w:spacing w:before="24"/>
              <w:ind w:right="244"/>
              <w:jc w:val="right"/>
              <w:rPr>
                <w:b/>
                <w:sz w:val="18"/>
              </w:rPr>
            </w:pPr>
            <w:r>
              <w:rPr>
                <w:b/>
                <w:sz w:val="18"/>
              </w:rPr>
              <w:t>80,976</w:t>
            </w:r>
          </w:p>
        </w:tc>
        <w:tc>
          <w:tcPr>
            <w:tcW w:w="1138" w:type="dxa"/>
          </w:tcPr>
          <w:p w14:paraId="78E16E38" w14:textId="77777777" w:rsidR="00FA4AA8" w:rsidRDefault="0015611F">
            <w:pPr>
              <w:pStyle w:val="TableParagraph"/>
              <w:spacing w:before="24"/>
              <w:ind w:right="86"/>
              <w:jc w:val="right"/>
              <w:rPr>
                <w:sz w:val="18"/>
              </w:rPr>
            </w:pPr>
            <w:r>
              <w:rPr>
                <w:sz w:val="18"/>
              </w:rPr>
              <w:t>360,520</w:t>
            </w:r>
          </w:p>
        </w:tc>
      </w:tr>
      <w:tr w:rsidR="00FA4AA8" w14:paraId="3BD5718E" w14:textId="77777777">
        <w:trPr>
          <w:trHeight w:val="264"/>
        </w:trPr>
        <w:tc>
          <w:tcPr>
            <w:tcW w:w="297" w:type="dxa"/>
          </w:tcPr>
          <w:p w14:paraId="083C5B4D" w14:textId="77777777" w:rsidR="00FA4AA8" w:rsidRDefault="00FA4AA8">
            <w:pPr>
              <w:pStyle w:val="TableParagraph"/>
              <w:rPr>
                <w:rFonts w:ascii="Times New Roman"/>
                <w:sz w:val="18"/>
              </w:rPr>
            </w:pPr>
          </w:p>
        </w:tc>
        <w:tc>
          <w:tcPr>
            <w:tcW w:w="7071" w:type="dxa"/>
          </w:tcPr>
          <w:p w14:paraId="0E875824" w14:textId="77777777" w:rsidR="00FA4AA8" w:rsidRDefault="0015611F">
            <w:pPr>
              <w:pStyle w:val="TableParagraph"/>
              <w:spacing w:before="26"/>
              <w:ind w:left="146"/>
              <w:rPr>
                <w:sz w:val="18"/>
              </w:rPr>
            </w:pPr>
            <w:r>
              <w:rPr>
                <w:sz w:val="18"/>
              </w:rPr>
              <w:t>Equipment hire</w:t>
            </w:r>
          </w:p>
        </w:tc>
        <w:tc>
          <w:tcPr>
            <w:tcW w:w="1455" w:type="dxa"/>
          </w:tcPr>
          <w:p w14:paraId="794D1545" w14:textId="77777777" w:rsidR="00FA4AA8" w:rsidRDefault="0015611F">
            <w:pPr>
              <w:pStyle w:val="TableParagraph"/>
              <w:spacing w:before="24"/>
              <w:ind w:right="244"/>
              <w:jc w:val="right"/>
              <w:rPr>
                <w:b/>
                <w:sz w:val="18"/>
              </w:rPr>
            </w:pPr>
            <w:r>
              <w:rPr>
                <w:b/>
                <w:sz w:val="18"/>
              </w:rPr>
              <w:t>46,445</w:t>
            </w:r>
          </w:p>
        </w:tc>
        <w:tc>
          <w:tcPr>
            <w:tcW w:w="1138" w:type="dxa"/>
          </w:tcPr>
          <w:p w14:paraId="1D36011D" w14:textId="77777777" w:rsidR="00FA4AA8" w:rsidRDefault="0015611F">
            <w:pPr>
              <w:pStyle w:val="TableParagraph"/>
              <w:spacing w:before="24"/>
              <w:ind w:right="86"/>
              <w:jc w:val="right"/>
              <w:rPr>
                <w:sz w:val="18"/>
              </w:rPr>
            </w:pPr>
            <w:r>
              <w:rPr>
                <w:sz w:val="18"/>
              </w:rPr>
              <w:t>44,788</w:t>
            </w:r>
          </w:p>
        </w:tc>
      </w:tr>
      <w:tr w:rsidR="00FA4AA8" w14:paraId="5BA02C1D" w14:textId="77777777">
        <w:trPr>
          <w:trHeight w:val="264"/>
        </w:trPr>
        <w:tc>
          <w:tcPr>
            <w:tcW w:w="297" w:type="dxa"/>
          </w:tcPr>
          <w:p w14:paraId="06721B06" w14:textId="77777777" w:rsidR="00FA4AA8" w:rsidRDefault="00FA4AA8">
            <w:pPr>
              <w:pStyle w:val="TableParagraph"/>
              <w:rPr>
                <w:rFonts w:ascii="Times New Roman"/>
                <w:sz w:val="18"/>
              </w:rPr>
            </w:pPr>
          </w:p>
        </w:tc>
        <w:tc>
          <w:tcPr>
            <w:tcW w:w="7071" w:type="dxa"/>
          </w:tcPr>
          <w:p w14:paraId="62835EC3" w14:textId="77777777" w:rsidR="00FA4AA8" w:rsidRDefault="0015611F">
            <w:pPr>
              <w:pStyle w:val="TableParagraph"/>
              <w:spacing w:before="26"/>
              <w:ind w:left="146"/>
              <w:rPr>
                <w:sz w:val="18"/>
              </w:rPr>
            </w:pPr>
            <w:r>
              <w:rPr>
                <w:sz w:val="18"/>
              </w:rPr>
              <w:t>Motor vehicle</w:t>
            </w:r>
          </w:p>
        </w:tc>
        <w:tc>
          <w:tcPr>
            <w:tcW w:w="1455" w:type="dxa"/>
          </w:tcPr>
          <w:p w14:paraId="64D757C6" w14:textId="77777777" w:rsidR="00FA4AA8" w:rsidRDefault="0015611F">
            <w:pPr>
              <w:pStyle w:val="TableParagraph"/>
              <w:spacing w:before="24"/>
              <w:ind w:right="244"/>
              <w:jc w:val="right"/>
              <w:rPr>
                <w:b/>
                <w:sz w:val="18"/>
              </w:rPr>
            </w:pPr>
            <w:r>
              <w:rPr>
                <w:b/>
                <w:sz w:val="18"/>
              </w:rPr>
              <w:t>27,515</w:t>
            </w:r>
          </w:p>
        </w:tc>
        <w:tc>
          <w:tcPr>
            <w:tcW w:w="1138" w:type="dxa"/>
          </w:tcPr>
          <w:p w14:paraId="344F2737" w14:textId="77777777" w:rsidR="00FA4AA8" w:rsidRDefault="0015611F">
            <w:pPr>
              <w:pStyle w:val="TableParagraph"/>
              <w:spacing w:before="24"/>
              <w:ind w:right="86"/>
              <w:jc w:val="right"/>
              <w:rPr>
                <w:sz w:val="18"/>
              </w:rPr>
            </w:pPr>
            <w:r>
              <w:rPr>
                <w:sz w:val="18"/>
              </w:rPr>
              <w:t>68,872</w:t>
            </w:r>
          </w:p>
        </w:tc>
      </w:tr>
      <w:tr w:rsidR="00FA4AA8" w14:paraId="6D7ED8C4" w14:textId="77777777">
        <w:trPr>
          <w:trHeight w:val="264"/>
        </w:trPr>
        <w:tc>
          <w:tcPr>
            <w:tcW w:w="297" w:type="dxa"/>
          </w:tcPr>
          <w:p w14:paraId="2AC94B26" w14:textId="77777777" w:rsidR="00FA4AA8" w:rsidRDefault="00FA4AA8">
            <w:pPr>
              <w:pStyle w:val="TableParagraph"/>
              <w:rPr>
                <w:rFonts w:ascii="Times New Roman"/>
                <w:sz w:val="18"/>
              </w:rPr>
            </w:pPr>
          </w:p>
        </w:tc>
        <w:tc>
          <w:tcPr>
            <w:tcW w:w="7071" w:type="dxa"/>
          </w:tcPr>
          <w:p w14:paraId="0754B8E4" w14:textId="77777777" w:rsidR="00FA4AA8" w:rsidRDefault="0015611F">
            <w:pPr>
              <w:pStyle w:val="TableParagraph"/>
              <w:spacing w:before="26"/>
              <w:ind w:left="146"/>
              <w:rPr>
                <w:sz w:val="18"/>
              </w:rPr>
            </w:pPr>
            <w:r>
              <w:rPr>
                <w:sz w:val="18"/>
              </w:rPr>
              <w:t>Advertising, marketing and promotional</w:t>
            </w:r>
          </w:p>
        </w:tc>
        <w:tc>
          <w:tcPr>
            <w:tcW w:w="1455" w:type="dxa"/>
          </w:tcPr>
          <w:p w14:paraId="5845AC43" w14:textId="77777777" w:rsidR="00FA4AA8" w:rsidRDefault="0015611F">
            <w:pPr>
              <w:pStyle w:val="TableParagraph"/>
              <w:spacing w:before="24"/>
              <w:ind w:right="244"/>
              <w:jc w:val="right"/>
              <w:rPr>
                <w:b/>
                <w:sz w:val="18"/>
              </w:rPr>
            </w:pPr>
            <w:r>
              <w:rPr>
                <w:b/>
                <w:sz w:val="18"/>
              </w:rPr>
              <w:t>11,172</w:t>
            </w:r>
          </w:p>
        </w:tc>
        <w:tc>
          <w:tcPr>
            <w:tcW w:w="1138" w:type="dxa"/>
          </w:tcPr>
          <w:p w14:paraId="03EE7157" w14:textId="77777777" w:rsidR="00FA4AA8" w:rsidRDefault="0015611F">
            <w:pPr>
              <w:pStyle w:val="TableParagraph"/>
              <w:spacing w:before="24"/>
              <w:ind w:right="86"/>
              <w:jc w:val="right"/>
              <w:rPr>
                <w:sz w:val="18"/>
              </w:rPr>
            </w:pPr>
            <w:r>
              <w:rPr>
                <w:sz w:val="18"/>
              </w:rPr>
              <w:t>781,796</w:t>
            </w:r>
          </w:p>
        </w:tc>
      </w:tr>
      <w:tr w:rsidR="00FA4AA8" w14:paraId="7C4E5083" w14:textId="77777777">
        <w:trPr>
          <w:trHeight w:val="256"/>
        </w:trPr>
        <w:tc>
          <w:tcPr>
            <w:tcW w:w="297" w:type="dxa"/>
          </w:tcPr>
          <w:p w14:paraId="364EBFF4" w14:textId="77777777" w:rsidR="00FA4AA8" w:rsidRDefault="00FA4AA8">
            <w:pPr>
              <w:pStyle w:val="TableParagraph"/>
              <w:rPr>
                <w:rFonts w:ascii="Times New Roman"/>
                <w:sz w:val="18"/>
              </w:rPr>
            </w:pPr>
          </w:p>
        </w:tc>
        <w:tc>
          <w:tcPr>
            <w:tcW w:w="7071" w:type="dxa"/>
          </w:tcPr>
          <w:p w14:paraId="0626CB16" w14:textId="77777777" w:rsidR="00FA4AA8" w:rsidRDefault="0015611F">
            <w:pPr>
              <w:pStyle w:val="TableParagraph"/>
              <w:spacing w:before="26"/>
              <w:ind w:left="146"/>
              <w:rPr>
                <w:sz w:val="18"/>
              </w:rPr>
            </w:pPr>
            <w:bookmarkStart w:id="154" w:name="5_Cash_and_cash_equivalents__"/>
            <w:bookmarkEnd w:id="154"/>
            <w:r>
              <w:rPr>
                <w:sz w:val="18"/>
              </w:rPr>
              <w:t>Other</w:t>
            </w:r>
          </w:p>
        </w:tc>
        <w:tc>
          <w:tcPr>
            <w:tcW w:w="1455" w:type="dxa"/>
            <w:tcBorders>
              <w:bottom w:val="single" w:sz="8" w:space="0" w:color="000000"/>
            </w:tcBorders>
          </w:tcPr>
          <w:p w14:paraId="1949BD7F" w14:textId="77777777" w:rsidR="00FA4AA8" w:rsidRDefault="0015611F">
            <w:pPr>
              <w:pStyle w:val="TableParagraph"/>
              <w:spacing w:before="24"/>
              <w:ind w:right="244"/>
              <w:jc w:val="right"/>
              <w:rPr>
                <w:b/>
                <w:sz w:val="18"/>
              </w:rPr>
            </w:pPr>
            <w:r>
              <w:rPr>
                <w:b/>
                <w:sz w:val="18"/>
              </w:rPr>
              <w:t>200,297</w:t>
            </w:r>
          </w:p>
        </w:tc>
        <w:tc>
          <w:tcPr>
            <w:tcW w:w="1138" w:type="dxa"/>
            <w:tcBorders>
              <w:bottom w:val="single" w:sz="8" w:space="0" w:color="000000"/>
            </w:tcBorders>
          </w:tcPr>
          <w:p w14:paraId="3CF774F3" w14:textId="77777777" w:rsidR="00FA4AA8" w:rsidRDefault="0015611F">
            <w:pPr>
              <w:pStyle w:val="TableParagraph"/>
              <w:spacing w:before="24"/>
              <w:ind w:right="86"/>
              <w:jc w:val="right"/>
              <w:rPr>
                <w:sz w:val="18"/>
              </w:rPr>
            </w:pPr>
            <w:r>
              <w:rPr>
                <w:sz w:val="18"/>
              </w:rPr>
              <w:t>273,161</w:t>
            </w:r>
          </w:p>
        </w:tc>
      </w:tr>
      <w:tr w:rsidR="00FA4AA8" w14:paraId="56445D73" w14:textId="77777777">
        <w:trPr>
          <w:trHeight w:val="320"/>
        </w:trPr>
        <w:tc>
          <w:tcPr>
            <w:tcW w:w="297" w:type="dxa"/>
          </w:tcPr>
          <w:p w14:paraId="6373A14E" w14:textId="77777777" w:rsidR="00FA4AA8" w:rsidRDefault="00FA4AA8">
            <w:pPr>
              <w:pStyle w:val="TableParagraph"/>
              <w:rPr>
                <w:rFonts w:ascii="Times New Roman"/>
                <w:sz w:val="18"/>
              </w:rPr>
            </w:pPr>
          </w:p>
        </w:tc>
        <w:tc>
          <w:tcPr>
            <w:tcW w:w="7071" w:type="dxa"/>
          </w:tcPr>
          <w:p w14:paraId="660026F1" w14:textId="77777777" w:rsidR="00FA4AA8" w:rsidRDefault="0015611F">
            <w:pPr>
              <w:pStyle w:val="TableParagraph"/>
              <w:spacing w:before="115" w:line="185" w:lineRule="exact"/>
              <w:ind w:left="146"/>
              <w:rPr>
                <w:b/>
                <w:sz w:val="18"/>
              </w:rPr>
            </w:pPr>
            <w:r>
              <w:rPr>
                <w:b/>
                <w:sz w:val="18"/>
              </w:rPr>
              <w:t>Total other expenses</w:t>
            </w:r>
          </w:p>
        </w:tc>
        <w:tc>
          <w:tcPr>
            <w:tcW w:w="1455" w:type="dxa"/>
            <w:tcBorders>
              <w:top w:val="single" w:sz="8" w:space="0" w:color="000000"/>
              <w:bottom w:val="double" w:sz="2" w:space="0" w:color="000000"/>
            </w:tcBorders>
          </w:tcPr>
          <w:p w14:paraId="2EE2E430" w14:textId="77777777" w:rsidR="00FA4AA8" w:rsidRDefault="0015611F">
            <w:pPr>
              <w:pStyle w:val="TableParagraph"/>
              <w:spacing w:before="115" w:line="185" w:lineRule="exact"/>
              <w:ind w:right="244"/>
              <w:jc w:val="right"/>
              <w:rPr>
                <w:b/>
                <w:sz w:val="18"/>
              </w:rPr>
            </w:pPr>
            <w:r>
              <w:rPr>
                <w:b/>
                <w:sz w:val="18"/>
              </w:rPr>
              <w:t>597,369</w:t>
            </w:r>
          </w:p>
        </w:tc>
        <w:tc>
          <w:tcPr>
            <w:tcW w:w="1138" w:type="dxa"/>
            <w:tcBorders>
              <w:top w:val="single" w:sz="8" w:space="0" w:color="000000"/>
              <w:bottom w:val="double" w:sz="2" w:space="0" w:color="000000"/>
            </w:tcBorders>
          </w:tcPr>
          <w:p w14:paraId="5158C9D9" w14:textId="77777777" w:rsidR="00FA4AA8" w:rsidRDefault="0015611F">
            <w:pPr>
              <w:pStyle w:val="TableParagraph"/>
              <w:spacing w:before="115" w:line="185" w:lineRule="exact"/>
              <w:ind w:right="86"/>
              <w:jc w:val="right"/>
              <w:rPr>
                <w:sz w:val="18"/>
              </w:rPr>
            </w:pPr>
            <w:r>
              <w:rPr>
                <w:sz w:val="18"/>
              </w:rPr>
              <w:t>1,763,202</w:t>
            </w:r>
          </w:p>
        </w:tc>
      </w:tr>
    </w:tbl>
    <w:p w14:paraId="17C1F9E5" w14:textId="77777777" w:rsidR="00FA4AA8" w:rsidRDefault="00FA4AA8">
      <w:pPr>
        <w:pStyle w:val="BodyText"/>
        <w:rPr>
          <w:b/>
          <w:sz w:val="20"/>
        </w:rPr>
      </w:pPr>
    </w:p>
    <w:p w14:paraId="079C7600" w14:textId="77777777" w:rsidR="00FA4AA8" w:rsidRDefault="00FA4AA8">
      <w:pPr>
        <w:pStyle w:val="BodyText"/>
        <w:spacing w:before="8"/>
        <w:rPr>
          <w:b/>
          <w:sz w:val="25"/>
        </w:rPr>
      </w:pPr>
    </w:p>
    <w:p w14:paraId="18678D22" w14:textId="77777777" w:rsidR="00FA4AA8" w:rsidRDefault="00FA4AA8">
      <w:pPr>
        <w:rPr>
          <w:sz w:val="25"/>
        </w:rPr>
        <w:sectPr w:rsidR="00FA4AA8">
          <w:pgSz w:w="11910" w:h="16840"/>
          <w:pgMar w:top="1460" w:right="840" w:bottom="720" w:left="840" w:header="1016" w:footer="523" w:gutter="0"/>
          <w:cols w:space="720"/>
        </w:sectPr>
      </w:pPr>
    </w:p>
    <w:p w14:paraId="579E0E7E" w14:textId="77777777" w:rsidR="00FA4AA8" w:rsidRDefault="0015611F">
      <w:pPr>
        <w:numPr>
          <w:ilvl w:val="0"/>
          <w:numId w:val="55"/>
        </w:numPr>
        <w:tabs>
          <w:tab w:val="left" w:pos="563"/>
          <w:tab w:val="left" w:pos="564"/>
        </w:tabs>
        <w:spacing w:before="94"/>
        <w:rPr>
          <w:b/>
          <w:sz w:val="18"/>
        </w:rPr>
      </w:pPr>
      <w:r>
        <w:rPr>
          <w:b/>
          <w:sz w:val="18"/>
        </w:rPr>
        <w:t>Cash and cash equivalents</w:t>
      </w:r>
    </w:p>
    <w:p w14:paraId="659EDA01" w14:textId="77777777" w:rsidR="00FA4AA8" w:rsidRDefault="0015611F">
      <w:pPr>
        <w:pStyle w:val="BodyText"/>
        <w:rPr>
          <w:b/>
          <w:sz w:val="29"/>
        </w:rPr>
      </w:pPr>
      <w:r>
        <w:br w:type="column"/>
      </w:r>
    </w:p>
    <w:p w14:paraId="1A1E373A" w14:textId="77777777" w:rsidR="00FA4AA8" w:rsidRDefault="0015611F">
      <w:pPr>
        <w:ind w:left="151" w:right="21"/>
        <w:jc w:val="center"/>
        <w:rPr>
          <w:b/>
          <w:sz w:val="18"/>
        </w:rPr>
      </w:pPr>
      <w:r>
        <w:rPr>
          <w:b/>
          <w:sz w:val="18"/>
        </w:rPr>
        <w:t>2018</w:t>
      </w:r>
    </w:p>
    <w:p w14:paraId="14395DE7" w14:textId="77777777" w:rsidR="00FA4AA8" w:rsidRDefault="0015611F">
      <w:pPr>
        <w:spacing w:before="67"/>
        <w:ind w:left="129"/>
        <w:jc w:val="center"/>
        <w:rPr>
          <w:b/>
          <w:sz w:val="18"/>
        </w:rPr>
      </w:pPr>
      <w:bookmarkStart w:id="155" w:name="6_Trade_and_other_receivables_"/>
      <w:bookmarkEnd w:id="155"/>
      <w:r>
        <w:rPr>
          <w:b/>
          <w:sz w:val="18"/>
        </w:rPr>
        <w:t>$</w:t>
      </w:r>
    </w:p>
    <w:p w14:paraId="77D41260" w14:textId="77777777" w:rsidR="00FA4AA8" w:rsidRDefault="0015611F">
      <w:pPr>
        <w:pStyle w:val="BodyText"/>
        <w:rPr>
          <w:b/>
          <w:sz w:val="29"/>
        </w:rPr>
      </w:pPr>
      <w:r>
        <w:br w:type="column"/>
      </w:r>
    </w:p>
    <w:p w14:paraId="1DD1D434" w14:textId="77777777" w:rsidR="00FA4AA8" w:rsidRDefault="0015611F">
      <w:pPr>
        <w:ind w:left="154" w:right="588"/>
        <w:jc w:val="center"/>
        <w:rPr>
          <w:b/>
          <w:sz w:val="18"/>
        </w:rPr>
      </w:pPr>
      <w:r>
        <w:rPr>
          <w:b/>
          <w:sz w:val="18"/>
        </w:rPr>
        <w:t>2017</w:t>
      </w:r>
    </w:p>
    <w:p w14:paraId="15C694F4" w14:textId="77777777" w:rsidR="00FA4AA8" w:rsidRDefault="0015611F">
      <w:pPr>
        <w:spacing w:before="67"/>
        <w:ind w:right="434"/>
        <w:jc w:val="center"/>
        <w:rPr>
          <w:b/>
          <w:sz w:val="18"/>
        </w:rPr>
      </w:pPr>
      <w:r>
        <w:rPr>
          <w:b/>
          <w:sz w:val="18"/>
        </w:rPr>
        <w:t>$</w:t>
      </w:r>
    </w:p>
    <w:p w14:paraId="7E4D01BE" w14:textId="77777777" w:rsidR="00FA4AA8" w:rsidRDefault="00FA4AA8">
      <w:pPr>
        <w:jc w:val="center"/>
        <w:rPr>
          <w:sz w:val="18"/>
        </w:rPr>
        <w:sectPr w:rsidR="00FA4AA8">
          <w:type w:val="continuous"/>
          <w:pgSz w:w="11910" w:h="16840"/>
          <w:pgMar w:top="20" w:right="840" w:bottom="0" w:left="840" w:header="720" w:footer="720" w:gutter="0"/>
          <w:cols w:num="3" w:space="720" w:equalWidth="0">
            <w:col w:w="2924" w:space="4838"/>
            <w:col w:w="614" w:space="670"/>
            <w:col w:w="1184"/>
          </w:cols>
        </w:sectPr>
      </w:pPr>
    </w:p>
    <w:p w14:paraId="6B48E390" w14:textId="77777777" w:rsidR="00FA4AA8" w:rsidRDefault="0015611F">
      <w:pPr>
        <w:pStyle w:val="BodyText"/>
        <w:tabs>
          <w:tab w:val="left" w:pos="8140"/>
          <w:tab w:val="left" w:pos="9338"/>
        </w:tabs>
        <w:spacing w:before="119"/>
        <w:ind w:left="564"/>
      </w:pPr>
      <w:r>
        <w:t>Cash at bank and</w:t>
      </w:r>
      <w:r>
        <w:rPr>
          <w:spacing w:val="4"/>
        </w:rPr>
        <w:t xml:space="preserve"> </w:t>
      </w:r>
      <w:r>
        <w:t>on</w:t>
      </w:r>
      <w:r>
        <w:rPr>
          <w:spacing w:val="1"/>
        </w:rPr>
        <w:t xml:space="preserve"> </w:t>
      </w:r>
      <w:r>
        <w:t>hand</w:t>
      </w:r>
      <w:r>
        <w:tab/>
      </w:r>
      <w:r>
        <w:rPr>
          <w:b/>
          <w:position w:val="-2"/>
        </w:rPr>
        <w:t>57,410</w:t>
      </w:r>
      <w:r>
        <w:rPr>
          <w:b/>
          <w:position w:val="-2"/>
        </w:rPr>
        <w:tab/>
      </w:r>
      <w:r>
        <w:rPr>
          <w:position w:val="-2"/>
        </w:rPr>
        <w:t>142,653</w:t>
      </w:r>
    </w:p>
    <w:p w14:paraId="664EE9CC" w14:textId="77777777" w:rsidR="00FA4AA8" w:rsidRDefault="007E2441">
      <w:pPr>
        <w:pStyle w:val="BodyText"/>
        <w:spacing w:line="20" w:lineRule="exact"/>
        <w:ind w:left="7486"/>
        <w:rPr>
          <w:sz w:val="2"/>
        </w:rPr>
      </w:pPr>
      <w:r>
        <w:rPr>
          <w:noProof/>
          <w:sz w:val="2"/>
          <w:lang w:val="en-AU" w:eastAsia="en-AU"/>
        </w:rPr>
        <mc:AlternateContent>
          <mc:Choice Requires="wpg">
            <w:drawing>
              <wp:inline distT="0" distB="0" distL="0" distR="0" wp14:anchorId="3C942AC7" wp14:editId="1B39F328">
                <wp:extent cx="1645920" cy="12700"/>
                <wp:effectExtent l="9525" t="9525" r="11430" b="6350"/>
                <wp:docPr id="1235" name="Group 1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5920" cy="12700"/>
                          <a:chOff x="0" y="0"/>
                          <a:chExt cx="2592" cy="20"/>
                        </a:xfrm>
                      </wpg:grpSpPr>
                      <wps:wsp>
                        <wps:cNvPr id="1236" name="Line 1017"/>
                        <wps:cNvCnPr>
                          <a:cxnSpLocks noChangeShapeType="1"/>
                        </wps:cNvCnPr>
                        <wps:spPr bwMode="auto">
                          <a:xfrm>
                            <a:off x="0" y="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37" name="Line 1016"/>
                        <wps:cNvCnPr>
                          <a:cxnSpLocks noChangeShapeType="1"/>
                        </wps:cNvCnPr>
                        <wps:spPr bwMode="auto">
                          <a:xfrm>
                            <a:off x="0" y="4"/>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38" name="Line 1015"/>
                        <wps:cNvCnPr>
                          <a:cxnSpLocks noChangeShapeType="1"/>
                        </wps:cNvCnPr>
                        <wps:spPr bwMode="auto">
                          <a:xfrm>
                            <a:off x="0" y="6"/>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39" name="Line 1014"/>
                        <wps:cNvCnPr>
                          <a:cxnSpLocks noChangeShapeType="1"/>
                        </wps:cNvCnPr>
                        <wps:spPr bwMode="auto">
                          <a:xfrm>
                            <a:off x="0" y="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40" name="Line 1013"/>
                        <wps:cNvCnPr>
                          <a:cxnSpLocks noChangeShapeType="1"/>
                        </wps:cNvCnPr>
                        <wps:spPr bwMode="auto">
                          <a:xfrm>
                            <a:off x="0" y="1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41" name="Line 1012"/>
                        <wps:cNvCnPr>
                          <a:cxnSpLocks noChangeShapeType="1"/>
                        </wps:cNvCnPr>
                        <wps:spPr bwMode="auto">
                          <a:xfrm>
                            <a:off x="0" y="1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42" name="Line 1011"/>
                        <wps:cNvCnPr>
                          <a:cxnSpLocks noChangeShapeType="1"/>
                        </wps:cNvCnPr>
                        <wps:spPr bwMode="auto">
                          <a:xfrm>
                            <a:off x="0" y="16"/>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43" name="Line 1010"/>
                        <wps:cNvCnPr>
                          <a:cxnSpLocks noChangeShapeType="1"/>
                        </wps:cNvCnPr>
                        <wps:spPr bwMode="auto">
                          <a:xfrm>
                            <a:off x="0" y="1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44" name="Line 1009"/>
                        <wps:cNvCnPr>
                          <a:cxnSpLocks noChangeShapeType="1"/>
                        </wps:cNvCnPr>
                        <wps:spPr bwMode="auto">
                          <a:xfrm>
                            <a:off x="1296" y="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45" name="Line 1008"/>
                        <wps:cNvCnPr>
                          <a:cxnSpLocks noChangeShapeType="1"/>
                        </wps:cNvCnPr>
                        <wps:spPr bwMode="auto">
                          <a:xfrm>
                            <a:off x="1296" y="4"/>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46" name="Line 1007"/>
                        <wps:cNvCnPr>
                          <a:cxnSpLocks noChangeShapeType="1"/>
                        </wps:cNvCnPr>
                        <wps:spPr bwMode="auto">
                          <a:xfrm>
                            <a:off x="1296" y="6"/>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47" name="Line 1006"/>
                        <wps:cNvCnPr>
                          <a:cxnSpLocks noChangeShapeType="1"/>
                        </wps:cNvCnPr>
                        <wps:spPr bwMode="auto">
                          <a:xfrm>
                            <a:off x="1296" y="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48" name="Line 1005"/>
                        <wps:cNvCnPr>
                          <a:cxnSpLocks noChangeShapeType="1"/>
                        </wps:cNvCnPr>
                        <wps:spPr bwMode="auto">
                          <a:xfrm>
                            <a:off x="1296" y="1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49" name="Line 1004"/>
                        <wps:cNvCnPr>
                          <a:cxnSpLocks noChangeShapeType="1"/>
                        </wps:cNvCnPr>
                        <wps:spPr bwMode="auto">
                          <a:xfrm>
                            <a:off x="1296" y="1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50" name="Line 1003"/>
                        <wps:cNvCnPr>
                          <a:cxnSpLocks noChangeShapeType="1"/>
                        </wps:cNvCnPr>
                        <wps:spPr bwMode="auto">
                          <a:xfrm>
                            <a:off x="1296" y="16"/>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51" name="Line 1002"/>
                        <wps:cNvCnPr>
                          <a:cxnSpLocks noChangeShapeType="1"/>
                        </wps:cNvCnPr>
                        <wps:spPr bwMode="auto">
                          <a:xfrm>
                            <a:off x="1296" y="1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D9689E9" id="Group 1001" o:spid="_x0000_s1026" style="width:129.6pt;height:1pt;mso-position-horizontal-relative:char;mso-position-vertical-relative:line" coordsize="259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">
                <v:line id="Line 1017" o:spid="_x0000_s1027" style="position:absolute;visibility:visible;mso-wrap-style:square" from="0,1" to="12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" strokeweight=".12pt"/>
                <v:line id="Line 1016" o:spid="_x0000_s1028" style="position:absolute;visibility:visible;mso-wrap-style:square" from="0,4" to="12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" strokeweight=".12pt"/>
                <v:line id="Line 1015" o:spid="_x0000_s1029" style="position:absolute;visibility:visible;mso-wrap-style:square" from="0,6" to="12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" strokeweight=".12pt"/>
                <v:line id="Line 1014" o:spid="_x0000_s1030" style="position:absolute;visibility:visible;mso-wrap-style:square" from="0,8" to="12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" strokeweight=".12pt"/>
                <v:line id="Line 1013" o:spid="_x0000_s1031" style="position:absolute;visibility:visible;mso-wrap-style:square" from="0,11" to="12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" strokeweight=".12pt"/>
                <v:line id="Line 1012" o:spid="_x0000_s1032" style="position:absolute;visibility:visible;mso-wrap-style:square" from="0,13" to="129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" strokeweight=".12pt"/>
                <v:line id="Line 1011" o:spid="_x0000_s1033" style="position:absolute;visibility:visible;mso-wrap-style:square" from="0,16" to="129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" strokeweight=".12pt"/>
                <v:line id="Line 1010" o:spid="_x0000_s1034" style="position:absolute;visibility:visible;mso-wrap-style:square" from="0,18" to="129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" strokeweight=".12pt"/>
                <v:line id="Line 1009" o:spid="_x0000_s1035" style="position:absolute;visibility:visible;mso-wrap-style:square" from="1296,1" to="25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" strokeweight=".12pt"/>
                <v:line id="Line 1008" o:spid="_x0000_s1036" style="position:absolute;visibility:visible;mso-wrap-style:square" from="1296,4" to="25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" strokeweight=".12pt"/>
                <v:line id="Line 1007" o:spid="_x0000_s1037" style="position:absolute;visibility:visible;mso-wrap-style:square" from="1296,6" to="25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" strokeweight=".12pt"/>
                <v:line id="Line 1006" o:spid="_x0000_s1038" style="position:absolute;visibility:visible;mso-wrap-style:square" from="1296,8" to="25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" strokeweight=".12pt"/>
                <v:line id="Line 1005" o:spid="_x0000_s1039" style="position:absolute;visibility:visible;mso-wrap-style:square" from="1296,11" to="259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" strokeweight=".12pt"/>
                <v:line id="Line 1004" o:spid="_x0000_s1040" style="position:absolute;visibility:visible;mso-wrap-style:square" from="1296,13" to="259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" strokeweight=".12pt"/>
                <v:line id="Line 1003" o:spid="_x0000_s1041" style="position:absolute;visibility:visible;mso-wrap-style:square" from="1296,16" to="259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" strokeweight=".12pt"/>
                <v:line id="Line 1002" o:spid="_x0000_s1042" style="position:absolute;visibility:visible;mso-wrap-style:square" from="1296,18" to="259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" strokeweight=".12pt"/>
                <w10:anchorlock/>
              </v:group>
            </w:pict>
          </mc:Fallback>
        </mc:AlternateContent>
      </w:r>
    </w:p>
    <w:p w14:paraId="7C6C12E5" w14:textId="77777777" w:rsidR="00FA4AA8" w:rsidRDefault="0015611F">
      <w:pPr>
        <w:spacing w:before="108" w:line="207" w:lineRule="exact"/>
        <w:ind w:left="564"/>
        <w:rPr>
          <w:b/>
          <w:sz w:val="18"/>
        </w:rPr>
      </w:pPr>
      <w:r>
        <w:rPr>
          <w:b/>
          <w:sz w:val="18"/>
        </w:rPr>
        <w:t>Total cash and cash equivalents in the statement of</w:t>
      </w:r>
    </w:p>
    <w:p w14:paraId="591DC896" w14:textId="77777777" w:rsidR="00FA4AA8" w:rsidRDefault="0015611F">
      <w:pPr>
        <w:tabs>
          <w:tab w:val="left" w:pos="8140"/>
          <w:tab w:val="left" w:pos="9338"/>
        </w:tabs>
        <w:spacing w:line="207" w:lineRule="exact"/>
        <w:ind w:left="564"/>
        <w:rPr>
          <w:sz w:val="18"/>
        </w:rPr>
      </w:pPr>
      <w:r>
        <w:rPr>
          <w:b/>
          <w:sz w:val="18"/>
        </w:rPr>
        <w:t>financial position and statement of</w:t>
      </w:r>
      <w:r>
        <w:rPr>
          <w:b/>
          <w:spacing w:val="5"/>
          <w:sz w:val="18"/>
        </w:rPr>
        <w:t xml:space="preserve"> </w:t>
      </w:r>
      <w:r>
        <w:rPr>
          <w:b/>
          <w:sz w:val="18"/>
        </w:rPr>
        <w:t>cash</w:t>
      </w:r>
      <w:r>
        <w:rPr>
          <w:b/>
          <w:spacing w:val="1"/>
          <w:sz w:val="18"/>
        </w:rPr>
        <w:t xml:space="preserve"> </w:t>
      </w:r>
      <w:r>
        <w:rPr>
          <w:b/>
          <w:sz w:val="18"/>
        </w:rPr>
        <w:t>flows</w:t>
      </w:r>
      <w:r>
        <w:rPr>
          <w:b/>
          <w:sz w:val="18"/>
        </w:rPr>
        <w:tab/>
        <w:t>57,410</w:t>
      </w:r>
      <w:r>
        <w:rPr>
          <w:b/>
          <w:sz w:val="18"/>
        </w:rPr>
        <w:tab/>
      </w:r>
      <w:r>
        <w:rPr>
          <w:sz w:val="18"/>
        </w:rPr>
        <w:t>142,653</w:t>
      </w:r>
    </w:p>
    <w:p w14:paraId="66A503D2" w14:textId="77777777" w:rsidR="00FA4AA8" w:rsidRDefault="007E2441">
      <w:pPr>
        <w:pStyle w:val="BodyText"/>
        <w:spacing w:line="49" w:lineRule="exact"/>
        <w:ind w:left="7486"/>
        <w:rPr>
          <w:sz w:val="4"/>
        </w:rPr>
      </w:pPr>
      <w:r>
        <w:rPr>
          <w:noProof/>
          <w:sz w:val="4"/>
          <w:lang w:val="en-AU" w:eastAsia="en-AU"/>
        </w:rPr>
        <mc:AlternateContent>
          <mc:Choice Requires="wpg">
            <w:drawing>
              <wp:inline distT="0" distB="0" distL="0" distR="0" wp14:anchorId="1931F75C" wp14:editId="2CEB563F">
                <wp:extent cx="1645920" cy="30480"/>
                <wp:effectExtent l="9525" t="9525" r="11430" b="7620"/>
                <wp:docPr id="1210" name="Group 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5920" cy="30480"/>
                          <a:chOff x="0" y="0"/>
                          <a:chExt cx="2592" cy="48"/>
                        </a:xfrm>
                      </wpg:grpSpPr>
                      <wps:wsp>
                        <wps:cNvPr id="1211" name="Line 1000"/>
                        <wps:cNvCnPr>
                          <a:cxnSpLocks noChangeShapeType="1"/>
                        </wps:cNvCnPr>
                        <wps:spPr bwMode="auto">
                          <a:xfrm>
                            <a:off x="0" y="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12" name="Line 999"/>
                        <wps:cNvCnPr>
                          <a:cxnSpLocks noChangeShapeType="1"/>
                        </wps:cNvCnPr>
                        <wps:spPr bwMode="auto">
                          <a:xfrm>
                            <a:off x="0" y="4"/>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13" name="Line 998"/>
                        <wps:cNvCnPr>
                          <a:cxnSpLocks noChangeShapeType="1"/>
                        </wps:cNvCnPr>
                        <wps:spPr bwMode="auto">
                          <a:xfrm>
                            <a:off x="0" y="6"/>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14" name="Line 997"/>
                        <wps:cNvCnPr>
                          <a:cxnSpLocks noChangeShapeType="1"/>
                        </wps:cNvCnPr>
                        <wps:spPr bwMode="auto">
                          <a:xfrm>
                            <a:off x="0" y="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15" name="Line 996"/>
                        <wps:cNvCnPr>
                          <a:cxnSpLocks noChangeShapeType="1"/>
                        </wps:cNvCnPr>
                        <wps:spPr bwMode="auto">
                          <a:xfrm>
                            <a:off x="0" y="1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16" name="Line 995"/>
                        <wps:cNvCnPr>
                          <a:cxnSpLocks noChangeShapeType="1"/>
                        </wps:cNvCnPr>
                        <wps:spPr bwMode="auto">
                          <a:xfrm>
                            <a:off x="0" y="1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17" name="Line 994"/>
                        <wps:cNvCnPr>
                          <a:cxnSpLocks noChangeShapeType="1"/>
                        </wps:cNvCnPr>
                        <wps:spPr bwMode="auto">
                          <a:xfrm>
                            <a:off x="0" y="3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18" name="Line 993"/>
                        <wps:cNvCnPr>
                          <a:cxnSpLocks noChangeShapeType="1"/>
                        </wps:cNvCnPr>
                        <wps:spPr bwMode="auto">
                          <a:xfrm>
                            <a:off x="0" y="37"/>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19" name="Line 992"/>
                        <wps:cNvCnPr>
                          <a:cxnSpLocks noChangeShapeType="1"/>
                        </wps:cNvCnPr>
                        <wps:spPr bwMode="auto">
                          <a:xfrm>
                            <a:off x="0" y="4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20" name="Line 991"/>
                        <wps:cNvCnPr>
                          <a:cxnSpLocks noChangeShapeType="1"/>
                        </wps:cNvCnPr>
                        <wps:spPr bwMode="auto">
                          <a:xfrm>
                            <a:off x="0" y="42"/>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21" name="Line 990"/>
                        <wps:cNvCnPr>
                          <a:cxnSpLocks noChangeShapeType="1"/>
                        </wps:cNvCnPr>
                        <wps:spPr bwMode="auto">
                          <a:xfrm>
                            <a:off x="0" y="44"/>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22" name="Line 989"/>
                        <wps:cNvCnPr>
                          <a:cxnSpLocks noChangeShapeType="1"/>
                        </wps:cNvCnPr>
                        <wps:spPr bwMode="auto">
                          <a:xfrm>
                            <a:off x="0" y="47"/>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23" name="Line 988"/>
                        <wps:cNvCnPr>
                          <a:cxnSpLocks noChangeShapeType="1"/>
                        </wps:cNvCnPr>
                        <wps:spPr bwMode="auto">
                          <a:xfrm>
                            <a:off x="1296" y="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24" name="Line 987"/>
                        <wps:cNvCnPr>
                          <a:cxnSpLocks noChangeShapeType="1"/>
                        </wps:cNvCnPr>
                        <wps:spPr bwMode="auto">
                          <a:xfrm>
                            <a:off x="1296" y="4"/>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25" name="Line 986"/>
                        <wps:cNvCnPr>
                          <a:cxnSpLocks noChangeShapeType="1"/>
                        </wps:cNvCnPr>
                        <wps:spPr bwMode="auto">
                          <a:xfrm>
                            <a:off x="1296" y="6"/>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26" name="Line 985"/>
                        <wps:cNvCnPr>
                          <a:cxnSpLocks noChangeShapeType="1"/>
                        </wps:cNvCnPr>
                        <wps:spPr bwMode="auto">
                          <a:xfrm>
                            <a:off x="1296" y="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27" name="Line 984"/>
                        <wps:cNvCnPr>
                          <a:cxnSpLocks noChangeShapeType="1"/>
                        </wps:cNvCnPr>
                        <wps:spPr bwMode="auto">
                          <a:xfrm>
                            <a:off x="1296" y="1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28" name="Line 983"/>
                        <wps:cNvCnPr>
                          <a:cxnSpLocks noChangeShapeType="1"/>
                        </wps:cNvCnPr>
                        <wps:spPr bwMode="auto">
                          <a:xfrm>
                            <a:off x="1296" y="1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29" name="Line 982"/>
                        <wps:cNvCnPr>
                          <a:cxnSpLocks noChangeShapeType="1"/>
                        </wps:cNvCnPr>
                        <wps:spPr bwMode="auto">
                          <a:xfrm>
                            <a:off x="1296" y="3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30" name="Line 981"/>
                        <wps:cNvCnPr>
                          <a:cxnSpLocks noChangeShapeType="1"/>
                        </wps:cNvCnPr>
                        <wps:spPr bwMode="auto">
                          <a:xfrm>
                            <a:off x="1296" y="37"/>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31" name="Line 980"/>
                        <wps:cNvCnPr>
                          <a:cxnSpLocks noChangeShapeType="1"/>
                        </wps:cNvCnPr>
                        <wps:spPr bwMode="auto">
                          <a:xfrm>
                            <a:off x="1296" y="4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32" name="Line 979"/>
                        <wps:cNvCnPr>
                          <a:cxnSpLocks noChangeShapeType="1"/>
                        </wps:cNvCnPr>
                        <wps:spPr bwMode="auto">
                          <a:xfrm>
                            <a:off x="1296" y="42"/>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33" name="Line 978"/>
                        <wps:cNvCnPr>
                          <a:cxnSpLocks noChangeShapeType="1"/>
                        </wps:cNvCnPr>
                        <wps:spPr bwMode="auto">
                          <a:xfrm>
                            <a:off x="1296" y="44"/>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34" name="Line 977"/>
                        <wps:cNvCnPr>
                          <a:cxnSpLocks noChangeShapeType="1"/>
                        </wps:cNvCnPr>
                        <wps:spPr bwMode="auto">
                          <a:xfrm>
                            <a:off x="1296" y="47"/>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3C7A79B" id="Group 976" o:spid="_x0000_s1026" style="width:129.6pt;height:2.4pt;mso-position-horizontal-relative:char;mso-position-vertical-relative:line" coordsize="259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">
                <v:line id="Line 1000" o:spid="_x0000_s1027" style="position:absolute;visibility:visible;mso-wrap-style:square" from="0,1" to="12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" strokeweight=".12pt"/>
                <v:line id="Line 999" o:spid="_x0000_s1028" style="position:absolute;visibility:visible;mso-wrap-style:square" from="0,4" to="12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" strokeweight=".12pt"/>
                <v:line id="Line 998" o:spid="_x0000_s1029" style="position:absolute;visibility:visible;mso-wrap-style:square" from="0,6" to="12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" strokeweight=".12pt"/>
                <v:line id="Line 997" o:spid="_x0000_s1030" style="position:absolute;visibility:visible;mso-wrap-style:square" from="0,8" to="12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" strokeweight=".12pt"/>
                <v:line id="Line 996" o:spid="_x0000_s1031" style="position:absolute;visibility:visible;mso-wrap-style:square" from="0,11" to="12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" strokeweight=".12pt"/>
                <v:line id="Line 995" o:spid="_x0000_s1032" style="position:absolute;visibility:visible;mso-wrap-style:square" from="0,13" to="129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" strokeweight=".12pt"/>
                <v:line id="Line 994" o:spid="_x0000_s1033" style="position:absolute;visibility:visible;mso-wrap-style:square" from="0,35" to="129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" strokeweight=".12pt"/>
                <v:line id="Line 993" o:spid="_x0000_s1034" style="position:absolute;visibility:visible;mso-wrap-style:square" from="0,37" to="129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" strokeweight=".12pt"/>
                <v:line id="Line 992" o:spid="_x0000_s1035" style="position:absolute;visibility:visible;mso-wrap-style:square" from="0,40" to="129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" strokeweight=".12pt"/>
                <v:line id="Line 991" o:spid="_x0000_s1036" style="position:absolute;visibility:visible;mso-wrap-style:square" from="0,42" to="129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" strokeweight=".12pt"/>
                <v:line id="Line 990" o:spid="_x0000_s1037" style="position:absolute;visibility:visible;mso-wrap-style:square" from="0,44" to="12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" strokeweight=".12pt"/>
                <v:line id="Line 989" o:spid="_x0000_s1038" style="position:absolute;visibility:visible;mso-wrap-style:square" from="0,47" to="12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" strokeweight=".12pt"/>
                <v:line id="Line 988" o:spid="_x0000_s1039" style="position:absolute;visibility:visible;mso-wrap-style:square" from="1296,1" to="25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" strokeweight=".12pt"/>
                <v:line id="Line 987" o:spid="_x0000_s1040" style="position:absolute;visibility:visible;mso-wrap-style:square" from="1296,4" to="25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" strokeweight=".12pt"/>
                <v:line id="Line 986" o:spid="_x0000_s1041" style="position:absolute;visibility:visible;mso-wrap-style:square" from="1296,6" to="25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" strokeweight=".12pt"/>
                <v:line id="Line 985" o:spid="_x0000_s1042" style="position:absolute;visibility:visible;mso-wrap-style:square" from="1296,8" to="25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" strokeweight=".12pt"/>
                <v:line id="Line 984" o:spid="_x0000_s1043" style="position:absolute;visibility:visible;mso-wrap-style:square" from="1296,11" to="259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" strokeweight=".12pt"/>
                <v:line id="Line 983" o:spid="_x0000_s1044" style="position:absolute;visibility:visible;mso-wrap-style:square" from="1296,13" to="259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" strokeweight=".12pt"/>
                <v:line id="Line 982" o:spid="_x0000_s1045" style="position:absolute;visibility:visible;mso-wrap-style:square" from="1296,35" to="259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" strokeweight=".12pt"/>
                <v:line id="Line 981" o:spid="_x0000_s1046" style="position:absolute;visibility:visible;mso-wrap-style:square" from="1296,37" to="259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" strokeweight=".12pt"/>
                <v:line id="Line 980" o:spid="_x0000_s1047" style="position:absolute;visibility:visible;mso-wrap-style:square" from="1296,40" to="259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" strokeweight=".12pt"/>
                <v:line id="Line 979" o:spid="_x0000_s1048" style="position:absolute;visibility:visible;mso-wrap-style:square" from="1296,42" to="259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" strokeweight=".12pt"/>
                <v:line id="Line 978" o:spid="_x0000_s1049" style="position:absolute;visibility:visible;mso-wrap-style:square" from="1296,44" to="259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" strokeweight=".12pt"/>
                <v:line id="Line 977" o:spid="_x0000_s1050" style="position:absolute;visibility:visible;mso-wrap-style:square" from="1296,47" to="259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" strokeweight=".12pt"/>
                <w10:anchorlock/>
              </v:group>
            </w:pict>
          </mc:Fallback>
        </mc:AlternateContent>
      </w:r>
    </w:p>
    <w:p w14:paraId="63908D9E" w14:textId="77777777" w:rsidR="00FA4AA8" w:rsidRDefault="00FA4AA8">
      <w:pPr>
        <w:pStyle w:val="BodyText"/>
        <w:rPr>
          <w:sz w:val="20"/>
        </w:rPr>
      </w:pPr>
    </w:p>
    <w:p w14:paraId="3B95C9AE" w14:textId="77777777" w:rsidR="00FA4AA8" w:rsidRDefault="00FA4AA8">
      <w:pPr>
        <w:pStyle w:val="BodyText"/>
        <w:rPr>
          <w:sz w:val="20"/>
        </w:rPr>
      </w:pPr>
    </w:p>
    <w:p w14:paraId="7C66E589" w14:textId="77777777" w:rsidR="00FA4AA8" w:rsidRDefault="00FA4AA8">
      <w:pPr>
        <w:pStyle w:val="BodyText"/>
        <w:spacing w:before="5"/>
        <w:rPr>
          <w:sz w:val="28"/>
        </w:rPr>
      </w:pPr>
    </w:p>
    <w:tbl>
      <w:tblPr>
        <w:tblW w:w="0" w:type="auto"/>
        <w:tblInd w:w="127" w:type="dxa"/>
        <w:tblLayout w:type="fixed"/>
        <w:tblCellMar>
          <w:left w:w="0" w:type="dxa"/>
          <w:right w:w="0" w:type="dxa"/>
        </w:tblCellMar>
        <w:tblLook w:val="01E0" w:firstRow="1" w:lastRow="1" w:firstColumn="1" w:lastColumn="1" w:noHBand="0" w:noVBand="0"/>
      </w:tblPr>
      <w:tblGrid>
        <w:gridCol w:w="297"/>
        <w:gridCol w:w="7071"/>
        <w:gridCol w:w="1498"/>
        <w:gridCol w:w="1094"/>
      </w:tblGrid>
      <w:tr w:rsidR="00FA4AA8" w14:paraId="3CDE019C" w14:textId="77777777">
        <w:trPr>
          <w:trHeight w:val="220"/>
        </w:trPr>
        <w:tc>
          <w:tcPr>
            <w:tcW w:w="297" w:type="dxa"/>
          </w:tcPr>
          <w:p w14:paraId="1280A3FF" w14:textId="77777777" w:rsidR="00FA4AA8" w:rsidRDefault="0015611F">
            <w:pPr>
              <w:pStyle w:val="TableParagraph"/>
              <w:spacing w:line="201" w:lineRule="exact"/>
              <w:ind w:left="50"/>
              <w:rPr>
                <w:b/>
                <w:sz w:val="18"/>
              </w:rPr>
            </w:pPr>
            <w:r>
              <w:rPr>
                <w:b/>
                <w:sz w:val="18"/>
              </w:rPr>
              <w:t>6</w:t>
            </w:r>
          </w:p>
        </w:tc>
        <w:tc>
          <w:tcPr>
            <w:tcW w:w="7071" w:type="dxa"/>
          </w:tcPr>
          <w:p w14:paraId="6C201E6A" w14:textId="77777777" w:rsidR="00FA4AA8" w:rsidRDefault="0015611F">
            <w:pPr>
              <w:pStyle w:val="TableParagraph"/>
              <w:spacing w:line="201" w:lineRule="exact"/>
              <w:ind w:left="146"/>
              <w:rPr>
                <w:b/>
                <w:sz w:val="18"/>
              </w:rPr>
            </w:pPr>
            <w:r>
              <w:rPr>
                <w:b/>
                <w:sz w:val="18"/>
              </w:rPr>
              <w:t>Trade and other receivables</w:t>
            </w:r>
          </w:p>
        </w:tc>
        <w:tc>
          <w:tcPr>
            <w:tcW w:w="1498" w:type="dxa"/>
          </w:tcPr>
          <w:p w14:paraId="273BABDD" w14:textId="77777777" w:rsidR="00FA4AA8" w:rsidRDefault="00FA4AA8">
            <w:pPr>
              <w:pStyle w:val="TableParagraph"/>
              <w:rPr>
                <w:rFonts w:ascii="Times New Roman"/>
                <w:sz w:val="14"/>
              </w:rPr>
            </w:pPr>
          </w:p>
        </w:tc>
        <w:tc>
          <w:tcPr>
            <w:tcW w:w="1094" w:type="dxa"/>
          </w:tcPr>
          <w:p w14:paraId="373D11BB" w14:textId="77777777" w:rsidR="00FA4AA8" w:rsidRDefault="00FA4AA8">
            <w:pPr>
              <w:pStyle w:val="TableParagraph"/>
              <w:rPr>
                <w:rFonts w:ascii="Times New Roman"/>
                <w:sz w:val="14"/>
              </w:rPr>
            </w:pPr>
          </w:p>
        </w:tc>
      </w:tr>
      <w:tr w:rsidR="00FA4AA8" w14:paraId="195E3F41" w14:textId="77777777">
        <w:trPr>
          <w:trHeight w:val="256"/>
        </w:trPr>
        <w:tc>
          <w:tcPr>
            <w:tcW w:w="297" w:type="dxa"/>
          </w:tcPr>
          <w:p w14:paraId="2BF08CDF" w14:textId="77777777" w:rsidR="00FA4AA8" w:rsidRDefault="00FA4AA8">
            <w:pPr>
              <w:pStyle w:val="TableParagraph"/>
              <w:rPr>
                <w:rFonts w:ascii="Times New Roman"/>
                <w:sz w:val="18"/>
              </w:rPr>
            </w:pPr>
          </w:p>
        </w:tc>
        <w:tc>
          <w:tcPr>
            <w:tcW w:w="7071" w:type="dxa"/>
          </w:tcPr>
          <w:p w14:paraId="465920A0" w14:textId="77777777" w:rsidR="00FA4AA8" w:rsidRDefault="00FA4AA8">
            <w:pPr>
              <w:pStyle w:val="TableParagraph"/>
              <w:rPr>
                <w:rFonts w:ascii="Times New Roman"/>
                <w:sz w:val="18"/>
              </w:rPr>
            </w:pPr>
          </w:p>
        </w:tc>
        <w:tc>
          <w:tcPr>
            <w:tcW w:w="1498" w:type="dxa"/>
          </w:tcPr>
          <w:p w14:paraId="64457D41" w14:textId="77777777" w:rsidR="00FA4AA8" w:rsidRDefault="0015611F">
            <w:pPr>
              <w:pStyle w:val="TableParagraph"/>
              <w:spacing w:before="13"/>
              <w:ind w:left="443"/>
              <w:rPr>
                <w:b/>
                <w:sz w:val="18"/>
              </w:rPr>
            </w:pPr>
            <w:r>
              <w:rPr>
                <w:b/>
                <w:sz w:val="18"/>
              </w:rPr>
              <w:t>2018</w:t>
            </w:r>
          </w:p>
        </w:tc>
        <w:tc>
          <w:tcPr>
            <w:tcW w:w="1094" w:type="dxa"/>
          </w:tcPr>
          <w:p w14:paraId="58E30C5D" w14:textId="77777777" w:rsidR="00FA4AA8" w:rsidRDefault="0015611F">
            <w:pPr>
              <w:pStyle w:val="TableParagraph"/>
              <w:spacing w:before="13"/>
              <w:ind w:left="229"/>
              <w:rPr>
                <w:b/>
                <w:sz w:val="18"/>
              </w:rPr>
            </w:pPr>
            <w:r>
              <w:rPr>
                <w:b/>
                <w:sz w:val="18"/>
              </w:rPr>
              <w:t>2017</w:t>
            </w:r>
          </w:p>
        </w:tc>
      </w:tr>
      <w:tr w:rsidR="00FA4AA8" w14:paraId="6883AC21" w14:textId="77777777">
        <w:trPr>
          <w:trHeight w:val="270"/>
        </w:trPr>
        <w:tc>
          <w:tcPr>
            <w:tcW w:w="297" w:type="dxa"/>
          </w:tcPr>
          <w:p w14:paraId="4FAD5091" w14:textId="77777777" w:rsidR="00FA4AA8" w:rsidRDefault="00FA4AA8">
            <w:pPr>
              <w:pStyle w:val="TableParagraph"/>
              <w:rPr>
                <w:rFonts w:ascii="Times New Roman"/>
                <w:sz w:val="18"/>
              </w:rPr>
            </w:pPr>
          </w:p>
        </w:tc>
        <w:tc>
          <w:tcPr>
            <w:tcW w:w="7071" w:type="dxa"/>
          </w:tcPr>
          <w:p w14:paraId="46F8AE1B" w14:textId="77777777" w:rsidR="00FA4AA8" w:rsidRDefault="00FA4AA8">
            <w:pPr>
              <w:pStyle w:val="TableParagraph"/>
              <w:rPr>
                <w:rFonts w:ascii="Times New Roman"/>
                <w:sz w:val="18"/>
              </w:rPr>
            </w:pPr>
          </w:p>
        </w:tc>
        <w:tc>
          <w:tcPr>
            <w:tcW w:w="1498" w:type="dxa"/>
          </w:tcPr>
          <w:p w14:paraId="4D3C1D12" w14:textId="77777777" w:rsidR="00FA4AA8" w:rsidRDefault="0015611F">
            <w:pPr>
              <w:pStyle w:val="TableParagraph"/>
              <w:spacing w:before="30"/>
              <w:ind w:right="206"/>
              <w:jc w:val="center"/>
              <w:rPr>
                <w:b/>
                <w:sz w:val="18"/>
              </w:rPr>
            </w:pPr>
            <w:r>
              <w:rPr>
                <w:b/>
                <w:sz w:val="18"/>
              </w:rPr>
              <w:t>$</w:t>
            </w:r>
          </w:p>
        </w:tc>
        <w:tc>
          <w:tcPr>
            <w:tcW w:w="1094" w:type="dxa"/>
          </w:tcPr>
          <w:p w14:paraId="16341E86" w14:textId="77777777" w:rsidR="00FA4AA8" w:rsidRDefault="0015611F">
            <w:pPr>
              <w:pStyle w:val="TableParagraph"/>
              <w:spacing w:before="30"/>
              <w:ind w:right="230"/>
              <w:jc w:val="center"/>
              <w:rPr>
                <w:b/>
                <w:sz w:val="18"/>
              </w:rPr>
            </w:pPr>
            <w:r>
              <w:rPr>
                <w:b/>
                <w:sz w:val="18"/>
              </w:rPr>
              <w:t>$</w:t>
            </w:r>
          </w:p>
        </w:tc>
      </w:tr>
      <w:tr w:rsidR="00FA4AA8" w14:paraId="37908190" w14:textId="77777777">
        <w:trPr>
          <w:trHeight w:val="266"/>
        </w:trPr>
        <w:tc>
          <w:tcPr>
            <w:tcW w:w="297" w:type="dxa"/>
          </w:tcPr>
          <w:p w14:paraId="1E6F69B2" w14:textId="77777777" w:rsidR="00FA4AA8" w:rsidRDefault="00FA4AA8">
            <w:pPr>
              <w:pStyle w:val="TableParagraph"/>
              <w:rPr>
                <w:rFonts w:ascii="Times New Roman"/>
                <w:sz w:val="18"/>
              </w:rPr>
            </w:pPr>
          </w:p>
        </w:tc>
        <w:tc>
          <w:tcPr>
            <w:tcW w:w="7071" w:type="dxa"/>
          </w:tcPr>
          <w:p w14:paraId="3336A73C" w14:textId="77777777" w:rsidR="00FA4AA8" w:rsidRDefault="0015611F">
            <w:pPr>
              <w:pStyle w:val="TableParagraph"/>
              <w:spacing w:before="26"/>
              <w:ind w:left="146"/>
              <w:rPr>
                <w:sz w:val="18"/>
              </w:rPr>
            </w:pPr>
            <w:r>
              <w:rPr>
                <w:sz w:val="18"/>
              </w:rPr>
              <w:t>Trade receivables</w:t>
            </w:r>
          </w:p>
        </w:tc>
        <w:tc>
          <w:tcPr>
            <w:tcW w:w="1498" w:type="dxa"/>
          </w:tcPr>
          <w:p w14:paraId="52BA6CE8" w14:textId="77777777" w:rsidR="00FA4AA8" w:rsidRDefault="0015611F">
            <w:pPr>
              <w:pStyle w:val="TableParagraph"/>
              <w:spacing w:before="29"/>
              <w:ind w:right="289"/>
              <w:jc w:val="right"/>
              <w:rPr>
                <w:b/>
                <w:sz w:val="18"/>
              </w:rPr>
            </w:pPr>
            <w:r>
              <w:rPr>
                <w:b/>
                <w:sz w:val="18"/>
              </w:rPr>
              <w:t>47,711</w:t>
            </w:r>
          </w:p>
        </w:tc>
        <w:tc>
          <w:tcPr>
            <w:tcW w:w="1094" w:type="dxa"/>
          </w:tcPr>
          <w:p w14:paraId="54F0DE64" w14:textId="77777777" w:rsidR="00FA4AA8" w:rsidRDefault="0015611F">
            <w:pPr>
              <w:pStyle w:val="TableParagraph"/>
              <w:spacing w:before="29"/>
              <w:ind w:right="85"/>
              <w:jc w:val="right"/>
              <w:rPr>
                <w:sz w:val="18"/>
              </w:rPr>
            </w:pPr>
            <w:r>
              <w:rPr>
                <w:sz w:val="18"/>
              </w:rPr>
              <w:t>99,215</w:t>
            </w:r>
          </w:p>
        </w:tc>
      </w:tr>
      <w:tr w:rsidR="00FA4AA8" w14:paraId="164B4E14" w14:textId="77777777">
        <w:trPr>
          <w:trHeight w:val="258"/>
        </w:trPr>
        <w:tc>
          <w:tcPr>
            <w:tcW w:w="297" w:type="dxa"/>
          </w:tcPr>
          <w:p w14:paraId="3DC745FB" w14:textId="77777777" w:rsidR="00FA4AA8" w:rsidRDefault="00FA4AA8">
            <w:pPr>
              <w:pStyle w:val="TableParagraph"/>
              <w:rPr>
                <w:rFonts w:ascii="Times New Roman"/>
                <w:sz w:val="18"/>
              </w:rPr>
            </w:pPr>
          </w:p>
        </w:tc>
        <w:tc>
          <w:tcPr>
            <w:tcW w:w="7071" w:type="dxa"/>
          </w:tcPr>
          <w:p w14:paraId="20D491C4" w14:textId="77777777" w:rsidR="00FA4AA8" w:rsidRDefault="0015611F">
            <w:pPr>
              <w:pStyle w:val="TableParagraph"/>
              <w:spacing w:before="24"/>
              <w:ind w:left="146"/>
              <w:rPr>
                <w:sz w:val="18"/>
              </w:rPr>
            </w:pPr>
            <w:r>
              <w:rPr>
                <w:sz w:val="18"/>
              </w:rPr>
              <w:t>Provision for impairment</w:t>
            </w:r>
          </w:p>
        </w:tc>
        <w:tc>
          <w:tcPr>
            <w:tcW w:w="1498" w:type="dxa"/>
            <w:tcBorders>
              <w:bottom w:val="single" w:sz="8" w:space="0" w:color="000000"/>
            </w:tcBorders>
          </w:tcPr>
          <w:p w14:paraId="15E8CF0B" w14:textId="77777777" w:rsidR="00FA4AA8" w:rsidRDefault="0015611F">
            <w:pPr>
              <w:pStyle w:val="TableParagraph"/>
              <w:spacing w:before="26"/>
              <w:ind w:right="228"/>
              <w:jc w:val="right"/>
              <w:rPr>
                <w:b/>
                <w:sz w:val="18"/>
              </w:rPr>
            </w:pPr>
            <w:r>
              <w:rPr>
                <w:b/>
                <w:sz w:val="18"/>
              </w:rPr>
              <w:t>(18,371)</w:t>
            </w:r>
          </w:p>
        </w:tc>
        <w:tc>
          <w:tcPr>
            <w:tcW w:w="1094" w:type="dxa"/>
            <w:tcBorders>
              <w:bottom w:val="single" w:sz="8" w:space="0" w:color="000000"/>
            </w:tcBorders>
          </w:tcPr>
          <w:p w14:paraId="1F5B8D60" w14:textId="77777777" w:rsidR="00FA4AA8" w:rsidRDefault="0015611F">
            <w:pPr>
              <w:pStyle w:val="TableParagraph"/>
              <w:spacing w:before="26"/>
              <w:ind w:right="84"/>
              <w:jc w:val="right"/>
              <w:rPr>
                <w:sz w:val="18"/>
              </w:rPr>
            </w:pPr>
            <w:r>
              <w:rPr>
                <w:sz w:val="18"/>
              </w:rPr>
              <w:t>-</w:t>
            </w:r>
          </w:p>
        </w:tc>
      </w:tr>
      <w:tr w:rsidR="00FA4AA8" w14:paraId="49BC11EB" w14:textId="77777777">
        <w:trPr>
          <w:trHeight w:val="347"/>
        </w:trPr>
        <w:tc>
          <w:tcPr>
            <w:tcW w:w="297" w:type="dxa"/>
          </w:tcPr>
          <w:p w14:paraId="61FF2390" w14:textId="77777777" w:rsidR="00FA4AA8" w:rsidRDefault="00FA4AA8">
            <w:pPr>
              <w:pStyle w:val="TableParagraph"/>
              <w:rPr>
                <w:rFonts w:ascii="Times New Roman"/>
                <w:sz w:val="18"/>
              </w:rPr>
            </w:pPr>
          </w:p>
        </w:tc>
        <w:tc>
          <w:tcPr>
            <w:tcW w:w="7071" w:type="dxa"/>
          </w:tcPr>
          <w:p w14:paraId="14044466" w14:textId="77777777" w:rsidR="00FA4AA8" w:rsidRDefault="0015611F">
            <w:pPr>
              <w:pStyle w:val="TableParagraph"/>
              <w:spacing w:before="115"/>
              <w:ind w:left="146"/>
              <w:rPr>
                <w:b/>
                <w:sz w:val="18"/>
              </w:rPr>
            </w:pPr>
            <w:r>
              <w:rPr>
                <w:b/>
                <w:sz w:val="18"/>
              </w:rPr>
              <w:t>Net trade receivables</w:t>
            </w:r>
          </w:p>
        </w:tc>
        <w:tc>
          <w:tcPr>
            <w:tcW w:w="1498" w:type="dxa"/>
            <w:tcBorders>
              <w:top w:val="single" w:sz="8" w:space="0" w:color="000000"/>
            </w:tcBorders>
          </w:tcPr>
          <w:p w14:paraId="02C0C4EA" w14:textId="77777777" w:rsidR="00FA4AA8" w:rsidRDefault="0015611F">
            <w:pPr>
              <w:pStyle w:val="TableParagraph"/>
              <w:spacing w:before="115"/>
              <w:ind w:right="289"/>
              <w:jc w:val="right"/>
              <w:rPr>
                <w:b/>
                <w:sz w:val="18"/>
              </w:rPr>
            </w:pPr>
            <w:r>
              <w:rPr>
                <w:b/>
                <w:sz w:val="18"/>
              </w:rPr>
              <w:t>29,340</w:t>
            </w:r>
          </w:p>
        </w:tc>
        <w:tc>
          <w:tcPr>
            <w:tcW w:w="1094" w:type="dxa"/>
            <w:tcBorders>
              <w:top w:val="single" w:sz="8" w:space="0" w:color="000000"/>
            </w:tcBorders>
          </w:tcPr>
          <w:p w14:paraId="384EFFE7" w14:textId="77777777" w:rsidR="00FA4AA8" w:rsidRDefault="0015611F">
            <w:pPr>
              <w:pStyle w:val="TableParagraph"/>
              <w:spacing w:before="115"/>
              <w:ind w:right="85"/>
              <w:jc w:val="right"/>
              <w:rPr>
                <w:sz w:val="18"/>
              </w:rPr>
            </w:pPr>
            <w:r>
              <w:rPr>
                <w:sz w:val="18"/>
              </w:rPr>
              <w:t>99,215</w:t>
            </w:r>
          </w:p>
        </w:tc>
      </w:tr>
      <w:tr w:rsidR="00FA4AA8" w14:paraId="49C2A1ED" w14:textId="77777777">
        <w:trPr>
          <w:trHeight w:val="254"/>
        </w:trPr>
        <w:tc>
          <w:tcPr>
            <w:tcW w:w="297" w:type="dxa"/>
          </w:tcPr>
          <w:p w14:paraId="4F083C69" w14:textId="77777777" w:rsidR="00FA4AA8" w:rsidRDefault="00FA4AA8">
            <w:pPr>
              <w:pStyle w:val="TableParagraph"/>
              <w:rPr>
                <w:rFonts w:ascii="Times New Roman"/>
                <w:sz w:val="18"/>
              </w:rPr>
            </w:pPr>
          </w:p>
        </w:tc>
        <w:tc>
          <w:tcPr>
            <w:tcW w:w="7071" w:type="dxa"/>
          </w:tcPr>
          <w:p w14:paraId="0A027265" w14:textId="77777777" w:rsidR="00FA4AA8" w:rsidRDefault="0015611F">
            <w:pPr>
              <w:pStyle w:val="TableParagraph"/>
              <w:spacing w:before="19"/>
              <w:ind w:left="146"/>
              <w:rPr>
                <w:sz w:val="18"/>
              </w:rPr>
            </w:pPr>
            <w:r>
              <w:rPr>
                <w:sz w:val="18"/>
              </w:rPr>
              <w:t>Prepayments</w:t>
            </w:r>
          </w:p>
        </w:tc>
        <w:tc>
          <w:tcPr>
            <w:tcW w:w="1498" w:type="dxa"/>
            <w:tcBorders>
              <w:bottom w:val="single" w:sz="8" w:space="0" w:color="000000"/>
            </w:tcBorders>
          </w:tcPr>
          <w:p w14:paraId="1AEB55E6" w14:textId="77777777" w:rsidR="00FA4AA8" w:rsidRDefault="0015611F">
            <w:pPr>
              <w:pStyle w:val="TableParagraph"/>
              <w:spacing w:before="22"/>
              <w:ind w:right="289"/>
              <w:jc w:val="right"/>
              <w:rPr>
                <w:b/>
                <w:sz w:val="18"/>
              </w:rPr>
            </w:pPr>
            <w:r>
              <w:rPr>
                <w:b/>
                <w:sz w:val="18"/>
              </w:rPr>
              <w:t>58,941</w:t>
            </w:r>
          </w:p>
        </w:tc>
        <w:tc>
          <w:tcPr>
            <w:tcW w:w="1094" w:type="dxa"/>
            <w:tcBorders>
              <w:bottom w:val="single" w:sz="8" w:space="0" w:color="000000"/>
            </w:tcBorders>
          </w:tcPr>
          <w:p w14:paraId="514B1DCA" w14:textId="77777777" w:rsidR="00FA4AA8" w:rsidRDefault="0015611F">
            <w:pPr>
              <w:pStyle w:val="TableParagraph"/>
              <w:spacing w:before="22"/>
              <w:ind w:right="85"/>
              <w:jc w:val="right"/>
              <w:rPr>
                <w:sz w:val="18"/>
              </w:rPr>
            </w:pPr>
            <w:r>
              <w:rPr>
                <w:sz w:val="18"/>
              </w:rPr>
              <w:t>29,424</w:t>
            </w:r>
          </w:p>
        </w:tc>
      </w:tr>
      <w:tr w:rsidR="00FA4AA8" w14:paraId="284B99A3" w14:textId="77777777">
        <w:trPr>
          <w:trHeight w:val="320"/>
        </w:trPr>
        <w:tc>
          <w:tcPr>
            <w:tcW w:w="297" w:type="dxa"/>
          </w:tcPr>
          <w:p w14:paraId="4ACAEF3E" w14:textId="77777777" w:rsidR="00FA4AA8" w:rsidRDefault="00FA4AA8">
            <w:pPr>
              <w:pStyle w:val="TableParagraph"/>
              <w:rPr>
                <w:rFonts w:ascii="Times New Roman"/>
                <w:sz w:val="18"/>
              </w:rPr>
            </w:pPr>
          </w:p>
        </w:tc>
        <w:tc>
          <w:tcPr>
            <w:tcW w:w="7071" w:type="dxa"/>
          </w:tcPr>
          <w:p w14:paraId="6648F7CF" w14:textId="77777777" w:rsidR="00FA4AA8" w:rsidRDefault="0015611F">
            <w:pPr>
              <w:pStyle w:val="TableParagraph"/>
              <w:spacing w:before="115" w:line="185" w:lineRule="exact"/>
              <w:ind w:left="146"/>
              <w:rPr>
                <w:b/>
                <w:sz w:val="18"/>
              </w:rPr>
            </w:pPr>
            <w:r>
              <w:rPr>
                <w:b/>
                <w:sz w:val="18"/>
              </w:rPr>
              <w:t>Total current trade and other receivables</w:t>
            </w:r>
          </w:p>
        </w:tc>
        <w:tc>
          <w:tcPr>
            <w:tcW w:w="1498" w:type="dxa"/>
            <w:tcBorders>
              <w:top w:val="single" w:sz="8" w:space="0" w:color="000000"/>
              <w:bottom w:val="double" w:sz="2" w:space="0" w:color="000000"/>
            </w:tcBorders>
          </w:tcPr>
          <w:p w14:paraId="1857BBAF" w14:textId="77777777" w:rsidR="00FA4AA8" w:rsidRDefault="0015611F">
            <w:pPr>
              <w:pStyle w:val="TableParagraph"/>
              <w:spacing w:before="115" w:line="185" w:lineRule="exact"/>
              <w:ind w:right="289"/>
              <w:jc w:val="right"/>
              <w:rPr>
                <w:b/>
                <w:sz w:val="18"/>
              </w:rPr>
            </w:pPr>
            <w:r>
              <w:rPr>
                <w:b/>
                <w:sz w:val="18"/>
              </w:rPr>
              <w:t>88,281</w:t>
            </w:r>
          </w:p>
        </w:tc>
        <w:tc>
          <w:tcPr>
            <w:tcW w:w="1094" w:type="dxa"/>
            <w:tcBorders>
              <w:top w:val="single" w:sz="8" w:space="0" w:color="000000"/>
              <w:bottom w:val="double" w:sz="2" w:space="0" w:color="000000"/>
            </w:tcBorders>
          </w:tcPr>
          <w:p w14:paraId="78C7E93C" w14:textId="77777777" w:rsidR="00FA4AA8" w:rsidRDefault="0015611F">
            <w:pPr>
              <w:pStyle w:val="TableParagraph"/>
              <w:spacing w:before="115" w:line="185" w:lineRule="exact"/>
              <w:ind w:right="85"/>
              <w:jc w:val="right"/>
              <w:rPr>
                <w:sz w:val="18"/>
              </w:rPr>
            </w:pPr>
            <w:r>
              <w:rPr>
                <w:sz w:val="18"/>
              </w:rPr>
              <w:t>128,639</w:t>
            </w:r>
          </w:p>
        </w:tc>
      </w:tr>
      <w:tr w:rsidR="00FA4AA8" w14:paraId="3CE94628" w14:textId="77777777">
        <w:trPr>
          <w:trHeight w:val="499"/>
        </w:trPr>
        <w:tc>
          <w:tcPr>
            <w:tcW w:w="297" w:type="dxa"/>
          </w:tcPr>
          <w:p w14:paraId="7751B8FC" w14:textId="77777777" w:rsidR="00FA4AA8" w:rsidRDefault="00FA4AA8">
            <w:pPr>
              <w:pStyle w:val="TableParagraph"/>
              <w:rPr>
                <w:rFonts w:ascii="Times New Roman"/>
                <w:sz w:val="18"/>
              </w:rPr>
            </w:pPr>
          </w:p>
        </w:tc>
        <w:tc>
          <w:tcPr>
            <w:tcW w:w="7071" w:type="dxa"/>
          </w:tcPr>
          <w:p w14:paraId="15329349" w14:textId="77777777" w:rsidR="00FA4AA8" w:rsidRDefault="00FA4AA8">
            <w:pPr>
              <w:pStyle w:val="TableParagraph"/>
              <w:spacing w:before="4"/>
              <w:rPr>
                <w:sz w:val="25"/>
              </w:rPr>
            </w:pPr>
          </w:p>
          <w:p w14:paraId="5049152F" w14:textId="77777777" w:rsidR="00FA4AA8" w:rsidRDefault="0015611F">
            <w:pPr>
              <w:pStyle w:val="TableParagraph"/>
              <w:spacing w:line="187" w:lineRule="exact"/>
              <w:ind w:left="146"/>
              <w:rPr>
                <w:i/>
                <w:sz w:val="18"/>
              </w:rPr>
            </w:pPr>
            <w:r>
              <w:rPr>
                <w:i/>
                <w:sz w:val="18"/>
                <w:u w:val="single"/>
              </w:rPr>
              <w:t>Accounting policy</w:t>
            </w:r>
          </w:p>
        </w:tc>
        <w:tc>
          <w:tcPr>
            <w:tcW w:w="1498" w:type="dxa"/>
            <w:tcBorders>
              <w:top w:val="double" w:sz="2" w:space="0" w:color="000000"/>
            </w:tcBorders>
          </w:tcPr>
          <w:p w14:paraId="1EBE98B9" w14:textId="77777777" w:rsidR="00FA4AA8" w:rsidRDefault="00FA4AA8">
            <w:pPr>
              <w:pStyle w:val="TableParagraph"/>
              <w:rPr>
                <w:rFonts w:ascii="Times New Roman"/>
                <w:sz w:val="18"/>
              </w:rPr>
            </w:pPr>
          </w:p>
        </w:tc>
        <w:tc>
          <w:tcPr>
            <w:tcW w:w="1094" w:type="dxa"/>
            <w:tcBorders>
              <w:top w:val="double" w:sz="2" w:space="0" w:color="000000"/>
            </w:tcBorders>
          </w:tcPr>
          <w:p w14:paraId="10F5B339" w14:textId="77777777" w:rsidR="00FA4AA8" w:rsidRDefault="00FA4AA8">
            <w:pPr>
              <w:pStyle w:val="TableParagraph"/>
              <w:rPr>
                <w:rFonts w:ascii="Times New Roman"/>
                <w:sz w:val="18"/>
              </w:rPr>
            </w:pPr>
          </w:p>
        </w:tc>
      </w:tr>
    </w:tbl>
    <w:p w14:paraId="5C354C10" w14:textId="77777777" w:rsidR="00FA4AA8" w:rsidRDefault="00FA4AA8">
      <w:pPr>
        <w:pStyle w:val="BodyText"/>
        <w:spacing w:before="9"/>
        <w:rPr>
          <w:sz w:val="16"/>
        </w:rPr>
      </w:pPr>
    </w:p>
    <w:p w14:paraId="03B3F25C" w14:textId="77777777" w:rsidR="00FA4AA8" w:rsidRDefault="0015611F">
      <w:pPr>
        <w:pStyle w:val="BodyText"/>
        <w:spacing w:before="94"/>
        <w:ind w:left="564" w:right="172"/>
      </w:pPr>
      <w:r>
        <w:t xml:space="preserve">Trade receivables are recognised initially at fair value and subsequently measured at amortised cost using </w:t>
      </w:r>
      <w:r w:rsidR="00A74DE7">
        <w:t>the effective</w:t>
      </w:r>
      <w:r>
        <w:t xml:space="preserve"> interest method, less provision for impairment. Trade receivables are due for settlement no more than </w:t>
      </w:r>
      <w:r w:rsidR="00A74DE7">
        <w:t>30 days</w:t>
      </w:r>
      <w:r>
        <w:t xml:space="preserve"> for debtors. They are presented as current assets unless collection is not expected for more than 12 months after reporting</w:t>
      </w:r>
      <w:r>
        <w:rPr>
          <w:spacing w:val="1"/>
        </w:rPr>
        <w:t xml:space="preserve"> </w:t>
      </w:r>
      <w:r>
        <w:t>date.</w:t>
      </w:r>
    </w:p>
    <w:p w14:paraId="29656028" w14:textId="77777777" w:rsidR="00FA4AA8" w:rsidRDefault="00FA4AA8">
      <w:pPr>
        <w:pStyle w:val="BodyText"/>
        <w:spacing w:before="10"/>
        <w:rPr>
          <w:sz w:val="24"/>
        </w:rPr>
      </w:pPr>
    </w:p>
    <w:p w14:paraId="3126A2DE" w14:textId="77777777" w:rsidR="00FA4AA8" w:rsidRDefault="0015611F">
      <w:pPr>
        <w:pStyle w:val="BodyText"/>
        <w:ind w:left="564" w:right="156"/>
      </w:pPr>
      <w:r>
        <w:t>Collectability of trade receivables is reviewed on an ongoing basis. For credit exposures for which there has not been a significant increase in credit risk since initial recognition, a provision is made for credit losses from default events that are possible within the next 12 months.</w:t>
      </w:r>
    </w:p>
    <w:p w14:paraId="3242EB4D" w14:textId="77777777" w:rsidR="00FA4AA8" w:rsidRDefault="00FA4AA8">
      <w:pPr>
        <w:sectPr w:rsidR="00FA4AA8">
          <w:type w:val="continuous"/>
          <w:pgSz w:w="11910" w:h="16840"/>
          <w:pgMar w:top="20" w:right="840" w:bottom="0" w:left="840" w:header="720" w:footer="720" w:gutter="0"/>
          <w:cols w:space="720"/>
        </w:sectPr>
      </w:pPr>
    </w:p>
    <w:p w14:paraId="4C49BBD8" w14:textId="77777777" w:rsidR="00FA4AA8" w:rsidRDefault="00FA4AA8">
      <w:pPr>
        <w:pStyle w:val="BodyText"/>
        <w:spacing w:before="6"/>
        <w:rPr>
          <w:sz w:val="21"/>
        </w:rPr>
      </w:pPr>
    </w:p>
    <w:p w14:paraId="43B82343" w14:textId="77777777" w:rsidR="00FA4AA8" w:rsidRDefault="0015611F">
      <w:pPr>
        <w:pStyle w:val="Heading2"/>
      </w:pPr>
      <w:r>
        <w:t>Notes to the Financial Statements</w:t>
      </w:r>
    </w:p>
    <w:p w14:paraId="0A2D9A5C" w14:textId="77777777" w:rsidR="00FA4AA8" w:rsidRDefault="0015611F">
      <w:pPr>
        <w:pStyle w:val="Heading6"/>
        <w:ind w:left="167"/>
      </w:pPr>
      <w:r>
        <w:t>For the Year Ended 31 December 2018</w:t>
      </w:r>
    </w:p>
    <w:p w14:paraId="128766CF" w14:textId="77777777" w:rsidR="00FA4AA8" w:rsidRDefault="00FA4AA8">
      <w:pPr>
        <w:pStyle w:val="BodyText"/>
        <w:rPr>
          <w:b/>
          <w:sz w:val="24"/>
        </w:rPr>
      </w:pPr>
    </w:p>
    <w:p w14:paraId="6F7FCD31" w14:textId="77777777" w:rsidR="00FA4AA8" w:rsidRDefault="0015611F">
      <w:pPr>
        <w:numPr>
          <w:ilvl w:val="0"/>
          <w:numId w:val="55"/>
        </w:numPr>
        <w:tabs>
          <w:tab w:val="left" w:pos="563"/>
          <w:tab w:val="left" w:pos="565"/>
        </w:tabs>
        <w:spacing w:before="141"/>
        <w:ind w:hanging="395"/>
        <w:rPr>
          <w:b/>
          <w:sz w:val="18"/>
        </w:rPr>
      </w:pPr>
      <w:r>
        <w:rPr>
          <w:b/>
          <w:sz w:val="18"/>
        </w:rPr>
        <w:t>Trade and other receivables (Continued)</w:t>
      </w:r>
    </w:p>
    <w:p w14:paraId="14EFC145" w14:textId="77777777" w:rsidR="00FA4AA8" w:rsidRDefault="00FA4AA8">
      <w:pPr>
        <w:pStyle w:val="BodyText"/>
        <w:rPr>
          <w:b/>
          <w:sz w:val="20"/>
        </w:rPr>
      </w:pPr>
    </w:p>
    <w:p w14:paraId="4CD64045" w14:textId="77777777" w:rsidR="00FA4AA8" w:rsidRDefault="00FA4AA8">
      <w:pPr>
        <w:pStyle w:val="BodyText"/>
        <w:spacing w:before="6"/>
        <w:rPr>
          <w:b/>
          <w:sz w:val="27"/>
        </w:rPr>
      </w:pPr>
    </w:p>
    <w:p w14:paraId="526C667D" w14:textId="77777777" w:rsidR="00FA4AA8" w:rsidRDefault="0015611F">
      <w:pPr>
        <w:pStyle w:val="BodyText"/>
        <w:ind w:left="564"/>
      </w:pPr>
      <w:r>
        <w:t>As at 31 December 2018 trade receivables of $29,176 (2017: $99,215) were past due but not impaired. The ageing of these receivables is as follows:</w:t>
      </w:r>
    </w:p>
    <w:p w14:paraId="23A4B7EE" w14:textId="77777777" w:rsidR="00FA4AA8" w:rsidRDefault="00FA4AA8">
      <w:pPr>
        <w:pStyle w:val="BodyText"/>
        <w:spacing w:before="10"/>
        <w:rPr>
          <w:sz w:val="5"/>
        </w:rPr>
      </w:pPr>
    </w:p>
    <w:tbl>
      <w:tblPr>
        <w:tblW w:w="0" w:type="auto"/>
        <w:tblInd w:w="521" w:type="dxa"/>
        <w:tblLayout w:type="fixed"/>
        <w:tblCellMar>
          <w:left w:w="0" w:type="dxa"/>
          <w:right w:w="0" w:type="dxa"/>
        </w:tblCellMar>
        <w:tblLook w:val="01E0" w:firstRow="1" w:lastRow="1" w:firstColumn="1" w:lastColumn="1" w:noHBand="0" w:noVBand="0"/>
      </w:tblPr>
      <w:tblGrid>
        <w:gridCol w:w="6974"/>
        <w:gridCol w:w="1469"/>
        <w:gridCol w:w="1123"/>
      </w:tblGrid>
      <w:tr w:rsidR="00FA4AA8" w14:paraId="563F6D65" w14:textId="77777777">
        <w:trPr>
          <w:trHeight w:val="522"/>
        </w:trPr>
        <w:tc>
          <w:tcPr>
            <w:tcW w:w="6974" w:type="dxa"/>
          </w:tcPr>
          <w:p w14:paraId="0130FC3B" w14:textId="77777777" w:rsidR="00FA4AA8" w:rsidRDefault="00FA4AA8">
            <w:pPr>
              <w:pStyle w:val="TableParagraph"/>
              <w:rPr>
                <w:rFonts w:ascii="Times New Roman"/>
                <w:sz w:val="18"/>
              </w:rPr>
            </w:pPr>
          </w:p>
        </w:tc>
        <w:tc>
          <w:tcPr>
            <w:tcW w:w="1469" w:type="dxa"/>
          </w:tcPr>
          <w:p w14:paraId="4F4923F2" w14:textId="77777777" w:rsidR="00FA4AA8" w:rsidRDefault="0015611F">
            <w:pPr>
              <w:pStyle w:val="TableParagraph"/>
              <w:spacing w:line="201" w:lineRule="exact"/>
              <w:ind w:left="199" w:right="398"/>
              <w:jc w:val="center"/>
              <w:rPr>
                <w:b/>
                <w:sz w:val="18"/>
              </w:rPr>
            </w:pPr>
            <w:r>
              <w:rPr>
                <w:b/>
                <w:sz w:val="18"/>
              </w:rPr>
              <w:t>2018</w:t>
            </w:r>
          </w:p>
          <w:p w14:paraId="43F4E3D1" w14:textId="77777777" w:rsidR="00FA4AA8" w:rsidRDefault="0015611F">
            <w:pPr>
              <w:pStyle w:val="TableParagraph"/>
              <w:spacing w:before="66"/>
              <w:ind w:right="200"/>
              <w:jc w:val="center"/>
              <w:rPr>
                <w:b/>
                <w:sz w:val="18"/>
              </w:rPr>
            </w:pPr>
            <w:r>
              <w:rPr>
                <w:b/>
                <w:sz w:val="18"/>
              </w:rPr>
              <w:t>$</w:t>
            </w:r>
          </w:p>
        </w:tc>
        <w:tc>
          <w:tcPr>
            <w:tcW w:w="1123" w:type="dxa"/>
          </w:tcPr>
          <w:p w14:paraId="24D49342" w14:textId="77777777" w:rsidR="00FA4AA8" w:rsidRDefault="0015611F">
            <w:pPr>
              <w:pStyle w:val="TableParagraph"/>
              <w:spacing w:line="201" w:lineRule="exact"/>
              <w:ind w:left="241" w:right="440"/>
              <w:jc w:val="center"/>
              <w:rPr>
                <w:b/>
                <w:sz w:val="18"/>
              </w:rPr>
            </w:pPr>
            <w:r>
              <w:rPr>
                <w:b/>
                <w:sz w:val="18"/>
              </w:rPr>
              <w:t>2017</w:t>
            </w:r>
          </w:p>
          <w:p w14:paraId="0A2205A6" w14:textId="77777777" w:rsidR="00FA4AA8" w:rsidRDefault="0015611F">
            <w:pPr>
              <w:pStyle w:val="TableParagraph"/>
              <w:spacing w:before="66"/>
              <w:ind w:right="200"/>
              <w:jc w:val="center"/>
              <w:rPr>
                <w:b/>
                <w:sz w:val="18"/>
              </w:rPr>
            </w:pPr>
            <w:r>
              <w:rPr>
                <w:b/>
                <w:sz w:val="18"/>
              </w:rPr>
              <w:t>$</w:t>
            </w:r>
          </w:p>
        </w:tc>
      </w:tr>
      <w:tr w:rsidR="00FA4AA8" w14:paraId="42E2CD7D" w14:textId="77777777">
        <w:trPr>
          <w:trHeight w:val="282"/>
        </w:trPr>
        <w:tc>
          <w:tcPr>
            <w:tcW w:w="6974" w:type="dxa"/>
          </w:tcPr>
          <w:p w14:paraId="5A54AF74" w14:textId="77777777" w:rsidR="00FA4AA8" w:rsidRDefault="0015611F">
            <w:pPr>
              <w:pStyle w:val="TableParagraph"/>
              <w:spacing w:before="44"/>
              <w:ind w:left="50"/>
              <w:rPr>
                <w:sz w:val="18"/>
              </w:rPr>
            </w:pPr>
            <w:r>
              <w:rPr>
                <w:sz w:val="18"/>
              </w:rPr>
              <w:t>Up to 3 months</w:t>
            </w:r>
          </w:p>
        </w:tc>
        <w:tc>
          <w:tcPr>
            <w:tcW w:w="1469" w:type="dxa"/>
          </w:tcPr>
          <w:p w14:paraId="7DDBE754" w14:textId="77777777" w:rsidR="00FA4AA8" w:rsidRDefault="0015611F">
            <w:pPr>
              <w:pStyle w:val="TableParagraph"/>
              <w:spacing w:before="42"/>
              <w:ind w:right="257"/>
              <w:jc w:val="right"/>
              <w:rPr>
                <w:b/>
                <w:sz w:val="18"/>
              </w:rPr>
            </w:pPr>
            <w:r>
              <w:rPr>
                <w:b/>
                <w:sz w:val="18"/>
              </w:rPr>
              <w:t>27,872</w:t>
            </w:r>
          </w:p>
        </w:tc>
        <w:tc>
          <w:tcPr>
            <w:tcW w:w="1123" w:type="dxa"/>
          </w:tcPr>
          <w:p w14:paraId="78467AD2" w14:textId="77777777" w:rsidR="00FA4AA8" w:rsidRDefault="0015611F">
            <w:pPr>
              <w:pStyle w:val="TableParagraph"/>
              <w:spacing w:before="42"/>
              <w:ind w:right="84"/>
              <w:jc w:val="right"/>
              <w:rPr>
                <w:sz w:val="18"/>
              </w:rPr>
            </w:pPr>
            <w:r>
              <w:rPr>
                <w:sz w:val="18"/>
              </w:rPr>
              <w:t>78,205</w:t>
            </w:r>
          </w:p>
        </w:tc>
      </w:tr>
      <w:tr w:rsidR="00FA4AA8" w14:paraId="66224887" w14:textId="77777777">
        <w:trPr>
          <w:trHeight w:val="263"/>
        </w:trPr>
        <w:tc>
          <w:tcPr>
            <w:tcW w:w="6974" w:type="dxa"/>
          </w:tcPr>
          <w:p w14:paraId="11F2105A" w14:textId="77777777" w:rsidR="00FA4AA8" w:rsidRDefault="0015611F">
            <w:pPr>
              <w:pStyle w:val="TableParagraph"/>
              <w:spacing w:before="26"/>
              <w:ind w:left="50"/>
              <w:rPr>
                <w:sz w:val="18"/>
              </w:rPr>
            </w:pPr>
            <w:r>
              <w:rPr>
                <w:sz w:val="18"/>
              </w:rPr>
              <w:t>3 to 6 months</w:t>
            </w:r>
          </w:p>
        </w:tc>
        <w:tc>
          <w:tcPr>
            <w:tcW w:w="1469" w:type="dxa"/>
          </w:tcPr>
          <w:p w14:paraId="0E69FB4E" w14:textId="77777777" w:rsidR="00FA4AA8" w:rsidRDefault="0015611F">
            <w:pPr>
              <w:pStyle w:val="TableParagraph"/>
              <w:spacing w:before="24"/>
              <w:ind w:right="257"/>
              <w:jc w:val="right"/>
              <w:rPr>
                <w:b/>
                <w:sz w:val="18"/>
              </w:rPr>
            </w:pPr>
            <w:r>
              <w:rPr>
                <w:b/>
                <w:sz w:val="18"/>
              </w:rPr>
              <w:t>1,304</w:t>
            </w:r>
          </w:p>
        </w:tc>
        <w:tc>
          <w:tcPr>
            <w:tcW w:w="1123" w:type="dxa"/>
          </w:tcPr>
          <w:p w14:paraId="12DA9211" w14:textId="77777777" w:rsidR="00FA4AA8" w:rsidRDefault="0015611F">
            <w:pPr>
              <w:pStyle w:val="TableParagraph"/>
              <w:spacing w:before="24"/>
              <w:ind w:right="84"/>
              <w:jc w:val="right"/>
              <w:rPr>
                <w:sz w:val="18"/>
              </w:rPr>
            </w:pPr>
            <w:r>
              <w:rPr>
                <w:sz w:val="18"/>
              </w:rPr>
              <w:t>12,554</w:t>
            </w:r>
          </w:p>
        </w:tc>
      </w:tr>
      <w:tr w:rsidR="00FA4AA8" w14:paraId="1AE80281" w14:textId="77777777">
        <w:trPr>
          <w:trHeight w:val="256"/>
        </w:trPr>
        <w:tc>
          <w:tcPr>
            <w:tcW w:w="6974" w:type="dxa"/>
          </w:tcPr>
          <w:p w14:paraId="4C453F47" w14:textId="77777777" w:rsidR="00FA4AA8" w:rsidRDefault="0015611F">
            <w:pPr>
              <w:pStyle w:val="TableParagraph"/>
              <w:spacing w:before="26"/>
              <w:ind w:left="50"/>
              <w:rPr>
                <w:sz w:val="18"/>
              </w:rPr>
            </w:pPr>
            <w:r>
              <w:rPr>
                <w:sz w:val="18"/>
              </w:rPr>
              <w:t>Over 6 months</w:t>
            </w:r>
          </w:p>
        </w:tc>
        <w:tc>
          <w:tcPr>
            <w:tcW w:w="1469" w:type="dxa"/>
            <w:tcBorders>
              <w:bottom w:val="single" w:sz="8" w:space="0" w:color="000000"/>
            </w:tcBorders>
          </w:tcPr>
          <w:p w14:paraId="179977A3" w14:textId="77777777" w:rsidR="00FA4AA8" w:rsidRDefault="0015611F">
            <w:pPr>
              <w:pStyle w:val="TableParagraph"/>
              <w:spacing w:before="24"/>
              <w:ind w:right="257"/>
              <w:jc w:val="right"/>
              <w:rPr>
                <w:b/>
                <w:sz w:val="18"/>
              </w:rPr>
            </w:pPr>
            <w:r>
              <w:rPr>
                <w:b/>
                <w:sz w:val="18"/>
              </w:rPr>
              <w:t>-</w:t>
            </w:r>
          </w:p>
        </w:tc>
        <w:tc>
          <w:tcPr>
            <w:tcW w:w="1123" w:type="dxa"/>
            <w:tcBorders>
              <w:bottom w:val="single" w:sz="8" w:space="0" w:color="000000"/>
            </w:tcBorders>
          </w:tcPr>
          <w:p w14:paraId="758F70D1" w14:textId="77777777" w:rsidR="00FA4AA8" w:rsidRDefault="0015611F">
            <w:pPr>
              <w:pStyle w:val="TableParagraph"/>
              <w:spacing w:before="24"/>
              <w:ind w:right="84"/>
              <w:jc w:val="right"/>
              <w:rPr>
                <w:sz w:val="18"/>
              </w:rPr>
            </w:pPr>
            <w:r>
              <w:rPr>
                <w:sz w:val="18"/>
              </w:rPr>
              <w:t>8,456</w:t>
            </w:r>
          </w:p>
        </w:tc>
      </w:tr>
      <w:tr w:rsidR="00FA4AA8" w14:paraId="7E5D877B" w14:textId="77777777">
        <w:trPr>
          <w:trHeight w:val="320"/>
        </w:trPr>
        <w:tc>
          <w:tcPr>
            <w:tcW w:w="6974" w:type="dxa"/>
          </w:tcPr>
          <w:p w14:paraId="51B4DD03" w14:textId="77777777" w:rsidR="00FA4AA8" w:rsidRDefault="0015611F">
            <w:pPr>
              <w:pStyle w:val="TableParagraph"/>
              <w:spacing w:before="115" w:line="185" w:lineRule="exact"/>
              <w:ind w:left="50"/>
              <w:rPr>
                <w:b/>
                <w:sz w:val="18"/>
              </w:rPr>
            </w:pPr>
            <w:r>
              <w:rPr>
                <w:b/>
                <w:sz w:val="18"/>
              </w:rPr>
              <w:t>Total past due but not impaired</w:t>
            </w:r>
          </w:p>
        </w:tc>
        <w:tc>
          <w:tcPr>
            <w:tcW w:w="1469" w:type="dxa"/>
            <w:tcBorders>
              <w:top w:val="single" w:sz="8" w:space="0" w:color="000000"/>
              <w:bottom w:val="double" w:sz="2" w:space="0" w:color="000000"/>
            </w:tcBorders>
          </w:tcPr>
          <w:p w14:paraId="228FA73D" w14:textId="77777777" w:rsidR="00FA4AA8" w:rsidRDefault="0015611F">
            <w:pPr>
              <w:pStyle w:val="TableParagraph"/>
              <w:spacing w:before="115" w:line="185" w:lineRule="exact"/>
              <w:ind w:right="257"/>
              <w:jc w:val="right"/>
              <w:rPr>
                <w:b/>
                <w:sz w:val="18"/>
              </w:rPr>
            </w:pPr>
            <w:r>
              <w:rPr>
                <w:b/>
                <w:sz w:val="18"/>
              </w:rPr>
              <w:t>29,176</w:t>
            </w:r>
          </w:p>
        </w:tc>
        <w:tc>
          <w:tcPr>
            <w:tcW w:w="1123" w:type="dxa"/>
            <w:tcBorders>
              <w:top w:val="single" w:sz="8" w:space="0" w:color="000000"/>
              <w:bottom w:val="double" w:sz="2" w:space="0" w:color="000000"/>
            </w:tcBorders>
          </w:tcPr>
          <w:p w14:paraId="7C0F9F41" w14:textId="77777777" w:rsidR="00FA4AA8" w:rsidRDefault="0015611F">
            <w:pPr>
              <w:pStyle w:val="TableParagraph"/>
              <w:spacing w:before="115" w:line="185" w:lineRule="exact"/>
              <w:ind w:right="84"/>
              <w:jc w:val="right"/>
              <w:rPr>
                <w:sz w:val="18"/>
              </w:rPr>
            </w:pPr>
            <w:r>
              <w:rPr>
                <w:sz w:val="18"/>
              </w:rPr>
              <w:t>99,215</w:t>
            </w:r>
          </w:p>
        </w:tc>
      </w:tr>
    </w:tbl>
    <w:p w14:paraId="65237816" w14:textId="77777777" w:rsidR="00FA4AA8" w:rsidRDefault="00FA4AA8">
      <w:pPr>
        <w:pStyle w:val="BodyText"/>
        <w:spacing w:before="1"/>
        <w:rPr>
          <w:sz w:val="26"/>
        </w:rPr>
      </w:pPr>
    </w:p>
    <w:p w14:paraId="1CC2CE51" w14:textId="77777777" w:rsidR="00FA4AA8" w:rsidRDefault="0015611F">
      <w:pPr>
        <w:pStyle w:val="BodyText"/>
        <w:ind w:left="564" w:right="156"/>
      </w:pPr>
      <w:bookmarkStart w:id="156" w:name="7_Inventories_"/>
      <w:bookmarkEnd w:id="156"/>
      <w:r>
        <w:t>The other amounts within receivables do not contain impaired assets and are not past due. Based on the credit history, it is expected that these amounts will be received when due.</w:t>
      </w:r>
    </w:p>
    <w:p w14:paraId="7871C999" w14:textId="77777777" w:rsidR="00FA4AA8" w:rsidRDefault="00FA4AA8">
      <w:pPr>
        <w:pStyle w:val="BodyText"/>
        <w:rPr>
          <w:sz w:val="20"/>
        </w:rPr>
      </w:pPr>
    </w:p>
    <w:p w14:paraId="404FDA0F" w14:textId="77777777" w:rsidR="00FA4AA8" w:rsidRDefault="00FA4AA8">
      <w:pPr>
        <w:pStyle w:val="BodyText"/>
        <w:spacing w:before="1"/>
        <w:rPr>
          <w:sz w:val="21"/>
        </w:rPr>
      </w:pPr>
    </w:p>
    <w:p w14:paraId="526D4571" w14:textId="77777777" w:rsidR="00FA4AA8" w:rsidRDefault="00FA4AA8">
      <w:pPr>
        <w:rPr>
          <w:sz w:val="21"/>
        </w:rPr>
        <w:sectPr w:rsidR="00FA4AA8">
          <w:pgSz w:w="11910" w:h="16840"/>
          <w:pgMar w:top="1460" w:right="840" w:bottom="720" w:left="840" w:header="1016" w:footer="523" w:gutter="0"/>
          <w:cols w:space="720"/>
        </w:sectPr>
      </w:pPr>
    </w:p>
    <w:p w14:paraId="450DF1A4" w14:textId="77777777" w:rsidR="00FA4AA8" w:rsidRDefault="0015611F">
      <w:pPr>
        <w:numPr>
          <w:ilvl w:val="0"/>
          <w:numId w:val="55"/>
        </w:numPr>
        <w:tabs>
          <w:tab w:val="left" w:pos="563"/>
          <w:tab w:val="left" w:pos="564"/>
        </w:tabs>
        <w:spacing w:before="95"/>
        <w:rPr>
          <w:b/>
          <w:sz w:val="18"/>
        </w:rPr>
      </w:pPr>
      <w:r>
        <w:rPr>
          <w:b/>
          <w:sz w:val="18"/>
        </w:rPr>
        <w:t>Inventories</w:t>
      </w:r>
    </w:p>
    <w:p w14:paraId="42FC0881" w14:textId="77777777" w:rsidR="00FA4AA8" w:rsidRDefault="00FA4AA8">
      <w:pPr>
        <w:pStyle w:val="BodyText"/>
        <w:rPr>
          <w:b/>
          <w:sz w:val="20"/>
        </w:rPr>
      </w:pPr>
    </w:p>
    <w:p w14:paraId="59DF143A" w14:textId="77777777" w:rsidR="00FA4AA8" w:rsidRDefault="00FA4AA8">
      <w:pPr>
        <w:pStyle w:val="BodyText"/>
        <w:rPr>
          <w:b/>
          <w:sz w:val="20"/>
        </w:rPr>
      </w:pPr>
    </w:p>
    <w:p w14:paraId="5E17ED54" w14:textId="77777777" w:rsidR="00FA4AA8" w:rsidRDefault="00FA4AA8">
      <w:pPr>
        <w:pStyle w:val="BodyText"/>
        <w:spacing w:before="3"/>
        <w:rPr>
          <w:b/>
          <w:sz w:val="17"/>
        </w:rPr>
      </w:pPr>
    </w:p>
    <w:p w14:paraId="56F89DCF" w14:textId="77777777" w:rsidR="00FA4AA8" w:rsidRDefault="0015611F">
      <w:pPr>
        <w:spacing w:before="1"/>
        <w:ind w:left="563"/>
        <w:rPr>
          <w:b/>
          <w:sz w:val="18"/>
        </w:rPr>
      </w:pPr>
      <w:r>
        <w:rPr>
          <w:b/>
          <w:sz w:val="18"/>
        </w:rPr>
        <w:t>Finished goods</w:t>
      </w:r>
    </w:p>
    <w:p w14:paraId="1ACAF66D" w14:textId="77777777" w:rsidR="00FA4AA8" w:rsidRDefault="0015611F">
      <w:pPr>
        <w:pStyle w:val="BodyText"/>
        <w:spacing w:before="1"/>
        <w:rPr>
          <w:b/>
          <w:sz w:val="29"/>
        </w:rPr>
      </w:pPr>
      <w:r>
        <w:br w:type="column"/>
      </w:r>
    </w:p>
    <w:p w14:paraId="775C8079" w14:textId="77777777" w:rsidR="00FA4AA8" w:rsidRDefault="0015611F">
      <w:pPr>
        <w:ind w:left="151" w:right="21"/>
        <w:jc w:val="center"/>
        <w:rPr>
          <w:b/>
          <w:sz w:val="18"/>
        </w:rPr>
      </w:pPr>
      <w:r>
        <w:rPr>
          <w:b/>
          <w:sz w:val="18"/>
        </w:rPr>
        <w:t>2018</w:t>
      </w:r>
    </w:p>
    <w:p w14:paraId="32B989BC" w14:textId="77777777" w:rsidR="00FA4AA8" w:rsidRDefault="0015611F">
      <w:pPr>
        <w:spacing w:before="67"/>
        <w:ind w:left="129"/>
        <w:jc w:val="center"/>
        <w:rPr>
          <w:b/>
          <w:sz w:val="18"/>
        </w:rPr>
      </w:pPr>
      <w:r>
        <w:rPr>
          <w:b/>
          <w:sz w:val="18"/>
        </w:rPr>
        <w:t>$</w:t>
      </w:r>
    </w:p>
    <w:p w14:paraId="12E5BACE" w14:textId="77777777" w:rsidR="00FA4AA8" w:rsidRDefault="0015611F">
      <w:pPr>
        <w:pStyle w:val="BodyText"/>
        <w:spacing w:before="1"/>
        <w:rPr>
          <w:b/>
          <w:sz w:val="29"/>
        </w:rPr>
      </w:pPr>
      <w:r>
        <w:br w:type="column"/>
      </w:r>
    </w:p>
    <w:p w14:paraId="123C2B95" w14:textId="77777777" w:rsidR="00FA4AA8" w:rsidRDefault="0015611F">
      <w:pPr>
        <w:ind w:left="155" w:right="591"/>
        <w:jc w:val="center"/>
        <w:rPr>
          <w:b/>
          <w:sz w:val="18"/>
        </w:rPr>
      </w:pPr>
      <w:r>
        <w:rPr>
          <w:b/>
          <w:sz w:val="18"/>
        </w:rPr>
        <w:t>2017</w:t>
      </w:r>
    </w:p>
    <w:p w14:paraId="2960B631" w14:textId="77777777" w:rsidR="00FA4AA8" w:rsidRDefault="0015611F">
      <w:pPr>
        <w:spacing w:before="67"/>
        <w:ind w:right="436"/>
        <w:jc w:val="center"/>
        <w:rPr>
          <w:b/>
          <w:sz w:val="18"/>
        </w:rPr>
      </w:pPr>
      <w:r>
        <w:rPr>
          <w:b/>
          <w:sz w:val="18"/>
        </w:rPr>
        <w:t>$</w:t>
      </w:r>
    </w:p>
    <w:p w14:paraId="7E3A3F14" w14:textId="77777777" w:rsidR="00FA4AA8" w:rsidRDefault="00FA4AA8">
      <w:pPr>
        <w:jc w:val="center"/>
        <w:rPr>
          <w:sz w:val="18"/>
        </w:rPr>
        <w:sectPr w:rsidR="00FA4AA8">
          <w:type w:val="continuous"/>
          <w:pgSz w:w="11910" w:h="16840"/>
          <w:pgMar w:top="20" w:right="840" w:bottom="0" w:left="840" w:header="720" w:footer="720" w:gutter="0"/>
          <w:cols w:num="3" w:space="720" w:equalWidth="0">
            <w:col w:w="1942" w:space="5818"/>
            <w:col w:w="614" w:space="669"/>
            <w:col w:w="1187"/>
          </w:cols>
        </w:sectPr>
      </w:pPr>
    </w:p>
    <w:p w14:paraId="1B92D4D5" w14:textId="77777777" w:rsidR="00FA4AA8" w:rsidRDefault="007E2441">
      <w:pPr>
        <w:pStyle w:val="BodyText"/>
        <w:tabs>
          <w:tab w:val="left" w:pos="7574"/>
          <w:tab w:val="left" w:pos="8872"/>
        </w:tabs>
        <w:spacing w:before="28"/>
        <w:ind w:right="232"/>
        <w:jc w:val="right"/>
      </w:pPr>
      <w:r>
        <w:rPr>
          <w:noProof/>
          <w:lang w:val="en-AU" w:eastAsia="en-AU"/>
        </w:rPr>
        <mc:AlternateContent>
          <mc:Choice Requires="wpg">
            <w:drawing>
              <wp:anchor distT="0" distB="0" distL="0" distR="0" simplePos="0" relativeHeight="487641088" behindDoc="1" locked="0" layoutInCell="1" allowOverlap="1" wp14:anchorId="5B586FD9" wp14:editId="6AC7C42D">
                <wp:simplePos x="0" y="0"/>
                <wp:positionH relativeFrom="page">
                  <wp:posOffset>5287010</wp:posOffset>
                </wp:positionH>
                <wp:positionV relativeFrom="paragraph">
                  <wp:posOffset>165100</wp:posOffset>
                </wp:positionV>
                <wp:extent cx="1645920" cy="12700"/>
                <wp:effectExtent l="0" t="0" r="0" b="0"/>
                <wp:wrapTopAndBottom/>
                <wp:docPr id="1193" name="Group 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5920" cy="12700"/>
                          <a:chOff x="8326" y="260"/>
                          <a:chExt cx="2592" cy="20"/>
                        </a:xfrm>
                      </wpg:grpSpPr>
                      <wps:wsp>
                        <wps:cNvPr id="1194" name="Line 975"/>
                        <wps:cNvCnPr>
                          <a:cxnSpLocks noChangeShapeType="1"/>
                        </wps:cNvCnPr>
                        <wps:spPr bwMode="auto">
                          <a:xfrm>
                            <a:off x="8326" y="262"/>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195" name="Line 974"/>
                        <wps:cNvCnPr>
                          <a:cxnSpLocks noChangeShapeType="1"/>
                        </wps:cNvCnPr>
                        <wps:spPr bwMode="auto">
                          <a:xfrm>
                            <a:off x="8326" y="264"/>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196" name="Line 973"/>
                        <wps:cNvCnPr>
                          <a:cxnSpLocks noChangeShapeType="1"/>
                        </wps:cNvCnPr>
                        <wps:spPr bwMode="auto">
                          <a:xfrm>
                            <a:off x="8326" y="266"/>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197" name="Line 972"/>
                        <wps:cNvCnPr>
                          <a:cxnSpLocks noChangeShapeType="1"/>
                        </wps:cNvCnPr>
                        <wps:spPr bwMode="auto">
                          <a:xfrm>
                            <a:off x="8326" y="269"/>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198" name="Line 971"/>
                        <wps:cNvCnPr>
                          <a:cxnSpLocks noChangeShapeType="1"/>
                        </wps:cNvCnPr>
                        <wps:spPr bwMode="auto">
                          <a:xfrm>
                            <a:off x="8326" y="27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199" name="Line 970"/>
                        <wps:cNvCnPr>
                          <a:cxnSpLocks noChangeShapeType="1"/>
                        </wps:cNvCnPr>
                        <wps:spPr bwMode="auto">
                          <a:xfrm>
                            <a:off x="8326" y="274"/>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00" name="Line 969"/>
                        <wps:cNvCnPr>
                          <a:cxnSpLocks noChangeShapeType="1"/>
                        </wps:cNvCnPr>
                        <wps:spPr bwMode="auto">
                          <a:xfrm>
                            <a:off x="8326" y="276"/>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01" name="Line 968"/>
                        <wps:cNvCnPr>
                          <a:cxnSpLocks noChangeShapeType="1"/>
                        </wps:cNvCnPr>
                        <wps:spPr bwMode="auto">
                          <a:xfrm>
                            <a:off x="8326" y="27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02" name="Line 967"/>
                        <wps:cNvCnPr>
                          <a:cxnSpLocks noChangeShapeType="1"/>
                        </wps:cNvCnPr>
                        <wps:spPr bwMode="auto">
                          <a:xfrm>
                            <a:off x="9622" y="262"/>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03" name="Line 966"/>
                        <wps:cNvCnPr>
                          <a:cxnSpLocks noChangeShapeType="1"/>
                        </wps:cNvCnPr>
                        <wps:spPr bwMode="auto">
                          <a:xfrm>
                            <a:off x="9622" y="264"/>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04" name="Line 965"/>
                        <wps:cNvCnPr>
                          <a:cxnSpLocks noChangeShapeType="1"/>
                        </wps:cNvCnPr>
                        <wps:spPr bwMode="auto">
                          <a:xfrm>
                            <a:off x="9622" y="266"/>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05" name="Line 964"/>
                        <wps:cNvCnPr>
                          <a:cxnSpLocks noChangeShapeType="1"/>
                        </wps:cNvCnPr>
                        <wps:spPr bwMode="auto">
                          <a:xfrm>
                            <a:off x="9622" y="269"/>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06" name="Line 963"/>
                        <wps:cNvCnPr>
                          <a:cxnSpLocks noChangeShapeType="1"/>
                        </wps:cNvCnPr>
                        <wps:spPr bwMode="auto">
                          <a:xfrm>
                            <a:off x="9622" y="27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07" name="Line 962"/>
                        <wps:cNvCnPr>
                          <a:cxnSpLocks noChangeShapeType="1"/>
                        </wps:cNvCnPr>
                        <wps:spPr bwMode="auto">
                          <a:xfrm>
                            <a:off x="9622" y="274"/>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08" name="Line 961"/>
                        <wps:cNvCnPr>
                          <a:cxnSpLocks noChangeShapeType="1"/>
                        </wps:cNvCnPr>
                        <wps:spPr bwMode="auto">
                          <a:xfrm>
                            <a:off x="9622" y="276"/>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09" name="Line 960"/>
                        <wps:cNvCnPr>
                          <a:cxnSpLocks noChangeShapeType="1"/>
                        </wps:cNvCnPr>
                        <wps:spPr bwMode="auto">
                          <a:xfrm>
                            <a:off x="9622" y="27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4F6094" id="Group 959" o:spid="_x0000_s1026" style="position:absolute;margin-left:416.3pt;margin-top:13pt;width:129.6pt;height:1pt;z-index:-15675392;mso-wrap-distance-left:0;mso-wrap-distance-right:0;mso-position-horizontal-relative:page" coordorigin="8326,260" coordsize="259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">
                <v:line id="Line 975" o:spid="_x0000_s1027" style="position:absolute;visibility:visible;mso-wrap-style:square" from="8326,262" to="9622,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" strokeweight=".12pt"/>
                <v:line id="Line 974" o:spid="_x0000_s1028" style="position:absolute;visibility:visible;mso-wrap-style:square" from="8326,264" to="9622,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" strokeweight=".12pt"/>
                <v:line id="Line 973" o:spid="_x0000_s1029" style="position:absolute;visibility:visible;mso-wrap-style:square" from="8326,266" to="962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" strokeweight=".12pt"/>
                <v:line id="Line 972" o:spid="_x0000_s1030" style="position:absolute;visibility:visible;mso-wrap-style:square" from="8326,269" to="9622,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" strokeweight=".12pt"/>
                <v:line id="Line 971" o:spid="_x0000_s1031" style="position:absolute;visibility:visible;mso-wrap-style:square" from="8326,271" to="9622,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" strokeweight=".12pt"/>
                <v:line id="Line 970" o:spid="_x0000_s1032" style="position:absolute;visibility:visible;mso-wrap-style:square" from="8326,274" to="9622,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" strokeweight=".12pt"/>
                <v:line id="Line 969" o:spid="_x0000_s1033" style="position:absolute;visibility:visible;mso-wrap-style:square" from="8326,276" to="9622,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" strokeweight=".12pt"/>
                <v:line id="Line 968" o:spid="_x0000_s1034" style="position:absolute;visibility:visible;mso-wrap-style:square" from="8326,278" to="9622,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" strokeweight=".12pt"/>
                <v:line id="Line 967" o:spid="_x0000_s1035" style="position:absolute;visibility:visible;mso-wrap-style:square" from="9622,262" to="10918,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" strokeweight=".12pt"/>
                <v:line id="Line 966" o:spid="_x0000_s1036" style="position:absolute;visibility:visible;mso-wrap-style:square" from="9622,264" to="10918,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" strokeweight=".12pt"/>
                <v:line id="Line 965" o:spid="_x0000_s1037" style="position:absolute;visibility:visible;mso-wrap-style:square" from="9622,266" to="10918,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" strokeweight=".12pt"/>
                <v:line id="Line 964" o:spid="_x0000_s1038" style="position:absolute;visibility:visible;mso-wrap-style:square" from="9622,269" to="10918,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" strokeweight=".12pt"/>
                <v:line id="Line 963" o:spid="_x0000_s1039" style="position:absolute;visibility:visible;mso-wrap-style:square" from="9622,271" to="10918,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" strokeweight=".12pt"/>
                <v:line id="Line 962" o:spid="_x0000_s1040" style="position:absolute;visibility:visible;mso-wrap-style:square" from="9622,274" to="10918,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" strokeweight=".12pt"/>
                <v:line id="Line 961" o:spid="_x0000_s1041" style="position:absolute;visibility:visible;mso-wrap-style:square" from="9622,276" to="10918,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" strokeweight=".12pt"/>
                <v:line id="Line 960" o:spid="_x0000_s1042" style="position:absolute;visibility:visible;mso-wrap-style:square" from="9622,278" to="10918,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" strokeweight=".12pt"/>
                <w10:wrap type="topAndBottom" anchorx="page"/>
              </v:group>
            </w:pict>
          </mc:Fallback>
        </mc:AlternateContent>
      </w:r>
      <w:r w:rsidR="0015611F">
        <w:t>At net</w:t>
      </w:r>
      <w:r w:rsidR="0015611F">
        <w:rPr>
          <w:spacing w:val="1"/>
        </w:rPr>
        <w:t xml:space="preserve"> </w:t>
      </w:r>
      <w:r w:rsidR="0015611F">
        <w:t>realisable</w:t>
      </w:r>
      <w:r w:rsidR="0015611F">
        <w:rPr>
          <w:spacing w:val="1"/>
        </w:rPr>
        <w:t xml:space="preserve"> </w:t>
      </w:r>
      <w:r w:rsidR="0015611F">
        <w:t>value</w:t>
      </w:r>
      <w:r w:rsidR="0015611F">
        <w:tab/>
      </w:r>
      <w:r w:rsidR="0015611F">
        <w:rPr>
          <w:b/>
        </w:rPr>
        <w:t>27,099</w:t>
      </w:r>
      <w:r w:rsidR="0015611F">
        <w:rPr>
          <w:b/>
        </w:rPr>
        <w:tab/>
      </w:r>
      <w:r w:rsidR="0015611F">
        <w:t>58,060</w:t>
      </w:r>
    </w:p>
    <w:p w14:paraId="6AFBBEE0" w14:textId="77777777" w:rsidR="00FA4AA8" w:rsidRDefault="0015611F">
      <w:pPr>
        <w:tabs>
          <w:tab w:val="left" w:pos="1298"/>
        </w:tabs>
        <w:spacing w:before="85"/>
        <w:ind w:right="232"/>
        <w:jc w:val="right"/>
        <w:rPr>
          <w:sz w:val="18"/>
        </w:rPr>
      </w:pPr>
      <w:r>
        <w:rPr>
          <w:b/>
          <w:sz w:val="18"/>
        </w:rPr>
        <w:t>27,099</w:t>
      </w:r>
      <w:r>
        <w:rPr>
          <w:b/>
          <w:sz w:val="18"/>
        </w:rPr>
        <w:tab/>
      </w:r>
      <w:r>
        <w:rPr>
          <w:sz w:val="18"/>
        </w:rPr>
        <w:t>58,060</w:t>
      </w:r>
    </w:p>
    <w:p w14:paraId="56D68CDD" w14:textId="77777777" w:rsidR="00FA4AA8" w:rsidRDefault="007E2441">
      <w:pPr>
        <w:pStyle w:val="BodyText"/>
        <w:spacing w:line="49" w:lineRule="exact"/>
        <w:ind w:left="7483"/>
        <w:rPr>
          <w:sz w:val="4"/>
        </w:rPr>
      </w:pPr>
      <w:r>
        <w:rPr>
          <w:noProof/>
          <w:sz w:val="4"/>
          <w:lang w:val="en-AU" w:eastAsia="en-AU"/>
        </w:rPr>
        <mc:AlternateContent>
          <mc:Choice Requires="wpg">
            <w:drawing>
              <wp:inline distT="0" distB="0" distL="0" distR="0" wp14:anchorId="0CBDE537" wp14:editId="6C0F33FD">
                <wp:extent cx="1645920" cy="30480"/>
                <wp:effectExtent l="9525" t="9525" r="11430" b="7620"/>
                <wp:docPr id="1168" name="Group 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5920" cy="30480"/>
                          <a:chOff x="0" y="0"/>
                          <a:chExt cx="2592" cy="48"/>
                        </a:xfrm>
                      </wpg:grpSpPr>
                      <wps:wsp>
                        <wps:cNvPr id="1169" name="Line 958"/>
                        <wps:cNvCnPr>
                          <a:cxnSpLocks noChangeShapeType="1"/>
                        </wps:cNvCnPr>
                        <wps:spPr bwMode="auto">
                          <a:xfrm>
                            <a:off x="0" y="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170" name="Line 957"/>
                        <wps:cNvCnPr>
                          <a:cxnSpLocks noChangeShapeType="1"/>
                        </wps:cNvCnPr>
                        <wps:spPr bwMode="auto">
                          <a:xfrm>
                            <a:off x="0" y="4"/>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171" name="Line 956"/>
                        <wps:cNvCnPr>
                          <a:cxnSpLocks noChangeShapeType="1"/>
                        </wps:cNvCnPr>
                        <wps:spPr bwMode="auto">
                          <a:xfrm>
                            <a:off x="0" y="6"/>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172" name="Line 955"/>
                        <wps:cNvCnPr>
                          <a:cxnSpLocks noChangeShapeType="1"/>
                        </wps:cNvCnPr>
                        <wps:spPr bwMode="auto">
                          <a:xfrm>
                            <a:off x="0" y="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173" name="Line 954"/>
                        <wps:cNvCnPr>
                          <a:cxnSpLocks noChangeShapeType="1"/>
                        </wps:cNvCnPr>
                        <wps:spPr bwMode="auto">
                          <a:xfrm>
                            <a:off x="0" y="1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174" name="Line 953"/>
                        <wps:cNvCnPr>
                          <a:cxnSpLocks noChangeShapeType="1"/>
                        </wps:cNvCnPr>
                        <wps:spPr bwMode="auto">
                          <a:xfrm>
                            <a:off x="0" y="1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175" name="Line 952"/>
                        <wps:cNvCnPr>
                          <a:cxnSpLocks noChangeShapeType="1"/>
                        </wps:cNvCnPr>
                        <wps:spPr bwMode="auto">
                          <a:xfrm>
                            <a:off x="0" y="3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176" name="Line 951"/>
                        <wps:cNvCnPr>
                          <a:cxnSpLocks noChangeShapeType="1"/>
                        </wps:cNvCnPr>
                        <wps:spPr bwMode="auto">
                          <a:xfrm>
                            <a:off x="0" y="37"/>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177" name="Line 950"/>
                        <wps:cNvCnPr>
                          <a:cxnSpLocks noChangeShapeType="1"/>
                        </wps:cNvCnPr>
                        <wps:spPr bwMode="auto">
                          <a:xfrm>
                            <a:off x="0" y="4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178" name="Line 949"/>
                        <wps:cNvCnPr>
                          <a:cxnSpLocks noChangeShapeType="1"/>
                        </wps:cNvCnPr>
                        <wps:spPr bwMode="auto">
                          <a:xfrm>
                            <a:off x="0" y="42"/>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179" name="Line 948"/>
                        <wps:cNvCnPr>
                          <a:cxnSpLocks noChangeShapeType="1"/>
                        </wps:cNvCnPr>
                        <wps:spPr bwMode="auto">
                          <a:xfrm>
                            <a:off x="0" y="44"/>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180" name="Line 947"/>
                        <wps:cNvCnPr>
                          <a:cxnSpLocks noChangeShapeType="1"/>
                        </wps:cNvCnPr>
                        <wps:spPr bwMode="auto">
                          <a:xfrm>
                            <a:off x="0" y="47"/>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181" name="Line 946"/>
                        <wps:cNvCnPr>
                          <a:cxnSpLocks noChangeShapeType="1"/>
                        </wps:cNvCnPr>
                        <wps:spPr bwMode="auto">
                          <a:xfrm>
                            <a:off x="1296" y="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182" name="Line 945"/>
                        <wps:cNvCnPr>
                          <a:cxnSpLocks noChangeShapeType="1"/>
                        </wps:cNvCnPr>
                        <wps:spPr bwMode="auto">
                          <a:xfrm>
                            <a:off x="1296" y="4"/>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183" name="Line 944"/>
                        <wps:cNvCnPr>
                          <a:cxnSpLocks noChangeShapeType="1"/>
                        </wps:cNvCnPr>
                        <wps:spPr bwMode="auto">
                          <a:xfrm>
                            <a:off x="1296" y="6"/>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184" name="Line 943"/>
                        <wps:cNvCnPr>
                          <a:cxnSpLocks noChangeShapeType="1"/>
                        </wps:cNvCnPr>
                        <wps:spPr bwMode="auto">
                          <a:xfrm>
                            <a:off x="1296" y="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185" name="Line 942"/>
                        <wps:cNvCnPr>
                          <a:cxnSpLocks noChangeShapeType="1"/>
                        </wps:cNvCnPr>
                        <wps:spPr bwMode="auto">
                          <a:xfrm>
                            <a:off x="1296" y="1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186" name="Line 941"/>
                        <wps:cNvCnPr>
                          <a:cxnSpLocks noChangeShapeType="1"/>
                        </wps:cNvCnPr>
                        <wps:spPr bwMode="auto">
                          <a:xfrm>
                            <a:off x="1296" y="1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187" name="Line 940"/>
                        <wps:cNvCnPr>
                          <a:cxnSpLocks noChangeShapeType="1"/>
                        </wps:cNvCnPr>
                        <wps:spPr bwMode="auto">
                          <a:xfrm>
                            <a:off x="1296" y="3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188" name="Line 939"/>
                        <wps:cNvCnPr>
                          <a:cxnSpLocks noChangeShapeType="1"/>
                        </wps:cNvCnPr>
                        <wps:spPr bwMode="auto">
                          <a:xfrm>
                            <a:off x="1296" y="37"/>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189" name="Line 938"/>
                        <wps:cNvCnPr>
                          <a:cxnSpLocks noChangeShapeType="1"/>
                        </wps:cNvCnPr>
                        <wps:spPr bwMode="auto">
                          <a:xfrm>
                            <a:off x="1296" y="4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190" name="Line 937"/>
                        <wps:cNvCnPr>
                          <a:cxnSpLocks noChangeShapeType="1"/>
                        </wps:cNvCnPr>
                        <wps:spPr bwMode="auto">
                          <a:xfrm>
                            <a:off x="1296" y="42"/>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191" name="Line 936"/>
                        <wps:cNvCnPr>
                          <a:cxnSpLocks noChangeShapeType="1"/>
                        </wps:cNvCnPr>
                        <wps:spPr bwMode="auto">
                          <a:xfrm>
                            <a:off x="1296" y="44"/>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192" name="Line 935"/>
                        <wps:cNvCnPr>
                          <a:cxnSpLocks noChangeShapeType="1"/>
                        </wps:cNvCnPr>
                        <wps:spPr bwMode="auto">
                          <a:xfrm>
                            <a:off x="1296" y="47"/>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6C524E1" id="Group 934" o:spid="_x0000_s1026" style="width:129.6pt;height:2.4pt;mso-position-horizontal-relative:char;mso-position-vertical-relative:line" coordsize="259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">
                <v:line id="Line 958" o:spid="_x0000_s1027" style="position:absolute;visibility:visible;mso-wrap-style:square" from="0,1" to="12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" strokeweight=".12pt"/>
                <v:line id="Line 957" o:spid="_x0000_s1028" style="position:absolute;visibility:visible;mso-wrap-style:square" from="0,4" to="12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" strokeweight=".12pt"/>
                <v:line id="Line 956" o:spid="_x0000_s1029" style="position:absolute;visibility:visible;mso-wrap-style:square" from="0,6" to="12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" strokeweight=".12pt"/>
                <v:line id="Line 955" o:spid="_x0000_s1030" style="position:absolute;visibility:visible;mso-wrap-style:square" from="0,8" to="12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" strokeweight=".12pt"/>
                <v:line id="Line 954" o:spid="_x0000_s1031" style="position:absolute;visibility:visible;mso-wrap-style:square" from="0,11" to="12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" strokeweight=".12pt"/>
                <v:line id="Line 953" o:spid="_x0000_s1032" style="position:absolute;visibility:visible;mso-wrap-style:square" from="0,13" to="129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" strokeweight=".12pt"/>
                <v:line id="Line 952" o:spid="_x0000_s1033" style="position:absolute;visibility:visible;mso-wrap-style:square" from="0,35" to="129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" strokeweight=".12pt"/>
                <v:line id="Line 951" o:spid="_x0000_s1034" style="position:absolute;visibility:visible;mso-wrap-style:square" from="0,37" to="129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" strokeweight=".12pt"/>
                <v:line id="Line 950" o:spid="_x0000_s1035" style="position:absolute;visibility:visible;mso-wrap-style:square" from="0,40" to="129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" strokeweight=".12pt"/>
                <v:line id="Line 949" o:spid="_x0000_s1036" style="position:absolute;visibility:visible;mso-wrap-style:square" from="0,42" to="129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" strokeweight=".12pt"/>
                <v:line id="Line 948" o:spid="_x0000_s1037" style="position:absolute;visibility:visible;mso-wrap-style:square" from="0,44" to="12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" strokeweight=".12pt"/>
                <v:line id="Line 947" o:spid="_x0000_s1038" style="position:absolute;visibility:visible;mso-wrap-style:square" from="0,47" to="12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" strokeweight=".12pt"/>
                <v:line id="Line 946" o:spid="_x0000_s1039" style="position:absolute;visibility:visible;mso-wrap-style:square" from="1296,1" to="25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" strokeweight=".12pt"/>
                <v:line id="Line 945" o:spid="_x0000_s1040" style="position:absolute;visibility:visible;mso-wrap-style:square" from="1296,4" to="25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" strokeweight=".12pt"/>
                <v:line id="Line 944" o:spid="_x0000_s1041" style="position:absolute;visibility:visible;mso-wrap-style:square" from="1296,6" to="25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" strokeweight=".12pt"/>
                <v:line id="Line 943" o:spid="_x0000_s1042" style="position:absolute;visibility:visible;mso-wrap-style:square" from="1296,8" to="25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" strokeweight=".12pt"/>
                <v:line id="Line 942" o:spid="_x0000_s1043" style="position:absolute;visibility:visible;mso-wrap-style:square" from="1296,11" to="259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" strokeweight=".12pt"/>
                <v:line id="Line 941" o:spid="_x0000_s1044" style="position:absolute;visibility:visible;mso-wrap-style:square" from="1296,13" to="259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" strokeweight=".12pt"/>
                <v:line id="Line 940" o:spid="_x0000_s1045" style="position:absolute;visibility:visible;mso-wrap-style:square" from="1296,35" to="259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" strokeweight=".12pt"/>
                <v:line id="Line 939" o:spid="_x0000_s1046" style="position:absolute;visibility:visible;mso-wrap-style:square" from="1296,37" to="259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" strokeweight=".12pt"/>
                <v:line id="Line 938" o:spid="_x0000_s1047" style="position:absolute;visibility:visible;mso-wrap-style:square" from="1296,40" to="259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" strokeweight=".12pt"/>
                <v:line id="Line 937" o:spid="_x0000_s1048" style="position:absolute;visibility:visible;mso-wrap-style:square" from="1296,42" to="259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" strokeweight=".12pt"/>
                <v:line id="Line 936" o:spid="_x0000_s1049" style="position:absolute;visibility:visible;mso-wrap-style:square" from="1296,44" to="259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" strokeweight=".12pt"/>
                <v:line id="Line 935" o:spid="_x0000_s1050" style="position:absolute;visibility:visible;mso-wrap-style:square" from="1296,47" to="259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" strokeweight=".12pt"/>
                <w10:anchorlock/>
              </v:group>
            </w:pict>
          </mc:Fallback>
        </mc:AlternateContent>
      </w:r>
    </w:p>
    <w:p w14:paraId="7FE6CCED" w14:textId="77777777" w:rsidR="00FA4AA8" w:rsidRDefault="00FA4AA8">
      <w:pPr>
        <w:pStyle w:val="BodyText"/>
        <w:spacing w:before="9"/>
        <w:rPr>
          <w:sz w:val="16"/>
        </w:rPr>
      </w:pPr>
    </w:p>
    <w:p w14:paraId="5450ADB6" w14:textId="77777777" w:rsidR="00FA4AA8" w:rsidRDefault="0015611F">
      <w:pPr>
        <w:spacing w:before="94"/>
        <w:ind w:left="564"/>
        <w:rPr>
          <w:i/>
          <w:sz w:val="18"/>
        </w:rPr>
      </w:pPr>
      <w:bookmarkStart w:id="157" w:name="8_Other_assets_"/>
      <w:bookmarkEnd w:id="157"/>
      <w:r>
        <w:rPr>
          <w:i/>
          <w:sz w:val="18"/>
          <w:u w:val="single"/>
        </w:rPr>
        <w:t>Accounting Policy</w:t>
      </w:r>
    </w:p>
    <w:p w14:paraId="362504A5" w14:textId="77777777" w:rsidR="00FA4AA8" w:rsidRDefault="00FA4AA8">
      <w:pPr>
        <w:pStyle w:val="BodyText"/>
        <w:spacing w:before="9"/>
        <w:rPr>
          <w:i/>
          <w:sz w:val="16"/>
        </w:rPr>
      </w:pPr>
    </w:p>
    <w:p w14:paraId="45300C80" w14:textId="77777777" w:rsidR="00FA4AA8" w:rsidRDefault="0015611F">
      <w:pPr>
        <w:pStyle w:val="BodyText"/>
        <w:spacing w:before="94"/>
        <w:ind w:left="564"/>
      </w:pPr>
      <w:r>
        <w:t>All inventories are measured at the lower of cost and net realisable value. All stock is valued at weighted average cost.</w:t>
      </w:r>
    </w:p>
    <w:p w14:paraId="5F5C6D2E" w14:textId="77777777" w:rsidR="00FA4AA8" w:rsidRDefault="00FA4AA8">
      <w:pPr>
        <w:pStyle w:val="BodyText"/>
        <w:rPr>
          <w:sz w:val="20"/>
        </w:rPr>
      </w:pPr>
    </w:p>
    <w:p w14:paraId="77D56004" w14:textId="77777777" w:rsidR="00FA4AA8" w:rsidRDefault="00FA4AA8">
      <w:pPr>
        <w:pStyle w:val="BodyText"/>
        <w:spacing w:before="5"/>
        <w:rPr>
          <w:sz w:val="22"/>
        </w:rPr>
      </w:pPr>
    </w:p>
    <w:p w14:paraId="4FD15F48" w14:textId="77777777" w:rsidR="00FA4AA8" w:rsidRDefault="0015611F">
      <w:pPr>
        <w:numPr>
          <w:ilvl w:val="0"/>
          <w:numId w:val="55"/>
        </w:numPr>
        <w:tabs>
          <w:tab w:val="left" w:pos="563"/>
          <w:tab w:val="left" w:pos="565"/>
        </w:tabs>
        <w:ind w:hanging="395"/>
        <w:rPr>
          <w:b/>
          <w:sz w:val="18"/>
        </w:rPr>
      </w:pPr>
      <w:r>
        <w:rPr>
          <w:b/>
          <w:sz w:val="18"/>
        </w:rPr>
        <w:t>Other assets</w:t>
      </w:r>
    </w:p>
    <w:p w14:paraId="2E41214D" w14:textId="77777777" w:rsidR="00FA4AA8" w:rsidRDefault="00FA4AA8">
      <w:pPr>
        <w:pStyle w:val="BodyText"/>
        <w:spacing w:before="9"/>
        <w:rPr>
          <w:b/>
          <w:sz w:val="13"/>
        </w:rPr>
      </w:pPr>
    </w:p>
    <w:p w14:paraId="13A76024" w14:textId="77777777" w:rsidR="00FA4AA8" w:rsidRDefault="00FA4AA8">
      <w:pPr>
        <w:rPr>
          <w:sz w:val="13"/>
        </w:rPr>
        <w:sectPr w:rsidR="00FA4AA8">
          <w:type w:val="continuous"/>
          <w:pgSz w:w="11910" w:h="16840"/>
          <w:pgMar w:top="20" w:right="840" w:bottom="0" w:left="840" w:header="720" w:footer="720" w:gutter="0"/>
          <w:cols w:space="720"/>
        </w:sectPr>
      </w:pPr>
    </w:p>
    <w:p w14:paraId="171FFE67" w14:textId="77777777" w:rsidR="00FA4AA8" w:rsidRDefault="00FA4AA8">
      <w:pPr>
        <w:pStyle w:val="BodyText"/>
        <w:rPr>
          <w:b/>
          <w:sz w:val="20"/>
        </w:rPr>
      </w:pPr>
    </w:p>
    <w:p w14:paraId="416F672C" w14:textId="77777777" w:rsidR="00FA4AA8" w:rsidRDefault="00FA4AA8">
      <w:pPr>
        <w:pStyle w:val="BodyText"/>
        <w:rPr>
          <w:b/>
          <w:sz w:val="20"/>
        </w:rPr>
      </w:pPr>
    </w:p>
    <w:p w14:paraId="69D5CDD6" w14:textId="77777777" w:rsidR="00FA4AA8" w:rsidRDefault="00FA4AA8">
      <w:pPr>
        <w:pStyle w:val="BodyText"/>
        <w:spacing w:before="8"/>
        <w:rPr>
          <w:b/>
          <w:sz w:val="22"/>
        </w:rPr>
      </w:pPr>
    </w:p>
    <w:p w14:paraId="4A467630" w14:textId="77777777" w:rsidR="00FA4AA8" w:rsidRDefault="0015611F">
      <w:pPr>
        <w:ind w:left="563"/>
        <w:rPr>
          <w:b/>
          <w:sz w:val="18"/>
        </w:rPr>
      </w:pPr>
      <w:r>
        <w:rPr>
          <w:b/>
          <w:sz w:val="18"/>
        </w:rPr>
        <w:t>Current</w:t>
      </w:r>
    </w:p>
    <w:p w14:paraId="0C30FB6A" w14:textId="77777777" w:rsidR="00FA4AA8" w:rsidRDefault="0015611F">
      <w:pPr>
        <w:spacing w:before="94"/>
        <w:ind w:left="545" w:right="22"/>
        <w:jc w:val="center"/>
        <w:rPr>
          <w:b/>
          <w:sz w:val="18"/>
        </w:rPr>
      </w:pPr>
      <w:r>
        <w:br w:type="column"/>
      </w:r>
      <w:r>
        <w:rPr>
          <w:b/>
          <w:sz w:val="18"/>
        </w:rPr>
        <w:t>2018</w:t>
      </w:r>
    </w:p>
    <w:p w14:paraId="4E29BB2B" w14:textId="77777777" w:rsidR="00FA4AA8" w:rsidRDefault="0015611F">
      <w:pPr>
        <w:spacing w:before="67"/>
        <w:ind w:left="523"/>
        <w:jc w:val="center"/>
        <w:rPr>
          <w:b/>
          <w:sz w:val="18"/>
        </w:rPr>
      </w:pPr>
      <w:r>
        <w:rPr>
          <w:b/>
          <w:sz w:val="18"/>
        </w:rPr>
        <w:t>$</w:t>
      </w:r>
    </w:p>
    <w:p w14:paraId="31FE3A29" w14:textId="77777777" w:rsidR="00FA4AA8" w:rsidRDefault="0015611F">
      <w:pPr>
        <w:spacing w:before="94"/>
        <w:ind w:left="548" w:right="588"/>
        <w:jc w:val="center"/>
        <w:rPr>
          <w:b/>
          <w:sz w:val="18"/>
        </w:rPr>
      </w:pPr>
      <w:r>
        <w:br w:type="column"/>
      </w:r>
      <w:r>
        <w:rPr>
          <w:b/>
          <w:sz w:val="18"/>
        </w:rPr>
        <w:t>2017</w:t>
      </w:r>
    </w:p>
    <w:p w14:paraId="010A130F" w14:textId="77777777" w:rsidR="00FA4AA8" w:rsidRDefault="0015611F">
      <w:pPr>
        <w:spacing w:before="67"/>
        <w:ind w:right="40"/>
        <w:jc w:val="center"/>
        <w:rPr>
          <w:b/>
          <w:sz w:val="18"/>
        </w:rPr>
      </w:pPr>
      <w:r>
        <w:rPr>
          <w:b/>
          <w:sz w:val="18"/>
        </w:rPr>
        <w:t>$</w:t>
      </w:r>
    </w:p>
    <w:p w14:paraId="7A89E9F5" w14:textId="77777777" w:rsidR="00FA4AA8" w:rsidRDefault="00FA4AA8">
      <w:pPr>
        <w:jc w:val="center"/>
        <w:rPr>
          <w:sz w:val="18"/>
        </w:rPr>
        <w:sectPr w:rsidR="00FA4AA8">
          <w:type w:val="continuous"/>
          <w:pgSz w:w="11910" w:h="16840"/>
          <w:pgMar w:top="20" w:right="840" w:bottom="0" w:left="840" w:header="720" w:footer="720" w:gutter="0"/>
          <w:cols w:num="3" w:space="720" w:equalWidth="0">
            <w:col w:w="1255" w:space="6113"/>
            <w:col w:w="1008" w:space="276"/>
            <w:col w:w="1578"/>
          </w:cols>
        </w:sectPr>
      </w:pPr>
    </w:p>
    <w:p w14:paraId="17E14F19" w14:textId="77777777" w:rsidR="00FA4AA8" w:rsidRDefault="007E2441">
      <w:pPr>
        <w:tabs>
          <w:tab w:val="left" w:pos="8140"/>
          <w:tab w:val="left" w:pos="9439"/>
        </w:tabs>
        <w:spacing w:before="28"/>
        <w:ind w:left="563"/>
        <w:rPr>
          <w:sz w:val="18"/>
        </w:rPr>
      </w:pPr>
      <w:r>
        <w:rPr>
          <w:noProof/>
          <w:lang w:val="en-AU" w:eastAsia="en-AU"/>
        </w:rPr>
        <mc:AlternateContent>
          <mc:Choice Requires="wpg">
            <w:drawing>
              <wp:anchor distT="0" distB="0" distL="0" distR="0" simplePos="0" relativeHeight="487642112" behindDoc="1" locked="0" layoutInCell="1" allowOverlap="1" wp14:anchorId="1E4A55EA" wp14:editId="24CEC627">
                <wp:simplePos x="0" y="0"/>
                <wp:positionH relativeFrom="page">
                  <wp:posOffset>5288280</wp:posOffset>
                </wp:positionH>
                <wp:positionV relativeFrom="paragraph">
                  <wp:posOffset>165100</wp:posOffset>
                </wp:positionV>
                <wp:extent cx="1645920" cy="12700"/>
                <wp:effectExtent l="0" t="0" r="0" b="0"/>
                <wp:wrapTopAndBottom/>
                <wp:docPr id="1151" name="Group 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5920" cy="12700"/>
                          <a:chOff x="8328" y="260"/>
                          <a:chExt cx="2592" cy="20"/>
                        </a:xfrm>
                      </wpg:grpSpPr>
                      <wps:wsp>
                        <wps:cNvPr id="1152" name="Line 933"/>
                        <wps:cNvCnPr>
                          <a:cxnSpLocks noChangeShapeType="1"/>
                        </wps:cNvCnPr>
                        <wps:spPr bwMode="auto">
                          <a:xfrm>
                            <a:off x="8328" y="262"/>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153" name="Line 932"/>
                        <wps:cNvCnPr>
                          <a:cxnSpLocks noChangeShapeType="1"/>
                        </wps:cNvCnPr>
                        <wps:spPr bwMode="auto">
                          <a:xfrm>
                            <a:off x="8328" y="264"/>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154" name="Line 931"/>
                        <wps:cNvCnPr>
                          <a:cxnSpLocks noChangeShapeType="1"/>
                        </wps:cNvCnPr>
                        <wps:spPr bwMode="auto">
                          <a:xfrm>
                            <a:off x="8328" y="266"/>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155" name="Line 930"/>
                        <wps:cNvCnPr>
                          <a:cxnSpLocks noChangeShapeType="1"/>
                        </wps:cNvCnPr>
                        <wps:spPr bwMode="auto">
                          <a:xfrm>
                            <a:off x="8328" y="269"/>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156" name="Line 929"/>
                        <wps:cNvCnPr>
                          <a:cxnSpLocks noChangeShapeType="1"/>
                        </wps:cNvCnPr>
                        <wps:spPr bwMode="auto">
                          <a:xfrm>
                            <a:off x="8328" y="27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157" name="Line 928"/>
                        <wps:cNvCnPr>
                          <a:cxnSpLocks noChangeShapeType="1"/>
                        </wps:cNvCnPr>
                        <wps:spPr bwMode="auto">
                          <a:xfrm>
                            <a:off x="8328" y="274"/>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158" name="Line 927"/>
                        <wps:cNvCnPr>
                          <a:cxnSpLocks noChangeShapeType="1"/>
                        </wps:cNvCnPr>
                        <wps:spPr bwMode="auto">
                          <a:xfrm>
                            <a:off x="8328" y="276"/>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159" name="Line 926"/>
                        <wps:cNvCnPr>
                          <a:cxnSpLocks noChangeShapeType="1"/>
                        </wps:cNvCnPr>
                        <wps:spPr bwMode="auto">
                          <a:xfrm>
                            <a:off x="8328" y="27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160" name="Line 925"/>
                        <wps:cNvCnPr>
                          <a:cxnSpLocks noChangeShapeType="1"/>
                        </wps:cNvCnPr>
                        <wps:spPr bwMode="auto">
                          <a:xfrm>
                            <a:off x="9624" y="262"/>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161" name="Line 924"/>
                        <wps:cNvCnPr>
                          <a:cxnSpLocks noChangeShapeType="1"/>
                        </wps:cNvCnPr>
                        <wps:spPr bwMode="auto">
                          <a:xfrm>
                            <a:off x="9624" y="264"/>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162" name="Line 923"/>
                        <wps:cNvCnPr>
                          <a:cxnSpLocks noChangeShapeType="1"/>
                        </wps:cNvCnPr>
                        <wps:spPr bwMode="auto">
                          <a:xfrm>
                            <a:off x="9624" y="266"/>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163" name="Line 922"/>
                        <wps:cNvCnPr>
                          <a:cxnSpLocks noChangeShapeType="1"/>
                        </wps:cNvCnPr>
                        <wps:spPr bwMode="auto">
                          <a:xfrm>
                            <a:off x="9624" y="269"/>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164" name="Line 921"/>
                        <wps:cNvCnPr>
                          <a:cxnSpLocks noChangeShapeType="1"/>
                        </wps:cNvCnPr>
                        <wps:spPr bwMode="auto">
                          <a:xfrm>
                            <a:off x="9624" y="27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165" name="Line 920"/>
                        <wps:cNvCnPr>
                          <a:cxnSpLocks noChangeShapeType="1"/>
                        </wps:cNvCnPr>
                        <wps:spPr bwMode="auto">
                          <a:xfrm>
                            <a:off x="9624" y="274"/>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166" name="Line 919"/>
                        <wps:cNvCnPr>
                          <a:cxnSpLocks noChangeShapeType="1"/>
                        </wps:cNvCnPr>
                        <wps:spPr bwMode="auto">
                          <a:xfrm>
                            <a:off x="9624" y="276"/>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167" name="Line 918"/>
                        <wps:cNvCnPr>
                          <a:cxnSpLocks noChangeShapeType="1"/>
                        </wps:cNvCnPr>
                        <wps:spPr bwMode="auto">
                          <a:xfrm>
                            <a:off x="9624" y="27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8D4CA6" id="Group 917" o:spid="_x0000_s1026" style="position:absolute;margin-left:416.4pt;margin-top:13pt;width:129.6pt;height:1pt;z-index:-15674368;mso-wrap-distance-left:0;mso-wrap-distance-right:0;mso-position-horizontal-relative:page" coordorigin="8328,260" coordsize="259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">
                <v:line id="Line 933" o:spid="_x0000_s1027" style="position:absolute;visibility:visible;mso-wrap-style:square" from="8328,262" to="9624,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" strokeweight=".12pt"/>
                <v:line id="Line 932" o:spid="_x0000_s1028" style="position:absolute;visibility:visible;mso-wrap-style:square" from="8328,264" to="9624,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" strokeweight=".12pt"/>
                <v:line id="Line 931" o:spid="_x0000_s1029" style="position:absolute;visibility:visible;mso-wrap-style:square" from="8328,266" to="9624,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" strokeweight=".12pt"/>
                <v:line id="Line 930" o:spid="_x0000_s1030" style="position:absolute;visibility:visible;mso-wrap-style:square" from="8328,269" to="9624,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" strokeweight=".12pt"/>
                <v:line id="Line 929" o:spid="_x0000_s1031" style="position:absolute;visibility:visible;mso-wrap-style:square" from="8328,271" to="9624,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" strokeweight=".12pt"/>
                <v:line id="Line 928" o:spid="_x0000_s1032" style="position:absolute;visibility:visible;mso-wrap-style:square" from="8328,274" to="9624,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" strokeweight=".12pt"/>
                <v:line id="Line 927" o:spid="_x0000_s1033" style="position:absolute;visibility:visible;mso-wrap-style:square" from="8328,276" to="9624,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" strokeweight=".12pt"/>
                <v:line id="Line 926" o:spid="_x0000_s1034" style="position:absolute;visibility:visible;mso-wrap-style:square" from="8328,278" to="9624,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" strokeweight=".12pt"/>
                <v:line id="Line 925" o:spid="_x0000_s1035" style="position:absolute;visibility:visible;mso-wrap-style:square" from="9624,262" to="10920,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" strokeweight=".12pt"/>
                <v:line id="Line 924" o:spid="_x0000_s1036" style="position:absolute;visibility:visible;mso-wrap-style:square" from="9624,264" to="10920,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" strokeweight=".12pt"/>
                <v:line id="Line 923" o:spid="_x0000_s1037" style="position:absolute;visibility:visible;mso-wrap-style:square" from="9624,266" to="10920,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" strokeweight=".12pt"/>
                <v:line id="Line 922" o:spid="_x0000_s1038" style="position:absolute;visibility:visible;mso-wrap-style:square" from="9624,269" to="10920,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" strokeweight=".12pt"/>
                <v:line id="Line 921" o:spid="_x0000_s1039" style="position:absolute;visibility:visible;mso-wrap-style:square" from="9624,271" to="10920,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" strokeweight=".12pt"/>
                <v:line id="Line 920" o:spid="_x0000_s1040" style="position:absolute;visibility:visible;mso-wrap-style:square" from="9624,274" to="10920,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" strokeweight=".12pt"/>
                <v:line id="Line 919" o:spid="_x0000_s1041" style="position:absolute;visibility:visible;mso-wrap-style:square" from="9624,276" to="10920,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" strokeweight=".12pt"/>
                <v:line id="Line 918" o:spid="_x0000_s1042" style="position:absolute;visibility:visible;mso-wrap-style:square" from="9624,278" to="10920,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" strokeweight=".12pt"/>
                <w10:wrap type="topAndBottom" anchorx="page"/>
              </v:group>
            </w:pict>
          </mc:Fallback>
        </mc:AlternateContent>
      </w:r>
      <w:r w:rsidR="0015611F">
        <w:rPr>
          <w:sz w:val="18"/>
        </w:rPr>
        <w:t>Accrued</w:t>
      </w:r>
      <w:r w:rsidR="0015611F">
        <w:rPr>
          <w:spacing w:val="1"/>
          <w:sz w:val="18"/>
        </w:rPr>
        <w:t xml:space="preserve"> </w:t>
      </w:r>
      <w:r w:rsidR="0015611F">
        <w:rPr>
          <w:sz w:val="18"/>
        </w:rPr>
        <w:t>income</w:t>
      </w:r>
      <w:r w:rsidR="0015611F">
        <w:rPr>
          <w:sz w:val="18"/>
        </w:rPr>
        <w:tab/>
      </w:r>
      <w:r w:rsidR="0015611F">
        <w:rPr>
          <w:b/>
          <w:sz w:val="18"/>
        </w:rPr>
        <w:t>30,577</w:t>
      </w:r>
      <w:r w:rsidR="0015611F">
        <w:rPr>
          <w:b/>
          <w:sz w:val="18"/>
        </w:rPr>
        <w:tab/>
      </w:r>
      <w:r w:rsidR="0015611F">
        <w:rPr>
          <w:sz w:val="18"/>
        </w:rPr>
        <w:t>43,738</w:t>
      </w:r>
    </w:p>
    <w:p w14:paraId="39A43119" w14:textId="77777777" w:rsidR="00FA4AA8" w:rsidRDefault="0015611F">
      <w:pPr>
        <w:tabs>
          <w:tab w:val="left" w:pos="8140"/>
          <w:tab w:val="left" w:pos="9439"/>
        </w:tabs>
        <w:spacing w:before="85"/>
        <w:ind w:left="563"/>
        <w:rPr>
          <w:sz w:val="18"/>
        </w:rPr>
      </w:pPr>
      <w:r>
        <w:rPr>
          <w:b/>
          <w:sz w:val="18"/>
        </w:rPr>
        <w:t>Total other assets</w:t>
      </w:r>
      <w:r>
        <w:rPr>
          <w:b/>
          <w:sz w:val="18"/>
        </w:rPr>
        <w:tab/>
        <w:t>30,577</w:t>
      </w:r>
      <w:r>
        <w:rPr>
          <w:b/>
          <w:sz w:val="18"/>
        </w:rPr>
        <w:tab/>
      </w:r>
      <w:r>
        <w:rPr>
          <w:sz w:val="18"/>
        </w:rPr>
        <w:t>43,738</w:t>
      </w:r>
    </w:p>
    <w:p w14:paraId="6AFC5CB4" w14:textId="77777777" w:rsidR="00FA4AA8" w:rsidRDefault="007E2441">
      <w:pPr>
        <w:pStyle w:val="BodyText"/>
        <w:spacing w:line="49" w:lineRule="exact"/>
        <w:ind w:left="7486"/>
        <w:rPr>
          <w:sz w:val="4"/>
        </w:rPr>
      </w:pPr>
      <w:r>
        <w:rPr>
          <w:noProof/>
          <w:sz w:val="4"/>
          <w:lang w:val="en-AU" w:eastAsia="en-AU"/>
        </w:rPr>
        <mc:AlternateContent>
          <mc:Choice Requires="wpg">
            <w:drawing>
              <wp:inline distT="0" distB="0" distL="0" distR="0" wp14:anchorId="2B949F56" wp14:editId="7FB15F8F">
                <wp:extent cx="1645920" cy="30480"/>
                <wp:effectExtent l="9525" t="9525" r="11430" b="7620"/>
                <wp:docPr id="1126" name="Group 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5920" cy="30480"/>
                          <a:chOff x="0" y="0"/>
                          <a:chExt cx="2592" cy="48"/>
                        </a:xfrm>
                      </wpg:grpSpPr>
                      <wps:wsp>
                        <wps:cNvPr id="1127" name="Line 916"/>
                        <wps:cNvCnPr>
                          <a:cxnSpLocks noChangeShapeType="1"/>
                        </wps:cNvCnPr>
                        <wps:spPr bwMode="auto">
                          <a:xfrm>
                            <a:off x="0" y="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128" name="Line 915"/>
                        <wps:cNvCnPr>
                          <a:cxnSpLocks noChangeShapeType="1"/>
                        </wps:cNvCnPr>
                        <wps:spPr bwMode="auto">
                          <a:xfrm>
                            <a:off x="0" y="4"/>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129" name="Line 914"/>
                        <wps:cNvCnPr>
                          <a:cxnSpLocks noChangeShapeType="1"/>
                        </wps:cNvCnPr>
                        <wps:spPr bwMode="auto">
                          <a:xfrm>
                            <a:off x="0" y="6"/>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130" name="Line 913"/>
                        <wps:cNvCnPr>
                          <a:cxnSpLocks noChangeShapeType="1"/>
                        </wps:cNvCnPr>
                        <wps:spPr bwMode="auto">
                          <a:xfrm>
                            <a:off x="0" y="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131" name="Line 912"/>
                        <wps:cNvCnPr>
                          <a:cxnSpLocks noChangeShapeType="1"/>
                        </wps:cNvCnPr>
                        <wps:spPr bwMode="auto">
                          <a:xfrm>
                            <a:off x="0" y="1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132" name="Line 911"/>
                        <wps:cNvCnPr>
                          <a:cxnSpLocks noChangeShapeType="1"/>
                        </wps:cNvCnPr>
                        <wps:spPr bwMode="auto">
                          <a:xfrm>
                            <a:off x="0" y="1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133" name="Line 910"/>
                        <wps:cNvCnPr>
                          <a:cxnSpLocks noChangeShapeType="1"/>
                        </wps:cNvCnPr>
                        <wps:spPr bwMode="auto">
                          <a:xfrm>
                            <a:off x="0" y="3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134" name="Line 909"/>
                        <wps:cNvCnPr>
                          <a:cxnSpLocks noChangeShapeType="1"/>
                        </wps:cNvCnPr>
                        <wps:spPr bwMode="auto">
                          <a:xfrm>
                            <a:off x="0" y="37"/>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135" name="Line 908"/>
                        <wps:cNvCnPr>
                          <a:cxnSpLocks noChangeShapeType="1"/>
                        </wps:cNvCnPr>
                        <wps:spPr bwMode="auto">
                          <a:xfrm>
                            <a:off x="0" y="4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136" name="Line 907"/>
                        <wps:cNvCnPr>
                          <a:cxnSpLocks noChangeShapeType="1"/>
                        </wps:cNvCnPr>
                        <wps:spPr bwMode="auto">
                          <a:xfrm>
                            <a:off x="0" y="42"/>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137" name="Line 906"/>
                        <wps:cNvCnPr>
                          <a:cxnSpLocks noChangeShapeType="1"/>
                        </wps:cNvCnPr>
                        <wps:spPr bwMode="auto">
                          <a:xfrm>
                            <a:off x="0" y="44"/>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138" name="Line 905"/>
                        <wps:cNvCnPr>
                          <a:cxnSpLocks noChangeShapeType="1"/>
                        </wps:cNvCnPr>
                        <wps:spPr bwMode="auto">
                          <a:xfrm>
                            <a:off x="0" y="47"/>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139" name="Line 904"/>
                        <wps:cNvCnPr>
                          <a:cxnSpLocks noChangeShapeType="1"/>
                        </wps:cNvCnPr>
                        <wps:spPr bwMode="auto">
                          <a:xfrm>
                            <a:off x="1296" y="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140" name="Line 903"/>
                        <wps:cNvCnPr>
                          <a:cxnSpLocks noChangeShapeType="1"/>
                        </wps:cNvCnPr>
                        <wps:spPr bwMode="auto">
                          <a:xfrm>
                            <a:off x="1296" y="4"/>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141" name="Line 902"/>
                        <wps:cNvCnPr>
                          <a:cxnSpLocks noChangeShapeType="1"/>
                        </wps:cNvCnPr>
                        <wps:spPr bwMode="auto">
                          <a:xfrm>
                            <a:off x="1296" y="6"/>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142" name="Line 901"/>
                        <wps:cNvCnPr>
                          <a:cxnSpLocks noChangeShapeType="1"/>
                        </wps:cNvCnPr>
                        <wps:spPr bwMode="auto">
                          <a:xfrm>
                            <a:off x="1296" y="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143" name="Line 900"/>
                        <wps:cNvCnPr>
                          <a:cxnSpLocks noChangeShapeType="1"/>
                        </wps:cNvCnPr>
                        <wps:spPr bwMode="auto">
                          <a:xfrm>
                            <a:off x="1296" y="1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144" name="Line 899"/>
                        <wps:cNvCnPr>
                          <a:cxnSpLocks noChangeShapeType="1"/>
                        </wps:cNvCnPr>
                        <wps:spPr bwMode="auto">
                          <a:xfrm>
                            <a:off x="1296" y="1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145" name="Line 898"/>
                        <wps:cNvCnPr>
                          <a:cxnSpLocks noChangeShapeType="1"/>
                        </wps:cNvCnPr>
                        <wps:spPr bwMode="auto">
                          <a:xfrm>
                            <a:off x="1296" y="3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146" name="Line 897"/>
                        <wps:cNvCnPr>
                          <a:cxnSpLocks noChangeShapeType="1"/>
                        </wps:cNvCnPr>
                        <wps:spPr bwMode="auto">
                          <a:xfrm>
                            <a:off x="1296" y="37"/>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147" name="Line 896"/>
                        <wps:cNvCnPr>
                          <a:cxnSpLocks noChangeShapeType="1"/>
                        </wps:cNvCnPr>
                        <wps:spPr bwMode="auto">
                          <a:xfrm>
                            <a:off x="1296" y="4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148" name="Line 895"/>
                        <wps:cNvCnPr>
                          <a:cxnSpLocks noChangeShapeType="1"/>
                        </wps:cNvCnPr>
                        <wps:spPr bwMode="auto">
                          <a:xfrm>
                            <a:off x="1296" y="42"/>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149" name="Line 894"/>
                        <wps:cNvCnPr>
                          <a:cxnSpLocks noChangeShapeType="1"/>
                        </wps:cNvCnPr>
                        <wps:spPr bwMode="auto">
                          <a:xfrm>
                            <a:off x="1296" y="44"/>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150" name="Line 893"/>
                        <wps:cNvCnPr>
                          <a:cxnSpLocks noChangeShapeType="1"/>
                        </wps:cNvCnPr>
                        <wps:spPr bwMode="auto">
                          <a:xfrm>
                            <a:off x="1296" y="47"/>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78610E1" id="Group 892" o:spid="_x0000_s1026" style="width:129.6pt;height:2.4pt;mso-position-horizontal-relative:char;mso-position-vertical-relative:line" coordsize="259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">
                <v:line id="Line 916" o:spid="_x0000_s1027" style="position:absolute;visibility:visible;mso-wrap-style:square" from="0,1" to="12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" strokeweight=".12pt"/>
                <v:line id="Line 915" o:spid="_x0000_s1028" style="position:absolute;visibility:visible;mso-wrap-style:square" from="0,4" to="12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" strokeweight=".12pt"/>
                <v:line id="Line 914" o:spid="_x0000_s1029" style="position:absolute;visibility:visible;mso-wrap-style:square" from="0,6" to="12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" strokeweight=".12pt"/>
                <v:line id="Line 913" o:spid="_x0000_s1030" style="position:absolute;visibility:visible;mso-wrap-style:square" from="0,8" to="12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" strokeweight=".12pt"/>
                <v:line id="Line 912" o:spid="_x0000_s1031" style="position:absolute;visibility:visible;mso-wrap-style:square" from="0,11" to="12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" strokeweight=".12pt"/>
                <v:line id="Line 911" o:spid="_x0000_s1032" style="position:absolute;visibility:visible;mso-wrap-style:square" from="0,13" to="129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" strokeweight=".12pt"/>
                <v:line id="Line 910" o:spid="_x0000_s1033" style="position:absolute;visibility:visible;mso-wrap-style:square" from="0,35" to="129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" strokeweight=".12pt"/>
                <v:line id="Line 909" o:spid="_x0000_s1034" style="position:absolute;visibility:visible;mso-wrap-style:square" from="0,37" to="129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" strokeweight=".12pt"/>
                <v:line id="Line 908" o:spid="_x0000_s1035" style="position:absolute;visibility:visible;mso-wrap-style:square" from="0,40" to="129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" strokeweight=".12pt"/>
                <v:line id="Line 907" o:spid="_x0000_s1036" style="position:absolute;visibility:visible;mso-wrap-style:square" from="0,42" to="129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" strokeweight=".12pt"/>
                <v:line id="Line 906" o:spid="_x0000_s1037" style="position:absolute;visibility:visible;mso-wrap-style:square" from="0,44" to="12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" strokeweight=".12pt"/>
                <v:line id="Line 905" o:spid="_x0000_s1038" style="position:absolute;visibility:visible;mso-wrap-style:square" from="0,47" to="12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" strokeweight=".12pt"/>
                <v:line id="Line 904" o:spid="_x0000_s1039" style="position:absolute;visibility:visible;mso-wrap-style:square" from="1296,1" to="25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" strokeweight=".12pt"/>
                <v:line id="Line 903" o:spid="_x0000_s1040" style="position:absolute;visibility:visible;mso-wrap-style:square" from="1296,4" to="25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" strokeweight=".12pt"/>
                <v:line id="Line 902" o:spid="_x0000_s1041" style="position:absolute;visibility:visible;mso-wrap-style:square" from="1296,6" to="25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" strokeweight=".12pt"/>
                <v:line id="Line 901" o:spid="_x0000_s1042" style="position:absolute;visibility:visible;mso-wrap-style:square" from="1296,8" to="25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" strokeweight=".12pt"/>
                <v:line id="Line 900" o:spid="_x0000_s1043" style="position:absolute;visibility:visible;mso-wrap-style:square" from="1296,11" to="259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" strokeweight=".12pt"/>
                <v:line id="Line 899" o:spid="_x0000_s1044" style="position:absolute;visibility:visible;mso-wrap-style:square" from="1296,13" to="259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" strokeweight=".12pt"/>
                <v:line id="Line 898" o:spid="_x0000_s1045" style="position:absolute;visibility:visible;mso-wrap-style:square" from="1296,35" to="259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" strokeweight=".12pt"/>
                <v:line id="Line 897" o:spid="_x0000_s1046" style="position:absolute;visibility:visible;mso-wrap-style:square" from="1296,37" to="259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" strokeweight=".12pt"/>
                <v:line id="Line 896" o:spid="_x0000_s1047" style="position:absolute;visibility:visible;mso-wrap-style:square" from="1296,40" to="259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" strokeweight=".12pt"/>
                <v:line id="Line 895" o:spid="_x0000_s1048" style="position:absolute;visibility:visible;mso-wrap-style:square" from="1296,42" to="259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" strokeweight=".12pt"/>
                <v:line id="Line 894" o:spid="_x0000_s1049" style="position:absolute;visibility:visible;mso-wrap-style:square" from="1296,44" to="259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" strokeweight=".12pt"/>
                <v:line id="Line 893" o:spid="_x0000_s1050" style="position:absolute;visibility:visible;mso-wrap-style:square" from="1296,47" to="259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" strokeweight=".12pt"/>
                <w10:anchorlock/>
              </v:group>
            </w:pict>
          </mc:Fallback>
        </mc:AlternateContent>
      </w:r>
    </w:p>
    <w:p w14:paraId="6E7D5050" w14:textId="77777777" w:rsidR="00FA4AA8" w:rsidRDefault="00FA4AA8">
      <w:pPr>
        <w:spacing w:line="49" w:lineRule="exact"/>
        <w:rPr>
          <w:sz w:val="4"/>
        </w:rPr>
        <w:sectPr w:rsidR="00FA4AA8">
          <w:type w:val="continuous"/>
          <w:pgSz w:w="11910" w:h="16840"/>
          <w:pgMar w:top="20" w:right="840" w:bottom="0" w:left="840" w:header="720" w:footer="720" w:gutter="0"/>
          <w:cols w:space="720"/>
        </w:sectPr>
      </w:pPr>
    </w:p>
    <w:p w14:paraId="587EEEB1" w14:textId="77777777" w:rsidR="00FA4AA8" w:rsidRDefault="00FA4AA8">
      <w:pPr>
        <w:pStyle w:val="BodyText"/>
        <w:spacing w:before="6"/>
        <w:rPr>
          <w:sz w:val="21"/>
        </w:rPr>
      </w:pPr>
    </w:p>
    <w:p w14:paraId="1897F038" w14:textId="77777777" w:rsidR="00FA4AA8" w:rsidRDefault="0015611F">
      <w:pPr>
        <w:spacing w:before="91"/>
        <w:ind w:left="167"/>
        <w:rPr>
          <w:b/>
          <w:sz w:val="28"/>
        </w:rPr>
      </w:pPr>
      <w:bookmarkStart w:id="158" w:name="9_Property,_plant_and_equipment_"/>
      <w:bookmarkEnd w:id="158"/>
      <w:r>
        <w:rPr>
          <w:b/>
          <w:sz w:val="28"/>
        </w:rPr>
        <w:t>Notes to the Financial Statements</w:t>
      </w:r>
    </w:p>
    <w:p w14:paraId="17E747BF" w14:textId="77777777" w:rsidR="00FA4AA8" w:rsidRDefault="0015611F">
      <w:pPr>
        <w:spacing w:before="54"/>
        <w:ind w:left="167"/>
        <w:rPr>
          <w:b/>
        </w:rPr>
      </w:pPr>
      <w:r>
        <w:rPr>
          <w:b/>
        </w:rPr>
        <w:t>For the Year Ended 31 December 2018</w:t>
      </w:r>
    </w:p>
    <w:p w14:paraId="1EB83518" w14:textId="77777777" w:rsidR="00FA4AA8" w:rsidRDefault="00FA4AA8">
      <w:pPr>
        <w:pStyle w:val="BodyText"/>
        <w:rPr>
          <w:b/>
          <w:sz w:val="20"/>
        </w:rPr>
      </w:pPr>
    </w:p>
    <w:p w14:paraId="1BD990DE" w14:textId="77777777" w:rsidR="00FA4AA8" w:rsidRDefault="00FA4AA8">
      <w:pPr>
        <w:pStyle w:val="BodyText"/>
        <w:spacing w:before="9"/>
        <w:rPr>
          <w:b/>
          <w:sz w:val="16"/>
        </w:rPr>
      </w:pPr>
    </w:p>
    <w:tbl>
      <w:tblPr>
        <w:tblW w:w="0" w:type="auto"/>
        <w:tblInd w:w="127" w:type="dxa"/>
        <w:tblLayout w:type="fixed"/>
        <w:tblCellMar>
          <w:left w:w="0" w:type="dxa"/>
          <w:right w:w="0" w:type="dxa"/>
        </w:tblCellMar>
        <w:tblLook w:val="01E0" w:firstRow="1" w:lastRow="1" w:firstColumn="1" w:lastColumn="1" w:noHBand="0" w:noVBand="0"/>
      </w:tblPr>
      <w:tblGrid>
        <w:gridCol w:w="297"/>
        <w:gridCol w:w="5775"/>
        <w:gridCol w:w="1433"/>
        <w:gridCol w:w="1372"/>
        <w:gridCol w:w="1084"/>
      </w:tblGrid>
      <w:tr w:rsidR="00FA4AA8" w14:paraId="0C26067E" w14:textId="77777777">
        <w:trPr>
          <w:trHeight w:val="1363"/>
        </w:trPr>
        <w:tc>
          <w:tcPr>
            <w:tcW w:w="297" w:type="dxa"/>
          </w:tcPr>
          <w:p w14:paraId="04976281" w14:textId="77777777" w:rsidR="00FA4AA8" w:rsidRDefault="0015611F">
            <w:pPr>
              <w:pStyle w:val="TableParagraph"/>
              <w:spacing w:line="201" w:lineRule="exact"/>
              <w:ind w:left="50"/>
              <w:rPr>
                <w:b/>
                <w:sz w:val="18"/>
              </w:rPr>
            </w:pPr>
            <w:r>
              <w:rPr>
                <w:b/>
                <w:sz w:val="18"/>
              </w:rPr>
              <w:t>9</w:t>
            </w:r>
          </w:p>
        </w:tc>
        <w:tc>
          <w:tcPr>
            <w:tcW w:w="5775" w:type="dxa"/>
          </w:tcPr>
          <w:p w14:paraId="3EAA97C6" w14:textId="77777777" w:rsidR="00FA4AA8" w:rsidRDefault="0015611F">
            <w:pPr>
              <w:pStyle w:val="TableParagraph"/>
              <w:spacing w:line="201" w:lineRule="exact"/>
              <w:ind w:left="146"/>
              <w:rPr>
                <w:b/>
                <w:sz w:val="18"/>
              </w:rPr>
            </w:pPr>
            <w:r>
              <w:rPr>
                <w:b/>
                <w:sz w:val="18"/>
              </w:rPr>
              <w:t>Property, plant and equipment</w:t>
            </w:r>
          </w:p>
        </w:tc>
        <w:tc>
          <w:tcPr>
            <w:tcW w:w="1433" w:type="dxa"/>
          </w:tcPr>
          <w:p w14:paraId="318D6783" w14:textId="77777777" w:rsidR="00FA4AA8" w:rsidRDefault="00FA4AA8">
            <w:pPr>
              <w:pStyle w:val="TableParagraph"/>
              <w:rPr>
                <w:b/>
                <w:sz w:val="20"/>
              </w:rPr>
            </w:pPr>
          </w:p>
          <w:p w14:paraId="18C8EB9A" w14:textId="77777777" w:rsidR="00FA4AA8" w:rsidRDefault="00FA4AA8">
            <w:pPr>
              <w:pStyle w:val="TableParagraph"/>
              <w:rPr>
                <w:b/>
                <w:sz w:val="20"/>
              </w:rPr>
            </w:pPr>
          </w:p>
          <w:p w14:paraId="6F0332B5" w14:textId="77777777" w:rsidR="00FA4AA8" w:rsidRDefault="00FA4AA8">
            <w:pPr>
              <w:pStyle w:val="TableParagraph"/>
              <w:rPr>
                <w:b/>
                <w:sz w:val="20"/>
              </w:rPr>
            </w:pPr>
          </w:p>
          <w:p w14:paraId="68BD39B2" w14:textId="77777777" w:rsidR="00FA4AA8" w:rsidRDefault="00FA4AA8">
            <w:pPr>
              <w:pStyle w:val="TableParagraph"/>
              <w:spacing w:before="5"/>
              <w:rPr>
                <w:b/>
                <w:sz w:val="19"/>
              </w:rPr>
            </w:pPr>
          </w:p>
          <w:p w14:paraId="3E5B49E4" w14:textId="77777777" w:rsidR="00FA4AA8" w:rsidRDefault="0015611F">
            <w:pPr>
              <w:pStyle w:val="TableParagraph"/>
              <w:ind w:left="203" w:right="280" w:firstLine="60"/>
              <w:rPr>
                <w:b/>
                <w:sz w:val="18"/>
              </w:rPr>
            </w:pPr>
            <w:r>
              <w:rPr>
                <w:b/>
                <w:sz w:val="18"/>
              </w:rPr>
              <w:t>Plant and Equipment</w:t>
            </w:r>
          </w:p>
        </w:tc>
        <w:tc>
          <w:tcPr>
            <w:tcW w:w="1372" w:type="dxa"/>
          </w:tcPr>
          <w:p w14:paraId="4F2E7CB4" w14:textId="77777777" w:rsidR="00FA4AA8" w:rsidRDefault="00FA4AA8">
            <w:pPr>
              <w:pStyle w:val="TableParagraph"/>
              <w:rPr>
                <w:b/>
                <w:sz w:val="20"/>
              </w:rPr>
            </w:pPr>
          </w:p>
          <w:p w14:paraId="4572ED2B" w14:textId="77777777" w:rsidR="00FA4AA8" w:rsidRDefault="00FA4AA8">
            <w:pPr>
              <w:pStyle w:val="TableParagraph"/>
              <w:rPr>
                <w:b/>
                <w:sz w:val="20"/>
              </w:rPr>
            </w:pPr>
          </w:p>
          <w:p w14:paraId="6501540D" w14:textId="77777777" w:rsidR="00FA4AA8" w:rsidRDefault="00FA4AA8">
            <w:pPr>
              <w:pStyle w:val="TableParagraph"/>
              <w:rPr>
                <w:b/>
                <w:sz w:val="20"/>
              </w:rPr>
            </w:pPr>
          </w:p>
          <w:p w14:paraId="7F0250DC" w14:textId="77777777" w:rsidR="00FA4AA8" w:rsidRDefault="00FA4AA8">
            <w:pPr>
              <w:pStyle w:val="TableParagraph"/>
              <w:spacing w:before="5"/>
              <w:rPr>
                <w:b/>
                <w:sz w:val="19"/>
              </w:rPr>
            </w:pPr>
          </w:p>
          <w:p w14:paraId="16E4F578" w14:textId="77777777" w:rsidR="00FA4AA8" w:rsidRDefault="0015611F">
            <w:pPr>
              <w:pStyle w:val="TableParagraph"/>
              <w:ind w:left="165" w:right="456" w:firstLine="117"/>
              <w:rPr>
                <w:b/>
                <w:sz w:val="18"/>
              </w:rPr>
            </w:pPr>
            <w:r>
              <w:rPr>
                <w:b/>
                <w:sz w:val="18"/>
              </w:rPr>
              <w:t>Motor Vehicles</w:t>
            </w:r>
          </w:p>
        </w:tc>
        <w:tc>
          <w:tcPr>
            <w:tcW w:w="1084" w:type="dxa"/>
          </w:tcPr>
          <w:p w14:paraId="68A9C5A6" w14:textId="77777777" w:rsidR="00FA4AA8" w:rsidRDefault="00FA4AA8">
            <w:pPr>
              <w:pStyle w:val="TableParagraph"/>
              <w:rPr>
                <w:b/>
                <w:sz w:val="20"/>
              </w:rPr>
            </w:pPr>
          </w:p>
          <w:p w14:paraId="54104EF7" w14:textId="77777777" w:rsidR="00FA4AA8" w:rsidRDefault="00FA4AA8">
            <w:pPr>
              <w:pStyle w:val="TableParagraph"/>
              <w:rPr>
                <w:b/>
                <w:sz w:val="20"/>
              </w:rPr>
            </w:pPr>
          </w:p>
          <w:p w14:paraId="10B23585" w14:textId="77777777" w:rsidR="00FA4AA8" w:rsidRDefault="00FA4AA8">
            <w:pPr>
              <w:pStyle w:val="TableParagraph"/>
              <w:rPr>
                <w:b/>
                <w:sz w:val="20"/>
              </w:rPr>
            </w:pPr>
          </w:p>
          <w:p w14:paraId="1FBBF65A" w14:textId="77777777" w:rsidR="00FA4AA8" w:rsidRDefault="00FA4AA8">
            <w:pPr>
              <w:pStyle w:val="TableParagraph"/>
              <w:rPr>
                <w:b/>
                <w:sz w:val="20"/>
              </w:rPr>
            </w:pPr>
          </w:p>
          <w:p w14:paraId="08E695AB" w14:textId="77777777" w:rsidR="00FA4AA8" w:rsidRDefault="00FA4AA8">
            <w:pPr>
              <w:pStyle w:val="TableParagraph"/>
              <w:spacing w:before="5"/>
              <w:rPr>
                <w:b/>
                <w:sz w:val="17"/>
              </w:rPr>
            </w:pPr>
          </w:p>
          <w:p w14:paraId="110872BA" w14:textId="77777777" w:rsidR="00FA4AA8" w:rsidRDefault="0015611F">
            <w:pPr>
              <w:pStyle w:val="TableParagraph"/>
              <w:ind w:left="240"/>
              <w:rPr>
                <w:b/>
                <w:sz w:val="18"/>
              </w:rPr>
            </w:pPr>
            <w:r>
              <w:rPr>
                <w:b/>
                <w:sz w:val="18"/>
              </w:rPr>
              <w:t>Total</w:t>
            </w:r>
          </w:p>
        </w:tc>
      </w:tr>
      <w:tr w:rsidR="00FA4AA8" w14:paraId="54951D58" w14:textId="77777777">
        <w:trPr>
          <w:trHeight w:val="313"/>
        </w:trPr>
        <w:tc>
          <w:tcPr>
            <w:tcW w:w="297" w:type="dxa"/>
          </w:tcPr>
          <w:p w14:paraId="29D3B6BD" w14:textId="77777777" w:rsidR="00FA4AA8" w:rsidRDefault="00FA4AA8">
            <w:pPr>
              <w:pStyle w:val="TableParagraph"/>
              <w:rPr>
                <w:rFonts w:ascii="Times New Roman"/>
                <w:sz w:val="18"/>
              </w:rPr>
            </w:pPr>
          </w:p>
        </w:tc>
        <w:tc>
          <w:tcPr>
            <w:tcW w:w="5775" w:type="dxa"/>
          </w:tcPr>
          <w:p w14:paraId="3A163585" w14:textId="77777777" w:rsidR="00FA4AA8" w:rsidRDefault="00FA4AA8">
            <w:pPr>
              <w:pStyle w:val="TableParagraph"/>
              <w:rPr>
                <w:rFonts w:ascii="Times New Roman"/>
                <w:sz w:val="18"/>
              </w:rPr>
            </w:pPr>
          </w:p>
        </w:tc>
        <w:tc>
          <w:tcPr>
            <w:tcW w:w="1433" w:type="dxa"/>
          </w:tcPr>
          <w:p w14:paraId="01100663" w14:textId="77777777" w:rsidR="00FA4AA8" w:rsidRDefault="0015611F">
            <w:pPr>
              <w:pStyle w:val="TableParagraph"/>
              <w:spacing w:before="30"/>
              <w:ind w:right="93"/>
              <w:jc w:val="center"/>
              <w:rPr>
                <w:b/>
                <w:sz w:val="18"/>
              </w:rPr>
            </w:pPr>
            <w:r>
              <w:rPr>
                <w:b/>
                <w:sz w:val="18"/>
              </w:rPr>
              <w:t>$</w:t>
            </w:r>
          </w:p>
        </w:tc>
        <w:tc>
          <w:tcPr>
            <w:tcW w:w="1372" w:type="dxa"/>
          </w:tcPr>
          <w:p w14:paraId="5ED1B9FD" w14:textId="77777777" w:rsidR="00FA4AA8" w:rsidRDefault="0015611F">
            <w:pPr>
              <w:pStyle w:val="TableParagraph"/>
              <w:spacing w:before="30"/>
              <w:ind w:left="481"/>
              <w:rPr>
                <w:b/>
                <w:sz w:val="18"/>
              </w:rPr>
            </w:pPr>
            <w:r>
              <w:rPr>
                <w:b/>
                <w:sz w:val="18"/>
              </w:rPr>
              <w:t>$</w:t>
            </w:r>
          </w:p>
        </w:tc>
        <w:tc>
          <w:tcPr>
            <w:tcW w:w="1084" w:type="dxa"/>
          </w:tcPr>
          <w:p w14:paraId="2ED8F754" w14:textId="77777777" w:rsidR="00FA4AA8" w:rsidRDefault="0015611F">
            <w:pPr>
              <w:pStyle w:val="TableParagraph"/>
              <w:spacing w:before="30"/>
              <w:ind w:right="170"/>
              <w:jc w:val="center"/>
              <w:rPr>
                <w:b/>
                <w:sz w:val="18"/>
              </w:rPr>
            </w:pPr>
            <w:r>
              <w:rPr>
                <w:b/>
                <w:sz w:val="18"/>
              </w:rPr>
              <w:t>$</w:t>
            </w:r>
          </w:p>
        </w:tc>
      </w:tr>
      <w:tr w:rsidR="00FA4AA8" w14:paraId="389BE1B2" w14:textId="77777777">
        <w:trPr>
          <w:trHeight w:val="294"/>
        </w:trPr>
        <w:tc>
          <w:tcPr>
            <w:tcW w:w="297" w:type="dxa"/>
          </w:tcPr>
          <w:p w14:paraId="77938BE9" w14:textId="77777777" w:rsidR="00FA4AA8" w:rsidRDefault="00FA4AA8">
            <w:pPr>
              <w:pStyle w:val="TableParagraph"/>
              <w:rPr>
                <w:rFonts w:ascii="Times New Roman"/>
                <w:sz w:val="18"/>
              </w:rPr>
            </w:pPr>
          </w:p>
        </w:tc>
        <w:tc>
          <w:tcPr>
            <w:tcW w:w="5775" w:type="dxa"/>
          </w:tcPr>
          <w:p w14:paraId="726B6CC4" w14:textId="77777777" w:rsidR="00FA4AA8" w:rsidRDefault="0015611F">
            <w:pPr>
              <w:pStyle w:val="TableParagraph"/>
              <w:spacing w:before="70" w:line="204" w:lineRule="exact"/>
              <w:ind w:left="189"/>
              <w:rPr>
                <w:b/>
                <w:sz w:val="18"/>
              </w:rPr>
            </w:pPr>
            <w:r>
              <w:rPr>
                <w:b/>
                <w:sz w:val="18"/>
              </w:rPr>
              <w:t>At 1 January 2017</w:t>
            </w:r>
          </w:p>
        </w:tc>
        <w:tc>
          <w:tcPr>
            <w:tcW w:w="1433" w:type="dxa"/>
          </w:tcPr>
          <w:p w14:paraId="1E38969D" w14:textId="77777777" w:rsidR="00FA4AA8" w:rsidRDefault="00FA4AA8">
            <w:pPr>
              <w:pStyle w:val="TableParagraph"/>
              <w:rPr>
                <w:rFonts w:ascii="Times New Roman"/>
                <w:sz w:val="18"/>
              </w:rPr>
            </w:pPr>
          </w:p>
        </w:tc>
        <w:tc>
          <w:tcPr>
            <w:tcW w:w="1372" w:type="dxa"/>
          </w:tcPr>
          <w:p w14:paraId="7BF6BECD" w14:textId="77777777" w:rsidR="00FA4AA8" w:rsidRDefault="00FA4AA8">
            <w:pPr>
              <w:pStyle w:val="TableParagraph"/>
              <w:rPr>
                <w:rFonts w:ascii="Times New Roman"/>
                <w:sz w:val="18"/>
              </w:rPr>
            </w:pPr>
          </w:p>
        </w:tc>
        <w:tc>
          <w:tcPr>
            <w:tcW w:w="1084" w:type="dxa"/>
          </w:tcPr>
          <w:p w14:paraId="4402C066" w14:textId="77777777" w:rsidR="00FA4AA8" w:rsidRDefault="00FA4AA8">
            <w:pPr>
              <w:pStyle w:val="TableParagraph"/>
              <w:rPr>
                <w:rFonts w:ascii="Times New Roman"/>
                <w:sz w:val="18"/>
              </w:rPr>
            </w:pPr>
          </w:p>
        </w:tc>
      </w:tr>
      <w:tr w:rsidR="00FA4AA8" w14:paraId="07133E4B" w14:textId="77777777">
        <w:trPr>
          <w:trHeight w:val="250"/>
        </w:trPr>
        <w:tc>
          <w:tcPr>
            <w:tcW w:w="297" w:type="dxa"/>
          </w:tcPr>
          <w:p w14:paraId="4F2E3EEF" w14:textId="77777777" w:rsidR="00FA4AA8" w:rsidRDefault="00FA4AA8">
            <w:pPr>
              <w:pStyle w:val="TableParagraph"/>
              <w:rPr>
                <w:rFonts w:ascii="Times New Roman"/>
                <w:sz w:val="18"/>
              </w:rPr>
            </w:pPr>
          </w:p>
        </w:tc>
        <w:tc>
          <w:tcPr>
            <w:tcW w:w="5775" w:type="dxa"/>
          </w:tcPr>
          <w:p w14:paraId="3C31256D" w14:textId="77777777" w:rsidR="00FA4AA8" w:rsidRDefault="0015611F">
            <w:pPr>
              <w:pStyle w:val="TableParagraph"/>
              <w:spacing w:before="13"/>
              <w:ind w:left="189"/>
              <w:rPr>
                <w:sz w:val="18"/>
              </w:rPr>
            </w:pPr>
            <w:r>
              <w:rPr>
                <w:sz w:val="18"/>
              </w:rPr>
              <w:t>Cost</w:t>
            </w:r>
          </w:p>
        </w:tc>
        <w:tc>
          <w:tcPr>
            <w:tcW w:w="1433" w:type="dxa"/>
          </w:tcPr>
          <w:p w14:paraId="44758ED4" w14:textId="77777777" w:rsidR="00FA4AA8" w:rsidRDefault="0015611F">
            <w:pPr>
              <w:pStyle w:val="TableParagraph"/>
              <w:spacing w:before="11"/>
              <w:ind w:left="551"/>
              <w:rPr>
                <w:sz w:val="18"/>
              </w:rPr>
            </w:pPr>
            <w:r>
              <w:rPr>
                <w:sz w:val="18"/>
              </w:rPr>
              <w:t>232,533</w:t>
            </w:r>
          </w:p>
        </w:tc>
        <w:tc>
          <w:tcPr>
            <w:tcW w:w="1372" w:type="dxa"/>
          </w:tcPr>
          <w:p w14:paraId="6CF538C0" w14:textId="77777777" w:rsidR="00FA4AA8" w:rsidRDefault="0015611F">
            <w:pPr>
              <w:pStyle w:val="TableParagraph"/>
              <w:spacing w:before="11"/>
              <w:ind w:right="300"/>
              <w:jc w:val="right"/>
              <w:rPr>
                <w:sz w:val="18"/>
              </w:rPr>
            </w:pPr>
            <w:r>
              <w:rPr>
                <w:sz w:val="18"/>
              </w:rPr>
              <w:t>278,287</w:t>
            </w:r>
          </w:p>
        </w:tc>
        <w:tc>
          <w:tcPr>
            <w:tcW w:w="1084" w:type="dxa"/>
          </w:tcPr>
          <w:p w14:paraId="168F0082" w14:textId="77777777" w:rsidR="00FA4AA8" w:rsidRDefault="0015611F">
            <w:pPr>
              <w:pStyle w:val="TableParagraph"/>
              <w:spacing w:before="11"/>
              <w:ind w:left="338"/>
              <w:rPr>
                <w:sz w:val="18"/>
              </w:rPr>
            </w:pPr>
            <w:r>
              <w:rPr>
                <w:sz w:val="18"/>
              </w:rPr>
              <w:t>510,820</w:t>
            </w:r>
          </w:p>
        </w:tc>
      </w:tr>
      <w:tr w:rsidR="00FA4AA8" w14:paraId="2A777040" w14:textId="77777777">
        <w:trPr>
          <w:trHeight w:val="256"/>
        </w:trPr>
        <w:tc>
          <w:tcPr>
            <w:tcW w:w="297" w:type="dxa"/>
          </w:tcPr>
          <w:p w14:paraId="0849662B" w14:textId="77777777" w:rsidR="00FA4AA8" w:rsidRDefault="00FA4AA8">
            <w:pPr>
              <w:pStyle w:val="TableParagraph"/>
              <w:rPr>
                <w:rFonts w:ascii="Times New Roman"/>
                <w:sz w:val="18"/>
              </w:rPr>
            </w:pPr>
          </w:p>
        </w:tc>
        <w:tc>
          <w:tcPr>
            <w:tcW w:w="5775" w:type="dxa"/>
          </w:tcPr>
          <w:p w14:paraId="02E12577" w14:textId="77777777" w:rsidR="00FA4AA8" w:rsidRDefault="0015611F">
            <w:pPr>
              <w:pStyle w:val="TableParagraph"/>
              <w:spacing w:before="26"/>
              <w:ind w:left="189"/>
              <w:rPr>
                <w:sz w:val="18"/>
              </w:rPr>
            </w:pPr>
            <w:r>
              <w:rPr>
                <w:sz w:val="18"/>
              </w:rPr>
              <w:t>Accumulated depreciation</w:t>
            </w:r>
          </w:p>
        </w:tc>
        <w:tc>
          <w:tcPr>
            <w:tcW w:w="1433" w:type="dxa"/>
            <w:tcBorders>
              <w:bottom w:val="single" w:sz="8" w:space="0" w:color="000000"/>
            </w:tcBorders>
          </w:tcPr>
          <w:p w14:paraId="1266EF4B" w14:textId="77777777" w:rsidR="00FA4AA8" w:rsidRDefault="0015611F">
            <w:pPr>
              <w:pStyle w:val="TableParagraph"/>
              <w:spacing w:before="24"/>
              <w:ind w:right="163"/>
              <w:jc w:val="right"/>
              <w:rPr>
                <w:sz w:val="18"/>
              </w:rPr>
            </w:pPr>
            <w:r>
              <w:rPr>
                <w:sz w:val="18"/>
              </w:rPr>
              <w:t>(191,601)</w:t>
            </w:r>
          </w:p>
        </w:tc>
        <w:tc>
          <w:tcPr>
            <w:tcW w:w="1372" w:type="dxa"/>
            <w:tcBorders>
              <w:bottom w:val="single" w:sz="8" w:space="0" w:color="000000"/>
            </w:tcBorders>
          </w:tcPr>
          <w:p w14:paraId="11F6D868" w14:textId="77777777" w:rsidR="00FA4AA8" w:rsidRDefault="0015611F">
            <w:pPr>
              <w:pStyle w:val="TableParagraph"/>
              <w:spacing w:before="24"/>
              <w:ind w:left="354"/>
              <w:rPr>
                <w:sz w:val="18"/>
              </w:rPr>
            </w:pPr>
            <w:r>
              <w:rPr>
                <w:sz w:val="18"/>
              </w:rPr>
              <w:t>(253,076)</w:t>
            </w:r>
          </w:p>
        </w:tc>
        <w:tc>
          <w:tcPr>
            <w:tcW w:w="1084" w:type="dxa"/>
            <w:tcBorders>
              <w:bottom w:val="single" w:sz="8" w:space="0" w:color="000000"/>
            </w:tcBorders>
          </w:tcPr>
          <w:p w14:paraId="45D8D530" w14:textId="77777777" w:rsidR="00FA4AA8" w:rsidRDefault="0015611F">
            <w:pPr>
              <w:pStyle w:val="TableParagraph"/>
              <w:spacing w:before="24"/>
              <w:ind w:right="27"/>
              <w:jc w:val="right"/>
              <w:rPr>
                <w:sz w:val="18"/>
              </w:rPr>
            </w:pPr>
            <w:r>
              <w:rPr>
                <w:sz w:val="18"/>
              </w:rPr>
              <w:t>(444,677)</w:t>
            </w:r>
          </w:p>
        </w:tc>
      </w:tr>
      <w:tr w:rsidR="00FA4AA8" w14:paraId="29A5135E" w14:textId="77777777">
        <w:trPr>
          <w:trHeight w:val="318"/>
        </w:trPr>
        <w:tc>
          <w:tcPr>
            <w:tcW w:w="297" w:type="dxa"/>
          </w:tcPr>
          <w:p w14:paraId="431A0A9C" w14:textId="77777777" w:rsidR="00FA4AA8" w:rsidRDefault="00FA4AA8">
            <w:pPr>
              <w:pStyle w:val="TableParagraph"/>
              <w:rPr>
                <w:rFonts w:ascii="Times New Roman"/>
                <w:sz w:val="18"/>
              </w:rPr>
            </w:pPr>
          </w:p>
        </w:tc>
        <w:tc>
          <w:tcPr>
            <w:tcW w:w="5775" w:type="dxa"/>
          </w:tcPr>
          <w:p w14:paraId="5915E7D3" w14:textId="77777777" w:rsidR="00FA4AA8" w:rsidRDefault="0015611F">
            <w:pPr>
              <w:pStyle w:val="TableParagraph"/>
              <w:spacing w:before="115" w:line="183" w:lineRule="exact"/>
              <w:ind w:left="189"/>
              <w:rPr>
                <w:b/>
                <w:sz w:val="18"/>
              </w:rPr>
            </w:pPr>
            <w:r>
              <w:rPr>
                <w:b/>
                <w:sz w:val="18"/>
              </w:rPr>
              <w:t>Net book amount</w:t>
            </w:r>
          </w:p>
        </w:tc>
        <w:tc>
          <w:tcPr>
            <w:tcW w:w="1433" w:type="dxa"/>
            <w:tcBorders>
              <w:top w:val="single" w:sz="8" w:space="0" w:color="000000"/>
              <w:bottom w:val="single" w:sz="8" w:space="0" w:color="000000"/>
            </w:tcBorders>
          </w:tcPr>
          <w:p w14:paraId="386B6BBC" w14:textId="77777777" w:rsidR="00FA4AA8" w:rsidRDefault="0015611F">
            <w:pPr>
              <w:pStyle w:val="TableParagraph"/>
              <w:spacing w:before="115" w:line="183" w:lineRule="exact"/>
              <w:ind w:right="224"/>
              <w:jc w:val="right"/>
              <w:rPr>
                <w:sz w:val="18"/>
              </w:rPr>
            </w:pPr>
            <w:r>
              <w:rPr>
                <w:sz w:val="18"/>
              </w:rPr>
              <w:t>40,932</w:t>
            </w:r>
          </w:p>
        </w:tc>
        <w:tc>
          <w:tcPr>
            <w:tcW w:w="1372" w:type="dxa"/>
            <w:tcBorders>
              <w:top w:val="single" w:sz="8" w:space="0" w:color="000000"/>
              <w:bottom w:val="single" w:sz="8" w:space="0" w:color="000000"/>
            </w:tcBorders>
          </w:tcPr>
          <w:p w14:paraId="0C10DC39" w14:textId="77777777" w:rsidR="00FA4AA8" w:rsidRDefault="0015611F">
            <w:pPr>
              <w:pStyle w:val="TableParagraph"/>
              <w:spacing w:before="115" w:line="183" w:lineRule="exact"/>
              <w:ind w:right="300"/>
              <w:jc w:val="right"/>
              <w:rPr>
                <w:sz w:val="18"/>
              </w:rPr>
            </w:pPr>
            <w:r>
              <w:rPr>
                <w:sz w:val="18"/>
              </w:rPr>
              <w:t>25,211</w:t>
            </w:r>
          </w:p>
        </w:tc>
        <w:tc>
          <w:tcPr>
            <w:tcW w:w="1084" w:type="dxa"/>
            <w:tcBorders>
              <w:top w:val="single" w:sz="8" w:space="0" w:color="000000"/>
              <w:bottom w:val="single" w:sz="8" w:space="0" w:color="000000"/>
            </w:tcBorders>
          </w:tcPr>
          <w:p w14:paraId="7DDD30C6" w14:textId="77777777" w:rsidR="00FA4AA8" w:rsidRDefault="0015611F">
            <w:pPr>
              <w:pStyle w:val="TableParagraph"/>
              <w:spacing w:before="115" w:line="183" w:lineRule="exact"/>
              <w:ind w:left="439"/>
              <w:rPr>
                <w:sz w:val="18"/>
              </w:rPr>
            </w:pPr>
            <w:r>
              <w:rPr>
                <w:sz w:val="18"/>
              </w:rPr>
              <w:t>66,143</w:t>
            </w:r>
          </w:p>
        </w:tc>
      </w:tr>
      <w:tr w:rsidR="00FA4AA8" w14:paraId="69C91B4E" w14:textId="77777777">
        <w:trPr>
          <w:trHeight w:val="339"/>
        </w:trPr>
        <w:tc>
          <w:tcPr>
            <w:tcW w:w="297" w:type="dxa"/>
          </w:tcPr>
          <w:p w14:paraId="3CE4C54E" w14:textId="77777777" w:rsidR="00FA4AA8" w:rsidRDefault="00FA4AA8">
            <w:pPr>
              <w:pStyle w:val="TableParagraph"/>
              <w:rPr>
                <w:rFonts w:ascii="Times New Roman"/>
                <w:sz w:val="18"/>
              </w:rPr>
            </w:pPr>
          </w:p>
        </w:tc>
        <w:tc>
          <w:tcPr>
            <w:tcW w:w="5775" w:type="dxa"/>
          </w:tcPr>
          <w:p w14:paraId="2F72181B" w14:textId="77777777" w:rsidR="00FA4AA8" w:rsidRDefault="0015611F">
            <w:pPr>
              <w:pStyle w:val="TableParagraph"/>
              <w:spacing w:before="115" w:line="204" w:lineRule="exact"/>
              <w:ind w:left="189"/>
              <w:rPr>
                <w:b/>
                <w:sz w:val="18"/>
              </w:rPr>
            </w:pPr>
            <w:r>
              <w:rPr>
                <w:b/>
                <w:sz w:val="18"/>
              </w:rPr>
              <w:t>Year ended 31 December 2017</w:t>
            </w:r>
          </w:p>
        </w:tc>
        <w:tc>
          <w:tcPr>
            <w:tcW w:w="1433" w:type="dxa"/>
            <w:tcBorders>
              <w:top w:val="single" w:sz="8" w:space="0" w:color="000000"/>
            </w:tcBorders>
          </w:tcPr>
          <w:p w14:paraId="47138452" w14:textId="77777777" w:rsidR="00FA4AA8" w:rsidRDefault="00FA4AA8">
            <w:pPr>
              <w:pStyle w:val="TableParagraph"/>
              <w:rPr>
                <w:rFonts w:ascii="Times New Roman"/>
                <w:sz w:val="18"/>
              </w:rPr>
            </w:pPr>
          </w:p>
        </w:tc>
        <w:tc>
          <w:tcPr>
            <w:tcW w:w="1372" w:type="dxa"/>
            <w:tcBorders>
              <w:top w:val="single" w:sz="8" w:space="0" w:color="000000"/>
            </w:tcBorders>
          </w:tcPr>
          <w:p w14:paraId="52C826B0" w14:textId="77777777" w:rsidR="00FA4AA8" w:rsidRDefault="00FA4AA8">
            <w:pPr>
              <w:pStyle w:val="TableParagraph"/>
              <w:rPr>
                <w:rFonts w:ascii="Times New Roman"/>
                <w:sz w:val="18"/>
              </w:rPr>
            </w:pPr>
          </w:p>
        </w:tc>
        <w:tc>
          <w:tcPr>
            <w:tcW w:w="1084" w:type="dxa"/>
            <w:tcBorders>
              <w:top w:val="single" w:sz="8" w:space="0" w:color="000000"/>
            </w:tcBorders>
          </w:tcPr>
          <w:p w14:paraId="6381132A" w14:textId="77777777" w:rsidR="00FA4AA8" w:rsidRDefault="00FA4AA8">
            <w:pPr>
              <w:pStyle w:val="TableParagraph"/>
              <w:rPr>
                <w:rFonts w:ascii="Times New Roman"/>
                <w:sz w:val="18"/>
              </w:rPr>
            </w:pPr>
          </w:p>
        </w:tc>
      </w:tr>
      <w:tr w:rsidR="00FA4AA8" w14:paraId="28BAE60B" w14:textId="77777777">
        <w:trPr>
          <w:trHeight w:val="250"/>
        </w:trPr>
        <w:tc>
          <w:tcPr>
            <w:tcW w:w="297" w:type="dxa"/>
          </w:tcPr>
          <w:p w14:paraId="63297280" w14:textId="77777777" w:rsidR="00FA4AA8" w:rsidRDefault="00FA4AA8">
            <w:pPr>
              <w:pStyle w:val="TableParagraph"/>
              <w:rPr>
                <w:rFonts w:ascii="Times New Roman"/>
                <w:sz w:val="18"/>
              </w:rPr>
            </w:pPr>
          </w:p>
        </w:tc>
        <w:tc>
          <w:tcPr>
            <w:tcW w:w="5775" w:type="dxa"/>
          </w:tcPr>
          <w:p w14:paraId="481A794F" w14:textId="77777777" w:rsidR="00FA4AA8" w:rsidRDefault="0015611F">
            <w:pPr>
              <w:pStyle w:val="TableParagraph"/>
              <w:spacing w:before="13"/>
              <w:ind w:left="189"/>
              <w:rPr>
                <w:sz w:val="18"/>
              </w:rPr>
            </w:pPr>
            <w:r>
              <w:rPr>
                <w:sz w:val="18"/>
              </w:rPr>
              <w:t>Opening net book amount</w:t>
            </w:r>
          </w:p>
        </w:tc>
        <w:tc>
          <w:tcPr>
            <w:tcW w:w="1433" w:type="dxa"/>
          </w:tcPr>
          <w:p w14:paraId="3AAC9940" w14:textId="77777777" w:rsidR="00FA4AA8" w:rsidRDefault="0015611F">
            <w:pPr>
              <w:pStyle w:val="TableParagraph"/>
              <w:spacing w:before="11"/>
              <w:ind w:right="224"/>
              <w:jc w:val="right"/>
              <w:rPr>
                <w:sz w:val="18"/>
              </w:rPr>
            </w:pPr>
            <w:r>
              <w:rPr>
                <w:sz w:val="18"/>
              </w:rPr>
              <w:t>40,932</w:t>
            </w:r>
          </w:p>
        </w:tc>
        <w:tc>
          <w:tcPr>
            <w:tcW w:w="1372" w:type="dxa"/>
          </w:tcPr>
          <w:p w14:paraId="0A800605" w14:textId="77777777" w:rsidR="00FA4AA8" w:rsidRDefault="0015611F">
            <w:pPr>
              <w:pStyle w:val="TableParagraph"/>
              <w:spacing w:before="11"/>
              <w:ind w:right="300"/>
              <w:jc w:val="right"/>
              <w:rPr>
                <w:sz w:val="18"/>
              </w:rPr>
            </w:pPr>
            <w:r>
              <w:rPr>
                <w:sz w:val="18"/>
              </w:rPr>
              <w:t>25,211</w:t>
            </w:r>
          </w:p>
        </w:tc>
        <w:tc>
          <w:tcPr>
            <w:tcW w:w="1084" w:type="dxa"/>
          </w:tcPr>
          <w:p w14:paraId="6C739227" w14:textId="77777777" w:rsidR="00FA4AA8" w:rsidRDefault="0015611F">
            <w:pPr>
              <w:pStyle w:val="TableParagraph"/>
              <w:spacing w:before="11"/>
              <w:ind w:left="439"/>
              <w:rPr>
                <w:sz w:val="18"/>
              </w:rPr>
            </w:pPr>
            <w:r>
              <w:rPr>
                <w:sz w:val="18"/>
              </w:rPr>
              <w:t>66,143</w:t>
            </w:r>
          </w:p>
        </w:tc>
      </w:tr>
      <w:tr w:rsidR="00FA4AA8" w14:paraId="5C541B17" w14:textId="77777777">
        <w:trPr>
          <w:trHeight w:val="264"/>
        </w:trPr>
        <w:tc>
          <w:tcPr>
            <w:tcW w:w="297" w:type="dxa"/>
          </w:tcPr>
          <w:p w14:paraId="251801D9" w14:textId="77777777" w:rsidR="00FA4AA8" w:rsidRDefault="00FA4AA8">
            <w:pPr>
              <w:pStyle w:val="TableParagraph"/>
              <w:rPr>
                <w:rFonts w:ascii="Times New Roman"/>
                <w:sz w:val="18"/>
              </w:rPr>
            </w:pPr>
          </w:p>
        </w:tc>
        <w:tc>
          <w:tcPr>
            <w:tcW w:w="5775" w:type="dxa"/>
          </w:tcPr>
          <w:p w14:paraId="250BB11C" w14:textId="77777777" w:rsidR="00FA4AA8" w:rsidRDefault="0015611F">
            <w:pPr>
              <w:pStyle w:val="TableParagraph"/>
              <w:spacing w:before="26"/>
              <w:ind w:left="189"/>
              <w:rPr>
                <w:sz w:val="18"/>
              </w:rPr>
            </w:pPr>
            <w:r>
              <w:rPr>
                <w:sz w:val="18"/>
              </w:rPr>
              <w:t>Disposals - written down value</w:t>
            </w:r>
          </w:p>
        </w:tc>
        <w:tc>
          <w:tcPr>
            <w:tcW w:w="1433" w:type="dxa"/>
          </w:tcPr>
          <w:p w14:paraId="4C963964" w14:textId="77777777" w:rsidR="00FA4AA8" w:rsidRDefault="0015611F">
            <w:pPr>
              <w:pStyle w:val="TableParagraph"/>
              <w:spacing w:before="24"/>
              <w:ind w:right="163"/>
              <w:jc w:val="right"/>
              <w:rPr>
                <w:sz w:val="18"/>
              </w:rPr>
            </w:pPr>
            <w:r>
              <w:rPr>
                <w:sz w:val="18"/>
              </w:rPr>
              <w:t>(1,834)</w:t>
            </w:r>
          </w:p>
        </w:tc>
        <w:tc>
          <w:tcPr>
            <w:tcW w:w="1372" w:type="dxa"/>
          </w:tcPr>
          <w:p w14:paraId="3A249056" w14:textId="77777777" w:rsidR="00FA4AA8" w:rsidRDefault="0015611F">
            <w:pPr>
              <w:pStyle w:val="TableParagraph"/>
              <w:spacing w:before="24"/>
              <w:ind w:right="239"/>
              <w:jc w:val="right"/>
              <w:rPr>
                <w:sz w:val="18"/>
              </w:rPr>
            </w:pPr>
            <w:r>
              <w:rPr>
                <w:sz w:val="18"/>
              </w:rPr>
              <w:t>(16,654)</w:t>
            </w:r>
          </w:p>
        </w:tc>
        <w:tc>
          <w:tcPr>
            <w:tcW w:w="1084" w:type="dxa"/>
          </w:tcPr>
          <w:p w14:paraId="27C2195F" w14:textId="77777777" w:rsidR="00FA4AA8" w:rsidRDefault="0015611F">
            <w:pPr>
              <w:pStyle w:val="TableParagraph"/>
              <w:spacing w:before="24"/>
              <w:ind w:right="27"/>
              <w:jc w:val="right"/>
              <w:rPr>
                <w:sz w:val="18"/>
              </w:rPr>
            </w:pPr>
            <w:r>
              <w:rPr>
                <w:sz w:val="18"/>
              </w:rPr>
              <w:t>(18,488)</w:t>
            </w:r>
          </w:p>
        </w:tc>
      </w:tr>
      <w:tr w:rsidR="00FA4AA8" w14:paraId="7C6F8284" w14:textId="77777777">
        <w:trPr>
          <w:trHeight w:val="263"/>
        </w:trPr>
        <w:tc>
          <w:tcPr>
            <w:tcW w:w="297" w:type="dxa"/>
          </w:tcPr>
          <w:p w14:paraId="21A0296F" w14:textId="77777777" w:rsidR="00FA4AA8" w:rsidRDefault="00FA4AA8">
            <w:pPr>
              <w:pStyle w:val="TableParagraph"/>
              <w:rPr>
                <w:rFonts w:ascii="Times New Roman"/>
                <w:sz w:val="18"/>
              </w:rPr>
            </w:pPr>
          </w:p>
        </w:tc>
        <w:tc>
          <w:tcPr>
            <w:tcW w:w="5775" w:type="dxa"/>
          </w:tcPr>
          <w:p w14:paraId="18624644" w14:textId="77777777" w:rsidR="00FA4AA8" w:rsidRDefault="0015611F">
            <w:pPr>
              <w:pStyle w:val="TableParagraph"/>
              <w:spacing w:before="26"/>
              <w:ind w:left="189"/>
              <w:rPr>
                <w:sz w:val="18"/>
              </w:rPr>
            </w:pPr>
            <w:r>
              <w:rPr>
                <w:sz w:val="18"/>
              </w:rPr>
              <w:t>Depreciation charge</w:t>
            </w:r>
          </w:p>
        </w:tc>
        <w:tc>
          <w:tcPr>
            <w:tcW w:w="1433" w:type="dxa"/>
          </w:tcPr>
          <w:p w14:paraId="0D2E685C" w14:textId="77777777" w:rsidR="00FA4AA8" w:rsidRDefault="0015611F">
            <w:pPr>
              <w:pStyle w:val="TableParagraph"/>
              <w:spacing w:before="24"/>
              <w:ind w:right="163"/>
              <w:jc w:val="right"/>
              <w:rPr>
                <w:sz w:val="18"/>
              </w:rPr>
            </w:pPr>
            <w:r>
              <w:rPr>
                <w:sz w:val="18"/>
              </w:rPr>
              <w:t>(8,914)</w:t>
            </w:r>
          </w:p>
        </w:tc>
        <w:tc>
          <w:tcPr>
            <w:tcW w:w="1372" w:type="dxa"/>
          </w:tcPr>
          <w:p w14:paraId="48665A1A" w14:textId="77777777" w:rsidR="00FA4AA8" w:rsidRDefault="0015611F">
            <w:pPr>
              <w:pStyle w:val="TableParagraph"/>
              <w:spacing w:before="24"/>
              <w:ind w:right="239"/>
              <w:jc w:val="right"/>
              <w:rPr>
                <w:sz w:val="18"/>
              </w:rPr>
            </w:pPr>
            <w:r>
              <w:rPr>
                <w:sz w:val="18"/>
              </w:rPr>
              <w:t>(11,145)</w:t>
            </w:r>
          </w:p>
        </w:tc>
        <w:tc>
          <w:tcPr>
            <w:tcW w:w="1084" w:type="dxa"/>
          </w:tcPr>
          <w:p w14:paraId="199B78A1" w14:textId="77777777" w:rsidR="00FA4AA8" w:rsidRDefault="0015611F">
            <w:pPr>
              <w:pStyle w:val="TableParagraph"/>
              <w:spacing w:before="24"/>
              <w:ind w:right="27"/>
              <w:jc w:val="right"/>
              <w:rPr>
                <w:sz w:val="18"/>
              </w:rPr>
            </w:pPr>
            <w:r>
              <w:rPr>
                <w:sz w:val="18"/>
              </w:rPr>
              <w:t>(20,059)</w:t>
            </w:r>
          </w:p>
        </w:tc>
      </w:tr>
      <w:tr w:rsidR="00FA4AA8" w14:paraId="03C7093B" w14:textId="77777777">
        <w:trPr>
          <w:trHeight w:val="256"/>
        </w:trPr>
        <w:tc>
          <w:tcPr>
            <w:tcW w:w="297" w:type="dxa"/>
          </w:tcPr>
          <w:p w14:paraId="5CEEED79" w14:textId="77777777" w:rsidR="00FA4AA8" w:rsidRDefault="00FA4AA8">
            <w:pPr>
              <w:pStyle w:val="TableParagraph"/>
              <w:rPr>
                <w:rFonts w:ascii="Times New Roman"/>
                <w:sz w:val="18"/>
              </w:rPr>
            </w:pPr>
          </w:p>
        </w:tc>
        <w:tc>
          <w:tcPr>
            <w:tcW w:w="5775" w:type="dxa"/>
          </w:tcPr>
          <w:p w14:paraId="55192DF9" w14:textId="77777777" w:rsidR="00FA4AA8" w:rsidRDefault="0015611F">
            <w:pPr>
              <w:pStyle w:val="TableParagraph"/>
              <w:spacing w:before="26"/>
              <w:ind w:left="189"/>
              <w:rPr>
                <w:sz w:val="18"/>
              </w:rPr>
            </w:pPr>
            <w:r>
              <w:rPr>
                <w:sz w:val="18"/>
              </w:rPr>
              <w:t>Non-cash adjustment</w:t>
            </w:r>
          </w:p>
        </w:tc>
        <w:tc>
          <w:tcPr>
            <w:tcW w:w="1433" w:type="dxa"/>
            <w:tcBorders>
              <w:bottom w:val="single" w:sz="8" w:space="0" w:color="000000"/>
            </w:tcBorders>
          </w:tcPr>
          <w:p w14:paraId="42057C54" w14:textId="77777777" w:rsidR="00FA4AA8" w:rsidRDefault="0015611F">
            <w:pPr>
              <w:pStyle w:val="TableParagraph"/>
              <w:spacing w:before="24"/>
              <w:ind w:right="224"/>
              <w:jc w:val="right"/>
              <w:rPr>
                <w:sz w:val="18"/>
              </w:rPr>
            </w:pPr>
            <w:r>
              <w:rPr>
                <w:sz w:val="18"/>
              </w:rPr>
              <w:t>-</w:t>
            </w:r>
          </w:p>
        </w:tc>
        <w:tc>
          <w:tcPr>
            <w:tcW w:w="1372" w:type="dxa"/>
            <w:tcBorders>
              <w:bottom w:val="single" w:sz="8" w:space="0" w:color="000000"/>
            </w:tcBorders>
          </w:tcPr>
          <w:p w14:paraId="677F784E" w14:textId="77777777" w:rsidR="00FA4AA8" w:rsidRDefault="0015611F">
            <w:pPr>
              <w:pStyle w:val="TableParagraph"/>
              <w:spacing w:before="24"/>
              <w:ind w:right="300"/>
              <w:jc w:val="right"/>
              <w:rPr>
                <w:sz w:val="18"/>
              </w:rPr>
            </w:pPr>
            <w:r>
              <w:rPr>
                <w:sz w:val="18"/>
              </w:rPr>
              <w:t>6,750</w:t>
            </w:r>
          </w:p>
        </w:tc>
        <w:tc>
          <w:tcPr>
            <w:tcW w:w="1084" w:type="dxa"/>
            <w:tcBorders>
              <w:bottom w:val="single" w:sz="8" w:space="0" w:color="000000"/>
            </w:tcBorders>
          </w:tcPr>
          <w:p w14:paraId="203747B7" w14:textId="77777777" w:rsidR="00FA4AA8" w:rsidRDefault="0015611F">
            <w:pPr>
              <w:pStyle w:val="TableParagraph"/>
              <w:spacing w:before="24"/>
              <w:ind w:right="88"/>
              <w:jc w:val="right"/>
              <w:rPr>
                <w:sz w:val="18"/>
              </w:rPr>
            </w:pPr>
            <w:r>
              <w:rPr>
                <w:sz w:val="18"/>
              </w:rPr>
              <w:t>6,750</w:t>
            </w:r>
          </w:p>
        </w:tc>
      </w:tr>
      <w:tr w:rsidR="00FA4AA8" w14:paraId="332F4893" w14:textId="77777777">
        <w:trPr>
          <w:trHeight w:val="318"/>
        </w:trPr>
        <w:tc>
          <w:tcPr>
            <w:tcW w:w="297" w:type="dxa"/>
          </w:tcPr>
          <w:p w14:paraId="05B9D66F" w14:textId="77777777" w:rsidR="00FA4AA8" w:rsidRDefault="00FA4AA8">
            <w:pPr>
              <w:pStyle w:val="TableParagraph"/>
              <w:rPr>
                <w:rFonts w:ascii="Times New Roman"/>
                <w:sz w:val="18"/>
              </w:rPr>
            </w:pPr>
          </w:p>
        </w:tc>
        <w:tc>
          <w:tcPr>
            <w:tcW w:w="5775" w:type="dxa"/>
          </w:tcPr>
          <w:p w14:paraId="45640411" w14:textId="77777777" w:rsidR="00FA4AA8" w:rsidRDefault="0015611F">
            <w:pPr>
              <w:pStyle w:val="TableParagraph"/>
              <w:spacing w:before="115" w:line="183" w:lineRule="exact"/>
              <w:ind w:left="189"/>
              <w:rPr>
                <w:b/>
                <w:sz w:val="18"/>
              </w:rPr>
            </w:pPr>
            <w:r>
              <w:rPr>
                <w:b/>
                <w:sz w:val="18"/>
              </w:rPr>
              <w:t>Closing net book amount</w:t>
            </w:r>
          </w:p>
        </w:tc>
        <w:tc>
          <w:tcPr>
            <w:tcW w:w="1433" w:type="dxa"/>
            <w:tcBorders>
              <w:top w:val="single" w:sz="8" w:space="0" w:color="000000"/>
              <w:bottom w:val="single" w:sz="8" w:space="0" w:color="000000"/>
            </w:tcBorders>
          </w:tcPr>
          <w:p w14:paraId="28FCCC4E" w14:textId="77777777" w:rsidR="00FA4AA8" w:rsidRDefault="0015611F">
            <w:pPr>
              <w:pStyle w:val="TableParagraph"/>
              <w:spacing w:before="115" w:line="183" w:lineRule="exact"/>
              <w:ind w:right="224"/>
              <w:jc w:val="right"/>
              <w:rPr>
                <w:sz w:val="18"/>
              </w:rPr>
            </w:pPr>
            <w:r>
              <w:rPr>
                <w:sz w:val="18"/>
              </w:rPr>
              <w:t>30,184</w:t>
            </w:r>
          </w:p>
        </w:tc>
        <w:tc>
          <w:tcPr>
            <w:tcW w:w="1372" w:type="dxa"/>
            <w:tcBorders>
              <w:top w:val="single" w:sz="8" w:space="0" w:color="000000"/>
              <w:bottom w:val="single" w:sz="8" w:space="0" w:color="000000"/>
            </w:tcBorders>
          </w:tcPr>
          <w:p w14:paraId="053694CC" w14:textId="77777777" w:rsidR="00FA4AA8" w:rsidRDefault="0015611F">
            <w:pPr>
              <w:pStyle w:val="TableParagraph"/>
              <w:spacing w:before="115" w:line="183" w:lineRule="exact"/>
              <w:ind w:right="300"/>
              <w:jc w:val="right"/>
              <w:rPr>
                <w:sz w:val="18"/>
              </w:rPr>
            </w:pPr>
            <w:r>
              <w:rPr>
                <w:sz w:val="18"/>
              </w:rPr>
              <w:t>4,162</w:t>
            </w:r>
          </w:p>
        </w:tc>
        <w:tc>
          <w:tcPr>
            <w:tcW w:w="1084" w:type="dxa"/>
            <w:tcBorders>
              <w:top w:val="single" w:sz="8" w:space="0" w:color="000000"/>
              <w:bottom w:val="single" w:sz="8" w:space="0" w:color="000000"/>
            </w:tcBorders>
          </w:tcPr>
          <w:p w14:paraId="19F6FC07" w14:textId="77777777" w:rsidR="00FA4AA8" w:rsidRDefault="0015611F">
            <w:pPr>
              <w:pStyle w:val="TableParagraph"/>
              <w:spacing w:before="115" w:line="183" w:lineRule="exact"/>
              <w:ind w:left="439"/>
              <w:rPr>
                <w:sz w:val="18"/>
              </w:rPr>
            </w:pPr>
            <w:r>
              <w:rPr>
                <w:sz w:val="18"/>
              </w:rPr>
              <w:t>34,346</w:t>
            </w:r>
          </w:p>
        </w:tc>
      </w:tr>
      <w:tr w:rsidR="00FA4AA8" w14:paraId="52A0D169" w14:textId="77777777">
        <w:trPr>
          <w:trHeight w:val="339"/>
        </w:trPr>
        <w:tc>
          <w:tcPr>
            <w:tcW w:w="297" w:type="dxa"/>
          </w:tcPr>
          <w:p w14:paraId="37FFF370" w14:textId="77777777" w:rsidR="00FA4AA8" w:rsidRDefault="00FA4AA8">
            <w:pPr>
              <w:pStyle w:val="TableParagraph"/>
              <w:rPr>
                <w:rFonts w:ascii="Times New Roman"/>
                <w:sz w:val="18"/>
              </w:rPr>
            </w:pPr>
          </w:p>
        </w:tc>
        <w:tc>
          <w:tcPr>
            <w:tcW w:w="5775" w:type="dxa"/>
          </w:tcPr>
          <w:p w14:paraId="712AE6D4" w14:textId="77777777" w:rsidR="00FA4AA8" w:rsidRDefault="0015611F">
            <w:pPr>
              <w:pStyle w:val="TableParagraph"/>
              <w:spacing w:before="115" w:line="204" w:lineRule="exact"/>
              <w:ind w:left="189"/>
              <w:rPr>
                <w:b/>
                <w:sz w:val="18"/>
              </w:rPr>
            </w:pPr>
            <w:r>
              <w:rPr>
                <w:b/>
                <w:sz w:val="18"/>
              </w:rPr>
              <w:t>At 31 December 2017</w:t>
            </w:r>
          </w:p>
        </w:tc>
        <w:tc>
          <w:tcPr>
            <w:tcW w:w="1433" w:type="dxa"/>
            <w:tcBorders>
              <w:top w:val="single" w:sz="8" w:space="0" w:color="000000"/>
            </w:tcBorders>
          </w:tcPr>
          <w:p w14:paraId="15E63660" w14:textId="77777777" w:rsidR="00FA4AA8" w:rsidRDefault="00FA4AA8">
            <w:pPr>
              <w:pStyle w:val="TableParagraph"/>
              <w:rPr>
                <w:rFonts w:ascii="Times New Roman"/>
                <w:sz w:val="18"/>
              </w:rPr>
            </w:pPr>
          </w:p>
        </w:tc>
        <w:tc>
          <w:tcPr>
            <w:tcW w:w="1372" w:type="dxa"/>
            <w:tcBorders>
              <w:top w:val="single" w:sz="8" w:space="0" w:color="000000"/>
            </w:tcBorders>
          </w:tcPr>
          <w:p w14:paraId="3BC0AEF5" w14:textId="77777777" w:rsidR="00FA4AA8" w:rsidRDefault="00FA4AA8">
            <w:pPr>
              <w:pStyle w:val="TableParagraph"/>
              <w:rPr>
                <w:rFonts w:ascii="Times New Roman"/>
                <w:sz w:val="18"/>
              </w:rPr>
            </w:pPr>
          </w:p>
        </w:tc>
        <w:tc>
          <w:tcPr>
            <w:tcW w:w="1084" w:type="dxa"/>
            <w:tcBorders>
              <w:top w:val="single" w:sz="8" w:space="0" w:color="000000"/>
            </w:tcBorders>
          </w:tcPr>
          <w:p w14:paraId="6A04BBAD" w14:textId="77777777" w:rsidR="00FA4AA8" w:rsidRDefault="00FA4AA8">
            <w:pPr>
              <w:pStyle w:val="TableParagraph"/>
              <w:rPr>
                <w:rFonts w:ascii="Times New Roman"/>
                <w:sz w:val="18"/>
              </w:rPr>
            </w:pPr>
          </w:p>
        </w:tc>
      </w:tr>
      <w:tr w:rsidR="00FA4AA8" w14:paraId="5CDDCFC9" w14:textId="77777777">
        <w:trPr>
          <w:trHeight w:val="250"/>
        </w:trPr>
        <w:tc>
          <w:tcPr>
            <w:tcW w:w="297" w:type="dxa"/>
          </w:tcPr>
          <w:p w14:paraId="7E8E82C1" w14:textId="77777777" w:rsidR="00FA4AA8" w:rsidRDefault="00FA4AA8">
            <w:pPr>
              <w:pStyle w:val="TableParagraph"/>
              <w:rPr>
                <w:rFonts w:ascii="Times New Roman"/>
                <w:sz w:val="18"/>
              </w:rPr>
            </w:pPr>
          </w:p>
        </w:tc>
        <w:tc>
          <w:tcPr>
            <w:tcW w:w="5775" w:type="dxa"/>
          </w:tcPr>
          <w:p w14:paraId="3C3B2F9B" w14:textId="77777777" w:rsidR="00FA4AA8" w:rsidRDefault="0015611F">
            <w:pPr>
              <w:pStyle w:val="TableParagraph"/>
              <w:spacing w:before="13"/>
              <w:ind w:left="189"/>
              <w:rPr>
                <w:sz w:val="18"/>
              </w:rPr>
            </w:pPr>
            <w:r>
              <w:rPr>
                <w:sz w:val="18"/>
              </w:rPr>
              <w:t>Cost</w:t>
            </w:r>
          </w:p>
        </w:tc>
        <w:tc>
          <w:tcPr>
            <w:tcW w:w="1433" w:type="dxa"/>
          </w:tcPr>
          <w:p w14:paraId="459E3323" w14:textId="77777777" w:rsidR="00FA4AA8" w:rsidRDefault="0015611F">
            <w:pPr>
              <w:pStyle w:val="TableParagraph"/>
              <w:spacing w:before="11"/>
              <w:ind w:left="551"/>
              <w:rPr>
                <w:sz w:val="18"/>
              </w:rPr>
            </w:pPr>
            <w:r>
              <w:rPr>
                <w:sz w:val="18"/>
              </w:rPr>
              <w:t>209,920</w:t>
            </w:r>
          </w:p>
        </w:tc>
        <w:tc>
          <w:tcPr>
            <w:tcW w:w="1372" w:type="dxa"/>
          </w:tcPr>
          <w:p w14:paraId="611C99C8" w14:textId="77777777" w:rsidR="00FA4AA8" w:rsidRDefault="0015611F">
            <w:pPr>
              <w:pStyle w:val="TableParagraph"/>
              <w:spacing w:before="11"/>
              <w:ind w:right="300"/>
              <w:jc w:val="right"/>
              <w:rPr>
                <w:sz w:val="18"/>
              </w:rPr>
            </w:pPr>
            <w:r>
              <w:rPr>
                <w:sz w:val="18"/>
              </w:rPr>
              <w:t>193,576</w:t>
            </w:r>
          </w:p>
        </w:tc>
        <w:tc>
          <w:tcPr>
            <w:tcW w:w="1084" w:type="dxa"/>
          </w:tcPr>
          <w:p w14:paraId="21448638" w14:textId="77777777" w:rsidR="00FA4AA8" w:rsidRDefault="0015611F">
            <w:pPr>
              <w:pStyle w:val="TableParagraph"/>
              <w:spacing w:before="11"/>
              <w:ind w:left="338"/>
              <w:rPr>
                <w:sz w:val="18"/>
              </w:rPr>
            </w:pPr>
            <w:r>
              <w:rPr>
                <w:sz w:val="18"/>
              </w:rPr>
              <w:t>403,496</w:t>
            </w:r>
          </w:p>
        </w:tc>
      </w:tr>
      <w:tr w:rsidR="00FA4AA8" w14:paraId="6C5E382F" w14:textId="77777777">
        <w:trPr>
          <w:trHeight w:val="256"/>
        </w:trPr>
        <w:tc>
          <w:tcPr>
            <w:tcW w:w="297" w:type="dxa"/>
          </w:tcPr>
          <w:p w14:paraId="447929C3" w14:textId="77777777" w:rsidR="00FA4AA8" w:rsidRDefault="00FA4AA8">
            <w:pPr>
              <w:pStyle w:val="TableParagraph"/>
              <w:rPr>
                <w:rFonts w:ascii="Times New Roman"/>
                <w:sz w:val="18"/>
              </w:rPr>
            </w:pPr>
          </w:p>
        </w:tc>
        <w:tc>
          <w:tcPr>
            <w:tcW w:w="5775" w:type="dxa"/>
          </w:tcPr>
          <w:p w14:paraId="7743EC36" w14:textId="77777777" w:rsidR="00FA4AA8" w:rsidRDefault="0015611F">
            <w:pPr>
              <w:pStyle w:val="TableParagraph"/>
              <w:spacing w:before="26"/>
              <w:ind w:left="189"/>
              <w:rPr>
                <w:sz w:val="18"/>
              </w:rPr>
            </w:pPr>
            <w:r>
              <w:rPr>
                <w:sz w:val="18"/>
              </w:rPr>
              <w:t>Accumulated depreciation</w:t>
            </w:r>
          </w:p>
        </w:tc>
        <w:tc>
          <w:tcPr>
            <w:tcW w:w="1433" w:type="dxa"/>
            <w:tcBorders>
              <w:bottom w:val="single" w:sz="8" w:space="0" w:color="000000"/>
            </w:tcBorders>
          </w:tcPr>
          <w:p w14:paraId="03C9D3AC" w14:textId="77777777" w:rsidR="00FA4AA8" w:rsidRDefault="0015611F">
            <w:pPr>
              <w:pStyle w:val="TableParagraph"/>
              <w:spacing w:before="24"/>
              <w:ind w:right="163"/>
              <w:jc w:val="right"/>
              <w:rPr>
                <w:sz w:val="18"/>
              </w:rPr>
            </w:pPr>
            <w:r>
              <w:rPr>
                <w:sz w:val="18"/>
              </w:rPr>
              <w:t>(179,736)</w:t>
            </w:r>
          </w:p>
        </w:tc>
        <w:tc>
          <w:tcPr>
            <w:tcW w:w="1372" w:type="dxa"/>
            <w:tcBorders>
              <w:bottom w:val="single" w:sz="8" w:space="0" w:color="000000"/>
            </w:tcBorders>
          </w:tcPr>
          <w:p w14:paraId="70CA314B" w14:textId="77777777" w:rsidR="00FA4AA8" w:rsidRDefault="0015611F">
            <w:pPr>
              <w:pStyle w:val="TableParagraph"/>
              <w:spacing w:before="24"/>
              <w:ind w:left="354"/>
              <w:rPr>
                <w:sz w:val="18"/>
              </w:rPr>
            </w:pPr>
            <w:r>
              <w:rPr>
                <w:sz w:val="18"/>
              </w:rPr>
              <w:t>(189,414)</w:t>
            </w:r>
          </w:p>
        </w:tc>
        <w:tc>
          <w:tcPr>
            <w:tcW w:w="1084" w:type="dxa"/>
            <w:tcBorders>
              <w:bottom w:val="single" w:sz="8" w:space="0" w:color="000000"/>
            </w:tcBorders>
          </w:tcPr>
          <w:p w14:paraId="17D1F2D9" w14:textId="77777777" w:rsidR="00FA4AA8" w:rsidRDefault="0015611F">
            <w:pPr>
              <w:pStyle w:val="TableParagraph"/>
              <w:spacing w:before="24"/>
              <w:ind w:right="27"/>
              <w:jc w:val="right"/>
              <w:rPr>
                <w:sz w:val="18"/>
              </w:rPr>
            </w:pPr>
            <w:r>
              <w:rPr>
                <w:sz w:val="18"/>
              </w:rPr>
              <w:t>(369,150)</w:t>
            </w:r>
          </w:p>
        </w:tc>
      </w:tr>
      <w:tr w:rsidR="00FA4AA8" w14:paraId="7828BE00" w14:textId="77777777">
        <w:trPr>
          <w:trHeight w:val="320"/>
        </w:trPr>
        <w:tc>
          <w:tcPr>
            <w:tcW w:w="297" w:type="dxa"/>
          </w:tcPr>
          <w:p w14:paraId="759E5C9B" w14:textId="77777777" w:rsidR="00FA4AA8" w:rsidRDefault="00FA4AA8">
            <w:pPr>
              <w:pStyle w:val="TableParagraph"/>
              <w:rPr>
                <w:rFonts w:ascii="Times New Roman"/>
                <w:sz w:val="18"/>
              </w:rPr>
            </w:pPr>
          </w:p>
        </w:tc>
        <w:tc>
          <w:tcPr>
            <w:tcW w:w="5775" w:type="dxa"/>
          </w:tcPr>
          <w:p w14:paraId="57539820" w14:textId="77777777" w:rsidR="00FA4AA8" w:rsidRDefault="0015611F">
            <w:pPr>
              <w:pStyle w:val="TableParagraph"/>
              <w:spacing w:before="115" w:line="185" w:lineRule="exact"/>
              <w:ind w:left="189"/>
              <w:rPr>
                <w:b/>
                <w:sz w:val="18"/>
              </w:rPr>
            </w:pPr>
            <w:r>
              <w:rPr>
                <w:b/>
                <w:sz w:val="18"/>
              </w:rPr>
              <w:t>Net book amount</w:t>
            </w:r>
          </w:p>
        </w:tc>
        <w:tc>
          <w:tcPr>
            <w:tcW w:w="1433" w:type="dxa"/>
            <w:tcBorders>
              <w:top w:val="single" w:sz="8" w:space="0" w:color="000000"/>
              <w:bottom w:val="double" w:sz="2" w:space="0" w:color="000000"/>
            </w:tcBorders>
          </w:tcPr>
          <w:p w14:paraId="3CFFDA2B" w14:textId="77777777" w:rsidR="00FA4AA8" w:rsidRDefault="0015611F">
            <w:pPr>
              <w:pStyle w:val="TableParagraph"/>
              <w:spacing w:before="115" w:line="185" w:lineRule="exact"/>
              <w:ind w:right="224"/>
              <w:jc w:val="right"/>
              <w:rPr>
                <w:sz w:val="18"/>
              </w:rPr>
            </w:pPr>
            <w:r>
              <w:rPr>
                <w:sz w:val="18"/>
              </w:rPr>
              <w:t>30,184</w:t>
            </w:r>
          </w:p>
        </w:tc>
        <w:tc>
          <w:tcPr>
            <w:tcW w:w="1372" w:type="dxa"/>
            <w:tcBorders>
              <w:top w:val="single" w:sz="8" w:space="0" w:color="000000"/>
              <w:bottom w:val="double" w:sz="2" w:space="0" w:color="000000"/>
            </w:tcBorders>
          </w:tcPr>
          <w:p w14:paraId="3E617598" w14:textId="77777777" w:rsidR="00FA4AA8" w:rsidRDefault="0015611F">
            <w:pPr>
              <w:pStyle w:val="TableParagraph"/>
              <w:spacing w:before="115" w:line="185" w:lineRule="exact"/>
              <w:ind w:right="300"/>
              <w:jc w:val="right"/>
              <w:rPr>
                <w:sz w:val="18"/>
              </w:rPr>
            </w:pPr>
            <w:r>
              <w:rPr>
                <w:sz w:val="18"/>
              </w:rPr>
              <w:t>4,162</w:t>
            </w:r>
          </w:p>
        </w:tc>
        <w:tc>
          <w:tcPr>
            <w:tcW w:w="1084" w:type="dxa"/>
            <w:tcBorders>
              <w:top w:val="single" w:sz="8" w:space="0" w:color="000000"/>
              <w:bottom w:val="double" w:sz="2" w:space="0" w:color="000000"/>
            </w:tcBorders>
          </w:tcPr>
          <w:p w14:paraId="3BE9171E" w14:textId="77777777" w:rsidR="00FA4AA8" w:rsidRDefault="0015611F">
            <w:pPr>
              <w:pStyle w:val="TableParagraph"/>
              <w:spacing w:before="115" w:line="185" w:lineRule="exact"/>
              <w:ind w:left="439"/>
              <w:rPr>
                <w:sz w:val="18"/>
              </w:rPr>
            </w:pPr>
            <w:r>
              <w:rPr>
                <w:sz w:val="18"/>
              </w:rPr>
              <w:t>34,346</w:t>
            </w:r>
          </w:p>
        </w:tc>
      </w:tr>
      <w:tr w:rsidR="00FA4AA8" w14:paraId="5BC2D23B" w14:textId="77777777">
        <w:trPr>
          <w:trHeight w:val="341"/>
        </w:trPr>
        <w:tc>
          <w:tcPr>
            <w:tcW w:w="297" w:type="dxa"/>
          </w:tcPr>
          <w:p w14:paraId="4E0DF99D" w14:textId="77777777" w:rsidR="00FA4AA8" w:rsidRDefault="00FA4AA8">
            <w:pPr>
              <w:pStyle w:val="TableParagraph"/>
              <w:rPr>
                <w:rFonts w:ascii="Times New Roman"/>
                <w:sz w:val="18"/>
              </w:rPr>
            </w:pPr>
          </w:p>
        </w:tc>
        <w:tc>
          <w:tcPr>
            <w:tcW w:w="5775" w:type="dxa"/>
          </w:tcPr>
          <w:p w14:paraId="092DE05E" w14:textId="77777777" w:rsidR="00FA4AA8" w:rsidRDefault="0015611F">
            <w:pPr>
              <w:pStyle w:val="TableParagraph"/>
              <w:spacing w:before="117" w:line="204" w:lineRule="exact"/>
              <w:ind w:left="189"/>
              <w:rPr>
                <w:b/>
                <w:sz w:val="18"/>
              </w:rPr>
            </w:pPr>
            <w:r>
              <w:rPr>
                <w:b/>
                <w:sz w:val="18"/>
              </w:rPr>
              <w:t>Year ended 31 December 2018</w:t>
            </w:r>
          </w:p>
        </w:tc>
        <w:tc>
          <w:tcPr>
            <w:tcW w:w="1433" w:type="dxa"/>
            <w:tcBorders>
              <w:top w:val="double" w:sz="2" w:space="0" w:color="000000"/>
            </w:tcBorders>
          </w:tcPr>
          <w:p w14:paraId="400531F1" w14:textId="77777777" w:rsidR="00FA4AA8" w:rsidRDefault="00FA4AA8">
            <w:pPr>
              <w:pStyle w:val="TableParagraph"/>
              <w:rPr>
                <w:rFonts w:ascii="Times New Roman"/>
                <w:sz w:val="18"/>
              </w:rPr>
            </w:pPr>
          </w:p>
        </w:tc>
        <w:tc>
          <w:tcPr>
            <w:tcW w:w="1372" w:type="dxa"/>
            <w:tcBorders>
              <w:top w:val="double" w:sz="2" w:space="0" w:color="000000"/>
            </w:tcBorders>
          </w:tcPr>
          <w:p w14:paraId="2259C272" w14:textId="77777777" w:rsidR="00FA4AA8" w:rsidRDefault="00FA4AA8">
            <w:pPr>
              <w:pStyle w:val="TableParagraph"/>
              <w:rPr>
                <w:rFonts w:ascii="Times New Roman"/>
                <w:sz w:val="18"/>
              </w:rPr>
            </w:pPr>
          </w:p>
        </w:tc>
        <w:tc>
          <w:tcPr>
            <w:tcW w:w="1084" w:type="dxa"/>
            <w:tcBorders>
              <w:top w:val="double" w:sz="2" w:space="0" w:color="000000"/>
            </w:tcBorders>
          </w:tcPr>
          <w:p w14:paraId="6885455C" w14:textId="77777777" w:rsidR="00FA4AA8" w:rsidRDefault="00FA4AA8">
            <w:pPr>
              <w:pStyle w:val="TableParagraph"/>
              <w:rPr>
                <w:rFonts w:ascii="Times New Roman"/>
                <w:sz w:val="18"/>
              </w:rPr>
            </w:pPr>
          </w:p>
        </w:tc>
      </w:tr>
      <w:tr w:rsidR="00FA4AA8" w14:paraId="2F885093" w14:textId="77777777">
        <w:trPr>
          <w:trHeight w:val="250"/>
        </w:trPr>
        <w:tc>
          <w:tcPr>
            <w:tcW w:w="297" w:type="dxa"/>
          </w:tcPr>
          <w:p w14:paraId="5C080C48" w14:textId="77777777" w:rsidR="00FA4AA8" w:rsidRDefault="00FA4AA8">
            <w:pPr>
              <w:pStyle w:val="TableParagraph"/>
              <w:rPr>
                <w:rFonts w:ascii="Times New Roman"/>
                <w:sz w:val="18"/>
              </w:rPr>
            </w:pPr>
          </w:p>
        </w:tc>
        <w:tc>
          <w:tcPr>
            <w:tcW w:w="5775" w:type="dxa"/>
          </w:tcPr>
          <w:p w14:paraId="3BCC00BF" w14:textId="77777777" w:rsidR="00FA4AA8" w:rsidRDefault="0015611F">
            <w:pPr>
              <w:pStyle w:val="TableParagraph"/>
              <w:spacing w:before="13"/>
              <w:ind w:left="189"/>
              <w:rPr>
                <w:sz w:val="18"/>
              </w:rPr>
            </w:pPr>
            <w:r>
              <w:rPr>
                <w:sz w:val="18"/>
              </w:rPr>
              <w:t>Opening net book amount</w:t>
            </w:r>
          </w:p>
        </w:tc>
        <w:tc>
          <w:tcPr>
            <w:tcW w:w="1433" w:type="dxa"/>
          </w:tcPr>
          <w:p w14:paraId="1C456A05" w14:textId="77777777" w:rsidR="00FA4AA8" w:rsidRDefault="0015611F">
            <w:pPr>
              <w:pStyle w:val="TableParagraph"/>
              <w:spacing w:before="11"/>
              <w:ind w:right="224"/>
              <w:jc w:val="right"/>
              <w:rPr>
                <w:sz w:val="18"/>
              </w:rPr>
            </w:pPr>
            <w:r>
              <w:rPr>
                <w:sz w:val="18"/>
              </w:rPr>
              <w:t>30,184</w:t>
            </w:r>
          </w:p>
        </w:tc>
        <w:tc>
          <w:tcPr>
            <w:tcW w:w="1372" w:type="dxa"/>
          </w:tcPr>
          <w:p w14:paraId="2E00F1FF" w14:textId="77777777" w:rsidR="00FA4AA8" w:rsidRDefault="0015611F">
            <w:pPr>
              <w:pStyle w:val="TableParagraph"/>
              <w:spacing w:before="11"/>
              <w:ind w:right="300"/>
              <w:jc w:val="right"/>
              <w:rPr>
                <w:sz w:val="18"/>
              </w:rPr>
            </w:pPr>
            <w:r>
              <w:rPr>
                <w:sz w:val="18"/>
              </w:rPr>
              <w:t>4,162</w:t>
            </w:r>
          </w:p>
        </w:tc>
        <w:tc>
          <w:tcPr>
            <w:tcW w:w="1084" w:type="dxa"/>
          </w:tcPr>
          <w:p w14:paraId="7550959B" w14:textId="77777777" w:rsidR="00FA4AA8" w:rsidRDefault="0015611F">
            <w:pPr>
              <w:pStyle w:val="TableParagraph"/>
              <w:spacing w:before="11"/>
              <w:ind w:left="439"/>
              <w:rPr>
                <w:sz w:val="18"/>
              </w:rPr>
            </w:pPr>
            <w:r>
              <w:rPr>
                <w:sz w:val="18"/>
              </w:rPr>
              <w:t>34,346</w:t>
            </w:r>
          </w:p>
        </w:tc>
      </w:tr>
      <w:tr w:rsidR="00FA4AA8" w14:paraId="201E1466" w14:textId="77777777">
        <w:trPr>
          <w:trHeight w:val="263"/>
        </w:trPr>
        <w:tc>
          <w:tcPr>
            <w:tcW w:w="297" w:type="dxa"/>
          </w:tcPr>
          <w:p w14:paraId="1B87D539" w14:textId="77777777" w:rsidR="00FA4AA8" w:rsidRDefault="00FA4AA8">
            <w:pPr>
              <w:pStyle w:val="TableParagraph"/>
              <w:rPr>
                <w:rFonts w:ascii="Times New Roman"/>
                <w:sz w:val="18"/>
              </w:rPr>
            </w:pPr>
          </w:p>
        </w:tc>
        <w:tc>
          <w:tcPr>
            <w:tcW w:w="5775" w:type="dxa"/>
          </w:tcPr>
          <w:p w14:paraId="450B9990" w14:textId="77777777" w:rsidR="00FA4AA8" w:rsidRDefault="0015611F">
            <w:pPr>
              <w:pStyle w:val="TableParagraph"/>
              <w:spacing w:before="26"/>
              <w:ind w:left="189"/>
              <w:rPr>
                <w:sz w:val="18"/>
              </w:rPr>
            </w:pPr>
            <w:r>
              <w:rPr>
                <w:sz w:val="18"/>
              </w:rPr>
              <w:t>Disposals</w:t>
            </w:r>
          </w:p>
        </w:tc>
        <w:tc>
          <w:tcPr>
            <w:tcW w:w="1433" w:type="dxa"/>
          </w:tcPr>
          <w:p w14:paraId="690F0971" w14:textId="77777777" w:rsidR="00FA4AA8" w:rsidRDefault="0015611F">
            <w:pPr>
              <w:pStyle w:val="TableParagraph"/>
              <w:spacing w:before="24"/>
              <w:ind w:right="224"/>
              <w:jc w:val="right"/>
              <w:rPr>
                <w:sz w:val="18"/>
              </w:rPr>
            </w:pPr>
            <w:r>
              <w:rPr>
                <w:sz w:val="18"/>
              </w:rPr>
              <w:t>-</w:t>
            </w:r>
          </w:p>
        </w:tc>
        <w:tc>
          <w:tcPr>
            <w:tcW w:w="1372" w:type="dxa"/>
          </w:tcPr>
          <w:p w14:paraId="00EA35FB" w14:textId="77777777" w:rsidR="00FA4AA8" w:rsidRDefault="0015611F">
            <w:pPr>
              <w:pStyle w:val="TableParagraph"/>
              <w:spacing w:before="24"/>
              <w:ind w:right="239"/>
              <w:jc w:val="right"/>
              <w:rPr>
                <w:sz w:val="18"/>
              </w:rPr>
            </w:pPr>
            <w:r>
              <w:rPr>
                <w:sz w:val="18"/>
              </w:rPr>
              <w:t>(2,056)</w:t>
            </w:r>
          </w:p>
        </w:tc>
        <w:tc>
          <w:tcPr>
            <w:tcW w:w="1084" w:type="dxa"/>
          </w:tcPr>
          <w:p w14:paraId="34259050" w14:textId="77777777" w:rsidR="00FA4AA8" w:rsidRDefault="0015611F">
            <w:pPr>
              <w:pStyle w:val="TableParagraph"/>
              <w:spacing w:before="24"/>
              <w:ind w:right="27"/>
              <w:jc w:val="right"/>
              <w:rPr>
                <w:sz w:val="18"/>
              </w:rPr>
            </w:pPr>
            <w:r>
              <w:rPr>
                <w:sz w:val="18"/>
              </w:rPr>
              <w:t>(2,056)</w:t>
            </w:r>
          </w:p>
        </w:tc>
      </w:tr>
      <w:tr w:rsidR="00FA4AA8" w14:paraId="5B95E878" w14:textId="77777777">
        <w:trPr>
          <w:trHeight w:val="256"/>
        </w:trPr>
        <w:tc>
          <w:tcPr>
            <w:tcW w:w="297" w:type="dxa"/>
          </w:tcPr>
          <w:p w14:paraId="3D014909" w14:textId="77777777" w:rsidR="00FA4AA8" w:rsidRDefault="00FA4AA8">
            <w:pPr>
              <w:pStyle w:val="TableParagraph"/>
              <w:rPr>
                <w:rFonts w:ascii="Times New Roman"/>
                <w:sz w:val="18"/>
              </w:rPr>
            </w:pPr>
          </w:p>
        </w:tc>
        <w:tc>
          <w:tcPr>
            <w:tcW w:w="5775" w:type="dxa"/>
          </w:tcPr>
          <w:p w14:paraId="755BB466" w14:textId="77777777" w:rsidR="00FA4AA8" w:rsidRDefault="0015611F">
            <w:pPr>
              <w:pStyle w:val="TableParagraph"/>
              <w:spacing w:before="26"/>
              <w:ind w:left="189"/>
              <w:rPr>
                <w:sz w:val="18"/>
              </w:rPr>
            </w:pPr>
            <w:r>
              <w:rPr>
                <w:sz w:val="18"/>
              </w:rPr>
              <w:t>Depreciation charge</w:t>
            </w:r>
          </w:p>
        </w:tc>
        <w:tc>
          <w:tcPr>
            <w:tcW w:w="1433" w:type="dxa"/>
            <w:tcBorders>
              <w:bottom w:val="single" w:sz="8" w:space="0" w:color="000000"/>
            </w:tcBorders>
          </w:tcPr>
          <w:p w14:paraId="5A249235" w14:textId="77777777" w:rsidR="00FA4AA8" w:rsidRDefault="0015611F">
            <w:pPr>
              <w:pStyle w:val="TableParagraph"/>
              <w:spacing w:before="24"/>
              <w:ind w:right="163"/>
              <w:jc w:val="right"/>
              <w:rPr>
                <w:sz w:val="18"/>
              </w:rPr>
            </w:pPr>
            <w:r>
              <w:rPr>
                <w:sz w:val="18"/>
              </w:rPr>
              <w:t>(8,426)</w:t>
            </w:r>
          </w:p>
        </w:tc>
        <w:tc>
          <w:tcPr>
            <w:tcW w:w="1372" w:type="dxa"/>
            <w:tcBorders>
              <w:bottom w:val="single" w:sz="8" w:space="0" w:color="000000"/>
            </w:tcBorders>
          </w:tcPr>
          <w:p w14:paraId="4809DD7C" w14:textId="77777777" w:rsidR="00FA4AA8" w:rsidRDefault="0015611F">
            <w:pPr>
              <w:pStyle w:val="TableParagraph"/>
              <w:spacing w:before="24"/>
              <w:ind w:right="239"/>
              <w:jc w:val="right"/>
              <w:rPr>
                <w:sz w:val="18"/>
              </w:rPr>
            </w:pPr>
            <w:r>
              <w:rPr>
                <w:sz w:val="18"/>
              </w:rPr>
              <w:t>(2,106)</w:t>
            </w:r>
          </w:p>
        </w:tc>
        <w:tc>
          <w:tcPr>
            <w:tcW w:w="1084" w:type="dxa"/>
            <w:tcBorders>
              <w:bottom w:val="single" w:sz="8" w:space="0" w:color="000000"/>
            </w:tcBorders>
          </w:tcPr>
          <w:p w14:paraId="3D82BCE8" w14:textId="77777777" w:rsidR="00FA4AA8" w:rsidRDefault="0015611F">
            <w:pPr>
              <w:pStyle w:val="TableParagraph"/>
              <w:spacing w:before="24"/>
              <w:ind w:right="27"/>
              <w:jc w:val="right"/>
              <w:rPr>
                <w:sz w:val="18"/>
              </w:rPr>
            </w:pPr>
            <w:r>
              <w:rPr>
                <w:sz w:val="18"/>
              </w:rPr>
              <w:t>(10,532)</w:t>
            </w:r>
          </w:p>
        </w:tc>
      </w:tr>
      <w:tr w:rsidR="00FA4AA8" w14:paraId="2E0291E0" w14:textId="77777777">
        <w:trPr>
          <w:trHeight w:val="318"/>
        </w:trPr>
        <w:tc>
          <w:tcPr>
            <w:tcW w:w="297" w:type="dxa"/>
          </w:tcPr>
          <w:p w14:paraId="21043BC8" w14:textId="77777777" w:rsidR="00FA4AA8" w:rsidRDefault="00FA4AA8">
            <w:pPr>
              <w:pStyle w:val="TableParagraph"/>
              <w:rPr>
                <w:rFonts w:ascii="Times New Roman"/>
                <w:sz w:val="18"/>
              </w:rPr>
            </w:pPr>
          </w:p>
        </w:tc>
        <w:tc>
          <w:tcPr>
            <w:tcW w:w="5775" w:type="dxa"/>
          </w:tcPr>
          <w:p w14:paraId="3A76289F" w14:textId="77777777" w:rsidR="00FA4AA8" w:rsidRDefault="0015611F">
            <w:pPr>
              <w:pStyle w:val="TableParagraph"/>
              <w:spacing w:before="115" w:line="183" w:lineRule="exact"/>
              <w:ind w:left="189"/>
              <w:rPr>
                <w:b/>
                <w:sz w:val="18"/>
              </w:rPr>
            </w:pPr>
            <w:r>
              <w:rPr>
                <w:b/>
                <w:sz w:val="18"/>
              </w:rPr>
              <w:t>Closing net book amount</w:t>
            </w:r>
          </w:p>
        </w:tc>
        <w:tc>
          <w:tcPr>
            <w:tcW w:w="1433" w:type="dxa"/>
            <w:tcBorders>
              <w:top w:val="single" w:sz="8" w:space="0" w:color="000000"/>
              <w:bottom w:val="single" w:sz="8" w:space="0" w:color="000000"/>
            </w:tcBorders>
          </w:tcPr>
          <w:p w14:paraId="620121BE" w14:textId="77777777" w:rsidR="00FA4AA8" w:rsidRDefault="0015611F">
            <w:pPr>
              <w:pStyle w:val="TableParagraph"/>
              <w:spacing w:before="115" w:line="183" w:lineRule="exact"/>
              <w:ind w:right="224"/>
              <w:jc w:val="right"/>
              <w:rPr>
                <w:b/>
                <w:sz w:val="18"/>
              </w:rPr>
            </w:pPr>
            <w:r>
              <w:rPr>
                <w:b/>
                <w:sz w:val="18"/>
              </w:rPr>
              <w:t>21,758</w:t>
            </w:r>
          </w:p>
        </w:tc>
        <w:tc>
          <w:tcPr>
            <w:tcW w:w="1372" w:type="dxa"/>
            <w:tcBorders>
              <w:top w:val="single" w:sz="8" w:space="0" w:color="000000"/>
              <w:bottom w:val="single" w:sz="8" w:space="0" w:color="000000"/>
            </w:tcBorders>
          </w:tcPr>
          <w:p w14:paraId="607868E3" w14:textId="77777777" w:rsidR="00FA4AA8" w:rsidRDefault="0015611F">
            <w:pPr>
              <w:pStyle w:val="TableParagraph"/>
              <w:spacing w:before="115" w:line="183" w:lineRule="exact"/>
              <w:ind w:right="300"/>
              <w:jc w:val="right"/>
              <w:rPr>
                <w:b/>
                <w:sz w:val="18"/>
              </w:rPr>
            </w:pPr>
            <w:r>
              <w:rPr>
                <w:b/>
                <w:sz w:val="18"/>
              </w:rPr>
              <w:t>-</w:t>
            </w:r>
          </w:p>
        </w:tc>
        <w:tc>
          <w:tcPr>
            <w:tcW w:w="1084" w:type="dxa"/>
            <w:tcBorders>
              <w:top w:val="single" w:sz="8" w:space="0" w:color="000000"/>
              <w:bottom w:val="single" w:sz="8" w:space="0" w:color="000000"/>
            </w:tcBorders>
          </w:tcPr>
          <w:p w14:paraId="065CB7C4" w14:textId="77777777" w:rsidR="00FA4AA8" w:rsidRDefault="0015611F">
            <w:pPr>
              <w:pStyle w:val="TableParagraph"/>
              <w:spacing w:before="115" w:line="183" w:lineRule="exact"/>
              <w:ind w:left="439"/>
              <w:rPr>
                <w:b/>
                <w:sz w:val="18"/>
              </w:rPr>
            </w:pPr>
            <w:r>
              <w:rPr>
                <w:b/>
                <w:sz w:val="18"/>
              </w:rPr>
              <w:t>21,758</w:t>
            </w:r>
          </w:p>
        </w:tc>
      </w:tr>
      <w:tr w:rsidR="00FA4AA8" w14:paraId="6D2046E3" w14:textId="77777777">
        <w:trPr>
          <w:trHeight w:val="339"/>
        </w:trPr>
        <w:tc>
          <w:tcPr>
            <w:tcW w:w="297" w:type="dxa"/>
          </w:tcPr>
          <w:p w14:paraId="33A316A4" w14:textId="77777777" w:rsidR="00FA4AA8" w:rsidRDefault="00FA4AA8">
            <w:pPr>
              <w:pStyle w:val="TableParagraph"/>
              <w:rPr>
                <w:rFonts w:ascii="Times New Roman"/>
                <w:sz w:val="18"/>
              </w:rPr>
            </w:pPr>
          </w:p>
        </w:tc>
        <w:tc>
          <w:tcPr>
            <w:tcW w:w="5775" w:type="dxa"/>
          </w:tcPr>
          <w:p w14:paraId="12A86A5F" w14:textId="77777777" w:rsidR="00FA4AA8" w:rsidRDefault="0015611F">
            <w:pPr>
              <w:pStyle w:val="TableParagraph"/>
              <w:spacing w:before="115" w:line="204" w:lineRule="exact"/>
              <w:ind w:left="189"/>
              <w:rPr>
                <w:b/>
                <w:sz w:val="18"/>
              </w:rPr>
            </w:pPr>
            <w:r>
              <w:rPr>
                <w:b/>
                <w:sz w:val="18"/>
              </w:rPr>
              <w:t>At 31 December 2018</w:t>
            </w:r>
          </w:p>
        </w:tc>
        <w:tc>
          <w:tcPr>
            <w:tcW w:w="1433" w:type="dxa"/>
            <w:tcBorders>
              <w:top w:val="single" w:sz="8" w:space="0" w:color="000000"/>
            </w:tcBorders>
          </w:tcPr>
          <w:p w14:paraId="62057B5A" w14:textId="77777777" w:rsidR="00FA4AA8" w:rsidRDefault="00FA4AA8">
            <w:pPr>
              <w:pStyle w:val="TableParagraph"/>
              <w:rPr>
                <w:rFonts w:ascii="Times New Roman"/>
                <w:sz w:val="18"/>
              </w:rPr>
            </w:pPr>
          </w:p>
        </w:tc>
        <w:tc>
          <w:tcPr>
            <w:tcW w:w="1372" w:type="dxa"/>
            <w:tcBorders>
              <w:top w:val="single" w:sz="8" w:space="0" w:color="000000"/>
            </w:tcBorders>
          </w:tcPr>
          <w:p w14:paraId="075A186C" w14:textId="77777777" w:rsidR="00FA4AA8" w:rsidRDefault="00FA4AA8">
            <w:pPr>
              <w:pStyle w:val="TableParagraph"/>
              <w:rPr>
                <w:rFonts w:ascii="Times New Roman"/>
                <w:sz w:val="18"/>
              </w:rPr>
            </w:pPr>
          </w:p>
        </w:tc>
        <w:tc>
          <w:tcPr>
            <w:tcW w:w="1084" w:type="dxa"/>
            <w:tcBorders>
              <w:top w:val="single" w:sz="8" w:space="0" w:color="000000"/>
            </w:tcBorders>
          </w:tcPr>
          <w:p w14:paraId="266789DA" w14:textId="77777777" w:rsidR="00FA4AA8" w:rsidRDefault="00FA4AA8">
            <w:pPr>
              <w:pStyle w:val="TableParagraph"/>
              <w:rPr>
                <w:rFonts w:ascii="Times New Roman"/>
                <w:sz w:val="18"/>
              </w:rPr>
            </w:pPr>
          </w:p>
        </w:tc>
      </w:tr>
      <w:tr w:rsidR="00FA4AA8" w14:paraId="01670CA4" w14:textId="77777777">
        <w:trPr>
          <w:trHeight w:val="250"/>
        </w:trPr>
        <w:tc>
          <w:tcPr>
            <w:tcW w:w="297" w:type="dxa"/>
          </w:tcPr>
          <w:p w14:paraId="0A4C5260" w14:textId="77777777" w:rsidR="00FA4AA8" w:rsidRDefault="00FA4AA8">
            <w:pPr>
              <w:pStyle w:val="TableParagraph"/>
              <w:rPr>
                <w:rFonts w:ascii="Times New Roman"/>
                <w:sz w:val="18"/>
              </w:rPr>
            </w:pPr>
          </w:p>
        </w:tc>
        <w:tc>
          <w:tcPr>
            <w:tcW w:w="5775" w:type="dxa"/>
          </w:tcPr>
          <w:p w14:paraId="2D00F389" w14:textId="77777777" w:rsidR="00FA4AA8" w:rsidRDefault="0015611F">
            <w:pPr>
              <w:pStyle w:val="TableParagraph"/>
              <w:spacing w:before="13"/>
              <w:ind w:left="189"/>
              <w:rPr>
                <w:sz w:val="18"/>
              </w:rPr>
            </w:pPr>
            <w:r>
              <w:rPr>
                <w:sz w:val="18"/>
              </w:rPr>
              <w:t>Cost</w:t>
            </w:r>
          </w:p>
        </w:tc>
        <w:tc>
          <w:tcPr>
            <w:tcW w:w="1433" w:type="dxa"/>
          </w:tcPr>
          <w:p w14:paraId="188B8D43" w14:textId="77777777" w:rsidR="00FA4AA8" w:rsidRDefault="0015611F">
            <w:pPr>
              <w:pStyle w:val="TableParagraph"/>
              <w:spacing w:before="11"/>
              <w:ind w:left="551"/>
              <w:rPr>
                <w:sz w:val="18"/>
              </w:rPr>
            </w:pPr>
            <w:r>
              <w:rPr>
                <w:sz w:val="18"/>
              </w:rPr>
              <w:t>185,920</w:t>
            </w:r>
          </w:p>
        </w:tc>
        <w:tc>
          <w:tcPr>
            <w:tcW w:w="1372" w:type="dxa"/>
          </w:tcPr>
          <w:p w14:paraId="3CB7098C" w14:textId="77777777" w:rsidR="00FA4AA8" w:rsidRDefault="0015611F">
            <w:pPr>
              <w:pStyle w:val="TableParagraph"/>
              <w:spacing w:before="11"/>
              <w:ind w:right="300"/>
              <w:jc w:val="right"/>
              <w:rPr>
                <w:sz w:val="18"/>
              </w:rPr>
            </w:pPr>
            <w:r>
              <w:rPr>
                <w:sz w:val="18"/>
              </w:rPr>
              <w:t>121,631</w:t>
            </w:r>
          </w:p>
        </w:tc>
        <w:tc>
          <w:tcPr>
            <w:tcW w:w="1084" w:type="dxa"/>
          </w:tcPr>
          <w:p w14:paraId="54F62144" w14:textId="77777777" w:rsidR="00FA4AA8" w:rsidRDefault="0015611F">
            <w:pPr>
              <w:pStyle w:val="TableParagraph"/>
              <w:spacing w:before="11"/>
              <w:ind w:left="338"/>
              <w:rPr>
                <w:sz w:val="18"/>
              </w:rPr>
            </w:pPr>
            <w:r>
              <w:rPr>
                <w:sz w:val="18"/>
              </w:rPr>
              <w:t>307,551</w:t>
            </w:r>
          </w:p>
        </w:tc>
      </w:tr>
      <w:tr w:rsidR="00FA4AA8" w14:paraId="5E59AE58" w14:textId="77777777">
        <w:trPr>
          <w:trHeight w:val="256"/>
        </w:trPr>
        <w:tc>
          <w:tcPr>
            <w:tcW w:w="297" w:type="dxa"/>
          </w:tcPr>
          <w:p w14:paraId="695CA85F" w14:textId="77777777" w:rsidR="00FA4AA8" w:rsidRDefault="00FA4AA8">
            <w:pPr>
              <w:pStyle w:val="TableParagraph"/>
              <w:rPr>
                <w:rFonts w:ascii="Times New Roman"/>
                <w:sz w:val="18"/>
              </w:rPr>
            </w:pPr>
          </w:p>
        </w:tc>
        <w:tc>
          <w:tcPr>
            <w:tcW w:w="5775" w:type="dxa"/>
          </w:tcPr>
          <w:p w14:paraId="22B43894" w14:textId="77777777" w:rsidR="00FA4AA8" w:rsidRDefault="0015611F">
            <w:pPr>
              <w:pStyle w:val="TableParagraph"/>
              <w:spacing w:before="26"/>
              <w:ind w:left="189"/>
              <w:rPr>
                <w:sz w:val="18"/>
              </w:rPr>
            </w:pPr>
            <w:r>
              <w:rPr>
                <w:sz w:val="18"/>
              </w:rPr>
              <w:t>Accumulated depreciation</w:t>
            </w:r>
          </w:p>
        </w:tc>
        <w:tc>
          <w:tcPr>
            <w:tcW w:w="1433" w:type="dxa"/>
            <w:tcBorders>
              <w:bottom w:val="single" w:sz="8" w:space="0" w:color="000000"/>
            </w:tcBorders>
          </w:tcPr>
          <w:p w14:paraId="76EB5290" w14:textId="77777777" w:rsidR="00FA4AA8" w:rsidRDefault="0015611F">
            <w:pPr>
              <w:pStyle w:val="TableParagraph"/>
              <w:spacing w:before="24"/>
              <w:ind w:right="163"/>
              <w:jc w:val="right"/>
              <w:rPr>
                <w:sz w:val="18"/>
              </w:rPr>
            </w:pPr>
            <w:r>
              <w:rPr>
                <w:sz w:val="18"/>
              </w:rPr>
              <w:t>(164,162)</w:t>
            </w:r>
          </w:p>
        </w:tc>
        <w:tc>
          <w:tcPr>
            <w:tcW w:w="1372" w:type="dxa"/>
            <w:tcBorders>
              <w:bottom w:val="single" w:sz="8" w:space="0" w:color="000000"/>
            </w:tcBorders>
          </w:tcPr>
          <w:p w14:paraId="3CCB657C" w14:textId="77777777" w:rsidR="00FA4AA8" w:rsidRDefault="0015611F">
            <w:pPr>
              <w:pStyle w:val="TableParagraph"/>
              <w:spacing w:before="24"/>
              <w:ind w:left="354"/>
              <w:rPr>
                <w:sz w:val="18"/>
              </w:rPr>
            </w:pPr>
            <w:r>
              <w:rPr>
                <w:sz w:val="18"/>
              </w:rPr>
              <w:t>(121,631)</w:t>
            </w:r>
          </w:p>
        </w:tc>
        <w:tc>
          <w:tcPr>
            <w:tcW w:w="1084" w:type="dxa"/>
            <w:tcBorders>
              <w:bottom w:val="single" w:sz="8" w:space="0" w:color="000000"/>
            </w:tcBorders>
          </w:tcPr>
          <w:p w14:paraId="62011399" w14:textId="77777777" w:rsidR="00FA4AA8" w:rsidRDefault="0015611F">
            <w:pPr>
              <w:pStyle w:val="TableParagraph"/>
              <w:spacing w:before="24"/>
              <w:ind w:right="27"/>
              <w:jc w:val="right"/>
              <w:rPr>
                <w:sz w:val="18"/>
              </w:rPr>
            </w:pPr>
            <w:r>
              <w:rPr>
                <w:sz w:val="18"/>
              </w:rPr>
              <w:t>(285,793)</w:t>
            </w:r>
          </w:p>
        </w:tc>
      </w:tr>
      <w:tr w:rsidR="00FA4AA8" w14:paraId="619A7A87" w14:textId="77777777">
        <w:trPr>
          <w:trHeight w:val="320"/>
        </w:trPr>
        <w:tc>
          <w:tcPr>
            <w:tcW w:w="297" w:type="dxa"/>
          </w:tcPr>
          <w:p w14:paraId="31825709" w14:textId="77777777" w:rsidR="00FA4AA8" w:rsidRDefault="00FA4AA8">
            <w:pPr>
              <w:pStyle w:val="TableParagraph"/>
              <w:rPr>
                <w:rFonts w:ascii="Times New Roman"/>
                <w:sz w:val="18"/>
              </w:rPr>
            </w:pPr>
          </w:p>
        </w:tc>
        <w:tc>
          <w:tcPr>
            <w:tcW w:w="5775" w:type="dxa"/>
          </w:tcPr>
          <w:p w14:paraId="7051D1C7" w14:textId="77777777" w:rsidR="00FA4AA8" w:rsidRDefault="0015611F">
            <w:pPr>
              <w:pStyle w:val="TableParagraph"/>
              <w:spacing w:before="115" w:line="185" w:lineRule="exact"/>
              <w:ind w:left="189"/>
              <w:rPr>
                <w:b/>
                <w:sz w:val="18"/>
              </w:rPr>
            </w:pPr>
            <w:r>
              <w:rPr>
                <w:b/>
                <w:sz w:val="18"/>
              </w:rPr>
              <w:t>Net book amount</w:t>
            </w:r>
          </w:p>
        </w:tc>
        <w:tc>
          <w:tcPr>
            <w:tcW w:w="1433" w:type="dxa"/>
            <w:tcBorders>
              <w:top w:val="single" w:sz="8" w:space="0" w:color="000000"/>
              <w:bottom w:val="double" w:sz="2" w:space="0" w:color="000000"/>
            </w:tcBorders>
          </w:tcPr>
          <w:p w14:paraId="0DE9B383" w14:textId="77777777" w:rsidR="00FA4AA8" w:rsidRDefault="0015611F">
            <w:pPr>
              <w:pStyle w:val="TableParagraph"/>
              <w:spacing w:before="115" w:line="185" w:lineRule="exact"/>
              <w:ind w:right="224"/>
              <w:jc w:val="right"/>
              <w:rPr>
                <w:b/>
                <w:sz w:val="18"/>
              </w:rPr>
            </w:pPr>
            <w:r>
              <w:rPr>
                <w:b/>
                <w:sz w:val="18"/>
              </w:rPr>
              <w:t>21,758</w:t>
            </w:r>
          </w:p>
        </w:tc>
        <w:tc>
          <w:tcPr>
            <w:tcW w:w="1372" w:type="dxa"/>
            <w:tcBorders>
              <w:top w:val="single" w:sz="8" w:space="0" w:color="000000"/>
              <w:bottom w:val="double" w:sz="2" w:space="0" w:color="000000"/>
            </w:tcBorders>
          </w:tcPr>
          <w:p w14:paraId="59985193" w14:textId="77777777" w:rsidR="00FA4AA8" w:rsidRDefault="0015611F">
            <w:pPr>
              <w:pStyle w:val="TableParagraph"/>
              <w:spacing w:before="115" w:line="185" w:lineRule="exact"/>
              <w:ind w:right="300"/>
              <w:jc w:val="right"/>
              <w:rPr>
                <w:b/>
                <w:sz w:val="18"/>
              </w:rPr>
            </w:pPr>
            <w:r>
              <w:rPr>
                <w:b/>
                <w:sz w:val="18"/>
              </w:rPr>
              <w:t>-</w:t>
            </w:r>
          </w:p>
        </w:tc>
        <w:tc>
          <w:tcPr>
            <w:tcW w:w="1084" w:type="dxa"/>
            <w:tcBorders>
              <w:top w:val="single" w:sz="8" w:space="0" w:color="000000"/>
              <w:bottom w:val="double" w:sz="2" w:space="0" w:color="000000"/>
            </w:tcBorders>
          </w:tcPr>
          <w:p w14:paraId="437E5BF4" w14:textId="77777777" w:rsidR="00FA4AA8" w:rsidRDefault="0015611F">
            <w:pPr>
              <w:pStyle w:val="TableParagraph"/>
              <w:spacing w:before="115" w:line="185" w:lineRule="exact"/>
              <w:ind w:left="439"/>
              <w:rPr>
                <w:b/>
                <w:sz w:val="18"/>
              </w:rPr>
            </w:pPr>
            <w:r>
              <w:rPr>
                <w:b/>
                <w:sz w:val="18"/>
              </w:rPr>
              <w:t>21,758</w:t>
            </w:r>
          </w:p>
        </w:tc>
      </w:tr>
      <w:tr w:rsidR="00FA4AA8" w14:paraId="6B876742" w14:textId="77777777">
        <w:trPr>
          <w:trHeight w:val="643"/>
        </w:trPr>
        <w:tc>
          <w:tcPr>
            <w:tcW w:w="297" w:type="dxa"/>
          </w:tcPr>
          <w:p w14:paraId="7E5B738B" w14:textId="77777777" w:rsidR="00FA4AA8" w:rsidRDefault="00FA4AA8">
            <w:pPr>
              <w:pStyle w:val="TableParagraph"/>
              <w:rPr>
                <w:rFonts w:ascii="Times New Roman"/>
                <w:sz w:val="18"/>
              </w:rPr>
            </w:pPr>
          </w:p>
        </w:tc>
        <w:tc>
          <w:tcPr>
            <w:tcW w:w="5775" w:type="dxa"/>
          </w:tcPr>
          <w:p w14:paraId="156C87EC" w14:textId="77777777" w:rsidR="00FA4AA8" w:rsidRDefault="00FA4AA8">
            <w:pPr>
              <w:pStyle w:val="TableParagraph"/>
              <w:rPr>
                <w:b/>
                <w:sz w:val="20"/>
              </w:rPr>
            </w:pPr>
          </w:p>
          <w:p w14:paraId="7FA715EA" w14:textId="77777777" w:rsidR="00FA4AA8" w:rsidRDefault="00FA4AA8">
            <w:pPr>
              <w:pStyle w:val="TableParagraph"/>
              <w:spacing w:before="10"/>
              <w:rPr>
                <w:b/>
                <w:sz w:val="17"/>
              </w:rPr>
            </w:pPr>
          </w:p>
          <w:p w14:paraId="4800A027" w14:textId="77777777" w:rsidR="00FA4AA8" w:rsidRDefault="0015611F">
            <w:pPr>
              <w:pStyle w:val="TableParagraph"/>
              <w:spacing w:line="187" w:lineRule="exact"/>
              <w:ind w:left="146"/>
              <w:rPr>
                <w:i/>
                <w:sz w:val="18"/>
              </w:rPr>
            </w:pPr>
            <w:r>
              <w:rPr>
                <w:i/>
                <w:sz w:val="18"/>
                <w:u w:val="single"/>
              </w:rPr>
              <w:t>Accounting Policy</w:t>
            </w:r>
          </w:p>
        </w:tc>
        <w:tc>
          <w:tcPr>
            <w:tcW w:w="1433" w:type="dxa"/>
            <w:tcBorders>
              <w:top w:val="double" w:sz="2" w:space="0" w:color="000000"/>
            </w:tcBorders>
          </w:tcPr>
          <w:p w14:paraId="5B0CD29B" w14:textId="77777777" w:rsidR="00FA4AA8" w:rsidRDefault="00FA4AA8">
            <w:pPr>
              <w:pStyle w:val="TableParagraph"/>
              <w:rPr>
                <w:rFonts w:ascii="Times New Roman"/>
                <w:sz w:val="18"/>
              </w:rPr>
            </w:pPr>
          </w:p>
        </w:tc>
        <w:tc>
          <w:tcPr>
            <w:tcW w:w="1372" w:type="dxa"/>
            <w:tcBorders>
              <w:top w:val="double" w:sz="2" w:space="0" w:color="000000"/>
            </w:tcBorders>
          </w:tcPr>
          <w:p w14:paraId="15F8675E" w14:textId="77777777" w:rsidR="00FA4AA8" w:rsidRDefault="00FA4AA8">
            <w:pPr>
              <w:pStyle w:val="TableParagraph"/>
              <w:rPr>
                <w:rFonts w:ascii="Times New Roman"/>
                <w:sz w:val="18"/>
              </w:rPr>
            </w:pPr>
          </w:p>
        </w:tc>
        <w:tc>
          <w:tcPr>
            <w:tcW w:w="1084" w:type="dxa"/>
            <w:tcBorders>
              <w:top w:val="double" w:sz="2" w:space="0" w:color="000000"/>
            </w:tcBorders>
          </w:tcPr>
          <w:p w14:paraId="75A23991" w14:textId="77777777" w:rsidR="00FA4AA8" w:rsidRDefault="00FA4AA8">
            <w:pPr>
              <w:pStyle w:val="TableParagraph"/>
              <w:rPr>
                <w:rFonts w:ascii="Times New Roman"/>
                <w:sz w:val="18"/>
              </w:rPr>
            </w:pPr>
          </w:p>
        </w:tc>
      </w:tr>
    </w:tbl>
    <w:p w14:paraId="44914B48" w14:textId="77777777" w:rsidR="00FA4AA8" w:rsidRDefault="00FA4AA8">
      <w:pPr>
        <w:pStyle w:val="BodyText"/>
        <w:spacing w:before="9"/>
        <w:rPr>
          <w:b/>
          <w:sz w:val="16"/>
        </w:rPr>
      </w:pPr>
    </w:p>
    <w:p w14:paraId="1501F030" w14:textId="77777777" w:rsidR="00FA4AA8" w:rsidRDefault="0015611F">
      <w:pPr>
        <w:pStyle w:val="BodyText"/>
        <w:spacing w:before="94"/>
        <w:ind w:left="564"/>
      </w:pPr>
      <w:r>
        <w:t>Property, plant and equipment are stated at cost less accumulated depreciation.</w:t>
      </w:r>
    </w:p>
    <w:p w14:paraId="06680B8D" w14:textId="77777777" w:rsidR="00FA4AA8" w:rsidRDefault="00FA4AA8">
      <w:pPr>
        <w:pStyle w:val="BodyText"/>
        <w:rPr>
          <w:sz w:val="25"/>
        </w:rPr>
      </w:pPr>
    </w:p>
    <w:p w14:paraId="608FD6D8" w14:textId="77777777" w:rsidR="00FA4AA8" w:rsidRDefault="0015611F">
      <w:pPr>
        <w:pStyle w:val="BodyText"/>
        <w:ind w:left="564" w:right="256"/>
      </w:pPr>
      <w:r>
        <w:t>Subsequent costs are included in the asset's carrying amount or recognised as a separate asset, as appropriate, only when it is probable that future economic benefits associated with the item will flow to the company and the cost of the item can be measured reliably. All other repairs and maintenance are charged to the statement of comprehensive income during the reporting period in which they are incurred.</w:t>
      </w:r>
    </w:p>
    <w:p w14:paraId="09320645" w14:textId="77777777" w:rsidR="00FA4AA8" w:rsidRDefault="00FA4AA8">
      <w:pPr>
        <w:pStyle w:val="BodyText"/>
        <w:spacing w:before="10"/>
        <w:rPr>
          <w:sz w:val="24"/>
        </w:rPr>
      </w:pPr>
    </w:p>
    <w:p w14:paraId="5F274AD3" w14:textId="77777777" w:rsidR="00FA4AA8" w:rsidRDefault="0015611F">
      <w:pPr>
        <w:pStyle w:val="BodyText"/>
        <w:ind w:left="564" w:right="256"/>
      </w:pPr>
      <w:r>
        <w:t>Depreciation on assets is calculated using the straight line method to allocate their costs or re-valued amounts, net of their residual values, over their estimated useful lives.</w:t>
      </w:r>
    </w:p>
    <w:p w14:paraId="016E5E9E" w14:textId="77777777" w:rsidR="00FA4AA8" w:rsidRDefault="00FA4AA8">
      <w:pPr>
        <w:sectPr w:rsidR="00FA4AA8">
          <w:pgSz w:w="11910" w:h="16840"/>
          <w:pgMar w:top="1460" w:right="840" w:bottom="720" w:left="840" w:header="1016" w:footer="523" w:gutter="0"/>
          <w:cols w:space="720"/>
        </w:sectPr>
      </w:pPr>
    </w:p>
    <w:p w14:paraId="02307E56" w14:textId="77777777" w:rsidR="00FA4AA8" w:rsidRDefault="00FA4AA8">
      <w:pPr>
        <w:pStyle w:val="BodyText"/>
        <w:spacing w:before="6"/>
        <w:rPr>
          <w:sz w:val="21"/>
        </w:rPr>
      </w:pPr>
    </w:p>
    <w:p w14:paraId="196B5FCB" w14:textId="77777777" w:rsidR="00FA4AA8" w:rsidRDefault="0015611F">
      <w:pPr>
        <w:pStyle w:val="Heading2"/>
      </w:pPr>
      <w:r>
        <w:t>Notes to the Financial Statements</w:t>
      </w:r>
    </w:p>
    <w:p w14:paraId="4746B6B6" w14:textId="77777777" w:rsidR="00FA4AA8" w:rsidRDefault="0015611F">
      <w:pPr>
        <w:pStyle w:val="Heading6"/>
        <w:ind w:left="167"/>
      </w:pPr>
      <w:r>
        <w:t>For the Year Ended 31 December 2018</w:t>
      </w:r>
    </w:p>
    <w:p w14:paraId="7EDC4C00" w14:textId="77777777" w:rsidR="00FA4AA8" w:rsidRDefault="00FA4AA8">
      <w:pPr>
        <w:pStyle w:val="BodyText"/>
        <w:rPr>
          <w:b/>
          <w:sz w:val="24"/>
        </w:rPr>
      </w:pPr>
    </w:p>
    <w:p w14:paraId="645CA976" w14:textId="77777777" w:rsidR="00FA4AA8" w:rsidRDefault="0015611F">
      <w:pPr>
        <w:numPr>
          <w:ilvl w:val="0"/>
          <w:numId w:val="55"/>
        </w:numPr>
        <w:tabs>
          <w:tab w:val="left" w:pos="563"/>
          <w:tab w:val="left" w:pos="565"/>
        </w:tabs>
        <w:spacing w:before="141"/>
        <w:ind w:hanging="395"/>
        <w:rPr>
          <w:b/>
          <w:sz w:val="18"/>
        </w:rPr>
      </w:pPr>
      <w:r>
        <w:rPr>
          <w:b/>
          <w:sz w:val="18"/>
        </w:rPr>
        <w:t>Property, plant and equipment (Continued)</w:t>
      </w:r>
    </w:p>
    <w:p w14:paraId="51DE11AC" w14:textId="77777777" w:rsidR="00FA4AA8" w:rsidRDefault="00FA4AA8">
      <w:pPr>
        <w:pStyle w:val="BodyText"/>
        <w:rPr>
          <w:b/>
          <w:sz w:val="20"/>
        </w:rPr>
      </w:pPr>
    </w:p>
    <w:p w14:paraId="4F58CC59" w14:textId="77777777" w:rsidR="00FA4AA8" w:rsidRDefault="00FA4AA8">
      <w:pPr>
        <w:pStyle w:val="BodyText"/>
        <w:spacing w:before="1"/>
        <w:rPr>
          <w:b/>
          <w:sz w:val="24"/>
        </w:rPr>
      </w:pPr>
    </w:p>
    <w:p w14:paraId="1CA45C82" w14:textId="77777777" w:rsidR="00FA4AA8" w:rsidRDefault="0015611F">
      <w:pPr>
        <w:pStyle w:val="BodyText"/>
        <w:ind w:left="564"/>
      </w:pPr>
      <w:r>
        <w:t>The estimated useful lives for each class of depreciable assets are:</w:t>
      </w:r>
    </w:p>
    <w:p w14:paraId="687DA976" w14:textId="77777777" w:rsidR="00FA4AA8" w:rsidRDefault="00FA4AA8">
      <w:pPr>
        <w:pStyle w:val="BodyText"/>
        <w:rPr>
          <w:sz w:val="25"/>
        </w:rPr>
      </w:pPr>
    </w:p>
    <w:p w14:paraId="37DB0396" w14:textId="77777777" w:rsidR="00FA4AA8" w:rsidRDefault="0015611F">
      <w:pPr>
        <w:tabs>
          <w:tab w:val="left" w:pos="4929"/>
        </w:tabs>
        <w:ind w:left="847"/>
        <w:rPr>
          <w:b/>
          <w:sz w:val="18"/>
        </w:rPr>
      </w:pPr>
      <w:r>
        <w:rPr>
          <w:b/>
          <w:sz w:val="18"/>
        </w:rPr>
        <w:t>Class of Assets</w:t>
      </w:r>
      <w:r>
        <w:rPr>
          <w:b/>
          <w:sz w:val="18"/>
        </w:rPr>
        <w:tab/>
        <w:t>Useful Life</w:t>
      </w:r>
    </w:p>
    <w:p w14:paraId="682564A9" w14:textId="77777777" w:rsidR="00FA4AA8" w:rsidRDefault="00FA4AA8">
      <w:pPr>
        <w:pStyle w:val="BodyText"/>
        <w:rPr>
          <w:b/>
          <w:sz w:val="25"/>
        </w:rPr>
      </w:pPr>
    </w:p>
    <w:p w14:paraId="7D93990F" w14:textId="77777777" w:rsidR="00FA4AA8" w:rsidRDefault="0015611F">
      <w:pPr>
        <w:pStyle w:val="BodyText"/>
        <w:tabs>
          <w:tab w:val="left" w:pos="4929"/>
        </w:tabs>
        <w:ind w:left="847"/>
      </w:pPr>
      <w:r>
        <w:t>Plant</w:t>
      </w:r>
      <w:r>
        <w:rPr>
          <w:spacing w:val="1"/>
        </w:rPr>
        <w:t xml:space="preserve"> </w:t>
      </w:r>
      <w:r>
        <w:t>and</w:t>
      </w:r>
      <w:r>
        <w:rPr>
          <w:spacing w:val="1"/>
        </w:rPr>
        <w:t xml:space="preserve"> </w:t>
      </w:r>
      <w:r>
        <w:t>Equipment</w:t>
      </w:r>
      <w:r>
        <w:tab/>
        <w:t>3-10 years</w:t>
      </w:r>
    </w:p>
    <w:p w14:paraId="2263C358" w14:textId="77777777" w:rsidR="00FA4AA8" w:rsidRDefault="00FA4AA8">
      <w:pPr>
        <w:pStyle w:val="BodyText"/>
        <w:spacing w:before="11"/>
        <w:rPr>
          <w:sz w:val="24"/>
        </w:rPr>
      </w:pPr>
    </w:p>
    <w:p w14:paraId="6849DA36" w14:textId="77777777" w:rsidR="00FA4AA8" w:rsidRDefault="0015611F">
      <w:pPr>
        <w:pStyle w:val="BodyText"/>
        <w:tabs>
          <w:tab w:val="left" w:pos="4929"/>
        </w:tabs>
        <w:ind w:left="847"/>
      </w:pPr>
      <w:r>
        <w:t>Motor Vehicles</w:t>
      </w:r>
      <w:r>
        <w:tab/>
        <w:t>6-7 years</w:t>
      </w:r>
    </w:p>
    <w:p w14:paraId="74454240" w14:textId="77777777" w:rsidR="00FA4AA8" w:rsidRDefault="00FA4AA8">
      <w:pPr>
        <w:pStyle w:val="BodyText"/>
        <w:rPr>
          <w:sz w:val="25"/>
        </w:rPr>
      </w:pPr>
    </w:p>
    <w:p w14:paraId="200B7C06" w14:textId="77777777" w:rsidR="00FA4AA8" w:rsidRDefault="0015611F">
      <w:pPr>
        <w:pStyle w:val="BodyText"/>
        <w:ind w:left="564" w:right="256"/>
      </w:pPr>
      <w:r>
        <w:t>The asset's residual values and useful lives are reviewed, and adjusted if appropriate, at the end of each reporting period.</w:t>
      </w:r>
    </w:p>
    <w:p w14:paraId="73A1C5DF" w14:textId="77777777" w:rsidR="00FA4AA8" w:rsidRDefault="00FA4AA8">
      <w:pPr>
        <w:pStyle w:val="BodyText"/>
        <w:spacing w:before="11"/>
        <w:rPr>
          <w:sz w:val="24"/>
        </w:rPr>
      </w:pPr>
    </w:p>
    <w:p w14:paraId="2030F818" w14:textId="77777777" w:rsidR="00FA4AA8" w:rsidRDefault="0015611F">
      <w:pPr>
        <w:pStyle w:val="BodyText"/>
        <w:ind w:left="564" w:right="256"/>
      </w:pPr>
      <w:r>
        <w:t>An asset's carrying amount is written down immediately to its recoverable amount if the asset's carrying amount is</w:t>
      </w:r>
      <w:bookmarkStart w:id="159" w:name="10_Intangible_assets_"/>
      <w:bookmarkEnd w:id="159"/>
      <w:r>
        <w:t xml:space="preserve"> greater than its estimated recoverable amount.</w:t>
      </w:r>
    </w:p>
    <w:p w14:paraId="11AA82C5" w14:textId="77777777" w:rsidR="00FA4AA8" w:rsidRDefault="00FA4AA8">
      <w:pPr>
        <w:pStyle w:val="BodyText"/>
        <w:rPr>
          <w:sz w:val="20"/>
        </w:rPr>
      </w:pPr>
    </w:p>
    <w:p w14:paraId="55676F12" w14:textId="77777777" w:rsidR="00FA4AA8" w:rsidRDefault="00FA4AA8">
      <w:pPr>
        <w:pStyle w:val="BodyText"/>
        <w:spacing w:before="8"/>
        <w:rPr>
          <w:sz w:val="25"/>
        </w:rPr>
      </w:pPr>
    </w:p>
    <w:p w14:paraId="7C1CE585" w14:textId="77777777" w:rsidR="00FA4AA8" w:rsidRDefault="0015611F">
      <w:pPr>
        <w:numPr>
          <w:ilvl w:val="0"/>
          <w:numId w:val="55"/>
        </w:numPr>
        <w:tabs>
          <w:tab w:val="left" w:pos="564"/>
        </w:tabs>
        <w:spacing w:before="1"/>
        <w:rPr>
          <w:b/>
          <w:sz w:val="18"/>
        </w:rPr>
      </w:pPr>
      <w:r>
        <w:rPr>
          <w:b/>
          <w:sz w:val="18"/>
        </w:rPr>
        <w:t>Intangible</w:t>
      </w:r>
      <w:r>
        <w:rPr>
          <w:b/>
          <w:spacing w:val="1"/>
          <w:sz w:val="18"/>
        </w:rPr>
        <w:t xml:space="preserve"> </w:t>
      </w:r>
      <w:r>
        <w:rPr>
          <w:b/>
          <w:sz w:val="18"/>
        </w:rPr>
        <w:t>assets</w:t>
      </w:r>
    </w:p>
    <w:p w14:paraId="7B9E134D" w14:textId="77777777" w:rsidR="00FA4AA8" w:rsidRDefault="00FA4AA8">
      <w:pPr>
        <w:pStyle w:val="BodyText"/>
        <w:spacing w:before="4"/>
        <w:rPr>
          <w:b/>
          <w:sz w:val="17"/>
        </w:rPr>
      </w:pPr>
    </w:p>
    <w:tbl>
      <w:tblPr>
        <w:tblW w:w="0" w:type="auto"/>
        <w:tblInd w:w="127" w:type="dxa"/>
        <w:tblLayout w:type="fixed"/>
        <w:tblCellMar>
          <w:left w:w="0" w:type="dxa"/>
          <w:right w:w="0" w:type="dxa"/>
        </w:tblCellMar>
        <w:tblLook w:val="01E0" w:firstRow="1" w:lastRow="1" w:firstColumn="1" w:lastColumn="1" w:noHBand="0" w:noVBand="0"/>
      </w:tblPr>
      <w:tblGrid>
        <w:gridCol w:w="6072"/>
        <w:gridCol w:w="1394"/>
        <w:gridCol w:w="1400"/>
        <w:gridCol w:w="1096"/>
      </w:tblGrid>
      <w:tr w:rsidR="00FA4AA8" w14:paraId="5D2ECE20" w14:textId="77777777">
        <w:trPr>
          <w:trHeight w:val="443"/>
        </w:trPr>
        <w:tc>
          <w:tcPr>
            <w:tcW w:w="6072" w:type="dxa"/>
            <w:vMerge w:val="restart"/>
          </w:tcPr>
          <w:p w14:paraId="7A577811" w14:textId="77777777" w:rsidR="00FA4AA8" w:rsidRDefault="00FA4AA8">
            <w:pPr>
              <w:pStyle w:val="TableParagraph"/>
              <w:rPr>
                <w:rFonts w:ascii="Times New Roman"/>
                <w:sz w:val="18"/>
              </w:rPr>
            </w:pPr>
          </w:p>
        </w:tc>
        <w:tc>
          <w:tcPr>
            <w:tcW w:w="1394" w:type="dxa"/>
          </w:tcPr>
          <w:p w14:paraId="08A61133" w14:textId="77777777" w:rsidR="00FA4AA8" w:rsidRDefault="00FA4AA8">
            <w:pPr>
              <w:pStyle w:val="TableParagraph"/>
              <w:spacing w:before="5"/>
              <w:rPr>
                <w:b/>
                <w:sz w:val="17"/>
              </w:rPr>
            </w:pPr>
          </w:p>
          <w:p w14:paraId="65EE9017" w14:textId="77777777" w:rsidR="00FA4AA8" w:rsidRDefault="0015611F">
            <w:pPr>
              <w:pStyle w:val="TableParagraph"/>
              <w:ind w:left="251"/>
              <w:rPr>
                <w:b/>
                <w:sz w:val="18"/>
              </w:rPr>
            </w:pPr>
            <w:r>
              <w:rPr>
                <w:b/>
                <w:sz w:val="18"/>
              </w:rPr>
              <w:t>Software</w:t>
            </w:r>
          </w:p>
        </w:tc>
        <w:tc>
          <w:tcPr>
            <w:tcW w:w="1400" w:type="dxa"/>
          </w:tcPr>
          <w:p w14:paraId="0C1AB5E6" w14:textId="77777777" w:rsidR="00FA4AA8" w:rsidRDefault="0015611F">
            <w:pPr>
              <w:pStyle w:val="TableParagraph"/>
              <w:ind w:left="369" w:right="408" w:hanging="248"/>
              <w:rPr>
                <w:b/>
                <w:sz w:val="18"/>
              </w:rPr>
            </w:pPr>
            <w:r>
              <w:rPr>
                <w:b/>
                <w:sz w:val="18"/>
              </w:rPr>
              <w:t>Franchise fees</w:t>
            </w:r>
          </w:p>
        </w:tc>
        <w:tc>
          <w:tcPr>
            <w:tcW w:w="1096" w:type="dxa"/>
          </w:tcPr>
          <w:p w14:paraId="77C0EF79" w14:textId="77777777" w:rsidR="00FA4AA8" w:rsidRDefault="00FA4AA8">
            <w:pPr>
              <w:pStyle w:val="TableParagraph"/>
              <w:spacing w:before="5"/>
              <w:rPr>
                <w:b/>
                <w:sz w:val="17"/>
              </w:rPr>
            </w:pPr>
          </w:p>
          <w:p w14:paraId="3FAFFAA1" w14:textId="77777777" w:rsidR="00FA4AA8" w:rsidRDefault="0015611F">
            <w:pPr>
              <w:pStyle w:val="TableParagraph"/>
              <w:ind w:left="227"/>
              <w:rPr>
                <w:b/>
                <w:sz w:val="18"/>
              </w:rPr>
            </w:pPr>
            <w:r>
              <w:rPr>
                <w:b/>
                <w:sz w:val="18"/>
              </w:rPr>
              <w:t>Total</w:t>
            </w:r>
          </w:p>
        </w:tc>
      </w:tr>
      <w:tr w:rsidR="00FA4AA8" w14:paraId="7E6B1485" w14:textId="77777777">
        <w:trPr>
          <w:trHeight w:val="313"/>
        </w:trPr>
        <w:tc>
          <w:tcPr>
            <w:tcW w:w="6072" w:type="dxa"/>
            <w:vMerge/>
            <w:tcBorders>
              <w:top w:val="nil"/>
            </w:tcBorders>
          </w:tcPr>
          <w:p w14:paraId="67A68115" w14:textId="77777777" w:rsidR="00FA4AA8" w:rsidRDefault="00FA4AA8">
            <w:pPr>
              <w:rPr>
                <w:sz w:val="2"/>
                <w:szCs w:val="2"/>
              </w:rPr>
            </w:pPr>
          </w:p>
        </w:tc>
        <w:tc>
          <w:tcPr>
            <w:tcW w:w="1394" w:type="dxa"/>
          </w:tcPr>
          <w:p w14:paraId="79B2EC33" w14:textId="77777777" w:rsidR="00FA4AA8" w:rsidRDefault="0015611F">
            <w:pPr>
              <w:pStyle w:val="TableParagraph"/>
              <w:spacing w:before="30"/>
              <w:ind w:right="126"/>
              <w:jc w:val="center"/>
              <w:rPr>
                <w:b/>
                <w:sz w:val="18"/>
              </w:rPr>
            </w:pPr>
            <w:r>
              <w:rPr>
                <w:b/>
                <w:sz w:val="18"/>
              </w:rPr>
              <w:t>$</w:t>
            </w:r>
          </w:p>
        </w:tc>
        <w:tc>
          <w:tcPr>
            <w:tcW w:w="1400" w:type="dxa"/>
          </w:tcPr>
          <w:p w14:paraId="601C5E1B" w14:textId="77777777" w:rsidR="00FA4AA8" w:rsidRDefault="0015611F">
            <w:pPr>
              <w:pStyle w:val="TableParagraph"/>
              <w:spacing w:before="30"/>
              <w:ind w:right="299"/>
              <w:jc w:val="center"/>
              <w:rPr>
                <w:b/>
                <w:sz w:val="18"/>
              </w:rPr>
            </w:pPr>
            <w:r>
              <w:rPr>
                <w:b/>
                <w:sz w:val="18"/>
              </w:rPr>
              <w:t>$</w:t>
            </w:r>
          </w:p>
        </w:tc>
        <w:tc>
          <w:tcPr>
            <w:tcW w:w="1096" w:type="dxa"/>
          </w:tcPr>
          <w:p w14:paraId="3B531C22" w14:textId="77777777" w:rsidR="00FA4AA8" w:rsidRDefault="0015611F">
            <w:pPr>
              <w:pStyle w:val="TableParagraph"/>
              <w:spacing w:before="30"/>
              <w:ind w:right="208"/>
              <w:jc w:val="center"/>
              <w:rPr>
                <w:b/>
                <w:sz w:val="18"/>
              </w:rPr>
            </w:pPr>
            <w:r>
              <w:rPr>
                <w:b/>
                <w:sz w:val="18"/>
              </w:rPr>
              <w:t>$</w:t>
            </w:r>
          </w:p>
        </w:tc>
      </w:tr>
      <w:tr w:rsidR="00FA4AA8" w14:paraId="7A0A2CAF" w14:textId="77777777">
        <w:trPr>
          <w:trHeight w:val="544"/>
        </w:trPr>
        <w:tc>
          <w:tcPr>
            <w:tcW w:w="6072" w:type="dxa"/>
          </w:tcPr>
          <w:p w14:paraId="6CFF4027" w14:textId="77777777" w:rsidR="00FA4AA8" w:rsidRDefault="0015611F">
            <w:pPr>
              <w:pStyle w:val="TableParagraph"/>
              <w:spacing w:before="70"/>
              <w:ind w:left="443"/>
              <w:rPr>
                <w:b/>
                <w:sz w:val="18"/>
              </w:rPr>
            </w:pPr>
            <w:r>
              <w:rPr>
                <w:b/>
                <w:sz w:val="18"/>
              </w:rPr>
              <w:t>Year ended 31 December 2018</w:t>
            </w:r>
          </w:p>
          <w:p w14:paraId="174D1287" w14:textId="77777777" w:rsidR="00FA4AA8" w:rsidRDefault="0015611F">
            <w:pPr>
              <w:pStyle w:val="TableParagraph"/>
              <w:spacing w:before="30"/>
              <w:ind w:left="443"/>
              <w:rPr>
                <w:sz w:val="18"/>
              </w:rPr>
            </w:pPr>
            <w:r>
              <w:rPr>
                <w:sz w:val="18"/>
              </w:rPr>
              <w:t>Opening net book amount</w:t>
            </w:r>
          </w:p>
        </w:tc>
        <w:tc>
          <w:tcPr>
            <w:tcW w:w="1394" w:type="dxa"/>
          </w:tcPr>
          <w:p w14:paraId="02CC905A" w14:textId="77777777" w:rsidR="00FA4AA8" w:rsidRDefault="00FA4AA8">
            <w:pPr>
              <w:pStyle w:val="TableParagraph"/>
              <w:spacing w:before="6"/>
              <w:rPr>
                <w:b/>
                <w:sz w:val="26"/>
              </w:rPr>
            </w:pPr>
          </w:p>
          <w:p w14:paraId="7CCA6EDC" w14:textId="77777777" w:rsidR="00FA4AA8" w:rsidRDefault="0015611F">
            <w:pPr>
              <w:pStyle w:val="TableParagraph"/>
              <w:ind w:right="185"/>
              <w:jc w:val="right"/>
              <w:rPr>
                <w:b/>
                <w:sz w:val="18"/>
              </w:rPr>
            </w:pPr>
            <w:r>
              <w:rPr>
                <w:b/>
                <w:sz w:val="18"/>
              </w:rPr>
              <w:t>-</w:t>
            </w:r>
          </w:p>
        </w:tc>
        <w:tc>
          <w:tcPr>
            <w:tcW w:w="1400" w:type="dxa"/>
          </w:tcPr>
          <w:p w14:paraId="7D0BE788" w14:textId="77777777" w:rsidR="00FA4AA8" w:rsidRDefault="00FA4AA8">
            <w:pPr>
              <w:pStyle w:val="TableParagraph"/>
              <w:rPr>
                <w:rFonts w:ascii="Times New Roman"/>
                <w:sz w:val="18"/>
              </w:rPr>
            </w:pPr>
          </w:p>
        </w:tc>
        <w:tc>
          <w:tcPr>
            <w:tcW w:w="1096" w:type="dxa"/>
          </w:tcPr>
          <w:p w14:paraId="4CBE35AE" w14:textId="77777777" w:rsidR="00FA4AA8" w:rsidRDefault="00FA4AA8">
            <w:pPr>
              <w:pStyle w:val="TableParagraph"/>
              <w:spacing w:before="6"/>
              <w:rPr>
                <w:b/>
                <w:sz w:val="26"/>
              </w:rPr>
            </w:pPr>
          </w:p>
          <w:p w14:paraId="381E35FE" w14:textId="77777777" w:rsidR="00FA4AA8" w:rsidRDefault="0015611F">
            <w:pPr>
              <w:pStyle w:val="TableParagraph"/>
              <w:ind w:right="89"/>
              <w:jc w:val="right"/>
              <w:rPr>
                <w:b/>
                <w:sz w:val="18"/>
              </w:rPr>
            </w:pPr>
            <w:r>
              <w:rPr>
                <w:b/>
                <w:sz w:val="18"/>
              </w:rPr>
              <w:t>-</w:t>
            </w:r>
          </w:p>
        </w:tc>
      </w:tr>
      <w:tr w:rsidR="00FA4AA8" w14:paraId="5D1E41DA" w14:textId="77777777">
        <w:trPr>
          <w:trHeight w:val="256"/>
        </w:trPr>
        <w:tc>
          <w:tcPr>
            <w:tcW w:w="6072" w:type="dxa"/>
          </w:tcPr>
          <w:p w14:paraId="7361267D" w14:textId="77777777" w:rsidR="00FA4AA8" w:rsidRDefault="0015611F">
            <w:pPr>
              <w:pStyle w:val="TableParagraph"/>
              <w:spacing w:before="26"/>
              <w:ind w:left="443"/>
              <w:rPr>
                <w:sz w:val="18"/>
              </w:rPr>
            </w:pPr>
            <w:r>
              <w:rPr>
                <w:sz w:val="18"/>
              </w:rPr>
              <w:t>Amortisation</w:t>
            </w:r>
          </w:p>
        </w:tc>
        <w:tc>
          <w:tcPr>
            <w:tcW w:w="1394" w:type="dxa"/>
            <w:tcBorders>
              <w:bottom w:val="single" w:sz="8" w:space="0" w:color="000000"/>
            </w:tcBorders>
          </w:tcPr>
          <w:p w14:paraId="710E7F6B" w14:textId="77777777" w:rsidR="00FA4AA8" w:rsidRDefault="0015611F">
            <w:pPr>
              <w:pStyle w:val="TableParagraph"/>
              <w:spacing w:before="24"/>
              <w:ind w:right="185"/>
              <w:jc w:val="right"/>
              <w:rPr>
                <w:b/>
                <w:sz w:val="18"/>
              </w:rPr>
            </w:pPr>
            <w:r>
              <w:rPr>
                <w:b/>
                <w:sz w:val="18"/>
              </w:rPr>
              <w:t>-</w:t>
            </w:r>
          </w:p>
        </w:tc>
        <w:tc>
          <w:tcPr>
            <w:tcW w:w="1400" w:type="dxa"/>
            <w:tcBorders>
              <w:bottom w:val="single" w:sz="8" w:space="0" w:color="000000"/>
            </w:tcBorders>
          </w:tcPr>
          <w:p w14:paraId="543B2F5F" w14:textId="77777777" w:rsidR="00FA4AA8" w:rsidRDefault="00FA4AA8">
            <w:pPr>
              <w:pStyle w:val="TableParagraph"/>
              <w:rPr>
                <w:rFonts w:ascii="Times New Roman"/>
                <w:sz w:val="18"/>
              </w:rPr>
            </w:pPr>
          </w:p>
        </w:tc>
        <w:tc>
          <w:tcPr>
            <w:tcW w:w="1096" w:type="dxa"/>
            <w:tcBorders>
              <w:bottom w:val="single" w:sz="8" w:space="0" w:color="000000"/>
            </w:tcBorders>
          </w:tcPr>
          <w:p w14:paraId="7D9520F5" w14:textId="77777777" w:rsidR="00FA4AA8" w:rsidRDefault="0015611F">
            <w:pPr>
              <w:pStyle w:val="TableParagraph"/>
              <w:spacing w:before="24"/>
              <w:ind w:right="89"/>
              <w:jc w:val="right"/>
              <w:rPr>
                <w:b/>
                <w:sz w:val="18"/>
              </w:rPr>
            </w:pPr>
            <w:r>
              <w:rPr>
                <w:b/>
                <w:sz w:val="18"/>
              </w:rPr>
              <w:t>-</w:t>
            </w:r>
          </w:p>
        </w:tc>
      </w:tr>
      <w:tr w:rsidR="00FA4AA8" w14:paraId="6579A341" w14:textId="77777777">
        <w:trPr>
          <w:trHeight w:val="318"/>
        </w:trPr>
        <w:tc>
          <w:tcPr>
            <w:tcW w:w="6072" w:type="dxa"/>
          </w:tcPr>
          <w:p w14:paraId="6CD122EE" w14:textId="77777777" w:rsidR="00FA4AA8" w:rsidRDefault="0015611F">
            <w:pPr>
              <w:pStyle w:val="TableParagraph"/>
              <w:spacing w:before="115" w:line="183" w:lineRule="exact"/>
              <w:ind w:left="443"/>
              <w:rPr>
                <w:b/>
                <w:sz w:val="18"/>
              </w:rPr>
            </w:pPr>
            <w:r>
              <w:rPr>
                <w:b/>
                <w:sz w:val="18"/>
              </w:rPr>
              <w:t>Closing net book amount</w:t>
            </w:r>
          </w:p>
        </w:tc>
        <w:tc>
          <w:tcPr>
            <w:tcW w:w="1394" w:type="dxa"/>
            <w:tcBorders>
              <w:top w:val="single" w:sz="8" w:space="0" w:color="000000"/>
              <w:bottom w:val="single" w:sz="8" w:space="0" w:color="000000"/>
            </w:tcBorders>
          </w:tcPr>
          <w:p w14:paraId="2E360364" w14:textId="77777777" w:rsidR="00FA4AA8" w:rsidRDefault="0015611F">
            <w:pPr>
              <w:pStyle w:val="TableParagraph"/>
              <w:spacing w:before="115" w:line="183" w:lineRule="exact"/>
              <w:ind w:right="185"/>
              <w:jc w:val="right"/>
              <w:rPr>
                <w:b/>
                <w:sz w:val="18"/>
              </w:rPr>
            </w:pPr>
            <w:r>
              <w:rPr>
                <w:b/>
                <w:sz w:val="18"/>
              </w:rPr>
              <w:t>-</w:t>
            </w:r>
          </w:p>
        </w:tc>
        <w:tc>
          <w:tcPr>
            <w:tcW w:w="1400" w:type="dxa"/>
            <w:tcBorders>
              <w:top w:val="single" w:sz="8" w:space="0" w:color="000000"/>
              <w:bottom w:val="single" w:sz="8" w:space="0" w:color="000000"/>
            </w:tcBorders>
          </w:tcPr>
          <w:p w14:paraId="692CE1C7" w14:textId="77777777" w:rsidR="00FA4AA8" w:rsidRDefault="0015611F">
            <w:pPr>
              <w:pStyle w:val="TableParagraph"/>
              <w:spacing w:before="115" w:line="183" w:lineRule="exact"/>
              <w:ind w:right="289"/>
              <w:jc w:val="right"/>
              <w:rPr>
                <w:b/>
                <w:sz w:val="18"/>
              </w:rPr>
            </w:pPr>
            <w:r>
              <w:rPr>
                <w:b/>
                <w:sz w:val="18"/>
              </w:rPr>
              <w:t>-</w:t>
            </w:r>
          </w:p>
        </w:tc>
        <w:tc>
          <w:tcPr>
            <w:tcW w:w="1096" w:type="dxa"/>
            <w:tcBorders>
              <w:top w:val="single" w:sz="8" w:space="0" w:color="000000"/>
              <w:bottom w:val="single" w:sz="8" w:space="0" w:color="000000"/>
            </w:tcBorders>
          </w:tcPr>
          <w:p w14:paraId="79DE6FF2" w14:textId="77777777" w:rsidR="00FA4AA8" w:rsidRDefault="0015611F">
            <w:pPr>
              <w:pStyle w:val="TableParagraph"/>
              <w:spacing w:before="115" w:line="183" w:lineRule="exact"/>
              <w:ind w:right="89"/>
              <w:jc w:val="right"/>
              <w:rPr>
                <w:b/>
                <w:sz w:val="18"/>
              </w:rPr>
            </w:pPr>
            <w:r>
              <w:rPr>
                <w:b/>
                <w:sz w:val="18"/>
              </w:rPr>
              <w:t>-</w:t>
            </w:r>
          </w:p>
        </w:tc>
      </w:tr>
      <w:tr w:rsidR="00FA4AA8" w14:paraId="7599061A" w14:textId="77777777">
        <w:trPr>
          <w:trHeight w:val="437"/>
        </w:trPr>
        <w:tc>
          <w:tcPr>
            <w:tcW w:w="6072" w:type="dxa"/>
          </w:tcPr>
          <w:p w14:paraId="0678D6B3" w14:textId="77777777" w:rsidR="00FA4AA8" w:rsidRDefault="00FA4AA8">
            <w:pPr>
              <w:pStyle w:val="TableParagraph"/>
              <w:spacing w:before="1"/>
              <w:rPr>
                <w:b/>
                <w:sz w:val="17"/>
              </w:rPr>
            </w:pPr>
          </w:p>
          <w:p w14:paraId="64D13B96" w14:textId="77777777" w:rsidR="00FA4AA8" w:rsidRDefault="0015611F">
            <w:pPr>
              <w:pStyle w:val="TableParagraph"/>
              <w:ind w:left="443"/>
              <w:rPr>
                <w:b/>
                <w:sz w:val="18"/>
              </w:rPr>
            </w:pPr>
            <w:r>
              <w:rPr>
                <w:b/>
                <w:sz w:val="18"/>
              </w:rPr>
              <w:t>At 31 December 2018</w:t>
            </w:r>
          </w:p>
        </w:tc>
        <w:tc>
          <w:tcPr>
            <w:tcW w:w="1394" w:type="dxa"/>
            <w:tcBorders>
              <w:top w:val="single" w:sz="8" w:space="0" w:color="000000"/>
            </w:tcBorders>
          </w:tcPr>
          <w:p w14:paraId="49E7C9ED" w14:textId="77777777" w:rsidR="00FA4AA8" w:rsidRDefault="00FA4AA8">
            <w:pPr>
              <w:pStyle w:val="TableParagraph"/>
              <w:rPr>
                <w:rFonts w:ascii="Times New Roman"/>
                <w:sz w:val="18"/>
              </w:rPr>
            </w:pPr>
          </w:p>
        </w:tc>
        <w:tc>
          <w:tcPr>
            <w:tcW w:w="1400" w:type="dxa"/>
            <w:tcBorders>
              <w:top w:val="single" w:sz="8" w:space="0" w:color="000000"/>
            </w:tcBorders>
          </w:tcPr>
          <w:p w14:paraId="5C3A5A2B" w14:textId="77777777" w:rsidR="00FA4AA8" w:rsidRDefault="00FA4AA8">
            <w:pPr>
              <w:pStyle w:val="TableParagraph"/>
              <w:rPr>
                <w:rFonts w:ascii="Times New Roman"/>
                <w:sz w:val="18"/>
              </w:rPr>
            </w:pPr>
          </w:p>
        </w:tc>
        <w:tc>
          <w:tcPr>
            <w:tcW w:w="1096" w:type="dxa"/>
            <w:tcBorders>
              <w:top w:val="single" w:sz="8" w:space="0" w:color="000000"/>
            </w:tcBorders>
          </w:tcPr>
          <w:p w14:paraId="45A211FE" w14:textId="77777777" w:rsidR="00FA4AA8" w:rsidRDefault="00FA4AA8">
            <w:pPr>
              <w:pStyle w:val="TableParagraph"/>
              <w:rPr>
                <w:rFonts w:ascii="Times New Roman"/>
                <w:sz w:val="18"/>
              </w:rPr>
            </w:pPr>
          </w:p>
        </w:tc>
      </w:tr>
      <w:tr w:rsidR="00FA4AA8" w14:paraId="0C64A34C" w14:textId="77777777">
        <w:trPr>
          <w:trHeight w:val="267"/>
        </w:trPr>
        <w:tc>
          <w:tcPr>
            <w:tcW w:w="6072" w:type="dxa"/>
          </w:tcPr>
          <w:p w14:paraId="0A8C0291" w14:textId="77777777" w:rsidR="00FA4AA8" w:rsidRDefault="0015611F">
            <w:pPr>
              <w:pStyle w:val="TableParagraph"/>
              <w:spacing w:before="30"/>
              <w:ind w:left="443"/>
              <w:rPr>
                <w:sz w:val="18"/>
              </w:rPr>
            </w:pPr>
            <w:r>
              <w:rPr>
                <w:sz w:val="18"/>
              </w:rPr>
              <w:t>Cost</w:t>
            </w:r>
          </w:p>
        </w:tc>
        <w:tc>
          <w:tcPr>
            <w:tcW w:w="1394" w:type="dxa"/>
          </w:tcPr>
          <w:p w14:paraId="384B368A" w14:textId="77777777" w:rsidR="00FA4AA8" w:rsidRDefault="0015611F">
            <w:pPr>
              <w:pStyle w:val="TableParagraph"/>
              <w:spacing w:before="28"/>
              <w:ind w:right="185"/>
              <w:jc w:val="right"/>
              <w:rPr>
                <w:sz w:val="18"/>
              </w:rPr>
            </w:pPr>
            <w:r>
              <w:rPr>
                <w:sz w:val="18"/>
              </w:rPr>
              <w:t>65,500</w:t>
            </w:r>
          </w:p>
        </w:tc>
        <w:tc>
          <w:tcPr>
            <w:tcW w:w="1400" w:type="dxa"/>
          </w:tcPr>
          <w:p w14:paraId="38781903" w14:textId="77777777" w:rsidR="00FA4AA8" w:rsidRDefault="0015611F">
            <w:pPr>
              <w:pStyle w:val="TableParagraph"/>
              <w:spacing w:before="28"/>
              <w:ind w:right="289"/>
              <w:jc w:val="right"/>
              <w:rPr>
                <w:sz w:val="18"/>
              </w:rPr>
            </w:pPr>
            <w:r>
              <w:rPr>
                <w:sz w:val="18"/>
              </w:rPr>
              <w:t>-</w:t>
            </w:r>
          </w:p>
        </w:tc>
        <w:tc>
          <w:tcPr>
            <w:tcW w:w="1096" w:type="dxa"/>
          </w:tcPr>
          <w:p w14:paraId="72644980" w14:textId="77777777" w:rsidR="00FA4AA8" w:rsidRDefault="0015611F">
            <w:pPr>
              <w:pStyle w:val="TableParagraph"/>
              <w:spacing w:before="28"/>
              <w:ind w:left="450"/>
              <w:rPr>
                <w:sz w:val="18"/>
              </w:rPr>
            </w:pPr>
            <w:r>
              <w:rPr>
                <w:sz w:val="18"/>
              </w:rPr>
              <w:t>65,500</w:t>
            </w:r>
          </w:p>
        </w:tc>
      </w:tr>
      <w:tr w:rsidR="00FA4AA8" w14:paraId="336B4623" w14:textId="77777777">
        <w:trPr>
          <w:trHeight w:val="256"/>
        </w:trPr>
        <w:tc>
          <w:tcPr>
            <w:tcW w:w="6072" w:type="dxa"/>
          </w:tcPr>
          <w:p w14:paraId="0BD94E63" w14:textId="77777777" w:rsidR="00FA4AA8" w:rsidRDefault="0015611F">
            <w:pPr>
              <w:pStyle w:val="TableParagraph"/>
              <w:spacing w:before="26"/>
              <w:ind w:left="443"/>
              <w:rPr>
                <w:sz w:val="18"/>
              </w:rPr>
            </w:pPr>
            <w:r>
              <w:rPr>
                <w:sz w:val="18"/>
              </w:rPr>
              <w:t>Accumulated amortisation</w:t>
            </w:r>
          </w:p>
        </w:tc>
        <w:tc>
          <w:tcPr>
            <w:tcW w:w="1394" w:type="dxa"/>
            <w:tcBorders>
              <w:bottom w:val="single" w:sz="8" w:space="0" w:color="000000"/>
            </w:tcBorders>
          </w:tcPr>
          <w:p w14:paraId="2AA0F326" w14:textId="77777777" w:rsidR="00FA4AA8" w:rsidRDefault="0015611F">
            <w:pPr>
              <w:pStyle w:val="TableParagraph"/>
              <w:spacing w:before="24"/>
              <w:ind w:right="124"/>
              <w:jc w:val="right"/>
              <w:rPr>
                <w:sz w:val="18"/>
              </w:rPr>
            </w:pPr>
            <w:r>
              <w:rPr>
                <w:sz w:val="18"/>
              </w:rPr>
              <w:t>(65,500)</w:t>
            </w:r>
          </w:p>
        </w:tc>
        <w:tc>
          <w:tcPr>
            <w:tcW w:w="1400" w:type="dxa"/>
            <w:tcBorders>
              <w:bottom w:val="single" w:sz="8" w:space="0" w:color="000000"/>
            </w:tcBorders>
          </w:tcPr>
          <w:p w14:paraId="7B9CC1B5" w14:textId="77777777" w:rsidR="00FA4AA8" w:rsidRDefault="0015611F">
            <w:pPr>
              <w:pStyle w:val="TableParagraph"/>
              <w:spacing w:before="24"/>
              <w:ind w:right="289"/>
              <w:jc w:val="right"/>
              <w:rPr>
                <w:sz w:val="18"/>
              </w:rPr>
            </w:pPr>
            <w:r>
              <w:rPr>
                <w:sz w:val="18"/>
              </w:rPr>
              <w:t>-</w:t>
            </w:r>
          </w:p>
        </w:tc>
        <w:tc>
          <w:tcPr>
            <w:tcW w:w="1096" w:type="dxa"/>
            <w:tcBorders>
              <w:bottom w:val="single" w:sz="8" w:space="0" w:color="000000"/>
            </w:tcBorders>
          </w:tcPr>
          <w:p w14:paraId="47C032D7" w14:textId="77777777" w:rsidR="00FA4AA8" w:rsidRDefault="0015611F">
            <w:pPr>
              <w:pStyle w:val="TableParagraph"/>
              <w:spacing w:before="24"/>
              <w:ind w:right="28"/>
              <w:jc w:val="right"/>
              <w:rPr>
                <w:sz w:val="18"/>
              </w:rPr>
            </w:pPr>
            <w:r>
              <w:rPr>
                <w:sz w:val="18"/>
              </w:rPr>
              <w:t>(65,500)</w:t>
            </w:r>
          </w:p>
        </w:tc>
      </w:tr>
      <w:tr w:rsidR="00FA4AA8" w14:paraId="5E77B751" w14:textId="77777777">
        <w:trPr>
          <w:trHeight w:val="320"/>
        </w:trPr>
        <w:tc>
          <w:tcPr>
            <w:tcW w:w="6072" w:type="dxa"/>
          </w:tcPr>
          <w:p w14:paraId="356E7300" w14:textId="77777777" w:rsidR="00FA4AA8" w:rsidRDefault="0015611F">
            <w:pPr>
              <w:pStyle w:val="TableParagraph"/>
              <w:spacing w:before="115" w:line="185" w:lineRule="exact"/>
              <w:ind w:left="443"/>
              <w:rPr>
                <w:b/>
                <w:sz w:val="18"/>
              </w:rPr>
            </w:pPr>
            <w:r>
              <w:rPr>
                <w:b/>
                <w:sz w:val="18"/>
              </w:rPr>
              <w:t>Net book amount</w:t>
            </w:r>
          </w:p>
        </w:tc>
        <w:tc>
          <w:tcPr>
            <w:tcW w:w="1394" w:type="dxa"/>
            <w:tcBorders>
              <w:top w:val="single" w:sz="8" w:space="0" w:color="000000"/>
              <w:bottom w:val="double" w:sz="2" w:space="0" w:color="000000"/>
            </w:tcBorders>
          </w:tcPr>
          <w:p w14:paraId="693E8902" w14:textId="77777777" w:rsidR="00FA4AA8" w:rsidRDefault="0015611F">
            <w:pPr>
              <w:pStyle w:val="TableParagraph"/>
              <w:spacing w:before="115" w:line="185" w:lineRule="exact"/>
              <w:ind w:right="185"/>
              <w:jc w:val="right"/>
              <w:rPr>
                <w:b/>
                <w:sz w:val="18"/>
              </w:rPr>
            </w:pPr>
            <w:r>
              <w:rPr>
                <w:b/>
                <w:sz w:val="18"/>
              </w:rPr>
              <w:t>-</w:t>
            </w:r>
          </w:p>
        </w:tc>
        <w:tc>
          <w:tcPr>
            <w:tcW w:w="1400" w:type="dxa"/>
            <w:tcBorders>
              <w:top w:val="single" w:sz="8" w:space="0" w:color="000000"/>
              <w:bottom w:val="double" w:sz="2" w:space="0" w:color="000000"/>
            </w:tcBorders>
          </w:tcPr>
          <w:p w14:paraId="1F1B12E8" w14:textId="77777777" w:rsidR="00FA4AA8" w:rsidRDefault="0015611F">
            <w:pPr>
              <w:pStyle w:val="TableParagraph"/>
              <w:spacing w:before="115" w:line="185" w:lineRule="exact"/>
              <w:ind w:right="289"/>
              <w:jc w:val="right"/>
              <w:rPr>
                <w:b/>
                <w:sz w:val="18"/>
              </w:rPr>
            </w:pPr>
            <w:r>
              <w:rPr>
                <w:b/>
                <w:sz w:val="18"/>
              </w:rPr>
              <w:t>-</w:t>
            </w:r>
          </w:p>
        </w:tc>
        <w:tc>
          <w:tcPr>
            <w:tcW w:w="1096" w:type="dxa"/>
            <w:tcBorders>
              <w:top w:val="single" w:sz="8" w:space="0" w:color="000000"/>
              <w:bottom w:val="double" w:sz="2" w:space="0" w:color="000000"/>
            </w:tcBorders>
          </w:tcPr>
          <w:p w14:paraId="6CB10773" w14:textId="77777777" w:rsidR="00FA4AA8" w:rsidRDefault="0015611F">
            <w:pPr>
              <w:pStyle w:val="TableParagraph"/>
              <w:spacing w:before="115" w:line="185" w:lineRule="exact"/>
              <w:ind w:right="89"/>
              <w:jc w:val="right"/>
              <w:rPr>
                <w:b/>
                <w:sz w:val="18"/>
              </w:rPr>
            </w:pPr>
            <w:r>
              <w:rPr>
                <w:b/>
                <w:sz w:val="18"/>
              </w:rPr>
              <w:t>-</w:t>
            </w:r>
          </w:p>
        </w:tc>
      </w:tr>
      <w:tr w:rsidR="00FA4AA8" w14:paraId="6F0B283E" w14:textId="77777777">
        <w:trPr>
          <w:trHeight w:val="713"/>
        </w:trPr>
        <w:tc>
          <w:tcPr>
            <w:tcW w:w="6072" w:type="dxa"/>
          </w:tcPr>
          <w:p w14:paraId="31C09809" w14:textId="77777777" w:rsidR="00FA4AA8" w:rsidRDefault="00FA4AA8">
            <w:pPr>
              <w:pStyle w:val="TableParagraph"/>
              <w:rPr>
                <w:b/>
                <w:sz w:val="20"/>
              </w:rPr>
            </w:pPr>
          </w:p>
          <w:p w14:paraId="4495638A" w14:textId="77777777" w:rsidR="00FA4AA8" w:rsidRDefault="00FA4AA8">
            <w:pPr>
              <w:pStyle w:val="TableParagraph"/>
              <w:rPr>
                <w:b/>
                <w:sz w:val="21"/>
              </w:rPr>
            </w:pPr>
          </w:p>
          <w:p w14:paraId="32188FE8" w14:textId="77777777" w:rsidR="00FA4AA8" w:rsidRDefault="0015611F">
            <w:pPr>
              <w:pStyle w:val="TableParagraph"/>
              <w:spacing w:before="1"/>
              <w:ind w:left="443"/>
              <w:rPr>
                <w:b/>
                <w:sz w:val="18"/>
              </w:rPr>
            </w:pPr>
            <w:r>
              <w:rPr>
                <w:b/>
                <w:sz w:val="18"/>
              </w:rPr>
              <w:t>At 1 January 2017</w:t>
            </w:r>
          </w:p>
        </w:tc>
        <w:tc>
          <w:tcPr>
            <w:tcW w:w="1394" w:type="dxa"/>
            <w:tcBorders>
              <w:top w:val="double" w:sz="2" w:space="0" w:color="000000"/>
            </w:tcBorders>
          </w:tcPr>
          <w:p w14:paraId="73558AE6" w14:textId="77777777" w:rsidR="00FA4AA8" w:rsidRDefault="00FA4AA8">
            <w:pPr>
              <w:pStyle w:val="TableParagraph"/>
              <w:rPr>
                <w:rFonts w:ascii="Times New Roman"/>
                <w:sz w:val="18"/>
              </w:rPr>
            </w:pPr>
          </w:p>
        </w:tc>
        <w:tc>
          <w:tcPr>
            <w:tcW w:w="1400" w:type="dxa"/>
            <w:tcBorders>
              <w:top w:val="double" w:sz="2" w:space="0" w:color="000000"/>
            </w:tcBorders>
          </w:tcPr>
          <w:p w14:paraId="33BE8EAB" w14:textId="77777777" w:rsidR="00FA4AA8" w:rsidRDefault="00FA4AA8">
            <w:pPr>
              <w:pStyle w:val="TableParagraph"/>
              <w:rPr>
                <w:rFonts w:ascii="Times New Roman"/>
                <w:sz w:val="18"/>
              </w:rPr>
            </w:pPr>
          </w:p>
        </w:tc>
        <w:tc>
          <w:tcPr>
            <w:tcW w:w="1096" w:type="dxa"/>
            <w:tcBorders>
              <w:top w:val="double" w:sz="2" w:space="0" w:color="000000"/>
            </w:tcBorders>
          </w:tcPr>
          <w:p w14:paraId="30740C5D" w14:textId="77777777" w:rsidR="00FA4AA8" w:rsidRDefault="00FA4AA8">
            <w:pPr>
              <w:pStyle w:val="TableParagraph"/>
              <w:rPr>
                <w:rFonts w:ascii="Times New Roman"/>
                <w:sz w:val="18"/>
              </w:rPr>
            </w:pPr>
          </w:p>
        </w:tc>
      </w:tr>
      <w:tr w:rsidR="00FA4AA8" w14:paraId="7656C00E" w14:textId="77777777">
        <w:trPr>
          <w:trHeight w:val="267"/>
        </w:trPr>
        <w:tc>
          <w:tcPr>
            <w:tcW w:w="6072" w:type="dxa"/>
          </w:tcPr>
          <w:p w14:paraId="1A13D846" w14:textId="77777777" w:rsidR="00FA4AA8" w:rsidRDefault="0015611F">
            <w:pPr>
              <w:pStyle w:val="TableParagraph"/>
              <w:spacing w:before="30"/>
              <w:ind w:left="443"/>
              <w:rPr>
                <w:sz w:val="18"/>
              </w:rPr>
            </w:pPr>
            <w:r>
              <w:rPr>
                <w:sz w:val="18"/>
              </w:rPr>
              <w:t>Cost</w:t>
            </w:r>
          </w:p>
        </w:tc>
        <w:tc>
          <w:tcPr>
            <w:tcW w:w="1394" w:type="dxa"/>
          </w:tcPr>
          <w:p w14:paraId="065CB1C0" w14:textId="77777777" w:rsidR="00FA4AA8" w:rsidRDefault="0015611F">
            <w:pPr>
              <w:pStyle w:val="TableParagraph"/>
              <w:spacing w:before="28"/>
              <w:ind w:right="185"/>
              <w:jc w:val="right"/>
              <w:rPr>
                <w:sz w:val="18"/>
              </w:rPr>
            </w:pPr>
            <w:r>
              <w:rPr>
                <w:sz w:val="18"/>
              </w:rPr>
              <w:t>65,500</w:t>
            </w:r>
          </w:p>
        </w:tc>
        <w:tc>
          <w:tcPr>
            <w:tcW w:w="1400" w:type="dxa"/>
          </w:tcPr>
          <w:p w14:paraId="2D1BCEB2" w14:textId="77777777" w:rsidR="00FA4AA8" w:rsidRDefault="0015611F">
            <w:pPr>
              <w:pStyle w:val="TableParagraph"/>
              <w:spacing w:before="28"/>
              <w:ind w:right="289"/>
              <w:jc w:val="right"/>
              <w:rPr>
                <w:sz w:val="18"/>
              </w:rPr>
            </w:pPr>
            <w:r>
              <w:rPr>
                <w:sz w:val="18"/>
              </w:rPr>
              <w:t>15,000</w:t>
            </w:r>
          </w:p>
        </w:tc>
        <w:tc>
          <w:tcPr>
            <w:tcW w:w="1096" w:type="dxa"/>
          </w:tcPr>
          <w:p w14:paraId="1ED54221" w14:textId="77777777" w:rsidR="00FA4AA8" w:rsidRDefault="0015611F">
            <w:pPr>
              <w:pStyle w:val="TableParagraph"/>
              <w:spacing w:before="28"/>
              <w:ind w:left="450"/>
              <w:rPr>
                <w:sz w:val="18"/>
              </w:rPr>
            </w:pPr>
            <w:r>
              <w:rPr>
                <w:sz w:val="18"/>
              </w:rPr>
              <w:t>80,500</w:t>
            </w:r>
          </w:p>
        </w:tc>
      </w:tr>
      <w:tr w:rsidR="00FA4AA8" w14:paraId="19E16492" w14:textId="77777777">
        <w:trPr>
          <w:trHeight w:val="256"/>
        </w:trPr>
        <w:tc>
          <w:tcPr>
            <w:tcW w:w="6072" w:type="dxa"/>
          </w:tcPr>
          <w:p w14:paraId="7912D1A4" w14:textId="77777777" w:rsidR="00FA4AA8" w:rsidRDefault="0015611F">
            <w:pPr>
              <w:pStyle w:val="TableParagraph"/>
              <w:spacing w:before="26"/>
              <w:ind w:left="443"/>
              <w:rPr>
                <w:sz w:val="18"/>
              </w:rPr>
            </w:pPr>
            <w:r>
              <w:rPr>
                <w:sz w:val="18"/>
              </w:rPr>
              <w:t>Accumulated amortisation</w:t>
            </w:r>
          </w:p>
        </w:tc>
        <w:tc>
          <w:tcPr>
            <w:tcW w:w="1394" w:type="dxa"/>
            <w:tcBorders>
              <w:bottom w:val="single" w:sz="8" w:space="0" w:color="000000"/>
            </w:tcBorders>
          </w:tcPr>
          <w:p w14:paraId="62018AD2" w14:textId="77777777" w:rsidR="00FA4AA8" w:rsidRDefault="0015611F">
            <w:pPr>
              <w:pStyle w:val="TableParagraph"/>
              <w:spacing w:before="24"/>
              <w:ind w:right="124"/>
              <w:jc w:val="right"/>
              <w:rPr>
                <w:sz w:val="18"/>
              </w:rPr>
            </w:pPr>
            <w:r>
              <w:rPr>
                <w:sz w:val="18"/>
              </w:rPr>
              <w:t>(65,500)</w:t>
            </w:r>
          </w:p>
        </w:tc>
        <w:tc>
          <w:tcPr>
            <w:tcW w:w="1400" w:type="dxa"/>
            <w:tcBorders>
              <w:bottom w:val="single" w:sz="8" w:space="0" w:color="000000"/>
            </w:tcBorders>
          </w:tcPr>
          <w:p w14:paraId="70377912" w14:textId="77777777" w:rsidR="00FA4AA8" w:rsidRDefault="0015611F">
            <w:pPr>
              <w:pStyle w:val="TableParagraph"/>
              <w:spacing w:before="24"/>
              <w:ind w:right="228"/>
              <w:jc w:val="right"/>
              <w:rPr>
                <w:sz w:val="18"/>
              </w:rPr>
            </w:pPr>
            <w:r>
              <w:rPr>
                <w:sz w:val="18"/>
              </w:rPr>
              <w:t>(15,000)</w:t>
            </w:r>
          </w:p>
        </w:tc>
        <w:tc>
          <w:tcPr>
            <w:tcW w:w="1096" w:type="dxa"/>
            <w:tcBorders>
              <w:bottom w:val="single" w:sz="8" w:space="0" w:color="000000"/>
            </w:tcBorders>
          </w:tcPr>
          <w:p w14:paraId="1B2C9F21" w14:textId="77777777" w:rsidR="00FA4AA8" w:rsidRDefault="0015611F">
            <w:pPr>
              <w:pStyle w:val="TableParagraph"/>
              <w:spacing w:before="24"/>
              <w:ind w:right="28"/>
              <w:jc w:val="right"/>
              <w:rPr>
                <w:sz w:val="18"/>
              </w:rPr>
            </w:pPr>
            <w:r>
              <w:rPr>
                <w:sz w:val="18"/>
              </w:rPr>
              <w:t>(80,500)</w:t>
            </w:r>
          </w:p>
        </w:tc>
      </w:tr>
      <w:tr w:rsidR="00FA4AA8" w14:paraId="4D26C1E0" w14:textId="77777777">
        <w:trPr>
          <w:trHeight w:val="320"/>
        </w:trPr>
        <w:tc>
          <w:tcPr>
            <w:tcW w:w="6072" w:type="dxa"/>
          </w:tcPr>
          <w:p w14:paraId="76DBF5A0" w14:textId="77777777" w:rsidR="00FA4AA8" w:rsidRDefault="0015611F">
            <w:pPr>
              <w:pStyle w:val="TableParagraph"/>
              <w:spacing w:before="115" w:line="185" w:lineRule="exact"/>
              <w:ind w:left="443"/>
              <w:rPr>
                <w:b/>
                <w:sz w:val="18"/>
              </w:rPr>
            </w:pPr>
            <w:r>
              <w:rPr>
                <w:b/>
                <w:sz w:val="18"/>
              </w:rPr>
              <w:t>Net book amount</w:t>
            </w:r>
          </w:p>
        </w:tc>
        <w:tc>
          <w:tcPr>
            <w:tcW w:w="1394" w:type="dxa"/>
            <w:tcBorders>
              <w:top w:val="single" w:sz="8" w:space="0" w:color="000000"/>
              <w:bottom w:val="double" w:sz="2" w:space="0" w:color="000000"/>
            </w:tcBorders>
          </w:tcPr>
          <w:p w14:paraId="6F6AEAFE" w14:textId="77777777" w:rsidR="00FA4AA8" w:rsidRDefault="0015611F">
            <w:pPr>
              <w:pStyle w:val="TableParagraph"/>
              <w:spacing w:before="115" w:line="185" w:lineRule="exact"/>
              <w:ind w:right="185"/>
              <w:jc w:val="right"/>
              <w:rPr>
                <w:b/>
                <w:sz w:val="18"/>
              </w:rPr>
            </w:pPr>
            <w:r>
              <w:rPr>
                <w:b/>
                <w:sz w:val="18"/>
              </w:rPr>
              <w:t>-</w:t>
            </w:r>
          </w:p>
        </w:tc>
        <w:tc>
          <w:tcPr>
            <w:tcW w:w="1400" w:type="dxa"/>
            <w:tcBorders>
              <w:top w:val="single" w:sz="8" w:space="0" w:color="000000"/>
              <w:bottom w:val="double" w:sz="2" w:space="0" w:color="000000"/>
            </w:tcBorders>
          </w:tcPr>
          <w:p w14:paraId="73C5F374" w14:textId="77777777" w:rsidR="00FA4AA8" w:rsidRDefault="0015611F">
            <w:pPr>
              <w:pStyle w:val="TableParagraph"/>
              <w:spacing w:before="115" w:line="185" w:lineRule="exact"/>
              <w:ind w:right="289"/>
              <w:jc w:val="right"/>
              <w:rPr>
                <w:b/>
                <w:sz w:val="18"/>
              </w:rPr>
            </w:pPr>
            <w:r>
              <w:rPr>
                <w:b/>
                <w:sz w:val="18"/>
              </w:rPr>
              <w:t>-</w:t>
            </w:r>
          </w:p>
        </w:tc>
        <w:tc>
          <w:tcPr>
            <w:tcW w:w="1096" w:type="dxa"/>
            <w:tcBorders>
              <w:top w:val="single" w:sz="8" w:space="0" w:color="000000"/>
              <w:bottom w:val="double" w:sz="2" w:space="0" w:color="000000"/>
            </w:tcBorders>
          </w:tcPr>
          <w:p w14:paraId="0C19999D" w14:textId="77777777" w:rsidR="00FA4AA8" w:rsidRDefault="0015611F">
            <w:pPr>
              <w:pStyle w:val="TableParagraph"/>
              <w:spacing w:before="115" w:line="185" w:lineRule="exact"/>
              <w:ind w:right="89"/>
              <w:jc w:val="right"/>
              <w:rPr>
                <w:b/>
                <w:sz w:val="18"/>
              </w:rPr>
            </w:pPr>
            <w:r>
              <w:rPr>
                <w:b/>
                <w:sz w:val="18"/>
              </w:rPr>
              <w:t>-</w:t>
            </w:r>
          </w:p>
        </w:tc>
      </w:tr>
      <w:tr w:rsidR="00FA4AA8" w14:paraId="2004B463" w14:textId="77777777">
        <w:trPr>
          <w:trHeight w:val="265"/>
        </w:trPr>
        <w:tc>
          <w:tcPr>
            <w:tcW w:w="6072" w:type="dxa"/>
          </w:tcPr>
          <w:p w14:paraId="62E87DCC" w14:textId="77777777" w:rsidR="00FA4AA8" w:rsidRDefault="0015611F">
            <w:pPr>
              <w:pStyle w:val="TableParagraph"/>
              <w:spacing w:before="35"/>
              <w:ind w:left="443"/>
              <w:rPr>
                <w:sz w:val="18"/>
              </w:rPr>
            </w:pPr>
            <w:r>
              <w:rPr>
                <w:sz w:val="18"/>
              </w:rPr>
              <w:t>Opening net book amount</w:t>
            </w:r>
          </w:p>
        </w:tc>
        <w:tc>
          <w:tcPr>
            <w:tcW w:w="1394" w:type="dxa"/>
            <w:tcBorders>
              <w:top w:val="double" w:sz="2" w:space="0" w:color="000000"/>
              <w:bottom w:val="single" w:sz="8" w:space="0" w:color="000000"/>
            </w:tcBorders>
          </w:tcPr>
          <w:p w14:paraId="0C2EE9A2" w14:textId="77777777" w:rsidR="00FA4AA8" w:rsidRDefault="0015611F">
            <w:pPr>
              <w:pStyle w:val="TableParagraph"/>
              <w:spacing w:before="33"/>
              <w:ind w:right="182"/>
              <w:jc w:val="right"/>
              <w:rPr>
                <w:b/>
                <w:sz w:val="18"/>
              </w:rPr>
            </w:pPr>
            <w:r>
              <w:rPr>
                <w:b/>
                <w:sz w:val="18"/>
              </w:rPr>
              <w:t>-</w:t>
            </w:r>
          </w:p>
        </w:tc>
        <w:tc>
          <w:tcPr>
            <w:tcW w:w="1400" w:type="dxa"/>
            <w:tcBorders>
              <w:top w:val="double" w:sz="2" w:space="0" w:color="000000"/>
              <w:bottom w:val="single" w:sz="8" w:space="0" w:color="000000"/>
            </w:tcBorders>
          </w:tcPr>
          <w:p w14:paraId="7EC59C40" w14:textId="77777777" w:rsidR="00FA4AA8" w:rsidRDefault="00FA4AA8">
            <w:pPr>
              <w:pStyle w:val="TableParagraph"/>
              <w:rPr>
                <w:rFonts w:ascii="Times New Roman"/>
                <w:sz w:val="18"/>
              </w:rPr>
            </w:pPr>
          </w:p>
        </w:tc>
        <w:tc>
          <w:tcPr>
            <w:tcW w:w="1096" w:type="dxa"/>
            <w:tcBorders>
              <w:top w:val="double" w:sz="2" w:space="0" w:color="000000"/>
              <w:bottom w:val="single" w:sz="8" w:space="0" w:color="000000"/>
            </w:tcBorders>
          </w:tcPr>
          <w:p w14:paraId="7E08507D" w14:textId="77777777" w:rsidR="00FA4AA8" w:rsidRDefault="0015611F">
            <w:pPr>
              <w:pStyle w:val="TableParagraph"/>
              <w:spacing w:before="33"/>
              <w:ind w:right="89"/>
              <w:jc w:val="right"/>
              <w:rPr>
                <w:sz w:val="18"/>
              </w:rPr>
            </w:pPr>
            <w:r>
              <w:rPr>
                <w:sz w:val="18"/>
              </w:rPr>
              <w:t>-</w:t>
            </w:r>
          </w:p>
        </w:tc>
      </w:tr>
      <w:tr w:rsidR="00FA4AA8" w14:paraId="23D87399" w14:textId="77777777">
        <w:trPr>
          <w:trHeight w:val="318"/>
        </w:trPr>
        <w:tc>
          <w:tcPr>
            <w:tcW w:w="6072" w:type="dxa"/>
          </w:tcPr>
          <w:p w14:paraId="6F88FFDF" w14:textId="77777777" w:rsidR="00FA4AA8" w:rsidRDefault="0015611F">
            <w:pPr>
              <w:pStyle w:val="TableParagraph"/>
              <w:spacing w:before="115" w:line="183" w:lineRule="exact"/>
              <w:ind w:left="443"/>
              <w:rPr>
                <w:b/>
                <w:sz w:val="18"/>
              </w:rPr>
            </w:pPr>
            <w:r>
              <w:rPr>
                <w:b/>
                <w:sz w:val="18"/>
              </w:rPr>
              <w:t>Closing net book amount</w:t>
            </w:r>
          </w:p>
        </w:tc>
        <w:tc>
          <w:tcPr>
            <w:tcW w:w="1394" w:type="dxa"/>
            <w:tcBorders>
              <w:top w:val="single" w:sz="8" w:space="0" w:color="000000"/>
              <w:bottom w:val="single" w:sz="8" w:space="0" w:color="000000"/>
            </w:tcBorders>
          </w:tcPr>
          <w:p w14:paraId="75CCF9E8" w14:textId="77777777" w:rsidR="00FA4AA8" w:rsidRDefault="0015611F">
            <w:pPr>
              <w:pStyle w:val="TableParagraph"/>
              <w:spacing w:before="115" w:line="183" w:lineRule="exact"/>
              <w:ind w:right="182"/>
              <w:jc w:val="right"/>
              <w:rPr>
                <w:b/>
                <w:sz w:val="18"/>
              </w:rPr>
            </w:pPr>
            <w:r>
              <w:rPr>
                <w:b/>
                <w:sz w:val="18"/>
              </w:rPr>
              <w:t>-</w:t>
            </w:r>
          </w:p>
        </w:tc>
        <w:tc>
          <w:tcPr>
            <w:tcW w:w="1400" w:type="dxa"/>
            <w:tcBorders>
              <w:top w:val="single" w:sz="8" w:space="0" w:color="000000"/>
              <w:bottom w:val="single" w:sz="8" w:space="0" w:color="000000"/>
            </w:tcBorders>
          </w:tcPr>
          <w:p w14:paraId="539C28B3" w14:textId="77777777" w:rsidR="00FA4AA8" w:rsidRDefault="0015611F">
            <w:pPr>
              <w:pStyle w:val="TableParagraph"/>
              <w:spacing w:before="115" w:line="183" w:lineRule="exact"/>
              <w:ind w:right="289"/>
              <w:jc w:val="right"/>
              <w:rPr>
                <w:b/>
                <w:sz w:val="18"/>
              </w:rPr>
            </w:pPr>
            <w:r>
              <w:rPr>
                <w:b/>
                <w:sz w:val="18"/>
              </w:rPr>
              <w:t>-</w:t>
            </w:r>
          </w:p>
        </w:tc>
        <w:tc>
          <w:tcPr>
            <w:tcW w:w="1096" w:type="dxa"/>
            <w:tcBorders>
              <w:top w:val="single" w:sz="8" w:space="0" w:color="000000"/>
              <w:bottom w:val="single" w:sz="8" w:space="0" w:color="000000"/>
            </w:tcBorders>
          </w:tcPr>
          <w:p w14:paraId="28D238C4" w14:textId="77777777" w:rsidR="00FA4AA8" w:rsidRDefault="0015611F">
            <w:pPr>
              <w:pStyle w:val="TableParagraph"/>
              <w:spacing w:before="115" w:line="183" w:lineRule="exact"/>
              <w:ind w:right="89"/>
              <w:jc w:val="right"/>
              <w:rPr>
                <w:b/>
                <w:sz w:val="18"/>
              </w:rPr>
            </w:pPr>
            <w:r>
              <w:rPr>
                <w:b/>
                <w:sz w:val="18"/>
              </w:rPr>
              <w:t>-</w:t>
            </w:r>
          </w:p>
        </w:tc>
      </w:tr>
      <w:tr w:rsidR="00FA4AA8" w14:paraId="51209DEA" w14:textId="77777777">
        <w:trPr>
          <w:trHeight w:val="550"/>
        </w:trPr>
        <w:tc>
          <w:tcPr>
            <w:tcW w:w="6072" w:type="dxa"/>
          </w:tcPr>
          <w:p w14:paraId="41D7777E" w14:textId="77777777" w:rsidR="00FA4AA8" w:rsidRDefault="00FA4AA8">
            <w:pPr>
              <w:pStyle w:val="TableParagraph"/>
              <w:spacing w:before="10"/>
              <w:rPr>
                <w:b/>
                <w:sz w:val="26"/>
              </w:rPr>
            </w:pPr>
          </w:p>
          <w:p w14:paraId="020FFE7C" w14:textId="77777777" w:rsidR="00FA4AA8" w:rsidRDefault="0015611F">
            <w:pPr>
              <w:pStyle w:val="TableParagraph"/>
              <w:ind w:left="443"/>
              <w:rPr>
                <w:b/>
                <w:sz w:val="18"/>
              </w:rPr>
            </w:pPr>
            <w:r>
              <w:rPr>
                <w:b/>
                <w:sz w:val="18"/>
              </w:rPr>
              <w:t>At 31 December 2017</w:t>
            </w:r>
          </w:p>
        </w:tc>
        <w:tc>
          <w:tcPr>
            <w:tcW w:w="1394" w:type="dxa"/>
            <w:tcBorders>
              <w:top w:val="single" w:sz="8" w:space="0" w:color="000000"/>
            </w:tcBorders>
          </w:tcPr>
          <w:p w14:paraId="3AA28921" w14:textId="77777777" w:rsidR="00FA4AA8" w:rsidRDefault="00FA4AA8">
            <w:pPr>
              <w:pStyle w:val="TableParagraph"/>
              <w:rPr>
                <w:rFonts w:ascii="Times New Roman"/>
                <w:sz w:val="18"/>
              </w:rPr>
            </w:pPr>
          </w:p>
        </w:tc>
        <w:tc>
          <w:tcPr>
            <w:tcW w:w="1400" w:type="dxa"/>
            <w:tcBorders>
              <w:top w:val="single" w:sz="8" w:space="0" w:color="000000"/>
            </w:tcBorders>
          </w:tcPr>
          <w:p w14:paraId="087385AB" w14:textId="77777777" w:rsidR="00FA4AA8" w:rsidRDefault="00FA4AA8">
            <w:pPr>
              <w:pStyle w:val="TableParagraph"/>
              <w:rPr>
                <w:rFonts w:ascii="Times New Roman"/>
                <w:sz w:val="18"/>
              </w:rPr>
            </w:pPr>
          </w:p>
        </w:tc>
        <w:tc>
          <w:tcPr>
            <w:tcW w:w="1096" w:type="dxa"/>
            <w:tcBorders>
              <w:top w:val="single" w:sz="8" w:space="0" w:color="000000"/>
            </w:tcBorders>
          </w:tcPr>
          <w:p w14:paraId="52DBB0F6" w14:textId="77777777" w:rsidR="00FA4AA8" w:rsidRDefault="00FA4AA8">
            <w:pPr>
              <w:pStyle w:val="TableParagraph"/>
              <w:rPr>
                <w:rFonts w:ascii="Times New Roman"/>
                <w:sz w:val="18"/>
              </w:rPr>
            </w:pPr>
          </w:p>
        </w:tc>
      </w:tr>
      <w:tr w:rsidR="00FA4AA8" w14:paraId="6B25AE90" w14:textId="77777777">
        <w:trPr>
          <w:trHeight w:val="267"/>
        </w:trPr>
        <w:tc>
          <w:tcPr>
            <w:tcW w:w="6072" w:type="dxa"/>
          </w:tcPr>
          <w:p w14:paraId="6B56FDF6" w14:textId="77777777" w:rsidR="00FA4AA8" w:rsidRDefault="0015611F">
            <w:pPr>
              <w:pStyle w:val="TableParagraph"/>
              <w:spacing w:before="30"/>
              <w:ind w:left="443"/>
              <w:rPr>
                <w:sz w:val="18"/>
              </w:rPr>
            </w:pPr>
            <w:r>
              <w:rPr>
                <w:sz w:val="18"/>
              </w:rPr>
              <w:t>Cost</w:t>
            </w:r>
          </w:p>
        </w:tc>
        <w:tc>
          <w:tcPr>
            <w:tcW w:w="1394" w:type="dxa"/>
          </w:tcPr>
          <w:p w14:paraId="0359AC0D" w14:textId="77777777" w:rsidR="00FA4AA8" w:rsidRDefault="0015611F">
            <w:pPr>
              <w:pStyle w:val="TableParagraph"/>
              <w:spacing w:before="28"/>
              <w:ind w:right="183"/>
              <w:jc w:val="right"/>
              <w:rPr>
                <w:sz w:val="18"/>
              </w:rPr>
            </w:pPr>
            <w:r>
              <w:rPr>
                <w:sz w:val="18"/>
              </w:rPr>
              <w:t>65,500</w:t>
            </w:r>
          </w:p>
        </w:tc>
        <w:tc>
          <w:tcPr>
            <w:tcW w:w="1400" w:type="dxa"/>
          </w:tcPr>
          <w:p w14:paraId="222A0E92" w14:textId="77777777" w:rsidR="00FA4AA8" w:rsidRDefault="0015611F">
            <w:pPr>
              <w:pStyle w:val="TableParagraph"/>
              <w:spacing w:before="28"/>
              <w:ind w:right="289"/>
              <w:jc w:val="right"/>
              <w:rPr>
                <w:sz w:val="18"/>
              </w:rPr>
            </w:pPr>
            <w:r>
              <w:rPr>
                <w:sz w:val="18"/>
              </w:rPr>
              <w:t>-</w:t>
            </w:r>
          </w:p>
        </w:tc>
        <w:tc>
          <w:tcPr>
            <w:tcW w:w="1096" w:type="dxa"/>
          </w:tcPr>
          <w:p w14:paraId="427DB215" w14:textId="77777777" w:rsidR="00FA4AA8" w:rsidRDefault="0015611F">
            <w:pPr>
              <w:pStyle w:val="TableParagraph"/>
              <w:spacing w:before="28"/>
              <w:ind w:left="450"/>
              <w:rPr>
                <w:sz w:val="18"/>
              </w:rPr>
            </w:pPr>
            <w:r>
              <w:rPr>
                <w:sz w:val="18"/>
              </w:rPr>
              <w:t>65,500</w:t>
            </w:r>
          </w:p>
        </w:tc>
      </w:tr>
      <w:tr w:rsidR="00FA4AA8" w14:paraId="21005F25" w14:textId="77777777">
        <w:trPr>
          <w:trHeight w:val="256"/>
        </w:trPr>
        <w:tc>
          <w:tcPr>
            <w:tcW w:w="6072" w:type="dxa"/>
          </w:tcPr>
          <w:p w14:paraId="1FA6A979" w14:textId="77777777" w:rsidR="00FA4AA8" w:rsidRDefault="0015611F">
            <w:pPr>
              <w:pStyle w:val="TableParagraph"/>
              <w:spacing w:before="26"/>
              <w:ind w:left="443"/>
              <w:rPr>
                <w:sz w:val="18"/>
              </w:rPr>
            </w:pPr>
            <w:r>
              <w:rPr>
                <w:sz w:val="18"/>
              </w:rPr>
              <w:t>Accumulated amortisation</w:t>
            </w:r>
          </w:p>
        </w:tc>
        <w:tc>
          <w:tcPr>
            <w:tcW w:w="1394" w:type="dxa"/>
            <w:tcBorders>
              <w:bottom w:val="single" w:sz="8" w:space="0" w:color="000000"/>
            </w:tcBorders>
          </w:tcPr>
          <w:p w14:paraId="57C054CE" w14:textId="77777777" w:rsidR="00FA4AA8" w:rsidRDefault="0015611F">
            <w:pPr>
              <w:pStyle w:val="TableParagraph"/>
              <w:spacing w:before="24"/>
              <w:ind w:right="122"/>
              <w:jc w:val="right"/>
              <w:rPr>
                <w:sz w:val="18"/>
              </w:rPr>
            </w:pPr>
            <w:r>
              <w:rPr>
                <w:sz w:val="18"/>
              </w:rPr>
              <w:t>(65,500)</w:t>
            </w:r>
          </w:p>
        </w:tc>
        <w:tc>
          <w:tcPr>
            <w:tcW w:w="1400" w:type="dxa"/>
            <w:tcBorders>
              <w:bottom w:val="single" w:sz="8" w:space="0" w:color="000000"/>
            </w:tcBorders>
          </w:tcPr>
          <w:p w14:paraId="0882587A" w14:textId="77777777" w:rsidR="00FA4AA8" w:rsidRDefault="0015611F">
            <w:pPr>
              <w:pStyle w:val="TableParagraph"/>
              <w:spacing w:before="24"/>
              <w:ind w:right="289"/>
              <w:jc w:val="right"/>
              <w:rPr>
                <w:sz w:val="18"/>
              </w:rPr>
            </w:pPr>
            <w:r>
              <w:rPr>
                <w:sz w:val="18"/>
              </w:rPr>
              <w:t>-</w:t>
            </w:r>
          </w:p>
        </w:tc>
        <w:tc>
          <w:tcPr>
            <w:tcW w:w="1096" w:type="dxa"/>
            <w:tcBorders>
              <w:bottom w:val="single" w:sz="8" w:space="0" w:color="000000"/>
            </w:tcBorders>
          </w:tcPr>
          <w:p w14:paraId="0B88FA8B" w14:textId="77777777" w:rsidR="00FA4AA8" w:rsidRDefault="0015611F">
            <w:pPr>
              <w:pStyle w:val="TableParagraph"/>
              <w:spacing w:before="24"/>
              <w:ind w:right="28"/>
              <w:jc w:val="right"/>
              <w:rPr>
                <w:sz w:val="18"/>
              </w:rPr>
            </w:pPr>
            <w:r>
              <w:rPr>
                <w:sz w:val="18"/>
              </w:rPr>
              <w:t>(65,500)</w:t>
            </w:r>
          </w:p>
        </w:tc>
      </w:tr>
      <w:tr w:rsidR="00FA4AA8" w14:paraId="10902512" w14:textId="77777777">
        <w:trPr>
          <w:trHeight w:val="320"/>
        </w:trPr>
        <w:tc>
          <w:tcPr>
            <w:tcW w:w="6072" w:type="dxa"/>
          </w:tcPr>
          <w:p w14:paraId="264ECE35" w14:textId="77777777" w:rsidR="00FA4AA8" w:rsidRDefault="0015611F">
            <w:pPr>
              <w:pStyle w:val="TableParagraph"/>
              <w:spacing w:before="115" w:line="185" w:lineRule="exact"/>
              <w:ind w:left="443"/>
              <w:rPr>
                <w:b/>
                <w:sz w:val="18"/>
              </w:rPr>
            </w:pPr>
            <w:r>
              <w:rPr>
                <w:b/>
                <w:sz w:val="18"/>
              </w:rPr>
              <w:t>Net book amount</w:t>
            </w:r>
          </w:p>
        </w:tc>
        <w:tc>
          <w:tcPr>
            <w:tcW w:w="1394" w:type="dxa"/>
            <w:tcBorders>
              <w:top w:val="single" w:sz="8" w:space="0" w:color="000000"/>
              <w:bottom w:val="double" w:sz="2" w:space="0" w:color="000000"/>
            </w:tcBorders>
          </w:tcPr>
          <w:p w14:paraId="384990D6" w14:textId="77777777" w:rsidR="00FA4AA8" w:rsidRDefault="0015611F">
            <w:pPr>
              <w:pStyle w:val="TableParagraph"/>
              <w:spacing w:before="115" w:line="185" w:lineRule="exact"/>
              <w:ind w:right="182"/>
              <w:jc w:val="right"/>
              <w:rPr>
                <w:sz w:val="18"/>
              </w:rPr>
            </w:pPr>
            <w:r>
              <w:rPr>
                <w:sz w:val="18"/>
              </w:rPr>
              <w:t>-</w:t>
            </w:r>
          </w:p>
        </w:tc>
        <w:tc>
          <w:tcPr>
            <w:tcW w:w="1400" w:type="dxa"/>
            <w:tcBorders>
              <w:top w:val="single" w:sz="8" w:space="0" w:color="000000"/>
              <w:bottom w:val="double" w:sz="2" w:space="0" w:color="000000"/>
            </w:tcBorders>
          </w:tcPr>
          <w:p w14:paraId="79462373" w14:textId="77777777" w:rsidR="00FA4AA8" w:rsidRDefault="0015611F">
            <w:pPr>
              <w:pStyle w:val="TableParagraph"/>
              <w:spacing w:before="115" w:line="185" w:lineRule="exact"/>
              <w:ind w:right="289"/>
              <w:jc w:val="right"/>
              <w:rPr>
                <w:sz w:val="18"/>
              </w:rPr>
            </w:pPr>
            <w:r>
              <w:rPr>
                <w:sz w:val="18"/>
              </w:rPr>
              <w:t>-</w:t>
            </w:r>
          </w:p>
        </w:tc>
        <w:tc>
          <w:tcPr>
            <w:tcW w:w="1096" w:type="dxa"/>
            <w:tcBorders>
              <w:top w:val="single" w:sz="8" w:space="0" w:color="000000"/>
              <w:bottom w:val="double" w:sz="2" w:space="0" w:color="000000"/>
            </w:tcBorders>
          </w:tcPr>
          <w:p w14:paraId="12CAFE72" w14:textId="77777777" w:rsidR="00FA4AA8" w:rsidRDefault="0015611F">
            <w:pPr>
              <w:pStyle w:val="TableParagraph"/>
              <w:spacing w:before="115" w:line="185" w:lineRule="exact"/>
              <w:ind w:right="89"/>
              <w:jc w:val="right"/>
              <w:rPr>
                <w:sz w:val="18"/>
              </w:rPr>
            </w:pPr>
            <w:r>
              <w:rPr>
                <w:sz w:val="18"/>
              </w:rPr>
              <w:t>-</w:t>
            </w:r>
          </w:p>
        </w:tc>
      </w:tr>
    </w:tbl>
    <w:p w14:paraId="04EAEC39" w14:textId="77777777" w:rsidR="00FA4AA8" w:rsidRDefault="00FA4AA8">
      <w:pPr>
        <w:spacing w:line="185" w:lineRule="exact"/>
        <w:jc w:val="right"/>
        <w:rPr>
          <w:sz w:val="18"/>
        </w:rPr>
        <w:sectPr w:rsidR="00FA4AA8">
          <w:pgSz w:w="11910" w:h="16840"/>
          <w:pgMar w:top="1460" w:right="840" w:bottom="720" w:left="840" w:header="1016" w:footer="523" w:gutter="0"/>
          <w:cols w:space="720"/>
        </w:sectPr>
      </w:pPr>
    </w:p>
    <w:p w14:paraId="43750187" w14:textId="77777777" w:rsidR="00FA4AA8" w:rsidRDefault="00FA4AA8">
      <w:pPr>
        <w:pStyle w:val="BodyText"/>
        <w:spacing w:before="6"/>
        <w:rPr>
          <w:b/>
          <w:sz w:val="21"/>
        </w:rPr>
      </w:pPr>
    </w:p>
    <w:p w14:paraId="7AC86212" w14:textId="77777777" w:rsidR="00FA4AA8" w:rsidRDefault="0015611F">
      <w:pPr>
        <w:spacing w:before="91"/>
        <w:ind w:left="167"/>
        <w:rPr>
          <w:b/>
          <w:sz w:val="28"/>
        </w:rPr>
      </w:pPr>
      <w:r>
        <w:rPr>
          <w:b/>
          <w:sz w:val="28"/>
        </w:rPr>
        <w:t>Notes to the Financial Statements</w:t>
      </w:r>
    </w:p>
    <w:p w14:paraId="7467380F" w14:textId="77777777" w:rsidR="00FA4AA8" w:rsidRDefault="0015611F">
      <w:pPr>
        <w:spacing w:before="54"/>
        <w:ind w:left="167"/>
        <w:rPr>
          <w:b/>
        </w:rPr>
      </w:pPr>
      <w:r>
        <w:rPr>
          <w:b/>
        </w:rPr>
        <w:t>For the Year Ended 31 December 2018</w:t>
      </w:r>
    </w:p>
    <w:p w14:paraId="36DE8A77" w14:textId="77777777" w:rsidR="00FA4AA8" w:rsidRDefault="00FA4AA8">
      <w:pPr>
        <w:pStyle w:val="BodyText"/>
        <w:rPr>
          <w:b/>
          <w:sz w:val="24"/>
        </w:rPr>
      </w:pPr>
    </w:p>
    <w:p w14:paraId="1272CA2E" w14:textId="77777777" w:rsidR="00FA4AA8" w:rsidRDefault="0015611F">
      <w:pPr>
        <w:spacing w:before="141"/>
        <w:ind w:left="170"/>
        <w:rPr>
          <w:b/>
          <w:sz w:val="18"/>
        </w:rPr>
      </w:pPr>
      <w:r>
        <w:rPr>
          <w:b/>
          <w:sz w:val="18"/>
        </w:rPr>
        <w:t>10 Intangible assets (Continued)</w:t>
      </w:r>
    </w:p>
    <w:p w14:paraId="58C2FD1C" w14:textId="77777777" w:rsidR="00FA4AA8" w:rsidRDefault="00FA4AA8">
      <w:pPr>
        <w:pStyle w:val="BodyText"/>
        <w:rPr>
          <w:b/>
          <w:sz w:val="20"/>
        </w:rPr>
      </w:pPr>
    </w:p>
    <w:p w14:paraId="4B74F011" w14:textId="77777777" w:rsidR="00FA4AA8" w:rsidRDefault="0015611F">
      <w:pPr>
        <w:spacing w:before="157"/>
        <w:ind w:left="564"/>
        <w:rPr>
          <w:i/>
          <w:sz w:val="18"/>
        </w:rPr>
      </w:pPr>
      <w:r>
        <w:rPr>
          <w:i/>
          <w:sz w:val="18"/>
          <w:u w:val="single"/>
        </w:rPr>
        <w:t>Accounting</w:t>
      </w:r>
      <w:r>
        <w:rPr>
          <w:i/>
          <w:spacing w:val="1"/>
          <w:sz w:val="18"/>
          <w:u w:val="single"/>
        </w:rPr>
        <w:t xml:space="preserve"> </w:t>
      </w:r>
      <w:r>
        <w:rPr>
          <w:i/>
          <w:sz w:val="18"/>
          <w:u w:val="single"/>
        </w:rPr>
        <w:t>policy</w:t>
      </w:r>
    </w:p>
    <w:p w14:paraId="602A8E4C" w14:textId="77777777" w:rsidR="00FA4AA8" w:rsidRDefault="00FA4AA8">
      <w:pPr>
        <w:pStyle w:val="BodyText"/>
        <w:spacing w:before="3"/>
        <w:rPr>
          <w:i/>
          <w:sz w:val="13"/>
        </w:rPr>
      </w:pPr>
    </w:p>
    <w:p w14:paraId="5BA1D672" w14:textId="77777777" w:rsidR="00FA4AA8" w:rsidRDefault="0015611F">
      <w:pPr>
        <w:pStyle w:val="BodyText"/>
        <w:spacing w:before="95"/>
        <w:ind w:left="564" w:right="201"/>
      </w:pPr>
      <w:r>
        <w:t>Costs incurred in developing products or systems and costs incurred in acquiring software and licences that contribute to future financial benefits through revenue generation and/or cost reduction, are capitalised in software and systems.</w:t>
      </w:r>
      <w:bookmarkStart w:id="160" w:name="11_Trade_and_other_payables_"/>
      <w:bookmarkEnd w:id="160"/>
      <w:r>
        <w:t xml:space="preserve"> Costs capitalised include external direct costs of materials and services and direct payroll and payroll related costs to employee's time spent on the project. Amortisation is calculated on a straight line basis over periods generally ranging from 3 to 5</w:t>
      </w:r>
      <w:r>
        <w:rPr>
          <w:spacing w:val="2"/>
        </w:rPr>
        <w:t xml:space="preserve"> </w:t>
      </w:r>
      <w:r>
        <w:t>years.</w:t>
      </w:r>
    </w:p>
    <w:p w14:paraId="6AACAF46" w14:textId="77777777" w:rsidR="00FA4AA8" w:rsidRDefault="00FA4AA8">
      <w:pPr>
        <w:pStyle w:val="BodyText"/>
        <w:rPr>
          <w:sz w:val="20"/>
        </w:rPr>
      </w:pPr>
    </w:p>
    <w:p w14:paraId="7DCD04CA" w14:textId="77777777" w:rsidR="00FA4AA8" w:rsidRDefault="00FA4AA8">
      <w:pPr>
        <w:pStyle w:val="BodyText"/>
        <w:rPr>
          <w:sz w:val="20"/>
        </w:rPr>
      </w:pPr>
    </w:p>
    <w:p w14:paraId="3D3DBCF5" w14:textId="77777777" w:rsidR="00FA4AA8" w:rsidRDefault="00FA4AA8">
      <w:pPr>
        <w:pStyle w:val="BodyText"/>
        <w:spacing w:before="1"/>
        <w:rPr>
          <w:sz w:val="13"/>
        </w:rPr>
      </w:pPr>
    </w:p>
    <w:tbl>
      <w:tblPr>
        <w:tblW w:w="0" w:type="auto"/>
        <w:tblInd w:w="127" w:type="dxa"/>
        <w:tblLayout w:type="fixed"/>
        <w:tblCellMar>
          <w:left w:w="0" w:type="dxa"/>
          <w:right w:w="0" w:type="dxa"/>
        </w:tblCellMar>
        <w:tblLook w:val="01E0" w:firstRow="1" w:lastRow="1" w:firstColumn="1" w:lastColumn="1" w:noHBand="0" w:noVBand="0"/>
      </w:tblPr>
      <w:tblGrid>
        <w:gridCol w:w="348"/>
        <w:gridCol w:w="7018"/>
        <w:gridCol w:w="1468"/>
        <w:gridCol w:w="1125"/>
      </w:tblGrid>
      <w:tr w:rsidR="00FA4AA8" w14:paraId="2D6A07C4" w14:textId="77777777">
        <w:trPr>
          <w:trHeight w:val="280"/>
        </w:trPr>
        <w:tc>
          <w:tcPr>
            <w:tcW w:w="348" w:type="dxa"/>
          </w:tcPr>
          <w:p w14:paraId="0486DB59" w14:textId="77777777" w:rsidR="00FA4AA8" w:rsidRDefault="0015611F">
            <w:pPr>
              <w:pStyle w:val="TableParagraph"/>
              <w:spacing w:line="201" w:lineRule="exact"/>
              <w:ind w:left="50"/>
              <w:rPr>
                <w:b/>
                <w:sz w:val="18"/>
              </w:rPr>
            </w:pPr>
            <w:r>
              <w:rPr>
                <w:b/>
                <w:sz w:val="18"/>
              </w:rPr>
              <w:t>11</w:t>
            </w:r>
          </w:p>
        </w:tc>
        <w:tc>
          <w:tcPr>
            <w:tcW w:w="7018" w:type="dxa"/>
          </w:tcPr>
          <w:p w14:paraId="44999EBA" w14:textId="77777777" w:rsidR="00FA4AA8" w:rsidRDefault="0015611F">
            <w:pPr>
              <w:pStyle w:val="TableParagraph"/>
              <w:spacing w:line="201" w:lineRule="exact"/>
              <w:ind w:left="95"/>
              <w:rPr>
                <w:b/>
                <w:sz w:val="18"/>
              </w:rPr>
            </w:pPr>
            <w:r>
              <w:rPr>
                <w:b/>
                <w:sz w:val="18"/>
              </w:rPr>
              <w:t>Trade and other payables</w:t>
            </w:r>
          </w:p>
        </w:tc>
        <w:tc>
          <w:tcPr>
            <w:tcW w:w="2593" w:type="dxa"/>
            <w:gridSpan w:val="2"/>
          </w:tcPr>
          <w:p w14:paraId="546B24A7" w14:textId="77777777" w:rsidR="00FA4AA8" w:rsidRDefault="00FA4AA8">
            <w:pPr>
              <w:pStyle w:val="TableParagraph"/>
              <w:rPr>
                <w:rFonts w:ascii="Times New Roman"/>
                <w:sz w:val="18"/>
              </w:rPr>
            </w:pPr>
          </w:p>
        </w:tc>
      </w:tr>
      <w:tr w:rsidR="00FA4AA8" w14:paraId="1907F450" w14:textId="77777777">
        <w:trPr>
          <w:trHeight w:val="316"/>
        </w:trPr>
        <w:tc>
          <w:tcPr>
            <w:tcW w:w="348" w:type="dxa"/>
          </w:tcPr>
          <w:p w14:paraId="57B8AFA9" w14:textId="77777777" w:rsidR="00FA4AA8" w:rsidRDefault="00FA4AA8">
            <w:pPr>
              <w:pStyle w:val="TableParagraph"/>
              <w:rPr>
                <w:rFonts w:ascii="Times New Roman"/>
                <w:sz w:val="18"/>
              </w:rPr>
            </w:pPr>
          </w:p>
        </w:tc>
        <w:tc>
          <w:tcPr>
            <w:tcW w:w="7018" w:type="dxa"/>
          </w:tcPr>
          <w:p w14:paraId="6337CED8" w14:textId="77777777" w:rsidR="00FA4AA8" w:rsidRDefault="00FA4AA8">
            <w:pPr>
              <w:pStyle w:val="TableParagraph"/>
              <w:rPr>
                <w:rFonts w:ascii="Times New Roman"/>
                <w:sz w:val="18"/>
              </w:rPr>
            </w:pPr>
          </w:p>
        </w:tc>
        <w:tc>
          <w:tcPr>
            <w:tcW w:w="1468" w:type="dxa"/>
          </w:tcPr>
          <w:p w14:paraId="6F07163F" w14:textId="77777777" w:rsidR="00FA4AA8" w:rsidRDefault="0015611F">
            <w:pPr>
              <w:pStyle w:val="TableParagraph"/>
              <w:spacing w:before="73"/>
              <w:ind w:left="443"/>
              <w:rPr>
                <w:b/>
                <w:sz w:val="18"/>
              </w:rPr>
            </w:pPr>
            <w:r>
              <w:rPr>
                <w:b/>
                <w:sz w:val="18"/>
              </w:rPr>
              <w:t>2018</w:t>
            </w:r>
          </w:p>
        </w:tc>
        <w:tc>
          <w:tcPr>
            <w:tcW w:w="1125" w:type="dxa"/>
          </w:tcPr>
          <w:p w14:paraId="7DED70A9" w14:textId="77777777" w:rsidR="00FA4AA8" w:rsidRDefault="0015611F">
            <w:pPr>
              <w:pStyle w:val="TableParagraph"/>
              <w:spacing w:before="73"/>
              <w:ind w:left="259"/>
              <w:rPr>
                <w:b/>
                <w:sz w:val="18"/>
              </w:rPr>
            </w:pPr>
            <w:r>
              <w:rPr>
                <w:b/>
                <w:sz w:val="18"/>
              </w:rPr>
              <w:t>2017</w:t>
            </w:r>
          </w:p>
        </w:tc>
      </w:tr>
      <w:tr w:rsidR="00FA4AA8" w14:paraId="0C8D2C1C" w14:textId="77777777">
        <w:trPr>
          <w:trHeight w:val="269"/>
        </w:trPr>
        <w:tc>
          <w:tcPr>
            <w:tcW w:w="348" w:type="dxa"/>
          </w:tcPr>
          <w:p w14:paraId="613470B6" w14:textId="77777777" w:rsidR="00FA4AA8" w:rsidRDefault="00FA4AA8">
            <w:pPr>
              <w:pStyle w:val="TableParagraph"/>
              <w:rPr>
                <w:rFonts w:ascii="Times New Roman"/>
                <w:sz w:val="18"/>
              </w:rPr>
            </w:pPr>
          </w:p>
        </w:tc>
        <w:tc>
          <w:tcPr>
            <w:tcW w:w="7018" w:type="dxa"/>
          </w:tcPr>
          <w:p w14:paraId="33D4D32E" w14:textId="77777777" w:rsidR="00FA4AA8" w:rsidRDefault="00FA4AA8">
            <w:pPr>
              <w:pStyle w:val="TableParagraph"/>
              <w:rPr>
                <w:rFonts w:ascii="Times New Roman"/>
                <w:sz w:val="18"/>
              </w:rPr>
            </w:pPr>
          </w:p>
        </w:tc>
        <w:tc>
          <w:tcPr>
            <w:tcW w:w="1468" w:type="dxa"/>
          </w:tcPr>
          <w:p w14:paraId="06B6561E" w14:textId="77777777" w:rsidR="00FA4AA8" w:rsidRDefault="0015611F">
            <w:pPr>
              <w:pStyle w:val="TableParagraph"/>
              <w:spacing w:before="30"/>
              <w:ind w:right="177"/>
              <w:jc w:val="center"/>
              <w:rPr>
                <w:b/>
                <w:sz w:val="18"/>
              </w:rPr>
            </w:pPr>
            <w:r>
              <w:rPr>
                <w:b/>
                <w:sz w:val="18"/>
              </w:rPr>
              <w:t>$</w:t>
            </w:r>
          </w:p>
        </w:tc>
        <w:tc>
          <w:tcPr>
            <w:tcW w:w="1125" w:type="dxa"/>
          </w:tcPr>
          <w:p w14:paraId="1C127E8A" w14:textId="77777777" w:rsidR="00FA4AA8" w:rsidRDefault="0015611F">
            <w:pPr>
              <w:pStyle w:val="TableParagraph"/>
              <w:spacing w:before="30"/>
              <w:ind w:right="202"/>
              <w:jc w:val="center"/>
              <w:rPr>
                <w:b/>
                <w:sz w:val="18"/>
              </w:rPr>
            </w:pPr>
            <w:r>
              <w:rPr>
                <w:b/>
                <w:sz w:val="18"/>
              </w:rPr>
              <w:t>$</w:t>
            </w:r>
          </w:p>
        </w:tc>
      </w:tr>
      <w:tr w:rsidR="00FA4AA8" w14:paraId="251FDED1" w14:textId="77777777">
        <w:trPr>
          <w:trHeight w:val="266"/>
        </w:trPr>
        <w:tc>
          <w:tcPr>
            <w:tcW w:w="348" w:type="dxa"/>
          </w:tcPr>
          <w:p w14:paraId="1EE1D596" w14:textId="77777777" w:rsidR="00FA4AA8" w:rsidRDefault="00FA4AA8">
            <w:pPr>
              <w:pStyle w:val="TableParagraph"/>
              <w:rPr>
                <w:rFonts w:ascii="Times New Roman"/>
                <w:sz w:val="18"/>
              </w:rPr>
            </w:pPr>
          </w:p>
        </w:tc>
        <w:tc>
          <w:tcPr>
            <w:tcW w:w="7018" w:type="dxa"/>
          </w:tcPr>
          <w:p w14:paraId="58CBA3CC" w14:textId="77777777" w:rsidR="00FA4AA8" w:rsidRDefault="0015611F">
            <w:pPr>
              <w:pStyle w:val="TableParagraph"/>
              <w:spacing w:before="26"/>
              <w:ind w:left="95"/>
              <w:rPr>
                <w:sz w:val="18"/>
              </w:rPr>
            </w:pPr>
            <w:r>
              <w:rPr>
                <w:sz w:val="18"/>
              </w:rPr>
              <w:t>Trade payables</w:t>
            </w:r>
          </w:p>
        </w:tc>
        <w:tc>
          <w:tcPr>
            <w:tcW w:w="1468" w:type="dxa"/>
          </w:tcPr>
          <w:p w14:paraId="1757ADD1" w14:textId="77777777" w:rsidR="00FA4AA8" w:rsidRDefault="0015611F">
            <w:pPr>
              <w:pStyle w:val="TableParagraph"/>
              <w:spacing w:before="29"/>
              <w:ind w:right="259"/>
              <w:jc w:val="right"/>
              <w:rPr>
                <w:b/>
                <w:sz w:val="18"/>
              </w:rPr>
            </w:pPr>
            <w:r>
              <w:rPr>
                <w:b/>
                <w:sz w:val="18"/>
              </w:rPr>
              <w:t>57,740</w:t>
            </w:r>
          </w:p>
        </w:tc>
        <w:tc>
          <w:tcPr>
            <w:tcW w:w="1125" w:type="dxa"/>
          </w:tcPr>
          <w:p w14:paraId="19B3E333" w14:textId="77777777" w:rsidR="00FA4AA8" w:rsidRDefault="0015611F">
            <w:pPr>
              <w:pStyle w:val="TableParagraph"/>
              <w:spacing w:before="29"/>
              <w:ind w:right="86"/>
              <w:jc w:val="right"/>
              <w:rPr>
                <w:sz w:val="18"/>
              </w:rPr>
            </w:pPr>
            <w:r>
              <w:rPr>
                <w:sz w:val="18"/>
              </w:rPr>
              <w:t>145,047</w:t>
            </w:r>
          </w:p>
        </w:tc>
      </w:tr>
      <w:tr w:rsidR="00FA4AA8" w14:paraId="37CA7A31" w14:textId="77777777">
        <w:trPr>
          <w:trHeight w:val="263"/>
        </w:trPr>
        <w:tc>
          <w:tcPr>
            <w:tcW w:w="348" w:type="dxa"/>
          </w:tcPr>
          <w:p w14:paraId="52B3AFBF" w14:textId="77777777" w:rsidR="00FA4AA8" w:rsidRDefault="00FA4AA8">
            <w:pPr>
              <w:pStyle w:val="TableParagraph"/>
              <w:rPr>
                <w:rFonts w:ascii="Times New Roman"/>
                <w:sz w:val="18"/>
              </w:rPr>
            </w:pPr>
          </w:p>
        </w:tc>
        <w:tc>
          <w:tcPr>
            <w:tcW w:w="7018" w:type="dxa"/>
          </w:tcPr>
          <w:p w14:paraId="526A1897" w14:textId="77777777" w:rsidR="00FA4AA8" w:rsidRDefault="0015611F">
            <w:pPr>
              <w:pStyle w:val="TableParagraph"/>
              <w:spacing w:before="24"/>
              <w:ind w:left="95"/>
              <w:rPr>
                <w:sz w:val="18"/>
              </w:rPr>
            </w:pPr>
            <w:r>
              <w:rPr>
                <w:sz w:val="18"/>
              </w:rPr>
              <w:t>Accrued expenses</w:t>
            </w:r>
          </w:p>
        </w:tc>
        <w:tc>
          <w:tcPr>
            <w:tcW w:w="1468" w:type="dxa"/>
          </w:tcPr>
          <w:p w14:paraId="4B3E2967" w14:textId="77777777" w:rsidR="00FA4AA8" w:rsidRDefault="0015611F">
            <w:pPr>
              <w:pStyle w:val="TableParagraph"/>
              <w:spacing w:before="26"/>
              <w:ind w:right="259"/>
              <w:jc w:val="right"/>
              <w:rPr>
                <w:b/>
                <w:sz w:val="18"/>
              </w:rPr>
            </w:pPr>
            <w:r>
              <w:rPr>
                <w:b/>
                <w:sz w:val="18"/>
              </w:rPr>
              <w:t>160,182</w:t>
            </w:r>
          </w:p>
        </w:tc>
        <w:tc>
          <w:tcPr>
            <w:tcW w:w="1125" w:type="dxa"/>
          </w:tcPr>
          <w:p w14:paraId="2AC73860" w14:textId="77777777" w:rsidR="00FA4AA8" w:rsidRDefault="0015611F">
            <w:pPr>
              <w:pStyle w:val="TableParagraph"/>
              <w:spacing w:before="26"/>
              <w:ind w:right="86"/>
              <w:jc w:val="right"/>
              <w:rPr>
                <w:sz w:val="18"/>
              </w:rPr>
            </w:pPr>
            <w:r>
              <w:rPr>
                <w:sz w:val="18"/>
              </w:rPr>
              <w:t>152,698</w:t>
            </w:r>
          </w:p>
        </w:tc>
      </w:tr>
      <w:tr w:rsidR="00FA4AA8" w14:paraId="255DEB6F" w14:textId="77777777">
        <w:trPr>
          <w:trHeight w:val="258"/>
        </w:trPr>
        <w:tc>
          <w:tcPr>
            <w:tcW w:w="348" w:type="dxa"/>
          </w:tcPr>
          <w:p w14:paraId="6DBE6FEE" w14:textId="77777777" w:rsidR="00FA4AA8" w:rsidRDefault="00FA4AA8">
            <w:pPr>
              <w:pStyle w:val="TableParagraph"/>
              <w:rPr>
                <w:rFonts w:ascii="Times New Roman"/>
                <w:sz w:val="18"/>
              </w:rPr>
            </w:pPr>
          </w:p>
        </w:tc>
        <w:tc>
          <w:tcPr>
            <w:tcW w:w="7018" w:type="dxa"/>
          </w:tcPr>
          <w:p w14:paraId="3DD8FE43" w14:textId="77777777" w:rsidR="00FA4AA8" w:rsidRDefault="0015611F">
            <w:pPr>
              <w:pStyle w:val="TableParagraph"/>
              <w:spacing w:before="24"/>
              <w:ind w:left="95"/>
              <w:rPr>
                <w:sz w:val="18"/>
              </w:rPr>
            </w:pPr>
            <w:r>
              <w:rPr>
                <w:sz w:val="18"/>
              </w:rPr>
              <w:t>Other payables</w:t>
            </w:r>
          </w:p>
        </w:tc>
        <w:tc>
          <w:tcPr>
            <w:tcW w:w="1468" w:type="dxa"/>
            <w:tcBorders>
              <w:bottom w:val="single" w:sz="8" w:space="0" w:color="000000"/>
            </w:tcBorders>
          </w:tcPr>
          <w:p w14:paraId="489F3378" w14:textId="77777777" w:rsidR="00FA4AA8" w:rsidRDefault="0015611F">
            <w:pPr>
              <w:pStyle w:val="TableParagraph"/>
              <w:spacing w:before="26"/>
              <w:ind w:right="259"/>
              <w:jc w:val="right"/>
              <w:rPr>
                <w:b/>
                <w:sz w:val="18"/>
              </w:rPr>
            </w:pPr>
            <w:r>
              <w:rPr>
                <w:b/>
                <w:sz w:val="18"/>
              </w:rPr>
              <w:t>24,783</w:t>
            </w:r>
          </w:p>
        </w:tc>
        <w:tc>
          <w:tcPr>
            <w:tcW w:w="1125" w:type="dxa"/>
            <w:tcBorders>
              <w:bottom w:val="single" w:sz="8" w:space="0" w:color="000000"/>
            </w:tcBorders>
          </w:tcPr>
          <w:p w14:paraId="1E866859" w14:textId="77777777" w:rsidR="00FA4AA8" w:rsidRDefault="0015611F">
            <w:pPr>
              <w:pStyle w:val="TableParagraph"/>
              <w:spacing w:before="26"/>
              <w:ind w:right="86"/>
              <w:jc w:val="right"/>
              <w:rPr>
                <w:sz w:val="18"/>
              </w:rPr>
            </w:pPr>
            <w:r>
              <w:rPr>
                <w:sz w:val="18"/>
              </w:rPr>
              <w:t>92,930</w:t>
            </w:r>
          </w:p>
        </w:tc>
      </w:tr>
      <w:tr w:rsidR="00FA4AA8" w14:paraId="3D9A97A5" w14:textId="77777777">
        <w:trPr>
          <w:trHeight w:val="320"/>
        </w:trPr>
        <w:tc>
          <w:tcPr>
            <w:tcW w:w="348" w:type="dxa"/>
          </w:tcPr>
          <w:p w14:paraId="1F1DD7A5" w14:textId="77777777" w:rsidR="00FA4AA8" w:rsidRDefault="00FA4AA8">
            <w:pPr>
              <w:pStyle w:val="TableParagraph"/>
              <w:rPr>
                <w:rFonts w:ascii="Times New Roman"/>
                <w:sz w:val="18"/>
              </w:rPr>
            </w:pPr>
          </w:p>
        </w:tc>
        <w:tc>
          <w:tcPr>
            <w:tcW w:w="7018" w:type="dxa"/>
          </w:tcPr>
          <w:p w14:paraId="56E69202" w14:textId="77777777" w:rsidR="00FA4AA8" w:rsidRDefault="00FA4AA8">
            <w:pPr>
              <w:pStyle w:val="TableParagraph"/>
              <w:rPr>
                <w:rFonts w:ascii="Times New Roman"/>
                <w:sz w:val="18"/>
              </w:rPr>
            </w:pPr>
          </w:p>
        </w:tc>
        <w:tc>
          <w:tcPr>
            <w:tcW w:w="1468" w:type="dxa"/>
            <w:tcBorders>
              <w:top w:val="single" w:sz="8" w:space="0" w:color="000000"/>
              <w:bottom w:val="double" w:sz="2" w:space="0" w:color="000000"/>
            </w:tcBorders>
          </w:tcPr>
          <w:p w14:paraId="667C31FD" w14:textId="77777777" w:rsidR="00FA4AA8" w:rsidRDefault="0015611F">
            <w:pPr>
              <w:pStyle w:val="TableParagraph"/>
              <w:spacing w:before="115" w:line="185" w:lineRule="exact"/>
              <w:ind w:right="259"/>
              <w:jc w:val="right"/>
              <w:rPr>
                <w:b/>
                <w:sz w:val="18"/>
              </w:rPr>
            </w:pPr>
            <w:r>
              <w:rPr>
                <w:b/>
                <w:sz w:val="18"/>
              </w:rPr>
              <w:t>242,705</w:t>
            </w:r>
          </w:p>
        </w:tc>
        <w:tc>
          <w:tcPr>
            <w:tcW w:w="1125" w:type="dxa"/>
            <w:tcBorders>
              <w:top w:val="single" w:sz="8" w:space="0" w:color="000000"/>
              <w:bottom w:val="double" w:sz="2" w:space="0" w:color="000000"/>
            </w:tcBorders>
          </w:tcPr>
          <w:p w14:paraId="459699E4" w14:textId="77777777" w:rsidR="00FA4AA8" w:rsidRDefault="0015611F">
            <w:pPr>
              <w:pStyle w:val="TableParagraph"/>
              <w:spacing w:before="115" w:line="185" w:lineRule="exact"/>
              <w:ind w:right="86"/>
              <w:jc w:val="right"/>
              <w:rPr>
                <w:sz w:val="18"/>
              </w:rPr>
            </w:pPr>
            <w:r>
              <w:rPr>
                <w:sz w:val="18"/>
              </w:rPr>
              <w:t>390,675</w:t>
            </w:r>
          </w:p>
        </w:tc>
      </w:tr>
      <w:tr w:rsidR="00FA4AA8" w14:paraId="72065641" w14:textId="77777777">
        <w:trPr>
          <w:trHeight w:val="499"/>
        </w:trPr>
        <w:tc>
          <w:tcPr>
            <w:tcW w:w="348" w:type="dxa"/>
          </w:tcPr>
          <w:p w14:paraId="6EB86A48" w14:textId="77777777" w:rsidR="00FA4AA8" w:rsidRDefault="00FA4AA8">
            <w:pPr>
              <w:pStyle w:val="TableParagraph"/>
              <w:rPr>
                <w:rFonts w:ascii="Times New Roman"/>
                <w:sz w:val="18"/>
              </w:rPr>
            </w:pPr>
          </w:p>
        </w:tc>
        <w:tc>
          <w:tcPr>
            <w:tcW w:w="7018" w:type="dxa"/>
          </w:tcPr>
          <w:p w14:paraId="33D24817" w14:textId="77777777" w:rsidR="00FA4AA8" w:rsidRDefault="00FA4AA8">
            <w:pPr>
              <w:pStyle w:val="TableParagraph"/>
              <w:spacing w:before="4"/>
              <w:rPr>
                <w:sz w:val="25"/>
              </w:rPr>
            </w:pPr>
          </w:p>
          <w:p w14:paraId="25245E9E" w14:textId="77777777" w:rsidR="00FA4AA8" w:rsidRDefault="0015611F">
            <w:pPr>
              <w:pStyle w:val="TableParagraph"/>
              <w:spacing w:line="187" w:lineRule="exact"/>
              <w:ind w:left="95"/>
              <w:rPr>
                <w:i/>
                <w:sz w:val="18"/>
              </w:rPr>
            </w:pPr>
            <w:r>
              <w:rPr>
                <w:i/>
                <w:sz w:val="18"/>
                <w:u w:val="single"/>
              </w:rPr>
              <w:t>Accounting Policy</w:t>
            </w:r>
          </w:p>
        </w:tc>
        <w:tc>
          <w:tcPr>
            <w:tcW w:w="1468" w:type="dxa"/>
            <w:tcBorders>
              <w:top w:val="double" w:sz="2" w:space="0" w:color="000000"/>
            </w:tcBorders>
          </w:tcPr>
          <w:p w14:paraId="7F4E9914" w14:textId="77777777" w:rsidR="00FA4AA8" w:rsidRDefault="00FA4AA8">
            <w:pPr>
              <w:pStyle w:val="TableParagraph"/>
              <w:rPr>
                <w:rFonts w:ascii="Times New Roman"/>
                <w:sz w:val="18"/>
              </w:rPr>
            </w:pPr>
          </w:p>
        </w:tc>
        <w:tc>
          <w:tcPr>
            <w:tcW w:w="1125" w:type="dxa"/>
            <w:tcBorders>
              <w:top w:val="double" w:sz="2" w:space="0" w:color="000000"/>
            </w:tcBorders>
          </w:tcPr>
          <w:p w14:paraId="055391A0" w14:textId="77777777" w:rsidR="00FA4AA8" w:rsidRDefault="00FA4AA8">
            <w:pPr>
              <w:pStyle w:val="TableParagraph"/>
              <w:rPr>
                <w:rFonts w:ascii="Times New Roman"/>
                <w:sz w:val="18"/>
              </w:rPr>
            </w:pPr>
          </w:p>
        </w:tc>
      </w:tr>
    </w:tbl>
    <w:p w14:paraId="7827DF1D" w14:textId="77777777" w:rsidR="00FA4AA8" w:rsidRDefault="00FA4AA8">
      <w:pPr>
        <w:pStyle w:val="BodyText"/>
        <w:spacing w:before="3"/>
        <w:rPr>
          <w:sz w:val="13"/>
        </w:rPr>
      </w:pPr>
    </w:p>
    <w:p w14:paraId="2CA76422" w14:textId="77777777" w:rsidR="00FA4AA8" w:rsidRDefault="0015611F">
      <w:pPr>
        <w:pStyle w:val="BodyText"/>
        <w:spacing w:before="95"/>
        <w:ind w:left="564" w:right="201"/>
      </w:pPr>
      <w:bookmarkStart w:id="161" w:name="12_Borrowings_from_the_Parent_"/>
      <w:bookmarkEnd w:id="161"/>
      <w:r>
        <w:t>These amounts represent liabilities for goods and services provided to the Company prior to the end of the financial year which are unpaid. The amounts are unsecured and are usually paid according to the credit terms agreed with the suppliers. Trade and other payables are presented as current liabilities unless payment is not due within 12 months from the reporting date.</w:t>
      </w:r>
    </w:p>
    <w:p w14:paraId="2CB924ED" w14:textId="77777777" w:rsidR="00FA4AA8" w:rsidRDefault="00FA4AA8">
      <w:pPr>
        <w:pStyle w:val="BodyText"/>
        <w:rPr>
          <w:sz w:val="20"/>
        </w:rPr>
      </w:pPr>
    </w:p>
    <w:p w14:paraId="55CA50E4" w14:textId="77777777" w:rsidR="00FA4AA8" w:rsidRDefault="00FA4AA8">
      <w:pPr>
        <w:pStyle w:val="BodyText"/>
        <w:spacing w:before="11"/>
        <w:rPr>
          <w:sz w:val="27"/>
        </w:rPr>
      </w:pPr>
    </w:p>
    <w:tbl>
      <w:tblPr>
        <w:tblW w:w="0" w:type="auto"/>
        <w:tblInd w:w="127" w:type="dxa"/>
        <w:tblLayout w:type="fixed"/>
        <w:tblCellMar>
          <w:left w:w="0" w:type="dxa"/>
          <w:right w:w="0" w:type="dxa"/>
        </w:tblCellMar>
        <w:tblLook w:val="01E0" w:firstRow="1" w:lastRow="1" w:firstColumn="1" w:lastColumn="1" w:noHBand="0" w:noVBand="0"/>
      </w:tblPr>
      <w:tblGrid>
        <w:gridCol w:w="348"/>
        <w:gridCol w:w="7020"/>
        <w:gridCol w:w="1469"/>
        <w:gridCol w:w="1124"/>
      </w:tblGrid>
      <w:tr w:rsidR="00FA4AA8" w14:paraId="695FE1E8" w14:textId="77777777">
        <w:trPr>
          <w:trHeight w:val="310"/>
        </w:trPr>
        <w:tc>
          <w:tcPr>
            <w:tcW w:w="348" w:type="dxa"/>
          </w:tcPr>
          <w:p w14:paraId="4D8E2EE4" w14:textId="77777777" w:rsidR="00FA4AA8" w:rsidRDefault="0015611F">
            <w:pPr>
              <w:pStyle w:val="TableParagraph"/>
              <w:spacing w:line="201" w:lineRule="exact"/>
              <w:ind w:left="50"/>
              <w:rPr>
                <w:b/>
                <w:sz w:val="18"/>
              </w:rPr>
            </w:pPr>
            <w:r>
              <w:rPr>
                <w:b/>
                <w:sz w:val="18"/>
              </w:rPr>
              <w:t>12</w:t>
            </w:r>
          </w:p>
        </w:tc>
        <w:tc>
          <w:tcPr>
            <w:tcW w:w="7020" w:type="dxa"/>
          </w:tcPr>
          <w:p w14:paraId="62A9C887" w14:textId="77777777" w:rsidR="00FA4AA8" w:rsidRDefault="0015611F">
            <w:pPr>
              <w:pStyle w:val="TableParagraph"/>
              <w:spacing w:line="201" w:lineRule="exact"/>
              <w:ind w:left="95"/>
              <w:rPr>
                <w:b/>
                <w:sz w:val="18"/>
              </w:rPr>
            </w:pPr>
            <w:r>
              <w:rPr>
                <w:b/>
                <w:sz w:val="18"/>
              </w:rPr>
              <w:t>Borrowings from the Parent</w:t>
            </w:r>
          </w:p>
        </w:tc>
        <w:tc>
          <w:tcPr>
            <w:tcW w:w="2593" w:type="dxa"/>
            <w:gridSpan w:val="2"/>
          </w:tcPr>
          <w:p w14:paraId="267ECBDF" w14:textId="77777777" w:rsidR="00FA4AA8" w:rsidRDefault="00FA4AA8">
            <w:pPr>
              <w:pStyle w:val="TableParagraph"/>
              <w:rPr>
                <w:rFonts w:ascii="Times New Roman"/>
                <w:sz w:val="18"/>
              </w:rPr>
            </w:pPr>
          </w:p>
        </w:tc>
      </w:tr>
      <w:tr w:rsidR="00FA4AA8" w14:paraId="6101A5AE" w14:textId="77777777">
        <w:trPr>
          <w:trHeight w:val="617"/>
        </w:trPr>
        <w:tc>
          <w:tcPr>
            <w:tcW w:w="348" w:type="dxa"/>
          </w:tcPr>
          <w:p w14:paraId="1E6A6E74" w14:textId="77777777" w:rsidR="00FA4AA8" w:rsidRDefault="00FA4AA8">
            <w:pPr>
              <w:pStyle w:val="TableParagraph"/>
              <w:rPr>
                <w:rFonts w:ascii="Times New Roman"/>
                <w:sz w:val="18"/>
              </w:rPr>
            </w:pPr>
          </w:p>
        </w:tc>
        <w:tc>
          <w:tcPr>
            <w:tcW w:w="7020" w:type="dxa"/>
          </w:tcPr>
          <w:p w14:paraId="741C2491" w14:textId="77777777" w:rsidR="00FA4AA8" w:rsidRDefault="00FA4AA8">
            <w:pPr>
              <w:pStyle w:val="TableParagraph"/>
              <w:rPr>
                <w:sz w:val="20"/>
              </w:rPr>
            </w:pPr>
          </w:p>
          <w:p w14:paraId="76B3B300" w14:textId="77777777" w:rsidR="00FA4AA8" w:rsidRDefault="0015611F">
            <w:pPr>
              <w:pStyle w:val="TableParagraph"/>
              <w:spacing w:before="147"/>
              <w:ind w:left="95"/>
              <w:rPr>
                <w:b/>
                <w:sz w:val="18"/>
              </w:rPr>
            </w:pPr>
            <w:r>
              <w:rPr>
                <w:b/>
                <w:sz w:val="18"/>
              </w:rPr>
              <w:t>Unsecured - current</w:t>
            </w:r>
          </w:p>
        </w:tc>
        <w:tc>
          <w:tcPr>
            <w:tcW w:w="1469" w:type="dxa"/>
          </w:tcPr>
          <w:p w14:paraId="66E70F98" w14:textId="77777777" w:rsidR="00FA4AA8" w:rsidRDefault="0015611F">
            <w:pPr>
              <w:pStyle w:val="TableParagraph"/>
              <w:spacing w:before="103"/>
              <w:ind w:left="198" w:right="398"/>
              <w:jc w:val="center"/>
              <w:rPr>
                <w:b/>
                <w:sz w:val="18"/>
              </w:rPr>
            </w:pPr>
            <w:r>
              <w:rPr>
                <w:b/>
                <w:sz w:val="18"/>
              </w:rPr>
              <w:t>2018</w:t>
            </w:r>
          </w:p>
          <w:p w14:paraId="494E1927" w14:textId="77777777" w:rsidR="00FA4AA8" w:rsidRDefault="0015611F">
            <w:pPr>
              <w:pStyle w:val="TableParagraph"/>
              <w:spacing w:before="67"/>
              <w:ind w:right="201"/>
              <w:jc w:val="center"/>
              <w:rPr>
                <w:b/>
                <w:sz w:val="18"/>
              </w:rPr>
            </w:pPr>
            <w:r>
              <w:rPr>
                <w:b/>
                <w:sz w:val="18"/>
              </w:rPr>
              <w:t>$</w:t>
            </w:r>
          </w:p>
        </w:tc>
        <w:tc>
          <w:tcPr>
            <w:tcW w:w="1124" w:type="dxa"/>
          </w:tcPr>
          <w:p w14:paraId="5427CC53" w14:textId="77777777" w:rsidR="00FA4AA8" w:rsidRDefault="0015611F">
            <w:pPr>
              <w:pStyle w:val="TableParagraph"/>
              <w:spacing w:before="103"/>
              <w:ind w:left="241" w:right="442"/>
              <w:jc w:val="center"/>
              <w:rPr>
                <w:b/>
                <w:sz w:val="18"/>
              </w:rPr>
            </w:pPr>
            <w:r>
              <w:rPr>
                <w:b/>
                <w:sz w:val="18"/>
              </w:rPr>
              <w:t>2017</w:t>
            </w:r>
          </w:p>
          <w:p w14:paraId="15D68038" w14:textId="77777777" w:rsidR="00FA4AA8" w:rsidRDefault="0015611F">
            <w:pPr>
              <w:pStyle w:val="TableParagraph"/>
              <w:spacing w:before="67"/>
              <w:ind w:right="202"/>
              <w:jc w:val="center"/>
              <w:rPr>
                <w:b/>
                <w:sz w:val="18"/>
              </w:rPr>
            </w:pPr>
            <w:r>
              <w:rPr>
                <w:b/>
                <w:sz w:val="18"/>
              </w:rPr>
              <w:t>$</w:t>
            </w:r>
          </w:p>
        </w:tc>
      </w:tr>
      <w:tr w:rsidR="00FA4AA8" w14:paraId="2BF6141D" w14:textId="77777777">
        <w:trPr>
          <w:trHeight w:val="260"/>
        </w:trPr>
        <w:tc>
          <w:tcPr>
            <w:tcW w:w="348" w:type="dxa"/>
          </w:tcPr>
          <w:p w14:paraId="173DED0A" w14:textId="77777777" w:rsidR="00FA4AA8" w:rsidRDefault="00FA4AA8">
            <w:pPr>
              <w:pStyle w:val="TableParagraph"/>
              <w:rPr>
                <w:rFonts w:ascii="Times New Roman"/>
                <w:sz w:val="18"/>
              </w:rPr>
            </w:pPr>
          </w:p>
        </w:tc>
        <w:tc>
          <w:tcPr>
            <w:tcW w:w="7020" w:type="dxa"/>
          </w:tcPr>
          <w:p w14:paraId="3DBB5088" w14:textId="77777777" w:rsidR="00FA4AA8" w:rsidRDefault="0015611F">
            <w:pPr>
              <w:pStyle w:val="TableParagraph"/>
              <w:spacing w:before="30"/>
              <w:ind w:left="95"/>
              <w:rPr>
                <w:sz w:val="18"/>
              </w:rPr>
            </w:pPr>
            <w:r>
              <w:rPr>
                <w:sz w:val="18"/>
              </w:rPr>
              <w:t>Loans from related parties</w:t>
            </w:r>
          </w:p>
        </w:tc>
        <w:tc>
          <w:tcPr>
            <w:tcW w:w="1469" w:type="dxa"/>
            <w:tcBorders>
              <w:bottom w:val="single" w:sz="8" w:space="0" w:color="000000"/>
            </w:tcBorders>
          </w:tcPr>
          <w:p w14:paraId="560D3836" w14:textId="77777777" w:rsidR="00FA4AA8" w:rsidRDefault="0015611F">
            <w:pPr>
              <w:pStyle w:val="TableParagraph"/>
              <w:spacing w:before="28"/>
              <w:ind w:right="258"/>
              <w:jc w:val="right"/>
              <w:rPr>
                <w:b/>
                <w:sz w:val="18"/>
              </w:rPr>
            </w:pPr>
            <w:r>
              <w:rPr>
                <w:b/>
                <w:sz w:val="18"/>
              </w:rPr>
              <w:t>2,679,303</w:t>
            </w:r>
          </w:p>
        </w:tc>
        <w:tc>
          <w:tcPr>
            <w:tcW w:w="1124" w:type="dxa"/>
            <w:tcBorders>
              <w:bottom w:val="single" w:sz="8" w:space="0" w:color="000000"/>
            </w:tcBorders>
          </w:tcPr>
          <w:p w14:paraId="54326268" w14:textId="77777777" w:rsidR="00FA4AA8" w:rsidRDefault="0015611F">
            <w:pPr>
              <w:pStyle w:val="TableParagraph"/>
              <w:spacing w:before="28"/>
              <w:ind w:right="86"/>
              <w:jc w:val="right"/>
              <w:rPr>
                <w:sz w:val="18"/>
              </w:rPr>
            </w:pPr>
            <w:r>
              <w:rPr>
                <w:sz w:val="18"/>
              </w:rPr>
              <w:t>799,365</w:t>
            </w:r>
          </w:p>
        </w:tc>
      </w:tr>
      <w:tr w:rsidR="00FA4AA8" w14:paraId="4032381B" w14:textId="77777777">
        <w:trPr>
          <w:trHeight w:val="320"/>
        </w:trPr>
        <w:tc>
          <w:tcPr>
            <w:tcW w:w="348" w:type="dxa"/>
          </w:tcPr>
          <w:p w14:paraId="1A6E5855" w14:textId="77777777" w:rsidR="00FA4AA8" w:rsidRDefault="00FA4AA8">
            <w:pPr>
              <w:pStyle w:val="TableParagraph"/>
              <w:rPr>
                <w:rFonts w:ascii="Times New Roman"/>
                <w:sz w:val="18"/>
              </w:rPr>
            </w:pPr>
          </w:p>
        </w:tc>
        <w:tc>
          <w:tcPr>
            <w:tcW w:w="7020" w:type="dxa"/>
          </w:tcPr>
          <w:p w14:paraId="163F6669" w14:textId="77777777" w:rsidR="00FA4AA8" w:rsidRDefault="0015611F">
            <w:pPr>
              <w:pStyle w:val="TableParagraph"/>
              <w:spacing w:before="115" w:line="185" w:lineRule="exact"/>
              <w:ind w:left="95"/>
              <w:rPr>
                <w:b/>
                <w:sz w:val="18"/>
              </w:rPr>
            </w:pPr>
            <w:r>
              <w:rPr>
                <w:b/>
                <w:sz w:val="18"/>
              </w:rPr>
              <w:t>Total current borrowings</w:t>
            </w:r>
          </w:p>
        </w:tc>
        <w:tc>
          <w:tcPr>
            <w:tcW w:w="1469" w:type="dxa"/>
            <w:tcBorders>
              <w:top w:val="single" w:sz="8" w:space="0" w:color="000000"/>
              <w:bottom w:val="double" w:sz="2" w:space="0" w:color="000000"/>
            </w:tcBorders>
          </w:tcPr>
          <w:p w14:paraId="19488018" w14:textId="77777777" w:rsidR="00FA4AA8" w:rsidRDefault="0015611F">
            <w:pPr>
              <w:pStyle w:val="TableParagraph"/>
              <w:spacing w:before="115" w:line="185" w:lineRule="exact"/>
              <w:ind w:right="258"/>
              <w:jc w:val="right"/>
              <w:rPr>
                <w:b/>
                <w:sz w:val="18"/>
              </w:rPr>
            </w:pPr>
            <w:r>
              <w:rPr>
                <w:b/>
                <w:sz w:val="18"/>
              </w:rPr>
              <w:t>2,679,303</w:t>
            </w:r>
          </w:p>
        </w:tc>
        <w:tc>
          <w:tcPr>
            <w:tcW w:w="1124" w:type="dxa"/>
            <w:tcBorders>
              <w:top w:val="single" w:sz="8" w:space="0" w:color="000000"/>
              <w:bottom w:val="double" w:sz="2" w:space="0" w:color="000000"/>
            </w:tcBorders>
          </w:tcPr>
          <w:p w14:paraId="0D66EA2B" w14:textId="77777777" w:rsidR="00FA4AA8" w:rsidRDefault="0015611F">
            <w:pPr>
              <w:pStyle w:val="TableParagraph"/>
              <w:spacing w:before="115" w:line="185" w:lineRule="exact"/>
              <w:ind w:right="86"/>
              <w:jc w:val="right"/>
              <w:rPr>
                <w:sz w:val="18"/>
              </w:rPr>
            </w:pPr>
            <w:r>
              <w:rPr>
                <w:sz w:val="18"/>
              </w:rPr>
              <w:t>799,365</w:t>
            </w:r>
          </w:p>
        </w:tc>
      </w:tr>
    </w:tbl>
    <w:p w14:paraId="619F3E65" w14:textId="77777777" w:rsidR="00FA4AA8" w:rsidRDefault="00FA4AA8">
      <w:pPr>
        <w:pStyle w:val="BodyText"/>
        <w:spacing w:before="10"/>
        <w:rPr>
          <w:sz w:val="17"/>
        </w:rPr>
      </w:pPr>
    </w:p>
    <w:p w14:paraId="352999AF" w14:textId="77777777" w:rsidR="00FA4AA8" w:rsidRDefault="0015611F">
      <w:pPr>
        <w:pStyle w:val="BodyText"/>
        <w:spacing w:before="95" w:line="573" w:lineRule="auto"/>
        <w:ind w:left="564"/>
      </w:pPr>
      <w:r>
        <w:t>During the current financial period the Company borrowing facility was further increased by $1M to a maximum $3.5M. Western Unlimited Ltd has an unused borrowing facility to the value of $0.821M (2017: $1.701M).</w:t>
      </w:r>
    </w:p>
    <w:p w14:paraId="17F9A51F" w14:textId="77777777" w:rsidR="00FA4AA8" w:rsidRDefault="0015611F">
      <w:pPr>
        <w:pStyle w:val="BodyText"/>
        <w:ind w:left="564"/>
      </w:pPr>
      <w:r>
        <w:t>Borrowings are classified as current liabilities unless the Company has an unconditional right to defer settlement of the liability for at least 12 months after the reporting period.</w:t>
      </w:r>
    </w:p>
    <w:p w14:paraId="5F4041DE" w14:textId="77777777" w:rsidR="00FA4AA8" w:rsidRDefault="00FA4AA8">
      <w:pPr>
        <w:sectPr w:rsidR="00FA4AA8">
          <w:pgSz w:w="11910" w:h="16840"/>
          <w:pgMar w:top="1460" w:right="840" w:bottom="720" w:left="840" w:header="1016" w:footer="523" w:gutter="0"/>
          <w:cols w:space="720"/>
        </w:sectPr>
      </w:pPr>
    </w:p>
    <w:p w14:paraId="3F2BD6E9" w14:textId="77777777" w:rsidR="00FA4AA8" w:rsidRDefault="00FA4AA8">
      <w:pPr>
        <w:pStyle w:val="BodyText"/>
        <w:spacing w:before="6"/>
        <w:rPr>
          <w:sz w:val="21"/>
        </w:rPr>
      </w:pPr>
    </w:p>
    <w:p w14:paraId="0FE08CC1" w14:textId="77777777" w:rsidR="00FA4AA8" w:rsidRDefault="0015611F">
      <w:pPr>
        <w:pStyle w:val="Heading2"/>
      </w:pPr>
      <w:bookmarkStart w:id="162" w:name="13_Employee_benefit_provisions_"/>
      <w:bookmarkEnd w:id="162"/>
      <w:r>
        <w:t>Notes to the Financial Statements</w:t>
      </w:r>
    </w:p>
    <w:p w14:paraId="34846F01" w14:textId="77777777" w:rsidR="00FA4AA8" w:rsidRDefault="0015611F">
      <w:pPr>
        <w:pStyle w:val="Heading6"/>
        <w:ind w:left="167"/>
      </w:pPr>
      <w:r>
        <w:t>For the Year Ended 31 December 2018</w:t>
      </w:r>
    </w:p>
    <w:p w14:paraId="57A33741" w14:textId="77777777" w:rsidR="00FA4AA8" w:rsidRDefault="00FA4AA8">
      <w:pPr>
        <w:pStyle w:val="BodyText"/>
        <w:rPr>
          <w:b/>
          <w:sz w:val="20"/>
        </w:rPr>
      </w:pPr>
    </w:p>
    <w:p w14:paraId="2B8B93CD" w14:textId="77777777" w:rsidR="00FA4AA8" w:rsidRDefault="00FA4AA8">
      <w:pPr>
        <w:pStyle w:val="BodyText"/>
        <w:spacing w:before="9"/>
        <w:rPr>
          <w:b/>
          <w:sz w:val="16"/>
        </w:rPr>
      </w:pPr>
    </w:p>
    <w:tbl>
      <w:tblPr>
        <w:tblW w:w="0" w:type="auto"/>
        <w:tblInd w:w="127" w:type="dxa"/>
        <w:tblLayout w:type="fixed"/>
        <w:tblCellMar>
          <w:left w:w="0" w:type="dxa"/>
          <w:right w:w="0" w:type="dxa"/>
        </w:tblCellMar>
        <w:tblLook w:val="01E0" w:firstRow="1" w:lastRow="1" w:firstColumn="1" w:lastColumn="1" w:noHBand="0" w:noVBand="0"/>
      </w:tblPr>
      <w:tblGrid>
        <w:gridCol w:w="348"/>
        <w:gridCol w:w="7021"/>
        <w:gridCol w:w="1468"/>
        <w:gridCol w:w="1124"/>
      </w:tblGrid>
      <w:tr w:rsidR="00FA4AA8" w14:paraId="413FE7BD" w14:textId="77777777">
        <w:trPr>
          <w:trHeight w:val="1054"/>
        </w:trPr>
        <w:tc>
          <w:tcPr>
            <w:tcW w:w="348" w:type="dxa"/>
          </w:tcPr>
          <w:p w14:paraId="24B1FB7D" w14:textId="77777777" w:rsidR="00FA4AA8" w:rsidRDefault="0015611F">
            <w:pPr>
              <w:pStyle w:val="TableParagraph"/>
              <w:spacing w:line="201" w:lineRule="exact"/>
              <w:ind w:left="50"/>
              <w:rPr>
                <w:b/>
                <w:sz w:val="18"/>
              </w:rPr>
            </w:pPr>
            <w:r>
              <w:rPr>
                <w:b/>
                <w:sz w:val="18"/>
              </w:rPr>
              <w:t>13</w:t>
            </w:r>
          </w:p>
        </w:tc>
        <w:tc>
          <w:tcPr>
            <w:tcW w:w="7021" w:type="dxa"/>
          </w:tcPr>
          <w:p w14:paraId="5B099FFC" w14:textId="77777777" w:rsidR="00FA4AA8" w:rsidRDefault="0015611F">
            <w:pPr>
              <w:pStyle w:val="TableParagraph"/>
              <w:spacing w:line="201" w:lineRule="exact"/>
              <w:ind w:left="96"/>
              <w:rPr>
                <w:b/>
                <w:sz w:val="18"/>
              </w:rPr>
            </w:pPr>
            <w:r>
              <w:rPr>
                <w:b/>
                <w:sz w:val="18"/>
              </w:rPr>
              <w:t>Employee benefit provisions</w:t>
            </w:r>
          </w:p>
          <w:p w14:paraId="1B4B5B85" w14:textId="77777777" w:rsidR="00FA4AA8" w:rsidRDefault="00FA4AA8">
            <w:pPr>
              <w:pStyle w:val="TableParagraph"/>
              <w:rPr>
                <w:b/>
                <w:sz w:val="20"/>
              </w:rPr>
            </w:pPr>
          </w:p>
          <w:p w14:paraId="3502B00B" w14:textId="77777777" w:rsidR="00FA4AA8" w:rsidRDefault="00FA4AA8">
            <w:pPr>
              <w:pStyle w:val="TableParagraph"/>
              <w:rPr>
                <w:b/>
                <w:sz w:val="20"/>
              </w:rPr>
            </w:pPr>
          </w:p>
          <w:p w14:paraId="43286EB6" w14:textId="77777777" w:rsidR="00FA4AA8" w:rsidRDefault="0015611F">
            <w:pPr>
              <w:pStyle w:val="TableParagraph"/>
              <w:spacing w:before="166" w:line="206" w:lineRule="exact"/>
              <w:ind w:left="95"/>
              <w:rPr>
                <w:b/>
                <w:sz w:val="18"/>
              </w:rPr>
            </w:pPr>
            <w:r>
              <w:rPr>
                <w:b/>
                <w:sz w:val="18"/>
              </w:rPr>
              <w:t>Current provisions expected to be settled within 12 months.</w:t>
            </w:r>
          </w:p>
        </w:tc>
        <w:tc>
          <w:tcPr>
            <w:tcW w:w="1468" w:type="dxa"/>
          </w:tcPr>
          <w:p w14:paraId="012C185C" w14:textId="77777777" w:rsidR="00FA4AA8" w:rsidRDefault="00FA4AA8">
            <w:pPr>
              <w:pStyle w:val="TableParagraph"/>
              <w:rPr>
                <w:rFonts w:ascii="Times New Roman"/>
                <w:sz w:val="18"/>
              </w:rPr>
            </w:pPr>
          </w:p>
        </w:tc>
        <w:tc>
          <w:tcPr>
            <w:tcW w:w="1124" w:type="dxa"/>
          </w:tcPr>
          <w:p w14:paraId="13AF258A" w14:textId="77777777" w:rsidR="00FA4AA8" w:rsidRDefault="00FA4AA8">
            <w:pPr>
              <w:pStyle w:val="TableParagraph"/>
              <w:rPr>
                <w:rFonts w:ascii="Times New Roman"/>
                <w:sz w:val="18"/>
              </w:rPr>
            </w:pPr>
          </w:p>
        </w:tc>
      </w:tr>
      <w:tr w:rsidR="00FA4AA8" w14:paraId="5E952E15" w14:textId="77777777">
        <w:trPr>
          <w:trHeight w:val="256"/>
        </w:trPr>
        <w:tc>
          <w:tcPr>
            <w:tcW w:w="348" w:type="dxa"/>
          </w:tcPr>
          <w:p w14:paraId="4BAA2360" w14:textId="77777777" w:rsidR="00FA4AA8" w:rsidRDefault="00FA4AA8">
            <w:pPr>
              <w:pStyle w:val="TableParagraph"/>
              <w:rPr>
                <w:rFonts w:ascii="Times New Roman"/>
                <w:sz w:val="18"/>
              </w:rPr>
            </w:pPr>
          </w:p>
        </w:tc>
        <w:tc>
          <w:tcPr>
            <w:tcW w:w="7021" w:type="dxa"/>
          </w:tcPr>
          <w:p w14:paraId="591BF6A3" w14:textId="77777777" w:rsidR="00FA4AA8" w:rsidRDefault="00FA4AA8">
            <w:pPr>
              <w:pStyle w:val="TableParagraph"/>
              <w:rPr>
                <w:rFonts w:ascii="Times New Roman"/>
                <w:sz w:val="18"/>
              </w:rPr>
            </w:pPr>
          </w:p>
        </w:tc>
        <w:tc>
          <w:tcPr>
            <w:tcW w:w="1468" w:type="dxa"/>
          </w:tcPr>
          <w:p w14:paraId="20D1A01C" w14:textId="77777777" w:rsidR="00FA4AA8" w:rsidRDefault="0015611F">
            <w:pPr>
              <w:pStyle w:val="TableParagraph"/>
              <w:spacing w:before="13"/>
              <w:ind w:left="444"/>
              <w:rPr>
                <w:b/>
                <w:sz w:val="18"/>
              </w:rPr>
            </w:pPr>
            <w:r>
              <w:rPr>
                <w:b/>
                <w:sz w:val="18"/>
              </w:rPr>
              <w:t>2018</w:t>
            </w:r>
          </w:p>
        </w:tc>
        <w:tc>
          <w:tcPr>
            <w:tcW w:w="1124" w:type="dxa"/>
          </w:tcPr>
          <w:p w14:paraId="24F8244C" w14:textId="77777777" w:rsidR="00FA4AA8" w:rsidRDefault="0015611F">
            <w:pPr>
              <w:pStyle w:val="TableParagraph"/>
              <w:spacing w:before="13"/>
              <w:ind w:left="260"/>
              <w:rPr>
                <w:b/>
                <w:sz w:val="18"/>
              </w:rPr>
            </w:pPr>
            <w:r>
              <w:rPr>
                <w:b/>
                <w:sz w:val="18"/>
              </w:rPr>
              <w:t>2017</w:t>
            </w:r>
          </w:p>
        </w:tc>
      </w:tr>
      <w:tr w:rsidR="00FA4AA8" w14:paraId="280774A2" w14:textId="77777777">
        <w:trPr>
          <w:trHeight w:val="271"/>
        </w:trPr>
        <w:tc>
          <w:tcPr>
            <w:tcW w:w="348" w:type="dxa"/>
          </w:tcPr>
          <w:p w14:paraId="1C15B77E" w14:textId="77777777" w:rsidR="00FA4AA8" w:rsidRDefault="00FA4AA8">
            <w:pPr>
              <w:pStyle w:val="TableParagraph"/>
              <w:rPr>
                <w:rFonts w:ascii="Times New Roman"/>
                <w:sz w:val="18"/>
              </w:rPr>
            </w:pPr>
          </w:p>
        </w:tc>
        <w:tc>
          <w:tcPr>
            <w:tcW w:w="7021" w:type="dxa"/>
          </w:tcPr>
          <w:p w14:paraId="082D2AC7" w14:textId="77777777" w:rsidR="00FA4AA8" w:rsidRDefault="00FA4AA8">
            <w:pPr>
              <w:pStyle w:val="TableParagraph"/>
              <w:rPr>
                <w:rFonts w:ascii="Times New Roman"/>
                <w:sz w:val="18"/>
              </w:rPr>
            </w:pPr>
          </w:p>
        </w:tc>
        <w:tc>
          <w:tcPr>
            <w:tcW w:w="1468" w:type="dxa"/>
          </w:tcPr>
          <w:p w14:paraId="47CECB24" w14:textId="77777777" w:rsidR="00FA4AA8" w:rsidRDefault="0015611F">
            <w:pPr>
              <w:pStyle w:val="TableParagraph"/>
              <w:spacing w:before="30"/>
              <w:ind w:right="173"/>
              <w:jc w:val="center"/>
              <w:rPr>
                <w:b/>
                <w:sz w:val="18"/>
              </w:rPr>
            </w:pPr>
            <w:r>
              <w:rPr>
                <w:b/>
                <w:sz w:val="18"/>
              </w:rPr>
              <w:t>$</w:t>
            </w:r>
          </w:p>
        </w:tc>
        <w:tc>
          <w:tcPr>
            <w:tcW w:w="1124" w:type="dxa"/>
          </w:tcPr>
          <w:p w14:paraId="6353FC6B" w14:textId="77777777" w:rsidR="00FA4AA8" w:rsidRDefault="0015611F">
            <w:pPr>
              <w:pStyle w:val="TableParagraph"/>
              <w:spacing w:before="30"/>
              <w:ind w:right="197"/>
              <w:jc w:val="center"/>
              <w:rPr>
                <w:b/>
                <w:sz w:val="18"/>
              </w:rPr>
            </w:pPr>
            <w:r>
              <w:rPr>
                <w:b/>
                <w:sz w:val="18"/>
              </w:rPr>
              <w:t>$</w:t>
            </w:r>
          </w:p>
        </w:tc>
      </w:tr>
      <w:tr w:rsidR="00FA4AA8" w14:paraId="2ED0A0FA" w14:textId="77777777">
        <w:trPr>
          <w:trHeight w:val="267"/>
        </w:trPr>
        <w:tc>
          <w:tcPr>
            <w:tcW w:w="348" w:type="dxa"/>
          </w:tcPr>
          <w:p w14:paraId="41122393" w14:textId="77777777" w:rsidR="00FA4AA8" w:rsidRDefault="00FA4AA8">
            <w:pPr>
              <w:pStyle w:val="TableParagraph"/>
              <w:rPr>
                <w:rFonts w:ascii="Times New Roman"/>
                <w:sz w:val="18"/>
              </w:rPr>
            </w:pPr>
          </w:p>
        </w:tc>
        <w:tc>
          <w:tcPr>
            <w:tcW w:w="7021" w:type="dxa"/>
          </w:tcPr>
          <w:p w14:paraId="6FEB8522" w14:textId="77777777" w:rsidR="00FA4AA8" w:rsidRDefault="0015611F">
            <w:pPr>
              <w:pStyle w:val="TableParagraph"/>
              <w:spacing w:before="30"/>
              <w:ind w:left="95"/>
              <w:rPr>
                <w:sz w:val="18"/>
              </w:rPr>
            </w:pPr>
            <w:r>
              <w:rPr>
                <w:sz w:val="18"/>
              </w:rPr>
              <w:t>Annual leave</w:t>
            </w:r>
          </w:p>
        </w:tc>
        <w:tc>
          <w:tcPr>
            <w:tcW w:w="1468" w:type="dxa"/>
          </w:tcPr>
          <w:p w14:paraId="395F552D" w14:textId="77777777" w:rsidR="00FA4AA8" w:rsidRDefault="0015611F">
            <w:pPr>
              <w:pStyle w:val="TableParagraph"/>
              <w:spacing w:before="28"/>
              <w:ind w:right="258"/>
              <w:jc w:val="right"/>
              <w:rPr>
                <w:b/>
                <w:sz w:val="18"/>
              </w:rPr>
            </w:pPr>
            <w:r>
              <w:rPr>
                <w:b/>
                <w:sz w:val="18"/>
              </w:rPr>
              <w:t>105,406</w:t>
            </w:r>
          </w:p>
        </w:tc>
        <w:tc>
          <w:tcPr>
            <w:tcW w:w="1124" w:type="dxa"/>
          </w:tcPr>
          <w:p w14:paraId="19536183" w14:textId="77777777" w:rsidR="00FA4AA8" w:rsidRDefault="0015611F">
            <w:pPr>
              <w:pStyle w:val="TableParagraph"/>
              <w:spacing w:before="28"/>
              <w:ind w:right="83"/>
              <w:jc w:val="right"/>
              <w:rPr>
                <w:sz w:val="18"/>
              </w:rPr>
            </w:pPr>
            <w:r>
              <w:rPr>
                <w:sz w:val="18"/>
              </w:rPr>
              <w:t>143,874</w:t>
            </w:r>
          </w:p>
        </w:tc>
      </w:tr>
      <w:tr w:rsidR="00FA4AA8" w14:paraId="3FC3AD46" w14:textId="77777777">
        <w:trPr>
          <w:trHeight w:val="256"/>
        </w:trPr>
        <w:tc>
          <w:tcPr>
            <w:tcW w:w="348" w:type="dxa"/>
          </w:tcPr>
          <w:p w14:paraId="14BC6E1D" w14:textId="77777777" w:rsidR="00FA4AA8" w:rsidRDefault="00FA4AA8">
            <w:pPr>
              <w:pStyle w:val="TableParagraph"/>
              <w:rPr>
                <w:rFonts w:ascii="Times New Roman"/>
                <w:sz w:val="18"/>
              </w:rPr>
            </w:pPr>
          </w:p>
        </w:tc>
        <w:tc>
          <w:tcPr>
            <w:tcW w:w="7021" w:type="dxa"/>
          </w:tcPr>
          <w:p w14:paraId="1BD91977" w14:textId="77777777" w:rsidR="00FA4AA8" w:rsidRDefault="0015611F">
            <w:pPr>
              <w:pStyle w:val="TableParagraph"/>
              <w:spacing w:before="26"/>
              <w:ind w:left="95"/>
              <w:rPr>
                <w:sz w:val="18"/>
              </w:rPr>
            </w:pPr>
            <w:r>
              <w:rPr>
                <w:sz w:val="18"/>
              </w:rPr>
              <w:t>Long service leave</w:t>
            </w:r>
          </w:p>
        </w:tc>
        <w:tc>
          <w:tcPr>
            <w:tcW w:w="1468" w:type="dxa"/>
            <w:tcBorders>
              <w:bottom w:val="single" w:sz="8" w:space="0" w:color="000000"/>
            </w:tcBorders>
          </w:tcPr>
          <w:p w14:paraId="72B2B648" w14:textId="77777777" w:rsidR="00FA4AA8" w:rsidRDefault="0015611F">
            <w:pPr>
              <w:pStyle w:val="TableParagraph"/>
              <w:spacing w:before="24"/>
              <w:ind w:right="258"/>
              <w:jc w:val="right"/>
              <w:rPr>
                <w:b/>
                <w:sz w:val="18"/>
              </w:rPr>
            </w:pPr>
            <w:r>
              <w:rPr>
                <w:b/>
                <w:sz w:val="18"/>
              </w:rPr>
              <w:t>85,062</w:t>
            </w:r>
          </w:p>
        </w:tc>
        <w:tc>
          <w:tcPr>
            <w:tcW w:w="1124" w:type="dxa"/>
            <w:tcBorders>
              <w:bottom w:val="single" w:sz="8" w:space="0" w:color="000000"/>
            </w:tcBorders>
          </w:tcPr>
          <w:p w14:paraId="4D07D002" w14:textId="77777777" w:rsidR="00FA4AA8" w:rsidRDefault="0015611F">
            <w:pPr>
              <w:pStyle w:val="TableParagraph"/>
              <w:spacing w:before="24"/>
              <w:ind w:right="83"/>
              <w:jc w:val="right"/>
              <w:rPr>
                <w:sz w:val="18"/>
              </w:rPr>
            </w:pPr>
            <w:r>
              <w:rPr>
                <w:sz w:val="18"/>
              </w:rPr>
              <w:t>53,785</w:t>
            </w:r>
          </w:p>
        </w:tc>
      </w:tr>
      <w:tr w:rsidR="00FA4AA8" w14:paraId="75A40CD7" w14:textId="77777777">
        <w:trPr>
          <w:trHeight w:val="318"/>
        </w:trPr>
        <w:tc>
          <w:tcPr>
            <w:tcW w:w="348" w:type="dxa"/>
          </w:tcPr>
          <w:p w14:paraId="50DB3A62" w14:textId="77777777" w:rsidR="00FA4AA8" w:rsidRDefault="00FA4AA8">
            <w:pPr>
              <w:pStyle w:val="TableParagraph"/>
              <w:rPr>
                <w:rFonts w:ascii="Times New Roman"/>
                <w:sz w:val="18"/>
              </w:rPr>
            </w:pPr>
          </w:p>
        </w:tc>
        <w:tc>
          <w:tcPr>
            <w:tcW w:w="7021" w:type="dxa"/>
          </w:tcPr>
          <w:p w14:paraId="055BA748" w14:textId="77777777" w:rsidR="00FA4AA8" w:rsidRDefault="0015611F">
            <w:pPr>
              <w:pStyle w:val="TableParagraph"/>
              <w:spacing w:before="115" w:line="183" w:lineRule="exact"/>
              <w:ind w:left="95"/>
              <w:rPr>
                <w:sz w:val="18"/>
              </w:rPr>
            </w:pPr>
            <w:r>
              <w:rPr>
                <w:sz w:val="18"/>
              </w:rPr>
              <w:t>Total current provisions</w:t>
            </w:r>
          </w:p>
        </w:tc>
        <w:tc>
          <w:tcPr>
            <w:tcW w:w="1468" w:type="dxa"/>
            <w:tcBorders>
              <w:top w:val="single" w:sz="8" w:space="0" w:color="000000"/>
              <w:bottom w:val="single" w:sz="8" w:space="0" w:color="000000"/>
            </w:tcBorders>
          </w:tcPr>
          <w:p w14:paraId="282D3B4A" w14:textId="77777777" w:rsidR="00FA4AA8" w:rsidRDefault="0015611F">
            <w:pPr>
              <w:pStyle w:val="TableParagraph"/>
              <w:spacing w:before="115" w:line="183" w:lineRule="exact"/>
              <w:ind w:right="258"/>
              <w:jc w:val="right"/>
              <w:rPr>
                <w:b/>
                <w:sz w:val="18"/>
              </w:rPr>
            </w:pPr>
            <w:r>
              <w:rPr>
                <w:b/>
                <w:sz w:val="18"/>
              </w:rPr>
              <w:t>190,468</w:t>
            </w:r>
          </w:p>
        </w:tc>
        <w:tc>
          <w:tcPr>
            <w:tcW w:w="1124" w:type="dxa"/>
            <w:tcBorders>
              <w:top w:val="single" w:sz="8" w:space="0" w:color="000000"/>
              <w:bottom w:val="single" w:sz="8" w:space="0" w:color="000000"/>
            </w:tcBorders>
          </w:tcPr>
          <w:p w14:paraId="6A486052" w14:textId="77777777" w:rsidR="00FA4AA8" w:rsidRDefault="0015611F">
            <w:pPr>
              <w:pStyle w:val="TableParagraph"/>
              <w:spacing w:before="115" w:line="183" w:lineRule="exact"/>
              <w:ind w:right="83"/>
              <w:jc w:val="right"/>
              <w:rPr>
                <w:sz w:val="18"/>
              </w:rPr>
            </w:pPr>
            <w:r>
              <w:rPr>
                <w:sz w:val="18"/>
              </w:rPr>
              <w:t>197,659</w:t>
            </w:r>
          </w:p>
        </w:tc>
      </w:tr>
      <w:tr w:rsidR="00FA4AA8" w14:paraId="78FB446C" w14:textId="77777777">
        <w:trPr>
          <w:trHeight w:val="773"/>
        </w:trPr>
        <w:tc>
          <w:tcPr>
            <w:tcW w:w="348" w:type="dxa"/>
          </w:tcPr>
          <w:p w14:paraId="318D9941" w14:textId="77777777" w:rsidR="00FA4AA8" w:rsidRDefault="00FA4AA8">
            <w:pPr>
              <w:pStyle w:val="TableParagraph"/>
              <w:rPr>
                <w:rFonts w:ascii="Times New Roman"/>
                <w:sz w:val="18"/>
              </w:rPr>
            </w:pPr>
          </w:p>
        </w:tc>
        <w:tc>
          <w:tcPr>
            <w:tcW w:w="7021" w:type="dxa"/>
          </w:tcPr>
          <w:p w14:paraId="203D23EA" w14:textId="77777777" w:rsidR="00FA4AA8" w:rsidRDefault="00FA4AA8">
            <w:pPr>
              <w:pStyle w:val="TableParagraph"/>
              <w:spacing w:before="2"/>
              <w:rPr>
                <w:b/>
                <w:sz w:val="25"/>
              </w:rPr>
            </w:pPr>
          </w:p>
          <w:p w14:paraId="64977E8E" w14:textId="77777777" w:rsidR="00FA4AA8" w:rsidRDefault="0015611F">
            <w:pPr>
              <w:pStyle w:val="TableParagraph"/>
              <w:spacing w:before="1"/>
              <w:ind w:left="95"/>
              <w:rPr>
                <w:b/>
                <w:sz w:val="18"/>
              </w:rPr>
            </w:pPr>
            <w:r>
              <w:rPr>
                <w:b/>
                <w:sz w:val="18"/>
              </w:rPr>
              <w:t>Current provisions expected to be settled after more than 12 months</w:t>
            </w:r>
          </w:p>
        </w:tc>
        <w:tc>
          <w:tcPr>
            <w:tcW w:w="1468" w:type="dxa"/>
            <w:tcBorders>
              <w:top w:val="single" w:sz="8" w:space="0" w:color="000000"/>
            </w:tcBorders>
          </w:tcPr>
          <w:p w14:paraId="22DEF06B" w14:textId="77777777" w:rsidR="00FA4AA8" w:rsidRDefault="00FA4AA8">
            <w:pPr>
              <w:pStyle w:val="TableParagraph"/>
              <w:rPr>
                <w:b/>
                <w:sz w:val="20"/>
              </w:rPr>
            </w:pPr>
          </w:p>
          <w:p w14:paraId="5DBA02C0" w14:textId="77777777" w:rsidR="00FA4AA8" w:rsidRDefault="00FA4AA8">
            <w:pPr>
              <w:pStyle w:val="TableParagraph"/>
              <w:spacing w:before="1"/>
              <w:rPr>
                <w:b/>
                <w:sz w:val="26"/>
              </w:rPr>
            </w:pPr>
          </w:p>
          <w:p w14:paraId="44085D56" w14:textId="77777777" w:rsidR="00FA4AA8" w:rsidRDefault="0015611F">
            <w:pPr>
              <w:pStyle w:val="TableParagraph"/>
              <w:ind w:left="444"/>
              <w:rPr>
                <w:b/>
                <w:sz w:val="18"/>
              </w:rPr>
            </w:pPr>
            <w:r>
              <w:rPr>
                <w:b/>
                <w:sz w:val="18"/>
              </w:rPr>
              <w:t>2018</w:t>
            </w:r>
          </w:p>
        </w:tc>
        <w:tc>
          <w:tcPr>
            <w:tcW w:w="1124" w:type="dxa"/>
            <w:tcBorders>
              <w:top w:val="single" w:sz="8" w:space="0" w:color="000000"/>
            </w:tcBorders>
          </w:tcPr>
          <w:p w14:paraId="0FF18110" w14:textId="77777777" w:rsidR="00FA4AA8" w:rsidRDefault="00FA4AA8">
            <w:pPr>
              <w:pStyle w:val="TableParagraph"/>
              <w:rPr>
                <w:b/>
                <w:sz w:val="20"/>
              </w:rPr>
            </w:pPr>
          </w:p>
          <w:p w14:paraId="3EF10DF7" w14:textId="77777777" w:rsidR="00FA4AA8" w:rsidRDefault="00FA4AA8">
            <w:pPr>
              <w:pStyle w:val="TableParagraph"/>
              <w:spacing w:before="1"/>
              <w:rPr>
                <w:b/>
                <w:sz w:val="26"/>
              </w:rPr>
            </w:pPr>
          </w:p>
          <w:p w14:paraId="40B19DB0" w14:textId="77777777" w:rsidR="00FA4AA8" w:rsidRDefault="0015611F">
            <w:pPr>
              <w:pStyle w:val="TableParagraph"/>
              <w:ind w:left="260"/>
              <w:rPr>
                <w:b/>
                <w:sz w:val="18"/>
              </w:rPr>
            </w:pPr>
            <w:r>
              <w:rPr>
                <w:b/>
                <w:sz w:val="18"/>
              </w:rPr>
              <w:t>2017</w:t>
            </w:r>
          </w:p>
        </w:tc>
      </w:tr>
      <w:tr w:rsidR="00FA4AA8" w14:paraId="060EC22F" w14:textId="77777777">
        <w:trPr>
          <w:trHeight w:val="271"/>
        </w:trPr>
        <w:tc>
          <w:tcPr>
            <w:tcW w:w="348" w:type="dxa"/>
          </w:tcPr>
          <w:p w14:paraId="5A7CDB1E" w14:textId="77777777" w:rsidR="00FA4AA8" w:rsidRDefault="00FA4AA8">
            <w:pPr>
              <w:pStyle w:val="TableParagraph"/>
              <w:rPr>
                <w:rFonts w:ascii="Times New Roman"/>
                <w:sz w:val="18"/>
              </w:rPr>
            </w:pPr>
          </w:p>
        </w:tc>
        <w:tc>
          <w:tcPr>
            <w:tcW w:w="7021" w:type="dxa"/>
          </w:tcPr>
          <w:p w14:paraId="02EEFFB8" w14:textId="77777777" w:rsidR="00FA4AA8" w:rsidRDefault="00FA4AA8">
            <w:pPr>
              <w:pStyle w:val="TableParagraph"/>
              <w:rPr>
                <w:rFonts w:ascii="Times New Roman"/>
                <w:sz w:val="18"/>
              </w:rPr>
            </w:pPr>
          </w:p>
        </w:tc>
        <w:tc>
          <w:tcPr>
            <w:tcW w:w="1468" w:type="dxa"/>
          </w:tcPr>
          <w:p w14:paraId="25D4E5F3" w14:textId="77777777" w:rsidR="00FA4AA8" w:rsidRDefault="0015611F">
            <w:pPr>
              <w:pStyle w:val="TableParagraph"/>
              <w:spacing w:before="30"/>
              <w:ind w:right="173"/>
              <w:jc w:val="center"/>
              <w:rPr>
                <w:b/>
                <w:sz w:val="18"/>
              </w:rPr>
            </w:pPr>
            <w:r>
              <w:rPr>
                <w:b/>
                <w:sz w:val="18"/>
              </w:rPr>
              <w:t>$</w:t>
            </w:r>
          </w:p>
        </w:tc>
        <w:tc>
          <w:tcPr>
            <w:tcW w:w="1124" w:type="dxa"/>
          </w:tcPr>
          <w:p w14:paraId="73866648" w14:textId="77777777" w:rsidR="00FA4AA8" w:rsidRDefault="0015611F">
            <w:pPr>
              <w:pStyle w:val="TableParagraph"/>
              <w:spacing w:before="30"/>
              <w:ind w:right="197"/>
              <w:jc w:val="center"/>
              <w:rPr>
                <w:b/>
                <w:sz w:val="18"/>
              </w:rPr>
            </w:pPr>
            <w:r>
              <w:rPr>
                <w:b/>
                <w:sz w:val="18"/>
              </w:rPr>
              <w:t>$</w:t>
            </w:r>
          </w:p>
        </w:tc>
      </w:tr>
      <w:tr w:rsidR="00FA4AA8" w14:paraId="77762104" w14:textId="77777777">
        <w:trPr>
          <w:trHeight w:val="267"/>
        </w:trPr>
        <w:tc>
          <w:tcPr>
            <w:tcW w:w="348" w:type="dxa"/>
          </w:tcPr>
          <w:p w14:paraId="7F3C3972" w14:textId="77777777" w:rsidR="00FA4AA8" w:rsidRDefault="00FA4AA8">
            <w:pPr>
              <w:pStyle w:val="TableParagraph"/>
              <w:rPr>
                <w:rFonts w:ascii="Times New Roman"/>
                <w:sz w:val="18"/>
              </w:rPr>
            </w:pPr>
          </w:p>
        </w:tc>
        <w:tc>
          <w:tcPr>
            <w:tcW w:w="7021" w:type="dxa"/>
          </w:tcPr>
          <w:p w14:paraId="4474C958" w14:textId="77777777" w:rsidR="00FA4AA8" w:rsidRDefault="0015611F">
            <w:pPr>
              <w:pStyle w:val="TableParagraph"/>
              <w:spacing w:before="30"/>
              <w:ind w:left="95"/>
              <w:rPr>
                <w:sz w:val="18"/>
              </w:rPr>
            </w:pPr>
            <w:r>
              <w:rPr>
                <w:sz w:val="18"/>
              </w:rPr>
              <w:t>Annual leave</w:t>
            </w:r>
          </w:p>
        </w:tc>
        <w:tc>
          <w:tcPr>
            <w:tcW w:w="1468" w:type="dxa"/>
          </w:tcPr>
          <w:p w14:paraId="4F5D036B" w14:textId="77777777" w:rsidR="00FA4AA8" w:rsidRDefault="0015611F">
            <w:pPr>
              <w:pStyle w:val="TableParagraph"/>
              <w:spacing w:before="28"/>
              <w:ind w:right="258"/>
              <w:jc w:val="right"/>
              <w:rPr>
                <w:b/>
                <w:sz w:val="18"/>
              </w:rPr>
            </w:pPr>
            <w:r>
              <w:rPr>
                <w:b/>
                <w:sz w:val="18"/>
              </w:rPr>
              <w:t>14,592</w:t>
            </w:r>
          </w:p>
        </w:tc>
        <w:tc>
          <w:tcPr>
            <w:tcW w:w="1124" w:type="dxa"/>
          </w:tcPr>
          <w:p w14:paraId="3E590087" w14:textId="77777777" w:rsidR="00FA4AA8" w:rsidRDefault="0015611F">
            <w:pPr>
              <w:pStyle w:val="TableParagraph"/>
              <w:spacing w:before="28"/>
              <w:ind w:right="83"/>
              <w:jc w:val="right"/>
              <w:rPr>
                <w:sz w:val="18"/>
              </w:rPr>
            </w:pPr>
            <w:r>
              <w:rPr>
                <w:sz w:val="18"/>
              </w:rPr>
              <w:t>61,567</w:t>
            </w:r>
          </w:p>
        </w:tc>
      </w:tr>
      <w:tr w:rsidR="00FA4AA8" w14:paraId="11559914" w14:textId="77777777">
        <w:trPr>
          <w:trHeight w:val="256"/>
        </w:trPr>
        <w:tc>
          <w:tcPr>
            <w:tcW w:w="348" w:type="dxa"/>
          </w:tcPr>
          <w:p w14:paraId="09DD9ED4" w14:textId="77777777" w:rsidR="00FA4AA8" w:rsidRDefault="00FA4AA8">
            <w:pPr>
              <w:pStyle w:val="TableParagraph"/>
              <w:rPr>
                <w:rFonts w:ascii="Times New Roman"/>
                <w:sz w:val="18"/>
              </w:rPr>
            </w:pPr>
          </w:p>
        </w:tc>
        <w:tc>
          <w:tcPr>
            <w:tcW w:w="7021" w:type="dxa"/>
          </w:tcPr>
          <w:p w14:paraId="1622CE9C" w14:textId="77777777" w:rsidR="00FA4AA8" w:rsidRDefault="0015611F">
            <w:pPr>
              <w:pStyle w:val="TableParagraph"/>
              <w:spacing w:before="26"/>
              <w:ind w:left="95"/>
              <w:rPr>
                <w:sz w:val="18"/>
              </w:rPr>
            </w:pPr>
            <w:r>
              <w:rPr>
                <w:sz w:val="18"/>
              </w:rPr>
              <w:t>Long service leave</w:t>
            </w:r>
          </w:p>
        </w:tc>
        <w:tc>
          <w:tcPr>
            <w:tcW w:w="1468" w:type="dxa"/>
            <w:tcBorders>
              <w:bottom w:val="single" w:sz="8" w:space="0" w:color="000000"/>
            </w:tcBorders>
          </w:tcPr>
          <w:p w14:paraId="505CF4DD" w14:textId="77777777" w:rsidR="00FA4AA8" w:rsidRDefault="0015611F">
            <w:pPr>
              <w:pStyle w:val="TableParagraph"/>
              <w:spacing w:before="24"/>
              <w:ind w:right="258"/>
              <w:jc w:val="right"/>
              <w:rPr>
                <w:b/>
                <w:sz w:val="18"/>
              </w:rPr>
            </w:pPr>
            <w:r>
              <w:rPr>
                <w:b/>
                <w:sz w:val="18"/>
              </w:rPr>
              <w:t>33,644</w:t>
            </w:r>
          </w:p>
        </w:tc>
        <w:tc>
          <w:tcPr>
            <w:tcW w:w="1124" w:type="dxa"/>
            <w:tcBorders>
              <w:bottom w:val="single" w:sz="8" w:space="0" w:color="000000"/>
            </w:tcBorders>
          </w:tcPr>
          <w:p w14:paraId="192A92FC" w14:textId="77777777" w:rsidR="00FA4AA8" w:rsidRDefault="0015611F">
            <w:pPr>
              <w:pStyle w:val="TableParagraph"/>
              <w:spacing w:before="24"/>
              <w:ind w:right="83"/>
              <w:jc w:val="right"/>
              <w:rPr>
                <w:sz w:val="18"/>
              </w:rPr>
            </w:pPr>
            <w:r>
              <w:rPr>
                <w:sz w:val="18"/>
              </w:rPr>
              <w:t>115,000</w:t>
            </w:r>
          </w:p>
        </w:tc>
      </w:tr>
      <w:tr w:rsidR="00FA4AA8" w14:paraId="3492B487" w14:textId="77777777">
        <w:trPr>
          <w:trHeight w:val="318"/>
        </w:trPr>
        <w:tc>
          <w:tcPr>
            <w:tcW w:w="348" w:type="dxa"/>
          </w:tcPr>
          <w:p w14:paraId="1BDE4B57" w14:textId="77777777" w:rsidR="00FA4AA8" w:rsidRDefault="00FA4AA8">
            <w:pPr>
              <w:pStyle w:val="TableParagraph"/>
              <w:rPr>
                <w:rFonts w:ascii="Times New Roman"/>
                <w:sz w:val="18"/>
              </w:rPr>
            </w:pPr>
          </w:p>
        </w:tc>
        <w:tc>
          <w:tcPr>
            <w:tcW w:w="7021" w:type="dxa"/>
          </w:tcPr>
          <w:p w14:paraId="39FD0F7D" w14:textId="77777777" w:rsidR="00FA4AA8" w:rsidRDefault="00FA4AA8">
            <w:pPr>
              <w:pStyle w:val="TableParagraph"/>
              <w:rPr>
                <w:rFonts w:ascii="Times New Roman"/>
                <w:sz w:val="18"/>
              </w:rPr>
            </w:pPr>
          </w:p>
        </w:tc>
        <w:tc>
          <w:tcPr>
            <w:tcW w:w="1468" w:type="dxa"/>
            <w:tcBorders>
              <w:top w:val="single" w:sz="8" w:space="0" w:color="000000"/>
              <w:bottom w:val="single" w:sz="8" w:space="0" w:color="000000"/>
            </w:tcBorders>
          </w:tcPr>
          <w:p w14:paraId="3C4801CE" w14:textId="77777777" w:rsidR="00FA4AA8" w:rsidRDefault="0015611F">
            <w:pPr>
              <w:pStyle w:val="TableParagraph"/>
              <w:spacing w:before="115" w:line="183" w:lineRule="exact"/>
              <w:ind w:right="258"/>
              <w:jc w:val="right"/>
              <w:rPr>
                <w:b/>
                <w:sz w:val="18"/>
              </w:rPr>
            </w:pPr>
            <w:r>
              <w:rPr>
                <w:b/>
                <w:sz w:val="18"/>
              </w:rPr>
              <w:t>48,236</w:t>
            </w:r>
          </w:p>
        </w:tc>
        <w:tc>
          <w:tcPr>
            <w:tcW w:w="1124" w:type="dxa"/>
            <w:tcBorders>
              <w:top w:val="single" w:sz="8" w:space="0" w:color="000000"/>
              <w:bottom w:val="single" w:sz="8" w:space="0" w:color="000000"/>
            </w:tcBorders>
          </w:tcPr>
          <w:p w14:paraId="317A1C0C" w14:textId="77777777" w:rsidR="00FA4AA8" w:rsidRDefault="0015611F">
            <w:pPr>
              <w:pStyle w:val="TableParagraph"/>
              <w:spacing w:before="115" w:line="183" w:lineRule="exact"/>
              <w:ind w:right="83"/>
              <w:jc w:val="right"/>
              <w:rPr>
                <w:sz w:val="18"/>
              </w:rPr>
            </w:pPr>
            <w:r>
              <w:rPr>
                <w:sz w:val="18"/>
              </w:rPr>
              <w:t>176,567</w:t>
            </w:r>
          </w:p>
        </w:tc>
      </w:tr>
      <w:tr w:rsidR="00FA4AA8" w14:paraId="1D66ED29" w14:textId="77777777">
        <w:trPr>
          <w:trHeight w:val="320"/>
        </w:trPr>
        <w:tc>
          <w:tcPr>
            <w:tcW w:w="348" w:type="dxa"/>
          </w:tcPr>
          <w:p w14:paraId="7B247369" w14:textId="77777777" w:rsidR="00FA4AA8" w:rsidRDefault="00FA4AA8">
            <w:pPr>
              <w:pStyle w:val="TableParagraph"/>
              <w:rPr>
                <w:rFonts w:ascii="Times New Roman"/>
                <w:sz w:val="18"/>
              </w:rPr>
            </w:pPr>
          </w:p>
        </w:tc>
        <w:tc>
          <w:tcPr>
            <w:tcW w:w="7021" w:type="dxa"/>
          </w:tcPr>
          <w:p w14:paraId="406C7137" w14:textId="77777777" w:rsidR="00FA4AA8" w:rsidRDefault="0015611F">
            <w:pPr>
              <w:pStyle w:val="TableParagraph"/>
              <w:spacing w:before="115" w:line="185" w:lineRule="exact"/>
              <w:ind w:left="95"/>
              <w:rPr>
                <w:b/>
                <w:sz w:val="18"/>
              </w:rPr>
            </w:pPr>
            <w:r>
              <w:rPr>
                <w:b/>
                <w:sz w:val="18"/>
              </w:rPr>
              <w:t>Total current provisions</w:t>
            </w:r>
          </w:p>
        </w:tc>
        <w:tc>
          <w:tcPr>
            <w:tcW w:w="1468" w:type="dxa"/>
            <w:tcBorders>
              <w:top w:val="single" w:sz="8" w:space="0" w:color="000000"/>
              <w:bottom w:val="double" w:sz="2" w:space="0" w:color="000000"/>
            </w:tcBorders>
          </w:tcPr>
          <w:p w14:paraId="1B401E61" w14:textId="77777777" w:rsidR="00FA4AA8" w:rsidRDefault="0015611F">
            <w:pPr>
              <w:pStyle w:val="TableParagraph"/>
              <w:spacing w:before="115" w:line="185" w:lineRule="exact"/>
              <w:ind w:right="258"/>
              <w:jc w:val="right"/>
              <w:rPr>
                <w:b/>
                <w:sz w:val="18"/>
              </w:rPr>
            </w:pPr>
            <w:r>
              <w:rPr>
                <w:b/>
                <w:sz w:val="18"/>
              </w:rPr>
              <w:t>238,704</w:t>
            </w:r>
          </w:p>
        </w:tc>
        <w:tc>
          <w:tcPr>
            <w:tcW w:w="1124" w:type="dxa"/>
            <w:tcBorders>
              <w:top w:val="single" w:sz="8" w:space="0" w:color="000000"/>
              <w:bottom w:val="double" w:sz="2" w:space="0" w:color="000000"/>
            </w:tcBorders>
          </w:tcPr>
          <w:p w14:paraId="05DA2916" w14:textId="77777777" w:rsidR="00FA4AA8" w:rsidRDefault="0015611F">
            <w:pPr>
              <w:pStyle w:val="TableParagraph"/>
              <w:spacing w:before="115" w:line="185" w:lineRule="exact"/>
              <w:ind w:right="83"/>
              <w:jc w:val="right"/>
              <w:rPr>
                <w:sz w:val="18"/>
              </w:rPr>
            </w:pPr>
            <w:r>
              <w:rPr>
                <w:sz w:val="18"/>
              </w:rPr>
              <w:t>374,226</w:t>
            </w:r>
          </w:p>
        </w:tc>
      </w:tr>
      <w:tr w:rsidR="00FA4AA8" w14:paraId="3C3FE9E2" w14:textId="77777777">
        <w:trPr>
          <w:trHeight w:val="599"/>
        </w:trPr>
        <w:tc>
          <w:tcPr>
            <w:tcW w:w="348" w:type="dxa"/>
          </w:tcPr>
          <w:p w14:paraId="10A51244" w14:textId="77777777" w:rsidR="00FA4AA8" w:rsidRDefault="00FA4AA8">
            <w:pPr>
              <w:pStyle w:val="TableParagraph"/>
              <w:rPr>
                <w:rFonts w:ascii="Times New Roman"/>
                <w:sz w:val="18"/>
              </w:rPr>
            </w:pPr>
          </w:p>
        </w:tc>
        <w:tc>
          <w:tcPr>
            <w:tcW w:w="7021" w:type="dxa"/>
          </w:tcPr>
          <w:p w14:paraId="27BA8269" w14:textId="77777777" w:rsidR="00FA4AA8" w:rsidRDefault="00FA4AA8">
            <w:pPr>
              <w:pStyle w:val="TableParagraph"/>
              <w:spacing w:before="4"/>
              <w:rPr>
                <w:b/>
                <w:sz w:val="25"/>
              </w:rPr>
            </w:pPr>
          </w:p>
          <w:p w14:paraId="3929C977" w14:textId="77777777" w:rsidR="00FA4AA8" w:rsidRDefault="0015611F">
            <w:pPr>
              <w:pStyle w:val="TableParagraph"/>
              <w:ind w:left="95"/>
              <w:rPr>
                <w:b/>
                <w:sz w:val="18"/>
              </w:rPr>
            </w:pPr>
            <w:r>
              <w:rPr>
                <w:b/>
                <w:sz w:val="18"/>
              </w:rPr>
              <w:t>Non-current provisions</w:t>
            </w:r>
          </w:p>
        </w:tc>
        <w:tc>
          <w:tcPr>
            <w:tcW w:w="1468" w:type="dxa"/>
            <w:tcBorders>
              <w:top w:val="double" w:sz="2" w:space="0" w:color="000000"/>
            </w:tcBorders>
          </w:tcPr>
          <w:p w14:paraId="1322B379" w14:textId="77777777" w:rsidR="00FA4AA8" w:rsidRDefault="00FA4AA8">
            <w:pPr>
              <w:pStyle w:val="TableParagraph"/>
              <w:rPr>
                <w:rFonts w:ascii="Times New Roman"/>
                <w:sz w:val="18"/>
              </w:rPr>
            </w:pPr>
          </w:p>
        </w:tc>
        <w:tc>
          <w:tcPr>
            <w:tcW w:w="1124" w:type="dxa"/>
            <w:tcBorders>
              <w:top w:val="double" w:sz="2" w:space="0" w:color="000000"/>
            </w:tcBorders>
          </w:tcPr>
          <w:p w14:paraId="354BE93F" w14:textId="77777777" w:rsidR="00FA4AA8" w:rsidRDefault="00FA4AA8">
            <w:pPr>
              <w:pStyle w:val="TableParagraph"/>
              <w:rPr>
                <w:rFonts w:ascii="Times New Roman"/>
                <w:sz w:val="18"/>
              </w:rPr>
            </w:pPr>
          </w:p>
        </w:tc>
      </w:tr>
      <w:tr w:rsidR="00FA4AA8" w14:paraId="22238364" w14:textId="77777777">
        <w:trPr>
          <w:trHeight w:val="337"/>
        </w:trPr>
        <w:tc>
          <w:tcPr>
            <w:tcW w:w="348" w:type="dxa"/>
          </w:tcPr>
          <w:p w14:paraId="7AFC4E54" w14:textId="77777777" w:rsidR="00FA4AA8" w:rsidRDefault="00FA4AA8">
            <w:pPr>
              <w:pStyle w:val="TableParagraph"/>
              <w:rPr>
                <w:rFonts w:ascii="Times New Roman"/>
                <w:sz w:val="18"/>
              </w:rPr>
            </w:pPr>
          </w:p>
        </w:tc>
        <w:tc>
          <w:tcPr>
            <w:tcW w:w="7021" w:type="dxa"/>
          </w:tcPr>
          <w:p w14:paraId="3C55D471" w14:textId="77777777" w:rsidR="00FA4AA8" w:rsidRDefault="00FA4AA8">
            <w:pPr>
              <w:pStyle w:val="TableParagraph"/>
              <w:rPr>
                <w:rFonts w:ascii="Times New Roman"/>
                <w:sz w:val="18"/>
              </w:rPr>
            </w:pPr>
          </w:p>
        </w:tc>
        <w:tc>
          <w:tcPr>
            <w:tcW w:w="1468" w:type="dxa"/>
          </w:tcPr>
          <w:p w14:paraId="43C3CA7E" w14:textId="77777777" w:rsidR="00FA4AA8" w:rsidRDefault="0015611F">
            <w:pPr>
              <w:pStyle w:val="TableParagraph"/>
              <w:spacing w:before="94"/>
              <w:ind w:left="430"/>
              <w:rPr>
                <w:b/>
                <w:sz w:val="18"/>
              </w:rPr>
            </w:pPr>
            <w:r>
              <w:rPr>
                <w:b/>
                <w:sz w:val="18"/>
              </w:rPr>
              <w:t>2018</w:t>
            </w:r>
          </w:p>
        </w:tc>
        <w:tc>
          <w:tcPr>
            <w:tcW w:w="1124" w:type="dxa"/>
          </w:tcPr>
          <w:p w14:paraId="493C1CA3" w14:textId="77777777" w:rsidR="00FA4AA8" w:rsidRDefault="0015611F">
            <w:pPr>
              <w:pStyle w:val="TableParagraph"/>
              <w:spacing w:before="94"/>
              <w:ind w:left="258"/>
              <w:rPr>
                <w:b/>
                <w:sz w:val="18"/>
              </w:rPr>
            </w:pPr>
            <w:r>
              <w:rPr>
                <w:b/>
                <w:sz w:val="18"/>
              </w:rPr>
              <w:t>2017</w:t>
            </w:r>
          </w:p>
        </w:tc>
      </w:tr>
      <w:tr w:rsidR="00FA4AA8" w14:paraId="6944BAA4" w14:textId="77777777">
        <w:trPr>
          <w:trHeight w:val="271"/>
        </w:trPr>
        <w:tc>
          <w:tcPr>
            <w:tcW w:w="348" w:type="dxa"/>
          </w:tcPr>
          <w:p w14:paraId="47745591" w14:textId="77777777" w:rsidR="00FA4AA8" w:rsidRDefault="00FA4AA8">
            <w:pPr>
              <w:pStyle w:val="TableParagraph"/>
              <w:rPr>
                <w:rFonts w:ascii="Times New Roman"/>
                <w:sz w:val="18"/>
              </w:rPr>
            </w:pPr>
          </w:p>
        </w:tc>
        <w:tc>
          <w:tcPr>
            <w:tcW w:w="7021" w:type="dxa"/>
          </w:tcPr>
          <w:p w14:paraId="55036508" w14:textId="77777777" w:rsidR="00FA4AA8" w:rsidRDefault="00FA4AA8">
            <w:pPr>
              <w:pStyle w:val="TableParagraph"/>
              <w:rPr>
                <w:rFonts w:ascii="Times New Roman"/>
                <w:sz w:val="18"/>
              </w:rPr>
            </w:pPr>
          </w:p>
        </w:tc>
        <w:tc>
          <w:tcPr>
            <w:tcW w:w="1468" w:type="dxa"/>
          </w:tcPr>
          <w:p w14:paraId="7E47B713" w14:textId="77777777" w:rsidR="00FA4AA8" w:rsidRDefault="0015611F">
            <w:pPr>
              <w:pStyle w:val="TableParagraph"/>
              <w:spacing w:before="30"/>
              <w:ind w:right="202"/>
              <w:jc w:val="center"/>
              <w:rPr>
                <w:b/>
                <w:sz w:val="18"/>
              </w:rPr>
            </w:pPr>
            <w:r>
              <w:rPr>
                <w:b/>
                <w:sz w:val="18"/>
              </w:rPr>
              <w:t>$</w:t>
            </w:r>
          </w:p>
        </w:tc>
        <w:tc>
          <w:tcPr>
            <w:tcW w:w="1124" w:type="dxa"/>
          </w:tcPr>
          <w:p w14:paraId="20474592" w14:textId="77777777" w:rsidR="00FA4AA8" w:rsidRDefault="0015611F">
            <w:pPr>
              <w:pStyle w:val="TableParagraph"/>
              <w:spacing w:before="30"/>
              <w:ind w:right="202"/>
              <w:jc w:val="center"/>
              <w:rPr>
                <w:b/>
                <w:sz w:val="18"/>
              </w:rPr>
            </w:pPr>
            <w:r>
              <w:rPr>
                <w:b/>
                <w:sz w:val="18"/>
              </w:rPr>
              <w:t>$</w:t>
            </w:r>
          </w:p>
        </w:tc>
      </w:tr>
      <w:tr w:rsidR="00FA4AA8" w14:paraId="7FD3D3D2" w14:textId="77777777">
        <w:trPr>
          <w:trHeight w:val="260"/>
        </w:trPr>
        <w:tc>
          <w:tcPr>
            <w:tcW w:w="348" w:type="dxa"/>
          </w:tcPr>
          <w:p w14:paraId="0CB92629" w14:textId="77777777" w:rsidR="00FA4AA8" w:rsidRDefault="00FA4AA8">
            <w:pPr>
              <w:pStyle w:val="TableParagraph"/>
              <w:rPr>
                <w:rFonts w:ascii="Times New Roman"/>
                <w:sz w:val="18"/>
              </w:rPr>
            </w:pPr>
          </w:p>
        </w:tc>
        <w:tc>
          <w:tcPr>
            <w:tcW w:w="7021" w:type="dxa"/>
          </w:tcPr>
          <w:p w14:paraId="35F99AAF" w14:textId="77777777" w:rsidR="00FA4AA8" w:rsidRDefault="0015611F">
            <w:pPr>
              <w:pStyle w:val="TableParagraph"/>
              <w:spacing w:before="30"/>
              <w:ind w:left="95"/>
              <w:rPr>
                <w:sz w:val="18"/>
              </w:rPr>
            </w:pPr>
            <w:r>
              <w:rPr>
                <w:sz w:val="18"/>
              </w:rPr>
              <w:t>Long service leave</w:t>
            </w:r>
          </w:p>
        </w:tc>
        <w:tc>
          <w:tcPr>
            <w:tcW w:w="1468" w:type="dxa"/>
            <w:tcBorders>
              <w:bottom w:val="single" w:sz="8" w:space="0" w:color="000000"/>
            </w:tcBorders>
          </w:tcPr>
          <w:p w14:paraId="43AFF05C" w14:textId="77777777" w:rsidR="00FA4AA8" w:rsidRDefault="0015611F">
            <w:pPr>
              <w:pStyle w:val="TableParagraph"/>
              <w:spacing w:before="28"/>
              <w:ind w:right="258"/>
              <w:jc w:val="right"/>
              <w:rPr>
                <w:b/>
                <w:sz w:val="18"/>
              </w:rPr>
            </w:pPr>
            <w:r>
              <w:rPr>
                <w:b/>
                <w:sz w:val="18"/>
              </w:rPr>
              <w:t>27,005</w:t>
            </w:r>
          </w:p>
        </w:tc>
        <w:tc>
          <w:tcPr>
            <w:tcW w:w="1124" w:type="dxa"/>
            <w:tcBorders>
              <w:bottom w:val="single" w:sz="8" w:space="0" w:color="000000"/>
            </w:tcBorders>
          </w:tcPr>
          <w:p w14:paraId="4FA4C985" w14:textId="77777777" w:rsidR="00FA4AA8" w:rsidRDefault="0015611F">
            <w:pPr>
              <w:pStyle w:val="TableParagraph"/>
              <w:spacing w:before="28"/>
              <w:ind w:right="86"/>
              <w:jc w:val="right"/>
              <w:rPr>
                <w:sz w:val="18"/>
              </w:rPr>
            </w:pPr>
            <w:r>
              <w:rPr>
                <w:sz w:val="18"/>
              </w:rPr>
              <w:t>73,000</w:t>
            </w:r>
          </w:p>
        </w:tc>
      </w:tr>
      <w:tr w:rsidR="00FA4AA8" w14:paraId="756A3FF3" w14:textId="77777777">
        <w:trPr>
          <w:trHeight w:val="318"/>
        </w:trPr>
        <w:tc>
          <w:tcPr>
            <w:tcW w:w="348" w:type="dxa"/>
          </w:tcPr>
          <w:p w14:paraId="7C721DB1" w14:textId="77777777" w:rsidR="00FA4AA8" w:rsidRDefault="00FA4AA8">
            <w:pPr>
              <w:pStyle w:val="TableParagraph"/>
              <w:rPr>
                <w:rFonts w:ascii="Times New Roman"/>
                <w:sz w:val="18"/>
              </w:rPr>
            </w:pPr>
          </w:p>
        </w:tc>
        <w:tc>
          <w:tcPr>
            <w:tcW w:w="7021" w:type="dxa"/>
          </w:tcPr>
          <w:p w14:paraId="40E9F9A0" w14:textId="77777777" w:rsidR="00FA4AA8" w:rsidRDefault="0015611F">
            <w:pPr>
              <w:pStyle w:val="TableParagraph"/>
              <w:spacing w:before="115" w:line="184" w:lineRule="exact"/>
              <w:ind w:left="95"/>
              <w:rPr>
                <w:b/>
                <w:sz w:val="18"/>
              </w:rPr>
            </w:pPr>
            <w:r>
              <w:rPr>
                <w:b/>
                <w:sz w:val="18"/>
              </w:rPr>
              <w:t>Total non-current provisions</w:t>
            </w:r>
          </w:p>
        </w:tc>
        <w:tc>
          <w:tcPr>
            <w:tcW w:w="1468" w:type="dxa"/>
            <w:tcBorders>
              <w:top w:val="single" w:sz="8" w:space="0" w:color="000000"/>
              <w:bottom w:val="double" w:sz="3" w:space="0" w:color="000000"/>
            </w:tcBorders>
          </w:tcPr>
          <w:p w14:paraId="6B1A3F5F" w14:textId="77777777" w:rsidR="00FA4AA8" w:rsidRDefault="0015611F">
            <w:pPr>
              <w:pStyle w:val="TableParagraph"/>
              <w:spacing w:before="115" w:line="184" w:lineRule="exact"/>
              <w:ind w:right="258"/>
              <w:jc w:val="right"/>
              <w:rPr>
                <w:b/>
                <w:sz w:val="18"/>
              </w:rPr>
            </w:pPr>
            <w:r>
              <w:rPr>
                <w:b/>
                <w:sz w:val="18"/>
              </w:rPr>
              <w:t>27,005</w:t>
            </w:r>
          </w:p>
        </w:tc>
        <w:tc>
          <w:tcPr>
            <w:tcW w:w="1124" w:type="dxa"/>
            <w:tcBorders>
              <w:top w:val="single" w:sz="8" w:space="0" w:color="000000"/>
              <w:bottom w:val="double" w:sz="3" w:space="0" w:color="000000"/>
            </w:tcBorders>
          </w:tcPr>
          <w:p w14:paraId="68FE0DF4" w14:textId="77777777" w:rsidR="00FA4AA8" w:rsidRDefault="0015611F">
            <w:pPr>
              <w:pStyle w:val="TableParagraph"/>
              <w:spacing w:before="115" w:line="184" w:lineRule="exact"/>
              <w:ind w:right="86"/>
              <w:jc w:val="right"/>
              <w:rPr>
                <w:sz w:val="18"/>
              </w:rPr>
            </w:pPr>
            <w:r>
              <w:rPr>
                <w:sz w:val="18"/>
              </w:rPr>
              <w:t>73,000</w:t>
            </w:r>
          </w:p>
        </w:tc>
      </w:tr>
      <w:tr w:rsidR="00FA4AA8" w14:paraId="6F8A0C57" w14:textId="77777777">
        <w:trPr>
          <w:trHeight w:val="497"/>
        </w:trPr>
        <w:tc>
          <w:tcPr>
            <w:tcW w:w="348" w:type="dxa"/>
          </w:tcPr>
          <w:p w14:paraId="08244637" w14:textId="77777777" w:rsidR="00FA4AA8" w:rsidRDefault="00FA4AA8">
            <w:pPr>
              <w:pStyle w:val="TableParagraph"/>
              <w:rPr>
                <w:rFonts w:ascii="Times New Roman"/>
                <w:sz w:val="18"/>
              </w:rPr>
            </w:pPr>
          </w:p>
        </w:tc>
        <w:tc>
          <w:tcPr>
            <w:tcW w:w="7021" w:type="dxa"/>
          </w:tcPr>
          <w:p w14:paraId="72A6660C" w14:textId="77777777" w:rsidR="00FA4AA8" w:rsidRDefault="00FA4AA8">
            <w:pPr>
              <w:pStyle w:val="TableParagraph"/>
              <w:spacing w:before="3"/>
              <w:rPr>
                <w:b/>
                <w:sz w:val="25"/>
              </w:rPr>
            </w:pPr>
          </w:p>
          <w:p w14:paraId="74A5D1CB" w14:textId="77777777" w:rsidR="00FA4AA8" w:rsidRDefault="0015611F">
            <w:pPr>
              <w:pStyle w:val="TableParagraph"/>
              <w:spacing w:line="187" w:lineRule="exact"/>
              <w:ind w:left="95"/>
              <w:rPr>
                <w:i/>
                <w:sz w:val="18"/>
              </w:rPr>
            </w:pPr>
            <w:r>
              <w:rPr>
                <w:i/>
                <w:sz w:val="18"/>
                <w:u w:val="single"/>
              </w:rPr>
              <w:t>Accounting policy</w:t>
            </w:r>
          </w:p>
        </w:tc>
        <w:tc>
          <w:tcPr>
            <w:tcW w:w="1468" w:type="dxa"/>
            <w:tcBorders>
              <w:top w:val="double" w:sz="3" w:space="0" w:color="000000"/>
            </w:tcBorders>
          </w:tcPr>
          <w:p w14:paraId="186E4745" w14:textId="77777777" w:rsidR="00FA4AA8" w:rsidRDefault="00FA4AA8">
            <w:pPr>
              <w:pStyle w:val="TableParagraph"/>
              <w:rPr>
                <w:rFonts w:ascii="Times New Roman"/>
                <w:sz w:val="18"/>
              </w:rPr>
            </w:pPr>
          </w:p>
        </w:tc>
        <w:tc>
          <w:tcPr>
            <w:tcW w:w="1124" w:type="dxa"/>
            <w:tcBorders>
              <w:top w:val="double" w:sz="3" w:space="0" w:color="000000"/>
            </w:tcBorders>
          </w:tcPr>
          <w:p w14:paraId="59B0D28B" w14:textId="77777777" w:rsidR="00FA4AA8" w:rsidRDefault="00FA4AA8">
            <w:pPr>
              <w:pStyle w:val="TableParagraph"/>
              <w:rPr>
                <w:rFonts w:ascii="Times New Roman"/>
                <w:sz w:val="18"/>
              </w:rPr>
            </w:pPr>
          </w:p>
        </w:tc>
      </w:tr>
    </w:tbl>
    <w:p w14:paraId="1E084A63" w14:textId="77777777" w:rsidR="00FA4AA8" w:rsidRDefault="00FA4AA8">
      <w:pPr>
        <w:pStyle w:val="BodyText"/>
        <w:spacing w:before="9"/>
        <w:rPr>
          <w:b/>
          <w:sz w:val="16"/>
        </w:rPr>
      </w:pPr>
    </w:p>
    <w:p w14:paraId="3F1A7748" w14:textId="77777777" w:rsidR="00FA4AA8" w:rsidRDefault="0015611F">
      <w:pPr>
        <w:pStyle w:val="BodyText"/>
        <w:spacing w:before="94"/>
        <w:ind w:left="564" w:right="319"/>
        <w:jc w:val="both"/>
      </w:pPr>
      <w:r>
        <w:t>Liabilities for short-term employee benefits such as wages and salaries including non-monetary benefits, expected to be settled wholly within 12 months after the end of the reporting period, are measured at the amounts expected to be paid when the liabilities are settled, and are recognised in other payables.</w:t>
      </w:r>
    </w:p>
    <w:p w14:paraId="755ECB49" w14:textId="77777777" w:rsidR="00FA4AA8" w:rsidRDefault="00FA4AA8">
      <w:pPr>
        <w:pStyle w:val="BodyText"/>
        <w:spacing w:before="10"/>
        <w:rPr>
          <w:sz w:val="24"/>
        </w:rPr>
      </w:pPr>
    </w:p>
    <w:p w14:paraId="50A9B052" w14:textId="77777777" w:rsidR="00FA4AA8" w:rsidRDefault="0015611F">
      <w:pPr>
        <w:pStyle w:val="BodyText"/>
        <w:ind w:left="564" w:right="264"/>
      </w:pPr>
      <w:r>
        <w:t xml:space="preserve">The liability for long service leave and annual leave which is not expected to be settled within 12 months after the end of the reporting period, is recognised in the provision for </w:t>
      </w:r>
      <w:r w:rsidR="00A74DE7">
        <w:t>employee</w:t>
      </w:r>
      <w:r>
        <w:t xml:space="preserve"> benefits and measured at the present value of expected future payments to be made when the liability is settled. Consideration is given to expected future wage and salary levels, experience of employee departures and periods of service. Expected future payments are discounted using market yields at the reporting date on national government bonds with terms to maturity and currency that match, as closely as possible, the estimated future cash outflows.</w:t>
      </w:r>
    </w:p>
    <w:p w14:paraId="18DE1CEC" w14:textId="77777777" w:rsidR="00FA4AA8" w:rsidRDefault="00FA4AA8">
      <w:pPr>
        <w:pStyle w:val="BodyText"/>
        <w:spacing w:before="9"/>
        <w:rPr>
          <w:sz w:val="24"/>
        </w:rPr>
      </w:pPr>
    </w:p>
    <w:p w14:paraId="1C084920" w14:textId="77777777" w:rsidR="00FA4AA8" w:rsidRDefault="00A74DE7">
      <w:pPr>
        <w:pStyle w:val="BodyText"/>
        <w:ind w:left="564" w:right="350"/>
        <w:jc w:val="both"/>
      </w:pPr>
      <w:r>
        <w:t>Regardless</w:t>
      </w:r>
      <w:r w:rsidR="0015611F">
        <w:t xml:space="preserve"> of the expected timing of settlements, provisions made in respect of employee benefits are classified as a current liability, unless there is an unconditional right to defer the </w:t>
      </w:r>
      <w:r>
        <w:t>settlement</w:t>
      </w:r>
      <w:r w:rsidR="0015611F">
        <w:t xml:space="preserve"> of the liability for at least 12 months after the reporting date, in which case, it would be classified as a non-current liability.</w:t>
      </w:r>
    </w:p>
    <w:p w14:paraId="04EA1DBB" w14:textId="77777777" w:rsidR="00FA4AA8" w:rsidRDefault="00FA4AA8">
      <w:pPr>
        <w:jc w:val="both"/>
        <w:sectPr w:rsidR="00FA4AA8">
          <w:pgSz w:w="11910" w:h="16840"/>
          <w:pgMar w:top="1460" w:right="840" w:bottom="720" w:left="840" w:header="1016" w:footer="523" w:gutter="0"/>
          <w:cols w:space="720"/>
        </w:sectPr>
      </w:pPr>
    </w:p>
    <w:p w14:paraId="24833EE4" w14:textId="77777777" w:rsidR="00FA4AA8" w:rsidRDefault="00FA4AA8">
      <w:pPr>
        <w:pStyle w:val="BodyText"/>
        <w:rPr>
          <w:sz w:val="20"/>
        </w:rPr>
      </w:pPr>
    </w:p>
    <w:p w14:paraId="5A106DE5" w14:textId="77777777" w:rsidR="00FA4AA8" w:rsidRDefault="00FA4AA8">
      <w:pPr>
        <w:pStyle w:val="BodyText"/>
        <w:rPr>
          <w:sz w:val="20"/>
        </w:rPr>
      </w:pPr>
    </w:p>
    <w:p w14:paraId="4354C574" w14:textId="77777777" w:rsidR="00FA4AA8" w:rsidRDefault="00FA4AA8">
      <w:pPr>
        <w:pStyle w:val="BodyText"/>
        <w:rPr>
          <w:sz w:val="15"/>
        </w:rPr>
      </w:pPr>
    </w:p>
    <w:tbl>
      <w:tblPr>
        <w:tblW w:w="0" w:type="auto"/>
        <w:tblInd w:w="127" w:type="dxa"/>
        <w:tblLayout w:type="fixed"/>
        <w:tblCellMar>
          <w:left w:w="0" w:type="dxa"/>
          <w:right w:w="0" w:type="dxa"/>
        </w:tblCellMar>
        <w:tblLook w:val="01E0" w:firstRow="1" w:lastRow="1" w:firstColumn="1" w:lastColumn="1" w:noHBand="0" w:noVBand="0"/>
      </w:tblPr>
      <w:tblGrid>
        <w:gridCol w:w="7368"/>
        <w:gridCol w:w="1455"/>
        <w:gridCol w:w="1138"/>
      </w:tblGrid>
      <w:tr w:rsidR="00FA4AA8" w14:paraId="113D439D" w14:textId="77777777">
        <w:trPr>
          <w:trHeight w:val="220"/>
        </w:trPr>
        <w:tc>
          <w:tcPr>
            <w:tcW w:w="7368" w:type="dxa"/>
          </w:tcPr>
          <w:p w14:paraId="2627D61F" w14:textId="77777777" w:rsidR="00FA4AA8" w:rsidRDefault="0015611F">
            <w:pPr>
              <w:pStyle w:val="TableParagraph"/>
              <w:spacing w:line="201" w:lineRule="exact"/>
              <w:ind w:left="443"/>
              <w:rPr>
                <w:sz w:val="18"/>
              </w:rPr>
            </w:pPr>
            <w:bookmarkStart w:id="163" w:name="14_Retained_earnings_"/>
            <w:bookmarkEnd w:id="163"/>
            <w:r>
              <w:rPr>
                <w:sz w:val="18"/>
              </w:rPr>
              <w:t>Movements in retained earnings were as follows:</w:t>
            </w:r>
          </w:p>
        </w:tc>
        <w:tc>
          <w:tcPr>
            <w:tcW w:w="2593" w:type="dxa"/>
            <w:gridSpan w:val="2"/>
          </w:tcPr>
          <w:p w14:paraId="614E3B13" w14:textId="77777777" w:rsidR="00FA4AA8" w:rsidRDefault="00FA4AA8">
            <w:pPr>
              <w:pStyle w:val="TableParagraph"/>
              <w:rPr>
                <w:rFonts w:ascii="Times New Roman"/>
                <w:sz w:val="14"/>
              </w:rPr>
            </w:pPr>
          </w:p>
        </w:tc>
      </w:tr>
      <w:tr w:rsidR="00FA4AA8" w14:paraId="668F6F78" w14:textId="77777777">
        <w:trPr>
          <w:trHeight w:val="256"/>
        </w:trPr>
        <w:tc>
          <w:tcPr>
            <w:tcW w:w="7368" w:type="dxa"/>
          </w:tcPr>
          <w:p w14:paraId="76578D3D" w14:textId="77777777" w:rsidR="00FA4AA8" w:rsidRDefault="00FA4AA8">
            <w:pPr>
              <w:pStyle w:val="TableParagraph"/>
              <w:rPr>
                <w:rFonts w:ascii="Times New Roman"/>
                <w:sz w:val="18"/>
              </w:rPr>
            </w:pPr>
          </w:p>
        </w:tc>
        <w:tc>
          <w:tcPr>
            <w:tcW w:w="1455" w:type="dxa"/>
          </w:tcPr>
          <w:p w14:paraId="17D247A3" w14:textId="77777777" w:rsidR="00FA4AA8" w:rsidRDefault="0015611F">
            <w:pPr>
              <w:pStyle w:val="TableParagraph"/>
              <w:spacing w:before="13"/>
              <w:ind w:left="431"/>
              <w:rPr>
                <w:b/>
                <w:sz w:val="18"/>
              </w:rPr>
            </w:pPr>
            <w:r>
              <w:rPr>
                <w:b/>
                <w:sz w:val="18"/>
              </w:rPr>
              <w:t>2018</w:t>
            </w:r>
          </w:p>
        </w:tc>
        <w:tc>
          <w:tcPr>
            <w:tcW w:w="1138" w:type="dxa"/>
          </w:tcPr>
          <w:p w14:paraId="7912F009" w14:textId="77777777" w:rsidR="00FA4AA8" w:rsidRDefault="0015611F">
            <w:pPr>
              <w:pStyle w:val="TableParagraph"/>
              <w:spacing w:before="13"/>
              <w:ind w:left="272"/>
              <w:rPr>
                <w:b/>
                <w:sz w:val="18"/>
              </w:rPr>
            </w:pPr>
            <w:r>
              <w:rPr>
                <w:b/>
                <w:sz w:val="18"/>
              </w:rPr>
              <w:t>2017</w:t>
            </w:r>
          </w:p>
        </w:tc>
      </w:tr>
      <w:tr w:rsidR="00FA4AA8" w14:paraId="636F4C71" w14:textId="77777777">
        <w:trPr>
          <w:trHeight w:val="271"/>
        </w:trPr>
        <w:tc>
          <w:tcPr>
            <w:tcW w:w="7368" w:type="dxa"/>
          </w:tcPr>
          <w:p w14:paraId="27B44582" w14:textId="77777777" w:rsidR="00FA4AA8" w:rsidRDefault="00FA4AA8">
            <w:pPr>
              <w:pStyle w:val="TableParagraph"/>
              <w:rPr>
                <w:rFonts w:ascii="Times New Roman"/>
                <w:sz w:val="18"/>
              </w:rPr>
            </w:pPr>
          </w:p>
        </w:tc>
        <w:tc>
          <w:tcPr>
            <w:tcW w:w="1455" w:type="dxa"/>
          </w:tcPr>
          <w:p w14:paraId="49DB49D1" w14:textId="77777777" w:rsidR="00FA4AA8" w:rsidRDefault="0015611F">
            <w:pPr>
              <w:pStyle w:val="TableParagraph"/>
              <w:spacing w:before="30"/>
              <w:ind w:right="187"/>
              <w:jc w:val="center"/>
              <w:rPr>
                <w:b/>
                <w:sz w:val="18"/>
              </w:rPr>
            </w:pPr>
            <w:r>
              <w:rPr>
                <w:b/>
                <w:sz w:val="18"/>
              </w:rPr>
              <w:t>$</w:t>
            </w:r>
          </w:p>
        </w:tc>
        <w:tc>
          <w:tcPr>
            <w:tcW w:w="1138" w:type="dxa"/>
          </w:tcPr>
          <w:p w14:paraId="7CABBC9A" w14:textId="77777777" w:rsidR="00FA4AA8" w:rsidRDefault="0015611F">
            <w:pPr>
              <w:pStyle w:val="TableParagraph"/>
              <w:spacing w:before="30"/>
              <w:ind w:right="188"/>
              <w:jc w:val="center"/>
              <w:rPr>
                <w:b/>
                <w:sz w:val="18"/>
              </w:rPr>
            </w:pPr>
            <w:r>
              <w:rPr>
                <w:b/>
                <w:sz w:val="18"/>
              </w:rPr>
              <w:t>$</w:t>
            </w:r>
          </w:p>
        </w:tc>
      </w:tr>
      <w:tr w:rsidR="00FA4AA8" w14:paraId="7673D5AC" w14:textId="77777777">
        <w:trPr>
          <w:trHeight w:val="267"/>
        </w:trPr>
        <w:tc>
          <w:tcPr>
            <w:tcW w:w="7368" w:type="dxa"/>
          </w:tcPr>
          <w:p w14:paraId="3FD4657D" w14:textId="77777777" w:rsidR="00FA4AA8" w:rsidRDefault="0015611F">
            <w:pPr>
              <w:pStyle w:val="TableParagraph"/>
              <w:spacing w:before="30"/>
              <w:ind w:left="443"/>
              <w:rPr>
                <w:sz w:val="18"/>
              </w:rPr>
            </w:pPr>
            <w:bookmarkStart w:id="164" w:name="15_Key_Management_Personnel_Disclosures_"/>
            <w:bookmarkEnd w:id="164"/>
            <w:r>
              <w:rPr>
                <w:sz w:val="18"/>
              </w:rPr>
              <w:t>Opening balance</w:t>
            </w:r>
          </w:p>
        </w:tc>
        <w:tc>
          <w:tcPr>
            <w:tcW w:w="1455" w:type="dxa"/>
          </w:tcPr>
          <w:p w14:paraId="52464F77" w14:textId="77777777" w:rsidR="00FA4AA8" w:rsidRDefault="0015611F">
            <w:pPr>
              <w:pStyle w:val="TableParagraph"/>
              <w:spacing w:before="28"/>
              <w:ind w:right="183"/>
              <w:jc w:val="right"/>
              <w:rPr>
                <w:b/>
                <w:sz w:val="18"/>
              </w:rPr>
            </w:pPr>
            <w:r>
              <w:rPr>
                <w:b/>
                <w:sz w:val="18"/>
              </w:rPr>
              <w:t>(1,229,830)</w:t>
            </w:r>
          </w:p>
        </w:tc>
        <w:tc>
          <w:tcPr>
            <w:tcW w:w="1138" w:type="dxa"/>
          </w:tcPr>
          <w:p w14:paraId="6E636703" w14:textId="77777777" w:rsidR="00FA4AA8" w:rsidRDefault="0015611F">
            <w:pPr>
              <w:pStyle w:val="TableParagraph"/>
              <w:spacing w:before="28"/>
              <w:ind w:left="183"/>
              <w:rPr>
                <w:sz w:val="18"/>
              </w:rPr>
            </w:pPr>
            <w:r>
              <w:rPr>
                <w:sz w:val="18"/>
              </w:rPr>
              <w:t>(4,339,244)</w:t>
            </w:r>
          </w:p>
        </w:tc>
      </w:tr>
      <w:tr w:rsidR="00FA4AA8" w14:paraId="5E42A162" w14:textId="77777777">
        <w:trPr>
          <w:trHeight w:val="256"/>
        </w:trPr>
        <w:tc>
          <w:tcPr>
            <w:tcW w:w="7368" w:type="dxa"/>
          </w:tcPr>
          <w:p w14:paraId="54D923CA" w14:textId="77777777" w:rsidR="00FA4AA8" w:rsidRDefault="0015611F">
            <w:pPr>
              <w:pStyle w:val="TableParagraph"/>
              <w:spacing w:before="26"/>
              <w:ind w:left="443"/>
              <w:rPr>
                <w:sz w:val="18"/>
              </w:rPr>
            </w:pPr>
            <w:r>
              <w:rPr>
                <w:sz w:val="18"/>
              </w:rPr>
              <w:t>Surplus / (Deficit) for the year</w:t>
            </w:r>
          </w:p>
        </w:tc>
        <w:tc>
          <w:tcPr>
            <w:tcW w:w="1455" w:type="dxa"/>
            <w:tcBorders>
              <w:bottom w:val="single" w:sz="8" w:space="0" w:color="000000"/>
            </w:tcBorders>
          </w:tcPr>
          <w:p w14:paraId="293EE369" w14:textId="77777777" w:rsidR="00FA4AA8" w:rsidRDefault="0015611F">
            <w:pPr>
              <w:pStyle w:val="TableParagraph"/>
              <w:spacing w:before="24"/>
              <w:ind w:right="183"/>
              <w:jc w:val="right"/>
              <w:rPr>
                <w:b/>
                <w:sz w:val="18"/>
              </w:rPr>
            </w:pPr>
            <w:r>
              <w:rPr>
                <w:b/>
                <w:sz w:val="18"/>
              </w:rPr>
              <w:t>(1,732,762)</w:t>
            </w:r>
          </w:p>
        </w:tc>
        <w:tc>
          <w:tcPr>
            <w:tcW w:w="1138" w:type="dxa"/>
            <w:tcBorders>
              <w:bottom w:val="single" w:sz="8" w:space="0" w:color="000000"/>
            </w:tcBorders>
          </w:tcPr>
          <w:p w14:paraId="6CA7039D" w14:textId="77777777" w:rsidR="00FA4AA8" w:rsidRDefault="0015611F">
            <w:pPr>
              <w:pStyle w:val="TableParagraph"/>
              <w:spacing w:before="24"/>
              <w:ind w:left="243"/>
              <w:rPr>
                <w:sz w:val="18"/>
              </w:rPr>
            </w:pPr>
            <w:r>
              <w:rPr>
                <w:sz w:val="18"/>
              </w:rPr>
              <w:t>3,109,414</w:t>
            </w:r>
          </w:p>
        </w:tc>
      </w:tr>
      <w:tr w:rsidR="00FA4AA8" w14:paraId="1A31AF34" w14:textId="77777777">
        <w:trPr>
          <w:trHeight w:val="320"/>
        </w:trPr>
        <w:tc>
          <w:tcPr>
            <w:tcW w:w="7368" w:type="dxa"/>
          </w:tcPr>
          <w:p w14:paraId="3D36167A" w14:textId="77777777" w:rsidR="00FA4AA8" w:rsidRDefault="0015611F">
            <w:pPr>
              <w:pStyle w:val="TableParagraph"/>
              <w:spacing w:before="115" w:line="185" w:lineRule="exact"/>
              <w:ind w:left="443"/>
              <w:rPr>
                <w:b/>
                <w:sz w:val="18"/>
              </w:rPr>
            </w:pPr>
            <w:bookmarkStart w:id="165" w:name="(a)_Names_of_responsible_persons_and_exe"/>
            <w:bookmarkEnd w:id="165"/>
            <w:r>
              <w:rPr>
                <w:b/>
                <w:sz w:val="18"/>
              </w:rPr>
              <w:t>Closing Balance</w:t>
            </w:r>
          </w:p>
        </w:tc>
        <w:tc>
          <w:tcPr>
            <w:tcW w:w="1455" w:type="dxa"/>
            <w:tcBorders>
              <w:top w:val="single" w:sz="8" w:space="0" w:color="000000"/>
              <w:bottom w:val="double" w:sz="2" w:space="0" w:color="000000"/>
            </w:tcBorders>
          </w:tcPr>
          <w:p w14:paraId="5F09130C" w14:textId="77777777" w:rsidR="00FA4AA8" w:rsidRDefault="0015611F">
            <w:pPr>
              <w:pStyle w:val="TableParagraph"/>
              <w:spacing w:before="115" w:line="185" w:lineRule="exact"/>
              <w:ind w:right="183"/>
              <w:jc w:val="right"/>
              <w:rPr>
                <w:b/>
                <w:sz w:val="18"/>
              </w:rPr>
            </w:pPr>
            <w:r>
              <w:rPr>
                <w:b/>
                <w:sz w:val="18"/>
              </w:rPr>
              <w:t>(2,962,592)</w:t>
            </w:r>
          </w:p>
        </w:tc>
        <w:tc>
          <w:tcPr>
            <w:tcW w:w="1138" w:type="dxa"/>
            <w:tcBorders>
              <w:top w:val="single" w:sz="8" w:space="0" w:color="000000"/>
              <w:bottom w:val="double" w:sz="2" w:space="0" w:color="000000"/>
            </w:tcBorders>
          </w:tcPr>
          <w:p w14:paraId="7A2C8D32" w14:textId="77777777" w:rsidR="00FA4AA8" w:rsidRDefault="0015611F">
            <w:pPr>
              <w:pStyle w:val="TableParagraph"/>
              <w:spacing w:before="115" w:line="185" w:lineRule="exact"/>
              <w:ind w:left="183"/>
              <w:rPr>
                <w:sz w:val="18"/>
              </w:rPr>
            </w:pPr>
            <w:r>
              <w:rPr>
                <w:sz w:val="18"/>
              </w:rPr>
              <w:t>(1,229,830)</w:t>
            </w:r>
          </w:p>
        </w:tc>
      </w:tr>
      <w:tr w:rsidR="00FA4AA8" w14:paraId="7B0FA5CE" w14:textId="77777777">
        <w:trPr>
          <w:trHeight w:val="739"/>
        </w:trPr>
        <w:tc>
          <w:tcPr>
            <w:tcW w:w="7368" w:type="dxa"/>
          </w:tcPr>
          <w:p w14:paraId="7F1B1110" w14:textId="77777777" w:rsidR="00FA4AA8" w:rsidRDefault="00FA4AA8">
            <w:pPr>
              <w:pStyle w:val="TableParagraph"/>
              <w:rPr>
                <w:sz w:val="20"/>
              </w:rPr>
            </w:pPr>
          </w:p>
          <w:p w14:paraId="4C6A9556" w14:textId="77777777" w:rsidR="00FA4AA8" w:rsidRDefault="00FA4AA8">
            <w:pPr>
              <w:pStyle w:val="TableParagraph"/>
              <w:spacing w:before="3"/>
              <w:rPr>
                <w:sz w:val="26"/>
              </w:rPr>
            </w:pPr>
          </w:p>
          <w:p w14:paraId="2FEFEE44" w14:textId="77777777" w:rsidR="00FA4AA8" w:rsidRDefault="0015611F">
            <w:pPr>
              <w:pStyle w:val="TableParagraph"/>
              <w:spacing w:line="187" w:lineRule="exact"/>
              <w:ind w:left="50"/>
              <w:rPr>
                <w:b/>
                <w:sz w:val="18"/>
              </w:rPr>
            </w:pPr>
            <w:r>
              <w:rPr>
                <w:b/>
                <w:sz w:val="18"/>
              </w:rPr>
              <w:t>15 Key Management Personnel Disclosures</w:t>
            </w:r>
          </w:p>
        </w:tc>
        <w:tc>
          <w:tcPr>
            <w:tcW w:w="1455" w:type="dxa"/>
            <w:tcBorders>
              <w:top w:val="double" w:sz="2" w:space="0" w:color="000000"/>
            </w:tcBorders>
          </w:tcPr>
          <w:p w14:paraId="2294815E" w14:textId="77777777" w:rsidR="00FA4AA8" w:rsidRDefault="00FA4AA8">
            <w:pPr>
              <w:pStyle w:val="TableParagraph"/>
              <w:rPr>
                <w:rFonts w:ascii="Times New Roman"/>
                <w:sz w:val="18"/>
              </w:rPr>
            </w:pPr>
          </w:p>
        </w:tc>
        <w:tc>
          <w:tcPr>
            <w:tcW w:w="1138" w:type="dxa"/>
            <w:tcBorders>
              <w:top w:val="double" w:sz="2" w:space="0" w:color="000000"/>
            </w:tcBorders>
          </w:tcPr>
          <w:p w14:paraId="3633C4BF" w14:textId="77777777" w:rsidR="00FA4AA8" w:rsidRDefault="00FA4AA8">
            <w:pPr>
              <w:pStyle w:val="TableParagraph"/>
              <w:rPr>
                <w:rFonts w:ascii="Times New Roman"/>
                <w:sz w:val="18"/>
              </w:rPr>
            </w:pPr>
          </w:p>
        </w:tc>
      </w:tr>
    </w:tbl>
    <w:p w14:paraId="2258C88C" w14:textId="77777777" w:rsidR="00FA4AA8" w:rsidRDefault="00FA4AA8">
      <w:pPr>
        <w:pStyle w:val="BodyText"/>
        <w:spacing w:before="5"/>
      </w:pPr>
    </w:p>
    <w:p w14:paraId="43126E50" w14:textId="77777777" w:rsidR="00FA4AA8" w:rsidRDefault="0015611F">
      <w:pPr>
        <w:numPr>
          <w:ilvl w:val="0"/>
          <w:numId w:val="7"/>
        </w:numPr>
        <w:tabs>
          <w:tab w:val="left" w:pos="1130"/>
          <w:tab w:val="left" w:pos="1131"/>
        </w:tabs>
        <w:spacing w:before="94"/>
        <w:rPr>
          <w:b/>
          <w:sz w:val="18"/>
        </w:rPr>
      </w:pPr>
      <w:r>
        <w:rPr>
          <w:b/>
          <w:sz w:val="18"/>
        </w:rPr>
        <w:t>Names of responsible persons and executive officers</w:t>
      </w:r>
    </w:p>
    <w:p w14:paraId="351EC988" w14:textId="77777777" w:rsidR="00FA4AA8" w:rsidRDefault="00FA4AA8">
      <w:pPr>
        <w:pStyle w:val="BodyText"/>
        <w:spacing w:before="5"/>
        <w:rPr>
          <w:b/>
          <w:sz w:val="25"/>
        </w:rPr>
      </w:pPr>
    </w:p>
    <w:p w14:paraId="79263168" w14:textId="77777777" w:rsidR="00FA4AA8" w:rsidRDefault="0015611F">
      <w:pPr>
        <w:pStyle w:val="BodyText"/>
        <w:ind w:left="1132"/>
      </w:pPr>
      <w:r>
        <w:t>The following persons were responsible persons and executive officers of Western Unlimited Ltd during the financial year:</w:t>
      </w:r>
    </w:p>
    <w:p w14:paraId="49425C2A" w14:textId="77777777" w:rsidR="00FA4AA8" w:rsidRDefault="0015611F">
      <w:pPr>
        <w:pStyle w:val="ListParagraph"/>
        <w:numPr>
          <w:ilvl w:val="1"/>
          <w:numId w:val="7"/>
        </w:numPr>
        <w:tabs>
          <w:tab w:val="left" w:pos="1345"/>
        </w:tabs>
        <w:spacing w:before="21" w:line="544" w:lineRule="exact"/>
        <w:ind w:right="4484" w:firstLine="0"/>
        <w:rPr>
          <w:sz w:val="18"/>
        </w:rPr>
      </w:pPr>
      <w:r>
        <w:rPr>
          <w:sz w:val="18"/>
        </w:rPr>
        <w:t>Names of Responsible Persons and Executive Officers Bill</w:t>
      </w:r>
      <w:r>
        <w:rPr>
          <w:spacing w:val="1"/>
          <w:sz w:val="18"/>
        </w:rPr>
        <w:t xml:space="preserve"> </w:t>
      </w:r>
      <w:r>
        <w:rPr>
          <w:sz w:val="18"/>
        </w:rPr>
        <w:t>Parasiris</w:t>
      </w:r>
    </w:p>
    <w:p w14:paraId="11D69AFE" w14:textId="77777777" w:rsidR="00FA4AA8" w:rsidRDefault="0015611F">
      <w:pPr>
        <w:pStyle w:val="BodyText"/>
        <w:spacing w:line="189" w:lineRule="exact"/>
        <w:ind w:left="1132"/>
      </w:pPr>
      <w:r>
        <w:t>Ellen Brackenreg</w:t>
      </w:r>
    </w:p>
    <w:p w14:paraId="7104ACAE" w14:textId="77777777" w:rsidR="00FA4AA8" w:rsidRDefault="00FA4AA8">
      <w:pPr>
        <w:pStyle w:val="BodyText"/>
        <w:spacing w:before="3"/>
        <w:rPr>
          <w:sz w:val="27"/>
        </w:rPr>
      </w:pPr>
    </w:p>
    <w:p w14:paraId="5B618812" w14:textId="77777777" w:rsidR="00FA4AA8" w:rsidRDefault="0015611F">
      <w:pPr>
        <w:pStyle w:val="BodyText"/>
        <w:ind w:left="1132"/>
      </w:pPr>
      <w:r>
        <w:t>All responsible persons and executive officers are employees of Western Sydney University and are not remunerated for their executive responsibilities.</w:t>
      </w:r>
    </w:p>
    <w:p w14:paraId="47ADF3EE" w14:textId="77777777" w:rsidR="00FA4AA8" w:rsidRDefault="00FA4AA8">
      <w:pPr>
        <w:pStyle w:val="BodyText"/>
        <w:spacing w:before="11"/>
        <w:rPr>
          <w:sz w:val="24"/>
        </w:rPr>
      </w:pPr>
    </w:p>
    <w:p w14:paraId="7773BFAF" w14:textId="77777777" w:rsidR="00FA4AA8" w:rsidRDefault="0015611F">
      <w:pPr>
        <w:pStyle w:val="ListParagraph"/>
        <w:numPr>
          <w:ilvl w:val="1"/>
          <w:numId w:val="7"/>
        </w:numPr>
        <w:tabs>
          <w:tab w:val="left" w:pos="1385"/>
        </w:tabs>
        <w:ind w:left="1384" w:hanging="253"/>
        <w:rPr>
          <w:sz w:val="18"/>
        </w:rPr>
      </w:pPr>
      <w:r>
        <w:rPr>
          <w:sz w:val="18"/>
        </w:rPr>
        <w:t>Board of Directors</w:t>
      </w:r>
    </w:p>
    <w:p w14:paraId="2E8D8EB1" w14:textId="77777777" w:rsidR="00FA4AA8" w:rsidRDefault="00FA4AA8">
      <w:pPr>
        <w:pStyle w:val="BodyText"/>
        <w:spacing w:before="4"/>
        <w:rPr>
          <w:sz w:val="29"/>
        </w:rPr>
      </w:pPr>
    </w:p>
    <w:p w14:paraId="07A7E85B" w14:textId="77777777" w:rsidR="00FA4AA8" w:rsidRDefault="0015611F">
      <w:pPr>
        <w:pStyle w:val="BodyText"/>
        <w:spacing w:line="300" w:lineRule="auto"/>
        <w:ind w:left="1132" w:right="7537"/>
      </w:pPr>
      <w:r>
        <w:t>John Banks (Chair)</w:t>
      </w:r>
      <w:bookmarkStart w:id="166" w:name="(b)_Remuneration_of_Board_Members"/>
      <w:bookmarkEnd w:id="166"/>
      <w:r>
        <w:t xml:space="preserve"> Peter Pickering</w:t>
      </w:r>
    </w:p>
    <w:p w14:paraId="4F89AC8C" w14:textId="77777777" w:rsidR="00FA4AA8" w:rsidRDefault="0015611F">
      <w:pPr>
        <w:pStyle w:val="BodyText"/>
        <w:spacing w:before="1" w:line="300" w:lineRule="auto"/>
        <w:ind w:left="1132" w:right="7707"/>
      </w:pPr>
      <w:r>
        <w:t>Bill Parasiris Ellen Brackenreg John Hart</w:t>
      </w:r>
    </w:p>
    <w:p w14:paraId="6FAD4741" w14:textId="77777777" w:rsidR="00FA4AA8" w:rsidRDefault="00FA4AA8">
      <w:pPr>
        <w:pStyle w:val="BodyText"/>
        <w:spacing w:before="4"/>
        <w:rPr>
          <w:sz w:val="16"/>
        </w:rPr>
      </w:pPr>
    </w:p>
    <w:p w14:paraId="659384FE" w14:textId="77777777" w:rsidR="00FA4AA8" w:rsidRDefault="00FA4AA8">
      <w:pPr>
        <w:rPr>
          <w:sz w:val="16"/>
        </w:rPr>
        <w:sectPr w:rsidR="00FA4AA8">
          <w:headerReference w:type="default" r:id="rId122"/>
          <w:footerReference w:type="default" r:id="rId123"/>
          <w:pgSz w:w="11910" w:h="16840"/>
          <w:pgMar w:top="3060" w:right="840" w:bottom="720" w:left="840" w:header="1016" w:footer="523" w:gutter="0"/>
          <w:pgNumType w:start="137"/>
          <w:cols w:space="720"/>
        </w:sectPr>
      </w:pPr>
    </w:p>
    <w:p w14:paraId="6761F231" w14:textId="77777777" w:rsidR="00FA4AA8" w:rsidRDefault="0015611F">
      <w:pPr>
        <w:numPr>
          <w:ilvl w:val="0"/>
          <w:numId w:val="7"/>
        </w:numPr>
        <w:tabs>
          <w:tab w:val="left" w:pos="1130"/>
          <w:tab w:val="left" w:pos="1131"/>
        </w:tabs>
        <w:spacing w:before="94"/>
        <w:rPr>
          <w:b/>
          <w:sz w:val="18"/>
        </w:rPr>
      </w:pPr>
      <w:r>
        <w:rPr>
          <w:b/>
          <w:sz w:val="18"/>
        </w:rPr>
        <w:t>Remuneration of Board Members</w:t>
      </w:r>
    </w:p>
    <w:p w14:paraId="33952D8C" w14:textId="77777777" w:rsidR="00FA4AA8" w:rsidRDefault="00FA4AA8">
      <w:pPr>
        <w:pStyle w:val="BodyText"/>
        <w:rPr>
          <w:b/>
          <w:sz w:val="20"/>
        </w:rPr>
      </w:pPr>
    </w:p>
    <w:p w14:paraId="7D013556" w14:textId="77777777" w:rsidR="00FA4AA8" w:rsidRDefault="00FA4AA8">
      <w:pPr>
        <w:pStyle w:val="BodyText"/>
        <w:rPr>
          <w:b/>
          <w:sz w:val="20"/>
        </w:rPr>
      </w:pPr>
    </w:p>
    <w:p w14:paraId="32683082" w14:textId="77777777" w:rsidR="00FA4AA8" w:rsidRDefault="00FA4AA8">
      <w:pPr>
        <w:pStyle w:val="BodyText"/>
        <w:spacing w:before="9"/>
        <w:rPr>
          <w:b/>
          <w:sz w:val="17"/>
        </w:rPr>
      </w:pPr>
    </w:p>
    <w:p w14:paraId="6219C643" w14:textId="77777777" w:rsidR="00FA4AA8" w:rsidRDefault="0015611F">
      <w:pPr>
        <w:pStyle w:val="BodyText"/>
        <w:ind w:left="1159"/>
      </w:pPr>
      <w:r>
        <w:t>Remuneration of Board Members</w:t>
      </w:r>
    </w:p>
    <w:p w14:paraId="11D7ECC8" w14:textId="77777777" w:rsidR="00FA4AA8" w:rsidRDefault="0015611F">
      <w:pPr>
        <w:pStyle w:val="BodyText"/>
        <w:spacing w:before="5"/>
        <w:rPr>
          <w:sz w:val="29"/>
        </w:rPr>
      </w:pPr>
      <w:r>
        <w:br w:type="column"/>
      </w:r>
    </w:p>
    <w:p w14:paraId="23A37279" w14:textId="77777777" w:rsidR="00FA4AA8" w:rsidRDefault="0015611F">
      <w:pPr>
        <w:spacing w:before="1"/>
        <w:ind w:left="563"/>
        <w:jc w:val="center"/>
        <w:rPr>
          <w:b/>
          <w:sz w:val="18"/>
        </w:rPr>
      </w:pPr>
      <w:r>
        <w:rPr>
          <w:b/>
          <w:sz w:val="18"/>
        </w:rPr>
        <w:t>2018</w:t>
      </w:r>
    </w:p>
    <w:p w14:paraId="506B602D" w14:textId="77777777" w:rsidR="00FA4AA8" w:rsidRDefault="0015611F">
      <w:pPr>
        <w:spacing w:before="66"/>
        <w:ind w:left="563"/>
        <w:jc w:val="center"/>
        <w:rPr>
          <w:b/>
          <w:sz w:val="18"/>
        </w:rPr>
      </w:pPr>
      <w:r>
        <w:rPr>
          <w:b/>
          <w:sz w:val="18"/>
        </w:rPr>
        <w:t>Number</w:t>
      </w:r>
    </w:p>
    <w:p w14:paraId="42557E7B" w14:textId="77777777" w:rsidR="00FA4AA8" w:rsidRDefault="0015611F">
      <w:pPr>
        <w:pStyle w:val="BodyText"/>
        <w:spacing w:before="5"/>
        <w:rPr>
          <w:b/>
          <w:sz w:val="29"/>
        </w:rPr>
      </w:pPr>
      <w:r>
        <w:br w:type="column"/>
      </w:r>
    </w:p>
    <w:p w14:paraId="64E2103E" w14:textId="77777777" w:rsidR="00FA4AA8" w:rsidRDefault="0015611F">
      <w:pPr>
        <w:spacing w:before="1"/>
        <w:ind w:left="543" w:right="444"/>
        <w:jc w:val="center"/>
        <w:rPr>
          <w:b/>
          <w:sz w:val="18"/>
        </w:rPr>
      </w:pPr>
      <w:r>
        <w:rPr>
          <w:b/>
          <w:sz w:val="18"/>
        </w:rPr>
        <w:t>2017</w:t>
      </w:r>
    </w:p>
    <w:p w14:paraId="4F961960" w14:textId="77777777" w:rsidR="00FA4AA8" w:rsidRDefault="0015611F">
      <w:pPr>
        <w:spacing w:before="66"/>
        <w:ind w:left="544" w:right="444"/>
        <w:jc w:val="center"/>
        <w:rPr>
          <w:b/>
          <w:sz w:val="18"/>
        </w:rPr>
      </w:pPr>
      <w:r>
        <w:rPr>
          <w:b/>
          <w:sz w:val="18"/>
        </w:rPr>
        <w:t>Number</w:t>
      </w:r>
    </w:p>
    <w:p w14:paraId="4C586592" w14:textId="77777777" w:rsidR="00FA4AA8" w:rsidRDefault="00FA4AA8">
      <w:pPr>
        <w:jc w:val="center"/>
        <w:rPr>
          <w:sz w:val="18"/>
        </w:rPr>
        <w:sectPr w:rsidR="00FA4AA8">
          <w:type w:val="continuous"/>
          <w:pgSz w:w="11910" w:h="16840"/>
          <w:pgMar w:top="20" w:right="840" w:bottom="0" w:left="840" w:header="720" w:footer="720" w:gutter="0"/>
          <w:cols w:num="3" w:space="720" w:equalWidth="0">
            <w:col w:w="4020" w:space="3213"/>
            <w:col w:w="1247" w:space="40"/>
            <w:col w:w="1710"/>
          </w:cols>
        </w:sectPr>
      </w:pPr>
    </w:p>
    <w:p w14:paraId="763D68E1" w14:textId="77777777" w:rsidR="00FA4AA8" w:rsidRDefault="0015611F">
      <w:pPr>
        <w:pStyle w:val="BodyText"/>
        <w:tabs>
          <w:tab w:val="left" w:pos="8639"/>
          <w:tab w:val="right" w:pos="9995"/>
        </w:tabs>
        <w:spacing w:before="31"/>
        <w:ind w:left="1159"/>
      </w:pPr>
      <w:r>
        <w:t>Nil</w:t>
      </w:r>
      <w:r>
        <w:rPr>
          <w:spacing w:val="1"/>
        </w:rPr>
        <w:t xml:space="preserve"> </w:t>
      </w:r>
      <w:r>
        <w:t>to</w:t>
      </w:r>
      <w:r>
        <w:rPr>
          <w:spacing w:val="1"/>
        </w:rPr>
        <w:t xml:space="preserve"> </w:t>
      </w:r>
      <w:r>
        <w:t>$9,999</w:t>
      </w:r>
      <w:r>
        <w:tab/>
      </w:r>
      <w:r>
        <w:rPr>
          <w:b/>
        </w:rPr>
        <w:t>-</w:t>
      </w:r>
      <w:r>
        <w:rPr>
          <w:b/>
        </w:rPr>
        <w:tab/>
      </w:r>
      <w:r>
        <w:t>1</w:t>
      </w:r>
    </w:p>
    <w:p w14:paraId="2CED6D96" w14:textId="77777777" w:rsidR="00FA4AA8" w:rsidRDefault="007E2441">
      <w:pPr>
        <w:pStyle w:val="BodyText"/>
        <w:tabs>
          <w:tab w:val="left" w:pos="8599"/>
          <w:tab w:val="left" w:pos="9935"/>
        </w:tabs>
        <w:spacing w:before="57"/>
        <w:ind w:left="1159"/>
      </w:pPr>
      <w:r>
        <w:rPr>
          <w:noProof/>
          <w:lang w:val="en-AU" w:eastAsia="en-AU"/>
        </w:rPr>
        <mc:AlternateContent>
          <mc:Choice Requires="wpg">
            <w:drawing>
              <wp:anchor distT="0" distB="0" distL="114300" distR="114300" simplePos="0" relativeHeight="15784448" behindDoc="0" locked="0" layoutInCell="1" allowOverlap="1" wp14:anchorId="52ABEF6D" wp14:editId="290D19D1">
                <wp:simplePos x="0" y="0"/>
                <wp:positionH relativeFrom="page">
                  <wp:posOffset>5289550</wp:posOffset>
                </wp:positionH>
                <wp:positionV relativeFrom="paragraph">
                  <wp:posOffset>182245</wp:posOffset>
                </wp:positionV>
                <wp:extent cx="1645920" cy="12700"/>
                <wp:effectExtent l="0" t="0" r="0" b="0"/>
                <wp:wrapNone/>
                <wp:docPr id="1109" name="Group 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5920" cy="12700"/>
                          <a:chOff x="8330" y="287"/>
                          <a:chExt cx="2592" cy="20"/>
                        </a:xfrm>
                      </wpg:grpSpPr>
                      <wps:wsp>
                        <wps:cNvPr id="1110" name="Line 891"/>
                        <wps:cNvCnPr>
                          <a:cxnSpLocks noChangeShapeType="1"/>
                        </wps:cNvCnPr>
                        <wps:spPr bwMode="auto">
                          <a:xfrm>
                            <a:off x="8330" y="28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111" name="Line 890"/>
                        <wps:cNvCnPr>
                          <a:cxnSpLocks noChangeShapeType="1"/>
                        </wps:cNvCnPr>
                        <wps:spPr bwMode="auto">
                          <a:xfrm>
                            <a:off x="8330" y="29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112" name="Line 889"/>
                        <wps:cNvCnPr>
                          <a:cxnSpLocks noChangeShapeType="1"/>
                        </wps:cNvCnPr>
                        <wps:spPr bwMode="auto">
                          <a:xfrm>
                            <a:off x="8330" y="29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113" name="Line 888"/>
                        <wps:cNvCnPr>
                          <a:cxnSpLocks noChangeShapeType="1"/>
                        </wps:cNvCnPr>
                        <wps:spPr bwMode="auto">
                          <a:xfrm>
                            <a:off x="8330" y="29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114" name="Line 887"/>
                        <wps:cNvCnPr>
                          <a:cxnSpLocks noChangeShapeType="1"/>
                        </wps:cNvCnPr>
                        <wps:spPr bwMode="auto">
                          <a:xfrm>
                            <a:off x="8330" y="29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115" name="Line 886"/>
                        <wps:cNvCnPr>
                          <a:cxnSpLocks noChangeShapeType="1"/>
                        </wps:cNvCnPr>
                        <wps:spPr bwMode="auto">
                          <a:xfrm>
                            <a:off x="8330" y="30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116" name="Line 885"/>
                        <wps:cNvCnPr>
                          <a:cxnSpLocks noChangeShapeType="1"/>
                        </wps:cNvCnPr>
                        <wps:spPr bwMode="auto">
                          <a:xfrm>
                            <a:off x="8330" y="30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117" name="Line 884"/>
                        <wps:cNvCnPr>
                          <a:cxnSpLocks noChangeShapeType="1"/>
                        </wps:cNvCnPr>
                        <wps:spPr bwMode="auto">
                          <a:xfrm>
                            <a:off x="8330" y="30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118" name="Line 883"/>
                        <wps:cNvCnPr>
                          <a:cxnSpLocks noChangeShapeType="1"/>
                        </wps:cNvCnPr>
                        <wps:spPr bwMode="auto">
                          <a:xfrm>
                            <a:off x="9626" y="28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119" name="Line 882"/>
                        <wps:cNvCnPr>
                          <a:cxnSpLocks noChangeShapeType="1"/>
                        </wps:cNvCnPr>
                        <wps:spPr bwMode="auto">
                          <a:xfrm>
                            <a:off x="9626" y="29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120" name="Line 881"/>
                        <wps:cNvCnPr>
                          <a:cxnSpLocks noChangeShapeType="1"/>
                        </wps:cNvCnPr>
                        <wps:spPr bwMode="auto">
                          <a:xfrm>
                            <a:off x="9626" y="29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121" name="Line 880"/>
                        <wps:cNvCnPr>
                          <a:cxnSpLocks noChangeShapeType="1"/>
                        </wps:cNvCnPr>
                        <wps:spPr bwMode="auto">
                          <a:xfrm>
                            <a:off x="9626" y="29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122" name="Line 879"/>
                        <wps:cNvCnPr>
                          <a:cxnSpLocks noChangeShapeType="1"/>
                        </wps:cNvCnPr>
                        <wps:spPr bwMode="auto">
                          <a:xfrm>
                            <a:off x="9626" y="29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123" name="Line 878"/>
                        <wps:cNvCnPr>
                          <a:cxnSpLocks noChangeShapeType="1"/>
                        </wps:cNvCnPr>
                        <wps:spPr bwMode="auto">
                          <a:xfrm>
                            <a:off x="9626" y="30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124" name="Line 877"/>
                        <wps:cNvCnPr>
                          <a:cxnSpLocks noChangeShapeType="1"/>
                        </wps:cNvCnPr>
                        <wps:spPr bwMode="auto">
                          <a:xfrm>
                            <a:off x="9626" y="30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125" name="Line 876"/>
                        <wps:cNvCnPr>
                          <a:cxnSpLocks noChangeShapeType="1"/>
                        </wps:cNvCnPr>
                        <wps:spPr bwMode="auto">
                          <a:xfrm>
                            <a:off x="9626" y="30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DF0769" id="Group 875" o:spid="_x0000_s1026" style="position:absolute;margin-left:416.5pt;margin-top:14.35pt;width:129.6pt;height:1pt;z-index:15784448;mso-position-horizontal-relative:page" coordorigin="8330,287" coordsize="259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">
                <v:line id="Line 891" o:spid="_x0000_s1027" style="position:absolute;visibility:visible;mso-wrap-style:square" from="8330,288" to="9626,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" strokeweight=".12pt"/>
                <v:line id="Line 890" o:spid="_x0000_s1028" style="position:absolute;visibility:visible;mso-wrap-style:square" from="8330,291" to="9626,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" strokeweight=".12pt"/>
                <v:line id="Line 889" o:spid="_x0000_s1029" style="position:absolute;visibility:visible;mso-wrap-style:square" from="8330,293" to="9626,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" strokeweight=".12pt"/>
                <v:line id="Line 888" o:spid="_x0000_s1030" style="position:absolute;visibility:visible;mso-wrap-style:square" from="8330,295" to="9626,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" strokeweight=".12pt"/>
                <v:line id="Line 887" o:spid="_x0000_s1031" style="position:absolute;visibility:visible;mso-wrap-style:square" from="8330,298" to="9626,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" strokeweight=".12pt"/>
                <v:line id="Line 886" o:spid="_x0000_s1032" style="position:absolute;visibility:visible;mso-wrap-style:square" from="8330,300" to="9626,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" strokeweight=".12pt"/>
                <v:line id="Line 885" o:spid="_x0000_s1033" style="position:absolute;visibility:visible;mso-wrap-style:square" from="8330,303" to="962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" strokeweight=".12pt"/>
                <v:line id="Line 884" o:spid="_x0000_s1034" style="position:absolute;visibility:visible;mso-wrap-style:square" from="8330,305" to="9626,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" strokeweight=".12pt"/>
                <v:line id="Line 883" o:spid="_x0000_s1035" style="position:absolute;visibility:visible;mso-wrap-style:square" from="9626,288" to="10922,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" strokeweight=".12pt"/>
                <v:line id="Line 882" o:spid="_x0000_s1036" style="position:absolute;visibility:visible;mso-wrap-style:square" from="9626,291" to="10922,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" strokeweight=".12pt"/>
                <v:line id="Line 881" o:spid="_x0000_s1037" style="position:absolute;visibility:visible;mso-wrap-style:square" from="9626,293" to="10922,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" strokeweight=".12pt"/>
                <v:line id="Line 880" o:spid="_x0000_s1038" style="position:absolute;visibility:visible;mso-wrap-style:square" from="9626,295" to="10922,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" strokeweight=".12pt"/>
                <v:line id="Line 879" o:spid="_x0000_s1039" style="position:absolute;visibility:visible;mso-wrap-style:square" from="9626,298" to="10922,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" strokeweight=".12pt"/>
                <v:line id="Line 878" o:spid="_x0000_s1040" style="position:absolute;visibility:visible;mso-wrap-style:square" from="9626,300" to="1092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" strokeweight=".12pt"/>
                <v:line id="Line 877" o:spid="_x0000_s1041" style="position:absolute;visibility:visible;mso-wrap-style:square" from="9626,303" to="10922,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" strokeweight=".12pt"/>
                <v:line id="Line 876" o:spid="_x0000_s1042" style="position:absolute;visibility:visible;mso-wrap-style:square" from="9626,305" to="10922,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" strokeweight=".12pt"/>
                <w10:wrap anchorx="page"/>
              </v:group>
            </w:pict>
          </mc:Fallback>
        </mc:AlternateContent>
      </w:r>
      <w:r w:rsidR="0015611F">
        <w:t>$10,000</w:t>
      </w:r>
      <w:r w:rsidR="0015611F">
        <w:rPr>
          <w:spacing w:val="1"/>
        </w:rPr>
        <w:t xml:space="preserve"> </w:t>
      </w:r>
      <w:r w:rsidR="0015611F">
        <w:t>to</w:t>
      </w:r>
      <w:r w:rsidR="0015611F">
        <w:rPr>
          <w:spacing w:val="1"/>
        </w:rPr>
        <w:t xml:space="preserve"> </w:t>
      </w:r>
      <w:r w:rsidR="0015611F">
        <w:t>$19,999</w:t>
      </w:r>
      <w:r w:rsidR="0015611F">
        <w:tab/>
      </w:r>
      <w:r w:rsidR="0015611F">
        <w:rPr>
          <w:b/>
        </w:rPr>
        <w:t>1</w:t>
      </w:r>
      <w:r w:rsidR="0015611F">
        <w:rPr>
          <w:b/>
        </w:rPr>
        <w:tab/>
      </w:r>
      <w:r w:rsidR="0015611F">
        <w:t>-</w:t>
      </w:r>
    </w:p>
    <w:p w14:paraId="2B91D20F" w14:textId="77777777" w:rsidR="00FA4AA8" w:rsidRDefault="0015611F">
      <w:pPr>
        <w:tabs>
          <w:tab w:val="left" w:pos="1295"/>
        </w:tabs>
        <w:spacing w:before="158"/>
        <w:ind w:right="228"/>
        <w:jc w:val="right"/>
        <w:rPr>
          <w:sz w:val="18"/>
        </w:rPr>
      </w:pPr>
      <w:r>
        <w:rPr>
          <w:b/>
          <w:sz w:val="18"/>
        </w:rPr>
        <w:t>1</w:t>
      </w:r>
      <w:r>
        <w:rPr>
          <w:b/>
          <w:sz w:val="18"/>
        </w:rPr>
        <w:tab/>
      </w:r>
      <w:r>
        <w:rPr>
          <w:sz w:val="18"/>
        </w:rPr>
        <w:t>1</w:t>
      </w:r>
    </w:p>
    <w:p w14:paraId="143456A1" w14:textId="77777777" w:rsidR="00FA4AA8" w:rsidRDefault="007E2441">
      <w:pPr>
        <w:pStyle w:val="BodyText"/>
        <w:spacing w:line="20" w:lineRule="exact"/>
        <w:ind w:left="7488"/>
        <w:rPr>
          <w:sz w:val="2"/>
        </w:rPr>
      </w:pPr>
      <w:r>
        <w:rPr>
          <w:noProof/>
          <w:sz w:val="2"/>
          <w:lang w:val="en-AU" w:eastAsia="en-AU"/>
        </w:rPr>
        <mc:AlternateContent>
          <mc:Choice Requires="wpg">
            <w:drawing>
              <wp:inline distT="0" distB="0" distL="0" distR="0" wp14:anchorId="76A42C02" wp14:editId="133934B4">
                <wp:extent cx="1645920" cy="12700"/>
                <wp:effectExtent l="9525" t="9525" r="11430" b="6350"/>
                <wp:docPr id="1092" name="Group 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5920" cy="12700"/>
                          <a:chOff x="0" y="0"/>
                          <a:chExt cx="2592" cy="20"/>
                        </a:xfrm>
                      </wpg:grpSpPr>
                      <wps:wsp>
                        <wps:cNvPr id="1093" name="Line 874"/>
                        <wps:cNvCnPr>
                          <a:cxnSpLocks noChangeShapeType="1"/>
                        </wps:cNvCnPr>
                        <wps:spPr bwMode="auto">
                          <a:xfrm>
                            <a:off x="0" y="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94" name="Line 873"/>
                        <wps:cNvCnPr>
                          <a:cxnSpLocks noChangeShapeType="1"/>
                        </wps:cNvCnPr>
                        <wps:spPr bwMode="auto">
                          <a:xfrm>
                            <a:off x="0" y="4"/>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95" name="Line 872"/>
                        <wps:cNvCnPr>
                          <a:cxnSpLocks noChangeShapeType="1"/>
                        </wps:cNvCnPr>
                        <wps:spPr bwMode="auto">
                          <a:xfrm>
                            <a:off x="0" y="6"/>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96" name="Line 871"/>
                        <wps:cNvCnPr>
                          <a:cxnSpLocks noChangeShapeType="1"/>
                        </wps:cNvCnPr>
                        <wps:spPr bwMode="auto">
                          <a:xfrm>
                            <a:off x="0" y="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97" name="Line 870"/>
                        <wps:cNvCnPr>
                          <a:cxnSpLocks noChangeShapeType="1"/>
                        </wps:cNvCnPr>
                        <wps:spPr bwMode="auto">
                          <a:xfrm>
                            <a:off x="0" y="1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98" name="Line 869"/>
                        <wps:cNvCnPr>
                          <a:cxnSpLocks noChangeShapeType="1"/>
                        </wps:cNvCnPr>
                        <wps:spPr bwMode="auto">
                          <a:xfrm>
                            <a:off x="0" y="1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99" name="Line 868"/>
                        <wps:cNvCnPr>
                          <a:cxnSpLocks noChangeShapeType="1"/>
                        </wps:cNvCnPr>
                        <wps:spPr bwMode="auto">
                          <a:xfrm>
                            <a:off x="0" y="16"/>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100" name="Line 867"/>
                        <wps:cNvCnPr>
                          <a:cxnSpLocks noChangeShapeType="1"/>
                        </wps:cNvCnPr>
                        <wps:spPr bwMode="auto">
                          <a:xfrm>
                            <a:off x="0" y="1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101" name="Line 866"/>
                        <wps:cNvCnPr>
                          <a:cxnSpLocks noChangeShapeType="1"/>
                        </wps:cNvCnPr>
                        <wps:spPr bwMode="auto">
                          <a:xfrm>
                            <a:off x="1296" y="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102" name="Line 865"/>
                        <wps:cNvCnPr>
                          <a:cxnSpLocks noChangeShapeType="1"/>
                        </wps:cNvCnPr>
                        <wps:spPr bwMode="auto">
                          <a:xfrm>
                            <a:off x="1296" y="4"/>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103" name="Line 864"/>
                        <wps:cNvCnPr>
                          <a:cxnSpLocks noChangeShapeType="1"/>
                        </wps:cNvCnPr>
                        <wps:spPr bwMode="auto">
                          <a:xfrm>
                            <a:off x="1296" y="6"/>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104" name="Line 863"/>
                        <wps:cNvCnPr>
                          <a:cxnSpLocks noChangeShapeType="1"/>
                        </wps:cNvCnPr>
                        <wps:spPr bwMode="auto">
                          <a:xfrm>
                            <a:off x="1296" y="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105" name="Line 862"/>
                        <wps:cNvCnPr>
                          <a:cxnSpLocks noChangeShapeType="1"/>
                        </wps:cNvCnPr>
                        <wps:spPr bwMode="auto">
                          <a:xfrm>
                            <a:off x="1296" y="1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106" name="Line 861"/>
                        <wps:cNvCnPr>
                          <a:cxnSpLocks noChangeShapeType="1"/>
                        </wps:cNvCnPr>
                        <wps:spPr bwMode="auto">
                          <a:xfrm>
                            <a:off x="1296" y="1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107" name="Line 860"/>
                        <wps:cNvCnPr>
                          <a:cxnSpLocks noChangeShapeType="1"/>
                        </wps:cNvCnPr>
                        <wps:spPr bwMode="auto">
                          <a:xfrm>
                            <a:off x="1296" y="16"/>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108" name="Line 859"/>
                        <wps:cNvCnPr>
                          <a:cxnSpLocks noChangeShapeType="1"/>
                        </wps:cNvCnPr>
                        <wps:spPr bwMode="auto">
                          <a:xfrm>
                            <a:off x="1296" y="1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537283B" id="Group 858" o:spid="_x0000_s1026" style="width:129.6pt;height:1pt;mso-position-horizontal-relative:char;mso-position-vertical-relative:line" coordsize="259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">
                <v:line id="Line 874" o:spid="_x0000_s1027" style="position:absolute;visibility:visible;mso-wrap-style:square" from="0,1" to="12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" strokeweight=".12pt"/>
                <v:line id="Line 873" o:spid="_x0000_s1028" style="position:absolute;visibility:visible;mso-wrap-style:square" from="0,4" to="12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" strokeweight=".12pt"/>
                <v:line id="Line 872" o:spid="_x0000_s1029" style="position:absolute;visibility:visible;mso-wrap-style:square" from="0,6" to="12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" strokeweight=".12pt"/>
                <v:line id="Line 871" o:spid="_x0000_s1030" style="position:absolute;visibility:visible;mso-wrap-style:square" from="0,8" to="12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" strokeweight=".12pt"/>
                <v:line id="Line 870" o:spid="_x0000_s1031" style="position:absolute;visibility:visible;mso-wrap-style:square" from="0,11" to="12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" strokeweight=".12pt"/>
                <v:line id="Line 869" o:spid="_x0000_s1032" style="position:absolute;visibility:visible;mso-wrap-style:square" from="0,13" to="129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" strokeweight=".12pt"/>
                <v:line id="Line 868" o:spid="_x0000_s1033" style="position:absolute;visibility:visible;mso-wrap-style:square" from="0,16" to="129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" strokeweight=".12pt"/>
                <v:line id="Line 867" o:spid="_x0000_s1034" style="position:absolute;visibility:visible;mso-wrap-style:square" from="0,18" to="129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" strokeweight=".12pt"/>
                <v:line id="Line 866" o:spid="_x0000_s1035" style="position:absolute;visibility:visible;mso-wrap-style:square" from="1296,1" to="25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" strokeweight=".12pt"/>
                <v:line id="Line 865" o:spid="_x0000_s1036" style="position:absolute;visibility:visible;mso-wrap-style:square" from="1296,4" to="25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" strokeweight=".12pt"/>
                <v:line id="Line 864" o:spid="_x0000_s1037" style="position:absolute;visibility:visible;mso-wrap-style:square" from="1296,6" to="25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" strokeweight=".12pt"/>
                <v:line id="Line 863" o:spid="_x0000_s1038" style="position:absolute;visibility:visible;mso-wrap-style:square" from="1296,8" to="25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" strokeweight=".12pt"/>
                <v:line id="Line 862" o:spid="_x0000_s1039" style="position:absolute;visibility:visible;mso-wrap-style:square" from="1296,11" to="259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" strokeweight=".12pt"/>
                <v:line id="Line 861" o:spid="_x0000_s1040" style="position:absolute;visibility:visible;mso-wrap-style:square" from="1296,13" to="259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" strokeweight=".12pt"/>
                <v:line id="Line 860" o:spid="_x0000_s1041" style="position:absolute;visibility:visible;mso-wrap-style:square" from="1296,16" to="259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" strokeweight=".12pt"/>
                <v:line id="Line 859" o:spid="_x0000_s1042" style="position:absolute;visibility:visible;mso-wrap-style:square" from="1296,18" to="259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" strokeweight=".12pt"/>
                <w10:anchorlock/>
              </v:group>
            </w:pict>
          </mc:Fallback>
        </mc:AlternateContent>
      </w:r>
    </w:p>
    <w:p w14:paraId="36EC1569" w14:textId="77777777" w:rsidR="00FA4AA8" w:rsidRDefault="00FA4AA8">
      <w:pPr>
        <w:spacing w:line="20" w:lineRule="exact"/>
        <w:rPr>
          <w:sz w:val="2"/>
        </w:rPr>
        <w:sectPr w:rsidR="00FA4AA8">
          <w:type w:val="continuous"/>
          <w:pgSz w:w="11910" w:h="16840"/>
          <w:pgMar w:top="20" w:right="840" w:bottom="0" w:left="840" w:header="720" w:footer="720" w:gutter="0"/>
          <w:cols w:space="720"/>
        </w:sectPr>
      </w:pPr>
    </w:p>
    <w:p w14:paraId="19FE3C75" w14:textId="77777777" w:rsidR="00FA4AA8" w:rsidRDefault="00FA4AA8">
      <w:pPr>
        <w:pStyle w:val="BodyText"/>
        <w:spacing w:before="1"/>
        <w:rPr>
          <w:sz w:val="28"/>
        </w:rPr>
      </w:pPr>
    </w:p>
    <w:p w14:paraId="496209C7" w14:textId="77777777" w:rsidR="00FA4AA8" w:rsidRDefault="0015611F">
      <w:pPr>
        <w:numPr>
          <w:ilvl w:val="0"/>
          <w:numId w:val="54"/>
        </w:numPr>
        <w:tabs>
          <w:tab w:val="left" w:pos="565"/>
        </w:tabs>
        <w:spacing w:before="94"/>
        <w:ind w:hanging="396"/>
        <w:rPr>
          <w:b/>
          <w:sz w:val="18"/>
        </w:rPr>
      </w:pPr>
      <w:bookmarkStart w:id="167" w:name="(c)_Key_management_personnel_compensatio"/>
      <w:bookmarkEnd w:id="167"/>
      <w:r>
        <w:rPr>
          <w:b/>
          <w:sz w:val="18"/>
        </w:rPr>
        <w:t>Key Management Personnel Disclosures</w:t>
      </w:r>
      <w:r>
        <w:rPr>
          <w:b/>
          <w:spacing w:val="-9"/>
          <w:sz w:val="18"/>
        </w:rPr>
        <w:t xml:space="preserve"> </w:t>
      </w:r>
      <w:r>
        <w:rPr>
          <w:b/>
          <w:sz w:val="18"/>
        </w:rPr>
        <w:t>(Continued)</w:t>
      </w:r>
    </w:p>
    <w:p w14:paraId="511DF6C0" w14:textId="77777777" w:rsidR="00FA4AA8" w:rsidRDefault="00FA4AA8">
      <w:pPr>
        <w:pStyle w:val="BodyText"/>
        <w:rPr>
          <w:b/>
          <w:sz w:val="20"/>
        </w:rPr>
      </w:pPr>
    </w:p>
    <w:p w14:paraId="05900D54" w14:textId="77777777" w:rsidR="00FA4AA8" w:rsidRDefault="00FA4AA8">
      <w:pPr>
        <w:pStyle w:val="BodyText"/>
        <w:spacing w:before="9" w:after="1"/>
        <w:rPr>
          <w:b/>
          <w:sz w:val="16"/>
        </w:rPr>
      </w:pPr>
    </w:p>
    <w:tbl>
      <w:tblPr>
        <w:tblW w:w="0" w:type="auto"/>
        <w:tblInd w:w="521" w:type="dxa"/>
        <w:tblLayout w:type="fixed"/>
        <w:tblCellMar>
          <w:left w:w="0" w:type="dxa"/>
          <w:right w:w="0" w:type="dxa"/>
        </w:tblCellMar>
        <w:tblLook w:val="01E0" w:firstRow="1" w:lastRow="1" w:firstColumn="1" w:lastColumn="1" w:noHBand="0" w:noVBand="0"/>
      </w:tblPr>
      <w:tblGrid>
        <w:gridCol w:w="444"/>
        <w:gridCol w:w="6531"/>
        <w:gridCol w:w="1468"/>
        <w:gridCol w:w="1125"/>
      </w:tblGrid>
      <w:tr w:rsidR="00FA4AA8" w14:paraId="303ADA78" w14:textId="77777777">
        <w:trPr>
          <w:trHeight w:val="222"/>
        </w:trPr>
        <w:tc>
          <w:tcPr>
            <w:tcW w:w="444" w:type="dxa"/>
          </w:tcPr>
          <w:p w14:paraId="025C005F" w14:textId="77777777" w:rsidR="00FA4AA8" w:rsidRDefault="0015611F">
            <w:pPr>
              <w:pStyle w:val="TableParagraph"/>
              <w:spacing w:line="201" w:lineRule="exact"/>
              <w:ind w:left="50"/>
              <w:rPr>
                <w:b/>
                <w:sz w:val="18"/>
              </w:rPr>
            </w:pPr>
            <w:r>
              <w:rPr>
                <w:b/>
                <w:sz w:val="18"/>
              </w:rPr>
              <w:t>(c)</w:t>
            </w:r>
          </w:p>
        </w:tc>
        <w:tc>
          <w:tcPr>
            <w:tcW w:w="6531" w:type="dxa"/>
          </w:tcPr>
          <w:p w14:paraId="1E870079" w14:textId="77777777" w:rsidR="00FA4AA8" w:rsidRDefault="0015611F">
            <w:pPr>
              <w:pStyle w:val="TableParagraph"/>
              <w:spacing w:line="201" w:lineRule="exact"/>
              <w:ind w:left="172"/>
              <w:rPr>
                <w:b/>
                <w:sz w:val="18"/>
              </w:rPr>
            </w:pPr>
            <w:r>
              <w:rPr>
                <w:b/>
                <w:sz w:val="18"/>
              </w:rPr>
              <w:t>Key management personnel compensation</w:t>
            </w:r>
          </w:p>
        </w:tc>
        <w:tc>
          <w:tcPr>
            <w:tcW w:w="2593" w:type="dxa"/>
            <w:gridSpan w:val="2"/>
          </w:tcPr>
          <w:p w14:paraId="3C29F222" w14:textId="77777777" w:rsidR="00FA4AA8" w:rsidRDefault="00FA4AA8">
            <w:pPr>
              <w:pStyle w:val="TableParagraph"/>
              <w:rPr>
                <w:rFonts w:ascii="Times New Roman"/>
                <w:sz w:val="14"/>
              </w:rPr>
            </w:pPr>
          </w:p>
        </w:tc>
      </w:tr>
      <w:tr w:rsidR="00FA4AA8" w14:paraId="56AEA764" w14:textId="77777777">
        <w:trPr>
          <w:trHeight w:val="259"/>
        </w:trPr>
        <w:tc>
          <w:tcPr>
            <w:tcW w:w="444" w:type="dxa"/>
          </w:tcPr>
          <w:p w14:paraId="5CDBF872" w14:textId="77777777" w:rsidR="00FA4AA8" w:rsidRDefault="00FA4AA8">
            <w:pPr>
              <w:pStyle w:val="TableParagraph"/>
              <w:rPr>
                <w:rFonts w:ascii="Times New Roman"/>
                <w:sz w:val="18"/>
              </w:rPr>
            </w:pPr>
          </w:p>
        </w:tc>
        <w:tc>
          <w:tcPr>
            <w:tcW w:w="6531" w:type="dxa"/>
          </w:tcPr>
          <w:p w14:paraId="7DD718DC" w14:textId="77777777" w:rsidR="00FA4AA8" w:rsidRDefault="00FA4AA8">
            <w:pPr>
              <w:pStyle w:val="TableParagraph"/>
              <w:rPr>
                <w:rFonts w:ascii="Times New Roman"/>
                <w:sz w:val="18"/>
              </w:rPr>
            </w:pPr>
          </w:p>
        </w:tc>
        <w:tc>
          <w:tcPr>
            <w:tcW w:w="1468" w:type="dxa"/>
          </w:tcPr>
          <w:p w14:paraId="3FE19BE5" w14:textId="77777777" w:rsidR="00FA4AA8" w:rsidRDefault="0015611F">
            <w:pPr>
              <w:pStyle w:val="TableParagraph"/>
              <w:spacing w:before="16"/>
              <w:ind w:left="442"/>
              <w:rPr>
                <w:b/>
                <w:sz w:val="18"/>
              </w:rPr>
            </w:pPr>
            <w:r>
              <w:rPr>
                <w:b/>
                <w:sz w:val="18"/>
              </w:rPr>
              <w:t>2018</w:t>
            </w:r>
          </w:p>
        </w:tc>
        <w:tc>
          <w:tcPr>
            <w:tcW w:w="1125" w:type="dxa"/>
          </w:tcPr>
          <w:p w14:paraId="4D26704A" w14:textId="77777777" w:rsidR="00FA4AA8" w:rsidRDefault="0015611F">
            <w:pPr>
              <w:pStyle w:val="TableParagraph"/>
              <w:spacing w:before="16"/>
              <w:ind w:left="258"/>
              <w:rPr>
                <w:b/>
                <w:sz w:val="18"/>
              </w:rPr>
            </w:pPr>
            <w:r>
              <w:rPr>
                <w:b/>
                <w:sz w:val="18"/>
              </w:rPr>
              <w:t>2017</w:t>
            </w:r>
          </w:p>
        </w:tc>
      </w:tr>
      <w:tr w:rsidR="00FA4AA8" w14:paraId="3D59DEF3" w14:textId="77777777">
        <w:trPr>
          <w:trHeight w:val="285"/>
        </w:trPr>
        <w:tc>
          <w:tcPr>
            <w:tcW w:w="444" w:type="dxa"/>
          </w:tcPr>
          <w:p w14:paraId="05587F5F" w14:textId="77777777" w:rsidR="00FA4AA8" w:rsidRDefault="00FA4AA8">
            <w:pPr>
              <w:pStyle w:val="TableParagraph"/>
              <w:rPr>
                <w:rFonts w:ascii="Times New Roman"/>
                <w:sz w:val="18"/>
              </w:rPr>
            </w:pPr>
          </w:p>
        </w:tc>
        <w:tc>
          <w:tcPr>
            <w:tcW w:w="6531" w:type="dxa"/>
          </w:tcPr>
          <w:p w14:paraId="2F1B2366" w14:textId="77777777" w:rsidR="00FA4AA8" w:rsidRDefault="00FA4AA8">
            <w:pPr>
              <w:pStyle w:val="TableParagraph"/>
              <w:rPr>
                <w:rFonts w:ascii="Times New Roman"/>
                <w:sz w:val="18"/>
              </w:rPr>
            </w:pPr>
          </w:p>
        </w:tc>
        <w:tc>
          <w:tcPr>
            <w:tcW w:w="1468" w:type="dxa"/>
          </w:tcPr>
          <w:p w14:paraId="3F29C943" w14:textId="77777777" w:rsidR="00FA4AA8" w:rsidRDefault="0015611F">
            <w:pPr>
              <w:pStyle w:val="TableParagraph"/>
              <w:spacing w:before="30"/>
              <w:ind w:right="177"/>
              <w:jc w:val="center"/>
              <w:rPr>
                <w:b/>
                <w:sz w:val="18"/>
              </w:rPr>
            </w:pPr>
            <w:bookmarkStart w:id="168" w:name="16_Contingencies_"/>
            <w:bookmarkEnd w:id="168"/>
            <w:r>
              <w:rPr>
                <w:b/>
                <w:sz w:val="18"/>
              </w:rPr>
              <w:t>$</w:t>
            </w:r>
          </w:p>
        </w:tc>
        <w:tc>
          <w:tcPr>
            <w:tcW w:w="1125" w:type="dxa"/>
          </w:tcPr>
          <w:p w14:paraId="411AD493" w14:textId="77777777" w:rsidR="00FA4AA8" w:rsidRDefault="0015611F">
            <w:pPr>
              <w:pStyle w:val="TableParagraph"/>
              <w:spacing w:before="30"/>
              <w:ind w:right="202"/>
              <w:jc w:val="center"/>
              <w:rPr>
                <w:b/>
                <w:sz w:val="18"/>
              </w:rPr>
            </w:pPr>
            <w:r>
              <w:rPr>
                <w:b/>
                <w:sz w:val="18"/>
              </w:rPr>
              <w:t>$</w:t>
            </w:r>
          </w:p>
        </w:tc>
      </w:tr>
      <w:tr w:rsidR="00FA4AA8" w14:paraId="437165E8" w14:textId="77777777">
        <w:trPr>
          <w:trHeight w:val="802"/>
        </w:trPr>
        <w:tc>
          <w:tcPr>
            <w:tcW w:w="444" w:type="dxa"/>
          </w:tcPr>
          <w:p w14:paraId="3BCAD80F" w14:textId="77777777" w:rsidR="00FA4AA8" w:rsidRDefault="00FA4AA8">
            <w:pPr>
              <w:pStyle w:val="TableParagraph"/>
              <w:rPr>
                <w:rFonts w:ascii="Times New Roman"/>
                <w:sz w:val="18"/>
              </w:rPr>
            </w:pPr>
          </w:p>
        </w:tc>
        <w:tc>
          <w:tcPr>
            <w:tcW w:w="6531" w:type="dxa"/>
          </w:tcPr>
          <w:p w14:paraId="6FCF91BC" w14:textId="77777777" w:rsidR="00FA4AA8" w:rsidRDefault="0015611F">
            <w:pPr>
              <w:pStyle w:val="TableParagraph"/>
              <w:spacing w:before="2" w:line="264" w:lineRule="exact"/>
              <w:ind w:left="198" w:right="3955"/>
              <w:rPr>
                <w:sz w:val="18"/>
              </w:rPr>
            </w:pPr>
            <w:r>
              <w:rPr>
                <w:sz w:val="18"/>
              </w:rPr>
              <w:t>Short-term employee benefits Post-employment benefits Termination benefits</w:t>
            </w:r>
          </w:p>
        </w:tc>
        <w:tc>
          <w:tcPr>
            <w:tcW w:w="1468" w:type="dxa"/>
            <w:tcBorders>
              <w:bottom w:val="single" w:sz="8" w:space="0" w:color="000000"/>
            </w:tcBorders>
          </w:tcPr>
          <w:p w14:paraId="0916D4C8" w14:textId="77777777" w:rsidR="00FA4AA8" w:rsidRDefault="0015611F">
            <w:pPr>
              <w:pStyle w:val="TableParagraph"/>
              <w:spacing w:before="42"/>
              <w:ind w:right="260"/>
              <w:jc w:val="right"/>
              <w:rPr>
                <w:b/>
                <w:sz w:val="18"/>
              </w:rPr>
            </w:pPr>
            <w:r>
              <w:rPr>
                <w:b/>
                <w:sz w:val="18"/>
              </w:rPr>
              <w:t>13,750</w:t>
            </w:r>
          </w:p>
          <w:p w14:paraId="4BEDBD52" w14:textId="77777777" w:rsidR="00FA4AA8" w:rsidRDefault="0015611F">
            <w:pPr>
              <w:pStyle w:val="TableParagraph"/>
              <w:spacing w:before="57"/>
              <w:ind w:right="259"/>
              <w:jc w:val="right"/>
              <w:rPr>
                <w:b/>
                <w:sz w:val="18"/>
              </w:rPr>
            </w:pPr>
            <w:r>
              <w:rPr>
                <w:b/>
                <w:sz w:val="18"/>
              </w:rPr>
              <w:t>-</w:t>
            </w:r>
          </w:p>
          <w:p w14:paraId="7A84C342" w14:textId="77777777" w:rsidR="00FA4AA8" w:rsidRDefault="0015611F">
            <w:pPr>
              <w:pStyle w:val="TableParagraph"/>
              <w:spacing w:before="57"/>
              <w:ind w:right="259"/>
              <w:jc w:val="right"/>
              <w:rPr>
                <w:b/>
                <w:sz w:val="18"/>
              </w:rPr>
            </w:pPr>
            <w:r>
              <w:rPr>
                <w:b/>
                <w:sz w:val="18"/>
              </w:rPr>
              <w:t>-</w:t>
            </w:r>
          </w:p>
        </w:tc>
        <w:tc>
          <w:tcPr>
            <w:tcW w:w="1125" w:type="dxa"/>
            <w:tcBorders>
              <w:bottom w:val="single" w:sz="8" w:space="0" w:color="000000"/>
            </w:tcBorders>
          </w:tcPr>
          <w:p w14:paraId="5243BE53" w14:textId="77777777" w:rsidR="00FA4AA8" w:rsidRDefault="0015611F">
            <w:pPr>
              <w:pStyle w:val="TableParagraph"/>
              <w:spacing w:before="42"/>
              <w:ind w:right="86"/>
              <w:jc w:val="right"/>
              <w:rPr>
                <w:sz w:val="18"/>
              </w:rPr>
            </w:pPr>
            <w:r>
              <w:rPr>
                <w:sz w:val="18"/>
              </w:rPr>
              <w:t>6,850</w:t>
            </w:r>
          </w:p>
          <w:p w14:paraId="0BE96008" w14:textId="77777777" w:rsidR="00FA4AA8" w:rsidRDefault="0015611F">
            <w:pPr>
              <w:pStyle w:val="TableParagraph"/>
              <w:spacing w:before="57"/>
              <w:ind w:right="86"/>
              <w:jc w:val="right"/>
              <w:rPr>
                <w:sz w:val="18"/>
              </w:rPr>
            </w:pPr>
            <w:r>
              <w:rPr>
                <w:sz w:val="18"/>
              </w:rPr>
              <w:t>-</w:t>
            </w:r>
          </w:p>
          <w:p w14:paraId="1315B946" w14:textId="77777777" w:rsidR="00FA4AA8" w:rsidRDefault="0015611F">
            <w:pPr>
              <w:pStyle w:val="TableParagraph"/>
              <w:spacing w:before="57"/>
              <w:ind w:right="86"/>
              <w:jc w:val="right"/>
              <w:rPr>
                <w:sz w:val="18"/>
              </w:rPr>
            </w:pPr>
            <w:r>
              <w:rPr>
                <w:sz w:val="18"/>
              </w:rPr>
              <w:t>-</w:t>
            </w:r>
          </w:p>
        </w:tc>
      </w:tr>
      <w:tr w:rsidR="00FA4AA8" w14:paraId="2E2416AE" w14:textId="77777777">
        <w:trPr>
          <w:trHeight w:val="320"/>
        </w:trPr>
        <w:tc>
          <w:tcPr>
            <w:tcW w:w="444" w:type="dxa"/>
          </w:tcPr>
          <w:p w14:paraId="705F46F3" w14:textId="77777777" w:rsidR="00FA4AA8" w:rsidRDefault="00FA4AA8">
            <w:pPr>
              <w:pStyle w:val="TableParagraph"/>
              <w:rPr>
                <w:rFonts w:ascii="Times New Roman"/>
                <w:sz w:val="18"/>
              </w:rPr>
            </w:pPr>
          </w:p>
        </w:tc>
        <w:tc>
          <w:tcPr>
            <w:tcW w:w="6531" w:type="dxa"/>
          </w:tcPr>
          <w:p w14:paraId="1231D809" w14:textId="77777777" w:rsidR="00FA4AA8" w:rsidRDefault="0015611F">
            <w:pPr>
              <w:pStyle w:val="TableParagraph"/>
              <w:spacing w:before="115" w:line="185" w:lineRule="exact"/>
              <w:ind w:left="198"/>
              <w:rPr>
                <w:b/>
                <w:sz w:val="18"/>
              </w:rPr>
            </w:pPr>
            <w:bookmarkStart w:id="169" w:name="17_Commitments_"/>
            <w:bookmarkEnd w:id="169"/>
            <w:r>
              <w:rPr>
                <w:b/>
                <w:sz w:val="18"/>
              </w:rPr>
              <w:t>Total key management personnel compensation</w:t>
            </w:r>
          </w:p>
        </w:tc>
        <w:tc>
          <w:tcPr>
            <w:tcW w:w="1468" w:type="dxa"/>
            <w:tcBorders>
              <w:top w:val="single" w:sz="8" w:space="0" w:color="000000"/>
              <w:bottom w:val="double" w:sz="2" w:space="0" w:color="000000"/>
            </w:tcBorders>
          </w:tcPr>
          <w:p w14:paraId="1D397935" w14:textId="77777777" w:rsidR="00FA4AA8" w:rsidRDefault="0015611F">
            <w:pPr>
              <w:pStyle w:val="TableParagraph"/>
              <w:spacing w:before="115" w:line="185" w:lineRule="exact"/>
              <w:ind w:left="651"/>
              <w:rPr>
                <w:b/>
                <w:sz w:val="18"/>
              </w:rPr>
            </w:pPr>
            <w:r>
              <w:rPr>
                <w:b/>
                <w:sz w:val="18"/>
              </w:rPr>
              <w:t>13,750</w:t>
            </w:r>
          </w:p>
        </w:tc>
        <w:tc>
          <w:tcPr>
            <w:tcW w:w="1125" w:type="dxa"/>
            <w:tcBorders>
              <w:top w:val="single" w:sz="8" w:space="0" w:color="000000"/>
              <w:bottom w:val="double" w:sz="2" w:space="0" w:color="000000"/>
            </w:tcBorders>
          </w:tcPr>
          <w:p w14:paraId="40EBB8FA" w14:textId="77777777" w:rsidR="00FA4AA8" w:rsidRDefault="0015611F">
            <w:pPr>
              <w:pStyle w:val="TableParagraph"/>
              <w:spacing w:before="115" w:line="185" w:lineRule="exact"/>
              <w:ind w:left="582"/>
              <w:rPr>
                <w:sz w:val="18"/>
              </w:rPr>
            </w:pPr>
            <w:r>
              <w:rPr>
                <w:sz w:val="18"/>
              </w:rPr>
              <w:t>6,850</w:t>
            </w:r>
          </w:p>
        </w:tc>
      </w:tr>
    </w:tbl>
    <w:p w14:paraId="3986CC1B" w14:textId="77777777" w:rsidR="00FA4AA8" w:rsidRDefault="00FA4AA8">
      <w:pPr>
        <w:pStyle w:val="BodyText"/>
        <w:rPr>
          <w:b/>
          <w:sz w:val="20"/>
        </w:rPr>
      </w:pPr>
    </w:p>
    <w:p w14:paraId="0350F8CF" w14:textId="77777777" w:rsidR="00FA4AA8" w:rsidRDefault="00FA4AA8">
      <w:pPr>
        <w:pStyle w:val="BodyText"/>
        <w:rPr>
          <w:b/>
          <w:sz w:val="20"/>
        </w:rPr>
      </w:pPr>
    </w:p>
    <w:p w14:paraId="5465DE3C" w14:textId="77777777" w:rsidR="00FA4AA8" w:rsidRDefault="0015611F">
      <w:pPr>
        <w:pStyle w:val="ListParagraph"/>
        <w:numPr>
          <w:ilvl w:val="0"/>
          <w:numId w:val="54"/>
        </w:numPr>
        <w:tabs>
          <w:tab w:val="left" w:pos="565"/>
        </w:tabs>
        <w:rPr>
          <w:b/>
          <w:sz w:val="18"/>
        </w:rPr>
      </w:pPr>
      <w:bookmarkStart w:id="170" w:name="(a)_Operating_lease_commitments"/>
      <w:bookmarkEnd w:id="170"/>
      <w:r>
        <w:rPr>
          <w:b/>
          <w:sz w:val="18"/>
        </w:rPr>
        <w:t>Contingencies</w:t>
      </w:r>
    </w:p>
    <w:p w14:paraId="630B971D" w14:textId="77777777" w:rsidR="00FA4AA8" w:rsidRDefault="00FA4AA8">
      <w:pPr>
        <w:pStyle w:val="BodyText"/>
        <w:rPr>
          <w:b/>
          <w:sz w:val="20"/>
        </w:rPr>
      </w:pPr>
    </w:p>
    <w:p w14:paraId="4EB112EB" w14:textId="77777777" w:rsidR="00FA4AA8" w:rsidRDefault="00FA4AA8">
      <w:pPr>
        <w:pStyle w:val="BodyText"/>
        <w:spacing w:before="11"/>
        <w:rPr>
          <w:b/>
          <w:sz w:val="16"/>
        </w:rPr>
      </w:pPr>
    </w:p>
    <w:p w14:paraId="7A2FA3F9" w14:textId="77777777" w:rsidR="00FA4AA8" w:rsidRDefault="0015611F">
      <w:pPr>
        <w:pStyle w:val="BodyText"/>
        <w:ind w:left="170"/>
      </w:pPr>
      <w:r>
        <w:t>The Company had no contingent liabilities at 31 December 2018 (2017: Nil).</w:t>
      </w:r>
    </w:p>
    <w:p w14:paraId="10B28929" w14:textId="77777777" w:rsidR="00FA4AA8" w:rsidRDefault="00FA4AA8">
      <w:pPr>
        <w:pStyle w:val="BodyText"/>
        <w:rPr>
          <w:sz w:val="20"/>
        </w:rPr>
      </w:pPr>
    </w:p>
    <w:p w14:paraId="2C44AD8E" w14:textId="77777777" w:rsidR="00FA4AA8" w:rsidRDefault="00FA4AA8">
      <w:pPr>
        <w:pStyle w:val="BodyText"/>
        <w:rPr>
          <w:sz w:val="17"/>
        </w:rPr>
      </w:pPr>
    </w:p>
    <w:p w14:paraId="61C2FB3F" w14:textId="77777777" w:rsidR="00FA4AA8" w:rsidRDefault="0015611F">
      <w:pPr>
        <w:numPr>
          <w:ilvl w:val="0"/>
          <w:numId w:val="54"/>
        </w:numPr>
        <w:tabs>
          <w:tab w:val="left" w:pos="565"/>
        </w:tabs>
        <w:rPr>
          <w:b/>
          <w:sz w:val="18"/>
        </w:rPr>
      </w:pPr>
      <w:r>
        <w:rPr>
          <w:b/>
          <w:sz w:val="18"/>
        </w:rPr>
        <w:t>Commitments</w:t>
      </w:r>
    </w:p>
    <w:p w14:paraId="102D97DA" w14:textId="77777777" w:rsidR="00FA4AA8" w:rsidRDefault="00FA4AA8">
      <w:pPr>
        <w:pStyle w:val="BodyText"/>
        <w:rPr>
          <w:b/>
          <w:sz w:val="20"/>
        </w:rPr>
      </w:pPr>
    </w:p>
    <w:p w14:paraId="40273241" w14:textId="77777777" w:rsidR="00FA4AA8" w:rsidRDefault="00FA4AA8">
      <w:pPr>
        <w:pStyle w:val="BodyText"/>
        <w:spacing w:before="5"/>
        <w:rPr>
          <w:b/>
          <w:sz w:val="17"/>
        </w:rPr>
      </w:pPr>
    </w:p>
    <w:p w14:paraId="3ABFB9F6" w14:textId="77777777" w:rsidR="00FA4AA8" w:rsidRDefault="0015611F">
      <w:pPr>
        <w:pStyle w:val="ListParagraph"/>
        <w:numPr>
          <w:ilvl w:val="1"/>
          <w:numId w:val="54"/>
        </w:numPr>
        <w:tabs>
          <w:tab w:val="left" w:pos="1130"/>
          <w:tab w:val="left" w:pos="1131"/>
        </w:tabs>
        <w:spacing w:before="1"/>
        <w:rPr>
          <w:sz w:val="18"/>
        </w:rPr>
      </w:pPr>
      <w:r>
        <w:rPr>
          <w:sz w:val="18"/>
        </w:rPr>
        <w:t>Operating lease</w:t>
      </w:r>
      <w:r>
        <w:rPr>
          <w:spacing w:val="2"/>
          <w:sz w:val="18"/>
        </w:rPr>
        <w:t xml:space="preserve"> </w:t>
      </w:r>
      <w:r>
        <w:rPr>
          <w:sz w:val="18"/>
        </w:rPr>
        <w:t>commitments</w:t>
      </w:r>
    </w:p>
    <w:p w14:paraId="684DDDBE" w14:textId="77777777" w:rsidR="00FA4AA8" w:rsidRDefault="00FA4AA8">
      <w:pPr>
        <w:pStyle w:val="BodyText"/>
        <w:spacing w:before="4"/>
        <w:rPr>
          <w:sz w:val="25"/>
        </w:rPr>
      </w:pPr>
    </w:p>
    <w:p w14:paraId="0E40B7E4" w14:textId="77777777" w:rsidR="00FA4AA8" w:rsidRDefault="0015611F">
      <w:pPr>
        <w:pStyle w:val="BodyText"/>
        <w:spacing w:after="38"/>
        <w:ind w:left="1132" w:hanging="3"/>
        <w:rPr>
          <w:b/>
        </w:rPr>
      </w:pPr>
      <w:r>
        <w:t>The Company leases plant and office equipment under non-cancellable operating leases contracted but not capitalised in the financial statements. The leases have renewal rights, whereby the terms of the lease are renegotiable</w:t>
      </w:r>
      <w:r>
        <w:rPr>
          <w:b/>
        </w:rPr>
        <w:t>.</w:t>
      </w:r>
    </w:p>
    <w:tbl>
      <w:tblPr>
        <w:tblW w:w="0" w:type="auto"/>
        <w:tblInd w:w="521" w:type="dxa"/>
        <w:tblLayout w:type="fixed"/>
        <w:tblCellMar>
          <w:left w:w="0" w:type="dxa"/>
          <w:right w:w="0" w:type="dxa"/>
        </w:tblCellMar>
        <w:tblLook w:val="01E0" w:firstRow="1" w:lastRow="1" w:firstColumn="1" w:lastColumn="1" w:noHBand="0" w:noVBand="0"/>
      </w:tblPr>
      <w:tblGrid>
        <w:gridCol w:w="448"/>
        <w:gridCol w:w="6527"/>
        <w:gridCol w:w="1467"/>
        <w:gridCol w:w="1125"/>
      </w:tblGrid>
      <w:tr w:rsidR="00FA4AA8" w14:paraId="78556B2E" w14:textId="77777777">
        <w:trPr>
          <w:trHeight w:val="507"/>
        </w:trPr>
        <w:tc>
          <w:tcPr>
            <w:tcW w:w="448" w:type="dxa"/>
            <w:vMerge w:val="restart"/>
          </w:tcPr>
          <w:p w14:paraId="63DB4E96" w14:textId="77777777" w:rsidR="00FA4AA8" w:rsidRDefault="00FA4AA8">
            <w:pPr>
              <w:pStyle w:val="TableParagraph"/>
              <w:rPr>
                <w:rFonts w:ascii="Times New Roman"/>
                <w:sz w:val="18"/>
              </w:rPr>
            </w:pPr>
          </w:p>
        </w:tc>
        <w:tc>
          <w:tcPr>
            <w:tcW w:w="6527" w:type="dxa"/>
          </w:tcPr>
          <w:p w14:paraId="6F62C980" w14:textId="77777777" w:rsidR="00FA4AA8" w:rsidRDefault="00FA4AA8">
            <w:pPr>
              <w:pStyle w:val="TableParagraph"/>
              <w:rPr>
                <w:rFonts w:ascii="Times New Roman"/>
                <w:sz w:val="18"/>
              </w:rPr>
            </w:pPr>
          </w:p>
        </w:tc>
        <w:tc>
          <w:tcPr>
            <w:tcW w:w="1467" w:type="dxa"/>
          </w:tcPr>
          <w:p w14:paraId="3BD91AC0" w14:textId="77777777" w:rsidR="00FA4AA8" w:rsidRDefault="0015611F">
            <w:pPr>
              <w:pStyle w:val="TableParagraph"/>
              <w:spacing w:line="201" w:lineRule="exact"/>
              <w:ind w:left="425" w:right="600"/>
              <w:jc w:val="center"/>
              <w:rPr>
                <w:b/>
                <w:sz w:val="18"/>
              </w:rPr>
            </w:pPr>
            <w:bookmarkStart w:id="171" w:name="(b)_Capital_expenditure_commitments"/>
            <w:bookmarkEnd w:id="171"/>
            <w:r>
              <w:rPr>
                <w:b/>
                <w:sz w:val="18"/>
              </w:rPr>
              <w:t>2018</w:t>
            </w:r>
          </w:p>
          <w:p w14:paraId="12E41D48" w14:textId="77777777" w:rsidR="00FA4AA8" w:rsidRDefault="0015611F">
            <w:pPr>
              <w:pStyle w:val="TableParagraph"/>
              <w:spacing w:before="66"/>
              <w:ind w:right="176"/>
              <w:jc w:val="center"/>
              <w:rPr>
                <w:b/>
                <w:sz w:val="18"/>
              </w:rPr>
            </w:pPr>
            <w:r>
              <w:rPr>
                <w:b/>
                <w:sz w:val="18"/>
              </w:rPr>
              <w:t>$</w:t>
            </w:r>
          </w:p>
        </w:tc>
        <w:tc>
          <w:tcPr>
            <w:tcW w:w="1125" w:type="dxa"/>
          </w:tcPr>
          <w:p w14:paraId="54440B5A" w14:textId="77777777" w:rsidR="00FA4AA8" w:rsidRDefault="0015611F">
            <w:pPr>
              <w:pStyle w:val="TableParagraph"/>
              <w:spacing w:line="201" w:lineRule="exact"/>
              <w:ind w:left="152" w:right="351"/>
              <w:jc w:val="center"/>
              <w:rPr>
                <w:b/>
                <w:sz w:val="18"/>
              </w:rPr>
            </w:pPr>
            <w:r>
              <w:rPr>
                <w:b/>
                <w:sz w:val="18"/>
              </w:rPr>
              <w:t>2017</w:t>
            </w:r>
          </w:p>
          <w:p w14:paraId="51745E60" w14:textId="77777777" w:rsidR="00FA4AA8" w:rsidRDefault="0015611F">
            <w:pPr>
              <w:pStyle w:val="TableParagraph"/>
              <w:spacing w:before="66"/>
              <w:ind w:right="200"/>
              <w:jc w:val="center"/>
              <w:rPr>
                <w:b/>
                <w:sz w:val="18"/>
              </w:rPr>
            </w:pPr>
            <w:r>
              <w:rPr>
                <w:b/>
                <w:sz w:val="18"/>
              </w:rPr>
              <w:t>$</w:t>
            </w:r>
          </w:p>
        </w:tc>
      </w:tr>
      <w:tr w:rsidR="00FA4AA8" w14:paraId="6EFEFEF1" w14:textId="77777777">
        <w:trPr>
          <w:trHeight w:val="469"/>
        </w:trPr>
        <w:tc>
          <w:tcPr>
            <w:tcW w:w="448" w:type="dxa"/>
            <w:vMerge/>
            <w:tcBorders>
              <w:top w:val="nil"/>
            </w:tcBorders>
          </w:tcPr>
          <w:p w14:paraId="7FFDA989" w14:textId="77777777" w:rsidR="00FA4AA8" w:rsidRDefault="00FA4AA8">
            <w:pPr>
              <w:rPr>
                <w:sz w:val="2"/>
                <w:szCs w:val="2"/>
              </w:rPr>
            </w:pPr>
          </w:p>
        </w:tc>
        <w:tc>
          <w:tcPr>
            <w:tcW w:w="6527" w:type="dxa"/>
          </w:tcPr>
          <w:p w14:paraId="415DE747" w14:textId="77777777" w:rsidR="00FA4AA8" w:rsidRDefault="0015611F">
            <w:pPr>
              <w:pStyle w:val="TableParagraph"/>
              <w:spacing w:before="26"/>
              <w:ind w:left="168" w:right="576"/>
              <w:rPr>
                <w:sz w:val="18"/>
              </w:rPr>
            </w:pPr>
            <w:r>
              <w:rPr>
                <w:sz w:val="18"/>
              </w:rPr>
              <w:t>Commitments for minimum lease payments in relation to non- cancellable operating leases are payable as follows:</w:t>
            </w:r>
          </w:p>
        </w:tc>
        <w:tc>
          <w:tcPr>
            <w:tcW w:w="1467" w:type="dxa"/>
          </w:tcPr>
          <w:p w14:paraId="4A7E6808" w14:textId="77777777" w:rsidR="00FA4AA8" w:rsidRDefault="00FA4AA8">
            <w:pPr>
              <w:pStyle w:val="TableParagraph"/>
              <w:rPr>
                <w:rFonts w:ascii="Times New Roman"/>
                <w:sz w:val="18"/>
              </w:rPr>
            </w:pPr>
          </w:p>
        </w:tc>
        <w:tc>
          <w:tcPr>
            <w:tcW w:w="1125" w:type="dxa"/>
          </w:tcPr>
          <w:p w14:paraId="6E69E18E" w14:textId="77777777" w:rsidR="00FA4AA8" w:rsidRDefault="00FA4AA8">
            <w:pPr>
              <w:pStyle w:val="TableParagraph"/>
              <w:rPr>
                <w:rFonts w:ascii="Times New Roman"/>
                <w:sz w:val="18"/>
              </w:rPr>
            </w:pPr>
          </w:p>
        </w:tc>
      </w:tr>
      <w:tr w:rsidR="00FA4AA8" w14:paraId="6D0880E1" w14:textId="77777777">
        <w:trPr>
          <w:trHeight w:val="262"/>
        </w:trPr>
        <w:tc>
          <w:tcPr>
            <w:tcW w:w="448" w:type="dxa"/>
            <w:vMerge/>
            <w:tcBorders>
              <w:top w:val="nil"/>
            </w:tcBorders>
          </w:tcPr>
          <w:p w14:paraId="47875538" w14:textId="77777777" w:rsidR="00FA4AA8" w:rsidRDefault="00FA4AA8">
            <w:pPr>
              <w:rPr>
                <w:sz w:val="2"/>
                <w:szCs w:val="2"/>
              </w:rPr>
            </w:pPr>
          </w:p>
        </w:tc>
        <w:tc>
          <w:tcPr>
            <w:tcW w:w="6527" w:type="dxa"/>
          </w:tcPr>
          <w:p w14:paraId="2DDD0DF3" w14:textId="77777777" w:rsidR="00FA4AA8" w:rsidRDefault="0015611F">
            <w:pPr>
              <w:pStyle w:val="TableParagraph"/>
              <w:spacing w:before="23"/>
              <w:ind w:left="168"/>
              <w:rPr>
                <w:sz w:val="18"/>
              </w:rPr>
            </w:pPr>
            <w:r>
              <w:rPr>
                <w:sz w:val="18"/>
              </w:rPr>
              <w:t>- no later than 1 year</w:t>
            </w:r>
          </w:p>
        </w:tc>
        <w:tc>
          <w:tcPr>
            <w:tcW w:w="1467" w:type="dxa"/>
          </w:tcPr>
          <w:p w14:paraId="146CFD7E" w14:textId="77777777" w:rsidR="00FA4AA8" w:rsidRDefault="0015611F">
            <w:pPr>
              <w:pStyle w:val="TableParagraph"/>
              <w:spacing w:before="25"/>
              <w:ind w:right="259"/>
              <w:jc w:val="right"/>
              <w:rPr>
                <w:b/>
                <w:sz w:val="18"/>
              </w:rPr>
            </w:pPr>
            <w:r>
              <w:rPr>
                <w:b/>
                <w:sz w:val="18"/>
              </w:rPr>
              <w:t>36,293</w:t>
            </w:r>
          </w:p>
        </w:tc>
        <w:tc>
          <w:tcPr>
            <w:tcW w:w="1125" w:type="dxa"/>
          </w:tcPr>
          <w:p w14:paraId="344598ED" w14:textId="77777777" w:rsidR="00FA4AA8" w:rsidRDefault="0015611F">
            <w:pPr>
              <w:pStyle w:val="TableParagraph"/>
              <w:spacing w:before="25"/>
              <w:ind w:right="85"/>
              <w:jc w:val="right"/>
              <w:rPr>
                <w:sz w:val="18"/>
              </w:rPr>
            </w:pPr>
            <w:r>
              <w:rPr>
                <w:sz w:val="18"/>
              </w:rPr>
              <w:t>36,895</w:t>
            </w:r>
          </w:p>
        </w:tc>
      </w:tr>
      <w:tr w:rsidR="00FA4AA8" w14:paraId="6EDE4D93" w14:textId="77777777">
        <w:trPr>
          <w:trHeight w:val="258"/>
        </w:trPr>
        <w:tc>
          <w:tcPr>
            <w:tcW w:w="448" w:type="dxa"/>
            <w:vMerge/>
            <w:tcBorders>
              <w:top w:val="nil"/>
            </w:tcBorders>
          </w:tcPr>
          <w:p w14:paraId="7A452E32" w14:textId="77777777" w:rsidR="00FA4AA8" w:rsidRDefault="00FA4AA8">
            <w:pPr>
              <w:rPr>
                <w:sz w:val="2"/>
                <w:szCs w:val="2"/>
              </w:rPr>
            </w:pPr>
          </w:p>
        </w:tc>
        <w:tc>
          <w:tcPr>
            <w:tcW w:w="6527" w:type="dxa"/>
          </w:tcPr>
          <w:p w14:paraId="4B0A3B1C" w14:textId="77777777" w:rsidR="00FA4AA8" w:rsidRDefault="0015611F">
            <w:pPr>
              <w:pStyle w:val="TableParagraph"/>
              <w:spacing w:before="24"/>
              <w:ind w:left="168"/>
              <w:rPr>
                <w:sz w:val="18"/>
              </w:rPr>
            </w:pPr>
            <w:r>
              <w:rPr>
                <w:sz w:val="18"/>
              </w:rPr>
              <w:t>- between 1 year and 5 years</w:t>
            </w:r>
          </w:p>
        </w:tc>
        <w:tc>
          <w:tcPr>
            <w:tcW w:w="1467" w:type="dxa"/>
            <w:tcBorders>
              <w:bottom w:val="single" w:sz="8" w:space="0" w:color="000000"/>
            </w:tcBorders>
          </w:tcPr>
          <w:p w14:paraId="628A8041" w14:textId="77777777" w:rsidR="00FA4AA8" w:rsidRDefault="0015611F">
            <w:pPr>
              <w:pStyle w:val="TableParagraph"/>
              <w:spacing w:before="26"/>
              <w:ind w:right="259"/>
              <w:jc w:val="right"/>
              <w:rPr>
                <w:b/>
                <w:sz w:val="18"/>
              </w:rPr>
            </w:pPr>
            <w:r>
              <w:rPr>
                <w:b/>
                <w:sz w:val="18"/>
              </w:rPr>
              <w:t>22,171</w:t>
            </w:r>
          </w:p>
        </w:tc>
        <w:tc>
          <w:tcPr>
            <w:tcW w:w="1125" w:type="dxa"/>
            <w:tcBorders>
              <w:bottom w:val="single" w:sz="8" w:space="0" w:color="000000"/>
            </w:tcBorders>
          </w:tcPr>
          <w:p w14:paraId="76672AB5" w14:textId="77777777" w:rsidR="00FA4AA8" w:rsidRDefault="0015611F">
            <w:pPr>
              <w:pStyle w:val="TableParagraph"/>
              <w:spacing w:before="26"/>
              <w:ind w:right="85"/>
              <w:jc w:val="right"/>
              <w:rPr>
                <w:sz w:val="18"/>
              </w:rPr>
            </w:pPr>
            <w:r>
              <w:rPr>
                <w:sz w:val="18"/>
              </w:rPr>
              <w:t>31,821</w:t>
            </w:r>
          </w:p>
        </w:tc>
      </w:tr>
      <w:tr w:rsidR="00FA4AA8" w14:paraId="37F8A1D7" w14:textId="77777777">
        <w:trPr>
          <w:trHeight w:val="320"/>
        </w:trPr>
        <w:tc>
          <w:tcPr>
            <w:tcW w:w="448" w:type="dxa"/>
            <w:vMerge/>
            <w:tcBorders>
              <w:top w:val="nil"/>
            </w:tcBorders>
          </w:tcPr>
          <w:p w14:paraId="6152E8ED" w14:textId="77777777" w:rsidR="00FA4AA8" w:rsidRDefault="00FA4AA8">
            <w:pPr>
              <w:rPr>
                <w:sz w:val="2"/>
                <w:szCs w:val="2"/>
              </w:rPr>
            </w:pPr>
          </w:p>
        </w:tc>
        <w:tc>
          <w:tcPr>
            <w:tcW w:w="6527" w:type="dxa"/>
          </w:tcPr>
          <w:p w14:paraId="44BEB4EC" w14:textId="77777777" w:rsidR="00FA4AA8" w:rsidRDefault="0015611F">
            <w:pPr>
              <w:pStyle w:val="TableParagraph"/>
              <w:spacing w:before="115" w:line="185" w:lineRule="exact"/>
              <w:ind w:left="168"/>
              <w:rPr>
                <w:b/>
                <w:sz w:val="18"/>
              </w:rPr>
            </w:pPr>
            <w:r>
              <w:rPr>
                <w:b/>
                <w:sz w:val="18"/>
              </w:rPr>
              <w:t>Total future minimum lease payments</w:t>
            </w:r>
          </w:p>
        </w:tc>
        <w:tc>
          <w:tcPr>
            <w:tcW w:w="1467" w:type="dxa"/>
            <w:tcBorders>
              <w:top w:val="single" w:sz="8" w:space="0" w:color="000000"/>
              <w:bottom w:val="double" w:sz="2" w:space="0" w:color="000000"/>
            </w:tcBorders>
          </w:tcPr>
          <w:p w14:paraId="632F9FFE" w14:textId="77777777" w:rsidR="00FA4AA8" w:rsidRDefault="0015611F">
            <w:pPr>
              <w:pStyle w:val="TableParagraph"/>
              <w:spacing w:before="115" w:line="185" w:lineRule="exact"/>
              <w:ind w:right="259"/>
              <w:jc w:val="right"/>
              <w:rPr>
                <w:b/>
                <w:sz w:val="18"/>
              </w:rPr>
            </w:pPr>
            <w:r>
              <w:rPr>
                <w:b/>
                <w:sz w:val="18"/>
              </w:rPr>
              <w:t>58,464</w:t>
            </w:r>
          </w:p>
        </w:tc>
        <w:tc>
          <w:tcPr>
            <w:tcW w:w="1125" w:type="dxa"/>
            <w:tcBorders>
              <w:top w:val="single" w:sz="8" w:space="0" w:color="000000"/>
              <w:bottom w:val="double" w:sz="2" w:space="0" w:color="000000"/>
            </w:tcBorders>
          </w:tcPr>
          <w:p w14:paraId="3519C072" w14:textId="77777777" w:rsidR="00FA4AA8" w:rsidRDefault="0015611F">
            <w:pPr>
              <w:pStyle w:val="TableParagraph"/>
              <w:spacing w:before="115" w:line="185" w:lineRule="exact"/>
              <w:ind w:right="85"/>
              <w:jc w:val="right"/>
              <w:rPr>
                <w:sz w:val="18"/>
              </w:rPr>
            </w:pPr>
            <w:r>
              <w:rPr>
                <w:sz w:val="18"/>
              </w:rPr>
              <w:t>68,716</w:t>
            </w:r>
          </w:p>
        </w:tc>
      </w:tr>
      <w:tr w:rsidR="00FA4AA8" w14:paraId="3CF5B381" w14:textId="77777777">
        <w:trPr>
          <w:trHeight w:val="579"/>
        </w:trPr>
        <w:tc>
          <w:tcPr>
            <w:tcW w:w="448" w:type="dxa"/>
          </w:tcPr>
          <w:p w14:paraId="5865996F" w14:textId="77777777" w:rsidR="00FA4AA8" w:rsidRDefault="00FA4AA8">
            <w:pPr>
              <w:pStyle w:val="TableParagraph"/>
              <w:rPr>
                <w:b/>
                <w:sz w:val="27"/>
              </w:rPr>
            </w:pPr>
          </w:p>
          <w:p w14:paraId="4CBC197B" w14:textId="77777777" w:rsidR="00FA4AA8" w:rsidRDefault="0015611F">
            <w:pPr>
              <w:pStyle w:val="TableParagraph"/>
              <w:spacing w:before="1"/>
              <w:ind w:left="50"/>
              <w:rPr>
                <w:b/>
                <w:sz w:val="18"/>
              </w:rPr>
            </w:pPr>
            <w:r>
              <w:rPr>
                <w:b/>
                <w:sz w:val="18"/>
              </w:rPr>
              <w:t>(b)</w:t>
            </w:r>
          </w:p>
        </w:tc>
        <w:tc>
          <w:tcPr>
            <w:tcW w:w="6527" w:type="dxa"/>
          </w:tcPr>
          <w:p w14:paraId="672A5B93" w14:textId="77777777" w:rsidR="00FA4AA8" w:rsidRDefault="00FA4AA8">
            <w:pPr>
              <w:pStyle w:val="TableParagraph"/>
              <w:rPr>
                <w:b/>
                <w:sz w:val="27"/>
              </w:rPr>
            </w:pPr>
          </w:p>
          <w:p w14:paraId="5F07F2B6" w14:textId="77777777" w:rsidR="00FA4AA8" w:rsidRDefault="0015611F">
            <w:pPr>
              <w:pStyle w:val="TableParagraph"/>
              <w:spacing w:before="1"/>
              <w:ind w:left="168"/>
              <w:rPr>
                <w:sz w:val="18"/>
              </w:rPr>
            </w:pPr>
            <w:r>
              <w:rPr>
                <w:sz w:val="18"/>
              </w:rPr>
              <w:t>Capital expenditure commitments</w:t>
            </w:r>
          </w:p>
        </w:tc>
        <w:tc>
          <w:tcPr>
            <w:tcW w:w="1467" w:type="dxa"/>
            <w:tcBorders>
              <w:top w:val="double" w:sz="2" w:space="0" w:color="000000"/>
            </w:tcBorders>
          </w:tcPr>
          <w:p w14:paraId="4EF727ED" w14:textId="77777777" w:rsidR="00FA4AA8" w:rsidRDefault="00FA4AA8">
            <w:pPr>
              <w:pStyle w:val="TableParagraph"/>
              <w:rPr>
                <w:rFonts w:ascii="Times New Roman"/>
                <w:sz w:val="18"/>
              </w:rPr>
            </w:pPr>
          </w:p>
        </w:tc>
        <w:tc>
          <w:tcPr>
            <w:tcW w:w="1125" w:type="dxa"/>
            <w:tcBorders>
              <w:top w:val="double" w:sz="2" w:space="0" w:color="000000"/>
            </w:tcBorders>
          </w:tcPr>
          <w:p w14:paraId="7AC399F1" w14:textId="77777777" w:rsidR="00FA4AA8" w:rsidRDefault="00FA4AA8">
            <w:pPr>
              <w:pStyle w:val="TableParagraph"/>
              <w:rPr>
                <w:rFonts w:ascii="Times New Roman"/>
                <w:sz w:val="18"/>
              </w:rPr>
            </w:pPr>
          </w:p>
        </w:tc>
      </w:tr>
      <w:tr w:rsidR="00FA4AA8" w14:paraId="16E5A244" w14:textId="77777777">
        <w:trPr>
          <w:trHeight w:val="278"/>
        </w:trPr>
        <w:tc>
          <w:tcPr>
            <w:tcW w:w="448" w:type="dxa"/>
          </w:tcPr>
          <w:p w14:paraId="38F42691" w14:textId="77777777" w:rsidR="00FA4AA8" w:rsidRDefault="00FA4AA8">
            <w:pPr>
              <w:pStyle w:val="TableParagraph"/>
              <w:rPr>
                <w:rFonts w:ascii="Times New Roman"/>
                <w:sz w:val="18"/>
              </w:rPr>
            </w:pPr>
          </w:p>
        </w:tc>
        <w:tc>
          <w:tcPr>
            <w:tcW w:w="6527" w:type="dxa"/>
          </w:tcPr>
          <w:p w14:paraId="09786631" w14:textId="77777777" w:rsidR="00FA4AA8" w:rsidRDefault="0015611F">
            <w:pPr>
              <w:pStyle w:val="TableParagraph"/>
              <w:spacing w:before="55" w:line="203" w:lineRule="exact"/>
              <w:ind w:left="168"/>
              <w:rPr>
                <w:sz w:val="18"/>
              </w:rPr>
            </w:pPr>
            <w:r>
              <w:rPr>
                <w:sz w:val="18"/>
              </w:rPr>
              <w:t>Property, plant and equipment</w:t>
            </w:r>
          </w:p>
        </w:tc>
        <w:tc>
          <w:tcPr>
            <w:tcW w:w="1467" w:type="dxa"/>
          </w:tcPr>
          <w:p w14:paraId="6AF50D49" w14:textId="77777777" w:rsidR="00FA4AA8" w:rsidRDefault="00FA4AA8">
            <w:pPr>
              <w:pStyle w:val="TableParagraph"/>
              <w:rPr>
                <w:rFonts w:ascii="Times New Roman"/>
                <w:sz w:val="18"/>
              </w:rPr>
            </w:pPr>
          </w:p>
        </w:tc>
        <w:tc>
          <w:tcPr>
            <w:tcW w:w="1125" w:type="dxa"/>
          </w:tcPr>
          <w:p w14:paraId="560B9F28" w14:textId="77777777" w:rsidR="00FA4AA8" w:rsidRDefault="00FA4AA8">
            <w:pPr>
              <w:pStyle w:val="TableParagraph"/>
              <w:rPr>
                <w:rFonts w:ascii="Times New Roman"/>
                <w:sz w:val="18"/>
              </w:rPr>
            </w:pPr>
          </w:p>
        </w:tc>
      </w:tr>
      <w:tr w:rsidR="00FA4AA8" w14:paraId="6FCB13A4" w14:textId="77777777">
        <w:trPr>
          <w:trHeight w:val="244"/>
        </w:trPr>
        <w:tc>
          <w:tcPr>
            <w:tcW w:w="448" w:type="dxa"/>
          </w:tcPr>
          <w:p w14:paraId="028ED14A" w14:textId="77777777" w:rsidR="00FA4AA8" w:rsidRDefault="00FA4AA8">
            <w:pPr>
              <w:pStyle w:val="TableParagraph"/>
              <w:rPr>
                <w:rFonts w:ascii="Times New Roman"/>
                <w:sz w:val="16"/>
              </w:rPr>
            </w:pPr>
          </w:p>
        </w:tc>
        <w:tc>
          <w:tcPr>
            <w:tcW w:w="6527" w:type="dxa"/>
          </w:tcPr>
          <w:p w14:paraId="3BFFBB68" w14:textId="77777777" w:rsidR="00FA4AA8" w:rsidRDefault="0015611F">
            <w:pPr>
              <w:pStyle w:val="TableParagraph"/>
              <w:spacing w:before="10"/>
              <w:ind w:left="168"/>
              <w:rPr>
                <w:sz w:val="18"/>
              </w:rPr>
            </w:pPr>
            <w:r>
              <w:rPr>
                <w:sz w:val="18"/>
              </w:rPr>
              <w:t>- no later than 1 year</w:t>
            </w:r>
          </w:p>
        </w:tc>
        <w:tc>
          <w:tcPr>
            <w:tcW w:w="1467" w:type="dxa"/>
            <w:tcBorders>
              <w:bottom w:val="single" w:sz="8" w:space="0" w:color="000000"/>
            </w:tcBorders>
          </w:tcPr>
          <w:p w14:paraId="5CC54F1C" w14:textId="77777777" w:rsidR="00FA4AA8" w:rsidRDefault="0015611F">
            <w:pPr>
              <w:pStyle w:val="TableParagraph"/>
              <w:spacing w:before="12"/>
              <w:ind w:right="256"/>
              <w:jc w:val="right"/>
              <w:rPr>
                <w:b/>
                <w:sz w:val="18"/>
              </w:rPr>
            </w:pPr>
            <w:r>
              <w:rPr>
                <w:b/>
                <w:sz w:val="18"/>
              </w:rPr>
              <w:t>-</w:t>
            </w:r>
          </w:p>
        </w:tc>
        <w:tc>
          <w:tcPr>
            <w:tcW w:w="1125" w:type="dxa"/>
            <w:tcBorders>
              <w:bottom w:val="single" w:sz="8" w:space="0" w:color="000000"/>
            </w:tcBorders>
          </w:tcPr>
          <w:p w14:paraId="1878DD36" w14:textId="77777777" w:rsidR="00FA4AA8" w:rsidRDefault="0015611F">
            <w:pPr>
              <w:pStyle w:val="TableParagraph"/>
              <w:spacing w:before="12"/>
              <w:ind w:right="83"/>
              <w:jc w:val="right"/>
              <w:rPr>
                <w:sz w:val="18"/>
              </w:rPr>
            </w:pPr>
            <w:r>
              <w:rPr>
                <w:sz w:val="18"/>
              </w:rPr>
              <w:t>12,807</w:t>
            </w:r>
          </w:p>
        </w:tc>
      </w:tr>
      <w:tr w:rsidR="00FA4AA8" w14:paraId="0D099DCA" w14:textId="77777777">
        <w:trPr>
          <w:trHeight w:val="320"/>
        </w:trPr>
        <w:tc>
          <w:tcPr>
            <w:tcW w:w="448" w:type="dxa"/>
          </w:tcPr>
          <w:p w14:paraId="5CBD6F2A" w14:textId="77777777" w:rsidR="00FA4AA8" w:rsidRDefault="00FA4AA8">
            <w:pPr>
              <w:pStyle w:val="TableParagraph"/>
              <w:rPr>
                <w:rFonts w:ascii="Times New Roman"/>
                <w:sz w:val="18"/>
              </w:rPr>
            </w:pPr>
          </w:p>
        </w:tc>
        <w:tc>
          <w:tcPr>
            <w:tcW w:w="6527" w:type="dxa"/>
          </w:tcPr>
          <w:p w14:paraId="6A5E905F" w14:textId="77777777" w:rsidR="00FA4AA8" w:rsidRDefault="0015611F">
            <w:pPr>
              <w:pStyle w:val="TableParagraph"/>
              <w:spacing w:before="115" w:line="185" w:lineRule="exact"/>
              <w:ind w:left="168"/>
              <w:rPr>
                <w:b/>
                <w:sz w:val="18"/>
              </w:rPr>
            </w:pPr>
            <w:r>
              <w:rPr>
                <w:b/>
                <w:sz w:val="18"/>
              </w:rPr>
              <w:t>Total capital expenditure commitments</w:t>
            </w:r>
          </w:p>
        </w:tc>
        <w:tc>
          <w:tcPr>
            <w:tcW w:w="1467" w:type="dxa"/>
            <w:tcBorders>
              <w:top w:val="single" w:sz="8" w:space="0" w:color="000000"/>
              <w:bottom w:val="double" w:sz="2" w:space="0" w:color="000000"/>
            </w:tcBorders>
          </w:tcPr>
          <w:p w14:paraId="48D57EDA" w14:textId="77777777" w:rsidR="00FA4AA8" w:rsidRDefault="0015611F">
            <w:pPr>
              <w:pStyle w:val="TableParagraph"/>
              <w:spacing w:before="115" w:line="185" w:lineRule="exact"/>
              <w:ind w:right="256"/>
              <w:jc w:val="right"/>
              <w:rPr>
                <w:b/>
                <w:sz w:val="18"/>
              </w:rPr>
            </w:pPr>
            <w:r>
              <w:rPr>
                <w:b/>
                <w:sz w:val="18"/>
              </w:rPr>
              <w:t>-</w:t>
            </w:r>
          </w:p>
        </w:tc>
        <w:tc>
          <w:tcPr>
            <w:tcW w:w="1125" w:type="dxa"/>
            <w:tcBorders>
              <w:top w:val="single" w:sz="8" w:space="0" w:color="000000"/>
              <w:bottom w:val="double" w:sz="2" w:space="0" w:color="000000"/>
            </w:tcBorders>
          </w:tcPr>
          <w:p w14:paraId="41705214" w14:textId="77777777" w:rsidR="00FA4AA8" w:rsidRDefault="0015611F">
            <w:pPr>
              <w:pStyle w:val="TableParagraph"/>
              <w:spacing w:before="115" w:line="185" w:lineRule="exact"/>
              <w:ind w:right="83"/>
              <w:jc w:val="right"/>
              <w:rPr>
                <w:sz w:val="18"/>
              </w:rPr>
            </w:pPr>
            <w:r>
              <w:rPr>
                <w:sz w:val="18"/>
              </w:rPr>
              <w:t>12,807</w:t>
            </w:r>
          </w:p>
        </w:tc>
      </w:tr>
    </w:tbl>
    <w:p w14:paraId="44F6FDAA" w14:textId="77777777" w:rsidR="00FA4AA8" w:rsidRDefault="00FA4AA8">
      <w:pPr>
        <w:spacing w:line="185" w:lineRule="exact"/>
        <w:jc w:val="right"/>
        <w:rPr>
          <w:sz w:val="18"/>
        </w:rPr>
        <w:sectPr w:rsidR="00FA4AA8">
          <w:headerReference w:type="default" r:id="rId124"/>
          <w:footerReference w:type="default" r:id="rId125"/>
          <w:pgSz w:w="11910" w:h="16840"/>
          <w:pgMar w:top="2440" w:right="840" w:bottom="720" w:left="840" w:header="1016" w:footer="523" w:gutter="0"/>
          <w:pgNumType w:start="138"/>
          <w:cols w:space="720"/>
        </w:sectPr>
      </w:pPr>
    </w:p>
    <w:p w14:paraId="526E2DD6" w14:textId="77777777" w:rsidR="00FA4AA8" w:rsidRDefault="00FA4AA8">
      <w:pPr>
        <w:pStyle w:val="BodyText"/>
        <w:rPr>
          <w:b/>
          <w:sz w:val="20"/>
        </w:rPr>
      </w:pPr>
    </w:p>
    <w:p w14:paraId="67E144BB" w14:textId="77777777" w:rsidR="00FA4AA8" w:rsidRDefault="00FA4AA8">
      <w:pPr>
        <w:pStyle w:val="BodyText"/>
        <w:spacing w:before="9"/>
        <w:rPr>
          <w:b/>
          <w:sz w:val="16"/>
        </w:rPr>
      </w:pPr>
    </w:p>
    <w:tbl>
      <w:tblPr>
        <w:tblW w:w="0" w:type="auto"/>
        <w:tblInd w:w="127" w:type="dxa"/>
        <w:tblLayout w:type="fixed"/>
        <w:tblCellMar>
          <w:left w:w="0" w:type="dxa"/>
          <w:right w:w="0" w:type="dxa"/>
        </w:tblCellMar>
        <w:tblLook w:val="01E0" w:firstRow="1" w:lastRow="1" w:firstColumn="1" w:lastColumn="1" w:noHBand="0" w:noVBand="0"/>
      </w:tblPr>
      <w:tblGrid>
        <w:gridCol w:w="348"/>
        <w:gridCol w:w="8249"/>
        <w:gridCol w:w="1370"/>
      </w:tblGrid>
      <w:tr w:rsidR="00FA4AA8" w14:paraId="7436EE14" w14:textId="77777777">
        <w:trPr>
          <w:trHeight w:val="332"/>
        </w:trPr>
        <w:tc>
          <w:tcPr>
            <w:tcW w:w="348" w:type="dxa"/>
          </w:tcPr>
          <w:p w14:paraId="4816998B" w14:textId="77777777" w:rsidR="00FA4AA8" w:rsidRDefault="0015611F">
            <w:pPr>
              <w:pStyle w:val="TableParagraph"/>
              <w:spacing w:line="201" w:lineRule="exact"/>
              <w:ind w:left="50"/>
              <w:rPr>
                <w:b/>
                <w:sz w:val="18"/>
              </w:rPr>
            </w:pPr>
            <w:bookmarkStart w:id="172" w:name="18_Related_party_transactions_"/>
            <w:bookmarkStart w:id="173" w:name="(a)_Parent_entity"/>
            <w:bookmarkEnd w:id="172"/>
            <w:bookmarkEnd w:id="173"/>
            <w:r>
              <w:rPr>
                <w:b/>
                <w:sz w:val="18"/>
              </w:rPr>
              <w:t>18</w:t>
            </w:r>
          </w:p>
        </w:tc>
        <w:tc>
          <w:tcPr>
            <w:tcW w:w="8249" w:type="dxa"/>
          </w:tcPr>
          <w:p w14:paraId="260D3AA5" w14:textId="77777777" w:rsidR="00FA4AA8" w:rsidRDefault="0015611F">
            <w:pPr>
              <w:pStyle w:val="TableParagraph"/>
              <w:spacing w:line="201" w:lineRule="exact"/>
              <w:ind w:left="96"/>
              <w:rPr>
                <w:b/>
                <w:sz w:val="18"/>
              </w:rPr>
            </w:pPr>
            <w:r>
              <w:rPr>
                <w:b/>
                <w:sz w:val="18"/>
              </w:rPr>
              <w:t>Related party transactions</w:t>
            </w:r>
          </w:p>
        </w:tc>
        <w:tc>
          <w:tcPr>
            <w:tcW w:w="1370" w:type="dxa"/>
            <w:vMerge w:val="restart"/>
          </w:tcPr>
          <w:p w14:paraId="648F9AEA" w14:textId="77777777" w:rsidR="00FA4AA8" w:rsidRDefault="00FA4AA8">
            <w:pPr>
              <w:pStyle w:val="TableParagraph"/>
              <w:rPr>
                <w:rFonts w:ascii="Times New Roman"/>
                <w:sz w:val="18"/>
              </w:rPr>
            </w:pPr>
          </w:p>
        </w:tc>
      </w:tr>
      <w:tr w:rsidR="00FA4AA8" w14:paraId="681E4998" w14:textId="77777777">
        <w:trPr>
          <w:trHeight w:val="482"/>
        </w:trPr>
        <w:tc>
          <w:tcPr>
            <w:tcW w:w="348" w:type="dxa"/>
          </w:tcPr>
          <w:p w14:paraId="7A5864C1" w14:textId="77777777" w:rsidR="00FA4AA8" w:rsidRDefault="00FA4AA8">
            <w:pPr>
              <w:pStyle w:val="TableParagraph"/>
              <w:rPr>
                <w:rFonts w:ascii="Times New Roman"/>
                <w:sz w:val="18"/>
              </w:rPr>
            </w:pPr>
          </w:p>
        </w:tc>
        <w:tc>
          <w:tcPr>
            <w:tcW w:w="8249" w:type="dxa"/>
          </w:tcPr>
          <w:p w14:paraId="2C1E4B1B" w14:textId="77777777" w:rsidR="00FA4AA8" w:rsidRDefault="0015611F">
            <w:pPr>
              <w:pStyle w:val="TableParagraph"/>
              <w:tabs>
                <w:tab w:val="left" w:pos="661"/>
              </w:tabs>
              <w:spacing w:before="126"/>
              <w:ind w:left="95"/>
              <w:rPr>
                <w:sz w:val="18"/>
              </w:rPr>
            </w:pPr>
            <w:r>
              <w:rPr>
                <w:b/>
                <w:sz w:val="18"/>
              </w:rPr>
              <w:t>(a)</w:t>
            </w:r>
            <w:r>
              <w:rPr>
                <w:b/>
                <w:sz w:val="18"/>
              </w:rPr>
              <w:tab/>
            </w:r>
            <w:r>
              <w:rPr>
                <w:sz w:val="18"/>
              </w:rPr>
              <w:t>Parent</w:t>
            </w:r>
            <w:r>
              <w:rPr>
                <w:spacing w:val="1"/>
                <w:sz w:val="18"/>
              </w:rPr>
              <w:t xml:space="preserve"> </w:t>
            </w:r>
            <w:r>
              <w:rPr>
                <w:sz w:val="18"/>
              </w:rPr>
              <w:t>entity</w:t>
            </w:r>
          </w:p>
        </w:tc>
        <w:tc>
          <w:tcPr>
            <w:tcW w:w="1370" w:type="dxa"/>
            <w:vMerge/>
            <w:tcBorders>
              <w:top w:val="nil"/>
            </w:tcBorders>
          </w:tcPr>
          <w:p w14:paraId="2134228D" w14:textId="77777777" w:rsidR="00FA4AA8" w:rsidRDefault="00FA4AA8">
            <w:pPr>
              <w:rPr>
                <w:sz w:val="2"/>
                <w:szCs w:val="2"/>
              </w:rPr>
            </w:pPr>
          </w:p>
        </w:tc>
      </w:tr>
      <w:tr w:rsidR="00FA4AA8" w14:paraId="0930794F" w14:textId="77777777">
        <w:trPr>
          <w:trHeight w:val="506"/>
        </w:trPr>
        <w:tc>
          <w:tcPr>
            <w:tcW w:w="348" w:type="dxa"/>
          </w:tcPr>
          <w:p w14:paraId="6CFA4C45" w14:textId="77777777" w:rsidR="00FA4AA8" w:rsidRDefault="00FA4AA8">
            <w:pPr>
              <w:pStyle w:val="TableParagraph"/>
              <w:rPr>
                <w:rFonts w:ascii="Times New Roman"/>
                <w:sz w:val="18"/>
              </w:rPr>
            </w:pPr>
          </w:p>
        </w:tc>
        <w:tc>
          <w:tcPr>
            <w:tcW w:w="8249" w:type="dxa"/>
          </w:tcPr>
          <w:p w14:paraId="594CDD2A" w14:textId="77777777" w:rsidR="00FA4AA8" w:rsidRDefault="0015611F">
            <w:pPr>
              <w:pStyle w:val="TableParagraph"/>
              <w:spacing w:before="143"/>
              <w:ind w:left="664"/>
              <w:rPr>
                <w:sz w:val="18"/>
              </w:rPr>
            </w:pPr>
            <w:r>
              <w:rPr>
                <w:sz w:val="18"/>
              </w:rPr>
              <w:t>The ultimate parent entity of the Company is Western Sydney University.</w:t>
            </w:r>
          </w:p>
        </w:tc>
        <w:tc>
          <w:tcPr>
            <w:tcW w:w="1370" w:type="dxa"/>
            <w:vMerge/>
            <w:tcBorders>
              <w:top w:val="nil"/>
            </w:tcBorders>
          </w:tcPr>
          <w:p w14:paraId="74CD75E3" w14:textId="77777777" w:rsidR="00FA4AA8" w:rsidRDefault="00FA4AA8">
            <w:pPr>
              <w:rPr>
                <w:sz w:val="2"/>
                <w:szCs w:val="2"/>
              </w:rPr>
            </w:pPr>
          </w:p>
        </w:tc>
      </w:tr>
      <w:tr w:rsidR="00FA4AA8" w14:paraId="7A870CD2" w14:textId="77777777">
        <w:trPr>
          <w:trHeight w:val="506"/>
        </w:trPr>
        <w:tc>
          <w:tcPr>
            <w:tcW w:w="348" w:type="dxa"/>
          </w:tcPr>
          <w:p w14:paraId="23AA7849" w14:textId="77777777" w:rsidR="00FA4AA8" w:rsidRDefault="00FA4AA8">
            <w:pPr>
              <w:pStyle w:val="TableParagraph"/>
              <w:rPr>
                <w:rFonts w:ascii="Times New Roman"/>
                <w:sz w:val="18"/>
              </w:rPr>
            </w:pPr>
          </w:p>
        </w:tc>
        <w:tc>
          <w:tcPr>
            <w:tcW w:w="8249" w:type="dxa"/>
          </w:tcPr>
          <w:p w14:paraId="5DD53EEA" w14:textId="77777777" w:rsidR="00FA4AA8" w:rsidRDefault="0015611F">
            <w:pPr>
              <w:pStyle w:val="TableParagraph"/>
              <w:tabs>
                <w:tab w:val="left" w:pos="661"/>
              </w:tabs>
              <w:spacing w:before="150"/>
              <w:ind w:left="95"/>
              <w:rPr>
                <w:sz w:val="18"/>
              </w:rPr>
            </w:pPr>
            <w:r>
              <w:rPr>
                <w:b/>
                <w:sz w:val="18"/>
              </w:rPr>
              <w:t>(b)</w:t>
            </w:r>
            <w:r>
              <w:rPr>
                <w:b/>
                <w:sz w:val="18"/>
              </w:rPr>
              <w:tab/>
            </w:r>
            <w:r>
              <w:rPr>
                <w:sz w:val="18"/>
              </w:rPr>
              <w:t>Transactions with related parties</w:t>
            </w:r>
          </w:p>
        </w:tc>
        <w:tc>
          <w:tcPr>
            <w:tcW w:w="1370" w:type="dxa"/>
            <w:vMerge/>
            <w:tcBorders>
              <w:top w:val="nil"/>
            </w:tcBorders>
          </w:tcPr>
          <w:p w14:paraId="58DB9243" w14:textId="77777777" w:rsidR="00FA4AA8" w:rsidRDefault="00FA4AA8">
            <w:pPr>
              <w:rPr>
                <w:sz w:val="2"/>
                <w:szCs w:val="2"/>
              </w:rPr>
            </w:pPr>
          </w:p>
        </w:tc>
      </w:tr>
      <w:tr w:rsidR="00FA4AA8" w14:paraId="244FC437" w14:textId="77777777">
        <w:trPr>
          <w:trHeight w:val="703"/>
        </w:trPr>
        <w:tc>
          <w:tcPr>
            <w:tcW w:w="348" w:type="dxa"/>
          </w:tcPr>
          <w:p w14:paraId="2A03D77D" w14:textId="77777777" w:rsidR="00FA4AA8" w:rsidRDefault="00FA4AA8">
            <w:pPr>
              <w:pStyle w:val="TableParagraph"/>
              <w:rPr>
                <w:rFonts w:ascii="Times New Roman"/>
                <w:sz w:val="18"/>
              </w:rPr>
            </w:pPr>
          </w:p>
        </w:tc>
        <w:tc>
          <w:tcPr>
            <w:tcW w:w="8249" w:type="dxa"/>
          </w:tcPr>
          <w:p w14:paraId="706EB258" w14:textId="77777777" w:rsidR="00FA4AA8" w:rsidRDefault="0015611F">
            <w:pPr>
              <w:pStyle w:val="TableParagraph"/>
              <w:spacing w:before="143"/>
              <w:ind w:left="664"/>
              <w:rPr>
                <w:sz w:val="18"/>
              </w:rPr>
            </w:pPr>
            <w:r>
              <w:rPr>
                <w:sz w:val="18"/>
              </w:rPr>
              <w:t>Transactions between related parties are on normal commercial terms and conditions no more those available to other parties unless otherwise stated.</w:t>
            </w:r>
          </w:p>
        </w:tc>
        <w:tc>
          <w:tcPr>
            <w:tcW w:w="1370" w:type="dxa"/>
          </w:tcPr>
          <w:p w14:paraId="61BCD54D" w14:textId="77777777" w:rsidR="00FA4AA8" w:rsidRDefault="0015611F">
            <w:pPr>
              <w:pStyle w:val="TableParagraph"/>
              <w:spacing w:before="143"/>
              <w:ind w:right="98"/>
              <w:jc w:val="right"/>
              <w:rPr>
                <w:sz w:val="18"/>
              </w:rPr>
            </w:pPr>
            <w:r>
              <w:rPr>
                <w:sz w:val="18"/>
              </w:rPr>
              <w:t>favourable than</w:t>
            </w:r>
          </w:p>
        </w:tc>
      </w:tr>
      <w:tr w:rsidR="00FA4AA8" w14:paraId="2A9CF18F" w14:textId="77777777">
        <w:trPr>
          <w:trHeight w:val="503"/>
        </w:trPr>
        <w:tc>
          <w:tcPr>
            <w:tcW w:w="348" w:type="dxa"/>
          </w:tcPr>
          <w:p w14:paraId="23273245" w14:textId="77777777" w:rsidR="00FA4AA8" w:rsidRDefault="00FA4AA8">
            <w:pPr>
              <w:pStyle w:val="TableParagraph"/>
              <w:rPr>
                <w:rFonts w:ascii="Times New Roman"/>
                <w:sz w:val="18"/>
              </w:rPr>
            </w:pPr>
          </w:p>
        </w:tc>
        <w:tc>
          <w:tcPr>
            <w:tcW w:w="8249" w:type="dxa"/>
          </w:tcPr>
          <w:p w14:paraId="31C05510" w14:textId="77777777" w:rsidR="00FA4AA8" w:rsidRDefault="0015611F">
            <w:pPr>
              <w:pStyle w:val="TableParagraph"/>
              <w:spacing w:before="140"/>
              <w:ind w:left="664"/>
              <w:rPr>
                <w:sz w:val="18"/>
              </w:rPr>
            </w:pPr>
            <w:r>
              <w:rPr>
                <w:sz w:val="18"/>
              </w:rPr>
              <w:t>The following transactions occurred with related parties:</w:t>
            </w:r>
          </w:p>
        </w:tc>
        <w:tc>
          <w:tcPr>
            <w:tcW w:w="1370" w:type="dxa"/>
          </w:tcPr>
          <w:p w14:paraId="3A8C120B" w14:textId="77777777" w:rsidR="00FA4AA8" w:rsidRDefault="00FA4AA8">
            <w:pPr>
              <w:pStyle w:val="TableParagraph"/>
              <w:rPr>
                <w:rFonts w:ascii="Times New Roman"/>
                <w:sz w:val="18"/>
              </w:rPr>
            </w:pPr>
          </w:p>
        </w:tc>
      </w:tr>
      <w:tr w:rsidR="00FA4AA8" w14:paraId="6BADDCDA" w14:textId="77777777">
        <w:trPr>
          <w:trHeight w:val="393"/>
        </w:trPr>
        <w:tc>
          <w:tcPr>
            <w:tcW w:w="348" w:type="dxa"/>
          </w:tcPr>
          <w:p w14:paraId="61EBD250" w14:textId="77777777" w:rsidR="00FA4AA8" w:rsidRDefault="00FA4AA8">
            <w:pPr>
              <w:pStyle w:val="TableParagraph"/>
              <w:rPr>
                <w:rFonts w:ascii="Times New Roman"/>
                <w:sz w:val="18"/>
              </w:rPr>
            </w:pPr>
          </w:p>
        </w:tc>
        <w:tc>
          <w:tcPr>
            <w:tcW w:w="8249" w:type="dxa"/>
          </w:tcPr>
          <w:p w14:paraId="2EF03F53" w14:textId="77777777" w:rsidR="00FA4AA8" w:rsidRDefault="0015611F">
            <w:pPr>
              <w:pStyle w:val="TableParagraph"/>
              <w:spacing w:before="150"/>
              <w:ind w:right="397"/>
              <w:jc w:val="right"/>
              <w:rPr>
                <w:b/>
                <w:sz w:val="18"/>
              </w:rPr>
            </w:pPr>
            <w:r>
              <w:rPr>
                <w:b/>
                <w:sz w:val="18"/>
              </w:rPr>
              <w:t>2018</w:t>
            </w:r>
          </w:p>
        </w:tc>
        <w:tc>
          <w:tcPr>
            <w:tcW w:w="1370" w:type="dxa"/>
          </w:tcPr>
          <w:p w14:paraId="51BA1B15" w14:textId="77777777" w:rsidR="00FA4AA8" w:rsidRDefault="0015611F">
            <w:pPr>
              <w:pStyle w:val="TableParagraph"/>
              <w:spacing w:before="150"/>
              <w:ind w:left="479" w:right="449"/>
              <w:jc w:val="center"/>
              <w:rPr>
                <w:b/>
                <w:sz w:val="18"/>
              </w:rPr>
            </w:pPr>
            <w:r>
              <w:rPr>
                <w:b/>
                <w:sz w:val="18"/>
              </w:rPr>
              <w:t>2017</w:t>
            </w:r>
          </w:p>
        </w:tc>
      </w:tr>
      <w:tr w:rsidR="00FA4AA8" w14:paraId="177A814C" w14:textId="77777777">
        <w:trPr>
          <w:trHeight w:val="313"/>
        </w:trPr>
        <w:tc>
          <w:tcPr>
            <w:tcW w:w="348" w:type="dxa"/>
          </w:tcPr>
          <w:p w14:paraId="07FE8A70" w14:textId="77777777" w:rsidR="00FA4AA8" w:rsidRDefault="00FA4AA8">
            <w:pPr>
              <w:pStyle w:val="TableParagraph"/>
              <w:rPr>
                <w:rFonts w:ascii="Times New Roman"/>
                <w:sz w:val="18"/>
              </w:rPr>
            </w:pPr>
          </w:p>
        </w:tc>
        <w:tc>
          <w:tcPr>
            <w:tcW w:w="8249" w:type="dxa"/>
          </w:tcPr>
          <w:p w14:paraId="4B11AC40" w14:textId="77777777" w:rsidR="00FA4AA8" w:rsidRDefault="0015611F">
            <w:pPr>
              <w:pStyle w:val="TableParagraph"/>
              <w:spacing w:before="30"/>
              <w:ind w:right="548"/>
              <w:jc w:val="right"/>
              <w:rPr>
                <w:b/>
                <w:sz w:val="18"/>
              </w:rPr>
            </w:pPr>
            <w:r>
              <w:rPr>
                <w:b/>
                <w:sz w:val="18"/>
              </w:rPr>
              <w:t>$</w:t>
            </w:r>
          </w:p>
        </w:tc>
        <w:tc>
          <w:tcPr>
            <w:tcW w:w="1370" w:type="dxa"/>
          </w:tcPr>
          <w:p w14:paraId="0009EA9F" w14:textId="77777777" w:rsidR="00FA4AA8" w:rsidRDefault="0015611F">
            <w:pPr>
              <w:pStyle w:val="TableParagraph"/>
              <w:spacing w:before="30"/>
              <w:ind w:left="29"/>
              <w:jc w:val="center"/>
              <w:rPr>
                <w:b/>
                <w:sz w:val="18"/>
              </w:rPr>
            </w:pPr>
            <w:r>
              <w:rPr>
                <w:b/>
                <w:sz w:val="18"/>
              </w:rPr>
              <w:t>$</w:t>
            </w:r>
          </w:p>
        </w:tc>
      </w:tr>
      <w:tr w:rsidR="00FA4AA8" w14:paraId="59BCE1FD" w14:textId="77777777">
        <w:trPr>
          <w:trHeight w:val="293"/>
        </w:trPr>
        <w:tc>
          <w:tcPr>
            <w:tcW w:w="348" w:type="dxa"/>
          </w:tcPr>
          <w:p w14:paraId="51BF088B" w14:textId="77777777" w:rsidR="00FA4AA8" w:rsidRDefault="00FA4AA8">
            <w:pPr>
              <w:pStyle w:val="TableParagraph"/>
              <w:rPr>
                <w:rFonts w:ascii="Times New Roman"/>
                <w:sz w:val="18"/>
              </w:rPr>
            </w:pPr>
          </w:p>
        </w:tc>
        <w:tc>
          <w:tcPr>
            <w:tcW w:w="8249" w:type="dxa"/>
          </w:tcPr>
          <w:p w14:paraId="28B78C04" w14:textId="77777777" w:rsidR="00FA4AA8" w:rsidRDefault="0015611F">
            <w:pPr>
              <w:pStyle w:val="TableParagraph"/>
              <w:spacing w:before="70" w:line="204" w:lineRule="exact"/>
              <w:ind w:left="662"/>
              <w:rPr>
                <w:b/>
                <w:sz w:val="18"/>
              </w:rPr>
            </w:pPr>
            <w:r>
              <w:rPr>
                <w:b/>
                <w:sz w:val="18"/>
              </w:rPr>
              <w:t>Sale of goods and services</w:t>
            </w:r>
          </w:p>
        </w:tc>
        <w:tc>
          <w:tcPr>
            <w:tcW w:w="1370" w:type="dxa"/>
          </w:tcPr>
          <w:p w14:paraId="24833CB6" w14:textId="77777777" w:rsidR="00FA4AA8" w:rsidRDefault="00FA4AA8">
            <w:pPr>
              <w:pStyle w:val="TableParagraph"/>
              <w:rPr>
                <w:rFonts w:ascii="Times New Roman"/>
                <w:sz w:val="18"/>
              </w:rPr>
            </w:pPr>
          </w:p>
        </w:tc>
      </w:tr>
      <w:tr w:rsidR="00FA4AA8" w14:paraId="6610A0A4" w14:textId="77777777">
        <w:trPr>
          <w:trHeight w:val="250"/>
        </w:trPr>
        <w:tc>
          <w:tcPr>
            <w:tcW w:w="348" w:type="dxa"/>
          </w:tcPr>
          <w:p w14:paraId="3E3698E0" w14:textId="77777777" w:rsidR="00FA4AA8" w:rsidRDefault="00FA4AA8">
            <w:pPr>
              <w:pStyle w:val="TableParagraph"/>
              <w:rPr>
                <w:rFonts w:ascii="Times New Roman"/>
                <w:sz w:val="18"/>
              </w:rPr>
            </w:pPr>
          </w:p>
        </w:tc>
        <w:tc>
          <w:tcPr>
            <w:tcW w:w="8249" w:type="dxa"/>
          </w:tcPr>
          <w:p w14:paraId="4F93ADC7" w14:textId="77777777" w:rsidR="00FA4AA8" w:rsidRDefault="0015611F">
            <w:pPr>
              <w:pStyle w:val="TableParagraph"/>
              <w:tabs>
                <w:tab w:val="left" w:pos="6758"/>
              </w:tabs>
              <w:spacing w:before="13"/>
              <w:ind w:right="20"/>
              <w:jc w:val="right"/>
              <w:rPr>
                <w:b/>
                <w:sz w:val="18"/>
              </w:rPr>
            </w:pPr>
            <w:r>
              <w:rPr>
                <w:sz w:val="18"/>
              </w:rPr>
              <w:t>Sale of goods and services to the ultimate</w:t>
            </w:r>
            <w:r>
              <w:rPr>
                <w:spacing w:val="8"/>
                <w:sz w:val="18"/>
              </w:rPr>
              <w:t xml:space="preserve"> </w:t>
            </w:r>
            <w:r>
              <w:rPr>
                <w:sz w:val="18"/>
              </w:rPr>
              <w:t>parent</w:t>
            </w:r>
            <w:r>
              <w:rPr>
                <w:spacing w:val="1"/>
                <w:sz w:val="18"/>
              </w:rPr>
              <w:t xml:space="preserve"> </w:t>
            </w:r>
            <w:r>
              <w:rPr>
                <w:sz w:val="18"/>
              </w:rPr>
              <w:t>entity</w:t>
            </w:r>
            <w:r>
              <w:rPr>
                <w:sz w:val="18"/>
              </w:rPr>
              <w:tab/>
            </w:r>
            <w:r>
              <w:rPr>
                <w:b/>
                <w:sz w:val="18"/>
              </w:rPr>
              <w:t>1,542,750</w:t>
            </w:r>
          </w:p>
        </w:tc>
        <w:tc>
          <w:tcPr>
            <w:tcW w:w="1370" w:type="dxa"/>
          </w:tcPr>
          <w:p w14:paraId="6F7E946A" w14:textId="77777777" w:rsidR="00FA4AA8" w:rsidRDefault="0015611F">
            <w:pPr>
              <w:pStyle w:val="TableParagraph"/>
              <w:spacing w:before="11"/>
              <w:ind w:right="89"/>
              <w:jc w:val="right"/>
              <w:rPr>
                <w:sz w:val="18"/>
              </w:rPr>
            </w:pPr>
            <w:r>
              <w:rPr>
                <w:sz w:val="18"/>
              </w:rPr>
              <w:t>1,545,547</w:t>
            </w:r>
          </w:p>
        </w:tc>
      </w:tr>
      <w:tr w:rsidR="00FA4AA8" w14:paraId="56741ECD" w14:textId="77777777">
        <w:trPr>
          <w:trHeight w:val="256"/>
        </w:trPr>
        <w:tc>
          <w:tcPr>
            <w:tcW w:w="348" w:type="dxa"/>
          </w:tcPr>
          <w:p w14:paraId="26EF906B" w14:textId="77777777" w:rsidR="00FA4AA8" w:rsidRDefault="00FA4AA8">
            <w:pPr>
              <w:pStyle w:val="TableParagraph"/>
              <w:rPr>
                <w:rFonts w:ascii="Times New Roman"/>
                <w:sz w:val="18"/>
              </w:rPr>
            </w:pPr>
          </w:p>
        </w:tc>
        <w:tc>
          <w:tcPr>
            <w:tcW w:w="8249" w:type="dxa"/>
          </w:tcPr>
          <w:p w14:paraId="4F840E5F" w14:textId="77777777" w:rsidR="00FA4AA8" w:rsidRDefault="0015611F">
            <w:pPr>
              <w:pStyle w:val="TableParagraph"/>
              <w:tabs>
                <w:tab w:val="left" w:pos="7010"/>
              </w:tabs>
              <w:spacing w:before="26"/>
              <w:ind w:right="20"/>
              <w:jc w:val="right"/>
              <w:rPr>
                <w:b/>
                <w:sz w:val="18"/>
              </w:rPr>
            </w:pPr>
            <w:r>
              <w:rPr>
                <w:sz w:val="18"/>
              </w:rPr>
              <w:t>Sale of goods and services to other</w:t>
            </w:r>
            <w:r>
              <w:rPr>
                <w:spacing w:val="7"/>
                <w:sz w:val="18"/>
              </w:rPr>
              <w:t xml:space="preserve"> </w:t>
            </w:r>
            <w:r>
              <w:rPr>
                <w:sz w:val="18"/>
              </w:rPr>
              <w:t>related</w:t>
            </w:r>
            <w:r>
              <w:rPr>
                <w:spacing w:val="1"/>
                <w:sz w:val="18"/>
              </w:rPr>
              <w:t xml:space="preserve"> </w:t>
            </w:r>
            <w:r>
              <w:rPr>
                <w:sz w:val="18"/>
              </w:rPr>
              <w:t>parties</w:t>
            </w:r>
            <w:r>
              <w:rPr>
                <w:sz w:val="18"/>
              </w:rPr>
              <w:tab/>
            </w:r>
            <w:r>
              <w:rPr>
                <w:b/>
                <w:sz w:val="18"/>
              </w:rPr>
              <w:t>27,818</w:t>
            </w:r>
          </w:p>
        </w:tc>
        <w:tc>
          <w:tcPr>
            <w:tcW w:w="1370" w:type="dxa"/>
            <w:tcBorders>
              <w:bottom w:val="single" w:sz="8" w:space="0" w:color="000000"/>
            </w:tcBorders>
          </w:tcPr>
          <w:p w14:paraId="18282084" w14:textId="77777777" w:rsidR="00FA4AA8" w:rsidRDefault="0015611F">
            <w:pPr>
              <w:pStyle w:val="TableParagraph"/>
              <w:spacing w:before="24"/>
              <w:ind w:right="89"/>
              <w:jc w:val="right"/>
              <w:rPr>
                <w:sz w:val="18"/>
              </w:rPr>
            </w:pPr>
            <w:r>
              <w:rPr>
                <w:sz w:val="18"/>
              </w:rPr>
              <w:t>48,163</w:t>
            </w:r>
          </w:p>
        </w:tc>
      </w:tr>
      <w:tr w:rsidR="00FA4AA8" w14:paraId="0B2DD130" w14:textId="77777777">
        <w:trPr>
          <w:trHeight w:val="320"/>
        </w:trPr>
        <w:tc>
          <w:tcPr>
            <w:tcW w:w="348" w:type="dxa"/>
          </w:tcPr>
          <w:p w14:paraId="3FCE76D0" w14:textId="77777777" w:rsidR="00FA4AA8" w:rsidRDefault="00FA4AA8">
            <w:pPr>
              <w:pStyle w:val="TableParagraph"/>
              <w:rPr>
                <w:rFonts w:ascii="Times New Roman"/>
                <w:sz w:val="18"/>
              </w:rPr>
            </w:pPr>
          </w:p>
        </w:tc>
        <w:tc>
          <w:tcPr>
            <w:tcW w:w="8249" w:type="dxa"/>
            <w:tcBorders>
              <w:bottom w:val="single" w:sz="2" w:space="0" w:color="000000"/>
            </w:tcBorders>
          </w:tcPr>
          <w:p w14:paraId="6EB0E951" w14:textId="77777777" w:rsidR="00FA4AA8" w:rsidRDefault="0015611F">
            <w:pPr>
              <w:pStyle w:val="TableParagraph"/>
              <w:tabs>
                <w:tab w:val="left" w:pos="6758"/>
              </w:tabs>
              <w:spacing w:before="115" w:line="185" w:lineRule="exact"/>
              <w:ind w:right="20"/>
              <w:jc w:val="right"/>
              <w:rPr>
                <w:b/>
                <w:sz w:val="18"/>
              </w:rPr>
            </w:pPr>
            <w:r>
              <w:rPr>
                <w:b/>
                <w:sz w:val="18"/>
              </w:rPr>
              <w:t>Total sale of goods and services</w:t>
            </w:r>
            <w:r>
              <w:rPr>
                <w:b/>
                <w:sz w:val="18"/>
              </w:rPr>
              <w:tab/>
              <w:t>1,570,568</w:t>
            </w:r>
          </w:p>
        </w:tc>
        <w:tc>
          <w:tcPr>
            <w:tcW w:w="1370" w:type="dxa"/>
            <w:tcBorders>
              <w:top w:val="single" w:sz="8" w:space="0" w:color="000000"/>
              <w:bottom w:val="double" w:sz="2" w:space="0" w:color="000000"/>
            </w:tcBorders>
          </w:tcPr>
          <w:p w14:paraId="13F3CDE0" w14:textId="77777777" w:rsidR="00FA4AA8" w:rsidRDefault="0015611F">
            <w:pPr>
              <w:pStyle w:val="TableParagraph"/>
              <w:spacing w:before="115" w:line="185" w:lineRule="exact"/>
              <w:ind w:right="89"/>
              <w:jc w:val="right"/>
              <w:rPr>
                <w:sz w:val="18"/>
              </w:rPr>
            </w:pPr>
            <w:r>
              <w:rPr>
                <w:sz w:val="18"/>
              </w:rPr>
              <w:t>1,593,710</w:t>
            </w:r>
          </w:p>
        </w:tc>
      </w:tr>
      <w:tr w:rsidR="00FA4AA8" w14:paraId="444A14A1" w14:textId="77777777">
        <w:trPr>
          <w:trHeight w:val="660"/>
        </w:trPr>
        <w:tc>
          <w:tcPr>
            <w:tcW w:w="348" w:type="dxa"/>
          </w:tcPr>
          <w:p w14:paraId="77BEC47F" w14:textId="77777777" w:rsidR="00FA4AA8" w:rsidRDefault="00FA4AA8">
            <w:pPr>
              <w:pStyle w:val="TableParagraph"/>
              <w:rPr>
                <w:rFonts w:ascii="Times New Roman"/>
                <w:sz w:val="18"/>
              </w:rPr>
            </w:pPr>
          </w:p>
        </w:tc>
        <w:tc>
          <w:tcPr>
            <w:tcW w:w="8249" w:type="dxa"/>
            <w:tcBorders>
              <w:top w:val="single" w:sz="2" w:space="0" w:color="000000"/>
            </w:tcBorders>
          </w:tcPr>
          <w:p w14:paraId="6C8546D4" w14:textId="77777777" w:rsidR="00FA4AA8" w:rsidRDefault="00FA4AA8">
            <w:pPr>
              <w:pStyle w:val="TableParagraph"/>
              <w:rPr>
                <w:b/>
                <w:sz w:val="20"/>
              </w:rPr>
            </w:pPr>
          </w:p>
          <w:p w14:paraId="4FFB153F" w14:textId="77777777" w:rsidR="00FA4AA8" w:rsidRDefault="00FA4AA8">
            <w:pPr>
              <w:pStyle w:val="TableParagraph"/>
              <w:spacing w:before="10"/>
              <w:rPr>
                <w:b/>
                <w:sz w:val="17"/>
              </w:rPr>
            </w:pPr>
          </w:p>
          <w:p w14:paraId="6E6AF0D1" w14:textId="77777777" w:rsidR="00FA4AA8" w:rsidRDefault="0015611F">
            <w:pPr>
              <w:pStyle w:val="TableParagraph"/>
              <w:spacing w:line="204" w:lineRule="exact"/>
              <w:ind w:left="662"/>
              <w:rPr>
                <w:b/>
                <w:sz w:val="18"/>
              </w:rPr>
            </w:pPr>
            <w:bookmarkStart w:id="174" w:name="(c)_Outstanding_balances_arising_from_sa"/>
            <w:bookmarkEnd w:id="174"/>
            <w:r>
              <w:rPr>
                <w:b/>
                <w:sz w:val="18"/>
              </w:rPr>
              <w:t>University Funding</w:t>
            </w:r>
          </w:p>
        </w:tc>
        <w:tc>
          <w:tcPr>
            <w:tcW w:w="1370" w:type="dxa"/>
            <w:tcBorders>
              <w:top w:val="double" w:sz="2" w:space="0" w:color="000000"/>
            </w:tcBorders>
          </w:tcPr>
          <w:p w14:paraId="17A58773" w14:textId="77777777" w:rsidR="00FA4AA8" w:rsidRDefault="00FA4AA8">
            <w:pPr>
              <w:pStyle w:val="TableParagraph"/>
              <w:rPr>
                <w:rFonts w:ascii="Times New Roman"/>
                <w:sz w:val="18"/>
              </w:rPr>
            </w:pPr>
          </w:p>
        </w:tc>
      </w:tr>
      <w:tr w:rsidR="00FA4AA8" w14:paraId="4231E6A7" w14:textId="77777777">
        <w:trPr>
          <w:trHeight w:val="243"/>
        </w:trPr>
        <w:tc>
          <w:tcPr>
            <w:tcW w:w="348" w:type="dxa"/>
          </w:tcPr>
          <w:p w14:paraId="690633C3" w14:textId="77777777" w:rsidR="00FA4AA8" w:rsidRDefault="00FA4AA8">
            <w:pPr>
              <w:pStyle w:val="TableParagraph"/>
              <w:rPr>
                <w:rFonts w:ascii="Times New Roman"/>
                <w:sz w:val="16"/>
              </w:rPr>
            </w:pPr>
          </w:p>
        </w:tc>
        <w:tc>
          <w:tcPr>
            <w:tcW w:w="8249" w:type="dxa"/>
          </w:tcPr>
          <w:p w14:paraId="2DFCA06D" w14:textId="77777777" w:rsidR="00FA4AA8" w:rsidRDefault="0015611F">
            <w:pPr>
              <w:pStyle w:val="TableParagraph"/>
              <w:tabs>
                <w:tab w:val="left" w:pos="7504"/>
              </w:tabs>
              <w:spacing w:before="13"/>
              <w:ind w:right="20"/>
              <w:jc w:val="right"/>
              <w:rPr>
                <w:b/>
                <w:sz w:val="18"/>
              </w:rPr>
            </w:pPr>
            <w:r>
              <w:rPr>
                <w:sz w:val="18"/>
              </w:rPr>
              <w:t>Funding from the ultimate</w:t>
            </w:r>
            <w:r>
              <w:rPr>
                <w:spacing w:val="4"/>
                <w:sz w:val="18"/>
              </w:rPr>
              <w:t xml:space="preserve"> </w:t>
            </w:r>
            <w:r>
              <w:rPr>
                <w:sz w:val="18"/>
              </w:rPr>
              <w:t>parent</w:t>
            </w:r>
            <w:r>
              <w:rPr>
                <w:spacing w:val="1"/>
                <w:sz w:val="18"/>
              </w:rPr>
              <w:t xml:space="preserve"> </w:t>
            </w:r>
            <w:r>
              <w:rPr>
                <w:sz w:val="18"/>
              </w:rPr>
              <w:t>entity</w:t>
            </w:r>
            <w:r>
              <w:rPr>
                <w:sz w:val="18"/>
              </w:rPr>
              <w:tab/>
            </w:r>
            <w:r>
              <w:rPr>
                <w:b/>
                <w:sz w:val="18"/>
              </w:rPr>
              <w:t>-</w:t>
            </w:r>
          </w:p>
        </w:tc>
        <w:tc>
          <w:tcPr>
            <w:tcW w:w="1370" w:type="dxa"/>
            <w:tcBorders>
              <w:bottom w:val="single" w:sz="8" w:space="0" w:color="000000"/>
            </w:tcBorders>
          </w:tcPr>
          <w:p w14:paraId="4FA32E3E" w14:textId="77777777" w:rsidR="00FA4AA8" w:rsidRDefault="0015611F">
            <w:pPr>
              <w:pStyle w:val="TableParagraph"/>
              <w:spacing w:before="11"/>
              <w:ind w:right="89"/>
              <w:jc w:val="right"/>
              <w:rPr>
                <w:sz w:val="18"/>
              </w:rPr>
            </w:pPr>
            <w:r>
              <w:rPr>
                <w:sz w:val="18"/>
              </w:rPr>
              <w:t>2,418,063</w:t>
            </w:r>
          </w:p>
        </w:tc>
      </w:tr>
      <w:tr w:rsidR="00FA4AA8" w14:paraId="2B0CF824" w14:textId="77777777">
        <w:trPr>
          <w:trHeight w:val="320"/>
        </w:trPr>
        <w:tc>
          <w:tcPr>
            <w:tcW w:w="348" w:type="dxa"/>
          </w:tcPr>
          <w:p w14:paraId="0F6A5E40" w14:textId="77777777" w:rsidR="00FA4AA8" w:rsidRDefault="00FA4AA8">
            <w:pPr>
              <w:pStyle w:val="TableParagraph"/>
              <w:rPr>
                <w:rFonts w:ascii="Times New Roman"/>
                <w:sz w:val="18"/>
              </w:rPr>
            </w:pPr>
          </w:p>
        </w:tc>
        <w:tc>
          <w:tcPr>
            <w:tcW w:w="8249" w:type="dxa"/>
            <w:tcBorders>
              <w:bottom w:val="single" w:sz="2" w:space="0" w:color="000000"/>
            </w:tcBorders>
          </w:tcPr>
          <w:p w14:paraId="7EAE7EF5" w14:textId="77777777" w:rsidR="00FA4AA8" w:rsidRDefault="0015611F">
            <w:pPr>
              <w:pStyle w:val="TableParagraph"/>
              <w:tabs>
                <w:tab w:val="left" w:pos="7504"/>
              </w:tabs>
              <w:spacing w:before="115" w:line="185" w:lineRule="exact"/>
              <w:ind w:right="20"/>
              <w:jc w:val="right"/>
              <w:rPr>
                <w:b/>
                <w:sz w:val="18"/>
              </w:rPr>
            </w:pPr>
            <w:r>
              <w:rPr>
                <w:b/>
                <w:sz w:val="18"/>
              </w:rPr>
              <w:t>Total University</w:t>
            </w:r>
            <w:r>
              <w:rPr>
                <w:b/>
                <w:spacing w:val="-9"/>
                <w:sz w:val="18"/>
              </w:rPr>
              <w:t xml:space="preserve"> </w:t>
            </w:r>
            <w:r>
              <w:rPr>
                <w:b/>
                <w:sz w:val="18"/>
              </w:rPr>
              <w:t>funding</w:t>
            </w:r>
            <w:r>
              <w:rPr>
                <w:b/>
                <w:sz w:val="18"/>
              </w:rPr>
              <w:tab/>
              <w:t>-</w:t>
            </w:r>
          </w:p>
        </w:tc>
        <w:tc>
          <w:tcPr>
            <w:tcW w:w="1370" w:type="dxa"/>
            <w:tcBorders>
              <w:top w:val="single" w:sz="8" w:space="0" w:color="000000"/>
              <w:bottom w:val="double" w:sz="2" w:space="0" w:color="000000"/>
            </w:tcBorders>
          </w:tcPr>
          <w:p w14:paraId="074988AD" w14:textId="77777777" w:rsidR="00FA4AA8" w:rsidRDefault="0015611F">
            <w:pPr>
              <w:pStyle w:val="TableParagraph"/>
              <w:spacing w:before="115" w:line="185" w:lineRule="exact"/>
              <w:ind w:right="89"/>
              <w:jc w:val="right"/>
              <w:rPr>
                <w:sz w:val="18"/>
              </w:rPr>
            </w:pPr>
            <w:r>
              <w:rPr>
                <w:sz w:val="18"/>
              </w:rPr>
              <w:t>2,418,063</w:t>
            </w:r>
          </w:p>
        </w:tc>
      </w:tr>
      <w:tr w:rsidR="00FA4AA8" w14:paraId="6FAB2A0D" w14:textId="77777777">
        <w:trPr>
          <w:trHeight w:val="518"/>
        </w:trPr>
        <w:tc>
          <w:tcPr>
            <w:tcW w:w="348" w:type="dxa"/>
          </w:tcPr>
          <w:p w14:paraId="2B9845C3" w14:textId="77777777" w:rsidR="00FA4AA8" w:rsidRDefault="00FA4AA8">
            <w:pPr>
              <w:pStyle w:val="TableParagraph"/>
              <w:rPr>
                <w:rFonts w:ascii="Times New Roman"/>
                <w:sz w:val="18"/>
              </w:rPr>
            </w:pPr>
          </w:p>
        </w:tc>
        <w:tc>
          <w:tcPr>
            <w:tcW w:w="8249" w:type="dxa"/>
            <w:tcBorders>
              <w:top w:val="single" w:sz="2" w:space="0" w:color="000000"/>
            </w:tcBorders>
          </w:tcPr>
          <w:p w14:paraId="0BB904A9" w14:textId="77777777" w:rsidR="00FA4AA8" w:rsidRDefault="00FA4AA8">
            <w:pPr>
              <w:pStyle w:val="TableParagraph"/>
              <w:rPr>
                <w:b/>
                <w:sz w:val="27"/>
              </w:rPr>
            </w:pPr>
          </w:p>
          <w:p w14:paraId="53F4916C" w14:textId="77777777" w:rsidR="00FA4AA8" w:rsidRDefault="0015611F">
            <w:pPr>
              <w:pStyle w:val="TableParagraph"/>
              <w:tabs>
                <w:tab w:val="left" w:pos="661"/>
              </w:tabs>
              <w:spacing w:before="1" w:line="187" w:lineRule="exact"/>
              <w:ind w:left="95"/>
              <w:rPr>
                <w:sz w:val="18"/>
              </w:rPr>
            </w:pPr>
            <w:r>
              <w:rPr>
                <w:b/>
                <w:sz w:val="18"/>
              </w:rPr>
              <w:t>(c)</w:t>
            </w:r>
            <w:r>
              <w:rPr>
                <w:b/>
                <w:sz w:val="18"/>
              </w:rPr>
              <w:tab/>
            </w:r>
            <w:r>
              <w:rPr>
                <w:sz w:val="18"/>
              </w:rPr>
              <w:t>Outstanding balances arising from sales or purchases of goods and</w:t>
            </w:r>
            <w:r>
              <w:rPr>
                <w:spacing w:val="10"/>
                <w:sz w:val="18"/>
              </w:rPr>
              <w:t xml:space="preserve"> </w:t>
            </w:r>
            <w:r>
              <w:rPr>
                <w:sz w:val="18"/>
              </w:rPr>
              <w:t>services</w:t>
            </w:r>
          </w:p>
        </w:tc>
        <w:tc>
          <w:tcPr>
            <w:tcW w:w="1370" w:type="dxa"/>
            <w:tcBorders>
              <w:top w:val="double" w:sz="2" w:space="0" w:color="000000"/>
            </w:tcBorders>
          </w:tcPr>
          <w:p w14:paraId="687BC7C1" w14:textId="77777777" w:rsidR="00FA4AA8" w:rsidRDefault="00FA4AA8">
            <w:pPr>
              <w:pStyle w:val="TableParagraph"/>
              <w:rPr>
                <w:rFonts w:ascii="Times New Roman"/>
                <w:sz w:val="18"/>
              </w:rPr>
            </w:pPr>
          </w:p>
        </w:tc>
      </w:tr>
    </w:tbl>
    <w:p w14:paraId="147926FE" w14:textId="77777777" w:rsidR="00FA4AA8" w:rsidRDefault="00FA4AA8">
      <w:pPr>
        <w:pStyle w:val="BodyText"/>
        <w:spacing w:before="2"/>
        <w:rPr>
          <w:b/>
          <w:sz w:val="17"/>
        </w:rPr>
      </w:pPr>
    </w:p>
    <w:p w14:paraId="06D991E7" w14:textId="77777777" w:rsidR="00FA4AA8" w:rsidRDefault="0015611F">
      <w:pPr>
        <w:pStyle w:val="BodyText"/>
        <w:spacing w:before="94"/>
        <w:ind w:left="1132"/>
      </w:pPr>
      <w:r>
        <w:t>The following balances are outstanding at the end of the reporting period in relation to transactions with related parties:</w:t>
      </w:r>
    </w:p>
    <w:p w14:paraId="63BF0429" w14:textId="77777777" w:rsidR="00FA4AA8" w:rsidRDefault="00FA4AA8">
      <w:pPr>
        <w:sectPr w:rsidR="00FA4AA8">
          <w:headerReference w:type="default" r:id="rId126"/>
          <w:footerReference w:type="default" r:id="rId127"/>
          <w:pgSz w:w="11910" w:h="16840"/>
          <w:pgMar w:top="2440" w:right="840" w:bottom="720" w:left="840" w:header="1016" w:footer="523" w:gutter="0"/>
          <w:pgNumType w:start="139"/>
          <w:cols w:space="720"/>
        </w:sectPr>
      </w:pPr>
    </w:p>
    <w:p w14:paraId="320F9068" w14:textId="77777777" w:rsidR="00FA4AA8" w:rsidRDefault="00FA4AA8">
      <w:pPr>
        <w:pStyle w:val="BodyText"/>
        <w:rPr>
          <w:sz w:val="20"/>
        </w:rPr>
      </w:pPr>
    </w:p>
    <w:p w14:paraId="1A23B4C2" w14:textId="77777777" w:rsidR="00FA4AA8" w:rsidRDefault="00FA4AA8">
      <w:pPr>
        <w:pStyle w:val="BodyText"/>
        <w:rPr>
          <w:sz w:val="20"/>
        </w:rPr>
      </w:pPr>
    </w:p>
    <w:p w14:paraId="66DA3B2F" w14:textId="77777777" w:rsidR="00FA4AA8" w:rsidRDefault="00FA4AA8">
      <w:pPr>
        <w:pStyle w:val="BodyText"/>
        <w:spacing w:before="4"/>
        <w:rPr>
          <w:sz w:val="17"/>
        </w:rPr>
      </w:pPr>
    </w:p>
    <w:p w14:paraId="5D1D6991" w14:textId="77777777" w:rsidR="00FA4AA8" w:rsidRDefault="0015611F">
      <w:pPr>
        <w:ind w:left="1130"/>
        <w:rPr>
          <w:b/>
          <w:sz w:val="18"/>
        </w:rPr>
      </w:pPr>
      <w:bookmarkStart w:id="175" w:name="(d)_Loans_from_the_ultimate_parent_entit"/>
      <w:bookmarkEnd w:id="175"/>
      <w:r>
        <w:rPr>
          <w:b/>
          <w:sz w:val="18"/>
        </w:rPr>
        <w:t>Current payables</w:t>
      </w:r>
    </w:p>
    <w:p w14:paraId="4C67C44E" w14:textId="77777777" w:rsidR="00FA4AA8" w:rsidRDefault="0015611F">
      <w:pPr>
        <w:spacing w:before="33"/>
        <w:ind w:left="1130"/>
        <w:jc w:val="center"/>
        <w:rPr>
          <w:b/>
          <w:sz w:val="18"/>
        </w:rPr>
      </w:pPr>
      <w:r>
        <w:br w:type="column"/>
      </w:r>
      <w:r>
        <w:rPr>
          <w:b/>
          <w:sz w:val="18"/>
        </w:rPr>
        <w:t>2018</w:t>
      </w:r>
    </w:p>
    <w:p w14:paraId="43E2BC01" w14:textId="77777777" w:rsidR="00FA4AA8" w:rsidRDefault="0015611F">
      <w:pPr>
        <w:spacing w:before="66"/>
        <w:ind w:left="1129"/>
        <w:jc w:val="center"/>
        <w:rPr>
          <w:b/>
          <w:sz w:val="18"/>
        </w:rPr>
      </w:pPr>
      <w:r>
        <w:rPr>
          <w:b/>
          <w:sz w:val="18"/>
        </w:rPr>
        <w:t>$</w:t>
      </w:r>
    </w:p>
    <w:p w14:paraId="6C5339C4" w14:textId="77777777" w:rsidR="00FA4AA8" w:rsidRDefault="0015611F">
      <w:pPr>
        <w:spacing w:before="33"/>
        <w:ind w:left="843" w:right="590"/>
        <w:jc w:val="center"/>
        <w:rPr>
          <w:b/>
          <w:sz w:val="18"/>
        </w:rPr>
      </w:pPr>
      <w:r>
        <w:br w:type="column"/>
      </w:r>
      <w:r>
        <w:rPr>
          <w:b/>
          <w:sz w:val="18"/>
        </w:rPr>
        <w:t>2017</w:t>
      </w:r>
    </w:p>
    <w:p w14:paraId="4FDC1860" w14:textId="77777777" w:rsidR="00FA4AA8" w:rsidRDefault="0015611F">
      <w:pPr>
        <w:spacing w:before="66"/>
        <w:ind w:left="253"/>
        <w:jc w:val="center"/>
        <w:rPr>
          <w:b/>
          <w:sz w:val="18"/>
        </w:rPr>
      </w:pPr>
      <w:r>
        <w:rPr>
          <w:b/>
          <w:sz w:val="18"/>
        </w:rPr>
        <w:t>$</w:t>
      </w:r>
    </w:p>
    <w:p w14:paraId="49A00499" w14:textId="77777777" w:rsidR="00FA4AA8" w:rsidRDefault="00FA4AA8">
      <w:pPr>
        <w:jc w:val="center"/>
        <w:rPr>
          <w:sz w:val="18"/>
        </w:rPr>
        <w:sectPr w:rsidR="00FA4AA8">
          <w:type w:val="continuous"/>
          <w:pgSz w:w="11910" w:h="16840"/>
          <w:pgMar w:top="20" w:right="840" w:bottom="0" w:left="840" w:header="720" w:footer="720" w:gutter="0"/>
          <w:cols w:num="3" w:space="720" w:equalWidth="0">
            <w:col w:w="2637" w:space="4145"/>
            <w:col w:w="1534" w:space="40"/>
            <w:col w:w="1874"/>
          </w:cols>
        </w:sectPr>
      </w:pPr>
    </w:p>
    <w:p w14:paraId="1ADD46BD" w14:textId="77777777" w:rsidR="00FA4AA8" w:rsidRDefault="0015611F">
      <w:pPr>
        <w:pStyle w:val="BodyText"/>
        <w:tabs>
          <w:tab w:val="left" w:pos="8632"/>
          <w:tab w:val="left" w:pos="9441"/>
        </w:tabs>
        <w:spacing w:before="30" w:after="23"/>
        <w:ind w:left="1130"/>
      </w:pPr>
      <w:r>
        <w:t>Other related parties</w:t>
      </w:r>
      <w:r>
        <w:tab/>
      </w:r>
      <w:r>
        <w:rPr>
          <w:b/>
        </w:rPr>
        <w:t>-</w:t>
      </w:r>
      <w:r>
        <w:rPr>
          <w:b/>
        </w:rPr>
        <w:tab/>
      </w:r>
      <w:r>
        <w:t>67,790</w:t>
      </w:r>
    </w:p>
    <w:p w14:paraId="35EF7C61" w14:textId="77777777" w:rsidR="00FA4AA8" w:rsidRDefault="007E2441">
      <w:pPr>
        <w:pStyle w:val="BodyText"/>
        <w:spacing w:line="20" w:lineRule="exact"/>
        <w:ind w:left="7476"/>
        <w:rPr>
          <w:sz w:val="2"/>
        </w:rPr>
      </w:pPr>
      <w:r>
        <w:rPr>
          <w:noProof/>
          <w:sz w:val="2"/>
          <w:lang w:val="en-AU" w:eastAsia="en-AU"/>
        </w:rPr>
        <mc:AlternateContent>
          <mc:Choice Requires="wpg">
            <w:drawing>
              <wp:inline distT="0" distB="0" distL="0" distR="0" wp14:anchorId="14A78721" wp14:editId="79F7B721">
                <wp:extent cx="1655445" cy="12700"/>
                <wp:effectExtent l="9525" t="9525" r="11430" b="6350"/>
                <wp:docPr id="1059" name="Group 8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5445" cy="12700"/>
                          <a:chOff x="0" y="0"/>
                          <a:chExt cx="2607" cy="20"/>
                        </a:xfrm>
                      </wpg:grpSpPr>
                      <wps:wsp>
                        <wps:cNvPr id="1060" name="Line 857"/>
                        <wps:cNvCnPr>
                          <a:cxnSpLocks noChangeShapeType="1"/>
                        </wps:cNvCnPr>
                        <wps:spPr bwMode="auto">
                          <a:xfrm>
                            <a:off x="0" y="1"/>
                            <a:ext cx="130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61" name="Line 856"/>
                        <wps:cNvCnPr>
                          <a:cxnSpLocks noChangeShapeType="1"/>
                        </wps:cNvCnPr>
                        <wps:spPr bwMode="auto">
                          <a:xfrm>
                            <a:off x="0" y="4"/>
                            <a:ext cx="130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62" name="Line 855"/>
                        <wps:cNvCnPr>
                          <a:cxnSpLocks noChangeShapeType="1"/>
                        </wps:cNvCnPr>
                        <wps:spPr bwMode="auto">
                          <a:xfrm>
                            <a:off x="0" y="6"/>
                            <a:ext cx="130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63" name="Line 854"/>
                        <wps:cNvCnPr>
                          <a:cxnSpLocks noChangeShapeType="1"/>
                        </wps:cNvCnPr>
                        <wps:spPr bwMode="auto">
                          <a:xfrm>
                            <a:off x="0" y="8"/>
                            <a:ext cx="130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64" name="Line 853"/>
                        <wps:cNvCnPr>
                          <a:cxnSpLocks noChangeShapeType="1"/>
                        </wps:cNvCnPr>
                        <wps:spPr bwMode="auto">
                          <a:xfrm>
                            <a:off x="0" y="11"/>
                            <a:ext cx="130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65" name="Line 852"/>
                        <wps:cNvCnPr>
                          <a:cxnSpLocks noChangeShapeType="1"/>
                        </wps:cNvCnPr>
                        <wps:spPr bwMode="auto">
                          <a:xfrm>
                            <a:off x="0" y="13"/>
                            <a:ext cx="130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66" name="Line 851"/>
                        <wps:cNvCnPr>
                          <a:cxnSpLocks noChangeShapeType="1"/>
                        </wps:cNvCnPr>
                        <wps:spPr bwMode="auto">
                          <a:xfrm>
                            <a:off x="0" y="16"/>
                            <a:ext cx="130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67" name="Line 850"/>
                        <wps:cNvCnPr>
                          <a:cxnSpLocks noChangeShapeType="1"/>
                        </wps:cNvCnPr>
                        <wps:spPr bwMode="auto">
                          <a:xfrm>
                            <a:off x="0" y="18"/>
                            <a:ext cx="130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68" name="Line 849"/>
                        <wps:cNvCnPr>
                          <a:cxnSpLocks noChangeShapeType="1"/>
                        </wps:cNvCnPr>
                        <wps:spPr bwMode="auto">
                          <a:xfrm>
                            <a:off x="1303" y="1"/>
                            <a:ext cx="130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69" name="Line 848"/>
                        <wps:cNvCnPr>
                          <a:cxnSpLocks noChangeShapeType="1"/>
                        </wps:cNvCnPr>
                        <wps:spPr bwMode="auto">
                          <a:xfrm>
                            <a:off x="1303" y="4"/>
                            <a:ext cx="130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70" name="Line 847"/>
                        <wps:cNvCnPr>
                          <a:cxnSpLocks noChangeShapeType="1"/>
                        </wps:cNvCnPr>
                        <wps:spPr bwMode="auto">
                          <a:xfrm>
                            <a:off x="1303" y="6"/>
                            <a:ext cx="130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71" name="Line 846"/>
                        <wps:cNvCnPr>
                          <a:cxnSpLocks noChangeShapeType="1"/>
                        </wps:cNvCnPr>
                        <wps:spPr bwMode="auto">
                          <a:xfrm>
                            <a:off x="1303" y="8"/>
                            <a:ext cx="130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72" name="Line 845"/>
                        <wps:cNvCnPr>
                          <a:cxnSpLocks noChangeShapeType="1"/>
                        </wps:cNvCnPr>
                        <wps:spPr bwMode="auto">
                          <a:xfrm>
                            <a:off x="1303" y="11"/>
                            <a:ext cx="130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73" name="Line 844"/>
                        <wps:cNvCnPr>
                          <a:cxnSpLocks noChangeShapeType="1"/>
                        </wps:cNvCnPr>
                        <wps:spPr bwMode="auto">
                          <a:xfrm>
                            <a:off x="1303" y="13"/>
                            <a:ext cx="130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74" name="Line 843"/>
                        <wps:cNvCnPr>
                          <a:cxnSpLocks noChangeShapeType="1"/>
                        </wps:cNvCnPr>
                        <wps:spPr bwMode="auto">
                          <a:xfrm>
                            <a:off x="1303" y="16"/>
                            <a:ext cx="130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75" name="Line 842"/>
                        <wps:cNvCnPr>
                          <a:cxnSpLocks noChangeShapeType="1"/>
                        </wps:cNvCnPr>
                        <wps:spPr bwMode="auto">
                          <a:xfrm>
                            <a:off x="1303" y="18"/>
                            <a:ext cx="130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76" name="Line 841"/>
                        <wps:cNvCnPr>
                          <a:cxnSpLocks noChangeShapeType="1"/>
                        </wps:cNvCnPr>
                        <wps:spPr bwMode="auto">
                          <a:xfrm>
                            <a:off x="0" y="1"/>
                            <a:ext cx="130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77" name="Line 840"/>
                        <wps:cNvCnPr>
                          <a:cxnSpLocks noChangeShapeType="1"/>
                        </wps:cNvCnPr>
                        <wps:spPr bwMode="auto">
                          <a:xfrm>
                            <a:off x="0" y="4"/>
                            <a:ext cx="130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78" name="Line 839"/>
                        <wps:cNvCnPr>
                          <a:cxnSpLocks noChangeShapeType="1"/>
                        </wps:cNvCnPr>
                        <wps:spPr bwMode="auto">
                          <a:xfrm>
                            <a:off x="0" y="6"/>
                            <a:ext cx="130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79" name="Line 838"/>
                        <wps:cNvCnPr>
                          <a:cxnSpLocks noChangeShapeType="1"/>
                        </wps:cNvCnPr>
                        <wps:spPr bwMode="auto">
                          <a:xfrm>
                            <a:off x="0" y="8"/>
                            <a:ext cx="130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80" name="Line 837"/>
                        <wps:cNvCnPr>
                          <a:cxnSpLocks noChangeShapeType="1"/>
                        </wps:cNvCnPr>
                        <wps:spPr bwMode="auto">
                          <a:xfrm>
                            <a:off x="0" y="11"/>
                            <a:ext cx="130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81" name="Line 836"/>
                        <wps:cNvCnPr>
                          <a:cxnSpLocks noChangeShapeType="1"/>
                        </wps:cNvCnPr>
                        <wps:spPr bwMode="auto">
                          <a:xfrm>
                            <a:off x="0" y="13"/>
                            <a:ext cx="130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82" name="Line 835"/>
                        <wps:cNvCnPr>
                          <a:cxnSpLocks noChangeShapeType="1"/>
                        </wps:cNvCnPr>
                        <wps:spPr bwMode="auto">
                          <a:xfrm>
                            <a:off x="0" y="16"/>
                            <a:ext cx="130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83" name="Line 834"/>
                        <wps:cNvCnPr>
                          <a:cxnSpLocks noChangeShapeType="1"/>
                        </wps:cNvCnPr>
                        <wps:spPr bwMode="auto">
                          <a:xfrm>
                            <a:off x="0" y="18"/>
                            <a:ext cx="130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84" name="Line 833"/>
                        <wps:cNvCnPr>
                          <a:cxnSpLocks noChangeShapeType="1"/>
                        </wps:cNvCnPr>
                        <wps:spPr bwMode="auto">
                          <a:xfrm>
                            <a:off x="1303" y="1"/>
                            <a:ext cx="130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85" name="Line 832"/>
                        <wps:cNvCnPr>
                          <a:cxnSpLocks noChangeShapeType="1"/>
                        </wps:cNvCnPr>
                        <wps:spPr bwMode="auto">
                          <a:xfrm>
                            <a:off x="1303" y="4"/>
                            <a:ext cx="130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86" name="Line 831"/>
                        <wps:cNvCnPr>
                          <a:cxnSpLocks noChangeShapeType="1"/>
                        </wps:cNvCnPr>
                        <wps:spPr bwMode="auto">
                          <a:xfrm>
                            <a:off x="1303" y="6"/>
                            <a:ext cx="130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87" name="Line 830"/>
                        <wps:cNvCnPr>
                          <a:cxnSpLocks noChangeShapeType="1"/>
                        </wps:cNvCnPr>
                        <wps:spPr bwMode="auto">
                          <a:xfrm>
                            <a:off x="1303" y="8"/>
                            <a:ext cx="130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88" name="Line 829"/>
                        <wps:cNvCnPr>
                          <a:cxnSpLocks noChangeShapeType="1"/>
                        </wps:cNvCnPr>
                        <wps:spPr bwMode="auto">
                          <a:xfrm>
                            <a:off x="1303" y="11"/>
                            <a:ext cx="130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89" name="Line 828"/>
                        <wps:cNvCnPr>
                          <a:cxnSpLocks noChangeShapeType="1"/>
                        </wps:cNvCnPr>
                        <wps:spPr bwMode="auto">
                          <a:xfrm>
                            <a:off x="1303" y="13"/>
                            <a:ext cx="130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90" name="Line 827"/>
                        <wps:cNvCnPr>
                          <a:cxnSpLocks noChangeShapeType="1"/>
                        </wps:cNvCnPr>
                        <wps:spPr bwMode="auto">
                          <a:xfrm>
                            <a:off x="1303" y="16"/>
                            <a:ext cx="130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91" name="Line 826"/>
                        <wps:cNvCnPr>
                          <a:cxnSpLocks noChangeShapeType="1"/>
                        </wps:cNvCnPr>
                        <wps:spPr bwMode="auto">
                          <a:xfrm>
                            <a:off x="1303" y="18"/>
                            <a:ext cx="130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ADCD520" id="Group 825" o:spid="_x0000_s1026" style="width:130.35pt;height:1pt;mso-position-horizontal-relative:char;mso-position-vertical-relative:line" coordsize="26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">
                <v:line id="Line 857" o:spid="_x0000_s1027" style="position:absolute;visibility:visible;mso-wrap-style:square" from="0,1" to="13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" strokeweight=".12pt"/>
                <v:line id="Line 856" o:spid="_x0000_s1028" style="position:absolute;visibility:visible;mso-wrap-style:square" from="0,4" to="13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" strokeweight=".12pt"/>
                <v:line id="Line 855" o:spid="_x0000_s1029" style="position:absolute;visibility:visible;mso-wrap-style:square" from="0,6" to="1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" strokeweight=".12pt"/>
                <v:line id="Line 854" o:spid="_x0000_s1030" style="position:absolute;visibility:visible;mso-wrap-style:square" from="0,8" to="13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" strokeweight=".12pt"/>
                <v:line id="Line 853" o:spid="_x0000_s1031" style="position:absolute;visibility:visible;mso-wrap-style:square" from="0,11" to="130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" strokeweight=".12pt"/>
                <v:line id="Line 852" o:spid="_x0000_s1032" style="position:absolute;visibility:visible;mso-wrap-style:square" from="0,13" to="130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" strokeweight=".12pt"/>
                <v:line id="Line 851" o:spid="_x0000_s1033" style="position:absolute;visibility:visible;mso-wrap-style:square" from="0,16" to="130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" strokeweight=".12pt"/>
                <v:line id="Line 850" o:spid="_x0000_s1034" style="position:absolute;visibility:visible;mso-wrap-style:square" from="0,18" to="130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" strokeweight=".12pt"/>
                <v:line id="Line 849" o:spid="_x0000_s1035" style="position:absolute;visibility:visible;mso-wrap-style:square" from="1303,1" to="26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" strokeweight=".12pt"/>
                <v:line id="Line 848" o:spid="_x0000_s1036" style="position:absolute;visibility:visible;mso-wrap-style:square" from="1303,4" to="26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" strokeweight=".12pt"/>
                <v:line id="Line 847" o:spid="_x0000_s1037" style="position:absolute;visibility:visible;mso-wrap-style:square" from="1303,6" to="26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" strokeweight=".12pt"/>
                <v:line id="Line 846" o:spid="_x0000_s1038" style="position:absolute;visibility:visible;mso-wrap-style:square" from="1303,8" to="26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" strokeweight=".12pt"/>
                <v:line id="Line 845" o:spid="_x0000_s1039" style="position:absolute;visibility:visible;mso-wrap-style:square" from="1303,11" to="260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" strokeweight=".12pt"/>
                <v:line id="Line 844" o:spid="_x0000_s1040" style="position:absolute;visibility:visible;mso-wrap-style:square" from="1303,13" to="260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" strokeweight=".12pt"/>
                <v:line id="Line 843" o:spid="_x0000_s1041" style="position:absolute;visibility:visible;mso-wrap-style:square" from="1303,16" to="260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" strokeweight=".12pt"/>
                <v:line id="Line 842" o:spid="_x0000_s1042" style="position:absolute;visibility:visible;mso-wrap-style:square" from="1303,18" to="260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" strokeweight=".12pt"/>
                <v:line id="Line 841" o:spid="_x0000_s1043" style="position:absolute;visibility:visible;mso-wrap-style:square" from="0,1" to="13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" strokeweight=".12pt"/>
                <v:line id="Line 840" o:spid="_x0000_s1044" style="position:absolute;visibility:visible;mso-wrap-style:square" from="0,4" to="13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" strokeweight=".12pt"/>
                <v:line id="Line 839" o:spid="_x0000_s1045" style="position:absolute;visibility:visible;mso-wrap-style:square" from="0,6" to="1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" strokeweight=".12pt"/>
                <v:line id="Line 838" o:spid="_x0000_s1046" style="position:absolute;visibility:visible;mso-wrap-style:square" from="0,8" to="13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" strokeweight=".12pt"/>
                <v:line id="Line 837" o:spid="_x0000_s1047" style="position:absolute;visibility:visible;mso-wrap-style:square" from="0,11" to="130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" strokeweight=".12pt"/>
                <v:line id="Line 836" o:spid="_x0000_s1048" style="position:absolute;visibility:visible;mso-wrap-style:square" from="0,13" to="130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" strokeweight=".12pt"/>
                <v:line id="Line 835" o:spid="_x0000_s1049" style="position:absolute;visibility:visible;mso-wrap-style:square" from="0,16" to="130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" strokeweight=".12pt"/>
                <v:line id="Line 834" o:spid="_x0000_s1050" style="position:absolute;visibility:visible;mso-wrap-style:square" from="0,18" to="130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" strokeweight=".12pt"/>
                <v:line id="Line 833" o:spid="_x0000_s1051" style="position:absolute;visibility:visible;mso-wrap-style:square" from="1303,1" to="26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" strokeweight=".12pt"/>
                <v:line id="Line 832" o:spid="_x0000_s1052" style="position:absolute;visibility:visible;mso-wrap-style:square" from="1303,4" to="26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" strokeweight=".12pt"/>
                <v:line id="Line 831" o:spid="_x0000_s1053" style="position:absolute;visibility:visible;mso-wrap-style:square" from="1303,6" to="26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" strokeweight=".12pt"/>
                <v:line id="Line 830" o:spid="_x0000_s1054" style="position:absolute;visibility:visible;mso-wrap-style:square" from="1303,8" to="26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" strokeweight=".12pt"/>
                <v:line id="Line 829" o:spid="_x0000_s1055" style="position:absolute;visibility:visible;mso-wrap-style:square" from="1303,11" to="260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" strokeweight=".12pt"/>
                <v:line id="Line 828" o:spid="_x0000_s1056" style="position:absolute;visibility:visible;mso-wrap-style:square" from="1303,13" to="260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" strokeweight=".12pt"/>
                <v:line id="Line 827" o:spid="_x0000_s1057" style="position:absolute;visibility:visible;mso-wrap-style:square" from="1303,16" to="260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" strokeweight=".12pt"/>
                <v:line id="Line 826" o:spid="_x0000_s1058" style="position:absolute;visibility:visible;mso-wrap-style:square" from="1303,18" to="260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" strokeweight=".12pt"/>
                <w10:anchorlock/>
              </v:group>
            </w:pict>
          </mc:Fallback>
        </mc:AlternateContent>
      </w:r>
    </w:p>
    <w:p w14:paraId="3F836629" w14:textId="77777777" w:rsidR="00FA4AA8" w:rsidRDefault="0015611F">
      <w:pPr>
        <w:tabs>
          <w:tab w:val="left" w:pos="8632"/>
          <w:tab w:val="left" w:pos="9441"/>
        </w:tabs>
        <w:spacing w:before="115"/>
        <w:ind w:left="1130"/>
        <w:rPr>
          <w:sz w:val="18"/>
        </w:rPr>
      </w:pPr>
      <w:r>
        <w:rPr>
          <w:b/>
          <w:sz w:val="18"/>
        </w:rPr>
        <w:t>Total</w:t>
      </w:r>
      <w:r>
        <w:rPr>
          <w:b/>
          <w:spacing w:val="-3"/>
          <w:sz w:val="18"/>
        </w:rPr>
        <w:t xml:space="preserve"> </w:t>
      </w:r>
      <w:r>
        <w:rPr>
          <w:b/>
          <w:sz w:val="18"/>
        </w:rPr>
        <w:t>current</w:t>
      </w:r>
      <w:r>
        <w:rPr>
          <w:b/>
          <w:spacing w:val="-2"/>
          <w:sz w:val="18"/>
        </w:rPr>
        <w:t xml:space="preserve"> </w:t>
      </w:r>
      <w:r>
        <w:rPr>
          <w:b/>
          <w:sz w:val="18"/>
        </w:rPr>
        <w:t>payables</w:t>
      </w:r>
      <w:r>
        <w:rPr>
          <w:b/>
          <w:sz w:val="18"/>
        </w:rPr>
        <w:tab/>
        <w:t>-</w:t>
      </w:r>
      <w:r>
        <w:rPr>
          <w:b/>
          <w:sz w:val="18"/>
        </w:rPr>
        <w:tab/>
      </w:r>
      <w:r>
        <w:rPr>
          <w:sz w:val="18"/>
        </w:rPr>
        <w:t>67,790</w:t>
      </w:r>
    </w:p>
    <w:p w14:paraId="2EF31354" w14:textId="77777777" w:rsidR="00FA4AA8" w:rsidRDefault="007E2441">
      <w:pPr>
        <w:pStyle w:val="BodyText"/>
        <w:spacing w:line="49" w:lineRule="exact"/>
        <w:ind w:left="7476"/>
        <w:rPr>
          <w:sz w:val="4"/>
        </w:rPr>
      </w:pPr>
      <w:r>
        <w:rPr>
          <w:noProof/>
          <w:sz w:val="4"/>
          <w:lang w:val="en-AU" w:eastAsia="en-AU"/>
        </w:rPr>
        <mc:AlternateContent>
          <mc:Choice Requires="wpg">
            <w:drawing>
              <wp:inline distT="0" distB="0" distL="0" distR="0" wp14:anchorId="2F396B65" wp14:editId="48D9C5A7">
                <wp:extent cx="1655445" cy="30480"/>
                <wp:effectExtent l="9525" t="9525" r="11430" b="7620"/>
                <wp:docPr id="1034" name="Group 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5445" cy="30480"/>
                          <a:chOff x="0" y="0"/>
                          <a:chExt cx="2607" cy="48"/>
                        </a:xfrm>
                      </wpg:grpSpPr>
                      <wps:wsp>
                        <wps:cNvPr id="1035" name="Line 824"/>
                        <wps:cNvCnPr>
                          <a:cxnSpLocks noChangeShapeType="1"/>
                        </wps:cNvCnPr>
                        <wps:spPr bwMode="auto">
                          <a:xfrm>
                            <a:off x="0" y="1"/>
                            <a:ext cx="130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36" name="Line 823"/>
                        <wps:cNvCnPr>
                          <a:cxnSpLocks noChangeShapeType="1"/>
                        </wps:cNvCnPr>
                        <wps:spPr bwMode="auto">
                          <a:xfrm>
                            <a:off x="0" y="4"/>
                            <a:ext cx="130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37" name="Line 822"/>
                        <wps:cNvCnPr>
                          <a:cxnSpLocks noChangeShapeType="1"/>
                        </wps:cNvCnPr>
                        <wps:spPr bwMode="auto">
                          <a:xfrm>
                            <a:off x="0" y="6"/>
                            <a:ext cx="130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38" name="Line 821"/>
                        <wps:cNvCnPr>
                          <a:cxnSpLocks noChangeShapeType="1"/>
                        </wps:cNvCnPr>
                        <wps:spPr bwMode="auto">
                          <a:xfrm>
                            <a:off x="0" y="8"/>
                            <a:ext cx="130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39" name="Line 820"/>
                        <wps:cNvCnPr>
                          <a:cxnSpLocks noChangeShapeType="1"/>
                        </wps:cNvCnPr>
                        <wps:spPr bwMode="auto">
                          <a:xfrm>
                            <a:off x="0" y="11"/>
                            <a:ext cx="130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40" name="Line 819"/>
                        <wps:cNvCnPr>
                          <a:cxnSpLocks noChangeShapeType="1"/>
                        </wps:cNvCnPr>
                        <wps:spPr bwMode="auto">
                          <a:xfrm>
                            <a:off x="0" y="13"/>
                            <a:ext cx="130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41" name="Line 818"/>
                        <wps:cNvCnPr>
                          <a:cxnSpLocks noChangeShapeType="1"/>
                        </wps:cNvCnPr>
                        <wps:spPr bwMode="auto">
                          <a:xfrm>
                            <a:off x="0" y="35"/>
                            <a:ext cx="130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42" name="Line 817"/>
                        <wps:cNvCnPr>
                          <a:cxnSpLocks noChangeShapeType="1"/>
                        </wps:cNvCnPr>
                        <wps:spPr bwMode="auto">
                          <a:xfrm>
                            <a:off x="0" y="37"/>
                            <a:ext cx="130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43" name="Line 816"/>
                        <wps:cNvCnPr>
                          <a:cxnSpLocks noChangeShapeType="1"/>
                        </wps:cNvCnPr>
                        <wps:spPr bwMode="auto">
                          <a:xfrm>
                            <a:off x="0" y="40"/>
                            <a:ext cx="130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44" name="Line 815"/>
                        <wps:cNvCnPr>
                          <a:cxnSpLocks noChangeShapeType="1"/>
                        </wps:cNvCnPr>
                        <wps:spPr bwMode="auto">
                          <a:xfrm>
                            <a:off x="0" y="42"/>
                            <a:ext cx="130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45" name="Line 814"/>
                        <wps:cNvCnPr>
                          <a:cxnSpLocks noChangeShapeType="1"/>
                        </wps:cNvCnPr>
                        <wps:spPr bwMode="auto">
                          <a:xfrm>
                            <a:off x="0" y="44"/>
                            <a:ext cx="130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46" name="Line 813"/>
                        <wps:cNvCnPr>
                          <a:cxnSpLocks noChangeShapeType="1"/>
                        </wps:cNvCnPr>
                        <wps:spPr bwMode="auto">
                          <a:xfrm>
                            <a:off x="0" y="47"/>
                            <a:ext cx="130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47" name="Line 812"/>
                        <wps:cNvCnPr>
                          <a:cxnSpLocks noChangeShapeType="1"/>
                        </wps:cNvCnPr>
                        <wps:spPr bwMode="auto">
                          <a:xfrm>
                            <a:off x="1303" y="1"/>
                            <a:ext cx="130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48" name="Line 811"/>
                        <wps:cNvCnPr>
                          <a:cxnSpLocks noChangeShapeType="1"/>
                        </wps:cNvCnPr>
                        <wps:spPr bwMode="auto">
                          <a:xfrm>
                            <a:off x="1303" y="4"/>
                            <a:ext cx="130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49" name="Line 810"/>
                        <wps:cNvCnPr>
                          <a:cxnSpLocks noChangeShapeType="1"/>
                        </wps:cNvCnPr>
                        <wps:spPr bwMode="auto">
                          <a:xfrm>
                            <a:off x="1303" y="6"/>
                            <a:ext cx="130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50" name="Line 809"/>
                        <wps:cNvCnPr>
                          <a:cxnSpLocks noChangeShapeType="1"/>
                        </wps:cNvCnPr>
                        <wps:spPr bwMode="auto">
                          <a:xfrm>
                            <a:off x="1303" y="8"/>
                            <a:ext cx="130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51" name="Line 808"/>
                        <wps:cNvCnPr>
                          <a:cxnSpLocks noChangeShapeType="1"/>
                        </wps:cNvCnPr>
                        <wps:spPr bwMode="auto">
                          <a:xfrm>
                            <a:off x="1303" y="11"/>
                            <a:ext cx="130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52" name="Line 807"/>
                        <wps:cNvCnPr>
                          <a:cxnSpLocks noChangeShapeType="1"/>
                        </wps:cNvCnPr>
                        <wps:spPr bwMode="auto">
                          <a:xfrm>
                            <a:off x="1303" y="13"/>
                            <a:ext cx="130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53" name="Line 806"/>
                        <wps:cNvCnPr>
                          <a:cxnSpLocks noChangeShapeType="1"/>
                        </wps:cNvCnPr>
                        <wps:spPr bwMode="auto">
                          <a:xfrm>
                            <a:off x="1303" y="35"/>
                            <a:ext cx="130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54" name="Line 805"/>
                        <wps:cNvCnPr>
                          <a:cxnSpLocks noChangeShapeType="1"/>
                        </wps:cNvCnPr>
                        <wps:spPr bwMode="auto">
                          <a:xfrm>
                            <a:off x="1303" y="37"/>
                            <a:ext cx="130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55" name="Line 804"/>
                        <wps:cNvCnPr>
                          <a:cxnSpLocks noChangeShapeType="1"/>
                        </wps:cNvCnPr>
                        <wps:spPr bwMode="auto">
                          <a:xfrm>
                            <a:off x="1303" y="40"/>
                            <a:ext cx="130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56" name="Line 803"/>
                        <wps:cNvCnPr>
                          <a:cxnSpLocks noChangeShapeType="1"/>
                        </wps:cNvCnPr>
                        <wps:spPr bwMode="auto">
                          <a:xfrm>
                            <a:off x="1303" y="42"/>
                            <a:ext cx="130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57" name="Line 802"/>
                        <wps:cNvCnPr>
                          <a:cxnSpLocks noChangeShapeType="1"/>
                        </wps:cNvCnPr>
                        <wps:spPr bwMode="auto">
                          <a:xfrm>
                            <a:off x="1303" y="44"/>
                            <a:ext cx="130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58" name="Line 801"/>
                        <wps:cNvCnPr>
                          <a:cxnSpLocks noChangeShapeType="1"/>
                        </wps:cNvCnPr>
                        <wps:spPr bwMode="auto">
                          <a:xfrm>
                            <a:off x="1303" y="47"/>
                            <a:ext cx="130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F873716" id="Group 800" o:spid="_x0000_s1026" style="width:130.35pt;height:2.4pt;mso-position-horizontal-relative:char;mso-position-vertical-relative:line" coordsize="260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">
                <v:line id="Line 824" o:spid="_x0000_s1027" style="position:absolute;visibility:visible;mso-wrap-style:square" from="0,1" to="13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" strokeweight=".12pt"/>
                <v:line id="Line 823" o:spid="_x0000_s1028" style="position:absolute;visibility:visible;mso-wrap-style:square" from="0,4" to="13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" strokeweight=".12pt"/>
                <v:line id="Line 822" o:spid="_x0000_s1029" style="position:absolute;visibility:visible;mso-wrap-style:square" from="0,6" to="1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" strokeweight=".12pt"/>
                <v:line id="Line 821" o:spid="_x0000_s1030" style="position:absolute;visibility:visible;mso-wrap-style:square" from="0,8" to="13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" strokeweight=".12pt"/>
                <v:line id="Line 820" o:spid="_x0000_s1031" style="position:absolute;visibility:visible;mso-wrap-style:square" from="0,11" to="130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" strokeweight=".12pt"/>
                <v:line id="Line 819" o:spid="_x0000_s1032" style="position:absolute;visibility:visible;mso-wrap-style:square" from="0,13" to="130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" strokeweight=".12pt"/>
                <v:line id="Line 818" o:spid="_x0000_s1033" style="position:absolute;visibility:visible;mso-wrap-style:square" from="0,35" to="130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" strokeweight=".12pt"/>
                <v:line id="Line 817" o:spid="_x0000_s1034" style="position:absolute;visibility:visible;mso-wrap-style:square" from="0,37" to="130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" strokeweight=".12pt"/>
                <v:line id="Line 816" o:spid="_x0000_s1035" style="position:absolute;visibility:visible;mso-wrap-style:square" from="0,40" to="130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" strokeweight=".12pt"/>
                <v:line id="Line 815" o:spid="_x0000_s1036" style="position:absolute;visibility:visible;mso-wrap-style:square" from="0,42" to="130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" strokeweight=".12pt"/>
                <v:line id="Line 814" o:spid="_x0000_s1037" style="position:absolute;visibility:visible;mso-wrap-style:square" from="0,44" to="130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" strokeweight=".12pt"/>
                <v:line id="Line 813" o:spid="_x0000_s1038" style="position:absolute;visibility:visible;mso-wrap-style:square" from="0,47" to="130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" strokeweight=".12pt"/>
                <v:line id="Line 812" o:spid="_x0000_s1039" style="position:absolute;visibility:visible;mso-wrap-style:square" from="1303,1" to="26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" strokeweight=".12pt"/>
                <v:line id="Line 811" o:spid="_x0000_s1040" style="position:absolute;visibility:visible;mso-wrap-style:square" from="1303,4" to="26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" strokeweight=".12pt"/>
                <v:line id="Line 810" o:spid="_x0000_s1041" style="position:absolute;visibility:visible;mso-wrap-style:square" from="1303,6" to="26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" strokeweight=".12pt"/>
                <v:line id="Line 809" o:spid="_x0000_s1042" style="position:absolute;visibility:visible;mso-wrap-style:square" from="1303,8" to="26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" strokeweight=".12pt"/>
                <v:line id="Line 808" o:spid="_x0000_s1043" style="position:absolute;visibility:visible;mso-wrap-style:square" from="1303,11" to="260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" strokeweight=".12pt"/>
                <v:line id="Line 807" o:spid="_x0000_s1044" style="position:absolute;visibility:visible;mso-wrap-style:square" from="1303,13" to="260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" strokeweight=".12pt"/>
                <v:line id="Line 806" o:spid="_x0000_s1045" style="position:absolute;visibility:visible;mso-wrap-style:square" from="1303,35" to="260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" strokeweight=".12pt"/>
                <v:line id="Line 805" o:spid="_x0000_s1046" style="position:absolute;visibility:visible;mso-wrap-style:square" from="1303,37" to="260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" strokeweight=".12pt"/>
                <v:line id="Line 804" o:spid="_x0000_s1047" style="position:absolute;visibility:visible;mso-wrap-style:square" from="1303,40" to="260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" strokeweight=".12pt"/>
                <v:line id="Line 803" o:spid="_x0000_s1048" style="position:absolute;visibility:visible;mso-wrap-style:square" from="1303,42" to="260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" strokeweight=".12pt"/>
                <v:line id="Line 802" o:spid="_x0000_s1049" style="position:absolute;visibility:visible;mso-wrap-style:square" from="1303,44" to="260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" strokeweight=".12pt"/>
                <v:line id="Line 801" o:spid="_x0000_s1050" style="position:absolute;visibility:visible;mso-wrap-style:square" from="1303,47" to="260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" strokeweight=".12pt"/>
                <w10:anchorlock/>
              </v:group>
            </w:pict>
          </mc:Fallback>
        </mc:AlternateContent>
      </w:r>
    </w:p>
    <w:p w14:paraId="3E394E97" w14:textId="77777777" w:rsidR="00FA4AA8" w:rsidRDefault="00FA4AA8">
      <w:pPr>
        <w:pStyle w:val="BodyText"/>
        <w:spacing w:before="1"/>
        <w:rPr>
          <w:sz w:val="27"/>
        </w:rPr>
      </w:pPr>
    </w:p>
    <w:tbl>
      <w:tblPr>
        <w:tblW w:w="0" w:type="auto"/>
        <w:tblInd w:w="521" w:type="dxa"/>
        <w:tblLayout w:type="fixed"/>
        <w:tblCellMar>
          <w:left w:w="0" w:type="dxa"/>
          <w:right w:w="0" w:type="dxa"/>
        </w:tblCellMar>
        <w:tblLook w:val="01E0" w:firstRow="1" w:lastRow="1" w:firstColumn="1" w:lastColumn="1" w:noHBand="0" w:noVBand="0"/>
      </w:tblPr>
      <w:tblGrid>
        <w:gridCol w:w="448"/>
        <w:gridCol w:w="6527"/>
        <w:gridCol w:w="1452"/>
        <w:gridCol w:w="1137"/>
      </w:tblGrid>
      <w:tr w:rsidR="00FA4AA8" w14:paraId="18A7CED2" w14:textId="77777777">
        <w:trPr>
          <w:trHeight w:val="222"/>
        </w:trPr>
        <w:tc>
          <w:tcPr>
            <w:tcW w:w="448" w:type="dxa"/>
          </w:tcPr>
          <w:p w14:paraId="3788BEDD" w14:textId="77777777" w:rsidR="00FA4AA8" w:rsidRDefault="0015611F">
            <w:pPr>
              <w:pStyle w:val="TableParagraph"/>
              <w:spacing w:line="201" w:lineRule="exact"/>
              <w:ind w:left="50"/>
              <w:rPr>
                <w:b/>
                <w:sz w:val="18"/>
              </w:rPr>
            </w:pPr>
            <w:r>
              <w:rPr>
                <w:b/>
                <w:sz w:val="18"/>
              </w:rPr>
              <w:t>(d)</w:t>
            </w:r>
          </w:p>
        </w:tc>
        <w:tc>
          <w:tcPr>
            <w:tcW w:w="6527" w:type="dxa"/>
          </w:tcPr>
          <w:p w14:paraId="140EED1E" w14:textId="77777777" w:rsidR="00FA4AA8" w:rsidRDefault="0015611F">
            <w:pPr>
              <w:pStyle w:val="TableParagraph"/>
              <w:spacing w:line="201" w:lineRule="exact"/>
              <w:ind w:left="168"/>
              <w:rPr>
                <w:sz w:val="18"/>
              </w:rPr>
            </w:pPr>
            <w:r>
              <w:rPr>
                <w:sz w:val="18"/>
              </w:rPr>
              <w:t>Loans from the ultimate parent entity</w:t>
            </w:r>
          </w:p>
        </w:tc>
        <w:tc>
          <w:tcPr>
            <w:tcW w:w="2589" w:type="dxa"/>
            <w:gridSpan w:val="2"/>
          </w:tcPr>
          <w:p w14:paraId="1BAB60A8" w14:textId="77777777" w:rsidR="00FA4AA8" w:rsidRDefault="00FA4AA8">
            <w:pPr>
              <w:pStyle w:val="TableParagraph"/>
              <w:rPr>
                <w:rFonts w:ascii="Times New Roman"/>
                <w:sz w:val="14"/>
              </w:rPr>
            </w:pPr>
          </w:p>
        </w:tc>
      </w:tr>
      <w:tr w:rsidR="00FA4AA8" w14:paraId="40B3705B" w14:textId="77777777">
        <w:trPr>
          <w:trHeight w:val="259"/>
        </w:trPr>
        <w:tc>
          <w:tcPr>
            <w:tcW w:w="448" w:type="dxa"/>
          </w:tcPr>
          <w:p w14:paraId="78B61432" w14:textId="77777777" w:rsidR="00FA4AA8" w:rsidRDefault="00FA4AA8">
            <w:pPr>
              <w:pStyle w:val="TableParagraph"/>
              <w:rPr>
                <w:rFonts w:ascii="Times New Roman"/>
                <w:sz w:val="18"/>
              </w:rPr>
            </w:pPr>
          </w:p>
        </w:tc>
        <w:tc>
          <w:tcPr>
            <w:tcW w:w="6527" w:type="dxa"/>
          </w:tcPr>
          <w:p w14:paraId="7C31AE0F" w14:textId="77777777" w:rsidR="00FA4AA8" w:rsidRDefault="00FA4AA8">
            <w:pPr>
              <w:pStyle w:val="TableParagraph"/>
              <w:rPr>
                <w:rFonts w:ascii="Times New Roman"/>
                <w:sz w:val="18"/>
              </w:rPr>
            </w:pPr>
          </w:p>
        </w:tc>
        <w:tc>
          <w:tcPr>
            <w:tcW w:w="1452" w:type="dxa"/>
          </w:tcPr>
          <w:p w14:paraId="18EF64DF" w14:textId="77777777" w:rsidR="00FA4AA8" w:rsidRDefault="0015611F">
            <w:pPr>
              <w:pStyle w:val="TableParagraph"/>
              <w:spacing w:before="16"/>
              <w:ind w:left="445"/>
              <w:rPr>
                <w:b/>
                <w:sz w:val="18"/>
              </w:rPr>
            </w:pPr>
            <w:r>
              <w:rPr>
                <w:b/>
                <w:sz w:val="18"/>
              </w:rPr>
              <w:t>2018</w:t>
            </w:r>
          </w:p>
        </w:tc>
        <w:tc>
          <w:tcPr>
            <w:tcW w:w="1137" w:type="dxa"/>
          </w:tcPr>
          <w:p w14:paraId="32FD7663" w14:textId="77777777" w:rsidR="00FA4AA8" w:rsidRDefault="0015611F">
            <w:pPr>
              <w:pStyle w:val="TableParagraph"/>
              <w:spacing w:before="16"/>
              <w:ind w:left="277"/>
              <w:rPr>
                <w:b/>
                <w:sz w:val="18"/>
              </w:rPr>
            </w:pPr>
            <w:r>
              <w:rPr>
                <w:b/>
                <w:sz w:val="18"/>
              </w:rPr>
              <w:t>2017</w:t>
            </w:r>
          </w:p>
        </w:tc>
      </w:tr>
      <w:tr w:rsidR="00FA4AA8" w14:paraId="2AC0CE7C" w14:textId="77777777">
        <w:trPr>
          <w:trHeight w:val="271"/>
        </w:trPr>
        <w:tc>
          <w:tcPr>
            <w:tcW w:w="448" w:type="dxa"/>
          </w:tcPr>
          <w:p w14:paraId="3EEA3C55" w14:textId="77777777" w:rsidR="00FA4AA8" w:rsidRDefault="00FA4AA8">
            <w:pPr>
              <w:pStyle w:val="TableParagraph"/>
              <w:rPr>
                <w:rFonts w:ascii="Times New Roman"/>
                <w:sz w:val="18"/>
              </w:rPr>
            </w:pPr>
          </w:p>
        </w:tc>
        <w:tc>
          <w:tcPr>
            <w:tcW w:w="6527" w:type="dxa"/>
          </w:tcPr>
          <w:p w14:paraId="3B196A96" w14:textId="77777777" w:rsidR="00FA4AA8" w:rsidRDefault="00FA4AA8">
            <w:pPr>
              <w:pStyle w:val="TableParagraph"/>
              <w:rPr>
                <w:rFonts w:ascii="Times New Roman"/>
                <w:sz w:val="18"/>
              </w:rPr>
            </w:pPr>
          </w:p>
        </w:tc>
        <w:tc>
          <w:tcPr>
            <w:tcW w:w="1452" w:type="dxa"/>
          </w:tcPr>
          <w:p w14:paraId="591AD0EF" w14:textId="77777777" w:rsidR="00FA4AA8" w:rsidRDefault="0015611F">
            <w:pPr>
              <w:pStyle w:val="TableParagraph"/>
              <w:spacing w:before="30"/>
              <w:ind w:right="156"/>
              <w:jc w:val="center"/>
              <w:rPr>
                <w:b/>
                <w:sz w:val="18"/>
              </w:rPr>
            </w:pPr>
            <w:r>
              <w:rPr>
                <w:b/>
                <w:sz w:val="18"/>
              </w:rPr>
              <w:t>$</w:t>
            </w:r>
          </w:p>
        </w:tc>
        <w:tc>
          <w:tcPr>
            <w:tcW w:w="1137" w:type="dxa"/>
          </w:tcPr>
          <w:p w14:paraId="74CE55DC" w14:textId="77777777" w:rsidR="00FA4AA8" w:rsidRDefault="0015611F">
            <w:pPr>
              <w:pStyle w:val="TableParagraph"/>
              <w:spacing w:before="30"/>
              <w:ind w:right="177"/>
              <w:jc w:val="center"/>
              <w:rPr>
                <w:b/>
                <w:sz w:val="18"/>
              </w:rPr>
            </w:pPr>
            <w:r>
              <w:rPr>
                <w:b/>
                <w:sz w:val="18"/>
              </w:rPr>
              <w:t>$</w:t>
            </w:r>
          </w:p>
        </w:tc>
      </w:tr>
      <w:tr w:rsidR="00FA4AA8" w14:paraId="23003249" w14:textId="77777777">
        <w:trPr>
          <w:trHeight w:val="267"/>
        </w:trPr>
        <w:tc>
          <w:tcPr>
            <w:tcW w:w="448" w:type="dxa"/>
          </w:tcPr>
          <w:p w14:paraId="41BE44BC" w14:textId="77777777" w:rsidR="00FA4AA8" w:rsidRDefault="00FA4AA8">
            <w:pPr>
              <w:pStyle w:val="TableParagraph"/>
              <w:rPr>
                <w:rFonts w:ascii="Times New Roman"/>
                <w:sz w:val="18"/>
              </w:rPr>
            </w:pPr>
          </w:p>
        </w:tc>
        <w:tc>
          <w:tcPr>
            <w:tcW w:w="6527" w:type="dxa"/>
          </w:tcPr>
          <w:p w14:paraId="3B5FCA65" w14:textId="77777777" w:rsidR="00FA4AA8" w:rsidRDefault="0015611F">
            <w:pPr>
              <w:pStyle w:val="TableParagraph"/>
              <w:spacing w:before="30"/>
              <w:ind w:left="168"/>
              <w:rPr>
                <w:sz w:val="18"/>
              </w:rPr>
            </w:pPr>
            <w:r>
              <w:rPr>
                <w:sz w:val="18"/>
              </w:rPr>
              <w:t>Beginning of the year</w:t>
            </w:r>
          </w:p>
        </w:tc>
        <w:tc>
          <w:tcPr>
            <w:tcW w:w="1452" w:type="dxa"/>
          </w:tcPr>
          <w:p w14:paraId="64E46652" w14:textId="77777777" w:rsidR="00FA4AA8" w:rsidRDefault="0015611F">
            <w:pPr>
              <w:pStyle w:val="TableParagraph"/>
              <w:spacing w:before="28"/>
              <w:ind w:right="241"/>
              <w:jc w:val="right"/>
              <w:rPr>
                <w:b/>
                <w:sz w:val="18"/>
              </w:rPr>
            </w:pPr>
            <w:r>
              <w:rPr>
                <w:b/>
                <w:sz w:val="18"/>
              </w:rPr>
              <w:t>799,365</w:t>
            </w:r>
          </w:p>
        </w:tc>
        <w:tc>
          <w:tcPr>
            <w:tcW w:w="1137" w:type="dxa"/>
          </w:tcPr>
          <w:p w14:paraId="29364BA1" w14:textId="77777777" w:rsidR="00FA4AA8" w:rsidRDefault="0015611F">
            <w:pPr>
              <w:pStyle w:val="TableParagraph"/>
              <w:spacing w:before="28"/>
              <w:ind w:left="248"/>
              <w:rPr>
                <w:sz w:val="18"/>
              </w:rPr>
            </w:pPr>
            <w:r>
              <w:rPr>
                <w:sz w:val="18"/>
              </w:rPr>
              <w:t>5,618,407</w:t>
            </w:r>
          </w:p>
        </w:tc>
      </w:tr>
      <w:tr w:rsidR="00FA4AA8" w14:paraId="24362691" w14:textId="77777777">
        <w:trPr>
          <w:trHeight w:val="263"/>
        </w:trPr>
        <w:tc>
          <w:tcPr>
            <w:tcW w:w="448" w:type="dxa"/>
          </w:tcPr>
          <w:p w14:paraId="5995E958" w14:textId="77777777" w:rsidR="00FA4AA8" w:rsidRDefault="00FA4AA8">
            <w:pPr>
              <w:pStyle w:val="TableParagraph"/>
              <w:rPr>
                <w:rFonts w:ascii="Times New Roman"/>
                <w:sz w:val="18"/>
              </w:rPr>
            </w:pPr>
          </w:p>
        </w:tc>
        <w:tc>
          <w:tcPr>
            <w:tcW w:w="6527" w:type="dxa"/>
          </w:tcPr>
          <w:p w14:paraId="6725B21A" w14:textId="77777777" w:rsidR="00FA4AA8" w:rsidRDefault="0015611F">
            <w:pPr>
              <w:pStyle w:val="TableParagraph"/>
              <w:spacing w:before="26"/>
              <w:ind w:left="168"/>
              <w:rPr>
                <w:sz w:val="18"/>
              </w:rPr>
            </w:pPr>
            <w:r>
              <w:rPr>
                <w:sz w:val="18"/>
              </w:rPr>
              <w:t>Loans advanced</w:t>
            </w:r>
          </w:p>
        </w:tc>
        <w:tc>
          <w:tcPr>
            <w:tcW w:w="1452" w:type="dxa"/>
          </w:tcPr>
          <w:p w14:paraId="2C2E872F" w14:textId="77777777" w:rsidR="00FA4AA8" w:rsidRDefault="0015611F">
            <w:pPr>
              <w:pStyle w:val="TableParagraph"/>
              <w:spacing w:before="24"/>
              <w:ind w:right="241"/>
              <w:jc w:val="right"/>
              <w:rPr>
                <w:b/>
                <w:sz w:val="18"/>
              </w:rPr>
            </w:pPr>
            <w:r>
              <w:rPr>
                <w:b/>
                <w:sz w:val="18"/>
              </w:rPr>
              <w:t>1,885,273</w:t>
            </w:r>
          </w:p>
        </w:tc>
        <w:tc>
          <w:tcPr>
            <w:tcW w:w="1137" w:type="dxa"/>
          </w:tcPr>
          <w:p w14:paraId="1004D398" w14:textId="77777777" w:rsidR="00FA4AA8" w:rsidRDefault="0015611F">
            <w:pPr>
              <w:pStyle w:val="TableParagraph"/>
              <w:spacing w:before="24"/>
              <w:ind w:left="399"/>
              <w:rPr>
                <w:sz w:val="18"/>
              </w:rPr>
            </w:pPr>
            <w:r>
              <w:rPr>
                <w:sz w:val="18"/>
              </w:rPr>
              <w:t>899,900</w:t>
            </w:r>
          </w:p>
        </w:tc>
      </w:tr>
      <w:tr w:rsidR="00FA4AA8" w14:paraId="1F2ADBB7" w14:textId="77777777">
        <w:trPr>
          <w:trHeight w:val="264"/>
        </w:trPr>
        <w:tc>
          <w:tcPr>
            <w:tcW w:w="448" w:type="dxa"/>
          </w:tcPr>
          <w:p w14:paraId="4C7252EE" w14:textId="77777777" w:rsidR="00FA4AA8" w:rsidRDefault="00FA4AA8">
            <w:pPr>
              <w:pStyle w:val="TableParagraph"/>
              <w:rPr>
                <w:rFonts w:ascii="Times New Roman"/>
                <w:sz w:val="18"/>
              </w:rPr>
            </w:pPr>
          </w:p>
        </w:tc>
        <w:tc>
          <w:tcPr>
            <w:tcW w:w="6527" w:type="dxa"/>
          </w:tcPr>
          <w:p w14:paraId="58E44E86" w14:textId="77777777" w:rsidR="00FA4AA8" w:rsidRDefault="0015611F">
            <w:pPr>
              <w:pStyle w:val="TableParagraph"/>
              <w:spacing w:before="26"/>
              <w:ind w:left="168"/>
              <w:rPr>
                <w:sz w:val="18"/>
              </w:rPr>
            </w:pPr>
            <w:r>
              <w:rPr>
                <w:sz w:val="18"/>
              </w:rPr>
              <w:t>Interest charged</w:t>
            </w:r>
          </w:p>
        </w:tc>
        <w:tc>
          <w:tcPr>
            <w:tcW w:w="1452" w:type="dxa"/>
          </w:tcPr>
          <w:p w14:paraId="49A55142" w14:textId="77777777" w:rsidR="00FA4AA8" w:rsidRDefault="0015611F">
            <w:pPr>
              <w:pStyle w:val="TableParagraph"/>
              <w:spacing w:before="24"/>
              <w:ind w:right="241"/>
              <w:jc w:val="right"/>
              <w:rPr>
                <w:b/>
                <w:sz w:val="18"/>
              </w:rPr>
            </w:pPr>
            <w:r>
              <w:rPr>
                <w:b/>
                <w:sz w:val="18"/>
              </w:rPr>
              <w:t>63,306</w:t>
            </w:r>
          </w:p>
        </w:tc>
        <w:tc>
          <w:tcPr>
            <w:tcW w:w="1137" w:type="dxa"/>
          </w:tcPr>
          <w:p w14:paraId="662B1E00" w14:textId="77777777" w:rsidR="00FA4AA8" w:rsidRDefault="0015611F">
            <w:pPr>
              <w:pStyle w:val="TableParagraph"/>
              <w:spacing w:before="24"/>
              <w:ind w:left="399"/>
              <w:rPr>
                <w:sz w:val="18"/>
              </w:rPr>
            </w:pPr>
            <w:r>
              <w:rPr>
                <w:sz w:val="18"/>
              </w:rPr>
              <w:t>176,975</w:t>
            </w:r>
          </w:p>
        </w:tc>
      </w:tr>
      <w:tr w:rsidR="00FA4AA8" w14:paraId="4C8CAC3E" w14:textId="77777777">
        <w:trPr>
          <w:trHeight w:val="264"/>
        </w:trPr>
        <w:tc>
          <w:tcPr>
            <w:tcW w:w="448" w:type="dxa"/>
          </w:tcPr>
          <w:p w14:paraId="4A3BBCAB" w14:textId="77777777" w:rsidR="00FA4AA8" w:rsidRDefault="00FA4AA8">
            <w:pPr>
              <w:pStyle w:val="TableParagraph"/>
              <w:rPr>
                <w:rFonts w:ascii="Times New Roman"/>
                <w:sz w:val="18"/>
              </w:rPr>
            </w:pPr>
          </w:p>
        </w:tc>
        <w:tc>
          <w:tcPr>
            <w:tcW w:w="6527" w:type="dxa"/>
          </w:tcPr>
          <w:p w14:paraId="70C1C702" w14:textId="77777777" w:rsidR="00FA4AA8" w:rsidRDefault="0015611F">
            <w:pPr>
              <w:pStyle w:val="TableParagraph"/>
              <w:spacing w:before="26"/>
              <w:ind w:left="168"/>
              <w:rPr>
                <w:sz w:val="18"/>
              </w:rPr>
            </w:pPr>
            <w:r>
              <w:rPr>
                <w:sz w:val="18"/>
              </w:rPr>
              <w:t>Loan repayment</w:t>
            </w:r>
          </w:p>
        </w:tc>
        <w:tc>
          <w:tcPr>
            <w:tcW w:w="1452" w:type="dxa"/>
          </w:tcPr>
          <w:p w14:paraId="54FC7E3A" w14:textId="77777777" w:rsidR="00FA4AA8" w:rsidRDefault="0015611F">
            <w:pPr>
              <w:pStyle w:val="TableParagraph"/>
              <w:spacing w:before="24"/>
              <w:ind w:right="181"/>
              <w:jc w:val="right"/>
              <w:rPr>
                <w:b/>
                <w:sz w:val="18"/>
              </w:rPr>
            </w:pPr>
            <w:r>
              <w:rPr>
                <w:b/>
                <w:sz w:val="18"/>
              </w:rPr>
              <w:t>(68,641)</w:t>
            </w:r>
          </w:p>
        </w:tc>
        <w:tc>
          <w:tcPr>
            <w:tcW w:w="1137" w:type="dxa"/>
          </w:tcPr>
          <w:p w14:paraId="7583637D" w14:textId="77777777" w:rsidR="00FA4AA8" w:rsidRDefault="0015611F">
            <w:pPr>
              <w:pStyle w:val="TableParagraph"/>
              <w:spacing w:before="24"/>
              <w:ind w:left="188"/>
              <w:rPr>
                <w:sz w:val="18"/>
              </w:rPr>
            </w:pPr>
            <w:r>
              <w:rPr>
                <w:sz w:val="18"/>
              </w:rPr>
              <w:t>(1,960,532)</w:t>
            </w:r>
          </w:p>
        </w:tc>
      </w:tr>
      <w:tr w:rsidR="00FA4AA8" w14:paraId="55CC140B" w14:textId="77777777">
        <w:trPr>
          <w:trHeight w:val="256"/>
        </w:trPr>
        <w:tc>
          <w:tcPr>
            <w:tcW w:w="448" w:type="dxa"/>
          </w:tcPr>
          <w:p w14:paraId="4BB8ADD9" w14:textId="77777777" w:rsidR="00FA4AA8" w:rsidRDefault="00FA4AA8">
            <w:pPr>
              <w:pStyle w:val="TableParagraph"/>
              <w:rPr>
                <w:rFonts w:ascii="Times New Roman"/>
                <w:sz w:val="18"/>
              </w:rPr>
            </w:pPr>
          </w:p>
        </w:tc>
        <w:tc>
          <w:tcPr>
            <w:tcW w:w="6527" w:type="dxa"/>
          </w:tcPr>
          <w:p w14:paraId="06F24A2F" w14:textId="77777777" w:rsidR="00FA4AA8" w:rsidRDefault="0015611F">
            <w:pPr>
              <w:pStyle w:val="TableParagraph"/>
              <w:spacing w:before="26"/>
              <w:ind w:left="168"/>
              <w:rPr>
                <w:sz w:val="18"/>
              </w:rPr>
            </w:pPr>
            <w:r>
              <w:rPr>
                <w:sz w:val="18"/>
              </w:rPr>
              <w:t>Loans forgiven by the parent entity</w:t>
            </w:r>
          </w:p>
        </w:tc>
        <w:tc>
          <w:tcPr>
            <w:tcW w:w="1452" w:type="dxa"/>
            <w:tcBorders>
              <w:bottom w:val="single" w:sz="8" w:space="0" w:color="000000"/>
            </w:tcBorders>
          </w:tcPr>
          <w:p w14:paraId="18149337" w14:textId="77777777" w:rsidR="00FA4AA8" w:rsidRDefault="0015611F">
            <w:pPr>
              <w:pStyle w:val="TableParagraph"/>
              <w:spacing w:before="24"/>
              <w:ind w:right="241"/>
              <w:jc w:val="right"/>
              <w:rPr>
                <w:b/>
                <w:sz w:val="18"/>
              </w:rPr>
            </w:pPr>
            <w:r>
              <w:rPr>
                <w:b/>
                <w:sz w:val="18"/>
              </w:rPr>
              <w:t>-</w:t>
            </w:r>
          </w:p>
        </w:tc>
        <w:tc>
          <w:tcPr>
            <w:tcW w:w="1137" w:type="dxa"/>
            <w:tcBorders>
              <w:bottom w:val="single" w:sz="8" w:space="0" w:color="000000"/>
            </w:tcBorders>
          </w:tcPr>
          <w:p w14:paraId="686069EA" w14:textId="77777777" w:rsidR="00FA4AA8" w:rsidRDefault="0015611F">
            <w:pPr>
              <w:pStyle w:val="TableParagraph"/>
              <w:spacing w:before="24"/>
              <w:ind w:left="188"/>
              <w:rPr>
                <w:sz w:val="18"/>
              </w:rPr>
            </w:pPr>
            <w:r>
              <w:rPr>
                <w:sz w:val="18"/>
              </w:rPr>
              <w:t>(3,935,385)</w:t>
            </w:r>
          </w:p>
        </w:tc>
      </w:tr>
      <w:tr w:rsidR="00FA4AA8" w14:paraId="5BC69FA9" w14:textId="77777777">
        <w:trPr>
          <w:trHeight w:val="320"/>
        </w:trPr>
        <w:tc>
          <w:tcPr>
            <w:tcW w:w="448" w:type="dxa"/>
          </w:tcPr>
          <w:p w14:paraId="1129C244" w14:textId="77777777" w:rsidR="00FA4AA8" w:rsidRDefault="00FA4AA8">
            <w:pPr>
              <w:pStyle w:val="TableParagraph"/>
              <w:rPr>
                <w:rFonts w:ascii="Times New Roman"/>
                <w:sz w:val="18"/>
              </w:rPr>
            </w:pPr>
          </w:p>
        </w:tc>
        <w:tc>
          <w:tcPr>
            <w:tcW w:w="6527" w:type="dxa"/>
          </w:tcPr>
          <w:p w14:paraId="0A0E5D22" w14:textId="77777777" w:rsidR="00FA4AA8" w:rsidRDefault="0015611F">
            <w:pPr>
              <w:pStyle w:val="TableParagraph"/>
              <w:spacing w:before="88"/>
              <w:ind w:left="168"/>
              <w:rPr>
                <w:sz w:val="18"/>
              </w:rPr>
            </w:pPr>
            <w:r>
              <w:rPr>
                <w:sz w:val="18"/>
              </w:rPr>
              <w:t>End of the year</w:t>
            </w:r>
          </w:p>
        </w:tc>
        <w:tc>
          <w:tcPr>
            <w:tcW w:w="1452" w:type="dxa"/>
            <w:tcBorders>
              <w:top w:val="single" w:sz="8" w:space="0" w:color="000000"/>
              <w:bottom w:val="double" w:sz="2" w:space="0" w:color="000000"/>
            </w:tcBorders>
          </w:tcPr>
          <w:p w14:paraId="64179E31" w14:textId="77777777" w:rsidR="00FA4AA8" w:rsidRDefault="0015611F">
            <w:pPr>
              <w:pStyle w:val="TableParagraph"/>
              <w:spacing w:before="115" w:line="185" w:lineRule="exact"/>
              <w:ind w:right="241"/>
              <w:jc w:val="right"/>
              <w:rPr>
                <w:b/>
                <w:sz w:val="18"/>
              </w:rPr>
            </w:pPr>
            <w:r>
              <w:rPr>
                <w:b/>
                <w:sz w:val="18"/>
              </w:rPr>
              <w:t>2,679,303</w:t>
            </w:r>
          </w:p>
        </w:tc>
        <w:tc>
          <w:tcPr>
            <w:tcW w:w="1137" w:type="dxa"/>
            <w:tcBorders>
              <w:top w:val="single" w:sz="8" w:space="0" w:color="000000"/>
              <w:bottom w:val="double" w:sz="2" w:space="0" w:color="000000"/>
            </w:tcBorders>
          </w:tcPr>
          <w:p w14:paraId="791CAA85" w14:textId="77777777" w:rsidR="00FA4AA8" w:rsidRDefault="0015611F">
            <w:pPr>
              <w:pStyle w:val="TableParagraph"/>
              <w:spacing w:before="115" w:line="185" w:lineRule="exact"/>
              <w:ind w:left="399"/>
              <w:rPr>
                <w:sz w:val="18"/>
              </w:rPr>
            </w:pPr>
            <w:r>
              <w:rPr>
                <w:sz w:val="18"/>
              </w:rPr>
              <w:t>799,365</w:t>
            </w:r>
          </w:p>
        </w:tc>
      </w:tr>
    </w:tbl>
    <w:p w14:paraId="6DE7ED3C" w14:textId="77777777" w:rsidR="00FA4AA8" w:rsidRDefault="00FA4AA8">
      <w:pPr>
        <w:pStyle w:val="BodyText"/>
        <w:spacing w:before="1"/>
        <w:rPr>
          <w:sz w:val="26"/>
        </w:rPr>
      </w:pPr>
    </w:p>
    <w:p w14:paraId="758504A4" w14:textId="77777777" w:rsidR="00FA4AA8" w:rsidRDefault="0015611F">
      <w:pPr>
        <w:pStyle w:val="BodyText"/>
        <w:ind w:left="1132"/>
      </w:pPr>
      <w:r>
        <w:t>Finance costs relating to the Western Sydney University loan facilities are expensed.</w:t>
      </w:r>
    </w:p>
    <w:p w14:paraId="0B0FEC83" w14:textId="77777777" w:rsidR="00FA4AA8" w:rsidRDefault="00FA4AA8">
      <w:pPr>
        <w:sectPr w:rsidR="00FA4AA8">
          <w:type w:val="continuous"/>
          <w:pgSz w:w="11910" w:h="16840"/>
          <w:pgMar w:top="20" w:right="840" w:bottom="0" w:left="840" w:header="720" w:footer="720" w:gutter="0"/>
          <w:cols w:space="720"/>
        </w:sectPr>
      </w:pPr>
    </w:p>
    <w:p w14:paraId="7CF10479" w14:textId="77777777" w:rsidR="00FA4AA8" w:rsidRDefault="00FA4AA8">
      <w:pPr>
        <w:pStyle w:val="BodyText"/>
        <w:spacing w:before="1"/>
        <w:rPr>
          <w:sz w:val="28"/>
        </w:rPr>
      </w:pPr>
    </w:p>
    <w:p w14:paraId="4545A093" w14:textId="77777777" w:rsidR="00FA4AA8" w:rsidRDefault="0015611F">
      <w:pPr>
        <w:numPr>
          <w:ilvl w:val="0"/>
          <w:numId w:val="53"/>
        </w:numPr>
        <w:tabs>
          <w:tab w:val="left" w:pos="565"/>
        </w:tabs>
        <w:spacing w:before="94"/>
        <w:rPr>
          <w:b/>
          <w:sz w:val="18"/>
        </w:rPr>
      </w:pPr>
      <w:bookmarkStart w:id="176" w:name="19_Economic_dependency_"/>
      <w:bookmarkEnd w:id="176"/>
      <w:r>
        <w:rPr>
          <w:b/>
          <w:sz w:val="18"/>
        </w:rPr>
        <w:t>Economic</w:t>
      </w:r>
      <w:r>
        <w:rPr>
          <w:b/>
          <w:spacing w:val="1"/>
          <w:sz w:val="18"/>
        </w:rPr>
        <w:t xml:space="preserve"> </w:t>
      </w:r>
      <w:r>
        <w:rPr>
          <w:b/>
          <w:sz w:val="18"/>
        </w:rPr>
        <w:t>dependency</w:t>
      </w:r>
    </w:p>
    <w:p w14:paraId="1B2E02BE" w14:textId="77777777" w:rsidR="00FA4AA8" w:rsidRDefault="00FA4AA8">
      <w:pPr>
        <w:pStyle w:val="BodyText"/>
        <w:rPr>
          <w:b/>
          <w:sz w:val="20"/>
        </w:rPr>
      </w:pPr>
    </w:p>
    <w:p w14:paraId="4F2BF69C" w14:textId="77777777" w:rsidR="00FA4AA8" w:rsidRDefault="00FA4AA8">
      <w:pPr>
        <w:pStyle w:val="BodyText"/>
        <w:spacing w:before="3"/>
        <w:rPr>
          <w:b/>
          <w:sz w:val="22"/>
        </w:rPr>
      </w:pPr>
    </w:p>
    <w:p w14:paraId="64A0925D" w14:textId="77777777" w:rsidR="00FA4AA8" w:rsidRDefault="0015611F">
      <w:pPr>
        <w:pStyle w:val="BodyText"/>
        <w:spacing w:before="1"/>
        <w:ind w:left="563"/>
      </w:pPr>
      <w:r>
        <w:t>The Company is economically dependent on Western Sydney University for the provision of office accommodation and support activities.</w:t>
      </w:r>
    </w:p>
    <w:p w14:paraId="7F1BF5DD" w14:textId="77777777" w:rsidR="00FA4AA8" w:rsidRDefault="00FA4AA8">
      <w:pPr>
        <w:pStyle w:val="BodyText"/>
        <w:spacing w:before="10"/>
        <w:rPr>
          <w:sz w:val="24"/>
        </w:rPr>
      </w:pPr>
    </w:p>
    <w:p w14:paraId="6EB417B1" w14:textId="77777777" w:rsidR="00FA4AA8" w:rsidRDefault="0015611F">
      <w:pPr>
        <w:pStyle w:val="BodyText"/>
        <w:ind w:left="563"/>
      </w:pPr>
      <w:r>
        <w:t>The Company's borrowings are from the Parent entity as mentioned in Note 18 (d), with funding limited to day to day working capital.</w:t>
      </w:r>
    </w:p>
    <w:p w14:paraId="0DFDDD9C" w14:textId="77777777" w:rsidR="00FA4AA8" w:rsidRDefault="00FA4AA8">
      <w:pPr>
        <w:pStyle w:val="BodyText"/>
        <w:rPr>
          <w:sz w:val="25"/>
        </w:rPr>
      </w:pPr>
    </w:p>
    <w:p w14:paraId="5F2B6A55" w14:textId="77777777" w:rsidR="00FA4AA8" w:rsidRDefault="0015611F">
      <w:pPr>
        <w:pStyle w:val="BodyText"/>
        <w:ind w:left="563" w:right="201"/>
      </w:pPr>
      <w:bookmarkStart w:id="177" w:name="20_Events_occurring_after_the_reporting_"/>
      <w:bookmarkEnd w:id="177"/>
      <w:r>
        <w:t>The Company is dependent on Western Sydney University to provide financial support should the need arise. A Letter of Support has been provided by Western Sydney University.</w:t>
      </w:r>
    </w:p>
    <w:p w14:paraId="1F9B35B8" w14:textId="77777777" w:rsidR="00FA4AA8" w:rsidRDefault="00FA4AA8">
      <w:pPr>
        <w:pStyle w:val="BodyText"/>
        <w:rPr>
          <w:sz w:val="20"/>
        </w:rPr>
      </w:pPr>
    </w:p>
    <w:p w14:paraId="20688A78" w14:textId="77777777" w:rsidR="00FA4AA8" w:rsidRDefault="00FA4AA8">
      <w:pPr>
        <w:pStyle w:val="BodyText"/>
        <w:spacing w:before="6"/>
        <w:rPr>
          <w:sz w:val="27"/>
        </w:rPr>
      </w:pPr>
    </w:p>
    <w:p w14:paraId="6594E107" w14:textId="77777777" w:rsidR="00FA4AA8" w:rsidRDefault="0015611F">
      <w:pPr>
        <w:numPr>
          <w:ilvl w:val="0"/>
          <w:numId w:val="53"/>
        </w:numPr>
        <w:tabs>
          <w:tab w:val="left" w:pos="564"/>
        </w:tabs>
        <w:ind w:hanging="394"/>
        <w:rPr>
          <w:b/>
          <w:sz w:val="18"/>
        </w:rPr>
      </w:pPr>
      <w:r>
        <w:rPr>
          <w:b/>
          <w:sz w:val="18"/>
        </w:rPr>
        <w:t>Events occurring after the reporting period</w:t>
      </w:r>
    </w:p>
    <w:p w14:paraId="1B89B5AB" w14:textId="77777777" w:rsidR="00FA4AA8" w:rsidRDefault="00FA4AA8">
      <w:pPr>
        <w:pStyle w:val="BodyText"/>
        <w:rPr>
          <w:b/>
          <w:sz w:val="20"/>
        </w:rPr>
      </w:pPr>
    </w:p>
    <w:p w14:paraId="0D0B18B9" w14:textId="77777777" w:rsidR="00FA4AA8" w:rsidRDefault="00FA4AA8">
      <w:pPr>
        <w:pStyle w:val="BodyText"/>
        <w:spacing w:before="10"/>
        <w:rPr>
          <w:b/>
        </w:rPr>
      </w:pPr>
    </w:p>
    <w:p w14:paraId="7DC01C23" w14:textId="77777777" w:rsidR="00FA4AA8" w:rsidRDefault="0015611F">
      <w:pPr>
        <w:pStyle w:val="BodyText"/>
        <w:spacing w:before="1"/>
        <w:ind w:left="563" w:right="256"/>
      </w:pPr>
      <w:r>
        <w:t>No matters or circumstances have arisen since the end of the financial year which significantly affected or may significantly affect the operations of the Company, the results of those operations, or the state of affairs of the Company in future financial years.</w:t>
      </w:r>
    </w:p>
    <w:p w14:paraId="4E046DFD" w14:textId="77777777" w:rsidR="00FA4AA8" w:rsidRDefault="00FA4AA8">
      <w:pPr>
        <w:sectPr w:rsidR="00FA4AA8">
          <w:pgSz w:w="11910" w:h="16840"/>
          <w:pgMar w:top="2440" w:right="840" w:bottom="720" w:left="840" w:header="1016" w:footer="523" w:gutter="0"/>
          <w:cols w:space="720"/>
        </w:sectPr>
      </w:pPr>
    </w:p>
    <w:p w14:paraId="1AFC65BE" w14:textId="77777777" w:rsidR="00FA4AA8" w:rsidRDefault="0015611F">
      <w:pPr>
        <w:pStyle w:val="BodyText"/>
        <w:ind w:left="4618"/>
        <w:rPr>
          <w:sz w:val="20"/>
        </w:rPr>
      </w:pPr>
      <w:r>
        <w:rPr>
          <w:noProof/>
          <w:sz w:val="20"/>
          <w:lang w:val="en-AU" w:eastAsia="en-AU"/>
        </w:rPr>
        <w:drawing>
          <wp:inline distT="0" distB="0" distL="0" distR="0" wp14:anchorId="658067D7" wp14:editId="0A1C8A96">
            <wp:extent cx="801624" cy="457200"/>
            <wp:effectExtent l="0" t="0" r="0" b="0"/>
            <wp:docPr id="55"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9.jpeg"/>
                    <pic:cNvPicPr/>
                  </pic:nvPicPr>
                  <pic:blipFill>
                    <a:blip r:embed="rId128" cstate="print"/>
                    <a:stretch>
                      <a:fillRect/>
                    </a:stretch>
                  </pic:blipFill>
                  <pic:spPr>
                    <a:xfrm>
                      <a:off x="0" y="0"/>
                      <a:ext cx="801624" cy="457200"/>
                    </a:xfrm>
                    <a:prstGeom prst="rect">
                      <a:avLst/>
                    </a:prstGeom>
                  </pic:spPr>
                </pic:pic>
              </a:graphicData>
            </a:graphic>
          </wp:inline>
        </w:drawing>
      </w:r>
    </w:p>
    <w:p w14:paraId="5FD7F3E7" w14:textId="77777777" w:rsidR="00FA4AA8" w:rsidRDefault="00FA4AA8">
      <w:pPr>
        <w:pStyle w:val="BodyText"/>
        <w:rPr>
          <w:sz w:val="14"/>
        </w:rPr>
      </w:pPr>
    </w:p>
    <w:p w14:paraId="7AB4C280" w14:textId="77777777" w:rsidR="00FA4AA8" w:rsidRDefault="0015611F">
      <w:pPr>
        <w:tabs>
          <w:tab w:val="left" w:pos="1140"/>
        </w:tabs>
        <w:ind w:right="152"/>
        <w:jc w:val="center"/>
        <w:rPr>
          <w:sz w:val="13"/>
        </w:rPr>
      </w:pPr>
      <w:r>
        <w:rPr>
          <w:color w:val="0C0C0C"/>
          <w:sz w:val="13"/>
        </w:rPr>
        <w:t>”6</w:t>
      </w:r>
      <w:r>
        <w:rPr>
          <w:color w:val="0C0C0C"/>
          <w:sz w:val="13"/>
        </w:rPr>
        <w:tab/>
      </w:r>
      <w:r>
        <w:rPr>
          <w:color w:val="262626"/>
          <w:sz w:val="13"/>
        </w:rPr>
        <w:t>'</w:t>
      </w:r>
    </w:p>
    <w:p w14:paraId="0396A3B0" w14:textId="77777777" w:rsidR="00FA4AA8" w:rsidRDefault="0015611F">
      <w:pPr>
        <w:tabs>
          <w:tab w:val="left" w:pos="792"/>
        </w:tabs>
        <w:spacing w:before="57"/>
        <w:ind w:left="306"/>
        <w:jc w:val="center"/>
        <w:rPr>
          <w:sz w:val="13"/>
        </w:rPr>
      </w:pPr>
      <w:r>
        <w:rPr>
          <w:sz w:val="13"/>
        </w:rPr>
        <w:t>UTH</w:t>
      </w:r>
      <w:r>
        <w:rPr>
          <w:sz w:val="13"/>
        </w:rPr>
        <w:tab/>
        <w:t>*“</w:t>
      </w:r>
    </w:p>
    <w:p w14:paraId="45123BBA" w14:textId="77777777" w:rsidR="00FA4AA8" w:rsidRDefault="00FA4AA8">
      <w:pPr>
        <w:pStyle w:val="BodyText"/>
        <w:rPr>
          <w:sz w:val="14"/>
        </w:rPr>
      </w:pPr>
    </w:p>
    <w:p w14:paraId="678A2F87" w14:textId="77777777" w:rsidR="00FA4AA8" w:rsidRDefault="00FA4AA8">
      <w:pPr>
        <w:pStyle w:val="BodyText"/>
        <w:rPr>
          <w:sz w:val="14"/>
        </w:rPr>
      </w:pPr>
    </w:p>
    <w:p w14:paraId="3B4E2988" w14:textId="77777777" w:rsidR="00FA4AA8" w:rsidRDefault="00FA4AA8">
      <w:pPr>
        <w:pStyle w:val="BodyText"/>
        <w:spacing w:before="3"/>
        <w:rPr>
          <w:sz w:val="19"/>
        </w:rPr>
      </w:pPr>
    </w:p>
    <w:p w14:paraId="409C17EE" w14:textId="77777777" w:rsidR="00FA4AA8" w:rsidRDefault="0015611F">
      <w:pPr>
        <w:spacing w:before="1"/>
        <w:ind w:left="29" w:right="18"/>
        <w:jc w:val="center"/>
        <w:rPr>
          <w:b/>
          <w:sz w:val="24"/>
        </w:rPr>
      </w:pPr>
      <w:r>
        <w:rPr>
          <w:b/>
          <w:color w:val="0C0C0C"/>
          <w:sz w:val="24"/>
        </w:rPr>
        <w:t xml:space="preserve">INDEPENDENT </w:t>
      </w:r>
      <w:r>
        <w:rPr>
          <w:b/>
          <w:color w:val="131313"/>
          <w:sz w:val="24"/>
        </w:rPr>
        <w:t xml:space="preserve">AUDITOR’S </w:t>
      </w:r>
      <w:r>
        <w:rPr>
          <w:b/>
          <w:color w:val="1A1A1A"/>
          <w:sz w:val="24"/>
        </w:rPr>
        <w:t>REPORT</w:t>
      </w:r>
    </w:p>
    <w:p w14:paraId="3F4ED0EA" w14:textId="77777777" w:rsidR="00FA4AA8" w:rsidRDefault="0015611F">
      <w:pPr>
        <w:pStyle w:val="Heading8"/>
        <w:spacing w:before="165"/>
        <w:ind w:left="25" w:right="18"/>
        <w:jc w:val="center"/>
      </w:pPr>
      <w:r>
        <w:rPr>
          <w:color w:val="1A1A1A"/>
        </w:rPr>
        <w:t xml:space="preserve">Western </w:t>
      </w:r>
      <w:r>
        <w:rPr>
          <w:color w:val="1C1C1C"/>
        </w:rPr>
        <w:t xml:space="preserve">Unlimited </w:t>
      </w:r>
      <w:r>
        <w:rPr>
          <w:color w:val="181818"/>
        </w:rPr>
        <w:t xml:space="preserve">Ltd </w:t>
      </w:r>
      <w:r>
        <w:t xml:space="preserve">(formerly </w:t>
      </w:r>
      <w:r>
        <w:rPr>
          <w:color w:val="111111"/>
        </w:rPr>
        <w:t xml:space="preserve">uwsconnect </w:t>
      </w:r>
      <w:r>
        <w:t>Limited)</w:t>
      </w:r>
    </w:p>
    <w:p w14:paraId="4DB17779" w14:textId="77777777" w:rsidR="00FA4AA8" w:rsidRDefault="00FA4AA8">
      <w:pPr>
        <w:pStyle w:val="BodyText"/>
        <w:rPr>
          <w:b/>
          <w:sz w:val="22"/>
        </w:rPr>
      </w:pPr>
    </w:p>
    <w:p w14:paraId="2C414E53" w14:textId="77777777" w:rsidR="00FA4AA8" w:rsidRDefault="00FA4AA8">
      <w:pPr>
        <w:pStyle w:val="BodyText"/>
        <w:spacing w:before="10"/>
        <w:rPr>
          <w:b/>
          <w:sz w:val="27"/>
        </w:rPr>
      </w:pPr>
    </w:p>
    <w:p w14:paraId="6066992C" w14:textId="77777777" w:rsidR="00FA4AA8" w:rsidRDefault="0015611F">
      <w:pPr>
        <w:pStyle w:val="Heading9"/>
        <w:spacing w:before="1"/>
        <w:ind w:left="687"/>
      </w:pPr>
      <w:r>
        <w:t xml:space="preserve">To Members of </w:t>
      </w:r>
      <w:r>
        <w:rPr>
          <w:color w:val="131313"/>
        </w:rPr>
        <w:t xml:space="preserve">the </w:t>
      </w:r>
      <w:r>
        <w:rPr>
          <w:color w:val="0E0E0E"/>
        </w:rPr>
        <w:t xml:space="preserve">New South </w:t>
      </w:r>
      <w:r>
        <w:rPr>
          <w:color w:val="0F0F0F"/>
        </w:rPr>
        <w:t xml:space="preserve">Wales </w:t>
      </w:r>
      <w:r>
        <w:t xml:space="preserve">Parliament </w:t>
      </w:r>
      <w:r>
        <w:rPr>
          <w:color w:val="0F0F0F"/>
        </w:rPr>
        <w:t xml:space="preserve">and </w:t>
      </w:r>
      <w:r>
        <w:rPr>
          <w:color w:val="111111"/>
        </w:rPr>
        <w:t xml:space="preserve">Members </w:t>
      </w:r>
      <w:r>
        <w:rPr>
          <w:color w:val="262626"/>
        </w:rPr>
        <w:t xml:space="preserve">of </w:t>
      </w:r>
      <w:r>
        <w:t xml:space="preserve">Western Unlimited </w:t>
      </w:r>
      <w:r>
        <w:rPr>
          <w:color w:val="0F0F0F"/>
        </w:rPr>
        <w:t>Ltd</w:t>
      </w:r>
    </w:p>
    <w:p w14:paraId="5B0F10B6" w14:textId="77777777" w:rsidR="00FA4AA8" w:rsidRDefault="0015611F">
      <w:pPr>
        <w:spacing w:before="157"/>
        <w:ind w:left="690"/>
        <w:rPr>
          <w:b/>
          <w:sz w:val="25"/>
        </w:rPr>
      </w:pPr>
      <w:r>
        <w:rPr>
          <w:b/>
          <w:color w:val="151515"/>
          <w:sz w:val="25"/>
        </w:rPr>
        <w:t>Opinion</w:t>
      </w:r>
    </w:p>
    <w:p w14:paraId="6C010D40" w14:textId="77777777" w:rsidR="00FA4AA8" w:rsidRDefault="0015611F">
      <w:pPr>
        <w:spacing w:before="115"/>
        <w:ind w:left="684" w:right="797" w:firstLine="2"/>
        <w:rPr>
          <w:sz w:val="21"/>
        </w:rPr>
      </w:pPr>
      <w:r>
        <w:rPr>
          <w:color w:val="242424"/>
          <w:sz w:val="21"/>
        </w:rPr>
        <w:t>I</w:t>
      </w:r>
      <w:r>
        <w:rPr>
          <w:color w:val="242424"/>
          <w:spacing w:val="-35"/>
          <w:sz w:val="21"/>
        </w:rPr>
        <w:t xml:space="preserve"> </w:t>
      </w:r>
      <w:r>
        <w:rPr>
          <w:color w:val="1C1C1C"/>
          <w:sz w:val="21"/>
        </w:rPr>
        <w:t>have</w:t>
      </w:r>
      <w:r>
        <w:rPr>
          <w:color w:val="1C1C1C"/>
          <w:spacing w:val="-38"/>
          <w:sz w:val="21"/>
        </w:rPr>
        <w:t xml:space="preserve"> </w:t>
      </w:r>
      <w:r>
        <w:rPr>
          <w:color w:val="1C1C1C"/>
          <w:sz w:val="21"/>
        </w:rPr>
        <w:t>audited</w:t>
      </w:r>
      <w:r>
        <w:rPr>
          <w:color w:val="1C1C1C"/>
          <w:spacing w:val="-33"/>
          <w:sz w:val="21"/>
        </w:rPr>
        <w:t xml:space="preserve"> </w:t>
      </w:r>
      <w:r>
        <w:rPr>
          <w:color w:val="2A2A2A"/>
          <w:sz w:val="21"/>
        </w:rPr>
        <w:t>the</w:t>
      </w:r>
      <w:r>
        <w:rPr>
          <w:color w:val="2A2A2A"/>
          <w:spacing w:val="-36"/>
          <w:sz w:val="21"/>
        </w:rPr>
        <w:t xml:space="preserve"> </w:t>
      </w:r>
      <w:r>
        <w:rPr>
          <w:sz w:val="21"/>
        </w:rPr>
        <w:t>accompanying</w:t>
      </w:r>
      <w:r>
        <w:rPr>
          <w:spacing w:val="-25"/>
          <w:sz w:val="21"/>
        </w:rPr>
        <w:t xml:space="preserve"> </w:t>
      </w:r>
      <w:r>
        <w:rPr>
          <w:sz w:val="21"/>
        </w:rPr>
        <w:t>financial</w:t>
      </w:r>
      <w:r>
        <w:rPr>
          <w:spacing w:val="-34"/>
          <w:sz w:val="21"/>
        </w:rPr>
        <w:t xml:space="preserve"> </w:t>
      </w:r>
      <w:r>
        <w:rPr>
          <w:color w:val="131313"/>
          <w:sz w:val="21"/>
        </w:rPr>
        <w:t>report</w:t>
      </w:r>
      <w:r>
        <w:rPr>
          <w:color w:val="131313"/>
          <w:spacing w:val="-34"/>
          <w:sz w:val="21"/>
        </w:rPr>
        <w:t xml:space="preserve"> </w:t>
      </w:r>
      <w:r>
        <w:rPr>
          <w:color w:val="0F0F0F"/>
          <w:sz w:val="21"/>
        </w:rPr>
        <w:t>of</w:t>
      </w:r>
      <w:r>
        <w:rPr>
          <w:color w:val="0F0F0F"/>
          <w:spacing w:val="-36"/>
          <w:sz w:val="21"/>
        </w:rPr>
        <w:t xml:space="preserve"> </w:t>
      </w:r>
      <w:r>
        <w:rPr>
          <w:color w:val="161616"/>
          <w:sz w:val="21"/>
        </w:rPr>
        <w:t>Western</w:t>
      </w:r>
      <w:r>
        <w:rPr>
          <w:color w:val="161616"/>
          <w:spacing w:val="-31"/>
          <w:sz w:val="21"/>
        </w:rPr>
        <w:t xml:space="preserve"> </w:t>
      </w:r>
      <w:r>
        <w:rPr>
          <w:sz w:val="21"/>
        </w:rPr>
        <w:t>Unlimited</w:t>
      </w:r>
      <w:r>
        <w:rPr>
          <w:spacing w:val="-30"/>
          <w:sz w:val="21"/>
        </w:rPr>
        <w:t xml:space="preserve"> </w:t>
      </w:r>
      <w:r>
        <w:rPr>
          <w:color w:val="151515"/>
          <w:sz w:val="21"/>
        </w:rPr>
        <w:t>Ltd</w:t>
      </w:r>
      <w:r>
        <w:rPr>
          <w:color w:val="151515"/>
          <w:spacing w:val="-39"/>
          <w:sz w:val="21"/>
        </w:rPr>
        <w:t xml:space="preserve"> </w:t>
      </w:r>
      <w:r>
        <w:rPr>
          <w:sz w:val="21"/>
        </w:rPr>
        <w:t>(the</w:t>
      </w:r>
      <w:r>
        <w:rPr>
          <w:spacing w:val="-34"/>
          <w:sz w:val="21"/>
        </w:rPr>
        <w:t xml:space="preserve"> </w:t>
      </w:r>
      <w:r>
        <w:rPr>
          <w:sz w:val="21"/>
        </w:rPr>
        <w:t>Company),</w:t>
      </w:r>
      <w:r>
        <w:rPr>
          <w:spacing w:val="-27"/>
          <w:sz w:val="21"/>
        </w:rPr>
        <w:t xml:space="preserve"> </w:t>
      </w:r>
      <w:r>
        <w:rPr>
          <w:color w:val="131313"/>
          <w:sz w:val="21"/>
        </w:rPr>
        <w:t>which comprises,</w:t>
      </w:r>
      <w:r>
        <w:rPr>
          <w:color w:val="131313"/>
          <w:spacing w:val="-24"/>
          <w:sz w:val="21"/>
        </w:rPr>
        <w:t xml:space="preserve"> </w:t>
      </w:r>
      <w:r>
        <w:rPr>
          <w:sz w:val="21"/>
        </w:rPr>
        <w:t>the</w:t>
      </w:r>
      <w:r>
        <w:rPr>
          <w:spacing w:val="-32"/>
          <w:sz w:val="21"/>
        </w:rPr>
        <w:t xml:space="preserve"> </w:t>
      </w:r>
      <w:r>
        <w:rPr>
          <w:color w:val="0F0F0F"/>
          <w:sz w:val="21"/>
        </w:rPr>
        <w:t>Statement</w:t>
      </w:r>
      <w:r>
        <w:rPr>
          <w:color w:val="0F0F0F"/>
          <w:spacing w:val="-25"/>
          <w:sz w:val="21"/>
        </w:rPr>
        <w:t xml:space="preserve"> </w:t>
      </w:r>
      <w:r>
        <w:rPr>
          <w:sz w:val="21"/>
        </w:rPr>
        <w:t>of</w:t>
      </w:r>
      <w:r>
        <w:rPr>
          <w:spacing w:val="-32"/>
          <w:sz w:val="21"/>
        </w:rPr>
        <w:t xml:space="preserve"> </w:t>
      </w:r>
      <w:r>
        <w:rPr>
          <w:sz w:val="21"/>
        </w:rPr>
        <w:t>Comprehensive</w:t>
      </w:r>
      <w:r>
        <w:rPr>
          <w:spacing w:val="-25"/>
          <w:sz w:val="21"/>
        </w:rPr>
        <w:t xml:space="preserve"> </w:t>
      </w:r>
      <w:r>
        <w:rPr>
          <w:sz w:val="21"/>
        </w:rPr>
        <w:t>Income</w:t>
      </w:r>
      <w:r>
        <w:rPr>
          <w:spacing w:val="-24"/>
          <w:sz w:val="21"/>
        </w:rPr>
        <w:t xml:space="preserve"> </w:t>
      </w:r>
      <w:r>
        <w:rPr>
          <w:color w:val="1F1F1F"/>
          <w:sz w:val="21"/>
        </w:rPr>
        <w:t>for</w:t>
      </w:r>
      <w:r>
        <w:rPr>
          <w:color w:val="1F1F1F"/>
          <w:spacing w:val="-31"/>
          <w:sz w:val="21"/>
        </w:rPr>
        <w:t xml:space="preserve"> </w:t>
      </w:r>
      <w:r>
        <w:rPr>
          <w:sz w:val="21"/>
        </w:rPr>
        <w:t>the</w:t>
      </w:r>
      <w:r>
        <w:rPr>
          <w:spacing w:val="-30"/>
          <w:sz w:val="21"/>
        </w:rPr>
        <w:t xml:space="preserve"> </w:t>
      </w:r>
      <w:r>
        <w:rPr>
          <w:sz w:val="21"/>
        </w:rPr>
        <w:t>year</w:t>
      </w:r>
      <w:r>
        <w:rPr>
          <w:spacing w:val="-30"/>
          <w:sz w:val="21"/>
        </w:rPr>
        <w:t xml:space="preserve"> </w:t>
      </w:r>
      <w:r>
        <w:rPr>
          <w:color w:val="111111"/>
          <w:sz w:val="21"/>
        </w:rPr>
        <w:t>ended</w:t>
      </w:r>
      <w:r>
        <w:rPr>
          <w:color w:val="111111"/>
          <w:spacing w:val="-32"/>
          <w:sz w:val="21"/>
        </w:rPr>
        <w:t xml:space="preserve"> </w:t>
      </w:r>
      <w:r>
        <w:rPr>
          <w:color w:val="343434"/>
          <w:sz w:val="21"/>
        </w:rPr>
        <w:t>31</w:t>
      </w:r>
      <w:r>
        <w:rPr>
          <w:color w:val="343434"/>
          <w:spacing w:val="-31"/>
          <w:sz w:val="21"/>
        </w:rPr>
        <w:t xml:space="preserve"> </w:t>
      </w:r>
      <w:r>
        <w:rPr>
          <w:color w:val="1C1C1C"/>
          <w:sz w:val="21"/>
        </w:rPr>
        <w:t>December</w:t>
      </w:r>
      <w:r>
        <w:rPr>
          <w:color w:val="1C1C1C"/>
          <w:spacing w:val="-25"/>
          <w:sz w:val="21"/>
        </w:rPr>
        <w:t xml:space="preserve"> </w:t>
      </w:r>
      <w:r>
        <w:rPr>
          <w:color w:val="111111"/>
          <w:sz w:val="21"/>
        </w:rPr>
        <w:t>2018,</w:t>
      </w:r>
      <w:r>
        <w:rPr>
          <w:color w:val="111111"/>
          <w:spacing w:val="-40"/>
          <w:sz w:val="21"/>
        </w:rPr>
        <w:t xml:space="preserve"> </w:t>
      </w:r>
      <w:r>
        <w:rPr>
          <w:color w:val="111111"/>
          <w:sz w:val="21"/>
        </w:rPr>
        <w:t>the</w:t>
      </w:r>
      <w:r>
        <w:rPr>
          <w:sz w:val="21"/>
        </w:rPr>
        <w:t xml:space="preserve"> Statement</w:t>
      </w:r>
      <w:r>
        <w:rPr>
          <w:spacing w:val="-22"/>
          <w:sz w:val="21"/>
        </w:rPr>
        <w:t xml:space="preserve"> </w:t>
      </w:r>
      <w:r>
        <w:rPr>
          <w:color w:val="2D2D2D"/>
          <w:sz w:val="21"/>
        </w:rPr>
        <w:t>of</w:t>
      </w:r>
      <w:r>
        <w:rPr>
          <w:color w:val="2D2D2D"/>
          <w:spacing w:val="-29"/>
          <w:sz w:val="21"/>
        </w:rPr>
        <w:t xml:space="preserve"> </w:t>
      </w:r>
      <w:r>
        <w:rPr>
          <w:sz w:val="21"/>
        </w:rPr>
        <w:t>Financial</w:t>
      </w:r>
      <w:r>
        <w:rPr>
          <w:spacing w:val="-20"/>
          <w:sz w:val="21"/>
        </w:rPr>
        <w:t xml:space="preserve"> </w:t>
      </w:r>
      <w:r>
        <w:rPr>
          <w:color w:val="0C0C0C"/>
          <w:sz w:val="21"/>
        </w:rPr>
        <w:t>Position</w:t>
      </w:r>
      <w:r>
        <w:rPr>
          <w:color w:val="0C0C0C"/>
          <w:spacing w:val="-21"/>
          <w:sz w:val="21"/>
        </w:rPr>
        <w:t xml:space="preserve"> </w:t>
      </w:r>
      <w:r>
        <w:rPr>
          <w:color w:val="1F1F1F"/>
          <w:sz w:val="21"/>
        </w:rPr>
        <w:t>as</w:t>
      </w:r>
      <w:r>
        <w:rPr>
          <w:color w:val="1F1F1F"/>
          <w:spacing w:val="-29"/>
          <w:sz w:val="21"/>
        </w:rPr>
        <w:t xml:space="preserve"> </w:t>
      </w:r>
      <w:r>
        <w:rPr>
          <w:color w:val="0F0F0F"/>
          <w:sz w:val="21"/>
        </w:rPr>
        <w:t>at</w:t>
      </w:r>
      <w:r>
        <w:rPr>
          <w:color w:val="0F0F0F"/>
          <w:spacing w:val="-29"/>
          <w:sz w:val="21"/>
        </w:rPr>
        <w:t xml:space="preserve"> </w:t>
      </w:r>
      <w:r>
        <w:rPr>
          <w:sz w:val="21"/>
        </w:rPr>
        <w:t>31</w:t>
      </w:r>
      <w:r>
        <w:rPr>
          <w:spacing w:val="-28"/>
          <w:sz w:val="21"/>
        </w:rPr>
        <w:t xml:space="preserve"> </w:t>
      </w:r>
      <w:r>
        <w:rPr>
          <w:color w:val="1A1A1A"/>
          <w:sz w:val="21"/>
        </w:rPr>
        <w:t>December</w:t>
      </w:r>
      <w:r>
        <w:rPr>
          <w:color w:val="1A1A1A"/>
          <w:spacing w:val="-19"/>
          <w:sz w:val="21"/>
        </w:rPr>
        <w:t xml:space="preserve"> </w:t>
      </w:r>
      <w:r>
        <w:rPr>
          <w:sz w:val="21"/>
        </w:rPr>
        <w:t>2018,</w:t>
      </w:r>
      <w:r>
        <w:rPr>
          <w:spacing w:val="-20"/>
          <w:sz w:val="21"/>
        </w:rPr>
        <w:t xml:space="preserve"> </w:t>
      </w:r>
      <w:r>
        <w:rPr>
          <w:color w:val="0C0C0C"/>
          <w:sz w:val="21"/>
        </w:rPr>
        <w:t>Statement</w:t>
      </w:r>
      <w:r>
        <w:rPr>
          <w:color w:val="0C0C0C"/>
          <w:spacing w:val="-19"/>
          <w:sz w:val="21"/>
        </w:rPr>
        <w:t xml:space="preserve"> </w:t>
      </w:r>
      <w:r>
        <w:rPr>
          <w:color w:val="242424"/>
          <w:sz w:val="21"/>
        </w:rPr>
        <w:t>of</w:t>
      </w:r>
      <w:r>
        <w:rPr>
          <w:color w:val="242424"/>
          <w:spacing w:val="-31"/>
          <w:sz w:val="21"/>
        </w:rPr>
        <w:t xml:space="preserve"> </w:t>
      </w:r>
      <w:r>
        <w:rPr>
          <w:color w:val="0F0F0F"/>
          <w:sz w:val="21"/>
        </w:rPr>
        <w:t>Changes</w:t>
      </w:r>
      <w:r>
        <w:rPr>
          <w:color w:val="0F0F0F"/>
          <w:spacing w:val="-16"/>
          <w:sz w:val="21"/>
        </w:rPr>
        <w:t xml:space="preserve"> </w:t>
      </w:r>
      <w:r>
        <w:rPr>
          <w:sz w:val="21"/>
        </w:rPr>
        <w:t>in</w:t>
      </w:r>
      <w:r>
        <w:rPr>
          <w:spacing w:val="-26"/>
          <w:sz w:val="21"/>
        </w:rPr>
        <w:t xml:space="preserve"> </w:t>
      </w:r>
      <w:r>
        <w:rPr>
          <w:sz w:val="21"/>
        </w:rPr>
        <w:t>Equity</w:t>
      </w:r>
      <w:r>
        <w:rPr>
          <w:spacing w:val="-17"/>
          <w:sz w:val="21"/>
        </w:rPr>
        <w:t xml:space="preserve"> </w:t>
      </w:r>
      <w:r>
        <w:rPr>
          <w:sz w:val="21"/>
        </w:rPr>
        <w:t>and</w:t>
      </w:r>
      <w:r>
        <w:rPr>
          <w:color w:val="131313"/>
          <w:sz w:val="21"/>
        </w:rPr>
        <w:t xml:space="preserve"> Statement</w:t>
      </w:r>
      <w:r>
        <w:rPr>
          <w:color w:val="131313"/>
          <w:spacing w:val="-18"/>
          <w:sz w:val="21"/>
        </w:rPr>
        <w:t xml:space="preserve"> </w:t>
      </w:r>
      <w:r>
        <w:rPr>
          <w:color w:val="1C1C1C"/>
          <w:sz w:val="21"/>
        </w:rPr>
        <w:t>of</w:t>
      </w:r>
      <w:r>
        <w:rPr>
          <w:color w:val="1C1C1C"/>
          <w:spacing w:val="-25"/>
          <w:sz w:val="21"/>
        </w:rPr>
        <w:t xml:space="preserve"> </w:t>
      </w:r>
      <w:r>
        <w:rPr>
          <w:sz w:val="21"/>
        </w:rPr>
        <w:t>Cash</w:t>
      </w:r>
      <w:r>
        <w:rPr>
          <w:spacing w:val="-19"/>
          <w:sz w:val="21"/>
        </w:rPr>
        <w:t xml:space="preserve"> </w:t>
      </w:r>
      <w:r>
        <w:rPr>
          <w:sz w:val="21"/>
        </w:rPr>
        <w:t>Flows</w:t>
      </w:r>
      <w:r>
        <w:rPr>
          <w:spacing w:val="-16"/>
          <w:sz w:val="21"/>
        </w:rPr>
        <w:t xml:space="preserve"> </w:t>
      </w:r>
      <w:r>
        <w:rPr>
          <w:sz w:val="21"/>
        </w:rPr>
        <w:t>for</w:t>
      </w:r>
      <w:r>
        <w:rPr>
          <w:spacing w:val="-22"/>
          <w:sz w:val="21"/>
        </w:rPr>
        <w:t xml:space="preserve"> </w:t>
      </w:r>
      <w:r>
        <w:rPr>
          <w:color w:val="181818"/>
          <w:sz w:val="21"/>
        </w:rPr>
        <w:t>the</w:t>
      </w:r>
      <w:r>
        <w:rPr>
          <w:color w:val="181818"/>
          <w:spacing w:val="-18"/>
          <w:sz w:val="21"/>
        </w:rPr>
        <w:t xml:space="preserve"> </w:t>
      </w:r>
      <w:r>
        <w:rPr>
          <w:color w:val="232323"/>
          <w:sz w:val="21"/>
        </w:rPr>
        <w:t>year</w:t>
      </w:r>
      <w:r>
        <w:rPr>
          <w:color w:val="232323"/>
          <w:spacing w:val="-20"/>
          <w:sz w:val="21"/>
        </w:rPr>
        <w:t xml:space="preserve"> </w:t>
      </w:r>
      <w:r>
        <w:rPr>
          <w:color w:val="131313"/>
          <w:sz w:val="21"/>
        </w:rPr>
        <w:t>then</w:t>
      </w:r>
      <w:r>
        <w:rPr>
          <w:color w:val="131313"/>
          <w:spacing w:val="-24"/>
          <w:sz w:val="21"/>
        </w:rPr>
        <w:t xml:space="preserve"> </w:t>
      </w:r>
      <w:r>
        <w:rPr>
          <w:color w:val="131313"/>
          <w:sz w:val="21"/>
        </w:rPr>
        <w:t>ended,</w:t>
      </w:r>
      <w:r>
        <w:rPr>
          <w:color w:val="131313"/>
          <w:spacing w:val="-19"/>
          <w:sz w:val="21"/>
        </w:rPr>
        <w:t xml:space="preserve"> </w:t>
      </w:r>
      <w:r>
        <w:rPr>
          <w:sz w:val="21"/>
        </w:rPr>
        <w:t>notes</w:t>
      </w:r>
      <w:r>
        <w:rPr>
          <w:spacing w:val="-23"/>
          <w:sz w:val="21"/>
        </w:rPr>
        <w:t xml:space="preserve"> </w:t>
      </w:r>
      <w:r>
        <w:rPr>
          <w:sz w:val="21"/>
        </w:rPr>
        <w:t>comprising</w:t>
      </w:r>
      <w:r>
        <w:rPr>
          <w:spacing w:val="-14"/>
          <w:sz w:val="21"/>
        </w:rPr>
        <w:t xml:space="preserve"> </w:t>
      </w:r>
      <w:r>
        <w:rPr>
          <w:color w:val="1F1F1F"/>
          <w:sz w:val="21"/>
        </w:rPr>
        <w:t>a</w:t>
      </w:r>
      <w:r>
        <w:rPr>
          <w:color w:val="1F1F1F"/>
          <w:spacing w:val="-23"/>
          <w:sz w:val="21"/>
        </w:rPr>
        <w:t xml:space="preserve"> </w:t>
      </w:r>
      <w:r>
        <w:rPr>
          <w:sz w:val="21"/>
        </w:rPr>
        <w:t>summary</w:t>
      </w:r>
      <w:r>
        <w:rPr>
          <w:spacing w:val="-12"/>
          <w:sz w:val="21"/>
        </w:rPr>
        <w:t xml:space="preserve"> </w:t>
      </w:r>
      <w:r>
        <w:rPr>
          <w:color w:val="1C1C1C"/>
          <w:sz w:val="21"/>
        </w:rPr>
        <w:t>of</w:t>
      </w:r>
      <w:r>
        <w:rPr>
          <w:color w:val="1C1C1C"/>
          <w:spacing w:val="-22"/>
          <w:sz w:val="21"/>
        </w:rPr>
        <w:t xml:space="preserve"> </w:t>
      </w:r>
      <w:r>
        <w:rPr>
          <w:color w:val="0E0E0E"/>
          <w:sz w:val="21"/>
        </w:rPr>
        <w:t>significant</w:t>
      </w:r>
      <w:r>
        <w:rPr>
          <w:color w:val="111111"/>
          <w:sz w:val="21"/>
        </w:rPr>
        <w:t xml:space="preserve"> accounting</w:t>
      </w:r>
      <w:r>
        <w:rPr>
          <w:color w:val="111111"/>
          <w:spacing w:val="-26"/>
          <w:sz w:val="21"/>
        </w:rPr>
        <w:t xml:space="preserve"> </w:t>
      </w:r>
      <w:r>
        <w:rPr>
          <w:color w:val="0C0C0C"/>
          <w:sz w:val="21"/>
        </w:rPr>
        <w:t>policies</w:t>
      </w:r>
      <w:r>
        <w:rPr>
          <w:color w:val="0C0C0C"/>
          <w:spacing w:val="-32"/>
          <w:sz w:val="21"/>
        </w:rPr>
        <w:t xml:space="preserve"> </w:t>
      </w:r>
      <w:r>
        <w:rPr>
          <w:color w:val="151515"/>
          <w:sz w:val="21"/>
        </w:rPr>
        <w:t>and</w:t>
      </w:r>
      <w:r>
        <w:rPr>
          <w:color w:val="151515"/>
          <w:spacing w:val="-37"/>
          <w:sz w:val="21"/>
        </w:rPr>
        <w:t xml:space="preserve"> </w:t>
      </w:r>
      <w:r>
        <w:rPr>
          <w:color w:val="1A1A1A"/>
          <w:sz w:val="21"/>
        </w:rPr>
        <w:t>other</w:t>
      </w:r>
      <w:r>
        <w:rPr>
          <w:color w:val="1A1A1A"/>
          <w:spacing w:val="-34"/>
          <w:sz w:val="21"/>
        </w:rPr>
        <w:t xml:space="preserve"> </w:t>
      </w:r>
      <w:r>
        <w:rPr>
          <w:color w:val="0F0F0F"/>
          <w:sz w:val="21"/>
        </w:rPr>
        <w:t>explanatory</w:t>
      </w:r>
      <w:r>
        <w:rPr>
          <w:color w:val="0F0F0F"/>
          <w:spacing w:val="-24"/>
          <w:sz w:val="21"/>
        </w:rPr>
        <w:t xml:space="preserve"> </w:t>
      </w:r>
      <w:r>
        <w:rPr>
          <w:sz w:val="21"/>
        </w:rPr>
        <w:t>information,</w:t>
      </w:r>
      <w:r>
        <w:rPr>
          <w:spacing w:val="-29"/>
          <w:sz w:val="21"/>
        </w:rPr>
        <w:t xml:space="preserve"> </w:t>
      </w:r>
      <w:r>
        <w:rPr>
          <w:color w:val="1C1C1C"/>
          <w:sz w:val="21"/>
        </w:rPr>
        <w:t>and</w:t>
      </w:r>
      <w:r>
        <w:rPr>
          <w:color w:val="1C1C1C"/>
          <w:spacing w:val="-35"/>
          <w:sz w:val="21"/>
        </w:rPr>
        <w:t xml:space="preserve"> </w:t>
      </w:r>
      <w:r>
        <w:rPr>
          <w:color w:val="111111"/>
          <w:sz w:val="21"/>
        </w:rPr>
        <w:t>the</w:t>
      </w:r>
      <w:r>
        <w:rPr>
          <w:color w:val="111111"/>
          <w:spacing w:val="-35"/>
          <w:sz w:val="21"/>
        </w:rPr>
        <w:t xml:space="preserve"> </w:t>
      </w:r>
      <w:r>
        <w:rPr>
          <w:color w:val="1A1A1A"/>
          <w:sz w:val="21"/>
        </w:rPr>
        <w:t>responsible</w:t>
      </w:r>
      <w:r>
        <w:rPr>
          <w:color w:val="1A1A1A"/>
          <w:spacing w:val="-27"/>
          <w:sz w:val="21"/>
        </w:rPr>
        <w:t xml:space="preserve"> </w:t>
      </w:r>
      <w:r>
        <w:rPr>
          <w:color w:val="111111"/>
          <w:sz w:val="21"/>
        </w:rPr>
        <w:t>entities</w:t>
      </w:r>
      <w:r>
        <w:rPr>
          <w:color w:val="111111"/>
          <w:spacing w:val="-31"/>
          <w:sz w:val="21"/>
        </w:rPr>
        <w:t xml:space="preserve"> </w:t>
      </w:r>
      <w:r>
        <w:rPr>
          <w:sz w:val="21"/>
        </w:rPr>
        <w:t>declaration.</w:t>
      </w:r>
    </w:p>
    <w:p w14:paraId="7F66491B" w14:textId="77777777" w:rsidR="00FA4AA8" w:rsidRDefault="0015611F">
      <w:pPr>
        <w:spacing w:before="161"/>
        <w:ind w:left="682"/>
        <w:rPr>
          <w:sz w:val="21"/>
        </w:rPr>
      </w:pPr>
      <w:r>
        <w:rPr>
          <w:color w:val="1C1C1C"/>
          <w:sz w:val="21"/>
        </w:rPr>
        <w:t xml:space="preserve">In </w:t>
      </w:r>
      <w:r>
        <w:rPr>
          <w:color w:val="242424"/>
          <w:sz w:val="21"/>
        </w:rPr>
        <w:t xml:space="preserve">my </w:t>
      </w:r>
      <w:r>
        <w:rPr>
          <w:color w:val="181818"/>
          <w:sz w:val="21"/>
        </w:rPr>
        <w:t xml:space="preserve">opinion, </w:t>
      </w:r>
      <w:r>
        <w:rPr>
          <w:sz w:val="21"/>
        </w:rPr>
        <w:t xml:space="preserve">the </w:t>
      </w:r>
      <w:r>
        <w:rPr>
          <w:color w:val="0F0F0F"/>
          <w:sz w:val="21"/>
        </w:rPr>
        <w:t>financial report:</w:t>
      </w:r>
    </w:p>
    <w:p w14:paraId="120F9091" w14:textId="77777777" w:rsidR="00FA4AA8" w:rsidRDefault="0015611F">
      <w:pPr>
        <w:pStyle w:val="ListParagraph"/>
        <w:numPr>
          <w:ilvl w:val="1"/>
          <w:numId w:val="53"/>
        </w:numPr>
        <w:tabs>
          <w:tab w:val="left" w:pos="1254"/>
          <w:tab w:val="left" w:pos="1255"/>
        </w:tabs>
        <w:spacing w:before="176"/>
        <w:ind w:right="781" w:hanging="571"/>
        <w:rPr>
          <w:color w:val="2A2A2A"/>
          <w:sz w:val="21"/>
        </w:rPr>
      </w:pPr>
      <w:r>
        <w:rPr>
          <w:color w:val="2B2B2B"/>
          <w:sz w:val="21"/>
        </w:rPr>
        <w:t>is</w:t>
      </w:r>
      <w:r>
        <w:rPr>
          <w:color w:val="2B2B2B"/>
          <w:spacing w:val="-29"/>
          <w:sz w:val="21"/>
        </w:rPr>
        <w:t xml:space="preserve"> </w:t>
      </w:r>
      <w:r>
        <w:rPr>
          <w:sz w:val="21"/>
        </w:rPr>
        <w:t>in</w:t>
      </w:r>
      <w:r>
        <w:rPr>
          <w:spacing w:val="-28"/>
          <w:sz w:val="21"/>
        </w:rPr>
        <w:t xml:space="preserve"> </w:t>
      </w:r>
      <w:r>
        <w:rPr>
          <w:sz w:val="21"/>
        </w:rPr>
        <w:t>accordance</w:t>
      </w:r>
      <w:r>
        <w:rPr>
          <w:spacing w:val="-14"/>
          <w:sz w:val="21"/>
        </w:rPr>
        <w:t xml:space="preserve"> </w:t>
      </w:r>
      <w:r>
        <w:rPr>
          <w:color w:val="181818"/>
          <w:sz w:val="21"/>
        </w:rPr>
        <w:t>with</w:t>
      </w:r>
      <w:r>
        <w:rPr>
          <w:color w:val="181818"/>
          <w:spacing w:val="-25"/>
          <w:sz w:val="21"/>
        </w:rPr>
        <w:t xml:space="preserve"> </w:t>
      </w:r>
      <w:r>
        <w:rPr>
          <w:sz w:val="21"/>
        </w:rPr>
        <w:t>section</w:t>
      </w:r>
      <w:r>
        <w:rPr>
          <w:spacing w:val="-24"/>
          <w:sz w:val="21"/>
        </w:rPr>
        <w:t xml:space="preserve"> </w:t>
      </w:r>
      <w:r>
        <w:rPr>
          <w:spacing w:val="2"/>
          <w:sz w:val="21"/>
        </w:rPr>
        <w:t>41B</w:t>
      </w:r>
      <w:r>
        <w:rPr>
          <w:spacing w:val="-29"/>
          <w:sz w:val="21"/>
        </w:rPr>
        <w:t xml:space="preserve"> </w:t>
      </w:r>
      <w:r>
        <w:rPr>
          <w:color w:val="0F0F0F"/>
          <w:sz w:val="21"/>
        </w:rPr>
        <w:t>of</w:t>
      </w:r>
      <w:r>
        <w:rPr>
          <w:color w:val="0F0F0F"/>
          <w:spacing w:val="-31"/>
          <w:sz w:val="21"/>
        </w:rPr>
        <w:t xml:space="preserve"> </w:t>
      </w:r>
      <w:r>
        <w:rPr>
          <w:color w:val="131313"/>
          <w:sz w:val="21"/>
        </w:rPr>
        <w:t>the</w:t>
      </w:r>
      <w:r>
        <w:rPr>
          <w:color w:val="131313"/>
          <w:spacing w:val="-25"/>
          <w:sz w:val="21"/>
        </w:rPr>
        <w:t xml:space="preserve"> </w:t>
      </w:r>
      <w:r>
        <w:rPr>
          <w:i/>
          <w:color w:val="111111"/>
          <w:sz w:val="21"/>
        </w:rPr>
        <w:t>Public</w:t>
      </w:r>
      <w:r>
        <w:rPr>
          <w:i/>
          <w:color w:val="111111"/>
          <w:spacing w:val="-27"/>
          <w:sz w:val="21"/>
        </w:rPr>
        <w:t xml:space="preserve"> </w:t>
      </w:r>
      <w:r>
        <w:rPr>
          <w:i/>
          <w:sz w:val="21"/>
        </w:rPr>
        <w:t>Finance</w:t>
      </w:r>
      <w:r>
        <w:rPr>
          <w:i/>
          <w:spacing w:val="-22"/>
          <w:sz w:val="21"/>
        </w:rPr>
        <w:t xml:space="preserve"> </w:t>
      </w:r>
      <w:r>
        <w:rPr>
          <w:i/>
          <w:color w:val="232323"/>
          <w:sz w:val="21"/>
        </w:rPr>
        <w:t>and</w:t>
      </w:r>
      <w:r>
        <w:rPr>
          <w:i/>
          <w:color w:val="232323"/>
          <w:spacing w:val="-24"/>
          <w:sz w:val="21"/>
        </w:rPr>
        <w:t xml:space="preserve"> </w:t>
      </w:r>
      <w:r>
        <w:rPr>
          <w:i/>
          <w:color w:val="161616"/>
          <w:sz w:val="21"/>
        </w:rPr>
        <w:t>Audit</w:t>
      </w:r>
      <w:r>
        <w:rPr>
          <w:i/>
          <w:color w:val="161616"/>
          <w:spacing w:val="-26"/>
          <w:sz w:val="21"/>
        </w:rPr>
        <w:t xml:space="preserve"> </w:t>
      </w:r>
      <w:r>
        <w:rPr>
          <w:i/>
          <w:color w:val="0C0C0C"/>
          <w:sz w:val="21"/>
        </w:rPr>
        <w:t>Act</w:t>
      </w:r>
      <w:r>
        <w:rPr>
          <w:i/>
          <w:color w:val="0C0C0C"/>
          <w:spacing w:val="-31"/>
          <w:sz w:val="21"/>
        </w:rPr>
        <w:t xml:space="preserve"> </w:t>
      </w:r>
      <w:r>
        <w:rPr>
          <w:i/>
          <w:color w:val="1A1A1A"/>
          <w:sz w:val="21"/>
        </w:rPr>
        <w:t>1983</w:t>
      </w:r>
      <w:r>
        <w:rPr>
          <w:i/>
          <w:color w:val="1A1A1A"/>
          <w:spacing w:val="-24"/>
          <w:sz w:val="21"/>
        </w:rPr>
        <w:t xml:space="preserve"> </w:t>
      </w:r>
      <w:r>
        <w:rPr>
          <w:color w:val="131313"/>
          <w:sz w:val="21"/>
        </w:rPr>
        <w:t>(PF&amp;A</w:t>
      </w:r>
      <w:r>
        <w:rPr>
          <w:color w:val="131313"/>
          <w:spacing w:val="-20"/>
          <w:sz w:val="21"/>
        </w:rPr>
        <w:t xml:space="preserve"> </w:t>
      </w:r>
      <w:r>
        <w:rPr>
          <w:color w:val="0E0E0E"/>
          <w:sz w:val="21"/>
        </w:rPr>
        <w:t>Act)</w:t>
      </w:r>
      <w:r>
        <w:rPr>
          <w:color w:val="0E0E0E"/>
          <w:spacing w:val="-25"/>
          <w:sz w:val="21"/>
        </w:rPr>
        <w:t xml:space="preserve"> </w:t>
      </w:r>
      <w:r>
        <w:rPr>
          <w:color w:val="1C1C1C"/>
          <w:sz w:val="21"/>
        </w:rPr>
        <w:t>and</w:t>
      </w:r>
      <w:r>
        <w:rPr>
          <w:color w:val="1C1C1C"/>
          <w:spacing w:val="-22"/>
          <w:sz w:val="21"/>
        </w:rPr>
        <w:t xml:space="preserve"> </w:t>
      </w:r>
      <w:r>
        <w:rPr>
          <w:color w:val="1C1C1C"/>
          <w:sz w:val="21"/>
        </w:rPr>
        <w:t>the</w:t>
      </w:r>
      <w:r>
        <w:rPr>
          <w:color w:val="161616"/>
          <w:sz w:val="21"/>
        </w:rPr>
        <w:t xml:space="preserve"> Public </w:t>
      </w:r>
      <w:r>
        <w:rPr>
          <w:color w:val="0C0C0C"/>
          <w:sz w:val="21"/>
        </w:rPr>
        <w:t xml:space="preserve">Finance </w:t>
      </w:r>
      <w:r>
        <w:rPr>
          <w:sz w:val="21"/>
        </w:rPr>
        <w:t xml:space="preserve">and Audit </w:t>
      </w:r>
      <w:r>
        <w:rPr>
          <w:color w:val="131313"/>
          <w:sz w:val="21"/>
        </w:rPr>
        <w:t xml:space="preserve">Regulation </w:t>
      </w:r>
      <w:r>
        <w:rPr>
          <w:sz w:val="21"/>
        </w:rPr>
        <w:t>2015,</w:t>
      </w:r>
      <w:r>
        <w:rPr>
          <w:spacing w:val="24"/>
          <w:sz w:val="21"/>
        </w:rPr>
        <w:t xml:space="preserve"> </w:t>
      </w:r>
      <w:r>
        <w:rPr>
          <w:sz w:val="21"/>
        </w:rPr>
        <w:t>including:</w:t>
      </w:r>
    </w:p>
    <w:p w14:paraId="7A29B29C" w14:textId="77777777" w:rsidR="00FA4AA8" w:rsidRDefault="0015611F">
      <w:pPr>
        <w:pStyle w:val="Heading9"/>
        <w:spacing w:before="59" w:line="242" w:lineRule="auto"/>
        <w:ind w:left="1822" w:right="797"/>
      </w:pPr>
      <w:r>
        <w:rPr>
          <w:color w:val="111111"/>
        </w:rPr>
        <w:t>giving</w:t>
      </w:r>
      <w:r>
        <w:rPr>
          <w:color w:val="111111"/>
          <w:spacing w:val="-30"/>
        </w:rPr>
        <w:t xml:space="preserve"> </w:t>
      </w:r>
      <w:r>
        <w:rPr>
          <w:color w:val="262626"/>
        </w:rPr>
        <w:t>a</w:t>
      </w:r>
      <w:r>
        <w:rPr>
          <w:color w:val="262626"/>
          <w:spacing w:val="-32"/>
        </w:rPr>
        <w:t xml:space="preserve"> </w:t>
      </w:r>
      <w:r>
        <w:rPr>
          <w:color w:val="131313"/>
        </w:rPr>
        <w:t>true</w:t>
      </w:r>
      <w:r>
        <w:rPr>
          <w:color w:val="131313"/>
          <w:spacing w:val="-29"/>
        </w:rPr>
        <w:t xml:space="preserve"> </w:t>
      </w:r>
      <w:r>
        <w:rPr>
          <w:color w:val="0E0E0E"/>
        </w:rPr>
        <w:t>and</w:t>
      </w:r>
      <w:r>
        <w:rPr>
          <w:color w:val="0E0E0E"/>
          <w:spacing w:val="-28"/>
        </w:rPr>
        <w:t xml:space="preserve"> </w:t>
      </w:r>
      <w:r>
        <w:rPr>
          <w:color w:val="131313"/>
        </w:rPr>
        <w:t>fair</w:t>
      </w:r>
      <w:r>
        <w:rPr>
          <w:color w:val="131313"/>
          <w:spacing w:val="-27"/>
        </w:rPr>
        <w:t xml:space="preserve"> </w:t>
      </w:r>
      <w:r>
        <w:rPr>
          <w:color w:val="111111"/>
        </w:rPr>
        <w:t>view</w:t>
      </w:r>
      <w:r>
        <w:rPr>
          <w:color w:val="111111"/>
          <w:spacing w:val="-22"/>
        </w:rPr>
        <w:t xml:space="preserve"> </w:t>
      </w:r>
      <w:r>
        <w:rPr>
          <w:color w:val="1F1F1F"/>
        </w:rPr>
        <w:t>of</w:t>
      </w:r>
      <w:r>
        <w:rPr>
          <w:color w:val="1F1F1F"/>
          <w:spacing w:val="-27"/>
        </w:rPr>
        <w:t xml:space="preserve"> </w:t>
      </w:r>
      <w:r>
        <w:rPr>
          <w:color w:val="1F1F1F"/>
        </w:rPr>
        <w:t>the</w:t>
      </w:r>
      <w:r>
        <w:rPr>
          <w:color w:val="1F1F1F"/>
          <w:spacing w:val="-29"/>
        </w:rPr>
        <w:t xml:space="preserve"> </w:t>
      </w:r>
      <w:r>
        <w:t>Company’s</w:t>
      </w:r>
      <w:r>
        <w:rPr>
          <w:spacing w:val="-18"/>
        </w:rPr>
        <w:t xml:space="preserve"> </w:t>
      </w:r>
      <w:r>
        <w:t>financial</w:t>
      </w:r>
      <w:r>
        <w:rPr>
          <w:spacing w:val="-24"/>
        </w:rPr>
        <w:t xml:space="preserve"> </w:t>
      </w:r>
      <w:r>
        <w:rPr>
          <w:color w:val="0C0C0C"/>
        </w:rPr>
        <w:t>position</w:t>
      </w:r>
      <w:r>
        <w:rPr>
          <w:color w:val="0C0C0C"/>
          <w:spacing w:val="-25"/>
        </w:rPr>
        <w:t xml:space="preserve"> </w:t>
      </w:r>
      <w:r>
        <w:rPr>
          <w:color w:val="2F2F2F"/>
        </w:rPr>
        <w:t>as</w:t>
      </w:r>
      <w:r>
        <w:rPr>
          <w:color w:val="2F2F2F"/>
          <w:spacing w:val="-28"/>
        </w:rPr>
        <w:t xml:space="preserve"> </w:t>
      </w:r>
      <w:r>
        <w:rPr>
          <w:color w:val="242424"/>
        </w:rPr>
        <w:t>at</w:t>
      </w:r>
      <w:r>
        <w:rPr>
          <w:color w:val="242424"/>
          <w:spacing w:val="-29"/>
        </w:rPr>
        <w:t xml:space="preserve"> </w:t>
      </w:r>
      <w:r>
        <w:rPr>
          <w:color w:val="1C1C1C"/>
        </w:rPr>
        <w:t>31</w:t>
      </w:r>
      <w:r>
        <w:rPr>
          <w:color w:val="1C1C1C"/>
          <w:spacing w:val="-27"/>
        </w:rPr>
        <w:t xml:space="preserve"> </w:t>
      </w:r>
      <w:r>
        <w:t>December</w:t>
      </w:r>
      <w:r>
        <w:rPr>
          <w:spacing w:val="-20"/>
        </w:rPr>
        <w:t xml:space="preserve"> </w:t>
      </w:r>
      <w:r>
        <w:rPr>
          <w:color w:val="1C1C1C"/>
        </w:rPr>
        <w:t xml:space="preserve">2018 </w:t>
      </w:r>
      <w:r>
        <w:rPr>
          <w:color w:val="111111"/>
        </w:rPr>
        <w:t xml:space="preserve">and </w:t>
      </w:r>
      <w:r>
        <w:rPr>
          <w:color w:val="131313"/>
        </w:rPr>
        <w:t xml:space="preserve">its </w:t>
      </w:r>
      <w:r>
        <w:t xml:space="preserve">performance </w:t>
      </w:r>
      <w:r>
        <w:rPr>
          <w:color w:val="1C1C1C"/>
        </w:rPr>
        <w:t xml:space="preserve">for </w:t>
      </w:r>
      <w:r>
        <w:rPr>
          <w:color w:val="232323"/>
        </w:rPr>
        <w:t xml:space="preserve">the </w:t>
      </w:r>
      <w:r>
        <w:rPr>
          <w:color w:val="262626"/>
        </w:rPr>
        <w:t xml:space="preserve">year </w:t>
      </w:r>
      <w:r>
        <w:t xml:space="preserve">ended </w:t>
      </w:r>
      <w:r>
        <w:rPr>
          <w:color w:val="232323"/>
        </w:rPr>
        <w:t xml:space="preserve">on </w:t>
      </w:r>
      <w:r>
        <w:rPr>
          <w:color w:val="0C0C0C"/>
        </w:rPr>
        <w:t>that</w:t>
      </w:r>
      <w:r>
        <w:rPr>
          <w:color w:val="0C0C0C"/>
          <w:spacing w:val="4"/>
        </w:rPr>
        <w:t xml:space="preserve"> </w:t>
      </w:r>
      <w:r>
        <w:rPr>
          <w:color w:val="131313"/>
        </w:rPr>
        <w:t>date</w:t>
      </w:r>
    </w:p>
    <w:p w14:paraId="2CB603C2" w14:textId="77777777" w:rsidR="00FA4AA8" w:rsidRDefault="0015611F">
      <w:pPr>
        <w:spacing w:before="55"/>
        <w:ind w:left="1821"/>
        <w:rPr>
          <w:sz w:val="21"/>
        </w:rPr>
      </w:pPr>
      <w:r>
        <w:rPr>
          <w:sz w:val="21"/>
        </w:rPr>
        <w:t xml:space="preserve">complying </w:t>
      </w:r>
      <w:r>
        <w:rPr>
          <w:color w:val="131313"/>
          <w:sz w:val="21"/>
        </w:rPr>
        <w:t xml:space="preserve">with </w:t>
      </w:r>
      <w:r>
        <w:rPr>
          <w:sz w:val="21"/>
        </w:rPr>
        <w:t xml:space="preserve">Australian Accounting </w:t>
      </w:r>
      <w:r>
        <w:rPr>
          <w:color w:val="181818"/>
          <w:sz w:val="21"/>
        </w:rPr>
        <w:t>Standards</w:t>
      </w:r>
    </w:p>
    <w:p w14:paraId="5DBAF155" w14:textId="77777777" w:rsidR="00FA4AA8" w:rsidRDefault="0015611F">
      <w:pPr>
        <w:pStyle w:val="ListParagraph"/>
        <w:numPr>
          <w:ilvl w:val="1"/>
          <w:numId w:val="53"/>
        </w:numPr>
        <w:tabs>
          <w:tab w:val="left" w:pos="1249"/>
          <w:tab w:val="left" w:pos="1250"/>
        </w:tabs>
        <w:spacing w:before="63" w:line="237" w:lineRule="auto"/>
        <w:ind w:left="1248" w:right="755" w:hanging="569"/>
        <w:rPr>
          <w:sz w:val="21"/>
        </w:rPr>
      </w:pPr>
      <w:r>
        <w:rPr>
          <w:color w:val="0E0E0E"/>
          <w:sz w:val="21"/>
        </w:rPr>
        <w:t>has</w:t>
      </w:r>
      <w:r>
        <w:rPr>
          <w:color w:val="0E0E0E"/>
          <w:spacing w:val="-36"/>
          <w:sz w:val="21"/>
        </w:rPr>
        <w:t xml:space="preserve"> </w:t>
      </w:r>
      <w:r>
        <w:rPr>
          <w:sz w:val="21"/>
        </w:rPr>
        <w:t>been</w:t>
      </w:r>
      <w:r>
        <w:rPr>
          <w:spacing w:val="-33"/>
          <w:sz w:val="21"/>
        </w:rPr>
        <w:t xml:space="preserve"> </w:t>
      </w:r>
      <w:r>
        <w:rPr>
          <w:sz w:val="21"/>
        </w:rPr>
        <w:t>prepared</w:t>
      </w:r>
      <w:r>
        <w:rPr>
          <w:spacing w:val="-29"/>
          <w:sz w:val="21"/>
        </w:rPr>
        <w:t xml:space="preserve"> </w:t>
      </w:r>
      <w:r>
        <w:rPr>
          <w:color w:val="0E0E0E"/>
          <w:sz w:val="21"/>
        </w:rPr>
        <w:t>in</w:t>
      </w:r>
      <w:r>
        <w:rPr>
          <w:color w:val="0E0E0E"/>
          <w:spacing w:val="-38"/>
          <w:sz w:val="21"/>
        </w:rPr>
        <w:t xml:space="preserve"> </w:t>
      </w:r>
      <w:r>
        <w:rPr>
          <w:sz w:val="21"/>
        </w:rPr>
        <w:t>accordance</w:t>
      </w:r>
      <w:r>
        <w:rPr>
          <w:spacing w:val="-30"/>
          <w:sz w:val="21"/>
        </w:rPr>
        <w:t xml:space="preserve"> </w:t>
      </w:r>
      <w:r>
        <w:rPr>
          <w:sz w:val="21"/>
        </w:rPr>
        <w:t>with</w:t>
      </w:r>
      <w:r>
        <w:rPr>
          <w:spacing w:val="-33"/>
          <w:sz w:val="21"/>
        </w:rPr>
        <w:t xml:space="preserve"> </w:t>
      </w:r>
      <w:r>
        <w:rPr>
          <w:color w:val="181818"/>
          <w:sz w:val="21"/>
        </w:rPr>
        <w:t>Division</w:t>
      </w:r>
      <w:r>
        <w:rPr>
          <w:color w:val="181818"/>
          <w:spacing w:val="-33"/>
          <w:sz w:val="21"/>
        </w:rPr>
        <w:t xml:space="preserve"> </w:t>
      </w:r>
      <w:r>
        <w:rPr>
          <w:color w:val="131313"/>
          <w:sz w:val="21"/>
        </w:rPr>
        <w:t>60</w:t>
      </w:r>
      <w:r>
        <w:rPr>
          <w:color w:val="131313"/>
          <w:spacing w:val="-35"/>
          <w:sz w:val="21"/>
        </w:rPr>
        <w:t xml:space="preserve"> </w:t>
      </w:r>
      <w:r>
        <w:rPr>
          <w:color w:val="2B2B2B"/>
          <w:sz w:val="21"/>
        </w:rPr>
        <w:t>of</w:t>
      </w:r>
      <w:r>
        <w:rPr>
          <w:color w:val="2B2B2B"/>
          <w:spacing w:val="-35"/>
          <w:sz w:val="21"/>
        </w:rPr>
        <w:t xml:space="preserve"> </w:t>
      </w:r>
      <w:r>
        <w:rPr>
          <w:sz w:val="21"/>
        </w:rPr>
        <w:t>the</w:t>
      </w:r>
      <w:r>
        <w:rPr>
          <w:spacing w:val="-34"/>
          <w:sz w:val="21"/>
        </w:rPr>
        <w:t xml:space="preserve"> </w:t>
      </w:r>
      <w:r>
        <w:rPr>
          <w:i/>
          <w:sz w:val="21"/>
        </w:rPr>
        <w:t>Australian</w:t>
      </w:r>
      <w:r>
        <w:rPr>
          <w:i/>
          <w:spacing w:val="-29"/>
          <w:sz w:val="21"/>
        </w:rPr>
        <w:t xml:space="preserve"> </w:t>
      </w:r>
      <w:r>
        <w:rPr>
          <w:i/>
          <w:sz w:val="21"/>
        </w:rPr>
        <w:t>Charities</w:t>
      </w:r>
      <w:r>
        <w:rPr>
          <w:i/>
          <w:spacing w:val="-26"/>
          <w:sz w:val="21"/>
        </w:rPr>
        <w:t xml:space="preserve"> </w:t>
      </w:r>
      <w:r>
        <w:rPr>
          <w:i/>
          <w:color w:val="181818"/>
          <w:sz w:val="21"/>
        </w:rPr>
        <w:t>and</w:t>
      </w:r>
      <w:r>
        <w:rPr>
          <w:i/>
          <w:color w:val="181818"/>
          <w:spacing w:val="-34"/>
          <w:sz w:val="21"/>
        </w:rPr>
        <w:t xml:space="preserve"> </w:t>
      </w:r>
      <w:r>
        <w:rPr>
          <w:i/>
          <w:color w:val="1A1A1A"/>
          <w:sz w:val="21"/>
        </w:rPr>
        <w:t>Not-for-profits</w:t>
      </w:r>
      <w:r>
        <w:rPr>
          <w:i/>
          <w:color w:val="0F0F0F"/>
          <w:sz w:val="21"/>
        </w:rPr>
        <w:t xml:space="preserve"> Commission </w:t>
      </w:r>
      <w:r>
        <w:rPr>
          <w:i/>
          <w:color w:val="2A2A2A"/>
          <w:sz w:val="21"/>
        </w:rPr>
        <w:t xml:space="preserve">Act </w:t>
      </w:r>
      <w:r>
        <w:rPr>
          <w:i/>
          <w:color w:val="161616"/>
          <w:sz w:val="21"/>
        </w:rPr>
        <w:t xml:space="preserve">2012 </w:t>
      </w:r>
      <w:r>
        <w:rPr>
          <w:color w:val="212121"/>
          <w:sz w:val="21"/>
        </w:rPr>
        <w:t xml:space="preserve">and </w:t>
      </w:r>
      <w:r>
        <w:rPr>
          <w:color w:val="161616"/>
          <w:sz w:val="21"/>
        </w:rPr>
        <w:t xml:space="preserve">Division </w:t>
      </w:r>
      <w:r>
        <w:rPr>
          <w:color w:val="1F1F1F"/>
          <w:sz w:val="21"/>
        </w:rPr>
        <w:t xml:space="preserve">60 </w:t>
      </w:r>
      <w:r>
        <w:rPr>
          <w:color w:val="282828"/>
          <w:sz w:val="21"/>
        </w:rPr>
        <w:t xml:space="preserve">of </w:t>
      </w:r>
      <w:r>
        <w:rPr>
          <w:color w:val="2B2B2B"/>
          <w:sz w:val="21"/>
        </w:rPr>
        <w:t xml:space="preserve">the </w:t>
      </w:r>
      <w:r>
        <w:rPr>
          <w:sz w:val="21"/>
        </w:rPr>
        <w:t xml:space="preserve">Australian Charities </w:t>
      </w:r>
      <w:r>
        <w:rPr>
          <w:color w:val="131313"/>
          <w:sz w:val="21"/>
        </w:rPr>
        <w:t>and Not-for-profits</w:t>
      </w:r>
      <w:r>
        <w:rPr>
          <w:sz w:val="21"/>
        </w:rPr>
        <w:t xml:space="preserve"> Commission Regulation</w:t>
      </w:r>
      <w:r>
        <w:rPr>
          <w:spacing w:val="28"/>
          <w:sz w:val="21"/>
        </w:rPr>
        <w:t xml:space="preserve"> </w:t>
      </w:r>
      <w:r>
        <w:rPr>
          <w:sz w:val="21"/>
        </w:rPr>
        <w:t>2013.</w:t>
      </w:r>
    </w:p>
    <w:p w14:paraId="67C92B22" w14:textId="77777777" w:rsidR="00FA4AA8" w:rsidRDefault="00FA4AA8">
      <w:pPr>
        <w:pStyle w:val="BodyText"/>
      </w:pPr>
    </w:p>
    <w:p w14:paraId="2B88AEB7" w14:textId="77777777" w:rsidR="00FA4AA8" w:rsidRDefault="0015611F">
      <w:pPr>
        <w:pStyle w:val="Heading9"/>
        <w:ind w:left="676"/>
      </w:pPr>
      <w:r>
        <w:t xml:space="preserve">My opinion </w:t>
      </w:r>
      <w:r>
        <w:rPr>
          <w:color w:val="111111"/>
        </w:rPr>
        <w:t xml:space="preserve">should </w:t>
      </w:r>
      <w:r>
        <w:rPr>
          <w:color w:val="343434"/>
        </w:rPr>
        <w:t xml:space="preserve">be </w:t>
      </w:r>
      <w:r>
        <w:rPr>
          <w:color w:val="0E0E0E"/>
        </w:rPr>
        <w:t xml:space="preserve">read </w:t>
      </w:r>
      <w:r>
        <w:rPr>
          <w:color w:val="232323"/>
        </w:rPr>
        <w:t xml:space="preserve">in </w:t>
      </w:r>
      <w:r>
        <w:t xml:space="preserve">conjunction </w:t>
      </w:r>
      <w:r>
        <w:rPr>
          <w:color w:val="242424"/>
        </w:rPr>
        <w:t xml:space="preserve">with </w:t>
      </w:r>
      <w:r>
        <w:rPr>
          <w:color w:val="232323"/>
        </w:rPr>
        <w:t xml:space="preserve">the </w:t>
      </w:r>
      <w:r>
        <w:rPr>
          <w:color w:val="0F0F0F"/>
        </w:rPr>
        <w:t xml:space="preserve">rest </w:t>
      </w:r>
      <w:r>
        <w:rPr>
          <w:color w:val="181818"/>
        </w:rPr>
        <w:t xml:space="preserve">of </w:t>
      </w:r>
      <w:r>
        <w:rPr>
          <w:color w:val="1A1A1A"/>
        </w:rPr>
        <w:t xml:space="preserve">this </w:t>
      </w:r>
      <w:r>
        <w:t>report.</w:t>
      </w:r>
    </w:p>
    <w:p w14:paraId="35A36385" w14:textId="77777777" w:rsidR="00FA4AA8" w:rsidRDefault="0015611F">
      <w:pPr>
        <w:spacing w:before="153"/>
        <w:ind w:left="683"/>
        <w:jc w:val="both"/>
        <w:rPr>
          <w:sz w:val="25"/>
        </w:rPr>
      </w:pPr>
      <w:r>
        <w:rPr>
          <w:color w:val="262626"/>
          <w:w w:val="105"/>
          <w:sz w:val="25"/>
        </w:rPr>
        <w:t xml:space="preserve">Basis </w:t>
      </w:r>
      <w:r>
        <w:rPr>
          <w:color w:val="111111"/>
          <w:w w:val="105"/>
          <w:sz w:val="25"/>
        </w:rPr>
        <w:t xml:space="preserve">for </w:t>
      </w:r>
      <w:r>
        <w:rPr>
          <w:w w:val="105"/>
          <w:sz w:val="25"/>
        </w:rPr>
        <w:t>Opinion</w:t>
      </w:r>
    </w:p>
    <w:p w14:paraId="582DB244" w14:textId="77777777" w:rsidR="00FA4AA8" w:rsidRDefault="0015611F">
      <w:pPr>
        <w:spacing w:before="120"/>
        <w:ind w:left="680" w:right="829" w:hanging="8"/>
        <w:jc w:val="both"/>
        <w:rPr>
          <w:sz w:val="21"/>
        </w:rPr>
      </w:pPr>
      <w:r>
        <w:rPr>
          <w:color w:val="161616"/>
          <w:sz w:val="21"/>
        </w:rPr>
        <w:t>I</w:t>
      </w:r>
      <w:r>
        <w:rPr>
          <w:color w:val="161616"/>
          <w:spacing w:val="-34"/>
          <w:sz w:val="21"/>
        </w:rPr>
        <w:t xml:space="preserve"> </w:t>
      </w:r>
      <w:r>
        <w:rPr>
          <w:color w:val="0F0F0F"/>
          <w:sz w:val="21"/>
        </w:rPr>
        <w:t>conducted</w:t>
      </w:r>
      <w:r>
        <w:rPr>
          <w:color w:val="0F0F0F"/>
          <w:spacing w:val="-28"/>
          <w:sz w:val="21"/>
        </w:rPr>
        <w:t xml:space="preserve"> </w:t>
      </w:r>
      <w:r>
        <w:rPr>
          <w:sz w:val="21"/>
        </w:rPr>
        <w:t>my</w:t>
      </w:r>
      <w:r>
        <w:rPr>
          <w:spacing w:val="-31"/>
          <w:sz w:val="21"/>
        </w:rPr>
        <w:t xml:space="preserve"> </w:t>
      </w:r>
      <w:r>
        <w:rPr>
          <w:color w:val="1A1A1A"/>
          <w:sz w:val="21"/>
        </w:rPr>
        <w:t>audit</w:t>
      </w:r>
      <w:r>
        <w:rPr>
          <w:color w:val="1A1A1A"/>
          <w:spacing w:val="-33"/>
          <w:sz w:val="21"/>
        </w:rPr>
        <w:t xml:space="preserve"> </w:t>
      </w:r>
      <w:r>
        <w:rPr>
          <w:sz w:val="21"/>
        </w:rPr>
        <w:t>in</w:t>
      </w:r>
      <w:r>
        <w:rPr>
          <w:spacing w:val="-33"/>
          <w:sz w:val="21"/>
        </w:rPr>
        <w:t xml:space="preserve"> </w:t>
      </w:r>
      <w:r>
        <w:rPr>
          <w:color w:val="161616"/>
          <w:sz w:val="21"/>
        </w:rPr>
        <w:t>accordance</w:t>
      </w:r>
      <w:r>
        <w:rPr>
          <w:color w:val="161616"/>
          <w:spacing w:val="-30"/>
          <w:sz w:val="21"/>
        </w:rPr>
        <w:t xml:space="preserve"> </w:t>
      </w:r>
      <w:r>
        <w:rPr>
          <w:color w:val="161616"/>
          <w:sz w:val="21"/>
        </w:rPr>
        <w:t>with</w:t>
      </w:r>
      <w:r>
        <w:rPr>
          <w:color w:val="161616"/>
          <w:spacing w:val="-36"/>
          <w:sz w:val="21"/>
        </w:rPr>
        <w:t xml:space="preserve"> </w:t>
      </w:r>
      <w:r>
        <w:rPr>
          <w:color w:val="131313"/>
          <w:sz w:val="21"/>
        </w:rPr>
        <w:t>Australian</w:t>
      </w:r>
      <w:r>
        <w:rPr>
          <w:color w:val="131313"/>
          <w:spacing w:val="-29"/>
          <w:sz w:val="21"/>
        </w:rPr>
        <w:t xml:space="preserve"> </w:t>
      </w:r>
      <w:r>
        <w:rPr>
          <w:sz w:val="21"/>
        </w:rPr>
        <w:t>Auditing</w:t>
      </w:r>
      <w:r>
        <w:rPr>
          <w:spacing w:val="-26"/>
          <w:sz w:val="21"/>
        </w:rPr>
        <w:t xml:space="preserve"> </w:t>
      </w:r>
      <w:r>
        <w:rPr>
          <w:color w:val="1A1A1A"/>
          <w:sz w:val="21"/>
        </w:rPr>
        <w:t>Standards.</w:t>
      </w:r>
      <w:r>
        <w:rPr>
          <w:color w:val="1A1A1A"/>
          <w:spacing w:val="-27"/>
          <w:sz w:val="21"/>
        </w:rPr>
        <w:t xml:space="preserve"> </w:t>
      </w:r>
      <w:r>
        <w:rPr>
          <w:color w:val="151515"/>
          <w:sz w:val="21"/>
        </w:rPr>
        <w:t>My</w:t>
      </w:r>
      <w:r>
        <w:rPr>
          <w:color w:val="151515"/>
          <w:spacing w:val="-29"/>
          <w:sz w:val="21"/>
        </w:rPr>
        <w:t xml:space="preserve"> </w:t>
      </w:r>
      <w:r>
        <w:rPr>
          <w:sz w:val="21"/>
        </w:rPr>
        <w:t>responsibilities</w:t>
      </w:r>
      <w:r>
        <w:rPr>
          <w:spacing w:val="-39"/>
          <w:sz w:val="21"/>
        </w:rPr>
        <w:t xml:space="preserve"> </w:t>
      </w:r>
      <w:r>
        <w:rPr>
          <w:color w:val="1A1A1A"/>
          <w:sz w:val="21"/>
        </w:rPr>
        <w:t>under</w:t>
      </w:r>
      <w:r>
        <w:rPr>
          <w:color w:val="1A1A1A"/>
          <w:spacing w:val="-31"/>
          <w:sz w:val="21"/>
        </w:rPr>
        <w:t xml:space="preserve"> </w:t>
      </w:r>
      <w:r>
        <w:rPr>
          <w:color w:val="1A1A1A"/>
          <w:sz w:val="21"/>
        </w:rPr>
        <w:t>the</w:t>
      </w:r>
      <w:r>
        <w:rPr>
          <w:color w:val="0C0C0C"/>
          <w:sz w:val="21"/>
        </w:rPr>
        <w:t xml:space="preserve"> standards</w:t>
      </w:r>
      <w:r>
        <w:rPr>
          <w:color w:val="0C0C0C"/>
          <w:spacing w:val="-28"/>
          <w:sz w:val="21"/>
        </w:rPr>
        <w:t xml:space="preserve"> </w:t>
      </w:r>
      <w:r>
        <w:rPr>
          <w:sz w:val="21"/>
        </w:rPr>
        <w:t>are</w:t>
      </w:r>
      <w:r>
        <w:rPr>
          <w:spacing w:val="-32"/>
          <w:sz w:val="21"/>
        </w:rPr>
        <w:t xml:space="preserve"> </w:t>
      </w:r>
      <w:r>
        <w:rPr>
          <w:color w:val="111111"/>
          <w:sz w:val="21"/>
        </w:rPr>
        <w:t>described</w:t>
      </w:r>
      <w:r>
        <w:rPr>
          <w:color w:val="111111"/>
          <w:spacing w:val="-32"/>
          <w:sz w:val="21"/>
        </w:rPr>
        <w:t xml:space="preserve"> </w:t>
      </w:r>
      <w:r>
        <w:rPr>
          <w:color w:val="1A1A1A"/>
          <w:sz w:val="21"/>
        </w:rPr>
        <w:t>in</w:t>
      </w:r>
      <w:r>
        <w:rPr>
          <w:color w:val="1A1A1A"/>
          <w:spacing w:val="-35"/>
          <w:sz w:val="21"/>
        </w:rPr>
        <w:t xml:space="preserve"> </w:t>
      </w:r>
      <w:r>
        <w:rPr>
          <w:color w:val="0E0E0E"/>
          <w:sz w:val="21"/>
        </w:rPr>
        <w:t>the</w:t>
      </w:r>
      <w:r>
        <w:rPr>
          <w:color w:val="0E0E0E"/>
          <w:spacing w:val="-33"/>
          <w:sz w:val="21"/>
        </w:rPr>
        <w:t xml:space="preserve"> </w:t>
      </w:r>
      <w:r>
        <w:rPr>
          <w:color w:val="0E0E0E"/>
          <w:sz w:val="21"/>
        </w:rPr>
        <w:t>‘Auditor's</w:t>
      </w:r>
      <w:r>
        <w:rPr>
          <w:color w:val="0E0E0E"/>
          <w:spacing w:val="-30"/>
          <w:sz w:val="21"/>
        </w:rPr>
        <w:t xml:space="preserve"> </w:t>
      </w:r>
      <w:r>
        <w:rPr>
          <w:color w:val="0C0C0C"/>
          <w:sz w:val="21"/>
        </w:rPr>
        <w:t>Responsibilities</w:t>
      </w:r>
      <w:r>
        <w:rPr>
          <w:color w:val="0C0C0C"/>
          <w:spacing w:val="-34"/>
          <w:sz w:val="21"/>
        </w:rPr>
        <w:t xml:space="preserve"> </w:t>
      </w:r>
      <w:r>
        <w:rPr>
          <w:color w:val="1D1D1D"/>
          <w:sz w:val="21"/>
        </w:rPr>
        <w:t>for</w:t>
      </w:r>
      <w:r>
        <w:rPr>
          <w:color w:val="1D1D1D"/>
          <w:spacing w:val="-33"/>
          <w:sz w:val="21"/>
        </w:rPr>
        <w:t xml:space="preserve"> </w:t>
      </w:r>
      <w:r>
        <w:rPr>
          <w:color w:val="1F1F1F"/>
          <w:sz w:val="21"/>
        </w:rPr>
        <w:t>the</w:t>
      </w:r>
      <w:r>
        <w:rPr>
          <w:color w:val="1F1F1F"/>
          <w:spacing w:val="-31"/>
          <w:sz w:val="21"/>
        </w:rPr>
        <w:t xml:space="preserve"> </w:t>
      </w:r>
      <w:r>
        <w:rPr>
          <w:color w:val="1A1A1A"/>
          <w:sz w:val="21"/>
        </w:rPr>
        <w:t>Audit</w:t>
      </w:r>
      <w:r>
        <w:rPr>
          <w:color w:val="1A1A1A"/>
          <w:spacing w:val="-36"/>
          <w:sz w:val="21"/>
        </w:rPr>
        <w:t xml:space="preserve"> </w:t>
      </w:r>
      <w:r>
        <w:rPr>
          <w:color w:val="2D2D2D"/>
          <w:sz w:val="21"/>
        </w:rPr>
        <w:t>of</w:t>
      </w:r>
      <w:r>
        <w:rPr>
          <w:color w:val="2D2D2D"/>
          <w:spacing w:val="-36"/>
          <w:sz w:val="21"/>
        </w:rPr>
        <w:t xml:space="preserve"> </w:t>
      </w:r>
      <w:r>
        <w:rPr>
          <w:color w:val="181818"/>
          <w:sz w:val="21"/>
        </w:rPr>
        <w:t>the</w:t>
      </w:r>
      <w:r>
        <w:rPr>
          <w:color w:val="181818"/>
          <w:spacing w:val="-37"/>
          <w:sz w:val="21"/>
        </w:rPr>
        <w:t xml:space="preserve"> </w:t>
      </w:r>
      <w:r>
        <w:rPr>
          <w:color w:val="161616"/>
          <w:sz w:val="21"/>
        </w:rPr>
        <w:t>Financial</w:t>
      </w:r>
      <w:r>
        <w:rPr>
          <w:color w:val="161616"/>
          <w:spacing w:val="-30"/>
          <w:sz w:val="21"/>
        </w:rPr>
        <w:t xml:space="preserve"> </w:t>
      </w:r>
      <w:r>
        <w:rPr>
          <w:color w:val="131313"/>
          <w:sz w:val="21"/>
        </w:rPr>
        <w:t>Report’</w:t>
      </w:r>
      <w:r>
        <w:rPr>
          <w:color w:val="131313"/>
          <w:spacing w:val="-30"/>
          <w:sz w:val="21"/>
        </w:rPr>
        <w:t xml:space="preserve"> </w:t>
      </w:r>
      <w:r>
        <w:rPr>
          <w:color w:val="0E0E0E"/>
          <w:sz w:val="21"/>
        </w:rPr>
        <w:t>section</w:t>
      </w:r>
      <w:r>
        <w:rPr>
          <w:color w:val="212121"/>
          <w:sz w:val="21"/>
        </w:rPr>
        <w:t xml:space="preserve"> of </w:t>
      </w:r>
      <w:r>
        <w:rPr>
          <w:color w:val="151515"/>
          <w:sz w:val="21"/>
        </w:rPr>
        <w:t>my</w:t>
      </w:r>
      <w:r>
        <w:rPr>
          <w:color w:val="151515"/>
          <w:spacing w:val="-4"/>
          <w:sz w:val="21"/>
        </w:rPr>
        <w:t xml:space="preserve"> </w:t>
      </w:r>
      <w:r>
        <w:rPr>
          <w:sz w:val="21"/>
        </w:rPr>
        <w:t>report.</w:t>
      </w:r>
    </w:p>
    <w:p w14:paraId="6C1CC972" w14:textId="77777777" w:rsidR="00FA4AA8" w:rsidRDefault="0015611F">
      <w:pPr>
        <w:spacing w:before="168"/>
        <w:ind w:left="672"/>
        <w:jc w:val="both"/>
        <w:rPr>
          <w:sz w:val="21"/>
        </w:rPr>
      </w:pPr>
      <w:r>
        <w:rPr>
          <w:color w:val="161616"/>
          <w:sz w:val="21"/>
        </w:rPr>
        <w:t xml:space="preserve">I </w:t>
      </w:r>
      <w:r>
        <w:rPr>
          <w:color w:val="212121"/>
          <w:sz w:val="21"/>
        </w:rPr>
        <w:t xml:space="preserve">am </w:t>
      </w:r>
      <w:r>
        <w:rPr>
          <w:sz w:val="21"/>
        </w:rPr>
        <w:t xml:space="preserve">independent </w:t>
      </w:r>
      <w:r>
        <w:rPr>
          <w:color w:val="242424"/>
          <w:sz w:val="21"/>
        </w:rPr>
        <w:t xml:space="preserve">of the </w:t>
      </w:r>
      <w:r>
        <w:rPr>
          <w:color w:val="0E0E0E"/>
          <w:sz w:val="21"/>
        </w:rPr>
        <w:t xml:space="preserve">Company </w:t>
      </w:r>
      <w:r>
        <w:rPr>
          <w:color w:val="181818"/>
          <w:sz w:val="21"/>
        </w:rPr>
        <w:t xml:space="preserve">in </w:t>
      </w:r>
      <w:r>
        <w:rPr>
          <w:color w:val="1C1C1C"/>
          <w:sz w:val="21"/>
        </w:rPr>
        <w:t xml:space="preserve">accordance with </w:t>
      </w:r>
      <w:r>
        <w:rPr>
          <w:color w:val="0F0F0F"/>
          <w:sz w:val="21"/>
        </w:rPr>
        <w:t xml:space="preserve">the </w:t>
      </w:r>
      <w:r>
        <w:rPr>
          <w:color w:val="131313"/>
          <w:sz w:val="21"/>
        </w:rPr>
        <w:t xml:space="preserve">requirements </w:t>
      </w:r>
      <w:r>
        <w:rPr>
          <w:color w:val="1D1D1D"/>
          <w:sz w:val="21"/>
        </w:rPr>
        <w:t xml:space="preserve">of </w:t>
      </w:r>
      <w:r>
        <w:rPr>
          <w:color w:val="181818"/>
          <w:sz w:val="21"/>
        </w:rPr>
        <w:t>the:</w:t>
      </w:r>
    </w:p>
    <w:p w14:paraId="27690616" w14:textId="77777777" w:rsidR="00FA4AA8" w:rsidRDefault="0015611F">
      <w:pPr>
        <w:pStyle w:val="ListParagraph"/>
        <w:numPr>
          <w:ilvl w:val="1"/>
          <w:numId w:val="53"/>
        </w:numPr>
        <w:tabs>
          <w:tab w:val="left" w:pos="1249"/>
          <w:tab w:val="left" w:pos="1250"/>
        </w:tabs>
        <w:spacing w:before="167"/>
        <w:ind w:left="1249"/>
        <w:rPr>
          <w:color w:val="1A1A1A"/>
          <w:sz w:val="21"/>
        </w:rPr>
      </w:pPr>
      <w:r>
        <w:rPr>
          <w:sz w:val="21"/>
        </w:rPr>
        <w:t xml:space="preserve">Australian </w:t>
      </w:r>
      <w:r>
        <w:rPr>
          <w:color w:val="0F0F0F"/>
          <w:sz w:val="21"/>
        </w:rPr>
        <w:t>Auditing</w:t>
      </w:r>
      <w:r>
        <w:rPr>
          <w:color w:val="0F0F0F"/>
          <w:spacing w:val="13"/>
          <w:sz w:val="21"/>
        </w:rPr>
        <w:t xml:space="preserve"> </w:t>
      </w:r>
      <w:r>
        <w:rPr>
          <w:sz w:val="21"/>
        </w:rPr>
        <w:t>Standards</w:t>
      </w:r>
    </w:p>
    <w:p w14:paraId="031B5496" w14:textId="77777777" w:rsidR="00FA4AA8" w:rsidRDefault="0015611F">
      <w:pPr>
        <w:pStyle w:val="ListParagraph"/>
        <w:numPr>
          <w:ilvl w:val="1"/>
          <w:numId w:val="53"/>
        </w:numPr>
        <w:tabs>
          <w:tab w:val="left" w:pos="1249"/>
          <w:tab w:val="left" w:pos="1250"/>
        </w:tabs>
        <w:spacing w:before="61"/>
        <w:ind w:left="1247" w:right="1641" w:hanging="571"/>
        <w:rPr>
          <w:color w:val="1C1C1C"/>
          <w:sz w:val="21"/>
        </w:rPr>
      </w:pPr>
      <w:r>
        <w:rPr>
          <w:color w:val="161616"/>
          <w:sz w:val="21"/>
        </w:rPr>
        <w:t>Accounting</w:t>
      </w:r>
      <w:r>
        <w:rPr>
          <w:color w:val="161616"/>
          <w:spacing w:val="-32"/>
          <w:sz w:val="21"/>
        </w:rPr>
        <w:t xml:space="preserve"> </w:t>
      </w:r>
      <w:r>
        <w:rPr>
          <w:sz w:val="21"/>
        </w:rPr>
        <w:t>Professional</w:t>
      </w:r>
      <w:r>
        <w:rPr>
          <w:spacing w:val="-32"/>
          <w:sz w:val="21"/>
        </w:rPr>
        <w:t xml:space="preserve"> </w:t>
      </w:r>
      <w:r>
        <w:rPr>
          <w:color w:val="131313"/>
          <w:sz w:val="21"/>
        </w:rPr>
        <w:t>and</w:t>
      </w:r>
      <w:r>
        <w:rPr>
          <w:color w:val="131313"/>
          <w:spacing w:val="-36"/>
          <w:sz w:val="21"/>
        </w:rPr>
        <w:t xml:space="preserve"> </w:t>
      </w:r>
      <w:r>
        <w:rPr>
          <w:sz w:val="21"/>
        </w:rPr>
        <w:t>Ethical</w:t>
      </w:r>
      <w:r>
        <w:rPr>
          <w:spacing w:val="-35"/>
          <w:sz w:val="21"/>
        </w:rPr>
        <w:t xml:space="preserve"> </w:t>
      </w:r>
      <w:r>
        <w:rPr>
          <w:sz w:val="21"/>
        </w:rPr>
        <w:t>Standards</w:t>
      </w:r>
      <w:r>
        <w:rPr>
          <w:spacing w:val="-32"/>
          <w:sz w:val="21"/>
        </w:rPr>
        <w:t xml:space="preserve"> </w:t>
      </w:r>
      <w:r>
        <w:rPr>
          <w:color w:val="232323"/>
          <w:sz w:val="21"/>
        </w:rPr>
        <w:t>Board’s</w:t>
      </w:r>
      <w:r>
        <w:rPr>
          <w:color w:val="232323"/>
          <w:spacing w:val="-35"/>
          <w:sz w:val="21"/>
        </w:rPr>
        <w:t xml:space="preserve"> </w:t>
      </w:r>
      <w:r>
        <w:rPr>
          <w:sz w:val="21"/>
        </w:rPr>
        <w:t>APES</w:t>
      </w:r>
      <w:r>
        <w:rPr>
          <w:spacing w:val="-35"/>
          <w:sz w:val="21"/>
        </w:rPr>
        <w:t xml:space="preserve"> </w:t>
      </w:r>
      <w:r>
        <w:rPr>
          <w:sz w:val="21"/>
        </w:rPr>
        <w:t>110</w:t>
      </w:r>
      <w:r>
        <w:rPr>
          <w:spacing w:val="-36"/>
          <w:sz w:val="21"/>
        </w:rPr>
        <w:t xml:space="preserve"> </w:t>
      </w:r>
      <w:r>
        <w:rPr>
          <w:color w:val="161616"/>
          <w:sz w:val="21"/>
        </w:rPr>
        <w:t>‘Code</w:t>
      </w:r>
      <w:r>
        <w:rPr>
          <w:color w:val="161616"/>
          <w:spacing w:val="-35"/>
          <w:sz w:val="21"/>
        </w:rPr>
        <w:t xml:space="preserve"> </w:t>
      </w:r>
      <w:r>
        <w:rPr>
          <w:color w:val="2A2A2A"/>
          <w:sz w:val="21"/>
        </w:rPr>
        <w:t>of</w:t>
      </w:r>
      <w:r>
        <w:rPr>
          <w:color w:val="2A2A2A"/>
          <w:spacing w:val="-39"/>
          <w:sz w:val="21"/>
        </w:rPr>
        <w:t xml:space="preserve"> </w:t>
      </w:r>
      <w:r>
        <w:rPr>
          <w:color w:val="161616"/>
          <w:sz w:val="21"/>
        </w:rPr>
        <w:t>Ethics</w:t>
      </w:r>
      <w:r>
        <w:rPr>
          <w:color w:val="161616"/>
          <w:spacing w:val="-32"/>
          <w:sz w:val="21"/>
        </w:rPr>
        <w:t xml:space="preserve"> </w:t>
      </w:r>
      <w:r>
        <w:rPr>
          <w:color w:val="232323"/>
          <w:sz w:val="21"/>
        </w:rPr>
        <w:t>for</w:t>
      </w:r>
      <w:r>
        <w:rPr>
          <w:sz w:val="21"/>
        </w:rPr>
        <w:t xml:space="preserve"> Professional </w:t>
      </w:r>
      <w:r>
        <w:rPr>
          <w:color w:val="0E0E0E"/>
          <w:sz w:val="21"/>
        </w:rPr>
        <w:t xml:space="preserve">Accountants’ </w:t>
      </w:r>
      <w:r>
        <w:rPr>
          <w:color w:val="0F0F0F"/>
          <w:sz w:val="21"/>
        </w:rPr>
        <w:t>(APES</w:t>
      </w:r>
      <w:r>
        <w:rPr>
          <w:color w:val="0F0F0F"/>
          <w:spacing w:val="-16"/>
          <w:sz w:val="21"/>
        </w:rPr>
        <w:t xml:space="preserve"> </w:t>
      </w:r>
      <w:r>
        <w:rPr>
          <w:sz w:val="21"/>
        </w:rPr>
        <w:t>110).</w:t>
      </w:r>
    </w:p>
    <w:p w14:paraId="4A88A2C2" w14:textId="77777777" w:rsidR="00FA4AA8" w:rsidRDefault="0015611F">
      <w:pPr>
        <w:spacing w:before="193"/>
        <w:ind w:left="672"/>
        <w:jc w:val="both"/>
        <w:rPr>
          <w:sz w:val="21"/>
        </w:rPr>
      </w:pPr>
      <w:r>
        <w:rPr>
          <w:color w:val="0F0F0F"/>
          <w:sz w:val="21"/>
        </w:rPr>
        <w:t xml:space="preserve">I </w:t>
      </w:r>
      <w:r>
        <w:rPr>
          <w:sz w:val="21"/>
        </w:rPr>
        <w:t xml:space="preserve">have fulfilled </w:t>
      </w:r>
      <w:r>
        <w:rPr>
          <w:color w:val="131313"/>
          <w:sz w:val="21"/>
        </w:rPr>
        <w:t xml:space="preserve">my </w:t>
      </w:r>
      <w:r>
        <w:rPr>
          <w:color w:val="1A1A1A"/>
          <w:sz w:val="21"/>
        </w:rPr>
        <w:t xml:space="preserve">other </w:t>
      </w:r>
      <w:r>
        <w:rPr>
          <w:color w:val="0F0F0F"/>
          <w:sz w:val="21"/>
        </w:rPr>
        <w:t xml:space="preserve">ethical </w:t>
      </w:r>
      <w:r>
        <w:rPr>
          <w:color w:val="111111"/>
          <w:sz w:val="21"/>
        </w:rPr>
        <w:t xml:space="preserve">responsibilities </w:t>
      </w:r>
      <w:r>
        <w:rPr>
          <w:color w:val="343434"/>
          <w:sz w:val="21"/>
        </w:rPr>
        <w:t xml:space="preserve">in </w:t>
      </w:r>
      <w:r>
        <w:rPr>
          <w:color w:val="212121"/>
          <w:sz w:val="21"/>
        </w:rPr>
        <w:t xml:space="preserve">accordance </w:t>
      </w:r>
      <w:r>
        <w:rPr>
          <w:sz w:val="21"/>
        </w:rPr>
        <w:t xml:space="preserve">with APES </w:t>
      </w:r>
      <w:r>
        <w:rPr>
          <w:color w:val="181818"/>
          <w:sz w:val="21"/>
        </w:rPr>
        <w:t>110.</w:t>
      </w:r>
    </w:p>
    <w:p w14:paraId="76D8C305" w14:textId="77777777" w:rsidR="00FA4AA8" w:rsidRDefault="0015611F">
      <w:pPr>
        <w:spacing w:before="178" w:line="232" w:lineRule="auto"/>
        <w:ind w:left="676" w:right="1536" w:hanging="1"/>
        <w:rPr>
          <w:sz w:val="21"/>
        </w:rPr>
      </w:pPr>
      <w:r>
        <w:rPr>
          <w:sz w:val="21"/>
        </w:rPr>
        <w:t>Parliament</w:t>
      </w:r>
      <w:r>
        <w:rPr>
          <w:spacing w:val="-36"/>
          <w:sz w:val="21"/>
        </w:rPr>
        <w:t xml:space="preserve"> </w:t>
      </w:r>
      <w:r>
        <w:rPr>
          <w:sz w:val="21"/>
        </w:rPr>
        <w:t>promotes</w:t>
      </w:r>
      <w:r>
        <w:rPr>
          <w:spacing w:val="-34"/>
          <w:sz w:val="21"/>
        </w:rPr>
        <w:t xml:space="preserve"> </w:t>
      </w:r>
      <w:r>
        <w:rPr>
          <w:color w:val="161616"/>
          <w:sz w:val="21"/>
        </w:rPr>
        <w:t>independence</w:t>
      </w:r>
      <w:r>
        <w:rPr>
          <w:color w:val="161616"/>
          <w:spacing w:val="-35"/>
          <w:sz w:val="21"/>
        </w:rPr>
        <w:t xml:space="preserve"> </w:t>
      </w:r>
      <w:r>
        <w:rPr>
          <w:color w:val="111111"/>
          <w:sz w:val="21"/>
        </w:rPr>
        <w:t>by</w:t>
      </w:r>
      <w:r>
        <w:rPr>
          <w:color w:val="111111"/>
          <w:spacing w:val="-38"/>
          <w:sz w:val="21"/>
        </w:rPr>
        <w:t xml:space="preserve"> </w:t>
      </w:r>
      <w:r>
        <w:rPr>
          <w:color w:val="111111"/>
          <w:sz w:val="21"/>
        </w:rPr>
        <w:t>ensuring</w:t>
      </w:r>
      <w:r>
        <w:rPr>
          <w:color w:val="111111"/>
          <w:spacing w:val="-36"/>
          <w:sz w:val="21"/>
        </w:rPr>
        <w:t xml:space="preserve"> </w:t>
      </w:r>
      <w:r>
        <w:rPr>
          <w:color w:val="131313"/>
          <w:sz w:val="21"/>
        </w:rPr>
        <w:t>the</w:t>
      </w:r>
      <w:r>
        <w:rPr>
          <w:color w:val="131313"/>
          <w:spacing w:val="-36"/>
          <w:sz w:val="21"/>
        </w:rPr>
        <w:t xml:space="preserve"> </w:t>
      </w:r>
      <w:r>
        <w:rPr>
          <w:color w:val="1A1A1A"/>
          <w:sz w:val="21"/>
        </w:rPr>
        <w:t>Auditor-General</w:t>
      </w:r>
      <w:r>
        <w:rPr>
          <w:color w:val="1A1A1A"/>
          <w:spacing w:val="-42"/>
          <w:sz w:val="21"/>
        </w:rPr>
        <w:t xml:space="preserve"> </w:t>
      </w:r>
      <w:r>
        <w:rPr>
          <w:color w:val="1C1C1C"/>
          <w:sz w:val="21"/>
        </w:rPr>
        <w:t>and</w:t>
      </w:r>
      <w:r>
        <w:rPr>
          <w:color w:val="1C1C1C"/>
          <w:spacing w:val="-38"/>
          <w:sz w:val="21"/>
        </w:rPr>
        <w:t xml:space="preserve"> </w:t>
      </w:r>
      <w:r>
        <w:rPr>
          <w:color w:val="1A1A1A"/>
          <w:sz w:val="21"/>
        </w:rPr>
        <w:t>the</w:t>
      </w:r>
      <w:r>
        <w:rPr>
          <w:color w:val="1A1A1A"/>
          <w:spacing w:val="-36"/>
          <w:sz w:val="21"/>
        </w:rPr>
        <w:t xml:space="preserve"> </w:t>
      </w:r>
      <w:r>
        <w:rPr>
          <w:color w:val="111111"/>
          <w:sz w:val="21"/>
        </w:rPr>
        <w:t>Audit</w:t>
      </w:r>
      <w:r>
        <w:rPr>
          <w:color w:val="111111"/>
          <w:spacing w:val="-37"/>
          <w:sz w:val="21"/>
        </w:rPr>
        <w:t xml:space="preserve"> </w:t>
      </w:r>
      <w:r>
        <w:rPr>
          <w:color w:val="1C1C1C"/>
          <w:sz w:val="21"/>
        </w:rPr>
        <w:t>Office</w:t>
      </w:r>
      <w:r>
        <w:rPr>
          <w:color w:val="1C1C1C"/>
          <w:spacing w:val="-35"/>
          <w:sz w:val="21"/>
        </w:rPr>
        <w:t xml:space="preserve"> </w:t>
      </w:r>
      <w:r>
        <w:rPr>
          <w:color w:val="1C1C1C"/>
          <w:sz w:val="21"/>
        </w:rPr>
        <w:t xml:space="preserve">of </w:t>
      </w:r>
      <w:r>
        <w:rPr>
          <w:color w:val="2A2A2A"/>
          <w:sz w:val="21"/>
        </w:rPr>
        <w:t xml:space="preserve">New </w:t>
      </w:r>
      <w:r>
        <w:rPr>
          <w:color w:val="1D1D1D"/>
          <w:sz w:val="21"/>
        </w:rPr>
        <w:t xml:space="preserve">South </w:t>
      </w:r>
      <w:r>
        <w:rPr>
          <w:color w:val="212121"/>
          <w:sz w:val="21"/>
        </w:rPr>
        <w:t xml:space="preserve">Wales </w:t>
      </w:r>
      <w:r>
        <w:rPr>
          <w:color w:val="1C1C1C"/>
          <w:sz w:val="21"/>
        </w:rPr>
        <w:t xml:space="preserve">are </w:t>
      </w:r>
      <w:r>
        <w:rPr>
          <w:color w:val="111111"/>
          <w:sz w:val="21"/>
        </w:rPr>
        <w:t xml:space="preserve">not compromised </w:t>
      </w:r>
      <w:r>
        <w:rPr>
          <w:color w:val="131313"/>
          <w:sz w:val="21"/>
        </w:rPr>
        <w:t xml:space="preserve">in </w:t>
      </w:r>
      <w:r>
        <w:rPr>
          <w:color w:val="161616"/>
          <w:sz w:val="21"/>
        </w:rPr>
        <w:t xml:space="preserve">their </w:t>
      </w:r>
      <w:r>
        <w:rPr>
          <w:color w:val="262626"/>
          <w:sz w:val="21"/>
        </w:rPr>
        <w:t>roles</w:t>
      </w:r>
      <w:r>
        <w:rPr>
          <w:color w:val="262626"/>
          <w:spacing w:val="-4"/>
          <w:sz w:val="21"/>
        </w:rPr>
        <w:t xml:space="preserve"> </w:t>
      </w:r>
      <w:r>
        <w:rPr>
          <w:color w:val="212121"/>
          <w:sz w:val="21"/>
        </w:rPr>
        <w:t>by:</w:t>
      </w:r>
    </w:p>
    <w:p w14:paraId="74BE7FCA" w14:textId="77777777" w:rsidR="00FA4AA8" w:rsidRDefault="0015611F">
      <w:pPr>
        <w:spacing w:before="179" w:line="232" w:lineRule="auto"/>
        <w:ind w:left="1249" w:right="2014"/>
        <w:rPr>
          <w:sz w:val="21"/>
        </w:rPr>
      </w:pPr>
      <w:r>
        <w:rPr>
          <w:color w:val="212121"/>
          <w:sz w:val="21"/>
        </w:rPr>
        <w:t>providing</w:t>
      </w:r>
      <w:r>
        <w:rPr>
          <w:color w:val="212121"/>
          <w:spacing w:val="-30"/>
          <w:sz w:val="21"/>
        </w:rPr>
        <w:t xml:space="preserve"> </w:t>
      </w:r>
      <w:r>
        <w:rPr>
          <w:sz w:val="21"/>
        </w:rPr>
        <w:t>that</w:t>
      </w:r>
      <w:r>
        <w:rPr>
          <w:spacing w:val="-37"/>
          <w:sz w:val="21"/>
        </w:rPr>
        <w:t xml:space="preserve"> </w:t>
      </w:r>
      <w:r>
        <w:rPr>
          <w:color w:val="131313"/>
          <w:sz w:val="21"/>
        </w:rPr>
        <w:t>only</w:t>
      </w:r>
      <w:r>
        <w:rPr>
          <w:color w:val="131313"/>
          <w:spacing w:val="-33"/>
          <w:sz w:val="21"/>
        </w:rPr>
        <w:t xml:space="preserve"> </w:t>
      </w:r>
      <w:r>
        <w:rPr>
          <w:sz w:val="21"/>
        </w:rPr>
        <w:t>Parliament,</w:t>
      </w:r>
      <w:r>
        <w:rPr>
          <w:spacing w:val="-29"/>
          <w:sz w:val="21"/>
        </w:rPr>
        <w:t xml:space="preserve"> </w:t>
      </w:r>
      <w:r>
        <w:rPr>
          <w:color w:val="181818"/>
          <w:sz w:val="21"/>
        </w:rPr>
        <w:t>and</w:t>
      </w:r>
      <w:r>
        <w:rPr>
          <w:color w:val="181818"/>
          <w:spacing w:val="-35"/>
          <w:sz w:val="21"/>
        </w:rPr>
        <w:t xml:space="preserve"> </w:t>
      </w:r>
      <w:r>
        <w:rPr>
          <w:color w:val="1A1A1A"/>
          <w:sz w:val="21"/>
        </w:rPr>
        <w:t>not</w:t>
      </w:r>
      <w:r>
        <w:rPr>
          <w:color w:val="1A1A1A"/>
          <w:spacing w:val="-37"/>
          <w:sz w:val="21"/>
        </w:rPr>
        <w:t xml:space="preserve"> </w:t>
      </w:r>
      <w:r>
        <w:rPr>
          <w:color w:val="111111"/>
          <w:sz w:val="21"/>
        </w:rPr>
        <w:t>the</w:t>
      </w:r>
      <w:r>
        <w:rPr>
          <w:color w:val="111111"/>
          <w:spacing w:val="-40"/>
          <w:sz w:val="21"/>
        </w:rPr>
        <w:t xml:space="preserve"> </w:t>
      </w:r>
      <w:r>
        <w:rPr>
          <w:color w:val="161616"/>
          <w:sz w:val="21"/>
        </w:rPr>
        <w:t>executive</w:t>
      </w:r>
      <w:r>
        <w:rPr>
          <w:color w:val="161616"/>
          <w:spacing w:val="-26"/>
          <w:sz w:val="21"/>
        </w:rPr>
        <w:t xml:space="preserve"> </w:t>
      </w:r>
      <w:r>
        <w:rPr>
          <w:color w:val="111111"/>
          <w:sz w:val="21"/>
        </w:rPr>
        <w:t>government,</w:t>
      </w:r>
      <w:r>
        <w:rPr>
          <w:color w:val="111111"/>
          <w:spacing w:val="-30"/>
          <w:sz w:val="21"/>
        </w:rPr>
        <w:t xml:space="preserve"> </w:t>
      </w:r>
      <w:r>
        <w:rPr>
          <w:color w:val="2A2A2A"/>
          <w:sz w:val="21"/>
        </w:rPr>
        <w:t>can</w:t>
      </w:r>
      <w:r>
        <w:rPr>
          <w:color w:val="2A2A2A"/>
          <w:spacing w:val="-35"/>
          <w:sz w:val="21"/>
        </w:rPr>
        <w:t xml:space="preserve"> </w:t>
      </w:r>
      <w:r>
        <w:rPr>
          <w:color w:val="181818"/>
          <w:sz w:val="21"/>
        </w:rPr>
        <w:t>remove</w:t>
      </w:r>
      <w:r>
        <w:rPr>
          <w:color w:val="181818"/>
          <w:spacing w:val="-34"/>
          <w:sz w:val="21"/>
        </w:rPr>
        <w:t xml:space="preserve"> </w:t>
      </w:r>
      <w:r>
        <w:rPr>
          <w:color w:val="2F2F2F"/>
          <w:sz w:val="21"/>
        </w:rPr>
        <w:t xml:space="preserve">an </w:t>
      </w:r>
      <w:r>
        <w:rPr>
          <w:sz w:val="21"/>
        </w:rPr>
        <w:t>Auditor-General</w:t>
      </w:r>
    </w:p>
    <w:p w14:paraId="4B3954A7" w14:textId="77777777" w:rsidR="00FA4AA8" w:rsidRDefault="0015611F">
      <w:pPr>
        <w:pStyle w:val="ListParagraph"/>
        <w:numPr>
          <w:ilvl w:val="1"/>
          <w:numId w:val="53"/>
        </w:numPr>
        <w:tabs>
          <w:tab w:val="left" w:pos="1249"/>
          <w:tab w:val="left" w:pos="1250"/>
        </w:tabs>
        <w:spacing w:before="63"/>
        <w:ind w:left="1249"/>
        <w:rPr>
          <w:color w:val="2A2A2A"/>
          <w:sz w:val="21"/>
        </w:rPr>
      </w:pPr>
      <w:r>
        <w:rPr>
          <w:color w:val="111111"/>
          <w:sz w:val="21"/>
        </w:rPr>
        <w:t xml:space="preserve">mandating </w:t>
      </w:r>
      <w:r>
        <w:rPr>
          <w:sz w:val="21"/>
        </w:rPr>
        <w:t xml:space="preserve">the Auditor-General </w:t>
      </w:r>
      <w:r>
        <w:rPr>
          <w:color w:val="1F1F1F"/>
          <w:sz w:val="21"/>
        </w:rPr>
        <w:t xml:space="preserve">as auditor </w:t>
      </w:r>
      <w:r>
        <w:rPr>
          <w:color w:val="232323"/>
          <w:sz w:val="21"/>
        </w:rPr>
        <w:t xml:space="preserve">of </w:t>
      </w:r>
      <w:r>
        <w:rPr>
          <w:color w:val="131313"/>
          <w:sz w:val="21"/>
        </w:rPr>
        <w:t xml:space="preserve">public </w:t>
      </w:r>
      <w:r>
        <w:rPr>
          <w:sz w:val="21"/>
        </w:rPr>
        <w:t>sector</w:t>
      </w:r>
      <w:r>
        <w:rPr>
          <w:spacing w:val="-13"/>
          <w:sz w:val="21"/>
        </w:rPr>
        <w:t xml:space="preserve"> </w:t>
      </w:r>
      <w:r>
        <w:rPr>
          <w:color w:val="0C0C0C"/>
          <w:sz w:val="21"/>
        </w:rPr>
        <w:t>agencies</w:t>
      </w:r>
    </w:p>
    <w:p w14:paraId="717176A3" w14:textId="77777777" w:rsidR="00FA4AA8" w:rsidRDefault="0015611F">
      <w:pPr>
        <w:pStyle w:val="ListParagraph"/>
        <w:numPr>
          <w:ilvl w:val="1"/>
          <w:numId w:val="53"/>
        </w:numPr>
        <w:tabs>
          <w:tab w:val="left" w:pos="1249"/>
          <w:tab w:val="left" w:pos="1250"/>
        </w:tabs>
        <w:spacing w:before="61"/>
        <w:ind w:left="1249"/>
        <w:rPr>
          <w:color w:val="282828"/>
          <w:sz w:val="21"/>
        </w:rPr>
      </w:pPr>
      <w:r>
        <w:rPr>
          <w:color w:val="131313"/>
          <w:sz w:val="21"/>
        </w:rPr>
        <w:t xml:space="preserve">precluding </w:t>
      </w:r>
      <w:r>
        <w:rPr>
          <w:color w:val="1C1C1C"/>
          <w:sz w:val="21"/>
        </w:rPr>
        <w:t xml:space="preserve">the </w:t>
      </w:r>
      <w:r>
        <w:rPr>
          <w:sz w:val="21"/>
        </w:rPr>
        <w:t xml:space="preserve">Auditor-General from providing </w:t>
      </w:r>
      <w:r>
        <w:rPr>
          <w:color w:val="0E0E0E"/>
          <w:sz w:val="21"/>
        </w:rPr>
        <w:t>non-audit</w:t>
      </w:r>
      <w:r>
        <w:rPr>
          <w:color w:val="0E0E0E"/>
          <w:spacing w:val="7"/>
          <w:sz w:val="21"/>
        </w:rPr>
        <w:t xml:space="preserve"> </w:t>
      </w:r>
      <w:r>
        <w:rPr>
          <w:color w:val="161616"/>
          <w:sz w:val="21"/>
        </w:rPr>
        <w:t>services.</w:t>
      </w:r>
    </w:p>
    <w:p w14:paraId="28E1419A" w14:textId="77777777" w:rsidR="00FA4AA8" w:rsidRDefault="00FA4AA8">
      <w:pPr>
        <w:pStyle w:val="BodyText"/>
        <w:spacing w:before="6"/>
        <w:rPr>
          <w:sz w:val="17"/>
        </w:rPr>
      </w:pPr>
    </w:p>
    <w:p w14:paraId="649E8A7C" w14:textId="77777777" w:rsidR="00FA4AA8" w:rsidRDefault="0015611F">
      <w:pPr>
        <w:spacing w:line="232" w:lineRule="auto"/>
        <w:ind w:left="670" w:right="797" w:firstLine="2"/>
        <w:rPr>
          <w:sz w:val="21"/>
        </w:rPr>
      </w:pPr>
      <w:r>
        <w:rPr>
          <w:color w:val="333333"/>
          <w:sz w:val="21"/>
        </w:rPr>
        <w:t>I</w:t>
      </w:r>
      <w:r>
        <w:rPr>
          <w:color w:val="333333"/>
          <w:spacing w:val="-28"/>
          <w:sz w:val="21"/>
        </w:rPr>
        <w:t xml:space="preserve"> </w:t>
      </w:r>
      <w:r>
        <w:rPr>
          <w:color w:val="1C1C1C"/>
          <w:sz w:val="21"/>
        </w:rPr>
        <w:t>believe</w:t>
      </w:r>
      <w:r>
        <w:rPr>
          <w:color w:val="1C1C1C"/>
          <w:spacing w:val="-21"/>
          <w:sz w:val="21"/>
        </w:rPr>
        <w:t xml:space="preserve"> </w:t>
      </w:r>
      <w:r>
        <w:rPr>
          <w:sz w:val="21"/>
        </w:rPr>
        <w:t>the</w:t>
      </w:r>
      <w:r>
        <w:rPr>
          <w:spacing w:val="-27"/>
          <w:sz w:val="21"/>
        </w:rPr>
        <w:t xml:space="preserve"> </w:t>
      </w:r>
      <w:r>
        <w:rPr>
          <w:sz w:val="21"/>
        </w:rPr>
        <w:t>audit</w:t>
      </w:r>
      <w:r>
        <w:rPr>
          <w:spacing w:val="-28"/>
          <w:sz w:val="21"/>
        </w:rPr>
        <w:t xml:space="preserve"> </w:t>
      </w:r>
      <w:r>
        <w:rPr>
          <w:color w:val="0E0E0E"/>
          <w:sz w:val="21"/>
        </w:rPr>
        <w:t>evidence</w:t>
      </w:r>
      <w:r>
        <w:rPr>
          <w:color w:val="0E0E0E"/>
          <w:spacing w:val="-22"/>
          <w:sz w:val="21"/>
        </w:rPr>
        <w:t xml:space="preserve"> </w:t>
      </w:r>
      <w:r>
        <w:rPr>
          <w:color w:val="242424"/>
          <w:sz w:val="21"/>
        </w:rPr>
        <w:t>I</w:t>
      </w:r>
      <w:r>
        <w:rPr>
          <w:color w:val="242424"/>
          <w:spacing w:val="-30"/>
          <w:sz w:val="21"/>
        </w:rPr>
        <w:t xml:space="preserve"> </w:t>
      </w:r>
      <w:r>
        <w:rPr>
          <w:color w:val="262626"/>
          <w:sz w:val="21"/>
        </w:rPr>
        <w:t>have</w:t>
      </w:r>
      <w:r>
        <w:rPr>
          <w:color w:val="262626"/>
          <w:spacing w:val="-29"/>
          <w:sz w:val="21"/>
        </w:rPr>
        <w:t xml:space="preserve"> </w:t>
      </w:r>
      <w:r>
        <w:rPr>
          <w:color w:val="131313"/>
          <w:sz w:val="21"/>
        </w:rPr>
        <w:t>obtained</w:t>
      </w:r>
      <w:r>
        <w:rPr>
          <w:color w:val="131313"/>
          <w:spacing w:val="-27"/>
          <w:sz w:val="21"/>
        </w:rPr>
        <w:t xml:space="preserve"> </w:t>
      </w:r>
      <w:r>
        <w:rPr>
          <w:color w:val="333333"/>
          <w:sz w:val="21"/>
        </w:rPr>
        <w:t>is</w:t>
      </w:r>
      <w:r>
        <w:rPr>
          <w:color w:val="333333"/>
          <w:spacing w:val="-28"/>
          <w:sz w:val="21"/>
        </w:rPr>
        <w:t xml:space="preserve"> </w:t>
      </w:r>
      <w:r>
        <w:rPr>
          <w:color w:val="131313"/>
          <w:sz w:val="21"/>
        </w:rPr>
        <w:t>sufficient</w:t>
      </w:r>
      <w:r>
        <w:rPr>
          <w:color w:val="131313"/>
          <w:spacing w:val="-22"/>
          <w:sz w:val="21"/>
        </w:rPr>
        <w:t xml:space="preserve"> </w:t>
      </w:r>
      <w:r>
        <w:rPr>
          <w:sz w:val="21"/>
        </w:rPr>
        <w:t>and</w:t>
      </w:r>
      <w:r>
        <w:rPr>
          <w:spacing w:val="-26"/>
          <w:sz w:val="21"/>
        </w:rPr>
        <w:t xml:space="preserve"> </w:t>
      </w:r>
      <w:r>
        <w:rPr>
          <w:color w:val="0F0F0F"/>
          <w:sz w:val="21"/>
        </w:rPr>
        <w:t>appropriate</w:t>
      </w:r>
      <w:r>
        <w:rPr>
          <w:color w:val="0F0F0F"/>
          <w:spacing w:val="-23"/>
          <w:sz w:val="21"/>
        </w:rPr>
        <w:t xml:space="preserve"> </w:t>
      </w:r>
      <w:r>
        <w:rPr>
          <w:color w:val="242424"/>
          <w:sz w:val="21"/>
        </w:rPr>
        <w:t>to</w:t>
      </w:r>
      <w:r>
        <w:rPr>
          <w:color w:val="242424"/>
          <w:spacing w:val="-31"/>
          <w:sz w:val="21"/>
        </w:rPr>
        <w:t xml:space="preserve"> </w:t>
      </w:r>
      <w:r>
        <w:rPr>
          <w:color w:val="131313"/>
          <w:sz w:val="21"/>
        </w:rPr>
        <w:t>provide</w:t>
      </w:r>
      <w:r>
        <w:rPr>
          <w:color w:val="131313"/>
          <w:spacing w:val="-22"/>
          <w:sz w:val="21"/>
        </w:rPr>
        <w:t xml:space="preserve"> </w:t>
      </w:r>
      <w:r>
        <w:rPr>
          <w:color w:val="2F2F2F"/>
          <w:sz w:val="21"/>
        </w:rPr>
        <w:t>a</w:t>
      </w:r>
      <w:r>
        <w:rPr>
          <w:color w:val="2F2F2F"/>
          <w:spacing w:val="-27"/>
          <w:sz w:val="21"/>
        </w:rPr>
        <w:t xml:space="preserve"> </w:t>
      </w:r>
      <w:r>
        <w:rPr>
          <w:color w:val="181818"/>
          <w:sz w:val="21"/>
        </w:rPr>
        <w:t>basis</w:t>
      </w:r>
      <w:r>
        <w:rPr>
          <w:color w:val="181818"/>
          <w:spacing w:val="-26"/>
          <w:sz w:val="21"/>
        </w:rPr>
        <w:t xml:space="preserve"> </w:t>
      </w:r>
      <w:r>
        <w:rPr>
          <w:color w:val="1A1A1A"/>
          <w:sz w:val="21"/>
        </w:rPr>
        <w:t>for</w:t>
      </w:r>
      <w:r>
        <w:rPr>
          <w:color w:val="1A1A1A"/>
          <w:spacing w:val="-30"/>
          <w:sz w:val="21"/>
        </w:rPr>
        <w:t xml:space="preserve"> </w:t>
      </w:r>
      <w:r>
        <w:rPr>
          <w:color w:val="282828"/>
          <w:sz w:val="21"/>
        </w:rPr>
        <w:t>my</w:t>
      </w:r>
      <w:r>
        <w:rPr>
          <w:color w:val="181818"/>
          <w:sz w:val="21"/>
        </w:rPr>
        <w:t xml:space="preserve"> audit</w:t>
      </w:r>
      <w:r>
        <w:rPr>
          <w:color w:val="181818"/>
          <w:spacing w:val="-2"/>
          <w:sz w:val="21"/>
        </w:rPr>
        <w:t xml:space="preserve"> </w:t>
      </w:r>
      <w:r>
        <w:rPr>
          <w:sz w:val="21"/>
        </w:rPr>
        <w:t>opinion.</w:t>
      </w:r>
    </w:p>
    <w:p w14:paraId="31339336" w14:textId="77777777" w:rsidR="00FA4AA8" w:rsidRDefault="00FA4AA8">
      <w:pPr>
        <w:pStyle w:val="BodyText"/>
        <w:rPr>
          <w:sz w:val="20"/>
        </w:rPr>
      </w:pPr>
    </w:p>
    <w:p w14:paraId="22A34221" w14:textId="77777777" w:rsidR="00FA4AA8" w:rsidRDefault="00FA4AA8">
      <w:pPr>
        <w:pStyle w:val="BodyText"/>
        <w:rPr>
          <w:sz w:val="20"/>
        </w:rPr>
      </w:pPr>
    </w:p>
    <w:p w14:paraId="6C2CB8B6" w14:textId="77777777" w:rsidR="00FA4AA8" w:rsidRDefault="007E2441">
      <w:pPr>
        <w:pStyle w:val="BodyText"/>
        <w:spacing w:before="1"/>
        <w:rPr>
          <w:sz w:val="25"/>
        </w:rPr>
      </w:pPr>
      <w:r>
        <w:rPr>
          <w:noProof/>
          <w:lang w:val="en-AU" w:eastAsia="en-AU"/>
        </w:rPr>
        <mc:AlternateContent>
          <mc:Choice Requires="wps">
            <w:drawing>
              <wp:anchor distT="0" distB="0" distL="0" distR="0" simplePos="0" relativeHeight="487645184" behindDoc="1" locked="0" layoutInCell="1" allowOverlap="1" wp14:anchorId="03FD4A0D" wp14:editId="270E98FC">
                <wp:simplePos x="0" y="0"/>
                <wp:positionH relativeFrom="page">
                  <wp:posOffset>511810</wp:posOffset>
                </wp:positionH>
                <wp:positionV relativeFrom="paragraph">
                  <wp:posOffset>214630</wp:posOffset>
                </wp:positionV>
                <wp:extent cx="6510655" cy="1270"/>
                <wp:effectExtent l="0" t="0" r="0" b="0"/>
                <wp:wrapTopAndBottom/>
                <wp:docPr id="1033" name="Freeform 7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10655" cy="1270"/>
                        </a:xfrm>
                        <a:custGeom>
                          <a:avLst/>
                          <a:gdLst>
                            <a:gd name="T0" fmla="+- 0 806 806"/>
                            <a:gd name="T1" fmla="*/ T0 w 10253"/>
                            <a:gd name="T2" fmla="+- 0 11059 806"/>
                            <a:gd name="T3" fmla="*/ T2 w 10253"/>
                          </a:gdLst>
                          <a:ahLst/>
                          <a:cxnLst>
                            <a:cxn ang="0">
                              <a:pos x="T1" y="0"/>
                            </a:cxn>
                            <a:cxn ang="0">
                              <a:pos x="T3" y="0"/>
                            </a:cxn>
                          </a:cxnLst>
                          <a:rect l="0" t="0" r="r" b="b"/>
                          <a:pathLst>
                            <a:path w="10253">
                              <a:moveTo>
                                <a:pt x="0" y="0"/>
                              </a:moveTo>
                              <a:lnTo>
                                <a:pt x="10253" y="0"/>
                              </a:lnTo>
                            </a:path>
                          </a:pathLst>
                        </a:custGeom>
                        <a:noFill/>
                        <a:ln w="12192">
                          <a:solidFill>
                            <a:srgbClr val="3B3B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4595B" id="Freeform 799" o:spid="_x0000_s1026" style="position:absolute;margin-left:40.3pt;margin-top:16.9pt;width:512.65pt;height:.1pt;z-index:-15671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5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" path="m,l10253,e" filled="f" strokecolor="#3b3b3b" strokeweight=".96pt">
                <v:path arrowok="t" o:connecttype="custom" o:connectlocs="0,0;6510655,0" o:connectangles="0,0"/>
                <w10:wrap type="topAndBottom" anchorx="page"/>
              </v:shape>
            </w:pict>
          </mc:Fallback>
        </mc:AlternateContent>
      </w:r>
    </w:p>
    <w:p w14:paraId="0AB71E53" w14:textId="77777777" w:rsidR="00FA4AA8" w:rsidRDefault="00A74DE7">
      <w:pPr>
        <w:tabs>
          <w:tab w:val="left" w:pos="6414"/>
        </w:tabs>
        <w:spacing w:before="108"/>
        <w:ind w:right="5"/>
        <w:jc w:val="center"/>
        <w:rPr>
          <w:sz w:val="17"/>
        </w:rPr>
      </w:pPr>
      <w:r>
        <w:rPr>
          <w:color w:val="0E0E0E"/>
          <w:w w:val="90"/>
          <w:sz w:val="17"/>
        </w:rPr>
        <w:t>Level</w:t>
      </w:r>
      <w:r w:rsidR="0015611F">
        <w:rPr>
          <w:color w:val="0E0E0E"/>
          <w:spacing w:val="-35"/>
          <w:w w:val="90"/>
          <w:sz w:val="17"/>
        </w:rPr>
        <w:t xml:space="preserve"> </w:t>
      </w:r>
      <w:r w:rsidR="0015611F">
        <w:rPr>
          <w:color w:val="181818"/>
          <w:w w:val="90"/>
          <w:sz w:val="17"/>
        </w:rPr>
        <w:t>15,</w:t>
      </w:r>
      <w:r w:rsidR="0015611F">
        <w:rPr>
          <w:color w:val="181818"/>
          <w:spacing w:val="-34"/>
          <w:w w:val="90"/>
          <w:sz w:val="17"/>
        </w:rPr>
        <w:t xml:space="preserve"> </w:t>
      </w:r>
      <w:r w:rsidR="0015611F">
        <w:rPr>
          <w:color w:val="2A2A2A"/>
          <w:w w:val="90"/>
          <w:sz w:val="17"/>
        </w:rPr>
        <w:t>1</w:t>
      </w:r>
      <w:r w:rsidR="0015611F">
        <w:rPr>
          <w:color w:val="2A2A2A"/>
          <w:spacing w:val="-28"/>
          <w:w w:val="90"/>
          <w:sz w:val="17"/>
        </w:rPr>
        <w:t xml:space="preserve"> </w:t>
      </w:r>
      <w:r w:rsidR="0015611F">
        <w:rPr>
          <w:color w:val="131313"/>
          <w:w w:val="90"/>
          <w:sz w:val="17"/>
        </w:rPr>
        <w:t>Margaret</w:t>
      </w:r>
      <w:r w:rsidR="0015611F">
        <w:rPr>
          <w:color w:val="131313"/>
          <w:spacing w:val="-24"/>
          <w:w w:val="90"/>
          <w:sz w:val="17"/>
        </w:rPr>
        <w:t xml:space="preserve"> </w:t>
      </w:r>
      <w:r w:rsidR="0015611F">
        <w:rPr>
          <w:color w:val="111111"/>
          <w:w w:val="90"/>
          <w:sz w:val="17"/>
        </w:rPr>
        <w:t>Street</w:t>
      </w:r>
      <w:r w:rsidR="0015611F">
        <w:rPr>
          <w:color w:val="111111"/>
          <w:spacing w:val="-21"/>
          <w:w w:val="90"/>
          <w:sz w:val="17"/>
        </w:rPr>
        <w:t xml:space="preserve"> </w:t>
      </w:r>
      <w:r w:rsidR="0015611F">
        <w:rPr>
          <w:w w:val="90"/>
          <w:sz w:val="17"/>
        </w:rPr>
        <w:t>Sydney</w:t>
      </w:r>
      <w:r w:rsidR="0015611F">
        <w:rPr>
          <w:spacing w:val="-26"/>
          <w:w w:val="90"/>
          <w:sz w:val="17"/>
        </w:rPr>
        <w:t xml:space="preserve"> </w:t>
      </w:r>
      <w:r w:rsidR="0015611F">
        <w:rPr>
          <w:w w:val="90"/>
          <w:sz w:val="17"/>
        </w:rPr>
        <w:t>NSW</w:t>
      </w:r>
      <w:r w:rsidR="0015611F">
        <w:rPr>
          <w:spacing w:val="-27"/>
          <w:w w:val="90"/>
          <w:sz w:val="17"/>
        </w:rPr>
        <w:t xml:space="preserve"> </w:t>
      </w:r>
      <w:r w:rsidR="0015611F">
        <w:rPr>
          <w:color w:val="797979"/>
          <w:w w:val="90"/>
          <w:sz w:val="17"/>
        </w:rPr>
        <w:t>2000</w:t>
      </w:r>
      <w:r w:rsidR="0015611F">
        <w:rPr>
          <w:color w:val="797979"/>
          <w:spacing w:val="-15"/>
          <w:w w:val="90"/>
          <w:sz w:val="17"/>
        </w:rPr>
        <w:t xml:space="preserve"> </w:t>
      </w:r>
      <w:r w:rsidR="0015611F">
        <w:rPr>
          <w:color w:val="181818"/>
          <w:w w:val="90"/>
          <w:sz w:val="17"/>
        </w:rPr>
        <w:t>I</w:t>
      </w:r>
      <w:r w:rsidR="0015611F">
        <w:rPr>
          <w:color w:val="181818"/>
          <w:spacing w:val="-16"/>
          <w:w w:val="90"/>
          <w:sz w:val="17"/>
        </w:rPr>
        <w:t xml:space="preserve"> </w:t>
      </w:r>
      <w:r w:rsidR="0015611F">
        <w:rPr>
          <w:w w:val="90"/>
          <w:sz w:val="17"/>
        </w:rPr>
        <w:t>GPO</w:t>
      </w:r>
      <w:r w:rsidR="0015611F">
        <w:rPr>
          <w:spacing w:val="-27"/>
          <w:w w:val="90"/>
          <w:sz w:val="17"/>
        </w:rPr>
        <w:t xml:space="preserve"> </w:t>
      </w:r>
      <w:r w:rsidR="0015611F">
        <w:rPr>
          <w:color w:val="161616"/>
          <w:w w:val="90"/>
          <w:sz w:val="17"/>
        </w:rPr>
        <w:t>Box</w:t>
      </w:r>
      <w:r w:rsidR="0015611F">
        <w:rPr>
          <w:color w:val="161616"/>
          <w:spacing w:val="-31"/>
          <w:w w:val="90"/>
          <w:sz w:val="17"/>
        </w:rPr>
        <w:t xml:space="preserve"> </w:t>
      </w:r>
      <w:r w:rsidR="0015611F">
        <w:rPr>
          <w:color w:val="262626"/>
          <w:w w:val="90"/>
          <w:sz w:val="17"/>
        </w:rPr>
        <w:t>12,</w:t>
      </w:r>
      <w:r w:rsidR="0015611F">
        <w:rPr>
          <w:color w:val="262626"/>
          <w:spacing w:val="-26"/>
          <w:w w:val="90"/>
          <w:sz w:val="17"/>
        </w:rPr>
        <w:t xml:space="preserve"> </w:t>
      </w:r>
      <w:r>
        <w:rPr>
          <w:color w:val="111111"/>
          <w:w w:val="90"/>
          <w:sz w:val="17"/>
        </w:rPr>
        <w:t>Sydney</w:t>
      </w:r>
      <w:r w:rsidR="0015611F">
        <w:rPr>
          <w:color w:val="111111"/>
          <w:spacing w:val="-25"/>
          <w:w w:val="90"/>
          <w:sz w:val="17"/>
        </w:rPr>
        <w:t xml:space="preserve"> </w:t>
      </w:r>
      <w:r w:rsidR="0015611F">
        <w:rPr>
          <w:color w:val="111111"/>
          <w:w w:val="90"/>
          <w:sz w:val="17"/>
        </w:rPr>
        <w:t>NSW</w:t>
      </w:r>
      <w:r w:rsidR="0015611F">
        <w:rPr>
          <w:color w:val="111111"/>
          <w:spacing w:val="-25"/>
          <w:w w:val="90"/>
          <w:sz w:val="17"/>
        </w:rPr>
        <w:t xml:space="preserve"> </w:t>
      </w:r>
      <w:r w:rsidR="0015611F">
        <w:rPr>
          <w:color w:val="131313"/>
          <w:w w:val="90"/>
          <w:sz w:val="17"/>
        </w:rPr>
        <w:t>2001</w:t>
      </w:r>
      <w:r w:rsidR="0015611F">
        <w:rPr>
          <w:color w:val="131313"/>
          <w:spacing w:val="-12"/>
          <w:w w:val="90"/>
          <w:sz w:val="17"/>
        </w:rPr>
        <w:t xml:space="preserve"> </w:t>
      </w:r>
      <w:r w:rsidR="0015611F">
        <w:rPr>
          <w:color w:val="181818"/>
          <w:w w:val="90"/>
          <w:sz w:val="17"/>
        </w:rPr>
        <w:t>I</w:t>
      </w:r>
      <w:r w:rsidR="0015611F">
        <w:rPr>
          <w:color w:val="181818"/>
          <w:spacing w:val="-14"/>
          <w:w w:val="90"/>
          <w:sz w:val="17"/>
        </w:rPr>
        <w:t xml:space="preserve"> </w:t>
      </w:r>
      <w:r w:rsidR="0015611F">
        <w:rPr>
          <w:color w:val="1A1A1A"/>
          <w:w w:val="90"/>
          <w:sz w:val="17"/>
        </w:rPr>
        <w:t>t02</w:t>
      </w:r>
      <w:r w:rsidR="0015611F">
        <w:rPr>
          <w:color w:val="1A1A1A"/>
          <w:spacing w:val="-31"/>
          <w:w w:val="90"/>
          <w:sz w:val="17"/>
        </w:rPr>
        <w:t xml:space="preserve"> </w:t>
      </w:r>
      <w:r w:rsidR="0015611F">
        <w:rPr>
          <w:color w:val="111111"/>
          <w:w w:val="90"/>
          <w:sz w:val="17"/>
        </w:rPr>
        <w:t>9275</w:t>
      </w:r>
      <w:r w:rsidR="0015611F">
        <w:rPr>
          <w:color w:val="111111"/>
          <w:spacing w:val="-28"/>
          <w:w w:val="90"/>
          <w:sz w:val="17"/>
        </w:rPr>
        <w:t xml:space="preserve"> </w:t>
      </w:r>
      <w:r w:rsidR="0015611F">
        <w:rPr>
          <w:color w:val="131313"/>
          <w:w w:val="90"/>
          <w:sz w:val="17"/>
        </w:rPr>
        <w:t>710a</w:t>
      </w:r>
      <w:r w:rsidR="0015611F">
        <w:rPr>
          <w:color w:val="131313"/>
          <w:w w:val="90"/>
          <w:sz w:val="17"/>
        </w:rPr>
        <w:tab/>
      </w:r>
      <w:r w:rsidR="0015611F">
        <w:rPr>
          <w:color w:val="2A2A2A"/>
          <w:w w:val="85"/>
          <w:sz w:val="17"/>
        </w:rPr>
        <w:t>f</w:t>
      </w:r>
      <w:r w:rsidR="0015611F">
        <w:rPr>
          <w:color w:val="2A2A2A"/>
          <w:spacing w:val="-19"/>
          <w:w w:val="85"/>
          <w:sz w:val="17"/>
        </w:rPr>
        <w:t xml:space="preserve"> </w:t>
      </w:r>
      <w:r w:rsidR="0015611F">
        <w:rPr>
          <w:w w:val="85"/>
          <w:sz w:val="17"/>
        </w:rPr>
        <w:t>02</w:t>
      </w:r>
      <w:r w:rsidR="0015611F">
        <w:rPr>
          <w:spacing w:val="-13"/>
          <w:w w:val="85"/>
          <w:sz w:val="17"/>
        </w:rPr>
        <w:t xml:space="preserve"> </w:t>
      </w:r>
      <w:r w:rsidR="0015611F">
        <w:rPr>
          <w:color w:val="151515"/>
          <w:w w:val="85"/>
          <w:sz w:val="17"/>
        </w:rPr>
        <w:t>9275</w:t>
      </w:r>
      <w:r w:rsidR="0015611F">
        <w:rPr>
          <w:color w:val="151515"/>
          <w:spacing w:val="-14"/>
          <w:w w:val="85"/>
          <w:sz w:val="17"/>
        </w:rPr>
        <w:t xml:space="preserve"> </w:t>
      </w:r>
      <w:r w:rsidR="0015611F">
        <w:rPr>
          <w:color w:val="1F1F1F"/>
          <w:w w:val="85"/>
          <w:sz w:val="17"/>
        </w:rPr>
        <w:t>7179</w:t>
      </w:r>
      <w:r w:rsidR="0015611F">
        <w:rPr>
          <w:color w:val="1F1F1F"/>
          <w:spacing w:val="13"/>
          <w:w w:val="85"/>
          <w:sz w:val="17"/>
        </w:rPr>
        <w:t xml:space="preserve"> </w:t>
      </w:r>
      <w:r w:rsidR="0015611F">
        <w:rPr>
          <w:color w:val="7C7C7C"/>
          <w:w w:val="85"/>
          <w:sz w:val="17"/>
        </w:rPr>
        <w:t>I</w:t>
      </w:r>
      <w:r w:rsidR="0015611F">
        <w:rPr>
          <w:color w:val="7C7C7C"/>
          <w:spacing w:val="3"/>
          <w:w w:val="85"/>
          <w:sz w:val="17"/>
        </w:rPr>
        <w:t xml:space="preserve"> </w:t>
      </w:r>
      <w:r w:rsidR="0015611F">
        <w:rPr>
          <w:color w:val="262626"/>
          <w:w w:val="85"/>
          <w:sz w:val="17"/>
        </w:rPr>
        <w:t>e</w:t>
      </w:r>
      <w:r w:rsidR="0015611F">
        <w:rPr>
          <w:color w:val="262626"/>
          <w:spacing w:val="-23"/>
          <w:w w:val="85"/>
          <w:sz w:val="17"/>
        </w:rPr>
        <w:t xml:space="preserve"> </w:t>
      </w:r>
      <w:hyperlink r:id="rId129">
        <w:r w:rsidR="0015611F">
          <w:rPr>
            <w:w w:val="85"/>
            <w:sz w:val="17"/>
          </w:rPr>
          <w:t>mail@audit.new.gov.au</w:t>
        </w:r>
        <w:r w:rsidR="0015611F">
          <w:rPr>
            <w:spacing w:val="-4"/>
            <w:w w:val="85"/>
            <w:sz w:val="17"/>
          </w:rPr>
          <w:t xml:space="preserve"> </w:t>
        </w:r>
      </w:hyperlink>
      <w:r w:rsidR="0015611F">
        <w:rPr>
          <w:color w:val="AAAAAA"/>
          <w:w w:val="85"/>
          <w:sz w:val="17"/>
        </w:rPr>
        <w:t>I</w:t>
      </w:r>
      <w:r w:rsidR="0015611F">
        <w:rPr>
          <w:color w:val="AAAAAA"/>
          <w:spacing w:val="3"/>
          <w:w w:val="85"/>
          <w:sz w:val="17"/>
        </w:rPr>
        <w:t xml:space="preserve"> </w:t>
      </w:r>
      <w:r w:rsidR="0015611F">
        <w:rPr>
          <w:w w:val="85"/>
          <w:sz w:val="17"/>
        </w:rPr>
        <w:t>audiLnsw.oov.au</w:t>
      </w:r>
    </w:p>
    <w:p w14:paraId="2E13018A" w14:textId="77777777" w:rsidR="00FA4AA8" w:rsidRDefault="00FA4AA8">
      <w:pPr>
        <w:jc w:val="center"/>
        <w:rPr>
          <w:sz w:val="17"/>
        </w:rPr>
        <w:sectPr w:rsidR="00FA4AA8">
          <w:headerReference w:type="default" r:id="rId130"/>
          <w:footerReference w:type="default" r:id="rId131"/>
          <w:pgSz w:w="11910" w:h="16850"/>
          <w:pgMar w:top="1120" w:right="740" w:bottom="660" w:left="700" w:header="0" w:footer="466" w:gutter="0"/>
          <w:pgNumType w:start="141"/>
          <w:cols w:space="720"/>
        </w:sectPr>
      </w:pPr>
    </w:p>
    <w:p w14:paraId="2A2EC521" w14:textId="77777777" w:rsidR="00FA4AA8" w:rsidRDefault="0015611F">
      <w:pPr>
        <w:pStyle w:val="Heading8"/>
        <w:spacing w:before="69"/>
        <w:ind w:left="706"/>
        <w:jc w:val="both"/>
      </w:pPr>
      <w:r>
        <w:t>Other Information</w:t>
      </w:r>
    </w:p>
    <w:p w14:paraId="5F4D4D17" w14:textId="77777777" w:rsidR="00FA4AA8" w:rsidRDefault="0015611F">
      <w:pPr>
        <w:pStyle w:val="Heading9"/>
        <w:spacing w:before="178" w:line="237" w:lineRule="auto"/>
        <w:ind w:left="694" w:right="797" w:firstLine="1"/>
      </w:pPr>
      <w:r>
        <w:t>Other</w:t>
      </w:r>
      <w:r>
        <w:rPr>
          <w:spacing w:val="-29"/>
        </w:rPr>
        <w:t xml:space="preserve"> </w:t>
      </w:r>
      <w:r>
        <w:t>information</w:t>
      </w:r>
      <w:r>
        <w:rPr>
          <w:spacing w:val="-28"/>
        </w:rPr>
        <w:t xml:space="preserve"> </w:t>
      </w:r>
      <w:r>
        <w:t>comprises</w:t>
      </w:r>
      <w:r>
        <w:rPr>
          <w:spacing w:val="-22"/>
        </w:rPr>
        <w:t xml:space="preserve"> </w:t>
      </w:r>
      <w:r>
        <w:t>the</w:t>
      </w:r>
      <w:r>
        <w:rPr>
          <w:spacing w:val="-32"/>
        </w:rPr>
        <w:t xml:space="preserve"> </w:t>
      </w:r>
      <w:r>
        <w:t>information</w:t>
      </w:r>
      <w:r>
        <w:rPr>
          <w:spacing w:val="-24"/>
        </w:rPr>
        <w:t xml:space="preserve"> </w:t>
      </w:r>
      <w:r>
        <w:t>included</w:t>
      </w:r>
      <w:r>
        <w:rPr>
          <w:spacing w:val="-24"/>
        </w:rPr>
        <w:t xml:space="preserve"> </w:t>
      </w:r>
      <w:r>
        <w:rPr>
          <w:color w:val="0E0E0E"/>
        </w:rPr>
        <w:t>in</w:t>
      </w:r>
      <w:r>
        <w:rPr>
          <w:color w:val="0E0E0E"/>
          <w:spacing w:val="-31"/>
        </w:rPr>
        <w:t xml:space="preserve"> </w:t>
      </w:r>
      <w:r>
        <w:t>the</w:t>
      </w:r>
      <w:r>
        <w:rPr>
          <w:spacing w:val="-31"/>
        </w:rPr>
        <w:t xml:space="preserve"> </w:t>
      </w:r>
      <w:r>
        <w:t>Company's</w:t>
      </w:r>
      <w:r>
        <w:rPr>
          <w:spacing w:val="-20"/>
        </w:rPr>
        <w:t xml:space="preserve"> </w:t>
      </w:r>
      <w:r>
        <w:t>annual</w:t>
      </w:r>
      <w:r>
        <w:rPr>
          <w:spacing w:val="-29"/>
        </w:rPr>
        <w:t xml:space="preserve"> </w:t>
      </w:r>
      <w:r>
        <w:t>report</w:t>
      </w:r>
      <w:r>
        <w:rPr>
          <w:spacing w:val="-28"/>
        </w:rPr>
        <w:t xml:space="preserve"> </w:t>
      </w:r>
      <w:r>
        <w:t>for</w:t>
      </w:r>
      <w:r>
        <w:rPr>
          <w:spacing w:val="-32"/>
        </w:rPr>
        <w:t xml:space="preserve"> </w:t>
      </w:r>
      <w:r>
        <w:t>the</w:t>
      </w:r>
      <w:r>
        <w:rPr>
          <w:spacing w:val="-33"/>
        </w:rPr>
        <w:t xml:space="preserve"> </w:t>
      </w:r>
      <w:r>
        <w:t>year ended</w:t>
      </w:r>
      <w:r>
        <w:rPr>
          <w:spacing w:val="-24"/>
        </w:rPr>
        <w:t xml:space="preserve"> </w:t>
      </w:r>
      <w:r>
        <w:t>31</w:t>
      </w:r>
      <w:r>
        <w:rPr>
          <w:spacing w:val="-24"/>
        </w:rPr>
        <w:t xml:space="preserve"> </w:t>
      </w:r>
      <w:r>
        <w:t>December</w:t>
      </w:r>
      <w:r>
        <w:rPr>
          <w:spacing w:val="-15"/>
        </w:rPr>
        <w:t xml:space="preserve"> </w:t>
      </w:r>
      <w:r>
        <w:t>2018,</w:t>
      </w:r>
      <w:r>
        <w:rPr>
          <w:spacing w:val="-19"/>
        </w:rPr>
        <w:t xml:space="preserve"> </w:t>
      </w:r>
      <w:r>
        <w:t>other</w:t>
      </w:r>
      <w:r>
        <w:rPr>
          <w:spacing w:val="-19"/>
        </w:rPr>
        <w:t xml:space="preserve"> </w:t>
      </w:r>
      <w:r>
        <w:t>than</w:t>
      </w:r>
      <w:r>
        <w:rPr>
          <w:spacing w:val="-24"/>
        </w:rPr>
        <w:t xml:space="preserve"> </w:t>
      </w:r>
      <w:r>
        <w:t>the</w:t>
      </w:r>
      <w:r>
        <w:rPr>
          <w:spacing w:val="-26"/>
        </w:rPr>
        <w:t xml:space="preserve"> </w:t>
      </w:r>
      <w:r>
        <w:t>financial</w:t>
      </w:r>
      <w:r>
        <w:rPr>
          <w:spacing w:val="-27"/>
        </w:rPr>
        <w:t xml:space="preserve"> </w:t>
      </w:r>
      <w:r>
        <w:t>report</w:t>
      </w:r>
      <w:r>
        <w:rPr>
          <w:spacing w:val="-19"/>
        </w:rPr>
        <w:t xml:space="preserve"> </w:t>
      </w:r>
      <w:r>
        <w:rPr>
          <w:color w:val="0F0F0F"/>
        </w:rPr>
        <w:t>and</w:t>
      </w:r>
      <w:r>
        <w:rPr>
          <w:color w:val="0F0F0F"/>
          <w:spacing w:val="-23"/>
        </w:rPr>
        <w:t xml:space="preserve"> </w:t>
      </w:r>
      <w:r>
        <w:t>my</w:t>
      </w:r>
      <w:r>
        <w:rPr>
          <w:spacing w:val="-27"/>
        </w:rPr>
        <w:t xml:space="preserve"> </w:t>
      </w:r>
      <w:r>
        <w:t>Independent</w:t>
      </w:r>
      <w:r>
        <w:rPr>
          <w:spacing w:val="-14"/>
        </w:rPr>
        <w:t xml:space="preserve"> </w:t>
      </w:r>
      <w:r>
        <w:t>Auditor's</w:t>
      </w:r>
      <w:r>
        <w:rPr>
          <w:spacing w:val="-19"/>
        </w:rPr>
        <w:t xml:space="preserve"> </w:t>
      </w:r>
      <w:r>
        <w:t>Report thereon.</w:t>
      </w:r>
      <w:r>
        <w:rPr>
          <w:spacing w:val="-22"/>
        </w:rPr>
        <w:t xml:space="preserve"> </w:t>
      </w:r>
      <w:r>
        <w:rPr>
          <w:color w:val="181818"/>
        </w:rPr>
        <w:t>The</w:t>
      </w:r>
      <w:r>
        <w:rPr>
          <w:color w:val="181818"/>
          <w:spacing w:val="-31"/>
        </w:rPr>
        <w:t xml:space="preserve"> </w:t>
      </w:r>
      <w:r>
        <w:t>directors</w:t>
      </w:r>
      <w:r>
        <w:rPr>
          <w:spacing w:val="-21"/>
        </w:rPr>
        <w:t xml:space="preserve"> </w:t>
      </w:r>
      <w:r>
        <w:t>of</w:t>
      </w:r>
      <w:r>
        <w:rPr>
          <w:spacing w:val="-33"/>
        </w:rPr>
        <w:t xml:space="preserve"> </w:t>
      </w:r>
      <w:r>
        <w:t>the</w:t>
      </w:r>
      <w:r>
        <w:rPr>
          <w:spacing w:val="-30"/>
        </w:rPr>
        <w:t xml:space="preserve"> </w:t>
      </w:r>
      <w:r>
        <w:rPr>
          <w:color w:val="0C0C0C"/>
        </w:rPr>
        <w:t>Company</w:t>
      </w:r>
      <w:r>
        <w:rPr>
          <w:color w:val="0C0C0C"/>
          <w:spacing w:val="-18"/>
        </w:rPr>
        <w:t xml:space="preserve"> </w:t>
      </w:r>
      <w:r>
        <w:rPr>
          <w:color w:val="131313"/>
        </w:rPr>
        <w:t>are</w:t>
      </w:r>
      <w:r>
        <w:rPr>
          <w:color w:val="131313"/>
          <w:spacing w:val="-32"/>
        </w:rPr>
        <w:t xml:space="preserve"> </w:t>
      </w:r>
      <w:r>
        <w:t>responsible</w:t>
      </w:r>
      <w:r>
        <w:rPr>
          <w:spacing w:val="-19"/>
        </w:rPr>
        <w:t xml:space="preserve"> </w:t>
      </w:r>
      <w:r>
        <w:rPr>
          <w:color w:val="0E0E0E"/>
        </w:rPr>
        <w:t>for</w:t>
      </w:r>
      <w:r>
        <w:rPr>
          <w:color w:val="0E0E0E"/>
          <w:spacing w:val="-29"/>
        </w:rPr>
        <w:t xml:space="preserve"> </w:t>
      </w:r>
      <w:r>
        <w:t>the</w:t>
      </w:r>
      <w:r>
        <w:rPr>
          <w:spacing w:val="-28"/>
        </w:rPr>
        <w:t xml:space="preserve"> </w:t>
      </w:r>
      <w:r>
        <w:rPr>
          <w:color w:val="131313"/>
        </w:rPr>
        <w:t>other</w:t>
      </w:r>
      <w:r>
        <w:rPr>
          <w:color w:val="131313"/>
          <w:spacing w:val="-29"/>
        </w:rPr>
        <w:t xml:space="preserve"> </w:t>
      </w:r>
      <w:r>
        <w:t>information.</w:t>
      </w:r>
      <w:r>
        <w:rPr>
          <w:spacing w:val="-17"/>
        </w:rPr>
        <w:t xml:space="preserve"> </w:t>
      </w:r>
      <w:r>
        <w:t>At</w:t>
      </w:r>
      <w:r>
        <w:rPr>
          <w:spacing w:val="-31"/>
        </w:rPr>
        <w:t xml:space="preserve"> </w:t>
      </w:r>
      <w:r>
        <w:rPr>
          <w:color w:val="0E0E0E"/>
        </w:rPr>
        <w:t>the</w:t>
      </w:r>
      <w:r>
        <w:rPr>
          <w:color w:val="0E0E0E"/>
          <w:spacing w:val="-28"/>
        </w:rPr>
        <w:t xml:space="preserve"> </w:t>
      </w:r>
      <w:r>
        <w:t>date</w:t>
      </w:r>
      <w:r>
        <w:rPr>
          <w:spacing w:val="-33"/>
        </w:rPr>
        <w:t xml:space="preserve"> </w:t>
      </w:r>
      <w:r>
        <w:t>of</w:t>
      </w:r>
      <w:r>
        <w:rPr>
          <w:spacing w:val="-30"/>
        </w:rPr>
        <w:t xml:space="preserve"> </w:t>
      </w:r>
      <w:r>
        <w:t>this Independent</w:t>
      </w:r>
      <w:r>
        <w:rPr>
          <w:spacing w:val="-16"/>
        </w:rPr>
        <w:t xml:space="preserve"> </w:t>
      </w:r>
      <w:r>
        <w:t>Auditor’s</w:t>
      </w:r>
      <w:r>
        <w:rPr>
          <w:spacing w:val="-21"/>
        </w:rPr>
        <w:t xml:space="preserve"> </w:t>
      </w:r>
      <w:r>
        <w:t>Report,</w:t>
      </w:r>
      <w:r>
        <w:rPr>
          <w:spacing w:val="-28"/>
        </w:rPr>
        <w:t xml:space="preserve"> </w:t>
      </w:r>
      <w:r>
        <w:t>the</w:t>
      </w:r>
      <w:r>
        <w:rPr>
          <w:spacing w:val="-28"/>
        </w:rPr>
        <w:t xml:space="preserve"> </w:t>
      </w:r>
      <w:r>
        <w:t>other</w:t>
      </w:r>
      <w:r>
        <w:rPr>
          <w:spacing w:val="-28"/>
        </w:rPr>
        <w:t xml:space="preserve"> </w:t>
      </w:r>
      <w:r>
        <w:rPr>
          <w:color w:val="0F0F0F"/>
        </w:rPr>
        <w:t>information</w:t>
      </w:r>
      <w:r>
        <w:rPr>
          <w:color w:val="0F0F0F"/>
          <w:spacing w:val="-23"/>
        </w:rPr>
        <w:t xml:space="preserve"> </w:t>
      </w:r>
      <w:r>
        <w:rPr>
          <w:color w:val="161616"/>
        </w:rPr>
        <w:t>I</w:t>
      </w:r>
      <w:r>
        <w:rPr>
          <w:color w:val="161616"/>
          <w:spacing w:val="-30"/>
        </w:rPr>
        <w:t xml:space="preserve"> </w:t>
      </w:r>
      <w:r>
        <w:rPr>
          <w:color w:val="0F0F0F"/>
        </w:rPr>
        <w:t>have</w:t>
      </w:r>
      <w:r>
        <w:rPr>
          <w:color w:val="0F0F0F"/>
          <w:spacing w:val="-31"/>
        </w:rPr>
        <w:t xml:space="preserve"> </w:t>
      </w:r>
      <w:r>
        <w:t>received</w:t>
      </w:r>
      <w:r>
        <w:rPr>
          <w:spacing w:val="-26"/>
        </w:rPr>
        <w:t xml:space="preserve"> </w:t>
      </w:r>
      <w:r>
        <w:t>comprises</w:t>
      </w:r>
      <w:r>
        <w:rPr>
          <w:spacing w:val="-19"/>
        </w:rPr>
        <w:t xml:space="preserve"> </w:t>
      </w:r>
      <w:r>
        <w:rPr>
          <w:color w:val="111111"/>
        </w:rPr>
        <w:t>the</w:t>
      </w:r>
      <w:r>
        <w:rPr>
          <w:color w:val="111111"/>
          <w:spacing w:val="-26"/>
        </w:rPr>
        <w:t xml:space="preserve"> </w:t>
      </w:r>
      <w:r>
        <w:rPr>
          <w:color w:val="111111"/>
        </w:rPr>
        <w:t>statement</w:t>
      </w:r>
      <w:r>
        <w:rPr>
          <w:color w:val="111111"/>
          <w:spacing w:val="-23"/>
        </w:rPr>
        <w:t xml:space="preserve"> </w:t>
      </w:r>
      <w:r>
        <w:rPr>
          <w:color w:val="0E0E0E"/>
        </w:rPr>
        <w:t xml:space="preserve">by </w:t>
      </w:r>
      <w:r>
        <w:rPr>
          <w:color w:val="111111"/>
        </w:rPr>
        <w:t>directors.</w:t>
      </w:r>
    </w:p>
    <w:p w14:paraId="33935DD9" w14:textId="77777777" w:rsidR="00FA4AA8" w:rsidRDefault="0015611F">
      <w:pPr>
        <w:spacing w:before="177" w:line="232" w:lineRule="auto"/>
        <w:ind w:left="694" w:right="797" w:hanging="4"/>
        <w:rPr>
          <w:sz w:val="21"/>
        </w:rPr>
      </w:pPr>
      <w:r>
        <w:rPr>
          <w:color w:val="161616"/>
          <w:sz w:val="21"/>
        </w:rPr>
        <w:t>My</w:t>
      </w:r>
      <w:r>
        <w:rPr>
          <w:color w:val="161616"/>
          <w:spacing w:val="-25"/>
          <w:sz w:val="21"/>
        </w:rPr>
        <w:t xml:space="preserve"> </w:t>
      </w:r>
      <w:r>
        <w:rPr>
          <w:color w:val="0F0F0F"/>
          <w:sz w:val="21"/>
        </w:rPr>
        <w:t>opinion</w:t>
      </w:r>
      <w:r>
        <w:rPr>
          <w:color w:val="0F0F0F"/>
          <w:spacing w:val="-26"/>
          <w:sz w:val="21"/>
        </w:rPr>
        <w:t xml:space="preserve"> </w:t>
      </w:r>
      <w:r>
        <w:rPr>
          <w:color w:val="161616"/>
          <w:sz w:val="21"/>
        </w:rPr>
        <w:t>on</w:t>
      </w:r>
      <w:r>
        <w:rPr>
          <w:color w:val="161616"/>
          <w:spacing w:val="-28"/>
          <w:sz w:val="21"/>
        </w:rPr>
        <w:t xml:space="preserve"> </w:t>
      </w:r>
      <w:r>
        <w:rPr>
          <w:sz w:val="21"/>
        </w:rPr>
        <w:t>the</w:t>
      </w:r>
      <w:r>
        <w:rPr>
          <w:spacing w:val="-31"/>
          <w:sz w:val="21"/>
        </w:rPr>
        <w:t xml:space="preserve"> </w:t>
      </w:r>
      <w:r>
        <w:rPr>
          <w:color w:val="0E0E0E"/>
          <w:sz w:val="21"/>
        </w:rPr>
        <w:t>financial</w:t>
      </w:r>
      <w:r>
        <w:rPr>
          <w:color w:val="0E0E0E"/>
          <w:spacing w:val="-26"/>
          <w:sz w:val="21"/>
        </w:rPr>
        <w:t xml:space="preserve"> </w:t>
      </w:r>
      <w:r>
        <w:rPr>
          <w:sz w:val="21"/>
        </w:rPr>
        <w:t>report</w:t>
      </w:r>
      <w:r>
        <w:rPr>
          <w:spacing w:val="-24"/>
          <w:sz w:val="21"/>
        </w:rPr>
        <w:t xml:space="preserve"> </w:t>
      </w:r>
      <w:r>
        <w:rPr>
          <w:sz w:val="21"/>
        </w:rPr>
        <w:t>does</w:t>
      </w:r>
      <w:r>
        <w:rPr>
          <w:spacing w:val="-30"/>
          <w:sz w:val="21"/>
        </w:rPr>
        <w:t xml:space="preserve"> </w:t>
      </w:r>
      <w:r>
        <w:rPr>
          <w:color w:val="0C0C0C"/>
          <w:sz w:val="21"/>
        </w:rPr>
        <w:t>not</w:t>
      </w:r>
      <w:r>
        <w:rPr>
          <w:color w:val="0C0C0C"/>
          <w:spacing w:val="-31"/>
          <w:sz w:val="21"/>
        </w:rPr>
        <w:t xml:space="preserve"> </w:t>
      </w:r>
      <w:r>
        <w:rPr>
          <w:sz w:val="21"/>
        </w:rPr>
        <w:t>cover</w:t>
      </w:r>
      <w:r>
        <w:rPr>
          <w:spacing w:val="-25"/>
          <w:sz w:val="21"/>
        </w:rPr>
        <w:t xml:space="preserve"> </w:t>
      </w:r>
      <w:r>
        <w:rPr>
          <w:sz w:val="21"/>
        </w:rPr>
        <w:t>the</w:t>
      </w:r>
      <w:r>
        <w:rPr>
          <w:spacing w:val="-31"/>
          <w:sz w:val="21"/>
        </w:rPr>
        <w:t xml:space="preserve"> </w:t>
      </w:r>
      <w:r>
        <w:rPr>
          <w:sz w:val="21"/>
        </w:rPr>
        <w:t>other</w:t>
      </w:r>
      <w:r>
        <w:rPr>
          <w:spacing w:val="-27"/>
          <w:sz w:val="21"/>
        </w:rPr>
        <w:t xml:space="preserve"> </w:t>
      </w:r>
      <w:r>
        <w:rPr>
          <w:sz w:val="21"/>
        </w:rPr>
        <w:t>information.</w:t>
      </w:r>
      <w:r>
        <w:rPr>
          <w:spacing w:val="-17"/>
          <w:sz w:val="21"/>
        </w:rPr>
        <w:t xml:space="preserve"> </w:t>
      </w:r>
      <w:r>
        <w:rPr>
          <w:sz w:val="21"/>
        </w:rPr>
        <w:t>Accordingly,</w:t>
      </w:r>
      <w:r>
        <w:rPr>
          <w:spacing w:val="-18"/>
          <w:sz w:val="21"/>
        </w:rPr>
        <w:t xml:space="preserve"> </w:t>
      </w:r>
      <w:r>
        <w:rPr>
          <w:color w:val="232323"/>
          <w:sz w:val="21"/>
        </w:rPr>
        <w:t>I</w:t>
      </w:r>
      <w:r>
        <w:rPr>
          <w:color w:val="232323"/>
          <w:spacing w:val="-31"/>
          <w:sz w:val="21"/>
        </w:rPr>
        <w:t xml:space="preserve"> </w:t>
      </w:r>
      <w:r>
        <w:rPr>
          <w:sz w:val="21"/>
        </w:rPr>
        <w:t>do</w:t>
      </w:r>
      <w:r>
        <w:rPr>
          <w:spacing w:val="-27"/>
          <w:sz w:val="21"/>
        </w:rPr>
        <w:t xml:space="preserve"> </w:t>
      </w:r>
      <w:r>
        <w:rPr>
          <w:sz w:val="21"/>
        </w:rPr>
        <w:t>not</w:t>
      </w:r>
      <w:r>
        <w:rPr>
          <w:spacing w:val="-33"/>
          <w:sz w:val="21"/>
        </w:rPr>
        <w:t xml:space="preserve"> </w:t>
      </w:r>
      <w:r>
        <w:rPr>
          <w:color w:val="0F0F0F"/>
          <w:sz w:val="21"/>
        </w:rPr>
        <w:t xml:space="preserve">express </w:t>
      </w:r>
      <w:r>
        <w:rPr>
          <w:sz w:val="21"/>
        </w:rPr>
        <w:t xml:space="preserve">any form of assurance conclusion </w:t>
      </w:r>
      <w:r>
        <w:rPr>
          <w:color w:val="1C1C1C"/>
          <w:sz w:val="21"/>
        </w:rPr>
        <w:t xml:space="preserve">on </w:t>
      </w:r>
      <w:r>
        <w:rPr>
          <w:sz w:val="21"/>
        </w:rPr>
        <w:t>the other</w:t>
      </w:r>
      <w:r>
        <w:rPr>
          <w:spacing w:val="13"/>
          <w:sz w:val="21"/>
        </w:rPr>
        <w:t xml:space="preserve"> </w:t>
      </w:r>
      <w:r>
        <w:rPr>
          <w:sz w:val="21"/>
        </w:rPr>
        <w:t>information.</w:t>
      </w:r>
    </w:p>
    <w:p w14:paraId="3784164A" w14:textId="77777777" w:rsidR="00FA4AA8" w:rsidRDefault="0015611F">
      <w:pPr>
        <w:spacing w:before="173"/>
        <w:ind w:left="692" w:right="1057" w:hanging="6"/>
        <w:jc w:val="both"/>
        <w:rPr>
          <w:sz w:val="21"/>
        </w:rPr>
      </w:pPr>
      <w:r>
        <w:rPr>
          <w:color w:val="1C1C1C"/>
          <w:sz w:val="21"/>
        </w:rPr>
        <w:t>In</w:t>
      </w:r>
      <w:r>
        <w:rPr>
          <w:color w:val="1C1C1C"/>
          <w:spacing w:val="-30"/>
          <w:sz w:val="21"/>
        </w:rPr>
        <w:t xml:space="preserve"> </w:t>
      </w:r>
      <w:r>
        <w:rPr>
          <w:sz w:val="21"/>
        </w:rPr>
        <w:t>connection</w:t>
      </w:r>
      <w:r>
        <w:rPr>
          <w:spacing w:val="-20"/>
          <w:sz w:val="21"/>
        </w:rPr>
        <w:t xml:space="preserve"> </w:t>
      </w:r>
      <w:r>
        <w:rPr>
          <w:sz w:val="21"/>
        </w:rPr>
        <w:t>with</w:t>
      </w:r>
      <w:r>
        <w:rPr>
          <w:spacing w:val="-29"/>
          <w:sz w:val="21"/>
        </w:rPr>
        <w:t xml:space="preserve"> </w:t>
      </w:r>
      <w:r>
        <w:rPr>
          <w:color w:val="131313"/>
          <w:sz w:val="21"/>
        </w:rPr>
        <w:t>my</w:t>
      </w:r>
      <w:r>
        <w:rPr>
          <w:color w:val="131313"/>
          <w:spacing w:val="-28"/>
          <w:sz w:val="21"/>
        </w:rPr>
        <w:t xml:space="preserve"> </w:t>
      </w:r>
      <w:r>
        <w:rPr>
          <w:color w:val="131313"/>
          <w:sz w:val="21"/>
        </w:rPr>
        <w:t>audit</w:t>
      </w:r>
      <w:r>
        <w:rPr>
          <w:color w:val="131313"/>
          <w:spacing w:val="-29"/>
          <w:sz w:val="21"/>
        </w:rPr>
        <w:t xml:space="preserve"> </w:t>
      </w:r>
      <w:r>
        <w:rPr>
          <w:color w:val="181818"/>
          <w:sz w:val="21"/>
        </w:rPr>
        <w:t>of</w:t>
      </w:r>
      <w:r>
        <w:rPr>
          <w:color w:val="181818"/>
          <w:spacing w:val="-29"/>
          <w:sz w:val="21"/>
        </w:rPr>
        <w:t xml:space="preserve"> </w:t>
      </w:r>
      <w:r>
        <w:rPr>
          <w:sz w:val="21"/>
        </w:rPr>
        <w:t>the</w:t>
      </w:r>
      <w:r>
        <w:rPr>
          <w:spacing w:val="-24"/>
          <w:sz w:val="21"/>
        </w:rPr>
        <w:t xml:space="preserve"> </w:t>
      </w:r>
      <w:r>
        <w:rPr>
          <w:sz w:val="21"/>
        </w:rPr>
        <w:t>financial</w:t>
      </w:r>
      <w:r>
        <w:rPr>
          <w:spacing w:val="-24"/>
          <w:sz w:val="21"/>
        </w:rPr>
        <w:t xml:space="preserve"> </w:t>
      </w:r>
      <w:r>
        <w:rPr>
          <w:color w:val="111111"/>
          <w:sz w:val="21"/>
        </w:rPr>
        <w:t>report,</w:t>
      </w:r>
      <w:r>
        <w:rPr>
          <w:color w:val="111111"/>
          <w:spacing w:val="-24"/>
          <w:sz w:val="21"/>
        </w:rPr>
        <w:t xml:space="preserve"> </w:t>
      </w:r>
      <w:r>
        <w:rPr>
          <w:sz w:val="21"/>
        </w:rPr>
        <w:t>my</w:t>
      </w:r>
      <w:r>
        <w:rPr>
          <w:spacing w:val="-26"/>
          <w:sz w:val="21"/>
        </w:rPr>
        <w:t xml:space="preserve"> </w:t>
      </w:r>
      <w:r>
        <w:rPr>
          <w:sz w:val="21"/>
        </w:rPr>
        <w:t>responsibility</w:t>
      </w:r>
      <w:r>
        <w:rPr>
          <w:spacing w:val="-27"/>
          <w:sz w:val="21"/>
        </w:rPr>
        <w:t xml:space="preserve"> </w:t>
      </w:r>
      <w:r>
        <w:rPr>
          <w:sz w:val="21"/>
        </w:rPr>
        <w:t>is</w:t>
      </w:r>
      <w:r>
        <w:rPr>
          <w:spacing w:val="-26"/>
          <w:sz w:val="21"/>
        </w:rPr>
        <w:t xml:space="preserve"> </w:t>
      </w:r>
      <w:r>
        <w:rPr>
          <w:color w:val="232323"/>
          <w:sz w:val="21"/>
        </w:rPr>
        <w:t>to</w:t>
      </w:r>
      <w:r>
        <w:rPr>
          <w:color w:val="232323"/>
          <w:spacing w:val="-30"/>
          <w:sz w:val="21"/>
        </w:rPr>
        <w:t xml:space="preserve"> </w:t>
      </w:r>
      <w:r>
        <w:rPr>
          <w:sz w:val="21"/>
        </w:rPr>
        <w:t>read</w:t>
      </w:r>
      <w:r>
        <w:rPr>
          <w:spacing w:val="-27"/>
          <w:sz w:val="21"/>
        </w:rPr>
        <w:t xml:space="preserve"> </w:t>
      </w:r>
      <w:r>
        <w:rPr>
          <w:sz w:val="21"/>
        </w:rPr>
        <w:t>the</w:t>
      </w:r>
      <w:r>
        <w:rPr>
          <w:spacing w:val="-32"/>
          <w:sz w:val="21"/>
        </w:rPr>
        <w:t xml:space="preserve"> </w:t>
      </w:r>
      <w:r>
        <w:rPr>
          <w:sz w:val="21"/>
        </w:rPr>
        <w:t>other</w:t>
      </w:r>
      <w:r>
        <w:rPr>
          <w:spacing w:val="-22"/>
          <w:sz w:val="21"/>
        </w:rPr>
        <w:t xml:space="preserve"> </w:t>
      </w:r>
      <w:r>
        <w:rPr>
          <w:sz w:val="21"/>
        </w:rPr>
        <w:t>information and,</w:t>
      </w:r>
      <w:r>
        <w:rPr>
          <w:spacing w:val="-31"/>
          <w:sz w:val="21"/>
        </w:rPr>
        <w:t xml:space="preserve"> </w:t>
      </w:r>
      <w:r>
        <w:rPr>
          <w:color w:val="161616"/>
          <w:sz w:val="21"/>
        </w:rPr>
        <w:t>in</w:t>
      </w:r>
      <w:r>
        <w:rPr>
          <w:color w:val="161616"/>
          <w:spacing w:val="-34"/>
          <w:sz w:val="21"/>
        </w:rPr>
        <w:t xml:space="preserve"> </w:t>
      </w:r>
      <w:r>
        <w:rPr>
          <w:color w:val="161616"/>
          <w:sz w:val="21"/>
        </w:rPr>
        <w:t>doing</w:t>
      </w:r>
      <w:r>
        <w:rPr>
          <w:color w:val="161616"/>
          <w:spacing w:val="-30"/>
          <w:sz w:val="21"/>
        </w:rPr>
        <w:t xml:space="preserve"> </w:t>
      </w:r>
      <w:r>
        <w:rPr>
          <w:sz w:val="21"/>
        </w:rPr>
        <w:t>so,</w:t>
      </w:r>
      <w:r>
        <w:rPr>
          <w:spacing w:val="-34"/>
          <w:sz w:val="21"/>
        </w:rPr>
        <w:t xml:space="preserve"> </w:t>
      </w:r>
      <w:r>
        <w:rPr>
          <w:sz w:val="21"/>
        </w:rPr>
        <w:t>consider</w:t>
      </w:r>
      <w:r>
        <w:rPr>
          <w:spacing w:val="-28"/>
          <w:sz w:val="21"/>
        </w:rPr>
        <w:t xml:space="preserve"> </w:t>
      </w:r>
      <w:r>
        <w:rPr>
          <w:sz w:val="21"/>
        </w:rPr>
        <w:t>whether</w:t>
      </w:r>
      <w:r>
        <w:rPr>
          <w:spacing w:val="-34"/>
          <w:sz w:val="21"/>
        </w:rPr>
        <w:t xml:space="preserve"> </w:t>
      </w:r>
      <w:r>
        <w:rPr>
          <w:sz w:val="21"/>
        </w:rPr>
        <w:t>the</w:t>
      </w:r>
      <w:r>
        <w:rPr>
          <w:spacing w:val="-33"/>
          <w:sz w:val="21"/>
        </w:rPr>
        <w:t xml:space="preserve"> </w:t>
      </w:r>
      <w:r>
        <w:rPr>
          <w:color w:val="0F0F0F"/>
          <w:sz w:val="21"/>
        </w:rPr>
        <w:t>other</w:t>
      </w:r>
      <w:r>
        <w:rPr>
          <w:color w:val="0F0F0F"/>
          <w:spacing w:val="-31"/>
          <w:sz w:val="21"/>
        </w:rPr>
        <w:t xml:space="preserve"> </w:t>
      </w:r>
      <w:r>
        <w:rPr>
          <w:color w:val="131313"/>
          <w:sz w:val="21"/>
        </w:rPr>
        <w:t>information</w:t>
      </w:r>
      <w:r>
        <w:rPr>
          <w:color w:val="131313"/>
          <w:spacing w:val="-29"/>
          <w:sz w:val="21"/>
        </w:rPr>
        <w:t xml:space="preserve"> </w:t>
      </w:r>
      <w:r>
        <w:rPr>
          <w:color w:val="1C1C1C"/>
          <w:sz w:val="21"/>
        </w:rPr>
        <w:t>is</w:t>
      </w:r>
      <w:r>
        <w:rPr>
          <w:color w:val="1C1C1C"/>
          <w:spacing w:val="-37"/>
          <w:sz w:val="21"/>
        </w:rPr>
        <w:t xml:space="preserve"> </w:t>
      </w:r>
      <w:r>
        <w:rPr>
          <w:sz w:val="21"/>
        </w:rPr>
        <w:t>materially</w:t>
      </w:r>
      <w:r>
        <w:rPr>
          <w:spacing w:val="-24"/>
          <w:sz w:val="21"/>
        </w:rPr>
        <w:t xml:space="preserve"> </w:t>
      </w:r>
      <w:r>
        <w:rPr>
          <w:sz w:val="21"/>
        </w:rPr>
        <w:t>inconsistent</w:t>
      </w:r>
      <w:r>
        <w:rPr>
          <w:spacing w:val="-25"/>
          <w:sz w:val="21"/>
        </w:rPr>
        <w:t xml:space="preserve"> </w:t>
      </w:r>
      <w:r>
        <w:rPr>
          <w:color w:val="151515"/>
          <w:sz w:val="21"/>
        </w:rPr>
        <w:t>with</w:t>
      </w:r>
      <w:r>
        <w:rPr>
          <w:color w:val="151515"/>
          <w:spacing w:val="-33"/>
          <w:sz w:val="21"/>
        </w:rPr>
        <w:t xml:space="preserve"> </w:t>
      </w:r>
      <w:r>
        <w:rPr>
          <w:sz w:val="21"/>
        </w:rPr>
        <w:t>the</w:t>
      </w:r>
      <w:r>
        <w:rPr>
          <w:spacing w:val="-31"/>
          <w:sz w:val="21"/>
        </w:rPr>
        <w:t xml:space="preserve"> </w:t>
      </w:r>
      <w:r>
        <w:rPr>
          <w:sz w:val="21"/>
        </w:rPr>
        <w:t>financial report</w:t>
      </w:r>
      <w:r>
        <w:rPr>
          <w:spacing w:val="-17"/>
          <w:sz w:val="21"/>
        </w:rPr>
        <w:t xml:space="preserve"> </w:t>
      </w:r>
      <w:r>
        <w:rPr>
          <w:color w:val="0C0C0C"/>
          <w:sz w:val="21"/>
        </w:rPr>
        <w:t>or</w:t>
      </w:r>
      <w:r>
        <w:rPr>
          <w:color w:val="0C0C0C"/>
          <w:spacing w:val="-25"/>
          <w:sz w:val="21"/>
        </w:rPr>
        <w:t xml:space="preserve"> </w:t>
      </w:r>
      <w:r>
        <w:rPr>
          <w:color w:val="2A2A2A"/>
          <w:sz w:val="21"/>
        </w:rPr>
        <w:t>my</w:t>
      </w:r>
      <w:r>
        <w:rPr>
          <w:color w:val="2A2A2A"/>
          <w:spacing w:val="-20"/>
          <w:sz w:val="21"/>
        </w:rPr>
        <w:t xml:space="preserve"> </w:t>
      </w:r>
      <w:r>
        <w:rPr>
          <w:color w:val="0C0C0C"/>
          <w:sz w:val="21"/>
        </w:rPr>
        <w:t>knowledge</w:t>
      </w:r>
      <w:r>
        <w:rPr>
          <w:color w:val="0C0C0C"/>
          <w:spacing w:val="-15"/>
          <w:sz w:val="21"/>
        </w:rPr>
        <w:t xml:space="preserve"> </w:t>
      </w:r>
      <w:r>
        <w:rPr>
          <w:color w:val="0E0E0E"/>
          <w:sz w:val="21"/>
        </w:rPr>
        <w:t>obtained</w:t>
      </w:r>
      <w:r>
        <w:rPr>
          <w:color w:val="0E0E0E"/>
          <w:spacing w:val="-15"/>
          <w:sz w:val="21"/>
        </w:rPr>
        <w:t xml:space="preserve"> </w:t>
      </w:r>
      <w:r>
        <w:rPr>
          <w:sz w:val="21"/>
        </w:rPr>
        <w:t>in</w:t>
      </w:r>
      <w:r>
        <w:rPr>
          <w:spacing w:val="-22"/>
          <w:sz w:val="21"/>
        </w:rPr>
        <w:t xml:space="preserve"> </w:t>
      </w:r>
      <w:r>
        <w:rPr>
          <w:color w:val="1A1A1A"/>
          <w:sz w:val="21"/>
        </w:rPr>
        <w:t>the</w:t>
      </w:r>
      <w:r>
        <w:rPr>
          <w:color w:val="1A1A1A"/>
          <w:spacing w:val="-27"/>
          <w:sz w:val="21"/>
        </w:rPr>
        <w:t xml:space="preserve"> </w:t>
      </w:r>
      <w:r>
        <w:rPr>
          <w:color w:val="111111"/>
          <w:sz w:val="21"/>
        </w:rPr>
        <w:t>audit,</w:t>
      </w:r>
      <w:r>
        <w:rPr>
          <w:color w:val="111111"/>
          <w:spacing w:val="-21"/>
          <w:sz w:val="21"/>
        </w:rPr>
        <w:t xml:space="preserve"> </w:t>
      </w:r>
      <w:r>
        <w:rPr>
          <w:color w:val="0E0E0E"/>
          <w:sz w:val="21"/>
        </w:rPr>
        <w:t>or</w:t>
      </w:r>
      <w:r>
        <w:rPr>
          <w:color w:val="0E0E0E"/>
          <w:spacing w:val="-18"/>
          <w:sz w:val="21"/>
        </w:rPr>
        <w:t xml:space="preserve"> </w:t>
      </w:r>
      <w:r>
        <w:rPr>
          <w:sz w:val="21"/>
        </w:rPr>
        <w:t>otherwise</w:t>
      </w:r>
      <w:r>
        <w:rPr>
          <w:spacing w:val="-20"/>
          <w:sz w:val="21"/>
        </w:rPr>
        <w:t xml:space="preserve"> </w:t>
      </w:r>
      <w:r>
        <w:rPr>
          <w:color w:val="151515"/>
          <w:sz w:val="21"/>
        </w:rPr>
        <w:t>appears</w:t>
      </w:r>
      <w:r>
        <w:rPr>
          <w:color w:val="151515"/>
          <w:spacing w:val="-15"/>
          <w:sz w:val="21"/>
        </w:rPr>
        <w:t xml:space="preserve"> </w:t>
      </w:r>
      <w:r>
        <w:rPr>
          <w:color w:val="1A1A1A"/>
          <w:sz w:val="21"/>
        </w:rPr>
        <w:t>to</w:t>
      </w:r>
      <w:r>
        <w:rPr>
          <w:color w:val="1A1A1A"/>
          <w:spacing w:val="-25"/>
          <w:sz w:val="21"/>
        </w:rPr>
        <w:t xml:space="preserve"> </w:t>
      </w:r>
      <w:r>
        <w:rPr>
          <w:color w:val="282828"/>
          <w:sz w:val="21"/>
        </w:rPr>
        <w:t>be</w:t>
      </w:r>
      <w:r>
        <w:rPr>
          <w:color w:val="282828"/>
          <w:spacing w:val="-22"/>
          <w:sz w:val="21"/>
        </w:rPr>
        <w:t xml:space="preserve"> </w:t>
      </w:r>
      <w:r>
        <w:rPr>
          <w:color w:val="111111"/>
          <w:sz w:val="21"/>
        </w:rPr>
        <w:t>materially</w:t>
      </w:r>
      <w:r>
        <w:rPr>
          <w:color w:val="111111"/>
          <w:spacing w:val="-14"/>
          <w:sz w:val="21"/>
        </w:rPr>
        <w:t xml:space="preserve"> </w:t>
      </w:r>
      <w:r>
        <w:rPr>
          <w:sz w:val="21"/>
        </w:rPr>
        <w:t>misstated.</w:t>
      </w:r>
    </w:p>
    <w:p w14:paraId="6157E128" w14:textId="77777777" w:rsidR="00FA4AA8" w:rsidRDefault="0015611F">
      <w:pPr>
        <w:spacing w:before="175" w:line="232" w:lineRule="auto"/>
        <w:ind w:left="687" w:right="797" w:hanging="1"/>
        <w:rPr>
          <w:sz w:val="21"/>
        </w:rPr>
      </w:pPr>
      <w:r>
        <w:rPr>
          <w:color w:val="1D1D1D"/>
          <w:sz w:val="21"/>
        </w:rPr>
        <w:t>If,</w:t>
      </w:r>
      <w:r>
        <w:rPr>
          <w:color w:val="1D1D1D"/>
          <w:spacing w:val="-23"/>
          <w:sz w:val="21"/>
        </w:rPr>
        <w:t xml:space="preserve"> </w:t>
      </w:r>
      <w:r>
        <w:rPr>
          <w:sz w:val="21"/>
        </w:rPr>
        <w:t>based</w:t>
      </w:r>
      <w:r>
        <w:rPr>
          <w:spacing w:val="-25"/>
          <w:sz w:val="21"/>
        </w:rPr>
        <w:t xml:space="preserve"> </w:t>
      </w:r>
      <w:r>
        <w:rPr>
          <w:color w:val="212121"/>
          <w:sz w:val="21"/>
        </w:rPr>
        <w:t>on</w:t>
      </w:r>
      <w:r>
        <w:rPr>
          <w:color w:val="212121"/>
          <w:spacing w:val="-27"/>
          <w:sz w:val="21"/>
        </w:rPr>
        <w:t xml:space="preserve"> </w:t>
      </w:r>
      <w:r>
        <w:rPr>
          <w:sz w:val="21"/>
        </w:rPr>
        <w:t>the</w:t>
      </w:r>
      <w:r>
        <w:rPr>
          <w:spacing w:val="-28"/>
          <w:sz w:val="21"/>
        </w:rPr>
        <w:t xml:space="preserve"> </w:t>
      </w:r>
      <w:r>
        <w:rPr>
          <w:color w:val="1A1A1A"/>
          <w:sz w:val="21"/>
        </w:rPr>
        <w:t>work</w:t>
      </w:r>
      <w:r>
        <w:rPr>
          <w:color w:val="1A1A1A"/>
          <w:spacing w:val="-24"/>
          <w:sz w:val="21"/>
        </w:rPr>
        <w:t xml:space="preserve"> </w:t>
      </w:r>
      <w:r>
        <w:rPr>
          <w:color w:val="2B2B2B"/>
          <w:sz w:val="21"/>
        </w:rPr>
        <w:t>I</w:t>
      </w:r>
      <w:r>
        <w:rPr>
          <w:color w:val="2B2B2B"/>
          <w:spacing w:val="-26"/>
          <w:sz w:val="21"/>
        </w:rPr>
        <w:t xml:space="preserve"> </w:t>
      </w:r>
      <w:r>
        <w:rPr>
          <w:color w:val="181818"/>
          <w:sz w:val="21"/>
        </w:rPr>
        <w:t>have</w:t>
      </w:r>
      <w:r>
        <w:rPr>
          <w:color w:val="181818"/>
          <w:spacing w:val="-28"/>
          <w:sz w:val="21"/>
        </w:rPr>
        <w:t xml:space="preserve"> </w:t>
      </w:r>
      <w:r>
        <w:rPr>
          <w:sz w:val="21"/>
        </w:rPr>
        <w:t>performed,</w:t>
      </w:r>
      <w:r>
        <w:rPr>
          <w:spacing w:val="-18"/>
          <w:sz w:val="21"/>
        </w:rPr>
        <w:t xml:space="preserve"> </w:t>
      </w:r>
      <w:r>
        <w:rPr>
          <w:color w:val="282828"/>
          <w:sz w:val="21"/>
        </w:rPr>
        <w:t>I</w:t>
      </w:r>
      <w:r>
        <w:rPr>
          <w:color w:val="282828"/>
          <w:spacing w:val="-29"/>
          <w:sz w:val="21"/>
        </w:rPr>
        <w:t xml:space="preserve"> </w:t>
      </w:r>
      <w:r>
        <w:rPr>
          <w:color w:val="111111"/>
          <w:sz w:val="21"/>
        </w:rPr>
        <w:t>conclude</w:t>
      </w:r>
      <w:r>
        <w:rPr>
          <w:color w:val="111111"/>
          <w:spacing w:val="-20"/>
          <w:sz w:val="21"/>
        </w:rPr>
        <w:t xml:space="preserve"> </w:t>
      </w:r>
      <w:r>
        <w:rPr>
          <w:color w:val="111111"/>
          <w:sz w:val="21"/>
        </w:rPr>
        <w:t>there</w:t>
      </w:r>
      <w:r>
        <w:rPr>
          <w:color w:val="111111"/>
          <w:spacing w:val="-23"/>
          <w:sz w:val="21"/>
        </w:rPr>
        <w:t xml:space="preserve"> </w:t>
      </w:r>
      <w:r>
        <w:rPr>
          <w:color w:val="131313"/>
          <w:sz w:val="21"/>
        </w:rPr>
        <w:t>is</w:t>
      </w:r>
      <w:r>
        <w:rPr>
          <w:color w:val="131313"/>
          <w:spacing w:val="-26"/>
          <w:sz w:val="21"/>
        </w:rPr>
        <w:t xml:space="preserve"> </w:t>
      </w:r>
      <w:r>
        <w:rPr>
          <w:color w:val="262626"/>
          <w:sz w:val="21"/>
        </w:rPr>
        <w:t>a</w:t>
      </w:r>
      <w:r>
        <w:rPr>
          <w:color w:val="262626"/>
          <w:spacing w:val="-32"/>
          <w:sz w:val="21"/>
        </w:rPr>
        <w:t xml:space="preserve"> </w:t>
      </w:r>
      <w:r>
        <w:rPr>
          <w:sz w:val="21"/>
        </w:rPr>
        <w:t>material</w:t>
      </w:r>
      <w:r>
        <w:rPr>
          <w:spacing w:val="-23"/>
          <w:sz w:val="21"/>
        </w:rPr>
        <w:t xml:space="preserve"> </w:t>
      </w:r>
      <w:r>
        <w:rPr>
          <w:sz w:val="21"/>
        </w:rPr>
        <w:t>misstatement</w:t>
      </w:r>
      <w:r>
        <w:rPr>
          <w:spacing w:val="-19"/>
          <w:sz w:val="21"/>
        </w:rPr>
        <w:t xml:space="preserve"> </w:t>
      </w:r>
      <w:r>
        <w:rPr>
          <w:color w:val="1F1F1F"/>
          <w:sz w:val="21"/>
        </w:rPr>
        <w:t>of</w:t>
      </w:r>
      <w:r>
        <w:rPr>
          <w:color w:val="1F1F1F"/>
          <w:spacing w:val="-25"/>
          <w:sz w:val="21"/>
        </w:rPr>
        <w:t xml:space="preserve"> </w:t>
      </w:r>
      <w:r>
        <w:rPr>
          <w:color w:val="0F0F0F"/>
          <w:sz w:val="21"/>
        </w:rPr>
        <w:t>the</w:t>
      </w:r>
      <w:r>
        <w:rPr>
          <w:color w:val="0F0F0F"/>
          <w:spacing w:val="-25"/>
          <w:sz w:val="21"/>
        </w:rPr>
        <w:t xml:space="preserve"> </w:t>
      </w:r>
      <w:r>
        <w:rPr>
          <w:color w:val="161616"/>
          <w:sz w:val="21"/>
        </w:rPr>
        <w:t xml:space="preserve">other </w:t>
      </w:r>
      <w:r>
        <w:rPr>
          <w:sz w:val="21"/>
        </w:rPr>
        <w:t xml:space="preserve">information, </w:t>
      </w:r>
      <w:r>
        <w:rPr>
          <w:color w:val="151515"/>
          <w:sz w:val="21"/>
        </w:rPr>
        <w:t xml:space="preserve">I </w:t>
      </w:r>
      <w:r>
        <w:rPr>
          <w:sz w:val="21"/>
        </w:rPr>
        <w:t xml:space="preserve">must report </w:t>
      </w:r>
      <w:r>
        <w:rPr>
          <w:color w:val="0E0E0E"/>
          <w:sz w:val="21"/>
        </w:rPr>
        <w:t>that</w:t>
      </w:r>
      <w:r>
        <w:rPr>
          <w:color w:val="0E0E0E"/>
          <w:spacing w:val="-39"/>
          <w:sz w:val="21"/>
        </w:rPr>
        <w:t xml:space="preserve"> </w:t>
      </w:r>
      <w:r>
        <w:rPr>
          <w:sz w:val="21"/>
        </w:rPr>
        <w:t>fact.</w:t>
      </w:r>
    </w:p>
    <w:p w14:paraId="0365B84A" w14:textId="77777777" w:rsidR="00FA4AA8" w:rsidRDefault="0015611F">
      <w:pPr>
        <w:spacing w:before="173"/>
        <w:ind w:left="686"/>
        <w:jc w:val="both"/>
        <w:rPr>
          <w:sz w:val="21"/>
        </w:rPr>
      </w:pPr>
      <w:r>
        <w:rPr>
          <w:color w:val="383838"/>
          <w:sz w:val="21"/>
        </w:rPr>
        <w:t xml:space="preserve">I </w:t>
      </w:r>
      <w:r>
        <w:rPr>
          <w:sz w:val="21"/>
        </w:rPr>
        <w:t xml:space="preserve">have nothing </w:t>
      </w:r>
      <w:r>
        <w:rPr>
          <w:color w:val="1C1C1C"/>
          <w:sz w:val="21"/>
        </w:rPr>
        <w:t xml:space="preserve">to </w:t>
      </w:r>
      <w:r>
        <w:rPr>
          <w:color w:val="1F1F1F"/>
          <w:sz w:val="21"/>
        </w:rPr>
        <w:t xml:space="preserve">report </w:t>
      </w:r>
      <w:r>
        <w:rPr>
          <w:color w:val="0F0F0F"/>
          <w:sz w:val="21"/>
        </w:rPr>
        <w:t xml:space="preserve">in this </w:t>
      </w:r>
      <w:r>
        <w:rPr>
          <w:sz w:val="21"/>
        </w:rPr>
        <w:t>regard.</w:t>
      </w:r>
    </w:p>
    <w:p w14:paraId="705BB2EA" w14:textId="77777777" w:rsidR="00FA4AA8" w:rsidRDefault="0015611F">
      <w:pPr>
        <w:spacing w:before="177"/>
        <w:ind w:left="684"/>
        <w:rPr>
          <w:b/>
          <w:sz w:val="24"/>
        </w:rPr>
      </w:pPr>
      <w:r>
        <w:rPr>
          <w:b/>
          <w:sz w:val="24"/>
        </w:rPr>
        <w:t xml:space="preserve">Directors’ </w:t>
      </w:r>
      <w:r>
        <w:rPr>
          <w:b/>
          <w:color w:val="0F0F0F"/>
          <w:sz w:val="24"/>
        </w:rPr>
        <w:t xml:space="preserve">Responsibilities </w:t>
      </w:r>
      <w:r>
        <w:rPr>
          <w:b/>
          <w:color w:val="2D2D2D"/>
          <w:sz w:val="24"/>
        </w:rPr>
        <w:t xml:space="preserve">for </w:t>
      </w:r>
      <w:r>
        <w:rPr>
          <w:b/>
          <w:color w:val="161616"/>
          <w:sz w:val="24"/>
        </w:rPr>
        <w:t xml:space="preserve">the </w:t>
      </w:r>
      <w:r>
        <w:rPr>
          <w:b/>
          <w:color w:val="1A1A1A"/>
          <w:sz w:val="24"/>
        </w:rPr>
        <w:t xml:space="preserve">Financial </w:t>
      </w:r>
      <w:r>
        <w:rPr>
          <w:b/>
          <w:color w:val="212121"/>
          <w:sz w:val="24"/>
        </w:rPr>
        <w:t>Report</w:t>
      </w:r>
    </w:p>
    <w:p w14:paraId="08EBB884" w14:textId="77777777" w:rsidR="00FA4AA8" w:rsidRDefault="0015611F">
      <w:pPr>
        <w:spacing w:before="112"/>
        <w:ind w:left="678" w:right="426" w:firstLine="4"/>
        <w:rPr>
          <w:sz w:val="21"/>
        </w:rPr>
      </w:pPr>
      <w:r>
        <w:rPr>
          <w:color w:val="232323"/>
          <w:sz w:val="21"/>
        </w:rPr>
        <w:t>The</w:t>
      </w:r>
      <w:r>
        <w:rPr>
          <w:color w:val="232323"/>
          <w:spacing w:val="-32"/>
          <w:sz w:val="21"/>
        </w:rPr>
        <w:t xml:space="preserve"> </w:t>
      </w:r>
      <w:r>
        <w:rPr>
          <w:color w:val="111111"/>
          <w:sz w:val="21"/>
        </w:rPr>
        <w:t>directors</w:t>
      </w:r>
      <w:r>
        <w:rPr>
          <w:color w:val="111111"/>
          <w:spacing w:val="-28"/>
          <w:sz w:val="21"/>
        </w:rPr>
        <w:t xml:space="preserve"> </w:t>
      </w:r>
      <w:r>
        <w:rPr>
          <w:color w:val="282828"/>
          <w:sz w:val="21"/>
        </w:rPr>
        <w:t>of</w:t>
      </w:r>
      <w:r>
        <w:rPr>
          <w:color w:val="282828"/>
          <w:spacing w:val="-30"/>
          <w:sz w:val="21"/>
        </w:rPr>
        <w:t xml:space="preserve"> </w:t>
      </w:r>
      <w:r>
        <w:rPr>
          <w:color w:val="2A2A2A"/>
          <w:sz w:val="21"/>
        </w:rPr>
        <w:t>the</w:t>
      </w:r>
      <w:r>
        <w:rPr>
          <w:color w:val="2A2A2A"/>
          <w:spacing w:val="-31"/>
          <w:sz w:val="21"/>
        </w:rPr>
        <w:t xml:space="preserve"> </w:t>
      </w:r>
      <w:r>
        <w:rPr>
          <w:color w:val="0F0F0F"/>
          <w:sz w:val="21"/>
        </w:rPr>
        <w:t>Company</w:t>
      </w:r>
      <w:r>
        <w:rPr>
          <w:color w:val="0F0F0F"/>
          <w:spacing w:val="-20"/>
          <w:sz w:val="21"/>
        </w:rPr>
        <w:t xml:space="preserve"> </w:t>
      </w:r>
      <w:r>
        <w:rPr>
          <w:color w:val="232323"/>
          <w:sz w:val="21"/>
        </w:rPr>
        <w:t>are</w:t>
      </w:r>
      <w:r>
        <w:rPr>
          <w:color w:val="232323"/>
          <w:spacing w:val="-31"/>
          <w:sz w:val="21"/>
        </w:rPr>
        <w:t xml:space="preserve"> </w:t>
      </w:r>
      <w:r>
        <w:rPr>
          <w:color w:val="0C0C0C"/>
          <w:sz w:val="21"/>
        </w:rPr>
        <w:t>responsible</w:t>
      </w:r>
      <w:r>
        <w:rPr>
          <w:color w:val="0C0C0C"/>
          <w:spacing w:val="-23"/>
          <w:sz w:val="21"/>
        </w:rPr>
        <w:t xml:space="preserve"> </w:t>
      </w:r>
      <w:r>
        <w:rPr>
          <w:sz w:val="21"/>
        </w:rPr>
        <w:t>for</w:t>
      </w:r>
      <w:r>
        <w:rPr>
          <w:spacing w:val="-33"/>
          <w:sz w:val="21"/>
        </w:rPr>
        <w:t xml:space="preserve"> </w:t>
      </w:r>
      <w:r>
        <w:rPr>
          <w:color w:val="111111"/>
          <w:sz w:val="21"/>
        </w:rPr>
        <w:t>the</w:t>
      </w:r>
      <w:r>
        <w:rPr>
          <w:color w:val="111111"/>
          <w:spacing w:val="-30"/>
          <w:sz w:val="21"/>
        </w:rPr>
        <w:t xml:space="preserve"> </w:t>
      </w:r>
      <w:r>
        <w:rPr>
          <w:color w:val="111111"/>
          <w:sz w:val="21"/>
        </w:rPr>
        <w:t>preparation</w:t>
      </w:r>
      <w:r>
        <w:rPr>
          <w:color w:val="111111"/>
          <w:spacing w:val="-25"/>
          <w:sz w:val="21"/>
        </w:rPr>
        <w:t xml:space="preserve"> </w:t>
      </w:r>
      <w:r>
        <w:rPr>
          <w:color w:val="181818"/>
          <w:sz w:val="21"/>
        </w:rPr>
        <w:t>and</w:t>
      </w:r>
      <w:r>
        <w:rPr>
          <w:color w:val="181818"/>
          <w:spacing w:val="-29"/>
          <w:sz w:val="21"/>
        </w:rPr>
        <w:t xml:space="preserve"> </w:t>
      </w:r>
      <w:r>
        <w:rPr>
          <w:color w:val="2D2D2D"/>
          <w:sz w:val="21"/>
        </w:rPr>
        <w:t>fair</w:t>
      </w:r>
      <w:r>
        <w:rPr>
          <w:color w:val="2D2D2D"/>
          <w:spacing w:val="-28"/>
          <w:sz w:val="21"/>
        </w:rPr>
        <w:t xml:space="preserve"> </w:t>
      </w:r>
      <w:r>
        <w:rPr>
          <w:sz w:val="21"/>
        </w:rPr>
        <w:t>presentation</w:t>
      </w:r>
      <w:r>
        <w:rPr>
          <w:spacing w:val="-20"/>
          <w:sz w:val="21"/>
        </w:rPr>
        <w:t xml:space="preserve"> </w:t>
      </w:r>
      <w:r>
        <w:rPr>
          <w:color w:val="0F0F0F"/>
          <w:sz w:val="21"/>
        </w:rPr>
        <w:t>of</w:t>
      </w:r>
      <w:r>
        <w:rPr>
          <w:color w:val="0F0F0F"/>
          <w:spacing w:val="-27"/>
          <w:sz w:val="21"/>
        </w:rPr>
        <w:t xml:space="preserve"> </w:t>
      </w:r>
      <w:r>
        <w:rPr>
          <w:color w:val="0F0F0F"/>
          <w:sz w:val="21"/>
        </w:rPr>
        <w:t>the</w:t>
      </w:r>
      <w:r>
        <w:rPr>
          <w:color w:val="0F0F0F"/>
          <w:spacing w:val="-27"/>
          <w:sz w:val="21"/>
        </w:rPr>
        <w:t xml:space="preserve"> </w:t>
      </w:r>
      <w:r>
        <w:rPr>
          <w:sz w:val="21"/>
        </w:rPr>
        <w:t>financial report</w:t>
      </w:r>
      <w:r>
        <w:rPr>
          <w:spacing w:val="-35"/>
          <w:sz w:val="21"/>
        </w:rPr>
        <w:t xml:space="preserve"> </w:t>
      </w:r>
      <w:r>
        <w:rPr>
          <w:color w:val="111111"/>
          <w:sz w:val="21"/>
        </w:rPr>
        <w:t>in</w:t>
      </w:r>
      <w:r>
        <w:rPr>
          <w:color w:val="111111"/>
          <w:spacing w:val="-39"/>
          <w:sz w:val="21"/>
        </w:rPr>
        <w:t xml:space="preserve"> </w:t>
      </w:r>
      <w:r>
        <w:rPr>
          <w:sz w:val="21"/>
        </w:rPr>
        <w:t>accordance</w:t>
      </w:r>
      <w:r>
        <w:rPr>
          <w:spacing w:val="-29"/>
          <w:sz w:val="21"/>
        </w:rPr>
        <w:t xml:space="preserve"> </w:t>
      </w:r>
      <w:r>
        <w:rPr>
          <w:sz w:val="21"/>
        </w:rPr>
        <w:t>with</w:t>
      </w:r>
      <w:r>
        <w:rPr>
          <w:spacing w:val="-34"/>
          <w:sz w:val="21"/>
        </w:rPr>
        <w:t xml:space="preserve"> </w:t>
      </w:r>
      <w:r>
        <w:rPr>
          <w:sz w:val="21"/>
        </w:rPr>
        <w:t>Australian</w:t>
      </w:r>
      <w:r>
        <w:rPr>
          <w:spacing w:val="-28"/>
          <w:sz w:val="21"/>
        </w:rPr>
        <w:t xml:space="preserve"> </w:t>
      </w:r>
      <w:r>
        <w:rPr>
          <w:sz w:val="21"/>
        </w:rPr>
        <w:t>Accounting</w:t>
      </w:r>
      <w:r>
        <w:rPr>
          <w:spacing w:val="-31"/>
          <w:sz w:val="21"/>
        </w:rPr>
        <w:t xml:space="preserve"> </w:t>
      </w:r>
      <w:r>
        <w:rPr>
          <w:sz w:val="21"/>
        </w:rPr>
        <w:t>Standards,</w:t>
      </w:r>
      <w:r>
        <w:rPr>
          <w:spacing w:val="-29"/>
          <w:sz w:val="21"/>
        </w:rPr>
        <w:t xml:space="preserve"> </w:t>
      </w:r>
      <w:r>
        <w:rPr>
          <w:sz w:val="21"/>
        </w:rPr>
        <w:t>the</w:t>
      </w:r>
      <w:r>
        <w:rPr>
          <w:spacing w:val="-35"/>
          <w:sz w:val="21"/>
        </w:rPr>
        <w:t xml:space="preserve"> </w:t>
      </w:r>
      <w:r>
        <w:rPr>
          <w:color w:val="232323"/>
          <w:sz w:val="21"/>
        </w:rPr>
        <w:t>PF&amp;A</w:t>
      </w:r>
      <w:r>
        <w:rPr>
          <w:color w:val="232323"/>
          <w:spacing w:val="-33"/>
          <w:sz w:val="21"/>
        </w:rPr>
        <w:t xml:space="preserve"> </w:t>
      </w:r>
      <w:r>
        <w:rPr>
          <w:color w:val="0F0F0F"/>
          <w:sz w:val="21"/>
        </w:rPr>
        <w:t>Act</w:t>
      </w:r>
      <w:r>
        <w:rPr>
          <w:color w:val="0F0F0F"/>
          <w:spacing w:val="-36"/>
          <w:sz w:val="21"/>
        </w:rPr>
        <w:t xml:space="preserve"> </w:t>
      </w:r>
      <w:r>
        <w:rPr>
          <w:i/>
          <w:color w:val="151515"/>
          <w:sz w:val="21"/>
        </w:rPr>
        <w:t>and</w:t>
      </w:r>
      <w:r>
        <w:rPr>
          <w:i/>
          <w:color w:val="151515"/>
          <w:spacing w:val="-36"/>
          <w:sz w:val="21"/>
        </w:rPr>
        <w:t xml:space="preserve"> </w:t>
      </w:r>
      <w:r>
        <w:rPr>
          <w:i/>
          <w:color w:val="181818"/>
          <w:sz w:val="21"/>
        </w:rPr>
        <w:t>the</w:t>
      </w:r>
      <w:r>
        <w:rPr>
          <w:i/>
          <w:color w:val="181818"/>
          <w:spacing w:val="-36"/>
          <w:sz w:val="21"/>
        </w:rPr>
        <w:t xml:space="preserve"> </w:t>
      </w:r>
      <w:r>
        <w:rPr>
          <w:i/>
          <w:sz w:val="21"/>
        </w:rPr>
        <w:t>Australian</w:t>
      </w:r>
      <w:r>
        <w:rPr>
          <w:i/>
          <w:spacing w:val="-31"/>
          <w:sz w:val="21"/>
        </w:rPr>
        <w:t xml:space="preserve"> </w:t>
      </w:r>
      <w:r>
        <w:rPr>
          <w:i/>
          <w:sz w:val="21"/>
        </w:rPr>
        <w:t xml:space="preserve">Charities </w:t>
      </w:r>
      <w:r>
        <w:rPr>
          <w:i/>
          <w:color w:val="151515"/>
          <w:sz w:val="21"/>
        </w:rPr>
        <w:t>and</w:t>
      </w:r>
      <w:r>
        <w:rPr>
          <w:i/>
          <w:color w:val="151515"/>
          <w:spacing w:val="-24"/>
          <w:sz w:val="21"/>
        </w:rPr>
        <w:t xml:space="preserve"> </w:t>
      </w:r>
      <w:r>
        <w:rPr>
          <w:i/>
          <w:sz w:val="21"/>
        </w:rPr>
        <w:t>Not-for-profits</w:t>
      </w:r>
      <w:r>
        <w:rPr>
          <w:i/>
          <w:spacing w:val="-31"/>
          <w:sz w:val="21"/>
        </w:rPr>
        <w:t xml:space="preserve"> </w:t>
      </w:r>
      <w:r>
        <w:rPr>
          <w:i/>
          <w:sz w:val="21"/>
        </w:rPr>
        <w:t>Commission</w:t>
      </w:r>
      <w:r>
        <w:rPr>
          <w:i/>
          <w:spacing w:val="-8"/>
          <w:sz w:val="21"/>
        </w:rPr>
        <w:t xml:space="preserve"> </w:t>
      </w:r>
      <w:r>
        <w:rPr>
          <w:i/>
          <w:color w:val="131313"/>
          <w:sz w:val="21"/>
        </w:rPr>
        <w:t>Act</w:t>
      </w:r>
      <w:r>
        <w:rPr>
          <w:i/>
          <w:color w:val="131313"/>
          <w:spacing w:val="-26"/>
          <w:sz w:val="21"/>
        </w:rPr>
        <w:t xml:space="preserve"> </w:t>
      </w:r>
      <w:r>
        <w:rPr>
          <w:i/>
          <w:color w:val="0E0E0E"/>
          <w:sz w:val="21"/>
        </w:rPr>
        <w:t>2012,</w:t>
      </w:r>
      <w:r>
        <w:rPr>
          <w:i/>
          <w:color w:val="0E0E0E"/>
          <w:spacing w:val="-15"/>
          <w:sz w:val="21"/>
        </w:rPr>
        <w:t xml:space="preserve"> </w:t>
      </w:r>
      <w:r>
        <w:rPr>
          <w:sz w:val="21"/>
        </w:rPr>
        <w:t>and</w:t>
      </w:r>
      <w:r>
        <w:rPr>
          <w:spacing w:val="-24"/>
          <w:sz w:val="21"/>
        </w:rPr>
        <w:t xml:space="preserve"> </w:t>
      </w:r>
      <w:r>
        <w:rPr>
          <w:color w:val="161616"/>
          <w:sz w:val="21"/>
        </w:rPr>
        <w:t>for</w:t>
      </w:r>
      <w:r>
        <w:rPr>
          <w:color w:val="161616"/>
          <w:spacing w:val="-27"/>
          <w:sz w:val="21"/>
        </w:rPr>
        <w:t xml:space="preserve"> </w:t>
      </w:r>
      <w:r>
        <w:rPr>
          <w:sz w:val="21"/>
        </w:rPr>
        <w:t>such</w:t>
      </w:r>
      <w:r>
        <w:rPr>
          <w:spacing w:val="-23"/>
          <w:sz w:val="21"/>
        </w:rPr>
        <w:t xml:space="preserve"> </w:t>
      </w:r>
      <w:r>
        <w:rPr>
          <w:sz w:val="21"/>
        </w:rPr>
        <w:t>internal</w:t>
      </w:r>
      <w:r>
        <w:rPr>
          <w:spacing w:val="-23"/>
          <w:sz w:val="21"/>
        </w:rPr>
        <w:t xml:space="preserve"> </w:t>
      </w:r>
      <w:r>
        <w:rPr>
          <w:color w:val="131313"/>
          <w:sz w:val="21"/>
        </w:rPr>
        <w:t>control</w:t>
      </w:r>
      <w:r>
        <w:rPr>
          <w:color w:val="131313"/>
          <w:spacing w:val="-23"/>
          <w:sz w:val="21"/>
        </w:rPr>
        <w:t xml:space="preserve"> </w:t>
      </w:r>
      <w:r>
        <w:rPr>
          <w:color w:val="232323"/>
          <w:sz w:val="21"/>
        </w:rPr>
        <w:t>as</w:t>
      </w:r>
      <w:r>
        <w:rPr>
          <w:color w:val="232323"/>
          <w:spacing w:val="-24"/>
          <w:sz w:val="21"/>
        </w:rPr>
        <w:t xml:space="preserve"> </w:t>
      </w:r>
      <w:r>
        <w:rPr>
          <w:color w:val="2A2A2A"/>
          <w:sz w:val="21"/>
        </w:rPr>
        <w:t>the</w:t>
      </w:r>
      <w:r>
        <w:rPr>
          <w:color w:val="2A2A2A"/>
          <w:spacing w:val="-30"/>
          <w:sz w:val="21"/>
        </w:rPr>
        <w:t xml:space="preserve"> </w:t>
      </w:r>
      <w:r>
        <w:rPr>
          <w:sz w:val="21"/>
        </w:rPr>
        <w:t>directors</w:t>
      </w:r>
      <w:r>
        <w:rPr>
          <w:spacing w:val="-19"/>
          <w:sz w:val="21"/>
        </w:rPr>
        <w:t xml:space="preserve"> </w:t>
      </w:r>
      <w:r>
        <w:rPr>
          <w:sz w:val="21"/>
        </w:rPr>
        <w:t>determine</w:t>
      </w:r>
      <w:r>
        <w:rPr>
          <w:spacing w:val="-17"/>
          <w:sz w:val="21"/>
        </w:rPr>
        <w:t xml:space="preserve"> </w:t>
      </w:r>
      <w:r>
        <w:rPr>
          <w:color w:val="1A1A1A"/>
          <w:sz w:val="21"/>
        </w:rPr>
        <w:t xml:space="preserve">is </w:t>
      </w:r>
      <w:r>
        <w:rPr>
          <w:sz w:val="21"/>
        </w:rPr>
        <w:t xml:space="preserve">necessary to </w:t>
      </w:r>
      <w:r>
        <w:rPr>
          <w:color w:val="161616"/>
          <w:sz w:val="21"/>
        </w:rPr>
        <w:t xml:space="preserve">enable </w:t>
      </w:r>
      <w:r>
        <w:rPr>
          <w:color w:val="0E0E0E"/>
          <w:sz w:val="21"/>
        </w:rPr>
        <w:t xml:space="preserve">the preparation </w:t>
      </w:r>
      <w:r>
        <w:rPr>
          <w:color w:val="1D1D1D"/>
          <w:sz w:val="21"/>
        </w:rPr>
        <w:t xml:space="preserve">and </w:t>
      </w:r>
      <w:r>
        <w:rPr>
          <w:color w:val="232323"/>
          <w:sz w:val="21"/>
        </w:rPr>
        <w:t xml:space="preserve">fair </w:t>
      </w:r>
      <w:r>
        <w:rPr>
          <w:color w:val="0F0F0F"/>
          <w:sz w:val="21"/>
        </w:rPr>
        <w:t xml:space="preserve">presentation </w:t>
      </w:r>
      <w:r>
        <w:rPr>
          <w:color w:val="1F1F1F"/>
          <w:sz w:val="21"/>
        </w:rPr>
        <w:t xml:space="preserve">of </w:t>
      </w:r>
      <w:r>
        <w:rPr>
          <w:sz w:val="21"/>
        </w:rPr>
        <w:t xml:space="preserve">the </w:t>
      </w:r>
      <w:r>
        <w:rPr>
          <w:color w:val="111111"/>
          <w:sz w:val="21"/>
        </w:rPr>
        <w:t xml:space="preserve">financial </w:t>
      </w:r>
      <w:r>
        <w:rPr>
          <w:color w:val="131313"/>
          <w:sz w:val="21"/>
        </w:rPr>
        <w:t xml:space="preserve">report </w:t>
      </w:r>
      <w:r>
        <w:rPr>
          <w:sz w:val="21"/>
        </w:rPr>
        <w:t xml:space="preserve">that </w:t>
      </w:r>
      <w:r>
        <w:rPr>
          <w:color w:val="131313"/>
          <w:sz w:val="21"/>
        </w:rPr>
        <w:t xml:space="preserve">is </w:t>
      </w:r>
      <w:r>
        <w:rPr>
          <w:sz w:val="21"/>
        </w:rPr>
        <w:t xml:space="preserve">free </w:t>
      </w:r>
      <w:r>
        <w:rPr>
          <w:color w:val="151515"/>
          <w:sz w:val="21"/>
        </w:rPr>
        <w:t xml:space="preserve">from </w:t>
      </w:r>
      <w:r>
        <w:rPr>
          <w:color w:val="111111"/>
          <w:sz w:val="21"/>
        </w:rPr>
        <w:t xml:space="preserve">material </w:t>
      </w:r>
      <w:r>
        <w:rPr>
          <w:color w:val="151515"/>
          <w:sz w:val="21"/>
        </w:rPr>
        <w:t xml:space="preserve">misstatement, </w:t>
      </w:r>
      <w:r>
        <w:rPr>
          <w:color w:val="111111"/>
          <w:sz w:val="21"/>
        </w:rPr>
        <w:t xml:space="preserve">whether </w:t>
      </w:r>
      <w:r>
        <w:rPr>
          <w:color w:val="181818"/>
          <w:sz w:val="21"/>
        </w:rPr>
        <w:t xml:space="preserve">due </w:t>
      </w:r>
      <w:r>
        <w:rPr>
          <w:color w:val="0F0F0F"/>
          <w:sz w:val="21"/>
        </w:rPr>
        <w:t xml:space="preserve">to </w:t>
      </w:r>
      <w:r>
        <w:rPr>
          <w:color w:val="0C0C0C"/>
          <w:sz w:val="21"/>
        </w:rPr>
        <w:t xml:space="preserve">fraud </w:t>
      </w:r>
      <w:r>
        <w:rPr>
          <w:color w:val="161616"/>
          <w:sz w:val="21"/>
        </w:rPr>
        <w:t>or</w:t>
      </w:r>
      <w:r>
        <w:rPr>
          <w:color w:val="161616"/>
          <w:spacing w:val="-22"/>
          <w:sz w:val="21"/>
        </w:rPr>
        <w:t xml:space="preserve"> </w:t>
      </w:r>
      <w:r>
        <w:rPr>
          <w:sz w:val="21"/>
        </w:rPr>
        <w:t>error.</w:t>
      </w:r>
    </w:p>
    <w:p w14:paraId="56125D05" w14:textId="77777777" w:rsidR="00FA4AA8" w:rsidRDefault="0015611F">
      <w:pPr>
        <w:spacing w:before="170"/>
        <w:ind w:left="678" w:right="426" w:firstLine="3"/>
        <w:rPr>
          <w:sz w:val="21"/>
        </w:rPr>
      </w:pPr>
      <w:r>
        <w:rPr>
          <w:color w:val="0C0C0C"/>
          <w:sz w:val="21"/>
        </w:rPr>
        <w:t>In</w:t>
      </w:r>
      <w:r>
        <w:rPr>
          <w:color w:val="0C0C0C"/>
          <w:spacing w:val="-25"/>
          <w:sz w:val="21"/>
        </w:rPr>
        <w:t xml:space="preserve"> </w:t>
      </w:r>
      <w:r>
        <w:rPr>
          <w:sz w:val="21"/>
        </w:rPr>
        <w:t>preparing</w:t>
      </w:r>
      <w:r>
        <w:rPr>
          <w:spacing w:val="-22"/>
          <w:sz w:val="21"/>
        </w:rPr>
        <w:t xml:space="preserve"> </w:t>
      </w:r>
      <w:r>
        <w:rPr>
          <w:color w:val="111111"/>
          <w:sz w:val="21"/>
        </w:rPr>
        <w:t>the</w:t>
      </w:r>
      <w:r>
        <w:rPr>
          <w:color w:val="111111"/>
          <w:spacing w:val="-28"/>
          <w:sz w:val="21"/>
        </w:rPr>
        <w:t xml:space="preserve"> </w:t>
      </w:r>
      <w:r>
        <w:rPr>
          <w:sz w:val="21"/>
        </w:rPr>
        <w:t>financial</w:t>
      </w:r>
      <w:r>
        <w:rPr>
          <w:spacing w:val="-23"/>
          <w:sz w:val="21"/>
        </w:rPr>
        <w:t xml:space="preserve"> </w:t>
      </w:r>
      <w:r>
        <w:rPr>
          <w:sz w:val="21"/>
        </w:rPr>
        <w:t>report,</w:t>
      </w:r>
      <w:r>
        <w:rPr>
          <w:spacing w:val="-22"/>
          <w:sz w:val="21"/>
        </w:rPr>
        <w:t xml:space="preserve"> </w:t>
      </w:r>
      <w:r>
        <w:rPr>
          <w:sz w:val="21"/>
        </w:rPr>
        <w:t>the</w:t>
      </w:r>
      <w:r>
        <w:rPr>
          <w:spacing w:val="-30"/>
          <w:sz w:val="21"/>
        </w:rPr>
        <w:t xml:space="preserve"> </w:t>
      </w:r>
      <w:r>
        <w:rPr>
          <w:color w:val="0E0E0E"/>
          <w:sz w:val="21"/>
        </w:rPr>
        <w:t>directors</w:t>
      </w:r>
      <w:r>
        <w:rPr>
          <w:color w:val="0E0E0E"/>
          <w:spacing w:val="-22"/>
          <w:sz w:val="21"/>
        </w:rPr>
        <w:t xml:space="preserve"> </w:t>
      </w:r>
      <w:r>
        <w:rPr>
          <w:sz w:val="21"/>
        </w:rPr>
        <w:t>are</w:t>
      </w:r>
      <w:r>
        <w:rPr>
          <w:spacing w:val="-28"/>
          <w:sz w:val="21"/>
        </w:rPr>
        <w:t xml:space="preserve"> </w:t>
      </w:r>
      <w:r>
        <w:rPr>
          <w:sz w:val="21"/>
        </w:rPr>
        <w:t>responsible</w:t>
      </w:r>
      <w:r>
        <w:rPr>
          <w:spacing w:val="-13"/>
          <w:sz w:val="21"/>
        </w:rPr>
        <w:t xml:space="preserve"> </w:t>
      </w:r>
      <w:r>
        <w:rPr>
          <w:color w:val="161616"/>
          <w:sz w:val="21"/>
        </w:rPr>
        <w:t>for</w:t>
      </w:r>
      <w:r>
        <w:rPr>
          <w:color w:val="161616"/>
          <w:spacing w:val="-28"/>
          <w:sz w:val="21"/>
        </w:rPr>
        <w:t xml:space="preserve"> </w:t>
      </w:r>
      <w:r>
        <w:rPr>
          <w:color w:val="161616"/>
          <w:sz w:val="21"/>
        </w:rPr>
        <w:t>assessing</w:t>
      </w:r>
      <w:r>
        <w:rPr>
          <w:color w:val="161616"/>
          <w:spacing w:val="-18"/>
          <w:sz w:val="21"/>
        </w:rPr>
        <w:t xml:space="preserve"> </w:t>
      </w:r>
      <w:r>
        <w:rPr>
          <w:color w:val="131313"/>
          <w:sz w:val="21"/>
        </w:rPr>
        <w:t>the</w:t>
      </w:r>
      <w:r>
        <w:rPr>
          <w:color w:val="131313"/>
          <w:spacing w:val="-28"/>
          <w:sz w:val="21"/>
        </w:rPr>
        <w:t xml:space="preserve"> </w:t>
      </w:r>
      <w:r>
        <w:rPr>
          <w:color w:val="151515"/>
          <w:sz w:val="21"/>
        </w:rPr>
        <w:t>Company's</w:t>
      </w:r>
      <w:r>
        <w:rPr>
          <w:color w:val="151515"/>
          <w:spacing w:val="-15"/>
          <w:sz w:val="21"/>
        </w:rPr>
        <w:t xml:space="preserve"> </w:t>
      </w:r>
      <w:r>
        <w:rPr>
          <w:sz w:val="21"/>
        </w:rPr>
        <w:t>ability</w:t>
      </w:r>
      <w:r>
        <w:rPr>
          <w:spacing w:val="-23"/>
          <w:sz w:val="21"/>
        </w:rPr>
        <w:t xml:space="preserve"> </w:t>
      </w:r>
      <w:r>
        <w:rPr>
          <w:color w:val="151515"/>
          <w:sz w:val="21"/>
        </w:rPr>
        <w:t xml:space="preserve">to </w:t>
      </w:r>
      <w:r>
        <w:rPr>
          <w:sz w:val="21"/>
        </w:rPr>
        <w:t>continue</w:t>
      </w:r>
      <w:r>
        <w:rPr>
          <w:spacing w:val="-28"/>
          <w:sz w:val="21"/>
        </w:rPr>
        <w:t xml:space="preserve"> </w:t>
      </w:r>
      <w:r>
        <w:rPr>
          <w:color w:val="1A1A1A"/>
          <w:sz w:val="21"/>
        </w:rPr>
        <w:t>as</w:t>
      </w:r>
      <w:r>
        <w:rPr>
          <w:color w:val="1A1A1A"/>
          <w:spacing w:val="-31"/>
          <w:sz w:val="21"/>
        </w:rPr>
        <w:t xml:space="preserve"> </w:t>
      </w:r>
      <w:r>
        <w:rPr>
          <w:color w:val="282828"/>
          <w:sz w:val="21"/>
        </w:rPr>
        <w:t>a</w:t>
      </w:r>
      <w:r>
        <w:rPr>
          <w:color w:val="282828"/>
          <w:spacing w:val="-30"/>
          <w:sz w:val="21"/>
        </w:rPr>
        <w:t xml:space="preserve"> </w:t>
      </w:r>
      <w:r>
        <w:rPr>
          <w:sz w:val="21"/>
        </w:rPr>
        <w:t>going</w:t>
      </w:r>
      <w:r>
        <w:rPr>
          <w:spacing w:val="-29"/>
          <w:sz w:val="21"/>
        </w:rPr>
        <w:t xml:space="preserve"> </w:t>
      </w:r>
      <w:r>
        <w:rPr>
          <w:sz w:val="21"/>
        </w:rPr>
        <w:t>concern,</w:t>
      </w:r>
      <w:r>
        <w:rPr>
          <w:spacing w:val="-24"/>
          <w:sz w:val="21"/>
        </w:rPr>
        <w:t xml:space="preserve"> </w:t>
      </w:r>
      <w:r>
        <w:rPr>
          <w:sz w:val="21"/>
        </w:rPr>
        <w:t>disclosing,</w:t>
      </w:r>
      <w:r>
        <w:rPr>
          <w:spacing w:val="-20"/>
          <w:sz w:val="21"/>
        </w:rPr>
        <w:t xml:space="preserve"> </w:t>
      </w:r>
      <w:r>
        <w:rPr>
          <w:color w:val="111111"/>
          <w:sz w:val="21"/>
        </w:rPr>
        <w:t>as</w:t>
      </w:r>
      <w:r>
        <w:rPr>
          <w:color w:val="111111"/>
          <w:spacing w:val="-30"/>
          <w:sz w:val="21"/>
        </w:rPr>
        <w:t xml:space="preserve"> </w:t>
      </w:r>
      <w:r>
        <w:rPr>
          <w:sz w:val="21"/>
        </w:rPr>
        <w:t>applicable,</w:t>
      </w:r>
      <w:r>
        <w:rPr>
          <w:spacing w:val="-18"/>
          <w:sz w:val="21"/>
        </w:rPr>
        <w:t xml:space="preserve"> </w:t>
      </w:r>
      <w:r>
        <w:rPr>
          <w:sz w:val="21"/>
        </w:rPr>
        <w:t>matters</w:t>
      </w:r>
      <w:r>
        <w:rPr>
          <w:spacing w:val="-27"/>
          <w:sz w:val="21"/>
        </w:rPr>
        <w:t xml:space="preserve"> </w:t>
      </w:r>
      <w:r>
        <w:rPr>
          <w:sz w:val="21"/>
        </w:rPr>
        <w:t>related</w:t>
      </w:r>
      <w:r>
        <w:rPr>
          <w:spacing w:val="-29"/>
          <w:sz w:val="21"/>
        </w:rPr>
        <w:t xml:space="preserve"> </w:t>
      </w:r>
      <w:r>
        <w:rPr>
          <w:color w:val="151515"/>
          <w:sz w:val="21"/>
        </w:rPr>
        <w:t>to</w:t>
      </w:r>
      <w:r>
        <w:rPr>
          <w:color w:val="151515"/>
          <w:spacing w:val="-31"/>
          <w:sz w:val="21"/>
        </w:rPr>
        <w:t xml:space="preserve"> </w:t>
      </w:r>
      <w:r>
        <w:rPr>
          <w:color w:val="111111"/>
          <w:sz w:val="21"/>
        </w:rPr>
        <w:t>going</w:t>
      </w:r>
      <w:r>
        <w:rPr>
          <w:color w:val="111111"/>
          <w:spacing w:val="-29"/>
          <w:sz w:val="21"/>
        </w:rPr>
        <w:t xml:space="preserve"> </w:t>
      </w:r>
      <w:r>
        <w:rPr>
          <w:color w:val="161616"/>
          <w:sz w:val="21"/>
        </w:rPr>
        <w:t>concern</w:t>
      </w:r>
      <w:r>
        <w:rPr>
          <w:color w:val="161616"/>
          <w:spacing w:val="-26"/>
          <w:sz w:val="21"/>
        </w:rPr>
        <w:t xml:space="preserve"> </w:t>
      </w:r>
      <w:r>
        <w:rPr>
          <w:sz w:val="21"/>
        </w:rPr>
        <w:t>and</w:t>
      </w:r>
      <w:r>
        <w:rPr>
          <w:spacing w:val="-31"/>
          <w:sz w:val="21"/>
        </w:rPr>
        <w:t xml:space="preserve"> </w:t>
      </w:r>
      <w:r>
        <w:rPr>
          <w:color w:val="111111"/>
          <w:sz w:val="21"/>
        </w:rPr>
        <w:t>using</w:t>
      </w:r>
      <w:r>
        <w:rPr>
          <w:color w:val="111111"/>
          <w:spacing w:val="-28"/>
          <w:sz w:val="21"/>
        </w:rPr>
        <w:t xml:space="preserve"> </w:t>
      </w:r>
      <w:r>
        <w:rPr>
          <w:color w:val="212121"/>
          <w:sz w:val="21"/>
        </w:rPr>
        <w:t xml:space="preserve">the </w:t>
      </w:r>
      <w:r>
        <w:rPr>
          <w:color w:val="0F0F0F"/>
          <w:sz w:val="21"/>
        </w:rPr>
        <w:t>going</w:t>
      </w:r>
      <w:r>
        <w:rPr>
          <w:color w:val="0F0F0F"/>
          <w:spacing w:val="-17"/>
          <w:sz w:val="21"/>
        </w:rPr>
        <w:t xml:space="preserve"> </w:t>
      </w:r>
      <w:r>
        <w:rPr>
          <w:sz w:val="21"/>
        </w:rPr>
        <w:t>concern</w:t>
      </w:r>
      <w:r>
        <w:rPr>
          <w:spacing w:val="-14"/>
          <w:sz w:val="21"/>
        </w:rPr>
        <w:t xml:space="preserve"> </w:t>
      </w:r>
      <w:r>
        <w:rPr>
          <w:color w:val="181818"/>
          <w:sz w:val="21"/>
        </w:rPr>
        <w:t>basis</w:t>
      </w:r>
      <w:r>
        <w:rPr>
          <w:color w:val="181818"/>
          <w:spacing w:val="-24"/>
          <w:sz w:val="21"/>
        </w:rPr>
        <w:t xml:space="preserve"> </w:t>
      </w:r>
      <w:r>
        <w:rPr>
          <w:sz w:val="21"/>
        </w:rPr>
        <w:t>of</w:t>
      </w:r>
      <w:r>
        <w:rPr>
          <w:spacing w:val="-24"/>
          <w:sz w:val="21"/>
        </w:rPr>
        <w:t xml:space="preserve"> </w:t>
      </w:r>
      <w:r>
        <w:rPr>
          <w:sz w:val="21"/>
        </w:rPr>
        <w:t>accounting</w:t>
      </w:r>
      <w:r>
        <w:rPr>
          <w:spacing w:val="-11"/>
          <w:sz w:val="21"/>
        </w:rPr>
        <w:t xml:space="preserve"> </w:t>
      </w:r>
      <w:r>
        <w:rPr>
          <w:sz w:val="21"/>
        </w:rPr>
        <w:t>unless</w:t>
      </w:r>
      <w:r>
        <w:rPr>
          <w:spacing w:val="-22"/>
          <w:sz w:val="21"/>
        </w:rPr>
        <w:t xml:space="preserve"> </w:t>
      </w:r>
      <w:r>
        <w:rPr>
          <w:color w:val="1A1A1A"/>
          <w:sz w:val="21"/>
        </w:rPr>
        <w:t>the</w:t>
      </w:r>
      <w:r>
        <w:rPr>
          <w:color w:val="1A1A1A"/>
          <w:spacing w:val="-22"/>
          <w:sz w:val="21"/>
        </w:rPr>
        <w:t xml:space="preserve"> </w:t>
      </w:r>
      <w:r>
        <w:rPr>
          <w:sz w:val="21"/>
        </w:rPr>
        <w:t>directors</w:t>
      </w:r>
      <w:r>
        <w:rPr>
          <w:spacing w:val="-17"/>
          <w:sz w:val="21"/>
        </w:rPr>
        <w:t xml:space="preserve"> </w:t>
      </w:r>
      <w:r>
        <w:rPr>
          <w:color w:val="131313"/>
          <w:sz w:val="21"/>
        </w:rPr>
        <w:t>either</w:t>
      </w:r>
      <w:r>
        <w:rPr>
          <w:color w:val="131313"/>
          <w:spacing w:val="-16"/>
          <w:sz w:val="21"/>
        </w:rPr>
        <w:t xml:space="preserve"> </w:t>
      </w:r>
      <w:r>
        <w:rPr>
          <w:sz w:val="21"/>
        </w:rPr>
        <w:t>intend</w:t>
      </w:r>
      <w:r>
        <w:rPr>
          <w:spacing w:val="-23"/>
          <w:sz w:val="21"/>
        </w:rPr>
        <w:t xml:space="preserve"> </w:t>
      </w:r>
      <w:r>
        <w:rPr>
          <w:color w:val="1A1A1A"/>
          <w:sz w:val="21"/>
        </w:rPr>
        <w:t>to</w:t>
      </w:r>
      <w:r>
        <w:rPr>
          <w:color w:val="1A1A1A"/>
          <w:spacing w:val="-27"/>
          <w:sz w:val="21"/>
        </w:rPr>
        <w:t xml:space="preserve"> </w:t>
      </w:r>
      <w:r>
        <w:rPr>
          <w:sz w:val="21"/>
        </w:rPr>
        <w:t>liquidate</w:t>
      </w:r>
      <w:r>
        <w:rPr>
          <w:spacing w:val="-16"/>
          <w:sz w:val="21"/>
        </w:rPr>
        <w:t xml:space="preserve"> </w:t>
      </w:r>
      <w:r>
        <w:rPr>
          <w:color w:val="161616"/>
          <w:sz w:val="21"/>
        </w:rPr>
        <w:t>the</w:t>
      </w:r>
      <w:r>
        <w:rPr>
          <w:color w:val="161616"/>
          <w:spacing w:val="-21"/>
          <w:sz w:val="21"/>
        </w:rPr>
        <w:t xml:space="preserve"> </w:t>
      </w:r>
      <w:r>
        <w:rPr>
          <w:sz w:val="21"/>
        </w:rPr>
        <w:t>Company</w:t>
      </w:r>
      <w:r>
        <w:rPr>
          <w:spacing w:val="-16"/>
          <w:sz w:val="21"/>
        </w:rPr>
        <w:t xml:space="preserve"> </w:t>
      </w:r>
      <w:r>
        <w:rPr>
          <w:color w:val="1A1A1A"/>
          <w:sz w:val="21"/>
        </w:rPr>
        <w:t>or</w:t>
      </w:r>
      <w:r>
        <w:rPr>
          <w:color w:val="1A1A1A"/>
          <w:spacing w:val="-23"/>
          <w:sz w:val="21"/>
        </w:rPr>
        <w:t xml:space="preserve"> </w:t>
      </w:r>
      <w:r>
        <w:rPr>
          <w:color w:val="0F0F0F"/>
          <w:sz w:val="21"/>
        </w:rPr>
        <w:t xml:space="preserve">to </w:t>
      </w:r>
      <w:r>
        <w:rPr>
          <w:sz w:val="21"/>
        </w:rPr>
        <w:t xml:space="preserve">cease </w:t>
      </w:r>
      <w:r>
        <w:rPr>
          <w:color w:val="0F0F0F"/>
          <w:sz w:val="21"/>
        </w:rPr>
        <w:t xml:space="preserve">operations, </w:t>
      </w:r>
      <w:r>
        <w:rPr>
          <w:color w:val="181818"/>
          <w:sz w:val="21"/>
        </w:rPr>
        <w:t xml:space="preserve">or </w:t>
      </w:r>
      <w:r>
        <w:rPr>
          <w:color w:val="0F0F0F"/>
          <w:sz w:val="21"/>
        </w:rPr>
        <w:t xml:space="preserve">have </w:t>
      </w:r>
      <w:r>
        <w:rPr>
          <w:color w:val="1F1F1F"/>
          <w:sz w:val="21"/>
        </w:rPr>
        <w:t xml:space="preserve">no </w:t>
      </w:r>
      <w:r>
        <w:rPr>
          <w:color w:val="131313"/>
          <w:sz w:val="21"/>
        </w:rPr>
        <w:t xml:space="preserve">realistic </w:t>
      </w:r>
      <w:r>
        <w:rPr>
          <w:sz w:val="21"/>
        </w:rPr>
        <w:t xml:space="preserve">alternative </w:t>
      </w:r>
      <w:r>
        <w:rPr>
          <w:color w:val="131313"/>
          <w:sz w:val="21"/>
        </w:rPr>
        <w:t xml:space="preserve">but </w:t>
      </w:r>
      <w:r>
        <w:rPr>
          <w:color w:val="1A1A1A"/>
          <w:sz w:val="21"/>
        </w:rPr>
        <w:t xml:space="preserve">to </w:t>
      </w:r>
      <w:r>
        <w:rPr>
          <w:sz w:val="21"/>
        </w:rPr>
        <w:t>do</w:t>
      </w:r>
      <w:r>
        <w:rPr>
          <w:spacing w:val="13"/>
          <w:sz w:val="21"/>
        </w:rPr>
        <w:t xml:space="preserve"> </w:t>
      </w:r>
      <w:r>
        <w:rPr>
          <w:color w:val="161616"/>
          <w:sz w:val="21"/>
        </w:rPr>
        <w:t>so.</w:t>
      </w:r>
    </w:p>
    <w:p w14:paraId="19876415" w14:textId="77777777" w:rsidR="00FA4AA8" w:rsidRDefault="0015611F">
      <w:pPr>
        <w:spacing w:before="163"/>
        <w:ind w:left="677"/>
        <w:rPr>
          <w:b/>
          <w:sz w:val="25"/>
        </w:rPr>
      </w:pPr>
      <w:r>
        <w:rPr>
          <w:b/>
          <w:sz w:val="25"/>
        </w:rPr>
        <w:t xml:space="preserve">Auditor’s </w:t>
      </w:r>
      <w:r>
        <w:rPr>
          <w:b/>
          <w:color w:val="131313"/>
          <w:sz w:val="25"/>
        </w:rPr>
        <w:t xml:space="preserve">Responsibilities </w:t>
      </w:r>
      <w:r>
        <w:rPr>
          <w:b/>
          <w:color w:val="232323"/>
          <w:sz w:val="25"/>
        </w:rPr>
        <w:t xml:space="preserve">for </w:t>
      </w:r>
      <w:r>
        <w:rPr>
          <w:b/>
          <w:color w:val="2A2A2A"/>
          <w:sz w:val="25"/>
        </w:rPr>
        <w:t xml:space="preserve">the </w:t>
      </w:r>
      <w:r>
        <w:rPr>
          <w:b/>
          <w:sz w:val="25"/>
        </w:rPr>
        <w:t xml:space="preserve">Audit </w:t>
      </w:r>
      <w:r>
        <w:rPr>
          <w:b/>
          <w:color w:val="1A1A1A"/>
          <w:sz w:val="25"/>
        </w:rPr>
        <w:t xml:space="preserve">of </w:t>
      </w:r>
      <w:r>
        <w:rPr>
          <w:b/>
          <w:color w:val="2F2F2F"/>
          <w:sz w:val="25"/>
        </w:rPr>
        <w:t xml:space="preserve">the </w:t>
      </w:r>
      <w:r>
        <w:rPr>
          <w:b/>
          <w:color w:val="1F1F1F"/>
          <w:sz w:val="25"/>
        </w:rPr>
        <w:t xml:space="preserve">Financial </w:t>
      </w:r>
      <w:r>
        <w:rPr>
          <w:b/>
          <w:color w:val="151515"/>
          <w:sz w:val="25"/>
        </w:rPr>
        <w:t>Report</w:t>
      </w:r>
    </w:p>
    <w:p w14:paraId="7A17363E" w14:textId="77777777" w:rsidR="00FA4AA8" w:rsidRDefault="0015611F">
      <w:pPr>
        <w:spacing w:before="110"/>
        <w:ind w:left="676"/>
        <w:rPr>
          <w:sz w:val="21"/>
        </w:rPr>
      </w:pPr>
      <w:r>
        <w:rPr>
          <w:color w:val="232323"/>
          <w:sz w:val="21"/>
        </w:rPr>
        <w:t xml:space="preserve">My </w:t>
      </w:r>
      <w:r>
        <w:rPr>
          <w:sz w:val="21"/>
        </w:rPr>
        <w:t xml:space="preserve">objectives </w:t>
      </w:r>
      <w:r>
        <w:rPr>
          <w:color w:val="131313"/>
          <w:sz w:val="21"/>
        </w:rPr>
        <w:t xml:space="preserve">are </w:t>
      </w:r>
      <w:r>
        <w:rPr>
          <w:color w:val="151515"/>
          <w:sz w:val="21"/>
        </w:rPr>
        <w:t>to.</w:t>
      </w:r>
    </w:p>
    <w:p w14:paraId="6788E6B3" w14:textId="77777777" w:rsidR="00FA4AA8" w:rsidRDefault="0015611F">
      <w:pPr>
        <w:pStyle w:val="ListParagraph"/>
        <w:numPr>
          <w:ilvl w:val="1"/>
          <w:numId w:val="53"/>
        </w:numPr>
        <w:tabs>
          <w:tab w:val="left" w:pos="1241"/>
          <w:tab w:val="left" w:pos="1242"/>
        </w:tabs>
        <w:spacing w:before="183" w:line="232" w:lineRule="auto"/>
        <w:ind w:left="1239" w:right="750" w:hanging="564"/>
        <w:rPr>
          <w:color w:val="1C1C1C"/>
          <w:sz w:val="21"/>
        </w:rPr>
      </w:pPr>
      <w:r>
        <w:rPr>
          <w:color w:val="1A1A1A"/>
          <w:sz w:val="21"/>
        </w:rPr>
        <w:t>obtain</w:t>
      </w:r>
      <w:r>
        <w:rPr>
          <w:color w:val="1A1A1A"/>
          <w:spacing w:val="-27"/>
          <w:sz w:val="21"/>
        </w:rPr>
        <w:t xml:space="preserve"> </w:t>
      </w:r>
      <w:r>
        <w:rPr>
          <w:sz w:val="21"/>
        </w:rPr>
        <w:t>reasonable</w:t>
      </w:r>
      <w:r>
        <w:rPr>
          <w:spacing w:val="-28"/>
          <w:sz w:val="21"/>
        </w:rPr>
        <w:t xml:space="preserve"> </w:t>
      </w:r>
      <w:r>
        <w:rPr>
          <w:sz w:val="21"/>
        </w:rPr>
        <w:t>assurance</w:t>
      </w:r>
      <w:r>
        <w:rPr>
          <w:spacing w:val="-23"/>
          <w:sz w:val="21"/>
        </w:rPr>
        <w:t xml:space="preserve"> </w:t>
      </w:r>
      <w:r>
        <w:rPr>
          <w:color w:val="131313"/>
          <w:sz w:val="21"/>
        </w:rPr>
        <w:t>about</w:t>
      </w:r>
      <w:r>
        <w:rPr>
          <w:color w:val="131313"/>
          <w:spacing w:val="-26"/>
          <w:sz w:val="21"/>
        </w:rPr>
        <w:t xml:space="preserve"> </w:t>
      </w:r>
      <w:r>
        <w:rPr>
          <w:sz w:val="21"/>
        </w:rPr>
        <w:t>whether</w:t>
      </w:r>
      <w:r>
        <w:rPr>
          <w:spacing w:val="-24"/>
          <w:sz w:val="21"/>
        </w:rPr>
        <w:t xml:space="preserve"> </w:t>
      </w:r>
      <w:r>
        <w:rPr>
          <w:sz w:val="21"/>
        </w:rPr>
        <w:t>the</w:t>
      </w:r>
      <w:r>
        <w:rPr>
          <w:spacing w:val="-32"/>
          <w:sz w:val="21"/>
        </w:rPr>
        <w:t xml:space="preserve"> </w:t>
      </w:r>
      <w:r>
        <w:rPr>
          <w:color w:val="0E0E0E"/>
          <w:sz w:val="21"/>
        </w:rPr>
        <w:t>financial</w:t>
      </w:r>
      <w:r>
        <w:rPr>
          <w:color w:val="0E0E0E"/>
          <w:spacing w:val="-28"/>
          <w:sz w:val="21"/>
        </w:rPr>
        <w:t xml:space="preserve"> </w:t>
      </w:r>
      <w:r>
        <w:rPr>
          <w:color w:val="1C1C1C"/>
          <w:sz w:val="21"/>
        </w:rPr>
        <w:t>report</w:t>
      </w:r>
      <w:r>
        <w:rPr>
          <w:color w:val="1C1C1C"/>
          <w:spacing w:val="-26"/>
          <w:sz w:val="21"/>
        </w:rPr>
        <w:t xml:space="preserve"> </w:t>
      </w:r>
      <w:r>
        <w:rPr>
          <w:color w:val="0F0F0F"/>
          <w:sz w:val="21"/>
        </w:rPr>
        <w:t>as</w:t>
      </w:r>
      <w:r>
        <w:rPr>
          <w:color w:val="0F0F0F"/>
          <w:spacing w:val="-30"/>
          <w:sz w:val="21"/>
        </w:rPr>
        <w:t xml:space="preserve"> </w:t>
      </w:r>
      <w:r>
        <w:rPr>
          <w:color w:val="383838"/>
          <w:sz w:val="21"/>
        </w:rPr>
        <w:t>a</w:t>
      </w:r>
      <w:r>
        <w:rPr>
          <w:color w:val="383838"/>
          <w:spacing w:val="-31"/>
          <w:sz w:val="21"/>
        </w:rPr>
        <w:t xml:space="preserve"> </w:t>
      </w:r>
      <w:r>
        <w:rPr>
          <w:color w:val="0F0F0F"/>
          <w:sz w:val="21"/>
        </w:rPr>
        <w:t>whole</w:t>
      </w:r>
      <w:r>
        <w:rPr>
          <w:color w:val="0F0F0F"/>
          <w:spacing w:val="-25"/>
          <w:sz w:val="21"/>
        </w:rPr>
        <w:t xml:space="preserve"> </w:t>
      </w:r>
      <w:r>
        <w:rPr>
          <w:color w:val="212121"/>
          <w:sz w:val="21"/>
        </w:rPr>
        <w:t>is</w:t>
      </w:r>
      <w:r>
        <w:rPr>
          <w:color w:val="212121"/>
          <w:spacing w:val="-33"/>
          <w:sz w:val="21"/>
        </w:rPr>
        <w:t xml:space="preserve"> </w:t>
      </w:r>
      <w:r>
        <w:rPr>
          <w:color w:val="282828"/>
          <w:sz w:val="21"/>
        </w:rPr>
        <w:t>free</w:t>
      </w:r>
      <w:r>
        <w:rPr>
          <w:color w:val="282828"/>
          <w:spacing w:val="-31"/>
          <w:sz w:val="21"/>
        </w:rPr>
        <w:t xml:space="preserve"> </w:t>
      </w:r>
      <w:r>
        <w:rPr>
          <w:color w:val="181818"/>
          <w:sz w:val="21"/>
        </w:rPr>
        <w:t>from</w:t>
      </w:r>
      <w:r>
        <w:rPr>
          <w:color w:val="181818"/>
          <w:spacing w:val="-30"/>
          <w:sz w:val="21"/>
        </w:rPr>
        <w:t xml:space="preserve"> </w:t>
      </w:r>
      <w:r>
        <w:rPr>
          <w:color w:val="242424"/>
          <w:sz w:val="21"/>
        </w:rPr>
        <w:t>material</w:t>
      </w:r>
      <w:r>
        <w:rPr>
          <w:color w:val="131313"/>
          <w:sz w:val="21"/>
        </w:rPr>
        <w:t xml:space="preserve"> misstatement, </w:t>
      </w:r>
      <w:r>
        <w:rPr>
          <w:color w:val="1A1A1A"/>
          <w:sz w:val="21"/>
        </w:rPr>
        <w:t xml:space="preserve">whether </w:t>
      </w:r>
      <w:r>
        <w:rPr>
          <w:color w:val="1C1C1C"/>
          <w:sz w:val="21"/>
        </w:rPr>
        <w:t xml:space="preserve">due </w:t>
      </w:r>
      <w:r>
        <w:rPr>
          <w:color w:val="232323"/>
          <w:sz w:val="21"/>
        </w:rPr>
        <w:t xml:space="preserve">to </w:t>
      </w:r>
      <w:r>
        <w:rPr>
          <w:color w:val="151515"/>
          <w:sz w:val="21"/>
        </w:rPr>
        <w:t xml:space="preserve">fraud </w:t>
      </w:r>
      <w:r>
        <w:rPr>
          <w:color w:val="1F1F1F"/>
          <w:sz w:val="21"/>
        </w:rPr>
        <w:t>or</w:t>
      </w:r>
      <w:r>
        <w:rPr>
          <w:color w:val="1F1F1F"/>
          <w:spacing w:val="28"/>
          <w:sz w:val="21"/>
        </w:rPr>
        <w:t xml:space="preserve"> </w:t>
      </w:r>
      <w:r>
        <w:rPr>
          <w:color w:val="0F0F0F"/>
          <w:sz w:val="21"/>
        </w:rPr>
        <w:t>error</w:t>
      </w:r>
    </w:p>
    <w:p w14:paraId="0A075CBD" w14:textId="77777777" w:rsidR="00FA4AA8" w:rsidRDefault="0015611F">
      <w:pPr>
        <w:pStyle w:val="ListParagraph"/>
        <w:numPr>
          <w:ilvl w:val="1"/>
          <w:numId w:val="53"/>
        </w:numPr>
        <w:tabs>
          <w:tab w:val="left" w:pos="1239"/>
          <w:tab w:val="left" w:pos="1240"/>
        </w:tabs>
        <w:spacing w:before="63"/>
        <w:ind w:left="1239" w:hanging="564"/>
        <w:rPr>
          <w:color w:val="1F1F1F"/>
          <w:sz w:val="21"/>
        </w:rPr>
      </w:pPr>
      <w:r>
        <w:rPr>
          <w:color w:val="151515"/>
          <w:sz w:val="21"/>
        </w:rPr>
        <w:t xml:space="preserve">issue </w:t>
      </w:r>
      <w:r>
        <w:rPr>
          <w:color w:val="161616"/>
          <w:sz w:val="21"/>
        </w:rPr>
        <w:t xml:space="preserve">an </w:t>
      </w:r>
      <w:r>
        <w:rPr>
          <w:sz w:val="21"/>
        </w:rPr>
        <w:t xml:space="preserve">Independent </w:t>
      </w:r>
      <w:r>
        <w:rPr>
          <w:color w:val="0F0F0F"/>
          <w:sz w:val="21"/>
        </w:rPr>
        <w:t xml:space="preserve">Auditor’s </w:t>
      </w:r>
      <w:r>
        <w:rPr>
          <w:color w:val="1D1D1D"/>
          <w:sz w:val="21"/>
        </w:rPr>
        <w:t xml:space="preserve">Report </w:t>
      </w:r>
      <w:r>
        <w:rPr>
          <w:color w:val="0E0E0E"/>
          <w:sz w:val="21"/>
        </w:rPr>
        <w:t xml:space="preserve">including </w:t>
      </w:r>
      <w:r>
        <w:rPr>
          <w:color w:val="1F1F1F"/>
          <w:sz w:val="21"/>
        </w:rPr>
        <w:t>my</w:t>
      </w:r>
      <w:r>
        <w:rPr>
          <w:color w:val="1F1F1F"/>
          <w:spacing w:val="24"/>
          <w:sz w:val="21"/>
        </w:rPr>
        <w:t xml:space="preserve"> </w:t>
      </w:r>
      <w:r>
        <w:rPr>
          <w:color w:val="161616"/>
          <w:sz w:val="21"/>
        </w:rPr>
        <w:t>opinion.</w:t>
      </w:r>
    </w:p>
    <w:p w14:paraId="577D6DDD" w14:textId="77777777" w:rsidR="00FA4AA8" w:rsidRDefault="00FA4AA8">
      <w:pPr>
        <w:pStyle w:val="BodyText"/>
        <w:spacing w:before="4"/>
        <w:rPr>
          <w:sz w:val="17"/>
        </w:rPr>
      </w:pPr>
    </w:p>
    <w:p w14:paraId="01ECA1C3" w14:textId="77777777" w:rsidR="00FA4AA8" w:rsidRDefault="0015611F">
      <w:pPr>
        <w:ind w:left="670" w:right="797" w:firstLine="5"/>
        <w:rPr>
          <w:sz w:val="21"/>
        </w:rPr>
      </w:pPr>
      <w:r>
        <w:rPr>
          <w:sz w:val="21"/>
        </w:rPr>
        <w:t>Reasonable</w:t>
      </w:r>
      <w:r>
        <w:rPr>
          <w:spacing w:val="-26"/>
          <w:sz w:val="21"/>
        </w:rPr>
        <w:t xml:space="preserve"> </w:t>
      </w:r>
      <w:r>
        <w:rPr>
          <w:color w:val="151515"/>
          <w:sz w:val="21"/>
        </w:rPr>
        <w:t>assurance</w:t>
      </w:r>
      <w:r>
        <w:rPr>
          <w:color w:val="151515"/>
          <w:spacing w:val="-23"/>
          <w:sz w:val="21"/>
        </w:rPr>
        <w:t xml:space="preserve"> </w:t>
      </w:r>
      <w:r>
        <w:rPr>
          <w:color w:val="181818"/>
          <w:sz w:val="21"/>
        </w:rPr>
        <w:t>is</w:t>
      </w:r>
      <w:r>
        <w:rPr>
          <w:color w:val="181818"/>
          <w:spacing w:val="-36"/>
          <w:sz w:val="21"/>
        </w:rPr>
        <w:t xml:space="preserve"> </w:t>
      </w:r>
      <w:r>
        <w:rPr>
          <w:color w:val="2D2D2D"/>
          <w:sz w:val="21"/>
        </w:rPr>
        <w:t>a</w:t>
      </w:r>
      <w:r>
        <w:rPr>
          <w:color w:val="2D2D2D"/>
          <w:spacing w:val="-28"/>
          <w:sz w:val="21"/>
        </w:rPr>
        <w:t xml:space="preserve"> </w:t>
      </w:r>
      <w:r>
        <w:rPr>
          <w:color w:val="131313"/>
          <w:sz w:val="21"/>
        </w:rPr>
        <w:t>high</w:t>
      </w:r>
      <w:r>
        <w:rPr>
          <w:color w:val="131313"/>
          <w:spacing w:val="-31"/>
          <w:sz w:val="21"/>
        </w:rPr>
        <w:t xml:space="preserve"> </w:t>
      </w:r>
      <w:r>
        <w:rPr>
          <w:color w:val="161616"/>
          <w:sz w:val="21"/>
        </w:rPr>
        <w:t>level</w:t>
      </w:r>
      <w:r>
        <w:rPr>
          <w:color w:val="161616"/>
          <w:spacing w:val="-28"/>
          <w:sz w:val="21"/>
        </w:rPr>
        <w:t xml:space="preserve"> </w:t>
      </w:r>
      <w:r>
        <w:rPr>
          <w:color w:val="161616"/>
          <w:sz w:val="21"/>
        </w:rPr>
        <w:t>of</w:t>
      </w:r>
      <w:r>
        <w:rPr>
          <w:color w:val="161616"/>
          <w:spacing w:val="-31"/>
          <w:sz w:val="21"/>
        </w:rPr>
        <w:t xml:space="preserve"> </w:t>
      </w:r>
      <w:r>
        <w:rPr>
          <w:sz w:val="21"/>
        </w:rPr>
        <w:t>assurance,</w:t>
      </w:r>
      <w:r>
        <w:rPr>
          <w:spacing w:val="-24"/>
          <w:sz w:val="21"/>
        </w:rPr>
        <w:t xml:space="preserve"> </w:t>
      </w:r>
      <w:r>
        <w:rPr>
          <w:color w:val="111111"/>
          <w:sz w:val="21"/>
        </w:rPr>
        <w:t>but</w:t>
      </w:r>
      <w:r>
        <w:rPr>
          <w:color w:val="111111"/>
          <w:spacing w:val="-31"/>
          <w:sz w:val="21"/>
        </w:rPr>
        <w:t xml:space="preserve"> </w:t>
      </w:r>
      <w:r>
        <w:rPr>
          <w:color w:val="232323"/>
          <w:sz w:val="21"/>
        </w:rPr>
        <w:t>does</w:t>
      </w:r>
      <w:r>
        <w:rPr>
          <w:color w:val="232323"/>
          <w:spacing w:val="-28"/>
          <w:sz w:val="21"/>
        </w:rPr>
        <w:t xml:space="preserve"> </w:t>
      </w:r>
      <w:r>
        <w:rPr>
          <w:color w:val="1C1C1C"/>
          <w:sz w:val="21"/>
        </w:rPr>
        <w:t>not</w:t>
      </w:r>
      <w:r>
        <w:rPr>
          <w:color w:val="1C1C1C"/>
          <w:spacing w:val="-29"/>
          <w:sz w:val="21"/>
        </w:rPr>
        <w:t xml:space="preserve"> </w:t>
      </w:r>
      <w:r>
        <w:rPr>
          <w:color w:val="1F1F1F"/>
          <w:sz w:val="21"/>
        </w:rPr>
        <w:t>guarantee</w:t>
      </w:r>
      <w:r>
        <w:rPr>
          <w:color w:val="1F1F1F"/>
          <w:spacing w:val="-25"/>
          <w:sz w:val="21"/>
        </w:rPr>
        <w:t xml:space="preserve"> </w:t>
      </w:r>
      <w:r>
        <w:rPr>
          <w:color w:val="2A2A2A"/>
          <w:sz w:val="21"/>
        </w:rPr>
        <w:t>an</w:t>
      </w:r>
      <w:r>
        <w:rPr>
          <w:color w:val="2A2A2A"/>
          <w:spacing w:val="-29"/>
          <w:sz w:val="21"/>
        </w:rPr>
        <w:t xml:space="preserve"> </w:t>
      </w:r>
      <w:r>
        <w:rPr>
          <w:sz w:val="21"/>
        </w:rPr>
        <w:t>audit</w:t>
      </w:r>
      <w:r>
        <w:rPr>
          <w:spacing w:val="-28"/>
          <w:sz w:val="21"/>
        </w:rPr>
        <w:t xml:space="preserve"> </w:t>
      </w:r>
      <w:r>
        <w:rPr>
          <w:sz w:val="21"/>
        </w:rPr>
        <w:t>conducted</w:t>
      </w:r>
      <w:r>
        <w:rPr>
          <w:spacing w:val="-28"/>
          <w:sz w:val="21"/>
        </w:rPr>
        <w:t xml:space="preserve"> </w:t>
      </w:r>
      <w:r>
        <w:rPr>
          <w:color w:val="181818"/>
          <w:sz w:val="21"/>
        </w:rPr>
        <w:t xml:space="preserve">in </w:t>
      </w:r>
      <w:r>
        <w:rPr>
          <w:color w:val="0E0E0E"/>
          <w:sz w:val="21"/>
        </w:rPr>
        <w:t>accordance</w:t>
      </w:r>
      <w:r>
        <w:rPr>
          <w:color w:val="0E0E0E"/>
          <w:spacing w:val="-8"/>
          <w:sz w:val="21"/>
        </w:rPr>
        <w:t xml:space="preserve"> </w:t>
      </w:r>
      <w:r>
        <w:rPr>
          <w:color w:val="1D1D1D"/>
          <w:sz w:val="21"/>
        </w:rPr>
        <w:t>with</w:t>
      </w:r>
      <w:r>
        <w:rPr>
          <w:color w:val="1D1D1D"/>
          <w:spacing w:val="-16"/>
          <w:sz w:val="21"/>
        </w:rPr>
        <w:t xml:space="preserve"> </w:t>
      </w:r>
      <w:r>
        <w:rPr>
          <w:sz w:val="21"/>
        </w:rPr>
        <w:t>Australian</w:t>
      </w:r>
      <w:r>
        <w:rPr>
          <w:spacing w:val="-11"/>
          <w:sz w:val="21"/>
        </w:rPr>
        <w:t xml:space="preserve"> </w:t>
      </w:r>
      <w:r>
        <w:rPr>
          <w:color w:val="0F0F0F"/>
          <w:sz w:val="21"/>
        </w:rPr>
        <w:t>Auditing</w:t>
      </w:r>
      <w:r>
        <w:rPr>
          <w:color w:val="0F0F0F"/>
          <w:spacing w:val="-9"/>
          <w:sz w:val="21"/>
        </w:rPr>
        <w:t xml:space="preserve"> </w:t>
      </w:r>
      <w:r>
        <w:rPr>
          <w:sz w:val="21"/>
        </w:rPr>
        <w:t>Standards</w:t>
      </w:r>
      <w:r>
        <w:rPr>
          <w:spacing w:val="-5"/>
          <w:sz w:val="21"/>
        </w:rPr>
        <w:t xml:space="preserve"> </w:t>
      </w:r>
      <w:r>
        <w:rPr>
          <w:color w:val="0E0E0E"/>
          <w:sz w:val="21"/>
        </w:rPr>
        <w:t>will</w:t>
      </w:r>
      <w:r>
        <w:rPr>
          <w:color w:val="0E0E0E"/>
          <w:spacing w:val="-23"/>
          <w:sz w:val="21"/>
        </w:rPr>
        <w:t xml:space="preserve"> </w:t>
      </w:r>
      <w:r>
        <w:rPr>
          <w:color w:val="111111"/>
          <w:sz w:val="21"/>
        </w:rPr>
        <w:t>always</w:t>
      </w:r>
      <w:r>
        <w:rPr>
          <w:color w:val="111111"/>
          <w:spacing w:val="-19"/>
          <w:sz w:val="21"/>
        </w:rPr>
        <w:t xml:space="preserve"> </w:t>
      </w:r>
      <w:r>
        <w:rPr>
          <w:sz w:val="21"/>
        </w:rPr>
        <w:t>detect</w:t>
      </w:r>
      <w:r>
        <w:rPr>
          <w:spacing w:val="-14"/>
          <w:sz w:val="21"/>
        </w:rPr>
        <w:t xml:space="preserve"> </w:t>
      </w:r>
      <w:r>
        <w:rPr>
          <w:sz w:val="21"/>
        </w:rPr>
        <w:t>material</w:t>
      </w:r>
      <w:r>
        <w:rPr>
          <w:spacing w:val="-16"/>
          <w:sz w:val="21"/>
        </w:rPr>
        <w:t xml:space="preserve"> </w:t>
      </w:r>
      <w:r>
        <w:rPr>
          <w:sz w:val="21"/>
        </w:rPr>
        <w:t>misstatements.</w:t>
      </w:r>
    </w:p>
    <w:p w14:paraId="6E066D96" w14:textId="77777777" w:rsidR="00FA4AA8" w:rsidRDefault="0015611F">
      <w:pPr>
        <w:spacing w:before="1" w:line="235" w:lineRule="auto"/>
        <w:ind w:left="673" w:right="884" w:hanging="2"/>
        <w:rPr>
          <w:sz w:val="21"/>
        </w:rPr>
      </w:pPr>
      <w:r>
        <w:rPr>
          <w:color w:val="0F0F0F"/>
          <w:sz w:val="21"/>
        </w:rPr>
        <w:t>Misstatements</w:t>
      </w:r>
      <w:r>
        <w:rPr>
          <w:color w:val="0F0F0F"/>
          <w:spacing w:val="-29"/>
          <w:sz w:val="21"/>
        </w:rPr>
        <w:t xml:space="preserve"> </w:t>
      </w:r>
      <w:r>
        <w:rPr>
          <w:color w:val="111111"/>
          <w:sz w:val="21"/>
        </w:rPr>
        <w:t>can</w:t>
      </w:r>
      <w:r>
        <w:rPr>
          <w:color w:val="111111"/>
          <w:spacing w:val="-34"/>
          <w:sz w:val="21"/>
        </w:rPr>
        <w:t xml:space="preserve"> </w:t>
      </w:r>
      <w:r>
        <w:rPr>
          <w:color w:val="0E0E0E"/>
          <w:sz w:val="21"/>
        </w:rPr>
        <w:t>arise</w:t>
      </w:r>
      <w:r>
        <w:rPr>
          <w:color w:val="0E0E0E"/>
          <w:spacing w:val="-32"/>
          <w:sz w:val="21"/>
        </w:rPr>
        <w:t xml:space="preserve"> </w:t>
      </w:r>
      <w:r>
        <w:rPr>
          <w:sz w:val="21"/>
        </w:rPr>
        <w:t>from</w:t>
      </w:r>
      <w:r>
        <w:rPr>
          <w:spacing w:val="-35"/>
          <w:sz w:val="21"/>
        </w:rPr>
        <w:t xml:space="preserve"> </w:t>
      </w:r>
      <w:r>
        <w:rPr>
          <w:sz w:val="21"/>
        </w:rPr>
        <w:t>fraud</w:t>
      </w:r>
      <w:r>
        <w:rPr>
          <w:spacing w:val="-32"/>
          <w:sz w:val="21"/>
        </w:rPr>
        <w:t xml:space="preserve"> </w:t>
      </w:r>
      <w:r>
        <w:rPr>
          <w:color w:val="212121"/>
          <w:sz w:val="21"/>
        </w:rPr>
        <w:t>or</w:t>
      </w:r>
      <w:r>
        <w:rPr>
          <w:color w:val="212121"/>
          <w:spacing w:val="-37"/>
          <w:sz w:val="21"/>
        </w:rPr>
        <w:t xml:space="preserve"> </w:t>
      </w:r>
      <w:r>
        <w:rPr>
          <w:color w:val="0F0F0F"/>
          <w:sz w:val="21"/>
        </w:rPr>
        <w:t>error.</w:t>
      </w:r>
      <w:r>
        <w:rPr>
          <w:color w:val="0F0F0F"/>
          <w:spacing w:val="-30"/>
          <w:sz w:val="21"/>
        </w:rPr>
        <w:t xml:space="preserve"> </w:t>
      </w:r>
      <w:r>
        <w:rPr>
          <w:sz w:val="21"/>
        </w:rPr>
        <w:t>Misstatements</w:t>
      </w:r>
      <w:r>
        <w:rPr>
          <w:spacing w:val="-25"/>
          <w:sz w:val="21"/>
        </w:rPr>
        <w:t xml:space="preserve"> </w:t>
      </w:r>
      <w:r>
        <w:rPr>
          <w:sz w:val="21"/>
        </w:rPr>
        <w:t>are</w:t>
      </w:r>
      <w:r>
        <w:rPr>
          <w:spacing w:val="-34"/>
          <w:sz w:val="21"/>
        </w:rPr>
        <w:t xml:space="preserve"> </w:t>
      </w:r>
      <w:r>
        <w:rPr>
          <w:sz w:val="21"/>
        </w:rPr>
        <w:t>considered</w:t>
      </w:r>
      <w:r>
        <w:rPr>
          <w:spacing w:val="-30"/>
          <w:sz w:val="21"/>
        </w:rPr>
        <w:t xml:space="preserve"> </w:t>
      </w:r>
      <w:r>
        <w:rPr>
          <w:sz w:val="21"/>
        </w:rPr>
        <w:t>material</w:t>
      </w:r>
      <w:r>
        <w:rPr>
          <w:spacing w:val="-29"/>
          <w:sz w:val="21"/>
        </w:rPr>
        <w:t xml:space="preserve"> </w:t>
      </w:r>
      <w:r>
        <w:rPr>
          <w:color w:val="161616"/>
          <w:sz w:val="21"/>
        </w:rPr>
        <w:t>if,</w:t>
      </w:r>
      <w:r>
        <w:rPr>
          <w:color w:val="161616"/>
          <w:spacing w:val="-36"/>
          <w:sz w:val="21"/>
        </w:rPr>
        <w:t xml:space="preserve"> </w:t>
      </w:r>
      <w:r>
        <w:rPr>
          <w:sz w:val="21"/>
        </w:rPr>
        <w:t>individually</w:t>
      </w:r>
      <w:r>
        <w:rPr>
          <w:spacing w:val="-24"/>
          <w:sz w:val="21"/>
        </w:rPr>
        <w:t xml:space="preserve"> </w:t>
      </w:r>
      <w:r>
        <w:rPr>
          <w:sz w:val="21"/>
        </w:rPr>
        <w:t xml:space="preserve">or </w:t>
      </w:r>
      <w:r>
        <w:rPr>
          <w:color w:val="0F0F0F"/>
          <w:sz w:val="21"/>
        </w:rPr>
        <w:t>in</w:t>
      </w:r>
      <w:r>
        <w:rPr>
          <w:color w:val="0F0F0F"/>
          <w:spacing w:val="-29"/>
          <w:sz w:val="21"/>
        </w:rPr>
        <w:t xml:space="preserve"> </w:t>
      </w:r>
      <w:r>
        <w:rPr>
          <w:color w:val="111111"/>
          <w:sz w:val="21"/>
        </w:rPr>
        <w:t>aggregate,</w:t>
      </w:r>
      <w:r>
        <w:rPr>
          <w:color w:val="111111"/>
          <w:spacing w:val="-17"/>
          <w:sz w:val="21"/>
        </w:rPr>
        <w:t xml:space="preserve"> </w:t>
      </w:r>
      <w:r>
        <w:rPr>
          <w:sz w:val="21"/>
        </w:rPr>
        <w:t>they</w:t>
      </w:r>
      <w:r>
        <w:rPr>
          <w:spacing w:val="-24"/>
          <w:sz w:val="21"/>
        </w:rPr>
        <w:t xml:space="preserve"> </w:t>
      </w:r>
      <w:r>
        <w:rPr>
          <w:color w:val="1D1D1D"/>
          <w:sz w:val="21"/>
        </w:rPr>
        <w:t>could</w:t>
      </w:r>
      <w:r>
        <w:rPr>
          <w:color w:val="1D1D1D"/>
          <w:spacing w:val="-19"/>
          <w:sz w:val="21"/>
        </w:rPr>
        <w:t xml:space="preserve"> </w:t>
      </w:r>
      <w:r>
        <w:rPr>
          <w:sz w:val="21"/>
        </w:rPr>
        <w:t>reasonably</w:t>
      </w:r>
      <w:r>
        <w:rPr>
          <w:spacing w:val="-13"/>
          <w:sz w:val="21"/>
        </w:rPr>
        <w:t xml:space="preserve"> </w:t>
      </w:r>
      <w:r>
        <w:rPr>
          <w:color w:val="2F2F2F"/>
          <w:sz w:val="21"/>
        </w:rPr>
        <w:t>be</w:t>
      </w:r>
      <w:r>
        <w:rPr>
          <w:color w:val="2F2F2F"/>
          <w:spacing w:val="-25"/>
          <w:sz w:val="21"/>
        </w:rPr>
        <w:t xml:space="preserve"> </w:t>
      </w:r>
      <w:r>
        <w:rPr>
          <w:sz w:val="21"/>
        </w:rPr>
        <w:t>expected</w:t>
      </w:r>
      <w:r>
        <w:rPr>
          <w:spacing w:val="-20"/>
          <w:sz w:val="21"/>
        </w:rPr>
        <w:t xml:space="preserve"> </w:t>
      </w:r>
      <w:r>
        <w:rPr>
          <w:color w:val="131313"/>
          <w:sz w:val="21"/>
        </w:rPr>
        <w:t>to</w:t>
      </w:r>
      <w:r>
        <w:rPr>
          <w:color w:val="131313"/>
          <w:spacing w:val="-23"/>
          <w:sz w:val="21"/>
        </w:rPr>
        <w:t xml:space="preserve"> </w:t>
      </w:r>
      <w:r>
        <w:rPr>
          <w:color w:val="1A1A1A"/>
          <w:sz w:val="21"/>
        </w:rPr>
        <w:t>influence</w:t>
      </w:r>
      <w:r>
        <w:rPr>
          <w:color w:val="1A1A1A"/>
          <w:spacing w:val="-15"/>
          <w:sz w:val="21"/>
        </w:rPr>
        <w:t xml:space="preserve"> </w:t>
      </w:r>
      <w:r>
        <w:rPr>
          <w:color w:val="1C1C1C"/>
          <w:sz w:val="21"/>
        </w:rPr>
        <w:t>the</w:t>
      </w:r>
      <w:r>
        <w:rPr>
          <w:color w:val="1C1C1C"/>
          <w:spacing w:val="-23"/>
          <w:sz w:val="21"/>
        </w:rPr>
        <w:t xml:space="preserve"> </w:t>
      </w:r>
      <w:r>
        <w:rPr>
          <w:color w:val="1A1A1A"/>
          <w:sz w:val="21"/>
        </w:rPr>
        <w:t>economic</w:t>
      </w:r>
      <w:r>
        <w:rPr>
          <w:color w:val="1A1A1A"/>
          <w:spacing w:val="-21"/>
          <w:sz w:val="21"/>
        </w:rPr>
        <w:t xml:space="preserve"> </w:t>
      </w:r>
      <w:r>
        <w:rPr>
          <w:sz w:val="21"/>
        </w:rPr>
        <w:t>decisions</w:t>
      </w:r>
      <w:r>
        <w:rPr>
          <w:spacing w:val="-13"/>
          <w:sz w:val="21"/>
        </w:rPr>
        <w:t xml:space="preserve"> </w:t>
      </w:r>
      <w:r>
        <w:rPr>
          <w:color w:val="111111"/>
          <w:sz w:val="21"/>
        </w:rPr>
        <w:t>users</w:t>
      </w:r>
      <w:r>
        <w:rPr>
          <w:color w:val="111111"/>
          <w:spacing w:val="-24"/>
          <w:sz w:val="21"/>
        </w:rPr>
        <w:t xml:space="preserve"> </w:t>
      </w:r>
      <w:r>
        <w:rPr>
          <w:color w:val="0E0E0E"/>
          <w:sz w:val="21"/>
        </w:rPr>
        <w:t xml:space="preserve">take </w:t>
      </w:r>
      <w:r>
        <w:rPr>
          <w:sz w:val="21"/>
        </w:rPr>
        <w:t xml:space="preserve">based </w:t>
      </w:r>
      <w:r>
        <w:rPr>
          <w:color w:val="212121"/>
          <w:sz w:val="21"/>
        </w:rPr>
        <w:t xml:space="preserve">on </w:t>
      </w:r>
      <w:r>
        <w:rPr>
          <w:color w:val="151515"/>
          <w:sz w:val="21"/>
        </w:rPr>
        <w:t xml:space="preserve">the </w:t>
      </w:r>
      <w:r>
        <w:rPr>
          <w:sz w:val="21"/>
        </w:rPr>
        <w:t>financial</w:t>
      </w:r>
      <w:r>
        <w:rPr>
          <w:spacing w:val="10"/>
          <w:sz w:val="21"/>
        </w:rPr>
        <w:t xml:space="preserve"> </w:t>
      </w:r>
      <w:r>
        <w:rPr>
          <w:color w:val="0F0F0F"/>
          <w:sz w:val="21"/>
        </w:rPr>
        <w:t>report.</w:t>
      </w:r>
    </w:p>
    <w:p w14:paraId="07A6F2BB" w14:textId="77777777" w:rsidR="00FA4AA8" w:rsidRDefault="0015611F">
      <w:pPr>
        <w:spacing w:before="183" w:line="235" w:lineRule="auto"/>
        <w:ind w:left="670" w:right="797" w:firstLine="2"/>
        <w:rPr>
          <w:sz w:val="21"/>
        </w:rPr>
      </w:pPr>
      <w:r>
        <w:rPr>
          <w:sz w:val="21"/>
        </w:rPr>
        <w:t>A</w:t>
      </w:r>
      <w:r>
        <w:rPr>
          <w:spacing w:val="-28"/>
          <w:sz w:val="21"/>
        </w:rPr>
        <w:t xml:space="preserve"> </w:t>
      </w:r>
      <w:r>
        <w:rPr>
          <w:color w:val="181818"/>
          <w:sz w:val="21"/>
        </w:rPr>
        <w:t>description</w:t>
      </w:r>
      <w:r>
        <w:rPr>
          <w:color w:val="181818"/>
          <w:spacing w:val="-17"/>
          <w:sz w:val="21"/>
        </w:rPr>
        <w:t xml:space="preserve"> </w:t>
      </w:r>
      <w:r>
        <w:rPr>
          <w:color w:val="242424"/>
          <w:sz w:val="21"/>
        </w:rPr>
        <w:t>of</w:t>
      </w:r>
      <w:r>
        <w:rPr>
          <w:color w:val="242424"/>
          <w:spacing w:val="-30"/>
          <w:sz w:val="21"/>
        </w:rPr>
        <w:t xml:space="preserve"> </w:t>
      </w:r>
      <w:r>
        <w:rPr>
          <w:color w:val="111111"/>
          <w:sz w:val="21"/>
        </w:rPr>
        <w:t>my</w:t>
      </w:r>
      <w:r>
        <w:rPr>
          <w:color w:val="111111"/>
          <w:spacing w:val="-26"/>
          <w:sz w:val="21"/>
        </w:rPr>
        <w:t xml:space="preserve"> </w:t>
      </w:r>
      <w:r>
        <w:rPr>
          <w:sz w:val="21"/>
        </w:rPr>
        <w:t>responsibilities</w:t>
      </w:r>
      <w:r>
        <w:rPr>
          <w:spacing w:val="-33"/>
          <w:sz w:val="21"/>
        </w:rPr>
        <w:t xml:space="preserve"> </w:t>
      </w:r>
      <w:r>
        <w:rPr>
          <w:sz w:val="21"/>
        </w:rPr>
        <w:t>for</w:t>
      </w:r>
      <w:r>
        <w:rPr>
          <w:spacing w:val="-27"/>
          <w:sz w:val="21"/>
        </w:rPr>
        <w:t xml:space="preserve"> </w:t>
      </w:r>
      <w:r>
        <w:rPr>
          <w:color w:val="282828"/>
          <w:sz w:val="21"/>
        </w:rPr>
        <w:t>the</w:t>
      </w:r>
      <w:r>
        <w:rPr>
          <w:color w:val="282828"/>
          <w:spacing w:val="-24"/>
          <w:sz w:val="21"/>
        </w:rPr>
        <w:t xml:space="preserve"> </w:t>
      </w:r>
      <w:r>
        <w:rPr>
          <w:color w:val="131313"/>
          <w:sz w:val="21"/>
        </w:rPr>
        <w:t>audit</w:t>
      </w:r>
      <w:r>
        <w:rPr>
          <w:color w:val="131313"/>
          <w:spacing w:val="-23"/>
          <w:sz w:val="21"/>
        </w:rPr>
        <w:t xml:space="preserve"> </w:t>
      </w:r>
      <w:r>
        <w:rPr>
          <w:color w:val="2A2A2A"/>
          <w:sz w:val="21"/>
        </w:rPr>
        <w:t>of</w:t>
      </w:r>
      <w:r>
        <w:rPr>
          <w:color w:val="2A2A2A"/>
          <w:spacing w:val="-24"/>
          <w:sz w:val="21"/>
        </w:rPr>
        <w:t xml:space="preserve"> </w:t>
      </w:r>
      <w:r>
        <w:rPr>
          <w:color w:val="212121"/>
          <w:sz w:val="21"/>
        </w:rPr>
        <w:t>the</w:t>
      </w:r>
      <w:r>
        <w:rPr>
          <w:color w:val="212121"/>
          <w:spacing w:val="-22"/>
          <w:sz w:val="21"/>
        </w:rPr>
        <w:t xml:space="preserve"> </w:t>
      </w:r>
      <w:r>
        <w:rPr>
          <w:sz w:val="21"/>
        </w:rPr>
        <w:t>financial</w:t>
      </w:r>
      <w:r>
        <w:rPr>
          <w:spacing w:val="-20"/>
          <w:sz w:val="21"/>
        </w:rPr>
        <w:t xml:space="preserve"> </w:t>
      </w:r>
      <w:r>
        <w:rPr>
          <w:sz w:val="21"/>
        </w:rPr>
        <w:t>report</w:t>
      </w:r>
      <w:r>
        <w:rPr>
          <w:spacing w:val="-27"/>
          <w:sz w:val="21"/>
        </w:rPr>
        <w:t xml:space="preserve"> </w:t>
      </w:r>
      <w:r>
        <w:rPr>
          <w:color w:val="0F0F0F"/>
          <w:sz w:val="21"/>
        </w:rPr>
        <w:t>is</w:t>
      </w:r>
      <w:r>
        <w:rPr>
          <w:color w:val="0F0F0F"/>
          <w:spacing w:val="-27"/>
          <w:sz w:val="21"/>
        </w:rPr>
        <w:t xml:space="preserve"> </w:t>
      </w:r>
      <w:r>
        <w:rPr>
          <w:color w:val="111111"/>
          <w:sz w:val="21"/>
        </w:rPr>
        <w:t>located</w:t>
      </w:r>
      <w:r>
        <w:rPr>
          <w:color w:val="111111"/>
          <w:spacing w:val="-26"/>
          <w:sz w:val="21"/>
        </w:rPr>
        <w:t xml:space="preserve"> </w:t>
      </w:r>
      <w:r>
        <w:rPr>
          <w:sz w:val="21"/>
        </w:rPr>
        <w:t>at</w:t>
      </w:r>
      <w:r>
        <w:rPr>
          <w:spacing w:val="-29"/>
          <w:sz w:val="21"/>
        </w:rPr>
        <w:t xml:space="preserve"> </w:t>
      </w:r>
      <w:r>
        <w:rPr>
          <w:color w:val="1A1A1A"/>
          <w:sz w:val="21"/>
        </w:rPr>
        <w:t>the</w:t>
      </w:r>
      <w:r>
        <w:rPr>
          <w:color w:val="1A1A1A"/>
          <w:spacing w:val="-27"/>
          <w:sz w:val="21"/>
        </w:rPr>
        <w:t xml:space="preserve"> </w:t>
      </w:r>
      <w:r>
        <w:rPr>
          <w:color w:val="151515"/>
          <w:sz w:val="21"/>
        </w:rPr>
        <w:t>Auditing</w:t>
      </w:r>
      <w:r>
        <w:rPr>
          <w:color w:val="151515"/>
          <w:spacing w:val="-16"/>
          <w:sz w:val="21"/>
        </w:rPr>
        <w:t xml:space="preserve"> </w:t>
      </w:r>
      <w:r>
        <w:rPr>
          <w:color w:val="111111"/>
          <w:sz w:val="21"/>
        </w:rPr>
        <w:t xml:space="preserve">and </w:t>
      </w:r>
      <w:r>
        <w:rPr>
          <w:sz w:val="21"/>
        </w:rPr>
        <w:t>Assurance</w:t>
      </w:r>
      <w:r>
        <w:rPr>
          <w:spacing w:val="-35"/>
          <w:sz w:val="21"/>
        </w:rPr>
        <w:t xml:space="preserve"> </w:t>
      </w:r>
      <w:r>
        <w:rPr>
          <w:sz w:val="21"/>
        </w:rPr>
        <w:t>Standards</w:t>
      </w:r>
      <w:r>
        <w:rPr>
          <w:spacing w:val="-33"/>
          <w:sz w:val="21"/>
        </w:rPr>
        <w:t xml:space="preserve"> </w:t>
      </w:r>
      <w:r>
        <w:rPr>
          <w:color w:val="111111"/>
          <w:sz w:val="21"/>
        </w:rPr>
        <w:t>Board</w:t>
      </w:r>
      <w:r>
        <w:rPr>
          <w:color w:val="111111"/>
          <w:spacing w:val="-36"/>
          <w:sz w:val="21"/>
        </w:rPr>
        <w:t xml:space="preserve"> </w:t>
      </w:r>
      <w:r>
        <w:rPr>
          <w:color w:val="0C0C0C"/>
          <w:sz w:val="21"/>
        </w:rPr>
        <w:t>website</w:t>
      </w:r>
      <w:r>
        <w:rPr>
          <w:color w:val="0C0C0C"/>
          <w:spacing w:val="-39"/>
          <w:sz w:val="21"/>
        </w:rPr>
        <w:t xml:space="preserve"> </w:t>
      </w:r>
      <w:r>
        <w:rPr>
          <w:color w:val="1A1A1A"/>
          <w:sz w:val="21"/>
        </w:rPr>
        <w:t>at:</w:t>
      </w:r>
      <w:r>
        <w:rPr>
          <w:color w:val="1A1A1A"/>
          <w:spacing w:val="-37"/>
          <w:sz w:val="21"/>
        </w:rPr>
        <w:t xml:space="preserve"> </w:t>
      </w:r>
      <w:hyperlink r:id="rId132">
        <w:r>
          <w:rPr>
            <w:color w:val="282828"/>
            <w:sz w:val="21"/>
            <w:u w:val="single" w:color="6B6B6B"/>
          </w:rPr>
          <w:t>www.auasb.qov.au/auditors</w:t>
        </w:r>
        <w:r>
          <w:rPr>
            <w:color w:val="282828"/>
            <w:spacing w:val="-24"/>
            <w:sz w:val="21"/>
            <w:u w:val="single" w:color="6B6B6B"/>
          </w:rPr>
          <w:t xml:space="preserve"> </w:t>
        </w:r>
        <w:r>
          <w:rPr>
            <w:color w:val="1A1A1A"/>
            <w:sz w:val="21"/>
            <w:u w:val="single" w:color="6B6B6B"/>
          </w:rPr>
          <w:t>responsibilities/ar4</w:t>
        </w:r>
        <w:r>
          <w:rPr>
            <w:color w:val="1A1A1A"/>
            <w:spacing w:val="-43"/>
            <w:sz w:val="21"/>
            <w:u w:val="single" w:color="6B6B6B"/>
          </w:rPr>
          <w:t xml:space="preserve"> </w:t>
        </w:r>
        <w:r>
          <w:rPr>
            <w:color w:val="2A2A2A"/>
            <w:sz w:val="21"/>
            <w:u w:val="single" w:color="6B6B6B"/>
          </w:rPr>
          <w:t>Pdf.</w:t>
        </w:r>
        <w:r>
          <w:rPr>
            <w:color w:val="2A2A2A"/>
            <w:spacing w:val="-38"/>
            <w:sz w:val="21"/>
            <w:u w:val="single" w:color="6B6B6B"/>
          </w:rPr>
          <w:t xml:space="preserve"> </w:t>
        </w:r>
        <w:r>
          <w:rPr>
            <w:color w:val="151515"/>
            <w:sz w:val="21"/>
          </w:rPr>
          <w:t>The</w:t>
        </w:r>
      </w:hyperlink>
      <w:r>
        <w:rPr>
          <w:color w:val="151515"/>
          <w:sz w:val="21"/>
        </w:rPr>
        <w:t xml:space="preserve"> </w:t>
      </w:r>
      <w:r>
        <w:rPr>
          <w:sz w:val="21"/>
        </w:rPr>
        <w:t xml:space="preserve">description </w:t>
      </w:r>
      <w:r>
        <w:rPr>
          <w:color w:val="111111"/>
          <w:sz w:val="21"/>
        </w:rPr>
        <w:t xml:space="preserve">forms </w:t>
      </w:r>
      <w:r>
        <w:rPr>
          <w:color w:val="1C1C1C"/>
          <w:sz w:val="21"/>
        </w:rPr>
        <w:t xml:space="preserve">part </w:t>
      </w:r>
      <w:r>
        <w:rPr>
          <w:color w:val="313131"/>
          <w:sz w:val="21"/>
        </w:rPr>
        <w:t xml:space="preserve">of </w:t>
      </w:r>
      <w:r>
        <w:rPr>
          <w:color w:val="212121"/>
          <w:sz w:val="21"/>
        </w:rPr>
        <w:t xml:space="preserve">my </w:t>
      </w:r>
      <w:r>
        <w:rPr>
          <w:color w:val="151515"/>
          <w:sz w:val="21"/>
        </w:rPr>
        <w:t>auditor's</w:t>
      </w:r>
      <w:r>
        <w:rPr>
          <w:color w:val="151515"/>
          <w:spacing w:val="28"/>
          <w:sz w:val="21"/>
        </w:rPr>
        <w:t xml:space="preserve"> </w:t>
      </w:r>
      <w:r>
        <w:rPr>
          <w:color w:val="111111"/>
          <w:sz w:val="21"/>
        </w:rPr>
        <w:t>report.</w:t>
      </w:r>
    </w:p>
    <w:p w14:paraId="2ABAB53E" w14:textId="77777777" w:rsidR="00FA4AA8" w:rsidRDefault="00FA4AA8">
      <w:pPr>
        <w:spacing w:line="235" w:lineRule="auto"/>
        <w:rPr>
          <w:sz w:val="21"/>
        </w:rPr>
        <w:sectPr w:rsidR="00FA4AA8">
          <w:headerReference w:type="default" r:id="rId133"/>
          <w:footerReference w:type="default" r:id="rId134"/>
          <w:pgSz w:w="11910" w:h="16850"/>
          <w:pgMar w:top="1300" w:right="740" w:bottom="720" w:left="700" w:header="0" w:footer="523" w:gutter="0"/>
          <w:pgNumType w:start="142"/>
          <w:cols w:space="720"/>
        </w:sectPr>
      </w:pPr>
    </w:p>
    <w:p w14:paraId="57C7E609" w14:textId="77777777" w:rsidR="00FA4AA8" w:rsidRDefault="0015611F">
      <w:pPr>
        <w:spacing w:before="64"/>
        <w:ind w:left="701"/>
        <w:rPr>
          <w:sz w:val="20"/>
        </w:rPr>
      </w:pPr>
      <w:r>
        <w:rPr>
          <w:sz w:val="20"/>
        </w:rPr>
        <w:t xml:space="preserve">My opinion </w:t>
      </w:r>
      <w:r>
        <w:rPr>
          <w:color w:val="181818"/>
          <w:sz w:val="20"/>
        </w:rPr>
        <w:t xml:space="preserve">does </w:t>
      </w:r>
      <w:r>
        <w:rPr>
          <w:sz w:val="20"/>
        </w:rPr>
        <w:t>not provide assurance:</w:t>
      </w:r>
    </w:p>
    <w:p w14:paraId="2AD0D14B" w14:textId="77777777" w:rsidR="00FA4AA8" w:rsidRDefault="0015611F">
      <w:pPr>
        <w:pStyle w:val="ListParagraph"/>
        <w:numPr>
          <w:ilvl w:val="1"/>
          <w:numId w:val="53"/>
        </w:numPr>
        <w:tabs>
          <w:tab w:val="left" w:pos="1264"/>
          <w:tab w:val="left" w:pos="1265"/>
        </w:tabs>
        <w:spacing w:before="183"/>
        <w:ind w:left="1264" w:hanging="570"/>
        <w:rPr>
          <w:sz w:val="20"/>
        </w:rPr>
      </w:pPr>
      <w:r>
        <w:rPr>
          <w:sz w:val="20"/>
        </w:rPr>
        <w:t xml:space="preserve">that </w:t>
      </w:r>
      <w:r>
        <w:rPr>
          <w:color w:val="1C1C1C"/>
          <w:sz w:val="20"/>
        </w:rPr>
        <w:t xml:space="preserve">the </w:t>
      </w:r>
      <w:r>
        <w:rPr>
          <w:sz w:val="20"/>
        </w:rPr>
        <w:t xml:space="preserve">Company carried out </w:t>
      </w:r>
      <w:r>
        <w:rPr>
          <w:color w:val="0C0C0C"/>
          <w:sz w:val="20"/>
        </w:rPr>
        <w:t xml:space="preserve">its </w:t>
      </w:r>
      <w:r>
        <w:rPr>
          <w:sz w:val="20"/>
        </w:rPr>
        <w:t>activities effectively, efficiently and</w:t>
      </w:r>
      <w:r>
        <w:rPr>
          <w:spacing w:val="-28"/>
          <w:sz w:val="20"/>
        </w:rPr>
        <w:t xml:space="preserve"> </w:t>
      </w:r>
      <w:r>
        <w:rPr>
          <w:sz w:val="20"/>
        </w:rPr>
        <w:t>economically</w:t>
      </w:r>
    </w:p>
    <w:p w14:paraId="27FA04E9" w14:textId="77777777" w:rsidR="00FA4AA8" w:rsidRDefault="0015611F">
      <w:pPr>
        <w:pStyle w:val="ListParagraph"/>
        <w:numPr>
          <w:ilvl w:val="1"/>
          <w:numId w:val="53"/>
        </w:numPr>
        <w:tabs>
          <w:tab w:val="left" w:pos="1260"/>
          <w:tab w:val="left" w:pos="1261"/>
        </w:tabs>
        <w:spacing w:before="72" w:line="244" w:lineRule="auto"/>
        <w:ind w:left="1260" w:right="842" w:hanging="565"/>
        <w:rPr>
          <w:color w:val="0F0F0F"/>
          <w:sz w:val="20"/>
        </w:rPr>
      </w:pPr>
      <w:r>
        <w:rPr>
          <w:sz w:val="20"/>
        </w:rPr>
        <w:t xml:space="preserve">about </w:t>
      </w:r>
      <w:r>
        <w:rPr>
          <w:color w:val="0C0C0C"/>
          <w:sz w:val="20"/>
        </w:rPr>
        <w:t xml:space="preserve">the </w:t>
      </w:r>
      <w:r>
        <w:rPr>
          <w:sz w:val="20"/>
        </w:rPr>
        <w:t xml:space="preserve">security and </w:t>
      </w:r>
      <w:r>
        <w:rPr>
          <w:color w:val="111111"/>
          <w:sz w:val="20"/>
        </w:rPr>
        <w:t xml:space="preserve">controls over </w:t>
      </w:r>
      <w:r>
        <w:rPr>
          <w:sz w:val="20"/>
        </w:rPr>
        <w:t xml:space="preserve">the electronic publication </w:t>
      </w:r>
      <w:r>
        <w:rPr>
          <w:color w:val="0F0F0F"/>
          <w:sz w:val="20"/>
        </w:rPr>
        <w:t xml:space="preserve">of </w:t>
      </w:r>
      <w:r>
        <w:rPr>
          <w:sz w:val="20"/>
        </w:rPr>
        <w:t xml:space="preserve">the </w:t>
      </w:r>
      <w:r>
        <w:rPr>
          <w:color w:val="0E0E0E"/>
          <w:sz w:val="20"/>
        </w:rPr>
        <w:t xml:space="preserve">audited </w:t>
      </w:r>
      <w:r>
        <w:rPr>
          <w:sz w:val="20"/>
        </w:rPr>
        <w:t xml:space="preserve">financial </w:t>
      </w:r>
      <w:r>
        <w:rPr>
          <w:color w:val="131313"/>
          <w:sz w:val="20"/>
        </w:rPr>
        <w:t xml:space="preserve">report </w:t>
      </w:r>
      <w:r>
        <w:rPr>
          <w:sz w:val="20"/>
        </w:rPr>
        <w:t>on</w:t>
      </w:r>
      <w:r>
        <w:rPr>
          <w:color w:val="1A1A1A"/>
          <w:sz w:val="20"/>
        </w:rPr>
        <w:t xml:space="preserve"> any </w:t>
      </w:r>
      <w:r>
        <w:rPr>
          <w:sz w:val="20"/>
        </w:rPr>
        <w:t xml:space="preserve">website where it </w:t>
      </w:r>
      <w:r>
        <w:rPr>
          <w:color w:val="0E0E0E"/>
          <w:sz w:val="20"/>
        </w:rPr>
        <w:t>may</w:t>
      </w:r>
      <w:r>
        <w:rPr>
          <w:color w:val="0E0E0E"/>
          <w:spacing w:val="11"/>
          <w:sz w:val="20"/>
        </w:rPr>
        <w:t xml:space="preserve"> </w:t>
      </w:r>
      <w:r>
        <w:rPr>
          <w:sz w:val="20"/>
        </w:rPr>
        <w:t>be presented</w:t>
      </w:r>
    </w:p>
    <w:p w14:paraId="3D9B303E" w14:textId="77777777" w:rsidR="00FA4AA8" w:rsidRDefault="0015611F">
      <w:pPr>
        <w:pStyle w:val="ListParagraph"/>
        <w:numPr>
          <w:ilvl w:val="1"/>
          <w:numId w:val="53"/>
        </w:numPr>
        <w:tabs>
          <w:tab w:val="left" w:pos="1260"/>
          <w:tab w:val="left" w:pos="1261"/>
        </w:tabs>
        <w:spacing w:before="74"/>
        <w:ind w:left="1260" w:hanging="570"/>
        <w:rPr>
          <w:color w:val="111111"/>
          <w:sz w:val="20"/>
        </w:rPr>
      </w:pPr>
      <w:r>
        <w:rPr>
          <w:color w:val="131313"/>
          <w:sz w:val="20"/>
        </w:rPr>
        <w:t xml:space="preserve">about </w:t>
      </w:r>
      <w:r>
        <w:rPr>
          <w:color w:val="0C0C0C"/>
          <w:sz w:val="20"/>
        </w:rPr>
        <w:t xml:space="preserve">any </w:t>
      </w:r>
      <w:r>
        <w:rPr>
          <w:sz w:val="20"/>
        </w:rPr>
        <w:t xml:space="preserve">other information which </w:t>
      </w:r>
      <w:r>
        <w:rPr>
          <w:color w:val="161616"/>
          <w:sz w:val="20"/>
        </w:rPr>
        <w:t xml:space="preserve">may </w:t>
      </w:r>
      <w:r>
        <w:rPr>
          <w:color w:val="1C1C1C"/>
          <w:sz w:val="20"/>
        </w:rPr>
        <w:t xml:space="preserve">have </w:t>
      </w:r>
      <w:r>
        <w:rPr>
          <w:color w:val="111111"/>
          <w:sz w:val="20"/>
        </w:rPr>
        <w:t xml:space="preserve">been </w:t>
      </w:r>
      <w:r>
        <w:rPr>
          <w:color w:val="151515"/>
          <w:sz w:val="20"/>
        </w:rPr>
        <w:t xml:space="preserve">hyperlinked </w:t>
      </w:r>
      <w:r>
        <w:rPr>
          <w:color w:val="111111"/>
          <w:sz w:val="20"/>
        </w:rPr>
        <w:t xml:space="preserve">to/from </w:t>
      </w:r>
      <w:r>
        <w:rPr>
          <w:color w:val="131313"/>
          <w:sz w:val="20"/>
        </w:rPr>
        <w:t xml:space="preserve">the </w:t>
      </w:r>
      <w:r>
        <w:rPr>
          <w:sz w:val="20"/>
        </w:rPr>
        <w:t>financial</w:t>
      </w:r>
      <w:r>
        <w:rPr>
          <w:spacing w:val="27"/>
          <w:sz w:val="20"/>
        </w:rPr>
        <w:t xml:space="preserve"> </w:t>
      </w:r>
      <w:r>
        <w:rPr>
          <w:color w:val="161616"/>
          <w:sz w:val="20"/>
        </w:rPr>
        <w:t>report.</w:t>
      </w:r>
    </w:p>
    <w:p w14:paraId="05968CF3" w14:textId="77777777" w:rsidR="00FA4AA8" w:rsidRDefault="00FA4AA8">
      <w:pPr>
        <w:pStyle w:val="BodyText"/>
        <w:rPr>
          <w:sz w:val="20"/>
        </w:rPr>
      </w:pPr>
    </w:p>
    <w:p w14:paraId="7BA9F242" w14:textId="77777777" w:rsidR="00FA4AA8" w:rsidRDefault="00FA4AA8">
      <w:pPr>
        <w:pStyle w:val="BodyText"/>
        <w:rPr>
          <w:sz w:val="20"/>
        </w:rPr>
      </w:pPr>
    </w:p>
    <w:p w14:paraId="41BFBFB8" w14:textId="77777777" w:rsidR="00FA4AA8" w:rsidRDefault="00FA4AA8">
      <w:pPr>
        <w:pStyle w:val="BodyText"/>
        <w:rPr>
          <w:sz w:val="20"/>
        </w:rPr>
      </w:pPr>
    </w:p>
    <w:p w14:paraId="742AC57D" w14:textId="77777777" w:rsidR="00FA4AA8" w:rsidRDefault="00FA4AA8">
      <w:pPr>
        <w:pStyle w:val="BodyText"/>
        <w:rPr>
          <w:sz w:val="20"/>
        </w:rPr>
      </w:pPr>
    </w:p>
    <w:p w14:paraId="27E74FD6" w14:textId="77777777" w:rsidR="00FA4AA8" w:rsidRDefault="00FA4AA8">
      <w:pPr>
        <w:pStyle w:val="BodyText"/>
        <w:rPr>
          <w:sz w:val="20"/>
        </w:rPr>
      </w:pPr>
    </w:p>
    <w:p w14:paraId="6FEE8F4B" w14:textId="77777777" w:rsidR="00FA4AA8" w:rsidRDefault="00FA4AA8">
      <w:pPr>
        <w:pStyle w:val="BodyText"/>
        <w:rPr>
          <w:sz w:val="20"/>
        </w:rPr>
      </w:pPr>
    </w:p>
    <w:p w14:paraId="2DFC262F" w14:textId="77777777" w:rsidR="00FA4AA8" w:rsidRDefault="00FA4AA8">
      <w:pPr>
        <w:pStyle w:val="BodyText"/>
        <w:rPr>
          <w:sz w:val="20"/>
        </w:rPr>
      </w:pPr>
    </w:p>
    <w:p w14:paraId="3D51AF51" w14:textId="77777777" w:rsidR="00FA4AA8" w:rsidRDefault="00FA4AA8">
      <w:pPr>
        <w:pStyle w:val="BodyText"/>
        <w:rPr>
          <w:sz w:val="20"/>
        </w:rPr>
      </w:pPr>
    </w:p>
    <w:p w14:paraId="01BF92E4" w14:textId="77777777" w:rsidR="00FA4AA8" w:rsidRDefault="0015611F">
      <w:pPr>
        <w:pStyle w:val="BodyText"/>
        <w:spacing w:before="5"/>
        <w:rPr>
          <w:sz w:val="19"/>
        </w:rPr>
      </w:pPr>
      <w:r>
        <w:rPr>
          <w:noProof/>
          <w:lang w:val="en-AU" w:eastAsia="en-AU"/>
        </w:rPr>
        <w:drawing>
          <wp:anchor distT="0" distB="0" distL="0" distR="0" simplePos="0" relativeHeight="113" behindDoc="0" locked="0" layoutInCell="1" allowOverlap="1" wp14:anchorId="760FC13A" wp14:editId="5574CB6D">
            <wp:simplePos x="0" y="0"/>
            <wp:positionH relativeFrom="page">
              <wp:posOffset>883919</wp:posOffset>
            </wp:positionH>
            <wp:positionV relativeFrom="paragraph">
              <wp:posOffset>167166</wp:posOffset>
            </wp:positionV>
            <wp:extent cx="2008631" cy="359664"/>
            <wp:effectExtent l="0" t="0" r="0" b="0"/>
            <wp:wrapTopAndBottom/>
            <wp:docPr id="57"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0.jpeg"/>
                    <pic:cNvPicPr/>
                  </pic:nvPicPr>
                  <pic:blipFill>
                    <a:blip r:embed="rId135" cstate="print"/>
                    <a:stretch>
                      <a:fillRect/>
                    </a:stretch>
                  </pic:blipFill>
                  <pic:spPr>
                    <a:xfrm>
                      <a:off x="0" y="0"/>
                      <a:ext cx="2008631" cy="359664"/>
                    </a:xfrm>
                    <a:prstGeom prst="rect">
                      <a:avLst/>
                    </a:prstGeom>
                  </pic:spPr>
                </pic:pic>
              </a:graphicData>
            </a:graphic>
          </wp:anchor>
        </w:drawing>
      </w:r>
    </w:p>
    <w:p w14:paraId="2D72EDDA" w14:textId="77777777" w:rsidR="00FA4AA8" w:rsidRDefault="0015611F">
      <w:pPr>
        <w:spacing w:line="249" w:lineRule="auto"/>
        <w:ind w:left="677" w:right="7566" w:hanging="1"/>
        <w:rPr>
          <w:sz w:val="20"/>
        </w:rPr>
      </w:pPr>
      <w:r>
        <w:rPr>
          <w:color w:val="131313"/>
          <w:sz w:val="20"/>
        </w:rPr>
        <w:t xml:space="preserve">Margaret </w:t>
      </w:r>
      <w:r>
        <w:rPr>
          <w:sz w:val="20"/>
        </w:rPr>
        <w:t xml:space="preserve">Crawford </w:t>
      </w:r>
      <w:r>
        <w:rPr>
          <w:color w:val="0E0E0E"/>
          <w:sz w:val="20"/>
        </w:rPr>
        <w:t xml:space="preserve">Auditor-General </w:t>
      </w:r>
      <w:r>
        <w:rPr>
          <w:color w:val="131313"/>
          <w:sz w:val="20"/>
        </w:rPr>
        <w:t xml:space="preserve">for </w:t>
      </w:r>
      <w:r>
        <w:rPr>
          <w:color w:val="161616"/>
          <w:sz w:val="20"/>
        </w:rPr>
        <w:t>NSW</w:t>
      </w:r>
    </w:p>
    <w:p w14:paraId="2D1B8071" w14:textId="77777777" w:rsidR="00FA4AA8" w:rsidRDefault="0015611F">
      <w:pPr>
        <w:spacing w:before="169" w:line="254" w:lineRule="auto"/>
        <w:ind w:left="678" w:right="8328" w:firstLine="387"/>
        <w:rPr>
          <w:sz w:val="20"/>
        </w:rPr>
      </w:pPr>
      <w:r>
        <w:rPr>
          <w:color w:val="151515"/>
          <w:sz w:val="20"/>
        </w:rPr>
        <w:t xml:space="preserve">March </w:t>
      </w:r>
      <w:r>
        <w:rPr>
          <w:color w:val="343434"/>
          <w:sz w:val="20"/>
        </w:rPr>
        <w:t>20</w:t>
      </w:r>
      <w:r>
        <w:rPr>
          <w:color w:val="262626"/>
          <w:sz w:val="20"/>
        </w:rPr>
        <w:t>1</w:t>
      </w:r>
      <w:r>
        <w:rPr>
          <w:color w:val="525252"/>
          <w:sz w:val="20"/>
        </w:rPr>
        <w:t xml:space="preserve">9 </w:t>
      </w:r>
      <w:r>
        <w:rPr>
          <w:color w:val="131313"/>
          <w:sz w:val="20"/>
        </w:rPr>
        <w:t>SYDNEY</w:t>
      </w:r>
    </w:p>
    <w:p w14:paraId="131B3B08" w14:textId="77777777" w:rsidR="00FA4AA8" w:rsidRDefault="00FA4AA8">
      <w:pPr>
        <w:spacing w:line="254" w:lineRule="auto"/>
        <w:rPr>
          <w:sz w:val="20"/>
        </w:rPr>
        <w:sectPr w:rsidR="00FA4AA8">
          <w:headerReference w:type="default" r:id="rId136"/>
          <w:footerReference w:type="default" r:id="rId137"/>
          <w:pgSz w:w="11910" w:h="16850"/>
          <w:pgMar w:top="1300" w:right="740" w:bottom="720" w:left="700" w:header="0" w:footer="523" w:gutter="0"/>
          <w:pgNumType w:start="143"/>
          <w:cols w:space="720"/>
        </w:sectPr>
      </w:pPr>
    </w:p>
    <w:p w14:paraId="16B45C6E" w14:textId="77777777" w:rsidR="00FA4AA8" w:rsidRDefault="00FA4AA8">
      <w:pPr>
        <w:pStyle w:val="BodyText"/>
        <w:rPr>
          <w:sz w:val="20"/>
        </w:rPr>
      </w:pPr>
    </w:p>
    <w:p w14:paraId="204A961E" w14:textId="77777777" w:rsidR="00FA4AA8" w:rsidRDefault="00FA4AA8">
      <w:pPr>
        <w:pStyle w:val="BodyText"/>
        <w:rPr>
          <w:sz w:val="20"/>
        </w:rPr>
      </w:pPr>
    </w:p>
    <w:p w14:paraId="686DD28A" w14:textId="77777777" w:rsidR="00FA4AA8" w:rsidRDefault="00FA4AA8">
      <w:pPr>
        <w:pStyle w:val="BodyText"/>
        <w:rPr>
          <w:sz w:val="20"/>
        </w:rPr>
      </w:pPr>
    </w:p>
    <w:p w14:paraId="5832E993" w14:textId="77777777" w:rsidR="00FA4AA8" w:rsidRDefault="00FA4AA8">
      <w:pPr>
        <w:pStyle w:val="BodyText"/>
        <w:rPr>
          <w:sz w:val="20"/>
        </w:rPr>
      </w:pPr>
    </w:p>
    <w:p w14:paraId="34378664" w14:textId="77777777" w:rsidR="00FA4AA8" w:rsidRDefault="00FA4AA8">
      <w:pPr>
        <w:pStyle w:val="BodyText"/>
        <w:rPr>
          <w:sz w:val="20"/>
        </w:rPr>
      </w:pPr>
    </w:p>
    <w:p w14:paraId="512B89F0" w14:textId="77777777" w:rsidR="00FA4AA8" w:rsidRDefault="00FA4AA8">
      <w:pPr>
        <w:pStyle w:val="BodyText"/>
        <w:rPr>
          <w:sz w:val="20"/>
        </w:rPr>
      </w:pPr>
    </w:p>
    <w:p w14:paraId="0E578D57" w14:textId="77777777" w:rsidR="00FA4AA8" w:rsidRDefault="00FA4AA8">
      <w:pPr>
        <w:pStyle w:val="BodyText"/>
        <w:rPr>
          <w:sz w:val="20"/>
        </w:rPr>
      </w:pPr>
    </w:p>
    <w:p w14:paraId="4FD5EB37" w14:textId="77777777" w:rsidR="00FA4AA8" w:rsidRDefault="00FA4AA8">
      <w:pPr>
        <w:pStyle w:val="BodyText"/>
        <w:rPr>
          <w:sz w:val="20"/>
        </w:rPr>
      </w:pPr>
    </w:p>
    <w:p w14:paraId="5CAD880D" w14:textId="77777777" w:rsidR="00FA4AA8" w:rsidRDefault="00FA4AA8">
      <w:pPr>
        <w:pStyle w:val="BodyText"/>
        <w:rPr>
          <w:sz w:val="20"/>
        </w:rPr>
      </w:pPr>
    </w:p>
    <w:p w14:paraId="08494A38" w14:textId="77777777" w:rsidR="00FA4AA8" w:rsidRDefault="00FA4AA8">
      <w:pPr>
        <w:pStyle w:val="BodyText"/>
        <w:rPr>
          <w:sz w:val="20"/>
        </w:rPr>
      </w:pPr>
    </w:p>
    <w:p w14:paraId="7EB1049B" w14:textId="77777777" w:rsidR="00FA4AA8" w:rsidRDefault="00FA4AA8">
      <w:pPr>
        <w:pStyle w:val="BodyText"/>
        <w:rPr>
          <w:sz w:val="20"/>
        </w:rPr>
      </w:pPr>
    </w:p>
    <w:p w14:paraId="680AAC56" w14:textId="77777777" w:rsidR="00FA4AA8" w:rsidRDefault="00FA4AA8">
      <w:pPr>
        <w:pStyle w:val="BodyText"/>
        <w:rPr>
          <w:sz w:val="20"/>
        </w:rPr>
      </w:pPr>
    </w:p>
    <w:p w14:paraId="7C824D29" w14:textId="77777777" w:rsidR="00FA4AA8" w:rsidRDefault="00FA4AA8">
      <w:pPr>
        <w:pStyle w:val="BodyText"/>
        <w:rPr>
          <w:sz w:val="20"/>
        </w:rPr>
      </w:pPr>
    </w:p>
    <w:p w14:paraId="2DD709A5" w14:textId="77777777" w:rsidR="00FA4AA8" w:rsidRDefault="00FA4AA8">
      <w:pPr>
        <w:pStyle w:val="BodyText"/>
        <w:rPr>
          <w:sz w:val="20"/>
        </w:rPr>
      </w:pPr>
    </w:p>
    <w:p w14:paraId="2D99BA36" w14:textId="77777777" w:rsidR="00FA4AA8" w:rsidRDefault="00FA4AA8">
      <w:pPr>
        <w:pStyle w:val="BodyText"/>
        <w:rPr>
          <w:sz w:val="20"/>
        </w:rPr>
      </w:pPr>
    </w:p>
    <w:p w14:paraId="7D897717" w14:textId="77777777" w:rsidR="00FA4AA8" w:rsidRDefault="00FA4AA8">
      <w:pPr>
        <w:pStyle w:val="BodyText"/>
        <w:rPr>
          <w:sz w:val="20"/>
        </w:rPr>
      </w:pPr>
    </w:p>
    <w:p w14:paraId="1DAAA684" w14:textId="77777777" w:rsidR="00FA4AA8" w:rsidRDefault="00FA4AA8">
      <w:pPr>
        <w:pStyle w:val="BodyText"/>
        <w:rPr>
          <w:sz w:val="20"/>
        </w:rPr>
      </w:pPr>
    </w:p>
    <w:p w14:paraId="36C2E4DA" w14:textId="77777777" w:rsidR="00FA4AA8" w:rsidRDefault="00FA4AA8">
      <w:pPr>
        <w:pStyle w:val="BodyText"/>
        <w:rPr>
          <w:sz w:val="20"/>
        </w:rPr>
      </w:pPr>
    </w:p>
    <w:p w14:paraId="6DD2634C" w14:textId="77777777" w:rsidR="00FA4AA8" w:rsidRDefault="00FA4AA8">
      <w:pPr>
        <w:pStyle w:val="BodyText"/>
        <w:rPr>
          <w:sz w:val="20"/>
        </w:rPr>
      </w:pPr>
    </w:p>
    <w:p w14:paraId="3B384E39" w14:textId="77777777" w:rsidR="00FA4AA8" w:rsidRDefault="00FA4AA8">
      <w:pPr>
        <w:pStyle w:val="BodyText"/>
        <w:rPr>
          <w:sz w:val="20"/>
        </w:rPr>
      </w:pPr>
    </w:p>
    <w:p w14:paraId="7A1DC508" w14:textId="77777777" w:rsidR="00FA4AA8" w:rsidRDefault="00FA4AA8">
      <w:pPr>
        <w:pStyle w:val="BodyText"/>
        <w:rPr>
          <w:sz w:val="20"/>
        </w:rPr>
      </w:pPr>
    </w:p>
    <w:p w14:paraId="631CCC6C" w14:textId="77777777" w:rsidR="00FA4AA8" w:rsidRDefault="00FA4AA8">
      <w:pPr>
        <w:pStyle w:val="BodyText"/>
        <w:rPr>
          <w:sz w:val="20"/>
        </w:rPr>
      </w:pPr>
    </w:p>
    <w:p w14:paraId="62DB49A3" w14:textId="77777777" w:rsidR="00FA4AA8" w:rsidRDefault="00FA4AA8">
      <w:pPr>
        <w:pStyle w:val="BodyText"/>
        <w:rPr>
          <w:sz w:val="20"/>
        </w:rPr>
      </w:pPr>
    </w:p>
    <w:p w14:paraId="11A4DC77" w14:textId="77777777" w:rsidR="00FA4AA8" w:rsidRDefault="00FA4AA8">
      <w:pPr>
        <w:pStyle w:val="BodyText"/>
        <w:spacing w:before="10"/>
        <w:rPr>
          <w:sz w:val="17"/>
        </w:rPr>
      </w:pPr>
    </w:p>
    <w:p w14:paraId="7CAA8A6F" w14:textId="77777777" w:rsidR="00FA4AA8" w:rsidRDefault="0015611F">
      <w:pPr>
        <w:pStyle w:val="BodyText"/>
        <w:spacing w:before="94"/>
        <w:ind w:left="3849" w:right="3749"/>
        <w:jc w:val="center"/>
      </w:pPr>
      <w:r>
        <w:t>This page is intentionally blank</w:t>
      </w:r>
    </w:p>
    <w:p w14:paraId="358DAFEC" w14:textId="77777777" w:rsidR="00FA4AA8" w:rsidRDefault="00FA4AA8">
      <w:pPr>
        <w:jc w:val="center"/>
        <w:sectPr w:rsidR="00FA4AA8">
          <w:headerReference w:type="default" r:id="rId138"/>
          <w:footerReference w:type="default" r:id="rId139"/>
          <w:pgSz w:w="11910" w:h="16840"/>
          <w:pgMar w:top="1580" w:right="960" w:bottom="720" w:left="860" w:header="0" w:footer="523" w:gutter="0"/>
          <w:pgNumType w:start="144"/>
          <w:cols w:space="720"/>
        </w:sectPr>
      </w:pPr>
    </w:p>
    <w:p w14:paraId="17A2C448" w14:textId="77777777" w:rsidR="00FA4AA8" w:rsidRDefault="00FA4AA8">
      <w:pPr>
        <w:pStyle w:val="BodyText"/>
        <w:rPr>
          <w:sz w:val="20"/>
        </w:rPr>
      </w:pPr>
    </w:p>
    <w:p w14:paraId="5A50C5F0" w14:textId="77777777" w:rsidR="00FA4AA8" w:rsidRDefault="00FA4AA8">
      <w:pPr>
        <w:pStyle w:val="BodyText"/>
        <w:rPr>
          <w:sz w:val="20"/>
        </w:rPr>
      </w:pPr>
    </w:p>
    <w:p w14:paraId="67C66279" w14:textId="77777777" w:rsidR="00FA4AA8" w:rsidRDefault="00FA4AA8">
      <w:pPr>
        <w:pStyle w:val="BodyText"/>
        <w:rPr>
          <w:sz w:val="20"/>
        </w:rPr>
      </w:pPr>
    </w:p>
    <w:p w14:paraId="40BCB770" w14:textId="77777777" w:rsidR="00FA4AA8" w:rsidRDefault="00FA4AA8">
      <w:pPr>
        <w:pStyle w:val="BodyText"/>
        <w:rPr>
          <w:sz w:val="20"/>
        </w:rPr>
      </w:pPr>
    </w:p>
    <w:p w14:paraId="22D62AB7" w14:textId="77777777" w:rsidR="00FA4AA8" w:rsidRDefault="00FA4AA8">
      <w:pPr>
        <w:pStyle w:val="BodyText"/>
        <w:rPr>
          <w:sz w:val="20"/>
        </w:rPr>
      </w:pPr>
    </w:p>
    <w:p w14:paraId="0D317EF5" w14:textId="77777777" w:rsidR="00FA4AA8" w:rsidRDefault="00FA4AA8">
      <w:pPr>
        <w:pStyle w:val="BodyText"/>
        <w:rPr>
          <w:sz w:val="20"/>
        </w:rPr>
      </w:pPr>
    </w:p>
    <w:p w14:paraId="3EE033A1" w14:textId="77777777" w:rsidR="00FA4AA8" w:rsidRDefault="00FA4AA8">
      <w:pPr>
        <w:pStyle w:val="BodyText"/>
        <w:rPr>
          <w:sz w:val="20"/>
        </w:rPr>
      </w:pPr>
    </w:p>
    <w:p w14:paraId="3A296AED" w14:textId="77777777" w:rsidR="00FA4AA8" w:rsidRDefault="00FA4AA8">
      <w:pPr>
        <w:pStyle w:val="BodyText"/>
        <w:rPr>
          <w:sz w:val="20"/>
        </w:rPr>
      </w:pPr>
    </w:p>
    <w:p w14:paraId="61F7CBDB" w14:textId="77777777" w:rsidR="00FA4AA8" w:rsidRDefault="00FA4AA8">
      <w:pPr>
        <w:pStyle w:val="BodyText"/>
        <w:rPr>
          <w:sz w:val="20"/>
        </w:rPr>
      </w:pPr>
    </w:p>
    <w:p w14:paraId="7A546E84" w14:textId="77777777" w:rsidR="00FA4AA8" w:rsidRDefault="00FA4AA8">
      <w:pPr>
        <w:pStyle w:val="BodyText"/>
        <w:rPr>
          <w:sz w:val="20"/>
        </w:rPr>
      </w:pPr>
    </w:p>
    <w:p w14:paraId="1420B59E" w14:textId="77777777" w:rsidR="00FA4AA8" w:rsidRDefault="00FA4AA8">
      <w:pPr>
        <w:pStyle w:val="BodyText"/>
        <w:rPr>
          <w:sz w:val="20"/>
        </w:rPr>
      </w:pPr>
    </w:p>
    <w:p w14:paraId="45E42505" w14:textId="77777777" w:rsidR="00FA4AA8" w:rsidRDefault="00FA4AA8">
      <w:pPr>
        <w:pStyle w:val="BodyText"/>
        <w:rPr>
          <w:sz w:val="20"/>
        </w:rPr>
      </w:pPr>
    </w:p>
    <w:p w14:paraId="5C6D1A9D" w14:textId="77777777" w:rsidR="00FA4AA8" w:rsidRDefault="00FA4AA8">
      <w:pPr>
        <w:pStyle w:val="BodyText"/>
        <w:rPr>
          <w:sz w:val="20"/>
        </w:rPr>
      </w:pPr>
    </w:p>
    <w:p w14:paraId="60A2E528" w14:textId="77777777" w:rsidR="00FA4AA8" w:rsidRDefault="00FA4AA8">
      <w:pPr>
        <w:pStyle w:val="BodyText"/>
        <w:rPr>
          <w:sz w:val="20"/>
        </w:rPr>
      </w:pPr>
    </w:p>
    <w:p w14:paraId="643E0D7D" w14:textId="77777777" w:rsidR="00FA4AA8" w:rsidRDefault="00FA4AA8">
      <w:pPr>
        <w:pStyle w:val="BodyText"/>
        <w:rPr>
          <w:sz w:val="20"/>
        </w:rPr>
      </w:pPr>
    </w:p>
    <w:p w14:paraId="3B986C12" w14:textId="77777777" w:rsidR="00FA4AA8" w:rsidRDefault="00FA4AA8">
      <w:pPr>
        <w:pStyle w:val="BodyText"/>
        <w:rPr>
          <w:sz w:val="20"/>
        </w:rPr>
      </w:pPr>
    </w:p>
    <w:p w14:paraId="6176CB73" w14:textId="77777777" w:rsidR="00FA4AA8" w:rsidRDefault="00FA4AA8">
      <w:pPr>
        <w:pStyle w:val="BodyText"/>
        <w:rPr>
          <w:sz w:val="20"/>
        </w:rPr>
      </w:pPr>
    </w:p>
    <w:p w14:paraId="2567DD9C" w14:textId="77777777" w:rsidR="00FA4AA8" w:rsidRDefault="00FA4AA8">
      <w:pPr>
        <w:pStyle w:val="BodyText"/>
        <w:rPr>
          <w:sz w:val="20"/>
        </w:rPr>
      </w:pPr>
    </w:p>
    <w:p w14:paraId="1CAD738E" w14:textId="77777777" w:rsidR="00FA4AA8" w:rsidRDefault="00FA4AA8">
      <w:pPr>
        <w:pStyle w:val="BodyText"/>
        <w:spacing w:before="10"/>
        <w:rPr>
          <w:sz w:val="24"/>
        </w:rPr>
      </w:pPr>
    </w:p>
    <w:p w14:paraId="4536C5CF" w14:textId="77777777" w:rsidR="00FA4AA8" w:rsidRDefault="0015611F">
      <w:pPr>
        <w:pStyle w:val="Heading1"/>
        <w:ind w:left="147"/>
      </w:pPr>
      <w:bookmarkStart w:id="178" w:name="5._WSUELL_-_2018_Financial_Statements"/>
      <w:bookmarkStart w:id="179" w:name="Western_Sydney_University_Early_Learning"/>
      <w:bookmarkEnd w:id="178"/>
      <w:bookmarkEnd w:id="179"/>
      <w:r>
        <w:t>Western Sydney University Early Learning Limited</w:t>
      </w:r>
    </w:p>
    <w:p w14:paraId="614F6B04" w14:textId="77777777" w:rsidR="00FA4AA8" w:rsidRDefault="0015611F">
      <w:pPr>
        <w:pStyle w:val="Heading2"/>
        <w:spacing w:before="0" w:line="322" w:lineRule="exact"/>
        <w:ind w:left="147"/>
      </w:pPr>
      <w:r>
        <w:t>(formerly UWS Early Learning Limited)</w:t>
      </w:r>
    </w:p>
    <w:p w14:paraId="3EC969F8" w14:textId="77777777" w:rsidR="00FA4AA8" w:rsidRDefault="0015611F">
      <w:pPr>
        <w:spacing w:before="230"/>
        <w:ind w:left="147"/>
        <w:rPr>
          <w:b/>
          <w:sz w:val="20"/>
        </w:rPr>
      </w:pPr>
      <w:r>
        <w:rPr>
          <w:b/>
          <w:sz w:val="20"/>
        </w:rPr>
        <w:t>ABN: 39 155 993 445</w:t>
      </w:r>
    </w:p>
    <w:p w14:paraId="4FF3300D" w14:textId="77777777" w:rsidR="00FA4AA8" w:rsidRDefault="00FA4AA8">
      <w:pPr>
        <w:pStyle w:val="BodyText"/>
        <w:spacing w:before="11"/>
        <w:rPr>
          <w:b/>
          <w:sz w:val="27"/>
        </w:rPr>
      </w:pPr>
    </w:p>
    <w:p w14:paraId="3F873E36" w14:textId="77777777" w:rsidR="00FA4AA8" w:rsidRDefault="0015611F">
      <w:pPr>
        <w:ind w:left="147"/>
        <w:rPr>
          <w:b/>
          <w:sz w:val="28"/>
        </w:rPr>
      </w:pPr>
      <w:r>
        <w:rPr>
          <w:b/>
          <w:sz w:val="28"/>
        </w:rPr>
        <w:t>Financial Statements</w:t>
      </w:r>
    </w:p>
    <w:p w14:paraId="426A6F24" w14:textId="77777777" w:rsidR="00FA4AA8" w:rsidRDefault="0015611F">
      <w:pPr>
        <w:spacing w:before="231"/>
        <w:ind w:left="147"/>
        <w:rPr>
          <w:b/>
          <w:sz w:val="20"/>
        </w:rPr>
      </w:pPr>
      <w:r>
        <w:rPr>
          <w:b/>
          <w:sz w:val="20"/>
        </w:rPr>
        <w:t>For the Year Ended 31 December 2018</w:t>
      </w:r>
    </w:p>
    <w:p w14:paraId="08368389" w14:textId="77777777" w:rsidR="00FA4AA8" w:rsidRDefault="00FA4AA8">
      <w:pPr>
        <w:rPr>
          <w:sz w:val="20"/>
        </w:rPr>
        <w:sectPr w:rsidR="00FA4AA8">
          <w:headerReference w:type="default" r:id="rId140"/>
          <w:footerReference w:type="default" r:id="rId141"/>
          <w:pgSz w:w="11910" w:h="16840"/>
          <w:pgMar w:top="1580" w:right="960" w:bottom="720" w:left="860" w:header="0" w:footer="523" w:gutter="0"/>
          <w:pgNumType w:start="145"/>
          <w:cols w:space="720"/>
        </w:sectPr>
      </w:pPr>
    </w:p>
    <w:p w14:paraId="2E60CEE0" w14:textId="77777777" w:rsidR="00FA4AA8" w:rsidRDefault="00FA4AA8">
      <w:pPr>
        <w:pStyle w:val="BodyText"/>
        <w:rPr>
          <w:b/>
          <w:sz w:val="11"/>
        </w:rPr>
      </w:pPr>
    </w:p>
    <w:p w14:paraId="52ED3261" w14:textId="77777777" w:rsidR="00FA4AA8" w:rsidRDefault="0015611F">
      <w:pPr>
        <w:spacing w:before="92"/>
        <w:ind w:left="147"/>
        <w:rPr>
          <w:b/>
          <w:sz w:val="24"/>
        </w:rPr>
      </w:pPr>
      <w:bookmarkStart w:id="180" w:name="Statement_by_Directors"/>
      <w:bookmarkEnd w:id="180"/>
      <w:r>
        <w:rPr>
          <w:b/>
          <w:sz w:val="24"/>
        </w:rPr>
        <w:t>Statement by Directors</w:t>
      </w:r>
    </w:p>
    <w:p w14:paraId="70B28642" w14:textId="77777777" w:rsidR="00FA4AA8" w:rsidRDefault="00FA4AA8">
      <w:pPr>
        <w:pStyle w:val="BodyText"/>
        <w:spacing w:before="2"/>
        <w:rPr>
          <w:b/>
          <w:sz w:val="25"/>
        </w:rPr>
      </w:pPr>
    </w:p>
    <w:p w14:paraId="0BD575B6" w14:textId="77777777" w:rsidR="00FA4AA8" w:rsidRDefault="0015611F">
      <w:pPr>
        <w:pStyle w:val="BodyText"/>
        <w:ind w:left="147"/>
      </w:pPr>
      <w:r>
        <w:t>The directors of Western Sydney University Early Learning Limited declare that:</w:t>
      </w:r>
    </w:p>
    <w:p w14:paraId="1711719B" w14:textId="77777777" w:rsidR="00FA4AA8" w:rsidRDefault="00FA4AA8">
      <w:pPr>
        <w:pStyle w:val="BodyText"/>
        <w:rPr>
          <w:sz w:val="20"/>
        </w:rPr>
      </w:pPr>
    </w:p>
    <w:p w14:paraId="133FFA6A" w14:textId="77777777" w:rsidR="00FA4AA8" w:rsidRDefault="00FA4AA8">
      <w:pPr>
        <w:pStyle w:val="BodyText"/>
        <w:spacing w:before="11"/>
        <w:rPr>
          <w:sz w:val="22"/>
        </w:rPr>
      </w:pPr>
    </w:p>
    <w:p w14:paraId="18766357" w14:textId="77777777" w:rsidR="00FA4AA8" w:rsidRDefault="0015611F">
      <w:pPr>
        <w:pStyle w:val="ListParagraph"/>
        <w:numPr>
          <w:ilvl w:val="0"/>
          <w:numId w:val="52"/>
        </w:numPr>
        <w:tabs>
          <w:tab w:val="left" w:pos="543"/>
          <w:tab w:val="left" w:pos="544"/>
        </w:tabs>
        <w:ind w:right="153"/>
        <w:rPr>
          <w:sz w:val="18"/>
        </w:rPr>
      </w:pPr>
      <w:r>
        <w:rPr>
          <w:sz w:val="18"/>
        </w:rPr>
        <w:t xml:space="preserve">Under s41C (1b) of the </w:t>
      </w:r>
      <w:r>
        <w:rPr>
          <w:i/>
          <w:sz w:val="18"/>
        </w:rPr>
        <w:t xml:space="preserve">Public Finance &amp; Audit Act 1983 </w:t>
      </w:r>
      <w:r>
        <w:rPr>
          <w:sz w:val="18"/>
        </w:rPr>
        <w:t>we state to the best of our knowledge and belief the financial statements and notes, as set out on pages 149 to</w:t>
      </w:r>
      <w:r>
        <w:rPr>
          <w:spacing w:val="10"/>
          <w:sz w:val="18"/>
        </w:rPr>
        <w:t xml:space="preserve"> </w:t>
      </w:r>
      <w:r>
        <w:rPr>
          <w:sz w:val="18"/>
        </w:rPr>
        <w:t>162:</w:t>
      </w:r>
    </w:p>
    <w:p w14:paraId="10CDC83D" w14:textId="77777777" w:rsidR="00FA4AA8" w:rsidRDefault="00FA4AA8">
      <w:pPr>
        <w:pStyle w:val="BodyText"/>
        <w:spacing w:before="10"/>
        <w:rPr>
          <w:sz w:val="24"/>
        </w:rPr>
      </w:pPr>
    </w:p>
    <w:p w14:paraId="41879883" w14:textId="77777777" w:rsidR="00FA4AA8" w:rsidRDefault="0015611F">
      <w:pPr>
        <w:pStyle w:val="ListParagraph"/>
        <w:numPr>
          <w:ilvl w:val="1"/>
          <w:numId w:val="52"/>
        </w:numPr>
        <w:tabs>
          <w:tab w:val="left" w:pos="939"/>
          <w:tab w:val="left" w:pos="940"/>
        </w:tabs>
        <w:rPr>
          <w:sz w:val="18"/>
        </w:rPr>
      </w:pPr>
      <w:r>
        <w:rPr>
          <w:sz w:val="18"/>
        </w:rPr>
        <w:t>comply with:</w:t>
      </w:r>
    </w:p>
    <w:p w14:paraId="09F2B6F4" w14:textId="77777777" w:rsidR="00FA4AA8" w:rsidRDefault="00FA4AA8">
      <w:pPr>
        <w:pStyle w:val="BodyText"/>
        <w:rPr>
          <w:sz w:val="25"/>
        </w:rPr>
      </w:pPr>
    </w:p>
    <w:p w14:paraId="3F616E8E" w14:textId="77777777" w:rsidR="00FA4AA8" w:rsidRDefault="0015611F">
      <w:pPr>
        <w:pStyle w:val="ListParagraph"/>
        <w:numPr>
          <w:ilvl w:val="0"/>
          <w:numId w:val="51"/>
        </w:numPr>
        <w:tabs>
          <w:tab w:val="left" w:pos="656"/>
        </w:tabs>
        <w:ind w:right="421" w:firstLine="0"/>
        <w:rPr>
          <w:sz w:val="18"/>
        </w:rPr>
      </w:pPr>
      <w:r>
        <w:rPr>
          <w:sz w:val="18"/>
        </w:rPr>
        <w:t>Australian Accounting Standards - Reduced Disclosure Requirements, Australian Accounting Interpretations and other authoritative pronouncements of the Australian Accounting Standards</w:t>
      </w:r>
      <w:r>
        <w:rPr>
          <w:spacing w:val="8"/>
          <w:sz w:val="18"/>
        </w:rPr>
        <w:t xml:space="preserve"> </w:t>
      </w:r>
      <w:r>
        <w:rPr>
          <w:sz w:val="18"/>
        </w:rPr>
        <w:t>Board</w:t>
      </w:r>
    </w:p>
    <w:p w14:paraId="17DB151B" w14:textId="77777777" w:rsidR="00FA4AA8" w:rsidRDefault="0015611F">
      <w:pPr>
        <w:pStyle w:val="ListParagraph"/>
        <w:numPr>
          <w:ilvl w:val="0"/>
          <w:numId w:val="51"/>
        </w:numPr>
        <w:tabs>
          <w:tab w:val="left" w:pos="655"/>
        </w:tabs>
        <w:spacing w:before="141"/>
        <w:ind w:left="654" w:hanging="111"/>
        <w:rPr>
          <w:sz w:val="18"/>
        </w:rPr>
      </w:pPr>
      <w:r>
        <w:rPr>
          <w:i/>
          <w:sz w:val="18"/>
        </w:rPr>
        <w:t>The Public Finance &amp; Audit Act 1983</w:t>
      </w:r>
      <w:r>
        <w:rPr>
          <w:sz w:val="18"/>
        </w:rPr>
        <w:t>, and</w:t>
      </w:r>
      <w:r>
        <w:rPr>
          <w:spacing w:val="8"/>
          <w:sz w:val="18"/>
        </w:rPr>
        <w:t xml:space="preserve"> </w:t>
      </w:r>
      <w:r>
        <w:rPr>
          <w:sz w:val="18"/>
        </w:rPr>
        <w:t>Regulation</w:t>
      </w:r>
    </w:p>
    <w:p w14:paraId="4AC56647" w14:textId="77777777" w:rsidR="00FA4AA8" w:rsidRDefault="0015611F">
      <w:pPr>
        <w:pStyle w:val="ListParagraph"/>
        <w:numPr>
          <w:ilvl w:val="0"/>
          <w:numId w:val="51"/>
        </w:numPr>
        <w:tabs>
          <w:tab w:val="left" w:pos="655"/>
        </w:tabs>
        <w:spacing w:before="141"/>
        <w:ind w:left="654"/>
        <w:rPr>
          <w:sz w:val="18"/>
        </w:rPr>
      </w:pPr>
      <w:r>
        <w:rPr>
          <w:i/>
          <w:sz w:val="18"/>
        </w:rPr>
        <w:t>The Australian Charities and Not-For-Profits Commission Act 2012</w:t>
      </w:r>
      <w:r>
        <w:rPr>
          <w:sz w:val="18"/>
        </w:rPr>
        <w:t>,</w:t>
      </w:r>
      <w:r>
        <w:rPr>
          <w:spacing w:val="2"/>
          <w:sz w:val="18"/>
        </w:rPr>
        <w:t xml:space="preserve"> </w:t>
      </w:r>
      <w:r>
        <w:rPr>
          <w:sz w:val="18"/>
        </w:rPr>
        <w:t>and</w:t>
      </w:r>
    </w:p>
    <w:p w14:paraId="11F197D9" w14:textId="77777777" w:rsidR="00FA4AA8" w:rsidRDefault="00FA4AA8">
      <w:pPr>
        <w:pStyle w:val="BodyText"/>
        <w:rPr>
          <w:sz w:val="25"/>
        </w:rPr>
      </w:pPr>
    </w:p>
    <w:p w14:paraId="7C5B2271" w14:textId="77777777" w:rsidR="00FA4AA8" w:rsidRDefault="0015611F">
      <w:pPr>
        <w:pStyle w:val="ListParagraph"/>
        <w:numPr>
          <w:ilvl w:val="1"/>
          <w:numId w:val="52"/>
        </w:numPr>
        <w:tabs>
          <w:tab w:val="left" w:pos="939"/>
          <w:tab w:val="left" w:pos="940"/>
        </w:tabs>
        <w:ind w:right="412"/>
        <w:rPr>
          <w:sz w:val="18"/>
        </w:rPr>
      </w:pPr>
      <w:r>
        <w:rPr>
          <w:sz w:val="18"/>
        </w:rPr>
        <w:t>give a true and fair view of the financial position as at 31 December 2018 and of the performance for the year ended on that date of Western Sydney University Early Learning</w:t>
      </w:r>
      <w:r>
        <w:rPr>
          <w:spacing w:val="6"/>
          <w:sz w:val="18"/>
        </w:rPr>
        <w:t xml:space="preserve"> </w:t>
      </w:r>
      <w:r>
        <w:rPr>
          <w:sz w:val="18"/>
        </w:rPr>
        <w:t>Limited.</w:t>
      </w:r>
    </w:p>
    <w:p w14:paraId="4F45353F" w14:textId="77777777" w:rsidR="00FA4AA8" w:rsidRDefault="00FA4AA8">
      <w:pPr>
        <w:pStyle w:val="BodyText"/>
        <w:spacing w:before="9"/>
        <w:rPr>
          <w:sz w:val="17"/>
        </w:rPr>
      </w:pPr>
    </w:p>
    <w:p w14:paraId="2D1896D1" w14:textId="77777777" w:rsidR="00FA4AA8" w:rsidRDefault="0015611F">
      <w:pPr>
        <w:pStyle w:val="ListParagraph"/>
        <w:numPr>
          <w:ilvl w:val="0"/>
          <w:numId w:val="52"/>
        </w:numPr>
        <w:tabs>
          <w:tab w:val="left" w:pos="543"/>
          <w:tab w:val="left" w:pos="544"/>
        </w:tabs>
        <w:spacing w:before="1"/>
        <w:ind w:right="569"/>
        <w:rPr>
          <w:sz w:val="18"/>
        </w:rPr>
      </w:pPr>
      <w:r>
        <w:rPr>
          <w:sz w:val="18"/>
        </w:rPr>
        <w:t>In the directors' opinion, there are reasonable grounds to believe that Western Sydney University Early Learning Limited will be able to pay its debts as and when they become due and</w:t>
      </w:r>
      <w:r>
        <w:rPr>
          <w:spacing w:val="3"/>
          <w:sz w:val="18"/>
        </w:rPr>
        <w:t xml:space="preserve"> </w:t>
      </w:r>
      <w:r>
        <w:rPr>
          <w:sz w:val="18"/>
        </w:rPr>
        <w:t>payable.</w:t>
      </w:r>
    </w:p>
    <w:p w14:paraId="235E9D1B" w14:textId="77777777" w:rsidR="00FA4AA8" w:rsidRDefault="00FA4AA8">
      <w:pPr>
        <w:pStyle w:val="BodyText"/>
        <w:spacing w:before="9"/>
        <w:rPr>
          <w:sz w:val="17"/>
        </w:rPr>
      </w:pPr>
    </w:p>
    <w:p w14:paraId="7FBDCBBA" w14:textId="77777777" w:rsidR="00FA4AA8" w:rsidRDefault="0015611F">
      <w:pPr>
        <w:pStyle w:val="ListParagraph"/>
        <w:numPr>
          <w:ilvl w:val="0"/>
          <w:numId w:val="52"/>
        </w:numPr>
        <w:tabs>
          <w:tab w:val="left" w:pos="543"/>
          <w:tab w:val="left" w:pos="544"/>
        </w:tabs>
        <w:ind w:right="186"/>
        <w:rPr>
          <w:sz w:val="18"/>
        </w:rPr>
      </w:pPr>
      <w:r>
        <w:rPr>
          <w:spacing w:val="5"/>
          <w:sz w:val="18"/>
        </w:rPr>
        <w:t xml:space="preserve">We </w:t>
      </w:r>
      <w:r>
        <w:rPr>
          <w:sz w:val="18"/>
        </w:rPr>
        <w:t>are not aware of any circumstances which would render any particulars included in the financial statements to be misleading or</w:t>
      </w:r>
      <w:r>
        <w:rPr>
          <w:spacing w:val="2"/>
          <w:sz w:val="18"/>
        </w:rPr>
        <w:t xml:space="preserve"> </w:t>
      </w:r>
      <w:r>
        <w:rPr>
          <w:sz w:val="18"/>
        </w:rPr>
        <w:t>inaccurate.</w:t>
      </w:r>
    </w:p>
    <w:p w14:paraId="2F3DA43E" w14:textId="77777777" w:rsidR="00FA4AA8" w:rsidRDefault="00FA4AA8">
      <w:pPr>
        <w:pStyle w:val="BodyText"/>
        <w:spacing w:before="11"/>
        <w:rPr>
          <w:sz w:val="24"/>
        </w:rPr>
      </w:pPr>
    </w:p>
    <w:p w14:paraId="6AD2BA29" w14:textId="77777777" w:rsidR="00FA4AA8" w:rsidRDefault="0015611F">
      <w:pPr>
        <w:ind w:left="148"/>
        <w:rPr>
          <w:sz w:val="18"/>
        </w:rPr>
      </w:pPr>
      <w:r>
        <w:rPr>
          <w:sz w:val="18"/>
        </w:rPr>
        <w:t xml:space="preserve">This declaration is made in accordance with a resolution of the Board of Directors, pursuant to section 41(C) of the </w:t>
      </w:r>
      <w:r>
        <w:rPr>
          <w:i/>
          <w:sz w:val="18"/>
        </w:rPr>
        <w:t>Public Finance and Audit Act 1983</w:t>
      </w:r>
      <w:r>
        <w:rPr>
          <w:sz w:val="18"/>
        </w:rPr>
        <w:t>.</w:t>
      </w:r>
    </w:p>
    <w:p w14:paraId="313C965B" w14:textId="77777777" w:rsidR="00FA4AA8" w:rsidRDefault="00FA4AA8">
      <w:pPr>
        <w:pStyle w:val="BodyText"/>
        <w:rPr>
          <w:sz w:val="20"/>
        </w:rPr>
      </w:pPr>
    </w:p>
    <w:p w14:paraId="7C60E46A" w14:textId="77777777" w:rsidR="00FA4AA8" w:rsidRDefault="00FA4AA8">
      <w:pPr>
        <w:pStyle w:val="BodyText"/>
        <w:rPr>
          <w:sz w:val="20"/>
        </w:rPr>
      </w:pPr>
    </w:p>
    <w:p w14:paraId="2C27C207" w14:textId="77777777" w:rsidR="00FA4AA8" w:rsidRDefault="00FA4AA8">
      <w:pPr>
        <w:pStyle w:val="BodyText"/>
        <w:rPr>
          <w:sz w:val="20"/>
        </w:rPr>
      </w:pPr>
    </w:p>
    <w:p w14:paraId="0C4B426A" w14:textId="77777777" w:rsidR="00FA4AA8" w:rsidRDefault="00FA4AA8">
      <w:pPr>
        <w:pStyle w:val="BodyText"/>
        <w:rPr>
          <w:sz w:val="20"/>
        </w:rPr>
      </w:pPr>
    </w:p>
    <w:p w14:paraId="3E3F9501" w14:textId="77777777" w:rsidR="00FA4AA8" w:rsidRDefault="00FA4AA8">
      <w:pPr>
        <w:pStyle w:val="BodyText"/>
        <w:rPr>
          <w:sz w:val="22"/>
        </w:rPr>
      </w:pPr>
    </w:p>
    <w:p w14:paraId="28441F8E" w14:textId="77777777" w:rsidR="00FA4AA8" w:rsidRDefault="007E2441">
      <w:pPr>
        <w:pStyle w:val="BodyText"/>
        <w:spacing w:before="94"/>
        <w:ind w:left="151"/>
      </w:pPr>
      <w:r>
        <w:rPr>
          <w:noProof/>
          <w:lang w:val="en-AU" w:eastAsia="en-AU"/>
        </w:rPr>
        <mc:AlternateContent>
          <mc:Choice Requires="wps">
            <w:drawing>
              <wp:anchor distT="0" distB="0" distL="114300" distR="114300" simplePos="0" relativeHeight="462775808" behindDoc="1" locked="0" layoutInCell="1" allowOverlap="1" wp14:anchorId="7CACEA16" wp14:editId="109D57DD">
                <wp:simplePos x="0" y="0"/>
                <wp:positionH relativeFrom="page">
                  <wp:posOffset>1075690</wp:posOffset>
                </wp:positionH>
                <wp:positionV relativeFrom="paragraph">
                  <wp:posOffset>63500</wp:posOffset>
                </wp:positionV>
                <wp:extent cx="4610735" cy="920750"/>
                <wp:effectExtent l="0" t="0" r="0" b="0"/>
                <wp:wrapNone/>
                <wp:docPr id="1032" name="Text Box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735" cy="920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86B36" w14:textId="77777777" w:rsidR="001F3ACE" w:rsidRDefault="001F3ACE">
                            <w:pPr>
                              <w:pStyle w:val="BodyText"/>
                              <w:spacing w:line="201" w:lineRule="exact"/>
                            </w:pPr>
                            <w:r>
                              <w:t>................................................................................................................................................</w:t>
                            </w:r>
                          </w:p>
                          <w:p w14:paraId="4D75C810" w14:textId="77777777" w:rsidR="001F3ACE" w:rsidRDefault="001F3ACE">
                            <w:pPr>
                              <w:pStyle w:val="BodyText"/>
                              <w:rPr>
                                <w:sz w:val="20"/>
                              </w:rPr>
                            </w:pPr>
                          </w:p>
                          <w:p w14:paraId="3A88F8A9" w14:textId="77777777" w:rsidR="001F3ACE" w:rsidRDefault="001F3ACE">
                            <w:pPr>
                              <w:pStyle w:val="BodyText"/>
                              <w:rPr>
                                <w:sz w:val="20"/>
                              </w:rPr>
                            </w:pPr>
                          </w:p>
                          <w:p w14:paraId="33B845FC" w14:textId="77777777" w:rsidR="001F3ACE" w:rsidRDefault="001F3ACE">
                            <w:pPr>
                              <w:pStyle w:val="BodyText"/>
                              <w:rPr>
                                <w:sz w:val="20"/>
                              </w:rPr>
                            </w:pPr>
                          </w:p>
                          <w:p w14:paraId="3F619F2D" w14:textId="77777777" w:rsidR="001F3ACE" w:rsidRDefault="001F3ACE">
                            <w:pPr>
                              <w:pStyle w:val="BodyText"/>
                              <w:rPr>
                                <w:sz w:val="20"/>
                              </w:rPr>
                            </w:pPr>
                          </w:p>
                          <w:p w14:paraId="1F2457E4" w14:textId="77777777" w:rsidR="001F3ACE" w:rsidRDefault="001F3ACE">
                            <w:pPr>
                              <w:pStyle w:val="BodyText"/>
                              <w:spacing w:before="121"/>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CEA16" id="Text Box 798" o:spid="_x0000_s1046" type="#_x0000_t202" style="position:absolute;left:0;text-align:left;margin-left:84.7pt;margin-top:5pt;width:363.05pt;height:72.5pt;z-index:-40540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" filled="f" stroked="f">
                <v:textbox inset="0,0,0,0">
                  <w:txbxContent>
                    <w:p w14:paraId="56386B36" w14:textId="77777777" w:rsidR="001F3ACE" w:rsidRDefault="001F3ACE">
                      <w:pPr>
                        <w:pStyle w:val="BodyText"/>
                        <w:spacing w:line="201" w:lineRule="exact"/>
                      </w:pPr>
                      <w:r>
                        <w:t>................................................................................................................................................</w:t>
                      </w:r>
                    </w:p>
                    <w:p w14:paraId="4D75C810" w14:textId="77777777" w:rsidR="001F3ACE" w:rsidRDefault="001F3ACE">
                      <w:pPr>
                        <w:pStyle w:val="BodyText"/>
                        <w:rPr>
                          <w:sz w:val="20"/>
                        </w:rPr>
                      </w:pPr>
                    </w:p>
                    <w:p w14:paraId="3A88F8A9" w14:textId="77777777" w:rsidR="001F3ACE" w:rsidRDefault="001F3ACE">
                      <w:pPr>
                        <w:pStyle w:val="BodyText"/>
                        <w:rPr>
                          <w:sz w:val="20"/>
                        </w:rPr>
                      </w:pPr>
                    </w:p>
                    <w:p w14:paraId="33B845FC" w14:textId="77777777" w:rsidR="001F3ACE" w:rsidRDefault="001F3ACE">
                      <w:pPr>
                        <w:pStyle w:val="BodyText"/>
                        <w:rPr>
                          <w:sz w:val="20"/>
                        </w:rPr>
                      </w:pPr>
                    </w:p>
                    <w:p w14:paraId="3F619F2D" w14:textId="77777777" w:rsidR="001F3ACE" w:rsidRDefault="001F3ACE">
                      <w:pPr>
                        <w:pStyle w:val="BodyText"/>
                        <w:rPr>
                          <w:sz w:val="20"/>
                        </w:rPr>
                      </w:pPr>
                    </w:p>
                    <w:p w14:paraId="1F2457E4" w14:textId="77777777" w:rsidR="001F3ACE" w:rsidRDefault="001F3ACE">
                      <w:pPr>
                        <w:pStyle w:val="BodyText"/>
                        <w:spacing w:before="121"/>
                      </w:pPr>
                      <w:r>
                        <w:t>................................................................................................................................................</w:t>
                      </w:r>
                    </w:p>
                  </w:txbxContent>
                </v:textbox>
                <w10:wrap anchorx="page"/>
              </v:shape>
            </w:pict>
          </mc:Fallback>
        </mc:AlternateContent>
      </w:r>
      <w:r w:rsidR="0015611F">
        <w:rPr>
          <w:noProof/>
          <w:lang w:val="en-AU" w:eastAsia="en-AU"/>
        </w:rPr>
        <w:drawing>
          <wp:anchor distT="0" distB="0" distL="0" distR="0" simplePos="0" relativeHeight="15789568" behindDoc="0" locked="0" layoutInCell="1" allowOverlap="1" wp14:anchorId="7F407526" wp14:editId="66DB3806">
            <wp:simplePos x="0" y="0"/>
            <wp:positionH relativeFrom="page">
              <wp:posOffset>1086227</wp:posOffset>
            </wp:positionH>
            <wp:positionV relativeFrom="paragraph">
              <wp:posOffset>-430747</wp:posOffset>
            </wp:positionV>
            <wp:extent cx="4635995" cy="1443545"/>
            <wp:effectExtent l="0" t="0" r="0" b="0"/>
            <wp:wrapNone/>
            <wp:docPr id="59"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1.jpeg"/>
                    <pic:cNvPicPr/>
                  </pic:nvPicPr>
                  <pic:blipFill>
                    <a:blip r:embed="rId142" cstate="print"/>
                    <a:stretch>
                      <a:fillRect/>
                    </a:stretch>
                  </pic:blipFill>
                  <pic:spPr>
                    <a:xfrm>
                      <a:off x="0" y="0"/>
                      <a:ext cx="4635995" cy="1443545"/>
                    </a:xfrm>
                    <a:prstGeom prst="rect">
                      <a:avLst/>
                    </a:prstGeom>
                  </pic:spPr>
                </pic:pic>
              </a:graphicData>
            </a:graphic>
          </wp:anchor>
        </w:drawing>
      </w:r>
      <w:r w:rsidR="0015611F">
        <w:t>Director</w:t>
      </w:r>
    </w:p>
    <w:p w14:paraId="587B5C68" w14:textId="77777777" w:rsidR="00FA4AA8" w:rsidRDefault="00FA4AA8">
      <w:pPr>
        <w:pStyle w:val="BodyText"/>
        <w:rPr>
          <w:sz w:val="20"/>
        </w:rPr>
      </w:pPr>
    </w:p>
    <w:p w14:paraId="0F94E91C" w14:textId="77777777" w:rsidR="00FA4AA8" w:rsidRDefault="00FA4AA8">
      <w:pPr>
        <w:pStyle w:val="BodyText"/>
        <w:rPr>
          <w:sz w:val="20"/>
        </w:rPr>
      </w:pPr>
    </w:p>
    <w:p w14:paraId="5EBF9D27" w14:textId="77777777" w:rsidR="00FA4AA8" w:rsidRDefault="00FA4AA8">
      <w:pPr>
        <w:pStyle w:val="BodyText"/>
        <w:rPr>
          <w:sz w:val="20"/>
        </w:rPr>
      </w:pPr>
    </w:p>
    <w:p w14:paraId="77FCD408" w14:textId="77777777" w:rsidR="00FA4AA8" w:rsidRDefault="00FA4AA8">
      <w:pPr>
        <w:pStyle w:val="BodyText"/>
        <w:rPr>
          <w:sz w:val="20"/>
        </w:rPr>
      </w:pPr>
    </w:p>
    <w:p w14:paraId="395F2234" w14:textId="77777777" w:rsidR="00FA4AA8" w:rsidRDefault="0015611F">
      <w:pPr>
        <w:pStyle w:val="BodyText"/>
        <w:spacing w:before="121"/>
        <w:ind w:left="151"/>
      </w:pPr>
      <w:r>
        <w:t>Director</w:t>
      </w:r>
    </w:p>
    <w:p w14:paraId="11B002EE" w14:textId="77777777" w:rsidR="00FA4AA8" w:rsidRDefault="00FA4AA8">
      <w:pPr>
        <w:pStyle w:val="BodyText"/>
        <w:rPr>
          <w:sz w:val="20"/>
        </w:rPr>
      </w:pPr>
    </w:p>
    <w:p w14:paraId="286D165D" w14:textId="77777777" w:rsidR="00FA4AA8" w:rsidRDefault="00FA4AA8">
      <w:pPr>
        <w:pStyle w:val="BodyText"/>
        <w:rPr>
          <w:sz w:val="20"/>
        </w:rPr>
      </w:pPr>
    </w:p>
    <w:p w14:paraId="7BFFC692" w14:textId="77777777" w:rsidR="00FA4AA8" w:rsidRDefault="00FA4AA8">
      <w:pPr>
        <w:pStyle w:val="BodyText"/>
        <w:rPr>
          <w:sz w:val="20"/>
        </w:rPr>
      </w:pPr>
    </w:p>
    <w:p w14:paraId="1E71D89C" w14:textId="77777777" w:rsidR="00FA4AA8" w:rsidRDefault="00FA4AA8">
      <w:pPr>
        <w:pStyle w:val="BodyText"/>
        <w:rPr>
          <w:sz w:val="16"/>
        </w:rPr>
      </w:pPr>
    </w:p>
    <w:p w14:paraId="108F9F08" w14:textId="77777777" w:rsidR="00FA4AA8" w:rsidRDefault="007E2441">
      <w:pPr>
        <w:pStyle w:val="BodyText"/>
        <w:tabs>
          <w:tab w:val="left" w:pos="2123"/>
          <w:tab w:val="right" w:leader="dot" w:pos="5894"/>
        </w:tabs>
        <w:spacing w:before="94"/>
        <w:ind w:left="147"/>
      </w:pPr>
      <w:r>
        <w:rPr>
          <w:noProof/>
          <w:lang w:val="en-AU" w:eastAsia="en-AU"/>
        </w:rPr>
        <mc:AlternateContent>
          <mc:Choice Requires="wps">
            <w:drawing>
              <wp:anchor distT="0" distB="0" distL="114300" distR="114300" simplePos="0" relativeHeight="462774784" behindDoc="1" locked="0" layoutInCell="1" allowOverlap="1" wp14:anchorId="03013CE3" wp14:editId="618989DC">
                <wp:simplePos x="0" y="0"/>
                <wp:positionH relativeFrom="page">
                  <wp:posOffset>1253490</wp:posOffset>
                </wp:positionH>
                <wp:positionV relativeFrom="paragraph">
                  <wp:posOffset>63500</wp:posOffset>
                </wp:positionV>
                <wp:extent cx="641350" cy="128270"/>
                <wp:effectExtent l="0" t="0" r="0" b="0"/>
                <wp:wrapNone/>
                <wp:docPr id="1031" name="Text Box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86260" w14:textId="77777777" w:rsidR="001F3ACE" w:rsidRDefault="001F3ACE">
                            <w:pPr>
                              <w:pStyle w:val="BodyText"/>
                              <w:spacing w:line="201" w:lineRule="exact"/>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13CE3" id="Text Box 797" o:spid="_x0000_s1047" type="#_x0000_t202" style="position:absolute;left:0;text-align:left;margin-left:98.7pt;margin-top:5pt;width:50.5pt;height:10.1pt;z-index:-4054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" filled="f" stroked="f">
                <v:textbox inset="0,0,0,0">
                  <w:txbxContent>
                    <w:p w14:paraId="25686260" w14:textId="77777777" w:rsidR="001F3ACE" w:rsidRDefault="001F3ACE">
                      <w:pPr>
                        <w:pStyle w:val="BodyText"/>
                        <w:spacing w:line="201" w:lineRule="exact"/>
                      </w:pPr>
                      <w:r>
                        <w:t>....................</w:t>
                      </w:r>
                    </w:p>
                  </w:txbxContent>
                </v:textbox>
                <w10:wrap anchorx="page"/>
              </v:shape>
            </w:pict>
          </mc:Fallback>
        </mc:AlternateContent>
      </w:r>
      <w:r>
        <w:rPr>
          <w:noProof/>
          <w:lang w:val="en-AU" w:eastAsia="en-AU"/>
        </w:rPr>
        <mc:AlternateContent>
          <mc:Choice Requires="wps">
            <w:drawing>
              <wp:anchor distT="0" distB="0" distL="114300" distR="114300" simplePos="0" relativeHeight="462775296" behindDoc="1" locked="0" layoutInCell="1" allowOverlap="1" wp14:anchorId="747A9C01" wp14:editId="1EBFD677">
                <wp:simplePos x="0" y="0"/>
                <wp:positionH relativeFrom="page">
                  <wp:posOffset>2879725</wp:posOffset>
                </wp:positionH>
                <wp:positionV relativeFrom="paragraph">
                  <wp:posOffset>63500</wp:posOffset>
                </wp:positionV>
                <wp:extent cx="769620" cy="128270"/>
                <wp:effectExtent l="0" t="0" r="0" b="0"/>
                <wp:wrapNone/>
                <wp:docPr id="1030" name="Text 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E0CA7" w14:textId="77777777" w:rsidR="001F3ACE" w:rsidRDefault="001F3ACE">
                            <w:pPr>
                              <w:pStyle w:val="BodyText"/>
                              <w:spacing w:line="201" w:lineRule="exact"/>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A9C01" id="Text Box 796" o:spid="_x0000_s1048" type="#_x0000_t202" style="position:absolute;left:0;text-align:left;margin-left:226.75pt;margin-top:5pt;width:60.6pt;height:10.1pt;z-index:-4054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" filled="f" stroked="f">
                <v:textbox inset="0,0,0,0">
                  <w:txbxContent>
                    <w:p w14:paraId="080E0CA7" w14:textId="77777777" w:rsidR="001F3ACE" w:rsidRDefault="001F3ACE">
                      <w:pPr>
                        <w:pStyle w:val="BodyText"/>
                        <w:spacing w:line="201" w:lineRule="exact"/>
                      </w:pPr>
                      <w:r>
                        <w:t>........................</w:t>
                      </w:r>
                    </w:p>
                  </w:txbxContent>
                </v:textbox>
                <w10:wrap anchorx="page"/>
              </v:shape>
            </w:pict>
          </mc:Fallback>
        </mc:AlternateContent>
      </w:r>
      <w:r w:rsidR="0015611F">
        <w:rPr>
          <w:noProof/>
          <w:lang w:val="en-AU" w:eastAsia="en-AU"/>
        </w:rPr>
        <w:drawing>
          <wp:anchor distT="0" distB="0" distL="0" distR="0" simplePos="0" relativeHeight="462776320" behindDoc="1" locked="0" layoutInCell="1" allowOverlap="1" wp14:anchorId="40934FB3" wp14:editId="6E654FE7">
            <wp:simplePos x="0" y="0"/>
            <wp:positionH relativeFrom="page">
              <wp:posOffset>1280960</wp:posOffset>
            </wp:positionH>
            <wp:positionV relativeFrom="paragraph">
              <wp:posOffset>-65808</wp:posOffset>
            </wp:positionV>
            <wp:extent cx="602721" cy="215299"/>
            <wp:effectExtent l="0" t="0" r="0" b="0"/>
            <wp:wrapNone/>
            <wp:docPr id="61"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2.jpeg"/>
                    <pic:cNvPicPr/>
                  </pic:nvPicPr>
                  <pic:blipFill>
                    <a:blip r:embed="rId143" cstate="print"/>
                    <a:stretch>
                      <a:fillRect/>
                    </a:stretch>
                  </pic:blipFill>
                  <pic:spPr>
                    <a:xfrm>
                      <a:off x="0" y="0"/>
                      <a:ext cx="602721" cy="215299"/>
                    </a:xfrm>
                    <a:prstGeom prst="rect">
                      <a:avLst/>
                    </a:prstGeom>
                  </pic:spPr>
                </pic:pic>
              </a:graphicData>
            </a:graphic>
          </wp:anchor>
        </w:drawing>
      </w:r>
      <w:r w:rsidR="0015611F">
        <w:rPr>
          <w:noProof/>
          <w:lang w:val="en-AU" w:eastAsia="en-AU"/>
        </w:rPr>
        <w:drawing>
          <wp:anchor distT="0" distB="0" distL="0" distR="0" simplePos="0" relativeHeight="462776832" behindDoc="1" locked="0" layoutInCell="1" allowOverlap="1" wp14:anchorId="3FB754DE" wp14:editId="773F9D8A">
            <wp:simplePos x="0" y="0"/>
            <wp:positionH relativeFrom="page">
              <wp:posOffset>2921952</wp:posOffset>
            </wp:positionH>
            <wp:positionV relativeFrom="paragraph">
              <wp:posOffset>-8853</wp:posOffset>
            </wp:positionV>
            <wp:extent cx="731273" cy="163487"/>
            <wp:effectExtent l="0" t="0" r="0" b="0"/>
            <wp:wrapNone/>
            <wp:docPr id="63"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3.jpeg"/>
                    <pic:cNvPicPr/>
                  </pic:nvPicPr>
                  <pic:blipFill>
                    <a:blip r:embed="rId144" cstate="print"/>
                    <a:stretch>
                      <a:fillRect/>
                    </a:stretch>
                  </pic:blipFill>
                  <pic:spPr>
                    <a:xfrm>
                      <a:off x="0" y="0"/>
                      <a:ext cx="731273" cy="163487"/>
                    </a:xfrm>
                    <a:prstGeom prst="rect">
                      <a:avLst/>
                    </a:prstGeom>
                  </pic:spPr>
                </pic:pic>
              </a:graphicData>
            </a:graphic>
          </wp:anchor>
        </w:drawing>
      </w:r>
      <w:r w:rsidR="0015611F">
        <w:t xml:space="preserve">Dated this </w:t>
      </w:r>
      <w:r w:rsidR="0015611F">
        <w:rPr>
          <w:spacing w:val="1"/>
        </w:rPr>
        <w:t xml:space="preserve"> </w:t>
      </w:r>
      <w:r w:rsidR="0015611F">
        <w:t>.</w:t>
      </w:r>
      <w:r w:rsidR="0015611F">
        <w:tab/>
        <w:t>................</w:t>
      </w:r>
      <w:r w:rsidR="0015611F">
        <w:rPr>
          <w:spacing w:val="1"/>
        </w:rPr>
        <w:t xml:space="preserve"> </w:t>
      </w:r>
      <w:r w:rsidR="0015611F">
        <w:t>day of</w:t>
      </w:r>
      <w:r w:rsidR="0015611F">
        <w:tab/>
        <w:t>2019</w:t>
      </w:r>
    </w:p>
    <w:p w14:paraId="70D4BEE2" w14:textId="77777777" w:rsidR="00FA4AA8" w:rsidRDefault="00FA4AA8">
      <w:pPr>
        <w:sectPr w:rsidR="00FA4AA8">
          <w:headerReference w:type="default" r:id="rId145"/>
          <w:footerReference w:type="default" r:id="rId146"/>
          <w:pgSz w:w="11910" w:h="16840"/>
          <w:pgMar w:top="1580" w:right="960" w:bottom="720" w:left="860" w:header="1016" w:footer="523" w:gutter="0"/>
          <w:pgNumType w:start="146"/>
          <w:cols w:space="720"/>
        </w:sectPr>
      </w:pPr>
    </w:p>
    <w:p w14:paraId="2CABE129" w14:textId="77777777" w:rsidR="00FA4AA8" w:rsidRDefault="0015611F">
      <w:pPr>
        <w:spacing w:before="168"/>
        <w:ind w:left="147"/>
        <w:rPr>
          <w:b/>
        </w:rPr>
      </w:pPr>
      <w:r>
        <w:rPr>
          <w:b/>
        </w:rPr>
        <w:t>Responsible entities declaration</w:t>
      </w:r>
    </w:p>
    <w:p w14:paraId="58E99B83" w14:textId="77777777" w:rsidR="00FA4AA8" w:rsidRDefault="00FA4AA8">
      <w:pPr>
        <w:pStyle w:val="BodyText"/>
        <w:spacing w:before="1"/>
        <w:rPr>
          <w:b/>
          <w:sz w:val="25"/>
        </w:rPr>
      </w:pPr>
    </w:p>
    <w:p w14:paraId="14FFE495" w14:textId="77777777" w:rsidR="00FA4AA8" w:rsidRDefault="0015611F">
      <w:pPr>
        <w:pStyle w:val="BodyText"/>
        <w:ind w:left="147"/>
      </w:pPr>
      <w:r>
        <w:t>The responsible entity declares that in the responsible entity's opinion:</w:t>
      </w:r>
    </w:p>
    <w:p w14:paraId="37F0E280" w14:textId="77777777" w:rsidR="00FA4AA8" w:rsidRDefault="00FA4AA8">
      <w:pPr>
        <w:pStyle w:val="BodyText"/>
        <w:rPr>
          <w:sz w:val="25"/>
        </w:rPr>
      </w:pPr>
    </w:p>
    <w:p w14:paraId="2F2E0F15" w14:textId="77777777" w:rsidR="00FA4AA8" w:rsidRDefault="0015611F">
      <w:pPr>
        <w:pStyle w:val="ListParagraph"/>
        <w:numPr>
          <w:ilvl w:val="0"/>
          <w:numId w:val="50"/>
        </w:numPr>
        <w:tabs>
          <w:tab w:val="left" w:pos="877"/>
          <w:tab w:val="left" w:pos="878"/>
        </w:tabs>
        <w:ind w:right="211"/>
        <w:rPr>
          <w:sz w:val="18"/>
        </w:rPr>
      </w:pPr>
      <w:r>
        <w:rPr>
          <w:sz w:val="18"/>
        </w:rPr>
        <w:t>there are reasonable grounds to believe that the registered entity is able to pay all of its debts, as and when they become due and payable;</w:t>
      </w:r>
      <w:r>
        <w:rPr>
          <w:spacing w:val="4"/>
          <w:sz w:val="18"/>
        </w:rPr>
        <w:t xml:space="preserve"> </w:t>
      </w:r>
      <w:r>
        <w:rPr>
          <w:sz w:val="18"/>
        </w:rPr>
        <w:t>and</w:t>
      </w:r>
    </w:p>
    <w:p w14:paraId="15057684" w14:textId="77777777" w:rsidR="00FA4AA8" w:rsidRDefault="00FA4AA8">
      <w:pPr>
        <w:pStyle w:val="BodyText"/>
        <w:spacing w:before="10"/>
        <w:rPr>
          <w:sz w:val="24"/>
        </w:rPr>
      </w:pPr>
    </w:p>
    <w:p w14:paraId="0DA07049" w14:textId="77777777" w:rsidR="00FA4AA8" w:rsidRDefault="0015611F">
      <w:pPr>
        <w:pStyle w:val="ListParagraph"/>
        <w:numPr>
          <w:ilvl w:val="0"/>
          <w:numId w:val="50"/>
        </w:numPr>
        <w:tabs>
          <w:tab w:val="left" w:pos="877"/>
          <w:tab w:val="left" w:pos="878"/>
        </w:tabs>
        <w:spacing w:before="1"/>
        <w:ind w:left="827" w:right="932" w:hanging="680"/>
        <w:rPr>
          <w:sz w:val="18"/>
        </w:rPr>
      </w:pPr>
      <w:r>
        <w:tab/>
      </w:r>
      <w:r>
        <w:rPr>
          <w:sz w:val="18"/>
        </w:rPr>
        <w:t xml:space="preserve">the financial statements and notes satisfy the requirements of the </w:t>
      </w:r>
      <w:r>
        <w:rPr>
          <w:i/>
          <w:sz w:val="18"/>
        </w:rPr>
        <w:t>Australian Charities and Not-for-profit Commission Act</w:t>
      </w:r>
      <w:r>
        <w:rPr>
          <w:i/>
          <w:spacing w:val="1"/>
          <w:sz w:val="18"/>
        </w:rPr>
        <w:t xml:space="preserve"> </w:t>
      </w:r>
      <w:r>
        <w:rPr>
          <w:i/>
          <w:sz w:val="18"/>
        </w:rPr>
        <w:t>2012</w:t>
      </w:r>
      <w:r>
        <w:rPr>
          <w:sz w:val="18"/>
        </w:rPr>
        <w:t>.</w:t>
      </w:r>
    </w:p>
    <w:p w14:paraId="5F005B30" w14:textId="77777777" w:rsidR="00FA4AA8" w:rsidRDefault="00FA4AA8">
      <w:pPr>
        <w:pStyle w:val="BodyText"/>
        <w:spacing w:before="10"/>
        <w:rPr>
          <w:sz w:val="24"/>
        </w:rPr>
      </w:pPr>
    </w:p>
    <w:p w14:paraId="2BB722E5" w14:textId="77777777" w:rsidR="00FA4AA8" w:rsidRDefault="0015611F">
      <w:pPr>
        <w:ind w:left="148"/>
        <w:rPr>
          <w:i/>
          <w:sz w:val="18"/>
        </w:rPr>
      </w:pPr>
      <w:r>
        <w:rPr>
          <w:sz w:val="18"/>
        </w:rPr>
        <w:t xml:space="preserve">Signed in accordance with subsection 60.15(2) of the </w:t>
      </w:r>
      <w:r>
        <w:rPr>
          <w:i/>
          <w:sz w:val="18"/>
        </w:rPr>
        <w:t>Australian Charities and not-for-profits Commission Regulation 2013.</w:t>
      </w:r>
    </w:p>
    <w:p w14:paraId="2BC27898" w14:textId="77777777" w:rsidR="00FA4AA8" w:rsidRDefault="00FA4AA8">
      <w:pPr>
        <w:pStyle w:val="BodyText"/>
        <w:rPr>
          <w:i/>
          <w:sz w:val="20"/>
        </w:rPr>
      </w:pPr>
    </w:p>
    <w:p w14:paraId="5E992B0B" w14:textId="77777777" w:rsidR="00FA4AA8" w:rsidRDefault="0015611F">
      <w:pPr>
        <w:pStyle w:val="BodyText"/>
        <w:spacing w:before="2"/>
        <w:rPr>
          <w:i/>
          <w:sz w:val="11"/>
        </w:rPr>
      </w:pPr>
      <w:r>
        <w:rPr>
          <w:noProof/>
          <w:lang w:val="en-AU" w:eastAsia="en-AU"/>
        </w:rPr>
        <w:drawing>
          <wp:anchor distT="0" distB="0" distL="0" distR="0" simplePos="0" relativeHeight="120" behindDoc="0" locked="0" layoutInCell="1" allowOverlap="1" wp14:anchorId="5E8BAF9E" wp14:editId="2FDD1D3C">
            <wp:simplePos x="0" y="0"/>
            <wp:positionH relativeFrom="page">
              <wp:posOffset>613192</wp:posOffset>
            </wp:positionH>
            <wp:positionV relativeFrom="paragraph">
              <wp:posOffset>106355</wp:posOffset>
            </wp:positionV>
            <wp:extent cx="3034464" cy="662177"/>
            <wp:effectExtent l="0" t="0" r="0" b="0"/>
            <wp:wrapTopAndBottom/>
            <wp:docPr id="65"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4.jpeg"/>
                    <pic:cNvPicPr/>
                  </pic:nvPicPr>
                  <pic:blipFill>
                    <a:blip r:embed="rId147" cstate="print"/>
                    <a:stretch>
                      <a:fillRect/>
                    </a:stretch>
                  </pic:blipFill>
                  <pic:spPr>
                    <a:xfrm>
                      <a:off x="0" y="0"/>
                      <a:ext cx="3034464" cy="662177"/>
                    </a:xfrm>
                    <a:prstGeom prst="rect">
                      <a:avLst/>
                    </a:prstGeom>
                  </pic:spPr>
                </pic:pic>
              </a:graphicData>
            </a:graphic>
          </wp:anchor>
        </w:drawing>
      </w:r>
    </w:p>
    <w:p w14:paraId="35153E4E" w14:textId="77777777" w:rsidR="00FA4AA8" w:rsidRDefault="00FA4AA8">
      <w:pPr>
        <w:pStyle w:val="BodyText"/>
        <w:spacing w:before="3"/>
        <w:rPr>
          <w:i/>
          <w:sz w:val="26"/>
        </w:rPr>
      </w:pPr>
    </w:p>
    <w:p w14:paraId="0B04131A" w14:textId="77777777" w:rsidR="00FA4AA8" w:rsidRDefault="0015611F">
      <w:pPr>
        <w:pStyle w:val="BodyText"/>
        <w:spacing w:line="573" w:lineRule="auto"/>
        <w:ind w:left="148" w:right="8511"/>
      </w:pPr>
      <w:r>
        <w:t>Darren Greentree Director</w:t>
      </w:r>
    </w:p>
    <w:p w14:paraId="365D7AFA" w14:textId="77777777" w:rsidR="00FA4AA8" w:rsidRDefault="0015611F">
      <w:pPr>
        <w:pStyle w:val="BodyText"/>
        <w:spacing w:line="206" w:lineRule="exact"/>
        <w:ind w:left="148"/>
      </w:pPr>
      <w:r>
        <w:t>5 March 2019</w:t>
      </w:r>
    </w:p>
    <w:p w14:paraId="3B439AF1" w14:textId="77777777" w:rsidR="00FA4AA8" w:rsidRDefault="00FA4AA8">
      <w:pPr>
        <w:spacing w:line="206" w:lineRule="exact"/>
        <w:sectPr w:rsidR="00FA4AA8">
          <w:pgSz w:w="11910" w:h="16840"/>
          <w:pgMar w:top="1580" w:right="960" w:bottom="720" w:left="860" w:header="1016" w:footer="523" w:gutter="0"/>
          <w:cols w:space="720"/>
        </w:sectPr>
      </w:pPr>
    </w:p>
    <w:p w14:paraId="2B9BEC63" w14:textId="77777777" w:rsidR="00FA4AA8" w:rsidRDefault="007E2441">
      <w:pPr>
        <w:pStyle w:val="BodyText"/>
        <w:ind w:left="4597"/>
        <w:rPr>
          <w:sz w:val="20"/>
        </w:rPr>
      </w:pPr>
      <w:r>
        <w:rPr>
          <w:noProof/>
          <w:sz w:val="20"/>
          <w:lang w:val="en-AU" w:eastAsia="en-AU"/>
        </w:rPr>
        <mc:AlternateContent>
          <mc:Choice Requires="wpg">
            <w:drawing>
              <wp:inline distT="0" distB="0" distL="0" distR="0" wp14:anchorId="50B762A9" wp14:editId="2650BB66">
                <wp:extent cx="914400" cy="756285"/>
                <wp:effectExtent l="0" t="0" r="0" b="0"/>
                <wp:docPr id="1027" name="Group 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756285"/>
                          <a:chOff x="0" y="0"/>
                          <a:chExt cx="1440" cy="1191"/>
                        </a:xfrm>
                      </wpg:grpSpPr>
                      <pic:pic xmlns:pic="http://schemas.openxmlformats.org/drawingml/2006/picture">
                        <pic:nvPicPr>
                          <pic:cNvPr id="1028" name="Picture 795"/>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86" y="0"/>
                            <a:ext cx="1354" cy="11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9" name="Picture 794"/>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470"/>
                            <a:ext cx="1263" cy="71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53558CC" id="Group 793" o:spid="_x0000_s1026" style="width:1in;height:59.55pt;mso-position-horizontal-relative:char;mso-position-vertical-relative:line" coordsize="1440,119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">
                <v:shape id="Picture 795" o:spid="_x0000_s1027" type="#_x0000_t75" style="position:absolute;left:86;width:1354;height:1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">
                  <v:imagedata r:id="rId150" o:title=""/>
                </v:shape>
                <v:shape id="Picture 794" o:spid="_x0000_s1028" type="#_x0000_t75" style="position:absolute;top:470;width:1263;height: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">
                  <v:imagedata r:id="rId151" o:title=""/>
                </v:shape>
                <w10:anchorlock/>
              </v:group>
            </w:pict>
          </mc:Fallback>
        </mc:AlternateContent>
      </w:r>
    </w:p>
    <w:p w14:paraId="17C86DD4" w14:textId="77777777" w:rsidR="00FA4AA8" w:rsidRDefault="0015611F">
      <w:pPr>
        <w:pStyle w:val="BodyText"/>
        <w:spacing w:before="7"/>
        <w:rPr>
          <w:sz w:val="15"/>
        </w:rPr>
      </w:pPr>
      <w:r>
        <w:rPr>
          <w:noProof/>
          <w:lang w:val="en-AU" w:eastAsia="en-AU"/>
        </w:rPr>
        <w:drawing>
          <wp:anchor distT="0" distB="0" distL="0" distR="0" simplePos="0" relativeHeight="122" behindDoc="0" locked="0" layoutInCell="1" allowOverlap="1" wp14:anchorId="0231EEE8" wp14:editId="50A6EC42">
            <wp:simplePos x="0" y="0"/>
            <wp:positionH relativeFrom="page">
              <wp:posOffset>3471671</wp:posOffset>
            </wp:positionH>
            <wp:positionV relativeFrom="paragraph">
              <wp:posOffset>139064</wp:posOffset>
            </wp:positionV>
            <wp:extent cx="637031" cy="155448"/>
            <wp:effectExtent l="0" t="0" r="0" b="0"/>
            <wp:wrapTopAndBottom/>
            <wp:docPr id="67"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7.jpeg"/>
                    <pic:cNvPicPr/>
                  </pic:nvPicPr>
                  <pic:blipFill>
                    <a:blip r:embed="rId152" cstate="print"/>
                    <a:stretch>
                      <a:fillRect/>
                    </a:stretch>
                  </pic:blipFill>
                  <pic:spPr>
                    <a:xfrm>
                      <a:off x="0" y="0"/>
                      <a:ext cx="637031" cy="155448"/>
                    </a:xfrm>
                    <a:prstGeom prst="rect">
                      <a:avLst/>
                    </a:prstGeom>
                  </pic:spPr>
                </pic:pic>
              </a:graphicData>
            </a:graphic>
          </wp:anchor>
        </w:drawing>
      </w:r>
    </w:p>
    <w:p w14:paraId="7F2A2C03" w14:textId="77777777" w:rsidR="00FA4AA8" w:rsidRDefault="00FA4AA8">
      <w:pPr>
        <w:pStyle w:val="BodyText"/>
        <w:rPr>
          <w:sz w:val="20"/>
        </w:rPr>
      </w:pPr>
    </w:p>
    <w:p w14:paraId="0FE772AB" w14:textId="77777777" w:rsidR="00FA4AA8" w:rsidRDefault="00FA4AA8">
      <w:pPr>
        <w:pStyle w:val="BodyText"/>
        <w:rPr>
          <w:sz w:val="20"/>
        </w:rPr>
      </w:pPr>
    </w:p>
    <w:p w14:paraId="3D26BC19" w14:textId="77777777" w:rsidR="00FA4AA8" w:rsidRDefault="00FA4AA8">
      <w:pPr>
        <w:pStyle w:val="BodyText"/>
        <w:spacing w:before="10"/>
        <w:rPr>
          <w:sz w:val="24"/>
        </w:rPr>
      </w:pPr>
    </w:p>
    <w:p w14:paraId="120AEAD8" w14:textId="77777777" w:rsidR="00FA4AA8" w:rsidRDefault="0015611F">
      <w:pPr>
        <w:spacing w:before="93"/>
        <w:ind w:left="681"/>
        <w:rPr>
          <w:sz w:val="20"/>
        </w:rPr>
      </w:pPr>
      <w:r>
        <w:rPr>
          <w:color w:val="1C1C1C"/>
          <w:sz w:val="20"/>
        </w:rPr>
        <w:t xml:space="preserve">To </w:t>
      </w:r>
      <w:r>
        <w:rPr>
          <w:color w:val="232323"/>
          <w:sz w:val="20"/>
        </w:rPr>
        <w:t xml:space="preserve">the </w:t>
      </w:r>
      <w:r>
        <w:rPr>
          <w:color w:val="0F0F0F"/>
          <w:sz w:val="20"/>
        </w:rPr>
        <w:t>Directors</w:t>
      </w:r>
    </w:p>
    <w:p w14:paraId="47E01930" w14:textId="77777777" w:rsidR="00FA4AA8" w:rsidRDefault="0015611F">
      <w:pPr>
        <w:spacing w:before="183"/>
        <w:ind w:left="673"/>
        <w:rPr>
          <w:sz w:val="20"/>
        </w:rPr>
      </w:pPr>
      <w:r>
        <w:rPr>
          <w:color w:val="0C0C0C"/>
          <w:sz w:val="20"/>
        </w:rPr>
        <w:t xml:space="preserve">Western </w:t>
      </w:r>
      <w:r>
        <w:rPr>
          <w:color w:val="131313"/>
          <w:sz w:val="20"/>
        </w:rPr>
        <w:t xml:space="preserve">Sydney </w:t>
      </w:r>
      <w:r>
        <w:rPr>
          <w:color w:val="111111"/>
          <w:sz w:val="20"/>
        </w:rPr>
        <w:t xml:space="preserve">University Early </w:t>
      </w:r>
      <w:r>
        <w:rPr>
          <w:color w:val="0C0C0C"/>
          <w:sz w:val="20"/>
        </w:rPr>
        <w:t xml:space="preserve">Learning </w:t>
      </w:r>
      <w:r>
        <w:rPr>
          <w:color w:val="161616"/>
          <w:sz w:val="20"/>
        </w:rPr>
        <w:t>Limited</w:t>
      </w:r>
    </w:p>
    <w:p w14:paraId="7B333388" w14:textId="77777777" w:rsidR="00FA4AA8" w:rsidRDefault="00FA4AA8">
      <w:pPr>
        <w:pStyle w:val="BodyText"/>
        <w:rPr>
          <w:sz w:val="22"/>
        </w:rPr>
      </w:pPr>
    </w:p>
    <w:p w14:paraId="764CD43A" w14:textId="77777777" w:rsidR="00FA4AA8" w:rsidRDefault="00FA4AA8">
      <w:pPr>
        <w:pStyle w:val="BodyText"/>
        <w:spacing w:before="5"/>
        <w:rPr>
          <w:sz w:val="29"/>
        </w:rPr>
      </w:pPr>
    </w:p>
    <w:p w14:paraId="7C769D98" w14:textId="77777777" w:rsidR="00FA4AA8" w:rsidRDefault="0015611F">
      <w:pPr>
        <w:ind w:left="79" w:right="95"/>
        <w:jc w:val="center"/>
        <w:rPr>
          <w:sz w:val="23"/>
        </w:rPr>
      </w:pPr>
      <w:r>
        <w:rPr>
          <w:color w:val="161616"/>
          <w:w w:val="110"/>
          <w:sz w:val="23"/>
        </w:rPr>
        <w:t xml:space="preserve">Auditor’s </w:t>
      </w:r>
      <w:r>
        <w:rPr>
          <w:color w:val="1A1A1A"/>
          <w:w w:val="110"/>
          <w:sz w:val="23"/>
        </w:rPr>
        <w:t xml:space="preserve">Independence </w:t>
      </w:r>
      <w:r>
        <w:rPr>
          <w:color w:val="212121"/>
          <w:w w:val="110"/>
          <w:sz w:val="23"/>
        </w:rPr>
        <w:t>Declaration</w:t>
      </w:r>
    </w:p>
    <w:p w14:paraId="6D88B90A" w14:textId="77777777" w:rsidR="00FA4AA8" w:rsidRDefault="00FA4AA8">
      <w:pPr>
        <w:pStyle w:val="BodyText"/>
        <w:rPr>
          <w:sz w:val="26"/>
        </w:rPr>
      </w:pPr>
    </w:p>
    <w:p w14:paraId="312FB955" w14:textId="77777777" w:rsidR="00FA4AA8" w:rsidRDefault="00FA4AA8">
      <w:pPr>
        <w:pStyle w:val="BodyText"/>
        <w:spacing w:before="3"/>
        <w:rPr>
          <w:sz w:val="25"/>
        </w:rPr>
      </w:pPr>
    </w:p>
    <w:p w14:paraId="0EE5BFBC" w14:textId="77777777" w:rsidR="00FA4AA8" w:rsidRDefault="0015611F">
      <w:pPr>
        <w:spacing w:line="242" w:lineRule="auto"/>
        <w:ind w:left="676" w:right="554" w:hanging="1"/>
        <w:rPr>
          <w:sz w:val="21"/>
        </w:rPr>
      </w:pPr>
      <w:r>
        <w:rPr>
          <w:color w:val="262626"/>
          <w:sz w:val="20"/>
        </w:rPr>
        <w:t xml:space="preserve">As </w:t>
      </w:r>
      <w:r>
        <w:rPr>
          <w:color w:val="0F0F0F"/>
          <w:sz w:val="20"/>
        </w:rPr>
        <w:t xml:space="preserve">auditor </w:t>
      </w:r>
      <w:r>
        <w:rPr>
          <w:color w:val="151515"/>
          <w:sz w:val="20"/>
        </w:rPr>
        <w:t xml:space="preserve">for </w:t>
      </w:r>
      <w:r>
        <w:rPr>
          <w:color w:val="111111"/>
          <w:sz w:val="20"/>
        </w:rPr>
        <w:t xml:space="preserve">the </w:t>
      </w:r>
      <w:r>
        <w:rPr>
          <w:color w:val="1F1F1F"/>
          <w:sz w:val="20"/>
        </w:rPr>
        <w:t xml:space="preserve">audit </w:t>
      </w:r>
      <w:r>
        <w:rPr>
          <w:color w:val="313131"/>
          <w:sz w:val="20"/>
        </w:rPr>
        <w:t xml:space="preserve">of </w:t>
      </w:r>
      <w:r>
        <w:rPr>
          <w:color w:val="212121"/>
          <w:sz w:val="20"/>
        </w:rPr>
        <w:t xml:space="preserve">the </w:t>
      </w:r>
      <w:r>
        <w:rPr>
          <w:color w:val="0C0C0C"/>
          <w:sz w:val="20"/>
        </w:rPr>
        <w:t xml:space="preserve">financial </w:t>
      </w:r>
      <w:r>
        <w:rPr>
          <w:color w:val="161616"/>
          <w:sz w:val="20"/>
        </w:rPr>
        <w:t xml:space="preserve">report </w:t>
      </w:r>
      <w:r>
        <w:rPr>
          <w:sz w:val="20"/>
        </w:rPr>
        <w:t xml:space="preserve">of </w:t>
      </w:r>
      <w:r>
        <w:rPr>
          <w:color w:val="111111"/>
          <w:sz w:val="20"/>
        </w:rPr>
        <w:t xml:space="preserve">Western </w:t>
      </w:r>
      <w:r>
        <w:rPr>
          <w:color w:val="151515"/>
          <w:sz w:val="20"/>
        </w:rPr>
        <w:t xml:space="preserve">Sydney </w:t>
      </w:r>
      <w:r>
        <w:rPr>
          <w:color w:val="0F0F0F"/>
          <w:sz w:val="20"/>
        </w:rPr>
        <w:t xml:space="preserve">University </w:t>
      </w:r>
      <w:r>
        <w:rPr>
          <w:color w:val="181818"/>
          <w:sz w:val="20"/>
        </w:rPr>
        <w:t xml:space="preserve">Early </w:t>
      </w:r>
      <w:r>
        <w:rPr>
          <w:color w:val="111111"/>
          <w:sz w:val="20"/>
        </w:rPr>
        <w:t xml:space="preserve">Learning </w:t>
      </w:r>
      <w:r>
        <w:rPr>
          <w:color w:val="151515"/>
          <w:sz w:val="20"/>
        </w:rPr>
        <w:t xml:space="preserve">Limited </w:t>
      </w:r>
      <w:r>
        <w:rPr>
          <w:sz w:val="20"/>
        </w:rPr>
        <w:t xml:space="preserve">for </w:t>
      </w:r>
      <w:r>
        <w:rPr>
          <w:color w:val="1F1F1F"/>
          <w:sz w:val="21"/>
        </w:rPr>
        <w:t>the</w:t>
      </w:r>
      <w:r>
        <w:rPr>
          <w:color w:val="1F1F1F"/>
          <w:spacing w:val="-28"/>
          <w:sz w:val="21"/>
        </w:rPr>
        <w:t xml:space="preserve"> </w:t>
      </w:r>
      <w:r>
        <w:rPr>
          <w:color w:val="262626"/>
          <w:sz w:val="21"/>
        </w:rPr>
        <w:t>year</w:t>
      </w:r>
      <w:r>
        <w:rPr>
          <w:color w:val="262626"/>
          <w:spacing w:val="-28"/>
          <w:sz w:val="21"/>
        </w:rPr>
        <w:t xml:space="preserve"> </w:t>
      </w:r>
      <w:r>
        <w:rPr>
          <w:color w:val="111111"/>
          <w:sz w:val="21"/>
        </w:rPr>
        <w:t>ended</w:t>
      </w:r>
      <w:r>
        <w:rPr>
          <w:color w:val="111111"/>
          <w:spacing w:val="-23"/>
          <w:sz w:val="21"/>
        </w:rPr>
        <w:t xml:space="preserve"> </w:t>
      </w:r>
      <w:r>
        <w:rPr>
          <w:color w:val="262626"/>
          <w:sz w:val="21"/>
        </w:rPr>
        <w:t>31</w:t>
      </w:r>
      <w:r>
        <w:rPr>
          <w:color w:val="262626"/>
          <w:spacing w:val="-29"/>
          <w:sz w:val="21"/>
        </w:rPr>
        <w:t xml:space="preserve"> </w:t>
      </w:r>
      <w:r>
        <w:rPr>
          <w:color w:val="0F0F0F"/>
          <w:sz w:val="21"/>
        </w:rPr>
        <w:t>December</w:t>
      </w:r>
      <w:r>
        <w:rPr>
          <w:color w:val="0F0F0F"/>
          <w:spacing w:val="-22"/>
          <w:sz w:val="21"/>
        </w:rPr>
        <w:t xml:space="preserve"> </w:t>
      </w:r>
      <w:r>
        <w:rPr>
          <w:color w:val="161616"/>
          <w:spacing w:val="4"/>
          <w:sz w:val="21"/>
        </w:rPr>
        <w:t>20</w:t>
      </w:r>
      <w:r>
        <w:rPr>
          <w:color w:val="131313"/>
          <w:spacing w:val="4"/>
          <w:sz w:val="21"/>
        </w:rPr>
        <w:t>1</w:t>
      </w:r>
      <w:r>
        <w:rPr>
          <w:color w:val="1D1D1D"/>
          <w:spacing w:val="4"/>
          <w:sz w:val="21"/>
        </w:rPr>
        <w:t>8,</w:t>
      </w:r>
      <w:r>
        <w:rPr>
          <w:color w:val="1D1D1D"/>
          <w:spacing w:val="-31"/>
          <w:sz w:val="21"/>
        </w:rPr>
        <w:t xml:space="preserve"> </w:t>
      </w:r>
      <w:r>
        <w:rPr>
          <w:color w:val="181818"/>
          <w:sz w:val="21"/>
        </w:rPr>
        <w:t>I</w:t>
      </w:r>
      <w:r>
        <w:rPr>
          <w:color w:val="181818"/>
          <w:spacing w:val="-29"/>
          <w:sz w:val="21"/>
        </w:rPr>
        <w:t xml:space="preserve"> </w:t>
      </w:r>
      <w:r>
        <w:rPr>
          <w:color w:val="181818"/>
          <w:sz w:val="21"/>
        </w:rPr>
        <w:t>declare,</w:t>
      </w:r>
      <w:r>
        <w:rPr>
          <w:color w:val="181818"/>
          <w:spacing w:val="-20"/>
          <w:sz w:val="21"/>
        </w:rPr>
        <w:t xml:space="preserve"> </w:t>
      </w:r>
      <w:r>
        <w:rPr>
          <w:color w:val="2D2D2D"/>
          <w:sz w:val="21"/>
        </w:rPr>
        <w:t>to</w:t>
      </w:r>
      <w:r>
        <w:rPr>
          <w:color w:val="2D2D2D"/>
          <w:spacing w:val="-28"/>
          <w:sz w:val="21"/>
        </w:rPr>
        <w:t xml:space="preserve"> </w:t>
      </w:r>
      <w:r>
        <w:rPr>
          <w:color w:val="232323"/>
          <w:sz w:val="21"/>
        </w:rPr>
        <w:t>the</w:t>
      </w:r>
      <w:r>
        <w:rPr>
          <w:color w:val="232323"/>
          <w:spacing w:val="-25"/>
          <w:sz w:val="21"/>
        </w:rPr>
        <w:t xml:space="preserve"> </w:t>
      </w:r>
      <w:r>
        <w:rPr>
          <w:color w:val="1D1D1D"/>
          <w:sz w:val="21"/>
        </w:rPr>
        <w:t>best</w:t>
      </w:r>
      <w:r>
        <w:rPr>
          <w:color w:val="1D1D1D"/>
          <w:spacing w:val="-28"/>
          <w:sz w:val="21"/>
        </w:rPr>
        <w:t xml:space="preserve"> </w:t>
      </w:r>
      <w:r>
        <w:rPr>
          <w:color w:val="1A1A1A"/>
          <w:sz w:val="21"/>
        </w:rPr>
        <w:t>of</w:t>
      </w:r>
      <w:r>
        <w:rPr>
          <w:color w:val="1A1A1A"/>
          <w:spacing w:val="-34"/>
          <w:sz w:val="21"/>
        </w:rPr>
        <w:t xml:space="preserve"> </w:t>
      </w:r>
      <w:r>
        <w:rPr>
          <w:color w:val="2B2B2B"/>
          <w:sz w:val="21"/>
        </w:rPr>
        <w:t>my</w:t>
      </w:r>
      <w:r>
        <w:rPr>
          <w:color w:val="2B2B2B"/>
          <w:spacing w:val="-28"/>
          <w:sz w:val="21"/>
        </w:rPr>
        <w:t xml:space="preserve"> </w:t>
      </w:r>
      <w:r>
        <w:rPr>
          <w:sz w:val="21"/>
        </w:rPr>
        <w:t>knowledge</w:t>
      </w:r>
      <w:r>
        <w:rPr>
          <w:spacing w:val="-21"/>
          <w:sz w:val="21"/>
        </w:rPr>
        <w:t xml:space="preserve"> </w:t>
      </w:r>
      <w:r>
        <w:rPr>
          <w:color w:val="1A1A1A"/>
          <w:sz w:val="21"/>
        </w:rPr>
        <w:t>and</w:t>
      </w:r>
      <w:r>
        <w:rPr>
          <w:color w:val="1A1A1A"/>
          <w:spacing w:val="-30"/>
          <w:sz w:val="21"/>
        </w:rPr>
        <w:t xml:space="preserve"> </w:t>
      </w:r>
      <w:r>
        <w:rPr>
          <w:sz w:val="21"/>
        </w:rPr>
        <w:t>belief,</w:t>
      </w:r>
      <w:r>
        <w:rPr>
          <w:spacing w:val="-24"/>
          <w:sz w:val="21"/>
        </w:rPr>
        <w:t xml:space="preserve"> </w:t>
      </w:r>
      <w:r>
        <w:rPr>
          <w:color w:val="151515"/>
          <w:sz w:val="21"/>
        </w:rPr>
        <w:t>there</w:t>
      </w:r>
      <w:r>
        <w:rPr>
          <w:color w:val="151515"/>
          <w:spacing w:val="-27"/>
          <w:sz w:val="21"/>
        </w:rPr>
        <w:t xml:space="preserve"> </w:t>
      </w:r>
      <w:r>
        <w:rPr>
          <w:color w:val="1A1A1A"/>
          <w:sz w:val="21"/>
        </w:rPr>
        <w:t>have</w:t>
      </w:r>
      <w:r>
        <w:rPr>
          <w:color w:val="1A1A1A"/>
          <w:spacing w:val="-25"/>
          <w:sz w:val="21"/>
        </w:rPr>
        <w:t xml:space="preserve"> </w:t>
      </w:r>
      <w:r>
        <w:rPr>
          <w:color w:val="1F1F1F"/>
          <w:sz w:val="21"/>
        </w:rPr>
        <w:t xml:space="preserve">been </w:t>
      </w:r>
      <w:r>
        <w:rPr>
          <w:color w:val="262626"/>
          <w:sz w:val="21"/>
        </w:rPr>
        <w:t>no</w:t>
      </w:r>
      <w:r>
        <w:rPr>
          <w:color w:val="262626"/>
          <w:spacing w:val="-12"/>
          <w:sz w:val="21"/>
        </w:rPr>
        <w:t xml:space="preserve"> </w:t>
      </w:r>
      <w:r>
        <w:rPr>
          <w:sz w:val="21"/>
        </w:rPr>
        <w:t>contraventions</w:t>
      </w:r>
      <w:r>
        <w:rPr>
          <w:spacing w:val="-17"/>
          <w:sz w:val="21"/>
        </w:rPr>
        <w:t xml:space="preserve"> </w:t>
      </w:r>
      <w:r>
        <w:rPr>
          <w:color w:val="2D2D2D"/>
          <w:sz w:val="21"/>
        </w:rPr>
        <w:t>of</w:t>
      </w:r>
      <w:r>
        <w:rPr>
          <w:color w:val="2D2D2D"/>
          <w:spacing w:val="-12"/>
          <w:sz w:val="21"/>
        </w:rPr>
        <w:t xml:space="preserve"> </w:t>
      </w:r>
      <w:r>
        <w:rPr>
          <w:color w:val="151515"/>
          <w:sz w:val="21"/>
        </w:rPr>
        <w:t>any</w:t>
      </w:r>
      <w:r>
        <w:rPr>
          <w:color w:val="151515"/>
          <w:spacing w:val="-13"/>
          <w:sz w:val="21"/>
        </w:rPr>
        <w:t xml:space="preserve"> </w:t>
      </w:r>
      <w:r>
        <w:rPr>
          <w:color w:val="181818"/>
          <w:sz w:val="21"/>
        </w:rPr>
        <w:t>applicable</w:t>
      </w:r>
      <w:r>
        <w:rPr>
          <w:color w:val="181818"/>
          <w:spacing w:val="-4"/>
          <w:sz w:val="21"/>
        </w:rPr>
        <w:t xml:space="preserve"> </w:t>
      </w:r>
      <w:r>
        <w:rPr>
          <w:color w:val="2D2D2D"/>
          <w:sz w:val="21"/>
        </w:rPr>
        <w:t>code</w:t>
      </w:r>
      <w:r>
        <w:rPr>
          <w:color w:val="2D2D2D"/>
          <w:spacing w:val="-10"/>
          <w:sz w:val="21"/>
        </w:rPr>
        <w:t xml:space="preserve"> </w:t>
      </w:r>
      <w:r>
        <w:rPr>
          <w:color w:val="1F1F1F"/>
          <w:sz w:val="21"/>
        </w:rPr>
        <w:t>of</w:t>
      </w:r>
      <w:r>
        <w:rPr>
          <w:color w:val="1F1F1F"/>
          <w:spacing w:val="-10"/>
          <w:sz w:val="21"/>
        </w:rPr>
        <w:t xml:space="preserve"> </w:t>
      </w:r>
      <w:r>
        <w:rPr>
          <w:color w:val="111111"/>
          <w:sz w:val="21"/>
        </w:rPr>
        <w:t>professional</w:t>
      </w:r>
      <w:r>
        <w:rPr>
          <w:color w:val="111111"/>
          <w:spacing w:val="-2"/>
          <w:sz w:val="21"/>
        </w:rPr>
        <w:t xml:space="preserve"> </w:t>
      </w:r>
      <w:r>
        <w:rPr>
          <w:color w:val="181818"/>
          <w:sz w:val="21"/>
        </w:rPr>
        <w:t>conduct</w:t>
      </w:r>
      <w:r>
        <w:rPr>
          <w:color w:val="181818"/>
          <w:spacing w:val="2"/>
          <w:sz w:val="21"/>
        </w:rPr>
        <w:t xml:space="preserve"> </w:t>
      </w:r>
      <w:r>
        <w:rPr>
          <w:color w:val="131313"/>
          <w:sz w:val="21"/>
        </w:rPr>
        <w:t>in</w:t>
      </w:r>
      <w:r>
        <w:rPr>
          <w:color w:val="131313"/>
          <w:spacing w:val="-9"/>
          <w:sz w:val="21"/>
        </w:rPr>
        <w:t xml:space="preserve"> </w:t>
      </w:r>
      <w:r>
        <w:rPr>
          <w:color w:val="161616"/>
          <w:sz w:val="21"/>
        </w:rPr>
        <w:t xml:space="preserve">relation </w:t>
      </w:r>
      <w:r>
        <w:rPr>
          <w:color w:val="1D1D1D"/>
          <w:sz w:val="21"/>
        </w:rPr>
        <w:t>to</w:t>
      </w:r>
      <w:r>
        <w:rPr>
          <w:color w:val="1D1D1D"/>
          <w:spacing w:val="-9"/>
          <w:sz w:val="21"/>
        </w:rPr>
        <w:t xml:space="preserve"> </w:t>
      </w:r>
      <w:r>
        <w:rPr>
          <w:color w:val="1F1F1F"/>
          <w:sz w:val="21"/>
        </w:rPr>
        <w:t>the</w:t>
      </w:r>
      <w:r>
        <w:rPr>
          <w:color w:val="1F1F1F"/>
          <w:spacing w:val="-18"/>
          <w:sz w:val="21"/>
        </w:rPr>
        <w:t xml:space="preserve"> </w:t>
      </w:r>
      <w:r>
        <w:rPr>
          <w:color w:val="131313"/>
          <w:sz w:val="21"/>
        </w:rPr>
        <w:t>audit.</w:t>
      </w:r>
    </w:p>
    <w:p w14:paraId="1EF93836" w14:textId="77777777" w:rsidR="00FA4AA8" w:rsidRDefault="00FA4AA8">
      <w:pPr>
        <w:pStyle w:val="BodyText"/>
        <w:rPr>
          <w:sz w:val="20"/>
        </w:rPr>
      </w:pPr>
    </w:p>
    <w:p w14:paraId="59EE29D6" w14:textId="77777777" w:rsidR="00FA4AA8" w:rsidRDefault="00FA4AA8">
      <w:pPr>
        <w:pStyle w:val="BodyText"/>
        <w:rPr>
          <w:sz w:val="20"/>
        </w:rPr>
      </w:pPr>
    </w:p>
    <w:p w14:paraId="20C7D5C1" w14:textId="77777777" w:rsidR="00FA4AA8" w:rsidRDefault="00FA4AA8">
      <w:pPr>
        <w:pStyle w:val="BodyText"/>
        <w:rPr>
          <w:sz w:val="20"/>
        </w:rPr>
      </w:pPr>
    </w:p>
    <w:p w14:paraId="2D600CE1" w14:textId="77777777" w:rsidR="00FA4AA8" w:rsidRDefault="00FA4AA8">
      <w:pPr>
        <w:pStyle w:val="BodyText"/>
        <w:rPr>
          <w:sz w:val="20"/>
        </w:rPr>
      </w:pPr>
    </w:p>
    <w:p w14:paraId="58DADD51" w14:textId="77777777" w:rsidR="00FA4AA8" w:rsidRDefault="00FA4AA8">
      <w:pPr>
        <w:pStyle w:val="BodyText"/>
        <w:rPr>
          <w:sz w:val="20"/>
        </w:rPr>
      </w:pPr>
    </w:p>
    <w:p w14:paraId="5F695480" w14:textId="77777777" w:rsidR="00FA4AA8" w:rsidRDefault="0015611F">
      <w:pPr>
        <w:pStyle w:val="BodyText"/>
        <w:spacing w:before="3"/>
        <w:rPr>
          <w:sz w:val="17"/>
        </w:rPr>
      </w:pPr>
      <w:r>
        <w:rPr>
          <w:noProof/>
          <w:lang w:val="en-AU" w:eastAsia="en-AU"/>
        </w:rPr>
        <w:drawing>
          <wp:anchor distT="0" distB="0" distL="0" distR="0" simplePos="0" relativeHeight="123" behindDoc="0" locked="0" layoutInCell="1" allowOverlap="1" wp14:anchorId="2EC27FBD" wp14:editId="76AB4561">
            <wp:simplePos x="0" y="0"/>
            <wp:positionH relativeFrom="page">
              <wp:posOffset>874775</wp:posOffset>
            </wp:positionH>
            <wp:positionV relativeFrom="paragraph">
              <wp:posOffset>150972</wp:posOffset>
            </wp:positionV>
            <wp:extent cx="1984247" cy="234696"/>
            <wp:effectExtent l="0" t="0" r="0" b="0"/>
            <wp:wrapTopAndBottom/>
            <wp:docPr id="69"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8.jpeg"/>
                    <pic:cNvPicPr/>
                  </pic:nvPicPr>
                  <pic:blipFill>
                    <a:blip r:embed="rId153" cstate="print"/>
                    <a:stretch>
                      <a:fillRect/>
                    </a:stretch>
                  </pic:blipFill>
                  <pic:spPr>
                    <a:xfrm>
                      <a:off x="0" y="0"/>
                      <a:ext cx="1984247" cy="234696"/>
                    </a:xfrm>
                    <a:prstGeom prst="rect">
                      <a:avLst/>
                    </a:prstGeom>
                  </pic:spPr>
                </pic:pic>
              </a:graphicData>
            </a:graphic>
          </wp:anchor>
        </w:drawing>
      </w:r>
    </w:p>
    <w:p w14:paraId="66DB97CD" w14:textId="77777777" w:rsidR="00FA4AA8" w:rsidRDefault="0015611F">
      <w:pPr>
        <w:spacing w:before="38" w:line="249" w:lineRule="auto"/>
        <w:ind w:left="676" w:right="7578" w:hanging="6"/>
        <w:rPr>
          <w:sz w:val="20"/>
        </w:rPr>
      </w:pPr>
      <w:r>
        <w:rPr>
          <w:color w:val="0C0C0C"/>
          <w:sz w:val="20"/>
        </w:rPr>
        <w:t xml:space="preserve">Margaret </w:t>
      </w:r>
      <w:r>
        <w:rPr>
          <w:color w:val="151515"/>
          <w:sz w:val="20"/>
        </w:rPr>
        <w:t xml:space="preserve">Crawford </w:t>
      </w:r>
      <w:r>
        <w:rPr>
          <w:sz w:val="20"/>
        </w:rPr>
        <w:t xml:space="preserve">Auditor-General </w:t>
      </w:r>
      <w:r>
        <w:rPr>
          <w:color w:val="0F0F0F"/>
          <w:sz w:val="20"/>
        </w:rPr>
        <w:t xml:space="preserve">of </w:t>
      </w:r>
      <w:r>
        <w:rPr>
          <w:color w:val="232323"/>
          <w:sz w:val="20"/>
        </w:rPr>
        <w:t>NSW</w:t>
      </w:r>
    </w:p>
    <w:p w14:paraId="115B837E" w14:textId="77777777" w:rsidR="00FA4AA8" w:rsidRDefault="00FA4AA8">
      <w:pPr>
        <w:pStyle w:val="BodyText"/>
        <w:rPr>
          <w:sz w:val="22"/>
        </w:rPr>
      </w:pPr>
    </w:p>
    <w:p w14:paraId="7ED04173" w14:textId="77777777" w:rsidR="00FA4AA8" w:rsidRDefault="00FA4AA8">
      <w:pPr>
        <w:pStyle w:val="BodyText"/>
        <w:rPr>
          <w:sz w:val="29"/>
        </w:rPr>
      </w:pPr>
    </w:p>
    <w:p w14:paraId="166BE053" w14:textId="77777777" w:rsidR="00FA4AA8" w:rsidRDefault="0015611F">
      <w:pPr>
        <w:spacing w:line="254" w:lineRule="auto"/>
        <w:ind w:left="666" w:right="7648" w:firstLine="277"/>
        <w:rPr>
          <w:sz w:val="20"/>
        </w:rPr>
      </w:pPr>
      <w:r>
        <w:rPr>
          <w:color w:val="111111"/>
          <w:sz w:val="20"/>
        </w:rPr>
        <w:t xml:space="preserve">March </w:t>
      </w:r>
      <w:r>
        <w:rPr>
          <w:color w:val="1A1A1A"/>
          <w:sz w:val="20"/>
        </w:rPr>
        <w:t xml:space="preserve">2019 </w:t>
      </w:r>
      <w:r>
        <w:rPr>
          <w:color w:val="0F0F0F"/>
          <w:sz w:val="20"/>
        </w:rPr>
        <w:t>SYDNEY</w:t>
      </w:r>
    </w:p>
    <w:p w14:paraId="43899A42" w14:textId="77777777" w:rsidR="00FA4AA8" w:rsidRDefault="00FA4AA8">
      <w:pPr>
        <w:pStyle w:val="BodyText"/>
        <w:rPr>
          <w:sz w:val="20"/>
        </w:rPr>
      </w:pPr>
    </w:p>
    <w:p w14:paraId="10EFA21B" w14:textId="77777777" w:rsidR="00FA4AA8" w:rsidRDefault="00FA4AA8">
      <w:pPr>
        <w:pStyle w:val="BodyText"/>
        <w:rPr>
          <w:sz w:val="20"/>
        </w:rPr>
      </w:pPr>
    </w:p>
    <w:p w14:paraId="542AAE43" w14:textId="77777777" w:rsidR="00FA4AA8" w:rsidRDefault="00FA4AA8">
      <w:pPr>
        <w:pStyle w:val="BodyText"/>
        <w:rPr>
          <w:sz w:val="20"/>
        </w:rPr>
      </w:pPr>
    </w:p>
    <w:p w14:paraId="046C32FC" w14:textId="77777777" w:rsidR="00FA4AA8" w:rsidRDefault="00FA4AA8">
      <w:pPr>
        <w:pStyle w:val="BodyText"/>
        <w:rPr>
          <w:sz w:val="20"/>
        </w:rPr>
      </w:pPr>
    </w:p>
    <w:p w14:paraId="45EC9D93" w14:textId="77777777" w:rsidR="00FA4AA8" w:rsidRDefault="00FA4AA8">
      <w:pPr>
        <w:pStyle w:val="BodyText"/>
        <w:rPr>
          <w:sz w:val="20"/>
        </w:rPr>
      </w:pPr>
    </w:p>
    <w:p w14:paraId="2165FACD" w14:textId="77777777" w:rsidR="00FA4AA8" w:rsidRDefault="00FA4AA8">
      <w:pPr>
        <w:pStyle w:val="BodyText"/>
        <w:rPr>
          <w:sz w:val="20"/>
        </w:rPr>
      </w:pPr>
    </w:p>
    <w:p w14:paraId="6053619D" w14:textId="77777777" w:rsidR="00FA4AA8" w:rsidRDefault="00FA4AA8">
      <w:pPr>
        <w:pStyle w:val="BodyText"/>
        <w:rPr>
          <w:sz w:val="20"/>
        </w:rPr>
      </w:pPr>
    </w:p>
    <w:p w14:paraId="79D4A763" w14:textId="77777777" w:rsidR="00FA4AA8" w:rsidRDefault="00FA4AA8">
      <w:pPr>
        <w:pStyle w:val="BodyText"/>
        <w:rPr>
          <w:sz w:val="20"/>
        </w:rPr>
      </w:pPr>
    </w:p>
    <w:p w14:paraId="6E267B9F" w14:textId="77777777" w:rsidR="00FA4AA8" w:rsidRDefault="00FA4AA8">
      <w:pPr>
        <w:pStyle w:val="BodyText"/>
        <w:rPr>
          <w:sz w:val="20"/>
        </w:rPr>
      </w:pPr>
    </w:p>
    <w:p w14:paraId="556169F0" w14:textId="77777777" w:rsidR="00FA4AA8" w:rsidRDefault="00FA4AA8">
      <w:pPr>
        <w:pStyle w:val="BodyText"/>
        <w:rPr>
          <w:sz w:val="20"/>
        </w:rPr>
      </w:pPr>
    </w:p>
    <w:p w14:paraId="1529FAAD" w14:textId="77777777" w:rsidR="00FA4AA8" w:rsidRDefault="00FA4AA8">
      <w:pPr>
        <w:pStyle w:val="BodyText"/>
        <w:rPr>
          <w:sz w:val="20"/>
        </w:rPr>
      </w:pPr>
    </w:p>
    <w:p w14:paraId="06827433" w14:textId="77777777" w:rsidR="00FA4AA8" w:rsidRDefault="00FA4AA8">
      <w:pPr>
        <w:pStyle w:val="BodyText"/>
        <w:rPr>
          <w:sz w:val="20"/>
        </w:rPr>
      </w:pPr>
    </w:p>
    <w:p w14:paraId="55B08897" w14:textId="77777777" w:rsidR="00FA4AA8" w:rsidRDefault="00FA4AA8">
      <w:pPr>
        <w:pStyle w:val="BodyText"/>
        <w:rPr>
          <w:sz w:val="20"/>
        </w:rPr>
      </w:pPr>
    </w:p>
    <w:p w14:paraId="7074EE4E" w14:textId="77777777" w:rsidR="00FA4AA8" w:rsidRDefault="00FA4AA8">
      <w:pPr>
        <w:pStyle w:val="BodyText"/>
        <w:rPr>
          <w:sz w:val="20"/>
        </w:rPr>
      </w:pPr>
    </w:p>
    <w:p w14:paraId="50E7244A" w14:textId="77777777" w:rsidR="00FA4AA8" w:rsidRDefault="00FA4AA8">
      <w:pPr>
        <w:pStyle w:val="BodyText"/>
        <w:rPr>
          <w:sz w:val="20"/>
        </w:rPr>
      </w:pPr>
    </w:p>
    <w:p w14:paraId="4E6811C2" w14:textId="77777777" w:rsidR="00FA4AA8" w:rsidRDefault="00FA4AA8">
      <w:pPr>
        <w:pStyle w:val="BodyText"/>
        <w:rPr>
          <w:sz w:val="20"/>
        </w:rPr>
      </w:pPr>
    </w:p>
    <w:p w14:paraId="097E2861" w14:textId="77777777" w:rsidR="00FA4AA8" w:rsidRDefault="00FA4AA8">
      <w:pPr>
        <w:pStyle w:val="BodyText"/>
        <w:rPr>
          <w:sz w:val="20"/>
        </w:rPr>
      </w:pPr>
    </w:p>
    <w:p w14:paraId="47DFD01A" w14:textId="77777777" w:rsidR="00FA4AA8" w:rsidRDefault="00FA4AA8">
      <w:pPr>
        <w:pStyle w:val="BodyText"/>
        <w:rPr>
          <w:sz w:val="20"/>
        </w:rPr>
      </w:pPr>
    </w:p>
    <w:p w14:paraId="703F5E7E" w14:textId="77777777" w:rsidR="00FA4AA8" w:rsidRDefault="00FA4AA8">
      <w:pPr>
        <w:pStyle w:val="BodyText"/>
        <w:rPr>
          <w:sz w:val="20"/>
        </w:rPr>
      </w:pPr>
    </w:p>
    <w:p w14:paraId="4A18FAF0" w14:textId="77777777" w:rsidR="00FA4AA8" w:rsidRDefault="00FA4AA8">
      <w:pPr>
        <w:pStyle w:val="BodyText"/>
        <w:rPr>
          <w:sz w:val="20"/>
        </w:rPr>
      </w:pPr>
    </w:p>
    <w:p w14:paraId="3B5FAA12" w14:textId="77777777" w:rsidR="00FA4AA8" w:rsidRDefault="00FA4AA8">
      <w:pPr>
        <w:pStyle w:val="BodyText"/>
        <w:rPr>
          <w:sz w:val="20"/>
        </w:rPr>
      </w:pPr>
    </w:p>
    <w:p w14:paraId="600C490E" w14:textId="77777777" w:rsidR="00FA4AA8" w:rsidRDefault="00FA4AA8">
      <w:pPr>
        <w:pStyle w:val="BodyText"/>
        <w:rPr>
          <w:sz w:val="20"/>
        </w:rPr>
      </w:pPr>
    </w:p>
    <w:p w14:paraId="525B9A17" w14:textId="77777777" w:rsidR="00FA4AA8" w:rsidRDefault="00FA4AA8">
      <w:pPr>
        <w:pStyle w:val="BodyText"/>
        <w:rPr>
          <w:sz w:val="20"/>
        </w:rPr>
      </w:pPr>
    </w:p>
    <w:p w14:paraId="1F3355CD" w14:textId="77777777" w:rsidR="00FA4AA8" w:rsidRDefault="00FA4AA8">
      <w:pPr>
        <w:pStyle w:val="BodyText"/>
        <w:rPr>
          <w:sz w:val="20"/>
        </w:rPr>
      </w:pPr>
    </w:p>
    <w:p w14:paraId="0F6F4D1A" w14:textId="77777777" w:rsidR="00FA4AA8" w:rsidRDefault="00FA4AA8">
      <w:pPr>
        <w:pStyle w:val="BodyText"/>
        <w:rPr>
          <w:sz w:val="20"/>
        </w:rPr>
      </w:pPr>
    </w:p>
    <w:p w14:paraId="3BED97B1" w14:textId="77777777" w:rsidR="00FA4AA8" w:rsidRDefault="00FA4AA8">
      <w:pPr>
        <w:pStyle w:val="BodyText"/>
        <w:rPr>
          <w:sz w:val="20"/>
        </w:rPr>
      </w:pPr>
    </w:p>
    <w:p w14:paraId="24E13273" w14:textId="77777777" w:rsidR="00FA4AA8" w:rsidRDefault="007E2441">
      <w:pPr>
        <w:pStyle w:val="BodyText"/>
        <w:spacing w:before="8"/>
        <w:rPr>
          <w:sz w:val="28"/>
        </w:rPr>
      </w:pPr>
      <w:r>
        <w:rPr>
          <w:noProof/>
          <w:lang w:val="en-AU" w:eastAsia="en-AU"/>
        </w:rPr>
        <mc:AlternateContent>
          <mc:Choice Requires="wps">
            <w:drawing>
              <wp:anchor distT="0" distB="0" distL="0" distR="0" simplePos="0" relativeHeight="487651328" behindDoc="1" locked="0" layoutInCell="1" allowOverlap="1" wp14:anchorId="2391A4A2" wp14:editId="2565A136">
                <wp:simplePos x="0" y="0"/>
                <wp:positionH relativeFrom="page">
                  <wp:posOffset>539750</wp:posOffset>
                </wp:positionH>
                <wp:positionV relativeFrom="paragraph">
                  <wp:posOffset>241935</wp:posOffset>
                </wp:positionV>
                <wp:extent cx="6498590" cy="1270"/>
                <wp:effectExtent l="0" t="0" r="0" b="0"/>
                <wp:wrapTopAndBottom/>
                <wp:docPr id="1026" name="Freeform 7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8590" cy="1270"/>
                        </a:xfrm>
                        <a:custGeom>
                          <a:avLst/>
                          <a:gdLst>
                            <a:gd name="T0" fmla="+- 0 850 850"/>
                            <a:gd name="T1" fmla="*/ T0 w 10234"/>
                            <a:gd name="T2" fmla="+- 0 11083 850"/>
                            <a:gd name="T3" fmla="*/ T2 w 10234"/>
                          </a:gdLst>
                          <a:ahLst/>
                          <a:cxnLst>
                            <a:cxn ang="0">
                              <a:pos x="T1" y="0"/>
                            </a:cxn>
                            <a:cxn ang="0">
                              <a:pos x="T3" y="0"/>
                            </a:cxn>
                          </a:cxnLst>
                          <a:rect l="0" t="0" r="r" b="b"/>
                          <a:pathLst>
                            <a:path w="10234">
                              <a:moveTo>
                                <a:pt x="0" y="0"/>
                              </a:moveTo>
                              <a:lnTo>
                                <a:pt x="10233" y="0"/>
                              </a:lnTo>
                            </a:path>
                          </a:pathLst>
                        </a:custGeom>
                        <a:noFill/>
                        <a:ln w="15240">
                          <a:solidFill>
                            <a:srgbClr val="52525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CC6D4" id="Freeform 792" o:spid="_x0000_s1026" style="position:absolute;margin-left:42.5pt;margin-top:19.05pt;width:511.7pt;height:.1pt;z-index:-15665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" path="m,l10233,e" filled="f" strokecolor="#525252" strokeweight="1.2pt">
                <v:path arrowok="t" o:connecttype="custom" o:connectlocs="0,0;6497955,0" o:connectangles="0,0"/>
                <w10:wrap type="topAndBottom" anchorx="page"/>
              </v:shape>
            </w:pict>
          </mc:Fallback>
        </mc:AlternateContent>
      </w:r>
    </w:p>
    <w:p w14:paraId="6E5934C0" w14:textId="77777777" w:rsidR="00FA4AA8" w:rsidRDefault="0015611F">
      <w:pPr>
        <w:spacing w:before="128"/>
        <w:ind w:left="95" w:right="95"/>
        <w:jc w:val="center"/>
        <w:rPr>
          <w:sz w:val="15"/>
        </w:rPr>
      </w:pPr>
      <w:r>
        <w:rPr>
          <w:color w:val="0C0C0C"/>
          <w:sz w:val="15"/>
        </w:rPr>
        <w:t>Level</w:t>
      </w:r>
      <w:r>
        <w:rPr>
          <w:color w:val="0C0C0C"/>
          <w:spacing w:val="-25"/>
          <w:sz w:val="15"/>
        </w:rPr>
        <w:t xml:space="preserve"> </w:t>
      </w:r>
      <w:r>
        <w:rPr>
          <w:color w:val="111111"/>
          <w:sz w:val="15"/>
        </w:rPr>
        <w:t>15,</w:t>
      </w:r>
      <w:r>
        <w:rPr>
          <w:color w:val="111111"/>
          <w:spacing w:val="-22"/>
          <w:sz w:val="15"/>
        </w:rPr>
        <w:t xml:space="preserve"> </w:t>
      </w:r>
      <w:r>
        <w:rPr>
          <w:color w:val="2F2F2F"/>
          <w:sz w:val="15"/>
        </w:rPr>
        <w:t>1</w:t>
      </w:r>
      <w:r>
        <w:rPr>
          <w:color w:val="2F2F2F"/>
          <w:spacing w:val="-24"/>
          <w:sz w:val="15"/>
        </w:rPr>
        <w:t xml:space="preserve"> </w:t>
      </w:r>
      <w:r>
        <w:rPr>
          <w:sz w:val="15"/>
        </w:rPr>
        <w:t>Margaret</w:t>
      </w:r>
      <w:r>
        <w:rPr>
          <w:spacing w:val="-10"/>
          <w:sz w:val="15"/>
        </w:rPr>
        <w:t xml:space="preserve"> </w:t>
      </w:r>
      <w:r w:rsidR="00A74DE7">
        <w:rPr>
          <w:sz w:val="15"/>
        </w:rPr>
        <w:t>Street</w:t>
      </w:r>
      <w:r>
        <w:rPr>
          <w:sz w:val="15"/>
        </w:rPr>
        <w:t>,</w:t>
      </w:r>
      <w:r>
        <w:rPr>
          <w:spacing w:val="-19"/>
          <w:sz w:val="15"/>
        </w:rPr>
        <w:t xml:space="preserve"> </w:t>
      </w:r>
      <w:r>
        <w:rPr>
          <w:color w:val="1A1A1A"/>
          <w:sz w:val="15"/>
        </w:rPr>
        <w:t>Sydney</w:t>
      </w:r>
      <w:r>
        <w:rPr>
          <w:color w:val="1A1A1A"/>
          <w:spacing w:val="-13"/>
          <w:sz w:val="15"/>
        </w:rPr>
        <w:t xml:space="preserve"> </w:t>
      </w:r>
      <w:r w:rsidR="00A74DE7">
        <w:rPr>
          <w:color w:val="1A1A1A"/>
          <w:sz w:val="15"/>
        </w:rPr>
        <w:t>NSW</w:t>
      </w:r>
      <w:r>
        <w:rPr>
          <w:color w:val="1A1A1A"/>
          <w:spacing w:val="-17"/>
          <w:sz w:val="15"/>
        </w:rPr>
        <w:t xml:space="preserve"> </w:t>
      </w:r>
      <w:r>
        <w:rPr>
          <w:color w:val="212121"/>
          <w:sz w:val="15"/>
        </w:rPr>
        <w:t>2ooo</w:t>
      </w:r>
      <w:r>
        <w:rPr>
          <w:color w:val="212121"/>
          <w:spacing w:val="5"/>
          <w:sz w:val="15"/>
        </w:rPr>
        <w:t xml:space="preserve"> </w:t>
      </w:r>
      <w:r w:rsidR="00A74DE7">
        <w:rPr>
          <w:color w:val="2D2D2D"/>
          <w:sz w:val="15"/>
        </w:rPr>
        <w:t>I</w:t>
      </w:r>
      <w:r>
        <w:rPr>
          <w:color w:val="2D2D2D"/>
          <w:spacing w:val="-2"/>
          <w:sz w:val="15"/>
        </w:rPr>
        <w:t xml:space="preserve"> </w:t>
      </w:r>
      <w:r w:rsidR="00A74DE7">
        <w:rPr>
          <w:color w:val="232323"/>
          <w:sz w:val="15"/>
        </w:rPr>
        <w:t>GPO Box</w:t>
      </w:r>
      <w:r>
        <w:rPr>
          <w:color w:val="232323"/>
          <w:spacing w:val="-18"/>
          <w:sz w:val="15"/>
        </w:rPr>
        <w:t xml:space="preserve"> </w:t>
      </w:r>
      <w:r>
        <w:rPr>
          <w:color w:val="242424"/>
          <w:sz w:val="15"/>
        </w:rPr>
        <w:t>12,</w:t>
      </w:r>
      <w:r>
        <w:rPr>
          <w:color w:val="242424"/>
          <w:spacing w:val="-16"/>
          <w:sz w:val="15"/>
        </w:rPr>
        <w:t xml:space="preserve"> </w:t>
      </w:r>
      <w:r w:rsidR="007719AF">
        <w:rPr>
          <w:color w:val="232323"/>
          <w:sz w:val="15"/>
        </w:rPr>
        <w:t xml:space="preserve">Sydney </w:t>
      </w:r>
      <w:r w:rsidR="007719AF">
        <w:rPr>
          <w:color w:val="232323"/>
          <w:spacing w:val="-17"/>
          <w:sz w:val="15"/>
        </w:rPr>
        <w:t>NSW</w:t>
      </w:r>
      <w:r>
        <w:rPr>
          <w:color w:val="0C0C0C"/>
          <w:spacing w:val="-15"/>
          <w:sz w:val="15"/>
        </w:rPr>
        <w:t xml:space="preserve"> </w:t>
      </w:r>
      <w:r>
        <w:rPr>
          <w:color w:val="1D1D1D"/>
          <w:sz w:val="15"/>
        </w:rPr>
        <w:t>2001</w:t>
      </w:r>
      <w:r>
        <w:rPr>
          <w:color w:val="1D1D1D"/>
          <w:spacing w:val="4"/>
          <w:sz w:val="15"/>
        </w:rPr>
        <w:t xml:space="preserve"> </w:t>
      </w:r>
      <w:r>
        <w:rPr>
          <w:color w:val="333333"/>
          <w:sz w:val="15"/>
        </w:rPr>
        <w:t>I</w:t>
      </w:r>
      <w:r>
        <w:rPr>
          <w:color w:val="333333"/>
          <w:spacing w:val="3"/>
          <w:sz w:val="15"/>
        </w:rPr>
        <w:t xml:space="preserve"> </w:t>
      </w:r>
      <w:r>
        <w:rPr>
          <w:color w:val="242424"/>
          <w:sz w:val="15"/>
        </w:rPr>
        <w:t>t</w:t>
      </w:r>
      <w:r>
        <w:rPr>
          <w:color w:val="242424"/>
          <w:spacing w:val="-26"/>
          <w:sz w:val="15"/>
        </w:rPr>
        <w:t xml:space="preserve"> </w:t>
      </w:r>
      <w:r>
        <w:rPr>
          <w:color w:val="1A1A1A"/>
          <w:sz w:val="15"/>
        </w:rPr>
        <w:t>02</w:t>
      </w:r>
      <w:r>
        <w:rPr>
          <w:color w:val="1A1A1A"/>
          <w:spacing w:val="-24"/>
          <w:sz w:val="15"/>
        </w:rPr>
        <w:t xml:space="preserve"> </w:t>
      </w:r>
      <w:r>
        <w:rPr>
          <w:color w:val="1A1A1A"/>
          <w:sz w:val="15"/>
        </w:rPr>
        <w:t>9275</w:t>
      </w:r>
      <w:r>
        <w:rPr>
          <w:color w:val="1A1A1A"/>
          <w:spacing w:val="-19"/>
          <w:sz w:val="15"/>
        </w:rPr>
        <w:t xml:space="preserve"> </w:t>
      </w:r>
      <w:r>
        <w:rPr>
          <w:sz w:val="15"/>
        </w:rPr>
        <w:t>7101</w:t>
      </w:r>
      <w:r>
        <w:rPr>
          <w:spacing w:val="7"/>
          <w:sz w:val="15"/>
        </w:rPr>
        <w:t xml:space="preserve"> </w:t>
      </w:r>
      <w:r>
        <w:rPr>
          <w:color w:val="2B2B2B"/>
          <w:sz w:val="15"/>
        </w:rPr>
        <w:t xml:space="preserve">I </w:t>
      </w:r>
      <w:r>
        <w:rPr>
          <w:color w:val="2F2F2F"/>
          <w:sz w:val="15"/>
        </w:rPr>
        <w:t>f</w:t>
      </w:r>
      <w:r>
        <w:rPr>
          <w:color w:val="2F2F2F"/>
          <w:spacing w:val="-16"/>
          <w:sz w:val="15"/>
        </w:rPr>
        <w:t xml:space="preserve"> </w:t>
      </w:r>
      <w:r>
        <w:rPr>
          <w:color w:val="2D2D2D"/>
          <w:sz w:val="15"/>
        </w:rPr>
        <w:t>02</w:t>
      </w:r>
      <w:r>
        <w:rPr>
          <w:color w:val="2D2D2D"/>
          <w:spacing w:val="-21"/>
          <w:sz w:val="15"/>
        </w:rPr>
        <w:t xml:space="preserve"> </w:t>
      </w:r>
      <w:r>
        <w:rPr>
          <w:color w:val="1F1F1F"/>
          <w:sz w:val="15"/>
        </w:rPr>
        <w:t>9275</w:t>
      </w:r>
      <w:r>
        <w:rPr>
          <w:color w:val="1F1F1F"/>
          <w:spacing w:val="-17"/>
          <w:sz w:val="15"/>
        </w:rPr>
        <w:t xml:space="preserve"> </w:t>
      </w:r>
      <w:r>
        <w:rPr>
          <w:color w:val="111111"/>
          <w:sz w:val="15"/>
        </w:rPr>
        <w:t>7179</w:t>
      </w:r>
      <w:r>
        <w:rPr>
          <w:color w:val="111111"/>
          <w:spacing w:val="2"/>
          <w:sz w:val="15"/>
        </w:rPr>
        <w:t xml:space="preserve"> </w:t>
      </w:r>
      <w:r>
        <w:rPr>
          <w:color w:val="2A2A2A"/>
          <w:sz w:val="15"/>
        </w:rPr>
        <w:t>I</w:t>
      </w:r>
      <w:r>
        <w:rPr>
          <w:color w:val="2A2A2A"/>
          <w:spacing w:val="-2"/>
          <w:sz w:val="15"/>
        </w:rPr>
        <w:t xml:space="preserve"> </w:t>
      </w:r>
      <w:r>
        <w:rPr>
          <w:color w:val="2F2F2F"/>
          <w:sz w:val="15"/>
        </w:rPr>
        <w:t>e</w:t>
      </w:r>
      <w:r>
        <w:rPr>
          <w:color w:val="2F2F2F"/>
          <w:spacing w:val="-25"/>
          <w:sz w:val="15"/>
        </w:rPr>
        <w:t xml:space="preserve"> </w:t>
      </w:r>
      <w:r w:rsidR="00A74DE7">
        <w:rPr>
          <w:sz w:val="15"/>
        </w:rPr>
        <w:t xml:space="preserve">mail </w:t>
      </w:r>
      <w:r>
        <w:rPr>
          <w:sz w:val="15"/>
        </w:rPr>
        <w:t>audit.n</w:t>
      </w:r>
      <w:r w:rsidR="00A74DE7">
        <w:rPr>
          <w:sz w:val="15"/>
        </w:rPr>
        <w:t>s</w:t>
      </w:r>
      <w:r>
        <w:rPr>
          <w:sz w:val="15"/>
        </w:rPr>
        <w:t>w.</w:t>
      </w:r>
      <w:r w:rsidR="00A74DE7">
        <w:rPr>
          <w:sz w:val="15"/>
        </w:rPr>
        <w:t>g</w:t>
      </w:r>
      <w:r>
        <w:rPr>
          <w:sz w:val="15"/>
        </w:rPr>
        <w:t>ov.au</w:t>
      </w:r>
      <w:r>
        <w:rPr>
          <w:spacing w:val="5"/>
          <w:sz w:val="15"/>
        </w:rPr>
        <w:t xml:space="preserve"> </w:t>
      </w:r>
      <w:r>
        <w:rPr>
          <w:color w:val="838383"/>
          <w:sz w:val="15"/>
        </w:rPr>
        <w:t>I</w:t>
      </w:r>
      <w:r>
        <w:rPr>
          <w:color w:val="838383"/>
          <w:spacing w:val="-2"/>
          <w:sz w:val="15"/>
        </w:rPr>
        <w:t xml:space="preserve"> </w:t>
      </w:r>
      <w:r>
        <w:rPr>
          <w:sz w:val="15"/>
        </w:rPr>
        <w:t>audit.nsw.gov.au</w:t>
      </w:r>
    </w:p>
    <w:p w14:paraId="6F4994D2" w14:textId="77777777" w:rsidR="00FA4AA8" w:rsidRDefault="00FA4AA8">
      <w:pPr>
        <w:jc w:val="center"/>
        <w:rPr>
          <w:sz w:val="15"/>
        </w:rPr>
        <w:sectPr w:rsidR="00FA4AA8">
          <w:headerReference w:type="default" r:id="rId154"/>
          <w:footerReference w:type="default" r:id="rId155"/>
          <w:pgSz w:w="11910" w:h="16850"/>
          <w:pgMar w:top="660" w:right="720" w:bottom="680" w:left="740" w:header="0" w:footer="480" w:gutter="0"/>
          <w:pgNumType w:start="148"/>
          <w:cols w:space="720"/>
        </w:sectPr>
      </w:pPr>
    </w:p>
    <w:p w14:paraId="74DF2BDB" w14:textId="77777777" w:rsidR="00FA4AA8" w:rsidRDefault="00FA4AA8">
      <w:pPr>
        <w:pStyle w:val="BodyText"/>
        <w:spacing w:before="1"/>
        <w:rPr>
          <w:sz w:val="13"/>
        </w:rPr>
      </w:pPr>
    </w:p>
    <w:tbl>
      <w:tblPr>
        <w:tblW w:w="0" w:type="auto"/>
        <w:tblInd w:w="125" w:type="dxa"/>
        <w:tblLayout w:type="fixed"/>
        <w:tblCellMar>
          <w:left w:w="0" w:type="dxa"/>
          <w:right w:w="0" w:type="dxa"/>
        </w:tblCellMar>
        <w:tblLook w:val="01E0" w:firstRow="1" w:lastRow="1" w:firstColumn="1" w:lastColumn="1" w:noHBand="0" w:noVBand="0"/>
      </w:tblPr>
      <w:tblGrid>
        <w:gridCol w:w="5555"/>
        <w:gridCol w:w="1816"/>
        <w:gridCol w:w="1453"/>
        <w:gridCol w:w="1141"/>
      </w:tblGrid>
      <w:tr w:rsidR="00FA4AA8" w14:paraId="5BC196CF" w14:textId="77777777">
        <w:trPr>
          <w:trHeight w:val="298"/>
        </w:trPr>
        <w:tc>
          <w:tcPr>
            <w:tcW w:w="5555" w:type="dxa"/>
          </w:tcPr>
          <w:p w14:paraId="30A25C3B" w14:textId="77777777" w:rsidR="00FA4AA8" w:rsidRDefault="0015611F">
            <w:pPr>
              <w:pStyle w:val="TableParagraph"/>
              <w:spacing w:line="268" w:lineRule="exact"/>
              <w:ind w:left="50"/>
              <w:rPr>
                <w:b/>
                <w:sz w:val="24"/>
              </w:rPr>
            </w:pPr>
            <w:bookmarkStart w:id="181" w:name="Statement_of_Comprehensive_Income"/>
            <w:bookmarkEnd w:id="181"/>
            <w:r>
              <w:rPr>
                <w:b/>
                <w:sz w:val="24"/>
              </w:rPr>
              <w:t>Statement of Comprehensive Income</w:t>
            </w:r>
          </w:p>
        </w:tc>
        <w:tc>
          <w:tcPr>
            <w:tcW w:w="4410" w:type="dxa"/>
            <w:gridSpan w:val="3"/>
            <w:vMerge w:val="restart"/>
          </w:tcPr>
          <w:p w14:paraId="5FB91E05" w14:textId="77777777" w:rsidR="00FA4AA8" w:rsidRDefault="00FA4AA8">
            <w:pPr>
              <w:pStyle w:val="TableParagraph"/>
              <w:rPr>
                <w:rFonts w:ascii="Times New Roman"/>
                <w:sz w:val="18"/>
              </w:rPr>
            </w:pPr>
          </w:p>
        </w:tc>
      </w:tr>
      <w:tr w:rsidR="00FA4AA8" w14:paraId="5F44C889" w14:textId="77777777">
        <w:trPr>
          <w:trHeight w:val="450"/>
        </w:trPr>
        <w:tc>
          <w:tcPr>
            <w:tcW w:w="5555" w:type="dxa"/>
          </w:tcPr>
          <w:p w14:paraId="2CC359BE" w14:textId="77777777" w:rsidR="00FA4AA8" w:rsidRDefault="0015611F">
            <w:pPr>
              <w:pStyle w:val="TableParagraph"/>
              <w:spacing w:before="24"/>
              <w:ind w:left="50"/>
              <w:rPr>
                <w:b/>
              </w:rPr>
            </w:pPr>
            <w:r>
              <w:rPr>
                <w:b/>
              </w:rPr>
              <w:t>For the year ended 31 December 2018</w:t>
            </w:r>
          </w:p>
        </w:tc>
        <w:tc>
          <w:tcPr>
            <w:tcW w:w="4410" w:type="dxa"/>
            <w:gridSpan w:val="3"/>
            <w:vMerge/>
            <w:tcBorders>
              <w:top w:val="nil"/>
            </w:tcBorders>
          </w:tcPr>
          <w:p w14:paraId="5D569FFE" w14:textId="77777777" w:rsidR="00FA4AA8" w:rsidRDefault="00FA4AA8">
            <w:pPr>
              <w:rPr>
                <w:sz w:val="2"/>
                <w:szCs w:val="2"/>
              </w:rPr>
            </w:pPr>
          </w:p>
        </w:tc>
      </w:tr>
      <w:tr w:rsidR="00FA4AA8" w14:paraId="7641967F" w14:textId="77777777">
        <w:trPr>
          <w:trHeight w:val="410"/>
        </w:trPr>
        <w:tc>
          <w:tcPr>
            <w:tcW w:w="5555" w:type="dxa"/>
          </w:tcPr>
          <w:p w14:paraId="6CCE13DF" w14:textId="77777777" w:rsidR="00FA4AA8" w:rsidRDefault="00FA4AA8">
            <w:pPr>
              <w:pStyle w:val="TableParagraph"/>
              <w:rPr>
                <w:rFonts w:ascii="Times New Roman"/>
                <w:sz w:val="18"/>
              </w:rPr>
            </w:pPr>
          </w:p>
        </w:tc>
        <w:tc>
          <w:tcPr>
            <w:tcW w:w="1816" w:type="dxa"/>
          </w:tcPr>
          <w:p w14:paraId="38DD45A0" w14:textId="77777777" w:rsidR="00FA4AA8" w:rsidRDefault="00FA4AA8">
            <w:pPr>
              <w:pStyle w:val="TableParagraph"/>
              <w:rPr>
                <w:rFonts w:ascii="Times New Roman"/>
                <w:sz w:val="18"/>
              </w:rPr>
            </w:pPr>
          </w:p>
        </w:tc>
        <w:tc>
          <w:tcPr>
            <w:tcW w:w="1453" w:type="dxa"/>
          </w:tcPr>
          <w:p w14:paraId="1BC4EF75" w14:textId="77777777" w:rsidR="00FA4AA8" w:rsidRDefault="0015611F">
            <w:pPr>
              <w:pStyle w:val="TableParagraph"/>
              <w:spacing w:before="167"/>
              <w:ind w:left="442"/>
              <w:rPr>
                <w:b/>
                <w:sz w:val="18"/>
              </w:rPr>
            </w:pPr>
            <w:r>
              <w:rPr>
                <w:b/>
                <w:sz w:val="18"/>
              </w:rPr>
              <w:t>2018</w:t>
            </w:r>
          </w:p>
        </w:tc>
        <w:tc>
          <w:tcPr>
            <w:tcW w:w="1141" w:type="dxa"/>
          </w:tcPr>
          <w:p w14:paraId="6D23174B" w14:textId="77777777" w:rsidR="00FA4AA8" w:rsidRDefault="0015611F">
            <w:pPr>
              <w:pStyle w:val="TableParagraph"/>
              <w:spacing w:before="167"/>
              <w:ind w:left="285"/>
              <w:rPr>
                <w:b/>
                <w:sz w:val="18"/>
              </w:rPr>
            </w:pPr>
            <w:r>
              <w:rPr>
                <w:b/>
                <w:sz w:val="18"/>
              </w:rPr>
              <w:t>2017</w:t>
            </w:r>
          </w:p>
        </w:tc>
      </w:tr>
      <w:tr w:rsidR="00FA4AA8" w14:paraId="04BEE77A" w14:textId="77777777">
        <w:trPr>
          <w:trHeight w:val="313"/>
        </w:trPr>
        <w:tc>
          <w:tcPr>
            <w:tcW w:w="5555" w:type="dxa"/>
          </w:tcPr>
          <w:p w14:paraId="4D3788E3" w14:textId="77777777" w:rsidR="00FA4AA8" w:rsidRDefault="00FA4AA8">
            <w:pPr>
              <w:pStyle w:val="TableParagraph"/>
              <w:rPr>
                <w:rFonts w:ascii="Times New Roman"/>
                <w:sz w:val="18"/>
              </w:rPr>
            </w:pPr>
          </w:p>
        </w:tc>
        <w:tc>
          <w:tcPr>
            <w:tcW w:w="1816" w:type="dxa"/>
          </w:tcPr>
          <w:p w14:paraId="668B44F4" w14:textId="77777777" w:rsidR="00FA4AA8" w:rsidRDefault="0015611F">
            <w:pPr>
              <w:pStyle w:val="TableParagraph"/>
              <w:spacing w:before="30"/>
              <w:ind w:left="1254" w:right="20"/>
              <w:jc w:val="center"/>
              <w:rPr>
                <w:b/>
                <w:sz w:val="18"/>
              </w:rPr>
            </w:pPr>
            <w:r>
              <w:rPr>
                <w:b/>
                <w:sz w:val="18"/>
              </w:rPr>
              <w:t>Notes</w:t>
            </w:r>
          </w:p>
        </w:tc>
        <w:tc>
          <w:tcPr>
            <w:tcW w:w="1453" w:type="dxa"/>
          </w:tcPr>
          <w:p w14:paraId="07E13257" w14:textId="77777777" w:rsidR="00FA4AA8" w:rsidRDefault="0015611F">
            <w:pPr>
              <w:pStyle w:val="TableParagraph"/>
              <w:spacing w:before="30"/>
              <w:ind w:right="162"/>
              <w:jc w:val="center"/>
              <w:rPr>
                <w:b/>
                <w:sz w:val="18"/>
              </w:rPr>
            </w:pPr>
            <w:r>
              <w:rPr>
                <w:b/>
                <w:sz w:val="18"/>
              </w:rPr>
              <w:t>$</w:t>
            </w:r>
          </w:p>
        </w:tc>
        <w:tc>
          <w:tcPr>
            <w:tcW w:w="1141" w:type="dxa"/>
          </w:tcPr>
          <w:p w14:paraId="6554E415" w14:textId="77777777" w:rsidR="00FA4AA8" w:rsidRDefault="0015611F">
            <w:pPr>
              <w:pStyle w:val="TableParagraph"/>
              <w:spacing w:before="30"/>
              <w:ind w:right="164"/>
              <w:jc w:val="center"/>
              <w:rPr>
                <w:b/>
                <w:sz w:val="18"/>
              </w:rPr>
            </w:pPr>
            <w:r>
              <w:rPr>
                <w:b/>
                <w:sz w:val="18"/>
              </w:rPr>
              <w:t>$</w:t>
            </w:r>
          </w:p>
        </w:tc>
      </w:tr>
      <w:tr w:rsidR="00FA4AA8" w14:paraId="6216AEE9" w14:textId="77777777">
        <w:trPr>
          <w:trHeight w:val="542"/>
        </w:trPr>
        <w:tc>
          <w:tcPr>
            <w:tcW w:w="5555" w:type="dxa"/>
          </w:tcPr>
          <w:p w14:paraId="2AC2F1BD" w14:textId="77777777" w:rsidR="00FA4AA8" w:rsidRDefault="0015611F">
            <w:pPr>
              <w:pStyle w:val="TableParagraph"/>
              <w:spacing w:before="70"/>
              <w:ind w:left="76"/>
              <w:rPr>
                <w:b/>
                <w:sz w:val="18"/>
              </w:rPr>
            </w:pPr>
            <w:r>
              <w:rPr>
                <w:b/>
                <w:sz w:val="18"/>
              </w:rPr>
              <w:t>Income from continuing operations</w:t>
            </w:r>
          </w:p>
          <w:p w14:paraId="13C09EE7" w14:textId="77777777" w:rsidR="00FA4AA8" w:rsidRDefault="0015611F">
            <w:pPr>
              <w:pStyle w:val="TableParagraph"/>
              <w:spacing w:before="25"/>
              <w:ind w:left="76"/>
              <w:rPr>
                <w:sz w:val="18"/>
              </w:rPr>
            </w:pPr>
            <w:r>
              <w:rPr>
                <w:sz w:val="18"/>
              </w:rPr>
              <w:t>Child care services</w:t>
            </w:r>
          </w:p>
        </w:tc>
        <w:tc>
          <w:tcPr>
            <w:tcW w:w="1816" w:type="dxa"/>
          </w:tcPr>
          <w:p w14:paraId="5F9CC315" w14:textId="77777777" w:rsidR="00FA4AA8" w:rsidRDefault="00FA4AA8">
            <w:pPr>
              <w:pStyle w:val="TableParagraph"/>
              <w:rPr>
                <w:rFonts w:ascii="Times New Roman"/>
                <w:sz w:val="18"/>
              </w:rPr>
            </w:pPr>
          </w:p>
        </w:tc>
        <w:tc>
          <w:tcPr>
            <w:tcW w:w="1453" w:type="dxa"/>
          </w:tcPr>
          <w:p w14:paraId="1BF4DB31" w14:textId="77777777" w:rsidR="00FA4AA8" w:rsidRDefault="00FA4AA8">
            <w:pPr>
              <w:pStyle w:val="TableParagraph"/>
              <w:spacing w:before="6"/>
              <w:rPr>
                <w:sz w:val="26"/>
              </w:rPr>
            </w:pPr>
          </w:p>
          <w:p w14:paraId="1B89A31F" w14:textId="77777777" w:rsidR="00FA4AA8" w:rsidRDefault="0015611F">
            <w:pPr>
              <w:pStyle w:val="TableParagraph"/>
              <w:ind w:right="245"/>
              <w:jc w:val="right"/>
              <w:rPr>
                <w:b/>
                <w:sz w:val="18"/>
              </w:rPr>
            </w:pPr>
            <w:r>
              <w:rPr>
                <w:b/>
                <w:sz w:val="18"/>
              </w:rPr>
              <w:t>7,102,084</w:t>
            </w:r>
          </w:p>
        </w:tc>
        <w:tc>
          <w:tcPr>
            <w:tcW w:w="1141" w:type="dxa"/>
          </w:tcPr>
          <w:p w14:paraId="0A439835" w14:textId="77777777" w:rsidR="00FA4AA8" w:rsidRDefault="00FA4AA8">
            <w:pPr>
              <w:pStyle w:val="TableParagraph"/>
              <w:spacing w:before="6"/>
              <w:rPr>
                <w:sz w:val="26"/>
              </w:rPr>
            </w:pPr>
          </w:p>
          <w:p w14:paraId="5E32E8B7" w14:textId="77777777" w:rsidR="00FA4AA8" w:rsidRDefault="0015611F">
            <w:pPr>
              <w:pStyle w:val="TableParagraph"/>
              <w:ind w:left="242"/>
              <w:rPr>
                <w:sz w:val="18"/>
              </w:rPr>
            </w:pPr>
            <w:r>
              <w:rPr>
                <w:sz w:val="18"/>
              </w:rPr>
              <w:t>6,771,921</w:t>
            </w:r>
          </w:p>
        </w:tc>
      </w:tr>
      <w:tr w:rsidR="00FA4AA8" w14:paraId="50419F38" w14:textId="77777777">
        <w:trPr>
          <w:trHeight w:val="264"/>
        </w:trPr>
        <w:tc>
          <w:tcPr>
            <w:tcW w:w="5555" w:type="dxa"/>
          </w:tcPr>
          <w:p w14:paraId="1B411935" w14:textId="77777777" w:rsidR="00FA4AA8" w:rsidRDefault="0015611F">
            <w:pPr>
              <w:pStyle w:val="TableParagraph"/>
              <w:spacing w:before="24"/>
              <w:ind w:left="76"/>
              <w:rPr>
                <w:sz w:val="18"/>
              </w:rPr>
            </w:pPr>
            <w:r>
              <w:rPr>
                <w:sz w:val="18"/>
              </w:rPr>
              <w:t>Interest</w:t>
            </w:r>
          </w:p>
        </w:tc>
        <w:tc>
          <w:tcPr>
            <w:tcW w:w="1816" w:type="dxa"/>
          </w:tcPr>
          <w:p w14:paraId="2B70C3B2" w14:textId="77777777" w:rsidR="00FA4AA8" w:rsidRDefault="00FA4AA8">
            <w:pPr>
              <w:pStyle w:val="TableParagraph"/>
              <w:rPr>
                <w:rFonts w:ascii="Times New Roman"/>
                <w:sz w:val="18"/>
              </w:rPr>
            </w:pPr>
          </w:p>
        </w:tc>
        <w:tc>
          <w:tcPr>
            <w:tcW w:w="1453" w:type="dxa"/>
          </w:tcPr>
          <w:p w14:paraId="20105B68" w14:textId="77777777" w:rsidR="00FA4AA8" w:rsidRDefault="0015611F">
            <w:pPr>
              <w:pStyle w:val="TableParagraph"/>
              <w:spacing w:before="26"/>
              <w:ind w:right="245"/>
              <w:jc w:val="right"/>
              <w:rPr>
                <w:b/>
                <w:sz w:val="18"/>
              </w:rPr>
            </w:pPr>
            <w:r>
              <w:rPr>
                <w:b/>
                <w:sz w:val="18"/>
              </w:rPr>
              <w:t>56,128</w:t>
            </w:r>
          </w:p>
        </w:tc>
        <w:tc>
          <w:tcPr>
            <w:tcW w:w="1141" w:type="dxa"/>
          </w:tcPr>
          <w:p w14:paraId="2E8F7328" w14:textId="77777777" w:rsidR="00FA4AA8" w:rsidRDefault="0015611F">
            <w:pPr>
              <w:pStyle w:val="TableParagraph"/>
              <w:spacing w:before="26"/>
              <w:ind w:right="90"/>
              <w:jc w:val="right"/>
              <w:rPr>
                <w:sz w:val="18"/>
              </w:rPr>
            </w:pPr>
            <w:r>
              <w:rPr>
                <w:sz w:val="18"/>
              </w:rPr>
              <w:t>50,563</w:t>
            </w:r>
          </w:p>
        </w:tc>
      </w:tr>
      <w:tr w:rsidR="00FA4AA8" w14:paraId="3DA4FA67" w14:textId="77777777">
        <w:trPr>
          <w:trHeight w:val="258"/>
        </w:trPr>
        <w:tc>
          <w:tcPr>
            <w:tcW w:w="5555" w:type="dxa"/>
          </w:tcPr>
          <w:p w14:paraId="00861172" w14:textId="77777777" w:rsidR="00FA4AA8" w:rsidRDefault="0015611F">
            <w:pPr>
              <w:pStyle w:val="TableParagraph"/>
              <w:spacing w:before="24"/>
              <w:ind w:left="76"/>
              <w:rPr>
                <w:sz w:val="18"/>
              </w:rPr>
            </w:pPr>
            <w:r>
              <w:rPr>
                <w:sz w:val="18"/>
              </w:rPr>
              <w:t>Other revenue</w:t>
            </w:r>
          </w:p>
        </w:tc>
        <w:tc>
          <w:tcPr>
            <w:tcW w:w="1816" w:type="dxa"/>
          </w:tcPr>
          <w:p w14:paraId="3257FDAF" w14:textId="77777777" w:rsidR="00FA4AA8" w:rsidRDefault="0015611F">
            <w:pPr>
              <w:pStyle w:val="TableParagraph"/>
              <w:spacing w:before="26"/>
              <w:ind w:left="1232"/>
              <w:jc w:val="center"/>
              <w:rPr>
                <w:sz w:val="18"/>
              </w:rPr>
            </w:pPr>
            <w:r>
              <w:rPr>
                <w:sz w:val="18"/>
              </w:rPr>
              <w:t>2</w:t>
            </w:r>
          </w:p>
        </w:tc>
        <w:tc>
          <w:tcPr>
            <w:tcW w:w="1453" w:type="dxa"/>
            <w:tcBorders>
              <w:bottom w:val="single" w:sz="8" w:space="0" w:color="000000"/>
            </w:tcBorders>
          </w:tcPr>
          <w:p w14:paraId="74ABF00C" w14:textId="77777777" w:rsidR="00FA4AA8" w:rsidRDefault="0015611F">
            <w:pPr>
              <w:pStyle w:val="TableParagraph"/>
              <w:spacing w:before="26"/>
              <w:ind w:right="245"/>
              <w:jc w:val="right"/>
              <w:rPr>
                <w:b/>
                <w:sz w:val="18"/>
              </w:rPr>
            </w:pPr>
            <w:r>
              <w:rPr>
                <w:b/>
                <w:sz w:val="18"/>
              </w:rPr>
              <w:t>101,540</w:t>
            </w:r>
          </w:p>
        </w:tc>
        <w:tc>
          <w:tcPr>
            <w:tcW w:w="1141" w:type="dxa"/>
            <w:tcBorders>
              <w:bottom w:val="single" w:sz="8" w:space="0" w:color="000000"/>
            </w:tcBorders>
          </w:tcPr>
          <w:p w14:paraId="03250106" w14:textId="77777777" w:rsidR="00FA4AA8" w:rsidRDefault="0015611F">
            <w:pPr>
              <w:pStyle w:val="TableParagraph"/>
              <w:spacing w:before="26"/>
              <w:ind w:left="393"/>
              <w:rPr>
                <w:sz w:val="18"/>
              </w:rPr>
            </w:pPr>
            <w:r>
              <w:rPr>
                <w:sz w:val="18"/>
              </w:rPr>
              <w:t>219,218</w:t>
            </w:r>
          </w:p>
        </w:tc>
      </w:tr>
      <w:tr w:rsidR="00FA4AA8" w14:paraId="5771C1E3" w14:textId="77777777">
        <w:trPr>
          <w:trHeight w:val="318"/>
        </w:trPr>
        <w:tc>
          <w:tcPr>
            <w:tcW w:w="5555" w:type="dxa"/>
          </w:tcPr>
          <w:p w14:paraId="7D27163C" w14:textId="77777777" w:rsidR="00FA4AA8" w:rsidRDefault="0015611F">
            <w:pPr>
              <w:pStyle w:val="TableParagraph"/>
              <w:spacing w:before="115" w:line="183" w:lineRule="exact"/>
              <w:ind w:left="76"/>
              <w:rPr>
                <w:b/>
                <w:sz w:val="18"/>
              </w:rPr>
            </w:pPr>
            <w:r>
              <w:rPr>
                <w:b/>
                <w:sz w:val="18"/>
              </w:rPr>
              <w:t>Total income from continuing operations</w:t>
            </w:r>
          </w:p>
        </w:tc>
        <w:tc>
          <w:tcPr>
            <w:tcW w:w="1816" w:type="dxa"/>
          </w:tcPr>
          <w:p w14:paraId="5F8D0451" w14:textId="77777777" w:rsidR="00FA4AA8" w:rsidRDefault="00FA4AA8">
            <w:pPr>
              <w:pStyle w:val="TableParagraph"/>
              <w:rPr>
                <w:rFonts w:ascii="Times New Roman"/>
                <w:sz w:val="18"/>
              </w:rPr>
            </w:pPr>
          </w:p>
        </w:tc>
        <w:tc>
          <w:tcPr>
            <w:tcW w:w="1453" w:type="dxa"/>
            <w:tcBorders>
              <w:top w:val="single" w:sz="8" w:space="0" w:color="000000"/>
              <w:bottom w:val="single" w:sz="8" w:space="0" w:color="000000"/>
            </w:tcBorders>
          </w:tcPr>
          <w:p w14:paraId="3FEB6F78" w14:textId="77777777" w:rsidR="00FA4AA8" w:rsidRDefault="0015611F">
            <w:pPr>
              <w:pStyle w:val="TableParagraph"/>
              <w:spacing w:before="115" w:line="183" w:lineRule="exact"/>
              <w:ind w:right="245"/>
              <w:jc w:val="right"/>
              <w:rPr>
                <w:b/>
                <w:sz w:val="18"/>
              </w:rPr>
            </w:pPr>
            <w:r>
              <w:rPr>
                <w:b/>
                <w:sz w:val="18"/>
              </w:rPr>
              <w:t>7,259,752</w:t>
            </w:r>
          </w:p>
        </w:tc>
        <w:tc>
          <w:tcPr>
            <w:tcW w:w="1141" w:type="dxa"/>
            <w:tcBorders>
              <w:top w:val="single" w:sz="8" w:space="0" w:color="000000"/>
              <w:bottom w:val="single" w:sz="8" w:space="0" w:color="000000"/>
            </w:tcBorders>
          </w:tcPr>
          <w:p w14:paraId="4620127B" w14:textId="77777777" w:rsidR="00FA4AA8" w:rsidRDefault="0015611F">
            <w:pPr>
              <w:pStyle w:val="TableParagraph"/>
              <w:spacing w:before="115" w:line="183" w:lineRule="exact"/>
              <w:ind w:left="242"/>
              <w:rPr>
                <w:sz w:val="18"/>
              </w:rPr>
            </w:pPr>
            <w:r>
              <w:rPr>
                <w:sz w:val="18"/>
              </w:rPr>
              <w:t>7,041,702</w:t>
            </w:r>
          </w:p>
        </w:tc>
      </w:tr>
      <w:tr w:rsidR="00FA4AA8" w14:paraId="23585E91" w14:textId="77777777">
        <w:trPr>
          <w:trHeight w:val="587"/>
        </w:trPr>
        <w:tc>
          <w:tcPr>
            <w:tcW w:w="5555" w:type="dxa"/>
          </w:tcPr>
          <w:p w14:paraId="42280D10" w14:textId="77777777" w:rsidR="00FA4AA8" w:rsidRDefault="0015611F">
            <w:pPr>
              <w:pStyle w:val="TableParagraph"/>
              <w:spacing w:before="115"/>
              <w:ind w:left="76"/>
              <w:rPr>
                <w:b/>
                <w:sz w:val="18"/>
              </w:rPr>
            </w:pPr>
            <w:r>
              <w:rPr>
                <w:b/>
                <w:sz w:val="18"/>
              </w:rPr>
              <w:t>Expenses from continuing operations</w:t>
            </w:r>
          </w:p>
          <w:p w14:paraId="1589F25C" w14:textId="77777777" w:rsidR="00FA4AA8" w:rsidRDefault="0015611F">
            <w:pPr>
              <w:pStyle w:val="TableParagraph"/>
              <w:spacing w:before="26"/>
              <w:ind w:left="76"/>
              <w:rPr>
                <w:sz w:val="18"/>
              </w:rPr>
            </w:pPr>
            <w:r>
              <w:rPr>
                <w:sz w:val="18"/>
              </w:rPr>
              <w:t>Employee related expenses</w:t>
            </w:r>
          </w:p>
        </w:tc>
        <w:tc>
          <w:tcPr>
            <w:tcW w:w="1816" w:type="dxa"/>
          </w:tcPr>
          <w:p w14:paraId="68237B33" w14:textId="77777777" w:rsidR="00FA4AA8" w:rsidRDefault="00FA4AA8">
            <w:pPr>
              <w:pStyle w:val="TableParagraph"/>
              <w:rPr>
                <w:sz w:val="20"/>
              </w:rPr>
            </w:pPr>
          </w:p>
          <w:p w14:paraId="343A542E" w14:textId="77777777" w:rsidR="00FA4AA8" w:rsidRDefault="0015611F">
            <w:pPr>
              <w:pStyle w:val="TableParagraph"/>
              <w:spacing w:before="120"/>
              <w:ind w:left="1232"/>
              <w:jc w:val="center"/>
              <w:rPr>
                <w:sz w:val="18"/>
              </w:rPr>
            </w:pPr>
            <w:r>
              <w:rPr>
                <w:sz w:val="18"/>
              </w:rPr>
              <w:t>3</w:t>
            </w:r>
          </w:p>
        </w:tc>
        <w:tc>
          <w:tcPr>
            <w:tcW w:w="1453" w:type="dxa"/>
            <w:tcBorders>
              <w:top w:val="single" w:sz="8" w:space="0" w:color="000000"/>
            </w:tcBorders>
          </w:tcPr>
          <w:p w14:paraId="3CBC3DD4" w14:textId="77777777" w:rsidR="00FA4AA8" w:rsidRDefault="00FA4AA8">
            <w:pPr>
              <w:pStyle w:val="TableParagraph"/>
              <w:rPr>
                <w:sz w:val="20"/>
              </w:rPr>
            </w:pPr>
          </w:p>
          <w:p w14:paraId="1C9CD50B" w14:textId="77777777" w:rsidR="00FA4AA8" w:rsidRDefault="0015611F">
            <w:pPr>
              <w:pStyle w:val="TableParagraph"/>
              <w:spacing w:before="120"/>
              <w:ind w:right="184"/>
              <w:jc w:val="right"/>
              <w:rPr>
                <w:b/>
                <w:sz w:val="18"/>
              </w:rPr>
            </w:pPr>
            <w:r>
              <w:rPr>
                <w:b/>
                <w:sz w:val="18"/>
              </w:rPr>
              <w:t>(6,293,901)</w:t>
            </w:r>
          </w:p>
        </w:tc>
        <w:tc>
          <w:tcPr>
            <w:tcW w:w="1141" w:type="dxa"/>
            <w:tcBorders>
              <w:top w:val="single" w:sz="8" w:space="0" w:color="000000"/>
            </w:tcBorders>
          </w:tcPr>
          <w:p w14:paraId="47A5D778" w14:textId="77777777" w:rsidR="00FA4AA8" w:rsidRDefault="00FA4AA8">
            <w:pPr>
              <w:pStyle w:val="TableParagraph"/>
              <w:rPr>
                <w:sz w:val="20"/>
              </w:rPr>
            </w:pPr>
          </w:p>
          <w:p w14:paraId="4047F394" w14:textId="77777777" w:rsidR="00FA4AA8" w:rsidRDefault="0015611F">
            <w:pPr>
              <w:pStyle w:val="TableParagraph"/>
              <w:spacing w:before="120"/>
              <w:ind w:right="29"/>
              <w:jc w:val="right"/>
              <w:rPr>
                <w:sz w:val="18"/>
              </w:rPr>
            </w:pPr>
            <w:r>
              <w:rPr>
                <w:sz w:val="18"/>
              </w:rPr>
              <w:t>(5,829,194)</w:t>
            </w:r>
          </w:p>
        </w:tc>
      </w:tr>
      <w:tr w:rsidR="00FA4AA8" w14:paraId="75463992" w14:textId="77777777">
        <w:trPr>
          <w:trHeight w:val="264"/>
        </w:trPr>
        <w:tc>
          <w:tcPr>
            <w:tcW w:w="5555" w:type="dxa"/>
          </w:tcPr>
          <w:p w14:paraId="1030A670" w14:textId="77777777" w:rsidR="00FA4AA8" w:rsidRDefault="0015611F">
            <w:pPr>
              <w:pStyle w:val="TableParagraph"/>
              <w:spacing w:before="24"/>
              <w:ind w:left="76"/>
              <w:rPr>
                <w:sz w:val="18"/>
              </w:rPr>
            </w:pPr>
            <w:r>
              <w:rPr>
                <w:sz w:val="18"/>
              </w:rPr>
              <w:t>Consumables and supplies</w:t>
            </w:r>
          </w:p>
        </w:tc>
        <w:tc>
          <w:tcPr>
            <w:tcW w:w="1816" w:type="dxa"/>
          </w:tcPr>
          <w:p w14:paraId="356DCE49" w14:textId="77777777" w:rsidR="00FA4AA8" w:rsidRDefault="0015611F">
            <w:pPr>
              <w:pStyle w:val="TableParagraph"/>
              <w:spacing w:before="26"/>
              <w:ind w:left="1232"/>
              <w:jc w:val="center"/>
              <w:rPr>
                <w:sz w:val="18"/>
              </w:rPr>
            </w:pPr>
            <w:r>
              <w:rPr>
                <w:sz w:val="18"/>
              </w:rPr>
              <w:t>3</w:t>
            </w:r>
          </w:p>
        </w:tc>
        <w:tc>
          <w:tcPr>
            <w:tcW w:w="1453" w:type="dxa"/>
          </w:tcPr>
          <w:p w14:paraId="508F97D1" w14:textId="77777777" w:rsidR="00FA4AA8" w:rsidRDefault="0015611F">
            <w:pPr>
              <w:pStyle w:val="TableParagraph"/>
              <w:spacing w:before="26"/>
              <w:ind w:right="184"/>
              <w:jc w:val="right"/>
              <w:rPr>
                <w:b/>
                <w:sz w:val="18"/>
              </w:rPr>
            </w:pPr>
            <w:r>
              <w:rPr>
                <w:b/>
                <w:sz w:val="18"/>
              </w:rPr>
              <w:t>(310,166)</w:t>
            </w:r>
          </w:p>
        </w:tc>
        <w:tc>
          <w:tcPr>
            <w:tcW w:w="1141" w:type="dxa"/>
          </w:tcPr>
          <w:p w14:paraId="2FC009D7" w14:textId="77777777" w:rsidR="00FA4AA8" w:rsidRDefault="0015611F">
            <w:pPr>
              <w:pStyle w:val="TableParagraph"/>
              <w:spacing w:before="26"/>
              <w:ind w:right="29"/>
              <w:jc w:val="right"/>
              <w:rPr>
                <w:sz w:val="18"/>
              </w:rPr>
            </w:pPr>
            <w:r>
              <w:rPr>
                <w:sz w:val="18"/>
              </w:rPr>
              <w:t>(351,029)</w:t>
            </w:r>
          </w:p>
        </w:tc>
      </w:tr>
      <w:tr w:rsidR="00FA4AA8" w14:paraId="4BD25820" w14:textId="77777777">
        <w:trPr>
          <w:trHeight w:val="258"/>
        </w:trPr>
        <w:tc>
          <w:tcPr>
            <w:tcW w:w="5555" w:type="dxa"/>
          </w:tcPr>
          <w:p w14:paraId="221B8649" w14:textId="77777777" w:rsidR="00FA4AA8" w:rsidRDefault="0015611F">
            <w:pPr>
              <w:pStyle w:val="TableParagraph"/>
              <w:spacing w:before="24"/>
              <w:ind w:left="76"/>
              <w:rPr>
                <w:sz w:val="18"/>
              </w:rPr>
            </w:pPr>
            <w:r>
              <w:rPr>
                <w:sz w:val="18"/>
              </w:rPr>
              <w:t>Other expenses</w:t>
            </w:r>
          </w:p>
        </w:tc>
        <w:tc>
          <w:tcPr>
            <w:tcW w:w="1816" w:type="dxa"/>
          </w:tcPr>
          <w:p w14:paraId="14FB55E5" w14:textId="77777777" w:rsidR="00FA4AA8" w:rsidRDefault="0015611F">
            <w:pPr>
              <w:pStyle w:val="TableParagraph"/>
              <w:spacing w:before="26"/>
              <w:ind w:left="1232"/>
              <w:jc w:val="center"/>
              <w:rPr>
                <w:sz w:val="18"/>
              </w:rPr>
            </w:pPr>
            <w:r>
              <w:rPr>
                <w:sz w:val="18"/>
              </w:rPr>
              <w:t>3</w:t>
            </w:r>
          </w:p>
        </w:tc>
        <w:tc>
          <w:tcPr>
            <w:tcW w:w="1453" w:type="dxa"/>
            <w:tcBorders>
              <w:bottom w:val="single" w:sz="8" w:space="0" w:color="000000"/>
            </w:tcBorders>
          </w:tcPr>
          <w:p w14:paraId="091AEE96" w14:textId="77777777" w:rsidR="00FA4AA8" w:rsidRDefault="0015611F">
            <w:pPr>
              <w:pStyle w:val="TableParagraph"/>
              <w:spacing w:before="26"/>
              <w:ind w:right="184"/>
              <w:jc w:val="right"/>
              <w:rPr>
                <w:b/>
                <w:sz w:val="18"/>
              </w:rPr>
            </w:pPr>
            <w:r>
              <w:rPr>
                <w:b/>
                <w:sz w:val="18"/>
              </w:rPr>
              <w:t>(454,194)</w:t>
            </w:r>
          </w:p>
        </w:tc>
        <w:tc>
          <w:tcPr>
            <w:tcW w:w="1141" w:type="dxa"/>
            <w:tcBorders>
              <w:bottom w:val="single" w:sz="8" w:space="0" w:color="000000"/>
            </w:tcBorders>
          </w:tcPr>
          <w:p w14:paraId="693FB367" w14:textId="77777777" w:rsidR="00FA4AA8" w:rsidRDefault="0015611F">
            <w:pPr>
              <w:pStyle w:val="TableParagraph"/>
              <w:spacing w:before="26"/>
              <w:ind w:right="29"/>
              <w:jc w:val="right"/>
              <w:rPr>
                <w:sz w:val="18"/>
              </w:rPr>
            </w:pPr>
            <w:r>
              <w:rPr>
                <w:sz w:val="18"/>
              </w:rPr>
              <w:t>(486,648)</w:t>
            </w:r>
          </w:p>
        </w:tc>
      </w:tr>
      <w:tr w:rsidR="00FA4AA8" w14:paraId="38AF422E" w14:textId="77777777">
        <w:trPr>
          <w:trHeight w:val="391"/>
        </w:trPr>
        <w:tc>
          <w:tcPr>
            <w:tcW w:w="7371" w:type="dxa"/>
            <w:gridSpan w:val="2"/>
          </w:tcPr>
          <w:p w14:paraId="5F8B9811" w14:textId="77777777" w:rsidR="00FA4AA8" w:rsidRDefault="0015611F">
            <w:pPr>
              <w:pStyle w:val="TableParagraph"/>
              <w:spacing w:before="105"/>
              <w:ind w:left="76"/>
              <w:rPr>
                <w:b/>
                <w:sz w:val="18"/>
              </w:rPr>
            </w:pPr>
            <w:r>
              <w:rPr>
                <w:b/>
                <w:sz w:val="18"/>
              </w:rPr>
              <w:t>Total expenses from continuing operations</w:t>
            </w:r>
          </w:p>
        </w:tc>
        <w:tc>
          <w:tcPr>
            <w:tcW w:w="2594" w:type="dxa"/>
            <w:gridSpan w:val="2"/>
          </w:tcPr>
          <w:p w14:paraId="0955B938" w14:textId="77777777" w:rsidR="00FA4AA8" w:rsidRDefault="0015611F">
            <w:pPr>
              <w:pStyle w:val="TableParagraph"/>
              <w:tabs>
                <w:tab w:val="left" w:pos="339"/>
                <w:tab w:val="left" w:pos="1635"/>
              </w:tabs>
              <w:spacing w:before="105"/>
              <w:ind w:left="-2"/>
              <w:rPr>
                <w:sz w:val="18"/>
              </w:rPr>
            </w:pPr>
            <w:r>
              <w:rPr>
                <w:rFonts w:ascii="Times New Roman"/>
                <w:sz w:val="18"/>
                <w:u w:val="single"/>
              </w:rPr>
              <w:t xml:space="preserve"> </w:t>
            </w:r>
            <w:r>
              <w:rPr>
                <w:rFonts w:ascii="Times New Roman"/>
                <w:sz w:val="18"/>
                <w:u w:val="single"/>
              </w:rPr>
              <w:tab/>
            </w:r>
            <w:r>
              <w:rPr>
                <w:b/>
                <w:sz w:val="18"/>
                <w:u w:val="single"/>
              </w:rPr>
              <w:t>(7,058,261)</w:t>
            </w:r>
            <w:r>
              <w:rPr>
                <w:b/>
                <w:sz w:val="18"/>
                <w:u w:val="single"/>
              </w:rPr>
              <w:tab/>
            </w:r>
            <w:r>
              <w:rPr>
                <w:sz w:val="18"/>
                <w:u w:val="single"/>
              </w:rPr>
              <w:t>(6,666,871)</w:t>
            </w:r>
          </w:p>
        </w:tc>
      </w:tr>
      <w:tr w:rsidR="00FA4AA8" w14:paraId="3A5F4EE9" w14:textId="77777777">
        <w:trPr>
          <w:trHeight w:val="338"/>
        </w:trPr>
        <w:tc>
          <w:tcPr>
            <w:tcW w:w="7371" w:type="dxa"/>
            <w:gridSpan w:val="2"/>
          </w:tcPr>
          <w:p w14:paraId="368AB853" w14:textId="77777777" w:rsidR="00FA4AA8" w:rsidRDefault="0015611F">
            <w:pPr>
              <w:pStyle w:val="TableParagraph"/>
              <w:spacing w:before="62"/>
              <w:ind w:left="76"/>
              <w:rPr>
                <w:b/>
                <w:sz w:val="18"/>
              </w:rPr>
            </w:pPr>
            <w:r>
              <w:rPr>
                <w:b/>
                <w:sz w:val="18"/>
              </w:rPr>
              <w:t>Surplus / (deficit) for the year</w:t>
            </w:r>
          </w:p>
        </w:tc>
        <w:tc>
          <w:tcPr>
            <w:tcW w:w="2594" w:type="dxa"/>
            <w:gridSpan w:val="2"/>
          </w:tcPr>
          <w:p w14:paraId="02CE2B49" w14:textId="77777777" w:rsidR="00FA4AA8" w:rsidRDefault="0015611F">
            <w:pPr>
              <w:pStyle w:val="TableParagraph"/>
              <w:tabs>
                <w:tab w:val="left" w:pos="1846"/>
              </w:tabs>
              <w:spacing w:before="62"/>
              <w:ind w:left="551"/>
              <w:rPr>
                <w:sz w:val="18"/>
              </w:rPr>
            </w:pPr>
            <w:r>
              <w:rPr>
                <w:b/>
                <w:sz w:val="18"/>
              </w:rPr>
              <w:t>201,491</w:t>
            </w:r>
            <w:r>
              <w:rPr>
                <w:b/>
                <w:sz w:val="18"/>
              </w:rPr>
              <w:tab/>
            </w:r>
            <w:r>
              <w:rPr>
                <w:sz w:val="18"/>
              </w:rPr>
              <w:t>374,831</w:t>
            </w:r>
          </w:p>
        </w:tc>
      </w:tr>
      <w:tr w:rsidR="00FA4AA8" w14:paraId="22660B32" w14:textId="77777777">
        <w:trPr>
          <w:trHeight w:val="266"/>
        </w:trPr>
        <w:tc>
          <w:tcPr>
            <w:tcW w:w="7371" w:type="dxa"/>
            <w:gridSpan w:val="2"/>
          </w:tcPr>
          <w:p w14:paraId="75630DBF" w14:textId="77777777" w:rsidR="00FA4AA8" w:rsidRDefault="0015611F">
            <w:pPr>
              <w:pStyle w:val="TableParagraph"/>
              <w:spacing w:before="62" w:line="183" w:lineRule="exact"/>
              <w:ind w:left="76"/>
              <w:rPr>
                <w:b/>
                <w:sz w:val="18"/>
              </w:rPr>
            </w:pPr>
            <w:r>
              <w:rPr>
                <w:b/>
                <w:sz w:val="18"/>
              </w:rPr>
              <w:t>Other comprehensive income for the year</w:t>
            </w:r>
          </w:p>
        </w:tc>
        <w:tc>
          <w:tcPr>
            <w:tcW w:w="2594" w:type="dxa"/>
            <w:gridSpan w:val="2"/>
            <w:tcBorders>
              <w:bottom w:val="single" w:sz="8" w:space="0" w:color="000000"/>
            </w:tcBorders>
          </w:tcPr>
          <w:p w14:paraId="741345B4" w14:textId="77777777" w:rsidR="00FA4AA8" w:rsidRDefault="0015611F">
            <w:pPr>
              <w:pStyle w:val="TableParagraph"/>
              <w:tabs>
                <w:tab w:val="left" w:pos="2442"/>
              </w:tabs>
              <w:spacing w:before="62" w:line="183" w:lineRule="exact"/>
              <w:ind w:left="1146"/>
              <w:rPr>
                <w:sz w:val="18"/>
              </w:rPr>
            </w:pPr>
            <w:r>
              <w:rPr>
                <w:b/>
                <w:sz w:val="18"/>
              </w:rPr>
              <w:t>-</w:t>
            </w:r>
            <w:r>
              <w:rPr>
                <w:b/>
                <w:sz w:val="18"/>
              </w:rPr>
              <w:tab/>
            </w:r>
            <w:r>
              <w:rPr>
                <w:sz w:val="18"/>
              </w:rPr>
              <w:t>-</w:t>
            </w:r>
          </w:p>
        </w:tc>
      </w:tr>
      <w:tr w:rsidR="00FA4AA8" w14:paraId="1E631C16" w14:textId="77777777">
        <w:trPr>
          <w:trHeight w:val="320"/>
        </w:trPr>
        <w:tc>
          <w:tcPr>
            <w:tcW w:w="7371" w:type="dxa"/>
            <w:gridSpan w:val="2"/>
          </w:tcPr>
          <w:p w14:paraId="3FC839EE" w14:textId="77777777" w:rsidR="00FA4AA8" w:rsidRDefault="0015611F">
            <w:pPr>
              <w:pStyle w:val="TableParagraph"/>
              <w:spacing w:before="115" w:line="185" w:lineRule="exact"/>
              <w:ind w:left="76"/>
              <w:rPr>
                <w:b/>
                <w:sz w:val="18"/>
              </w:rPr>
            </w:pPr>
            <w:r>
              <w:rPr>
                <w:b/>
                <w:sz w:val="18"/>
              </w:rPr>
              <w:t>Total comprehensive income for the year</w:t>
            </w:r>
          </w:p>
        </w:tc>
        <w:tc>
          <w:tcPr>
            <w:tcW w:w="2594" w:type="dxa"/>
            <w:gridSpan w:val="2"/>
            <w:tcBorders>
              <w:top w:val="single" w:sz="8" w:space="0" w:color="000000"/>
              <w:bottom w:val="double" w:sz="2" w:space="0" w:color="000000"/>
            </w:tcBorders>
          </w:tcPr>
          <w:p w14:paraId="7F634536" w14:textId="77777777" w:rsidR="00FA4AA8" w:rsidRDefault="0015611F">
            <w:pPr>
              <w:pStyle w:val="TableParagraph"/>
              <w:tabs>
                <w:tab w:val="left" w:pos="1846"/>
              </w:tabs>
              <w:spacing w:before="115" w:line="185" w:lineRule="exact"/>
              <w:ind w:left="551"/>
              <w:rPr>
                <w:sz w:val="18"/>
              </w:rPr>
            </w:pPr>
            <w:r>
              <w:rPr>
                <w:b/>
                <w:sz w:val="18"/>
              </w:rPr>
              <w:t>201,491</w:t>
            </w:r>
            <w:r>
              <w:rPr>
                <w:b/>
                <w:sz w:val="18"/>
              </w:rPr>
              <w:tab/>
            </w:r>
            <w:r>
              <w:rPr>
                <w:sz w:val="18"/>
              </w:rPr>
              <w:t>374,831</w:t>
            </w:r>
          </w:p>
        </w:tc>
      </w:tr>
    </w:tbl>
    <w:p w14:paraId="5B392805" w14:textId="77777777" w:rsidR="00FA4AA8" w:rsidRDefault="00FA4AA8">
      <w:pPr>
        <w:pStyle w:val="BodyText"/>
        <w:rPr>
          <w:sz w:val="20"/>
        </w:rPr>
      </w:pPr>
    </w:p>
    <w:p w14:paraId="3AC13237" w14:textId="77777777" w:rsidR="00FA4AA8" w:rsidRDefault="00FA4AA8">
      <w:pPr>
        <w:pStyle w:val="BodyText"/>
        <w:rPr>
          <w:sz w:val="20"/>
        </w:rPr>
      </w:pPr>
    </w:p>
    <w:p w14:paraId="20B03F20" w14:textId="77777777" w:rsidR="00FA4AA8" w:rsidRDefault="00FA4AA8">
      <w:pPr>
        <w:pStyle w:val="BodyText"/>
        <w:rPr>
          <w:sz w:val="20"/>
        </w:rPr>
      </w:pPr>
    </w:p>
    <w:p w14:paraId="24726B9E" w14:textId="77777777" w:rsidR="00FA4AA8" w:rsidRDefault="00FA4AA8">
      <w:pPr>
        <w:pStyle w:val="BodyText"/>
        <w:rPr>
          <w:sz w:val="20"/>
        </w:rPr>
      </w:pPr>
    </w:p>
    <w:p w14:paraId="549760B1" w14:textId="77777777" w:rsidR="00FA4AA8" w:rsidRDefault="00FA4AA8">
      <w:pPr>
        <w:pStyle w:val="BodyText"/>
        <w:rPr>
          <w:sz w:val="20"/>
        </w:rPr>
      </w:pPr>
    </w:p>
    <w:p w14:paraId="4E654D67" w14:textId="77777777" w:rsidR="00FA4AA8" w:rsidRDefault="00FA4AA8">
      <w:pPr>
        <w:pStyle w:val="BodyText"/>
        <w:rPr>
          <w:sz w:val="20"/>
        </w:rPr>
      </w:pPr>
    </w:p>
    <w:p w14:paraId="1F573FDD" w14:textId="77777777" w:rsidR="00FA4AA8" w:rsidRDefault="00FA4AA8">
      <w:pPr>
        <w:pStyle w:val="BodyText"/>
        <w:rPr>
          <w:sz w:val="20"/>
        </w:rPr>
      </w:pPr>
    </w:p>
    <w:p w14:paraId="7139B3C9" w14:textId="77777777" w:rsidR="00FA4AA8" w:rsidRDefault="00FA4AA8">
      <w:pPr>
        <w:pStyle w:val="BodyText"/>
        <w:rPr>
          <w:sz w:val="20"/>
        </w:rPr>
      </w:pPr>
    </w:p>
    <w:p w14:paraId="4DB31031" w14:textId="77777777" w:rsidR="00FA4AA8" w:rsidRDefault="00FA4AA8">
      <w:pPr>
        <w:pStyle w:val="BodyText"/>
        <w:rPr>
          <w:sz w:val="20"/>
        </w:rPr>
      </w:pPr>
    </w:p>
    <w:p w14:paraId="69811079" w14:textId="77777777" w:rsidR="00FA4AA8" w:rsidRDefault="00FA4AA8">
      <w:pPr>
        <w:pStyle w:val="BodyText"/>
        <w:rPr>
          <w:sz w:val="20"/>
        </w:rPr>
      </w:pPr>
    </w:p>
    <w:p w14:paraId="1761E8A5" w14:textId="77777777" w:rsidR="00FA4AA8" w:rsidRDefault="00FA4AA8">
      <w:pPr>
        <w:pStyle w:val="BodyText"/>
        <w:rPr>
          <w:sz w:val="20"/>
        </w:rPr>
      </w:pPr>
    </w:p>
    <w:p w14:paraId="2226D0FE" w14:textId="77777777" w:rsidR="00FA4AA8" w:rsidRDefault="00FA4AA8">
      <w:pPr>
        <w:pStyle w:val="BodyText"/>
        <w:rPr>
          <w:sz w:val="20"/>
        </w:rPr>
      </w:pPr>
    </w:p>
    <w:p w14:paraId="462C6BF3" w14:textId="77777777" w:rsidR="00FA4AA8" w:rsidRDefault="00FA4AA8">
      <w:pPr>
        <w:pStyle w:val="BodyText"/>
        <w:rPr>
          <w:sz w:val="20"/>
        </w:rPr>
      </w:pPr>
    </w:p>
    <w:p w14:paraId="313634A7" w14:textId="77777777" w:rsidR="00FA4AA8" w:rsidRDefault="00FA4AA8">
      <w:pPr>
        <w:pStyle w:val="BodyText"/>
        <w:rPr>
          <w:sz w:val="20"/>
        </w:rPr>
      </w:pPr>
    </w:p>
    <w:p w14:paraId="078EA950" w14:textId="77777777" w:rsidR="00FA4AA8" w:rsidRDefault="00FA4AA8">
      <w:pPr>
        <w:pStyle w:val="BodyText"/>
        <w:rPr>
          <w:sz w:val="20"/>
        </w:rPr>
      </w:pPr>
    </w:p>
    <w:p w14:paraId="07020FD9" w14:textId="77777777" w:rsidR="00FA4AA8" w:rsidRDefault="00FA4AA8">
      <w:pPr>
        <w:pStyle w:val="BodyText"/>
        <w:rPr>
          <w:sz w:val="20"/>
        </w:rPr>
      </w:pPr>
    </w:p>
    <w:p w14:paraId="7526AAA1" w14:textId="77777777" w:rsidR="00FA4AA8" w:rsidRDefault="00FA4AA8">
      <w:pPr>
        <w:pStyle w:val="BodyText"/>
        <w:rPr>
          <w:sz w:val="20"/>
        </w:rPr>
      </w:pPr>
    </w:p>
    <w:p w14:paraId="676CE888" w14:textId="77777777" w:rsidR="00FA4AA8" w:rsidRDefault="00FA4AA8">
      <w:pPr>
        <w:pStyle w:val="BodyText"/>
        <w:rPr>
          <w:sz w:val="20"/>
        </w:rPr>
      </w:pPr>
    </w:p>
    <w:p w14:paraId="5821A7F5" w14:textId="77777777" w:rsidR="00FA4AA8" w:rsidRDefault="00FA4AA8">
      <w:pPr>
        <w:pStyle w:val="BodyText"/>
        <w:rPr>
          <w:sz w:val="20"/>
        </w:rPr>
      </w:pPr>
    </w:p>
    <w:p w14:paraId="1E355A31" w14:textId="77777777" w:rsidR="00FA4AA8" w:rsidRDefault="00FA4AA8">
      <w:pPr>
        <w:pStyle w:val="BodyText"/>
        <w:rPr>
          <w:sz w:val="20"/>
        </w:rPr>
      </w:pPr>
    </w:p>
    <w:p w14:paraId="7FD1CAC3" w14:textId="77777777" w:rsidR="00FA4AA8" w:rsidRDefault="00FA4AA8">
      <w:pPr>
        <w:pStyle w:val="BodyText"/>
        <w:rPr>
          <w:sz w:val="20"/>
        </w:rPr>
      </w:pPr>
    </w:p>
    <w:p w14:paraId="2E5C8730" w14:textId="77777777" w:rsidR="00FA4AA8" w:rsidRDefault="00FA4AA8">
      <w:pPr>
        <w:pStyle w:val="BodyText"/>
        <w:rPr>
          <w:sz w:val="20"/>
        </w:rPr>
      </w:pPr>
    </w:p>
    <w:p w14:paraId="2EBB0917" w14:textId="77777777" w:rsidR="00FA4AA8" w:rsidRDefault="00FA4AA8">
      <w:pPr>
        <w:pStyle w:val="BodyText"/>
        <w:rPr>
          <w:sz w:val="20"/>
        </w:rPr>
      </w:pPr>
    </w:p>
    <w:p w14:paraId="58588A3A" w14:textId="77777777" w:rsidR="00FA4AA8" w:rsidRDefault="00FA4AA8">
      <w:pPr>
        <w:pStyle w:val="BodyText"/>
        <w:rPr>
          <w:sz w:val="20"/>
        </w:rPr>
      </w:pPr>
    </w:p>
    <w:p w14:paraId="57BBA8DD" w14:textId="77777777" w:rsidR="00FA4AA8" w:rsidRDefault="00FA4AA8">
      <w:pPr>
        <w:pStyle w:val="BodyText"/>
        <w:rPr>
          <w:sz w:val="20"/>
        </w:rPr>
      </w:pPr>
    </w:p>
    <w:p w14:paraId="5549FF4D" w14:textId="77777777" w:rsidR="00FA4AA8" w:rsidRDefault="00FA4AA8">
      <w:pPr>
        <w:pStyle w:val="BodyText"/>
        <w:rPr>
          <w:sz w:val="20"/>
        </w:rPr>
      </w:pPr>
    </w:p>
    <w:p w14:paraId="12D3FEB9" w14:textId="77777777" w:rsidR="00FA4AA8" w:rsidRDefault="00FA4AA8">
      <w:pPr>
        <w:pStyle w:val="BodyText"/>
        <w:rPr>
          <w:sz w:val="20"/>
        </w:rPr>
      </w:pPr>
    </w:p>
    <w:p w14:paraId="69DFB933" w14:textId="77777777" w:rsidR="00FA4AA8" w:rsidRDefault="00FA4AA8">
      <w:pPr>
        <w:pStyle w:val="BodyText"/>
        <w:rPr>
          <w:sz w:val="20"/>
        </w:rPr>
      </w:pPr>
    </w:p>
    <w:p w14:paraId="46D0C9FF" w14:textId="77777777" w:rsidR="00FA4AA8" w:rsidRDefault="00FA4AA8">
      <w:pPr>
        <w:pStyle w:val="BodyText"/>
        <w:rPr>
          <w:sz w:val="20"/>
        </w:rPr>
      </w:pPr>
    </w:p>
    <w:p w14:paraId="52E207C3" w14:textId="77777777" w:rsidR="00FA4AA8" w:rsidRDefault="00FA4AA8">
      <w:pPr>
        <w:pStyle w:val="BodyText"/>
        <w:rPr>
          <w:sz w:val="20"/>
        </w:rPr>
      </w:pPr>
    </w:p>
    <w:p w14:paraId="4450B2A9" w14:textId="77777777" w:rsidR="00FA4AA8" w:rsidRDefault="00FA4AA8">
      <w:pPr>
        <w:pStyle w:val="BodyText"/>
        <w:rPr>
          <w:sz w:val="20"/>
        </w:rPr>
      </w:pPr>
    </w:p>
    <w:p w14:paraId="66E2C9AB" w14:textId="77777777" w:rsidR="00FA4AA8" w:rsidRDefault="00FA4AA8">
      <w:pPr>
        <w:pStyle w:val="BodyText"/>
        <w:rPr>
          <w:sz w:val="20"/>
        </w:rPr>
      </w:pPr>
    </w:p>
    <w:p w14:paraId="255FA1E1" w14:textId="77777777" w:rsidR="00FA4AA8" w:rsidRDefault="00FA4AA8">
      <w:pPr>
        <w:pStyle w:val="BodyText"/>
        <w:rPr>
          <w:sz w:val="20"/>
        </w:rPr>
      </w:pPr>
    </w:p>
    <w:p w14:paraId="60D1F8C6" w14:textId="77777777" w:rsidR="00FA4AA8" w:rsidRDefault="00FA4AA8">
      <w:pPr>
        <w:pStyle w:val="BodyText"/>
        <w:rPr>
          <w:sz w:val="20"/>
        </w:rPr>
      </w:pPr>
    </w:p>
    <w:p w14:paraId="72419B12" w14:textId="77777777" w:rsidR="00FA4AA8" w:rsidRDefault="00FA4AA8">
      <w:pPr>
        <w:pStyle w:val="BodyText"/>
        <w:spacing w:before="2"/>
        <w:rPr>
          <w:sz w:val="25"/>
        </w:rPr>
      </w:pPr>
    </w:p>
    <w:p w14:paraId="59E6E4E5" w14:textId="77777777" w:rsidR="00FA4AA8" w:rsidRDefault="0015611F">
      <w:pPr>
        <w:pStyle w:val="BodyText"/>
        <w:spacing w:before="94"/>
        <w:ind w:left="578" w:right="509"/>
        <w:jc w:val="center"/>
      </w:pPr>
      <w:r>
        <w:t>The accompanying notes form part of these financial statements.</w:t>
      </w:r>
    </w:p>
    <w:p w14:paraId="09E7F9A4" w14:textId="77777777" w:rsidR="00FA4AA8" w:rsidRDefault="00FA4AA8">
      <w:pPr>
        <w:jc w:val="center"/>
        <w:sectPr w:rsidR="00FA4AA8">
          <w:headerReference w:type="default" r:id="rId156"/>
          <w:footerReference w:type="default" r:id="rId157"/>
          <w:pgSz w:w="11910" w:h="16840"/>
          <w:pgMar w:top="1660" w:right="880" w:bottom="720" w:left="840" w:header="1016" w:footer="523" w:gutter="0"/>
          <w:pgNumType w:start="149"/>
          <w:cols w:space="720"/>
        </w:sectPr>
      </w:pPr>
    </w:p>
    <w:p w14:paraId="2360B0E4" w14:textId="77777777" w:rsidR="00FA4AA8" w:rsidRDefault="00FA4AA8">
      <w:pPr>
        <w:pStyle w:val="BodyText"/>
        <w:spacing w:before="1"/>
        <w:rPr>
          <w:sz w:val="13"/>
        </w:rPr>
      </w:pPr>
    </w:p>
    <w:tbl>
      <w:tblPr>
        <w:tblW w:w="0" w:type="auto"/>
        <w:tblInd w:w="125" w:type="dxa"/>
        <w:tblLayout w:type="fixed"/>
        <w:tblCellMar>
          <w:left w:w="0" w:type="dxa"/>
          <w:right w:w="0" w:type="dxa"/>
        </w:tblCellMar>
        <w:tblLook w:val="01E0" w:firstRow="1" w:lastRow="1" w:firstColumn="1" w:lastColumn="1" w:noHBand="0" w:noVBand="0"/>
      </w:tblPr>
      <w:tblGrid>
        <w:gridCol w:w="5231"/>
        <w:gridCol w:w="2139"/>
        <w:gridCol w:w="1452"/>
        <w:gridCol w:w="1140"/>
      </w:tblGrid>
      <w:tr w:rsidR="00FA4AA8" w14:paraId="561B29A9" w14:textId="77777777">
        <w:trPr>
          <w:trHeight w:val="298"/>
        </w:trPr>
        <w:tc>
          <w:tcPr>
            <w:tcW w:w="5231" w:type="dxa"/>
          </w:tcPr>
          <w:p w14:paraId="4F6EEA07" w14:textId="77777777" w:rsidR="00FA4AA8" w:rsidRDefault="0015611F">
            <w:pPr>
              <w:pStyle w:val="TableParagraph"/>
              <w:spacing w:line="268" w:lineRule="exact"/>
              <w:ind w:left="50"/>
              <w:rPr>
                <w:b/>
                <w:sz w:val="24"/>
              </w:rPr>
            </w:pPr>
            <w:bookmarkStart w:id="182" w:name="Statement_of_Financial_Position"/>
            <w:bookmarkEnd w:id="182"/>
            <w:r>
              <w:rPr>
                <w:b/>
                <w:sz w:val="24"/>
              </w:rPr>
              <w:t>Statement of Financial Position</w:t>
            </w:r>
          </w:p>
        </w:tc>
        <w:tc>
          <w:tcPr>
            <w:tcW w:w="4731" w:type="dxa"/>
            <w:gridSpan w:val="3"/>
            <w:vMerge w:val="restart"/>
          </w:tcPr>
          <w:p w14:paraId="6D14E828" w14:textId="77777777" w:rsidR="00FA4AA8" w:rsidRDefault="00FA4AA8">
            <w:pPr>
              <w:pStyle w:val="TableParagraph"/>
              <w:rPr>
                <w:rFonts w:ascii="Times New Roman"/>
                <w:sz w:val="18"/>
              </w:rPr>
            </w:pPr>
          </w:p>
        </w:tc>
      </w:tr>
      <w:tr w:rsidR="00FA4AA8" w14:paraId="5F8958A3" w14:textId="77777777">
        <w:trPr>
          <w:trHeight w:val="486"/>
        </w:trPr>
        <w:tc>
          <w:tcPr>
            <w:tcW w:w="5231" w:type="dxa"/>
          </w:tcPr>
          <w:p w14:paraId="6B1A1E38" w14:textId="77777777" w:rsidR="00FA4AA8" w:rsidRDefault="0015611F">
            <w:pPr>
              <w:pStyle w:val="TableParagraph"/>
              <w:spacing w:before="24"/>
              <w:ind w:left="50"/>
              <w:rPr>
                <w:b/>
              </w:rPr>
            </w:pPr>
            <w:r>
              <w:rPr>
                <w:b/>
              </w:rPr>
              <w:t>As At 31 December 2018</w:t>
            </w:r>
          </w:p>
        </w:tc>
        <w:tc>
          <w:tcPr>
            <w:tcW w:w="4731" w:type="dxa"/>
            <w:gridSpan w:val="3"/>
            <w:vMerge/>
            <w:tcBorders>
              <w:top w:val="nil"/>
            </w:tcBorders>
          </w:tcPr>
          <w:p w14:paraId="640644C6" w14:textId="77777777" w:rsidR="00FA4AA8" w:rsidRDefault="00FA4AA8">
            <w:pPr>
              <w:rPr>
                <w:sz w:val="2"/>
                <w:szCs w:val="2"/>
              </w:rPr>
            </w:pPr>
          </w:p>
        </w:tc>
      </w:tr>
      <w:tr w:rsidR="00FA4AA8" w14:paraId="45C001E2" w14:textId="77777777">
        <w:trPr>
          <w:trHeight w:val="446"/>
        </w:trPr>
        <w:tc>
          <w:tcPr>
            <w:tcW w:w="5231" w:type="dxa"/>
          </w:tcPr>
          <w:p w14:paraId="331A56F5" w14:textId="77777777" w:rsidR="00FA4AA8" w:rsidRDefault="00FA4AA8">
            <w:pPr>
              <w:pStyle w:val="TableParagraph"/>
              <w:rPr>
                <w:rFonts w:ascii="Times New Roman"/>
                <w:sz w:val="18"/>
              </w:rPr>
            </w:pPr>
          </w:p>
        </w:tc>
        <w:tc>
          <w:tcPr>
            <w:tcW w:w="2139" w:type="dxa"/>
          </w:tcPr>
          <w:p w14:paraId="1486C481" w14:textId="77777777" w:rsidR="00FA4AA8" w:rsidRDefault="00FA4AA8">
            <w:pPr>
              <w:pStyle w:val="TableParagraph"/>
              <w:rPr>
                <w:rFonts w:ascii="Times New Roman"/>
                <w:sz w:val="18"/>
              </w:rPr>
            </w:pPr>
          </w:p>
        </w:tc>
        <w:tc>
          <w:tcPr>
            <w:tcW w:w="1452" w:type="dxa"/>
          </w:tcPr>
          <w:p w14:paraId="112D57FE" w14:textId="77777777" w:rsidR="00FA4AA8" w:rsidRDefault="00FA4AA8">
            <w:pPr>
              <w:pStyle w:val="TableParagraph"/>
              <w:spacing w:before="8"/>
              <w:rPr>
                <w:sz w:val="17"/>
              </w:rPr>
            </w:pPr>
          </w:p>
          <w:p w14:paraId="1395578F" w14:textId="77777777" w:rsidR="00FA4AA8" w:rsidRDefault="0015611F">
            <w:pPr>
              <w:pStyle w:val="TableParagraph"/>
              <w:ind w:left="443"/>
              <w:rPr>
                <w:b/>
                <w:sz w:val="18"/>
              </w:rPr>
            </w:pPr>
            <w:r>
              <w:rPr>
                <w:b/>
                <w:sz w:val="18"/>
              </w:rPr>
              <w:t>2018</w:t>
            </w:r>
          </w:p>
        </w:tc>
        <w:tc>
          <w:tcPr>
            <w:tcW w:w="1140" w:type="dxa"/>
          </w:tcPr>
          <w:p w14:paraId="634CC9D6" w14:textId="77777777" w:rsidR="00FA4AA8" w:rsidRDefault="00FA4AA8">
            <w:pPr>
              <w:pStyle w:val="TableParagraph"/>
              <w:spacing w:before="8"/>
              <w:rPr>
                <w:sz w:val="17"/>
              </w:rPr>
            </w:pPr>
          </w:p>
          <w:p w14:paraId="13E7FC20" w14:textId="77777777" w:rsidR="00FA4AA8" w:rsidRDefault="0015611F">
            <w:pPr>
              <w:pStyle w:val="TableParagraph"/>
              <w:ind w:left="287"/>
              <w:rPr>
                <w:b/>
                <w:sz w:val="18"/>
              </w:rPr>
            </w:pPr>
            <w:r>
              <w:rPr>
                <w:b/>
                <w:sz w:val="18"/>
              </w:rPr>
              <w:t>2017</w:t>
            </w:r>
          </w:p>
        </w:tc>
      </w:tr>
      <w:tr w:rsidR="00FA4AA8" w14:paraId="3164025E" w14:textId="77777777">
        <w:trPr>
          <w:trHeight w:val="313"/>
        </w:trPr>
        <w:tc>
          <w:tcPr>
            <w:tcW w:w="5231" w:type="dxa"/>
          </w:tcPr>
          <w:p w14:paraId="72152606" w14:textId="77777777" w:rsidR="00FA4AA8" w:rsidRDefault="00FA4AA8">
            <w:pPr>
              <w:pStyle w:val="TableParagraph"/>
              <w:rPr>
                <w:rFonts w:ascii="Times New Roman"/>
                <w:sz w:val="18"/>
              </w:rPr>
            </w:pPr>
          </w:p>
        </w:tc>
        <w:tc>
          <w:tcPr>
            <w:tcW w:w="2139" w:type="dxa"/>
          </w:tcPr>
          <w:p w14:paraId="306095BD" w14:textId="77777777" w:rsidR="00FA4AA8" w:rsidRDefault="0015611F">
            <w:pPr>
              <w:pStyle w:val="TableParagraph"/>
              <w:spacing w:before="30"/>
              <w:ind w:left="1578" w:right="19"/>
              <w:jc w:val="center"/>
              <w:rPr>
                <w:b/>
                <w:sz w:val="18"/>
              </w:rPr>
            </w:pPr>
            <w:r>
              <w:rPr>
                <w:b/>
                <w:sz w:val="18"/>
              </w:rPr>
              <w:t>Notes</w:t>
            </w:r>
          </w:p>
        </w:tc>
        <w:tc>
          <w:tcPr>
            <w:tcW w:w="1452" w:type="dxa"/>
          </w:tcPr>
          <w:p w14:paraId="045D3A52" w14:textId="77777777" w:rsidR="00FA4AA8" w:rsidRDefault="0015611F">
            <w:pPr>
              <w:pStyle w:val="TableParagraph"/>
              <w:spacing w:before="30"/>
              <w:ind w:right="159"/>
              <w:jc w:val="center"/>
              <w:rPr>
                <w:b/>
                <w:sz w:val="18"/>
              </w:rPr>
            </w:pPr>
            <w:r>
              <w:rPr>
                <w:b/>
                <w:sz w:val="18"/>
              </w:rPr>
              <w:t>$</w:t>
            </w:r>
          </w:p>
        </w:tc>
        <w:tc>
          <w:tcPr>
            <w:tcW w:w="1140" w:type="dxa"/>
          </w:tcPr>
          <w:p w14:paraId="07931A48" w14:textId="77777777" w:rsidR="00FA4AA8" w:rsidRDefault="0015611F">
            <w:pPr>
              <w:pStyle w:val="TableParagraph"/>
              <w:spacing w:before="30"/>
              <w:ind w:right="159"/>
              <w:jc w:val="center"/>
              <w:rPr>
                <w:b/>
                <w:sz w:val="18"/>
              </w:rPr>
            </w:pPr>
            <w:r>
              <w:rPr>
                <w:b/>
                <w:sz w:val="18"/>
              </w:rPr>
              <w:t>$</w:t>
            </w:r>
          </w:p>
        </w:tc>
      </w:tr>
      <w:tr w:rsidR="00FA4AA8" w14:paraId="30D51C98" w14:textId="77777777">
        <w:trPr>
          <w:trHeight w:val="335"/>
        </w:trPr>
        <w:tc>
          <w:tcPr>
            <w:tcW w:w="5231" w:type="dxa"/>
          </w:tcPr>
          <w:p w14:paraId="64BB8B31" w14:textId="77777777" w:rsidR="00FA4AA8" w:rsidRDefault="0015611F">
            <w:pPr>
              <w:pStyle w:val="TableParagraph"/>
              <w:spacing w:before="70"/>
              <w:ind w:left="76"/>
              <w:rPr>
                <w:b/>
                <w:sz w:val="18"/>
              </w:rPr>
            </w:pPr>
            <w:r>
              <w:rPr>
                <w:b/>
                <w:sz w:val="18"/>
              </w:rPr>
              <w:t>Assets</w:t>
            </w:r>
          </w:p>
        </w:tc>
        <w:tc>
          <w:tcPr>
            <w:tcW w:w="2139" w:type="dxa"/>
          </w:tcPr>
          <w:p w14:paraId="09D7B5BD" w14:textId="77777777" w:rsidR="00FA4AA8" w:rsidRDefault="00FA4AA8">
            <w:pPr>
              <w:pStyle w:val="TableParagraph"/>
              <w:rPr>
                <w:rFonts w:ascii="Times New Roman"/>
                <w:sz w:val="18"/>
              </w:rPr>
            </w:pPr>
          </w:p>
        </w:tc>
        <w:tc>
          <w:tcPr>
            <w:tcW w:w="1452" w:type="dxa"/>
          </w:tcPr>
          <w:p w14:paraId="3363CC75" w14:textId="77777777" w:rsidR="00FA4AA8" w:rsidRDefault="00FA4AA8">
            <w:pPr>
              <w:pStyle w:val="TableParagraph"/>
              <w:rPr>
                <w:rFonts w:ascii="Times New Roman"/>
                <w:sz w:val="18"/>
              </w:rPr>
            </w:pPr>
          </w:p>
        </w:tc>
        <w:tc>
          <w:tcPr>
            <w:tcW w:w="1140" w:type="dxa"/>
          </w:tcPr>
          <w:p w14:paraId="16A77235" w14:textId="77777777" w:rsidR="00FA4AA8" w:rsidRDefault="00FA4AA8">
            <w:pPr>
              <w:pStyle w:val="TableParagraph"/>
              <w:rPr>
                <w:rFonts w:ascii="Times New Roman"/>
                <w:sz w:val="18"/>
              </w:rPr>
            </w:pPr>
          </w:p>
        </w:tc>
      </w:tr>
      <w:tr w:rsidR="00FA4AA8" w14:paraId="382ED23F" w14:textId="77777777">
        <w:trPr>
          <w:trHeight w:val="525"/>
        </w:trPr>
        <w:tc>
          <w:tcPr>
            <w:tcW w:w="5231" w:type="dxa"/>
          </w:tcPr>
          <w:p w14:paraId="7AB6B5AD" w14:textId="77777777" w:rsidR="00FA4AA8" w:rsidRDefault="0015611F">
            <w:pPr>
              <w:pStyle w:val="TableParagraph"/>
              <w:spacing w:before="53"/>
              <w:ind w:left="76"/>
              <w:rPr>
                <w:b/>
                <w:sz w:val="18"/>
              </w:rPr>
            </w:pPr>
            <w:r>
              <w:rPr>
                <w:b/>
                <w:sz w:val="18"/>
              </w:rPr>
              <w:t>Current assets</w:t>
            </w:r>
          </w:p>
          <w:p w14:paraId="4E64B278" w14:textId="77777777" w:rsidR="00FA4AA8" w:rsidRDefault="0015611F">
            <w:pPr>
              <w:pStyle w:val="TableParagraph"/>
              <w:spacing w:before="26"/>
              <w:ind w:left="76"/>
              <w:rPr>
                <w:sz w:val="18"/>
              </w:rPr>
            </w:pPr>
            <w:r>
              <w:rPr>
                <w:sz w:val="18"/>
              </w:rPr>
              <w:t>Cash and cash equivalents</w:t>
            </w:r>
          </w:p>
        </w:tc>
        <w:tc>
          <w:tcPr>
            <w:tcW w:w="2139" w:type="dxa"/>
          </w:tcPr>
          <w:p w14:paraId="081F92EB" w14:textId="77777777" w:rsidR="00FA4AA8" w:rsidRDefault="00FA4AA8">
            <w:pPr>
              <w:pStyle w:val="TableParagraph"/>
              <w:rPr>
                <w:sz w:val="25"/>
              </w:rPr>
            </w:pPr>
          </w:p>
          <w:p w14:paraId="3E53F55F" w14:textId="77777777" w:rsidR="00FA4AA8" w:rsidRDefault="0015611F">
            <w:pPr>
              <w:pStyle w:val="TableParagraph"/>
              <w:spacing w:before="1"/>
              <w:ind w:left="1557"/>
              <w:jc w:val="center"/>
              <w:rPr>
                <w:sz w:val="18"/>
              </w:rPr>
            </w:pPr>
            <w:r>
              <w:rPr>
                <w:sz w:val="18"/>
              </w:rPr>
              <w:t>4</w:t>
            </w:r>
          </w:p>
        </w:tc>
        <w:tc>
          <w:tcPr>
            <w:tcW w:w="1452" w:type="dxa"/>
          </w:tcPr>
          <w:p w14:paraId="35F91999" w14:textId="77777777" w:rsidR="00FA4AA8" w:rsidRDefault="00FA4AA8">
            <w:pPr>
              <w:pStyle w:val="TableParagraph"/>
              <w:rPr>
                <w:sz w:val="25"/>
              </w:rPr>
            </w:pPr>
          </w:p>
          <w:p w14:paraId="3057E57D" w14:textId="77777777" w:rsidR="00FA4AA8" w:rsidRDefault="0015611F">
            <w:pPr>
              <w:pStyle w:val="TableParagraph"/>
              <w:spacing w:before="1"/>
              <w:ind w:right="243"/>
              <w:jc w:val="right"/>
              <w:rPr>
                <w:b/>
                <w:sz w:val="18"/>
              </w:rPr>
            </w:pPr>
            <w:r>
              <w:rPr>
                <w:b/>
                <w:sz w:val="18"/>
              </w:rPr>
              <w:t>425,261</w:t>
            </w:r>
          </w:p>
        </w:tc>
        <w:tc>
          <w:tcPr>
            <w:tcW w:w="1140" w:type="dxa"/>
          </w:tcPr>
          <w:p w14:paraId="370BBD42" w14:textId="77777777" w:rsidR="00FA4AA8" w:rsidRDefault="00FA4AA8">
            <w:pPr>
              <w:pStyle w:val="TableParagraph"/>
              <w:rPr>
                <w:sz w:val="25"/>
              </w:rPr>
            </w:pPr>
          </w:p>
          <w:p w14:paraId="58686671" w14:textId="77777777" w:rsidR="00FA4AA8" w:rsidRDefault="0015611F">
            <w:pPr>
              <w:pStyle w:val="TableParagraph"/>
              <w:spacing w:before="1"/>
              <w:ind w:right="87"/>
              <w:jc w:val="right"/>
              <w:rPr>
                <w:sz w:val="18"/>
              </w:rPr>
            </w:pPr>
            <w:r>
              <w:rPr>
                <w:sz w:val="18"/>
              </w:rPr>
              <w:t>482,158</w:t>
            </w:r>
          </w:p>
        </w:tc>
      </w:tr>
      <w:tr w:rsidR="00FA4AA8" w14:paraId="1F028BC7" w14:textId="77777777">
        <w:trPr>
          <w:trHeight w:val="264"/>
        </w:trPr>
        <w:tc>
          <w:tcPr>
            <w:tcW w:w="5231" w:type="dxa"/>
          </w:tcPr>
          <w:p w14:paraId="77448284" w14:textId="77777777" w:rsidR="00FA4AA8" w:rsidRDefault="0015611F">
            <w:pPr>
              <w:pStyle w:val="TableParagraph"/>
              <w:spacing w:before="24"/>
              <w:ind w:left="76"/>
              <w:rPr>
                <w:sz w:val="18"/>
              </w:rPr>
            </w:pPr>
            <w:r>
              <w:rPr>
                <w:sz w:val="18"/>
              </w:rPr>
              <w:t>Trade and other receivables</w:t>
            </w:r>
          </w:p>
        </w:tc>
        <w:tc>
          <w:tcPr>
            <w:tcW w:w="2139" w:type="dxa"/>
          </w:tcPr>
          <w:p w14:paraId="1A4FF4AC" w14:textId="77777777" w:rsidR="00FA4AA8" w:rsidRDefault="0015611F">
            <w:pPr>
              <w:pStyle w:val="TableParagraph"/>
              <w:spacing w:before="26"/>
              <w:ind w:left="1557"/>
              <w:jc w:val="center"/>
              <w:rPr>
                <w:sz w:val="18"/>
              </w:rPr>
            </w:pPr>
            <w:r>
              <w:rPr>
                <w:sz w:val="18"/>
              </w:rPr>
              <w:t>5</w:t>
            </w:r>
          </w:p>
        </w:tc>
        <w:tc>
          <w:tcPr>
            <w:tcW w:w="1452" w:type="dxa"/>
          </w:tcPr>
          <w:p w14:paraId="086A218F" w14:textId="77777777" w:rsidR="00FA4AA8" w:rsidRDefault="0015611F">
            <w:pPr>
              <w:pStyle w:val="TableParagraph"/>
              <w:spacing w:before="26"/>
              <w:ind w:right="243"/>
              <w:jc w:val="right"/>
              <w:rPr>
                <w:b/>
                <w:sz w:val="18"/>
              </w:rPr>
            </w:pPr>
            <w:r>
              <w:rPr>
                <w:b/>
                <w:sz w:val="18"/>
              </w:rPr>
              <w:t>2,362,470</w:t>
            </w:r>
          </w:p>
        </w:tc>
        <w:tc>
          <w:tcPr>
            <w:tcW w:w="1140" w:type="dxa"/>
          </w:tcPr>
          <w:p w14:paraId="6A9631D4" w14:textId="77777777" w:rsidR="00FA4AA8" w:rsidRDefault="0015611F">
            <w:pPr>
              <w:pStyle w:val="TableParagraph"/>
              <w:spacing w:before="26"/>
              <w:ind w:right="87"/>
              <w:jc w:val="right"/>
              <w:rPr>
                <w:sz w:val="18"/>
              </w:rPr>
            </w:pPr>
            <w:r>
              <w:rPr>
                <w:sz w:val="18"/>
              </w:rPr>
              <w:t>2,229,894</w:t>
            </w:r>
          </w:p>
        </w:tc>
      </w:tr>
      <w:tr w:rsidR="00FA4AA8" w14:paraId="3DD3F8F8" w14:textId="77777777">
        <w:trPr>
          <w:trHeight w:val="258"/>
        </w:trPr>
        <w:tc>
          <w:tcPr>
            <w:tcW w:w="5231" w:type="dxa"/>
          </w:tcPr>
          <w:p w14:paraId="3FB90B23" w14:textId="77777777" w:rsidR="00FA4AA8" w:rsidRDefault="0015611F">
            <w:pPr>
              <w:pStyle w:val="TableParagraph"/>
              <w:spacing w:before="24"/>
              <w:ind w:left="76"/>
              <w:rPr>
                <w:sz w:val="18"/>
              </w:rPr>
            </w:pPr>
            <w:r>
              <w:rPr>
                <w:sz w:val="18"/>
              </w:rPr>
              <w:t>Prepayments</w:t>
            </w:r>
          </w:p>
        </w:tc>
        <w:tc>
          <w:tcPr>
            <w:tcW w:w="2139" w:type="dxa"/>
          </w:tcPr>
          <w:p w14:paraId="38ED203F" w14:textId="77777777" w:rsidR="00FA4AA8" w:rsidRDefault="0015611F">
            <w:pPr>
              <w:pStyle w:val="TableParagraph"/>
              <w:spacing w:before="26"/>
              <w:ind w:left="1557"/>
              <w:jc w:val="center"/>
              <w:rPr>
                <w:sz w:val="18"/>
              </w:rPr>
            </w:pPr>
            <w:r>
              <w:rPr>
                <w:sz w:val="18"/>
              </w:rPr>
              <w:t>6</w:t>
            </w:r>
          </w:p>
        </w:tc>
        <w:tc>
          <w:tcPr>
            <w:tcW w:w="1452" w:type="dxa"/>
            <w:tcBorders>
              <w:bottom w:val="single" w:sz="8" w:space="0" w:color="000000"/>
            </w:tcBorders>
          </w:tcPr>
          <w:p w14:paraId="7BFAE541" w14:textId="77777777" w:rsidR="00FA4AA8" w:rsidRDefault="0015611F">
            <w:pPr>
              <w:pStyle w:val="TableParagraph"/>
              <w:spacing w:before="26"/>
              <w:ind w:right="243"/>
              <w:jc w:val="right"/>
              <w:rPr>
                <w:b/>
                <w:sz w:val="18"/>
              </w:rPr>
            </w:pPr>
            <w:r>
              <w:rPr>
                <w:b/>
                <w:sz w:val="18"/>
              </w:rPr>
              <w:t>24,747</w:t>
            </w:r>
          </w:p>
        </w:tc>
        <w:tc>
          <w:tcPr>
            <w:tcW w:w="1140" w:type="dxa"/>
            <w:tcBorders>
              <w:bottom w:val="single" w:sz="8" w:space="0" w:color="000000"/>
            </w:tcBorders>
          </w:tcPr>
          <w:p w14:paraId="6339DCAE" w14:textId="77777777" w:rsidR="00FA4AA8" w:rsidRDefault="0015611F">
            <w:pPr>
              <w:pStyle w:val="TableParagraph"/>
              <w:spacing w:before="26"/>
              <w:ind w:right="87"/>
              <w:jc w:val="right"/>
              <w:rPr>
                <w:sz w:val="18"/>
              </w:rPr>
            </w:pPr>
            <w:r>
              <w:rPr>
                <w:sz w:val="18"/>
              </w:rPr>
              <w:t>173,396</w:t>
            </w:r>
          </w:p>
        </w:tc>
      </w:tr>
      <w:tr w:rsidR="00FA4AA8" w14:paraId="7BE887EC" w14:textId="77777777">
        <w:trPr>
          <w:trHeight w:val="318"/>
        </w:trPr>
        <w:tc>
          <w:tcPr>
            <w:tcW w:w="5231" w:type="dxa"/>
          </w:tcPr>
          <w:p w14:paraId="0803224E" w14:textId="77777777" w:rsidR="00FA4AA8" w:rsidRDefault="0015611F">
            <w:pPr>
              <w:pStyle w:val="TableParagraph"/>
              <w:spacing w:before="31"/>
              <w:ind w:left="76"/>
              <w:rPr>
                <w:b/>
                <w:sz w:val="18"/>
              </w:rPr>
            </w:pPr>
            <w:r>
              <w:rPr>
                <w:b/>
                <w:sz w:val="18"/>
              </w:rPr>
              <w:t>Total current assets</w:t>
            </w:r>
          </w:p>
        </w:tc>
        <w:tc>
          <w:tcPr>
            <w:tcW w:w="2139" w:type="dxa"/>
          </w:tcPr>
          <w:p w14:paraId="7B47C680" w14:textId="77777777" w:rsidR="00FA4AA8" w:rsidRDefault="00FA4AA8">
            <w:pPr>
              <w:pStyle w:val="TableParagraph"/>
              <w:rPr>
                <w:rFonts w:ascii="Times New Roman"/>
                <w:sz w:val="18"/>
              </w:rPr>
            </w:pPr>
          </w:p>
        </w:tc>
        <w:tc>
          <w:tcPr>
            <w:tcW w:w="1452" w:type="dxa"/>
            <w:tcBorders>
              <w:top w:val="single" w:sz="8" w:space="0" w:color="000000"/>
              <w:bottom w:val="single" w:sz="8" w:space="0" w:color="000000"/>
            </w:tcBorders>
          </w:tcPr>
          <w:p w14:paraId="0B97173C" w14:textId="77777777" w:rsidR="00FA4AA8" w:rsidRDefault="0015611F">
            <w:pPr>
              <w:pStyle w:val="TableParagraph"/>
              <w:spacing w:before="115" w:line="183" w:lineRule="exact"/>
              <w:ind w:right="243"/>
              <w:jc w:val="right"/>
              <w:rPr>
                <w:b/>
                <w:sz w:val="18"/>
              </w:rPr>
            </w:pPr>
            <w:r>
              <w:rPr>
                <w:b/>
                <w:sz w:val="18"/>
              </w:rPr>
              <w:t>2,812,478</w:t>
            </w:r>
          </w:p>
        </w:tc>
        <w:tc>
          <w:tcPr>
            <w:tcW w:w="1140" w:type="dxa"/>
            <w:tcBorders>
              <w:top w:val="single" w:sz="8" w:space="0" w:color="000000"/>
              <w:bottom w:val="single" w:sz="8" w:space="0" w:color="000000"/>
            </w:tcBorders>
          </w:tcPr>
          <w:p w14:paraId="3E6320A7" w14:textId="77777777" w:rsidR="00FA4AA8" w:rsidRDefault="0015611F">
            <w:pPr>
              <w:pStyle w:val="TableParagraph"/>
              <w:spacing w:before="115" w:line="183" w:lineRule="exact"/>
              <w:ind w:right="87"/>
              <w:jc w:val="right"/>
              <w:rPr>
                <w:sz w:val="18"/>
              </w:rPr>
            </w:pPr>
            <w:r>
              <w:rPr>
                <w:sz w:val="18"/>
              </w:rPr>
              <w:t>2,885,448</w:t>
            </w:r>
          </w:p>
        </w:tc>
      </w:tr>
      <w:tr w:rsidR="00FA4AA8" w14:paraId="3D180424" w14:textId="77777777">
        <w:trPr>
          <w:trHeight w:val="582"/>
        </w:trPr>
        <w:tc>
          <w:tcPr>
            <w:tcW w:w="5231" w:type="dxa"/>
          </w:tcPr>
          <w:p w14:paraId="22B36019" w14:textId="77777777" w:rsidR="00FA4AA8" w:rsidRDefault="0015611F">
            <w:pPr>
              <w:pStyle w:val="TableParagraph"/>
              <w:spacing w:before="115"/>
              <w:ind w:left="76"/>
              <w:rPr>
                <w:b/>
                <w:sz w:val="18"/>
              </w:rPr>
            </w:pPr>
            <w:r>
              <w:rPr>
                <w:b/>
                <w:sz w:val="18"/>
              </w:rPr>
              <w:t>Non-current assets</w:t>
            </w:r>
          </w:p>
          <w:p w14:paraId="567A6032" w14:textId="77777777" w:rsidR="00FA4AA8" w:rsidRDefault="0015611F">
            <w:pPr>
              <w:pStyle w:val="TableParagraph"/>
              <w:spacing w:before="26"/>
              <w:ind w:left="76"/>
              <w:rPr>
                <w:sz w:val="18"/>
              </w:rPr>
            </w:pPr>
            <w:r>
              <w:rPr>
                <w:sz w:val="18"/>
              </w:rPr>
              <w:t>Property, plant and equipment</w:t>
            </w:r>
          </w:p>
        </w:tc>
        <w:tc>
          <w:tcPr>
            <w:tcW w:w="2139" w:type="dxa"/>
          </w:tcPr>
          <w:p w14:paraId="2FC93216" w14:textId="77777777" w:rsidR="00FA4AA8" w:rsidRDefault="00FA4AA8">
            <w:pPr>
              <w:pStyle w:val="TableParagraph"/>
              <w:rPr>
                <w:sz w:val="20"/>
              </w:rPr>
            </w:pPr>
          </w:p>
          <w:p w14:paraId="54933A40" w14:textId="77777777" w:rsidR="00FA4AA8" w:rsidRDefault="0015611F">
            <w:pPr>
              <w:pStyle w:val="TableParagraph"/>
              <w:spacing w:before="120"/>
              <w:ind w:left="1557"/>
              <w:jc w:val="center"/>
              <w:rPr>
                <w:sz w:val="18"/>
              </w:rPr>
            </w:pPr>
            <w:r>
              <w:rPr>
                <w:sz w:val="18"/>
              </w:rPr>
              <w:t>7</w:t>
            </w:r>
          </w:p>
        </w:tc>
        <w:tc>
          <w:tcPr>
            <w:tcW w:w="1452" w:type="dxa"/>
            <w:tcBorders>
              <w:top w:val="single" w:sz="8" w:space="0" w:color="000000"/>
              <w:bottom w:val="single" w:sz="8" w:space="0" w:color="000000"/>
            </w:tcBorders>
          </w:tcPr>
          <w:p w14:paraId="2F2E954C" w14:textId="77777777" w:rsidR="00FA4AA8" w:rsidRDefault="00FA4AA8">
            <w:pPr>
              <w:pStyle w:val="TableParagraph"/>
              <w:rPr>
                <w:sz w:val="20"/>
              </w:rPr>
            </w:pPr>
          </w:p>
          <w:p w14:paraId="29225B9A" w14:textId="77777777" w:rsidR="00FA4AA8" w:rsidRDefault="0015611F">
            <w:pPr>
              <w:pStyle w:val="TableParagraph"/>
              <w:spacing w:before="120"/>
              <w:ind w:right="243"/>
              <w:jc w:val="right"/>
              <w:rPr>
                <w:b/>
                <w:sz w:val="18"/>
              </w:rPr>
            </w:pPr>
            <w:r>
              <w:rPr>
                <w:b/>
                <w:sz w:val="18"/>
              </w:rPr>
              <w:t>210,740</w:t>
            </w:r>
          </w:p>
        </w:tc>
        <w:tc>
          <w:tcPr>
            <w:tcW w:w="1140" w:type="dxa"/>
            <w:tcBorders>
              <w:top w:val="single" w:sz="8" w:space="0" w:color="000000"/>
              <w:bottom w:val="single" w:sz="8" w:space="0" w:color="000000"/>
            </w:tcBorders>
          </w:tcPr>
          <w:p w14:paraId="2620F85E" w14:textId="77777777" w:rsidR="00FA4AA8" w:rsidRDefault="00FA4AA8">
            <w:pPr>
              <w:pStyle w:val="TableParagraph"/>
              <w:rPr>
                <w:sz w:val="20"/>
              </w:rPr>
            </w:pPr>
          </w:p>
          <w:p w14:paraId="59E4E452" w14:textId="77777777" w:rsidR="00FA4AA8" w:rsidRDefault="0015611F">
            <w:pPr>
              <w:pStyle w:val="TableParagraph"/>
              <w:spacing w:before="120"/>
              <w:ind w:right="86"/>
              <w:jc w:val="right"/>
              <w:rPr>
                <w:sz w:val="18"/>
              </w:rPr>
            </w:pPr>
            <w:r>
              <w:rPr>
                <w:sz w:val="18"/>
              </w:rPr>
              <w:t>-</w:t>
            </w:r>
          </w:p>
        </w:tc>
      </w:tr>
    </w:tbl>
    <w:p w14:paraId="5D63B790" w14:textId="77777777" w:rsidR="00FA4AA8" w:rsidRDefault="007E2441">
      <w:pPr>
        <w:tabs>
          <w:tab w:val="left" w:pos="8039"/>
          <w:tab w:val="left" w:pos="9931"/>
        </w:tabs>
        <w:spacing w:before="22" w:after="20"/>
        <w:ind w:left="194"/>
        <w:rPr>
          <w:sz w:val="18"/>
        </w:rPr>
      </w:pPr>
      <w:r>
        <w:rPr>
          <w:noProof/>
          <w:lang w:val="en-AU" w:eastAsia="en-AU"/>
        </w:rPr>
        <mc:AlternateContent>
          <mc:Choice Requires="wpg">
            <w:drawing>
              <wp:anchor distT="0" distB="0" distL="114300" distR="114300" simplePos="0" relativeHeight="15793152" behindDoc="0" locked="0" layoutInCell="1" allowOverlap="1" wp14:anchorId="46E65D99" wp14:editId="0EA18D47">
                <wp:simplePos x="0" y="0"/>
                <wp:positionH relativeFrom="page">
                  <wp:posOffset>5288280</wp:posOffset>
                </wp:positionH>
                <wp:positionV relativeFrom="paragraph">
                  <wp:posOffset>196850</wp:posOffset>
                </wp:positionV>
                <wp:extent cx="1645920" cy="12700"/>
                <wp:effectExtent l="0" t="0" r="0" b="0"/>
                <wp:wrapNone/>
                <wp:docPr id="993" name="Group 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5920" cy="12700"/>
                          <a:chOff x="8328" y="310"/>
                          <a:chExt cx="2592" cy="20"/>
                        </a:xfrm>
                      </wpg:grpSpPr>
                      <wps:wsp>
                        <wps:cNvPr id="994" name="Line 791"/>
                        <wps:cNvCnPr>
                          <a:cxnSpLocks noChangeShapeType="1"/>
                        </wps:cNvCnPr>
                        <wps:spPr bwMode="auto">
                          <a:xfrm>
                            <a:off x="8328" y="31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995" name="Line 790"/>
                        <wps:cNvCnPr>
                          <a:cxnSpLocks noChangeShapeType="1"/>
                        </wps:cNvCnPr>
                        <wps:spPr bwMode="auto">
                          <a:xfrm>
                            <a:off x="8328" y="31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996" name="Line 789"/>
                        <wps:cNvCnPr>
                          <a:cxnSpLocks noChangeShapeType="1"/>
                        </wps:cNvCnPr>
                        <wps:spPr bwMode="auto">
                          <a:xfrm>
                            <a:off x="8328" y="316"/>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997" name="Line 788"/>
                        <wps:cNvCnPr>
                          <a:cxnSpLocks noChangeShapeType="1"/>
                        </wps:cNvCnPr>
                        <wps:spPr bwMode="auto">
                          <a:xfrm>
                            <a:off x="8328" y="31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998" name="Line 787"/>
                        <wps:cNvCnPr>
                          <a:cxnSpLocks noChangeShapeType="1"/>
                        </wps:cNvCnPr>
                        <wps:spPr bwMode="auto">
                          <a:xfrm>
                            <a:off x="8328" y="32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999" name="Line 786"/>
                        <wps:cNvCnPr>
                          <a:cxnSpLocks noChangeShapeType="1"/>
                        </wps:cNvCnPr>
                        <wps:spPr bwMode="auto">
                          <a:xfrm>
                            <a:off x="8328" y="32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00" name="Line 785"/>
                        <wps:cNvCnPr>
                          <a:cxnSpLocks noChangeShapeType="1"/>
                        </wps:cNvCnPr>
                        <wps:spPr bwMode="auto">
                          <a:xfrm>
                            <a:off x="8328" y="32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01" name="Line 784"/>
                        <wps:cNvCnPr>
                          <a:cxnSpLocks noChangeShapeType="1"/>
                        </wps:cNvCnPr>
                        <wps:spPr bwMode="auto">
                          <a:xfrm>
                            <a:off x="8328" y="32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02" name="Line 783"/>
                        <wps:cNvCnPr>
                          <a:cxnSpLocks noChangeShapeType="1"/>
                        </wps:cNvCnPr>
                        <wps:spPr bwMode="auto">
                          <a:xfrm>
                            <a:off x="9624" y="31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03" name="Line 782"/>
                        <wps:cNvCnPr>
                          <a:cxnSpLocks noChangeShapeType="1"/>
                        </wps:cNvCnPr>
                        <wps:spPr bwMode="auto">
                          <a:xfrm>
                            <a:off x="9624" y="31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04" name="Line 781"/>
                        <wps:cNvCnPr>
                          <a:cxnSpLocks noChangeShapeType="1"/>
                        </wps:cNvCnPr>
                        <wps:spPr bwMode="auto">
                          <a:xfrm>
                            <a:off x="9624" y="316"/>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05" name="Line 780"/>
                        <wps:cNvCnPr>
                          <a:cxnSpLocks noChangeShapeType="1"/>
                        </wps:cNvCnPr>
                        <wps:spPr bwMode="auto">
                          <a:xfrm>
                            <a:off x="9624" y="31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06" name="Line 779"/>
                        <wps:cNvCnPr>
                          <a:cxnSpLocks noChangeShapeType="1"/>
                        </wps:cNvCnPr>
                        <wps:spPr bwMode="auto">
                          <a:xfrm>
                            <a:off x="9624" y="32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07" name="Line 778"/>
                        <wps:cNvCnPr>
                          <a:cxnSpLocks noChangeShapeType="1"/>
                        </wps:cNvCnPr>
                        <wps:spPr bwMode="auto">
                          <a:xfrm>
                            <a:off x="9624" y="32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08" name="Line 777"/>
                        <wps:cNvCnPr>
                          <a:cxnSpLocks noChangeShapeType="1"/>
                        </wps:cNvCnPr>
                        <wps:spPr bwMode="auto">
                          <a:xfrm>
                            <a:off x="9624" y="32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09" name="Line 776"/>
                        <wps:cNvCnPr>
                          <a:cxnSpLocks noChangeShapeType="1"/>
                        </wps:cNvCnPr>
                        <wps:spPr bwMode="auto">
                          <a:xfrm>
                            <a:off x="9624" y="32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10" name="Line 775"/>
                        <wps:cNvCnPr>
                          <a:cxnSpLocks noChangeShapeType="1"/>
                        </wps:cNvCnPr>
                        <wps:spPr bwMode="auto">
                          <a:xfrm>
                            <a:off x="8328" y="31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11" name="Line 774"/>
                        <wps:cNvCnPr>
                          <a:cxnSpLocks noChangeShapeType="1"/>
                        </wps:cNvCnPr>
                        <wps:spPr bwMode="auto">
                          <a:xfrm>
                            <a:off x="8328" y="31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12" name="Line 773"/>
                        <wps:cNvCnPr>
                          <a:cxnSpLocks noChangeShapeType="1"/>
                        </wps:cNvCnPr>
                        <wps:spPr bwMode="auto">
                          <a:xfrm>
                            <a:off x="8328" y="316"/>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13" name="Line 772"/>
                        <wps:cNvCnPr>
                          <a:cxnSpLocks noChangeShapeType="1"/>
                        </wps:cNvCnPr>
                        <wps:spPr bwMode="auto">
                          <a:xfrm>
                            <a:off x="8328" y="31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14" name="Line 771"/>
                        <wps:cNvCnPr>
                          <a:cxnSpLocks noChangeShapeType="1"/>
                        </wps:cNvCnPr>
                        <wps:spPr bwMode="auto">
                          <a:xfrm>
                            <a:off x="8328" y="32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15" name="Line 770"/>
                        <wps:cNvCnPr>
                          <a:cxnSpLocks noChangeShapeType="1"/>
                        </wps:cNvCnPr>
                        <wps:spPr bwMode="auto">
                          <a:xfrm>
                            <a:off x="8328" y="32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16" name="Line 769"/>
                        <wps:cNvCnPr>
                          <a:cxnSpLocks noChangeShapeType="1"/>
                        </wps:cNvCnPr>
                        <wps:spPr bwMode="auto">
                          <a:xfrm>
                            <a:off x="8328" y="32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17" name="Line 768"/>
                        <wps:cNvCnPr>
                          <a:cxnSpLocks noChangeShapeType="1"/>
                        </wps:cNvCnPr>
                        <wps:spPr bwMode="auto">
                          <a:xfrm>
                            <a:off x="8328" y="32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18" name="Line 767"/>
                        <wps:cNvCnPr>
                          <a:cxnSpLocks noChangeShapeType="1"/>
                        </wps:cNvCnPr>
                        <wps:spPr bwMode="auto">
                          <a:xfrm>
                            <a:off x="9624" y="31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19" name="Line 766"/>
                        <wps:cNvCnPr>
                          <a:cxnSpLocks noChangeShapeType="1"/>
                        </wps:cNvCnPr>
                        <wps:spPr bwMode="auto">
                          <a:xfrm>
                            <a:off x="9624" y="31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20" name="Line 765"/>
                        <wps:cNvCnPr>
                          <a:cxnSpLocks noChangeShapeType="1"/>
                        </wps:cNvCnPr>
                        <wps:spPr bwMode="auto">
                          <a:xfrm>
                            <a:off x="9624" y="316"/>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21" name="Line 764"/>
                        <wps:cNvCnPr>
                          <a:cxnSpLocks noChangeShapeType="1"/>
                        </wps:cNvCnPr>
                        <wps:spPr bwMode="auto">
                          <a:xfrm>
                            <a:off x="9624" y="31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22" name="Line 763"/>
                        <wps:cNvCnPr>
                          <a:cxnSpLocks noChangeShapeType="1"/>
                        </wps:cNvCnPr>
                        <wps:spPr bwMode="auto">
                          <a:xfrm>
                            <a:off x="9624" y="32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23" name="Line 762"/>
                        <wps:cNvCnPr>
                          <a:cxnSpLocks noChangeShapeType="1"/>
                        </wps:cNvCnPr>
                        <wps:spPr bwMode="auto">
                          <a:xfrm>
                            <a:off x="9624" y="32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24" name="Line 761"/>
                        <wps:cNvCnPr>
                          <a:cxnSpLocks noChangeShapeType="1"/>
                        </wps:cNvCnPr>
                        <wps:spPr bwMode="auto">
                          <a:xfrm>
                            <a:off x="9624" y="32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25" name="Line 760"/>
                        <wps:cNvCnPr>
                          <a:cxnSpLocks noChangeShapeType="1"/>
                        </wps:cNvCnPr>
                        <wps:spPr bwMode="auto">
                          <a:xfrm>
                            <a:off x="9624" y="32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DA8EEE" id="Group 759" o:spid="_x0000_s1026" style="position:absolute;margin-left:416.4pt;margin-top:15.5pt;width:129.6pt;height:1pt;z-index:15793152;mso-position-horizontal-relative:page" coordorigin="8328,310" coordsize="259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">
                <v:line id="Line 791" o:spid="_x0000_s1027" style="position:absolute;visibility:visible;mso-wrap-style:square" from="8328,311" to="9624,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" strokeweight=".12pt"/>
                <v:line id="Line 790" o:spid="_x0000_s1028" style="position:absolute;visibility:visible;mso-wrap-style:square" from="8328,313" to="9624,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" strokeweight=".12pt"/>
                <v:line id="Line 789" o:spid="_x0000_s1029" style="position:absolute;visibility:visible;mso-wrap-style:square" from="8328,316" to="9624,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" strokeweight=".12pt"/>
                <v:line id="Line 788" o:spid="_x0000_s1030" style="position:absolute;visibility:visible;mso-wrap-style:square" from="8328,318" to="9624,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" strokeweight=".12pt"/>
                <v:line id="Line 787" o:spid="_x0000_s1031" style="position:absolute;visibility:visible;mso-wrap-style:square" from="8328,320" to="962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" strokeweight=".12pt"/>
                <v:line id="Line 786" o:spid="_x0000_s1032" style="position:absolute;visibility:visible;mso-wrap-style:square" from="8328,323" to="9624,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" strokeweight=".12pt"/>
                <v:line id="Line 785" o:spid="_x0000_s1033" style="position:absolute;visibility:visible;mso-wrap-style:square" from="8328,325" to="9624,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" strokeweight=".12pt"/>
                <v:line id="Line 784" o:spid="_x0000_s1034" style="position:absolute;visibility:visible;mso-wrap-style:square" from="8328,328" to="962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" strokeweight=".12pt"/>
                <v:line id="Line 783" o:spid="_x0000_s1035" style="position:absolute;visibility:visible;mso-wrap-style:square" from="9624,311" to="10920,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" strokeweight=".12pt"/>
                <v:line id="Line 782" o:spid="_x0000_s1036" style="position:absolute;visibility:visible;mso-wrap-style:square" from="9624,313" to="10920,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" strokeweight=".12pt"/>
                <v:line id="Line 781" o:spid="_x0000_s1037" style="position:absolute;visibility:visible;mso-wrap-style:square" from="9624,316" to="10920,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" strokeweight=".12pt"/>
                <v:line id="Line 780" o:spid="_x0000_s1038" style="position:absolute;visibility:visible;mso-wrap-style:square" from="9624,318" to="10920,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" strokeweight=".12pt"/>
                <v:line id="Line 779" o:spid="_x0000_s1039" style="position:absolute;visibility:visible;mso-wrap-style:square" from="9624,320" to="10920,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" strokeweight=".12pt"/>
                <v:line id="Line 778" o:spid="_x0000_s1040" style="position:absolute;visibility:visible;mso-wrap-style:square" from="9624,323" to="10920,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" strokeweight=".12pt"/>
                <v:line id="Line 777" o:spid="_x0000_s1041" style="position:absolute;visibility:visible;mso-wrap-style:square" from="9624,325" to="10920,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" strokeweight=".12pt"/>
                <v:line id="Line 776" o:spid="_x0000_s1042" style="position:absolute;visibility:visible;mso-wrap-style:square" from="9624,328" to="10920,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" strokeweight=".12pt"/>
                <v:line id="Line 775" o:spid="_x0000_s1043" style="position:absolute;visibility:visible;mso-wrap-style:square" from="8328,311" to="9624,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" strokeweight=".12pt"/>
                <v:line id="Line 774" o:spid="_x0000_s1044" style="position:absolute;visibility:visible;mso-wrap-style:square" from="8328,313" to="9624,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" strokeweight=".12pt"/>
                <v:line id="Line 773" o:spid="_x0000_s1045" style="position:absolute;visibility:visible;mso-wrap-style:square" from="8328,316" to="9624,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" strokeweight=".12pt"/>
                <v:line id="Line 772" o:spid="_x0000_s1046" style="position:absolute;visibility:visible;mso-wrap-style:square" from="8328,318" to="9624,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" strokeweight=".12pt"/>
                <v:line id="Line 771" o:spid="_x0000_s1047" style="position:absolute;visibility:visible;mso-wrap-style:square" from="8328,320" to="962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" strokeweight=".12pt"/>
                <v:line id="Line 770" o:spid="_x0000_s1048" style="position:absolute;visibility:visible;mso-wrap-style:square" from="8328,323" to="9624,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" strokeweight=".12pt"/>
                <v:line id="Line 769" o:spid="_x0000_s1049" style="position:absolute;visibility:visible;mso-wrap-style:square" from="8328,325" to="9624,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" strokeweight=".12pt"/>
                <v:line id="Line 768" o:spid="_x0000_s1050" style="position:absolute;visibility:visible;mso-wrap-style:square" from="8328,328" to="962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" strokeweight=".12pt"/>
                <v:line id="Line 767" o:spid="_x0000_s1051" style="position:absolute;visibility:visible;mso-wrap-style:square" from="9624,311" to="10920,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" strokeweight=".12pt"/>
                <v:line id="Line 766" o:spid="_x0000_s1052" style="position:absolute;visibility:visible;mso-wrap-style:square" from="9624,313" to="10920,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" strokeweight=".12pt"/>
                <v:line id="Line 765" o:spid="_x0000_s1053" style="position:absolute;visibility:visible;mso-wrap-style:square" from="9624,316" to="10920,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" strokeweight=".12pt"/>
                <v:line id="Line 764" o:spid="_x0000_s1054" style="position:absolute;visibility:visible;mso-wrap-style:square" from="9624,318" to="10920,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" strokeweight=".12pt"/>
                <v:line id="Line 763" o:spid="_x0000_s1055" style="position:absolute;visibility:visible;mso-wrap-style:square" from="9624,320" to="10920,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" strokeweight=".12pt"/>
                <v:line id="Line 762" o:spid="_x0000_s1056" style="position:absolute;visibility:visible;mso-wrap-style:square" from="9624,323" to="10920,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" strokeweight=".12pt"/>
                <v:line id="Line 761" o:spid="_x0000_s1057" style="position:absolute;visibility:visible;mso-wrap-style:square" from="9624,325" to="10920,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" strokeweight=".12pt"/>
                <v:line id="Line 760" o:spid="_x0000_s1058" style="position:absolute;visibility:visible;mso-wrap-style:square" from="9624,328" to="10920,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" strokeweight=".12pt"/>
                <w10:wrap anchorx="page"/>
              </v:group>
            </w:pict>
          </mc:Fallback>
        </mc:AlternateContent>
      </w:r>
      <w:r w:rsidR="0015611F">
        <w:rPr>
          <w:b/>
          <w:sz w:val="18"/>
        </w:rPr>
        <w:t>Total non-current assets</w:t>
      </w:r>
      <w:r w:rsidR="0015611F">
        <w:rPr>
          <w:b/>
          <w:sz w:val="18"/>
        </w:rPr>
        <w:tab/>
      </w:r>
      <w:r w:rsidR="0015611F">
        <w:rPr>
          <w:b/>
          <w:position w:val="-7"/>
          <w:sz w:val="18"/>
        </w:rPr>
        <w:t>210,740</w:t>
      </w:r>
      <w:r w:rsidR="0015611F">
        <w:rPr>
          <w:b/>
          <w:position w:val="-7"/>
          <w:sz w:val="18"/>
        </w:rPr>
        <w:tab/>
      </w:r>
      <w:r w:rsidR="0015611F">
        <w:rPr>
          <w:position w:val="-7"/>
          <w:sz w:val="18"/>
        </w:rPr>
        <w:t>-</w:t>
      </w:r>
    </w:p>
    <w:tbl>
      <w:tblPr>
        <w:tblW w:w="0" w:type="auto"/>
        <w:tblInd w:w="151" w:type="dxa"/>
        <w:tblLayout w:type="fixed"/>
        <w:tblCellMar>
          <w:left w:w="0" w:type="dxa"/>
          <w:right w:w="0" w:type="dxa"/>
        </w:tblCellMar>
        <w:tblLook w:val="01E0" w:firstRow="1" w:lastRow="1" w:firstColumn="1" w:lastColumn="1" w:noHBand="0" w:noVBand="0"/>
      </w:tblPr>
      <w:tblGrid>
        <w:gridCol w:w="4658"/>
        <w:gridCol w:w="2685"/>
        <w:gridCol w:w="1452"/>
        <w:gridCol w:w="1140"/>
      </w:tblGrid>
      <w:tr w:rsidR="00FA4AA8" w14:paraId="598B60C3" w14:textId="77777777">
        <w:trPr>
          <w:trHeight w:val="318"/>
        </w:trPr>
        <w:tc>
          <w:tcPr>
            <w:tcW w:w="4658" w:type="dxa"/>
          </w:tcPr>
          <w:p w14:paraId="5585EB06" w14:textId="77777777" w:rsidR="00FA4AA8" w:rsidRDefault="0015611F">
            <w:pPr>
              <w:pStyle w:val="TableParagraph"/>
              <w:spacing w:before="31"/>
              <w:ind w:left="50"/>
              <w:rPr>
                <w:b/>
                <w:sz w:val="18"/>
              </w:rPr>
            </w:pPr>
            <w:r>
              <w:rPr>
                <w:b/>
                <w:sz w:val="18"/>
              </w:rPr>
              <w:t>Total assets</w:t>
            </w:r>
          </w:p>
        </w:tc>
        <w:tc>
          <w:tcPr>
            <w:tcW w:w="2685" w:type="dxa"/>
          </w:tcPr>
          <w:p w14:paraId="0D962B9C" w14:textId="77777777" w:rsidR="00FA4AA8" w:rsidRDefault="00FA4AA8">
            <w:pPr>
              <w:pStyle w:val="TableParagraph"/>
              <w:rPr>
                <w:rFonts w:ascii="Times New Roman"/>
                <w:sz w:val="18"/>
              </w:rPr>
            </w:pPr>
          </w:p>
        </w:tc>
        <w:tc>
          <w:tcPr>
            <w:tcW w:w="1452" w:type="dxa"/>
            <w:tcBorders>
              <w:bottom w:val="single" w:sz="8" w:space="0" w:color="000000"/>
            </w:tcBorders>
          </w:tcPr>
          <w:p w14:paraId="5513BEC3" w14:textId="77777777" w:rsidR="00FA4AA8" w:rsidRDefault="0015611F">
            <w:pPr>
              <w:pStyle w:val="TableParagraph"/>
              <w:spacing w:before="115" w:line="183" w:lineRule="exact"/>
              <w:ind w:right="242"/>
              <w:jc w:val="right"/>
              <w:rPr>
                <w:b/>
                <w:sz w:val="18"/>
              </w:rPr>
            </w:pPr>
            <w:r>
              <w:rPr>
                <w:b/>
                <w:sz w:val="18"/>
              </w:rPr>
              <w:t>3,023,218</w:t>
            </w:r>
          </w:p>
        </w:tc>
        <w:tc>
          <w:tcPr>
            <w:tcW w:w="1140" w:type="dxa"/>
            <w:tcBorders>
              <w:bottom w:val="single" w:sz="8" w:space="0" w:color="000000"/>
            </w:tcBorders>
          </w:tcPr>
          <w:p w14:paraId="718A166E" w14:textId="77777777" w:rsidR="00FA4AA8" w:rsidRDefault="0015611F">
            <w:pPr>
              <w:pStyle w:val="TableParagraph"/>
              <w:spacing w:before="115" w:line="183" w:lineRule="exact"/>
              <w:ind w:right="86"/>
              <w:jc w:val="right"/>
              <w:rPr>
                <w:sz w:val="18"/>
              </w:rPr>
            </w:pPr>
            <w:r>
              <w:rPr>
                <w:sz w:val="18"/>
              </w:rPr>
              <w:t>2,885,448</w:t>
            </w:r>
          </w:p>
        </w:tc>
      </w:tr>
      <w:tr w:rsidR="00FA4AA8" w14:paraId="04544C9C" w14:textId="77777777">
        <w:trPr>
          <w:trHeight w:val="381"/>
        </w:trPr>
        <w:tc>
          <w:tcPr>
            <w:tcW w:w="4658" w:type="dxa"/>
          </w:tcPr>
          <w:p w14:paraId="530BFAC5" w14:textId="77777777" w:rsidR="00FA4AA8" w:rsidRDefault="0015611F">
            <w:pPr>
              <w:pStyle w:val="TableParagraph"/>
              <w:spacing w:before="115"/>
              <w:ind w:left="50"/>
              <w:rPr>
                <w:b/>
                <w:sz w:val="18"/>
              </w:rPr>
            </w:pPr>
            <w:r>
              <w:rPr>
                <w:b/>
                <w:sz w:val="18"/>
              </w:rPr>
              <w:t>Liabilities</w:t>
            </w:r>
          </w:p>
        </w:tc>
        <w:tc>
          <w:tcPr>
            <w:tcW w:w="2685" w:type="dxa"/>
          </w:tcPr>
          <w:p w14:paraId="0DA040EB" w14:textId="77777777" w:rsidR="00FA4AA8" w:rsidRDefault="00FA4AA8">
            <w:pPr>
              <w:pStyle w:val="TableParagraph"/>
              <w:rPr>
                <w:rFonts w:ascii="Times New Roman"/>
                <w:sz w:val="18"/>
              </w:rPr>
            </w:pPr>
          </w:p>
        </w:tc>
        <w:tc>
          <w:tcPr>
            <w:tcW w:w="1452" w:type="dxa"/>
            <w:tcBorders>
              <w:top w:val="single" w:sz="8" w:space="0" w:color="000000"/>
            </w:tcBorders>
          </w:tcPr>
          <w:p w14:paraId="57E739AE" w14:textId="77777777" w:rsidR="00FA4AA8" w:rsidRDefault="00FA4AA8">
            <w:pPr>
              <w:pStyle w:val="TableParagraph"/>
              <w:rPr>
                <w:rFonts w:ascii="Times New Roman"/>
                <w:sz w:val="18"/>
              </w:rPr>
            </w:pPr>
          </w:p>
        </w:tc>
        <w:tc>
          <w:tcPr>
            <w:tcW w:w="1140" w:type="dxa"/>
            <w:tcBorders>
              <w:top w:val="single" w:sz="8" w:space="0" w:color="000000"/>
            </w:tcBorders>
          </w:tcPr>
          <w:p w14:paraId="5C9CBEE5" w14:textId="77777777" w:rsidR="00FA4AA8" w:rsidRDefault="00FA4AA8">
            <w:pPr>
              <w:pStyle w:val="TableParagraph"/>
              <w:rPr>
                <w:rFonts w:ascii="Times New Roman"/>
                <w:sz w:val="18"/>
              </w:rPr>
            </w:pPr>
          </w:p>
        </w:tc>
      </w:tr>
      <w:tr w:rsidR="00FA4AA8" w14:paraId="043D94F1" w14:textId="77777777">
        <w:trPr>
          <w:trHeight w:val="525"/>
        </w:trPr>
        <w:tc>
          <w:tcPr>
            <w:tcW w:w="4658" w:type="dxa"/>
          </w:tcPr>
          <w:p w14:paraId="310BA1FD" w14:textId="77777777" w:rsidR="00FA4AA8" w:rsidRDefault="0015611F">
            <w:pPr>
              <w:pStyle w:val="TableParagraph"/>
              <w:spacing w:before="53"/>
              <w:ind w:left="50"/>
              <w:rPr>
                <w:b/>
                <w:sz w:val="18"/>
              </w:rPr>
            </w:pPr>
            <w:r>
              <w:rPr>
                <w:b/>
                <w:sz w:val="18"/>
              </w:rPr>
              <w:t>Current liabilities</w:t>
            </w:r>
          </w:p>
          <w:p w14:paraId="26522BEC" w14:textId="77777777" w:rsidR="00FA4AA8" w:rsidRDefault="0015611F">
            <w:pPr>
              <w:pStyle w:val="TableParagraph"/>
              <w:spacing w:before="26"/>
              <w:ind w:left="50"/>
              <w:rPr>
                <w:sz w:val="18"/>
              </w:rPr>
            </w:pPr>
            <w:r>
              <w:rPr>
                <w:sz w:val="18"/>
              </w:rPr>
              <w:t>Trade and other payables</w:t>
            </w:r>
          </w:p>
        </w:tc>
        <w:tc>
          <w:tcPr>
            <w:tcW w:w="2685" w:type="dxa"/>
          </w:tcPr>
          <w:p w14:paraId="396BBB60" w14:textId="77777777" w:rsidR="00FA4AA8" w:rsidRDefault="00FA4AA8">
            <w:pPr>
              <w:pStyle w:val="TableParagraph"/>
              <w:rPr>
                <w:sz w:val="25"/>
              </w:rPr>
            </w:pPr>
          </w:p>
          <w:p w14:paraId="75002604" w14:textId="77777777" w:rsidR="00FA4AA8" w:rsidRDefault="0015611F">
            <w:pPr>
              <w:pStyle w:val="TableParagraph"/>
              <w:spacing w:before="1"/>
              <w:ind w:right="238"/>
              <w:jc w:val="right"/>
              <w:rPr>
                <w:sz w:val="18"/>
              </w:rPr>
            </w:pPr>
            <w:r>
              <w:rPr>
                <w:sz w:val="18"/>
              </w:rPr>
              <w:t>8</w:t>
            </w:r>
          </w:p>
        </w:tc>
        <w:tc>
          <w:tcPr>
            <w:tcW w:w="1452" w:type="dxa"/>
          </w:tcPr>
          <w:p w14:paraId="21BF66FC" w14:textId="77777777" w:rsidR="00FA4AA8" w:rsidRDefault="00FA4AA8">
            <w:pPr>
              <w:pStyle w:val="TableParagraph"/>
              <w:rPr>
                <w:sz w:val="25"/>
              </w:rPr>
            </w:pPr>
          </w:p>
          <w:p w14:paraId="46DE8B04" w14:textId="77777777" w:rsidR="00FA4AA8" w:rsidRDefault="0015611F">
            <w:pPr>
              <w:pStyle w:val="TableParagraph"/>
              <w:spacing w:before="1"/>
              <w:ind w:right="242"/>
              <w:jc w:val="right"/>
              <w:rPr>
                <w:b/>
                <w:sz w:val="18"/>
              </w:rPr>
            </w:pPr>
            <w:r>
              <w:rPr>
                <w:b/>
                <w:sz w:val="18"/>
              </w:rPr>
              <w:t>574,970</w:t>
            </w:r>
          </w:p>
        </w:tc>
        <w:tc>
          <w:tcPr>
            <w:tcW w:w="1140" w:type="dxa"/>
          </w:tcPr>
          <w:p w14:paraId="6287FE81" w14:textId="77777777" w:rsidR="00FA4AA8" w:rsidRDefault="00FA4AA8">
            <w:pPr>
              <w:pStyle w:val="TableParagraph"/>
              <w:rPr>
                <w:sz w:val="25"/>
              </w:rPr>
            </w:pPr>
          </w:p>
          <w:p w14:paraId="163B83D7" w14:textId="77777777" w:rsidR="00FA4AA8" w:rsidRDefault="0015611F">
            <w:pPr>
              <w:pStyle w:val="TableParagraph"/>
              <w:spacing w:before="1"/>
              <w:ind w:right="86"/>
              <w:jc w:val="right"/>
              <w:rPr>
                <w:sz w:val="18"/>
              </w:rPr>
            </w:pPr>
            <w:r>
              <w:rPr>
                <w:sz w:val="18"/>
              </w:rPr>
              <w:t>600,157</w:t>
            </w:r>
          </w:p>
        </w:tc>
      </w:tr>
      <w:tr w:rsidR="00FA4AA8" w14:paraId="565A2CE5" w14:textId="77777777">
        <w:trPr>
          <w:trHeight w:val="264"/>
        </w:trPr>
        <w:tc>
          <w:tcPr>
            <w:tcW w:w="4658" w:type="dxa"/>
          </w:tcPr>
          <w:p w14:paraId="4987A01E" w14:textId="77777777" w:rsidR="00FA4AA8" w:rsidRDefault="0015611F">
            <w:pPr>
              <w:pStyle w:val="TableParagraph"/>
              <w:spacing w:before="24"/>
              <w:ind w:left="50"/>
              <w:rPr>
                <w:sz w:val="18"/>
              </w:rPr>
            </w:pPr>
            <w:r>
              <w:rPr>
                <w:sz w:val="18"/>
              </w:rPr>
              <w:t>Deferred income</w:t>
            </w:r>
          </w:p>
        </w:tc>
        <w:tc>
          <w:tcPr>
            <w:tcW w:w="2685" w:type="dxa"/>
          </w:tcPr>
          <w:p w14:paraId="73166C12" w14:textId="77777777" w:rsidR="00FA4AA8" w:rsidRDefault="00FA4AA8">
            <w:pPr>
              <w:pStyle w:val="TableParagraph"/>
              <w:rPr>
                <w:rFonts w:ascii="Times New Roman"/>
                <w:sz w:val="18"/>
              </w:rPr>
            </w:pPr>
          </w:p>
        </w:tc>
        <w:tc>
          <w:tcPr>
            <w:tcW w:w="1452" w:type="dxa"/>
          </w:tcPr>
          <w:p w14:paraId="3E3CF230" w14:textId="77777777" w:rsidR="00FA4AA8" w:rsidRDefault="0015611F">
            <w:pPr>
              <w:pStyle w:val="TableParagraph"/>
              <w:spacing w:before="26"/>
              <w:ind w:right="242"/>
              <w:jc w:val="right"/>
              <w:rPr>
                <w:b/>
                <w:sz w:val="18"/>
              </w:rPr>
            </w:pPr>
            <w:r>
              <w:rPr>
                <w:b/>
                <w:sz w:val="18"/>
              </w:rPr>
              <w:t>123,017</w:t>
            </w:r>
          </w:p>
        </w:tc>
        <w:tc>
          <w:tcPr>
            <w:tcW w:w="1140" w:type="dxa"/>
          </w:tcPr>
          <w:p w14:paraId="4323FAD2" w14:textId="77777777" w:rsidR="00FA4AA8" w:rsidRDefault="0015611F">
            <w:pPr>
              <w:pStyle w:val="TableParagraph"/>
              <w:spacing w:before="26"/>
              <w:ind w:right="86"/>
              <w:jc w:val="right"/>
              <w:rPr>
                <w:sz w:val="18"/>
              </w:rPr>
            </w:pPr>
            <w:r>
              <w:rPr>
                <w:sz w:val="18"/>
              </w:rPr>
              <w:t>122,777</w:t>
            </w:r>
          </w:p>
        </w:tc>
      </w:tr>
      <w:tr w:rsidR="00FA4AA8" w14:paraId="0782379D" w14:textId="77777777">
        <w:trPr>
          <w:trHeight w:val="258"/>
        </w:trPr>
        <w:tc>
          <w:tcPr>
            <w:tcW w:w="4658" w:type="dxa"/>
          </w:tcPr>
          <w:p w14:paraId="5C792887" w14:textId="77777777" w:rsidR="00FA4AA8" w:rsidRDefault="0015611F">
            <w:pPr>
              <w:pStyle w:val="TableParagraph"/>
              <w:spacing w:before="24"/>
              <w:ind w:left="50"/>
              <w:rPr>
                <w:sz w:val="18"/>
              </w:rPr>
            </w:pPr>
            <w:r>
              <w:rPr>
                <w:sz w:val="18"/>
              </w:rPr>
              <w:t>Employee benefit provisions</w:t>
            </w:r>
          </w:p>
        </w:tc>
        <w:tc>
          <w:tcPr>
            <w:tcW w:w="2685" w:type="dxa"/>
          </w:tcPr>
          <w:p w14:paraId="2F14ACFE" w14:textId="77777777" w:rsidR="00FA4AA8" w:rsidRDefault="0015611F">
            <w:pPr>
              <w:pStyle w:val="TableParagraph"/>
              <w:spacing w:before="26"/>
              <w:ind w:right="238"/>
              <w:jc w:val="right"/>
              <w:rPr>
                <w:sz w:val="18"/>
              </w:rPr>
            </w:pPr>
            <w:r>
              <w:rPr>
                <w:sz w:val="18"/>
              </w:rPr>
              <w:t>9</w:t>
            </w:r>
          </w:p>
        </w:tc>
        <w:tc>
          <w:tcPr>
            <w:tcW w:w="1452" w:type="dxa"/>
            <w:tcBorders>
              <w:bottom w:val="single" w:sz="8" w:space="0" w:color="000000"/>
            </w:tcBorders>
          </w:tcPr>
          <w:p w14:paraId="473D5FF8" w14:textId="77777777" w:rsidR="00FA4AA8" w:rsidRDefault="0015611F">
            <w:pPr>
              <w:pStyle w:val="TableParagraph"/>
              <w:spacing w:before="26"/>
              <w:ind w:right="242"/>
              <w:jc w:val="right"/>
              <w:rPr>
                <w:b/>
                <w:sz w:val="18"/>
              </w:rPr>
            </w:pPr>
            <w:r>
              <w:rPr>
                <w:b/>
                <w:sz w:val="18"/>
              </w:rPr>
              <w:t>557,919</w:t>
            </w:r>
          </w:p>
        </w:tc>
        <w:tc>
          <w:tcPr>
            <w:tcW w:w="1140" w:type="dxa"/>
            <w:tcBorders>
              <w:bottom w:val="single" w:sz="8" w:space="0" w:color="000000"/>
            </w:tcBorders>
          </w:tcPr>
          <w:p w14:paraId="189782D0" w14:textId="77777777" w:rsidR="00FA4AA8" w:rsidRDefault="0015611F">
            <w:pPr>
              <w:pStyle w:val="TableParagraph"/>
              <w:spacing w:before="26"/>
              <w:ind w:right="86"/>
              <w:jc w:val="right"/>
              <w:rPr>
                <w:sz w:val="18"/>
              </w:rPr>
            </w:pPr>
            <w:r>
              <w:rPr>
                <w:sz w:val="18"/>
              </w:rPr>
              <w:t>648,628</w:t>
            </w:r>
          </w:p>
        </w:tc>
      </w:tr>
      <w:tr w:rsidR="00FA4AA8" w14:paraId="4CF71D2A" w14:textId="77777777">
        <w:trPr>
          <w:trHeight w:val="318"/>
        </w:trPr>
        <w:tc>
          <w:tcPr>
            <w:tcW w:w="4658" w:type="dxa"/>
          </w:tcPr>
          <w:p w14:paraId="299C318B" w14:textId="77777777" w:rsidR="00FA4AA8" w:rsidRDefault="0015611F">
            <w:pPr>
              <w:pStyle w:val="TableParagraph"/>
              <w:spacing w:before="31"/>
              <w:ind w:left="50"/>
              <w:rPr>
                <w:b/>
                <w:sz w:val="18"/>
              </w:rPr>
            </w:pPr>
            <w:r>
              <w:rPr>
                <w:b/>
                <w:sz w:val="18"/>
              </w:rPr>
              <w:t>Total current liabilities</w:t>
            </w:r>
          </w:p>
        </w:tc>
        <w:tc>
          <w:tcPr>
            <w:tcW w:w="2685" w:type="dxa"/>
          </w:tcPr>
          <w:p w14:paraId="68255B1D" w14:textId="77777777" w:rsidR="00FA4AA8" w:rsidRDefault="00FA4AA8">
            <w:pPr>
              <w:pStyle w:val="TableParagraph"/>
              <w:rPr>
                <w:rFonts w:ascii="Times New Roman"/>
                <w:sz w:val="18"/>
              </w:rPr>
            </w:pPr>
          </w:p>
        </w:tc>
        <w:tc>
          <w:tcPr>
            <w:tcW w:w="1452" w:type="dxa"/>
            <w:tcBorders>
              <w:top w:val="single" w:sz="8" w:space="0" w:color="000000"/>
              <w:bottom w:val="single" w:sz="8" w:space="0" w:color="000000"/>
            </w:tcBorders>
          </w:tcPr>
          <w:p w14:paraId="7C255B85" w14:textId="77777777" w:rsidR="00FA4AA8" w:rsidRDefault="0015611F">
            <w:pPr>
              <w:pStyle w:val="TableParagraph"/>
              <w:spacing w:before="115" w:line="183" w:lineRule="exact"/>
              <w:ind w:right="242"/>
              <w:jc w:val="right"/>
              <w:rPr>
                <w:b/>
                <w:sz w:val="18"/>
              </w:rPr>
            </w:pPr>
            <w:r>
              <w:rPr>
                <w:b/>
                <w:sz w:val="18"/>
              </w:rPr>
              <w:t>1,255,906</w:t>
            </w:r>
          </w:p>
        </w:tc>
        <w:tc>
          <w:tcPr>
            <w:tcW w:w="1140" w:type="dxa"/>
            <w:tcBorders>
              <w:top w:val="single" w:sz="8" w:space="0" w:color="000000"/>
              <w:bottom w:val="single" w:sz="8" w:space="0" w:color="000000"/>
            </w:tcBorders>
          </w:tcPr>
          <w:p w14:paraId="4035046A" w14:textId="77777777" w:rsidR="00FA4AA8" w:rsidRDefault="0015611F">
            <w:pPr>
              <w:pStyle w:val="TableParagraph"/>
              <w:spacing w:before="115" w:line="183" w:lineRule="exact"/>
              <w:ind w:right="86"/>
              <w:jc w:val="right"/>
              <w:rPr>
                <w:sz w:val="18"/>
              </w:rPr>
            </w:pPr>
            <w:r>
              <w:rPr>
                <w:sz w:val="18"/>
              </w:rPr>
              <w:t>1,371,562</w:t>
            </w:r>
          </w:p>
        </w:tc>
      </w:tr>
      <w:tr w:rsidR="00FA4AA8" w14:paraId="534C4E6D" w14:textId="77777777">
        <w:trPr>
          <w:trHeight w:val="582"/>
        </w:trPr>
        <w:tc>
          <w:tcPr>
            <w:tcW w:w="4658" w:type="dxa"/>
          </w:tcPr>
          <w:p w14:paraId="3F26B91D" w14:textId="77777777" w:rsidR="00FA4AA8" w:rsidRDefault="0015611F">
            <w:pPr>
              <w:pStyle w:val="TableParagraph"/>
              <w:spacing w:before="115"/>
              <w:ind w:left="50"/>
              <w:rPr>
                <w:b/>
                <w:sz w:val="18"/>
              </w:rPr>
            </w:pPr>
            <w:r>
              <w:rPr>
                <w:b/>
                <w:sz w:val="18"/>
              </w:rPr>
              <w:t>Non-current liabilities</w:t>
            </w:r>
          </w:p>
          <w:p w14:paraId="4B9853BE" w14:textId="77777777" w:rsidR="00FA4AA8" w:rsidRDefault="0015611F">
            <w:pPr>
              <w:pStyle w:val="TableParagraph"/>
              <w:spacing w:before="26"/>
              <w:ind w:left="50"/>
              <w:rPr>
                <w:sz w:val="18"/>
              </w:rPr>
            </w:pPr>
            <w:r>
              <w:rPr>
                <w:sz w:val="18"/>
              </w:rPr>
              <w:t>Employee benefit provisions</w:t>
            </w:r>
          </w:p>
        </w:tc>
        <w:tc>
          <w:tcPr>
            <w:tcW w:w="2685" w:type="dxa"/>
          </w:tcPr>
          <w:p w14:paraId="2DD1816F" w14:textId="77777777" w:rsidR="00FA4AA8" w:rsidRDefault="00FA4AA8">
            <w:pPr>
              <w:pStyle w:val="TableParagraph"/>
              <w:rPr>
                <w:sz w:val="20"/>
              </w:rPr>
            </w:pPr>
          </w:p>
          <w:p w14:paraId="595F37E5" w14:textId="77777777" w:rsidR="00FA4AA8" w:rsidRDefault="0015611F">
            <w:pPr>
              <w:pStyle w:val="TableParagraph"/>
              <w:spacing w:before="120"/>
              <w:ind w:right="238"/>
              <w:jc w:val="right"/>
              <w:rPr>
                <w:sz w:val="18"/>
              </w:rPr>
            </w:pPr>
            <w:r>
              <w:rPr>
                <w:sz w:val="18"/>
              </w:rPr>
              <w:t>9</w:t>
            </w:r>
          </w:p>
        </w:tc>
        <w:tc>
          <w:tcPr>
            <w:tcW w:w="1452" w:type="dxa"/>
            <w:tcBorders>
              <w:top w:val="single" w:sz="8" w:space="0" w:color="000000"/>
              <w:bottom w:val="single" w:sz="8" w:space="0" w:color="000000"/>
            </w:tcBorders>
          </w:tcPr>
          <w:p w14:paraId="34F02B5A" w14:textId="77777777" w:rsidR="00FA4AA8" w:rsidRDefault="00FA4AA8">
            <w:pPr>
              <w:pStyle w:val="TableParagraph"/>
              <w:rPr>
                <w:sz w:val="20"/>
              </w:rPr>
            </w:pPr>
          </w:p>
          <w:p w14:paraId="7CBBE964" w14:textId="77777777" w:rsidR="00FA4AA8" w:rsidRDefault="0015611F">
            <w:pPr>
              <w:pStyle w:val="TableParagraph"/>
              <w:spacing w:before="120"/>
              <w:ind w:right="242"/>
              <w:jc w:val="right"/>
              <w:rPr>
                <w:b/>
                <w:sz w:val="18"/>
              </w:rPr>
            </w:pPr>
            <w:r>
              <w:rPr>
                <w:b/>
                <w:sz w:val="18"/>
              </w:rPr>
              <w:t>136,935</w:t>
            </w:r>
          </w:p>
        </w:tc>
        <w:tc>
          <w:tcPr>
            <w:tcW w:w="1140" w:type="dxa"/>
            <w:tcBorders>
              <w:top w:val="single" w:sz="8" w:space="0" w:color="000000"/>
              <w:bottom w:val="single" w:sz="8" w:space="0" w:color="000000"/>
            </w:tcBorders>
          </w:tcPr>
          <w:p w14:paraId="4FF5AF64" w14:textId="77777777" w:rsidR="00FA4AA8" w:rsidRDefault="00FA4AA8">
            <w:pPr>
              <w:pStyle w:val="TableParagraph"/>
              <w:rPr>
                <w:sz w:val="20"/>
              </w:rPr>
            </w:pPr>
          </w:p>
          <w:p w14:paraId="1F567828" w14:textId="77777777" w:rsidR="00FA4AA8" w:rsidRDefault="0015611F">
            <w:pPr>
              <w:pStyle w:val="TableParagraph"/>
              <w:spacing w:before="120"/>
              <w:ind w:right="86"/>
              <w:jc w:val="right"/>
              <w:rPr>
                <w:sz w:val="18"/>
              </w:rPr>
            </w:pPr>
            <w:r>
              <w:rPr>
                <w:sz w:val="18"/>
              </w:rPr>
              <w:t>85,000</w:t>
            </w:r>
          </w:p>
        </w:tc>
      </w:tr>
    </w:tbl>
    <w:p w14:paraId="316998C5" w14:textId="77777777" w:rsidR="00FA4AA8" w:rsidRDefault="007E2441">
      <w:pPr>
        <w:spacing w:before="22" w:line="391" w:lineRule="auto"/>
        <w:ind w:left="194" w:right="7665"/>
        <w:rPr>
          <w:b/>
          <w:sz w:val="18"/>
        </w:rPr>
      </w:pPr>
      <w:r>
        <w:rPr>
          <w:noProof/>
          <w:lang w:val="en-AU" w:eastAsia="en-AU"/>
        </w:rPr>
        <mc:AlternateContent>
          <mc:Choice Requires="wps">
            <w:drawing>
              <wp:anchor distT="0" distB="0" distL="114300" distR="114300" simplePos="0" relativeHeight="15793664" behindDoc="0" locked="0" layoutInCell="1" allowOverlap="1" wp14:anchorId="66B59656" wp14:editId="5F554E43">
                <wp:simplePos x="0" y="0"/>
                <wp:positionH relativeFrom="page">
                  <wp:posOffset>5008245</wp:posOffset>
                </wp:positionH>
                <wp:positionV relativeFrom="paragraph">
                  <wp:posOffset>-6350</wp:posOffset>
                </wp:positionV>
                <wp:extent cx="1926590" cy="436245"/>
                <wp:effectExtent l="0" t="0" r="0" b="0"/>
                <wp:wrapNone/>
                <wp:docPr id="992" name="Text Box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6590" cy="436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441"/>
                              <w:gridCol w:w="1452"/>
                              <w:gridCol w:w="1140"/>
                            </w:tblGrid>
                            <w:tr w:rsidR="001F3ACE" w14:paraId="4E4C3632" w14:textId="77777777">
                              <w:trPr>
                                <w:trHeight w:val="318"/>
                              </w:trPr>
                              <w:tc>
                                <w:tcPr>
                                  <w:tcW w:w="441" w:type="dxa"/>
                                </w:tcPr>
                                <w:p w14:paraId="38D5E923" w14:textId="77777777" w:rsidR="001F3ACE" w:rsidRDefault="001F3ACE">
                                  <w:pPr>
                                    <w:pStyle w:val="TableParagraph"/>
                                    <w:rPr>
                                      <w:rFonts w:ascii="Times New Roman"/>
                                      <w:sz w:val="18"/>
                                    </w:rPr>
                                  </w:pPr>
                                </w:p>
                              </w:tc>
                              <w:tc>
                                <w:tcPr>
                                  <w:tcW w:w="1452" w:type="dxa"/>
                                  <w:tcBorders>
                                    <w:bottom w:val="single" w:sz="8" w:space="0" w:color="000000"/>
                                  </w:tcBorders>
                                </w:tcPr>
                                <w:p w14:paraId="015DBFBB" w14:textId="77777777" w:rsidR="001F3ACE" w:rsidRDefault="001F3ACE">
                                  <w:pPr>
                                    <w:pStyle w:val="TableParagraph"/>
                                    <w:spacing w:before="115" w:line="183" w:lineRule="exact"/>
                                    <w:ind w:right="242"/>
                                    <w:jc w:val="right"/>
                                    <w:rPr>
                                      <w:b/>
                                      <w:sz w:val="18"/>
                                    </w:rPr>
                                  </w:pPr>
                                  <w:r>
                                    <w:rPr>
                                      <w:b/>
                                      <w:sz w:val="18"/>
                                    </w:rPr>
                                    <w:t>136,935</w:t>
                                  </w:r>
                                </w:p>
                              </w:tc>
                              <w:tc>
                                <w:tcPr>
                                  <w:tcW w:w="1140" w:type="dxa"/>
                                  <w:tcBorders>
                                    <w:bottom w:val="single" w:sz="8" w:space="0" w:color="000000"/>
                                  </w:tcBorders>
                                </w:tcPr>
                                <w:p w14:paraId="04911E83" w14:textId="77777777" w:rsidR="001F3ACE" w:rsidRDefault="001F3ACE">
                                  <w:pPr>
                                    <w:pStyle w:val="TableParagraph"/>
                                    <w:spacing w:before="115" w:line="183" w:lineRule="exact"/>
                                    <w:ind w:right="86"/>
                                    <w:jc w:val="right"/>
                                    <w:rPr>
                                      <w:sz w:val="18"/>
                                    </w:rPr>
                                  </w:pPr>
                                  <w:r>
                                    <w:rPr>
                                      <w:sz w:val="18"/>
                                    </w:rPr>
                                    <w:t>85,000</w:t>
                                  </w:r>
                                </w:p>
                              </w:tc>
                            </w:tr>
                            <w:tr w:rsidR="001F3ACE" w14:paraId="00A102E0" w14:textId="77777777">
                              <w:trPr>
                                <w:trHeight w:val="318"/>
                              </w:trPr>
                              <w:tc>
                                <w:tcPr>
                                  <w:tcW w:w="441" w:type="dxa"/>
                                </w:tcPr>
                                <w:p w14:paraId="5CC800C0" w14:textId="77777777" w:rsidR="001F3ACE" w:rsidRDefault="001F3ACE">
                                  <w:pPr>
                                    <w:pStyle w:val="TableParagraph"/>
                                    <w:rPr>
                                      <w:rFonts w:ascii="Times New Roman"/>
                                      <w:sz w:val="18"/>
                                    </w:rPr>
                                  </w:pPr>
                                </w:p>
                              </w:tc>
                              <w:tc>
                                <w:tcPr>
                                  <w:tcW w:w="1452" w:type="dxa"/>
                                  <w:tcBorders>
                                    <w:top w:val="single" w:sz="8" w:space="0" w:color="000000"/>
                                    <w:bottom w:val="single" w:sz="8" w:space="0" w:color="000000"/>
                                  </w:tcBorders>
                                </w:tcPr>
                                <w:p w14:paraId="7FD1A581" w14:textId="77777777" w:rsidR="001F3ACE" w:rsidRDefault="001F3ACE">
                                  <w:pPr>
                                    <w:pStyle w:val="TableParagraph"/>
                                    <w:spacing w:before="115" w:line="183" w:lineRule="exact"/>
                                    <w:ind w:right="243"/>
                                    <w:jc w:val="right"/>
                                    <w:rPr>
                                      <w:b/>
                                      <w:sz w:val="18"/>
                                    </w:rPr>
                                  </w:pPr>
                                  <w:r>
                                    <w:rPr>
                                      <w:b/>
                                      <w:sz w:val="18"/>
                                    </w:rPr>
                                    <w:t>1,392,841</w:t>
                                  </w:r>
                                </w:p>
                              </w:tc>
                              <w:tc>
                                <w:tcPr>
                                  <w:tcW w:w="1140" w:type="dxa"/>
                                  <w:tcBorders>
                                    <w:top w:val="single" w:sz="8" w:space="0" w:color="000000"/>
                                    <w:bottom w:val="single" w:sz="8" w:space="0" w:color="000000"/>
                                  </w:tcBorders>
                                </w:tcPr>
                                <w:p w14:paraId="28C74B50" w14:textId="77777777" w:rsidR="001F3ACE" w:rsidRDefault="001F3ACE">
                                  <w:pPr>
                                    <w:pStyle w:val="TableParagraph"/>
                                    <w:spacing w:before="115" w:line="183" w:lineRule="exact"/>
                                    <w:ind w:right="87"/>
                                    <w:jc w:val="right"/>
                                    <w:rPr>
                                      <w:sz w:val="18"/>
                                    </w:rPr>
                                  </w:pPr>
                                  <w:r>
                                    <w:rPr>
                                      <w:sz w:val="18"/>
                                    </w:rPr>
                                    <w:t>1,456,562</w:t>
                                  </w:r>
                                </w:p>
                              </w:tc>
                            </w:tr>
                          </w:tbl>
                          <w:p w14:paraId="3BF7F170" w14:textId="77777777" w:rsidR="001F3ACE" w:rsidRDefault="001F3AC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59656" id="Text Box 758" o:spid="_x0000_s1049" type="#_x0000_t202" style="position:absolute;left:0;text-align:left;margin-left:394.35pt;margin-top:-.5pt;width:151.7pt;height:34.35pt;z-index:1579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441"/>
                        <w:gridCol w:w="1452"/>
                        <w:gridCol w:w="1140"/>
                      </w:tblGrid>
                      <w:tr w:rsidR="001F3ACE" w14:paraId="4E4C3632" w14:textId="77777777">
                        <w:trPr>
                          <w:trHeight w:val="318"/>
                        </w:trPr>
                        <w:tc>
                          <w:tcPr>
                            <w:tcW w:w="441" w:type="dxa"/>
                          </w:tcPr>
                          <w:p w14:paraId="38D5E923" w14:textId="77777777" w:rsidR="001F3ACE" w:rsidRDefault="001F3ACE">
                            <w:pPr>
                              <w:pStyle w:val="TableParagraph"/>
                              <w:rPr>
                                <w:rFonts w:ascii="Times New Roman"/>
                                <w:sz w:val="18"/>
                              </w:rPr>
                            </w:pPr>
                          </w:p>
                        </w:tc>
                        <w:tc>
                          <w:tcPr>
                            <w:tcW w:w="1452" w:type="dxa"/>
                            <w:tcBorders>
                              <w:bottom w:val="single" w:sz="8" w:space="0" w:color="000000"/>
                            </w:tcBorders>
                          </w:tcPr>
                          <w:p w14:paraId="015DBFBB" w14:textId="77777777" w:rsidR="001F3ACE" w:rsidRDefault="001F3ACE">
                            <w:pPr>
                              <w:pStyle w:val="TableParagraph"/>
                              <w:spacing w:before="115" w:line="183" w:lineRule="exact"/>
                              <w:ind w:right="242"/>
                              <w:jc w:val="right"/>
                              <w:rPr>
                                <w:b/>
                                <w:sz w:val="18"/>
                              </w:rPr>
                            </w:pPr>
                            <w:r>
                              <w:rPr>
                                <w:b/>
                                <w:sz w:val="18"/>
                              </w:rPr>
                              <w:t>136,935</w:t>
                            </w:r>
                          </w:p>
                        </w:tc>
                        <w:tc>
                          <w:tcPr>
                            <w:tcW w:w="1140" w:type="dxa"/>
                            <w:tcBorders>
                              <w:bottom w:val="single" w:sz="8" w:space="0" w:color="000000"/>
                            </w:tcBorders>
                          </w:tcPr>
                          <w:p w14:paraId="04911E83" w14:textId="77777777" w:rsidR="001F3ACE" w:rsidRDefault="001F3ACE">
                            <w:pPr>
                              <w:pStyle w:val="TableParagraph"/>
                              <w:spacing w:before="115" w:line="183" w:lineRule="exact"/>
                              <w:ind w:right="86"/>
                              <w:jc w:val="right"/>
                              <w:rPr>
                                <w:sz w:val="18"/>
                              </w:rPr>
                            </w:pPr>
                            <w:r>
                              <w:rPr>
                                <w:sz w:val="18"/>
                              </w:rPr>
                              <w:t>85,000</w:t>
                            </w:r>
                          </w:p>
                        </w:tc>
                      </w:tr>
                      <w:tr w:rsidR="001F3ACE" w14:paraId="00A102E0" w14:textId="77777777">
                        <w:trPr>
                          <w:trHeight w:val="318"/>
                        </w:trPr>
                        <w:tc>
                          <w:tcPr>
                            <w:tcW w:w="441" w:type="dxa"/>
                          </w:tcPr>
                          <w:p w14:paraId="5CC800C0" w14:textId="77777777" w:rsidR="001F3ACE" w:rsidRDefault="001F3ACE">
                            <w:pPr>
                              <w:pStyle w:val="TableParagraph"/>
                              <w:rPr>
                                <w:rFonts w:ascii="Times New Roman"/>
                                <w:sz w:val="18"/>
                              </w:rPr>
                            </w:pPr>
                          </w:p>
                        </w:tc>
                        <w:tc>
                          <w:tcPr>
                            <w:tcW w:w="1452" w:type="dxa"/>
                            <w:tcBorders>
                              <w:top w:val="single" w:sz="8" w:space="0" w:color="000000"/>
                              <w:bottom w:val="single" w:sz="8" w:space="0" w:color="000000"/>
                            </w:tcBorders>
                          </w:tcPr>
                          <w:p w14:paraId="7FD1A581" w14:textId="77777777" w:rsidR="001F3ACE" w:rsidRDefault="001F3ACE">
                            <w:pPr>
                              <w:pStyle w:val="TableParagraph"/>
                              <w:spacing w:before="115" w:line="183" w:lineRule="exact"/>
                              <w:ind w:right="243"/>
                              <w:jc w:val="right"/>
                              <w:rPr>
                                <w:b/>
                                <w:sz w:val="18"/>
                              </w:rPr>
                            </w:pPr>
                            <w:r>
                              <w:rPr>
                                <w:b/>
                                <w:sz w:val="18"/>
                              </w:rPr>
                              <w:t>1,392,841</w:t>
                            </w:r>
                          </w:p>
                        </w:tc>
                        <w:tc>
                          <w:tcPr>
                            <w:tcW w:w="1140" w:type="dxa"/>
                            <w:tcBorders>
                              <w:top w:val="single" w:sz="8" w:space="0" w:color="000000"/>
                              <w:bottom w:val="single" w:sz="8" w:space="0" w:color="000000"/>
                            </w:tcBorders>
                          </w:tcPr>
                          <w:p w14:paraId="28C74B50" w14:textId="77777777" w:rsidR="001F3ACE" w:rsidRDefault="001F3ACE">
                            <w:pPr>
                              <w:pStyle w:val="TableParagraph"/>
                              <w:spacing w:before="115" w:line="183" w:lineRule="exact"/>
                              <w:ind w:right="87"/>
                              <w:jc w:val="right"/>
                              <w:rPr>
                                <w:sz w:val="18"/>
                              </w:rPr>
                            </w:pPr>
                            <w:r>
                              <w:rPr>
                                <w:sz w:val="18"/>
                              </w:rPr>
                              <w:t>1,456,562</w:t>
                            </w:r>
                          </w:p>
                        </w:tc>
                      </w:tr>
                    </w:tbl>
                    <w:p w14:paraId="3BF7F170" w14:textId="77777777" w:rsidR="001F3ACE" w:rsidRDefault="001F3ACE">
                      <w:pPr>
                        <w:pStyle w:val="BodyText"/>
                      </w:pPr>
                    </w:p>
                  </w:txbxContent>
                </v:textbox>
                <w10:wrap anchorx="page"/>
              </v:shape>
            </w:pict>
          </mc:Fallback>
        </mc:AlternateContent>
      </w:r>
      <w:r w:rsidR="0015611F">
        <w:rPr>
          <w:b/>
          <w:sz w:val="18"/>
        </w:rPr>
        <w:t>Total non-current liabilities Total liabilities</w:t>
      </w:r>
    </w:p>
    <w:tbl>
      <w:tblPr>
        <w:tblW w:w="0" w:type="auto"/>
        <w:tblInd w:w="151" w:type="dxa"/>
        <w:tblLayout w:type="fixed"/>
        <w:tblCellMar>
          <w:left w:w="0" w:type="dxa"/>
          <w:right w:w="0" w:type="dxa"/>
        </w:tblCellMar>
        <w:tblLook w:val="01E0" w:firstRow="1" w:lastRow="1" w:firstColumn="1" w:lastColumn="1" w:noHBand="0" w:noVBand="0"/>
      </w:tblPr>
      <w:tblGrid>
        <w:gridCol w:w="4236"/>
        <w:gridCol w:w="3107"/>
        <w:gridCol w:w="1451"/>
        <w:gridCol w:w="1139"/>
      </w:tblGrid>
      <w:tr w:rsidR="00FA4AA8" w14:paraId="333A2B8E" w14:textId="77777777">
        <w:trPr>
          <w:trHeight w:val="320"/>
        </w:trPr>
        <w:tc>
          <w:tcPr>
            <w:tcW w:w="4236" w:type="dxa"/>
          </w:tcPr>
          <w:p w14:paraId="3B1689FE" w14:textId="77777777" w:rsidR="00FA4AA8" w:rsidRDefault="0015611F">
            <w:pPr>
              <w:pStyle w:val="TableParagraph"/>
              <w:spacing w:before="2"/>
              <w:ind w:left="50"/>
              <w:rPr>
                <w:b/>
                <w:sz w:val="18"/>
              </w:rPr>
            </w:pPr>
            <w:r>
              <w:rPr>
                <w:b/>
                <w:sz w:val="18"/>
              </w:rPr>
              <w:t>Net assets</w:t>
            </w:r>
          </w:p>
        </w:tc>
        <w:tc>
          <w:tcPr>
            <w:tcW w:w="3107" w:type="dxa"/>
          </w:tcPr>
          <w:p w14:paraId="6AB8B99A" w14:textId="77777777" w:rsidR="00FA4AA8" w:rsidRDefault="00FA4AA8">
            <w:pPr>
              <w:pStyle w:val="TableParagraph"/>
              <w:rPr>
                <w:rFonts w:ascii="Times New Roman"/>
                <w:sz w:val="18"/>
              </w:rPr>
            </w:pPr>
          </w:p>
        </w:tc>
        <w:tc>
          <w:tcPr>
            <w:tcW w:w="1451" w:type="dxa"/>
            <w:tcBorders>
              <w:bottom w:val="double" w:sz="2" w:space="0" w:color="000000"/>
            </w:tcBorders>
          </w:tcPr>
          <w:p w14:paraId="4BB52B1A" w14:textId="77777777" w:rsidR="00FA4AA8" w:rsidRDefault="0015611F">
            <w:pPr>
              <w:pStyle w:val="TableParagraph"/>
              <w:spacing w:before="86"/>
              <w:ind w:right="241"/>
              <w:jc w:val="right"/>
              <w:rPr>
                <w:b/>
                <w:sz w:val="18"/>
              </w:rPr>
            </w:pPr>
            <w:r>
              <w:rPr>
                <w:b/>
                <w:sz w:val="18"/>
              </w:rPr>
              <w:t>1,630,377</w:t>
            </w:r>
          </w:p>
        </w:tc>
        <w:tc>
          <w:tcPr>
            <w:tcW w:w="1139" w:type="dxa"/>
            <w:tcBorders>
              <w:bottom w:val="double" w:sz="2" w:space="0" w:color="000000"/>
            </w:tcBorders>
          </w:tcPr>
          <w:p w14:paraId="00435C57" w14:textId="77777777" w:rsidR="00FA4AA8" w:rsidRDefault="0015611F">
            <w:pPr>
              <w:pStyle w:val="TableParagraph"/>
              <w:spacing w:before="86"/>
              <w:ind w:right="84"/>
              <w:jc w:val="right"/>
              <w:rPr>
                <w:sz w:val="18"/>
              </w:rPr>
            </w:pPr>
            <w:r>
              <w:rPr>
                <w:sz w:val="18"/>
              </w:rPr>
              <w:t>1,428,886</w:t>
            </w:r>
          </w:p>
        </w:tc>
      </w:tr>
      <w:tr w:rsidR="00FA4AA8" w14:paraId="65A6E8DA" w14:textId="77777777">
        <w:trPr>
          <w:trHeight w:val="584"/>
        </w:trPr>
        <w:tc>
          <w:tcPr>
            <w:tcW w:w="4236" w:type="dxa"/>
          </w:tcPr>
          <w:p w14:paraId="59A5B809" w14:textId="77777777" w:rsidR="00FA4AA8" w:rsidRDefault="0015611F">
            <w:pPr>
              <w:pStyle w:val="TableParagraph"/>
              <w:spacing w:before="87"/>
              <w:ind w:left="50"/>
              <w:rPr>
                <w:b/>
                <w:sz w:val="18"/>
              </w:rPr>
            </w:pPr>
            <w:r>
              <w:rPr>
                <w:b/>
                <w:sz w:val="18"/>
              </w:rPr>
              <w:t>Equity</w:t>
            </w:r>
          </w:p>
          <w:p w14:paraId="45920424" w14:textId="77777777" w:rsidR="00FA4AA8" w:rsidRDefault="0015611F">
            <w:pPr>
              <w:pStyle w:val="TableParagraph"/>
              <w:spacing w:before="26"/>
              <w:ind w:left="50"/>
              <w:rPr>
                <w:sz w:val="18"/>
              </w:rPr>
            </w:pPr>
            <w:r>
              <w:rPr>
                <w:sz w:val="18"/>
              </w:rPr>
              <w:t>Retained earnings</w:t>
            </w:r>
          </w:p>
        </w:tc>
        <w:tc>
          <w:tcPr>
            <w:tcW w:w="3107" w:type="dxa"/>
          </w:tcPr>
          <w:p w14:paraId="0DB5AEE0" w14:textId="77777777" w:rsidR="00FA4AA8" w:rsidRDefault="00FA4AA8">
            <w:pPr>
              <w:pStyle w:val="TableParagraph"/>
              <w:rPr>
                <w:b/>
                <w:sz w:val="28"/>
              </w:rPr>
            </w:pPr>
          </w:p>
          <w:p w14:paraId="0E027A08" w14:textId="77777777" w:rsidR="00FA4AA8" w:rsidRDefault="0015611F">
            <w:pPr>
              <w:pStyle w:val="TableParagraph"/>
              <w:ind w:right="187"/>
              <w:jc w:val="right"/>
              <w:rPr>
                <w:sz w:val="18"/>
              </w:rPr>
            </w:pPr>
            <w:r>
              <w:rPr>
                <w:sz w:val="18"/>
              </w:rPr>
              <w:t>10</w:t>
            </w:r>
          </w:p>
        </w:tc>
        <w:tc>
          <w:tcPr>
            <w:tcW w:w="1451" w:type="dxa"/>
            <w:tcBorders>
              <w:top w:val="double" w:sz="2" w:space="0" w:color="000000"/>
              <w:bottom w:val="single" w:sz="8" w:space="0" w:color="000000"/>
            </w:tcBorders>
          </w:tcPr>
          <w:p w14:paraId="1010304B" w14:textId="77777777" w:rsidR="00FA4AA8" w:rsidRDefault="00FA4AA8">
            <w:pPr>
              <w:pStyle w:val="TableParagraph"/>
              <w:rPr>
                <w:b/>
                <w:sz w:val="28"/>
              </w:rPr>
            </w:pPr>
          </w:p>
          <w:p w14:paraId="5819673D" w14:textId="77777777" w:rsidR="00FA4AA8" w:rsidRDefault="0015611F">
            <w:pPr>
              <w:pStyle w:val="TableParagraph"/>
              <w:ind w:right="241"/>
              <w:jc w:val="right"/>
              <w:rPr>
                <w:b/>
                <w:sz w:val="18"/>
              </w:rPr>
            </w:pPr>
            <w:r>
              <w:rPr>
                <w:b/>
                <w:sz w:val="18"/>
              </w:rPr>
              <w:t>1,630,377</w:t>
            </w:r>
          </w:p>
        </w:tc>
        <w:tc>
          <w:tcPr>
            <w:tcW w:w="1139" w:type="dxa"/>
            <w:tcBorders>
              <w:top w:val="double" w:sz="2" w:space="0" w:color="000000"/>
              <w:bottom w:val="single" w:sz="8" w:space="0" w:color="000000"/>
            </w:tcBorders>
          </w:tcPr>
          <w:p w14:paraId="619A7FA0" w14:textId="77777777" w:rsidR="00FA4AA8" w:rsidRDefault="00FA4AA8">
            <w:pPr>
              <w:pStyle w:val="TableParagraph"/>
              <w:rPr>
                <w:b/>
                <w:sz w:val="28"/>
              </w:rPr>
            </w:pPr>
          </w:p>
          <w:p w14:paraId="7F1F0F9D" w14:textId="77777777" w:rsidR="00FA4AA8" w:rsidRDefault="0015611F">
            <w:pPr>
              <w:pStyle w:val="TableParagraph"/>
              <w:ind w:right="84"/>
              <w:jc w:val="right"/>
              <w:rPr>
                <w:sz w:val="18"/>
              </w:rPr>
            </w:pPr>
            <w:r>
              <w:rPr>
                <w:sz w:val="18"/>
              </w:rPr>
              <w:t>1,428,886</w:t>
            </w:r>
          </w:p>
        </w:tc>
      </w:tr>
    </w:tbl>
    <w:p w14:paraId="4F3FE5E9" w14:textId="77777777" w:rsidR="00FA4AA8" w:rsidRDefault="0015611F">
      <w:pPr>
        <w:tabs>
          <w:tab w:val="left" w:pos="7888"/>
          <w:tab w:val="left" w:pos="9184"/>
        </w:tabs>
        <w:ind w:left="194"/>
        <w:rPr>
          <w:sz w:val="18"/>
        </w:rPr>
      </w:pPr>
      <w:r>
        <w:rPr>
          <w:b/>
          <w:position w:val="8"/>
          <w:sz w:val="18"/>
        </w:rPr>
        <w:t>Total equity</w:t>
      </w:r>
      <w:r>
        <w:rPr>
          <w:b/>
          <w:position w:val="8"/>
          <w:sz w:val="18"/>
        </w:rPr>
        <w:tab/>
      </w:r>
      <w:r>
        <w:rPr>
          <w:b/>
          <w:sz w:val="18"/>
        </w:rPr>
        <w:t>1,630,377</w:t>
      </w:r>
      <w:r>
        <w:rPr>
          <w:b/>
          <w:sz w:val="18"/>
        </w:rPr>
        <w:tab/>
      </w:r>
      <w:r>
        <w:rPr>
          <w:sz w:val="18"/>
        </w:rPr>
        <w:t>1,428,886</w:t>
      </w:r>
    </w:p>
    <w:p w14:paraId="6163F901" w14:textId="77777777" w:rsidR="00FA4AA8" w:rsidRDefault="007E2441">
      <w:pPr>
        <w:pStyle w:val="BodyText"/>
        <w:spacing w:line="49" w:lineRule="exact"/>
        <w:ind w:left="7486"/>
        <w:rPr>
          <w:sz w:val="4"/>
        </w:rPr>
      </w:pPr>
      <w:r>
        <w:rPr>
          <w:noProof/>
          <w:sz w:val="4"/>
          <w:lang w:val="en-AU" w:eastAsia="en-AU"/>
        </w:rPr>
        <mc:AlternateContent>
          <mc:Choice Requires="wpg">
            <w:drawing>
              <wp:inline distT="0" distB="0" distL="0" distR="0" wp14:anchorId="66A84531" wp14:editId="6073555F">
                <wp:extent cx="1645920" cy="30480"/>
                <wp:effectExtent l="9525" t="9525" r="11430" b="7620"/>
                <wp:docPr id="967" name="Group 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5920" cy="30480"/>
                          <a:chOff x="0" y="0"/>
                          <a:chExt cx="2592" cy="48"/>
                        </a:xfrm>
                      </wpg:grpSpPr>
                      <wps:wsp>
                        <wps:cNvPr id="968" name="Line 757"/>
                        <wps:cNvCnPr>
                          <a:cxnSpLocks noChangeShapeType="1"/>
                        </wps:cNvCnPr>
                        <wps:spPr bwMode="auto">
                          <a:xfrm>
                            <a:off x="0" y="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969" name="Line 756"/>
                        <wps:cNvCnPr>
                          <a:cxnSpLocks noChangeShapeType="1"/>
                        </wps:cNvCnPr>
                        <wps:spPr bwMode="auto">
                          <a:xfrm>
                            <a:off x="0" y="4"/>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970" name="Line 755"/>
                        <wps:cNvCnPr>
                          <a:cxnSpLocks noChangeShapeType="1"/>
                        </wps:cNvCnPr>
                        <wps:spPr bwMode="auto">
                          <a:xfrm>
                            <a:off x="0" y="6"/>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971" name="Line 754"/>
                        <wps:cNvCnPr>
                          <a:cxnSpLocks noChangeShapeType="1"/>
                        </wps:cNvCnPr>
                        <wps:spPr bwMode="auto">
                          <a:xfrm>
                            <a:off x="0" y="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972" name="Line 753"/>
                        <wps:cNvCnPr>
                          <a:cxnSpLocks noChangeShapeType="1"/>
                        </wps:cNvCnPr>
                        <wps:spPr bwMode="auto">
                          <a:xfrm>
                            <a:off x="0" y="1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973" name="Line 752"/>
                        <wps:cNvCnPr>
                          <a:cxnSpLocks noChangeShapeType="1"/>
                        </wps:cNvCnPr>
                        <wps:spPr bwMode="auto">
                          <a:xfrm>
                            <a:off x="0" y="1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974" name="Line 751"/>
                        <wps:cNvCnPr>
                          <a:cxnSpLocks noChangeShapeType="1"/>
                        </wps:cNvCnPr>
                        <wps:spPr bwMode="auto">
                          <a:xfrm>
                            <a:off x="0" y="3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975" name="Line 750"/>
                        <wps:cNvCnPr>
                          <a:cxnSpLocks noChangeShapeType="1"/>
                        </wps:cNvCnPr>
                        <wps:spPr bwMode="auto">
                          <a:xfrm>
                            <a:off x="0" y="37"/>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976" name="Line 749"/>
                        <wps:cNvCnPr>
                          <a:cxnSpLocks noChangeShapeType="1"/>
                        </wps:cNvCnPr>
                        <wps:spPr bwMode="auto">
                          <a:xfrm>
                            <a:off x="0" y="4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977" name="Line 748"/>
                        <wps:cNvCnPr>
                          <a:cxnSpLocks noChangeShapeType="1"/>
                        </wps:cNvCnPr>
                        <wps:spPr bwMode="auto">
                          <a:xfrm>
                            <a:off x="0" y="42"/>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978" name="Line 747"/>
                        <wps:cNvCnPr>
                          <a:cxnSpLocks noChangeShapeType="1"/>
                        </wps:cNvCnPr>
                        <wps:spPr bwMode="auto">
                          <a:xfrm>
                            <a:off x="0" y="44"/>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979" name="Line 746"/>
                        <wps:cNvCnPr>
                          <a:cxnSpLocks noChangeShapeType="1"/>
                        </wps:cNvCnPr>
                        <wps:spPr bwMode="auto">
                          <a:xfrm>
                            <a:off x="0" y="47"/>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980" name="Line 745"/>
                        <wps:cNvCnPr>
                          <a:cxnSpLocks noChangeShapeType="1"/>
                        </wps:cNvCnPr>
                        <wps:spPr bwMode="auto">
                          <a:xfrm>
                            <a:off x="1296" y="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981" name="Line 744"/>
                        <wps:cNvCnPr>
                          <a:cxnSpLocks noChangeShapeType="1"/>
                        </wps:cNvCnPr>
                        <wps:spPr bwMode="auto">
                          <a:xfrm>
                            <a:off x="1296" y="4"/>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982" name="Line 743"/>
                        <wps:cNvCnPr>
                          <a:cxnSpLocks noChangeShapeType="1"/>
                        </wps:cNvCnPr>
                        <wps:spPr bwMode="auto">
                          <a:xfrm>
                            <a:off x="1296" y="6"/>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983" name="Line 742"/>
                        <wps:cNvCnPr>
                          <a:cxnSpLocks noChangeShapeType="1"/>
                        </wps:cNvCnPr>
                        <wps:spPr bwMode="auto">
                          <a:xfrm>
                            <a:off x="1296" y="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984" name="Line 741"/>
                        <wps:cNvCnPr>
                          <a:cxnSpLocks noChangeShapeType="1"/>
                        </wps:cNvCnPr>
                        <wps:spPr bwMode="auto">
                          <a:xfrm>
                            <a:off x="1296" y="1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985" name="Line 740"/>
                        <wps:cNvCnPr>
                          <a:cxnSpLocks noChangeShapeType="1"/>
                        </wps:cNvCnPr>
                        <wps:spPr bwMode="auto">
                          <a:xfrm>
                            <a:off x="1296" y="1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986" name="Line 739"/>
                        <wps:cNvCnPr>
                          <a:cxnSpLocks noChangeShapeType="1"/>
                        </wps:cNvCnPr>
                        <wps:spPr bwMode="auto">
                          <a:xfrm>
                            <a:off x="1296" y="3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987" name="Line 738"/>
                        <wps:cNvCnPr>
                          <a:cxnSpLocks noChangeShapeType="1"/>
                        </wps:cNvCnPr>
                        <wps:spPr bwMode="auto">
                          <a:xfrm>
                            <a:off x="1296" y="37"/>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988" name="Line 737"/>
                        <wps:cNvCnPr>
                          <a:cxnSpLocks noChangeShapeType="1"/>
                        </wps:cNvCnPr>
                        <wps:spPr bwMode="auto">
                          <a:xfrm>
                            <a:off x="1296" y="4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989" name="Line 736"/>
                        <wps:cNvCnPr>
                          <a:cxnSpLocks noChangeShapeType="1"/>
                        </wps:cNvCnPr>
                        <wps:spPr bwMode="auto">
                          <a:xfrm>
                            <a:off x="1296" y="42"/>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990" name="Line 735"/>
                        <wps:cNvCnPr>
                          <a:cxnSpLocks noChangeShapeType="1"/>
                        </wps:cNvCnPr>
                        <wps:spPr bwMode="auto">
                          <a:xfrm>
                            <a:off x="1296" y="44"/>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991" name="Line 734"/>
                        <wps:cNvCnPr>
                          <a:cxnSpLocks noChangeShapeType="1"/>
                        </wps:cNvCnPr>
                        <wps:spPr bwMode="auto">
                          <a:xfrm>
                            <a:off x="1296" y="47"/>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5EC924C" id="Group 733" o:spid="_x0000_s1026" style="width:129.6pt;height:2.4pt;mso-position-horizontal-relative:char;mso-position-vertical-relative:line" coordsize="259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">
                <v:line id="Line 757" o:spid="_x0000_s1027" style="position:absolute;visibility:visible;mso-wrap-style:square" from="0,1" to="12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" strokeweight=".12pt"/>
                <v:line id="Line 756" o:spid="_x0000_s1028" style="position:absolute;visibility:visible;mso-wrap-style:square" from="0,4" to="12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" strokeweight=".12pt"/>
                <v:line id="Line 755" o:spid="_x0000_s1029" style="position:absolute;visibility:visible;mso-wrap-style:square" from="0,6" to="12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" strokeweight=".12pt"/>
                <v:line id="Line 754" o:spid="_x0000_s1030" style="position:absolute;visibility:visible;mso-wrap-style:square" from="0,8" to="12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" strokeweight=".12pt"/>
                <v:line id="Line 753" o:spid="_x0000_s1031" style="position:absolute;visibility:visible;mso-wrap-style:square" from="0,11" to="12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" strokeweight=".12pt"/>
                <v:line id="Line 752" o:spid="_x0000_s1032" style="position:absolute;visibility:visible;mso-wrap-style:square" from="0,13" to="129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" strokeweight=".12pt"/>
                <v:line id="Line 751" o:spid="_x0000_s1033" style="position:absolute;visibility:visible;mso-wrap-style:square" from="0,35" to="129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" strokeweight=".12pt"/>
                <v:line id="Line 750" o:spid="_x0000_s1034" style="position:absolute;visibility:visible;mso-wrap-style:square" from="0,37" to="129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" strokeweight=".12pt"/>
                <v:line id="Line 749" o:spid="_x0000_s1035" style="position:absolute;visibility:visible;mso-wrap-style:square" from="0,40" to="129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" strokeweight=".12pt"/>
                <v:line id="Line 748" o:spid="_x0000_s1036" style="position:absolute;visibility:visible;mso-wrap-style:square" from="0,42" to="129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" strokeweight=".12pt"/>
                <v:line id="Line 747" o:spid="_x0000_s1037" style="position:absolute;visibility:visible;mso-wrap-style:square" from="0,44" to="12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" strokeweight=".12pt"/>
                <v:line id="Line 746" o:spid="_x0000_s1038" style="position:absolute;visibility:visible;mso-wrap-style:square" from="0,47" to="12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" strokeweight=".12pt"/>
                <v:line id="Line 745" o:spid="_x0000_s1039" style="position:absolute;visibility:visible;mso-wrap-style:square" from="1296,1" to="25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" strokeweight=".12pt"/>
                <v:line id="Line 744" o:spid="_x0000_s1040" style="position:absolute;visibility:visible;mso-wrap-style:square" from="1296,4" to="25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" strokeweight=".12pt"/>
                <v:line id="Line 743" o:spid="_x0000_s1041" style="position:absolute;visibility:visible;mso-wrap-style:square" from="1296,6" to="25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" strokeweight=".12pt"/>
                <v:line id="Line 742" o:spid="_x0000_s1042" style="position:absolute;visibility:visible;mso-wrap-style:square" from="1296,8" to="25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" strokeweight=".12pt"/>
                <v:line id="Line 741" o:spid="_x0000_s1043" style="position:absolute;visibility:visible;mso-wrap-style:square" from="1296,11" to="259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" strokeweight=".12pt"/>
                <v:line id="Line 740" o:spid="_x0000_s1044" style="position:absolute;visibility:visible;mso-wrap-style:square" from="1296,13" to="259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" strokeweight=".12pt"/>
                <v:line id="Line 739" o:spid="_x0000_s1045" style="position:absolute;visibility:visible;mso-wrap-style:square" from="1296,35" to="259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" strokeweight=".12pt"/>
                <v:line id="Line 738" o:spid="_x0000_s1046" style="position:absolute;visibility:visible;mso-wrap-style:square" from="1296,37" to="259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" strokeweight=".12pt"/>
                <v:line id="Line 737" o:spid="_x0000_s1047" style="position:absolute;visibility:visible;mso-wrap-style:square" from="1296,40" to="259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" strokeweight=".12pt"/>
                <v:line id="Line 736" o:spid="_x0000_s1048" style="position:absolute;visibility:visible;mso-wrap-style:square" from="1296,42" to="259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" strokeweight=".12pt"/>
                <v:line id="Line 735" o:spid="_x0000_s1049" style="position:absolute;visibility:visible;mso-wrap-style:square" from="1296,44" to="259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" strokeweight=".12pt"/>
                <v:line id="Line 734" o:spid="_x0000_s1050" style="position:absolute;visibility:visible;mso-wrap-style:square" from="1296,47" to="259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" strokeweight=".12pt"/>
                <w10:anchorlock/>
              </v:group>
            </w:pict>
          </mc:Fallback>
        </mc:AlternateContent>
      </w:r>
    </w:p>
    <w:p w14:paraId="535481A4" w14:textId="77777777" w:rsidR="00FA4AA8" w:rsidRDefault="00FA4AA8">
      <w:pPr>
        <w:pStyle w:val="BodyText"/>
        <w:rPr>
          <w:sz w:val="20"/>
        </w:rPr>
      </w:pPr>
    </w:p>
    <w:p w14:paraId="6BFE4818" w14:textId="77777777" w:rsidR="00FA4AA8" w:rsidRDefault="00FA4AA8">
      <w:pPr>
        <w:pStyle w:val="BodyText"/>
        <w:rPr>
          <w:sz w:val="20"/>
        </w:rPr>
      </w:pPr>
    </w:p>
    <w:p w14:paraId="1520A08E" w14:textId="77777777" w:rsidR="00FA4AA8" w:rsidRDefault="00FA4AA8">
      <w:pPr>
        <w:pStyle w:val="BodyText"/>
        <w:rPr>
          <w:sz w:val="20"/>
        </w:rPr>
      </w:pPr>
    </w:p>
    <w:p w14:paraId="1FBC275A" w14:textId="77777777" w:rsidR="00FA4AA8" w:rsidRDefault="00FA4AA8">
      <w:pPr>
        <w:pStyle w:val="BodyText"/>
        <w:rPr>
          <w:sz w:val="20"/>
        </w:rPr>
      </w:pPr>
    </w:p>
    <w:p w14:paraId="103E7147" w14:textId="77777777" w:rsidR="00FA4AA8" w:rsidRDefault="00FA4AA8">
      <w:pPr>
        <w:pStyle w:val="BodyText"/>
        <w:rPr>
          <w:sz w:val="20"/>
        </w:rPr>
      </w:pPr>
    </w:p>
    <w:p w14:paraId="468C7281" w14:textId="77777777" w:rsidR="00FA4AA8" w:rsidRDefault="00FA4AA8">
      <w:pPr>
        <w:pStyle w:val="BodyText"/>
        <w:rPr>
          <w:sz w:val="20"/>
        </w:rPr>
      </w:pPr>
    </w:p>
    <w:p w14:paraId="1511A42B" w14:textId="77777777" w:rsidR="00FA4AA8" w:rsidRDefault="00FA4AA8">
      <w:pPr>
        <w:pStyle w:val="BodyText"/>
        <w:rPr>
          <w:sz w:val="20"/>
        </w:rPr>
      </w:pPr>
    </w:p>
    <w:p w14:paraId="60D3CF46" w14:textId="77777777" w:rsidR="00FA4AA8" w:rsidRDefault="00FA4AA8">
      <w:pPr>
        <w:pStyle w:val="BodyText"/>
        <w:rPr>
          <w:sz w:val="20"/>
        </w:rPr>
      </w:pPr>
    </w:p>
    <w:p w14:paraId="38C39F79" w14:textId="77777777" w:rsidR="00FA4AA8" w:rsidRDefault="00FA4AA8">
      <w:pPr>
        <w:pStyle w:val="BodyText"/>
        <w:rPr>
          <w:sz w:val="20"/>
        </w:rPr>
      </w:pPr>
    </w:p>
    <w:p w14:paraId="43C9C624" w14:textId="77777777" w:rsidR="00FA4AA8" w:rsidRDefault="00FA4AA8">
      <w:pPr>
        <w:pStyle w:val="BodyText"/>
        <w:rPr>
          <w:sz w:val="20"/>
        </w:rPr>
      </w:pPr>
    </w:p>
    <w:p w14:paraId="2EC31D1C" w14:textId="77777777" w:rsidR="00FA4AA8" w:rsidRDefault="00FA4AA8">
      <w:pPr>
        <w:pStyle w:val="BodyText"/>
        <w:rPr>
          <w:sz w:val="20"/>
        </w:rPr>
      </w:pPr>
    </w:p>
    <w:p w14:paraId="0E408056" w14:textId="77777777" w:rsidR="00FA4AA8" w:rsidRDefault="00FA4AA8">
      <w:pPr>
        <w:pStyle w:val="BodyText"/>
        <w:rPr>
          <w:sz w:val="20"/>
        </w:rPr>
      </w:pPr>
    </w:p>
    <w:p w14:paraId="5B880974" w14:textId="77777777" w:rsidR="00FA4AA8" w:rsidRDefault="00FA4AA8">
      <w:pPr>
        <w:pStyle w:val="BodyText"/>
        <w:rPr>
          <w:sz w:val="20"/>
        </w:rPr>
      </w:pPr>
    </w:p>
    <w:p w14:paraId="0CDF9969" w14:textId="77777777" w:rsidR="00FA4AA8" w:rsidRDefault="00FA4AA8">
      <w:pPr>
        <w:pStyle w:val="BodyText"/>
        <w:rPr>
          <w:sz w:val="20"/>
        </w:rPr>
      </w:pPr>
    </w:p>
    <w:p w14:paraId="790D04B1" w14:textId="77777777" w:rsidR="00FA4AA8" w:rsidRDefault="00FA4AA8">
      <w:pPr>
        <w:pStyle w:val="BodyText"/>
        <w:rPr>
          <w:sz w:val="20"/>
        </w:rPr>
      </w:pPr>
    </w:p>
    <w:p w14:paraId="0379F94F" w14:textId="77777777" w:rsidR="00FA4AA8" w:rsidRDefault="00FA4AA8">
      <w:pPr>
        <w:pStyle w:val="BodyText"/>
        <w:rPr>
          <w:sz w:val="20"/>
        </w:rPr>
      </w:pPr>
    </w:p>
    <w:p w14:paraId="795DFAAD" w14:textId="77777777" w:rsidR="00FA4AA8" w:rsidRDefault="00FA4AA8">
      <w:pPr>
        <w:pStyle w:val="BodyText"/>
        <w:rPr>
          <w:sz w:val="20"/>
        </w:rPr>
      </w:pPr>
    </w:p>
    <w:p w14:paraId="2566BAC8" w14:textId="77777777" w:rsidR="00FA4AA8" w:rsidRDefault="00FA4AA8">
      <w:pPr>
        <w:pStyle w:val="BodyText"/>
        <w:rPr>
          <w:sz w:val="20"/>
        </w:rPr>
      </w:pPr>
    </w:p>
    <w:p w14:paraId="71184EEA" w14:textId="77777777" w:rsidR="00FA4AA8" w:rsidRDefault="00FA4AA8">
      <w:pPr>
        <w:pStyle w:val="BodyText"/>
        <w:rPr>
          <w:sz w:val="20"/>
        </w:rPr>
      </w:pPr>
    </w:p>
    <w:p w14:paraId="4C98530E" w14:textId="77777777" w:rsidR="00FA4AA8" w:rsidRDefault="00FA4AA8">
      <w:pPr>
        <w:pStyle w:val="BodyText"/>
        <w:spacing w:before="5"/>
        <w:rPr>
          <w:sz w:val="22"/>
        </w:rPr>
      </w:pPr>
    </w:p>
    <w:p w14:paraId="0AB7173B" w14:textId="77777777" w:rsidR="00FA4AA8" w:rsidRDefault="0015611F">
      <w:pPr>
        <w:pStyle w:val="BodyText"/>
        <w:ind w:left="578" w:right="509"/>
        <w:jc w:val="center"/>
      </w:pPr>
      <w:r>
        <w:t>The accompanying notes form part of these financial statements.</w:t>
      </w:r>
    </w:p>
    <w:p w14:paraId="2D02EF6D" w14:textId="77777777" w:rsidR="00FA4AA8" w:rsidRDefault="00FA4AA8">
      <w:pPr>
        <w:jc w:val="center"/>
        <w:sectPr w:rsidR="00FA4AA8">
          <w:pgSz w:w="11910" w:h="16840"/>
          <w:pgMar w:top="1660" w:right="880" w:bottom="720" w:left="840" w:header="1016" w:footer="523" w:gutter="0"/>
          <w:cols w:space="720"/>
        </w:sectPr>
      </w:pPr>
    </w:p>
    <w:p w14:paraId="64A7FCE4" w14:textId="77777777" w:rsidR="00FA4AA8" w:rsidRDefault="00FA4AA8">
      <w:pPr>
        <w:pStyle w:val="BodyText"/>
        <w:spacing w:before="1"/>
        <w:rPr>
          <w:sz w:val="13"/>
        </w:rPr>
      </w:pPr>
    </w:p>
    <w:tbl>
      <w:tblPr>
        <w:tblW w:w="0" w:type="auto"/>
        <w:tblInd w:w="125" w:type="dxa"/>
        <w:tblLayout w:type="fixed"/>
        <w:tblCellMar>
          <w:left w:w="0" w:type="dxa"/>
          <w:right w:w="0" w:type="dxa"/>
        </w:tblCellMar>
        <w:tblLook w:val="01E0" w:firstRow="1" w:lastRow="1" w:firstColumn="1" w:lastColumn="1" w:noHBand="0" w:noVBand="0"/>
      </w:tblPr>
      <w:tblGrid>
        <w:gridCol w:w="5445"/>
        <w:gridCol w:w="1925"/>
        <w:gridCol w:w="1317"/>
        <w:gridCol w:w="1274"/>
      </w:tblGrid>
      <w:tr w:rsidR="00FA4AA8" w14:paraId="19411F9E" w14:textId="77777777">
        <w:trPr>
          <w:trHeight w:val="298"/>
        </w:trPr>
        <w:tc>
          <w:tcPr>
            <w:tcW w:w="5445" w:type="dxa"/>
          </w:tcPr>
          <w:p w14:paraId="1B9D9DEF" w14:textId="77777777" w:rsidR="00FA4AA8" w:rsidRDefault="0015611F">
            <w:pPr>
              <w:pStyle w:val="TableParagraph"/>
              <w:spacing w:line="268" w:lineRule="exact"/>
              <w:ind w:left="50"/>
              <w:rPr>
                <w:b/>
                <w:sz w:val="24"/>
              </w:rPr>
            </w:pPr>
            <w:bookmarkStart w:id="183" w:name="Statement_of_Changes_in_Equity"/>
            <w:bookmarkEnd w:id="183"/>
            <w:r>
              <w:rPr>
                <w:b/>
                <w:sz w:val="24"/>
              </w:rPr>
              <w:t>Statement of Changes in Equity</w:t>
            </w:r>
          </w:p>
        </w:tc>
        <w:tc>
          <w:tcPr>
            <w:tcW w:w="1925" w:type="dxa"/>
          </w:tcPr>
          <w:p w14:paraId="08C08AE8" w14:textId="77777777" w:rsidR="00FA4AA8" w:rsidRDefault="00FA4AA8">
            <w:pPr>
              <w:pStyle w:val="TableParagraph"/>
              <w:rPr>
                <w:rFonts w:ascii="Times New Roman"/>
                <w:sz w:val="18"/>
              </w:rPr>
            </w:pPr>
          </w:p>
        </w:tc>
        <w:tc>
          <w:tcPr>
            <w:tcW w:w="1317" w:type="dxa"/>
          </w:tcPr>
          <w:p w14:paraId="5D9D98C8" w14:textId="77777777" w:rsidR="00FA4AA8" w:rsidRDefault="00FA4AA8">
            <w:pPr>
              <w:pStyle w:val="TableParagraph"/>
              <w:rPr>
                <w:rFonts w:ascii="Times New Roman"/>
                <w:sz w:val="18"/>
              </w:rPr>
            </w:pPr>
          </w:p>
        </w:tc>
        <w:tc>
          <w:tcPr>
            <w:tcW w:w="1274" w:type="dxa"/>
          </w:tcPr>
          <w:p w14:paraId="01FB1AD5" w14:textId="77777777" w:rsidR="00FA4AA8" w:rsidRDefault="00FA4AA8">
            <w:pPr>
              <w:pStyle w:val="TableParagraph"/>
              <w:rPr>
                <w:rFonts w:ascii="Times New Roman"/>
                <w:sz w:val="18"/>
              </w:rPr>
            </w:pPr>
          </w:p>
        </w:tc>
      </w:tr>
      <w:tr w:rsidR="00FA4AA8" w14:paraId="304F7876" w14:textId="77777777">
        <w:trPr>
          <w:trHeight w:val="486"/>
        </w:trPr>
        <w:tc>
          <w:tcPr>
            <w:tcW w:w="5445" w:type="dxa"/>
          </w:tcPr>
          <w:p w14:paraId="7266B9C1" w14:textId="77777777" w:rsidR="00FA4AA8" w:rsidRDefault="0015611F">
            <w:pPr>
              <w:pStyle w:val="TableParagraph"/>
              <w:spacing w:before="24"/>
              <w:ind w:left="50"/>
              <w:rPr>
                <w:b/>
              </w:rPr>
            </w:pPr>
            <w:r>
              <w:rPr>
                <w:b/>
              </w:rPr>
              <w:t>For the Year Ended 31 December 2018</w:t>
            </w:r>
          </w:p>
        </w:tc>
        <w:tc>
          <w:tcPr>
            <w:tcW w:w="1925" w:type="dxa"/>
          </w:tcPr>
          <w:p w14:paraId="69F10B49" w14:textId="77777777" w:rsidR="00FA4AA8" w:rsidRDefault="00FA4AA8">
            <w:pPr>
              <w:pStyle w:val="TableParagraph"/>
              <w:rPr>
                <w:rFonts w:ascii="Times New Roman"/>
                <w:sz w:val="18"/>
              </w:rPr>
            </w:pPr>
          </w:p>
        </w:tc>
        <w:tc>
          <w:tcPr>
            <w:tcW w:w="1317" w:type="dxa"/>
          </w:tcPr>
          <w:p w14:paraId="5F4AD831" w14:textId="77777777" w:rsidR="00FA4AA8" w:rsidRDefault="00FA4AA8">
            <w:pPr>
              <w:pStyle w:val="TableParagraph"/>
              <w:rPr>
                <w:rFonts w:ascii="Times New Roman"/>
                <w:sz w:val="18"/>
              </w:rPr>
            </w:pPr>
          </w:p>
        </w:tc>
        <w:tc>
          <w:tcPr>
            <w:tcW w:w="1274" w:type="dxa"/>
          </w:tcPr>
          <w:p w14:paraId="5554C67C" w14:textId="77777777" w:rsidR="00FA4AA8" w:rsidRDefault="00FA4AA8">
            <w:pPr>
              <w:pStyle w:val="TableParagraph"/>
              <w:rPr>
                <w:rFonts w:ascii="Times New Roman"/>
                <w:sz w:val="18"/>
              </w:rPr>
            </w:pPr>
          </w:p>
        </w:tc>
      </w:tr>
      <w:tr w:rsidR="00FA4AA8" w14:paraId="5C2F4FC4" w14:textId="77777777">
        <w:trPr>
          <w:trHeight w:val="653"/>
        </w:trPr>
        <w:tc>
          <w:tcPr>
            <w:tcW w:w="5445" w:type="dxa"/>
          </w:tcPr>
          <w:p w14:paraId="73CD128B" w14:textId="77777777" w:rsidR="00FA4AA8" w:rsidRDefault="00FA4AA8">
            <w:pPr>
              <w:pStyle w:val="TableParagraph"/>
              <w:rPr>
                <w:rFonts w:ascii="Times New Roman"/>
                <w:sz w:val="18"/>
              </w:rPr>
            </w:pPr>
          </w:p>
        </w:tc>
        <w:tc>
          <w:tcPr>
            <w:tcW w:w="1925" w:type="dxa"/>
          </w:tcPr>
          <w:p w14:paraId="1D4D49DF" w14:textId="77777777" w:rsidR="00FA4AA8" w:rsidRDefault="00FA4AA8">
            <w:pPr>
              <w:pStyle w:val="TableParagraph"/>
              <w:rPr>
                <w:rFonts w:ascii="Times New Roman"/>
                <w:sz w:val="18"/>
              </w:rPr>
            </w:pPr>
          </w:p>
        </w:tc>
        <w:tc>
          <w:tcPr>
            <w:tcW w:w="1317" w:type="dxa"/>
          </w:tcPr>
          <w:p w14:paraId="3917AEBA" w14:textId="77777777" w:rsidR="00FA4AA8" w:rsidRDefault="00FA4AA8">
            <w:pPr>
              <w:pStyle w:val="TableParagraph"/>
              <w:spacing w:before="8"/>
              <w:rPr>
                <w:sz w:val="17"/>
              </w:rPr>
            </w:pPr>
          </w:p>
          <w:p w14:paraId="5C96F0AF" w14:textId="77777777" w:rsidR="00FA4AA8" w:rsidRDefault="0015611F">
            <w:pPr>
              <w:pStyle w:val="TableParagraph"/>
              <w:ind w:left="268" w:right="273" w:hanging="5"/>
              <w:rPr>
                <w:b/>
                <w:sz w:val="18"/>
              </w:rPr>
            </w:pPr>
            <w:r>
              <w:rPr>
                <w:b/>
                <w:sz w:val="18"/>
              </w:rPr>
              <w:t>Retained earnings</w:t>
            </w:r>
          </w:p>
        </w:tc>
        <w:tc>
          <w:tcPr>
            <w:tcW w:w="1274" w:type="dxa"/>
          </w:tcPr>
          <w:p w14:paraId="259C3E9F" w14:textId="77777777" w:rsidR="00FA4AA8" w:rsidRDefault="00FA4AA8">
            <w:pPr>
              <w:pStyle w:val="TableParagraph"/>
              <w:rPr>
                <w:sz w:val="20"/>
              </w:rPr>
            </w:pPr>
          </w:p>
          <w:p w14:paraId="761B1374" w14:textId="77777777" w:rsidR="00FA4AA8" w:rsidRDefault="00FA4AA8">
            <w:pPr>
              <w:pStyle w:val="TableParagraph"/>
              <w:spacing w:before="7"/>
              <w:rPr>
                <w:sz w:val="15"/>
              </w:rPr>
            </w:pPr>
          </w:p>
          <w:p w14:paraId="07C6441A" w14:textId="77777777" w:rsidR="00FA4AA8" w:rsidRDefault="0015611F">
            <w:pPr>
              <w:pStyle w:val="TableParagraph"/>
              <w:ind w:right="146"/>
              <w:jc w:val="right"/>
              <w:rPr>
                <w:b/>
                <w:sz w:val="18"/>
              </w:rPr>
            </w:pPr>
            <w:r>
              <w:rPr>
                <w:b/>
                <w:sz w:val="18"/>
              </w:rPr>
              <w:t>Total equity</w:t>
            </w:r>
          </w:p>
        </w:tc>
      </w:tr>
      <w:tr w:rsidR="00FA4AA8" w14:paraId="6539756F" w14:textId="77777777">
        <w:trPr>
          <w:trHeight w:val="283"/>
        </w:trPr>
        <w:tc>
          <w:tcPr>
            <w:tcW w:w="5445" w:type="dxa"/>
          </w:tcPr>
          <w:p w14:paraId="1E14067F" w14:textId="77777777" w:rsidR="00FA4AA8" w:rsidRDefault="00FA4AA8">
            <w:pPr>
              <w:pStyle w:val="TableParagraph"/>
              <w:rPr>
                <w:rFonts w:ascii="Times New Roman"/>
                <w:sz w:val="18"/>
              </w:rPr>
            </w:pPr>
          </w:p>
        </w:tc>
        <w:tc>
          <w:tcPr>
            <w:tcW w:w="1925" w:type="dxa"/>
          </w:tcPr>
          <w:p w14:paraId="0149E605" w14:textId="77777777" w:rsidR="00FA4AA8" w:rsidRDefault="0015611F">
            <w:pPr>
              <w:pStyle w:val="TableParagraph"/>
              <w:spacing w:before="30"/>
              <w:ind w:left="1364" w:right="19"/>
              <w:jc w:val="center"/>
              <w:rPr>
                <w:b/>
                <w:sz w:val="18"/>
              </w:rPr>
            </w:pPr>
            <w:r>
              <w:rPr>
                <w:b/>
                <w:sz w:val="18"/>
              </w:rPr>
              <w:t>Notes</w:t>
            </w:r>
          </w:p>
        </w:tc>
        <w:tc>
          <w:tcPr>
            <w:tcW w:w="1317" w:type="dxa"/>
          </w:tcPr>
          <w:p w14:paraId="0B0A03EB" w14:textId="77777777" w:rsidR="00FA4AA8" w:rsidRDefault="0015611F">
            <w:pPr>
              <w:pStyle w:val="TableParagraph"/>
              <w:spacing w:before="30"/>
              <w:ind w:right="24"/>
              <w:jc w:val="center"/>
              <w:rPr>
                <w:b/>
                <w:sz w:val="18"/>
              </w:rPr>
            </w:pPr>
            <w:r>
              <w:rPr>
                <w:b/>
                <w:sz w:val="18"/>
              </w:rPr>
              <w:t>$</w:t>
            </w:r>
          </w:p>
        </w:tc>
        <w:tc>
          <w:tcPr>
            <w:tcW w:w="1274" w:type="dxa"/>
          </w:tcPr>
          <w:p w14:paraId="1A450765" w14:textId="77777777" w:rsidR="00FA4AA8" w:rsidRDefault="0015611F">
            <w:pPr>
              <w:pStyle w:val="TableParagraph"/>
              <w:spacing w:before="30"/>
              <w:ind w:right="47"/>
              <w:jc w:val="center"/>
              <w:rPr>
                <w:b/>
                <w:sz w:val="18"/>
              </w:rPr>
            </w:pPr>
            <w:r>
              <w:rPr>
                <w:b/>
                <w:sz w:val="18"/>
              </w:rPr>
              <w:t>$</w:t>
            </w:r>
          </w:p>
        </w:tc>
      </w:tr>
      <w:tr w:rsidR="00FA4AA8" w14:paraId="6EC45841" w14:textId="77777777">
        <w:trPr>
          <w:trHeight w:val="325"/>
        </w:trPr>
        <w:tc>
          <w:tcPr>
            <w:tcW w:w="5445" w:type="dxa"/>
          </w:tcPr>
          <w:p w14:paraId="685B0D4F" w14:textId="77777777" w:rsidR="00FA4AA8" w:rsidRDefault="0015611F">
            <w:pPr>
              <w:pStyle w:val="TableParagraph"/>
              <w:spacing w:before="40"/>
              <w:ind w:left="76"/>
              <w:rPr>
                <w:b/>
                <w:sz w:val="18"/>
              </w:rPr>
            </w:pPr>
            <w:r>
              <w:rPr>
                <w:b/>
                <w:sz w:val="18"/>
              </w:rPr>
              <w:t>Balance at 1 January 2018</w:t>
            </w:r>
          </w:p>
        </w:tc>
        <w:tc>
          <w:tcPr>
            <w:tcW w:w="1925" w:type="dxa"/>
          </w:tcPr>
          <w:p w14:paraId="081A7A1A" w14:textId="77777777" w:rsidR="00FA4AA8" w:rsidRDefault="00FA4AA8">
            <w:pPr>
              <w:pStyle w:val="TableParagraph"/>
              <w:rPr>
                <w:rFonts w:ascii="Times New Roman"/>
                <w:sz w:val="18"/>
              </w:rPr>
            </w:pPr>
          </w:p>
        </w:tc>
        <w:tc>
          <w:tcPr>
            <w:tcW w:w="1317" w:type="dxa"/>
          </w:tcPr>
          <w:p w14:paraId="7ACAE838" w14:textId="77777777" w:rsidR="00FA4AA8" w:rsidRDefault="0015611F">
            <w:pPr>
              <w:pStyle w:val="TableParagraph"/>
              <w:spacing w:before="44"/>
              <w:ind w:right="108"/>
              <w:jc w:val="right"/>
              <w:rPr>
                <w:b/>
                <w:sz w:val="18"/>
              </w:rPr>
            </w:pPr>
            <w:r>
              <w:rPr>
                <w:b/>
                <w:sz w:val="18"/>
              </w:rPr>
              <w:t>1,428,886</w:t>
            </w:r>
          </w:p>
        </w:tc>
        <w:tc>
          <w:tcPr>
            <w:tcW w:w="1274" w:type="dxa"/>
          </w:tcPr>
          <w:p w14:paraId="553BB610" w14:textId="77777777" w:rsidR="00FA4AA8" w:rsidRDefault="0015611F">
            <w:pPr>
              <w:pStyle w:val="TableParagraph"/>
              <w:spacing w:before="44"/>
              <w:ind w:right="83"/>
              <w:jc w:val="right"/>
              <w:rPr>
                <w:b/>
                <w:sz w:val="18"/>
              </w:rPr>
            </w:pPr>
            <w:r>
              <w:rPr>
                <w:b/>
                <w:sz w:val="18"/>
              </w:rPr>
              <w:t>1,428,886</w:t>
            </w:r>
          </w:p>
        </w:tc>
      </w:tr>
      <w:tr w:rsidR="00FA4AA8" w14:paraId="448B85A5" w14:textId="77777777">
        <w:trPr>
          <w:trHeight w:val="291"/>
        </w:trPr>
        <w:tc>
          <w:tcPr>
            <w:tcW w:w="5445" w:type="dxa"/>
          </w:tcPr>
          <w:p w14:paraId="7D7AAAA6" w14:textId="77777777" w:rsidR="00FA4AA8" w:rsidRDefault="0015611F">
            <w:pPr>
              <w:pStyle w:val="TableParagraph"/>
              <w:spacing w:before="67" w:line="204" w:lineRule="exact"/>
              <w:ind w:left="76"/>
              <w:rPr>
                <w:b/>
                <w:sz w:val="18"/>
              </w:rPr>
            </w:pPr>
            <w:r>
              <w:rPr>
                <w:b/>
                <w:sz w:val="18"/>
              </w:rPr>
              <w:t>Comprehensive income for the year</w:t>
            </w:r>
          </w:p>
        </w:tc>
        <w:tc>
          <w:tcPr>
            <w:tcW w:w="1925" w:type="dxa"/>
          </w:tcPr>
          <w:p w14:paraId="65F19804" w14:textId="77777777" w:rsidR="00FA4AA8" w:rsidRDefault="00FA4AA8">
            <w:pPr>
              <w:pStyle w:val="TableParagraph"/>
              <w:rPr>
                <w:rFonts w:ascii="Times New Roman"/>
                <w:sz w:val="18"/>
              </w:rPr>
            </w:pPr>
          </w:p>
        </w:tc>
        <w:tc>
          <w:tcPr>
            <w:tcW w:w="1317" w:type="dxa"/>
          </w:tcPr>
          <w:p w14:paraId="0061B915" w14:textId="77777777" w:rsidR="00FA4AA8" w:rsidRDefault="00FA4AA8">
            <w:pPr>
              <w:pStyle w:val="TableParagraph"/>
              <w:rPr>
                <w:rFonts w:ascii="Times New Roman"/>
                <w:sz w:val="18"/>
              </w:rPr>
            </w:pPr>
          </w:p>
        </w:tc>
        <w:tc>
          <w:tcPr>
            <w:tcW w:w="1274" w:type="dxa"/>
          </w:tcPr>
          <w:p w14:paraId="4006161F" w14:textId="77777777" w:rsidR="00FA4AA8" w:rsidRDefault="00FA4AA8">
            <w:pPr>
              <w:pStyle w:val="TableParagraph"/>
              <w:rPr>
                <w:rFonts w:ascii="Times New Roman"/>
                <w:sz w:val="18"/>
              </w:rPr>
            </w:pPr>
          </w:p>
        </w:tc>
      </w:tr>
      <w:tr w:rsidR="00FA4AA8" w14:paraId="1A353042" w14:textId="77777777">
        <w:trPr>
          <w:trHeight w:val="250"/>
        </w:trPr>
        <w:tc>
          <w:tcPr>
            <w:tcW w:w="5445" w:type="dxa"/>
          </w:tcPr>
          <w:p w14:paraId="3792DFC3" w14:textId="77777777" w:rsidR="00FA4AA8" w:rsidRDefault="0015611F">
            <w:pPr>
              <w:pStyle w:val="TableParagraph"/>
              <w:spacing w:before="13"/>
              <w:ind w:left="76"/>
              <w:rPr>
                <w:sz w:val="18"/>
              </w:rPr>
            </w:pPr>
            <w:r>
              <w:rPr>
                <w:sz w:val="18"/>
              </w:rPr>
              <w:t>Surplus / (deficit) for the year</w:t>
            </w:r>
          </w:p>
        </w:tc>
        <w:tc>
          <w:tcPr>
            <w:tcW w:w="1925" w:type="dxa"/>
          </w:tcPr>
          <w:p w14:paraId="189F06FF" w14:textId="77777777" w:rsidR="00FA4AA8" w:rsidRDefault="00FA4AA8">
            <w:pPr>
              <w:pStyle w:val="TableParagraph"/>
              <w:rPr>
                <w:rFonts w:ascii="Times New Roman"/>
                <w:sz w:val="18"/>
              </w:rPr>
            </w:pPr>
          </w:p>
        </w:tc>
        <w:tc>
          <w:tcPr>
            <w:tcW w:w="1317" w:type="dxa"/>
          </w:tcPr>
          <w:p w14:paraId="27DC1F3C" w14:textId="77777777" w:rsidR="00FA4AA8" w:rsidRDefault="0015611F">
            <w:pPr>
              <w:pStyle w:val="TableParagraph"/>
              <w:spacing w:before="11"/>
              <w:ind w:right="108"/>
              <w:jc w:val="right"/>
              <w:rPr>
                <w:b/>
                <w:sz w:val="18"/>
              </w:rPr>
            </w:pPr>
            <w:r>
              <w:rPr>
                <w:b/>
                <w:sz w:val="18"/>
              </w:rPr>
              <w:t>201,491</w:t>
            </w:r>
          </w:p>
        </w:tc>
        <w:tc>
          <w:tcPr>
            <w:tcW w:w="1274" w:type="dxa"/>
          </w:tcPr>
          <w:p w14:paraId="42A6F5EC" w14:textId="77777777" w:rsidR="00FA4AA8" w:rsidRDefault="0015611F">
            <w:pPr>
              <w:pStyle w:val="TableParagraph"/>
              <w:spacing w:before="11"/>
              <w:ind w:right="83"/>
              <w:jc w:val="right"/>
              <w:rPr>
                <w:b/>
                <w:sz w:val="18"/>
              </w:rPr>
            </w:pPr>
            <w:r>
              <w:rPr>
                <w:b/>
                <w:sz w:val="18"/>
              </w:rPr>
              <w:t>201,491</w:t>
            </w:r>
          </w:p>
        </w:tc>
      </w:tr>
      <w:tr w:rsidR="00FA4AA8" w14:paraId="18C3265A" w14:textId="77777777">
        <w:trPr>
          <w:trHeight w:val="256"/>
        </w:trPr>
        <w:tc>
          <w:tcPr>
            <w:tcW w:w="5445" w:type="dxa"/>
          </w:tcPr>
          <w:p w14:paraId="05891F6F" w14:textId="77777777" w:rsidR="00FA4AA8" w:rsidRDefault="0015611F">
            <w:pPr>
              <w:pStyle w:val="TableParagraph"/>
              <w:spacing w:before="24"/>
              <w:ind w:left="76"/>
              <w:rPr>
                <w:sz w:val="18"/>
              </w:rPr>
            </w:pPr>
            <w:r>
              <w:rPr>
                <w:sz w:val="18"/>
              </w:rPr>
              <w:t>Other comprehensive income for the year</w:t>
            </w:r>
          </w:p>
        </w:tc>
        <w:tc>
          <w:tcPr>
            <w:tcW w:w="1925" w:type="dxa"/>
          </w:tcPr>
          <w:p w14:paraId="7887956D" w14:textId="77777777" w:rsidR="00FA4AA8" w:rsidRDefault="00FA4AA8">
            <w:pPr>
              <w:pStyle w:val="TableParagraph"/>
              <w:rPr>
                <w:rFonts w:ascii="Times New Roman"/>
                <w:sz w:val="18"/>
              </w:rPr>
            </w:pPr>
          </w:p>
        </w:tc>
        <w:tc>
          <w:tcPr>
            <w:tcW w:w="1317" w:type="dxa"/>
            <w:tcBorders>
              <w:bottom w:val="single" w:sz="8" w:space="0" w:color="000000"/>
            </w:tcBorders>
          </w:tcPr>
          <w:p w14:paraId="047C67F8" w14:textId="77777777" w:rsidR="00FA4AA8" w:rsidRDefault="0015611F">
            <w:pPr>
              <w:pStyle w:val="TableParagraph"/>
              <w:spacing w:before="24"/>
              <w:ind w:right="107"/>
              <w:jc w:val="right"/>
              <w:rPr>
                <w:b/>
                <w:sz w:val="18"/>
              </w:rPr>
            </w:pPr>
            <w:r>
              <w:rPr>
                <w:b/>
                <w:sz w:val="18"/>
              </w:rPr>
              <w:t>-</w:t>
            </w:r>
          </w:p>
        </w:tc>
        <w:tc>
          <w:tcPr>
            <w:tcW w:w="1274" w:type="dxa"/>
            <w:tcBorders>
              <w:bottom w:val="single" w:sz="8" w:space="0" w:color="000000"/>
            </w:tcBorders>
          </w:tcPr>
          <w:p w14:paraId="33AD41D4" w14:textId="77777777" w:rsidR="00FA4AA8" w:rsidRDefault="0015611F">
            <w:pPr>
              <w:pStyle w:val="TableParagraph"/>
              <w:spacing w:before="24"/>
              <w:ind w:right="83"/>
              <w:jc w:val="right"/>
              <w:rPr>
                <w:b/>
                <w:sz w:val="18"/>
              </w:rPr>
            </w:pPr>
            <w:r>
              <w:rPr>
                <w:b/>
                <w:sz w:val="18"/>
              </w:rPr>
              <w:t>-</w:t>
            </w:r>
          </w:p>
        </w:tc>
      </w:tr>
      <w:tr w:rsidR="00FA4AA8" w14:paraId="4944309A" w14:textId="77777777">
        <w:trPr>
          <w:trHeight w:val="318"/>
        </w:trPr>
        <w:tc>
          <w:tcPr>
            <w:tcW w:w="5445" w:type="dxa"/>
          </w:tcPr>
          <w:p w14:paraId="11A3175A" w14:textId="77777777" w:rsidR="00FA4AA8" w:rsidRDefault="0015611F">
            <w:pPr>
              <w:pStyle w:val="TableParagraph"/>
              <w:spacing w:before="115" w:line="183" w:lineRule="exact"/>
              <w:ind w:left="76"/>
              <w:rPr>
                <w:b/>
                <w:sz w:val="18"/>
              </w:rPr>
            </w:pPr>
            <w:r>
              <w:rPr>
                <w:b/>
                <w:sz w:val="18"/>
              </w:rPr>
              <w:t>Total comprehensive income for the year</w:t>
            </w:r>
          </w:p>
        </w:tc>
        <w:tc>
          <w:tcPr>
            <w:tcW w:w="1925" w:type="dxa"/>
          </w:tcPr>
          <w:p w14:paraId="38C38434" w14:textId="77777777" w:rsidR="00FA4AA8" w:rsidRDefault="00FA4AA8">
            <w:pPr>
              <w:pStyle w:val="TableParagraph"/>
              <w:rPr>
                <w:rFonts w:ascii="Times New Roman"/>
                <w:sz w:val="18"/>
              </w:rPr>
            </w:pPr>
          </w:p>
        </w:tc>
        <w:tc>
          <w:tcPr>
            <w:tcW w:w="1317" w:type="dxa"/>
            <w:tcBorders>
              <w:top w:val="single" w:sz="8" w:space="0" w:color="000000"/>
              <w:bottom w:val="single" w:sz="8" w:space="0" w:color="000000"/>
            </w:tcBorders>
          </w:tcPr>
          <w:p w14:paraId="3FB394AF" w14:textId="77777777" w:rsidR="00FA4AA8" w:rsidRDefault="0015611F">
            <w:pPr>
              <w:pStyle w:val="TableParagraph"/>
              <w:spacing w:before="115" w:line="183" w:lineRule="exact"/>
              <w:ind w:right="108"/>
              <w:jc w:val="right"/>
              <w:rPr>
                <w:b/>
                <w:sz w:val="18"/>
              </w:rPr>
            </w:pPr>
            <w:r>
              <w:rPr>
                <w:b/>
                <w:sz w:val="18"/>
              </w:rPr>
              <w:t>201,491</w:t>
            </w:r>
          </w:p>
        </w:tc>
        <w:tc>
          <w:tcPr>
            <w:tcW w:w="1274" w:type="dxa"/>
            <w:tcBorders>
              <w:top w:val="single" w:sz="8" w:space="0" w:color="000000"/>
              <w:bottom w:val="single" w:sz="8" w:space="0" w:color="000000"/>
            </w:tcBorders>
          </w:tcPr>
          <w:p w14:paraId="675BD696" w14:textId="77777777" w:rsidR="00FA4AA8" w:rsidRDefault="0015611F">
            <w:pPr>
              <w:pStyle w:val="TableParagraph"/>
              <w:spacing w:before="115" w:line="183" w:lineRule="exact"/>
              <w:ind w:right="83"/>
              <w:jc w:val="right"/>
              <w:rPr>
                <w:b/>
                <w:sz w:val="18"/>
              </w:rPr>
            </w:pPr>
            <w:r>
              <w:rPr>
                <w:b/>
                <w:sz w:val="18"/>
              </w:rPr>
              <w:t>201,491</w:t>
            </w:r>
          </w:p>
        </w:tc>
      </w:tr>
      <w:tr w:rsidR="00FA4AA8" w14:paraId="7AFEEFE5" w14:textId="77777777">
        <w:trPr>
          <w:trHeight w:val="320"/>
        </w:trPr>
        <w:tc>
          <w:tcPr>
            <w:tcW w:w="5445" w:type="dxa"/>
          </w:tcPr>
          <w:p w14:paraId="5809644D" w14:textId="77777777" w:rsidR="00FA4AA8" w:rsidRDefault="0015611F">
            <w:pPr>
              <w:pStyle w:val="TableParagraph"/>
              <w:spacing w:before="115" w:line="185" w:lineRule="exact"/>
              <w:ind w:left="76"/>
              <w:rPr>
                <w:b/>
                <w:sz w:val="18"/>
              </w:rPr>
            </w:pPr>
            <w:r>
              <w:rPr>
                <w:b/>
                <w:sz w:val="18"/>
              </w:rPr>
              <w:t>Balance at 31 December 2018</w:t>
            </w:r>
          </w:p>
        </w:tc>
        <w:tc>
          <w:tcPr>
            <w:tcW w:w="1925" w:type="dxa"/>
          </w:tcPr>
          <w:p w14:paraId="7B59CE70" w14:textId="77777777" w:rsidR="00FA4AA8" w:rsidRDefault="0015611F">
            <w:pPr>
              <w:pStyle w:val="TableParagraph"/>
              <w:spacing w:before="86"/>
              <w:ind w:left="1363" w:right="19"/>
              <w:jc w:val="center"/>
              <w:rPr>
                <w:sz w:val="18"/>
              </w:rPr>
            </w:pPr>
            <w:r>
              <w:rPr>
                <w:sz w:val="18"/>
              </w:rPr>
              <w:t>10</w:t>
            </w:r>
          </w:p>
        </w:tc>
        <w:tc>
          <w:tcPr>
            <w:tcW w:w="1317" w:type="dxa"/>
            <w:tcBorders>
              <w:top w:val="single" w:sz="8" w:space="0" w:color="000000"/>
              <w:bottom w:val="double" w:sz="2" w:space="0" w:color="000000"/>
            </w:tcBorders>
          </w:tcPr>
          <w:p w14:paraId="3F51912E" w14:textId="77777777" w:rsidR="00FA4AA8" w:rsidRDefault="0015611F">
            <w:pPr>
              <w:pStyle w:val="TableParagraph"/>
              <w:spacing w:before="115" w:line="185" w:lineRule="exact"/>
              <w:ind w:right="108"/>
              <w:jc w:val="right"/>
              <w:rPr>
                <w:b/>
                <w:sz w:val="18"/>
              </w:rPr>
            </w:pPr>
            <w:r>
              <w:rPr>
                <w:b/>
                <w:sz w:val="18"/>
              </w:rPr>
              <w:t>1,630,377</w:t>
            </w:r>
          </w:p>
        </w:tc>
        <w:tc>
          <w:tcPr>
            <w:tcW w:w="1274" w:type="dxa"/>
            <w:tcBorders>
              <w:top w:val="single" w:sz="8" w:space="0" w:color="000000"/>
              <w:bottom w:val="double" w:sz="2" w:space="0" w:color="000000"/>
            </w:tcBorders>
          </w:tcPr>
          <w:p w14:paraId="373B5A2B" w14:textId="77777777" w:rsidR="00FA4AA8" w:rsidRDefault="0015611F">
            <w:pPr>
              <w:pStyle w:val="TableParagraph"/>
              <w:spacing w:before="115" w:line="185" w:lineRule="exact"/>
              <w:ind w:right="83"/>
              <w:jc w:val="right"/>
              <w:rPr>
                <w:b/>
                <w:sz w:val="18"/>
              </w:rPr>
            </w:pPr>
            <w:r>
              <w:rPr>
                <w:b/>
                <w:sz w:val="18"/>
              </w:rPr>
              <w:t>1,630,377</w:t>
            </w:r>
          </w:p>
        </w:tc>
      </w:tr>
      <w:tr w:rsidR="00FA4AA8" w14:paraId="17B00263" w14:textId="77777777">
        <w:trPr>
          <w:trHeight w:val="780"/>
        </w:trPr>
        <w:tc>
          <w:tcPr>
            <w:tcW w:w="5445" w:type="dxa"/>
          </w:tcPr>
          <w:p w14:paraId="214620F3" w14:textId="77777777" w:rsidR="00FA4AA8" w:rsidRDefault="00FA4AA8">
            <w:pPr>
              <w:pStyle w:val="TableParagraph"/>
              <w:rPr>
                <w:rFonts w:ascii="Times New Roman"/>
                <w:sz w:val="18"/>
              </w:rPr>
            </w:pPr>
          </w:p>
        </w:tc>
        <w:tc>
          <w:tcPr>
            <w:tcW w:w="1925" w:type="dxa"/>
          </w:tcPr>
          <w:p w14:paraId="1A6ACE64" w14:textId="77777777" w:rsidR="00FA4AA8" w:rsidRDefault="00FA4AA8">
            <w:pPr>
              <w:pStyle w:val="TableParagraph"/>
              <w:rPr>
                <w:rFonts w:ascii="Times New Roman"/>
                <w:sz w:val="18"/>
              </w:rPr>
            </w:pPr>
          </w:p>
        </w:tc>
        <w:tc>
          <w:tcPr>
            <w:tcW w:w="1317" w:type="dxa"/>
            <w:tcBorders>
              <w:top w:val="double" w:sz="2" w:space="0" w:color="000000"/>
            </w:tcBorders>
          </w:tcPr>
          <w:p w14:paraId="0E7C8A14" w14:textId="77777777" w:rsidR="00FA4AA8" w:rsidRDefault="00FA4AA8">
            <w:pPr>
              <w:pStyle w:val="TableParagraph"/>
              <w:spacing w:before="8"/>
              <w:rPr>
                <w:sz w:val="28"/>
              </w:rPr>
            </w:pPr>
          </w:p>
          <w:p w14:paraId="5AC9DA23" w14:textId="77777777" w:rsidR="00FA4AA8" w:rsidRDefault="0015611F">
            <w:pPr>
              <w:pStyle w:val="TableParagraph"/>
              <w:ind w:left="268" w:right="273" w:hanging="5"/>
              <w:rPr>
                <w:b/>
                <w:sz w:val="18"/>
              </w:rPr>
            </w:pPr>
            <w:r>
              <w:rPr>
                <w:b/>
                <w:sz w:val="18"/>
              </w:rPr>
              <w:t>Retained earnings</w:t>
            </w:r>
          </w:p>
        </w:tc>
        <w:tc>
          <w:tcPr>
            <w:tcW w:w="1274" w:type="dxa"/>
            <w:tcBorders>
              <w:top w:val="double" w:sz="2" w:space="0" w:color="000000"/>
            </w:tcBorders>
          </w:tcPr>
          <w:p w14:paraId="0CC24563" w14:textId="77777777" w:rsidR="00FA4AA8" w:rsidRDefault="00FA4AA8">
            <w:pPr>
              <w:pStyle w:val="TableParagraph"/>
              <w:rPr>
                <w:sz w:val="20"/>
              </w:rPr>
            </w:pPr>
          </w:p>
          <w:p w14:paraId="13ECA42F" w14:textId="77777777" w:rsidR="00FA4AA8" w:rsidRDefault="00FA4AA8">
            <w:pPr>
              <w:pStyle w:val="TableParagraph"/>
              <w:spacing w:before="8"/>
              <w:rPr>
                <w:sz w:val="26"/>
              </w:rPr>
            </w:pPr>
          </w:p>
          <w:p w14:paraId="786361E8" w14:textId="77777777" w:rsidR="00FA4AA8" w:rsidRDefault="0015611F">
            <w:pPr>
              <w:pStyle w:val="TableParagraph"/>
              <w:ind w:right="146"/>
              <w:jc w:val="right"/>
              <w:rPr>
                <w:b/>
                <w:sz w:val="18"/>
              </w:rPr>
            </w:pPr>
            <w:r>
              <w:rPr>
                <w:b/>
                <w:sz w:val="18"/>
              </w:rPr>
              <w:t>Total equity</w:t>
            </w:r>
          </w:p>
        </w:tc>
      </w:tr>
      <w:tr w:rsidR="00FA4AA8" w14:paraId="76185F0B" w14:textId="77777777">
        <w:trPr>
          <w:trHeight w:val="283"/>
        </w:trPr>
        <w:tc>
          <w:tcPr>
            <w:tcW w:w="5445" w:type="dxa"/>
          </w:tcPr>
          <w:p w14:paraId="5658423E" w14:textId="77777777" w:rsidR="00FA4AA8" w:rsidRDefault="00FA4AA8">
            <w:pPr>
              <w:pStyle w:val="TableParagraph"/>
              <w:rPr>
                <w:rFonts w:ascii="Times New Roman"/>
                <w:sz w:val="18"/>
              </w:rPr>
            </w:pPr>
          </w:p>
        </w:tc>
        <w:tc>
          <w:tcPr>
            <w:tcW w:w="1925" w:type="dxa"/>
          </w:tcPr>
          <w:p w14:paraId="12F219CB" w14:textId="77777777" w:rsidR="00FA4AA8" w:rsidRDefault="00FA4AA8">
            <w:pPr>
              <w:pStyle w:val="TableParagraph"/>
              <w:rPr>
                <w:rFonts w:ascii="Times New Roman"/>
                <w:sz w:val="18"/>
              </w:rPr>
            </w:pPr>
          </w:p>
        </w:tc>
        <w:tc>
          <w:tcPr>
            <w:tcW w:w="1317" w:type="dxa"/>
          </w:tcPr>
          <w:p w14:paraId="6CD44F58" w14:textId="77777777" w:rsidR="00FA4AA8" w:rsidRDefault="0015611F">
            <w:pPr>
              <w:pStyle w:val="TableParagraph"/>
              <w:spacing w:before="30"/>
              <w:ind w:right="24"/>
              <w:jc w:val="center"/>
              <w:rPr>
                <w:b/>
                <w:sz w:val="18"/>
              </w:rPr>
            </w:pPr>
            <w:r>
              <w:rPr>
                <w:b/>
                <w:sz w:val="18"/>
              </w:rPr>
              <w:t>$</w:t>
            </w:r>
          </w:p>
        </w:tc>
        <w:tc>
          <w:tcPr>
            <w:tcW w:w="1274" w:type="dxa"/>
          </w:tcPr>
          <w:p w14:paraId="27F4D191" w14:textId="77777777" w:rsidR="00FA4AA8" w:rsidRDefault="0015611F">
            <w:pPr>
              <w:pStyle w:val="TableParagraph"/>
              <w:spacing w:before="30"/>
              <w:ind w:right="47"/>
              <w:jc w:val="center"/>
              <w:rPr>
                <w:b/>
                <w:sz w:val="18"/>
              </w:rPr>
            </w:pPr>
            <w:r>
              <w:rPr>
                <w:b/>
                <w:sz w:val="18"/>
              </w:rPr>
              <w:t>$</w:t>
            </w:r>
          </w:p>
        </w:tc>
      </w:tr>
      <w:tr w:rsidR="00FA4AA8" w14:paraId="2BB933A7" w14:textId="77777777">
        <w:trPr>
          <w:trHeight w:val="325"/>
        </w:trPr>
        <w:tc>
          <w:tcPr>
            <w:tcW w:w="5445" w:type="dxa"/>
          </w:tcPr>
          <w:p w14:paraId="2003321E" w14:textId="77777777" w:rsidR="00FA4AA8" w:rsidRDefault="0015611F">
            <w:pPr>
              <w:pStyle w:val="TableParagraph"/>
              <w:spacing w:before="40"/>
              <w:ind w:left="76"/>
              <w:rPr>
                <w:b/>
                <w:sz w:val="18"/>
              </w:rPr>
            </w:pPr>
            <w:r>
              <w:rPr>
                <w:b/>
                <w:sz w:val="18"/>
              </w:rPr>
              <w:t>Balance at 1 January 2017</w:t>
            </w:r>
          </w:p>
        </w:tc>
        <w:tc>
          <w:tcPr>
            <w:tcW w:w="1925" w:type="dxa"/>
          </w:tcPr>
          <w:p w14:paraId="35A66BF6" w14:textId="77777777" w:rsidR="00FA4AA8" w:rsidRDefault="00FA4AA8">
            <w:pPr>
              <w:pStyle w:val="TableParagraph"/>
              <w:rPr>
                <w:rFonts w:ascii="Times New Roman"/>
                <w:sz w:val="18"/>
              </w:rPr>
            </w:pPr>
          </w:p>
        </w:tc>
        <w:tc>
          <w:tcPr>
            <w:tcW w:w="1317" w:type="dxa"/>
          </w:tcPr>
          <w:p w14:paraId="4C8885A6" w14:textId="77777777" w:rsidR="00FA4AA8" w:rsidRDefault="0015611F">
            <w:pPr>
              <w:pStyle w:val="TableParagraph"/>
              <w:spacing w:before="44"/>
              <w:ind w:right="108"/>
              <w:jc w:val="right"/>
              <w:rPr>
                <w:sz w:val="18"/>
              </w:rPr>
            </w:pPr>
            <w:r>
              <w:rPr>
                <w:sz w:val="18"/>
              </w:rPr>
              <w:t>1,054,055</w:t>
            </w:r>
          </w:p>
        </w:tc>
        <w:tc>
          <w:tcPr>
            <w:tcW w:w="1274" w:type="dxa"/>
          </w:tcPr>
          <w:p w14:paraId="2C7BFD82" w14:textId="77777777" w:rsidR="00FA4AA8" w:rsidRDefault="0015611F">
            <w:pPr>
              <w:pStyle w:val="TableParagraph"/>
              <w:spacing w:before="44"/>
              <w:ind w:right="83"/>
              <w:jc w:val="right"/>
              <w:rPr>
                <w:sz w:val="18"/>
              </w:rPr>
            </w:pPr>
            <w:r>
              <w:rPr>
                <w:sz w:val="18"/>
              </w:rPr>
              <w:t>1,054,055</w:t>
            </w:r>
          </w:p>
        </w:tc>
      </w:tr>
      <w:tr w:rsidR="00FA4AA8" w14:paraId="6F036687" w14:textId="77777777">
        <w:trPr>
          <w:trHeight w:val="291"/>
        </w:trPr>
        <w:tc>
          <w:tcPr>
            <w:tcW w:w="5445" w:type="dxa"/>
          </w:tcPr>
          <w:p w14:paraId="7AFF55D2" w14:textId="77777777" w:rsidR="00FA4AA8" w:rsidRDefault="0015611F">
            <w:pPr>
              <w:pStyle w:val="TableParagraph"/>
              <w:spacing w:before="67" w:line="204" w:lineRule="exact"/>
              <w:ind w:left="76"/>
              <w:rPr>
                <w:b/>
                <w:sz w:val="18"/>
              </w:rPr>
            </w:pPr>
            <w:r>
              <w:rPr>
                <w:b/>
                <w:sz w:val="18"/>
              </w:rPr>
              <w:t>Comprehensive income for the year</w:t>
            </w:r>
          </w:p>
        </w:tc>
        <w:tc>
          <w:tcPr>
            <w:tcW w:w="1925" w:type="dxa"/>
          </w:tcPr>
          <w:p w14:paraId="308C566C" w14:textId="77777777" w:rsidR="00FA4AA8" w:rsidRDefault="00FA4AA8">
            <w:pPr>
              <w:pStyle w:val="TableParagraph"/>
              <w:rPr>
                <w:rFonts w:ascii="Times New Roman"/>
                <w:sz w:val="18"/>
              </w:rPr>
            </w:pPr>
          </w:p>
        </w:tc>
        <w:tc>
          <w:tcPr>
            <w:tcW w:w="1317" w:type="dxa"/>
          </w:tcPr>
          <w:p w14:paraId="12DC2DE7" w14:textId="77777777" w:rsidR="00FA4AA8" w:rsidRDefault="00FA4AA8">
            <w:pPr>
              <w:pStyle w:val="TableParagraph"/>
              <w:rPr>
                <w:rFonts w:ascii="Times New Roman"/>
                <w:sz w:val="18"/>
              </w:rPr>
            </w:pPr>
          </w:p>
        </w:tc>
        <w:tc>
          <w:tcPr>
            <w:tcW w:w="1274" w:type="dxa"/>
          </w:tcPr>
          <w:p w14:paraId="23D9A108" w14:textId="77777777" w:rsidR="00FA4AA8" w:rsidRDefault="00FA4AA8">
            <w:pPr>
              <w:pStyle w:val="TableParagraph"/>
              <w:rPr>
                <w:rFonts w:ascii="Times New Roman"/>
                <w:sz w:val="18"/>
              </w:rPr>
            </w:pPr>
          </w:p>
        </w:tc>
      </w:tr>
      <w:tr w:rsidR="00FA4AA8" w14:paraId="5E2452B1" w14:textId="77777777">
        <w:trPr>
          <w:trHeight w:val="249"/>
        </w:trPr>
        <w:tc>
          <w:tcPr>
            <w:tcW w:w="5445" w:type="dxa"/>
          </w:tcPr>
          <w:p w14:paraId="708132D7" w14:textId="77777777" w:rsidR="00FA4AA8" w:rsidRDefault="0015611F">
            <w:pPr>
              <w:pStyle w:val="TableParagraph"/>
              <w:spacing w:before="11"/>
              <w:ind w:left="76"/>
              <w:rPr>
                <w:sz w:val="18"/>
              </w:rPr>
            </w:pPr>
            <w:r>
              <w:rPr>
                <w:sz w:val="18"/>
              </w:rPr>
              <w:t>Surplus / (deficit) for the year</w:t>
            </w:r>
          </w:p>
        </w:tc>
        <w:tc>
          <w:tcPr>
            <w:tcW w:w="1925" w:type="dxa"/>
          </w:tcPr>
          <w:p w14:paraId="27884E3B" w14:textId="77777777" w:rsidR="00FA4AA8" w:rsidRDefault="00FA4AA8">
            <w:pPr>
              <w:pStyle w:val="TableParagraph"/>
              <w:rPr>
                <w:rFonts w:ascii="Times New Roman"/>
                <w:sz w:val="18"/>
              </w:rPr>
            </w:pPr>
          </w:p>
        </w:tc>
        <w:tc>
          <w:tcPr>
            <w:tcW w:w="1317" w:type="dxa"/>
          </w:tcPr>
          <w:p w14:paraId="332DE51B" w14:textId="77777777" w:rsidR="00FA4AA8" w:rsidRDefault="0015611F">
            <w:pPr>
              <w:pStyle w:val="TableParagraph"/>
              <w:spacing w:before="11"/>
              <w:ind w:right="108"/>
              <w:jc w:val="right"/>
              <w:rPr>
                <w:sz w:val="18"/>
              </w:rPr>
            </w:pPr>
            <w:r>
              <w:rPr>
                <w:sz w:val="18"/>
              </w:rPr>
              <w:t>374,831</w:t>
            </w:r>
          </w:p>
        </w:tc>
        <w:tc>
          <w:tcPr>
            <w:tcW w:w="1274" w:type="dxa"/>
          </w:tcPr>
          <w:p w14:paraId="02BB1514" w14:textId="77777777" w:rsidR="00FA4AA8" w:rsidRDefault="0015611F">
            <w:pPr>
              <w:pStyle w:val="TableParagraph"/>
              <w:spacing w:before="11"/>
              <w:ind w:right="83"/>
              <w:jc w:val="right"/>
              <w:rPr>
                <w:sz w:val="18"/>
              </w:rPr>
            </w:pPr>
            <w:r>
              <w:rPr>
                <w:sz w:val="18"/>
              </w:rPr>
              <w:t>374,831</w:t>
            </w:r>
          </w:p>
        </w:tc>
      </w:tr>
      <w:tr w:rsidR="00FA4AA8" w14:paraId="5A8D8976" w14:textId="77777777">
        <w:trPr>
          <w:trHeight w:val="257"/>
        </w:trPr>
        <w:tc>
          <w:tcPr>
            <w:tcW w:w="5445" w:type="dxa"/>
          </w:tcPr>
          <w:p w14:paraId="32853382" w14:textId="77777777" w:rsidR="00FA4AA8" w:rsidRDefault="0015611F">
            <w:pPr>
              <w:pStyle w:val="TableParagraph"/>
              <w:spacing w:before="25"/>
              <w:ind w:left="76"/>
              <w:rPr>
                <w:sz w:val="18"/>
              </w:rPr>
            </w:pPr>
            <w:r>
              <w:rPr>
                <w:sz w:val="18"/>
              </w:rPr>
              <w:t>Other comprehensive income for the year</w:t>
            </w:r>
          </w:p>
        </w:tc>
        <w:tc>
          <w:tcPr>
            <w:tcW w:w="1925" w:type="dxa"/>
          </w:tcPr>
          <w:p w14:paraId="3B15DF96" w14:textId="77777777" w:rsidR="00FA4AA8" w:rsidRDefault="00FA4AA8">
            <w:pPr>
              <w:pStyle w:val="TableParagraph"/>
              <w:rPr>
                <w:rFonts w:ascii="Times New Roman"/>
                <w:sz w:val="18"/>
              </w:rPr>
            </w:pPr>
          </w:p>
        </w:tc>
        <w:tc>
          <w:tcPr>
            <w:tcW w:w="1317" w:type="dxa"/>
            <w:tcBorders>
              <w:bottom w:val="single" w:sz="8" w:space="0" w:color="000000"/>
            </w:tcBorders>
          </w:tcPr>
          <w:p w14:paraId="512F63C5" w14:textId="77777777" w:rsidR="00FA4AA8" w:rsidRDefault="0015611F">
            <w:pPr>
              <w:pStyle w:val="TableParagraph"/>
              <w:spacing w:before="25"/>
              <w:ind w:right="107"/>
              <w:jc w:val="right"/>
              <w:rPr>
                <w:sz w:val="18"/>
              </w:rPr>
            </w:pPr>
            <w:r>
              <w:rPr>
                <w:sz w:val="18"/>
              </w:rPr>
              <w:t>-</w:t>
            </w:r>
          </w:p>
        </w:tc>
        <w:tc>
          <w:tcPr>
            <w:tcW w:w="1274" w:type="dxa"/>
            <w:tcBorders>
              <w:bottom w:val="single" w:sz="8" w:space="0" w:color="000000"/>
            </w:tcBorders>
          </w:tcPr>
          <w:p w14:paraId="22135416" w14:textId="77777777" w:rsidR="00FA4AA8" w:rsidRDefault="0015611F">
            <w:pPr>
              <w:pStyle w:val="TableParagraph"/>
              <w:spacing w:before="25"/>
              <w:ind w:right="83"/>
              <w:jc w:val="right"/>
              <w:rPr>
                <w:sz w:val="18"/>
              </w:rPr>
            </w:pPr>
            <w:r>
              <w:rPr>
                <w:sz w:val="18"/>
              </w:rPr>
              <w:t>-</w:t>
            </w:r>
          </w:p>
        </w:tc>
      </w:tr>
      <w:tr w:rsidR="00FA4AA8" w14:paraId="15E22BEA" w14:textId="77777777">
        <w:trPr>
          <w:trHeight w:val="318"/>
        </w:trPr>
        <w:tc>
          <w:tcPr>
            <w:tcW w:w="5445" w:type="dxa"/>
          </w:tcPr>
          <w:p w14:paraId="02DF59EC" w14:textId="77777777" w:rsidR="00FA4AA8" w:rsidRDefault="0015611F">
            <w:pPr>
              <w:pStyle w:val="TableParagraph"/>
              <w:spacing w:before="115" w:line="183" w:lineRule="exact"/>
              <w:ind w:left="76"/>
              <w:rPr>
                <w:b/>
                <w:sz w:val="18"/>
              </w:rPr>
            </w:pPr>
            <w:r>
              <w:rPr>
                <w:b/>
                <w:sz w:val="18"/>
              </w:rPr>
              <w:t>Total comprehensive income for the year</w:t>
            </w:r>
          </w:p>
        </w:tc>
        <w:tc>
          <w:tcPr>
            <w:tcW w:w="1925" w:type="dxa"/>
          </w:tcPr>
          <w:p w14:paraId="4D897558" w14:textId="77777777" w:rsidR="00FA4AA8" w:rsidRDefault="00FA4AA8">
            <w:pPr>
              <w:pStyle w:val="TableParagraph"/>
              <w:rPr>
                <w:rFonts w:ascii="Times New Roman"/>
                <w:sz w:val="18"/>
              </w:rPr>
            </w:pPr>
          </w:p>
        </w:tc>
        <w:tc>
          <w:tcPr>
            <w:tcW w:w="1317" w:type="dxa"/>
            <w:tcBorders>
              <w:top w:val="single" w:sz="8" w:space="0" w:color="000000"/>
              <w:bottom w:val="single" w:sz="8" w:space="0" w:color="000000"/>
            </w:tcBorders>
          </w:tcPr>
          <w:p w14:paraId="2D679D2B" w14:textId="77777777" w:rsidR="00FA4AA8" w:rsidRDefault="0015611F">
            <w:pPr>
              <w:pStyle w:val="TableParagraph"/>
              <w:spacing w:before="115" w:line="183" w:lineRule="exact"/>
              <w:ind w:right="108"/>
              <w:jc w:val="right"/>
              <w:rPr>
                <w:sz w:val="18"/>
              </w:rPr>
            </w:pPr>
            <w:r>
              <w:rPr>
                <w:sz w:val="18"/>
              </w:rPr>
              <w:t>374,831</w:t>
            </w:r>
          </w:p>
        </w:tc>
        <w:tc>
          <w:tcPr>
            <w:tcW w:w="1274" w:type="dxa"/>
            <w:tcBorders>
              <w:top w:val="single" w:sz="8" w:space="0" w:color="000000"/>
              <w:bottom w:val="single" w:sz="8" w:space="0" w:color="000000"/>
            </w:tcBorders>
          </w:tcPr>
          <w:p w14:paraId="7B055030" w14:textId="77777777" w:rsidR="00FA4AA8" w:rsidRDefault="0015611F">
            <w:pPr>
              <w:pStyle w:val="TableParagraph"/>
              <w:spacing w:before="115" w:line="183" w:lineRule="exact"/>
              <w:ind w:right="83"/>
              <w:jc w:val="right"/>
              <w:rPr>
                <w:sz w:val="18"/>
              </w:rPr>
            </w:pPr>
            <w:r>
              <w:rPr>
                <w:sz w:val="18"/>
              </w:rPr>
              <w:t>374,831</w:t>
            </w:r>
          </w:p>
        </w:tc>
      </w:tr>
      <w:tr w:rsidR="00FA4AA8" w14:paraId="0C483657" w14:textId="77777777">
        <w:trPr>
          <w:trHeight w:val="320"/>
        </w:trPr>
        <w:tc>
          <w:tcPr>
            <w:tcW w:w="5445" w:type="dxa"/>
          </w:tcPr>
          <w:p w14:paraId="20BB67D5" w14:textId="77777777" w:rsidR="00FA4AA8" w:rsidRDefault="0015611F">
            <w:pPr>
              <w:pStyle w:val="TableParagraph"/>
              <w:spacing w:before="115" w:line="185" w:lineRule="exact"/>
              <w:ind w:left="76"/>
              <w:rPr>
                <w:b/>
                <w:sz w:val="18"/>
              </w:rPr>
            </w:pPr>
            <w:r>
              <w:rPr>
                <w:b/>
                <w:sz w:val="18"/>
              </w:rPr>
              <w:t>Balance at 31 December 2017</w:t>
            </w:r>
          </w:p>
        </w:tc>
        <w:tc>
          <w:tcPr>
            <w:tcW w:w="1925" w:type="dxa"/>
          </w:tcPr>
          <w:p w14:paraId="508B1638" w14:textId="77777777" w:rsidR="00FA4AA8" w:rsidRDefault="0015611F">
            <w:pPr>
              <w:pStyle w:val="TableParagraph"/>
              <w:spacing w:before="86"/>
              <w:ind w:left="1363" w:right="19"/>
              <w:jc w:val="center"/>
              <w:rPr>
                <w:sz w:val="18"/>
              </w:rPr>
            </w:pPr>
            <w:r>
              <w:rPr>
                <w:sz w:val="18"/>
              </w:rPr>
              <w:t>10</w:t>
            </w:r>
          </w:p>
        </w:tc>
        <w:tc>
          <w:tcPr>
            <w:tcW w:w="1317" w:type="dxa"/>
            <w:tcBorders>
              <w:top w:val="single" w:sz="8" w:space="0" w:color="000000"/>
              <w:bottom w:val="double" w:sz="2" w:space="0" w:color="000000"/>
            </w:tcBorders>
          </w:tcPr>
          <w:p w14:paraId="02E032E5" w14:textId="77777777" w:rsidR="00FA4AA8" w:rsidRDefault="0015611F">
            <w:pPr>
              <w:pStyle w:val="TableParagraph"/>
              <w:spacing w:before="115" w:line="185" w:lineRule="exact"/>
              <w:ind w:right="108"/>
              <w:jc w:val="right"/>
              <w:rPr>
                <w:sz w:val="18"/>
              </w:rPr>
            </w:pPr>
            <w:r>
              <w:rPr>
                <w:sz w:val="18"/>
              </w:rPr>
              <w:t>1,428,886</w:t>
            </w:r>
          </w:p>
        </w:tc>
        <w:tc>
          <w:tcPr>
            <w:tcW w:w="1274" w:type="dxa"/>
            <w:tcBorders>
              <w:top w:val="single" w:sz="8" w:space="0" w:color="000000"/>
              <w:bottom w:val="double" w:sz="2" w:space="0" w:color="000000"/>
            </w:tcBorders>
          </w:tcPr>
          <w:p w14:paraId="6E0D38C8" w14:textId="77777777" w:rsidR="00FA4AA8" w:rsidRDefault="0015611F">
            <w:pPr>
              <w:pStyle w:val="TableParagraph"/>
              <w:spacing w:before="115" w:line="185" w:lineRule="exact"/>
              <w:ind w:right="83"/>
              <w:jc w:val="right"/>
              <w:rPr>
                <w:sz w:val="18"/>
              </w:rPr>
            </w:pPr>
            <w:r>
              <w:rPr>
                <w:sz w:val="18"/>
              </w:rPr>
              <w:t>1,428,886</w:t>
            </w:r>
          </w:p>
        </w:tc>
      </w:tr>
    </w:tbl>
    <w:p w14:paraId="49595E61" w14:textId="77777777" w:rsidR="00FA4AA8" w:rsidRDefault="00FA4AA8">
      <w:pPr>
        <w:pStyle w:val="BodyText"/>
        <w:rPr>
          <w:sz w:val="20"/>
        </w:rPr>
      </w:pPr>
    </w:p>
    <w:p w14:paraId="0486809D" w14:textId="77777777" w:rsidR="00FA4AA8" w:rsidRDefault="00FA4AA8">
      <w:pPr>
        <w:pStyle w:val="BodyText"/>
        <w:rPr>
          <w:sz w:val="20"/>
        </w:rPr>
      </w:pPr>
    </w:p>
    <w:p w14:paraId="3700C48D" w14:textId="77777777" w:rsidR="00FA4AA8" w:rsidRDefault="00FA4AA8">
      <w:pPr>
        <w:pStyle w:val="BodyText"/>
        <w:rPr>
          <w:sz w:val="20"/>
        </w:rPr>
      </w:pPr>
    </w:p>
    <w:p w14:paraId="338133EF" w14:textId="77777777" w:rsidR="00FA4AA8" w:rsidRDefault="00FA4AA8">
      <w:pPr>
        <w:pStyle w:val="BodyText"/>
        <w:rPr>
          <w:sz w:val="20"/>
        </w:rPr>
      </w:pPr>
    </w:p>
    <w:p w14:paraId="7EB22213" w14:textId="77777777" w:rsidR="00FA4AA8" w:rsidRDefault="00FA4AA8">
      <w:pPr>
        <w:pStyle w:val="BodyText"/>
        <w:rPr>
          <w:sz w:val="20"/>
        </w:rPr>
      </w:pPr>
    </w:p>
    <w:p w14:paraId="12D23355" w14:textId="77777777" w:rsidR="00FA4AA8" w:rsidRDefault="00FA4AA8">
      <w:pPr>
        <w:pStyle w:val="BodyText"/>
        <w:rPr>
          <w:sz w:val="20"/>
        </w:rPr>
      </w:pPr>
    </w:p>
    <w:p w14:paraId="2508043F" w14:textId="77777777" w:rsidR="00FA4AA8" w:rsidRDefault="00FA4AA8">
      <w:pPr>
        <w:pStyle w:val="BodyText"/>
        <w:rPr>
          <w:sz w:val="20"/>
        </w:rPr>
      </w:pPr>
    </w:p>
    <w:p w14:paraId="3F97997D" w14:textId="77777777" w:rsidR="00FA4AA8" w:rsidRDefault="00FA4AA8">
      <w:pPr>
        <w:pStyle w:val="BodyText"/>
        <w:rPr>
          <w:sz w:val="20"/>
        </w:rPr>
      </w:pPr>
    </w:p>
    <w:p w14:paraId="35E81785" w14:textId="77777777" w:rsidR="00FA4AA8" w:rsidRDefault="00FA4AA8">
      <w:pPr>
        <w:pStyle w:val="BodyText"/>
        <w:rPr>
          <w:sz w:val="20"/>
        </w:rPr>
      </w:pPr>
    </w:p>
    <w:p w14:paraId="23DB0B41" w14:textId="77777777" w:rsidR="00FA4AA8" w:rsidRDefault="00FA4AA8">
      <w:pPr>
        <w:pStyle w:val="BodyText"/>
        <w:rPr>
          <w:sz w:val="20"/>
        </w:rPr>
      </w:pPr>
    </w:p>
    <w:p w14:paraId="254B9076" w14:textId="77777777" w:rsidR="00FA4AA8" w:rsidRDefault="00FA4AA8">
      <w:pPr>
        <w:pStyle w:val="BodyText"/>
        <w:rPr>
          <w:sz w:val="20"/>
        </w:rPr>
      </w:pPr>
    </w:p>
    <w:p w14:paraId="5EF1BC28" w14:textId="77777777" w:rsidR="00FA4AA8" w:rsidRDefault="00FA4AA8">
      <w:pPr>
        <w:pStyle w:val="BodyText"/>
        <w:rPr>
          <w:sz w:val="20"/>
        </w:rPr>
      </w:pPr>
    </w:p>
    <w:p w14:paraId="7ACC3AB2" w14:textId="77777777" w:rsidR="00FA4AA8" w:rsidRDefault="00FA4AA8">
      <w:pPr>
        <w:pStyle w:val="BodyText"/>
        <w:rPr>
          <w:sz w:val="20"/>
        </w:rPr>
      </w:pPr>
    </w:p>
    <w:p w14:paraId="07F4BBA6" w14:textId="77777777" w:rsidR="00FA4AA8" w:rsidRDefault="00FA4AA8">
      <w:pPr>
        <w:pStyle w:val="BodyText"/>
        <w:rPr>
          <w:sz w:val="20"/>
        </w:rPr>
      </w:pPr>
    </w:p>
    <w:p w14:paraId="52CF81E1" w14:textId="77777777" w:rsidR="00FA4AA8" w:rsidRDefault="00FA4AA8">
      <w:pPr>
        <w:pStyle w:val="BodyText"/>
        <w:rPr>
          <w:sz w:val="20"/>
        </w:rPr>
      </w:pPr>
    </w:p>
    <w:p w14:paraId="7DB685E0" w14:textId="77777777" w:rsidR="00FA4AA8" w:rsidRDefault="00FA4AA8">
      <w:pPr>
        <w:pStyle w:val="BodyText"/>
        <w:rPr>
          <w:sz w:val="20"/>
        </w:rPr>
      </w:pPr>
    </w:p>
    <w:p w14:paraId="5E3AED37" w14:textId="77777777" w:rsidR="00FA4AA8" w:rsidRDefault="00FA4AA8">
      <w:pPr>
        <w:pStyle w:val="BodyText"/>
        <w:rPr>
          <w:sz w:val="20"/>
        </w:rPr>
      </w:pPr>
    </w:p>
    <w:p w14:paraId="15AB4727" w14:textId="77777777" w:rsidR="00FA4AA8" w:rsidRDefault="00FA4AA8">
      <w:pPr>
        <w:pStyle w:val="BodyText"/>
        <w:rPr>
          <w:sz w:val="20"/>
        </w:rPr>
      </w:pPr>
    </w:p>
    <w:p w14:paraId="66D5536B" w14:textId="77777777" w:rsidR="00FA4AA8" w:rsidRDefault="00FA4AA8">
      <w:pPr>
        <w:pStyle w:val="BodyText"/>
        <w:rPr>
          <w:sz w:val="20"/>
        </w:rPr>
      </w:pPr>
    </w:p>
    <w:p w14:paraId="20EE2F2D" w14:textId="77777777" w:rsidR="00FA4AA8" w:rsidRDefault="00FA4AA8">
      <w:pPr>
        <w:pStyle w:val="BodyText"/>
        <w:rPr>
          <w:sz w:val="20"/>
        </w:rPr>
      </w:pPr>
    </w:p>
    <w:p w14:paraId="6C949C20" w14:textId="77777777" w:rsidR="00FA4AA8" w:rsidRDefault="00FA4AA8">
      <w:pPr>
        <w:pStyle w:val="BodyText"/>
        <w:rPr>
          <w:sz w:val="20"/>
        </w:rPr>
      </w:pPr>
    </w:p>
    <w:p w14:paraId="1C365C1B" w14:textId="77777777" w:rsidR="00FA4AA8" w:rsidRDefault="00FA4AA8">
      <w:pPr>
        <w:pStyle w:val="BodyText"/>
        <w:rPr>
          <w:sz w:val="20"/>
        </w:rPr>
      </w:pPr>
    </w:p>
    <w:p w14:paraId="6C78419C" w14:textId="77777777" w:rsidR="00FA4AA8" w:rsidRDefault="00FA4AA8">
      <w:pPr>
        <w:pStyle w:val="BodyText"/>
        <w:rPr>
          <w:sz w:val="20"/>
        </w:rPr>
      </w:pPr>
    </w:p>
    <w:p w14:paraId="5C79FAA7" w14:textId="77777777" w:rsidR="00FA4AA8" w:rsidRDefault="00FA4AA8">
      <w:pPr>
        <w:pStyle w:val="BodyText"/>
        <w:rPr>
          <w:sz w:val="20"/>
        </w:rPr>
      </w:pPr>
    </w:p>
    <w:p w14:paraId="4E91B19B" w14:textId="77777777" w:rsidR="00FA4AA8" w:rsidRDefault="00FA4AA8">
      <w:pPr>
        <w:pStyle w:val="BodyText"/>
        <w:rPr>
          <w:sz w:val="20"/>
        </w:rPr>
      </w:pPr>
    </w:p>
    <w:p w14:paraId="46577873" w14:textId="77777777" w:rsidR="00FA4AA8" w:rsidRDefault="00FA4AA8">
      <w:pPr>
        <w:pStyle w:val="BodyText"/>
        <w:rPr>
          <w:sz w:val="20"/>
        </w:rPr>
      </w:pPr>
    </w:p>
    <w:p w14:paraId="24B4B842" w14:textId="77777777" w:rsidR="00FA4AA8" w:rsidRDefault="00FA4AA8">
      <w:pPr>
        <w:pStyle w:val="BodyText"/>
        <w:rPr>
          <w:sz w:val="20"/>
        </w:rPr>
      </w:pPr>
    </w:p>
    <w:p w14:paraId="440D85B5" w14:textId="77777777" w:rsidR="00FA4AA8" w:rsidRDefault="00FA4AA8">
      <w:pPr>
        <w:pStyle w:val="BodyText"/>
        <w:rPr>
          <w:sz w:val="20"/>
        </w:rPr>
      </w:pPr>
    </w:p>
    <w:p w14:paraId="55CF4067" w14:textId="77777777" w:rsidR="00FA4AA8" w:rsidRDefault="00FA4AA8">
      <w:pPr>
        <w:pStyle w:val="BodyText"/>
        <w:rPr>
          <w:sz w:val="20"/>
        </w:rPr>
      </w:pPr>
    </w:p>
    <w:p w14:paraId="0AE68C7C" w14:textId="77777777" w:rsidR="00FA4AA8" w:rsidRDefault="00FA4AA8">
      <w:pPr>
        <w:pStyle w:val="BodyText"/>
        <w:rPr>
          <w:sz w:val="20"/>
        </w:rPr>
      </w:pPr>
    </w:p>
    <w:p w14:paraId="49A81516" w14:textId="77777777" w:rsidR="00FA4AA8" w:rsidRDefault="00FA4AA8">
      <w:pPr>
        <w:pStyle w:val="BodyText"/>
        <w:spacing w:before="1"/>
        <w:rPr>
          <w:sz w:val="20"/>
        </w:rPr>
      </w:pPr>
    </w:p>
    <w:p w14:paraId="503DD4FE" w14:textId="77777777" w:rsidR="00FA4AA8" w:rsidRDefault="0015611F">
      <w:pPr>
        <w:pStyle w:val="BodyText"/>
        <w:ind w:left="578" w:right="509"/>
        <w:jc w:val="center"/>
      </w:pPr>
      <w:r>
        <w:t>The accompanying notes form part of these financial statements.</w:t>
      </w:r>
    </w:p>
    <w:p w14:paraId="6F20F29B" w14:textId="77777777" w:rsidR="00FA4AA8" w:rsidRDefault="00FA4AA8">
      <w:pPr>
        <w:jc w:val="center"/>
        <w:sectPr w:rsidR="00FA4AA8">
          <w:pgSz w:w="11910" w:h="16840"/>
          <w:pgMar w:top="1660" w:right="880" w:bottom="720" w:left="840" w:header="1016" w:footer="523" w:gutter="0"/>
          <w:cols w:space="720"/>
        </w:sectPr>
      </w:pPr>
    </w:p>
    <w:p w14:paraId="5E081872" w14:textId="77777777" w:rsidR="00FA4AA8" w:rsidRDefault="00FA4AA8">
      <w:pPr>
        <w:pStyle w:val="BodyText"/>
        <w:spacing w:before="1"/>
        <w:rPr>
          <w:sz w:val="13"/>
        </w:rPr>
      </w:pPr>
    </w:p>
    <w:tbl>
      <w:tblPr>
        <w:tblW w:w="0" w:type="auto"/>
        <w:tblInd w:w="125" w:type="dxa"/>
        <w:tblLayout w:type="fixed"/>
        <w:tblCellMar>
          <w:left w:w="0" w:type="dxa"/>
          <w:right w:w="0" w:type="dxa"/>
        </w:tblCellMar>
        <w:tblLook w:val="01E0" w:firstRow="1" w:lastRow="1" w:firstColumn="1" w:lastColumn="1" w:noHBand="0" w:noVBand="0"/>
      </w:tblPr>
      <w:tblGrid>
        <w:gridCol w:w="5943"/>
        <w:gridCol w:w="1429"/>
        <w:gridCol w:w="1455"/>
        <w:gridCol w:w="1139"/>
      </w:tblGrid>
      <w:tr w:rsidR="00FA4AA8" w14:paraId="0E63AD73" w14:textId="77777777">
        <w:trPr>
          <w:trHeight w:val="298"/>
        </w:trPr>
        <w:tc>
          <w:tcPr>
            <w:tcW w:w="5943" w:type="dxa"/>
          </w:tcPr>
          <w:p w14:paraId="779EBC3B" w14:textId="77777777" w:rsidR="00FA4AA8" w:rsidRDefault="0015611F">
            <w:pPr>
              <w:pStyle w:val="TableParagraph"/>
              <w:spacing w:line="268" w:lineRule="exact"/>
              <w:ind w:left="50"/>
              <w:rPr>
                <w:b/>
                <w:sz w:val="24"/>
              </w:rPr>
            </w:pPr>
            <w:bookmarkStart w:id="184" w:name="Statement_of_Cash_Flows"/>
            <w:bookmarkEnd w:id="184"/>
            <w:r>
              <w:rPr>
                <w:b/>
                <w:sz w:val="24"/>
              </w:rPr>
              <w:t>Statement of Cash Flows</w:t>
            </w:r>
          </w:p>
        </w:tc>
        <w:tc>
          <w:tcPr>
            <w:tcW w:w="4023" w:type="dxa"/>
            <w:gridSpan w:val="3"/>
            <w:vMerge w:val="restart"/>
          </w:tcPr>
          <w:p w14:paraId="1FA81614" w14:textId="77777777" w:rsidR="00FA4AA8" w:rsidRDefault="00FA4AA8">
            <w:pPr>
              <w:pStyle w:val="TableParagraph"/>
              <w:rPr>
                <w:rFonts w:ascii="Times New Roman"/>
                <w:sz w:val="18"/>
              </w:rPr>
            </w:pPr>
          </w:p>
        </w:tc>
      </w:tr>
      <w:tr w:rsidR="00FA4AA8" w14:paraId="03B05665" w14:textId="77777777">
        <w:trPr>
          <w:trHeight w:val="640"/>
        </w:trPr>
        <w:tc>
          <w:tcPr>
            <w:tcW w:w="5943" w:type="dxa"/>
          </w:tcPr>
          <w:p w14:paraId="2101C063" w14:textId="77777777" w:rsidR="00FA4AA8" w:rsidRDefault="0015611F">
            <w:pPr>
              <w:pStyle w:val="TableParagraph"/>
              <w:spacing w:before="24"/>
              <w:ind w:left="50"/>
              <w:rPr>
                <w:b/>
              </w:rPr>
            </w:pPr>
            <w:r>
              <w:rPr>
                <w:b/>
              </w:rPr>
              <w:t>For the Year Ended 31 December 2018</w:t>
            </w:r>
          </w:p>
        </w:tc>
        <w:tc>
          <w:tcPr>
            <w:tcW w:w="4023" w:type="dxa"/>
            <w:gridSpan w:val="3"/>
            <w:vMerge/>
            <w:tcBorders>
              <w:top w:val="nil"/>
            </w:tcBorders>
          </w:tcPr>
          <w:p w14:paraId="5B3E64DD" w14:textId="77777777" w:rsidR="00FA4AA8" w:rsidRDefault="00FA4AA8">
            <w:pPr>
              <w:rPr>
                <w:sz w:val="2"/>
                <w:szCs w:val="2"/>
              </w:rPr>
            </w:pPr>
          </w:p>
        </w:tc>
      </w:tr>
      <w:tr w:rsidR="00FA4AA8" w14:paraId="6A47D67E" w14:textId="77777777">
        <w:trPr>
          <w:trHeight w:val="600"/>
        </w:trPr>
        <w:tc>
          <w:tcPr>
            <w:tcW w:w="5943" w:type="dxa"/>
          </w:tcPr>
          <w:p w14:paraId="1EEF0795" w14:textId="77777777" w:rsidR="00FA4AA8" w:rsidRDefault="00FA4AA8">
            <w:pPr>
              <w:pStyle w:val="TableParagraph"/>
              <w:rPr>
                <w:rFonts w:ascii="Times New Roman"/>
                <w:sz w:val="18"/>
              </w:rPr>
            </w:pPr>
          </w:p>
        </w:tc>
        <w:tc>
          <w:tcPr>
            <w:tcW w:w="1429" w:type="dxa"/>
          </w:tcPr>
          <w:p w14:paraId="53029D05" w14:textId="77777777" w:rsidR="00FA4AA8" w:rsidRDefault="00FA4AA8">
            <w:pPr>
              <w:pStyle w:val="TableParagraph"/>
              <w:rPr>
                <w:rFonts w:ascii="Times New Roman"/>
                <w:sz w:val="18"/>
              </w:rPr>
            </w:pPr>
          </w:p>
        </w:tc>
        <w:tc>
          <w:tcPr>
            <w:tcW w:w="1455" w:type="dxa"/>
          </w:tcPr>
          <w:p w14:paraId="264EA402" w14:textId="77777777" w:rsidR="00FA4AA8" w:rsidRDefault="00FA4AA8">
            <w:pPr>
              <w:pStyle w:val="TableParagraph"/>
              <w:rPr>
                <w:sz w:val="20"/>
              </w:rPr>
            </w:pPr>
          </w:p>
          <w:p w14:paraId="31F69660" w14:textId="77777777" w:rsidR="00FA4AA8" w:rsidRDefault="0015611F">
            <w:pPr>
              <w:pStyle w:val="TableParagraph"/>
              <w:spacing w:before="127"/>
              <w:ind w:left="444"/>
              <w:rPr>
                <w:b/>
                <w:sz w:val="18"/>
              </w:rPr>
            </w:pPr>
            <w:r>
              <w:rPr>
                <w:b/>
                <w:sz w:val="18"/>
              </w:rPr>
              <w:t>2018</w:t>
            </w:r>
          </w:p>
        </w:tc>
        <w:tc>
          <w:tcPr>
            <w:tcW w:w="1139" w:type="dxa"/>
          </w:tcPr>
          <w:p w14:paraId="5BF3BCD0" w14:textId="77777777" w:rsidR="00FA4AA8" w:rsidRDefault="00FA4AA8">
            <w:pPr>
              <w:pStyle w:val="TableParagraph"/>
              <w:rPr>
                <w:sz w:val="20"/>
              </w:rPr>
            </w:pPr>
          </w:p>
          <w:p w14:paraId="309F4C88" w14:textId="77777777" w:rsidR="00FA4AA8" w:rsidRDefault="0015611F">
            <w:pPr>
              <w:pStyle w:val="TableParagraph"/>
              <w:spacing w:before="127"/>
              <w:ind w:left="285"/>
              <w:rPr>
                <w:b/>
                <w:sz w:val="18"/>
              </w:rPr>
            </w:pPr>
            <w:r>
              <w:rPr>
                <w:b/>
                <w:sz w:val="18"/>
              </w:rPr>
              <w:t>2017</w:t>
            </w:r>
          </w:p>
        </w:tc>
      </w:tr>
      <w:tr w:rsidR="00FA4AA8" w14:paraId="7BC3E143" w14:textId="77777777">
        <w:trPr>
          <w:trHeight w:val="313"/>
        </w:trPr>
        <w:tc>
          <w:tcPr>
            <w:tcW w:w="5943" w:type="dxa"/>
          </w:tcPr>
          <w:p w14:paraId="60FC9EDA" w14:textId="77777777" w:rsidR="00FA4AA8" w:rsidRDefault="00FA4AA8">
            <w:pPr>
              <w:pStyle w:val="TableParagraph"/>
              <w:rPr>
                <w:rFonts w:ascii="Times New Roman"/>
                <w:sz w:val="18"/>
              </w:rPr>
            </w:pPr>
          </w:p>
        </w:tc>
        <w:tc>
          <w:tcPr>
            <w:tcW w:w="1429" w:type="dxa"/>
          </w:tcPr>
          <w:p w14:paraId="5666ED6E" w14:textId="77777777" w:rsidR="00FA4AA8" w:rsidRDefault="0015611F">
            <w:pPr>
              <w:pStyle w:val="TableParagraph"/>
              <w:spacing w:before="30"/>
              <w:ind w:left="878" w:right="9"/>
              <w:jc w:val="center"/>
              <w:rPr>
                <w:b/>
                <w:sz w:val="18"/>
              </w:rPr>
            </w:pPr>
            <w:r>
              <w:rPr>
                <w:b/>
                <w:sz w:val="18"/>
              </w:rPr>
              <w:t>Notes</w:t>
            </w:r>
          </w:p>
        </w:tc>
        <w:tc>
          <w:tcPr>
            <w:tcW w:w="1455" w:type="dxa"/>
          </w:tcPr>
          <w:p w14:paraId="45AF85CE" w14:textId="77777777" w:rsidR="00FA4AA8" w:rsidRDefault="0015611F">
            <w:pPr>
              <w:pStyle w:val="TableParagraph"/>
              <w:spacing w:before="30"/>
              <w:ind w:right="161"/>
              <w:jc w:val="center"/>
              <w:rPr>
                <w:b/>
                <w:sz w:val="18"/>
              </w:rPr>
            </w:pPr>
            <w:r>
              <w:rPr>
                <w:b/>
                <w:sz w:val="18"/>
              </w:rPr>
              <w:t>$</w:t>
            </w:r>
          </w:p>
        </w:tc>
        <w:tc>
          <w:tcPr>
            <w:tcW w:w="1139" w:type="dxa"/>
          </w:tcPr>
          <w:p w14:paraId="79ACF870" w14:textId="77777777" w:rsidR="00FA4AA8" w:rsidRDefault="0015611F">
            <w:pPr>
              <w:pStyle w:val="TableParagraph"/>
              <w:spacing w:before="30"/>
              <w:ind w:right="163"/>
              <w:jc w:val="center"/>
              <w:rPr>
                <w:b/>
                <w:sz w:val="18"/>
              </w:rPr>
            </w:pPr>
            <w:r>
              <w:rPr>
                <w:b/>
                <w:sz w:val="18"/>
              </w:rPr>
              <w:t>$</w:t>
            </w:r>
          </w:p>
        </w:tc>
      </w:tr>
      <w:tr w:rsidR="00FA4AA8" w14:paraId="771E36D1" w14:textId="77777777">
        <w:trPr>
          <w:trHeight w:val="302"/>
        </w:trPr>
        <w:tc>
          <w:tcPr>
            <w:tcW w:w="5943" w:type="dxa"/>
          </w:tcPr>
          <w:p w14:paraId="24A5BBDB" w14:textId="77777777" w:rsidR="00FA4AA8" w:rsidRDefault="0015611F">
            <w:pPr>
              <w:pStyle w:val="TableParagraph"/>
              <w:spacing w:before="70"/>
              <w:ind w:left="76"/>
              <w:rPr>
                <w:b/>
                <w:sz w:val="18"/>
              </w:rPr>
            </w:pPr>
            <w:r>
              <w:rPr>
                <w:b/>
                <w:sz w:val="18"/>
              </w:rPr>
              <w:t>Cash flows from operating activities:</w:t>
            </w:r>
          </w:p>
        </w:tc>
        <w:tc>
          <w:tcPr>
            <w:tcW w:w="1429" w:type="dxa"/>
          </w:tcPr>
          <w:p w14:paraId="0524856C" w14:textId="77777777" w:rsidR="00FA4AA8" w:rsidRDefault="00FA4AA8">
            <w:pPr>
              <w:pStyle w:val="TableParagraph"/>
              <w:rPr>
                <w:rFonts w:ascii="Times New Roman"/>
                <w:sz w:val="18"/>
              </w:rPr>
            </w:pPr>
          </w:p>
        </w:tc>
        <w:tc>
          <w:tcPr>
            <w:tcW w:w="1455" w:type="dxa"/>
          </w:tcPr>
          <w:p w14:paraId="651F30F0" w14:textId="77777777" w:rsidR="00FA4AA8" w:rsidRDefault="00FA4AA8">
            <w:pPr>
              <w:pStyle w:val="TableParagraph"/>
              <w:rPr>
                <w:rFonts w:ascii="Times New Roman"/>
                <w:sz w:val="18"/>
              </w:rPr>
            </w:pPr>
          </w:p>
        </w:tc>
        <w:tc>
          <w:tcPr>
            <w:tcW w:w="1139" w:type="dxa"/>
          </w:tcPr>
          <w:p w14:paraId="78A54392" w14:textId="77777777" w:rsidR="00FA4AA8" w:rsidRDefault="00FA4AA8">
            <w:pPr>
              <w:pStyle w:val="TableParagraph"/>
              <w:rPr>
                <w:rFonts w:ascii="Times New Roman"/>
                <w:sz w:val="18"/>
              </w:rPr>
            </w:pPr>
          </w:p>
        </w:tc>
      </w:tr>
      <w:tr w:rsidR="00FA4AA8" w14:paraId="717CE761" w14:textId="77777777">
        <w:trPr>
          <w:trHeight w:val="259"/>
        </w:trPr>
        <w:tc>
          <w:tcPr>
            <w:tcW w:w="5943" w:type="dxa"/>
          </w:tcPr>
          <w:p w14:paraId="5D29D6A7" w14:textId="77777777" w:rsidR="00FA4AA8" w:rsidRDefault="0015611F">
            <w:pPr>
              <w:pStyle w:val="TableParagraph"/>
              <w:spacing w:before="19"/>
              <w:ind w:left="76"/>
              <w:rPr>
                <w:sz w:val="18"/>
              </w:rPr>
            </w:pPr>
            <w:r>
              <w:rPr>
                <w:sz w:val="18"/>
              </w:rPr>
              <w:t>Receipts for services</w:t>
            </w:r>
          </w:p>
        </w:tc>
        <w:tc>
          <w:tcPr>
            <w:tcW w:w="1429" w:type="dxa"/>
          </w:tcPr>
          <w:p w14:paraId="291C9FB5" w14:textId="77777777" w:rsidR="00FA4AA8" w:rsidRDefault="00FA4AA8">
            <w:pPr>
              <w:pStyle w:val="TableParagraph"/>
              <w:rPr>
                <w:rFonts w:ascii="Times New Roman"/>
                <w:sz w:val="18"/>
              </w:rPr>
            </w:pPr>
          </w:p>
        </w:tc>
        <w:tc>
          <w:tcPr>
            <w:tcW w:w="1455" w:type="dxa"/>
          </w:tcPr>
          <w:p w14:paraId="4A27B0D4" w14:textId="77777777" w:rsidR="00FA4AA8" w:rsidRDefault="0015611F">
            <w:pPr>
              <w:pStyle w:val="TableParagraph"/>
              <w:spacing w:before="22"/>
              <w:ind w:right="245"/>
              <w:jc w:val="right"/>
              <w:rPr>
                <w:b/>
                <w:sz w:val="18"/>
              </w:rPr>
            </w:pPr>
            <w:r>
              <w:rPr>
                <w:b/>
                <w:sz w:val="18"/>
              </w:rPr>
              <w:t>7,142,798</w:t>
            </w:r>
          </w:p>
        </w:tc>
        <w:tc>
          <w:tcPr>
            <w:tcW w:w="1139" w:type="dxa"/>
          </w:tcPr>
          <w:p w14:paraId="6FB79931" w14:textId="77777777" w:rsidR="00FA4AA8" w:rsidRDefault="0015611F">
            <w:pPr>
              <w:pStyle w:val="TableParagraph"/>
              <w:spacing w:before="22"/>
              <w:ind w:left="242"/>
              <w:rPr>
                <w:sz w:val="18"/>
              </w:rPr>
            </w:pPr>
            <w:r>
              <w:rPr>
                <w:sz w:val="18"/>
              </w:rPr>
              <w:t>7,054,109</w:t>
            </w:r>
          </w:p>
        </w:tc>
      </w:tr>
      <w:tr w:rsidR="00FA4AA8" w14:paraId="5114D126" w14:textId="77777777">
        <w:trPr>
          <w:trHeight w:val="264"/>
        </w:trPr>
        <w:tc>
          <w:tcPr>
            <w:tcW w:w="5943" w:type="dxa"/>
          </w:tcPr>
          <w:p w14:paraId="5FC57ABC" w14:textId="77777777" w:rsidR="00FA4AA8" w:rsidRDefault="0015611F">
            <w:pPr>
              <w:pStyle w:val="TableParagraph"/>
              <w:spacing w:before="24"/>
              <w:ind w:left="76"/>
              <w:rPr>
                <w:sz w:val="18"/>
              </w:rPr>
            </w:pPr>
            <w:r>
              <w:rPr>
                <w:sz w:val="18"/>
              </w:rPr>
              <w:t>Payments to suppliers and employees (inclusive of GST)</w:t>
            </w:r>
          </w:p>
        </w:tc>
        <w:tc>
          <w:tcPr>
            <w:tcW w:w="1429" w:type="dxa"/>
          </w:tcPr>
          <w:p w14:paraId="360259EF" w14:textId="77777777" w:rsidR="00FA4AA8" w:rsidRDefault="00FA4AA8">
            <w:pPr>
              <w:pStyle w:val="TableParagraph"/>
              <w:rPr>
                <w:rFonts w:ascii="Times New Roman"/>
                <w:sz w:val="18"/>
              </w:rPr>
            </w:pPr>
          </w:p>
        </w:tc>
        <w:tc>
          <w:tcPr>
            <w:tcW w:w="1455" w:type="dxa"/>
          </w:tcPr>
          <w:p w14:paraId="13410549" w14:textId="77777777" w:rsidR="00FA4AA8" w:rsidRDefault="0015611F">
            <w:pPr>
              <w:pStyle w:val="TableParagraph"/>
              <w:spacing w:before="26"/>
              <w:ind w:right="185"/>
              <w:jc w:val="right"/>
              <w:rPr>
                <w:b/>
                <w:sz w:val="18"/>
              </w:rPr>
            </w:pPr>
            <w:r>
              <w:rPr>
                <w:b/>
                <w:sz w:val="18"/>
              </w:rPr>
              <w:t>(7,012,229)</w:t>
            </w:r>
          </w:p>
        </w:tc>
        <w:tc>
          <w:tcPr>
            <w:tcW w:w="1139" w:type="dxa"/>
          </w:tcPr>
          <w:p w14:paraId="407484BB" w14:textId="77777777" w:rsidR="00FA4AA8" w:rsidRDefault="0015611F">
            <w:pPr>
              <w:pStyle w:val="TableParagraph"/>
              <w:spacing w:before="26"/>
              <w:ind w:right="28"/>
              <w:jc w:val="right"/>
              <w:rPr>
                <w:sz w:val="18"/>
              </w:rPr>
            </w:pPr>
            <w:r>
              <w:rPr>
                <w:sz w:val="18"/>
              </w:rPr>
              <w:t>(6,646,865)</w:t>
            </w:r>
          </w:p>
        </w:tc>
      </w:tr>
      <w:tr w:rsidR="00FA4AA8" w14:paraId="09C24596" w14:textId="77777777">
        <w:trPr>
          <w:trHeight w:val="258"/>
        </w:trPr>
        <w:tc>
          <w:tcPr>
            <w:tcW w:w="5943" w:type="dxa"/>
          </w:tcPr>
          <w:p w14:paraId="26A88921" w14:textId="77777777" w:rsidR="00FA4AA8" w:rsidRDefault="0015611F">
            <w:pPr>
              <w:pStyle w:val="TableParagraph"/>
              <w:spacing w:before="24"/>
              <w:ind w:left="76"/>
              <w:rPr>
                <w:sz w:val="18"/>
              </w:rPr>
            </w:pPr>
            <w:r>
              <w:rPr>
                <w:sz w:val="18"/>
              </w:rPr>
              <w:t>Interest received</w:t>
            </w:r>
          </w:p>
        </w:tc>
        <w:tc>
          <w:tcPr>
            <w:tcW w:w="1429" w:type="dxa"/>
          </w:tcPr>
          <w:p w14:paraId="2AA1872A" w14:textId="77777777" w:rsidR="00FA4AA8" w:rsidRDefault="00FA4AA8">
            <w:pPr>
              <w:pStyle w:val="TableParagraph"/>
              <w:rPr>
                <w:rFonts w:ascii="Times New Roman"/>
                <w:sz w:val="18"/>
              </w:rPr>
            </w:pPr>
          </w:p>
        </w:tc>
        <w:tc>
          <w:tcPr>
            <w:tcW w:w="1455" w:type="dxa"/>
            <w:tcBorders>
              <w:bottom w:val="single" w:sz="8" w:space="0" w:color="000000"/>
            </w:tcBorders>
          </w:tcPr>
          <w:p w14:paraId="11CB1760" w14:textId="77777777" w:rsidR="00FA4AA8" w:rsidRDefault="0015611F">
            <w:pPr>
              <w:pStyle w:val="TableParagraph"/>
              <w:spacing w:before="26"/>
              <w:ind w:right="245"/>
              <w:jc w:val="right"/>
              <w:rPr>
                <w:b/>
                <w:sz w:val="18"/>
              </w:rPr>
            </w:pPr>
            <w:r>
              <w:rPr>
                <w:b/>
                <w:sz w:val="18"/>
              </w:rPr>
              <w:t>56,128</w:t>
            </w:r>
          </w:p>
        </w:tc>
        <w:tc>
          <w:tcPr>
            <w:tcW w:w="1139" w:type="dxa"/>
            <w:tcBorders>
              <w:bottom w:val="single" w:sz="8" w:space="0" w:color="000000"/>
            </w:tcBorders>
          </w:tcPr>
          <w:p w14:paraId="374C6B6F" w14:textId="77777777" w:rsidR="00FA4AA8" w:rsidRDefault="0015611F">
            <w:pPr>
              <w:pStyle w:val="TableParagraph"/>
              <w:spacing w:before="26"/>
              <w:ind w:right="88"/>
              <w:jc w:val="right"/>
              <w:rPr>
                <w:sz w:val="18"/>
              </w:rPr>
            </w:pPr>
            <w:r>
              <w:rPr>
                <w:sz w:val="18"/>
              </w:rPr>
              <w:t>50,563</w:t>
            </w:r>
          </w:p>
        </w:tc>
      </w:tr>
      <w:tr w:rsidR="00FA4AA8" w14:paraId="3D0457B9" w14:textId="77777777">
        <w:trPr>
          <w:trHeight w:val="318"/>
        </w:trPr>
        <w:tc>
          <w:tcPr>
            <w:tcW w:w="5943" w:type="dxa"/>
          </w:tcPr>
          <w:p w14:paraId="7CF4512C" w14:textId="77777777" w:rsidR="00FA4AA8" w:rsidRDefault="0015611F">
            <w:pPr>
              <w:pStyle w:val="TableParagraph"/>
              <w:spacing w:before="28"/>
              <w:ind w:left="76"/>
              <w:rPr>
                <w:b/>
                <w:sz w:val="18"/>
              </w:rPr>
            </w:pPr>
            <w:r>
              <w:rPr>
                <w:b/>
                <w:sz w:val="18"/>
              </w:rPr>
              <w:t>Net cash provided by operating activities</w:t>
            </w:r>
          </w:p>
        </w:tc>
        <w:tc>
          <w:tcPr>
            <w:tcW w:w="1429" w:type="dxa"/>
          </w:tcPr>
          <w:p w14:paraId="43DB0257" w14:textId="77777777" w:rsidR="00FA4AA8" w:rsidRDefault="00FA4AA8">
            <w:pPr>
              <w:pStyle w:val="TableParagraph"/>
              <w:rPr>
                <w:rFonts w:ascii="Times New Roman"/>
                <w:sz w:val="18"/>
              </w:rPr>
            </w:pPr>
          </w:p>
        </w:tc>
        <w:tc>
          <w:tcPr>
            <w:tcW w:w="1455" w:type="dxa"/>
            <w:tcBorders>
              <w:top w:val="single" w:sz="8" w:space="0" w:color="000000"/>
              <w:bottom w:val="single" w:sz="8" w:space="0" w:color="000000"/>
            </w:tcBorders>
          </w:tcPr>
          <w:p w14:paraId="43F59919" w14:textId="77777777" w:rsidR="00FA4AA8" w:rsidRDefault="0015611F">
            <w:pPr>
              <w:pStyle w:val="TableParagraph"/>
              <w:spacing w:before="115" w:line="183" w:lineRule="exact"/>
              <w:ind w:right="245"/>
              <w:jc w:val="right"/>
              <w:rPr>
                <w:b/>
                <w:sz w:val="18"/>
              </w:rPr>
            </w:pPr>
            <w:r>
              <w:rPr>
                <w:b/>
                <w:sz w:val="18"/>
              </w:rPr>
              <w:t>186,697</w:t>
            </w:r>
          </w:p>
        </w:tc>
        <w:tc>
          <w:tcPr>
            <w:tcW w:w="1139" w:type="dxa"/>
            <w:tcBorders>
              <w:top w:val="single" w:sz="8" w:space="0" w:color="000000"/>
              <w:bottom w:val="single" w:sz="8" w:space="0" w:color="000000"/>
            </w:tcBorders>
          </w:tcPr>
          <w:p w14:paraId="3FFF3796" w14:textId="77777777" w:rsidR="00FA4AA8" w:rsidRDefault="0015611F">
            <w:pPr>
              <w:pStyle w:val="TableParagraph"/>
              <w:spacing w:before="115" w:line="183" w:lineRule="exact"/>
              <w:ind w:left="393"/>
              <w:rPr>
                <w:sz w:val="18"/>
              </w:rPr>
            </w:pPr>
            <w:r>
              <w:rPr>
                <w:sz w:val="18"/>
              </w:rPr>
              <w:t>457,807</w:t>
            </w:r>
          </w:p>
        </w:tc>
      </w:tr>
      <w:tr w:rsidR="00FA4AA8" w14:paraId="2EE50419" w14:textId="77777777">
        <w:trPr>
          <w:trHeight w:val="880"/>
        </w:trPr>
        <w:tc>
          <w:tcPr>
            <w:tcW w:w="5943" w:type="dxa"/>
          </w:tcPr>
          <w:p w14:paraId="6AA63310" w14:textId="77777777" w:rsidR="00FA4AA8" w:rsidRDefault="00FA4AA8">
            <w:pPr>
              <w:pStyle w:val="TableParagraph"/>
              <w:rPr>
                <w:sz w:val="20"/>
              </w:rPr>
            </w:pPr>
          </w:p>
          <w:p w14:paraId="0501EB5F" w14:textId="77777777" w:rsidR="00FA4AA8" w:rsidRDefault="0015611F">
            <w:pPr>
              <w:pStyle w:val="TableParagraph"/>
              <w:spacing w:before="178"/>
              <w:ind w:left="76"/>
              <w:rPr>
                <w:b/>
                <w:sz w:val="18"/>
              </w:rPr>
            </w:pPr>
            <w:r>
              <w:rPr>
                <w:b/>
                <w:sz w:val="18"/>
              </w:rPr>
              <w:t>Cash flows from investing activities:</w:t>
            </w:r>
          </w:p>
          <w:p w14:paraId="35AF46F9" w14:textId="77777777" w:rsidR="00FA4AA8" w:rsidRDefault="0015611F">
            <w:pPr>
              <w:pStyle w:val="TableParagraph"/>
              <w:spacing w:before="25"/>
              <w:ind w:left="76"/>
              <w:rPr>
                <w:sz w:val="18"/>
              </w:rPr>
            </w:pPr>
            <w:r>
              <w:rPr>
                <w:sz w:val="18"/>
              </w:rPr>
              <w:t>Loans to related parties</w:t>
            </w:r>
          </w:p>
        </w:tc>
        <w:tc>
          <w:tcPr>
            <w:tcW w:w="1429" w:type="dxa"/>
          </w:tcPr>
          <w:p w14:paraId="20427F6C" w14:textId="77777777" w:rsidR="00FA4AA8" w:rsidRDefault="00FA4AA8">
            <w:pPr>
              <w:pStyle w:val="TableParagraph"/>
              <w:rPr>
                <w:rFonts w:ascii="Times New Roman"/>
                <w:sz w:val="18"/>
              </w:rPr>
            </w:pPr>
          </w:p>
        </w:tc>
        <w:tc>
          <w:tcPr>
            <w:tcW w:w="1455" w:type="dxa"/>
            <w:tcBorders>
              <w:top w:val="single" w:sz="8" w:space="0" w:color="000000"/>
            </w:tcBorders>
          </w:tcPr>
          <w:p w14:paraId="321F1838" w14:textId="77777777" w:rsidR="00FA4AA8" w:rsidRDefault="00FA4AA8">
            <w:pPr>
              <w:pStyle w:val="TableParagraph"/>
              <w:rPr>
                <w:sz w:val="20"/>
              </w:rPr>
            </w:pPr>
          </w:p>
          <w:p w14:paraId="6DF0E8D8" w14:textId="77777777" w:rsidR="00FA4AA8" w:rsidRDefault="00FA4AA8">
            <w:pPr>
              <w:pStyle w:val="TableParagraph"/>
              <w:rPr>
                <w:sz w:val="20"/>
              </w:rPr>
            </w:pPr>
          </w:p>
          <w:p w14:paraId="4E2191C4" w14:textId="77777777" w:rsidR="00FA4AA8" w:rsidRDefault="00FA4AA8">
            <w:pPr>
              <w:pStyle w:val="TableParagraph"/>
              <w:spacing w:before="10"/>
              <w:rPr>
                <w:sz w:val="15"/>
              </w:rPr>
            </w:pPr>
          </w:p>
          <w:p w14:paraId="78E1EA3C" w14:textId="77777777" w:rsidR="00FA4AA8" w:rsidRDefault="0015611F">
            <w:pPr>
              <w:pStyle w:val="TableParagraph"/>
              <w:ind w:right="185"/>
              <w:jc w:val="right"/>
              <w:rPr>
                <w:b/>
                <w:sz w:val="18"/>
              </w:rPr>
            </w:pPr>
            <w:r>
              <w:rPr>
                <w:b/>
                <w:sz w:val="18"/>
              </w:rPr>
              <w:t>(32,854)</w:t>
            </w:r>
          </w:p>
        </w:tc>
        <w:tc>
          <w:tcPr>
            <w:tcW w:w="1139" w:type="dxa"/>
            <w:tcBorders>
              <w:top w:val="single" w:sz="8" w:space="0" w:color="000000"/>
            </w:tcBorders>
          </w:tcPr>
          <w:p w14:paraId="0DE3FE6E" w14:textId="77777777" w:rsidR="00FA4AA8" w:rsidRDefault="00FA4AA8">
            <w:pPr>
              <w:pStyle w:val="TableParagraph"/>
              <w:rPr>
                <w:sz w:val="20"/>
              </w:rPr>
            </w:pPr>
          </w:p>
          <w:p w14:paraId="7EA47489" w14:textId="77777777" w:rsidR="00FA4AA8" w:rsidRDefault="00FA4AA8">
            <w:pPr>
              <w:pStyle w:val="TableParagraph"/>
              <w:rPr>
                <w:sz w:val="20"/>
              </w:rPr>
            </w:pPr>
          </w:p>
          <w:p w14:paraId="06179CEA" w14:textId="77777777" w:rsidR="00FA4AA8" w:rsidRDefault="00FA4AA8">
            <w:pPr>
              <w:pStyle w:val="TableParagraph"/>
              <w:spacing w:before="10"/>
              <w:rPr>
                <w:sz w:val="15"/>
              </w:rPr>
            </w:pPr>
          </w:p>
          <w:p w14:paraId="52EB7B46" w14:textId="77777777" w:rsidR="00FA4AA8" w:rsidRDefault="0015611F">
            <w:pPr>
              <w:pStyle w:val="TableParagraph"/>
              <w:ind w:right="28"/>
              <w:jc w:val="right"/>
              <w:rPr>
                <w:sz w:val="18"/>
              </w:rPr>
            </w:pPr>
            <w:r>
              <w:rPr>
                <w:sz w:val="18"/>
              </w:rPr>
              <w:t>(623,012)</w:t>
            </w:r>
          </w:p>
        </w:tc>
      </w:tr>
      <w:tr w:rsidR="00FA4AA8" w14:paraId="0C4DDA9A" w14:textId="77777777">
        <w:trPr>
          <w:trHeight w:val="258"/>
        </w:trPr>
        <w:tc>
          <w:tcPr>
            <w:tcW w:w="5943" w:type="dxa"/>
          </w:tcPr>
          <w:p w14:paraId="22DAFA7E" w14:textId="77777777" w:rsidR="00FA4AA8" w:rsidRDefault="0015611F">
            <w:pPr>
              <w:pStyle w:val="TableParagraph"/>
              <w:spacing w:before="24"/>
              <w:ind w:left="76"/>
              <w:rPr>
                <w:sz w:val="18"/>
              </w:rPr>
            </w:pPr>
            <w:r>
              <w:rPr>
                <w:sz w:val="18"/>
              </w:rPr>
              <w:t>Payment for property, plant and equipment</w:t>
            </w:r>
          </w:p>
        </w:tc>
        <w:tc>
          <w:tcPr>
            <w:tcW w:w="1429" w:type="dxa"/>
          </w:tcPr>
          <w:p w14:paraId="45C86B38" w14:textId="77777777" w:rsidR="00FA4AA8" w:rsidRDefault="00FA4AA8">
            <w:pPr>
              <w:pStyle w:val="TableParagraph"/>
              <w:rPr>
                <w:rFonts w:ascii="Times New Roman"/>
                <w:sz w:val="18"/>
              </w:rPr>
            </w:pPr>
          </w:p>
        </w:tc>
        <w:tc>
          <w:tcPr>
            <w:tcW w:w="1455" w:type="dxa"/>
            <w:tcBorders>
              <w:bottom w:val="single" w:sz="8" w:space="0" w:color="000000"/>
            </w:tcBorders>
          </w:tcPr>
          <w:p w14:paraId="34C62D12" w14:textId="77777777" w:rsidR="00FA4AA8" w:rsidRDefault="0015611F">
            <w:pPr>
              <w:pStyle w:val="TableParagraph"/>
              <w:spacing w:before="26"/>
              <w:ind w:right="185"/>
              <w:jc w:val="right"/>
              <w:rPr>
                <w:b/>
                <w:sz w:val="18"/>
              </w:rPr>
            </w:pPr>
            <w:r>
              <w:rPr>
                <w:b/>
                <w:sz w:val="18"/>
              </w:rPr>
              <w:t>(210,740)</w:t>
            </w:r>
          </w:p>
        </w:tc>
        <w:tc>
          <w:tcPr>
            <w:tcW w:w="1139" w:type="dxa"/>
            <w:tcBorders>
              <w:bottom w:val="single" w:sz="8" w:space="0" w:color="000000"/>
            </w:tcBorders>
          </w:tcPr>
          <w:p w14:paraId="31BBCA55" w14:textId="77777777" w:rsidR="00FA4AA8" w:rsidRDefault="0015611F">
            <w:pPr>
              <w:pStyle w:val="TableParagraph"/>
              <w:spacing w:before="26"/>
              <w:ind w:right="88"/>
              <w:jc w:val="right"/>
              <w:rPr>
                <w:sz w:val="18"/>
              </w:rPr>
            </w:pPr>
            <w:r>
              <w:rPr>
                <w:sz w:val="18"/>
              </w:rPr>
              <w:t>-</w:t>
            </w:r>
          </w:p>
        </w:tc>
      </w:tr>
      <w:tr w:rsidR="00FA4AA8" w14:paraId="18AD4709" w14:textId="77777777">
        <w:trPr>
          <w:trHeight w:val="318"/>
        </w:trPr>
        <w:tc>
          <w:tcPr>
            <w:tcW w:w="5943" w:type="dxa"/>
          </w:tcPr>
          <w:p w14:paraId="21C7F082" w14:textId="77777777" w:rsidR="00FA4AA8" w:rsidRDefault="0015611F">
            <w:pPr>
              <w:pStyle w:val="TableParagraph"/>
              <w:spacing w:before="31"/>
              <w:ind w:left="76"/>
              <w:rPr>
                <w:b/>
                <w:sz w:val="18"/>
              </w:rPr>
            </w:pPr>
            <w:r>
              <w:rPr>
                <w:b/>
                <w:sz w:val="18"/>
              </w:rPr>
              <w:t>Net cash used in investing activities</w:t>
            </w:r>
          </w:p>
        </w:tc>
        <w:tc>
          <w:tcPr>
            <w:tcW w:w="1429" w:type="dxa"/>
          </w:tcPr>
          <w:p w14:paraId="0E62654D" w14:textId="77777777" w:rsidR="00FA4AA8" w:rsidRDefault="00FA4AA8">
            <w:pPr>
              <w:pStyle w:val="TableParagraph"/>
              <w:rPr>
                <w:rFonts w:ascii="Times New Roman"/>
                <w:sz w:val="18"/>
              </w:rPr>
            </w:pPr>
          </w:p>
        </w:tc>
        <w:tc>
          <w:tcPr>
            <w:tcW w:w="1455" w:type="dxa"/>
            <w:tcBorders>
              <w:top w:val="single" w:sz="8" w:space="0" w:color="000000"/>
              <w:bottom w:val="single" w:sz="8" w:space="0" w:color="000000"/>
            </w:tcBorders>
          </w:tcPr>
          <w:p w14:paraId="6FD4E5AE" w14:textId="77777777" w:rsidR="00FA4AA8" w:rsidRDefault="0015611F">
            <w:pPr>
              <w:pStyle w:val="TableParagraph"/>
              <w:spacing w:before="115" w:line="183" w:lineRule="exact"/>
              <w:ind w:right="185"/>
              <w:jc w:val="right"/>
              <w:rPr>
                <w:b/>
                <w:sz w:val="18"/>
              </w:rPr>
            </w:pPr>
            <w:r>
              <w:rPr>
                <w:b/>
                <w:sz w:val="18"/>
              </w:rPr>
              <w:t>(243,594)</w:t>
            </w:r>
          </w:p>
        </w:tc>
        <w:tc>
          <w:tcPr>
            <w:tcW w:w="1139" w:type="dxa"/>
            <w:tcBorders>
              <w:top w:val="single" w:sz="8" w:space="0" w:color="000000"/>
              <w:bottom w:val="single" w:sz="8" w:space="0" w:color="000000"/>
            </w:tcBorders>
          </w:tcPr>
          <w:p w14:paraId="557C3294" w14:textId="77777777" w:rsidR="00FA4AA8" w:rsidRDefault="0015611F">
            <w:pPr>
              <w:pStyle w:val="TableParagraph"/>
              <w:spacing w:before="115" w:line="183" w:lineRule="exact"/>
              <w:ind w:right="28"/>
              <w:jc w:val="right"/>
              <w:rPr>
                <w:sz w:val="18"/>
              </w:rPr>
            </w:pPr>
            <w:r>
              <w:rPr>
                <w:sz w:val="18"/>
              </w:rPr>
              <w:t>(623,012)</w:t>
            </w:r>
          </w:p>
        </w:tc>
      </w:tr>
      <w:tr w:rsidR="00FA4AA8" w14:paraId="17C35C6E" w14:textId="77777777">
        <w:trPr>
          <w:trHeight w:val="673"/>
        </w:trPr>
        <w:tc>
          <w:tcPr>
            <w:tcW w:w="5943" w:type="dxa"/>
          </w:tcPr>
          <w:p w14:paraId="4A8AF3FE" w14:textId="77777777" w:rsidR="00FA4AA8" w:rsidRDefault="00FA4AA8">
            <w:pPr>
              <w:pStyle w:val="TableParagraph"/>
              <w:rPr>
                <w:sz w:val="20"/>
              </w:rPr>
            </w:pPr>
          </w:p>
          <w:p w14:paraId="4FBF3B4D" w14:textId="77777777" w:rsidR="00FA4AA8" w:rsidRDefault="0015611F">
            <w:pPr>
              <w:pStyle w:val="TableParagraph"/>
              <w:spacing w:before="178"/>
              <w:ind w:left="76"/>
              <w:rPr>
                <w:b/>
                <w:sz w:val="18"/>
              </w:rPr>
            </w:pPr>
            <w:r>
              <w:rPr>
                <w:b/>
                <w:sz w:val="18"/>
              </w:rPr>
              <w:t>Cash flows from financing activities:</w:t>
            </w:r>
          </w:p>
        </w:tc>
        <w:tc>
          <w:tcPr>
            <w:tcW w:w="1429" w:type="dxa"/>
          </w:tcPr>
          <w:p w14:paraId="7652E59E" w14:textId="77777777" w:rsidR="00FA4AA8" w:rsidRDefault="00FA4AA8">
            <w:pPr>
              <w:pStyle w:val="TableParagraph"/>
              <w:rPr>
                <w:rFonts w:ascii="Times New Roman"/>
                <w:sz w:val="18"/>
              </w:rPr>
            </w:pPr>
          </w:p>
        </w:tc>
        <w:tc>
          <w:tcPr>
            <w:tcW w:w="1455" w:type="dxa"/>
            <w:tcBorders>
              <w:top w:val="single" w:sz="8" w:space="0" w:color="000000"/>
            </w:tcBorders>
          </w:tcPr>
          <w:p w14:paraId="653FC6C6" w14:textId="77777777" w:rsidR="00FA4AA8" w:rsidRDefault="00FA4AA8">
            <w:pPr>
              <w:pStyle w:val="TableParagraph"/>
              <w:rPr>
                <w:rFonts w:ascii="Times New Roman"/>
                <w:sz w:val="18"/>
              </w:rPr>
            </w:pPr>
          </w:p>
        </w:tc>
        <w:tc>
          <w:tcPr>
            <w:tcW w:w="1139" w:type="dxa"/>
            <w:tcBorders>
              <w:top w:val="single" w:sz="8" w:space="0" w:color="000000"/>
            </w:tcBorders>
          </w:tcPr>
          <w:p w14:paraId="5AB974D1" w14:textId="77777777" w:rsidR="00FA4AA8" w:rsidRDefault="00FA4AA8">
            <w:pPr>
              <w:pStyle w:val="TableParagraph"/>
              <w:rPr>
                <w:rFonts w:ascii="Times New Roman"/>
                <w:sz w:val="18"/>
              </w:rPr>
            </w:pPr>
          </w:p>
        </w:tc>
      </w:tr>
      <w:tr w:rsidR="00FA4AA8" w14:paraId="127AE8A6" w14:textId="77777777">
        <w:trPr>
          <w:trHeight w:val="256"/>
        </w:trPr>
        <w:tc>
          <w:tcPr>
            <w:tcW w:w="5943" w:type="dxa"/>
          </w:tcPr>
          <w:p w14:paraId="3CBDAE05" w14:textId="77777777" w:rsidR="00FA4AA8" w:rsidRDefault="0015611F">
            <w:pPr>
              <w:pStyle w:val="TableParagraph"/>
              <w:spacing w:line="176" w:lineRule="exact"/>
              <w:ind w:left="76"/>
              <w:rPr>
                <w:b/>
                <w:sz w:val="18"/>
              </w:rPr>
            </w:pPr>
            <w:r>
              <w:rPr>
                <w:b/>
                <w:sz w:val="18"/>
              </w:rPr>
              <w:t>Net cash used in financing activities</w:t>
            </w:r>
          </w:p>
        </w:tc>
        <w:tc>
          <w:tcPr>
            <w:tcW w:w="1429" w:type="dxa"/>
          </w:tcPr>
          <w:p w14:paraId="53C9C949" w14:textId="77777777" w:rsidR="00FA4AA8" w:rsidRDefault="00FA4AA8">
            <w:pPr>
              <w:pStyle w:val="TableParagraph"/>
              <w:rPr>
                <w:rFonts w:ascii="Times New Roman"/>
                <w:sz w:val="18"/>
              </w:rPr>
            </w:pPr>
          </w:p>
        </w:tc>
        <w:tc>
          <w:tcPr>
            <w:tcW w:w="1455" w:type="dxa"/>
            <w:tcBorders>
              <w:bottom w:val="single" w:sz="8" w:space="0" w:color="000000"/>
            </w:tcBorders>
          </w:tcPr>
          <w:p w14:paraId="7F3BDCB1" w14:textId="77777777" w:rsidR="00FA4AA8" w:rsidRDefault="0015611F">
            <w:pPr>
              <w:pStyle w:val="TableParagraph"/>
              <w:spacing w:before="53" w:line="183" w:lineRule="exact"/>
              <w:ind w:right="245"/>
              <w:jc w:val="right"/>
              <w:rPr>
                <w:b/>
                <w:sz w:val="18"/>
              </w:rPr>
            </w:pPr>
            <w:r>
              <w:rPr>
                <w:b/>
                <w:sz w:val="18"/>
              </w:rPr>
              <w:t>-</w:t>
            </w:r>
          </w:p>
        </w:tc>
        <w:tc>
          <w:tcPr>
            <w:tcW w:w="1139" w:type="dxa"/>
            <w:tcBorders>
              <w:bottom w:val="single" w:sz="8" w:space="0" w:color="000000"/>
            </w:tcBorders>
          </w:tcPr>
          <w:p w14:paraId="368E7713" w14:textId="77777777" w:rsidR="00FA4AA8" w:rsidRDefault="0015611F">
            <w:pPr>
              <w:pStyle w:val="TableParagraph"/>
              <w:spacing w:before="53" w:line="183" w:lineRule="exact"/>
              <w:ind w:right="88"/>
              <w:jc w:val="right"/>
              <w:rPr>
                <w:sz w:val="18"/>
              </w:rPr>
            </w:pPr>
            <w:r>
              <w:rPr>
                <w:sz w:val="18"/>
              </w:rPr>
              <w:t>-</w:t>
            </w:r>
          </w:p>
        </w:tc>
      </w:tr>
      <w:tr w:rsidR="00FA4AA8" w14:paraId="76538EA9" w14:textId="77777777">
        <w:trPr>
          <w:trHeight w:val="562"/>
        </w:trPr>
        <w:tc>
          <w:tcPr>
            <w:tcW w:w="5943" w:type="dxa"/>
          </w:tcPr>
          <w:p w14:paraId="103BEC7E" w14:textId="77777777" w:rsidR="00FA4AA8" w:rsidRDefault="00FA4AA8">
            <w:pPr>
              <w:pStyle w:val="TableParagraph"/>
              <w:spacing w:before="1"/>
              <w:rPr>
                <w:sz w:val="28"/>
              </w:rPr>
            </w:pPr>
          </w:p>
          <w:p w14:paraId="65EC5C7D" w14:textId="77777777" w:rsidR="00FA4AA8" w:rsidRDefault="0015611F">
            <w:pPr>
              <w:pStyle w:val="TableParagraph"/>
              <w:spacing w:before="1"/>
              <w:ind w:left="76"/>
              <w:rPr>
                <w:b/>
                <w:sz w:val="18"/>
              </w:rPr>
            </w:pPr>
            <w:r>
              <w:rPr>
                <w:b/>
                <w:sz w:val="18"/>
              </w:rPr>
              <w:t>Net decrease in cash and cash equivalents held</w:t>
            </w:r>
          </w:p>
        </w:tc>
        <w:tc>
          <w:tcPr>
            <w:tcW w:w="1429" w:type="dxa"/>
          </w:tcPr>
          <w:p w14:paraId="37A50286" w14:textId="77777777" w:rsidR="00FA4AA8" w:rsidRDefault="00FA4AA8">
            <w:pPr>
              <w:pStyle w:val="TableParagraph"/>
              <w:rPr>
                <w:rFonts w:ascii="Times New Roman"/>
                <w:sz w:val="18"/>
              </w:rPr>
            </w:pPr>
          </w:p>
        </w:tc>
        <w:tc>
          <w:tcPr>
            <w:tcW w:w="1455" w:type="dxa"/>
            <w:tcBorders>
              <w:top w:val="single" w:sz="8" w:space="0" w:color="000000"/>
            </w:tcBorders>
          </w:tcPr>
          <w:p w14:paraId="505EA3B9" w14:textId="77777777" w:rsidR="00FA4AA8" w:rsidRDefault="00FA4AA8">
            <w:pPr>
              <w:pStyle w:val="TableParagraph"/>
              <w:spacing w:before="1"/>
              <w:rPr>
                <w:sz w:val="28"/>
              </w:rPr>
            </w:pPr>
          </w:p>
          <w:p w14:paraId="59BBD044" w14:textId="77777777" w:rsidR="00FA4AA8" w:rsidRDefault="0015611F">
            <w:pPr>
              <w:pStyle w:val="TableParagraph"/>
              <w:spacing w:before="1"/>
              <w:ind w:right="187"/>
              <w:jc w:val="right"/>
              <w:rPr>
                <w:b/>
                <w:sz w:val="18"/>
              </w:rPr>
            </w:pPr>
            <w:r>
              <w:rPr>
                <w:b/>
                <w:sz w:val="18"/>
              </w:rPr>
              <w:t>(56,897)</w:t>
            </w:r>
          </w:p>
        </w:tc>
        <w:tc>
          <w:tcPr>
            <w:tcW w:w="1139" w:type="dxa"/>
            <w:tcBorders>
              <w:top w:val="single" w:sz="8" w:space="0" w:color="000000"/>
            </w:tcBorders>
          </w:tcPr>
          <w:p w14:paraId="1531954D" w14:textId="77777777" w:rsidR="00FA4AA8" w:rsidRDefault="00FA4AA8">
            <w:pPr>
              <w:pStyle w:val="TableParagraph"/>
              <w:spacing w:before="1"/>
              <w:rPr>
                <w:sz w:val="28"/>
              </w:rPr>
            </w:pPr>
          </w:p>
          <w:p w14:paraId="2A396139" w14:textId="77777777" w:rsidR="00FA4AA8" w:rsidRDefault="0015611F">
            <w:pPr>
              <w:pStyle w:val="TableParagraph"/>
              <w:spacing w:before="1"/>
              <w:ind w:right="30"/>
              <w:jc w:val="right"/>
              <w:rPr>
                <w:sz w:val="18"/>
              </w:rPr>
            </w:pPr>
            <w:r>
              <w:rPr>
                <w:sz w:val="18"/>
              </w:rPr>
              <w:t>(165,205)</w:t>
            </w:r>
          </w:p>
        </w:tc>
      </w:tr>
      <w:tr w:rsidR="00FA4AA8" w14:paraId="5CC881A3" w14:textId="77777777">
        <w:trPr>
          <w:trHeight w:val="257"/>
        </w:trPr>
        <w:tc>
          <w:tcPr>
            <w:tcW w:w="5943" w:type="dxa"/>
          </w:tcPr>
          <w:p w14:paraId="7E94EA1E" w14:textId="77777777" w:rsidR="00FA4AA8" w:rsidRDefault="0015611F">
            <w:pPr>
              <w:pStyle w:val="TableParagraph"/>
              <w:spacing w:before="25"/>
              <w:ind w:left="76"/>
              <w:rPr>
                <w:sz w:val="18"/>
              </w:rPr>
            </w:pPr>
            <w:r>
              <w:rPr>
                <w:sz w:val="18"/>
              </w:rPr>
              <w:t>Cash and cash equivalents at the beginning of the year</w:t>
            </w:r>
          </w:p>
        </w:tc>
        <w:tc>
          <w:tcPr>
            <w:tcW w:w="1429" w:type="dxa"/>
          </w:tcPr>
          <w:p w14:paraId="31E68380" w14:textId="77777777" w:rsidR="00FA4AA8" w:rsidRDefault="00FA4AA8">
            <w:pPr>
              <w:pStyle w:val="TableParagraph"/>
              <w:rPr>
                <w:rFonts w:ascii="Times New Roman"/>
                <w:sz w:val="18"/>
              </w:rPr>
            </w:pPr>
          </w:p>
        </w:tc>
        <w:tc>
          <w:tcPr>
            <w:tcW w:w="1455" w:type="dxa"/>
            <w:tcBorders>
              <w:bottom w:val="single" w:sz="8" w:space="0" w:color="000000"/>
            </w:tcBorders>
          </w:tcPr>
          <w:p w14:paraId="734F900D" w14:textId="77777777" w:rsidR="00FA4AA8" w:rsidRDefault="0015611F">
            <w:pPr>
              <w:pStyle w:val="TableParagraph"/>
              <w:spacing w:before="25"/>
              <w:ind w:right="248"/>
              <w:jc w:val="right"/>
              <w:rPr>
                <w:b/>
                <w:sz w:val="18"/>
              </w:rPr>
            </w:pPr>
            <w:r>
              <w:rPr>
                <w:b/>
                <w:sz w:val="18"/>
              </w:rPr>
              <w:t>482,158</w:t>
            </w:r>
          </w:p>
        </w:tc>
        <w:tc>
          <w:tcPr>
            <w:tcW w:w="1139" w:type="dxa"/>
            <w:tcBorders>
              <w:bottom w:val="single" w:sz="8" w:space="0" w:color="000000"/>
            </w:tcBorders>
          </w:tcPr>
          <w:p w14:paraId="4E5638A9" w14:textId="77777777" w:rsidR="00FA4AA8" w:rsidRDefault="0015611F">
            <w:pPr>
              <w:pStyle w:val="TableParagraph"/>
              <w:spacing w:before="25"/>
              <w:ind w:left="391"/>
              <w:rPr>
                <w:sz w:val="18"/>
              </w:rPr>
            </w:pPr>
            <w:r>
              <w:rPr>
                <w:sz w:val="18"/>
              </w:rPr>
              <w:t>647,363</w:t>
            </w:r>
          </w:p>
        </w:tc>
      </w:tr>
      <w:tr w:rsidR="00FA4AA8" w14:paraId="3C72D20B" w14:textId="77777777">
        <w:trPr>
          <w:trHeight w:val="320"/>
        </w:trPr>
        <w:tc>
          <w:tcPr>
            <w:tcW w:w="5943" w:type="dxa"/>
          </w:tcPr>
          <w:p w14:paraId="132226AE" w14:textId="77777777" w:rsidR="00FA4AA8" w:rsidRDefault="0015611F">
            <w:pPr>
              <w:pStyle w:val="TableParagraph"/>
              <w:spacing w:before="31"/>
              <w:ind w:left="76"/>
              <w:rPr>
                <w:b/>
                <w:sz w:val="18"/>
              </w:rPr>
            </w:pPr>
            <w:r>
              <w:rPr>
                <w:b/>
                <w:sz w:val="18"/>
              </w:rPr>
              <w:t>Cash and cash equivalents at the end of the financial year</w:t>
            </w:r>
          </w:p>
        </w:tc>
        <w:tc>
          <w:tcPr>
            <w:tcW w:w="1429" w:type="dxa"/>
          </w:tcPr>
          <w:p w14:paraId="20329A3C" w14:textId="77777777" w:rsidR="00FA4AA8" w:rsidRDefault="0015611F">
            <w:pPr>
              <w:pStyle w:val="TableParagraph"/>
              <w:spacing w:before="31"/>
              <w:ind w:left="910"/>
              <w:jc w:val="center"/>
              <w:rPr>
                <w:sz w:val="18"/>
              </w:rPr>
            </w:pPr>
            <w:r>
              <w:rPr>
                <w:sz w:val="18"/>
              </w:rPr>
              <w:t>4</w:t>
            </w:r>
          </w:p>
        </w:tc>
        <w:tc>
          <w:tcPr>
            <w:tcW w:w="1455" w:type="dxa"/>
            <w:tcBorders>
              <w:top w:val="single" w:sz="8" w:space="0" w:color="000000"/>
              <w:bottom w:val="double" w:sz="2" w:space="0" w:color="000000"/>
            </w:tcBorders>
          </w:tcPr>
          <w:p w14:paraId="5053AC0A" w14:textId="77777777" w:rsidR="00FA4AA8" w:rsidRDefault="0015611F">
            <w:pPr>
              <w:pStyle w:val="TableParagraph"/>
              <w:spacing w:before="115" w:line="185" w:lineRule="exact"/>
              <w:ind w:right="248"/>
              <w:jc w:val="right"/>
              <w:rPr>
                <w:b/>
                <w:sz w:val="18"/>
              </w:rPr>
            </w:pPr>
            <w:r>
              <w:rPr>
                <w:b/>
                <w:sz w:val="18"/>
              </w:rPr>
              <w:t>425,261</w:t>
            </w:r>
          </w:p>
        </w:tc>
        <w:tc>
          <w:tcPr>
            <w:tcW w:w="1139" w:type="dxa"/>
            <w:tcBorders>
              <w:top w:val="single" w:sz="8" w:space="0" w:color="000000"/>
              <w:bottom w:val="double" w:sz="2" w:space="0" w:color="000000"/>
            </w:tcBorders>
          </w:tcPr>
          <w:p w14:paraId="34FBD6F9" w14:textId="77777777" w:rsidR="00FA4AA8" w:rsidRDefault="0015611F">
            <w:pPr>
              <w:pStyle w:val="TableParagraph"/>
              <w:spacing w:before="115" w:line="185" w:lineRule="exact"/>
              <w:ind w:left="391"/>
              <w:rPr>
                <w:sz w:val="18"/>
              </w:rPr>
            </w:pPr>
            <w:r>
              <w:rPr>
                <w:sz w:val="18"/>
              </w:rPr>
              <w:t>482,158</w:t>
            </w:r>
          </w:p>
        </w:tc>
      </w:tr>
    </w:tbl>
    <w:p w14:paraId="1BF0C3B2" w14:textId="77777777" w:rsidR="00FA4AA8" w:rsidRDefault="00FA4AA8">
      <w:pPr>
        <w:pStyle w:val="BodyText"/>
        <w:rPr>
          <w:sz w:val="20"/>
        </w:rPr>
      </w:pPr>
    </w:p>
    <w:p w14:paraId="7E903304" w14:textId="77777777" w:rsidR="00FA4AA8" w:rsidRDefault="00FA4AA8">
      <w:pPr>
        <w:pStyle w:val="BodyText"/>
        <w:rPr>
          <w:sz w:val="20"/>
        </w:rPr>
      </w:pPr>
    </w:p>
    <w:p w14:paraId="7D0218DC" w14:textId="77777777" w:rsidR="00FA4AA8" w:rsidRDefault="00FA4AA8">
      <w:pPr>
        <w:pStyle w:val="BodyText"/>
        <w:rPr>
          <w:sz w:val="20"/>
        </w:rPr>
      </w:pPr>
    </w:p>
    <w:p w14:paraId="5480AC3A" w14:textId="77777777" w:rsidR="00FA4AA8" w:rsidRDefault="00FA4AA8">
      <w:pPr>
        <w:pStyle w:val="BodyText"/>
        <w:rPr>
          <w:sz w:val="20"/>
        </w:rPr>
      </w:pPr>
    </w:p>
    <w:p w14:paraId="675C1418" w14:textId="77777777" w:rsidR="00FA4AA8" w:rsidRDefault="00FA4AA8">
      <w:pPr>
        <w:pStyle w:val="BodyText"/>
        <w:rPr>
          <w:sz w:val="20"/>
        </w:rPr>
      </w:pPr>
    </w:p>
    <w:p w14:paraId="527BD38E" w14:textId="77777777" w:rsidR="00FA4AA8" w:rsidRDefault="00FA4AA8">
      <w:pPr>
        <w:pStyle w:val="BodyText"/>
        <w:rPr>
          <w:sz w:val="20"/>
        </w:rPr>
      </w:pPr>
    </w:p>
    <w:p w14:paraId="736FCB92" w14:textId="77777777" w:rsidR="00FA4AA8" w:rsidRDefault="00FA4AA8">
      <w:pPr>
        <w:pStyle w:val="BodyText"/>
        <w:rPr>
          <w:sz w:val="20"/>
        </w:rPr>
      </w:pPr>
    </w:p>
    <w:p w14:paraId="22E189D7" w14:textId="77777777" w:rsidR="00FA4AA8" w:rsidRDefault="00FA4AA8">
      <w:pPr>
        <w:pStyle w:val="BodyText"/>
        <w:rPr>
          <w:sz w:val="20"/>
        </w:rPr>
      </w:pPr>
    </w:p>
    <w:p w14:paraId="4171C2DD" w14:textId="77777777" w:rsidR="00FA4AA8" w:rsidRDefault="00FA4AA8">
      <w:pPr>
        <w:pStyle w:val="BodyText"/>
        <w:rPr>
          <w:sz w:val="20"/>
        </w:rPr>
      </w:pPr>
    </w:p>
    <w:p w14:paraId="444D763F" w14:textId="77777777" w:rsidR="00FA4AA8" w:rsidRDefault="00FA4AA8">
      <w:pPr>
        <w:pStyle w:val="BodyText"/>
        <w:rPr>
          <w:sz w:val="20"/>
        </w:rPr>
      </w:pPr>
    </w:p>
    <w:p w14:paraId="6ABE202E" w14:textId="77777777" w:rsidR="00FA4AA8" w:rsidRDefault="00FA4AA8">
      <w:pPr>
        <w:pStyle w:val="BodyText"/>
        <w:rPr>
          <w:sz w:val="20"/>
        </w:rPr>
      </w:pPr>
    </w:p>
    <w:p w14:paraId="1AE587FD" w14:textId="77777777" w:rsidR="00FA4AA8" w:rsidRDefault="00FA4AA8">
      <w:pPr>
        <w:pStyle w:val="BodyText"/>
        <w:rPr>
          <w:sz w:val="20"/>
        </w:rPr>
      </w:pPr>
    </w:p>
    <w:p w14:paraId="729EB160" w14:textId="77777777" w:rsidR="00FA4AA8" w:rsidRDefault="00FA4AA8">
      <w:pPr>
        <w:pStyle w:val="BodyText"/>
        <w:rPr>
          <w:sz w:val="20"/>
        </w:rPr>
      </w:pPr>
    </w:p>
    <w:p w14:paraId="4D07A01E" w14:textId="77777777" w:rsidR="00FA4AA8" w:rsidRDefault="00FA4AA8">
      <w:pPr>
        <w:pStyle w:val="BodyText"/>
        <w:rPr>
          <w:sz w:val="20"/>
        </w:rPr>
      </w:pPr>
    </w:p>
    <w:p w14:paraId="38967CA2" w14:textId="77777777" w:rsidR="00FA4AA8" w:rsidRDefault="00FA4AA8">
      <w:pPr>
        <w:pStyle w:val="BodyText"/>
        <w:rPr>
          <w:sz w:val="20"/>
        </w:rPr>
      </w:pPr>
    </w:p>
    <w:p w14:paraId="0038359C" w14:textId="77777777" w:rsidR="00FA4AA8" w:rsidRDefault="00FA4AA8">
      <w:pPr>
        <w:pStyle w:val="BodyText"/>
        <w:rPr>
          <w:sz w:val="20"/>
        </w:rPr>
      </w:pPr>
    </w:p>
    <w:p w14:paraId="076D6496" w14:textId="77777777" w:rsidR="00FA4AA8" w:rsidRDefault="00FA4AA8">
      <w:pPr>
        <w:pStyle w:val="BodyText"/>
        <w:rPr>
          <w:sz w:val="20"/>
        </w:rPr>
      </w:pPr>
    </w:p>
    <w:p w14:paraId="0AB889D7" w14:textId="77777777" w:rsidR="00FA4AA8" w:rsidRDefault="00FA4AA8">
      <w:pPr>
        <w:pStyle w:val="BodyText"/>
        <w:rPr>
          <w:sz w:val="20"/>
        </w:rPr>
      </w:pPr>
    </w:p>
    <w:p w14:paraId="648CB990" w14:textId="77777777" w:rsidR="00FA4AA8" w:rsidRDefault="00FA4AA8">
      <w:pPr>
        <w:pStyle w:val="BodyText"/>
        <w:rPr>
          <w:sz w:val="20"/>
        </w:rPr>
      </w:pPr>
    </w:p>
    <w:p w14:paraId="05B7AA4D" w14:textId="77777777" w:rsidR="00FA4AA8" w:rsidRDefault="00FA4AA8">
      <w:pPr>
        <w:pStyle w:val="BodyText"/>
        <w:rPr>
          <w:sz w:val="20"/>
        </w:rPr>
      </w:pPr>
    </w:p>
    <w:p w14:paraId="720D0883" w14:textId="77777777" w:rsidR="00FA4AA8" w:rsidRDefault="00FA4AA8">
      <w:pPr>
        <w:pStyle w:val="BodyText"/>
        <w:rPr>
          <w:sz w:val="20"/>
        </w:rPr>
      </w:pPr>
    </w:p>
    <w:p w14:paraId="790C80CC" w14:textId="77777777" w:rsidR="00FA4AA8" w:rsidRDefault="00FA4AA8">
      <w:pPr>
        <w:pStyle w:val="BodyText"/>
        <w:rPr>
          <w:sz w:val="20"/>
        </w:rPr>
      </w:pPr>
    </w:p>
    <w:p w14:paraId="6FB61202" w14:textId="77777777" w:rsidR="00FA4AA8" w:rsidRDefault="00FA4AA8">
      <w:pPr>
        <w:pStyle w:val="BodyText"/>
        <w:rPr>
          <w:sz w:val="20"/>
        </w:rPr>
      </w:pPr>
    </w:p>
    <w:p w14:paraId="36DDD954" w14:textId="77777777" w:rsidR="00FA4AA8" w:rsidRDefault="00FA4AA8">
      <w:pPr>
        <w:pStyle w:val="BodyText"/>
        <w:rPr>
          <w:sz w:val="20"/>
        </w:rPr>
      </w:pPr>
    </w:p>
    <w:p w14:paraId="77E73611" w14:textId="77777777" w:rsidR="00FA4AA8" w:rsidRDefault="00FA4AA8">
      <w:pPr>
        <w:pStyle w:val="BodyText"/>
        <w:rPr>
          <w:sz w:val="20"/>
        </w:rPr>
      </w:pPr>
    </w:p>
    <w:p w14:paraId="7C12201C" w14:textId="77777777" w:rsidR="00FA4AA8" w:rsidRDefault="00FA4AA8">
      <w:pPr>
        <w:pStyle w:val="BodyText"/>
        <w:rPr>
          <w:sz w:val="20"/>
        </w:rPr>
      </w:pPr>
    </w:p>
    <w:p w14:paraId="5E66CEC7" w14:textId="77777777" w:rsidR="00FA4AA8" w:rsidRDefault="00FA4AA8">
      <w:pPr>
        <w:pStyle w:val="BodyText"/>
        <w:rPr>
          <w:sz w:val="20"/>
        </w:rPr>
      </w:pPr>
    </w:p>
    <w:p w14:paraId="291784D5" w14:textId="77777777" w:rsidR="00FA4AA8" w:rsidRDefault="00FA4AA8">
      <w:pPr>
        <w:pStyle w:val="BodyText"/>
        <w:rPr>
          <w:sz w:val="20"/>
        </w:rPr>
      </w:pPr>
    </w:p>
    <w:p w14:paraId="064F9F5F" w14:textId="77777777" w:rsidR="00FA4AA8" w:rsidRDefault="00FA4AA8">
      <w:pPr>
        <w:pStyle w:val="BodyText"/>
        <w:spacing w:before="4"/>
        <w:rPr>
          <w:sz w:val="19"/>
        </w:rPr>
      </w:pPr>
    </w:p>
    <w:p w14:paraId="37A1B7A2" w14:textId="77777777" w:rsidR="00FA4AA8" w:rsidRDefault="0015611F">
      <w:pPr>
        <w:pStyle w:val="BodyText"/>
        <w:spacing w:before="1"/>
        <w:ind w:left="578" w:right="509"/>
        <w:jc w:val="center"/>
      </w:pPr>
      <w:r>
        <w:t>The accompanying notes form part of these financial statements.</w:t>
      </w:r>
    </w:p>
    <w:p w14:paraId="520E9D90" w14:textId="77777777" w:rsidR="00FA4AA8" w:rsidRDefault="00FA4AA8">
      <w:pPr>
        <w:jc w:val="center"/>
        <w:sectPr w:rsidR="00FA4AA8">
          <w:pgSz w:w="11910" w:h="16840"/>
          <w:pgMar w:top="1660" w:right="880" w:bottom="720" w:left="840" w:header="1016" w:footer="523" w:gutter="0"/>
          <w:cols w:space="720"/>
        </w:sectPr>
      </w:pPr>
    </w:p>
    <w:p w14:paraId="15BF83BE" w14:textId="77777777" w:rsidR="00FA4AA8" w:rsidRDefault="0015611F">
      <w:pPr>
        <w:spacing w:before="143"/>
        <w:ind w:left="167"/>
        <w:rPr>
          <w:b/>
          <w:sz w:val="24"/>
        </w:rPr>
      </w:pPr>
      <w:bookmarkStart w:id="185" w:name="Notes_to_the_Financial_Statements"/>
      <w:bookmarkStart w:id="186" w:name="1_Summary_of_significant_accounting_poli"/>
      <w:bookmarkEnd w:id="185"/>
      <w:bookmarkEnd w:id="186"/>
      <w:r>
        <w:rPr>
          <w:b/>
          <w:sz w:val="24"/>
        </w:rPr>
        <w:t>Notes to the Financial Statements</w:t>
      </w:r>
    </w:p>
    <w:p w14:paraId="6F2DCF1C" w14:textId="77777777" w:rsidR="00FA4AA8" w:rsidRDefault="0015611F">
      <w:pPr>
        <w:pStyle w:val="Heading6"/>
        <w:ind w:left="167"/>
      </w:pPr>
      <w:r>
        <w:t>For the year ended 31 December</w:t>
      </w:r>
      <w:r>
        <w:rPr>
          <w:spacing w:val="-13"/>
        </w:rPr>
        <w:t xml:space="preserve"> </w:t>
      </w:r>
      <w:r>
        <w:t>2018</w:t>
      </w:r>
    </w:p>
    <w:p w14:paraId="4B6F6320" w14:textId="77777777" w:rsidR="00FA4AA8" w:rsidRDefault="00FA4AA8">
      <w:pPr>
        <w:pStyle w:val="BodyText"/>
        <w:spacing w:before="1"/>
        <w:rPr>
          <w:b/>
          <w:sz w:val="25"/>
        </w:rPr>
      </w:pPr>
    </w:p>
    <w:p w14:paraId="0B3AA981" w14:textId="77777777" w:rsidR="00FA4AA8" w:rsidRDefault="0015611F">
      <w:pPr>
        <w:tabs>
          <w:tab w:val="left" w:pos="563"/>
        </w:tabs>
        <w:ind w:left="170"/>
        <w:rPr>
          <w:b/>
          <w:sz w:val="18"/>
        </w:rPr>
      </w:pPr>
      <w:r>
        <w:rPr>
          <w:b/>
          <w:sz w:val="18"/>
        </w:rPr>
        <w:t>1</w:t>
      </w:r>
      <w:r>
        <w:rPr>
          <w:b/>
          <w:sz w:val="18"/>
        </w:rPr>
        <w:tab/>
        <w:t>Summary of significant accounting</w:t>
      </w:r>
      <w:r>
        <w:rPr>
          <w:b/>
          <w:spacing w:val="-9"/>
          <w:sz w:val="18"/>
        </w:rPr>
        <w:t xml:space="preserve"> </w:t>
      </w:r>
      <w:r>
        <w:rPr>
          <w:b/>
          <w:sz w:val="18"/>
        </w:rPr>
        <w:t>policies</w:t>
      </w:r>
    </w:p>
    <w:p w14:paraId="64857C66" w14:textId="77777777" w:rsidR="00FA4AA8" w:rsidRDefault="0015611F">
      <w:pPr>
        <w:pStyle w:val="BodyText"/>
        <w:spacing w:before="141"/>
        <w:ind w:left="564" w:right="132"/>
      </w:pPr>
      <w:r>
        <w:t>Western Sydney University Early Learning Limited (the Company) is a not-for-profit company limited by guarantee and is a controlled entity of Western Sydney University. Prior to 29 May 2017 the Company was known as UWS Early Learning Limited. The Company was incorporated on 2 March 2012 and domiciled in Australia.</w:t>
      </w:r>
    </w:p>
    <w:p w14:paraId="70023A48" w14:textId="77777777" w:rsidR="00FA4AA8" w:rsidRDefault="00FA4AA8">
      <w:pPr>
        <w:pStyle w:val="BodyText"/>
        <w:spacing w:before="9"/>
        <w:rPr>
          <w:sz w:val="17"/>
        </w:rPr>
      </w:pPr>
    </w:p>
    <w:p w14:paraId="2082C535" w14:textId="77777777" w:rsidR="00FA4AA8" w:rsidRDefault="0015611F">
      <w:pPr>
        <w:pStyle w:val="BodyText"/>
        <w:spacing w:before="1"/>
        <w:ind w:left="564"/>
      </w:pPr>
      <w:r>
        <w:t>Its registered office is:</w:t>
      </w:r>
    </w:p>
    <w:p w14:paraId="53D44F34" w14:textId="77777777" w:rsidR="00FA4AA8" w:rsidRDefault="00FA4AA8">
      <w:pPr>
        <w:pStyle w:val="BodyText"/>
        <w:spacing w:before="10"/>
        <w:rPr>
          <w:sz w:val="17"/>
        </w:rPr>
      </w:pPr>
    </w:p>
    <w:p w14:paraId="12EF6CA3" w14:textId="77777777" w:rsidR="00FA4AA8" w:rsidRDefault="0015611F">
      <w:pPr>
        <w:pStyle w:val="BodyText"/>
        <w:ind w:left="564" w:right="5577"/>
        <w:jc w:val="both"/>
      </w:pPr>
      <w:r>
        <w:t>Western Sydney University Early Learning Limited WSU Company Secretary, Entities, Finance Office Building M16 College Drive, Richmond NSW 2753</w:t>
      </w:r>
    </w:p>
    <w:p w14:paraId="06276E87" w14:textId="77777777" w:rsidR="00FA4AA8" w:rsidRDefault="00FA4AA8">
      <w:pPr>
        <w:pStyle w:val="BodyText"/>
        <w:spacing w:before="9"/>
        <w:rPr>
          <w:sz w:val="17"/>
        </w:rPr>
      </w:pPr>
    </w:p>
    <w:p w14:paraId="31C7E532" w14:textId="77777777" w:rsidR="00FA4AA8" w:rsidRDefault="0015611F">
      <w:pPr>
        <w:pStyle w:val="BodyText"/>
        <w:ind w:left="564"/>
        <w:jc w:val="both"/>
      </w:pPr>
      <w:r>
        <w:t>The principal place of business is:</w:t>
      </w:r>
    </w:p>
    <w:p w14:paraId="5CB072D3" w14:textId="77777777" w:rsidR="00FA4AA8" w:rsidRDefault="00FA4AA8">
      <w:pPr>
        <w:pStyle w:val="BodyText"/>
        <w:spacing w:before="10"/>
        <w:rPr>
          <w:sz w:val="17"/>
        </w:rPr>
      </w:pPr>
    </w:p>
    <w:p w14:paraId="7831E350" w14:textId="77777777" w:rsidR="00FA4AA8" w:rsidRDefault="0015611F">
      <w:pPr>
        <w:pStyle w:val="BodyText"/>
        <w:spacing w:line="207" w:lineRule="exact"/>
        <w:ind w:left="564"/>
        <w:jc w:val="both"/>
      </w:pPr>
      <w:r>
        <w:t>Western Sydney University</w:t>
      </w:r>
    </w:p>
    <w:p w14:paraId="2CEA6C06" w14:textId="77777777" w:rsidR="00FA4AA8" w:rsidRDefault="0015611F">
      <w:pPr>
        <w:pStyle w:val="BodyText"/>
        <w:spacing w:line="207" w:lineRule="exact"/>
        <w:ind w:left="564"/>
        <w:jc w:val="both"/>
      </w:pPr>
      <w:r>
        <w:t>Building P18 College Drive, Richmond NSW 2753</w:t>
      </w:r>
    </w:p>
    <w:p w14:paraId="383EF4AD" w14:textId="77777777" w:rsidR="00FA4AA8" w:rsidRDefault="00FA4AA8">
      <w:pPr>
        <w:pStyle w:val="BodyText"/>
        <w:rPr>
          <w:sz w:val="20"/>
        </w:rPr>
      </w:pPr>
    </w:p>
    <w:p w14:paraId="623D6A29" w14:textId="77777777" w:rsidR="00FA4AA8" w:rsidRDefault="0015611F">
      <w:pPr>
        <w:pStyle w:val="BodyText"/>
        <w:spacing w:before="118"/>
        <w:ind w:left="564"/>
      </w:pPr>
      <w:bookmarkStart w:id="187" w:name="(a)_Basis_of_preparation"/>
      <w:bookmarkEnd w:id="187"/>
      <w:r>
        <w:t>The principal accounting policies adopted in the preparation of these financial statements are set out below. These policies have been consistently applied to all years reported, unless otherwise stated.</w:t>
      </w:r>
    </w:p>
    <w:p w14:paraId="691E9483" w14:textId="77777777" w:rsidR="00FA4AA8" w:rsidRDefault="0015611F">
      <w:pPr>
        <w:pStyle w:val="BodyText"/>
        <w:spacing w:before="140"/>
        <w:ind w:left="563" w:right="220"/>
      </w:pPr>
      <w:r>
        <w:t>The financial statements for the year ended 31 December 2018 are authorised for issue in accordance with a resolution of the Board of Directors on 5 March 2019.</w:t>
      </w:r>
    </w:p>
    <w:p w14:paraId="55345BD3" w14:textId="77777777" w:rsidR="00FA4AA8" w:rsidRDefault="00FA4AA8">
      <w:pPr>
        <w:pStyle w:val="BodyText"/>
        <w:spacing w:before="7"/>
        <w:rPr>
          <w:sz w:val="26"/>
        </w:rPr>
      </w:pPr>
    </w:p>
    <w:p w14:paraId="54B39F9E" w14:textId="77777777" w:rsidR="00FA4AA8" w:rsidRDefault="0015611F">
      <w:pPr>
        <w:numPr>
          <w:ilvl w:val="0"/>
          <w:numId w:val="49"/>
        </w:numPr>
        <w:tabs>
          <w:tab w:val="left" w:pos="562"/>
        </w:tabs>
        <w:ind w:hanging="395"/>
        <w:rPr>
          <w:b/>
          <w:sz w:val="18"/>
        </w:rPr>
      </w:pPr>
      <w:r>
        <w:rPr>
          <w:b/>
          <w:sz w:val="18"/>
        </w:rPr>
        <w:t>Basis of preparation</w:t>
      </w:r>
    </w:p>
    <w:p w14:paraId="09FF54CE" w14:textId="77777777" w:rsidR="00FA4AA8" w:rsidRDefault="0015611F">
      <w:pPr>
        <w:pStyle w:val="BodyText"/>
        <w:spacing w:before="146"/>
        <w:ind w:left="563" w:right="132"/>
      </w:pPr>
      <w:r>
        <w:t xml:space="preserve">The annual financial statements represent the audited general purpose financial statements of Western Sydney University Early Learning Limited. They have been prepared on an accrual basis and are based on historical costs, modified where applicate, by the measurement at fair value of selected non-current assets and financial </w:t>
      </w:r>
      <w:r w:rsidR="00A74DE7">
        <w:t>liabilities</w:t>
      </w:r>
      <w:r>
        <w:t>.</w:t>
      </w:r>
      <w:r w:rsidR="00A74DE7">
        <w:t xml:space="preserve"> </w:t>
      </w:r>
      <w:r>
        <w:t>They have been prepared in accordance with:</w:t>
      </w:r>
    </w:p>
    <w:p w14:paraId="23652599" w14:textId="77777777" w:rsidR="00FA4AA8" w:rsidRDefault="0015611F">
      <w:pPr>
        <w:spacing w:before="137"/>
        <w:ind w:left="563" w:right="220"/>
        <w:rPr>
          <w:i/>
          <w:sz w:val="18"/>
        </w:rPr>
      </w:pPr>
      <w:r>
        <w:rPr>
          <w:i/>
          <w:sz w:val="18"/>
        </w:rPr>
        <w:t>- Australian Accounting Standards, Australian Accounting Interpretations and other authoritative pronouncements of the Australian Accounting Standards Board</w:t>
      </w:r>
    </w:p>
    <w:p w14:paraId="7A603259" w14:textId="77777777" w:rsidR="00FA4AA8" w:rsidRDefault="0015611F">
      <w:pPr>
        <w:pStyle w:val="ListParagraph"/>
        <w:numPr>
          <w:ilvl w:val="0"/>
          <w:numId w:val="48"/>
        </w:numPr>
        <w:tabs>
          <w:tab w:val="left" w:pos="675"/>
        </w:tabs>
        <w:spacing w:before="140"/>
        <w:ind w:hanging="112"/>
        <w:rPr>
          <w:sz w:val="18"/>
        </w:rPr>
      </w:pPr>
      <w:r>
        <w:rPr>
          <w:i/>
          <w:sz w:val="18"/>
        </w:rPr>
        <w:t xml:space="preserve">The Public Finance &amp; Audit Act 1983, </w:t>
      </w:r>
      <w:r>
        <w:rPr>
          <w:sz w:val="18"/>
        </w:rPr>
        <w:t>and</w:t>
      </w:r>
      <w:r>
        <w:rPr>
          <w:spacing w:val="8"/>
          <w:sz w:val="18"/>
        </w:rPr>
        <w:t xml:space="preserve"> </w:t>
      </w:r>
      <w:r>
        <w:rPr>
          <w:sz w:val="18"/>
        </w:rPr>
        <w:t>Regulation</w:t>
      </w:r>
    </w:p>
    <w:p w14:paraId="57788361" w14:textId="77777777" w:rsidR="00FA4AA8" w:rsidRDefault="0015611F">
      <w:pPr>
        <w:pStyle w:val="ListParagraph"/>
        <w:numPr>
          <w:ilvl w:val="0"/>
          <w:numId w:val="48"/>
        </w:numPr>
        <w:tabs>
          <w:tab w:val="left" w:pos="675"/>
        </w:tabs>
        <w:spacing w:before="141"/>
        <w:ind w:hanging="112"/>
        <w:rPr>
          <w:sz w:val="18"/>
        </w:rPr>
      </w:pPr>
      <w:r>
        <w:rPr>
          <w:i/>
          <w:sz w:val="18"/>
        </w:rPr>
        <w:t>The Australian Charities and Not-For-Profits Commission Act</w:t>
      </w:r>
      <w:r>
        <w:rPr>
          <w:i/>
          <w:spacing w:val="1"/>
          <w:sz w:val="18"/>
        </w:rPr>
        <w:t xml:space="preserve"> </w:t>
      </w:r>
      <w:r>
        <w:rPr>
          <w:i/>
          <w:sz w:val="18"/>
        </w:rPr>
        <w:t>2012</w:t>
      </w:r>
      <w:r>
        <w:rPr>
          <w:sz w:val="18"/>
        </w:rPr>
        <w:t>.</w:t>
      </w:r>
    </w:p>
    <w:p w14:paraId="4555149A" w14:textId="77777777" w:rsidR="00FA4AA8" w:rsidRDefault="0015611F">
      <w:pPr>
        <w:pStyle w:val="BodyText"/>
        <w:spacing w:before="141"/>
        <w:ind w:left="563" w:right="220"/>
      </w:pPr>
      <w:r>
        <w:t>These financial statements comply with Australian Accounting Standards - Reduced Disclosure Requirements as issued by the Australian Accounting Standards Board.</w:t>
      </w:r>
    </w:p>
    <w:p w14:paraId="6C043527" w14:textId="77777777" w:rsidR="00FA4AA8" w:rsidRDefault="00FA4AA8">
      <w:pPr>
        <w:pStyle w:val="BodyText"/>
        <w:rPr>
          <w:sz w:val="20"/>
        </w:rPr>
      </w:pPr>
    </w:p>
    <w:p w14:paraId="787817DE" w14:textId="77777777" w:rsidR="00FA4AA8" w:rsidRDefault="00FA4AA8">
      <w:pPr>
        <w:pStyle w:val="BodyText"/>
        <w:spacing w:before="6"/>
        <w:rPr>
          <w:sz w:val="22"/>
        </w:rPr>
      </w:pPr>
    </w:p>
    <w:p w14:paraId="3238A5D9" w14:textId="77777777" w:rsidR="00FA4AA8" w:rsidRDefault="0015611F">
      <w:pPr>
        <w:numPr>
          <w:ilvl w:val="1"/>
          <w:numId w:val="49"/>
        </w:numPr>
        <w:tabs>
          <w:tab w:val="left" w:pos="786"/>
        </w:tabs>
        <w:ind w:hanging="223"/>
        <w:rPr>
          <w:b/>
          <w:sz w:val="18"/>
        </w:rPr>
      </w:pPr>
      <w:r>
        <w:rPr>
          <w:b/>
          <w:sz w:val="18"/>
        </w:rPr>
        <w:t>Critical accounting estimates and judgements</w:t>
      </w:r>
    </w:p>
    <w:p w14:paraId="423F3599" w14:textId="77777777" w:rsidR="00FA4AA8" w:rsidRDefault="0015611F">
      <w:pPr>
        <w:pStyle w:val="BodyText"/>
        <w:spacing w:before="141"/>
        <w:ind w:left="563" w:right="132"/>
      </w:pPr>
      <w:r>
        <w:t xml:space="preserve">The preparation of financial statements requires the use of certain critical accounting estimates. It also requires management to exercise its judgement in the process of applying the Company's accounting policies. Estimates and judgements are continually evaluated and are based on </w:t>
      </w:r>
      <w:r w:rsidR="00A74DE7">
        <w:t>historical</w:t>
      </w:r>
      <w:r>
        <w:t xml:space="preserve"> experience and other factors, including expectations of future events that may have a financial impact on the Company and that are believed to be reasonable under the circumstances. All significant estimates or assumptions made in the financial statements have been explained in the accounting policy or subsequent notes.</w:t>
      </w:r>
    </w:p>
    <w:p w14:paraId="0DF7F82A" w14:textId="77777777" w:rsidR="00FA4AA8" w:rsidRDefault="00FA4AA8">
      <w:pPr>
        <w:pStyle w:val="BodyText"/>
        <w:rPr>
          <w:sz w:val="20"/>
        </w:rPr>
      </w:pPr>
    </w:p>
    <w:p w14:paraId="7CF824F7" w14:textId="77777777" w:rsidR="00FA4AA8" w:rsidRDefault="00FA4AA8">
      <w:pPr>
        <w:pStyle w:val="BodyText"/>
        <w:spacing w:before="3"/>
        <w:rPr>
          <w:sz w:val="22"/>
        </w:rPr>
      </w:pPr>
    </w:p>
    <w:p w14:paraId="56AF2365" w14:textId="77777777" w:rsidR="00FA4AA8" w:rsidRDefault="0015611F">
      <w:pPr>
        <w:numPr>
          <w:ilvl w:val="1"/>
          <w:numId w:val="49"/>
        </w:numPr>
        <w:tabs>
          <w:tab w:val="left" w:pos="836"/>
        </w:tabs>
        <w:ind w:left="835" w:hanging="273"/>
        <w:rPr>
          <w:b/>
          <w:sz w:val="18"/>
        </w:rPr>
      </w:pPr>
      <w:r>
        <w:rPr>
          <w:b/>
          <w:sz w:val="18"/>
        </w:rPr>
        <w:t>Functional and presentation currency</w:t>
      </w:r>
    </w:p>
    <w:p w14:paraId="17EDC9B6" w14:textId="77777777" w:rsidR="00FA4AA8" w:rsidRDefault="0015611F">
      <w:pPr>
        <w:pStyle w:val="BodyText"/>
        <w:spacing w:before="141"/>
        <w:ind w:left="563"/>
      </w:pPr>
      <w:r>
        <w:t>The financial statements are presented in Australian dollars.</w:t>
      </w:r>
    </w:p>
    <w:p w14:paraId="186013CD" w14:textId="77777777" w:rsidR="00FA4AA8" w:rsidRDefault="00FA4AA8">
      <w:pPr>
        <w:sectPr w:rsidR="00FA4AA8">
          <w:pgSz w:w="11910" w:h="16840"/>
          <w:pgMar w:top="1660" w:right="880" w:bottom="720" w:left="840" w:header="1016" w:footer="523" w:gutter="0"/>
          <w:cols w:space="720"/>
        </w:sectPr>
      </w:pPr>
    </w:p>
    <w:p w14:paraId="38E45A4B" w14:textId="77777777" w:rsidR="00FA4AA8" w:rsidRDefault="0015611F">
      <w:pPr>
        <w:pStyle w:val="Heading4"/>
      </w:pPr>
      <w:r>
        <w:t>Notes to the Financial Statements</w:t>
      </w:r>
    </w:p>
    <w:p w14:paraId="2B68B947" w14:textId="77777777" w:rsidR="00FA4AA8" w:rsidRDefault="0015611F">
      <w:pPr>
        <w:pStyle w:val="Heading6"/>
        <w:ind w:left="167"/>
      </w:pPr>
      <w:r>
        <w:t>For the year ended 31 December</w:t>
      </w:r>
      <w:r>
        <w:rPr>
          <w:spacing w:val="-13"/>
        </w:rPr>
        <w:t xml:space="preserve"> </w:t>
      </w:r>
      <w:r>
        <w:t>2018</w:t>
      </w:r>
    </w:p>
    <w:p w14:paraId="6B989DF3" w14:textId="77777777" w:rsidR="00FA4AA8" w:rsidRDefault="00FA4AA8">
      <w:pPr>
        <w:pStyle w:val="BodyText"/>
        <w:spacing w:before="1"/>
        <w:rPr>
          <w:b/>
          <w:sz w:val="25"/>
        </w:rPr>
      </w:pPr>
    </w:p>
    <w:p w14:paraId="58F06637" w14:textId="77777777" w:rsidR="00FA4AA8" w:rsidRDefault="0015611F">
      <w:pPr>
        <w:tabs>
          <w:tab w:val="left" w:pos="563"/>
        </w:tabs>
        <w:ind w:left="167"/>
        <w:rPr>
          <w:b/>
          <w:sz w:val="18"/>
        </w:rPr>
      </w:pPr>
      <w:r>
        <w:rPr>
          <w:b/>
          <w:sz w:val="18"/>
        </w:rPr>
        <w:t>1</w:t>
      </w:r>
      <w:r>
        <w:rPr>
          <w:b/>
          <w:sz w:val="18"/>
        </w:rPr>
        <w:tab/>
        <w:t>Summary of significant accounting policies</w:t>
      </w:r>
      <w:r>
        <w:rPr>
          <w:b/>
          <w:spacing w:val="-9"/>
          <w:sz w:val="18"/>
        </w:rPr>
        <w:t xml:space="preserve"> </w:t>
      </w:r>
      <w:r>
        <w:rPr>
          <w:b/>
          <w:sz w:val="18"/>
        </w:rPr>
        <w:t>(continued)</w:t>
      </w:r>
    </w:p>
    <w:p w14:paraId="198E3E66" w14:textId="77777777" w:rsidR="00FA4AA8" w:rsidRDefault="0015611F">
      <w:pPr>
        <w:pStyle w:val="ListParagraph"/>
        <w:numPr>
          <w:ilvl w:val="1"/>
          <w:numId w:val="49"/>
        </w:numPr>
        <w:tabs>
          <w:tab w:val="left" w:pos="886"/>
        </w:tabs>
        <w:spacing w:before="141"/>
        <w:ind w:left="885" w:hanging="322"/>
        <w:rPr>
          <w:b/>
          <w:sz w:val="18"/>
        </w:rPr>
      </w:pPr>
      <w:r>
        <w:rPr>
          <w:b/>
          <w:sz w:val="18"/>
        </w:rPr>
        <w:t>Comparative amounts</w:t>
      </w:r>
    </w:p>
    <w:p w14:paraId="00FC908C" w14:textId="77777777" w:rsidR="00FA4AA8" w:rsidRDefault="0015611F">
      <w:pPr>
        <w:pStyle w:val="BodyText"/>
        <w:spacing w:before="141"/>
        <w:ind w:left="564"/>
      </w:pPr>
      <w:r>
        <w:t>When required by Accounting Standards, comparative figures have been adjusted to conform to changes in the presentation for the current financial year.</w:t>
      </w:r>
    </w:p>
    <w:p w14:paraId="7441F4E4" w14:textId="77777777" w:rsidR="00FA4AA8" w:rsidRDefault="0015611F">
      <w:pPr>
        <w:pStyle w:val="BodyText"/>
        <w:spacing w:before="141" w:after="39"/>
        <w:ind w:left="564"/>
      </w:pPr>
      <w:r>
        <w:t>The following items have been adjusted to conform with the current year's presentation.</w:t>
      </w:r>
    </w:p>
    <w:tbl>
      <w:tblPr>
        <w:tblW w:w="0" w:type="auto"/>
        <w:tblInd w:w="564" w:type="dxa"/>
        <w:tblLayout w:type="fixed"/>
        <w:tblCellMar>
          <w:left w:w="0" w:type="dxa"/>
          <w:right w:w="0" w:type="dxa"/>
        </w:tblCellMar>
        <w:tblLook w:val="01E0" w:firstRow="1" w:lastRow="1" w:firstColumn="1" w:lastColumn="1" w:noHBand="0" w:noVBand="0"/>
      </w:tblPr>
      <w:tblGrid>
        <w:gridCol w:w="6974"/>
        <w:gridCol w:w="1414"/>
        <w:gridCol w:w="1140"/>
      </w:tblGrid>
      <w:tr w:rsidR="00FA4AA8" w14:paraId="3823BA02" w14:textId="77777777">
        <w:trPr>
          <w:trHeight w:val="443"/>
        </w:trPr>
        <w:tc>
          <w:tcPr>
            <w:tcW w:w="6974" w:type="dxa"/>
            <w:vMerge w:val="restart"/>
          </w:tcPr>
          <w:p w14:paraId="215CCB36" w14:textId="77777777" w:rsidR="00FA4AA8" w:rsidRDefault="00FA4AA8">
            <w:pPr>
              <w:pStyle w:val="TableParagraph"/>
              <w:rPr>
                <w:rFonts w:ascii="Times New Roman"/>
                <w:sz w:val="18"/>
              </w:rPr>
            </w:pPr>
          </w:p>
        </w:tc>
        <w:tc>
          <w:tcPr>
            <w:tcW w:w="1414" w:type="dxa"/>
          </w:tcPr>
          <w:p w14:paraId="7FECA9B6" w14:textId="77777777" w:rsidR="00FA4AA8" w:rsidRDefault="0015611F">
            <w:pPr>
              <w:pStyle w:val="TableParagraph"/>
              <w:spacing w:line="201" w:lineRule="exact"/>
              <w:ind w:left="273" w:right="307"/>
              <w:jc w:val="center"/>
              <w:rPr>
                <w:b/>
                <w:sz w:val="18"/>
              </w:rPr>
            </w:pPr>
            <w:r>
              <w:rPr>
                <w:b/>
                <w:sz w:val="18"/>
              </w:rPr>
              <w:t>2017</w:t>
            </w:r>
          </w:p>
          <w:p w14:paraId="353795D1" w14:textId="77777777" w:rsidR="00FA4AA8" w:rsidRDefault="0015611F">
            <w:pPr>
              <w:pStyle w:val="TableParagraph"/>
              <w:spacing w:line="207" w:lineRule="exact"/>
              <w:ind w:left="273" w:right="309"/>
              <w:jc w:val="center"/>
              <w:rPr>
                <w:b/>
                <w:sz w:val="18"/>
              </w:rPr>
            </w:pPr>
            <w:r>
              <w:rPr>
                <w:b/>
                <w:sz w:val="18"/>
              </w:rPr>
              <w:t>Reported</w:t>
            </w:r>
          </w:p>
        </w:tc>
        <w:tc>
          <w:tcPr>
            <w:tcW w:w="1140" w:type="dxa"/>
          </w:tcPr>
          <w:p w14:paraId="307B3F94" w14:textId="77777777" w:rsidR="00FA4AA8" w:rsidRDefault="0015611F">
            <w:pPr>
              <w:pStyle w:val="TableParagraph"/>
              <w:spacing w:line="201" w:lineRule="exact"/>
              <w:ind w:left="187" w:right="221"/>
              <w:jc w:val="center"/>
              <w:rPr>
                <w:b/>
                <w:sz w:val="18"/>
              </w:rPr>
            </w:pPr>
            <w:r>
              <w:rPr>
                <w:b/>
                <w:sz w:val="18"/>
              </w:rPr>
              <w:t>2017</w:t>
            </w:r>
          </w:p>
          <w:p w14:paraId="0342E3A4" w14:textId="77777777" w:rsidR="00FA4AA8" w:rsidRDefault="0015611F">
            <w:pPr>
              <w:pStyle w:val="TableParagraph"/>
              <w:spacing w:line="207" w:lineRule="exact"/>
              <w:ind w:left="187" w:right="222"/>
              <w:jc w:val="center"/>
              <w:rPr>
                <w:b/>
                <w:sz w:val="18"/>
              </w:rPr>
            </w:pPr>
            <w:r>
              <w:rPr>
                <w:b/>
                <w:sz w:val="18"/>
              </w:rPr>
              <w:t>Revised</w:t>
            </w:r>
          </w:p>
        </w:tc>
      </w:tr>
      <w:tr w:rsidR="00FA4AA8" w14:paraId="483DA8A3" w14:textId="77777777">
        <w:trPr>
          <w:trHeight w:val="313"/>
        </w:trPr>
        <w:tc>
          <w:tcPr>
            <w:tcW w:w="6974" w:type="dxa"/>
            <w:vMerge/>
            <w:tcBorders>
              <w:top w:val="nil"/>
            </w:tcBorders>
          </w:tcPr>
          <w:p w14:paraId="4DA3B7BE" w14:textId="77777777" w:rsidR="00FA4AA8" w:rsidRDefault="00FA4AA8">
            <w:pPr>
              <w:rPr>
                <w:sz w:val="2"/>
                <w:szCs w:val="2"/>
              </w:rPr>
            </w:pPr>
          </w:p>
        </w:tc>
        <w:tc>
          <w:tcPr>
            <w:tcW w:w="1414" w:type="dxa"/>
          </w:tcPr>
          <w:p w14:paraId="1CCCDCC7" w14:textId="77777777" w:rsidR="00FA4AA8" w:rsidRDefault="0015611F">
            <w:pPr>
              <w:pStyle w:val="TableParagraph"/>
              <w:spacing w:before="30"/>
              <w:ind w:right="35"/>
              <w:jc w:val="center"/>
              <w:rPr>
                <w:b/>
                <w:sz w:val="18"/>
              </w:rPr>
            </w:pPr>
            <w:r>
              <w:rPr>
                <w:b/>
                <w:sz w:val="18"/>
              </w:rPr>
              <w:t>$</w:t>
            </w:r>
          </w:p>
        </w:tc>
        <w:tc>
          <w:tcPr>
            <w:tcW w:w="1140" w:type="dxa"/>
          </w:tcPr>
          <w:p w14:paraId="7A3E6F38" w14:textId="77777777" w:rsidR="00FA4AA8" w:rsidRDefault="0015611F">
            <w:pPr>
              <w:pStyle w:val="TableParagraph"/>
              <w:spacing w:before="30"/>
              <w:ind w:right="35"/>
              <w:jc w:val="center"/>
              <w:rPr>
                <w:b/>
                <w:sz w:val="18"/>
              </w:rPr>
            </w:pPr>
            <w:r>
              <w:rPr>
                <w:b/>
                <w:sz w:val="18"/>
              </w:rPr>
              <w:t>$</w:t>
            </w:r>
          </w:p>
        </w:tc>
      </w:tr>
      <w:tr w:rsidR="00FA4AA8" w14:paraId="2E93E660" w14:textId="77777777">
        <w:trPr>
          <w:trHeight w:val="544"/>
        </w:trPr>
        <w:tc>
          <w:tcPr>
            <w:tcW w:w="6974" w:type="dxa"/>
          </w:tcPr>
          <w:p w14:paraId="007B4145" w14:textId="77777777" w:rsidR="00FA4AA8" w:rsidRDefault="0015611F">
            <w:pPr>
              <w:pStyle w:val="TableParagraph"/>
              <w:spacing w:before="70"/>
              <w:ind w:left="50"/>
              <w:rPr>
                <w:b/>
                <w:sz w:val="18"/>
              </w:rPr>
            </w:pPr>
            <w:r>
              <w:rPr>
                <w:b/>
                <w:sz w:val="18"/>
              </w:rPr>
              <w:t>Statement of comprehensive income</w:t>
            </w:r>
          </w:p>
          <w:p w14:paraId="1383B58F" w14:textId="77777777" w:rsidR="00FA4AA8" w:rsidRDefault="0015611F">
            <w:pPr>
              <w:pStyle w:val="TableParagraph"/>
              <w:spacing w:before="30"/>
              <w:ind w:left="50"/>
              <w:rPr>
                <w:sz w:val="18"/>
              </w:rPr>
            </w:pPr>
            <w:r>
              <w:rPr>
                <w:sz w:val="18"/>
              </w:rPr>
              <w:t>Provision for doubtful debts</w:t>
            </w:r>
          </w:p>
        </w:tc>
        <w:tc>
          <w:tcPr>
            <w:tcW w:w="1414" w:type="dxa"/>
          </w:tcPr>
          <w:p w14:paraId="3ED8D8FC" w14:textId="77777777" w:rsidR="00FA4AA8" w:rsidRDefault="00FA4AA8">
            <w:pPr>
              <w:pStyle w:val="TableParagraph"/>
              <w:spacing w:before="6"/>
              <w:rPr>
                <w:sz w:val="26"/>
              </w:rPr>
            </w:pPr>
          </w:p>
          <w:p w14:paraId="20091D11" w14:textId="77777777" w:rsidR="00FA4AA8" w:rsidRDefault="0015611F">
            <w:pPr>
              <w:pStyle w:val="TableParagraph"/>
              <w:ind w:right="205"/>
              <w:jc w:val="right"/>
              <w:rPr>
                <w:sz w:val="18"/>
              </w:rPr>
            </w:pPr>
            <w:r>
              <w:rPr>
                <w:sz w:val="18"/>
              </w:rPr>
              <w:t>7,244</w:t>
            </w:r>
          </w:p>
        </w:tc>
        <w:tc>
          <w:tcPr>
            <w:tcW w:w="1140" w:type="dxa"/>
          </w:tcPr>
          <w:p w14:paraId="18ACEB59" w14:textId="77777777" w:rsidR="00FA4AA8" w:rsidRDefault="00FA4AA8">
            <w:pPr>
              <w:pStyle w:val="TableParagraph"/>
              <w:spacing w:before="6"/>
              <w:rPr>
                <w:sz w:val="26"/>
              </w:rPr>
            </w:pPr>
          </w:p>
          <w:p w14:paraId="3CCD6476" w14:textId="77777777" w:rsidR="00FA4AA8" w:rsidRDefault="0015611F">
            <w:pPr>
              <w:pStyle w:val="TableParagraph"/>
              <w:ind w:right="87"/>
              <w:jc w:val="right"/>
              <w:rPr>
                <w:sz w:val="18"/>
              </w:rPr>
            </w:pPr>
            <w:r>
              <w:rPr>
                <w:sz w:val="18"/>
              </w:rPr>
              <w:t>-</w:t>
            </w:r>
          </w:p>
        </w:tc>
      </w:tr>
      <w:tr w:rsidR="00FA4AA8" w14:paraId="650A97CF" w14:textId="77777777">
        <w:trPr>
          <w:trHeight w:val="264"/>
        </w:trPr>
        <w:tc>
          <w:tcPr>
            <w:tcW w:w="6974" w:type="dxa"/>
          </w:tcPr>
          <w:p w14:paraId="7AF9ACBD" w14:textId="77777777" w:rsidR="00FA4AA8" w:rsidRDefault="0015611F">
            <w:pPr>
              <w:pStyle w:val="TableParagraph"/>
              <w:spacing w:before="26"/>
              <w:ind w:left="50"/>
              <w:rPr>
                <w:sz w:val="18"/>
              </w:rPr>
            </w:pPr>
            <w:r>
              <w:rPr>
                <w:sz w:val="18"/>
              </w:rPr>
              <w:t>Consumables and supplies</w:t>
            </w:r>
          </w:p>
        </w:tc>
        <w:tc>
          <w:tcPr>
            <w:tcW w:w="1414" w:type="dxa"/>
          </w:tcPr>
          <w:p w14:paraId="5764D3E2" w14:textId="77777777" w:rsidR="00FA4AA8" w:rsidRDefault="0015611F">
            <w:pPr>
              <w:pStyle w:val="TableParagraph"/>
              <w:spacing w:before="24"/>
              <w:ind w:right="204"/>
              <w:jc w:val="right"/>
              <w:rPr>
                <w:sz w:val="18"/>
              </w:rPr>
            </w:pPr>
            <w:r>
              <w:rPr>
                <w:sz w:val="18"/>
              </w:rPr>
              <w:t>-</w:t>
            </w:r>
          </w:p>
        </w:tc>
        <w:tc>
          <w:tcPr>
            <w:tcW w:w="1140" w:type="dxa"/>
          </w:tcPr>
          <w:p w14:paraId="52215D71" w14:textId="77777777" w:rsidR="00FA4AA8" w:rsidRDefault="0015611F">
            <w:pPr>
              <w:pStyle w:val="TableParagraph"/>
              <w:spacing w:before="24"/>
              <w:ind w:right="87"/>
              <w:jc w:val="right"/>
              <w:rPr>
                <w:sz w:val="18"/>
              </w:rPr>
            </w:pPr>
            <w:r>
              <w:rPr>
                <w:sz w:val="18"/>
              </w:rPr>
              <w:t>351,029</w:t>
            </w:r>
          </w:p>
        </w:tc>
      </w:tr>
      <w:tr w:rsidR="00FA4AA8" w14:paraId="78CA9BFC" w14:textId="77777777">
        <w:trPr>
          <w:trHeight w:val="256"/>
        </w:trPr>
        <w:tc>
          <w:tcPr>
            <w:tcW w:w="6974" w:type="dxa"/>
          </w:tcPr>
          <w:p w14:paraId="626EBF48" w14:textId="77777777" w:rsidR="00FA4AA8" w:rsidRDefault="0015611F">
            <w:pPr>
              <w:pStyle w:val="TableParagraph"/>
              <w:spacing w:before="26"/>
              <w:ind w:left="50"/>
              <w:rPr>
                <w:sz w:val="18"/>
              </w:rPr>
            </w:pPr>
            <w:r>
              <w:rPr>
                <w:sz w:val="18"/>
              </w:rPr>
              <w:t>Other expenses</w:t>
            </w:r>
          </w:p>
        </w:tc>
        <w:tc>
          <w:tcPr>
            <w:tcW w:w="1414" w:type="dxa"/>
            <w:tcBorders>
              <w:bottom w:val="single" w:sz="8" w:space="0" w:color="000000"/>
            </w:tcBorders>
          </w:tcPr>
          <w:p w14:paraId="4DAD1A40" w14:textId="77777777" w:rsidR="00FA4AA8" w:rsidRDefault="0015611F">
            <w:pPr>
              <w:pStyle w:val="TableParagraph"/>
              <w:spacing w:before="24"/>
              <w:ind w:right="205"/>
              <w:jc w:val="right"/>
              <w:rPr>
                <w:sz w:val="18"/>
              </w:rPr>
            </w:pPr>
            <w:r>
              <w:rPr>
                <w:sz w:val="18"/>
              </w:rPr>
              <w:t>830,433</w:t>
            </w:r>
          </w:p>
        </w:tc>
        <w:tc>
          <w:tcPr>
            <w:tcW w:w="1140" w:type="dxa"/>
            <w:tcBorders>
              <w:bottom w:val="single" w:sz="8" w:space="0" w:color="000000"/>
            </w:tcBorders>
          </w:tcPr>
          <w:p w14:paraId="04D4F513" w14:textId="77777777" w:rsidR="00FA4AA8" w:rsidRDefault="0015611F">
            <w:pPr>
              <w:pStyle w:val="TableParagraph"/>
              <w:spacing w:before="24"/>
              <w:ind w:right="87"/>
              <w:jc w:val="right"/>
              <w:rPr>
                <w:sz w:val="18"/>
              </w:rPr>
            </w:pPr>
            <w:r>
              <w:rPr>
                <w:sz w:val="18"/>
              </w:rPr>
              <w:t>486,648</w:t>
            </w:r>
          </w:p>
        </w:tc>
      </w:tr>
      <w:tr w:rsidR="00FA4AA8" w14:paraId="2BFE38BC" w14:textId="77777777">
        <w:trPr>
          <w:trHeight w:val="318"/>
        </w:trPr>
        <w:tc>
          <w:tcPr>
            <w:tcW w:w="6974" w:type="dxa"/>
          </w:tcPr>
          <w:p w14:paraId="0FCF1AB2" w14:textId="77777777" w:rsidR="00FA4AA8" w:rsidRDefault="00FA4AA8">
            <w:pPr>
              <w:pStyle w:val="TableParagraph"/>
              <w:rPr>
                <w:rFonts w:ascii="Times New Roman"/>
                <w:sz w:val="18"/>
              </w:rPr>
            </w:pPr>
          </w:p>
        </w:tc>
        <w:tc>
          <w:tcPr>
            <w:tcW w:w="1414" w:type="dxa"/>
            <w:tcBorders>
              <w:top w:val="single" w:sz="8" w:space="0" w:color="000000"/>
              <w:bottom w:val="single" w:sz="8" w:space="0" w:color="000000"/>
            </w:tcBorders>
          </w:tcPr>
          <w:p w14:paraId="173FD3CB" w14:textId="77777777" w:rsidR="00FA4AA8" w:rsidRDefault="0015611F">
            <w:pPr>
              <w:pStyle w:val="TableParagraph"/>
              <w:spacing w:before="115" w:line="183" w:lineRule="exact"/>
              <w:ind w:right="205"/>
              <w:jc w:val="right"/>
              <w:rPr>
                <w:sz w:val="18"/>
              </w:rPr>
            </w:pPr>
            <w:r>
              <w:rPr>
                <w:sz w:val="18"/>
              </w:rPr>
              <w:t>837,677</w:t>
            </w:r>
          </w:p>
        </w:tc>
        <w:tc>
          <w:tcPr>
            <w:tcW w:w="1140" w:type="dxa"/>
            <w:tcBorders>
              <w:top w:val="single" w:sz="8" w:space="0" w:color="000000"/>
              <w:bottom w:val="single" w:sz="8" w:space="0" w:color="000000"/>
            </w:tcBorders>
          </w:tcPr>
          <w:p w14:paraId="06ACBDE9" w14:textId="77777777" w:rsidR="00FA4AA8" w:rsidRDefault="0015611F">
            <w:pPr>
              <w:pStyle w:val="TableParagraph"/>
              <w:spacing w:before="115" w:line="183" w:lineRule="exact"/>
              <w:ind w:right="87"/>
              <w:jc w:val="right"/>
              <w:rPr>
                <w:sz w:val="18"/>
              </w:rPr>
            </w:pPr>
            <w:r>
              <w:rPr>
                <w:sz w:val="18"/>
              </w:rPr>
              <w:t>837,677</w:t>
            </w:r>
          </w:p>
        </w:tc>
      </w:tr>
      <w:tr w:rsidR="00FA4AA8" w14:paraId="3C485129" w14:textId="77777777">
        <w:trPr>
          <w:trHeight w:val="381"/>
        </w:trPr>
        <w:tc>
          <w:tcPr>
            <w:tcW w:w="6974" w:type="dxa"/>
          </w:tcPr>
          <w:p w14:paraId="52D35AC3" w14:textId="77777777" w:rsidR="00FA4AA8" w:rsidRDefault="0015611F">
            <w:pPr>
              <w:pStyle w:val="TableParagraph"/>
              <w:spacing w:before="115"/>
              <w:ind w:left="50"/>
              <w:rPr>
                <w:b/>
                <w:sz w:val="18"/>
              </w:rPr>
            </w:pPr>
            <w:r>
              <w:rPr>
                <w:b/>
                <w:sz w:val="18"/>
              </w:rPr>
              <w:t>Note 3 Expenses</w:t>
            </w:r>
          </w:p>
        </w:tc>
        <w:tc>
          <w:tcPr>
            <w:tcW w:w="1414" w:type="dxa"/>
            <w:tcBorders>
              <w:top w:val="single" w:sz="8" w:space="0" w:color="000000"/>
            </w:tcBorders>
          </w:tcPr>
          <w:p w14:paraId="114DDC36" w14:textId="77777777" w:rsidR="00FA4AA8" w:rsidRDefault="00FA4AA8">
            <w:pPr>
              <w:pStyle w:val="TableParagraph"/>
              <w:rPr>
                <w:rFonts w:ascii="Times New Roman"/>
                <w:sz w:val="18"/>
              </w:rPr>
            </w:pPr>
          </w:p>
        </w:tc>
        <w:tc>
          <w:tcPr>
            <w:tcW w:w="1140" w:type="dxa"/>
            <w:tcBorders>
              <w:top w:val="single" w:sz="8" w:space="0" w:color="000000"/>
            </w:tcBorders>
          </w:tcPr>
          <w:p w14:paraId="7305B046" w14:textId="77777777" w:rsidR="00FA4AA8" w:rsidRDefault="00FA4AA8">
            <w:pPr>
              <w:pStyle w:val="TableParagraph"/>
              <w:rPr>
                <w:rFonts w:ascii="Times New Roman"/>
                <w:sz w:val="18"/>
              </w:rPr>
            </w:pPr>
          </w:p>
        </w:tc>
      </w:tr>
      <w:tr w:rsidR="00FA4AA8" w14:paraId="78863B11" w14:textId="77777777">
        <w:trPr>
          <w:trHeight w:val="527"/>
        </w:trPr>
        <w:tc>
          <w:tcPr>
            <w:tcW w:w="6974" w:type="dxa"/>
          </w:tcPr>
          <w:p w14:paraId="3D5E62BE" w14:textId="77777777" w:rsidR="00FA4AA8" w:rsidRDefault="0015611F">
            <w:pPr>
              <w:pStyle w:val="TableParagraph"/>
              <w:spacing w:before="53"/>
              <w:ind w:left="50"/>
              <w:rPr>
                <w:b/>
                <w:sz w:val="18"/>
              </w:rPr>
            </w:pPr>
            <w:r>
              <w:rPr>
                <w:b/>
                <w:sz w:val="18"/>
              </w:rPr>
              <w:t>Employee related expenses</w:t>
            </w:r>
          </w:p>
          <w:p w14:paraId="68FEEC7C" w14:textId="77777777" w:rsidR="00FA4AA8" w:rsidRDefault="0015611F">
            <w:pPr>
              <w:pStyle w:val="TableParagraph"/>
              <w:spacing w:before="30"/>
              <w:ind w:left="50"/>
              <w:rPr>
                <w:sz w:val="18"/>
              </w:rPr>
            </w:pPr>
            <w:r>
              <w:rPr>
                <w:sz w:val="18"/>
              </w:rPr>
              <w:t>Salaries and wages</w:t>
            </w:r>
          </w:p>
        </w:tc>
        <w:tc>
          <w:tcPr>
            <w:tcW w:w="1414" w:type="dxa"/>
          </w:tcPr>
          <w:p w14:paraId="16C34C9B" w14:textId="77777777" w:rsidR="00FA4AA8" w:rsidRDefault="00FA4AA8">
            <w:pPr>
              <w:pStyle w:val="TableParagraph"/>
              <w:rPr>
                <w:sz w:val="25"/>
              </w:rPr>
            </w:pPr>
          </w:p>
          <w:p w14:paraId="5D5E9DF0" w14:textId="77777777" w:rsidR="00FA4AA8" w:rsidRDefault="0015611F">
            <w:pPr>
              <w:pStyle w:val="TableParagraph"/>
              <w:spacing w:before="1"/>
              <w:ind w:right="205"/>
              <w:jc w:val="right"/>
              <w:rPr>
                <w:sz w:val="18"/>
              </w:rPr>
            </w:pPr>
            <w:r>
              <w:rPr>
                <w:sz w:val="18"/>
              </w:rPr>
              <w:t>5,163,728</w:t>
            </w:r>
          </w:p>
        </w:tc>
        <w:tc>
          <w:tcPr>
            <w:tcW w:w="1140" w:type="dxa"/>
          </w:tcPr>
          <w:p w14:paraId="11DDF2E8" w14:textId="77777777" w:rsidR="00FA4AA8" w:rsidRDefault="00FA4AA8">
            <w:pPr>
              <w:pStyle w:val="TableParagraph"/>
              <w:rPr>
                <w:sz w:val="25"/>
              </w:rPr>
            </w:pPr>
          </w:p>
          <w:p w14:paraId="0ABC6548" w14:textId="77777777" w:rsidR="00FA4AA8" w:rsidRDefault="0015611F">
            <w:pPr>
              <w:pStyle w:val="TableParagraph"/>
              <w:spacing w:before="1"/>
              <w:ind w:right="87"/>
              <w:jc w:val="right"/>
              <w:rPr>
                <w:sz w:val="18"/>
              </w:rPr>
            </w:pPr>
            <w:r>
              <w:rPr>
                <w:sz w:val="18"/>
              </w:rPr>
              <w:t>4,845,346</w:t>
            </w:r>
          </w:p>
        </w:tc>
      </w:tr>
      <w:tr w:rsidR="00FA4AA8" w14:paraId="242F365C" w14:textId="77777777">
        <w:trPr>
          <w:trHeight w:val="263"/>
        </w:trPr>
        <w:tc>
          <w:tcPr>
            <w:tcW w:w="6974" w:type="dxa"/>
          </w:tcPr>
          <w:p w14:paraId="5094F90E" w14:textId="77777777" w:rsidR="00FA4AA8" w:rsidRDefault="0015611F">
            <w:pPr>
              <w:pStyle w:val="TableParagraph"/>
              <w:spacing w:before="26"/>
              <w:ind w:left="50"/>
              <w:rPr>
                <w:sz w:val="18"/>
              </w:rPr>
            </w:pPr>
            <w:r>
              <w:rPr>
                <w:sz w:val="18"/>
              </w:rPr>
              <w:t>Superannuation</w:t>
            </w:r>
          </w:p>
        </w:tc>
        <w:tc>
          <w:tcPr>
            <w:tcW w:w="1414" w:type="dxa"/>
          </w:tcPr>
          <w:p w14:paraId="7E236DEA" w14:textId="77777777" w:rsidR="00FA4AA8" w:rsidRDefault="0015611F">
            <w:pPr>
              <w:pStyle w:val="TableParagraph"/>
              <w:spacing w:before="24"/>
              <w:ind w:right="205"/>
              <w:jc w:val="right"/>
              <w:rPr>
                <w:sz w:val="18"/>
              </w:rPr>
            </w:pPr>
            <w:r>
              <w:rPr>
                <w:sz w:val="18"/>
              </w:rPr>
              <w:t>449,820</w:t>
            </w:r>
          </w:p>
        </w:tc>
        <w:tc>
          <w:tcPr>
            <w:tcW w:w="1140" w:type="dxa"/>
          </w:tcPr>
          <w:p w14:paraId="303CB66D" w14:textId="77777777" w:rsidR="00FA4AA8" w:rsidRDefault="0015611F">
            <w:pPr>
              <w:pStyle w:val="TableParagraph"/>
              <w:spacing w:before="24"/>
              <w:ind w:right="87"/>
              <w:jc w:val="right"/>
              <w:rPr>
                <w:sz w:val="18"/>
              </w:rPr>
            </w:pPr>
            <w:r>
              <w:rPr>
                <w:sz w:val="18"/>
              </w:rPr>
              <w:t>449,820</w:t>
            </w:r>
          </w:p>
        </w:tc>
      </w:tr>
      <w:tr w:rsidR="00FA4AA8" w14:paraId="1F97797D" w14:textId="77777777">
        <w:trPr>
          <w:trHeight w:val="264"/>
        </w:trPr>
        <w:tc>
          <w:tcPr>
            <w:tcW w:w="6974" w:type="dxa"/>
          </w:tcPr>
          <w:p w14:paraId="42453B31" w14:textId="77777777" w:rsidR="00FA4AA8" w:rsidRDefault="0015611F">
            <w:pPr>
              <w:pStyle w:val="TableParagraph"/>
              <w:spacing w:before="26"/>
              <w:ind w:left="50"/>
              <w:rPr>
                <w:sz w:val="18"/>
              </w:rPr>
            </w:pPr>
            <w:r>
              <w:rPr>
                <w:sz w:val="18"/>
              </w:rPr>
              <w:t>Worker's compensation</w:t>
            </w:r>
          </w:p>
        </w:tc>
        <w:tc>
          <w:tcPr>
            <w:tcW w:w="1414" w:type="dxa"/>
          </w:tcPr>
          <w:p w14:paraId="74FCA37C" w14:textId="77777777" w:rsidR="00FA4AA8" w:rsidRDefault="0015611F">
            <w:pPr>
              <w:pStyle w:val="TableParagraph"/>
              <w:spacing w:before="24"/>
              <w:ind w:right="205"/>
              <w:jc w:val="right"/>
              <w:rPr>
                <w:sz w:val="18"/>
              </w:rPr>
            </w:pPr>
            <w:r>
              <w:rPr>
                <w:sz w:val="18"/>
              </w:rPr>
              <w:t>55,654</w:t>
            </w:r>
          </w:p>
        </w:tc>
        <w:tc>
          <w:tcPr>
            <w:tcW w:w="1140" w:type="dxa"/>
          </w:tcPr>
          <w:p w14:paraId="1B18C057" w14:textId="77777777" w:rsidR="00FA4AA8" w:rsidRDefault="0015611F">
            <w:pPr>
              <w:pStyle w:val="TableParagraph"/>
              <w:spacing w:before="24"/>
              <w:ind w:right="87"/>
              <w:jc w:val="right"/>
              <w:rPr>
                <w:sz w:val="18"/>
              </w:rPr>
            </w:pPr>
            <w:r>
              <w:rPr>
                <w:sz w:val="18"/>
              </w:rPr>
              <w:t>55,654</w:t>
            </w:r>
          </w:p>
        </w:tc>
      </w:tr>
      <w:tr w:rsidR="00FA4AA8" w14:paraId="454C7E21" w14:textId="77777777">
        <w:trPr>
          <w:trHeight w:val="263"/>
        </w:trPr>
        <w:tc>
          <w:tcPr>
            <w:tcW w:w="6974" w:type="dxa"/>
          </w:tcPr>
          <w:p w14:paraId="111C6683" w14:textId="77777777" w:rsidR="00FA4AA8" w:rsidRDefault="0015611F">
            <w:pPr>
              <w:pStyle w:val="TableParagraph"/>
              <w:spacing w:before="26"/>
              <w:ind w:left="50"/>
              <w:rPr>
                <w:sz w:val="18"/>
              </w:rPr>
            </w:pPr>
            <w:r>
              <w:rPr>
                <w:sz w:val="18"/>
              </w:rPr>
              <w:t>Annual and long service leave</w:t>
            </w:r>
          </w:p>
        </w:tc>
        <w:tc>
          <w:tcPr>
            <w:tcW w:w="1414" w:type="dxa"/>
          </w:tcPr>
          <w:p w14:paraId="0995689D" w14:textId="77777777" w:rsidR="00FA4AA8" w:rsidRDefault="0015611F">
            <w:pPr>
              <w:pStyle w:val="TableParagraph"/>
              <w:spacing w:before="24"/>
              <w:ind w:right="205"/>
              <w:jc w:val="right"/>
              <w:rPr>
                <w:sz w:val="18"/>
              </w:rPr>
            </w:pPr>
            <w:r>
              <w:rPr>
                <w:sz w:val="18"/>
              </w:rPr>
              <w:t>147,484</w:t>
            </w:r>
          </w:p>
        </w:tc>
        <w:tc>
          <w:tcPr>
            <w:tcW w:w="1140" w:type="dxa"/>
          </w:tcPr>
          <w:p w14:paraId="43DB0B47" w14:textId="77777777" w:rsidR="00FA4AA8" w:rsidRDefault="0015611F">
            <w:pPr>
              <w:pStyle w:val="TableParagraph"/>
              <w:spacing w:before="24"/>
              <w:ind w:right="87"/>
              <w:jc w:val="right"/>
              <w:rPr>
                <w:sz w:val="18"/>
              </w:rPr>
            </w:pPr>
            <w:r>
              <w:rPr>
                <w:sz w:val="18"/>
              </w:rPr>
              <w:t>465,866</w:t>
            </w:r>
          </w:p>
        </w:tc>
      </w:tr>
      <w:tr w:rsidR="00FA4AA8" w14:paraId="13BC1057" w14:textId="77777777">
        <w:trPr>
          <w:trHeight w:val="256"/>
        </w:trPr>
        <w:tc>
          <w:tcPr>
            <w:tcW w:w="6974" w:type="dxa"/>
          </w:tcPr>
          <w:p w14:paraId="228FA1F0" w14:textId="77777777" w:rsidR="00FA4AA8" w:rsidRDefault="0015611F">
            <w:pPr>
              <w:pStyle w:val="TableParagraph"/>
              <w:spacing w:before="26"/>
              <w:ind w:left="50"/>
              <w:rPr>
                <w:sz w:val="18"/>
              </w:rPr>
            </w:pPr>
            <w:r>
              <w:rPr>
                <w:sz w:val="18"/>
              </w:rPr>
              <w:t>Other</w:t>
            </w:r>
          </w:p>
        </w:tc>
        <w:tc>
          <w:tcPr>
            <w:tcW w:w="1414" w:type="dxa"/>
            <w:tcBorders>
              <w:bottom w:val="single" w:sz="8" w:space="0" w:color="000000"/>
            </w:tcBorders>
          </w:tcPr>
          <w:p w14:paraId="7B4447E1" w14:textId="77777777" w:rsidR="00FA4AA8" w:rsidRDefault="0015611F">
            <w:pPr>
              <w:pStyle w:val="TableParagraph"/>
              <w:spacing w:before="24"/>
              <w:ind w:right="205"/>
              <w:jc w:val="right"/>
              <w:rPr>
                <w:sz w:val="18"/>
              </w:rPr>
            </w:pPr>
            <w:r>
              <w:rPr>
                <w:sz w:val="18"/>
              </w:rPr>
              <w:t>12,508</w:t>
            </w:r>
          </w:p>
        </w:tc>
        <w:tc>
          <w:tcPr>
            <w:tcW w:w="1140" w:type="dxa"/>
            <w:tcBorders>
              <w:bottom w:val="single" w:sz="8" w:space="0" w:color="000000"/>
            </w:tcBorders>
          </w:tcPr>
          <w:p w14:paraId="05867ED3" w14:textId="77777777" w:rsidR="00FA4AA8" w:rsidRDefault="0015611F">
            <w:pPr>
              <w:pStyle w:val="TableParagraph"/>
              <w:spacing w:before="24"/>
              <w:ind w:right="87"/>
              <w:jc w:val="right"/>
              <w:rPr>
                <w:sz w:val="18"/>
              </w:rPr>
            </w:pPr>
            <w:r>
              <w:rPr>
                <w:sz w:val="18"/>
              </w:rPr>
              <w:t>12,508</w:t>
            </w:r>
          </w:p>
        </w:tc>
      </w:tr>
      <w:tr w:rsidR="00FA4AA8" w14:paraId="65E1CA43" w14:textId="77777777">
        <w:trPr>
          <w:trHeight w:val="318"/>
        </w:trPr>
        <w:tc>
          <w:tcPr>
            <w:tcW w:w="6974" w:type="dxa"/>
          </w:tcPr>
          <w:p w14:paraId="30CB891C" w14:textId="77777777" w:rsidR="00FA4AA8" w:rsidRDefault="0015611F">
            <w:pPr>
              <w:pStyle w:val="TableParagraph"/>
              <w:spacing w:before="115" w:line="183" w:lineRule="exact"/>
              <w:ind w:left="50"/>
              <w:rPr>
                <w:b/>
                <w:sz w:val="18"/>
              </w:rPr>
            </w:pPr>
            <w:r>
              <w:rPr>
                <w:b/>
                <w:sz w:val="18"/>
              </w:rPr>
              <w:t>Total employee related expenses</w:t>
            </w:r>
          </w:p>
        </w:tc>
        <w:tc>
          <w:tcPr>
            <w:tcW w:w="1414" w:type="dxa"/>
            <w:tcBorders>
              <w:top w:val="single" w:sz="8" w:space="0" w:color="000000"/>
              <w:bottom w:val="single" w:sz="8" w:space="0" w:color="000000"/>
            </w:tcBorders>
          </w:tcPr>
          <w:p w14:paraId="0B57D729" w14:textId="77777777" w:rsidR="00FA4AA8" w:rsidRDefault="0015611F">
            <w:pPr>
              <w:pStyle w:val="TableParagraph"/>
              <w:spacing w:before="115" w:line="183" w:lineRule="exact"/>
              <w:ind w:right="205"/>
              <w:jc w:val="right"/>
              <w:rPr>
                <w:sz w:val="18"/>
              </w:rPr>
            </w:pPr>
            <w:r>
              <w:rPr>
                <w:sz w:val="18"/>
              </w:rPr>
              <w:t>5,829,194</w:t>
            </w:r>
          </w:p>
        </w:tc>
        <w:tc>
          <w:tcPr>
            <w:tcW w:w="1140" w:type="dxa"/>
            <w:tcBorders>
              <w:top w:val="single" w:sz="8" w:space="0" w:color="000000"/>
              <w:bottom w:val="single" w:sz="8" w:space="0" w:color="000000"/>
            </w:tcBorders>
          </w:tcPr>
          <w:p w14:paraId="43E5E728" w14:textId="77777777" w:rsidR="00FA4AA8" w:rsidRDefault="0015611F">
            <w:pPr>
              <w:pStyle w:val="TableParagraph"/>
              <w:spacing w:before="115" w:line="183" w:lineRule="exact"/>
              <w:ind w:right="87"/>
              <w:jc w:val="right"/>
              <w:rPr>
                <w:sz w:val="18"/>
              </w:rPr>
            </w:pPr>
            <w:r>
              <w:rPr>
                <w:sz w:val="18"/>
              </w:rPr>
              <w:t>5,829,194</w:t>
            </w:r>
          </w:p>
        </w:tc>
      </w:tr>
      <w:tr w:rsidR="00FA4AA8" w14:paraId="728B965D" w14:textId="77777777">
        <w:trPr>
          <w:trHeight w:val="849"/>
        </w:trPr>
        <w:tc>
          <w:tcPr>
            <w:tcW w:w="6974" w:type="dxa"/>
          </w:tcPr>
          <w:p w14:paraId="2219594A" w14:textId="77777777" w:rsidR="00FA4AA8" w:rsidRDefault="00FA4AA8">
            <w:pPr>
              <w:pStyle w:val="TableParagraph"/>
              <w:rPr>
                <w:sz w:val="20"/>
              </w:rPr>
            </w:pPr>
          </w:p>
          <w:p w14:paraId="41832368" w14:textId="77777777" w:rsidR="00FA4AA8" w:rsidRDefault="0015611F">
            <w:pPr>
              <w:pStyle w:val="TableParagraph"/>
              <w:spacing w:before="144"/>
              <w:ind w:left="50"/>
              <w:rPr>
                <w:b/>
                <w:sz w:val="18"/>
              </w:rPr>
            </w:pPr>
            <w:r>
              <w:rPr>
                <w:b/>
                <w:sz w:val="18"/>
              </w:rPr>
              <w:t>Consumables and supplies</w:t>
            </w:r>
          </w:p>
          <w:p w14:paraId="5EF2171C" w14:textId="77777777" w:rsidR="00FA4AA8" w:rsidRDefault="0015611F">
            <w:pPr>
              <w:pStyle w:val="TableParagraph"/>
              <w:spacing w:before="31"/>
              <w:ind w:left="50"/>
              <w:rPr>
                <w:sz w:val="18"/>
              </w:rPr>
            </w:pPr>
            <w:r>
              <w:rPr>
                <w:sz w:val="18"/>
              </w:rPr>
              <w:t>Consumables</w:t>
            </w:r>
          </w:p>
        </w:tc>
        <w:tc>
          <w:tcPr>
            <w:tcW w:w="1414" w:type="dxa"/>
            <w:tcBorders>
              <w:top w:val="single" w:sz="8" w:space="0" w:color="000000"/>
            </w:tcBorders>
          </w:tcPr>
          <w:p w14:paraId="086D6E35" w14:textId="77777777" w:rsidR="00FA4AA8" w:rsidRDefault="00FA4AA8">
            <w:pPr>
              <w:pStyle w:val="TableParagraph"/>
              <w:rPr>
                <w:sz w:val="20"/>
              </w:rPr>
            </w:pPr>
          </w:p>
          <w:p w14:paraId="6929A358" w14:textId="77777777" w:rsidR="00FA4AA8" w:rsidRDefault="00FA4AA8">
            <w:pPr>
              <w:pStyle w:val="TableParagraph"/>
              <w:rPr>
                <w:sz w:val="20"/>
              </w:rPr>
            </w:pPr>
          </w:p>
          <w:p w14:paraId="7D6C5ABB" w14:textId="77777777" w:rsidR="00FA4AA8" w:rsidRDefault="0015611F">
            <w:pPr>
              <w:pStyle w:val="TableParagraph"/>
              <w:spacing w:before="149"/>
              <w:ind w:right="204"/>
              <w:jc w:val="right"/>
              <w:rPr>
                <w:sz w:val="18"/>
              </w:rPr>
            </w:pPr>
            <w:r>
              <w:rPr>
                <w:sz w:val="18"/>
              </w:rPr>
              <w:t>-</w:t>
            </w:r>
          </w:p>
        </w:tc>
        <w:tc>
          <w:tcPr>
            <w:tcW w:w="1140" w:type="dxa"/>
            <w:tcBorders>
              <w:top w:val="single" w:sz="8" w:space="0" w:color="000000"/>
            </w:tcBorders>
          </w:tcPr>
          <w:p w14:paraId="40E1AA20" w14:textId="77777777" w:rsidR="00FA4AA8" w:rsidRDefault="00FA4AA8">
            <w:pPr>
              <w:pStyle w:val="TableParagraph"/>
              <w:rPr>
                <w:sz w:val="20"/>
              </w:rPr>
            </w:pPr>
          </w:p>
          <w:p w14:paraId="2C486092" w14:textId="77777777" w:rsidR="00FA4AA8" w:rsidRDefault="00FA4AA8">
            <w:pPr>
              <w:pStyle w:val="TableParagraph"/>
              <w:rPr>
                <w:sz w:val="20"/>
              </w:rPr>
            </w:pPr>
          </w:p>
          <w:p w14:paraId="6FAD9DCC" w14:textId="77777777" w:rsidR="00FA4AA8" w:rsidRDefault="0015611F">
            <w:pPr>
              <w:pStyle w:val="TableParagraph"/>
              <w:spacing w:before="149"/>
              <w:ind w:right="87"/>
              <w:jc w:val="right"/>
              <w:rPr>
                <w:sz w:val="18"/>
              </w:rPr>
            </w:pPr>
            <w:r>
              <w:rPr>
                <w:sz w:val="18"/>
              </w:rPr>
              <w:t>231,365</w:t>
            </w:r>
          </w:p>
        </w:tc>
      </w:tr>
      <w:tr w:rsidR="00FA4AA8" w14:paraId="1DE95EA0" w14:textId="77777777">
        <w:trPr>
          <w:trHeight w:val="256"/>
        </w:trPr>
        <w:tc>
          <w:tcPr>
            <w:tcW w:w="6974" w:type="dxa"/>
          </w:tcPr>
          <w:p w14:paraId="70146658" w14:textId="77777777" w:rsidR="00FA4AA8" w:rsidRDefault="0015611F">
            <w:pPr>
              <w:pStyle w:val="TableParagraph"/>
              <w:spacing w:before="26"/>
              <w:ind w:left="50"/>
              <w:rPr>
                <w:sz w:val="18"/>
              </w:rPr>
            </w:pPr>
            <w:r>
              <w:rPr>
                <w:sz w:val="18"/>
              </w:rPr>
              <w:t>Centre resources and supplies</w:t>
            </w:r>
          </w:p>
        </w:tc>
        <w:tc>
          <w:tcPr>
            <w:tcW w:w="1414" w:type="dxa"/>
            <w:tcBorders>
              <w:bottom w:val="single" w:sz="8" w:space="0" w:color="000000"/>
            </w:tcBorders>
          </w:tcPr>
          <w:p w14:paraId="59A721D9" w14:textId="77777777" w:rsidR="00FA4AA8" w:rsidRDefault="0015611F">
            <w:pPr>
              <w:pStyle w:val="TableParagraph"/>
              <w:spacing w:before="24"/>
              <w:ind w:right="204"/>
              <w:jc w:val="right"/>
              <w:rPr>
                <w:sz w:val="18"/>
              </w:rPr>
            </w:pPr>
            <w:r>
              <w:rPr>
                <w:sz w:val="18"/>
              </w:rPr>
              <w:t>-</w:t>
            </w:r>
          </w:p>
        </w:tc>
        <w:tc>
          <w:tcPr>
            <w:tcW w:w="1140" w:type="dxa"/>
            <w:tcBorders>
              <w:bottom w:val="single" w:sz="8" w:space="0" w:color="000000"/>
            </w:tcBorders>
          </w:tcPr>
          <w:p w14:paraId="7BCA609D" w14:textId="77777777" w:rsidR="00FA4AA8" w:rsidRDefault="0015611F">
            <w:pPr>
              <w:pStyle w:val="TableParagraph"/>
              <w:spacing w:before="24"/>
              <w:ind w:right="87"/>
              <w:jc w:val="right"/>
              <w:rPr>
                <w:sz w:val="18"/>
              </w:rPr>
            </w:pPr>
            <w:r>
              <w:rPr>
                <w:sz w:val="18"/>
              </w:rPr>
              <w:t>119,664</w:t>
            </w:r>
          </w:p>
        </w:tc>
      </w:tr>
      <w:tr w:rsidR="00FA4AA8" w14:paraId="384A6311" w14:textId="77777777">
        <w:trPr>
          <w:trHeight w:val="318"/>
        </w:trPr>
        <w:tc>
          <w:tcPr>
            <w:tcW w:w="6974" w:type="dxa"/>
          </w:tcPr>
          <w:p w14:paraId="1CDFCFB5" w14:textId="77777777" w:rsidR="00FA4AA8" w:rsidRDefault="0015611F">
            <w:pPr>
              <w:pStyle w:val="TableParagraph"/>
              <w:spacing w:before="115" w:line="183" w:lineRule="exact"/>
              <w:ind w:left="50"/>
              <w:rPr>
                <w:b/>
                <w:sz w:val="18"/>
              </w:rPr>
            </w:pPr>
            <w:r>
              <w:rPr>
                <w:b/>
                <w:sz w:val="18"/>
              </w:rPr>
              <w:t>Total consumables and supplies</w:t>
            </w:r>
          </w:p>
        </w:tc>
        <w:tc>
          <w:tcPr>
            <w:tcW w:w="1414" w:type="dxa"/>
            <w:tcBorders>
              <w:top w:val="single" w:sz="8" w:space="0" w:color="000000"/>
              <w:bottom w:val="single" w:sz="8" w:space="0" w:color="000000"/>
            </w:tcBorders>
          </w:tcPr>
          <w:p w14:paraId="51301357" w14:textId="77777777" w:rsidR="00FA4AA8" w:rsidRDefault="0015611F">
            <w:pPr>
              <w:pStyle w:val="TableParagraph"/>
              <w:spacing w:before="115" w:line="183" w:lineRule="exact"/>
              <w:ind w:right="204"/>
              <w:jc w:val="right"/>
              <w:rPr>
                <w:sz w:val="18"/>
              </w:rPr>
            </w:pPr>
            <w:r>
              <w:rPr>
                <w:sz w:val="18"/>
              </w:rPr>
              <w:t>-</w:t>
            </w:r>
          </w:p>
        </w:tc>
        <w:tc>
          <w:tcPr>
            <w:tcW w:w="1140" w:type="dxa"/>
            <w:tcBorders>
              <w:top w:val="single" w:sz="8" w:space="0" w:color="000000"/>
              <w:bottom w:val="single" w:sz="8" w:space="0" w:color="000000"/>
            </w:tcBorders>
          </w:tcPr>
          <w:p w14:paraId="3C62E079" w14:textId="77777777" w:rsidR="00FA4AA8" w:rsidRDefault="0015611F">
            <w:pPr>
              <w:pStyle w:val="TableParagraph"/>
              <w:spacing w:before="115" w:line="183" w:lineRule="exact"/>
              <w:ind w:right="87"/>
              <w:jc w:val="right"/>
              <w:rPr>
                <w:sz w:val="18"/>
              </w:rPr>
            </w:pPr>
            <w:r>
              <w:rPr>
                <w:sz w:val="18"/>
              </w:rPr>
              <w:t>351,029</w:t>
            </w:r>
          </w:p>
        </w:tc>
      </w:tr>
      <w:tr w:rsidR="00FA4AA8" w14:paraId="50F99583" w14:textId="77777777">
        <w:trPr>
          <w:trHeight w:val="849"/>
        </w:trPr>
        <w:tc>
          <w:tcPr>
            <w:tcW w:w="6974" w:type="dxa"/>
          </w:tcPr>
          <w:p w14:paraId="18C7463D" w14:textId="77777777" w:rsidR="00FA4AA8" w:rsidRDefault="00FA4AA8">
            <w:pPr>
              <w:pStyle w:val="TableParagraph"/>
              <w:rPr>
                <w:sz w:val="20"/>
              </w:rPr>
            </w:pPr>
          </w:p>
          <w:p w14:paraId="2FDE5B71" w14:textId="77777777" w:rsidR="00FA4AA8" w:rsidRDefault="0015611F">
            <w:pPr>
              <w:pStyle w:val="TableParagraph"/>
              <w:spacing w:before="144"/>
              <w:ind w:left="50"/>
              <w:rPr>
                <w:b/>
                <w:sz w:val="18"/>
              </w:rPr>
            </w:pPr>
            <w:r>
              <w:rPr>
                <w:b/>
                <w:sz w:val="18"/>
              </w:rPr>
              <w:t>Other expenses</w:t>
            </w:r>
          </w:p>
          <w:p w14:paraId="0066CA42" w14:textId="77777777" w:rsidR="00FA4AA8" w:rsidRDefault="0015611F">
            <w:pPr>
              <w:pStyle w:val="TableParagraph"/>
              <w:spacing w:before="31"/>
              <w:ind w:left="50"/>
              <w:rPr>
                <w:sz w:val="18"/>
              </w:rPr>
            </w:pPr>
            <w:r>
              <w:rPr>
                <w:sz w:val="18"/>
              </w:rPr>
              <w:t>Consumables</w:t>
            </w:r>
          </w:p>
        </w:tc>
        <w:tc>
          <w:tcPr>
            <w:tcW w:w="1414" w:type="dxa"/>
            <w:tcBorders>
              <w:top w:val="single" w:sz="8" w:space="0" w:color="000000"/>
            </w:tcBorders>
          </w:tcPr>
          <w:p w14:paraId="0269EF0B" w14:textId="77777777" w:rsidR="00FA4AA8" w:rsidRDefault="00FA4AA8">
            <w:pPr>
              <w:pStyle w:val="TableParagraph"/>
              <w:rPr>
                <w:sz w:val="20"/>
              </w:rPr>
            </w:pPr>
          </w:p>
          <w:p w14:paraId="35041ACB" w14:textId="77777777" w:rsidR="00FA4AA8" w:rsidRDefault="00FA4AA8">
            <w:pPr>
              <w:pStyle w:val="TableParagraph"/>
              <w:rPr>
                <w:sz w:val="20"/>
              </w:rPr>
            </w:pPr>
          </w:p>
          <w:p w14:paraId="79849C85" w14:textId="77777777" w:rsidR="00FA4AA8" w:rsidRDefault="0015611F">
            <w:pPr>
              <w:pStyle w:val="TableParagraph"/>
              <w:spacing w:before="149"/>
              <w:ind w:right="205"/>
              <w:jc w:val="right"/>
              <w:rPr>
                <w:sz w:val="18"/>
              </w:rPr>
            </w:pPr>
            <w:r>
              <w:rPr>
                <w:sz w:val="18"/>
              </w:rPr>
              <w:t>231,365</w:t>
            </w:r>
          </w:p>
        </w:tc>
        <w:tc>
          <w:tcPr>
            <w:tcW w:w="1140" w:type="dxa"/>
            <w:tcBorders>
              <w:top w:val="single" w:sz="8" w:space="0" w:color="000000"/>
            </w:tcBorders>
          </w:tcPr>
          <w:p w14:paraId="6F75A2DF" w14:textId="77777777" w:rsidR="00FA4AA8" w:rsidRDefault="00FA4AA8">
            <w:pPr>
              <w:pStyle w:val="TableParagraph"/>
              <w:rPr>
                <w:sz w:val="20"/>
              </w:rPr>
            </w:pPr>
          </w:p>
          <w:p w14:paraId="0EF633AF" w14:textId="77777777" w:rsidR="00FA4AA8" w:rsidRDefault="00FA4AA8">
            <w:pPr>
              <w:pStyle w:val="TableParagraph"/>
              <w:rPr>
                <w:sz w:val="20"/>
              </w:rPr>
            </w:pPr>
          </w:p>
          <w:p w14:paraId="16297EFE" w14:textId="77777777" w:rsidR="00FA4AA8" w:rsidRDefault="0015611F">
            <w:pPr>
              <w:pStyle w:val="TableParagraph"/>
              <w:spacing w:before="149"/>
              <w:ind w:right="87"/>
              <w:jc w:val="right"/>
              <w:rPr>
                <w:sz w:val="18"/>
              </w:rPr>
            </w:pPr>
            <w:r>
              <w:rPr>
                <w:sz w:val="18"/>
              </w:rPr>
              <w:t>-</w:t>
            </w:r>
          </w:p>
        </w:tc>
      </w:tr>
      <w:tr w:rsidR="00FA4AA8" w14:paraId="4B1E1961" w14:textId="77777777">
        <w:trPr>
          <w:trHeight w:val="263"/>
        </w:trPr>
        <w:tc>
          <w:tcPr>
            <w:tcW w:w="6974" w:type="dxa"/>
          </w:tcPr>
          <w:p w14:paraId="11E9A81F" w14:textId="77777777" w:rsidR="00FA4AA8" w:rsidRDefault="0015611F">
            <w:pPr>
              <w:pStyle w:val="TableParagraph"/>
              <w:spacing w:before="26"/>
              <w:ind w:left="50"/>
              <w:rPr>
                <w:sz w:val="18"/>
              </w:rPr>
            </w:pPr>
            <w:r>
              <w:rPr>
                <w:sz w:val="18"/>
              </w:rPr>
              <w:t>Cleaning</w:t>
            </w:r>
          </w:p>
        </w:tc>
        <w:tc>
          <w:tcPr>
            <w:tcW w:w="1414" w:type="dxa"/>
          </w:tcPr>
          <w:p w14:paraId="4BE36575" w14:textId="77777777" w:rsidR="00FA4AA8" w:rsidRDefault="0015611F">
            <w:pPr>
              <w:pStyle w:val="TableParagraph"/>
              <w:spacing w:before="24"/>
              <w:ind w:right="205"/>
              <w:jc w:val="right"/>
              <w:rPr>
                <w:sz w:val="18"/>
              </w:rPr>
            </w:pPr>
            <w:r>
              <w:rPr>
                <w:sz w:val="18"/>
              </w:rPr>
              <w:t>162,294</w:t>
            </w:r>
          </w:p>
        </w:tc>
        <w:tc>
          <w:tcPr>
            <w:tcW w:w="1140" w:type="dxa"/>
          </w:tcPr>
          <w:p w14:paraId="6DB81C2F" w14:textId="77777777" w:rsidR="00FA4AA8" w:rsidRDefault="0015611F">
            <w:pPr>
              <w:pStyle w:val="TableParagraph"/>
              <w:spacing w:before="24"/>
              <w:ind w:right="87"/>
              <w:jc w:val="right"/>
              <w:rPr>
                <w:sz w:val="18"/>
              </w:rPr>
            </w:pPr>
            <w:r>
              <w:rPr>
                <w:sz w:val="18"/>
              </w:rPr>
              <w:t>162,294</w:t>
            </w:r>
          </w:p>
        </w:tc>
      </w:tr>
      <w:tr w:rsidR="00FA4AA8" w14:paraId="7BED546E" w14:textId="77777777">
        <w:trPr>
          <w:trHeight w:val="264"/>
        </w:trPr>
        <w:tc>
          <w:tcPr>
            <w:tcW w:w="6974" w:type="dxa"/>
          </w:tcPr>
          <w:p w14:paraId="5CC08410" w14:textId="77777777" w:rsidR="00FA4AA8" w:rsidRDefault="0015611F">
            <w:pPr>
              <w:pStyle w:val="TableParagraph"/>
              <w:spacing w:before="26"/>
              <w:ind w:left="50"/>
              <w:rPr>
                <w:sz w:val="18"/>
              </w:rPr>
            </w:pPr>
            <w:r>
              <w:rPr>
                <w:sz w:val="18"/>
              </w:rPr>
              <w:t>Centre resources and supplies</w:t>
            </w:r>
          </w:p>
        </w:tc>
        <w:tc>
          <w:tcPr>
            <w:tcW w:w="1414" w:type="dxa"/>
          </w:tcPr>
          <w:p w14:paraId="6097543E" w14:textId="77777777" w:rsidR="00FA4AA8" w:rsidRDefault="0015611F">
            <w:pPr>
              <w:pStyle w:val="TableParagraph"/>
              <w:spacing w:before="24"/>
              <w:ind w:right="205"/>
              <w:jc w:val="right"/>
              <w:rPr>
                <w:sz w:val="18"/>
              </w:rPr>
            </w:pPr>
            <w:r>
              <w:rPr>
                <w:sz w:val="18"/>
              </w:rPr>
              <w:t>119,664</w:t>
            </w:r>
          </w:p>
        </w:tc>
        <w:tc>
          <w:tcPr>
            <w:tcW w:w="1140" w:type="dxa"/>
          </w:tcPr>
          <w:p w14:paraId="2887C716" w14:textId="77777777" w:rsidR="00FA4AA8" w:rsidRDefault="0015611F">
            <w:pPr>
              <w:pStyle w:val="TableParagraph"/>
              <w:spacing w:before="24"/>
              <w:ind w:right="87"/>
              <w:jc w:val="right"/>
              <w:rPr>
                <w:sz w:val="18"/>
              </w:rPr>
            </w:pPr>
            <w:r>
              <w:rPr>
                <w:sz w:val="18"/>
              </w:rPr>
              <w:t>-</w:t>
            </w:r>
          </w:p>
        </w:tc>
      </w:tr>
      <w:tr w:rsidR="00FA4AA8" w14:paraId="70DAB0A2" w14:textId="77777777">
        <w:trPr>
          <w:trHeight w:val="263"/>
        </w:trPr>
        <w:tc>
          <w:tcPr>
            <w:tcW w:w="6974" w:type="dxa"/>
          </w:tcPr>
          <w:p w14:paraId="5ACCFE10" w14:textId="77777777" w:rsidR="00FA4AA8" w:rsidRDefault="0015611F">
            <w:pPr>
              <w:pStyle w:val="TableParagraph"/>
              <w:spacing w:before="26"/>
              <w:ind w:left="50"/>
              <w:rPr>
                <w:sz w:val="18"/>
              </w:rPr>
            </w:pPr>
            <w:r>
              <w:rPr>
                <w:sz w:val="18"/>
              </w:rPr>
              <w:t>Non-capitalised equipment</w:t>
            </w:r>
          </w:p>
        </w:tc>
        <w:tc>
          <w:tcPr>
            <w:tcW w:w="1414" w:type="dxa"/>
          </w:tcPr>
          <w:p w14:paraId="053BA0A1" w14:textId="77777777" w:rsidR="00FA4AA8" w:rsidRDefault="0015611F">
            <w:pPr>
              <w:pStyle w:val="TableParagraph"/>
              <w:spacing w:before="24"/>
              <w:ind w:right="205"/>
              <w:jc w:val="right"/>
              <w:rPr>
                <w:sz w:val="18"/>
              </w:rPr>
            </w:pPr>
            <w:r>
              <w:rPr>
                <w:sz w:val="18"/>
              </w:rPr>
              <w:t>74,203</w:t>
            </w:r>
          </w:p>
        </w:tc>
        <w:tc>
          <w:tcPr>
            <w:tcW w:w="1140" w:type="dxa"/>
          </w:tcPr>
          <w:p w14:paraId="5B8DFAC8" w14:textId="77777777" w:rsidR="00FA4AA8" w:rsidRDefault="0015611F">
            <w:pPr>
              <w:pStyle w:val="TableParagraph"/>
              <w:spacing w:before="24"/>
              <w:ind w:right="87"/>
              <w:jc w:val="right"/>
              <w:rPr>
                <w:sz w:val="18"/>
              </w:rPr>
            </w:pPr>
            <w:r>
              <w:rPr>
                <w:sz w:val="18"/>
              </w:rPr>
              <w:t>74,203</w:t>
            </w:r>
          </w:p>
        </w:tc>
      </w:tr>
      <w:tr w:rsidR="00FA4AA8" w14:paraId="242BFD29" w14:textId="77777777">
        <w:trPr>
          <w:trHeight w:val="263"/>
        </w:trPr>
        <w:tc>
          <w:tcPr>
            <w:tcW w:w="6974" w:type="dxa"/>
          </w:tcPr>
          <w:p w14:paraId="10B718DC" w14:textId="77777777" w:rsidR="00FA4AA8" w:rsidRDefault="0015611F">
            <w:pPr>
              <w:pStyle w:val="TableParagraph"/>
              <w:spacing w:before="26"/>
              <w:ind w:left="50"/>
              <w:rPr>
                <w:sz w:val="18"/>
              </w:rPr>
            </w:pPr>
            <w:r>
              <w:rPr>
                <w:sz w:val="18"/>
              </w:rPr>
              <w:t>Repairs and maintenance</w:t>
            </w:r>
          </w:p>
        </w:tc>
        <w:tc>
          <w:tcPr>
            <w:tcW w:w="1414" w:type="dxa"/>
          </w:tcPr>
          <w:p w14:paraId="5B4179E0" w14:textId="77777777" w:rsidR="00FA4AA8" w:rsidRDefault="0015611F">
            <w:pPr>
              <w:pStyle w:val="TableParagraph"/>
              <w:spacing w:before="24"/>
              <w:ind w:right="205"/>
              <w:jc w:val="right"/>
              <w:rPr>
                <w:sz w:val="18"/>
              </w:rPr>
            </w:pPr>
            <w:r>
              <w:rPr>
                <w:sz w:val="18"/>
              </w:rPr>
              <w:t>52,122</w:t>
            </w:r>
          </w:p>
        </w:tc>
        <w:tc>
          <w:tcPr>
            <w:tcW w:w="1140" w:type="dxa"/>
          </w:tcPr>
          <w:p w14:paraId="79ED6AED" w14:textId="77777777" w:rsidR="00FA4AA8" w:rsidRDefault="0015611F">
            <w:pPr>
              <w:pStyle w:val="TableParagraph"/>
              <w:spacing w:before="24"/>
              <w:ind w:right="87"/>
              <w:jc w:val="right"/>
              <w:rPr>
                <w:sz w:val="18"/>
              </w:rPr>
            </w:pPr>
            <w:r>
              <w:rPr>
                <w:sz w:val="18"/>
              </w:rPr>
              <w:t>52,122</w:t>
            </w:r>
          </w:p>
        </w:tc>
      </w:tr>
      <w:tr w:rsidR="00FA4AA8" w14:paraId="61941BBF" w14:textId="77777777">
        <w:trPr>
          <w:trHeight w:val="263"/>
        </w:trPr>
        <w:tc>
          <w:tcPr>
            <w:tcW w:w="6974" w:type="dxa"/>
          </w:tcPr>
          <w:p w14:paraId="469BD97F" w14:textId="77777777" w:rsidR="00FA4AA8" w:rsidRDefault="0015611F">
            <w:pPr>
              <w:pStyle w:val="TableParagraph"/>
              <w:spacing w:before="26"/>
              <w:ind w:left="50"/>
              <w:rPr>
                <w:sz w:val="18"/>
              </w:rPr>
            </w:pPr>
            <w:r>
              <w:rPr>
                <w:sz w:val="18"/>
              </w:rPr>
              <w:t>Printing</w:t>
            </w:r>
          </w:p>
        </w:tc>
        <w:tc>
          <w:tcPr>
            <w:tcW w:w="1414" w:type="dxa"/>
          </w:tcPr>
          <w:p w14:paraId="63F3C18A" w14:textId="77777777" w:rsidR="00FA4AA8" w:rsidRDefault="0015611F">
            <w:pPr>
              <w:pStyle w:val="TableParagraph"/>
              <w:spacing w:before="24"/>
              <w:ind w:right="205"/>
              <w:jc w:val="right"/>
              <w:rPr>
                <w:sz w:val="18"/>
              </w:rPr>
            </w:pPr>
            <w:r>
              <w:rPr>
                <w:sz w:val="18"/>
              </w:rPr>
              <w:t>44,293</w:t>
            </w:r>
          </w:p>
        </w:tc>
        <w:tc>
          <w:tcPr>
            <w:tcW w:w="1140" w:type="dxa"/>
          </w:tcPr>
          <w:p w14:paraId="1954B443" w14:textId="77777777" w:rsidR="00FA4AA8" w:rsidRDefault="0015611F">
            <w:pPr>
              <w:pStyle w:val="TableParagraph"/>
              <w:spacing w:before="24"/>
              <w:ind w:right="87"/>
              <w:jc w:val="right"/>
              <w:rPr>
                <w:sz w:val="18"/>
              </w:rPr>
            </w:pPr>
            <w:r>
              <w:rPr>
                <w:sz w:val="18"/>
              </w:rPr>
              <w:t>44,293</w:t>
            </w:r>
          </w:p>
        </w:tc>
      </w:tr>
      <w:tr w:rsidR="00FA4AA8" w14:paraId="059ADC71" w14:textId="77777777">
        <w:trPr>
          <w:trHeight w:val="263"/>
        </w:trPr>
        <w:tc>
          <w:tcPr>
            <w:tcW w:w="6974" w:type="dxa"/>
          </w:tcPr>
          <w:p w14:paraId="09F94B14" w14:textId="77777777" w:rsidR="00FA4AA8" w:rsidRDefault="0015611F">
            <w:pPr>
              <w:pStyle w:val="TableParagraph"/>
              <w:spacing w:before="26"/>
              <w:ind w:left="50"/>
              <w:rPr>
                <w:sz w:val="18"/>
              </w:rPr>
            </w:pPr>
            <w:r>
              <w:rPr>
                <w:sz w:val="18"/>
              </w:rPr>
              <w:t>Staff development</w:t>
            </w:r>
          </w:p>
        </w:tc>
        <w:tc>
          <w:tcPr>
            <w:tcW w:w="1414" w:type="dxa"/>
          </w:tcPr>
          <w:p w14:paraId="3BC1E5D4" w14:textId="77777777" w:rsidR="00FA4AA8" w:rsidRDefault="0015611F">
            <w:pPr>
              <w:pStyle w:val="TableParagraph"/>
              <w:spacing w:before="24"/>
              <w:ind w:right="205"/>
              <w:jc w:val="right"/>
              <w:rPr>
                <w:sz w:val="18"/>
              </w:rPr>
            </w:pPr>
            <w:r>
              <w:rPr>
                <w:sz w:val="18"/>
              </w:rPr>
              <w:t>40,412</w:t>
            </w:r>
          </w:p>
        </w:tc>
        <w:tc>
          <w:tcPr>
            <w:tcW w:w="1140" w:type="dxa"/>
          </w:tcPr>
          <w:p w14:paraId="189ACC43" w14:textId="77777777" w:rsidR="00FA4AA8" w:rsidRDefault="0015611F">
            <w:pPr>
              <w:pStyle w:val="TableParagraph"/>
              <w:spacing w:before="24"/>
              <w:ind w:right="87"/>
              <w:jc w:val="right"/>
              <w:rPr>
                <w:sz w:val="18"/>
              </w:rPr>
            </w:pPr>
            <w:r>
              <w:rPr>
                <w:sz w:val="18"/>
              </w:rPr>
              <w:t>40,412</w:t>
            </w:r>
          </w:p>
        </w:tc>
      </w:tr>
      <w:tr w:rsidR="00FA4AA8" w14:paraId="2400AB3E" w14:textId="77777777">
        <w:trPr>
          <w:trHeight w:val="263"/>
        </w:trPr>
        <w:tc>
          <w:tcPr>
            <w:tcW w:w="6974" w:type="dxa"/>
          </w:tcPr>
          <w:p w14:paraId="21079413" w14:textId="77777777" w:rsidR="00FA4AA8" w:rsidRDefault="0015611F">
            <w:pPr>
              <w:pStyle w:val="TableParagraph"/>
              <w:spacing w:before="26"/>
              <w:ind w:left="50"/>
              <w:rPr>
                <w:sz w:val="18"/>
              </w:rPr>
            </w:pPr>
            <w:r>
              <w:rPr>
                <w:sz w:val="18"/>
              </w:rPr>
              <w:t>Consulting</w:t>
            </w:r>
          </w:p>
        </w:tc>
        <w:tc>
          <w:tcPr>
            <w:tcW w:w="1414" w:type="dxa"/>
          </w:tcPr>
          <w:p w14:paraId="3AC85925" w14:textId="77777777" w:rsidR="00FA4AA8" w:rsidRDefault="0015611F">
            <w:pPr>
              <w:pStyle w:val="TableParagraph"/>
              <w:spacing w:before="24"/>
              <w:ind w:right="205"/>
              <w:jc w:val="right"/>
              <w:rPr>
                <w:sz w:val="18"/>
              </w:rPr>
            </w:pPr>
            <w:r>
              <w:rPr>
                <w:sz w:val="18"/>
              </w:rPr>
              <w:t>6,500</w:t>
            </w:r>
          </w:p>
        </w:tc>
        <w:tc>
          <w:tcPr>
            <w:tcW w:w="1140" w:type="dxa"/>
          </w:tcPr>
          <w:p w14:paraId="3310BBC8" w14:textId="77777777" w:rsidR="00FA4AA8" w:rsidRDefault="0015611F">
            <w:pPr>
              <w:pStyle w:val="TableParagraph"/>
              <w:spacing w:before="24"/>
              <w:ind w:right="87"/>
              <w:jc w:val="right"/>
              <w:rPr>
                <w:sz w:val="18"/>
              </w:rPr>
            </w:pPr>
            <w:r>
              <w:rPr>
                <w:sz w:val="18"/>
              </w:rPr>
              <w:t>31,700</w:t>
            </w:r>
          </w:p>
        </w:tc>
      </w:tr>
      <w:tr w:rsidR="00FA4AA8" w14:paraId="799283C9" w14:textId="77777777">
        <w:trPr>
          <w:trHeight w:val="263"/>
        </w:trPr>
        <w:tc>
          <w:tcPr>
            <w:tcW w:w="6974" w:type="dxa"/>
          </w:tcPr>
          <w:p w14:paraId="48B63D38" w14:textId="77777777" w:rsidR="00FA4AA8" w:rsidRDefault="0015611F">
            <w:pPr>
              <w:pStyle w:val="TableParagraph"/>
              <w:spacing w:before="26"/>
              <w:ind w:left="50"/>
              <w:rPr>
                <w:sz w:val="18"/>
              </w:rPr>
            </w:pPr>
            <w:r>
              <w:rPr>
                <w:sz w:val="18"/>
              </w:rPr>
              <w:t>Advertising, marketing and promotional</w:t>
            </w:r>
          </w:p>
        </w:tc>
        <w:tc>
          <w:tcPr>
            <w:tcW w:w="1414" w:type="dxa"/>
          </w:tcPr>
          <w:p w14:paraId="12576311" w14:textId="77777777" w:rsidR="00FA4AA8" w:rsidRDefault="0015611F">
            <w:pPr>
              <w:pStyle w:val="TableParagraph"/>
              <w:spacing w:before="24"/>
              <w:ind w:right="204"/>
              <w:jc w:val="right"/>
              <w:rPr>
                <w:sz w:val="18"/>
              </w:rPr>
            </w:pPr>
            <w:r>
              <w:rPr>
                <w:sz w:val="18"/>
              </w:rPr>
              <w:t>-</w:t>
            </w:r>
          </w:p>
        </w:tc>
        <w:tc>
          <w:tcPr>
            <w:tcW w:w="1140" w:type="dxa"/>
          </w:tcPr>
          <w:p w14:paraId="3D802EDC" w14:textId="77777777" w:rsidR="00FA4AA8" w:rsidRDefault="0015611F">
            <w:pPr>
              <w:pStyle w:val="TableParagraph"/>
              <w:spacing w:before="24"/>
              <w:ind w:right="87"/>
              <w:jc w:val="right"/>
              <w:rPr>
                <w:sz w:val="18"/>
              </w:rPr>
            </w:pPr>
            <w:r>
              <w:rPr>
                <w:sz w:val="18"/>
              </w:rPr>
              <w:t>47,355</w:t>
            </w:r>
          </w:p>
        </w:tc>
      </w:tr>
      <w:tr w:rsidR="00FA4AA8" w14:paraId="066E6D3C" w14:textId="77777777">
        <w:trPr>
          <w:trHeight w:val="256"/>
        </w:trPr>
        <w:tc>
          <w:tcPr>
            <w:tcW w:w="6974" w:type="dxa"/>
          </w:tcPr>
          <w:p w14:paraId="04D6BC5F" w14:textId="77777777" w:rsidR="00FA4AA8" w:rsidRDefault="0015611F">
            <w:pPr>
              <w:pStyle w:val="TableParagraph"/>
              <w:spacing w:before="26"/>
              <w:ind w:left="50"/>
              <w:rPr>
                <w:sz w:val="18"/>
              </w:rPr>
            </w:pPr>
            <w:r>
              <w:rPr>
                <w:sz w:val="18"/>
              </w:rPr>
              <w:t>Sundry Expenses</w:t>
            </w:r>
          </w:p>
        </w:tc>
        <w:tc>
          <w:tcPr>
            <w:tcW w:w="1414" w:type="dxa"/>
            <w:tcBorders>
              <w:bottom w:val="single" w:sz="8" w:space="0" w:color="000000"/>
            </w:tcBorders>
          </w:tcPr>
          <w:p w14:paraId="3D052FD9" w14:textId="77777777" w:rsidR="00FA4AA8" w:rsidRDefault="0015611F">
            <w:pPr>
              <w:pStyle w:val="TableParagraph"/>
              <w:spacing w:before="24"/>
              <w:ind w:right="205"/>
              <w:jc w:val="right"/>
              <w:rPr>
                <w:sz w:val="18"/>
              </w:rPr>
            </w:pPr>
            <w:r>
              <w:rPr>
                <w:sz w:val="18"/>
              </w:rPr>
              <w:t>99,580</w:t>
            </w:r>
          </w:p>
        </w:tc>
        <w:tc>
          <w:tcPr>
            <w:tcW w:w="1140" w:type="dxa"/>
            <w:tcBorders>
              <w:bottom w:val="single" w:sz="8" w:space="0" w:color="000000"/>
            </w:tcBorders>
          </w:tcPr>
          <w:p w14:paraId="0B097F89" w14:textId="77777777" w:rsidR="00FA4AA8" w:rsidRDefault="0015611F">
            <w:pPr>
              <w:pStyle w:val="TableParagraph"/>
              <w:spacing w:before="24"/>
              <w:ind w:right="87"/>
              <w:jc w:val="right"/>
              <w:rPr>
                <w:sz w:val="18"/>
              </w:rPr>
            </w:pPr>
            <w:r>
              <w:rPr>
                <w:sz w:val="18"/>
              </w:rPr>
              <w:t>34,269</w:t>
            </w:r>
          </w:p>
        </w:tc>
      </w:tr>
      <w:tr w:rsidR="00FA4AA8" w14:paraId="4562DAEE" w14:textId="77777777">
        <w:trPr>
          <w:trHeight w:val="318"/>
        </w:trPr>
        <w:tc>
          <w:tcPr>
            <w:tcW w:w="6974" w:type="dxa"/>
          </w:tcPr>
          <w:p w14:paraId="55614EB1" w14:textId="77777777" w:rsidR="00FA4AA8" w:rsidRDefault="0015611F">
            <w:pPr>
              <w:pStyle w:val="TableParagraph"/>
              <w:spacing w:before="115" w:line="183" w:lineRule="exact"/>
              <w:ind w:left="50"/>
              <w:rPr>
                <w:b/>
                <w:sz w:val="18"/>
              </w:rPr>
            </w:pPr>
            <w:r>
              <w:rPr>
                <w:b/>
                <w:sz w:val="18"/>
              </w:rPr>
              <w:t>Total other expenses</w:t>
            </w:r>
          </w:p>
        </w:tc>
        <w:tc>
          <w:tcPr>
            <w:tcW w:w="1414" w:type="dxa"/>
            <w:tcBorders>
              <w:top w:val="single" w:sz="8" w:space="0" w:color="000000"/>
              <w:bottom w:val="single" w:sz="8" w:space="0" w:color="000000"/>
            </w:tcBorders>
          </w:tcPr>
          <w:p w14:paraId="1114C979" w14:textId="77777777" w:rsidR="00FA4AA8" w:rsidRDefault="0015611F">
            <w:pPr>
              <w:pStyle w:val="TableParagraph"/>
              <w:spacing w:before="115" w:line="183" w:lineRule="exact"/>
              <w:ind w:right="205"/>
              <w:jc w:val="right"/>
              <w:rPr>
                <w:sz w:val="18"/>
              </w:rPr>
            </w:pPr>
            <w:r>
              <w:rPr>
                <w:sz w:val="18"/>
              </w:rPr>
              <w:t>830,433</w:t>
            </w:r>
          </w:p>
        </w:tc>
        <w:tc>
          <w:tcPr>
            <w:tcW w:w="1140" w:type="dxa"/>
            <w:tcBorders>
              <w:top w:val="single" w:sz="8" w:space="0" w:color="000000"/>
              <w:bottom w:val="single" w:sz="8" w:space="0" w:color="000000"/>
            </w:tcBorders>
          </w:tcPr>
          <w:p w14:paraId="6581F362" w14:textId="77777777" w:rsidR="00FA4AA8" w:rsidRDefault="0015611F">
            <w:pPr>
              <w:pStyle w:val="TableParagraph"/>
              <w:spacing w:before="115" w:line="183" w:lineRule="exact"/>
              <w:ind w:right="87"/>
              <w:jc w:val="right"/>
              <w:rPr>
                <w:sz w:val="18"/>
              </w:rPr>
            </w:pPr>
            <w:r>
              <w:rPr>
                <w:sz w:val="18"/>
              </w:rPr>
              <w:t>486,648</w:t>
            </w:r>
          </w:p>
        </w:tc>
      </w:tr>
    </w:tbl>
    <w:p w14:paraId="7C75BE9D" w14:textId="77777777" w:rsidR="00FA4AA8" w:rsidRDefault="00FA4AA8">
      <w:pPr>
        <w:spacing w:line="183" w:lineRule="exact"/>
        <w:jc w:val="right"/>
        <w:rPr>
          <w:sz w:val="18"/>
        </w:rPr>
        <w:sectPr w:rsidR="00FA4AA8">
          <w:pgSz w:w="11910" w:h="16840"/>
          <w:pgMar w:top="1660" w:right="880" w:bottom="720" w:left="840" w:header="1016" w:footer="523" w:gutter="0"/>
          <w:cols w:space="720"/>
        </w:sectPr>
      </w:pPr>
    </w:p>
    <w:p w14:paraId="4C1E8B4A" w14:textId="77777777" w:rsidR="00FA4AA8" w:rsidRDefault="0015611F">
      <w:pPr>
        <w:pStyle w:val="Heading4"/>
      </w:pPr>
      <w:bookmarkStart w:id="188" w:name="(b)_Revenue_recognition_"/>
      <w:bookmarkEnd w:id="188"/>
      <w:r>
        <w:t>Notes to the Financial Statements</w:t>
      </w:r>
    </w:p>
    <w:p w14:paraId="4AD27245" w14:textId="77777777" w:rsidR="00FA4AA8" w:rsidRDefault="0015611F">
      <w:pPr>
        <w:pStyle w:val="Heading6"/>
        <w:ind w:left="167"/>
      </w:pPr>
      <w:r>
        <w:t>For the year ended 31 December</w:t>
      </w:r>
      <w:r>
        <w:rPr>
          <w:spacing w:val="-13"/>
        </w:rPr>
        <w:t xml:space="preserve"> </w:t>
      </w:r>
      <w:r>
        <w:t>2018</w:t>
      </w:r>
    </w:p>
    <w:p w14:paraId="0676997C" w14:textId="77777777" w:rsidR="00FA4AA8" w:rsidRDefault="00FA4AA8">
      <w:pPr>
        <w:pStyle w:val="BodyText"/>
        <w:spacing w:before="1"/>
        <w:rPr>
          <w:b/>
          <w:sz w:val="25"/>
        </w:rPr>
      </w:pPr>
    </w:p>
    <w:p w14:paraId="0EEAEA6A" w14:textId="77777777" w:rsidR="00FA4AA8" w:rsidRDefault="0015611F">
      <w:pPr>
        <w:tabs>
          <w:tab w:val="left" w:pos="563"/>
        </w:tabs>
        <w:ind w:left="167"/>
        <w:rPr>
          <w:b/>
          <w:sz w:val="18"/>
        </w:rPr>
      </w:pPr>
      <w:r>
        <w:rPr>
          <w:b/>
          <w:sz w:val="18"/>
        </w:rPr>
        <w:t>1</w:t>
      </w:r>
      <w:r>
        <w:rPr>
          <w:b/>
          <w:sz w:val="18"/>
        </w:rPr>
        <w:tab/>
        <w:t>Summary of significant accounting policies</w:t>
      </w:r>
      <w:r>
        <w:rPr>
          <w:b/>
          <w:spacing w:val="-9"/>
          <w:sz w:val="18"/>
        </w:rPr>
        <w:t xml:space="preserve"> </w:t>
      </w:r>
      <w:r>
        <w:rPr>
          <w:b/>
          <w:sz w:val="18"/>
        </w:rPr>
        <w:t>(continued)</w:t>
      </w:r>
    </w:p>
    <w:p w14:paraId="652F991B" w14:textId="77777777" w:rsidR="00FA4AA8" w:rsidRDefault="00FA4AA8">
      <w:pPr>
        <w:pStyle w:val="BodyText"/>
        <w:rPr>
          <w:b/>
          <w:sz w:val="25"/>
        </w:rPr>
      </w:pPr>
    </w:p>
    <w:p w14:paraId="6E118E47" w14:textId="77777777" w:rsidR="00FA4AA8" w:rsidRDefault="0015611F">
      <w:pPr>
        <w:pStyle w:val="ListParagraph"/>
        <w:numPr>
          <w:ilvl w:val="0"/>
          <w:numId w:val="49"/>
        </w:numPr>
        <w:tabs>
          <w:tab w:val="left" w:pos="562"/>
        </w:tabs>
        <w:ind w:hanging="395"/>
        <w:rPr>
          <w:sz w:val="18"/>
        </w:rPr>
      </w:pPr>
      <w:r>
        <w:rPr>
          <w:sz w:val="18"/>
        </w:rPr>
        <w:t>Revenue recognition</w:t>
      </w:r>
    </w:p>
    <w:p w14:paraId="328C2218" w14:textId="77777777" w:rsidR="00FA4AA8" w:rsidRDefault="0015611F">
      <w:pPr>
        <w:pStyle w:val="BodyText"/>
        <w:spacing w:before="141"/>
        <w:ind w:left="564" w:right="185"/>
      </w:pPr>
      <w:r>
        <w:t>The Company recognises revenue when the amount of revenue can be reliably measured, it is probable that future economic benefits will flow to the Company and specific criteria have been met for each of the Company's activities as discussed below. The Company bases its estimates on historical results, taking into consideration the type of customer, the type of transaction and the specifics of each</w:t>
      </w:r>
      <w:r>
        <w:rPr>
          <w:spacing w:val="10"/>
        </w:rPr>
        <w:t xml:space="preserve"> </w:t>
      </w:r>
      <w:r>
        <w:t>arrangement.</w:t>
      </w:r>
    </w:p>
    <w:p w14:paraId="4504C690" w14:textId="77777777" w:rsidR="00FA4AA8" w:rsidRDefault="0015611F">
      <w:pPr>
        <w:pStyle w:val="BodyText"/>
        <w:spacing w:before="140"/>
        <w:ind w:left="564"/>
      </w:pPr>
      <w:r>
        <w:t>Revenue is recognised for the major business activities as follows:</w:t>
      </w:r>
    </w:p>
    <w:p w14:paraId="634265F7" w14:textId="77777777" w:rsidR="00FA4AA8" w:rsidRDefault="0015611F">
      <w:pPr>
        <w:numPr>
          <w:ilvl w:val="1"/>
          <w:numId w:val="49"/>
        </w:numPr>
        <w:tabs>
          <w:tab w:val="left" w:pos="785"/>
        </w:tabs>
        <w:spacing w:before="138"/>
        <w:ind w:left="784" w:hanging="221"/>
        <w:rPr>
          <w:b/>
          <w:sz w:val="18"/>
        </w:rPr>
      </w:pPr>
      <w:r>
        <w:rPr>
          <w:b/>
          <w:sz w:val="18"/>
        </w:rPr>
        <w:t>Child care services</w:t>
      </w:r>
    </w:p>
    <w:p w14:paraId="054EA4E7" w14:textId="77777777" w:rsidR="00FA4AA8" w:rsidRDefault="0015611F">
      <w:pPr>
        <w:pStyle w:val="BodyText"/>
        <w:spacing w:before="141"/>
        <w:ind w:left="564"/>
      </w:pPr>
      <w:r>
        <w:t>Revenue from child care services is recognised when services have been provided to the customer, the customer has accepted the services and collectability of the related receivables is probable.</w:t>
      </w:r>
    </w:p>
    <w:p w14:paraId="3518E22C" w14:textId="77777777" w:rsidR="00FA4AA8" w:rsidRDefault="0015611F">
      <w:pPr>
        <w:numPr>
          <w:ilvl w:val="1"/>
          <w:numId w:val="49"/>
        </w:numPr>
        <w:tabs>
          <w:tab w:val="left" w:pos="835"/>
        </w:tabs>
        <w:spacing w:before="138"/>
        <w:ind w:left="834" w:hanging="271"/>
        <w:rPr>
          <w:b/>
          <w:sz w:val="18"/>
        </w:rPr>
      </w:pPr>
      <w:r>
        <w:rPr>
          <w:b/>
          <w:sz w:val="18"/>
        </w:rPr>
        <w:t>Government grants</w:t>
      </w:r>
    </w:p>
    <w:p w14:paraId="16A98AED" w14:textId="77777777" w:rsidR="00FA4AA8" w:rsidRDefault="0015611F">
      <w:pPr>
        <w:pStyle w:val="BodyText"/>
        <w:spacing w:before="141"/>
        <w:ind w:left="564"/>
      </w:pPr>
      <w:r>
        <w:t>The Company treats operating grants received from Australian Government entities as income in the year of receipt.</w:t>
      </w:r>
    </w:p>
    <w:p w14:paraId="014370E1" w14:textId="77777777" w:rsidR="00FA4AA8" w:rsidRDefault="0015611F">
      <w:pPr>
        <w:pStyle w:val="BodyText"/>
        <w:spacing w:before="141"/>
        <w:ind w:left="564" w:right="220"/>
      </w:pPr>
      <w:r>
        <w:t>Grants from the government are recognised at their fair value where the Company obtains control of the right to receive the grant, it is probable that economic benefits will flow to the Company and it can be reliably measured.</w:t>
      </w:r>
    </w:p>
    <w:p w14:paraId="134E25DB" w14:textId="77777777" w:rsidR="00FA4AA8" w:rsidRDefault="0015611F">
      <w:pPr>
        <w:numPr>
          <w:ilvl w:val="1"/>
          <w:numId w:val="49"/>
        </w:numPr>
        <w:tabs>
          <w:tab w:val="left" w:pos="886"/>
        </w:tabs>
        <w:spacing w:before="138"/>
        <w:ind w:left="885" w:hanging="322"/>
        <w:rPr>
          <w:b/>
          <w:sz w:val="18"/>
        </w:rPr>
      </w:pPr>
      <w:bookmarkStart w:id="189" w:name="(c)_Income_tax_exemption_"/>
      <w:bookmarkEnd w:id="189"/>
      <w:r>
        <w:rPr>
          <w:b/>
          <w:sz w:val="18"/>
        </w:rPr>
        <w:t>Investment income</w:t>
      </w:r>
    </w:p>
    <w:p w14:paraId="380F0C4A" w14:textId="77777777" w:rsidR="00FA4AA8" w:rsidRDefault="0015611F">
      <w:pPr>
        <w:pStyle w:val="BodyText"/>
        <w:spacing w:before="141" w:line="403" w:lineRule="auto"/>
        <w:ind w:left="564" w:right="4023"/>
      </w:pPr>
      <w:r>
        <w:t>Interest income is recognised using the effective interest method. Refer to note 2 for further information.</w:t>
      </w:r>
    </w:p>
    <w:p w14:paraId="34574E09" w14:textId="77777777" w:rsidR="00FA4AA8" w:rsidRDefault="0015611F">
      <w:pPr>
        <w:pStyle w:val="ListParagraph"/>
        <w:numPr>
          <w:ilvl w:val="0"/>
          <w:numId w:val="49"/>
        </w:numPr>
        <w:tabs>
          <w:tab w:val="left" w:pos="562"/>
        </w:tabs>
        <w:spacing w:before="147"/>
        <w:ind w:hanging="395"/>
        <w:rPr>
          <w:sz w:val="18"/>
        </w:rPr>
      </w:pPr>
      <w:bookmarkStart w:id="190" w:name="(d)_Goods_and_Services_Tax_(GST)_"/>
      <w:bookmarkEnd w:id="190"/>
      <w:r>
        <w:rPr>
          <w:sz w:val="18"/>
        </w:rPr>
        <w:t>Income tax exemption</w:t>
      </w:r>
    </w:p>
    <w:p w14:paraId="145974A8" w14:textId="77777777" w:rsidR="00FA4AA8" w:rsidRDefault="0015611F">
      <w:pPr>
        <w:pStyle w:val="BodyText"/>
        <w:spacing w:before="141"/>
        <w:ind w:left="564" w:right="132"/>
      </w:pPr>
      <w:r>
        <w:t>The Company is exempt from the payment of tax by virtue of section 50-B of the Income Tax Assessment Act 1997. Accordingly, no provision for income tax liability or future income tax benefit has been included in the financial statements.</w:t>
      </w:r>
    </w:p>
    <w:p w14:paraId="46DD0C26" w14:textId="77777777" w:rsidR="00FA4AA8" w:rsidRDefault="00FA4AA8">
      <w:pPr>
        <w:pStyle w:val="BodyText"/>
        <w:spacing w:before="10"/>
        <w:rPr>
          <w:sz w:val="24"/>
        </w:rPr>
      </w:pPr>
    </w:p>
    <w:p w14:paraId="2927F3B5" w14:textId="77777777" w:rsidR="00FA4AA8" w:rsidRDefault="0015611F">
      <w:pPr>
        <w:pStyle w:val="ListParagraph"/>
        <w:numPr>
          <w:ilvl w:val="0"/>
          <w:numId w:val="49"/>
        </w:numPr>
        <w:tabs>
          <w:tab w:val="left" w:pos="562"/>
        </w:tabs>
        <w:spacing w:before="1"/>
        <w:ind w:hanging="395"/>
        <w:rPr>
          <w:sz w:val="18"/>
        </w:rPr>
      </w:pPr>
      <w:r>
        <w:rPr>
          <w:sz w:val="18"/>
        </w:rPr>
        <w:t>Goods and Services Tax (GST)</w:t>
      </w:r>
    </w:p>
    <w:p w14:paraId="7CBD41CA" w14:textId="77777777" w:rsidR="00FA4AA8" w:rsidRDefault="0015611F">
      <w:pPr>
        <w:pStyle w:val="BodyText"/>
        <w:spacing w:before="141"/>
        <w:ind w:left="564" w:right="132"/>
      </w:pPr>
      <w:r>
        <w:t>Revenues, expenses and assets are recognised net of the amount of associated GST, except where the amount of GST incurred is not recoverable from the taxation authority. In these circumstances, it is recognised as part of the cost of acquisition of the asset or as part of the expense.</w:t>
      </w:r>
    </w:p>
    <w:p w14:paraId="0391D6D3" w14:textId="77777777" w:rsidR="00FA4AA8" w:rsidRDefault="0015611F">
      <w:pPr>
        <w:pStyle w:val="BodyText"/>
        <w:spacing w:before="139"/>
        <w:ind w:left="564"/>
      </w:pPr>
      <w:r>
        <w:t>Receivables and payables are stated inclusive of the amount of GST receivable or payable.</w:t>
      </w:r>
    </w:p>
    <w:p w14:paraId="0CEB1A9F" w14:textId="77777777" w:rsidR="00FA4AA8" w:rsidRDefault="0015611F">
      <w:pPr>
        <w:pStyle w:val="BodyText"/>
        <w:spacing w:before="141"/>
        <w:ind w:left="564"/>
      </w:pPr>
      <w:bookmarkStart w:id="191" w:name="(e)_Initial_application_of_Australian_Ac"/>
      <w:bookmarkEnd w:id="191"/>
      <w:r>
        <w:t>Cash flows are presented on a gross basis. The GST components of cash flows arising from investing or financing activities which are recoverable from, or payable to, the taxation authority, are presented as operating cash flows.</w:t>
      </w:r>
    </w:p>
    <w:p w14:paraId="3269018E" w14:textId="77777777" w:rsidR="00FA4AA8" w:rsidRDefault="0015611F">
      <w:pPr>
        <w:pStyle w:val="BodyText"/>
        <w:spacing w:before="141"/>
        <w:ind w:left="564" w:right="220"/>
      </w:pPr>
      <w:r>
        <w:t xml:space="preserve">The Company is grouped with the parent entity for GST purposes and therefore the net GST receivable or GST payable is not reflected </w:t>
      </w:r>
      <w:r w:rsidR="00A74DE7">
        <w:t>within</w:t>
      </w:r>
      <w:r>
        <w:t xml:space="preserve"> these statements.</w:t>
      </w:r>
    </w:p>
    <w:p w14:paraId="016D7C7B" w14:textId="77777777" w:rsidR="00FA4AA8" w:rsidRDefault="00FA4AA8">
      <w:pPr>
        <w:pStyle w:val="BodyText"/>
        <w:spacing w:before="11"/>
        <w:rPr>
          <w:sz w:val="24"/>
        </w:rPr>
      </w:pPr>
    </w:p>
    <w:p w14:paraId="604D30A1" w14:textId="77777777" w:rsidR="00FA4AA8" w:rsidRDefault="0015611F">
      <w:pPr>
        <w:pStyle w:val="ListParagraph"/>
        <w:numPr>
          <w:ilvl w:val="0"/>
          <w:numId w:val="49"/>
        </w:numPr>
        <w:tabs>
          <w:tab w:val="left" w:pos="562"/>
        </w:tabs>
        <w:ind w:hanging="395"/>
        <w:rPr>
          <w:sz w:val="18"/>
        </w:rPr>
      </w:pPr>
      <w:r>
        <w:rPr>
          <w:sz w:val="18"/>
        </w:rPr>
        <w:t>Initial application of Australian Accounting</w:t>
      </w:r>
      <w:r>
        <w:rPr>
          <w:spacing w:val="5"/>
          <w:sz w:val="18"/>
        </w:rPr>
        <w:t xml:space="preserve"> </w:t>
      </w:r>
      <w:r>
        <w:rPr>
          <w:sz w:val="18"/>
        </w:rPr>
        <w:t>Standard</w:t>
      </w:r>
    </w:p>
    <w:p w14:paraId="0C4F884E" w14:textId="77777777" w:rsidR="00FA4AA8" w:rsidRDefault="0015611F">
      <w:pPr>
        <w:spacing w:before="138"/>
        <w:ind w:left="564"/>
        <w:rPr>
          <w:b/>
          <w:sz w:val="18"/>
        </w:rPr>
      </w:pPr>
      <w:r>
        <w:rPr>
          <w:b/>
          <w:sz w:val="18"/>
        </w:rPr>
        <w:t>AASB 9 Financial Instruments</w:t>
      </w:r>
    </w:p>
    <w:p w14:paraId="622CC1EB" w14:textId="77777777" w:rsidR="00FA4AA8" w:rsidRDefault="0015611F">
      <w:pPr>
        <w:spacing w:before="141"/>
        <w:ind w:left="563"/>
        <w:rPr>
          <w:sz w:val="18"/>
        </w:rPr>
      </w:pPr>
      <w:r>
        <w:rPr>
          <w:sz w:val="18"/>
        </w:rPr>
        <w:t xml:space="preserve">AASB9 </w:t>
      </w:r>
      <w:r>
        <w:rPr>
          <w:i/>
          <w:sz w:val="18"/>
        </w:rPr>
        <w:t xml:space="preserve">Financial Instruments </w:t>
      </w:r>
      <w:r>
        <w:rPr>
          <w:sz w:val="18"/>
        </w:rPr>
        <w:t xml:space="preserve">replaces AASB139 </w:t>
      </w:r>
      <w:r>
        <w:rPr>
          <w:i/>
          <w:sz w:val="18"/>
        </w:rPr>
        <w:t xml:space="preserve">Financial Instruments: Recognition and Measurement </w:t>
      </w:r>
      <w:r>
        <w:rPr>
          <w:sz w:val="18"/>
        </w:rPr>
        <w:t>for annual periods beginning on or after 1 January 2018, bringing together all three aspects of the accounting for financial instruments, classification and measurement, impairment, and hedge accounting.</w:t>
      </w:r>
    </w:p>
    <w:p w14:paraId="6A184D4E" w14:textId="77777777" w:rsidR="00FA4AA8" w:rsidRDefault="0015611F">
      <w:pPr>
        <w:pStyle w:val="BodyText"/>
        <w:spacing w:before="140"/>
        <w:ind w:left="563"/>
      </w:pPr>
      <w:r>
        <w:t>The Company applied AASB9 retrospectively, with an initial application date of 1 January 2018. The Company has not restated the comparative information, which continues to be reported under AASB139.</w:t>
      </w:r>
    </w:p>
    <w:p w14:paraId="415A899E" w14:textId="77777777" w:rsidR="00FA4AA8" w:rsidRDefault="0015611F">
      <w:pPr>
        <w:pStyle w:val="BodyText"/>
        <w:spacing w:before="141"/>
        <w:ind w:left="563" w:right="220"/>
      </w:pPr>
      <w:r>
        <w:t>Due to the nature of the business, the effect of the changes as a result of adoption of AASB9 are considered immaterial.</w:t>
      </w:r>
    </w:p>
    <w:p w14:paraId="495E5BE6" w14:textId="77777777" w:rsidR="00FA4AA8" w:rsidRDefault="0015611F">
      <w:pPr>
        <w:pStyle w:val="BodyText"/>
        <w:spacing w:before="140"/>
        <w:ind w:left="563"/>
      </w:pPr>
      <w:r>
        <w:t>Refer to note 5 for the accounting policy relating to impairment.</w:t>
      </w:r>
    </w:p>
    <w:p w14:paraId="43F856CE" w14:textId="77777777" w:rsidR="00FA4AA8" w:rsidRDefault="00FA4AA8">
      <w:pPr>
        <w:sectPr w:rsidR="00FA4AA8">
          <w:pgSz w:w="11910" w:h="16840"/>
          <w:pgMar w:top="1660" w:right="880" w:bottom="720" w:left="840" w:header="1016" w:footer="523" w:gutter="0"/>
          <w:cols w:space="720"/>
        </w:sectPr>
      </w:pPr>
    </w:p>
    <w:p w14:paraId="2926E4EB" w14:textId="77777777" w:rsidR="00FA4AA8" w:rsidRDefault="0015611F">
      <w:pPr>
        <w:pStyle w:val="Heading4"/>
      </w:pPr>
      <w:bookmarkStart w:id="192" w:name="2_Revenue_"/>
      <w:bookmarkEnd w:id="192"/>
      <w:r>
        <w:t>Notes to the Financial Statements</w:t>
      </w:r>
    </w:p>
    <w:p w14:paraId="5428DB2B" w14:textId="77777777" w:rsidR="00FA4AA8" w:rsidRDefault="0015611F">
      <w:pPr>
        <w:pStyle w:val="Heading6"/>
        <w:ind w:left="167"/>
      </w:pPr>
      <w:r>
        <w:t>For the year ended 31 December</w:t>
      </w:r>
      <w:r>
        <w:rPr>
          <w:spacing w:val="-13"/>
        </w:rPr>
        <w:t xml:space="preserve"> </w:t>
      </w:r>
      <w:r>
        <w:t>2018</w:t>
      </w:r>
    </w:p>
    <w:p w14:paraId="3E6CEB9E" w14:textId="77777777" w:rsidR="00FA4AA8" w:rsidRDefault="00FA4AA8">
      <w:pPr>
        <w:pStyle w:val="BodyText"/>
        <w:spacing w:before="7"/>
        <w:rPr>
          <w:b/>
          <w:sz w:val="25"/>
        </w:rPr>
      </w:pPr>
    </w:p>
    <w:tbl>
      <w:tblPr>
        <w:tblW w:w="0" w:type="auto"/>
        <w:tblInd w:w="125" w:type="dxa"/>
        <w:tblLayout w:type="fixed"/>
        <w:tblCellMar>
          <w:left w:w="0" w:type="dxa"/>
          <w:right w:w="0" w:type="dxa"/>
        </w:tblCellMar>
        <w:tblLook w:val="01E0" w:firstRow="1" w:lastRow="1" w:firstColumn="1" w:lastColumn="1" w:noHBand="0" w:noVBand="0"/>
      </w:tblPr>
      <w:tblGrid>
        <w:gridCol w:w="7372"/>
        <w:gridCol w:w="1452"/>
        <w:gridCol w:w="1140"/>
      </w:tblGrid>
      <w:tr w:rsidR="00FA4AA8" w14:paraId="237F6E7E" w14:textId="77777777">
        <w:trPr>
          <w:trHeight w:val="220"/>
        </w:trPr>
        <w:tc>
          <w:tcPr>
            <w:tcW w:w="7372" w:type="dxa"/>
          </w:tcPr>
          <w:p w14:paraId="7397F4EC" w14:textId="77777777" w:rsidR="00FA4AA8" w:rsidRDefault="0015611F">
            <w:pPr>
              <w:pStyle w:val="TableParagraph"/>
              <w:tabs>
                <w:tab w:val="left" w:pos="445"/>
              </w:tabs>
              <w:spacing w:line="201" w:lineRule="exact"/>
              <w:ind w:left="50"/>
              <w:rPr>
                <w:b/>
                <w:sz w:val="18"/>
              </w:rPr>
            </w:pPr>
            <w:r>
              <w:rPr>
                <w:b/>
                <w:sz w:val="18"/>
              </w:rPr>
              <w:t>2</w:t>
            </w:r>
            <w:r>
              <w:rPr>
                <w:b/>
                <w:sz w:val="18"/>
              </w:rPr>
              <w:tab/>
              <w:t>Revenue</w:t>
            </w:r>
          </w:p>
        </w:tc>
        <w:tc>
          <w:tcPr>
            <w:tcW w:w="2592" w:type="dxa"/>
            <w:gridSpan w:val="2"/>
          </w:tcPr>
          <w:p w14:paraId="279BEA7C" w14:textId="77777777" w:rsidR="00FA4AA8" w:rsidRDefault="00FA4AA8">
            <w:pPr>
              <w:pStyle w:val="TableParagraph"/>
              <w:rPr>
                <w:rFonts w:ascii="Times New Roman"/>
                <w:sz w:val="14"/>
              </w:rPr>
            </w:pPr>
          </w:p>
        </w:tc>
      </w:tr>
      <w:tr w:rsidR="00FA4AA8" w14:paraId="638FE136" w14:textId="77777777">
        <w:trPr>
          <w:trHeight w:val="256"/>
        </w:trPr>
        <w:tc>
          <w:tcPr>
            <w:tcW w:w="7372" w:type="dxa"/>
          </w:tcPr>
          <w:p w14:paraId="6ABE8A46" w14:textId="77777777" w:rsidR="00FA4AA8" w:rsidRDefault="00FA4AA8">
            <w:pPr>
              <w:pStyle w:val="TableParagraph"/>
              <w:rPr>
                <w:rFonts w:ascii="Times New Roman"/>
                <w:sz w:val="18"/>
              </w:rPr>
            </w:pPr>
          </w:p>
        </w:tc>
        <w:tc>
          <w:tcPr>
            <w:tcW w:w="1452" w:type="dxa"/>
          </w:tcPr>
          <w:p w14:paraId="2ACB899B" w14:textId="77777777" w:rsidR="00FA4AA8" w:rsidRDefault="0015611F">
            <w:pPr>
              <w:pStyle w:val="TableParagraph"/>
              <w:spacing w:before="13"/>
              <w:ind w:left="442"/>
              <w:rPr>
                <w:b/>
                <w:sz w:val="18"/>
              </w:rPr>
            </w:pPr>
            <w:r>
              <w:rPr>
                <w:b/>
                <w:sz w:val="18"/>
              </w:rPr>
              <w:t>2018</w:t>
            </w:r>
          </w:p>
        </w:tc>
        <w:tc>
          <w:tcPr>
            <w:tcW w:w="1140" w:type="dxa"/>
          </w:tcPr>
          <w:p w14:paraId="5D6AC18B" w14:textId="77777777" w:rsidR="00FA4AA8" w:rsidRDefault="0015611F">
            <w:pPr>
              <w:pStyle w:val="TableParagraph"/>
              <w:spacing w:before="13"/>
              <w:ind w:left="276"/>
              <w:rPr>
                <w:b/>
                <w:sz w:val="18"/>
              </w:rPr>
            </w:pPr>
            <w:r>
              <w:rPr>
                <w:b/>
                <w:sz w:val="18"/>
              </w:rPr>
              <w:t>2017</w:t>
            </w:r>
          </w:p>
        </w:tc>
      </w:tr>
      <w:tr w:rsidR="00FA4AA8" w14:paraId="78BE91A7" w14:textId="77777777">
        <w:trPr>
          <w:trHeight w:val="313"/>
        </w:trPr>
        <w:tc>
          <w:tcPr>
            <w:tcW w:w="7372" w:type="dxa"/>
          </w:tcPr>
          <w:p w14:paraId="21BFCE27" w14:textId="77777777" w:rsidR="00FA4AA8" w:rsidRDefault="00FA4AA8">
            <w:pPr>
              <w:pStyle w:val="TableParagraph"/>
              <w:rPr>
                <w:rFonts w:ascii="Times New Roman"/>
                <w:sz w:val="18"/>
              </w:rPr>
            </w:pPr>
          </w:p>
        </w:tc>
        <w:tc>
          <w:tcPr>
            <w:tcW w:w="1452" w:type="dxa"/>
          </w:tcPr>
          <w:p w14:paraId="56547978" w14:textId="77777777" w:rsidR="00FA4AA8" w:rsidRDefault="0015611F">
            <w:pPr>
              <w:pStyle w:val="TableParagraph"/>
              <w:spacing w:before="30"/>
              <w:ind w:right="163"/>
              <w:jc w:val="center"/>
              <w:rPr>
                <w:b/>
                <w:sz w:val="18"/>
              </w:rPr>
            </w:pPr>
            <w:r>
              <w:rPr>
                <w:b/>
                <w:sz w:val="18"/>
              </w:rPr>
              <w:t>$</w:t>
            </w:r>
          </w:p>
        </w:tc>
        <w:tc>
          <w:tcPr>
            <w:tcW w:w="1140" w:type="dxa"/>
          </w:tcPr>
          <w:p w14:paraId="01C4DF7E" w14:textId="77777777" w:rsidR="00FA4AA8" w:rsidRDefault="0015611F">
            <w:pPr>
              <w:pStyle w:val="TableParagraph"/>
              <w:spacing w:before="30"/>
              <w:ind w:right="182"/>
              <w:jc w:val="center"/>
              <w:rPr>
                <w:b/>
                <w:sz w:val="18"/>
              </w:rPr>
            </w:pPr>
            <w:r>
              <w:rPr>
                <w:b/>
                <w:sz w:val="18"/>
              </w:rPr>
              <w:t>$</w:t>
            </w:r>
          </w:p>
        </w:tc>
      </w:tr>
      <w:tr w:rsidR="00FA4AA8" w14:paraId="2E7CC272" w14:textId="77777777">
        <w:trPr>
          <w:trHeight w:val="542"/>
        </w:trPr>
        <w:tc>
          <w:tcPr>
            <w:tcW w:w="7372" w:type="dxa"/>
          </w:tcPr>
          <w:p w14:paraId="41E6AC4E" w14:textId="77777777" w:rsidR="00FA4AA8" w:rsidRDefault="0015611F">
            <w:pPr>
              <w:pStyle w:val="TableParagraph"/>
              <w:spacing w:before="70"/>
              <w:ind w:left="489"/>
              <w:rPr>
                <w:b/>
                <w:sz w:val="18"/>
              </w:rPr>
            </w:pPr>
            <w:r>
              <w:rPr>
                <w:b/>
                <w:sz w:val="18"/>
              </w:rPr>
              <w:t>Other revenue and income</w:t>
            </w:r>
          </w:p>
          <w:p w14:paraId="496D07D3" w14:textId="77777777" w:rsidR="00FA4AA8" w:rsidRDefault="0015611F">
            <w:pPr>
              <w:pStyle w:val="TableParagraph"/>
              <w:spacing w:before="25"/>
              <w:ind w:left="489"/>
              <w:rPr>
                <w:sz w:val="18"/>
              </w:rPr>
            </w:pPr>
            <w:r>
              <w:rPr>
                <w:sz w:val="18"/>
              </w:rPr>
              <w:t>Government childcare</w:t>
            </w:r>
            <w:r>
              <w:rPr>
                <w:spacing w:val="2"/>
                <w:sz w:val="18"/>
              </w:rPr>
              <w:t xml:space="preserve"> </w:t>
            </w:r>
            <w:r>
              <w:rPr>
                <w:sz w:val="18"/>
              </w:rPr>
              <w:t>grants</w:t>
            </w:r>
          </w:p>
        </w:tc>
        <w:tc>
          <w:tcPr>
            <w:tcW w:w="1452" w:type="dxa"/>
          </w:tcPr>
          <w:p w14:paraId="76D1FB2C" w14:textId="77777777" w:rsidR="00FA4AA8" w:rsidRDefault="00FA4AA8">
            <w:pPr>
              <w:pStyle w:val="TableParagraph"/>
              <w:spacing w:before="6"/>
              <w:rPr>
                <w:b/>
                <w:sz w:val="26"/>
              </w:rPr>
            </w:pPr>
          </w:p>
          <w:p w14:paraId="709DB8CC" w14:textId="77777777" w:rsidR="00FA4AA8" w:rsidRDefault="0015611F">
            <w:pPr>
              <w:pStyle w:val="TableParagraph"/>
              <w:ind w:right="245"/>
              <w:jc w:val="right"/>
              <w:rPr>
                <w:b/>
                <w:sz w:val="18"/>
              </w:rPr>
            </w:pPr>
            <w:r>
              <w:rPr>
                <w:b/>
                <w:sz w:val="18"/>
              </w:rPr>
              <w:t>58,125</w:t>
            </w:r>
          </w:p>
        </w:tc>
        <w:tc>
          <w:tcPr>
            <w:tcW w:w="1140" w:type="dxa"/>
          </w:tcPr>
          <w:p w14:paraId="6DC76703" w14:textId="77777777" w:rsidR="00FA4AA8" w:rsidRDefault="00FA4AA8">
            <w:pPr>
              <w:pStyle w:val="TableParagraph"/>
              <w:spacing w:before="6"/>
              <w:rPr>
                <w:b/>
                <w:sz w:val="26"/>
              </w:rPr>
            </w:pPr>
          </w:p>
          <w:p w14:paraId="15C7D681" w14:textId="77777777" w:rsidR="00FA4AA8" w:rsidRDefault="0015611F">
            <w:pPr>
              <w:pStyle w:val="TableParagraph"/>
              <w:ind w:right="84"/>
              <w:jc w:val="right"/>
              <w:rPr>
                <w:sz w:val="18"/>
              </w:rPr>
            </w:pPr>
            <w:r>
              <w:rPr>
                <w:sz w:val="18"/>
              </w:rPr>
              <w:t>62,175</w:t>
            </w:r>
          </w:p>
        </w:tc>
      </w:tr>
      <w:tr w:rsidR="00FA4AA8" w14:paraId="0DB3948B" w14:textId="77777777">
        <w:trPr>
          <w:trHeight w:val="264"/>
        </w:trPr>
        <w:tc>
          <w:tcPr>
            <w:tcW w:w="7372" w:type="dxa"/>
          </w:tcPr>
          <w:p w14:paraId="033C5002" w14:textId="77777777" w:rsidR="00FA4AA8" w:rsidRDefault="0015611F">
            <w:pPr>
              <w:pStyle w:val="TableParagraph"/>
              <w:spacing w:before="24"/>
              <w:ind w:left="489"/>
              <w:rPr>
                <w:sz w:val="18"/>
              </w:rPr>
            </w:pPr>
            <w:bookmarkStart w:id="193" w:name="3_Expenses_"/>
            <w:bookmarkEnd w:id="193"/>
            <w:r>
              <w:rPr>
                <w:sz w:val="18"/>
              </w:rPr>
              <w:t>Government traineeship funding</w:t>
            </w:r>
          </w:p>
        </w:tc>
        <w:tc>
          <w:tcPr>
            <w:tcW w:w="1452" w:type="dxa"/>
          </w:tcPr>
          <w:p w14:paraId="3BD5FFDE" w14:textId="77777777" w:rsidR="00FA4AA8" w:rsidRDefault="0015611F">
            <w:pPr>
              <w:pStyle w:val="TableParagraph"/>
              <w:spacing w:before="26"/>
              <w:ind w:right="245"/>
              <w:jc w:val="right"/>
              <w:rPr>
                <w:b/>
                <w:sz w:val="18"/>
              </w:rPr>
            </w:pPr>
            <w:r>
              <w:rPr>
                <w:b/>
                <w:sz w:val="18"/>
              </w:rPr>
              <w:t>35,315</w:t>
            </w:r>
          </w:p>
        </w:tc>
        <w:tc>
          <w:tcPr>
            <w:tcW w:w="1140" w:type="dxa"/>
          </w:tcPr>
          <w:p w14:paraId="1BC5C8C3" w14:textId="77777777" w:rsidR="00FA4AA8" w:rsidRDefault="0015611F">
            <w:pPr>
              <w:pStyle w:val="TableParagraph"/>
              <w:spacing w:before="26"/>
              <w:ind w:right="84"/>
              <w:jc w:val="right"/>
              <w:rPr>
                <w:sz w:val="18"/>
              </w:rPr>
            </w:pPr>
            <w:r>
              <w:rPr>
                <w:sz w:val="18"/>
              </w:rPr>
              <w:t>30,000</w:t>
            </w:r>
          </w:p>
        </w:tc>
      </w:tr>
      <w:tr w:rsidR="00FA4AA8" w14:paraId="6F1F81EE" w14:textId="77777777">
        <w:trPr>
          <w:trHeight w:val="264"/>
        </w:trPr>
        <w:tc>
          <w:tcPr>
            <w:tcW w:w="7372" w:type="dxa"/>
          </w:tcPr>
          <w:p w14:paraId="3D5658B6" w14:textId="77777777" w:rsidR="00FA4AA8" w:rsidRDefault="0015611F">
            <w:pPr>
              <w:pStyle w:val="TableParagraph"/>
              <w:spacing w:before="24"/>
              <w:ind w:left="489"/>
              <w:rPr>
                <w:sz w:val="18"/>
              </w:rPr>
            </w:pPr>
            <w:r>
              <w:rPr>
                <w:sz w:val="18"/>
              </w:rPr>
              <w:t>Related party services</w:t>
            </w:r>
          </w:p>
        </w:tc>
        <w:tc>
          <w:tcPr>
            <w:tcW w:w="1452" w:type="dxa"/>
          </w:tcPr>
          <w:p w14:paraId="34960B25" w14:textId="77777777" w:rsidR="00FA4AA8" w:rsidRDefault="0015611F">
            <w:pPr>
              <w:pStyle w:val="TableParagraph"/>
              <w:spacing w:before="26"/>
              <w:ind w:right="245"/>
              <w:jc w:val="right"/>
              <w:rPr>
                <w:b/>
                <w:sz w:val="18"/>
              </w:rPr>
            </w:pPr>
            <w:r>
              <w:rPr>
                <w:b/>
                <w:sz w:val="18"/>
              </w:rPr>
              <w:t>8,100</w:t>
            </w:r>
          </w:p>
        </w:tc>
        <w:tc>
          <w:tcPr>
            <w:tcW w:w="1140" w:type="dxa"/>
          </w:tcPr>
          <w:p w14:paraId="7B3659CA" w14:textId="77777777" w:rsidR="00FA4AA8" w:rsidRDefault="0015611F">
            <w:pPr>
              <w:pStyle w:val="TableParagraph"/>
              <w:spacing w:before="26"/>
              <w:ind w:right="84"/>
              <w:jc w:val="right"/>
              <w:rPr>
                <w:sz w:val="18"/>
              </w:rPr>
            </w:pPr>
            <w:r>
              <w:rPr>
                <w:sz w:val="18"/>
              </w:rPr>
              <w:t>124,009</w:t>
            </w:r>
          </w:p>
        </w:tc>
      </w:tr>
      <w:tr w:rsidR="00FA4AA8" w14:paraId="2E3E1F35" w14:textId="77777777">
        <w:trPr>
          <w:trHeight w:val="258"/>
        </w:trPr>
        <w:tc>
          <w:tcPr>
            <w:tcW w:w="7372" w:type="dxa"/>
          </w:tcPr>
          <w:p w14:paraId="26C888DD" w14:textId="77777777" w:rsidR="00FA4AA8" w:rsidRDefault="0015611F">
            <w:pPr>
              <w:pStyle w:val="TableParagraph"/>
              <w:spacing w:before="24"/>
              <w:ind w:left="489"/>
              <w:rPr>
                <w:sz w:val="18"/>
              </w:rPr>
            </w:pPr>
            <w:r>
              <w:rPr>
                <w:sz w:val="18"/>
              </w:rPr>
              <w:t>Other income</w:t>
            </w:r>
          </w:p>
        </w:tc>
        <w:tc>
          <w:tcPr>
            <w:tcW w:w="1452" w:type="dxa"/>
            <w:tcBorders>
              <w:bottom w:val="single" w:sz="8" w:space="0" w:color="000000"/>
            </w:tcBorders>
          </w:tcPr>
          <w:p w14:paraId="7637546F" w14:textId="77777777" w:rsidR="00FA4AA8" w:rsidRDefault="0015611F">
            <w:pPr>
              <w:pStyle w:val="TableParagraph"/>
              <w:spacing w:before="26"/>
              <w:ind w:right="244"/>
              <w:jc w:val="right"/>
              <w:rPr>
                <w:b/>
                <w:sz w:val="18"/>
              </w:rPr>
            </w:pPr>
            <w:r>
              <w:rPr>
                <w:b/>
                <w:sz w:val="18"/>
              </w:rPr>
              <w:t>-</w:t>
            </w:r>
          </w:p>
        </w:tc>
        <w:tc>
          <w:tcPr>
            <w:tcW w:w="1140" w:type="dxa"/>
            <w:tcBorders>
              <w:bottom w:val="single" w:sz="8" w:space="0" w:color="000000"/>
            </w:tcBorders>
          </w:tcPr>
          <w:p w14:paraId="43AF1179" w14:textId="77777777" w:rsidR="00FA4AA8" w:rsidRDefault="0015611F">
            <w:pPr>
              <w:pStyle w:val="TableParagraph"/>
              <w:spacing w:before="26"/>
              <w:ind w:right="84"/>
              <w:jc w:val="right"/>
              <w:rPr>
                <w:sz w:val="18"/>
              </w:rPr>
            </w:pPr>
            <w:r>
              <w:rPr>
                <w:sz w:val="18"/>
              </w:rPr>
              <w:t>3,034</w:t>
            </w:r>
          </w:p>
        </w:tc>
      </w:tr>
      <w:tr w:rsidR="00FA4AA8" w14:paraId="32920204" w14:textId="77777777">
        <w:trPr>
          <w:trHeight w:val="320"/>
        </w:trPr>
        <w:tc>
          <w:tcPr>
            <w:tcW w:w="7372" w:type="dxa"/>
          </w:tcPr>
          <w:p w14:paraId="203FFC56" w14:textId="77777777" w:rsidR="00FA4AA8" w:rsidRDefault="0015611F">
            <w:pPr>
              <w:pStyle w:val="TableParagraph"/>
              <w:spacing w:before="115" w:line="185" w:lineRule="exact"/>
              <w:ind w:left="489"/>
              <w:rPr>
                <w:b/>
                <w:sz w:val="18"/>
              </w:rPr>
            </w:pPr>
            <w:r>
              <w:rPr>
                <w:b/>
                <w:sz w:val="18"/>
              </w:rPr>
              <w:t>Total other revenue and income</w:t>
            </w:r>
          </w:p>
        </w:tc>
        <w:tc>
          <w:tcPr>
            <w:tcW w:w="1452" w:type="dxa"/>
            <w:tcBorders>
              <w:top w:val="single" w:sz="8" w:space="0" w:color="000000"/>
              <w:bottom w:val="double" w:sz="2" w:space="0" w:color="000000"/>
            </w:tcBorders>
          </w:tcPr>
          <w:p w14:paraId="51C03F0A" w14:textId="77777777" w:rsidR="00FA4AA8" w:rsidRDefault="0015611F">
            <w:pPr>
              <w:pStyle w:val="TableParagraph"/>
              <w:spacing w:before="115" w:line="185" w:lineRule="exact"/>
              <w:ind w:right="245"/>
              <w:jc w:val="right"/>
              <w:rPr>
                <w:b/>
                <w:sz w:val="18"/>
              </w:rPr>
            </w:pPr>
            <w:r>
              <w:rPr>
                <w:b/>
                <w:sz w:val="18"/>
              </w:rPr>
              <w:t>101,540</w:t>
            </w:r>
          </w:p>
        </w:tc>
        <w:tc>
          <w:tcPr>
            <w:tcW w:w="1140" w:type="dxa"/>
            <w:tcBorders>
              <w:top w:val="single" w:sz="8" w:space="0" w:color="000000"/>
              <w:bottom w:val="double" w:sz="2" w:space="0" w:color="000000"/>
            </w:tcBorders>
          </w:tcPr>
          <w:p w14:paraId="573F4DA1" w14:textId="77777777" w:rsidR="00FA4AA8" w:rsidRDefault="0015611F">
            <w:pPr>
              <w:pStyle w:val="TableParagraph"/>
              <w:spacing w:before="115" w:line="185" w:lineRule="exact"/>
              <w:ind w:right="84"/>
              <w:jc w:val="right"/>
              <w:rPr>
                <w:sz w:val="18"/>
              </w:rPr>
            </w:pPr>
            <w:r>
              <w:rPr>
                <w:sz w:val="18"/>
              </w:rPr>
              <w:t>219,218</w:t>
            </w:r>
          </w:p>
        </w:tc>
      </w:tr>
      <w:tr w:rsidR="00FA4AA8" w14:paraId="028F2370" w14:textId="77777777">
        <w:trPr>
          <w:trHeight w:val="518"/>
        </w:trPr>
        <w:tc>
          <w:tcPr>
            <w:tcW w:w="7372" w:type="dxa"/>
          </w:tcPr>
          <w:p w14:paraId="266415D7" w14:textId="77777777" w:rsidR="00FA4AA8" w:rsidRDefault="00FA4AA8">
            <w:pPr>
              <w:pStyle w:val="TableParagraph"/>
              <w:spacing w:before="4"/>
              <w:rPr>
                <w:b/>
                <w:sz w:val="25"/>
              </w:rPr>
            </w:pPr>
          </w:p>
          <w:p w14:paraId="68A6B065" w14:textId="77777777" w:rsidR="00FA4AA8" w:rsidRDefault="0015611F">
            <w:pPr>
              <w:pStyle w:val="TableParagraph"/>
              <w:tabs>
                <w:tab w:val="left" w:pos="445"/>
              </w:tabs>
              <w:spacing w:line="206" w:lineRule="exact"/>
              <w:ind w:left="50"/>
              <w:rPr>
                <w:b/>
                <w:sz w:val="18"/>
              </w:rPr>
            </w:pPr>
            <w:r>
              <w:rPr>
                <w:b/>
                <w:sz w:val="18"/>
              </w:rPr>
              <w:t>3</w:t>
            </w:r>
            <w:r>
              <w:rPr>
                <w:b/>
                <w:sz w:val="18"/>
              </w:rPr>
              <w:tab/>
              <w:t>Expenses</w:t>
            </w:r>
          </w:p>
        </w:tc>
        <w:tc>
          <w:tcPr>
            <w:tcW w:w="1452" w:type="dxa"/>
            <w:tcBorders>
              <w:top w:val="double" w:sz="2" w:space="0" w:color="000000"/>
            </w:tcBorders>
          </w:tcPr>
          <w:p w14:paraId="5DCA03FB" w14:textId="77777777" w:rsidR="00FA4AA8" w:rsidRDefault="00FA4AA8">
            <w:pPr>
              <w:pStyle w:val="TableParagraph"/>
              <w:rPr>
                <w:rFonts w:ascii="Times New Roman"/>
                <w:sz w:val="18"/>
              </w:rPr>
            </w:pPr>
          </w:p>
        </w:tc>
        <w:tc>
          <w:tcPr>
            <w:tcW w:w="1140" w:type="dxa"/>
            <w:tcBorders>
              <w:top w:val="double" w:sz="2" w:space="0" w:color="000000"/>
            </w:tcBorders>
          </w:tcPr>
          <w:p w14:paraId="2A07A69A" w14:textId="77777777" w:rsidR="00FA4AA8" w:rsidRDefault="00FA4AA8">
            <w:pPr>
              <w:pStyle w:val="TableParagraph"/>
              <w:rPr>
                <w:rFonts w:ascii="Times New Roman"/>
                <w:sz w:val="18"/>
              </w:rPr>
            </w:pPr>
          </w:p>
        </w:tc>
      </w:tr>
      <w:tr w:rsidR="00FA4AA8" w14:paraId="27330A2C" w14:textId="77777777">
        <w:trPr>
          <w:trHeight w:val="256"/>
        </w:trPr>
        <w:tc>
          <w:tcPr>
            <w:tcW w:w="7372" w:type="dxa"/>
          </w:tcPr>
          <w:p w14:paraId="484F29B9" w14:textId="77777777" w:rsidR="00FA4AA8" w:rsidRDefault="00FA4AA8">
            <w:pPr>
              <w:pStyle w:val="TableParagraph"/>
              <w:rPr>
                <w:rFonts w:ascii="Times New Roman"/>
                <w:sz w:val="18"/>
              </w:rPr>
            </w:pPr>
          </w:p>
        </w:tc>
        <w:tc>
          <w:tcPr>
            <w:tcW w:w="1452" w:type="dxa"/>
          </w:tcPr>
          <w:p w14:paraId="2000743B" w14:textId="77777777" w:rsidR="00FA4AA8" w:rsidRDefault="0015611F">
            <w:pPr>
              <w:pStyle w:val="TableParagraph"/>
              <w:spacing w:before="13"/>
              <w:ind w:left="442"/>
              <w:rPr>
                <w:b/>
                <w:sz w:val="18"/>
              </w:rPr>
            </w:pPr>
            <w:r>
              <w:rPr>
                <w:b/>
                <w:sz w:val="18"/>
              </w:rPr>
              <w:t>2018</w:t>
            </w:r>
          </w:p>
        </w:tc>
        <w:tc>
          <w:tcPr>
            <w:tcW w:w="1140" w:type="dxa"/>
          </w:tcPr>
          <w:p w14:paraId="4C77B3A1" w14:textId="77777777" w:rsidR="00FA4AA8" w:rsidRDefault="0015611F">
            <w:pPr>
              <w:pStyle w:val="TableParagraph"/>
              <w:spacing w:before="13"/>
              <w:ind w:left="274"/>
              <w:rPr>
                <w:b/>
                <w:sz w:val="18"/>
              </w:rPr>
            </w:pPr>
            <w:r>
              <w:rPr>
                <w:b/>
                <w:sz w:val="18"/>
              </w:rPr>
              <w:t>2017</w:t>
            </w:r>
          </w:p>
        </w:tc>
      </w:tr>
      <w:tr w:rsidR="00FA4AA8" w14:paraId="692755B0" w14:textId="77777777">
        <w:trPr>
          <w:trHeight w:val="313"/>
        </w:trPr>
        <w:tc>
          <w:tcPr>
            <w:tcW w:w="7372" w:type="dxa"/>
          </w:tcPr>
          <w:p w14:paraId="6C19F5ED" w14:textId="77777777" w:rsidR="00FA4AA8" w:rsidRDefault="00FA4AA8">
            <w:pPr>
              <w:pStyle w:val="TableParagraph"/>
              <w:rPr>
                <w:rFonts w:ascii="Times New Roman"/>
                <w:sz w:val="18"/>
              </w:rPr>
            </w:pPr>
          </w:p>
        </w:tc>
        <w:tc>
          <w:tcPr>
            <w:tcW w:w="1452" w:type="dxa"/>
          </w:tcPr>
          <w:p w14:paraId="3AFC6AED" w14:textId="77777777" w:rsidR="00FA4AA8" w:rsidRDefault="0015611F">
            <w:pPr>
              <w:pStyle w:val="TableParagraph"/>
              <w:spacing w:before="30"/>
              <w:ind w:right="62"/>
              <w:jc w:val="center"/>
              <w:rPr>
                <w:b/>
                <w:sz w:val="18"/>
              </w:rPr>
            </w:pPr>
            <w:r>
              <w:rPr>
                <w:b/>
                <w:sz w:val="18"/>
              </w:rPr>
              <w:t>$</w:t>
            </w:r>
          </w:p>
        </w:tc>
        <w:tc>
          <w:tcPr>
            <w:tcW w:w="1140" w:type="dxa"/>
          </w:tcPr>
          <w:p w14:paraId="009EDA3F" w14:textId="77777777" w:rsidR="00FA4AA8" w:rsidRDefault="0015611F">
            <w:pPr>
              <w:pStyle w:val="TableParagraph"/>
              <w:spacing w:before="30"/>
              <w:ind w:right="86"/>
              <w:jc w:val="center"/>
              <w:rPr>
                <w:b/>
                <w:sz w:val="18"/>
              </w:rPr>
            </w:pPr>
            <w:r>
              <w:rPr>
                <w:b/>
                <w:sz w:val="18"/>
              </w:rPr>
              <w:t>$</w:t>
            </w:r>
          </w:p>
        </w:tc>
      </w:tr>
      <w:tr w:rsidR="00FA4AA8" w14:paraId="52E1DE69" w14:textId="77777777">
        <w:trPr>
          <w:trHeight w:val="544"/>
        </w:trPr>
        <w:tc>
          <w:tcPr>
            <w:tcW w:w="7372" w:type="dxa"/>
          </w:tcPr>
          <w:p w14:paraId="250F20A0" w14:textId="77777777" w:rsidR="00FA4AA8" w:rsidRDefault="0015611F">
            <w:pPr>
              <w:pStyle w:val="TableParagraph"/>
              <w:spacing w:before="70"/>
              <w:ind w:left="489"/>
              <w:rPr>
                <w:b/>
                <w:sz w:val="18"/>
              </w:rPr>
            </w:pPr>
            <w:r>
              <w:rPr>
                <w:b/>
                <w:sz w:val="18"/>
              </w:rPr>
              <w:t>Employee related expenses</w:t>
            </w:r>
          </w:p>
          <w:p w14:paraId="50635757" w14:textId="77777777" w:rsidR="00FA4AA8" w:rsidRDefault="0015611F">
            <w:pPr>
              <w:pStyle w:val="TableParagraph"/>
              <w:spacing w:before="30"/>
              <w:ind w:left="489"/>
              <w:rPr>
                <w:sz w:val="18"/>
              </w:rPr>
            </w:pPr>
            <w:r>
              <w:rPr>
                <w:sz w:val="18"/>
              </w:rPr>
              <w:t>Salaries and wages</w:t>
            </w:r>
          </w:p>
        </w:tc>
        <w:tc>
          <w:tcPr>
            <w:tcW w:w="1452" w:type="dxa"/>
          </w:tcPr>
          <w:p w14:paraId="0E1A8DCF" w14:textId="77777777" w:rsidR="00FA4AA8" w:rsidRDefault="00FA4AA8">
            <w:pPr>
              <w:pStyle w:val="TableParagraph"/>
              <w:spacing w:before="6"/>
              <w:rPr>
                <w:b/>
                <w:sz w:val="26"/>
              </w:rPr>
            </w:pPr>
          </w:p>
          <w:p w14:paraId="2BBEF293" w14:textId="77777777" w:rsidR="00FA4AA8" w:rsidRDefault="0015611F">
            <w:pPr>
              <w:pStyle w:val="TableParagraph"/>
              <w:ind w:right="245"/>
              <w:jc w:val="right"/>
              <w:rPr>
                <w:b/>
                <w:sz w:val="18"/>
              </w:rPr>
            </w:pPr>
            <w:r>
              <w:rPr>
                <w:b/>
                <w:sz w:val="18"/>
              </w:rPr>
              <w:t>5,211,735</w:t>
            </w:r>
          </w:p>
        </w:tc>
        <w:tc>
          <w:tcPr>
            <w:tcW w:w="1140" w:type="dxa"/>
          </w:tcPr>
          <w:p w14:paraId="576CC9F7" w14:textId="77777777" w:rsidR="00FA4AA8" w:rsidRDefault="00FA4AA8">
            <w:pPr>
              <w:pStyle w:val="TableParagraph"/>
              <w:spacing w:before="6"/>
              <w:rPr>
                <w:b/>
                <w:sz w:val="26"/>
              </w:rPr>
            </w:pPr>
          </w:p>
          <w:p w14:paraId="038CFD66" w14:textId="77777777" w:rsidR="00FA4AA8" w:rsidRDefault="0015611F">
            <w:pPr>
              <w:pStyle w:val="TableParagraph"/>
              <w:ind w:right="86"/>
              <w:jc w:val="right"/>
              <w:rPr>
                <w:sz w:val="18"/>
              </w:rPr>
            </w:pPr>
            <w:r>
              <w:rPr>
                <w:sz w:val="18"/>
              </w:rPr>
              <w:t>4,845,346</w:t>
            </w:r>
          </w:p>
        </w:tc>
      </w:tr>
      <w:tr w:rsidR="00FA4AA8" w14:paraId="6D6A7EAC" w14:textId="77777777">
        <w:trPr>
          <w:trHeight w:val="264"/>
        </w:trPr>
        <w:tc>
          <w:tcPr>
            <w:tcW w:w="7372" w:type="dxa"/>
          </w:tcPr>
          <w:p w14:paraId="3E1E505D" w14:textId="77777777" w:rsidR="00FA4AA8" w:rsidRDefault="0015611F">
            <w:pPr>
              <w:pStyle w:val="TableParagraph"/>
              <w:spacing w:before="26"/>
              <w:ind w:left="489"/>
              <w:rPr>
                <w:sz w:val="18"/>
              </w:rPr>
            </w:pPr>
            <w:r>
              <w:rPr>
                <w:sz w:val="18"/>
              </w:rPr>
              <w:t>Superannuation</w:t>
            </w:r>
          </w:p>
        </w:tc>
        <w:tc>
          <w:tcPr>
            <w:tcW w:w="1452" w:type="dxa"/>
          </w:tcPr>
          <w:p w14:paraId="2BFDE10B" w14:textId="77777777" w:rsidR="00FA4AA8" w:rsidRDefault="0015611F">
            <w:pPr>
              <w:pStyle w:val="TableParagraph"/>
              <w:spacing w:before="24"/>
              <w:ind w:right="245"/>
              <w:jc w:val="right"/>
              <w:rPr>
                <w:b/>
                <w:sz w:val="18"/>
              </w:rPr>
            </w:pPr>
            <w:r>
              <w:rPr>
                <w:b/>
                <w:sz w:val="18"/>
              </w:rPr>
              <w:t>470,852</w:t>
            </w:r>
          </w:p>
        </w:tc>
        <w:tc>
          <w:tcPr>
            <w:tcW w:w="1140" w:type="dxa"/>
          </w:tcPr>
          <w:p w14:paraId="45AF33FE" w14:textId="77777777" w:rsidR="00FA4AA8" w:rsidRDefault="0015611F">
            <w:pPr>
              <w:pStyle w:val="TableParagraph"/>
              <w:spacing w:before="24"/>
              <w:ind w:right="86"/>
              <w:jc w:val="right"/>
              <w:rPr>
                <w:sz w:val="18"/>
              </w:rPr>
            </w:pPr>
            <w:r>
              <w:rPr>
                <w:sz w:val="18"/>
              </w:rPr>
              <w:t>449,820</w:t>
            </w:r>
          </w:p>
        </w:tc>
      </w:tr>
      <w:tr w:rsidR="00FA4AA8" w14:paraId="4FDC020D" w14:textId="77777777">
        <w:trPr>
          <w:trHeight w:val="263"/>
        </w:trPr>
        <w:tc>
          <w:tcPr>
            <w:tcW w:w="7372" w:type="dxa"/>
          </w:tcPr>
          <w:p w14:paraId="298A7FCD" w14:textId="77777777" w:rsidR="00FA4AA8" w:rsidRDefault="0015611F">
            <w:pPr>
              <w:pStyle w:val="TableParagraph"/>
              <w:spacing w:before="26"/>
              <w:ind w:left="489"/>
              <w:rPr>
                <w:sz w:val="18"/>
              </w:rPr>
            </w:pPr>
            <w:r>
              <w:rPr>
                <w:sz w:val="18"/>
              </w:rPr>
              <w:t>Worker's compensation</w:t>
            </w:r>
          </w:p>
        </w:tc>
        <w:tc>
          <w:tcPr>
            <w:tcW w:w="1452" w:type="dxa"/>
          </w:tcPr>
          <w:p w14:paraId="4155A3EE" w14:textId="77777777" w:rsidR="00FA4AA8" w:rsidRDefault="0015611F">
            <w:pPr>
              <w:pStyle w:val="TableParagraph"/>
              <w:spacing w:before="24"/>
              <w:ind w:right="245"/>
              <w:jc w:val="right"/>
              <w:rPr>
                <w:b/>
                <w:sz w:val="18"/>
              </w:rPr>
            </w:pPr>
            <w:r>
              <w:rPr>
                <w:b/>
                <w:sz w:val="18"/>
              </w:rPr>
              <w:t>126,464</w:t>
            </w:r>
          </w:p>
        </w:tc>
        <w:tc>
          <w:tcPr>
            <w:tcW w:w="1140" w:type="dxa"/>
          </w:tcPr>
          <w:p w14:paraId="0D7EADBE" w14:textId="77777777" w:rsidR="00FA4AA8" w:rsidRDefault="0015611F">
            <w:pPr>
              <w:pStyle w:val="TableParagraph"/>
              <w:spacing w:before="24"/>
              <w:ind w:right="86"/>
              <w:jc w:val="right"/>
              <w:rPr>
                <w:sz w:val="18"/>
              </w:rPr>
            </w:pPr>
            <w:r>
              <w:rPr>
                <w:sz w:val="18"/>
              </w:rPr>
              <w:t>55,654</w:t>
            </w:r>
          </w:p>
        </w:tc>
      </w:tr>
      <w:tr w:rsidR="00FA4AA8" w14:paraId="1844993A" w14:textId="77777777">
        <w:trPr>
          <w:trHeight w:val="264"/>
        </w:trPr>
        <w:tc>
          <w:tcPr>
            <w:tcW w:w="7372" w:type="dxa"/>
          </w:tcPr>
          <w:p w14:paraId="4647971F" w14:textId="77777777" w:rsidR="00FA4AA8" w:rsidRDefault="0015611F">
            <w:pPr>
              <w:pStyle w:val="TableParagraph"/>
              <w:spacing w:before="26"/>
              <w:ind w:left="489"/>
              <w:rPr>
                <w:sz w:val="18"/>
              </w:rPr>
            </w:pPr>
            <w:r>
              <w:rPr>
                <w:sz w:val="18"/>
              </w:rPr>
              <w:t>Annual and long service leave</w:t>
            </w:r>
          </w:p>
        </w:tc>
        <w:tc>
          <w:tcPr>
            <w:tcW w:w="1452" w:type="dxa"/>
          </w:tcPr>
          <w:p w14:paraId="437D5767" w14:textId="77777777" w:rsidR="00FA4AA8" w:rsidRDefault="0015611F">
            <w:pPr>
              <w:pStyle w:val="TableParagraph"/>
              <w:spacing w:before="24"/>
              <w:ind w:right="245"/>
              <w:jc w:val="right"/>
              <w:rPr>
                <w:b/>
                <w:sz w:val="18"/>
              </w:rPr>
            </w:pPr>
            <w:r>
              <w:rPr>
                <w:b/>
                <w:sz w:val="18"/>
              </w:rPr>
              <w:t>469,954</w:t>
            </w:r>
          </w:p>
        </w:tc>
        <w:tc>
          <w:tcPr>
            <w:tcW w:w="1140" w:type="dxa"/>
          </w:tcPr>
          <w:p w14:paraId="3A8EEDC6" w14:textId="77777777" w:rsidR="00FA4AA8" w:rsidRDefault="0015611F">
            <w:pPr>
              <w:pStyle w:val="TableParagraph"/>
              <w:spacing w:before="24"/>
              <w:ind w:right="86"/>
              <w:jc w:val="right"/>
              <w:rPr>
                <w:sz w:val="18"/>
              </w:rPr>
            </w:pPr>
            <w:r>
              <w:rPr>
                <w:sz w:val="18"/>
              </w:rPr>
              <w:t>465,866</w:t>
            </w:r>
          </w:p>
        </w:tc>
      </w:tr>
      <w:tr w:rsidR="00FA4AA8" w14:paraId="54DCEF60" w14:textId="77777777">
        <w:trPr>
          <w:trHeight w:val="256"/>
        </w:trPr>
        <w:tc>
          <w:tcPr>
            <w:tcW w:w="7372" w:type="dxa"/>
          </w:tcPr>
          <w:p w14:paraId="1AB706D0" w14:textId="77777777" w:rsidR="00FA4AA8" w:rsidRDefault="0015611F">
            <w:pPr>
              <w:pStyle w:val="TableParagraph"/>
              <w:spacing w:before="26"/>
              <w:ind w:left="489"/>
              <w:rPr>
                <w:sz w:val="18"/>
              </w:rPr>
            </w:pPr>
            <w:r>
              <w:rPr>
                <w:sz w:val="18"/>
              </w:rPr>
              <w:t>Other</w:t>
            </w:r>
          </w:p>
        </w:tc>
        <w:tc>
          <w:tcPr>
            <w:tcW w:w="1452" w:type="dxa"/>
            <w:tcBorders>
              <w:bottom w:val="single" w:sz="8" w:space="0" w:color="000000"/>
            </w:tcBorders>
          </w:tcPr>
          <w:p w14:paraId="7A8D0AA3" w14:textId="77777777" w:rsidR="00FA4AA8" w:rsidRDefault="0015611F">
            <w:pPr>
              <w:pStyle w:val="TableParagraph"/>
              <w:spacing w:before="24"/>
              <w:ind w:right="245"/>
              <w:jc w:val="right"/>
              <w:rPr>
                <w:b/>
                <w:sz w:val="18"/>
              </w:rPr>
            </w:pPr>
            <w:r>
              <w:rPr>
                <w:b/>
                <w:sz w:val="18"/>
              </w:rPr>
              <w:t>14,896</w:t>
            </w:r>
          </w:p>
        </w:tc>
        <w:tc>
          <w:tcPr>
            <w:tcW w:w="1140" w:type="dxa"/>
            <w:tcBorders>
              <w:bottom w:val="single" w:sz="8" w:space="0" w:color="000000"/>
            </w:tcBorders>
          </w:tcPr>
          <w:p w14:paraId="0FDE0E72" w14:textId="77777777" w:rsidR="00FA4AA8" w:rsidRDefault="0015611F">
            <w:pPr>
              <w:pStyle w:val="TableParagraph"/>
              <w:spacing w:before="24"/>
              <w:ind w:right="86"/>
              <w:jc w:val="right"/>
              <w:rPr>
                <w:sz w:val="18"/>
              </w:rPr>
            </w:pPr>
            <w:r>
              <w:rPr>
                <w:sz w:val="18"/>
              </w:rPr>
              <w:t>12,508</w:t>
            </w:r>
          </w:p>
        </w:tc>
      </w:tr>
      <w:tr w:rsidR="00FA4AA8" w14:paraId="270D1805" w14:textId="77777777">
        <w:trPr>
          <w:trHeight w:val="320"/>
        </w:trPr>
        <w:tc>
          <w:tcPr>
            <w:tcW w:w="7372" w:type="dxa"/>
          </w:tcPr>
          <w:p w14:paraId="3AD8060D" w14:textId="77777777" w:rsidR="00FA4AA8" w:rsidRDefault="0015611F">
            <w:pPr>
              <w:pStyle w:val="TableParagraph"/>
              <w:spacing w:before="115" w:line="185" w:lineRule="exact"/>
              <w:ind w:left="489"/>
              <w:rPr>
                <w:b/>
                <w:sz w:val="18"/>
              </w:rPr>
            </w:pPr>
            <w:r>
              <w:rPr>
                <w:b/>
                <w:sz w:val="18"/>
              </w:rPr>
              <w:t>Total employee related expenses</w:t>
            </w:r>
          </w:p>
        </w:tc>
        <w:tc>
          <w:tcPr>
            <w:tcW w:w="1452" w:type="dxa"/>
            <w:tcBorders>
              <w:top w:val="single" w:sz="8" w:space="0" w:color="000000"/>
              <w:bottom w:val="double" w:sz="2" w:space="0" w:color="000000"/>
            </w:tcBorders>
          </w:tcPr>
          <w:p w14:paraId="0C6CE1D7" w14:textId="77777777" w:rsidR="00FA4AA8" w:rsidRDefault="0015611F">
            <w:pPr>
              <w:pStyle w:val="TableParagraph"/>
              <w:spacing w:before="115" w:line="185" w:lineRule="exact"/>
              <w:ind w:right="245"/>
              <w:jc w:val="right"/>
              <w:rPr>
                <w:b/>
                <w:sz w:val="18"/>
              </w:rPr>
            </w:pPr>
            <w:r>
              <w:rPr>
                <w:b/>
                <w:sz w:val="18"/>
              </w:rPr>
              <w:t>6,293,901</w:t>
            </w:r>
          </w:p>
        </w:tc>
        <w:tc>
          <w:tcPr>
            <w:tcW w:w="1140" w:type="dxa"/>
            <w:tcBorders>
              <w:top w:val="single" w:sz="8" w:space="0" w:color="000000"/>
              <w:bottom w:val="double" w:sz="2" w:space="0" w:color="000000"/>
            </w:tcBorders>
          </w:tcPr>
          <w:p w14:paraId="4820A2A9" w14:textId="77777777" w:rsidR="00FA4AA8" w:rsidRDefault="0015611F">
            <w:pPr>
              <w:pStyle w:val="TableParagraph"/>
              <w:spacing w:before="115" w:line="185" w:lineRule="exact"/>
              <w:ind w:right="86"/>
              <w:jc w:val="right"/>
              <w:rPr>
                <w:sz w:val="18"/>
              </w:rPr>
            </w:pPr>
            <w:r>
              <w:rPr>
                <w:sz w:val="18"/>
              </w:rPr>
              <w:t>5,829,194</w:t>
            </w:r>
          </w:p>
        </w:tc>
      </w:tr>
      <w:tr w:rsidR="00FA4AA8" w14:paraId="693B01FE" w14:textId="77777777">
        <w:trPr>
          <w:trHeight w:val="611"/>
        </w:trPr>
        <w:tc>
          <w:tcPr>
            <w:tcW w:w="7372" w:type="dxa"/>
          </w:tcPr>
          <w:p w14:paraId="3C5F3D80" w14:textId="77777777" w:rsidR="00FA4AA8" w:rsidRDefault="0015611F">
            <w:pPr>
              <w:pStyle w:val="TableParagraph"/>
              <w:spacing w:before="136"/>
              <w:ind w:left="489"/>
              <w:rPr>
                <w:b/>
                <w:sz w:val="18"/>
              </w:rPr>
            </w:pPr>
            <w:r>
              <w:rPr>
                <w:b/>
                <w:sz w:val="18"/>
              </w:rPr>
              <w:t>Consumables and supplies</w:t>
            </w:r>
          </w:p>
          <w:p w14:paraId="2CC72E7E" w14:textId="77777777" w:rsidR="00FA4AA8" w:rsidRDefault="0015611F">
            <w:pPr>
              <w:pStyle w:val="TableParagraph"/>
              <w:spacing w:before="31"/>
              <w:ind w:left="489"/>
              <w:rPr>
                <w:sz w:val="18"/>
              </w:rPr>
            </w:pPr>
            <w:r>
              <w:rPr>
                <w:sz w:val="18"/>
              </w:rPr>
              <w:t>Consumables</w:t>
            </w:r>
          </w:p>
        </w:tc>
        <w:tc>
          <w:tcPr>
            <w:tcW w:w="1452" w:type="dxa"/>
            <w:tcBorders>
              <w:top w:val="double" w:sz="2" w:space="0" w:color="000000"/>
            </w:tcBorders>
          </w:tcPr>
          <w:p w14:paraId="704F6D30" w14:textId="77777777" w:rsidR="00FA4AA8" w:rsidRDefault="00FA4AA8">
            <w:pPr>
              <w:pStyle w:val="TableParagraph"/>
              <w:rPr>
                <w:b/>
                <w:sz w:val="20"/>
              </w:rPr>
            </w:pPr>
          </w:p>
          <w:p w14:paraId="321CCD57" w14:textId="77777777" w:rsidR="00FA4AA8" w:rsidRDefault="0015611F">
            <w:pPr>
              <w:pStyle w:val="TableParagraph"/>
              <w:spacing w:before="141"/>
              <w:ind w:right="242"/>
              <w:jc w:val="right"/>
              <w:rPr>
                <w:b/>
                <w:sz w:val="18"/>
              </w:rPr>
            </w:pPr>
            <w:r>
              <w:rPr>
                <w:b/>
                <w:sz w:val="18"/>
              </w:rPr>
              <w:t>263,388</w:t>
            </w:r>
          </w:p>
        </w:tc>
        <w:tc>
          <w:tcPr>
            <w:tcW w:w="1140" w:type="dxa"/>
            <w:tcBorders>
              <w:top w:val="double" w:sz="2" w:space="0" w:color="000000"/>
            </w:tcBorders>
          </w:tcPr>
          <w:p w14:paraId="15FE42AC" w14:textId="77777777" w:rsidR="00FA4AA8" w:rsidRDefault="00FA4AA8">
            <w:pPr>
              <w:pStyle w:val="TableParagraph"/>
              <w:rPr>
                <w:b/>
                <w:sz w:val="20"/>
              </w:rPr>
            </w:pPr>
          </w:p>
          <w:p w14:paraId="56507F93" w14:textId="77777777" w:rsidR="00FA4AA8" w:rsidRDefault="0015611F">
            <w:pPr>
              <w:pStyle w:val="TableParagraph"/>
              <w:spacing w:before="141"/>
              <w:ind w:right="86"/>
              <w:jc w:val="right"/>
              <w:rPr>
                <w:sz w:val="18"/>
              </w:rPr>
            </w:pPr>
            <w:r>
              <w:rPr>
                <w:sz w:val="18"/>
              </w:rPr>
              <w:t>231,365</w:t>
            </w:r>
          </w:p>
        </w:tc>
      </w:tr>
      <w:tr w:rsidR="00FA4AA8" w14:paraId="781E7A64" w14:textId="77777777">
        <w:trPr>
          <w:trHeight w:val="256"/>
        </w:trPr>
        <w:tc>
          <w:tcPr>
            <w:tcW w:w="7372" w:type="dxa"/>
          </w:tcPr>
          <w:p w14:paraId="17C85414" w14:textId="77777777" w:rsidR="00FA4AA8" w:rsidRDefault="0015611F">
            <w:pPr>
              <w:pStyle w:val="TableParagraph"/>
              <w:spacing w:before="26"/>
              <w:ind w:left="489"/>
              <w:rPr>
                <w:sz w:val="18"/>
              </w:rPr>
            </w:pPr>
            <w:r>
              <w:rPr>
                <w:sz w:val="18"/>
              </w:rPr>
              <w:t>Centre resources and supplies</w:t>
            </w:r>
          </w:p>
        </w:tc>
        <w:tc>
          <w:tcPr>
            <w:tcW w:w="1452" w:type="dxa"/>
            <w:tcBorders>
              <w:bottom w:val="single" w:sz="8" w:space="0" w:color="000000"/>
            </w:tcBorders>
          </w:tcPr>
          <w:p w14:paraId="7B4E3ED5" w14:textId="77777777" w:rsidR="00FA4AA8" w:rsidRDefault="0015611F">
            <w:pPr>
              <w:pStyle w:val="TableParagraph"/>
              <w:spacing w:before="24"/>
              <w:ind w:right="242"/>
              <w:jc w:val="right"/>
              <w:rPr>
                <w:b/>
                <w:sz w:val="18"/>
              </w:rPr>
            </w:pPr>
            <w:r>
              <w:rPr>
                <w:b/>
                <w:sz w:val="18"/>
              </w:rPr>
              <w:t>46,778</w:t>
            </w:r>
          </w:p>
        </w:tc>
        <w:tc>
          <w:tcPr>
            <w:tcW w:w="1140" w:type="dxa"/>
            <w:tcBorders>
              <w:bottom w:val="single" w:sz="8" w:space="0" w:color="000000"/>
            </w:tcBorders>
          </w:tcPr>
          <w:p w14:paraId="03CD5ABB" w14:textId="77777777" w:rsidR="00FA4AA8" w:rsidRDefault="0015611F">
            <w:pPr>
              <w:pStyle w:val="TableParagraph"/>
              <w:spacing w:before="24"/>
              <w:ind w:right="86"/>
              <w:jc w:val="right"/>
              <w:rPr>
                <w:sz w:val="18"/>
              </w:rPr>
            </w:pPr>
            <w:r>
              <w:rPr>
                <w:sz w:val="18"/>
              </w:rPr>
              <w:t>119,664</w:t>
            </w:r>
          </w:p>
        </w:tc>
      </w:tr>
      <w:tr w:rsidR="00FA4AA8" w14:paraId="72365426" w14:textId="77777777">
        <w:trPr>
          <w:trHeight w:val="320"/>
        </w:trPr>
        <w:tc>
          <w:tcPr>
            <w:tcW w:w="7372" w:type="dxa"/>
          </w:tcPr>
          <w:p w14:paraId="444A52F4" w14:textId="77777777" w:rsidR="00FA4AA8" w:rsidRDefault="0015611F">
            <w:pPr>
              <w:pStyle w:val="TableParagraph"/>
              <w:spacing w:before="115" w:line="185" w:lineRule="exact"/>
              <w:ind w:left="489"/>
              <w:rPr>
                <w:b/>
                <w:sz w:val="18"/>
              </w:rPr>
            </w:pPr>
            <w:r>
              <w:rPr>
                <w:b/>
                <w:sz w:val="18"/>
              </w:rPr>
              <w:t>Total consumables and supplies</w:t>
            </w:r>
          </w:p>
        </w:tc>
        <w:tc>
          <w:tcPr>
            <w:tcW w:w="1452" w:type="dxa"/>
            <w:tcBorders>
              <w:top w:val="single" w:sz="8" w:space="0" w:color="000000"/>
              <w:bottom w:val="double" w:sz="2" w:space="0" w:color="000000"/>
            </w:tcBorders>
          </w:tcPr>
          <w:p w14:paraId="725D2198" w14:textId="77777777" w:rsidR="00FA4AA8" w:rsidRDefault="0015611F">
            <w:pPr>
              <w:pStyle w:val="TableParagraph"/>
              <w:spacing w:before="115" w:line="185" w:lineRule="exact"/>
              <w:ind w:right="242"/>
              <w:jc w:val="right"/>
              <w:rPr>
                <w:b/>
                <w:sz w:val="18"/>
              </w:rPr>
            </w:pPr>
            <w:r>
              <w:rPr>
                <w:b/>
                <w:sz w:val="18"/>
              </w:rPr>
              <w:t>310,166</w:t>
            </w:r>
          </w:p>
        </w:tc>
        <w:tc>
          <w:tcPr>
            <w:tcW w:w="1140" w:type="dxa"/>
            <w:tcBorders>
              <w:top w:val="single" w:sz="8" w:space="0" w:color="000000"/>
              <w:bottom w:val="double" w:sz="2" w:space="0" w:color="000000"/>
            </w:tcBorders>
          </w:tcPr>
          <w:p w14:paraId="79DEC4F1" w14:textId="77777777" w:rsidR="00FA4AA8" w:rsidRDefault="0015611F">
            <w:pPr>
              <w:pStyle w:val="TableParagraph"/>
              <w:spacing w:before="115" w:line="185" w:lineRule="exact"/>
              <w:ind w:right="86"/>
              <w:jc w:val="right"/>
              <w:rPr>
                <w:sz w:val="18"/>
              </w:rPr>
            </w:pPr>
            <w:r>
              <w:rPr>
                <w:sz w:val="18"/>
              </w:rPr>
              <w:t>351,029</w:t>
            </w:r>
          </w:p>
        </w:tc>
      </w:tr>
      <w:tr w:rsidR="00FA4AA8" w14:paraId="6A9011D6" w14:textId="77777777">
        <w:trPr>
          <w:trHeight w:val="591"/>
        </w:trPr>
        <w:tc>
          <w:tcPr>
            <w:tcW w:w="7372" w:type="dxa"/>
          </w:tcPr>
          <w:p w14:paraId="294726B9" w14:textId="77777777" w:rsidR="00FA4AA8" w:rsidRDefault="0015611F">
            <w:pPr>
              <w:pStyle w:val="TableParagraph"/>
              <w:spacing w:before="117"/>
              <w:ind w:left="489"/>
              <w:rPr>
                <w:b/>
                <w:sz w:val="18"/>
              </w:rPr>
            </w:pPr>
            <w:r>
              <w:rPr>
                <w:b/>
                <w:sz w:val="18"/>
              </w:rPr>
              <w:t>Other expenses</w:t>
            </w:r>
          </w:p>
          <w:p w14:paraId="29A556DC" w14:textId="77777777" w:rsidR="00FA4AA8" w:rsidRDefault="0015611F">
            <w:pPr>
              <w:pStyle w:val="TableParagraph"/>
              <w:spacing w:before="30"/>
              <w:ind w:left="489"/>
              <w:rPr>
                <w:sz w:val="18"/>
              </w:rPr>
            </w:pPr>
            <w:r>
              <w:rPr>
                <w:sz w:val="18"/>
              </w:rPr>
              <w:t>Cleaning</w:t>
            </w:r>
          </w:p>
        </w:tc>
        <w:tc>
          <w:tcPr>
            <w:tcW w:w="1452" w:type="dxa"/>
            <w:tcBorders>
              <w:top w:val="double" w:sz="2" w:space="0" w:color="000000"/>
            </w:tcBorders>
          </w:tcPr>
          <w:p w14:paraId="4701EC9F" w14:textId="77777777" w:rsidR="00FA4AA8" w:rsidRDefault="00FA4AA8">
            <w:pPr>
              <w:pStyle w:val="TableParagraph"/>
              <w:rPr>
                <w:b/>
                <w:sz w:val="20"/>
              </w:rPr>
            </w:pPr>
          </w:p>
          <w:p w14:paraId="2FDF5A2B" w14:textId="77777777" w:rsidR="00FA4AA8" w:rsidRDefault="0015611F">
            <w:pPr>
              <w:pStyle w:val="TableParagraph"/>
              <w:spacing w:before="122"/>
              <w:ind w:right="242"/>
              <w:jc w:val="right"/>
              <w:rPr>
                <w:b/>
                <w:sz w:val="18"/>
              </w:rPr>
            </w:pPr>
            <w:r>
              <w:rPr>
                <w:b/>
                <w:sz w:val="18"/>
              </w:rPr>
              <w:t>185,076</w:t>
            </w:r>
          </w:p>
        </w:tc>
        <w:tc>
          <w:tcPr>
            <w:tcW w:w="1140" w:type="dxa"/>
            <w:tcBorders>
              <w:top w:val="double" w:sz="2" w:space="0" w:color="000000"/>
            </w:tcBorders>
          </w:tcPr>
          <w:p w14:paraId="2692E543" w14:textId="77777777" w:rsidR="00FA4AA8" w:rsidRDefault="00FA4AA8">
            <w:pPr>
              <w:pStyle w:val="TableParagraph"/>
              <w:rPr>
                <w:b/>
                <w:sz w:val="20"/>
              </w:rPr>
            </w:pPr>
          </w:p>
          <w:p w14:paraId="6C71F34F" w14:textId="77777777" w:rsidR="00FA4AA8" w:rsidRDefault="0015611F">
            <w:pPr>
              <w:pStyle w:val="TableParagraph"/>
              <w:spacing w:before="122"/>
              <w:ind w:right="86"/>
              <w:jc w:val="right"/>
              <w:rPr>
                <w:sz w:val="18"/>
              </w:rPr>
            </w:pPr>
            <w:r>
              <w:rPr>
                <w:sz w:val="18"/>
              </w:rPr>
              <w:t>162,294</w:t>
            </w:r>
          </w:p>
        </w:tc>
      </w:tr>
      <w:tr w:rsidR="00FA4AA8" w14:paraId="4FD5D749" w14:textId="77777777">
        <w:trPr>
          <w:trHeight w:val="264"/>
        </w:trPr>
        <w:tc>
          <w:tcPr>
            <w:tcW w:w="7372" w:type="dxa"/>
          </w:tcPr>
          <w:p w14:paraId="34092D90" w14:textId="77777777" w:rsidR="00FA4AA8" w:rsidRDefault="0015611F">
            <w:pPr>
              <w:pStyle w:val="TableParagraph"/>
              <w:spacing w:before="26"/>
              <w:ind w:left="489"/>
              <w:rPr>
                <w:sz w:val="18"/>
              </w:rPr>
            </w:pPr>
            <w:r>
              <w:rPr>
                <w:sz w:val="18"/>
              </w:rPr>
              <w:t>Consulting</w:t>
            </w:r>
          </w:p>
        </w:tc>
        <w:tc>
          <w:tcPr>
            <w:tcW w:w="1452" w:type="dxa"/>
          </w:tcPr>
          <w:p w14:paraId="5F25B997" w14:textId="77777777" w:rsidR="00FA4AA8" w:rsidRDefault="0015611F">
            <w:pPr>
              <w:pStyle w:val="TableParagraph"/>
              <w:spacing w:before="24"/>
              <w:ind w:right="242"/>
              <w:jc w:val="right"/>
              <w:rPr>
                <w:b/>
                <w:sz w:val="18"/>
              </w:rPr>
            </w:pPr>
            <w:r>
              <w:rPr>
                <w:b/>
                <w:sz w:val="18"/>
              </w:rPr>
              <w:t>56,455</w:t>
            </w:r>
          </w:p>
        </w:tc>
        <w:tc>
          <w:tcPr>
            <w:tcW w:w="1140" w:type="dxa"/>
          </w:tcPr>
          <w:p w14:paraId="454DAC3F" w14:textId="77777777" w:rsidR="00FA4AA8" w:rsidRDefault="0015611F">
            <w:pPr>
              <w:pStyle w:val="TableParagraph"/>
              <w:spacing w:before="24"/>
              <w:ind w:right="86"/>
              <w:jc w:val="right"/>
              <w:rPr>
                <w:sz w:val="18"/>
              </w:rPr>
            </w:pPr>
            <w:r>
              <w:rPr>
                <w:sz w:val="18"/>
              </w:rPr>
              <w:t>31,700</w:t>
            </w:r>
          </w:p>
        </w:tc>
      </w:tr>
      <w:tr w:rsidR="00FA4AA8" w14:paraId="2DEA4F2C" w14:textId="77777777">
        <w:trPr>
          <w:trHeight w:val="263"/>
        </w:trPr>
        <w:tc>
          <w:tcPr>
            <w:tcW w:w="7372" w:type="dxa"/>
          </w:tcPr>
          <w:p w14:paraId="59B0E2A9" w14:textId="77777777" w:rsidR="00FA4AA8" w:rsidRDefault="0015611F">
            <w:pPr>
              <w:pStyle w:val="TableParagraph"/>
              <w:spacing w:before="26"/>
              <w:ind w:left="489"/>
              <w:rPr>
                <w:sz w:val="18"/>
              </w:rPr>
            </w:pPr>
            <w:r>
              <w:rPr>
                <w:sz w:val="18"/>
              </w:rPr>
              <w:t>Repairs and maintenance</w:t>
            </w:r>
          </w:p>
        </w:tc>
        <w:tc>
          <w:tcPr>
            <w:tcW w:w="1452" w:type="dxa"/>
          </w:tcPr>
          <w:p w14:paraId="71F450BF" w14:textId="77777777" w:rsidR="00FA4AA8" w:rsidRDefault="0015611F">
            <w:pPr>
              <w:pStyle w:val="TableParagraph"/>
              <w:spacing w:before="24"/>
              <w:ind w:right="242"/>
              <w:jc w:val="right"/>
              <w:rPr>
                <w:b/>
                <w:sz w:val="18"/>
              </w:rPr>
            </w:pPr>
            <w:r>
              <w:rPr>
                <w:b/>
                <w:sz w:val="18"/>
              </w:rPr>
              <w:t>55,085</w:t>
            </w:r>
          </w:p>
        </w:tc>
        <w:tc>
          <w:tcPr>
            <w:tcW w:w="1140" w:type="dxa"/>
          </w:tcPr>
          <w:p w14:paraId="44CAAA0B" w14:textId="77777777" w:rsidR="00FA4AA8" w:rsidRDefault="0015611F">
            <w:pPr>
              <w:pStyle w:val="TableParagraph"/>
              <w:spacing w:before="24"/>
              <w:ind w:right="86"/>
              <w:jc w:val="right"/>
              <w:rPr>
                <w:sz w:val="18"/>
              </w:rPr>
            </w:pPr>
            <w:r>
              <w:rPr>
                <w:sz w:val="18"/>
              </w:rPr>
              <w:t>52,122</w:t>
            </w:r>
          </w:p>
        </w:tc>
      </w:tr>
      <w:tr w:rsidR="00FA4AA8" w14:paraId="2EA6E817" w14:textId="77777777">
        <w:trPr>
          <w:trHeight w:val="264"/>
        </w:trPr>
        <w:tc>
          <w:tcPr>
            <w:tcW w:w="7372" w:type="dxa"/>
          </w:tcPr>
          <w:p w14:paraId="10EC2966" w14:textId="77777777" w:rsidR="00FA4AA8" w:rsidRDefault="0015611F">
            <w:pPr>
              <w:pStyle w:val="TableParagraph"/>
              <w:spacing w:before="26"/>
              <w:ind w:left="489"/>
              <w:rPr>
                <w:sz w:val="18"/>
              </w:rPr>
            </w:pPr>
            <w:r>
              <w:rPr>
                <w:sz w:val="18"/>
              </w:rPr>
              <w:t>Non-capitalised equipment</w:t>
            </w:r>
          </w:p>
        </w:tc>
        <w:tc>
          <w:tcPr>
            <w:tcW w:w="1452" w:type="dxa"/>
          </w:tcPr>
          <w:p w14:paraId="4EFCDC6F" w14:textId="77777777" w:rsidR="00FA4AA8" w:rsidRDefault="0015611F">
            <w:pPr>
              <w:pStyle w:val="TableParagraph"/>
              <w:spacing w:before="24"/>
              <w:ind w:right="242"/>
              <w:jc w:val="right"/>
              <w:rPr>
                <w:b/>
                <w:sz w:val="18"/>
              </w:rPr>
            </w:pPr>
            <w:r>
              <w:rPr>
                <w:b/>
                <w:sz w:val="18"/>
              </w:rPr>
              <w:t>37,774</w:t>
            </w:r>
          </w:p>
        </w:tc>
        <w:tc>
          <w:tcPr>
            <w:tcW w:w="1140" w:type="dxa"/>
          </w:tcPr>
          <w:p w14:paraId="55A178DF" w14:textId="77777777" w:rsidR="00FA4AA8" w:rsidRDefault="0015611F">
            <w:pPr>
              <w:pStyle w:val="TableParagraph"/>
              <w:spacing w:before="24"/>
              <w:ind w:right="86"/>
              <w:jc w:val="right"/>
              <w:rPr>
                <w:sz w:val="18"/>
              </w:rPr>
            </w:pPr>
            <w:r>
              <w:rPr>
                <w:sz w:val="18"/>
              </w:rPr>
              <w:t>74,203</w:t>
            </w:r>
          </w:p>
        </w:tc>
      </w:tr>
      <w:tr w:rsidR="00FA4AA8" w14:paraId="33E88406" w14:textId="77777777">
        <w:trPr>
          <w:trHeight w:val="263"/>
        </w:trPr>
        <w:tc>
          <w:tcPr>
            <w:tcW w:w="7372" w:type="dxa"/>
          </w:tcPr>
          <w:p w14:paraId="54229578" w14:textId="77777777" w:rsidR="00FA4AA8" w:rsidRDefault="0015611F">
            <w:pPr>
              <w:pStyle w:val="TableParagraph"/>
              <w:spacing w:before="26"/>
              <w:ind w:left="489"/>
              <w:rPr>
                <w:sz w:val="18"/>
              </w:rPr>
            </w:pPr>
            <w:r>
              <w:rPr>
                <w:sz w:val="18"/>
              </w:rPr>
              <w:t>Printing</w:t>
            </w:r>
          </w:p>
        </w:tc>
        <w:tc>
          <w:tcPr>
            <w:tcW w:w="1452" w:type="dxa"/>
          </w:tcPr>
          <w:p w14:paraId="4DCCF1A3" w14:textId="77777777" w:rsidR="00FA4AA8" w:rsidRDefault="0015611F">
            <w:pPr>
              <w:pStyle w:val="TableParagraph"/>
              <w:spacing w:before="24"/>
              <w:ind w:right="242"/>
              <w:jc w:val="right"/>
              <w:rPr>
                <w:b/>
                <w:sz w:val="18"/>
              </w:rPr>
            </w:pPr>
            <w:r>
              <w:rPr>
                <w:b/>
                <w:sz w:val="18"/>
              </w:rPr>
              <w:t>36,683</w:t>
            </w:r>
          </w:p>
        </w:tc>
        <w:tc>
          <w:tcPr>
            <w:tcW w:w="1140" w:type="dxa"/>
          </w:tcPr>
          <w:p w14:paraId="4A5EDA46" w14:textId="77777777" w:rsidR="00FA4AA8" w:rsidRDefault="0015611F">
            <w:pPr>
              <w:pStyle w:val="TableParagraph"/>
              <w:spacing w:before="24"/>
              <w:ind w:right="86"/>
              <w:jc w:val="right"/>
              <w:rPr>
                <w:sz w:val="18"/>
              </w:rPr>
            </w:pPr>
            <w:r>
              <w:rPr>
                <w:sz w:val="18"/>
              </w:rPr>
              <w:t>44,293</w:t>
            </w:r>
          </w:p>
        </w:tc>
      </w:tr>
      <w:tr w:rsidR="00FA4AA8" w14:paraId="038F1F13" w14:textId="77777777">
        <w:trPr>
          <w:trHeight w:val="264"/>
        </w:trPr>
        <w:tc>
          <w:tcPr>
            <w:tcW w:w="7372" w:type="dxa"/>
          </w:tcPr>
          <w:p w14:paraId="7A1DB6CA" w14:textId="77777777" w:rsidR="00FA4AA8" w:rsidRDefault="0015611F">
            <w:pPr>
              <w:pStyle w:val="TableParagraph"/>
              <w:spacing w:before="26"/>
              <w:ind w:left="489"/>
              <w:rPr>
                <w:sz w:val="18"/>
              </w:rPr>
            </w:pPr>
            <w:r>
              <w:rPr>
                <w:sz w:val="18"/>
              </w:rPr>
              <w:t>Staff development</w:t>
            </w:r>
          </w:p>
        </w:tc>
        <w:tc>
          <w:tcPr>
            <w:tcW w:w="1452" w:type="dxa"/>
          </w:tcPr>
          <w:p w14:paraId="60FA50B4" w14:textId="77777777" w:rsidR="00FA4AA8" w:rsidRDefault="0015611F">
            <w:pPr>
              <w:pStyle w:val="TableParagraph"/>
              <w:spacing w:before="24"/>
              <w:ind w:right="242"/>
              <w:jc w:val="right"/>
              <w:rPr>
                <w:b/>
                <w:sz w:val="18"/>
              </w:rPr>
            </w:pPr>
            <w:r>
              <w:rPr>
                <w:b/>
                <w:sz w:val="18"/>
              </w:rPr>
              <w:t>34,517</w:t>
            </w:r>
          </w:p>
        </w:tc>
        <w:tc>
          <w:tcPr>
            <w:tcW w:w="1140" w:type="dxa"/>
          </w:tcPr>
          <w:p w14:paraId="7DF6E3D3" w14:textId="77777777" w:rsidR="00FA4AA8" w:rsidRDefault="0015611F">
            <w:pPr>
              <w:pStyle w:val="TableParagraph"/>
              <w:spacing w:before="24"/>
              <w:ind w:right="86"/>
              <w:jc w:val="right"/>
              <w:rPr>
                <w:sz w:val="18"/>
              </w:rPr>
            </w:pPr>
            <w:r>
              <w:rPr>
                <w:sz w:val="18"/>
              </w:rPr>
              <w:t>40,412</w:t>
            </w:r>
          </w:p>
        </w:tc>
      </w:tr>
      <w:tr w:rsidR="00FA4AA8" w14:paraId="00B05E49" w14:textId="77777777">
        <w:trPr>
          <w:trHeight w:val="263"/>
        </w:trPr>
        <w:tc>
          <w:tcPr>
            <w:tcW w:w="7372" w:type="dxa"/>
          </w:tcPr>
          <w:p w14:paraId="24A7D47A" w14:textId="77777777" w:rsidR="00FA4AA8" w:rsidRDefault="0015611F">
            <w:pPr>
              <w:pStyle w:val="TableParagraph"/>
              <w:spacing w:before="26"/>
              <w:ind w:left="489"/>
              <w:rPr>
                <w:sz w:val="18"/>
              </w:rPr>
            </w:pPr>
            <w:r>
              <w:rPr>
                <w:sz w:val="18"/>
              </w:rPr>
              <w:t>Advertising, marketing and promotional</w:t>
            </w:r>
          </w:p>
        </w:tc>
        <w:tc>
          <w:tcPr>
            <w:tcW w:w="1452" w:type="dxa"/>
          </w:tcPr>
          <w:p w14:paraId="558F051D" w14:textId="77777777" w:rsidR="00FA4AA8" w:rsidRDefault="0015611F">
            <w:pPr>
              <w:pStyle w:val="TableParagraph"/>
              <w:spacing w:before="24"/>
              <w:ind w:right="242"/>
              <w:jc w:val="right"/>
              <w:rPr>
                <w:b/>
                <w:sz w:val="18"/>
              </w:rPr>
            </w:pPr>
            <w:r>
              <w:rPr>
                <w:b/>
                <w:sz w:val="18"/>
              </w:rPr>
              <w:t>20,036</w:t>
            </w:r>
          </w:p>
        </w:tc>
        <w:tc>
          <w:tcPr>
            <w:tcW w:w="1140" w:type="dxa"/>
          </w:tcPr>
          <w:p w14:paraId="6AC41D99" w14:textId="77777777" w:rsidR="00FA4AA8" w:rsidRDefault="0015611F">
            <w:pPr>
              <w:pStyle w:val="TableParagraph"/>
              <w:spacing w:before="24"/>
              <w:ind w:right="86"/>
              <w:jc w:val="right"/>
              <w:rPr>
                <w:sz w:val="18"/>
              </w:rPr>
            </w:pPr>
            <w:r>
              <w:rPr>
                <w:sz w:val="18"/>
              </w:rPr>
              <w:t>47,355</w:t>
            </w:r>
          </w:p>
        </w:tc>
      </w:tr>
      <w:tr w:rsidR="00FA4AA8" w14:paraId="50164A52" w14:textId="77777777">
        <w:trPr>
          <w:trHeight w:val="256"/>
        </w:trPr>
        <w:tc>
          <w:tcPr>
            <w:tcW w:w="7372" w:type="dxa"/>
          </w:tcPr>
          <w:p w14:paraId="091DD8FC" w14:textId="77777777" w:rsidR="00FA4AA8" w:rsidRDefault="0015611F">
            <w:pPr>
              <w:pStyle w:val="TableParagraph"/>
              <w:spacing w:before="26"/>
              <w:ind w:left="489"/>
              <w:rPr>
                <w:sz w:val="18"/>
              </w:rPr>
            </w:pPr>
            <w:r>
              <w:rPr>
                <w:sz w:val="18"/>
              </w:rPr>
              <w:t>Sundry expenses</w:t>
            </w:r>
          </w:p>
        </w:tc>
        <w:tc>
          <w:tcPr>
            <w:tcW w:w="1452" w:type="dxa"/>
            <w:tcBorders>
              <w:bottom w:val="single" w:sz="8" w:space="0" w:color="000000"/>
            </w:tcBorders>
          </w:tcPr>
          <w:p w14:paraId="5919F371" w14:textId="77777777" w:rsidR="00FA4AA8" w:rsidRDefault="0015611F">
            <w:pPr>
              <w:pStyle w:val="TableParagraph"/>
              <w:spacing w:before="24"/>
              <w:ind w:right="242"/>
              <w:jc w:val="right"/>
              <w:rPr>
                <w:b/>
                <w:sz w:val="18"/>
              </w:rPr>
            </w:pPr>
            <w:r>
              <w:rPr>
                <w:b/>
                <w:sz w:val="18"/>
              </w:rPr>
              <w:t>28,568</w:t>
            </w:r>
          </w:p>
        </w:tc>
        <w:tc>
          <w:tcPr>
            <w:tcW w:w="1140" w:type="dxa"/>
            <w:tcBorders>
              <w:bottom w:val="single" w:sz="8" w:space="0" w:color="000000"/>
            </w:tcBorders>
          </w:tcPr>
          <w:p w14:paraId="539D2EB9" w14:textId="77777777" w:rsidR="00FA4AA8" w:rsidRDefault="0015611F">
            <w:pPr>
              <w:pStyle w:val="TableParagraph"/>
              <w:spacing w:before="24"/>
              <w:ind w:right="86"/>
              <w:jc w:val="right"/>
              <w:rPr>
                <w:sz w:val="18"/>
              </w:rPr>
            </w:pPr>
            <w:r>
              <w:rPr>
                <w:sz w:val="18"/>
              </w:rPr>
              <w:t>34,269</w:t>
            </w:r>
          </w:p>
        </w:tc>
      </w:tr>
      <w:tr w:rsidR="00FA4AA8" w14:paraId="321829C6" w14:textId="77777777">
        <w:trPr>
          <w:trHeight w:val="320"/>
        </w:trPr>
        <w:tc>
          <w:tcPr>
            <w:tcW w:w="7372" w:type="dxa"/>
          </w:tcPr>
          <w:p w14:paraId="022E00D6" w14:textId="77777777" w:rsidR="00FA4AA8" w:rsidRDefault="0015611F">
            <w:pPr>
              <w:pStyle w:val="TableParagraph"/>
              <w:spacing w:before="115" w:line="185" w:lineRule="exact"/>
              <w:ind w:left="489"/>
              <w:rPr>
                <w:b/>
                <w:sz w:val="18"/>
              </w:rPr>
            </w:pPr>
            <w:r>
              <w:rPr>
                <w:b/>
                <w:sz w:val="18"/>
              </w:rPr>
              <w:t>Total other expenses</w:t>
            </w:r>
          </w:p>
        </w:tc>
        <w:tc>
          <w:tcPr>
            <w:tcW w:w="1452" w:type="dxa"/>
            <w:tcBorders>
              <w:top w:val="single" w:sz="8" w:space="0" w:color="000000"/>
              <w:bottom w:val="double" w:sz="2" w:space="0" w:color="000000"/>
            </w:tcBorders>
          </w:tcPr>
          <w:p w14:paraId="39E2CB70" w14:textId="77777777" w:rsidR="00FA4AA8" w:rsidRDefault="0015611F">
            <w:pPr>
              <w:pStyle w:val="TableParagraph"/>
              <w:spacing w:before="115" w:line="185" w:lineRule="exact"/>
              <w:ind w:right="242"/>
              <w:jc w:val="right"/>
              <w:rPr>
                <w:b/>
                <w:sz w:val="18"/>
              </w:rPr>
            </w:pPr>
            <w:r>
              <w:rPr>
                <w:b/>
                <w:sz w:val="18"/>
              </w:rPr>
              <w:t>454,194</w:t>
            </w:r>
          </w:p>
        </w:tc>
        <w:tc>
          <w:tcPr>
            <w:tcW w:w="1140" w:type="dxa"/>
            <w:tcBorders>
              <w:top w:val="single" w:sz="8" w:space="0" w:color="000000"/>
              <w:bottom w:val="double" w:sz="2" w:space="0" w:color="000000"/>
            </w:tcBorders>
          </w:tcPr>
          <w:p w14:paraId="4CA35C49" w14:textId="77777777" w:rsidR="00FA4AA8" w:rsidRDefault="0015611F">
            <w:pPr>
              <w:pStyle w:val="TableParagraph"/>
              <w:spacing w:before="115" w:line="185" w:lineRule="exact"/>
              <w:ind w:right="86"/>
              <w:jc w:val="right"/>
              <w:rPr>
                <w:sz w:val="18"/>
              </w:rPr>
            </w:pPr>
            <w:r>
              <w:rPr>
                <w:sz w:val="18"/>
              </w:rPr>
              <w:t>486,648</w:t>
            </w:r>
          </w:p>
        </w:tc>
      </w:tr>
    </w:tbl>
    <w:p w14:paraId="64074ED2" w14:textId="77777777" w:rsidR="00FA4AA8" w:rsidRDefault="00FA4AA8">
      <w:pPr>
        <w:spacing w:line="185" w:lineRule="exact"/>
        <w:jc w:val="right"/>
        <w:rPr>
          <w:sz w:val="18"/>
        </w:rPr>
        <w:sectPr w:rsidR="00FA4AA8">
          <w:pgSz w:w="11910" w:h="16840"/>
          <w:pgMar w:top="1660" w:right="880" w:bottom="720" w:left="840" w:header="1016" w:footer="523" w:gutter="0"/>
          <w:cols w:space="720"/>
        </w:sectPr>
      </w:pPr>
    </w:p>
    <w:p w14:paraId="0767A97B" w14:textId="77777777" w:rsidR="00FA4AA8" w:rsidRDefault="0015611F">
      <w:pPr>
        <w:spacing w:before="143"/>
        <w:ind w:left="167"/>
        <w:rPr>
          <w:b/>
          <w:sz w:val="24"/>
        </w:rPr>
      </w:pPr>
      <w:bookmarkStart w:id="194" w:name="4_Cash_and_cash_equivalents_"/>
      <w:bookmarkEnd w:id="194"/>
      <w:r>
        <w:rPr>
          <w:b/>
          <w:sz w:val="24"/>
        </w:rPr>
        <w:t>Notes to the Financial Statements</w:t>
      </w:r>
    </w:p>
    <w:p w14:paraId="2EDD8955" w14:textId="77777777" w:rsidR="00FA4AA8" w:rsidRDefault="0015611F">
      <w:pPr>
        <w:spacing w:before="54"/>
        <w:ind w:left="167"/>
        <w:rPr>
          <w:b/>
        </w:rPr>
      </w:pPr>
      <w:r>
        <w:rPr>
          <w:b/>
        </w:rPr>
        <w:t>For the year ended 31 December</w:t>
      </w:r>
      <w:r>
        <w:rPr>
          <w:b/>
          <w:spacing w:val="-13"/>
        </w:rPr>
        <w:t xml:space="preserve"> </w:t>
      </w:r>
      <w:r>
        <w:rPr>
          <w:b/>
        </w:rPr>
        <w:t>2018</w:t>
      </w:r>
    </w:p>
    <w:p w14:paraId="03EA5DD2" w14:textId="77777777" w:rsidR="00FA4AA8" w:rsidRDefault="00FA4AA8">
      <w:pPr>
        <w:pStyle w:val="BodyText"/>
        <w:spacing w:before="7"/>
        <w:rPr>
          <w:b/>
          <w:sz w:val="25"/>
        </w:rPr>
      </w:pPr>
    </w:p>
    <w:tbl>
      <w:tblPr>
        <w:tblW w:w="0" w:type="auto"/>
        <w:tblInd w:w="226" w:type="dxa"/>
        <w:tblLayout w:type="fixed"/>
        <w:tblCellMar>
          <w:left w:w="0" w:type="dxa"/>
          <w:right w:w="0" w:type="dxa"/>
        </w:tblCellMar>
        <w:tblLook w:val="01E0" w:firstRow="1" w:lastRow="1" w:firstColumn="1" w:lastColumn="1" w:noHBand="0" w:noVBand="0"/>
      </w:tblPr>
      <w:tblGrid>
        <w:gridCol w:w="7269"/>
        <w:gridCol w:w="1482"/>
        <w:gridCol w:w="1110"/>
      </w:tblGrid>
      <w:tr w:rsidR="00FA4AA8" w14:paraId="6A27C63F" w14:textId="77777777">
        <w:trPr>
          <w:trHeight w:val="220"/>
        </w:trPr>
        <w:tc>
          <w:tcPr>
            <w:tcW w:w="7269" w:type="dxa"/>
          </w:tcPr>
          <w:p w14:paraId="511DEFE5" w14:textId="77777777" w:rsidR="00FA4AA8" w:rsidRDefault="0015611F">
            <w:pPr>
              <w:pStyle w:val="TableParagraph"/>
              <w:spacing w:line="201" w:lineRule="exact"/>
              <w:ind w:left="50"/>
              <w:rPr>
                <w:b/>
                <w:sz w:val="18"/>
              </w:rPr>
            </w:pPr>
            <w:r>
              <w:rPr>
                <w:b/>
                <w:sz w:val="18"/>
              </w:rPr>
              <w:t>4 Cash and cash equivalents</w:t>
            </w:r>
          </w:p>
        </w:tc>
        <w:tc>
          <w:tcPr>
            <w:tcW w:w="1482" w:type="dxa"/>
          </w:tcPr>
          <w:p w14:paraId="0488FD49" w14:textId="77777777" w:rsidR="00FA4AA8" w:rsidRDefault="00FA4AA8">
            <w:pPr>
              <w:pStyle w:val="TableParagraph"/>
              <w:rPr>
                <w:rFonts w:ascii="Times New Roman"/>
                <w:sz w:val="14"/>
              </w:rPr>
            </w:pPr>
          </w:p>
        </w:tc>
        <w:tc>
          <w:tcPr>
            <w:tcW w:w="1110" w:type="dxa"/>
          </w:tcPr>
          <w:p w14:paraId="16698BE0" w14:textId="77777777" w:rsidR="00FA4AA8" w:rsidRDefault="00FA4AA8">
            <w:pPr>
              <w:pStyle w:val="TableParagraph"/>
              <w:rPr>
                <w:rFonts w:ascii="Times New Roman"/>
                <w:sz w:val="14"/>
              </w:rPr>
            </w:pPr>
          </w:p>
        </w:tc>
      </w:tr>
      <w:tr w:rsidR="00FA4AA8" w14:paraId="76F2D57B" w14:textId="77777777">
        <w:trPr>
          <w:trHeight w:val="256"/>
        </w:trPr>
        <w:tc>
          <w:tcPr>
            <w:tcW w:w="7269" w:type="dxa"/>
          </w:tcPr>
          <w:p w14:paraId="12ED4FBB" w14:textId="77777777" w:rsidR="00FA4AA8" w:rsidRDefault="00FA4AA8">
            <w:pPr>
              <w:pStyle w:val="TableParagraph"/>
              <w:rPr>
                <w:rFonts w:ascii="Times New Roman"/>
                <w:sz w:val="18"/>
              </w:rPr>
            </w:pPr>
          </w:p>
        </w:tc>
        <w:tc>
          <w:tcPr>
            <w:tcW w:w="1482" w:type="dxa"/>
          </w:tcPr>
          <w:p w14:paraId="3518818A" w14:textId="77777777" w:rsidR="00FA4AA8" w:rsidRDefault="0015611F">
            <w:pPr>
              <w:pStyle w:val="TableParagraph"/>
              <w:spacing w:before="13"/>
              <w:ind w:left="550" w:right="491"/>
              <w:jc w:val="center"/>
              <w:rPr>
                <w:b/>
                <w:sz w:val="18"/>
              </w:rPr>
            </w:pPr>
            <w:r>
              <w:rPr>
                <w:b/>
                <w:sz w:val="18"/>
              </w:rPr>
              <w:t>2018</w:t>
            </w:r>
          </w:p>
        </w:tc>
        <w:tc>
          <w:tcPr>
            <w:tcW w:w="1110" w:type="dxa"/>
          </w:tcPr>
          <w:p w14:paraId="082E655A" w14:textId="77777777" w:rsidR="00FA4AA8" w:rsidRDefault="0015611F">
            <w:pPr>
              <w:pStyle w:val="TableParagraph"/>
              <w:spacing w:before="13"/>
              <w:ind w:left="368"/>
              <w:rPr>
                <w:b/>
                <w:sz w:val="18"/>
              </w:rPr>
            </w:pPr>
            <w:r>
              <w:rPr>
                <w:b/>
                <w:sz w:val="18"/>
              </w:rPr>
              <w:t>2017</w:t>
            </w:r>
          </w:p>
        </w:tc>
      </w:tr>
      <w:tr w:rsidR="00FA4AA8" w14:paraId="23406DD7" w14:textId="77777777">
        <w:trPr>
          <w:trHeight w:val="408"/>
        </w:trPr>
        <w:tc>
          <w:tcPr>
            <w:tcW w:w="7269" w:type="dxa"/>
          </w:tcPr>
          <w:p w14:paraId="5CF4BAD4" w14:textId="77777777" w:rsidR="00FA4AA8" w:rsidRDefault="00FA4AA8">
            <w:pPr>
              <w:pStyle w:val="TableParagraph"/>
              <w:rPr>
                <w:rFonts w:ascii="Times New Roman"/>
                <w:sz w:val="18"/>
              </w:rPr>
            </w:pPr>
          </w:p>
        </w:tc>
        <w:tc>
          <w:tcPr>
            <w:tcW w:w="1482" w:type="dxa"/>
          </w:tcPr>
          <w:p w14:paraId="33B04DA1" w14:textId="77777777" w:rsidR="00FA4AA8" w:rsidRDefault="0015611F">
            <w:pPr>
              <w:pStyle w:val="TableParagraph"/>
              <w:spacing w:before="30"/>
              <w:ind w:left="111"/>
              <w:jc w:val="center"/>
              <w:rPr>
                <w:b/>
                <w:sz w:val="18"/>
              </w:rPr>
            </w:pPr>
            <w:r>
              <w:rPr>
                <w:b/>
                <w:sz w:val="18"/>
              </w:rPr>
              <w:t>$</w:t>
            </w:r>
          </w:p>
        </w:tc>
        <w:tc>
          <w:tcPr>
            <w:tcW w:w="1110" w:type="dxa"/>
          </w:tcPr>
          <w:p w14:paraId="0D9EE193" w14:textId="77777777" w:rsidR="00FA4AA8" w:rsidRDefault="0015611F">
            <w:pPr>
              <w:pStyle w:val="TableParagraph"/>
              <w:spacing w:before="30"/>
              <w:ind w:left="82"/>
              <w:jc w:val="center"/>
              <w:rPr>
                <w:b/>
                <w:sz w:val="18"/>
              </w:rPr>
            </w:pPr>
            <w:r>
              <w:rPr>
                <w:b/>
                <w:sz w:val="18"/>
              </w:rPr>
              <w:t>$</w:t>
            </w:r>
          </w:p>
        </w:tc>
      </w:tr>
      <w:tr w:rsidR="00FA4AA8" w14:paraId="64A3D8D0" w14:textId="77777777">
        <w:trPr>
          <w:trHeight w:val="396"/>
        </w:trPr>
        <w:tc>
          <w:tcPr>
            <w:tcW w:w="7269" w:type="dxa"/>
          </w:tcPr>
          <w:p w14:paraId="79C295BD" w14:textId="77777777" w:rsidR="00FA4AA8" w:rsidRDefault="0015611F">
            <w:pPr>
              <w:pStyle w:val="TableParagraph"/>
              <w:spacing w:before="167"/>
              <w:ind w:left="388"/>
              <w:rPr>
                <w:sz w:val="18"/>
              </w:rPr>
            </w:pPr>
            <w:bookmarkStart w:id="195" w:name="5_Trade_and_other_receivables_"/>
            <w:bookmarkEnd w:id="195"/>
            <w:r>
              <w:rPr>
                <w:sz w:val="18"/>
              </w:rPr>
              <w:t>Cash at bank</w:t>
            </w:r>
          </w:p>
        </w:tc>
        <w:tc>
          <w:tcPr>
            <w:tcW w:w="1482" w:type="dxa"/>
            <w:tcBorders>
              <w:bottom w:val="single" w:sz="8" w:space="0" w:color="000000"/>
            </w:tcBorders>
          </w:tcPr>
          <w:p w14:paraId="38F75C30" w14:textId="77777777" w:rsidR="00FA4AA8" w:rsidRDefault="0015611F">
            <w:pPr>
              <w:pStyle w:val="TableParagraph"/>
              <w:spacing w:before="164"/>
              <w:ind w:right="272"/>
              <w:jc w:val="right"/>
              <w:rPr>
                <w:b/>
                <w:sz w:val="18"/>
              </w:rPr>
            </w:pPr>
            <w:r>
              <w:rPr>
                <w:b/>
                <w:sz w:val="18"/>
              </w:rPr>
              <w:t>425,261</w:t>
            </w:r>
          </w:p>
        </w:tc>
        <w:tc>
          <w:tcPr>
            <w:tcW w:w="1110" w:type="dxa"/>
            <w:tcBorders>
              <w:bottom w:val="single" w:sz="8" w:space="0" w:color="000000"/>
            </w:tcBorders>
          </w:tcPr>
          <w:p w14:paraId="04985FE7" w14:textId="77777777" w:rsidR="00FA4AA8" w:rsidRDefault="0015611F">
            <w:pPr>
              <w:pStyle w:val="TableParagraph"/>
              <w:spacing w:before="164"/>
              <w:ind w:left="366"/>
              <w:rPr>
                <w:sz w:val="18"/>
              </w:rPr>
            </w:pPr>
            <w:r>
              <w:rPr>
                <w:sz w:val="18"/>
              </w:rPr>
              <w:t>482,158</w:t>
            </w:r>
          </w:p>
        </w:tc>
      </w:tr>
      <w:tr w:rsidR="00FA4AA8" w14:paraId="4EA61F4C" w14:textId="77777777">
        <w:trPr>
          <w:trHeight w:val="526"/>
        </w:trPr>
        <w:tc>
          <w:tcPr>
            <w:tcW w:w="7269" w:type="dxa"/>
          </w:tcPr>
          <w:p w14:paraId="7CC190BB" w14:textId="77777777" w:rsidR="00FA4AA8" w:rsidRDefault="0015611F">
            <w:pPr>
              <w:pStyle w:val="TableParagraph"/>
              <w:spacing w:before="119" w:line="206" w:lineRule="exact"/>
              <w:ind w:left="388" w:right="2539"/>
              <w:rPr>
                <w:b/>
                <w:sz w:val="18"/>
              </w:rPr>
            </w:pPr>
            <w:r>
              <w:rPr>
                <w:b/>
                <w:sz w:val="18"/>
              </w:rPr>
              <w:t>Total cash and cash equivalents in the statement of financial position and statement of cash flows</w:t>
            </w:r>
          </w:p>
        </w:tc>
        <w:tc>
          <w:tcPr>
            <w:tcW w:w="1482" w:type="dxa"/>
            <w:tcBorders>
              <w:top w:val="single" w:sz="8" w:space="0" w:color="000000"/>
              <w:bottom w:val="double" w:sz="2" w:space="0" w:color="000000"/>
            </w:tcBorders>
          </w:tcPr>
          <w:p w14:paraId="28DA48BA" w14:textId="77777777" w:rsidR="00FA4AA8" w:rsidRDefault="00FA4AA8">
            <w:pPr>
              <w:pStyle w:val="TableParagraph"/>
              <w:spacing w:before="11"/>
              <w:rPr>
                <w:b/>
                <w:sz w:val="27"/>
              </w:rPr>
            </w:pPr>
          </w:p>
          <w:p w14:paraId="5924C589" w14:textId="77777777" w:rsidR="00FA4AA8" w:rsidRDefault="0015611F">
            <w:pPr>
              <w:pStyle w:val="TableParagraph"/>
              <w:spacing w:line="185" w:lineRule="exact"/>
              <w:ind w:right="272"/>
              <w:jc w:val="right"/>
              <w:rPr>
                <w:b/>
                <w:sz w:val="18"/>
              </w:rPr>
            </w:pPr>
            <w:r>
              <w:rPr>
                <w:b/>
                <w:sz w:val="18"/>
              </w:rPr>
              <w:t>425,261</w:t>
            </w:r>
          </w:p>
        </w:tc>
        <w:tc>
          <w:tcPr>
            <w:tcW w:w="1110" w:type="dxa"/>
            <w:tcBorders>
              <w:top w:val="single" w:sz="8" w:space="0" w:color="000000"/>
              <w:bottom w:val="double" w:sz="2" w:space="0" w:color="000000"/>
            </w:tcBorders>
          </w:tcPr>
          <w:p w14:paraId="72BAFAEC" w14:textId="77777777" w:rsidR="00FA4AA8" w:rsidRDefault="00FA4AA8">
            <w:pPr>
              <w:pStyle w:val="TableParagraph"/>
              <w:spacing w:before="11"/>
              <w:rPr>
                <w:b/>
                <w:sz w:val="27"/>
              </w:rPr>
            </w:pPr>
          </w:p>
          <w:p w14:paraId="0A392DFE" w14:textId="77777777" w:rsidR="00FA4AA8" w:rsidRDefault="0015611F">
            <w:pPr>
              <w:pStyle w:val="TableParagraph"/>
              <w:spacing w:line="185" w:lineRule="exact"/>
              <w:ind w:left="366"/>
              <w:rPr>
                <w:sz w:val="18"/>
              </w:rPr>
            </w:pPr>
            <w:r>
              <w:rPr>
                <w:sz w:val="18"/>
              </w:rPr>
              <w:t>482,158</w:t>
            </w:r>
          </w:p>
        </w:tc>
      </w:tr>
      <w:tr w:rsidR="00FA4AA8" w14:paraId="04DFA1FF" w14:textId="77777777">
        <w:trPr>
          <w:trHeight w:val="495"/>
        </w:trPr>
        <w:tc>
          <w:tcPr>
            <w:tcW w:w="7269" w:type="dxa"/>
          </w:tcPr>
          <w:p w14:paraId="560B7F06" w14:textId="77777777" w:rsidR="00FA4AA8" w:rsidRDefault="0015611F">
            <w:pPr>
              <w:pStyle w:val="TableParagraph"/>
              <w:spacing w:before="141"/>
              <w:ind w:left="345"/>
              <w:rPr>
                <w:sz w:val="18"/>
              </w:rPr>
            </w:pPr>
            <w:r>
              <w:rPr>
                <w:sz w:val="18"/>
              </w:rPr>
              <w:t>Cash at bank is non-interest bearing.</w:t>
            </w:r>
          </w:p>
        </w:tc>
        <w:tc>
          <w:tcPr>
            <w:tcW w:w="1482" w:type="dxa"/>
            <w:tcBorders>
              <w:top w:val="double" w:sz="2" w:space="0" w:color="000000"/>
            </w:tcBorders>
          </w:tcPr>
          <w:p w14:paraId="1214EFE9" w14:textId="77777777" w:rsidR="00FA4AA8" w:rsidRDefault="00FA4AA8">
            <w:pPr>
              <w:pStyle w:val="TableParagraph"/>
              <w:rPr>
                <w:rFonts w:ascii="Times New Roman"/>
                <w:sz w:val="18"/>
              </w:rPr>
            </w:pPr>
          </w:p>
        </w:tc>
        <w:tc>
          <w:tcPr>
            <w:tcW w:w="1110" w:type="dxa"/>
            <w:tcBorders>
              <w:top w:val="double" w:sz="2" w:space="0" w:color="000000"/>
            </w:tcBorders>
          </w:tcPr>
          <w:p w14:paraId="4844723E" w14:textId="77777777" w:rsidR="00FA4AA8" w:rsidRDefault="00FA4AA8">
            <w:pPr>
              <w:pStyle w:val="TableParagraph"/>
              <w:rPr>
                <w:rFonts w:ascii="Times New Roman"/>
                <w:sz w:val="18"/>
              </w:rPr>
            </w:pPr>
          </w:p>
        </w:tc>
      </w:tr>
      <w:tr w:rsidR="00FA4AA8" w14:paraId="07DB5E4E" w14:textId="77777777">
        <w:trPr>
          <w:trHeight w:val="367"/>
        </w:trPr>
        <w:tc>
          <w:tcPr>
            <w:tcW w:w="7269" w:type="dxa"/>
          </w:tcPr>
          <w:p w14:paraId="12567594" w14:textId="77777777" w:rsidR="00FA4AA8" w:rsidRDefault="0015611F">
            <w:pPr>
              <w:pStyle w:val="TableParagraph"/>
              <w:spacing w:before="140" w:line="206" w:lineRule="exact"/>
              <w:ind w:left="50"/>
              <w:rPr>
                <w:b/>
                <w:sz w:val="18"/>
              </w:rPr>
            </w:pPr>
            <w:r>
              <w:rPr>
                <w:b/>
                <w:sz w:val="18"/>
              </w:rPr>
              <w:t>5 Trade and other receivables</w:t>
            </w:r>
          </w:p>
        </w:tc>
        <w:tc>
          <w:tcPr>
            <w:tcW w:w="1482" w:type="dxa"/>
          </w:tcPr>
          <w:p w14:paraId="19E95C40" w14:textId="77777777" w:rsidR="00FA4AA8" w:rsidRDefault="00FA4AA8">
            <w:pPr>
              <w:pStyle w:val="TableParagraph"/>
              <w:rPr>
                <w:rFonts w:ascii="Times New Roman"/>
                <w:sz w:val="18"/>
              </w:rPr>
            </w:pPr>
          </w:p>
        </w:tc>
        <w:tc>
          <w:tcPr>
            <w:tcW w:w="1110" w:type="dxa"/>
          </w:tcPr>
          <w:p w14:paraId="2884C08B" w14:textId="77777777" w:rsidR="00FA4AA8" w:rsidRDefault="00FA4AA8">
            <w:pPr>
              <w:pStyle w:val="TableParagraph"/>
              <w:rPr>
                <w:rFonts w:ascii="Times New Roman"/>
                <w:sz w:val="18"/>
              </w:rPr>
            </w:pPr>
          </w:p>
        </w:tc>
      </w:tr>
      <w:tr w:rsidR="00FA4AA8" w14:paraId="4F29F3F1" w14:textId="77777777">
        <w:trPr>
          <w:trHeight w:val="256"/>
        </w:trPr>
        <w:tc>
          <w:tcPr>
            <w:tcW w:w="7269" w:type="dxa"/>
          </w:tcPr>
          <w:p w14:paraId="05BD8698" w14:textId="77777777" w:rsidR="00FA4AA8" w:rsidRDefault="00FA4AA8">
            <w:pPr>
              <w:pStyle w:val="TableParagraph"/>
              <w:rPr>
                <w:rFonts w:ascii="Times New Roman"/>
                <w:sz w:val="18"/>
              </w:rPr>
            </w:pPr>
          </w:p>
        </w:tc>
        <w:tc>
          <w:tcPr>
            <w:tcW w:w="1482" w:type="dxa"/>
          </w:tcPr>
          <w:p w14:paraId="52E127CB" w14:textId="77777777" w:rsidR="00FA4AA8" w:rsidRDefault="0015611F">
            <w:pPr>
              <w:pStyle w:val="TableParagraph"/>
              <w:spacing w:before="13"/>
              <w:ind w:right="356"/>
              <w:jc w:val="right"/>
              <w:rPr>
                <w:b/>
                <w:sz w:val="18"/>
              </w:rPr>
            </w:pPr>
            <w:r>
              <w:rPr>
                <w:b/>
                <w:sz w:val="18"/>
              </w:rPr>
              <w:t>2018</w:t>
            </w:r>
          </w:p>
        </w:tc>
        <w:tc>
          <w:tcPr>
            <w:tcW w:w="1110" w:type="dxa"/>
          </w:tcPr>
          <w:p w14:paraId="22C087E4" w14:textId="77777777" w:rsidR="00FA4AA8" w:rsidRDefault="0015611F">
            <w:pPr>
              <w:pStyle w:val="TableParagraph"/>
              <w:spacing w:before="13"/>
              <w:ind w:left="469"/>
              <w:rPr>
                <w:b/>
                <w:sz w:val="18"/>
              </w:rPr>
            </w:pPr>
            <w:r>
              <w:rPr>
                <w:b/>
                <w:sz w:val="18"/>
              </w:rPr>
              <w:t>2017</w:t>
            </w:r>
          </w:p>
        </w:tc>
      </w:tr>
      <w:tr w:rsidR="00FA4AA8" w14:paraId="6C619FC6" w14:textId="77777777">
        <w:trPr>
          <w:trHeight w:val="313"/>
        </w:trPr>
        <w:tc>
          <w:tcPr>
            <w:tcW w:w="7269" w:type="dxa"/>
          </w:tcPr>
          <w:p w14:paraId="178054A5" w14:textId="77777777" w:rsidR="00FA4AA8" w:rsidRDefault="00FA4AA8">
            <w:pPr>
              <w:pStyle w:val="TableParagraph"/>
              <w:rPr>
                <w:rFonts w:ascii="Times New Roman"/>
                <w:sz w:val="18"/>
              </w:rPr>
            </w:pPr>
          </w:p>
        </w:tc>
        <w:tc>
          <w:tcPr>
            <w:tcW w:w="1482" w:type="dxa"/>
          </w:tcPr>
          <w:p w14:paraId="313C0D97" w14:textId="77777777" w:rsidR="00FA4AA8" w:rsidRDefault="0015611F">
            <w:pPr>
              <w:pStyle w:val="TableParagraph"/>
              <w:spacing w:before="30"/>
              <w:ind w:left="360"/>
              <w:jc w:val="center"/>
              <w:rPr>
                <w:b/>
                <w:sz w:val="18"/>
              </w:rPr>
            </w:pPr>
            <w:r>
              <w:rPr>
                <w:b/>
                <w:sz w:val="18"/>
              </w:rPr>
              <w:t>$</w:t>
            </w:r>
          </w:p>
        </w:tc>
        <w:tc>
          <w:tcPr>
            <w:tcW w:w="1110" w:type="dxa"/>
          </w:tcPr>
          <w:p w14:paraId="67E236EA" w14:textId="77777777" w:rsidR="00FA4AA8" w:rsidRDefault="0015611F">
            <w:pPr>
              <w:pStyle w:val="TableParagraph"/>
              <w:spacing w:before="30"/>
              <w:ind w:left="646"/>
              <w:rPr>
                <w:b/>
                <w:sz w:val="18"/>
              </w:rPr>
            </w:pPr>
            <w:r>
              <w:rPr>
                <w:b/>
                <w:sz w:val="18"/>
              </w:rPr>
              <w:t>$</w:t>
            </w:r>
          </w:p>
        </w:tc>
      </w:tr>
      <w:tr w:rsidR="00FA4AA8" w14:paraId="25E8A5A5" w14:textId="77777777">
        <w:trPr>
          <w:trHeight w:val="292"/>
        </w:trPr>
        <w:tc>
          <w:tcPr>
            <w:tcW w:w="7269" w:type="dxa"/>
          </w:tcPr>
          <w:p w14:paraId="783B56ED" w14:textId="77777777" w:rsidR="00FA4AA8" w:rsidRDefault="0015611F">
            <w:pPr>
              <w:pStyle w:val="TableParagraph"/>
              <w:spacing w:before="70" w:line="203" w:lineRule="exact"/>
              <w:ind w:left="388"/>
              <w:rPr>
                <w:b/>
                <w:sz w:val="18"/>
              </w:rPr>
            </w:pPr>
            <w:r>
              <w:rPr>
                <w:b/>
                <w:sz w:val="18"/>
              </w:rPr>
              <w:t>Current</w:t>
            </w:r>
          </w:p>
        </w:tc>
        <w:tc>
          <w:tcPr>
            <w:tcW w:w="1482" w:type="dxa"/>
          </w:tcPr>
          <w:p w14:paraId="1782C6CC" w14:textId="77777777" w:rsidR="00FA4AA8" w:rsidRDefault="00FA4AA8">
            <w:pPr>
              <w:pStyle w:val="TableParagraph"/>
              <w:rPr>
                <w:rFonts w:ascii="Times New Roman"/>
                <w:sz w:val="18"/>
              </w:rPr>
            </w:pPr>
          </w:p>
        </w:tc>
        <w:tc>
          <w:tcPr>
            <w:tcW w:w="1110" w:type="dxa"/>
          </w:tcPr>
          <w:p w14:paraId="0F114DF7" w14:textId="77777777" w:rsidR="00FA4AA8" w:rsidRDefault="00FA4AA8">
            <w:pPr>
              <w:pStyle w:val="TableParagraph"/>
              <w:rPr>
                <w:rFonts w:ascii="Times New Roman"/>
                <w:sz w:val="18"/>
              </w:rPr>
            </w:pPr>
          </w:p>
        </w:tc>
      </w:tr>
      <w:tr w:rsidR="00FA4AA8" w14:paraId="24BADDF1" w14:textId="77777777">
        <w:trPr>
          <w:trHeight w:val="249"/>
        </w:trPr>
        <w:tc>
          <w:tcPr>
            <w:tcW w:w="7269" w:type="dxa"/>
          </w:tcPr>
          <w:p w14:paraId="69276529" w14:textId="77777777" w:rsidR="00FA4AA8" w:rsidRDefault="0015611F">
            <w:pPr>
              <w:pStyle w:val="TableParagraph"/>
              <w:spacing w:before="10"/>
              <w:ind w:left="388"/>
              <w:rPr>
                <w:sz w:val="18"/>
              </w:rPr>
            </w:pPr>
            <w:r>
              <w:rPr>
                <w:sz w:val="18"/>
              </w:rPr>
              <w:t>Trade receivables</w:t>
            </w:r>
          </w:p>
        </w:tc>
        <w:tc>
          <w:tcPr>
            <w:tcW w:w="1482" w:type="dxa"/>
          </w:tcPr>
          <w:p w14:paraId="2760B4E8" w14:textId="77777777" w:rsidR="00FA4AA8" w:rsidRDefault="0015611F">
            <w:pPr>
              <w:pStyle w:val="TableParagraph"/>
              <w:spacing w:before="12"/>
              <w:ind w:right="272"/>
              <w:jc w:val="right"/>
              <w:rPr>
                <w:b/>
                <w:sz w:val="18"/>
              </w:rPr>
            </w:pPr>
            <w:r>
              <w:rPr>
                <w:b/>
                <w:sz w:val="18"/>
              </w:rPr>
              <w:t>54,053</w:t>
            </w:r>
          </w:p>
        </w:tc>
        <w:tc>
          <w:tcPr>
            <w:tcW w:w="1110" w:type="dxa"/>
          </w:tcPr>
          <w:p w14:paraId="4408E80C" w14:textId="77777777" w:rsidR="00FA4AA8" w:rsidRDefault="0015611F">
            <w:pPr>
              <w:pStyle w:val="TableParagraph"/>
              <w:spacing w:before="12"/>
              <w:ind w:left="467"/>
              <w:rPr>
                <w:sz w:val="18"/>
              </w:rPr>
            </w:pPr>
            <w:r>
              <w:rPr>
                <w:sz w:val="18"/>
              </w:rPr>
              <w:t>43,249</w:t>
            </w:r>
          </w:p>
        </w:tc>
      </w:tr>
      <w:tr w:rsidR="00FA4AA8" w14:paraId="5C50BC56" w14:textId="77777777">
        <w:trPr>
          <w:trHeight w:val="258"/>
        </w:trPr>
        <w:tc>
          <w:tcPr>
            <w:tcW w:w="7269" w:type="dxa"/>
          </w:tcPr>
          <w:p w14:paraId="2FE12844" w14:textId="77777777" w:rsidR="00FA4AA8" w:rsidRDefault="0015611F">
            <w:pPr>
              <w:pStyle w:val="TableParagraph"/>
              <w:spacing w:before="24"/>
              <w:ind w:left="388"/>
              <w:rPr>
                <w:sz w:val="18"/>
              </w:rPr>
            </w:pPr>
            <w:r>
              <w:rPr>
                <w:sz w:val="18"/>
              </w:rPr>
              <w:t>less: Provision for impairment</w:t>
            </w:r>
          </w:p>
        </w:tc>
        <w:tc>
          <w:tcPr>
            <w:tcW w:w="1482" w:type="dxa"/>
            <w:tcBorders>
              <w:bottom w:val="single" w:sz="8" w:space="0" w:color="000000"/>
            </w:tcBorders>
          </w:tcPr>
          <w:p w14:paraId="6BD277A4" w14:textId="77777777" w:rsidR="00FA4AA8" w:rsidRDefault="0015611F">
            <w:pPr>
              <w:pStyle w:val="TableParagraph"/>
              <w:spacing w:before="26"/>
              <w:ind w:right="212"/>
              <w:jc w:val="right"/>
              <w:rPr>
                <w:b/>
                <w:sz w:val="18"/>
              </w:rPr>
            </w:pPr>
            <w:r>
              <w:rPr>
                <w:b/>
                <w:sz w:val="18"/>
              </w:rPr>
              <w:t>(5,962)</w:t>
            </w:r>
          </w:p>
        </w:tc>
        <w:tc>
          <w:tcPr>
            <w:tcW w:w="1110" w:type="dxa"/>
            <w:tcBorders>
              <w:bottom w:val="single" w:sz="8" w:space="0" w:color="000000"/>
            </w:tcBorders>
          </w:tcPr>
          <w:p w14:paraId="0444BE9A" w14:textId="77777777" w:rsidR="00FA4AA8" w:rsidRDefault="0015611F">
            <w:pPr>
              <w:pStyle w:val="TableParagraph"/>
              <w:spacing w:before="26"/>
              <w:ind w:right="26"/>
              <w:jc w:val="right"/>
              <w:rPr>
                <w:sz w:val="18"/>
              </w:rPr>
            </w:pPr>
            <w:r>
              <w:rPr>
                <w:sz w:val="18"/>
              </w:rPr>
              <w:t>(12,500)</w:t>
            </w:r>
          </w:p>
        </w:tc>
      </w:tr>
      <w:tr w:rsidR="00FA4AA8" w14:paraId="1D32A7BE" w14:textId="77777777">
        <w:trPr>
          <w:trHeight w:val="337"/>
        </w:trPr>
        <w:tc>
          <w:tcPr>
            <w:tcW w:w="7269" w:type="dxa"/>
          </w:tcPr>
          <w:p w14:paraId="20561765" w14:textId="77777777" w:rsidR="00FA4AA8" w:rsidRDefault="00FA4AA8">
            <w:pPr>
              <w:pStyle w:val="TableParagraph"/>
              <w:rPr>
                <w:rFonts w:ascii="Times New Roman"/>
                <w:sz w:val="18"/>
              </w:rPr>
            </w:pPr>
          </w:p>
        </w:tc>
        <w:tc>
          <w:tcPr>
            <w:tcW w:w="1482" w:type="dxa"/>
            <w:tcBorders>
              <w:top w:val="single" w:sz="8" w:space="0" w:color="000000"/>
            </w:tcBorders>
          </w:tcPr>
          <w:p w14:paraId="21CC439A" w14:textId="77777777" w:rsidR="00FA4AA8" w:rsidRDefault="0015611F">
            <w:pPr>
              <w:pStyle w:val="TableParagraph"/>
              <w:spacing w:before="115" w:line="203" w:lineRule="exact"/>
              <w:ind w:right="272"/>
              <w:jc w:val="right"/>
              <w:rPr>
                <w:b/>
                <w:sz w:val="18"/>
              </w:rPr>
            </w:pPr>
            <w:r>
              <w:rPr>
                <w:b/>
                <w:sz w:val="18"/>
              </w:rPr>
              <w:t>48,091</w:t>
            </w:r>
          </w:p>
        </w:tc>
        <w:tc>
          <w:tcPr>
            <w:tcW w:w="1110" w:type="dxa"/>
            <w:tcBorders>
              <w:top w:val="single" w:sz="8" w:space="0" w:color="000000"/>
            </w:tcBorders>
          </w:tcPr>
          <w:p w14:paraId="344A307B" w14:textId="77777777" w:rsidR="00FA4AA8" w:rsidRDefault="0015611F">
            <w:pPr>
              <w:pStyle w:val="TableParagraph"/>
              <w:spacing w:before="115" w:line="203" w:lineRule="exact"/>
              <w:ind w:left="467"/>
              <w:rPr>
                <w:sz w:val="18"/>
              </w:rPr>
            </w:pPr>
            <w:r>
              <w:rPr>
                <w:sz w:val="18"/>
              </w:rPr>
              <w:t>30,749</w:t>
            </w:r>
          </w:p>
        </w:tc>
      </w:tr>
      <w:tr w:rsidR="00FA4AA8" w14:paraId="75FE6B70" w14:textId="77777777">
        <w:trPr>
          <w:trHeight w:val="249"/>
        </w:trPr>
        <w:tc>
          <w:tcPr>
            <w:tcW w:w="7269" w:type="dxa"/>
          </w:tcPr>
          <w:p w14:paraId="3B59DB52" w14:textId="77777777" w:rsidR="00FA4AA8" w:rsidRDefault="0015611F">
            <w:pPr>
              <w:pStyle w:val="TableParagraph"/>
              <w:spacing w:before="10"/>
              <w:ind w:left="388"/>
              <w:rPr>
                <w:sz w:val="18"/>
              </w:rPr>
            </w:pPr>
            <w:r>
              <w:rPr>
                <w:sz w:val="18"/>
              </w:rPr>
              <w:t>Loan to parent entity</w:t>
            </w:r>
          </w:p>
        </w:tc>
        <w:tc>
          <w:tcPr>
            <w:tcW w:w="1482" w:type="dxa"/>
          </w:tcPr>
          <w:p w14:paraId="013FB495" w14:textId="77777777" w:rsidR="00FA4AA8" w:rsidRDefault="0015611F">
            <w:pPr>
              <w:pStyle w:val="TableParagraph"/>
              <w:spacing w:before="12"/>
              <w:ind w:right="273"/>
              <w:jc w:val="right"/>
              <w:rPr>
                <w:b/>
                <w:sz w:val="18"/>
              </w:rPr>
            </w:pPr>
            <w:r>
              <w:rPr>
                <w:b/>
                <w:sz w:val="18"/>
              </w:rPr>
              <w:t>2,231,999</w:t>
            </w:r>
          </w:p>
        </w:tc>
        <w:tc>
          <w:tcPr>
            <w:tcW w:w="1110" w:type="dxa"/>
          </w:tcPr>
          <w:p w14:paraId="03FF58CD" w14:textId="77777777" w:rsidR="00FA4AA8" w:rsidRDefault="0015611F">
            <w:pPr>
              <w:pStyle w:val="TableParagraph"/>
              <w:spacing w:before="12"/>
              <w:ind w:left="215"/>
              <w:rPr>
                <w:sz w:val="18"/>
              </w:rPr>
            </w:pPr>
            <w:r>
              <w:rPr>
                <w:sz w:val="18"/>
              </w:rPr>
              <w:t>2,199,145</w:t>
            </w:r>
          </w:p>
        </w:tc>
      </w:tr>
      <w:tr w:rsidR="00FA4AA8" w14:paraId="1A722131" w14:textId="77777777">
        <w:trPr>
          <w:trHeight w:val="258"/>
        </w:trPr>
        <w:tc>
          <w:tcPr>
            <w:tcW w:w="7269" w:type="dxa"/>
          </w:tcPr>
          <w:p w14:paraId="3C6CB184" w14:textId="77777777" w:rsidR="00FA4AA8" w:rsidRDefault="0015611F">
            <w:pPr>
              <w:pStyle w:val="TableParagraph"/>
              <w:spacing w:before="24"/>
              <w:ind w:left="388"/>
              <w:rPr>
                <w:sz w:val="18"/>
              </w:rPr>
            </w:pPr>
            <w:r>
              <w:rPr>
                <w:sz w:val="18"/>
              </w:rPr>
              <w:t>Other receivables</w:t>
            </w:r>
          </w:p>
        </w:tc>
        <w:tc>
          <w:tcPr>
            <w:tcW w:w="1482" w:type="dxa"/>
            <w:tcBorders>
              <w:bottom w:val="single" w:sz="8" w:space="0" w:color="000000"/>
            </w:tcBorders>
          </w:tcPr>
          <w:p w14:paraId="30E2D8EA" w14:textId="77777777" w:rsidR="00FA4AA8" w:rsidRDefault="0015611F">
            <w:pPr>
              <w:pStyle w:val="TableParagraph"/>
              <w:spacing w:before="26"/>
              <w:ind w:right="272"/>
              <w:jc w:val="right"/>
              <w:rPr>
                <w:b/>
                <w:sz w:val="18"/>
              </w:rPr>
            </w:pPr>
            <w:r>
              <w:rPr>
                <w:b/>
                <w:sz w:val="18"/>
              </w:rPr>
              <w:t>82,380</w:t>
            </w:r>
          </w:p>
        </w:tc>
        <w:tc>
          <w:tcPr>
            <w:tcW w:w="1110" w:type="dxa"/>
            <w:tcBorders>
              <w:bottom w:val="single" w:sz="8" w:space="0" w:color="000000"/>
            </w:tcBorders>
          </w:tcPr>
          <w:p w14:paraId="09A8592F" w14:textId="77777777" w:rsidR="00FA4AA8" w:rsidRDefault="0015611F">
            <w:pPr>
              <w:pStyle w:val="TableParagraph"/>
              <w:spacing w:before="26"/>
              <w:ind w:right="86"/>
              <w:jc w:val="right"/>
              <w:rPr>
                <w:sz w:val="18"/>
              </w:rPr>
            </w:pPr>
            <w:r>
              <w:rPr>
                <w:sz w:val="18"/>
              </w:rPr>
              <w:t>-</w:t>
            </w:r>
          </w:p>
        </w:tc>
      </w:tr>
      <w:tr w:rsidR="00FA4AA8" w14:paraId="43CD1CF8" w14:textId="77777777">
        <w:trPr>
          <w:trHeight w:val="320"/>
        </w:trPr>
        <w:tc>
          <w:tcPr>
            <w:tcW w:w="7269" w:type="dxa"/>
          </w:tcPr>
          <w:p w14:paraId="2770025C" w14:textId="77777777" w:rsidR="00FA4AA8" w:rsidRDefault="0015611F">
            <w:pPr>
              <w:pStyle w:val="TableParagraph"/>
              <w:spacing w:before="115" w:line="185" w:lineRule="exact"/>
              <w:ind w:left="388"/>
              <w:rPr>
                <w:b/>
                <w:sz w:val="18"/>
              </w:rPr>
            </w:pPr>
            <w:r>
              <w:rPr>
                <w:b/>
                <w:sz w:val="18"/>
              </w:rPr>
              <w:t>Total receivables</w:t>
            </w:r>
          </w:p>
        </w:tc>
        <w:tc>
          <w:tcPr>
            <w:tcW w:w="1482" w:type="dxa"/>
            <w:tcBorders>
              <w:top w:val="single" w:sz="8" w:space="0" w:color="000000"/>
              <w:bottom w:val="double" w:sz="2" w:space="0" w:color="000000"/>
            </w:tcBorders>
          </w:tcPr>
          <w:p w14:paraId="0F1747AF" w14:textId="77777777" w:rsidR="00FA4AA8" w:rsidRDefault="0015611F">
            <w:pPr>
              <w:pStyle w:val="TableParagraph"/>
              <w:spacing w:before="115" w:line="185" w:lineRule="exact"/>
              <w:ind w:right="273"/>
              <w:jc w:val="right"/>
              <w:rPr>
                <w:b/>
                <w:sz w:val="18"/>
              </w:rPr>
            </w:pPr>
            <w:r>
              <w:rPr>
                <w:b/>
                <w:sz w:val="18"/>
              </w:rPr>
              <w:t>2,362,470</w:t>
            </w:r>
          </w:p>
        </w:tc>
        <w:tc>
          <w:tcPr>
            <w:tcW w:w="1110" w:type="dxa"/>
            <w:tcBorders>
              <w:top w:val="single" w:sz="8" w:space="0" w:color="000000"/>
              <w:bottom w:val="double" w:sz="2" w:space="0" w:color="000000"/>
            </w:tcBorders>
          </w:tcPr>
          <w:p w14:paraId="0B25CA43" w14:textId="77777777" w:rsidR="00FA4AA8" w:rsidRDefault="0015611F">
            <w:pPr>
              <w:pStyle w:val="TableParagraph"/>
              <w:spacing w:before="115" w:line="185" w:lineRule="exact"/>
              <w:ind w:left="215"/>
              <w:rPr>
                <w:sz w:val="18"/>
              </w:rPr>
            </w:pPr>
            <w:r>
              <w:rPr>
                <w:sz w:val="18"/>
              </w:rPr>
              <w:t>2,229,894</w:t>
            </w:r>
          </w:p>
        </w:tc>
      </w:tr>
    </w:tbl>
    <w:p w14:paraId="2EDD2B83" w14:textId="77777777" w:rsidR="00FA4AA8" w:rsidRDefault="0015611F">
      <w:pPr>
        <w:spacing w:before="151"/>
        <w:ind w:left="564"/>
        <w:rPr>
          <w:i/>
          <w:sz w:val="18"/>
        </w:rPr>
      </w:pPr>
      <w:r>
        <w:rPr>
          <w:i/>
          <w:sz w:val="18"/>
          <w:u w:val="single"/>
        </w:rPr>
        <w:t>Accounting Policy</w:t>
      </w:r>
    </w:p>
    <w:p w14:paraId="75DB1D20" w14:textId="77777777" w:rsidR="00FA4AA8" w:rsidRDefault="0015611F">
      <w:pPr>
        <w:pStyle w:val="BodyText"/>
        <w:spacing w:before="141"/>
        <w:ind w:left="564" w:right="132"/>
      </w:pPr>
      <w:r>
        <w:t xml:space="preserve">Trade receivables are recognised initially at fair value and subsequently measured at amortised cost using </w:t>
      </w:r>
      <w:r w:rsidR="00A74DE7">
        <w:t>the effective</w:t>
      </w:r>
      <w:r>
        <w:t xml:space="preserve"> interest method, less provision for impairment. Trade receivables are due for settlement no more than </w:t>
      </w:r>
      <w:r w:rsidR="00A74DE7">
        <w:t>30 days</w:t>
      </w:r>
      <w:r>
        <w:t xml:space="preserve"> for debtors. They are presented as current assets unless collection is not expected for more than 12 months after reporting</w:t>
      </w:r>
      <w:r>
        <w:rPr>
          <w:spacing w:val="1"/>
        </w:rPr>
        <w:t xml:space="preserve"> </w:t>
      </w:r>
      <w:r>
        <w:t>date.</w:t>
      </w:r>
    </w:p>
    <w:p w14:paraId="71F93AF9" w14:textId="77777777" w:rsidR="00FA4AA8" w:rsidRDefault="0015611F">
      <w:pPr>
        <w:pStyle w:val="BodyText"/>
        <w:spacing w:before="140"/>
        <w:ind w:left="564" w:right="220"/>
      </w:pPr>
      <w:bookmarkStart w:id="196" w:name="6_Prepayments_"/>
      <w:bookmarkEnd w:id="196"/>
      <w:r>
        <w:t>For trade receivables the Company applies a general approach in calculating expected credit losses. For credit exposures for which there has not been a significant increase in credit risk since initial recognition, provision is made for credit losses from default events that are possible within the next 12 months.</w:t>
      </w:r>
    </w:p>
    <w:p w14:paraId="01586775" w14:textId="77777777" w:rsidR="00FA4AA8" w:rsidRDefault="0015611F">
      <w:pPr>
        <w:pStyle w:val="BodyText"/>
        <w:spacing w:before="139"/>
        <w:ind w:left="563" w:right="220"/>
      </w:pPr>
      <w:r>
        <w:t>Other receivables represents amounts paid to Revenue NSW which, in the view of the Company Directors, is likely to be recovered. Refer to Note 14 Contingencies for further discussion.</w:t>
      </w:r>
    </w:p>
    <w:p w14:paraId="3785B6DE" w14:textId="77777777" w:rsidR="00FA4AA8" w:rsidRDefault="00FA4AA8">
      <w:pPr>
        <w:pStyle w:val="BodyText"/>
        <w:rPr>
          <w:sz w:val="25"/>
        </w:rPr>
      </w:pPr>
    </w:p>
    <w:p w14:paraId="1FC52171" w14:textId="77777777" w:rsidR="00FA4AA8" w:rsidRDefault="0015611F">
      <w:pPr>
        <w:tabs>
          <w:tab w:val="left" w:pos="563"/>
        </w:tabs>
        <w:ind w:left="170"/>
        <w:rPr>
          <w:b/>
          <w:sz w:val="18"/>
        </w:rPr>
      </w:pPr>
      <w:r>
        <w:rPr>
          <w:b/>
          <w:sz w:val="18"/>
        </w:rPr>
        <w:t>6</w:t>
      </w:r>
      <w:r>
        <w:rPr>
          <w:b/>
          <w:sz w:val="18"/>
        </w:rPr>
        <w:tab/>
        <w:t>Prepayments</w:t>
      </w:r>
    </w:p>
    <w:p w14:paraId="68A0B33B" w14:textId="77777777" w:rsidR="00FA4AA8" w:rsidRDefault="00FA4AA8">
      <w:pPr>
        <w:pStyle w:val="BodyText"/>
        <w:spacing w:before="4"/>
        <w:rPr>
          <w:b/>
          <w:sz w:val="17"/>
        </w:rPr>
      </w:pPr>
    </w:p>
    <w:tbl>
      <w:tblPr>
        <w:tblW w:w="0" w:type="auto"/>
        <w:tblInd w:w="127" w:type="dxa"/>
        <w:tblLayout w:type="fixed"/>
        <w:tblCellMar>
          <w:left w:w="0" w:type="dxa"/>
          <w:right w:w="0" w:type="dxa"/>
        </w:tblCellMar>
        <w:tblLook w:val="01E0" w:firstRow="1" w:lastRow="1" w:firstColumn="1" w:lastColumn="1" w:noHBand="0" w:noVBand="0"/>
      </w:tblPr>
      <w:tblGrid>
        <w:gridCol w:w="297"/>
        <w:gridCol w:w="7073"/>
        <w:gridCol w:w="1470"/>
        <w:gridCol w:w="1122"/>
      </w:tblGrid>
      <w:tr w:rsidR="00FA4AA8" w14:paraId="7FF29341" w14:textId="77777777">
        <w:trPr>
          <w:trHeight w:val="550"/>
        </w:trPr>
        <w:tc>
          <w:tcPr>
            <w:tcW w:w="297" w:type="dxa"/>
            <w:vMerge w:val="restart"/>
          </w:tcPr>
          <w:p w14:paraId="7808CDB3" w14:textId="77777777" w:rsidR="00FA4AA8" w:rsidRDefault="00FA4AA8">
            <w:pPr>
              <w:pStyle w:val="TableParagraph"/>
              <w:rPr>
                <w:rFonts w:ascii="Times New Roman"/>
                <w:sz w:val="18"/>
              </w:rPr>
            </w:pPr>
          </w:p>
        </w:tc>
        <w:tc>
          <w:tcPr>
            <w:tcW w:w="7073" w:type="dxa"/>
          </w:tcPr>
          <w:p w14:paraId="04C8421E" w14:textId="77777777" w:rsidR="00FA4AA8" w:rsidRDefault="00FA4AA8">
            <w:pPr>
              <w:pStyle w:val="TableParagraph"/>
              <w:rPr>
                <w:rFonts w:ascii="Times New Roman"/>
                <w:sz w:val="18"/>
              </w:rPr>
            </w:pPr>
          </w:p>
        </w:tc>
        <w:tc>
          <w:tcPr>
            <w:tcW w:w="1470" w:type="dxa"/>
          </w:tcPr>
          <w:p w14:paraId="119D3691" w14:textId="77777777" w:rsidR="00FA4AA8" w:rsidRDefault="0015611F">
            <w:pPr>
              <w:pStyle w:val="TableParagraph"/>
              <w:spacing w:line="201" w:lineRule="exact"/>
              <w:ind w:left="428" w:right="600"/>
              <w:jc w:val="center"/>
              <w:rPr>
                <w:b/>
                <w:sz w:val="18"/>
              </w:rPr>
            </w:pPr>
            <w:r>
              <w:rPr>
                <w:b/>
                <w:sz w:val="18"/>
              </w:rPr>
              <w:t>2018</w:t>
            </w:r>
          </w:p>
          <w:p w14:paraId="57431EF5" w14:textId="77777777" w:rsidR="00FA4AA8" w:rsidRDefault="0015611F">
            <w:pPr>
              <w:pStyle w:val="TableParagraph"/>
              <w:spacing w:before="66"/>
              <w:ind w:right="172"/>
              <w:jc w:val="center"/>
              <w:rPr>
                <w:b/>
                <w:sz w:val="18"/>
              </w:rPr>
            </w:pPr>
            <w:r>
              <w:rPr>
                <w:b/>
                <w:sz w:val="18"/>
              </w:rPr>
              <w:t>$</w:t>
            </w:r>
          </w:p>
        </w:tc>
        <w:tc>
          <w:tcPr>
            <w:tcW w:w="1122" w:type="dxa"/>
          </w:tcPr>
          <w:p w14:paraId="45078561" w14:textId="77777777" w:rsidR="00FA4AA8" w:rsidRDefault="0015611F">
            <w:pPr>
              <w:pStyle w:val="TableParagraph"/>
              <w:spacing w:line="201" w:lineRule="exact"/>
              <w:ind w:left="242" w:right="438"/>
              <w:jc w:val="center"/>
              <w:rPr>
                <w:b/>
                <w:sz w:val="18"/>
              </w:rPr>
            </w:pPr>
            <w:r>
              <w:rPr>
                <w:b/>
                <w:sz w:val="18"/>
              </w:rPr>
              <w:t>2017</w:t>
            </w:r>
          </w:p>
          <w:p w14:paraId="4C94B50D" w14:textId="77777777" w:rsidR="00FA4AA8" w:rsidRDefault="0015611F">
            <w:pPr>
              <w:pStyle w:val="TableParagraph"/>
              <w:spacing w:before="66"/>
              <w:ind w:right="196"/>
              <w:jc w:val="center"/>
              <w:rPr>
                <w:b/>
                <w:sz w:val="18"/>
              </w:rPr>
            </w:pPr>
            <w:r>
              <w:rPr>
                <w:b/>
                <w:sz w:val="18"/>
              </w:rPr>
              <w:t>$</w:t>
            </w:r>
          </w:p>
        </w:tc>
      </w:tr>
      <w:tr w:rsidR="00FA4AA8" w14:paraId="65D504EE" w14:textId="77777777">
        <w:trPr>
          <w:trHeight w:val="544"/>
        </w:trPr>
        <w:tc>
          <w:tcPr>
            <w:tcW w:w="297" w:type="dxa"/>
            <w:vMerge/>
            <w:tcBorders>
              <w:top w:val="nil"/>
            </w:tcBorders>
          </w:tcPr>
          <w:p w14:paraId="18081529" w14:textId="77777777" w:rsidR="00FA4AA8" w:rsidRDefault="00FA4AA8">
            <w:pPr>
              <w:rPr>
                <w:sz w:val="2"/>
                <w:szCs w:val="2"/>
              </w:rPr>
            </w:pPr>
          </w:p>
        </w:tc>
        <w:tc>
          <w:tcPr>
            <w:tcW w:w="7073" w:type="dxa"/>
          </w:tcPr>
          <w:p w14:paraId="092072C8" w14:textId="77777777" w:rsidR="00FA4AA8" w:rsidRDefault="0015611F">
            <w:pPr>
              <w:pStyle w:val="TableParagraph"/>
              <w:spacing w:before="70"/>
              <w:ind w:left="172"/>
              <w:rPr>
                <w:b/>
                <w:sz w:val="18"/>
              </w:rPr>
            </w:pPr>
            <w:r>
              <w:rPr>
                <w:b/>
                <w:sz w:val="18"/>
              </w:rPr>
              <w:t>Current</w:t>
            </w:r>
          </w:p>
          <w:p w14:paraId="3CE00E91" w14:textId="77777777" w:rsidR="00FA4AA8" w:rsidRDefault="0015611F">
            <w:pPr>
              <w:pStyle w:val="TableParagraph"/>
              <w:spacing w:before="30"/>
              <w:ind w:left="172"/>
              <w:rPr>
                <w:sz w:val="18"/>
              </w:rPr>
            </w:pPr>
            <w:r>
              <w:rPr>
                <w:sz w:val="18"/>
              </w:rPr>
              <w:t>Prepayments</w:t>
            </w:r>
          </w:p>
        </w:tc>
        <w:tc>
          <w:tcPr>
            <w:tcW w:w="1470" w:type="dxa"/>
          </w:tcPr>
          <w:p w14:paraId="7A9B9515" w14:textId="77777777" w:rsidR="00FA4AA8" w:rsidRDefault="00FA4AA8">
            <w:pPr>
              <w:pStyle w:val="TableParagraph"/>
              <w:spacing w:before="6"/>
              <w:rPr>
                <w:b/>
                <w:sz w:val="26"/>
              </w:rPr>
            </w:pPr>
          </w:p>
          <w:p w14:paraId="3DB3409D" w14:textId="77777777" w:rsidR="00FA4AA8" w:rsidRDefault="0015611F">
            <w:pPr>
              <w:pStyle w:val="TableParagraph"/>
              <w:ind w:right="258"/>
              <w:jc w:val="right"/>
              <w:rPr>
                <w:b/>
                <w:sz w:val="18"/>
              </w:rPr>
            </w:pPr>
            <w:r>
              <w:rPr>
                <w:b/>
                <w:sz w:val="18"/>
              </w:rPr>
              <w:t>24,747</w:t>
            </w:r>
          </w:p>
        </w:tc>
        <w:tc>
          <w:tcPr>
            <w:tcW w:w="1122" w:type="dxa"/>
          </w:tcPr>
          <w:p w14:paraId="20C295C9" w14:textId="77777777" w:rsidR="00FA4AA8" w:rsidRDefault="00FA4AA8">
            <w:pPr>
              <w:pStyle w:val="TableParagraph"/>
              <w:spacing w:before="6"/>
              <w:rPr>
                <w:b/>
                <w:sz w:val="26"/>
              </w:rPr>
            </w:pPr>
          </w:p>
          <w:p w14:paraId="63F9162F" w14:textId="77777777" w:rsidR="00FA4AA8" w:rsidRDefault="0015611F">
            <w:pPr>
              <w:pStyle w:val="TableParagraph"/>
              <w:ind w:right="84"/>
              <w:jc w:val="right"/>
              <w:rPr>
                <w:sz w:val="18"/>
              </w:rPr>
            </w:pPr>
            <w:r>
              <w:rPr>
                <w:sz w:val="18"/>
              </w:rPr>
              <w:t>12,106</w:t>
            </w:r>
          </w:p>
        </w:tc>
      </w:tr>
      <w:tr w:rsidR="00FA4AA8" w14:paraId="047C873E" w14:textId="77777777">
        <w:trPr>
          <w:trHeight w:val="256"/>
        </w:trPr>
        <w:tc>
          <w:tcPr>
            <w:tcW w:w="297" w:type="dxa"/>
            <w:vMerge/>
            <w:tcBorders>
              <w:top w:val="nil"/>
            </w:tcBorders>
          </w:tcPr>
          <w:p w14:paraId="382B01F7" w14:textId="77777777" w:rsidR="00FA4AA8" w:rsidRDefault="00FA4AA8">
            <w:pPr>
              <w:rPr>
                <w:sz w:val="2"/>
                <w:szCs w:val="2"/>
              </w:rPr>
            </w:pPr>
          </w:p>
        </w:tc>
        <w:tc>
          <w:tcPr>
            <w:tcW w:w="7073" w:type="dxa"/>
          </w:tcPr>
          <w:p w14:paraId="64F742F6" w14:textId="77777777" w:rsidR="00FA4AA8" w:rsidRDefault="0015611F">
            <w:pPr>
              <w:pStyle w:val="TableParagraph"/>
              <w:spacing w:before="26"/>
              <w:ind w:left="172"/>
              <w:rPr>
                <w:sz w:val="18"/>
              </w:rPr>
            </w:pPr>
            <w:r>
              <w:rPr>
                <w:sz w:val="18"/>
              </w:rPr>
              <w:t>Payments made to parent entity for capital projects</w:t>
            </w:r>
          </w:p>
        </w:tc>
        <w:tc>
          <w:tcPr>
            <w:tcW w:w="1470" w:type="dxa"/>
            <w:tcBorders>
              <w:bottom w:val="single" w:sz="8" w:space="0" w:color="000000"/>
            </w:tcBorders>
          </w:tcPr>
          <w:p w14:paraId="7CD0B639" w14:textId="77777777" w:rsidR="00FA4AA8" w:rsidRDefault="0015611F">
            <w:pPr>
              <w:pStyle w:val="TableParagraph"/>
              <w:spacing w:before="24"/>
              <w:ind w:right="258"/>
              <w:jc w:val="right"/>
              <w:rPr>
                <w:b/>
                <w:sz w:val="18"/>
              </w:rPr>
            </w:pPr>
            <w:r>
              <w:rPr>
                <w:b/>
                <w:sz w:val="18"/>
              </w:rPr>
              <w:t>-</w:t>
            </w:r>
          </w:p>
        </w:tc>
        <w:tc>
          <w:tcPr>
            <w:tcW w:w="1122" w:type="dxa"/>
            <w:tcBorders>
              <w:bottom w:val="single" w:sz="8" w:space="0" w:color="000000"/>
            </w:tcBorders>
          </w:tcPr>
          <w:p w14:paraId="6DEBA742" w14:textId="77777777" w:rsidR="00FA4AA8" w:rsidRDefault="0015611F">
            <w:pPr>
              <w:pStyle w:val="TableParagraph"/>
              <w:spacing w:before="24"/>
              <w:ind w:right="84"/>
              <w:jc w:val="right"/>
              <w:rPr>
                <w:sz w:val="18"/>
              </w:rPr>
            </w:pPr>
            <w:r>
              <w:rPr>
                <w:sz w:val="18"/>
              </w:rPr>
              <w:t>161,290</w:t>
            </w:r>
          </w:p>
        </w:tc>
      </w:tr>
      <w:tr w:rsidR="00FA4AA8" w14:paraId="095F6E08" w14:textId="77777777">
        <w:trPr>
          <w:trHeight w:val="320"/>
        </w:trPr>
        <w:tc>
          <w:tcPr>
            <w:tcW w:w="297" w:type="dxa"/>
          </w:tcPr>
          <w:p w14:paraId="385CF72B" w14:textId="77777777" w:rsidR="00FA4AA8" w:rsidRDefault="00FA4AA8">
            <w:pPr>
              <w:pStyle w:val="TableParagraph"/>
              <w:rPr>
                <w:rFonts w:ascii="Times New Roman"/>
                <w:sz w:val="18"/>
              </w:rPr>
            </w:pPr>
          </w:p>
        </w:tc>
        <w:tc>
          <w:tcPr>
            <w:tcW w:w="7073" w:type="dxa"/>
          </w:tcPr>
          <w:p w14:paraId="6182F573" w14:textId="77777777" w:rsidR="00FA4AA8" w:rsidRDefault="0015611F">
            <w:pPr>
              <w:pStyle w:val="TableParagraph"/>
              <w:spacing w:before="115" w:line="185" w:lineRule="exact"/>
              <w:ind w:left="172"/>
              <w:rPr>
                <w:b/>
                <w:sz w:val="18"/>
              </w:rPr>
            </w:pPr>
            <w:r>
              <w:rPr>
                <w:b/>
                <w:sz w:val="18"/>
              </w:rPr>
              <w:t>Total prepayments</w:t>
            </w:r>
          </w:p>
        </w:tc>
        <w:tc>
          <w:tcPr>
            <w:tcW w:w="1470" w:type="dxa"/>
            <w:tcBorders>
              <w:top w:val="single" w:sz="8" w:space="0" w:color="000000"/>
              <w:bottom w:val="double" w:sz="2" w:space="0" w:color="000000"/>
            </w:tcBorders>
          </w:tcPr>
          <w:p w14:paraId="780F2BE5" w14:textId="77777777" w:rsidR="00FA4AA8" w:rsidRDefault="0015611F">
            <w:pPr>
              <w:pStyle w:val="TableParagraph"/>
              <w:spacing w:before="115" w:line="185" w:lineRule="exact"/>
              <w:ind w:right="258"/>
              <w:jc w:val="right"/>
              <w:rPr>
                <w:b/>
                <w:sz w:val="18"/>
              </w:rPr>
            </w:pPr>
            <w:r>
              <w:rPr>
                <w:b/>
                <w:sz w:val="18"/>
              </w:rPr>
              <w:t>24,747</w:t>
            </w:r>
          </w:p>
        </w:tc>
        <w:tc>
          <w:tcPr>
            <w:tcW w:w="1122" w:type="dxa"/>
            <w:tcBorders>
              <w:top w:val="single" w:sz="8" w:space="0" w:color="000000"/>
              <w:bottom w:val="double" w:sz="2" w:space="0" w:color="000000"/>
            </w:tcBorders>
          </w:tcPr>
          <w:p w14:paraId="7913D857" w14:textId="77777777" w:rsidR="00FA4AA8" w:rsidRDefault="0015611F">
            <w:pPr>
              <w:pStyle w:val="TableParagraph"/>
              <w:spacing w:before="115" w:line="185" w:lineRule="exact"/>
              <w:ind w:right="84"/>
              <w:jc w:val="right"/>
              <w:rPr>
                <w:sz w:val="18"/>
              </w:rPr>
            </w:pPr>
            <w:r>
              <w:rPr>
                <w:sz w:val="18"/>
              </w:rPr>
              <w:t>173,396</w:t>
            </w:r>
          </w:p>
        </w:tc>
      </w:tr>
    </w:tbl>
    <w:p w14:paraId="2D0CD617" w14:textId="77777777" w:rsidR="00FA4AA8" w:rsidRDefault="00FA4AA8">
      <w:pPr>
        <w:spacing w:line="185" w:lineRule="exact"/>
        <w:jc w:val="right"/>
        <w:rPr>
          <w:sz w:val="18"/>
        </w:rPr>
        <w:sectPr w:rsidR="00FA4AA8">
          <w:pgSz w:w="11910" w:h="16840"/>
          <w:pgMar w:top="1660" w:right="880" w:bottom="720" w:left="840" w:header="1016" w:footer="523" w:gutter="0"/>
          <w:cols w:space="720"/>
        </w:sectPr>
      </w:pPr>
    </w:p>
    <w:p w14:paraId="607DF823" w14:textId="77777777" w:rsidR="00FA4AA8" w:rsidRDefault="0015611F">
      <w:pPr>
        <w:spacing w:before="143"/>
        <w:ind w:left="167"/>
        <w:rPr>
          <w:b/>
          <w:sz w:val="24"/>
        </w:rPr>
      </w:pPr>
      <w:bookmarkStart w:id="197" w:name="7_Property,_plant_and_equipment_"/>
      <w:bookmarkEnd w:id="197"/>
      <w:r>
        <w:rPr>
          <w:b/>
          <w:sz w:val="24"/>
        </w:rPr>
        <w:t>Notes to the Financial Statements</w:t>
      </w:r>
    </w:p>
    <w:p w14:paraId="5BA53101" w14:textId="77777777" w:rsidR="00FA4AA8" w:rsidRDefault="0015611F">
      <w:pPr>
        <w:spacing w:before="54"/>
        <w:ind w:left="167"/>
        <w:rPr>
          <w:b/>
        </w:rPr>
      </w:pPr>
      <w:r>
        <w:rPr>
          <w:b/>
        </w:rPr>
        <w:t>For the year ended 31 December</w:t>
      </w:r>
      <w:r>
        <w:rPr>
          <w:b/>
          <w:spacing w:val="-13"/>
        </w:rPr>
        <w:t xml:space="preserve"> </w:t>
      </w:r>
      <w:r>
        <w:rPr>
          <w:b/>
        </w:rPr>
        <w:t>2018</w:t>
      </w:r>
    </w:p>
    <w:p w14:paraId="6B55C87B" w14:textId="77777777" w:rsidR="00FA4AA8" w:rsidRDefault="00FA4AA8">
      <w:pPr>
        <w:pStyle w:val="BodyText"/>
        <w:spacing w:before="7"/>
        <w:rPr>
          <w:b/>
          <w:sz w:val="25"/>
        </w:rPr>
      </w:pPr>
    </w:p>
    <w:tbl>
      <w:tblPr>
        <w:tblW w:w="0" w:type="auto"/>
        <w:tblInd w:w="127" w:type="dxa"/>
        <w:tblLayout w:type="fixed"/>
        <w:tblCellMar>
          <w:left w:w="0" w:type="dxa"/>
          <w:right w:w="0" w:type="dxa"/>
        </w:tblCellMar>
        <w:tblLook w:val="01E0" w:firstRow="1" w:lastRow="1" w:firstColumn="1" w:lastColumn="1" w:noHBand="0" w:noVBand="0"/>
      </w:tblPr>
      <w:tblGrid>
        <w:gridCol w:w="7200"/>
        <w:gridCol w:w="1670"/>
        <w:gridCol w:w="1093"/>
      </w:tblGrid>
      <w:tr w:rsidR="00FA4AA8" w14:paraId="667063D3" w14:textId="77777777">
        <w:trPr>
          <w:trHeight w:val="683"/>
        </w:trPr>
        <w:tc>
          <w:tcPr>
            <w:tcW w:w="7200" w:type="dxa"/>
          </w:tcPr>
          <w:p w14:paraId="54F8FDB6" w14:textId="77777777" w:rsidR="00FA4AA8" w:rsidRDefault="0015611F">
            <w:pPr>
              <w:pStyle w:val="TableParagraph"/>
              <w:tabs>
                <w:tab w:val="left" w:pos="393"/>
              </w:tabs>
              <w:spacing w:line="201" w:lineRule="exact"/>
              <w:ind w:right="4152"/>
              <w:jc w:val="right"/>
              <w:rPr>
                <w:b/>
                <w:sz w:val="18"/>
              </w:rPr>
            </w:pPr>
            <w:r>
              <w:rPr>
                <w:b/>
                <w:sz w:val="18"/>
              </w:rPr>
              <w:t>7</w:t>
            </w:r>
            <w:r>
              <w:rPr>
                <w:b/>
                <w:sz w:val="18"/>
              </w:rPr>
              <w:tab/>
              <w:t>Property, plant and</w:t>
            </w:r>
            <w:r>
              <w:rPr>
                <w:b/>
                <w:spacing w:val="-7"/>
                <w:sz w:val="18"/>
              </w:rPr>
              <w:t xml:space="preserve"> </w:t>
            </w:r>
            <w:r>
              <w:rPr>
                <w:b/>
                <w:sz w:val="18"/>
              </w:rPr>
              <w:t>equipment</w:t>
            </w:r>
          </w:p>
        </w:tc>
        <w:tc>
          <w:tcPr>
            <w:tcW w:w="1670" w:type="dxa"/>
          </w:tcPr>
          <w:p w14:paraId="6F29FFAA" w14:textId="77777777" w:rsidR="00FA4AA8" w:rsidRDefault="00FA4AA8">
            <w:pPr>
              <w:pStyle w:val="TableParagraph"/>
              <w:spacing w:before="4"/>
              <w:rPr>
                <w:b/>
                <w:sz w:val="20"/>
              </w:rPr>
            </w:pPr>
          </w:p>
          <w:p w14:paraId="394200B7" w14:textId="77777777" w:rsidR="00FA4AA8" w:rsidRDefault="0015611F">
            <w:pPr>
              <w:pStyle w:val="TableParagraph"/>
              <w:ind w:left="366" w:right="235" w:hanging="281"/>
              <w:rPr>
                <w:b/>
                <w:sz w:val="18"/>
              </w:rPr>
            </w:pPr>
            <w:r>
              <w:rPr>
                <w:b/>
                <w:sz w:val="18"/>
              </w:rPr>
              <w:t>Construction in progress</w:t>
            </w:r>
          </w:p>
        </w:tc>
        <w:tc>
          <w:tcPr>
            <w:tcW w:w="1093" w:type="dxa"/>
          </w:tcPr>
          <w:p w14:paraId="34222BF2" w14:textId="77777777" w:rsidR="00FA4AA8" w:rsidRDefault="00FA4AA8">
            <w:pPr>
              <w:pStyle w:val="TableParagraph"/>
              <w:rPr>
                <w:b/>
                <w:sz w:val="20"/>
              </w:rPr>
            </w:pPr>
          </w:p>
          <w:p w14:paraId="1DFCB6FC" w14:textId="77777777" w:rsidR="00FA4AA8" w:rsidRDefault="00FA4AA8">
            <w:pPr>
              <w:pStyle w:val="TableParagraph"/>
              <w:spacing w:before="3"/>
              <w:rPr>
                <w:b/>
                <w:sz w:val="18"/>
              </w:rPr>
            </w:pPr>
          </w:p>
          <w:p w14:paraId="0304B3BF" w14:textId="77777777" w:rsidR="00FA4AA8" w:rsidRDefault="0015611F">
            <w:pPr>
              <w:pStyle w:val="TableParagraph"/>
              <w:ind w:left="249"/>
              <w:rPr>
                <w:b/>
                <w:sz w:val="18"/>
              </w:rPr>
            </w:pPr>
            <w:r>
              <w:rPr>
                <w:b/>
                <w:sz w:val="18"/>
              </w:rPr>
              <w:t>Total</w:t>
            </w:r>
          </w:p>
        </w:tc>
      </w:tr>
      <w:tr w:rsidR="00FA4AA8" w14:paraId="0856831A" w14:textId="77777777">
        <w:trPr>
          <w:trHeight w:val="313"/>
        </w:trPr>
        <w:tc>
          <w:tcPr>
            <w:tcW w:w="7200" w:type="dxa"/>
          </w:tcPr>
          <w:p w14:paraId="00B293C3" w14:textId="77777777" w:rsidR="00FA4AA8" w:rsidRDefault="00FA4AA8">
            <w:pPr>
              <w:pStyle w:val="TableParagraph"/>
              <w:rPr>
                <w:rFonts w:ascii="Times New Roman"/>
                <w:sz w:val="18"/>
              </w:rPr>
            </w:pPr>
          </w:p>
        </w:tc>
        <w:tc>
          <w:tcPr>
            <w:tcW w:w="1670" w:type="dxa"/>
          </w:tcPr>
          <w:p w14:paraId="5DDB5EDA" w14:textId="77777777" w:rsidR="00FA4AA8" w:rsidRDefault="0015611F">
            <w:pPr>
              <w:pStyle w:val="TableParagraph"/>
              <w:spacing w:before="30"/>
              <w:ind w:right="162"/>
              <w:jc w:val="center"/>
              <w:rPr>
                <w:b/>
                <w:sz w:val="18"/>
              </w:rPr>
            </w:pPr>
            <w:r>
              <w:rPr>
                <w:b/>
                <w:sz w:val="18"/>
              </w:rPr>
              <w:t>$</w:t>
            </w:r>
          </w:p>
        </w:tc>
        <w:tc>
          <w:tcPr>
            <w:tcW w:w="1093" w:type="dxa"/>
          </w:tcPr>
          <w:p w14:paraId="43D2C82F" w14:textId="77777777" w:rsidR="00FA4AA8" w:rsidRDefault="0015611F">
            <w:pPr>
              <w:pStyle w:val="TableParagraph"/>
              <w:spacing w:before="30"/>
              <w:ind w:right="160"/>
              <w:jc w:val="center"/>
              <w:rPr>
                <w:b/>
                <w:sz w:val="18"/>
              </w:rPr>
            </w:pPr>
            <w:r>
              <w:rPr>
                <w:b/>
                <w:sz w:val="18"/>
              </w:rPr>
              <w:t>$</w:t>
            </w:r>
          </w:p>
        </w:tc>
      </w:tr>
      <w:tr w:rsidR="00FA4AA8" w14:paraId="5FA70A23" w14:textId="77777777">
        <w:trPr>
          <w:trHeight w:val="294"/>
        </w:trPr>
        <w:tc>
          <w:tcPr>
            <w:tcW w:w="7200" w:type="dxa"/>
          </w:tcPr>
          <w:p w14:paraId="79F02F9E" w14:textId="77777777" w:rsidR="00FA4AA8" w:rsidRDefault="0015611F">
            <w:pPr>
              <w:pStyle w:val="TableParagraph"/>
              <w:spacing w:before="70" w:line="204" w:lineRule="exact"/>
              <w:ind w:left="486"/>
              <w:rPr>
                <w:b/>
                <w:sz w:val="18"/>
              </w:rPr>
            </w:pPr>
            <w:r>
              <w:rPr>
                <w:b/>
                <w:sz w:val="18"/>
              </w:rPr>
              <w:t>At 1 January 2018</w:t>
            </w:r>
          </w:p>
        </w:tc>
        <w:tc>
          <w:tcPr>
            <w:tcW w:w="1670" w:type="dxa"/>
          </w:tcPr>
          <w:p w14:paraId="0E5FC2ED" w14:textId="77777777" w:rsidR="00FA4AA8" w:rsidRDefault="00FA4AA8">
            <w:pPr>
              <w:pStyle w:val="TableParagraph"/>
              <w:rPr>
                <w:rFonts w:ascii="Times New Roman"/>
                <w:sz w:val="18"/>
              </w:rPr>
            </w:pPr>
          </w:p>
        </w:tc>
        <w:tc>
          <w:tcPr>
            <w:tcW w:w="1093" w:type="dxa"/>
          </w:tcPr>
          <w:p w14:paraId="0AC5C1C3" w14:textId="77777777" w:rsidR="00FA4AA8" w:rsidRDefault="00FA4AA8">
            <w:pPr>
              <w:pStyle w:val="TableParagraph"/>
              <w:rPr>
                <w:rFonts w:ascii="Times New Roman"/>
                <w:sz w:val="18"/>
              </w:rPr>
            </w:pPr>
          </w:p>
        </w:tc>
      </w:tr>
      <w:tr w:rsidR="00FA4AA8" w14:paraId="1FFBC1E3" w14:textId="77777777">
        <w:trPr>
          <w:trHeight w:val="250"/>
        </w:trPr>
        <w:tc>
          <w:tcPr>
            <w:tcW w:w="7200" w:type="dxa"/>
          </w:tcPr>
          <w:p w14:paraId="263CD8AD" w14:textId="77777777" w:rsidR="00FA4AA8" w:rsidRDefault="0015611F">
            <w:pPr>
              <w:pStyle w:val="TableParagraph"/>
              <w:spacing w:before="13"/>
              <w:ind w:left="486"/>
              <w:rPr>
                <w:sz w:val="18"/>
              </w:rPr>
            </w:pPr>
            <w:r>
              <w:rPr>
                <w:sz w:val="18"/>
              </w:rPr>
              <w:t>Cost</w:t>
            </w:r>
          </w:p>
        </w:tc>
        <w:tc>
          <w:tcPr>
            <w:tcW w:w="1670" w:type="dxa"/>
          </w:tcPr>
          <w:p w14:paraId="07513746" w14:textId="77777777" w:rsidR="00FA4AA8" w:rsidRDefault="0015611F">
            <w:pPr>
              <w:pStyle w:val="TableParagraph"/>
              <w:spacing w:before="11"/>
              <w:ind w:right="290"/>
              <w:jc w:val="right"/>
              <w:rPr>
                <w:sz w:val="18"/>
              </w:rPr>
            </w:pPr>
            <w:r>
              <w:rPr>
                <w:sz w:val="18"/>
              </w:rPr>
              <w:t>-</w:t>
            </w:r>
          </w:p>
        </w:tc>
        <w:tc>
          <w:tcPr>
            <w:tcW w:w="1093" w:type="dxa"/>
          </w:tcPr>
          <w:p w14:paraId="51C22469" w14:textId="77777777" w:rsidR="00FA4AA8" w:rsidRDefault="0015611F">
            <w:pPr>
              <w:pStyle w:val="TableParagraph"/>
              <w:spacing w:before="11"/>
              <w:ind w:right="87"/>
              <w:jc w:val="right"/>
              <w:rPr>
                <w:sz w:val="18"/>
              </w:rPr>
            </w:pPr>
            <w:r>
              <w:rPr>
                <w:sz w:val="18"/>
              </w:rPr>
              <w:t>-</w:t>
            </w:r>
          </w:p>
        </w:tc>
      </w:tr>
      <w:tr w:rsidR="00FA4AA8" w14:paraId="1E1AD825" w14:textId="77777777">
        <w:trPr>
          <w:trHeight w:val="256"/>
        </w:trPr>
        <w:tc>
          <w:tcPr>
            <w:tcW w:w="7200" w:type="dxa"/>
          </w:tcPr>
          <w:p w14:paraId="1849F0F7" w14:textId="77777777" w:rsidR="00FA4AA8" w:rsidRDefault="0015611F">
            <w:pPr>
              <w:pStyle w:val="TableParagraph"/>
              <w:spacing w:before="26"/>
              <w:ind w:left="486"/>
              <w:rPr>
                <w:sz w:val="18"/>
              </w:rPr>
            </w:pPr>
            <w:r>
              <w:rPr>
                <w:sz w:val="18"/>
              </w:rPr>
              <w:t>Accumulated depreciation</w:t>
            </w:r>
          </w:p>
        </w:tc>
        <w:tc>
          <w:tcPr>
            <w:tcW w:w="1670" w:type="dxa"/>
            <w:tcBorders>
              <w:bottom w:val="single" w:sz="8" w:space="0" w:color="000000"/>
            </w:tcBorders>
          </w:tcPr>
          <w:p w14:paraId="67AE02DA" w14:textId="77777777" w:rsidR="00FA4AA8" w:rsidRDefault="0015611F">
            <w:pPr>
              <w:pStyle w:val="TableParagraph"/>
              <w:spacing w:before="24"/>
              <w:ind w:right="290"/>
              <w:jc w:val="right"/>
              <w:rPr>
                <w:sz w:val="18"/>
              </w:rPr>
            </w:pPr>
            <w:r>
              <w:rPr>
                <w:sz w:val="18"/>
              </w:rPr>
              <w:t>-</w:t>
            </w:r>
          </w:p>
        </w:tc>
        <w:tc>
          <w:tcPr>
            <w:tcW w:w="1093" w:type="dxa"/>
            <w:tcBorders>
              <w:bottom w:val="single" w:sz="8" w:space="0" w:color="000000"/>
            </w:tcBorders>
          </w:tcPr>
          <w:p w14:paraId="19B05E35" w14:textId="77777777" w:rsidR="00FA4AA8" w:rsidRDefault="0015611F">
            <w:pPr>
              <w:pStyle w:val="TableParagraph"/>
              <w:spacing w:before="24"/>
              <w:ind w:right="87"/>
              <w:jc w:val="right"/>
              <w:rPr>
                <w:sz w:val="18"/>
              </w:rPr>
            </w:pPr>
            <w:r>
              <w:rPr>
                <w:sz w:val="18"/>
              </w:rPr>
              <w:t>-</w:t>
            </w:r>
          </w:p>
        </w:tc>
      </w:tr>
      <w:tr w:rsidR="00FA4AA8" w14:paraId="5B1BA56A" w14:textId="77777777">
        <w:trPr>
          <w:trHeight w:val="263"/>
        </w:trPr>
        <w:tc>
          <w:tcPr>
            <w:tcW w:w="7200" w:type="dxa"/>
          </w:tcPr>
          <w:p w14:paraId="06E2C276" w14:textId="77777777" w:rsidR="00FA4AA8" w:rsidRDefault="0015611F">
            <w:pPr>
              <w:pStyle w:val="TableParagraph"/>
              <w:spacing w:before="33"/>
              <w:ind w:left="486"/>
              <w:rPr>
                <w:sz w:val="18"/>
              </w:rPr>
            </w:pPr>
            <w:r>
              <w:rPr>
                <w:sz w:val="18"/>
              </w:rPr>
              <w:t>Net book amount</w:t>
            </w:r>
          </w:p>
        </w:tc>
        <w:tc>
          <w:tcPr>
            <w:tcW w:w="1670" w:type="dxa"/>
            <w:tcBorders>
              <w:top w:val="single" w:sz="8" w:space="0" w:color="000000"/>
              <w:bottom w:val="single" w:sz="8" w:space="0" w:color="000000"/>
            </w:tcBorders>
          </w:tcPr>
          <w:p w14:paraId="444AD320" w14:textId="77777777" w:rsidR="00FA4AA8" w:rsidRDefault="0015611F">
            <w:pPr>
              <w:pStyle w:val="TableParagraph"/>
              <w:spacing w:before="31"/>
              <w:ind w:right="290"/>
              <w:jc w:val="right"/>
              <w:rPr>
                <w:sz w:val="18"/>
              </w:rPr>
            </w:pPr>
            <w:r>
              <w:rPr>
                <w:sz w:val="18"/>
              </w:rPr>
              <w:t>-</w:t>
            </w:r>
          </w:p>
        </w:tc>
        <w:tc>
          <w:tcPr>
            <w:tcW w:w="1093" w:type="dxa"/>
            <w:tcBorders>
              <w:top w:val="single" w:sz="8" w:space="0" w:color="000000"/>
              <w:bottom w:val="single" w:sz="8" w:space="0" w:color="000000"/>
            </w:tcBorders>
          </w:tcPr>
          <w:p w14:paraId="05925D8D" w14:textId="77777777" w:rsidR="00FA4AA8" w:rsidRDefault="0015611F">
            <w:pPr>
              <w:pStyle w:val="TableParagraph"/>
              <w:spacing w:before="31"/>
              <w:ind w:right="87"/>
              <w:jc w:val="right"/>
              <w:rPr>
                <w:sz w:val="18"/>
              </w:rPr>
            </w:pPr>
            <w:r>
              <w:rPr>
                <w:sz w:val="18"/>
              </w:rPr>
              <w:t>-</w:t>
            </w:r>
          </w:p>
        </w:tc>
      </w:tr>
      <w:tr w:rsidR="00FA4AA8" w14:paraId="20E9B9D8" w14:textId="77777777">
        <w:trPr>
          <w:trHeight w:val="339"/>
        </w:trPr>
        <w:tc>
          <w:tcPr>
            <w:tcW w:w="7200" w:type="dxa"/>
          </w:tcPr>
          <w:p w14:paraId="4EA5C061" w14:textId="77777777" w:rsidR="00FA4AA8" w:rsidRDefault="0015611F">
            <w:pPr>
              <w:pStyle w:val="TableParagraph"/>
              <w:spacing w:before="115" w:line="204" w:lineRule="exact"/>
              <w:ind w:right="4108"/>
              <w:jc w:val="right"/>
              <w:rPr>
                <w:b/>
                <w:sz w:val="18"/>
              </w:rPr>
            </w:pPr>
            <w:r>
              <w:rPr>
                <w:b/>
                <w:sz w:val="18"/>
              </w:rPr>
              <w:t>Year ended 31 December 2018</w:t>
            </w:r>
          </w:p>
        </w:tc>
        <w:tc>
          <w:tcPr>
            <w:tcW w:w="1670" w:type="dxa"/>
            <w:tcBorders>
              <w:top w:val="single" w:sz="8" w:space="0" w:color="000000"/>
            </w:tcBorders>
          </w:tcPr>
          <w:p w14:paraId="47D22028" w14:textId="77777777" w:rsidR="00FA4AA8" w:rsidRDefault="00FA4AA8">
            <w:pPr>
              <w:pStyle w:val="TableParagraph"/>
              <w:rPr>
                <w:rFonts w:ascii="Times New Roman"/>
                <w:sz w:val="18"/>
              </w:rPr>
            </w:pPr>
          </w:p>
        </w:tc>
        <w:tc>
          <w:tcPr>
            <w:tcW w:w="1093" w:type="dxa"/>
            <w:tcBorders>
              <w:top w:val="single" w:sz="8" w:space="0" w:color="000000"/>
            </w:tcBorders>
          </w:tcPr>
          <w:p w14:paraId="63286CFB" w14:textId="77777777" w:rsidR="00FA4AA8" w:rsidRDefault="00FA4AA8">
            <w:pPr>
              <w:pStyle w:val="TableParagraph"/>
              <w:rPr>
                <w:rFonts w:ascii="Times New Roman"/>
                <w:sz w:val="18"/>
              </w:rPr>
            </w:pPr>
          </w:p>
        </w:tc>
      </w:tr>
      <w:tr w:rsidR="00FA4AA8" w14:paraId="55136F2D" w14:textId="77777777">
        <w:trPr>
          <w:trHeight w:val="250"/>
        </w:trPr>
        <w:tc>
          <w:tcPr>
            <w:tcW w:w="7200" w:type="dxa"/>
          </w:tcPr>
          <w:p w14:paraId="418B5315" w14:textId="77777777" w:rsidR="00FA4AA8" w:rsidRDefault="0015611F">
            <w:pPr>
              <w:pStyle w:val="TableParagraph"/>
              <w:spacing w:before="13"/>
              <w:ind w:left="486"/>
              <w:rPr>
                <w:sz w:val="18"/>
              </w:rPr>
            </w:pPr>
            <w:r>
              <w:rPr>
                <w:sz w:val="18"/>
              </w:rPr>
              <w:t>Opening net book value</w:t>
            </w:r>
          </w:p>
        </w:tc>
        <w:tc>
          <w:tcPr>
            <w:tcW w:w="1670" w:type="dxa"/>
          </w:tcPr>
          <w:p w14:paraId="18FF2EA3" w14:textId="77777777" w:rsidR="00FA4AA8" w:rsidRDefault="0015611F">
            <w:pPr>
              <w:pStyle w:val="TableParagraph"/>
              <w:spacing w:before="11"/>
              <w:ind w:right="290"/>
              <w:jc w:val="right"/>
              <w:rPr>
                <w:sz w:val="18"/>
              </w:rPr>
            </w:pPr>
            <w:r>
              <w:rPr>
                <w:sz w:val="18"/>
              </w:rPr>
              <w:t>-</w:t>
            </w:r>
          </w:p>
        </w:tc>
        <w:tc>
          <w:tcPr>
            <w:tcW w:w="1093" w:type="dxa"/>
          </w:tcPr>
          <w:p w14:paraId="10ACED2C" w14:textId="77777777" w:rsidR="00FA4AA8" w:rsidRDefault="0015611F">
            <w:pPr>
              <w:pStyle w:val="TableParagraph"/>
              <w:spacing w:before="11"/>
              <w:ind w:right="87"/>
              <w:jc w:val="right"/>
              <w:rPr>
                <w:sz w:val="18"/>
              </w:rPr>
            </w:pPr>
            <w:r>
              <w:rPr>
                <w:sz w:val="18"/>
              </w:rPr>
              <w:t>-</w:t>
            </w:r>
          </w:p>
        </w:tc>
      </w:tr>
      <w:tr w:rsidR="00FA4AA8" w14:paraId="702D1ACC" w14:textId="77777777">
        <w:trPr>
          <w:trHeight w:val="256"/>
        </w:trPr>
        <w:tc>
          <w:tcPr>
            <w:tcW w:w="7200" w:type="dxa"/>
          </w:tcPr>
          <w:p w14:paraId="659CE20B" w14:textId="77777777" w:rsidR="00FA4AA8" w:rsidRDefault="0015611F">
            <w:pPr>
              <w:pStyle w:val="TableParagraph"/>
              <w:spacing w:before="26"/>
              <w:ind w:left="486"/>
              <w:rPr>
                <w:sz w:val="18"/>
              </w:rPr>
            </w:pPr>
            <w:r>
              <w:rPr>
                <w:sz w:val="18"/>
              </w:rPr>
              <w:t>Additions</w:t>
            </w:r>
          </w:p>
        </w:tc>
        <w:tc>
          <w:tcPr>
            <w:tcW w:w="1670" w:type="dxa"/>
            <w:tcBorders>
              <w:bottom w:val="single" w:sz="8" w:space="0" w:color="000000"/>
            </w:tcBorders>
          </w:tcPr>
          <w:p w14:paraId="4E98B1E3" w14:textId="77777777" w:rsidR="00FA4AA8" w:rsidRDefault="0015611F">
            <w:pPr>
              <w:pStyle w:val="TableParagraph"/>
              <w:spacing w:before="24"/>
              <w:ind w:right="291"/>
              <w:jc w:val="right"/>
              <w:rPr>
                <w:sz w:val="18"/>
              </w:rPr>
            </w:pPr>
            <w:r>
              <w:rPr>
                <w:sz w:val="18"/>
              </w:rPr>
              <w:t>210,740</w:t>
            </w:r>
          </w:p>
        </w:tc>
        <w:tc>
          <w:tcPr>
            <w:tcW w:w="1093" w:type="dxa"/>
            <w:tcBorders>
              <w:bottom w:val="single" w:sz="8" w:space="0" w:color="000000"/>
            </w:tcBorders>
          </w:tcPr>
          <w:p w14:paraId="52ED2EE6" w14:textId="77777777" w:rsidR="00FA4AA8" w:rsidRDefault="0015611F">
            <w:pPr>
              <w:pStyle w:val="TableParagraph"/>
              <w:spacing w:before="24"/>
              <w:ind w:right="88"/>
              <w:jc w:val="right"/>
              <w:rPr>
                <w:sz w:val="18"/>
              </w:rPr>
            </w:pPr>
            <w:r>
              <w:rPr>
                <w:sz w:val="18"/>
              </w:rPr>
              <w:t>210,740</w:t>
            </w:r>
          </w:p>
        </w:tc>
      </w:tr>
      <w:tr w:rsidR="00FA4AA8" w14:paraId="0D31499E" w14:textId="77777777">
        <w:trPr>
          <w:trHeight w:val="318"/>
        </w:trPr>
        <w:tc>
          <w:tcPr>
            <w:tcW w:w="7200" w:type="dxa"/>
          </w:tcPr>
          <w:p w14:paraId="0D69FDDF" w14:textId="77777777" w:rsidR="00FA4AA8" w:rsidRDefault="0015611F">
            <w:pPr>
              <w:pStyle w:val="TableParagraph"/>
              <w:spacing w:before="115" w:line="183" w:lineRule="exact"/>
              <w:ind w:left="486"/>
              <w:rPr>
                <w:b/>
                <w:sz w:val="18"/>
              </w:rPr>
            </w:pPr>
            <w:r>
              <w:rPr>
                <w:b/>
                <w:sz w:val="18"/>
              </w:rPr>
              <w:t>Closing net book amount</w:t>
            </w:r>
          </w:p>
        </w:tc>
        <w:tc>
          <w:tcPr>
            <w:tcW w:w="1670" w:type="dxa"/>
            <w:tcBorders>
              <w:top w:val="single" w:sz="8" w:space="0" w:color="000000"/>
              <w:bottom w:val="single" w:sz="8" w:space="0" w:color="000000"/>
            </w:tcBorders>
          </w:tcPr>
          <w:p w14:paraId="363D0DEF" w14:textId="77777777" w:rsidR="00FA4AA8" w:rsidRDefault="0015611F">
            <w:pPr>
              <w:pStyle w:val="TableParagraph"/>
              <w:spacing w:before="115" w:line="183" w:lineRule="exact"/>
              <w:ind w:right="290"/>
              <w:jc w:val="right"/>
              <w:rPr>
                <w:sz w:val="18"/>
              </w:rPr>
            </w:pPr>
            <w:r>
              <w:rPr>
                <w:sz w:val="18"/>
              </w:rPr>
              <w:t>-</w:t>
            </w:r>
          </w:p>
        </w:tc>
        <w:tc>
          <w:tcPr>
            <w:tcW w:w="1093" w:type="dxa"/>
            <w:tcBorders>
              <w:top w:val="single" w:sz="8" w:space="0" w:color="000000"/>
              <w:bottom w:val="single" w:sz="8" w:space="0" w:color="000000"/>
            </w:tcBorders>
          </w:tcPr>
          <w:p w14:paraId="5F4C4CF5" w14:textId="77777777" w:rsidR="00FA4AA8" w:rsidRDefault="0015611F">
            <w:pPr>
              <w:pStyle w:val="TableParagraph"/>
              <w:spacing w:before="115" w:line="183" w:lineRule="exact"/>
              <w:ind w:right="88"/>
              <w:jc w:val="right"/>
              <w:rPr>
                <w:sz w:val="18"/>
              </w:rPr>
            </w:pPr>
            <w:r>
              <w:rPr>
                <w:sz w:val="18"/>
              </w:rPr>
              <w:t>210,740</w:t>
            </w:r>
          </w:p>
        </w:tc>
      </w:tr>
      <w:tr w:rsidR="00FA4AA8" w14:paraId="66C7E0BC" w14:textId="77777777">
        <w:trPr>
          <w:trHeight w:val="339"/>
        </w:trPr>
        <w:tc>
          <w:tcPr>
            <w:tcW w:w="7200" w:type="dxa"/>
          </w:tcPr>
          <w:p w14:paraId="36E1FA7B" w14:textId="77777777" w:rsidR="00FA4AA8" w:rsidRDefault="0015611F">
            <w:pPr>
              <w:pStyle w:val="TableParagraph"/>
              <w:spacing w:before="115" w:line="204" w:lineRule="exact"/>
              <w:ind w:left="486"/>
              <w:rPr>
                <w:b/>
                <w:sz w:val="18"/>
              </w:rPr>
            </w:pPr>
            <w:r>
              <w:rPr>
                <w:b/>
                <w:sz w:val="18"/>
              </w:rPr>
              <w:t>At 31 December 2018</w:t>
            </w:r>
          </w:p>
        </w:tc>
        <w:tc>
          <w:tcPr>
            <w:tcW w:w="1670" w:type="dxa"/>
            <w:tcBorders>
              <w:top w:val="single" w:sz="8" w:space="0" w:color="000000"/>
            </w:tcBorders>
          </w:tcPr>
          <w:p w14:paraId="1653107C" w14:textId="77777777" w:rsidR="00FA4AA8" w:rsidRDefault="00FA4AA8">
            <w:pPr>
              <w:pStyle w:val="TableParagraph"/>
              <w:rPr>
                <w:rFonts w:ascii="Times New Roman"/>
                <w:sz w:val="18"/>
              </w:rPr>
            </w:pPr>
          </w:p>
        </w:tc>
        <w:tc>
          <w:tcPr>
            <w:tcW w:w="1093" w:type="dxa"/>
            <w:tcBorders>
              <w:top w:val="single" w:sz="8" w:space="0" w:color="000000"/>
            </w:tcBorders>
          </w:tcPr>
          <w:p w14:paraId="0BAC29AF" w14:textId="77777777" w:rsidR="00FA4AA8" w:rsidRDefault="00FA4AA8">
            <w:pPr>
              <w:pStyle w:val="TableParagraph"/>
              <w:rPr>
                <w:rFonts w:ascii="Times New Roman"/>
                <w:sz w:val="18"/>
              </w:rPr>
            </w:pPr>
          </w:p>
        </w:tc>
      </w:tr>
      <w:tr w:rsidR="00FA4AA8" w14:paraId="023EEAA3" w14:textId="77777777">
        <w:trPr>
          <w:trHeight w:val="250"/>
        </w:trPr>
        <w:tc>
          <w:tcPr>
            <w:tcW w:w="7200" w:type="dxa"/>
          </w:tcPr>
          <w:p w14:paraId="1D05750D" w14:textId="77777777" w:rsidR="00FA4AA8" w:rsidRDefault="0015611F">
            <w:pPr>
              <w:pStyle w:val="TableParagraph"/>
              <w:spacing w:before="13"/>
              <w:ind w:left="486"/>
              <w:rPr>
                <w:sz w:val="18"/>
              </w:rPr>
            </w:pPr>
            <w:r>
              <w:rPr>
                <w:sz w:val="18"/>
              </w:rPr>
              <w:t>Cost</w:t>
            </w:r>
          </w:p>
        </w:tc>
        <w:tc>
          <w:tcPr>
            <w:tcW w:w="1670" w:type="dxa"/>
          </w:tcPr>
          <w:p w14:paraId="756824A6" w14:textId="77777777" w:rsidR="00FA4AA8" w:rsidRDefault="0015611F">
            <w:pPr>
              <w:pStyle w:val="TableParagraph"/>
              <w:spacing w:before="11"/>
              <w:ind w:right="291"/>
              <w:jc w:val="right"/>
              <w:rPr>
                <w:sz w:val="18"/>
              </w:rPr>
            </w:pPr>
            <w:r>
              <w:rPr>
                <w:sz w:val="18"/>
              </w:rPr>
              <w:t>210,740</w:t>
            </w:r>
          </w:p>
        </w:tc>
        <w:tc>
          <w:tcPr>
            <w:tcW w:w="1093" w:type="dxa"/>
          </w:tcPr>
          <w:p w14:paraId="3752E599" w14:textId="77777777" w:rsidR="00FA4AA8" w:rsidRDefault="0015611F">
            <w:pPr>
              <w:pStyle w:val="TableParagraph"/>
              <w:spacing w:before="11"/>
              <w:ind w:right="88"/>
              <w:jc w:val="right"/>
              <w:rPr>
                <w:sz w:val="18"/>
              </w:rPr>
            </w:pPr>
            <w:r>
              <w:rPr>
                <w:sz w:val="18"/>
              </w:rPr>
              <w:t>210,740</w:t>
            </w:r>
          </w:p>
        </w:tc>
      </w:tr>
      <w:tr w:rsidR="00FA4AA8" w14:paraId="6F083F45" w14:textId="77777777">
        <w:trPr>
          <w:trHeight w:val="256"/>
        </w:trPr>
        <w:tc>
          <w:tcPr>
            <w:tcW w:w="7200" w:type="dxa"/>
          </w:tcPr>
          <w:p w14:paraId="42BC30B4" w14:textId="77777777" w:rsidR="00FA4AA8" w:rsidRDefault="00A74DE7">
            <w:pPr>
              <w:pStyle w:val="TableParagraph"/>
              <w:spacing w:before="26"/>
              <w:ind w:left="486"/>
              <w:rPr>
                <w:sz w:val="18"/>
              </w:rPr>
            </w:pPr>
            <w:r>
              <w:rPr>
                <w:sz w:val="18"/>
              </w:rPr>
              <w:t>Accumulated</w:t>
            </w:r>
            <w:r w:rsidR="0015611F">
              <w:rPr>
                <w:sz w:val="18"/>
              </w:rPr>
              <w:t xml:space="preserve"> depreciation</w:t>
            </w:r>
          </w:p>
        </w:tc>
        <w:tc>
          <w:tcPr>
            <w:tcW w:w="1670" w:type="dxa"/>
            <w:tcBorders>
              <w:bottom w:val="single" w:sz="8" w:space="0" w:color="000000"/>
            </w:tcBorders>
          </w:tcPr>
          <w:p w14:paraId="48A539CA" w14:textId="77777777" w:rsidR="00FA4AA8" w:rsidRDefault="0015611F">
            <w:pPr>
              <w:pStyle w:val="TableParagraph"/>
              <w:spacing w:before="24"/>
              <w:ind w:right="290"/>
              <w:jc w:val="right"/>
              <w:rPr>
                <w:sz w:val="18"/>
              </w:rPr>
            </w:pPr>
            <w:r>
              <w:rPr>
                <w:sz w:val="18"/>
              </w:rPr>
              <w:t>-</w:t>
            </w:r>
          </w:p>
        </w:tc>
        <w:tc>
          <w:tcPr>
            <w:tcW w:w="1093" w:type="dxa"/>
            <w:tcBorders>
              <w:bottom w:val="single" w:sz="8" w:space="0" w:color="000000"/>
            </w:tcBorders>
          </w:tcPr>
          <w:p w14:paraId="05A6E768" w14:textId="77777777" w:rsidR="00FA4AA8" w:rsidRDefault="0015611F">
            <w:pPr>
              <w:pStyle w:val="TableParagraph"/>
              <w:spacing w:before="24"/>
              <w:ind w:right="87"/>
              <w:jc w:val="right"/>
              <w:rPr>
                <w:sz w:val="18"/>
              </w:rPr>
            </w:pPr>
            <w:r>
              <w:rPr>
                <w:sz w:val="18"/>
              </w:rPr>
              <w:t>-</w:t>
            </w:r>
          </w:p>
        </w:tc>
      </w:tr>
      <w:tr w:rsidR="00FA4AA8" w14:paraId="28EF9BB7" w14:textId="77777777">
        <w:trPr>
          <w:trHeight w:val="320"/>
        </w:trPr>
        <w:tc>
          <w:tcPr>
            <w:tcW w:w="7200" w:type="dxa"/>
          </w:tcPr>
          <w:p w14:paraId="2A7026A4" w14:textId="77777777" w:rsidR="00FA4AA8" w:rsidRDefault="0015611F">
            <w:pPr>
              <w:pStyle w:val="TableParagraph"/>
              <w:spacing w:before="115" w:line="185" w:lineRule="exact"/>
              <w:ind w:left="486"/>
              <w:rPr>
                <w:b/>
                <w:sz w:val="18"/>
              </w:rPr>
            </w:pPr>
            <w:r>
              <w:rPr>
                <w:b/>
                <w:sz w:val="18"/>
              </w:rPr>
              <w:t>Closing net book amount</w:t>
            </w:r>
          </w:p>
        </w:tc>
        <w:tc>
          <w:tcPr>
            <w:tcW w:w="1670" w:type="dxa"/>
            <w:tcBorders>
              <w:top w:val="single" w:sz="8" w:space="0" w:color="000000"/>
              <w:bottom w:val="double" w:sz="2" w:space="0" w:color="000000"/>
            </w:tcBorders>
          </w:tcPr>
          <w:p w14:paraId="2B871CB3" w14:textId="77777777" w:rsidR="00FA4AA8" w:rsidRDefault="0015611F">
            <w:pPr>
              <w:pStyle w:val="TableParagraph"/>
              <w:spacing w:before="115" w:line="185" w:lineRule="exact"/>
              <w:ind w:right="291"/>
              <w:jc w:val="right"/>
              <w:rPr>
                <w:sz w:val="18"/>
              </w:rPr>
            </w:pPr>
            <w:r>
              <w:rPr>
                <w:sz w:val="18"/>
              </w:rPr>
              <w:t>210,740</w:t>
            </w:r>
          </w:p>
        </w:tc>
        <w:tc>
          <w:tcPr>
            <w:tcW w:w="1093" w:type="dxa"/>
            <w:tcBorders>
              <w:top w:val="single" w:sz="8" w:space="0" w:color="000000"/>
              <w:bottom w:val="double" w:sz="2" w:space="0" w:color="000000"/>
            </w:tcBorders>
          </w:tcPr>
          <w:p w14:paraId="7964BE90" w14:textId="77777777" w:rsidR="00FA4AA8" w:rsidRDefault="0015611F">
            <w:pPr>
              <w:pStyle w:val="TableParagraph"/>
              <w:spacing w:before="115" w:line="185" w:lineRule="exact"/>
              <w:ind w:right="88"/>
              <w:jc w:val="right"/>
              <w:rPr>
                <w:sz w:val="18"/>
              </w:rPr>
            </w:pPr>
            <w:r>
              <w:rPr>
                <w:sz w:val="18"/>
              </w:rPr>
              <w:t>210,740</w:t>
            </w:r>
          </w:p>
        </w:tc>
      </w:tr>
    </w:tbl>
    <w:p w14:paraId="0B3589A2" w14:textId="77777777" w:rsidR="00FA4AA8" w:rsidRDefault="0015611F">
      <w:pPr>
        <w:spacing w:before="151"/>
        <w:ind w:left="564"/>
        <w:rPr>
          <w:i/>
          <w:sz w:val="18"/>
        </w:rPr>
      </w:pPr>
      <w:r>
        <w:rPr>
          <w:i/>
          <w:sz w:val="18"/>
          <w:u w:val="single"/>
        </w:rPr>
        <w:t>Accounting Policy</w:t>
      </w:r>
    </w:p>
    <w:p w14:paraId="1FEDD0A3" w14:textId="77777777" w:rsidR="00FA4AA8" w:rsidRDefault="0015611F">
      <w:pPr>
        <w:pStyle w:val="BodyText"/>
        <w:spacing w:before="139"/>
        <w:ind w:left="564" w:right="160"/>
      </w:pPr>
      <w:bookmarkStart w:id="198" w:name="8_Trade_and_other_payables_"/>
      <w:bookmarkEnd w:id="198"/>
      <w:r>
        <w:t xml:space="preserve">Property, plant and equipment are stated at cost less accumulated depreciation. Subsequent costs are included in the asset's carrying amount or recognised as a separate asset, as appropriate, only when it is probable that future economic benefits associated with the item will flow to the Company and the cost of the item can be measured reliably. All other repairs and maintenance are charged to the statement of comprehensive income during the reporting </w:t>
      </w:r>
      <w:r w:rsidR="00A74DE7">
        <w:t>period in</w:t>
      </w:r>
      <w:r>
        <w:t xml:space="preserve"> which they are incurred.</w:t>
      </w:r>
    </w:p>
    <w:p w14:paraId="0169CD51" w14:textId="77777777" w:rsidR="00FA4AA8" w:rsidRDefault="00FA4AA8">
      <w:pPr>
        <w:pStyle w:val="BodyText"/>
        <w:spacing w:before="9"/>
        <w:rPr>
          <w:sz w:val="24"/>
        </w:rPr>
      </w:pPr>
    </w:p>
    <w:p w14:paraId="52F65692" w14:textId="77777777" w:rsidR="00FA4AA8" w:rsidRDefault="0015611F">
      <w:pPr>
        <w:tabs>
          <w:tab w:val="left" w:pos="563"/>
        </w:tabs>
        <w:spacing w:after="39"/>
        <w:ind w:left="167"/>
        <w:rPr>
          <w:b/>
          <w:sz w:val="18"/>
        </w:rPr>
      </w:pPr>
      <w:r>
        <w:rPr>
          <w:b/>
          <w:sz w:val="18"/>
        </w:rPr>
        <w:t>8</w:t>
      </w:r>
      <w:r>
        <w:rPr>
          <w:b/>
          <w:sz w:val="18"/>
        </w:rPr>
        <w:tab/>
        <w:t>Trade and other</w:t>
      </w:r>
      <w:r>
        <w:rPr>
          <w:b/>
          <w:spacing w:val="-10"/>
          <w:sz w:val="18"/>
        </w:rPr>
        <w:t xml:space="preserve"> </w:t>
      </w:r>
      <w:r>
        <w:rPr>
          <w:b/>
          <w:sz w:val="18"/>
        </w:rPr>
        <w:t>payables</w:t>
      </w:r>
    </w:p>
    <w:tbl>
      <w:tblPr>
        <w:tblW w:w="0" w:type="auto"/>
        <w:tblInd w:w="125" w:type="dxa"/>
        <w:tblLayout w:type="fixed"/>
        <w:tblCellMar>
          <w:left w:w="0" w:type="dxa"/>
          <w:right w:w="0" w:type="dxa"/>
        </w:tblCellMar>
        <w:tblLook w:val="01E0" w:firstRow="1" w:lastRow="1" w:firstColumn="1" w:lastColumn="1" w:noHBand="0" w:noVBand="0"/>
      </w:tblPr>
      <w:tblGrid>
        <w:gridCol w:w="298"/>
        <w:gridCol w:w="7069"/>
        <w:gridCol w:w="1479"/>
        <w:gridCol w:w="1112"/>
      </w:tblGrid>
      <w:tr w:rsidR="00FA4AA8" w14:paraId="7ADE1F32" w14:textId="77777777">
        <w:trPr>
          <w:trHeight w:val="550"/>
        </w:trPr>
        <w:tc>
          <w:tcPr>
            <w:tcW w:w="298" w:type="dxa"/>
            <w:vMerge w:val="restart"/>
          </w:tcPr>
          <w:p w14:paraId="4F63F715" w14:textId="77777777" w:rsidR="00FA4AA8" w:rsidRDefault="00FA4AA8">
            <w:pPr>
              <w:pStyle w:val="TableParagraph"/>
              <w:rPr>
                <w:rFonts w:ascii="Times New Roman"/>
                <w:sz w:val="18"/>
              </w:rPr>
            </w:pPr>
          </w:p>
        </w:tc>
        <w:tc>
          <w:tcPr>
            <w:tcW w:w="7069" w:type="dxa"/>
          </w:tcPr>
          <w:p w14:paraId="490AAFFA" w14:textId="77777777" w:rsidR="00FA4AA8" w:rsidRDefault="00FA4AA8">
            <w:pPr>
              <w:pStyle w:val="TableParagraph"/>
              <w:rPr>
                <w:rFonts w:ascii="Times New Roman"/>
                <w:sz w:val="18"/>
              </w:rPr>
            </w:pPr>
          </w:p>
        </w:tc>
        <w:tc>
          <w:tcPr>
            <w:tcW w:w="1479" w:type="dxa"/>
          </w:tcPr>
          <w:p w14:paraId="3A0DF15F" w14:textId="77777777" w:rsidR="00FA4AA8" w:rsidRDefault="0015611F">
            <w:pPr>
              <w:pStyle w:val="TableParagraph"/>
              <w:spacing w:line="201" w:lineRule="exact"/>
              <w:ind w:left="450" w:right="586"/>
              <w:jc w:val="center"/>
              <w:rPr>
                <w:b/>
                <w:sz w:val="18"/>
              </w:rPr>
            </w:pPr>
            <w:r>
              <w:rPr>
                <w:b/>
                <w:sz w:val="18"/>
              </w:rPr>
              <w:t>2018</w:t>
            </w:r>
          </w:p>
          <w:p w14:paraId="43F1A466" w14:textId="77777777" w:rsidR="00FA4AA8" w:rsidRDefault="0015611F">
            <w:pPr>
              <w:pStyle w:val="TableParagraph"/>
              <w:spacing w:before="66"/>
              <w:ind w:right="137"/>
              <w:jc w:val="center"/>
              <w:rPr>
                <w:b/>
                <w:sz w:val="18"/>
              </w:rPr>
            </w:pPr>
            <w:r>
              <w:rPr>
                <w:b/>
                <w:sz w:val="18"/>
              </w:rPr>
              <w:t>$</w:t>
            </w:r>
          </w:p>
        </w:tc>
        <w:tc>
          <w:tcPr>
            <w:tcW w:w="1112" w:type="dxa"/>
          </w:tcPr>
          <w:p w14:paraId="283CC38F" w14:textId="77777777" w:rsidR="00FA4AA8" w:rsidRDefault="0015611F">
            <w:pPr>
              <w:pStyle w:val="TableParagraph"/>
              <w:spacing w:line="201" w:lineRule="exact"/>
              <w:ind w:left="253" w:right="417"/>
              <w:jc w:val="center"/>
              <w:rPr>
                <w:b/>
                <w:sz w:val="18"/>
              </w:rPr>
            </w:pPr>
            <w:r>
              <w:rPr>
                <w:b/>
                <w:sz w:val="18"/>
              </w:rPr>
              <w:t>2017</w:t>
            </w:r>
          </w:p>
          <w:p w14:paraId="3E270B02" w14:textId="77777777" w:rsidR="00FA4AA8" w:rsidRDefault="0015611F">
            <w:pPr>
              <w:pStyle w:val="TableParagraph"/>
              <w:spacing w:before="66"/>
              <w:ind w:right="165"/>
              <w:jc w:val="center"/>
              <w:rPr>
                <w:b/>
                <w:sz w:val="18"/>
              </w:rPr>
            </w:pPr>
            <w:r>
              <w:rPr>
                <w:b/>
                <w:sz w:val="18"/>
              </w:rPr>
              <w:t>$</w:t>
            </w:r>
          </w:p>
        </w:tc>
      </w:tr>
      <w:tr w:rsidR="00FA4AA8" w14:paraId="29648029" w14:textId="77777777">
        <w:trPr>
          <w:trHeight w:val="542"/>
        </w:trPr>
        <w:tc>
          <w:tcPr>
            <w:tcW w:w="298" w:type="dxa"/>
            <w:vMerge/>
            <w:tcBorders>
              <w:top w:val="nil"/>
            </w:tcBorders>
          </w:tcPr>
          <w:p w14:paraId="365FA857" w14:textId="77777777" w:rsidR="00FA4AA8" w:rsidRDefault="00FA4AA8">
            <w:pPr>
              <w:rPr>
                <w:sz w:val="2"/>
                <w:szCs w:val="2"/>
              </w:rPr>
            </w:pPr>
          </w:p>
        </w:tc>
        <w:tc>
          <w:tcPr>
            <w:tcW w:w="7069" w:type="dxa"/>
          </w:tcPr>
          <w:p w14:paraId="0EC9F018" w14:textId="77777777" w:rsidR="00FA4AA8" w:rsidRDefault="0015611F">
            <w:pPr>
              <w:pStyle w:val="TableParagraph"/>
              <w:spacing w:before="70"/>
              <w:ind w:left="191"/>
              <w:rPr>
                <w:b/>
                <w:sz w:val="18"/>
              </w:rPr>
            </w:pPr>
            <w:r>
              <w:rPr>
                <w:b/>
                <w:sz w:val="18"/>
              </w:rPr>
              <w:t>Current</w:t>
            </w:r>
          </w:p>
          <w:p w14:paraId="740C7E11" w14:textId="77777777" w:rsidR="00FA4AA8" w:rsidRDefault="0015611F">
            <w:pPr>
              <w:pStyle w:val="TableParagraph"/>
              <w:spacing w:before="25"/>
              <w:ind w:left="191"/>
              <w:rPr>
                <w:sz w:val="18"/>
              </w:rPr>
            </w:pPr>
            <w:r>
              <w:rPr>
                <w:sz w:val="18"/>
              </w:rPr>
              <w:t>Trade payables</w:t>
            </w:r>
          </w:p>
        </w:tc>
        <w:tc>
          <w:tcPr>
            <w:tcW w:w="1479" w:type="dxa"/>
          </w:tcPr>
          <w:p w14:paraId="1E4D389B" w14:textId="77777777" w:rsidR="00FA4AA8" w:rsidRDefault="00FA4AA8">
            <w:pPr>
              <w:pStyle w:val="TableParagraph"/>
              <w:spacing w:before="6"/>
              <w:rPr>
                <w:b/>
                <w:sz w:val="26"/>
              </w:rPr>
            </w:pPr>
          </w:p>
          <w:p w14:paraId="1381517A" w14:textId="77777777" w:rsidR="00FA4AA8" w:rsidRDefault="0015611F">
            <w:pPr>
              <w:pStyle w:val="TableParagraph"/>
              <w:ind w:right="267"/>
              <w:jc w:val="right"/>
              <w:rPr>
                <w:b/>
                <w:sz w:val="18"/>
              </w:rPr>
            </w:pPr>
            <w:r>
              <w:rPr>
                <w:b/>
                <w:sz w:val="18"/>
              </w:rPr>
              <w:t>27,682</w:t>
            </w:r>
          </w:p>
        </w:tc>
        <w:tc>
          <w:tcPr>
            <w:tcW w:w="1112" w:type="dxa"/>
          </w:tcPr>
          <w:p w14:paraId="631F6D84" w14:textId="77777777" w:rsidR="00FA4AA8" w:rsidRDefault="00FA4AA8">
            <w:pPr>
              <w:pStyle w:val="TableParagraph"/>
              <w:spacing w:before="6"/>
              <w:rPr>
                <w:b/>
                <w:sz w:val="26"/>
              </w:rPr>
            </w:pPr>
          </w:p>
          <w:p w14:paraId="47B943A2" w14:textId="77777777" w:rsidR="00FA4AA8" w:rsidRDefault="0015611F">
            <w:pPr>
              <w:pStyle w:val="TableParagraph"/>
              <w:ind w:right="83"/>
              <w:jc w:val="right"/>
              <w:rPr>
                <w:sz w:val="18"/>
              </w:rPr>
            </w:pPr>
            <w:r>
              <w:rPr>
                <w:sz w:val="18"/>
              </w:rPr>
              <w:t>73,802</w:t>
            </w:r>
          </w:p>
        </w:tc>
      </w:tr>
      <w:tr w:rsidR="00FA4AA8" w14:paraId="37B9282B" w14:textId="77777777">
        <w:trPr>
          <w:trHeight w:val="264"/>
        </w:trPr>
        <w:tc>
          <w:tcPr>
            <w:tcW w:w="298" w:type="dxa"/>
            <w:vMerge/>
            <w:tcBorders>
              <w:top w:val="nil"/>
            </w:tcBorders>
          </w:tcPr>
          <w:p w14:paraId="0F95645D" w14:textId="77777777" w:rsidR="00FA4AA8" w:rsidRDefault="00FA4AA8">
            <w:pPr>
              <w:rPr>
                <w:sz w:val="2"/>
                <w:szCs w:val="2"/>
              </w:rPr>
            </w:pPr>
          </w:p>
        </w:tc>
        <w:tc>
          <w:tcPr>
            <w:tcW w:w="7069" w:type="dxa"/>
          </w:tcPr>
          <w:p w14:paraId="7137F17D" w14:textId="77777777" w:rsidR="00FA4AA8" w:rsidRDefault="0015611F">
            <w:pPr>
              <w:pStyle w:val="TableParagraph"/>
              <w:spacing w:before="24"/>
              <w:ind w:left="191"/>
              <w:rPr>
                <w:sz w:val="18"/>
              </w:rPr>
            </w:pPr>
            <w:r>
              <w:rPr>
                <w:sz w:val="18"/>
              </w:rPr>
              <w:t>Enrolment deposits</w:t>
            </w:r>
          </w:p>
        </w:tc>
        <w:tc>
          <w:tcPr>
            <w:tcW w:w="1479" w:type="dxa"/>
          </w:tcPr>
          <w:p w14:paraId="0A3840F9" w14:textId="77777777" w:rsidR="00FA4AA8" w:rsidRDefault="0015611F">
            <w:pPr>
              <w:pStyle w:val="TableParagraph"/>
              <w:spacing w:before="26"/>
              <w:ind w:right="267"/>
              <w:jc w:val="right"/>
              <w:rPr>
                <w:b/>
                <w:sz w:val="18"/>
              </w:rPr>
            </w:pPr>
            <w:r>
              <w:rPr>
                <w:b/>
                <w:sz w:val="18"/>
              </w:rPr>
              <w:t>283,890</w:t>
            </w:r>
          </w:p>
        </w:tc>
        <w:tc>
          <w:tcPr>
            <w:tcW w:w="1112" w:type="dxa"/>
          </w:tcPr>
          <w:p w14:paraId="2B214DFA" w14:textId="77777777" w:rsidR="00FA4AA8" w:rsidRDefault="0015611F">
            <w:pPr>
              <w:pStyle w:val="TableParagraph"/>
              <w:spacing w:before="26"/>
              <w:ind w:right="83"/>
              <w:jc w:val="right"/>
              <w:rPr>
                <w:sz w:val="18"/>
              </w:rPr>
            </w:pPr>
            <w:r>
              <w:rPr>
                <w:sz w:val="18"/>
              </w:rPr>
              <w:t>250,935</w:t>
            </w:r>
          </w:p>
        </w:tc>
      </w:tr>
      <w:tr w:rsidR="00FA4AA8" w14:paraId="154C6F49" w14:textId="77777777">
        <w:trPr>
          <w:trHeight w:val="263"/>
        </w:trPr>
        <w:tc>
          <w:tcPr>
            <w:tcW w:w="298" w:type="dxa"/>
            <w:vMerge/>
            <w:tcBorders>
              <w:top w:val="nil"/>
            </w:tcBorders>
          </w:tcPr>
          <w:p w14:paraId="5546C3E0" w14:textId="77777777" w:rsidR="00FA4AA8" w:rsidRDefault="00FA4AA8">
            <w:pPr>
              <w:rPr>
                <w:sz w:val="2"/>
                <w:szCs w:val="2"/>
              </w:rPr>
            </w:pPr>
          </w:p>
        </w:tc>
        <w:tc>
          <w:tcPr>
            <w:tcW w:w="7069" w:type="dxa"/>
          </w:tcPr>
          <w:p w14:paraId="16D54271" w14:textId="77777777" w:rsidR="00FA4AA8" w:rsidRDefault="0015611F">
            <w:pPr>
              <w:pStyle w:val="TableParagraph"/>
              <w:spacing w:before="24"/>
              <w:ind w:left="191"/>
              <w:rPr>
                <w:sz w:val="18"/>
              </w:rPr>
            </w:pPr>
            <w:r>
              <w:rPr>
                <w:sz w:val="18"/>
              </w:rPr>
              <w:t>Accrued expenses</w:t>
            </w:r>
          </w:p>
        </w:tc>
        <w:tc>
          <w:tcPr>
            <w:tcW w:w="1479" w:type="dxa"/>
          </w:tcPr>
          <w:p w14:paraId="0E62A945" w14:textId="77777777" w:rsidR="00FA4AA8" w:rsidRDefault="0015611F">
            <w:pPr>
              <w:pStyle w:val="TableParagraph"/>
              <w:spacing w:before="26"/>
              <w:ind w:right="267"/>
              <w:jc w:val="right"/>
              <w:rPr>
                <w:b/>
                <w:sz w:val="18"/>
              </w:rPr>
            </w:pPr>
            <w:r>
              <w:rPr>
                <w:b/>
                <w:sz w:val="18"/>
              </w:rPr>
              <w:t>125,667</w:t>
            </w:r>
          </w:p>
        </w:tc>
        <w:tc>
          <w:tcPr>
            <w:tcW w:w="1112" w:type="dxa"/>
          </w:tcPr>
          <w:p w14:paraId="7A0462BA" w14:textId="77777777" w:rsidR="00FA4AA8" w:rsidRDefault="0015611F">
            <w:pPr>
              <w:pStyle w:val="TableParagraph"/>
              <w:spacing w:before="26"/>
              <w:ind w:right="83"/>
              <w:jc w:val="right"/>
              <w:rPr>
                <w:sz w:val="18"/>
              </w:rPr>
            </w:pPr>
            <w:r>
              <w:rPr>
                <w:sz w:val="18"/>
              </w:rPr>
              <w:t>149,033</w:t>
            </w:r>
          </w:p>
        </w:tc>
      </w:tr>
      <w:tr w:rsidR="00FA4AA8" w14:paraId="37E139A6" w14:textId="77777777">
        <w:trPr>
          <w:trHeight w:val="258"/>
        </w:trPr>
        <w:tc>
          <w:tcPr>
            <w:tcW w:w="298" w:type="dxa"/>
            <w:vMerge/>
            <w:tcBorders>
              <w:top w:val="nil"/>
            </w:tcBorders>
          </w:tcPr>
          <w:p w14:paraId="305604C9" w14:textId="77777777" w:rsidR="00FA4AA8" w:rsidRDefault="00FA4AA8">
            <w:pPr>
              <w:rPr>
                <w:sz w:val="2"/>
                <w:szCs w:val="2"/>
              </w:rPr>
            </w:pPr>
          </w:p>
        </w:tc>
        <w:tc>
          <w:tcPr>
            <w:tcW w:w="7069" w:type="dxa"/>
          </w:tcPr>
          <w:p w14:paraId="6F024E83" w14:textId="77777777" w:rsidR="00FA4AA8" w:rsidRDefault="0015611F">
            <w:pPr>
              <w:pStyle w:val="TableParagraph"/>
              <w:spacing w:before="24"/>
              <w:ind w:left="191"/>
              <w:rPr>
                <w:sz w:val="18"/>
              </w:rPr>
            </w:pPr>
            <w:r>
              <w:rPr>
                <w:sz w:val="18"/>
              </w:rPr>
              <w:t>Other payables</w:t>
            </w:r>
          </w:p>
        </w:tc>
        <w:tc>
          <w:tcPr>
            <w:tcW w:w="1479" w:type="dxa"/>
            <w:tcBorders>
              <w:bottom w:val="single" w:sz="8" w:space="0" w:color="000000"/>
            </w:tcBorders>
          </w:tcPr>
          <w:p w14:paraId="468AD9F8" w14:textId="77777777" w:rsidR="00FA4AA8" w:rsidRDefault="0015611F">
            <w:pPr>
              <w:pStyle w:val="TableParagraph"/>
              <w:spacing w:before="26"/>
              <w:ind w:right="267"/>
              <w:jc w:val="right"/>
              <w:rPr>
                <w:b/>
                <w:sz w:val="18"/>
              </w:rPr>
            </w:pPr>
            <w:r>
              <w:rPr>
                <w:b/>
                <w:sz w:val="18"/>
              </w:rPr>
              <w:t>137,731</w:t>
            </w:r>
          </w:p>
        </w:tc>
        <w:tc>
          <w:tcPr>
            <w:tcW w:w="1112" w:type="dxa"/>
            <w:tcBorders>
              <w:bottom w:val="single" w:sz="8" w:space="0" w:color="000000"/>
            </w:tcBorders>
          </w:tcPr>
          <w:p w14:paraId="57D8EBF7" w14:textId="77777777" w:rsidR="00FA4AA8" w:rsidRDefault="0015611F">
            <w:pPr>
              <w:pStyle w:val="TableParagraph"/>
              <w:spacing w:before="26"/>
              <w:ind w:right="83"/>
              <w:jc w:val="right"/>
              <w:rPr>
                <w:sz w:val="18"/>
              </w:rPr>
            </w:pPr>
            <w:r>
              <w:rPr>
                <w:sz w:val="18"/>
              </w:rPr>
              <w:t>126,387</w:t>
            </w:r>
          </w:p>
        </w:tc>
      </w:tr>
      <w:tr w:rsidR="00FA4AA8" w14:paraId="37040ED2" w14:textId="77777777">
        <w:trPr>
          <w:trHeight w:val="320"/>
        </w:trPr>
        <w:tc>
          <w:tcPr>
            <w:tcW w:w="298" w:type="dxa"/>
          </w:tcPr>
          <w:p w14:paraId="566D63C1" w14:textId="77777777" w:rsidR="00FA4AA8" w:rsidRDefault="00FA4AA8">
            <w:pPr>
              <w:pStyle w:val="TableParagraph"/>
              <w:rPr>
                <w:rFonts w:ascii="Times New Roman"/>
                <w:sz w:val="18"/>
              </w:rPr>
            </w:pPr>
          </w:p>
        </w:tc>
        <w:tc>
          <w:tcPr>
            <w:tcW w:w="7069" w:type="dxa"/>
          </w:tcPr>
          <w:p w14:paraId="3D98C3C5" w14:textId="77777777" w:rsidR="00FA4AA8" w:rsidRDefault="0015611F">
            <w:pPr>
              <w:pStyle w:val="TableParagraph"/>
              <w:spacing w:before="115" w:line="185" w:lineRule="exact"/>
              <w:ind w:left="191"/>
              <w:rPr>
                <w:b/>
                <w:sz w:val="18"/>
              </w:rPr>
            </w:pPr>
            <w:r>
              <w:rPr>
                <w:b/>
                <w:sz w:val="18"/>
              </w:rPr>
              <w:t>Total trade and other payables</w:t>
            </w:r>
          </w:p>
        </w:tc>
        <w:tc>
          <w:tcPr>
            <w:tcW w:w="1479" w:type="dxa"/>
            <w:tcBorders>
              <w:top w:val="single" w:sz="8" w:space="0" w:color="000000"/>
              <w:bottom w:val="double" w:sz="2" w:space="0" w:color="000000"/>
            </w:tcBorders>
          </w:tcPr>
          <w:p w14:paraId="289B428C" w14:textId="77777777" w:rsidR="00FA4AA8" w:rsidRDefault="0015611F">
            <w:pPr>
              <w:pStyle w:val="TableParagraph"/>
              <w:spacing w:before="115" w:line="185" w:lineRule="exact"/>
              <w:ind w:right="267"/>
              <w:jc w:val="right"/>
              <w:rPr>
                <w:b/>
                <w:sz w:val="18"/>
              </w:rPr>
            </w:pPr>
            <w:r>
              <w:rPr>
                <w:b/>
                <w:sz w:val="18"/>
              </w:rPr>
              <w:t>574,970</w:t>
            </w:r>
          </w:p>
        </w:tc>
        <w:tc>
          <w:tcPr>
            <w:tcW w:w="1112" w:type="dxa"/>
            <w:tcBorders>
              <w:top w:val="single" w:sz="8" w:space="0" w:color="000000"/>
              <w:bottom w:val="double" w:sz="2" w:space="0" w:color="000000"/>
            </w:tcBorders>
          </w:tcPr>
          <w:p w14:paraId="6754B080" w14:textId="77777777" w:rsidR="00FA4AA8" w:rsidRDefault="0015611F">
            <w:pPr>
              <w:pStyle w:val="TableParagraph"/>
              <w:spacing w:before="115" w:line="185" w:lineRule="exact"/>
              <w:ind w:right="83"/>
              <w:jc w:val="right"/>
              <w:rPr>
                <w:sz w:val="18"/>
              </w:rPr>
            </w:pPr>
            <w:r>
              <w:rPr>
                <w:sz w:val="18"/>
              </w:rPr>
              <w:t>600,157</w:t>
            </w:r>
          </w:p>
        </w:tc>
      </w:tr>
    </w:tbl>
    <w:p w14:paraId="31B94C7B" w14:textId="77777777" w:rsidR="00FA4AA8" w:rsidRDefault="0015611F">
      <w:pPr>
        <w:spacing w:before="151"/>
        <w:ind w:left="564"/>
        <w:rPr>
          <w:i/>
          <w:sz w:val="18"/>
        </w:rPr>
      </w:pPr>
      <w:r>
        <w:rPr>
          <w:i/>
          <w:sz w:val="18"/>
          <w:u w:val="single"/>
        </w:rPr>
        <w:t>Accounting Policy</w:t>
      </w:r>
    </w:p>
    <w:p w14:paraId="2CB7DB62" w14:textId="77777777" w:rsidR="00FA4AA8" w:rsidRDefault="0015611F">
      <w:pPr>
        <w:pStyle w:val="BodyText"/>
        <w:spacing w:before="141"/>
        <w:ind w:left="564" w:right="132"/>
      </w:pPr>
      <w:r>
        <w:t>Trade and other payables are carried at amortised cost and due to their short term nature they are not discounted. These amounts represent liabilities for goods and services provided to the Company prior to the end of the financial period, which are unpaid. The amounts are unsecured and are usually paid within 30 days of recognition.</w:t>
      </w:r>
    </w:p>
    <w:p w14:paraId="24680A22" w14:textId="77777777" w:rsidR="00FA4AA8" w:rsidRDefault="00FA4AA8">
      <w:pPr>
        <w:sectPr w:rsidR="00FA4AA8">
          <w:pgSz w:w="11910" w:h="16840"/>
          <w:pgMar w:top="1660" w:right="880" w:bottom="720" w:left="840" w:header="1016" w:footer="523" w:gutter="0"/>
          <w:cols w:space="720"/>
        </w:sectPr>
      </w:pPr>
    </w:p>
    <w:p w14:paraId="4659716C" w14:textId="77777777" w:rsidR="00FA4AA8" w:rsidRDefault="0015611F">
      <w:pPr>
        <w:pStyle w:val="Heading4"/>
      </w:pPr>
      <w:bookmarkStart w:id="199" w:name="9_Employee_benefit_provisions_"/>
      <w:bookmarkEnd w:id="199"/>
      <w:r>
        <w:t>Notes to the Financial Statements</w:t>
      </w:r>
    </w:p>
    <w:p w14:paraId="7061297A" w14:textId="77777777" w:rsidR="00FA4AA8" w:rsidRDefault="0015611F">
      <w:pPr>
        <w:pStyle w:val="Heading6"/>
        <w:ind w:left="167"/>
      </w:pPr>
      <w:r>
        <w:t>For the year ended 31 December</w:t>
      </w:r>
      <w:r>
        <w:rPr>
          <w:spacing w:val="-13"/>
        </w:rPr>
        <w:t xml:space="preserve"> </w:t>
      </w:r>
      <w:r>
        <w:t>2018</w:t>
      </w:r>
    </w:p>
    <w:p w14:paraId="5A812714" w14:textId="77777777" w:rsidR="00FA4AA8" w:rsidRDefault="00FA4AA8">
      <w:pPr>
        <w:pStyle w:val="BodyText"/>
        <w:spacing w:before="7"/>
        <w:rPr>
          <w:b/>
          <w:sz w:val="25"/>
        </w:rPr>
      </w:pPr>
    </w:p>
    <w:tbl>
      <w:tblPr>
        <w:tblW w:w="0" w:type="auto"/>
        <w:tblInd w:w="125" w:type="dxa"/>
        <w:tblLayout w:type="fixed"/>
        <w:tblCellMar>
          <w:left w:w="0" w:type="dxa"/>
          <w:right w:w="0" w:type="dxa"/>
        </w:tblCellMar>
        <w:tblLook w:val="01E0" w:firstRow="1" w:lastRow="1" w:firstColumn="1" w:lastColumn="1" w:noHBand="0" w:noVBand="0"/>
      </w:tblPr>
      <w:tblGrid>
        <w:gridCol w:w="285"/>
        <w:gridCol w:w="7086"/>
        <w:gridCol w:w="1468"/>
        <w:gridCol w:w="1125"/>
      </w:tblGrid>
      <w:tr w:rsidR="00FA4AA8" w14:paraId="2FBBDF7A" w14:textId="77777777">
        <w:trPr>
          <w:trHeight w:val="220"/>
        </w:trPr>
        <w:tc>
          <w:tcPr>
            <w:tcW w:w="285" w:type="dxa"/>
          </w:tcPr>
          <w:p w14:paraId="27C50A8D" w14:textId="77777777" w:rsidR="00FA4AA8" w:rsidRDefault="0015611F">
            <w:pPr>
              <w:pStyle w:val="TableParagraph"/>
              <w:spacing w:line="201" w:lineRule="exact"/>
              <w:ind w:left="50"/>
              <w:rPr>
                <w:b/>
                <w:sz w:val="18"/>
              </w:rPr>
            </w:pPr>
            <w:r>
              <w:rPr>
                <w:b/>
                <w:sz w:val="18"/>
              </w:rPr>
              <w:t>9</w:t>
            </w:r>
          </w:p>
        </w:tc>
        <w:tc>
          <w:tcPr>
            <w:tcW w:w="7086" w:type="dxa"/>
          </w:tcPr>
          <w:p w14:paraId="4D32865C" w14:textId="77777777" w:rsidR="00FA4AA8" w:rsidRDefault="0015611F">
            <w:pPr>
              <w:pStyle w:val="TableParagraph"/>
              <w:spacing w:line="201" w:lineRule="exact"/>
              <w:ind w:left="161"/>
              <w:rPr>
                <w:b/>
                <w:sz w:val="18"/>
              </w:rPr>
            </w:pPr>
            <w:r>
              <w:rPr>
                <w:b/>
                <w:sz w:val="18"/>
              </w:rPr>
              <w:t>Employee benefit provisions</w:t>
            </w:r>
          </w:p>
        </w:tc>
        <w:tc>
          <w:tcPr>
            <w:tcW w:w="1468" w:type="dxa"/>
          </w:tcPr>
          <w:p w14:paraId="265947AC" w14:textId="77777777" w:rsidR="00FA4AA8" w:rsidRDefault="00FA4AA8">
            <w:pPr>
              <w:pStyle w:val="TableParagraph"/>
              <w:rPr>
                <w:rFonts w:ascii="Times New Roman"/>
                <w:sz w:val="14"/>
              </w:rPr>
            </w:pPr>
          </w:p>
        </w:tc>
        <w:tc>
          <w:tcPr>
            <w:tcW w:w="1125" w:type="dxa"/>
          </w:tcPr>
          <w:p w14:paraId="4A1F5991" w14:textId="77777777" w:rsidR="00FA4AA8" w:rsidRDefault="00FA4AA8">
            <w:pPr>
              <w:pStyle w:val="TableParagraph"/>
              <w:rPr>
                <w:rFonts w:ascii="Times New Roman"/>
                <w:sz w:val="14"/>
              </w:rPr>
            </w:pPr>
          </w:p>
        </w:tc>
      </w:tr>
      <w:tr w:rsidR="00FA4AA8" w14:paraId="64010EBE" w14:textId="77777777">
        <w:trPr>
          <w:trHeight w:val="256"/>
        </w:trPr>
        <w:tc>
          <w:tcPr>
            <w:tcW w:w="285" w:type="dxa"/>
          </w:tcPr>
          <w:p w14:paraId="55790FF4" w14:textId="77777777" w:rsidR="00FA4AA8" w:rsidRDefault="00FA4AA8">
            <w:pPr>
              <w:pStyle w:val="TableParagraph"/>
              <w:rPr>
                <w:rFonts w:ascii="Times New Roman"/>
                <w:sz w:val="18"/>
              </w:rPr>
            </w:pPr>
          </w:p>
        </w:tc>
        <w:tc>
          <w:tcPr>
            <w:tcW w:w="7086" w:type="dxa"/>
          </w:tcPr>
          <w:p w14:paraId="2065EC2B" w14:textId="77777777" w:rsidR="00FA4AA8" w:rsidRDefault="00FA4AA8">
            <w:pPr>
              <w:pStyle w:val="TableParagraph"/>
              <w:rPr>
                <w:rFonts w:ascii="Times New Roman"/>
                <w:sz w:val="18"/>
              </w:rPr>
            </w:pPr>
          </w:p>
        </w:tc>
        <w:tc>
          <w:tcPr>
            <w:tcW w:w="1468" w:type="dxa"/>
          </w:tcPr>
          <w:p w14:paraId="0121F003" w14:textId="77777777" w:rsidR="00FA4AA8" w:rsidRDefault="0015611F">
            <w:pPr>
              <w:pStyle w:val="TableParagraph"/>
              <w:spacing w:before="13"/>
              <w:ind w:left="443"/>
              <w:rPr>
                <w:b/>
                <w:sz w:val="18"/>
              </w:rPr>
            </w:pPr>
            <w:r>
              <w:rPr>
                <w:b/>
                <w:sz w:val="18"/>
              </w:rPr>
              <w:t>2018</w:t>
            </w:r>
          </w:p>
        </w:tc>
        <w:tc>
          <w:tcPr>
            <w:tcW w:w="1125" w:type="dxa"/>
          </w:tcPr>
          <w:p w14:paraId="0E015405" w14:textId="77777777" w:rsidR="00FA4AA8" w:rsidRDefault="0015611F">
            <w:pPr>
              <w:pStyle w:val="TableParagraph"/>
              <w:spacing w:before="13"/>
              <w:ind w:left="258"/>
              <w:rPr>
                <w:b/>
                <w:sz w:val="18"/>
              </w:rPr>
            </w:pPr>
            <w:r>
              <w:rPr>
                <w:b/>
                <w:sz w:val="18"/>
              </w:rPr>
              <w:t>2017</w:t>
            </w:r>
          </w:p>
        </w:tc>
      </w:tr>
      <w:tr w:rsidR="00FA4AA8" w14:paraId="07F51266" w14:textId="77777777">
        <w:trPr>
          <w:trHeight w:val="270"/>
        </w:trPr>
        <w:tc>
          <w:tcPr>
            <w:tcW w:w="285" w:type="dxa"/>
          </w:tcPr>
          <w:p w14:paraId="179F8CF1" w14:textId="77777777" w:rsidR="00FA4AA8" w:rsidRDefault="00FA4AA8">
            <w:pPr>
              <w:pStyle w:val="TableParagraph"/>
              <w:rPr>
                <w:rFonts w:ascii="Times New Roman"/>
                <w:sz w:val="18"/>
              </w:rPr>
            </w:pPr>
          </w:p>
        </w:tc>
        <w:tc>
          <w:tcPr>
            <w:tcW w:w="7086" w:type="dxa"/>
          </w:tcPr>
          <w:p w14:paraId="5EEEC9B9" w14:textId="77777777" w:rsidR="00FA4AA8" w:rsidRDefault="00FA4AA8">
            <w:pPr>
              <w:pStyle w:val="TableParagraph"/>
              <w:rPr>
                <w:rFonts w:ascii="Times New Roman"/>
                <w:sz w:val="18"/>
              </w:rPr>
            </w:pPr>
          </w:p>
        </w:tc>
        <w:tc>
          <w:tcPr>
            <w:tcW w:w="1468" w:type="dxa"/>
          </w:tcPr>
          <w:p w14:paraId="09BDA5B0" w14:textId="77777777" w:rsidR="00FA4AA8" w:rsidRDefault="0015611F">
            <w:pPr>
              <w:pStyle w:val="TableParagraph"/>
              <w:spacing w:before="30"/>
              <w:ind w:right="177"/>
              <w:jc w:val="center"/>
              <w:rPr>
                <w:b/>
                <w:sz w:val="18"/>
              </w:rPr>
            </w:pPr>
            <w:r>
              <w:rPr>
                <w:b/>
                <w:sz w:val="18"/>
              </w:rPr>
              <w:t>$</w:t>
            </w:r>
          </w:p>
        </w:tc>
        <w:tc>
          <w:tcPr>
            <w:tcW w:w="1125" w:type="dxa"/>
          </w:tcPr>
          <w:p w14:paraId="4B89FE7E" w14:textId="77777777" w:rsidR="00FA4AA8" w:rsidRDefault="0015611F">
            <w:pPr>
              <w:pStyle w:val="TableParagraph"/>
              <w:spacing w:before="30"/>
              <w:ind w:right="202"/>
              <w:jc w:val="center"/>
              <w:rPr>
                <w:b/>
                <w:sz w:val="18"/>
              </w:rPr>
            </w:pPr>
            <w:r>
              <w:rPr>
                <w:b/>
                <w:sz w:val="18"/>
              </w:rPr>
              <w:t>$</w:t>
            </w:r>
          </w:p>
        </w:tc>
      </w:tr>
      <w:tr w:rsidR="00FA4AA8" w14:paraId="778E4A78" w14:textId="77777777">
        <w:trPr>
          <w:trHeight w:val="306"/>
        </w:trPr>
        <w:tc>
          <w:tcPr>
            <w:tcW w:w="285" w:type="dxa"/>
          </w:tcPr>
          <w:p w14:paraId="5FCF98BD" w14:textId="77777777" w:rsidR="00FA4AA8" w:rsidRDefault="00FA4AA8">
            <w:pPr>
              <w:pStyle w:val="TableParagraph"/>
              <w:rPr>
                <w:rFonts w:ascii="Times New Roman"/>
                <w:sz w:val="18"/>
              </w:rPr>
            </w:pPr>
          </w:p>
        </w:tc>
        <w:tc>
          <w:tcPr>
            <w:tcW w:w="7086" w:type="dxa"/>
          </w:tcPr>
          <w:p w14:paraId="3A2361A7" w14:textId="77777777" w:rsidR="00FA4AA8" w:rsidRDefault="0015611F">
            <w:pPr>
              <w:pStyle w:val="TableParagraph"/>
              <w:spacing w:before="26"/>
              <w:ind w:left="146"/>
              <w:rPr>
                <w:b/>
                <w:sz w:val="18"/>
              </w:rPr>
            </w:pPr>
            <w:r>
              <w:rPr>
                <w:b/>
                <w:sz w:val="18"/>
              </w:rPr>
              <w:t>Current</w:t>
            </w:r>
          </w:p>
        </w:tc>
        <w:tc>
          <w:tcPr>
            <w:tcW w:w="1468" w:type="dxa"/>
          </w:tcPr>
          <w:p w14:paraId="7A661915" w14:textId="77777777" w:rsidR="00FA4AA8" w:rsidRDefault="00FA4AA8">
            <w:pPr>
              <w:pStyle w:val="TableParagraph"/>
              <w:rPr>
                <w:rFonts w:ascii="Times New Roman"/>
                <w:sz w:val="18"/>
              </w:rPr>
            </w:pPr>
          </w:p>
        </w:tc>
        <w:tc>
          <w:tcPr>
            <w:tcW w:w="1125" w:type="dxa"/>
          </w:tcPr>
          <w:p w14:paraId="39DD3D88" w14:textId="77777777" w:rsidR="00FA4AA8" w:rsidRDefault="00FA4AA8">
            <w:pPr>
              <w:pStyle w:val="TableParagraph"/>
              <w:rPr>
                <w:rFonts w:ascii="Times New Roman"/>
                <w:sz w:val="18"/>
              </w:rPr>
            </w:pPr>
          </w:p>
        </w:tc>
      </w:tr>
      <w:tr w:rsidR="00FA4AA8" w14:paraId="776B8DD8" w14:textId="77777777">
        <w:trPr>
          <w:trHeight w:val="540"/>
        </w:trPr>
        <w:tc>
          <w:tcPr>
            <w:tcW w:w="285" w:type="dxa"/>
          </w:tcPr>
          <w:p w14:paraId="28CBC30C" w14:textId="77777777" w:rsidR="00FA4AA8" w:rsidRDefault="00FA4AA8">
            <w:pPr>
              <w:pStyle w:val="TableParagraph"/>
              <w:rPr>
                <w:rFonts w:ascii="Times New Roman"/>
                <w:sz w:val="18"/>
              </w:rPr>
            </w:pPr>
          </w:p>
        </w:tc>
        <w:tc>
          <w:tcPr>
            <w:tcW w:w="7086" w:type="dxa"/>
          </w:tcPr>
          <w:p w14:paraId="2C067B1A" w14:textId="77777777" w:rsidR="00FA4AA8" w:rsidRDefault="0015611F">
            <w:pPr>
              <w:pStyle w:val="TableParagraph"/>
              <w:spacing w:before="66"/>
              <w:ind w:left="146"/>
              <w:rPr>
                <w:b/>
                <w:sz w:val="18"/>
              </w:rPr>
            </w:pPr>
            <w:r>
              <w:rPr>
                <w:b/>
                <w:sz w:val="18"/>
              </w:rPr>
              <w:t>Employee benefits</w:t>
            </w:r>
          </w:p>
          <w:p w14:paraId="0FAD62D3" w14:textId="77777777" w:rsidR="00FA4AA8" w:rsidRDefault="0015611F">
            <w:pPr>
              <w:pStyle w:val="TableParagraph"/>
              <w:spacing w:before="28"/>
              <w:ind w:left="146"/>
              <w:rPr>
                <w:sz w:val="18"/>
              </w:rPr>
            </w:pPr>
            <w:r>
              <w:rPr>
                <w:sz w:val="18"/>
              </w:rPr>
              <w:t>Annual leave</w:t>
            </w:r>
          </w:p>
        </w:tc>
        <w:tc>
          <w:tcPr>
            <w:tcW w:w="1468" w:type="dxa"/>
          </w:tcPr>
          <w:p w14:paraId="09B4EBFB" w14:textId="77777777" w:rsidR="00FA4AA8" w:rsidRDefault="00FA4AA8">
            <w:pPr>
              <w:pStyle w:val="TableParagraph"/>
              <w:spacing w:before="2"/>
              <w:rPr>
                <w:b/>
                <w:sz w:val="26"/>
              </w:rPr>
            </w:pPr>
          </w:p>
          <w:p w14:paraId="7CCDBFEA" w14:textId="77777777" w:rsidR="00FA4AA8" w:rsidRDefault="0015611F">
            <w:pPr>
              <w:pStyle w:val="TableParagraph"/>
              <w:ind w:right="260"/>
              <w:jc w:val="right"/>
              <w:rPr>
                <w:b/>
                <w:sz w:val="18"/>
              </w:rPr>
            </w:pPr>
            <w:r>
              <w:rPr>
                <w:b/>
                <w:sz w:val="18"/>
              </w:rPr>
              <w:t>360,808</w:t>
            </w:r>
          </w:p>
        </w:tc>
        <w:tc>
          <w:tcPr>
            <w:tcW w:w="1125" w:type="dxa"/>
          </w:tcPr>
          <w:p w14:paraId="7C487C00" w14:textId="77777777" w:rsidR="00FA4AA8" w:rsidRDefault="00FA4AA8">
            <w:pPr>
              <w:pStyle w:val="TableParagraph"/>
              <w:spacing w:before="2"/>
              <w:rPr>
                <w:b/>
                <w:sz w:val="26"/>
              </w:rPr>
            </w:pPr>
          </w:p>
          <w:p w14:paraId="03C9FFEB" w14:textId="77777777" w:rsidR="00FA4AA8" w:rsidRDefault="0015611F">
            <w:pPr>
              <w:pStyle w:val="TableParagraph"/>
              <w:ind w:right="86"/>
              <w:jc w:val="right"/>
              <w:rPr>
                <w:sz w:val="18"/>
              </w:rPr>
            </w:pPr>
            <w:r>
              <w:rPr>
                <w:sz w:val="18"/>
              </w:rPr>
              <w:t>409,628</w:t>
            </w:r>
          </w:p>
        </w:tc>
      </w:tr>
      <w:tr w:rsidR="00FA4AA8" w14:paraId="5F76AD32" w14:textId="77777777">
        <w:trPr>
          <w:trHeight w:val="257"/>
        </w:trPr>
        <w:tc>
          <w:tcPr>
            <w:tcW w:w="285" w:type="dxa"/>
          </w:tcPr>
          <w:p w14:paraId="742D8F80" w14:textId="77777777" w:rsidR="00FA4AA8" w:rsidRDefault="00FA4AA8">
            <w:pPr>
              <w:pStyle w:val="TableParagraph"/>
              <w:rPr>
                <w:rFonts w:ascii="Times New Roman"/>
                <w:sz w:val="18"/>
              </w:rPr>
            </w:pPr>
          </w:p>
        </w:tc>
        <w:tc>
          <w:tcPr>
            <w:tcW w:w="7086" w:type="dxa"/>
          </w:tcPr>
          <w:p w14:paraId="12E72168" w14:textId="77777777" w:rsidR="00FA4AA8" w:rsidRDefault="0015611F">
            <w:pPr>
              <w:pStyle w:val="TableParagraph"/>
              <w:spacing w:before="25"/>
              <w:ind w:left="146"/>
              <w:rPr>
                <w:sz w:val="18"/>
              </w:rPr>
            </w:pPr>
            <w:r>
              <w:rPr>
                <w:sz w:val="18"/>
              </w:rPr>
              <w:t>Long service leave</w:t>
            </w:r>
          </w:p>
        </w:tc>
        <w:tc>
          <w:tcPr>
            <w:tcW w:w="1468" w:type="dxa"/>
            <w:tcBorders>
              <w:bottom w:val="single" w:sz="8" w:space="0" w:color="000000"/>
            </w:tcBorders>
          </w:tcPr>
          <w:p w14:paraId="47F948A8" w14:textId="77777777" w:rsidR="00FA4AA8" w:rsidRDefault="0015611F">
            <w:pPr>
              <w:pStyle w:val="TableParagraph"/>
              <w:spacing w:before="25"/>
              <w:ind w:right="260"/>
              <w:jc w:val="right"/>
              <w:rPr>
                <w:b/>
                <w:sz w:val="18"/>
              </w:rPr>
            </w:pPr>
            <w:r>
              <w:rPr>
                <w:b/>
                <w:sz w:val="18"/>
              </w:rPr>
              <w:t>197,111</w:t>
            </w:r>
          </w:p>
        </w:tc>
        <w:tc>
          <w:tcPr>
            <w:tcW w:w="1125" w:type="dxa"/>
            <w:tcBorders>
              <w:bottom w:val="single" w:sz="8" w:space="0" w:color="000000"/>
            </w:tcBorders>
          </w:tcPr>
          <w:p w14:paraId="41651F83" w14:textId="77777777" w:rsidR="00FA4AA8" w:rsidRDefault="0015611F">
            <w:pPr>
              <w:pStyle w:val="TableParagraph"/>
              <w:spacing w:before="25"/>
              <w:ind w:right="86"/>
              <w:jc w:val="right"/>
              <w:rPr>
                <w:sz w:val="18"/>
              </w:rPr>
            </w:pPr>
            <w:r>
              <w:rPr>
                <w:sz w:val="18"/>
              </w:rPr>
              <w:t>239,000</w:t>
            </w:r>
          </w:p>
        </w:tc>
      </w:tr>
      <w:tr w:rsidR="00FA4AA8" w14:paraId="4306EC5C" w14:textId="77777777">
        <w:trPr>
          <w:trHeight w:val="320"/>
        </w:trPr>
        <w:tc>
          <w:tcPr>
            <w:tcW w:w="285" w:type="dxa"/>
          </w:tcPr>
          <w:p w14:paraId="66DF3160" w14:textId="77777777" w:rsidR="00FA4AA8" w:rsidRDefault="00FA4AA8">
            <w:pPr>
              <w:pStyle w:val="TableParagraph"/>
              <w:rPr>
                <w:rFonts w:ascii="Times New Roman"/>
                <w:sz w:val="18"/>
              </w:rPr>
            </w:pPr>
          </w:p>
        </w:tc>
        <w:tc>
          <w:tcPr>
            <w:tcW w:w="7086" w:type="dxa"/>
          </w:tcPr>
          <w:p w14:paraId="1B762464" w14:textId="77777777" w:rsidR="00FA4AA8" w:rsidRDefault="0015611F">
            <w:pPr>
              <w:pStyle w:val="TableParagraph"/>
              <w:spacing w:before="115" w:line="185" w:lineRule="exact"/>
              <w:ind w:left="146"/>
              <w:rPr>
                <w:b/>
                <w:sz w:val="18"/>
              </w:rPr>
            </w:pPr>
            <w:r>
              <w:rPr>
                <w:b/>
                <w:sz w:val="18"/>
              </w:rPr>
              <w:t>Total current provisions</w:t>
            </w:r>
          </w:p>
        </w:tc>
        <w:tc>
          <w:tcPr>
            <w:tcW w:w="1468" w:type="dxa"/>
            <w:tcBorders>
              <w:top w:val="single" w:sz="8" w:space="0" w:color="000000"/>
              <w:bottom w:val="double" w:sz="2" w:space="0" w:color="000000"/>
            </w:tcBorders>
          </w:tcPr>
          <w:p w14:paraId="1E5ED51D" w14:textId="77777777" w:rsidR="00FA4AA8" w:rsidRDefault="0015611F">
            <w:pPr>
              <w:pStyle w:val="TableParagraph"/>
              <w:spacing w:before="115" w:line="185" w:lineRule="exact"/>
              <w:ind w:right="260"/>
              <w:jc w:val="right"/>
              <w:rPr>
                <w:b/>
                <w:sz w:val="18"/>
              </w:rPr>
            </w:pPr>
            <w:r>
              <w:rPr>
                <w:b/>
                <w:sz w:val="18"/>
              </w:rPr>
              <w:t>557,919</w:t>
            </w:r>
          </w:p>
        </w:tc>
        <w:tc>
          <w:tcPr>
            <w:tcW w:w="1125" w:type="dxa"/>
            <w:tcBorders>
              <w:top w:val="single" w:sz="8" w:space="0" w:color="000000"/>
              <w:bottom w:val="double" w:sz="2" w:space="0" w:color="000000"/>
            </w:tcBorders>
          </w:tcPr>
          <w:p w14:paraId="372289A2" w14:textId="77777777" w:rsidR="00FA4AA8" w:rsidRDefault="0015611F">
            <w:pPr>
              <w:pStyle w:val="TableParagraph"/>
              <w:spacing w:before="115" w:line="185" w:lineRule="exact"/>
              <w:ind w:right="86"/>
              <w:jc w:val="right"/>
              <w:rPr>
                <w:sz w:val="18"/>
              </w:rPr>
            </w:pPr>
            <w:r>
              <w:rPr>
                <w:sz w:val="18"/>
              </w:rPr>
              <w:t>648,628</w:t>
            </w:r>
          </w:p>
        </w:tc>
      </w:tr>
      <w:tr w:rsidR="00FA4AA8" w14:paraId="03E3B4B0" w14:textId="77777777">
        <w:trPr>
          <w:trHeight w:val="657"/>
        </w:trPr>
        <w:tc>
          <w:tcPr>
            <w:tcW w:w="285" w:type="dxa"/>
          </w:tcPr>
          <w:p w14:paraId="7BA65D76" w14:textId="77777777" w:rsidR="00FA4AA8" w:rsidRDefault="00FA4AA8">
            <w:pPr>
              <w:pStyle w:val="TableParagraph"/>
              <w:rPr>
                <w:rFonts w:ascii="Times New Roman"/>
                <w:sz w:val="18"/>
              </w:rPr>
            </w:pPr>
          </w:p>
        </w:tc>
        <w:tc>
          <w:tcPr>
            <w:tcW w:w="7086" w:type="dxa"/>
          </w:tcPr>
          <w:p w14:paraId="385C621E" w14:textId="77777777" w:rsidR="00FA4AA8" w:rsidRDefault="00FA4AA8">
            <w:pPr>
              <w:pStyle w:val="TableParagraph"/>
              <w:rPr>
                <w:b/>
                <w:sz w:val="20"/>
              </w:rPr>
            </w:pPr>
          </w:p>
          <w:p w14:paraId="4B2CE241" w14:textId="77777777" w:rsidR="00FA4AA8" w:rsidRDefault="0015611F">
            <w:pPr>
              <w:pStyle w:val="TableParagraph"/>
              <w:spacing w:before="148"/>
              <w:ind w:left="146"/>
              <w:rPr>
                <w:b/>
                <w:sz w:val="18"/>
              </w:rPr>
            </w:pPr>
            <w:r>
              <w:rPr>
                <w:b/>
                <w:sz w:val="18"/>
              </w:rPr>
              <w:t>Non-current</w:t>
            </w:r>
          </w:p>
        </w:tc>
        <w:tc>
          <w:tcPr>
            <w:tcW w:w="1468" w:type="dxa"/>
            <w:tcBorders>
              <w:top w:val="double" w:sz="2" w:space="0" w:color="000000"/>
            </w:tcBorders>
          </w:tcPr>
          <w:p w14:paraId="13F0AAC9" w14:textId="77777777" w:rsidR="00FA4AA8" w:rsidRDefault="00FA4AA8">
            <w:pPr>
              <w:pStyle w:val="TableParagraph"/>
              <w:rPr>
                <w:rFonts w:ascii="Times New Roman"/>
                <w:sz w:val="18"/>
              </w:rPr>
            </w:pPr>
          </w:p>
        </w:tc>
        <w:tc>
          <w:tcPr>
            <w:tcW w:w="1125" w:type="dxa"/>
            <w:tcBorders>
              <w:top w:val="double" w:sz="2" w:space="0" w:color="000000"/>
            </w:tcBorders>
          </w:tcPr>
          <w:p w14:paraId="12D4AC53" w14:textId="77777777" w:rsidR="00FA4AA8" w:rsidRDefault="00FA4AA8">
            <w:pPr>
              <w:pStyle w:val="TableParagraph"/>
              <w:rPr>
                <w:rFonts w:ascii="Times New Roman"/>
                <w:sz w:val="18"/>
              </w:rPr>
            </w:pPr>
          </w:p>
        </w:tc>
      </w:tr>
      <w:tr w:rsidR="00FA4AA8" w14:paraId="2AD8FD9C" w14:textId="77777777">
        <w:trPr>
          <w:trHeight w:val="533"/>
        </w:trPr>
        <w:tc>
          <w:tcPr>
            <w:tcW w:w="285" w:type="dxa"/>
          </w:tcPr>
          <w:p w14:paraId="519770D2" w14:textId="77777777" w:rsidR="00FA4AA8" w:rsidRDefault="00FA4AA8">
            <w:pPr>
              <w:pStyle w:val="TableParagraph"/>
              <w:rPr>
                <w:rFonts w:ascii="Times New Roman"/>
                <w:sz w:val="18"/>
              </w:rPr>
            </w:pPr>
          </w:p>
        </w:tc>
        <w:tc>
          <w:tcPr>
            <w:tcW w:w="7086" w:type="dxa"/>
          </w:tcPr>
          <w:p w14:paraId="39CFFA90" w14:textId="77777777" w:rsidR="00FA4AA8" w:rsidRDefault="0015611F">
            <w:pPr>
              <w:pStyle w:val="TableParagraph"/>
              <w:spacing w:before="66"/>
              <w:ind w:left="146"/>
              <w:rPr>
                <w:b/>
                <w:sz w:val="18"/>
              </w:rPr>
            </w:pPr>
            <w:r>
              <w:rPr>
                <w:b/>
                <w:sz w:val="18"/>
              </w:rPr>
              <w:t>Employee benefits</w:t>
            </w:r>
          </w:p>
          <w:p w14:paraId="7ACC2AB8" w14:textId="77777777" w:rsidR="00FA4AA8" w:rsidRDefault="0015611F">
            <w:pPr>
              <w:pStyle w:val="TableParagraph"/>
              <w:spacing w:before="28"/>
              <w:ind w:left="146"/>
              <w:rPr>
                <w:sz w:val="18"/>
              </w:rPr>
            </w:pPr>
            <w:r>
              <w:rPr>
                <w:sz w:val="18"/>
              </w:rPr>
              <w:t>Long service leave</w:t>
            </w:r>
          </w:p>
        </w:tc>
        <w:tc>
          <w:tcPr>
            <w:tcW w:w="1468" w:type="dxa"/>
            <w:tcBorders>
              <w:bottom w:val="single" w:sz="8" w:space="0" w:color="000000"/>
            </w:tcBorders>
          </w:tcPr>
          <w:p w14:paraId="058FCED5" w14:textId="77777777" w:rsidR="00FA4AA8" w:rsidRDefault="00FA4AA8">
            <w:pPr>
              <w:pStyle w:val="TableParagraph"/>
              <w:spacing w:before="2"/>
              <w:rPr>
                <w:b/>
                <w:sz w:val="26"/>
              </w:rPr>
            </w:pPr>
          </w:p>
          <w:p w14:paraId="78FE69C3" w14:textId="77777777" w:rsidR="00FA4AA8" w:rsidRDefault="0015611F">
            <w:pPr>
              <w:pStyle w:val="TableParagraph"/>
              <w:ind w:right="260"/>
              <w:jc w:val="right"/>
              <w:rPr>
                <w:b/>
                <w:sz w:val="18"/>
              </w:rPr>
            </w:pPr>
            <w:r>
              <w:rPr>
                <w:b/>
                <w:sz w:val="18"/>
              </w:rPr>
              <w:t>136,935</w:t>
            </w:r>
          </w:p>
        </w:tc>
        <w:tc>
          <w:tcPr>
            <w:tcW w:w="1125" w:type="dxa"/>
            <w:tcBorders>
              <w:bottom w:val="single" w:sz="8" w:space="0" w:color="000000"/>
            </w:tcBorders>
          </w:tcPr>
          <w:p w14:paraId="532C5A5F" w14:textId="77777777" w:rsidR="00FA4AA8" w:rsidRDefault="00FA4AA8">
            <w:pPr>
              <w:pStyle w:val="TableParagraph"/>
              <w:spacing w:before="2"/>
              <w:rPr>
                <w:b/>
                <w:sz w:val="26"/>
              </w:rPr>
            </w:pPr>
          </w:p>
          <w:p w14:paraId="6793C427" w14:textId="77777777" w:rsidR="00FA4AA8" w:rsidRDefault="0015611F">
            <w:pPr>
              <w:pStyle w:val="TableParagraph"/>
              <w:ind w:right="86"/>
              <w:jc w:val="right"/>
              <w:rPr>
                <w:sz w:val="18"/>
              </w:rPr>
            </w:pPr>
            <w:r>
              <w:rPr>
                <w:sz w:val="18"/>
              </w:rPr>
              <w:t>85,000</w:t>
            </w:r>
          </w:p>
        </w:tc>
      </w:tr>
      <w:tr w:rsidR="00FA4AA8" w14:paraId="3E459042" w14:textId="77777777">
        <w:trPr>
          <w:trHeight w:val="320"/>
        </w:trPr>
        <w:tc>
          <w:tcPr>
            <w:tcW w:w="285" w:type="dxa"/>
          </w:tcPr>
          <w:p w14:paraId="618623A9" w14:textId="77777777" w:rsidR="00FA4AA8" w:rsidRDefault="00FA4AA8">
            <w:pPr>
              <w:pStyle w:val="TableParagraph"/>
              <w:rPr>
                <w:rFonts w:ascii="Times New Roman"/>
                <w:sz w:val="18"/>
              </w:rPr>
            </w:pPr>
          </w:p>
        </w:tc>
        <w:tc>
          <w:tcPr>
            <w:tcW w:w="7086" w:type="dxa"/>
          </w:tcPr>
          <w:p w14:paraId="7212EA00" w14:textId="77777777" w:rsidR="00FA4AA8" w:rsidRDefault="0015611F">
            <w:pPr>
              <w:pStyle w:val="TableParagraph"/>
              <w:spacing w:before="115" w:line="185" w:lineRule="exact"/>
              <w:ind w:left="134"/>
              <w:rPr>
                <w:b/>
                <w:sz w:val="18"/>
              </w:rPr>
            </w:pPr>
            <w:r>
              <w:rPr>
                <w:b/>
                <w:sz w:val="18"/>
              </w:rPr>
              <w:t>Total non-current provisions</w:t>
            </w:r>
          </w:p>
        </w:tc>
        <w:tc>
          <w:tcPr>
            <w:tcW w:w="1468" w:type="dxa"/>
            <w:tcBorders>
              <w:top w:val="single" w:sz="8" w:space="0" w:color="000000"/>
              <w:bottom w:val="double" w:sz="2" w:space="0" w:color="000000"/>
            </w:tcBorders>
          </w:tcPr>
          <w:p w14:paraId="5AA7F982" w14:textId="77777777" w:rsidR="00FA4AA8" w:rsidRDefault="0015611F">
            <w:pPr>
              <w:pStyle w:val="TableParagraph"/>
              <w:spacing w:before="115" w:line="185" w:lineRule="exact"/>
              <w:ind w:right="260"/>
              <w:jc w:val="right"/>
              <w:rPr>
                <w:b/>
                <w:sz w:val="18"/>
              </w:rPr>
            </w:pPr>
            <w:r>
              <w:rPr>
                <w:b/>
                <w:sz w:val="18"/>
              </w:rPr>
              <w:t>136,935</w:t>
            </w:r>
          </w:p>
        </w:tc>
        <w:tc>
          <w:tcPr>
            <w:tcW w:w="1125" w:type="dxa"/>
            <w:tcBorders>
              <w:top w:val="single" w:sz="8" w:space="0" w:color="000000"/>
              <w:bottom w:val="double" w:sz="2" w:space="0" w:color="000000"/>
            </w:tcBorders>
          </w:tcPr>
          <w:p w14:paraId="791BE5A3" w14:textId="77777777" w:rsidR="00FA4AA8" w:rsidRDefault="0015611F">
            <w:pPr>
              <w:pStyle w:val="TableParagraph"/>
              <w:spacing w:before="115" w:line="185" w:lineRule="exact"/>
              <w:ind w:right="86"/>
              <w:jc w:val="right"/>
              <w:rPr>
                <w:sz w:val="18"/>
              </w:rPr>
            </w:pPr>
            <w:r>
              <w:rPr>
                <w:sz w:val="18"/>
              </w:rPr>
              <w:t>85,000</w:t>
            </w:r>
          </w:p>
        </w:tc>
      </w:tr>
      <w:tr w:rsidR="00FA4AA8" w14:paraId="0127875A" w14:textId="77777777">
        <w:trPr>
          <w:trHeight w:val="521"/>
        </w:trPr>
        <w:tc>
          <w:tcPr>
            <w:tcW w:w="285" w:type="dxa"/>
          </w:tcPr>
          <w:p w14:paraId="0DBBF924" w14:textId="77777777" w:rsidR="00FA4AA8" w:rsidRDefault="00FA4AA8">
            <w:pPr>
              <w:pStyle w:val="TableParagraph"/>
              <w:rPr>
                <w:rFonts w:ascii="Times New Roman"/>
                <w:sz w:val="18"/>
              </w:rPr>
            </w:pPr>
          </w:p>
        </w:tc>
        <w:tc>
          <w:tcPr>
            <w:tcW w:w="7086" w:type="dxa"/>
          </w:tcPr>
          <w:p w14:paraId="7F51804A" w14:textId="77777777" w:rsidR="00FA4AA8" w:rsidRDefault="00FA4AA8">
            <w:pPr>
              <w:pStyle w:val="TableParagraph"/>
              <w:spacing w:before="2"/>
              <w:rPr>
                <w:b/>
                <w:sz w:val="25"/>
              </w:rPr>
            </w:pPr>
          </w:p>
          <w:p w14:paraId="74B38925" w14:textId="77777777" w:rsidR="00FA4AA8" w:rsidRDefault="0015611F">
            <w:pPr>
              <w:pStyle w:val="TableParagraph"/>
              <w:ind w:left="146"/>
              <w:rPr>
                <w:b/>
                <w:sz w:val="18"/>
              </w:rPr>
            </w:pPr>
            <w:r>
              <w:rPr>
                <w:b/>
                <w:sz w:val="18"/>
              </w:rPr>
              <w:t>Total employee benefit provisions</w:t>
            </w:r>
          </w:p>
        </w:tc>
        <w:tc>
          <w:tcPr>
            <w:tcW w:w="1468" w:type="dxa"/>
            <w:tcBorders>
              <w:top w:val="double" w:sz="2" w:space="0" w:color="000000"/>
              <w:bottom w:val="double" w:sz="2" w:space="0" w:color="000000"/>
            </w:tcBorders>
          </w:tcPr>
          <w:p w14:paraId="26A150CC" w14:textId="77777777" w:rsidR="00FA4AA8" w:rsidRDefault="00FA4AA8">
            <w:pPr>
              <w:pStyle w:val="TableParagraph"/>
              <w:spacing w:before="11"/>
              <w:rPr>
                <w:b/>
                <w:sz w:val="24"/>
              </w:rPr>
            </w:pPr>
          </w:p>
          <w:p w14:paraId="15A55B6F" w14:textId="77777777" w:rsidR="00FA4AA8" w:rsidRDefault="0015611F">
            <w:pPr>
              <w:pStyle w:val="TableParagraph"/>
              <w:ind w:right="260"/>
              <w:jc w:val="right"/>
              <w:rPr>
                <w:b/>
                <w:sz w:val="18"/>
              </w:rPr>
            </w:pPr>
            <w:r>
              <w:rPr>
                <w:b/>
                <w:sz w:val="18"/>
              </w:rPr>
              <w:t>694,854</w:t>
            </w:r>
          </w:p>
        </w:tc>
        <w:tc>
          <w:tcPr>
            <w:tcW w:w="1125" w:type="dxa"/>
            <w:tcBorders>
              <w:top w:val="double" w:sz="2" w:space="0" w:color="000000"/>
              <w:bottom w:val="double" w:sz="2" w:space="0" w:color="000000"/>
            </w:tcBorders>
          </w:tcPr>
          <w:p w14:paraId="03B16315" w14:textId="77777777" w:rsidR="00FA4AA8" w:rsidRDefault="00FA4AA8">
            <w:pPr>
              <w:pStyle w:val="TableParagraph"/>
              <w:spacing w:before="11"/>
              <w:rPr>
                <w:b/>
                <w:sz w:val="24"/>
              </w:rPr>
            </w:pPr>
          </w:p>
          <w:p w14:paraId="4732C11E" w14:textId="77777777" w:rsidR="00FA4AA8" w:rsidRDefault="0015611F">
            <w:pPr>
              <w:pStyle w:val="TableParagraph"/>
              <w:ind w:right="86"/>
              <w:jc w:val="right"/>
              <w:rPr>
                <w:sz w:val="18"/>
              </w:rPr>
            </w:pPr>
            <w:r>
              <w:rPr>
                <w:sz w:val="18"/>
              </w:rPr>
              <w:t>733,628</w:t>
            </w:r>
          </w:p>
        </w:tc>
      </w:tr>
    </w:tbl>
    <w:p w14:paraId="648026F0" w14:textId="77777777" w:rsidR="00FA4AA8" w:rsidRDefault="0015611F">
      <w:pPr>
        <w:spacing w:before="151"/>
        <w:ind w:left="564"/>
        <w:jc w:val="both"/>
        <w:rPr>
          <w:i/>
          <w:sz w:val="18"/>
        </w:rPr>
      </w:pPr>
      <w:r>
        <w:rPr>
          <w:i/>
          <w:sz w:val="18"/>
          <w:u w:val="single"/>
        </w:rPr>
        <w:t>Accounting Policy</w:t>
      </w:r>
    </w:p>
    <w:p w14:paraId="2362BB94" w14:textId="77777777" w:rsidR="00FA4AA8" w:rsidRDefault="0015611F">
      <w:pPr>
        <w:pStyle w:val="BodyText"/>
        <w:spacing w:before="141"/>
        <w:ind w:left="564" w:right="279"/>
        <w:jc w:val="both"/>
      </w:pPr>
      <w:r>
        <w:t>Liabilities for short-term employee benefits such as wages and salaries including non-monetary benefits, expected to be settled wholly within 12 months after the end of the reporting period, are measured at the amounts expected to be paid when the liabilities are settled, and are recognised in other payables.</w:t>
      </w:r>
    </w:p>
    <w:p w14:paraId="1DC2DB68" w14:textId="77777777" w:rsidR="00FA4AA8" w:rsidRDefault="0015611F">
      <w:pPr>
        <w:pStyle w:val="BodyText"/>
        <w:spacing w:before="140"/>
        <w:ind w:left="564" w:right="228"/>
      </w:pPr>
      <w:r>
        <w:t>The liability for long service leave and annual leave which is not expected to be settled within 12 months after the end of the reporting period, is recognised in the provision for employee benefits and measured at the present value of expected future payments to be made when the liability is settled. Consideration is given to expected future wage and salary levels, experience of employee departures and periods of service. Expected future payments are discounted using market yields at the reporting date on national government bonds with terms to maturity and currency that match, as closely as possible, the estimated future cash outflows.</w:t>
      </w:r>
    </w:p>
    <w:p w14:paraId="5767F8ED" w14:textId="77777777" w:rsidR="00FA4AA8" w:rsidRDefault="0015611F">
      <w:pPr>
        <w:pStyle w:val="BodyText"/>
        <w:spacing w:before="138"/>
        <w:ind w:left="564" w:right="217"/>
        <w:jc w:val="both"/>
      </w:pPr>
      <w:bookmarkStart w:id="200" w:name="10_Retained_earnings_"/>
      <w:bookmarkEnd w:id="200"/>
      <w:r>
        <w:t>Regardless of the expected timing of settlements, provisions made in respect of employee benefits are classified as a current liability, unless there is an unconditional right to defer the settlement of the liability for at least 12 months after the reporting date, in which case, it would be classified as a non-current liability.</w:t>
      </w:r>
    </w:p>
    <w:p w14:paraId="4AC57543" w14:textId="77777777" w:rsidR="00FA4AA8" w:rsidRDefault="00FA4AA8">
      <w:pPr>
        <w:pStyle w:val="BodyText"/>
        <w:rPr>
          <w:sz w:val="20"/>
        </w:rPr>
      </w:pPr>
    </w:p>
    <w:p w14:paraId="14306B07" w14:textId="77777777" w:rsidR="00FA4AA8" w:rsidRDefault="00FA4AA8">
      <w:pPr>
        <w:pStyle w:val="BodyText"/>
        <w:rPr>
          <w:sz w:val="20"/>
        </w:rPr>
      </w:pPr>
    </w:p>
    <w:p w14:paraId="20869D4C" w14:textId="77777777" w:rsidR="00FA4AA8" w:rsidRDefault="0015611F">
      <w:pPr>
        <w:numPr>
          <w:ilvl w:val="0"/>
          <w:numId w:val="47"/>
        </w:numPr>
        <w:tabs>
          <w:tab w:val="left" w:pos="564"/>
        </w:tabs>
        <w:spacing w:before="175" w:after="39"/>
        <w:ind w:hanging="397"/>
        <w:rPr>
          <w:b/>
          <w:sz w:val="18"/>
        </w:rPr>
      </w:pPr>
      <w:r>
        <w:rPr>
          <w:b/>
          <w:sz w:val="18"/>
        </w:rPr>
        <w:t>Retained earnings</w:t>
      </w:r>
    </w:p>
    <w:tbl>
      <w:tblPr>
        <w:tblW w:w="0" w:type="auto"/>
        <w:tblInd w:w="519" w:type="dxa"/>
        <w:tblLayout w:type="fixed"/>
        <w:tblCellMar>
          <w:left w:w="0" w:type="dxa"/>
          <w:right w:w="0" w:type="dxa"/>
        </w:tblCellMar>
        <w:tblLook w:val="01E0" w:firstRow="1" w:lastRow="1" w:firstColumn="1" w:lastColumn="1" w:noHBand="0" w:noVBand="0"/>
      </w:tblPr>
      <w:tblGrid>
        <w:gridCol w:w="6976"/>
        <w:gridCol w:w="1453"/>
        <w:gridCol w:w="1139"/>
      </w:tblGrid>
      <w:tr w:rsidR="00FA4AA8" w14:paraId="2FFAD5C9" w14:textId="77777777">
        <w:trPr>
          <w:trHeight w:val="474"/>
        </w:trPr>
        <w:tc>
          <w:tcPr>
            <w:tcW w:w="8429" w:type="dxa"/>
            <w:gridSpan w:val="2"/>
          </w:tcPr>
          <w:p w14:paraId="674D3776" w14:textId="77777777" w:rsidR="00FA4AA8" w:rsidRDefault="0015611F">
            <w:pPr>
              <w:pStyle w:val="TableParagraph"/>
              <w:spacing w:line="201" w:lineRule="exact"/>
              <w:ind w:left="7451" w:right="536"/>
              <w:jc w:val="center"/>
              <w:rPr>
                <w:b/>
                <w:sz w:val="18"/>
              </w:rPr>
            </w:pPr>
            <w:r>
              <w:rPr>
                <w:b/>
                <w:sz w:val="18"/>
              </w:rPr>
              <w:t>2018</w:t>
            </w:r>
          </w:p>
          <w:p w14:paraId="18559551" w14:textId="77777777" w:rsidR="00FA4AA8" w:rsidRDefault="0015611F">
            <w:pPr>
              <w:pStyle w:val="TableParagraph"/>
              <w:spacing w:before="66" w:line="187" w:lineRule="exact"/>
              <w:ind w:left="6915"/>
              <w:jc w:val="center"/>
              <w:rPr>
                <w:b/>
                <w:sz w:val="18"/>
              </w:rPr>
            </w:pPr>
            <w:r>
              <w:rPr>
                <w:b/>
                <w:sz w:val="18"/>
              </w:rPr>
              <w:t>$</w:t>
            </w:r>
          </w:p>
        </w:tc>
        <w:tc>
          <w:tcPr>
            <w:tcW w:w="1139" w:type="dxa"/>
          </w:tcPr>
          <w:p w14:paraId="264E0A09" w14:textId="77777777" w:rsidR="00FA4AA8" w:rsidRDefault="0015611F">
            <w:pPr>
              <w:pStyle w:val="TableParagraph"/>
              <w:spacing w:line="201" w:lineRule="exact"/>
              <w:ind w:left="249" w:right="331"/>
              <w:jc w:val="center"/>
              <w:rPr>
                <w:b/>
                <w:sz w:val="18"/>
              </w:rPr>
            </w:pPr>
            <w:r>
              <w:rPr>
                <w:b/>
                <w:sz w:val="18"/>
              </w:rPr>
              <w:t>2017</w:t>
            </w:r>
          </w:p>
          <w:p w14:paraId="1AE3CB4C" w14:textId="77777777" w:rsidR="00FA4AA8" w:rsidRDefault="0015611F">
            <w:pPr>
              <w:pStyle w:val="TableParagraph"/>
              <w:spacing w:before="66" w:line="187" w:lineRule="exact"/>
              <w:ind w:right="82"/>
              <w:jc w:val="center"/>
              <w:rPr>
                <w:b/>
                <w:sz w:val="18"/>
              </w:rPr>
            </w:pPr>
            <w:r>
              <w:rPr>
                <w:b/>
                <w:sz w:val="18"/>
              </w:rPr>
              <w:t>$</w:t>
            </w:r>
          </w:p>
        </w:tc>
      </w:tr>
      <w:tr w:rsidR="00FA4AA8" w14:paraId="165B9356" w14:textId="77777777">
        <w:trPr>
          <w:trHeight w:val="572"/>
        </w:trPr>
        <w:tc>
          <w:tcPr>
            <w:tcW w:w="6976" w:type="dxa"/>
          </w:tcPr>
          <w:p w14:paraId="44E85C2E" w14:textId="77777777" w:rsidR="00FA4AA8" w:rsidRDefault="00FA4AA8">
            <w:pPr>
              <w:pStyle w:val="TableParagraph"/>
              <w:spacing w:before="11"/>
              <w:rPr>
                <w:b/>
                <w:sz w:val="28"/>
              </w:rPr>
            </w:pPr>
          </w:p>
          <w:p w14:paraId="21253A96" w14:textId="77777777" w:rsidR="00FA4AA8" w:rsidRDefault="0015611F">
            <w:pPr>
              <w:pStyle w:val="TableParagraph"/>
              <w:ind w:left="50"/>
              <w:rPr>
                <w:b/>
                <w:sz w:val="18"/>
              </w:rPr>
            </w:pPr>
            <w:r>
              <w:rPr>
                <w:b/>
                <w:sz w:val="18"/>
              </w:rPr>
              <w:t>Retained earnings at 1 January</w:t>
            </w:r>
          </w:p>
        </w:tc>
        <w:tc>
          <w:tcPr>
            <w:tcW w:w="1453" w:type="dxa"/>
          </w:tcPr>
          <w:p w14:paraId="2C455938" w14:textId="77777777" w:rsidR="00FA4AA8" w:rsidRDefault="00FA4AA8">
            <w:pPr>
              <w:pStyle w:val="TableParagraph"/>
              <w:spacing w:before="1"/>
              <w:rPr>
                <w:b/>
                <w:sz w:val="29"/>
              </w:rPr>
            </w:pPr>
          </w:p>
          <w:p w14:paraId="7B7C932E" w14:textId="77777777" w:rsidR="00FA4AA8" w:rsidRDefault="0015611F">
            <w:pPr>
              <w:pStyle w:val="TableParagraph"/>
              <w:spacing w:before="1"/>
              <w:ind w:right="243"/>
              <w:jc w:val="right"/>
              <w:rPr>
                <w:b/>
                <w:sz w:val="18"/>
              </w:rPr>
            </w:pPr>
            <w:r>
              <w:rPr>
                <w:b/>
                <w:sz w:val="18"/>
              </w:rPr>
              <w:t>1,428,886</w:t>
            </w:r>
          </w:p>
        </w:tc>
        <w:tc>
          <w:tcPr>
            <w:tcW w:w="1139" w:type="dxa"/>
          </w:tcPr>
          <w:p w14:paraId="752743BE" w14:textId="77777777" w:rsidR="00FA4AA8" w:rsidRDefault="00FA4AA8">
            <w:pPr>
              <w:pStyle w:val="TableParagraph"/>
              <w:spacing w:before="1"/>
              <w:rPr>
                <w:b/>
                <w:sz w:val="29"/>
              </w:rPr>
            </w:pPr>
          </w:p>
          <w:p w14:paraId="7E5ECFEC" w14:textId="77777777" w:rsidR="00FA4AA8" w:rsidRDefault="0015611F">
            <w:pPr>
              <w:pStyle w:val="TableParagraph"/>
              <w:spacing w:before="1"/>
              <w:ind w:right="84"/>
              <w:jc w:val="right"/>
              <w:rPr>
                <w:sz w:val="18"/>
              </w:rPr>
            </w:pPr>
            <w:r>
              <w:rPr>
                <w:sz w:val="18"/>
              </w:rPr>
              <w:t>1,054,055</w:t>
            </w:r>
          </w:p>
        </w:tc>
      </w:tr>
      <w:tr w:rsidR="00FA4AA8" w14:paraId="25CD6EA6" w14:textId="77777777">
        <w:trPr>
          <w:trHeight w:val="258"/>
        </w:trPr>
        <w:tc>
          <w:tcPr>
            <w:tcW w:w="6976" w:type="dxa"/>
          </w:tcPr>
          <w:p w14:paraId="523014CC" w14:textId="77777777" w:rsidR="00FA4AA8" w:rsidRDefault="0015611F">
            <w:pPr>
              <w:pStyle w:val="TableParagraph"/>
              <w:spacing w:before="24"/>
              <w:ind w:left="50"/>
              <w:rPr>
                <w:sz w:val="18"/>
              </w:rPr>
            </w:pPr>
            <w:r>
              <w:rPr>
                <w:sz w:val="18"/>
              </w:rPr>
              <w:t>Surplus / (deficit) for the year</w:t>
            </w:r>
          </w:p>
        </w:tc>
        <w:tc>
          <w:tcPr>
            <w:tcW w:w="1453" w:type="dxa"/>
            <w:tcBorders>
              <w:bottom w:val="single" w:sz="8" w:space="0" w:color="000000"/>
            </w:tcBorders>
          </w:tcPr>
          <w:p w14:paraId="199AA5B0" w14:textId="77777777" w:rsidR="00FA4AA8" w:rsidRDefault="0015611F">
            <w:pPr>
              <w:pStyle w:val="TableParagraph"/>
              <w:spacing w:before="26"/>
              <w:ind w:right="243"/>
              <w:jc w:val="right"/>
              <w:rPr>
                <w:b/>
                <w:sz w:val="18"/>
              </w:rPr>
            </w:pPr>
            <w:r>
              <w:rPr>
                <w:b/>
                <w:sz w:val="18"/>
              </w:rPr>
              <w:t>201,491</w:t>
            </w:r>
          </w:p>
        </w:tc>
        <w:tc>
          <w:tcPr>
            <w:tcW w:w="1139" w:type="dxa"/>
            <w:tcBorders>
              <w:bottom w:val="single" w:sz="8" w:space="0" w:color="000000"/>
            </w:tcBorders>
          </w:tcPr>
          <w:p w14:paraId="5CD300AA" w14:textId="77777777" w:rsidR="00FA4AA8" w:rsidRDefault="0015611F">
            <w:pPr>
              <w:pStyle w:val="TableParagraph"/>
              <w:spacing w:before="26"/>
              <w:ind w:right="84"/>
              <w:jc w:val="right"/>
              <w:rPr>
                <w:sz w:val="18"/>
              </w:rPr>
            </w:pPr>
            <w:r>
              <w:rPr>
                <w:sz w:val="18"/>
              </w:rPr>
              <w:t>374,831</w:t>
            </w:r>
          </w:p>
        </w:tc>
      </w:tr>
      <w:tr w:rsidR="00FA4AA8" w14:paraId="0A07D1E5" w14:textId="77777777">
        <w:trPr>
          <w:trHeight w:val="318"/>
        </w:trPr>
        <w:tc>
          <w:tcPr>
            <w:tcW w:w="6976" w:type="dxa"/>
          </w:tcPr>
          <w:p w14:paraId="551A9791" w14:textId="77777777" w:rsidR="00FA4AA8" w:rsidRDefault="0015611F">
            <w:pPr>
              <w:pStyle w:val="TableParagraph"/>
              <w:spacing w:before="115" w:line="184" w:lineRule="exact"/>
              <w:ind w:left="50"/>
              <w:rPr>
                <w:b/>
                <w:sz w:val="18"/>
              </w:rPr>
            </w:pPr>
            <w:r>
              <w:rPr>
                <w:b/>
                <w:sz w:val="18"/>
              </w:rPr>
              <w:t>Balance at 31 December</w:t>
            </w:r>
          </w:p>
        </w:tc>
        <w:tc>
          <w:tcPr>
            <w:tcW w:w="1453" w:type="dxa"/>
            <w:tcBorders>
              <w:top w:val="single" w:sz="8" w:space="0" w:color="000000"/>
              <w:bottom w:val="double" w:sz="3" w:space="0" w:color="000000"/>
            </w:tcBorders>
          </w:tcPr>
          <w:p w14:paraId="78357787" w14:textId="77777777" w:rsidR="00FA4AA8" w:rsidRDefault="0015611F">
            <w:pPr>
              <w:pStyle w:val="TableParagraph"/>
              <w:spacing w:before="115" w:line="184" w:lineRule="exact"/>
              <w:ind w:right="243"/>
              <w:jc w:val="right"/>
              <w:rPr>
                <w:b/>
                <w:sz w:val="18"/>
              </w:rPr>
            </w:pPr>
            <w:r>
              <w:rPr>
                <w:b/>
                <w:sz w:val="18"/>
              </w:rPr>
              <w:t>1,630,377</w:t>
            </w:r>
          </w:p>
        </w:tc>
        <w:tc>
          <w:tcPr>
            <w:tcW w:w="1139" w:type="dxa"/>
            <w:tcBorders>
              <w:top w:val="single" w:sz="8" w:space="0" w:color="000000"/>
              <w:bottom w:val="double" w:sz="3" w:space="0" w:color="000000"/>
            </w:tcBorders>
          </w:tcPr>
          <w:p w14:paraId="36377ECA" w14:textId="77777777" w:rsidR="00FA4AA8" w:rsidRDefault="0015611F">
            <w:pPr>
              <w:pStyle w:val="TableParagraph"/>
              <w:spacing w:before="115" w:line="184" w:lineRule="exact"/>
              <w:ind w:right="84"/>
              <w:jc w:val="right"/>
              <w:rPr>
                <w:sz w:val="18"/>
              </w:rPr>
            </w:pPr>
            <w:r>
              <w:rPr>
                <w:sz w:val="18"/>
              </w:rPr>
              <w:t>1,428,886</w:t>
            </w:r>
          </w:p>
        </w:tc>
      </w:tr>
    </w:tbl>
    <w:p w14:paraId="690BEEBE" w14:textId="77777777" w:rsidR="00FA4AA8" w:rsidRDefault="00FA4AA8">
      <w:pPr>
        <w:spacing w:line="184" w:lineRule="exact"/>
        <w:jc w:val="right"/>
        <w:rPr>
          <w:sz w:val="18"/>
        </w:rPr>
        <w:sectPr w:rsidR="00FA4AA8">
          <w:pgSz w:w="11910" w:h="16840"/>
          <w:pgMar w:top="1660" w:right="880" w:bottom="720" w:left="840" w:header="1016" w:footer="523" w:gutter="0"/>
          <w:cols w:space="720"/>
        </w:sectPr>
      </w:pPr>
    </w:p>
    <w:p w14:paraId="09D2E3D7" w14:textId="77777777" w:rsidR="00FA4AA8" w:rsidRDefault="0015611F">
      <w:pPr>
        <w:spacing w:before="143"/>
        <w:ind w:left="167"/>
        <w:rPr>
          <w:b/>
          <w:sz w:val="24"/>
        </w:rPr>
      </w:pPr>
      <w:bookmarkStart w:id="201" w:name="11_Key_management_personnel_disclosures_"/>
      <w:bookmarkStart w:id="202" w:name="(a)_Responsible_persons_and_executive_of"/>
      <w:bookmarkEnd w:id="201"/>
      <w:bookmarkEnd w:id="202"/>
      <w:r>
        <w:rPr>
          <w:b/>
          <w:sz w:val="24"/>
        </w:rPr>
        <w:t>Notes to the Financial Statements</w:t>
      </w:r>
    </w:p>
    <w:p w14:paraId="7A7B6965" w14:textId="77777777" w:rsidR="00FA4AA8" w:rsidRDefault="0015611F">
      <w:pPr>
        <w:spacing w:before="54"/>
        <w:ind w:left="167"/>
        <w:rPr>
          <w:b/>
        </w:rPr>
      </w:pPr>
      <w:r>
        <w:rPr>
          <w:b/>
        </w:rPr>
        <w:t>For the year ended 31 December</w:t>
      </w:r>
      <w:r>
        <w:rPr>
          <w:b/>
          <w:spacing w:val="-13"/>
        </w:rPr>
        <w:t xml:space="preserve"> </w:t>
      </w:r>
      <w:r>
        <w:rPr>
          <w:b/>
        </w:rPr>
        <w:t>2018</w:t>
      </w:r>
    </w:p>
    <w:p w14:paraId="6B875408" w14:textId="77777777" w:rsidR="00FA4AA8" w:rsidRDefault="00FA4AA8">
      <w:pPr>
        <w:pStyle w:val="BodyText"/>
        <w:spacing w:before="1"/>
        <w:rPr>
          <w:b/>
          <w:sz w:val="25"/>
        </w:rPr>
      </w:pPr>
    </w:p>
    <w:p w14:paraId="41AF98FD" w14:textId="77777777" w:rsidR="00FA4AA8" w:rsidRDefault="0015611F">
      <w:pPr>
        <w:pStyle w:val="ListParagraph"/>
        <w:numPr>
          <w:ilvl w:val="0"/>
          <w:numId w:val="47"/>
        </w:numPr>
        <w:tabs>
          <w:tab w:val="left" w:pos="564"/>
        </w:tabs>
        <w:ind w:hanging="397"/>
        <w:rPr>
          <w:b/>
          <w:sz w:val="18"/>
        </w:rPr>
      </w:pPr>
      <w:r>
        <w:rPr>
          <w:b/>
          <w:sz w:val="18"/>
        </w:rPr>
        <w:t>Key management personnel</w:t>
      </w:r>
      <w:r>
        <w:rPr>
          <w:b/>
          <w:spacing w:val="-8"/>
          <w:sz w:val="18"/>
        </w:rPr>
        <w:t xml:space="preserve"> </w:t>
      </w:r>
      <w:r>
        <w:rPr>
          <w:b/>
          <w:sz w:val="18"/>
        </w:rPr>
        <w:t>disclosures</w:t>
      </w:r>
    </w:p>
    <w:p w14:paraId="088CF2E9" w14:textId="77777777" w:rsidR="00FA4AA8" w:rsidRDefault="00FA4AA8">
      <w:pPr>
        <w:pStyle w:val="BodyText"/>
        <w:spacing w:before="8"/>
        <w:rPr>
          <w:b/>
          <w:sz w:val="26"/>
        </w:rPr>
      </w:pPr>
    </w:p>
    <w:p w14:paraId="224F95AF" w14:textId="77777777" w:rsidR="00FA4AA8" w:rsidRDefault="0015611F">
      <w:pPr>
        <w:pStyle w:val="ListParagraph"/>
        <w:numPr>
          <w:ilvl w:val="0"/>
          <w:numId w:val="46"/>
        </w:numPr>
        <w:tabs>
          <w:tab w:val="left" w:pos="564"/>
        </w:tabs>
        <w:rPr>
          <w:b/>
          <w:sz w:val="18"/>
        </w:rPr>
      </w:pPr>
      <w:bookmarkStart w:id="203" w:name="(b)_Board_of_Directors"/>
      <w:bookmarkEnd w:id="203"/>
      <w:r>
        <w:rPr>
          <w:b/>
          <w:sz w:val="18"/>
        </w:rPr>
        <w:t>Responsible persons and executive officers</w:t>
      </w:r>
    </w:p>
    <w:p w14:paraId="622E2786" w14:textId="77777777" w:rsidR="00FA4AA8" w:rsidRDefault="0015611F">
      <w:pPr>
        <w:pStyle w:val="BodyText"/>
        <w:spacing w:before="146"/>
        <w:ind w:left="563"/>
      </w:pPr>
      <w:r>
        <w:t>The following persons were responsible persons and executive officers of Western Sydney University Early Learning Limited during the financial period.</w:t>
      </w:r>
    </w:p>
    <w:p w14:paraId="1FAF2E6D" w14:textId="77777777" w:rsidR="00FA4AA8" w:rsidRDefault="0015611F">
      <w:pPr>
        <w:pStyle w:val="BodyText"/>
        <w:spacing w:before="140"/>
        <w:ind w:left="563"/>
      </w:pPr>
      <w:r>
        <w:t>Mrs Angie Atkinson - General Manager</w:t>
      </w:r>
    </w:p>
    <w:p w14:paraId="1E94D0E9" w14:textId="77777777" w:rsidR="00FA4AA8" w:rsidRDefault="00FA4AA8">
      <w:pPr>
        <w:pStyle w:val="BodyText"/>
        <w:spacing w:before="8"/>
        <w:rPr>
          <w:sz w:val="26"/>
        </w:rPr>
      </w:pPr>
    </w:p>
    <w:p w14:paraId="4E1F2ECB" w14:textId="77777777" w:rsidR="00FA4AA8" w:rsidRDefault="0015611F">
      <w:pPr>
        <w:numPr>
          <w:ilvl w:val="0"/>
          <w:numId w:val="46"/>
        </w:numPr>
        <w:tabs>
          <w:tab w:val="left" w:pos="564"/>
        </w:tabs>
        <w:rPr>
          <w:b/>
          <w:sz w:val="18"/>
        </w:rPr>
      </w:pPr>
      <w:r>
        <w:rPr>
          <w:b/>
          <w:sz w:val="18"/>
        </w:rPr>
        <w:t>Board of Directors</w:t>
      </w:r>
    </w:p>
    <w:p w14:paraId="1D530BC6" w14:textId="77777777" w:rsidR="00FA4AA8" w:rsidRDefault="0015611F">
      <w:pPr>
        <w:pStyle w:val="BodyText"/>
        <w:spacing w:before="146"/>
        <w:ind w:left="564"/>
      </w:pPr>
      <w:r>
        <w:t>The following persons were non-executive directors of Western Sydney University Early Learning Limited during the financial period.</w:t>
      </w:r>
    </w:p>
    <w:p w14:paraId="15F75F3C" w14:textId="77777777" w:rsidR="00FA4AA8" w:rsidRDefault="0015611F">
      <w:pPr>
        <w:pStyle w:val="BodyText"/>
        <w:spacing w:before="140" w:line="403" w:lineRule="auto"/>
        <w:ind w:left="564" w:right="7835"/>
      </w:pPr>
      <w:r>
        <w:t>Susan Hudson - Chair Susan Benzie</w:t>
      </w:r>
    </w:p>
    <w:p w14:paraId="4E0D2C08" w14:textId="77777777" w:rsidR="00FA4AA8" w:rsidRDefault="0015611F">
      <w:pPr>
        <w:pStyle w:val="BodyText"/>
        <w:spacing w:before="1" w:line="403" w:lineRule="auto"/>
        <w:ind w:left="564" w:right="8204"/>
        <w:jc w:val="both"/>
      </w:pPr>
      <w:r>
        <w:t>Ellen Brackenreg Darren Greentree Michele Simons</w:t>
      </w:r>
    </w:p>
    <w:p w14:paraId="6A5F0153" w14:textId="77777777" w:rsidR="00FA4AA8" w:rsidRDefault="0015611F">
      <w:pPr>
        <w:pStyle w:val="BodyText"/>
        <w:spacing w:before="1" w:line="403" w:lineRule="auto"/>
        <w:ind w:left="564" w:right="6383"/>
        <w:jc w:val="both"/>
      </w:pPr>
      <w:r>
        <w:t>Jane McMaster - appointed 1 June 2018</w:t>
      </w:r>
      <w:bookmarkStart w:id="204" w:name="12_Commitments_"/>
      <w:bookmarkEnd w:id="204"/>
      <w:r>
        <w:t xml:space="preserve"> Linda Newman - appointed 1 June 2018</w:t>
      </w:r>
    </w:p>
    <w:p w14:paraId="59C2C5DC" w14:textId="77777777" w:rsidR="00FA4AA8" w:rsidRDefault="00FA4AA8">
      <w:pPr>
        <w:pStyle w:val="BodyText"/>
        <w:rPr>
          <w:sz w:val="20"/>
        </w:rPr>
      </w:pPr>
    </w:p>
    <w:p w14:paraId="202D7AAA" w14:textId="77777777" w:rsidR="00FA4AA8" w:rsidRDefault="0015611F">
      <w:pPr>
        <w:pStyle w:val="BodyText"/>
        <w:spacing w:before="118"/>
        <w:ind w:left="564"/>
      </w:pPr>
      <w:bookmarkStart w:id="205" w:name="(a)_Capital_commitments"/>
      <w:bookmarkEnd w:id="205"/>
      <w:r>
        <w:t>No board member is remunerated for their services.</w:t>
      </w:r>
    </w:p>
    <w:p w14:paraId="0BC79B43" w14:textId="77777777" w:rsidR="00FA4AA8" w:rsidRDefault="00FA4AA8">
      <w:pPr>
        <w:pStyle w:val="BodyText"/>
        <w:rPr>
          <w:sz w:val="25"/>
        </w:rPr>
      </w:pPr>
    </w:p>
    <w:p w14:paraId="039C021B" w14:textId="77777777" w:rsidR="00FA4AA8" w:rsidRDefault="0015611F">
      <w:pPr>
        <w:numPr>
          <w:ilvl w:val="0"/>
          <w:numId w:val="47"/>
        </w:numPr>
        <w:tabs>
          <w:tab w:val="left" w:pos="564"/>
        </w:tabs>
        <w:ind w:hanging="397"/>
        <w:rPr>
          <w:b/>
          <w:sz w:val="18"/>
        </w:rPr>
      </w:pPr>
      <w:r>
        <w:rPr>
          <w:b/>
          <w:sz w:val="18"/>
        </w:rPr>
        <w:t>Commitments</w:t>
      </w:r>
    </w:p>
    <w:p w14:paraId="13097218" w14:textId="77777777" w:rsidR="00FA4AA8" w:rsidRDefault="00FA4AA8">
      <w:pPr>
        <w:pStyle w:val="BodyText"/>
        <w:spacing w:before="5"/>
        <w:rPr>
          <w:b/>
        </w:rPr>
      </w:pPr>
    </w:p>
    <w:p w14:paraId="6C6AC39B" w14:textId="77777777" w:rsidR="00FA4AA8" w:rsidRDefault="00FA4AA8">
      <w:pPr>
        <w:sectPr w:rsidR="00FA4AA8">
          <w:pgSz w:w="11910" w:h="16840"/>
          <w:pgMar w:top="1660" w:right="880" w:bottom="720" w:left="840" w:header="1016" w:footer="523" w:gutter="0"/>
          <w:cols w:space="720"/>
        </w:sectPr>
      </w:pPr>
    </w:p>
    <w:p w14:paraId="56DEF6AF" w14:textId="77777777" w:rsidR="00FA4AA8" w:rsidRDefault="0015611F">
      <w:pPr>
        <w:pStyle w:val="ListParagraph"/>
        <w:numPr>
          <w:ilvl w:val="0"/>
          <w:numId w:val="45"/>
        </w:numPr>
        <w:tabs>
          <w:tab w:val="left" w:pos="564"/>
        </w:tabs>
        <w:spacing w:before="95"/>
        <w:rPr>
          <w:b/>
          <w:sz w:val="18"/>
        </w:rPr>
      </w:pPr>
      <w:r>
        <w:rPr>
          <w:b/>
          <w:sz w:val="18"/>
        </w:rPr>
        <w:t>Capital commitments</w:t>
      </w:r>
    </w:p>
    <w:p w14:paraId="42AA8EA3" w14:textId="77777777" w:rsidR="00FA4AA8" w:rsidRDefault="0015611F">
      <w:pPr>
        <w:pStyle w:val="BodyText"/>
        <w:spacing w:before="145"/>
        <w:ind w:left="564"/>
      </w:pPr>
      <w:r>
        <w:t>Capital expenditure contracted for at the reporting date but not recognised as liabilities are:</w:t>
      </w:r>
    </w:p>
    <w:p w14:paraId="242ECEBF" w14:textId="77777777" w:rsidR="00FA4AA8" w:rsidRDefault="0015611F">
      <w:pPr>
        <w:pStyle w:val="BodyText"/>
        <w:rPr>
          <w:sz w:val="20"/>
        </w:rPr>
      </w:pPr>
      <w:r>
        <w:br w:type="column"/>
      </w:r>
    </w:p>
    <w:p w14:paraId="32BE2C76" w14:textId="77777777" w:rsidR="00FA4AA8" w:rsidRDefault="00FA4AA8">
      <w:pPr>
        <w:pStyle w:val="BodyText"/>
        <w:rPr>
          <w:sz w:val="20"/>
        </w:rPr>
      </w:pPr>
    </w:p>
    <w:p w14:paraId="44BC71C0" w14:textId="77777777" w:rsidR="00FA4AA8" w:rsidRDefault="00FA4AA8">
      <w:pPr>
        <w:pStyle w:val="BodyText"/>
        <w:spacing w:before="9"/>
        <w:rPr>
          <w:sz w:val="19"/>
        </w:rPr>
      </w:pPr>
    </w:p>
    <w:p w14:paraId="0C64A626" w14:textId="77777777" w:rsidR="00FA4AA8" w:rsidRDefault="0015611F">
      <w:pPr>
        <w:ind w:left="35" w:right="21"/>
        <w:jc w:val="center"/>
        <w:rPr>
          <w:b/>
          <w:sz w:val="18"/>
        </w:rPr>
      </w:pPr>
      <w:bookmarkStart w:id="206" w:name="(b)_Lease_commitments"/>
      <w:bookmarkEnd w:id="206"/>
      <w:r>
        <w:rPr>
          <w:b/>
          <w:sz w:val="18"/>
        </w:rPr>
        <w:t>2018</w:t>
      </w:r>
    </w:p>
    <w:p w14:paraId="0C46B9A7" w14:textId="77777777" w:rsidR="00FA4AA8" w:rsidRDefault="0015611F">
      <w:pPr>
        <w:spacing w:before="67"/>
        <w:ind w:left="13"/>
        <w:jc w:val="center"/>
        <w:rPr>
          <w:b/>
          <w:sz w:val="18"/>
        </w:rPr>
      </w:pPr>
      <w:r>
        <w:rPr>
          <w:b/>
          <w:sz w:val="18"/>
        </w:rPr>
        <w:t>$</w:t>
      </w:r>
    </w:p>
    <w:p w14:paraId="104CF7D7" w14:textId="77777777" w:rsidR="00FA4AA8" w:rsidRDefault="0015611F">
      <w:pPr>
        <w:pStyle w:val="BodyText"/>
        <w:rPr>
          <w:b/>
          <w:sz w:val="20"/>
        </w:rPr>
      </w:pPr>
      <w:r>
        <w:br w:type="column"/>
      </w:r>
    </w:p>
    <w:p w14:paraId="73CCA11C" w14:textId="77777777" w:rsidR="00FA4AA8" w:rsidRDefault="00FA4AA8">
      <w:pPr>
        <w:pStyle w:val="BodyText"/>
        <w:rPr>
          <w:b/>
          <w:sz w:val="20"/>
        </w:rPr>
      </w:pPr>
    </w:p>
    <w:p w14:paraId="0C4D9D3F" w14:textId="77777777" w:rsidR="00FA4AA8" w:rsidRDefault="00FA4AA8">
      <w:pPr>
        <w:pStyle w:val="BodyText"/>
        <w:spacing w:before="9"/>
        <w:rPr>
          <w:b/>
          <w:sz w:val="19"/>
        </w:rPr>
      </w:pPr>
    </w:p>
    <w:p w14:paraId="189626EC" w14:textId="77777777" w:rsidR="00FA4AA8" w:rsidRDefault="0015611F">
      <w:pPr>
        <w:ind w:left="154" w:right="548"/>
        <w:jc w:val="center"/>
        <w:rPr>
          <w:b/>
          <w:sz w:val="18"/>
        </w:rPr>
      </w:pPr>
      <w:r>
        <w:rPr>
          <w:b/>
          <w:sz w:val="18"/>
        </w:rPr>
        <w:t>2017</w:t>
      </w:r>
    </w:p>
    <w:p w14:paraId="535FE594" w14:textId="77777777" w:rsidR="00FA4AA8" w:rsidRDefault="0015611F">
      <w:pPr>
        <w:spacing w:before="67"/>
        <w:ind w:right="394"/>
        <w:jc w:val="center"/>
        <w:rPr>
          <w:b/>
          <w:sz w:val="18"/>
        </w:rPr>
      </w:pPr>
      <w:r>
        <w:rPr>
          <w:b/>
          <w:sz w:val="18"/>
        </w:rPr>
        <w:t>$</w:t>
      </w:r>
    </w:p>
    <w:p w14:paraId="20F7414C" w14:textId="77777777" w:rsidR="00FA4AA8" w:rsidRDefault="00FA4AA8">
      <w:pPr>
        <w:jc w:val="center"/>
        <w:rPr>
          <w:sz w:val="18"/>
        </w:rPr>
        <w:sectPr w:rsidR="00FA4AA8">
          <w:type w:val="continuous"/>
          <w:pgSz w:w="11910" w:h="16840"/>
          <w:pgMar w:top="20" w:right="880" w:bottom="0" w:left="840" w:header="720" w:footer="720" w:gutter="0"/>
          <w:cols w:num="3" w:space="720" w:equalWidth="0">
            <w:col w:w="7838" w:space="40"/>
            <w:col w:w="498" w:space="670"/>
            <w:col w:w="1144"/>
          </w:cols>
        </w:sectPr>
      </w:pPr>
    </w:p>
    <w:p w14:paraId="4890D4FA" w14:textId="77777777" w:rsidR="00FA4AA8" w:rsidRDefault="007E2441">
      <w:pPr>
        <w:pStyle w:val="BodyText"/>
        <w:tabs>
          <w:tab w:val="left" w:pos="8241"/>
          <w:tab w:val="left" w:pos="9933"/>
        </w:tabs>
        <w:spacing w:before="61"/>
        <w:ind w:left="592"/>
      </w:pPr>
      <w:r>
        <w:rPr>
          <w:noProof/>
          <w:lang w:val="en-AU" w:eastAsia="en-AU"/>
        </w:rPr>
        <mc:AlternateContent>
          <mc:Choice Requires="wpg">
            <w:drawing>
              <wp:anchor distT="0" distB="0" distL="0" distR="0" simplePos="0" relativeHeight="487653376" behindDoc="1" locked="0" layoutInCell="1" allowOverlap="1" wp14:anchorId="439EFEEB" wp14:editId="45A65C4E">
                <wp:simplePos x="0" y="0"/>
                <wp:positionH relativeFrom="page">
                  <wp:posOffset>5288280</wp:posOffset>
                </wp:positionH>
                <wp:positionV relativeFrom="paragraph">
                  <wp:posOffset>186055</wp:posOffset>
                </wp:positionV>
                <wp:extent cx="1645920" cy="12700"/>
                <wp:effectExtent l="0" t="0" r="0" b="0"/>
                <wp:wrapTopAndBottom/>
                <wp:docPr id="950" name="Group 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5920" cy="12700"/>
                          <a:chOff x="8328" y="293"/>
                          <a:chExt cx="2592" cy="20"/>
                        </a:xfrm>
                      </wpg:grpSpPr>
                      <wps:wsp>
                        <wps:cNvPr id="951" name="Line 732"/>
                        <wps:cNvCnPr>
                          <a:cxnSpLocks noChangeShapeType="1"/>
                        </wps:cNvCnPr>
                        <wps:spPr bwMode="auto">
                          <a:xfrm>
                            <a:off x="8328" y="29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952" name="Line 731"/>
                        <wps:cNvCnPr>
                          <a:cxnSpLocks noChangeShapeType="1"/>
                        </wps:cNvCnPr>
                        <wps:spPr bwMode="auto">
                          <a:xfrm>
                            <a:off x="8328" y="297"/>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953" name="Line 730"/>
                        <wps:cNvCnPr>
                          <a:cxnSpLocks noChangeShapeType="1"/>
                        </wps:cNvCnPr>
                        <wps:spPr bwMode="auto">
                          <a:xfrm>
                            <a:off x="8328" y="299"/>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954" name="Line 729"/>
                        <wps:cNvCnPr>
                          <a:cxnSpLocks noChangeShapeType="1"/>
                        </wps:cNvCnPr>
                        <wps:spPr bwMode="auto">
                          <a:xfrm>
                            <a:off x="8328" y="302"/>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955" name="Line 728"/>
                        <wps:cNvCnPr>
                          <a:cxnSpLocks noChangeShapeType="1"/>
                        </wps:cNvCnPr>
                        <wps:spPr bwMode="auto">
                          <a:xfrm>
                            <a:off x="8328" y="304"/>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956" name="Line 727"/>
                        <wps:cNvCnPr>
                          <a:cxnSpLocks noChangeShapeType="1"/>
                        </wps:cNvCnPr>
                        <wps:spPr bwMode="auto">
                          <a:xfrm>
                            <a:off x="8328" y="307"/>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957" name="Line 726"/>
                        <wps:cNvCnPr>
                          <a:cxnSpLocks noChangeShapeType="1"/>
                        </wps:cNvCnPr>
                        <wps:spPr bwMode="auto">
                          <a:xfrm>
                            <a:off x="8328" y="309"/>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958" name="Line 725"/>
                        <wps:cNvCnPr>
                          <a:cxnSpLocks noChangeShapeType="1"/>
                        </wps:cNvCnPr>
                        <wps:spPr bwMode="auto">
                          <a:xfrm>
                            <a:off x="8328" y="31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959" name="Line 724"/>
                        <wps:cNvCnPr>
                          <a:cxnSpLocks noChangeShapeType="1"/>
                        </wps:cNvCnPr>
                        <wps:spPr bwMode="auto">
                          <a:xfrm>
                            <a:off x="9624" y="29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960" name="Line 723"/>
                        <wps:cNvCnPr>
                          <a:cxnSpLocks noChangeShapeType="1"/>
                        </wps:cNvCnPr>
                        <wps:spPr bwMode="auto">
                          <a:xfrm>
                            <a:off x="9624" y="297"/>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961" name="Line 722"/>
                        <wps:cNvCnPr>
                          <a:cxnSpLocks noChangeShapeType="1"/>
                        </wps:cNvCnPr>
                        <wps:spPr bwMode="auto">
                          <a:xfrm>
                            <a:off x="9624" y="299"/>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962" name="Line 721"/>
                        <wps:cNvCnPr>
                          <a:cxnSpLocks noChangeShapeType="1"/>
                        </wps:cNvCnPr>
                        <wps:spPr bwMode="auto">
                          <a:xfrm>
                            <a:off x="9624" y="302"/>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963" name="Line 720"/>
                        <wps:cNvCnPr>
                          <a:cxnSpLocks noChangeShapeType="1"/>
                        </wps:cNvCnPr>
                        <wps:spPr bwMode="auto">
                          <a:xfrm>
                            <a:off x="9624" y="304"/>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964" name="Line 719"/>
                        <wps:cNvCnPr>
                          <a:cxnSpLocks noChangeShapeType="1"/>
                        </wps:cNvCnPr>
                        <wps:spPr bwMode="auto">
                          <a:xfrm>
                            <a:off x="9624" y="307"/>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965" name="Line 718"/>
                        <wps:cNvCnPr>
                          <a:cxnSpLocks noChangeShapeType="1"/>
                        </wps:cNvCnPr>
                        <wps:spPr bwMode="auto">
                          <a:xfrm>
                            <a:off x="9624" y="309"/>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966" name="Line 717"/>
                        <wps:cNvCnPr>
                          <a:cxnSpLocks noChangeShapeType="1"/>
                        </wps:cNvCnPr>
                        <wps:spPr bwMode="auto">
                          <a:xfrm>
                            <a:off x="9624" y="31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6BDEF5" id="Group 716" o:spid="_x0000_s1026" style="position:absolute;margin-left:416.4pt;margin-top:14.65pt;width:129.6pt;height:1pt;z-index:-15663104;mso-wrap-distance-left:0;mso-wrap-distance-right:0;mso-position-horizontal-relative:page" coordorigin="8328,293" coordsize="259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">
                <v:line id="Line 732" o:spid="_x0000_s1027" style="position:absolute;visibility:visible;mso-wrap-style:square" from="8328,295" to="962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" strokeweight=".12pt"/>
                <v:line id="Line 731" o:spid="_x0000_s1028" style="position:absolute;visibility:visible;mso-wrap-style:square" from="8328,297" to="9624,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" strokeweight=".12pt"/>
                <v:line id="Line 730" o:spid="_x0000_s1029" style="position:absolute;visibility:visible;mso-wrap-style:square" from="8328,299" to="9624,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" strokeweight=".12pt"/>
                <v:line id="Line 729" o:spid="_x0000_s1030" style="position:absolute;visibility:visible;mso-wrap-style:square" from="8328,302" to="9624,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" strokeweight=".12pt"/>
                <v:line id="Line 728" o:spid="_x0000_s1031" style="position:absolute;visibility:visible;mso-wrap-style:square" from="8328,304" to="9624,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" strokeweight=".12pt"/>
                <v:line id="Line 727" o:spid="_x0000_s1032" style="position:absolute;visibility:visible;mso-wrap-style:square" from="8328,307" to="9624,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" strokeweight=".12pt"/>
                <v:line id="Line 726" o:spid="_x0000_s1033" style="position:absolute;visibility:visible;mso-wrap-style:square" from="8328,309" to="9624,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" strokeweight=".12pt"/>
                <v:line id="Line 725" o:spid="_x0000_s1034" style="position:absolute;visibility:visible;mso-wrap-style:square" from="8328,311" to="9624,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" strokeweight=".12pt"/>
                <v:line id="Line 724" o:spid="_x0000_s1035" style="position:absolute;visibility:visible;mso-wrap-style:square" from="9624,295" to="10920,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" strokeweight=".12pt"/>
                <v:line id="Line 723" o:spid="_x0000_s1036" style="position:absolute;visibility:visible;mso-wrap-style:square" from="9624,297" to="10920,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" strokeweight=".12pt"/>
                <v:line id="Line 722" o:spid="_x0000_s1037" style="position:absolute;visibility:visible;mso-wrap-style:square" from="9624,299" to="10920,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" strokeweight=".12pt"/>
                <v:line id="Line 721" o:spid="_x0000_s1038" style="position:absolute;visibility:visible;mso-wrap-style:square" from="9624,302" to="10920,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" strokeweight=".12pt"/>
                <v:line id="Line 720" o:spid="_x0000_s1039" style="position:absolute;visibility:visible;mso-wrap-style:square" from="9624,304" to="10920,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" strokeweight=".12pt"/>
                <v:line id="Line 719" o:spid="_x0000_s1040" style="position:absolute;visibility:visible;mso-wrap-style:square" from="9624,307" to="1092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" strokeweight=".12pt"/>
                <v:line id="Line 718" o:spid="_x0000_s1041" style="position:absolute;visibility:visible;mso-wrap-style:square" from="9624,309" to="10920,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" strokeweight=".12pt"/>
                <v:line id="Line 717" o:spid="_x0000_s1042" style="position:absolute;visibility:visible;mso-wrap-style:square" from="9624,311" to="10920,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" strokeweight=".12pt"/>
                <w10:wrap type="topAndBottom" anchorx="page"/>
              </v:group>
            </w:pict>
          </mc:Fallback>
        </mc:AlternateContent>
      </w:r>
      <w:r w:rsidR="0015611F">
        <w:t>- no later than 1 year</w:t>
      </w:r>
      <w:r w:rsidR="0015611F">
        <w:tab/>
      </w:r>
      <w:r w:rsidR="0015611F">
        <w:rPr>
          <w:b/>
        </w:rPr>
        <w:t>2,957</w:t>
      </w:r>
      <w:r w:rsidR="0015611F">
        <w:rPr>
          <w:b/>
        </w:rPr>
        <w:tab/>
      </w:r>
      <w:r w:rsidR="0015611F">
        <w:t>-</w:t>
      </w:r>
    </w:p>
    <w:p w14:paraId="774768E3" w14:textId="77777777" w:rsidR="00FA4AA8" w:rsidRDefault="0015611F">
      <w:pPr>
        <w:tabs>
          <w:tab w:val="left" w:pos="8241"/>
          <w:tab w:val="left" w:pos="9933"/>
        </w:tabs>
        <w:ind w:left="592"/>
        <w:rPr>
          <w:sz w:val="18"/>
        </w:rPr>
      </w:pPr>
      <w:r>
        <w:rPr>
          <w:position w:val="9"/>
          <w:sz w:val="18"/>
        </w:rPr>
        <w:t>Total</w:t>
      </w:r>
      <w:r>
        <w:rPr>
          <w:position w:val="9"/>
          <w:sz w:val="18"/>
        </w:rPr>
        <w:tab/>
      </w:r>
      <w:r>
        <w:rPr>
          <w:b/>
          <w:sz w:val="18"/>
        </w:rPr>
        <w:t>2,957</w:t>
      </w:r>
      <w:r>
        <w:rPr>
          <w:b/>
          <w:sz w:val="18"/>
        </w:rPr>
        <w:tab/>
      </w:r>
      <w:r>
        <w:rPr>
          <w:sz w:val="18"/>
        </w:rPr>
        <w:t>-</w:t>
      </w:r>
    </w:p>
    <w:p w14:paraId="098FC627" w14:textId="77777777" w:rsidR="00FA4AA8" w:rsidRDefault="007E2441">
      <w:pPr>
        <w:pStyle w:val="BodyText"/>
        <w:spacing w:line="30" w:lineRule="exact"/>
        <w:ind w:left="7486"/>
        <w:rPr>
          <w:sz w:val="3"/>
        </w:rPr>
      </w:pPr>
      <w:r>
        <w:rPr>
          <w:noProof/>
          <w:sz w:val="3"/>
          <w:lang w:val="en-AU" w:eastAsia="en-AU"/>
        </w:rPr>
        <mc:AlternateContent>
          <mc:Choice Requires="wpg">
            <w:drawing>
              <wp:inline distT="0" distB="0" distL="0" distR="0" wp14:anchorId="1A2FFB7F" wp14:editId="3DD004D6">
                <wp:extent cx="1645920" cy="18415"/>
                <wp:effectExtent l="9525" t="9525" r="11430" b="10160"/>
                <wp:docPr id="925" name="Group 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5920" cy="18415"/>
                          <a:chOff x="0" y="0"/>
                          <a:chExt cx="2592" cy="29"/>
                        </a:xfrm>
                      </wpg:grpSpPr>
                      <wps:wsp>
                        <wps:cNvPr id="926" name="Line 715"/>
                        <wps:cNvCnPr>
                          <a:cxnSpLocks noChangeShapeType="1"/>
                        </wps:cNvCnPr>
                        <wps:spPr bwMode="auto">
                          <a:xfrm>
                            <a:off x="0" y="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927" name="Line 714"/>
                        <wps:cNvCnPr>
                          <a:cxnSpLocks noChangeShapeType="1"/>
                        </wps:cNvCnPr>
                        <wps:spPr bwMode="auto">
                          <a:xfrm>
                            <a:off x="0" y="4"/>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928" name="Line 713"/>
                        <wps:cNvCnPr>
                          <a:cxnSpLocks noChangeShapeType="1"/>
                        </wps:cNvCnPr>
                        <wps:spPr bwMode="auto">
                          <a:xfrm>
                            <a:off x="0" y="6"/>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929" name="Line 712"/>
                        <wps:cNvCnPr>
                          <a:cxnSpLocks noChangeShapeType="1"/>
                        </wps:cNvCnPr>
                        <wps:spPr bwMode="auto">
                          <a:xfrm>
                            <a:off x="0" y="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930" name="Line 711"/>
                        <wps:cNvCnPr>
                          <a:cxnSpLocks noChangeShapeType="1"/>
                        </wps:cNvCnPr>
                        <wps:spPr bwMode="auto">
                          <a:xfrm>
                            <a:off x="0" y="1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931" name="Line 710"/>
                        <wps:cNvCnPr>
                          <a:cxnSpLocks noChangeShapeType="1"/>
                        </wps:cNvCnPr>
                        <wps:spPr bwMode="auto">
                          <a:xfrm>
                            <a:off x="0" y="1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932" name="Line 709"/>
                        <wps:cNvCnPr>
                          <a:cxnSpLocks noChangeShapeType="1"/>
                        </wps:cNvCnPr>
                        <wps:spPr bwMode="auto">
                          <a:xfrm>
                            <a:off x="0" y="16"/>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933" name="Line 708"/>
                        <wps:cNvCnPr>
                          <a:cxnSpLocks noChangeShapeType="1"/>
                        </wps:cNvCnPr>
                        <wps:spPr bwMode="auto">
                          <a:xfrm>
                            <a:off x="0" y="1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934" name="Line 707"/>
                        <wps:cNvCnPr>
                          <a:cxnSpLocks noChangeShapeType="1"/>
                        </wps:cNvCnPr>
                        <wps:spPr bwMode="auto">
                          <a:xfrm>
                            <a:off x="0" y="2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935" name="Line 706"/>
                        <wps:cNvCnPr>
                          <a:cxnSpLocks noChangeShapeType="1"/>
                        </wps:cNvCnPr>
                        <wps:spPr bwMode="auto">
                          <a:xfrm>
                            <a:off x="0" y="2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936" name="Line 705"/>
                        <wps:cNvCnPr>
                          <a:cxnSpLocks noChangeShapeType="1"/>
                        </wps:cNvCnPr>
                        <wps:spPr bwMode="auto">
                          <a:xfrm>
                            <a:off x="0" y="2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937" name="Line 704"/>
                        <wps:cNvCnPr>
                          <a:cxnSpLocks noChangeShapeType="1"/>
                        </wps:cNvCnPr>
                        <wps:spPr bwMode="auto">
                          <a:xfrm>
                            <a:off x="0" y="2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938" name="Line 703"/>
                        <wps:cNvCnPr>
                          <a:cxnSpLocks noChangeShapeType="1"/>
                        </wps:cNvCnPr>
                        <wps:spPr bwMode="auto">
                          <a:xfrm>
                            <a:off x="1296" y="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939" name="Line 702"/>
                        <wps:cNvCnPr>
                          <a:cxnSpLocks noChangeShapeType="1"/>
                        </wps:cNvCnPr>
                        <wps:spPr bwMode="auto">
                          <a:xfrm>
                            <a:off x="1296" y="4"/>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940" name="Line 701"/>
                        <wps:cNvCnPr>
                          <a:cxnSpLocks noChangeShapeType="1"/>
                        </wps:cNvCnPr>
                        <wps:spPr bwMode="auto">
                          <a:xfrm>
                            <a:off x="1296" y="6"/>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941" name="Line 700"/>
                        <wps:cNvCnPr>
                          <a:cxnSpLocks noChangeShapeType="1"/>
                        </wps:cNvCnPr>
                        <wps:spPr bwMode="auto">
                          <a:xfrm>
                            <a:off x="1296" y="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942" name="Line 699"/>
                        <wps:cNvCnPr>
                          <a:cxnSpLocks noChangeShapeType="1"/>
                        </wps:cNvCnPr>
                        <wps:spPr bwMode="auto">
                          <a:xfrm>
                            <a:off x="1296" y="11"/>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943" name="Line 698"/>
                        <wps:cNvCnPr>
                          <a:cxnSpLocks noChangeShapeType="1"/>
                        </wps:cNvCnPr>
                        <wps:spPr bwMode="auto">
                          <a:xfrm>
                            <a:off x="1296" y="1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944" name="Line 697"/>
                        <wps:cNvCnPr>
                          <a:cxnSpLocks noChangeShapeType="1"/>
                        </wps:cNvCnPr>
                        <wps:spPr bwMode="auto">
                          <a:xfrm>
                            <a:off x="1296" y="16"/>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945" name="Line 696"/>
                        <wps:cNvCnPr>
                          <a:cxnSpLocks noChangeShapeType="1"/>
                        </wps:cNvCnPr>
                        <wps:spPr bwMode="auto">
                          <a:xfrm>
                            <a:off x="1296" y="1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946" name="Line 695"/>
                        <wps:cNvCnPr>
                          <a:cxnSpLocks noChangeShapeType="1"/>
                        </wps:cNvCnPr>
                        <wps:spPr bwMode="auto">
                          <a:xfrm>
                            <a:off x="1296" y="20"/>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947" name="Line 694"/>
                        <wps:cNvCnPr>
                          <a:cxnSpLocks noChangeShapeType="1"/>
                        </wps:cNvCnPr>
                        <wps:spPr bwMode="auto">
                          <a:xfrm>
                            <a:off x="1296" y="23"/>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948" name="Line 693"/>
                        <wps:cNvCnPr>
                          <a:cxnSpLocks noChangeShapeType="1"/>
                        </wps:cNvCnPr>
                        <wps:spPr bwMode="auto">
                          <a:xfrm>
                            <a:off x="1296" y="25"/>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949" name="Line 692"/>
                        <wps:cNvCnPr>
                          <a:cxnSpLocks noChangeShapeType="1"/>
                        </wps:cNvCnPr>
                        <wps:spPr bwMode="auto">
                          <a:xfrm>
                            <a:off x="1296" y="28"/>
                            <a:ext cx="129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7C36C6C" id="Group 691" o:spid="_x0000_s1026" style="width:129.6pt;height:1.45pt;mso-position-horizontal-relative:char;mso-position-vertical-relative:line" coordsize="259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">
                <v:line id="Line 715" o:spid="_x0000_s1027" style="position:absolute;visibility:visible;mso-wrap-style:square" from="0,1" to="12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" strokeweight=".12pt"/>
                <v:line id="Line 714" o:spid="_x0000_s1028" style="position:absolute;visibility:visible;mso-wrap-style:square" from="0,4" to="12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" strokeweight=".12pt"/>
                <v:line id="Line 713" o:spid="_x0000_s1029" style="position:absolute;visibility:visible;mso-wrap-style:square" from="0,6" to="12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" strokeweight=".12pt"/>
                <v:line id="Line 712" o:spid="_x0000_s1030" style="position:absolute;visibility:visible;mso-wrap-style:square" from="0,8" to="12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" strokeweight=".12pt"/>
                <v:line id="Line 711" o:spid="_x0000_s1031" style="position:absolute;visibility:visible;mso-wrap-style:square" from="0,11" to="12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" strokeweight=".12pt"/>
                <v:line id="Line 710" o:spid="_x0000_s1032" style="position:absolute;visibility:visible;mso-wrap-style:square" from="0,13" to="129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" strokeweight=".12pt"/>
                <v:line id="Line 709" o:spid="_x0000_s1033" style="position:absolute;visibility:visible;mso-wrap-style:square" from="0,16" to="129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" strokeweight=".12pt"/>
                <v:line id="Line 708" o:spid="_x0000_s1034" style="position:absolute;visibility:visible;mso-wrap-style:square" from="0,18" to="129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" strokeweight=".12pt"/>
                <v:line id="Line 707" o:spid="_x0000_s1035" style="position:absolute;visibility:visible;mso-wrap-style:square" from="0,20" to="129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" strokeweight=".12pt"/>
                <v:line id="Line 706" o:spid="_x0000_s1036" style="position:absolute;visibility:visible;mso-wrap-style:square" from="0,23" to="129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" strokeweight=".12pt"/>
                <v:line id="Line 705" o:spid="_x0000_s1037" style="position:absolute;visibility:visible;mso-wrap-style:square" from="0,25" to="129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" strokeweight=".12pt"/>
                <v:line id="Line 704" o:spid="_x0000_s1038" style="position:absolute;visibility:visible;mso-wrap-style:square" from="0,28" to="129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" strokeweight=".12pt"/>
                <v:line id="Line 703" o:spid="_x0000_s1039" style="position:absolute;visibility:visible;mso-wrap-style:square" from="1296,1" to="25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" strokeweight=".12pt"/>
                <v:line id="Line 702" o:spid="_x0000_s1040" style="position:absolute;visibility:visible;mso-wrap-style:square" from="1296,4" to="25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" strokeweight=".12pt"/>
                <v:line id="Line 701" o:spid="_x0000_s1041" style="position:absolute;visibility:visible;mso-wrap-style:square" from="1296,6" to="25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" strokeweight=".12pt"/>
                <v:line id="Line 700" o:spid="_x0000_s1042" style="position:absolute;visibility:visible;mso-wrap-style:square" from="1296,8" to="25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" strokeweight=".12pt"/>
                <v:line id="Line 699" o:spid="_x0000_s1043" style="position:absolute;visibility:visible;mso-wrap-style:square" from="1296,11" to="259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" strokeweight=".12pt"/>
                <v:line id="Line 698" o:spid="_x0000_s1044" style="position:absolute;visibility:visible;mso-wrap-style:square" from="1296,13" to="259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" strokeweight=".12pt"/>
                <v:line id="Line 697" o:spid="_x0000_s1045" style="position:absolute;visibility:visible;mso-wrap-style:square" from="1296,16" to="259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" strokeweight=".12pt"/>
                <v:line id="Line 696" o:spid="_x0000_s1046" style="position:absolute;visibility:visible;mso-wrap-style:square" from="1296,18" to="259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" strokeweight=".12pt"/>
                <v:line id="Line 695" o:spid="_x0000_s1047" style="position:absolute;visibility:visible;mso-wrap-style:square" from="1296,20" to="259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" strokeweight=".12pt"/>
                <v:line id="Line 694" o:spid="_x0000_s1048" style="position:absolute;visibility:visible;mso-wrap-style:square" from="1296,23" to="259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" strokeweight=".12pt"/>
                <v:line id="Line 693" o:spid="_x0000_s1049" style="position:absolute;visibility:visible;mso-wrap-style:square" from="1296,25" to="259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" strokeweight=".12pt"/>
                <v:line id="Line 692" o:spid="_x0000_s1050" style="position:absolute;visibility:visible;mso-wrap-style:square" from="1296,28" to="259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" strokeweight=".12pt"/>
                <w10:anchorlock/>
              </v:group>
            </w:pict>
          </mc:Fallback>
        </mc:AlternateContent>
      </w:r>
    </w:p>
    <w:p w14:paraId="6BB1790B" w14:textId="77777777" w:rsidR="00FA4AA8" w:rsidRDefault="00FA4AA8">
      <w:pPr>
        <w:pStyle w:val="BodyText"/>
        <w:spacing w:before="4"/>
      </w:pPr>
    </w:p>
    <w:p w14:paraId="127D81A7" w14:textId="77777777" w:rsidR="00FA4AA8" w:rsidRDefault="0015611F">
      <w:pPr>
        <w:numPr>
          <w:ilvl w:val="0"/>
          <w:numId w:val="45"/>
        </w:numPr>
        <w:tabs>
          <w:tab w:val="left" w:pos="564"/>
        </w:tabs>
        <w:spacing w:before="94"/>
        <w:rPr>
          <w:b/>
          <w:sz w:val="18"/>
        </w:rPr>
      </w:pPr>
      <w:r>
        <w:rPr>
          <w:b/>
          <w:sz w:val="18"/>
        </w:rPr>
        <w:t>Lease</w:t>
      </w:r>
      <w:r>
        <w:rPr>
          <w:b/>
          <w:spacing w:val="1"/>
          <w:sz w:val="18"/>
        </w:rPr>
        <w:t xml:space="preserve"> </w:t>
      </w:r>
      <w:r>
        <w:rPr>
          <w:b/>
          <w:sz w:val="18"/>
        </w:rPr>
        <w:t>commitments</w:t>
      </w:r>
    </w:p>
    <w:p w14:paraId="73E39172" w14:textId="77777777" w:rsidR="00FA4AA8" w:rsidRDefault="0015611F">
      <w:pPr>
        <w:pStyle w:val="BodyText"/>
        <w:spacing w:before="146" w:after="39"/>
        <w:ind w:left="564"/>
      </w:pPr>
      <w:r>
        <w:t>Commitments for minimum lease payments in relation to non-cancellable operating leases are payable as follows.</w:t>
      </w:r>
    </w:p>
    <w:tbl>
      <w:tblPr>
        <w:tblW w:w="0" w:type="auto"/>
        <w:tblInd w:w="523" w:type="dxa"/>
        <w:tblLayout w:type="fixed"/>
        <w:tblCellMar>
          <w:left w:w="0" w:type="dxa"/>
          <w:right w:w="0" w:type="dxa"/>
        </w:tblCellMar>
        <w:tblLook w:val="01E0" w:firstRow="1" w:lastRow="1" w:firstColumn="1" w:lastColumn="1" w:noHBand="0" w:noVBand="0"/>
      </w:tblPr>
      <w:tblGrid>
        <w:gridCol w:w="6974"/>
        <w:gridCol w:w="1479"/>
        <w:gridCol w:w="819"/>
        <w:gridCol w:w="292"/>
      </w:tblGrid>
      <w:tr w:rsidR="00FA4AA8" w14:paraId="65860577" w14:textId="77777777">
        <w:trPr>
          <w:trHeight w:val="508"/>
        </w:trPr>
        <w:tc>
          <w:tcPr>
            <w:tcW w:w="6974" w:type="dxa"/>
          </w:tcPr>
          <w:p w14:paraId="7C4FC1F0" w14:textId="77777777" w:rsidR="00FA4AA8" w:rsidRDefault="00FA4AA8">
            <w:pPr>
              <w:pStyle w:val="TableParagraph"/>
              <w:rPr>
                <w:rFonts w:ascii="Times New Roman"/>
                <w:sz w:val="18"/>
              </w:rPr>
            </w:pPr>
          </w:p>
        </w:tc>
        <w:tc>
          <w:tcPr>
            <w:tcW w:w="1479" w:type="dxa"/>
          </w:tcPr>
          <w:p w14:paraId="1AD01A63" w14:textId="77777777" w:rsidR="00FA4AA8" w:rsidRDefault="0015611F">
            <w:pPr>
              <w:pStyle w:val="TableParagraph"/>
              <w:spacing w:line="201" w:lineRule="exact"/>
              <w:ind w:left="450" w:right="587"/>
              <w:jc w:val="center"/>
              <w:rPr>
                <w:b/>
                <w:sz w:val="18"/>
              </w:rPr>
            </w:pPr>
            <w:r>
              <w:rPr>
                <w:b/>
                <w:sz w:val="18"/>
              </w:rPr>
              <w:t>2018</w:t>
            </w:r>
          </w:p>
          <w:p w14:paraId="3C9107BB" w14:textId="77777777" w:rsidR="00FA4AA8" w:rsidRDefault="0015611F">
            <w:pPr>
              <w:pStyle w:val="TableParagraph"/>
              <w:spacing w:before="66"/>
              <w:ind w:right="138"/>
              <w:jc w:val="center"/>
              <w:rPr>
                <w:b/>
                <w:sz w:val="18"/>
              </w:rPr>
            </w:pPr>
            <w:r>
              <w:rPr>
                <w:b/>
                <w:sz w:val="18"/>
              </w:rPr>
              <w:t>$</w:t>
            </w:r>
          </w:p>
        </w:tc>
        <w:tc>
          <w:tcPr>
            <w:tcW w:w="819" w:type="dxa"/>
          </w:tcPr>
          <w:p w14:paraId="22E25A84" w14:textId="77777777" w:rsidR="00FA4AA8" w:rsidRDefault="0015611F">
            <w:pPr>
              <w:pStyle w:val="TableParagraph"/>
              <w:spacing w:line="201" w:lineRule="exact"/>
              <w:ind w:left="251" w:right="126"/>
              <w:jc w:val="center"/>
              <w:rPr>
                <w:b/>
                <w:sz w:val="18"/>
              </w:rPr>
            </w:pPr>
            <w:r>
              <w:rPr>
                <w:b/>
                <w:sz w:val="18"/>
              </w:rPr>
              <w:t>2017</w:t>
            </w:r>
          </w:p>
          <w:p w14:paraId="60B73BAA" w14:textId="77777777" w:rsidR="00FA4AA8" w:rsidRDefault="0015611F">
            <w:pPr>
              <w:pStyle w:val="TableParagraph"/>
              <w:spacing w:before="66"/>
              <w:ind w:left="124"/>
              <w:jc w:val="center"/>
              <w:rPr>
                <w:b/>
                <w:sz w:val="18"/>
              </w:rPr>
            </w:pPr>
            <w:r>
              <w:rPr>
                <w:b/>
                <w:sz w:val="18"/>
              </w:rPr>
              <w:t>$</w:t>
            </w:r>
          </w:p>
        </w:tc>
        <w:tc>
          <w:tcPr>
            <w:tcW w:w="292" w:type="dxa"/>
          </w:tcPr>
          <w:p w14:paraId="7078CE0F" w14:textId="77777777" w:rsidR="00FA4AA8" w:rsidRDefault="00FA4AA8">
            <w:pPr>
              <w:pStyle w:val="TableParagraph"/>
              <w:rPr>
                <w:rFonts w:ascii="Times New Roman"/>
                <w:sz w:val="18"/>
              </w:rPr>
            </w:pPr>
          </w:p>
        </w:tc>
      </w:tr>
      <w:tr w:rsidR="00FA4AA8" w14:paraId="613F0830" w14:textId="77777777">
        <w:trPr>
          <w:trHeight w:val="267"/>
        </w:trPr>
        <w:tc>
          <w:tcPr>
            <w:tcW w:w="6974" w:type="dxa"/>
          </w:tcPr>
          <w:p w14:paraId="618C9559" w14:textId="77777777" w:rsidR="00FA4AA8" w:rsidRDefault="0015611F">
            <w:pPr>
              <w:pStyle w:val="TableParagraph"/>
              <w:spacing w:before="30"/>
              <w:ind w:left="50"/>
              <w:rPr>
                <w:sz w:val="18"/>
              </w:rPr>
            </w:pPr>
            <w:r>
              <w:rPr>
                <w:sz w:val="18"/>
              </w:rPr>
              <w:t>- no later than 1 year</w:t>
            </w:r>
          </w:p>
        </w:tc>
        <w:tc>
          <w:tcPr>
            <w:tcW w:w="1479" w:type="dxa"/>
          </w:tcPr>
          <w:p w14:paraId="694A5F7B" w14:textId="77777777" w:rsidR="00FA4AA8" w:rsidRDefault="0015611F">
            <w:pPr>
              <w:pStyle w:val="TableParagraph"/>
              <w:spacing w:before="28"/>
              <w:ind w:right="267"/>
              <w:jc w:val="right"/>
              <w:rPr>
                <w:b/>
                <w:sz w:val="18"/>
              </w:rPr>
            </w:pPr>
            <w:r>
              <w:rPr>
                <w:b/>
                <w:sz w:val="18"/>
              </w:rPr>
              <w:t>8,670</w:t>
            </w:r>
          </w:p>
        </w:tc>
        <w:tc>
          <w:tcPr>
            <w:tcW w:w="819" w:type="dxa"/>
          </w:tcPr>
          <w:p w14:paraId="653DDDF4" w14:textId="77777777" w:rsidR="00FA4AA8" w:rsidRDefault="00FA4AA8">
            <w:pPr>
              <w:pStyle w:val="TableParagraph"/>
              <w:rPr>
                <w:rFonts w:ascii="Times New Roman"/>
                <w:sz w:val="18"/>
              </w:rPr>
            </w:pPr>
          </w:p>
        </w:tc>
        <w:tc>
          <w:tcPr>
            <w:tcW w:w="292" w:type="dxa"/>
          </w:tcPr>
          <w:p w14:paraId="1178C58A" w14:textId="77777777" w:rsidR="00FA4AA8" w:rsidRDefault="0015611F">
            <w:pPr>
              <w:pStyle w:val="TableParagraph"/>
              <w:spacing w:before="28"/>
              <w:ind w:left="63"/>
              <w:jc w:val="center"/>
              <w:rPr>
                <w:sz w:val="18"/>
              </w:rPr>
            </w:pPr>
            <w:r>
              <w:rPr>
                <w:sz w:val="18"/>
              </w:rPr>
              <w:t>-</w:t>
            </w:r>
          </w:p>
        </w:tc>
      </w:tr>
      <w:tr w:rsidR="00FA4AA8" w14:paraId="13E0647C" w14:textId="77777777">
        <w:trPr>
          <w:trHeight w:val="256"/>
        </w:trPr>
        <w:tc>
          <w:tcPr>
            <w:tcW w:w="6974" w:type="dxa"/>
          </w:tcPr>
          <w:p w14:paraId="4A29F719" w14:textId="77777777" w:rsidR="00FA4AA8" w:rsidRDefault="0015611F">
            <w:pPr>
              <w:pStyle w:val="TableParagraph"/>
              <w:spacing w:before="26"/>
              <w:ind w:left="50"/>
              <w:rPr>
                <w:sz w:val="18"/>
              </w:rPr>
            </w:pPr>
            <w:r>
              <w:rPr>
                <w:sz w:val="18"/>
              </w:rPr>
              <w:t>- between 1 year and 5 years</w:t>
            </w:r>
          </w:p>
        </w:tc>
        <w:tc>
          <w:tcPr>
            <w:tcW w:w="1479" w:type="dxa"/>
            <w:tcBorders>
              <w:bottom w:val="single" w:sz="8" w:space="0" w:color="000000"/>
            </w:tcBorders>
          </w:tcPr>
          <w:p w14:paraId="46F955DE" w14:textId="77777777" w:rsidR="00FA4AA8" w:rsidRDefault="0015611F">
            <w:pPr>
              <w:pStyle w:val="TableParagraph"/>
              <w:spacing w:before="24"/>
              <w:ind w:right="267"/>
              <w:jc w:val="right"/>
              <w:rPr>
                <w:b/>
                <w:sz w:val="18"/>
              </w:rPr>
            </w:pPr>
            <w:r>
              <w:rPr>
                <w:b/>
                <w:sz w:val="18"/>
              </w:rPr>
              <w:t>7,369</w:t>
            </w:r>
          </w:p>
        </w:tc>
        <w:tc>
          <w:tcPr>
            <w:tcW w:w="819" w:type="dxa"/>
            <w:tcBorders>
              <w:bottom w:val="single" w:sz="8" w:space="0" w:color="000000"/>
            </w:tcBorders>
          </w:tcPr>
          <w:p w14:paraId="6660130B" w14:textId="77777777" w:rsidR="00FA4AA8" w:rsidRDefault="00FA4AA8">
            <w:pPr>
              <w:pStyle w:val="TableParagraph"/>
              <w:rPr>
                <w:rFonts w:ascii="Times New Roman"/>
                <w:sz w:val="18"/>
              </w:rPr>
            </w:pPr>
          </w:p>
        </w:tc>
        <w:tc>
          <w:tcPr>
            <w:tcW w:w="292" w:type="dxa"/>
            <w:tcBorders>
              <w:bottom w:val="single" w:sz="8" w:space="0" w:color="000000"/>
            </w:tcBorders>
          </w:tcPr>
          <w:p w14:paraId="0EC76E55" w14:textId="77777777" w:rsidR="00FA4AA8" w:rsidRDefault="0015611F">
            <w:pPr>
              <w:pStyle w:val="TableParagraph"/>
              <w:spacing w:before="24"/>
              <w:ind w:left="63"/>
              <w:jc w:val="center"/>
              <w:rPr>
                <w:sz w:val="18"/>
              </w:rPr>
            </w:pPr>
            <w:r>
              <w:rPr>
                <w:sz w:val="18"/>
              </w:rPr>
              <w:t>-</w:t>
            </w:r>
          </w:p>
        </w:tc>
      </w:tr>
      <w:tr w:rsidR="00FA4AA8" w14:paraId="2A25E276" w14:textId="77777777">
        <w:trPr>
          <w:trHeight w:val="318"/>
        </w:trPr>
        <w:tc>
          <w:tcPr>
            <w:tcW w:w="6974" w:type="dxa"/>
          </w:tcPr>
          <w:p w14:paraId="227BA5F7" w14:textId="77777777" w:rsidR="00FA4AA8" w:rsidRDefault="0015611F">
            <w:pPr>
              <w:pStyle w:val="TableParagraph"/>
              <w:spacing w:before="88"/>
              <w:ind w:left="50"/>
              <w:rPr>
                <w:sz w:val="18"/>
              </w:rPr>
            </w:pPr>
            <w:r>
              <w:rPr>
                <w:sz w:val="18"/>
              </w:rPr>
              <w:t>Total future minimum lease payments</w:t>
            </w:r>
          </w:p>
        </w:tc>
        <w:tc>
          <w:tcPr>
            <w:tcW w:w="1479" w:type="dxa"/>
            <w:tcBorders>
              <w:top w:val="single" w:sz="8" w:space="0" w:color="000000"/>
              <w:bottom w:val="single" w:sz="8" w:space="0" w:color="000000"/>
            </w:tcBorders>
          </w:tcPr>
          <w:p w14:paraId="7C9AC20E" w14:textId="77777777" w:rsidR="00FA4AA8" w:rsidRDefault="0015611F">
            <w:pPr>
              <w:pStyle w:val="TableParagraph"/>
              <w:spacing w:before="115" w:line="183" w:lineRule="exact"/>
              <w:ind w:right="267"/>
              <w:jc w:val="right"/>
              <w:rPr>
                <w:b/>
                <w:sz w:val="18"/>
              </w:rPr>
            </w:pPr>
            <w:r>
              <w:rPr>
                <w:b/>
                <w:sz w:val="18"/>
              </w:rPr>
              <w:t>16,039</w:t>
            </w:r>
          </w:p>
        </w:tc>
        <w:tc>
          <w:tcPr>
            <w:tcW w:w="819" w:type="dxa"/>
            <w:tcBorders>
              <w:top w:val="single" w:sz="8" w:space="0" w:color="000000"/>
              <w:bottom w:val="single" w:sz="8" w:space="0" w:color="000000"/>
            </w:tcBorders>
          </w:tcPr>
          <w:p w14:paraId="58137E4F" w14:textId="77777777" w:rsidR="00FA4AA8" w:rsidRDefault="00FA4AA8">
            <w:pPr>
              <w:pStyle w:val="TableParagraph"/>
              <w:rPr>
                <w:rFonts w:ascii="Times New Roman"/>
                <w:sz w:val="18"/>
              </w:rPr>
            </w:pPr>
          </w:p>
        </w:tc>
        <w:tc>
          <w:tcPr>
            <w:tcW w:w="292" w:type="dxa"/>
            <w:tcBorders>
              <w:top w:val="single" w:sz="8" w:space="0" w:color="000000"/>
              <w:bottom w:val="single" w:sz="8" w:space="0" w:color="000000"/>
            </w:tcBorders>
          </w:tcPr>
          <w:p w14:paraId="7EE173D6" w14:textId="77777777" w:rsidR="00FA4AA8" w:rsidRDefault="0015611F">
            <w:pPr>
              <w:pStyle w:val="TableParagraph"/>
              <w:spacing w:before="115" w:line="183" w:lineRule="exact"/>
              <w:ind w:left="63"/>
              <w:jc w:val="center"/>
              <w:rPr>
                <w:sz w:val="18"/>
              </w:rPr>
            </w:pPr>
            <w:r>
              <w:rPr>
                <w:sz w:val="18"/>
              </w:rPr>
              <w:t>-</w:t>
            </w:r>
          </w:p>
        </w:tc>
      </w:tr>
    </w:tbl>
    <w:p w14:paraId="0A6D9D51" w14:textId="77777777" w:rsidR="00FA4AA8" w:rsidRDefault="00FA4AA8">
      <w:pPr>
        <w:spacing w:line="183" w:lineRule="exact"/>
        <w:jc w:val="center"/>
        <w:rPr>
          <w:sz w:val="18"/>
        </w:rPr>
        <w:sectPr w:rsidR="00FA4AA8">
          <w:type w:val="continuous"/>
          <w:pgSz w:w="11910" w:h="16840"/>
          <w:pgMar w:top="20" w:right="880" w:bottom="0" w:left="840" w:header="720" w:footer="720" w:gutter="0"/>
          <w:cols w:space="720"/>
        </w:sectPr>
      </w:pPr>
    </w:p>
    <w:p w14:paraId="2A38D4BD" w14:textId="77777777" w:rsidR="00FA4AA8" w:rsidRDefault="0015611F">
      <w:pPr>
        <w:pStyle w:val="Heading4"/>
      </w:pPr>
      <w:bookmarkStart w:id="207" w:name="13_Related_Parties_"/>
      <w:bookmarkStart w:id="208" w:name="(a)_Entities_exercising_control_over_the"/>
      <w:bookmarkEnd w:id="207"/>
      <w:bookmarkEnd w:id="208"/>
      <w:r>
        <w:t>Notes to the Financial Statements</w:t>
      </w:r>
    </w:p>
    <w:p w14:paraId="614625DC" w14:textId="77777777" w:rsidR="00FA4AA8" w:rsidRDefault="0015611F">
      <w:pPr>
        <w:pStyle w:val="Heading6"/>
        <w:ind w:left="167"/>
      </w:pPr>
      <w:r>
        <w:t>For the year ended 31 December</w:t>
      </w:r>
      <w:r>
        <w:rPr>
          <w:spacing w:val="-13"/>
        </w:rPr>
        <w:t xml:space="preserve"> </w:t>
      </w:r>
      <w:r>
        <w:t>2018</w:t>
      </w:r>
    </w:p>
    <w:p w14:paraId="5B274289" w14:textId="77777777" w:rsidR="00FA4AA8" w:rsidRDefault="00FA4AA8">
      <w:pPr>
        <w:pStyle w:val="BodyText"/>
        <w:spacing w:before="7"/>
        <w:rPr>
          <w:b/>
          <w:sz w:val="25"/>
        </w:rPr>
      </w:pPr>
    </w:p>
    <w:tbl>
      <w:tblPr>
        <w:tblW w:w="0" w:type="auto"/>
        <w:tblInd w:w="125" w:type="dxa"/>
        <w:tblLayout w:type="fixed"/>
        <w:tblCellMar>
          <w:left w:w="0" w:type="dxa"/>
          <w:right w:w="0" w:type="dxa"/>
        </w:tblCellMar>
        <w:tblLook w:val="01E0" w:firstRow="1" w:lastRow="1" w:firstColumn="1" w:lastColumn="1" w:noHBand="0" w:noVBand="0"/>
      </w:tblPr>
      <w:tblGrid>
        <w:gridCol w:w="360"/>
        <w:gridCol w:w="7009"/>
        <w:gridCol w:w="1453"/>
        <w:gridCol w:w="1140"/>
      </w:tblGrid>
      <w:tr w:rsidR="00FA4AA8" w14:paraId="725E4546" w14:textId="77777777">
        <w:trPr>
          <w:trHeight w:val="1602"/>
        </w:trPr>
        <w:tc>
          <w:tcPr>
            <w:tcW w:w="360" w:type="dxa"/>
          </w:tcPr>
          <w:p w14:paraId="0C3064E7" w14:textId="77777777" w:rsidR="00FA4AA8" w:rsidRDefault="0015611F">
            <w:pPr>
              <w:pStyle w:val="TableParagraph"/>
              <w:spacing w:line="201" w:lineRule="exact"/>
              <w:ind w:left="50"/>
              <w:rPr>
                <w:b/>
                <w:sz w:val="18"/>
              </w:rPr>
            </w:pPr>
            <w:bookmarkStart w:id="209" w:name="(b)_Transactions_with_related_parties"/>
            <w:bookmarkEnd w:id="209"/>
            <w:r>
              <w:rPr>
                <w:b/>
                <w:sz w:val="18"/>
              </w:rPr>
              <w:t>13</w:t>
            </w:r>
          </w:p>
          <w:p w14:paraId="379BB14F" w14:textId="77777777" w:rsidR="00FA4AA8" w:rsidRDefault="00FA4AA8">
            <w:pPr>
              <w:pStyle w:val="TableParagraph"/>
              <w:spacing w:before="7"/>
              <w:rPr>
                <w:b/>
                <w:sz w:val="26"/>
              </w:rPr>
            </w:pPr>
          </w:p>
          <w:p w14:paraId="6AEDF0CC" w14:textId="77777777" w:rsidR="00FA4AA8" w:rsidRDefault="0015611F">
            <w:pPr>
              <w:pStyle w:val="TableParagraph"/>
              <w:ind w:left="52"/>
              <w:rPr>
                <w:sz w:val="18"/>
              </w:rPr>
            </w:pPr>
            <w:r>
              <w:rPr>
                <w:sz w:val="18"/>
              </w:rPr>
              <w:t>(a)</w:t>
            </w:r>
          </w:p>
          <w:p w14:paraId="453BBECA" w14:textId="77777777" w:rsidR="00FA4AA8" w:rsidRDefault="00FA4AA8">
            <w:pPr>
              <w:pStyle w:val="TableParagraph"/>
              <w:rPr>
                <w:b/>
                <w:sz w:val="20"/>
              </w:rPr>
            </w:pPr>
          </w:p>
          <w:p w14:paraId="20132ED1" w14:textId="77777777" w:rsidR="00FA4AA8" w:rsidRDefault="00FA4AA8">
            <w:pPr>
              <w:pStyle w:val="TableParagraph"/>
              <w:rPr>
                <w:b/>
                <w:sz w:val="20"/>
              </w:rPr>
            </w:pPr>
          </w:p>
          <w:p w14:paraId="1AF7BCD4" w14:textId="77777777" w:rsidR="00FA4AA8" w:rsidRDefault="00FA4AA8">
            <w:pPr>
              <w:pStyle w:val="TableParagraph"/>
              <w:spacing w:before="4"/>
              <w:rPr>
                <w:b/>
                <w:sz w:val="17"/>
              </w:rPr>
            </w:pPr>
          </w:p>
          <w:p w14:paraId="2D13CDA2" w14:textId="77777777" w:rsidR="00FA4AA8" w:rsidRDefault="0015611F">
            <w:pPr>
              <w:pStyle w:val="TableParagraph"/>
              <w:ind w:left="52"/>
              <w:rPr>
                <w:sz w:val="18"/>
              </w:rPr>
            </w:pPr>
            <w:r>
              <w:rPr>
                <w:sz w:val="18"/>
              </w:rPr>
              <w:t>(b)</w:t>
            </w:r>
          </w:p>
        </w:tc>
        <w:tc>
          <w:tcPr>
            <w:tcW w:w="7009" w:type="dxa"/>
          </w:tcPr>
          <w:p w14:paraId="6BC497AA" w14:textId="77777777" w:rsidR="00FA4AA8" w:rsidRDefault="0015611F">
            <w:pPr>
              <w:pStyle w:val="TableParagraph"/>
              <w:spacing w:line="201" w:lineRule="exact"/>
              <w:ind w:left="85"/>
              <w:rPr>
                <w:b/>
                <w:sz w:val="18"/>
              </w:rPr>
            </w:pPr>
            <w:r>
              <w:rPr>
                <w:b/>
                <w:sz w:val="18"/>
              </w:rPr>
              <w:t>Related Parties</w:t>
            </w:r>
          </w:p>
          <w:p w14:paraId="6FFB5076" w14:textId="77777777" w:rsidR="00FA4AA8" w:rsidRDefault="00FA4AA8">
            <w:pPr>
              <w:pStyle w:val="TableParagraph"/>
              <w:spacing w:before="7"/>
              <w:rPr>
                <w:b/>
                <w:sz w:val="26"/>
              </w:rPr>
            </w:pPr>
          </w:p>
          <w:p w14:paraId="174ABAE0" w14:textId="77777777" w:rsidR="00FA4AA8" w:rsidRDefault="0015611F">
            <w:pPr>
              <w:pStyle w:val="TableParagraph"/>
              <w:ind w:left="85"/>
              <w:rPr>
                <w:b/>
                <w:sz w:val="18"/>
              </w:rPr>
            </w:pPr>
            <w:r>
              <w:rPr>
                <w:b/>
                <w:sz w:val="18"/>
              </w:rPr>
              <w:t>Entities exercising control over the Company</w:t>
            </w:r>
          </w:p>
          <w:p w14:paraId="28EFEE88" w14:textId="77777777" w:rsidR="00FA4AA8" w:rsidRDefault="0015611F">
            <w:pPr>
              <w:pStyle w:val="TableParagraph"/>
              <w:spacing w:before="146"/>
              <w:ind w:left="85"/>
              <w:rPr>
                <w:sz w:val="18"/>
              </w:rPr>
            </w:pPr>
            <w:r>
              <w:rPr>
                <w:sz w:val="18"/>
              </w:rPr>
              <w:t>The ultimate parent entity of the Company is Western Sydney University.</w:t>
            </w:r>
          </w:p>
          <w:p w14:paraId="179E9201" w14:textId="77777777" w:rsidR="00FA4AA8" w:rsidRDefault="00FA4AA8">
            <w:pPr>
              <w:pStyle w:val="TableParagraph"/>
              <w:spacing w:before="8"/>
              <w:rPr>
                <w:b/>
                <w:sz w:val="26"/>
              </w:rPr>
            </w:pPr>
          </w:p>
          <w:p w14:paraId="3953E57D" w14:textId="77777777" w:rsidR="00FA4AA8" w:rsidRDefault="0015611F">
            <w:pPr>
              <w:pStyle w:val="TableParagraph"/>
              <w:ind w:left="85"/>
              <w:rPr>
                <w:b/>
                <w:sz w:val="18"/>
              </w:rPr>
            </w:pPr>
            <w:r>
              <w:rPr>
                <w:b/>
                <w:sz w:val="18"/>
              </w:rPr>
              <w:t>Transactions with related parties</w:t>
            </w:r>
          </w:p>
        </w:tc>
        <w:tc>
          <w:tcPr>
            <w:tcW w:w="2593" w:type="dxa"/>
            <w:gridSpan w:val="2"/>
          </w:tcPr>
          <w:p w14:paraId="6297BDEE" w14:textId="77777777" w:rsidR="00FA4AA8" w:rsidRDefault="00FA4AA8">
            <w:pPr>
              <w:pStyle w:val="TableParagraph"/>
              <w:rPr>
                <w:rFonts w:ascii="Times New Roman"/>
                <w:sz w:val="18"/>
              </w:rPr>
            </w:pPr>
          </w:p>
        </w:tc>
      </w:tr>
      <w:tr w:rsidR="00FA4AA8" w14:paraId="4592B3C2" w14:textId="77777777">
        <w:trPr>
          <w:trHeight w:val="259"/>
        </w:trPr>
        <w:tc>
          <w:tcPr>
            <w:tcW w:w="360" w:type="dxa"/>
          </w:tcPr>
          <w:p w14:paraId="25948B43" w14:textId="77777777" w:rsidR="00FA4AA8" w:rsidRDefault="00FA4AA8">
            <w:pPr>
              <w:pStyle w:val="TableParagraph"/>
              <w:rPr>
                <w:rFonts w:ascii="Times New Roman"/>
                <w:sz w:val="18"/>
              </w:rPr>
            </w:pPr>
          </w:p>
        </w:tc>
        <w:tc>
          <w:tcPr>
            <w:tcW w:w="7009" w:type="dxa"/>
          </w:tcPr>
          <w:p w14:paraId="4EAF547E" w14:textId="77777777" w:rsidR="00FA4AA8" w:rsidRDefault="00FA4AA8">
            <w:pPr>
              <w:pStyle w:val="TableParagraph"/>
              <w:rPr>
                <w:rFonts w:ascii="Times New Roman"/>
                <w:sz w:val="18"/>
              </w:rPr>
            </w:pPr>
          </w:p>
        </w:tc>
        <w:tc>
          <w:tcPr>
            <w:tcW w:w="1453" w:type="dxa"/>
          </w:tcPr>
          <w:p w14:paraId="374946BB" w14:textId="77777777" w:rsidR="00FA4AA8" w:rsidRDefault="0015611F">
            <w:pPr>
              <w:pStyle w:val="TableParagraph"/>
              <w:spacing w:before="16"/>
              <w:ind w:left="468"/>
              <w:rPr>
                <w:b/>
                <w:sz w:val="18"/>
              </w:rPr>
            </w:pPr>
            <w:r>
              <w:rPr>
                <w:b/>
                <w:sz w:val="18"/>
              </w:rPr>
              <w:t>2018</w:t>
            </w:r>
          </w:p>
        </w:tc>
        <w:tc>
          <w:tcPr>
            <w:tcW w:w="1140" w:type="dxa"/>
          </w:tcPr>
          <w:p w14:paraId="112B4F6D" w14:textId="77777777" w:rsidR="00FA4AA8" w:rsidRDefault="0015611F">
            <w:pPr>
              <w:pStyle w:val="TableParagraph"/>
              <w:spacing w:before="16"/>
              <w:ind w:left="297"/>
              <w:rPr>
                <w:b/>
                <w:sz w:val="18"/>
              </w:rPr>
            </w:pPr>
            <w:r>
              <w:rPr>
                <w:b/>
                <w:sz w:val="18"/>
              </w:rPr>
              <w:t>2017</w:t>
            </w:r>
          </w:p>
        </w:tc>
      </w:tr>
      <w:tr w:rsidR="00FA4AA8" w14:paraId="4BE503FB" w14:textId="77777777">
        <w:trPr>
          <w:trHeight w:val="313"/>
        </w:trPr>
        <w:tc>
          <w:tcPr>
            <w:tcW w:w="360" w:type="dxa"/>
          </w:tcPr>
          <w:p w14:paraId="2806E4EE" w14:textId="77777777" w:rsidR="00FA4AA8" w:rsidRDefault="00FA4AA8">
            <w:pPr>
              <w:pStyle w:val="TableParagraph"/>
              <w:rPr>
                <w:rFonts w:ascii="Times New Roman"/>
                <w:sz w:val="18"/>
              </w:rPr>
            </w:pPr>
          </w:p>
        </w:tc>
        <w:tc>
          <w:tcPr>
            <w:tcW w:w="7009" w:type="dxa"/>
          </w:tcPr>
          <w:p w14:paraId="2B8954EE" w14:textId="77777777" w:rsidR="00FA4AA8" w:rsidRDefault="00FA4AA8">
            <w:pPr>
              <w:pStyle w:val="TableParagraph"/>
              <w:rPr>
                <w:rFonts w:ascii="Times New Roman"/>
                <w:sz w:val="18"/>
              </w:rPr>
            </w:pPr>
          </w:p>
        </w:tc>
        <w:tc>
          <w:tcPr>
            <w:tcW w:w="1453" w:type="dxa"/>
          </w:tcPr>
          <w:p w14:paraId="4E8BF977" w14:textId="77777777" w:rsidR="00FA4AA8" w:rsidRDefault="0015611F">
            <w:pPr>
              <w:pStyle w:val="TableParagraph"/>
              <w:spacing w:before="30"/>
              <w:ind w:right="110"/>
              <w:jc w:val="center"/>
              <w:rPr>
                <w:b/>
                <w:sz w:val="18"/>
              </w:rPr>
            </w:pPr>
            <w:r>
              <w:rPr>
                <w:b/>
                <w:sz w:val="18"/>
              </w:rPr>
              <w:t>$</w:t>
            </w:r>
          </w:p>
        </w:tc>
        <w:tc>
          <w:tcPr>
            <w:tcW w:w="1140" w:type="dxa"/>
          </w:tcPr>
          <w:p w14:paraId="6AEE1D40" w14:textId="77777777" w:rsidR="00FA4AA8" w:rsidRDefault="0015611F">
            <w:pPr>
              <w:pStyle w:val="TableParagraph"/>
              <w:spacing w:before="30"/>
              <w:ind w:right="140"/>
              <w:jc w:val="center"/>
              <w:rPr>
                <w:b/>
                <w:sz w:val="18"/>
              </w:rPr>
            </w:pPr>
            <w:r>
              <w:rPr>
                <w:b/>
                <w:sz w:val="18"/>
              </w:rPr>
              <w:t>$</w:t>
            </w:r>
          </w:p>
        </w:tc>
      </w:tr>
      <w:tr w:rsidR="00FA4AA8" w14:paraId="720A5EDD" w14:textId="77777777">
        <w:trPr>
          <w:trHeight w:val="554"/>
        </w:trPr>
        <w:tc>
          <w:tcPr>
            <w:tcW w:w="360" w:type="dxa"/>
          </w:tcPr>
          <w:p w14:paraId="2BD68508" w14:textId="77777777" w:rsidR="00FA4AA8" w:rsidRDefault="00FA4AA8">
            <w:pPr>
              <w:pStyle w:val="TableParagraph"/>
              <w:rPr>
                <w:rFonts w:ascii="Times New Roman"/>
                <w:sz w:val="18"/>
              </w:rPr>
            </w:pPr>
          </w:p>
        </w:tc>
        <w:tc>
          <w:tcPr>
            <w:tcW w:w="7009" w:type="dxa"/>
          </w:tcPr>
          <w:p w14:paraId="5FBA5D5E" w14:textId="77777777" w:rsidR="00FA4AA8" w:rsidRDefault="0015611F">
            <w:pPr>
              <w:pStyle w:val="TableParagraph"/>
              <w:spacing w:before="70"/>
              <w:ind w:left="179"/>
              <w:rPr>
                <w:b/>
                <w:sz w:val="18"/>
              </w:rPr>
            </w:pPr>
            <w:r>
              <w:rPr>
                <w:b/>
                <w:sz w:val="18"/>
              </w:rPr>
              <w:t>Related party income</w:t>
            </w:r>
          </w:p>
          <w:p w14:paraId="0B9CDAB5" w14:textId="77777777" w:rsidR="00FA4AA8" w:rsidRDefault="0015611F">
            <w:pPr>
              <w:pStyle w:val="TableParagraph"/>
              <w:spacing w:before="30"/>
              <w:ind w:left="179"/>
              <w:rPr>
                <w:sz w:val="18"/>
              </w:rPr>
            </w:pPr>
            <w:r>
              <w:rPr>
                <w:sz w:val="18"/>
              </w:rPr>
              <w:t>Discount funding</w:t>
            </w:r>
          </w:p>
        </w:tc>
        <w:tc>
          <w:tcPr>
            <w:tcW w:w="1453" w:type="dxa"/>
          </w:tcPr>
          <w:p w14:paraId="1B7F1963" w14:textId="77777777" w:rsidR="00FA4AA8" w:rsidRDefault="00FA4AA8">
            <w:pPr>
              <w:pStyle w:val="TableParagraph"/>
              <w:spacing w:before="6"/>
              <w:rPr>
                <w:b/>
                <w:sz w:val="26"/>
              </w:rPr>
            </w:pPr>
          </w:p>
          <w:p w14:paraId="75FDB750" w14:textId="77777777" w:rsidR="00FA4AA8" w:rsidRDefault="0015611F">
            <w:pPr>
              <w:pStyle w:val="TableParagraph"/>
              <w:ind w:right="243"/>
              <w:jc w:val="right"/>
              <w:rPr>
                <w:b/>
                <w:sz w:val="18"/>
              </w:rPr>
            </w:pPr>
            <w:r>
              <w:rPr>
                <w:b/>
                <w:sz w:val="18"/>
              </w:rPr>
              <w:t>358,774</w:t>
            </w:r>
          </w:p>
        </w:tc>
        <w:tc>
          <w:tcPr>
            <w:tcW w:w="1140" w:type="dxa"/>
          </w:tcPr>
          <w:p w14:paraId="216E7BCA" w14:textId="77777777" w:rsidR="00FA4AA8" w:rsidRDefault="00FA4AA8">
            <w:pPr>
              <w:pStyle w:val="TableParagraph"/>
              <w:spacing w:before="6"/>
              <w:rPr>
                <w:b/>
                <w:sz w:val="26"/>
              </w:rPr>
            </w:pPr>
          </w:p>
          <w:p w14:paraId="268FB473" w14:textId="77777777" w:rsidR="00FA4AA8" w:rsidRDefault="0015611F">
            <w:pPr>
              <w:pStyle w:val="TableParagraph"/>
              <w:ind w:right="87"/>
              <w:jc w:val="right"/>
              <w:rPr>
                <w:sz w:val="18"/>
              </w:rPr>
            </w:pPr>
            <w:r>
              <w:rPr>
                <w:sz w:val="18"/>
              </w:rPr>
              <w:t>355,465</w:t>
            </w:r>
          </w:p>
        </w:tc>
      </w:tr>
      <w:tr w:rsidR="00FA4AA8" w14:paraId="767396E1" w14:textId="77777777">
        <w:trPr>
          <w:trHeight w:val="273"/>
        </w:trPr>
        <w:tc>
          <w:tcPr>
            <w:tcW w:w="360" w:type="dxa"/>
          </w:tcPr>
          <w:p w14:paraId="12E6423E" w14:textId="77777777" w:rsidR="00FA4AA8" w:rsidRDefault="00FA4AA8">
            <w:pPr>
              <w:pStyle w:val="TableParagraph"/>
              <w:rPr>
                <w:rFonts w:ascii="Times New Roman"/>
                <w:sz w:val="18"/>
              </w:rPr>
            </w:pPr>
          </w:p>
        </w:tc>
        <w:tc>
          <w:tcPr>
            <w:tcW w:w="7009" w:type="dxa"/>
          </w:tcPr>
          <w:p w14:paraId="2688050A" w14:textId="77777777" w:rsidR="00FA4AA8" w:rsidRDefault="0015611F">
            <w:pPr>
              <w:pStyle w:val="TableParagraph"/>
              <w:spacing w:before="36"/>
              <w:ind w:left="179"/>
              <w:rPr>
                <w:sz w:val="18"/>
              </w:rPr>
            </w:pPr>
            <w:r>
              <w:rPr>
                <w:sz w:val="18"/>
              </w:rPr>
              <w:t>Interest received</w:t>
            </w:r>
          </w:p>
        </w:tc>
        <w:tc>
          <w:tcPr>
            <w:tcW w:w="1453" w:type="dxa"/>
          </w:tcPr>
          <w:p w14:paraId="4B36132B" w14:textId="77777777" w:rsidR="00FA4AA8" w:rsidRDefault="0015611F">
            <w:pPr>
              <w:pStyle w:val="TableParagraph"/>
              <w:spacing w:before="34"/>
              <w:ind w:right="243"/>
              <w:jc w:val="right"/>
              <w:rPr>
                <w:b/>
                <w:sz w:val="18"/>
              </w:rPr>
            </w:pPr>
            <w:r>
              <w:rPr>
                <w:b/>
                <w:sz w:val="18"/>
              </w:rPr>
              <w:t>56,128</w:t>
            </w:r>
          </w:p>
        </w:tc>
        <w:tc>
          <w:tcPr>
            <w:tcW w:w="1140" w:type="dxa"/>
          </w:tcPr>
          <w:p w14:paraId="748A3DD9" w14:textId="77777777" w:rsidR="00FA4AA8" w:rsidRDefault="0015611F">
            <w:pPr>
              <w:pStyle w:val="TableParagraph"/>
              <w:spacing w:before="34"/>
              <w:ind w:right="87"/>
              <w:jc w:val="right"/>
              <w:rPr>
                <w:sz w:val="18"/>
              </w:rPr>
            </w:pPr>
            <w:r>
              <w:rPr>
                <w:sz w:val="18"/>
              </w:rPr>
              <w:t>50,563</w:t>
            </w:r>
          </w:p>
        </w:tc>
      </w:tr>
      <w:tr w:rsidR="00FA4AA8" w14:paraId="3A7FEC30" w14:textId="77777777">
        <w:trPr>
          <w:trHeight w:val="256"/>
        </w:trPr>
        <w:tc>
          <w:tcPr>
            <w:tcW w:w="360" w:type="dxa"/>
          </w:tcPr>
          <w:p w14:paraId="4B70290D" w14:textId="77777777" w:rsidR="00FA4AA8" w:rsidRDefault="00FA4AA8">
            <w:pPr>
              <w:pStyle w:val="TableParagraph"/>
              <w:rPr>
                <w:rFonts w:ascii="Times New Roman"/>
                <w:sz w:val="18"/>
              </w:rPr>
            </w:pPr>
          </w:p>
        </w:tc>
        <w:tc>
          <w:tcPr>
            <w:tcW w:w="7009" w:type="dxa"/>
          </w:tcPr>
          <w:p w14:paraId="28E3C68B" w14:textId="77777777" w:rsidR="00FA4AA8" w:rsidRDefault="0015611F">
            <w:pPr>
              <w:pStyle w:val="TableParagraph"/>
              <w:spacing w:before="26"/>
              <w:ind w:left="179"/>
              <w:rPr>
                <w:sz w:val="18"/>
              </w:rPr>
            </w:pPr>
            <w:r>
              <w:rPr>
                <w:sz w:val="18"/>
              </w:rPr>
              <w:t>Other services</w:t>
            </w:r>
          </w:p>
        </w:tc>
        <w:tc>
          <w:tcPr>
            <w:tcW w:w="1453" w:type="dxa"/>
            <w:tcBorders>
              <w:bottom w:val="single" w:sz="8" w:space="0" w:color="000000"/>
            </w:tcBorders>
          </w:tcPr>
          <w:p w14:paraId="45448EC6" w14:textId="77777777" w:rsidR="00FA4AA8" w:rsidRDefault="0015611F">
            <w:pPr>
              <w:pStyle w:val="TableParagraph"/>
              <w:spacing w:before="24"/>
              <w:ind w:right="243"/>
              <w:jc w:val="right"/>
              <w:rPr>
                <w:b/>
                <w:sz w:val="18"/>
              </w:rPr>
            </w:pPr>
            <w:r>
              <w:rPr>
                <w:b/>
                <w:sz w:val="18"/>
              </w:rPr>
              <w:t>8,100</w:t>
            </w:r>
          </w:p>
        </w:tc>
        <w:tc>
          <w:tcPr>
            <w:tcW w:w="1140" w:type="dxa"/>
            <w:tcBorders>
              <w:bottom w:val="single" w:sz="8" w:space="0" w:color="000000"/>
            </w:tcBorders>
          </w:tcPr>
          <w:p w14:paraId="72261852" w14:textId="77777777" w:rsidR="00FA4AA8" w:rsidRDefault="0015611F">
            <w:pPr>
              <w:pStyle w:val="TableParagraph"/>
              <w:spacing w:before="24"/>
              <w:ind w:right="87"/>
              <w:jc w:val="right"/>
              <w:rPr>
                <w:sz w:val="18"/>
              </w:rPr>
            </w:pPr>
            <w:r>
              <w:rPr>
                <w:sz w:val="18"/>
              </w:rPr>
              <w:t>124,009</w:t>
            </w:r>
          </w:p>
        </w:tc>
      </w:tr>
      <w:tr w:rsidR="00FA4AA8" w14:paraId="13BA4762" w14:textId="77777777">
        <w:trPr>
          <w:trHeight w:val="318"/>
        </w:trPr>
        <w:tc>
          <w:tcPr>
            <w:tcW w:w="360" w:type="dxa"/>
          </w:tcPr>
          <w:p w14:paraId="5894C494" w14:textId="77777777" w:rsidR="00FA4AA8" w:rsidRDefault="00FA4AA8">
            <w:pPr>
              <w:pStyle w:val="TableParagraph"/>
              <w:rPr>
                <w:rFonts w:ascii="Times New Roman"/>
                <w:sz w:val="18"/>
              </w:rPr>
            </w:pPr>
          </w:p>
        </w:tc>
        <w:tc>
          <w:tcPr>
            <w:tcW w:w="7009" w:type="dxa"/>
          </w:tcPr>
          <w:p w14:paraId="5E46451E" w14:textId="77777777" w:rsidR="00FA4AA8" w:rsidRDefault="0015611F">
            <w:pPr>
              <w:pStyle w:val="TableParagraph"/>
              <w:spacing w:before="115" w:line="183" w:lineRule="exact"/>
              <w:ind w:left="179"/>
              <w:rPr>
                <w:b/>
                <w:sz w:val="18"/>
              </w:rPr>
            </w:pPr>
            <w:r>
              <w:rPr>
                <w:b/>
                <w:sz w:val="18"/>
              </w:rPr>
              <w:t>Total related party income</w:t>
            </w:r>
          </w:p>
        </w:tc>
        <w:tc>
          <w:tcPr>
            <w:tcW w:w="1453" w:type="dxa"/>
            <w:tcBorders>
              <w:top w:val="single" w:sz="8" w:space="0" w:color="000000"/>
              <w:bottom w:val="single" w:sz="8" w:space="0" w:color="000000"/>
            </w:tcBorders>
          </w:tcPr>
          <w:p w14:paraId="48D68A8E" w14:textId="77777777" w:rsidR="00FA4AA8" w:rsidRDefault="0015611F">
            <w:pPr>
              <w:pStyle w:val="TableParagraph"/>
              <w:spacing w:before="115" w:line="183" w:lineRule="exact"/>
              <w:ind w:right="243"/>
              <w:jc w:val="right"/>
              <w:rPr>
                <w:b/>
                <w:sz w:val="18"/>
              </w:rPr>
            </w:pPr>
            <w:r>
              <w:rPr>
                <w:b/>
                <w:sz w:val="18"/>
              </w:rPr>
              <w:t>423,002</w:t>
            </w:r>
          </w:p>
        </w:tc>
        <w:tc>
          <w:tcPr>
            <w:tcW w:w="1140" w:type="dxa"/>
            <w:tcBorders>
              <w:top w:val="single" w:sz="8" w:space="0" w:color="000000"/>
              <w:bottom w:val="single" w:sz="8" w:space="0" w:color="000000"/>
            </w:tcBorders>
          </w:tcPr>
          <w:p w14:paraId="698E50AF" w14:textId="77777777" w:rsidR="00FA4AA8" w:rsidRDefault="0015611F">
            <w:pPr>
              <w:pStyle w:val="TableParagraph"/>
              <w:spacing w:before="115" w:line="183" w:lineRule="exact"/>
              <w:ind w:right="87"/>
              <w:jc w:val="right"/>
              <w:rPr>
                <w:sz w:val="18"/>
              </w:rPr>
            </w:pPr>
            <w:r>
              <w:rPr>
                <w:sz w:val="18"/>
              </w:rPr>
              <w:t>530,037</w:t>
            </w:r>
          </w:p>
        </w:tc>
      </w:tr>
      <w:tr w:rsidR="00FA4AA8" w14:paraId="7C53DB40" w14:textId="77777777">
        <w:trPr>
          <w:trHeight w:val="582"/>
        </w:trPr>
        <w:tc>
          <w:tcPr>
            <w:tcW w:w="360" w:type="dxa"/>
          </w:tcPr>
          <w:p w14:paraId="6C512D1A" w14:textId="77777777" w:rsidR="00FA4AA8" w:rsidRDefault="00FA4AA8">
            <w:pPr>
              <w:pStyle w:val="TableParagraph"/>
              <w:rPr>
                <w:rFonts w:ascii="Times New Roman"/>
                <w:sz w:val="18"/>
              </w:rPr>
            </w:pPr>
          </w:p>
        </w:tc>
        <w:tc>
          <w:tcPr>
            <w:tcW w:w="7009" w:type="dxa"/>
          </w:tcPr>
          <w:p w14:paraId="013C289F" w14:textId="77777777" w:rsidR="00FA4AA8" w:rsidRDefault="0015611F">
            <w:pPr>
              <w:pStyle w:val="TableParagraph"/>
              <w:spacing w:before="115"/>
              <w:ind w:left="189"/>
              <w:rPr>
                <w:b/>
                <w:sz w:val="18"/>
              </w:rPr>
            </w:pPr>
            <w:r>
              <w:rPr>
                <w:b/>
                <w:sz w:val="18"/>
              </w:rPr>
              <w:t>Related party expenses</w:t>
            </w:r>
          </w:p>
          <w:p w14:paraId="7BEF1E12" w14:textId="77777777" w:rsidR="00FA4AA8" w:rsidRDefault="0015611F">
            <w:pPr>
              <w:pStyle w:val="TableParagraph"/>
              <w:spacing w:before="30"/>
              <w:ind w:left="189"/>
              <w:rPr>
                <w:sz w:val="18"/>
              </w:rPr>
            </w:pPr>
            <w:r>
              <w:rPr>
                <w:sz w:val="18"/>
              </w:rPr>
              <w:t>Catering charges</w:t>
            </w:r>
          </w:p>
        </w:tc>
        <w:tc>
          <w:tcPr>
            <w:tcW w:w="1453" w:type="dxa"/>
            <w:tcBorders>
              <w:top w:val="single" w:sz="8" w:space="0" w:color="000000"/>
              <w:bottom w:val="single" w:sz="8" w:space="0" w:color="000000"/>
            </w:tcBorders>
          </w:tcPr>
          <w:p w14:paraId="1F618F3B" w14:textId="77777777" w:rsidR="00FA4AA8" w:rsidRDefault="00FA4AA8">
            <w:pPr>
              <w:pStyle w:val="TableParagraph"/>
              <w:rPr>
                <w:b/>
                <w:sz w:val="20"/>
              </w:rPr>
            </w:pPr>
          </w:p>
          <w:p w14:paraId="7CC07EA8" w14:textId="77777777" w:rsidR="00FA4AA8" w:rsidRDefault="0015611F">
            <w:pPr>
              <w:pStyle w:val="TableParagraph"/>
              <w:spacing w:before="120"/>
              <w:ind w:right="243"/>
              <w:jc w:val="right"/>
              <w:rPr>
                <w:b/>
                <w:sz w:val="18"/>
              </w:rPr>
            </w:pPr>
            <w:r>
              <w:rPr>
                <w:b/>
                <w:sz w:val="18"/>
              </w:rPr>
              <w:t>2,828</w:t>
            </w:r>
          </w:p>
        </w:tc>
        <w:tc>
          <w:tcPr>
            <w:tcW w:w="1140" w:type="dxa"/>
            <w:tcBorders>
              <w:top w:val="single" w:sz="8" w:space="0" w:color="000000"/>
              <w:bottom w:val="single" w:sz="8" w:space="0" w:color="000000"/>
            </w:tcBorders>
          </w:tcPr>
          <w:p w14:paraId="7FC7E405" w14:textId="77777777" w:rsidR="00FA4AA8" w:rsidRDefault="00FA4AA8">
            <w:pPr>
              <w:pStyle w:val="TableParagraph"/>
              <w:rPr>
                <w:b/>
                <w:sz w:val="20"/>
              </w:rPr>
            </w:pPr>
          </w:p>
          <w:p w14:paraId="328390B9" w14:textId="77777777" w:rsidR="00FA4AA8" w:rsidRDefault="0015611F">
            <w:pPr>
              <w:pStyle w:val="TableParagraph"/>
              <w:spacing w:before="120"/>
              <w:ind w:right="86"/>
              <w:jc w:val="right"/>
              <w:rPr>
                <w:sz w:val="18"/>
              </w:rPr>
            </w:pPr>
            <w:r>
              <w:rPr>
                <w:sz w:val="18"/>
              </w:rPr>
              <w:t>-</w:t>
            </w:r>
          </w:p>
        </w:tc>
      </w:tr>
      <w:tr w:rsidR="00FA4AA8" w14:paraId="0CF76941" w14:textId="77777777">
        <w:trPr>
          <w:trHeight w:val="318"/>
        </w:trPr>
        <w:tc>
          <w:tcPr>
            <w:tcW w:w="360" w:type="dxa"/>
          </w:tcPr>
          <w:p w14:paraId="380F227B" w14:textId="77777777" w:rsidR="00FA4AA8" w:rsidRDefault="00FA4AA8">
            <w:pPr>
              <w:pStyle w:val="TableParagraph"/>
              <w:rPr>
                <w:rFonts w:ascii="Times New Roman"/>
                <w:sz w:val="18"/>
              </w:rPr>
            </w:pPr>
          </w:p>
        </w:tc>
        <w:tc>
          <w:tcPr>
            <w:tcW w:w="7009" w:type="dxa"/>
          </w:tcPr>
          <w:p w14:paraId="37AAA8D1" w14:textId="77777777" w:rsidR="00FA4AA8" w:rsidRDefault="0015611F">
            <w:pPr>
              <w:pStyle w:val="TableParagraph"/>
              <w:spacing w:before="86"/>
              <w:ind w:left="189"/>
              <w:rPr>
                <w:b/>
                <w:sz w:val="18"/>
              </w:rPr>
            </w:pPr>
            <w:r>
              <w:rPr>
                <w:b/>
                <w:sz w:val="18"/>
              </w:rPr>
              <w:t>Total related party expenses</w:t>
            </w:r>
          </w:p>
        </w:tc>
        <w:tc>
          <w:tcPr>
            <w:tcW w:w="1453" w:type="dxa"/>
            <w:tcBorders>
              <w:top w:val="single" w:sz="8" w:space="0" w:color="000000"/>
              <w:bottom w:val="single" w:sz="8" w:space="0" w:color="000000"/>
            </w:tcBorders>
          </w:tcPr>
          <w:p w14:paraId="291B357D" w14:textId="77777777" w:rsidR="00FA4AA8" w:rsidRDefault="0015611F">
            <w:pPr>
              <w:pStyle w:val="TableParagraph"/>
              <w:spacing w:before="115" w:line="183" w:lineRule="exact"/>
              <w:ind w:right="243"/>
              <w:jc w:val="right"/>
              <w:rPr>
                <w:b/>
                <w:sz w:val="18"/>
              </w:rPr>
            </w:pPr>
            <w:r>
              <w:rPr>
                <w:b/>
                <w:sz w:val="18"/>
              </w:rPr>
              <w:t>2,828</w:t>
            </w:r>
          </w:p>
        </w:tc>
        <w:tc>
          <w:tcPr>
            <w:tcW w:w="1140" w:type="dxa"/>
            <w:tcBorders>
              <w:top w:val="single" w:sz="8" w:space="0" w:color="000000"/>
              <w:bottom w:val="single" w:sz="8" w:space="0" w:color="000000"/>
            </w:tcBorders>
          </w:tcPr>
          <w:p w14:paraId="13DFD4E7" w14:textId="77777777" w:rsidR="00FA4AA8" w:rsidRDefault="0015611F">
            <w:pPr>
              <w:pStyle w:val="TableParagraph"/>
              <w:spacing w:before="115" w:line="183" w:lineRule="exact"/>
              <w:ind w:right="86"/>
              <w:jc w:val="right"/>
              <w:rPr>
                <w:sz w:val="18"/>
              </w:rPr>
            </w:pPr>
            <w:r>
              <w:rPr>
                <w:sz w:val="18"/>
              </w:rPr>
              <w:t>-</w:t>
            </w:r>
          </w:p>
        </w:tc>
      </w:tr>
      <w:tr w:rsidR="00FA4AA8" w14:paraId="6F8C68BC" w14:textId="77777777">
        <w:trPr>
          <w:trHeight w:val="582"/>
        </w:trPr>
        <w:tc>
          <w:tcPr>
            <w:tcW w:w="360" w:type="dxa"/>
          </w:tcPr>
          <w:p w14:paraId="0A8D9318" w14:textId="77777777" w:rsidR="00FA4AA8" w:rsidRDefault="00FA4AA8">
            <w:pPr>
              <w:pStyle w:val="TableParagraph"/>
              <w:rPr>
                <w:rFonts w:ascii="Times New Roman"/>
                <w:sz w:val="18"/>
              </w:rPr>
            </w:pPr>
          </w:p>
        </w:tc>
        <w:tc>
          <w:tcPr>
            <w:tcW w:w="7009" w:type="dxa"/>
          </w:tcPr>
          <w:p w14:paraId="7450C733" w14:textId="77777777" w:rsidR="00FA4AA8" w:rsidRDefault="0015611F">
            <w:pPr>
              <w:pStyle w:val="TableParagraph"/>
              <w:spacing w:before="115"/>
              <w:ind w:left="179"/>
              <w:rPr>
                <w:b/>
                <w:sz w:val="18"/>
              </w:rPr>
            </w:pPr>
            <w:r>
              <w:rPr>
                <w:b/>
                <w:sz w:val="18"/>
              </w:rPr>
              <w:t>Related party receivables</w:t>
            </w:r>
          </w:p>
          <w:p w14:paraId="59F6D44E" w14:textId="77777777" w:rsidR="00FA4AA8" w:rsidRDefault="0015611F">
            <w:pPr>
              <w:pStyle w:val="TableParagraph"/>
              <w:spacing w:before="30"/>
              <w:ind w:left="179"/>
              <w:rPr>
                <w:sz w:val="18"/>
              </w:rPr>
            </w:pPr>
            <w:r>
              <w:rPr>
                <w:sz w:val="18"/>
              </w:rPr>
              <w:t>Loan to parent entity</w:t>
            </w:r>
          </w:p>
        </w:tc>
        <w:tc>
          <w:tcPr>
            <w:tcW w:w="1453" w:type="dxa"/>
            <w:tcBorders>
              <w:top w:val="single" w:sz="8" w:space="0" w:color="000000"/>
              <w:bottom w:val="single" w:sz="8" w:space="0" w:color="000000"/>
            </w:tcBorders>
          </w:tcPr>
          <w:p w14:paraId="6D3B9A03" w14:textId="77777777" w:rsidR="00FA4AA8" w:rsidRDefault="00FA4AA8">
            <w:pPr>
              <w:pStyle w:val="TableParagraph"/>
              <w:rPr>
                <w:b/>
                <w:sz w:val="20"/>
              </w:rPr>
            </w:pPr>
          </w:p>
          <w:p w14:paraId="22905197" w14:textId="77777777" w:rsidR="00FA4AA8" w:rsidRDefault="0015611F">
            <w:pPr>
              <w:pStyle w:val="TableParagraph"/>
              <w:spacing w:before="120"/>
              <w:ind w:right="245"/>
              <w:jc w:val="right"/>
              <w:rPr>
                <w:b/>
                <w:sz w:val="18"/>
              </w:rPr>
            </w:pPr>
            <w:r>
              <w:rPr>
                <w:b/>
                <w:sz w:val="18"/>
              </w:rPr>
              <w:t>2,231,999</w:t>
            </w:r>
          </w:p>
        </w:tc>
        <w:tc>
          <w:tcPr>
            <w:tcW w:w="1140" w:type="dxa"/>
            <w:tcBorders>
              <w:top w:val="single" w:sz="8" w:space="0" w:color="000000"/>
              <w:bottom w:val="single" w:sz="8" w:space="0" w:color="000000"/>
            </w:tcBorders>
          </w:tcPr>
          <w:p w14:paraId="1596C1EF" w14:textId="77777777" w:rsidR="00FA4AA8" w:rsidRDefault="00FA4AA8">
            <w:pPr>
              <w:pStyle w:val="TableParagraph"/>
              <w:rPr>
                <w:b/>
                <w:sz w:val="20"/>
              </w:rPr>
            </w:pPr>
          </w:p>
          <w:p w14:paraId="539AAA84" w14:textId="77777777" w:rsidR="00FA4AA8" w:rsidRDefault="0015611F">
            <w:pPr>
              <w:pStyle w:val="TableParagraph"/>
              <w:spacing w:before="120"/>
              <w:ind w:right="89"/>
              <w:jc w:val="right"/>
              <w:rPr>
                <w:sz w:val="18"/>
              </w:rPr>
            </w:pPr>
            <w:r>
              <w:rPr>
                <w:sz w:val="18"/>
              </w:rPr>
              <w:t>2,199,145</w:t>
            </w:r>
          </w:p>
        </w:tc>
      </w:tr>
      <w:tr w:rsidR="00FA4AA8" w14:paraId="333B15A8" w14:textId="77777777">
        <w:trPr>
          <w:trHeight w:val="320"/>
        </w:trPr>
        <w:tc>
          <w:tcPr>
            <w:tcW w:w="360" w:type="dxa"/>
          </w:tcPr>
          <w:p w14:paraId="789AEBE1" w14:textId="77777777" w:rsidR="00FA4AA8" w:rsidRDefault="00FA4AA8">
            <w:pPr>
              <w:pStyle w:val="TableParagraph"/>
              <w:rPr>
                <w:rFonts w:ascii="Times New Roman"/>
                <w:sz w:val="18"/>
              </w:rPr>
            </w:pPr>
          </w:p>
        </w:tc>
        <w:tc>
          <w:tcPr>
            <w:tcW w:w="7009" w:type="dxa"/>
          </w:tcPr>
          <w:p w14:paraId="6A58130B" w14:textId="77777777" w:rsidR="00FA4AA8" w:rsidRDefault="0015611F">
            <w:pPr>
              <w:pStyle w:val="TableParagraph"/>
              <w:spacing w:before="115" w:line="185" w:lineRule="exact"/>
              <w:ind w:left="179"/>
              <w:rPr>
                <w:b/>
                <w:sz w:val="18"/>
              </w:rPr>
            </w:pPr>
            <w:bookmarkStart w:id="210" w:name="14_Contingencies_"/>
            <w:bookmarkEnd w:id="210"/>
            <w:r>
              <w:rPr>
                <w:b/>
                <w:sz w:val="18"/>
              </w:rPr>
              <w:t>Total related party receivables</w:t>
            </w:r>
          </w:p>
        </w:tc>
        <w:tc>
          <w:tcPr>
            <w:tcW w:w="1453" w:type="dxa"/>
            <w:tcBorders>
              <w:top w:val="single" w:sz="8" w:space="0" w:color="000000"/>
              <w:bottom w:val="double" w:sz="2" w:space="0" w:color="000000"/>
            </w:tcBorders>
          </w:tcPr>
          <w:p w14:paraId="4FDF7406" w14:textId="77777777" w:rsidR="00FA4AA8" w:rsidRDefault="0015611F">
            <w:pPr>
              <w:pStyle w:val="TableParagraph"/>
              <w:spacing w:before="115" w:line="185" w:lineRule="exact"/>
              <w:ind w:right="245"/>
              <w:jc w:val="right"/>
              <w:rPr>
                <w:b/>
                <w:sz w:val="18"/>
              </w:rPr>
            </w:pPr>
            <w:r>
              <w:rPr>
                <w:b/>
                <w:sz w:val="18"/>
              </w:rPr>
              <w:t>2,231,999</w:t>
            </w:r>
          </w:p>
        </w:tc>
        <w:tc>
          <w:tcPr>
            <w:tcW w:w="1140" w:type="dxa"/>
            <w:tcBorders>
              <w:top w:val="single" w:sz="8" w:space="0" w:color="000000"/>
              <w:bottom w:val="double" w:sz="2" w:space="0" w:color="000000"/>
            </w:tcBorders>
          </w:tcPr>
          <w:p w14:paraId="4A72DAA7" w14:textId="77777777" w:rsidR="00FA4AA8" w:rsidRDefault="0015611F">
            <w:pPr>
              <w:pStyle w:val="TableParagraph"/>
              <w:spacing w:before="115" w:line="185" w:lineRule="exact"/>
              <w:ind w:right="89"/>
              <w:jc w:val="right"/>
              <w:rPr>
                <w:sz w:val="18"/>
              </w:rPr>
            </w:pPr>
            <w:r>
              <w:rPr>
                <w:sz w:val="18"/>
              </w:rPr>
              <w:t>2,199,145</w:t>
            </w:r>
          </w:p>
        </w:tc>
      </w:tr>
    </w:tbl>
    <w:p w14:paraId="7CBA9177" w14:textId="77777777" w:rsidR="00FA4AA8" w:rsidRDefault="0015611F">
      <w:pPr>
        <w:spacing w:before="151"/>
        <w:ind w:left="564"/>
        <w:rPr>
          <w:i/>
          <w:sz w:val="18"/>
        </w:rPr>
      </w:pPr>
      <w:r>
        <w:rPr>
          <w:i/>
          <w:sz w:val="18"/>
          <w:u w:val="single"/>
        </w:rPr>
        <w:t>Accounting policy</w:t>
      </w:r>
    </w:p>
    <w:p w14:paraId="1C6B6E5B" w14:textId="77777777" w:rsidR="00FA4AA8" w:rsidRDefault="0015611F">
      <w:pPr>
        <w:pStyle w:val="BodyText"/>
        <w:spacing w:before="141"/>
        <w:ind w:left="564"/>
      </w:pPr>
      <w:r>
        <w:t>Loans are non-derivative financial assets with fixed or determinable payments that are not quoted in an active market. The loan to parent entity is included in Trade and other receivables in the Statement of Financial Position.</w:t>
      </w:r>
    </w:p>
    <w:p w14:paraId="607550BB" w14:textId="77777777" w:rsidR="00FA4AA8" w:rsidRDefault="0015611F">
      <w:pPr>
        <w:numPr>
          <w:ilvl w:val="0"/>
          <w:numId w:val="44"/>
        </w:numPr>
        <w:tabs>
          <w:tab w:val="left" w:pos="564"/>
        </w:tabs>
        <w:spacing w:before="61" w:line="494" w:lineRule="exact"/>
        <w:ind w:right="7781"/>
        <w:rPr>
          <w:b/>
          <w:sz w:val="18"/>
        </w:rPr>
      </w:pPr>
      <w:r>
        <w:rPr>
          <w:b/>
          <w:sz w:val="18"/>
        </w:rPr>
        <w:t>Contingencies Contingent Liabilities</w:t>
      </w:r>
    </w:p>
    <w:p w14:paraId="0FA6EE34" w14:textId="77777777" w:rsidR="00FA4AA8" w:rsidRDefault="0015611F">
      <w:pPr>
        <w:pStyle w:val="BodyText"/>
        <w:spacing w:before="81"/>
        <w:ind w:left="563" w:right="132"/>
      </w:pPr>
      <w:r>
        <w:t>On 6 December 2013, the Office of State Revenue (now Revenue NSW) confirmed that wages were exempt from payroll tax.</w:t>
      </w:r>
    </w:p>
    <w:p w14:paraId="120CF352" w14:textId="77777777" w:rsidR="00FA4AA8" w:rsidRDefault="0015611F">
      <w:pPr>
        <w:pStyle w:val="BodyText"/>
        <w:spacing w:before="140"/>
        <w:ind w:left="564" w:right="132"/>
      </w:pPr>
      <w:r>
        <w:t>As part of Revenue NSW's compliance program, in August 2018 Revenue NSW advised the Company that the payroll tax exemption granted by Revenue NSW was being revoked effective 1 July 2015.</w:t>
      </w:r>
    </w:p>
    <w:p w14:paraId="15DF4DA2" w14:textId="77777777" w:rsidR="00FA4AA8" w:rsidRDefault="0015611F">
      <w:pPr>
        <w:pStyle w:val="BodyText"/>
        <w:spacing w:before="140"/>
        <w:ind w:left="564" w:right="220"/>
      </w:pPr>
      <w:r>
        <w:t>In reaching its decision to revoke the Company's payroll tax exemption, Revenue NSW has determined that whilst the objectives of the Company were charitable, the Company "is classified as an educational institution; or an educational company as it provides training, research, student placements and student work experience" and, therefore, not exempt from payroll tax.</w:t>
      </w:r>
    </w:p>
    <w:p w14:paraId="32B20636" w14:textId="77777777" w:rsidR="00FA4AA8" w:rsidRDefault="0015611F">
      <w:pPr>
        <w:pStyle w:val="BodyText"/>
        <w:spacing w:before="140"/>
        <w:ind w:left="564" w:right="210"/>
      </w:pPr>
      <w:r>
        <w:t xml:space="preserve">The Company's Board and management are of the view that the Company is neither an 'educational institution' or 'educational company' and have engaged legal representation on the </w:t>
      </w:r>
      <w:r w:rsidR="006C5E68">
        <w:t>matter. An</w:t>
      </w:r>
      <w:r>
        <w:t xml:space="preserve"> objection has been lodged on behalf of the Company against Revenue NSW's decision not to treat wages paid by the Company as exempt from payroll tax with effect from 1 July 2015.</w:t>
      </w:r>
    </w:p>
    <w:p w14:paraId="72A50E98" w14:textId="77777777" w:rsidR="00FA4AA8" w:rsidRDefault="0015611F">
      <w:pPr>
        <w:pStyle w:val="BodyText"/>
        <w:spacing w:before="139" w:line="207" w:lineRule="exact"/>
        <w:ind w:left="564"/>
      </w:pPr>
      <w:r>
        <w:t>The Company has calculated the potential payroll tax liability for the period 1 July 2015 to 31 December 2018 at</w:t>
      </w:r>
    </w:p>
    <w:p w14:paraId="412DDA46" w14:textId="77777777" w:rsidR="00FA4AA8" w:rsidRDefault="0015611F">
      <w:pPr>
        <w:pStyle w:val="BodyText"/>
        <w:ind w:left="564"/>
      </w:pPr>
      <w:r>
        <w:t>$1,009,663. This amount has not been quantified by Revenue NSW nor has the Company received an official invoice from Revenue NSW as at reporting date.</w:t>
      </w:r>
    </w:p>
    <w:p w14:paraId="171B8F6A" w14:textId="77777777" w:rsidR="00FA4AA8" w:rsidRDefault="0015611F">
      <w:pPr>
        <w:pStyle w:val="BodyText"/>
        <w:spacing w:before="140"/>
        <w:ind w:left="564" w:right="220"/>
      </w:pPr>
      <w:r>
        <w:t>The Company's Board and management are of the view that the legal advice obtained indicates that payment of payroll tax is not probable.</w:t>
      </w:r>
    </w:p>
    <w:p w14:paraId="1759A323" w14:textId="77777777" w:rsidR="00FA4AA8" w:rsidRDefault="00FA4AA8">
      <w:pPr>
        <w:sectPr w:rsidR="00FA4AA8">
          <w:pgSz w:w="11910" w:h="16840"/>
          <w:pgMar w:top="1660" w:right="880" w:bottom="720" w:left="840" w:header="1016" w:footer="523" w:gutter="0"/>
          <w:cols w:space="720"/>
        </w:sectPr>
      </w:pPr>
    </w:p>
    <w:p w14:paraId="64D43015" w14:textId="77777777" w:rsidR="00FA4AA8" w:rsidRDefault="0015611F">
      <w:pPr>
        <w:pStyle w:val="Heading4"/>
      </w:pPr>
      <w:bookmarkStart w:id="211" w:name="15_Economic_dependency_"/>
      <w:bookmarkEnd w:id="211"/>
      <w:r>
        <w:t>Notes to the Financial Statements</w:t>
      </w:r>
    </w:p>
    <w:p w14:paraId="3B458293" w14:textId="77777777" w:rsidR="00FA4AA8" w:rsidRDefault="0015611F">
      <w:pPr>
        <w:pStyle w:val="Heading6"/>
        <w:ind w:left="167"/>
      </w:pPr>
      <w:r>
        <w:t>For the year ended 31 December</w:t>
      </w:r>
      <w:r>
        <w:rPr>
          <w:spacing w:val="-13"/>
        </w:rPr>
        <w:t xml:space="preserve"> </w:t>
      </w:r>
      <w:r>
        <w:t>2018</w:t>
      </w:r>
    </w:p>
    <w:p w14:paraId="74AF1F49" w14:textId="77777777" w:rsidR="00FA4AA8" w:rsidRDefault="00FA4AA8">
      <w:pPr>
        <w:pStyle w:val="BodyText"/>
        <w:rPr>
          <w:b/>
          <w:sz w:val="24"/>
        </w:rPr>
      </w:pPr>
    </w:p>
    <w:p w14:paraId="7D502435" w14:textId="77777777" w:rsidR="00FA4AA8" w:rsidRDefault="0015611F">
      <w:pPr>
        <w:numPr>
          <w:ilvl w:val="0"/>
          <w:numId w:val="44"/>
        </w:numPr>
        <w:tabs>
          <w:tab w:val="left" w:pos="564"/>
        </w:tabs>
        <w:spacing w:before="198"/>
        <w:ind w:hanging="394"/>
        <w:rPr>
          <w:b/>
          <w:sz w:val="18"/>
        </w:rPr>
      </w:pPr>
      <w:bookmarkStart w:id="212" w:name="16_Events_occurring_after_the_reporting_"/>
      <w:bookmarkEnd w:id="212"/>
      <w:r>
        <w:rPr>
          <w:b/>
          <w:sz w:val="18"/>
        </w:rPr>
        <w:t>Economic</w:t>
      </w:r>
      <w:r>
        <w:rPr>
          <w:b/>
          <w:spacing w:val="1"/>
          <w:sz w:val="18"/>
        </w:rPr>
        <w:t xml:space="preserve"> </w:t>
      </w:r>
      <w:r>
        <w:rPr>
          <w:b/>
          <w:sz w:val="18"/>
        </w:rPr>
        <w:t>dependency</w:t>
      </w:r>
    </w:p>
    <w:p w14:paraId="068A0CA7" w14:textId="77777777" w:rsidR="00FA4AA8" w:rsidRDefault="0015611F">
      <w:pPr>
        <w:pStyle w:val="BodyText"/>
        <w:spacing w:before="141"/>
        <w:ind w:left="563"/>
      </w:pPr>
      <w:r>
        <w:t>The Company is economically dependent on Western Sydney University for the provision of accommodation for each centre and operational support activities.</w:t>
      </w:r>
    </w:p>
    <w:p w14:paraId="79141ED5" w14:textId="77777777" w:rsidR="00FA4AA8" w:rsidRDefault="00FA4AA8">
      <w:pPr>
        <w:pStyle w:val="BodyText"/>
        <w:spacing w:before="10"/>
        <w:rPr>
          <w:sz w:val="24"/>
        </w:rPr>
      </w:pPr>
    </w:p>
    <w:p w14:paraId="13EFCC1D" w14:textId="77777777" w:rsidR="00FA4AA8" w:rsidRDefault="0015611F">
      <w:pPr>
        <w:numPr>
          <w:ilvl w:val="0"/>
          <w:numId w:val="44"/>
        </w:numPr>
        <w:tabs>
          <w:tab w:val="left" w:pos="564"/>
        </w:tabs>
        <w:spacing w:before="1"/>
        <w:ind w:hanging="397"/>
        <w:rPr>
          <w:b/>
          <w:sz w:val="18"/>
        </w:rPr>
      </w:pPr>
      <w:r>
        <w:rPr>
          <w:b/>
          <w:sz w:val="18"/>
        </w:rPr>
        <w:t>Events occurring after the reporting date</w:t>
      </w:r>
    </w:p>
    <w:p w14:paraId="71763C64" w14:textId="77777777" w:rsidR="00FA4AA8" w:rsidRDefault="0015611F">
      <w:pPr>
        <w:pStyle w:val="BodyText"/>
        <w:spacing w:before="141"/>
        <w:ind w:left="563" w:right="220"/>
      </w:pPr>
      <w:bookmarkStart w:id="213" w:name="Board_of_Directors"/>
      <w:bookmarkEnd w:id="213"/>
      <w:r>
        <w:t>No matters or circumstances have arisen since the end of the financial period which significantly affected or may significantly affect the operations of the Company, the results of those operations, or the state of affairs of the Company in future financial years.</w:t>
      </w:r>
    </w:p>
    <w:p w14:paraId="5FF7A995" w14:textId="77777777" w:rsidR="00FA4AA8" w:rsidRDefault="00FA4AA8">
      <w:pPr>
        <w:sectPr w:rsidR="00FA4AA8">
          <w:pgSz w:w="11910" w:h="16840"/>
          <w:pgMar w:top="1660" w:right="880" w:bottom="720" w:left="840" w:header="1016" w:footer="523" w:gutter="0"/>
          <w:cols w:space="720"/>
        </w:sectPr>
      </w:pPr>
    </w:p>
    <w:p w14:paraId="3B31B0A4" w14:textId="77777777" w:rsidR="00FA4AA8" w:rsidRDefault="0015611F">
      <w:pPr>
        <w:pStyle w:val="BodyText"/>
        <w:ind w:left="4603"/>
        <w:rPr>
          <w:sz w:val="20"/>
        </w:rPr>
      </w:pPr>
      <w:r>
        <w:rPr>
          <w:noProof/>
          <w:sz w:val="20"/>
          <w:lang w:val="en-AU" w:eastAsia="en-AU"/>
        </w:rPr>
        <w:drawing>
          <wp:inline distT="0" distB="0" distL="0" distR="0" wp14:anchorId="70566D71" wp14:editId="3EB170E0">
            <wp:extent cx="810767" cy="454151"/>
            <wp:effectExtent l="0" t="0" r="0" b="0"/>
            <wp:docPr id="71"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9.jpeg"/>
                    <pic:cNvPicPr/>
                  </pic:nvPicPr>
                  <pic:blipFill>
                    <a:blip r:embed="rId158" cstate="print"/>
                    <a:stretch>
                      <a:fillRect/>
                    </a:stretch>
                  </pic:blipFill>
                  <pic:spPr>
                    <a:xfrm>
                      <a:off x="0" y="0"/>
                      <a:ext cx="810767" cy="454151"/>
                    </a:xfrm>
                    <a:prstGeom prst="rect">
                      <a:avLst/>
                    </a:prstGeom>
                  </pic:spPr>
                </pic:pic>
              </a:graphicData>
            </a:graphic>
          </wp:inline>
        </w:drawing>
      </w:r>
    </w:p>
    <w:p w14:paraId="7C52528D" w14:textId="77777777" w:rsidR="00FA4AA8" w:rsidRDefault="00FA4AA8">
      <w:pPr>
        <w:pStyle w:val="BodyText"/>
        <w:spacing w:before="4"/>
        <w:rPr>
          <w:sz w:val="10"/>
        </w:rPr>
      </w:pPr>
    </w:p>
    <w:p w14:paraId="7D35D64B" w14:textId="77777777" w:rsidR="00FA4AA8" w:rsidRDefault="0015611F">
      <w:pPr>
        <w:pStyle w:val="BodyText"/>
        <w:ind w:left="4564"/>
        <w:rPr>
          <w:sz w:val="20"/>
        </w:rPr>
      </w:pPr>
      <w:r>
        <w:rPr>
          <w:noProof/>
          <w:sz w:val="20"/>
          <w:lang w:val="en-AU" w:eastAsia="en-AU"/>
        </w:rPr>
        <w:drawing>
          <wp:inline distT="0" distB="0" distL="0" distR="0" wp14:anchorId="38441FB6" wp14:editId="288156E5">
            <wp:extent cx="835151" cy="234696"/>
            <wp:effectExtent l="0" t="0" r="0" b="0"/>
            <wp:docPr id="73"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0.jpeg"/>
                    <pic:cNvPicPr/>
                  </pic:nvPicPr>
                  <pic:blipFill>
                    <a:blip r:embed="rId159" cstate="print"/>
                    <a:stretch>
                      <a:fillRect/>
                    </a:stretch>
                  </pic:blipFill>
                  <pic:spPr>
                    <a:xfrm>
                      <a:off x="0" y="0"/>
                      <a:ext cx="835151" cy="234696"/>
                    </a:xfrm>
                    <a:prstGeom prst="rect">
                      <a:avLst/>
                    </a:prstGeom>
                  </pic:spPr>
                </pic:pic>
              </a:graphicData>
            </a:graphic>
          </wp:inline>
        </w:drawing>
      </w:r>
    </w:p>
    <w:p w14:paraId="156AEAD1" w14:textId="77777777" w:rsidR="00FA4AA8" w:rsidRDefault="00FA4AA8">
      <w:pPr>
        <w:pStyle w:val="BodyText"/>
        <w:rPr>
          <w:sz w:val="20"/>
        </w:rPr>
      </w:pPr>
    </w:p>
    <w:p w14:paraId="41BF193C" w14:textId="77777777" w:rsidR="00FA4AA8" w:rsidRDefault="00FA4AA8">
      <w:pPr>
        <w:pStyle w:val="BodyText"/>
        <w:rPr>
          <w:sz w:val="20"/>
        </w:rPr>
      </w:pPr>
    </w:p>
    <w:p w14:paraId="5B37ED4F" w14:textId="77777777" w:rsidR="00FA4AA8" w:rsidRDefault="00FA4AA8">
      <w:pPr>
        <w:pStyle w:val="BodyText"/>
        <w:spacing w:before="8"/>
        <w:rPr>
          <w:sz w:val="16"/>
        </w:rPr>
      </w:pPr>
    </w:p>
    <w:p w14:paraId="0B97D9BA" w14:textId="77777777" w:rsidR="00FA4AA8" w:rsidRDefault="0015611F">
      <w:pPr>
        <w:pStyle w:val="Heading4"/>
        <w:spacing w:before="92"/>
        <w:ind w:left="53" w:right="89"/>
        <w:jc w:val="center"/>
      </w:pPr>
      <w:r>
        <w:rPr>
          <w:color w:val="181818"/>
        </w:rPr>
        <w:t xml:space="preserve">INDEPENDENT </w:t>
      </w:r>
      <w:r>
        <w:rPr>
          <w:color w:val="0F0F0F"/>
        </w:rPr>
        <w:t xml:space="preserve">AUDITOR’S </w:t>
      </w:r>
      <w:r>
        <w:rPr>
          <w:color w:val="1C1C1C"/>
        </w:rPr>
        <w:t>REPORT</w:t>
      </w:r>
    </w:p>
    <w:p w14:paraId="5B8868DE" w14:textId="77777777" w:rsidR="00FA4AA8" w:rsidRDefault="0015611F">
      <w:pPr>
        <w:pStyle w:val="Heading8"/>
        <w:spacing w:before="160"/>
        <w:ind w:left="55" w:right="89"/>
        <w:jc w:val="center"/>
      </w:pPr>
      <w:r>
        <w:rPr>
          <w:color w:val="111111"/>
        </w:rPr>
        <w:t xml:space="preserve">Western </w:t>
      </w:r>
      <w:r>
        <w:rPr>
          <w:color w:val="131313"/>
        </w:rPr>
        <w:t xml:space="preserve">Sydney </w:t>
      </w:r>
      <w:r>
        <w:rPr>
          <w:color w:val="0F0F0F"/>
        </w:rPr>
        <w:t xml:space="preserve">University </w:t>
      </w:r>
      <w:r>
        <w:rPr>
          <w:color w:val="111111"/>
        </w:rPr>
        <w:t xml:space="preserve">Early </w:t>
      </w:r>
      <w:r>
        <w:rPr>
          <w:color w:val="131313"/>
        </w:rPr>
        <w:t xml:space="preserve">Learning </w:t>
      </w:r>
      <w:r>
        <w:rPr>
          <w:color w:val="161616"/>
        </w:rPr>
        <w:t>Limited</w:t>
      </w:r>
    </w:p>
    <w:p w14:paraId="1B2C049C" w14:textId="77777777" w:rsidR="00FA4AA8" w:rsidRDefault="00FA4AA8">
      <w:pPr>
        <w:pStyle w:val="BodyText"/>
        <w:rPr>
          <w:b/>
          <w:sz w:val="22"/>
        </w:rPr>
      </w:pPr>
    </w:p>
    <w:p w14:paraId="02B9A719" w14:textId="77777777" w:rsidR="00FA4AA8" w:rsidRDefault="00FA4AA8">
      <w:pPr>
        <w:pStyle w:val="BodyText"/>
        <w:spacing w:before="4"/>
        <w:rPr>
          <w:b/>
          <w:sz w:val="28"/>
        </w:rPr>
      </w:pPr>
    </w:p>
    <w:p w14:paraId="274C1611" w14:textId="77777777" w:rsidR="00FA4AA8" w:rsidRDefault="0015611F">
      <w:pPr>
        <w:pStyle w:val="Heading9"/>
        <w:spacing w:before="1" w:line="247" w:lineRule="auto"/>
        <w:ind w:left="675" w:right="619"/>
      </w:pPr>
      <w:r>
        <w:t>To</w:t>
      </w:r>
      <w:r>
        <w:rPr>
          <w:spacing w:val="-37"/>
        </w:rPr>
        <w:t xml:space="preserve"> </w:t>
      </w:r>
      <w:r>
        <w:rPr>
          <w:color w:val="0E0E0E"/>
        </w:rPr>
        <w:t>Members</w:t>
      </w:r>
      <w:r>
        <w:rPr>
          <w:color w:val="0E0E0E"/>
          <w:spacing w:val="-29"/>
        </w:rPr>
        <w:t xml:space="preserve"> </w:t>
      </w:r>
      <w:r>
        <w:rPr>
          <w:color w:val="2A2A2A"/>
        </w:rPr>
        <w:t>of</w:t>
      </w:r>
      <w:r>
        <w:rPr>
          <w:color w:val="2A2A2A"/>
          <w:spacing w:val="-34"/>
        </w:rPr>
        <w:t xml:space="preserve"> </w:t>
      </w:r>
      <w:r>
        <w:rPr>
          <w:color w:val="131313"/>
        </w:rPr>
        <w:t>the</w:t>
      </w:r>
      <w:r>
        <w:rPr>
          <w:color w:val="131313"/>
          <w:spacing w:val="-32"/>
        </w:rPr>
        <w:t xml:space="preserve"> </w:t>
      </w:r>
      <w:r>
        <w:rPr>
          <w:color w:val="262626"/>
        </w:rPr>
        <w:t>New</w:t>
      </w:r>
      <w:r>
        <w:rPr>
          <w:color w:val="262626"/>
          <w:spacing w:val="-31"/>
        </w:rPr>
        <w:t xml:space="preserve"> </w:t>
      </w:r>
      <w:r>
        <w:rPr>
          <w:color w:val="1C1C1C"/>
        </w:rPr>
        <w:t>South</w:t>
      </w:r>
      <w:r>
        <w:rPr>
          <w:color w:val="1C1C1C"/>
          <w:spacing w:val="-31"/>
        </w:rPr>
        <w:t xml:space="preserve"> </w:t>
      </w:r>
      <w:r>
        <w:rPr>
          <w:color w:val="131313"/>
        </w:rPr>
        <w:t>Wales</w:t>
      </w:r>
      <w:r>
        <w:rPr>
          <w:color w:val="131313"/>
          <w:spacing w:val="-28"/>
        </w:rPr>
        <w:t xml:space="preserve"> </w:t>
      </w:r>
      <w:r>
        <w:rPr>
          <w:color w:val="0C0C0C"/>
        </w:rPr>
        <w:t>Parliament</w:t>
      </w:r>
      <w:r>
        <w:rPr>
          <w:color w:val="0C0C0C"/>
          <w:spacing w:val="-28"/>
        </w:rPr>
        <w:t xml:space="preserve"> </w:t>
      </w:r>
      <w:r>
        <w:rPr>
          <w:color w:val="0F0F0F"/>
        </w:rPr>
        <w:t>and</w:t>
      </w:r>
      <w:r>
        <w:rPr>
          <w:color w:val="0F0F0F"/>
          <w:spacing w:val="-31"/>
        </w:rPr>
        <w:t xml:space="preserve"> </w:t>
      </w:r>
      <w:r>
        <w:t>Members</w:t>
      </w:r>
      <w:r>
        <w:rPr>
          <w:spacing w:val="-27"/>
        </w:rPr>
        <w:t xml:space="preserve"> </w:t>
      </w:r>
      <w:r>
        <w:rPr>
          <w:color w:val="161616"/>
        </w:rPr>
        <w:t>of</w:t>
      </w:r>
      <w:r>
        <w:rPr>
          <w:color w:val="161616"/>
          <w:spacing w:val="-37"/>
        </w:rPr>
        <w:t xml:space="preserve"> </w:t>
      </w:r>
      <w:r>
        <w:rPr>
          <w:color w:val="0E0E0E"/>
        </w:rPr>
        <w:t>Western</w:t>
      </w:r>
      <w:r>
        <w:rPr>
          <w:color w:val="0E0E0E"/>
          <w:spacing w:val="-31"/>
        </w:rPr>
        <w:t xml:space="preserve"> </w:t>
      </w:r>
      <w:r>
        <w:rPr>
          <w:color w:val="0F0F0F"/>
        </w:rPr>
        <w:t>Sydney</w:t>
      </w:r>
      <w:r>
        <w:rPr>
          <w:color w:val="0F0F0F"/>
          <w:spacing w:val="-26"/>
        </w:rPr>
        <w:t xml:space="preserve"> </w:t>
      </w:r>
      <w:r>
        <w:t>University</w:t>
      </w:r>
      <w:r>
        <w:rPr>
          <w:spacing w:val="-28"/>
        </w:rPr>
        <w:t xml:space="preserve"> </w:t>
      </w:r>
      <w:r>
        <w:rPr>
          <w:color w:val="161616"/>
        </w:rPr>
        <w:t xml:space="preserve">Early </w:t>
      </w:r>
      <w:r>
        <w:t>Learning</w:t>
      </w:r>
      <w:r>
        <w:rPr>
          <w:spacing w:val="14"/>
        </w:rPr>
        <w:t xml:space="preserve"> </w:t>
      </w:r>
      <w:r>
        <w:rPr>
          <w:color w:val="151515"/>
        </w:rPr>
        <w:t>Limited</w:t>
      </w:r>
    </w:p>
    <w:p w14:paraId="2CF7558F" w14:textId="77777777" w:rsidR="00FA4AA8" w:rsidRDefault="0015611F">
      <w:pPr>
        <w:spacing w:before="160"/>
        <w:ind w:left="671"/>
        <w:rPr>
          <w:b/>
          <w:sz w:val="24"/>
        </w:rPr>
      </w:pPr>
      <w:r>
        <w:rPr>
          <w:b/>
          <w:sz w:val="24"/>
        </w:rPr>
        <w:t>Opinion</w:t>
      </w:r>
    </w:p>
    <w:p w14:paraId="279A0F17" w14:textId="77777777" w:rsidR="00FA4AA8" w:rsidRDefault="0015611F">
      <w:pPr>
        <w:spacing w:before="113"/>
        <w:ind w:left="673" w:right="619" w:hanging="2"/>
        <w:rPr>
          <w:sz w:val="21"/>
        </w:rPr>
      </w:pPr>
      <w:r>
        <w:rPr>
          <w:color w:val="2F2F2F"/>
          <w:sz w:val="21"/>
        </w:rPr>
        <w:t>I</w:t>
      </w:r>
      <w:r>
        <w:rPr>
          <w:color w:val="2F2F2F"/>
          <w:spacing w:val="-38"/>
          <w:sz w:val="21"/>
        </w:rPr>
        <w:t xml:space="preserve"> </w:t>
      </w:r>
      <w:r>
        <w:rPr>
          <w:color w:val="131313"/>
          <w:sz w:val="21"/>
        </w:rPr>
        <w:t>have</w:t>
      </w:r>
      <w:r>
        <w:rPr>
          <w:color w:val="131313"/>
          <w:spacing w:val="-34"/>
          <w:sz w:val="21"/>
        </w:rPr>
        <w:t xml:space="preserve"> </w:t>
      </w:r>
      <w:r>
        <w:rPr>
          <w:color w:val="1A1A1A"/>
          <w:sz w:val="21"/>
        </w:rPr>
        <w:t>audited</w:t>
      </w:r>
      <w:r>
        <w:rPr>
          <w:color w:val="1A1A1A"/>
          <w:spacing w:val="-34"/>
          <w:sz w:val="21"/>
        </w:rPr>
        <w:t xml:space="preserve"> </w:t>
      </w:r>
      <w:r>
        <w:rPr>
          <w:color w:val="212121"/>
          <w:sz w:val="21"/>
        </w:rPr>
        <w:t>the</w:t>
      </w:r>
      <w:r>
        <w:rPr>
          <w:color w:val="212121"/>
          <w:spacing w:val="-34"/>
          <w:sz w:val="21"/>
        </w:rPr>
        <w:t xml:space="preserve"> </w:t>
      </w:r>
      <w:r>
        <w:rPr>
          <w:sz w:val="21"/>
        </w:rPr>
        <w:t>accompanying</w:t>
      </w:r>
      <w:r>
        <w:rPr>
          <w:spacing w:val="-25"/>
          <w:sz w:val="21"/>
        </w:rPr>
        <w:t xml:space="preserve"> </w:t>
      </w:r>
      <w:r>
        <w:rPr>
          <w:color w:val="161616"/>
          <w:sz w:val="21"/>
        </w:rPr>
        <w:t>financial</w:t>
      </w:r>
      <w:r>
        <w:rPr>
          <w:color w:val="161616"/>
          <w:spacing w:val="-34"/>
          <w:sz w:val="21"/>
        </w:rPr>
        <w:t xml:space="preserve"> </w:t>
      </w:r>
      <w:r>
        <w:rPr>
          <w:sz w:val="21"/>
        </w:rPr>
        <w:t>report</w:t>
      </w:r>
      <w:r>
        <w:rPr>
          <w:spacing w:val="-33"/>
          <w:sz w:val="21"/>
        </w:rPr>
        <w:t xml:space="preserve"> </w:t>
      </w:r>
      <w:r>
        <w:rPr>
          <w:color w:val="181818"/>
          <w:sz w:val="21"/>
        </w:rPr>
        <w:t>of</w:t>
      </w:r>
      <w:r>
        <w:rPr>
          <w:color w:val="181818"/>
          <w:spacing w:val="-34"/>
          <w:sz w:val="21"/>
        </w:rPr>
        <w:t xml:space="preserve"> </w:t>
      </w:r>
      <w:r>
        <w:rPr>
          <w:sz w:val="21"/>
        </w:rPr>
        <w:t>Western</w:t>
      </w:r>
      <w:r>
        <w:rPr>
          <w:spacing w:val="-33"/>
          <w:sz w:val="21"/>
        </w:rPr>
        <w:t xml:space="preserve"> </w:t>
      </w:r>
      <w:r>
        <w:rPr>
          <w:color w:val="0C0C0C"/>
          <w:sz w:val="21"/>
        </w:rPr>
        <w:t>Sydney</w:t>
      </w:r>
      <w:r>
        <w:rPr>
          <w:color w:val="0C0C0C"/>
          <w:spacing w:val="-33"/>
          <w:sz w:val="21"/>
        </w:rPr>
        <w:t xml:space="preserve"> </w:t>
      </w:r>
      <w:r>
        <w:rPr>
          <w:sz w:val="21"/>
        </w:rPr>
        <w:t>University</w:t>
      </w:r>
      <w:r>
        <w:rPr>
          <w:spacing w:val="-32"/>
          <w:sz w:val="21"/>
        </w:rPr>
        <w:t xml:space="preserve"> </w:t>
      </w:r>
      <w:r>
        <w:rPr>
          <w:color w:val="161616"/>
          <w:sz w:val="21"/>
        </w:rPr>
        <w:t>Early</w:t>
      </w:r>
      <w:r>
        <w:rPr>
          <w:color w:val="161616"/>
          <w:spacing w:val="-31"/>
          <w:sz w:val="21"/>
        </w:rPr>
        <w:t xml:space="preserve"> </w:t>
      </w:r>
      <w:r>
        <w:rPr>
          <w:color w:val="0C0C0C"/>
          <w:sz w:val="21"/>
        </w:rPr>
        <w:t>Learning</w:t>
      </w:r>
      <w:r>
        <w:rPr>
          <w:color w:val="0C0C0C"/>
          <w:spacing w:val="-30"/>
          <w:sz w:val="21"/>
        </w:rPr>
        <w:t xml:space="preserve"> </w:t>
      </w:r>
      <w:r>
        <w:rPr>
          <w:sz w:val="21"/>
        </w:rPr>
        <w:t>Limited</w:t>
      </w:r>
      <w:r>
        <w:rPr>
          <w:color w:val="0C0C0C"/>
          <w:sz w:val="21"/>
        </w:rPr>
        <w:t xml:space="preserve"> (the</w:t>
      </w:r>
      <w:r>
        <w:rPr>
          <w:color w:val="0C0C0C"/>
          <w:spacing w:val="-20"/>
          <w:sz w:val="21"/>
        </w:rPr>
        <w:t xml:space="preserve"> </w:t>
      </w:r>
      <w:r>
        <w:rPr>
          <w:color w:val="0F0F0F"/>
          <w:sz w:val="21"/>
        </w:rPr>
        <w:t>Company),</w:t>
      </w:r>
      <w:r>
        <w:rPr>
          <w:color w:val="0F0F0F"/>
          <w:spacing w:val="-5"/>
          <w:sz w:val="21"/>
        </w:rPr>
        <w:t xml:space="preserve"> </w:t>
      </w:r>
      <w:r>
        <w:rPr>
          <w:color w:val="0F0F0F"/>
          <w:sz w:val="21"/>
        </w:rPr>
        <w:t>which</w:t>
      </w:r>
      <w:r>
        <w:rPr>
          <w:color w:val="0F0F0F"/>
          <w:spacing w:val="-14"/>
          <w:sz w:val="21"/>
        </w:rPr>
        <w:t xml:space="preserve"> </w:t>
      </w:r>
      <w:r>
        <w:rPr>
          <w:sz w:val="21"/>
        </w:rPr>
        <w:t>comprises,</w:t>
      </w:r>
      <w:r>
        <w:rPr>
          <w:spacing w:val="-5"/>
          <w:sz w:val="21"/>
        </w:rPr>
        <w:t xml:space="preserve"> </w:t>
      </w:r>
      <w:r>
        <w:rPr>
          <w:color w:val="1C1C1C"/>
          <w:sz w:val="21"/>
        </w:rPr>
        <w:t>the</w:t>
      </w:r>
      <w:r>
        <w:rPr>
          <w:color w:val="1C1C1C"/>
          <w:spacing w:val="-19"/>
          <w:sz w:val="21"/>
        </w:rPr>
        <w:t xml:space="preserve"> </w:t>
      </w:r>
      <w:r>
        <w:rPr>
          <w:color w:val="161616"/>
          <w:sz w:val="21"/>
        </w:rPr>
        <w:t>Statement</w:t>
      </w:r>
      <w:r>
        <w:rPr>
          <w:color w:val="161616"/>
          <w:spacing w:val="-8"/>
          <w:sz w:val="21"/>
        </w:rPr>
        <w:t xml:space="preserve"> </w:t>
      </w:r>
      <w:r>
        <w:rPr>
          <w:color w:val="2D2D2D"/>
          <w:sz w:val="21"/>
        </w:rPr>
        <w:t>of</w:t>
      </w:r>
      <w:r>
        <w:rPr>
          <w:color w:val="2D2D2D"/>
          <w:spacing w:val="-21"/>
          <w:sz w:val="21"/>
        </w:rPr>
        <w:t xml:space="preserve"> </w:t>
      </w:r>
      <w:r>
        <w:rPr>
          <w:sz w:val="21"/>
        </w:rPr>
        <w:t>Comprehensive</w:t>
      </w:r>
      <w:r>
        <w:rPr>
          <w:spacing w:val="-5"/>
          <w:sz w:val="21"/>
        </w:rPr>
        <w:t xml:space="preserve"> </w:t>
      </w:r>
      <w:r>
        <w:rPr>
          <w:color w:val="151515"/>
          <w:sz w:val="21"/>
        </w:rPr>
        <w:t>Income</w:t>
      </w:r>
      <w:r>
        <w:rPr>
          <w:color w:val="151515"/>
          <w:spacing w:val="-10"/>
          <w:sz w:val="21"/>
        </w:rPr>
        <w:t xml:space="preserve"> </w:t>
      </w:r>
      <w:r>
        <w:rPr>
          <w:color w:val="242424"/>
          <w:sz w:val="21"/>
        </w:rPr>
        <w:t>for</w:t>
      </w:r>
      <w:r>
        <w:rPr>
          <w:color w:val="242424"/>
          <w:spacing w:val="-19"/>
          <w:sz w:val="21"/>
        </w:rPr>
        <w:t xml:space="preserve"> </w:t>
      </w:r>
      <w:r>
        <w:rPr>
          <w:color w:val="131313"/>
          <w:sz w:val="21"/>
        </w:rPr>
        <w:t>the</w:t>
      </w:r>
      <w:r>
        <w:rPr>
          <w:color w:val="131313"/>
          <w:spacing w:val="-25"/>
          <w:sz w:val="21"/>
        </w:rPr>
        <w:t xml:space="preserve"> </w:t>
      </w:r>
      <w:r>
        <w:rPr>
          <w:sz w:val="21"/>
        </w:rPr>
        <w:t>year</w:t>
      </w:r>
      <w:r>
        <w:rPr>
          <w:spacing w:val="-11"/>
          <w:sz w:val="21"/>
        </w:rPr>
        <w:t xml:space="preserve"> </w:t>
      </w:r>
      <w:r>
        <w:rPr>
          <w:sz w:val="21"/>
        </w:rPr>
        <w:t>ended</w:t>
      </w:r>
    </w:p>
    <w:p w14:paraId="5C41AB69" w14:textId="77777777" w:rsidR="00FA4AA8" w:rsidRDefault="0015611F">
      <w:pPr>
        <w:ind w:left="673" w:right="619" w:firstLine="3"/>
        <w:rPr>
          <w:sz w:val="21"/>
        </w:rPr>
      </w:pPr>
      <w:r>
        <w:rPr>
          <w:color w:val="212121"/>
          <w:sz w:val="21"/>
        </w:rPr>
        <w:t>31</w:t>
      </w:r>
      <w:r>
        <w:rPr>
          <w:color w:val="212121"/>
          <w:spacing w:val="-24"/>
          <w:sz w:val="21"/>
        </w:rPr>
        <w:t xml:space="preserve"> </w:t>
      </w:r>
      <w:r>
        <w:rPr>
          <w:color w:val="111111"/>
          <w:sz w:val="21"/>
        </w:rPr>
        <w:t>December</w:t>
      </w:r>
      <w:r>
        <w:rPr>
          <w:color w:val="111111"/>
          <w:spacing w:val="-14"/>
          <w:sz w:val="21"/>
        </w:rPr>
        <w:t xml:space="preserve"> </w:t>
      </w:r>
      <w:r>
        <w:rPr>
          <w:color w:val="181818"/>
          <w:sz w:val="21"/>
        </w:rPr>
        <w:t>2018,</w:t>
      </w:r>
      <w:r>
        <w:rPr>
          <w:color w:val="181818"/>
          <w:spacing w:val="-32"/>
          <w:sz w:val="21"/>
        </w:rPr>
        <w:t xml:space="preserve"> </w:t>
      </w:r>
      <w:r>
        <w:rPr>
          <w:color w:val="0C0C0C"/>
          <w:sz w:val="21"/>
        </w:rPr>
        <w:t>the</w:t>
      </w:r>
      <w:r>
        <w:rPr>
          <w:color w:val="0C0C0C"/>
          <w:spacing w:val="-30"/>
          <w:sz w:val="21"/>
        </w:rPr>
        <w:t xml:space="preserve"> </w:t>
      </w:r>
      <w:r>
        <w:rPr>
          <w:color w:val="0E0E0E"/>
          <w:sz w:val="21"/>
        </w:rPr>
        <w:t>Statement</w:t>
      </w:r>
      <w:r>
        <w:rPr>
          <w:color w:val="0E0E0E"/>
          <w:spacing w:val="-17"/>
          <w:sz w:val="21"/>
        </w:rPr>
        <w:t xml:space="preserve"> </w:t>
      </w:r>
      <w:r>
        <w:rPr>
          <w:color w:val="1C1C1C"/>
          <w:sz w:val="21"/>
        </w:rPr>
        <w:t>of</w:t>
      </w:r>
      <w:r>
        <w:rPr>
          <w:color w:val="1C1C1C"/>
          <w:spacing w:val="-23"/>
          <w:sz w:val="21"/>
        </w:rPr>
        <w:t xml:space="preserve"> </w:t>
      </w:r>
      <w:r>
        <w:rPr>
          <w:sz w:val="21"/>
        </w:rPr>
        <w:t>Financial</w:t>
      </w:r>
      <w:r>
        <w:rPr>
          <w:spacing w:val="-16"/>
          <w:sz w:val="21"/>
        </w:rPr>
        <w:t xml:space="preserve"> </w:t>
      </w:r>
      <w:r>
        <w:rPr>
          <w:sz w:val="21"/>
        </w:rPr>
        <w:t>Position</w:t>
      </w:r>
      <w:r>
        <w:rPr>
          <w:spacing w:val="-22"/>
          <w:sz w:val="21"/>
        </w:rPr>
        <w:t xml:space="preserve"> </w:t>
      </w:r>
      <w:r>
        <w:rPr>
          <w:color w:val="151515"/>
          <w:sz w:val="21"/>
        </w:rPr>
        <w:t>as</w:t>
      </w:r>
      <w:r>
        <w:rPr>
          <w:color w:val="151515"/>
          <w:spacing w:val="-24"/>
          <w:sz w:val="21"/>
        </w:rPr>
        <w:t xml:space="preserve"> </w:t>
      </w:r>
      <w:r>
        <w:rPr>
          <w:color w:val="0F0F0F"/>
          <w:sz w:val="21"/>
        </w:rPr>
        <w:t>at</w:t>
      </w:r>
      <w:r>
        <w:rPr>
          <w:color w:val="0F0F0F"/>
          <w:spacing w:val="-23"/>
          <w:sz w:val="21"/>
        </w:rPr>
        <w:t xml:space="preserve"> </w:t>
      </w:r>
      <w:r>
        <w:rPr>
          <w:color w:val="161616"/>
          <w:sz w:val="21"/>
        </w:rPr>
        <w:t>31</w:t>
      </w:r>
      <w:r>
        <w:rPr>
          <w:color w:val="161616"/>
          <w:spacing w:val="-23"/>
          <w:sz w:val="21"/>
        </w:rPr>
        <w:t xml:space="preserve"> </w:t>
      </w:r>
      <w:r>
        <w:rPr>
          <w:color w:val="1A1A1A"/>
          <w:sz w:val="21"/>
        </w:rPr>
        <w:t>December</w:t>
      </w:r>
      <w:r>
        <w:rPr>
          <w:color w:val="1A1A1A"/>
          <w:spacing w:val="-14"/>
          <w:sz w:val="21"/>
        </w:rPr>
        <w:t xml:space="preserve"> </w:t>
      </w:r>
      <w:r>
        <w:rPr>
          <w:color w:val="111111"/>
          <w:sz w:val="21"/>
        </w:rPr>
        <w:t>2018,</w:t>
      </w:r>
      <w:r>
        <w:rPr>
          <w:color w:val="111111"/>
          <w:spacing w:val="-26"/>
          <w:sz w:val="21"/>
        </w:rPr>
        <w:t xml:space="preserve"> </w:t>
      </w:r>
      <w:r>
        <w:rPr>
          <w:color w:val="111111"/>
          <w:sz w:val="21"/>
        </w:rPr>
        <w:t>Statement</w:t>
      </w:r>
      <w:r>
        <w:rPr>
          <w:color w:val="111111"/>
          <w:spacing w:val="-19"/>
          <w:sz w:val="21"/>
        </w:rPr>
        <w:t xml:space="preserve"> </w:t>
      </w:r>
      <w:r>
        <w:rPr>
          <w:color w:val="161616"/>
          <w:sz w:val="21"/>
        </w:rPr>
        <w:t xml:space="preserve">of </w:t>
      </w:r>
      <w:r>
        <w:rPr>
          <w:sz w:val="21"/>
        </w:rPr>
        <w:t xml:space="preserve">Changes </w:t>
      </w:r>
      <w:r>
        <w:rPr>
          <w:color w:val="2A2A2A"/>
          <w:sz w:val="21"/>
        </w:rPr>
        <w:t xml:space="preserve">in </w:t>
      </w:r>
      <w:r>
        <w:rPr>
          <w:color w:val="181818"/>
          <w:sz w:val="21"/>
        </w:rPr>
        <w:t xml:space="preserve">Equity </w:t>
      </w:r>
      <w:r>
        <w:rPr>
          <w:color w:val="1C1C1C"/>
          <w:sz w:val="21"/>
        </w:rPr>
        <w:t xml:space="preserve">and </w:t>
      </w:r>
      <w:r>
        <w:rPr>
          <w:color w:val="0C0C0C"/>
          <w:sz w:val="21"/>
        </w:rPr>
        <w:t xml:space="preserve">Statement </w:t>
      </w:r>
      <w:r>
        <w:rPr>
          <w:color w:val="212121"/>
          <w:sz w:val="21"/>
        </w:rPr>
        <w:t xml:space="preserve">of </w:t>
      </w:r>
      <w:r>
        <w:rPr>
          <w:sz w:val="21"/>
        </w:rPr>
        <w:t xml:space="preserve">Cash Flows </w:t>
      </w:r>
      <w:r>
        <w:rPr>
          <w:color w:val="343434"/>
          <w:sz w:val="21"/>
        </w:rPr>
        <w:t xml:space="preserve">for </w:t>
      </w:r>
      <w:r>
        <w:rPr>
          <w:color w:val="151515"/>
          <w:sz w:val="21"/>
        </w:rPr>
        <w:t xml:space="preserve">the </w:t>
      </w:r>
      <w:r>
        <w:rPr>
          <w:color w:val="131313"/>
          <w:sz w:val="21"/>
        </w:rPr>
        <w:t xml:space="preserve">year </w:t>
      </w:r>
      <w:r>
        <w:rPr>
          <w:color w:val="181818"/>
          <w:sz w:val="21"/>
        </w:rPr>
        <w:t xml:space="preserve">then </w:t>
      </w:r>
      <w:r>
        <w:rPr>
          <w:color w:val="1D1D1D"/>
          <w:sz w:val="21"/>
        </w:rPr>
        <w:t xml:space="preserve">ended, </w:t>
      </w:r>
      <w:r>
        <w:rPr>
          <w:color w:val="161616"/>
          <w:sz w:val="21"/>
        </w:rPr>
        <w:t xml:space="preserve">notes </w:t>
      </w:r>
      <w:r>
        <w:rPr>
          <w:sz w:val="21"/>
        </w:rPr>
        <w:t xml:space="preserve">comprising </w:t>
      </w:r>
      <w:r>
        <w:rPr>
          <w:color w:val="424242"/>
          <w:sz w:val="21"/>
        </w:rPr>
        <w:t xml:space="preserve">a </w:t>
      </w:r>
      <w:r>
        <w:rPr>
          <w:color w:val="131313"/>
          <w:w w:val="95"/>
          <w:sz w:val="21"/>
        </w:rPr>
        <w:t xml:space="preserve">summary </w:t>
      </w:r>
      <w:r>
        <w:rPr>
          <w:color w:val="1A1A1A"/>
          <w:w w:val="95"/>
          <w:sz w:val="21"/>
        </w:rPr>
        <w:t xml:space="preserve">of </w:t>
      </w:r>
      <w:r>
        <w:rPr>
          <w:w w:val="95"/>
          <w:sz w:val="21"/>
        </w:rPr>
        <w:t xml:space="preserve">significant accounting policies </w:t>
      </w:r>
      <w:r>
        <w:rPr>
          <w:color w:val="111111"/>
          <w:w w:val="95"/>
          <w:sz w:val="21"/>
        </w:rPr>
        <w:t xml:space="preserve">and </w:t>
      </w:r>
      <w:r>
        <w:rPr>
          <w:color w:val="131313"/>
          <w:w w:val="95"/>
          <w:sz w:val="21"/>
        </w:rPr>
        <w:t xml:space="preserve">other </w:t>
      </w:r>
      <w:r>
        <w:rPr>
          <w:w w:val="95"/>
          <w:sz w:val="21"/>
        </w:rPr>
        <w:t xml:space="preserve">explanatory </w:t>
      </w:r>
      <w:r>
        <w:rPr>
          <w:color w:val="0C0C0C"/>
          <w:w w:val="95"/>
          <w:sz w:val="21"/>
        </w:rPr>
        <w:t xml:space="preserve">information, </w:t>
      </w:r>
      <w:r>
        <w:rPr>
          <w:color w:val="151515"/>
          <w:w w:val="95"/>
          <w:sz w:val="21"/>
        </w:rPr>
        <w:t xml:space="preserve">and </w:t>
      </w:r>
      <w:r>
        <w:rPr>
          <w:color w:val="0C0C0C"/>
          <w:w w:val="95"/>
          <w:sz w:val="21"/>
        </w:rPr>
        <w:t xml:space="preserve">the </w:t>
      </w:r>
      <w:r>
        <w:rPr>
          <w:color w:val="151515"/>
          <w:w w:val="95"/>
          <w:sz w:val="21"/>
        </w:rPr>
        <w:t xml:space="preserve">responsible </w:t>
      </w:r>
      <w:r>
        <w:rPr>
          <w:color w:val="0C0C0C"/>
          <w:sz w:val="21"/>
        </w:rPr>
        <w:t>entities</w:t>
      </w:r>
      <w:r>
        <w:rPr>
          <w:color w:val="0C0C0C"/>
          <w:spacing w:val="3"/>
          <w:sz w:val="21"/>
        </w:rPr>
        <w:t xml:space="preserve"> </w:t>
      </w:r>
      <w:r>
        <w:rPr>
          <w:color w:val="161616"/>
          <w:sz w:val="21"/>
        </w:rPr>
        <w:t>declaration.</w:t>
      </w:r>
    </w:p>
    <w:p w14:paraId="5E59D4FA" w14:textId="77777777" w:rsidR="00FA4AA8" w:rsidRDefault="0015611F">
      <w:pPr>
        <w:spacing w:before="173"/>
        <w:ind w:left="666"/>
        <w:rPr>
          <w:sz w:val="21"/>
        </w:rPr>
      </w:pPr>
      <w:r>
        <w:rPr>
          <w:color w:val="282828"/>
          <w:sz w:val="21"/>
        </w:rPr>
        <w:t xml:space="preserve">In </w:t>
      </w:r>
      <w:r>
        <w:rPr>
          <w:color w:val="1F1F1F"/>
          <w:sz w:val="21"/>
        </w:rPr>
        <w:t xml:space="preserve">my </w:t>
      </w:r>
      <w:r>
        <w:rPr>
          <w:color w:val="131313"/>
          <w:sz w:val="21"/>
        </w:rPr>
        <w:t xml:space="preserve">opinion, the </w:t>
      </w:r>
      <w:r>
        <w:rPr>
          <w:color w:val="0F0F0F"/>
          <w:sz w:val="21"/>
        </w:rPr>
        <w:t xml:space="preserve">financial </w:t>
      </w:r>
      <w:r>
        <w:rPr>
          <w:color w:val="131313"/>
          <w:sz w:val="21"/>
        </w:rPr>
        <w:t>report:</w:t>
      </w:r>
    </w:p>
    <w:p w14:paraId="374C61FF" w14:textId="77777777" w:rsidR="00FA4AA8" w:rsidRDefault="0015611F">
      <w:pPr>
        <w:pStyle w:val="ListParagraph"/>
        <w:numPr>
          <w:ilvl w:val="1"/>
          <w:numId w:val="44"/>
        </w:numPr>
        <w:tabs>
          <w:tab w:val="left" w:pos="1234"/>
          <w:tab w:val="left" w:pos="1235"/>
        </w:tabs>
        <w:spacing w:before="162" w:line="242" w:lineRule="auto"/>
        <w:ind w:right="802" w:hanging="576"/>
        <w:rPr>
          <w:color w:val="1C1C1C"/>
          <w:sz w:val="21"/>
        </w:rPr>
      </w:pPr>
      <w:r>
        <w:rPr>
          <w:color w:val="131313"/>
          <w:sz w:val="21"/>
        </w:rPr>
        <w:t>is</w:t>
      </w:r>
      <w:r>
        <w:rPr>
          <w:color w:val="131313"/>
          <w:spacing w:val="-27"/>
          <w:sz w:val="21"/>
        </w:rPr>
        <w:t xml:space="preserve"> </w:t>
      </w:r>
      <w:r>
        <w:rPr>
          <w:color w:val="111111"/>
          <w:sz w:val="21"/>
        </w:rPr>
        <w:t>in</w:t>
      </w:r>
      <w:r>
        <w:rPr>
          <w:color w:val="111111"/>
          <w:spacing w:val="-29"/>
          <w:sz w:val="21"/>
        </w:rPr>
        <w:t xml:space="preserve"> </w:t>
      </w:r>
      <w:r>
        <w:rPr>
          <w:sz w:val="21"/>
        </w:rPr>
        <w:t>accordance</w:t>
      </w:r>
      <w:r>
        <w:rPr>
          <w:spacing w:val="-21"/>
          <w:sz w:val="21"/>
        </w:rPr>
        <w:t xml:space="preserve"> </w:t>
      </w:r>
      <w:r>
        <w:rPr>
          <w:color w:val="111111"/>
          <w:sz w:val="21"/>
        </w:rPr>
        <w:t>with</w:t>
      </w:r>
      <w:r>
        <w:rPr>
          <w:color w:val="111111"/>
          <w:spacing w:val="-23"/>
          <w:sz w:val="21"/>
        </w:rPr>
        <w:t xml:space="preserve"> </w:t>
      </w:r>
      <w:r>
        <w:rPr>
          <w:sz w:val="21"/>
        </w:rPr>
        <w:t>section</w:t>
      </w:r>
      <w:r>
        <w:rPr>
          <w:spacing w:val="-20"/>
          <w:sz w:val="21"/>
        </w:rPr>
        <w:t xml:space="preserve"> </w:t>
      </w:r>
      <w:r>
        <w:rPr>
          <w:color w:val="262626"/>
          <w:spacing w:val="2"/>
          <w:sz w:val="21"/>
        </w:rPr>
        <w:t>41</w:t>
      </w:r>
      <w:r>
        <w:rPr>
          <w:spacing w:val="2"/>
          <w:sz w:val="21"/>
        </w:rPr>
        <w:t>B</w:t>
      </w:r>
      <w:r>
        <w:rPr>
          <w:spacing w:val="-27"/>
          <w:sz w:val="21"/>
        </w:rPr>
        <w:t xml:space="preserve"> </w:t>
      </w:r>
      <w:r>
        <w:rPr>
          <w:color w:val="1D1D1D"/>
          <w:sz w:val="21"/>
        </w:rPr>
        <w:t>of</w:t>
      </w:r>
      <w:r>
        <w:rPr>
          <w:color w:val="1D1D1D"/>
          <w:spacing w:val="-28"/>
          <w:sz w:val="21"/>
        </w:rPr>
        <w:t xml:space="preserve"> </w:t>
      </w:r>
      <w:r>
        <w:rPr>
          <w:color w:val="0C0C0C"/>
          <w:sz w:val="21"/>
        </w:rPr>
        <w:t>the</w:t>
      </w:r>
      <w:r>
        <w:rPr>
          <w:color w:val="0C0C0C"/>
          <w:spacing w:val="-26"/>
          <w:sz w:val="21"/>
        </w:rPr>
        <w:t xml:space="preserve"> </w:t>
      </w:r>
      <w:r>
        <w:rPr>
          <w:i/>
          <w:color w:val="1A1A1A"/>
          <w:sz w:val="21"/>
        </w:rPr>
        <w:t>Public</w:t>
      </w:r>
      <w:r>
        <w:rPr>
          <w:i/>
          <w:color w:val="1A1A1A"/>
          <w:spacing w:val="-24"/>
          <w:sz w:val="21"/>
        </w:rPr>
        <w:t xml:space="preserve"> </w:t>
      </w:r>
      <w:r w:rsidR="006C5E68">
        <w:rPr>
          <w:i/>
          <w:color w:val="181818"/>
          <w:sz w:val="21"/>
        </w:rPr>
        <w:t>Finance</w:t>
      </w:r>
      <w:r>
        <w:rPr>
          <w:i/>
          <w:color w:val="181818"/>
          <w:spacing w:val="-17"/>
          <w:sz w:val="21"/>
        </w:rPr>
        <w:t xml:space="preserve"> </w:t>
      </w:r>
      <w:r>
        <w:rPr>
          <w:i/>
          <w:color w:val="1C1C1C"/>
          <w:sz w:val="21"/>
        </w:rPr>
        <w:t>and</w:t>
      </w:r>
      <w:r>
        <w:rPr>
          <w:i/>
          <w:color w:val="1C1C1C"/>
          <w:spacing w:val="-25"/>
          <w:sz w:val="21"/>
        </w:rPr>
        <w:t xml:space="preserve"> </w:t>
      </w:r>
      <w:r>
        <w:rPr>
          <w:i/>
          <w:color w:val="1A1A1A"/>
          <w:sz w:val="21"/>
        </w:rPr>
        <w:t>Audit</w:t>
      </w:r>
      <w:r>
        <w:rPr>
          <w:i/>
          <w:color w:val="1A1A1A"/>
          <w:spacing w:val="-23"/>
          <w:sz w:val="21"/>
        </w:rPr>
        <w:t xml:space="preserve"> </w:t>
      </w:r>
      <w:r>
        <w:rPr>
          <w:i/>
          <w:color w:val="0C0C0C"/>
          <w:sz w:val="21"/>
        </w:rPr>
        <w:t>Act</w:t>
      </w:r>
      <w:r>
        <w:rPr>
          <w:i/>
          <w:color w:val="0C0C0C"/>
          <w:spacing w:val="-31"/>
          <w:sz w:val="21"/>
        </w:rPr>
        <w:t xml:space="preserve"> </w:t>
      </w:r>
      <w:r>
        <w:rPr>
          <w:i/>
          <w:color w:val="1A1A1A"/>
          <w:sz w:val="21"/>
        </w:rPr>
        <w:t>1983</w:t>
      </w:r>
      <w:r>
        <w:rPr>
          <w:i/>
          <w:color w:val="1A1A1A"/>
          <w:spacing w:val="-21"/>
          <w:sz w:val="21"/>
        </w:rPr>
        <w:t xml:space="preserve"> </w:t>
      </w:r>
      <w:r>
        <w:rPr>
          <w:color w:val="131313"/>
          <w:sz w:val="21"/>
        </w:rPr>
        <w:t>(PF&amp;A</w:t>
      </w:r>
      <w:r>
        <w:rPr>
          <w:color w:val="131313"/>
          <w:spacing w:val="-20"/>
          <w:sz w:val="21"/>
        </w:rPr>
        <w:t xml:space="preserve"> </w:t>
      </w:r>
      <w:r>
        <w:rPr>
          <w:color w:val="181818"/>
          <w:sz w:val="21"/>
        </w:rPr>
        <w:t>Act)</w:t>
      </w:r>
      <w:r>
        <w:rPr>
          <w:color w:val="181818"/>
          <w:spacing w:val="-22"/>
          <w:sz w:val="21"/>
        </w:rPr>
        <w:t xml:space="preserve"> </w:t>
      </w:r>
      <w:r>
        <w:rPr>
          <w:color w:val="151515"/>
          <w:sz w:val="21"/>
        </w:rPr>
        <w:t>and</w:t>
      </w:r>
      <w:r>
        <w:rPr>
          <w:color w:val="151515"/>
          <w:spacing w:val="-26"/>
          <w:sz w:val="21"/>
        </w:rPr>
        <w:t xml:space="preserve"> </w:t>
      </w:r>
      <w:r>
        <w:rPr>
          <w:color w:val="111111"/>
          <w:sz w:val="21"/>
        </w:rPr>
        <w:t>the</w:t>
      </w:r>
      <w:r>
        <w:rPr>
          <w:color w:val="181818"/>
          <w:sz w:val="21"/>
        </w:rPr>
        <w:t xml:space="preserve"> Public </w:t>
      </w:r>
      <w:r>
        <w:rPr>
          <w:color w:val="131313"/>
          <w:sz w:val="21"/>
        </w:rPr>
        <w:t xml:space="preserve">Finance </w:t>
      </w:r>
      <w:r>
        <w:rPr>
          <w:sz w:val="21"/>
        </w:rPr>
        <w:t xml:space="preserve">and </w:t>
      </w:r>
      <w:r>
        <w:rPr>
          <w:color w:val="111111"/>
          <w:sz w:val="21"/>
        </w:rPr>
        <w:t xml:space="preserve">Audit </w:t>
      </w:r>
      <w:r>
        <w:rPr>
          <w:sz w:val="21"/>
        </w:rPr>
        <w:t xml:space="preserve">Regulation </w:t>
      </w:r>
      <w:r>
        <w:rPr>
          <w:color w:val="1C1C1C"/>
          <w:sz w:val="21"/>
        </w:rPr>
        <w:t>2015,</w:t>
      </w:r>
      <w:r>
        <w:rPr>
          <w:color w:val="1C1C1C"/>
          <w:spacing w:val="17"/>
          <w:sz w:val="21"/>
        </w:rPr>
        <w:t xml:space="preserve"> </w:t>
      </w:r>
      <w:r>
        <w:rPr>
          <w:color w:val="0C0C0C"/>
          <w:sz w:val="21"/>
        </w:rPr>
        <w:t>including:</w:t>
      </w:r>
    </w:p>
    <w:p w14:paraId="0858520D" w14:textId="77777777" w:rsidR="00FA4AA8" w:rsidRDefault="0015611F">
      <w:pPr>
        <w:pStyle w:val="Heading9"/>
        <w:tabs>
          <w:tab w:val="left" w:pos="1817"/>
        </w:tabs>
        <w:spacing w:before="59"/>
        <w:ind w:left="1816" w:right="976" w:hanging="564"/>
      </w:pPr>
      <w:r>
        <w:rPr>
          <w:color w:val="4F4F4F"/>
          <w:w w:val="80"/>
        </w:rPr>
        <w:t>—</w:t>
      </w:r>
      <w:r>
        <w:rPr>
          <w:color w:val="4F4F4F"/>
          <w:w w:val="80"/>
        </w:rPr>
        <w:tab/>
      </w:r>
      <w:r>
        <w:rPr>
          <w:color w:val="4F4F4F"/>
          <w:w w:val="80"/>
        </w:rPr>
        <w:tab/>
      </w:r>
      <w:r>
        <w:t>giving</w:t>
      </w:r>
      <w:r>
        <w:rPr>
          <w:spacing w:val="-29"/>
        </w:rPr>
        <w:t xml:space="preserve"> </w:t>
      </w:r>
      <w:r>
        <w:rPr>
          <w:color w:val="212121"/>
        </w:rPr>
        <w:t>a</w:t>
      </w:r>
      <w:r>
        <w:rPr>
          <w:color w:val="212121"/>
          <w:spacing w:val="-26"/>
        </w:rPr>
        <w:t xml:space="preserve"> </w:t>
      </w:r>
      <w:r>
        <w:rPr>
          <w:color w:val="0C0C0C"/>
        </w:rPr>
        <w:t>true</w:t>
      </w:r>
      <w:r>
        <w:rPr>
          <w:color w:val="0C0C0C"/>
          <w:spacing w:val="-26"/>
        </w:rPr>
        <w:t xml:space="preserve"> </w:t>
      </w:r>
      <w:r>
        <w:rPr>
          <w:color w:val="0F0F0F"/>
        </w:rPr>
        <w:t>and</w:t>
      </w:r>
      <w:r>
        <w:rPr>
          <w:color w:val="0F0F0F"/>
          <w:spacing w:val="-24"/>
        </w:rPr>
        <w:t xml:space="preserve"> </w:t>
      </w:r>
      <w:r>
        <w:rPr>
          <w:color w:val="0F0F0F"/>
        </w:rPr>
        <w:t>fair</w:t>
      </w:r>
      <w:r>
        <w:rPr>
          <w:color w:val="0F0F0F"/>
          <w:spacing w:val="-26"/>
        </w:rPr>
        <w:t xml:space="preserve"> </w:t>
      </w:r>
      <w:r>
        <w:t>view</w:t>
      </w:r>
      <w:r>
        <w:rPr>
          <w:spacing w:val="-25"/>
        </w:rPr>
        <w:t xml:space="preserve"> </w:t>
      </w:r>
      <w:r>
        <w:rPr>
          <w:color w:val="262626"/>
        </w:rPr>
        <w:t>of</w:t>
      </w:r>
      <w:r>
        <w:rPr>
          <w:color w:val="262626"/>
          <w:spacing w:val="-25"/>
        </w:rPr>
        <w:t xml:space="preserve"> </w:t>
      </w:r>
      <w:r>
        <w:rPr>
          <w:color w:val="1F1F1F"/>
        </w:rPr>
        <w:t>the</w:t>
      </w:r>
      <w:r>
        <w:rPr>
          <w:color w:val="1F1F1F"/>
          <w:spacing w:val="-29"/>
        </w:rPr>
        <w:t xml:space="preserve"> </w:t>
      </w:r>
      <w:r w:rsidR="006C5E68">
        <w:t>Company’s</w:t>
      </w:r>
      <w:r>
        <w:rPr>
          <w:spacing w:val="-21"/>
        </w:rPr>
        <w:t xml:space="preserve"> </w:t>
      </w:r>
      <w:r>
        <w:t>financial</w:t>
      </w:r>
      <w:r>
        <w:rPr>
          <w:spacing w:val="-22"/>
        </w:rPr>
        <w:t xml:space="preserve"> </w:t>
      </w:r>
      <w:r>
        <w:rPr>
          <w:color w:val="131313"/>
        </w:rPr>
        <w:t>position</w:t>
      </w:r>
      <w:r>
        <w:rPr>
          <w:color w:val="131313"/>
          <w:spacing w:val="-26"/>
        </w:rPr>
        <w:t xml:space="preserve"> </w:t>
      </w:r>
      <w:r>
        <w:t>as</w:t>
      </w:r>
      <w:r>
        <w:rPr>
          <w:spacing w:val="-28"/>
        </w:rPr>
        <w:t xml:space="preserve"> </w:t>
      </w:r>
      <w:r>
        <w:t>at</w:t>
      </w:r>
      <w:r>
        <w:rPr>
          <w:spacing w:val="-31"/>
        </w:rPr>
        <w:t xml:space="preserve"> </w:t>
      </w:r>
      <w:r>
        <w:rPr>
          <w:color w:val="282828"/>
        </w:rPr>
        <w:t>31</w:t>
      </w:r>
      <w:r>
        <w:rPr>
          <w:color w:val="282828"/>
          <w:spacing w:val="-32"/>
        </w:rPr>
        <w:t xml:space="preserve"> </w:t>
      </w:r>
      <w:r>
        <w:rPr>
          <w:color w:val="0E0E0E"/>
        </w:rPr>
        <w:t>December</w:t>
      </w:r>
      <w:r>
        <w:rPr>
          <w:color w:val="0E0E0E"/>
          <w:spacing w:val="-18"/>
        </w:rPr>
        <w:t xml:space="preserve"> </w:t>
      </w:r>
      <w:r>
        <w:rPr>
          <w:color w:val="151515"/>
        </w:rPr>
        <w:t>2018</w:t>
      </w:r>
      <w:r>
        <w:rPr>
          <w:color w:val="1C1C1C"/>
        </w:rPr>
        <w:t xml:space="preserve"> and </w:t>
      </w:r>
      <w:r>
        <w:rPr>
          <w:color w:val="1A1A1A"/>
        </w:rPr>
        <w:t xml:space="preserve">its </w:t>
      </w:r>
      <w:r>
        <w:t xml:space="preserve">performance </w:t>
      </w:r>
      <w:r>
        <w:rPr>
          <w:color w:val="262626"/>
        </w:rPr>
        <w:t xml:space="preserve">for </w:t>
      </w:r>
      <w:r>
        <w:rPr>
          <w:color w:val="0C0C0C"/>
        </w:rPr>
        <w:t xml:space="preserve">the year </w:t>
      </w:r>
      <w:r>
        <w:rPr>
          <w:color w:val="1D1D1D"/>
        </w:rPr>
        <w:t xml:space="preserve">ended </w:t>
      </w:r>
      <w:r>
        <w:rPr>
          <w:color w:val="161616"/>
        </w:rPr>
        <w:t xml:space="preserve">on </w:t>
      </w:r>
      <w:r>
        <w:rPr>
          <w:color w:val="1F1F1F"/>
        </w:rPr>
        <w:t>that</w:t>
      </w:r>
      <w:r>
        <w:rPr>
          <w:color w:val="1F1F1F"/>
          <w:spacing w:val="-7"/>
        </w:rPr>
        <w:t xml:space="preserve"> </w:t>
      </w:r>
      <w:r>
        <w:rPr>
          <w:color w:val="111111"/>
        </w:rPr>
        <w:t>date</w:t>
      </w:r>
    </w:p>
    <w:p w14:paraId="3F506B1B" w14:textId="77777777" w:rsidR="00FA4AA8" w:rsidRDefault="0015611F">
      <w:pPr>
        <w:spacing w:before="60"/>
        <w:ind w:left="1806"/>
        <w:rPr>
          <w:sz w:val="21"/>
        </w:rPr>
      </w:pPr>
      <w:r>
        <w:rPr>
          <w:sz w:val="21"/>
        </w:rPr>
        <w:t xml:space="preserve">complying </w:t>
      </w:r>
      <w:r>
        <w:rPr>
          <w:color w:val="0F0F0F"/>
          <w:sz w:val="21"/>
        </w:rPr>
        <w:t xml:space="preserve">with </w:t>
      </w:r>
      <w:r>
        <w:rPr>
          <w:sz w:val="21"/>
        </w:rPr>
        <w:t xml:space="preserve">Australian Accounting </w:t>
      </w:r>
      <w:r>
        <w:rPr>
          <w:color w:val="111111"/>
          <w:sz w:val="21"/>
        </w:rPr>
        <w:t>Standards</w:t>
      </w:r>
    </w:p>
    <w:p w14:paraId="0B29AEFF" w14:textId="77777777" w:rsidR="00FA4AA8" w:rsidRDefault="0015611F">
      <w:pPr>
        <w:pStyle w:val="ListParagraph"/>
        <w:numPr>
          <w:ilvl w:val="1"/>
          <w:numId w:val="44"/>
        </w:numPr>
        <w:tabs>
          <w:tab w:val="left" w:pos="1238"/>
          <w:tab w:val="left" w:pos="1239"/>
        </w:tabs>
        <w:spacing w:before="61"/>
        <w:ind w:left="1233" w:right="758" w:hanging="559"/>
        <w:rPr>
          <w:color w:val="0E0E0E"/>
          <w:sz w:val="21"/>
        </w:rPr>
      </w:pPr>
      <w:r>
        <w:rPr>
          <w:color w:val="111111"/>
          <w:sz w:val="21"/>
        </w:rPr>
        <w:t>has</w:t>
      </w:r>
      <w:r>
        <w:rPr>
          <w:color w:val="111111"/>
          <w:spacing w:val="-33"/>
          <w:sz w:val="21"/>
        </w:rPr>
        <w:t xml:space="preserve"> </w:t>
      </w:r>
      <w:r>
        <w:rPr>
          <w:sz w:val="21"/>
        </w:rPr>
        <w:t>been</w:t>
      </w:r>
      <w:r>
        <w:rPr>
          <w:spacing w:val="-33"/>
          <w:sz w:val="21"/>
        </w:rPr>
        <w:t xml:space="preserve"> </w:t>
      </w:r>
      <w:r>
        <w:rPr>
          <w:color w:val="212121"/>
          <w:sz w:val="21"/>
        </w:rPr>
        <w:t>prepared</w:t>
      </w:r>
      <w:r>
        <w:rPr>
          <w:color w:val="212121"/>
          <w:spacing w:val="-27"/>
          <w:sz w:val="21"/>
        </w:rPr>
        <w:t xml:space="preserve"> </w:t>
      </w:r>
      <w:r>
        <w:rPr>
          <w:color w:val="131313"/>
          <w:sz w:val="21"/>
        </w:rPr>
        <w:t>in</w:t>
      </w:r>
      <w:r>
        <w:rPr>
          <w:color w:val="131313"/>
          <w:spacing w:val="-35"/>
          <w:sz w:val="21"/>
        </w:rPr>
        <w:t xml:space="preserve"> </w:t>
      </w:r>
      <w:r>
        <w:rPr>
          <w:color w:val="0F0F0F"/>
          <w:sz w:val="21"/>
        </w:rPr>
        <w:t>accordance</w:t>
      </w:r>
      <w:r>
        <w:rPr>
          <w:color w:val="0F0F0F"/>
          <w:spacing w:val="-29"/>
          <w:sz w:val="21"/>
        </w:rPr>
        <w:t xml:space="preserve"> </w:t>
      </w:r>
      <w:r>
        <w:rPr>
          <w:color w:val="1C1C1C"/>
          <w:sz w:val="21"/>
        </w:rPr>
        <w:t>with</w:t>
      </w:r>
      <w:r>
        <w:rPr>
          <w:color w:val="1C1C1C"/>
          <w:spacing w:val="-30"/>
          <w:sz w:val="21"/>
        </w:rPr>
        <w:t xml:space="preserve"> </w:t>
      </w:r>
      <w:r>
        <w:rPr>
          <w:sz w:val="21"/>
        </w:rPr>
        <w:t>Division</w:t>
      </w:r>
      <w:r>
        <w:rPr>
          <w:spacing w:val="-30"/>
          <w:sz w:val="21"/>
        </w:rPr>
        <w:t xml:space="preserve"> </w:t>
      </w:r>
      <w:r>
        <w:rPr>
          <w:color w:val="1F1F1F"/>
          <w:sz w:val="21"/>
        </w:rPr>
        <w:t>60</w:t>
      </w:r>
      <w:r>
        <w:rPr>
          <w:color w:val="1F1F1F"/>
          <w:spacing w:val="-33"/>
          <w:sz w:val="21"/>
        </w:rPr>
        <w:t xml:space="preserve"> </w:t>
      </w:r>
      <w:r>
        <w:rPr>
          <w:color w:val="1C1C1C"/>
          <w:sz w:val="21"/>
        </w:rPr>
        <w:t>of</w:t>
      </w:r>
      <w:r>
        <w:rPr>
          <w:color w:val="1C1C1C"/>
          <w:spacing w:val="-35"/>
          <w:sz w:val="21"/>
        </w:rPr>
        <w:t xml:space="preserve"> </w:t>
      </w:r>
      <w:r>
        <w:rPr>
          <w:color w:val="151515"/>
          <w:sz w:val="21"/>
        </w:rPr>
        <w:t>the</w:t>
      </w:r>
      <w:r>
        <w:rPr>
          <w:color w:val="151515"/>
          <w:spacing w:val="-33"/>
          <w:sz w:val="21"/>
        </w:rPr>
        <w:t xml:space="preserve"> </w:t>
      </w:r>
      <w:r>
        <w:rPr>
          <w:i/>
          <w:color w:val="181818"/>
          <w:sz w:val="21"/>
        </w:rPr>
        <w:t>Australian</w:t>
      </w:r>
      <w:r>
        <w:rPr>
          <w:i/>
          <w:color w:val="181818"/>
          <w:spacing w:val="-27"/>
          <w:sz w:val="21"/>
        </w:rPr>
        <w:t xml:space="preserve"> </w:t>
      </w:r>
      <w:r>
        <w:rPr>
          <w:i/>
          <w:sz w:val="21"/>
        </w:rPr>
        <w:t>Charities</w:t>
      </w:r>
      <w:r>
        <w:rPr>
          <w:i/>
          <w:spacing w:val="-26"/>
          <w:sz w:val="21"/>
        </w:rPr>
        <w:t xml:space="preserve"> </w:t>
      </w:r>
      <w:r>
        <w:rPr>
          <w:i/>
          <w:color w:val="131313"/>
          <w:sz w:val="21"/>
        </w:rPr>
        <w:t>and</w:t>
      </w:r>
      <w:r>
        <w:rPr>
          <w:i/>
          <w:color w:val="131313"/>
          <w:spacing w:val="-29"/>
          <w:sz w:val="21"/>
        </w:rPr>
        <w:t xml:space="preserve"> </w:t>
      </w:r>
      <w:r>
        <w:rPr>
          <w:i/>
          <w:sz w:val="21"/>
        </w:rPr>
        <w:t xml:space="preserve">Not-for-profits Commission </w:t>
      </w:r>
      <w:r>
        <w:rPr>
          <w:i/>
          <w:color w:val="363636"/>
          <w:sz w:val="21"/>
        </w:rPr>
        <w:t xml:space="preserve">Act </w:t>
      </w:r>
      <w:r>
        <w:rPr>
          <w:i/>
          <w:color w:val="242424"/>
          <w:sz w:val="21"/>
        </w:rPr>
        <w:t xml:space="preserve">2012 </w:t>
      </w:r>
      <w:r>
        <w:rPr>
          <w:color w:val="2B2B2B"/>
          <w:sz w:val="21"/>
        </w:rPr>
        <w:t xml:space="preserve">and </w:t>
      </w:r>
      <w:r>
        <w:rPr>
          <w:color w:val="131313"/>
          <w:sz w:val="21"/>
        </w:rPr>
        <w:t xml:space="preserve">Division </w:t>
      </w:r>
      <w:r>
        <w:rPr>
          <w:color w:val="1A1A1A"/>
          <w:sz w:val="21"/>
        </w:rPr>
        <w:t xml:space="preserve">60 </w:t>
      </w:r>
      <w:r>
        <w:rPr>
          <w:color w:val="151515"/>
          <w:sz w:val="21"/>
        </w:rPr>
        <w:t xml:space="preserve">of </w:t>
      </w:r>
      <w:r>
        <w:rPr>
          <w:color w:val="111111"/>
          <w:sz w:val="21"/>
        </w:rPr>
        <w:t xml:space="preserve">the </w:t>
      </w:r>
      <w:r>
        <w:rPr>
          <w:sz w:val="21"/>
        </w:rPr>
        <w:t xml:space="preserve">Australian </w:t>
      </w:r>
      <w:r>
        <w:rPr>
          <w:color w:val="161616"/>
          <w:sz w:val="21"/>
        </w:rPr>
        <w:t xml:space="preserve">Charities </w:t>
      </w:r>
      <w:r>
        <w:rPr>
          <w:color w:val="0C0C0C"/>
          <w:sz w:val="21"/>
        </w:rPr>
        <w:t xml:space="preserve">and </w:t>
      </w:r>
      <w:r>
        <w:rPr>
          <w:color w:val="0E0E0E"/>
          <w:sz w:val="21"/>
        </w:rPr>
        <w:t>Not-for-profits</w:t>
      </w:r>
      <w:r>
        <w:rPr>
          <w:sz w:val="21"/>
        </w:rPr>
        <w:t xml:space="preserve"> Commission </w:t>
      </w:r>
      <w:r>
        <w:rPr>
          <w:color w:val="0F0F0F"/>
          <w:sz w:val="21"/>
        </w:rPr>
        <w:t>Regulation</w:t>
      </w:r>
      <w:r>
        <w:rPr>
          <w:color w:val="0F0F0F"/>
          <w:spacing w:val="36"/>
          <w:sz w:val="21"/>
        </w:rPr>
        <w:t xml:space="preserve"> </w:t>
      </w:r>
      <w:r>
        <w:rPr>
          <w:color w:val="161616"/>
          <w:sz w:val="21"/>
        </w:rPr>
        <w:t>2013.</w:t>
      </w:r>
    </w:p>
    <w:p w14:paraId="592B2B5A" w14:textId="77777777" w:rsidR="00FA4AA8" w:rsidRDefault="00FA4AA8">
      <w:pPr>
        <w:pStyle w:val="BodyText"/>
        <w:spacing w:before="6"/>
        <w:rPr>
          <w:sz w:val="17"/>
        </w:rPr>
      </w:pPr>
    </w:p>
    <w:p w14:paraId="682AF6CE" w14:textId="77777777" w:rsidR="00FA4AA8" w:rsidRDefault="0015611F">
      <w:pPr>
        <w:pStyle w:val="Heading9"/>
        <w:ind w:left="670"/>
      </w:pPr>
      <w:r>
        <w:rPr>
          <w:color w:val="2D2D2D"/>
        </w:rPr>
        <w:t xml:space="preserve">My </w:t>
      </w:r>
      <w:r>
        <w:rPr>
          <w:color w:val="232323"/>
        </w:rPr>
        <w:t xml:space="preserve">opinion </w:t>
      </w:r>
      <w:r>
        <w:rPr>
          <w:color w:val="1C1C1C"/>
        </w:rPr>
        <w:t xml:space="preserve">should </w:t>
      </w:r>
      <w:r>
        <w:rPr>
          <w:color w:val="343434"/>
        </w:rPr>
        <w:t xml:space="preserve">be </w:t>
      </w:r>
      <w:r>
        <w:rPr>
          <w:color w:val="1F1F1F"/>
        </w:rPr>
        <w:t xml:space="preserve">read </w:t>
      </w:r>
      <w:r>
        <w:rPr>
          <w:color w:val="2A2A2A"/>
        </w:rPr>
        <w:t xml:space="preserve">in </w:t>
      </w:r>
      <w:r>
        <w:t xml:space="preserve">conjunction with </w:t>
      </w:r>
      <w:r>
        <w:rPr>
          <w:color w:val="151515"/>
        </w:rPr>
        <w:t xml:space="preserve">the </w:t>
      </w:r>
      <w:r>
        <w:rPr>
          <w:color w:val="181818"/>
        </w:rPr>
        <w:t xml:space="preserve">rest </w:t>
      </w:r>
      <w:r>
        <w:rPr>
          <w:color w:val="161616"/>
        </w:rPr>
        <w:t xml:space="preserve">of </w:t>
      </w:r>
      <w:r>
        <w:t xml:space="preserve">this </w:t>
      </w:r>
      <w:r>
        <w:rPr>
          <w:color w:val="1A1A1A"/>
        </w:rPr>
        <w:t>report.</w:t>
      </w:r>
    </w:p>
    <w:p w14:paraId="534B383E" w14:textId="77777777" w:rsidR="00FA4AA8" w:rsidRDefault="00FA4AA8">
      <w:pPr>
        <w:pStyle w:val="BodyText"/>
        <w:rPr>
          <w:sz w:val="20"/>
        </w:rPr>
      </w:pPr>
    </w:p>
    <w:p w14:paraId="07B98296" w14:textId="77777777" w:rsidR="00FA4AA8" w:rsidRDefault="00FA4AA8">
      <w:pPr>
        <w:pStyle w:val="BodyText"/>
        <w:rPr>
          <w:sz w:val="20"/>
        </w:rPr>
      </w:pPr>
    </w:p>
    <w:p w14:paraId="72D362B8" w14:textId="77777777" w:rsidR="00FA4AA8" w:rsidRDefault="00FA4AA8">
      <w:pPr>
        <w:pStyle w:val="BodyText"/>
        <w:rPr>
          <w:sz w:val="20"/>
        </w:rPr>
      </w:pPr>
    </w:p>
    <w:p w14:paraId="327F2FD2" w14:textId="77777777" w:rsidR="00FA4AA8" w:rsidRDefault="00FA4AA8">
      <w:pPr>
        <w:pStyle w:val="BodyText"/>
        <w:rPr>
          <w:sz w:val="20"/>
        </w:rPr>
      </w:pPr>
    </w:p>
    <w:p w14:paraId="545A523F" w14:textId="77777777" w:rsidR="00FA4AA8" w:rsidRDefault="00FA4AA8">
      <w:pPr>
        <w:pStyle w:val="BodyText"/>
        <w:rPr>
          <w:sz w:val="20"/>
        </w:rPr>
      </w:pPr>
    </w:p>
    <w:p w14:paraId="28121541" w14:textId="77777777" w:rsidR="00FA4AA8" w:rsidRDefault="00FA4AA8">
      <w:pPr>
        <w:pStyle w:val="BodyText"/>
        <w:rPr>
          <w:sz w:val="20"/>
        </w:rPr>
      </w:pPr>
    </w:p>
    <w:p w14:paraId="58C61456" w14:textId="77777777" w:rsidR="00FA4AA8" w:rsidRDefault="00FA4AA8">
      <w:pPr>
        <w:pStyle w:val="BodyText"/>
        <w:rPr>
          <w:sz w:val="20"/>
        </w:rPr>
      </w:pPr>
    </w:p>
    <w:p w14:paraId="42070A26" w14:textId="77777777" w:rsidR="00FA4AA8" w:rsidRDefault="00FA4AA8">
      <w:pPr>
        <w:pStyle w:val="BodyText"/>
        <w:rPr>
          <w:sz w:val="20"/>
        </w:rPr>
      </w:pPr>
    </w:p>
    <w:p w14:paraId="231D24A8" w14:textId="77777777" w:rsidR="00FA4AA8" w:rsidRDefault="00FA4AA8">
      <w:pPr>
        <w:pStyle w:val="BodyText"/>
        <w:rPr>
          <w:sz w:val="20"/>
        </w:rPr>
      </w:pPr>
    </w:p>
    <w:p w14:paraId="3013F422" w14:textId="77777777" w:rsidR="00FA4AA8" w:rsidRDefault="00FA4AA8">
      <w:pPr>
        <w:pStyle w:val="BodyText"/>
        <w:rPr>
          <w:sz w:val="20"/>
        </w:rPr>
      </w:pPr>
    </w:p>
    <w:p w14:paraId="0889918C" w14:textId="77777777" w:rsidR="00FA4AA8" w:rsidRDefault="00FA4AA8">
      <w:pPr>
        <w:pStyle w:val="BodyText"/>
        <w:rPr>
          <w:sz w:val="20"/>
        </w:rPr>
      </w:pPr>
    </w:p>
    <w:p w14:paraId="20A16F7E" w14:textId="77777777" w:rsidR="00FA4AA8" w:rsidRDefault="00FA4AA8">
      <w:pPr>
        <w:pStyle w:val="BodyText"/>
        <w:rPr>
          <w:sz w:val="20"/>
        </w:rPr>
      </w:pPr>
    </w:p>
    <w:p w14:paraId="6C3F011F" w14:textId="77777777" w:rsidR="00FA4AA8" w:rsidRDefault="00FA4AA8">
      <w:pPr>
        <w:pStyle w:val="BodyText"/>
        <w:rPr>
          <w:sz w:val="20"/>
        </w:rPr>
      </w:pPr>
    </w:p>
    <w:p w14:paraId="481B05FC" w14:textId="77777777" w:rsidR="00FA4AA8" w:rsidRDefault="00FA4AA8">
      <w:pPr>
        <w:pStyle w:val="BodyText"/>
        <w:rPr>
          <w:sz w:val="20"/>
        </w:rPr>
      </w:pPr>
    </w:p>
    <w:p w14:paraId="4FC17AF9" w14:textId="77777777" w:rsidR="00FA4AA8" w:rsidRDefault="00FA4AA8">
      <w:pPr>
        <w:pStyle w:val="BodyText"/>
        <w:rPr>
          <w:sz w:val="20"/>
        </w:rPr>
      </w:pPr>
    </w:p>
    <w:p w14:paraId="4C9787E9" w14:textId="77777777" w:rsidR="00FA4AA8" w:rsidRDefault="00FA4AA8">
      <w:pPr>
        <w:pStyle w:val="BodyText"/>
        <w:rPr>
          <w:sz w:val="20"/>
        </w:rPr>
      </w:pPr>
    </w:p>
    <w:p w14:paraId="6C45CD3C" w14:textId="77777777" w:rsidR="00FA4AA8" w:rsidRDefault="00FA4AA8">
      <w:pPr>
        <w:pStyle w:val="BodyText"/>
        <w:rPr>
          <w:sz w:val="20"/>
        </w:rPr>
      </w:pPr>
    </w:p>
    <w:p w14:paraId="4CDF5D99" w14:textId="77777777" w:rsidR="00FA4AA8" w:rsidRDefault="00FA4AA8">
      <w:pPr>
        <w:pStyle w:val="BodyText"/>
        <w:rPr>
          <w:sz w:val="20"/>
        </w:rPr>
      </w:pPr>
    </w:p>
    <w:p w14:paraId="30169884" w14:textId="77777777" w:rsidR="00FA4AA8" w:rsidRDefault="00FA4AA8">
      <w:pPr>
        <w:pStyle w:val="BodyText"/>
        <w:rPr>
          <w:sz w:val="20"/>
        </w:rPr>
      </w:pPr>
    </w:p>
    <w:p w14:paraId="6DE5C2F0" w14:textId="77777777" w:rsidR="00FA4AA8" w:rsidRDefault="00FA4AA8">
      <w:pPr>
        <w:pStyle w:val="BodyText"/>
        <w:rPr>
          <w:sz w:val="20"/>
        </w:rPr>
      </w:pPr>
    </w:p>
    <w:p w14:paraId="227459DD" w14:textId="77777777" w:rsidR="00FA4AA8" w:rsidRDefault="00FA4AA8">
      <w:pPr>
        <w:pStyle w:val="BodyText"/>
        <w:rPr>
          <w:sz w:val="20"/>
        </w:rPr>
      </w:pPr>
    </w:p>
    <w:p w14:paraId="64A843AE" w14:textId="77777777" w:rsidR="00FA4AA8" w:rsidRDefault="00FA4AA8">
      <w:pPr>
        <w:pStyle w:val="BodyText"/>
        <w:rPr>
          <w:sz w:val="20"/>
        </w:rPr>
      </w:pPr>
    </w:p>
    <w:p w14:paraId="26396698" w14:textId="77777777" w:rsidR="00FA4AA8" w:rsidRDefault="00FA4AA8">
      <w:pPr>
        <w:pStyle w:val="BodyText"/>
        <w:rPr>
          <w:sz w:val="20"/>
        </w:rPr>
      </w:pPr>
    </w:p>
    <w:p w14:paraId="03219CC8" w14:textId="77777777" w:rsidR="00FA4AA8" w:rsidRDefault="007E2441">
      <w:pPr>
        <w:pStyle w:val="BodyText"/>
        <w:rPr>
          <w:sz w:val="19"/>
        </w:rPr>
      </w:pPr>
      <w:r>
        <w:rPr>
          <w:noProof/>
          <w:lang w:val="en-AU" w:eastAsia="en-AU"/>
        </w:rPr>
        <mc:AlternateContent>
          <mc:Choice Requires="wps">
            <w:drawing>
              <wp:anchor distT="0" distB="0" distL="0" distR="0" simplePos="0" relativeHeight="487654400" behindDoc="1" locked="0" layoutInCell="1" allowOverlap="1" wp14:anchorId="04EF5780" wp14:editId="6CFC87D7">
                <wp:simplePos x="0" y="0"/>
                <wp:positionH relativeFrom="page">
                  <wp:posOffset>524510</wp:posOffset>
                </wp:positionH>
                <wp:positionV relativeFrom="paragraph">
                  <wp:posOffset>170180</wp:posOffset>
                </wp:positionV>
                <wp:extent cx="6520180" cy="1270"/>
                <wp:effectExtent l="0" t="0" r="0" b="0"/>
                <wp:wrapTopAndBottom/>
                <wp:docPr id="924" name="Freeform 6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20180" cy="1270"/>
                        </a:xfrm>
                        <a:custGeom>
                          <a:avLst/>
                          <a:gdLst>
                            <a:gd name="T0" fmla="+- 0 826 826"/>
                            <a:gd name="T1" fmla="*/ T0 w 10268"/>
                            <a:gd name="T2" fmla="+- 0 11093 826"/>
                            <a:gd name="T3" fmla="*/ T2 w 10268"/>
                          </a:gdLst>
                          <a:ahLst/>
                          <a:cxnLst>
                            <a:cxn ang="0">
                              <a:pos x="T1" y="0"/>
                            </a:cxn>
                            <a:cxn ang="0">
                              <a:pos x="T3" y="0"/>
                            </a:cxn>
                          </a:cxnLst>
                          <a:rect l="0" t="0" r="r" b="b"/>
                          <a:pathLst>
                            <a:path w="10268">
                              <a:moveTo>
                                <a:pt x="0" y="0"/>
                              </a:moveTo>
                              <a:lnTo>
                                <a:pt x="10267" y="0"/>
                              </a:lnTo>
                            </a:path>
                          </a:pathLst>
                        </a:custGeom>
                        <a:noFill/>
                        <a:ln w="12192">
                          <a:solidFill>
                            <a:srgbClr val="62626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49B05" id="Freeform 690" o:spid="_x0000_s1026" style="position:absolute;margin-left:41.3pt;margin-top:13.4pt;width:513.4pt;height:.1pt;z-index:-15662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6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" path="m,l10267,e" filled="f" strokecolor="#626262" strokeweight=".96pt">
                <v:path arrowok="t" o:connecttype="custom" o:connectlocs="0,0;6519545,0" o:connectangles="0,0"/>
                <w10:wrap type="topAndBottom" anchorx="page"/>
              </v:shape>
            </w:pict>
          </mc:Fallback>
        </mc:AlternateContent>
      </w:r>
    </w:p>
    <w:p w14:paraId="3B8843AD" w14:textId="77777777" w:rsidR="00FA4AA8" w:rsidRDefault="0015611F">
      <w:pPr>
        <w:spacing w:before="137"/>
        <w:ind w:left="97" w:right="89"/>
        <w:jc w:val="center"/>
        <w:rPr>
          <w:sz w:val="15"/>
        </w:rPr>
      </w:pPr>
      <w:r>
        <w:rPr>
          <w:sz w:val="15"/>
        </w:rPr>
        <w:t>Level</w:t>
      </w:r>
      <w:r>
        <w:rPr>
          <w:spacing w:val="-24"/>
          <w:sz w:val="15"/>
        </w:rPr>
        <w:t xml:space="preserve"> </w:t>
      </w:r>
      <w:r>
        <w:rPr>
          <w:color w:val="1D1D1D"/>
          <w:sz w:val="15"/>
        </w:rPr>
        <w:t>15,</w:t>
      </w:r>
      <w:r>
        <w:rPr>
          <w:color w:val="1D1D1D"/>
          <w:spacing w:val="-27"/>
          <w:sz w:val="15"/>
        </w:rPr>
        <w:t xml:space="preserve"> </w:t>
      </w:r>
      <w:r>
        <w:rPr>
          <w:color w:val="262626"/>
          <w:sz w:val="15"/>
        </w:rPr>
        <w:t>1</w:t>
      </w:r>
      <w:r>
        <w:rPr>
          <w:color w:val="262626"/>
          <w:spacing w:val="-26"/>
          <w:sz w:val="15"/>
        </w:rPr>
        <w:t xml:space="preserve"> </w:t>
      </w:r>
      <w:r>
        <w:rPr>
          <w:color w:val="111111"/>
          <w:sz w:val="15"/>
        </w:rPr>
        <w:t>Margaret</w:t>
      </w:r>
      <w:r>
        <w:rPr>
          <w:color w:val="111111"/>
          <w:spacing w:val="-18"/>
          <w:sz w:val="15"/>
        </w:rPr>
        <w:t xml:space="preserve"> </w:t>
      </w:r>
      <w:r>
        <w:rPr>
          <w:color w:val="111111"/>
          <w:sz w:val="15"/>
        </w:rPr>
        <w:t>Street,</w:t>
      </w:r>
      <w:r>
        <w:rPr>
          <w:color w:val="111111"/>
          <w:spacing w:val="-20"/>
          <w:sz w:val="15"/>
        </w:rPr>
        <w:t xml:space="preserve"> </w:t>
      </w:r>
      <w:r w:rsidR="006C5E68">
        <w:rPr>
          <w:color w:val="161616"/>
          <w:sz w:val="15"/>
        </w:rPr>
        <w:t>Sydney</w:t>
      </w:r>
      <w:r>
        <w:rPr>
          <w:color w:val="161616"/>
          <w:spacing w:val="-16"/>
          <w:sz w:val="15"/>
        </w:rPr>
        <w:t xml:space="preserve"> </w:t>
      </w:r>
      <w:r>
        <w:rPr>
          <w:color w:val="161616"/>
          <w:sz w:val="15"/>
        </w:rPr>
        <w:t>NSW</w:t>
      </w:r>
      <w:r>
        <w:rPr>
          <w:color w:val="161616"/>
          <w:spacing w:val="-18"/>
          <w:sz w:val="15"/>
        </w:rPr>
        <w:t xml:space="preserve"> </w:t>
      </w:r>
      <w:r>
        <w:rPr>
          <w:color w:val="181818"/>
          <w:sz w:val="15"/>
        </w:rPr>
        <w:t>2000</w:t>
      </w:r>
      <w:r>
        <w:rPr>
          <w:color w:val="181818"/>
          <w:spacing w:val="-7"/>
          <w:sz w:val="15"/>
        </w:rPr>
        <w:t xml:space="preserve"> </w:t>
      </w:r>
      <w:r>
        <w:rPr>
          <w:color w:val="161616"/>
          <w:sz w:val="15"/>
        </w:rPr>
        <w:t>I</w:t>
      </w:r>
      <w:r>
        <w:rPr>
          <w:color w:val="161616"/>
          <w:spacing w:val="-4"/>
          <w:sz w:val="15"/>
        </w:rPr>
        <w:t xml:space="preserve"> </w:t>
      </w:r>
      <w:r>
        <w:rPr>
          <w:color w:val="232323"/>
          <w:sz w:val="15"/>
        </w:rPr>
        <w:t>GPO</w:t>
      </w:r>
      <w:r>
        <w:rPr>
          <w:color w:val="232323"/>
          <w:spacing w:val="-19"/>
          <w:sz w:val="15"/>
        </w:rPr>
        <w:t xml:space="preserve"> </w:t>
      </w:r>
      <w:r>
        <w:rPr>
          <w:color w:val="494949"/>
          <w:sz w:val="15"/>
        </w:rPr>
        <w:t>Box</w:t>
      </w:r>
      <w:r>
        <w:rPr>
          <w:color w:val="494949"/>
          <w:spacing w:val="-25"/>
          <w:sz w:val="15"/>
        </w:rPr>
        <w:t xml:space="preserve"> </w:t>
      </w:r>
      <w:r>
        <w:rPr>
          <w:color w:val="131313"/>
          <w:sz w:val="15"/>
        </w:rPr>
        <w:t>12,</w:t>
      </w:r>
      <w:r>
        <w:rPr>
          <w:color w:val="131313"/>
          <w:spacing w:val="-25"/>
          <w:sz w:val="15"/>
        </w:rPr>
        <w:t xml:space="preserve"> </w:t>
      </w:r>
      <w:r w:rsidR="006C5E68">
        <w:rPr>
          <w:color w:val="1C1C1C"/>
          <w:sz w:val="15"/>
        </w:rPr>
        <w:t>Sydney</w:t>
      </w:r>
      <w:r>
        <w:rPr>
          <w:color w:val="1C1C1C"/>
          <w:spacing w:val="-21"/>
          <w:sz w:val="15"/>
        </w:rPr>
        <w:t xml:space="preserve"> </w:t>
      </w:r>
      <w:r>
        <w:rPr>
          <w:sz w:val="15"/>
        </w:rPr>
        <w:t>NSW</w:t>
      </w:r>
      <w:r>
        <w:rPr>
          <w:spacing w:val="-20"/>
          <w:sz w:val="15"/>
        </w:rPr>
        <w:t xml:space="preserve"> </w:t>
      </w:r>
      <w:r>
        <w:rPr>
          <w:color w:val="0C0C0C"/>
          <w:sz w:val="15"/>
        </w:rPr>
        <w:t>2001</w:t>
      </w:r>
      <w:r>
        <w:rPr>
          <w:color w:val="0C0C0C"/>
          <w:spacing w:val="4"/>
          <w:sz w:val="15"/>
        </w:rPr>
        <w:t xml:space="preserve"> </w:t>
      </w:r>
      <w:r>
        <w:rPr>
          <w:color w:val="6D6D6D"/>
          <w:sz w:val="15"/>
        </w:rPr>
        <w:t>I</w:t>
      </w:r>
      <w:r>
        <w:rPr>
          <w:color w:val="6D6D6D"/>
          <w:spacing w:val="-10"/>
          <w:sz w:val="15"/>
        </w:rPr>
        <w:t xml:space="preserve"> </w:t>
      </w:r>
      <w:r>
        <w:rPr>
          <w:color w:val="111111"/>
          <w:sz w:val="15"/>
        </w:rPr>
        <w:t>t</w:t>
      </w:r>
      <w:r>
        <w:rPr>
          <w:color w:val="111111"/>
          <w:spacing w:val="-21"/>
          <w:sz w:val="15"/>
        </w:rPr>
        <w:t xml:space="preserve"> </w:t>
      </w:r>
      <w:r>
        <w:rPr>
          <w:color w:val="111111"/>
          <w:sz w:val="15"/>
        </w:rPr>
        <w:t>02</w:t>
      </w:r>
      <w:r>
        <w:rPr>
          <w:color w:val="111111"/>
          <w:spacing w:val="-28"/>
          <w:sz w:val="15"/>
        </w:rPr>
        <w:t xml:space="preserve"> </w:t>
      </w:r>
      <w:r>
        <w:rPr>
          <w:color w:val="1C1C1C"/>
          <w:sz w:val="15"/>
        </w:rPr>
        <w:t>0275</w:t>
      </w:r>
      <w:r>
        <w:rPr>
          <w:color w:val="1C1C1C"/>
          <w:spacing w:val="-22"/>
          <w:sz w:val="15"/>
        </w:rPr>
        <w:t xml:space="preserve"> </w:t>
      </w:r>
      <w:r>
        <w:rPr>
          <w:color w:val="1A1A1A"/>
          <w:sz w:val="15"/>
        </w:rPr>
        <w:t>7101</w:t>
      </w:r>
      <w:r>
        <w:rPr>
          <w:color w:val="1A1A1A"/>
          <w:spacing w:val="1"/>
          <w:sz w:val="15"/>
        </w:rPr>
        <w:t xml:space="preserve"> </w:t>
      </w:r>
      <w:r>
        <w:rPr>
          <w:color w:val="181818"/>
          <w:sz w:val="15"/>
        </w:rPr>
        <w:t>I</w:t>
      </w:r>
      <w:r>
        <w:rPr>
          <w:color w:val="181818"/>
          <w:spacing w:val="-3"/>
          <w:sz w:val="15"/>
        </w:rPr>
        <w:t xml:space="preserve"> </w:t>
      </w:r>
      <w:r>
        <w:rPr>
          <w:color w:val="1C1C1C"/>
          <w:sz w:val="15"/>
        </w:rPr>
        <w:t>f</w:t>
      </w:r>
      <w:r>
        <w:rPr>
          <w:color w:val="1C1C1C"/>
          <w:spacing w:val="-22"/>
          <w:sz w:val="15"/>
        </w:rPr>
        <w:t xml:space="preserve"> </w:t>
      </w:r>
      <w:r>
        <w:rPr>
          <w:color w:val="343434"/>
          <w:sz w:val="15"/>
        </w:rPr>
        <w:t>02</w:t>
      </w:r>
      <w:r>
        <w:rPr>
          <w:color w:val="343434"/>
          <w:spacing w:val="-24"/>
          <w:sz w:val="15"/>
        </w:rPr>
        <w:t xml:space="preserve"> </w:t>
      </w:r>
      <w:r>
        <w:rPr>
          <w:color w:val="2A2A2A"/>
          <w:sz w:val="15"/>
        </w:rPr>
        <w:t>9275</w:t>
      </w:r>
      <w:r>
        <w:rPr>
          <w:color w:val="2A2A2A"/>
          <w:spacing w:val="-23"/>
          <w:sz w:val="15"/>
        </w:rPr>
        <w:t xml:space="preserve"> </w:t>
      </w:r>
      <w:r>
        <w:rPr>
          <w:sz w:val="15"/>
        </w:rPr>
        <w:t>7179</w:t>
      </w:r>
      <w:r>
        <w:rPr>
          <w:spacing w:val="-4"/>
          <w:sz w:val="15"/>
        </w:rPr>
        <w:t xml:space="preserve"> </w:t>
      </w:r>
      <w:r>
        <w:rPr>
          <w:color w:val="3B3B3B"/>
          <w:sz w:val="15"/>
        </w:rPr>
        <w:t>I</w:t>
      </w:r>
      <w:r>
        <w:rPr>
          <w:color w:val="3B3B3B"/>
          <w:spacing w:val="-7"/>
          <w:sz w:val="15"/>
        </w:rPr>
        <w:t xml:space="preserve"> </w:t>
      </w:r>
      <w:r w:rsidR="007719AF">
        <w:rPr>
          <w:color w:val="161616"/>
          <w:sz w:val="15"/>
        </w:rPr>
        <w:t xml:space="preserve">e </w:t>
      </w:r>
      <w:r w:rsidR="007719AF">
        <w:rPr>
          <w:color w:val="161616"/>
          <w:spacing w:val="-27"/>
          <w:sz w:val="15"/>
        </w:rPr>
        <w:t>mail@audlt.nsw.gov.au</w:t>
      </w:r>
      <w:r>
        <w:rPr>
          <w:spacing w:val="-9"/>
          <w:sz w:val="15"/>
        </w:rPr>
        <w:t xml:space="preserve"> </w:t>
      </w:r>
      <w:r>
        <w:rPr>
          <w:color w:val="1D1D1D"/>
          <w:sz w:val="15"/>
        </w:rPr>
        <w:t>I</w:t>
      </w:r>
      <w:r>
        <w:rPr>
          <w:color w:val="1D1D1D"/>
          <w:spacing w:val="-4"/>
          <w:sz w:val="15"/>
        </w:rPr>
        <w:t xml:space="preserve"> </w:t>
      </w:r>
      <w:r>
        <w:rPr>
          <w:sz w:val="15"/>
        </w:rPr>
        <w:t>audit.nsw.gov.au</w:t>
      </w:r>
    </w:p>
    <w:p w14:paraId="75992554" w14:textId="77777777" w:rsidR="00FA4AA8" w:rsidRDefault="00FA4AA8">
      <w:pPr>
        <w:jc w:val="center"/>
        <w:rPr>
          <w:sz w:val="15"/>
        </w:rPr>
        <w:sectPr w:rsidR="00FA4AA8">
          <w:headerReference w:type="default" r:id="rId160"/>
          <w:footerReference w:type="default" r:id="rId161"/>
          <w:pgSz w:w="11910" w:h="16850"/>
          <w:pgMar w:top="1120" w:right="700" w:bottom="720" w:left="720" w:header="0" w:footer="523" w:gutter="0"/>
          <w:pgNumType w:start="163"/>
          <w:cols w:space="720"/>
        </w:sectPr>
      </w:pPr>
    </w:p>
    <w:p w14:paraId="0F3A046D" w14:textId="77777777" w:rsidR="00FA4AA8" w:rsidRDefault="0015611F">
      <w:pPr>
        <w:spacing w:before="80"/>
        <w:ind w:left="682"/>
        <w:jc w:val="both"/>
        <w:rPr>
          <w:sz w:val="25"/>
        </w:rPr>
      </w:pPr>
      <w:r>
        <w:rPr>
          <w:w w:val="105"/>
          <w:sz w:val="25"/>
        </w:rPr>
        <w:t xml:space="preserve">Basis </w:t>
      </w:r>
      <w:r>
        <w:rPr>
          <w:color w:val="0F0F0F"/>
          <w:w w:val="105"/>
          <w:sz w:val="25"/>
        </w:rPr>
        <w:t xml:space="preserve">for </w:t>
      </w:r>
      <w:r>
        <w:rPr>
          <w:color w:val="131313"/>
          <w:w w:val="105"/>
          <w:sz w:val="25"/>
        </w:rPr>
        <w:t>Opinion</w:t>
      </w:r>
    </w:p>
    <w:p w14:paraId="3FC87548" w14:textId="77777777" w:rsidR="00FA4AA8" w:rsidRDefault="0015611F">
      <w:pPr>
        <w:pStyle w:val="Heading9"/>
        <w:spacing w:before="110"/>
        <w:ind w:left="679" w:right="830" w:hanging="8"/>
        <w:jc w:val="both"/>
      </w:pPr>
      <w:r>
        <w:rPr>
          <w:color w:val="2F2F2F"/>
        </w:rPr>
        <w:t>I</w:t>
      </w:r>
      <w:r>
        <w:rPr>
          <w:color w:val="2F2F2F"/>
          <w:spacing w:val="-33"/>
        </w:rPr>
        <w:t xml:space="preserve"> </w:t>
      </w:r>
      <w:r>
        <w:t>conducted</w:t>
      </w:r>
      <w:r>
        <w:rPr>
          <w:spacing w:val="-30"/>
        </w:rPr>
        <w:t xml:space="preserve"> </w:t>
      </w:r>
      <w:r>
        <w:t>my</w:t>
      </w:r>
      <w:r>
        <w:rPr>
          <w:spacing w:val="-32"/>
        </w:rPr>
        <w:t xml:space="preserve"> </w:t>
      </w:r>
      <w:r>
        <w:t>audit</w:t>
      </w:r>
      <w:r>
        <w:rPr>
          <w:spacing w:val="-31"/>
        </w:rPr>
        <w:t xml:space="preserve"> </w:t>
      </w:r>
      <w:r>
        <w:t>in</w:t>
      </w:r>
      <w:r>
        <w:rPr>
          <w:spacing w:val="-32"/>
        </w:rPr>
        <w:t xml:space="preserve"> </w:t>
      </w:r>
      <w:r>
        <w:t>accordance</w:t>
      </w:r>
      <w:r>
        <w:rPr>
          <w:spacing w:val="-28"/>
        </w:rPr>
        <w:t xml:space="preserve"> </w:t>
      </w:r>
      <w:r>
        <w:t>with</w:t>
      </w:r>
      <w:r>
        <w:rPr>
          <w:spacing w:val="-35"/>
        </w:rPr>
        <w:t xml:space="preserve"> </w:t>
      </w:r>
      <w:r>
        <w:t>Australian</w:t>
      </w:r>
      <w:r>
        <w:rPr>
          <w:spacing w:val="-27"/>
        </w:rPr>
        <w:t xml:space="preserve"> </w:t>
      </w:r>
      <w:r>
        <w:t>Auditing</w:t>
      </w:r>
      <w:r>
        <w:rPr>
          <w:spacing w:val="-27"/>
        </w:rPr>
        <w:t xml:space="preserve"> </w:t>
      </w:r>
      <w:r>
        <w:t>Standards.</w:t>
      </w:r>
      <w:r>
        <w:rPr>
          <w:spacing w:val="-26"/>
        </w:rPr>
        <w:t xml:space="preserve"> </w:t>
      </w:r>
      <w:r>
        <w:rPr>
          <w:color w:val="212121"/>
        </w:rPr>
        <w:t>My</w:t>
      </w:r>
      <w:r>
        <w:rPr>
          <w:color w:val="212121"/>
          <w:spacing w:val="-30"/>
        </w:rPr>
        <w:t xml:space="preserve"> </w:t>
      </w:r>
      <w:r>
        <w:t>responsibilities</w:t>
      </w:r>
      <w:r>
        <w:rPr>
          <w:spacing w:val="-33"/>
        </w:rPr>
        <w:t xml:space="preserve"> </w:t>
      </w:r>
      <w:r>
        <w:t>under</w:t>
      </w:r>
      <w:r>
        <w:rPr>
          <w:spacing w:val="-31"/>
        </w:rPr>
        <w:t xml:space="preserve"> </w:t>
      </w:r>
      <w:r>
        <w:t>the standards</w:t>
      </w:r>
      <w:r>
        <w:rPr>
          <w:spacing w:val="-26"/>
        </w:rPr>
        <w:t xml:space="preserve"> </w:t>
      </w:r>
      <w:r>
        <w:t>are</w:t>
      </w:r>
      <w:r>
        <w:rPr>
          <w:spacing w:val="-32"/>
        </w:rPr>
        <w:t xml:space="preserve"> </w:t>
      </w:r>
      <w:r>
        <w:t>described</w:t>
      </w:r>
      <w:r>
        <w:rPr>
          <w:spacing w:val="-28"/>
        </w:rPr>
        <w:t xml:space="preserve"> </w:t>
      </w:r>
      <w:r>
        <w:t>in</w:t>
      </w:r>
      <w:r>
        <w:rPr>
          <w:spacing w:val="-31"/>
        </w:rPr>
        <w:t xml:space="preserve"> </w:t>
      </w:r>
      <w:r>
        <w:rPr>
          <w:color w:val="1D1D1D"/>
        </w:rPr>
        <w:t>the</w:t>
      </w:r>
      <w:r>
        <w:rPr>
          <w:color w:val="1D1D1D"/>
          <w:spacing w:val="-33"/>
        </w:rPr>
        <w:t xml:space="preserve"> </w:t>
      </w:r>
      <w:r>
        <w:t>’Auditor’s</w:t>
      </w:r>
      <w:r>
        <w:rPr>
          <w:spacing w:val="-31"/>
        </w:rPr>
        <w:t xml:space="preserve"> </w:t>
      </w:r>
      <w:r>
        <w:t>Responsibilities</w:t>
      </w:r>
      <w:r>
        <w:rPr>
          <w:spacing w:val="-33"/>
        </w:rPr>
        <w:t xml:space="preserve"> </w:t>
      </w:r>
      <w:r>
        <w:rPr>
          <w:color w:val="1A1A1A"/>
        </w:rPr>
        <w:t>for</w:t>
      </w:r>
      <w:r>
        <w:rPr>
          <w:color w:val="1A1A1A"/>
          <w:spacing w:val="-34"/>
        </w:rPr>
        <w:t xml:space="preserve"> </w:t>
      </w:r>
      <w:r>
        <w:t>the</w:t>
      </w:r>
      <w:r>
        <w:rPr>
          <w:spacing w:val="-30"/>
        </w:rPr>
        <w:t xml:space="preserve"> </w:t>
      </w:r>
      <w:r>
        <w:t>Audit</w:t>
      </w:r>
      <w:r>
        <w:rPr>
          <w:spacing w:val="-35"/>
        </w:rPr>
        <w:t xml:space="preserve"> </w:t>
      </w:r>
      <w:r>
        <w:rPr>
          <w:color w:val="181818"/>
        </w:rPr>
        <w:t>of</w:t>
      </w:r>
      <w:r>
        <w:rPr>
          <w:color w:val="181818"/>
          <w:spacing w:val="-35"/>
        </w:rPr>
        <w:t xml:space="preserve"> </w:t>
      </w:r>
      <w:r>
        <w:t>the</w:t>
      </w:r>
      <w:r>
        <w:rPr>
          <w:spacing w:val="-37"/>
        </w:rPr>
        <w:t xml:space="preserve"> </w:t>
      </w:r>
      <w:r>
        <w:t>Financial</w:t>
      </w:r>
      <w:r>
        <w:rPr>
          <w:spacing w:val="-28"/>
        </w:rPr>
        <w:t xml:space="preserve"> </w:t>
      </w:r>
      <w:r>
        <w:t>Report’</w:t>
      </w:r>
      <w:r>
        <w:rPr>
          <w:spacing w:val="-32"/>
        </w:rPr>
        <w:t xml:space="preserve"> </w:t>
      </w:r>
      <w:r>
        <w:t>section</w:t>
      </w:r>
      <w:r>
        <w:rPr>
          <w:color w:val="111111"/>
        </w:rPr>
        <w:t xml:space="preserve"> of </w:t>
      </w:r>
      <w:r>
        <w:t>my</w:t>
      </w:r>
      <w:r>
        <w:rPr>
          <w:spacing w:val="-1"/>
        </w:rPr>
        <w:t xml:space="preserve"> </w:t>
      </w:r>
      <w:r>
        <w:rPr>
          <w:color w:val="131313"/>
        </w:rPr>
        <w:t>report.</w:t>
      </w:r>
    </w:p>
    <w:p w14:paraId="08482107" w14:textId="77777777" w:rsidR="00FA4AA8" w:rsidRDefault="0015611F">
      <w:pPr>
        <w:spacing w:before="164"/>
        <w:ind w:left="671"/>
        <w:jc w:val="both"/>
        <w:rPr>
          <w:sz w:val="21"/>
        </w:rPr>
      </w:pPr>
      <w:r>
        <w:rPr>
          <w:color w:val="111111"/>
          <w:sz w:val="21"/>
        </w:rPr>
        <w:t xml:space="preserve">I </w:t>
      </w:r>
      <w:r>
        <w:rPr>
          <w:sz w:val="21"/>
        </w:rPr>
        <w:t xml:space="preserve">am independent of </w:t>
      </w:r>
      <w:r>
        <w:rPr>
          <w:color w:val="151515"/>
          <w:sz w:val="21"/>
        </w:rPr>
        <w:t xml:space="preserve">the </w:t>
      </w:r>
      <w:r>
        <w:rPr>
          <w:sz w:val="21"/>
        </w:rPr>
        <w:t xml:space="preserve">Company </w:t>
      </w:r>
      <w:r>
        <w:rPr>
          <w:color w:val="131313"/>
          <w:sz w:val="21"/>
        </w:rPr>
        <w:t xml:space="preserve">in </w:t>
      </w:r>
      <w:r>
        <w:rPr>
          <w:sz w:val="21"/>
        </w:rPr>
        <w:t xml:space="preserve">accordance </w:t>
      </w:r>
      <w:r>
        <w:rPr>
          <w:color w:val="0F0F0F"/>
          <w:sz w:val="21"/>
        </w:rPr>
        <w:t xml:space="preserve">with </w:t>
      </w:r>
      <w:r>
        <w:rPr>
          <w:color w:val="131313"/>
          <w:sz w:val="21"/>
        </w:rPr>
        <w:t xml:space="preserve">the </w:t>
      </w:r>
      <w:r>
        <w:rPr>
          <w:sz w:val="21"/>
        </w:rPr>
        <w:t xml:space="preserve">requirements </w:t>
      </w:r>
      <w:r>
        <w:rPr>
          <w:color w:val="1A1A1A"/>
          <w:sz w:val="21"/>
        </w:rPr>
        <w:t xml:space="preserve">of </w:t>
      </w:r>
      <w:r>
        <w:rPr>
          <w:color w:val="161616"/>
          <w:sz w:val="21"/>
        </w:rPr>
        <w:t>the:</w:t>
      </w:r>
    </w:p>
    <w:p w14:paraId="5227C329" w14:textId="77777777" w:rsidR="00FA4AA8" w:rsidRDefault="0015611F">
      <w:pPr>
        <w:pStyle w:val="ListParagraph"/>
        <w:numPr>
          <w:ilvl w:val="1"/>
          <w:numId w:val="44"/>
        </w:numPr>
        <w:tabs>
          <w:tab w:val="left" w:pos="1238"/>
          <w:tab w:val="left" w:pos="1239"/>
        </w:tabs>
        <w:spacing w:before="176"/>
        <w:ind w:left="1238"/>
        <w:rPr>
          <w:color w:val="111111"/>
          <w:sz w:val="21"/>
        </w:rPr>
      </w:pPr>
      <w:r>
        <w:rPr>
          <w:sz w:val="21"/>
        </w:rPr>
        <w:t>Australian Auditing</w:t>
      </w:r>
      <w:r>
        <w:rPr>
          <w:spacing w:val="25"/>
          <w:sz w:val="21"/>
        </w:rPr>
        <w:t xml:space="preserve"> </w:t>
      </w:r>
      <w:r>
        <w:rPr>
          <w:color w:val="0E0E0E"/>
          <w:sz w:val="21"/>
        </w:rPr>
        <w:t>Standards</w:t>
      </w:r>
    </w:p>
    <w:p w14:paraId="5A76EFE2" w14:textId="77777777" w:rsidR="00FA4AA8" w:rsidRDefault="0015611F">
      <w:pPr>
        <w:pStyle w:val="ListParagraph"/>
        <w:numPr>
          <w:ilvl w:val="1"/>
          <w:numId w:val="44"/>
        </w:numPr>
        <w:tabs>
          <w:tab w:val="left" w:pos="1243"/>
          <w:tab w:val="left" w:pos="1244"/>
        </w:tabs>
        <w:spacing w:before="56"/>
        <w:ind w:left="1241" w:right="1666" w:hanging="571"/>
        <w:rPr>
          <w:color w:val="161616"/>
          <w:sz w:val="21"/>
        </w:rPr>
      </w:pPr>
      <w:r>
        <w:rPr>
          <w:sz w:val="21"/>
        </w:rPr>
        <w:t>Accounting</w:t>
      </w:r>
      <w:r>
        <w:rPr>
          <w:spacing w:val="-30"/>
          <w:sz w:val="21"/>
        </w:rPr>
        <w:t xml:space="preserve"> </w:t>
      </w:r>
      <w:r>
        <w:rPr>
          <w:sz w:val="21"/>
        </w:rPr>
        <w:t>Professional</w:t>
      </w:r>
      <w:r>
        <w:rPr>
          <w:spacing w:val="-32"/>
          <w:sz w:val="21"/>
        </w:rPr>
        <w:t xml:space="preserve"> </w:t>
      </w:r>
      <w:r>
        <w:rPr>
          <w:sz w:val="21"/>
        </w:rPr>
        <w:t>and</w:t>
      </w:r>
      <w:r>
        <w:rPr>
          <w:spacing w:val="-40"/>
          <w:sz w:val="21"/>
        </w:rPr>
        <w:t xml:space="preserve"> </w:t>
      </w:r>
      <w:r>
        <w:rPr>
          <w:sz w:val="21"/>
        </w:rPr>
        <w:t>Ethical</w:t>
      </w:r>
      <w:r>
        <w:rPr>
          <w:spacing w:val="-35"/>
          <w:sz w:val="21"/>
        </w:rPr>
        <w:t xml:space="preserve"> </w:t>
      </w:r>
      <w:r>
        <w:rPr>
          <w:color w:val="0F0F0F"/>
          <w:sz w:val="21"/>
        </w:rPr>
        <w:t>Standards</w:t>
      </w:r>
      <w:r>
        <w:rPr>
          <w:color w:val="0F0F0F"/>
          <w:spacing w:val="-30"/>
          <w:sz w:val="21"/>
        </w:rPr>
        <w:t xml:space="preserve"> </w:t>
      </w:r>
      <w:r>
        <w:rPr>
          <w:sz w:val="21"/>
        </w:rPr>
        <w:t>Board’s</w:t>
      </w:r>
      <w:r>
        <w:rPr>
          <w:spacing w:val="-33"/>
          <w:sz w:val="21"/>
        </w:rPr>
        <w:t xml:space="preserve"> </w:t>
      </w:r>
      <w:r>
        <w:rPr>
          <w:sz w:val="21"/>
        </w:rPr>
        <w:t>APES</w:t>
      </w:r>
      <w:r>
        <w:rPr>
          <w:spacing w:val="-31"/>
          <w:sz w:val="21"/>
        </w:rPr>
        <w:t xml:space="preserve"> </w:t>
      </w:r>
      <w:r>
        <w:rPr>
          <w:color w:val="0E0E0E"/>
          <w:sz w:val="21"/>
        </w:rPr>
        <w:t>110</w:t>
      </w:r>
      <w:r>
        <w:rPr>
          <w:color w:val="0E0E0E"/>
          <w:spacing w:val="-35"/>
          <w:sz w:val="21"/>
        </w:rPr>
        <w:t xml:space="preserve"> </w:t>
      </w:r>
      <w:r>
        <w:rPr>
          <w:color w:val="131313"/>
          <w:sz w:val="21"/>
        </w:rPr>
        <w:t>'Code</w:t>
      </w:r>
      <w:r>
        <w:rPr>
          <w:color w:val="131313"/>
          <w:spacing w:val="-35"/>
          <w:sz w:val="21"/>
        </w:rPr>
        <w:t xml:space="preserve"> </w:t>
      </w:r>
      <w:r>
        <w:rPr>
          <w:sz w:val="21"/>
        </w:rPr>
        <w:t>of</w:t>
      </w:r>
      <w:r>
        <w:rPr>
          <w:spacing w:val="-37"/>
          <w:sz w:val="21"/>
        </w:rPr>
        <w:t xml:space="preserve"> </w:t>
      </w:r>
      <w:r>
        <w:rPr>
          <w:color w:val="111111"/>
          <w:sz w:val="21"/>
        </w:rPr>
        <w:t>Ethics</w:t>
      </w:r>
      <w:r>
        <w:rPr>
          <w:color w:val="111111"/>
          <w:spacing w:val="-33"/>
          <w:sz w:val="21"/>
        </w:rPr>
        <w:t xml:space="preserve"> </w:t>
      </w:r>
      <w:r>
        <w:rPr>
          <w:color w:val="181818"/>
          <w:sz w:val="21"/>
        </w:rPr>
        <w:t>for</w:t>
      </w:r>
      <w:r>
        <w:rPr>
          <w:sz w:val="21"/>
        </w:rPr>
        <w:t xml:space="preserve"> Professional Accountants' (APES</w:t>
      </w:r>
      <w:r>
        <w:rPr>
          <w:spacing w:val="22"/>
          <w:sz w:val="21"/>
        </w:rPr>
        <w:t xml:space="preserve"> </w:t>
      </w:r>
      <w:r>
        <w:rPr>
          <w:spacing w:val="-4"/>
          <w:sz w:val="21"/>
        </w:rPr>
        <w:t>1</w:t>
      </w:r>
      <w:r>
        <w:rPr>
          <w:color w:val="0E0E0E"/>
          <w:spacing w:val="-4"/>
          <w:sz w:val="21"/>
        </w:rPr>
        <w:t>10).</w:t>
      </w:r>
    </w:p>
    <w:p w14:paraId="1FDD91D6" w14:textId="77777777" w:rsidR="00FA4AA8" w:rsidRDefault="0015611F">
      <w:pPr>
        <w:spacing w:before="189"/>
        <w:ind w:left="671"/>
        <w:jc w:val="both"/>
        <w:rPr>
          <w:sz w:val="21"/>
        </w:rPr>
      </w:pPr>
      <w:r>
        <w:rPr>
          <w:color w:val="181818"/>
          <w:sz w:val="21"/>
        </w:rPr>
        <w:t xml:space="preserve">I </w:t>
      </w:r>
      <w:r>
        <w:rPr>
          <w:sz w:val="21"/>
        </w:rPr>
        <w:t xml:space="preserve">have fulfilled my </w:t>
      </w:r>
      <w:r>
        <w:rPr>
          <w:color w:val="151515"/>
          <w:sz w:val="21"/>
        </w:rPr>
        <w:t xml:space="preserve">other </w:t>
      </w:r>
      <w:r>
        <w:rPr>
          <w:sz w:val="21"/>
        </w:rPr>
        <w:t xml:space="preserve">ethical </w:t>
      </w:r>
      <w:r>
        <w:rPr>
          <w:color w:val="0E0E0E"/>
          <w:sz w:val="21"/>
        </w:rPr>
        <w:t xml:space="preserve">responsibilities </w:t>
      </w:r>
      <w:r>
        <w:rPr>
          <w:color w:val="0F0F0F"/>
          <w:sz w:val="21"/>
        </w:rPr>
        <w:t xml:space="preserve">in </w:t>
      </w:r>
      <w:r>
        <w:rPr>
          <w:sz w:val="21"/>
        </w:rPr>
        <w:t xml:space="preserve">accordance </w:t>
      </w:r>
      <w:r>
        <w:rPr>
          <w:color w:val="1C1C1C"/>
          <w:sz w:val="21"/>
        </w:rPr>
        <w:t xml:space="preserve">with APES </w:t>
      </w:r>
      <w:r>
        <w:rPr>
          <w:sz w:val="21"/>
        </w:rPr>
        <w:t>110.</w:t>
      </w:r>
    </w:p>
    <w:p w14:paraId="12308554" w14:textId="77777777" w:rsidR="00FA4AA8" w:rsidRDefault="0015611F">
      <w:pPr>
        <w:spacing w:before="172" w:line="242" w:lineRule="auto"/>
        <w:ind w:left="671" w:right="915" w:firstLine="3"/>
        <w:rPr>
          <w:sz w:val="21"/>
        </w:rPr>
      </w:pPr>
      <w:r>
        <w:rPr>
          <w:sz w:val="21"/>
        </w:rPr>
        <w:t>Parliament</w:t>
      </w:r>
      <w:r>
        <w:rPr>
          <w:spacing w:val="-32"/>
          <w:sz w:val="21"/>
        </w:rPr>
        <w:t xml:space="preserve"> </w:t>
      </w:r>
      <w:r>
        <w:rPr>
          <w:color w:val="0E0E0E"/>
          <w:sz w:val="21"/>
        </w:rPr>
        <w:t>promotes</w:t>
      </w:r>
      <w:r>
        <w:rPr>
          <w:color w:val="0E0E0E"/>
          <w:spacing w:val="-36"/>
          <w:sz w:val="21"/>
        </w:rPr>
        <w:t xml:space="preserve"> </w:t>
      </w:r>
      <w:r>
        <w:rPr>
          <w:sz w:val="21"/>
        </w:rPr>
        <w:t>independence</w:t>
      </w:r>
      <w:r>
        <w:rPr>
          <w:spacing w:val="-32"/>
          <w:sz w:val="21"/>
        </w:rPr>
        <w:t xml:space="preserve"> </w:t>
      </w:r>
      <w:r>
        <w:rPr>
          <w:color w:val="151515"/>
          <w:sz w:val="21"/>
        </w:rPr>
        <w:t>by</w:t>
      </w:r>
      <w:r>
        <w:rPr>
          <w:color w:val="151515"/>
          <w:spacing w:val="-37"/>
          <w:sz w:val="21"/>
        </w:rPr>
        <w:t xml:space="preserve"> </w:t>
      </w:r>
      <w:r>
        <w:rPr>
          <w:color w:val="111111"/>
          <w:sz w:val="21"/>
        </w:rPr>
        <w:t>ensuring</w:t>
      </w:r>
      <w:r>
        <w:rPr>
          <w:color w:val="111111"/>
          <w:spacing w:val="-34"/>
          <w:sz w:val="21"/>
        </w:rPr>
        <w:t xml:space="preserve"> </w:t>
      </w:r>
      <w:r>
        <w:rPr>
          <w:color w:val="151515"/>
          <w:sz w:val="21"/>
        </w:rPr>
        <w:t>the</w:t>
      </w:r>
      <w:r>
        <w:rPr>
          <w:color w:val="151515"/>
          <w:spacing w:val="-36"/>
          <w:sz w:val="21"/>
        </w:rPr>
        <w:t xml:space="preserve"> </w:t>
      </w:r>
      <w:r>
        <w:rPr>
          <w:color w:val="0E0E0E"/>
          <w:sz w:val="21"/>
        </w:rPr>
        <w:t>Auditor-General</w:t>
      </w:r>
      <w:r>
        <w:rPr>
          <w:color w:val="0E0E0E"/>
          <w:spacing w:val="-43"/>
          <w:sz w:val="21"/>
        </w:rPr>
        <w:t xml:space="preserve"> </w:t>
      </w:r>
      <w:r>
        <w:rPr>
          <w:sz w:val="21"/>
        </w:rPr>
        <w:t>and</w:t>
      </w:r>
      <w:r>
        <w:rPr>
          <w:spacing w:val="-39"/>
          <w:sz w:val="21"/>
        </w:rPr>
        <w:t xml:space="preserve"> </w:t>
      </w:r>
      <w:r>
        <w:rPr>
          <w:sz w:val="21"/>
        </w:rPr>
        <w:t>the</w:t>
      </w:r>
      <w:r>
        <w:rPr>
          <w:spacing w:val="-38"/>
          <w:sz w:val="21"/>
        </w:rPr>
        <w:t xml:space="preserve"> </w:t>
      </w:r>
      <w:r>
        <w:rPr>
          <w:sz w:val="21"/>
        </w:rPr>
        <w:t>Audit</w:t>
      </w:r>
      <w:r>
        <w:rPr>
          <w:spacing w:val="-39"/>
          <w:sz w:val="21"/>
        </w:rPr>
        <w:t xml:space="preserve"> </w:t>
      </w:r>
      <w:r>
        <w:rPr>
          <w:color w:val="1A1A1A"/>
          <w:sz w:val="21"/>
        </w:rPr>
        <w:t>Office</w:t>
      </w:r>
      <w:r>
        <w:rPr>
          <w:color w:val="1A1A1A"/>
          <w:spacing w:val="-35"/>
          <w:sz w:val="21"/>
        </w:rPr>
        <w:t xml:space="preserve"> </w:t>
      </w:r>
      <w:r>
        <w:rPr>
          <w:color w:val="161616"/>
          <w:sz w:val="21"/>
        </w:rPr>
        <w:t>of</w:t>
      </w:r>
      <w:r>
        <w:rPr>
          <w:color w:val="161616"/>
          <w:spacing w:val="-38"/>
          <w:sz w:val="21"/>
        </w:rPr>
        <w:t xml:space="preserve"> </w:t>
      </w:r>
      <w:r>
        <w:rPr>
          <w:color w:val="1C1C1C"/>
          <w:sz w:val="21"/>
        </w:rPr>
        <w:t xml:space="preserve">New </w:t>
      </w:r>
      <w:r>
        <w:rPr>
          <w:color w:val="111111"/>
          <w:sz w:val="21"/>
        </w:rPr>
        <w:t xml:space="preserve">South </w:t>
      </w:r>
      <w:r>
        <w:rPr>
          <w:color w:val="212121"/>
          <w:sz w:val="21"/>
        </w:rPr>
        <w:t xml:space="preserve">Wales </w:t>
      </w:r>
      <w:r>
        <w:rPr>
          <w:sz w:val="21"/>
        </w:rPr>
        <w:t xml:space="preserve">are </w:t>
      </w:r>
      <w:r>
        <w:rPr>
          <w:color w:val="0E0E0E"/>
          <w:sz w:val="21"/>
        </w:rPr>
        <w:t xml:space="preserve">not </w:t>
      </w:r>
      <w:r>
        <w:rPr>
          <w:sz w:val="21"/>
        </w:rPr>
        <w:t xml:space="preserve">compromised </w:t>
      </w:r>
      <w:r>
        <w:rPr>
          <w:color w:val="242424"/>
          <w:sz w:val="21"/>
        </w:rPr>
        <w:t xml:space="preserve">in </w:t>
      </w:r>
      <w:r>
        <w:rPr>
          <w:sz w:val="21"/>
        </w:rPr>
        <w:t>their roles</w:t>
      </w:r>
      <w:r>
        <w:rPr>
          <w:spacing w:val="9"/>
          <w:sz w:val="21"/>
        </w:rPr>
        <w:t xml:space="preserve"> </w:t>
      </w:r>
      <w:r>
        <w:rPr>
          <w:color w:val="1D1D1D"/>
          <w:sz w:val="21"/>
        </w:rPr>
        <w:t>by:</w:t>
      </w:r>
    </w:p>
    <w:p w14:paraId="6A779F09" w14:textId="77777777" w:rsidR="00FA4AA8" w:rsidRDefault="0015611F">
      <w:pPr>
        <w:pStyle w:val="ListParagraph"/>
        <w:numPr>
          <w:ilvl w:val="1"/>
          <w:numId w:val="44"/>
        </w:numPr>
        <w:tabs>
          <w:tab w:val="left" w:pos="1238"/>
          <w:tab w:val="left" w:pos="1239"/>
        </w:tabs>
        <w:spacing w:before="165"/>
        <w:ind w:left="1232" w:right="1283" w:hanging="567"/>
        <w:rPr>
          <w:sz w:val="21"/>
        </w:rPr>
      </w:pPr>
      <w:r>
        <w:rPr>
          <w:sz w:val="21"/>
        </w:rPr>
        <w:t>providing</w:t>
      </w:r>
      <w:r>
        <w:rPr>
          <w:spacing w:val="-29"/>
          <w:sz w:val="21"/>
        </w:rPr>
        <w:t xml:space="preserve"> </w:t>
      </w:r>
      <w:r>
        <w:rPr>
          <w:sz w:val="21"/>
        </w:rPr>
        <w:t>that</w:t>
      </w:r>
      <w:r>
        <w:rPr>
          <w:spacing w:val="-38"/>
          <w:sz w:val="21"/>
        </w:rPr>
        <w:t xml:space="preserve"> </w:t>
      </w:r>
      <w:r>
        <w:rPr>
          <w:sz w:val="21"/>
        </w:rPr>
        <w:t>only</w:t>
      </w:r>
      <w:r>
        <w:rPr>
          <w:spacing w:val="-33"/>
          <w:sz w:val="21"/>
        </w:rPr>
        <w:t xml:space="preserve"> </w:t>
      </w:r>
      <w:r>
        <w:rPr>
          <w:color w:val="0F0F0F"/>
          <w:sz w:val="21"/>
        </w:rPr>
        <w:t>Parliament,</w:t>
      </w:r>
      <w:r>
        <w:rPr>
          <w:color w:val="0F0F0F"/>
          <w:spacing w:val="-28"/>
          <w:sz w:val="21"/>
        </w:rPr>
        <w:t xml:space="preserve"> </w:t>
      </w:r>
      <w:r>
        <w:rPr>
          <w:color w:val="232323"/>
          <w:sz w:val="21"/>
        </w:rPr>
        <w:t>and</w:t>
      </w:r>
      <w:r>
        <w:rPr>
          <w:color w:val="232323"/>
          <w:spacing w:val="-38"/>
          <w:sz w:val="21"/>
        </w:rPr>
        <w:t xml:space="preserve"> </w:t>
      </w:r>
      <w:r>
        <w:rPr>
          <w:color w:val="262626"/>
          <w:sz w:val="21"/>
        </w:rPr>
        <w:t>not</w:t>
      </w:r>
      <w:r>
        <w:rPr>
          <w:color w:val="262626"/>
          <w:spacing w:val="-35"/>
          <w:sz w:val="21"/>
        </w:rPr>
        <w:t xml:space="preserve"> </w:t>
      </w:r>
      <w:r>
        <w:rPr>
          <w:sz w:val="21"/>
        </w:rPr>
        <w:t>the</w:t>
      </w:r>
      <w:r>
        <w:rPr>
          <w:spacing w:val="-36"/>
          <w:sz w:val="21"/>
        </w:rPr>
        <w:t xml:space="preserve"> </w:t>
      </w:r>
      <w:r>
        <w:rPr>
          <w:sz w:val="21"/>
        </w:rPr>
        <w:t>executive</w:t>
      </w:r>
      <w:r>
        <w:rPr>
          <w:spacing w:val="-29"/>
          <w:sz w:val="21"/>
        </w:rPr>
        <w:t xml:space="preserve"> </w:t>
      </w:r>
      <w:r>
        <w:rPr>
          <w:sz w:val="21"/>
        </w:rPr>
        <w:t>government,</w:t>
      </w:r>
      <w:r>
        <w:rPr>
          <w:spacing w:val="-32"/>
          <w:sz w:val="21"/>
        </w:rPr>
        <w:t xml:space="preserve"> </w:t>
      </w:r>
      <w:r>
        <w:rPr>
          <w:color w:val="0C0C0C"/>
          <w:sz w:val="21"/>
        </w:rPr>
        <w:t>can</w:t>
      </w:r>
      <w:r>
        <w:rPr>
          <w:color w:val="0C0C0C"/>
          <w:spacing w:val="-35"/>
          <w:sz w:val="21"/>
        </w:rPr>
        <w:t xml:space="preserve"> </w:t>
      </w:r>
      <w:r>
        <w:rPr>
          <w:sz w:val="21"/>
        </w:rPr>
        <w:t>remove</w:t>
      </w:r>
      <w:r>
        <w:rPr>
          <w:spacing w:val="-33"/>
          <w:sz w:val="21"/>
        </w:rPr>
        <w:t xml:space="preserve"> </w:t>
      </w:r>
      <w:r>
        <w:rPr>
          <w:color w:val="262626"/>
          <w:sz w:val="21"/>
        </w:rPr>
        <w:t>an</w:t>
      </w:r>
      <w:r>
        <w:rPr>
          <w:color w:val="262626"/>
          <w:spacing w:val="-35"/>
          <w:sz w:val="21"/>
        </w:rPr>
        <w:t xml:space="preserve"> </w:t>
      </w:r>
      <w:r>
        <w:rPr>
          <w:sz w:val="21"/>
        </w:rPr>
        <w:t>Auditor- General</w:t>
      </w:r>
    </w:p>
    <w:p w14:paraId="0A1D0CF7" w14:textId="77777777" w:rsidR="00FA4AA8" w:rsidRDefault="0015611F">
      <w:pPr>
        <w:pStyle w:val="ListParagraph"/>
        <w:numPr>
          <w:ilvl w:val="1"/>
          <w:numId w:val="44"/>
        </w:numPr>
        <w:tabs>
          <w:tab w:val="left" w:pos="1234"/>
          <w:tab w:val="left" w:pos="1235"/>
        </w:tabs>
        <w:spacing w:before="59"/>
        <w:ind w:left="1234" w:hanging="565"/>
        <w:rPr>
          <w:color w:val="181818"/>
          <w:sz w:val="21"/>
        </w:rPr>
      </w:pPr>
      <w:r>
        <w:rPr>
          <w:sz w:val="21"/>
        </w:rPr>
        <w:t xml:space="preserve">mandating </w:t>
      </w:r>
      <w:r>
        <w:rPr>
          <w:color w:val="242424"/>
          <w:sz w:val="21"/>
        </w:rPr>
        <w:t xml:space="preserve">the </w:t>
      </w:r>
      <w:r>
        <w:rPr>
          <w:sz w:val="21"/>
        </w:rPr>
        <w:t xml:space="preserve">Auditor-General </w:t>
      </w:r>
      <w:r>
        <w:rPr>
          <w:color w:val="333333"/>
          <w:sz w:val="21"/>
        </w:rPr>
        <w:t xml:space="preserve">as </w:t>
      </w:r>
      <w:r>
        <w:rPr>
          <w:sz w:val="21"/>
        </w:rPr>
        <w:t xml:space="preserve">auditor </w:t>
      </w:r>
      <w:r>
        <w:rPr>
          <w:color w:val="161616"/>
          <w:sz w:val="21"/>
        </w:rPr>
        <w:t xml:space="preserve">of </w:t>
      </w:r>
      <w:r>
        <w:rPr>
          <w:color w:val="181818"/>
          <w:sz w:val="21"/>
        </w:rPr>
        <w:t xml:space="preserve">public </w:t>
      </w:r>
      <w:r>
        <w:rPr>
          <w:color w:val="1D1D1D"/>
          <w:sz w:val="21"/>
        </w:rPr>
        <w:t>sector</w:t>
      </w:r>
      <w:r>
        <w:rPr>
          <w:color w:val="1D1D1D"/>
          <w:spacing w:val="-8"/>
          <w:sz w:val="21"/>
        </w:rPr>
        <w:t xml:space="preserve"> </w:t>
      </w:r>
      <w:r>
        <w:rPr>
          <w:color w:val="181818"/>
          <w:sz w:val="21"/>
        </w:rPr>
        <w:t>agencies</w:t>
      </w:r>
    </w:p>
    <w:p w14:paraId="17871A67" w14:textId="77777777" w:rsidR="00FA4AA8" w:rsidRDefault="0015611F">
      <w:pPr>
        <w:pStyle w:val="ListParagraph"/>
        <w:numPr>
          <w:ilvl w:val="1"/>
          <w:numId w:val="44"/>
        </w:numPr>
        <w:tabs>
          <w:tab w:val="left" w:pos="1191"/>
          <w:tab w:val="left" w:pos="1192"/>
        </w:tabs>
        <w:spacing w:before="61"/>
        <w:ind w:left="1191" w:hanging="522"/>
        <w:rPr>
          <w:color w:val="111111"/>
          <w:sz w:val="21"/>
        </w:rPr>
      </w:pPr>
      <w:r>
        <w:rPr>
          <w:color w:val="0C0C0C"/>
          <w:sz w:val="21"/>
        </w:rPr>
        <w:t xml:space="preserve">‘precluding </w:t>
      </w:r>
      <w:r>
        <w:rPr>
          <w:color w:val="0F0F0F"/>
          <w:sz w:val="21"/>
        </w:rPr>
        <w:t xml:space="preserve">the </w:t>
      </w:r>
      <w:r>
        <w:rPr>
          <w:sz w:val="21"/>
        </w:rPr>
        <w:t xml:space="preserve">Auditor-General </w:t>
      </w:r>
      <w:r>
        <w:rPr>
          <w:color w:val="181818"/>
          <w:sz w:val="21"/>
        </w:rPr>
        <w:t xml:space="preserve">from </w:t>
      </w:r>
      <w:r>
        <w:rPr>
          <w:sz w:val="21"/>
        </w:rPr>
        <w:t>providing non-audit</w:t>
      </w:r>
      <w:r>
        <w:rPr>
          <w:spacing w:val="19"/>
          <w:sz w:val="21"/>
        </w:rPr>
        <w:t xml:space="preserve"> </w:t>
      </w:r>
      <w:r>
        <w:rPr>
          <w:color w:val="111111"/>
          <w:sz w:val="21"/>
        </w:rPr>
        <w:t>services.</w:t>
      </w:r>
    </w:p>
    <w:p w14:paraId="350C9D83" w14:textId="77777777" w:rsidR="00FA4AA8" w:rsidRDefault="0015611F">
      <w:pPr>
        <w:spacing w:before="192" w:line="213" w:lineRule="auto"/>
        <w:ind w:left="663" w:right="915"/>
        <w:rPr>
          <w:sz w:val="24"/>
        </w:rPr>
      </w:pPr>
      <w:r>
        <w:rPr>
          <w:color w:val="2D2D2D"/>
          <w:w w:val="85"/>
          <w:sz w:val="24"/>
        </w:rPr>
        <w:t>I</w:t>
      </w:r>
      <w:r>
        <w:rPr>
          <w:color w:val="2D2D2D"/>
          <w:spacing w:val="-29"/>
          <w:w w:val="85"/>
          <w:sz w:val="24"/>
        </w:rPr>
        <w:t xml:space="preserve"> </w:t>
      </w:r>
      <w:r>
        <w:rPr>
          <w:color w:val="2A2A2A"/>
          <w:w w:val="85"/>
          <w:sz w:val="24"/>
        </w:rPr>
        <w:t>believe</w:t>
      </w:r>
      <w:r>
        <w:rPr>
          <w:color w:val="2A2A2A"/>
          <w:spacing w:val="-1"/>
          <w:w w:val="85"/>
          <w:sz w:val="24"/>
        </w:rPr>
        <w:t xml:space="preserve"> </w:t>
      </w:r>
      <w:r>
        <w:rPr>
          <w:color w:val="0C0C0C"/>
          <w:w w:val="85"/>
          <w:sz w:val="24"/>
        </w:rPr>
        <w:t>the</w:t>
      </w:r>
      <w:r>
        <w:rPr>
          <w:color w:val="0C0C0C"/>
          <w:spacing w:val="-20"/>
          <w:w w:val="85"/>
          <w:sz w:val="24"/>
        </w:rPr>
        <w:t xml:space="preserve"> </w:t>
      </w:r>
      <w:r>
        <w:rPr>
          <w:color w:val="0E0E0E"/>
          <w:w w:val="85"/>
          <w:sz w:val="24"/>
        </w:rPr>
        <w:t>audit</w:t>
      </w:r>
      <w:r>
        <w:rPr>
          <w:color w:val="0E0E0E"/>
          <w:spacing w:val="-10"/>
          <w:w w:val="85"/>
          <w:sz w:val="24"/>
        </w:rPr>
        <w:t xml:space="preserve"> </w:t>
      </w:r>
      <w:r>
        <w:rPr>
          <w:w w:val="85"/>
          <w:sz w:val="24"/>
        </w:rPr>
        <w:t>evidence</w:t>
      </w:r>
      <w:r>
        <w:rPr>
          <w:spacing w:val="-11"/>
          <w:w w:val="85"/>
          <w:sz w:val="24"/>
        </w:rPr>
        <w:t xml:space="preserve"> </w:t>
      </w:r>
      <w:r>
        <w:rPr>
          <w:color w:val="333333"/>
          <w:w w:val="85"/>
          <w:sz w:val="24"/>
        </w:rPr>
        <w:t>I</w:t>
      </w:r>
      <w:r>
        <w:rPr>
          <w:color w:val="333333"/>
          <w:spacing w:val="-21"/>
          <w:w w:val="85"/>
          <w:sz w:val="24"/>
        </w:rPr>
        <w:t xml:space="preserve"> </w:t>
      </w:r>
      <w:r>
        <w:rPr>
          <w:w w:val="85"/>
          <w:sz w:val="24"/>
        </w:rPr>
        <w:t>have</w:t>
      </w:r>
      <w:r>
        <w:rPr>
          <w:spacing w:val="-5"/>
          <w:w w:val="85"/>
          <w:sz w:val="24"/>
        </w:rPr>
        <w:t xml:space="preserve"> </w:t>
      </w:r>
      <w:r>
        <w:rPr>
          <w:color w:val="131313"/>
          <w:w w:val="85"/>
          <w:sz w:val="24"/>
        </w:rPr>
        <w:t>obtained</w:t>
      </w:r>
      <w:r>
        <w:rPr>
          <w:color w:val="131313"/>
          <w:spacing w:val="-4"/>
          <w:w w:val="85"/>
          <w:sz w:val="24"/>
        </w:rPr>
        <w:t xml:space="preserve"> </w:t>
      </w:r>
      <w:r>
        <w:rPr>
          <w:color w:val="1F1F1F"/>
          <w:w w:val="85"/>
          <w:sz w:val="24"/>
        </w:rPr>
        <w:t>is</w:t>
      </w:r>
      <w:r>
        <w:rPr>
          <w:color w:val="1F1F1F"/>
          <w:spacing w:val="-10"/>
          <w:w w:val="85"/>
          <w:sz w:val="24"/>
        </w:rPr>
        <w:t xml:space="preserve"> </w:t>
      </w:r>
      <w:r>
        <w:rPr>
          <w:color w:val="161616"/>
          <w:w w:val="85"/>
          <w:sz w:val="24"/>
        </w:rPr>
        <w:t>sufficient</w:t>
      </w:r>
      <w:r>
        <w:rPr>
          <w:color w:val="161616"/>
          <w:spacing w:val="-11"/>
          <w:w w:val="85"/>
          <w:sz w:val="24"/>
        </w:rPr>
        <w:t xml:space="preserve"> </w:t>
      </w:r>
      <w:r>
        <w:rPr>
          <w:color w:val="131313"/>
          <w:w w:val="85"/>
          <w:sz w:val="24"/>
        </w:rPr>
        <w:t>and</w:t>
      </w:r>
      <w:r>
        <w:rPr>
          <w:color w:val="131313"/>
          <w:spacing w:val="-13"/>
          <w:w w:val="85"/>
          <w:sz w:val="24"/>
        </w:rPr>
        <w:t xml:space="preserve"> </w:t>
      </w:r>
      <w:r>
        <w:rPr>
          <w:color w:val="0C0C0C"/>
          <w:w w:val="85"/>
          <w:sz w:val="24"/>
        </w:rPr>
        <w:t>appropriate</w:t>
      </w:r>
      <w:r>
        <w:rPr>
          <w:color w:val="0C0C0C"/>
          <w:spacing w:val="2"/>
          <w:w w:val="85"/>
          <w:sz w:val="24"/>
        </w:rPr>
        <w:t xml:space="preserve"> </w:t>
      </w:r>
      <w:r>
        <w:rPr>
          <w:color w:val="1F1F1F"/>
          <w:w w:val="85"/>
          <w:sz w:val="24"/>
        </w:rPr>
        <w:t>to</w:t>
      </w:r>
      <w:r>
        <w:rPr>
          <w:color w:val="1F1F1F"/>
          <w:spacing w:val="-19"/>
          <w:w w:val="85"/>
          <w:sz w:val="24"/>
        </w:rPr>
        <w:t xml:space="preserve"> </w:t>
      </w:r>
      <w:r>
        <w:rPr>
          <w:w w:val="85"/>
          <w:sz w:val="24"/>
        </w:rPr>
        <w:t>provide</w:t>
      </w:r>
      <w:r>
        <w:rPr>
          <w:spacing w:val="-1"/>
          <w:w w:val="85"/>
          <w:sz w:val="24"/>
        </w:rPr>
        <w:t xml:space="preserve"> </w:t>
      </w:r>
      <w:r>
        <w:rPr>
          <w:color w:val="161616"/>
          <w:w w:val="85"/>
          <w:sz w:val="24"/>
        </w:rPr>
        <w:t>a</w:t>
      </w:r>
      <w:r>
        <w:rPr>
          <w:color w:val="161616"/>
          <w:spacing w:val="-20"/>
          <w:w w:val="85"/>
          <w:sz w:val="24"/>
        </w:rPr>
        <w:t xml:space="preserve"> </w:t>
      </w:r>
      <w:r>
        <w:rPr>
          <w:w w:val="85"/>
          <w:sz w:val="24"/>
        </w:rPr>
        <w:t>basis</w:t>
      </w:r>
      <w:r>
        <w:rPr>
          <w:spacing w:val="-7"/>
          <w:w w:val="85"/>
          <w:sz w:val="24"/>
        </w:rPr>
        <w:t xml:space="preserve"> </w:t>
      </w:r>
      <w:r>
        <w:rPr>
          <w:w w:val="85"/>
          <w:sz w:val="24"/>
        </w:rPr>
        <w:t>for</w:t>
      </w:r>
      <w:r>
        <w:rPr>
          <w:spacing w:val="-16"/>
          <w:w w:val="85"/>
          <w:sz w:val="24"/>
        </w:rPr>
        <w:t xml:space="preserve"> </w:t>
      </w:r>
      <w:r>
        <w:rPr>
          <w:color w:val="1D1D1D"/>
          <w:w w:val="85"/>
          <w:sz w:val="24"/>
        </w:rPr>
        <w:t>my</w:t>
      </w:r>
      <w:r>
        <w:rPr>
          <w:w w:val="85"/>
          <w:sz w:val="24"/>
        </w:rPr>
        <w:t xml:space="preserve"> </w:t>
      </w:r>
      <w:r>
        <w:rPr>
          <w:w w:val="90"/>
          <w:sz w:val="24"/>
        </w:rPr>
        <w:t>audit</w:t>
      </w:r>
      <w:r>
        <w:rPr>
          <w:spacing w:val="2"/>
          <w:w w:val="90"/>
          <w:sz w:val="24"/>
        </w:rPr>
        <w:t xml:space="preserve"> </w:t>
      </w:r>
      <w:r>
        <w:rPr>
          <w:w w:val="90"/>
          <w:sz w:val="24"/>
        </w:rPr>
        <w:t>opinion.</w:t>
      </w:r>
    </w:p>
    <w:p w14:paraId="400377FE" w14:textId="77777777" w:rsidR="00FA4AA8" w:rsidRDefault="0015611F">
      <w:pPr>
        <w:spacing w:before="165"/>
        <w:ind w:left="662"/>
        <w:jc w:val="both"/>
        <w:rPr>
          <w:b/>
          <w:sz w:val="21"/>
        </w:rPr>
      </w:pPr>
      <w:r>
        <w:rPr>
          <w:b/>
          <w:color w:val="131313"/>
          <w:sz w:val="21"/>
        </w:rPr>
        <w:t xml:space="preserve">Other </w:t>
      </w:r>
      <w:r>
        <w:rPr>
          <w:b/>
          <w:color w:val="181818"/>
          <w:sz w:val="21"/>
        </w:rPr>
        <w:t>Information</w:t>
      </w:r>
    </w:p>
    <w:p w14:paraId="601F1719" w14:textId="77777777" w:rsidR="00FA4AA8" w:rsidRDefault="0015611F">
      <w:pPr>
        <w:spacing w:before="171"/>
        <w:ind w:left="665" w:right="619" w:hanging="4"/>
        <w:rPr>
          <w:sz w:val="21"/>
        </w:rPr>
      </w:pPr>
      <w:r>
        <w:rPr>
          <w:sz w:val="21"/>
        </w:rPr>
        <w:t>Other</w:t>
      </w:r>
      <w:r>
        <w:rPr>
          <w:spacing w:val="-32"/>
          <w:sz w:val="21"/>
        </w:rPr>
        <w:t xml:space="preserve"> </w:t>
      </w:r>
      <w:r>
        <w:rPr>
          <w:sz w:val="21"/>
        </w:rPr>
        <w:t>information</w:t>
      </w:r>
      <w:r>
        <w:rPr>
          <w:spacing w:val="-26"/>
          <w:sz w:val="21"/>
        </w:rPr>
        <w:t xml:space="preserve"> </w:t>
      </w:r>
      <w:r>
        <w:rPr>
          <w:color w:val="0E0E0E"/>
          <w:sz w:val="21"/>
        </w:rPr>
        <w:t>comprises</w:t>
      </w:r>
      <w:r>
        <w:rPr>
          <w:color w:val="0E0E0E"/>
          <w:spacing w:val="-27"/>
          <w:sz w:val="21"/>
        </w:rPr>
        <w:t xml:space="preserve"> </w:t>
      </w:r>
      <w:r>
        <w:rPr>
          <w:sz w:val="21"/>
        </w:rPr>
        <w:t>the</w:t>
      </w:r>
      <w:r>
        <w:rPr>
          <w:spacing w:val="-33"/>
          <w:sz w:val="21"/>
        </w:rPr>
        <w:t xml:space="preserve"> </w:t>
      </w:r>
      <w:r>
        <w:rPr>
          <w:sz w:val="21"/>
        </w:rPr>
        <w:t>information</w:t>
      </w:r>
      <w:r>
        <w:rPr>
          <w:spacing w:val="-22"/>
          <w:sz w:val="21"/>
        </w:rPr>
        <w:t xml:space="preserve"> </w:t>
      </w:r>
      <w:r>
        <w:rPr>
          <w:color w:val="1A1A1A"/>
          <w:sz w:val="21"/>
        </w:rPr>
        <w:t>included</w:t>
      </w:r>
      <w:r>
        <w:rPr>
          <w:color w:val="1A1A1A"/>
          <w:spacing w:val="-28"/>
          <w:sz w:val="21"/>
        </w:rPr>
        <w:t xml:space="preserve"> </w:t>
      </w:r>
      <w:r>
        <w:rPr>
          <w:color w:val="0C0C0C"/>
          <w:sz w:val="21"/>
        </w:rPr>
        <w:t>in</w:t>
      </w:r>
      <w:r>
        <w:rPr>
          <w:color w:val="0C0C0C"/>
          <w:spacing w:val="-32"/>
          <w:sz w:val="21"/>
        </w:rPr>
        <w:t xml:space="preserve"> </w:t>
      </w:r>
      <w:r>
        <w:rPr>
          <w:color w:val="181818"/>
          <w:sz w:val="21"/>
        </w:rPr>
        <w:t>the</w:t>
      </w:r>
      <w:r>
        <w:rPr>
          <w:color w:val="181818"/>
          <w:spacing w:val="-31"/>
          <w:sz w:val="21"/>
        </w:rPr>
        <w:t xml:space="preserve"> </w:t>
      </w:r>
      <w:r>
        <w:rPr>
          <w:color w:val="1A1A1A"/>
          <w:sz w:val="21"/>
        </w:rPr>
        <w:t>Company’s</w:t>
      </w:r>
      <w:r>
        <w:rPr>
          <w:color w:val="1A1A1A"/>
          <w:spacing w:val="-26"/>
          <w:sz w:val="21"/>
        </w:rPr>
        <w:t xml:space="preserve"> </w:t>
      </w:r>
      <w:r>
        <w:rPr>
          <w:sz w:val="21"/>
        </w:rPr>
        <w:t>annual</w:t>
      </w:r>
      <w:r>
        <w:rPr>
          <w:spacing w:val="-30"/>
          <w:sz w:val="21"/>
        </w:rPr>
        <w:t xml:space="preserve"> </w:t>
      </w:r>
      <w:r>
        <w:rPr>
          <w:color w:val="1C1C1C"/>
          <w:sz w:val="21"/>
        </w:rPr>
        <w:t>report</w:t>
      </w:r>
      <w:r>
        <w:rPr>
          <w:color w:val="1C1C1C"/>
          <w:spacing w:val="-28"/>
          <w:sz w:val="21"/>
        </w:rPr>
        <w:t xml:space="preserve"> </w:t>
      </w:r>
      <w:r>
        <w:rPr>
          <w:color w:val="151515"/>
          <w:sz w:val="21"/>
        </w:rPr>
        <w:t>for</w:t>
      </w:r>
      <w:r>
        <w:rPr>
          <w:color w:val="151515"/>
          <w:spacing w:val="-31"/>
          <w:sz w:val="21"/>
        </w:rPr>
        <w:t xml:space="preserve"> </w:t>
      </w:r>
      <w:r>
        <w:rPr>
          <w:color w:val="111111"/>
          <w:sz w:val="21"/>
        </w:rPr>
        <w:t>the</w:t>
      </w:r>
      <w:r>
        <w:rPr>
          <w:color w:val="111111"/>
          <w:spacing w:val="-31"/>
          <w:sz w:val="21"/>
        </w:rPr>
        <w:t xml:space="preserve"> </w:t>
      </w:r>
      <w:r>
        <w:rPr>
          <w:color w:val="181818"/>
          <w:sz w:val="21"/>
        </w:rPr>
        <w:t>year ended</w:t>
      </w:r>
      <w:r>
        <w:rPr>
          <w:color w:val="181818"/>
          <w:spacing w:val="-21"/>
          <w:sz w:val="21"/>
        </w:rPr>
        <w:t xml:space="preserve"> </w:t>
      </w:r>
      <w:r>
        <w:rPr>
          <w:color w:val="0F0F0F"/>
          <w:sz w:val="21"/>
        </w:rPr>
        <w:t>31</w:t>
      </w:r>
      <w:r>
        <w:rPr>
          <w:color w:val="0F0F0F"/>
          <w:spacing w:val="-27"/>
          <w:sz w:val="21"/>
        </w:rPr>
        <w:t xml:space="preserve"> </w:t>
      </w:r>
      <w:r>
        <w:rPr>
          <w:color w:val="131313"/>
          <w:sz w:val="21"/>
        </w:rPr>
        <w:t>December</w:t>
      </w:r>
      <w:r>
        <w:rPr>
          <w:color w:val="131313"/>
          <w:spacing w:val="-19"/>
          <w:sz w:val="21"/>
        </w:rPr>
        <w:t xml:space="preserve"> </w:t>
      </w:r>
      <w:r>
        <w:rPr>
          <w:color w:val="0F0F0F"/>
          <w:sz w:val="21"/>
        </w:rPr>
        <w:t>2018,</w:t>
      </w:r>
      <w:r>
        <w:rPr>
          <w:color w:val="0F0F0F"/>
          <w:spacing w:val="-25"/>
          <w:sz w:val="21"/>
        </w:rPr>
        <w:t xml:space="preserve"> </w:t>
      </w:r>
      <w:r>
        <w:rPr>
          <w:color w:val="131313"/>
          <w:sz w:val="21"/>
        </w:rPr>
        <w:t>other</w:t>
      </w:r>
      <w:r>
        <w:rPr>
          <w:color w:val="131313"/>
          <w:spacing w:val="-22"/>
          <w:sz w:val="21"/>
        </w:rPr>
        <w:t xml:space="preserve"> </w:t>
      </w:r>
      <w:r>
        <w:rPr>
          <w:color w:val="1A1A1A"/>
          <w:sz w:val="21"/>
        </w:rPr>
        <w:t>than</w:t>
      </w:r>
      <w:r>
        <w:rPr>
          <w:color w:val="1A1A1A"/>
          <w:spacing w:val="-19"/>
          <w:sz w:val="21"/>
        </w:rPr>
        <w:t xml:space="preserve"> </w:t>
      </w:r>
      <w:r>
        <w:rPr>
          <w:color w:val="1A1A1A"/>
          <w:sz w:val="21"/>
        </w:rPr>
        <w:t>the</w:t>
      </w:r>
      <w:r>
        <w:rPr>
          <w:color w:val="1A1A1A"/>
          <w:spacing w:val="-23"/>
          <w:sz w:val="21"/>
        </w:rPr>
        <w:t xml:space="preserve"> </w:t>
      </w:r>
      <w:r>
        <w:rPr>
          <w:color w:val="0C0C0C"/>
          <w:sz w:val="21"/>
        </w:rPr>
        <w:t>financial</w:t>
      </w:r>
      <w:r>
        <w:rPr>
          <w:color w:val="0C0C0C"/>
          <w:spacing w:val="-20"/>
          <w:sz w:val="21"/>
        </w:rPr>
        <w:t xml:space="preserve"> </w:t>
      </w:r>
      <w:r>
        <w:rPr>
          <w:color w:val="1C1C1C"/>
          <w:sz w:val="21"/>
        </w:rPr>
        <w:t>report</w:t>
      </w:r>
      <w:r>
        <w:rPr>
          <w:color w:val="1C1C1C"/>
          <w:spacing w:val="-26"/>
          <w:sz w:val="21"/>
        </w:rPr>
        <w:t xml:space="preserve"> </w:t>
      </w:r>
      <w:r>
        <w:rPr>
          <w:color w:val="1D1D1D"/>
          <w:sz w:val="21"/>
        </w:rPr>
        <w:t>and</w:t>
      </w:r>
      <w:r>
        <w:rPr>
          <w:color w:val="1D1D1D"/>
          <w:spacing w:val="-29"/>
          <w:sz w:val="21"/>
        </w:rPr>
        <w:t xml:space="preserve"> </w:t>
      </w:r>
      <w:r>
        <w:rPr>
          <w:color w:val="0C0C0C"/>
          <w:sz w:val="21"/>
        </w:rPr>
        <w:t>my</w:t>
      </w:r>
      <w:r>
        <w:rPr>
          <w:color w:val="0C0C0C"/>
          <w:spacing w:val="-25"/>
          <w:sz w:val="21"/>
        </w:rPr>
        <w:t xml:space="preserve"> </w:t>
      </w:r>
      <w:r>
        <w:rPr>
          <w:color w:val="161616"/>
          <w:sz w:val="21"/>
        </w:rPr>
        <w:t>Independent</w:t>
      </w:r>
      <w:r>
        <w:rPr>
          <w:color w:val="161616"/>
          <w:spacing w:val="-12"/>
          <w:sz w:val="21"/>
        </w:rPr>
        <w:t xml:space="preserve"> </w:t>
      </w:r>
      <w:r>
        <w:rPr>
          <w:sz w:val="21"/>
        </w:rPr>
        <w:t>Auditor’s</w:t>
      </w:r>
      <w:r>
        <w:rPr>
          <w:spacing w:val="-24"/>
          <w:sz w:val="21"/>
        </w:rPr>
        <w:t xml:space="preserve"> </w:t>
      </w:r>
      <w:r>
        <w:rPr>
          <w:color w:val="1F1F1F"/>
          <w:sz w:val="21"/>
        </w:rPr>
        <w:t xml:space="preserve">Report </w:t>
      </w:r>
      <w:r>
        <w:rPr>
          <w:sz w:val="21"/>
        </w:rPr>
        <w:t>thereon.</w:t>
      </w:r>
      <w:r>
        <w:rPr>
          <w:spacing w:val="-20"/>
          <w:sz w:val="21"/>
        </w:rPr>
        <w:t xml:space="preserve"> </w:t>
      </w:r>
      <w:r>
        <w:rPr>
          <w:color w:val="262626"/>
          <w:sz w:val="21"/>
        </w:rPr>
        <w:t>The</w:t>
      </w:r>
      <w:r>
        <w:rPr>
          <w:color w:val="262626"/>
          <w:spacing w:val="-33"/>
          <w:sz w:val="21"/>
        </w:rPr>
        <w:t xml:space="preserve"> </w:t>
      </w:r>
      <w:r>
        <w:rPr>
          <w:color w:val="0A0A0A"/>
          <w:sz w:val="21"/>
        </w:rPr>
        <w:t>directors</w:t>
      </w:r>
      <w:r>
        <w:rPr>
          <w:color w:val="0A0A0A"/>
          <w:spacing w:val="-25"/>
          <w:sz w:val="21"/>
        </w:rPr>
        <w:t xml:space="preserve"> </w:t>
      </w:r>
      <w:r>
        <w:rPr>
          <w:sz w:val="21"/>
        </w:rPr>
        <w:t>of</w:t>
      </w:r>
      <w:r>
        <w:rPr>
          <w:spacing w:val="-33"/>
          <w:sz w:val="21"/>
        </w:rPr>
        <w:t xml:space="preserve"> </w:t>
      </w:r>
      <w:r>
        <w:rPr>
          <w:color w:val="0C0C0C"/>
          <w:sz w:val="21"/>
        </w:rPr>
        <w:t>the</w:t>
      </w:r>
      <w:r>
        <w:rPr>
          <w:color w:val="0C0C0C"/>
          <w:spacing w:val="-30"/>
          <w:sz w:val="21"/>
        </w:rPr>
        <w:t xml:space="preserve"> </w:t>
      </w:r>
      <w:r>
        <w:rPr>
          <w:sz w:val="21"/>
        </w:rPr>
        <w:t>Company</w:t>
      </w:r>
      <w:r>
        <w:rPr>
          <w:spacing w:val="-24"/>
          <w:sz w:val="21"/>
        </w:rPr>
        <w:t xml:space="preserve"> </w:t>
      </w:r>
      <w:r>
        <w:rPr>
          <w:color w:val="131313"/>
          <w:sz w:val="21"/>
        </w:rPr>
        <w:t>are</w:t>
      </w:r>
      <w:r>
        <w:rPr>
          <w:color w:val="131313"/>
          <w:spacing w:val="-30"/>
          <w:sz w:val="21"/>
        </w:rPr>
        <w:t xml:space="preserve"> </w:t>
      </w:r>
      <w:r>
        <w:rPr>
          <w:sz w:val="21"/>
        </w:rPr>
        <w:t>responsible</w:t>
      </w:r>
      <w:r>
        <w:rPr>
          <w:spacing w:val="-18"/>
          <w:sz w:val="21"/>
        </w:rPr>
        <w:t xml:space="preserve"> </w:t>
      </w:r>
      <w:r>
        <w:rPr>
          <w:color w:val="131313"/>
          <w:sz w:val="21"/>
        </w:rPr>
        <w:t>for</w:t>
      </w:r>
      <w:r>
        <w:rPr>
          <w:color w:val="131313"/>
          <w:spacing w:val="-29"/>
          <w:sz w:val="21"/>
        </w:rPr>
        <w:t xml:space="preserve"> </w:t>
      </w:r>
      <w:r>
        <w:rPr>
          <w:color w:val="0F0F0F"/>
          <w:sz w:val="21"/>
        </w:rPr>
        <w:t>the</w:t>
      </w:r>
      <w:r>
        <w:rPr>
          <w:color w:val="0F0F0F"/>
          <w:spacing w:val="-31"/>
          <w:sz w:val="21"/>
        </w:rPr>
        <w:t xml:space="preserve"> </w:t>
      </w:r>
      <w:r>
        <w:rPr>
          <w:color w:val="181818"/>
          <w:sz w:val="21"/>
        </w:rPr>
        <w:t>other</w:t>
      </w:r>
      <w:r>
        <w:rPr>
          <w:color w:val="181818"/>
          <w:spacing w:val="-26"/>
          <w:sz w:val="21"/>
        </w:rPr>
        <w:t xml:space="preserve"> </w:t>
      </w:r>
      <w:r>
        <w:rPr>
          <w:sz w:val="21"/>
        </w:rPr>
        <w:t>information.</w:t>
      </w:r>
      <w:r>
        <w:rPr>
          <w:spacing w:val="-17"/>
          <w:sz w:val="21"/>
        </w:rPr>
        <w:t xml:space="preserve"> </w:t>
      </w:r>
      <w:r>
        <w:rPr>
          <w:color w:val="313131"/>
          <w:sz w:val="21"/>
        </w:rPr>
        <w:t>At</w:t>
      </w:r>
      <w:r>
        <w:rPr>
          <w:color w:val="313131"/>
          <w:spacing w:val="-30"/>
          <w:sz w:val="21"/>
        </w:rPr>
        <w:t xml:space="preserve"> </w:t>
      </w:r>
      <w:r>
        <w:rPr>
          <w:color w:val="2D2D2D"/>
          <w:sz w:val="21"/>
        </w:rPr>
        <w:t>the</w:t>
      </w:r>
      <w:r>
        <w:rPr>
          <w:color w:val="2D2D2D"/>
          <w:spacing w:val="-34"/>
          <w:sz w:val="21"/>
        </w:rPr>
        <w:t xml:space="preserve"> </w:t>
      </w:r>
      <w:r>
        <w:rPr>
          <w:sz w:val="21"/>
        </w:rPr>
        <w:t>date</w:t>
      </w:r>
      <w:r>
        <w:rPr>
          <w:spacing w:val="-30"/>
          <w:sz w:val="21"/>
        </w:rPr>
        <w:t xml:space="preserve"> </w:t>
      </w:r>
      <w:r>
        <w:rPr>
          <w:sz w:val="21"/>
        </w:rPr>
        <w:t>of</w:t>
      </w:r>
      <w:r>
        <w:rPr>
          <w:spacing w:val="-33"/>
          <w:sz w:val="21"/>
        </w:rPr>
        <w:t xml:space="preserve"> </w:t>
      </w:r>
      <w:r>
        <w:rPr>
          <w:color w:val="111111"/>
          <w:sz w:val="21"/>
        </w:rPr>
        <w:t xml:space="preserve">this </w:t>
      </w:r>
      <w:r>
        <w:rPr>
          <w:color w:val="0F0F0F"/>
          <w:sz w:val="21"/>
        </w:rPr>
        <w:t>Independent</w:t>
      </w:r>
      <w:r>
        <w:rPr>
          <w:color w:val="0F0F0F"/>
          <w:spacing w:val="-17"/>
          <w:sz w:val="21"/>
        </w:rPr>
        <w:t xml:space="preserve"> </w:t>
      </w:r>
      <w:r>
        <w:rPr>
          <w:color w:val="0E0E0E"/>
          <w:sz w:val="21"/>
        </w:rPr>
        <w:t>Auditor's</w:t>
      </w:r>
      <w:r>
        <w:rPr>
          <w:color w:val="0E0E0E"/>
          <w:spacing w:val="-25"/>
          <w:sz w:val="21"/>
        </w:rPr>
        <w:t xml:space="preserve"> </w:t>
      </w:r>
      <w:r>
        <w:rPr>
          <w:color w:val="151515"/>
          <w:sz w:val="21"/>
        </w:rPr>
        <w:t>Report,</w:t>
      </w:r>
      <w:r>
        <w:rPr>
          <w:color w:val="151515"/>
          <w:spacing w:val="-25"/>
          <w:sz w:val="21"/>
        </w:rPr>
        <w:t xml:space="preserve"> </w:t>
      </w:r>
      <w:r>
        <w:rPr>
          <w:sz w:val="21"/>
        </w:rPr>
        <w:t>the</w:t>
      </w:r>
      <w:r>
        <w:rPr>
          <w:spacing w:val="-28"/>
          <w:sz w:val="21"/>
        </w:rPr>
        <w:t xml:space="preserve"> </w:t>
      </w:r>
      <w:r>
        <w:rPr>
          <w:color w:val="232323"/>
          <w:sz w:val="21"/>
        </w:rPr>
        <w:t>other</w:t>
      </w:r>
      <w:r>
        <w:rPr>
          <w:color w:val="232323"/>
          <w:spacing w:val="-29"/>
          <w:sz w:val="21"/>
        </w:rPr>
        <w:t xml:space="preserve"> </w:t>
      </w:r>
      <w:r>
        <w:rPr>
          <w:sz w:val="21"/>
        </w:rPr>
        <w:t>information</w:t>
      </w:r>
      <w:r>
        <w:rPr>
          <w:spacing w:val="-21"/>
          <w:sz w:val="21"/>
        </w:rPr>
        <w:t xml:space="preserve"> </w:t>
      </w:r>
      <w:r>
        <w:rPr>
          <w:color w:val="282828"/>
          <w:sz w:val="21"/>
        </w:rPr>
        <w:t>I</w:t>
      </w:r>
      <w:r>
        <w:rPr>
          <w:color w:val="282828"/>
          <w:spacing w:val="-30"/>
          <w:sz w:val="21"/>
        </w:rPr>
        <w:t xml:space="preserve"> </w:t>
      </w:r>
      <w:r>
        <w:rPr>
          <w:sz w:val="21"/>
        </w:rPr>
        <w:t>have</w:t>
      </w:r>
      <w:r>
        <w:rPr>
          <w:spacing w:val="-25"/>
          <w:sz w:val="21"/>
        </w:rPr>
        <w:t xml:space="preserve"> </w:t>
      </w:r>
      <w:r>
        <w:rPr>
          <w:color w:val="0C0C0C"/>
          <w:sz w:val="21"/>
        </w:rPr>
        <w:t>received</w:t>
      </w:r>
      <w:r>
        <w:rPr>
          <w:color w:val="0C0C0C"/>
          <w:spacing w:val="-23"/>
          <w:sz w:val="21"/>
        </w:rPr>
        <w:t xml:space="preserve"> </w:t>
      </w:r>
      <w:r>
        <w:rPr>
          <w:sz w:val="21"/>
        </w:rPr>
        <w:t>comprises</w:t>
      </w:r>
      <w:r>
        <w:rPr>
          <w:spacing w:val="-23"/>
          <w:sz w:val="21"/>
        </w:rPr>
        <w:t xml:space="preserve"> </w:t>
      </w:r>
      <w:r>
        <w:rPr>
          <w:color w:val="1C1C1C"/>
          <w:sz w:val="21"/>
        </w:rPr>
        <w:t>the</w:t>
      </w:r>
      <w:r>
        <w:rPr>
          <w:color w:val="1C1C1C"/>
          <w:spacing w:val="-33"/>
          <w:sz w:val="21"/>
        </w:rPr>
        <w:t xml:space="preserve"> </w:t>
      </w:r>
      <w:r>
        <w:rPr>
          <w:sz w:val="21"/>
        </w:rPr>
        <w:t>statement</w:t>
      </w:r>
      <w:r>
        <w:rPr>
          <w:spacing w:val="-22"/>
          <w:sz w:val="21"/>
        </w:rPr>
        <w:t xml:space="preserve"> </w:t>
      </w:r>
      <w:r>
        <w:rPr>
          <w:color w:val="181818"/>
          <w:sz w:val="21"/>
        </w:rPr>
        <w:t xml:space="preserve">by </w:t>
      </w:r>
      <w:r>
        <w:rPr>
          <w:sz w:val="21"/>
        </w:rPr>
        <w:t>directors.</w:t>
      </w:r>
    </w:p>
    <w:p w14:paraId="23C61365" w14:textId="77777777" w:rsidR="00FA4AA8" w:rsidRDefault="0015611F">
      <w:pPr>
        <w:spacing w:before="175"/>
        <w:ind w:left="664" w:right="921" w:hanging="4"/>
        <w:jc w:val="both"/>
        <w:rPr>
          <w:sz w:val="21"/>
        </w:rPr>
      </w:pPr>
      <w:r>
        <w:rPr>
          <w:color w:val="111111"/>
          <w:sz w:val="21"/>
        </w:rPr>
        <w:t>My</w:t>
      </w:r>
      <w:r>
        <w:rPr>
          <w:color w:val="111111"/>
          <w:spacing w:val="-28"/>
          <w:sz w:val="21"/>
        </w:rPr>
        <w:t xml:space="preserve"> </w:t>
      </w:r>
      <w:r>
        <w:rPr>
          <w:color w:val="111111"/>
          <w:sz w:val="21"/>
        </w:rPr>
        <w:t>opinion</w:t>
      </w:r>
      <w:r>
        <w:rPr>
          <w:color w:val="111111"/>
          <w:spacing w:val="-24"/>
          <w:sz w:val="21"/>
        </w:rPr>
        <w:t xml:space="preserve"> </w:t>
      </w:r>
      <w:r>
        <w:rPr>
          <w:color w:val="131313"/>
          <w:sz w:val="21"/>
        </w:rPr>
        <w:t>on</w:t>
      </w:r>
      <w:r>
        <w:rPr>
          <w:color w:val="131313"/>
          <w:spacing w:val="-30"/>
          <w:sz w:val="21"/>
        </w:rPr>
        <w:t xml:space="preserve"> </w:t>
      </w:r>
      <w:r>
        <w:rPr>
          <w:color w:val="111111"/>
          <w:sz w:val="21"/>
        </w:rPr>
        <w:t>the</w:t>
      </w:r>
      <w:r>
        <w:rPr>
          <w:color w:val="111111"/>
          <w:spacing w:val="-27"/>
          <w:sz w:val="21"/>
        </w:rPr>
        <w:t xml:space="preserve"> </w:t>
      </w:r>
      <w:r>
        <w:rPr>
          <w:sz w:val="21"/>
        </w:rPr>
        <w:t>financial</w:t>
      </w:r>
      <w:r>
        <w:rPr>
          <w:spacing w:val="-27"/>
          <w:sz w:val="21"/>
        </w:rPr>
        <w:t xml:space="preserve"> </w:t>
      </w:r>
      <w:r>
        <w:rPr>
          <w:color w:val="161616"/>
          <w:sz w:val="21"/>
        </w:rPr>
        <w:t>report</w:t>
      </w:r>
      <w:r>
        <w:rPr>
          <w:color w:val="161616"/>
          <w:spacing w:val="-29"/>
          <w:sz w:val="21"/>
        </w:rPr>
        <w:t xml:space="preserve"> </w:t>
      </w:r>
      <w:r>
        <w:rPr>
          <w:color w:val="181818"/>
          <w:sz w:val="21"/>
        </w:rPr>
        <w:t>does</w:t>
      </w:r>
      <w:r>
        <w:rPr>
          <w:color w:val="181818"/>
          <w:spacing w:val="-31"/>
          <w:sz w:val="21"/>
        </w:rPr>
        <w:t xml:space="preserve"> </w:t>
      </w:r>
      <w:r>
        <w:rPr>
          <w:color w:val="1F1F1F"/>
          <w:sz w:val="21"/>
        </w:rPr>
        <w:t>not</w:t>
      </w:r>
      <w:r>
        <w:rPr>
          <w:color w:val="1F1F1F"/>
          <w:spacing w:val="-34"/>
          <w:sz w:val="21"/>
        </w:rPr>
        <w:t xml:space="preserve"> </w:t>
      </w:r>
      <w:r>
        <w:rPr>
          <w:sz w:val="21"/>
        </w:rPr>
        <w:t>cover</w:t>
      </w:r>
      <w:r>
        <w:rPr>
          <w:spacing w:val="-31"/>
          <w:sz w:val="21"/>
        </w:rPr>
        <w:t xml:space="preserve"> </w:t>
      </w:r>
      <w:r>
        <w:rPr>
          <w:color w:val="1A1A1A"/>
          <w:sz w:val="21"/>
        </w:rPr>
        <w:t>the</w:t>
      </w:r>
      <w:r>
        <w:rPr>
          <w:color w:val="1A1A1A"/>
          <w:spacing w:val="-30"/>
          <w:sz w:val="21"/>
        </w:rPr>
        <w:t xml:space="preserve"> </w:t>
      </w:r>
      <w:r>
        <w:rPr>
          <w:color w:val="1A1A1A"/>
          <w:sz w:val="21"/>
        </w:rPr>
        <w:t>other</w:t>
      </w:r>
      <w:r>
        <w:rPr>
          <w:color w:val="1A1A1A"/>
          <w:spacing w:val="-30"/>
          <w:sz w:val="21"/>
        </w:rPr>
        <w:t xml:space="preserve"> </w:t>
      </w:r>
      <w:r>
        <w:rPr>
          <w:sz w:val="21"/>
        </w:rPr>
        <w:t>information.</w:t>
      </w:r>
      <w:r>
        <w:rPr>
          <w:spacing w:val="-22"/>
          <w:sz w:val="21"/>
        </w:rPr>
        <w:t xml:space="preserve"> </w:t>
      </w:r>
      <w:r>
        <w:rPr>
          <w:sz w:val="21"/>
        </w:rPr>
        <w:t>Accordingly,</w:t>
      </w:r>
      <w:r>
        <w:rPr>
          <w:spacing w:val="-21"/>
          <w:sz w:val="21"/>
        </w:rPr>
        <w:t xml:space="preserve"> </w:t>
      </w:r>
      <w:r>
        <w:rPr>
          <w:color w:val="131313"/>
          <w:sz w:val="21"/>
        </w:rPr>
        <w:t>I</w:t>
      </w:r>
      <w:r>
        <w:rPr>
          <w:color w:val="131313"/>
          <w:spacing w:val="-29"/>
          <w:sz w:val="21"/>
        </w:rPr>
        <w:t xml:space="preserve"> </w:t>
      </w:r>
      <w:r>
        <w:rPr>
          <w:color w:val="161616"/>
          <w:sz w:val="21"/>
        </w:rPr>
        <w:t>do</w:t>
      </w:r>
      <w:r>
        <w:rPr>
          <w:color w:val="161616"/>
          <w:spacing w:val="-28"/>
          <w:sz w:val="21"/>
        </w:rPr>
        <w:t xml:space="preserve"> </w:t>
      </w:r>
      <w:r>
        <w:rPr>
          <w:sz w:val="21"/>
        </w:rPr>
        <w:t>not</w:t>
      </w:r>
      <w:r>
        <w:rPr>
          <w:spacing w:val="-29"/>
          <w:sz w:val="21"/>
        </w:rPr>
        <w:t xml:space="preserve"> </w:t>
      </w:r>
      <w:r>
        <w:rPr>
          <w:sz w:val="21"/>
        </w:rPr>
        <w:t xml:space="preserve">express </w:t>
      </w:r>
      <w:r>
        <w:rPr>
          <w:color w:val="131313"/>
          <w:sz w:val="21"/>
        </w:rPr>
        <w:t xml:space="preserve">any </w:t>
      </w:r>
      <w:r>
        <w:rPr>
          <w:color w:val="161616"/>
          <w:sz w:val="21"/>
        </w:rPr>
        <w:t xml:space="preserve">form </w:t>
      </w:r>
      <w:r>
        <w:rPr>
          <w:color w:val="1F1F1F"/>
          <w:sz w:val="21"/>
        </w:rPr>
        <w:t xml:space="preserve">of </w:t>
      </w:r>
      <w:r>
        <w:rPr>
          <w:sz w:val="21"/>
        </w:rPr>
        <w:t xml:space="preserve">assurance </w:t>
      </w:r>
      <w:r>
        <w:rPr>
          <w:color w:val="0F0F0F"/>
          <w:sz w:val="21"/>
        </w:rPr>
        <w:t xml:space="preserve">conclusion </w:t>
      </w:r>
      <w:r>
        <w:rPr>
          <w:color w:val="0C0C0C"/>
          <w:sz w:val="21"/>
        </w:rPr>
        <w:t xml:space="preserve">on </w:t>
      </w:r>
      <w:r>
        <w:rPr>
          <w:sz w:val="21"/>
        </w:rPr>
        <w:t>the other</w:t>
      </w:r>
      <w:r>
        <w:rPr>
          <w:spacing w:val="21"/>
          <w:sz w:val="21"/>
        </w:rPr>
        <w:t xml:space="preserve"> </w:t>
      </w:r>
      <w:r>
        <w:rPr>
          <w:color w:val="0E0E0E"/>
          <w:sz w:val="21"/>
        </w:rPr>
        <w:t>information.</w:t>
      </w:r>
    </w:p>
    <w:p w14:paraId="00E2C018" w14:textId="77777777" w:rsidR="00FA4AA8" w:rsidRDefault="0015611F">
      <w:pPr>
        <w:spacing w:before="170"/>
        <w:ind w:left="663" w:right="1121" w:hanging="6"/>
        <w:jc w:val="both"/>
        <w:rPr>
          <w:sz w:val="21"/>
        </w:rPr>
      </w:pPr>
      <w:r>
        <w:rPr>
          <w:sz w:val="21"/>
        </w:rPr>
        <w:t>In</w:t>
      </w:r>
      <w:r>
        <w:rPr>
          <w:spacing w:val="-33"/>
          <w:sz w:val="21"/>
        </w:rPr>
        <w:t xml:space="preserve"> </w:t>
      </w:r>
      <w:r>
        <w:rPr>
          <w:sz w:val="21"/>
        </w:rPr>
        <w:t>connection</w:t>
      </w:r>
      <w:r>
        <w:rPr>
          <w:spacing w:val="-21"/>
          <w:sz w:val="21"/>
        </w:rPr>
        <w:t xml:space="preserve"> </w:t>
      </w:r>
      <w:r>
        <w:rPr>
          <w:sz w:val="21"/>
        </w:rPr>
        <w:t>with</w:t>
      </w:r>
      <w:r>
        <w:rPr>
          <w:spacing w:val="-28"/>
          <w:sz w:val="21"/>
        </w:rPr>
        <w:t xml:space="preserve"> </w:t>
      </w:r>
      <w:r>
        <w:rPr>
          <w:sz w:val="21"/>
        </w:rPr>
        <w:t>my</w:t>
      </w:r>
      <w:r>
        <w:rPr>
          <w:spacing w:val="-24"/>
          <w:sz w:val="21"/>
        </w:rPr>
        <w:t xml:space="preserve"> </w:t>
      </w:r>
      <w:r>
        <w:rPr>
          <w:color w:val="161616"/>
          <w:sz w:val="21"/>
        </w:rPr>
        <w:t>audit</w:t>
      </w:r>
      <w:r>
        <w:rPr>
          <w:color w:val="161616"/>
          <w:spacing w:val="-30"/>
          <w:sz w:val="21"/>
        </w:rPr>
        <w:t xml:space="preserve"> </w:t>
      </w:r>
      <w:r>
        <w:rPr>
          <w:color w:val="282828"/>
          <w:sz w:val="21"/>
        </w:rPr>
        <w:t>of</w:t>
      </w:r>
      <w:r>
        <w:rPr>
          <w:color w:val="282828"/>
          <w:spacing w:val="-31"/>
          <w:sz w:val="21"/>
        </w:rPr>
        <w:t xml:space="preserve"> </w:t>
      </w:r>
      <w:r>
        <w:rPr>
          <w:color w:val="111111"/>
          <w:sz w:val="21"/>
        </w:rPr>
        <w:t>the</w:t>
      </w:r>
      <w:r>
        <w:rPr>
          <w:color w:val="111111"/>
          <w:spacing w:val="-29"/>
          <w:sz w:val="21"/>
        </w:rPr>
        <w:t xml:space="preserve"> </w:t>
      </w:r>
      <w:r>
        <w:rPr>
          <w:color w:val="131313"/>
          <w:sz w:val="21"/>
        </w:rPr>
        <w:t>financial</w:t>
      </w:r>
      <w:r>
        <w:rPr>
          <w:color w:val="131313"/>
          <w:spacing w:val="-27"/>
          <w:sz w:val="21"/>
        </w:rPr>
        <w:t xml:space="preserve"> </w:t>
      </w:r>
      <w:r>
        <w:rPr>
          <w:color w:val="212121"/>
          <w:sz w:val="21"/>
        </w:rPr>
        <w:t>report,</w:t>
      </w:r>
      <w:r>
        <w:rPr>
          <w:color w:val="212121"/>
          <w:spacing w:val="-25"/>
          <w:sz w:val="21"/>
        </w:rPr>
        <w:t xml:space="preserve"> </w:t>
      </w:r>
      <w:r>
        <w:rPr>
          <w:color w:val="181818"/>
          <w:sz w:val="21"/>
        </w:rPr>
        <w:t>my</w:t>
      </w:r>
      <w:r>
        <w:rPr>
          <w:color w:val="181818"/>
          <w:spacing w:val="-27"/>
          <w:sz w:val="21"/>
        </w:rPr>
        <w:t xml:space="preserve"> </w:t>
      </w:r>
      <w:r>
        <w:rPr>
          <w:sz w:val="21"/>
        </w:rPr>
        <w:t>responsibility</w:t>
      </w:r>
      <w:r>
        <w:rPr>
          <w:spacing w:val="-25"/>
          <w:sz w:val="21"/>
        </w:rPr>
        <w:t xml:space="preserve"> </w:t>
      </w:r>
      <w:r>
        <w:rPr>
          <w:color w:val="131313"/>
          <w:sz w:val="21"/>
        </w:rPr>
        <w:t>is</w:t>
      </w:r>
      <w:r>
        <w:rPr>
          <w:color w:val="131313"/>
          <w:spacing w:val="-32"/>
          <w:sz w:val="21"/>
        </w:rPr>
        <w:t xml:space="preserve"> </w:t>
      </w:r>
      <w:r>
        <w:rPr>
          <w:color w:val="232323"/>
          <w:sz w:val="21"/>
        </w:rPr>
        <w:t>to</w:t>
      </w:r>
      <w:r>
        <w:rPr>
          <w:color w:val="232323"/>
          <w:spacing w:val="-30"/>
          <w:sz w:val="21"/>
        </w:rPr>
        <w:t xml:space="preserve"> </w:t>
      </w:r>
      <w:r>
        <w:rPr>
          <w:sz w:val="21"/>
        </w:rPr>
        <w:t>read</w:t>
      </w:r>
      <w:r>
        <w:rPr>
          <w:spacing w:val="-28"/>
          <w:sz w:val="21"/>
        </w:rPr>
        <w:t xml:space="preserve"> </w:t>
      </w:r>
      <w:r>
        <w:rPr>
          <w:color w:val="212121"/>
          <w:sz w:val="21"/>
        </w:rPr>
        <w:t>the</w:t>
      </w:r>
      <w:r>
        <w:rPr>
          <w:color w:val="212121"/>
          <w:spacing w:val="-27"/>
          <w:sz w:val="21"/>
        </w:rPr>
        <w:t xml:space="preserve"> </w:t>
      </w:r>
      <w:r>
        <w:rPr>
          <w:color w:val="212121"/>
          <w:sz w:val="21"/>
        </w:rPr>
        <w:t>other</w:t>
      </w:r>
      <w:r>
        <w:rPr>
          <w:color w:val="212121"/>
          <w:spacing w:val="-23"/>
          <w:sz w:val="21"/>
        </w:rPr>
        <w:t xml:space="preserve"> </w:t>
      </w:r>
      <w:r>
        <w:rPr>
          <w:color w:val="0F0F0F"/>
          <w:sz w:val="21"/>
        </w:rPr>
        <w:t xml:space="preserve">information </w:t>
      </w:r>
      <w:r>
        <w:rPr>
          <w:color w:val="0E0E0E"/>
          <w:sz w:val="21"/>
        </w:rPr>
        <w:t>and,</w:t>
      </w:r>
      <w:r>
        <w:rPr>
          <w:color w:val="0E0E0E"/>
          <w:spacing w:val="-32"/>
          <w:sz w:val="21"/>
        </w:rPr>
        <w:t xml:space="preserve"> </w:t>
      </w:r>
      <w:r>
        <w:rPr>
          <w:color w:val="161616"/>
          <w:sz w:val="21"/>
        </w:rPr>
        <w:t>in</w:t>
      </w:r>
      <w:r>
        <w:rPr>
          <w:color w:val="161616"/>
          <w:spacing w:val="-35"/>
          <w:sz w:val="21"/>
        </w:rPr>
        <w:t xml:space="preserve"> </w:t>
      </w:r>
      <w:r>
        <w:rPr>
          <w:color w:val="1D1D1D"/>
          <w:sz w:val="21"/>
        </w:rPr>
        <w:t>doing</w:t>
      </w:r>
      <w:r>
        <w:rPr>
          <w:color w:val="1D1D1D"/>
          <w:spacing w:val="-33"/>
          <w:sz w:val="21"/>
        </w:rPr>
        <w:t xml:space="preserve"> </w:t>
      </w:r>
      <w:r>
        <w:rPr>
          <w:color w:val="363636"/>
          <w:sz w:val="21"/>
        </w:rPr>
        <w:t>so,</w:t>
      </w:r>
      <w:r>
        <w:rPr>
          <w:color w:val="363636"/>
          <w:spacing w:val="-38"/>
          <w:sz w:val="21"/>
        </w:rPr>
        <w:t xml:space="preserve"> </w:t>
      </w:r>
      <w:r>
        <w:rPr>
          <w:sz w:val="21"/>
        </w:rPr>
        <w:t>consider</w:t>
      </w:r>
      <w:r>
        <w:rPr>
          <w:spacing w:val="-29"/>
          <w:sz w:val="21"/>
        </w:rPr>
        <w:t xml:space="preserve"> </w:t>
      </w:r>
      <w:r>
        <w:rPr>
          <w:sz w:val="21"/>
        </w:rPr>
        <w:t>whether</w:t>
      </w:r>
      <w:r>
        <w:rPr>
          <w:spacing w:val="-27"/>
          <w:sz w:val="21"/>
        </w:rPr>
        <w:t xml:space="preserve"> </w:t>
      </w:r>
      <w:r>
        <w:rPr>
          <w:color w:val="181818"/>
          <w:sz w:val="21"/>
        </w:rPr>
        <w:t>the</w:t>
      </w:r>
      <w:r>
        <w:rPr>
          <w:color w:val="181818"/>
          <w:spacing w:val="-34"/>
          <w:sz w:val="21"/>
        </w:rPr>
        <w:t xml:space="preserve"> </w:t>
      </w:r>
      <w:r>
        <w:rPr>
          <w:color w:val="161616"/>
          <w:sz w:val="21"/>
        </w:rPr>
        <w:t>other</w:t>
      </w:r>
      <w:r>
        <w:rPr>
          <w:color w:val="161616"/>
          <w:spacing w:val="-32"/>
          <w:sz w:val="21"/>
        </w:rPr>
        <w:t xml:space="preserve"> </w:t>
      </w:r>
      <w:r>
        <w:rPr>
          <w:sz w:val="21"/>
        </w:rPr>
        <w:t>information</w:t>
      </w:r>
      <w:r>
        <w:rPr>
          <w:spacing w:val="-29"/>
          <w:sz w:val="21"/>
        </w:rPr>
        <w:t xml:space="preserve"> </w:t>
      </w:r>
      <w:r>
        <w:rPr>
          <w:color w:val="2A2A2A"/>
          <w:sz w:val="21"/>
        </w:rPr>
        <w:t>is</w:t>
      </w:r>
      <w:r>
        <w:rPr>
          <w:color w:val="2A2A2A"/>
          <w:spacing w:val="-39"/>
          <w:sz w:val="21"/>
        </w:rPr>
        <w:t xml:space="preserve"> </w:t>
      </w:r>
      <w:r>
        <w:rPr>
          <w:sz w:val="21"/>
        </w:rPr>
        <w:t>materially</w:t>
      </w:r>
      <w:r>
        <w:rPr>
          <w:spacing w:val="-26"/>
          <w:sz w:val="21"/>
        </w:rPr>
        <w:t xml:space="preserve"> </w:t>
      </w:r>
      <w:r>
        <w:rPr>
          <w:color w:val="0F0F0F"/>
          <w:sz w:val="21"/>
        </w:rPr>
        <w:t>inconsistent</w:t>
      </w:r>
      <w:r>
        <w:rPr>
          <w:color w:val="0F0F0F"/>
          <w:spacing w:val="-27"/>
          <w:sz w:val="21"/>
        </w:rPr>
        <w:t xml:space="preserve"> </w:t>
      </w:r>
      <w:r>
        <w:rPr>
          <w:color w:val="1A1A1A"/>
          <w:sz w:val="21"/>
        </w:rPr>
        <w:t>with</w:t>
      </w:r>
      <w:r>
        <w:rPr>
          <w:color w:val="1A1A1A"/>
          <w:spacing w:val="-34"/>
          <w:sz w:val="21"/>
        </w:rPr>
        <w:t xml:space="preserve"> </w:t>
      </w:r>
      <w:r>
        <w:rPr>
          <w:color w:val="262626"/>
          <w:sz w:val="21"/>
        </w:rPr>
        <w:t>the</w:t>
      </w:r>
      <w:r>
        <w:rPr>
          <w:color w:val="262626"/>
          <w:spacing w:val="-35"/>
          <w:sz w:val="21"/>
        </w:rPr>
        <w:t xml:space="preserve"> </w:t>
      </w:r>
      <w:r>
        <w:rPr>
          <w:color w:val="1A1A1A"/>
          <w:sz w:val="21"/>
        </w:rPr>
        <w:t xml:space="preserve">financial </w:t>
      </w:r>
      <w:r>
        <w:rPr>
          <w:color w:val="0C0C0C"/>
          <w:sz w:val="21"/>
        </w:rPr>
        <w:t>report</w:t>
      </w:r>
      <w:r>
        <w:rPr>
          <w:color w:val="0C0C0C"/>
          <w:spacing w:val="-21"/>
          <w:sz w:val="21"/>
        </w:rPr>
        <w:t xml:space="preserve"> </w:t>
      </w:r>
      <w:r>
        <w:rPr>
          <w:sz w:val="21"/>
        </w:rPr>
        <w:t>or</w:t>
      </w:r>
      <w:r>
        <w:rPr>
          <w:spacing w:val="-26"/>
          <w:sz w:val="21"/>
        </w:rPr>
        <w:t xml:space="preserve"> </w:t>
      </w:r>
      <w:r>
        <w:rPr>
          <w:sz w:val="21"/>
        </w:rPr>
        <w:t>my</w:t>
      </w:r>
      <w:r>
        <w:rPr>
          <w:spacing w:val="-21"/>
          <w:sz w:val="21"/>
        </w:rPr>
        <w:t xml:space="preserve"> </w:t>
      </w:r>
      <w:r>
        <w:rPr>
          <w:sz w:val="21"/>
        </w:rPr>
        <w:t>knowledge</w:t>
      </w:r>
      <w:r>
        <w:rPr>
          <w:spacing w:val="-16"/>
          <w:sz w:val="21"/>
        </w:rPr>
        <w:t xml:space="preserve"> </w:t>
      </w:r>
      <w:r>
        <w:rPr>
          <w:sz w:val="21"/>
        </w:rPr>
        <w:t>obtained</w:t>
      </w:r>
      <w:r>
        <w:rPr>
          <w:spacing w:val="-21"/>
          <w:sz w:val="21"/>
        </w:rPr>
        <w:t xml:space="preserve"> </w:t>
      </w:r>
      <w:r>
        <w:rPr>
          <w:sz w:val="21"/>
        </w:rPr>
        <w:t>in</w:t>
      </w:r>
      <w:r>
        <w:rPr>
          <w:spacing w:val="-23"/>
          <w:sz w:val="21"/>
        </w:rPr>
        <w:t xml:space="preserve"> </w:t>
      </w:r>
      <w:r>
        <w:rPr>
          <w:color w:val="2A2A2A"/>
          <w:sz w:val="21"/>
        </w:rPr>
        <w:t>the</w:t>
      </w:r>
      <w:r>
        <w:rPr>
          <w:color w:val="2A2A2A"/>
          <w:spacing w:val="-21"/>
          <w:sz w:val="21"/>
        </w:rPr>
        <w:t xml:space="preserve"> </w:t>
      </w:r>
      <w:r>
        <w:rPr>
          <w:color w:val="131313"/>
          <w:sz w:val="21"/>
        </w:rPr>
        <w:t>audit,</w:t>
      </w:r>
      <w:r>
        <w:rPr>
          <w:color w:val="131313"/>
          <w:spacing w:val="-17"/>
          <w:sz w:val="21"/>
        </w:rPr>
        <w:t xml:space="preserve"> </w:t>
      </w:r>
      <w:r>
        <w:rPr>
          <w:color w:val="232323"/>
          <w:sz w:val="21"/>
        </w:rPr>
        <w:t>or</w:t>
      </w:r>
      <w:r>
        <w:rPr>
          <w:color w:val="232323"/>
          <w:spacing w:val="-21"/>
          <w:sz w:val="21"/>
        </w:rPr>
        <w:t xml:space="preserve"> </w:t>
      </w:r>
      <w:r>
        <w:rPr>
          <w:color w:val="0F0F0F"/>
          <w:sz w:val="21"/>
        </w:rPr>
        <w:t>otherwise</w:t>
      </w:r>
      <w:r>
        <w:rPr>
          <w:color w:val="0F0F0F"/>
          <w:spacing w:val="-19"/>
          <w:sz w:val="21"/>
        </w:rPr>
        <w:t xml:space="preserve"> </w:t>
      </w:r>
      <w:r>
        <w:rPr>
          <w:sz w:val="21"/>
        </w:rPr>
        <w:t>appears</w:t>
      </w:r>
      <w:r>
        <w:rPr>
          <w:spacing w:val="-14"/>
          <w:sz w:val="21"/>
        </w:rPr>
        <w:t xml:space="preserve"> </w:t>
      </w:r>
      <w:r>
        <w:rPr>
          <w:sz w:val="21"/>
        </w:rPr>
        <w:t>to</w:t>
      </w:r>
      <w:r>
        <w:rPr>
          <w:spacing w:val="-23"/>
          <w:sz w:val="21"/>
        </w:rPr>
        <w:t xml:space="preserve"> </w:t>
      </w:r>
      <w:r>
        <w:rPr>
          <w:color w:val="0F0F0F"/>
          <w:sz w:val="21"/>
        </w:rPr>
        <w:t>be</w:t>
      </w:r>
      <w:r>
        <w:rPr>
          <w:color w:val="0F0F0F"/>
          <w:spacing w:val="-21"/>
          <w:sz w:val="21"/>
        </w:rPr>
        <w:t xml:space="preserve"> </w:t>
      </w:r>
      <w:r>
        <w:rPr>
          <w:sz w:val="21"/>
        </w:rPr>
        <w:t>materially</w:t>
      </w:r>
      <w:r>
        <w:rPr>
          <w:spacing w:val="-10"/>
          <w:sz w:val="21"/>
        </w:rPr>
        <w:t xml:space="preserve"> </w:t>
      </w:r>
      <w:r>
        <w:rPr>
          <w:sz w:val="21"/>
        </w:rPr>
        <w:t>misstated.</w:t>
      </w:r>
    </w:p>
    <w:p w14:paraId="15F00741" w14:textId="77777777" w:rsidR="00FA4AA8" w:rsidRDefault="0015611F">
      <w:pPr>
        <w:spacing w:before="168"/>
        <w:ind w:left="662" w:right="619" w:hanging="1"/>
        <w:rPr>
          <w:sz w:val="21"/>
        </w:rPr>
      </w:pPr>
      <w:r>
        <w:rPr>
          <w:color w:val="1A1A1A"/>
          <w:sz w:val="21"/>
        </w:rPr>
        <w:t>If,</w:t>
      </w:r>
      <w:r>
        <w:rPr>
          <w:color w:val="1A1A1A"/>
          <w:spacing w:val="-27"/>
          <w:sz w:val="21"/>
        </w:rPr>
        <w:t xml:space="preserve"> </w:t>
      </w:r>
      <w:r>
        <w:rPr>
          <w:color w:val="111111"/>
          <w:sz w:val="21"/>
        </w:rPr>
        <w:t>based</w:t>
      </w:r>
      <w:r>
        <w:rPr>
          <w:color w:val="111111"/>
          <w:spacing w:val="-18"/>
          <w:sz w:val="21"/>
        </w:rPr>
        <w:t xml:space="preserve"> </w:t>
      </w:r>
      <w:r>
        <w:rPr>
          <w:sz w:val="21"/>
        </w:rPr>
        <w:t>on</w:t>
      </w:r>
      <w:r>
        <w:rPr>
          <w:spacing w:val="-26"/>
          <w:sz w:val="21"/>
        </w:rPr>
        <w:t xml:space="preserve"> </w:t>
      </w:r>
      <w:r>
        <w:rPr>
          <w:color w:val="0F0F0F"/>
          <w:sz w:val="21"/>
        </w:rPr>
        <w:t>the</w:t>
      </w:r>
      <w:r>
        <w:rPr>
          <w:color w:val="0F0F0F"/>
          <w:spacing w:val="-29"/>
          <w:sz w:val="21"/>
        </w:rPr>
        <w:t xml:space="preserve"> </w:t>
      </w:r>
      <w:r>
        <w:rPr>
          <w:color w:val="131313"/>
          <w:sz w:val="21"/>
        </w:rPr>
        <w:t>work</w:t>
      </w:r>
      <w:r>
        <w:rPr>
          <w:color w:val="131313"/>
          <w:spacing w:val="-25"/>
          <w:sz w:val="21"/>
        </w:rPr>
        <w:t xml:space="preserve"> </w:t>
      </w:r>
      <w:r>
        <w:rPr>
          <w:color w:val="313131"/>
          <w:sz w:val="21"/>
        </w:rPr>
        <w:t>I</w:t>
      </w:r>
      <w:r>
        <w:rPr>
          <w:color w:val="313131"/>
          <w:spacing w:val="-28"/>
          <w:sz w:val="21"/>
        </w:rPr>
        <w:t xml:space="preserve"> </w:t>
      </w:r>
      <w:r>
        <w:rPr>
          <w:color w:val="282828"/>
          <w:sz w:val="21"/>
        </w:rPr>
        <w:t>have</w:t>
      </w:r>
      <w:r>
        <w:rPr>
          <w:color w:val="282828"/>
          <w:spacing w:val="-28"/>
          <w:sz w:val="21"/>
        </w:rPr>
        <w:t xml:space="preserve"> </w:t>
      </w:r>
      <w:r>
        <w:rPr>
          <w:color w:val="0F0F0F"/>
          <w:sz w:val="21"/>
        </w:rPr>
        <w:t>performed,</w:t>
      </w:r>
      <w:r>
        <w:rPr>
          <w:color w:val="0F0F0F"/>
          <w:spacing w:val="-14"/>
          <w:sz w:val="21"/>
        </w:rPr>
        <w:t xml:space="preserve"> </w:t>
      </w:r>
      <w:r>
        <w:rPr>
          <w:color w:val="1F1F1F"/>
          <w:sz w:val="21"/>
        </w:rPr>
        <w:t>I</w:t>
      </w:r>
      <w:r>
        <w:rPr>
          <w:color w:val="1F1F1F"/>
          <w:spacing w:val="-28"/>
          <w:sz w:val="21"/>
        </w:rPr>
        <w:t xml:space="preserve"> </w:t>
      </w:r>
      <w:r>
        <w:rPr>
          <w:color w:val="131313"/>
          <w:sz w:val="21"/>
        </w:rPr>
        <w:t>conclude</w:t>
      </w:r>
      <w:r>
        <w:rPr>
          <w:color w:val="131313"/>
          <w:spacing w:val="-21"/>
          <w:sz w:val="21"/>
        </w:rPr>
        <w:t xml:space="preserve"> </w:t>
      </w:r>
      <w:r>
        <w:rPr>
          <w:color w:val="1F1F1F"/>
          <w:sz w:val="21"/>
        </w:rPr>
        <w:t>there</w:t>
      </w:r>
      <w:r>
        <w:rPr>
          <w:color w:val="1F1F1F"/>
          <w:spacing w:val="-24"/>
          <w:sz w:val="21"/>
        </w:rPr>
        <w:t xml:space="preserve"> </w:t>
      </w:r>
      <w:r>
        <w:rPr>
          <w:color w:val="1F1F1F"/>
          <w:sz w:val="21"/>
        </w:rPr>
        <w:t>is</w:t>
      </w:r>
      <w:r>
        <w:rPr>
          <w:color w:val="1F1F1F"/>
          <w:spacing w:val="-31"/>
          <w:sz w:val="21"/>
        </w:rPr>
        <w:t xml:space="preserve"> </w:t>
      </w:r>
      <w:r>
        <w:rPr>
          <w:sz w:val="21"/>
        </w:rPr>
        <w:t>a</w:t>
      </w:r>
      <w:r>
        <w:rPr>
          <w:spacing w:val="-31"/>
          <w:sz w:val="21"/>
        </w:rPr>
        <w:t xml:space="preserve"> </w:t>
      </w:r>
      <w:r>
        <w:rPr>
          <w:color w:val="1A1A1A"/>
          <w:sz w:val="21"/>
        </w:rPr>
        <w:t>material</w:t>
      </w:r>
      <w:r>
        <w:rPr>
          <w:color w:val="1A1A1A"/>
          <w:spacing w:val="-25"/>
          <w:sz w:val="21"/>
        </w:rPr>
        <w:t xml:space="preserve"> </w:t>
      </w:r>
      <w:r>
        <w:rPr>
          <w:color w:val="1A1A1A"/>
          <w:sz w:val="21"/>
        </w:rPr>
        <w:t>misstatement</w:t>
      </w:r>
      <w:r>
        <w:rPr>
          <w:color w:val="1A1A1A"/>
          <w:spacing w:val="-20"/>
          <w:sz w:val="21"/>
        </w:rPr>
        <w:t xml:space="preserve"> </w:t>
      </w:r>
      <w:r>
        <w:rPr>
          <w:color w:val="282828"/>
          <w:sz w:val="21"/>
        </w:rPr>
        <w:t>of</w:t>
      </w:r>
      <w:r>
        <w:rPr>
          <w:color w:val="282828"/>
          <w:spacing w:val="-27"/>
          <w:sz w:val="21"/>
        </w:rPr>
        <w:t xml:space="preserve"> </w:t>
      </w:r>
      <w:r>
        <w:rPr>
          <w:color w:val="181818"/>
          <w:sz w:val="21"/>
        </w:rPr>
        <w:t>the</w:t>
      </w:r>
      <w:r>
        <w:rPr>
          <w:color w:val="181818"/>
          <w:spacing w:val="-24"/>
          <w:sz w:val="21"/>
        </w:rPr>
        <w:t xml:space="preserve"> </w:t>
      </w:r>
      <w:r>
        <w:rPr>
          <w:sz w:val="21"/>
        </w:rPr>
        <w:t xml:space="preserve">other </w:t>
      </w:r>
      <w:r>
        <w:rPr>
          <w:color w:val="0F0F0F"/>
          <w:sz w:val="21"/>
        </w:rPr>
        <w:t xml:space="preserve">information, </w:t>
      </w:r>
      <w:r w:rsidR="00397774">
        <w:rPr>
          <w:color w:val="262626"/>
          <w:sz w:val="21"/>
        </w:rPr>
        <w:t>I</w:t>
      </w:r>
      <w:r>
        <w:rPr>
          <w:color w:val="262626"/>
          <w:sz w:val="21"/>
        </w:rPr>
        <w:t xml:space="preserve"> </w:t>
      </w:r>
      <w:r>
        <w:rPr>
          <w:color w:val="0C0C0C"/>
          <w:sz w:val="21"/>
        </w:rPr>
        <w:t xml:space="preserve">must </w:t>
      </w:r>
      <w:r>
        <w:rPr>
          <w:color w:val="151515"/>
          <w:sz w:val="21"/>
        </w:rPr>
        <w:t xml:space="preserve">report </w:t>
      </w:r>
      <w:r>
        <w:rPr>
          <w:sz w:val="21"/>
        </w:rPr>
        <w:t>that</w:t>
      </w:r>
      <w:r>
        <w:rPr>
          <w:spacing w:val="11"/>
          <w:sz w:val="21"/>
        </w:rPr>
        <w:t xml:space="preserve"> </w:t>
      </w:r>
      <w:r>
        <w:rPr>
          <w:color w:val="181818"/>
          <w:sz w:val="21"/>
        </w:rPr>
        <w:t>fact.</w:t>
      </w:r>
    </w:p>
    <w:p w14:paraId="3452F460" w14:textId="77777777" w:rsidR="00FA4AA8" w:rsidRDefault="0015611F">
      <w:pPr>
        <w:spacing w:before="170"/>
        <w:ind w:left="657"/>
        <w:rPr>
          <w:sz w:val="21"/>
        </w:rPr>
      </w:pPr>
      <w:r>
        <w:rPr>
          <w:color w:val="484848"/>
          <w:sz w:val="21"/>
        </w:rPr>
        <w:t xml:space="preserve">I </w:t>
      </w:r>
      <w:r>
        <w:rPr>
          <w:color w:val="131313"/>
          <w:sz w:val="21"/>
        </w:rPr>
        <w:t xml:space="preserve">have </w:t>
      </w:r>
      <w:r>
        <w:rPr>
          <w:color w:val="161616"/>
          <w:sz w:val="21"/>
        </w:rPr>
        <w:t xml:space="preserve">nothing </w:t>
      </w:r>
      <w:r>
        <w:rPr>
          <w:color w:val="2A2A2A"/>
          <w:sz w:val="21"/>
        </w:rPr>
        <w:t xml:space="preserve">to </w:t>
      </w:r>
      <w:r>
        <w:rPr>
          <w:sz w:val="21"/>
        </w:rPr>
        <w:t xml:space="preserve">report </w:t>
      </w:r>
      <w:r>
        <w:rPr>
          <w:color w:val="111111"/>
          <w:sz w:val="21"/>
        </w:rPr>
        <w:t>in this regard.</w:t>
      </w:r>
    </w:p>
    <w:p w14:paraId="6D75C8D9" w14:textId="77777777" w:rsidR="00FA4AA8" w:rsidRDefault="0015611F">
      <w:pPr>
        <w:spacing w:before="158"/>
        <w:ind w:left="658"/>
        <w:rPr>
          <w:b/>
          <w:sz w:val="25"/>
        </w:rPr>
      </w:pPr>
      <w:r>
        <w:rPr>
          <w:b/>
          <w:color w:val="1F1F1F"/>
          <w:sz w:val="25"/>
        </w:rPr>
        <w:t xml:space="preserve">Directors’ </w:t>
      </w:r>
      <w:r>
        <w:rPr>
          <w:b/>
          <w:color w:val="161616"/>
          <w:sz w:val="25"/>
        </w:rPr>
        <w:t xml:space="preserve">Responsibilities </w:t>
      </w:r>
      <w:r>
        <w:rPr>
          <w:b/>
          <w:color w:val="1C1C1C"/>
          <w:sz w:val="25"/>
        </w:rPr>
        <w:t xml:space="preserve">for </w:t>
      </w:r>
      <w:r>
        <w:rPr>
          <w:b/>
          <w:color w:val="131313"/>
          <w:sz w:val="25"/>
        </w:rPr>
        <w:t xml:space="preserve">the </w:t>
      </w:r>
      <w:r>
        <w:rPr>
          <w:b/>
          <w:color w:val="1A1A1A"/>
          <w:sz w:val="25"/>
        </w:rPr>
        <w:t xml:space="preserve">Financial </w:t>
      </w:r>
      <w:r>
        <w:rPr>
          <w:b/>
          <w:color w:val="0E0E0E"/>
          <w:sz w:val="25"/>
        </w:rPr>
        <w:t>Report</w:t>
      </w:r>
    </w:p>
    <w:p w14:paraId="5AA71757" w14:textId="77777777" w:rsidR="00FA4AA8" w:rsidRDefault="0015611F">
      <w:pPr>
        <w:spacing w:before="112" w:line="237" w:lineRule="auto"/>
        <w:ind w:left="658" w:right="619" w:hanging="1"/>
        <w:rPr>
          <w:sz w:val="21"/>
        </w:rPr>
      </w:pPr>
      <w:r>
        <w:rPr>
          <w:color w:val="181818"/>
          <w:sz w:val="21"/>
        </w:rPr>
        <w:t>The</w:t>
      </w:r>
      <w:r>
        <w:rPr>
          <w:color w:val="181818"/>
          <w:spacing w:val="-33"/>
          <w:sz w:val="21"/>
        </w:rPr>
        <w:t xml:space="preserve"> </w:t>
      </w:r>
      <w:r>
        <w:rPr>
          <w:color w:val="1A1A1A"/>
          <w:sz w:val="21"/>
        </w:rPr>
        <w:t>directors</w:t>
      </w:r>
      <w:r>
        <w:rPr>
          <w:color w:val="1A1A1A"/>
          <w:spacing w:val="-26"/>
          <w:sz w:val="21"/>
        </w:rPr>
        <w:t xml:space="preserve"> </w:t>
      </w:r>
      <w:r>
        <w:rPr>
          <w:color w:val="181818"/>
          <w:sz w:val="21"/>
        </w:rPr>
        <w:t>of</w:t>
      </w:r>
      <w:r>
        <w:rPr>
          <w:color w:val="181818"/>
          <w:spacing w:val="-34"/>
          <w:sz w:val="21"/>
        </w:rPr>
        <w:t xml:space="preserve"> </w:t>
      </w:r>
      <w:r>
        <w:rPr>
          <w:color w:val="131313"/>
          <w:sz w:val="21"/>
        </w:rPr>
        <w:t>the</w:t>
      </w:r>
      <w:r>
        <w:rPr>
          <w:color w:val="131313"/>
          <w:spacing w:val="-32"/>
          <w:sz w:val="21"/>
        </w:rPr>
        <w:t xml:space="preserve"> </w:t>
      </w:r>
      <w:r>
        <w:rPr>
          <w:color w:val="1C1C1C"/>
          <w:sz w:val="21"/>
        </w:rPr>
        <w:t>Company</w:t>
      </w:r>
      <w:r>
        <w:rPr>
          <w:color w:val="1C1C1C"/>
          <w:spacing w:val="-19"/>
          <w:sz w:val="21"/>
        </w:rPr>
        <w:t xml:space="preserve"> </w:t>
      </w:r>
      <w:r>
        <w:rPr>
          <w:color w:val="161616"/>
          <w:sz w:val="21"/>
        </w:rPr>
        <w:t>are</w:t>
      </w:r>
      <w:r>
        <w:rPr>
          <w:color w:val="161616"/>
          <w:spacing w:val="-33"/>
          <w:sz w:val="21"/>
        </w:rPr>
        <w:t xml:space="preserve"> </w:t>
      </w:r>
      <w:r>
        <w:rPr>
          <w:sz w:val="21"/>
        </w:rPr>
        <w:t>responsible</w:t>
      </w:r>
      <w:r>
        <w:rPr>
          <w:spacing w:val="-23"/>
          <w:sz w:val="21"/>
        </w:rPr>
        <w:t xml:space="preserve"> </w:t>
      </w:r>
      <w:r>
        <w:rPr>
          <w:color w:val="1D1D1D"/>
          <w:sz w:val="21"/>
        </w:rPr>
        <w:t>for</w:t>
      </w:r>
      <w:r>
        <w:rPr>
          <w:color w:val="1D1D1D"/>
          <w:spacing w:val="-32"/>
          <w:sz w:val="21"/>
        </w:rPr>
        <w:t xml:space="preserve"> </w:t>
      </w:r>
      <w:r>
        <w:rPr>
          <w:color w:val="1A1A1A"/>
          <w:sz w:val="21"/>
        </w:rPr>
        <w:t>the</w:t>
      </w:r>
      <w:r>
        <w:rPr>
          <w:color w:val="1A1A1A"/>
          <w:spacing w:val="-33"/>
          <w:sz w:val="21"/>
        </w:rPr>
        <w:t xml:space="preserve"> </w:t>
      </w:r>
      <w:r>
        <w:rPr>
          <w:sz w:val="21"/>
        </w:rPr>
        <w:t>preparation</w:t>
      </w:r>
      <w:r>
        <w:rPr>
          <w:spacing w:val="-25"/>
          <w:sz w:val="21"/>
        </w:rPr>
        <w:t xml:space="preserve"> </w:t>
      </w:r>
      <w:r>
        <w:rPr>
          <w:color w:val="1D1D1D"/>
          <w:sz w:val="21"/>
        </w:rPr>
        <w:t>and</w:t>
      </w:r>
      <w:r>
        <w:rPr>
          <w:color w:val="1D1D1D"/>
          <w:spacing w:val="-31"/>
          <w:sz w:val="21"/>
        </w:rPr>
        <w:t xml:space="preserve"> </w:t>
      </w:r>
      <w:r>
        <w:rPr>
          <w:color w:val="0F0F0F"/>
          <w:sz w:val="21"/>
        </w:rPr>
        <w:t>fair</w:t>
      </w:r>
      <w:r>
        <w:rPr>
          <w:color w:val="0F0F0F"/>
          <w:spacing w:val="-34"/>
          <w:sz w:val="21"/>
        </w:rPr>
        <w:t xml:space="preserve"> </w:t>
      </w:r>
      <w:r>
        <w:rPr>
          <w:sz w:val="21"/>
        </w:rPr>
        <w:t>presentation</w:t>
      </w:r>
      <w:r>
        <w:rPr>
          <w:spacing w:val="-21"/>
          <w:sz w:val="21"/>
        </w:rPr>
        <w:t xml:space="preserve"> </w:t>
      </w:r>
      <w:r>
        <w:rPr>
          <w:sz w:val="21"/>
        </w:rPr>
        <w:t>of</w:t>
      </w:r>
      <w:r>
        <w:rPr>
          <w:spacing w:val="-29"/>
          <w:sz w:val="21"/>
        </w:rPr>
        <w:t xml:space="preserve"> </w:t>
      </w:r>
      <w:r>
        <w:rPr>
          <w:color w:val="2A2A2A"/>
          <w:sz w:val="21"/>
        </w:rPr>
        <w:t>the</w:t>
      </w:r>
      <w:r>
        <w:rPr>
          <w:color w:val="2A2A2A"/>
          <w:spacing w:val="-30"/>
          <w:sz w:val="21"/>
        </w:rPr>
        <w:t xml:space="preserve"> </w:t>
      </w:r>
      <w:r>
        <w:rPr>
          <w:color w:val="131313"/>
          <w:sz w:val="21"/>
        </w:rPr>
        <w:t xml:space="preserve">financial </w:t>
      </w:r>
      <w:r>
        <w:rPr>
          <w:color w:val="0F0F0F"/>
          <w:sz w:val="21"/>
        </w:rPr>
        <w:t>report</w:t>
      </w:r>
      <w:r>
        <w:rPr>
          <w:color w:val="0F0F0F"/>
          <w:spacing w:val="-35"/>
          <w:sz w:val="21"/>
        </w:rPr>
        <w:t xml:space="preserve"> </w:t>
      </w:r>
      <w:r>
        <w:rPr>
          <w:color w:val="1C1C1C"/>
          <w:sz w:val="21"/>
        </w:rPr>
        <w:t>in</w:t>
      </w:r>
      <w:r>
        <w:rPr>
          <w:color w:val="1C1C1C"/>
          <w:spacing w:val="-40"/>
          <w:sz w:val="21"/>
        </w:rPr>
        <w:t xml:space="preserve"> </w:t>
      </w:r>
      <w:r>
        <w:rPr>
          <w:color w:val="161616"/>
          <w:sz w:val="21"/>
        </w:rPr>
        <w:t>accordance</w:t>
      </w:r>
      <w:r>
        <w:rPr>
          <w:color w:val="161616"/>
          <w:spacing w:val="-33"/>
          <w:sz w:val="21"/>
        </w:rPr>
        <w:t xml:space="preserve"> </w:t>
      </w:r>
      <w:r>
        <w:rPr>
          <w:color w:val="0E0E0E"/>
          <w:sz w:val="21"/>
        </w:rPr>
        <w:t>with</w:t>
      </w:r>
      <w:r>
        <w:rPr>
          <w:color w:val="0E0E0E"/>
          <w:spacing w:val="-36"/>
          <w:sz w:val="21"/>
        </w:rPr>
        <w:t xml:space="preserve"> </w:t>
      </w:r>
      <w:r>
        <w:rPr>
          <w:color w:val="0E0E0E"/>
          <w:sz w:val="21"/>
        </w:rPr>
        <w:t>Australian</w:t>
      </w:r>
      <w:r>
        <w:rPr>
          <w:color w:val="0E0E0E"/>
          <w:spacing w:val="-29"/>
          <w:sz w:val="21"/>
        </w:rPr>
        <w:t xml:space="preserve"> </w:t>
      </w:r>
      <w:r>
        <w:rPr>
          <w:sz w:val="21"/>
        </w:rPr>
        <w:t>Accounting</w:t>
      </w:r>
      <w:r>
        <w:rPr>
          <w:spacing w:val="-34"/>
          <w:sz w:val="21"/>
        </w:rPr>
        <w:t xml:space="preserve"> </w:t>
      </w:r>
      <w:r>
        <w:rPr>
          <w:color w:val="181818"/>
          <w:sz w:val="21"/>
        </w:rPr>
        <w:t>Standards,</w:t>
      </w:r>
      <w:r>
        <w:rPr>
          <w:color w:val="181818"/>
          <w:spacing w:val="-31"/>
          <w:sz w:val="21"/>
        </w:rPr>
        <w:t xml:space="preserve"> </w:t>
      </w:r>
      <w:r>
        <w:rPr>
          <w:color w:val="0C0C0C"/>
          <w:sz w:val="21"/>
        </w:rPr>
        <w:t>the</w:t>
      </w:r>
      <w:r>
        <w:rPr>
          <w:color w:val="0C0C0C"/>
          <w:spacing w:val="-38"/>
          <w:sz w:val="21"/>
        </w:rPr>
        <w:t xml:space="preserve"> </w:t>
      </w:r>
      <w:r>
        <w:rPr>
          <w:color w:val="1F1F1F"/>
          <w:sz w:val="21"/>
        </w:rPr>
        <w:t>PF&amp;A</w:t>
      </w:r>
      <w:r>
        <w:rPr>
          <w:color w:val="1F1F1F"/>
          <w:spacing w:val="-32"/>
          <w:sz w:val="21"/>
        </w:rPr>
        <w:t xml:space="preserve"> </w:t>
      </w:r>
      <w:r>
        <w:rPr>
          <w:color w:val="1A1A1A"/>
          <w:sz w:val="21"/>
        </w:rPr>
        <w:t>Act</w:t>
      </w:r>
      <w:r>
        <w:rPr>
          <w:color w:val="1A1A1A"/>
          <w:spacing w:val="-37"/>
          <w:sz w:val="21"/>
        </w:rPr>
        <w:t xml:space="preserve"> </w:t>
      </w:r>
      <w:r>
        <w:rPr>
          <w:color w:val="1D1D1D"/>
          <w:sz w:val="21"/>
        </w:rPr>
        <w:t>and</w:t>
      </w:r>
      <w:r>
        <w:rPr>
          <w:color w:val="1D1D1D"/>
          <w:spacing w:val="-39"/>
          <w:sz w:val="21"/>
        </w:rPr>
        <w:t xml:space="preserve"> </w:t>
      </w:r>
      <w:r>
        <w:rPr>
          <w:color w:val="242424"/>
          <w:sz w:val="21"/>
        </w:rPr>
        <w:t>the</w:t>
      </w:r>
      <w:r>
        <w:rPr>
          <w:color w:val="242424"/>
          <w:spacing w:val="-38"/>
          <w:sz w:val="21"/>
        </w:rPr>
        <w:t xml:space="preserve"> </w:t>
      </w:r>
      <w:r>
        <w:rPr>
          <w:i/>
          <w:sz w:val="21"/>
        </w:rPr>
        <w:t>Australian</w:t>
      </w:r>
      <w:r>
        <w:rPr>
          <w:i/>
          <w:spacing w:val="-31"/>
          <w:sz w:val="21"/>
        </w:rPr>
        <w:t xml:space="preserve"> </w:t>
      </w:r>
      <w:r>
        <w:rPr>
          <w:i/>
          <w:sz w:val="21"/>
        </w:rPr>
        <w:t xml:space="preserve">Charities </w:t>
      </w:r>
      <w:r>
        <w:rPr>
          <w:i/>
          <w:color w:val="333333"/>
          <w:sz w:val="21"/>
        </w:rPr>
        <w:t>and</w:t>
      </w:r>
      <w:r>
        <w:rPr>
          <w:i/>
          <w:color w:val="333333"/>
          <w:spacing w:val="-25"/>
          <w:sz w:val="21"/>
        </w:rPr>
        <w:t xml:space="preserve"> </w:t>
      </w:r>
      <w:r>
        <w:rPr>
          <w:i/>
          <w:sz w:val="21"/>
        </w:rPr>
        <w:t>Not-for-profits</w:t>
      </w:r>
      <w:r>
        <w:rPr>
          <w:i/>
          <w:spacing w:val="-33"/>
          <w:sz w:val="21"/>
        </w:rPr>
        <w:t xml:space="preserve"> </w:t>
      </w:r>
      <w:r>
        <w:rPr>
          <w:color w:val="0F0F0F"/>
          <w:sz w:val="21"/>
        </w:rPr>
        <w:t>Commission</w:t>
      </w:r>
      <w:r>
        <w:rPr>
          <w:color w:val="0F0F0F"/>
          <w:spacing w:val="-17"/>
          <w:sz w:val="21"/>
        </w:rPr>
        <w:t xml:space="preserve"> </w:t>
      </w:r>
      <w:r>
        <w:rPr>
          <w:i/>
          <w:color w:val="232323"/>
          <w:sz w:val="21"/>
        </w:rPr>
        <w:t>Act</w:t>
      </w:r>
      <w:r>
        <w:rPr>
          <w:i/>
          <w:color w:val="232323"/>
          <w:spacing w:val="-26"/>
          <w:sz w:val="21"/>
        </w:rPr>
        <w:t xml:space="preserve"> </w:t>
      </w:r>
      <w:r>
        <w:rPr>
          <w:i/>
          <w:color w:val="0F0F0F"/>
          <w:sz w:val="21"/>
        </w:rPr>
        <w:t>2012,</w:t>
      </w:r>
      <w:r>
        <w:rPr>
          <w:i/>
          <w:color w:val="0F0F0F"/>
          <w:spacing w:val="-22"/>
          <w:sz w:val="21"/>
        </w:rPr>
        <w:t xml:space="preserve"> </w:t>
      </w:r>
      <w:r>
        <w:rPr>
          <w:sz w:val="21"/>
        </w:rPr>
        <w:t>and</w:t>
      </w:r>
      <w:r>
        <w:rPr>
          <w:spacing w:val="-20"/>
          <w:sz w:val="21"/>
        </w:rPr>
        <w:t xml:space="preserve"> </w:t>
      </w:r>
      <w:r>
        <w:rPr>
          <w:sz w:val="21"/>
        </w:rPr>
        <w:t>for</w:t>
      </w:r>
      <w:r>
        <w:rPr>
          <w:spacing w:val="-28"/>
          <w:sz w:val="21"/>
        </w:rPr>
        <w:t xml:space="preserve"> </w:t>
      </w:r>
      <w:r>
        <w:rPr>
          <w:color w:val="0F0F0F"/>
          <w:sz w:val="21"/>
        </w:rPr>
        <w:t>such</w:t>
      </w:r>
      <w:r>
        <w:rPr>
          <w:color w:val="0F0F0F"/>
          <w:spacing w:val="-29"/>
          <w:sz w:val="21"/>
        </w:rPr>
        <w:t xml:space="preserve"> </w:t>
      </w:r>
      <w:r>
        <w:rPr>
          <w:sz w:val="21"/>
        </w:rPr>
        <w:t>internal</w:t>
      </w:r>
      <w:r>
        <w:rPr>
          <w:spacing w:val="-24"/>
          <w:sz w:val="21"/>
        </w:rPr>
        <w:t xml:space="preserve"> </w:t>
      </w:r>
      <w:r>
        <w:rPr>
          <w:color w:val="131313"/>
          <w:sz w:val="21"/>
        </w:rPr>
        <w:t>control</w:t>
      </w:r>
      <w:r>
        <w:rPr>
          <w:color w:val="131313"/>
          <w:spacing w:val="-24"/>
          <w:sz w:val="21"/>
        </w:rPr>
        <w:t xml:space="preserve"> </w:t>
      </w:r>
      <w:r>
        <w:rPr>
          <w:color w:val="161616"/>
          <w:sz w:val="21"/>
        </w:rPr>
        <w:t>as</w:t>
      </w:r>
      <w:r>
        <w:rPr>
          <w:color w:val="161616"/>
          <w:spacing w:val="-26"/>
          <w:sz w:val="21"/>
        </w:rPr>
        <w:t xml:space="preserve"> </w:t>
      </w:r>
      <w:r>
        <w:rPr>
          <w:color w:val="232323"/>
          <w:sz w:val="21"/>
        </w:rPr>
        <w:t>the</w:t>
      </w:r>
      <w:r>
        <w:rPr>
          <w:color w:val="232323"/>
          <w:spacing w:val="-27"/>
          <w:sz w:val="21"/>
        </w:rPr>
        <w:t xml:space="preserve"> </w:t>
      </w:r>
      <w:r>
        <w:rPr>
          <w:color w:val="1C1C1C"/>
          <w:sz w:val="21"/>
        </w:rPr>
        <w:t>directors</w:t>
      </w:r>
      <w:r>
        <w:rPr>
          <w:color w:val="1C1C1C"/>
          <w:spacing w:val="-17"/>
          <w:sz w:val="21"/>
        </w:rPr>
        <w:t xml:space="preserve"> </w:t>
      </w:r>
      <w:r>
        <w:rPr>
          <w:color w:val="181818"/>
          <w:sz w:val="21"/>
        </w:rPr>
        <w:t>determine</w:t>
      </w:r>
      <w:r>
        <w:rPr>
          <w:color w:val="181818"/>
          <w:spacing w:val="-18"/>
          <w:sz w:val="21"/>
        </w:rPr>
        <w:t xml:space="preserve"> </w:t>
      </w:r>
      <w:r>
        <w:rPr>
          <w:color w:val="181818"/>
          <w:sz w:val="21"/>
        </w:rPr>
        <w:t xml:space="preserve">is </w:t>
      </w:r>
      <w:r>
        <w:rPr>
          <w:color w:val="131313"/>
          <w:sz w:val="21"/>
        </w:rPr>
        <w:t xml:space="preserve">necessary </w:t>
      </w:r>
      <w:r>
        <w:rPr>
          <w:color w:val="1F1F1F"/>
          <w:sz w:val="21"/>
        </w:rPr>
        <w:t xml:space="preserve">to </w:t>
      </w:r>
      <w:r>
        <w:rPr>
          <w:sz w:val="21"/>
        </w:rPr>
        <w:t xml:space="preserve">enable </w:t>
      </w:r>
      <w:r>
        <w:rPr>
          <w:color w:val="161616"/>
          <w:sz w:val="21"/>
        </w:rPr>
        <w:t xml:space="preserve">the </w:t>
      </w:r>
      <w:r>
        <w:rPr>
          <w:sz w:val="21"/>
        </w:rPr>
        <w:t xml:space="preserve">preparation </w:t>
      </w:r>
      <w:r>
        <w:rPr>
          <w:color w:val="262626"/>
          <w:sz w:val="21"/>
        </w:rPr>
        <w:t xml:space="preserve">and </w:t>
      </w:r>
      <w:r>
        <w:rPr>
          <w:color w:val="1A1A1A"/>
          <w:sz w:val="21"/>
        </w:rPr>
        <w:t xml:space="preserve">fair </w:t>
      </w:r>
      <w:r>
        <w:rPr>
          <w:sz w:val="21"/>
        </w:rPr>
        <w:t xml:space="preserve">presentation </w:t>
      </w:r>
      <w:r>
        <w:rPr>
          <w:color w:val="1F1F1F"/>
          <w:sz w:val="21"/>
        </w:rPr>
        <w:t xml:space="preserve">of </w:t>
      </w:r>
      <w:r>
        <w:rPr>
          <w:sz w:val="21"/>
        </w:rPr>
        <w:t xml:space="preserve">the </w:t>
      </w:r>
      <w:r>
        <w:rPr>
          <w:color w:val="111111"/>
          <w:sz w:val="21"/>
        </w:rPr>
        <w:t xml:space="preserve">financial </w:t>
      </w:r>
      <w:r>
        <w:rPr>
          <w:color w:val="212121"/>
          <w:sz w:val="21"/>
        </w:rPr>
        <w:t xml:space="preserve">report </w:t>
      </w:r>
      <w:r>
        <w:rPr>
          <w:color w:val="151515"/>
          <w:sz w:val="21"/>
        </w:rPr>
        <w:t xml:space="preserve">that </w:t>
      </w:r>
      <w:r>
        <w:rPr>
          <w:color w:val="181818"/>
          <w:sz w:val="21"/>
        </w:rPr>
        <w:t xml:space="preserve">is </w:t>
      </w:r>
      <w:r>
        <w:rPr>
          <w:color w:val="0C0C0C"/>
          <w:sz w:val="21"/>
        </w:rPr>
        <w:t xml:space="preserve">free </w:t>
      </w:r>
      <w:r>
        <w:rPr>
          <w:color w:val="1F1F1F"/>
          <w:sz w:val="21"/>
        </w:rPr>
        <w:t xml:space="preserve">from </w:t>
      </w:r>
      <w:r>
        <w:rPr>
          <w:sz w:val="21"/>
        </w:rPr>
        <w:t xml:space="preserve">material misstatement, whether </w:t>
      </w:r>
      <w:r>
        <w:rPr>
          <w:color w:val="242424"/>
          <w:sz w:val="21"/>
        </w:rPr>
        <w:t xml:space="preserve">due </w:t>
      </w:r>
      <w:r>
        <w:rPr>
          <w:color w:val="232323"/>
          <w:sz w:val="21"/>
        </w:rPr>
        <w:t xml:space="preserve">to </w:t>
      </w:r>
      <w:r>
        <w:rPr>
          <w:color w:val="0F0F0F"/>
          <w:sz w:val="21"/>
        </w:rPr>
        <w:t>fraud or</w:t>
      </w:r>
      <w:r>
        <w:rPr>
          <w:color w:val="0F0F0F"/>
          <w:spacing w:val="12"/>
          <w:sz w:val="21"/>
        </w:rPr>
        <w:t xml:space="preserve"> </w:t>
      </w:r>
      <w:r>
        <w:rPr>
          <w:color w:val="0F0F0F"/>
          <w:sz w:val="21"/>
        </w:rPr>
        <w:t>error.</w:t>
      </w:r>
    </w:p>
    <w:p w14:paraId="5737596B" w14:textId="77777777" w:rsidR="00FA4AA8" w:rsidRDefault="0015611F">
      <w:pPr>
        <w:spacing w:before="178" w:line="237" w:lineRule="auto"/>
        <w:ind w:left="658" w:right="619" w:firstLine="3"/>
        <w:rPr>
          <w:sz w:val="21"/>
        </w:rPr>
      </w:pPr>
      <w:r>
        <w:rPr>
          <w:color w:val="181818"/>
          <w:sz w:val="21"/>
        </w:rPr>
        <w:t>In</w:t>
      </w:r>
      <w:r>
        <w:rPr>
          <w:color w:val="181818"/>
          <w:spacing w:val="-27"/>
          <w:sz w:val="21"/>
        </w:rPr>
        <w:t xml:space="preserve"> </w:t>
      </w:r>
      <w:r>
        <w:rPr>
          <w:color w:val="0F0F0F"/>
          <w:sz w:val="21"/>
        </w:rPr>
        <w:t>preparing</w:t>
      </w:r>
      <w:r>
        <w:rPr>
          <w:color w:val="0F0F0F"/>
          <w:spacing w:val="-23"/>
          <w:sz w:val="21"/>
        </w:rPr>
        <w:t xml:space="preserve"> </w:t>
      </w:r>
      <w:r>
        <w:rPr>
          <w:sz w:val="21"/>
        </w:rPr>
        <w:t>the</w:t>
      </w:r>
      <w:r>
        <w:rPr>
          <w:spacing w:val="-26"/>
          <w:sz w:val="21"/>
        </w:rPr>
        <w:t xml:space="preserve"> </w:t>
      </w:r>
      <w:r>
        <w:rPr>
          <w:sz w:val="21"/>
        </w:rPr>
        <w:t>financial</w:t>
      </w:r>
      <w:r>
        <w:rPr>
          <w:spacing w:val="-28"/>
          <w:sz w:val="21"/>
        </w:rPr>
        <w:t xml:space="preserve"> </w:t>
      </w:r>
      <w:r>
        <w:rPr>
          <w:color w:val="0C0C0C"/>
          <w:sz w:val="21"/>
        </w:rPr>
        <w:t>report,</w:t>
      </w:r>
      <w:r>
        <w:rPr>
          <w:color w:val="0C0C0C"/>
          <w:spacing w:val="-21"/>
          <w:sz w:val="21"/>
        </w:rPr>
        <w:t xml:space="preserve"> </w:t>
      </w:r>
      <w:r>
        <w:rPr>
          <w:color w:val="131313"/>
          <w:sz w:val="21"/>
        </w:rPr>
        <w:t>the</w:t>
      </w:r>
      <w:r>
        <w:rPr>
          <w:color w:val="131313"/>
          <w:spacing w:val="-28"/>
          <w:sz w:val="21"/>
        </w:rPr>
        <w:t xml:space="preserve"> </w:t>
      </w:r>
      <w:r>
        <w:rPr>
          <w:color w:val="0F0F0F"/>
          <w:sz w:val="21"/>
        </w:rPr>
        <w:t>directors</w:t>
      </w:r>
      <w:r>
        <w:rPr>
          <w:color w:val="0F0F0F"/>
          <w:spacing w:val="-24"/>
          <w:sz w:val="21"/>
        </w:rPr>
        <w:t xml:space="preserve"> </w:t>
      </w:r>
      <w:r>
        <w:rPr>
          <w:color w:val="1C1C1C"/>
          <w:sz w:val="21"/>
        </w:rPr>
        <w:t>are</w:t>
      </w:r>
      <w:r>
        <w:rPr>
          <w:color w:val="1C1C1C"/>
          <w:spacing w:val="-29"/>
          <w:sz w:val="21"/>
        </w:rPr>
        <w:t xml:space="preserve"> </w:t>
      </w:r>
      <w:r>
        <w:rPr>
          <w:sz w:val="21"/>
        </w:rPr>
        <w:t>responsible</w:t>
      </w:r>
      <w:r>
        <w:rPr>
          <w:spacing w:val="-20"/>
          <w:sz w:val="21"/>
        </w:rPr>
        <w:t xml:space="preserve"> </w:t>
      </w:r>
      <w:r>
        <w:rPr>
          <w:color w:val="232323"/>
          <w:sz w:val="21"/>
        </w:rPr>
        <w:t>for</w:t>
      </w:r>
      <w:r>
        <w:rPr>
          <w:color w:val="232323"/>
          <w:spacing w:val="-30"/>
          <w:sz w:val="21"/>
        </w:rPr>
        <w:t xml:space="preserve"> </w:t>
      </w:r>
      <w:r>
        <w:rPr>
          <w:sz w:val="21"/>
        </w:rPr>
        <w:t>assessing</w:t>
      </w:r>
      <w:r>
        <w:rPr>
          <w:spacing w:val="-20"/>
          <w:sz w:val="21"/>
        </w:rPr>
        <w:t xml:space="preserve"> </w:t>
      </w:r>
      <w:r>
        <w:rPr>
          <w:color w:val="242424"/>
          <w:sz w:val="21"/>
        </w:rPr>
        <w:t>the</w:t>
      </w:r>
      <w:r>
        <w:rPr>
          <w:color w:val="242424"/>
          <w:spacing w:val="-28"/>
          <w:sz w:val="21"/>
        </w:rPr>
        <w:t xml:space="preserve"> </w:t>
      </w:r>
      <w:r>
        <w:rPr>
          <w:sz w:val="21"/>
        </w:rPr>
        <w:t>Company’s</w:t>
      </w:r>
      <w:r>
        <w:rPr>
          <w:spacing w:val="-18"/>
          <w:sz w:val="21"/>
        </w:rPr>
        <w:t xml:space="preserve"> </w:t>
      </w:r>
      <w:r>
        <w:rPr>
          <w:color w:val="1A1A1A"/>
          <w:sz w:val="21"/>
        </w:rPr>
        <w:t>ability</w:t>
      </w:r>
      <w:r>
        <w:rPr>
          <w:color w:val="1A1A1A"/>
          <w:spacing w:val="-25"/>
          <w:sz w:val="21"/>
        </w:rPr>
        <w:t xml:space="preserve"> </w:t>
      </w:r>
      <w:r>
        <w:rPr>
          <w:color w:val="262626"/>
          <w:sz w:val="21"/>
        </w:rPr>
        <w:t xml:space="preserve">to </w:t>
      </w:r>
      <w:r>
        <w:rPr>
          <w:sz w:val="21"/>
        </w:rPr>
        <w:t>continue</w:t>
      </w:r>
      <w:r>
        <w:rPr>
          <w:spacing w:val="-30"/>
          <w:sz w:val="21"/>
        </w:rPr>
        <w:t xml:space="preserve"> </w:t>
      </w:r>
      <w:r>
        <w:rPr>
          <w:color w:val="1F1F1F"/>
          <w:sz w:val="21"/>
        </w:rPr>
        <w:t>as</w:t>
      </w:r>
      <w:r>
        <w:rPr>
          <w:color w:val="1F1F1F"/>
          <w:spacing w:val="-31"/>
          <w:sz w:val="21"/>
        </w:rPr>
        <w:t xml:space="preserve"> </w:t>
      </w:r>
      <w:r>
        <w:rPr>
          <w:sz w:val="21"/>
        </w:rPr>
        <w:t>a</w:t>
      </w:r>
      <w:r>
        <w:rPr>
          <w:spacing w:val="-32"/>
          <w:sz w:val="21"/>
        </w:rPr>
        <w:t xml:space="preserve"> </w:t>
      </w:r>
      <w:r>
        <w:rPr>
          <w:color w:val="0E0E0E"/>
          <w:sz w:val="21"/>
        </w:rPr>
        <w:t>going</w:t>
      </w:r>
      <w:r>
        <w:rPr>
          <w:color w:val="0E0E0E"/>
          <w:spacing w:val="-28"/>
          <w:sz w:val="21"/>
        </w:rPr>
        <w:t xml:space="preserve"> </w:t>
      </w:r>
      <w:r>
        <w:rPr>
          <w:color w:val="1A1A1A"/>
          <w:sz w:val="21"/>
        </w:rPr>
        <w:t>concern,</w:t>
      </w:r>
      <w:r>
        <w:rPr>
          <w:color w:val="1A1A1A"/>
          <w:spacing w:val="-30"/>
          <w:sz w:val="21"/>
        </w:rPr>
        <w:t xml:space="preserve"> </w:t>
      </w:r>
      <w:r>
        <w:rPr>
          <w:color w:val="0F0F0F"/>
          <w:sz w:val="21"/>
        </w:rPr>
        <w:t>disclosing,</w:t>
      </w:r>
      <w:r>
        <w:rPr>
          <w:color w:val="0F0F0F"/>
          <w:spacing w:val="-22"/>
          <w:sz w:val="21"/>
        </w:rPr>
        <w:t xml:space="preserve"> </w:t>
      </w:r>
      <w:r>
        <w:rPr>
          <w:color w:val="242424"/>
          <w:sz w:val="21"/>
        </w:rPr>
        <w:t>as</w:t>
      </w:r>
      <w:r>
        <w:rPr>
          <w:color w:val="242424"/>
          <w:spacing w:val="-34"/>
          <w:sz w:val="21"/>
        </w:rPr>
        <w:t xml:space="preserve"> </w:t>
      </w:r>
      <w:r>
        <w:rPr>
          <w:color w:val="0E0E0E"/>
          <w:sz w:val="21"/>
        </w:rPr>
        <w:t>applicable,</w:t>
      </w:r>
      <w:r>
        <w:rPr>
          <w:color w:val="0E0E0E"/>
          <w:spacing w:val="-27"/>
          <w:sz w:val="21"/>
        </w:rPr>
        <w:t xml:space="preserve"> </w:t>
      </w:r>
      <w:r>
        <w:rPr>
          <w:color w:val="1A1A1A"/>
          <w:sz w:val="21"/>
        </w:rPr>
        <w:t>matters</w:t>
      </w:r>
      <w:r>
        <w:rPr>
          <w:color w:val="1A1A1A"/>
          <w:spacing w:val="-29"/>
          <w:sz w:val="21"/>
        </w:rPr>
        <w:t xml:space="preserve"> </w:t>
      </w:r>
      <w:r>
        <w:rPr>
          <w:color w:val="0F0F0F"/>
          <w:sz w:val="21"/>
        </w:rPr>
        <w:t>related</w:t>
      </w:r>
      <w:r>
        <w:rPr>
          <w:color w:val="0F0F0F"/>
          <w:spacing w:val="-29"/>
          <w:sz w:val="21"/>
        </w:rPr>
        <w:t xml:space="preserve"> </w:t>
      </w:r>
      <w:r>
        <w:rPr>
          <w:color w:val="181818"/>
          <w:sz w:val="21"/>
        </w:rPr>
        <w:t>to</w:t>
      </w:r>
      <w:r>
        <w:rPr>
          <w:color w:val="181818"/>
          <w:spacing w:val="-36"/>
          <w:sz w:val="21"/>
        </w:rPr>
        <w:t xml:space="preserve"> </w:t>
      </w:r>
      <w:r>
        <w:rPr>
          <w:sz w:val="21"/>
        </w:rPr>
        <w:t>going</w:t>
      </w:r>
      <w:r>
        <w:rPr>
          <w:spacing w:val="-28"/>
          <w:sz w:val="21"/>
        </w:rPr>
        <w:t xml:space="preserve"> </w:t>
      </w:r>
      <w:r>
        <w:rPr>
          <w:sz w:val="21"/>
        </w:rPr>
        <w:t>concern</w:t>
      </w:r>
      <w:r>
        <w:rPr>
          <w:spacing w:val="-24"/>
          <w:sz w:val="21"/>
        </w:rPr>
        <w:t xml:space="preserve"> </w:t>
      </w:r>
      <w:r>
        <w:rPr>
          <w:sz w:val="21"/>
        </w:rPr>
        <w:t>and</w:t>
      </w:r>
      <w:r>
        <w:rPr>
          <w:spacing w:val="-30"/>
          <w:sz w:val="21"/>
        </w:rPr>
        <w:t xml:space="preserve"> </w:t>
      </w:r>
      <w:r>
        <w:rPr>
          <w:color w:val="161616"/>
          <w:sz w:val="21"/>
        </w:rPr>
        <w:t>using</w:t>
      </w:r>
      <w:r>
        <w:rPr>
          <w:color w:val="161616"/>
          <w:spacing w:val="-29"/>
          <w:sz w:val="21"/>
        </w:rPr>
        <w:t xml:space="preserve"> </w:t>
      </w:r>
      <w:r>
        <w:rPr>
          <w:color w:val="131313"/>
          <w:sz w:val="21"/>
        </w:rPr>
        <w:t xml:space="preserve">the </w:t>
      </w:r>
      <w:r>
        <w:rPr>
          <w:color w:val="232323"/>
          <w:sz w:val="21"/>
        </w:rPr>
        <w:t>going</w:t>
      </w:r>
      <w:r>
        <w:rPr>
          <w:color w:val="232323"/>
          <w:spacing w:val="-18"/>
          <w:sz w:val="21"/>
        </w:rPr>
        <w:t xml:space="preserve"> </w:t>
      </w:r>
      <w:r>
        <w:rPr>
          <w:color w:val="0E0E0E"/>
          <w:sz w:val="21"/>
        </w:rPr>
        <w:t>concern</w:t>
      </w:r>
      <w:r>
        <w:rPr>
          <w:color w:val="0E0E0E"/>
          <w:spacing w:val="-20"/>
          <w:sz w:val="21"/>
        </w:rPr>
        <w:t xml:space="preserve"> </w:t>
      </w:r>
      <w:r>
        <w:rPr>
          <w:color w:val="0F0F0F"/>
          <w:sz w:val="21"/>
        </w:rPr>
        <w:t>basis</w:t>
      </w:r>
      <w:r>
        <w:rPr>
          <w:color w:val="0F0F0F"/>
          <w:spacing w:val="-19"/>
          <w:sz w:val="21"/>
        </w:rPr>
        <w:t xml:space="preserve"> </w:t>
      </w:r>
      <w:r>
        <w:rPr>
          <w:color w:val="232323"/>
          <w:sz w:val="21"/>
        </w:rPr>
        <w:t>of</w:t>
      </w:r>
      <w:r>
        <w:rPr>
          <w:color w:val="232323"/>
          <w:spacing w:val="-24"/>
          <w:sz w:val="21"/>
        </w:rPr>
        <w:t xml:space="preserve"> </w:t>
      </w:r>
      <w:r>
        <w:rPr>
          <w:sz w:val="21"/>
        </w:rPr>
        <w:t>accounting</w:t>
      </w:r>
      <w:r>
        <w:rPr>
          <w:spacing w:val="-15"/>
          <w:sz w:val="21"/>
        </w:rPr>
        <w:t xml:space="preserve"> </w:t>
      </w:r>
      <w:r>
        <w:rPr>
          <w:color w:val="111111"/>
          <w:sz w:val="21"/>
        </w:rPr>
        <w:t>unless</w:t>
      </w:r>
      <w:r>
        <w:rPr>
          <w:color w:val="111111"/>
          <w:spacing w:val="-16"/>
          <w:sz w:val="21"/>
        </w:rPr>
        <w:t xml:space="preserve"> </w:t>
      </w:r>
      <w:r>
        <w:rPr>
          <w:sz w:val="21"/>
        </w:rPr>
        <w:t>the</w:t>
      </w:r>
      <w:r>
        <w:rPr>
          <w:spacing w:val="-29"/>
          <w:sz w:val="21"/>
        </w:rPr>
        <w:t xml:space="preserve"> </w:t>
      </w:r>
      <w:r>
        <w:rPr>
          <w:sz w:val="21"/>
        </w:rPr>
        <w:t>directors</w:t>
      </w:r>
      <w:r>
        <w:rPr>
          <w:spacing w:val="-17"/>
          <w:sz w:val="21"/>
        </w:rPr>
        <w:t xml:space="preserve"> </w:t>
      </w:r>
      <w:r>
        <w:rPr>
          <w:color w:val="131313"/>
          <w:sz w:val="21"/>
        </w:rPr>
        <w:t>either</w:t>
      </w:r>
      <w:r>
        <w:rPr>
          <w:color w:val="131313"/>
          <w:spacing w:val="-23"/>
          <w:sz w:val="21"/>
        </w:rPr>
        <w:t xml:space="preserve"> </w:t>
      </w:r>
      <w:r>
        <w:rPr>
          <w:color w:val="131313"/>
          <w:sz w:val="21"/>
        </w:rPr>
        <w:t>intend</w:t>
      </w:r>
      <w:r>
        <w:rPr>
          <w:color w:val="131313"/>
          <w:spacing w:val="-23"/>
          <w:sz w:val="21"/>
        </w:rPr>
        <w:t xml:space="preserve"> </w:t>
      </w:r>
      <w:r>
        <w:rPr>
          <w:color w:val="232323"/>
          <w:sz w:val="21"/>
        </w:rPr>
        <w:t>to</w:t>
      </w:r>
      <w:r>
        <w:rPr>
          <w:color w:val="232323"/>
          <w:spacing w:val="-22"/>
          <w:sz w:val="21"/>
        </w:rPr>
        <w:t xml:space="preserve"> </w:t>
      </w:r>
      <w:r>
        <w:rPr>
          <w:color w:val="181818"/>
          <w:sz w:val="21"/>
        </w:rPr>
        <w:t>liquidate</w:t>
      </w:r>
      <w:r>
        <w:rPr>
          <w:color w:val="181818"/>
          <w:spacing w:val="-22"/>
          <w:sz w:val="21"/>
        </w:rPr>
        <w:t xml:space="preserve"> </w:t>
      </w:r>
      <w:r>
        <w:rPr>
          <w:color w:val="1A1A1A"/>
          <w:sz w:val="21"/>
        </w:rPr>
        <w:t>the</w:t>
      </w:r>
      <w:r>
        <w:rPr>
          <w:color w:val="1A1A1A"/>
          <w:spacing w:val="-25"/>
          <w:sz w:val="21"/>
        </w:rPr>
        <w:t xml:space="preserve"> </w:t>
      </w:r>
      <w:r>
        <w:rPr>
          <w:color w:val="161616"/>
          <w:sz w:val="21"/>
        </w:rPr>
        <w:t>Company</w:t>
      </w:r>
      <w:r>
        <w:rPr>
          <w:color w:val="161616"/>
          <w:spacing w:val="-11"/>
          <w:sz w:val="21"/>
        </w:rPr>
        <w:t xml:space="preserve"> </w:t>
      </w:r>
      <w:r>
        <w:rPr>
          <w:color w:val="212121"/>
          <w:sz w:val="21"/>
        </w:rPr>
        <w:t>or</w:t>
      </w:r>
      <w:r>
        <w:rPr>
          <w:color w:val="212121"/>
          <w:spacing w:val="-24"/>
          <w:sz w:val="21"/>
        </w:rPr>
        <w:t xml:space="preserve"> </w:t>
      </w:r>
      <w:r>
        <w:rPr>
          <w:color w:val="161616"/>
          <w:sz w:val="21"/>
        </w:rPr>
        <w:t xml:space="preserve">to </w:t>
      </w:r>
      <w:r>
        <w:rPr>
          <w:sz w:val="21"/>
        </w:rPr>
        <w:t xml:space="preserve">cease operations, </w:t>
      </w:r>
      <w:r>
        <w:rPr>
          <w:color w:val="262626"/>
          <w:sz w:val="21"/>
        </w:rPr>
        <w:t xml:space="preserve">or </w:t>
      </w:r>
      <w:r>
        <w:rPr>
          <w:color w:val="131313"/>
          <w:sz w:val="21"/>
        </w:rPr>
        <w:t xml:space="preserve">have </w:t>
      </w:r>
      <w:r>
        <w:rPr>
          <w:color w:val="1F1F1F"/>
          <w:sz w:val="21"/>
        </w:rPr>
        <w:t xml:space="preserve">no </w:t>
      </w:r>
      <w:r>
        <w:rPr>
          <w:color w:val="0F0F0F"/>
          <w:sz w:val="21"/>
        </w:rPr>
        <w:t xml:space="preserve">realistic </w:t>
      </w:r>
      <w:r>
        <w:rPr>
          <w:color w:val="151515"/>
          <w:sz w:val="21"/>
        </w:rPr>
        <w:t xml:space="preserve">alternative </w:t>
      </w:r>
      <w:r>
        <w:rPr>
          <w:color w:val="1C1C1C"/>
          <w:sz w:val="21"/>
        </w:rPr>
        <w:t xml:space="preserve">but </w:t>
      </w:r>
      <w:r>
        <w:rPr>
          <w:color w:val="151515"/>
          <w:sz w:val="21"/>
        </w:rPr>
        <w:t xml:space="preserve">to </w:t>
      </w:r>
      <w:r>
        <w:rPr>
          <w:color w:val="1C1C1C"/>
          <w:sz w:val="21"/>
        </w:rPr>
        <w:t>do</w:t>
      </w:r>
      <w:r>
        <w:rPr>
          <w:color w:val="1C1C1C"/>
          <w:spacing w:val="13"/>
          <w:sz w:val="21"/>
        </w:rPr>
        <w:t xml:space="preserve"> </w:t>
      </w:r>
      <w:r>
        <w:rPr>
          <w:sz w:val="21"/>
        </w:rPr>
        <w:t>so.</w:t>
      </w:r>
    </w:p>
    <w:p w14:paraId="016E3E88" w14:textId="77777777" w:rsidR="00FA4AA8" w:rsidRDefault="00FA4AA8">
      <w:pPr>
        <w:spacing w:line="237" w:lineRule="auto"/>
        <w:rPr>
          <w:sz w:val="21"/>
        </w:rPr>
        <w:sectPr w:rsidR="00FA4AA8">
          <w:headerReference w:type="default" r:id="rId162"/>
          <w:footerReference w:type="default" r:id="rId163"/>
          <w:pgSz w:w="11910" w:h="16850"/>
          <w:pgMar w:top="1280" w:right="700" w:bottom="720" w:left="720" w:header="0" w:footer="523" w:gutter="0"/>
          <w:pgNumType w:start="164"/>
          <w:cols w:space="720"/>
        </w:sectPr>
      </w:pPr>
    </w:p>
    <w:p w14:paraId="7D61A704" w14:textId="77777777" w:rsidR="00FA4AA8" w:rsidRDefault="0015611F">
      <w:pPr>
        <w:spacing w:before="66"/>
        <w:ind w:left="671"/>
        <w:rPr>
          <w:b/>
          <w:sz w:val="25"/>
        </w:rPr>
      </w:pPr>
      <w:r>
        <w:rPr>
          <w:b/>
          <w:sz w:val="25"/>
        </w:rPr>
        <w:t xml:space="preserve">Auditor’s </w:t>
      </w:r>
      <w:r>
        <w:rPr>
          <w:b/>
          <w:color w:val="0F0F0F"/>
          <w:sz w:val="25"/>
        </w:rPr>
        <w:t xml:space="preserve">Responsibilities </w:t>
      </w:r>
      <w:r>
        <w:rPr>
          <w:b/>
          <w:sz w:val="25"/>
        </w:rPr>
        <w:t xml:space="preserve">for the </w:t>
      </w:r>
      <w:r>
        <w:rPr>
          <w:b/>
          <w:color w:val="111111"/>
          <w:sz w:val="25"/>
        </w:rPr>
        <w:t xml:space="preserve">Audit </w:t>
      </w:r>
      <w:r>
        <w:rPr>
          <w:b/>
          <w:color w:val="0F0F0F"/>
          <w:sz w:val="25"/>
        </w:rPr>
        <w:t xml:space="preserve">of </w:t>
      </w:r>
      <w:r>
        <w:rPr>
          <w:b/>
          <w:sz w:val="25"/>
        </w:rPr>
        <w:t xml:space="preserve">the </w:t>
      </w:r>
      <w:r>
        <w:rPr>
          <w:b/>
          <w:color w:val="0F0F0F"/>
          <w:sz w:val="25"/>
        </w:rPr>
        <w:t xml:space="preserve">Financial </w:t>
      </w:r>
      <w:r>
        <w:rPr>
          <w:b/>
          <w:color w:val="0E0E0E"/>
          <w:sz w:val="25"/>
        </w:rPr>
        <w:t>Report</w:t>
      </w:r>
    </w:p>
    <w:p w14:paraId="26514CD3" w14:textId="77777777" w:rsidR="00FA4AA8" w:rsidRDefault="0015611F">
      <w:pPr>
        <w:spacing w:before="110"/>
        <w:ind w:left="670"/>
        <w:rPr>
          <w:sz w:val="21"/>
        </w:rPr>
      </w:pPr>
      <w:r>
        <w:rPr>
          <w:color w:val="1F1F1F"/>
          <w:sz w:val="21"/>
        </w:rPr>
        <w:t xml:space="preserve">My </w:t>
      </w:r>
      <w:r>
        <w:rPr>
          <w:sz w:val="21"/>
        </w:rPr>
        <w:t xml:space="preserve">objectives are </w:t>
      </w:r>
      <w:r>
        <w:rPr>
          <w:color w:val="1A1A1A"/>
          <w:sz w:val="21"/>
        </w:rPr>
        <w:t>to.</w:t>
      </w:r>
    </w:p>
    <w:p w14:paraId="17FD1026" w14:textId="77777777" w:rsidR="00FA4AA8" w:rsidRDefault="0015611F">
      <w:pPr>
        <w:pStyle w:val="ListParagraph"/>
        <w:numPr>
          <w:ilvl w:val="1"/>
          <w:numId w:val="44"/>
        </w:numPr>
        <w:tabs>
          <w:tab w:val="left" w:pos="1231"/>
          <w:tab w:val="left" w:pos="1232"/>
        </w:tabs>
        <w:spacing w:before="171"/>
        <w:ind w:left="1234" w:right="778" w:hanging="569"/>
        <w:rPr>
          <w:color w:val="212121"/>
          <w:sz w:val="21"/>
        </w:rPr>
      </w:pPr>
      <w:r>
        <w:rPr>
          <w:color w:val="181818"/>
          <w:sz w:val="21"/>
        </w:rPr>
        <w:t>obtain</w:t>
      </w:r>
      <w:r>
        <w:rPr>
          <w:color w:val="181818"/>
          <w:spacing w:val="-29"/>
          <w:sz w:val="21"/>
        </w:rPr>
        <w:t xml:space="preserve"> </w:t>
      </w:r>
      <w:r>
        <w:rPr>
          <w:sz w:val="21"/>
        </w:rPr>
        <w:t>reasonable</w:t>
      </w:r>
      <w:r>
        <w:rPr>
          <w:spacing w:val="-26"/>
          <w:sz w:val="21"/>
        </w:rPr>
        <w:t xml:space="preserve"> </w:t>
      </w:r>
      <w:r>
        <w:rPr>
          <w:sz w:val="21"/>
        </w:rPr>
        <w:t>assurance</w:t>
      </w:r>
      <w:r>
        <w:rPr>
          <w:spacing w:val="-22"/>
          <w:sz w:val="21"/>
        </w:rPr>
        <w:t xml:space="preserve"> </w:t>
      </w:r>
      <w:r>
        <w:rPr>
          <w:color w:val="0C0C0C"/>
          <w:sz w:val="21"/>
        </w:rPr>
        <w:t>about</w:t>
      </w:r>
      <w:r>
        <w:rPr>
          <w:color w:val="0C0C0C"/>
          <w:spacing w:val="-28"/>
          <w:sz w:val="21"/>
        </w:rPr>
        <w:t xml:space="preserve"> </w:t>
      </w:r>
      <w:r>
        <w:rPr>
          <w:sz w:val="21"/>
        </w:rPr>
        <w:t>whether</w:t>
      </w:r>
      <w:r>
        <w:rPr>
          <w:spacing w:val="-26"/>
          <w:sz w:val="21"/>
        </w:rPr>
        <w:t xml:space="preserve"> </w:t>
      </w:r>
      <w:r>
        <w:rPr>
          <w:sz w:val="21"/>
        </w:rPr>
        <w:t>the</w:t>
      </w:r>
      <w:r>
        <w:rPr>
          <w:spacing w:val="-32"/>
          <w:sz w:val="21"/>
        </w:rPr>
        <w:t xml:space="preserve"> </w:t>
      </w:r>
      <w:r>
        <w:rPr>
          <w:sz w:val="21"/>
        </w:rPr>
        <w:t>financial</w:t>
      </w:r>
      <w:r>
        <w:rPr>
          <w:spacing w:val="-27"/>
          <w:sz w:val="21"/>
        </w:rPr>
        <w:t xml:space="preserve"> </w:t>
      </w:r>
      <w:r>
        <w:rPr>
          <w:color w:val="0E0E0E"/>
          <w:sz w:val="21"/>
        </w:rPr>
        <w:t>report</w:t>
      </w:r>
      <w:r>
        <w:rPr>
          <w:color w:val="0E0E0E"/>
          <w:spacing w:val="-25"/>
          <w:sz w:val="21"/>
        </w:rPr>
        <w:t xml:space="preserve"> </w:t>
      </w:r>
      <w:r>
        <w:rPr>
          <w:color w:val="131313"/>
          <w:sz w:val="21"/>
        </w:rPr>
        <w:t>as</w:t>
      </w:r>
      <w:r>
        <w:rPr>
          <w:color w:val="131313"/>
          <w:spacing w:val="-25"/>
          <w:sz w:val="21"/>
        </w:rPr>
        <w:t xml:space="preserve"> </w:t>
      </w:r>
      <w:r>
        <w:rPr>
          <w:color w:val="262626"/>
          <w:sz w:val="21"/>
        </w:rPr>
        <w:t>a</w:t>
      </w:r>
      <w:r>
        <w:rPr>
          <w:color w:val="262626"/>
          <w:spacing w:val="-35"/>
          <w:sz w:val="21"/>
        </w:rPr>
        <w:t xml:space="preserve"> </w:t>
      </w:r>
      <w:r>
        <w:rPr>
          <w:color w:val="131313"/>
          <w:sz w:val="21"/>
        </w:rPr>
        <w:t>whole</w:t>
      </w:r>
      <w:r>
        <w:rPr>
          <w:color w:val="131313"/>
          <w:spacing w:val="-25"/>
          <w:sz w:val="21"/>
        </w:rPr>
        <w:t xml:space="preserve"> </w:t>
      </w:r>
      <w:r>
        <w:rPr>
          <w:color w:val="1F1F1F"/>
          <w:sz w:val="21"/>
        </w:rPr>
        <w:t>is</w:t>
      </w:r>
      <w:r>
        <w:rPr>
          <w:color w:val="1F1F1F"/>
          <w:spacing w:val="-33"/>
          <w:sz w:val="21"/>
        </w:rPr>
        <w:t xml:space="preserve"> </w:t>
      </w:r>
      <w:r>
        <w:rPr>
          <w:sz w:val="21"/>
        </w:rPr>
        <w:t>free</w:t>
      </w:r>
      <w:r>
        <w:rPr>
          <w:spacing w:val="-31"/>
          <w:sz w:val="21"/>
        </w:rPr>
        <w:t xml:space="preserve"> </w:t>
      </w:r>
      <w:r>
        <w:rPr>
          <w:color w:val="161616"/>
          <w:sz w:val="21"/>
        </w:rPr>
        <w:t>from</w:t>
      </w:r>
      <w:r>
        <w:rPr>
          <w:color w:val="161616"/>
          <w:spacing w:val="-28"/>
          <w:sz w:val="21"/>
        </w:rPr>
        <w:t xml:space="preserve"> </w:t>
      </w:r>
      <w:r>
        <w:rPr>
          <w:sz w:val="21"/>
        </w:rPr>
        <w:t xml:space="preserve">material misstatement, whether due to </w:t>
      </w:r>
      <w:r>
        <w:rPr>
          <w:color w:val="0E0E0E"/>
          <w:sz w:val="21"/>
        </w:rPr>
        <w:t xml:space="preserve">fraud </w:t>
      </w:r>
      <w:r>
        <w:rPr>
          <w:sz w:val="21"/>
        </w:rPr>
        <w:t>or</w:t>
      </w:r>
      <w:r>
        <w:rPr>
          <w:spacing w:val="-39"/>
          <w:sz w:val="21"/>
        </w:rPr>
        <w:t xml:space="preserve"> </w:t>
      </w:r>
      <w:r>
        <w:rPr>
          <w:sz w:val="21"/>
        </w:rPr>
        <w:t>error</w:t>
      </w:r>
    </w:p>
    <w:p w14:paraId="62613EF2" w14:textId="77777777" w:rsidR="00FA4AA8" w:rsidRDefault="0015611F">
      <w:pPr>
        <w:pStyle w:val="ListParagraph"/>
        <w:numPr>
          <w:ilvl w:val="1"/>
          <w:numId w:val="44"/>
        </w:numPr>
        <w:tabs>
          <w:tab w:val="left" w:pos="1234"/>
          <w:tab w:val="left" w:pos="1235"/>
        </w:tabs>
        <w:spacing w:before="55"/>
        <w:ind w:left="1234" w:hanging="570"/>
        <w:rPr>
          <w:color w:val="0C0C0C"/>
          <w:sz w:val="21"/>
        </w:rPr>
      </w:pPr>
      <w:r>
        <w:rPr>
          <w:color w:val="0F0F0F"/>
          <w:sz w:val="21"/>
        </w:rPr>
        <w:t xml:space="preserve">issue </w:t>
      </w:r>
      <w:r>
        <w:rPr>
          <w:color w:val="111111"/>
          <w:sz w:val="21"/>
        </w:rPr>
        <w:t xml:space="preserve">an </w:t>
      </w:r>
      <w:r>
        <w:rPr>
          <w:sz w:val="21"/>
        </w:rPr>
        <w:t xml:space="preserve">Independent </w:t>
      </w:r>
      <w:r>
        <w:rPr>
          <w:color w:val="131313"/>
          <w:sz w:val="21"/>
        </w:rPr>
        <w:t xml:space="preserve">Auditor's </w:t>
      </w:r>
      <w:r>
        <w:rPr>
          <w:sz w:val="21"/>
        </w:rPr>
        <w:t xml:space="preserve">Report including </w:t>
      </w:r>
      <w:r>
        <w:rPr>
          <w:color w:val="0C0C0C"/>
          <w:sz w:val="21"/>
        </w:rPr>
        <w:t>my</w:t>
      </w:r>
      <w:r>
        <w:rPr>
          <w:color w:val="0C0C0C"/>
          <w:spacing w:val="25"/>
          <w:sz w:val="21"/>
        </w:rPr>
        <w:t xml:space="preserve"> </w:t>
      </w:r>
      <w:r>
        <w:rPr>
          <w:sz w:val="21"/>
        </w:rPr>
        <w:t>opinion.</w:t>
      </w:r>
    </w:p>
    <w:p w14:paraId="47B8AC25" w14:textId="77777777" w:rsidR="00FA4AA8" w:rsidRDefault="00FA4AA8">
      <w:pPr>
        <w:pStyle w:val="BodyText"/>
        <w:spacing w:before="4"/>
        <w:rPr>
          <w:sz w:val="17"/>
        </w:rPr>
      </w:pPr>
    </w:p>
    <w:p w14:paraId="12B0E64E" w14:textId="77777777" w:rsidR="00FA4AA8" w:rsidRDefault="0015611F">
      <w:pPr>
        <w:spacing w:before="1"/>
        <w:ind w:left="669" w:right="619" w:hanging="10"/>
        <w:rPr>
          <w:sz w:val="21"/>
        </w:rPr>
      </w:pPr>
      <w:r>
        <w:rPr>
          <w:sz w:val="21"/>
        </w:rPr>
        <w:t>Reasonable</w:t>
      </w:r>
      <w:r>
        <w:rPr>
          <w:spacing w:val="-19"/>
          <w:sz w:val="21"/>
        </w:rPr>
        <w:t xml:space="preserve"> </w:t>
      </w:r>
      <w:r>
        <w:rPr>
          <w:sz w:val="21"/>
        </w:rPr>
        <w:t>assurance</w:t>
      </w:r>
      <w:r>
        <w:rPr>
          <w:spacing w:val="-26"/>
          <w:sz w:val="21"/>
        </w:rPr>
        <w:t xml:space="preserve"> </w:t>
      </w:r>
      <w:r>
        <w:rPr>
          <w:color w:val="1A1A1A"/>
          <w:sz w:val="21"/>
        </w:rPr>
        <w:t>is</w:t>
      </w:r>
      <w:r>
        <w:rPr>
          <w:color w:val="1A1A1A"/>
          <w:spacing w:val="-32"/>
          <w:sz w:val="21"/>
        </w:rPr>
        <w:t xml:space="preserve"> </w:t>
      </w:r>
      <w:r>
        <w:rPr>
          <w:color w:val="1A1A1A"/>
          <w:sz w:val="21"/>
        </w:rPr>
        <w:t>a</w:t>
      </w:r>
      <w:r>
        <w:rPr>
          <w:color w:val="1A1A1A"/>
          <w:spacing w:val="-32"/>
          <w:sz w:val="21"/>
        </w:rPr>
        <w:t xml:space="preserve"> </w:t>
      </w:r>
      <w:r>
        <w:rPr>
          <w:sz w:val="21"/>
        </w:rPr>
        <w:t>high</w:t>
      </w:r>
      <w:r>
        <w:rPr>
          <w:spacing w:val="-32"/>
          <w:sz w:val="21"/>
        </w:rPr>
        <w:t xml:space="preserve"> </w:t>
      </w:r>
      <w:r>
        <w:rPr>
          <w:color w:val="0C0C0C"/>
          <w:sz w:val="21"/>
        </w:rPr>
        <w:t>level</w:t>
      </w:r>
      <w:r>
        <w:rPr>
          <w:color w:val="0C0C0C"/>
          <w:spacing w:val="-27"/>
          <w:sz w:val="21"/>
        </w:rPr>
        <w:t xml:space="preserve"> </w:t>
      </w:r>
      <w:r>
        <w:rPr>
          <w:color w:val="2B2B2B"/>
          <w:sz w:val="21"/>
        </w:rPr>
        <w:t>of</w:t>
      </w:r>
      <w:r>
        <w:rPr>
          <w:color w:val="2B2B2B"/>
          <w:spacing w:val="-28"/>
          <w:sz w:val="21"/>
        </w:rPr>
        <w:t xml:space="preserve"> </w:t>
      </w:r>
      <w:r>
        <w:rPr>
          <w:sz w:val="21"/>
        </w:rPr>
        <w:t>assurance,</w:t>
      </w:r>
      <w:r>
        <w:rPr>
          <w:spacing w:val="-20"/>
          <w:sz w:val="21"/>
        </w:rPr>
        <w:t xml:space="preserve"> </w:t>
      </w:r>
      <w:r>
        <w:rPr>
          <w:color w:val="0F0F0F"/>
          <w:sz w:val="21"/>
        </w:rPr>
        <w:t>but</w:t>
      </w:r>
      <w:r>
        <w:rPr>
          <w:color w:val="0F0F0F"/>
          <w:spacing w:val="-34"/>
          <w:sz w:val="21"/>
        </w:rPr>
        <w:t xml:space="preserve"> </w:t>
      </w:r>
      <w:r>
        <w:rPr>
          <w:color w:val="131313"/>
          <w:sz w:val="21"/>
        </w:rPr>
        <w:t>does</w:t>
      </w:r>
      <w:r>
        <w:rPr>
          <w:color w:val="131313"/>
          <w:spacing w:val="-28"/>
          <w:sz w:val="21"/>
        </w:rPr>
        <w:t xml:space="preserve"> </w:t>
      </w:r>
      <w:r>
        <w:rPr>
          <w:color w:val="0F0F0F"/>
          <w:sz w:val="21"/>
        </w:rPr>
        <w:t>not</w:t>
      </w:r>
      <w:r>
        <w:rPr>
          <w:color w:val="0F0F0F"/>
          <w:spacing w:val="-31"/>
          <w:sz w:val="21"/>
        </w:rPr>
        <w:t xml:space="preserve"> </w:t>
      </w:r>
      <w:r>
        <w:rPr>
          <w:sz w:val="21"/>
        </w:rPr>
        <w:t>guarantee</w:t>
      </w:r>
      <w:r>
        <w:rPr>
          <w:spacing w:val="-25"/>
          <w:sz w:val="21"/>
        </w:rPr>
        <w:t xml:space="preserve"> </w:t>
      </w:r>
      <w:r>
        <w:rPr>
          <w:color w:val="1A1A1A"/>
          <w:sz w:val="21"/>
        </w:rPr>
        <w:t>an</w:t>
      </w:r>
      <w:r>
        <w:rPr>
          <w:color w:val="1A1A1A"/>
          <w:spacing w:val="-27"/>
          <w:sz w:val="21"/>
        </w:rPr>
        <w:t xml:space="preserve"> </w:t>
      </w:r>
      <w:r>
        <w:rPr>
          <w:color w:val="131313"/>
          <w:sz w:val="21"/>
        </w:rPr>
        <w:t>audit</w:t>
      </w:r>
      <w:r>
        <w:rPr>
          <w:color w:val="131313"/>
          <w:spacing w:val="-33"/>
          <w:sz w:val="21"/>
        </w:rPr>
        <w:t xml:space="preserve"> </w:t>
      </w:r>
      <w:r>
        <w:rPr>
          <w:color w:val="212121"/>
          <w:sz w:val="21"/>
        </w:rPr>
        <w:t>conducted</w:t>
      </w:r>
      <w:r>
        <w:rPr>
          <w:color w:val="212121"/>
          <w:spacing w:val="-24"/>
          <w:sz w:val="21"/>
        </w:rPr>
        <w:t xml:space="preserve"> </w:t>
      </w:r>
      <w:r>
        <w:rPr>
          <w:color w:val="1C1C1C"/>
          <w:sz w:val="21"/>
        </w:rPr>
        <w:t xml:space="preserve">in </w:t>
      </w:r>
      <w:r>
        <w:rPr>
          <w:sz w:val="21"/>
        </w:rPr>
        <w:t>accordance</w:t>
      </w:r>
      <w:r>
        <w:rPr>
          <w:spacing w:val="-13"/>
          <w:sz w:val="21"/>
        </w:rPr>
        <w:t xml:space="preserve"> </w:t>
      </w:r>
      <w:r>
        <w:rPr>
          <w:sz w:val="21"/>
        </w:rPr>
        <w:t>with</w:t>
      </w:r>
      <w:r>
        <w:rPr>
          <w:spacing w:val="-16"/>
          <w:sz w:val="21"/>
        </w:rPr>
        <w:t xml:space="preserve"> </w:t>
      </w:r>
      <w:r>
        <w:rPr>
          <w:sz w:val="21"/>
        </w:rPr>
        <w:t>Australian</w:t>
      </w:r>
      <w:r>
        <w:rPr>
          <w:spacing w:val="-10"/>
          <w:sz w:val="21"/>
        </w:rPr>
        <w:t xml:space="preserve"> </w:t>
      </w:r>
      <w:r>
        <w:rPr>
          <w:sz w:val="21"/>
        </w:rPr>
        <w:t>Auditing</w:t>
      </w:r>
      <w:r>
        <w:rPr>
          <w:spacing w:val="-15"/>
          <w:sz w:val="21"/>
        </w:rPr>
        <w:t xml:space="preserve"> </w:t>
      </w:r>
      <w:r>
        <w:rPr>
          <w:sz w:val="21"/>
        </w:rPr>
        <w:t>Standards</w:t>
      </w:r>
      <w:r>
        <w:rPr>
          <w:spacing w:val="-10"/>
          <w:sz w:val="21"/>
        </w:rPr>
        <w:t xml:space="preserve"> </w:t>
      </w:r>
      <w:r>
        <w:rPr>
          <w:sz w:val="21"/>
        </w:rPr>
        <w:t>will</w:t>
      </w:r>
      <w:r>
        <w:rPr>
          <w:spacing w:val="-22"/>
          <w:sz w:val="21"/>
        </w:rPr>
        <w:t xml:space="preserve"> </w:t>
      </w:r>
      <w:r>
        <w:rPr>
          <w:color w:val="131313"/>
          <w:sz w:val="21"/>
        </w:rPr>
        <w:t>always</w:t>
      </w:r>
      <w:r>
        <w:rPr>
          <w:color w:val="131313"/>
          <w:spacing w:val="-14"/>
          <w:sz w:val="21"/>
        </w:rPr>
        <w:t xml:space="preserve"> </w:t>
      </w:r>
      <w:r>
        <w:rPr>
          <w:sz w:val="21"/>
        </w:rPr>
        <w:t>detect</w:t>
      </w:r>
      <w:r>
        <w:rPr>
          <w:spacing w:val="-13"/>
          <w:sz w:val="21"/>
        </w:rPr>
        <w:t xml:space="preserve"> </w:t>
      </w:r>
      <w:r>
        <w:rPr>
          <w:sz w:val="21"/>
        </w:rPr>
        <w:t>material</w:t>
      </w:r>
      <w:r>
        <w:rPr>
          <w:spacing w:val="-13"/>
          <w:sz w:val="21"/>
        </w:rPr>
        <w:t xml:space="preserve"> </w:t>
      </w:r>
      <w:r>
        <w:rPr>
          <w:sz w:val="21"/>
        </w:rPr>
        <w:t>misstatements.</w:t>
      </w:r>
    </w:p>
    <w:p w14:paraId="277FF02A" w14:textId="77777777" w:rsidR="00FA4AA8" w:rsidRDefault="0015611F">
      <w:pPr>
        <w:ind w:left="662" w:right="915" w:firstLine="2"/>
        <w:rPr>
          <w:sz w:val="21"/>
        </w:rPr>
      </w:pPr>
      <w:r>
        <w:rPr>
          <w:sz w:val="21"/>
        </w:rPr>
        <w:t>Misstatements</w:t>
      </w:r>
      <w:r>
        <w:rPr>
          <w:spacing w:val="-29"/>
          <w:sz w:val="21"/>
        </w:rPr>
        <w:t xml:space="preserve"> </w:t>
      </w:r>
      <w:r>
        <w:rPr>
          <w:sz w:val="21"/>
        </w:rPr>
        <w:t>can</w:t>
      </w:r>
      <w:r>
        <w:rPr>
          <w:spacing w:val="-36"/>
          <w:sz w:val="21"/>
        </w:rPr>
        <w:t xml:space="preserve"> </w:t>
      </w:r>
      <w:r>
        <w:rPr>
          <w:sz w:val="21"/>
        </w:rPr>
        <w:t>arise</w:t>
      </w:r>
      <w:r>
        <w:rPr>
          <w:spacing w:val="-33"/>
          <w:sz w:val="21"/>
        </w:rPr>
        <w:t xml:space="preserve"> </w:t>
      </w:r>
      <w:r>
        <w:rPr>
          <w:color w:val="111111"/>
          <w:sz w:val="21"/>
        </w:rPr>
        <w:t>from</w:t>
      </w:r>
      <w:r>
        <w:rPr>
          <w:color w:val="111111"/>
          <w:spacing w:val="-32"/>
          <w:sz w:val="21"/>
        </w:rPr>
        <w:t xml:space="preserve"> </w:t>
      </w:r>
      <w:r>
        <w:rPr>
          <w:color w:val="111111"/>
          <w:sz w:val="21"/>
        </w:rPr>
        <w:t>fraud</w:t>
      </w:r>
      <w:r>
        <w:rPr>
          <w:color w:val="111111"/>
          <w:spacing w:val="-35"/>
          <w:sz w:val="21"/>
        </w:rPr>
        <w:t xml:space="preserve"> </w:t>
      </w:r>
      <w:r>
        <w:rPr>
          <w:color w:val="1D1D1D"/>
          <w:sz w:val="21"/>
        </w:rPr>
        <w:t>or</w:t>
      </w:r>
      <w:r>
        <w:rPr>
          <w:color w:val="1D1D1D"/>
          <w:spacing w:val="-34"/>
          <w:sz w:val="21"/>
        </w:rPr>
        <w:t xml:space="preserve"> </w:t>
      </w:r>
      <w:r>
        <w:rPr>
          <w:color w:val="0E0E0E"/>
          <w:sz w:val="21"/>
        </w:rPr>
        <w:t>error.</w:t>
      </w:r>
      <w:r>
        <w:rPr>
          <w:color w:val="0E0E0E"/>
          <w:spacing w:val="-31"/>
          <w:sz w:val="21"/>
        </w:rPr>
        <w:t xml:space="preserve"> </w:t>
      </w:r>
      <w:r>
        <w:rPr>
          <w:sz w:val="21"/>
        </w:rPr>
        <w:t>Misstatements</w:t>
      </w:r>
      <w:r>
        <w:rPr>
          <w:spacing w:val="-26"/>
          <w:sz w:val="21"/>
        </w:rPr>
        <w:t xml:space="preserve"> </w:t>
      </w:r>
      <w:r>
        <w:rPr>
          <w:color w:val="0E0E0E"/>
          <w:sz w:val="21"/>
        </w:rPr>
        <w:t>are</w:t>
      </w:r>
      <w:r>
        <w:rPr>
          <w:color w:val="0E0E0E"/>
          <w:spacing w:val="-33"/>
          <w:sz w:val="21"/>
        </w:rPr>
        <w:t xml:space="preserve"> </w:t>
      </w:r>
      <w:r>
        <w:rPr>
          <w:sz w:val="21"/>
        </w:rPr>
        <w:t>considered</w:t>
      </w:r>
      <w:r>
        <w:rPr>
          <w:spacing w:val="-30"/>
          <w:sz w:val="21"/>
        </w:rPr>
        <w:t xml:space="preserve"> </w:t>
      </w:r>
      <w:r>
        <w:rPr>
          <w:sz w:val="21"/>
        </w:rPr>
        <w:t>material</w:t>
      </w:r>
      <w:r>
        <w:rPr>
          <w:spacing w:val="-34"/>
          <w:sz w:val="21"/>
        </w:rPr>
        <w:t xml:space="preserve"> </w:t>
      </w:r>
      <w:r>
        <w:rPr>
          <w:sz w:val="21"/>
        </w:rPr>
        <w:t>if,</w:t>
      </w:r>
      <w:r>
        <w:rPr>
          <w:spacing w:val="-34"/>
          <w:sz w:val="21"/>
        </w:rPr>
        <w:t xml:space="preserve"> </w:t>
      </w:r>
      <w:r>
        <w:rPr>
          <w:sz w:val="21"/>
        </w:rPr>
        <w:t>individually</w:t>
      </w:r>
      <w:r>
        <w:rPr>
          <w:spacing w:val="-24"/>
          <w:sz w:val="21"/>
        </w:rPr>
        <w:t xml:space="preserve"> </w:t>
      </w:r>
      <w:r>
        <w:rPr>
          <w:color w:val="151515"/>
          <w:sz w:val="21"/>
        </w:rPr>
        <w:t xml:space="preserve">or </w:t>
      </w:r>
      <w:r>
        <w:rPr>
          <w:sz w:val="21"/>
        </w:rPr>
        <w:t>in</w:t>
      </w:r>
      <w:r>
        <w:rPr>
          <w:spacing w:val="-26"/>
          <w:sz w:val="21"/>
        </w:rPr>
        <w:t xml:space="preserve"> </w:t>
      </w:r>
      <w:r>
        <w:rPr>
          <w:sz w:val="21"/>
        </w:rPr>
        <w:t>aggregate,</w:t>
      </w:r>
      <w:r>
        <w:rPr>
          <w:spacing w:val="-14"/>
          <w:sz w:val="21"/>
        </w:rPr>
        <w:t xml:space="preserve"> </w:t>
      </w:r>
      <w:r>
        <w:rPr>
          <w:sz w:val="21"/>
        </w:rPr>
        <w:t>they</w:t>
      </w:r>
      <w:r>
        <w:rPr>
          <w:spacing w:val="-18"/>
          <w:sz w:val="21"/>
        </w:rPr>
        <w:t xml:space="preserve"> </w:t>
      </w:r>
      <w:r>
        <w:rPr>
          <w:color w:val="0C0C0C"/>
          <w:sz w:val="21"/>
        </w:rPr>
        <w:t>could</w:t>
      </w:r>
      <w:r>
        <w:rPr>
          <w:color w:val="0C0C0C"/>
          <w:spacing w:val="-24"/>
          <w:sz w:val="21"/>
        </w:rPr>
        <w:t xml:space="preserve"> </w:t>
      </w:r>
      <w:r>
        <w:rPr>
          <w:sz w:val="21"/>
        </w:rPr>
        <w:t>reasonably</w:t>
      </w:r>
      <w:r>
        <w:rPr>
          <w:spacing w:val="-13"/>
          <w:sz w:val="21"/>
        </w:rPr>
        <w:t xml:space="preserve"> </w:t>
      </w:r>
      <w:r>
        <w:rPr>
          <w:color w:val="131313"/>
          <w:sz w:val="21"/>
        </w:rPr>
        <w:t>be</w:t>
      </w:r>
      <w:r>
        <w:rPr>
          <w:color w:val="131313"/>
          <w:spacing w:val="-24"/>
          <w:sz w:val="21"/>
        </w:rPr>
        <w:t xml:space="preserve"> </w:t>
      </w:r>
      <w:r>
        <w:rPr>
          <w:color w:val="0F0F0F"/>
          <w:sz w:val="21"/>
        </w:rPr>
        <w:t>expected</w:t>
      </w:r>
      <w:r>
        <w:rPr>
          <w:color w:val="0F0F0F"/>
          <w:spacing w:val="-20"/>
          <w:sz w:val="21"/>
        </w:rPr>
        <w:t xml:space="preserve"> </w:t>
      </w:r>
      <w:r>
        <w:rPr>
          <w:color w:val="1A1A1A"/>
          <w:sz w:val="21"/>
        </w:rPr>
        <w:t>to</w:t>
      </w:r>
      <w:r>
        <w:rPr>
          <w:color w:val="1A1A1A"/>
          <w:spacing w:val="-28"/>
          <w:sz w:val="21"/>
        </w:rPr>
        <w:t xml:space="preserve"> </w:t>
      </w:r>
      <w:r>
        <w:rPr>
          <w:sz w:val="21"/>
        </w:rPr>
        <w:t>influence</w:t>
      </w:r>
      <w:r>
        <w:rPr>
          <w:spacing w:val="-14"/>
          <w:sz w:val="21"/>
        </w:rPr>
        <w:t xml:space="preserve"> </w:t>
      </w:r>
      <w:r>
        <w:rPr>
          <w:color w:val="161616"/>
          <w:sz w:val="21"/>
        </w:rPr>
        <w:t>the</w:t>
      </w:r>
      <w:r>
        <w:rPr>
          <w:color w:val="161616"/>
          <w:spacing w:val="-22"/>
          <w:sz w:val="21"/>
        </w:rPr>
        <w:t xml:space="preserve"> </w:t>
      </w:r>
      <w:r>
        <w:rPr>
          <w:sz w:val="21"/>
        </w:rPr>
        <w:t>economic</w:t>
      </w:r>
      <w:r>
        <w:rPr>
          <w:spacing w:val="-18"/>
          <w:sz w:val="21"/>
        </w:rPr>
        <w:t xml:space="preserve"> </w:t>
      </w:r>
      <w:r>
        <w:rPr>
          <w:sz w:val="21"/>
        </w:rPr>
        <w:t>decisions</w:t>
      </w:r>
      <w:r>
        <w:rPr>
          <w:spacing w:val="-20"/>
          <w:sz w:val="21"/>
        </w:rPr>
        <w:t xml:space="preserve"> </w:t>
      </w:r>
      <w:r>
        <w:rPr>
          <w:sz w:val="21"/>
        </w:rPr>
        <w:t>users</w:t>
      </w:r>
      <w:r>
        <w:rPr>
          <w:spacing w:val="-22"/>
          <w:sz w:val="21"/>
        </w:rPr>
        <w:t xml:space="preserve"> </w:t>
      </w:r>
      <w:r>
        <w:rPr>
          <w:color w:val="212121"/>
          <w:sz w:val="21"/>
        </w:rPr>
        <w:t xml:space="preserve">take </w:t>
      </w:r>
      <w:r>
        <w:rPr>
          <w:color w:val="0F0F0F"/>
          <w:sz w:val="21"/>
        </w:rPr>
        <w:t xml:space="preserve">based </w:t>
      </w:r>
      <w:r>
        <w:rPr>
          <w:color w:val="0C0C0C"/>
          <w:sz w:val="21"/>
        </w:rPr>
        <w:t xml:space="preserve">on </w:t>
      </w:r>
      <w:r>
        <w:rPr>
          <w:color w:val="161616"/>
          <w:sz w:val="21"/>
        </w:rPr>
        <w:t xml:space="preserve">the </w:t>
      </w:r>
      <w:r>
        <w:rPr>
          <w:sz w:val="21"/>
        </w:rPr>
        <w:t>financial</w:t>
      </w:r>
      <w:r>
        <w:rPr>
          <w:spacing w:val="17"/>
          <w:sz w:val="21"/>
        </w:rPr>
        <w:t xml:space="preserve"> </w:t>
      </w:r>
      <w:r>
        <w:rPr>
          <w:color w:val="131313"/>
          <w:sz w:val="21"/>
        </w:rPr>
        <w:t>report.</w:t>
      </w:r>
    </w:p>
    <w:p w14:paraId="722D4D14" w14:textId="77777777" w:rsidR="00FA4AA8" w:rsidRDefault="0015611F">
      <w:pPr>
        <w:spacing w:before="165"/>
        <w:ind w:left="660" w:right="619" w:firstLine="2"/>
        <w:rPr>
          <w:sz w:val="21"/>
        </w:rPr>
      </w:pPr>
      <w:r>
        <w:rPr>
          <w:color w:val="1F1F1F"/>
          <w:sz w:val="21"/>
        </w:rPr>
        <w:t>A</w:t>
      </w:r>
      <w:r>
        <w:rPr>
          <w:color w:val="1F1F1F"/>
          <w:spacing w:val="-27"/>
          <w:sz w:val="21"/>
        </w:rPr>
        <w:t xml:space="preserve"> </w:t>
      </w:r>
      <w:r>
        <w:rPr>
          <w:sz w:val="21"/>
        </w:rPr>
        <w:t>description</w:t>
      </w:r>
      <w:r>
        <w:rPr>
          <w:spacing w:val="-22"/>
          <w:sz w:val="21"/>
        </w:rPr>
        <w:t xml:space="preserve"> </w:t>
      </w:r>
      <w:r>
        <w:rPr>
          <w:color w:val="1D1D1D"/>
          <w:sz w:val="21"/>
        </w:rPr>
        <w:t>of</w:t>
      </w:r>
      <w:r>
        <w:rPr>
          <w:color w:val="1D1D1D"/>
          <w:spacing w:val="-30"/>
          <w:sz w:val="21"/>
        </w:rPr>
        <w:t xml:space="preserve"> </w:t>
      </w:r>
      <w:r>
        <w:rPr>
          <w:color w:val="1F1F1F"/>
          <w:sz w:val="21"/>
        </w:rPr>
        <w:t>my</w:t>
      </w:r>
      <w:r>
        <w:rPr>
          <w:color w:val="1F1F1F"/>
          <w:spacing w:val="-26"/>
          <w:sz w:val="21"/>
        </w:rPr>
        <w:t xml:space="preserve"> </w:t>
      </w:r>
      <w:r>
        <w:rPr>
          <w:color w:val="0C0C0C"/>
          <w:sz w:val="21"/>
        </w:rPr>
        <w:t>responsibilities</w:t>
      </w:r>
      <w:r>
        <w:rPr>
          <w:color w:val="0C0C0C"/>
          <w:spacing w:val="-27"/>
          <w:sz w:val="21"/>
        </w:rPr>
        <w:t xml:space="preserve"> </w:t>
      </w:r>
      <w:r>
        <w:rPr>
          <w:color w:val="1C1C1C"/>
          <w:sz w:val="21"/>
        </w:rPr>
        <w:t>for</w:t>
      </w:r>
      <w:r>
        <w:rPr>
          <w:color w:val="1C1C1C"/>
          <w:spacing w:val="-25"/>
          <w:sz w:val="21"/>
        </w:rPr>
        <w:t xml:space="preserve"> </w:t>
      </w:r>
      <w:r>
        <w:rPr>
          <w:sz w:val="21"/>
        </w:rPr>
        <w:t>the</w:t>
      </w:r>
      <w:r>
        <w:rPr>
          <w:spacing w:val="-24"/>
          <w:sz w:val="21"/>
        </w:rPr>
        <w:t xml:space="preserve"> </w:t>
      </w:r>
      <w:r>
        <w:rPr>
          <w:sz w:val="21"/>
        </w:rPr>
        <w:t>audit</w:t>
      </w:r>
      <w:r>
        <w:rPr>
          <w:spacing w:val="-22"/>
          <w:sz w:val="21"/>
        </w:rPr>
        <w:t xml:space="preserve"> </w:t>
      </w:r>
      <w:r>
        <w:rPr>
          <w:color w:val="1D1D1D"/>
          <w:sz w:val="21"/>
        </w:rPr>
        <w:t>of</w:t>
      </w:r>
      <w:r>
        <w:rPr>
          <w:color w:val="1D1D1D"/>
          <w:spacing w:val="-26"/>
          <w:sz w:val="21"/>
        </w:rPr>
        <w:t xml:space="preserve"> </w:t>
      </w:r>
      <w:r>
        <w:rPr>
          <w:color w:val="0E0E0E"/>
          <w:sz w:val="21"/>
        </w:rPr>
        <w:t>the</w:t>
      </w:r>
      <w:r>
        <w:rPr>
          <w:color w:val="0E0E0E"/>
          <w:spacing w:val="-22"/>
          <w:sz w:val="21"/>
        </w:rPr>
        <w:t xml:space="preserve"> </w:t>
      </w:r>
      <w:r>
        <w:rPr>
          <w:color w:val="111111"/>
          <w:sz w:val="21"/>
        </w:rPr>
        <w:t>financial</w:t>
      </w:r>
      <w:r>
        <w:rPr>
          <w:color w:val="111111"/>
          <w:spacing w:val="-25"/>
          <w:sz w:val="21"/>
        </w:rPr>
        <w:t xml:space="preserve"> </w:t>
      </w:r>
      <w:r>
        <w:rPr>
          <w:color w:val="0C0C0C"/>
          <w:sz w:val="21"/>
        </w:rPr>
        <w:t>report</w:t>
      </w:r>
      <w:r>
        <w:rPr>
          <w:color w:val="0C0C0C"/>
          <w:spacing w:val="-21"/>
          <w:sz w:val="21"/>
        </w:rPr>
        <w:t xml:space="preserve"> </w:t>
      </w:r>
      <w:r>
        <w:rPr>
          <w:color w:val="161616"/>
          <w:sz w:val="21"/>
        </w:rPr>
        <w:t>is</w:t>
      </w:r>
      <w:r>
        <w:rPr>
          <w:color w:val="161616"/>
          <w:spacing w:val="-30"/>
          <w:sz w:val="21"/>
        </w:rPr>
        <w:t xml:space="preserve"> </w:t>
      </w:r>
      <w:r>
        <w:rPr>
          <w:color w:val="0C0C0C"/>
          <w:sz w:val="21"/>
        </w:rPr>
        <w:t>located</w:t>
      </w:r>
      <w:r>
        <w:rPr>
          <w:color w:val="0C0C0C"/>
          <w:spacing w:val="-23"/>
          <w:sz w:val="21"/>
        </w:rPr>
        <w:t xml:space="preserve"> </w:t>
      </w:r>
      <w:r>
        <w:rPr>
          <w:color w:val="2A2A2A"/>
          <w:sz w:val="21"/>
        </w:rPr>
        <w:t>at</w:t>
      </w:r>
      <w:r>
        <w:rPr>
          <w:color w:val="2A2A2A"/>
          <w:spacing w:val="-23"/>
          <w:sz w:val="21"/>
        </w:rPr>
        <w:t xml:space="preserve"> </w:t>
      </w:r>
      <w:r>
        <w:rPr>
          <w:color w:val="0F0F0F"/>
          <w:sz w:val="21"/>
        </w:rPr>
        <w:t>the</w:t>
      </w:r>
      <w:r>
        <w:rPr>
          <w:color w:val="0F0F0F"/>
          <w:spacing w:val="-22"/>
          <w:sz w:val="21"/>
        </w:rPr>
        <w:t xml:space="preserve"> </w:t>
      </w:r>
      <w:r>
        <w:rPr>
          <w:sz w:val="21"/>
        </w:rPr>
        <w:t>Auditing</w:t>
      </w:r>
      <w:r>
        <w:rPr>
          <w:spacing w:val="-21"/>
          <w:sz w:val="21"/>
        </w:rPr>
        <w:t xml:space="preserve"> </w:t>
      </w:r>
      <w:r>
        <w:rPr>
          <w:color w:val="151515"/>
          <w:sz w:val="21"/>
        </w:rPr>
        <w:t xml:space="preserve">and </w:t>
      </w:r>
      <w:r>
        <w:rPr>
          <w:color w:val="0F0F0F"/>
          <w:sz w:val="21"/>
        </w:rPr>
        <w:t>Assurance</w:t>
      </w:r>
      <w:r>
        <w:rPr>
          <w:color w:val="0F0F0F"/>
          <w:spacing w:val="-30"/>
          <w:sz w:val="21"/>
        </w:rPr>
        <w:t xml:space="preserve"> </w:t>
      </w:r>
      <w:r>
        <w:rPr>
          <w:sz w:val="21"/>
        </w:rPr>
        <w:t>Standards</w:t>
      </w:r>
      <w:r>
        <w:rPr>
          <w:spacing w:val="-32"/>
          <w:sz w:val="21"/>
        </w:rPr>
        <w:t xml:space="preserve"> </w:t>
      </w:r>
      <w:r>
        <w:rPr>
          <w:sz w:val="21"/>
        </w:rPr>
        <w:t>Board</w:t>
      </w:r>
      <w:r>
        <w:rPr>
          <w:spacing w:val="-32"/>
          <w:sz w:val="21"/>
        </w:rPr>
        <w:t xml:space="preserve"> </w:t>
      </w:r>
      <w:r>
        <w:rPr>
          <w:sz w:val="21"/>
        </w:rPr>
        <w:t>website</w:t>
      </w:r>
      <w:r>
        <w:rPr>
          <w:spacing w:val="-36"/>
          <w:sz w:val="21"/>
        </w:rPr>
        <w:t xml:space="preserve"> </w:t>
      </w:r>
      <w:r>
        <w:rPr>
          <w:color w:val="242424"/>
          <w:sz w:val="21"/>
        </w:rPr>
        <w:t>at:</w:t>
      </w:r>
      <w:r>
        <w:rPr>
          <w:color w:val="242424"/>
          <w:spacing w:val="-35"/>
          <w:sz w:val="21"/>
        </w:rPr>
        <w:t xml:space="preserve"> </w:t>
      </w:r>
      <w:hyperlink r:id="rId164">
        <w:r>
          <w:rPr>
            <w:color w:val="111111"/>
            <w:sz w:val="21"/>
            <w:u w:val="single" w:color="606060"/>
          </w:rPr>
          <w:t>www.auasb.qov.au/auditors</w:t>
        </w:r>
        <w:r>
          <w:rPr>
            <w:color w:val="111111"/>
            <w:spacing w:val="-20"/>
            <w:sz w:val="21"/>
            <w:u w:val="single" w:color="606060"/>
          </w:rPr>
          <w:t xml:space="preserve"> </w:t>
        </w:r>
        <w:r>
          <w:rPr>
            <w:sz w:val="21"/>
            <w:u w:val="single" w:color="606060"/>
          </w:rPr>
          <w:t>responsibilities/ar4</w:t>
        </w:r>
        <w:r>
          <w:rPr>
            <w:spacing w:val="-37"/>
            <w:sz w:val="21"/>
            <w:u w:val="single" w:color="606060"/>
          </w:rPr>
          <w:t xml:space="preserve"> </w:t>
        </w:r>
        <w:r>
          <w:rPr>
            <w:color w:val="2A2A2A"/>
            <w:sz w:val="21"/>
            <w:u w:val="single" w:color="606060"/>
          </w:rPr>
          <w:t>pdf,</w:t>
        </w:r>
        <w:r>
          <w:rPr>
            <w:color w:val="2A2A2A"/>
            <w:spacing w:val="-37"/>
            <w:sz w:val="21"/>
            <w:u w:val="single" w:color="606060"/>
          </w:rPr>
          <w:t xml:space="preserve"> </w:t>
        </w:r>
        <w:r>
          <w:rPr>
            <w:color w:val="131313"/>
            <w:sz w:val="21"/>
          </w:rPr>
          <w:t>The</w:t>
        </w:r>
      </w:hyperlink>
      <w:r>
        <w:rPr>
          <w:color w:val="131313"/>
          <w:sz w:val="21"/>
        </w:rPr>
        <w:t xml:space="preserve"> </w:t>
      </w:r>
      <w:r>
        <w:rPr>
          <w:sz w:val="21"/>
        </w:rPr>
        <w:t xml:space="preserve">description forms </w:t>
      </w:r>
      <w:r>
        <w:rPr>
          <w:color w:val="131313"/>
          <w:sz w:val="21"/>
        </w:rPr>
        <w:t xml:space="preserve">part </w:t>
      </w:r>
      <w:r>
        <w:rPr>
          <w:color w:val="111111"/>
          <w:sz w:val="21"/>
        </w:rPr>
        <w:t xml:space="preserve">of </w:t>
      </w:r>
      <w:r>
        <w:rPr>
          <w:color w:val="232323"/>
          <w:sz w:val="21"/>
        </w:rPr>
        <w:t xml:space="preserve">my </w:t>
      </w:r>
      <w:r>
        <w:rPr>
          <w:color w:val="181818"/>
          <w:sz w:val="21"/>
        </w:rPr>
        <w:t>auditor’s</w:t>
      </w:r>
      <w:r>
        <w:rPr>
          <w:color w:val="181818"/>
          <w:spacing w:val="26"/>
          <w:sz w:val="21"/>
        </w:rPr>
        <w:t xml:space="preserve"> </w:t>
      </w:r>
      <w:r>
        <w:rPr>
          <w:sz w:val="21"/>
        </w:rPr>
        <w:t>report.</w:t>
      </w:r>
    </w:p>
    <w:p w14:paraId="4EF2DF97" w14:textId="77777777" w:rsidR="00FA4AA8" w:rsidRDefault="0015611F">
      <w:pPr>
        <w:spacing w:before="164"/>
        <w:ind w:left="651"/>
        <w:rPr>
          <w:sz w:val="21"/>
        </w:rPr>
      </w:pPr>
      <w:r>
        <w:rPr>
          <w:color w:val="161616"/>
          <w:sz w:val="21"/>
        </w:rPr>
        <w:t xml:space="preserve">My </w:t>
      </w:r>
      <w:r>
        <w:rPr>
          <w:sz w:val="21"/>
        </w:rPr>
        <w:t xml:space="preserve">opinion </w:t>
      </w:r>
      <w:r>
        <w:rPr>
          <w:color w:val="131313"/>
          <w:sz w:val="21"/>
        </w:rPr>
        <w:t xml:space="preserve">does </w:t>
      </w:r>
      <w:r>
        <w:rPr>
          <w:color w:val="1A1A1A"/>
          <w:sz w:val="21"/>
        </w:rPr>
        <w:t xml:space="preserve">not </w:t>
      </w:r>
      <w:r>
        <w:rPr>
          <w:sz w:val="21"/>
        </w:rPr>
        <w:t>provide assurance:</w:t>
      </w:r>
    </w:p>
    <w:p w14:paraId="56789047" w14:textId="77777777" w:rsidR="00FA4AA8" w:rsidRDefault="0015611F">
      <w:pPr>
        <w:pStyle w:val="ListParagraph"/>
        <w:numPr>
          <w:ilvl w:val="1"/>
          <w:numId w:val="44"/>
        </w:numPr>
        <w:tabs>
          <w:tab w:val="left" w:pos="1225"/>
          <w:tab w:val="left" w:pos="1226"/>
        </w:tabs>
        <w:spacing w:before="176"/>
        <w:ind w:left="1225" w:hanging="566"/>
        <w:rPr>
          <w:color w:val="1C1C1C"/>
          <w:sz w:val="21"/>
        </w:rPr>
      </w:pPr>
      <w:r>
        <w:rPr>
          <w:color w:val="181818"/>
          <w:sz w:val="21"/>
        </w:rPr>
        <w:t xml:space="preserve">that </w:t>
      </w:r>
      <w:r>
        <w:rPr>
          <w:color w:val="1C1C1C"/>
          <w:sz w:val="21"/>
        </w:rPr>
        <w:t xml:space="preserve">the </w:t>
      </w:r>
      <w:r>
        <w:rPr>
          <w:color w:val="0E0E0E"/>
          <w:sz w:val="21"/>
        </w:rPr>
        <w:t xml:space="preserve">Company </w:t>
      </w:r>
      <w:r>
        <w:rPr>
          <w:color w:val="1C1C1C"/>
          <w:sz w:val="21"/>
        </w:rPr>
        <w:t xml:space="preserve">carried </w:t>
      </w:r>
      <w:r>
        <w:rPr>
          <w:color w:val="2B2B2B"/>
          <w:sz w:val="21"/>
        </w:rPr>
        <w:t xml:space="preserve">out </w:t>
      </w:r>
      <w:r>
        <w:rPr>
          <w:color w:val="1D1D1D"/>
          <w:sz w:val="21"/>
        </w:rPr>
        <w:t xml:space="preserve">its </w:t>
      </w:r>
      <w:r>
        <w:rPr>
          <w:sz w:val="21"/>
        </w:rPr>
        <w:t xml:space="preserve">activities effectively, efficiently </w:t>
      </w:r>
      <w:r>
        <w:rPr>
          <w:color w:val="181818"/>
          <w:sz w:val="21"/>
        </w:rPr>
        <w:t>and</w:t>
      </w:r>
      <w:r>
        <w:rPr>
          <w:color w:val="181818"/>
          <w:spacing w:val="-27"/>
          <w:sz w:val="21"/>
        </w:rPr>
        <w:t xml:space="preserve"> </w:t>
      </w:r>
      <w:r>
        <w:rPr>
          <w:color w:val="131313"/>
          <w:sz w:val="21"/>
        </w:rPr>
        <w:t>economically</w:t>
      </w:r>
    </w:p>
    <w:p w14:paraId="6A43C743" w14:textId="77777777" w:rsidR="00FA4AA8" w:rsidRDefault="0015611F">
      <w:pPr>
        <w:pStyle w:val="ListParagraph"/>
        <w:numPr>
          <w:ilvl w:val="1"/>
          <w:numId w:val="44"/>
        </w:numPr>
        <w:tabs>
          <w:tab w:val="left" w:pos="1225"/>
          <w:tab w:val="left" w:pos="1227"/>
        </w:tabs>
        <w:spacing w:before="56" w:line="242" w:lineRule="auto"/>
        <w:ind w:left="1221" w:right="871" w:hanging="566"/>
        <w:rPr>
          <w:sz w:val="21"/>
        </w:rPr>
      </w:pPr>
      <w:r>
        <w:rPr>
          <w:sz w:val="21"/>
        </w:rPr>
        <w:t>about</w:t>
      </w:r>
      <w:r>
        <w:rPr>
          <w:spacing w:val="-27"/>
          <w:sz w:val="21"/>
        </w:rPr>
        <w:t xml:space="preserve"> </w:t>
      </w:r>
      <w:r>
        <w:rPr>
          <w:color w:val="131313"/>
          <w:sz w:val="21"/>
        </w:rPr>
        <w:t>the</w:t>
      </w:r>
      <w:r>
        <w:rPr>
          <w:color w:val="131313"/>
          <w:spacing w:val="-33"/>
          <w:sz w:val="21"/>
        </w:rPr>
        <w:t xml:space="preserve"> </w:t>
      </w:r>
      <w:r>
        <w:rPr>
          <w:color w:val="151515"/>
          <w:sz w:val="21"/>
        </w:rPr>
        <w:t>security</w:t>
      </w:r>
      <w:r>
        <w:rPr>
          <w:color w:val="151515"/>
          <w:spacing w:val="-25"/>
          <w:sz w:val="21"/>
        </w:rPr>
        <w:t xml:space="preserve"> </w:t>
      </w:r>
      <w:r>
        <w:rPr>
          <w:color w:val="212121"/>
          <w:sz w:val="21"/>
        </w:rPr>
        <w:t>and</w:t>
      </w:r>
      <w:r>
        <w:rPr>
          <w:color w:val="212121"/>
          <w:spacing w:val="-30"/>
          <w:sz w:val="21"/>
        </w:rPr>
        <w:t xml:space="preserve"> </w:t>
      </w:r>
      <w:r>
        <w:rPr>
          <w:color w:val="161616"/>
          <w:sz w:val="21"/>
        </w:rPr>
        <w:t>controls</w:t>
      </w:r>
      <w:r>
        <w:rPr>
          <w:color w:val="161616"/>
          <w:spacing w:val="-26"/>
          <w:sz w:val="21"/>
        </w:rPr>
        <w:t xml:space="preserve"> </w:t>
      </w:r>
      <w:r>
        <w:rPr>
          <w:color w:val="1C1C1C"/>
          <w:sz w:val="21"/>
        </w:rPr>
        <w:t>over</w:t>
      </w:r>
      <w:r>
        <w:rPr>
          <w:color w:val="1C1C1C"/>
          <w:spacing w:val="-28"/>
          <w:sz w:val="21"/>
        </w:rPr>
        <w:t xml:space="preserve"> </w:t>
      </w:r>
      <w:r>
        <w:rPr>
          <w:color w:val="1A1A1A"/>
          <w:sz w:val="21"/>
        </w:rPr>
        <w:t>the</w:t>
      </w:r>
      <w:r>
        <w:rPr>
          <w:color w:val="1A1A1A"/>
          <w:spacing w:val="-31"/>
          <w:sz w:val="21"/>
        </w:rPr>
        <w:t xml:space="preserve"> </w:t>
      </w:r>
      <w:r>
        <w:rPr>
          <w:sz w:val="21"/>
        </w:rPr>
        <w:t>electronic</w:t>
      </w:r>
      <w:r>
        <w:rPr>
          <w:spacing w:val="-25"/>
          <w:sz w:val="21"/>
        </w:rPr>
        <w:t xml:space="preserve"> </w:t>
      </w:r>
      <w:r>
        <w:rPr>
          <w:sz w:val="21"/>
        </w:rPr>
        <w:t>publication</w:t>
      </w:r>
      <w:r>
        <w:rPr>
          <w:spacing w:val="-24"/>
          <w:sz w:val="21"/>
        </w:rPr>
        <w:t xml:space="preserve"> </w:t>
      </w:r>
      <w:r>
        <w:rPr>
          <w:color w:val="212121"/>
          <w:sz w:val="21"/>
        </w:rPr>
        <w:t>of</w:t>
      </w:r>
      <w:r>
        <w:rPr>
          <w:color w:val="212121"/>
          <w:spacing w:val="-32"/>
          <w:sz w:val="21"/>
        </w:rPr>
        <w:t xml:space="preserve"> </w:t>
      </w:r>
      <w:r>
        <w:rPr>
          <w:color w:val="111111"/>
          <w:sz w:val="21"/>
        </w:rPr>
        <w:t>the</w:t>
      </w:r>
      <w:r>
        <w:rPr>
          <w:color w:val="111111"/>
          <w:spacing w:val="-32"/>
          <w:sz w:val="21"/>
        </w:rPr>
        <w:t xml:space="preserve"> </w:t>
      </w:r>
      <w:r>
        <w:rPr>
          <w:sz w:val="21"/>
        </w:rPr>
        <w:t>audited</w:t>
      </w:r>
      <w:r>
        <w:rPr>
          <w:spacing w:val="-26"/>
          <w:sz w:val="21"/>
        </w:rPr>
        <w:t xml:space="preserve"> </w:t>
      </w:r>
      <w:r>
        <w:rPr>
          <w:color w:val="1C1C1C"/>
          <w:sz w:val="21"/>
        </w:rPr>
        <w:t>financial</w:t>
      </w:r>
      <w:r>
        <w:rPr>
          <w:color w:val="1C1C1C"/>
          <w:spacing w:val="-24"/>
          <w:sz w:val="21"/>
        </w:rPr>
        <w:t xml:space="preserve"> </w:t>
      </w:r>
      <w:r>
        <w:rPr>
          <w:color w:val="1A1A1A"/>
          <w:sz w:val="21"/>
        </w:rPr>
        <w:t>report</w:t>
      </w:r>
      <w:r>
        <w:rPr>
          <w:color w:val="1A1A1A"/>
          <w:spacing w:val="-27"/>
          <w:sz w:val="21"/>
        </w:rPr>
        <w:t xml:space="preserve"> </w:t>
      </w:r>
      <w:r>
        <w:rPr>
          <w:sz w:val="21"/>
        </w:rPr>
        <w:t xml:space="preserve">on any website </w:t>
      </w:r>
      <w:r>
        <w:rPr>
          <w:color w:val="111111"/>
          <w:sz w:val="21"/>
        </w:rPr>
        <w:t xml:space="preserve">where </w:t>
      </w:r>
      <w:r>
        <w:rPr>
          <w:color w:val="131313"/>
          <w:sz w:val="21"/>
        </w:rPr>
        <w:t xml:space="preserve">it </w:t>
      </w:r>
      <w:r>
        <w:rPr>
          <w:color w:val="0C0C0C"/>
          <w:sz w:val="21"/>
        </w:rPr>
        <w:t xml:space="preserve">may </w:t>
      </w:r>
      <w:r>
        <w:rPr>
          <w:color w:val="262626"/>
          <w:sz w:val="21"/>
        </w:rPr>
        <w:t>be</w:t>
      </w:r>
      <w:r>
        <w:rPr>
          <w:color w:val="262626"/>
          <w:spacing w:val="1"/>
          <w:sz w:val="21"/>
        </w:rPr>
        <w:t xml:space="preserve"> </w:t>
      </w:r>
      <w:r>
        <w:rPr>
          <w:sz w:val="21"/>
        </w:rPr>
        <w:t>presented</w:t>
      </w:r>
    </w:p>
    <w:p w14:paraId="45403C84" w14:textId="77777777" w:rsidR="00FA4AA8" w:rsidRDefault="0015611F">
      <w:pPr>
        <w:pStyle w:val="ListParagraph"/>
        <w:numPr>
          <w:ilvl w:val="1"/>
          <w:numId w:val="44"/>
        </w:numPr>
        <w:tabs>
          <w:tab w:val="left" w:pos="1221"/>
          <w:tab w:val="left" w:pos="1222"/>
        </w:tabs>
        <w:spacing w:before="54"/>
        <w:ind w:left="1221" w:hanging="566"/>
        <w:rPr>
          <w:sz w:val="21"/>
        </w:rPr>
      </w:pPr>
      <w:r>
        <w:rPr>
          <w:color w:val="131313"/>
          <w:sz w:val="21"/>
        </w:rPr>
        <w:t>about</w:t>
      </w:r>
      <w:r>
        <w:rPr>
          <w:color w:val="131313"/>
          <w:spacing w:val="-16"/>
          <w:sz w:val="21"/>
        </w:rPr>
        <w:t xml:space="preserve"> </w:t>
      </w:r>
      <w:r>
        <w:rPr>
          <w:color w:val="0C0C0C"/>
          <w:sz w:val="21"/>
        </w:rPr>
        <w:t>any</w:t>
      </w:r>
      <w:r>
        <w:rPr>
          <w:color w:val="0C0C0C"/>
          <w:spacing w:val="-13"/>
          <w:sz w:val="21"/>
        </w:rPr>
        <w:t xml:space="preserve"> </w:t>
      </w:r>
      <w:r>
        <w:rPr>
          <w:sz w:val="21"/>
        </w:rPr>
        <w:t>other</w:t>
      </w:r>
      <w:r>
        <w:rPr>
          <w:spacing w:val="-5"/>
          <w:sz w:val="21"/>
        </w:rPr>
        <w:t xml:space="preserve"> </w:t>
      </w:r>
      <w:r>
        <w:rPr>
          <w:sz w:val="21"/>
        </w:rPr>
        <w:t>information</w:t>
      </w:r>
      <w:r>
        <w:rPr>
          <w:spacing w:val="-3"/>
          <w:sz w:val="21"/>
        </w:rPr>
        <w:t xml:space="preserve"> </w:t>
      </w:r>
      <w:r>
        <w:rPr>
          <w:color w:val="111111"/>
          <w:sz w:val="21"/>
        </w:rPr>
        <w:t>which</w:t>
      </w:r>
      <w:r>
        <w:rPr>
          <w:color w:val="111111"/>
          <w:spacing w:val="-15"/>
          <w:sz w:val="21"/>
        </w:rPr>
        <w:t xml:space="preserve"> </w:t>
      </w:r>
      <w:r>
        <w:rPr>
          <w:color w:val="1A1A1A"/>
          <w:sz w:val="21"/>
        </w:rPr>
        <w:t>may</w:t>
      </w:r>
      <w:r>
        <w:rPr>
          <w:color w:val="1A1A1A"/>
          <w:spacing w:val="-10"/>
          <w:sz w:val="21"/>
        </w:rPr>
        <w:t xml:space="preserve"> </w:t>
      </w:r>
      <w:r>
        <w:rPr>
          <w:color w:val="1D1D1D"/>
          <w:sz w:val="21"/>
        </w:rPr>
        <w:t>have</w:t>
      </w:r>
      <w:r>
        <w:rPr>
          <w:color w:val="1D1D1D"/>
          <w:spacing w:val="-13"/>
          <w:sz w:val="21"/>
        </w:rPr>
        <w:t xml:space="preserve"> </w:t>
      </w:r>
      <w:r>
        <w:rPr>
          <w:color w:val="1F1F1F"/>
          <w:sz w:val="21"/>
        </w:rPr>
        <w:t>been</w:t>
      </w:r>
      <w:r>
        <w:rPr>
          <w:color w:val="1F1F1F"/>
          <w:spacing w:val="-7"/>
          <w:sz w:val="21"/>
        </w:rPr>
        <w:t xml:space="preserve"> </w:t>
      </w:r>
      <w:r w:rsidR="006C5E68">
        <w:rPr>
          <w:color w:val="0F0F0F"/>
          <w:sz w:val="21"/>
        </w:rPr>
        <w:t>hyperlinked</w:t>
      </w:r>
      <w:r>
        <w:rPr>
          <w:color w:val="0F0F0F"/>
          <w:spacing w:val="3"/>
          <w:sz w:val="21"/>
        </w:rPr>
        <w:t xml:space="preserve"> </w:t>
      </w:r>
      <w:r>
        <w:rPr>
          <w:color w:val="161616"/>
          <w:sz w:val="21"/>
        </w:rPr>
        <w:t>to/from</w:t>
      </w:r>
      <w:r>
        <w:rPr>
          <w:color w:val="161616"/>
          <w:spacing w:val="1"/>
          <w:sz w:val="21"/>
        </w:rPr>
        <w:t xml:space="preserve"> </w:t>
      </w:r>
      <w:r>
        <w:rPr>
          <w:color w:val="262626"/>
          <w:sz w:val="21"/>
        </w:rPr>
        <w:t>the</w:t>
      </w:r>
      <w:r>
        <w:rPr>
          <w:color w:val="262626"/>
          <w:spacing w:val="-10"/>
          <w:sz w:val="21"/>
        </w:rPr>
        <w:t xml:space="preserve"> </w:t>
      </w:r>
      <w:r>
        <w:rPr>
          <w:sz w:val="21"/>
        </w:rPr>
        <w:t>financial</w:t>
      </w:r>
      <w:r>
        <w:rPr>
          <w:spacing w:val="-5"/>
          <w:sz w:val="21"/>
        </w:rPr>
        <w:t xml:space="preserve"> </w:t>
      </w:r>
      <w:r>
        <w:rPr>
          <w:sz w:val="21"/>
        </w:rPr>
        <w:t>report.</w:t>
      </w:r>
    </w:p>
    <w:p w14:paraId="4C5E725D" w14:textId="77777777" w:rsidR="00FA4AA8" w:rsidRDefault="00FA4AA8">
      <w:pPr>
        <w:pStyle w:val="BodyText"/>
        <w:rPr>
          <w:sz w:val="20"/>
        </w:rPr>
      </w:pPr>
    </w:p>
    <w:p w14:paraId="5E562E87" w14:textId="77777777" w:rsidR="00FA4AA8" w:rsidRDefault="00FA4AA8">
      <w:pPr>
        <w:pStyle w:val="BodyText"/>
        <w:rPr>
          <w:sz w:val="20"/>
        </w:rPr>
      </w:pPr>
    </w:p>
    <w:p w14:paraId="2B43DB98" w14:textId="77777777" w:rsidR="00FA4AA8" w:rsidRDefault="0015611F">
      <w:pPr>
        <w:pStyle w:val="BodyText"/>
        <w:spacing w:before="4"/>
        <w:rPr>
          <w:sz w:val="15"/>
        </w:rPr>
      </w:pPr>
      <w:r>
        <w:rPr>
          <w:noProof/>
          <w:lang w:val="en-AU" w:eastAsia="en-AU"/>
        </w:rPr>
        <w:drawing>
          <wp:anchor distT="0" distB="0" distL="0" distR="0" simplePos="0" relativeHeight="131" behindDoc="0" locked="0" layoutInCell="1" allowOverlap="1" wp14:anchorId="2EF421BE" wp14:editId="66BF3962">
            <wp:simplePos x="0" y="0"/>
            <wp:positionH relativeFrom="page">
              <wp:posOffset>822960</wp:posOffset>
            </wp:positionH>
            <wp:positionV relativeFrom="paragraph">
              <wp:posOffset>137349</wp:posOffset>
            </wp:positionV>
            <wp:extent cx="2151888" cy="460248"/>
            <wp:effectExtent l="0" t="0" r="0" b="0"/>
            <wp:wrapTopAndBottom/>
            <wp:docPr id="75"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1.jpeg"/>
                    <pic:cNvPicPr/>
                  </pic:nvPicPr>
                  <pic:blipFill>
                    <a:blip r:embed="rId165" cstate="print"/>
                    <a:stretch>
                      <a:fillRect/>
                    </a:stretch>
                  </pic:blipFill>
                  <pic:spPr>
                    <a:xfrm>
                      <a:off x="0" y="0"/>
                      <a:ext cx="2151888" cy="460248"/>
                    </a:xfrm>
                    <a:prstGeom prst="rect">
                      <a:avLst/>
                    </a:prstGeom>
                  </pic:spPr>
                </pic:pic>
              </a:graphicData>
            </a:graphic>
          </wp:anchor>
        </w:drawing>
      </w:r>
    </w:p>
    <w:p w14:paraId="654C14EF" w14:textId="77777777" w:rsidR="00FA4AA8" w:rsidRDefault="0015611F">
      <w:pPr>
        <w:spacing w:before="9"/>
        <w:ind w:left="657" w:right="7603" w:hanging="2"/>
        <w:rPr>
          <w:sz w:val="21"/>
        </w:rPr>
      </w:pPr>
      <w:r>
        <w:rPr>
          <w:sz w:val="21"/>
        </w:rPr>
        <w:t xml:space="preserve">Margaret </w:t>
      </w:r>
      <w:r>
        <w:rPr>
          <w:color w:val="111111"/>
          <w:sz w:val="21"/>
        </w:rPr>
        <w:t xml:space="preserve">Crawford </w:t>
      </w:r>
      <w:r>
        <w:rPr>
          <w:w w:val="95"/>
          <w:sz w:val="21"/>
        </w:rPr>
        <w:t xml:space="preserve">Auditor-General </w:t>
      </w:r>
      <w:r>
        <w:rPr>
          <w:color w:val="0C0C0C"/>
          <w:w w:val="95"/>
          <w:sz w:val="21"/>
        </w:rPr>
        <w:t xml:space="preserve">for </w:t>
      </w:r>
      <w:r>
        <w:rPr>
          <w:color w:val="1F1F1F"/>
          <w:w w:val="95"/>
          <w:sz w:val="21"/>
        </w:rPr>
        <w:t>NSW</w:t>
      </w:r>
    </w:p>
    <w:p w14:paraId="32CBEFF0" w14:textId="77777777" w:rsidR="00FA4AA8" w:rsidRDefault="0015611F">
      <w:pPr>
        <w:spacing w:before="170"/>
        <w:ind w:left="652" w:right="8372" w:firstLine="392"/>
        <w:rPr>
          <w:sz w:val="21"/>
        </w:rPr>
      </w:pPr>
      <w:r>
        <w:rPr>
          <w:w w:val="95"/>
          <w:sz w:val="21"/>
        </w:rPr>
        <w:t xml:space="preserve">March </w:t>
      </w:r>
      <w:r>
        <w:rPr>
          <w:color w:val="131313"/>
          <w:w w:val="95"/>
          <w:sz w:val="21"/>
        </w:rPr>
        <w:t xml:space="preserve">2019 </w:t>
      </w:r>
      <w:r>
        <w:rPr>
          <w:color w:val="111111"/>
          <w:sz w:val="21"/>
        </w:rPr>
        <w:t>SYDNEY</w:t>
      </w:r>
    </w:p>
    <w:p w14:paraId="54C09F3B" w14:textId="77777777" w:rsidR="00FA4AA8" w:rsidRDefault="00FA4AA8">
      <w:pPr>
        <w:rPr>
          <w:sz w:val="21"/>
        </w:rPr>
        <w:sectPr w:rsidR="00FA4AA8">
          <w:headerReference w:type="default" r:id="rId166"/>
          <w:footerReference w:type="default" r:id="rId167"/>
          <w:pgSz w:w="11910" w:h="16850"/>
          <w:pgMar w:top="1280" w:right="700" w:bottom="720" w:left="720" w:header="0" w:footer="523" w:gutter="0"/>
          <w:pgNumType w:start="165"/>
          <w:cols w:space="720"/>
        </w:sectPr>
      </w:pPr>
    </w:p>
    <w:p w14:paraId="7CA97A7D" w14:textId="77777777" w:rsidR="00FA4AA8" w:rsidRDefault="00FA4AA8">
      <w:pPr>
        <w:pStyle w:val="BodyText"/>
        <w:rPr>
          <w:sz w:val="20"/>
        </w:rPr>
      </w:pPr>
    </w:p>
    <w:p w14:paraId="0CCD085F" w14:textId="77777777" w:rsidR="00FA4AA8" w:rsidRDefault="00FA4AA8">
      <w:pPr>
        <w:pStyle w:val="BodyText"/>
        <w:rPr>
          <w:sz w:val="20"/>
        </w:rPr>
      </w:pPr>
    </w:p>
    <w:p w14:paraId="30C6DAD6" w14:textId="77777777" w:rsidR="00FA4AA8" w:rsidRDefault="00FA4AA8">
      <w:pPr>
        <w:pStyle w:val="BodyText"/>
        <w:rPr>
          <w:sz w:val="20"/>
        </w:rPr>
      </w:pPr>
    </w:p>
    <w:p w14:paraId="57C611AB" w14:textId="77777777" w:rsidR="00FA4AA8" w:rsidRDefault="00FA4AA8">
      <w:pPr>
        <w:pStyle w:val="BodyText"/>
        <w:rPr>
          <w:sz w:val="20"/>
        </w:rPr>
      </w:pPr>
    </w:p>
    <w:p w14:paraId="64A0A35D" w14:textId="77777777" w:rsidR="00FA4AA8" w:rsidRDefault="00FA4AA8">
      <w:pPr>
        <w:pStyle w:val="BodyText"/>
        <w:rPr>
          <w:sz w:val="20"/>
        </w:rPr>
      </w:pPr>
    </w:p>
    <w:p w14:paraId="01A80340" w14:textId="77777777" w:rsidR="00FA4AA8" w:rsidRDefault="00FA4AA8">
      <w:pPr>
        <w:pStyle w:val="BodyText"/>
        <w:rPr>
          <w:sz w:val="20"/>
        </w:rPr>
      </w:pPr>
    </w:p>
    <w:p w14:paraId="25916746" w14:textId="77777777" w:rsidR="00FA4AA8" w:rsidRDefault="00FA4AA8">
      <w:pPr>
        <w:pStyle w:val="BodyText"/>
        <w:rPr>
          <w:sz w:val="20"/>
        </w:rPr>
      </w:pPr>
    </w:p>
    <w:p w14:paraId="5633A4AC" w14:textId="77777777" w:rsidR="00FA4AA8" w:rsidRDefault="00FA4AA8">
      <w:pPr>
        <w:pStyle w:val="BodyText"/>
        <w:rPr>
          <w:sz w:val="20"/>
        </w:rPr>
      </w:pPr>
    </w:p>
    <w:p w14:paraId="16414154" w14:textId="77777777" w:rsidR="00FA4AA8" w:rsidRDefault="00FA4AA8">
      <w:pPr>
        <w:pStyle w:val="BodyText"/>
        <w:rPr>
          <w:sz w:val="20"/>
        </w:rPr>
      </w:pPr>
    </w:p>
    <w:p w14:paraId="6073DF6C" w14:textId="77777777" w:rsidR="00FA4AA8" w:rsidRDefault="00FA4AA8">
      <w:pPr>
        <w:pStyle w:val="BodyText"/>
        <w:rPr>
          <w:sz w:val="20"/>
        </w:rPr>
      </w:pPr>
    </w:p>
    <w:p w14:paraId="584F1D02" w14:textId="77777777" w:rsidR="00FA4AA8" w:rsidRDefault="00FA4AA8">
      <w:pPr>
        <w:pStyle w:val="BodyText"/>
        <w:rPr>
          <w:sz w:val="20"/>
        </w:rPr>
      </w:pPr>
    </w:p>
    <w:p w14:paraId="6E18A958" w14:textId="77777777" w:rsidR="00FA4AA8" w:rsidRDefault="00FA4AA8">
      <w:pPr>
        <w:pStyle w:val="BodyText"/>
        <w:rPr>
          <w:sz w:val="20"/>
        </w:rPr>
      </w:pPr>
    </w:p>
    <w:p w14:paraId="43258A15" w14:textId="77777777" w:rsidR="00FA4AA8" w:rsidRDefault="00FA4AA8">
      <w:pPr>
        <w:pStyle w:val="BodyText"/>
        <w:rPr>
          <w:sz w:val="20"/>
        </w:rPr>
      </w:pPr>
    </w:p>
    <w:p w14:paraId="122F1DE0" w14:textId="77777777" w:rsidR="00FA4AA8" w:rsidRDefault="00FA4AA8">
      <w:pPr>
        <w:pStyle w:val="BodyText"/>
        <w:rPr>
          <w:sz w:val="20"/>
        </w:rPr>
      </w:pPr>
    </w:p>
    <w:p w14:paraId="3499D079" w14:textId="77777777" w:rsidR="00FA4AA8" w:rsidRDefault="00FA4AA8">
      <w:pPr>
        <w:pStyle w:val="BodyText"/>
        <w:rPr>
          <w:sz w:val="20"/>
        </w:rPr>
      </w:pPr>
    </w:p>
    <w:p w14:paraId="0BDF9158" w14:textId="77777777" w:rsidR="00FA4AA8" w:rsidRDefault="00FA4AA8">
      <w:pPr>
        <w:pStyle w:val="BodyText"/>
        <w:rPr>
          <w:sz w:val="20"/>
        </w:rPr>
      </w:pPr>
    </w:p>
    <w:p w14:paraId="1AD79937" w14:textId="77777777" w:rsidR="00FA4AA8" w:rsidRDefault="00FA4AA8">
      <w:pPr>
        <w:pStyle w:val="BodyText"/>
        <w:rPr>
          <w:sz w:val="20"/>
        </w:rPr>
      </w:pPr>
    </w:p>
    <w:p w14:paraId="5C1D87F4" w14:textId="77777777" w:rsidR="00FA4AA8" w:rsidRDefault="00FA4AA8">
      <w:pPr>
        <w:pStyle w:val="BodyText"/>
        <w:rPr>
          <w:sz w:val="20"/>
        </w:rPr>
      </w:pPr>
    </w:p>
    <w:p w14:paraId="73F58596" w14:textId="77777777" w:rsidR="00FA4AA8" w:rsidRDefault="00FA4AA8">
      <w:pPr>
        <w:pStyle w:val="BodyText"/>
        <w:rPr>
          <w:sz w:val="20"/>
        </w:rPr>
      </w:pPr>
    </w:p>
    <w:p w14:paraId="2D12C58D" w14:textId="77777777" w:rsidR="00FA4AA8" w:rsidRDefault="00FA4AA8">
      <w:pPr>
        <w:pStyle w:val="BodyText"/>
        <w:rPr>
          <w:sz w:val="20"/>
        </w:rPr>
      </w:pPr>
    </w:p>
    <w:p w14:paraId="44318804" w14:textId="77777777" w:rsidR="00FA4AA8" w:rsidRDefault="00FA4AA8">
      <w:pPr>
        <w:pStyle w:val="BodyText"/>
        <w:rPr>
          <w:sz w:val="20"/>
        </w:rPr>
      </w:pPr>
    </w:p>
    <w:p w14:paraId="3B3BDA78" w14:textId="77777777" w:rsidR="00FA4AA8" w:rsidRDefault="00FA4AA8">
      <w:pPr>
        <w:pStyle w:val="BodyText"/>
        <w:rPr>
          <w:sz w:val="20"/>
        </w:rPr>
      </w:pPr>
    </w:p>
    <w:p w14:paraId="0238FF58" w14:textId="77777777" w:rsidR="00FA4AA8" w:rsidRDefault="00FA4AA8">
      <w:pPr>
        <w:pStyle w:val="BodyText"/>
        <w:rPr>
          <w:sz w:val="20"/>
        </w:rPr>
      </w:pPr>
    </w:p>
    <w:p w14:paraId="5FA88CF6" w14:textId="77777777" w:rsidR="00FA4AA8" w:rsidRDefault="00FA4AA8">
      <w:pPr>
        <w:pStyle w:val="BodyText"/>
        <w:spacing w:before="10"/>
        <w:rPr>
          <w:sz w:val="17"/>
        </w:rPr>
      </w:pPr>
    </w:p>
    <w:p w14:paraId="6034A9D6" w14:textId="77777777" w:rsidR="00FA4AA8" w:rsidRDefault="0015611F">
      <w:pPr>
        <w:pStyle w:val="BodyText"/>
        <w:spacing w:before="94"/>
        <w:ind w:left="3810" w:right="3846"/>
        <w:jc w:val="center"/>
      </w:pPr>
      <w:r>
        <w:t>This page is intentionally blank</w:t>
      </w:r>
    </w:p>
    <w:p w14:paraId="5F6459DF" w14:textId="77777777" w:rsidR="00FA4AA8" w:rsidRDefault="00FA4AA8">
      <w:pPr>
        <w:jc w:val="center"/>
        <w:sectPr w:rsidR="00FA4AA8">
          <w:headerReference w:type="default" r:id="rId168"/>
          <w:footerReference w:type="default" r:id="rId169"/>
          <w:pgSz w:w="11910" w:h="16840"/>
          <w:pgMar w:top="1580" w:right="862" w:bottom="720" w:left="900" w:header="0" w:footer="523" w:gutter="0"/>
          <w:pgNumType w:start="166"/>
          <w:cols w:space="720"/>
        </w:sectPr>
      </w:pPr>
    </w:p>
    <w:p w14:paraId="27D8A5C4" w14:textId="77777777" w:rsidR="00FA4AA8" w:rsidRDefault="00FA4AA8">
      <w:pPr>
        <w:pStyle w:val="BodyText"/>
        <w:rPr>
          <w:sz w:val="20"/>
        </w:rPr>
      </w:pPr>
    </w:p>
    <w:p w14:paraId="3D5C1D4E" w14:textId="77777777" w:rsidR="00FA4AA8" w:rsidRDefault="00FA4AA8">
      <w:pPr>
        <w:pStyle w:val="BodyText"/>
        <w:rPr>
          <w:sz w:val="20"/>
        </w:rPr>
      </w:pPr>
    </w:p>
    <w:p w14:paraId="11DD0FA8" w14:textId="77777777" w:rsidR="00FA4AA8" w:rsidRDefault="00FA4AA8">
      <w:pPr>
        <w:pStyle w:val="BodyText"/>
        <w:rPr>
          <w:sz w:val="20"/>
        </w:rPr>
      </w:pPr>
    </w:p>
    <w:p w14:paraId="68AE5D18" w14:textId="77777777" w:rsidR="00FA4AA8" w:rsidRDefault="00FA4AA8">
      <w:pPr>
        <w:pStyle w:val="BodyText"/>
        <w:rPr>
          <w:sz w:val="20"/>
        </w:rPr>
      </w:pPr>
    </w:p>
    <w:p w14:paraId="04366359" w14:textId="77777777" w:rsidR="00FA4AA8" w:rsidRDefault="00FA4AA8">
      <w:pPr>
        <w:pStyle w:val="BodyText"/>
        <w:rPr>
          <w:sz w:val="20"/>
        </w:rPr>
      </w:pPr>
    </w:p>
    <w:p w14:paraId="358E09F3" w14:textId="77777777" w:rsidR="00FA4AA8" w:rsidRDefault="00FA4AA8">
      <w:pPr>
        <w:pStyle w:val="BodyText"/>
        <w:rPr>
          <w:sz w:val="20"/>
        </w:rPr>
      </w:pPr>
    </w:p>
    <w:p w14:paraId="25208718" w14:textId="77777777" w:rsidR="00FA4AA8" w:rsidRDefault="00FA4AA8">
      <w:pPr>
        <w:pStyle w:val="BodyText"/>
        <w:rPr>
          <w:sz w:val="20"/>
        </w:rPr>
      </w:pPr>
    </w:p>
    <w:p w14:paraId="6BEB790F" w14:textId="77777777" w:rsidR="00FA4AA8" w:rsidRDefault="00FA4AA8">
      <w:pPr>
        <w:pStyle w:val="BodyText"/>
        <w:rPr>
          <w:sz w:val="20"/>
        </w:rPr>
      </w:pPr>
    </w:p>
    <w:p w14:paraId="43903061" w14:textId="77777777" w:rsidR="00FA4AA8" w:rsidRDefault="00FA4AA8">
      <w:pPr>
        <w:pStyle w:val="BodyText"/>
        <w:rPr>
          <w:sz w:val="20"/>
        </w:rPr>
      </w:pPr>
    </w:p>
    <w:p w14:paraId="0D9CE3DD" w14:textId="77777777" w:rsidR="00FA4AA8" w:rsidRDefault="00FA4AA8">
      <w:pPr>
        <w:pStyle w:val="BodyText"/>
        <w:rPr>
          <w:sz w:val="20"/>
        </w:rPr>
      </w:pPr>
    </w:p>
    <w:p w14:paraId="56DE5AF8" w14:textId="77777777" w:rsidR="00FA4AA8" w:rsidRDefault="00FA4AA8">
      <w:pPr>
        <w:pStyle w:val="BodyText"/>
        <w:rPr>
          <w:sz w:val="20"/>
        </w:rPr>
      </w:pPr>
    </w:p>
    <w:p w14:paraId="2B54B316" w14:textId="77777777" w:rsidR="00FA4AA8" w:rsidRDefault="00FA4AA8">
      <w:pPr>
        <w:pStyle w:val="BodyText"/>
        <w:rPr>
          <w:sz w:val="20"/>
        </w:rPr>
      </w:pPr>
    </w:p>
    <w:p w14:paraId="6B672868" w14:textId="77777777" w:rsidR="00FA4AA8" w:rsidRDefault="00FA4AA8">
      <w:pPr>
        <w:pStyle w:val="BodyText"/>
        <w:rPr>
          <w:sz w:val="20"/>
        </w:rPr>
      </w:pPr>
    </w:p>
    <w:p w14:paraId="6F8620AE" w14:textId="77777777" w:rsidR="00FA4AA8" w:rsidRDefault="00FA4AA8">
      <w:pPr>
        <w:pStyle w:val="BodyText"/>
        <w:rPr>
          <w:sz w:val="20"/>
        </w:rPr>
      </w:pPr>
    </w:p>
    <w:p w14:paraId="07A099A4" w14:textId="77777777" w:rsidR="00FA4AA8" w:rsidRDefault="00FA4AA8">
      <w:pPr>
        <w:pStyle w:val="BodyText"/>
        <w:rPr>
          <w:sz w:val="20"/>
        </w:rPr>
      </w:pPr>
    </w:p>
    <w:p w14:paraId="3732E7BE" w14:textId="77777777" w:rsidR="00FA4AA8" w:rsidRDefault="00FA4AA8">
      <w:pPr>
        <w:pStyle w:val="BodyText"/>
        <w:rPr>
          <w:sz w:val="20"/>
        </w:rPr>
      </w:pPr>
    </w:p>
    <w:p w14:paraId="36F14295" w14:textId="77777777" w:rsidR="00FA4AA8" w:rsidRDefault="00FA4AA8">
      <w:pPr>
        <w:pStyle w:val="BodyText"/>
        <w:rPr>
          <w:sz w:val="20"/>
        </w:rPr>
      </w:pPr>
    </w:p>
    <w:p w14:paraId="609430CF" w14:textId="77777777" w:rsidR="00FA4AA8" w:rsidRDefault="00FA4AA8">
      <w:pPr>
        <w:pStyle w:val="BodyText"/>
        <w:rPr>
          <w:sz w:val="20"/>
        </w:rPr>
      </w:pPr>
    </w:p>
    <w:p w14:paraId="30215782" w14:textId="77777777" w:rsidR="00FA4AA8" w:rsidRDefault="00FA4AA8">
      <w:pPr>
        <w:pStyle w:val="BodyText"/>
        <w:spacing w:before="7"/>
        <w:rPr>
          <w:sz w:val="24"/>
        </w:rPr>
      </w:pPr>
    </w:p>
    <w:p w14:paraId="0A26D5B2" w14:textId="77777777" w:rsidR="00FA4AA8" w:rsidRDefault="0015611F">
      <w:pPr>
        <w:pStyle w:val="Heading1"/>
        <w:ind w:right="1374"/>
      </w:pPr>
      <w:bookmarkStart w:id="214" w:name="6._Whitlam_Institute_Limited_-_2018_Fina"/>
      <w:bookmarkEnd w:id="214"/>
      <w:r>
        <w:t>Whitlam Institute within Western Sydney University Limited</w:t>
      </w:r>
    </w:p>
    <w:p w14:paraId="0EE0BB60" w14:textId="77777777" w:rsidR="00FA4AA8" w:rsidRDefault="0015611F">
      <w:pPr>
        <w:ind w:left="107"/>
        <w:rPr>
          <w:b/>
          <w:sz w:val="20"/>
        </w:rPr>
      </w:pPr>
      <w:r>
        <w:rPr>
          <w:b/>
          <w:sz w:val="20"/>
        </w:rPr>
        <w:t>ABN: 50 100 342 309</w:t>
      </w:r>
    </w:p>
    <w:p w14:paraId="5E80FDB5" w14:textId="77777777" w:rsidR="00FA4AA8" w:rsidRDefault="00FA4AA8">
      <w:pPr>
        <w:pStyle w:val="BodyText"/>
        <w:rPr>
          <w:b/>
          <w:sz w:val="22"/>
        </w:rPr>
      </w:pPr>
    </w:p>
    <w:p w14:paraId="1591EC90" w14:textId="77777777" w:rsidR="00FA4AA8" w:rsidRDefault="00FA4AA8">
      <w:pPr>
        <w:pStyle w:val="BodyText"/>
        <w:rPr>
          <w:b/>
          <w:sz w:val="22"/>
        </w:rPr>
      </w:pPr>
    </w:p>
    <w:p w14:paraId="1A2D01B1" w14:textId="77777777" w:rsidR="00FA4AA8" w:rsidRDefault="0015611F">
      <w:pPr>
        <w:spacing w:before="137"/>
        <w:ind w:left="107"/>
        <w:rPr>
          <w:b/>
          <w:sz w:val="28"/>
        </w:rPr>
      </w:pPr>
      <w:r>
        <w:rPr>
          <w:b/>
          <w:sz w:val="28"/>
        </w:rPr>
        <w:t>Financial statements</w:t>
      </w:r>
    </w:p>
    <w:p w14:paraId="4BA6B1AD" w14:textId="77777777" w:rsidR="00FA4AA8" w:rsidRDefault="0015611F">
      <w:pPr>
        <w:spacing w:before="231"/>
        <w:ind w:left="107"/>
        <w:rPr>
          <w:b/>
          <w:sz w:val="20"/>
        </w:rPr>
      </w:pPr>
      <w:r>
        <w:rPr>
          <w:b/>
          <w:sz w:val="20"/>
        </w:rPr>
        <w:t>For the year ended 31 December 2018</w:t>
      </w:r>
    </w:p>
    <w:p w14:paraId="54FB1389" w14:textId="77777777" w:rsidR="00FA4AA8" w:rsidRDefault="00FA4AA8">
      <w:pPr>
        <w:pStyle w:val="BodyText"/>
        <w:rPr>
          <w:b/>
          <w:sz w:val="22"/>
        </w:rPr>
      </w:pPr>
    </w:p>
    <w:p w14:paraId="3F2958DE" w14:textId="77777777" w:rsidR="00FA4AA8" w:rsidRDefault="00FA4AA8">
      <w:pPr>
        <w:pStyle w:val="BodyText"/>
        <w:rPr>
          <w:b/>
        </w:rPr>
      </w:pPr>
    </w:p>
    <w:p w14:paraId="30431E48" w14:textId="77777777" w:rsidR="00FA4AA8" w:rsidRDefault="0015611F">
      <w:pPr>
        <w:pStyle w:val="BodyText"/>
        <w:ind w:left="108" w:right="231" w:hanging="1"/>
      </w:pPr>
      <w:r>
        <w:t>These financial statements of the Whitlam Institute within Western Sydney University Limited (the Company) are presented as an individual entity. The financial statements are presented in Australian currency.</w:t>
      </w:r>
    </w:p>
    <w:p w14:paraId="19ED7DA2" w14:textId="77777777" w:rsidR="00FA4AA8" w:rsidRDefault="0015611F">
      <w:pPr>
        <w:pStyle w:val="BodyText"/>
        <w:spacing w:before="169" w:line="207" w:lineRule="exact"/>
        <w:ind w:left="108"/>
      </w:pPr>
      <w:r>
        <w:t>The registered office and principal place of business of the Company is:</w:t>
      </w:r>
    </w:p>
    <w:p w14:paraId="46F982A6" w14:textId="77777777" w:rsidR="00FA4AA8" w:rsidRDefault="0015611F">
      <w:pPr>
        <w:pStyle w:val="BodyText"/>
        <w:ind w:left="107" w:right="5341"/>
      </w:pPr>
      <w:r>
        <w:t>Whitlam Institute within Western Sydney University Limited Western Sydney University</w:t>
      </w:r>
    </w:p>
    <w:p w14:paraId="6D15E920" w14:textId="77777777" w:rsidR="00FA4AA8" w:rsidRDefault="0015611F">
      <w:pPr>
        <w:pStyle w:val="BodyText"/>
        <w:ind w:left="107" w:right="7353"/>
        <w:jc w:val="both"/>
      </w:pPr>
      <w:r>
        <w:t xml:space="preserve">Building EZ, Parramatta Campus </w:t>
      </w:r>
      <w:r w:rsidR="006C5E68">
        <w:t>Cnr</w:t>
      </w:r>
      <w:r>
        <w:t xml:space="preserve"> James Ruse Dr &amp; Victoria Rd Rydalmere NSW 2116</w:t>
      </w:r>
    </w:p>
    <w:p w14:paraId="7C9D741F" w14:textId="77777777" w:rsidR="00FA4AA8" w:rsidRDefault="00FA4AA8">
      <w:pPr>
        <w:pStyle w:val="BodyText"/>
        <w:rPr>
          <w:sz w:val="20"/>
        </w:rPr>
      </w:pPr>
    </w:p>
    <w:p w14:paraId="3F7CC113" w14:textId="77777777" w:rsidR="00FA4AA8" w:rsidRDefault="00FA4AA8">
      <w:pPr>
        <w:pStyle w:val="BodyText"/>
        <w:spacing w:before="1"/>
        <w:rPr>
          <w:sz w:val="19"/>
        </w:rPr>
      </w:pPr>
    </w:p>
    <w:p w14:paraId="3007BA77" w14:textId="77777777" w:rsidR="00FA4AA8" w:rsidRDefault="0015611F">
      <w:pPr>
        <w:pStyle w:val="BodyText"/>
        <w:spacing w:before="1" w:line="207" w:lineRule="exact"/>
        <w:ind w:left="107"/>
      </w:pPr>
      <w:r>
        <w:t>Registered postal address is:</w:t>
      </w:r>
    </w:p>
    <w:p w14:paraId="3389226D" w14:textId="77777777" w:rsidR="00FA4AA8" w:rsidRDefault="0015611F">
      <w:pPr>
        <w:pStyle w:val="BodyText"/>
        <w:ind w:left="107" w:right="5341"/>
      </w:pPr>
      <w:r>
        <w:t>Whitlam Institute within Western Sydney University Limited Locked Bag 1797</w:t>
      </w:r>
    </w:p>
    <w:p w14:paraId="2EFA761B" w14:textId="77777777" w:rsidR="00FA4AA8" w:rsidRDefault="0015611F">
      <w:pPr>
        <w:pStyle w:val="BodyText"/>
        <w:spacing w:line="206" w:lineRule="exact"/>
        <w:ind w:left="107"/>
      </w:pPr>
      <w:r>
        <w:t>Penrith NSW 2751</w:t>
      </w:r>
    </w:p>
    <w:p w14:paraId="5991C0B9" w14:textId="77777777" w:rsidR="00FA4AA8" w:rsidRDefault="0015611F">
      <w:pPr>
        <w:pStyle w:val="BodyText"/>
        <w:spacing w:before="168"/>
        <w:ind w:left="108" w:right="231" w:hanging="1"/>
      </w:pPr>
      <w:r>
        <w:t>A description of the nature of the Company's operations and it principal activities is included in the director's report which is not part of these financial statements.</w:t>
      </w:r>
    </w:p>
    <w:p w14:paraId="479B6E05" w14:textId="77777777" w:rsidR="00FA4AA8" w:rsidRDefault="0015611F">
      <w:pPr>
        <w:pStyle w:val="BodyText"/>
        <w:spacing w:before="168"/>
        <w:ind w:left="108"/>
      </w:pPr>
      <w:r>
        <w:t>These financial statements were authorised for issue by the directors on 22 February 2019. The directors have the power to amend and reissue the financial statements.</w:t>
      </w:r>
    </w:p>
    <w:p w14:paraId="30D8967A" w14:textId="77777777" w:rsidR="00FA4AA8" w:rsidRDefault="00FA4AA8">
      <w:pPr>
        <w:sectPr w:rsidR="00FA4AA8">
          <w:headerReference w:type="default" r:id="rId170"/>
          <w:footerReference w:type="default" r:id="rId171"/>
          <w:pgSz w:w="11910" w:h="16840"/>
          <w:pgMar w:top="1600" w:right="860" w:bottom="720" w:left="900" w:header="0" w:footer="523" w:gutter="0"/>
          <w:pgNumType w:start="167"/>
          <w:cols w:space="720"/>
        </w:sectPr>
      </w:pPr>
    </w:p>
    <w:p w14:paraId="001185F0" w14:textId="77777777" w:rsidR="00FA4AA8" w:rsidRDefault="00FA4AA8">
      <w:pPr>
        <w:pStyle w:val="BodyText"/>
        <w:rPr>
          <w:sz w:val="20"/>
        </w:rPr>
      </w:pPr>
    </w:p>
    <w:p w14:paraId="3B4C03D5" w14:textId="77777777" w:rsidR="00FA4AA8" w:rsidRDefault="00FA4AA8">
      <w:pPr>
        <w:pStyle w:val="BodyText"/>
        <w:spacing w:before="4"/>
        <w:rPr>
          <w:sz w:val="23"/>
        </w:rPr>
      </w:pPr>
    </w:p>
    <w:p w14:paraId="6E3BCC55" w14:textId="77777777" w:rsidR="00FA4AA8" w:rsidRDefault="0015611F">
      <w:pPr>
        <w:pStyle w:val="BodyText"/>
        <w:ind w:left="504"/>
      </w:pPr>
      <w:r>
        <w:t>The directors present their report on Whitlam Institute Within Western Sydney University Limited (the Company) for the financial year ended 31 December 2018.</w:t>
      </w:r>
    </w:p>
    <w:p w14:paraId="071ACB13" w14:textId="77777777" w:rsidR="00FA4AA8" w:rsidRDefault="00FA4AA8">
      <w:pPr>
        <w:pStyle w:val="BodyText"/>
        <w:rPr>
          <w:sz w:val="20"/>
        </w:rPr>
      </w:pPr>
    </w:p>
    <w:p w14:paraId="29ED447D" w14:textId="77777777" w:rsidR="00FA4AA8" w:rsidRDefault="0015611F">
      <w:pPr>
        <w:spacing w:before="146"/>
        <w:ind w:left="502"/>
        <w:rPr>
          <w:b/>
          <w:sz w:val="18"/>
        </w:rPr>
      </w:pPr>
      <w:r>
        <w:rPr>
          <w:b/>
          <w:sz w:val="18"/>
        </w:rPr>
        <w:t>Directors</w:t>
      </w:r>
    </w:p>
    <w:p w14:paraId="0E6925D0" w14:textId="77777777" w:rsidR="00FA4AA8" w:rsidRDefault="0015611F">
      <w:pPr>
        <w:pStyle w:val="BodyText"/>
        <w:spacing w:before="17" w:line="340" w:lineRule="atLeast"/>
        <w:ind w:left="502" w:right="1511" w:firstLine="1"/>
      </w:pPr>
      <w:r>
        <w:t>The names of each person who has been a director during the year and to the date of this report are: The Hon. John Faulkner</w:t>
      </w:r>
    </w:p>
    <w:p w14:paraId="72DC4B17" w14:textId="77777777" w:rsidR="00FA4AA8" w:rsidRDefault="0015611F">
      <w:pPr>
        <w:pStyle w:val="BodyText"/>
        <w:spacing w:before="6"/>
        <w:ind w:left="502" w:right="7517"/>
      </w:pPr>
      <w:r>
        <w:t>Ms Patricia Amphlett OAM Prof. Barney Glover</w:t>
      </w:r>
    </w:p>
    <w:p w14:paraId="0839A9D8" w14:textId="77777777" w:rsidR="00FA4AA8" w:rsidRDefault="0015611F">
      <w:pPr>
        <w:pStyle w:val="BodyText"/>
        <w:ind w:left="502" w:right="7627"/>
      </w:pPr>
      <w:r>
        <w:t xml:space="preserve">Ms Gabrielle Trainor </w:t>
      </w:r>
      <w:r>
        <w:rPr>
          <w:spacing w:val="-9"/>
        </w:rPr>
        <w:t xml:space="preserve">AO </w:t>
      </w:r>
      <w:r>
        <w:t>Mr Talal Yassine OAM Ms Catherine</w:t>
      </w:r>
      <w:r>
        <w:rPr>
          <w:spacing w:val="-1"/>
        </w:rPr>
        <w:t xml:space="preserve"> </w:t>
      </w:r>
      <w:r>
        <w:t>Dovey</w:t>
      </w:r>
    </w:p>
    <w:p w14:paraId="273579F2" w14:textId="77777777" w:rsidR="00FA4AA8" w:rsidRDefault="0015611F">
      <w:pPr>
        <w:pStyle w:val="BodyText"/>
        <w:ind w:left="502" w:right="7972"/>
      </w:pPr>
      <w:r>
        <w:t>Mr Cameron Clyne Dr Rebecca</w:t>
      </w:r>
      <w:r>
        <w:rPr>
          <w:spacing w:val="4"/>
        </w:rPr>
        <w:t xml:space="preserve"> </w:t>
      </w:r>
      <w:r>
        <w:rPr>
          <w:spacing w:val="-3"/>
        </w:rPr>
        <w:t>Huntley</w:t>
      </w:r>
    </w:p>
    <w:p w14:paraId="4993EE6A" w14:textId="77777777" w:rsidR="00FA4AA8" w:rsidRDefault="0015611F">
      <w:pPr>
        <w:pStyle w:val="BodyText"/>
        <w:tabs>
          <w:tab w:val="left" w:pos="3653"/>
        </w:tabs>
        <w:spacing w:line="206" w:lineRule="exact"/>
        <w:ind w:left="502"/>
      </w:pPr>
      <w:r>
        <w:t>The Hon Peter Collins</w:t>
      </w:r>
      <w:r>
        <w:rPr>
          <w:spacing w:val="-1"/>
        </w:rPr>
        <w:t xml:space="preserve"> </w:t>
      </w:r>
      <w:r>
        <w:t>AM QC</w:t>
      </w:r>
      <w:r>
        <w:tab/>
        <w:t>Appointed 30 May 2018</w:t>
      </w:r>
    </w:p>
    <w:p w14:paraId="4B2E2682" w14:textId="77777777" w:rsidR="00FA4AA8" w:rsidRDefault="0015611F">
      <w:pPr>
        <w:pStyle w:val="BodyText"/>
        <w:tabs>
          <w:tab w:val="left" w:pos="3653"/>
        </w:tabs>
        <w:spacing w:line="206" w:lineRule="exact"/>
        <w:ind w:left="502"/>
      </w:pPr>
      <w:r>
        <w:t>Ms</w:t>
      </w:r>
      <w:r>
        <w:rPr>
          <w:spacing w:val="-1"/>
        </w:rPr>
        <w:t xml:space="preserve"> </w:t>
      </w:r>
      <w:r>
        <w:t>Rebecca Mifsud</w:t>
      </w:r>
      <w:r>
        <w:tab/>
        <w:t>Appointed 22 November 2018</w:t>
      </w:r>
    </w:p>
    <w:p w14:paraId="44882670" w14:textId="77777777" w:rsidR="00FA4AA8" w:rsidRDefault="0015611F">
      <w:pPr>
        <w:pStyle w:val="BodyText"/>
        <w:tabs>
          <w:tab w:val="left" w:pos="3653"/>
        </w:tabs>
        <w:spacing w:line="207" w:lineRule="exact"/>
        <w:ind w:left="502"/>
      </w:pPr>
      <w:r>
        <w:t>Ms</w:t>
      </w:r>
      <w:r>
        <w:rPr>
          <w:spacing w:val="-1"/>
        </w:rPr>
        <w:t xml:space="preserve"> </w:t>
      </w:r>
      <w:r>
        <w:t>Amanda McKenzie</w:t>
      </w:r>
      <w:r>
        <w:tab/>
        <w:t>Resigned 17 August 2018</w:t>
      </w:r>
    </w:p>
    <w:p w14:paraId="36376F07" w14:textId="77777777" w:rsidR="00FA4AA8" w:rsidRDefault="0015611F">
      <w:pPr>
        <w:pStyle w:val="BodyText"/>
        <w:spacing w:before="143"/>
        <w:ind w:left="504"/>
      </w:pPr>
      <w:r>
        <w:t>Directors have been in office since the start of the financial year to the date of this report unless otherwise stated.</w:t>
      </w:r>
    </w:p>
    <w:p w14:paraId="07AB3F4E" w14:textId="77777777" w:rsidR="00FA4AA8" w:rsidRDefault="0015611F">
      <w:pPr>
        <w:spacing w:before="165"/>
        <w:ind w:left="502"/>
        <w:rPr>
          <w:b/>
          <w:sz w:val="18"/>
        </w:rPr>
      </w:pPr>
      <w:r>
        <w:rPr>
          <w:b/>
          <w:sz w:val="18"/>
        </w:rPr>
        <w:t>Company secretary</w:t>
      </w:r>
    </w:p>
    <w:p w14:paraId="4FA84C0E" w14:textId="77777777" w:rsidR="00FA4AA8" w:rsidRDefault="0015611F">
      <w:pPr>
        <w:pStyle w:val="BodyText"/>
        <w:spacing w:before="4"/>
        <w:ind w:left="503"/>
      </w:pPr>
      <w:r>
        <w:t>Ms Sandra Stevenson held the position of Company Secretary for the whole of the financial year and to the date of this report.</w:t>
      </w:r>
    </w:p>
    <w:p w14:paraId="067AA22F" w14:textId="77777777" w:rsidR="00FA4AA8" w:rsidRDefault="0015611F">
      <w:pPr>
        <w:spacing w:before="165"/>
        <w:ind w:left="502"/>
        <w:jc w:val="both"/>
        <w:rPr>
          <w:b/>
          <w:sz w:val="18"/>
        </w:rPr>
      </w:pPr>
      <w:r>
        <w:rPr>
          <w:b/>
          <w:sz w:val="18"/>
        </w:rPr>
        <w:t>Principal activities and significant changes in nature of activities</w:t>
      </w:r>
    </w:p>
    <w:p w14:paraId="29ACAA89" w14:textId="77777777" w:rsidR="00FA4AA8" w:rsidRDefault="0015611F">
      <w:pPr>
        <w:pStyle w:val="BodyText"/>
        <w:spacing w:before="4"/>
        <w:ind w:left="503" w:right="113"/>
        <w:jc w:val="both"/>
      </w:pPr>
      <w:r>
        <w:t>The principal activity of the Company is to manage the Company and to act as Trustee of the Whitlam Institute Within Western Sydney University Trust. The main function of the Company is fundraising in support of the University, and the effective management control of all Trust funds held within the Whitlam Institute Trust account.</w:t>
      </w:r>
    </w:p>
    <w:p w14:paraId="60170BDB" w14:textId="77777777" w:rsidR="00FA4AA8" w:rsidRDefault="0015611F">
      <w:pPr>
        <w:pStyle w:val="BodyText"/>
        <w:spacing w:before="145"/>
        <w:ind w:left="503" w:right="113"/>
        <w:jc w:val="both"/>
      </w:pPr>
      <w:r>
        <w:t>The Whitlam Institute works as an educator, policy influencer and research institute. The Institute bridges the historical legacy of the late Gough Whitlam's years in public life and the contemporary relevance of the Whitlam Program to public discourse and policy. It links policies with people - connecting communities with the decisions and policies that affect their lives. The Whitlam Institute is guided by the 'three great aims' that drove the Whitlam Program of 1972.  They are to promote equality, to involve the people of Australia in the decision-making processes of our land, and to liberate the talents and uplift the horizons of the Australian</w:t>
      </w:r>
      <w:r>
        <w:rPr>
          <w:spacing w:val="-1"/>
        </w:rPr>
        <w:t xml:space="preserve"> </w:t>
      </w:r>
      <w:r>
        <w:t>people.</w:t>
      </w:r>
    </w:p>
    <w:p w14:paraId="6F2EB256" w14:textId="77777777" w:rsidR="00FA4AA8" w:rsidRDefault="0015611F">
      <w:pPr>
        <w:pStyle w:val="BodyText"/>
        <w:spacing w:before="143"/>
        <w:ind w:left="504" w:right="112"/>
        <w:jc w:val="both"/>
      </w:pPr>
      <w:r>
        <w:t>The Whitlam Institute supports Western Sydney University development by working with schools to bring knowledge to life in the community. In a range of practical ways we make scholarship relevant to everyday lives. We are inspired by the E.G Whitlam Prime Ministerial Collection which represents the life's work of an Australian statesmen who has pursued his convictions with a constant commitment to community engagement and a determination to put words into action.</w:t>
      </w:r>
    </w:p>
    <w:p w14:paraId="6D7C8F04" w14:textId="77777777" w:rsidR="00FA4AA8" w:rsidRDefault="0015611F">
      <w:pPr>
        <w:pStyle w:val="BodyText"/>
        <w:spacing w:before="144"/>
        <w:ind w:left="504"/>
        <w:jc w:val="both"/>
      </w:pPr>
      <w:r>
        <w:t>No significant changes in the nature of the Company's activity occurred during the financial year.</w:t>
      </w:r>
    </w:p>
    <w:p w14:paraId="5E877D5E" w14:textId="77777777" w:rsidR="00FA4AA8" w:rsidRDefault="00FA4AA8">
      <w:pPr>
        <w:pStyle w:val="BodyText"/>
        <w:spacing w:before="6"/>
        <w:rPr>
          <w:sz w:val="26"/>
        </w:rPr>
      </w:pPr>
    </w:p>
    <w:p w14:paraId="0EE1752A" w14:textId="77777777" w:rsidR="00FA4AA8" w:rsidRDefault="0015611F">
      <w:pPr>
        <w:spacing w:before="1"/>
        <w:ind w:left="502"/>
        <w:jc w:val="both"/>
        <w:rPr>
          <w:b/>
          <w:sz w:val="18"/>
        </w:rPr>
      </w:pPr>
      <w:r>
        <w:rPr>
          <w:b/>
          <w:sz w:val="18"/>
        </w:rPr>
        <w:t>Review of operations</w:t>
      </w:r>
    </w:p>
    <w:p w14:paraId="7A5882F4" w14:textId="77777777" w:rsidR="00FA4AA8" w:rsidRDefault="0015611F">
      <w:pPr>
        <w:pStyle w:val="BodyText"/>
        <w:spacing w:before="4"/>
        <w:ind w:left="504"/>
        <w:jc w:val="both"/>
      </w:pPr>
      <w:r>
        <w:t>The surplus of the Company amounted to $ NIL (2017: $ NIL).</w:t>
      </w:r>
    </w:p>
    <w:p w14:paraId="30A4BB69" w14:textId="77777777" w:rsidR="00FA4AA8" w:rsidRDefault="0015611F">
      <w:pPr>
        <w:spacing w:before="165"/>
        <w:ind w:left="502"/>
        <w:rPr>
          <w:b/>
          <w:sz w:val="18"/>
        </w:rPr>
      </w:pPr>
      <w:r>
        <w:rPr>
          <w:b/>
          <w:sz w:val="18"/>
        </w:rPr>
        <w:t>Dividends</w:t>
      </w:r>
    </w:p>
    <w:p w14:paraId="3AB66CDB" w14:textId="77777777" w:rsidR="00FA4AA8" w:rsidRDefault="0015611F">
      <w:pPr>
        <w:pStyle w:val="BodyText"/>
        <w:spacing w:before="4"/>
        <w:ind w:left="504" w:right="231" w:hanging="1"/>
      </w:pPr>
      <w:r>
        <w:t>No dividend is paid or payable since the commencement of the financial year and up to and including the date of signing this report (2017: $</w:t>
      </w:r>
      <w:r>
        <w:rPr>
          <w:spacing w:val="-7"/>
        </w:rPr>
        <w:t xml:space="preserve"> </w:t>
      </w:r>
      <w:r>
        <w:t>nil).</w:t>
      </w:r>
    </w:p>
    <w:p w14:paraId="037AF2DE" w14:textId="77777777" w:rsidR="00FA4AA8" w:rsidRDefault="0015611F">
      <w:pPr>
        <w:spacing w:before="165"/>
        <w:ind w:left="502"/>
        <w:jc w:val="both"/>
        <w:rPr>
          <w:b/>
          <w:sz w:val="18"/>
        </w:rPr>
      </w:pPr>
      <w:r>
        <w:rPr>
          <w:b/>
          <w:sz w:val="18"/>
        </w:rPr>
        <w:t>Events after the reporting date</w:t>
      </w:r>
    </w:p>
    <w:p w14:paraId="1EC3D1F1" w14:textId="77777777" w:rsidR="00FA4AA8" w:rsidRDefault="0015611F">
      <w:pPr>
        <w:pStyle w:val="BodyText"/>
        <w:spacing w:before="4"/>
        <w:ind w:left="503" w:right="109"/>
        <w:jc w:val="both"/>
      </w:pPr>
      <w:r>
        <w:t>No matters or circumstances have arisen since the end of the financial year which significantly affected or could significantly affect the operations of the Company, the results of those operations or the state of affairs of the Company in future financial years.</w:t>
      </w:r>
    </w:p>
    <w:p w14:paraId="5959D33B" w14:textId="77777777" w:rsidR="00FA4AA8" w:rsidRDefault="0015611F">
      <w:pPr>
        <w:spacing w:before="164"/>
        <w:ind w:left="502"/>
        <w:jc w:val="both"/>
        <w:rPr>
          <w:b/>
          <w:sz w:val="18"/>
        </w:rPr>
      </w:pPr>
      <w:r>
        <w:rPr>
          <w:b/>
          <w:sz w:val="18"/>
        </w:rPr>
        <w:t>Future developments</w:t>
      </w:r>
    </w:p>
    <w:p w14:paraId="66095F9D" w14:textId="77777777" w:rsidR="00FA4AA8" w:rsidRDefault="0015611F">
      <w:pPr>
        <w:pStyle w:val="BodyText"/>
        <w:spacing w:before="4"/>
        <w:ind w:left="504"/>
        <w:jc w:val="both"/>
      </w:pPr>
      <w:r>
        <w:t>Future developments are not expected to significantly affect the future operations of the Company.</w:t>
      </w:r>
    </w:p>
    <w:p w14:paraId="10A5FA6E" w14:textId="77777777" w:rsidR="00FA4AA8" w:rsidRDefault="00FA4AA8">
      <w:pPr>
        <w:jc w:val="both"/>
        <w:sectPr w:rsidR="00FA4AA8">
          <w:headerReference w:type="default" r:id="rId172"/>
          <w:footerReference w:type="default" r:id="rId173"/>
          <w:pgSz w:w="11910" w:h="16840"/>
          <w:pgMar w:top="2500" w:right="860" w:bottom="720" w:left="900" w:header="1017" w:footer="523" w:gutter="0"/>
          <w:pgNumType w:start="168"/>
          <w:cols w:space="720"/>
        </w:sectPr>
      </w:pPr>
    </w:p>
    <w:p w14:paraId="4A85131F" w14:textId="77777777" w:rsidR="00FA4AA8" w:rsidRDefault="00FA4AA8">
      <w:pPr>
        <w:pStyle w:val="BodyText"/>
        <w:rPr>
          <w:sz w:val="20"/>
        </w:rPr>
      </w:pPr>
    </w:p>
    <w:p w14:paraId="6E3B58D6" w14:textId="77777777" w:rsidR="00FA4AA8" w:rsidRDefault="00FA4AA8">
      <w:pPr>
        <w:pStyle w:val="BodyText"/>
        <w:spacing w:before="9"/>
        <w:rPr>
          <w:sz w:val="16"/>
        </w:rPr>
      </w:pPr>
    </w:p>
    <w:p w14:paraId="75CBFC01" w14:textId="77777777" w:rsidR="00FA4AA8" w:rsidRDefault="0015611F">
      <w:pPr>
        <w:spacing w:before="95"/>
        <w:ind w:left="502"/>
        <w:rPr>
          <w:b/>
          <w:sz w:val="18"/>
        </w:rPr>
      </w:pPr>
      <w:r>
        <w:rPr>
          <w:b/>
          <w:sz w:val="18"/>
        </w:rPr>
        <w:t>Environmental matters</w:t>
      </w:r>
    </w:p>
    <w:p w14:paraId="2D8FB2B8" w14:textId="77777777" w:rsidR="00FA4AA8" w:rsidRDefault="0015611F">
      <w:pPr>
        <w:pStyle w:val="BodyText"/>
        <w:spacing w:before="4"/>
        <w:ind w:left="503"/>
      </w:pPr>
      <w:r>
        <w:t>The Company's operations are not regulated by any significant environmental regulations under a law of the Commonwealth or of a state or territory.</w:t>
      </w:r>
    </w:p>
    <w:p w14:paraId="7CC7F629" w14:textId="77777777" w:rsidR="00FA4AA8" w:rsidRDefault="00FA4AA8">
      <w:pPr>
        <w:pStyle w:val="BodyText"/>
        <w:rPr>
          <w:sz w:val="20"/>
        </w:rPr>
      </w:pPr>
    </w:p>
    <w:p w14:paraId="1E3B8160" w14:textId="77777777" w:rsidR="00FA4AA8" w:rsidRDefault="00FA4AA8">
      <w:pPr>
        <w:pStyle w:val="BodyText"/>
        <w:spacing w:before="11"/>
        <w:rPr>
          <w:sz w:val="24"/>
        </w:rPr>
      </w:pPr>
    </w:p>
    <w:p w14:paraId="6BDF0ABA" w14:textId="77777777" w:rsidR="00FA4AA8" w:rsidRDefault="0015611F">
      <w:pPr>
        <w:ind w:left="502"/>
        <w:rPr>
          <w:b/>
          <w:sz w:val="18"/>
        </w:rPr>
      </w:pPr>
      <w:r>
        <w:rPr>
          <w:b/>
          <w:sz w:val="18"/>
        </w:rPr>
        <w:t>Auditors independence declaration</w:t>
      </w:r>
    </w:p>
    <w:p w14:paraId="66AB6D04" w14:textId="77777777" w:rsidR="00FA4AA8" w:rsidRDefault="0015611F">
      <w:pPr>
        <w:pStyle w:val="BodyText"/>
        <w:spacing w:before="4"/>
        <w:ind w:left="504"/>
      </w:pPr>
      <w:r>
        <w:t xml:space="preserve">The Audit Office of New South Wales continues in office in accordance with section 327 of the </w:t>
      </w:r>
      <w:r>
        <w:rPr>
          <w:i/>
        </w:rPr>
        <w:t>Corporations Act 2001</w:t>
      </w:r>
      <w:r>
        <w:t>.</w:t>
      </w:r>
    </w:p>
    <w:p w14:paraId="59821E93" w14:textId="77777777" w:rsidR="00FA4AA8" w:rsidRDefault="0015611F">
      <w:pPr>
        <w:pStyle w:val="BodyText"/>
        <w:spacing w:before="146"/>
        <w:ind w:left="503" w:right="231"/>
      </w:pPr>
      <w:r>
        <w:t xml:space="preserve">The lead </w:t>
      </w:r>
      <w:r w:rsidR="009C3740">
        <w:t>auditor’s</w:t>
      </w:r>
      <w:r>
        <w:t xml:space="preserve"> independence declaration for the year ended 31 December 2018 has been received and can be found on page 175 of the financial</w:t>
      </w:r>
      <w:r>
        <w:rPr>
          <w:spacing w:val="-6"/>
        </w:rPr>
        <w:t xml:space="preserve"> </w:t>
      </w:r>
      <w:r>
        <w:t>statements.</w:t>
      </w:r>
    </w:p>
    <w:p w14:paraId="6FDBCB5C" w14:textId="77777777" w:rsidR="00FA4AA8" w:rsidRDefault="00FA4AA8">
      <w:pPr>
        <w:pStyle w:val="BodyText"/>
        <w:rPr>
          <w:sz w:val="20"/>
        </w:rPr>
      </w:pPr>
    </w:p>
    <w:p w14:paraId="5E158015" w14:textId="77777777" w:rsidR="00FA4AA8" w:rsidRDefault="00FA4AA8">
      <w:pPr>
        <w:pStyle w:val="BodyText"/>
        <w:rPr>
          <w:sz w:val="20"/>
        </w:rPr>
      </w:pPr>
    </w:p>
    <w:p w14:paraId="79DF829D" w14:textId="77777777" w:rsidR="00FA4AA8" w:rsidRDefault="00FA4AA8">
      <w:pPr>
        <w:pStyle w:val="BodyText"/>
        <w:spacing w:before="3"/>
        <w:rPr>
          <w:sz w:val="17"/>
        </w:rPr>
      </w:pPr>
    </w:p>
    <w:p w14:paraId="0EA2AAD6" w14:textId="77777777" w:rsidR="00FA4AA8" w:rsidRDefault="0015611F">
      <w:pPr>
        <w:ind w:left="502"/>
        <w:rPr>
          <w:b/>
          <w:sz w:val="18"/>
        </w:rPr>
      </w:pPr>
      <w:r>
        <w:rPr>
          <w:b/>
          <w:sz w:val="18"/>
        </w:rPr>
        <w:t>Information on directors</w:t>
      </w:r>
    </w:p>
    <w:p w14:paraId="11809981" w14:textId="77777777" w:rsidR="00FA4AA8" w:rsidRDefault="00FA4AA8">
      <w:pPr>
        <w:pStyle w:val="BodyText"/>
        <w:rPr>
          <w:b/>
          <w:sz w:val="20"/>
        </w:rPr>
      </w:pPr>
    </w:p>
    <w:p w14:paraId="0D8DA177" w14:textId="77777777" w:rsidR="00FA4AA8" w:rsidRDefault="00FA4AA8">
      <w:pPr>
        <w:pStyle w:val="BodyText"/>
        <w:rPr>
          <w:b/>
          <w:sz w:val="20"/>
        </w:rPr>
      </w:pPr>
    </w:p>
    <w:p w14:paraId="0D77FD2B" w14:textId="77777777" w:rsidR="00FA4AA8" w:rsidRDefault="0015611F">
      <w:pPr>
        <w:pStyle w:val="BodyText"/>
        <w:tabs>
          <w:tab w:val="left" w:pos="3761"/>
        </w:tabs>
        <w:spacing w:before="180"/>
        <w:ind w:left="503"/>
      </w:pPr>
      <w:r>
        <w:t>The Hon.</w:t>
      </w:r>
      <w:r>
        <w:rPr>
          <w:spacing w:val="-1"/>
        </w:rPr>
        <w:t xml:space="preserve"> </w:t>
      </w:r>
      <w:r>
        <w:t>John Faulkner</w:t>
      </w:r>
      <w:r>
        <w:tab/>
        <w:t>BA, DipEd (Macquarie).  Chair.</w:t>
      </w:r>
    </w:p>
    <w:p w14:paraId="4F38112B" w14:textId="77777777" w:rsidR="00FA4AA8" w:rsidRDefault="0015611F">
      <w:pPr>
        <w:pStyle w:val="BodyText"/>
        <w:tabs>
          <w:tab w:val="left" w:pos="3761"/>
        </w:tabs>
        <w:spacing w:before="83"/>
        <w:ind w:left="3761" w:right="196" w:hanging="3258"/>
      </w:pPr>
      <w:r>
        <w:t>Experience</w:t>
      </w:r>
      <w:r>
        <w:tab/>
        <w:t xml:space="preserve">Appointed as Director 8 March 2011. Senator the Hon. John Faulkner was a Labor Senator for New South Wales from 1989 to 2015. Since his election to the Senate in 1989, Senator Faulkner has held a number of ministries, serving as Minister for Veterans' Affairs, Minister for Defence Science and Personnel, Minister for the Environment, Sport and Territories, Cabinet Secretary, Special Minister of State and Minister for Defence. He served as Leader of the Opposition in the Senate from 1996 to 2004. He has also held </w:t>
      </w:r>
      <w:r>
        <w:rPr>
          <w:spacing w:val="-16"/>
        </w:rPr>
        <w:t xml:space="preserve">a </w:t>
      </w:r>
      <w:r>
        <w:t xml:space="preserve">range of senior positions within the Australian Labor Party, including </w:t>
      </w:r>
      <w:r w:rsidR="006C5E68">
        <w:t>National</w:t>
      </w:r>
      <w:r>
        <w:t xml:space="preserve"> President of the party, twenty years as a member of its National Executive and nine years as Assistant General Secretary of the New South Wales Branch. Senator Faulkner is well versed in, and passionate about the history of the Australian </w:t>
      </w:r>
      <w:r w:rsidR="006C5E68">
        <w:t>Labor</w:t>
      </w:r>
      <w:r>
        <w:t xml:space="preserve"> Party. Prior to his political career, Senator Faulkner worked as a teacher of children with severe</w:t>
      </w:r>
      <w:r>
        <w:rPr>
          <w:spacing w:val="-1"/>
        </w:rPr>
        <w:t xml:space="preserve"> </w:t>
      </w:r>
      <w:r>
        <w:t>disabilities.</w:t>
      </w:r>
    </w:p>
    <w:p w14:paraId="34F78174" w14:textId="77777777" w:rsidR="00FA4AA8" w:rsidRDefault="0015611F">
      <w:pPr>
        <w:pStyle w:val="BodyText"/>
        <w:tabs>
          <w:tab w:val="left" w:pos="3761"/>
        </w:tabs>
        <w:spacing w:before="133"/>
        <w:ind w:left="504"/>
      </w:pPr>
      <w:r>
        <w:t>Ms Patricia</w:t>
      </w:r>
      <w:r>
        <w:rPr>
          <w:spacing w:val="-1"/>
        </w:rPr>
        <w:t xml:space="preserve"> </w:t>
      </w:r>
      <w:r>
        <w:t>Amphlett OAM</w:t>
      </w:r>
      <w:r>
        <w:tab/>
        <w:t>Non-Executive.</w:t>
      </w:r>
    </w:p>
    <w:p w14:paraId="162E0906" w14:textId="77777777" w:rsidR="00FA4AA8" w:rsidRDefault="0015611F">
      <w:pPr>
        <w:pStyle w:val="BodyText"/>
        <w:tabs>
          <w:tab w:val="left" w:pos="3761"/>
        </w:tabs>
        <w:spacing w:before="83"/>
        <w:ind w:left="3762" w:right="247" w:hanging="3258"/>
      </w:pPr>
      <w:r>
        <w:t>Experience</w:t>
      </w:r>
      <w:r>
        <w:tab/>
        <w:t xml:space="preserve">Appointed as Director 29 June 2010. Ms Patricia Amphlett OAM is the Federal President of the Media, Entertainment and Arts Alliance, a position she has held since 2002. With a succession of hits and as a long standing member of the Bandstand Family, she established herself as a prominent force in the Australian music industry. Her musical talents are credited with many industry awards including Best Female Singer, Most Popular Female Performer, TV Logie for Best Teenage Personality and a succession of Gold Records. A definite 'all rounder' in the music and entertainment industry, Ms Amphlett’s talent spans a broad spectrum from writing, producing and performing shows for children, and hosting charity and corporate events. </w:t>
      </w:r>
      <w:r>
        <w:rPr>
          <w:spacing w:val="-6"/>
        </w:rPr>
        <w:t xml:space="preserve">She </w:t>
      </w:r>
      <w:r>
        <w:t xml:space="preserve">maintains a high profile in the music industry, with many live performances at Festivals, Corporate Events, Clubs and Television shows. Ms Amphlett has </w:t>
      </w:r>
      <w:r>
        <w:rPr>
          <w:spacing w:val="-17"/>
        </w:rPr>
        <w:t xml:space="preserve">a </w:t>
      </w:r>
      <w:r>
        <w:t>strong commitment to music education. She is a consultant for the NSW Government’s Talent Development Project. She is a member of the Board of the National Film &amp; Sound</w:t>
      </w:r>
      <w:r>
        <w:rPr>
          <w:spacing w:val="-1"/>
        </w:rPr>
        <w:t xml:space="preserve"> </w:t>
      </w:r>
      <w:r>
        <w:t>Archives.</w:t>
      </w:r>
    </w:p>
    <w:p w14:paraId="7F1CE266" w14:textId="77777777" w:rsidR="00FA4AA8" w:rsidRDefault="00FA4AA8">
      <w:pPr>
        <w:sectPr w:rsidR="00FA4AA8">
          <w:pgSz w:w="11910" w:h="16840"/>
          <w:pgMar w:top="2500" w:right="860" w:bottom="720" w:left="900" w:header="1017" w:footer="523" w:gutter="0"/>
          <w:cols w:space="720"/>
        </w:sectPr>
      </w:pPr>
    </w:p>
    <w:p w14:paraId="12265E3D" w14:textId="77777777" w:rsidR="00FA4AA8" w:rsidRDefault="0015611F">
      <w:pPr>
        <w:pStyle w:val="BodyText"/>
        <w:tabs>
          <w:tab w:val="left" w:pos="3761"/>
        </w:tabs>
        <w:spacing w:before="140" w:line="207" w:lineRule="exact"/>
        <w:ind w:left="504"/>
      </w:pPr>
      <w:r>
        <w:t>Prof.</w:t>
      </w:r>
      <w:r>
        <w:rPr>
          <w:spacing w:val="-1"/>
        </w:rPr>
        <w:t xml:space="preserve"> </w:t>
      </w:r>
      <w:r>
        <w:t>Barney Glover</w:t>
      </w:r>
      <w:r>
        <w:tab/>
        <w:t>PhD (Applied Mathematics), MSc, BSc (Honours), Dip Ed</w:t>
      </w:r>
      <w:r>
        <w:rPr>
          <w:spacing w:val="-1"/>
        </w:rPr>
        <w:t xml:space="preserve"> </w:t>
      </w:r>
      <w:r>
        <w:t>(Melbourne),</w:t>
      </w:r>
    </w:p>
    <w:p w14:paraId="64FA1550" w14:textId="77777777" w:rsidR="00FA4AA8" w:rsidRDefault="0015611F">
      <w:pPr>
        <w:pStyle w:val="BodyText"/>
        <w:spacing w:line="207" w:lineRule="exact"/>
        <w:ind w:left="3762"/>
      </w:pPr>
      <w:r>
        <w:t>MAICD. Non-Executive.</w:t>
      </w:r>
    </w:p>
    <w:p w14:paraId="69107F04" w14:textId="77777777" w:rsidR="00FA4AA8" w:rsidRDefault="0015611F">
      <w:pPr>
        <w:pStyle w:val="BodyText"/>
        <w:tabs>
          <w:tab w:val="left" w:pos="3761"/>
        </w:tabs>
        <w:spacing w:before="83"/>
        <w:ind w:left="3761" w:right="226" w:hanging="3258"/>
      </w:pPr>
      <w:r>
        <w:t>Experience</w:t>
      </w:r>
      <w:r>
        <w:tab/>
        <w:t xml:space="preserve">Appointed as Director 1 Jan 2014. Professor Barney Glover has been the Vice-Chancellor and President of the Western Sydney University since he commenced in this role on 1 January 2014. Professor Glover is an accomplished academic leader and experienced Vice-Chancellor. Previously Vice-Chancellor at Charles Darwin University from 2009 to 2013, he has a long record of success in university management and leadership, particularly in research, intellectual property management and major capital development </w:t>
      </w:r>
      <w:r w:rsidR="006C5E68">
        <w:t>projects. Before</w:t>
      </w:r>
      <w:r>
        <w:t xml:space="preserve"> relocating to the Northern Territory in 2009 Professor Glover was the Deputy Vice-Chancellor, Research at the University of</w:t>
      </w:r>
      <w:r>
        <w:rPr>
          <w:spacing w:val="-1"/>
        </w:rPr>
        <w:t xml:space="preserve"> </w:t>
      </w:r>
      <w:r>
        <w:t>Newcastle.</w:t>
      </w:r>
    </w:p>
    <w:p w14:paraId="38E5BE4E" w14:textId="77777777" w:rsidR="00FA4AA8" w:rsidRDefault="0015611F">
      <w:pPr>
        <w:pStyle w:val="BodyText"/>
        <w:ind w:left="3762" w:right="234"/>
      </w:pPr>
      <w:r>
        <w:t>Prior to this, he held several positions at Perth's Curtin University of Technology including Pro Vice-Chancellor, Research and Development. He has a strong research publication record and has co-authored four texts in mathematics education. Before his appointment at Curtin Professor Glover held a number of positions at the University of Ballarat in Victoria. Professor Glover holds a PhD in Applied Mathematics and has worked on both the east and west coasts of Australia.</w:t>
      </w:r>
    </w:p>
    <w:p w14:paraId="60C287DB" w14:textId="77777777" w:rsidR="00FA4AA8" w:rsidRDefault="0015611F">
      <w:pPr>
        <w:pStyle w:val="BodyText"/>
        <w:tabs>
          <w:tab w:val="left" w:pos="3761"/>
        </w:tabs>
        <w:spacing w:before="131"/>
        <w:ind w:left="503"/>
      </w:pPr>
      <w:r>
        <w:t>Ms Gabrielle</w:t>
      </w:r>
      <w:r>
        <w:rPr>
          <w:spacing w:val="-1"/>
        </w:rPr>
        <w:t xml:space="preserve"> </w:t>
      </w:r>
      <w:r>
        <w:t>Trainor AO</w:t>
      </w:r>
      <w:r>
        <w:tab/>
        <w:t>LLB (Melbourne).  Non-Executive.</w:t>
      </w:r>
    </w:p>
    <w:p w14:paraId="21E2CE60" w14:textId="77777777" w:rsidR="00FA4AA8" w:rsidRDefault="0015611F">
      <w:pPr>
        <w:pStyle w:val="BodyText"/>
        <w:tabs>
          <w:tab w:val="left" w:pos="3761"/>
        </w:tabs>
        <w:spacing w:before="83"/>
        <w:ind w:left="3761" w:right="156" w:hanging="3258"/>
      </w:pPr>
      <w:r>
        <w:t>Experience</w:t>
      </w:r>
      <w:r>
        <w:tab/>
        <w:t>Appointed as Director 29 June 2010. Ms Gabrielle Trainor is a non-executive director and advisor. Her chair and director roles have spanned organisations in urban development, transport, education, public interest law, tourism, culture and sport. She was a founding partner and co-owner of specialist consultancy John Connolly &amp; Partners and over 25 years advised large listed companies on the management of major transactions and significant issues across stakeholder groups including in capital markets, government, NGO’s and other influencers. Ms Trainor is a member of the board of Leighton Contractors (advisory board), a director of the Barangaroo Delivery Authority, Business Events Sydney, Cape York Group, the Aurora Education Foundation and is a trustee of the Charlie Perkins Education Trust. She is a member of the board of trustees of the Western Sydney University. She is Chair of the National Film and Sound Archive and Chair of Barnardo’s Australia. She co- chaired the 2012 Federal Government review of the Australia Council for the Arts. She has had a long term involvement in indigenous affairs, including as director of Cape York Partnerships and a member of the Victorian Government’s Aboriginal Economic Development Group which reported in 2010. Ms Trainor was educated as Ll.B at the University of Melbourne and was awarded a 1986 Churchill Fellowship. She studied in the USA and UK including as a visiting scholar at Stanford University. She is an Honorary Associate in the Graduate School of Government at Sydney University and a Fellow of the Australian Institute of Company</w:t>
      </w:r>
      <w:r>
        <w:rPr>
          <w:spacing w:val="-1"/>
        </w:rPr>
        <w:t xml:space="preserve"> </w:t>
      </w:r>
      <w:r>
        <w:t>Directors.</w:t>
      </w:r>
    </w:p>
    <w:p w14:paraId="15140F58" w14:textId="77777777" w:rsidR="00FA4AA8" w:rsidRDefault="00FA4AA8">
      <w:pPr>
        <w:sectPr w:rsidR="00FA4AA8">
          <w:headerReference w:type="default" r:id="rId174"/>
          <w:footerReference w:type="default" r:id="rId175"/>
          <w:pgSz w:w="11910" w:h="16840"/>
          <w:pgMar w:top="3000" w:right="860" w:bottom="720" w:left="900" w:header="1017" w:footer="523" w:gutter="0"/>
          <w:pgNumType w:start="170"/>
          <w:cols w:space="720"/>
        </w:sectPr>
      </w:pPr>
    </w:p>
    <w:p w14:paraId="3D9D6DF9" w14:textId="77777777" w:rsidR="00FA4AA8" w:rsidRDefault="0015611F">
      <w:pPr>
        <w:pStyle w:val="BodyText"/>
        <w:tabs>
          <w:tab w:val="left" w:pos="3761"/>
        </w:tabs>
        <w:spacing w:before="140"/>
        <w:ind w:left="504"/>
      </w:pPr>
      <w:r>
        <w:t>Mr Talal</w:t>
      </w:r>
      <w:r>
        <w:rPr>
          <w:spacing w:val="-1"/>
        </w:rPr>
        <w:t xml:space="preserve"> </w:t>
      </w:r>
      <w:r>
        <w:t>Yassine OAM</w:t>
      </w:r>
      <w:r>
        <w:tab/>
        <w:t>BA Lib (Macquarie), Master of Laws (Sydney), MBA (Deakin).</w:t>
      </w:r>
      <w:r>
        <w:rPr>
          <w:spacing w:val="49"/>
        </w:rPr>
        <w:t xml:space="preserve"> </w:t>
      </w:r>
      <w:r>
        <w:t>Non-Executive.</w:t>
      </w:r>
    </w:p>
    <w:p w14:paraId="5B90BC7A" w14:textId="77777777" w:rsidR="00FA4AA8" w:rsidRDefault="0015611F">
      <w:pPr>
        <w:pStyle w:val="BodyText"/>
        <w:tabs>
          <w:tab w:val="left" w:pos="3761"/>
        </w:tabs>
        <w:spacing w:before="83"/>
        <w:ind w:left="3762" w:right="197" w:hanging="3258"/>
      </w:pPr>
      <w:r>
        <w:t>Experience</w:t>
      </w:r>
      <w:r>
        <w:tab/>
        <w:t xml:space="preserve">Appointed as Director 8 October 2010. Mr Talal Yassine OAM is an experienced lawyer, banker and Non-Executive Director. After 10 years at PricewaterhouseCoopers as a Director and strategist, he joined investment firm Babcock &amp; Brown Ltd in the Corporate Finance Group and later in the Technical Real Estate Division. Later he held leadership positions in Better Place Australia and is currently the Managing Director of Crescent Wealth. </w:t>
      </w:r>
      <w:r>
        <w:rPr>
          <w:spacing w:val="-9"/>
        </w:rPr>
        <w:t xml:space="preserve">Mr </w:t>
      </w:r>
      <w:r>
        <w:t>Yassine currently serves on the Board of Australia Post, Sydney Ports, the Whitlam Institute, The Australian Multicultural Council and as Deputy Chairman of the Gulf Australia Business Council. He has also served on the Board of Macquarie University; and as the Deputy Chairman of a government regulator, and as Chairman as Platinum Sound Pty Ltd. Mr Yassine holds a Master of Laws, a Master of Business Administration which was focused on international business strategy, as well as holding degrees in law and diplomas from the AICD and UNE in directorship. In November 2012, he was appointed as a Professorial Fellow at the Crawford School of Public Policy, at the Australian National University. On Australia Day 2010, he was awarded a Medal of the Order of Australia (OAM) for his service to business and to the community through a range of</w:t>
      </w:r>
      <w:r>
        <w:rPr>
          <w:spacing w:val="-1"/>
        </w:rPr>
        <w:t xml:space="preserve"> </w:t>
      </w:r>
      <w:r>
        <w:t>education.</w:t>
      </w:r>
    </w:p>
    <w:p w14:paraId="5A9B780C" w14:textId="77777777" w:rsidR="00FA4AA8" w:rsidRDefault="0015611F">
      <w:pPr>
        <w:pStyle w:val="BodyText"/>
        <w:tabs>
          <w:tab w:val="left" w:pos="3761"/>
        </w:tabs>
        <w:spacing w:before="130"/>
        <w:ind w:left="504"/>
      </w:pPr>
      <w:r>
        <w:t>Ms</w:t>
      </w:r>
      <w:r>
        <w:rPr>
          <w:spacing w:val="-1"/>
        </w:rPr>
        <w:t xml:space="preserve"> </w:t>
      </w:r>
      <w:r>
        <w:t>Catherine Dovey</w:t>
      </w:r>
      <w:r>
        <w:tab/>
        <w:t>BA (UNSW), Dip Ed (Sydney Teacher College). Non-Executive.</w:t>
      </w:r>
    </w:p>
    <w:p w14:paraId="19595B7F" w14:textId="77777777" w:rsidR="00FA4AA8" w:rsidRDefault="0015611F">
      <w:pPr>
        <w:pStyle w:val="BodyText"/>
        <w:tabs>
          <w:tab w:val="left" w:pos="3761"/>
        </w:tabs>
        <w:spacing w:before="83"/>
        <w:ind w:left="3762" w:right="231" w:hanging="3259"/>
      </w:pPr>
      <w:r>
        <w:t>Experience</w:t>
      </w:r>
      <w:r>
        <w:tab/>
        <w:t xml:space="preserve">Catherine Dovey worked in the New South Wales public service in public policy formulation and administration. Her roles include an early period as a probation and parole officer with the NSW Corrections system and later as a member of the parole Board of NSW. In the interim she served in a variety </w:t>
      </w:r>
      <w:r>
        <w:rPr>
          <w:spacing w:val="-9"/>
        </w:rPr>
        <w:t xml:space="preserve">of </w:t>
      </w:r>
      <w:r>
        <w:t>positions at Sydney Water. Catherine graduated from the University of New South Wales as a Bachelor of Arts and with a Diploma of Education from the then Sydney Teachers’ College. Catherine has always reflected a spirited engagement with community and education issues which included serving a decade as a Board member of the International Grammar</w:t>
      </w:r>
      <w:r>
        <w:rPr>
          <w:spacing w:val="-1"/>
        </w:rPr>
        <w:t xml:space="preserve"> </w:t>
      </w:r>
      <w:r>
        <w:t>School.</w:t>
      </w:r>
    </w:p>
    <w:p w14:paraId="1417E9A3" w14:textId="77777777" w:rsidR="00FA4AA8" w:rsidRDefault="0015611F">
      <w:pPr>
        <w:pStyle w:val="BodyText"/>
        <w:tabs>
          <w:tab w:val="left" w:pos="3761"/>
        </w:tabs>
        <w:spacing w:before="135"/>
        <w:ind w:left="503"/>
      </w:pPr>
      <w:r>
        <w:t>Mr</w:t>
      </w:r>
      <w:r>
        <w:rPr>
          <w:spacing w:val="-1"/>
        </w:rPr>
        <w:t xml:space="preserve"> </w:t>
      </w:r>
      <w:r>
        <w:t>Cameron Clyne</w:t>
      </w:r>
      <w:r>
        <w:tab/>
        <w:t>BA (Sydney).  Non-Executive.</w:t>
      </w:r>
    </w:p>
    <w:p w14:paraId="746AC52A" w14:textId="77777777" w:rsidR="00FA4AA8" w:rsidRDefault="0015611F">
      <w:pPr>
        <w:pStyle w:val="BodyText"/>
        <w:tabs>
          <w:tab w:val="left" w:pos="3761"/>
        </w:tabs>
        <w:spacing w:before="84"/>
        <w:ind w:left="3761" w:right="231" w:hanging="3258"/>
      </w:pPr>
      <w:r>
        <w:t>Experience</w:t>
      </w:r>
      <w:r>
        <w:tab/>
        <w:t xml:space="preserve">Cameron Clyne is currently Chairman of Camel Partners, a private advisory firm and the Camel Foundation. He is Chairman of the Australian Rugby Union; a director of SANZAAR Pty Ltd; the Western Sydney University Foundation; Camp Quality; a Patron of the Western Sydney Leadership Dialogue, and an Adjunct Professor at the WSU Business School. Cameron was Group Chief Executive Officer of National Australia Bank (NAB) from January 2009 until August 2014. He was also Chairman of Clydesdale Bank in the United Kingdom and a Director of the Bank of New Zealand. Prior to NAB Cameron was a Partner at PricewaterhouseCoopers (PwC). He </w:t>
      </w:r>
      <w:r>
        <w:rPr>
          <w:spacing w:val="-3"/>
        </w:rPr>
        <w:t xml:space="preserve">worked </w:t>
      </w:r>
      <w:r>
        <w:t>in their Sydney, Melbourne, San Francisco and New York offices. In 2008 he was named a Young Global Leader by the World Economic</w:t>
      </w:r>
      <w:r>
        <w:rPr>
          <w:spacing w:val="-1"/>
        </w:rPr>
        <w:t xml:space="preserve"> </w:t>
      </w:r>
      <w:r>
        <w:t>Forum.</w:t>
      </w:r>
    </w:p>
    <w:p w14:paraId="3F1AC9E1" w14:textId="77777777" w:rsidR="00FA4AA8" w:rsidRDefault="0015611F">
      <w:pPr>
        <w:pStyle w:val="BodyText"/>
        <w:tabs>
          <w:tab w:val="left" w:pos="3761"/>
        </w:tabs>
        <w:spacing w:before="134"/>
        <w:ind w:left="504"/>
      </w:pPr>
      <w:r>
        <w:t>Dr</w:t>
      </w:r>
      <w:r>
        <w:rPr>
          <w:spacing w:val="-1"/>
        </w:rPr>
        <w:t xml:space="preserve"> </w:t>
      </w:r>
      <w:r>
        <w:t>Rebecca Huntley</w:t>
      </w:r>
      <w:r>
        <w:tab/>
        <w:t>LLB (UNSW), BA (Honors) (UNSW), PhD (USYD).</w:t>
      </w:r>
      <w:r>
        <w:rPr>
          <w:spacing w:val="49"/>
        </w:rPr>
        <w:t xml:space="preserve"> </w:t>
      </w:r>
      <w:r>
        <w:t>Non-Executive.</w:t>
      </w:r>
    </w:p>
    <w:p w14:paraId="01BF8CB1" w14:textId="77777777" w:rsidR="00FA4AA8" w:rsidRDefault="0015611F">
      <w:pPr>
        <w:pStyle w:val="BodyText"/>
        <w:tabs>
          <w:tab w:val="left" w:pos="3761"/>
        </w:tabs>
        <w:spacing w:before="83"/>
        <w:ind w:left="3762" w:right="172" w:hanging="3259"/>
      </w:pPr>
      <w:r>
        <w:t>Experience</w:t>
      </w:r>
      <w:r>
        <w:tab/>
        <w:t xml:space="preserve">Dr Rebecca Huntley is one of Australia's foremost researchers on social trends. She holds degrees in law and film studies and a PhD in gender studies. For nearly nine years, Rebecca was at the global research firm Ipsos. From 2006 until 2015, she was the Director of the Mind &amp; Mood Report, Australia's longest-running social trends report. She is the author of </w:t>
      </w:r>
      <w:r>
        <w:rPr>
          <w:spacing w:val="-3"/>
        </w:rPr>
        <w:t xml:space="preserve">numerous </w:t>
      </w:r>
      <w:r>
        <w:t>books, and was a feature writer for Australian Vogue, a columnist for BRW and the presenter of Drive on a Friday on Radio National. She is on the Artistic Advisory Board of the Bell Shakespeare Company and is an adjunct senior lecturer at the School of Social Sciences at The University of New South Wales. Rebecca is currently the Head of Research at Essential Media, an integrated research and communications agency in Australia and New Zealand. Her latest book, Still Lucky: why you should be optimistic about Australia and its people was published by Penguin in January</w:t>
      </w:r>
      <w:r>
        <w:rPr>
          <w:spacing w:val="-1"/>
        </w:rPr>
        <w:t xml:space="preserve"> </w:t>
      </w:r>
      <w:r>
        <w:t>2017.</w:t>
      </w:r>
    </w:p>
    <w:p w14:paraId="2C850E83" w14:textId="77777777" w:rsidR="00FA4AA8" w:rsidRDefault="00FA4AA8">
      <w:pPr>
        <w:sectPr w:rsidR="00FA4AA8">
          <w:pgSz w:w="11910" w:h="16840"/>
          <w:pgMar w:top="3000" w:right="860" w:bottom="720" w:left="900" w:header="1017" w:footer="523" w:gutter="0"/>
          <w:cols w:space="720"/>
        </w:sectPr>
      </w:pPr>
    </w:p>
    <w:p w14:paraId="078A7184" w14:textId="77777777" w:rsidR="00FA4AA8" w:rsidRDefault="0015611F">
      <w:pPr>
        <w:pStyle w:val="BodyText"/>
        <w:tabs>
          <w:tab w:val="left" w:pos="3761"/>
        </w:tabs>
        <w:spacing w:before="140"/>
        <w:ind w:left="504"/>
      </w:pPr>
      <w:r>
        <w:t>The Hon. Peter Collins</w:t>
      </w:r>
      <w:r>
        <w:rPr>
          <w:spacing w:val="-1"/>
        </w:rPr>
        <w:t xml:space="preserve"> </w:t>
      </w:r>
      <w:r>
        <w:t>AM QC</w:t>
      </w:r>
      <w:r>
        <w:tab/>
        <w:t>BA, LLB (SYD) FAIST. Non-Executive.</w:t>
      </w:r>
    </w:p>
    <w:p w14:paraId="653188BA" w14:textId="77777777" w:rsidR="00FA4AA8" w:rsidRDefault="0015611F">
      <w:pPr>
        <w:pStyle w:val="BodyText"/>
        <w:tabs>
          <w:tab w:val="left" w:pos="3761"/>
        </w:tabs>
        <w:spacing w:before="83"/>
        <w:ind w:left="3761" w:right="198" w:hanging="3258"/>
      </w:pPr>
      <w:r>
        <w:t>Experience</w:t>
      </w:r>
      <w:r>
        <w:tab/>
        <w:t xml:space="preserve">Peter Collins was Leader of the Opposition (and leader of the Parliamentary Liberal Party) for more than three years from April 1995, having previously been a senior Minister in the Greiner/Fahey Coalition Government. He delivered two budgets as Treasurer of NSW in 1993 and 1994 and served terms as the Minister for Health, Attorney General, Minister for State Development, Minister for the Arts and Minister for Consumer Affairs </w:t>
      </w:r>
      <w:r>
        <w:rPr>
          <w:spacing w:val="-3"/>
        </w:rPr>
        <w:t xml:space="preserve">between </w:t>
      </w:r>
      <w:r>
        <w:t>1988 and 1993. He was a member of the NSW Parliament for more than 22 years. Prior to entering Parliament, Peter was a Barrister and founding member of Edmund Barton Chambers. During the Whitlam Government, he was an ABCTV Journalist with This Day Tonight (now 7.30 Report); following which he was Policy Research Manager for the NSW Liberal Party. A keen Army and later Navy Reserve officer, he is the only former Minister - Federal or State- to see Active Service since 1945 with a 3 month deployment to IRAQ in 2007. He left the Navy as a Captain in 2012. Peter established and chaired Barton Deakin Government Relations 2009-17; has chaired several public sector boards; and, is Chairman of Industry Super Australia and Director of HOSTPLUS.</w:t>
      </w:r>
    </w:p>
    <w:p w14:paraId="3857351E" w14:textId="77777777" w:rsidR="00FA4AA8" w:rsidRDefault="0015611F">
      <w:pPr>
        <w:pStyle w:val="BodyText"/>
        <w:tabs>
          <w:tab w:val="left" w:pos="3761"/>
        </w:tabs>
        <w:spacing w:before="131"/>
        <w:ind w:left="503"/>
      </w:pPr>
      <w:r>
        <w:t>Ms</w:t>
      </w:r>
      <w:r>
        <w:rPr>
          <w:spacing w:val="-1"/>
        </w:rPr>
        <w:t xml:space="preserve"> </w:t>
      </w:r>
      <w:r>
        <w:t>Rebecca Mifsud</w:t>
      </w:r>
      <w:r>
        <w:tab/>
        <w:t>BA, LLB (UNE). Non-Executive.</w:t>
      </w:r>
    </w:p>
    <w:p w14:paraId="049D88CF" w14:textId="77777777" w:rsidR="00FA4AA8" w:rsidRDefault="0015611F">
      <w:pPr>
        <w:pStyle w:val="BodyText"/>
        <w:tabs>
          <w:tab w:val="left" w:pos="3761"/>
        </w:tabs>
        <w:spacing w:before="83"/>
        <w:ind w:left="3762" w:right="177" w:hanging="3258"/>
      </w:pPr>
      <w:r>
        <w:t>Experience</w:t>
      </w:r>
      <w:r>
        <w:tab/>
        <w:t>Rebecca Mifsud is an experienced employment lawyer and industrial relations advocate, with broad corporate and Trade Union experience. She worked for the Electrical Trades Union throughout the 1990’s before moving to Corporate. She has previous Board experience and was a Member of the Board of Ausgrid for several years. She is currently a Manager at Sydney Water and resident in Western Sydney. She is and a mother of two, with a strong passion for public</w:t>
      </w:r>
      <w:r>
        <w:rPr>
          <w:spacing w:val="-1"/>
        </w:rPr>
        <w:t xml:space="preserve"> </w:t>
      </w:r>
      <w:r>
        <w:t>education.</w:t>
      </w:r>
    </w:p>
    <w:p w14:paraId="2A961690" w14:textId="77777777" w:rsidR="00FA4AA8" w:rsidRDefault="00FA4AA8">
      <w:pPr>
        <w:pStyle w:val="BodyText"/>
        <w:rPr>
          <w:sz w:val="20"/>
        </w:rPr>
      </w:pPr>
    </w:p>
    <w:p w14:paraId="5AEC4FFA" w14:textId="77777777" w:rsidR="00FA4AA8" w:rsidRDefault="00FA4AA8">
      <w:pPr>
        <w:pStyle w:val="BodyText"/>
        <w:spacing w:before="5"/>
        <w:rPr>
          <w:sz w:val="23"/>
        </w:rPr>
      </w:pPr>
    </w:p>
    <w:p w14:paraId="36C51678" w14:textId="77777777" w:rsidR="00FA4AA8" w:rsidRDefault="0015611F">
      <w:pPr>
        <w:pStyle w:val="BodyText"/>
        <w:tabs>
          <w:tab w:val="left" w:pos="3761"/>
        </w:tabs>
        <w:spacing w:line="260" w:lineRule="atLeast"/>
        <w:ind w:left="504" w:right="338"/>
      </w:pPr>
      <w:r>
        <w:t>Ms</w:t>
      </w:r>
      <w:r>
        <w:rPr>
          <w:spacing w:val="-1"/>
        </w:rPr>
        <w:t xml:space="preserve"> </w:t>
      </w:r>
      <w:r>
        <w:t>Amanda McKenzie</w:t>
      </w:r>
      <w:r>
        <w:tab/>
        <w:t>LLB (Honors) (Monash), BA (Political Science) (Melbourne). Non-Executive. Experience</w:t>
      </w:r>
      <w:r>
        <w:tab/>
        <w:t>Amanda McKenzie is an environmental leader and CEO of the</w:t>
      </w:r>
      <w:r>
        <w:rPr>
          <w:spacing w:val="-1"/>
        </w:rPr>
        <w:t xml:space="preserve"> </w:t>
      </w:r>
      <w:r>
        <w:t>Climate</w:t>
      </w:r>
    </w:p>
    <w:p w14:paraId="41FBBB9B" w14:textId="77777777" w:rsidR="00FA4AA8" w:rsidRDefault="0015611F">
      <w:pPr>
        <w:pStyle w:val="BodyText"/>
        <w:spacing w:before="4"/>
        <w:ind w:left="3761" w:right="175"/>
      </w:pPr>
      <w:r>
        <w:t>Council, which was launched following Australia's largest ever crowd-funding campaign. She is on the Board of the Centre for Australian Progress and on the Board of Plan International Australia. In 2014, Amanda was recognised as one of Westpac's 100 Women of Influence. Previously, Amanda founded the Australian Youth Climate Coalition.</w:t>
      </w:r>
    </w:p>
    <w:p w14:paraId="7159041E" w14:textId="77777777" w:rsidR="00FA4AA8" w:rsidRDefault="00FA4AA8">
      <w:pPr>
        <w:sectPr w:rsidR="00FA4AA8">
          <w:pgSz w:w="11910" w:h="16840"/>
          <w:pgMar w:top="3000" w:right="860" w:bottom="720" w:left="900" w:header="1017" w:footer="523" w:gutter="0"/>
          <w:cols w:space="720"/>
        </w:sectPr>
      </w:pPr>
    </w:p>
    <w:p w14:paraId="7EFFF8CB" w14:textId="77777777" w:rsidR="00FA4AA8" w:rsidRDefault="00FA4AA8">
      <w:pPr>
        <w:pStyle w:val="BodyText"/>
        <w:spacing w:before="6"/>
      </w:pPr>
    </w:p>
    <w:p w14:paraId="3CF8745D" w14:textId="77777777" w:rsidR="00FA4AA8" w:rsidRDefault="0015611F">
      <w:pPr>
        <w:spacing w:before="95"/>
        <w:ind w:left="502"/>
        <w:jc w:val="both"/>
        <w:rPr>
          <w:b/>
          <w:sz w:val="18"/>
        </w:rPr>
      </w:pPr>
      <w:r>
        <w:rPr>
          <w:b/>
          <w:sz w:val="18"/>
        </w:rPr>
        <w:t>Meetings of directors</w:t>
      </w:r>
    </w:p>
    <w:p w14:paraId="2294EDED" w14:textId="77777777" w:rsidR="00FA4AA8" w:rsidRDefault="0015611F">
      <w:pPr>
        <w:pStyle w:val="BodyText"/>
        <w:spacing w:before="4"/>
        <w:ind w:left="504" w:right="114"/>
        <w:jc w:val="both"/>
      </w:pPr>
      <w:r>
        <w:t>During the financial year, 4 meetings of directors (including committees of directors) were held. Attendances by each director during the year were as follows:</w:t>
      </w:r>
    </w:p>
    <w:p w14:paraId="46786448" w14:textId="77777777" w:rsidR="00FA4AA8" w:rsidRDefault="00FA4AA8">
      <w:pPr>
        <w:pStyle w:val="BodyText"/>
        <w:rPr>
          <w:sz w:val="20"/>
        </w:rPr>
      </w:pPr>
    </w:p>
    <w:p w14:paraId="13ABE711" w14:textId="77777777" w:rsidR="00FA4AA8" w:rsidRDefault="00FA4AA8">
      <w:pPr>
        <w:pStyle w:val="BodyText"/>
        <w:rPr>
          <w:sz w:val="12"/>
        </w:rPr>
      </w:pPr>
    </w:p>
    <w:tbl>
      <w:tblPr>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0"/>
        <w:gridCol w:w="1139"/>
        <w:gridCol w:w="1134"/>
      </w:tblGrid>
      <w:tr w:rsidR="00FA4AA8" w14:paraId="04167DC2" w14:textId="77777777">
        <w:trPr>
          <w:trHeight w:val="273"/>
        </w:trPr>
        <w:tc>
          <w:tcPr>
            <w:tcW w:w="2830" w:type="dxa"/>
            <w:vMerge w:val="restart"/>
            <w:tcBorders>
              <w:top w:val="nil"/>
              <w:left w:val="nil"/>
            </w:tcBorders>
          </w:tcPr>
          <w:p w14:paraId="44CC2089" w14:textId="77777777" w:rsidR="00FA4AA8" w:rsidRDefault="00FA4AA8">
            <w:pPr>
              <w:pStyle w:val="TableParagraph"/>
              <w:rPr>
                <w:rFonts w:ascii="Times New Roman"/>
                <w:sz w:val="16"/>
              </w:rPr>
            </w:pPr>
          </w:p>
        </w:tc>
        <w:tc>
          <w:tcPr>
            <w:tcW w:w="2273" w:type="dxa"/>
            <w:gridSpan w:val="2"/>
          </w:tcPr>
          <w:p w14:paraId="66090BCC" w14:textId="77777777" w:rsidR="00FA4AA8" w:rsidRDefault="0015611F">
            <w:pPr>
              <w:pStyle w:val="TableParagraph"/>
              <w:spacing w:before="53"/>
              <w:ind w:left="421"/>
              <w:rPr>
                <w:b/>
                <w:sz w:val="16"/>
              </w:rPr>
            </w:pPr>
            <w:r>
              <w:rPr>
                <w:b/>
                <w:sz w:val="16"/>
              </w:rPr>
              <w:t>Directors' Meetings</w:t>
            </w:r>
          </w:p>
        </w:tc>
      </w:tr>
      <w:tr w:rsidR="00FA4AA8" w14:paraId="1B3C8DB4" w14:textId="77777777">
        <w:trPr>
          <w:trHeight w:val="479"/>
        </w:trPr>
        <w:tc>
          <w:tcPr>
            <w:tcW w:w="2830" w:type="dxa"/>
            <w:vMerge/>
            <w:tcBorders>
              <w:top w:val="nil"/>
              <w:left w:val="nil"/>
            </w:tcBorders>
          </w:tcPr>
          <w:p w14:paraId="6DE33D7C" w14:textId="77777777" w:rsidR="00FA4AA8" w:rsidRDefault="00FA4AA8">
            <w:pPr>
              <w:rPr>
                <w:sz w:val="2"/>
                <w:szCs w:val="2"/>
              </w:rPr>
            </w:pPr>
          </w:p>
        </w:tc>
        <w:tc>
          <w:tcPr>
            <w:tcW w:w="1139" w:type="dxa"/>
          </w:tcPr>
          <w:p w14:paraId="41BABF39" w14:textId="77777777" w:rsidR="00FA4AA8" w:rsidRDefault="0015611F">
            <w:pPr>
              <w:pStyle w:val="TableParagraph"/>
              <w:spacing w:before="33" w:line="200" w:lineRule="atLeast"/>
              <w:ind w:left="292" w:right="-2" w:hanging="232"/>
              <w:rPr>
                <w:b/>
                <w:sz w:val="14"/>
              </w:rPr>
            </w:pPr>
            <w:r>
              <w:rPr>
                <w:b/>
                <w:sz w:val="14"/>
              </w:rPr>
              <w:t>Number eligible to attend</w:t>
            </w:r>
          </w:p>
        </w:tc>
        <w:tc>
          <w:tcPr>
            <w:tcW w:w="1134" w:type="dxa"/>
          </w:tcPr>
          <w:p w14:paraId="3446CD3E" w14:textId="77777777" w:rsidR="00FA4AA8" w:rsidRDefault="0015611F">
            <w:pPr>
              <w:pStyle w:val="TableParagraph"/>
              <w:spacing w:before="33" w:line="200" w:lineRule="atLeast"/>
              <w:ind w:left="299" w:right="221" w:firstLine="27"/>
              <w:rPr>
                <w:b/>
                <w:sz w:val="14"/>
              </w:rPr>
            </w:pPr>
            <w:r>
              <w:rPr>
                <w:b/>
                <w:sz w:val="14"/>
              </w:rPr>
              <w:t>Number attended</w:t>
            </w:r>
          </w:p>
        </w:tc>
      </w:tr>
      <w:tr w:rsidR="00FA4AA8" w14:paraId="68F15E80" w14:textId="77777777">
        <w:trPr>
          <w:trHeight w:val="245"/>
        </w:trPr>
        <w:tc>
          <w:tcPr>
            <w:tcW w:w="2830" w:type="dxa"/>
            <w:tcBorders>
              <w:bottom w:val="nil"/>
            </w:tcBorders>
          </w:tcPr>
          <w:p w14:paraId="7D15057C" w14:textId="77777777" w:rsidR="00FA4AA8" w:rsidRDefault="0015611F">
            <w:pPr>
              <w:pStyle w:val="TableParagraph"/>
              <w:spacing w:before="30"/>
              <w:ind w:left="68"/>
              <w:rPr>
                <w:sz w:val="16"/>
              </w:rPr>
            </w:pPr>
            <w:r>
              <w:rPr>
                <w:sz w:val="16"/>
              </w:rPr>
              <w:t>The Hon. John Faulkner</w:t>
            </w:r>
          </w:p>
        </w:tc>
        <w:tc>
          <w:tcPr>
            <w:tcW w:w="1139" w:type="dxa"/>
            <w:tcBorders>
              <w:bottom w:val="nil"/>
            </w:tcBorders>
          </w:tcPr>
          <w:p w14:paraId="2A8050BF" w14:textId="77777777" w:rsidR="00FA4AA8" w:rsidRDefault="0015611F">
            <w:pPr>
              <w:pStyle w:val="TableParagraph"/>
              <w:spacing w:before="29"/>
              <w:ind w:right="439"/>
              <w:jc w:val="right"/>
              <w:rPr>
                <w:sz w:val="16"/>
              </w:rPr>
            </w:pPr>
            <w:r>
              <w:rPr>
                <w:w w:val="99"/>
                <w:sz w:val="16"/>
              </w:rPr>
              <w:t>4</w:t>
            </w:r>
          </w:p>
        </w:tc>
        <w:tc>
          <w:tcPr>
            <w:tcW w:w="1134" w:type="dxa"/>
            <w:tcBorders>
              <w:bottom w:val="nil"/>
            </w:tcBorders>
          </w:tcPr>
          <w:p w14:paraId="17A67C0B" w14:textId="77777777" w:rsidR="00FA4AA8" w:rsidRDefault="0015611F">
            <w:pPr>
              <w:pStyle w:val="TableParagraph"/>
              <w:spacing w:before="29"/>
              <w:ind w:right="431"/>
              <w:jc w:val="right"/>
              <w:rPr>
                <w:sz w:val="16"/>
              </w:rPr>
            </w:pPr>
            <w:r>
              <w:rPr>
                <w:w w:val="99"/>
                <w:sz w:val="16"/>
              </w:rPr>
              <w:t>4</w:t>
            </w:r>
          </w:p>
        </w:tc>
      </w:tr>
      <w:tr w:rsidR="00FA4AA8" w14:paraId="486D983E" w14:textId="77777777">
        <w:trPr>
          <w:trHeight w:val="241"/>
        </w:trPr>
        <w:tc>
          <w:tcPr>
            <w:tcW w:w="2830" w:type="dxa"/>
            <w:tcBorders>
              <w:top w:val="nil"/>
              <w:bottom w:val="nil"/>
            </w:tcBorders>
          </w:tcPr>
          <w:p w14:paraId="0EC350A9" w14:textId="77777777" w:rsidR="00FA4AA8" w:rsidRDefault="0015611F">
            <w:pPr>
              <w:pStyle w:val="TableParagraph"/>
              <w:spacing w:before="26"/>
              <w:ind w:left="68"/>
              <w:rPr>
                <w:sz w:val="16"/>
              </w:rPr>
            </w:pPr>
            <w:r>
              <w:rPr>
                <w:sz w:val="16"/>
              </w:rPr>
              <w:t>Ms Patricia Amphlett OAM</w:t>
            </w:r>
          </w:p>
        </w:tc>
        <w:tc>
          <w:tcPr>
            <w:tcW w:w="1139" w:type="dxa"/>
            <w:tcBorders>
              <w:top w:val="nil"/>
              <w:bottom w:val="nil"/>
            </w:tcBorders>
          </w:tcPr>
          <w:p w14:paraId="75FA160B" w14:textId="77777777" w:rsidR="00FA4AA8" w:rsidRDefault="0015611F">
            <w:pPr>
              <w:pStyle w:val="TableParagraph"/>
              <w:spacing w:before="25"/>
              <w:ind w:right="439"/>
              <w:jc w:val="right"/>
              <w:rPr>
                <w:sz w:val="16"/>
              </w:rPr>
            </w:pPr>
            <w:r>
              <w:rPr>
                <w:w w:val="99"/>
                <w:sz w:val="16"/>
              </w:rPr>
              <w:t>4</w:t>
            </w:r>
          </w:p>
        </w:tc>
        <w:tc>
          <w:tcPr>
            <w:tcW w:w="1134" w:type="dxa"/>
            <w:tcBorders>
              <w:top w:val="nil"/>
              <w:bottom w:val="nil"/>
            </w:tcBorders>
          </w:tcPr>
          <w:p w14:paraId="162C9C1C" w14:textId="77777777" w:rsidR="00FA4AA8" w:rsidRDefault="0015611F">
            <w:pPr>
              <w:pStyle w:val="TableParagraph"/>
              <w:spacing w:before="25"/>
              <w:ind w:right="431"/>
              <w:jc w:val="right"/>
              <w:rPr>
                <w:sz w:val="16"/>
              </w:rPr>
            </w:pPr>
            <w:r>
              <w:rPr>
                <w:w w:val="99"/>
                <w:sz w:val="16"/>
              </w:rPr>
              <w:t>4</w:t>
            </w:r>
          </w:p>
        </w:tc>
      </w:tr>
      <w:tr w:rsidR="00FA4AA8" w14:paraId="366C09B2" w14:textId="77777777">
        <w:trPr>
          <w:trHeight w:val="241"/>
        </w:trPr>
        <w:tc>
          <w:tcPr>
            <w:tcW w:w="2830" w:type="dxa"/>
            <w:tcBorders>
              <w:top w:val="nil"/>
              <w:bottom w:val="nil"/>
            </w:tcBorders>
          </w:tcPr>
          <w:p w14:paraId="2F765399" w14:textId="77777777" w:rsidR="00FA4AA8" w:rsidRDefault="0015611F">
            <w:pPr>
              <w:pStyle w:val="TableParagraph"/>
              <w:spacing w:before="26"/>
              <w:ind w:left="68"/>
              <w:rPr>
                <w:sz w:val="16"/>
              </w:rPr>
            </w:pPr>
            <w:r>
              <w:rPr>
                <w:sz w:val="16"/>
              </w:rPr>
              <w:t>Prof. Barney Glover</w:t>
            </w:r>
          </w:p>
        </w:tc>
        <w:tc>
          <w:tcPr>
            <w:tcW w:w="1139" w:type="dxa"/>
            <w:tcBorders>
              <w:top w:val="nil"/>
              <w:bottom w:val="nil"/>
            </w:tcBorders>
          </w:tcPr>
          <w:p w14:paraId="6971DC96" w14:textId="77777777" w:rsidR="00FA4AA8" w:rsidRDefault="0015611F">
            <w:pPr>
              <w:pStyle w:val="TableParagraph"/>
              <w:spacing w:before="25"/>
              <w:ind w:right="439"/>
              <w:jc w:val="right"/>
              <w:rPr>
                <w:sz w:val="16"/>
              </w:rPr>
            </w:pPr>
            <w:r>
              <w:rPr>
                <w:w w:val="99"/>
                <w:sz w:val="16"/>
              </w:rPr>
              <w:t>4</w:t>
            </w:r>
          </w:p>
        </w:tc>
        <w:tc>
          <w:tcPr>
            <w:tcW w:w="1134" w:type="dxa"/>
            <w:tcBorders>
              <w:top w:val="nil"/>
              <w:bottom w:val="nil"/>
            </w:tcBorders>
          </w:tcPr>
          <w:p w14:paraId="502855AF" w14:textId="77777777" w:rsidR="00FA4AA8" w:rsidRDefault="0015611F">
            <w:pPr>
              <w:pStyle w:val="TableParagraph"/>
              <w:spacing w:before="25"/>
              <w:ind w:right="431"/>
              <w:jc w:val="right"/>
              <w:rPr>
                <w:sz w:val="16"/>
              </w:rPr>
            </w:pPr>
            <w:r>
              <w:rPr>
                <w:w w:val="99"/>
                <w:sz w:val="16"/>
              </w:rPr>
              <w:t>4</w:t>
            </w:r>
          </w:p>
        </w:tc>
      </w:tr>
      <w:tr w:rsidR="00FA4AA8" w14:paraId="0A7C6C09" w14:textId="77777777">
        <w:trPr>
          <w:trHeight w:val="241"/>
        </w:trPr>
        <w:tc>
          <w:tcPr>
            <w:tcW w:w="2830" w:type="dxa"/>
            <w:tcBorders>
              <w:top w:val="nil"/>
              <w:bottom w:val="nil"/>
            </w:tcBorders>
          </w:tcPr>
          <w:p w14:paraId="69BCB373" w14:textId="77777777" w:rsidR="00FA4AA8" w:rsidRDefault="0015611F">
            <w:pPr>
              <w:pStyle w:val="TableParagraph"/>
              <w:spacing w:before="26"/>
              <w:ind w:left="68"/>
              <w:rPr>
                <w:sz w:val="16"/>
              </w:rPr>
            </w:pPr>
            <w:r>
              <w:rPr>
                <w:sz w:val="16"/>
              </w:rPr>
              <w:t>Ms Gabrielle Trainor AO</w:t>
            </w:r>
          </w:p>
        </w:tc>
        <w:tc>
          <w:tcPr>
            <w:tcW w:w="1139" w:type="dxa"/>
            <w:tcBorders>
              <w:top w:val="nil"/>
              <w:bottom w:val="nil"/>
            </w:tcBorders>
          </w:tcPr>
          <w:p w14:paraId="073D2F0D" w14:textId="77777777" w:rsidR="00FA4AA8" w:rsidRDefault="0015611F">
            <w:pPr>
              <w:pStyle w:val="TableParagraph"/>
              <w:spacing w:before="25"/>
              <w:ind w:right="439"/>
              <w:jc w:val="right"/>
              <w:rPr>
                <w:sz w:val="16"/>
              </w:rPr>
            </w:pPr>
            <w:r>
              <w:rPr>
                <w:w w:val="99"/>
                <w:sz w:val="16"/>
              </w:rPr>
              <w:t>4</w:t>
            </w:r>
          </w:p>
        </w:tc>
        <w:tc>
          <w:tcPr>
            <w:tcW w:w="1134" w:type="dxa"/>
            <w:tcBorders>
              <w:top w:val="nil"/>
              <w:bottom w:val="nil"/>
            </w:tcBorders>
          </w:tcPr>
          <w:p w14:paraId="5142CB41" w14:textId="77777777" w:rsidR="00FA4AA8" w:rsidRDefault="0015611F">
            <w:pPr>
              <w:pStyle w:val="TableParagraph"/>
              <w:spacing w:before="25"/>
              <w:ind w:right="431"/>
              <w:jc w:val="right"/>
              <w:rPr>
                <w:sz w:val="16"/>
              </w:rPr>
            </w:pPr>
            <w:r>
              <w:rPr>
                <w:w w:val="99"/>
                <w:sz w:val="16"/>
              </w:rPr>
              <w:t>3</w:t>
            </w:r>
          </w:p>
        </w:tc>
      </w:tr>
      <w:tr w:rsidR="00FA4AA8" w14:paraId="1411D9AD" w14:textId="77777777">
        <w:trPr>
          <w:trHeight w:val="241"/>
        </w:trPr>
        <w:tc>
          <w:tcPr>
            <w:tcW w:w="2830" w:type="dxa"/>
            <w:tcBorders>
              <w:top w:val="nil"/>
              <w:bottom w:val="nil"/>
            </w:tcBorders>
          </w:tcPr>
          <w:p w14:paraId="62494C91" w14:textId="77777777" w:rsidR="00FA4AA8" w:rsidRDefault="0015611F">
            <w:pPr>
              <w:pStyle w:val="TableParagraph"/>
              <w:spacing w:before="26"/>
              <w:ind w:left="68"/>
              <w:rPr>
                <w:sz w:val="16"/>
              </w:rPr>
            </w:pPr>
            <w:r>
              <w:rPr>
                <w:sz w:val="16"/>
              </w:rPr>
              <w:t>Mr Talal Yassine OAM</w:t>
            </w:r>
          </w:p>
        </w:tc>
        <w:tc>
          <w:tcPr>
            <w:tcW w:w="1139" w:type="dxa"/>
            <w:tcBorders>
              <w:top w:val="nil"/>
              <w:bottom w:val="nil"/>
            </w:tcBorders>
          </w:tcPr>
          <w:p w14:paraId="310B3277" w14:textId="77777777" w:rsidR="00FA4AA8" w:rsidRDefault="0015611F">
            <w:pPr>
              <w:pStyle w:val="TableParagraph"/>
              <w:spacing w:before="25"/>
              <w:ind w:right="439"/>
              <w:jc w:val="right"/>
              <w:rPr>
                <w:sz w:val="16"/>
              </w:rPr>
            </w:pPr>
            <w:r>
              <w:rPr>
                <w:w w:val="99"/>
                <w:sz w:val="16"/>
              </w:rPr>
              <w:t>4</w:t>
            </w:r>
          </w:p>
        </w:tc>
        <w:tc>
          <w:tcPr>
            <w:tcW w:w="1134" w:type="dxa"/>
            <w:tcBorders>
              <w:top w:val="nil"/>
              <w:bottom w:val="nil"/>
            </w:tcBorders>
          </w:tcPr>
          <w:p w14:paraId="159BC644" w14:textId="77777777" w:rsidR="00FA4AA8" w:rsidRDefault="0015611F">
            <w:pPr>
              <w:pStyle w:val="TableParagraph"/>
              <w:spacing w:before="25"/>
              <w:ind w:right="431"/>
              <w:jc w:val="right"/>
              <w:rPr>
                <w:sz w:val="16"/>
              </w:rPr>
            </w:pPr>
            <w:r>
              <w:rPr>
                <w:w w:val="99"/>
                <w:sz w:val="16"/>
              </w:rPr>
              <w:t>2</w:t>
            </w:r>
          </w:p>
        </w:tc>
      </w:tr>
      <w:tr w:rsidR="00FA4AA8" w14:paraId="72058926" w14:textId="77777777">
        <w:trPr>
          <w:trHeight w:val="241"/>
        </w:trPr>
        <w:tc>
          <w:tcPr>
            <w:tcW w:w="2830" w:type="dxa"/>
            <w:tcBorders>
              <w:top w:val="nil"/>
              <w:bottom w:val="nil"/>
            </w:tcBorders>
          </w:tcPr>
          <w:p w14:paraId="0BD87374" w14:textId="77777777" w:rsidR="00FA4AA8" w:rsidRDefault="0015611F">
            <w:pPr>
              <w:pStyle w:val="TableParagraph"/>
              <w:spacing w:before="26"/>
              <w:ind w:left="68"/>
              <w:rPr>
                <w:sz w:val="16"/>
              </w:rPr>
            </w:pPr>
            <w:r>
              <w:rPr>
                <w:sz w:val="16"/>
              </w:rPr>
              <w:t>Ms Catherine Dovey</w:t>
            </w:r>
          </w:p>
        </w:tc>
        <w:tc>
          <w:tcPr>
            <w:tcW w:w="1139" w:type="dxa"/>
            <w:tcBorders>
              <w:top w:val="nil"/>
              <w:bottom w:val="nil"/>
            </w:tcBorders>
          </w:tcPr>
          <w:p w14:paraId="09D1E610" w14:textId="77777777" w:rsidR="00FA4AA8" w:rsidRDefault="0015611F">
            <w:pPr>
              <w:pStyle w:val="TableParagraph"/>
              <w:spacing w:before="25"/>
              <w:ind w:right="439"/>
              <w:jc w:val="right"/>
              <w:rPr>
                <w:sz w:val="16"/>
              </w:rPr>
            </w:pPr>
            <w:r>
              <w:rPr>
                <w:w w:val="99"/>
                <w:sz w:val="16"/>
              </w:rPr>
              <w:t>4</w:t>
            </w:r>
          </w:p>
        </w:tc>
        <w:tc>
          <w:tcPr>
            <w:tcW w:w="1134" w:type="dxa"/>
            <w:tcBorders>
              <w:top w:val="nil"/>
              <w:bottom w:val="nil"/>
            </w:tcBorders>
          </w:tcPr>
          <w:p w14:paraId="54739AC6" w14:textId="77777777" w:rsidR="00FA4AA8" w:rsidRDefault="0015611F">
            <w:pPr>
              <w:pStyle w:val="TableParagraph"/>
              <w:spacing w:before="25"/>
              <w:ind w:right="431"/>
              <w:jc w:val="right"/>
              <w:rPr>
                <w:sz w:val="16"/>
              </w:rPr>
            </w:pPr>
            <w:r>
              <w:rPr>
                <w:w w:val="99"/>
                <w:sz w:val="16"/>
              </w:rPr>
              <w:t>3</w:t>
            </w:r>
          </w:p>
        </w:tc>
      </w:tr>
      <w:tr w:rsidR="00FA4AA8" w14:paraId="1B6B5AEC" w14:textId="77777777">
        <w:trPr>
          <w:trHeight w:val="241"/>
        </w:trPr>
        <w:tc>
          <w:tcPr>
            <w:tcW w:w="2830" w:type="dxa"/>
            <w:tcBorders>
              <w:top w:val="nil"/>
              <w:bottom w:val="nil"/>
            </w:tcBorders>
          </w:tcPr>
          <w:p w14:paraId="596B743C" w14:textId="77777777" w:rsidR="00FA4AA8" w:rsidRDefault="0015611F">
            <w:pPr>
              <w:pStyle w:val="TableParagraph"/>
              <w:spacing w:before="26"/>
              <w:ind w:left="68"/>
              <w:rPr>
                <w:sz w:val="16"/>
              </w:rPr>
            </w:pPr>
            <w:r>
              <w:rPr>
                <w:sz w:val="16"/>
              </w:rPr>
              <w:t>Mr Cameron Clyne</w:t>
            </w:r>
          </w:p>
        </w:tc>
        <w:tc>
          <w:tcPr>
            <w:tcW w:w="1139" w:type="dxa"/>
            <w:tcBorders>
              <w:top w:val="nil"/>
              <w:bottom w:val="nil"/>
            </w:tcBorders>
          </w:tcPr>
          <w:p w14:paraId="0A56FE56" w14:textId="77777777" w:rsidR="00FA4AA8" w:rsidRDefault="0015611F">
            <w:pPr>
              <w:pStyle w:val="TableParagraph"/>
              <w:spacing w:before="25"/>
              <w:ind w:right="439"/>
              <w:jc w:val="right"/>
              <w:rPr>
                <w:sz w:val="16"/>
              </w:rPr>
            </w:pPr>
            <w:r>
              <w:rPr>
                <w:w w:val="99"/>
                <w:sz w:val="16"/>
              </w:rPr>
              <w:t>4</w:t>
            </w:r>
          </w:p>
        </w:tc>
        <w:tc>
          <w:tcPr>
            <w:tcW w:w="1134" w:type="dxa"/>
            <w:tcBorders>
              <w:top w:val="nil"/>
              <w:bottom w:val="nil"/>
            </w:tcBorders>
          </w:tcPr>
          <w:p w14:paraId="4667E93B" w14:textId="77777777" w:rsidR="00FA4AA8" w:rsidRDefault="0015611F">
            <w:pPr>
              <w:pStyle w:val="TableParagraph"/>
              <w:spacing w:before="25"/>
              <w:ind w:right="431"/>
              <w:jc w:val="right"/>
              <w:rPr>
                <w:sz w:val="16"/>
              </w:rPr>
            </w:pPr>
            <w:r>
              <w:rPr>
                <w:w w:val="99"/>
                <w:sz w:val="16"/>
              </w:rPr>
              <w:t>3</w:t>
            </w:r>
          </w:p>
        </w:tc>
      </w:tr>
      <w:tr w:rsidR="00FA4AA8" w14:paraId="49601C3A" w14:textId="77777777">
        <w:trPr>
          <w:trHeight w:val="241"/>
        </w:trPr>
        <w:tc>
          <w:tcPr>
            <w:tcW w:w="2830" w:type="dxa"/>
            <w:tcBorders>
              <w:top w:val="nil"/>
              <w:bottom w:val="nil"/>
            </w:tcBorders>
          </w:tcPr>
          <w:p w14:paraId="008BC516" w14:textId="77777777" w:rsidR="00FA4AA8" w:rsidRDefault="0015611F">
            <w:pPr>
              <w:pStyle w:val="TableParagraph"/>
              <w:spacing w:before="26"/>
              <w:ind w:left="68"/>
              <w:rPr>
                <w:sz w:val="16"/>
              </w:rPr>
            </w:pPr>
            <w:r>
              <w:rPr>
                <w:sz w:val="16"/>
              </w:rPr>
              <w:t>Dr Rebecca Huntley</w:t>
            </w:r>
          </w:p>
        </w:tc>
        <w:tc>
          <w:tcPr>
            <w:tcW w:w="1139" w:type="dxa"/>
            <w:tcBorders>
              <w:top w:val="nil"/>
              <w:bottom w:val="nil"/>
            </w:tcBorders>
          </w:tcPr>
          <w:p w14:paraId="0D149D0F" w14:textId="77777777" w:rsidR="00FA4AA8" w:rsidRDefault="0015611F">
            <w:pPr>
              <w:pStyle w:val="TableParagraph"/>
              <w:spacing w:before="25"/>
              <w:ind w:right="439"/>
              <w:jc w:val="right"/>
              <w:rPr>
                <w:sz w:val="16"/>
              </w:rPr>
            </w:pPr>
            <w:r>
              <w:rPr>
                <w:w w:val="99"/>
                <w:sz w:val="16"/>
              </w:rPr>
              <w:t>4</w:t>
            </w:r>
          </w:p>
        </w:tc>
        <w:tc>
          <w:tcPr>
            <w:tcW w:w="1134" w:type="dxa"/>
            <w:tcBorders>
              <w:top w:val="nil"/>
              <w:bottom w:val="nil"/>
            </w:tcBorders>
          </w:tcPr>
          <w:p w14:paraId="6ADA078A" w14:textId="77777777" w:rsidR="00FA4AA8" w:rsidRDefault="0015611F">
            <w:pPr>
              <w:pStyle w:val="TableParagraph"/>
              <w:spacing w:before="25"/>
              <w:ind w:right="431"/>
              <w:jc w:val="right"/>
              <w:rPr>
                <w:sz w:val="16"/>
              </w:rPr>
            </w:pPr>
            <w:r>
              <w:rPr>
                <w:w w:val="99"/>
                <w:sz w:val="16"/>
              </w:rPr>
              <w:t>4</w:t>
            </w:r>
          </w:p>
        </w:tc>
      </w:tr>
      <w:tr w:rsidR="00FA4AA8" w14:paraId="5A90595B" w14:textId="77777777">
        <w:trPr>
          <w:trHeight w:val="241"/>
        </w:trPr>
        <w:tc>
          <w:tcPr>
            <w:tcW w:w="2830" w:type="dxa"/>
            <w:tcBorders>
              <w:top w:val="nil"/>
              <w:bottom w:val="nil"/>
            </w:tcBorders>
          </w:tcPr>
          <w:p w14:paraId="0727AC46" w14:textId="77777777" w:rsidR="00FA4AA8" w:rsidRDefault="0015611F">
            <w:pPr>
              <w:pStyle w:val="TableParagraph"/>
              <w:spacing w:before="26"/>
              <w:ind w:left="68"/>
              <w:rPr>
                <w:sz w:val="16"/>
              </w:rPr>
            </w:pPr>
            <w:r>
              <w:rPr>
                <w:sz w:val="16"/>
              </w:rPr>
              <w:t>The Hon. Peter Collins AM QC</w:t>
            </w:r>
          </w:p>
        </w:tc>
        <w:tc>
          <w:tcPr>
            <w:tcW w:w="1139" w:type="dxa"/>
            <w:tcBorders>
              <w:top w:val="nil"/>
              <w:bottom w:val="nil"/>
            </w:tcBorders>
          </w:tcPr>
          <w:p w14:paraId="1808ACAF" w14:textId="77777777" w:rsidR="00FA4AA8" w:rsidRDefault="0015611F">
            <w:pPr>
              <w:pStyle w:val="TableParagraph"/>
              <w:spacing w:before="25"/>
              <w:ind w:right="439"/>
              <w:jc w:val="right"/>
              <w:rPr>
                <w:sz w:val="16"/>
              </w:rPr>
            </w:pPr>
            <w:r>
              <w:rPr>
                <w:w w:val="99"/>
                <w:sz w:val="16"/>
              </w:rPr>
              <w:t>2</w:t>
            </w:r>
          </w:p>
        </w:tc>
        <w:tc>
          <w:tcPr>
            <w:tcW w:w="1134" w:type="dxa"/>
            <w:tcBorders>
              <w:top w:val="nil"/>
              <w:bottom w:val="nil"/>
            </w:tcBorders>
          </w:tcPr>
          <w:p w14:paraId="1FD57258" w14:textId="77777777" w:rsidR="00FA4AA8" w:rsidRDefault="0015611F">
            <w:pPr>
              <w:pStyle w:val="TableParagraph"/>
              <w:spacing w:before="25"/>
              <w:ind w:right="431"/>
              <w:jc w:val="right"/>
              <w:rPr>
                <w:sz w:val="16"/>
              </w:rPr>
            </w:pPr>
            <w:r>
              <w:rPr>
                <w:w w:val="99"/>
                <w:sz w:val="16"/>
              </w:rPr>
              <w:t>2</w:t>
            </w:r>
          </w:p>
        </w:tc>
      </w:tr>
      <w:tr w:rsidR="00FA4AA8" w14:paraId="54722A83" w14:textId="77777777">
        <w:trPr>
          <w:trHeight w:val="241"/>
        </w:trPr>
        <w:tc>
          <w:tcPr>
            <w:tcW w:w="2830" w:type="dxa"/>
            <w:tcBorders>
              <w:top w:val="nil"/>
              <w:bottom w:val="nil"/>
            </w:tcBorders>
          </w:tcPr>
          <w:p w14:paraId="6EC0EB85" w14:textId="77777777" w:rsidR="00FA4AA8" w:rsidRDefault="0015611F">
            <w:pPr>
              <w:pStyle w:val="TableParagraph"/>
              <w:spacing w:before="26"/>
              <w:ind w:left="68"/>
              <w:rPr>
                <w:sz w:val="16"/>
              </w:rPr>
            </w:pPr>
            <w:r>
              <w:rPr>
                <w:sz w:val="16"/>
              </w:rPr>
              <w:t>Ms Rebecca Mifsud</w:t>
            </w:r>
          </w:p>
        </w:tc>
        <w:tc>
          <w:tcPr>
            <w:tcW w:w="1139" w:type="dxa"/>
            <w:tcBorders>
              <w:top w:val="nil"/>
              <w:bottom w:val="nil"/>
            </w:tcBorders>
          </w:tcPr>
          <w:p w14:paraId="7A1849FE" w14:textId="77777777" w:rsidR="00FA4AA8" w:rsidRDefault="0015611F">
            <w:pPr>
              <w:pStyle w:val="TableParagraph"/>
              <w:spacing w:before="25"/>
              <w:ind w:right="439"/>
              <w:jc w:val="right"/>
              <w:rPr>
                <w:sz w:val="16"/>
              </w:rPr>
            </w:pPr>
            <w:r>
              <w:rPr>
                <w:w w:val="99"/>
                <w:sz w:val="16"/>
              </w:rPr>
              <w:t>-</w:t>
            </w:r>
          </w:p>
        </w:tc>
        <w:tc>
          <w:tcPr>
            <w:tcW w:w="1134" w:type="dxa"/>
            <w:tcBorders>
              <w:top w:val="nil"/>
              <w:bottom w:val="nil"/>
            </w:tcBorders>
          </w:tcPr>
          <w:p w14:paraId="10DB9F12" w14:textId="77777777" w:rsidR="00FA4AA8" w:rsidRDefault="0015611F">
            <w:pPr>
              <w:pStyle w:val="TableParagraph"/>
              <w:spacing w:before="25"/>
              <w:ind w:right="430"/>
              <w:jc w:val="right"/>
              <w:rPr>
                <w:sz w:val="16"/>
              </w:rPr>
            </w:pPr>
            <w:r>
              <w:rPr>
                <w:w w:val="99"/>
                <w:sz w:val="16"/>
              </w:rPr>
              <w:t>-</w:t>
            </w:r>
          </w:p>
        </w:tc>
      </w:tr>
      <w:tr w:rsidR="00FA4AA8" w14:paraId="07193A59" w14:textId="77777777">
        <w:trPr>
          <w:trHeight w:val="478"/>
        </w:trPr>
        <w:tc>
          <w:tcPr>
            <w:tcW w:w="2830" w:type="dxa"/>
            <w:tcBorders>
              <w:top w:val="nil"/>
            </w:tcBorders>
          </w:tcPr>
          <w:p w14:paraId="3AD5CD8A" w14:textId="77777777" w:rsidR="00FA4AA8" w:rsidRDefault="0015611F">
            <w:pPr>
              <w:pStyle w:val="TableParagraph"/>
              <w:spacing w:before="26"/>
              <w:ind w:left="68"/>
              <w:rPr>
                <w:sz w:val="16"/>
              </w:rPr>
            </w:pPr>
            <w:r>
              <w:rPr>
                <w:sz w:val="16"/>
              </w:rPr>
              <w:t>Ms Amanda McKenzie</w:t>
            </w:r>
          </w:p>
        </w:tc>
        <w:tc>
          <w:tcPr>
            <w:tcW w:w="1139" w:type="dxa"/>
            <w:tcBorders>
              <w:top w:val="nil"/>
            </w:tcBorders>
          </w:tcPr>
          <w:p w14:paraId="373AFAD4" w14:textId="77777777" w:rsidR="00FA4AA8" w:rsidRDefault="0015611F">
            <w:pPr>
              <w:pStyle w:val="TableParagraph"/>
              <w:spacing w:before="25"/>
              <w:ind w:right="439"/>
              <w:jc w:val="right"/>
              <w:rPr>
                <w:sz w:val="16"/>
              </w:rPr>
            </w:pPr>
            <w:r>
              <w:rPr>
                <w:w w:val="99"/>
                <w:sz w:val="16"/>
              </w:rPr>
              <w:t>3</w:t>
            </w:r>
          </w:p>
        </w:tc>
        <w:tc>
          <w:tcPr>
            <w:tcW w:w="1134" w:type="dxa"/>
            <w:tcBorders>
              <w:top w:val="nil"/>
            </w:tcBorders>
          </w:tcPr>
          <w:p w14:paraId="6CB56CBB" w14:textId="77777777" w:rsidR="00FA4AA8" w:rsidRDefault="0015611F">
            <w:pPr>
              <w:pStyle w:val="TableParagraph"/>
              <w:spacing w:before="25"/>
              <w:ind w:right="431"/>
              <w:jc w:val="right"/>
              <w:rPr>
                <w:sz w:val="16"/>
              </w:rPr>
            </w:pPr>
            <w:r>
              <w:rPr>
                <w:w w:val="99"/>
                <w:sz w:val="16"/>
              </w:rPr>
              <w:t>1</w:t>
            </w:r>
          </w:p>
        </w:tc>
      </w:tr>
    </w:tbl>
    <w:p w14:paraId="6DE017E9" w14:textId="77777777" w:rsidR="00FA4AA8" w:rsidRDefault="00FA4AA8">
      <w:pPr>
        <w:pStyle w:val="BodyText"/>
        <w:spacing w:before="2"/>
        <w:rPr>
          <w:sz w:val="25"/>
        </w:rPr>
      </w:pPr>
    </w:p>
    <w:p w14:paraId="49022C99" w14:textId="77777777" w:rsidR="00FA4AA8" w:rsidRDefault="0015611F">
      <w:pPr>
        <w:spacing w:line="207" w:lineRule="exact"/>
        <w:ind w:left="502"/>
        <w:jc w:val="both"/>
        <w:rPr>
          <w:b/>
          <w:sz w:val="18"/>
        </w:rPr>
      </w:pPr>
      <w:r>
        <w:rPr>
          <w:b/>
          <w:sz w:val="18"/>
        </w:rPr>
        <w:t>Indemnification of Directors and Officers</w:t>
      </w:r>
    </w:p>
    <w:p w14:paraId="7375B33C" w14:textId="77777777" w:rsidR="00FA4AA8" w:rsidRDefault="0015611F">
      <w:pPr>
        <w:pStyle w:val="BodyText"/>
        <w:ind w:left="503" w:right="112"/>
        <w:jc w:val="both"/>
      </w:pPr>
      <w:r>
        <w:t>Whitlam Institute within Western Sydney University Limited is insured externally and in line with the Western Sydney University policies for all significant areas of risk exposure and accordingly, is not a self-insurer and makes no provision in its financial statements for internal coverage.</w:t>
      </w:r>
    </w:p>
    <w:p w14:paraId="0569F3D8" w14:textId="77777777" w:rsidR="00FA4AA8" w:rsidRDefault="00FA4AA8">
      <w:pPr>
        <w:pStyle w:val="BodyText"/>
        <w:rPr>
          <w:sz w:val="25"/>
        </w:rPr>
      </w:pPr>
    </w:p>
    <w:p w14:paraId="4CBC6070" w14:textId="77777777" w:rsidR="00FA4AA8" w:rsidRDefault="0015611F">
      <w:pPr>
        <w:spacing w:line="207" w:lineRule="exact"/>
        <w:ind w:left="502"/>
        <w:jc w:val="both"/>
        <w:rPr>
          <w:b/>
          <w:sz w:val="18"/>
        </w:rPr>
      </w:pPr>
      <w:r>
        <w:rPr>
          <w:b/>
          <w:sz w:val="18"/>
        </w:rPr>
        <w:t>Proceedings on behalf of company</w:t>
      </w:r>
    </w:p>
    <w:p w14:paraId="71CC80A7" w14:textId="77777777" w:rsidR="00FA4AA8" w:rsidRDefault="0015611F">
      <w:pPr>
        <w:pStyle w:val="BodyText"/>
        <w:ind w:left="504" w:right="113"/>
        <w:jc w:val="both"/>
      </w:pPr>
      <w:r>
        <w:t xml:space="preserve">No person has applied to the Court under section 237 of the </w:t>
      </w:r>
      <w:r>
        <w:rPr>
          <w:i/>
        </w:rPr>
        <w:t xml:space="preserve">Corporations Act 2001 </w:t>
      </w:r>
      <w:r>
        <w:t>for leave to bring proceedings on behalf of the Company or to intervene in any proceedings to which the Company is a party, for the purpose of taking responsibility on behalf of the Company for all or any part of those proceedings.</w:t>
      </w:r>
    </w:p>
    <w:p w14:paraId="4D7069F3" w14:textId="77777777" w:rsidR="00FA4AA8" w:rsidRDefault="00FA4AA8">
      <w:pPr>
        <w:pStyle w:val="BodyText"/>
        <w:rPr>
          <w:sz w:val="20"/>
        </w:rPr>
      </w:pPr>
    </w:p>
    <w:p w14:paraId="6C9D5CAD" w14:textId="77777777" w:rsidR="00FA4AA8" w:rsidRDefault="00FA4AA8">
      <w:pPr>
        <w:pStyle w:val="BodyText"/>
        <w:rPr>
          <w:sz w:val="20"/>
        </w:rPr>
      </w:pPr>
    </w:p>
    <w:p w14:paraId="6BF94B09" w14:textId="77777777" w:rsidR="00FA4AA8" w:rsidRDefault="00FA4AA8">
      <w:pPr>
        <w:pStyle w:val="BodyText"/>
        <w:spacing w:before="1"/>
        <w:rPr>
          <w:sz w:val="28"/>
        </w:rPr>
      </w:pPr>
    </w:p>
    <w:p w14:paraId="55C09194" w14:textId="77777777" w:rsidR="00FA4AA8" w:rsidRDefault="0015611F">
      <w:pPr>
        <w:pStyle w:val="BodyText"/>
        <w:ind w:left="503"/>
        <w:jc w:val="both"/>
      </w:pPr>
      <w:r>
        <w:t>Signed in accordance with a resolution of the Board of Directors'.</w:t>
      </w:r>
    </w:p>
    <w:p w14:paraId="579DB79A" w14:textId="77777777" w:rsidR="00FA4AA8" w:rsidRDefault="00FA4AA8">
      <w:pPr>
        <w:pStyle w:val="BodyText"/>
        <w:rPr>
          <w:sz w:val="20"/>
        </w:rPr>
      </w:pPr>
    </w:p>
    <w:p w14:paraId="58996ACE" w14:textId="77777777" w:rsidR="00FA4AA8" w:rsidRDefault="00FA4AA8">
      <w:pPr>
        <w:pStyle w:val="BodyText"/>
        <w:rPr>
          <w:sz w:val="20"/>
        </w:rPr>
      </w:pPr>
    </w:p>
    <w:p w14:paraId="10A35534" w14:textId="77777777" w:rsidR="00FA4AA8" w:rsidRDefault="00FA4AA8">
      <w:pPr>
        <w:pStyle w:val="BodyText"/>
        <w:rPr>
          <w:sz w:val="20"/>
        </w:rPr>
      </w:pPr>
    </w:p>
    <w:p w14:paraId="650862BC" w14:textId="77777777" w:rsidR="00FA4AA8" w:rsidRDefault="00FA4AA8">
      <w:pPr>
        <w:pStyle w:val="BodyText"/>
        <w:rPr>
          <w:sz w:val="20"/>
        </w:rPr>
      </w:pPr>
    </w:p>
    <w:p w14:paraId="0DC0C501" w14:textId="77777777" w:rsidR="00FA4AA8" w:rsidRDefault="00FA4AA8">
      <w:pPr>
        <w:pStyle w:val="BodyText"/>
        <w:rPr>
          <w:sz w:val="20"/>
        </w:rPr>
      </w:pPr>
    </w:p>
    <w:p w14:paraId="375270C2" w14:textId="77777777" w:rsidR="00FA4AA8" w:rsidRDefault="00FA4AA8">
      <w:pPr>
        <w:pStyle w:val="BodyText"/>
        <w:rPr>
          <w:sz w:val="20"/>
        </w:rPr>
      </w:pPr>
    </w:p>
    <w:p w14:paraId="70BCA18F" w14:textId="77777777" w:rsidR="00FA4AA8" w:rsidRDefault="00FA4AA8">
      <w:pPr>
        <w:pStyle w:val="BodyText"/>
        <w:rPr>
          <w:sz w:val="20"/>
        </w:rPr>
      </w:pPr>
    </w:p>
    <w:p w14:paraId="0F8ED80C" w14:textId="77777777" w:rsidR="00FA4AA8" w:rsidRDefault="0015611F">
      <w:pPr>
        <w:pStyle w:val="BodyText"/>
        <w:spacing w:before="10"/>
        <w:rPr>
          <w:sz w:val="22"/>
        </w:rPr>
      </w:pPr>
      <w:r>
        <w:rPr>
          <w:noProof/>
          <w:lang w:val="en-AU" w:eastAsia="en-AU"/>
        </w:rPr>
        <w:drawing>
          <wp:anchor distT="0" distB="0" distL="0" distR="0" simplePos="0" relativeHeight="132" behindDoc="0" locked="0" layoutInCell="1" allowOverlap="1" wp14:anchorId="510949C1" wp14:editId="6C5F5331">
            <wp:simplePos x="0" y="0"/>
            <wp:positionH relativeFrom="page">
              <wp:posOffset>880819</wp:posOffset>
            </wp:positionH>
            <wp:positionV relativeFrom="paragraph">
              <wp:posOffset>191916</wp:posOffset>
            </wp:positionV>
            <wp:extent cx="5820726" cy="908685"/>
            <wp:effectExtent l="0" t="0" r="0" b="0"/>
            <wp:wrapTopAndBottom/>
            <wp:docPr id="77"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2.jpeg"/>
                    <pic:cNvPicPr/>
                  </pic:nvPicPr>
                  <pic:blipFill>
                    <a:blip r:embed="rId176" cstate="print"/>
                    <a:stretch>
                      <a:fillRect/>
                    </a:stretch>
                  </pic:blipFill>
                  <pic:spPr>
                    <a:xfrm>
                      <a:off x="0" y="0"/>
                      <a:ext cx="5820726" cy="908685"/>
                    </a:xfrm>
                    <a:prstGeom prst="rect">
                      <a:avLst/>
                    </a:prstGeom>
                  </pic:spPr>
                </pic:pic>
              </a:graphicData>
            </a:graphic>
          </wp:anchor>
        </w:drawing>
      </w:r>
    </w:p>
    <w:p w14:paraId="760309D1" w14:textId="77777777" w:rsidR="00FA4AA8" w:rsidRDefault="00FA4AA8">
      <w:pPr>
        <w:pStyle w:val="BodyText"/>
        <w:rPr>
          <w:sz w:val="20"/>
        </w:rPr>
      </w:pPr>
    </w:p>
    <w:p w14:paraId="6D9C7F60" w14:textId="77777777" w:rsidR="00FA4AA8" w:rsidRDefault="0015611F">
      <w:pPr>
        <w:pStyle w:val="BodyText"/>
        <w:spacing w:before="115"/>
        <w:ind w:left="503"/>
        <w:jc w:val="both"/>
      </w:pPr>
      <w:r>
        <w:t>Dated 22 February 2019</w:t>
      </w:r>
    </w:p>
    <w:p w14:paraId="27CF67CF" w14:textId="77777777" w:rsidR="00FA4AA8" w:rsidRDefault="00FA4AA8">
      <w:pPr>
        <w:jc w:val="both"/>
        <w:sectPr w:rsidR="00FA4AA8">
          <w:headerReference w:type="default" r:id="rId177"/>
          <w:footerReference w:type="default" r:id="rId178"/>
          <w:pgSz w:w="11910" w:h="16840"/>
          <w:pgMar w:top="2500" w:right="860" w:bottom="720" w:left="900" w:header="1017" w:footer="523" w:gutter="0"/>
          <w:pgNumType w:start="173"/>
          <w:cols w:space="720"/>
        </w:sectPr>
      </w:pPr>
    </w:p>
    <w:p w14:paraId="5ACE3342" w14:textId="77777777" w:rsidR="00FA4AA8" w:rsidRDefault="00FA4AA8">
      <w:pPr>
        <w:pStyle w:val="BodyText"/>
        <w:spacing w:before="7"/>
        <w:rPr>
          <w:sz w:val="21"/>
        </w:rPr>
      </w:pPr>
    </w:p>
    <w:p w14:paraId="33915A9F" w14:textId="77777777" w:rsidR="00FA4AA8" w:rsidRDefault="0015611F">
      <w:pPr>
        <w:spacing w:before="91"/>
        <w:ind w:left="107"/>
        <w:rPr>
          <w:b/>
          <w:sz w:val="28"/>
        </w:rPr>
      </w:pPr>
      <w:r>
        <w:rPr>
          <w:b/>
          <w:sz w:val="28"/>
        </w:rPr>
        <w:t>Director's declaration</w:t>
      </w:r>
    </w:p>
    <w:p w14:paraId="6A4E51F6" w14:textId="77777777" w:rsidR="00FA4AA8" w:rsidRDefault="00FA4AA8">
      <w:pPr>
        <w:pStyle w:val="BodyText"/>
        <w:rPr>
          <w:b/>
          <w:sz w:val="25"/>
        </w:rPr>
      </w:pPr>
    </w:p>
    <w:p w14:paraId="59AB4027" w14:textId="77777777" w:rsidR="00FA4AA8" w:rsidRDefault="0015611F">
      <w:pPr>
        <w:pStyle w:val="BodyText"/>
        <w:ind w:left="107"/>
      </w:pPr>
      <w:r>
        <w:t>In the Director's opinion:</w:t>
      </w:r>
    </w:p>
    <w:p w14:paraId="19C906B1" w14:textId="77777777" w:rsidR="00FA4AA8" w:rsidRDefault="00FA4AA8">
      <w:pPr>
        <w:pStyle w:val="BodyText"/>
        <w:rPr>
          <w:sz w:val="25"/>
        </w:rPr>
      </w:pPr>
    </w:p>
    <w:p w14:paraId="501264B4" w14:textId="77777777" w:rsidR="00FA4AA8" w:rsidRDefault="0015611F">
      <w:pPr>
        <w:pStyle w:val="ListParagraph"/>
        <w:numPr>
          <w:ilvl w:val="0"/>
          <w:numId w:val="43"/>
        </w:numPr>
        <w:tabs>
          <w:tab w:val="left" w:pos="409"/>
        </w:tabs>
        <w:ind w:hanging="302"/>
        <w:rPr>
          <w:sz w:val="18"/>
        </w:rPr>
      </w:pPr>
      <w:r>
        <w:rPr>
          <w:sz w:val="18"/>
        </w:rPr>
        <w:t xml:space="preserve">The financial statements and notes are in accordance with the </w:t>
      </w:r>
      <w:r>
        <w:rPr>
          <w:i/>
          <w:sz w:val="18"/>
        </w:rPr>
        <w:t>Corporations Act 2001</w:t>
      </w:r>
      <w:r>
        <w:rPr>
          <w:i/>
          <w:spacing w:val="-16"/>
          <w:sz w:val="18"/>
        </w:rPr>
        <w:t xml:space="preserve"> </w:t>
      </w:r>
      <w:r>
        <w:rPr>
          <w:sz w:val="18"/>
        </w:rPr>
        <w:t>and:</w:t>
      </w:r>
    </w:p>
    <w:p w14:paraId="6CAE3444" w14:textId="77777777" w:rsidR="00FA4AA8" w:rsidRDefault="00FA4AA8">
      <w:pPr>
        <w:pStyle w:val="BodyText"/>
        <w:rPr>
          <w:sz w:val="25"/>
        </w:rPr>
      </w:pPr>
    </w:p>
    <w:p w14:paraId="7217FD9A" w14:textId="77777777" w:rsidR="00FA4AA8" w:rsidRDefault="0015611F">
      <w:pPr>
        <w:pStyle w:val="ListParagraph"/>
        <w:numPr>
          <w:ilvl w:val="1"/>
          <w:numId w:val="43"/>
        </w:numPr>
        <w:tabs>
          <w:tab w:val="left" w:pos="902"/>
        </w:tabs>
        <w:ind w:right="112" w:hanging="398"/>
        <w:jc w:val="both"/>
        <w:rPr>
          <w:sz w:val="18"/>
        </w:rPr>
      </w:pPr>
      <w:r>
        <w:rPr>
          <w:sz w:val="18"/>
        </w:rPr>
        <w:t xml:space="preserve">comply with Australian Accounting Standards (Reduced Disclosure Requirements) and other interpretations, the </w:t>
      </w:r>
      <w:r>
        <w:rPr>
          <w:i/>
          <w:sz w:val="18"/>
        </w:rPr>
        <w:t xml:space="preserve">Corporations Regulations 2001, Public Finance and Audit Act 1983, the Public Finance and Audit Regulation 2015 </w:t>
      </w:r>
      <w:r>
        <w:rPr>
          <w:sz w:val="18"/>
        </w:rPr>
        <w:t>and other mandatory professional reporting requirements;</w:t>
      </w:r>
      <w:r>
        <w:rPr>
          <w:spacing w:val="-1"/>
          <w:sz w:val="18"/>
        </w:rPr>
        <w:t xml:space="preserve"> </w:t>
      </w:r>
      <w:r>
        <w:rPr>
          <w:sz w:val="18"/>
        </w:rPr>
        <w:t>and</w:t>
      </w:r>
    </w:p>
    <w:p w14:paraId="1D68E22D" w14:textId="77777777" w:rsidR="00FA4AA8" w:rsidRDefault="00FA4AA8">
      <w:pPr>
        <w:pStyle w:val="BodyText"/>
        <w:spacing w:before="10"/>
        <w:rPr>
          <w:sz w:val="24"/>
        </w:rPr>
      </w:pPr>
    </w:p>
    <w:p w14:paraId="5BB99B1B" w14:textId="77777777" w:rsidR="00FA4AA8" w:rsidRDefault="0015611F">
      <w:pPr>
        <w:pStyle w:val="ListParagraph"/>
        <w:numPr>
          <w:ilvl w:val="1"/>
          <w:numId w:val="43"/>
        </w:numPr>
        <w:tabs>
          <w:tab w:val="left" w:pos="902"/>
        </w:tabs>
        <w:ind w:right="113" w:hanging="398"/>
        <w:jc w:val="both"/>
        <w:rPr>
          <w:sz w:val="18"/>
        </w:rPr>
      </w:pPr>
      <w:r>
        <w:rPr>
          <w:sz w:val="18"/>
        </w:rPr>
        <w:t>give a true and fair view of the Company's financial position as at 31 December 2018 and financial performance for the financial year ended on that</w:t>
      </w:r>
      <w:r>
        <w:rPr>
          <w:spacing w:val="-1"/>
          <w:sz w:val="18"/>
        </w:rPr>
        <w:t xml:space="preserve"> </w:t>
      </w:r>
      <w:r>
        <w:rPr>
          <w:sz w:val="18"/>
        </w:rPr>
        <w:t>date;</w:t>
      </w:r>
    </w:p>
    <w:p w14:paraId="7A8054F0" w14:textId="77777777" w:rsidR="00FA4AA8" w:rsidRDefault="00FA4AA8">
      <w:pPr>
        <w:pStyle w:val="BodyText"/>
        <w:spacing w:before="10"/>
        <w:rPr>
          <w:sz w:val="17"/>
        </w:rPr>
      </w:pPr>
    </w:p>
    <w:p w14:paraId="28477E3D" w14:textId="77777777" w:rsidR="00FA4AA8" w:rsidRDefault="0015611F">
      <w:pPr>
        <w:pStyle w:val="ListParagraph"/>
        <w:numPr>
          <w:ilvl w:val="0"/>
          <w:numId w:val="43"/>
        </w:numPr>
        <w:tabs>
          <w:tab w:val="left" w:pos="503"/>
          <w:tab w:val="left" w:pos="504"/>
        </w:tabs>
        <w:ind w:left="504" w:right="114" w:hanging="397"/>
        <w:rPr>
          <w:sz w:val="18"/>
        </w:rPr>
      </w:pPr>
      <w:r>
        <w:rPr>
          <w:sz w:val="18"/>
        </w:rPr>
        <w:t>There are reasonable grounds to believe that the Company will be able to pay its debts as and when they become due and payable.</w:t>
      </w:r>
    </w:p>
    <w:p w14:paraId="59C2B829" w14:textId="77777777" w:rsidR="00FA4AA8" w:rsidRDefault="00FA4AA8">
      <w:pPr>
        <w:pStyle w:val="BodyText"/>
        <w:spacing w:before="9"/>
        <w:rPr>
          <w:sz w:val="17"/>
        </w:rPr>
      </w:pPr>
    </w:p>
    <w:p w14:paraId="1E1FDA1C" w14:textId="77777777" w:rsidR="00FA4AA8" w:rsidRDefault="0015611F">
      <w:pPr>
        <w:pStyle w:val="ListParagraph"/>
        <w:numPr>
          <w:ilvl w:val="0"/>
          <w:numId w:val="43"/>
        </w:numPr>
        <w:tabs>
          <w:tab w:val="left" w:pos="503"/>
          <w:tab w:val="left" w:pos="504"/>
        </w:tabs>
        <w:spacing w:before="1"/>
        <w:ind w:left="504" w:right="114" w:hanging="396"/>
        <w:rPr>
          <w:sz w:val="18"/>
        </w:rPr>
      </w:pPr>
      <w:r>
        <w:rPr>
          <w:sz w:val="18"/>
        </w:rPr>
        <w:t>We are not aware of any circumstances which would render any particulars in the financial statements to be misleading or inaccurate.</w:t>
      </w:r>
    </w:p>
    <w:p w14:paraId="46FF1626" w14:textId="77777777" w:rsidR="00FA4AA8" w:rsidRDefault="00FA4AA8">
      <w:pPr>
        <w:pStyle w:val="BodyText"/>
        <w:spacing w:before="10"/>
        <w:rPr>
          <w:sz w:val="24"/>
        </w:rPr>
      </w:pPr>
    </w:p>
    <w:p w14:paraId="43018F90" w14:textId="77777777" w:rsidR="00FA4AA8" w:rsidRDefault="0015611F">
      <w:pPr>
        <w:spacing w:before="1"/>
        <w:ind w:left="108"/>
        <w:rPr>
          <w:sz w:val="18"/>
        </w:rPr>
      </w:pPr>
      <w:r>
        <w:rPr>
          <w:sz w:val="18"/>
        </w:rPr>
        <w:t xml:space="preserve">This declaration is made in accordance with a resolution of the Directors, pursuant to section 295(4) of the </w:t>
      </w:r>
      <w:r>
        <w:rPr>
          <w:i/>
          <w:sz w:val="18"/>
        </w:rPr>
        <w:t>Corporations Act 2001</w:t>
      </w:r>
      <w:r>
        <w:rPr>
          <w:sz w:val="18"/>
        </w:rPr>
        <w:t xml:space="preserve">, and 41(C) of the </w:t>
      </w:r>
      <w:r>
        <w:rPr>
          <w:i/>
          <w:sz w:val="18"/>
        </w:rPr>
        <w:t>Public Finance and Audit Act 1983</w:t>
      </w:r>
      <w:r>
        <w:rPr>
          <w:sz w:val="18"/>
        </w:rPr>
        <w:t>.</w:t>
      </w:r>
    </w:p>
    <w:p w14:paraId="2DED6666" w14:textId="77777777" w:rsidR="00FA4AA8" w:rsidRDefault="00FA4AA8">
      <w:pPr>
        <w:pStyle w:val="BodyText"/>
        <w:rPr>
          <w:sz w:val="20"/>
        </w:rPr>
      </w:pPr>
    </w:p>
    <w:p w14:paraId="077E1DCA" w14:textId="77777777" w:rsidR="00FA4AA8" w:rsidRDefault="00FA4AA8">
      <w:pPr>
        <w:pStyle w:val="BodyText"/>
        <w:rPr>
          <w:sz w:val="20"/>
        </w:rPr>
      </w:pPr>
    </w:p>
    <w:p w14:paraId="0C4993D8" w14:textId="77777777" w:rsidR="00FA4AA8" w:rsidRDefault="00FA4AA8">
      <w:pPr>
        <w:pStyle w:val="BodyText"/>
        <w:rPr>
          <w:sz w:val="20"/>
        </w:rPr>
      </w:pPr>
    </w:p>
    <w:p w14:paraId="7DB9878D" w14:textId="77777777" w:rsidR="00FA4AA8" w:rsidRDefault="00FA4AA8">
      <w:pPr>
        <w:pStyle w:val="BodyText"/>
        <w:rPr>
          <w:sz w:val="20"/>
        </w:rPr>
      </w:pPr>
    </w:p>
    <w:p w14:paraId="5192345E" w14:textId="77777777" w:rsidR="00FA4AA8" w:rsidRDefault="00FA4AA8">
      <w:pPr>
        <w:pStyle w:val="BodyText"/>
        <w:rPr>
          <w:sz w:val="20"/>
        </w:rPr>
      </w:pPr>
    </w:p>
    <w:p w14:paraId="70EFD5A2" w14:textId="77777777" w:rsidR="00FA4AA8" w:rsidRDefault="00FA4AA8">
      <w:pPr>
        <w:pStyle w:val="BodyText"/>
        <w:rPr>
          <w:sz w:val="20"/>
        </w:rPr>
      </w:pPr>
    </w:p>
    <w:p w14:paraId="3BE39FBD" w14:textId="77777777" w:rsidR="00FA4AA8" w:rsidRDefault="00FA4AA8">
      <w:pPr>
        <w:pStyle w:val="BodyText"/>
        <w:rPr>
          <w:sz w:val="20"/>
        </w:rPr>
      </w:pPr>
    </w:p>
    <w:p w14:paraId="2673E11D" w14:textId="77777777" w:rsidR="00FA4AA8" w:rsidRDefault="0015611F">
      <w:pPr>
        <w:pStyle w:val="BodyText"/>
        <w:rPr>
          <w:sz w:val="15"/>
        </w:rPr>
      </w:pPr>
      <w:r>
        <w:rPr>
          <w:noProof/>
          <w:lang w:val="en-AU" w:eastAsia="en-AU"/>
        </w:rPr>
        <w:drawing>
          <wp:anchor distT="0" distB="0" distL="0" distR="0" simplePos="0" relativeHeight="133" behindDoc="0" locked="0" layoutInCell="1" allowOverlap="1" wp14:anchorId="20077617" wp14:editId="594A0A6C">
            <wp:simplePos x="0" y="0"/>
            <wp:positionH relativeFrom="page">
              <wp:posOffset>657263</wp:posOffset>
            </wp:positionH>
            <wp:positionV relativeFrom="paragraph">
              <wp:posOffset>134545</wp:posOffset>
            </wp:positionV>
            <wp:extent cx="6028753" cy="1077849"/>
            <wp:effectExtent l="0" t="0" r="0" b="0"/>
            <wp:wrapTopAndBottom/>
            <wp:docPr id="79"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3.jpeg"/>
                    <pic:cNvPicPr/>
                  </pic:nvPicPr>
                  <pic:blipFill>
                    <a:blip r:embed="rId179" cstate="print"/>
                    <a:stretch>
                      <a:fillRect/>
                    </a:stretch>
                  </pic:blipFill>
                  <pic:spPr>
                    <a:xfrm>
                      <a:off x="0" y="0"/>
                      <a:ext cx="6028753" cy="1077849"/>
                    </a:xfrm>
                    <a:prstGeom prst="rect">
                      <a:avLst/>
                    </a:prstGeom>
                  </pic:spPr>
                </pic:pic>
              </a:graphicData>
            </a:graphic>
          </wp:anchor>
        </w:drawing>
      </w:r>
    </w:p>
    <w:p w14:paraId="468FEC01" w14:textId="77777777" w:rsidR="00FA4AA8" w:rsidRDefault="00FA4AA8">
      <w:pPr>
        <w:pStyle w:val="BodyText"/>
        <w:rPr>
          <w:sz w:val="20"/>
        </w:rPr>
      </w:pPr>
    </w:p>
    <w:p w14:paraId="1A5DAD5E" w14:textId="77777777" w:rsidR="00FA4AA8" w:rsidRDefault="00FA4AA8">
      <w:pPr>
        <w:pStyle w:val="BodyText"/>
        <w:rPr>
          <w:sz w:val="20"/>
        </w:rPr>
      </w:pPr>
    </w:p>
    <w:p w14:paraId="16D0C22C" w14:textId="77777777" w:rsidR="00FA4AA8" w:rsidRDefault="00FA4AA8">
      <w:pPr>
        <w:pStyle w:val="BodyText"/>
        <w:rPr>
          <w:sz w:val="20"/>
        </w:rPr>
      </w:pPr>
    </w:p>
    <w:p w14:paraId="61B5CF59" w14:textId="77777777" w:rsidR="00FA4AA8" w:rsidRDefault="00FA4AA8">
      <w:pPr>
        <w:pStyle w:val="BodyText"/>
        <w:spacing w:before="8"/>
        <w:rPr>
          <w:sz w:val="15"/>
        </w:rPr>
      </w:pPr>
    </w:p>
    <w:p w14:paraId="16E08079" w14:textId="77777777" w:rsidR="00FA4AA8" w:rsidRDefault="0015611F">
      <w:pPr>
        <w:pStyle w:val="BodyText"/>
        <w:spacing w:before="1"/>
        <w:ind w:left="108"/>
      </w:pPr>
      <w:r>
        <w:t>Dated 22 February 2019</w:t>
      </w:r>
    </w:p>
    <w:p w14:paraId="3DAD4E17" w14:textId="77777777" w:rsidR="00FA4AA8" w:rsidRDefault="00FA4AA8">
      <w:pPr>
        <w:sectPr w:rsidR="00FA4AA8">
          <w:headerReference w:type="default" r:id="rId180"/>
          <w:footerReference w:type="default" r:id="rId181"/>
          <w:pgSz w:w="11910" w:h="16840"/>
          <w:pgMar w:top="1540" w:right="860" w:bottom="720" w:left="900" w:header="1017" w:footer="523" w:gutter="0"/>
          <w:pgNumType w:start="174"/>
          <w:cols w:space="720"/>
        </w:sectPr>
      </w:pPr>
    </w:p>
    <w:p w14:paraId="3C99A1AC" w14:textId="77777777" w:rsidR="00FA4AA8" w:rsidRDefault="0015611F">
      <w:pPr>
        <w:pStyle w:val="BodyText"/>
        <w:ind w:left="4528"/>
        <w:rPr>
          <w:sz w:val="20"/>
        </w:rPr>
      </w:pPr>
      <w:r>
        <w:rPr>
          <w:noProof/>
          <w:sz w:val="20"/>
          <w:lang w:val="en-AU" w:eastAsia="en-AU"/>
        </w:rPr>
        <w:drawing>
          <wp:inline distT="0" distB="0" distL="0" distR="0" wp14:anchorId="087EC8AC" wp14:editId="02E5367F">
            <wp:extent cx="603503" cy="152400"/>
            <wp:effectExtent l="0" t="0" r="0" b="0"/>
            <wp:docPr id="81"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4.jpeg"/>
                    <pic:cNvPicPr/>
                  </pic:nvPicPr>
                  <pic:blipFill>
                    <a:blip r:embed="rId182" cstate="print"/>
                    <a:stretch>
                      <a:fillRect/>
                    </a:stretch>
                  </pic:blipFill>
                  <pic:spPr>
                    <a:xfrm>
                      <a:off x="0" y="0"/>
                      <a:ext cx="603503" cy="152400"/>
                    </a:xfrm>
                    <a:prstGeom prst="rect">
                      <a:avLst/>
                    </a:prstGeom>
                  </pic:spPr>
                </pic:pic>
              </a:graphicData>
            </a:graphic>
          </wp:inline>
        </w:drawing>
      </w:r>
    </w:p>
    <w:p w14:paraId="6CDC0ABD" w14:textId="77777777" w:rsidR="00FA4AA8" w:rsidRDefault="0015611F">
      <w:pPr>
        <w:pStyle w:val="BodyText"/>
        <w:spacing w:before="3"/>
        <w:rPr>
          <w:sz w:val="16"/>
        </w:rPr>
      </w:pPr>
      <w:r>
        <w:rPr>
          <w:noProof/>
          <w:lang w:val="en-AU" w:eastAsia="en-AU"/>
        </w:rPr>
        <w:drawing>
          <wp:anchor distT="0" distB="0" distL="0" distR="0" simplePos="0" relativeHeight="134" behindDoc="0" locked="0" layoutInCell="1" allowOverlap="1" wp14:anchorId="2E68489B" wp14:editId="71B62B10">
            <wp:simplePos x="0" y="0"/>
            <wp:positionH relativeFrom="page">
              <wp:posOffset>3386328</wp:posOffset>
            </wp:positionH>
            <wp:positionV relativeFrom="paragraph">
              <wp:posOffset>143763</wp:posOffset>
            </wp:positionV>
            <wp:extent cx="758951" cy="420624"/>
            <wp:effectExtent l="0" t="0" r="0" b="0"/>
            <wp:wrapTopAndBottom/>
            <wp:docPr id="83"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5.jpeg"/>
                    <pic:cNvPicPr/>
                  </pic:nvPicPr>
                  <pic:blipFill>
                    <a:blip r:embed="rId183" cstate="print"/>
                    <a:stretch>
                      <a:fillRect/>
                    </a:stretch>
                  </pic:blipFill>
                  <pic:spPr>
                    <a:xfrm>
                      <a:off x="0" y="0"/>
                      <a:ext cx="758951" cy="420624"/>
                    </a:xfrm>
                    <a:prstGeom prst="rect">
                      <a:avLst/>
                    </a:prstGeom>
                  </pic:spPr>
                </pic:pic>
              </a:graphicData>
            </a:graphic>
          </wp:anchor>
        </w:drawing>
      </w:r>
    </w:p>
    <w:p w14:paraId="5094EAE5" w14:textId="77777777" w:rsidR="00FA4AA8" w:rsidRDefault="00FA4AA8">
      <w:pPr>
        <w:pStyle w:val="BodyText"/>
        <w:rPr>
          <w:sz w:val="20"/>
        </w:rPr>
      </w:pPr>
    </w:p>
    <w:p w14:paraId="7C04454E" w14:textId="77777777" w:rsidR="00FA4AA8" w:rsidRDefault="00FA4AA8">
      <w:pPr>
        <w:pStyle w:val="BodyText"/>
        <w:rPr>
          <w:sz w:val="20"/>
        </w:rPr>
      </w:pPr>
    </w:p>
    <w:p w14:paraId="4AE3B3AD" w14:textId="77777777" w:rsidR="00FA4AA8" w:rsidRDefault="00FA4AA8">
      <w:pPr>
        <w:pStyle w:val="BodyText"/>
        <w:rPr>
          <w:sz w:val="20"/>
        </w:rPr>
      </w:pPr>
    </w:p>
    <w:p w14:paraId="1C70D4E2" w14:textId="77777777" w:rsidR="00FA4AA8" w:rsidRDefault="00FA4AA8">
      <w:pPr>
        <w:pStyle w:val="BodyText"/>
        <w:rPr>
          <w:sz w:val="20"/>
        </w:rPr>
      </w:pPr>
    </w:p>
    <w:p w14:paraId="2FA39E32" w14:textId="77777777" w:rsidR="00FA4AA8" w:rsidRDefault="00FA4AA8">
      <w:pPr>
        <w:pStyle w:val="BodyText"/>
        <w:rPr>
          <w:sz w:val="20"/>
        </w:rPr>
      </w:pPr>
    </w:p>
    <w:p w14:paraId="32F8B191" w14:textId="77777777" w:rsidR="00FA4AA8" w:rsidRDefault="00FA4AA8">
      <w:pPr>
        <w:pStyle w:val="BodyText"/>
        <w:rPr>
          <w:sz w:val="20"/>
        </w:rPr>
      </w:pPr>
    </w:p>
    <w:p w14:paraId="09C0D382" w14:textId="77777777" w:rsidR="00FA4AA8" w:rsidRDefault="00FA4AA8">
      <w:pPr>
        <w:pStyle w:val="BodyText"/>
        <w:rPr>
          <w:sz w:val="20"/>
        </w:rPr>
      </w:pPr>
    </w:p>
    <w:p w14:paraId="457ECECF" w14:textId="77777777" w:rsidR="00FA4AA8" w:rsidRDefault="00FA4AA8">
      <w:pPr>
        <w:pStyle w:val="BodyText"/>
        <w:rPr>
          <w:sz w:val="20"/>
        </w:rPr>
      </w:pPr>
    </w:p>
    <w:p w14:paraId="2CD0B7F6" w14:textId="77777777" w:rsidR="00FA4AA8" w:rsidRDefault="00FA4AA8">
      <w:pPr>
        <w:pStyle w:val="BodyText"/>
        <w:spacing w:before="5"/>
        <w:rPr>
          <w:sz w:val="19"/>
        </w:rPr>
      </w:pPr>
    </w:p>
    <w:p w14:paraId="5E2E2D42" w14:textId="77777777" w:rsidR="00FA4AA8" w:rsidRDefault="0015611F">
      <w:pPr>
        <w:ind w:left="654"/>
        <w:rPr>
          <w:sz w:val="20"/>
        </w:rPr>
      </w:pPr>
      <w:r>
        <w:rPr>
          <w:color w:val="1A1A1A"/>
          <w:sz w:val="20"/>
        </w:rPr>
        <w:t xml:space="preserve">To </w:t>
      </w:r>
      <w:r>
        <w:rPr>
          <w:color w:val="0E0E0E"/>
          <w:sz w:val="20"/>
        </w:rPr>
        <w:t xml:space="preserve">the </w:t>
      </w:r>
      <w:r>
        <w:rPr>
          <w:color w:val="131313"/>
          <w:sz w:val="20"/>
        </w:rPr>
        <w:t>Directors</w:t>
      </w:r>
    </w:p>
    <w:p w14:paraId="2C8B3576" w14:textId="77777777" w:rsidR="00FA4AA8" w:rsidRDefault="0015611F">
      <w:pPr>
        <w:spacing w:before="163"/>
        <w:ind w:left="666"/>
        <w:rPr>
          <w:sz w:val="20"/>
        </w:rPr>
      </w:pPr>
      <w:r>
        <w:rPr>
          <w:sz w:val="20"/>
        </w:rPr>
        <w:t xml:space="preserve">Whitlam </w:t>
      </w:r>
      <w:r>
        <w:rPr>
          <w:color w:val="1A1A1A"/>
          <w:sz w:val="20"/>
        </w:rPr>
        <w:t xml:space="preserve">Institute </w:t>
      </w:r>
      <w:r>
        <w:rPr>
          <w:sz w:val="20"/>
        </w:rPr>
        <w:t xml:space="preserve">within </w:t>
      </w:r>
      <w:r>
        <w:rPr>
          <w:color w:val="0C0C0C"/>
          <w:sz w:val="20"/>
        </w:rPr>
        <w:t xml:space="preserve">Western </w:t>
      </w:r>
      <w:r>
        <w:rPr>
          <w:color w:val="0E0E0E"/>
          <w:sz w:val="20"/>
        </w:rPr>
        <w:t xml:space="preserve">Sydney </w:t>
      </w:r>
      <w:r>
        <w:rPr>
          <w:sz w:val="20"/>
        </w:rPr>
        <w:t xml:space="preserve">University </w:t>
      </w:r>
      <w:r>
        <w:rPr>
          <w:color w:val="111111"/>
          <w:sz w:val="20"/>
        </w:rPr>
        <w:t>Limited</w:t>
      </w:r>
    </w:p>
    <w:p w14:paraId="738ECCB3" w14:textId="77777777" w:rsidR="00FA4AA8" w:rsidRDefault="00FA4AA8">
      <w:pPr>
        <w:pStyle w:val="BodyText"/>
        <w:rPr>
          <w:sz w:val="22"/>
        </w:rPr>
      </w:pPr>
    </w:p>
    <w:p w14:paraId="484FF141" w14:textId="77777777" w:rsidR="00FA4AA8" w:rsidRDefault="00FA4AA8">
      <w:pPr>
        <w:pStyle w:val="BodyText"/>
        <w:spacing w:before="11"/>
        <w:rPr>
          <w:sz w:val="26"/>
        </w:rPr>
      </w:pPr>
    </w:p>
    <w:p w14:paraId="3DE718C4" w14:textId="77777777" w:rsidR="00FA4AA8" w:rsidRDefault="0015611F">
      <w:pPr>
        <w:ind w:left="2989" w:right="3012"/>
        <w:jc w:val="center"/>
        <w:rPr>
          <w:sz w:val="23"/>
        </w:rPr>
      </w:pPr>
      <w:r>
        <w:rPr>
          <w:color w:val="111111"/>
          <w:w w:val="110"/>
          <w:sz w:val="23"/>
        </w:rPr>
        <w:t xml:space="preserve">Auditor’s </w:t>
      </w:r>
      <w:r>
        <w:rPr>
          <w:color w:val="0F0F0F"/>
          <w:w w:val="110"/>
          <w:sz w:val="23"/>
        </w:rPr>
        <w:t xml:space="preserve">Independence </w:t>
      </w:r>
      <w:r>
        <w:rPr>
          <w:color w:val="161616"/>
          <w:w w:val="110"/>
          <w:sz w:val="23"/>
        </w:rPr>
        <w:t>Declaration</w:t>
      </w:r>
    </w:p>
    <w:p w14:paraId="65ADDBFC" w14:textId="77777777" w:rsidR="00FA4AA8" w:rsidRDefault="00FA4AA8">
      <w:pPr>
        <w:pStyle w:val="BodyText"/>
        <w:rPr>
          <w:sz w:val="26"/>
        </w:rPr>
      </w:pPr>
    </w:p>
    <w:p w14:paraId="59DD4902" w14:textId="77777777" w:rsidR="00FA4AA8" w:rsidRDefault="00FA4AA8">
      <w:pPr>
        <w:pStyle w:val="BodyText"/>
        <w:spacing w:before="6"/>
        <w:rPr>
          <w:sz w:val="23"/>
        </w:rPr>
      </w:pPr>
    </w:p>
    <w:p w14:paraId="1946B23D" w14:textId="77777777" w:rsidR="00FA4AA8" w:rsidRDefault="0015611F">
      <w:pPr>
        <w:spacing w:before="1" w:line="249" w:lineRule="auto"/>
        <w:ind w:left="656" w:right="696" w:firstLine="3"/>
        <w:jc w:val="both"/>
        <w:rPr>
          <w:sz w:val="19"/>
        </w:rPr>
      </w:pPr>
      <w:r>
        <w:rPr>
          <w:color w:val="1C1C1C"/>
          <w:sz w:val="19"/>
        </w:rPr>
        <w:t xml:space="preserve">As </w:t>
      </w:r>
      <w:r>
        <w:rPr>
          <w:sz w:val="19"/>
        </w:rPr>
        <w:t xml:space="preserve">auditor </w:t>
      </w:r>
      <w:r>
        <w:rPr>
          <w:color w:val="1A1A1A"/>
          <w:sz w:val="19"/>
        </w:rPr>
        <w:t xml:space="preserve">for </w:t>
      </w:r>
      <w:r>
        <w:rPr>
          <w:sz w:val="19"/>
        </w:rPr>
        <w:t xml:space="preserve">the </w:t>
      </w:r>
      <w:r>
        <w:rPr>
          <w:color w:val="0E0E0E"/>
          <w:sz w:val="19"/>
        </w:rPr>
        <w:t xml:space="preserve">audit </w:t>
      </w:r>
      <w:r>
        <w:rPr>
          <w:sz w:val="19"/>
        </w:rPr>
        <w:t xml:space="preserve">of the financial report </w:t>
      </w:r>
      <w:r>
        <w:rPr>
          <w:color w:val="0F0F0F"/>
          <w:sz w:val="19"/>
        </w:rPr>
        <w:t xml:space="preserve">of </w:t>
      </w:r>
      <w:r>
        <w:rPr>
          <w:color w:val="131313"/>
          <w:sz w:val="19"/>
        </w:rPr>
        <w:t xml:space="preserve">the </w:t>
      </w:r>
      <w:r>
        <w:rPr>
          <w:color w:val="0E0E0E"/>
          <w:sz w:val="19"/>
        </w:rPr>
        <w:t xml:space="preserve">Whitlam </w:t>
      </w:r>
      <w:r>
        <w:rPr>
          <w:sz w:val="19"/>
        </w:rPr>
        <w:t xml:space="preserve">Institute </w:t>
      </w:r>
      <w:r>
        <w:rPr>
          <w:color w:val="161616"/>
          <w:sz w:val="19"/>
        </w:rPr>
        <w:t xml:space="preserve">within </w:t>
      </w:r>
      <w:r>
        <w:rPr>
          <w:sz w:val="19"/>
        </w:rPr>
        <w:t xml:space="preserve">Western Sydney University </w:t>
      </w:r>
      <w:r>
        <w:rPr>
          <w:color w:val="181818"/>
          <w:sz w:val="19"/>
        </w:rPr>
        <w:t xml:space="preserve">Limited </w:t>
      </w:r>
      <w:r>
        <w:rPr>
          <w:color w:val="0E0E0E"/>
          <w:sz w:val="19"/>
        </w:rPr>
        <w:t xml:space="preserve">for </w:t>
      </w:r>
      <w:r>
        <w:rPr>
          <w:color w:val="161616"/>
          <w:sz w:val="19"/>
        </w:rPr>
        <w:t xml:space="preserve">the </w:t>
      </w:r>
      <w:r>
        <w:rPr>
          <w:color w:val="131313"/>
          <w:sz w:val="19"/>
        </w:rPr>
        <w:t xml:space="preserve">year </w:t>
      </w:r>
      <w:r>
        <w:rPr>
          <w:color w:val="0F0F0F"/>
          <w:sz w:val="19"/>
        </w:rPr>
        <w:t xml:space="preserve">ended </w:t>
      </w:r>
      <w:r>
        <w:rPr>
          <w:color w:val="161616"/>
          <w:sz w:val="19"/>
        </w:rPr>
        <w:t xml:space="preserve">31 </w:t>
      </w:r>
      <w:r>
        <w:rPr>
          <w:sz w:val="19"/>
        </w:rPr>
        <w:t xml:space="preserve">December </w:t>
      </w:r>
      <w:r>
        <w:rPr>
          <w:color w:val="161616"/>
          <w:sz w:val="19"/>
        </w:rPr>
        <w:t xml:space="preserve">2018, </w:t>
      </w:r>
      <w:r>
        <w:rPr>
          <w:color w:val="1D1D1D"/>
          <w:sz w:val="19"/>
        </w:rPr>
        <w:t xml:space="preserve">I </w:t>
      </w:r>
      <w:r>
        <w:rPr>
          <w:color w:val="0F0F0F"/>
          <w:sz w:val="19"/>
        </w:rPr>
        <w:t xml:space="preserve">declare, </w:t>
      </w:r>
      <w:r>
        <w:rPr>
          <w:sz w:val="19"/>
        </w:rPr>
        <w:t xml:space="preserve">to </w:t>
      </w:r>
      <w:r>
        <w:rPr>
          <w:color w:val="212121"/>
          <w:sz w:val="19"/>
        </w:rPr>
        <w:t xml:space="preserve">the </w:t>
      </w:r>
      <w:r>
        <w:rPr>
          <w:color w:val="111111"/>
          <w:sz w:val="19"/>
        </w:rPr>
        <w:t xml:space="preserve">best </w:t>
      </w:r>
      <w:r>
        <w:rPr>
          <w:color w:val="1A1A1A"/>
          <w:sz w:val="19"/>
        </w:rPr>
        <w:t xml:space="preserve">of </w:t>
      </w:r>
      <w:r>
        <w:rPr>
          <w:color w:val="232323"/>
          <w:sz w:val="19"/>
        </w:rPr>
        <w:t xml:space="preserve">my </w:t>
      </w:r>
      <w:r>
        <w:rPr>
          <w:sz w:val="19"/>
        </w:rPr>
        <w:t xml:space="preserve">knowledge and belief, there have </w:t>
      </w:r>
      <w:r>
        <w:rPr>
          <w:color w:val="151515"/>
          <w:sz w:val="19"/>
        </w:rPr>
        <w:t xml:space="preserve">been </w:t>
      </w:r>
      <w:r>
        <w:rPr>
          <w:color w:val="1F1F1F"/>
          <w:sz w:val="19"/>
        </w:rPr>
        <w:t xml:space="preserve">no </w:t>
      </w:r>
      <w:r>
        <w:rPr>
          <w:sz w:val="19"/>
        </w:rPr>
        <w:t xml:space="preserve">contraventions </w:t>
      </w:r>
      <w:r>
        <w:rPr>
          <w:color w:val="151515"/>
          <w:sz w:val="19"/>
        </w:rPr>
        <w:t>of:</w:t>
      </w:r>
    </w:p>
    <w:p w14:paraId="48307FD6" w14:textId="77777777" w:rsidR="00FA4AA8" w:rsidRDefault="0015611F">
      <w:pPr>
        <w:pStyle w:val="ListParagraph"/>
        <w:numPr>
          <w:ilvl w:val="0"/>
          <w:numId w:val="42"/>
        </w:numPr>
        <w:tabs>
          <w:tab w:val="left" w:pos="1203"/>
          <w:tab w:val="left" w:pos="1204"/>
        </w:tabs>
        <w:spacing w:before="177"/>
        <w:ind w:hanging="546"/>
        <w:rPr>
          <w:sz w:val="19"/>
        </w:rPr>
      </w:pPr>
      <w:r>
        <w:rPr>
          <w:color w:val="1A1A1A"/>
          <w:sz w:val="19"/>
        </w:rPr>
        <w:t xml:space="preserve">the </w:t>
      </w:r>
      <w:r>
        <w:rPr>
          <w:color w:val="0C0C0C"/>
          <w:sz w:val="19"/>
        </w:rPr>
        <w:t xml:space="preserve">auditor independence </w:t>
      </w:r>
      <w:r>
        <w:rPr>
          <w:sz w:val="19"/>
        </w:rPr>
        <w:t xml:space="preserve">requirements </w:t>
      </w:r>
      <w:r>
        <w:rPr>
          <w:color w:val="1F1F1F"/>
          <w:sz w:val="19"/>
        </w:rPr>
        <w:t xml:space="preserve">of </w:t>
      </w:r>
      <w:r>
        <w:rPr>
          <w:color w:val="151515"/>
          <w:sz w:val="19"/>
        </w:rPr>
        <w:t xml:space="preserve">the </w:t>
      </w:r>
      <w:r>
        <w:rPr>
          <w:i/>
          <w:sz w:val="19"/>
        </w:rPr>
        <w:t xml:space="preserve">Corporations Act </w:t>
      </w:r>
      <w:r>
        <w:rPr>
          <w:i/>
          <w:color w:val="131313"/>
          <w:sz w:val="19"/>
        </w:rPr>
        <w:t xml:space="preserve">2001 </w:t>
      </w:r>
      <w:r>
        <w:rPr>
          <w:color w:val="1D1D1D"/>
          <w:sz w:val="19"/>
        </w:rPr>
        <w:t xml:space="preserve">in </w:t>
      </w:r>
      <w:r>
        <w:rPr>
          <w:color w:val="0E0E0E"/>
          <w:sz w:val="19"/>
        </w:rPr>
        <w:t xml:space="preserve">relation </w:t>
      </w:r>
      <w:r>
        <w:rPr>
          <w:color w:val="131313"/>
          <w:sz w:val="19"/>
        </w:rPr>
        <w:t xml:space="preserve">to </w:t>
      </w:r>
      <w:r>
        <w:rPr>
          <w:color w:val="0C0C0C"/>
          <w:sz w:val="19"/>
        </w:rPr>
        <w:t>the</w:t>
      </w:r>
      <w:r>
        <w:rPr>
          <w:color w:val="0C0C0C"/>
          <w:spacing w:val="3"/>
          <w:sz w:val="19"/>
        </w:rPr>
        <w:t xml:space="preserve"> </w:t>
      </w:r>
      <w:r>
        <w:rPr>
          <w:sz w:val="19"/>
        </w:rPr>
        <w:t>audit</w:t>
      </w:r>
    </w:p>
    <w:p w14:paraId="07A51EFF" w14:textId="77777777" w:rsidR="00FA4AA8" w:rsidRDefault="0015611F">
      <w:pPr>
        <w:pStyle w:val="ListParagraph"/>
        <w:numPr>
          <w:ilvl w:val="0"/>
          <w:numId w:val="42"/>
        </w:numPr>
        <w:tabs>
          <w:tab w:val="left" w:pos="1199"/>
          <w:tab w:val="left" w:pos="1200"/>
        </w:tabs>
        <w:spacing w:before="70"/>
        <w:ind w:left="1199" w:hanging="542"/>
        <w:rPr>
          <w:sz w:val="19"/>
        </w:rPr>
      </w:pPr>
      <w:r>
        <w:rPr>
          <w:color w:val="1C1C1C"/>
          <w:sz w:val="19"/>
        </w:rPr>
        <w:t xml:space="preserve">any </w:t>
      </w:r>
      <w:r>
        <w:rPr>
          <w:sz w:val="19"/>
        </w:rPr>
        <w:t xml:space="preserve">applicable </w:t>
      </w:r>
      <w:r>
        <w:rPr>
          <w:color w:val="131313"/>
          <w:sz w:val="19"/>
        </w:rPr>
        <w:t xml:space="preserve">code </w:t>
      </w:r>
      <w:r>
        <w:rPr>
          <w:color w:val="111111"/>
          <w:sz w:val="19"/>
        </w:rPr>
        <w:t xml:space="preserve">of </w:t>
      </w:r>
      <w:r>
        <w:rPr>
          <w:sz w:val="19"/>
        </w:rPr>
        <w:t>professional</w:t>
      </w:r>
      <w:r>
        <w:rPr>
          <w:spacing w:val="31"/>
          <w:sz w:val="19"/>
        </w:rPr>
        <w:t xml:space="preserve"> </w:t>
      </w:r>
      <w:r>
        <w:rPr>
          <w:color w:val="161616"/>
          <w:sz w:val="19"/>
        </w:rPr>
        <w:t xml:space="preserve">conduct </w:t>
      </w:r>
      <w:r>
        <w:rPr>
          <w:color w:val="181818"/>
          <w:sz w:val="19"/>
        </w:rPr>
        <w:t xml:space="preserve">in </w:t>
      </w:r>
      <w:r>
        <w:rPr>
          <w:sz w:val="19"/>
        </w:rPr>
        <w:t>relation to the audit.</w:t>
      </w:r>
    </w:p>
    <w:p w14:paraId="64A2BF7A" w14:textId="77777777" w:rsidR="00FA4AA8" w:rsidRDefault="00FA4AA8">
      <w:pPr>
        <w:pStyle w:val="BodyText"/>
        <w:rPr>
          <w:sz w:val="20"/>
        </w:rPr>
      </w:pPr>
    </w:p>
    <w:p w14:paraId="529896EB" w14:textId="77777777" w:rsidR="00FA4AA8" w:rsidRDefault="00FA4AA8">
      <w:pPr>
        <w:pStyle w:val="BodyText"/>
        <w:rPr>
          <w:sz w:val="20"/>
        </w:rPr>
      </w:pPr>
    </w:p>
    <w:p w14:paraId="42E288EB" w14:textId="77777777" w:rsidR="00FA4AA8" w:rsidRDefault="0015611F">
      <w:pPr>
        <w:pStyle w:val="BodyText"/>
        <w:spacing w:before="1"/>
        <w:rPr>
          <w:sz w:val="16"/>
        </w:rPr>
      </w:pPr>
      <w:r>
        <w:rPr>
          <w:noProof/>
          <w:lang w:val="en-AU" w:eastAsia="en-AU"/>
        </w:rPr>
        <w:drawing>
          <wp:anchor distT="0" distB="0" distL="0" distR="0" simplePos="0" relativeHeight="135" behindDoc="0" locked="0" layoutInCell="1" allowOverlap="1" wp14:anchorId="749F03F7" wp14:editId="1367FE03">
            <wp:simplePos x="0" y="0"/>
            <wp:positionH relativeFrom="page">
              <wp:posOffset>1018032</wp:posOffset>
            </wp:positionH>
            <wp:positionV relativeFrom="paragraph">
              <wp:posOffset>166906</wp:posOffset>
            </wp:positionV>
            <wp:extent cx="259080" cy="393191"/>
            <wp:effectExtent l="0" t="0" r="0" b="0"/>
            <wp:wrapTopAndBottom/>
            <wp:docPr id="85"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6.png"/>
                    <pic:cNvPicPr/>
                  </pic:nvPicPr>
                  <pic:blipFill>
                    <a:blip r:embed="rId184" cstate="print"/>
                    <a:stretch>
                      <a:fillRect/>
                    </a:stretch>
                  </pic:blipFill>
                  <pic:spPr>
                    <a:xfrm>
                      <a:off x="0" y="0"/>
                      <a:ext cx="259080" cy="393191"/>
                    </a:xfrm>
                    <a:prstGeom prst="rect">
                      <a:avLst/>
                    </a:prstGeom>
                  </pic:spPr>
                </pic:pic>
              </a:graphicData>
            </a:graphic>
          </wp:anchor>
        </w:drawing>
      </w:r>
      <w:r>
        <w:rPr>
          <w:noProof/>
          <w:lang w:val="en-AU" w:eastAsia="en-AU"/>
        </w:rPr>
        <w:drawing>
          <wp:anchor distT="0" distB="0" distL="0" distR="0" simplePos="0" relativeHeight="136" behindDoc="0" locked="0" layoutInCell="1" allowOverlap="1" wp14:anchorId="1788867E" wp14:editId="6B9C5B99">
            <wp:simplePos x="0" y="0"/>
            <wp:positionH relativeFrom="page">
              <wp:posOffset>1456944</wp:posOffset>
            </wp:positionH>
            <wp:positionV relativeFrom="paragraph">
              <wp:posOffset>142522</wp:posOffset>
            </wp:positionV>
            <wp:extent cx="871728" cy="414527"/>
            <wp:effectExtent l="0" t="0" r="0" b="0"/>
            <wp:wrapTopAndBottom/>
            <wp:docPr id="87"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7.png"/>
                    <pic:cNvPicPr/>
                  </pic:nvPicPr>
                  <pic:blipFill>
                    <a:blip r:embed="rId185" cstate="print"/>
                    <a:stretch>
                      <a:fillRect/>
                    </a:stretch>
                  </pic:blipFill>
                  <pic:spPr>
                    <a:xfrm>
                      <a:off x="0" y="0"/>
                      <a:ext cx="871728" cy="414527"/>
                    </a:xfrm>
                    <a:prstGeom prst="rect">
                      <a:avLst/>
                    </a:prstGeom>
                  </pic:spPr>
                </pic:pic>
              </a:graphicData>
            </a:graphic>
          </wp:anchor>
        </w:drawing>
      </w:r>
    </w:p>
    <w:p w14:paraId="07AB6728" w14:textId="77777777" w:rsidR="00FA4AA8" w:rsidRDefault="00FA4AA8">
      <w:pPr>
        <w:pStyle w:val="BodyText"/>
        <w:rPr>
          <w:sz w:val="20"/>
        </w:rPr>
      </w:pPr>
    </w:p>
    <w:p w14:paraId="55A11D75" w14:textId="77777777" w:rsidR="00FA4AA8" w:rsidRDefault="00FA4AA8">
      <w:pPr>
        <w:pStyle w:val="BodyText"/>
        <w:rPr>
          <w:sz w:val="20"/>
        </w:rPr>
      </w:pPr>
    </w:p>
    <w:p w14:paraId="20F3E6A0" w14:textId="77777777" w:rsidR="00FA4AA8" w:rsidRDefault="009C3740">
      <w:pPr>
        <w:spacing w:before="134"/>
        <w:ind w:left="658"/>
        <w:rPr>
          <w:sz w:val="20"/>
        </w:rPr>
      </w:pPr>
      <w:r>
        <w:rPr>
          <w:sz w:val="20"/>
        </w:rPr>
        <w:t>David Daniel</w:t>
      </w:r>
      <w:r w:rsidR="0015611F">
        <w:rPr>
          <w:sz w:val="20"/>
        </w:rPr>
        <w:t>s</w:t>
      </w:r>
    </w:p>
    <w:p w14:paraId="47E348CA" w14:textId="77777777" w:rsidR="00FA4AA8" w:rsidRDefault="0015611F">
      <w:pPr>
        <w:spacing w:before="15"/>
        <w:ind w:left="658"/>
        <w:rPr>
          <w:sz w:val="19"/>
        </w:rPr>
      </w:pPr>
      <w:r>
        <w:rPr>
          <w:color w:val="0E0E0E"/>
          <w:sz w:val="19"/>
        </w:rPr>
        <w:t xml:space="preserve">Director, </w:t>
      </w:r>
      <w:r>
        <w:rPr>
          <w:sz w:val="19"/>
        </w:rPr>
        <w:t xml:space="preserve">Financial </w:t>
      </w:r>
      <w:r>
        <w:rPr>
          <w:color w:val="0F0F0F"/>
          <w:sz w:val="19"/>
        </w:rPr>
        <w:t xml:space="preserve">Audit </w:t>
      </w:r>
      <w:r>
        <w:rPr>
          <w:sz w:val="19"/>
        </w:rPr>
        <w:t>Services</w:t>
      </w:r>
    </w:p>
    <w:p w14:paraId="756C3DDA" w14:textId="77777777" w:rsidR="00FA4AA8" w:rsidRDefault="00FA4AA8">
      <w:pPr>
        <w:pStyle w:val="BodyText"/>
        <w:rPr>
          <w:sz w:val="20"/>
        </w:rPr>
      </w:pPr>
    </w:p>
    <w:p w14:paraId="548DD78B" w14:textId="77777777" w:rsidR="00FA4AA8" w:rsidRDefault="00FA4AA8">
      <w:pPr>
        <w:pStyle w:val="BodyText"/>
        <w:spacing w:before="5"/>
        <w:rPr>
          <w:sz w:val="29"/>
        </w:rPr>
      </w:pPr>
    </w:p>
    <w:p w14:paraId="6092D95E" w14:textId="77777777" w:rsidR="00FA4AA8" w:rsidRDefault="0015611F">
      <w:pPr>
        <w:spacing w:line="252" w:lineRule="auto"/>
        <w:ind w:left="660" w:right="7135" w:hanging="7"/>
        <w:rPr>
          <w:sz w:val="19"/>
        </w:rPr>
      </w:pPr>
      <w:r>
        <w:rPr>
          <w:color w:val="131313"/>
          <w:sz w:val="19"/>
        </w:rPr>
        <w:t xml:space="preserve">19 </w:t>
      </w:r>
      <w:r>
        <w:rPr>
          <w:sz w:val="19"/>
        </w:rPr>
        <w:t xml:space="preserve">February </w:t>
      </w:r>
      <w:r>
        <w:rPr>
          <w:color w:val="161616"/>
          <w:sz w:val="19"/>
        </w:rPr>
        <w:t xml:space="preserve">2019 </w:t>
      </w:r>
      <w:r>
        <w:rPr>
          <w:sz w:val="19"/>
        </w:rPr>
        <w:t>SYDNEY</w:t>
      </w:r>
    </w:p>
    <w:p w14:paraId="7CA9DE3C" w14:textId="77777777" w:rsidR="00FA4AA8" w:rsidRDefault="00FA4AA8">
      <w:pPr>
        <w:pStyle w:val="BodyText"/>
        <w:rPr>
          <w:sz w:val="20"/>
        </w:rPr>
      </w:pPr>
    </w:p>
    <w:p w14:paraId="1BBFA400" w14:textId="77777777" w:rsidR="00FA4AA8" w:rsidRDefault="00FA4AA8">
      <w:pPr>
        <w:pStyle w:val="BodyText"/>
        <w:rPr>
          <w:sz w:val="20"/>
        </w:rPr>
      </w:pPr>
    </w:p>
    <w:p w14:paraId="220365C0" w14:textId="77777777" w:rsidR="00FA4AA8" w:rsidRDefault="00FA4AA8">
      <w:pPr>
        <w:pStyle w:val="BodyText"/>
        <w:rPr>
          <w:sz w:val="20"/>
        </w:rPr>
      </w:pPr>
    </w:p>
    <w:p w14:paraId="776330BE" w14:textId="77777777" w:rsidR="00FA4AA8" w:rsidRDefault="00FA4AA8">
      <w:pPr>
        <w:pStyle w:val="BodyText"/>
        <w:rPr>
          <w:sz w:val="20"/>
        </w:rPr>
      </w:pPr>
    </w:p>
    <w:p w14:paraId="3351D97E" w14:textId="77777777" w:rsidR="00FA4AA8" w:rsidRDefault="00FA4AA8">
      <w:pPr>
        <w:pStyle w:val="BodyText"/>
        <w:rPr>
          <w:sz w:val="20"/>
        </w:rPr>
      </w:pPr>
    </w:p>
    <w:p w14:paraId="661182F9" w14:textId="77777777" w:rsidR="00FA4AA8" w:rsidRDefault="00FA4AA8">
      <w:pPr>
        <w:pStyle w:val="BodyText"/>
        <w:rPr>
          <w:sz w:val="20"/>
        </w:rPr>
      </w:pPr>
    </w:p>
    <w:p w14:paraId="48DA803E" w14:textId="77777777" w:rsidR="00FA4AA8" w:rsidRDefault="00FA4AA8">
      <w:pPr>
        <w:pStyle w:val="BodyText"/>
        <w:rPr>
          <w:sz w:val="20"/>
        </w:rPr>
      </w:pPr>
    </w:p>
    <w:p w14:paraId="0176B90C" w14:textId="77777777" w:rsidR="00FA4AA8" w:rsidRDefault="00FA4AA8">
      <w:pPr>
        <w:pStyle w:val="BodyText"/>
        <w:rPr>
          <w:sz w:val="20"/>
        </w:rPr>
      </w:pPr>
    </w:p>
    <w:p w14:paraId="42A5B1C3" w14:textId="77777777" w:rsidR="00FA4AA8" w:rsidRDefault="00FA4AA8">
      <w:pPr>
        <w:pStyle w:val="BodyText"/>
        <w:rPr>
          <w:sz w:val="20"/>
        </w:rPr>
      </w:pPr>
    </w:p>
    <w:p w14:paraId="69A16CB7" w14:textId="77777777" w:rsidR="00FA4AA8" w:rsidRDefault="00FA4AA8">
      <w:pPr>
        <w:pStyle w:val="BodyText"/>
        <w:rPr>
          <w:sz w:val="20"/>
        </w:rPr>
      </w:pPr>
    </w:p>
    <w:p w14:paraId="70D49CD7" w14:textId="77777777" w:rsidR="00FA4AA8" w:rsidRDefault="00FA4AA8">
      <w:pPr>
        <w:pStyle w:val="BodyText"/>
        <w:rPr>
          <w:sz w:val="20"/>
        </w:rPr>
      </w:pPr>
    </w:p>
    <w:p w14:paraId="2791E7AE" w14:textId="77777777" w:rsidR="00FA4AA8" w:rsidRDefault="00FA4AA8">
      <w:pPr>
        <w:pStyle w:val="BodyText"/>
        <w:rPr>
          <w:sz w:val="20"/>
        </w:rPr>
      </w:pPr>
    </w:p>
    <w:p w14:paraId="2371D68E" w14:textId="77777777" w:rsidR="00FA4AA8" w:rsidRDefault="00FA4AA8">
      <w:pPr>
        <w:pStyle w:val="BodyText"/>
        <w:rPr>
          <w:sz w:val="20"/>
        </w:rPr>
      </w:pPr>
    </w:p>
    <w:p w14:paraId="6140BEFB" w14:textId="77777777" w:rsidR="00FA4AA8" w:rsidRDefault="00FA4AA8">
      <w:pPr>
        <w:pStyle w:val="BodyText"/>
        <w:rPr>
          <w:sz w:val="20"/>
        </w:rPr>
      </w:pPr>
    </w:p>
    <w:p w14:paraId="0BEB8245" w14:textId="77777777" w:rsidR="00FA4AA8" w:rsidRDefault="00FA4AA8">
      <w:pPr>
        <w:pStyle w:val="BodyText"/>
        <w:rPr>
          <w:sz w:val="20"/>
        </w:rPr>
      </w:pPr>
    </w:p>
    <w:p w14:paraId="64F157CC" w14:textId="77777777" w:rsidR="00FA4AA8" w:rsidRDefault="00FA4AA8">
      <w:pPr>
        <w:pStyle w:val="BodyText"/>
        <w:rPr>
          <w:sz w:val="20"/>
        </w:rPr>
      </w:pPr>
    </w:p>
    <w:p w14:paraId="19C218EF" w14:textId="77777777" w:rsidR="00FA4AA8" w:rsidRDefault="00FA4AA8">
      <w:pPr>
        <w:pStyle w:val="BodyText"/>
        <w:rPr>
          <w:sz w:val="20"/>
        </w:rPr>
      </w:pPr>
    </w:p>
    <w:p w14:paraId="46434AE9" w14:textId="77777777" w:rsidR="00FA4AA8" w:rsidRDefault="00FA4AA8">
      <w:pPr>
        <w:pStyle w:val="BodyText"/>
        <w:rPr>
          <w:sz w:val="20"/>
        </w:rPr>
      </w:pPr>
    </w:p>
    <w:p w14:paraId="1E9DAE6E" w14:textId="77777777" w:rsidR="00FA4AA8" w:rsidRDefault="007E2441">
      <w:pPr>
        <w:pStyle w:val="BodyText"/>
        <w:spacing w:before="7"/>
        <w:rPr>
          <w:sz w:val="21"/>
        </w:rPr>
      </w:pPr>
      <w:r>
        <w:rPr>
          <w:noProof/>
          <w:lang w:val="en-AU" w:eastAsia="en-AU"/>
        </w:rPr>
        <mc:AlternateContent>
          <mc:Choice Requires="wps">
            <w:drawing>
              <wp:anchor distT="0" distB="0" distL="0" distR="0" simplePos="0" relativeHeight="487657984" behindDoc="1" locked="0" layoutInCell="1" allowOverlap="1" wp14:anchorId="6872F5E4" wp14:editId="1D5008AB">
                <wp:simplePos x="0" y="0"/>
                <wp:positionH relativeFrom="page">
                  <wp:posOffset>655320</wp:posOffset>
                </wp:positionH>
                <wp:positionV relativeFrom="paragraph">
                  <wp:posOffset>187960</wp:posOffset>
                </wp:positionV>
                <wp:extent cx="6239510" cy="1270"/>
                <wp:effectExtent l="0" t="0" r="0" b="0"/>
                <wp:wrapTopAndBottom/>
                <wp:docPr id="923" name="Freeform 6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39510" cy="1270"/>
                        </a:xfrm>
                        <a:custGeom>
                          <a:avLst/>
                          <a:gdLst>
                            <a:gd name="T0" fmla="+- 0 1032 1032"/>
                            <a:gd name="T1" fmla="*/ T0 w 9826"/>
                            <a:gd name="T2" fmla="+- 0 10858 1032"/>
                            <a:gd name="T3" fmla="*/ T2 w 9826"/>
                          </a:gdLst>
                          <a:ahLst/>
                          <a:cxnLst>
                            <a:cxn ang="0">
                              <a:pos x="T1" y="0"/>
                            </a:cxn>
                            <a:cxn ang="0">
                              <a:pos x="T3" y="0"/>
                            </a:cxn>
                          </a:cxnLst>
                          <a:rect l="0" t="0" r="r" b="b"/>
                          <a:pathLst>
                            <a:path w="9826">
                              <a:moveTo>
                                <a:pt x="0" y="0"/>
                              </a:moveTo>
                              <a:lnTo>
                                <a:pt x="9826" y="0"/>
                              </a:lnTo>
                            </a:path>
                          </a:pathLst>
                        </a:custGeom>
                        <a:noFill/>
                        <a:ln w="9144">
                          <a:solidFill>
                            <a:srgbClr val="7C7C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A7AEC" id="Freeform 689" o:spid="_x0000_s1026" style="position:absolute;margin-left:51.6pt;margin-top:14.8pt;width:491.3pt;height:.1pt;z-index:-15658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2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" path="m,l9826,e" filled="f" strokecolor="#7c7c7c" strokeweight=".72pt">
                <v:path arrowok="t" o:connecttype="custom" o:connectlocs="0,0;6239510,0" o:connectangles="0,0"/>
                <w10:wrap type="topAndBottom" anchorx="page"/>
              </v:shape>
            </w:pict>
          </mc:Fallback>
        </mc:AlternateContent>
      </w:r>
      <w:r w:rsidR="0015611F">
        <w:rPr>
          <w:noProof/>
          <w:lang w:val="en-AU" w:eastAsia="en-AU"/>
        </w:rPr>
        <w:drawing>
          <wp:anchor distT="0" distB="0" distL="0" distR="0" simplePos="0" relativeHeight="138" behindDoc="0" locked="0" layoutInCell="1" allowOverlap="1" wp14:anchorId="22693D9F" wp14:editId="3A6DCAC3">
            <wp:simplePos x="0" y="0"/>
            <wp:positionH relativeFrom="page">
              <wp:posOffset>661416</wp:posOffset>
            </wp:positionH>
            <wp:positionV relativeFrom="paragraph">
              <wp:posOffset>308524</wp:posOffset>
            </wp:positionV>
            <wp:extent cx="6233159" cy="88392"/>
            <wp:effectExtent l="0" t="0" r="0" b="0"/>
            <wp:wrapTopAndBottom/>
            <wp:docPr id="89"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8.jpeg"/>
                    <pic:cNvPicPr/>
                  </pic:nvPicPr>
                  <pic:blipFill>
                    <a:blip r:embed="rId186" cstate="print"/>
                    <a:stretch>
                      <a:fillRect/>
                    </a:stretch>
                  </pic:blipFill>
                  <pic:spPr>
                    <a:xfrm>
                      <a:off x="0" y="0"/>
                      <a:ext cx="6233159" cy="88392"/>
                    </a:xfrm>
                    <a:prstGeom prst="rect">
                      <a:avLst/>
                    </a:prstGeom>
                  </pic:spPr>
                </pic:pic>
              </a:graphicData>
            </a:graphic>
          </wp:anchor>
        </w:drawing>
      </w:r>
    </w:p>
    <w:p w14:paraId="22396703" w14:textId="77777777" w:rsidR="00FA4AA8" w:rsidRDefault="00FA4AA8">
      <w:pPr>
        <w:pStyle w:val="BodyText"/>
        <w:spacing w:before="10"/>
        <w:rPr>
          <w:sz w:val="9"/>
        </w:rPr>
      </w:pPr>
    </w:p>
    <w:p w14:paraId="0F31A8A6" w14:textId="77777777" w:rsidR="00FA4AA8" w:rsidRDefault="00FA4AA8">
      <w:pPr>
        <w:rPr>
          <w:sz w:val="9"/>
        </w:rPr>
        <w:sectPr w:rsidR="00FA4AA8">
          <w:headerReference w:type="default" r:id="rId187"/>
          <w:footerReference w:type="default" r:id="rId188"/>
          <w:pgSz w:w="11910" w:h="16850"/>
          <w:pgMar w:top="980" w:right="940" w:bottom="720" w:left="920" w:header="0" w:footer="523" w:gutter="0"/>
          <w:pgNumType w:start="175"/>
          <w:cols w:space="720"/>
        </w:sectPr>
      </w:pPr>
    </w:p>
    <w:p w14:paraId="7F1F9183" w14:textId="77777777" w:rsidR="00FA4AA8" w:rsidRDefault="00FA4AA8">
      <w:pPr>
        <w:pStyle w:val="BodyText"/>
        <w:rPr>
          <w:sz w:val="20"/>
        </w:rPr>
      </w:pPr>
    </w:p>
    <w:p w14:paraId="791E4B0B" w14:textId="77777777" w:rsidR="00FA4AA8" w:rsidRDefault="00FA4AA8">
      <w:pPr>
        <w:pStyle w:val="BodyText"/>
        <w:spacing w:before="4"/>
        <w:rPr>
          <w:sz w:val="10"/>
        </w:rPr>
      </w:pPr>
    </w:p>
    <w:tbl>
      <w:tblPr>
        <w:tblW w:w="0" w:type="auto"/>
        <w:tblInd w:w="125" w:type="dxa"/>
        <w:tblLayout w:type="fixed"/>
        <w:tblCellMar>
          <w:left w:w="0" w:type="dxa"/>
          <w:right w:w="0" w:type="dxa"/>
        </w:tblCellMar>
        <w:tblLook w:val="01E0" w:firstRow="1" w:lastRow="1" w:firstColumn="1" w:lastColumn="1" w:noHBand="0" w:noVBand="0"/>
      </w:tblPr>
      <w:tblGrid>
        <w:gridCol w:w="7372"/>
        <w:gridCol w:w="998"/>
        <w:gridCol w:w="1296"/>
        <w:gridCol w:w="297"/>
      </w:tblGrid>
      <w:tr w:rsidR="00FA4AA8" w14:paraId="26A885F7" w14:textId="77777777">
        <w:trPr>
          <w:trHeight w:val="917"/>
        </w:trPr>
        <w:tc>
          <w:tcPr>
            <w:tcW w:w="7372" w:type="dxa"/>
          </w:tcPr>
          <w:p w14:paraId="1A31D9F6" w14:textId="77777777" w:rsidR="00FA4AA8" w:rsidRDefault="0015611F">
            <w:pPr>
              <w:pStyle w:val="TableParagraph"/>
              <w:spacing w:line="224" w:lineRule="exact"/>
              <w:ind w:left="50"/>
              <w:rPr>
                <w:b/>
                <w:sz w:val="20"/>
              </w:rPr>
            </w:pPr>
            <w:r>
              <w:rPr>
                <w:b/>
                <w:sz w:val="20"/>
              </w:rPr>
              <w:t>Start of audited financial statements</w:t>
            </w:r>
          </w:p>
          <w:p w14:paraId="05837AAD" w14:textId="77777777" w:rsidR="00FA4AA8" w:rsidRDefault="00FA4AA8">
            <w:pPr>
              <w:pStyle w:val="TableParagraph"/>
              <w:spacing w:before="5"/>
              <w:rPr>
                <w:sz w:val="29"/>
              </w:rPr>
            </w:pPr>
          </w:p>
          <w:p w14:paraId="2005FD31" w14:textId="77777777" w:rsidR="00FA4AA8" w:rsidRDefault="0015611F">
            <w:pPr>
              <w:pStyle w:val="TableParagraph"/>
              <w:spacing w:before="1"/>
              <w:ind w:left="50"/>
              <w:rPr>
                <w:b/>
                <w:sz w:val="28"/>
              </w:rPr>
            </w:pPr>
            <w:r>
              <w:rPr>
                <w:b/>
                <w:sz w:val="28"/>
              </w:rPr>
              <w:t>Statement of comprehensive income</w:t>
            </w:r>
          </w:p>
        </w:tc>
        <w:tc>
          <w:tcPr>
            <w:tcW w:w="998" w:type="dxa"/>
          </w:tcPr>
          <w:p w14:paraId="20CEF913" w14:textId="77777777" w:rsidR="00FA4AA8" w:rsidRDefault="00FA4AA8">
            <w:pPr>
              <w:pStyle w:val="TableParagraph"/>
              <w:rPr>
                <w:rFonts w:ascii="Times New Roman"/>
                <w:sz w:val="18"/>
              </w:rPr>
            </w:pPr>
          </w:p>
        </w:tc>
        <w:tc>
          <w:tcPr>
            <w:tcW w:w="1296" w:type="dxa"/>
          </w:tcPr>
          <w:p w14:paraId="3F361130" w14:textId="77777777" w:rsidR="00FA4AA8" w:rsidRDefault="00FA4AA8">
            <w:pPr>
              <w:pStyle w:val="TableParagraph"/>
              <w:rPr>
                <w:rFonts w:ascii="Times New Roman"/>
                <w:sz w:val="18"/>
              </w:rPr>
            </w:pPr>
          </w:p>
        </w:tc>
        <w:tc>
          <w:tcPr>
            <w:tcW w:w="297" w:type="dxa"/>
            <w:vMerge w:val="restart"/>
          </w:tcPr>
          <w:p w14:paraId="183E3CA0" w14:textId="77777777" w:rsidR="00FA4AA8" w:rsidRDefault="00FA4AA8">
            <w:pPr>
              <w:pStyle w:val="TableParagraph"/>
              <w:rPr>
                <w:rFonts w:ascii="Times New Roman"/>
                <w:sz w:val="18"/>
              </w:rPr>
            </w:pPr>
          </w:p>
        </w:tc>
      </w:tr>
      <w:tr w:rsidR="00FA4AA8" w14:paraId="4B36C023" w14:textId="77777777">
        <w:trPr>
          <w:trHeight w:val="486"/>
        </w:trPr>
        <w:tc>
          <w:tcPr>
            <w:tcW w:w="7372" w:type="dxa"/>
          </w:tcPr>
          <w:p w14:paraId="2A282548" w14:textId="77777777" w:rsidR="00FA4AA8" w:rsidRDefault="0015611F">
            <w:pPr>
              <w:pStyle w:val="TableParagraph"/>
              <w:spacing w:before="25"/>
              <w:ind w:left="50"/>
              <w:rPr>
                <w:b/>
              </w:rPr>
            </w:pPr>
            <w:r>
              <w:rPr>
                <w:b/>
              </w:rPr>
              <w:t>For the year ended 31 December 2018</w:t>
            </w:r>
          </w:p>
        </w:tc>
        <w:tc>
          <w:tcPr>
            <w:tcW w:w="998" w:type="dxa"/>
          </w:tcPr>
          <w:p w14:paraId="612AF8BF" w14:textId="77777777" w:rsidR="00FA4AA8" w:rsidRDefault="00FA4AA8">
            <w:pPr>
              <w:pStyle w:val="TableParagraph"/>
              <w:rPr>
                <w:rFonts w:ascii="Times New Roman"/>
                <w:sz w:val="18"/>
              </w:rPr>
            </w:pPr>
          </w:p>
        </w:tc>
        <w:tc>
          <w:tcPr>
            <w:tcW w:w="1296" w:type="dxa"/>
          </w:tcPr>
          <w:p w14:paraId="48959D10" w14:textId="77777777" w:rsidR="00FA4AA8" w:rsidRDefault="00FA4AA8">
            <w:pPr>
              <w:pStyle w:val="TableParagraph"/>
              <w:rPr>
                <w:rFonts w:ascii="Times New Roman"/>
                <w:sz w:val="18"/>
              </w:rPr>
            </w:pPr>
          </w:p>
        </w:tc>
        <w:tc>
          <w:tcPr>
            <w:tcW w:w="297" w:type="dxa"/>
            <w:vMerge/>
            <w:tcBorders>
              <w:top w:val="nil"/>
            </w:tcBorders>
          </w:tcPr>
          <w:p w14:paraId="2EB75B4F" w14:textId="77777777" w:rsidR="00FA4AA8" w:rsidRDefault="00FA4AA8">
            <w:pPr>
              <w:rPr>
                <w:sz w:val="2"/>
                <w:szCs w:val="2"/>
              </w:rPr>
            </w:pPr>
          </w:p>
        </w:tc>
      </w:tr>
      <w:tr w:rsidR="00FA4AA8" w14:paraId="2206E11D" w14:textId="77777777">
        <w:trPr>
          <w:trHeight w:val="446"/>
        </w:trPr>
        <w:tc>
          <w:tcPr>
            <w:tcW w:w="7372" w:type="dxa"/>
          </w:tcPr>
          <w:p w14:paraId="0E75E1C6" w14:textId="77777777" w:rsidR="00FA4AA8" w:rsidRDefault="00FA4AA8">
            <w:pPr>
              <w:pStyle w:val="TableParagraph"/>
              <w:rPr>
                <w:rFonts w:ascii="Times New Roman"/>
                <w:sz w:val="18"/>
              </w:rPr>
            </w:pPr>
          </w:p>
        </w:tc>
        <w:tc>
          <w:tcPr>
            <w:tcW w:w="998" w:type="dxa"/>
          </w:tcPr>
          <w:p w14:paraId="5B632159" w14:textId="77777777" w:rsidR="00FA4AA8" w:rsidRDefault="00FA4AA8">
            <w:pPr>
              <w:pStyle w:val="TableParagraph"/>
              <w:spacing w:before="7"/>
              <w:rPr>
                <w:sz w:val="17"/>
              </w:rPr>
            </w:pPr>
          </w:p>
          <w:p w14:paraId="05034AEC" w14:textId="77777777" w:rsidR="00FA4AA8" w:rsidRDefault="0015611F">
            <w:pPr>
              <w:pStyle w:val="TableParagraph"/>
              <w:ind w:left="428" w:right="128"/>
              <w:jc w:val="center"/>
              <w:rPr>
                <w:b/>
                <w:sz w:val="18"/>
              </w:rPr>
            </w:pPr>
            <w:r>
              <w:rPr>
                <w:b/>
                <w:sz w:val="18"/>
              </w:rPr>
              <w:t>2018</w:t>
            </w:r>
          </w:p>
        </w:tc>
        <w:tc>
          <w:tcPr>
            <w:tcW w:w="1296" w:type="dxa"/>
          </w:tcPr>
          <w:p w14:paraId="6A5DEF50" w14:textId="77777777" w:rsidR="00FA4AA8" w:rsidRDefault="00FA4AA8">
            <w:pPr>
              <w:pStyle w:val="TableParagraph"/>
              <w:spacing w:before="7"/>
              <w:rPr>
                <w:sz w:val="17"/>
              </w:rPr>
            </w:pPr>
          </w:p>
          <w:p w14:paraId="30B2B704" w14:textId="77777777" w:rsidR="00FA4AA8" w:rsidRDefault="0015611F">
            <w:pPr>
              <w:pStyle w:val="TableParagraph"/>
              <w:ind w:left="748"/>
              <w:rPr>
                <w:b/>
                <w:sz w:val="18"/>
              </w:rPr>
            </w:pPr>
            <w:r>
              <w:rPr>
                <w:b/>
                <w:sz w:val="18"/>
              </w:rPr>
              <w:t>2017</w:t>
            </w:r>
          </w:p>
        </w:tc>
        <w:tc>
          <w:tcPr>
            <w:tcW w:w="297" w:type="dxa"/>
            <w:vMerge/>
            <w:tcBorders>
              <w:top w:val="nil"/>
            </w:tcBorders>
          </w:tcPr>
          <w:p w14:paraId="5323DDF5" w14:textId="77777777" w:rsidR="00FA4AA8" w:rsidRDefault="00FA4AA8">
            <w:pPr>
              <w:rPr>
                <w:sz w:val="2"/>
                <w:szCs w:val="2"/>
              </w:rPr>
            </w:pPr>
          </w:p>
        </w:tc>
      </w:tr>
      <w:tr w:rsidR="00FA4AA8" w14:paraId="19CA6FAF" w14:textId="77777777">
        <w:trPr>
          <w:trHeight w:val="313"/>
        </w:trPr>
        <w:tc>
          <w:tcPr>
            <w:tcW w:w="7372" w:type="dxa"/>
          </w:tcPr>
          <w:p w14:paraId="7CF6D898" w14:textId="77777777" w:rsidR="00FA4AA8" w:rsidRDefault="00FA4AA8">
            <w:pPr>
              <w:pStyle w:val="TableParagraph"/>
              <w:rPr>
                <w:rFonts w:ascii="Times New Roman"/>
                <w:sz w:val="18"/>
              </w:rPr>
            </w:pPr>
          </w:p>
        </w:tc>
        <w:tc>
          <w:tcPr>
            <w:tcW w:w="998" w:type="dxa"/>
          </w:tcPr>
          <w:p w14:paraId="24E02EDD" w14:textId="77777777" w:rsidR="00FA4AA8" w:rsidRDefault="0015611F">
            <w:pPr>
              <w:pStyle w:val="TableParagraph"/>
              <w:spacing w:before="30"/>
              <w:ind w:left="300"/>
              <w:jc w:val="center"/>
              <w:rPr>
                <w:b/>
                <w:sz w:val="18"/>
              </w:rPr>
            </w:pPr>
            <w:r>
              <w:rPr>
                <w:b/>
                <w:w w:val="99"/>
                <w:sz w:val="18"/>
              </w:rPr>
              <w:t>$</w:t>
            </w:r>
          </w:p>
        </w:tc>
        <w:tc>
          <w:tcPr>
            <w:tcW w:w="1296" w:type="dxa"/>
          </w:tcPr>
          <w:p w14:paraId="4772A0A3" w14:textId="77777777" w:rsidR="00FA4AA8" w:rsidRDefault="0015611F">
            <w:pPr>
              <w:pStyle w:val="TableParagraph"/>
              <w:spacing w:before="30"/>
              <w:ind w:right="295"/>
              <w:jc w:val="right"/>
              <w:rPr>
                <w:b/>
                <w:sz w:val="18"/>
              </w:rPr>
            </w:pPr>
            <w:r>
              <w:rPr>
                <w:b/>
                <w:w w:val="99"/>
                <w:sz w:val="18"/>
              </w:rPr>
              <w:t>$</w:t>
            </w:r>
          </w:p>
        </w:tc>
        <w:tc>
          <w:tcPr>
            <w:tcW w:w="297" w:type="dxa"/>
            <w:vMerge/>
            <w:tcBorders>
              <w:top w:val="nil"/>
            </w:tcBorders>
          </w:tcPr>
          <w:p w14:paraId="13896A94" w14:textId="77777777" w:rsidR="00FA4AA8" w:rsidRDefault="00FA4AA8">
            <w:pPr>
              <w:rPr>
                <w:sz w:val="2"/>
                <w:szCs w:val="2"/>
              </w:rPr>
            </w:pPr>
          </w:p>
        </w:tc>
      </w:tr>
      <w:tr w:rsidR="00FA4AA8" w14:paraId="030EBFE0" w14:textId="77777777">
        <w:trPr>
          <w:trHeight w:val="349"/>
        </w:trPr>
        <w:tc>
          <w:tcPr>
            <w:tcW w:w="7372" w:type="dxa"/>
          </w:tcPr>
          <w:p w14:paraId="062B3DBB" w14:textId="77777777" w:rsidR="00FA4AA8" w:rsidRDefault="0015611F">
            <w:pPr>
              <w:pStyle w:val="TableParagraph"/>
              <w:spacing w:before="70"/>
              <w:ind w:left="77"/>
              <w:rPr>
                <w:b/>
                <w:sz w:val="18"/>
              </w:rPr>
            </w:pPr>
            <w:r>
              <w:rPr>
                <w:b/>
                <w:sz w:val="18"/>
              </w:rPr>
              <w:t>Revenue</w:t>
            </w:r>
          </w:p>
        </w:tc>
        <w:tc>
          <w:tcPr>
            <w:tcW w:w="998" w:type="dxa"/>
          </w:tcPr>
          <w:p w14:paraId="43EBE867" w14:textId="77777777" w:rsidR="00FA4AA8" w:rsidRDefault="00FA4AA8">
            <w:pPr>
              <w:pStyle w:val="TableParagraph"/>
              <w:rPr>
                <w:rFonts w:ascii="Times New Roman"/>
                <w:sz w:val="18"/>
              </w:rPr>
            </w:pPr>
          </w:p>
        </w:tc>
        <w:tc>
          <w:tcPr>
            <w:tcW w:w="1296" w:type="dxa"/>
          </w:tcPr>
          <w:p w14:paraId="4C3F9D78" w14:textId="77777777" w:rsidR="00FA4AA8" w:rsidRDefault="00FA4AA8">
            <w:pPr>
              <w:pStyle w:val="TableParagraph"/>
              <w:rPr>
                <w:rFonts w:ascii="Times New Roman"/>
                <w:sz w:val="18"/>
              </w:rPr>
            </w:pPr>
          </w:p>
        </w:tc>
        <w:tc>
          <w:tcPr>
            <w:tcW w:w="297" w:type="dxa"/>
            <w:vMerge/>
            <w:tcBorders>
              <w:top w:val="nil"/>
            </w:tcBorders>
          </w:tcPr>
          <w:p w14:paraId="3F88ED92" w14:textId="77777777" w:rsidR="00FA4AA8" w:rsidRDefault="00FA4AA8">
            <w:pPr>
              <w:rPr>
                <w:sz w:val="2"/>
                <w:szCs w:val="2"/>
              </w:rPr>
            </w:pPr>
          </w:p>
        </w:tc>
      </w:tr>
      <w:tr w:rsidR="00FA4AA8" w14:paraId="75668CB7" w14:textId="77777777">
        <w:trPr>
          <w:trHeight w:val="272"/>
        </w:trPr>
        <w:tc>
          <w:tcPr>
            <w:tcW w:w="7372" w:type="dxa"/>
          </w:tcPr>
          <w:p w14:paraId="67E3B2F0" w14:textId="77777777" w:rsidR="00FA4AA8" w:rsidRDefault="0015611F">
            <w:pPr>
              <w:pStyle w:val="TableParagraph"/>
              <w:spacing w:before="67" w:line="185" w:lineRule="exact"/>
              <w:ind w:left="77"/>
              <w:rPr>
                <w:sz w:val="18"/>
              </w:rPr>
            </w:pPr>
            <w:r>
              <w:rPr>
                <w:sz w:val="18"/>
              </w:rPr>
              <w:t>Other revenue</w:t>
            </w:r>
          </w:p>
        </w:tc>
        <w:tc>
          <w:tcPr>
            <w:tcW w:w="998" w:type="dxa"/>
            <w:tcBorders>
              <w:bottom w:val="single" w:sz="4" w:space="0" w:color="000000"/>
            </w:tcBorders>
          </w:tcPr>
          <w:p w14:paraId="255494BB" w14:textId="77777777" w:rsidR="00FA4AA8" w:rsidRDefault="00FA4AA8">
            <w:pPr>
              <w:pStyle w:val="TableParagraph"/>
              <w:rPr>
                <w:rFonts w:ascii="Times New Roman"/>
                <w:sz w:val="18"/>
              </w:rPr>
            </w:pPr>
          </w:p>
        </w:tc>
        <w:tc>
          <w:tcPr>
            <w:tcW w:w="1296" w:type="dxa"/>
            <w:tcBorders>
              <w:bottom w:val="single" w:sz="4" w:space="0" w:color="000000"/>
            </w:tcBorders>
          </w:tcPr>
          <w:p w14:paraId="38DA97DC" w14:textId="77777777" w:rsidR="00FA4AA8" w:rsidRDefault="0015611F">
            <w:pPr>
              <w:pStyle w:val="TableParagraph"/>
              <w:spacing w:before="67" w:line="185" w:lineRule="exact"/>
              <w:ind w:left="150"/>
              <w:rPr>
                <w:b/>
                <w:sz w:val="18"/>
              </w:rPr>
            </w:pPr>
            <w:r>
              <w:rPr>
                <w:b/>
                <w:w w:val="99"/>
                <w:sz w:val="18"/>
              </w:rPr>
              <w:t>-</w:t>
            </w:r>
          </w:p>
        </w:tc>
        <w:tc>
          <w:tcPr>
            <w:tcW w:w="297" w:type="dxa"/>
            <w:tcBorders>
              <w:bottom w:val="single" w:sz="4" w:space="0" w:color="000000"/>
            </w:tcBorders>
          </w:tcPr>
          <w:p w14:paraId="3500A92A" w14:textId="77777777" w:rsidR="00FA4AA8" w:rsidRDefault="0015611F">
            <w:pPr>
              <w:pStyle w:val="TableParagraph"/>
              <w:spacing w:before="67" w:line="185" w:lineRule="exact"/>
              <w:ind w:left="66"/>
              <w:jc w:val="center"/>
              <w:rPr>
                <w:sz w:val="18"/>
              </w:rPr>
            </w:pPr>
            <w:r>
              <w:rPr>
                <w:w w:val="99"/>
                <w:sz w:val="18"/>
              </w:rPr>
              <w:t>-</w:t>
            </w:r>
          </w:p>
        </w:tc>
      </w:tr>
      <w:tr w:rsidR="00FA4AA8" w14:paraId="684009F7" w14:textId="77777777">
        <w:trPr>
          <w:trHeight w:val="205"/>
        </w:trPr>
        <w:tc>
          <w:tcPr>
            <w:tcW w:w="7372" w:type="dxa"/>
          </w:tcPr>
          <w:p w14:paraId="7A314E39" w14:textId="77777777" w:rsidR="00FA4AA8" w:rsidRDefault="0015611F">
            <w:pPr>
              <w:pStyle w:val="TableParagraph"/>
              <w:spacing w:line="185" w:lineRule="exact"/>
              <w:ind w:left="77"/>
              <w:rPr>
                <w:b/>
                <w:sz w:val="18"/>
              </w:rPr>
            </w:pPr>
            <w:r>
              <w:rPr>
                <w:b/>
                <w:sz w:val="18"/>
              </w:rPr>
              <w:t>Total revenue</w:t>
            </w:r>
          </w:p>
        </w:tc>
        <w:tc>
          <w:tcPr>
            <w:tcW w:w="998" w:type="dxa"/>
            <w:tcBorders>
              <w:top w:val="single" w:sz="4" w:space="0" w:color="000000"/>
              <w:bottom w:val="single" w:sz="8" w:space="0" w:color="000000"/>
            </w:tcBorders>
          </w:tcPr>
          <w:p w14:paraId="5092E9C0" w14:textId="77777777" w:rsidR="00FA4AA8" w:rsidRDefault="00FA4AA8">
            <w:pPr>
              <w:pStyle w:val="TableParagraph"/>
              <w:rPr>
                <w:rFonts w:ascii="Times New Roman"/>
                <w:sz w:val="14"/>
              </w:rPr>
            </w:pPr>
          </w:p>
        </w:tc>
        <w:tc>
          <w:tcPr>
            <w:tcW w:w="1296" w:type="dxa"/>
            <w:tcBorders>
              <w:top w:val="single" w:sz="4" w:space="0" w:color="000000"/>
              <w:bottom w:val="single" w:sz="8" w:space="0" w:color="000000"/>
            </w:tcBorders>
          </w:tcPr>
          <w:p w14:paraId="2F1E4D22" w14:textId="77777777" w:rsidR="00FA4AA8" w:rsidRDefault="0015611F">
            <w:pPr>
              <w:pStyle w:val="TableParagraph"/>
              <w:spacing w:line="185" w:lineRule="exact"/>
              <w:ind w:left="150"/>
              <w:rPr>
                <w:b/>
                <w:sz w:val="18"/>
              </w:rPr>
            </w:pPr>
            <w:r>
              <w:rPr>
                <w:b/>
                <w:w w:val="99"/>
                <w:sz w:val="18"/>
              </w:rPr>
              <w:t>-</w:t>
            </w:r>
          </w:p>
        </w:tc>
        <w:tc>
          <w:tcPr>
            <w:tcW w:w="297" w:type="dxa"/>
            <w:tcBorders>
              <w:top w:val="single" w:sz="4" w:space="0" w:color="000000"/>
              <w:bottom w:val="single" w:sz="8" w:space="0" w:color="000000"/>
            </w:tcBorders>
          </w:tcPr>
          <w:p w14:paraId="3881D7C9" w14:textId="77777777" w:rsidR="00FA4AA8" w:rsidRDefault="0015611F">
            <w:pPr>
              <w:pStyle w:val="TableParagraph"/>
              <w:spacing w:line="185" w:lineRule="exact"/>
              <w:ind w:left="66"/>
              <w:jc w:val="center"/>
              <w:rPr>
                <w:sz w:val="18"/>
              </w:rPr>
            </w:pPr>
            <w:r>
              <w:rPr>
                <w:w w:val="99"/>
                <w:sz w:val="18"/>
              </w:rPr>
              <w:t>-</w:t>
            </w:r>
          </w:p>
        </w:tc>
      </w:tr>
      <w:tr w:rsidR="00FA4AA8" w14:paraId="181CF48C" w14:textId="77777777">
        <w:trPr>
          <w:trHeight w:val="563"/>
        </w:trPr>
        <w:tc>
          <w:tcPr>
            <w:tcW w:w="7372" w:type="dxa"/>
          </w:tcPr>
          <w:p w14:paraId="7BCB41A9" w14:textId="77777777" w:rsidR="00FA4AA8" w:rsidRDefault="00FA4AA8">
            <w:pPr>
              <w:pStyle w:val="TableParagraph"/>
              <w:spacing w:before="7"/>
              <w:rPr>
                <w:sz w:val="24"/>
              </w:rPr>
            </w:pPr>
          </w:p>
          <w:p w14:paraId="3FA2F70B" w14:textId="77777777" w:rsidR="00FA4AA8" w:rsidRDefault="0015611F">
            <w:pPr>
              <w:pStyle w:val="TableParagraph"/>
              <w:ind w:left="77"/>
              <w:rPr>
                <w:b/>
                <w:sz w:val="18"/>
              </w:rPr>
            </w:pPr>
            <w:r>
              <w:rPr>
                <w:b/>
                <w:sz w:val="18"/>
              </w:rPr>
              <w:t>Expenses</w:t>
            </w:r>
          </w:p>
        </w:tc>
        <w:tc>
          <w:tcPr>
            <w:tcW w:w="998" w:type="dxa"/>
            <w:tcBorders>
              <w:top w:val="single" w:sz="8" w:space="0" w:color="000000"/>
            </w:tcBorders>
          </w:tcPr>
          <w:p w14:paraId="69EC2434" w14:textId="77777777" w:rsidR="00FA4AA8" w:rsidRDefault="00FA4AA8">
            <w:pPr>
              <w:pStyle w:val="TableParagraph"/>
              <w:rPr>
                <w:rFonts w:ascii="Times New Roman"/>
                <w:sz w:val="18"/>
              </w:rPr>
            </w:pPr>
          </w:p>
        </w:tc>
        <w:tc>
          <w:tcPr>
            <w:tcW w:w="1296" w:type="dxa"/>
            <w:tcBorders>
              <w:top w:val="single" w:sz="8" w:space="0" w:color="000000"/>
            </w:tcBorders>
          </w:tcPr>
          <w:p w14:paraId="2335DC79" w14:textId="77777777" w:rsidR="00FA4AA8" w:rsidRDefault="00FA4AA8">
            <w:pPr>
              <w:pStyle w:val="TableParagraph"/>
              <w:rPr>
                <w:rFonts w:ascii="Times New Roman"/>
                <w:sz w:val="18"/>
              </w:rPr>
            </w:pPr>
          </w:p>
        </w:tc>
        <w:tc>
          <w:tcPr>
            <w:tcW w:w="297" w:type="dxa"/>
            <w:tcBorders>
              <w:top w:val="single" w:sz="8" w:space="0" w:color="000000"/>
            </w:tcBorders>
          </w:tcPr>
          <w:p w14:paraId="6457D1EA" w14:textId="77777777" w:rsidR="00FA4AA8" w:rsidRDefault="00FA4AA8">
            <w:pPr>
              <w:pStyle w:val="TableParagraph"/>
              <w:rPr>
                <w:rFonts w:ascii="Times New Roman"/>
                <w:sz w:val="18"/>
              </w:rPr>
            </w:pPr>
          </w:p>
        </w:tc>
      </w:tr>
      <w:tr w:rsidR="00FA4AA8" w14:paraId="7E0F3E10" w14:textId="77777777">
        <w:trPr>
          <w:trHeight w:val="272"/>
        </w:trPr>
        <w:tc>
          <w:tcPr>
            <w:tcW w:w="7372" w:type="dxa"/>
          </w:tcPr>
          <w:p w14:paraId="29DE5FF9" w14:textId="77777777" w:rsidR="00FA4AA8" w:rsidRDefault="0015611F">
            <w:pPr>
              <w:pStyle w:val="TableParagraph"/>
              <w:spacing w:before="67" w:line="185" w:lineRule="exact"/>
              <w:ind w:left="77"/>
              <w:rPr>
                <w:sz w:val="18"/>
              </w:rPr>
            </w:pPr>
            <w:r>
              <w:rPr>
                <w:sz w:val="18"/>
              </w:rPr>
              <w:t>Finance costs</w:t>
            </w:r>
          </w:p>
        </w:tc>
        <w:tc>
          <w:tcPr>
            <w:tcW w:w="998" w:type="dxa"/>
            <w:tcBorders>
              <w:bottom w:val="single" w:sz="4" w:space="0" w:color="000000"/>
            </w:tcBorders>
          </w:tcPr>
          <w:p w14:paraId="5314A760" w14:textId="77777777" w:rsidR="00FA4AA8" w:rsidRDefault="00FA4AA8">
            <w:pPr>
              <w:pStyle w:val="TableParagraph"/>
              <w:rPr>
                <w:rFonts w:ascii="Times New Roman"/>
                <w:sz w:val="18"/>
              </w:rPr>
            </w:pPr>
          </w:p>
        </w:tc>
        <w:tc>
          <w:tcPr>
            <w:tcW w:w="1296" w:type="dxa"/>
            <w:tcBorders>
              <w:bottom w:val="single" w:sz="4" w:space="0" w:color="000000"/>
            </w:tcBorders>
          </w:tcPr>
          <w:p w14:paraId="5A65F87F" w14:textId="77777777" w:rsidR="00FA4AA8" w:rsidRDefault="0015611F">
            <w:pPr>
              <w:pStyle w:val="TableParagraph"/>
              <w:spacing w:before="67" w:line="185" w:lineRule="exact"/>
              <w:ind w:left="150"/>
              <w:rPr>
                <w:b/>
                <w:sz w:val="18"/>
              </w:rPr>
            </w:pPr>
            <w:r>
              <w:rPr>
                <w:b/>
                <w:w w:val="99"/>
                <w:sz w:val="18"/>
              </w:rPr>
              <w:t>-</w:t>
            </w:r>
          </w:p>
        </w:tc>
        <w:tc>
          <w:tcPr>
            <w:tcW w:w="297" w:type="dxa"/>
            <w:tcBorders>
              <w:bottom w:val="single" w:sz="4" w:space="0" w:color="000000"/>
            </w:tcBorders>
          </w:tcPr>
          <w:p w14:paraId="14FB0C30" w14:textId="77777777" w:rsidR="00FA4AA8" w:rsidRDefault="0015611F">
            <w:pPr>
              <w:pStyle w:val="TableParagraph"/>
              <w:spacing w:before="67" w:line="185" w:lineRule="exact"/>
              <w:ind w:left="67"/>
              <w:jc w:val="center"/>
              <w:rPr>
                <w:sz w:val="18"/>
              </w:rPr>
            </w:pPr>
            <w:r>
              <w:rPr>
                <w:w w:val="99"/>
                <w:sz w:val="18"/>
              </w:rPr>
              <w:t>-</w:t>
            </w:r>
          </w:p>
        </w:tc>
      </w:tr>
      <w:tr w:rsidR="00FA4AA8" w14:paraId="0F04F732" w14:textId="77777777">
        <w:trPr>
          <w:trHeight w:val="205"/>
        </w:trPr>
        <w:tc>
          <w:tcPr>
            <w:tcW w:w="7372" w:type="dxa"/>
          </w:tcPr>
          <w:p w14:paraId="29CCE799" w14:textId="77777777" w:rsidR="00FA4AA8" w:rsidRDefault="0015611F">
            <w:pPr>
              <w:pStyle w:val="TableParagraph"/>
              <w:spacing w:line="185" w:lineRule="exact"/>
              <w:ind w:left="77"/>
              <w:rPr>
                <w:b/>
                <w:sz w:val="18"/>
              </w:rPr>
            </w:pPr>
            <w:r>
              <w:rPr>
                <w:b/>
                <w:sz w:val="18"/>
              </w:rPr>
              <w:t>Total expenses</w:t>
            </w:r>
          </w:p>
        </w:tc>
        <w:tc>
          <w:tcPr>
            <w:tcW w:w="998" w:type="dxa"/>
            <w:tcBorders>
              <w:top w:val="single" w:sz="4" w:space="0" w:color="000000"/>
              <w:bottom w:val="single" w:sz="4" w:space="0" w:color="000000"/>
            </w:tcBorders>
          </w:tcPr>
          <w:p w14:paraId="34DD8EC2" w14:textId="77777777" w:rsidR="00FA4AA8" w:rsidRDefault="00FA4AA8">
            <w:pPr>
              <w:pStyle w:val="TableParagraph"/>
              <w:rPr>
                <w:rFonts w:ascii="Times New Roman"/>
                <w:sz w:val="14"/>
              </w:rPr>
            </w:pPr>
          </w:p>
        </w:tc>
        <w:tc>
          <w:tcPr>
            <w:tcW w:w="1296" w:type="dxa"/>
            <w:tcBorders>
              <w:top w:val="single" w:sz="4" w:space="0" w:color="000000"/>
              <w:bottom w:val="single" w:sz="4" w:space="0" w:color="000000"/>
            </w:tcBorders>
          </w:tcPr>
          <w:p w14:paraId="32BA6877" w14:textId="77777777" w:rsidR="00FA4AA8" w:rsidRDefault="0015611F">
            <w:pPr>
              <w:pStyle w:val="TableParagraph"/>
              <w:spacing w:line="185" w:lineRule="exact"/>
              <w:ind w:left="150"/>
              <w:rPr>
                <w:b/>
                <w:sz w:val="18"/>
              </w:rPr>
            </w:pPr>
            <w:r>
              <w:rPr>
                <w:b/>
                <w:w w:val="99"/>
                <w:sz w:val="18"/>
              </w:rPr>
              <w:t>-</w:t>
            </w:r>
          </w:p>
        </w:tc>
        <w:tc>
          <w:tcPr>
            <w:tcW w:w="297" w:type="dxa"/>
            <w:tcBorders>
              <w:top w:val="single" w:sz="4" w:space="0" w:color="000000"/>
              <w:bottom w:val="single" w:sz="4" w:space="0" w:color="000000"/>
            </w:tcBorders>
          </w:tcPr>
          <w:p w14:paraId="34467BB7" w14:textId="77777777" w:rsidR="00FA4AA8" w:rsidRDefault="0015611F">
            <w:pPr>
              <w:pStyle w:val="TableParagraph"/>
              <w:spacing w:line="185" w:lineRule="exact"/>
              <w:ind w:left="66"/>
              <w:jc w:val="center"/>
              <w:rPr>
                <w:sz w:val="18"/>
              </w:rPr>
            </w:pPr>
            <w:r>
              <w:rPr>
                <w:w w:val="99"/>
                <w:sz w:val="18"/>
              </w:rPr>
              <w:t>-</w:t>
            </w:r>
          </w:p>
        </w:tc>
      </w:tr>
      <w:tr w:rsidR="00FA4AA8" w14:paraId="27BAAE04" w14:textId="77777777">
        <w:trPr>
          <w:trHeight w:val="412"/>
        </w:trPr>
        <w:tc>
          <w:tcPr>
            <w:tcW w:w="7372" w:type="dxa"/>
          </w:tcPr>
          <w:p w14:paraId="4C8BF93A" w14:textId="77777777" w:rsidR="00FA4AA8" w:rsidRDefault="00FA4AA8">
            <w:pPr>
              <w:pStyle w:val="TableParagraph"/>
              <w:rPr>
                <w:sz w:val="18"/>
              </w:rPr>
            </w:pPr>
          </w:p>
          <w:p w14:paraId="30E50B86" w14:textId="77777777" w:rsidR="00FA4AA8" w:rsidRDefault="0015611F">
            <w:pPr>
              <w:pStyle w:val="TableParagraph"/>
              <w:spacing w:line="185" w:lineRule="exact"/>
              <w:ind w:left="77"/>
              <w:rPr>
                <w:b/>
                <w:sz w:val="18"/>
              </w:rPr>
            </w:pPr>
            <w:r>
              <w:rPr>
                <w:b/>
                <w:sz w:val="18"/>
              </w:rPr>
              <w:t>Surplus/(deficit) for the year</w:t>
            </w:r>
          </w:p>
        </w:tc>
        <w:tc>
          <w:tcPr>
            <w:tcW w:w="998" w:type="dxa"/>
            <w:tcBorders>
              <w:top w:val="single" w:sz="4" w:space="0" w:color="000000"/>
              <w:bottom w:val="single" w:sz="8" w:space="0" w:color="000000"/>
            </w:tcBorders>
          </w:tcPr>
          <w:p w14:paraId="5DF7EB45" w14:textId="77777777" w:rsidR="00FA4AA8" w:rsidRDefault="00FA4AA8">
            <w:pPr>
              <w:pStyle w:val="TableParagraph"/>
              <w:rPr>
                <w:rFonts w:ascii="Times New Roman"/>
                <w:sz w:val="18"/>
              </w:rPr>
            </w:pPr>
          </w:p>
        </w:tc>
        <w:tc>
          <w:tcPr>
            <w:tcW w:w="1296" w:type="dxa"/>
            <w:tcBorders>
              <w:top w:val="single" w:sz="4" w:space="0" w:color="000000"/>
              <w:bottom w:val="single" w:sz="8" w:space="0" w:color="000000"/>
            </w:tcBorders>
          </w:tcPr>
          <w:p w14:paraId="0B099CDF" w14:textId="77777777" w:rsidR="00FA4AA8" w:rsidRDefault="00FA4AA8">
            <w:pPr>
              <w:pStyle w:val="TableParagraph"/>
              <w:rPr>
                <w:sz w:val="18"/>
              </w:rPr>
            </w:pPr>
          </w:p>
          <w:p w14:paraId="0AD3D295" w14:textId="77777777" w:rsidR="00FA4AA8" w:rsidRDefault="0015611F">
            <w:pPr>
              <w:pStyle w:val="TableParagraph"/>
              <w:spacing w:line="185" w:lineRule="exact"/>
              <w:ind w:left="150"/>
              <w:rPr>
                <w:b/>
                <w:sz w:val="18"/>
              </w:rPr>
            </w:pPr>
            <w:r>
              <w:rPr>
                <w:b/>
                <w:w w:val="99"/>
                <w:sz w:val="18"/>
              </w:rPr>
              <w:t>-</w:t>
            </w:r>
          </w:p>
        </w:tc>
        <w:tc>
          <w:tcPr>
            <w:tcW w:w="297" w:type="dxa"/>
            <w:tcBorders>
              <w:top w:val="single" w:sz="4" w:space="0" w:color="000000"/>
              <w:bottom w:val="single" w:sz="8" w:space="0" w:color="000000"/>
            </w:tcBorders>
          </w:tcPr>
          <w:p w14:paraId="7B42611D" w14:textId="77777777" w:rsidR="00FA4AA8" w:rsidRDefault="00FA4AA8">
            <w:pPr>
              <w:pStyle w:val="TableParagraph"/>
              <w:rPr>
                <w:sz w:val="18"/>
              </w:rPr>
            </w:pPr>
          </w:p>
          <w:p w14:paraId="3C947E36" w14:textId="77777777" w:rsidR="00FA4AA8" w:rsidRDefault="0015611F">
            <w:pPr>
              <w:pStyle w:val="TableParagraph"/>
              <w:spacing w:line="185" w:lineRule="exact"/>
              <w:ind w:left="66"/>
              <w:jc w:val="center"/>
              <w:rPr>
                <w:sz w:val="18"/>
              </w:rPr>
            </w:pPr>
            <w:r>
              <w:rPr>
                <w:w w:val="99"/>
                <w:sz w:val="18"/>
              </w:rPr>
              <w:t>-</w:t>
            </w:r>
          </w:p>
        </w:tc>
      </w:tr>
      <w:tr w:rsidR="00FA4AA8" w14:paraId="6A36C27A" w14:textId="77777777">
        <w:trPr>
          <w:trHeight w:val="431"/>
        </w:trPr>
        <w:tc>
          <w:tcPr>
            <w:tcW w:w="7372" w:type="dxa"/>
          </w:tcPr>
          <w:p w14:paraId="3FB2A579" w14:textId="77777777" w:rsidR="00FA4AA8" w:rsidRDefault="00FA4AA8">
            <w:pPr>
              <w:pStyle w:val="TableParagraph"/>
              <w:spacing w:before="7"/>
              <w:rPr>
                <w:sz w:val="19"/>
              </w:rPr>
            </w:pPr>
          </w:p>
          <w:p w14:paraId="4382DA83" w14:textId="77777777" w:rsidR="00FA4AA8" w:rsidRDefault="0015611F">
            <w:pPr>
              <w:pStyle w:val="TableParagraph"/>
              <w:spacing w:line="185" w:lineRule="exact"/>
              <w:ind w:left="77"/>
              <w:rPr>
                <w:sz w:val="18"/>
              </w:rPr>
            </w:pPr>
            <w:r>
              <w:rPr>
                <w:sz w:val="18"/>
              </w:rPr>
              <w:t>Other comprehensive income for the year</w:t>
            </w:r>
          </w:p>
        </w:tc>
        <w:tc>
          <w:tcPr>
            <w:tcW w:w="998" w:type="dxa"/>
            <w:tcBorders>
              <w:top w:val="single" w:sz="8" w:space="0" w:color="000000"/>
              <w:bottom w:val="single" w:sz="4" w:space="0" w:color="000000"/>
            </w:tcBorders>
          </w:tcPr>
          <w:p w14:paraId="0E05BF57" w14:textId="77777777" w:rsidR="00FA4AA8" w:rsidRDefault="00FA4AA8">
            <w:pPr>
              <w:pStyle w:val="TableParagraph"/>
              <w:rPr>
                <w:rFonts w:ascii="Times New Roman"/>
                <w:sz w:val="18"/>
              </w:rPr>
            </w:pPr>
          </w:p>
        </w:tc>
        <w:tc>
          <w:tcPr>
            <w:tcW w:w="1296" w:type="dxa"/>
            <w:tcBorders>
              <w:top w:val="single" w:sz="8" w:space="0" w:color="000000"/>
              <w:bottom w:val="single" w:sz="4" w:space="0" w:color="000000"/>
            </w:tcBorders>
          </w:tcPr>
          <w:p w14:paraId="0D8A27BA" w14:textId="77777777" w:rsidR="00FA4AA8" w:rsidRDefault="00FA4AA8">
            <w:pPr>
              <w:pStyle w:val="TableParagraph"/>
              <w:spacing w:before="7"/>
              <w:rPr>
                <w:sz w:val="19"/>
              </w:rPr>
            </w:pPr>
          </w:p>
          <w:p w14:paraId="0822CA1D" w14:textId="77777777" w:rsidR="00FA4AA8" w:rsidRDefault="0015611F">
            <w:pPr>
              <w:pStyle w:val="TableParagraph"/>
              <w:spacing w:line="185" w:lineRule="exact"/>
              <w:ind w:left="150"/>
              <w:rPr>
                <w:b/>
                <w:sz w:val="18"/>
              </w:rPr>
            </w:pPr>
            <w:r>
              <w:rPr>
                <w:b/>
                <w:w w:val="99"/>
                <w:sz w:val="18"/>
              </w:rPr>
              <w:t>-</w:t>
            </w:r>
          </w:p>
        </w:tc>
        <w:tc>
          <w:tcPr>
            <w:tcW w:w="297" w:type="dxa"/>
            <w:tcBorders>
              <w:top w:val="single" w:sz="8" w:space="0" w:color="000000"/>
              <w:bottom w:val="single" w:sz="4" w:space="0" w:color="000000"/>
            </w:tcBorders>
          </w:tcPr>
          <w:p w14:paraId="39B06F36" w14:textId="77777777" w:rsidR="00FA4AA8" w:rsidRDefault="00FA4AA8">
            <w:pPr>
              <w:pStyle w:val="TableParagraph"/>
              <w:spacing w:before="7"/>
              <w:rPr>
                <w:sz w:val="19"/>
              </w:rPr>
            </w:pPr>
          </w:p>
          <w:p w14:paraId="40A738B1" w14:textId="77777777" w:rsidR="00FA4AA8" w:rsidRDefault="0015611F">
            <w:pPr>
              <w:pStyle w:val="TableParagraph"/>
              <w:spacing w:line="185" w:lineRule="exact"/>
              <w:ind w:left="67"/>
              <w:jc w:val="center"/>
              <w:rPr>
                <w:sz w:val="18"/>
              </w:rPr>
            </w:pPr>
            <w:r>
              <w:rPr>
                <w:w w:val="99"/>
                <w:sz w:val="18"/>
              </w:rPr>
              <w:t>-</w:t>
            </w:r>
          </w:p>
        </w:tc>
      </w:tr>
      <w:tr w:rsidR="00FA4AA8" w14:paraId="34D6EF6C" w14:textId="77777777">
        <w:trPr>
          <w:trHeight w:val="205"/>
        </w:trPr>
        <w:tc>
          <w:tcPr>
            <w:tcW w:w="7372" w:type="dxa"/>
          </w:tcPr>
          <w:p w14:paraId="51CFBCE7" w14:textId="77777777" w:rsidR="00FA4AA8" w:rsidRDefault="0015611F">
            <w:pPr>
              <w:pStyle w:val="TableParagraph"/>
              <w:spacing w:line="185" w:lineRule="exact"/>
              <w:ind w:left="77"/>
              <w:rPr>
                <w:b/>
                <w:sz w:val="18"/>
              </w:rPr>
            </w:pPr>
            <w:r>
              <w:rPr>
                <w:b/>
                <w:sz w:val="18"/>
              </w:rPr>
              <w:t>Total comprehensive income for the year</w:t>
            </w:r>
          </w:p>
        </w:tc>
        <w:tc>
          <w:tcPr>
            <w:tcW w:w="998" w:type="dxa"/>
            <w:tcBorders>
              <w:top w:val="single" w:sz="4" w:space="0" w:color="000000"/>
              <w:bottom w:val="single" w:sz="8" w:space="0" w:color="000000"/>
            </w:tcBorders>
          </w:tcPr>
          <w:p w14:paraId="298ECA0D" w14:textId="77777777" w:rsidR="00FA4AA8" w:rsidRDefault="00FA4AA8">
            <w:pPr>
              <w:pStyle w:val="TableParagraph"/>
              <w:rPr>
                <w:rFonts w:ascii="Times New Roman"/>
                <w:sz w:val="14"/>
              </w:rPr>
            </w:pPr>
          </w:p>
        </w:tc>
        <w:tc>
          <w:tcPr>
            <w:tcW w:w="1296" w:type="dxa"/>
            <w:tcBorders>
              <w:top w:val="single" w:sz="4" w:space="0" w:color="000000"/>
              <w:bottom w:val="single" w:sz="8" w:space="0" w:color="000000"/>
            </w:tcBorders>
          </w:tcPr>
          <w:p w14:paraId="65EA3048" w14:textId="77777777" w:rsidR="00FA4AA8" w:rsidRDefault="0015611F">
            <w:pPr>
              <w:pStyle w:val="TableParagraph"/>
              <w:spacing w:line="185" w:lineRule="exact"/>
              <w:ind w:left="150"/>
              <w:rPr>
                <w:b/>
                <w:sz w:val="18"/>
              </w:rPr>
            </w:pPr>
            <w:r>
              <w:rPr>
                <w:b/>
                <w:w w:val="99"/>
                <w:sz w:val="18"/>
              </w:rPr>
              <w:t>-</w:t>
            </w:r>
          </w:p>
        </w:tc>
        <w:tc>
          <w:tcPr>
            <w:tcW w:w="297" w:type="dxa"/>
            <w:tcBorders>
              <w:top w:val="single" w:sz="4" w:space="0" w:color="000000"/>
              <w:bottom w:val="single" w:sz="8" w:space="0" w:color="000000"/>
            </w:tcBorders>
          </w:tcPr>
          <w:p w14:paraId="644B3902" w14:textId="77777777" w:rsidR="00FA4AA8" w:rsidRDefault="0015611F">
            <w:pPr>
              <w:pStyle w:val="TableParagraph"/>
              <w:spacing w:line="185" w:lineRule="exact"/>
              <w:ind w:left="66"/>
              <w:jc w:val="center"/>
              <w:rPr>
                <w:sz w:val="18"/>
              </w:rPr>
            </w:pPr>
            <w:r>
              <w:rPr>
                <w:w w:val="99"/>
                <w:sz w:val="18"/>
              </w:rPr>
              <w:t>-</w:t>
            </w:r>
          </w:p>
        </w:tc>
      </w:tr>
    </w:tbl>
    <w:p w14:paraId="34ABD914" w14:textId="77777777" w:rsidR="00FA4AA8" w:rsidRDefault="00FA4AA8">
      <w:pPr>
        <w:pStyle w:val="BodyText"/>
        <w:rPr>
          <w:sz w:val="20"/>
        </w:rPr>
      </w:pPr>
    </w:p>
    <w:p w14:paraId="3FB39BBF" w14:textId="77777777" w:rsidR="00FA4AA8" w:rsidRDefault="00FA4AA8">
      <w:pPr>
        <w:pStyle w:val="BodyText"/>
        <w:rPr>
          <w:sz w:val="20"/>
        </w:rPr>
      </w:pPr>
    </w:p>
    <w:p w14:paraId="686AD32A" w14:textId="77777777" w:rsidR="00FA4AA8" w:rsidRDefault="00FA4AA8">
      <w:pPr>
        <w:pStyle w:val="BodyText"/>
        <w:rPr>
          <w:sz w:val="20"/>
        </w:rPr>
      </w:pPr>
    </w:p>
    <w:p w14:paraId="6533D7DC" w14:textId="77777777" w:rsidR="00FA4AA8" w:rsidRDefault="00FA4AA8">
      <w:pPr>
        <w:pStyle w:val="BodyText"/>
        <w:rPr>
          <w:sz w:val="20"/>
        </w:rPr>
      </w:pPr>
    </w:p>
    <w:p w14:paraId="10ECF874" w14:textId="77777777" w:rsidR="00FA4AA8" w:rsidRDefault="00FA4AA8">
      <w:pPr>
        <w:pStyle w:val="BodyText"/>
        <w:rPr>
          <w:sz w:val="20"/>
        </w:rPr>
      </w:pPr>
    </w:p>
    <w:p w14:paraId="6E043256" w14:textId="77777777" w:rsidR="00FA4AA8" w:rsidRDefault="00FA4AA8">
      <w:pPr>
        <w:pStyle w:val="BodyText"/>
        <w:rPr>
          <w:sz w:val="20"/>
        </w:rPr>
      </w:pPr>
    </w:p>
    <w:p w14:paraId="320BEFED" w14:textId="77777777" w:rsidR="00FA4AA8" w:rsidRDefault="00FA4AA8">
      <w:pPr>
        <w:pStyle w:val="BodyText"/>
        <w:rPr>
          <w:sz w:val="20"/>
        </w:rPr>
      </w:pPr>
    </w:p>
    <w:p w14:paraId="0F00131E" w14:textId="77777777" w:rsidR="00FA4AA8" w:rsidRDefault="00FA4AA8">
      <w:pPr>
        <w:pStyle w:val="BodyText"/>
        <w:rPr>
          <w:sz w:val="20"/>
        </w:rPr>
      </w:pPr>
    </w:p>
    <w:p w14:paraId="10EA2C56" w14:textId="77777777" w:rsidR="00FA4AA8" w:rsidRDefault="00FA4AA8">
      <w:pPr>
        <w:pStyle w:val="BodyText"/>
        <w:rPr>
          <w:sz w:val="20"/>
        </w:rPr>
      </w:pPr>
    </w:p>
    <w:p w14:paraId="02B388D5" w14:textId="77777777" w:rsidR="00FA4AA8" w:rsidRDefault="00FA4AA8">
      <w:pPr>
        <w:pStyle w:val="BodyText"/>
        <w:rPr>
          <w:sz w:val="20"/>
        </w:rPr>
      </w:pPr>
    </w:p>
    <w:p w14:paraId="3C94FF96" w14:textId="77777777" w:rsidR="00FA4AA8" w:rsidRDefault="00FA4AA8">
      <w:pPr>
        <w:pStyle w:val="BodyText"/>
        <w:rPr>
          <w:sz w:val="20"/>
        </w:rPr>
      </w:pPr>
    </w:p>
    <w:p w14:paraId="3B1DFDC7" w14:textId="77777777" w:rsidR="00FA4AA8" w:rsidRDefault="00FA4AA8">
      <w:pPr>
        <w:pStyle w:val="BodyText"/>
        <w:rPr>
          <w:sz w:val="20"/>
        </w:rPr>
      </w:pPr>
    </w:p>
    <w:p w14:paraId="089D956F" w14:textId="77777777" w:rsidR="00FA4AA8" w:rsidRDefault="00FA4AA8">
      <w:pPr>
        <w:pStyle w:val="BodyText"/>
        <w:rPr>
          <w:sz w:val="20"/>
        </w:rPr>
      </w:pPr>
    </w:p>
    <w:p w14:paraId="207A8A82" w14:textId="77777777" w:rsidR="00FA4AA8" w:rsidRDefault="00FA4AA8">
      <w:pPr>
        <w:pStyle w:val="BodyText"/>
        <w:rPr>
          <w:sz w:val="20"/>
        </w:rPr>
      </w:pPr>
    </w:p>
    <w:p w14:paraId="18206622" w14:textId="77777777" w:rsidR="00FA4AA8" w:rsidRDefault="00FA4AA8">
      <w:pPr>
        <w:pStyle w:val="BodyText"/>
        <w:rPr>
          <w:sz w:val="20"/>
        </w:rPr>
      </w:pPr>
    </w:p>
    <w:p w14:paraId="2DFAF614" w14:textId="77777777" w:rsidR="00FA4AA8" w:rsidRDefault="00FA4AA8">
      <w:pPr>
        <w:pStyle w:val="BodyText"/>
        <w:rPr>
          <w:sz w:val="20"/>
        </w:rPr>
      </w:pPr>
    </w:p>
    <w:p w14:paraId="0FBF1AEF" w14:textId="77777777" w:rsidR="00FA4AA8" w:rsidRDefault="00FA4AA8">
      <w:pPr>
        <w:pStyle w:val="BodyText"/>
        <w:rPr>
          <w:sz w:val="20"/>
        </w:rPr>
      </w:pPr>
    </w:p>
    <w:p w14:paraId="3179091C" w14:textId="77777777" w:rsidR="00FA4AA8" w:rsidRDefault="00FA4AA8">
      <w:pPr>
        <w:pStyle w:val="BodyText"/>
        <w:rPr>
          <w:sz w:val="20"/>
        </w:rPr>
      </w:pPr>
    </w:p>
    <w:p w14:paraId="0B5F3930" w14:textId="77777777" w:rsidR="00FA4AA8" w:rsidRDefault="00FA4AA8">
      <w:pPr>
        <w:pStyle w:val="BodyText"/>
        <w:rPr>
          <w:sz w:val="20"/>
        </w:rPr>
      </w:pPr>
    </w:p>
    <w:p w14:paraId="5F219AE3" w14:textId="77777777" w:rsidR="00FA4AA8" w:rsidRDefault="00FA4AA8">
      <w:pPr>
        <w:pStyle w:val="BodyText"/>
        <w:rPr>
          <w:sz w:val="20"/>
        </w:rPr>
      </w:pPr>
    </w:p>
    <w:p w14:paraId="273FD600" w14:textId="77777777" w:rsidR="00FA4AA8" w:rsidRDefault="00FA4AA8">
      <w:pPr>
        <w:pStyle w:val="BodyText"/>
        <w:rPr>
          <w:sz w:val="20"/>
        </w:rPr>
      </w:pPr>
    </w:p>
    <w:p w14:paraId="5701882E" w14:textId="77777777" w:rsidR="00FA4AA8" w:rsidRDefault="00FA4AA8">
      <w:pPr>
        <w:pStyle w:val="BodyText"/>
        <w:rPr>
          <w:sz w:val="20"/>
        </w:rPr>
      </w:pPr>
    </w:p>
    <w:p w14:paraId="70D21FCE" w14:textId="77777777" w:rsidR="00FA4AA8" w:rsidRDefault="00FA4AA8">
      <w:pPr>
        <w:pStyle w:val="BodyText"/>
        <w:rPr>
          <w:sz w:val="20"/>
        </w:rPr>
      </w:pPr>
    </w:p>
    <w:p w14:paraId="481B0C89" w14:textId="77777777" w:rsidR="00FA4AA8" w:rsidRDefault="00FA4AA8">
      <w:pPr>
        <w:pStyle w:val="BodyText"/>
        <w:rPr>
          <w:sz w:val="20"/>
        </w:rPr>
      </w:pPr>
    </w:p>
    <w:p w14:paraId="50BCB06C" w14:textId="77777777" w:rsidR="00FA4AA8" w:rsidRDefault="00FA4AA8">
      <w:pPr>
        <w:pStyle w:val="BodyText"/>
        <w:rPr>
          <w:sz w:val="20"/>
        </w:rPr>
      </w:pPr>
    </w:p>
    <w:p w14:paraId="71C8F21A" w14:textId="77777777" w:rsidR="00FA4AA8" w:rsidRDefault="00FA4AA8">
      <w:pPr>
        <w:pStyle w:val="BodyText"/>
        <w:rPr>
          <w:sz w:val="20"/>
        </w:rPr>
      </w:pPr>
    </w:p>
    <w:p w14:paraId="44FCCB9A" w14:textId="77777777" w:rsidR="00FA4AA8" w:rsidRDefault="00FA4AA8">
      <w:pPr>
        <w:pStyle w:val="BodyText"/>
        <w:rPr>
          <w:sz w:val="20"/>
        </w:rPr>
      </w:pPr>
    </w:p>
    <w:p w14:paraId="311BAC09" w14:textId="77777777" w:rsidR="00FA4AA8" w:rsidRDefault="00FA4AA8">
      <w:pPr>
        <w:pStyle w:val="BodyText"/>
        <w:rPr>
          <w:sz w:val="20"/>
        </w:rPr>
      </w:pPr>
    </w:p>
    <w:p w14:paraId="0DA3ADFD" w14:textId="77777777" w:rsidR="00FA4AA8" w:rsidRDefault="00FA4AA8">
      <w:pPr>
        <w:pStyle w:val="BodyText"/>
        <w:rPr>
          <w:sz w:val="20"/>
        </w:rPr>
      </w:pPr>
    </w:p>
    <w:p w14:paraId="5B5678C8" w14:textId="77777777" w:rsidR="00FA4AA8" w:rsidRDefault="00FA4AA8">
      <w:pPr>
        <w:pStyle w:val="BodyText"/>
        <w:rPr>
          <w:sz w:val="20"/>
        </w:rPr>
      </w:pPr>
    </w:p>
    <w:p w14:paraId="1F648180" w14:textId="77777777" w:rsidR="00FA4AA8" w:rsidRDefault="00FA4AA8">
      <w:pPr>
        <w:pStyle w:val="BodyText"/>
        <w:rPr>
          <w:sz w:val="20"/>
        </w:rPr>
      </w:pPr>
    </w:p>
    <w:p w14:paraId="6DC8D41A" w14:textId="77777777" w:rsidR="00FA4AA8" w:rsidRDefault="00FA4AA8">
      <w:pPr>
        <w:pStyle w:val="BodyText"/>
        <w:rPr>
          <w:sz w:val="20"/>
        </w:rPr>
      </w:pPr>
    </w:p>
    <w:p w14:paraId="4C7DEA06" w14:textId="77777777" w:rsidR="00FA4AA8" w:rsidRDefault="00FA4AA8">
      <w:pPr>
        <w:pStyle w:val="BodyText"/>
        <w:rPr>
          <w:sz w:val="20"/>
        </w:rPr>
      </w:pPr>
    </w:p>
    <w:p w14:paraId="1587B655" w14:textId="77777777" w:rsidR="00FA4AA8" w:rsidRDefault="00FA4AA8">
      <w:pPr>
        <w:pStyle w:val="BodyText"/>
        <w:rPr>
          <w:sz w:val="20"/>
        </w:rPr>
      </w:pPr>
    </w:p>
    <w:p w14:paraId="126A9FAB" w14:textId="77777777" w:rsidR="00FA4AA8" w:rsidRDefault="00FA4AA8">
      <w:pPr>
        <w:pStyle w:val="BodyText"/>
        <w:rPr>
          <w:sz w:val="20"/>
        </w:rPr>
      </w:pPr>
    </w:p>
    <w:p w14:paraId="1F7C0CDC" w14:textId="77777777" w:rsidR="00FA4AA8" w:rsidRDefault="00FA4AA8">
      <w:pPr>
        <w:pStyle w:val="BodyText"/>
        <w:spacing w:before="7"/>
        <w:rPr>
          <w:sz w:val="16"/>
        </w:rPr>
      </w:pPr>
    </w:p>
    <w:p w14:paraId="75060E10" w14:textId="77777777" w:rsidR="00FA4AA8" w:rsidRDefault="0015611F">
      <w:pPr>
        <w:pStyle w:val="BodyText"/>
        <w:spacing w:before="94"/>
        <w:ind w:left="2557" w:right="2343"/>
        <w:jc w:val="center"/>
      </w:pPr>
      <w:r>
        <w:t>The accompanying notes form part of these financial statements.</w:t>
      </w:r>
    </w:p>
    <w:p w14:paraId="04567A38" w14:textId="77777777" w:rsidR="00FA4AA8" w:rsidRDefault="00FA4AA8">
      <w:pPr>
        <w:jc w:val="center"/>
        <w:sectPr w:rsidR="00FA4AA8">
          <w:headerReference w:type="default" r:id="rId189"/>
          <w:footerReference w:type="default" r:id="rId190"/>
          <w:pgSz w:w="11910" w:h="16840"/>
          <w:pgMar w:top="1540" w:right="860" w:bottom="720" w:left="840" w:header="1017" w:footer="523" w:gutter="0"/>
          <w:pgNumType w:start="176"/>
          <w:cols w:space="720"/>
        </w:sectPr>
      </w:pPr>
    </w:p>
    <w:p w14:paraId="049B7A4F" w14:textId="77777777" w:rsidR="00FA4AA8" w:rsidRDefault="00FA4AA8">
      <w:pPr>
        <w:pStyle w:val="BodyText"/>
        <w:rPr>
          <w:sz w:val="20"/>
        </w:rPr>
      </w:pPr>
    </w:p>
    <w:p w14:paraId="5BAFD282" w14:textId="77777777" w:rsidR="00FA4AA8" w:rsidRDefault="00FA4AA8">
      <w:pPr>
        <w:pStyle w:val="BodyText"/>
        <w:spacing w:before="3" w:after="1"/>
        <w:rPr>
          <w:sz w:val="10"/>
        </w:rPr>
      </w:pPr>
    </w:p>
    <w:tbl>
      <w:tblPr>
        <w:tblW w:w="0" w:type="auto"/>
        <w:tblInd w:w="125" w:type="dxa"/>
        <w:tblLayout w:type="fixed"/>
        <w:tblCellMar>
          <w:left w:w="0" w:type="dxa"/>
          <w:right w:w="0" w:type="dxa"/>
        </w:tblCellMar>
        <w:tblLook w:val="01E0" w:firstRow="1" w:lastRow="1" w:firstColumn="1" w:lastColumn="1" w:noHBand="0" w:noVBand="0"/>
      </w:tblPr>
      <w:tblGrid>
        <w:gridCol w:w="5471"/>
        <w:gridCol w:w="1901"/>
        <w:gridCol w:w="979"/>
        <w:gridCol w:w="499"/>
        <w:gridCol w:w="799"/>
        <w:gridCol w:w="319"/>
      </w:tblGrid>
      <w:tr w:rsidR="00FA4AA8" w14:paraId="70424652" w14:textId="77777777">
        <w:trPr>
          <w:trHeight w:val="344"/>
        </w:trPr>
        <w:tc>
          <w:tcPr>
            <w:tcW w:w="5471" w:type="dxa"/>
          </w:tcPr>
          <w:p w14:paraId="032BACB5" w14:textId="77777777" w:rsidR="00FA4AA8" w:rsidRDefault="0015611F">
            <w:pPr>
              <w:pStyle w:val="TableParagraph"/>
              <w:spacing w:line="312" w:lineRule="exact"/>
              <w:ind w:left="50"/>
              <w:rPr>
                <w:b/>
                <w:sz w:val="28"/>
              </w:rPr>
            </w:pPr>
            <w:r>
              <w:rPr>
                <w:b/>
                <w:sz w:val="28"/>
              </w:rPr>
              <w:t>Statement of financial position</w:t>
            </w:r>
          </w:p>
        </w:tc>
        <w:tc>
          <w:tcPr>
            <w:tcW w:w="4497" w:type="dxa"/>
            <w:gridSpan w:val="5"/>
          </w:tcPr>
          <w:p w14:paraId="3D8D4950" w14:textId="77777777" w:rsidR="00FA4AA8" w:rsidRDefault="00FA4AA8">
            <w:pPr>
              <w:pStyle w:val="TableParagraph"/>
              <w:rPr>
                <w:rFonts w:ascii="Times New Roman"/>
                <w:sz w:val="18"/>
              </w:rPr>
            </w:pPr>
          </w:p>
        </w:tc>
      </w:tr>
      <w:tr w:rsidR="00FA4AA8" w14:paraId="0FFCDD99" w14:textId="77777777">
        <w:trPr>
          <w:trHeight w:val="486"/>
        </w:trPr>
        <w:tc>
          <w:tcPr>
            <w:tcW w:w="5471" w:type="dxa"/>
          </w:tcPr>
          <w:p w14:paraId="3990BAD7" w14:textId="77777777" w:rsidR="00FA4AA8" w:rsidRDefault="0015611F">
            <w:pPr>
              <w:pStyle w:val="TableParagraph"/>
              <w:spacing w:before="25"/>
              <w:ind w:left="50"/>
              <w:rPr>
                <w:b/>
              </w:rPr>
            </w:pPr>
            <w:r>
              <w:rPr>
                <w:b/>
              </w:rPr>
              <w:t>As at 31 December 2018</w:t>
            </w:r>
          </w:p>
        </w:tc>
        <w:tc>
          <w:tcPr>
            <w:tcW w:w="1901" w:type="dxa"/>
          </w:tcPr>
          <w:p w14:paraId="005C981C" w14:textId="77777777" w:rsidR="00FA4AA8" w:rsidRDefault="00FA4AA8">
            <w:pPr>
              <w:pStyle w:val="TableParagraph"/>
              <w:rPr>
                <w:rFonts w:ascii="Times New Roman"/>
                <w:sz w:val="18"/>
              </w:rPr>
            </w:pPr>
          </w:p>
        </w:tc>
        <w:tc>
          <w:tcPr>
            <w:tcW w:w="979" w:type="dxa"/>
          </w:tcPr>
          <w:p w14:paraId="7B442104" w14:textId="77777777" w:rsidR="00FA4AA8" w:rsidRDefault="00FA4AA8">
            <w:pPr>
              <w:pStyle w:val="TableParagraph"/>
              <w:rPr>
                <w:rFonts w:ascii="Times New Roman"/>
                <w:sz w:val="18"/>
              </w:rPr>
            </w:pPr>
          </w:p>
        </w:tc>
        <w:tc>
          <w:tcPr>
            <w:tcW w:w="499" w:type="dxa"/>
          </w:tcPr>
          <w:p w14:paraId="7FB39528" w14:textId="77777777" w:rsidR="00FA4AA8" w:rsidRDefault="00FA4AA8">
            <w:pPr>
              <w:pStyle w:val="TableParagraph"/>
              <w:rPr>
                <w:rFonts w:ascii="Times New Roman"/>
                <w:sz w:val="18"/>
              </w:rPr>
            </w:pPr>
          </w:p>
        </w:tc>
        <w:tc>
          <w:tcPr>
            <w:tcW w:w="799" w:type="dxa"/>
          </w:tcPr>
          <w:p w14:paraId="276E0DC1" w14:textId="77777777" w:rsidR="00FA4AA8" w:rsidRDefault="00FA4AA8">
            <w:pPr>
              <w:pStyle w:val="TableParagraph"/>
              <w:rPr>
                <w:rFonts w:ascii="Times New Roman"/>
                <w:sz w:val="18"/>
              </w:rPr>
            </w:pPr>
          </w:p>
        </w:tc>
        <w:tc>
          <w:tcPr>
            <w:tcW w:w="319" w:type="dxa"/>
          </w:tcPr>
          <w:p w14:paraId="44126015" w14:textId="77777777" w:rsidR="00FA4AA8" w:rsidRDefault="00FA4AA8">
            <w:pPr>
              <w:pStyle w:val="TableParagraph"/>
              <w:rPr>
                <w:rFonts w:ascii="Times New Roman"/>
                <w:sz w:val="18"/>
              </w:rPr>
            </w:pPr>
          </w:p>
        </w:tc>
      </w:tr>
      <w:tr w:rsidR="00FA4AA8" w14:paraId="0CF7BA63" w14:textId="77777777">
        <w:trPr>
          <w:trHeight w:val="446"/>
        </w:trPr>
        <w:tc>
          <w:tcPr>
            <w:tcW w:w="5471" w:type="dxa"/>
          </w:tcPr>
          <w:p w14:paraId="72CDF37F" w14:textId="77777777" w:rsidR="00FA4AA8" w:rsidRDefault="00FA4AA8">
            <w:pPr>
              <w:pStyle w:val="TableParagraph"/>
              <w:rPr>
                <w:rFonts w:ascii="Times New Roman"/>
                <w:sz w:val="18"/>
              </w:rPr>
            </w:pPr>
          </w:p>
        </w:tc>
        <w:tc>
          <w:tcPr>
            <w:tcW w:w="1901" w:type="dxa"/>
          </w:tcPr>
          <w:p w14:paraId="620342D3" w14:textId="77777777" w:rsidR="00FA4AA8" w:rsidRDefault="00FA4AA8">
            <w:pPr>
              <w:pStyle w:val="TableParagraph"/>
              <w:rPr>
                <w:rFonts w:ascii="Times New Roman"/>
                <w:sz w:val="18"/>
              </w:rPr>
            </w:pPr>
          </w:p>
        </w:tc>
        <w:tc>
          <w:tcPr>
            <w:tcW w:w="979" w:type="dxa"/>
          </w:tcPr>
          <w:p w14:paraId="322783E0" w14:textId="77777777" w:rsidR="00FA4AA8" w:rsidRDefault="00FA4AA8">
            <w:pPr>
              <w:pStyle w:val="TableParagraph"/>
              <w:spacing w:before="7"/>
              <w:rPr>
                <w:sz w:val="17"/>
              </w:rPr>
            </w:pPr>
          </w:p>
          <w:p w14:paraId="30FAFF71" w14:textId="77777777" w:rsidR="00FA4AA8" w:rsidRDefault="0015611F">
            <w:pPr>
              <w:pStyle w:val="TableParagraph"/>
              <w:ind w:left="428" w:right="109"/>
              <w:jc w:val="center"/>
              <w:rPr>
                <w:b/>
                <w:sz w:val="18"/>
              </w:rPr>
            </w:pPr>
            <w:r>
              <w:rPr>
                <w:b/>
                <w:sz w:val="18"/>
              </w:rPr>
              <w:t>2018</w:t>
            </w:r>
          </w:p>
        </w:tc>
        <w:tc>
          <w:tcPr>
            <w:tcW w:w="499" w:type="dxa"/>
          </w:tcPr>
          <w:p w14:paraId="28266E70" w14:textId="77777777" w:rsidR="00FA4AA8" w:rsidRDefault="00FA4AA8">
            <w:pPr>
              <w:pStyle w:val="TableParagraph"/>
              <w:rPr>
                <w:rFonts w:ascii="Times New Roman"/>
                <w:sz w:val="18"/>
              </w:rPr>
            </w:pPr>
          </w:p>
        </w:tc>
        <w:tc>
          <w:tcPr>
            <w:tcW w:w="799" w:type="dxa"/>
          </w:tcPr>
          <w:p w14:paraId="6567971A" w14:textId="77777777" w:rsidR="00FA4AA8" w:rsidRDefault="00FA4AA8">
            <w:pPr>
              <w:pStyle w:val="TableParagraph"/>
              <w:spacing w:before="7"/>
              <w:rPr>
                <w:sz w:val="17"/>
              </w:rPr>
            </w:pPr>
          </w:p>
          <w:p w14:paraId="521CA72C" w14:textId="77777777" w:rsidR="00FA4AA8" w:rsidRDefault="0015611F">
            <w:pPr>
              <w:pStyle w:val="TableParagraph"/>
              <w:ind w:left="248" w:right="110"/>
              <w:jc w:val="center"/>
              <w:rPr>
                <w:b/>
                <w:sz w:val="18"/>
              </w:rPr>
            </w:pPr>
            <w:r>
              <w:rPr>
                <w:b/>
                <w:sz w:val="18"/>
              </w:rPr>
              <w:t>2017</w:t>
            </w:r>
          </w:p>
        </w:tc>
        <w:tc>
          <w:tcPr>
            <w:tcW w:w="319" w:type="dxa"/>
          </w:tcPr>
          <w:p w14:paraId="30461DF3" w14:textId="77777777" w:rsidR="00FA4AA8" w:rsidRDefault="00FA4AA8">
            <w:pPr>
              <w:pStyle w:val="TableParagraph"/>
              <w:rPr>
                <w:rFonts w:ascii="Times New Roman"/>
                <w:sz w:val="18"/>
              </w:rPr>
            </w:pPr>
          </w:p>
        </w:tc>
      </w:tr>
      <w:tr w:rsidR="00FA4AA8" w14:paraId="608AADDA" w14:textId="77777777">
        <w:trPr>
          <w:trHeight w:val="313"/>
        </w:trPr>
        <w:tc>
          <w:tcPr>
            <w:tcW w:w="5471" w:type="dxa"/>
          </w:tcPr>
          <w:p w14:paraId="16B629E8" w14:textId="77777777" w:rsidR="00FA4AA8" w:rsidRDefault="00FA4AA8">
            <w:pPr>
              <w:pStyle w:val="TableParagraph"/>
              <w:rPr>
                <w:rFonts w:ascii="Times New Roman"/>
                <w:sz w:val="18"/>
              </w:rPr>
            </w:pPr>
          </w:p>
        </w:tc>
        <w:tc>
          <w:tcPr>
            <w:tcW w:w="1901" w:type="dxa"/>
          </w:tcPr>
          <w:p w14:paraId="657256C3" w14:textId="77777777" w:rsidR="00FA4AA8" w:rsidRDefault="0015611F">
            <w:pPr>
              <w:pStyle w:val="TableParagraph"/>
              <w:spacing w:before="30"/>
              <w:ind w:right="86"/>
              <w:jc w:val="right"/>
              <w:rPr>
                <w:b/>
                <w:sz w:val="18"/>
              </w:rPr>
            </w:pPr>
            <w:r>
              <w:rPr>
                <w:b/>
                <w:w w:val="95"/>
                <w:sz w:val="18"/>
              </w:rPr>
              <w:t>Note</w:t>
            </w:r>
          </w:p>
        </w:tc>
        <w:tc>
          <w:tcPr>
            <w:tcW w:w="979" w:type="dxa"/>
          </w:tcPr>
          <w:p w14:paraId="6E775A7E" w14:textId="77777777" w:rsidR="00FA4AA8" w:rsidRDefault="0015611F">
            <w:pPr>
              <w:pStyle w:val="TableParagraph"/>
              <w:spacing w:before="30"/>
              <w:ind w:left="319"/>
              <w:jc w:val="center"/>
              <w:rPr>
                <w:b/>
                <w:sz w:val="18"/>
              </w:rPr>
            </w:pPr>
            <w:r>
              <w:rPr>
                <w:b/>
                <w:w w:val="99"/>
                <w:sz w:val="18"/>
              </w:rPr>
              <w:t>$</w:t>
            </w:r>
          </w:p>
        </w:tc>
        <w:tc>
          <w:tcPr>
            <w:tcW w:w="499" w:type="dxa"/>
          </w:tcPr>
          <w:p w14:paraId="73D783F0" w14:textId="77777777" w:rsidR="00FA4AA8" w:rsidRDefault="00FA4AA8">
            <w:pPr>
              <w:pStyle w:val="TableParagraph"/>
              <w:rPr>
                <w:rFonts w:ascii="Times New Roman"/>
                <w:sz w:val="18"/>
              </w:rPr>
            </w:pPr>
          </w:p>
        </w:tc>
        <w:tc>
          <w:tcPr>
            <w:tcW w:w="799" w:type="dxa"/>
          </w:tcPr>
          <w:p w14:paraId="2DED8B3F" w14:textId="77777777" w:rsidR="00FA4AA8" w:rsidRDefault="0015611F">
            <w:pPr>
              <w:pStyle w:val="TableParagraph"/>
              <w:spacing w:before="30"/>
              <w:ind w:left="137"/>
              <w:jc w:val="center"/>
              <w:rPr>
                <w:b/>
                <w:sz w:val="18"/>
              </w:rPr>
            </w:pPr>
            <w:r>
              <w:rPr>
                <w:b/>
                <w:w w:val="99"/>
                <w:sz w:val="18"/>
              </w:rPr>
              <w:t>$</w:t>
            </w:r>
          </w:p>
        </w:tc>
        <w:tc>
          <w:tcPr>
            <w:tcW w:w="319" w:type="dxa"/>
          </w:tcPr>
          <w:p w14:paraId="0D03A983" w14:textId="77777777" w:rsidR="00FA4AA8" w:rsidRDefault="00FA4AA8">
            <w:pPr>
              <w:pStyle w:val="TableParagraph"/>
              <w:rPr>
                <w:rFonts w:ascii="Times New Roman"/>
                <w:sz w:val="18"/>
              </w:rPr>
            </w:pPr>
          </w:p>
        </w:tc>
      </w:tr>
      <w:tr w:rsidR="00FA4AA8" w14:paraId="31E7F832" w14:textId="77777777">
        <w:trPr>
          <w:trHeight w:val="688"/>
        </w:trPr>
        <w:tc>
          <w:tcPr>
            <w:tcW w:w="5471" w:type="dxa"/>
          </w:tcPr>
          <w:p w14:paraId="433C64EE" w14:textId="77777777" w:rsidR="00FA4AA8" w:rsidRDefault="0015611F">
            <w:pPr>
              <w:pStyle w:val="TableParagraph"/>
              <w:spacing w:before="70" w:line="207" w:lineRule="exact"/>
              <w:ind w:left="77"/>
              <w:rPr>
                <w:b/>
                <w:sz w:val="18"/>
              </w:rPr>
            </w:pPr>
            <w:r>
              <w:rPr>
                <w:b/>
                <w:sz w:val="18"/>
              </w:rPr>
              <w:t>ASSETS</w:t>
            </w:r>
          </w:p>
          <w:p w14:paraId="7EF8C50A" w14:textId="77777777" w:rsidR="00FA4AA8" w:rsidRDefault="0015611F">
            <w:pPr>
              <w:pStyle w:val="TableParagraph"/>
              <w:spacing w:line="206" w:lineRule="exact"/>
              <w:ind w:left="77"/>
              <w:rPr>
                <w:b/>
                <w:sz w:val="18"/>
              </w:rPr>
            </w:pPr>
            <w:r>
              <w:rPr>
                <w:b/>
                <w:sz w:val="18"/>
              </w:rPr>
              <w:t>Current assets</w:t>
            </w:r>
          </w:p>
          <w:p w14:paraId="28AC14E2" w14:textId="77777777" w:rsidR="00FA4AA8" w:rsidRDefault="0015611F">
            <w:pPr>
              <w:pStyle w:val="TableParagraph"/>
              <w:spacing w:line="185" w:lineRule="exact"/>
              <w:ind w:left="77"/>
              <w:rPr>
                <w:sz w:val="18"/>
              </w:rPr>
            </w:pPr>
            <w:r>
              <w:rPr>
                <w:sz w:val="18"/>
              </w:rPr>
              <w:t>Cash and cash equivalents</w:t>
            </w:r>
          </w:p>
        </w:tc>
        <w:tc>
          <w:tcPr>
            <w:tcW w:w="1901" w:type="dxa"/>
          </w:tcPr>
          <w:p w14:paraId="6CA9EC81" w14:textId="77777777" w:rsidR="00FA4AA8" w:rsidRDefault="00FA4AA8">
            <w:pPr>
              <w:pStyle w:val="TableParagraph"/>
              <w:rPr>
                <w:sz w:val="20"/>
              </w:rPr>
            </w:pPr>
          </w:p>
          <w:p w14:paraId="4DE2F8DD" w14:textId="77777777" w:rsidR="00FA4AA8" w:rsidRDefault="00FA4AA8">
            <w:pPr>
              <w:pStyle w:val="TableParagraph"/>
              <w:spacing w:before="11"/>
              <w:rPr>
                <w:sz w:val="21"/>
              </w:rPr>
            </w:pPr>
          </w:p>
          <w:p w14:paraId="1772149F" w14:textId="77777777" w:rsidR="00FA4AA8" w:rsidRDefault="0015611F">
            <w:pPr>
              <w:pStyle w:val="TableParagraph"/>
              <w:spacing w:line="185" w:lineRule="exact"/>
              <w:ind w:left="1351"/>
              <w:rPr>
                <w:sz w:val="18"/>
              </w:rPr>
            </w:pPr>
            <w:r>
              <w:rPr>
                <w:w w:val="99"/>
                <w:sz w:val="18"/>
              </w:rPr>
              <w:t>5</w:t>
            </w:r>
          </w:p>
        </w:tc>
        <w:tc>
          <w:tcPr>
            <w:tcW w:w="979" w:type="dxa"/>
            <w:tcBorders>
              <w:bottom w:val="single" w:sz="4" w:space="0" w:color="000000"/>
            </w:tcBorders>
          </w:tcPr>
          <w:p w14:paraId="0E8DE58A" w14:textId="77777777" w:rsidR="00FA4AA8" w:rsidRDefault="00FA4AA8">
            <w:pPr>
              <w:pStyle w:val="TableParagraph"/>
              <w:rPr>
                <w:rFonts w:ascii="Times New Roman"/>
                <w:sz w:val="18"/>
              </w:rPr>
            </w:pPr>
          </w:p>
        </w:tc>
        <w:tc>
          <w:tcPr>
            <w:tcW w:w="499" w:type="dxa"/>
            <w:tcBorders>
              <w:bottom w:val="single" w:sz="4" w:space="0" w:color="000000"/>
            </w:tcBorders>
          </w:tcPr>
          <w:p w14:paraId="74ABA770" w14:textId="77777777" w:rsidR="00FA4AA8" w:rsidRDefault="00FA4AA8">
            <w:pPr>
              <w:pStyle w:val="TableParagraph"/>
              <w:rPr>
                <w:sz w:val="20"/>
              </w:rPr>
            </w:pPr>
          </w:p>
          <w:p w14:paraId="78435863" w14:textId="77777777" w:rsidR="00FA4AA8" w:rsidRDefault="00FA4AA8">
            <w:pPr>
              <w:pStyle w:val="TableParagraph"/>
              <w:spacing w:before="11"/>
              <w:rPr>
                <w:sz w:val="21"/>
              </w:rPr>
            </w:pPr>
          </w:p>
          <w:p w14:paraId="4AA2D2F6" w14:textId="77777777" w:rsidR="00FA4AA8" w:rsidRDefault="0015611F">
            <w:pPr>
              <w:pStyle w:val="TableParagraph"/>
              <w:spacing w:line="185" w:lineRule="exact"/>
              <w:ind w:left="130"/>
              <w:rPr>
                <w:b/>
                <w:sz w:val="18"/>
              </w:rPr>
            </w:pPr>
            <w:r>
              <w:rPr>
                <w:b/>
                <w:w w:val="99"/>
                <w:sz w:val="18"/>
              </w:rPr>
              <w:t>1</w:t>
            </w:r>
          </w:p>
        </w:tc>
        <w:tc>
          <w:tcPr>
            <w:tcW w:w="799" w:type="dxa"/>
            <w:tcBorders>
              <w:bottom w:val="single" w:sz="4" w:space="0" w:color="000000"/>
            </w:tcBorders>
          </w:tcPr>
          <w:p w14:paraId="63841117" w14:textId="77777777" w:rsidR="00FA4AA8" w:rsidRDefault="00FA4AA8">
            <w:pPr>
              <w:pStyle w:val="TableParagraph"/>
              <w:rPr>
                <w:rFonts w:ascii="Times New Roman"/>
                <w:sz w:val="18"/>
              </w:rPr>
            </w:pPr>
          </w:p>
        </w:tc>
        <w:tc>
          <w:tcPr>
            <w:tcW w:w="319" w:type="dxa"/>
            <w:tcBorders>
              <w:bottom w:val="single" w:sz="4" w:space="0" w:color="000000"/>
            </w:tcBorders>
          </w:tcPr>
          <w:p w14:paraId="5C908482" w14:textId="77777777" w:rsidR="00FA4AA8" w:rsidRDefault="00FA4AA8">
            <w:pPr>
              <w:pStyle w:val="TableParagraph"/>
              <w:rPr>
                <w:sz w:val="20"/>
              </w:rPr>
            </w:pPr>
          </w:p>
          <w:p w14:paraId="2F38514F" w14:textId="77777777" w:rsidR="00FA4AA8" w:rsidRDefault="00FA4AA8">
            <w:pPr>
              <w:pStyle w:val="TableParagraph"/>
              <w:spacing w:before="11"/>
              <w:rPr>
                <w:sz w:val="21"/>
              </w:rPr>
            </w:pPr>
          </w:p>
          <w:p w14:paraId="1E9414A0" w14:textId="77777777" w:rsidR="00FA4AA8" w:rsidRDefault="0015611F">
            <w:pPr>
              <w:pStyle w:val="TableParagraph"/>
              <w:spacing w:line="185" w:lineRule="exact"/>
              <w:ind w:left="129"/>
              <w:rPr>
                <w:sz w:val="18"/>
              </w:rPr>
            </w:pPr>
            <w:r>
              <w:rPr>
                <w:w w:val="99"/>
                <w:sz w:val="18"/>
              </w:rPr>
              <w:t>1</w:t>
            </w:r>
          </w:p>
        </w:tc>
      </w:tr>
      <w:tr w:rsidR="00FA4AA8" w14:paraId="4BA0C27C" w14:textId="77777777">
        <w:trPr>
          <w:trHeight w:val="205"/>
        </w:trPr>
        <w:tc>
          <w:tcPr>
            <w:tcW w:w="5471" w:type="dxa"/>
          </w:tcPr>
          <w:p w14:paraId="2B29673D" w14:textId="77777777" w:rsidR="00FA4AA8" w:rsidRDefault="0015611F">
            <w:pPr>
              <w:pStyle w:val="TableParagraph"/>
              <w:spacing w:before="1" w:line="185" w:lineRule="exact"/>
              <w:ind w:left="77"/>
              <w:rPr>
                <w:sz w:val="18"/>
              </w:rPr>
            </w:pPr>
            <w:r>
              <w:rPr>
                <w:sz w:val="18"/>
              </w:rPr>
              <w:t>Total current assets</w:t>
            </w:r>
          </w:p>
        </w:tc>
        <w:tc>
          <w:tcPr>
            <w:tcW w:w="1901" w:type="dxa"/>
          </w:tcPr>
          <w:p w14:paraId="6E6A572A" w14:textId="77777777" w:rsidR="00FA4AA8" w:rsidRDefault="00FA4AA8">
            <w:pPr>
              <w:pStyle w:val="TableParagraph"/>
              <w:rPr>
                <w:rFonts w:ascii="Times New Roman"/>
                <w:sz w:val="14"/>
              </w:rPr>
            </w:pPr>
          </w:p>
        </w:tc>
        <w:tc>
          <w:tcPr>
            <w:tcW w:w="979" w:type="dxa"/>
            <w:tcBorders>
              <w:top w:val="single" w:sz="4" w:space="0" w:color="000000"/>
              <w:bottom w:val="single" w:sz="8" w:space="0" w:color="000000"/>
            </w:tcBorders>
          </w:tcPr>
          <w:p w14:paraId="009ED575" w14:textId="77777777" w:rsidR="00FA4AA8" w:rsidRDefault="00FA4AA8">
            <w:pPr>
              <w:pStyle w:val="TableParagraph"/>
              <w:rPr>
                <w:rFonts w:ascii="Times New Roman"/>
                <w:sz w:val="14"/>
              </w:rPr>
            </w:pPr>
          </w:p>
        </w:tc>
        <w:tc>
          <w:tcPr>
            <w:tcW w:w="499" w:type="dxa"/>
            <w:tcBorders>
              <w:top w:val="single" w:sz="4" w:space="0" w:color="000000"/>
              <w:bottom w:val="single" w:sz="8" w:space="0" w:color="000000"/>
            </w:tcBorders>
          </w:tcPr>
          <w:p w14:paraId="686F8BE5" w14:textId="77777777" w:rsidR="00FA4AA8" w:rsidRDefault="0015611F">
            <w:pPr>
              <w:pStyle w:val="TableParagraph"/>
              <w:spacing w:line="185" w:lineRule="exact"/>
              <w:ind w:left="130"/>
              <w:rPr>
                <w:b/>
                <w:sz w:val="18"/>
              </w:rPr>
            </w:pPr>
            <w:r>
              <w:rPr>
                <w:b/>
                <w:w w:val="99"/>
                <w:sz w:val="18"/>
              </w:rPr>
              <w:t>1</w:t>
            </w:r>
          </w:p>
        </w:tc>
        <w:tc>
          <w:tcPr>
            <w:tcW w:w="799" w:type="dxa"/>
            <w:tcBorders>
              <w:top w:val="single" w:sz="4" w:space="0" w:color="000000"/>
              <w:bottom w:val="single" w:sz="8" w:space="0" w:color="000000"/>
            </w:tcBorders>
          </w:tcPr>
          <w:p w14:paraId="1A56B858" w14:textId="77777777" w:rsidR="00FA4AA8" w:rsidRDefault="00FA4AA8">
            <w:pPr>
              <w:pStyle w:val="TableParagraph"/>
              <w:rPr>
                <w:rFonts w:ascii="Times New Roman"/>
                <w:sz w:val="14"/>
              </w:rPr>
            </w:pPr>
          </w:p>
        </w:tc>
        <w:tc>
          <w:tcPr>
            <w:tcW w:w="319" w:type="dxa"/>
            <w:tcBorders>
              <w:top w:val="single" w:sz="4" w:space="0" w:color="000000"/>
              <w:bottom w:val="single" w:sz="8" w:space="0" w:color="000000"/>
            </w:tcBorders>
          </w:tcPr>
          <w:p w14:paraId="0BEAD958" w14:textId="77777777" w:rsidR="00FA4AA8" w:rsidRDefault="0015611F">
            <w:pPr>
              <w:pStyle w:val="TableParagraph"/>
              <w:spacing w:line="185" w:lineRule="exact"/>
              <w:ind w:left="129"/>
              <w:rPr>
                <w:sz w:val="18"/>
              </w:rPr>
            </w:pPr>
            <w:r>
              <w:rPr>
                <w:w w:val="99"/>
                <w:sz w:val="18"/>
              </w:rPr>
              <w:t>1</w:t>
            </w:r>
          </w:p>
        </w:tc>
      </w:tr>
      <w:tr w:rsidR="00FA4AA8" w14:paraId="0C5F45C6" w14:textId="77777777">
        <w:trPr>
          <w:trHeight w:val="488"/>
        </w:trPr>
        <w:tc>
          <w:tcPr>
            <w:tcW w:w="5471" w:type="dxa"/>
          </w:tcPr>
          <w:p w14:paraId="7151EDC1" w14:textId="77777777" w:rsidR="00FA4AA8" w:rsidRDefault="00FA4AA8">
            <w:pPr>
              <w:pStyle w:val="TableParagraph"/>
              <w:spacing w:before="7"/>
              <w:rPr>
                <w:sz w:val="24"/>
              </w:rPr>
            </w:pPr>
          </w:p>
          <w:p w14:paraId="6F1AF5BA" w14:textId="77777777" w:rsidR="00FA4AA8" w:rsidRDefault="0015611F">
            <w:pPr>
              <w:pStyle w:val="TableParagraph"/>
              <w:spacing w:line="185" w:lineRule="exact"/>
              <w:ind w:left="77"/>
              <w:rPr>
                <w:b/>
                <w:sz w:val="18"/>
              </w:rPr>
            </w:pPr>
            <w:r>
              <w:rPr>
                <w:b/>
                <w:sz w:val="18"/>
              </w:rPr>
              <w:t>Total assets</w:t>
            </w:r>
          </w:p>
        </w:tc>
        <w:tc>
          <w:tcPr>
            <w:tcW w:w="1901" w:type="dxa"/>
          </w:tcPr>
          <w:p w14:paraId="7851E112" w14:textId="77777777" w:rsidR="00FA4AA8" w:rsidRDefault="00FA4AA8">
            <w:pPr>
              <w:pStyle w:val="TableParagraph"/>
              <w:rPr>
                <w:rFonts w:ascii="Times New Roman"/>
                <w:sz w:val="18"/>
              </w:rPr>
            </w:pPr>
          </w:p>
        </w:tc>
        <w:tc>
          <w:tcPr>
            <w:tcW w:w="979" w:type="dxa"/>
            <w:tcBorders>
              <w:top w:val="single" w:sz="8" w:space="0" w:color="000000"/>
              <w:bottom w:val="single" w:sz="8" w:space="0" w:color="000000"/>
            </w:tcBorders>
          </w:tcPr>
          <w:p w14:paraId="78345D28" w14:textId="77777777" w:rsidR="00FA4AA8" w:rsidRDefault="00FA4AA8">
            <w:pPr>
              <w:pStyle w:val="TableParagraph"/>
              <w:rPr>
                <w:rFonts w:ascii="Times New Roman"/>
                <w:sz w:val="18"/>
              </w:rPr>
            </w:pPr>
          </w:p>
        </w:tc>
        <w:tc>
          <w:tcPr>
            <w:tcW w:w="499" w:type="dxa"/>
            <w:tcBorders>
              <w:top w:val="single" w:sz="8" w:space="0" w:color="000000"/>
              <w:bottom w:val="single" w:sz="8" w:space="0" w:color="000000"/>
            </w:tcBorders>
          </w:tcPr>
          <w:p w14:paraId="0BE6BDD9" w14:textId="77777777" w:rsidR="00FA4AA8" w:rsidRDefault="00FA4AA8">
            <w:pPr>
              <w:pStyle w:val="TableParagraph"/>
              <w:spacing w:before="7"/>
              <w:rPr>
                <w:sz w:val="24"/>
              </w:rPr>
            </w:pPr>
          </w:p>
          <w:p w14:paraId="2E0DDA1E" w14:textId="77777777" w:rsidR="00FA4AA8" w:rsidRDefault="0015611F">
            <w:pPr>
              <w:pStyle w:val="TableParagraph"/>
              <w:spacing w:line="185" w:lineRule="exact"/>
              <w:ind w:left="130"/>
              <w:rPr>
                <w:b/>
                <w:sz w:val="18"/>
              </w:rPr>
            </w:pPr>
            <w:r>
              <w:rPr>
                <w:b/>
                <w:w w:val="99"/>
                <w:sz w:val="18"/>
              </w:rPr>
              <w:t>1</w:t>
            </w:r>
          </w:p>
        </w:tc>
        <w:tc>
          <w:tcPr>
            <w:tcW w:w="799" w:type="dxa"/>
            <w:tcBorders>
              <w:top w:val="single" w:sz="8" w:space="0" w:color="000000"/>
              <w:bottom w:val="single" w:sz="8" w:space="0" w:color="000000"/>
            </w:tcBorders>
          </w:tcPr>
          <w:p w14:paraId="647571C9" w14:textId="77777777" w:rsidR="00FA4AA8" w:rsidRDefault="00FA4AA8">
            <w:pPr>
              <w:pStyle w:val="TableParagraph"/>
              <w:rPr>
                <w:rFonts w:ascii="Times New Roman"/>
                <w:sz w:val="18"/>
              </w:rPr>
            </w:pPr>
          </w:p>
        </w:tc>
        <w:tc>
          <w:tcPr>
            <w:tcW w:w="319" w:type="dxa"/>
            <w:tcBorders>
              <w:top w:val="single" w:sz="8" w:space="0" w:color="000000"/>
              <w:bottom w:val="single" w:sz="8" w:space="0" w:color="000000"/>
            </w:tcBorders>
          </w:tcPr>
          <w:p w14:paraId="089B1167" w14:textId="77777777" w:rsidR="00FA4AA8" w:rsidRDefault="00FA4AA8">
            <w:pPr>
              <w:pStyle w:val="TableParagraph"/>
              <w:spacing w:before="7"/>
              <w:rPr>
                <w:sz w:val="24"/>
              </w:rPr>
            </w:pPr>
          </w:p>
          <w:p w14:paraId="3FF746AE" w14:textId="77777777" w:rsidR="00FA4AA8" w:rsidRDefault="0015611F">
            <w:pPr>
              <w:pStyle w:val="TableParagraph"/>
              <w:spacing w:line="185" w:lineRule="exact"/>
              <w:ind w:left="129"/>
              <w:rPr>
                <w:sz w:val="18"/>
              </w:rPr>
            </w:pPr>
            <w:r>
              <w:rPr>
                <w:w w:val="99"/>
                <w:sz w:val="18"/>
              </w:rPr>
              <w:t>1</w:t>
            </w:r>
          </w:p>
        </w:tc>
      </w:tr>
      <w:tr w:rsidR="00FA4AA8" w14:paraId="479998D4" w14:textId="77777777">
        <w:trPr>
          <w:trHeight w:val="1043"/>
        </w:trPr>
        <w:tc>
          <w:tcPr>
            <w:tcW w:w="5471" w:type="dxa"/>
          </w:tcPr>
          <w:p w14:paraId="3E047820" w14:textId="77777777" w:rsidR="00FA4AA8" w:rsidRDefault="00FA4AA8">
            <w:pPr>
              <w:pStyle w:val="TableParagraph"/>
              <w:rPr>
                <w:sz w:val="20"/>
              </w:rPr>
            </w:pPr>
          </w:p>
          <w:p w14:paraId="4C812A22" w14:textId="77777777" w:rsidR="00FA4AA8" w:rsidRDefault="00FA4AA8">
            <w:pPr>
              <w:pStyle w:val="TableParagraph"/>
              <w:spacing w:before="11"/>
              <w:rPr>
                <w:sz w:val="16"/>
              </w:rPr>
            </w:pPr>
          </w:p>
          <w:p w14:paraId="123A3146" w14:textId="77777777" w:rsidR="00FA4AA8" w:rsidRDefault="0015611F">
            <w:pPr>
              <w:pStyle w:val="TableParagraph"/>
              <w:spacing w:line="207" w:lineRule="exact"/>
              <w:ind w:left="77"/>
              <w:rPr>
                <w:b/>
                <w:sz w:val="18"/>
              </w:rPr>
            </w:pPr>
            <w:r>
              <w:rPr>
                <w:b/>
                <w:sz w:val="18"/>
              </w:rPr>
              <w:t>LIABILITIES</w:t>
            </w:r>
          </w:p>
          <w:p w14:paraId="5D80F284" w14:textId="77777777" w:rsidR="00FA4AA8" w:rsidRDefault="0015611F">
            <w:pPr>
              <w:pStyle w:val="TableParagraph"/>
              <w:spacing w:line="206" w:lineRule="exact"/>
              <w:ind w:left="77"/>
              <w:rPr>
                <w:b/>
                <w:sz w:val="18"/>
              </w:rPr>
            </w:pPr>
            <w:r>
              <w:rPr>
                <w:b/>
                <w:sz w:val="18"/>
              </w:rPr>
              <w:t>Current liabilities</w:t>
            </w:r>
          </w:p>
          <w:p w14:paraId="36E4929D" w14:textId="77777777" w:rsidR="00FA4AA8" w:rsidRDefault="0015611F">
            <w:pPr>
              <w:pStyle w:val="TableParagraph"/>
              <w:spacing w:line="185" w:lineRule="exact"/>
              <w:ind w:left="77"/>
              <w:rPr>
                <w:sz w:val="18"/>
              </w:rPr>
            </w:pPr>
            <w:r>
              <w:rPr>
                <w:sz w:val="18"/>
              </w:rPr>
              <w:t>Trade and other payables</w:t>
            </w:r>
          </w:p>
        </w:tc>
        <w:tc>
          <w:tcPr>
            <w:tcW w:w="1901" w:type="dxa"/>
          </w:tcPr>
          <w:p w14:paraId="79D950A5" w14:textId="77777777" w:rsidR="00FA4AA8" w:rsidRDefault="00FA4AA8">
            <w:pPr>
              <w:pStyle w:val="TableParagraph"/>
              <w:rPr>
                <w:rFonts w:ascii="Times New Roman"/>
                <w:sz w:val="18"/>
              </w:rPr>
            </w:pPr>
          </w:p>
        </w:tc>
        <w:tc>
          <w:tcPr>
            <w:tcW w:w="979" w:type="dxa"/>
            <w:tcBorders>
              <w:top w:val="single" w:sz="8" w:space="0" w:color="000000"/>
              <w:bottom w:val="single" w:sz="4" w:space="0" w:color="000000"/>
            </w:tcBorders>
          </w:tcPr>
          <w:p w14:paraId="20F7D250" w14:textId="77777777" w:rsidR="00FA4AA8" w:rsidRDefault="00FA4AA8">
            <w:pPr>
              <w:pStyle w:val="TableParagraph"/>
              <w:rPr>
                <w:rFonts w:ascii="Times New Roman"/>
                <w:sz w:val="18"/>
              </w:rPr>
            </w:pPr>
          </w:p>
        </w:tc>
        <w:tc>
          <w:tcPr>
            <w:tcW w:w="499" w:type="dxa"/>
            <w:tcBorders>
              <w:top w:val="single" w:sz="8" w:space="0" w:color="000000"/>
              <w:bottom w:val="single" w:sz="4" w:space="0" w:color="000000"/>
            </w:tcBorders>
          </w:tcPr>
          <w:p w14:paraId="5E4C1104" w14:textId="77777777" w:rsidR="00FA4AA8" w:rsidRDefault="00FA4AA8">
            <w:pPr>
              <w:pStyle w:val="TableParagraph"/>
              <w:rPr>
                <w:sz w:val="20"/>
              </w:rPr>
            </w:pPr>
          </w:p>
          <w:p w14:paraId="2735AB02" w14:textId="77777777" w:rsidR="00FA4AA8" w:rsidRDefault="00FA4AA8">
            <w:pPr>
              <w:pStyle w:val="TableParagraph"/>
              <w:rPr>
                <w:sz w:val="20"/>
              </w:rPr>
            </w:pPr>
          </w:p>
          <w:p w14:paraId="50EE3C6C" w14:textId="77777777" w:rsidR="00FA4AA8" w:rsidRDefault="00FA4AA8">
            <w:pPr>
              <w:pStyle w:val="TableParagraph"/>
              <w:rPr>
                <w:sz w:val="20"/>
              </w:rPr>
            </w:pPr>
          </w:p>
          <w:p w14:paraId="5E90ED20" w14:textId="77777777" w:rsidR="00FA4AA8" w:rsidRDefault="0015611F">
            <w:pPr>
              <w:pStyle w:val="TableParagraph"/>
              <w:spacing w:before="148" w:line="185" w:lineRule="exact"/>
              <w:ind w:left="169"/>
              <w:rPr>
                <w:b/>
                <w:sz w:val="18"/>
              </w:rPr>
            </w:pPr>
            <w:r>
              <w:rPr>
                <w:b/>
                <w:w w:val="99"/>
                <w:sz w:val="18"/>
              </w:rPr>
              <w:t>-</w:t>
            </w:r>
          </w:p>
        </w:tc>
        <w:tc>
          <w:tcPr>
            <w:tcW w:w="799" w:type="dxa"/>
            <w:tcBorders>
              <w:top w:val="single" w:sz="8" w:space="0" w:color="000000"/>
              <w:bottom w:val="single" w:sz="4" w:space="0" w:color="000000"/>
            </w:tcBorders>
          </w:tcPr>
          <w:p w14:paraId="78E5C20F" w14:textId="77777777" w:rsidR="00FA4AA8" w:rsidRDefault="00FA4AA8">
            <w:pPr>
              <w:pStyle w:val="TableParagraph"/>
              <w:rPr>
                <w:rFonts w:ascii="Times New Roman"/>
                <w:sz w:val="18"/>
              </w:rPr>
            </w:pPr>
          </w:p>
        </w:tc>
        <w:tc>
          <w:tcPr>
            <w:tcW w:w="319" w:type="dxa"/>
            <w:tcBorders>
              <w:top w:val="single" w:sz="8" w:space="0" w:color="000000"/>
              <w:bottom w:val="single" w:sz="4" w:space="0" w:color="000000"/>
            </w:tcBorders>
          </w:tcPr>
          <w:p w14:paraId="2152A6B2" w14:textId="77777777" w:rsidR="00FA4AA8" w:rsidRDefault="00FA4AA8">
            <w:pPr>
              <w:pStyle w:val="TableParagraph"/>
              <w:rPr>
                <w:sz w:val="20"/>
              </w:rPr>
            </w:pPr>
          </w:p>
          <w:p w14:paraId="7AD1CE35" w14:textId="77777777" w:rsidR="00FA4AA8" w:rsidRDefault="00FA4AA8">
            <w:pPr>
              <w:pStyle w:val="TableParagraph"/>
              <w:rPr>
                <w:sz w:val="20"/>
              </w:rPr>
            </w:pPr>
          </w:p>
          <w:p w14:paraId="5DE0B566" w14:textId="77777777" w:rsidR="00FA4AA8" w:rsidRDefault="00FA4AA8">
            <w:pPr>
              <w:pStyle w:val="TableParagraph"/>
              <w:rPr>
                <w:sz w:val="20"/>
              </w:rPr>
            </w:pPr>
          </w:p>
          <w:p w14:paraId="109BE47F" w14:textId="77777777" w:rsidR="00FA4AA8" w:rsidRDefault="0015611F">
            <w:pPr>
              <w:pStyle w:val="TableParagraph"/>
              <w:spacing w:before="148" w:line="185" w:lineRule="exact"/>
              <w:ind w:left="169"/>
              <w:rPr>
                <w:sz w:val="18"/>
              </w:rPr>
            </w:pPr>
            <w:r>
              <w:rPr>
                <w:w w:val="99"/>
                <w:sz w:val="18"/>
              </w:rPr>
              <w:t>-</w:t>
            </w:r>
          </w:p>
        </w:tc>
      </w:tr>
      <w:tr w:rsidR="00FA4AA8" w14:paraId="20E27DD4" w14:textId="77777777">
        <w:trPr>
          <w:trHeight w:val="205"/>
        </w:trPr>
        <w:tc>
          <w:tcPr>
            <w:tcW w:w="5471" w:type="dxa"/>
          </w:tcPr>
          <w:p w14:paraId="6A88DBCC" w14:textId="77777777" w:rsidR="00FA4AA8" w:rsidRDefault="0015611F">
            <w:pPr>
              <w:pStyle w:val="TableParagraph"/>
              <w:spacing w:line="185" w:lineRule="exact"/>
              <w:ind w:left="77"/>
              <w:rPr>
                <w:sz w:val="18"/>
              </w:rPr>
            </w:pPr>
            <w:r>
              <w:rPr>
                <w:sz w:val="18"/>
              </w:rPr>
              <w:t>Total current liabilities</w:t>
            </w:r>
          </w:p>
        </w:tc>
        <w:tc>
          <w:tcPr>
            <w:tcW w:w="1901" w:type="dxa"/>
          </w:tcPr>
          <w:p w14:paraId="1F6518B2" w14:textId="77777777" w:rsidR="00FA4AA8" w:rsidRDefault="00FA4AA8">
            <w:pPr>
              <w:pStyle w:val="TableParagraph"/>
              <w:rPr>
                <w:rFonts w:ascii="Times New Roman"/>
                <w:sz w:val="14"/>
              </w:rPr>
            </w:pPr>
          </w:p>
        </w:tc>
        <w:tc>
          <w:tcPr>
            <w:tcW w:w="979" w:type="dxa"/>
            <w:tcBorders>
              <w:top w:val="single" w:sz="4" w:space="0" w:color="000000"/>
              <w:bottom w:val="single" w:sz="8" w:space="0" w:color="000000"/>
            </w:tcBorders>
          </w:tcPr>
          <w:p w14:paraId="04713A9C" w14:textId="77777777" w:rsidR="00FA4AA8" w:rsidRDefault="00FA4AA8">
            <w:pPr>
              <w:pStyle w:val="TableParagraph"/>
              <w:rPr>
                <w:rFonts w:ascii="Times New Roman"/>
                <w:sz w:val="14"/>
              </w:rPr>
            </w:pPr>
          </w:p>
        </w:tc>
        <w:tc>
          <w:tcPr>
            <w:tcW w:w="499" w:type="dxa"/>
            <w:tcBorders>
              <w:top w:val="single" w:sz="4" w:space="0" w:color="000000"/>
              <w:bottom w:val="single" w:sz="8" w:space="0" w:color="000000"/>
            </w:tcBorders>
          </w:tcPr>
          <w:p w14:paraId="06E23344" w14:textId="77777777" w:rsidR="00FA4AA8" w:rsidRDefault="0015611F">
            <w:pPr>
              <w:pStyle w:val="TableParagraph"/>
              <w:spacing w:line="185" w:lineRule="exact"/>
              <w:ind w:left="169"/>
              <w:rPr>
                <w:b/>
                <w:sz w:val="18"/>
              </w:rPr>
            </w:pPr>
            <w:r>
              <w:rPr>
                <w:b/>
                <w:w w:val="99"/>
                <w:sz w:val="18"/>
              </w:rPr>
              <w:t>-</w:t>
            </w:r>
          </w:p>
        </w:tc>
        <w:tc>
          <w:tcPr>
            <w:tcW w:w="799" w:type="dxa"/>
            <w:tcBorders>
              <w:top w:val="single" w:sz="4" w:space="0" w:color="000000"/>
              <w:bottom w:val="single" w:sz="8" w:space="0" w:color="000000"/>
            </w:tcBorders>
          </w:tcPr>
          <w:p w14:paraId="2ED55AD9" w14:textId="77777777" w:rsidR="00FA4AA8" w:rsidRDefault="00FA4AA8">
            <w:pPr>
              <w:pStyle w:val="TableParagraph"/>
              <w:rPr>
                <w:rFonts w:ascii="Times New Roman"/>
                <w:sz w:val="14"/>
              </w:rPr>
            </w:pPr>
          </w:p>
        </w:tc>
        <w:tc>
          <w:tcPr>
            <w:tcW w:w="319" w:type="dxa"/>
            <w:tcBorders>
              <w:top w:val="single" w:sz="4" w:space="0" w:color="000000"/>
              <w:bottom w:val="single" w:sz="8" w:space="0" w:color="000000"/>
            </w:tcBorders>
          </w:tcPr>
          <w:p w14:paraId="4A0AF193" w14:textId="77777777" w:rsidR="00FA4AA8" w:rsidRDefault="0015611F">
            <w:pPr>
              <w:pStyle w:val="TableParagraph"/>
              <w:spacing w:line="185" w:lineRule="exact"/>
              <w:ind w:left="168"/>
              <w:rPr>
                <w:sz w:val="18"/>
              </w:rPr>
            </w:pPr>
            <w:r>
              <w:rPr>
                <w:w w:val="99"/>
                <w:sz w:val="18"/>
              </w:rPr>
              <w:t>-</w:t>
            </w:r>
          </w:p>
        </w:tc>
      </w:tr>
      <w:tr w:rsidR="00FA4AA8" w14:paraId="68B28D6A" w14:textId="77777777">
        <w:trPr>
          <w:trHeight w:val="488"/>
        </w:trPr>
        <w:tc>
          <w:tcPr>
            <w:tcW w:w="5471" w:type="dxa"/>
          </w:tcPr>
          <w:p w14:paraId="2C01F74C" w14:textId="77777777" w:rsidR="00FA4AA8" w:rsidRDefault="00FA4AA8">
            <w:pPr>
              <w:pStyle w:val="TableParagraph"/>
              <w:spacing w:before="7"/>
              <w:rPr>
                <w:sz w:val="24"/>
              </w:rPr>
            </w:pPr>
          </w:p>
          <w:p w14:paraId="6278EACF" w14:textId="77777777" w:rsidR="00FA4AA8" w:rsidRDefault="0015611F">
            <w:pPr>
              <w:pStyle w:val="TableParagraph"/>
              <w:spacing w:line="185" w:lineRule="exact"/>
              <w:ind w:left="77"/>
              <w:rPr>
                <w:b/>
                <w:sz w:val="18"/>
              </w:rPr>
            </w:pPr>
            <w:r>
              <w:rPr>
                <w:b/>
                <w:sz w:val="18"/>
              </w:rPr>
              <w:t>Total liabilities</w:t>
            </w:r>
          </w:p>
        </w:tc>
        <w:tc>
          <w:tcPr>
            <w:tcW w:w="1901" w:type="dxa"/>
          </w:tcPr>
          <w:p w14:paraId="53D4FCFC" w14:textId="77777777" w:rsidR="00FA4AA8" w:rsidRDefault="00FA4AA8">
            <w:pPr>
              <w:pStyle w:val="TableParagraph"/>
              <w:rPr>
                <w:rFonts w:ascii="Times New Roman"/>
                <w:sz w:val="18"/>
              </w:rPr>
            </w:pPr>
          </w:p>
        </w:tc>
        <w:tc>
          <w:tcPr>
            <w:tcW w:w="979" w:type="dxa"/>
            <w:tcBorders>
              <w:top w:val="single" w:sz="8" w:space="0" w:color="000000"/>
              <w:bottom w:val="single" w:sz="8" w:space="0" w:color="000000"/>
            </w:tcBorders>
          </w:tcPr>
          <w:p w14:paraId="2CFA3E11" w14:textId="77777777" w:rsidR="00FA4AA8" w:rsidRDefault="00FA4AA8">
            <w:pPr>
              <w:pStyle w:val="TableParagraph"/>
              <w:rPr>
                <w:rFonts w:ascii="Times New Roman"/>
                <w:sz w:val="18"/>
              </w:rPr>
            </w:pPr>
          </w:p>
        </w:tc>
        <w:tc>
          <w:tcPr>
            <w:tcW w:w="499" w:type="dxa"/>
            <w:tcBorders>
              <w:top w:val="single" w:sz="8" w:space="0" w:color="000000"/>
              <w:bottom w:val="single" w:sz="8" w:space="0" w:color="000000"/>
            </w:tcBorders>
          </w:tcPr>
          <w:p w14:paraId="172BE8F2" w14:textId="77777777" w:rsidR="00FA4AA8" w:rsidRDefault="00FA4AA8">
            <w:pPr>
              <w:pStyle w:val="TableParagraph"/>
              <w:spacing w:before="7"/>
              <w:rPr>
                <w:sz w:val="24"/>
              </w:rPr>
            </w:pPr>
          </w:p>
          <w:p w14:paraId="0A944C6E" w14:textId="77777777" w:rsidR="00FA4AA8" w:rsidRDefault="0015611F">
            <w:pPr>
              <w:pStyle w:val="TableParagraph"/>
              <w:spacing w:line="185" w:lineRule="exact"/>
              <w:ind w:left="169"/>
              <w:rPr>
                <w:b/>
                <w:sz w:val="18"/>
              </w:rPr>
            </w:pPr>
            <w:r>
              <w:rPr>
                <w:b/>
                <w:w w:val="99"/>
                <w:sz w:val="18"/>
              </w:rPr>
              <w:t>-</w:t>
            </w:r>
          </w:p>
        </w:tc>
        <w:tc>
          <w:tcPr>
            <w:tcW w:w="799" w:type="dxa"/>
            <w:tcBorders>
              <w:top w:val="single" w:sz="8" w:space="0" w:color="000000"/>
              <w:bottom w:val="single" w:sz="8" w:space="0" w:color="000000"/>
            </w:tcBorders>
          </w:tcPr>
          <w:p w14:paraId="7644DA7F" w14:textId="77777777" w:rsidR="00FA4AA8" w:rsidRDefault="00FA4AA8">
            <w:pPr>
              <w:pStyle w:val="TableParagraph"/>
              <w:rPr>
                <w:rFonts w:ascii="Times New Roman"/>
                <w:sz w:val="18"/>
              </w:rPr>
            </w:pPr>
          </w:p>
        </w:tc>
        <w:tc>
          <w:tcPr>
            <w:tcW w:w="319" w:type="dxa"/>
            <w:tcBorders>
              <w:top w:val="single" w:sz="8" w:space="0" w:color="000000"/>
              <w:bottom w:val="single" w:sz="8" w:space="0" w:color="000000"/>
            </w:tcBorders>
          </w:tcPr>
          <w:p w14:paraId="4A7F1F5D" w14:textId="77777777" w:rsidR="00FA4AA8" w:rsidRDefault="00FA4AA8">
            <w:pPr>
              <w:pStyle w:val="TableParagraph"/>
              <w:spacing w:before="7"/>
              <w:rPr>
                <w:sz w:val="24"/>
              </w:rPr>
            </w:pPr>
          </w:p>
          <w:p w14:paraId="09E31BEA" w14:textId="77777777" w:rsidR="00FA4AA8" w:rsidRDefault="0015611F">
            <w:pPr>
              <w:pStyle w:val="TableParagraph"/>
              <w:spacing w:line="185" w:lineRule="exact"/>
              <w:ind w:left="169"/>
              <w:rPr>
                <w:sz w:val="18"/>
              </w:rPr>
            </w:pPr>
            <w:r>
              <w:rPr>
                <w:w w:val="99"/>
                <w:sz w:val="18"/>
              </w:rPr>
              <w:t>-</w:t>
            </w:r>
          </w:p>
        </w:tc>
      </w:tr>
      <w:tr w:rsidR="00FA4AA8" w14:paraId="1956135B" w14:textId="77777777">
        <w:trPr>
          <w:trHeight w:val="488"/>
        </w:trPr>
        <w:tc>
          <w:tcPr>
            <w:tcW w:w="5471" w:type="dxa"/>
          </w:tcPr>
          <w:p w14:paraId="24E7F832" w14:textId="77777777" w:rsidR="00FA4AA8" w:rsidRDefault="00FA4AA8">
            <w:pPr>
              <w:pStyle w:val="TableParagraph"/>
              <w:spacing w:before="7"/>
              <w:rPr>
                <w:sz w:val="24"/>
              </w:rPr>
            </w:pPr>
          </w:p>
          <w:p w14:paraId="72296416" w14:textId="77777777" w:rsidR="00FA4AA8" w:rsidRDefault="0015611F">
            <w:pPr>
              <w:pStyle w:val="TableParagraph"/>
              <w:spacing w:line="185" w:lineRule="exact"/>
              <w:ind w:left="77"/>
              <w:rPr>
                <w:b/>
                <w:sz w:val="18"/>
              </w:rPr>
            </w:pPr>
            <w:r>
              <w:rPr>
                <w:b/>
                <w:sz w:val="18"/>
              </w:rPr>
              <w:t>Net assets</w:t>
            </w:r>
          </w:p>
        </w:tc>
        <w:tc>
          <w:tcPr>
            <w:tcW w:w="1901" w:type="dxa"/>
          </w:tcPr>
          <w:p w14:paraId="38F19C99" w14:textId="77777777" w:rsidR="00FA4AA8" w:rsidRDefault="00FA4AA8">
            <w:pPr>
              <w:pStyle w:val="TableParagraph"/>
              <w:rPr>
                <w:rFonts w:ascii="Times New Roman"/>
                <w:sz w:val="18"/>
              </w:rPr>
            </w:pPr>
          </w:p>
        </w:tc>
        <w:tc>
          <w:tcPr>
            <w:tcW w:w="979" w:type="dxa"/>
            <w:tcBorders>
              <w:top w:val="single" w:sz="8" w:space="0" w:color="000000"/>
              <w:bottom w:val="single" w:sz="8" w:space="0" w:color="000000"/>
            </w:tcBorders>
          </w:tcPr>
          <w:p w14:paraId="2811761F" w14:textId="77777777" w:rsidR="00FA4AA8" w:rsidRDefault="00FA4AA8">
            <w:pPr>
              <w:pStyle w:val="TableParagraph"/>
              <w:rPr>
                <w:rFonts w:ascii="Times New Roman"/>
                <w:sz w:val="18"/>
              </w:rPr>
            </w:pPr>
          </w:p>
        </w:tc>
        <w:tc>
          <w:tcPr>
            <w:tcW w:w="499" w:type="dxa"/>
            <w:tcBorders>
              <w:top w:val="single" w:sz="8" w:space="0" w:color="000000"/>
              <w:bottom w:val="single" w:sz="8" w:space="0" w:color="000000"/>
            </w:tcBorders>
          </w:tcPr>
          <w:p w14:paraId="40ED4340" w14:textId="77777777" w:rsidR="00FA4AA8" w:rsidRDefault="00FA4AA8">
            <w:pPr>
              <w:pStyle w:val="TableParagraph"/>
              <w:spacing w:before="7"/>
              <w:rPr>
                <w:sz w:val="24"/>
              </w:rPr>
            </w:pPr>
          </w:p>
          <w:p w14:paraId="6939CCBB" w14:textId="77777777" w:rsidR="00FA4AA8" w:rsidRDefault="0015611F">
            <w:pPr>
              <w:pStyle w:val="TableParagraph"/>
              <w:spacing w:line="185" w:lineRule="exact"/>
              <w:ind w:left="130"/>
              <w:rPr>
                <w:b/>
                <w:sz w:val="18"/>
              </w:rPr>
            </w:pPr>
            <w:r>
              <w:rPr>
                <w:b/>
                <w:w w:val="99"/>
                <w:sz w:val="18"/>
              </w:rPr>
              <w:t>1</w:t>
            </w:r>
          </w:p>
        </w:tc>
        <w:tc>
          <w:tcPr>
            <w:tcW w:w="799" w:type="dxa"/>
            <w:tcBorders>
              <w:top w:val="single" w:sz="8" w:space="0" w:color="000000"/>
              <w:bottom w:val="single" w:sz="8" w:space="0" w:color="000000"/>
            </w:tcBorders>
          </w:tcPr>
          <w:p w14:paraId="69702402" w14:textId="77777777" w:rsidR="00FA4AA8" w:rsidRDefault="00FA4AA8">
            <w:pPr>
              <w:pStyle w:val="TableParagraph"/>
              <w:rPr>
                <w:rFonts w:ascii="Times New Roman"/>
                <w:sz w:val="18"/>
              </w:rPr>
            </w:pPr>
          </w:p>
        </w:tc>
        <w:tc>
          <w:tcPr>
            <w:tcW w:w="319" w:type="dxa"/>
            <w:tcBorders>
              <w:top w:val="single" w:sz="8" w:space="0" w:color="000000"/>
              <w:bottom w:val="single" w:sz="8" w:space="0" w:color="000000"/>
            </w:tcBorders>
          </w:tcPr>
          <w:p w14:paraId="0E224728" w14:textId="77777777" w:rsidR="00FA4AA8" w:rsidRDefault="00FA4AA8">
            <w:pPr>
              <w:pStyle w:val="TableParagraph"/>
              <w:spacing w:before="7"/>
              <w:rPr>
                <w:sz w:val="24"/>
              </w:rPr>
            </w:pPr>
          </w:p>
          <w:p w14:paraId="5410889F" w14:textId="77777777" w:rsidR="00FA4AA8" w:rsidRDefault="0015611F">
            <w:pPr>
              <w:pStyle w:val="TableParagraph"/>
              <w:spacing w:line="185" w:lineRule="exact"/>
              <w:ind w:left="129"/>
              <w:rPr>
                <w:sz w:val="18"/>
              </w:rPr>
            </w:pPr>
            <w:r>
              <w:rPr>
                <w:w w:val="99"/>
                <w:sz w:val="18"/>
              </w:rPr>
              <w:t>1</w:t>
            </w:r>
          </w:p>
        </w:tc>
      </w:tr>
      <w:tr w:rsidR="00FA4AA8" w14:paraId="2C2E79FE" w14:textId="77777777">
        <w:trPr>
          <w:trHeight w:val="841"/>
        </w:trPr>
        <w:tc>
          <w:tcPr>
            <w:tcW w:w="5471" w:type="dxa"/>
          </w:tcPr>
          <w:p w14:paraId="16314A80" w14:textId="77777777" w:rsidR="00FA4AA8" w:rsidRDefault="00FA4AA8">
            <w:pPr>
              <w:pStyle w:val="TableParagraph"/>
              <w:rPr>
                <w:sz w:val="20"/>
              </w:rPr>
            </w:pPr>
          </w:p>
          <w:p w14:paraId="7C03CC11" w14:textId="77777777" w:rsidR="00FA4AA8" w:rsidRDefault="00FA4AA8">
            <w:pPr>
              <w:pStyle w:val="TableParagraph"/>
              <w:spacing w:before="11"/>
              <w:rPr>
                <w:sz w:val="16"/>
              </w:rPr>
            </w:pPr>
          </w:p>
          <w:p w14:paraId="38B89187" w14:textId="77777777" w:rsidR="00FA4AA8" w:rsidRDefault="0015611F">
            <w:pPr>
              <w:pStyle w:val="TableParagraph"/>
              <w:spacing w:line="207" w:lineRule="exact"/>
              <w:ind w:left="77"/>
              <w:rPr>
                <w:b/>
                <w:sz w:val="18"/>
              </w:rPr>
            </w:pPr>
            <w:r>
              <w:rPr>
                <w:b/>
                <w:sz w:val="18"/>
              </w:rPr>
              <w:t>EQUITY</w:t>
            </w:r>
          </w:p>
          <w:p w14:paraId="1BB3AA82" w14:textId="77777777" w:rsidR="00FA4AA8" w:rsidRDefault="0015611F">
            <w:pPr>
              <w:pStyle w:val="TableParagraph"/>
              <w:spacing w:line="189" w:lineRule="exact"/>
              <w:ind w:left="77"/>
              <w:rPr>
                <w:sz w:val="18"/>
              </w:rPr>
            </w:pPr>
            <w:r>
              <w:rPr>
                <w:sz w:val="18"/>
              </w:rPr>
              <w:t>Contributed equity</w:t>
            </w:r>
          </w:p>
        </w:tc>
        <w:tc>
          <w:tcPr>
            <w:tcW w:w="1901" w:type="dxa"/>
          </w:tcPr>
          <w:p w14:paraId="56A0F51F" w14:textId="77777777" w:rsidR="00FA4AA8" w:rsidRDefault="00FA4AA8">
            <w:pPr>
              <w:pStyle w:val="TableParagraph"/>
              <w:rPr>
                <w:sz w:val="20"/>
              </w:rPr>
            </w:pPr>
          </w:p>
          <w:p w14:paraId="77E8936E" w14:textId="77777777" w:rsidR="00FA4AA8" w:rsidRDefault="00FA4AA8">
            <w:pPr>
              <w:pStyle w:val="TableParagraph"/>
              <w:rPr>
                <w:sz w:val="20"/>
              </w:rPr>
            </w:pPr>
          </w:p>
          <w:p w14:paraId="306CD5C1" w14:textId="77777777" w:rsidR="00FA4AA8" w:rsidRDefault="0015611F">
            <w:pPr>
              <w:pStyle w:val="TableParagraph"/>
              <w:spacing w:before="172" w:line="190" w:lineRule="exact"/>
              <w:ind w:left="1351"/>
              <w:rPr>
                <w:sz w:val="18"/>
              </w:rPr>
            </w:pPr>
            <w:r>
              <w:rPr>
                <w:w w:val="99"/>
                <w:sz w:val="18"/>
              </w:rPr>
              <w:t>6</w:t>
            </w:r>
          </w:p>
        </w:tc>
        <w:tc>
          <w:tcPr>
            <w:tcW w:w="979" w:type="dxa"/>
            <w:tcBorders>
              <w:top w:val="single" w:sz="8" w:space="0" w:color="000000"/>
            </w:tcBorders>
          </w:tcPr>
          <w:p w14:paraId="5A510B14" w14:textId="77777777" w:rsidR="00FA4AA8" w:rsidRDefault="00FA4AA8">
            <w:pPr>
              <w:pStyle w:val="TableParagraph"/>
              <w:rPr>
                <w:rFonts w:ascii="Times New Roman"/>
                <w:sz w:val="18"/>
              </w:rPr>
            </w:pPr>
          </w:p>
        </w:tc>
        <w:tc>
          <w:tcPr>
            <w:tcW w:w="499" w:type="dxa"/>
            <w:tcBorders>
              <w:top w:val="single" w:sz="8" w:space="0" w:color="000000"/>
            </w:tcBorders>
          </w:tcPr>
          <w:p w14:paraId="7222E06B" w14:textId="77777777" w:rsidR="00FA4AA8" w:rsidRDefault="00FA4AA8">
            <w:pPr>
              <w:pStyle w:val="TableParagraph"/>
              <w:rPr>
                <w:sz w:val="20"/>
              </w:rPr>
            </w:pPr>
          </w:p>
          <w:p w14:paraId="3F086720" w14:textId="77777777" w:rsidR="00FA4AA8" w:rsidRDefault="00FA4AA8">
            <w:pPr>
              <w:pStyle w:val="TableParagraph"/>
              <w:rPr>
                <w:sz w:val="20"/>
              </w:rPr>
            </w:pPr>
          </w:p>
          <w:p w14:paraId="40691303" w14:textId="77777777" w:rsidR="00FA4AA8" w:rsidRDefault="0015611F">
            <w:pPr>
              <w:pStyle w:val="TableParagraph"/>
              <w:spacing w:before="172" w:line="190" w:lineRule="exact"/>
              <w:ind w:left="130"/>
              <w:rPr>
                <w:b/>
                <w:sz w:val="18"/>
              </w:rPr>
            </w:pPr>
            <w:r>
              <w:rPr>
                <w:b/>
                <w:w w:val="99"/>
                <w:sz w:val="18"/>
              </w:rPr>
              <w:t>1</w:t>
            </w:r>
          </w:p>
        </w:tc>
        <w:tc>
          <w:tcPr>
            <w:tcW w:w="799" w:type="dxa"/>
            <w:tcBorders>
              <w:top w:val="single" w:sz="8" w:space="0" w:color="000000"/>
            </w:tcBorders>
          </w:tcPr>
          <w:p w14:paraId="1A0B3282" w14:textId="77777777" w:rsidR="00FA4AA8" w:rsidRDefault="00FA4AA8">
            <w:pPr>
              <w:pStyle w:val="TableParagraph"/>
              <w:rPr>
                <w:rFonts w:ascii="Times New Roman"/>
                <w:sz w:val="18"/>
              </w:rPr>
            </w:pPr>
          </w:p>
        </w:tc>
        <w:tc>
          <w:tcPr>
            <w:tcW w:w="319" w:type="dxa"/>
            <w:tcBorders>
              <w:top w:val="single" w:sz="8" w:space="0" w:color="000000"/>
            </w:tcBorders>
          </w:tcPr>
          <w:p w14:paraId="3A9D6597" w14:textId="77777777" w:rsidR="00FA4AA8" w:rsidRDefault="00FA4AA8">
            <w:pPr>
              <w:pStyle w:val="TableParagraph"/>
              <w:rPr>
                <w:sz w:val="20"/>
              </w:rPr>
            </w:pPr>
          </w:p>
          <w:p w14:paraId="434F2CD2" w14:textId="77777777" w:rsidR="00FA4AA8" w:rsidRDefault="00FA4AA8">
            <w:pPr>
              <w:pStyle w:val="TableParagraph"/>
              <w:rPr>
                <w:sz w:val="20"/>
              </w:rPr>
            </w:pPr>
          </w:p>
          <w:p w14:paraId="4F773B65" w14:textId="77777777" w:rsidR="00FA4AA8" w:rsidRDefault="0015611F">
            <w:pPr>
              <w:pStyle w:val="TableParagraph"/>
              <w:spacing w:before="172" w:line="190" w:lineRule="exact"/>
              <w:ind w:left="129"/>
              <w:rPr>
                <w:sz w:val="18"/>
              </w:rPr>
            </w:pPr>
            <w:r>
              <w:rPr>
                <w:w w:val="99"/>
                <w:sz w:val="18"/>
              </w:rPr>
              <w:t>1</w:t>
            </w:r>
          </w:p>
        </w:tc>
      </w:tr>
      <w:tr w:rsidR="00FA4AA8" w14:paraId="6FBF55B8" w14:textId="77777777">
        <w:trPr>
          <w:trHeight w:val="201"/>
        </w:trPr>
        <w:tc>
          <w:tcPr>
            <w:tcW w:w="5471" w:type="dxa"/>
          </w:tcPr>
          <w:p w14:paraId="0E0AD91F" w14:textId="77777777" w:rsidR="00FA4AA8" w:rsidRDefault="0015611F">
            <w:pPr>
              <w:pStyle w:val="TableParagraph"/>
              <w:spacing w:line="182" w:lineRule="exact"/>
              <w:ind w:left="77"/>
              <w:rPr>
                <w:sz w:val="18"/>
              </w:rPr>
            </w:pPr>
            <w:r>
              <w:rPr>
                <w:sz w:val="18"/>
              </w:rPr>
              <w:t>Retained earnings</w:t>
            </w:r>
          </w:p>
        </w:tc>
        <w:tc>
          <w:tcPr>
            <w:tcW w:w="1901" w:type="dxa"/>
          </w:tcPr>
          <w:p w14:paraId="5138378D" w14:textId="77777777" w:rsidR="00FA4AA8" w:rsidRDefault="00FA4AA8">
            <w:pPr>
              <w:pStyle w:val="TableParagraph"/>
              <w:rPr>
                <w:rFonts w:ascii="Times New Roman"/>
                <w:sz w:val="14"/>
              </w:rPr>
            </w:pPr>
          </w:p>
        </w:tc>
        <w:tc>
          <w:tcPr>
            <w:tcW w:w="979" w:type="dxa"/>
            <w:tcBorders>
              <w:bottom w:val="single" w:sz="4" w:space="0" w:color="000000"/>
            </w:tcBorders>
          </w:tcPr>
          <w:p w14:paraId="74B80C63" w14:textId="77777777" w:rsidR="00FA4AA8" w:rsidRDefault="00FA4AA8">
            <w:pPr>
              <w:pStyle w:val="TableParagraph"/>
              <w:rPr>
                <w:rFonts w:ascii="Times New Roman"/>
                <w:sz w:val="14"/>
              </w:rPr>
            </w:pPr>
          </w:p>
        </w:tc>
        <w:tc>
          <w:tcPr>
            <w:tcW w:w="499" w:type="dxa"/>
            <w:tcBorders>
              <w:bottom w:val="single" w:sz="4" w:space="0" w:color="000000"/>
            </w:tcBorders>
          </w:tcPr>
          <w:p w14:paraId="53C02EF2" w14:textId="77777777" w:rsidR="00FA4AA8" w:rsidRDefault="0015611F">
            <w:pPr>
              <w:pStyle w:val="TableParagraph"/>
              <w:spacing w:line="182" w:lineRule="exact"/>
              <w:ind w:left="169"/>
              <w:rPr>
                <w:b/>
                <w:sz w:val="18"/>
              </w:rPr>
            </w:pPr>
            <w:r>
              <w:rPr>
                <w:b/>
                <w:w w:val="99"/>
                <w:sz w:val="18"/>
              </w:rPr>
              <w:t>-</w:t>
            </w:r>
          </w:p>
        </w:tc>
        <w:tc>
          <w:tcPr>
            <w:tcW w:w="799" w:type="dxa"/>
            <w:tcBorders>
              <w:bottom w:val="single" w:sz="4" w:space="0" w:color="000000"/>
            </w:tcBorders>
          </w:tcPr>
          <w:p w14:paraId="0ED5D2DB" w14:textId="77777777" w:rsidR="00FA4AA8" w:rsidRDefault="00FA4AA8">
            <w:pPr>
              <w:pStyle w:val="TableParagraph"/>
              <w:rPr>
                <w:rFonts w:ascii="Times New Roman"/>
                <w:sz w:val="14"/>
              </w:rPr>
            </w:pPr>
          </w:p>
        </w:tc>
        <w:tc>
          <w:tcPr>
            <w:tcW w:w="319" w:type="dxa"/>
            <w:tcBorders>
              <w:bottom w:val="single" w:sz="4" w:space="0" w:color="000000"/>
            </w:tcBorders>
          </w:tcPr>
          <w:p w14:paraId="3C06E656" w14:textId="77777777" w:rsidR="00FA4AA8" w:rsidRDefault="0015611F">
            <w:pPr>
              <w:pStyle w:val="TableParagraph"/>
              <w:spacing w:line="182" w:lineRule="exact"/>
              <w:ind w:left="169"/>
              <w:rPr>
                <w:sz w:val="18"/>
              </w:rPr>
            </w:pPr>
            <w:r>
              <w:rPr>
                <w:w w:val="99"/>
                <w:sz w:val="18"/>
              </w:rPr>
              <w:t>-</w:t>
            </w:r>
          </w:p>
        </w:tc>
      </w:tr>
      <w:tr w:rsidR="00FA4AA8" w14:paraId="16FEBC36" w14:textId="77777777">
        <w:trPr>
          <w:trHeight w:val="205"/>
        </w:trPr>
        <w:tc>
          <w:tcPr>
            <w:tcW w:w="5471" w:type="dxa"/>
          </w:tcPr>
          <w:p w14:paraId="1A4863F0" w14:textId="77777777" w:rsidR="00FA4AA8" w:rsidRDefault="0015611F">
            <w:pPr>
              <w:pStyle w:val="TableParagraph"/>
              <w:spacing w:line="185" w:lineRule="exact"/>
              <w:ind w:left="77"/>
              <w:rPr>
                <w:b/>
                <w:sz w:val="18"/>
              </w:rPr>
            </w:pPr>
            <w:r>
              <w:rPr>
                <w:b/>
                <w:sz w:val="18"/>
              </w:rPr>
              <w:t>Total equity</w:t>
            </w:r>
          </w:p>
        </w:tc>
        <w:tc>
          <w:tcPr>
            <w:tcW w:w="1901" w:type="dxa"/>
          </w:tcPr>
          <w:p w14:paraId="662EBDD6" w14:textId="77777777" w:rsidR="00FA4AA8" w:rsidRDefault="00FA4AA8">
            <w:pPr>
              <w:pStyle w:val="TableParagraph"/>
              <w:rPr>
                <w:rFonts w:ascii="Times New Roman"/>
                <w:sz w:val="14"/>
              </w:rPr>
            </w:pPr>
          </w:p>
        </w:tc>
        <w:tc>
          <w:tcPr>
            <w:tcW w:w="979" w:type="dxa"/>
            <w:tcBorders>
              <w:top w:val="single" w:sz="4" w:space="0" w:color="000000"/>
              <w:bottom w:val="single" w:sz="8" w:space="0" w:color="000000"/>
            </w:tcBorders>
          </w:tcPr>
          <w:p w14:paraId="2A3597CE" w14:textId="77777777" w:rsidR="00FA4AA8" w:rsidRDefault="00FA4AA8">
            <w:pPr>
              <w:pStyle w:val="TableParagraph"/>
              <w:rPr>
                <w:rFonts w:ascii="Times New Roman"/>
                <w:sz w:val="14"/>
              </w:rPr>
            </w:pPr>
          </w:p>
        </w:tc>
        <w:tc>
          <w:tcPr>
            <w:tcW w:w="499" w:type="dxa"/>
            <w:tcBorders>
              <w:top w:val="single" w:sz="4" w:space="0" w:color="000000"/>
              <w:bottom w:val="single" w:sz="8" w:space="0" w:color="000000"/>
            </w:tcBorders>
          </w:tcPr>
          <w:p w14:paraId="650D843D" w14:textId="77777777" w:rsidR="00FA4AA8" w:rsidRDefault="0015611F">
            <w:pPr>
              <w:pStyle w:val="TableParagraph"/>
              <w:spacing w:line="185" w:lineRule="exact"/>
              <w:ind w:left="130"/>
              <w:rPr>
                <w:b/>
                <w:sz w:val="18"/>
              </w:rPr>
            </w:pPr>
            <w:r>
              <w:rPr>
                <w:b/>
                <w:w w:val="99"/>
                <w:sz w:val="18"/>
              </w:rPr>
              <w:t>1</w:t>
            </w:r>
          </w:p>
        </w:tc>
        <w:tc>
          <w:tcPr>
            <w:tcW w:w="799" w:type="dxa"/>
            <w:tcBorders>
              <w:top w:val="single" w:sz="4" w:space="0" w:color="000000"/>
              <w:bottom w:val="single" w:sz="8" w:space="0" w:color="000000"/>
            </w:tcBorders>
          </w:tcPr>
          <w:p w14:paraId="52970029" w14:textId="77777777" w:rsidR="00FA4AA8" w:rsidRDefault="00FA4AA8">
            <w:pPr>
              <w:pStyle w:val="TableParagraph"/>
              <w:rPr>
                <w:rFonts w:ascii="Times New Roman"/>
                <w:sz w:val="14"/>
              </w:rPr>
            </w:pPr>
          </w:p>
        </w:tc>
        <w:tc>
          <w:tcPr>
            <w:tcW w:w="319" w:type="dxa"/>
            <w:tcBorders>
              <w:top w:val="single" w:sz="4" w:space="0" w:color="000000"/>
              <w:bottom w:val="single" w:sz="8" w:space="0" w:color="000000"/>
            </w:tcBorders>
          </w:tcPr>
          <w:p w14:paraId="05EE033C" w14:textId="77777777" w:rsidR="00FA4AA8" w:rsidRDefault="0015611F">
            <w:pPr>
              <w:pStyle w:val="TableParagraph"/>
              <w:spacing w:line="185" w:lineRule="exact"/>
              <w:ind w:left="129"/>
              <w:rPr>
                <w:sz w:val="18"/>
              </w:rPr>
            </w:pPr>
            <w:r>
              <w:rPr>
                <w:w w:val="99"/>
                <w:sz w:val="18"/>
              </w:rPr>
              <w:t>1</w:t>
            </w:r>
          </w:p>
        </w:tc>
      </w:tr>
    </w:tbl>
    <w:p w14:paraId="45872BEC" w14:textId="77777777" w:rsidR="00FA4AA8" w:rsidRDefault="00FA4AA8">
      <w:pPr>
        <w:pStyle w:val="BodyText"/>
        <w:rPr>
          <w:sz w:val="20"/>
        </w:rPr>
      </w:pPr>
    </w:p>
    <w:p w14:paraId="6DACE16F" w14:textId="77777777" w:rsidR="00FA4AA8" w:rsidRDefault="00FA4AA8">
      <w:pPr>
        <w:pStyle w:val="BodyText"/>
        <w:rPr>
          <w:sz w:val="20"/>
        </w:rPr>
      </w:pPr>
    </w:p>
    <w:p w14:paraId="1C516453" w14:textId="77777777" w:rsidR="00FA4AA8" w:rsidRDefault="00FA4AA8">
      <w:pPr>
        <w:pStyle w:val="BodyText"/>
        <w:rPr>
          <w:sz w:val="20"/>
        </w:rPr>
      </w:pPr>
    </w:p>
    <w:p w14:paraId="79828782" w14:textId="77777777" w:rsidR="00FA4AA8" w:rsidRDefault="00FA4AA8">
      <w:pPr>
        <w:pStyle w:val="BodyText"/>
        <w:rPr>
          <w:sz w:val="20"/>
        </w:rPr>
      </w:pPr>
    </w:p>
    <w:p w14:paraId="1F9591BF" w14:textId="77777777" w:rsidR="00FA4AA8" w:rsidRDefault="00FA4AA8">
      <w:pPr>
        <w:pStyle w:val="BodyText"/>
        <w:rPr>
          <w:sz w:val="20"/>
        </w:rPr>
      </w:pPr>
    </w:p>
    <w:p w14:paraId="48050841" w14:textId="77777777" w:rsidR="00FA4AA8" w:rsidRDefault="00FA4AA8">
      <w:pPr>
        <w:pStyle w:val="BodyText"/>
        <w:rPr>
          <w:sz w:val="20"/>
        </w:rPr>
      </w:pPr>
    </w:p>
    <w:p w14:paraId="041A847A" w14:textId="77777777" w:rsidR="00FA4AA8" w:rsidRDefault="00FA4AA8">
      <w:pPr>
        <w:pStyle w:val="BodyText"/>
        <w:rPr>
          <w:sz w:val="20"/>
        </w:rPr>
      </w:pPr>
    </w:p>
    <w:p w14:paraId="0858EE27" w14:textId="77777777" w:rsidR="00FA4AA8" w:rsidRDefault="00FA4AA8">
      <w:pPr>
        <w:pStyle w:val="BodyText"/>
        <w:rPr>
          <w:sz w:val="20"/>
        </w:rPr>
      </w:pPr>
    </w:p>
    <w:p w14:paraId="56B4F9A0" w14:textId="77777777" w:rsidR="00FA4AA8" w:rsidRDefault="00FA4AA8">
      <w:pPr>
        <w:pStyle w:val="BodyText"/>
        <w:rPr>
          <w:sz w:val="20"/>
        </w:rPr>
      </w:pPr>
    </w:p>
    <w:p w14:paraId="77D95673" w14:textId="77777777" w:rsidR="00FA4AA8" w:rsidRDefault="00FA4AA8">
      <w:pPr>
        <w:pStyle w:val="BodyText"/>
        <w:rPr>
          <w:sz w:val="20"/>
        </w:rPr>
      </w:pPr>
    </w:p>
    <w:p w14:paraId="67D6661F" w14:textId="77777777" w:rsidR="00FA4AA8" w:rsidRDefault="00FA4AA8">
      <w:pPr>
        <w:pStyle w:val="BodyText"/>
        <w:rPr>
          <w:sz w:val="20"/>
        </w:rPr>
      </w:pPr>
    </w:p>
    <w:p w14:paraId="2718A647" w14:textId="77777777" w:rsidR="00FA4AA8" w:rsidRDefault="00FA4AA8">
      <w:pPr>
        <w:pStyle w:val="BodyText"/>
        <w:rPr>
          <w:sz w:val="20"/>
        </w:rPr>
      </w:pPr>
    </w:p>
    <w:p w14:paraId="77AFC4A9" w14:textId="77777777" w:rsidR="00FA4AA8" w:rsidRDefault="00FA4AA8">
      <w:pPr>
        <w:pStyle w:val="BodyText"/>
        <w:rPr>
          <w:sz w:val="20"/>
        </w:rPr>
      </w:pPr>
    </w:p>
    <w:p w14:paraId="2D18838D" w14:textId="77777777" w:rsidR="00FA4AA8" w:rsidRDefault="00FA4AA8">
      <w:pPr>
        <w:pStyle w:val="BodyText"/>
        <w:rPr>
          <w:sz w:val="20"/>
        </w:rPr>
      </w:pPr>
    </w:p>
    <w:p w14:paraId="207B9151" w14:textId="77777777" w:rsidR="00FA4AA8" w:rsidRDefault="00FA4AA8">
      <w:pPr>
        <w:pStyle w:val="BodyText"/>
        <w:rPr>
          <w:sz w:val="20"/>
        </w:rPr>
      </w:pPr>
    </w:p>
    <w:p w14:paraId="3F8282C7" w14:textId="77777777" w:rsidR="00FA4AA8" w:rsidRDefault="00FA4AA8">
      <w:pPr>
        <w:pStyle w:val="BodyText"/>
        <w:rPr>
          <w:sz w:val="20"/>
        </w:rPr>
      </w:pPr>
    </w:p>
    <w:p w14:paraId="0CDFE888" w14:textId="77777777" w:rsidR="00FA4AA8" w:rsidRDefault="00FA4AA8">
      <w:pPr>
        <w:pStyle w:val="BodyText"/>
        <w:rPr>
          <w:sz w:val="20"/>
        </w:rPr>
      </w:pPr>
    </w:p>
    <w:p w14:paraId="04E873E4" w14:textId="77777777" w:rsidR="00FA4AA8" w:rsidRDefault="00FA4AA8">
      <w:pPr>
        <w:pStyle w:val="BodyText"/>
        <w:rPr>
          <w:sz w:val="20"/>
        </w:rPr>
      </w:pPr>
    </w:p>
    <w:p w14:paraId="64B29412" w14:textId="77777777" w:rsidR="00FA4AA8" w:rsidRDefault="00FA4AA8">
      <w:pPr>
        <w:pStyle w:val="BodyText"/>
        <w:rPr>
          <w:sz w:val="20"/>
        </w:rPr>
      </w:pPr>
    </w:p>
    <w:p w14:paraId="31E750C1" w14:textId="77777777" w:rsidR="00FA4AA8" w:rsidRDefault="00FA4AA8">
      <w:pPr>
        <w:pStyle w:val="BodyText"/>
        <w:rPr>
          <w:sz w:val="20"/>
        </w:rPr>
      </w:pPr>
    </w:p>
    <w:p w14:paraId="1211CA44" w14:textId="77777777" w:rsidR="00FA4AA8" w:rsidRDefault="00FA4AA8">
      <w:pPr>
        <w:pStyle w:val="BodyText"/>
        <w:rPr>
          <w:sz w:val="20"/>
        </w:rPr>
      </w:pPr>
    </w:p>
    <w:p w14:paraId="4F89577D" w14:textId="77777777" w:rsidR="00FA4AA8" w:rsidRDefault="00FA4AA8">
      <w:pPr>
        <w:pStyle w:val="BodyText"/>
        <w:rPr>
          <w:sz w:val="20"/>
        </w:rPr>
      </w:pPr>
    </w:p>
    <w:p w14:paraId="62EE2682" w14:textId="77777777" w:rsidR="00FA4AA8" w:rsidRDefault="00FA4AA8">
      <w:pPr>
        <w:pStyle w:val="BodyText"/>
        <w:rPr>
          <w:sz w:val="20"/>
        </w:rPr>
      </w:pPr>
    </w:p>
    <w:p w14:paraId="654829BB" w14:textId="77777777" w:rsidR="00FA4AA8" w:rsidRDefault="00FA4AA8">
      <w:pPr>
        <w:pStyle w:val="BodyText"/>
        <w:rPr>
          <w:sz w:val="20"/>
        </w:rPr>
      </w:pPr>
    </w:p>
    <w:p w14:paraId="1C75E957" w14:textId="77777777" w:rsidR="00FA4AA8" w:rsidRDefault="00FA4AA8">
      <w:pPr>
        <w:pStyle w:val="BodyText"/>
        <w:rPr>
          <w:sz w:val="20"/>
        </w:rPr>
      </w:pPr>
    </w:p>
    <w:p w14:paraId="7285727D" w14:textId="77777777" w:rsidR="00FA4AA8" w:rsidRDefault="00FA4AA8">
      <w:pPr>
        <w:pStyle w:val="BodyText"/>
        <w:rPr>
          <w:sz w:val="20"/>
        </w:rPr>
      </w:pPr>
    </w:p>
    <w:p w14:paraId="048614FB" w14:textId="77777777" w:rsidR="00FA4AA8" w:rsidRDefault="00FA4AA8">
      <w:pPr>
        <w:pStyle w:val="BodyText"/>
        <w:rPr>
          <w:sz w:val="20"/>
        </w:rPr>
      </w:pPr>
    </w:p>
    <w:p w14:paraId="26DFA67E" w14:textId="77777777" w:rsidR="00FA4AA8" w:rsidRDefault="00FA4AA8">
      <w:pPr>
        <w:pStyle w:val="BodyText"/>
        <w:rPr>
          <w:sz w:val="20"/>
        </w:rPr>
      </w:pPr>
    </w:p>
    <w:p w14:paraId="6D030A49" w14:textId="77777777" w:rsidR="00FA4AA8" w:rsidRDefault="00FA4AA8">
      <w:pPr>
        <w:pStyle w:val="BodyText"/>
        <w:rPr>
          <w:sz w:val="20"/>
        </w:rPr>
      </w:pPr>
    </w:p>
    <w:p w14:paraId="28AE7C8B" w14:textId="77777777" w:rsidR="00FA4AA8" w:rsidRDefault="00FA4AA8">
      <w:pPr>
        <w:pStyle w:val="BodyText"/>
        <w:spacing w:before="6"/>
      </w:pPr>
    </w:p>
    <w:p w14:paraId="48ECBB3C" w14:textId="77777777" w:rsidR="00FA4AA8" w:rsidRDefault="0015611F">
      <w:pPr>
        <w:pStyle w:val="BodyText"/>
        <w:spacing w:before="94"/>
        <w:ind w:left="2585" w:right="2343"/>
        <w:jc w:val="center"/>
      </w:pPr>
      <w:r>
        <w:t>The accompanying notes form part of these financial statements.</w:t>
      </w:r>
    </w:p>
    <w:p w14:paraId="3CD7C55D" w14:textId="77777777" w:rsidR="00FA4AA8" w:rsidRDefault="00FA4AA8">
      <w:pPr>
        <w:jc w:val="center"/>
        <w:sectPr w:rsidR="00FA4AA8">
          <w:pgSz w:w="11910" w:h="16840"/>
          <w:pgMar w:top="1540" w:right="860" w:bottom="720" w:left="840" w:header="1017" w:footer="523" w:gutter="0"/>
          <w:cols w:space="720"/>
        </w:sectPr>
      </w:pPr>
    </w:p>
    <w:p w14:paraId="3CBB4F16" w14:textId="77777777" w:rsidR="00FA4AA8" w:rsidRDefault="00FA4AA8">
      <w:pPr>
        <w:pStyle w:val="BodyText"/>
        <w:rPr>
          <w:sz w:val="20"/>
        </w:rPr>
      </w:pPr>
    </w:p>
    <w:p w14:paraId="78D5D1B6" w14:textId="77777777" w:rsidR="00FA4AA8" w:rsidRDefault="00FA4AA8">
      <w:pPr>
        <w:pStyle w:val="BodyText"/>
        <w:spacing w:before="3" w:after="1"/>
        <w:rPr>
          <w:sz w:val="10"/>
        </w:rPr>
      </w:pPr>
    </w:p>
    <w:tbl>
      <w:tblPr>
        <w:tblW w:w="0" w:type="auto"/>
        <w:tblInd w:w="125" w:type="dxa"/>
        <w:tblLayout w:type="fixed"/>
        <w:tblCellMar>
          <w:left w:w="0" w:type="dxa"/>
          <w:right w:w="0" w:type="dxa"/>
        </w:tblCellMar>
        <w:tblLook w:val="01E0" w:firstRow="1" w:lastRow="1" w:firstColumn="1" w:lastColumn="1" w:noHBand="0" w:noVBand="0"/>
      </w:tblPr>
      <w:tblGrid>
        <w:gridCol w:w="6171"/>
        <w:gridCol w:w="1293"/>
        <w:gridCol w:w="967"/>
        <w:gridCol w:w="1413"/>
      </w:tblGrid>
      <w:tr w:rsidR="00FA4AA8" w14:paraId="3E00FC5E" w14:textId="77777777">
        <w:trPr>
          <w:trHeight w:val="344"/>
        </w:trPr>
        <w:tc>
          <w:tcPr>
            <w:tcW w:w="6171" w:type="dxa"/>
          </w:tcPr>
          <w:p w14:paraId="3DDB2156" w14:textId="77777777" w:rsidR="00FA4AA8" w:rsidRDefault="0015611F">
            <w:pPr>
              <w:pStyle w:val="TableParagraph"/>
              <w:spacing w:line="312" w:lineRule="exact"/>
              <w:ind w:left="50"/>
              <w:rPr>
                <w:b/>
                <w:sz w:val="28"/>
              </w:rPr>
            </w:pPr>
            <w:r>
              <w:rPr>
                <w:b/>
                <w:sz w:val="28"/>
              </w:rPr>
              <w:t>Statement of changes in equity</w:t>
            </w:r>
          </w:p>
        </w:tc>
        <w:tc>
          <w:tcPr>
            <w:tcW w:w="3673" w:type="dxa"/>
            <w:gridSpan w:val="3"/>
            <w:vMerge w:val="restart"/>
          </w:tcPr>
          <w:p w14:paraId="1A9AC194" w14:textId="77777777" w:rsidR="00FA4AA8" w:rsidRDefault="00FA4AA8">
            <w:pPr>
              <w:pStyle w:val="TableParagraph"/>
              <w:rPr>
                <w:rFonts w:ascii="Times New Roman"/>
                <w:sz w:val="18"/>
              </w:rPr>
            </w:pPr>
          </w:p>
        </w:tc>
      </w:tr>
      <w:tr w:rsidR="00FA4AA8" w14:paraId="7578CDBD" w14:textId="77777777">
        <w:trPr>
          <w:trHeight w:val="486"/>
        </w:trPr>
        <w:tc>
          <w:tcPr>
            <w:tcW w:w="6171" w:type="dxa"/>
          </w:tcPr>
          <w:p w14:paraId="46DE856E" w14:textId="77777777" w:rsidR="00FA4AA8" w:rsidRDefault="0015611F">
            <w:pPr>
              <w:pStyle w:val="TableParagraph"/>
              <w:spacing w:before="25"/>
              <w:ind w:left="50"/>
              <w:rPr>
                <w:b/>
              </w:rPr>
            </w:pPr>
            <w:r>
              <w:rPr>
                <w:b/>
              </w:rPr>
              <w:t>For the year ended 31 December 2018</w:t>
            </w:r>
          </w:p>
        </w:tc>
        <w:tc>
          <w:tcPr>
            <w:tcW w:w="3673" w:type="dxa"/>
            <w:gridSpan w:val="3"/>
            <w:vMerge/>
            <w:tcBorders>
              <w:top w:val="nil"/>
            </w:tcBorders>
          </w:tcPr>
          <w:p w14:paraId="61B19A49" w14:textId="77777777" w:rsidR="00FA4AA8" w:rsidRDefault="00FA4AA8">
            <w:pPr>
              <w:rPr>
                <w:sz w:val="2"/>
                <w:szCs w:val="2"/>
              </w:rPr>
            </w:pPr>
          </w:p>
        </w:tc>
      </w:tr>
      <w:tr w:rsidR="00FA4AA8" w14:paraId="23EF46DD" w14:textId="77777777">
        <w:trPr>
          <w:trHeight w:val="652"/>
        </w:trPr>
        <w:tc>
          <w:tcPr>
            <w:tcW w:w="6171" w:type="dxa"/>
          </w:tcPr>
          <w:p w14:paraId="3679C917" w14:textId="77777777" w:rsidR="00FA4AA8" w:rsidRDefault="00FA4AA8">
            <w:pPr>
              <w:pStyle w:val="TableParagraph"/>
              <w:rPr>
                <w:rFonts w:ascii="Times New Roman"/>
                <w:sz w:val="18"/>
              </w:rPr>
            </w:pPr>
          </w:p>
        </w:tc>
        <w:tc>
          <w:tcPr>
            <w:tcW w:w="1293" w:type="dxa"/>
          </w:tcPr>
          <w:p w14:paraId="792453E4" w14:textId="77777777" w:rsidR="00FA4AA8" w:rsidRDefault="00FA4AA8">
            <w:pPr>
              <w:pStyle w:val="TableParagraph"/>
              <w:spacing w:before="7"/>
              <w:rPr>
                <w:sz w:val="17"/>
              </w:rPr>
            </w:pPr>
          </w:p>
          <w:p w14:paraId="01B3382F" w14:textId="77777777" w:rsidR="00FA4AA8" w:rsidRDefault="0015611F">
            <w:pPr>
              <w:pStyle w:val="TableParagraph"/>
              <w:ind w:left="347" w:right="153" w:hanging="247"/>
              <w:rPr>
                <w:b/>
                <w:sz w:val="18"/>
              </w:rPr>
            </w:pPr>
            <w:r>
              <w:rPr>
                <w:b/>
                <w:sz w:val="18"/>
              </w:rPr>
              <w:t>Contributed equity</w:t>
            </w:r>
          </w:p>
        </w:tc>
        <w:tc>
          <w:tcPr>
            <w:tcW w:w="967" w:type="dxa"/>
          </w:tcPr>
          <w:p w14:paraId="537F1B58" w14:textId="77777777" w:rsidR="00FA4AA8" w:rsidRDefault="00FA4AA8">
            <w:pPr>
              <w:pStyle w:val="TableParagraph"/>
              <w:spacing w:before="7"/>
              <w:rPr>
                <w:sz w:val="17"/>
              </w:rPr>
            </w:pPr>
          </w:p>
          <w:p w14:paraId="4E48E89F" w14:textId="77777777" w:rsidR="00FA4AA8" w:rsidRDefault="0015611F">
            <w:pPr>
              <w:pStyle w:val="TableParagraph"/>
              <w:ind w:left="156" w:right="20" w:firstLine="5"/>
              <w:rPr>
                <w:b/>
                <w:sz w:val="18"/>
              </w:rPr>
            </w:pPr>
            <w:r>
              <w:rPr>
                <w:b/>
                <w:sz w:val="18"/>
              </w:rPr>
              <w:t>Retained Earnings</w:t>
            </w:r>
          </w:p>
        </w:tc>
        <w:tc>
          <w:tcPr>
            <w:tcW w:w="1413" w:type="dxa"/>
          </w:tcPr>
          <w:p w14:paraId="5E10EA96" w14:textId="77777777" w:rsidR="00FA4AA8" w:rsidRDefault="00FA4AA8">
            <w:pPr>
              <w:pStyle w:val="TableParagraph"/>
              <w:rPr>
                <w:sz w:val="20"/>
              </w:rPr>
            </w:pPr>
          </w:p>
          <w:p w14:paraId="4A0459A1" w14:textId="77777777" w:rsidR="00FA4AA8" w:rsidRDefault="0015611F">
            <w:pPr>
              <w:pStyle w:val="TableParagraph"/>
              <w:spacing w:before="179"/>
              <w:ind w:right="120"/>
              <w:jc w:val="right"/>
              <w:rPr>
                <w:b/>
                <w:sz w:val="18"/>
              </w:rPr>
            </w:pPr>
            <w:r>
              <w:rPr>
                <w:b/>
                <w:sz w:val="18"/>
              </w:rPr>
              <w:t>Total equity</w:t>
            </w:r>
          </w:p>
        </w:tc>
      </w:tr>
      <w:tr w:rsidR="00FA4AA8" w14:paraId="2A1E8D58" w14:textId="77777777">
        <w:trPr>
          <w:trHeight w:val="268"/>
        </w:trPr>
        <w:tc>
          <w:tcPr>
            <w:tcW w:w="6171" w:type="dxa"/>
          </w:tcPr>
          <w:p w14:paraId="2D7E49CE" w14:textId="77777777" w:rsidR="00FA4AA8" w:rsidRDefault="00FA4AA8">
            <w:pPr>
              <w:pStyle w:val="TableParagraph"/>
              <w:rPr>
                <w:rFonts w:ascii="Times New Roman"/>
                <w:sz w:val="18"/>
              </w:rPr>
            </w:pPr>
          </w:p>
        </w:tc>
        <w:tc>
          <w:tcPr>
            <w:tcW w:w="1293" w:type="dxa"/>
            <w:tcBorders>
              <w:bottom w:val="single" w:sz="8" w:space="0" w:color="000000"/>
            </w:tcBorders>
          </w:tcPr>
          <w:p w14:paraId="60E21C2E" w14:textId="77777777" w:rsidR="00FA4AA8" w:rsidRDefault="0015611F">
            <w:pPr>
              <w:pStyle w:val="TableParagraph"/>
              <w:spacing w:before="30"/>
              <w:ind w:right="67"/>
              <w:jc w:val="center"/>
              <w:rPr>
                <w:b/>
                <w:sz w:val="18"/>
              </w:rPr>
            </w:pPr>
            <w:r>
              <w:rPr>
                <w:b/>
                <w:w w:val="99"/>
                <w:sz w:val="18"/>
              </w:rPr>
              <w:t>$</w:t>
            </w:r>
          </w:p>
        </w:tc>
        <w:tc>
          <w:tcPr>
            <w:tcW w:w="967" w:type="dxa"/>
            <w:tcBorders>
              <w:bottom w:val="single" w:sz="8" w:space="0" w:color="000000"/>
            </w:tcBorders>
          </w:tcPr>
          <w:p w14:paraId="5D600154" w14:textId="77777777" w:rsidR="00FA4AA8" w:rsidRDefault="0015611F">
            <w:pPr>
              <w:pStyle w:val="TableParagraph"/>
              <w:spacing w:before="30"/>
              <w:ind w:left="119"/>
              <w:jc w:val="center"/>
              <w:rPr>
                <w:b/>
                <w:sz w:val="18"/>
              </w:rPr>
            </w:pPr>
            <w:r>
              <w:rPr>
                <w:b/>
                <w:w w:val="99"/>
                <w:sz w:val="18"/>
              </w:rPr>
              <w:t>$</w:t>
            </w:r>
          </w:p>
        </w:tc>
        <w:tc>
          <w:tcPr>
            <w:tcW w:w="1413" w:type="dxa"/>
            <w:tcBorders>
              <w:bottom w:val="single" w:sz="8" w:space="0" w:color="000000"/>
            </w:tcBorders>
          </w:tcPr>
          <w:p w14:paraId="471FCD94" w14:textId="77777777" w:rsidR="00FA4AA8" w:rsidRDefault="0015611F">
            <w:pPr>
              <w:pStyle w:val="TableParagraph"/>
              <w:spacing w:before="30"/>
              <w:ind w:left="160"/>
              <w:jc w:val="center"/>
              <w:rPr>
                <w:b/>
                <w:sz w:val="18"/>
              </w:rPr>
            </w:pPr>
            <w:r>
              <w:rPr>
                <w:b/>
                <w:w w:val="99"/>
                <w:sz w:val="18"/>
              </w:rPr>
              <w:t>$</w:t>
            </w:r>
          </w:p>
        </w:tc>
      </w:tr>
      <w:tr w:rsidR="00FA4AA8" w14:paraId="0893B0A4" w14:textId="77777777">
        <w:trPr>
          <w:trHeight w:val="409"/>
        </w:trPr>
        <w:tc>
          <w:tcPr>
            <w:tcW w:w="6171" w:type="dxa"/>
          </w:tcPr>
          <w:p w14:paraId="712135FE" w14:textId="77777777" w:rsidR="00FA4AA8" w:rsidRDefault="0015611F">
            <w:pPr>
              <w:pStyle w:val="TableParagraph"/>
              <w:spacing w:before="34"/>
              <w:ind w:left="77"/>
              <w:rPr>
                <w:b/>
                <w:sz w:val="18"/>
              </w:rPr>
            </w:pPr>
            <w:r>
              <w:rPr>
                <w:b/>
                <w:sz w:val="18"/>
              </w:rPr>
              <w:t>Balance at 1 January 2018</w:t>
            </w:r>
          </w:p>
        </w:tc>
        <w:tc>
          <w:tcPr>
            <w:tcW w:w="1293" w:type="dxa"/>
            <w:tcBorders>
              <w:top w:val="single" w:sz="8" w:space="0" w:color="000000"/>
            </w:tcBorders>
          </w:tcPr>
          <w:p w14:paraId="222146FD" w14:textId="77777777" w:rsidR="00FA4AA8" w:rsidRDefault="0015611F">
            <w:pPr>
              <w:pStyle w:val="TableParagraph"/>
              <w:spacing w:before="39"/>
              <w:ind w:right="155"/>
              <w:jc w:val="right"/>
              <w:rPr>
                <w:b/>
                <w:sz w:val="18"/>
              </w:rPr>
            </w:pPr>
            <w:r>
              <w:rPr>
                <w:b/>
                <w:w w:val="99"/>
                <w:sz w:val="18"/>
              </w:rPr>
              <w:t>1</w:t>
            </w:r>
          </w:p>
        </w:tc>
        <w:tc>
          <w:tcPr>
            <w:tcW w:w="967" w:type="dxa"/>
            <w:tcBorders>
              <w:top w:val="single" w:sz="8" w:space="0" w:color="000000"/>
            </w:tcBorders>
          </w:tcPr>
          <w:p w14:paraId="71AD192C" w14:textId="77777777" w:rsidR="00FA4AA8" w:rsidRDefault="00FA4AA8">
            <w:pPr>
              <w:pStyle w:val="TableParagraph"/>
              <w:rPr>
                <w:rFonts w:ascii="Times New Roman"/>
                <w:sz w:val="18"/>
              </w:rPr>
            </w:pPr>
          </w:p>
        </w:tc>
        <w:tc>
          <w:tcPr>
            <w:tcW w:w="1413" w:type="dxa"/>
            <w:tcBorders>
              <w:top w:val="single" w:sz="8" w:space="0" w:color="000000"/>
            </w:tcBorders>
          </w:tcPr>
          <w:p w14:paraId="18AB8ED8" w14:textId="77777777" w:rsidR="00FA4AA8" w:rsidRDefault="0015611F">
            <w:pPr>
              <w:pStyle w:val="TableParagraph"/>
              <w:tabs>
                <w:tab w:val="left" w:pos="1184"/>
              </w:tabs>
              <w:spacing w:before="39"/>
              <w:ind w:right="87"/>
              <w:jc w:val="right"/>
              <w:rPr>
                <w:b/>
                <w:sz w:val="18"/>
              </w:rPr>
            </w:pPr>
            <w:r>
              <w:rPr>
                <w:b/>
                <w:sz w:val="18"/>
              </w:rPr>
              <w:t>-</w:t>
            </w:r>
            <w:r>
              <w:rPr>
                <w:b/>
                <w:sz w:val="18"/>
              </w:rPr>
              <w:tab/>
            </w:r>
            <w:r>
              <w:rPr>
                <w:b/>
                <w:w w:val="95"/>
                <w:sz w:val="18"/>
              </w:rPr>
              <w:t>1</w:t>
            </w:r>
          </w:p>
        </w:tc>
      </w:tr>
      <w:tr w:rsidR="00FA4AA8" w14:paraId="24367931" w14:textId="77777777">
        <w:trPr>
          <w:trHeight w:val="397"/>
        </w:trPr>
        <w:tc>
          <w:tcPr>
            <w:tcW w:w="6171" w:type="dxa"/>
          </w:tcPr>
          <w:p w14:paraId="24EC3196" w14:textId="77777777" w:rsidR="00FA4AA8" w:rsidRDefault="0015611F">
            <w:pPr>
              <w:pStyle w:val="TableParagraph"/>
              <w:spacing w:before="158"/>
              <w:ind w:left="77"/>
              <w:rPr>
                <w:sz w:val="18"/>
              </w:rPr>
            </w:pPr>
            <w:r>
              <w:rPr>
                <w:sz w:val="18"/>
              </w:rPr>
              <w:t>Other comprehensive income</w:t>
            </w:r>
          </w:p>
        </w:tc>
        <w:tc>
          <w:tcPr>
            <w:tcW w:w="1293" w:type="dxa"/>
          </w:tcPr>
          <w:p w14:paraId="14370F34" w14:textId="77777777" w:rsidR="00FA4AA8" w:rsidRDefault="0015611F">
            <w:pPr>
              <w:pStyle w:val="TableParagraph"/>
              <w:spacing w:before="157"/>
              <w:ind w:right="155"/>
              <w:jc w:val="right"/>
              <w:rPr>
                <w:sz w:val="18"/>
              </w:rPr>
            </w:pPr>
            <w:r>
              <w:rPr>
                <w:w w:val="99"/>
                <w:sz w:val="18"/>
              </w:rPr>
              <w:t>-</w:t>
            </w:r>
          </w:p>
        </w:tc>
        <w:tc>
          <w:tcPr>
            <w:tcW w:w="967" w:type="dxa"/>
          </w:tcPr>
          <w:p w14:paraId="1F4EEADA" w14:textId="77777777" w:rsidR="00FA4AA8" w:rsidRDefault="00FA4AA8">
            <w:pPr>
              <w:pStyle w:val="TableParagraph"/>
              <w:rPr>
                <w:rFonts w:ascii="Times New Roman"/>
                <w:sz w:val="18"/>
              </w:rPr>
            </w:pPr>
          </w:p>
        </w:tc>
        <w:tc>
          <w:tcPr>
            <w:tcW w:w="1413" w:type="dxa"/>
          </w:tcPr>
          <w:p w14:paraId="31946013" w14:textId="77777777" w:rsidR="00FA4AA8" w:rsidRDefault="0015611F">
            <w:pPr>
              <w:pStyle w:val="TableParagraph"/>
              <w:tabs>
                <w:tab w:val="left" w:pos="1223"/>
              </w:tabs>
              <w:spacing w:before="157"/>
              <w:ind w:right="87"/>
              <w:jc w:val="right"/>
              <w:rPr>
                <w:sz w:val="18"/>
              </w:rPr>
            </w:pPr>
            <w:r>
              <w:rPr>
                <w:sz w:val="18"/>
              </w:rPr>
              <w:t>-</w:t>
            </w:r>
            <w:r>
              <w:rPr>
                <w:sz w:val="18"/>
              </w:rPr>
              <w:tab/>
              <w:t>-</w:t>
            </w:r>
          </w:p>
        </w:tc>
      </w:tr>
      <w:tr w:rsidR="00FA4AA8" w14:paraId="029237D0" w14:textId="77777777">
        <w:trPr>
          <w:trHeight w:val="257"/>
        </w:trPr>
        <w:tc>
          <w:tcPr>
            <w:tcW w:w="6171" w:type="dxa"/>
          </w:tcPr>
          <w:p w14:paraId="58D420CB" w14:textId="77777777" w:rsidR="00FA4AA8" w:rsidRDefault="0015611F">
            <w:pPr>
              <w:pStyle w:val="TableParagraph"/>
              <w:spacing w:before="26"/>
              <w:ind w:left="77"/>
              <w:rPr>
                <w:sz w:val="18"/>
              </w:rPr>
            </w:pPr>
            <w:r>
              <w:rPr>
                <w:sz w:val="18"/>
              </w:rPr>
              <w:t>Surplus for the year</w:t>
            </w:r>
          </w:p>
        </w:tc>
        <w:tc>
          <w:tcPr>
            <w:tcW w:w="1293" w:type="dxa"/>
            <w:tcBorders>
              <w:bottom w:val="single" w:sz="2" w:space="0" w:color="000000"/>
            </w:tcBorders>
          </w:tcPr>
          <w:p w14:paraId="5CFAFD56" w14:textId="77777777" w:rsidR="00FA4AA8" w:rsidRDefault="0015611F">
            <w:pPr>
              <w:pStyle w:val="TableParagraph"/>
              <w:spacing w:before="25"/>
              <w:ind w:right="155"/>
              <w:jc w:val="right"/>
              <w:rPr>
                <w:sz w:val="18"/>
              </w:rPr>
            </w:pPr>
            <w:r>
              <w:rPr>
                <w:w w:val="99"/>
                <w:sz w:val="18"/>
              </w:rPr>
              <w:t>-</w:t>
            </w:r>
          </w:p>
        </w:tc>
        <w:tc>
          <w:tcPr>
            <w:tcW w:w="967" w:type="dxa"/>
            <w:tcBorders>
              <w:bottom w:val="single" w:sz="2" w:space="0" w:color="000000"/>
            </w:tcBorders>
          </w:tcPr>
          <w:p w14:paraId="23D5B42B" w14:textId="77777777" w:rsidR="00FA4AA8" w:rsidRDefault="00FA4AA8">
            <w:pPr>
              <w:pStyle w:val="TableParagraph"/>
              <w:rPr>
                <w:rFonts w:ascii="Times New Roman"/>
                <w:sz w:val="18"/>
              </w:rPr>
            </w:pPr>
          </w:p>
        </w:tc>
        <w:tc>
          <w:tcPr>
            <w:tcW w:w="1413" w:type="dxa"/>
            <w:tcBorders>
              <w:bottom w:val="single" w:sz="2" w:space="0" w:color="000000"/>
            </w:tcBorders>
          </w:tcPr>
          <w:p w14:paraId="586DACFC" w14:textId="77777777" w:rsidR="00FA4AA8" w:rsidRDefault="0015611F">
            <w:pPr>
              <w:pStyle w:val="TableParagraph"/>
              <w:tabs>
                <w:tab w:val="left" w:pos="1223"/>
              </w:tabs>
              <w:spacing w:before="25"/>
              <w:ind w:right="87"/>
              <w:jc w:val="right"/>
              <w:rPr>
                <w:sz w:val="18"/>
              </w:rPr>
            </w:pPr>
            <w:r>
              <w:rPr>
                <w:sz w:val="18"/>
              </w:rPr>
              <w:t>-</w:t>
            </w:r>
            <w:r>
              <w:rPr>
                <w:sz w:val="18"/>
              </w:rPr>
              <w:tab/>
              <w:t>-</w:t>
            </w:r>
          </w:p>
        </w:tc>
      </w:tr>
      <w:tr w:rsidR="00FA4AA8" w14:paraId="7E2E21F9" w14:textId="77777777">
        <w:trPr>
          <w:trHeight w:val="525"/>
        </w:trPr>
        <w:tc>
          <w:tcPr>
            <w:tcW w:w="6171" w:type="dxa"/>
          </w:tcPr>
          <w:p w14:paraId="3E73C821" w14:textId="77777777" w:rsidR="00FA4AA8" w:rsidRDefault="0015611F">
            <w:pPr>
              <w:pStyle w:val="TableParagraph"/>
              <w:spacing w:before="29"/>
              <w:ind w:left="77"/>
              <w:rPr>
                <w:b/>
                <w:sz w:val="18"/>
              </w:rPr>
            </w:pPr>
            <w:r>
              <w:rPr>
                <w:b/>
                <w:sz w:val="18"/>
              </w:rPr>
              <w:t>Total comprehensive income for the year</w:t>
            </w:r>
          </w:p>
        </w:tc>
        <w:tc>
          <w:tcPr>
            <w:tcW w:w="1293" w:type="dxa"/>
            <w:tcBorders>
              <w:top w:val="single" w:sz="2" w:space="0" w:color="000000"/>
              <w:bottom w:val="single" w:sz="8" w:space="0" w:color="000000"/>
            </w:tcBorders>
          </w:tcPr>
          <w:p w14:paraId="7AD18236" w14:textId="77777777" w:rsidR="00FA4AA8" w:rsidRDefault="0015611F">
            <w:pPr>
              <w:pStyle w:val="TableParagraph"/>
              <w:spacing w:before="28"/>
              <w:ind w:right="155"/>
              <w:jc w:val="right"/>
              <w:rPr>
                <w:b/>
                <w:sz w:val="18"/>
              </w:rPr>
            </w:pPr>
            <w:r>
              <w:rPr>
                <w:b/>
                <w:w w:val="99"/>
                <w:sz w:val="18"/>
              </w:rPr>
              <w:t>-</w:t>
            </w:r>
          </w:p>
        </w:tc>
        <w:tc>
          <w:tcPr>
            <w:tcW w:w="967" w:type="dxa"/>
            <w:tcBorders>
              <w:top w:val="single" w:sz="2" w:space="0" w:color="000000"/>
              <w:bottom w:val="single" w:sz="8" w:space="0" w:color="000000"/>
            </w:tcBorders>
          </w:tcPr>
          <w:p w14:paraId="527D5BDC" w14:textId="77777777" w:rsidR="00FA4AA8" w:rsidRDefault="00FA4AA8">
            <w:pPr>
              <w:pStyle w:val="TableParagraph"/>
              <w:rPr>
                <w:rFonts w:ascii="Times New Roman"/>
                <w:sz w:val="18"/>
              </w:rPr>
            </w:pPr>
          </w:p>
        </w:tc>
        <w:tc>
          <w:tcPr>
            <w:tcW w:w="1413" w:type="dxa"/>
            <w:tcBorders>
              <w:top w:val="single" w:sz="2" w:space="0" w:color="000000"/>
              <w:bottom w:val="single" w:sz="8" w:space="0" w:color="000000"/>
            </w:tcBorders>
          </w:tcPr>
          <w:p w14:paraId="2E39E5B5" w14:textId="77777777" w:rsidR="00FA4AA8" w:rsidRDefault="0015611F">
            <w:pPr>
              <w:pStyle w:val="TableParagraph"/>
              <w:tabs>
                <w:tab w:val="left" w:pos="1223"/>
              </w:tabs>
              <w:spacing w:before="28"/>
              <w:ind w:right="87"/>
              <w:jc w:val="right"/>
              <w:rPr>
                <w:b/>
                <w:sz w:val="18"/>
              </w:rPr>
            </w:pPr>
            <w:r>
              <w:rPr>
                <w:b/>
                <w:sz w:val="18"/>
              </w:rPr>
              <w:t>-</w:t>
            </w:r>
            <w:r>
              <w:rPr>
                <w:b/>
                <w:sz w:val="18"/>
              </w:rPr>
              <w:tab/>
              <w:t>-</w:t>
            </w:r>
          </w:p>
        </w:tc>
      </w:tr>
      <w:tr w:rsidR="00FA4AA8" w14:paraId="1E0D45B0" w14:textId="77777777">
        <w:trPr>
          <w:trHeight w:val="313"/>
        </w:trPr>
        <w:tc>
          <w:tcPr>
            <w:tcW w:w="6171" w:type="dxa"/>
          </w:tcPr>
          <w:p w14:paraId="4ADA49C3" w14:textId="77777777" w:rsidR="00FA4AA8" w:rsidRDefault="0015611F">
            <w:pPr>
              <w:pStyle w:val="TableParagraph"/>
              <w:spacing w:before="113" w:line="180" w:lineRule="exact"/>
              <w:ind w:left="77"/>
              <w:rPr>
                <w:b/>
                <w:sz w:val="18"/>
              </w:rPr>
            </w:pPr>
            <w:r>
              <w:rPr>
                <w:b/>
                <w:sz w:val="18"/>
              </w:rPr>
              <w:t>Balance at 31 December 2018</w:t>
            </w:r>
          </w:p>
        </w:tc>
        <w:tc>
          <w:tcPr>
            <w:tcW w:w="1293" w:type="dxa"/>
            <w:tcBorders>
              <w:top w:val="single" w:sz="8" w:space="0" w:color="000000"/>
              <w:bottom w:val="double" w:sz="3" w:space="0" w:color="000000"/>
            </w:tcBorders>
          </w:tcPr>
          <w:p w14:paraId="334CA4DE" w14:textId="77777777" w:rsidR="00FA4AA8" w:rsidRDefault="0015611F">
            <w:pPr>
              <w:pStyle w:val="TableParagraph"/>
              <w:spacing w:before="113" w:line="180" w:lineRule="exact"/>
              <w:ind w:right="155"/>
              <w:jc w:val="right"/>
              <w:rPr>
                <w:b/>
                <w:sz w:val="18"/>
              </w:rPr>
            </w:pPr>
            <w:r>
              <w:rPr>
                <w:b/>
                <w:w w:val="99"/>
                <w:sz w:val="18"/>
              </w:rPr>
              <w:t>1</w:t>
            </w:r>
          </w:p>
        </w:tc>
        <w:tc>
          <w:tcPr>
            <w:tcW w:w="967" w:type="dxa"/>
            <w:tcBorders>
              <w:top w:val="single" w:sz="8" w:space="0" w:color="000000"/>
              <w:bottom w:val="double" w:sz="3" w:space="0" w:color="000000"/>
            </w:tcBorders>
          </w:tcPr>
          <w:p w14:paraId="1E5DA920" w14:textId="77777777" w:rsidR="00FA4AA8" w:rsidRDefault="00FA4AA8">
            <w:pPr>
              <w:pStyle w:val="TableParagraph"/>
              <w:rPr>
                <w:rFonts w:ascii="Times New Roman"/>
                <w:sz w:val="18"/>
              </w:rPr>
            </w:pPr>
          </w:p>
        </w:tc>
        <w:tc>
          <w:tcPr>
            <w:tcW w:w="1413" w:type="dxa"/>
            <w:tcBorders>
              <w:top w:val="single" w:sz="8" w:space="0" w:color="000000"/>
              <w:bottom w:val="double" w:sz="3" w:space="0" w:color="000000"/>
            </w:tcBorders>
          </w:tcPr>
          <w:p w14:paraId="0A2DE740" w14:textId="77777777" w:rsidR="00FA4AA8" w:rsidRDefault="0015611F">
            <w:pPr>
              <w:pStyle w:val="TableParagraph"/>
              <w:tabs>
                <w:tab w:val="left" w:pos="1184"/>
              </w:tabs>
              <w:spacing w:before="113" w:line="180" w:lineRule="exact"/>
              <w:ind w:right="87"/>
              <w:jc w:val="right"/>
              <w:rPr>
                <w:b/>
                <w:sz w:val="18"/>
              </w:rPr>
            </w:pPr>
            <w:r>
              <w:rPr>
                <w:b/>
                <w:sz w:val="18"/>
              </w:rPr>
              <w:t>-</w:t>
            </w:r>
            <w:r>
              <w:rPr>
                <w:b/>
                <w:sz w:val="18"/>
              </w:rPr>
              <w:tab/>
            </w:r>
            <w:r>
              <w:rPr>
                <w:b/>
                <w:w w:val="95"/>
                <w:sz w:val="18"/>
              </w:rPr>
              <w:t>1</w:t>
            </w:r>
          </w:p>
        </w:tc>
      </w:tr>
    </w:tbl>
    <w:p w14:paraId="7E3736B1" w14:textId="77777777" w:rsidR="00FA4AA8" w:rsidRDefault="00FA4AA8">
      <w:pPr>
        <w:pStyle w:val="BodyText"/>
        <w:rPr>
          <w:sz w:val="20"/>
        </w:rPr>
      </w:pPr>
    </w:p>
    <w:p w14:paraId="273A28A0" w14:textId="77777777" w:rsidR="00FA4AA8" w:rsidRDefault="00FA4AA8">
      <w:pPr>
        <w:pStyle w:val="BodyText"/>
        <w:rPr>
          <w:sz w:val="20"/>
        </w:rPr>
      </w:pPr>
    </w:p>
    <w:p w14:paraId="7D355392" w14:textId="77777777" w:rsidR="00FA4AA8" w:rsidRDefault="00FA4AA8">
      <w:pPr>
        <w:pStyle w:val="BodyText"/>
        <w:rPr>
          <w:sz w:val="20"/>
        </w:rPr>
      </w:pPr>
    </w:p>
    <w:p w14:paraId="01D3F2E4" w14:textId="77777777" w:rsidR="00FA4AA8" w:rsidRDefault="00FA4AA8">
      <w:pPr>
        <w:pStyle w:val="BodyText"/>
        <w:spacing w:before="3"/>
        <w:rPr>
          <w:sz w:val="21"/>
        </w:rPr>
      </w:pPr>
    </w:p>
    <w:tbl>
      <w:tblPr>
        <w:tblW w:w="0" w:type="auto"/>
        <w:tblInd w:w="153" w:type="dxa"/>
        <w:tblLayout w:type="fixed"/>
        <w:tblCellMar>
          <w:left w:w="0" w:type="dxa"/>
          <w:right w:w="0" w:type="dxa"/>
        </w:tblCellMar>
        <w:tblLook w:val="01E0" w:firstRow="1" w:lastRow="1" w:firstColumn="1" w:lastColumn="1" w:noHBand="0" w:noVBand="0"/>
      </w:tblPr>
      <w:tblGrid>
        <w:gridCol w:w="6144"/>
        <w:gridCol w:w="1293"/>
        <w:gridCol w:w="967"/>
        <w:gridCol w:w="1413"/>
      </w:tblGrid>
      <w:tr w:rsidR="00FA4AA8" w14:paraId="4FA6FE57" w14:textId="77777777">
        <w:trPr>
          <w:trHeight w:val="443"/>
        </w:trPr>
        <w:tc>
          <w:tcPr>
            <w:tcW w:w="6144" w:type="dxa"/>
            <w:vMerge w:val="restart"/>
          </w:tcPr>
          <w:p w14:paraId="3B19C934" w14:textId="77777777" w:rsidR="00FA4AA8" w:rsidRDefault="00FA4AA8">
            <w:pPr>
              <w:pStyle w:val="TableParagraph"/>
              <w:rPr>
                <w:rFonts w:ascii="Times New Roman"/>
                <w:sz w:val="18"/>
              </w:rPr>
            </w:pPr>
          </w:p>
        </w:tc>
        <w:tc>
          <w:tcPr>
            <w:tcW w:w="1293" w:type="dxa"/>
          </w:tcPr>
          <w:p w14:paraId="6748A875" w14:textId="77777777" w:rsidR="00FA4AA8" w:rsidRDefault="0015611F">
            <w:pPr>
              <w:pStyle w:val="TableParagraph"/>
              <w:ind w:left="346" w:right="154" w:hanging="247"/>
              <w:rPr>
                <w:b/>
                <w:sz w:val="18"/>
              </w:rPr>
            </w:pPr>
            <w:r>
              <w:rPr>
                <w:b/>
                <w:sz w:val="18"/>
              </w:rPr>
              <w:t>Contributed equity</w:t>
            </w:r>
          </w:p>
        </w:tc>
        <w:tc>
          <w:tcPr>
            <w:tcW w:w="967" w:type="dxa"/>
          </w:tcPr>
          <w:p w14:paraId="697375CE" w14:textId="77777777" w:rsidR="00FA4AA8" w:rsidRDefault="0015611F">
            <w:pPr>
              <w:pStyle w:val="TableParagraph"/>
              <w:ind w:left="156" w:right="20" w:firstLine="5"/>
              <w:rPr>
                <w:b/>
                <w:sz w:val="18"/>
              </w:rPr>
            </w:pPr>
            <w:r>
              <w:rPr>
                <w:b/>
                <w:sz w:val="18"/>
              </w:rPr>
              <w:t>Retained Earnings</w:t>
            </w:r>
          </w:p>
        </w:tc>
        <w:tc>
          <w:tcPr>
            <w:tcW w:w="1413" w:type="dxa"/>
          </w:tcPr>
          <w:p w14:paraId="0D7B4FDB" w14:textId="77777777" w:rsidR="00FA4AA8" w:rsidRDefault="00FA4AA8">
            <w:pPr>
              <w:pStyle w:val="TableParagraph"/>
              <w:spacing w:before="5"/>
              <w:rPr>
                <w:sz w:val="17"/>
              </w:rPr>
            </w:pPr>
          </w:p>
          <w:p w14:paraId="4EB34D3D" w14:textId="77777777" w:rsidR="00FA4AA8" w:rsidRDefault="0015611F">
            <w:pPr>
              <w:pStyle w:val="TableParagraph"/>
              <w:ind w:right="120"/>
              <w:jc w:val="right"/>
              <w:rPr>
                <w:b/>
                <w:sz w:val="18"/>
              </w:rPr>
            </w:pPr>
            <w:r>
              <w:rPr>
                <w:b/>
                <w:sz w:val="18"/>
              </w:rPr>
              <w:t>Total equity</w:t>
            </w:r>
          </w:p>
        </w:tc>
      </w:tr>
      <w:tr w:rsidR="00FA4AA8" w14:paraId="51783CD6" w14:textId="77777777">
        <w:trPr>
          <w:trHeight w:val="268"/>
        </w:trPr>
        <w:tc>
          <w:tcPr>
            <w:tcW w:w="6144" w:type="dxa"/>
            <w:vMerge/>
            <w:tcBorders>
              <w:top w:val="nil"/>
            </w:tcBorders>
          </w:tcPr>
          <w:p w14:paraId="54783FFF" w14:textId="77777777" w:rsidR="00FA4AA8" w:rsidRDefault="00FA4AA8">
            <w:pPr>
              <w:rPr>
                <w:sz w:val="2"/>
                <w:szCs w:val="2"/>
              </w:rPr>
            </w:pPr>
          </w:p>
        </w:tc>
        <w:tc>
          <w:tcPr>
            <w:tcW w:w="1293" w:type="dxa"/>
            <w:tcBorders>
              <w:bottom w:val="single" w:sz="8" w:space="0" w:color="000000"/>
            </w:tcBorders>
          </w:tcPr>
          <w:p w14:paraId="243C0529" w14:textId="77777777" w:rsidR="00FA4AA8" w:rsidRDefault="0015611F">
            <w:pPr>
              <w:pStyle w:val="TableParagraph"/>
              <w:spacing w:before="30"/>
              <w:ind w:right="68"/>
              <w:jc w:val="center"/>
              <w:rPr>
                <w:b/>
                <w:sz w:val="18"/>
              </w:rPr>
            </w:pPr>
            <w:r>
              <w:rPr>
                <w:b/>
                <w:w w:val="99"/>
                <w:sz w:val="18"/>
              </w:rPr>
              <w:t>$</w:t>
            </w:r>
          </w:p>
        </w:tc>
        <w:tc>
          <w:tcPr>
            <w:tcW w:w="967" w:type="dxa"/>
            <w:tcBorders>
              <w:bottom w:val="single" w:sz="8" w:space="0" w:color="000000"/>
            </w:tcBorders>
          </w:tcPr>
          <w:p w14:paraId="2D9EC279" w14:textId="77777777" w:rsidR="00FA4AA8" w:rsidRDefault="0015611F">
            <w:pPr>
              <w:pStyle w:val="TableParagraph"/>
              <w:spacing w:before="30"/>
              <w:ind w:left="117"/>
              <w:jc w:val="center"/>
              <w:rPr>
                <w:b/>
                <w:sz w:val="18"/>
              </w:rPr>
            </w:pPr>
            <w:r>
              <w:rPr>
                <w:b/>
                <w:w w:val="99"/>
                <w:sz w:val="18"/>
              </w:rPr>
              <w:t>$</w:t>
            </w:r>
          </w:p>
        </w:tc>
        <w:tc>
          <w:tcPr>
            <w:tcW w:w="1413" w:type="dxa"/>
            <w:tcBorders>
              <w:bottom w:val="single" w:sz="8" w:space="0" w:color="000000"/>
            </w:tcBorders>
          </w:tcPr>
          <w:p w14:paraId="3E9767DC" w14:textId="77777777" w:rsidR="00FA4AA8" w:rsidRDefault="0015611F">
            <w:pPr>
              <w:pStyle w:val="TableParagraph"/>
              <w:spacing w:before="30"/>
              <w:ind w:left="159"/>
              <w:jc w:val="center"/>
              <w:rPr>
                <w:b/>
                <w:sz w:val="18"/>
              </w:rPr>
            </w:pPr>
            <w:r>
              <w:rPr>
                <w:b/>
                <w:w w:val="99"/>
                <w:sz w:val="18"/>
              </w:rPr>
              <w:t>$</w:t>
            </w:r>
          </w:p>
        </w:tc>
      </w:tr>
      <w:tr w:rsidR="00FA4AA8" w14:paraId="2E3BAC71" w14:textId="77777777">
        <w:trPr>
          <w:trHeight w:val="409"/>
        </w:trPr>
        <w:tc>
          <w:tcPr>
            <w:tcW w:w="6144" w:type="dxa"/>
          </w:tcPr>
          <w:p w14:paraId="0CC2B663" w14:textId="77777777" w:rsidR="00FA4AA8" w:rsidRDefault="0015611F">
            <w:pPr>
              <w:pStyle w:val="TableParagraph"/>
              <w:spacing w:before="34"/>
              <w:ind w:left="50"/>
              <w:rPr>
                <w:b/>
                <w:sz w:val="18"/>
              </w:rPr>
            </w:pPr>
            <w:r>
              <w:rPr>
                <w:b/>
                <w:sz w:val="18"/>
              </w:rPr>
              <w:t>Balance at 1 January 2017</w:t>
            </w:r>
          </w:p>
        </w:tc>
        <w:tc>
          <w:tcPr>
            <w:tcW w:w="1293" w:type="dxa"/>
            <w:tcBorders>
              <w:top w:val="single" w:sz="8" w:space="0" w:color="000000"/>
            </w:tcBorders>
          </w:tcPr>
          <w:p w14:paraId="24DBA2DF" w14:textId="77777777" w:rsidR="00FA4AA8" w:rsidRDefault="0015611F">
            <w:pPr>
              <w:pStyle w:val="TableParagraph"/>
              <w:spacing w:before="39"/>
              <w:ind w:right="155"/>
              <w:jc w:val="right"/>
              <w:rPr>
                <w:sz w:val="18"/>
              </w:rPr>
            </w:pPr>
            <w:r>
              <w:rPr>
                <w:w w:val="99"/>
                <w:sz w:val="18"/>
              </w:rPr>
              <w:t>1</w:t>
            </w:r>
          </w:p>
        </w:tc>
        <w:tc>
          <w:tcPr>
            <w:tcW w:w="967" w:type="dxa"/>
            <w:tcBorders>
              <w:top w:val="single" w:sz="8" w:space="0" w:color="000000"/>
            </w:tcBorders>
          </w:tcPr>
          <w:p w14:paraId="1904139D" w14:textId="77777777" w:rsidR="00FA4AA8" w:rsidRDefault="00FA4AA8">
            <w:pPr>
              <w:pStyle w:val="TableParagraph"/>
              <w:rPr>
                <w:rFonts w:ascii="Times New Roman"/>
                <w:sz w:val="18"/>
              </w:rPr>
            </w:pPr>
          </w:p>
        </w:tc>
        <w:tc>
          <w:tcPr>
            <w:tcW w:w="1413" w:type="dxa"/>
            <w:tcBorders>
              <w:top w:val="single" w:sz="8" w:space="0" w:color="000000"/>
            </w:tcBorders>
          </w:tcPr>
          <w:p w14:paraId="4C713644" w14:textId="77777777" w:rsidR="00FA4AA8" w:rsidRDefault="0015611F">
            <w:pPr>
              <w:pStyle w:val="TableParagraph"/>
              <w:tabs>
                <w:tab w:val="left" w:pos="1184"/>
              </w:tabs>
              <w:spacing w:before="39"/>
              <w:ind w:right="87"/>
              <w:jc w:val="right"/>
              <w:rPr>
                <w:sz w:val="18"/>
              </w:rPr>
            </w:pPr>
            <w:r>
              <w:rPr>
                <w:sz w:val="18"/>
              </w:rPr>
              <w:t>-</w:t>
            </w:r>
            <w:r>
              <w:rPr>
                <w:sz w:val="18"/>
              </w:rPr>
              <w:tab/>
            </w:r>
            <w:r>
              <w:rPr>
                <w:w w:val="95"/>
                <w:sz w:val="18"/>
              </w:rPr>
              <w:t>1</w:t>
            </w:r>
          </w:p>
        </w:tc>
      </w:tr>
      <w:tr w:rsidR="00FA4AA8" w14:paraId="43CD6FB3" w14:textId="77777777">
        <w:trPr>
          <w:trHeight w:val="655"/>
        </w:trPr>
        <w:tc>
          <w:tcPr>
            <w:tcW w:w="6144" w:type="dxa"/>
          </w:tcPr>
          <w:p w14:paraId="42532771" w14:textId="77777777" w:rsidR="00FA4AA8" w:rsidRDefault="0015611F">
            <w:pPr>
              <w:pStyle w:val="TableParagraph"/>
              <w:spacing w:before="105" w:line="260" w:lineRule="atLeast"/>
              <w:ind w:left="50" w:right="3722"/>
              <w:rPr>
                <w:sz w:val="18"/>
              </w:rPr>
            </w:pPr>
            <w:r>
              <w:rPr>
                <w:sz w:val="18"/>
              </w:rPr>
              <w:t>Other comprehensive income Surplus for the year</w:t>
            </w:r>
          </w:p>
        </w:tc>
        <w:tc>
          <w:tcPr>
            <w:tcW w:w="1293" w:type="dxa"/>
            <w:tcBorders>
              <w:bottom w:val="single" w:sz="2" w:space="0" w:color="000000"/>
            </w:tcBorders>
          </w:tcPr>
          <w:p w14:paraId="0B1D0354" w14:textId="77777777" w:rsidR="00FA4AA8" w:rsidRDefault="0015611F">
            <w:pPr>
              <w:pStyle w:val="TableParagraph"/>
              <w:spacing w:before="157"/>
              <w:ind w:right="156"/>
              <w:jc w:val="right"/>
              <w:rPr>
                <w:sz w:val="18"/>
              </w:rPr>
            </w:pPr>
            <w:r>
              <w:rPr>
                <w:w w:val="99"/>
                <w:sz w:val="18"/>
              </w:rPr>
              <w:t>-</w:t>
            </w:r>
          </w:p>
          <w:p w14:paraId="731568DB" w14:textId="77777777" w:rsidR="00FA4AA8" w:rsidRDefault="0015611F">
            <w:pPr>
              <w:pStyle w:val="TableParagraph"/>
              <w:spacing w:before="59"/>
              <w:ind w:right="156"/>
              <w:jc w:val="right"/>
              <w:rPr>
                <w:sz w:val="18"/>
              </w:rPr>
            </w:pPr>
            <w:r>
              <w:rPr>
                <w:w w:val="99"/>
                <w:sz w:val="18"/>
              </w:rPr>
              <w:t>-</w:t>
            </w:r>
          </w:p>
        </w:tc>
        <w:tc>
          <w:tcPr>
            <w:tcW w:w="967" w:type="dxa"/>
            <w:tcBorders>
              <w:bottom w:val="single" w:sz="2" w:space="0" w:color="000000"/>
            </w:tcBorders>
          </w:tcPr>
          <w:p w14:paraId="1764945E" w14:textId="77777777" w:rsidR="00FA4AA8" w:rsidRDefault="00FA4AA8">
            <w:pPr>
              <w:pStyle w:val="TableParagraph"/>
              <w:rPr>
                <w:rFonts w:ascii="Times New Roman"/>
                <w:sz w:val="18"/>
              </w:rPr>
            </w:pPr>
          </w:p>
        </w:tc>
        <w:tc>
          <w:tcPr>
            <w:tcW w:w="1413" w:type="dxa"/>
            <w:tcBorders>
              <w:bottom w:val="single" w:sz="2" w:space="0" w:color="000000"/>
            </w:tcBorders>
          </w:tcPr>
          <w:p w14:paraId="089CA8E7" w14:textId="77777777" w:rsidR="00FA4AA8" w:rsidRDefault="0015611F">
            <w:pPr>
              <w:pStyle w:val="TableParagraph"/>
              <w:tabs>
                <w:tab w:val="left" w:pos="1262"/>
              </w:tabs>
              <w:spacing w:before="157"/>
              <w:ind w:left="38"/>
              <w:rPr>
                <w:sz w:val="18"/>
              </w:rPr>
            </w:pPr>
            <w:r>
              <w:rPr>
                <w:sz w:val="18"/>
              </w:rPr>
              <w:t>-</w:t>
            </w:r>
            <w:r>
              <w:rPr>
                <w:sz w:val="18"/>
              </w:rPr>
              <w:tab/>
              <w:t>-</w:t>
            </w:r>
          </w:p>
          <w:p w14:paraId="7D0855B8" w14:textId="77777777" w:rsidR="00FA4AA8" w:rsidRDefault="0015611F">
            <w:pPr>
              <w:pStyle w:val="TableParagraph"/>
              <w:tabs>
                <w:tab w:val="left" w:pos="1262"/>
              </w:tabs>
              <w:spacing w:before="59"/>
              <w:ind w:left="38"/>
              <w:rPr>
                <w:sz w:val="18"/>
              </w:rPr>
            </w:pPr>
            <w:r>
              <w:rPr>
                <w:sz w:val="18"/>
              </w:rPr>
              <w:t>-</w:t>
            </w:r>
            <w:r>
              <w:rPr>
                <w:sz w:val="18"/>
              </w:rPr>
              <w:tab/>
              <w:t>-</w:t>
            </w:r>
          </w:p>
        </w:tc>
      </w:tr>
      <w:tr w:rsidR="00FA4AA8" w14:paraId="0F66E2EA" w14:textId="77777777">
        <w:trPr>
          <w:trHeight w:val="525"/>
        </w:trPr>
        <w:tc>
          <w:tcPr>
            <w:tcW w:w="6144" w:type="dxa"/>
          </w:tcPr>
          <w:p w14:paraId="3B43099C" w14:textId="77777777" w:rsidR="00FA4AA8" w:rsidRDefault="0015611F">
            <w:pPr>
              <w:pStyle w:val="TableParagraph"/>
              <w:spacing w:before="29"/>
              <w:ind w:left="50"/>
              <w:rPr>
                <w:b/>
                <w:sz w:val="18"/>
              </w:rPr>
            </w:pPr>
            <w:r>
              <w:rPr>
                <w:b/>
                <w:sz w:val="18"/>
              </w:rPr>
              <w:t>Total comprehensive income for the year</w:t>
            </w:r>
          </w:p>
        </w:tc>
        <w:tc>
          <w:tcPr>
            <w:tcW w:w="1293" w:type="dxa"/>
            <w:tcBorders>
              <w:top w:val="single" w:sz="2" w:space="0" w:color="000000"/>
              <w:bottom w:val="single" w:sz="8" w:space="0" w:color="000000"/>
            </w:tcBorders>
          </w:tcPr>
          <w:p w14:paraId="15D46883" w14:textId="77777777" w:rsidR="00FA4AA8" w:rsidRDefault="0015611F">
            <w:pPr>
              <w:pStyle w:val="TableParagraph"/>
              <w:spacing w:before="28"/>
              <w:ind w:right="156"/>
              <w:jc w:val="right"/>
              <w:rPr>
                <w:sz w:val="18"/>
              </w:rPr>
            </w:pPr>
            <w:r>
              <w:rPr>
                <w:w w:val="99"/>
                <w:sz w:val="18"/>
              </w:rPr>
              <w:t>-</w:t>
            </w:r>
          </w:p>
        </w:tc>
        <w:tc>
          <w:tcPr>
            <w:tcW w:w="967" w:type="dxa"/>
            <w:tcBorders>
              <w:top w:val="single" w:sz="2" w:space="0" w:color="000000"/>
              <w:bottom w:val="single" w:sz="8" w:space="0" w:color="000000"/>
            </w:tcBorders>
          </w:tcPr>
          <w:p w14:paraId="10BA1DF8" w14:textId="77777777" w:rsidR="00FA4AA8" w:rsidRDefault="00FA4AA8">
            <w:pPr>
              <w:pStyle w:val="TableParagraph"/>
              <w:rPr>
                <w:rFonts w:ascii="Times New Roman"/>
                <w:sz w:val="18"/>
              </w:rPr>
            </w:pPr>
          </w:p>
        </w:tc>
        <w:tc>
          <w:tcPr>
            <w:tcW w:w="1413" w:type="dxa"/>
            <w:tcBorders>
              <w:top w:val="single" w:sz="2" w:space="0" w:color="000000"/>
              <w:bottom w:val="single" w:sz="8" w:space="0" w:color="000000"/>
            </w:tcBorders>
          </w:tcPr>
          <w:p w14:paraId="4F1C654C" w14:textId="77777777" w:rsidR="00FA4AA8" w:rsidRDefault="0015611F">
            <w:pPr>
              <w:pStyle w:val="TableParagraph"/>
              <w:tabs>
                <w:tab w:val="left" w:pos="1223"/>
              </w:tabs>
              <w:spacing w:before="28"/>
              <w:ind w:right="88"/>
              <w:jc w:val="right"/>
              <w:rPr>
                <w:sz w:val="18"/>
              </w:rPr>
            </w:pPr>
            <w:r>
              <w:rPr>
                <w:sz w:val="18"/>
              </w:rPr>
              <w:t>-</w:t>
            </w:r>
            <w:r>
              <w:rPr>
                <w:sz w:val="18"/>
              </w:rPr>
              <w:tab/>
              <w:t>-</w:t>
            </w:r>
          </w:p>
        </w:tc>
      </w:tr>
      <w:tr w:rsidR="00FA4AA8" w14:paraId="5CAF53EB" w14:textId="77777777">
        <w:trPr>
          <w:trHeight w:val="313"/>
        </w:trPr>
        <w:tc>
          <w:tcPr>
            <w:tcW w:w="6144" w:type="dxa"/>
          </w:tcPr>
          <w:p w14:paraId="791BD75D" w14:textId="77777777" w:rsidR="00FA4AA8" w:rsidRDefault="0015611F">
            <w:pPr>
              <w:pStyle w:val="TableParagraph"/>
              <w:spacing w:before="113" w:line="180" w:lineRule="exact"/>
              <w:ind w:left="50"/>
              <w:rPr>
                <w:b/>
                <w:sz w:val="18"/>
              </w:rPr>
            </w:pPr>
            <w:r>
              <w:rPr>
                <w:b/>
                <w:sz w:val="18"/>
              </w:rPr>
              <w:t>Balance at 31 December 2017</w:t>
            </w:r>
          </w:p>
        </w:tc>
        <w:tc>
          <w:tcPr>
            <w:tcW w:w="1293" w:type="dxa"/>
            <w:tcBorders>
              <w:top w:val="single" w:sz="8" w:space="0" w:color="000000"/>
              <w:bottom w:val="double" w:sz="3" w:space="0" w:color="000000"/>
            </w:tcBorders>
          </w:tcPr>
          <w:p w14:paraId="3C21F901" w14:textId="77777777" w:rsidR="00FA4AA8" w:rsidRDefault="0015611F">
            <w:pPr>
              <w:pStyle w:val="TableParagraph"/>
              <w:spacing w:before="113" w:line="180" w:lineRule="exact"/>
              <w:ind w:right="155"/>
              <w:jc w:val="right"/>
              <w:rPr>
                <w:sz w:val="18"/>
              </w:rPr>
            </w:pPr>
            <w:r>
              <w:rPr>
                <w:w w:val="99"/>
                <w:sz w:val="18"/>
              </w:rPr>
              <w:t>1</w:t>
            </w:r>
          </w:p>
        </w:tc>
        <w:tc>
          <w:tcPr>
            <w:tcW w:w="967" w:type="dxa"/>
            <w:tcBorders>
              <w:top w:val="single" w:sz="8" w:space="0" w:color="000000"/>
              <w:bottom w:val="double" w:sz="3" w:space="0" w:color="000000"/>
            </w:tcBorders>
          </w:tcPr>
          <w:p w14:paraId="7E5A7CB1" w14:textId="77777777" w:rsidR="00FA4AA8" w:rsidRDefault="00FA4AA8">
            <w:pPr>
              <w:pStyle w:val="TableParagraph"/>
              <w:rPr>
                <w:rFonts w:ascii="Times New Roman"/>
                <w:sz w:val="18"/>
              </w:rPr>
            </w:pPr>
          </w:p>
        </w:tc>
        <w:tc>
          <w:tcPr>
            <w:tcW w:w="1413" w:type="dxa"/>
            <w:tcBorders>
              <w:top w:val="single" w:sz="8" w:space="0" w:color="000000"/>
              <w:bottom w:val="double" w:sz="3" w:space="0" w:color="000000"/>
            </w:tcBorders>
          </w:tcPr>
          <w:p w14:paraId="706E90A1" w14:textId="77777777" w:rsidR="00FA4AA8" w:rsidRDefault="0015611F">
            <w:pPr>
              <w:pStyle w:val="TableParagraph"/>
              <w:tabs>
                <w:tab w:val="left" w:pos="1184"/>
              </w:tabs>
              <w:spacing w:before="113" w:line="180" w:lineRule="exact"/>
              <w:ind w:right="87"/>
              <w:jc w:val="right"/>
              <w:rPr>
                <w:sz w:val="18"/>
              </w:rPr>
            </w:pPr>
            <w:r>
              <w:rPr>
                <w:sz w:val="18"/>
              </w:rPr>
              <w:t>-</w:t>
            </w:r>
            <w:r>
              <w:rPr>
                <w:sz w:val="18"/>
              </w:rPr>
              <w:tab/>
            </w:r>
            <w:r>
              <w:rPr>
                <w:w w:val="95"/>
                <w:sz w:val="18"/>
              </w:rPr>
              <w:t>1</w:t>
            </w:r>
          </w:p>
        </w:tc>
      </w:tr>
    </w:tbl>
    <w:p w14:paraId="4D3339B5" w14:textId="77777777" w:rsidR="00FA4AA8" w:rsidRDefault="00FA4AA8">
      <w:pPr>
        <w:pStyle w:val="BodyText"/>
        <w:rPr>
          <w:sz w:val="20"/>
        </w:rPr>
      </w:pPr>
    </w:p>
    <w:p w14:paraId="4139BEB4" w14:textId="77777777" w:rsidR="00FA4AA8" w:rsidRDefault="00FA4AA8">
      <w:pPr>
        <w:pStyle w:val="BodyText"/>
        <w:rPr>
          <w:sz w:val="20"/>
        </w:rPr>
      </w:pPr>
    </w:p>
    <w:p w14:paraId="5F55D315" w14:textId="77777777" w:rsidR="00FA4AA8" w:rsidRDefault="00FA4AA8">
      <w:pPr>
        <w:pStyle w:val="BodyText"/>
        <w:rPr>
          <w:sz w:val="20"/>
        </w:rPr>
      </w:pPr>
    </w:p>
    <w:p w14:paraId="7A8FC8B5" w14:textId="77777777" w:rsidR="00FA4AA8" w:rsidRDefault="00FA4AA8">
      <w:pPr>
        <w:pStyle w:val="BodyText"/>
        <w:rPr>
          <w:sz w:val="20"/>
        </w:rPr>
      </w:pPr>
    </w:p>
    <w:p w14:paraId="7913C029" w14:textId="77777777" w:rsidR="00FA4AA8" w:rsidRDefault="00FA4AA8">
      <w:pPr>
        <w:pStyle w:val="BodyText"/>
        <w:rPr>
          <w:sz w:val="20"/>
        </w:rPr>
      </w:pPr>
    </w:p>
    <w:p w14:paraId="05BFE134" w14:textId="77777777" w:rsidR="00FA4AA8" w:rsidRDefault="00FA4AA8">
      <w:pPr>
        <w:pStyle w:val="BodyText"/>
        <w:rPr>
          <w:sz w:val="20"/>
        </w:rPr>
      </w:pPr>
    </w:p>
    <w:p w14:paraId="2D2F488E" w14:textId="77777777" w:rsidR="00FA4AA8" w:rsidRDefault="00FA4AA8">
      <w:pPr>
        <w:pStyle w:val="BodyText"/>
        <w:rPr>
          <w:sz w:val="20"/>
        </w:rPr>
      </w:pPr>
    </w:p>
    <w:p w14:paraId="09FF4010" w14:textId="77777777" w:rsidR="00FA4AA8" w:rsidRDefault="00FA4AA8">
      <w:pPr>
        <w:pStyle w:val="BodyText"/>
        <w:rPr>
          <w:sz w:val="20"/>
        </w:rPr>
      </w:pPr>
    </w:p>
    <w:p w14:paraId="20495C70" w14:textId="77777777" w:rsidR="00FA4AA8" w:rsidRDefault="00FA4AA8">
      <w:pPr>
        <w:pStyle w:val="BodyText"/>
        <w:rPr>
          <w:sz w:val="20"/>
        </w:rPr>
      </w:pPr>
    </w:p>
    <w:p w14:paraId="396BF820" w14:textId="77777777" w:rsidR="00FA4AA8" w:rsidRDefault="00FA4AA8">
      <w:pPr>
        <w:pStyle w:val="BodyText"/>
        <w:rPr>
          <w:sz w:val="20"/>
        </w:rPr>
      </w:pPr>
    </w:p>
    <w:p w14:paraId="7E1AA961" w14:textId="77777777" w:rsidR="00FA4AA8" w:rsidRDefault="00FA4AA8">
      <w:pPr>
        <w:pStyle w:val="BodyText"/>
        <w:rPr>
          <w:sz w:val="20"/>
        </w:rPr>
      </w:pPr>
    </w:p>
    <w:p w14:paraId="5FE0F28F" w14:textId="77777777" w:rsidR="00FA4AA8" w:rsidRDefault="00FA4AA8">
      <w:pPr>
        <w:pStyle w:val="BodyText"/>
        <w:rPr>
          <w:sz w:val="20"/>
        </w:rPr>
      </w:pPr>
    </w:p>
    <w:p w14:paraId="53C64FC2" w14:textId="77777777" w:rsidR="00FA4AA8" w:rsidRDefault="00FA4AA8">
      <w:pPr>
        <w:pStyle w:val="BodyText"/>
        <w:rPr>
          <w:sz w:val="20"/>
        </w:rPr>
      </w:pPr>
    </w:p>
    <w:p w14:paraId="79EEB052" w14:textId="77777777" w:rsidR="00FA4AA8" w:rsidRDefault="00FA4AA8">
      <w:pPr>
        <w:pStyle w:val="BodyText"/>
        <w:rPr>
          <w:sz w:val="20"/>
        </w:rPr>
      </w:pPr>
    </w:p>
    <w:p w14:paraId="54EF3ABD" w14:textId="77777777" w:rsidR="00FA4AA8" w:rsidRDefault="00FA4AA8">
      <w:pPr>
        <w:pStyle w:val="BodyText"/>
        <w:rPr>
          <w:sz w:val="20"/>
        </w:rPr>
      </w:pPr>
    </w:p>
    <w:p w14:paraId="78AD55B9" w14:textId="77777777" w:rsidR="00FA4AA8" w:rsidRDefault="00FA4AA8">
      <w:pPr>
        <w:pStyle w:val="BodyText"/>
        <w:rPr>
          <w:sz w:val="20"/>
        </w:rPr>
      </w:pPr>
    </w:p>
    <w:p w14:paraId="2CBE9E15" w14:textId="77777777" w:rsidR="00FA4AA8" w:rsidRDefault="00FA4AA8">
      <w:pPr>
        <w:pStyle w:val="BodyText"/>
        <w:rPr>
          <w:sz w:val="20"/>
        </w:rPr>
      </w:pPr>
    </w:p>
    <w:p w14:paraId="27C3597B" w14:textId="77777777" w:rsidR="00FA4AA8" w:rsidRDefault="00FA4AA8">
      <w:pPr>
        <w:pStyle w:val="BodyText"/>
        <w:rPr>
          <w:sz w:val="20"/>
        </w:rPr>
      </w:pPr>
    </w:p>
    <w:p w14:paraId="0C4C92F6" w14:textId="77777777" w:rsidR="00FA4AA8" w:rsidRDefault="00FA4AA8">
      <w:pPr>
        <w:pStyle w:val="BodyText"/>
        <w:rPr>
          <w:sz w:val="20"/>
        </w:rPr>
      </w:pPr>
    </w:p>
    <w:p w14:paraId="70AEA195" w14:textId="77777777" w:rsidR="00FA4AA8" w:rsidRDefault="00FA4AA8">
      <w:pPr>
        <w:pStyle w:val="BodyText"/>
        <w:rPr>
          <w:sz w:val="20"/>
        </w:rPr>
      </w:pPr>
    </w:p>
    <w:p w14:paraId="7679D680" w14:textId="77777777" w:rsidR="00FA4AA8" w:rsidRDefault="00FA4AA8">
      <w:pPr>
        <w:pStyle w:val="BodyText"/>
        <w:rPr>
          <w:sz w:val="20"/>
        </w:rPr>
      </w:pPr>
    </w:p>
    <w:p w14:paraId="3B26D2A1" w14:textId="77777777" w:rsidR="00FA4AA8" w:rsidRDefault="00FA4AA8">
      <w:pPr>
        <w:pStyle w:val="BodyText"/>
        <w:rPr>
          <w:sz w:val="20"/>
        </w:rPr>
      </w:pPr>
    </w:p>
    <w:p w14:paraId="5B6B3424" w14:textId="77777777" w:rsidR="00FA4AA8" w:rsidRDefault="00FA4AA8">
      <w:pPr>
        <w:pStyle w:val="BodyText"/>
        <w:rPr>
          <w:sz w:val="20"/>
        </w:rPr>
      </w:pPr>
    </w:p>
    <w:p w14:paraId="3ABC381F" w14:textId="77777777" w:rsidR="00FA4AA8" w:rsidRDefault="00FA4AA8">
      <w:pPr>
        <w:pStyle w:val="BodyText"/>
        <w:rPr>
          <w:sz w:val="20"/>
        </w:rPr>
      </w:pPr>
    </w:p>
    <w:p w14:paraId="61C1DE71" w14:textId="77777777" w:rsidR="00FA4AA8" w:rsidRDefault="00FA4AA8">
      <w:pPr>
        <w:pStyle w:val="BodyText"/>
        <w:rPr>
          <w:sz w:val="20"/>
        </w:rPr>
      </w:pPr>
    </w:p>
    <w:p w14:paraId="657F8571" w14:textId="77777777" w:rsidR="00FA4AA8" w:rsidRDefault="00FA4AA8">
      <w:pPr>
        <w:pStyle w:val="BodyText"/>
        <w:rPr>
          <w:sz w:val="20"/>
        </w:rPr>
      </w:pPr>
    </w:p>
    <w:p w14:paraId="682F2B92" w14:textId="77777777" w:rsidR="00FA4AA8" w:rsidRDefault="00FA4AA8">
      <w:pPr>
        <w:pStyle w:val="BodyText"/>
        <w:spacing w:before="9"/>
        <w:rPr>
          <w:sz w:val="15"/>
        </w:rPr>
      </w:pPr>
    </w:p>
    <w:p w14:paraId="74A772FA" w14:textId="77777777" w:rsidR="00FA4AA8" w:rsidRDefault="0015611F">
      <w:pPr>
        <w:pStyle w:val="BodyText"/>
        <w:spacing w:before="95"/>
        <w:ind w:left="2546" w:right="2343"/>
        <w:jc w:val="center"/>
      </w:pPr>
      <w:r>
        <w:t>The accompanying notes form part of these financial statements.</w:t>
      </w:r>
    </w:p>
    <w:p w14:paraId="56F2D316" w14:textId="77777777" w:rsidR="00FA4AA8" w:rsidRDefault="00FA4AA8">
      <w:pPr>
        <w:jc w:val="center"/>
        <w:sectPr w:rsidR="00FA4AA8">
          <w:pgSz w:w="11910" w:h="16840"/>
          <w:pgMar w:top="1540" w:right="860" w:bottom="720" w:left="840" w:header="1017" w:footer="523" w:gutter="0"/>
          <w:cols w:space="720"/>
        </w:sectPr>
      </w:pPr>
    </w:p>
    <w:p w14:paraId="3C98CCFB" w14:textId="77777777" w:rsidR="00FA4AA8" w:rsidRDefault="00FA4AA8">
      <w:pPr>
        <w:pStyle w:val="BodyText"/>
        <w:rPr>
          <w:sz w:val="20"/>
        </w:rPr>
      </w:pPr>
    </w:p>
    <w:p w14:paraId="4CFC98CB" w14:textId="77777777" w:rsidR="00FA4AA8" w:rsidRDefault="00FA4AA8">
      <w:pPr>
        <w:pStyle w:val="BodyText"/>
        <w:spacing w:before="3" w:after="1"/>
        <w:rPr>
          <w:sz w:val="10"/>
        </w:rPr>
      </w:pPr>
    </w:p>
    <w:tbl>
      <w:tblPr>
        <w:tblW w:w="0" w:type="auto"/>
        <w:tblInd w:w="125" w:type="dxa"/>
        <w:tblLayout w:type="fixed"/>
        <w:tblCellMar>
          <w:left w:w="0" w:type="dxa"/>
          <w:right w:w="0" w:type="dxa"/>
        </w:tblCellMar>
        <w:tblLook w:val="01E0" w:firstRow="1" w:lastRow="1" w:firstColumn="1" w:lastColumn="1" w:noHBand="0" w:noVBand="0"/>
      </w:tblPr>
      <w:tblGrid>
        <w:gridCol w:w="5876"/>
        <w:gridCol w:w="1736"/>
        <w:gridCol w:w="890"/>
        <w:gridCol w:w="440"/>
        <w:gridCol w:w="740"/>
        <w:gridCol w:w="290"/>
      </w:tblGrid>
      <w:tr w:rsidR="00FA4AA8" w14:paraId="1DDEEA55" w14:textId="77777777">
        <w:trPr>
          <w:trHeight w:val="344"/>
        </w:trPr>
        <w:tc>
          <w:tcPr>
            <w:tcW w:w="5876" w:type="dxa"/>
          </w:tcPr>
          <w:p w14:paraId="117E74E6" w14:textId="77777777" w:rsidR="00FA4AA8" w:rsidRDefault="0015611F">
            <w:pPr>
              <w:pStyle w:val="TableParagraph"/>
              <w:spacing w:line="312" w:lineRule="exact"/>
              <w:ind w:left="50"/>
              <w:rPr>
                <w:b/>
                <w:sz w:val="28"/>
              </w:rPr>
            </w:pPr>
            <w:r>
              <w:rPr>
                <w:b/>
                <w:sz w:val="28"/>
              </w:rPr>
              <w:t>Statement of cash flows</w:t>
            </w:r>
          </w:p>
        </w:tc>
        <w:tc>
          <w:tcPr>
            <w:tcW w:w="4096" w:type="dxa"/>
            <w:gridSpan w:val="5"/>
          </w:tcPr>
          <w:p w14:paraId="3B57442B" w14:textId="77777777" w:rsidR="00FA4AA8" w:rsidRDefault="00FA4AA8">
            <w:pPr>
              <w:pStyle w:val="TableParagraph"/>
              <w:rPr>
                <w:rFonts w:ascii="Times New Roman"/>
                <w:sz w:val="18"/>
              </w:rPr>
            </w:pPr>
          </w:p>
        </w:tc>
      </w:tr>
      <w:tr w:rsidR="00FA4AA8" w14:paraId="0FCC0FC6" w14:textId="77777777">
        <w:trPr>
          <w:trHeight w:val="486"/>
        </w:trPr>
        <w:tc>
          <w:tcPr>
            <w:tcW w:w="5876" w:type="dxa"/>
          </w:tcPr>
          <w:p w14:paraId="0BD08803" w14:textId="77777777" w:rsidR="00FA4AA8" w:rsidRDefault="0015611F">
            <w:pPr>
              <w:pStyle w:val="TableParagraph"/>
              <w:spacing w:before="25"/>
              <w:ind w:left="50"/>
              <w:rPr>
                <w:b/>
              </w:rPr>
            </w:pPr>
            <w:r>
              <w:rPr>
                <w:b/>
              </w:rPr>
              <w:t>For the year ended 31 December 2018</w:t>
            </w:r>
          </w:p>
        </w:tc>
        <w:tc>
          <w:tcPr>
            <w:tcW w:w="1736" w:type="dxa"/>
          </w:tcPr>
          <w:p w14:paraId="59FE995B" w14:textId="77777777" w:rsidR="00FA4AA8" w:rsidRDefault="00FA4AA8">
            <w:pPr>
              <w:pStyle w:val="TableParagraph"/>
              <w:rPr>
                <w:rFonts w:ascii="Times New Roman"/>
                <w:sz w:val="18"/>
              </w:rPr>
            </w:pPr>
          </w:p>
        </w:tc>
        <w:tc>
          <w:tcPr>
            <w:tcW w:w="890" w:type="dxa"/>
          </w:tcPr>
          <w:p w14:paraId="174E0FBA" w14:textId="77777777" w:rsidR="00FA4AA8" w:rsidRDefault="00FA4AA8">
            <w:pPr>
              <w:pStyle w:val="TableParagraph"/>
              <w:rPr>
                <w:rFonts w:ascii="Times New Roman"/>
                <w:sz w:val="18"/>
              </w:rPr>
            </w:pPr>
          </w:p>
        </w:tc>
        <w:tc>
          <w:tcPr>
            <w:tcW w:w="440" w:type="dxa"/>
          </w:tcPr>
          <w:p w14:paraId="28BE19FB" w14:textId="77777777" w:rsidR="00FA4AA8" w:rsidRDefault="00FA4AA8">
            <w:pPr>
              <w:pStyle w:val="TableParagraph"/>
              <w:rPr>
                <w:rFonts w:ascii="Times New Roman"/>
                <w:sz w:val="18"/>
              </w:rPr>
            </w:pPr>
          </w:p>
        </w:tc>
        <w:tc>
          <w:tcPr>
            <w:tcW w:w="740" w:type="dxa"/>
          </w:tcPr>
          <w:p w14:paraId="1FF769A2" w14:textId="77777777" w:rsidR="00FA4AA8" w:rsidRDefault="00FA4AA8">
            <w:pPr>
              <w:pStyle w:val="TableParagraph"/>
              <w:rPr>
                <w:rFonts w:ascii="Times New Roman"/>
                <w:sz w:val="18"/>
              </w:rPr>
            </w:pPr>
          </w:p>
        </w:tc>
        <w:tc>
          <w:tcPr>
            <w:tcW w:w="290" w:type="dxa"/>
          </w:tcPr>
          <w:p w14:paraId="719C2F36" w14:textId="77777777" w:rsidR="00FA4AA8" w:rsidRDefault="00FA4AA8">
            <w:pPr>
              <w:pStyle w:val="TableParagraph"/>
              <w:rPr>
                <w:rFonts w:ascii="Times New Roman"/>
                <w:sz w:val="18"/>
              </w:rPr>
            </w:pPr>
          </w:p>
        </w:tc>
      </w:tr>
      <w:tr w:rsidR="00FA4AA8" w14:paraId="7488612F" w14:textId="77777777">
        <w:trPr>
          <w:trHeight w:val="446"/>
        </w:trPr>
        <w:tc>
          <w:tcPr>
            <w:tcW w:w="5876" w:type="dxa"/>
          </w:tcPr>
          <w:p w14:paraId="2285DACD" w14:textId="77777777" w:rsidR="00FA4AA8" w:rsidRDefault="00FA4AA8">
            <w:pPr>
              <w:pStyle w:val="TableParagraph"/>
              <w:rPr>
                <w:rFonts w:ascii="Times New Roman"/>
                <w:sz w:val="18"/>
              </w:rPr>
            </w:pPr>
          </w:p>
        </w:tc>
        <w:tc>
          <w:tcPr>
            <w:tcW w:w="1736" w:type="dxa"/>
          </w:tcPr>
          <w:p w14:paraId="0427A2F9" w14:textId="77777777" w:rsidR="00FA4AA8" w:rsidRDefault="00FA4AA8">
            <w:pPr>
              <w:pStyle w:val="TableParagraph"/>
              <w:rPr>
                <w:rFonts w:ascii="Times New Roman"/>
                <w:sz w:val="18"/>
              </w:rPr>
            </w:pPr>
          </w:p>
        </w:tc>
        <w:tc>
          <w:tcPr>
            <w:tcW w:w="890" w:type="dxa"/>
          </w:tcPr>
          <w:p w14:paraId="7FA3DC48" w14:textId="77777777" w:rsidR="00FA4AA8" w:rsidRDefault="00FA4AA8">
            <w:pPr>
              <w:pStyle w:val="TableParagraph"/>
              <w:spacing w:before="7"/>
              <w:rPr>
                <w:sz w:val="17"/>
              </w:rPr>
            </w:pPr>
          </w:p>
          <w:p w14:paraId="4C46AE57" w14:textId="77777777" w:rsidR="00FA4AA8" w:rsidRDefault="0015611F">
            <w:pPr>
              <w:pStyle w:val="TableParagraph"/>
              <w:ind w:left="367" w:right="81"/>
              <w:jc w:val="center"/>
              <w:rPr>
                <w:b/>
                <w:sz w:val="18"/>
              </w:rPr>
            </w:pPr>
            <w:r>
              <w:rPr>
                <w:b/>
                <w:sz w:val="18"/>
              </w:rPr>
              <w:t>2018</w:t>
            </w:r>
          </w:p>
        </w:tc>
        <w:tc>
          <w:tcPr>
            <w:tcW w:w="440" w:type="dxa"/>
          </w:tcPr>
          <w:p w14:paraId="4E9B26EE" w14:textId="77777777" w:rsidR="00FA4AA8" w:rsidRDefault="00FA4AA8">
            <w:pPr>
              <w:pStyle w:val="TableParagraph"/>
              <w:rPr>
                <w:rFonts w:ascii="Times New Roman"/>
                <w:sz w:val="18"/>
              </w:rPr>
            </w:pPr>
          </w:p>
        </w:tc>
        <w:tc>
          <w:tcPr>
            <w:tcW w:w="740" w:type="dxa"/>
          </w:tcPr>
          <w:p w14:paraId="313164CF" w14:textId="77777777" w:rsidR="00FA4AA8" w:rsidRDefault="00FA4AA8">
            <w:pPr>
              <w:pStyle w:val="TableParagraph"/>
              <w:spacing w:before="7"/>
              <w:rPr>
                <w:sz w:val="17"/>
              </w:rPr>
            </w:pPr>
          </w:p>
          <w:p w14:paraId="4EF525B3" w14:textId="77777777" w:rsidR="00FA4AA8" w:rsidRDefault="0015611F">
            <w:pPr>
              <w:pStyle w:val="TableParagraph"/>
              <w:ind w:left="215" w:right="83"/>
              <w:jc w:val="center"/>
              <w:rPr>
                <w:b/>
                <w:sz w:val="18"/>
              </w:rPr>
            </w:pPr>
            <w:r>
              <w:rPr>
                <w:b/>
                <w:sz w:val="18"/>
              </w:rPr>
              <w:t>2017</w:t>
            </w:r>
          </w:p>
        </w:tc>
        <w:tc>
          <w:tcPr>
            <w:tcW w:w="290" w:type="dxa"/>
          </w:tcPr>
          <w:p w14:paraId="2DB42F53" w14:textId="77777777" w:rsidR="00FA4AA8" w:rsidRDefault="00FA4AA8">
            <w:pPr>
              <w:pStyle w:val="TableParagraph"/>
              <w:rPr>
                <w:rFonts w:ascii="Times New Roman"/>
                <w:sz w:val="18"/>
              </w:rPr>
            </w:pPr>
          </w:p>
        </w:tc>
      </w:tr>
      <w:tr w:rsidR="00FA4AA8" w14:paraId="1BEB9432" w14:textId="77777777">
        <w:trPr>
          <w:trHeight w:val="313"/>
        </w:trPr>
        <w:tc>
          <w:tcPr>
            <w:tcW w:w="5876" w:type="dxa"/>
          </w:tcPr>
          <w:p w14:paraId="2F0546B4" w14:textId="77777777" w:rsidR="00FA4AA8" w:rsidRDefault="00FA4AA8">
            <w:pPr>
              <w:pStyle w:val="TableParagraph"/>
              <w:rPr>
                <w:rFonts w:ascii="Times New Roman"/>
                <w:sz w:val="18"/>
              </w:rPr>
            </w:pPr>
          </w:p>
        </w:tc>
        <w:tc>
          <w:tcPr>
            <w:tcW w:w="1736" w:type="dxa"/>
          </w:tcPr>
          <w:p w14:paraId="78764054" w14:textId="77777777" w:rsidR="00FA4AA8" w:rsidRDefault="0015611F">
            <w:pPr>
              <w:pStyle w:val="TableParagraph"/>
              <w:spacing w:before="30"/>
              <w:ind w:right="87"/>
              <w:jc w:val="right"/>
              <w:rPr>
                <w:b/>
                <w:sz w:val="18"/>
              </w:rPr>
            </w:pPr>
            <w:r>
              <w:rPr>
                <w:b/>
                <w:w w:val="95"/>
                <w:sz w:val="18"/>
              </w:rPr>
              <w:t>Note</w:t>
            </w:r>
          </w:p>
        </w:tc>
        <w:tc>
          <w:tcPr>
            <w:tcW w:w="890" w:type="dxa"/>
          </w:tcPr>
          <w:p w14:paraId="6B8EC7A8" w14:textId="77777777" w:rsidR="00FA4AA8" w:rsidRDefault="0015611F">
            <w:pPr>
              <w:pStyle w:val="TableParagraph"/>
              <w:spacing w:before="30"/>
              <w:ind w:left="285"/>
              <w:jc w:val="center"/>
              <w:rPr>
                <w:b/>
                <w:sz w:val="18"/>
              </w:rPr>
            </w:pPr>
            <w:r>
              <w:rPr>
                <w:b/>
                <w:w w:val="99"/>
                <w:sz w:val="18"/>
              </w:rPr>
              <w:t>$</w:t>
            </w:r>
          </w:p>
        </w:tc>
        <w:tc>
          <w:tcPr>
            <w:tcW w:w="440" w:type="dxa"/>
          </w:tcPr>
          <w:p w14:paraId="5F8E5CA9" w14:textId="77777777" w:rsidR="00FA4AA8" w:rsidRDefault="00FA4AA8">
            <w:pPr>
              <w:pStyle w:val="TableParagraph"/>
              <w:rPr>
                <w:rFonts w:ascii="Times New Roman"/>
                <w:sz w:val="18"/>
              </w:rPr>
            </w:pPr>
          </w:p>
        </w:tc>
        <w:tc>
          <w:tcPr>
            <w:tcW w:w="740" w:type="dxa"/>
          </w:tcPr>
          <w:p w14:paraId="73859722" w14:textId="77777777" w:rsidR="00FA4AA8" w:rsidRDefault="0015611F">
            <w:pPr>
              <w:pStyle w:val="TableParagraph"/>
              <w:spacing w:before="30"/>
              <w:ind w:left="132"/>
              <w:jc w:val="center"/>
              <w:rPr>
                <w:b/>
                <w:sz w:val="18"/>
              </w:rPr>
            </w:pPr>
            <w:r>
              <w:rPr>
                <w:b/>
                <w:w w:val="99"/>
                <w:sz w:val="18"/>
              </w:rPr>
              <w:t>$</w:t>
            </w:r>
          </w:p>
        </w:tc>
        <w:tc>
          <w:tcPr>
            <w:tcW w:w="290" w:type="dxa"/>
          </w:tcPr>
          <w:p w14:paraId="6703E816" w14:textId="77777777" w:rsidR="00FA4AA8" w:rsidRDefault="00FA4AA8">
            <w:pPr>
              <w:pStyle w:val="TableParagraph"/>
              <w:rPr>
                <w:rFonts w:ascii="Times New Roman"/>
                <w:sz w:val="18"/>
              </w:rPr>
            </w:pPr>
          </w:p>
        </w:tc>
      </w:tr>
      <w:tr w:rsidR="00FA4AA8" w14:paraId="7204CC40" w14:textId="77777777">
        <w:trPr>
          <w:trHeight w:val="481"/>
        </w:trPr>
        <w:tc>
          <w:tcPr>
            <w:tcW w:w="5876" w:type="dxa"/>
          </w:tcPr>
          <w:p w14:paraId="37A113D6" w14:textId="77777777" w:rsidR="00FA4AA8" w:rsidRDefault="0015611F">
            <w:pPr>
              <w:pStyle w:val="TableParagraph"/>
              <w:spacing w:before="70" w:line="207" w:lineRule="exact"/>
              <w:ind w:left="77"/>
              <w:rPr>
                <w:b/>
                <w:sz w:val="18"/>
              </w:rPr>
            </w:pPr>
            <w:r>
              <w:rPr>
                <w:b/>
                <w:sz w:val="18"/>
              </w:rPr>
              <w:t>Cash flows from operating activities</w:t>
            </w:r>
          </w:p>
          <w:p w14:paraId="3982D222" w14:textId="77777777" w:rsidR="00FA4AA8" w:rsidRDefault="0015611F">
            <w:pPr>
              <w:pStyle w:val="TableParagraph"/>
              <w:spacing w:line="185" w:lineRule="exact"/>
              <w:ind w:left="77"/>
              <w:rPr>
                <w:sz w:val="18"/>
              </w:rPr>
            </w:pPr>
            <w:r>
              <w:rPr>
                <w:sz w:val="18"/>
              </w:rPr>
              <w:t>Payments to suppliers and employees</w:t>
            </w:r>
          </w:p>
        </w:tc>
        <w:tc>
          <w:tcPr>
            <w:tcW w:w="1736" w:type="dxa"/>
          </w:tcPr>
          <w:p w14:paraId="6AC43093" w14:textId="77777777" w:rsidR="00FA4AA8" w:rsidRDefault="00FA4AA8">
            <w:pPr>
              <w:pStyle w:val="TableParagraph"/>
              <w:rPr>
                <w:rFonts w:ascii="Times New Roman"/>
                <w:sz w:val="18"/>
              </w:rPr>
            </w:pPr>
          </w:p>
        </w:tc>
        <w:tc>
          <w:tcPr>
            <w:tcW w:w="890" w:type="dxa"/>
            <w:tcBorders>
              <w:bottom w:val="single" w:sz="4" w:space="0" w:color="000000"/>
            </w:tcBorders>
          </w:tcPr>
          <w:p w14:paraId="03886986" w14:textId="77777777" w:rsidR="00FA4AA8" w:rsidRDefault="00FA4AA8">
            <w:pPr>
              <w:pStyle w:val="TableParagraph"/>
              <w:rPr>
                <w:rFonts w:ascii="Times New Roman"/>
                <w:sz w:val="18"/>
              </w:rPr>
            </w:pPr>
          </w:p>
        </w:tc>
        <w:tc>
          <w:tcPr>
            <w:tcW w:w="440" w:type="dxa"/>
            <w:tcBorders>
              <w:bottom w:val="single" w:sz="4" w:space="0" w:color="000000"/>
            </w:tcBorders>
          </w:tcPr>
          <w:p w14:paraId="2344DF5F" w14:textId="77777777" w:rsidR="00FA4AA8" w:rsidRDefault="00FA4AA8">
            <w:pPr>
              <w:pStyle w:val="TableParagraph"/>
              <w:rPr>
                <w:sz w:val="24"/>
              </w:rPr>
            </w:pPr>
          </w:p>
          <w:p w14:paraId="243A0100" w14:textId="77777777" w:rsidR="00FA4AA8" w:rsidRDefault="0015611F">
            <w:pPr>
              <w:pStyle w:val="TableParagraph"/>
              <w:spacing w:line="185" w:lineRule="exact"/>
              <w:ind w:left="138"/>
              <w:rPr>
                <w:b/>
                <w:sz w:val="18"/>
              </w:rPr>
            </w:pPr>
            <w:r>
              <w:rPr>
                <w:b/>
                <w:w w:val="99"/>
                <w:sz w:val="18"/>
              </w:rPr>
              <w:t>-</w:t>
            </w:r>
          </w:p>
        </w:tc>
        <w:tc>
          <w:tcPr>
            <w:tcW w:w="740" w:type="dxa"/>
            <w:tcBorders>
              <w:bottom w:val="single" w:sz="4" w:space="0" w:color="000000"/>
            </w:tcBorders>
          </w:tcPr>
          <w:p w14:paraId="60452D65" w14:textId="77777777" w:rsidR="00FA4AA8" w:rsidRDefault="00FA4AA8">
            <w:pPr>
              <w:pStyle w:val="TableParagraph"/>
              <w:rPr>
                <w:rFonts w:ascii="Times New Roman"/>
                <w:sz w:val="18"/>
              </w:rPr>
            </w:pPr>
          </w:p>
        </w:tc>
        <w:tc>
          <w:tcPr>
            <w:tcW w:w="290" w:type="dxa"/>
            <w:tcBorders>
              <w:bottom w:val="single" w:sz="4" w:space="0" w:color="000000"/>
            </w:tcBorders>
          </w:tcPr>
          <w:p w14:paraId="58EB7812" w14:textId="77777777" w:rsidR="00FA4AA8" w:rsidRDefault="00FA4AA8">
            <w:pPr>
              <w:pStyle w:val="TableParagraph"/>
              <w:rPr>
                <w:sz w:val="24"/>
              </w:rPr>
            </w:pPr>
          </w:p>
          <w:p w14:paraId="5C6A3875" w14:textId="77777777" w:rsidR="00FA4AA8" w:rsidRDefault="0015611F">
            <w:pPr>
              <w:pStyle w:val="TableParagraph"/>
              <w:spacing w:line="185" w:lineRule="exact"/>
              <w:ind w:left="137"/>
              <w:rPr>
                <w:sz w:val="18"/>
              </w:rPr>
            </w:pPr>
            <w:r>
              <w:rPr>
                <w:w w:val="99"/>
                <w:sz w:val="18"/>
              </w:rPr>
              <w:t>-</w:t>
            </w:r>
          </w:p>
        </w:tc>
      </w:tr>
      <w:tr w:rsidR="00FA4AA8" w14:paraId="49E311F8" w14:textId="77777777">
        <w:trPr>
          <w:trHeight w:val="205"/>
        </w:trPr>
        <w:tc>
          <w:tcPr>
            <w:tcW w:w="5876" w:type="dxa"/>
          </w:tcPr>
          <w:p w14:paraId="3D1C94BB" w14:textId="77777777" w:rsidR="00FA4AA8" w:rsidRDefault="0015611F">
            <w:pPr>
              <w:pStyle w:val="TableParagraph"/>
              <w:spacing w:line="185" w:lineRule="exact"/>
              <w:ind w:left="77"/>
              <w:rPr>
                <w:b/>
                <w:sz w:val="18"/>
              </w:rPr>
            </w:pPr>
            <w:r>
              <w:rPr>
                <w:b/>
                <w:sz w:val="18"/>
              </w:rPr>
              <w:t>Net cash inflow/(outflow) from operating activities</w:t>
            </w:r>
          </w:p>
        </w:tc>
        <w:tc>
          <w:tcPr>
            <w:tcW w:w="1736" w:type="dxa"/>
          </w:tcPr>
          <w:p w14:paraId="0C82AFEA" w14:textId="77777777" w:rsidR="00FA4AA8" w:rsidRDefault="00FA4AA8">
            <w:pPr>
              <w:pStyle w:val="TableParagraph"/>
              <w:rPr>
                <w:rFonts w:ascii="Times New Roman"/>
                <w:sz w:val="14"/>
              </w:rPr>
            </w:pPr>
          </w:p>
        </w:tc>
        <w:tc>
          <w:tcPr>
            <w:tcW w:w="890" w:type="dxa"/>
            <w:tcBorders>
              <w:top w:val="single" w:sz="4" w:space="0" w:color="000000"/>
              <w:bottom w:val="single" w:sz="8" w:space="0" w:color="000000"/>
            </w:tcBorders>
          </w:tcPr>
          <w:p w14:paraId="0CA35FA7" w14:textId="77777777" w:rsidR="00FA4AA8" w:rsidRDefault="00FA4AA8">
            <w:pPr>
              <w:pStyle w:val="TableParagraph"/>
              <w:rPr>
                <w:rFonts w:ascii="Times New Roman"/>
                <w:sz w:val="14"/>
              </w:rPr>
            </w:pPr>
          </w:p>
        </w:tc>
        <w:tc>
          <w:tcPr>
            <w:tcW w:w="440" w:type="dxa"/>
            <w:tcBorders>
              <w:top w:val="single" w:sz="4" w:space="0" w:color="000000"/>
              <w:bottom w:val="single" w:sz="8" w:space="0" w:color="000000"/>
            </w:tcBorders>
          </w:tcPr>
          <w:p w14:paraId="7299539F" w14:textId="77777777" w:rsidR="00FA4AA8" w:rsidRDefault="0015611F">
            <w:pPr>
              <w:pStyle w:val="TableParagraph"/>
              <w:spacing w:line="185" w:lineRule="exact"/>
              <w:ind w:left="138"/>
              <w:rPr>
                <w:b/>
                <w:sz w:val="18"/>
              </w:rPr>
            </w:pPr>
            <w:r>
              <w:rPr>
                <w:b/>
                <w:w w:val="99"/>
                <w:sz w:val="18"/>
              </w:rPr>
              <w:t>-</w:t>
            </w:r>
          </w:p>
        </w:tc>
        <w:tc>
          <w:tcPr>
            <w:tcW w:w="740" w:type="dxa"/>
            <w:tcBorders>
              <w:top w:val="single" w:sz="4" w:space="0" w:color="000000"/>
              <w:bottom w:val="single" w:sz="8" w:space="0" w:color="000000"/>
            </w:tcBorders>
          </w:tcPr>
          <w:p w14:paraId="7F29DF50" w14:textId="77777777" w:rsidR="00FA4AA8" w:rsidRDefault="00FA4AA8">
            <w:pPr>
              <w:pStyle w:val="TableParagraph"/>
              <w:rPr>
                <w:rFonts w:ascii="Times New Roman"/>
                <w:sz w:val="14"/>
              </w:rPr>
            </w:pPr>
          </w:p>
        </w:tc>
        <w:tc>
          <w:tcPr>
            <w:tcW w:w="290" w:type="dxa"/>
            <w:tcBorders>
              <w:top w:val="single" w:sz="4" w:space="0" w:color="000000"/>
              <w:bottom w:val="single" w:sz="8" w:space="0" w:color="000000"/>
            </w:tcBorders>
          </w:tcPr>
          <w:p w14:paraId="0468F747" w14:textId="77777777" w:rsidR="00FA4AA8" w:rsidRDefault="0015611F">
            <w:pPr>
              <w:pStyle w:val="TableParagraph"/>
              <w:spacing w:line="185" w:lineRule="exact"/>
              <w:ind w:left="137"/>
              <w:rPr>
                <w:sz w:val="18"/>
              </w:rPr>
            </w:pPr>
            <w:r>
              <w:rPr>
                <w:w w:val="99"/>
                <w:sz w:val="18"/>
              </w:rPr>
              <w:t>-</w:t>
            </w:r>
          </w:p>
        </w:tc>
      </w:tr>
      <w:tr w:rsidR="00FA4AA8" w14:paraId="7B8CEFF4" w14:textId="77777777">
        <w:trPr>
          <w:trHeight w:val="704"/>
        </w:trPr>
        <w:tc>
          <w:tcPr>
            <w:tcW w:w="5876" w:type="dxa"/>
          </w:tcPr>
          <w:p w14:paraId="27353342" w14:textId="77777777" w:rsidR="00FA4AA8" w:rsidRDefault="00FA4AA8">
            <w:pPr>
              <w:pStyle w:val="TableParagraph"/>
              <w:spacing w:before="7"/>
              <w:rPr>
                <w:sz w:val="24"/>
              </w:rPr>
            </w:pPr>
          </w:p>
          <w:p w14:paraId="3EFC2E7D" w14:textId="77777777" w:rsidR="00FA4AA8" w:rsidRDefault="0015611F">
            <w:pPr>
              <w:pStyle w:val="TableParagraph"/>
              <w:ind w:left="77"/>
              <w:rPr>
                <w:b/>
                <w:sz w:val="18"/>
              </w:rPr>
            </w:pPr>
            <w:r>
              <w:rPr>
                <w:b/>
                <w:sz w:val="18"/>
              </w:rPr>
              <w:t>Cash flows from investing activities</w:t>
            </w:r>
          </w:p>
          <w:p w14:paraId="6B903E22" w14:textId="77777777" w:rsidR="00FA4AA8" w:rsidRDefault="0015611F">
            <w:pPr>
              <w:pStyle w:val="TableParagraph"/>
              <w:spacing w:before="10" w:line="185" w:lineRule="exact"/>
              <w:ind w:left="77"/>
              <w:rPr>
                <w:b/>
                <w:sz w:val="18"/>
              </w:rPr>
            </w:pPr>
            <w:r>
              <w:rPr>
                <w:b/>
                <w:sz w:val="18"/>
              </w:rPr>
              <w:t>Net cash (outflow)/inflow from investing activities</w:t>
            </w:r>
          </w:p>
        </w:tc>
        <w:tc>
          <w:tcPr>
            <w:tcW w:w="1736" w:type="dxa"/>
          </w:tcPr>
          <w:p w14:paraId="17AC9E8F" w14:textId="77777777" w:rsidR="00FA4AA8" w:rsidRDefault="00FA4AA8">
            <w:pPr>
              <w:pStyle w:val="TableParagraph"/>
              <w:rPr>
                <w:rFonts w:ascii="Times New Roman"/>
                <w:sz w:val="18"/>
              </w:rPr>
            </w:pPr>
          </w:p>
        </w:tc>
        <w:tc>
          <w:tcPr>
            <w:tcW w:w="890" w:type="dxa"/>
            <w:tcBorders>
              <w:top w:val="single" w:sz="8" w:space="0" w:color="000000"/>
              <w:bottom w:val="single" w:sz="8" w:space="0" w:color="000000"/>
            </w:tcBorders>
          </w:tcPr>
          <w:p w14:paraId="544B7F55" w14:textId="77777777" w:rsidR="00FA4AA8" w:rsidRDefault="00FA4AA8">
            <w:pPr>
              <w:pStyle w:val="TableParagraph"/>
              <w:rPr>
                <w:rFonts w:ascii="Times New Roman"/>
                <w:sz w:val="18"/>
              </w:rPr>
            </w:pPr>
          </w:p>
        </w:tc>
        <w:tc>
          <w:tcPr>
            <w:tcW w:w="440" w:type="dxa"/>
            <w:tcBorders>
              <w:top w:val="single" w:sz="8" w:space="0" w:color="000000"/>
              <w:bottom w:val="single" w:sz="8" w:space="0" w:color="000000"/>
            </w:tcBorders>
          </w:tcPr>
          <w:p w14:paraId="6F60C03C" w14:textId="77777777" w:rsidR="00FA4AA8" w:rsidRDefault="00FA4AA8">
            <w:pPr>
              <w:pStyle w:val="TableParagraph"/>
              <w:rPr>
                <w:sz w:val="20"/>
              </w:rPr>
            </w:pPr>
          </w:p>
          <w:p w14:paraId="6DBBAE43" w14:textId="77777777" w:rsidR="00FA4AA8" w:rsidRDefault="00FA4AA8">
            <w:pPr>
              <w:pStyle w:val="TableParagraph"/>
              <w:spacing w:before="5"/>
              <w:rPr>
                <w:sz w:val="23"/>
              </w:rPr>
            </w:pPr>
          </w:p>
          <w:p w14:paraId="541932E8" w14:textId="77777777" w:rsidR="00FA4AA8" w:rsidRDefault="0015611F">
            <w:pPr>
              <w:pStyle w:val="TableParagraph"/>
              <w:spacing w:line="185" w:lineRule="exact"/>
              <w:ind w:left="138"/>
              <w:rPr>
                <w:b/>
                <w:sz w:val="18"/>
              </w:rPr>
            </w:pPr>
            <w:r>
              <w:rPr>
                <w:b/>
                <w:w w:val="99"/>
                <w:sz w:val="18"/>
              </w:rPr>
              <w:t>-</w:t>
            </w:r>
          </w:p>
        </w:tc>
        <w:tc>
          <w:tcPr>
            <w:tcW w:w="740" w:type="dxa"/>
            <w:tcBorders>
              <w:top w:val="single" w:sz="8" w:space="0" w:color="000000"/>
              <w:bottom w:val="single" w:sz="8" w:space="0" w:color="000000"/>
            </w:tcBorders>
          </w:tcPr>
          <w:p w14:paraId="65C2BDC7" w14:textId="77777777" w:rsidR="00FA4AA8" w:rsidRDefault="00FA4AA8">
            <w:pPr>
              <w:pStyle w:val="TableParagraph"/>
              <w:rPr>
                <w:rFonts w:ascii="Times New Roman"/>
                <w:sz w:val="18"/>
              </w:rPr>
            </w:pPr>
          </w:p>
        </w:tc>
        <w:tc>
          <w:tcPr>
            <w:tcW w:w="290" w:type="dxa"/>
            <w:tcBorders>
              <w:top w:val="single" w:sz="8" w:space="0" w:color="000000"/>
              <w:bottom w:val="single" w:sz="8" w:space="0" w:color="000000"/>
            </w:tcBorders>
          </w:tcPr>
          <w:p w14:paraId="7AF770C7" w14:textId="77777777" w:rsidR="00FA4AA8" w:rsidRDefault="00FA4AA8">
            <w:pPr>
              <w:pStyle w:val="TableParagraph"/>
              <w:rPr>
                <w:sz w:val="20"/>
              </w:rPr>
            </w:pPr>
          </w:p>
          <w:p w14:paraId="01AE7B4E" w14:textId="77777777" w:rsidR="00FA4AA8" w:rsidRDefault="00FA4AA8">
            <w:pPr>
              <w:pStyle w:val="TableParagraph"/>
              <w:spacing w:before="5"/>
              <w:rPr>
                <w:sz w:val="23"/>
              </w:rPr>
            </w:pPr>
          </w:p>
          <w:p w14:paraId="1DBD204D" w14:textId="77777777" w:rsidR="00FA4AA8" w:rsidRDefault="0015611F">
            <w:pPr>
              <w:pStyle w:val="TableParagraph"/>
              <w:spacing w:line="185" w:lineRule="exact"/>
              <w:ind w:left="137"/>
              <w:rPr>
                <w:sz w:val="18"/>
              </w:rPr>
            </w:pPr>
            <w:r>
              <w:rPr>
                <w:w w:val="99"/>
                <w:sz w:val="18"/>
              </w:rPr>
              <w:t>-</w:t>
            </w:r>
          </w:p>
        </w:tc>
      </w:tr>
      <w:tr w:rsidR="00FA4AA8" w14:paraId="6BE4295A" w14:textId="77777777">
        <w:trPr>
          <w:trHeight w:val="502"/>
        </w:trPr>
        <w:tc>
          <w:tcPr>
            <w:tcW w:w="5876" w:type="dxa"/>
          </w:tcPr>
          <w:p w14:paraId="68DE6D82" w14:textId="77777777" w:rsidR="00FA4AA8" w:rsidRDefault="00FA4AA8">
            <w:pPr>
              <w:pStyle w:val="TableParagraph"/>
              <w:spacing w:before="7"/>
              <w:rPr>
                <w:sz w:val="24"/>
              </w:rPr>
            </w:pPr>
          </w:p>
          <w:p w14:paraId="381BF675" w14:textId="77777777" w:rsidR="00FA4AA8" w:rsidRDefault="0015611F">
            <w:pPr>
              <w:pStyle w:val="TableParagraph"/>
              <w:spacing w:line="199" w:lineRule="exact"/>
              <w:ind w:left="77"/>
              <w:rPr>
                <w:b/>
                <w:sz w:val="18"/>
              </w:rPr>
            </w:pPr>
            <w:r>
              <w:rPr>
                <w:b/>
                <w:sz w:val="18"/>
              </w:rPr>
              <w:t>Cash flows from financing activities</w:t>
            </w:r>
          </w:p>
        </w:tc>
        <w:tc>
          <w:tcPr>
            <w:tcW w:w="1736" w:type="dxa"/>
          </w:tcPr>
          <w:p w14:paraId="23CAC55D" w14:textId="77777777" w:rsidR="00FA4AA8" w:rsidRDefault="00FA4AA8">
            <w:pPr>
              <w:pStyle w:val="TableParagraph"/>
              <w:rPr>
                <w:rFonts w:ascii="Times New Roman"/>
                <w:sz w:val="18"/>
              </w:rPr>
            </w:pPr>
          </w:p>
        </w:tc>
        <w:tc>
          <w:tcPr>
            <w:tcW w:w="890" w:type="dxa"/>
            <w:tcBorders>
              <w:top w:val="single" w:sz="8" w:space="0" w:color="000000"/>
            </w:tcBorders>
          </w:tcPr>
          <w:p w14:paraId="350258FA" w14:textId="77777777" w:rsidR="00FA4AA8" w:rsidRDefault="00FA4AA8">
            <w:pPr>
              <w:pStyle w:val="TableParagraph"/>
              <w:rPr>
                <w:rFonts w:ascii="Times New Roman"/>
                <w:sz w:val="18"/>
              </w:rPr>
            </w:pPr>
          </w:p>
        </w:tc>
        <w:tc>
          <w:tcPr>
            <w:tcW w:w="440" w:type="dxa"/>
            <w:tcBorders>
              <w:top w:val="single" w:sz="8" w:space="0" w:color="000000"/>
            </w:tcBorders>
          </w:tcPr>
          <w:p w14:paraId="361C40A5" w14:textId="77777777" w:rsidR="00FA4AA8" w:rsidRDefault="00FA4AA8">
            <w:pPr>
              <w:pStyle w:val="TableParagraph"/>
              <w:rPr>
                <w:rFonts w:ascii="Times New Roman"/>
                <w:sz w:val="18"/>
              </w:rPr>
            </w:pPr>
          </w:p>
        </w:tc>
        <w:tc>
          <w:tcPr>
            <w:tcW w:w="740" w:type="dxa"/>
            <w:tcBorders>
              <w:top w:val="single" w:sz="8" w:space="0" w:color="000000"/>
            </w:tcBorders>
          </w:tcPr>
          <w:p w14:paraId="74E8BAE7" w14:textId="77777777" w:rsidR="00FA4AA8" w:rsidRDefault="00FA4AA8">
            <w:pPr>
              <w:pStyle w:val="TableParagraph"/>
              <w:rPr>
                <w:rFonts w:ascii="Times New Roman"/>
                <w:sz w:val="18"/>
              </w:rPr>
            </w:pPr>
          </w:p>
        </w:tc>
        <w:tc>
          <w:tcPr>
            <w:tcW w:w="290" w:type="dxa"/>
            <w:tcBorders>
              <w:top w:val="single" w:sz="8" w:space="0" w:color="000000"/>
            </w:tcBorders>
          </w:tcPr>
          <w:p w14:paraId="1F571C44" w14:textId="77777777" w:rsidR="00FA4AA8" w:rsidRDefault="00FA4AA8">
            <w:pPr>
              <w:pStyle w:val="TableParagraph"/>
              <w:rPr>
                <w:rFonts w:ascii="Times New Roman"/>
                <w:sz w:val="18"/>
              </w:rPr>
            </w:pPr>
          </w:p>
        </w:tc>
      </w:tr>
      <w:tr w:rsidR="00FA4AA8" w14:paraId="0D4C78FF" w14:textId="77777777">
        <w:trPr>
          <w:trHeight w:val="211"/>
        </w:trPr>
        <w:tc>
          <w:tcPr>
            <w:tcW w:w="5876" w:type="dxa"/>
          </w:tcPr>
          <w:p w14:paraId="2B135AEE" w14:textId="77777777" w:rsidR="00FA4AA8" w:rsidRDefault="0015611F">
            <w:pPr>
              <w:pStyle w:val="TableParagraph"/>
              <w:spacing w:before="6" w:line="185" w:lineRule="exact"/>
              <w:ind w:left="77"/>
              <w:rPr>
                <w:b/>
                <w:sz w:val="18"/>
              </w:rPr>
            </w:pPr>
            <w:r>
              <w:rPr>
                <w:b/>
                <w:sz w:val="18"/>
              </w:rPr>
              <w:t>Net cash inflow/(outflow) from financing activities</w:t>
            </w:r>
          </w:p>
        </w:tc>
        <w:tc>
          <w:tcPr>
            <w:tcW w:w="1736" w:type="dxa"/>
          </w:tcPr>
          <w:p w14:paraId="20943268" w14:textId="77777777" w:rsidR="00FA4AA8" w:rsidRDefault="00FA4AA8">
            <w:pPr>
              <w:pStyle w:val="TableParagraph"/>
              <w:rPr>
                <w:rFonts w:ascii="Times New Roman"/>
                <w:sz w:val="14"/>
              </w:rPr>
            </w:pPr>
          </w:p>
        </w:tc>
        <w:tc>
          <w:tcPr>
            <w:tcW w:w="890" w:type="dxa"/>
            <w:tcBorders>
              <w:bottom w:val="single" w:sz="8" w:space="0" w:color="000000"/>
            </w:tcBorders>
          </w:tcPr>
          <w:p w14:paraId="705E805E" w14:textId="77777777" w:rsidR="00FA4AA8" w:rsidRDefault="00FA4AA8">
            <w:pPr>
              <w:pStyle w:val="TableParagraph"/>
              <w:rPr>
                <w:rFonts w:ascii="Times New Roman"/>
                <w:sz w:val="14"/>
              </w:rPr>
            </w:pPr>
          </w:p>
        </w:tc>
        <w:tc>
          <w:tcPr>
            <w:tcW w:w="440" w:type="dxa"/>
            <w:tcBorders>
              <w:bottom w:val="single" w:sz="8" w:space="0" w:color="000000"/>
            </w:tcBorders>
          </w:tcPr>
          <w:p w14:paraId="746F8603" w14:textId="77777777" w:rsidR="00FA4AA8" w:rsidRDefault="0015611F">
            <w:pPr>
              <w:pStyle w:val="TableParagraph"/>
              <w:spacing w:before="6" w:line="185" w:lineRule="exact"/>
              <w:ind w:left="138"/>
              <w:rPr>
                <w:b/>
                <w:sz w:val="18"/>
              </w:rPr>
            </w:pPr>
            <w:r>
              <w:rPr>
                <w:b/>
                <w:w w:val="99"/>
                <w:sz w:val="18"/>
              </w:rPr>
              <w:t>-</w:t>
            </w:r>
          </w:p>
        </w:tc>
        <w:tc>
          <w:tcPr>
            <w:tcW w:w="740" w:type="dxa"/>
            <w:tcBorders>
              <w:bottom w:val="single" w:sz="8" w:space="0" w:color="000000"/>
            </w:tcBorders>
          </w:tcPr>
          <w:p w14:paraId="757528A2" w14:textId="77777777" w:rsidR="00FA4AA8" w:rsidRDefault="00FA4AA8">
            <w:pPr>
              <w:pStyle w:val="TableParagraph"/>
              <w:rPr>
                <w:rFonts w:ascii="Times New Roman"/>
                <w:sz w:val="14"/>
              </w:rPr>
            </w:pPr>
          </w:p>
        </w:tc>
        <w:tc>
          <w:tcPr>
            <w:tcW w:w="290" w:type="dxa"/>
            <w:tcBorders>
              <w:bottom w:val="single" w:sz="8" w:space="0" w:color="000000"/>
            </w:tcBorders>
          </w:tcPr>
          <w:p w14:paraId="2AA4BF52" w14:textId="77777777" w:rsidR="00FA4AA8" w:rsidRDefault="0015611F">
            <w:pPr>
              <w:pStyle w:val="TableParagraph"/>
              <w:spacing w:before="6" w:line="185" w:lineRule="exact"/>
              <w:ind w:left="137"/>
              <w:rPr>
                <w:sz w:val="18"/>
              </w:rPr>
            </w:pPr>
            <w:r>
              <w:rPr>
                <w:w w:val="99"/>
                <w:sz w:val="18"/>
              </w:rPr>
              <w:t>-</w:t>
            </w:r>
          </w:p>
        </w:tc>
      </w:tr>
      <w:tr w:rsidR="00FA4AA8" w14:paraId="23AA35BA" w14:textId="77777777">
        <w:trPr>
          <w:trHeight w:val="695"/>
        </w:trPr>
        <w:tc>
          <w:tcPr>
            <w:tcW w:w="5876" w:type="dxa"/>
          </w:tcPr>
          <w:p w14:paraId="49CA77B2" w14:textId="77777777" w:rsidR="00FA4AA8" w:rsidRDefault="00FA4AA8">
            <w:pPr>
              <w:pStyle w:val="TableParagraph"/>
              <w:spacing w:before="7"/>
              <w:rPr>
                <w:sz w:val="24"/>
              </w:rPr>
            </w:pPr>
          </w:p>
          <w:p w14:paraId="775ED62E" w14:textId="77777777" w:rsidR="00FA4AA8" w:rsidRDefault="0015611F">
            <w:pPr>
              <w:pStyle w:val="TableParagraph"/>
              <w:spacing w:line="207" w:lineRule="exact"/>
              <w:ind w:left="77"/>
              <w:rPr>
                <w:b/>
                <w:sz w:val="18"/>
              </w:rPr>
            </w:pPr>
            <w:r>
              <w:rPr>
                <w:b/>
                <w:sz w:val="18"/>
              </w:rPr>
              <w:t>Net increase/(decrease) in cash and cash equivalents</w:t>
            </w:r>
          </w:p>
          <w:p w14:paraId="0C4B9FD8" w14:textId="77777777" w:rsidR="00FA4AA8" w:rsidRDefault="0015611F">
            <w:pPr>
              <w:pStyle w:val="TableParagraph"/>
              <w:spacing w:line="185" w:lineRule="exact"/>
              <w:ind w:left="77"/>
              <w:rPr>
                <w:sz w:val="18"/>
              </w:rPr>
            </w:pPr>
            <w:r>
              <w:rPr>
                <w:sz w:val="18"/>
              </w:rPr>
              <w:t>Cash and cash equivalents at beginning of year</w:t>
            </w:r>
          </w:p>
        </w:tc>
        <w:tc>
          <w:tcPr>
            <w:tcW w:w="1736" w:type="dxa"/>
          </w:tcPr>
          <w:p w14:paraId="4C3FE222" w14:textId="77777777" w:rsidR="00FA4AA8" w:rsidRDefault="00FA4AA8">
            <w:pPr>
              <w:pStyle w:val="TableParagraph"/>
              <w:rPr>
                <w:rFonts w:ascii="Times New Roman"/>
                <w:sz w:val="18"/>
              </w:rPr>
            </w:pPr>
          </w:p>
        </w:tc>
        <w:tc>
          <w:tcPr>
            <w:tcW w:w="890" w:type="dxa"/>
            <w:tcBorders>
              <w:top w:val="single" w:sz="8" w:space="0" w:color="000000"/>
              <w:bottom w:val="single" w:sz="4" w:space="0" w:color="000000"/>
            </w:tcBorders>
          </w:tcPr>
          <w:p w14:paraId="49D302D3" w14:textId="77777777" w:rsidR="00FA4AA8" w:rsidRDefault="00FA4AA8">
            <w:pPr>
              <w:pStyle w:val="TableParagraph"/>
              <w:rPr>
                <w:rFonts w:ascii="Times New Roman"/>
                <w:sz w:val="18"/>
              </w:rPr>
            </w:pPr>
          </w:p>
        </w:tc>
        <w:tc>
          <w:tcPr>
            <w:tcW w:w="440" w:type="dxa"/>
            <w:tcBorders>
              <w:top w:val="single" w:sz="8" w:space="0" w:color="000000"/>
              <w:bottom w:val="single" w:sz="4" w:space="0" w:color="000000"/>
            </w:tcBorders>
          </w:tcPr>
          <w:p w14:paraId="3F2035A4" w14:textId="77777777" w:rsidR="00FA4AA8" w:rsidRDefault="00FA4AA8">
            <w:pPr>
              <w:pStyle w:val="TableParagraph"/>
              <w:rPr>
                <w:sz w:val="25"/>
              </w:rPr>
            </w:pPr>
          </w:p>
          <w:p w14:paraId="51B69803" w14:textId="77777777" w:rsidR="00FA4AA8" w:rsidRDefault="0015611F">
            <w:pPr>
              <w:pStyle w:val="TableParagraph"/>
              <w:spacing w:line="206" w:lineRule="exact"/>
              <w:ind w:left="99" w:right="220" w:firstLine="39"/>
              <w:rPr>
                <w:b/>
                <w:sz w:val="18"/>
              </w:rPr>
            </w:pPr>
            <w:r>
              <w:rPr>
                <w:b/>
                <w:sz w:val="18"/>
              </w:rPr>
              <w:t>- 1</w:t>
            </w:r>
          </w:p>
        </w:tc>
        <w:tc>
          <w:tcPr>
            <w:tcW w:w="740" w:type="dxa"/>
            <w:tcBorders>
              <w:top w:val="single" w:sz="8" w:space="0" w:color="000000"/>
              <w:bottom w:val="single" w:sz="4" w:space="0" w:color="000000"/>
            </w:tcBorders>
          </w:tcPr>
          <w:p w14:paraId="64F29736" w14:textId="77777777" w:rsidR="00FA4AA8" w:rsidRDefault="00FA4AA8">
            <w:pPr>
              <w:pStyle w:val="TableParagraph"/>
              <w:rPr>
                <w:rFonts w:ascii="Times New Roman"/>
                <w:sz w:val="18"/>
              </w:rPr>
            </w:pPr>
          </w:p>
        </w:tc>
        <w:tc>
          <w:tcPr>
            <w:tcW w:w="290" w:type="dxa"/>
            <w:tcBorders>
              <w:top w:val="single" w:sz="8" w:space="0" w:color="000000"/>
              <w:bottom w:val="single" w:sz="4" w:space="0" w:color="000000"/>
            </w:tcBorders>
          </w:tcPr>
          <w:p w14:paraId="499FD094" w14:textId="77777777" w:rsidR="00FA4AA8" w:rsidRDefault="00FA4AA8">
            <w:pPr>
              <w:pStyle w:val="TableParagraph"/>
              <w:rPr>
                <w:sz w:val="25"/>
              </w:rPr>
            </w:pPr>
          </w:p>
          <w:p w14:paraId="13118F11" w14:textId="77777777" w:rsidR="00FA4AA8" w:rsidRDefault="0015611F">
            <w:pPr>
              <w:pStyle w:val="TableParagraph"/>
              <w:spacing w:line="206" w:lineRule="exact"/>
              <w:ind w:left="97" w:right="72" w:firstLine="39"/>
              <w:rPr>
                <w:sz w:val="18"/>
              </w:rPr>
            </w:pPr>
            <w:r>
              <w:rPr>
                <w:sz w:val="18"/>
              </w:rPr>
              <w:t>- 1</w:t>
            </w:r>
          </w:p>
        </w:tc>
      </w:tr>
      <w:tr w:rsidR="00FA4AA8" w14:paraId="648A8FF3" w14:textId="77777777">
        <w:trPr>
          <w:trHeight w:val="201"/>
        </w:trPr>
        <w:tc>
          <w:tcPr>
            <w:tcW w:w="5876" w:type="dxa"/>
          </w:tcPr>
          <w:p w14:paraId="53DBDD09" w14:textId="77777777" w:rsidR="00FA4AA8" w:rsidRDefault="0015611F">
            <w:pPr>
              <w:pStyle w:val="TableParagraph"/>
              <w:spacing w:line="182" w:lineRule="exact"/>
              <w:ind w:left="77"/>
              <w:rPr>
                <w:b/>
                <w:sz w:val="18"/>
              </w:rPr>
            </w:pPr>
            <w:r>
              <w:rPr>
                <w:b/>
                <w:sz w:val="18"/>
              </w:rPr>
              <w:t>Cash and cash equivalents at end of year</w:t>
            </w:r>
          </w:p>
        </w:tc>
        <w:tc>
          <w:tcPr>
            <w:tcW w:w="1736" w:type="dxa"/>
          </w:tcPr>
          <w:p w14:paraId="34BB9283" w14:textId="77777777" w:rsidR="00FA4AA8" w:rsidRDefault="0015611F">
            <w:pPr>
              <w:pStyle w:val="TableParagraph"/>
              <w:spacing w:line="182" w:lineRule="exact"/>
              <w:ind w:right="448"/>
              <w:jc w:val="right"/>
              <w:rPr>
                <w:sz w:val="18"/>
              </w:rPr>
            </w:pPr>
            <w:r>
              <w:rPr>
                <w:w w:val="99"/>
                <w:sz w:val="18"/>
              </w:rPr>
              <w:t>5</w:t>
            </w:r>
          </w:p>
        </w:tc>
        <w:tc>
          <w:tcPr>
            <w:tcW w:w="890" w:type="dxa"/>
            <w:tcBorders>
              <w:top w:val="single" w:sz="4" w:space="0" w:color="000000"/>
              <w:bottom w:val="single" w:sz="8" w:space="0" w:color="000000"/>
            </w:tcBorders>
          </w:tcPr>
          <w:p w14:paraId="1AF0892E" w14:textId="77777777" w:rsidR="00FA4AA8" w:rsidRDefault="00FA4AA8">
            <w:pPr>
              <w:pStyle w:val="TableParagraph"/>
              <w:rPr>
                <w:rFonts w:ascii="Times New Roman"/>
                <w:sz w:val="14"/>
              </w:rPr>
            </w:pPr>
          </w:p>
        </w:tc>
        <w:tc>
          <w:tcPr>
            <w:tcW w:w="440" w:type="dxa"/>
            <w:tcBorders>
              <w:top w:val="single" w:sz="4" w:space="0" w:color="000000"/>
              <w:bottom w:val="single" w:sz="8" w:space="0" w:color="000000"/>
            </w:tcBorders>
          </w:tcPr>
          <w:p w14:paraId="18CB582B" w14:textId="77777777" w:rsidR="00FA4AA8" w:rsidRDefault="0015611F">
            <w:pPr>
              <w:pStyle w:val="TableParagraph"/>
              <w:spacing w:line="182" w:lineRule="exact"/>
              <w:ind w:left="99"/>
              <w:rPr>
                <w:b/>
                <w:sz w:val="18"/>
              </w:rPr>
            </w:pPr>
            <w:r>
              <w:rPr>
                <w:b/>
                <w:w w:val="99"/>
                <w:sz w:val="18"/>
              </w:rPr>
              <w:t>1</w:t>
            </w:r>
          </w:p>
        </w:tc>
        <w:tc>
          <w:tcPr>
            <w:tcW w:w="740" w:type="dxa"/>
            <w:tcBorders>
              <w:top w:val="single" w:sz="4" w:space="0" w:color="000000"/>
              <w:bottom w:val="single" w:sz="8" w:space="0" w:color="000000"/>
            </w:tcBorders>
          </w:tcPr>
          <w:p w14:paraId="4C0234C6" w14:textId="77777777" w:rsidR="00FA4AA8" w:rsidRDefault="00FA4AA8">
            <w:pPr>
              <w:pStyle w:val="TableParagraph"/>
              <w:rPr>
                <w:rFonts w:ascii="Times New Roman"/>
                <w:sz w:val="14"/>
              </w:rPr>
            </w:pPr>
          </w:p>
        </w:tc>
        <w:tc>
          <w:tcPr>
            <w:tcW w:w="290" w:type="dxa"/>
            <w:tcBorders>
              <w:top w:val="single" w:sz="4" w:space="0" w:color="000000"/>
              <w:bottom w:val="single" w:sz="8" w:space="0" w:color="000000"/>
            </w:tcBorders>
          </w:tcPr>
          <w:p w14:paraId="0BAF70E4" w14:textId="77777777" w:rsidR="00FA4AA8" w:rsidRDefault="0015611F">
            <w:pPr>
              <w:pStyle w:val="TableParagraph"/>
              <w:spacing w:line="182" w:lineRule="exact"/>
              <w:ind w:left="97"/>
              <w:rPr>
                <w:sz w:val="18"/>
              </w:rPr>
            </w:pPr>
            <w:r>
              <w:rPr>
                <w:w w:val="99"/>
                <w:sz w:val="18"/>
              </w:rPr>
              <w:t>1</w:t>
            </w:r>
          </w:p>
        </w:tc>
      </w:tr>
    </w:tbl>
    <w:p w14:paraId="32C1552A" w14:textId="77777777" w:rsidR="00FA4AA8" w:rsidRDefault="00FA4AA8">
      <w:pPr>
        <w:pStyle w:val="BodyText"/>
        <w:rPr>
          <w:sz w:val="20"/>
        </w:rPr>
      </w:pPr>
    </w:p>
    <w:p w14:paraId="3DECF7B6" w14:textId="77777777" w:rsidR="00FA4AA8" w:rsidRDefault="00FA4AA8">
      <w:pPr>
        <w:pStyle w:val="BodyText"/>
        <w:rPr>
          <w:sz w:val="20"/>
        </w:rPr>
      </w:pPr>
    </w:p>
    <w:p w14:paraId="46E7D796" w14:textId="77777777" w:rsidR="00FA4AA8" w:rsidRDefault="00FA4AA8">
      <w:pPr>
        <w:pStyle w:val="BodyText"/>
        <w:rPr>
          <w:sz w:val="20"/>
        </w:rPr>
      </w:pPr>
    </w:p>
    <w:p w14:paraId="4746607F" w14:textId="77777777" w:rsidR="00FA4AA8" w:rsidRDefault="00FA4AA8">
      <w:pPr>
        <w:pStyle w:val="BodyText"/>
        <w:rPr>
          <w:sz w:val="20"/>
        </w:rPr>
      </w:pPr>
    </w:p>
    <w:p w14:paraId="71F0BB28" w14:textId="77777777" w:rsidR="00FA4AA8" w:rsidRDefault="00FA4AA8">
      <w:pPr>
        <w:pStyle w:val="BodyText"/>
        <w:rPr>
          <w:sz w:val="20"/>
        </w:rPr>
      </w:pPr>
    </w:p>
    <w:p w14:paraId="3B48D143" w14:textId="77777777" w:rsidR="00FA4AA8" w:rsidRDefault="00FA4AA8">
      <w:pPr>
        <w:pStyle w:val="BodyText"/>
        <w:rPr>
          <w:sz w:val="20"/>
        </w:rPr>
      </w:pPr>
    </w:p>
    <w:p w14:paraId="7390C82F" w14:textId="77777777" w:rsidR="00FA4AA8" w:rsidRDefault="00FA4AA8">
      <w:pPr>
        <w:pStyle w:val="BodyText"/>
        <w:rPr>
          <w:sz w:val="20"/>
        </w:rPr>
      </w:pPr>
    </w:p>
    <w:p w14:paraId="145CB2E8" w14:textId="77777777" w:rsidR="00FA4AA8" w:rsidRDefault="00FA4AA8">
      <w:pPr>
        <w:pStyle w:val="BodyText"/>
        <w:rPr>
          <w:sz w:val="20"/>
        </w:rPr>
      </w:pPr>
    </w:p>
    <w:p w14:paraId="43481D43" w14:textId="77777777" w:rsidR="00FA4AA8" w:rsidRDefault="00FA4AA8">
      <w:pPr>
        <w:pStyle w:val="BodyText"/>
        <w:rPr>
          <w:sz w:val="20"/>
        </w:rPr>
      </w:pPr>
    </w:p>
    <w:p w14:paraId="409768E9" w14:textId="77777777" w:rsidR="00FA4AA8" w:rsidRDefault="00FA4AA8">
      <w:pPr>
        <w:pStyle w:val="BodyText"/>
        <w:rPr>
          <w:sz w:val="20"/>
        </w:rPr>
      </w:pPr>
    </w:p>
    <w:p w14:paraId="0BA076C2" w14:textId="77777777" w:rsidR="00FA4AA8" w:rsidRDefault="00FA4AA8">
      <w:pPr>
        <w:pStyle w:val="BodyText"/>
        <w:rPr>
          <w:sz w:val="20"/>
        </w:rPr>
      </w:pPr>
    </w:p>
    <w:p w14:paraId="25F8A83A" w14:textId="77777777" w:rsidR="00FA4AA8" w:rsidRDefault="00FA4AA8">
      <w:pPr>
        <w:pStyle w:val="BodyText"/>
        <w:rPr>
          <w:sz w:val="20"/>
        </w:rPr>
      </w:pPr>
    </w:p>
    <w:p w14:paraId="4F5A71F1" w14:textId="77777777" w:rsidR="00FA4AA8" w:rsidRDefault="00FA4AA8">
      <w:pPr>
        <w:pStyle w:val="BodyText"/>
        <w:rPr>
          <w:sz w:val="20"/>
        </w:rPr>
      </w:pPr>
    </w:p>
    <w:p w14:paraId="5BD1FF38" w14:textId="77777777" w:rsidR="00FA4AA8" w:rsidRDefault="00FA4AA8">
      <w:pPr>
        <w:pStyle w:val="BodyText"/>
        <w:rPr>
          <w:sz w:val="20"/>
        </w:rPr>
      </w:pPr>
    </w:p>
    <w:p w14:paraId="2238EAED" w14:textId="77777777" w:rsidR="00FA4AA8" w:rsidRDefault="00FA4AA8">
      <w:pPr>
        <w:pStyle w:val="BodyText"/>
        <w:rPr>
          <w:sz w:val="20"/>
        </w:rPr>
      </w:pPr>
    </w:p>
    <w:p w14:paraId="7C9948EE" w14:textId="77777777" w:rsidR="00FA4AA8" w:rsidRDefault="00FA4AA8">
      <w:pPr>
        <w:pStyle w:val="BodyText"/>
        <w:rPr>
          <w:sz w:val="20"/>
        </w:rPr>
      </w:pPr>
    </w:p>
    <w:p w14:paraId="1F8FD391" w14:textId="77777777" w:rsidR="00FA4AA8" w:rsidRDefault="00FA4AA8">
      <w:pPr>
        <w:pStyle w:val="BodyText"/>
        <w:rPr>
          <w:sz w:val="20"/>
        </w:rPr>
      </w:pPr>
    </w:p>
    <w:p w14:paraId="6BB413F3" w14:textId="77777777" w:rsidR="00FA4AA8" w:rsidRDefault="00FA4AA8">
      <w:pPr>
        <w:pStyle w:val="BodyText"/>
        <w:rPr>
          <w:sz w:val="20"/>
        </w:rPr>
      </w:pPr>
    </w:p>
    <w:p w14:paraId="766E4CE8" w14:textId="77777777" w:rsidR="00FA4AA8" w:rsidRDefault="00FA4AA8">
      <w:pPr>
        <w:pStyle w:val="BodyText"/>
        <w:rPr>
          <w:sz w:val="20"/>
        </w:rPr>
      </w:pPr>
    </w:p>
    <w:p w14:paraId="00895566" w14:textId="77777777" w:rsidR="00FA4AA8" w:rsidRDefault="00FA4AA8">
      <w:pPr>
        <w:pStyle w:val="BodyText"/>
        <w:rPr>
          <w:sz w:val="20"/>
        </w:rPr>
      </w:pPr>
    </w:p>
    <w:p w14:paraId="2F9DD9EF" w14:textId="77777777" w:rsidR="00FA4AA8" w:rsidRDefault="00FA4AA8">
      <w:pPr>
        <w:pStyle w:val="BodyText"/>
        <w:rPr>
          <w:sz w:val="20"/>
        </w:rPr>
      </w:pPr>
    </w:p>
    <w:p w14:paraId="55BE8249" w14:textId="77777777" w:rsidR="00FA4AA8" w:rsidRDefault="00FA4AA8">
      <w:pPr>
        <w:pStyle w:val="BodyText"/>
        <w:rPr>
          <w:sz w:val="20"/>
        </w:rPr>
      </w:pPr>
    </w:p>
    <w:p w14:paraId="08991569" w14:textId="77777777" w:rsidR="00FA4AA8" w:rsidRDefault="00FA4AA8">
      <w:pPr>
        <w:pStyle w:val="BodyText"/>
        <w:rPr>
          <w:sz w:val="20"/>
        </w:rPr>
      </w:pPr>
    </w:p>
    <w:p w14:paraId="73D701B5" w14:textId="77777777" w:rsidR="00FA4AA8" w:rsidRDefault="00FA4AA8">
      <w:pPr>
        <w:pStyle w:val="BodyText"/>
        <w:rPr>
          <w:sz w:val="20"/>
        </w:rPr>
      </w:pPr>
    </w:p>
    <w:p w14:paraId="1A696F2C" w14:textId="77777777" w:rsidR="00FA4AA8" w:rsidRDefault="00FA4AA8">
      <w:pPr>
        <w:pStyle w:val="BodyText"/>
        <w:rPr>
          <w:sz w:val="20"/>
        </w:rPr>
      </w:pPr>
    </w:p>
    <w:p w14:paraId="59DAAC8C" w14:textId="77777777" w:rsidR="00FA4AA8" w:rsidRDefault="00FA4AA8">
      <w:pPr>
        <w:pStyle w:val="BodyText"/>
        <w:rPr>
          <w:sz w:val="20"/>
        </w:rPr>
      </w:pPr>
    </w:p>
    <w:p w14:paraId="351A4E3A" w14:textId="77777777" w:rsidR="00FA4AA8" w:rsidRDefault="00FA4AA8">
      <w:pPr>
        <w:pStyle w:val="BodyText"/>
        <w:rPr>
          <w:sz w:val="20"/>
        </w:rPr>
      </w:pPr>
    </w:p>
    <w:p w14:paraId="4D37D8F7" w14:textId="77777777" w:rsidR="00FA4AA8" w:rsidRDefault="00FA4AA8">
      <w:pPr>
        <w:pStyle w:val="BodyText"/>
        <w:rPr>
          <w:sz w:val="20"/>
        </w:rPr>
      </w:pPr>
    </w:p>
    <w:p w14:paraId="728B6A06" w14:textId="77777777" w:rsidR="00FA4AA8" w:rsidRDefault="00FA4AA8">
      <w:pPr>
        <w:pStyle w:val="BodyText"/>
        <w:rPr>
          <w:sz w:val="20"/>
        </w:rPr>
      </w:pPr>
    </w:p>
    <w:p w14:paraId="696F5067" w14:textId="77777777" w:rsidR="00FA4AA8" w:rsidRDefault="00FA4AA8">
      <w:pPr>
        <w:pStyle w:val="BodyText"/>
        <w:rPr>
          <w:sz w:val="20"/>
        </w:rPr>
      </w:pPr>
    </w:p>
    <w:p w14:paraId="6E6C72BB" w14:textId="77777777" w:rsidR="00FA4AA8" w:rsidRDefault="00FA4AA8">
      <w:pPr>
        <w:pStyle w:val="BodyText"/>
        <w:rPr>
          <w:sz w:val="20"/>
        </w:rPr>
      </w:pPr>
    </w:p>
    <w:p w14:paraId="517A5EAD" w14:textId="77777777" w:rsidR="00FA4AA8" w:rsidRDefault="00FA4AA8">
      <w:pPr>
        <w:pStyle w:val="BodyText"/>
        <w:rPr>
          <w:sz w:val="20"/>
        </w:rPr>
      </w:pPr>
    </w:p>
    <w:p w14:paraId="5E8EFEAB" w14:textId="77777777" w:rsidR="00FA4AA8" w:rsidRDefault="00FA4AA8">
      <w:pPr>
        <w:pStyle w:val="BodyText"/>
        <w:rPr>
          <w:sz w:val="20"/>
        </w:rPr>
      </w:pPr>
    </w:p>
    <w:p w14:paraId="2ECCCE93" w14:textId="77777777" w:rsidR="00FA4AA8" w:rsidRDefault="00FA4AA8">
      <w:pPr>
        <w:pStyle w:val="BodyText"/>
        <w:rPr>
          <w:sz w:val="20"/>
        </w:rPr>
      </w:pPr>
    </w:p>
    <w:p w14:paraId="021D98D3" w14:textId="77777777" w:rsidR="00FA4AA8" w:rsidRDefault="00FA4AA8">
      <w:pPr>
        <w:pStyle w:val="BodyText"/>
        <w:rPr>
          <w:sz w:val="20"/>
        </w:rPr>
      </w:pPr>
    </w:p>
    <w:p w14:paraId="447C8BB4" w14:textId="77777777" w:rsidR="00FA4AA8" w:rsidRDefault="00FA4AA8">
      <w:pPr>
        <w:pStyle w:val="BodyText"/>
        <w:rPr>
          <w:sz w:val="20"/>
        </w:rPr>
      </w:pPr>
    </w:p>
    <w:p w14:paraId="790842F2" w14:textId="77777777" w:rsidR="00FA4AA8" w:rsidRDefault="00FA4AA8">
      <w:pPr>
        <w:pStyle w:val="BodyText"/>
        <w:rPr>
          <w:sz w:val="20"/>
        </w:rPr>
      </w:pPr>
    </w:p>
    <w:p w14:paraId="4CFD247E" w14:textId="77777777" w:rsidR="00FA4AA8" w:rsidRDefault="00FA4AA8">
      <w:pPr>
        <w:pStyle w:val="BodyText"/>
        <w:spacing w:before="6"/>
        <w:rPr>
          <w:sz w:val="20"/>
        </w:rPr>
      </w:pPr>
    </w:p>
    <w:p w14:paraId="266DC2E0" w14:textId="77777777" w:rsidR="00FA4AA8" w:rsidRDefault="0015611F">
      <w:pPr>
        <w:pStyle w:val="BodyText"/>
        <w:spacing w:before="94"/>
        <w:ind w:left="2605" w:right="2284"/>
        <w:jc w:val="center"/>
      </w:pPr>
      <w:r>
        <w:t>The accompanying notes form part of these financial statements.</w:t>
      </w:r>
    </w:p>
    <w:p w14:paraId="5BD9E1B1" w14:textId="77777777" w:rsidR="00FA4AA8" w:rsidRDefault="00FA4AA8">
      <w:pPr>
        <w:jc w:val="center"/>
        <w:sectPr w:rsidR="00FA4AA8">
          <w:pgSz w:w="11910" w:h="16840"/>
          <w:pgMar w:top="1540" w:right="860" w:bottom="720" w:left="840" w:header="1017" w:footer="523" w:gutter="0"/>
          <w:cols w:space="720"/>
        </w:sectPr>
      </w:pPr>
    </w:p>
    <w:p w14:paraId="50B426BB" w14:textId="77777777" w:rsidR="00FA4AA8" w:rsidRDefault="00FA4AA8">
      <w:pPr>
        <w:pStyle w:val="BodyText"/>
        <w:rPr>
          <w:sz w:val="20"/>
        </w:rPr>
      </w:pPr>
    </w:p>
    <w:p w14:paraId="2A3EAF33" w14:textId="77777777" w:rsidR="00FA4AA8" w:rsidRDefault="00FA4AA8">
      <w:pPr>
        <w:pStyle w:val="BodyText"/>
        <w:spacing w:before="9"/>
        <w:rPr>
          <w:sz w:val="29"/>
        </w:rPr>
      </w:pPr>
    </w:p>
    <w:p w14:paraId="41D3F425" w14:textId="77777777" w:rsidR="00FA4AA8" w:rsidRDefault="0015611F">
      <w:pPr>
        <w:pStyle w:val="BodyText"/>
        <w:spacing w:before="94"/>
        <w:ind w:left="169"/>
      </w:pPr>
      <w:r>
        <w:t>Whitlam Institute within Western Sydney University Limited (the Company) is a not-for-profit controlled entity of the Western Sydney University. The Company is incorporated and domiciled in Australia.</w:t>
      </w:r>
    </w:p>
    <w:p w14:paraId="7B4A0741" w14:textId="77777777" w:rsidR="00FA4AA8" w:rsidRDefault="00FA4AA8">
      <w:pPr>
        <w:pStyle w:val="BodyText"/>
        <w:spacing w:before="11"/>
        <w:rPr>
          <w:sz w:val="24"/>
        </w:rPr>
      </w:pPr>
    </w:p>
    <w:p w14:paraId="62054451" w14:textId="77777777" w:rsidR="00FA4AA8" w:rsidRDefault="0015611F">
      <w:pPr>
        <w:pStyle w:val="BodyText"/>
        <w:ind w:left="169"/>
      </w:pPr>
      <w:r>
        <w:t>Material accounting policies adopted in the preparation of these financial statements are presented below and have been consistently applied to all the years reported, unless otherwise stated.</w:t>
      </w:r>
    </w:p>
    <w:p w14:paraId="7F1AD36E" w14:textId="77777777" w:rsidR="00FA4AA8" w:rsidRDefault="00FA4AA8">
      <w:pPr>
        <w:pStyle w:val="BodyText"/>
        <w:spacing w:before="11"/>
        <w:rPr>
          <w:sz w:val="24"/>
        </w:rPr>
      </w:pPr>
    </w:p>
    <w:p w14:paraId="432E1467" w14:textId="77777777" w:rsidR="00FA4AA8" w:rsidRDefault="0015611F">
      <w:pPr>
        <w:pStyle w:val="BodyText"/>
        <w:ind w:left="169"/>
      </w:pPr>
      <w:r>
        <w:t>The financial statements were authorised for issue by the Directors on 22 February 2019</w:t>
      </w:r>
    </w:p>
    <w:p w14:paraId="59D18D8E" w14:textId="77777777" w:rsidR="00FA4AA8" w:rsidRDefault="00FA4AA8">
      <w:pPr>
        <w:pStyle w:val="BodyText"/>
        <w:spacing w:before="11"/>
        <w:rPr>
          <w:sz w:val="24"/>
        </w:rPr>
      </w:pPr>
    </w:p>
    <w:p w14:paraId="57306E21" w14:textId="77777777" w:rsidR="00FA4AA8" w:rsidRDefault="0015611F">
      <w:pPr>
        <w:tabs>
          <w:tab w:val="left" w:pos="563"/>
        </w:tabs>
        <w:ind w:left="169"/>
        <w:rPr>
          <w:b/>
          <w:sz w:val="18"/>
        </w:rPr>
      </w:pPr>
      <w:r>
        <w:rPr>
          <w:b/>
          <w:sz w:val="18"/>
        </w:rPr>
        <w:t>1</w:t>
      </w:r>
      <w:r>
        <w:rPr>
          <w:b/>
          <w:sz w:val="18"/>
        </w:rPr>
        <w:tab/>
        <w:t>Summary of Significant Accounting</w:t>
      </w:r>
      <w:r>
        <w:rPr>
          <w:b/>
          <w:spacing w:val="-1"/>
          <w:sz w:val="18"/>
        </w:rPr>
        <w:t xml:space="preserve"> </w:t>
      </w:r>
      <w:r>
        <w:rPr>
          <w:b/>
          <w:sz w:val="18"/>
        </w:rPr>
        <w:t>Policies</w:t>
      </w:r>
    </w:p>
    <w:p w14:paraId="77FDD741" w14:textId="77777777" w:rsidR="00FA4AA8" w:rsidRDefault="00FA4AA8">
      <w:pPr>
        <w:pStyle w:val="BodyText"/>
        <w:rPr>
          <w:b/>
          <w:sz w:val="25"/>
        </w:rPr>
      </w:pPr>
    </w:p>
    <w:p w14:paraId="6037CEB3" w14:textId="77777777" w:rsidR="00FA4AA8" w:rsidRDefault="0015611F">
      <w:pPr>
        <w:pStyle w:val="ListParagraph"/>
        <w:numPr>
          <w:ilvl w:val="0"/>
          <w:numId w:val="6"/>
        </w:numPr>
        <w:tabs>
          <w:tab w:val="left" w:pos="1130"/>
          <w:tab w:val="left" w:pos="1131"/>
        </w:tabs>
        <w:rPr>
          <w:b/>
          <w:sz w:val="18"/>
        </w:rPr>
      </w:pPr>
      <w:r>
        <w:rPr>
          <w:b/>
          <w:sz w:val="18"/>
        </w:rPr>
        <w:t>Basis of Preparation</w:t>
      </w:r>
    </w:p>
    <w:p w14:paraId="58018D0E" w14:textId="77777777" w:rsidR="00FA4AA8" w:rsidRDefault="0015611F">
      <w:pPr>
        <w:spacing w:before="146"/>
        <w:ind w:left="1130" w:right="111"/>
        <w:jc w:val="both"/>
        <w:rPr>
          <w:sz w:val="18"/>
        </w:rPr>
      </w:pPr>
      <w:r>
        <w:rPr>
          <w:sz w:val="18"/>
        </w:rPr>
        <w:t xml:space="preserve">These financial statements are general purpose financial statements that have been prepared in accordance with Australian Accounting Standards (including Reduced Disclosure Requirements and Australian Accounting Interpretations), the </w:t>
      </w:r>
      <w:r>
        <w:rPr>
          <w:i/>
          <w:sz w:val="18"/>
        </w:rPr>
        <w:t>Corporations Act 2001</w:t>
      </w:r>
      <w:r>
        <w:rPr>
          <w:sz w:val="18"/>
        </w:rPr>
        <w:t xml:space="preserve">, the requirements of the </w:t>
      </w:r>
      <w:r>
        <w:rPr>
          <w:i/>
          <w:sz w:val="18"/>
        </w:rPr>
        <w:t>Public Finance &amp; Audit Act 1983</w:t>
      </w:r>
      <w:r>
        <w:rPr>
          <w:sz w:val="18"/>
        </w:rPr>
        <w:t xml:space="preserve">, </w:t>
      </w:r>
      <w:r>
        <w:rPr>
          <w:i/>
          <w:sz w:val="18"/>
        </w:rPr>
        <w:t xml:space="preserve">Public Finance and Audit Regulation 2015 </w:t>
      </w:r>
      <w:r>
        <w:rPr>
          <w:sz w:val="18"/>
        </w:rPr>
        <w:t>and other authoritative pronouncements of the Australian Accounting Standards Board (AASB).</w:t>
      </w:r>
    </w:p>
    <w:p w14:paraId="4E8D3EBB" w14:textId="77777777" w:rsidR="00FA4AA8" w:rsidRDefault="0015611F">
      <w:pPr>
        <w:pStyle w:val="BodyText"/>
        <w:spacing w:before="144"/>
        <w:ind w:left="1130" w:right="113"/>
        <w:jc w:val="both"/>
      </w:pPr>
      <w:r>
        <w:t>These financial statements and notes of the Company comply with Australian Accounting Standards some of which contain requirements specific to not-for-profit entities that are inconsistent with International Financial Reporting Standards (IFRS) requirements.</w:t>
      </w:r>
    </w:p>
    <w:p w14:paraId="1BAC7450" w14:textId="77777777" w:rsidR="00FA4AA8" w:rsidRDefault="0015611F">
      <w:pPr>
        <w:pStyle w:val="BodyText"/>
        <w:spacing w:before="144"/>
        <w:ind w:left="1130" w:right="113"/>
        <w:jc w:val="both"/>
      </w:pPr>
      <w:r>
        <w:t>The financial statements have been prepared on an accruals basis and are based on historical costs, modified, where applicable, by the measurement at fair value of selected non-current assets, financial assets and financial liabilities.</w:t>
      </w:r>
    </w:p>
    <w:p w14:paraId="41F6D583" w14:textId="77777777" w:rsidR="00FA4AA8" w:rsidRDefault="00FA4AA8">
      <w:pPr>
        <w:pStyle w:val="BodyText"/>
        <w:spacing w:before="10"/>
        <w:rPr>
          <w:sz w:val="24"/>
        </w:rPr>
      </w:pPr>
    </w:p>
    <w:p w14:paraId="3569E220" w14:textId="77777777" w:rsidR="00FA4AA8" w:rsidRDefault="0015611F">
      <w:pPr>
        <w:numPr>
          <w:ilvl w:val="0"/>
          <w:numId w:val="6"/>
        </w:numPr>
        <w:tabs>
          <w:tab w:val="left" w:pos="1130"/>
          <w:tab w:val="left" w:pos="1131"/>
        </w:tabs>
        <w:rPr>
          <w:b/>
          <w:sz w:val="18"/>
        </w:rPr>
      </w:pPr>
      <w:r>
        <w:rPr>
          <w:b/>
          <w:sz w:val="18"/>
        </w:rPr>
        <w:t>Revenue recognition</w:t>
      </w:r>
    </w:p>
    <w:p w14:paraId="3A14AFCE" w14:textId="77777777" w:rsidR="00FA4AA8" w:rsidRDefault="0015611F">
      <w:pPr>
        <w:pStyle w:val="BodyText"/>
        <w:spacing w:before="146"/>
        <w:ind w:left="1130" w:right="114"/>
        <w:jc w:val="both"/>
      </w:pPr>
      <w:r>
        <w:t>The Company recognises revenue when the amount of revenue can be reliably measured, it is probable that future economic benefits will flow to the entity and specific criteria have been met for each of the Company's activities. The Company bases its estimates on historical results, taking into consideration the type of customer, the type of transaction and the specifics of each arrangement.</w:t>
      </w:r>
    </w:p>
    <w:p w14:paraId="46A944EE" w14:textId="77777777" w:rsidR="00FA4AA8" w:rsidRDefault="00FA4AA8">
      <w:pPr>
        <w:pStyle w:val="BodyText"/>
        <w:spacing w:before="10"/>
        <w:rPr>
          <w:sz w:val="24"/>
        </w:rPr>
      </w:pPr>
    </w:p>
    <w:p w14:paraId="66C64928" w14:textId="77777777" w:rsidR="00FA4AA8" w:rsidRDefault="0015611F">
      <w:pPr>
        <w:numPr>
          <w:ilvl w:val="0"/>
          <w:numId w:val="6"/>
        </w:numPr>
        <w:tabs>
          <w:tab w:val="left" w:pos="1130"/>
          <w:tab w:val="left" w:pos="1131"/>
        </w:tabs>
        <w:rPr>
          <w:b/>
          <w:sz w:val="18"/>
        </w:rPr>
      </w:pPr>
      <w:r>
        <w:rPr>
          <w:b/>
          <w:sz w:val="18"/>
        </w:rPr>
        <w:t>Income tax</w:t>
      </w:r>
      <w:r>
        <w:rPr>
          <w:b/>
          <w:spacing w:val="-1"/>
          <w:sz w:val="18"/>
        </w:rPr>
        <w:t xml:space="preserve"> </w:t>
      </w:r>
      <w:r>
        <w:rPr>
          <w:b/>
          <w:sz w:val="18"/>
        </w:rPr>
        <w:t>exemption</w:t>
      </w:r>
    </w:p>
    <w:p w14:paraId="5FF1768B" w14:textId="77777777" w:rsidR="00FA4AA8" w:rsidRDefault="00FA4AA8">
      <w:pPr>
        <w:pStyle w:val="BodyText"/>
        <w:rPr>
          <w:b/>
          <w:sz w:val="25"/>
        </w:rPr>
      </w:pPr>
    </w:p>
    <w:p w14:paraId="4D5DABBB" w14:textId="77777777" w:rsidR="00FA4AA8" w:rsidRDefault="0015611F">
      <w:pPr>
        <w:ind w:left="1130"/>
        <w:rPr>
          <w:sz w:val="18"/>
        </w:rPr>
      </w:pPr>
      <w:r>
        <w:rPr>
          <w:sz w:val="18"/>
        </w:rPr>
        <w:t xml:space="preserve">The Company is exempt from the payment of tax by virtue of section 50 B of the </w:t>
      </w:r>
      <w:r>
        <w:rPr>
          <w:i/>
          <w:sz w:val="18"/>
        </w:rPr>
        <w:t>Income Tax Assessment Act 1997</w:t>
      </w:r>
      <w:r>
        <w:rPr>
          <w:sz w:val="18"/>
        </w:rPr>
        <w:t>.</w:t>
      </w:r>
    </w:p>
    <w:p w14:paraId="1D91FABB" w14:textId="77777777" w:rsidR="00FA4AA8" w:rsidRDefault="00FA4AA8">
      <w:pPr>
        <w:pStyle w:val="BodyText"/>
        <w:spacing w:before="10"/>
        <w:rPr>
          <w:sz w:val="24"/>
        </w:rPr>
      </w:pPr>
    </w:p>
    <w:p w14:paraId="044C8A97" w14:textId="77777777" w:rsidR="00FA4AA8" w:rsidRDefault="0015611F">
      <w:pPr>
        <w:numPr>
          <w:ilvl w:val="0"/>
          <w:numId w:val="6"/>
        </w:numPr>
        <w:tabs>
          <w:tab w:val="left" w:pos="1130"/>
          <w:tab w:val="left" w:pos="1131"/>
        </w:tabs>
        <w:spacing w:before="1"/>
        <w:rPr>
          <w:b/>
          <w:sz w:val="18"/>
        </w:rPr>
      </w:pPr>
      <w:r>
        <w:rPr>
          <w:b/>
          <w:sz w:val="18"/>
        </w:rPr>
        <w:t>Foreign currency transactions and</w:t>
      </w:r>
      <w:r>
        <w:rPr>
          <w:b/>
          <w:spacing w:val="-1"/>
          <w:sz w:val="18"/>
        </w:rPr>
        <w:t xml:space="preserve"> </w:t>
      </w:r>
      <w:r>
        <w:rPr>
          <w:b/>
          <w:sz w:val="18"/>
        </w:rPr>
        <w:t>balances</w:t>
      </w:r>
    </w:p>
    <w:p w14:paraId="076D6E3E" w14:textId="77777777" w:rsidR="00FA4AA8" w:rsidRDefault="00FA4AA8">
      <w:pPr>
        <w:pStyle w:val="BodyText"/>
        <w:spacing w:before="11"/>
        <w:rPr>
          <w:b/>
          <w:sz w:val="24"/>
        </w:rPr>
      </w:pPr>
    </w:p>
    <w:p w14:paraId="0C2AFA85" w14:textId="77777777" w:rsidR="00FA4AA8" w:rsidRDefault="0015611F">
      <w:pPr>
        <w:pStyle w:val="BodyText"/>
        <w:ind w:left="1130" w:right="305"/>
      </w:pPr>
      <w:r>
        <w:t>The functional currency of the Company is measured using the currency of the primary economic environment which is Australian dollars. The financial statements are presented in Australian dollars which is the ultimate parent entity's functional and presentation currency.</w:t>
      </w:r>
    </w:p>
    <w:p w14:paraId="67D98A6B" w14:textId="77777777" w:rsidR="00FA4AA8" w:rsidRDefault="00FA4AA8">
      <w:pPr>
        <w:sectPr w:rsidR="00FA4AA8">
          <w:headerReference w:type="default" r:id="rId191"/>
          <w:footerReference w:type="default" r:id="rId192"/>
          <w:pgSz w:w="11910" w:h="16840"/>
          <w:pgMar w:top="2500" w:right="860" w:bottom="720" w:left="840" w:header="1017" w:footer="523" w:gutter="0"/>
          <w:pgNumType w:start="180"/>
          <w:cols w:space="720"/>
        </w:sectPr>
      </w:pPr>
    </w:p>
    <w:p w14:paraId="1FA01D5D" w14:textId="77777777" w:rsidR="00FA4AA8" w:rsidRDefault="00FA4AA8">
      <w:pPr>
        <w:pStyle w:val="BodyText"/>
        <w:rPr>
          <w:sz w:val="20"/>
        </w:rPr>
      </w:pPr>
    </w:p>
    <w:p w14:paraId="5C93413D" w14:textId="77777777" w:rsidR="00FA4AA8" w:rsidRDefault="00FA4AA8">
      <w:pPr>
        <w:pStyle w:val="BodyText"/>
        <w:spacing w:before="9"/>
        <w:rPr>
          <w:sz w:val="29"/>
        </w:rPr>
      </w:pPr>
    </w:p>
    <w:p w14:paraId="183AB3CE" w14:textId="77777777" w:rsidR="00FA4AA8" w:rsidRDefault="0015611F">
      <w:pPr>
        <w:numPr>
          <w:ilvl w:val="0"/>
          <w:numId w:val="41"/>
        </w:numPr>
        <w:tabs>
          <w:tab w:val="left" w:pos="563"/>
          <w:tab w:val="left" w:pos="564"/>
        </w:tabs>
        <w:spacing w:before="94"/>
        <w:rPr>
          <w:b/>
          <w:sz w:val="18"/>
        </w:rPr>
      </w:pPr>
      <w:r>
        <w:rPr>
          <w:b/>
          <w:sz w:val="18"/>
        </w:rPr>
        <w:t>Summary of Significant Accounting Policies</w:t>
      </w:r>
      <w:r>
        <w:rPr>
          <w:b/>
          <w:spacing w:val="-2"/>
          <w:sz w:val="18"/>
        </w:rPr>
        <w:t xml:space="preserve"> </w:t>
      </w:r>
      <w:r>
        <w:rPr>
          <w:b/>
          <w:sz w:val="18"/>
        </w:rPr>
        <w:t>(continued)</w:t>
      </w:r>
    </w:p>
    <w:p w14:paraId="1F1095DE" w14:textId="77777777" w:rsidR="00FA4AA8" w:rsidRDefault="00FA4AA8">
      <w:pPr>
        <w:pStyle w:val="BodyText"/>
        <w:rPr>
          <w:b/>
          <w:sz w:val="25"/>
        </w:rPr>
      </w:pPr>
    </w:p>
    <w:p w14:paraId="5A5229AF" w14:textId="77777777" w:rsidR="00FA4AA8" w:rsidRDefault="0015611F">
      <w:pPr>
        <w:pStyle w:val="ListParagraph"/>
        <w:numPr>
          <w:ilvl w:val="0"/>
          <w:numId w:val="6"/>
        </w:numPr>
        <w:tabs>
          <w:tab w:val="left" w:pos="1130"/>
          <w:tab w:val="left" w:pos="1131"/>
        </w:tabs>
        <w:rPr>
          <w:b/>
          <w:sz w:val="18"/>
        </w:rPr>
      </w:pPr>
      <w:r>
        <w:rPr>
          <w:b/>
          <w:sz w:val="18"/>
        </w:rPr>
        <w:t>Goods and Services Tax</w:t>
      </w:r>
      <w:r>
        <w:rPr>
          <w:b/>
          <w:spacing w:val="-2"/>
          <w:sz w:val="18"/>
        </w:rPr>
        <w:t xml:space="preserve"> </w:t>
      </w:r>
      <w:r>
        <w:rPr>
          <w:b/>
          <w:sz w:val="18"/>
        </w:rPr>
        <w:t>(GST)</w:t>
      </w:r>
    </w:p>
    <w:p w14:paraId="1D15F5B8" w14:textId="77777777" w:rsidR="00FA4AA8" w:rsidRDefault="0015611F">
      <w:pPr>
        <w:pStyle w:val="BodyText"/>
        <w:spacing w:before="146"/>
        <w:ind w:left="1130" w:right="114"/>
        <w:jc w:val="both"/>
      </w:pPr>
      <w:r>
        <w:t>Revenues, expenses and assets are recognised net of the amount of associated GST, unless the GST incurred is not recoverable from the Australian Taxation Office. In this case, it is recognised as part of the cost of acquisition of the asset or as part of the expense.</w:t>
      </w:r>
    </w:p>
    <w:p w14:paraId="6E8050D5" w14:textId="77777777" w:rsidR="00FA4AA8" w:rsidRDefault="0015611F">
      <w:pPr>
        <w:pStyle w:val="BodyText"/>
        <w:spacing w:before="144"/>
        <w:ind w:left="1130" w:right="114" w:hanging="1"/>
        <w:jc w:val="both"/>
      </w:pPr>
      <w:r>
        <w:t>Receivables and payables are stated inclusive of the amount of GST receivable or payable. The net amount of GST recoverable from, or payable to, the Australian Taxation Office is included with other receivables or payables in the statement of financial position.</w:t>
      </w:r>
    </w:p>
    <w:p w14:paraId="4BA9F609" w14:textId="77777777" w:rsidR="00FA4AA8" w:rsidRDefault="0015611F">
      <w:pPr>
        <w:pStyle w:val="BodyText"/>
        <w:spacing w:before="145"/>
        <w:ind w:left="1130" w:right="115"/>
        <w:jc w:val="both"/>
      </w:pPr>
      <w:r>
        <w:t>Cash flows are presented on a gross basis. The GST components of cash flows arising from investing or financing activities which are recoverable from, or payable to the Australian Taxation Office, are presented as operating cash flows.</w:t>
      </w:r>
    </w:p>
    <w:p w14:paraId="52509E72" w14:textId="77777777" w:rsidR="00FA4AA8" w:rsidRDefault="00FA4AA8">
      <w:pPr>
        <w:pStyle w:val="BodyText"/>
        <w:spacing w:before="10"/>
        <w:rPr>
          <w:sz w:val="24"/>
        </w:rPr>
      </w:pPr>
    </w:p>
    <w:p w14:paraId="79DB59D2" w14:textId="77777777" w:rsidR="00FA4AA8" w:rsidRDefault="0015611F">
      <w:pPr>
        <w:numPr>
          <w:ilvl w:val="0"/>
          <w:numId w:val="6"/>
        </w:numPr>
        <w:tabs>
          <w:tab w:val="left" w:pos="1130"/>
          <w:tab w:val="left" w:pos="1131"/>
        </w:tabs>
        <w:rPr>
          <w:b/>
          <w:sz w:val="18"/>
        </w:rPr>
      </w:pPr>
      <w:r>
        <w:rPr>
          <w:b/>
          <w:sz w:val="18"/>
        </w:rPr>
        <w:t>Comparative amounts</w:t>
      </w:r>
    </w:p>
    <w:p w14:paraId="6F11C865" w14:textId="77777777" w:rsidR="00FA4AA8" w:rsidRDefault="0015611F">
      <w:pPr>
        <w:pStyle w:val="BodyText"/>
        <w:spacing w:before="146"/>
        <w:ind w:left="1130"/>
        <w:jc w:val="both"/>
      </w:pPr>
      <w:r>
        <w:t>Comparative information is presented consistent with the previous year unless otherwise stated.</w:t>
      </w:r>
    </w:p>
    <w:p w14:paraId="1841B551" w14:textId="77777777" w:rsidR="00FA4AA8" w:rsidRDefault="00FA4AA8">
      <w:pPr>
        <w:pStyle w:val="BodyText"/>
        <w:rPr>
          <w:sz w:val="25"/>
        </w:rPr>
      </w:pPr>
    </w:p>
    <w:p w14:paraId="2BD5AA30" w14:textId="77777777" w:rsidR="00FA4AA8" w:rsidRDefault="0015611F">
      <w:pPr>
        <w:numPr>
          <w:ilvl w:val="0"/>
          <w:numId w:val="6"/>
        </w:numPr>
        <w:tabs>
          <w:tab w:val="left" w:pos="1130"/>
          <w:tab w:val="left" w:pos="1131"/>
        </w:tabs>
        <w:rPr>
          <w:b/>
          <w:sz w:val="18"/>
        </w:rPr>
      </w:pPr>
      <w:r>
        <w:rPr>
          <w:b/>
          <w:sz w:val="18"/>
        </w:rPr>
        <w:t>New accounting standards and</w:t>
      </w:r>
      <w:r>
        <w:rPr>
          <w:b/>
          <w:spacing w:val="-1"/>
          <w:sz w:val="18"/>
        </w:rPr>
        <w:t xml:space="preserve"> </w:t>
      </w:r>
      <w:r>
        <w:rPr>
          <w:b/>
          <w:sz w:val="18"/>
        </w:rPr>
        <w:t>interpretations</w:t>
      </w:r>
    </w:p>
    <w:p w14:paraId="3EEEAB09" w14:textId="77777777" w:rsidR="00FA4AA8" w:rsidRDefault="0015611F">
      <w:pPr>
        <w:pStyle w:val="BodyText"/>
        <w:spacing w:before="146"/>
        <w:ind w:left="1130" w:right="114" w:hanging="1"/>
        <w:jc w:val="both"/>
      </w:pPr>
      <w:r>
        <w:t>Certain new accounting standards and interpretations have been issued but are not mandatory for 31 December 2018 reporting period and have not yet been early adopted in the financial statements. The Company's assessment of the impact of these new standards and interpretations is that they will not materially affect any of the amounts recognised in the financial statements or significantly impact the disclosures in relation to the Company.</w:t>
      </w:r>
    </w:p>
    <w:p w14:paraId="65244991" w14:textId="77777777" w:rsidR="00FA4AA8" w:rsidRDefault="00FA4AA8">
      <w:pPr>
        <w:pStyle w:val="BodyText"/>
        <w:spacing w:before="9"/>
        <w:rPr>
          <w:sz w:val="24"/>
        </w:rPr>
      </w:pPr>
    </w:p>
    <w:p w14:paraId="3C271C96" w14:textId="77777777" w:rsidR="00FA4AA8" w:rsidRDefault="0015611F">
      <w:pPr>
        <w:numPr>
          <w:ilvl w:val="0"/>
          <w:numId w:val="6"/>
        </w:numPr>
        <w:tabs>
          <w:tab w:val="left" w:pos="1130"/>
          <w:tab w:val="left" w:pos="1131"/>
        </w:tabs>
        <w:rPr>
          <w:b/>
          <w:sz w:val="18"/>
        </w:rPr>
      </w:pPr>
      <w:r>
        <w:rPr>
          <w:b/>
          <w:sz w:val="18"/>
        </w:rPr>
        <w:t>Critical accounting estimates and</w:t>
      </w:r>
      <w:r>
        <w:rPr>
          <w:b/>
          <w:spacing w:val="-1"/>
          <w:sz w:val="18"/>
        </w:rPr>
        <w:t xml:space="preserve"> </w:t>
      </w:r>
      <w:r>
        <w:rPr>
          <w:b/>
          <w:sz w:val="18"/>
        </w:rPr>
        <w:t>judgments</w:t>
      </w:r>
    </w:p>
    <w:p w14:paraId="43808953" w14:textId="77777777" w:rsidR="00FA4AA8" w:rsidRDefault="0015611F">
      <w:pPr>
        <w:pStyle w:val="BodyText"/>
        <w:spacing w:before="146"/>
        <w:ind w:left="1130" w:right="114"/>
        <w:jc w:val="both"/>
      </w:pPr>
      <w:r>
        <w:t>The preparation of financial statements requires the use of certain critical accounting estimates. It also requires Management to exercise its judgement in the process of applying the Company's accounting policies. Estimates and judgements are continually evaluated and are based on historic experience and other factors, including expectations of future events that may have a financial impact on the Company and that are believed to be reasonable under the circumstances.</w:t>
      </w:r>
    </w:p>
    <w:p w14:paraId="3520FF08" w14:textId="77777777" w:rsidR="00FA4AA8" w:rsidRDefault="0015611F">
      <w:pPr>
        <w:pStyle w:val="BodyText"/>
        <w:spacing w:before="143"/>
        <w:ind w:left="1130" w:right="111"/>
        <w:jc w:val="both"/>
      </w:pPr>
      <w:r>
        <w:t>There</w:t>
      </w:r>
      <w:r>
        <w:rPr>
          <w:spacing w:val="-4"/>
        </w:rPr>
        <w:t xml:space="preserve"> </w:t>
      </w:r>
      <w:r>
        <w:t>are</w:t>
      </w:r>
      <w:r>
        <w:rPr>
          <w:spacing w:val="-3"/>
        </w:rPr>
        <w:t xml:space="preserve"> </w:t>
      </w:r>
      <w:r>
        <w:t>no</w:t>
      </w:r>
      <w:r>
        <w:rPr>
          <w:spacing w:val="-5"/>
        </w:rPr>
        <w:t xml:space="preserve"> </w:t>
      </w:r>
      <w:r>
        <w:t>areas</w:t>
      </w:r>
      <w:r>
        <w:rPr>
          <w:spacing w:val="-4"/>
        </w:rPr>
        <w:t xml:space="preserve"> </w:t>
      </w:r>
      <w:r>
        <w:t>which</w:t>
      </w:r>
      <w:r>
        <w:rPr>
          <w:spacing w:val="-4"/>
        </w:rPr>
        <w:t xml:space="preserve"> </w:t>
      </w:r>
      <w:r>
        <w:t>involve</w:t>
      </w:r>
      <w:r>
        <w:rPr>
          <w:spacing w:val="-4"/>
        </w:rPr>
        <w:t xml:space="preserve"> </w:t>
      </w:r>
      <w:r>
        <w:t>a</w:t>
      </w:r>
      <w:r>
        <w:rPr>
          <w:spacing w:val="-5"/>
        </w:rPr>
        <w:t xml:space="preserve"> </w:t>
      </w:r>
      <w:r>
        <w:t>high</w:t>
      </w:r>
      <w:r>
        <w:rPr>
          <w:spacing w:val="-4"/>
        </w:rPr>
        <w:t xml:space="preserve"> </w:t>
      </w:r>
      <w:r>
        <w:t>degree</w:t>
      </w:r>
      <w:r>
        <w:rPr>
          <w:spacing w:val="-4"/>
        </w:rPr>
        <w:t xml:space="preserve"> </w:t>
      </w:r>
      <w:r>
        <w:t>of</w:t>
      </w:r>
      <w:r>
        <w:rPr>
          <w:spacing w:val="-5"/>
        </w:rPr>
        <w:t xml:space="preserve"> </w:t>
      </w:r>
      <w:r>
        <w:t>judgement</w:t>
      </w:r>
      <w:r>
        <w:rPr>
          <w:spacing w:val="-4"/>
        </w:rPr>
        <w:t xml:space="preserve"> </w:t>
      </w:r>
      <w:r>
        <w:t>or</w:t>
      </w:r>
      <w:r>
        <w:rPr>
          <w:spacing w:val="-4"/>
        </w:rPr>
        <w:t xml:space="preserve"> </w:t>
      </w:r>
      <w:r>
        <w:t>complexity</w:t>
      </w:r>
      <w:r>
        <w:rPr>
          <w:spacing w:val="-6"/>
        </w:rPr>
        <w:t xml:space="preserve"> </w:t>
      </w:r>
      <w:r>
        <w:t>or</w:t>
      </w:r>
      <w:r>
        <w:rPr>
          <w:spacing w:val="-5"/>
        </w:rPr>
        <w:t xml:space="preserve"> </w:t>
      </w:r>
      <w:r>
        <w:t>where</w:t>
      </w:r>
      <w:r>
        <w:rPr>
          <w:spacing w:val="-4"/>
        </w:rPr>
        <w:t xml:space="preserve"> </w:t>
      </w:r>
      <w:r>
        <w:t>assumptions</w:t>
      </w:r>
      <w:r>
        <w:rPr>
          <w:spacing w:val="-4"/>
        </w:rPr>
        <w:t xml:space="preserve"> </w:t>
      </w:r>
      <w:r>
        <w:t>and</w:t>
      </w:r>
      <w:r>
        <w:rPr>
          <w:spacing w:val="-5"/>
        </w:rPr>
        <w:t xml:space="preserve"> </w:t>
      </w:r>
      <w:r>
        <w:t>estimates are significant to the financial statements of the</w:t>
      </w:r>
      <w:r>
        <w:rPr>
          <w:spacing w:val="-1"/>
        </w:rPr>
        <w:t xml:space="preserve"> </w:t>
      </w:r>
      <w:r>
        <w:t>Company.</w:t>
      </w:r>
    </w:p>
    <w:p w14:paraId="4DE4B37E" w14:textId="77777777" w:rsidR="00FA4AA8" w:rsidRDefault="00FA4AA8">
      <w:pPr>
        <w:pStyle w:val="BodyText"/>
        <w:spacing w:before="11"/>
        <w:rPr>
          <w:sz w:val="24"/>
        </w:rPr>
      </w:pPr>
    </w:p>
    <w:p w14:paraId="59C6BD97" w14:textId="77777777" w:rsidR="00FA4AA8" w:rsidRDefault="0015611F">
      <w:pPr>
        <w:numPr>
          <w:ilvl w:val="0"/>
          <w:numId w:val="6"/>
        </w:numPr>
        <w:tabs>
          <w:tab w:val="left" w:pos="1130"/>
          <w:tab w:val="left" w:pos="1131"/>
        </w:tabs>
        <w:rPr>
          <w:b/>
          <w:sz w:val="18"/>
        </w:rPr>
      </w:pPr>
      <w:r>
        <w:rPr>
          <w:b/>
          <w:sz w:val="18"/>
        </w:rPr>
        <w:t>Adoption of new and revised accounting</w:t>
      </w:r>
      <w:r>
        <w:rPr>
          <w:b/>
          <w:spacing w:val="-1"/>
          <w:sz w:val="18"/>
        </w:rPr>
        <w:t xml:space="preserve"> </w:t>
      </w:r>
      <w:r>
        <w:rPr>
          <w:b/>
          <w:sz w:val="18"/>
        </w:rPr>
        <w:t>standards</w:t>
      </w:r>
    </w:p>
    <w:p w14:paraId="38643B5F" w14:textId="77777777" w:rsidR="00FA4AA8" w:rsidRDefault="00FA4AA8">
      <w:pPr>
        <w:pStyle w:val="BodyText"/>
        <w:rPr>
          <w:b/>
          <w:sz w:val="25"/>
        </w:rPr>
      </w:pPr>
    </w:p>
    <w:p w14:paraId="78468C77" w14:textId="77777777" w:rsidR="00FA4AA8" w:rsidRDefault="0015611F">
      <w:pPr>
        <w:pStyle w:val="BodyText"/>
        <w:ind w:left="1130" w:right="106" w:hanging="1"/>
      </w:pPr>
      <w:r>
        <w:t xml:space="preserve">The Company has adopted all standards which became effective for the first time for the financial year beginning 1 January </w:t>
      </w:r>
      <w:r w:rsidR="006C5E68">
        <w:t>2018.</w:t>
      </w:r>
      <w:r>
        <w:t xml:space="preserve"> The adoption of these standards has not caused any material adjustments to the reported financial position, performance or cash flow of the Company:</w:t>
      </w:r>
    </w:p>
    <w:p w14:paraId="4587B315" w14:textId="77777777" w:rsidR="00FA4AA8" w:rsidRDefault="00FA4AA8">
      <w:pPr>
        <w:pStyle w:val="BodyText"/>
        <w:spacing w:before="6"/>
        <w:rPr>
          <w:sz w:val="26"/>
        </w:rPr>
      </w:pPr>
    </w:p>
    <w:p w14:paraId="01EDFE3B" w14:textId="77777777" w:rsidR="00FA4AA8" w:rsidRDefault="0015611F">
      <w:pPr>
        <w:numPr>
          <w:ilvl w:val="0"/>
          <w:numId w:val="41"/>
        </w:numPr>
        <w:tabs>
          <w:tab w:val="left" w:pos="563"/>
          <w:tab w:val="left" w:pos="564"/>
        </w:tabs>
        <w:spacing w:before="1"/>
        <w:rPr>
          <w:b/>
          <w:sz w:val="18"/>
        </w:rPr>
      </w:pPr>
      <w:r>
        <w:rPr>
          <w:b/>
          <w:sz w:val="18"/>
        </w:rPr>
        <w:t>Expenses</w:t>
      </w:r>
    </w:p>
    <w:p w14:paraId="223EC97E" w14:textId="77777777" w:rsidR="00FA4AA8" w:rsidRDefault="0015611F">
      <w:pPr>
        <w:pStyle w:val="BodyText"/>
        <w:spacing w:before="150"/>
        <w:ind w:left="565"/>
      </w:pPr>
      <w:r>
        <w:t>No expenses were paid by the ultimate parent entity on behalf of the Company during 2018 (2017: NIL).</w:t>
      </w:r>
    </w:p>
    <w:p w14:paraId="5DC4B91F" w14:textId="77777777" w:rsidR="00FA4AA8" w:rsidRDefault="00FA4AA8">
      <w:pPr>
        <w:pStyle w:val="BodyText"/>
        <w:rPr>
          <w:sz w:val="25"/>
        </w:rPr>
      </w:pPr>
    </w:p>
    <w:p w14:paraId="5EFEBCA4" w14:textId="77777777" w:rsidR="00FA4AA8" w:rsidRDefault="0015611F">
      <w:pPr>
        <w:numPr>
          <w:ilvl w:val="0"/>
          <w:numId w:val="41"/>
        </w:numPr>
        <w:tabs>
          <w:tab w:val="left" w:pos="565"/>
          <w:tab w:val="left" w:pos="566"/>
        </w:tabs>
        <w:ind w:left="565" w:hanging="397"/>
        <w:rPr>
          <w:b/>
          <w:sz w:val="18"/>
        </w:rPr>
      </w:pPr>
      <w:r>
        <w:rPr>
          <w:b/>
          <w:sz w:val="18"/>
        </w:rPr>
        <w:t>Remuneration of Auditors</w:t>
      </w:r>
    </w:p>
    <w:p w14:paraId="6D97CC5F" w14:textId="77777777" w:rsidR="00FA4AA8" w:rsidRDefault="0015611F">
      <w:pPr>
        <w:pStyle w:val="BodyText"/>
        <w:spacing w:before="146"/>
        <w:ind w:left="565" w:right="106"/>
      </w:pPr>
      <w:r>
        <w:t>Full audit fees for 2018 are reflected in the books of the Whitlam Institute within Western Sydney University Trust and will be paid by the ultimate parent entity (2017: NIL).</w:t>
      </w:r>
    </w:p>
    <w:p w14:paraId="73884ED2" w14:textId="77777777" w:rsidR="00FA4AA8" w:rsidRDefault="00FA4AA8">
      <w:pPr>
        <w:sectPr w:rsidR="00FA4AA8">
          <w:pgSz w:w="11910" w:h="16840"/>
          <w:pgMar w:top="2500" w:right="860" w:bottom="720" w:left="840" w:header="1017" w:footer="523" w:gutter="0"/>
          <w:cols w:space="720"/>
        </w:sectPr>
      </w:pPr>
    </w:p>
    <w:p w14:paraId="4F44C74C" w14:textId="77777777" w:rsidR="00FA4AA8" w:rsidRDefault="00FA4AA8">
      <w:pPr>
        <w:pStyle w:val="BodyText"/>
        <w:spacing w:before="8"/>
        <w:rPr>
          <w:sz w:val="24"/>
        </w:rPr>
      </w:pPr>
    </w:p>
    <w:p w14:paraId="1C9E95F0" w14:textId="77777777" w:rsidR="00FA4AA8" w:rsidRDefault="0015611F">
      <w:pPr>
        <w:numPr>
          <w:ilvl w:val="0"/>
          <w:numId w:val="41"/>
        </w:numPr>
        <w:tabs>
          <w:tab w:val="left" w:pos="565"/>
          <w:tab w:val="left" w:pos="566"/>
        </w:tabs>
        <w:spacing w:before="94"/>
        <w:ind w:left="565" w:hanging="397"/>
        <w:rPr>
          <w:b/>
          <w:sz w:val="18"/>
        </w:rPr>
      </w:pPr>
      <w:r>
        <w:rPr>
          <w:b/>
          <w:sz w:val="18"/>
        </w:rPr>
        <w:t>Fair Value Measurement</w:t>
      </w:r>
    </w:p>
    <w:p w14:paraId="0AEADE2D" w14:textId="77777777" w:rsidR="00FA4AA8" w:rsidRDefault="00FA4AA8">
      <w:pPr>
        <w:pStyle w:val="BodyText"/>
        <w:rPr>
          <w:b/>
          <w:sz w:val="25"/>
        </w:rPr>
      </w:pPr>
    </w:p>
    <w:p w14:paraId="6F5A0A7C" w14:textId="77777777" w:rsidR="00FA4AA8" w:rsidRDefault="0015611F">
      <w:pPr>
        <w:pStyle w:val="BodyText"/>
        <w:ind w:left="565"/>
      </w:pPr>
      <w:r>
        <w:t>Fair value measurements of balance sheet items are not categorised given the lack of any assets or liabilities as at 31 December 2018.</w:t>
      </w:r>
    </w:p>
    <w:p w14:paraId="6C512258" w14:textId="77777777" w:rsidR="00FA4AA8" w:rsidRDefault="00FA4AA8">
      <w:pPr>
        <w:pStyle w:val="BodyText"/>
        <w:spacing w:before="9"/>
        <w:rPr>
          <w:sz w:val="16"/>
        </w:rPr>
      </w:pPr>
    </w:p>
    <w:p w14:paraId="7F9F6800" w14:textId="77777777" w:rsidR="00FA4AA8" w:rsidRDefault="00FA4AA8">
      <w:pPr>
        <w:rPr>
          <w:sz w:val="16"/>
        </w:rPr>
        <w:sectPr w:rsidR="00FA4AA8">
          <w:pgSz w:w="11910" w:h="16840"/>
          <w:pgMar w:top="2500" w:right="860" w:bottom="720" w:left="840" w:header="1017" w:footer="523" w:gutter="0"/>
          <w:cols w:space="720"/>
        </w:sectPr>
      </w:pPr>
    </w:p>
    <w:p w14:paraId="2165C6B5" w14:textId="77777777" w:rsidR="00FA4AA8" w:rsidRDefault="0015611F">
      <w:pPr>
        <w:numPr>
          <w:ilvl w:val="0"/>
          <w:numId w:val="41"/>
        </w:numPr>
        <w:tabs>
          <w:tab w:val="left" w:pos="565"/>
          <w:tab w:val="left" w:pos="566"/>
        </w:tabs>
        <w:spacing w:before="94"/>
        <w:ind w:left="565" w:hanging="397"/>
        <w:rPr>
          <w:b/>
          <w:sz w:val="18"/>
        </w:rPr>
      </w:pPr>
      <w:r>
        <w:rPr>
          <w:b/>
          <w:sz w:val="18"/>
        </w:rPr>
        <w:t>Cash and cash</w:t>
      </w:r>
      <w:r>
        <w:rPr>
          <w:b/>
          <w:spacing w:val="-1"/>
          <w:sz w:val="18"/>
        </w:rPr>
        <w:t xml:space="preserve"> </w:t>
      </w:r>
      <w:r>
        <w:rPr>
          <w:b/>
          <w:sz w:val="18"/>
        </w:rPr>
        <w:t>equivalents</w:t>
      </w:r>
    </w:p>
    <w:p w14:paraId="5884C739" w14:textId="77777777" w:rsidR="00FA4AA8" w:rsidRDefault="0015611F">
      <w:pPr>
        <w:pStyle w:val="BodyText"/>
        <w:spacing w:before="2"/>
        <w:rPr>
          <w:b/>
          <w:sz w:val="26"/>
        </w:rPr>
      </w:pPr>
      <w:r>
        <w:br w:type="column"/>
      </w:r>
    </w:p>
    <w:p w14:paraId="78DBBBC2" w14:textId="77777777" w:rsidR="00FA4AA8" w:rsidRDefault="0015611F">
      <w:pPr>
        <w:spacing w:line="207" w:lineRule="exact"/>
        <w:ind w:left="149" w:right="20"/>
        <w:jc w:val="center"/>
        <w:rPr>
          <w:b/>
          <w:sz w:val="18"/>
        </w:rPr>
      </w:pPr>
      <w:r>
        <w:rPr>
          <w:b/>
          <w:sz w:val="18"/>
        </w:rPr>
        <w:t>2018</w:t>
      </w:r>
    </w:p>
    <w:p w14:paraId="20BEEA74" w14:textId="77777777" w:rsidR="00FA4AA8" w:rsidRDefault="0015611F">
      <w:pPr>
        <w:spacing w:line="207" w:lineRule="exact"/>
        <w:ind w:left="128"/>
        <w:jc w:val="center"/>
        <w:rPr>
          <w:b/>
          <w:sz w:val="18"/>
        </w:rPr>
      </w:pPr>
      <w:r>
        <w:rPr>
          <w:b/>
          <w:w w:val="99"/>
          <w:sz w:val="18"/>
        </w:rPr>
        <w:t>$</w:t>
      </w:r>
    </w:p>
    <w:p w14:paraId="57352A0C" w14:textId="77777777" w:rsidR="00FA4AA8" w:rsidRDefault="0015611F">
      <w:pPr>
        <w:pStyle w:val="BodyText"/>
        <w:spacing w:before="2"/>
        <w:rPr>
          <w:b/>
          <w:sz w:val="26"/>
        </w:rPr>
      </w:pPr>
      <w:r>
        <w:br w:type="column"/>
      </w:r>
    </w:p>
    <w:p w14:paraId="2D9AFA42" w14:textId="77777777" w:rsidR="00FA4AA8" w:rsidRDefault="0015611F">
      <w:pPr>
        <w:spacing w:line="207" w:lineRule="exact"/>
        <w:ind w:left="153" w:right="562"/>
        <w:jc w:val="center"/>
        <w:rPr>
          <w:b/>
          <w:sz w:val="18"/>
        </w:rPr>
      </w:pPr>
      <w:r>
        <w:rPr>
          <w:b/>
          <w:sz w:val="18"/>
        </w:rPr>
        <w:t>2017</w:t>
      </w:r>
    </w:p>
    <w:p w14:paraId="2D7F7F08" w14:textId="77777777" w:rsidR="00FA4AA8" w:rsidRDefault="0015611F">
      <w:pPr>
        <w:spacing w:line="207" w:lineRule="exact"/>
        <w:ind w:right="410"/>
        <w:jc w:val="center"/>
        <w:rPr>
          <w:b/>
          <w:sz w:val="18"/>
        </w:rPr>
      </w:pPr>
      <w:r>
        <w:rPr>
          <w:b/>
          <w:w w:val="99"/>
          <w:sz w:val="18"/>
        </w:rPr>
        <w:t>$</w:t>
      </w:r>
    </w:p>
    <w:p w14:paraId="0F393392" w14:textId="77777777" w:rsidR="00FA4AA8" w:rsidRDefault="00FA4AA8">
      <w:pPr>
        <w:spacing w:line="207" w:lineRule="exact"/>
        <w:jc w:val="center"/>
        <w:rPr>
          <w:sz w:val="18"/>
        </w:rPr>
        <w:sectPr w:rsidR="00FA4AA8">
          <w:type w:val="continuous"/>
          <w:pgSz w:w="11910" w:h="16840"/>
          <w:pgMar w:top="20" w:right="860" w:bottom="0" w:left="840" w:header="720" w:footer="720" w:gutter="0"/>
          <w:cols w:num="3" w:space="720" w:equalWidth="0">
            <w:col w:w="2917" w:space="4854"/>
            <w:col w:w="610" w:space="673"/>
            <w:col w:w="1156"/>
          </w:cols>
        </w:sectPr>
      </w:pPr>
    </w:p>
    <w:p w14:paraId="207C1D77" w14:textId="77777777" w:rsidR="00FA4AA8" w:rsidRDefault="0015611F">
      <w:pPr>
        <w:pStyle w:val="BodyText"/>
        <w:tabs>
          <w:tab w:val="left" w:pos="7490"/>
          <w:tab w:val="left" w:pos="8599"/>
          <w:tab w:val="left" w:pos="9897"/>
        </w:tabs>
        <w:spacing w:before="84"/>
        <w:ind w:left="563"/>
      </w:pPr>
      <w:r>
        <w:t>Cash at bank and</w:t>
      </w:r>
      <w:r>
        <w:rPr>
          <w:spacing w:val="-1"/>
        </w:rPr>
        <w:t xml:space="preserve"> </w:t>
      </w:r>
      <w:r>
        <w:t>in hand</w:t>
      </w:r>
      <w:r>
        <w:tab/>
      </w:r>
      <w:r>
        <w:rPr>
          <w:position w:val="-2"/>
          <w:u w:val="single"/>
        </w:rPr>
        <w:t xml:space="preserve"> </w:t>
      </w:r>
      <w:r>
        <w:rPr>
          <w:position w:val="-2"/>
          <w:u w:val="single"/>
        </w:rPr>
        <w:tab/>
      </w:r>
      <w:r>
        <w:rPr>
          <w:b/>
          <w:position w:val="-2"/>
          <w:u w:val="single"/>
        </w:rPr>
        <w:t>1</w:t>
      </w:r>
      <w:r>
        <w:rPr>
          <w:b/>
          <w:position w:val="-2"/>
          <w:u w:val="single"/>
        </w:rPr>
        <w:tab/>
      </w:r>
      <w:r>
        <w:rPr>
          <w:position w:val="-2"/>
          <w:u w:val="single"/>
        </w:rPr>
        <w:t>1</w:t>
      </w:r>
      <w:r>
        <w:rPr>
          <w:spacing w:val="-13"/>
          <w:position w:val="-2"/>
          <w:u w:val="single"/>
        </w:rPr>
        <w:t xml:space="preserve"> </w:t>
      </w:r>
    </w:p>
    <w:p w14:paraId="54832543" w14:textId="77777777" w:rsidR="00FA4AA8" w:rsidRDefault="0015611F">
      <w:pPr>
        <w:spacing w:before="7" w:line="207" w:lineRule="exact"/>
        <w:ind w:left="563"/>
        <w:rPr>
          <w:b/>
          <w:sz w:val="18"/>
        </w:rPr>
      </w:pPr>
      <w:r>
        <w:rPr>
          <w:b/>
          <w:sz w:val="18"/>
        </w:rPr>
        <w:t>Total cash and cash equivalents in statement of</w:t>
      </w:r>
    </w:p>
    <w:p w14:paraId="46395CAC" w14:textId="77777777" w:rsidR="00FA4AA8" w:rsidRDefault="0015611F">
      <w:pPr>
        <w:tabs>
          <w:tab w:val="left" w:pos="7490"/>
          <w:tab w:val="left" w:pos="8599"/>
          <w:tab w:val="left" w:pos="9897"/>
        </w:tabs>
        <w:spacing w:line="207" w:lineRule="exact"/>
        <w:ind w:left="564"/>
        <w:rPr>
          <w:sz w:val="18"/>
        </w:rPr>
      </w:pPr>
      <w:r>
        <w:rPr>
          <w:b/>
          <w:sz w:val="18"/>
        </w:rPr>
        <w:t>financial position &amp; statement of cash flows</w:t>
      </w:r>
      <w:r>
        <w:rPr>
          <w:b/>
          <w:sz w:val="18"/>
        </w:rPr>
        <w:tab/>
      </w:r>
      <w:r>
        <w:rPr>
          <w:b/>
          <w:sz w:val="18"/>
          <w:u w:val="single"/>
        </w:rPr>
        <w:t xml:space="preserve"> </w:t>
      </w:r>
      <w:r>
        <w:rPr>
          <w:b/>
          <w:sz w:val="18"/>
          <w:u w:val="single"/>
        </w:rPr>
        <w:tab/>
        <w:t>1</w:t>
      </w:r>
      <w:r>
        <w:rPr>
          <w:b/>
          <w:sz w:val="18"/>
          <w:u w:val="single"/>
        </w:rPr>
        <w:tab/>
      </w:r>
      <w:r>
        <w:rPr>
          <w:sz w:val="18"/>
          <w:u w:val="single"/>
        </w:rPr>
        <w:t>1</w:t>
      </w:r>
      <w:r>
        <w:rPr>
          <w:spacing w:val="-13"/>
          <w:sz w:val="18"/>
          <w:u w:val="single"/>
        </w:rPr>
        <w:t xml:space="preserve"> </w:t>
      </w:r>
    </w:p>
    <w:p w14:paraId="21A50A74" w14:textId="77777777" w:rsidR="00FA4AA8" w:rsidRDefault="00FA4AA8">
      <w:pPr>
        <w:pStyle w:val="BodyText"/>
        <w:spacing w:before="2"/>
        <w:rPr>
          <w:sz w:val="20"/>
        </w:rPr>
      </w:pPr>
    </w:p>
    <w:p w14:paraId="538EC10E" w14:textId="77777777" w:rsidR="00FA4AA8" w:rsidRDefault="0015611F">
      <w:pPr>
        <w:pStyle w:val="ListParagraph"/>
        <w:numPr>
          <w:ilvl w:val="1"/>
          <w:numId w:val="41"/>
        </w:numPr>
        <w:tabs>
          <w:tab w:val="left" w:pos="1131"/>
          <w:tab w:val="left" w:pos="1132"/>
        </w:tabs>
        <w:spacing w:before="94"/>
        <w:rPr>
          <w:b/>
          <w:sz w:val="18"/>
        </w:rPr>
      </w:pPr>
      <w:r>
        <w:rPr>
          <w:b/>
          <w:sz w:val="18"/>
        </w:rPr>
        <w:t>Accounting policy</w:t>
      </w:r>
    </w:p>
    <w:p w14:paraId="269129C7" w14:textId="77777777" w:rsidR="00FA4AA8" w:rsidRDefault="0015611F">
      <w:pPr>
        <w:pStyle w:val="BodyText"/>
        <w:spacing w:before="150"/>
        <w:ind w:left="1130" w:right="114"/>
        <w:jc w:val="both"/>
      </w:pPr>
      <w:r>
        <w:t>For the statement of cash flow presentation purposes cash and cash equivalents includes cash on hand, deposits held at call with financial institutions, other short term, highly liquid investments with original maturities of three months or less that are readily convertible to known amounts of cash and which are subject to an insignificant risk of changes in</w:t>
      </w:r>
      <w:r>
        <w:rPr>
          <w:spacing w:val="-1"/>
        </w:rPr>
        <w:t xml:space="preserve"> </w:t>
      </w:r>
      <w:r>
        <w:t>value.</w:t>
      </w:r>
    </w:p>
    <w:p w14:paraId="29FC7C27" w14:textId="77777777" w:rsidR="00FA4AA8" w:rsidRDefault="00FA4AA8">
      <w:pPr>
        <w:pStyle w:val="BodyText"/>
        <w:spacing w:before="3"/>
        <w:rPr>
          <w:sz w:val="11"/>
        </w:rPr>
      </w:pPr>
    </w:p>
    <w:p w14:paraId="5633BB3C" w14:textId="77777777" w:rsidR="00FA4AA8" w:rsidRDefault="0015611F">
      <w:pPr>
        <w:numPr>
          <w:ilvl w:val="0"/>
          <w:numId w:val="41"/>
        </w:numPr>
        <w:tabs>
          <w:tab w:val="left" w:pos="563"/>
          <w:tab w:val="left" w:pos="564"/>
        </w:tabs>
        <w:spacing w:before="94" w:line="207" w:lineRule="exact"/>
        <w:rPr>
          <w:b/>
          <w:sz w:val="18"/>
        </w:rPr>
      </w:pPr>
      <w:r>
        <w:rPr>
          <w:b/>
          <w:sz w:val="18"/>
        </w:rPr>
        <w:t>Contributed equity</w:t>
      </w:r>
    </w:p>
    <w:p w14:paraId="19A2C930" w14:textId="77777777" w:rsidR="00FA4AA8" w:rsidRDefault="0015611F">
      <w:pPr>
        <w:tabs>
          <w:tab w:val="left" w:pos="8572"/>
        </w:tabs>
        <w:spacing w:line="207" w:lineRule="exact"/>
        <w:ind w:left="5908"/>
        <w:rPr>
          <w:b/>
          <w:sz w:val="18"/>
        </w:rPr>
      </w:pPr>
      <w:r>
        <w:rPr>
          <w:b/>
          <w:sz w:val="18"/>
        </w:rPr>
        <w:t>Shares</w:t>
      </w:r>
      <w:r>
        <w:rPr>
          <w:b/>
          <w:sz w:val="18"/>
        </w:rPr>
        <w:tab/>
        <w:t>Total</w:t>
      </w:r>
    </w:p>
    <w:p w14:paraId="150CE87E" w14:textId="77777777" w:rsidR="00FA4AA8" w:rsidRDefault="00FA4AA8">
      <w:pPr>
        <w:spacing w:line="207" w:lineRule="exact"/>
        <w:rPr>
          <w:sz w:val="18"/>
        </w:rPr>
        <w:sectPr w:rsidR="00FA4AA8">
          <w:type w:val="continuous"/>
          <w:pgSz w:w="11910" w:h="16840"/>
          <w:pgMar w:top="20" w:right="860" w:bottom="0" w:left="840" w:header="720" w:footer="720" w:gutter="0"/>
          <w:cols w:space="720"/>
        </w:sectPr>
      </w:pPr>
    </w:p>
    <w:p w14:paraId="2B3FEA23" w14:textId="77777777" w:rsidR="00FA4AA8" w:rsidRDefault="00FA4AA8">
      <w:pPr>
        <w:pStyle w:val="BodyText"/>
        <w:rPr>
          <w:b/>
          <w:sz w:val="20"/>
        </w:rPr>
      </w:pPr>
    </w:p>
    <w:p w14:paraId="4E061BAD" w14:textId="77777777" w:rsidR="00FA4AA8" w:rsidRDefault="00FA4AA8">
      <w:pPr>
        <w:pStyle w:val="BodyText"/>
        <w:spacing w:before="10"/>
        <w:rPr>
          <w:b/>
          <w:sz w:val="15"/>
        </w:rPr>
      </w:pPr>
    </w:p>
    <w:p w14:paraId="5B60A951" w14:textId="77777777" w:rsidR="00FA4AA8" w:rsidRDefault="0015611F">
      <w:pPr>
        <w:ind w:left="592"/>
        <w:rPr>
          <w:b/>
          <w:sz w:val="18"/>
        </w:rPr>
      </w:pPr>
      <w:r>
        <w:rPr>
          <w:b/>
          <w:sz w:val="18"/>
        </w:rPr>
        <w:t>Ordinary shares</w:t>
      </w:r>
    </w:p>
    <w:p w14:paraId="264C70BA" w14:textId="77777777" w:rsidR="00FA4AA8" w:rsidRDefault="0015611F">
      <w:pPr>
        <w:spacing w:line="207" w:lineRule="exact"/>
        <w:ind w:left="572" w:right="20"/>
        <w:jc w:val="center"/>
        <w:rPr>
          <w:b/>
          <w:sz w:val="18"/>
        </w:rPr>
      </w:pPr>
      <w:r>
        <w:br w:type="column"/>
      </w:r>
      <w:r>
        <w:rPr>
          <w:b/>
          <w:sz w:val="18"/>
        </w:rPr>
        <w:t>2018</w:t>
      </w:r>
    </w:p>
    <w:p w14:paraId="5D8D636A" w14:textId="77777777" w:rsidR="00FA4AA8" w:rsidRDefault="0015611F">
      <w:pPr>
        <w:spacing w:line="207" w:lineRule="exact"/>
        <w:ind w:left="552"/>
        <w:jc w:val="center"/>
        <w:rPr>
          <w:b/>
          <w:sz w:val="18"/>
        </w:rPr>
      </w:pPr>
      <w:r>
        <w:rPr>
          <w:b/>
          <w:w w:val="99"/>
          <w:sz w:val="18"/>
        </w:rPr>
        <w:t>$</w:t>
      </w:r>
    </w:p>
    <w:p w14:paraId="142BBD2A" w14:textId="77777777" w:rsidR="00FA4AA8" w:rsidRDefault="0015611F">
      <w:pPr>
        <w:spacing w:line="207" w:lineRule="exact"/>
        <w:ind w:left="572" w:right="20"/>
        <w:jc w:val="center"/>
        <w:rPr>
          <w:b/>
          <w:sz w:val="18"/>
        </w:rPr>
      </w:pPr>
      <w:r>
        <w:br w:type="column"/>
      </w:r>
      <w:r>
        <w:rPr>
          <w:b/>
          <w:sz w:val="18"/>
        </w:rPr>
        <w:t>2017</w:t>
      </w:r>
    </w:p>
    <w:p w14:paraId="6D04BE0F" w14:textId="77777777" w:rsidR="00FA4AA8" w:rsidRDefault="0015611F">
      <w:pPr>
        <w:spacing w:line="207" w:lineRule="exact"/>
        <w:ind w:left="552"/>
        <w:jc w:val="center"/>
        <w:rPr>
          <w:b/>
          <w:sz w:val="18"/>
        </w:rPr>
      </w:pPr>
      <w:r>
        <w:rPr>
          <w:b/>
          <w:w w:val="99"/>
          <w:sz w:val="18"/>
        </w:rPr>
        <w:t>$</w:t>
      </w:r>
    </w:p>
    <w:p w14:paraId="69FC426D" w14:textId="77777777" w:rsidR="00FA4AA8" w:rsidRDefault="0015611F">
      <w:pPr>
        <w:spacing w:line="207" w:lineRule="exact"/>
        <w:ind w:left="572" w:right="20"/>
        <w:jc w:val="center"/>
        <w:rPr>
          <w:b/>
          <w:sz w:val="18"/>
        </w:rPr>
      </w:pPr>
      <w:r>
        <w:br w:type="column"/>
      </w:r>
      <w:r>
        <w:rPr>
          <w:b/>
          <w:sz w:val="18"/>
        </w:rPr>
        <w:t>2018</w:t>
      </w:r>
    </w:p>
    <w:p w14:paraId="0D8D4EE7" w14:textId="77777777" w:rsidR="00FA4AA8" w:rsidRDefault="0015611F">
      <w:pPr>
        <w:spacing w:line="207" w:lineRule="exact"/>
        <w:ind w:left="552"/>
        <w:jc w:val="center"/>
        <w:rPr>
          <w:b/>
          <w:sz w:val="18"/>
        </w:rPr>
      </w:pPr>
      <w:r>
        <w:rPr>
          <w:b/>
          <w:w w:val="99"/>
          <w:sz w:val="18"/>
        </w:rPr>
        <w:t>$</w:t>
      </w:r>
    </w:p>
    <w:p w14:paraId="0118BEB3" w14:textId="77777777" w:rsidR="00FA4AA8" w:rsidRDefault="0015611F">
      <w:pPr>
        <w:spacing w:line="207" w:lineRule="exact"/>
        <w:ind w:left="575" w:right="551"/>
        <w:jc w:val="center"/>
        <w:rPr>
          <w:b/>
          <w:sz w:val="18"/>
        </w:rPr>
      </w:pPr>
      <w:r>
        <w:br w:type="column"/>
      </w:r>
      <w:r>
        <w:rPr>
          <w:b/>
          <w:sz w:val="18"/>
        </w:rPr>
        <w:t>2017</w:t>
      </w:r>
    </w:p>
    <w:p w14:paraId="2D589725" w14:textId="77777777" w:rsidR="00FA4AA8" w:rsidRDefault="0015611F">
      <w:pPr>
        <w:spacing w:line="207" w:lineRule="exact"/>
        <w:ind w:left="24"/>
        <w:jc w:val="center"/>
        <w:rPr>
          <w:b/>
          <w:sz w:val="18"/>
        </w:rPr>
      </w:pPr>
      <w:r>
        <w:rPr>
          <w:b/>
          <w:w w:val="99"/>
          <w:sz w:val="18"/>
        </w:rPr>
        <w:t>$</w:t>
      </w:r>
    </w:p>
    <w:p w14:paraId="3AAB302C" w14:textId="77777777" w:rsidR="00FA4AA8" w:rsidRDefault="00FA4AA8">
      <w:pPr>
        <w:spacing w:line="207" w:lineRule="exact"/>
        <w:jc w:val="center"/>
        <w:rPr>
          <w:sz w:val="18"/>
        </w:rPr>
        <w:sectPr w:rsidR="00FA4AA8">
          <w:type w:val="continuous"/>
          <w:pgSz w:w="11910" w:h="16840"/>
          <w:pgMar w:top="20" w:right="860" w:bottom="0" w:left="840" w:header="720" w:footer="720" w:gutter="0"/>
          <w:cols w:num="5" w:space="720" w:equalWidth="0">
            <w:col w:w="2014" w:space="2753"/>
            <w:col w:w="1033" w:space="249"/>
            <w:col w:w="1033" w:space="264"/>
            <w:col w:w="1033" w:space="264"/>
            <w:col w:w="1567"/>
          </w:cols>
        </w:sectPr>
      </w:pPr>
    </w:p>
    <w:p w14:paraId="5463E322" w14:textId="77777777" w:rsidR="00FA4AA8" w:rsidRDefault="0015611F">
      <w:pPr>
        <w:pStyle w:val="BodyText"/>
        <w:tabs>
          <w:tab w:val="left" w:pos="4895"/>
          <w:tab w:val="left" w:pos="6033"/>
          <w:tab w:val="left" w:pos="7302"/>
          <w:tab w:val="left" w:pos="8628"/>
          <w:tab w:val="left" w:pos="9896"/>
        </w:tabs>
        <w:spacing w:before="27"/>
        <w:ind w:left="592"/>
      </w:pPr>
      <w:r>
        <w:t>Fully</w:t>
      </w:r>
      <w:r>
        <w:rPr>
          <w:spacing w:val="-1"/>
        </w:rPr>
        <w:t xml:space="preserve"> </w:t>
      </w:r>
      <w:r>
        <w:t>paid</w:t>
      </w:r>
      <w:r>
        <w:tab/>
      </w:r>
      <w:r>
        <w:rPr>
          <w:position w:val="-2"/>
          <w:u w:val="single"/>
        </w:rPr>
        <w:t xml:space="preserve"> </w:t>
      </w:r>
      <w:r>
        <w:rPr>
          <w:position w:val="-2"/>
          <w:u w:val="single"/>
        </w:rPr>
        <w:tab/>
      </w:r>
      <w:r>
        <w:rPr>
          <w:b/>
          <w:position w:val="-2"/>
          <w:u w:val="single"/>
        </w:rPr>
        <w:t>1</w:t>
      </w:r>
      <w:r>
        <w:rPr>
          <w:b/>
          <w:position w:val="-2"/>
          <w:u w:val="single"/>
        </w:rPr>
        <w:tab/>
      </w:r>
      <w:r>
        <w:rPr>
          <w:position w:val="-2"/>
          <w:u w:val="single"/>
        </w:rPr>
        <w:t>1</w:t>
      </w:r>
      <w:r>
        <w:rPr>
          <w:position w:val="-2"/>
          <w:u w:val="single"/>
        </w:rPr>
        <w:tab/>
      </w:r>
      <w:r>
        <w:rPr>
          <w:b/>
          <w:position w:val="-2"/>
          <w:u w:val="single"/>
        </w:rPr>
        <w:t>1</w:t>
      </w:r>
      <w:r>
        <w:rPr>
          <w:b/>
          <w:position w:val="-2"/>
          <w:u w:val="single"/>
        </w:rPr>
        <w:tab/>
      </w:r>
      <w:r>
        <w:rPr>
          <w:position w:val="-2"/>
          <w:u w:val="single"/>
        </w:rPr>
        <w:t>1</w:t>
      </w:r>
      <w:r>
        <w:rPr>
          <w:spacing w:val="-12"/>
          <w:position w:val="-2"/>
          <w:u w:val="single"/>
        </w:rPr>
        <w:t xml:space="preserve"> </w:t>
      </w:r>
    </w:p>
    <w:p w14:paraId="170D7B1A" w14:textId="77777777" w:rsidR="00FA4AA8" w:rsidRDefault="0015611F">
      <w:pPr>
        <w:tabs>
          <w:tab w:val="left" w:pos="4895"/>
          <w:tab w:val="left" w:pos="6033"/>
          <w:tab w:val="left" w:pos="7301"/>
          <w:tab w:val="left" w:pos="8627"/>
          <w:tab w:val="left" w:pos="9896"/>
        </w:tabs>
        <w:spacing w:before="7"/>
        <w:ind w:left="592"/>
        <w:rPr>
          <w:sz w:val="18"/>
        </w:rPr>
      </w:pPr>
      <w:r>
        <w:rPr>
          <w:b/>
          <w:sz w:val="18"/>
        </w:rPr>
        <w:t>Total</w:t>
      </w:r>
      <w:r>
        <w:rPr>
          <w:b/>
          <w:spacing w:val="-1"/>
          <w:sz w:val="18"/>
        </w:rPr>
        <w:t xml:space="preserve"> </w:t>
      </w:r>
      <w:r>
        <w:rPr>
          <w:b/>
          <w:sz w:val="18"/>
        </w:rPr>
        <w:t>contributed equity</w:t>
      </w:r>
      <w:r>
        <w:rPr>
          <w:b/>
          <w:sz w:val="18"/>
        </w:rPr>
        <w:tab/>
      </w:r>
      <w:r>
        <w:rPr>
          <w:b/>
          <w:sz w:val="18"/>
          <w:u w:val="single"/>
        </w:rPr>
        <w:t xml:space="preserve"> </w:t>
      </w:r>
      <w:r>
        <w:rPr>
          <w:b/>
          <w:sz w:val="18"/>
          <w:u w:val="single"/>
        </w:rPr>
        <w:tab/>
        <w:t>1</w:t>
      </w:r>
      <w:r>
        <w:rPr>
          <w:b/>
          <w:sz w:val="18"/>
          <w:u w:val="single"/>
        </w:rPr>
        <w:tab/>
      </w:r>
      <w:r>
        <w:rPr>
          <w:sz w:val="18"/>
          <w:u w:val="single"/>
        </w:rPr>
        <w:t>1</w:t>
      </w:r>
      <w:r>
        <w:rPr>
          <w:sz w:val="18"/>
          <w:u w:val="single"/>
        </w:rPr>
        <w:tab/>
      </w:r>
      <w:r>
        <w:rPr>
          <w:b/>
          <w:sz w:val="18"/>
          <w:u w:val="single"/>
        </w:rPr>
        <w:t>1</w:t>
      </w:r>
      <w:r>
        <w:rPr>
          <w:b/>
          <w:sz w:val="18"/>
          <w:u w:val="single"/>
        </w:rPr>
        <w:tab/>
      </w:r>
      <w:r>
        <w:rPr>
          <w:sz w:val="18"/>
          <w:u w:val="single"/>
        </w:rPr>
        <w:t>1</w:t>
      </w:r>
      <w:r>
        <w:rPr>
          <w:spacing w:val="-12"/>
          <w:sz w:val="18"/>
          <w:u w:val="single"/>
        </w:rPr>
        <w:t xml:space="preserve"> </w:t>
      </w:r>
    </w:p>
    <w:p w14:paraId="7B384F8F" w14:textId="77777777" w:rsidR="00FA4AA8" w:rsidRDefault="00FA4AA8">
      <w:pPr>
        <w:pStyle w:val="BodyText"/>
        <w:spacing w:before="7"/>
        <w:rPr>
          <w:sz w:val="17"/>
        </w:rPr>
      </w:pPr>
    </w:p>
    <w:p w14:paraId="3A512D37" w14:textId="77777777" w:rsidR="00FA4AA8" w:rsidRDefault="0015611F">
      <w:pPr>
        <w:pStyle w:val="ListParagraph"/>
        <w:numPr>
          <w:ilvl w:val="1"/>
          <w:numId w:val="41"/>
        </w:numPr>
        <w:tabs>
          <w:tab w:val="left" w:pos="1130"/>
          <w:tab w:val="left" w:pos="1131"/>
        </w:tabs>
        <w:spacing w:before="94"/>
        <w:ind w:left="1130"/>
        <w:rPr>
          <w:b/>
          <w:sz w:val="18"/>
        </w:rPr>
      </w:pPr>
      <w:r>
        <w:rPr>
          <w:b/>
          <w:sz w:val="18"/>
        </w:rPr>
        <w:t>Movements in ordinary share</w:t>
      </w:r>
      <w:r>
        <w:rPr>
          <w:b/>
          <w:spacing w:val="-1"/>
          <w:sz w:val="18"/>
        </w:rPr>
        <w:t xml:space="preserve"> </w:t>
      </w:r>
      <w:r>
        <w:rPr>
          <w:b/>
          <w:sz w:val="18"/>
        </w:rPr>
        <w:t>capital</w:t>
      </w:r>
    </w:p>
    <w:p w14:paraId="57407204" w14:textId="77777777" w:rsidR="00FA4AA8" w:rsidRDefault="0015611F">
      <w:pPr>
        <w:pStyle w:val="BodyText"/>
        <w:spacing w:before="146"/>
        <w:ind w:left="1130"/>
      </w:pPr>
      <w:r>
        <w:t>There were no movements in contributed equity during the financial year.</w:t>
      </w:r>
    </w:p>
    <w:p w14:paraId="5E62F7E4" w14:textId="77777777" w:rsidR="00FA4AA8" w:rsidRDefault="00FA4AA8">
      <w:pPr>
        <w:pStyle w:val="BodyText"/>
        <w:rPr>
          <w:sz w:val="25"/>
        </w:rPr>
      </w:pPr>
    </w:p>
    <w:p w14:paraId="15CCCA03" w14:textId="77777777" w:rsidR="00FA4AA8" w:rsidRDefault="0015611F">
      <w:pPr>
        <w:numPr>
          <w:ilvl w:val="0"/>
          <w:numId w:val="41"/>
        </w:numPr>
        <w:tabs>
          <w:tab w:val="left" w:pos="565"/>
          <w:tab w:val="left" w:pos="566"/>
        </w:tabs>
        <w:ind w:left="565" w:hanging="397"/>
        <w:rPr>
          <w:b/>
          <w:sz w:val="18"/>
        </w:rPr>
      </w:pPr>
      <w:r>
        <w:rPr>
          <w:b/>
          <w:sz w:val="18"/>
        </w:rPr>
        <w:t>Commitments</w:t>
      </w:r>
    </w:p>
    <w:p w14:paraId="6C6E82F2" w14:textId="77777777" w:rsidR="00FA4AA8" w:rsidRDefault="0015611F">
      <w:pPr>
        <w:pStyle w:val="BodyText"/>
        <w:spacing w:before="112"/>
        <w:ind w:left="565"/>
      </w:pPr>
      <w:r>
        <w:t>The Company had no commitments at 31 December 2018 (31 December 2017: nil).</w:t>
      </w:r>
    </w:p>
    <w:p w14:paraId="66A25E0C" w14:textId="77777777" w:rsidR="00FA4AA8" w:rsidRDefault="00FA4AA8">
      <w:pPr>
        <w:pStyle w:val="BodyText"/>
        <w:rPr>
          <w:sz w:val="25"/>
        </w:rPr>
      </w:pPr>
    </w:p>
    <w:p w14:paraId="7DFECDFE" w14:textId="77777777" w:rsidR="00FA4AA8" w:rsidRDefault="0015611F">
      <w:pPr>
        <w:numPr>
          <w:ilvl w:val="0"/>
          <w:numId w:val="41"/>
        </w:numPr>
        <w:tabs>
          <w:tab w:val="left" w:pos="565"/>
          <w:tab w:val="left" w:pos="566"/>
        </w:tabs>
        <w:ind w:left="565" w:hanging="397"/>
        <w:rPr>
          <w:b/>
          <w:sz w:val="18"/>
        </w:rPr>
      </w:pPr>
      <w:r>
        <w:rPr>
          <w:b/>
          <w:sz w:val="18"/>
        </w:rPr>
        <w:t>Contingencies</w:t>
      </w:r>
    </w:p>
    <w:p w14:paraId="33318F19" w14:textId="77777777" w:rsidR="00FA4AA8" w:rsidRDefault="0015611F">
      <w:pPr>
        <w:pStyle w:val="BodyText"/>
        <w:spacing w:before="112"/>
        <w:ind w:left="565"/>
      </w:pPr>
      <w:r>
        <w:t>The Company did not have any contingencies as at 31 December 2018 (31 December 2017: nil).</w:t>
      </w:r>
    </w:p>
    <w:p w14:paraId="0F4B7572" w14:textId="77777777" w:rsidR="00FA4AA8" w:rsidRDefault="00FA4AA8">
      <w:pPr>
        <w:pStyle w:val="BodyText"/>
        <w:rPr>
          <w:sz w:val="25"/>
        </w:rPr>
      </w:pPr>
    </w:p>
    <w:p w14:paraId="5CE55534" w14:textId="77777777" w:rsidR="00FA4AA8" w:rsidRDefault="0015611F">
      <w:pPr>
        <w:numPr>
          <w:ilvl w:val="0"/>
          <w:numId w:val="41"/>
        </w:numPr>
        <w:tabs>
          <w:tab w:val="left" w:pos="565"/>
          <w:tab w:val="left" w:pos="566"/>
        </w:tabs>
        <w:ind w:left="565" w:hanging="397"/>
        <w:rPr>
          <w:b/>
          <w:sz w:val="18"/>
        </w:rPr>
      </w:pPr>
      <w:r>
        <w:rPr>
          <w:b/>
          <w:sz w:val="18"/>
        </w:rPr>
        <w:t>Key Management Personnel</w:t>
      </w:r>
      <w:r>
        <w:rPr>
          <w:b/>
          <w:spacing w:val="-1"/>
          <w:sz w:val="18"/>
        </w:rPr>
        <w:t xml:space="preserve"> </w:t>
      </w:r>
      <w:r>
        <w:rPr>
          <w:b/>
          <w:sz w:val="18"/>
        </w:rPr>
        <w:t>Disclosures</w:t>
      </w:r>
    </w:p>
    <w:p w14:paraId="65028DF8" w14:textId="77777777" w:rsidR="00FA4AA8" w:rsidRDefault="0015611F">
      <w:pPr>
        <w:pStyle w:val="BodyText"/>
        <w:spacing w:before="113"/>
        <w:ind w:left="565"/>
      </w:pPr>
      <w:r>
        <w:t>No remuneration has been paid to the key management personnel of the Company during the year (2017: nil).</w:t>
      </w:r>
    </w:p>
    <w:p w14:paraId="2E0D5A62" w14:textId="77777777" w:rsidR="00FA4AA8" w:rsidRDefault="00FA4AA8">
      <w:pPr>
        <w:pStyle w:val="BodyText"/>
        <w:spacing w:before="11"/>
        <w:rPr>
          <w:sz w:val="24"/>
        </w:rPr>
      </w:pPr>
    </w:p>
    <w:p w14:paraId="51511BAC" w14:textId="77777777" w:rsidR="00FA4AA8" w:rsidRDefault="0015611F">
      <w:pPr>
        <w:numPr>
          <w:ilvl w:val="0"/>
          <w:numId w:val="41"/>
        </w:numPr>
        <w:tabs>
          <w:tab w:val="left" w:pos="566"/>
        </w:tabs>
        <w:ind w:left="565" w:hanging="397"/>
        <w:rPr>
          <w:b/>
          <w:sz w:val="18"/>
        </w:rPr>
      </w:pPr>
      <w:r>
        <w:rPr>
          <w:b/>
          <w:sz w:val="18"/>
        </w:rPr>
        <w:t>Related party</w:t>
      </w:r>
      <w:r>
        <w:rPr>
          <w:b/>
          <w:spacing w:val="-1"/>
          <w:sz w:val="18"/>
        </w:rPr>
        <w:t xml:space="preserve"> </w:t>
      </w:r>
      <w:r>
        <w:rPr>
          <w:b/>
          <w:sz w:val="18"/>
        </w:rPr>
        <w:t>transactions</w:t>
      </w:r>
    </w:p>
    <w:p w14:paraId="2F9F668F" w14:textId="77777777" w:rsidR="00FA4AA8" w:rsidRDefault="0015611F">
      <w:pPr>
        <w:pStyle w:val="ListParagraph"/>
        <w:numPr>
          <w:ilvl w:val="1"/>
          <w:numId w:val="41"/>
        </w:numPr>
        <w:tabs>
          <w:tab w:val="left" w:pos="1131"/>
          <w:tab w:val="left" w:pos="1132"/>
        </w:tabs>
        <w:spacing w:before="131"/>
        <w:rPr>
          <w:b/>
          <w:sz w:val="18"/>
        </w:rPr>
      </w:pPr>
      <w:r>
        <w:rPr>
          <w:b/>
          <w:sz w:val="18"/>
        </w:rPr>
        <w:t>Parent entity</w:t>
      </w:r>
    </w:p>
    <w:p w14:paraId="112E43F5" w14:textId="77777777" w:rsidR="00FA4AA8" w:rsidRDefault="0015611F">
      <w:pPr>
        <w:pStyle w:val="BodyText"/>
        <w:spacing w:before="117"/>
        <w:ind w:left="1132"/>
      </w:pPr>
      <w:r>
        <w:t>The ultimate parent entity of the Company is Western Sydney University.</w:t>
      </w:r>
    </w:p>
    <w:p w14:paraId="36F1D6D6" w14:textId="77777777" w:rsidR="00FA4AA8" w:rsidRDefault="0015611F">
      <w:pPr>
        <w:numPr>
          <w:ilvl w:val="1"/>
          <w:numId w:val="41"/>
        </w:numPr>
        <w:tabs>
          <w:tab w:val="left" w:pos="1131"/>
          <w:tab w:val="left" w:pos="1132"/>
        </w:tabs>
        <w:spacing w:before="132"/>
        <w:rPr>
          <w:b/>
          <w:sz w:val="18"/>
        </w:rPr>
      </w:pPr>
      <w:r>
        <w:rPr>
          <w:b/>
          <w:sz w:val="18"/>
        </w:rPr>
        <w:t>Transactions with related parties</w:t>
      </w:r>
    </w:p>
    <w:p w14:paraId="76CB987F" w14:textId="77777777" w:rsidR="00FA4AA8" w:rsidRDefault="0015611F">
      <w:pPr>
        <w:pStyle w:val="BodyText"/>
        <w:spacing w:before="117"/>
        <w:ind w:left="1132"/>
      </w:pPr>
      <w:r>
        <w:t>There were no transactions with related parties in 2018 (2017: nil).</w:t>
      </w:r>
    </w:p>
    <w:p w14:paraId="7BA62849" w14:textId="77777777" w:rsidR="00FA4AA8" w:rsidRDefault="00FA4AA8">
      <w:pPr>
        <w:pStyle w:val="BodyText"/>
        <w:spacing w:before="6"/>
        <w:rPr>
          <w:sz w:val="19"/>
        </w:rPr>
      </w:pPr>
    </w:p>
    <w:p w14:paraId="306464F1" w14:textId="77777777" w:rsidR="00FA4AA8" w:rsidRDefault="0015611F">
      <w:pPr>
        <w:numPr>
          <w:ilvl w:val="0"/>
          <w:numId w:val="41"/>
        </w:numPr>
        <w:tabs>
          <w:tab w:val="left" w:pos="564"/>
        </w:tabs>
        <w:ind w:left="564"/>
        <w:rPr>
          <w:b/>
          <w:sz w:val="18"/>
        </w:rPr>
      </w:pPr>
      <w:r>
        <w:rPr>
          <w:b/>
          <w:sz w:val="18"/>
        </w:rPr>
        <w:t>Economic dependency</w:t>
      </w:r>
    </w:p>
    <w:p w14:paraId="16814519" w14:textId="77777777" w:rsidR="00FA4AA8" w:rsidRDefault="0015611F">
      <w:pPr>
        <w:pStyle w:val="BodyText"/>
        <w:spacing w:before="113"/>
        <w:ind w:left="565"/>
      </w:pPr>
      <w:r>
        <w:t>The Company is economically dependent on the Western Sydney University for the provision of office accommodation and support activities.</w:t>
      </w:r>
    </w:p>
    <w:p w14:paraId="784497DC" w14:textId="77777777" w:rsidR="00FA4AA8" w:rsidRDefault="00FA4AA8">
      <w:pPr>
        <w:sectPr w:rsidR="00FA4AA8">
          <w:type w:val="continuous"/>
          <w:pgSz w:w="11910" w:h="16840"/>
          <w:pgMar w:top="20" w:right="860" w:bottom="0" w:left="840" w:header="720" w:footer="720" w:gutter="0"/>
          <w:cols w:space="720"/>
        </w:sectPr>
      </w:pPr>
    </w:p>
    <w:p w14:paraId="7A82D392" w14:textId="77777777" w:rsidR="00FA4AA8" w:rsidRDefault="00FA4AA8">
      <w:pPr>
        <w:pStyle w:val="BodyText"/>
        <w:rPr>
          <w:sz w:val="20"/>
        </w:rPr>
      </w:pPr>
    </w:p>
    <w:p w14:paraId="07FB8399" w14:textId="77777777" w:rsidR="00FA4AA8" w:rsidRDefault="00FA4AA8">
      <w:pPr>
        <w:pStyle w:val="BodyText"/>
        <w:spacing w:before="9"/>
        <w:rPr>
          <w:sz w:val="29"/>
        </w:rPr>
      </w:pPr>
    </w:p>
    <w:p w14:paraId="56F44C4A" w14:textId="77777777" w:rsidR="00FA4AA8" w:rsidRDefault="0015611F">
      <w:pPr>
        <w:numPr>
          <w:ilvl w:val="0"/>
          <w:numId w:val="41"/>
        </w:numPr>
        <w:tabs>
          <w:tab w:val="left" w:pos="566"/>
        </w:tabs>
        <w:spacing w:before="94"/>
        <w:ind w:left="565" w:hanging="397"/>
        <w:rPr>
          <w:b/>
          <w:sz w:val="18"/>
        </w:rPr>
      </w:pPr>
      <w:r>
        <w:rPr>
          <w:b/>
          <w:sz w:val="18"/>
        </w:rPr>
        <w:t>Events occurring after the reporting</w:t>
      </w:r>
      <w:r>
        <w:rPr>
          <w:b/>
          <w:spacing w:val="-1"/>
          <w:sz w:val="18"/>
        </w:rPr>
        <w:t xml:space="preserve"> </w:t>
      </w:r>
      <w:r>
        <w:rPr>
          <w:b/>
          <w:sz w:val="18"/>
        </w:rPr>
        <w:t>date</w:t>
      </w:r>
    </w:p>
    <w:p w14:paraId="751F8633" w14:textId="77777777" w:rsidR="00FA4AA8" w:rsidRDefault="0015611F">
      <w:pPr>
        <w:pStyle w:val="BodyText"/>
        <w:spacing w:before="112"/>
        <w:ind w:left="565" w:right="109" w:hanging="1"/>
        <w:jc w:val="both"/>
      </w:pPr>
      <w:r>
        <w:t>No matters or circumstances have arisen since the end of the financial year which significantly affected or may significantly affect the operations of the Company, the results of those operations, or the state of affairs of the Company in future financial years (2017: nil).</w:t>
      </w:r>
    </w:p>
    <w:p w14:paraId="556C5221" w14:textId="77777777" w:rsidR="00FA4AA8" w:rsidRDefault="00FA4AA8">
      <w:pPr>
        <w:pStyle w:val="BodyText"/>
        <w:rPr>
          <w:sz w:val="20"/>
        </w:rPr>
      </w:pPr>
    </w:p>
    <w:p w14:paraId="3797A2B7" w14:textId="77777777" w:rsidR="00FA4AA8" w:rsidRDefault="00FA4AA8">
      <w:pPr>
        <w:pStyle w:val="BodyText"/>
        <w:spacing w:before="1"/>
        <w:rPr>
          <w:sz w:val="29"/>
        </w:rPr>
      </w:pPr>
    </w:p>
    <w:p w14:paraId="4F4A2171" w14:textId="77777777" w:rsidR="00FA4AA8" w:rsidRDefault="0015611F">
      <w:pPr>
        <w:ind w:left="565"/>
        <w:jc w:val="both"/>
        <w:rPr>
          <w:b/>
          <w:sz w:val="18"/>
        </w:rPr>
      </w:pPr>
      <w:r>
        <w:rPr>
          <w:b/>
          <w:sz w:val="18"/>
        </w:rPr>
        <w:t>End of audited financial statements</w:t>
      </w:r>
    </w:p>
    <w:p w14:paraId="69F1D985" w14:textId="77777777" w:rsidR="00FA4AA8" w:rsidRDefault="00FA4AA8">
      <w:pPr>
        <w:jc w:val="both"/>
        <w:rPr>
          <w:sz w:val="18"/>
        </w:rPr>
        <w:sectPr w:rsidR="00FA4AA8">
          <w:pgSz w:w="11910" w:h="16840"/>
          <w:pgMar w:top="2500" w:right="860" w:bottom="720" w:left="840" w:header="1017" w:footer="523" w:gutter="0"/>
          <w:cols w:space="720"/>
        </w:sectPr>
      </w:pPr>
    </w:p>
    <w:p w14:paraId="7E32AB9D" w14:textId="77777777" w:rsidR="00FA4AA8" w:rsidRDefault="0015611F">
      <w:pPr>
        <w:pStyle w:val="BodyText"/>
        <w:ind w:left="4510"/>
        <w:rPr>
          <w:sz w:val="20"/>
        </w:rPr>
      </w:pPr>
      <w:r>
        <w:rPr>
          <w:noProof/>
          <w:sz w:val="20"/>
          <w:lang w:val="en-AU" w:eastAsia="en-AU"/>
        </w:rPr>
        <w:drawing>
          <wp:inline distT="0" distB="0" distL="0" distR="0" wp14:anchorId="2108780E" wp14:editId="5CF26310">
            <wp:extent cx="603503" cy="150875"/>
            <wp:effectExtent l="0" t="0" r="0" b="0"/>
            <wp:docPr id="91"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9.jpeg"/>
                    <pic:cNvPicPr/>
                  </pic:nvPicPr>
                  <pic:blipFill>
                    <a:blip r:embed="rId193" cstate="print"/>
                    <a:stretch>
                      <a:fillRect/>
                    </a:stretch>
                  </pic:blipFill>
                  <pic:spPr>
                    <a:xfrm>
                      <a:off x="0" y="0"/>
                      <a:ext cx="603503" cy="150875"/>
                    </a:xfrm>
                    <a:prstGeom prst="rect">
                      <a:avLst/>
                    </a:prstGeom>
                  </pic:spPr>
                </pic:pic>
              </a:graphicData>
            </a:graphic>
          </wp:inline>
        </w:drawing>
      </w:r>
    </w:p>
    <w:p w14:paraId="78EEA03D" w14:textId="77777777" w:rsidR="00FA4AA8" w:rsidRDefault="0015611F">
      <w:pPr>
        <w:pStyle w:val="BodyText"/>
        <w:spacing w:before="8"/>
        <w:rPr>
          <w:b/>
          <w:sz w:val="15"/>
        </w:rPr>
      </w:pPr>
      <w:r>
        <w:rPr>
          <w:noProof/>
          <w:lang w:val="en-AU" w:eastAsia="en-AU"/>
        </w:rPr>
        <w:drawing>
          <wp:anchor distT="0" distB="0" distL="0" distR="0" simplePos="0" relativeHeight="139" behindDoc="0" locked="0" layoutInCell="1" allowOverlap="1" wp14:anchorId="59CF3C92" wp14:editId="7E538C1F">
            <wp:simplePos x="0" y="0"/>
            <wp:positionH relativeFrom="page">
              <wp:posOffset>3383279</wp:posOffset>
            </wp:positionH>
            <wp:positionV relativeFrom="paragraph">
              <wp:posOffset>139952</wp:posOffset>
            </wp:positionV>
            <wp:extent cx="768095" cy="429768"/>
            <wp:effectExtent l="0" t="0" r="0" b="0"/>
            <wp:wrapTopAndBottom/>
            <wp:docPr id="93"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60.jpeg"/>
                    <pic:cNvPicPr/>
                  </pic:nvPicPr>
                  <pic:blipFill>
                    <a:blip r:embed="rId194" cstate="print"/>
                    <a:stretch>
                      <a:fillRect/>
                    </a:stretch>
                  </pic:blipFill>
                  <pic:spPr>
                    <a:xfrm>
                      <a:off x="0" y="0"/>
                      <a:ext cx="768095" cy="429768"/>
                    </a:xfrm>
                    <a:prstGeom prst="rect">
                      <a:avLst/>
                    </a:prstGeom>
                  </pic:spPr>
                </pic:pic>
              </a:graphicData>
            </a:graphic>
          </wp:anchor>
        </w:drawing>
      </w:r>
    </w:p>
    <w:p w14:paraId="75864E40" w14:textId="77777777" w:rsidR="00FA4AA8" w:rsidRDefault="00FA4AA8">
      <w:pPr>
        <w:pStyle w:val="BodyText"/>
        <w:rPr>
          <w:b/>
          <w:sz w:val="20"/>
        </w:rPr>
      </w:pPr>
    </w:p>
    <w:p w14:paraId="3C74E476" w14:textId="77777777" w:rsidR="00FA4AA8" w:rsidRDefault="00FA4AA8">
      <w:pPr>
        <w:pStyle w:val="BodyText"/>
        <w:rPr>
          <w:b/>
          <w:sz w:val="20"/>
        </w:rPr>
      </w:pPr>
    </w:p>
    <w:p w14:paraId="6B6D5C67" w14:textId="77777777" w:rsidR="00FA4AA8" w:rsidRDefault="00FA4AA8">
      <w:pPr>
        <w:pStyle w:val="BodyText"/>
        <w:rPr>
          <w:b/>
          <w:sz w:val="20"/>
        </w:rPr>
      </w:pPr>
    </w:p>
    <w:p w14:paraId="5D7EDDF1" w14:textId="77777777" w:rsidR="00FA4AA8" w:rsidRDefault="00FA4AA8">
      <w:pPr>
        <w:pStyle w:val="BodyText"/>
        <w:spacing w:before="1"/>
        <w:rPr>
          <w:b/>
          <w:sz w:val="17"/>
        </w:rPr>
      </w:pPr>
    </w:p>
    <w:p w14:paraId="67155092" w14:textId="77777777" w:rsidR="00FA4AA8" w:rsidRDefault="0015611F">
      <w:pPr>
        <w:spacing w:before="93"/>
        <w:ind w:left="266" w:right="302"/>
        <w:jc w:val="center"/>
        <w:rPr>
          <w:b/>
          <w:sz w:val="23"/>
        </w:rPr>
      </w:pPr>
      <w:r>
        <w:rPr>
          <w:b/>
          <w:color w:val="0F0F0F"/>
          <w:sz w:val="23"/>
        </w:rPr>
        <w:t xml:space="preserve">INDEPENDENT </w:t>
      </w:r>
      <w:r>
        <w:rPr>
          <w:b/>
          <w:sz w:val="23"/>
        </w:rPr>
        <w:t xml:space="preserve">AUDITOR*S </w:t>
      </w:r>
      <w:r>
        <w:rPr>
          <w:b/>
          <w:color w:val="131313"/>
          <w:sz w:val="23"/>
        </w:rPr>
        <w:t>REPORT</w:t>
      </w:r>
    </w:p>
    <w:p w14:paraId="37C0F211" w14:textId="77777777" w:rsidR="00FA4AA8" w:rsidRDefault="0015611F">
      <w:pPr>
        <w:spacing w:before="140"/>
        <w:ind w:left="259" w:right="302"/>
        <w:jc w:val="center"/>
      </w:pPr>
      <w:r>
        <w:t xml:space="preserve">Whitlam Institute </w:t>
      </w:r>
      <w:r>
        <w:rPr>
          <w:color w:val="1C1C1C"/>
        </w:rPr>
        <w:t xml:space="preserve">within </w:t>
      </w:r>
      <w:r>
        <w:t xml:space="preserve">Western </w:t>
      </w:r>
      <w:r>
        <w:rPr>
          <w:color w:val="131313"/>
        </w:rPr>
        <w:t>Sydney Unive</w:t>
      </w:r>
      <w:r w:rsidR="006C5E68">
        <w:rPr>
          <w:color w:val="131313"/>
        </w:rPr>
        <w:t>rsity</w:t>
      </w:r>
      <w:r>
        <w:rPr>
          <w:color w:val="131313"/>
        </w:rPr>
        <w:t xml:space="preserve"> </w:t>
      </w:r>
      <w:r>
        <w:rPr>
          <w:color w:val="111111"/>
        </w:rPr>
        <w:t>Limited</w:t>
      </w:r>
    </w:p>
    <w:p w14:paraId="001347C7" w14:textId="77777777" w:rsidR="00FA4AA8" w:rsidRDefault="00FA4AA8">
      <w:pPr>
        <w:pStyle w:val="BodyText"/>
        <w:rPr>
          <w:sz w:val="24"/>
        </w:rPr>
      </w:pPr>
    </w:p>
    <w:p w14:paraId="7EB54959" w14:textId="77777777" w:rsidR="00FA4AA8" w:rsidRDefault="00FA4AA8">
      <w:pPr>
        <w:pStyle w:val="BodyText"/>
        <w:spacing w:before="10"/>
        <w:rPr>
          <w:sz w:val="23"/>
        </w:rPr>
      </w:pPr>
    </w:p>
    <w:p w14:paraId="0BCBD40C" w14:textId="77777777" w:rsidR="00FA4AA8" w:rsidRDefault="0015611F">
      <w:pPr>
        <w:spacing w:before="1"/>
        <w:ind w:left="656" w:right="637" w:hanging="3"/>
        <w:rPr>
          <w:sz w:val="20"/>
        </w:rPr>
      </w:pPr>
      <w:r>
        <w:rPr>
          <w:color w:val="1D1D1D"/>
          <w:sz w:val="20"/>
        </w:rPr>
        <w:t>To</w:t>
      </w:r>
      <w:r>
        <w:rPr>
          <w:color w:val="1D1D1D"/>
          <w:spacing w:val="-35"/>
          <w:sz w:val="20"/>
        </w:rPr>
        <w:t xml:space="preserve"> </w:t>
      </w:r>
      <w:r>
        <w:rPr>
          <w:color w:val="0C0C0C"/>
          <w:sz w:val="20"/>
        </w:rPr>
        <w:t>Members</w:t>
      </w:r>
      <w:r>
        <w:rPr>
          <w:color w:val="0C0C0C"/>
          <w:spacing w:val="-27"/>
          <w:sz w:val="20"/>
        </w:rPr>
        <w:t xml:space="preserve"> </w:t>
      </w:r>
      <w:r>
        <w:rPr>
          <w:color w:val="1C1C1C"/>
          <w:sz w:val="20"/>
        </w:rPr>
        <w:t>of</w:t>
      </w:r>
      <w:r>
        <w:rPr>
          <w:color w:val="1C1C1C"/>
          <w:spacing w:val="-30"/>
          <w:sz w:val="20"/>
        </w:rPr>
        <w:t xml:space="preserve"> </w:t>
      </w:r>
      <w:r>
        <w:rPr>
          <w:sz w:val="20"/>
        </w:rPr>
        <w:t>the</w:t>
      </w:r>
      <w:r>
        <w:rPr>
          <w:spacing w:val="-35"/>
          <w:sz w:val="20"/>
        </w:rPr>
        <w:t xml:space="preserve"> </w:t>
      </w:r>
      <w:r>
        <w:rPr>
          <w:color w:val="0C0C0C"/>
          <w:sz w:val="20"/>
        </w:rPr>
        <w:t>New</w:t>
      </w:r>
      <w:r>
        <w:rPr>
          <w:color w:val="0C0C0C"/>
          <w:spacing w:val="-31"/>
          <w:sz w:val="20"/>
        </w:rPr>
        <w:t xml:space="preserve"> </w:t>
      </w:r>
      <w:r>
        <w:rPr>
          <w:color w:val="0C0C0C"/>
          <w:sz w:val="20"/>
        </w:rPr>
        <w:t>South</w:t>
      </w:r>
      <w:r>
        <w:rPr>
          <w:color w:val="0C0C0C"/>
          <w:spacing w:val="-30"/>
          <w:sz w:val="20"/>
        </w:rPr>
        <w:t xml:space="preserve"> </w:t>
      </w:r>
      <w:r>
        <w:rPr>
          <w:color w:val="0F0F0F"/>
          <w:sz w:val="20"/>
        </w:rPr>
        <w:t>Wales</w:t>
      </w:r>
      <w:r>
        <w:rPr>
          <w:color w:val="0F0F0F"/>
          <w:spacing w:val="-28"/>
          <w:sz w:val="20"/>
        </w:rPr>
        <w:t xml:space="preserve"> </w:t>
      </w:r>
      <w:r>
        <w:rPr>
          <w:sz w:val="20"/>
        </w:rPr>
        <w:t>Parliament</w:t>
      </w:r>
      <w:r>
        <w:rPr>
          <w:spacing w:val="-27"/>
          <w:sz w:val="20"/>
        </w:rPr>
        <w:t xml:space="preserve"> </w:t>
      </w:r>
      <w:r>
        <w:rPr>
          <w:sz w:val="20"/>
        </w:rPr>
        <w:t>and</w:t>
      </w:r>
      <w:r>
        <w:rPr>
          <w:spacing w:val="-34"/>
          <w:sz w:val="20"/>
        </w:rPr>
        <w:t xml:space="preserve"> </w:t>
      </w:r>
      <w:r>
        <w:rPr>
          <w:sz w:val="20"/>
        </w:rPr>
        <w:t>Members</w:t>
      </w:r>
      <w:r>
        <w:rPr>
          <w:spacing w:val="-26"/>
          <w:sz w:val="20"/>
        </w:rPr>
        <w:t xml:space="preserve"> </w:t>
      </w:r>
      <w:r>
        <w:rPr>
          <w:color w:val="0C0C0C"/>
          <w:sz w:val="20"/>
        </w:rPr>
        <w:t>of</w:t>
      </w:r>
      <w:r>
        <w:rPr>
          <w:color w:val="0C0C0C"/>
          <w:spacing w:val="-27"/>
          <w:sz w:val="20"/>
        </w:rPr>
        <w:t xml:space="preserve"> </w:t>
      </w:r>
      <w:r>
        <w:rPr>
          <w:color w:val="0E0E0E"/>
          <w:sz w:val="20"/>
        </w:rPr>
        <w:t>Whitlam</w:t>
      </w:r>
      <w:r>
        <w:rPr>
          <w:color w:val="0E0E0E"/>
          <w:spacing w:val="-28"/>
          <w:sz w:val="20"/>
        </w:rPr>
        <w:t xml:space="preserve"> </w:t>
      </w:r>
      <w:r>
        <w:rPr>
          <w:color w:val="0C0C0C"/>
          <w:sz w:val="20"/>
        </w:rPr>
        <w:t>Institute</w:t>
      </w:r>
      <w:r>
        <w:rPr>
          <w:color w:val="0C0C0C"/>
          <w:spacing w:val="-23"/>
          <w:sz w:val="20"/>
        </w:rPr>
        <w:t xml:space="preserve"> </w:t>
      </w:r>
      <w:r>
        <w:rPr>
          <w:color w:val="0C0C0C"/>
          <w:sz w:val="20"/>
        </w:rPr>
        <w:t>within</w:t>
      </w:r>
      <w:r>
        <w:rPr>
          <w:color w:val="0C0C0C"/>
          <w:spacing w:val="-29"/>
          <w:sz w:val="20"/>
        </w:rPr>
        <w:t xml:space="preserve"> </w:t>
      </w:r>
      <w:r>
        <w:rPr>
          <w:sz w:val="20"/>
        </w:rPr>
        <w:t xml:space="preserve">Western Sydney </w:t>
      </w:r>
      <w:r>
        <w:rPr>
          <w:color w:val="0F0F0F"/>
          <w:sz w:val="20"/>
        </w:rPr>
        <w:t>University</w:t>
      </w:r>
      <w:r>
        <w:rPr>
          <w:color w:val="0F0F0F"/>
          <w:spacing w:val="20"/>
          <w:sz w:val="20"/>
        </w:rPr>
        <w:t xml:space="preserve"> </w:t>
      </w:r>
      <w:r>
        <w:rPr>
          <w:color w:val="111111"/>
          <w:sz w:val="20"/>
        </w:rPr>
        <w:t>Limited</w:t>
      </w:r>
    </w:p>
    <w:p w14:paraId="25928316" w14:textId="77777777" w:rsidR="00FA4AA8" w:rsidRDefault="0015611F">
      <w:pPr>
        <w:spacing w:before="159"/>
        <w:ind w:left="655"/>
        <w:rPr>
          <w:b/>
          <w:sz w:val="23"/>
        </w:rPr>
      </w:pPr>
      <w:r>
        <w:rPr>
          <w:b/>
          <w:color w:val="0E0E0E"/>
          <w:sz w:val="23"/>
        </w:rPr>
        <w:t>Opinion</w:t>
      </w:r>
    </w:p>
    <w:p w14:paraId="00BBBBB6" w14:textId="77777777" w:rsidR="00FA4AA8" w:rsidRDefault="0015611F">
      <w:pPr>
        <w:spacing w:before="117"/>
        <w:ind w:left="655" w:right="637" w:hanging="1"/>
        <w:rPr>
          <w:sz w:val="20"/>
        </w:rPr>
      </w:pPr>
      <w:r>
        <w:rPr>
          <w:color w:val="161616"/>
          <w:sz w:val="20"/>
        </w:rPr>
        <w:t xml:space="preserve">I </w:t>
      </w:r>
      <w:r>
        <w:rPr>
          <w:color w:val="0C0C0C"/>
          <w:sz w:val="20"/>
        </w:rPr>
        <w:t xml:space="preserve">have </w:t>
      </w:r>
      <w:r>
        <w:rPr>
          <w:sz w:val="20"/>
        </w:rPr>
        <w:t xml:space="preserve">audited </w:t>
      </w:r>
      <w:r>
        <w:rPr>
          <w:color w:val="0F0F0F"/>
          <w:sz w:val="20"/>
        </w:rPr>
        <w:t xml:space="preserve">the </w:t>
      </w:r>
      <w:r>
        <w:rPr>
          <w:sz w:val="20"/>
        </w:rPr>
        <w:t xml:space="preserve">accompanying financial report </w:t>
      </w:r>
      <w:r>
        <w:rPr>
          <w:color w:val="0C0C0C"/>
          <w:sz w:val="20"/>
        </w:rPr>
        <w:t xml:space="preserve">of </w:t>
      </w:r>
      <w:r>
        <w:rPr>
          <w:sz w:val="20"/>
        </w:rPr>
        <w:t xml:space="preserve">Whitlam Institute </w:t>
      </w:r>
      <w:r>
        <w:rPr>
          <w:color w:val="0C0C0C"/>
          <w:sz w:val="20"/>
        </w:rPr>
        <w:t xml:space="preserve">within </w:t>
      </w:r>
      <w:r>
        <w:rPr>
          <w:color w:val="0F0F0F"/>
          <w:sz w:val="20"/>
        </w:rPr>
        <w:t xml:space="preserve">Western </w:t>
      </w:r>
      <w:r>
        <w:rPr>
          <w:color w:val="161616"/>
          <w:sz w:val="20"/>
        </w:rPr>
        <w:t>Sydney</w:t>
      </w:r>
      <w:r>
        <w:rPr>
          <w:sz w:val="20"/>
        </w:rPr>
        <w:t xml:space="preserve"> University</w:t>
      </w:r>
      <w:r>
        <w:rPr>
          <w:spacing w:val="-24"/>
          <w:sz w:val="20"/>
        </w:rPr>
        <w:t xml:space="preserve"> </w:t>
      </w:r>
      <w:r>
        <w:rPr>
          <w:sz w:val="20"/>
        </w:rPr>
        <w:t>Limited</w:t>
      </w:r>
      <w:r>
        <w:rPr>
          <w:spacing w:val="-28"/>
          <w:sz w:val="20"/>
        </w:rPr>
        <w:t xml:space="preserve"> </w:t>
      </w:r>
      <w:r>
        <w:rPr>
          <w:sz w:val="20"/>
        </w:rPr>
        <w:t>(the</w:t>
      </w:r>
      <w:r>
        <w:rPr>
          <w:spacing w:val="-31"/>
          <w:sz w:val="20"/>
        </w:rPr>
        <w:t xml:space="preserve"> </w:t>
      </w:r>
      <w:r>
        <w:rPr>
          <w:sz w:val="20"/>
        </w:rPr>
        <w:t>Company),</w:t>
      </w:r>
      <w:r>
        <w:rPr>
          <w:spacing w:val="-19"/>
          <w:sz w:val="20"/>
        </w:rPr>
        <w:t xml:space="preserve"> </w:t>
      </w:r>
      <w:r>
        <w:rPr>
          <w:sz w:val="20"/>
        </w:rPr>
        <w:t>which</w:t>
      </w:r>
      <w:r>
        <w:rPr>
          <w:spacing w:val="-29"/>
          <w:sz w:val="20"/>
        </w:rPr>
        <w:t xml:space="preserve"> </w:t>
      </w:r>
      <w:r>
        <w:rPr>
          <w:sz w:val="20"/>
        </w:rPr>
        <w:t>comprises,</w:t>
      </w:r>
      <w:r>
        <w:rPr>
          <w:spacing w:val="-21"/>
          <w:sz w:val="20"/>
        </w:rPr>
        <w:t xml:space="preserve"> </w:t>
      </w:r>
      <w:r>
        <w:rPr>
          <w:sz w:val="20"/>
        </w:rPr>
        <w:t>the</w:t>
      </w:r>
      <w:r>
        <w:rPr>
          <w:spacing w:val="-31"/>
          <w:sz w:val="20"/>
        </w:rPr>
        <w:t xml:space="preserve"> </w:t>
      </w:r>
      <w:r>
        <w:rPr>
          <w:sz w:val="20"/>
        </w:rPr>
        <w:t>Statement</w:t>
      </w:r>
      <w:r>
        <w:rPr>
          <w:spacing w:val="-20"/>
          <w:sz w:val="20"/>
        </w:rPr>
        <w:t xml:space="preserve"> </w:t>
      </w:r>
      <w:r>
        <w:rPr>
          <w:color w:val="161616"/>
          <w:sz w:val="20"/>
        </w:rPr>
        <w:t>of</w:t>
      </w:r>
      <w:r>
        <w:rPr>
          <w:color w:val="161616"/>
          <w:spacing w:val="-31"/>
          <w:sz w:val="20"/>
        </w:rPr>
        <w:t xml:space="preserve"> </w:t>
      </w:r>
      <w:r>
        <w:rPr>
          <w:sz w:val="20"/>
        </w:rPr>
        <w:t>comprehensive</w:t>
      </w:r>
      <w:r>
        <w:rPr>
          <w:spacing w:val="-22"/>
          <w:sz w:val="20"/>
        </w:rPr>
        <w:t xml:space="preserve"> </w:t>
      </w:r>
      <w:r>
        <w:rPr>
          <w:sz w:val="20"/>
        </w:rPr>
        <w:t>income</w:t>
      </w:r>
      <w:r>
        <w:rPr>
          <w:spacing w:val="-28"/>
          <w:sz w:val="20"/>
        </w:rPr>
        <w:t xml:space="preserve"> </w:t>
      </w:r>
      <w:r>
        <w:rPr>
          <w:color w:val="111111"/>
          <w:sz w:val="20"/>
        </w:rPr>
        <w:t>for</w:t>
      </w:r>
      <w:r>
        <w:rPr>
          <w:color w:val="111111"/>
          <w:spacing w:val="-30"/>
          <w:sz w:val="20"/>
        </w:rPr>
        <w:t xml:space="preserve"> </w:t>
      </w:r>
      <w:r>
        <w:rPr>
          <w:sz w:val="20"/>
        </w:rPr>
        <w:t xml:space="preserve">the year ended 31 December 2018, </w:t>
      </w:r>
      <w:r>
        <w:rPr>
          <w:color w:val="111111"/>
          <w:sz w:val="20"/>
        </w:rPr>
        <w:t xml:space="preserve">the </w:t>
      </w:r>
      <w:r>
        <w:rPr>
          <w:sz w:val="20"/>
        </w:rPr>
        <w:t xml:space="preserve">Statement </w:t>
      </w:r>
      <w:r>
        <w:rPr>
          <w:color w:val="0C0C0C"/>
          <w:sz w:val="20"/>
        </w:rPr>
        <w:t xml:space="preserve">of </w:t>
      </w:r>
      <w:r>
        <w:rPr>
          <w:color w:val="0F0F0F"/>
          <w:sz w:val="20"/>
        </w:rPr>
        <w:t xml:space="preserve">financial </w:t>
      </w:r>
      <w:r>
        <w:rPr>
          <w:sz w:val="20"/>
        </w:rPr>
        <w:t xml:space="preserve">position </w:t>
      </w:r>
      <w:r>
        <w:rPr>
          <w:i/>
          <w:color w:val="131313"/>
          <w:sz w:val="20"/>
        </w:rPr>
        <w:t xml:space="preserve">as </w:t>
      </w:r>
      <w:r>
        <w:rPr>
          <w:color w:val="1F1F1F"/>
          <w:sz w:val="20"/>
        </w:rPr>
        <w:t xml:space="preserve">at </w:t>
      </w:r>
      <w:r>
        <w:rPr>
          <w:color w:val="0C0C0C"/>
          <w:sz w:val="20"/>
        </w:rPr>
        <w:t xml:space="preserve">31 </w:t>
      </w:r>
      <w:r>
        <w:rPr>
          <w:sz w:val="20"/>
        </w:rPr>
        <w:t xml:space="preserve">December </w:t>
      </w:r>
      <w:r>
        <w:rPr>
          <w:color w:val="0F0F0F"/>
          <w:sz w:val="20"/>
        </w:rPr>
        <w:t>2018,</w:t>
      </w:r>
      <w:r>
        <w:rPr>
          <w:sz w:val="20"/>
        </w:rPr>
        <w:t xml:space="preserve"> Statement</w:t>
      </w:r>
      <w:r>
        <w:rPr>
          <w:spacing w:val="-19"/>
          <w:sz w:val="20"/>
        </w:rPr>
        <w:t xml:space="preserve"> </w:t>
      </w:r>
      <w:r>
        <w:rPr>
          <w:color w:val="0F0F0F"/>
          <w:sz w:val="20"/>
        </w:rPr>
        <w:t>of</w:t>
      </w:r>
      <w:r>
        <w:rPr>
          <w:color w:val="0F0F0F"/>
          <w:spacing w:val="-29"/>
          <w:sz w:val="20"/>
        </w:rPr>
        <w:t xml:space="preserve"> </w:t>
      </w:r>
      <w:r>
        <w:rPr>
          <w:sz w:val="20"/>
        </w:rPr>
        <w:t>changes</w:t>
      </w:r>
      <w:r>
        <w:rPr>
          <w:spacing w:val="-24"/>
          <w:sz w:val="20"/>
        </w:rPr>
        <w:t xml:space="preserve"> </w:t>
      </w:r>
      <w:r>
        <w:rPr>
          <w:sz w:val="20"/>
        </w:rPr>
        <w:t>in</w:t>
      </w:r>
      <w:r>
        <w:rPr>
          <w:spacing w:val="-26"/>
          <w:sz w:val="20"/>
        </w:rPr>
        <w:t xml:space="preserve"> </w:t>
      </w:r>
      <w:r>
        <w:rPr>
          <w:sz w:val="20"/>
        </w:rPr>
        <w:t>equity</w:t>
      </w:r>
      <w:r>
        <w:rPr>
          <w:spacing w:val="-26"/>
          <w:sz w:val="20"/>
        </w:rPr>
        <w:t xml:space="preserve"> </w:t>
      </w:r>
      <w:r>
        <w:rPr>
          <w:sz w:val="20"/>
        </w:rPr>
        <w:t>and</w:t>
      </w:r>
      <w:r>
        <w:rPr>
          <w:spacing w:val="-30"/>
          <w:sz w:val="20"/>
        </w:rPr>
        <w:t xml:space="preserve"> </w:t>
      </w:r>
      <w:r>
        <w:rPr>
          <w:sz w:val="20"/>
        </w:rPr>
        <w:t>Statement</w:t>
      </w:r>
      <w:r>
        <w:rPr>
          <w:spacing w:val="-24"/>
          <w:sz w:val="20"/>
        </w:rPr>
        <w:t xml:space="preserve"> </w:t>
      </w:r>
      <w:r>
        <w:rPr>
          <w:color w:val="111111"/>
          <w:sz w:val="20"/>
        </w:rPr>
        <w:t>of</w:t>
      </w:r>
      <w:r>
        <w:rPr>
          <w:color w:val="111111"/>
          <w:spacing w:val="-28"/>
          <w:sz w:val="20"/>
        </w:rPr>
        <w:t xml:space="preserve"> </w:t>
      </w:r>
      <w:r>
        <w:rPr>
          <w:color w:val="131313"/>
          <w:sz w:val="20"/>
        </w:rPr>
        <w:t>cash</w:t>
      </w:r>
      <w:r>
        <w:rPr>
          <w:color w:val="131313"/>
          <w:spacing w:val="-29"/>
          <w:sz w:val="20"/>
        </w:rPr>
        <w:t xml:space="preserve"> </w:t>
      </w:r>
      <w:r>
        <w:rPr>
          <w:sz w:val="20"/>
        </w:rPr>
        <w:t>flows</w:t>
      </w:r>
      <w:r>
        <w:rPr>
          <w:spacing w:val="-29"/>
          <w:sz w:val="20"/>
        </w:rPr>
        <w:t xml:space="preserve"> </w:t>
      </w:r>
      <w:r>
        <w:rPr>
          <w:sz w:val="20"/>
        </w:rPr>
        <w:t>for</w:t>
      </w:r>
      <w:r>
        <w:rPr>
          <w:spacing w:val="-33"/>
          <w:sz w:val="20"/>
        </w:rPr>
        <w:t xml:space="preserve"> </w:t>
      </w:r>
      <w:r>
        <w:rPr>
          <w:color w:val="151515"/>
          <w:sz w:val="20"/>
        </w:rPr>
        <w:t>the</w:t>
      </w:r>
      <w:r>
        <w:rPr>
          <w:color w:val="151515"/>
          <w:spacing w:val="-29"/>
          <w:sz w:val="20"/>
        </w:rPr>
        <w:t xml:space="preserve"> </w:t>
      </w:r>
      <w:r>
        <w:rPr>
          <w:sz w:val="20"/>
        </w:rPr>
        <w:t>year</w:t>
      </w:r>
      <w:r>
        <w:rPr>
          <w:spacing w:val="-28"/>
          <w:sz w:val="20"/>
        </w:rPr>
        <w:t xml:space="preserve"> </w:t>
      </w:r>
      <w:r>
        <w:rPr>
          <w:sz w:val="20"/>
        </w:rPr>
        <w:t>then</w:t>
      </w:r>
      <w:r>
        <w:rPr>
          <w:spacing w:val="-29"/>
          <w:sz w:val="20"/>
        </w:rPr>
        <w:t xml:space="preserve"> </w:t>
      </w:r>
      <w:r>
        <w:rPr>
          <w:color w:val="131313"/>
          <w:sz w:val="20"/>
        </w:rPr>
        <w:t>ended,</w:t>
      </w:r>
      <w:r>
        <w:rPr>
          <w:color w:val="131313"/>
          <w:spacing w:val="-28"/>
          <w:sz w:val="20"/>
        </w:rPr>
        <w:t xml:space="preserve"> </w:t>
      </w:r>
      <w:r>
        <w:rPr>
          <w:sz w:val="20"/>
        </w:rPr>
        <w:t>notes</w:t>
      </w:r>
      <w:r>
        <w:rPr>
          <w:spacing w:val="-24"/>
          <w:sz w:val="20"/>
        </w:rPr>
        <w:t xml:space="preserve"> </w:t>
      </w:r>
      <w:r>
        <w:rPr>
          <w:color w:val="111111"/>
          <w:sz w:val="20"/>
        </w:rPr>
        <w:t>comprising</w:t>
      </w:r>
      <w:r>
        <w:rPr>
          <w:color w:val="161616"/>
          <w:sz w:val="20"/>
        </w:rPr>
        <w:t xml:space="preserve"> a </w:t>
      </w:r>
      <w:r>
        <w:rPr>
          <w:color w:val="0E0E0E"/>
          <w:sz w:val="20"/>
        </w:rPr>
        <w:t xml:space="preserve">summary </w:t>
      </w:r>
      <w:r>
        <w:rPr>
          <w:sz w:val="20"/>
        </w:rPr>
        <w:t xml:space="preserve">of significant accounting policies and other explanatory information, </w:t>
      </w:r>
      <w:r>
        <w:rPr>
          <w:color w:val="1F1F1F"/>
          <w:sz w:val="20"/>
        </w:rPr>
        <w:t xml:space="preserve">and </w:t>
      </w:r>
      <w:r>
        <w:rPr>
          <w:sz w:val="20"/>
        </w:rPr>
        <w:t>the Director's declaration.</w:t>
      </w:r>
    </w:p>
    <w:p w14:paraId="3D1CEAFE" w14:textId="77777777" w:rsidR="00FA4AA8" w:rsidRDefault="0015611F">
      <w:pPr>
        <w:spacing w:before="168"/>
        <w:ind w:left="654"/>
        <w:rPr>
          <w:sz w:val="20"/>
        </w:rPr>
      </w:pPr>
      <w:r>
        <w:rPr>
          <w:color w:val="0F0F0F"/>
          <w:sz w:val="20"/>
        </w:rPr>
        <w:t xml:space="preserve">In </w:t>
      </w:r>
      <w:r>
        <w:rPr>
          <w:sz w:val="20"/>
        </w:rPr>
        <w:t>my opinion, the financial report:</w:t>
      </w:r>
    </w:p>
    <w:p w14:paraId="196FDCC2" w14:textId="77777777" w:rsidR="00FA4AA8" w:rsidRDefault="0015611F">
      <w:pPr>
        <w:spacing w:before="166"/>
        <w:ind w:left="1199"/>
        <w:rPr>
          <w:sz w:val="20"/>
        </w:rPr>
      </w:pPr>
      <w:r>
        <w:rPr>
          <w:color w:val="0C0C0C"/>
          <w:sz w:val="20"/>
        </w:rPr>
        <w:t xml:space="preserve">is </w:t>
      </w:r>
      <w:r>
        <w:rPr>
          <w:color w:val="1F1F1F"/>
          <w:sz w:val="20"/>
        </w:rPr>
        <w:t xml:space="preserve">in </w:t>
      </w:r>
      <w:r>
        <w:rPr>
          <w:sz w:val="20"/>
        </w:rPr>
        <w:t xml:space="preserve">accordance with the </w:t>
      </w:r>
      <w:r>
        <w:rPr>
          <w:i/>
          <w:sz w:val="20"/>
        </w:rPr>
        <w:t xml:space="preserve">Corporations Act </w:t>
      </w:r>
      <w:r>
        <w:rPr>
          <w:i/>
          <w:color w:val="0C0C0C"/>
          <w:sz w:val="20"/>
        </w:rPr>
        <w:t xml:space="preserve">2001, </w:t>
      </w:r>
      <w:r>
        <w:rPr>
          <w:sz w:val="20"/>
        </w:rPr>
        <w:t>including:</w:t>
      </w:r>
    </w:p>
    <w:p w14:paraId="7374AC2E" w14:textId="77777777" w:rsidR="00FA4AA8" w:rsidRDefault="0015611F">
      <w:pPr>
        <w:tabs>
          <w:tab w:val="left" w:pos="1739"/>
        </w:tabs>
        <w:spacing w:before="58"/>
        <w:ind w:left="1738" w:right="955" w:hanging="526"/>
        <w:rPr>
          <w:sz w:val="20"/>
        </w:rPr>
      </w:pPr>
      <w:r>
        <w:rPr>
          <w:color w:val="383838"/>
          <w:w w:val="80"/>
          <w:sz w:val="20"/>
        </w:rPr>
        <w:t>—</w:t>
      </w:r>
      <w:r>
        <w:rPr>
          <w:color w:val="383838"/>
          <w:w w:val="80"/>
          <w:sz w:val="20"/>
        </w:rPr>
        <w:tab/>
      </w:r>
      <w:r>
        <w:rPr>
          <w:color w:val="383838"/>
          <w:w w:val="80"/>
          <w:sz w:val="20"/>
        </w:rPr>
        <w:tab/>
      </w:r>
      <w:r>
        <w:rPr>
          <w:color w:val="0F0F0F"/>
          <w:sz w:val="20"/>
        </w:rPr>
        <w:t>giving</w:t>
      </w:r>
      <w:r>
        <w:rPr>
          <w:color w:val="0F0F0F"/>
          <w:spacing w:val="-24"/>
          <w:sz w:val="20"/>
        </w:rPr>
        <w:t xml:space="preserve"> </w:t>
      </w:r>
      <w:r>
        <w:rPr>
          <w:color w:val="0E0E0E"/>
          <w:sz w:val="20"/>
        </w:rPr>
        <w:t>a</w:t>
      </w:r>
      <w:r>
        <w:rPr>
          <w:color w:val="0E0E0E"/>
          <w:spacing w:val="-31"/>
          <w:sz w:val="20"/>
        </w:rPr>
        <w:t xml:space="preserve"> </w:t>
      </w:r>
      <w:r>
        <w:rPr>
          <w:sz w:val="20"/>
        </w:rPr>
        <w:t>true</w:t>
      </w:r>
      <w:r>
        <w:rPr>
          <w:spacing w:val="-26"/>
          <w:sz w:val="20"/>
        </w:rPr>
        <w:t xml:space="preserve"> </w:t>
      </w:r>
      <w:r>
        <w:rPr>
          <w:sz w:val="20"/>
        </w:rPr>
        <w:t>and</w:t>
      </w:r>
      <w:r>
        <w:rPr>
          <w:spacing w:val="-27"/>
          <w:sz w:val="20"/>
        </w:rPr>
        <w:t xml:space="preserve"> </w:t>
      </w:r>
      <w:r>
        <w:rPr>
          <w:color w:val="111111"/>
          <w:sz w:val="20"/>
        </w:rPr>
        <w:t>fair</w:t>
      </w:r>
      <w:r>
        <w:rPr>
          <w:color w:val="111111"/>
          <w:spacing w:val="-24"/>
          <w:sz w:val="20"/>
        </w:rPr>
        <w:t xml:space="preserve"> </w:t>
      </w:r>
      <w:r>
        <w:rPr>
          <w:color w:val="131313"/>
          <w:sz w:val="20"/>
        </w:rPr>
        <w:t>view</w:t>
      </w:r>
      <w:r>
        <w:rPr>
          <w:color w:val="131313"/>
          <w:spacing w:val="-23"/>
          <w:sz w:val="20"/>
        </w:rPr>
        <w:t xml:space="preserve"> </w:t>
      </w:r>
      <w:r>
        <w:rPr>
          <w:color w:val="1C1C1C"/>
          <w:sz w:val="20"/>
        </w:rPr>
        <w:t>of</w:t>
      </w:r>
      <w:r>
        <w:rPr>
          <w:color w:val="1C1C1C"/>
          <w:spacing w:val="-26"/>
          <w:sz w:val="20"/>
        </w:rPr>
        <w:t xml:space="preserve"> </w:t>
      </w:r>
      <w:r>
        <w:rPr>
          <w:color w:val="161616"/>
          <w:sz w:val="20"/>
        </w:rPr>
        <w:t>the</w:t>
      </w:r>
      <w:r>
        <w:rPr>
          <w:color w:val="161616"/>
          <w:spacing w:val="-29"/>
          <w:sz w:val="20"/>
        </w:rPr>
        <w:t xml:space="preserve"> </w:t>
      </w:r>
      <w:r>
        <w:rPr>
          <w:sz w:val="20"/>
        </w:rPr>
        <w:t>Company’s</w:t>
      </w:r>
      <w:r>
        <w:rPr>
          <w:spacing w:val="-19"/>
          <w:sz w:val="20"/>
        </w:rPr>
        <w:t xml:space="preserve"> </w:t>
      </w:r>
      <w:r>
        <w:rPr>
          <w:sz w:val="20"/>
        </w:rPr>
        <w:t>financial</w:t>
      </w:r>
      <w:r>
        <w:rPr>
          <w:spacing w:val="-23"/>
          <w:sz w:val="20"/>
        </w:rPr>
        <w:t xml:space="preserve"> </w:t>
      </w:r>
      <w:r>
        <w:rPr>
          <w:sz w:val="20"/>
        </w:rPr>
        <w:t>position</w:t>
      </w:r>
      <w:r>
        <w:rPr>
          <w:spacing w:val="-23"/>
          <w:sz w:val="20"/>
        </w:rPr>
        <w:t xml:space="preserve"> </w:t>
      </w:r>
      <w:r>
        <w:rPr>
          <w:color w:val="181818"/>
          <w:sz w:val="20"/>
        </w:rPr>
        <w:t>as</w:t>
      </w:r>
      <w:r>
        <w:rPr>
          <w:color w:val="181818"/>
          <w:spacing w:val="-23"/>
          <w:sz w:val="20"/>
        </w:rPr>
        <w:t xml:space="preserve"> </w:t>
      </w:r>
      <w:r>
        <w:rPr>
          <w:color w:val="151515"/>
          <w:sz w:val="20"/>
        </w:rPr>
        <w:t>at</w:t>
      </w:r>
      <w:r>
        <w:rPr>
          <w:color w:val="151515"/>
          <w:spacing w:val="-26"/>
          <w:sz w:val="20"/>
        </w:rPr>
        <w:t xml:space="preserve"> </w:t>
      </w:r>
      <w:r>
        <w:rPr>
          <w:color w:val="1D1D1D"/>
          <w:sz w:val="20"/>
        </w:rPr>
        <w:t>31</w:t>
      </w:r>
      <w:r>
        <w:rPr>
          <w:color w:val="1D1D1D"/>
          <w:spacing w:val="-29"/>
          <w:sz w:val="20"/>
        </w:rPr>
        <w:t xml:space="preserve"> </w:t>
      </w:r>
      <w:r>
        <w:rPr>
          <w:color w:val="0E0E0E"/>
          <w:sz w:val="20"/>
        </w:rPr>
        <w:t>December</w:t>
      </w:r>
      <w:r>
        <w:rPr>
          <w:color w:val="0E0E0E"/>
          <w:spacing w:val="-22"/>
          <w:sz w:val="20"/>
        </w:rPr>
        <w:t xml:space="preserve"> </w:t>
      </w:r>
      <w:r>
        <w:rPr>
          <w:sz w:val="20"/>
        </w:rPr>
        <w:t xml:space="preserve">2018 and its performance </w:t>
      </w:r>
      <w:r>
        <w:rPr>
          <w:color w:val="151515"/>
          <w:sz w:val="20"/>
        </w:rPr>
        <w:t xml:space="preserve">for </w:t>
      </w:r>
      <w:r>
        <w:rPr>
          <w:sz w:val="20"/>
        </w:rPr>
        <w:t xml:space="preserve">the year </w:t>
      </w:r>
      <w:r>
        <w:rPr>
          <w:color w:val="131313"/>
          <w:sz w:val="20"/>
        </w:rPr>
        <w:t xml:space="preserve">ended </w:t>
      </w:r>
      <w:r>
        <w:rPr>
          <w:sz w:val="20"/>
        </w:rPr>
        <w:t>on that</w:t>
      </w:r>
      <w:r>
        <w:rPr>
          <w:spacing w:val="-5"/>
          <w:sz w:val="20"/>
        </w:rPr>
        <w:t xml:space="preserve"> </w:t>
      </w:r>
      <w:r>
        <w:rPr>
          <w:sz w:val="20"/>
        </w:rPr>
        <w:t>date</w:t>
      </w:r>
    </w:p>
    <w:p w14:paraId="5DFE5945" w14:textId="77777777" w:rsidR="00FA4AA8" w:rsidRDefault="0015611F">
      <w:pPr>
        <w:spacing w:before="59"/>
        <w:ind w:left="1199" w:firstLine="538"/>
        <w:rPr>
          <w:sz w:val="20"/>
        </w:rPr>
      </w:pPr>
      <w:r>
        <w:rPr>
          <w:sz w:val="20"/>
        </w:rPr>
        <w:t xml:space="preserve">complying with Australian Accounting </w:t>
      </w:r>
      <w:r>
        <w:rPr>
          <w:color w:val="0C0C0C"/>
          <w:sz w:val="20"/>
        </w:rPr>
        <w:t xml:space="preserve">Standards </w:t>
      </w:r>
      <w:r>
        <w:rPr>
          <w:sz w:val="20"/>
        </w:rPr>
        <w:t xml:space="preserve">and the Corporations Regulations </w:t>
      </w:r>
      <w:r>
        <w:rPr>
          <w:color w:val="0C0C0C"/>
          <w:sz w:val="20"/>
        </w:rPr>
        <w:t>2001</w:t>
      </w:r>
    </w:p>
    <w:p w14:paraId="01B38FF3" w14:textId="77777777" w:rsidR="00FA4AA8" w:rsidRDefault="0015611F">
      <w:pPr>
        <w:spacing w:before="58"/>
        <w:ind w:left="1197" w:right="637" w:firstLine="2"/>
        <w:rPr>
          <w:sz w:val="20"/>
        </w:rPr>
      </w:pPr>
      <w:r>
        <w:rPr>
          <w:color w:val="0E0E0E"/>
          <w:sz w:val="20"/>
        </w:rPr>
        <w:t>is</w:t>
      </w:r>
      <w:r>
        <w:rPr>
          <w:color w:val="0E0E0E"/>
          <w:spacing w:val="-27"/>
          <w:sz w:val="20"/>
        </w:rPr>
        <w:t xml:space="preserve"> </w:t>
      </w:r>
      <w:r>
        <w:rPr>
          <w:sz w:val="20"/>
        </w:rPr>
        <w:t>in</w:t>
      </w:r>
      <w:r>
        <w:rPr>
          <w:spacing w:val="-28"/>
          <w:sz w:val="20"/>
        </w:rPr>
        <w:t xml:space="preserve"> </w:t>
      </w:r>
      <w:r>
        <w:rPr>
          <w:sz w:val="20"/>
        </w:rPr>
        <w:t>accordance</w:t>
      </w:r>
      <w:r>
        <w:rPr>
          <w:spacing w:val="-16"/>
          <w:sz w:val="20"/>
        </w:rPr>
        <w:t xml:space="preserve"> </w:t>
      </w:r>
      <w:r>
        <w:rPr>
          <w:sz w:val="20"/>
        </w:rPr>
        <w:t>with</w:t>
      </w:r>
      <w:r>
        <w:rPr>
          <w:spacing w:val="-24"/>
          <w:sz w:val="20"/>
        </w:rPr>
        <w:t xml:space="preserve"> </w:t>
      </w:r>
      <w:r>
        <w:rPr>
          <w:sz w:val="20"/>
        </w:rPr>
        <w:t>section</w:t>
      </w:r>
      <w:r>
        <w:rPr>
          <w:spacing w:val="-24"/>
          <w:sz w:val="20"/>
        </w:rPr>
        <w:t xml:space="preserve"> </w:t>
      </w:r>
      <w:r>
        <w:rPr>
          <w:sz w:val="20"/>
        </w:rPr>
        <w:t>41B</w:t>
      </w:r>
      <w:r>
        <w:rPr>
          <w:spacing w:val="-27"/>
          <w:sz w:val="20"/>
        </w:rPr>
        <w:t xml:space="preserve"> </w:t>
      </w:r>
      <w:r>
        <w:rPr>
          <w:color w:val="0F0F0F"/>
          <w:sz w:val="20"/>
        </w:rPr>
        <w:t>of</w:t>
      </w:r>
      <w:r>
        <w:rPr>
          <w:color w:val="0F0F0F"/>
          <w:spacing w:val="-26"/>
          <w:sz w:val="20"/>
        </w:rPr>
        <w:t xml:space="preserve"> </w:t>
      </w:r>
      <w:r>
        <w:rPr>
          <w:color w:val="0E0E0E"/>
          <w:sz w:val="20"/>
        </w:rPr>
        <w:t>the</w:t>
      </w:r>
      <w:r>
        <w:rPr>
          <w:color w:val="0E0E0E"/>
          <w:spacing w:val="-27"/>
          <w:sz w:val="20"/>
        </w:rPr>
        <w:t xml:space="preserve"> </w:t>
      </w:r>
      <w:r>
        <w:rPr>
          <w:i/>
          <w:sz w:val="20"/>
        </w:rPr>
        <w:t>Public</w:t>
      </w:r>
      <w:r>
        <w:rPr>
          <w:i/>
          <w:spacing w:val="-19"/>
          <w:sz w:val="20"/>
        </w:rPr>
        <w:t xml:space="preserve"> </w:t>
      </w:r>
      <w:r>
        <w:rPr>
          <w:i/>
          <w:sz w:val="20"/>
        </w:rPr>
        <w:t>Finance</w:t>
      </w:r>
      <w:r>
        <w:rPr>
          <w:i/>
          <w:spacing w:val="-20"/>
          <w:sz w:val="20"/>
        </w:rPr>
        <w:t xml:space="preserve"> </w:t>
      </w:r>
      <w:r>
        <w:rPr>
          <w:i/>
          <w:sz w:val="20"/>
        </w:rPr>
        <w:t>and</w:t>
      </w:r>
      <w:r>
        <w:rPr>
          <w:i/>
          <w:spacing w:val="-24"/>
          <w:sz w:val="20"/>
        </w:rPr>
        <w:t xml:space="preserve"> </w:t>
      </w:r>
      <w:r>
        <w:rPr>
          <w:i/>
          <w:sz w:val="20"/>
        </w:rPr>
        <w:t>Audit</w:t>
      </w:r>
      <w:r>
        <w:rPr>
          <w:i/>
          <w:spacing w:val="-22"/>
          <w:sz w:val="20"/>
        </w:rPr>
        <w:t xml:space="preserve"> </w:t>
      </w:r>
      <w:r>
        <w:rPr>
          <w:i/>
          <w:color w:val="111111"/>
          <w:sz w:val="20"/>
        </w:rPr>
        <w:t>Act</w:t>
      </w:r>
      <w:r>
        <w:rPr>
          <w:i/>
          <w:color w:val="111111"/>
          <w:spacing w:val="-27"/>
          <w:sz w:val="20"/>
        </w:rPr>
        <w:t xml:space="preserve"> </w:t>
      </w:r>
      <w:r>
        <w:rPr>
          <w:i/>
          <w:color w:val="131313"/>
          <w:sz w:val="20"/>
        </w:rPr>
        <w:t>1983</w:t>
      </w:r>
      <w:r>
        <w:rPr>
          <w:i/>
          <w:color w:val="131313"/>
          <w:spacing w:val="-22"/>
          <w:sz w:val="20"/>
        </w:rPr>
        <w:t xml:space="preserve"> </w:t>
      </w:r>
      <w:r>
        <w:rPr>
          <w:sz w:val="20"/>
        </w:rPr>
        <w:t>(PF&amp;A</w:t>
      </w:r>
      <w:r>
        <w:rPr>
          <w:spacing w:val="-19"/>
          <w:sz w:val="20"/>
        </w:rPr>
        <w:t xml:space="preserve"> </w:t>
      </w:r>
      <w:r>
        <w:rPr>
          <w:sz w:val="20"/>
        </w:rPr>
        <w:t>Act)</w:t>
      </w:r>
      <w:r>
        <w:rPr>
          <w:spacing w:val="-25"/>
          <w:sz w:val="20"/>
        </w:rPr>
        <w:t xml:space="preserve"> </w:t>
      </w:r>
      <w:r>
        <w:rPr>
          <w:sz w:val="20"/>
        </w:rPr>
        <w:t>and</w:t>
      </w:r>
      <w:r>
        <w:rPr>
          <w:spacing w:val="-27"/>
          <w:sz w:val="20"/>
        </w:rPr>
        <w:t xml:space="preserve"> </w:t>
      </w:r>
      <w:r>
        <w:rPr>
          <w:color w:val="161616"/>
          <w:sz w:val="20"/>
        </w:rPr>
        <w:t xml:space="preserve">the </w:t>
      </w:r>
      <w:r>
        <w:rPr>
          <w:sz w:val="20"/>
        </w:rPr>
        <w:t>Public Finance and Audit Regulation</w:t>
      </w:r>
      <w:r>
        <w:rPr>
          <w:spacing w:val="18"/>
          <w:sz w:val="20"/>
        </w:rPr>
        <w:t xml:space="preserve"> </w:t>
      </w:r>
      <w:r>
        <w:rPr>
          <w:sz w:val="20"/>
        </w:rPr>
        <w:t>2015.</w:t>
      </w:r>
    </w:p>
    <w:p w14:paraId="60A6159F" w14:textId="77777777" w:rsidR="00FA4AA8" w:rsidRDefault="00FA4AA8">
      <w:pPr>
        <w:pStyle w:val="BodyText"/>
        <w:spacing w:before="8"/>
        <w:rPr>
          <w:sz w:val="17"/>
        </w:rPr>
      </w:pPr>
    </w:p>
    <w:p w14:paraId="5E986561" w14:textId="77777777" w:rsidR="00FA4AA8" w:rsidRDefault="0015611F">
      <w:pPr>
        <w:spacing w:before="1"/>
        <w:ind w:left="658"/>
        <w:rPr>
          <w:sz w:val="19"/>
        </w:rPr>
      </w:pPr>
      <w:r>
        <w:rPr>
          <w:color w:val="1C1C1C"/>
          <w:sz w:val="19"/>
        </w:rPr>
        <w:t xml:space="preserve">My </w:t>
      </w:r>
      <w:r>
        <w:rPr>
          <w:sz w:val="19"/>
        </w:rPr>
        <w:t xml:space="preserve">opinion should be read </w:t>
      </w:r>
      <w:r>
        <w:rPr>
          <w:color w:val="161616"/>
          <w:sz w:val="19"/>
        </w:rPr>
        <w:t xml:space="preserve">in </w:t>
      </w:r>
      <w:r>
        <w:rPr>
          <w:sz w:val="19"/>
        </w:rPr>
        <w:t xml:space="preserve">conjunction </w:t>
      </w:r>
      <w:r>
        <w:rPr>
          <w:color w:val="0C0C0C"/>
          <w:sz w:val="19"/>
        </w:rPr>
        <w:t xml:space="preserve">with </w:t>
      </w:r>
      <w:r>
        <w:rPr>
          <w:color w:val="1A1A1A"/>
          <w:sz w:val="19"/>
        </w:rPr>
        <w:t xml:space="preserve">the rest </w:t>
      </w:r>
      <w:r>
        <w:rPr>
          <w:sz w:val="19"/>
        </w:rPr>
        <w:t xml:space="preserve">of </w:t>
      </w:r>
      <w:r>
        <w:rPr>
          <w:color w:val="1A1A1A"/>
          <w:sz w:val="19"/>
        </w:rPr>
        <w:t xml:space="preserve">this </w:t>
      </w:r>
      <w:r>
        <w:rPr>
          <w:sz w:val="19"/>
        </w:rPr>
        <w:t>report.</w:t>
      </w:r>
    </w:p>
    <w:p w14:paraId="17762B4F" w14:textId="77777777" w:rsidR="00FA4AA8" w:rsidRDefault="0015611F">
      <w:pPr>
        <w:spacing w:before="161"/>
        <w:ind w:left="656"/>
        <w:jc w:val="both"/>
        <w:rPr>
          <w:sz w:val="23"/>
        </w:rPr>
      </w:pPr>
      <w:r>
        <w:rPr>
          <w:w w:val="110"/>
          <w:sz w:val="23"/>
        </w:rPr>
        <w:t xml:space="preserve">Basis </w:t>
      </w:r>
      <w:r>
        <w:rPr>
          <w:color w:val="0E0E0E"/>
          <w:w w:val="110"/>
          <w:sz w:val="23"/>
        </w:rPr>
        <w:t xml:space="preserve">for </w:t>
      </w:r>
      <w:r>
        <w:rPr>
          <w:color w:val="0C0C0C"/>
          <w:w w:val="110"/>
          <w:sz w:val="23"/>
        </w:rPr>
        <w:t>Opinion</w:t>
      </w:r>
    </w:p>
    <w:p w14:paraId="2B682CD9" w14:textId="77777777" w:rsidR="00FA4AA8" w:rsidRDefault="0015611F">
      <w:pPr>
        <w:spacing w:before="119" w:line="237" w:lineRule="auto"/>
        <w:ind w:left="659" w:right="802" w:hanging="5"/>
        <w:jc w:val="both"/>
        <w:rPr>
          <w:sz w:val="20"/>
        </w:rPr>
      </w:pPr>
      <w:r>
        <w:rPr>
          <w:color w:val="111111"/>
          <w:sz w:val="20"/>
        </w:rPr>
        <w:t>I</w:t>
      </w:r>
      <w:r>
        <w:rPr>
          <w:color w:val="111111"/>
          <w:spacing w:val="-35"/>
          <w:sz w:val="20"/>
        </w:rPr>
        <w:t xml:space="preserve"> </w:t>
      </w:r>
      <w:r>
        <w:rPr>
          <w:color w:val="111111"/>
          <w:sz w:val="20"/>
        </w:rPr>
        <w:t>conducted</w:t>
      </w:r>
      <w:r>
        <w:rPr>
          <w:color w:val="111111"/>
          <w:spacing w:val="-30"/>
          <w:sz w:val="20"/>
        </w:rPr>
        <w:t xml:space="preserve"> </w:t>
      </w:r>
      <w:r>
        <w:rPr>
          <w:sz w:val="20"/>
        </w:rPr>
        <w:t>my</w:t>
      </w:r>
      <w:r>
        <w:rPr>
          <w:spacing w:val="-33"/>
          <w:sz w:val="20"/>
        </w:rPr>
        <w:t xml:space="preserve"> </w:t>
      </w:r>
      <w:r>
        <w:rPr>
          <w:color w:val="161616"/>
          <w:sz w:val="20"/>
        </w:rPr>
        <w:t>audit</w:t>
      </w:r>
      <w:r>
        <w:rPr>
          <w:color w:val="161616"/>
          <w:spacing w:val="-33"/>
          <w:sz w:val="20"/>
        </w:rPr>
        <w:t xml:space="preserve"> </w:t>
      </w:r>
      <w:r>
        <w:rPr>
          <w:color w:val="161616"/>
          <w:sz w:val="20"/>
        </w:rPr>
        <w:t>in</w:t>
      </w:r>
      <w:r>
        <w:rPr>
          <w:color w:val="161616"/>
          <w:spacing w:val="-30"/>
          <w:sz w:val="20"/>
        </w:rPr>
        <w:t xml:space="preserve"> </w:t>
      </w:r>
      <w:r>
        <w:rPr>
          <w:sz w:val="20"/>
        </w:rPr>
        <w:t>accordance</w:t>
      </w:r>
      <w:r>
        <w:rPr>
          <w:spacing w:val="-25"/>
          <w:sz w:val="20"/>
        </w:rPr>
        <w:t xml:space="preserve"> </w:t>
      </w:r>
      <w:r>
        <w:rPr>
          <w:color w:val="0F0F0F"/>
          <w:sz w:val="20"/>
        </w:rPr>
        <w:t>with</w:t>
      </w:r>
      <w:r>
        <w:rPr>
          <w:color w:val="0F0F0F"/>
          <w:spacing w:val="-31"/>
          <w:sz w:val="20"/>
        </w:rPr>
        <w:t xml:space="preserve"> </w:t>
      </w:r>
      <w:r>
        <w:rPr>
          <w:sz w:val="20"/>
        </w:rPr>
        <w:t>Australian</w:t>
      </w:r>
      <w:r>
        <w:rPr>
          <w:spacing w:val="-25"/>
          <w:sz w:val="20"/>
        </w:rPr>
        <w:t xml:space="preserve"> </w:t>
      </w:r>
      <w:r>
        <w:rPr>
          <w:color w:val="0F0F0F"/>
          <w:sz w:val="20"/>
        </w:rPr>
        <w:t>Auditing</w:t>
      </w:r>
      <w:r>
        <w:rPr>
          <w:color w:val="0F0F0F"/>
          <w:spacing w:val="-28"/>
          <w:sz w:val="20"/>
        </w:rPr>
        <w:t xml:space="preserve"> </w:t>
      </w:r>
      <w:r>
        <w:rPr>
          <w:sz w:val="20"/>
        </w:rPr>
        <w:t>Standards.</w:t>
      </w:r>
      <w:r>
        <w:rPr>
          <w:spacing w:val="-22"/>
          <w:sz w:val="20"/>
        </w:rPr>
        <w:t xml:space="preserve"> </w:t>
      </w:r>
      <w:r>
        <w:rPr>
          <w:color w:val="1A1A1A"/>
          <w:sz w:val="20"/>
        </w:rPr>
        <w:t>My</w:t>
      </w:r>
      <w:r>
        <w:rPr>
          <w:color w:val="1A1A1A"/>
          <w:spacing w:val="-33"/>
          <w:sz w:val="20"/>
        </w:rPr>
        <w:t xml:space="preserve"> </w:t>
      </w:r>
      <w:r>
        <w:rPr>
          <w:sz w:val="20"/>
        </w:rPr>
        <w:t>responsibilities</w:t>
      </w:r>
      <w:r>
        <w:rPr>
          <w:spacing w:val="-29"/>
          <w:sz w:val="20"/>
        </w:rPr>
        <w:t xml:space="preserve"> </w:t>
      </w:r>
      <w:r>
        <w:rPr>
          <w:color w:val="111111"/>
          <w:sz w:val="20"/>
        </w:rPr>
        <w:t>under</w:t>
      </w:r>
      <w:r>
        <w:rPr>
          <w:color w:val="111111"/>
          <w:spacing w:val="-31"/>
          <w:sz w:val="20"/>
        </w:rPr>
        <w:t xml:space="preserve"> </w:t>
      </w:r>
      <w:r>
        <w:rPr>
          <w:color w:val="0F0F0F"/>
          <w:sz w:val="20"/>
        </w:rPr>
        <w:t>the</w:t>
      </w:r>
      <w:r>
        <w:rPr>
          <w:sz w:val="20"/>
        </w:rPr>
        <w:t xml:space="preserve"> standards</w:t>
      </w:r>
      <w:r>
        <w:rPr>
          <w:spacing w:val="-25"/>
          <w:sz w:val="20"/>
        </w:rPr>
        <w:t xml:space="preserve"> </w:t>
      </w:r>
      <w:r>
        <w:rPr>
          <w:color w:val="0C0C0C"/>
          <w:sz w:val="20"/>
        </w:rPr>
        <w:t>are</w:t>
      </w:r>
      <w:r>
        <w:rPr>
          <w:color w:val="0C0C0C"/>
          <w:spacing w:val="-32"/>
          <w:sz w:val="20"/>
        </w:rPr>
        <w:t xml:space="preserve"> </w:t>
      </w:r>
      <w:r>
        <w:rPr>
          <w:color w:val="0A0A0A"/>
          <w:sz w:val="20"/>
        </w:rPr>
        <w:t>described</w:t>
      </w:r>
      <w:r>
        <w:rPr>
          <w:color w:val="0A0A0A"/>
          <w:spacing w:val="-26"/>
          <w:sz w:val="20"/>
        </w:rPr>
        <w:t xml:space="preserve"> </w:t>
      </w:r>
      <w:r>
        <w:rPr>
          <w:color w:val="0F0F0F"/>
          <w:sz w:val="20"/>
        </w:rPr>
        <w:t>in</w:t>
      </w:r>
      <w:r>
        <w:rPr>
          <w:color w:val="0F0F0F"/>
          <w:spacing w:val="-34"/>
          <w:sz w:val="20"/>
        </w:rPr>
        <w:t xml:space="preserve"> </w:t>
      </w:r>
      <w:r>
        <w:rPr>
          <w:sz w:val="20"/>
        </w:rPr>
        <w:t>the</w:t>
      </w:r>
      <w:r>
        <w:rPr>
          <w:spacing w:val="-30"/>
          <w:sz w:val="20"/>
        </w:rPr>
        <w:t xml:space="preserve"> </w:t>
      </w:r>
      <w:r>
        <w:rPr>
          <w:sz w:val="20"/>
        </w:rPr>
        <w:t>'Auditor’s</w:t>
      </w:r>
      <w:r>
        <w:rPr>
          <w:spacing w:val="-29"/>
          <w:sz w:val="20"/>
        </w:rPr>
        <w:t xml:space="preserve"> </w:t>
      </w:r>
      <w:r>
        <w:rPr>
          <w:sz w:val="20"/>
        </w:rPr>
        <w:t>Responsibilities</w:t>
      </w:r>
      <w:r>
        <w:rPr>
          <w:spacing w:val="-30"/>
          <w:sz w:val="20"/>
        </w:rPr>
        <w:t xml:space="preserve"> </w:t>
      </w:r>
      <w:r>
        <w:rPr>
          <w:color w:val="1A1A1A"/>
          <w:sz w:val="20"/>
        </w:rPr>
        <w:t>for</w:t>
      </w:r>
      <w:r>
        <w:rPr>
          <w:color w:val="1A1A1A"/>
          <w:spacing w:val="-33"/>
          <w:sz w:val="20"/>
        </w:rPr>
        <w:t xml:space="preserve"> </w:t>
      </w:r>
      <w:r>
        <w:rPr>
          <w:color w:val="0E0E0E"/>
          <w:sz w:val="20"/>
        </w:rPr>
        <w:t>the</w:t>
      </w:r>
      <w:r>
        <w:rPr>
          <w:color w:val="0E0E0E"/>
          <w:spacing w:val="-32"/>
          <w:sz w:val="20"/>
        </w:rPr>
        <w:t xml:space="preserve"> </w:t>
      </w:r>
      <w:r>
        <w:rPr>
          <w:color w:val="0A0A0A"/>
          <w:sz w:val="20"/>
        </w:rPr>
        <w:t>Audit</w:t>
      </w:r>
      <w:r>
        <w:rPr>
          <w:color w:val="0A0A0A"/>
          <w:spacing w:val="-28"/>
          <w:sz w:val="20"/>
        </w:rPr>
        <w:t xml:space="preserve"> </w:t>
      </w:r>
      <w:r>
        <w:rPr>
          <w:color w:val="1A1A1A"/>
          <w:sz w:val="20"/>
        </w:rPr>
        <w:t>of</w:t>
      </w:r>
      <w:r>
        <w:rPr>
          <w:color w:val="1A1A1A"/>
          <w:spacing w:val="-32"/>
          <w:sz w:val="20"/>
        </w:rPr>
        <w:t xml:space="preserve"> </w:t>
      </w:r>
      <w:r>
        <w:rPr>
          <w:color w:val="1C1C1C"/>
          <w:sz w:val="20"/>
        </w:rPr>
        <w:t>the</w:t>
      </w:r>
      <w:r>
        <w:rPr>
          <w:color w:val="1C1C1C"/>
          <w:spacing w:val="-36"/>
          <w:sz w:val="20"/>
        </w:rPr>
        <w:t xml:space="preserve"> </w:t>
      </w:r>
      <w:r>
        <w:rPr>
          <w:color w:val="0C0C0C"/>
          <w:sz w:val="20"/>
        </w:rPr>
        <w:t>Financial</w:t>
      </w:r>
      <w:r>
        <w:rPr>
          <w:color w:val="0C0C0C"/>
          <w:spacing w:val="-27"/>
          <w:sz w:val="20"/>
        </w:rPr>
        <w:t xml:space="preserve"> </w:t>
      </w:r>
      <w:r>
        <w:rPr>
          <w:sz w:val="20"/>
        </w:rPr>
        <w:t>Report’</w:t>
      </w:r>
      <w:r>
        <w:rPr>
          <w:spacing w:val="-28"/>
          <w:sz w:val="20"/>
        </w:rPr>
        <w:t xml:space="preserve"> </w:t>
      </w:r>
      <w:r>
        <w:rPr>
          <w:color w:val="0F0F0F"/>
          <w:sz w:val="20"/>
        </w:rPr>
        <w:t>section</w:t>
      </w:r>
      <w:r>
        <w:rPr>
          <w:color w:val="0C0C0C"/>
          <w:sz w:val="20"/>
        </w:rPr>
        <w:t xml:space="preserve"> of </w:t>
      </w:r>
      <w:r>
        <w:rPr>
          <w:sz w:val="20"/>
        </w:rPr>
        <w:t>my</w:t>
      </w:r>
      <w:r>
        <w:rPr>
          <w:spacing w:val="-3"/>
          <w:sz w:val="20"/>
        </w:rPr>
        <w:t xml:space="preserve"> </w:t>
      </w:r>
      <w:r>
        <w:rPr>
          <w:color w:val="0E0E0E"/>
          <w:sz w:val="20"/>
        </w:rPr>
        <w:t>report.</w:t>
      </w:r>
    </w:p>
    <w:p w14:paraId="568D4EAE" w14:textId="77777777" w:rsidR="00FA4AA8" w:rsidRDefault="0015611F">
      <w:pPr>
        <w:spacing w:before="9" w:line="390" w:lineRule="atLeast"/>
        <w:ind w:left="1198" w:right="2771" w:hanging="544"/>
        <w:jc w:val="both"/>
        <w:rPr>
          <w:sz w:val="19"/>
        </w:rPr>
      </w:pPr>
      <w:r>
        <w:rPr>
          <w:color w:val="262626"/>
          <w:sz w:val="19"/>
        </w:rPr>
        <w:t xml:space="preserve">I </w:t>
      </w:r>
      <w:r>
        <w:rPr>
          <w:sz w:val="19"/>
        </w:rPr>
        <w:t xml:space="preserve">am independent </w:t>
      </w:r>
      <w:r>
        <w:rPr>
          <w:color w:val="212121"/>
          <w:sz w:val="19"/>
        </w:rPr>
        <w:t xml:space="preserve">of </w:t>
      </w:r>
      <w:r>
        <w:rPr>
          <w:sz w:val="19"/>
        </w:rPr>
        <w:t xml:space="preserve">the Company </w:t>
      </w:r>
      <w:r>
        <w:rPr>
          <w:color w:val="0F0F0F"/>
          <w:sz w:val="19"/>
        </w:rPr>
        <w:t xml:space="preserve">in </w:t>
      </w:r>
      <w:r>
        <w:rPr>
          <w:sz w:val="19"/>
        </w:rPr>
        <w:t xml:space="preserve">accordance with the </w:t>
      </w:r>
      <w:r>
        <w:rPr>
          <w:color w:val="0C0C0C"/>
          <w:sz w:val="19"/>
        </w:rPr>
        <w:t xml:space="preserve">requirements </w:t>
      </w:r>
      <w:r>
        <w:rPr>
          <w:color w:val="131313"/>
          <w:sz w:val="19"/>
        </w:rPr>
        <w:t xml:space="preserve">of </w:t>
      </w:r>
      <w:r>
        <w:rPr>
          <w:sz w:val="19"/>
        </w:rPr>
        <w:t>the: Australian Auditing Standards</w:t>
      </w:r>
    </w:p>
    <w:p w14:paraId="06105EDA" w14:textId="77777777" w:rsidR="00FA4AA8" w:rsidRDefault="0015611F">
      <w:pPr>
        <w:spacing w:before="59"/>
        <w:ind w:left="1201"/>
        <w:jc w:val="both"/>
        <w:rPr>
          <w:i/>
          <w:sz w:val="20"/>
        </w:rPr>
      </w:pPr>
      <w:r>
        <w:rPr>
          <w:i/>
          <w:sz w:val="20"/>
        </w:rPr>
        <w:t xml:space="preserve">Corporations </w:t>
      </w:r>
      <w:r>
        <w:rPr>
          <w:i/>
          <w:color w:val="111111"/>
          <w:sz w:val="20"/>
        </w:rPr>
        <w:t xml:space="preserve">Act </w:t>
      </w:r>
      <w:r>
        <w:rPr>
          <w:i/>
          <w:color w:val="181818"/>
          <w:sz w:val="20"/>
        </w:rPr>
        <w:t>2001</w:t>
      </w:r>
    </w:p>
    <w:p w14:paraId="3D138B6A" w14:textId="77777777" w:rsidR="00FA4AA8" w:rsidRDefault="0015611F">
      <w:pPr>
        <w:pStyle w:val="ListParagraph"/>
        <w:numPr>
          <w:ilvl w:val="0"/>
          <w:numId w:val="40"/>
        </w:numPr>
        <w:tabs>
          <w:tab w:val="left" w:pos="1199"/>
        </w:tabs>
        <w:spacing w:before="66"/>
        <w:ind w:right="1587" w:hanging="536"/>
        <w:jc w:val="both"/>
        <w:rPr>
          <w:color w:val="363636"/>
          <w:sz w:val="20"/>
        </w:rPr>
      </w:pPr>
      <w:r>
        <w:rPr>
          <w:sz w:val="20"/>
        </w:rPr>
        <w:t>Accounting</w:t>
      </w:r>
      <w:r>
        <w:rPr>
          <w:spacing w:val="-31"/>
          <w:sz w:val="20"/>
        </w:rPr>
        <w:t xml:space="preserve"> </w:t>
      </w:r>
      <w:r>
        <w:rPr>
          <w:color w:val="0F0F0F"/>
          <w:sz w:val="20"/>
        </w:rPr>
        <w:t>Professional</w:t>
      </w:r>
      <w:r>
        <w:rPr>
          <w:color w:val="0F0F0F"/>
          <w:spacing w:val="-28"/>
          <w:sz w:val="20"/>
        </w:rPr>
        <w:t xml:space="preserve"> </w:t>
      </w:r>
      <w:r>
        <w:rPr>
          <w:color w:val="161616"/>
          <w:sz w:val="20"/>
        </w:rPr>
        <w:t>and</w:t>
      </w:r>
      <w:r>
        <w:rPr>
          <w:color w:val="161616"/>
          <w:spacing w:val="-36"/>
          <w:sz w:val="20"/>
        </w:rPr>
        <w:t xml:space="preserve"> </w:t>
      </w:r>
      <w:r>
        <w:rPr>
          <w:sz w:val="20"/>
        </w:rPr>
        <w:t>Ethical</w:t>
      </w:r>
      <w:r>
        <w:rPr>
          <w:spacing w:val="-33"/>
          <w:sz w:val="20"/>
        </w:rPr>
        <w:t xml:space="preserve"> </w:t>
      </w:r>
      <w:r>
        <w:rPr>
          <w:sz w:val="20"/>
        </w:rPr>
        <w:t>Standards</w:t>
      </w:r>
      <w:r>
        <w:rPr>
          <w:spacing w:val="-30"/>
          <w:sz w:val="20"/>
        </w:rPr>
        <w:t xml:space="preserve"> </w:t>
      </w:r>
      <w:r>
        <w:rPr>
          <w:color w:val="0C0C0C"/>
          <w:sz w:val="20"/>
        </w:rPr>
        <w:t>Board’s</w:t>
      </w:r>
      <w:r>
        <w:rPr>
          <w:color w:val="0C0C0C"/>
          <w:spacing w:val="-33"/>
          <w:sz w:val="20"/>
        </w:rPr>
        <w:t xml:space="preserve"> </w:t>
      </w:r>
      <w:r>
        <w:rPr>
          <w:sz w:val="20"/>
        </w:rPr>
        <w:t>APES</w:t>
      </w:r>
      <w:r>
        <w:rPr>
          <w:spacing w:val="-33"/>
          <w:sz w:val="20"/>
        </w:rPr>
        <w:t xml:space="preserve"> </w:t>
      </w:r>
      <w:r>
        <w:rPr>
          <w:sz w:val="20"/>
        </w:rPr>
        <w:t>110</w:t>
      </w:r>
      <w:r>
        <w:rPr>
          <w:spacing w:val="-34"/>
          <w:sz w:val="20"/>
        </w:rPr>
        <w:t xml:space="preserve"> </w:t>
      </w:r>
      <w:r>
        <w:rPr>
          <w:sz w:val="20"/>
        </w:rPr>
        <w:t>’Code</w:t>
      </w:r>
      <w:r>
        <w:rPr>
          <w:spacing w:val="-31"/>
          <w:sz w:val="20"/>
        </w:rPr>
        <w:t xml:space="preserve"> </w:t>
      </w:r>
      <w:r>
        <w:rPr>
          <w:sz w:val="20"/>
        </w:rPr>
        <w:t>of</w:t>
      </w:r>
      <w:r>
        <w:rPr>
          <w:spacing w:val="-38"/>
          <w:sz w:val="20"/>
        </w:rPr>
        <w:t xml:space="preserve"> </w:t>
      </w:r>
      <w:r>
        <w:rPr>
          <w:sz w:val="20"/>
        </w:rPr>
        <w:t>Ethics</w:t>
      </w:r>
      <w:r>
        <w:rPr>
          <w:spacing w:val="-30"/>
          <w:sz w:val="20"/>
        </w:rPr>
        <w:t xml:space="preserve"> </w:t>
      </w:r>
      <w:r>
        <w:rPr>
          <w:color w:val="1C1C1C"/>
          <w:sz w:val="20"/>
        </w:rPr>
        <w:t>for</w:t>
      </w:r>
      <w:r>
        <w:rPr>
          <w:sz w:val="20"/>
        </w:rPr>
        <w:t xml:space="preserve"> Professional Accountants’ </w:t>
      </w:r>
      <w:r>
        <w:rPr>
          <w:color w:val="0F0F0F"/>
          <w:sz w:val="20"/>
        </w:rPr>
        <w:t>(APES</w:t>
      </w:r>
      <w:r>
        <w:rPr>
          <w:color w:val="0F0F0F"/>
          <w:spacing w:val="25"/>
          <w:sz w:val="20"/>
        </w:rPr>
        <w:t xml:space="preserve"> </w:t>
      </w:r>
      <w:r>
        <w:rPr>
          <w:color w:val="0C0C0C"/>
          <w:sz w:val="20"/>
        </w:rPr>
        <w:t>110).</w:t>
      </w:r>
    </w:p>
    <w:p w14:paraId="31D84085" w14:textId="77777777" w:rsidR="00FA4AA8" w:rsidRDefault="0015611F">
      <w:pPr>
        <w:spacing w:before="197"/>
        <w:ind w:left="662"/>
        <w:rPr>
          <w:sz w:val="19"/>
        </w:rPr>
      </w:pPr>
      <w:r>
        <w:rPr>
          <w:color w:val="313131"/>
          <w:sz w:val="19"/>
        </w:rPr>
        <w:t xml:space="preserve">I </w:t>
      </w:r>
      <w:r>
        <w:rPr>
          <w:sz w:val="19"/>
        </w:rPr>
        <w:t xml:space="preserve">have fulfilled </w:t>
      </w:r>
      <w:r>
        <w:rPr>
          <w:color w:val="161616"/>
          <w:sz w:val="19"/>
        </w:rPr>
        <w:t xml:space="preserve">my </w:t>
      </w:r>
      <w:r>
        <w:rPr>
          <w:sz w:val="19"/>
        </w:rPr>
        <w:t xml:space="preserve">other </w:t>
      </w:r>
      <w:r>
        <w:rPr>
          <w:color w:val="111111"/>
          <w:sz w:val="19"/>
        </w:rPr>
        <w:t xml:space="preserve">ethical </w:t>
      </w:r>
      <w:r>
        <w:rPr>
          <w:sz w:val="19"/>
        </w:rPr>
        <w:t xml:space="preserve">responsibilities </w:t>
      </w:r>
      <w:r>
        <w:rPr>
          <w:color w:val="232323"/>
          <w:sz w:val="19"/>
        </w:rPr>
        <w:t xml:space="preserve">in </w:t>
      </w:r>
      <w:r>
        <w:rPr>
          <w:color w:val="0E0E0E"/>
          <w:sz w:val="19"/>
        </w:rPr>
        <w:t xml:space="preserve">accordance </w:t>
      </w:r>
      <w:r>
        <w:rPr>
          <w:color w:val="111111"/>
          <w:sz w:val="19"/>
        </w:rPr>
        <w:t xml:space="preserve">with </w:t>
      </w:r>
      <w:r>
        <w:rPr>
          <w:sz w:val="19"/>
        </w:rPr>
        <w:t xml:space="preserve">APES </w:t>
      </w:r>
      <w:r>
        <w:rPr>
          <w:color w:val="1D1D1D"/>
          <w:sz w:val="19"/>
        </w:rPr>
        <w:t>110.</w:t>
      </w:r>
    </w:p>
    <w:p w14:paraId="502FEE14" w14:textId="77777777" w:rsidR="00FA4AA8" w:rsidRDefault="0015611F">
      <w:pPr>
        <w:spacing w:before="168"/>
        <w:ind w:left="657" w:right="1625" w:hanging="1"/>
        <w:jc w:val="both"/>
        <w:rPr>
          <w:sz w:val="20"/>
        </w:rPr>
      </w:pPr>
      <w:r>
        <w:rPr>
          <w:sz w:val="20"/>
        </w:rPr>
        <w:t>Parliament</w:t>
      </w:r>
      <w:r>
        <w:rPr>
          <w:spacing w:val="-32"/>
          <w:sz w:val="20"/>
        </w:rPr>
        <w:t xml:space="preserve"> </w:t>
      </w:r>
      <w:r>
        <w:rPr>
          <w:color w:val="0C0C0C"/>
          <w:sz w:val="20"/>
        </w:rPr>
        <w:t>promotes</w:t>
      </w:r>
      <w:r>
        <w:rPr>
          <w:color w:val="0C0C0C"/>
          <w:spacing w:val="-33"/>
          <w:sz w:val="20"/>
        </w:rPr>
        <w:t xml:space="preserve"> </w:t>
      </w:r>
      <w:r>
        <w:rPr>
          <w:sz w:val="20"/>
        </w:rPr>
        <w:t>independence</w:t>
      </w:r>
      <w:r>
        <w:rPr>
          <w:spacing w:val="-31"/>
          <w:sz w:val="20"/>
        </w:rPr>
        <w:t xml:space="preserve"> </w:t>
      </w:r>
      <w:r>
        <w:rPr>
          <w:color w:val="181818"/>
          <w:sz w:val="20"/>
        </w:rPr>
        <w:t>by</w:t>
      </w:r>
      <w:r>
        <w:rPr>
          <w:color w:val="181818"/>
          <w:spacing w:val="-35"/>
          <w:sz w:val="20"/>
        </w:rPr>
        <w:t xml:space="preserve"> </w:t>
      </w:r>
      <w:r>
        <w:rPr>
          <w:sz w:val="20"/>
        </w:rPr>
        <w:t>ensuring</w:t>
      </w:r>
      <w:r>
        <w:rPr>
          <w:spacing w:val="-32"/>
          <w:sz w:val="20"/>
        </w:rPr>
        <w:t xml:space="preserve"> </w:t>
      </w:r>
      <w:r>
        <w:rPr>
          <w:sz w:val="20"/>
        </w:rPr>
        <w:t>the</w:t>
      </w:r>
      <w:r>
        <w:rPr>
          <w:spacing w:val="-35"/>
          <w:sz w:val="20"/>
        </w:rPr>
        <w:t xml:space="preserve"> </w:t>
      </w:r>
      <w:r>
        <w:rPr>
          <w:color w:val="0E0E0E"/>
          <w:sz w:val="20"/>
        </w:rPr>
        <w:t>Auditor-General</w:t>
      </w:r>
      <w:r>
        <w:rPr>
          <w:color w:val="0E0E0E"/>
          <w:spacing w:val="-38"/>
          <w:sz w:val="20"/>
        </w:rPr>
        <w:t xml:space="preserve"> </w:t>
      </w:r>
      <w:r>
        <w:rPr>
          <w:color w:val="0F0F0F"/>
          <w:sz w:val="20"/>
        </w:rPr>
        <w:t>and</w:t>
      </w:r>
      <w:r>
        <w:rPr>
          <w:color w:val="0F0F0F"/>
          <w:spacing w:val="-37"/>
          <w:sz w:val="20"/>
        </w:rPr>
        <w:t xml:space="preserve"> </w:t>
      </w:r>
      <w:r>
        <w:rPr>
          <w:color w:val="1F1F1F"/>
          <w:sz w:val="20"/>
        </w:rPr>
        <w:t>the</w:t>
      </w:r>
      <w:r>
        <w:rPr>
          <w:color w:val="1F1F1F"/>
          <w:spacing w:val="-37"/>
          <w:sz w:val="20"/>
        </w:rPr>
        <w:t xml:space="preserve"> </w:t>
      </w:r>
      <w:r>
        <w:rPr>
          <w:color w:val="0C0C0C"/>
          <w:sz w:val="20"/>
        </w:rPr>
        <w:t>Audit</w:t>
      </w:r>
      <w:r>
        <w:rPr>
          <w:color w:val="0C0C0C"/>
          <w:spacing w:val="-33"/>
          <w:sz w:val="20"/>
        </w:rPr>
        <w:t xml:space="preserve"> </w:t>
      </w:r>
      <w:r>
        <w:rPr>
          <w:sz w:val="20"/>
        </w:rPr>
        <w:t>Office</w:t>
      </w:r>
      <w:r>
        <w:rPr>
          <w:spacing w:val="-35"/>
          <w:sz w:val="20"/>
        </w:rPr>
        <w:t xml:space="preserve"> </w:t>
      </w:r>
      <w:r>
        <w:rPr>
          <w:color w:val="161616"/>
          <w:sz w:val="20"/>
        </w:rPr>
        <w:t xml:space="preserve">of </w:t>
      </w:r>
      <w:r>
        <w:rPr>
          <w:color w:val="0F0F0F"/>
          <w:sz w:val="20"/>
        </w:rPr>
        <w:t xml:space="preserve">New </w:t>
      </w:r>
      <w:r>
        <w:rPr>
          <w:sz w:val="20"/>
        </w:rPr>
        <w:t xml:space="preserve">South </w:t>
      </w:r>
      <w:r>
        <w:rPr>
          <w:color w:val="131313"/>
          <w:sz w:val="20"/>
        </w:rPr>
        <w:t xml:space="preserve">Wales </w:t>
      </w:r>
      <w:r>
        <w:rPr>
          <w:color w:val="181818"/>
          <w:sz w:val="20"/>
        </w:rPr>
        <w:t xml:space="preserve">are not </w:t>
      </w:r>
      <w:r>
        <w:rPr>
          <w:color w:val="0E0E0E"/>
          <w:sz w:val="20"/>
        </w:rPr>
        <w:t xml:space="preserve">compromised </w:t>
      </w:r>
      <w:r>
        <w:rPr>
          <w:color w:val="161616"/>
          <w:sz w:val="20"/>
        </w:rPr>
        <w:t xml:space="preserve">in their </w:t>
      </w:r>
      <w:r>
        <w:rPr>
          <w:color w:val="111111"/>
          <w:sz w:val="20"/>
        </w:rPr>
        <w:t>roles</w:t>
      </w:r>
      <w:r>
        <w:rPr>
          <w:color w:val="111111"/>
          <w:spacing w:val="-15"/>
          <w:sz w:val="20"/>
        </w:rPr>
        <w:t xml:space="preserve"> </w:t>
      </w:r>
      <w:r>
        <w:rPr>
          <w:color w:val="0C0C0C"/>
          <w:sz w:val="20"/>
        </w:rPr>
        <w:t>by:</w:t>
      </w:r>
    </w:p>
    <w:p w14:paraId="59CD6535" w14:textId="77777777" w:rsidR="00FA4AA8" w:rsidRDefault="0015611F">
      <w:pPr>
        <w:pStyle w:val="ListParagraph"/>
        <w:numPr>
          <w:ilvl w:val="0"/>
          <w:numId w:val="40"/>
        </w:numPr>
        <w:tabs>
          <w:tab w:val="left" w:pos="1199"/>
          <w:tab w:val="left" w:pos="1200"/>
        </w:tabs>
        <w:spacing w:before="167"/>
        <w:ind w:left="1205" w:right="1929" w:hanging="544"/>
        <w:rPr>
          <w:color w:val="262626"/>
          <w:sz w:val="20"/>
        </w:rPr>
      </w:pPr>
      <w:r>
        <w:rPr>
          <w:sz w:val="20"/>
        </w:rPr>
        <w:t>providing</w:t>
      </w:r>
      <w:r>
        <w:rPr>
          <w:spacing w:val="-27"/>
          <w:sz w:val="20"/>
        </w:rPr>
        <w:t xml:space="preserve"> </w:t>
      </w:r>
      <w:r>
        <w:rPr>
          <w:sz w:val="20"/>
        </w:rPr>
        <w:t>that</w:t>
      </w:r>
      <w:r>
        <w:rPr>
          <w:spacing w:val="-31"/>
          <w:sz w:val="20"/>
        </w:rPr>
        <w:t xml:space="preserve"> </w:t>
      </w:r>
      <w:r>
        <w:rPr>
          <w:sz w:val="20"/>
        </w:rPr>
        <w:t>only</w:t>
      </w:r>
      <w:r>
        <w:rPr>
          <w:spacing w:val="-31"/>
          <w:sz w:val="20"/>
        </w:rPr>
        <w:t xml:space="preserve"> </w:t>
      </w:r>
      <w:r>
        <w:rPr>
          <w:sz w:val="20"/>
        </w:rPr>
        <w:t>Parliament,</w:t>
      </w:r>
      <w:r>
        <w:rPr>
          <w:spacing w:val="-27"/>
          <w:sz w:val="20"/>
        </w:rPr>
        <w:t xml:space="preserve"> </w:t>
      </w:r>
      <w:r>
        <w:rPr>
          <w:color w:val="0E0E0E"/>
          <w:sz w:val="20"/>
        </w:rPr>
        <w:t>and</w:t>
      </w:r>
      <w:r>
        <w:rPr>
          <w:color w:val="0E0E0E"/>
          <w:spacing w:val="-33"/>
          <w:sz w:val="20"/>
        </w:rPr>
        <w:t xml:space="preserve"> </w:t>
      </w:r>
      <w:r>
        <w:rPr>
          <w:color w:val="1A1A1A"/>
          <w:sz w:val="20"/>
        </w:rPr>
        <w:t>not</w:t>
      </w:r>
      <w:r>
        <w:rPr>
          <w:color w:val="1A1A1A"/>
          <w:spacing w:val="-33"/>
          <w:sz w:val="20"/>
        </w:rPr>
        <w:t xml:space="preserve"> </w:t>
      </w:r>
      <w:r>
        <w:rPr>
          <w:sz w:val="20"/>
        </w:rPr>
        <w:t>the</w:t>
      </w:r>
      <w:r>
        <w:rPr>
          <w:spacing w:val="-35"/>
          <w:sz w:val="20"/>
        </w:rPr>
        <w:t xml:space="preserve"> </w:t>
      </w:r>
      <w:r>
        <w:rPr>
          <w:color w:val="0C0C0C"/>
          <w:sz w:val="20"/>
        </w:rPr>
        <w:t>executive</w:t>
      </w:r>
      <w:r>
        <w:rPr>
          <w:color w:val="0C0C0C"/>
          <w:spacing w:val="-28"/>
          <w:sz w:val="20"/>
        </w:rPr>
        <w:t xml:space="preserve"> </w:t>
      </w:r>
      <w:r>
        <w:rPr>
          <w:sz w:val="20"/>
        </w:rPr>
        <w:t>government,</w:t>
      </w:r>
      <w:r>
        <w:rPr>
          <w:spacing w:val="-25"/>
          <w:sz w:val="20"/>
        </w:rPr>
        <w:t xml:space="preserve"> </w:t>
      </w:r>
      <w:r>
        <w:rPr>
          <w:sz w:val="20"/>
        </w:rPr>
        <w:t>can</w:t>
      </w:r>
      <w:r>
        <w:rPr>
          <w:spacing w:val="-33"/>
          <w:sz w:val="20"/>
        </w:rPr>
        <w:t xml:space="preserve"> </w:t>
      </w:r>
      <w:r>
        <w:rPr>
          <w:color w:val="1C1C1C"/>
          <w:sz w:val="20"/>
        </w:rPr>
        <w:t>remove</w:t>
      </w:r>
      <w:r>
        <w:rPr>
          <w:color w:val="1C1C1C"/>
          <w:spacing w:val="-31"/>
          <w:sz w:val="20"/>
        </w:rPr>
        <w:t xml:space="preserve"> </w:t>
      </w:r>
      <w:r>
        <w:rPr>
          <w:color w:val="1F1F1F"/>
          <w:sz w:val="20"/>
        </w:rPr>
        <w:t>an</w:t>
      </w:r>
      <w:r>
        <w:rPr>
          <w:sz w:val="20"/>
        </w:rPr>
        <w:t xml:space="preserve"> Auditor-General</w:t>
      </w:r>
    </w:p>
    <w:p w14:paraId="37B08A55" w14:textId="77777777" w:rsidR="00FA4AA8" w:rsidRDefault="0015611F">
      <w:pPr>
        <w:spacing w:before="65" w:line="292" w:lineRule="auto"/>
        <w:ind w:left="1199" w:right="3160"/>
        <w:jc w:val="both"/>
        <w:rPr>
          <w:sz w:val="20"/>
        </w:rPr>
      </w:pPr>
      <w:r>
        <w:rPr>
          <w:w w:val="95"/>
          <w:sz w:val="20"/>
        </w:rPr>
        <w:t xml:space="preserve">mandating the Auditor-General as </w:t>
      </w:r>
      <w:r>
        <w:rPr>
          <w:color w:val="111111"/>
          <w:w w:val="95"/>
          <w:sz w:val="20"/>
        </w:rPr>
        <w:t xml:space="preserve">auditor </w:t>
      </w:r>
      <w:r>
        <w:rPr>
          <w:w w:val="95"/>
          <w:sz w:val="20"/>
        </w:rPr>
        <w:t xml:space="preserve">of public sector </w:t>
      </w:r>
      <w:r>
        <w:rPr>
          <w:color w:val="0C0C0C"/>
          <w:w w:val="95"/>
          <w:sz w:val="20"/>
        </w:rPr>
        <w:t xml:space="preserve">agencies </w:t>
      </w:r>
      <w:r>
        <w:rPr>
          <w:sz w:val="20"/>
        </w:rPr>
        <w:t>precluding</w:t>
      </w:r>
      <w:r>
        <w:rPr>
          <w:spacing w:val="-29"/>
          <w:sz w:val="20"/>
        </w:rPr>
        <w:t xml:space="preserve"> </w:t>
      </w:r>
      <w:r>
        <w:rPr>
          <w:color w:val="0F0F0F"/>
          <w:sz w:val="20"/>
        </w:rPr>
        <w:t>the</w:t>
      </w:r>
      <w:r>
        <w:rPr>
          <w:color w:val="0F0F0F"/>
          <w:spacing w:val="-35"/>
          <w:sz w:val="20"/>
        </w:rPr>
        <w:t xml:space="preserve"> </w:t>
      </w:r>
      <w:r>
        <w:rPr>
          <w:sz w:val="20"/>
        </w:rPr>
        <w:t>Auditor-General</w:t>
      </w:r>
      <w:r>
        <w:rPr>
          <w:spacing w:val="-38"/>
          <w:sz w:val="20"/>
        </w:rPr>
        <w:t xml:space="preserve"> </w:t>
      </w:r>
      <w:r>
        <w:rPr>
          <w:sz w:val="20"/>
        </w:rPr>
        <w:t>from</w:t>
      </w:r>
      <w:r>
        <w:rPr>
          <w:spacing w:val="-35"/>
          <w:sz w:val="20"/>
        </w:rPr>
        <w:t xml:space="preserve"> </w:t>
      </w:r>
      <w:r>
        <w:rPr>
          <w:sz w:val="20"/>
        </w:rPr>
        <w:t>providing</w:t>
      </w:r>
      <w:r>
        <w:rPr>
          <w:spacing w:val="-29"/>
          <w:sz w:val="20"/>
        </w:rPr>
        <w:t xml:space="preserve"> </w:t>
      </w:r>
      <w:r>
        <w:rPr>
          <w:sz w:val="20"/>
        </w:rPr>
        <w:t>non-audit</w:t>
      </w:r>
      <w:r>
        <w:rPr>
          <w:spacing w:val="-31"/>
          <w:sz w:val="20"/>
        </w:rPr>
        <w:t xml:space="preserve"> </w:t>
      </w:r>
      <w:r>
        <w:rPr>
          <w:sz w:val="20"/>
        </w:rPr>
        <w:t>services.</w:t>
      </w:r>
    </w:p>
    <w:p w14:paraId="0AB79DD2" w14:textId="77777777" w:rsidR="00FA4AA8" w:rsidRDefault="0015611F">
      <w:pPr>
        <w:spacing w:before="146" w:line="237" w:lineRule="auto"/>
        <w:ind w:left="665" w:right="637" w:hanging="5"/>
        <w:rPr>
          <w:sz w:val="20"/>
        </w:rPr>
      </w:pPr>
      <w:r>
        <w:rPr>
          <w:color w:val="242424"/>
          <w:sz w:val="20"/>
        </w:rPr>
        <w:t xml:space="preserve">I </w:t>
      </w:r>
      <w:r>
        <w:rPr>
          <w:color w:val="131313"/>
          <w:sz w:val="20"/>
        </w:rPr>
        <w:t xml:space="preserve">confirm the </w:t>
      </w:r>
      <w:r>
        <w:rPr>
          <w:sz w:val="20"/>
        </w:rPr>
        <w:t xml:space="preserve">independence declaration, </w:t>
      </w:r>
      <w:r>
        <w:rPr>
          <w:color w:val="0C0C0C"/>
          <w:sz w:val="20"/>
        </w:rPr>
        <w:t xml:space="preserve">required </w:t>
      </w:r>
      <w:r>
        <w:rPr>
          <w:color w:val="1C1C1C"/>
          <w:sz w:val="20"/>
        </w:rPr>
        <w:t xml:space="preserve">by </w:t>
      </w:r>
      <w:r>
        <w:rPr>
          <w:sz w:val="20"/>
        </w:rPr>
        <w:t xml:space="preserve">the </w:t>
      </w:r>
      <w:r>
        <w:rPr>
          <w:i/>
          <w:sz w:val="20"/>
        </w:rPr>
        <w:t xml:space="preserve">Corporations </w:t>
      </w:r>
      <w:r>
        <w:rPr>
          <w:i/>
          <w:color w:val="131313"/>
          <w:sz w:val="20"/>
        </w:rPr>
        <w:t xml:space="preserve">Act </w:t>
      </w:r>
      <w:r>
        <w:rPr>
          <w:i/>
          <w:color w:val="111111"/>
          <w:sz w:val="20"/>
        </w:rPr>
        <w:t xml:space="preserve">2001, </w:t>
      </w:r>
      <w:r>
        <w:rPr>
          <w:color w:val="0C0C0C"/>
          <w:sz w:val="20"/>
        </w:rPr>
        <w:t xml:space="preserve">provided </w:t>
      </w:r>
      <w:r>
        <w:rPr>
          <w:color w:val="1C1C1C"/>
          <w:sz w:val="20"/>
        </w:rPr>
        <w:t xml:space="preserve">to </w:t>
      </w:r>
      <w:r>
        <w:rPr>
          <w:sz w:val="20"/>
        </w:rPr>
        <w:t>the directors</w:t>
      </w:r>
      <w:r>
        <w:rPr>
          <w:spacing w:val="-23"/>
          <w:sz w:val="20"/>
        </w:rPr>
        <w:t xml:space="preserve"> </w:t>
      </w:r>
      <w:r>
        <w:rPr>
          <w:color w:val="181818"/>
          <w:sz w:val="20"/>
        </w:rPr>
        <w:t>of</w:t>
      </w:r>
      <w:r>
        <w:rPr>
          <w:color w:val="181818"/>
          <w:spacing w:val="-29"/>
          <w:sz w:val="20"/>
        </w:rPr>
        <w:t xml:space="preserve"> </w:t>
      </w:r>
      <w:r>
        <w:rPr>
          <w:color w:val="161616"/>
          <w:sz w:val="20"/>
        </w:rPr>
        <w:t>the</w:t>
      </w:r>
      <w:r>
        <w:rPr>
          <w:color w:val="161616"/>
          <w:spacing w:val="-25"/>
          <w:sz w:val="20"/>
        </w:rPr>
        <w:t xml:space="preserve"> </w:t>
      </w:r>
      <w:r>
        <w:rPr>
          <w:color w:val="0C0C0C"/>
          <w:sz w:val="20"/>
        </w:rPr>
        <w:t>Company</w:t>
      </w:r>
      <w:r>
        <w:rPr>
          <w:color w:val="0C0C0C"/>
          <w:spacing w:val="-19"/>
          <w:sz w:val="20"/>
        </w:rPr>
        <w:t xml:space="preserve"> </w:t>
      </w:r>
      <w:r>
        <w:rPr>
          <w:color w:val="0C0C0C"/>
          <w:sz w:val="20"/>
        </w:rPr>
        <w:t>on</w:t>
      </w:r>
      <w:r>
        <w:rPr>
          <w:color w:val="0C0C0C"/>
          <w:spacing w:val="-31"/>
          <w:sz w:val="20"/>
        </w:rPr>
        <w:t xml:space="preserve"> </w:t>
      </w:r>
      <w:r>
        <w:rPr>
          <w:sz w:val="20"/>
        </w:rPr>
        <w:t>19</w:t>
      </w:r>
      <w:r>
        <w:rPr>
          <w:spacing w:val="-28"/>
          <w:sz w:val="20"/>
        </w:rPr>
        <w:t xml:space="preserve"> </w:t>
      </w:r>
      <w:r>
        <w:rPr>
          <w:sz w:val="20"/>
        </w:rPr>
        <w:t>February</w:t>
      </w:r>
      <w:r>
        <w:rPr>
          <w:spacing w:val="-22"/>
          <w:sz w:val="20"/>
        </w:rPr>
        <w:t xml:space="preserve"> </w:t>
      </w:r>
      <w:r>
        <w:rPr>
          <w:color w:val="181818"/>
          <w:sz w:val="20"/>
        </w:rPr>
        <w:t>2019,</w:t>
      </w:r>
      <w:r>
        <w:rPr>
          <w:color w:val="181818"/>
          <w:spacing w:val="-18"/>
          <w:sz w:val="20"/>
        </w:rPr>
        <w:t xml:space="preserve"> </w:t>
      </w:r>
      <w:r>
        <w:rPr>
          <w:sz w:val="20"/>
        </w:rPr>
        <w:t>would</w:t>
      </w:r>
      <w:r>
        <w:rPr>
          <w:spacing w:val="-23"/>
          <w:sz w:val="20"/>
        </w:rPr>
        <w:t xml:space="preserve"> </w:t>
      </w:r>
      <w:r>
        <w:rPr>
          <w:color w:val="111111"/>
          <w:sz w:val="20"/>
        </w:rPr>
        <w:t>be</w:t>
      </w:r>
      <w:r>
        <w:rPr>
          <w:color w:val="111111"/>
          <w:spacing w:val="-27"/>
          <w:sz w:val="20"/>
        </w:rPr>
        <w:t xml:space="preserve"> </w:t>
      </w:r>
      <w:r>
        <w:rPr>
          <w:color w:val="232323"/>
          <w:sz w:val="20"/>
        </w:rPr>
        <w:t>in</w:t>
      </w:r>
      <w:r>
        <w:rPr>
          <w:color w:val="232323"/>
          <w:spacing w:val="-29"/>
          <w:sz w:val="20"/>
        </w:rPr>
        <w:t xml:space="preserve"> </w:t>
      </w:r>
      <w:r>
        <w:rPr>
          <w:color w:val="1C1C1C"/>
          <w:sz w:val="20"/>
        </w:rPr>
        <w:t>the</w:t>
      </w:r>
      <w:r>
        <w:rPr>
          <w:color w:val="1C1C1C"/>
          <w:spacing w:val="-26"/>
          <w:sz w:val="20"/>
        </w:rPr>
        <w:t xml:space="preserve"> </w:t>
      </w:r>
      <w:r>
        <w:rPr>
          <w:sz w:val="20"/>
        </w:rPr>
        <w:t>same</w:t>
      </w:r>
      <w:r>
        <w:rPr>
          <w:spacing w:val="-27"/>
          <w:sz w:val="20"/>
        </w:rPr>
        <w:t xml:space="preserve"> </w:t>
      </w:r>
      <w:r>
        <w:rPr>
          <w:color w:val="0C0C0C"/>
          <w:sz w:val="20"/>
        </w:rPr>
        <w:t>terms</w:t>
      </w:r>
      <w:r>
        <w:rPr>
          <w:color w:val="0C0C0C"/>
          <w:spacing w:val="-20"/>
          <w:sz w:val="20"/>
        </w:rPr>
        <w:t xml:space="preserve"> </w:t>
      </w:r>
      <w:r>
        <w:rPr>
          <w:color w:val="2A2A2A"/>
          <w:sz w:val="20"/>
        </w:rPr>
        <w:t>if</w:t>
      </w:r>
      <w:r>
        <w:rPr>
          <w:color w:val="2A2A2A"/>
          <w:spacing w:val="-28"/>
          <w:sz w:val="20"/>
        </w:rPr>
        <w:t xml:space="preserve"> </w:t>
      </w:r>
      <w:r>
        <w:rPr>
          <w:sz w:val="20"/>
        </w:rPr>
        <w:t>provided</w:t>
      </w:r>
      <w:r>
        <w:rPr>
          <w:spacing w:val="-21"/>
          <w:sz w:val="20"/>
        </w:rPr>
        <w:t xml:space="preserve"> </w:t>
      </w:r>
      <w:r>
        <w:rPr>
          <w:color w:val="242424"/>
          <w:sz w:val="20"/>
        </w:rPr>
        <w:t>to</w:t>
      </w:r>
      <w:r>
        <w:rPr>
          <w:color w:val="242424"/>
          <w:spacing w:val="-31"/>
          <w:sz w:val="20"/>
        </w:rPr>
        <w:t xml:space="preserve"> </w:t>
      </w:r>
      <w:r>
        <w:rPr>
          <w:color w:val="111111"/>
          <w:sz w:val="20"/>
        </w:rPr>
        <w:t>the</w:t>
      </w:r>
      <w:r>
        <w:rPr>
          <w:color w:val="111111"/>
          <w:spacing w:val="-26"/>
          <w:sz w:val="20"/>
        </w:rPr>
        <w:t xml:space="preserve"> </w:t>
      </w:r>
      <w:r>
        <w:rPr>
          <w:color w:val="0E0E0E"/>
          <w:sz w:val="20"/>
        </w:rPr>
        <w:t>directors</w:t>
      </w:r>
      <w:r>
        <w:rPr>
          <w:color w:val="181818"/>
          <w:sz w:val="20"/>
        </w:rPr>
        <w:t xml:space="preserve"> as </w:t>
      </w:r>
      <w:r>
        <w:rPr>
          <w:color w:val="0E0E0E"/>
          <w:sz w:val="20"/>
        </w:rPr>
        <w:t xml:space="preserve">at </w:t>
      </w:r>
      <w:r>
        <w:rPr>
          <w:sz w:val="20"/>
        </w:rPr>
        <w:t>the time of this Independent Auditor’s</w:t>
      </w:r>
      <w:r>
        <w:rPr>
          <w:spacing w:val="4"/>
          <w:sz w:val="20"/>
        </w:rPr>
        <w:t xml:space="preserve"> </w:t>
      </w:r>
      <w:r>
        <w:rPr>
          <w:sz w:val="20"/>
        </w:rPr>
        <w:t>Report.</w:t>
      </w:r>
    </w:p>
    <w:p w14:paraId="412E4AF2" w14:textId="77777777" w:rsidR="00FA4AA8" w:rsidRDefault="007E2441">
      <w:pPr>
        <w:pStyle w:val="BodyText"/>
        <w:spacing w:before="8"/>
        <w:rPr>
          <w:sz w:val="14"/>
        </w:rPr>
      </w:pPr>
      <w:r>
        <w:rPr>
          <w:noProof/>
          <w:lang w:val="en-AU" w:eastAsia="en-AU"/>
        </w:rPr>
        <mc:AlternateContent>
          <mc:Choice Requires="wps">
            <w:drawing>
              <wp:anchor distT="0" distB="0" distL="0" distR="0" simplePos="0" relativeHeight="487659520" behindDoc="1" locked="0" layoutInCell="1" allowOverlap="1" wp14:anchorId="66336E5B" wp14:editId="5E1D84E1">
                <wp:simplePos x="0" y="0"/>
                <wp:positionH relativeFrom="page">
                  <wp:posOffset>685800</wp:posOffset>
                </wp:positionH>
                <wp:positionV relativeFrom="paragraph">
                  <wp:posOffset>139065</wp:posOffset>
                </wp:positionV>
                <wp:extent cx="6193790" cy="1270"/>
                <wp:effectExtent l="0" t="0" r="0" b="0"/>
                <wp:wrapTopAndBottom/>
                <wp:docPr id="922" name="Freeform 6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3790" cy="1270"/>
                        </a:xfrm>
                        <a:custGeom>
                          <a:avLst/>
                          <a:gdLst>
                            <a:gd name="T0" fmla="+- 0 1080 1080"/>
                            <a:gd name="T1" fmla="*/ T0 w 9754"/>
                            <a:gd name="T2" fmla="+- 0 10834 1080"/>
                            <a:gd name="T3" fmla="*/ T2 w 9754"/>
                          </a:gdLst>
                          <a:ahLst/>
                          <a:cxnLst>
                            <a:cxn ang="0">
                              <a:pos x="T1" y="0"/>
                            </a:cxn>
                            <a:cxn ang="0">
                              <a:pos x="T3" y="0"/>
                            </a:cxn>
                          </a:cxnLst>
                          <a:rect l="0" t="0" r="r" b="b"/>
                          <a:pathLst>
                            <a:path w="9754">
                              <a:moveTo>
                                <a:pt x="0" y="0"/>
                              </a:moveTo>
                              <a:lnTo>
                                <a:pt x="9754" y="0"/>
                              </a:lnTo>
                            </a:path>
                          </a:pathLst>
                        </a:custGeom>
                        <a:noFill/>
                        <a:ln w="12192">
                          <a:solidFill>
                            <a:srgbClr val="7C7C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CC0D6" id="Freeform 688" o:spid="_x0000_s1026" style="position:absolute;margin-left:54pt;margin-top:10.95pt;width:487.7pt;height:.1pt;z-index:-15656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5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" path="m,l9754,e" filled="f" strokecolor="#7c7c7c" strokeweight=".96pt">
                <v:path arrowok="t" o:connecttype="custom" o:connectlocs="0,0;6193790,0" o:connectangles="0,0"/>
                <w10:wrap type="topAndBottom" anchorx="page"/>
              </v:shape>
            </w:pict>
          </mc:Fallback>
        </mc:AlternateContent>
      </w:r>
    </w:p>
    <w:p w14:paraId="27FDEE99" w14:textId="77777777" w:rsidR="00FA4AA8" w:rsidRDefault="0015611F">
      <w:pPr>
        <w:spacing w:before="153"/>
        <w:ind w:left="298" w:right="302"/>
        <w:jc w:val="center"/>
        <w:rPr>
          <w:sz w:val="13"/>
        </w:rPr>
      </w:pPr>
      <w:r>
        <w:rPr>
          <w:color w:val="1A1A1A"/>
          <w:sz w:val="13"/>
        </w:rPr>
        <w:t xml:space="preserve">Level 15, </w:t>
      </w:r>
      <w:r>
        <w:rPr>
          <w:sz w:val="13"/>
        </w:rPr>
        <w:t xml:space="preserve">1 Margaret </w:t>
      </w:r>
      <w:r>
        <w:rPr>
          <w:color w:val="232323"/>
          <w:sz w:val="13"/>
        </w:rPr>
        <w:t xml:space="preserve">Street, </w:t>
      </w:r>
      <w:r>
        <w:rPr>
          <w:color w:val="131313"/>
          <w:sz w:val="13"/>
        </w:rPr>
        <w:t xml:space="preserve">Sydney </w:t>
      </w:r>
      <w:r>
        <w:rPr>
          <w:color w:val="181818"/>
          <w:sz w:val="13"/>
        </w:rPr>
        <w:t xml:space="preserve">NSW </w:t>
      </w:r>
      <w:r>
        <w:rPr>
          <w:color w:val="212121"/>
          <w:sz w:val="13"/>
        </w:rPr>
        <w:t xml:space="preserve">2000 </w:t>
      </w:r>
      <w:r>
        <w:rPr>
          <w:color w:val="858585"/>
          <w:sz w:val="13"/>
        </w:rPr>
        <w:t xml:space="preserve">I </w:t>
      </w:r>
      <w:r>
        <w:rPr>
          <w:color w:val="757575"/>
          <w:sz w:val="13"/>
        </w:rPr>
        <w:t xml:space="preserve">GPO </w:t>
      </w:r>
      <w:r w:rsidR="006C5E68">
        <w:rPr>
          <w:color w:val="3F3F3F"/>
          <w:sz w:val="13"/>
        </w:rPr>
        <w:t>Box</w:t>
      </w:r>
      <w:r>
        <w:rPr>
          <w:color w:val="3F3F3F"/>
          <w:sz w:val="13"/>
        </w:rPr>
        <w:t xml:space="preserve"> </w:t>
      </w:r>
      <w:r>
        <w:rPr>
          <w:color w:val="6E6E6E"/>
          <w:sz w:val="13"/>
        </w:rPr>
        <w:t xml:space="preserve">12, </w:t>
      </w:r>
      <w:r w:rsidR="006C5E68">
        <w:rPr>
          <w:color w:val="464646"/>
          <w:sz w:val="13"/>
        </w:rPr>
        <w:t>Sydney</w:t>
      </w:r>
      <w:r>
        <w:rPr>
          <w:color w:val="464646"/>
          <w:sz w:val="13"/>
        </w:rPr>
        <w:t xml:space="preserve"> </w:t>
      </w:r>
      <w:r>
        <w:rPr>
          <w:color w:val="282828"/>
          <w:sz w:val="13"/>
        </w:rPr>
        <w:t xml:space="preserve">NSW </w:t>
      </w:r>
      <w:r>
        <w:rPr>
          <w:color w:val="5B5B5B"/>
          <w:sz w:val="13"/>
        </w:rPr>
        <w:t xml:space="preserve">2001 </w:t>
      </w:r>
      <w:r>
        <w:rPr>
          <w:color w:val="A5A5A5"/>
          <w:sz w:val="13"/>
        </w:rPr>
        <w:t xml:space="preserve">I </w:t>
      </w:r>
      <w:r>
        <w:rPr>
          <w:color w:val="1F1F1F"/>
          <w:sz w:val="13"/>
        </w:rPr>
        <w:t xml:space="preserve">t </w:t>
      </w:r>
      <w:r>
        <w:rPr>
          <w:color w:val="545454"/>
          <w:sz w:val="13"/>
        </w:rPr>
        <w:t xml:space="preserve">02 </w:t>
      </w:r>
      <w:r>
        <w:rPr>
          <w:color w:val="2F2F2F"/>
          <w:sz w:val="13"/>
        </w:rPr>
        <w:t xml:space="preserve">9275 </w:t>
      </w:r>
      <w:r>
        <w:rPr>
          <w:color w:val="464646"/>
          <w:sz w:val="13"/>
        </w:rPr>
        <w:t xml:space="preserve">7101 </w:t>
      </w:r>
      <w:r w:rsidR="007719AF">
        <w:rPr>
          <w:color w:val="A1A1A1"/>
          <w:sz w:val="13"/>
        </w:rPr>
        <w:t>I</w:t>
      </w:r>
      <w:r>
        <w:rPr>
          <w:color w:val="A1A1A1"/>
          <w:sz w:val="13"/>
        </w:rPr>
        <w:t xml:space="preserve"> </w:t>
      </w:r>
      <w:r>
        <w:rPr>
          <w:color w:val="4B4B4B"/>
          <w:sz w:val="13"/>
        </w:rPr>
        <w:t xml:space="preserve">f </w:t>
      </w:r>
      <w:r>
        <w:rPr>
          <w:color w:val="5B5B5B"/>
          <w:sz w:val="13"/>
        </w:rPr>
        <w:t xml:space="preserve">02 93 </w:t>
      </w:r>
      <w:r>
        <w:rPr>
          <w:color w:val="505050"/>
          <w:sz w:val="13"/>
        </w:rPr>
        <w:t xml:space="preserve">7 </w:t>
      </w:r>
      <w:r>
        <w:rPr>
          <w:color w:val="707070"/>
          <w:sz w:val="13"/>
        </w:rPr>
        <w:t xml:space="preserve">5 </w:t>
      </w:r>
      <w:r>
        <w:rPr>
          <w:color w:val="3D3D3D"/>
          <w:sz w:val="13"/>
        </w:rPr>
        <w:t xml:space="preserve">7179 </w:t>
      </w:r>
      <w:r>
        <w:rPr>
          <w:color w:val="A8A8A8"/>
          <w:w w:val="60"/>
          <w:sz w:val="13"/>
        </w:rPr>
        <w:t xml:space="preserve">T </w:t>
      </w:r>
      <w:r>
        <w:rPr>
          <w:color w:val="494949"/>
          <w:sz w:val="13"/>
        </w:rPr>
        <w:t xml:space="preserve">e </w:t>
      </w:r>
      <w:r>
        <w:rPr>
          <w:color w:val="262626"/>
          <w:sz w:val="13"/>
        </w:rPr>
        <w:t>mai</w:t>
      </w:r>
      <w:r w:rsidR="006C5E68">
        <w:rPr>
          <w:color w:val="262626"/>
          <w:sz w:val="13"/>
        </w:rPr>
        <w:t>l@</w:t>
      </w:r>
      <w:r>
        <w:rPr>
          <w:color w:val="262626"/>
          <w:sz w:val="13"/>
        </w:rPr>
        <w:t>aud</w:t>
      </w:r>
      <w:r w:rsidR="006C5E68">
        <w:rPr>
          <w:color w:val="262626"/>
          <w:sz w:val="13"/>
        </w:rPr>
        <w:t>i</w:t>
      </w:r>
      <w:r>
        <w:rPr>
          <w:color w:val="262626"/>
          <w:sz w:val="13"/>
        </w:rPr>
        <w:t>t.n</w:t>
      </w:r>
      <w:r w:rsidR="006C5E68">
        <w:rPr>
          <w:color w:val="262626"/>
          <w:sz w:val="13"/>
        </w:rPr>
        <w:t>s</w:t>
      </w:r>
      <w:r>
        <w:rPr>
          <w:color w:val="262626"/>
          <w:sz w:val="13"/>
        </w:rPr>
        <w:t xml:space="preserve">w.gov </w:t>
      </w:r>
      <w:r>
        <w:rPr>
          <w:color w:val="626262"/>
          <w:sz w:val="13"/>
        </w:rPr>
        <w:t xml:space="preserve">au </w:t>
      </w:r>
      <w:r>
        <w:rPr>
          <w:color w:val="979797"/>
          <w:w w:val="60"/>
          <w:sz w:val="13"/>
        </w:rPr>
        <w:t xml:space="preserve">1 </w:t>
      </w:r>
      <w:r w:rsidR="006C5E68">
        <w:rPr>
          <w:color w:val="181818"/>
          <w:sz w:val="13"/>
        </w:rPr>
        <w:t>audit.nsw.gov.a</w:t>
      </w:r>
      <w:r>
        <w:rPr>
          <w:color w:val="181818"/>
          <w:sz w:val="13"/>
        </w:rPr>
        <w:t>u</w:t>
      </w:r>
    </w:p>
    <w:p w14:paraId="53B71E66" w14:textId="77777777" w:rsidR="00FA4AA8" w:rsidRDefault="0015611F">
      <w:pPr>
        <w:spacing w:before="12"/>
        <w:ind w:left="291" w:right="302"/>
        <w:jc w:val="center"/>
        <w:rPr>
          <w:sz w:val="15"/>
        </w:rPr>
      </w:pPr>
      <w:r>
        <w:rPr>
          <w:color w:val="161616"/>
          <w:w w:val="105"/>
          <w:sz w:val="15"/>
        </w:rPr>
        <w:t>184</w:t>
      </w:r>
    </w:p>
    <w:p w14:paraId="33161F73" w14:textId="77777777" w:rsidR="00FA4AA8" w:rsidRDefault="00FA4AA8">
      <w:pPr>
        <w:jc w:val="center"/>
        <w:rPr>
          <w:sz w:val="15"/>
        </w:rPr>
        <w:sectPr w:rsidR="00FA4AA8">
          <w:headerReference w:type="default" r:id="rId195"/>
          <w:footerReference w:type="default" r:id="rId196"/>
          <w:pgSz w:w="11910" w:h="16850"/>
          <w:pgMar w:top="1060" w:right="960" w:bottom="280" w:left="940" w:header="0" w:footer="0" w:gutter="0"/>
          <w:cols w:space="720"/>
        </w:sectPr>
      </w:pPr>
    </w:p>
    <w:p w14:paraId="72C143EF" w14:textId="77777777" w:rsidR="00FA4AA8" w:rsidRDefault="0015611F">
      <w:pPr>
        <w:spacing w:before="134"/>
        <w:ind w:left="658" w:right="955" w:firstLine="3"/>
        <w:rPr>
          <w:sz w:val="20"/>
        </w:rPr>
      </w:pPr>
      <w:r>
        <w:rPr>
          <w:color w:val="212121"/>
          <w:sz w:val="20"/>
        </w:rPr>
        <w:t>I</w:t>
      </w:r>
      <w:r>
        <w:rPr>
          <w:color w:val="212121"/>
          <w:spacing w:val="-34"/>
          <w:sz w:val="20"/>
        </w:rPr>
        <w:t xml:space="preserve"> </w:t>
      </w:r>
      <w:r>
        <w:rPr>
          <w:sz w:val="20"/>
        </w:rPr>
        <w:t>believe</w:t>
      </w:r>
      <w:r>
        <w:rPr>
          <w:spacing w:val="-20"/>
          <w:sz w:val="20"/>
        </w:rPr>
        <w:t xml:space="preserve"> </w:t>
      </w:r>
      <w:r>
        <w:rPr>
          <w:color w:val="0C0C0C"/>
          <w:sz w:val="20"/>
        </w:rPr>
        <w:t>the</w:t>
      </w:r>
      <w:r>
        <w:rPr>
          <w:color w:val="0C0C0C"/>
          <w:spacing w:val="-27"/>
          <w:sz w:val="20"/>
        </w:rPr>
        <w:t xml:space="preserve"> </w:t>
      </w:r>
      <w:r>
        <w:rPr>
          <w:color w:val="0C0C0C"/>
          <w:sz w:val="20"/>
        </w:rPr>
        <w:t>audit</w:t>
      </w:r>
      <w:r>
        <w:rPr>
          <w:color w:val="0C0C0C"/>
          <w:spacing w:val="-26"/>
          <w:sz w:val="20"/>
        </w:rPr>
        <w:t xml:space="preserve"> </w:t>
      </w:r>
      <w:r>
        <w:rPr>
          <w:sz w:val="20"/>
        </w:rPr>
        <w:t>evidence</w:t>
      </w:r>
      <w:r>
        <w:rPr>
          <w:spacing w:val="-22"/>
          <w:sz w:val="20"/>
        </w:rPr>
        <w:t xml:space="preserve"> </w:t>
      </w:r>
      <w:r>
        <w:rPr>
          <w:color w:val="1A1A1A"/>
          <w:sz w:val="20"/>
        </w:rPr>
        <w:t>I</w:t>
      </w:r>
      <w:r>
        <w:rPr>
          <w:color w:val="1A1A1A"/>
          <w:spacing w:val="-24"/>
          <w:sz w:val="20"/>
        </w:rPr>
        <w:t xml:space="preserve"> </w:t>
      </w:r>
      <w:r>
        <w:rPr>
          <w:sz w:val="20"/>
        </w:rPr>
        <w:t>have</w:t>
      </w:r>
      <w:r>
        <w:rPr>
          <w:spacing w:val="-23"/>
          <w:sz w:val="20"/>
        </w:rPr>
        <w:t xml:space="preserve"> </w:t>
      </w:r>
      <w:r>
        <w:rPr>
          <w:sz w:val="20"/>
        </w:rPr>
        <w:t>obtained</w:t>
      </w:r>
      <w:r>
        <w:rPr>
          <w:spacing w:val="-26"/>
          <w:sz w:val="20"/>
        </w:rPr>
        <w:t xml:space="preserve"> </w:t>
      </w:r>
      <w:r>
        <w:rPr>
          <w:color w:val="0C0C0C"/>
          <w:sz w:val="20"/>
        </w:rPr>
        <w:t>is</w:t>
      </w:r>
      <w:r>
        <w:rPr>
          <w:color w:val="0C0C0C"/>
          <w:spacing w:val="-24"/>
          <w:sz w:val="20"/>
        </w:rPr>
        <w:t xml:space="preserve"> </w:t>
      </w:r>
      <w:r>
        <w:rPr>
          <w:sz w:val="20"/>
        </w:rPr>
        <w:t>sufficient</w:t>
      </w:r>
      <w:r>
        <w:rPr>
          <w:spacing w:val="-18"/>
          <w:sz w:val="20"/>
        </w:rPr>
        <w:t xml:space="preserve"> </w:t>
      </w:r>
      <w:r>
        <w:rPr>
          <w:sz w:val="20"/>
        </w:rPr>
        <w:t>and</w:t>
      </w:r>
      <w:r>
        <w:rPr>
          <w:spacing w:val="-26"/>
          <w:sz w:val="20"/>
        </w:rPr>
        <w:t xml:space="preserve"> </w:t>
      </w:r>
      <w:r>
        <w:rPr>
          <w:sz w:val="20"/>
        </w:rPr>
        <w:t>appropriate</w:t>
      </w:r>
      <w:r>
        <w:rPr>
          <w:spacing w:val="-15"/>
          <w:sz w:val="20"/>
        </w:rPr>
        <w:t xml:space="preserve"> </w:t>
      </w:r>
      <w:r>
        <w:rPr>
          <w:sz w:val="20"/>
        </w:rPr>
        <w:t>to</w:t>
      </w:r>
      <w:r>
        <w:rPr>
          <w:spacing w:val="-26"/>
          <w:sz w:val="20"/>
        </w:rPr>
        <w:t xml:space="preserve"> </w:t>
      </w:r>
      <w:r>
        <w:rPr>
          <w:sz w:val="20"/>
        </w:rPr>
        <w:t>provide</w:t>
      </w:r>
      <w:r>
        <w:rPr>
          <w:spacing w:val="-21"/>
          <w:sz w:val="20"/>
        </w:rPr>
        <w:t xml:space="preserve"> </w:t>
      </w:r>
      <w:r>
        <w:rPr>
          <w:sz w:val="20"/>
        </w:rPr>
        <w:t>a</w:t>
      </w:r>
      <w:r>
        <w:rPr>
          <w:spacing w:val="-28"/>
          <w:sz w:val="20"/>
        </w:rPr>
        <w:t xml:space="preserve"> </w:t>
      </w:r>
      <w:r>
        <w:rPr>
          <w:sz w:val="20"/>
        </w:rPr>
        <w:t>basis</w:t>
      </w:r>
      <w:r>
        <w:rPr>
          <w:spacing w:val="-26"/>
          <w:sz w:val="20"/>
        </w:rPr>
        <w:t xml:space="preserve"> </w:t>
      </w:r>
      <w:r>
        <w:rPr>
          <w:sz w:val="20"/>
        </w:rPr>
        <w:t>for</w:t>
      </w:r>
      <w:r>
        <w:rPr>
          <w:spacing w:val="-28"/>
          <w:sz w:val="20"/>
        </w:rPr>
        <w:t xml:space="preserve"> </w:t>
      </w:r>
      <w:r>
        <w:rPr>
          <w:sz w:val="20"/>
        </w:rPr>
        <w:t>my audit opinion.</w:t>
      </w:r>
    </w:p>
    <w:p w14:paraId="7B581AC3" w14:textId="77777777" w:rsidR="00FA4AA8" w:rsidRDefault="0015611F">
      <w:pPr>
        <w:spacing w:before="166"/>
        <w:ind w:left="656"/>
        <w:rPr>
          <w:b/>
          <w:sz w:val="20"/>
        </w:rPr>
      </w:pPr>
      <w:r>
        <w:rPr>
          <w:b/>
          <w:color w:val="151515"/>
          <w:sz w:val="20"/>
        </w:rPr>
        <w:t xml:space="preserve">Other </w:t>
      </w:r>
      <w:r>
        <w:rPr>
          <w:b/>
          <w:color w:val="131313"/>
          <w:sz w:val="20"/>
        </w:rPr>
        <w:t>Information</w:t>
      </w:r>
    </w:p>
    <w:p w14:paraId="7E079D40" w14:textId="77777777" w:rsidR="00FA4AA8" w:rsidRDefault="0015611F">
      <w:pPr>
        <w:spacing w:before="159"/>
        <w:ind w:left="654" w:right="637" w:firstLine="9"/>
        <w:rPr>
          <w:sz w:val="20"/>
        </w:rPr>
      </w:pPr>
      <w:r>
        <w:rPr>
          <w:sz w:val="20"/>
        </w:rPr>
        <w:t>Other</w:t>
      </w:r>
      <w:r>
        <w:rPr>
          <w:spacing w:val="-25"/>
          <w:sz w:val="20"/>
        </w:rPr>
        <w:t xml:space="preserve"> </w:t>
      </w:r>
      <w:r>
        <w:rPr>
          <w:sz w:val="20"/>
        </w:rPr>
        <w:t>information</w:t>
      </w:r>
      <w:r>
        <w:rPr>
          <w:spacing w:val="-21"/>
          <w:sz w:val="20"/>
        </w:rPr>
        <w:t xml:space="preserve"> </w:t>
      </w:r>
      <w:r>
        <w:rPr>
          <w:sz w:val="20"/>
        </w:rPr>
        <w:t>comprises</w:t>
      </w:r>
      <w:r>
        <w:rPr>
          <w:spacing w:val="-23"/>
          <w:sz w:val="20"/>
        </w:rPr>
        <w:t xml:space="preserve"> </w:t>
      </w:r>
      <w:r>
        <w:rPr>
          <w:color w:val="0F0F0F"/>
          <w:sz w:val="20"/>
        </w:rPr>
        <w:t>the</w:t>
      </w:r>
      <w:r>
        <w:rPr>
          <w:color w:val="0F0F0F"/>
          <w:spacing w:val="-28"/>
          <w:sz w:val="20"/>
        </w:rPr>
        <w:t xml:space="preserve"> </w:t>
      </w:r>
      <w:r>
        <w:rPr>
          <w:sz w:val="20"/>
        </w:rPr>
        <w:t>information</w:t>
      </w:r>
      <w:r>
        <w:rPr>
          <w:spacing w:val="-22"/>
          <w:sz w:val="20"/>
        </w:rPr>
        <w:t xml:space="preserve"> </w:t>
      </w:r>
      <w:r>
        <w:rPr>
          <w:sz w:val="20"/>
        </w:rPr>
        <w:t>included</w:t>
      </w:r>
      <w:r>
        <w:rPr>
          <w:spacing w:val="-25"/>
          <w:sz w:val="20"/>
        </w:rPr>
        <w:t xml:space="preserve"> </w:t>
      </w:r>
      <w:r>
        <w:rPr>
          <w:sz w:val="20"/>
        </w:rPr>
        <w:t>in</w:t>
      </w:r>
      <w:r>
        <w:rPr>
          <w:spacing w:val="-32"/>
          <w:sz w:val="20"/>
        </w:rPr>
        <w:t xml:space="preserve"> </w:t>
      </w:r>
      <w:r>
        <w:rPr>
          <w:sz w:val="20"/>
        </w:rPr>
        <w:t>the</w:t>
      </w:r>
      <w:r>
        <w:rPr>
          <w:spacing w:val="-28"/>
          <w:sz w:val="20"/>
        </w:rPr>
        <w:t xml:space="preserve"> </w:t>
      </w:r>
      <w:r>
        <w:rPr>
          <w:sz w:val="20"/>
        </w:rPr>
        <w:t>Company’s</w:t>
      </w:r>
      <w:r>
        <w:rPr>
          <w:spacing w:val="-17"/>
          <w:sz w:val="20"/>
        </w:rPr>
        <w:t xml:space="preserve"> </w:t>
      </w:r>
      <w:r>
        <w:rPr>
          <w:sz w:val="20"/>
        </w:rPr>
        <w:t>annual</w:t>
      </w:r>
      <w:r>
        <w:rPr>
          <w:spacing w:val="-25"/>
          <w:sz w:val="20"/>
        </w:rPr>
        <w:t xml:space="preserve"> </w:t>
      </w:r>
      <w:r>
        <w:rPr>
          <w:color w:val="0C0C0C"/>
          <w:sz w:val="20"/>
        </w:rPr>
        <w:t>report</w:t>
      </w:r>
      <w:r>
        <w:rPr>
          <w:color w:val="0C0C0C"/>
          <w:spacing w:val="-25"/>
          <w:sz w:val="20"/>
        </w:rPr>
        <w:t xml:space="preserve"> </w:t>
      </w:r>
      <w:r>
        <w:rPr>
          <w:color w:val="0F0F0F"/>
          <w:sz w:val="20"/>
        </w:rPr>
        <w:t>for</w:t>
      </w:r>
      <w:r>
        <w:rPr>
          <w:color w:val="0F0F0F"/>
          <w:spacing w:val="-29"/>
          <w:sz w:val="20"/>
        </w:rPr>
        <w:t xml:space="preserve"> </w:t>
      </w:r>
      <w:r>
        <w:rPr>
          <w:sz w:val="20"/>
        </w:rPr>
        <w:t>the</w:t>
      </w:r>
      <w:r>
        <w:rPr>
          <w:spacing w:val="-27"/>
          <w:sz w:val="20"/>
        </w:rPr>
        <w:t xml:space="preserve"> </w:t>
      </w:r>
      <w:r>
        <w:rPr>
          <w:sz w:val="20"/>
        </w:rPr>
        <w:t>year ended</w:t>
      </w:r>
      <w:r>
        <w:rPr>
          <w:spacing w:val="-23"/>
          <w:sz w:val="20"/>
        </w:rPr>
        <w:t xml:space="preserve"> </w:t>
      </w:r>
      <w:r>
        <w:rPr>
          <w:color w:val="111111"/>
          <w:sz w:val="20"/>
        </w:rPr>
        <w:t>31</w:t>
      </w:r>
      <w:r>
        <w:rPr>
          <w:color w:val="111111"/>
          <w:spacing w:val="-25"/>
          <w:sz w:val="20"/>
        </w:rPr>
        <w:t xml:space="preserve"> </w:t>
      </w:r>
      <w:r>
        <w:rPr>
          <w:sz w:val="20"/>
        </w:rPr>
        <w:t>December</w:t>
      </w:r>
      <w:r>
        <w:rPr>
          <w:spacing w:val="-10"/>
          <w:sz w:val="20"/>
        </w:rPr>
        <w:t xml:space="preserve"> </w:t>
      </w:r>
      <w:r>
        <w:rPr>
          <w:color w:val="131313"/>
          <w:sz w:val="20"/>
        </w:rPr>
        <w:t>2018,</w:t>
      </w:r>
      <w:r>
        <w:rPr>
          <w:color w:val="131313"/>
          <w:spacing w:val="-18"/>
          <w:sz w:val="20"/>
        </w:rPr>
        <w:t xml:space="preserve"> </w:t>
      </w:r>
      <w:r>
        <w:rPr>
          <w:sz w:val="20"/>
        </w:rPr>
        <w:t>other</w:t>
      </w:r>
      <w:r>
        <w:rPr>
          <w:spacing w:val="-18"/>
          <w:sz w:val="20"/>
        </w:rPr>
        <w:t xml:space="preserve"> </w:t>
      </w:r>
      <w:r>
        <w:rPr>
          <w:color w:val="0C0C0C"/>
          <w:sz w:val="20"/>
        </w:rPr>
        <w:t>than</w:t>
      </w:r>
      <w:r>
        <w:rPr>
          <w:color w:val="0C0C0C"/>
          <w:spacing w:val="-25"/>
          <w:sz w:val="20"/>
        </w:rPr>
        <w:t xml:space="preserve"> </w:t>
      </w:r>
      <w:r>
        <w:rPr>
          <w:sz w:val="20"/>
        </w:rPr>
        <w:t>the</w:t>
      </w:r>
      <w:r>
        <w:rPr>
          <w:spacing w:val="-25"/>
          <w:sz w:val="20"/>
        </w:rPr>
        <w:t xml:space="preserve"> </w:t>
      </w:r>
      <w:r>
        <w:rPr>
          <w:sz w:val="20"/>
        </w:rPr>
        <w:t>financial</w:t>
      </w:r>
      <w:r>
        <w:rPr>
          <w:spacing w:val="-15"/>
          <w:sz w:val="20"/>
        </w:rPr>
        <w:t xml:space="preserve"> </w:t>
      </w:r>
      <w:r>
        <w:rPr>
          <w:sz w:val="20"/>
        </w:rPr>
        <w:t>report</w:t>
      </w:r>
      <w:r>
        <w:rPr>
          <w:spacing w:val="-18"/>
          <w:sz w:val="20"/>
        </w:rPr>
        <w:t xml:space="preserve"> </w:t>
      </w:r>
      <w:r>
        <w:rPr>
          <w:sz w:val="20"/>
        </w:rPr>
        <w:t>and</w:t>
      </w:r>
      <w:r>
        <w:rPr>
          <w:spacing w:val="-23"/>
          <w:sz w:val="20"/>
        </w:rPr>
        <w:t xml:space="preserve"> </w:t>
      </w:r>
      <w:r>
        <w:rPr>
          <w:sz w:val="20"/>
        </w:rPr>
        <w:t>my</w:t>
      </w:r>
      <w:r>
        <w:rPr>
          <w:spacing w:val="-27"/>
          <w:sz w:val="20"/>
        </w:rPr>
        <w:t xml:space="preserve"> </w:t>
      </w:r>
      <w:r>
        <w:rPr>
          <w:sz w:val="20"/>
        </w:rPr>
        <w:t>Independent</w:t>
      </w:r>
      <w:r>
        <w:rPr>
          <w:spacing w:val="-12"/>
          <w:sz w:val="20"/>
        </w:rPr>
        <w:t xml:space="preserve"> </w:t>
      </w:r>
      <w:r>
        <w:rPr>
          <w:sz w:val="20"/>
        </w:rPr>
        <w:t>Auditor’s</w:t>
      </w:r>
      <w:r>
        <w:rPr>
          <w:spacing w:val="-17"/>
          <w:sz w:val="20"/>
        </w:rPr>
        <w:t xml:space="preserve"> </w:t>
      </w:r>
      <w:r>
        <w:rPr>
          <w:sz w:val="20"/>
        </w:rPr>
        <w:t>Report thereon.</w:t>
      </w:r>
      <w:r>
        <w:rPr>
          <w:spacing w:val="-22"/>
          <w:sz w:val="20"/>
        </w:rPr>
        <w:t xml:space="preserve"> </w:t>
      </w:r>
      <w:r>
        <w:rPr>
          <w:color w:val="0E0E0E"/>
          <w:sz w:val="20"/>
        </w:rPr>
        <w:t>The</w:t>
      </w:r>
      <w:r>
        <w:rPr>
          <w:color w:val="0E0E0E"/>
          <w:spacing w:val="-26"/>
          <w:sz w:val="20"/>
        </w:rPr>
        <w:t xml:space="preserve"> </w:t>
      </w:r>
      <w:r>
        <w:rPr>
          <w:sz w:val="20"/>
        </w:rPr>
        <w:t>directors</w:t>
      </w:r>
      <w:r>
        <w:rPr>
          <w:spacing w:val="-18"/>
          <w:sz w:val="20"/>
        </w:rPr>
        <w:t xml:space="preserve"> </w:t>
      </w:r>
      <w:r>
        <w:rPr>
          <w:sz w:val="20"/>
        </w:rPr>
        <w:t>of</w:t>
      </w:r>
      <w:r>
        <w:rPr>
          <w:spacing w:val="-26"/>
          <w:sz w:val="20"/>
        </w:rPr>
        <w:t xml:space="preserve"> </w:t>
      </w:r>
      <w:r>
        <w:rPr>
          <w:color w:val="0E0E0E"/>
          <w:sz w:val="20"/>
        </w:rPr>
        <w:t>the</w:t>
      </w:r>
      <w:r>
        <w:rPr>
          <w:color w:val="0E0E0E"/>
          <w:spacing w:val="-28"/>
          <w:sz w:val="20"/>
        </w:rPr>
        <w:t xml:space="preserve"> </w:t>
      </w:r>
      <w:r>
        <w:rPr>
          <w:sz w:val="20"/>
        </w:rPr>
        <w:t>Company</w:t>
      </w:r>
      <w:r>
        <w:rPr>
          <w:spacing w:val="-19"/>
          <w:sz w:val="20"/>
        </w:rPr>
        <w:t xml:space="preserve"> </w:t>
      </w:r>
      <w:r>
        <w:rPr>
          <w:sz w:val="20"/>
        </w:rPr>
        <w:t>are</w:t>
      </w:r>
      <w:r>
        <w:rPr>
          <w:spacing w:val="-26"/>
          <w:sz w:val="20"/>
        </w:rPr>
        <w:t xml:space="preserve"> </w:t>
      </w:r>
      <w:r>
        <w:rPr>
          <w:sz w:val="20"/>
        </w:rPr>
        <w:t>responsible</w:t>
      </w:r>
      <w:r>
        <w:rPr>
          <w:spacing w:val="-18"/>
          <w:sz w:val="20"/>
        </w:rPr>
        <w:t xml:space="preserve"> </w:t>
      </w:r>
      <w:r>
        <w:rPr>
          <w:sz w:val="20"/>
        </w:rPr>
        <w:t>for</w:t>
      </w:r>
      <w:r>
        <w:rPr>
          <w:spacing w:val="-27"/>
          <w:sz w:val="20"/>
        </w:rPr>
        <w:t xml:space="preserve"> </w:t>
      </w:r>
      <w:r>
        <w:rPr>
          <w:sz w:val="20"/>
        </w:rPr>
        <w:t>the</w:t>
      </w:r>
      <w:r>
        <w:rPr>
          <w:spacing w:val="-22"/>
          <w:sz w:val="20"/>
        </w:rPr>
        <w:t xml:space="preserve"> </w:t>
      </w:r>
      <w:r>
        <w:rPr>
          <w:sz w:val="20"/>
        </w:rPr>
        <w:t>other</w:t>
      </w:r>
      <w:r>
        <w:rPr>
          <w:spacing w:val="-27"/>
          <w:sz w:val="20"/>
        </w:rPr>
        <w:t xml:space="preserve"> </w:t>
      </w:r>
      <w:r>
        <w:rPr>
          <w:sz w:val="20"/>
        </w:rPr>
        <w:t>information.</w:t>
      </w:r>
      <w:r>
        <w:rPr>
          <w:spacing w:val="-16"/>
          <w:sz w:val="20"/>
        </w:rPr>
        <w:t xml:space="preserve"> </w:t>
      </w:r>
      <w:r>
        <w:rPr>
          <w:sz w:val="20"/>
        </w:rPr>
        <w:t>At</w:t>
      </w:r>
      <w:r>
        <w:rPr>
          <w:spacing w:val="-26"/>
          <w:sz w:val="20"/>
        </w:rPr>
        <w:t xml:space="preserve"> </w:t>
      </w:r>
      <w:r>
        <w:rPr>
          <w:sz w:val="20"/>
        </w:rPr>
        <w:t>the</w:t>
      </w:r>
      <w:r>
        <w:rPr>
          <w:spacing w:val="-27"/>
          <w:sz w:val="20"/>
        </w:rPr>
        <w:t xml:space="preserve"> </w:t>
      </w:r>
      <w:r>
        <w:rPr>
          <w:sz w:val="20"/>
        </w:rPr>
        <w:t>date</w:t>
      </w:r>
      <w:r>
        <w:rPr>
          <w:spacing w:val="-29"/>
          <w:sz w:val="20"/>
        </w:rPr>
        <w:t xml:space="preserve"> </w:t>
      </w:r>
      <w:r>
        <w:rPr>
          <w:sz w:val="20"/>
        </w:rPr>
        <w:t>of</w:t>
      </w:r>
      <w:r>
        <w:rPr>
          <w:spacing w:val="-26"/>
          <w:sz w:val="20"/>
        </w:rPr>
        <w:t xml:space="preserve"> </w:t>
      </w:r>
      <w:r>
        <w:rPr>
          <w:sz w:val="20"/>
        </w:rPr>
        <w:t xml:space="preserve">this </w:t>
      </w:r>
      <w:r>
        <w:rPr>
          <w:color w:val="0C0C0C"/>
          <w:w w:val="95"/>
          <w:sz w:val="20"/>
        </w:rPr>
        <w:t xml:space="preserve">Independent </w:t>
      </w:r>
      <w:r>
        <w:rPr>
          <w:w w:val="95"/>
          <w:sz w:val="20"/>
        </w:rPr>
        <w:t xml:space="preserve">Auditor’s Report, </w:t>
      </w:r>
      <w:r>
        <w:rPr>
          <w:color w:val="0F0F0F"/>
          <w:w w:val="95"/>
          <w:sz w:val="20"/>
        </w:rPr>
        <w:t xml:space="preserve">the </w:t>
      </w:r>
      <w:r>
        <w:rPr>
          <w:w w:val="95"/>
          <w:sz w:val="20"/>
        </w:rPr>
        <w:t xml:space="preserve">other information </w:t>
      </w:r>
      <w:r>
        <w:rPr>
          <w:color w:val="161616"/>
          <w:w w:val="95"/>
          <w:sz w:val="20"/>
        </w:rPr>
        <w:t xml:space="preserve">I </w:t>
      </w:r>
      <w:r>
        <w:rPr>
          <w:w w:val="95"/>
          <w:sz w:val="20"/>
        </w:rPr>
        <w:t>have received comprises the Director's</w:t>
      </w:r>
      <w:r>
        <w:rPr>
          <w:spacing w:val="-5"/>
          <w:w w:val="95"/>
          <w:sz w:val="20"/>
        </w:rPr>
        <w:t xml:space="preserve"> </w:t>
      </w:r>
      <w:r>
        <w:rPr>
          <w:w w:val="95"/>
          <w:sz w:val="20"/>
        </w:rPr>
        <w:t>report.</w:t>
      </w:r>
    </w:p>
    <w:p w14:paraId="0528AE8B" w14:textId="77777777" w:rsidR="00FA4AA8" w:rsidRDefault="0015611F">
      <w:pPr>
        <w:spacing w:before="167"/>
        <w:ind w:left="658" w:right="637" w:hanging="1"/>
        <w:rPr>
          <w:sz w:val="20"/>
        </w:rPr>
      </w:pPr>
      <w:r>
        <w:rPr>
          <w:sz w:val="20"/>
        </w:rPr>
        <w:t>My</w:t>
      </w:r>
      <w:r>
        <w:rPr>
          <w:spacing w:val="-30"/>
          <w:sz w:val="20"/>
        </w:rPr>
        <w:t xml:space="preserve"> </w:t>
      </w:r>
      <w:r>
        <w:rPr>
          <w:sz w:val="20"/>
        </w:rPr>
        <w:t>opinion</w:t>
      </w:r>
      <w:r>
        <w:rPr>
          <w:spacing w:val="-26"/>
          <w:sz w:val="20"/>
        </w:rPr>
        <w:t xml:space="preserve"> </w:t>
      </w:r>
      <w:r>
        <w:rPr>
          <w:sz w:val="20"/>
        </w:rPr>
        <w:t>on</w:t>
      </w:r>
      <w:r>
        <w:rPr>
          <w:spacing w:val="-32"/>
          <w:sz w:val="20"/>
        </w:rPr>
        <w:t xml:space="preserve"> </w:t>
      </w:r>
      <w:r>
        <w:rPr>
          <w:color w:val="0C0C0C"/>
          <w:sz w:val="20"/>
        </w:rPr>
        <w:t>the</w:t>
      </w:r>
      <w:r>
        <w:rPr>
          <w:color w:val="0C0C0C"/>
          <w:spacing w:val="-27"/>
          <w:sz w:val="20"/>
        </w:rPr>
        <w:t xml:space="preserve"> </w:t>
      </w:r>
      <w:r>
        <w:rPr>
          <w:sz w:val="20"/>
        </w:rPr>
        <w:t>financial</w:t>
      </w:r>
      <w:r>
        <w:rPr>
          <w:spacing w:val="-26"/>
          <w:sz w:val="20"/>
        </w:rPr>
        <w:t xml:space="preserve"> </w:t>
      </w:r>
      <w:r>
        <w:rPr>
          <w:color w:val="131313"/>
          <w:sz w:val="20"/>
        </w:rPr>
        <w:t>report</w:t>
      </w:r>
      <w:r>
        <w:rPr>
          <w:color w:val="131313"/>
          <w:spacing w:val="-25"/>
          <w:sz w:val="20"/>
        </w:rPr>
        <w:t xml:space="preserve"> </w:t>
      </w:r>
      <w:r>
        <w:rPr>
          <w:sz w:val="20"/>
        </w:rPr>
        <w:t>does</w:t>
      </w:r>
      <w:r>
        <w:rPr>
          <w:spacing w:val="-27"/>
          <w:sz w:val="20"/>
        </w:rPr>
        <w:t xml:space="preserve"> </w:t>
      </w:r>
      <w:r>
        <w:rPr>
          <w:color w:val="131313"/>
          <w:sz w:val="20"/>
        </w:rPr>
        <w:t>not</w:t>
      </w:r>
      <w:r>
        <w:rPr>
          <w:color w:val="131313"/>
          <w:spacing w:val="-28"/>
          <w:sz w:val="20"/>
        </w:rPr>
        <w:t xml:space="preserve"> </w:t>
      </w:r>
      <w:r>
        <w:rPr>
          <w:sz w:val="20"/>
        </w:rPr>
        <w:t>cover</w:t>
      </w:r>
      <w:r>
        <w:rPr>
          <w:spacing w:val="-27"/>
          <w:sz w:val="20"/>
        </w:rPr>
        <w:t xml:space="preserve"> </w:t>
      </w:r>
      <w:r>
        <w:rPr>
          <w:color w:val="0F0F0F"/>
          <w:sz w:val="20"/>
        </w:rPr>
        <w:t>the</w:t>
      </w:r>
      <w:r>
        <w:rPr>
          <w:color w:val="0F0F0F"/>
          <w:spacing w:val="-26"/>
          <w:sz w:val="20"/>
        </w:rPr>
        <w:t xml:space="preserve"> </w:t>
      </w:r>
      <w:r>
        <w:rPr>
          <w:sz w:val="20"/>
        </w:rPr>
        <w:t>other</w:t>
      </w:r>
      <w:r>
        <w:rPr>
          <w:spacing w:val="-31"/>
          <w:sz w:val="20"/>
        </w:rPr>
        <w:t xml:space="preserve"> </w:t>
      </w:r>
      <w:r>
        <w:rPr>
          <w:color w:val="0C0C0C"/>
          <w:sz w:val="20"/>
        </w:rPr>
        <w:t>information.</w:t>
      </w:r>
      <w:r>
        <w:rPr>
          <w:color w:val="0C0C0C"/>
          <w:spacing w:val="-19"/>
          <w:sz w:val="20"/>
        </w:rPr>
        <w:t xml:space="preserve"> </w:t>
      </w:r>
      <w:r>
        <w:rPr>
          <w:sz w:val="20"/>
        </w:rPr>
        <w:t>Accordingly,</w:t>
      </w:r>
      <w:r>
        <w:rPr>
          <w:spacing w:val="-19"/>
          <w:sz w:val="20"/>
        </w:rPr>
        <w:t xml:space="preserve"> </w:t>
      </w:r>
      <w:r>
        <w:rPr>
          <w:color w:val="1D1D1D"/>
          <w:sz w:val="20"/>
        </w:rPr>
        <w:t>I</w:t>
      </w:r>
      <w:r>
        <w:rPr>
          <w:color w:val="1D1D1D"/>
          <w:spacing w:val="-28"/>
          <w:sz w:val="20"/>
        </w:rPr>
        <w:t xml:space="preserve"> </w:t>
      </w:r>
      <w:r>
        <w:rPr>
          <w:sz w:val="20"/>
        </w:rPr>
        <w:t>do</w:t>
      </w:r>
      <w:r>
        <w:rPr>
          <w:spacing w:val="-33"/>
          <w:sz w:val="20"/>
        </w:rPr>
        <w:t xml:space="preserve"> </w:t>
      </w:r>
      <w:r>
        <w:rPr>
          <w:sz w:val="20"/>
        </w:rPr>
        <w:t>not</w:t>
      </w:r>
      <w:r>
        <w:rPr>
          <w:spacing w:val="-28"/>
          <w:sz w:val="20"/>
        </w:rPr>
        <w:t xml:space="preserve"> </w:t>
      </w:r>
      <w:r>
        <w:rPr>
          <w:sz w:val="20"/>
        </w:rPr>
        <w:t xml:space="preserve">express any </w:t>
      </w:r>
      <w:r>
        <w:rPr>
          <w:color w:val="0F0F0F"/>
          <w:sz w:val="20"/>
        </w:rPr>
        <w:t xml:space="preserve">form </w:t>
      </w:r>
      <w:r>
        <w:rPr>
          <w:sz w:val="20"/>
        </w:rPr>
        <w:t xml:space="preserve">of assurance </w:t>
      </w:r>
      <w:r>
        <w:rPr>
          <w:color w:val="0E0E0E"/>
          <w:sz w:val="20"/>
        </w:rPr>
        <w:t xml:space="preserve">conclusion </w:t>
      </w:r>
      <w:r>
        <w:rPr>
          <w:color w:val="0C0C0C"/>
          <w:sz w:val="20"/>
        </w:rPr>
        <w:t xml:space="preserve">on </w:t>
      </w:r>
      <w:r>
        <w:rPr>
          <w:color w:val="0F0F0F"/>
          <w:sz w:val="20"/>
        </w:rPr>
        <w:t xml:space="preserve">the </w:t>
      </w:r>
      <w:r>
        <w:rPr>
          <w:sz w:val="20"/>
        </w:rPr>
        <w:t>other</w:t>
      </w:r>
      <w:r>
        <w:rPr>
          <w:spacing w:val="-4"/>
          <w:sz w:val="20"/>
        </w:rPr>
        <w:t xml:space="preserve"> </w:t>
      </w:r>
      <w:r>
        <w:rPr>
          <w:color w:val="0C0C0C"/>
          <w:sz w:val="20"/>
        </w:rPr>
        <w:t>information.</w:t>
      </w:r>
    </w:p>
    <w:p w14:paraId="04BCBB94" w14:textId="77777777" w:rsidR="00FA4AA8" w:rsidRDefault="0015611F">
      <w:pPr>
        <w:spacing w:before="167"/>
        <w:ind w:left="658" w:right="1051" w:hanging="5"/>
        <w:jc w:val="both"/>
        <w:rPr>
          <w:sz w:val="20"/>
        </w:rPr>
      </w:pPr>
      <w:r>
        <w:rPr>
          <w:color w:val="131313"/>
          <w:sz w:val="20"/>
        </w:rPr>
        <w:t>In</w:t>
      </w:r>
      <w:r>
        <w:rPr>
          <w:color w:val="131313"/>
          <w:spacing w:val="-32"/>
          <w:sz w:val="20"/>
        </w:rPr>
        <w:t xml:space="preserve"> </w:t>
      </w:r>
      <w:r>
        <w:rPr>
          <w:sz w:val="20"/>
        </w:rPr>
        <w:t>connection</w:t>
      </w:r>
      <w:r>
        <w:rPr>
          <w:spacing w:val="-20"/>
          <w:sz w:val="20"/>
        </w:rPr>
        <w:t xml:space="preserve"> </w:t>
      </w:r>
      <w:r>
        <w:rPr>
          <w:color w:val="0A0A0A"/>
          <w:sz w:val="20"/>
        </w:rPr>
        <w:t>with</w:t>
      </w:r>
      <w:r>
        <w:rPr>
          <w:color w:val="0A0A0A"/>
          <w:spacing w:val="-28"/>
          <w:sz w:val="20"/>
        </w:rPr>
        <w:t xml:space="preserve"> </w:t>
      </w:r>
      <w:r>
        <w:rPr>
          <w:color w:val="0C0C0C"/>
          <w:sz w:val="20"/>
        </w:rPr>
        <w:t>my</w:t>
      </w:r>
      <w:r>
        <w:rPr>
          <w:color w:val="0C0C0C"/>
          <w:spacing w:val="-23"/>
          <w:sz w:val="20"/>
        </w:rPr>
        <w:t xml:space="preserve"> </w:t>
      </w:r>
      <w:r>
        <w:rPr>
          <w:sz w:val="20"/>
        </w:rPr>
        <w:t>audit</w:t>
      </w:r>
      <w:r>
        <w:rPr>
          <w:spacing w:val="-26"/>
          <w:sz w:val="20"/>
        </w:rPr>
        <w:t xml:space="preserve"> </w:t>
      </w:r>
      <w:r>
        <w:rPr>
          <w:color w:val="131313"/>
          <w:sz w:val="20"/>
        </w:rPr>
        <w:t>of</w:t>
      </w:r>
      <w:r>
        <w:rPr>
          <w:color w:val="131313"/>
          <w:spacing w:val="-26"/>
          <w:sz w:val="20"/>
        </w:rPr>
        <w:t xml:space="preserve"> </w:t>
      </w:r>
      <w:r>
        <w:rPr>
          <w:sz w:val="20"/>
        </w:rPr>
        <w:t>the</w:t>
      </w:r>
      <w:r>
        <w:rPr>
          <w:spacing w:val="-28"/>
          <w:sz w:val="20"/>
        </w:rPr>
        <w:t xml:space="preserve"> </w:t>
      </w:r>
      <w:r>
        <w:rPr>
          <w:color w:val="0E0E0E"/>
          <w:sz w:val="20"/>
        </w:rPr>
        <w:t>financial</w:t>
      </w:r>
      <w:r>
        <w:rPr>
          <w:color w:val="0E0E0E"/>
          <w:spacing w:val="-23"/>
          <w:sz w:val="20"/>
        </w:rPr>
        <w:t xml:space="preserve"> </w:t>
      </w:r>
      <w:r>
        <w:rPr>
          <w:color w:val="0C0C0C"/>
          <w:sz w:val="20"/>
        </w:rPr>
        <w:t>report,</w:t>
      </w:r>
      <w:r>
        <w:rPr>
          <w:color w:val="0C0C0C"/>
          <w:spacing w:val="-20"/>
          <w:sz w:val="20"/>
        </w:rPr>
        <w:t xml:space="preserve"> </w:t>
      </w:r>
      <w:r>
        <w:rPr>
          <w:sz w:val="20"/>
        </w:rPr>
        <w:t>my</w:t>
      </w:r>
      <w:r>
        <w:rPr>
          <w:spacing w:val="-26"/>
          <w:sz w:val="20"/>
        </w:rPr>
        <w:t xml:space="preserve"> </w:t>
      </w:r>
      <w:r>
        <w:rPr>
          <w:sz w:val="20"/>
        </w:rPr>
        <w:t>responsibility</w:t>
      </w:r>
      <w:r>
        <w:rPr>
          <w:spacing w:val="-27"/>
          <w:sz w:val="20"/>
        </w:rPr>
        <w:t xml:space="preserve"> </w:t>
      </w:r>
      <w:r>
        <w:rPr>
          <w:color w:val="0C0C0C"/>
          <w:sz w:val="20"/>
        </w:rPr>
        <w:t>is</w:t>
      </w:r>
      <w:r>
        <w:rPr>
          <w:color w:val="0C0C0C"/>
          <w:spacing w:val="-29"/>
          <w:sz w:val="20"/>
        </w:rPr>
        <w:t xml:space="preserve"> </w:t>
      </w:r>
      <w:r>
        <w:rPr>
          <w:sz w:val="20"/>
        </w:rPr>
        <w:t>to</w:t>
      </w:r>
      <w:r>
        <w:rPr>
          <w:spacing w:val="-28"/>
          <w:sz w:val="20"/>
        </w:rPr>
        <w:t xml:space="preserve"> </w:t>
      </w:r>
      <w:r>
        <w:rPr>
          <w:color w:val="0C0C0C"/>
          <w:sz w:val="20"/>
        </w:rPr>
        <w:t>read</w:t>
      </w:r>
      <w:r>
        <w:rPr>
          <w:color w:val="0C0C0C"/>
          <w:spacing w:val="-28"/>
          <w:sz w:val="20"/>
        </w:rPr>
        <w:t xml:space="preserve"> </w:t>
      </w:r>
      <w:r>
        <w:rPr>
          <w:sz w:val="20"/>
        </w:rPr>
        <w:t>the</w:t>
      </w:r>
      <w:r>
        <w:rPr>
          <w:spacing w:val="-26"/>
          <w:sz w:val="20"/>
        </w:rPr>
        <w:t xml:space="preserve"> </w:t>
      </w:r>
      <w:r>
        <w:rPr>
          <w:sz w:val="20"/>
        </w:rPr>
        <w:t>other</w:t>
      </w:r>
      <w:r>
        <w:rPr>
          <w:spacing w:val="-23"/>
          <w:sz w:val="20"/>
        </w:rPr>
        <w:t xml:space="preserve"> </w:t>
      </w:r>
      <w:r>
        <w:rPr>
          <w:sz w:val="20"/>
        </w:rPr>
        <w:t xml:space="preserve">information </w:t>
      </w:r>
      <w:r>
        <w:rPr>
          <w:color w:val="131313"/>
          <w:sz w:val="20"/>
        </w:rPr>
        <w:t>and,</w:t>
      </w:r>
      <w:r>
        <w:rPr>
          <w:color w:val="131313"/>
          <w:spacing w:val="-30"/>
          <w:sz w:val="20"/>
        </w:rPr>
        <w:t xml:space="preserve"> </w:t>
      </w:r>
      <w:r>
        <w:rPr>
          <w:color w:val="181818"/>
          <w:sz w:val="20"/>
        </w:rPr>
        <w:t>in</w:t>
      </w:r>
      <w:r>
        <w:rPr>
          <w:color w:val="181818"/>
          <w:spacing w:val="-33"/>
          <w:sz w:val="20"/>
        </w:rPr>
        <w:t xml:space="preserve"> </w:t>
      </w:r>
      <w:r>
        <w:rPr>
          <w:sz w:val="20"/>
        </w:rPr>
        <w:t>doing</w:t>
      </w:r>
      <w:r>
        <w:rPr>
          <w:spacing w:val="-30"/>
          <w:sz w:val="20"/>
        </w:rPr>
        <w:t xml:space="preserve"> </w:t>
      </w:r>
      <w:r>
        <w:rPr>
          <w:color w:val="111111"/>
          <w:sz w:val="20"/>
        </w:rPr>
        <w:t>so,</w:t>
      </w:r>
      <w:r>
        <w:rPr>
          <w:color w:val="111111"/>
          <w:spacing w:val="-31"/>
          <w:sz w:val="20"/>
        </w:rPr>
        <w:t xml:space="preserve"> </w:t>
      </w:r>
      <w:r>
        <w:rPr>
          <w:sz w:val="20"/>
        </w:rPr>
        <w:t>consider</w:t>
      </w:r>
      <w:r>
        <w:rPr>
          <w:spacing w:val="-26"/>
          <w:sz w:val="20"/>
        </w:rPr>
        <w:t xml:space="preserve"> </w:t>
      </w:r>
      <w:r>
        <w:rPr>
          <w:sz w:val="20"/>
        </w:rPr>
        <w:t>whether</w:t>
      </w:r>
      <w:r>
        <w:rPr>
          <w:spacing w:val="-30"/>
          <w:sz w:val="20"/>
        </w:rPr>
        <w:t xml:space="preserve"> </w:t>
      </w:r>
      <w:r>
        <w:rPr>
          <w:color w:val="1F1F1F"/>
          <w:sz w:val="20"/>
        </w:rPr>
        <w:t>the</w:t>
      </w:r>
      <w:r>
        <w:rPr>
          <w:color w:val="1F1F1F"/>
          <w:spacing w:val="-32"/>
          <w:sz w:val="20"/>
        </w:rPr>
        <w:t xml:space="preserve"> </w:t>
      </w:r>
      <w:r>
        <w:rPr>
          <w:color w:val="0A0A0A"/>
          <w:sz w:val="20"/>
        </w:rPr>
        <w:t>other</w:t>
      </w:r>
      <w:r>
        <w:rPr>
          <w:color w:val="0A0A0A"/>
          <w:spacing w:val="-30"/>
          <w:sz w:val="20"/>
        </w:rPr>
        <w:t xml:space="preserve"> </w:t>
      </w:r>
      <w:r>
        <w:rPr>
          <w:color w:val="0F0F0F"/>
          <w:sz w:val="20"/>
        </w:rPr>
        <w:t>information</w:t>
      </w:r>
      <w:r>
        <w:rPr>
          <w:color w:val="0F0F0F"/>
          <w:spacing w:val="-31"/>
          <w:sz w:val="20"/>
        </w:rPr>
        <w:t xml:space="preserve"> </w:t>
      </w:r>
      <w:r>
        <w:rPr>
          <w:sz w:val="20"/>
        </w:rPr>
        <w:t>is</w:t>
      </w:r>
      <w:r>
        <w:rPr>
          <w:spacing w:val="-33"/>
          <w:sz w:val="20"/>
        </w:rPr>
        <w:t xml:space="preserve"> </w:t>
      </w:r>
      <w:r>
        <w:rPr>
          <w:sz w:val="20"/>
        </w:rPr>
        <w:t>materially</w:t>
      </w:r>
      <w:r>
        <w:rPr>
          <w:spacing w:val="-26"/>
          <w:sz w:val="20"/>
        </w:rPr>
        <w:t xml:space="preserve"> </w:t>
      </w:r>
      <w:r>
        <w:rPr>
          <w:sz w:val="20"/>
        </w:rPr>
        <w:t>inconsistent</w:t>
      </w:r>
      <w:r>
        <w:rPr>
          <w:spacing w:val="-22"/>
          <w:sz w:val="20"/>
        </w:rPr>
        <w:t xml:space="preserve"> </w:t>
      </w:r>
      <w:r>
        <w:rPr>
          <w:color w:val="111111"/>
          <w:sz w:val="20"/>
        </w:rPr>
        <w:t>with</w:t>
      </w:r>
      <w:r>
        <w:rPr>
          <w:color w:val="111111"/>
          <w:spacing w:val="-34"/>
          <w:sz w:val="20"/>
        </w:rPr>
        <w:t xml:space="preserve"> </w:t>
      </w:r>
      <w:r>
        <w:rPr>
          <w:sz w:val="20"/>
        </w:rPr>
        <w:t>the</w:t>
      </w:r>
      <w:r>
        <w:rPr>
          <w:spacing w:val="-33"/>
          <w:sz w:val="20"/>
        </w:rPr>
        <w:t xml:space="preserve"> </w:t>
      </w:r>
      <w:r>
        <w:rPr>
          <w:sz w:val="20"/>
        </w:rPr>
        <w:t xml:space="preserve">financial </w:t>
      </w:r>
      <w:r>
        <w:rPr>
          <w:color w:val="0E0E0E"/>
          <w:sz w:val="20"/>
        </w:rPr>
        <w:t>report</w:t>
      </w:r>
      <w:r>
        <w:rPr>
          <w:color w:val="0E0E0E"/>
          <w:spacing w:val="-20"/>
          <w:sz w:val="20"/>
        </w:rPr>
        <w:t xml:space="preserve"> </w:t>
      </w:r>
      <w:r>
        <w:rPr>
          <w:color w:val="1C1C1C"/>
          <w:sz w:val="20"/>
        </w:rPr>
        <w:t>or</w:t>
      </w:r>
      <w:r>
        <w:rPr>
          <w:color w:val="1C1C1C"/>
          <w:spacing w:val="-20"/>
          <w:sz w:val="20"/>
        </w:rPr>
        <w:t xml:space="preserve"> </w:t>
      </w:r>
      <w:r>
        <w:rPr>
          <w:sz w:val="20"/>
        </w:rPr>
        <w:t>my</w:t>
      </w:r>
      <w:r>
        <w:rPr>
          <w:spacing w:val="-26"/>
          <w:sz w:val="20"/>
        </w:rPr>
        <w:t xml:space="preserve"> </w:t>
      </w:r>
      <w:r>
        <w:rPr>
          <w:color w:val="0E0E0E"/>
          <w:sz w:val="20"/>
        </w:rPr>
        <w:t>knowledge</w:t>
      </w:r>
      <w:r>
        <w:rPr>
          <w:color w:val="0E0E0E"/>
          <w:spacing w:val="-11"/>
          <w:sz w:val="20"/>
        </w:rPr>
        <w:t xml:space="preserve"> </w:t>
      </w:r>
      <w:r>
        <w:rPr>
          <w:sz w:val="20"/>
        </w:rPr>
        <w:t>obtained</w:t>
      </w:r>
      <w:r>
        <w:rPr>
          <w:spacing w:val="-17"/>
          <w:sz w:val="20"/>
        </w:rPr>
        <w:t xml:space="preserve"> </w:t>
      </w:r>
      <w:r>
        <w:rPr>
          <w:color w:val="232323"/>
          <w:sz w:val="20"/>
        </w:rPr>
        <w:t>in</w:t>
      </w:r>
      <w:r>
        <w:rPr>
          <w:color w:val="232323"/>
          <w:spacing w:val="-24"/>
          <w:sz w:val="20"/>
        </w:rPr>
        <w:t xml:space="preserve"> </w:t>
      </w:r>
      <w:r>
        <w:rPr>
          <w:color w:val="0A0A0A"/>
          <w:sz w:val="20"/>
        </w:rPr>
        <w:t>the</w:t>
      </w:r>
      <w:r>
        <w:rPr>
          <w:color w:val="0A0A0A"/>
          <w:spacing w:val="-21"/>
          <w:sz w:val="20"/>
        </w:rPr>
        <w:t xml:space="preserve"> </w:t>
      </w:r>
      <w:r>
        <w:rPr>
          <w:sz w:val="20"/>
        </w:rPr>
        <w:t>audit,</w:t>
      </w:r>
      <w:r>
        <w:rPr>
          <w:spacing w:val="-17"/>
          <w:sz w:val="20"/>
        </w:rPr>
        <w:t xml:space="preserve"> </w:t>
      </w:r>
      <w:r>
        <w:rPr>
          <w:color w:val="0F0F0F"/>
          <w:sz w:val="20"/>
        </w:rPr>
        <w:t>or</w:t>
      </w:r>
      <w:r>
        <w:rPr>
          <w:color w:val="0F0F0F"/>
          <w:spacing w:val="-16"/>
          <w:sz w:val="20"/>
        </w:rPr>
        <w:t xml:space="preserve"> </w:t>
      </w:r>
      <w:r>
        <w:rPr>
          <w:sz w:val="20"/>
        </w:rPr>
        <w:t>otherwise</w:t>
      </w:r>
      <w:r>
        <w:rPr>
          <w:spacing w:val="-20"/>
          <w:sz w:val="20"/>
        </w:rPr>
        <w:t xml:space="preserve"> </w:t>
      </w:r>
      <w:r>
        <w:rPr>
          <w:sz w:val="20"/>
        </w:rPr>
        <w:t>appears</w:t>
      </w:r>
      <w:r>
        <w:rPr>
          <w:spacing w:val="-15"/>
          <w:sz w:val="20"/>
        </w:rPr>
        <w:t xml:space="preserve"> </w:t>
      </w:r>
      <w:r>
        <w:rPr>
          <w:color w:val="0C0C0C"/>
          <w:sz w:val="20"/>
        </w:rPr>
        <w:t>to</w:t>
      </w:r>
      <w:r>
        <w:rPr>
          <w:color w:val="0C0C0C"/>
          <w:spacing w:val="-22"/>
          <w:sz w:val="20"/>
        </w:rPr>
        <w:t xml:space="preserve"> </w:t>
      </w:r>
      <w:r>
        <w:rPr>
          <w:color w:val="151515"/>
          <w:sz w:val="20"/>
        </w:rPr>
        <w:t>be</w:t>
      </w:r>
      <w:r>
        <w:rPr>
          <w:color w:val="151515"/>
          <w:spacing w:val="-23"/>
          <w:sz w:val="20"/>
        </w:rPr>
        <w:t xml:space="preserve"> </w:t>
      </w:r>
      <w:r>
        <w:rPr>
          <w:color w:val="0E0E0E"/>
          <w:sz w:val="20"/>
        </w:rPr>
        <w:t>materially</w:t>
      </w:r>
      <w:r>
        <w:rPr>
          <w:color w:val="0E0E0E"/>
          <w:spacing w:val="-14"/>
          <w:sz w:val="20"/>
        </w:rPr>
        <w:t xml:space="preserve"> </w:t>
      </w:r>
      <w:r>
        <w:rPr>
          <w:color w:val="111111"/>
          <w:sz w:val="20"/>
        </w:rPr>
        <w:t>misstated.</w:t>
      </w:r>
    </w:p>
    <w:p w14:paraId="5774CF44" w14:textId="77777777" w:rsidR="00FA4AA8" w:rsidRDefault="0015611F">
      <w:pPr>
        <w:spacing w:before="167"/>
        <w:ind w:left="659" w:right="637" w:hanging="6"/>
        <w:rPr>
          <w:sz w:val="20"/>
        </w:rPr>
      </w:pPr>
      <w:r>
        <w:rPr>
          <w:color w:val="131313"/>
          <w:sz w:val="20"/>
        </w:rPr>
        <w:t>If,</w:t>
      </w:r>
      <w:r>
        <w:rPr>
          <w:color w:val="131313"/>
          <w:spacing w:val="-29"/>
          <w:sz w:val="20"/>
        </w:rPr>
        <w:t xml:space="preserve"> </w:t>
      </w:r>
      <w:r>
        <w:rPr>
          <w:color w:val="131313"/>
          <w:sz w:val="20"/>
        </w:rPr>
        <w:t>based</w:t>
      </w:r>
      <w:r>
        <w:rPr>
          <w:color w:val="131313"/>
          <w:spacing w:val="-21"/>
          <w:sz w:val="20"/>
        </w:rPr>
        <w:t xml:space="preserve"> </w:t>
      </w:r>
      <w:r>
        <w:rPr>
          <w:color w:val="0E0E0E"/>
          <w:sz w:val="20"/>
        </w:rPr>
        <w:t>on</w:t>
      </w:r>
      <w:r>
        <w:rPr>
          <w:color w:val="0E0E0E"/>
          <w:spacing w:val="-27"/>
          <w:sz w:val="20"/>
        </w:rPr>
        <w:t xml:space="preserve"> </w:t>
      </w:r>
      <w:r>
        <w:rPr>
          <w:sz w:val="20"/>
        </w:rPr>
        <w:t>the</w:t>
      </w:r>
      <w:r>
        <w:rPr>
          <w:spacing w:val="-22"/>
          <w:sz w:val="20"/>
        </w:rPr>
        <w:t xml:space="preserve"> </w:t>
      </w:r>
      <w:r>
        <w:rPr>
          <w:color w:val="131313"/>
          <w:sz w:val="20"/>
        </w:rPr>
        <w:t>work</w:t>
      </w:r>
      <w:r>
        <w:rPr>
          <w:color w:val="131313"/>
          <w:spacing w:val="-17"/>
          <w:sz w:val="20"/>
        </w:rPr>
        <w:t xml:space="preserve"> </w:t>
      </w:r>
      <w:r>
        <w:rPr>
          <w:sz w:val="20"/>
        </w:rPr>
        <w:t>I</w:t>
      </w:r>
      <w:r>
        <w:rPr>
          <w:spacing w:val="-26"/>
          <w:sz w:val="20"/>
        </w:rPr>
        <w:t xml:space="preserve"> </w:t>
      </w:r>
      <w:r>
        <w:rPr>
          <w:sz w:val="20"/>
        </w:rPr>
        <w:t>have</w:t>
      </w:r>
      <w:r>
        <w:rPr>
          <w:spacing w:val="-27"/>
          <w:sz w:val="20"/>
        </w:rPr>
        <w:t xml:space="preserve"> </w:t>
      </w:r>
      <w:r>
        <w:rPr>
          <w:sz w:val="20"/>
        </w:rPr>
        <w:t>performed,</w:t>
      </w:r>
      <w:r>
        <w:rPr>
          <w:spacing w:val="-22"/>
          <w:sz w:val="20"/>
        </w:rPr>
        <w:t xml:space="preserve"> </w:t>
      </w:r>
      <w:r>
        <w:rPr>
          <w:color w:val="2D2D2D"/>
          <w:sz w:val="20"/>
        </w:rPr>
        <w:t>I</w:t>
      </w:r>
      <w:r>
        <w:rPr>
          <w:color w:val="2D2D2D"/>
          <w:spacing w:val="-23"/>
          <w:sz w:val="20"/>
        </w:rPr>
        <w:t xml:space="preserve"> </w:t>
      </w:r>
      <w:r>
        <w:rPr>
          <w:sz w:val="20"/>
        </w:rPr>
        <w:t>conclude</w:t>
      </w:r>
      <w:r>
        <w:rPr>
          <w:spacing w:val="-20"/>
          <w:sz w:val="20"/>
        </w:rPr>
        <w:t xml:space="preserve"> </w:t>
      </w:r>
      <w:r>
        <w:rPr>
          <w:color w:val="0A0A0A"/>
          <w:sz w:val="20"/>
        </w:rPr>
        <w:t>there</w:t>
      </w:r>
      <w:r>
        <w:rPr>
          <w:color w:val="0A0A0A"/>
          <w:spacing w:val="-27"/>
          <w:sz w:val="20"/>
        </w:rPr>
        <w:t xml:space="preserve"> </w:t>
      </w:r>
      <w:r>
        <w:rPr>
          <w:sz w:val="20"/>
        </w:rPr>
        <w:t>is</w:t>
      </w:r>
      <w:r>
        <w:rPr>
          <w:spacing w:val="-27"/>
          <w:sz w:val="20"/>
        </w:rPr>
        <w:t xml:space="preserve"> </w:t>
      </w:r>
      <w:r>
        <w:rPr>
          <w:sz w:val="20"/>
        </w:rPr>
        <w:t>a</w:t>
      </w:r>
      <w:r>
        <w:rPr>
          <w:spacing w:val="-30"/>
          <w:sz w:val="20"/>
        </w:rPr>
        <w:t xml:space="preserve"> </w:t>
      </w:r>
      <w:r>
        <w:rPr>
          <w:color w:val="0C0C0C"/>
          <w:sz w:val="20"/>
        </w:rPr>
        <w:t>material</w:t>
      </w:r>
      <w:r>
        <w:rPr>
          <w:color w:val="0C0C0C"/>
          <w:spacing w:val="-24"/>
          <w:sz w:val="20"/>
        </w:rPr>
        <w:t xml:space="preserve"> </w:t>
      </w:r>
      <w:r>
        <w:rPr>
          <w:sz w:val="20"/>
        </w:rPr>
        <w:t>misstatement</w:t>
      </w:r>
      <w:r>
        <w:rPr>
          <w:spacing w:val="-10"/>
          <w:sz w:val="20"/>
        </w:rPr>
        <w:t xml:space="preserve"> </w:t>
      </w:r>
      <w:r>
        <w:rPr>
          <w:sz w:val="20"/>
        </w:rPr>
        <w:t>of</w:t>
      </w:r>
      <w:r>
        <w:rPr>
          <w:spacing w:val="-25"/>
          <w:sz w:val="20"/>
        </w:rPr>
        <w:t xml:space="preserve"> </w:t>
      </w:r>
      <w:r>
        <w:rPr>
          <w:sz w:val="20"/>
        </w:rPr>
        <w:t>the</w:t>
      </w:r>
      <w:r>
        <w:rPr>
          <w:spacing w:val="-22"/>
          <w:sz w:val="20"/>
        </w:rPr>
        <w:t xml:space="preserve"> </w:t>
      </w:r>
      <w:r>
        <w:rPr>
          <w:color w:val="131313"/>
          <w:sz w:val="20"/>
        </w:rPr>
        <w:t xml:space="preserve">other </w:t>
      </w:r>
      <w:r>
        <w:rPr>
          <w:sz w:val="20"/>
        </w:rPr>
        <w:t xml:space="preserve">information, </w:t>
      </w:r>
      <w:r>
        <w:rPr>
          <w:color w:val="131313"/>
          <w:sz w:val="20"/>
        </w:rPr>
        <w:t xml:space="preserve">I </w:t>
      </w:r>
      <w:r>
        <w:rPr>
          <w:sz w:val="20"/>
        </w:rPr>
        <w:t xml:space="preserve">must </w:t>
      </w:r>
      <w:r>
        <w:rPr>
          <w:color w:val="111111"/>
          <w:sz w:val="20"/>
        </w:rPr>
        <w:t xml:space="preserve">report </w:t>
      </w:r>
      <w:r>
        <w:rPr>
          <w:sz w:val="20"/>
        </w:rPr>
        <w:t>that</w:t>
      </w:r>
      <w:r>
        <w:rPr>
          <w:spacing w:val="24"/>
          <w:sz w:val="20"/>
        </w:rPr>
        <w:t xml:space="preserve"> </w:t>
      </w:r>
      <w:r>
        <w:rPr>
          <w:color w:val="0F0F0F"/>
          <w:sz w:val="20"/>
        </w:rPr>
        <w:t>fact.</w:t>
      </w:r>
    </w:p>
    <w:p w14:paraId="37404DE1" w14:textId="77777777" w:rsidR="00FA4AA8" w:rsidRDefault="0015611F">
      <w:pPr>
        <w:spacing w:before="166"/>
        <w:ind w:left="654"/>
        <w:jc w:val="both"/>
        <w:rPr>
          <w:sz w:val="20"/>
        </w:rPr>
      </w:pPr>
      <w:r>
        <w:rPr>
          <w:color w:val="242424"/>
          <w:sz w:val="20"/>
        </w:rPr>
        <w:t xml:space="preserve">I </w:t>
      </w:r>
      <w:r>
        <w:rPr>
          <w:color w:val="1A1A1A"/>
          <w:sz w:val="20"/>
        </w:rPr>
        <w:t xml:space="preserve">have </w:t>
      </w:r>
      <w:r>
        <w:rPr>
          <w:sz w:val="20"/>
        </w:rPr>
        <w:t xml:space="preserve">nothing </w:t>
      </w:r>
      <w:r>
        <w:rPr>
          <w:color w:val="161616"/>
          <w:sz w:val="20"/>
        </w:rPr>
        <w:t xml:space="preserve">to </w:t>
      </w:r>
      <w:r>
        <w:rPr>
          <w:sz w:val="20"/>
        </w:rPr>
        <w:t xml:space="preserve">report </w:t>
      </w:r>
      <w:r>
        <w:rPr>
          <w:color w:val="1A1A1A"/>
          <w:sz w:val="20"/>
        </w:rPr>
        <w:t xml:space="preserve">in </w:t>
      </w:r>
      <w:r>
        <w:rPr>
          <w:sz w:val="20"/>
        </w:rPr>
        <w:t>this regard.</w:t>
      </w:r>
    </w:p>
    <w:p w14:paraId="38F872FA" w14:textId="77777777" w:rsidR="00FA4AA8" w:rsidRDefault="0015611F">
      <w:pPr>
        <w:spacing w:before="157"/>
        <w:ind w:left="654"/>
        <w:rPr>
          <w:sz w:val="24"/>
        </w:rPr>
      </w:pPr>
      <w:r>
        <w:rPr>
          <w:w w:val="105"/>
          <w:sz w:val="24"/>
        </w:rPr>
        <w:t xml:space="preserve">Directors’ </w:t>
      </w:r>
      <w:r>
        <w:rPr>
          <w:color w:val="0C0C0C"/>
          <w:w w:val="105"/>
          <w:sz w:val="24"/>
        </w:rPr>
        <w:t xml:space="preserve">Responsibilities </w:t>
      </w:r>
      <w:r>
        <w:rPr>
          <w:color w:val="1A1A1A"/>
          <w:w w:val="105"/>
          <w:sz w:val="24"/>
        </w:rPr>
        <w:t xml:space="preserve">for </w:t>
      </w:r>
      <w:r>
        <w:rPr>
          <w:color w:val="151515"/>
          <w:w w:val="105"/>
          <w:sz w:val="24"/>
        </w:rPr>
        <w:t xml:space="preserve">the Financial </w:t>
      </w:r>
      <w:r>
        <w:rPr>
          <w:color w:val="1A1A1A"/>
          <w:w w:val="105"/>
          <w:sz w:val="24"/>
        </w:rPr>
        <w:t>Report</w:t>
      </w:r>
    </w:p>
    <w:p w14:paraId="2E5FAA2D" w14:textId="77777777" w:rsidR="00FA4AA8" w:rsidRDefault="0015611F">
      <w:pPr>
        <w:spacing w:before="107"/>
        <w:ind w:left="658" w:right="637" w:firstLine="2"/>
        <w:rPr>
          <w:sz w:val="20"/>
        </w:rPr>
      </w:pPr>
      <w:r>
        <w:rPr>
          <w:color w:val="161616"/>
          <w:sz w:val="20"/>
        </w:rPr>
        <w:t>The</w:t>
      </w:r>
      <w:r>
        <w:rPr>
          <w:color w:val="161616"/>
          <w:spacing w:val="-31"/>
          <w:sz w:val="20"/>
        </w:rPr>
        <w:t xml:space="preserve"> </w:t>
      </w:r>
      <w:r>
        <w:rPr>
          <w:color w:val="131313"/>
          <w:sz w:val="20"/>
        </w:rPr>
        <w:t>directors</w:t>
      </w:r>
      <w:r>
        <w:rPr>
          <w:color w:val="131313"/>
          <w:spacing w:val="-28"/>
          <w:sz w:val="20"/>
        </w:rPr>
        <w:t xml:space="preserve"> </w:t>
      </w:r>
      <w:r>
        <w:rPr>
          <w:color w:val="0F0F0F"/>
          <w:sz w:val="20"/>
        </w:rPr>
        <w:t>of</w:t>
      </w:r>
      <w:r>
        <w:rPr>
          <w:color w:val="0F0F0F"/>
          <w:spacing w:val="-30"/>
          <w:sz w:val="20"/>
        </w:rPr>
        <w:t xml:space="preserve"> </w:t>
      </w:r>
      <w:r>
        <w:rPr>
          <w:color w:val="131313"/>
          <w:sz w:val="20"/>
        </w:rPr>
        <w:t>the</w:t>
      </w:r>
      <w:r>
        <w:rPr>
          <w:color w:val="131313"/>
          <w:spacing w:val="-32"/>
          <w:sz w:val="20"/>
        </w:rPr>
        <w:t xml:space="preserve"> </w:t>
      </w:r>
      <w:r>
        <w:rPr>
          <w:sz w:val="20"/>
        </w:rPr>
        <w:t>Company</w:t>
      </w:r>
      <w:r>
        <w:rPr>
          <w:spacing w:val="-25"/>
          <w:sz w:val="20"/>
        </w:rPr>
        <w:t xml:space="preserve"> </w:t>
      </w:r>
      <w:r>
        <w:rPr>
          <w:color w:val="111111"/>
          <w:sz w:val="20"/>
        </w:rPr>
        <w:t>are</w:t>
      </w:r>
      <w:r>
        <w:rPr>
          <w:color w:val="111111"/>
          <w:spacing w:val="-33"/>
          <w:sz w:val="20"/>
        </w:rPr>
        <w:t xml:space="preserve"> </w:t>
      </w:r>
      <w:r>
        <w:rPr>
          <w:sz w:val="20"/>
        </w:rPr>
        <w:t>responsible</w:t>
      </w:r>
      <w:r>
        <w:rPr>
          <w:spacing w:val="-24"/>
          <w:sz w:val="20"/>
        </w:rPr>
        <w:t xml:space="preserve"> </w:t>
      </w:r>
      <w:r>
        <w:rPr>
          <w:color w:val="0F0F0F"/>
          <w:sz w:val="20"/>
        </w:rPr>
        <w:t>for</w:t>
      </w:r>
      <w:r>
        <w:rPr>
          <w:color w:val="0F0F0F"/>
          <w:spacing w:val="-31"/>
          <w:sz w:val="20"/>
        </w:rPr>
        <w:t xml:space="preserve"> </w:t>
      </w:r>
      <w:r>
        <w:rPr>
          <w:color w:val="161616"/>
          <w:sz w:val="20"/>
        </w:rPr>
        <w:t>the</w:t>
      </w:r>
      <w:r>
        <w:rPr>
          <w:color w:val="161616"/>
          <w:spacing w:val="-31"/>
          <w:sz w:val="20"/>
        </w:rPr>
        <w:t xml:space="preserve"> </w:t>
      </w:r>
      <w:r>
        <w:rPr>
          <w:color w:val="0C0C0C"/>
          <w:sz w:val="20"/>
        </w:rPr>
        <w:t>preparation</w:t>
      </w:r>
      <w:r>
        <w:rPr>
          <w:color w:val="0C0C0C"/>
          <w:spacing w:val="-24"/>
          <w:sz w:val="20"/>
        </w:rPr>
        <w:t xml:space="preserve"> </w:t>
      </w:r>
      <w:r>
        <w:rPr>
          <w:color w:val="131313"/>
          <w:sz w:val="20"/>
        </w:rPr>
        <w:t>and</w:t>
      </w:r>
      <w:r>
        <w:rPr>
          <w:color w:val="131313"/>
          <w:spacing w:val="-31"/>
          <w:sz w:val="20"/>
        </w:rPr>
        <w:t xml:space="preserve"> </w:t>
      </w:r>
      <w:r>
        <w:rPr>
          <w:color w:val="161616"/>
          <w:sz w:val="20"/>
        </w:rPr>
        <w:t>fair</w:t>
      </w:r>
      <w:r>
        <w:rPr>
          <w:color w:val="161616"/>
          <w:spacing w:val="-30"/>
          <w:sz w:val="20"/>
        </w:rPr>
        <w:t xml:space="preserve"> </w:t>
      </w:r>
      <w:r>
        <w:rPr>
          <w:sz w:val="20"/>
        </w:rPr>
        <w:t>presentation</w:t>
      </w:r>
      <w:r>
        <w:rPr>
          <w:spacing w:val="-26"/>
          <w:sz w:val="20"/>
        </w:rPr>
        <w:t xml:space="preserve"> </w:t>
      </w:r>
      <w:r>
        <w:rPr>
          <w:sz w:val="20"/>
        </w:rPr>
        <w:t>of</w:t>
      </w:r>
      <w:r>
        <w:rPr>
          <w:spacing w:val="-30"/>
          <w:sz w:val="20"/>
        </w:rPr>
        <w:t xml:space="preserve"> </w:t>
      </w:r>
      <w:r>
        <w:rPr>
          <w:color w:val="0C0C0C"/>
          <w:sz w:val="20"/>
        </w:rPr>
        <w:t>the</w:t>
      </w:r>
      <w:r>
        <w:rPr>
          <w:color w:val="0C0C0C"/>
          <w:spacing w:val="-32"/>
          <w:sz w:val="20"/>
        </w:rPr>
        <w:t xml:space="preserve"> </w:t>
      </w:r>
      <w:r>
        <w:rPr>
          <w:color w:val="0C0C0C"/>
          <w:sz w:val="20"/>
        </w:rPr>
        <w:t xml:space="preserve">financial </w:t>
      </w:r>
      <w:r>
        <w:rPr>
          <w:sz w:val="20"/>
        </w:rPr>
        <w:t>report</w:t>
      </w:r>
      <w:r>
        <w:rPr>
          <w:spacing w:val="-27"/>
          <w:sz w:val="20"/>
        </w:rPr>
        <w:t xml:space="preserve"> </w:t>
      </w:r>
      <w:r>
        <w:rPr>
          <w:color w:val="161616"/>
          <w:sz w:val="20"/>
        </w:rPr>
        <w:t>in</w:t>
      </w:r>
      <w:r>
        <w:rPr>
          <w:color w:val="161616"/>
          <w:spacing w:val="-31"/>
          <w:sz w:val="20"/>
        </w:rPr>
        <w:t xml:space="preserve"> </w:t>
      </w:r>
      <w:r>
        <w:rPr>
          <w:sz w:val="20"/>
        </w:rPr>
        <w:t>accordance</w:t>
      </w:r>
      <w:r>
        <w:rPr>
          <w:spacing w:val="-19"/>
          <w:sz w:val="20"/>
        </w:rPr>
        <w:t xml:space="preserve"> </w:t>
      </w:r>
      <w:r>
        <w:rPr>
          <w:sz w:val="20"/>
        </w:rPr>
        <w:t>with</w:t>
      </w:r>
      <w:r>
        <w:rPr>
          <w:spacing w:val="-28"/>
          <w:sz w:val="20"/>
        </w:rPr>
        <w:t xml:space="preserve"> </w:t>
      </w:r>
      <w:r>
        <w:rPr>
          <w:sz w:val="20"/>
        </w:rPr>
        <w:t>Australian</w:t>
      </w:r>
      <w:r>
        <w:rPr>
          <w:spacing w:val="-20"/>
          <w:sz w:val="20"/>
        </w:rPr>
        <w:t xml:space="preserve"> </w:t>
      </w:r>
      <w:r>
        <w:rPr>
          <w:sz w:val="20"/>
        </w:rPr>
        <w:t>Accounting</w:t>
      </w:r>
      <w:r>
        <w:rPr>
          <w:spacing w:val="-22"/>
          <w:sz w:val="20"/>
        </w:rPr>
        <w:t xml:space="preserve"> </w:t>
      </w:r>
      <w:r>
        <w:rPr>
          <w:sz w:val="20"/>
        </w:rPr>
        <w:t>Standards,</w:t>
      </w:r>
      <w:r>
        <w:rPr>
          <w:spacing w:val="-22"/>
          <w:sz w:val="20"/>
        </w:rPr>
        <w:t xml:space="preserve"> </w:t>
      </w:r>
      <w:r>
        <w:rPr>
          <w:color w:val="0F0F0F"/>
          <w:sz w:val="20"/>
        </w:rPr>
        <w:t>the</w:t>
      </w:r>
      <w:r>
        <w:rPr>
          <w:color w:val="0F0F0F"/>
          <w:spacing w:val="-30"/>
          <w:sz w:val="20"/>
        </w:rPr>
        <w:t xml:space="preserve"> </w:t>
      </w:r>
      <w:r>
        <w:rPr>
          <w:color w:val="161616"/>
          <w:sz w:val="20"/>
        </w:rPr>
        <w:t>PF&amp;A</w:t>
      </w:r>
      <w:r>
        <w:rPr>
          <w:color w:val="161616"/>
          <w:spacing w:val="-22"/>
          <w:sz w:val="20"/>
        </w:rPr>
        <w:t xml:space="preserve"> </w:t>
      </w:r>
      <w:r>
        <w:rPr>
          <w:color w:val="0E0E0E"/>
          <w:sz w:val="20"/>
        </w:rPr>
        <w:t>Act</w:t>
      </w:r>
      <w:r>
        <w:rPr>
          <w:color w:val="0E0E0E"/>
          <w:spacing w:val="-23"/>
          <w:sz w:val="20"/>
        </w:rPr>
        <w:t xml:space="preserve"> </w:t>
      </w:r>
      <w:r>
        <w:rPr>
          <w:color w:val="0C0C0C"/>
          <w:sz w:val="20"/>
        </w:rPr>
        <w:t>and</w:t>
      </w:r>
      <w:r>
        <w:rPr>
          <w:color w:val="0C0C0C"/>
          <w:spacing w:val="-30"/>
          <w:sz w:val="20"/>
        </w:rPr>
        <w:t xml:space="preserve"> </w:t>
      </w:r>
      <w:r>
        <w:rPr>
          <w:sz w:val="20"/>
        </w:rPr>
        <w:t>the</w:t>
      </w:r>
      <w:r>
        <w:rPr>
          <w:spacing w:val="-31"/>
          <w:sz w:val="20"/>
        </w:rPr>
        <w:t xml:space="preserve"> </w:t>
      </w:r>
      <w:r>
        <w:rPr>
          <w:i/>
          <w:sz w:val="20"/>
        </w:rPr>
        <w:t>Corporations</w:t>
      </w:r>
      <w:r>
        <w:rPr>
          <w:i/>
          <w:spacing w:val="-19"/>
          <w:sz w:val="20"/>
        </w:rPr>
        <w:t xml:space="preserve"> </w:t>
      </w:r>
      <w:r>
        <w:rPr>
          <w:i/>
          <w:color w:val="0C0C0C"/>
          <w:sz w:val="20"/>
        </w:rPr>
        <w:t xml:space="preserve">Act </w:t>
      </w:r>
      <w:r>
        <w:rPr>
          <w:i/>
          <w:sz w:val="20"/>
        </w:rPr>
        <w:t>2001</w:t>
      </w:r>
      <w:r>
        <w:rPr>
          <w:i/>
          <w:spacing w:val="-26"/>
          <w:sz w:val="20"/>
        </w:rPr>
        <w:t xml:space="preserve"> </w:t>
      </w:r>
      <w:r>
        <w:rPr>
          <w:sz w:val="20"/>
        </w:rPr>
        <w:t>and</w:t>
      </w:r>
      <w:r>
        <w:rPr>
          <w:spacing w:val="-26"/>
          <w:sz w:val="20"/>
        </w:rPr>
        <w:t xml:space="preserve"> </w:t>
      </w:r>
      <w:r>
        <w:rPr>
          <w:color w:val="0A0A0A"/>
          <w:sz w:val="20"/>
        </w:rPr>
        <w:t>for</w:t>
      </w:r>
      <w:r>
        <w:rPr>
          <w:color w:val="0A0A0A"/>
          <w:spacing w:val="-25"/>
          <w:sz w:val="20"/>
        </w:rPr>
        <w:t xml:space="preserve"> </w:t>
      </w:r>
      <w:r>
        <w:rPr>
          <w:color w:val="181818"/>
          <w:sz w:val="20"/>
        </w:rPr>
        <w:t>such</w:t>
      </w:r>
      <w:r>
        <w:rPr>
          <w:color w:val="181818"/>
          <w:spacing w:val="-24"/>
          <w:sz w:val="20"/>
        </w:rPr>
        <w:t xml:space="preserve"> </w:t>
      </w:r>
      <w:r>
        <w:rPr>
          <w:sz w:val="20"/>
        </w:rPr>
        <w:t>internal</w:t>
      </w:r>
      <w:r>
        <w:rPr>
          <w:spacing w:val="-22"/>
          <w:sz w:val="20"/>
        </w:rPr>
        <w:t xml:space="preserve"> </w:t>
      </w:r>
      <w:r>
        <w:rPr>
          <w:sz w:val="20"/>
        </w:rPr>
        <w:t>control</w:t>
      </w:r>
      <w:r>
        <w:rPr>
          <w:spacing w:val="-23"/>
          <w:sz w:val="20"/>
        </w:rPr>
        <w:t xml:space="preserve"> </w:t>
      </w:r>
      <w:r>
        <w:rPr>
          <w:color w:val="111111"/>
          <w:sz w:val="20"/>
        </w:rPr>
        <w:t>as</w:t>
      </w:r>
      <w:r>
        <w:rPr>
          <w:color w:val="111111"/>
          <w:spacing w:val="-24"/>
          <w:sz w:val="20"/>
        </w:rPr>
        <w:t xml:space="preserve"> </w:t>
      </w:r>
      <w:r>
        <w:rPr>
          <w:color w:val="131313"/>
          <w:sz w:val="20"/>
        </w:rPr>
        <w:t>the</w:t>
      </w:r>
      <w:r>
        <w:rPr>
          <w:color w:val="131313"/>
          <w:spacing w:val="-24"/>
          <w:sz w:val="20"/>
        </w:rPr>
        <w:t xml:space="preserve"> </w:t>
      </w:r>
      <w:r>
        <w:rPr>
          <w:sz w:val="20"/>
        </w:rPr>
        <w:t>directors</w:t>
      </w:r>
      <w:r>
        <w:rPr>
          <w:spacing w:val="-22"/>
          <w:sz w:val="20"/>
        </w:rPr>
        <w:t xml:space="preserve"> </w:t>
      </w:r>
      <w:r>
        <w:rPr>
          <w:color w:val="0F0F0F"/>
          <w:sz w:val="20"/>
        </w:rPr>
        <w:t>determine</w:t>
      </w:r>
      <w:r>
        <w:rPr>
          <w:color w:val="0F0F0F"/>
          <w:spacing w:val="-19"/>
          <w:sz w:val="20"/>
        </w:rPr>
        <w:t xml:space="preserve"> </w:t>
      </w:r>
      <w:r>
        <w:rPr>
          <w:color w:val="161616"/>
          <w:sz w:val="20"/>
        </w:rPr>
        <w:t>is</w:t>
      </w:r>
      <w:r>
        <w:rPr>
          <w:color w:val="161616"/>
          <w:spacing w:val="-26"/>
          <w:sz w:val="20"/>
        </w:rPr>
        <w:t xml:space="preserve"> </w:t>
      </w:r>
      <w:r>
        <w:rPr>
          <w:sz w:val="20"/>
        </w:rPr>
        <w:t>necessary</w:t>
      </w:r>
      <w:r>
        <w:rPr>
          <w:spacing w:val="-16"/>
          <w:sz w:val="20"/>
        </w:rPr>
        <w:t xml:space="preserve"> </w:t>
      </w:r>
      <w:r>
        <w:rPr>
          <w:color w:val="212121"/>
          <w:sz w:val="20"/>
        </w:rPr>
        <w:t>to</w:t>
      </w:r>
      <w:r>
        <w:rPr>
          <w:color w:val="212121"/>
          <w:spacing w:val="-28"/>
          <w:sz w:val="20"/>
        </w:rPr>
        <w:t xml:space="preserve"> </w:t>
      </w:r>
      <w:r>
        <w:rPr>
          <w:color w:val="0E0E0E"/>
          <w:sz w:val="20"/>
        </w:rPr>
        <w:t>enable</w:t>
      </w:r>
      <w:r>
        <w:rPr>
          <w:color w:val="0E0E0E"/>
          <w:spacing w:val="-25"/>
          <w:sz w:val="20"/>
        </w:rPr>
        <w:t xml:space="preserve"> </w:t>
      </w:r>
      <w:r>
        <w:rPr>
          <w:sz w:val="20"/>
        </w:rPr>
        <w:t>the</w:t>
      </w:r>
      <w:r>
        <w:rPr>
          <w:spacing w:val="-26"/>
          <w:sz w:val="20"/>
        </w:rPr>
        <w:t xml:space="preserve"> </w:t>
      </w:r>
      <w:r>
        <w:rPr>
          <w:sz w:val="20"/>
        </w:rPr>
        <w:t xml:space="preserve">preparation </w:t>
      </w:r>
      <w:r>
        <w:rPr>
          <w:color w:val="111111"/>
          <w:sz w:val="20"/>
        </w:rPr>
        <w:t>and</w:t>
      </w:r>
      <w:r>
        <w:rPr>
          <w:color w:val="111111"/>
          <w:spacing w:val="-23"/>
          <w:sz w:val="20"/>
        </w:rPr>
        <w:t xml:space="preserve"> </w:t>
      </w:r>
      <w:r>
        <w:rPr>
          <w:color w:val="0F0F0F"/>
          <w:sz w:val="20"/>
        </w:rPr>
        <w:t>fair</w:t>
      </w:r>
      <w:r>
        <w:rPr>
          <w:color w:val="0F0F0F"/>
          <w:spacing w:val="-25"/>
          <w:sz w:val="20"/>
        </w:rPr>
        <w:t xml:space="preserve"> </w:t>
      </w:r>
      <w:r>
        <w:rPr>
          <w:sz w:val="20"/>
        </w:rPr>
        <w:t>presentation</w:t>
      </w:r>
      <w:r>
        <w:rPr>
          <w:spacing w:val="-11"/>
          <w:sz w:val="20"/>
        </w:rPr>
        <w:t xml:space="preserve"> </w:t>
      </w:r>
      <w:r>
        <w:rPr>
          <w:color w:val="1A1A1A"/>
          <w:sz w:val="20"/>
        </w:rPr>
        <w:t>of</w:t>
      </w:r>
      <w:r>
        <w:rPr>
          <w:color w:val="1A1A1A"/>
          <w:spacing w:val="-22"/>
          <w:sz w:val="20"/>
        </w:rPr>
        <w:t xml:space="preserve"> </w:t>
      </w:r>
      <w:r>
        <w:rPr>
          <w:color w:val="0C0C0C"/>
          <w:sz w:val="20"/>
        </w:rPr>
        <w:t>the</w:t>
      </w:r>
      <w:r>
        <w:rPr>
          <w:color w:val="0C0C0C"/>
          <w:spacing w:val="-19"/>
          <w:sz w:val="20"/>
        </w:rPr>
        <w:t xml:space="preserve"> </w:t>
      </w:r>
      <w:r>
        <w:rPr>
          <w:color w:val="111111"/>
          <w:sz w:val="20"/>
        </w:rPr>
        <w:t>financial</w:t>
      </w:r>
      <w:r>
        <w:rPr>
          <w:color w:val="111111"/>
          <w:spacing w:val="-18"/>
          <w:sz w:val="20"/>
        </w:rPr>
        <w:t xml:space="preserve"> </w:t>
      </w:r>
      <w:r>
        <w:rPr>
          <w:color w:val="0F0F0F"/>
          <w:sz w:val="20"/>
        </w:rPr>
        <w:t>report</w:t>
      </w:r>
      <w:r>
        <w:rPr>
          <w:color w:val="0F0F0F"/>
          <w:spacing w:val="-18"/>
          <w:sz w:val="20"/>
        </w:rPr>
        <w:t xml:space="preserve"> </w:t>
      </w:r>
      <w:r>
        <w:rPr>
          <w:color w:val="0C0C0C"/>
          <w:sz w:val="20"/>
        </w:rPr>
        <w:t>that</w:t>
      </w:r>
      <w:r>
        <w:rPr>
          <w:color w:val="0C0C0C"/>
          <w:spacing w:val="-16"/>
          <w:sz w:val="20"/>
        </w:rPr>
        <w:t xml:space="preserve"> </w:t>
      </w:r>
      <w:r>
        <w:rPr>
          <w:color w:val="131313"/>
          <w:sz w:val="20"/>
        </w:rPr>
        <w:t>is</w:t>
      </w:r>
      <w:r>
        <w:rPr>
          <w:color w:val="131313"/>
          <w:spacing w:val="-24"/>
          <w:sz w:val="20"/>
        </w:rPr>
        <w:t xml:space="preserve"> </w:t>
      </w:r>
      <w:r>
        <w:rPr>
          <w:sz w:val="20"/>
        </w:rPr>
        <w:t>free</w:t>
      </w:r>
      <w:r>
        <w:rPr>
          <w:spacing w:val="-23"/>
          <w:sz w:val="20"/>
        </w:rPr>
        <w:t xml:space="preserve"> </w:t>
      </w:r>
      <w:r>
        <w:rPr>
          <w:color w:val="0C0C0C"/>
          <w:sz w:val="20"/>
        </w:rPr>
        <w:t>from</w:t>
      </w:r>
      <w:r>
        <w:rPr>
          <w:color w:val="0C0C0C"/>
          <w:spacing w:val="-23"/>
          <w:sz w:val="20"/>
        </w:rPr>
        <w:t xml:space="preserve"> </w:t>
      </w:r>
      <w:r>
        <w:rPr>
          <w:color w:val="0E0E0E"/>
          <w:sz w:val="20"/>
        </w:rPr>
        <w:t>material</w:t>
      </w:r>
      <w:r>
        <w:rPr>
          <w:color w:val="0E0E0E"/>
          <w:spacing w:val="-21"/>
          <w:sz w:val="20"/>
        </w:rPr>
        <w:t xml:space="preserve"> </w:t>
      </w:r>
      <w:r>
        <w:rPr>
          <w:sz w:val="20"/>
        </w:rPr>
        <w:t>misstatement,</w:t>
      </w:r>
      <w:r>
        <w:rPr>
          <w:spacing w:val="-7"/>
          <w:sz w:val="20"/>
        </w:rPr>
        <w:t xml:space="preserve"> </w:t>
      </w:r>
      <w:r>
        <w:rPr>
          <w:sz w:val="20"/>
        </w:rPr>
        <w:t>whether</w:t>
      </w:r>
      <w:r>
        <w:rPr>
          <w:spacing w:val="-16"/>
          <w:sz w:val="20"/>
        </w:rPr>
        <w:t xml:space="preserve"> </w:t>
      </w:r>
      <w:r>
        <w:rPr>
          <w:color w:val="151515"/>
          <w:sz w:val="20"/>
        </w:rPr>
        <w:t>due</w:t>
      </w:r>
      <w:r>
        <w:rPr>
          <w:color w:val="151515"/>
          <w:spacing w:val="-20"/>
          <w:sz w:val="20"/>
        </w:rPr>
        <w:t xml:space="preserve"> </w:t>
      </w:r>
      <w:r>
        <w:rPr>
          <w:color w:val="161616"/>
          <w:sz w:val="20"/>
        </w:rPr>
        <w:t xml:space="preserve">to </w:t>
      </w:r>
      <w:r>
        <w:rPr>
          <w:color w:val="111111"/>
          <w:sz w:val="20"/>
        </w:rPr>
        <w:t xml:space="preserve">fraud </w:t>
      </w:r>
      <w:r>
        <w:rPr>
          <w:color w:val="1D1D1D"/>
          <w:sz w:val="20"/>
        </w:rPr>
        <w:t>or</w:t>
      </w:r>
      <w:r>
        <w:rPr>
          <w:color w:val="1D1D1D"/>
          <w:spacing w:val="4"/>
          <w:sz w:val="20"/>
        </w:rPr>
        <w:t xml:space="preserve"> </w:t>
      </w:r>
      <w:r>
        <w:rPr>
          <w:color w:val="111111"/>
          <w:sz w:val="20"/>
        </w:rPr>
        <w:t>error.</w:t>
      </w:r>
    </w:p>
    <w:p w14:paraId="27105385" w14:textId="77777777" w:rsidR="00FA4AA8" w:rsidRDefault="0015611F">
      <w:pPr>
        <w:spacing w:before="168"/>
        <w:ind w:left="657" w:right="637" w:firstLine="3"/>
        <w:rPr>
          <w:sz w:val="20"/>
        </w:rPr>
      </w:pPr>
      <w:r>
        <w:rPr>
          <w:sz w:val="20"/>
        </w:rPr>
        <w:t>In</w:t>
      </w:r>
      <w:r>
        <w:rPr>
          <w:spacing w:val="-31"/>
          <w:sz w:val="20"/>
        </w:rPr>
        <w:t xml:space="preserve"> </w:t>
      </w:r>
      <w:r>
        <w:rPr>
          <w:sz w:val="20"/>
        </w:rPr>
        <w:t>preparing</w:t>
      </w:r>
      <w:r>
        <w:rPr>
          <w:spacing w:val="-22"/>
          <w:sz w:val="20"/>
        </w:rPr>
        <w:t xml:space="preserve"> </w:t>
      </w:r>
      <w:r>
        <w:rPr>
          <w:color w:val="0A0A0A"/>
          <w:sz w:val="20"/>
        </w:rPr>
        <w:t>the</w:t>
      </w:r>
      <w:r>
        <w:rPr>
          <w:color w:val="0A0A0A"/>
          <w:spacing w:val="-32"/>
          <w:sz w:val="20"/>
        </w:rPr>
        <w:t xml:space="preserve"> </w:t>
      </w:r>
      <w:r>
        <w:rPr>
          <w:sz w:val="20"/>
        </w:rPr>
        <w:t>financial</w:t>
      </w:r>
      <w:r>
        <w:rPr>
          <w:spacing w:val="-19"/>
          <w:sz w:val="20"/>
        </w:rPr>
        <w:t xml:space="preserve"> </w:t>
      </w:r>
      <w:r>
        <w:rPr>
          <w:sz w:val="20"/>
        </w:rPr>
        <w:t>report,</w:t>
      </w:r>
      <w:r>
        <w:rPr>
          <w:spacing w:val="-22"/>
          <w:sz w:val="20"/>
        </w:rPr>
        <w:t xml:space="preserve"> </w:t>
      </w:r>
      <w:r>
        <w:rPr>
          <w:color w:val="161616"/>
          <w:sz w:val="20"/>
        </w:rPr>
        <w:t>the</w:t>
      </w:r>
      <w:r>
        <w:rPr>
          <w:color w:val="161616"/>
          <w:spacing w:val="-26"/>
          <w:sz w:val="20"/>
        </w:rPr>
        <w:t xml:space="preserve"> </w:t>
      </w:r>
      <w:r>
        <w:rPr>
          <w:color w:val="0C0C0C"/>
          <w:sz w:val="20"/>
        </w:rPr>
        <w:t>directors</w:t>
      </w:r>
      <w:r>
        <w:rPr>
          <w:color w:val="0C0C0C"/>
          <w:spacing w:val="-19"/>
          <w:sz w:val="20"/>
        </w:rPr>
        <w:t xml:space="preserve"> </w:t>
      </w:r>
      <w:r>
        <w:rPr>
          <w:sz w:val="20"/>
        </w:rPr>
        <w:t>are</w:t>
      </w:r>
      <w:r>
        <w:rPr>
          <w:spacing w:val="-30"/>
          <w:sz w:val="20"/>
        </w:rPr>
        <w:t xml:space="preserve"> </w:t>
      </w:r>
      <w:r>
        <w:rPr>
          <w:sz w:val="20"/>
        </w:rPr>
        <w:t>responsible</w:t>
      </w:r>
      <w:r>
        <w:rPr>
          <w:spacing w:val="-18"/>
          <w:sz w:val="20"/>
        </w:rPr>
        <w:t xml:space="preserve"> </w:t>
      </w:r>
      <w:r>
        <w:rPr>
          <w:color w:val="0E0E0E"/>
          <w:sz w:val="20"/>
        </w:rPr>
        <w:t>for</w:t>
      </w:r>
      <w:r>
        <w:rPr>
          <w:color w:val="0E0E0E"/>
          <w:spacing w:val="-21"/>
          <w:sz w:val="20"/>
        </w:rPr>
        <w:t xml:space="preserve"> </w:t>
      </w:r>
      <w:r>
        <w:rPr>
          <w:sz w:val="20"/>
        </w:rPr>
        <w:t>assessing</w:t>
      </w:r>
      <w:r>
        <w:rPr>
          <w:spacing w:val="-20"/>
          <w:sz w:val="20"/>
        </w:rPr>
        <w:t xml:space="preserve"> </w:t>
      </w:r>
      <w:r>
        <w:rPr>
          <w:color w:val="131313"/>
          <w:sz w:val="20"/>
        </w:rPr>
        <w:t>the</w:t>
      </w:r>
      <w:r>
        <w:rPr>
          <w:color w:val="131313"/>
          <w:spacing w:val="-28"/>
          <w:sz w:val="20"/>
        </w:rPr>
        <w:t xml:space="preserve"> </w:t>
      </w:r>
      <w:r>
        <w:rPr>
          <w:sz w:val="20"/>
        </w:rPr>
        <w:t>Company's</w:t>
      </w:r>
      <w:r>
        <w:rPr>
          <w:spacing w:val="-21"/>
          <w:sz w:val="20"/>
        </w:rPr>
        <w:t xml:space="preserve"> </w:t>
      </w:r>
      <w:r>
        <w:rPr>
          <w:sz w:val="20"/>
        </w:rPr>
        <w:t>ability</w:t>
      </w:r>
      <w:r>
        <w:rPr>
          <w:spacing w:val="-20"/>
          <w:sz w:val="20"/>
        </w:rPr>
        <w:t xml:space="preserve"> </w:t>
      </w:r>
      <w:r>
        <w:rPr>
          <w:color w:val="161616"/>
          <w:sz w:val="20"/>
        </w:rPr>
        <w:t xml:space="preserve">to </w:t>
      </w:r>
      <w:r>
        <w:rPr>
          <w:sz w:val="20"/>
        </w:rPr>
        <w:t>continue</w:t>
      </w:r>
      <w:r>
        <w:rPr>
          <w:spacing w:val="-27"/>
          <w:sz w:val="20"/>
        </w:rPr>
        <w:t xml:space="preserve"> </w:t>
      </w:r>
      <w:r>
        <w:rPr>
          <w:color w:val="131313"/>
          <w:sz w:val="20"/>
        </w:rPr>
        <w:t>as</w:t>
      </w:r>
      <w:r>
        <w:rPr>
          <w:color w:val="131313"/>
          <w:spacing w:val="-31"/>
          <w:sz w:val="20"/>
        </w:rPr>
        <w:t xml:space="preserve"> </w:t>
      </w:r>
      <w:r>
        <w:rPr>
          <w:color w:val="1D1D1D"/>
          <w:sz w:val="20"/>
        </w:rPr>
        <w:t>a</w:t>
      </w:r>
      <w:r>
        <w:rPr>
          <w:color w:val="1D1D1D"/>
          <w:spacing w:val="-33"/>
          <w:sz w:val="20"/>
        </w:rPr>
        <w:t xml:space="preserve"> </w:t>
      </w:r>
      <w:r>
        <w:rPr>
          <w:sz w:val="20"/>
        </w:rPr>
        <w:t>going</w:t>
      </w:r>
      <w:r>
        <w:rPr>
          <w:spacing w:val="-29"/>
          <w:sz w:val="20"/>
        </w:rPr>
        <w:t xml:space="preserve"> </w:t>
      </w:r>
      <w:r>
        <w:rPr>
          <w:sz w:val="20"/>
        </w:rPr>
        <w:t>concern,</w:t>
      </w:r>
      <w:r>
        <w:rPr>
          <w:spacing w:val="-24"/>
          <w:sz w:val="20"/>
        </w:rPr>
        <w:t xml:space="preserve"> </w:t>
      </w:r>
      <w:r>
        <w:rPr>
          <w:color w:val="0C0C0C"/>
          <w:sz w:val="20"/>
        </w:rPr>
        <w:t>disclosing,</w:t>
      </w:r>
      <w:r>
        <w:rPr>
          <w:color w:val="0C0C0C"/>
          <w:spacing w:val="-24"/>
          <w:sz w:val="20"/>
        </w:rPr>
        <w:t xml:space="preserve"> </w:t>
      </w:r>
      <w:r>
        <w:rPr>
          <w:sz w:val="20"/>
        </w:rPr>
        <w:t>as</w:t>
      </w:r>
      <w:r>
        <w:rPr>
          <w:spacing w:val="-28"/>
          <w:sz w:val="20"/>
        </w:rPr>
        <w:t xml:space="preserve"> </w:t>
      </w:r>
      <w:r>
        <w:rPr>
          <w:sz w:val="20"/>
        </w:rPr>
        <w:t>applicable,</w:t>
      </w:r>
      <w:r>
        <w:rPr>
          <w:spacing w:val="-22"/>
          <w:sz w:val="20"/>
        </w:rPr>
        <w:t xml:space="preserve"> </w:t>
      </w:r>
      <w:r>
        <w:rPr>
          <w:color w:val="0F0F0F"/>
          <w:sz w:val="20"/>
        </w:rPr>
        <w:t>matters</w:t>
      </w:r>
      <w:r>
        <w:rPr>
          <w:color w:val="0F0F0F"/>
          <w:spacing w:val="-24"/>
          <w:sz w:val="20"/>
        </w:rPr>
        <w:t xml:space="preserve"> </w:t>
      </w:r>
      <w:r>
        <w:rPr>
          <w:sz w:val="20"/>
        </w:rPr>
        <w:t>related</w:t>
      </w:r>
      <w:r>
        <w:rPr>
          <w:spacing w:val="-30"/>
          <w:sz w:val="20"/>
        </w:rPr>
        <w:t xml:space="preserve"> </w:t>
      </w:r>
      <w:r>
        <w:rPr>
          <w:color w:val="0F0F0F"/>
          <w:sz w:val="20"/>
        </w:rPr>
        <w:t>to</w:t>
      </w:r>
      <w:r>
        <w:rPr>
          <w:color w:val="0F0F0F"/>
          <w:spacing w:val="-32"/>
          <w:sz w:val="20"/>
        </w:rPr>
        <w:t xml:space="preserve"> </w:t>
      </w:r>
      <w:r>
        <w:rPr>
          <w:color w:val="0E0E0E"/>
          <w:sz w:val="20"/>
        </w:rPr>
        <w:t>going</w:t>
      </w:r>
      <w:r>
        <w:rPr>
          <w:color w:val="0E0E0E"/>
          <w:spacing w:val="-29"/>
          <w:sz w:val="20"/>
        </w:rPr>
        <w:t xml:space="preserve"> </w:t>
      </w:r>
      <w:r>
        <w:rPr>
          <w:sz w:val="20"/>
        </w:rPr>
        <w:t>concern</w:t>
      </w:r>
      <w:r>
        <w:rPr>
          <w:spacing w:val="-23"/>
          <w:sz w:val="20"/>
        </w:rPr>
        <w:t xml:space="preserve"> </w:t>
      </w:r>
      <w:r>
        <w:rPr>
          <w:sz w:val="20"/>
        </w:rPr>
        <w:t>and</w:t>
      </w:r>
      <w:r>
        <w:rPr>
          <w:spacing w:val="-31"/>
          <w:sz w:val="20"/>
        </w:rPr>
        <w:t xml:space="preserve"> </w:t>
      </w:r>
      <w:r>
        <w:rPr>
          <w:sz w:val="20"/>
        </w:rPr>
        <w:t>using</w:t>
      </w:r>
      <w:r>
        <w:rPr>
          <w:spacing w:val="-31"/>
          <w:sz w:val="20"/>
        </w:rPr>
        <w:t xml:space="preserve"> </w:t>
      </w:r>
      <w:r>
        <w:rPr>
          <w:sz w:val="20"/>
        </w:rPr>
        <w:t>the going</w:t>
      </w:r>
      <w:r>
        <w:rPr>
          <w:spacing w:val="-20"/>
          <w:sz w:val="20"/>
        </w:rPr>
        <w:t xml:space="preserve"> </w:t>
      </w:r>
      <w:r>
        <w:rPr>
          <w:sz w:val="20"/>
        </w:rPr>
        <w:t>concern</w:t>
      </w:r>
      <w:r>
        <w:rPr>
          <w:spacing w:val="-20"/>
          <w:sz w:val="20"/>
        </w:rPr>
        <w:t xml:space="preserve"> </w:t>
      </w:r>
      <w:r>
        <w:rPr>
          <w:sz w:val="20"/>
        </w:rPr>
        <w:t>basis</w:t>
      </w:r>
      <w:r>
        <w:rPr>
          <w:spacing w:val="-20"/>
          <w:sz w:val="20"/>
        </w:rPr>
        <w:t xml:space="preserve"> </w:t>
      </w:r>
      <w:r>
        <w:rPr>
          <w:sz w:val="20"/>
        </w:rPr>
        <w:t>of</w:t>
      </w:r>
      <w:r>
        <w:rPr>
          <w:spacing w:val="-20"/>
          <w:sz w:val="20"/>
        </w:rPr>
        <w:t xml:space="preserve"> </w:t>
      </w:r>
      <w:r>
        <w:rPr>
          <w:sz w:val="20"/>
        </w:rPr>
        <w:t>accounting</w:t>
      </w:r>
      <w:r>
        <w:rPr>
          <w:spacing w:val="-8"/>
          <w:sz w:val="20"/>
        </w:rPr>
        <w:t xml:space="preserve"> </w:t>
      </w:r>
      <w:r>
        <w:rPr>
          <w:sz w:val="20"/>
        </w:rPr>
        <w:t>unless</w:t>
      </w:r>
      <w:r>
        <w:rPr>
          <w:spacing w:val="-23"/>
          <w:sz w:val="20"/>
        </w:rPr>
        <w:t xml:space="preserve"> </w:t>
      </w:r>
      <w:r>
        <w:rPr>
          <w:sz w:val="20"/>
        </w:rPr>
        <w:t>the</w:t>
      </w:r>
      <w:r>
        <w:rPr>
          <w:spacing w:val="-22"/>
          <w:sz w:val="20"/>
        </w:rPr>
        <w:t xml:space="preserve"> </w:t>
      </w:r>
      <w:r>
        <w:rPr>
          <w:sz w:val="20"/>
        </w:rPr>
        <w:t>directors</w:t>
      </w:r>
      <w:r>
        <w:rPr>
          <w:spacing w:val="-19"/>
          <w:sz w:val="20"/>
        </w:rPr>
        <w:t xml:space="preserve"> </w:t>
      </w:r>
      <w:r>
        <w:rPr>
          <w:sz w:val="20"/>
        </w:rPr>
        <w:t>either</w:t>
      </w:r>
      <w:r>
        <w:rPr>
          <w:spacing w:val="-22"/>
          <w:sz w:val="20"/>
        </w:rPr>
        <w:t xml:space="preserve"> </w:t>
      </w:r>
      <w:r>
        <w:rPr>
          <w:sz w:val="20"/>
        </w:rPr>
        <w:t>intend</w:t>
      </w:r>
      <w:r>
        <w:rPr>
          <w:spacing w:val="-23"/>
          <w:sz w:val="20"/>
        </w:rPr>
        <w:t xml:space="preserve"> </w:t>
      </w:r>
      <w:r>
        <w:rPr>
          <w:color w:val="0A0A0A"/>
          <w:sz w:val="20"/>
        </w:rPr>
        <w:t>to</w:t>
      </w:r>
      <w:r>
        <w:rPr>
          <w:color w:val="0A0A0A"/>
          <w:spacing w:val="-23"/>
          <w:sz w:val="20"/>
        </w:rPr>
        <w:t xml:space="preserve"> </w:t>
      </w:r>
      <w:r>
        <w:rPr>
          <w:sz w:val="20"/>
        </w:rPr>
        <w:t>liquidate</w:t>
      </w:r>
      <w:r>
        <w:rPr>
          <w:spacing w:val="-22"/>
          <w:sz w:val="20"/>
        </w:rPr>
        <w:t xml:space="preserve"> </w:t>
      </w:r>
      <w:r>
        <w:rPr>
          <w:color w:val="111111"/>
          <w:sz w:val="20"/>
        </w:rPr>
        <w:t>the</w:t>
      </w:r>
      <w:r>
        <w:rPr>
          <w:color w:val="111111"/>
          <w:spacing w:val="-20"/>
          <w:sz w:val="20"/>
        </w:rPr>
        <w:t xml:space="preserve"> </w:t>
      </w:r>
      <w:r>
        <w:rPr>
          <w:sz w:val="20"/>
        </w:rPr>
        <w:t>Company</w:t>
      </w:r>
      <w:r>
        <w:rPr>
          <w:spacing w:val="-14"/>
          <w:sz w:val="20"/>
        </w:rPr>
        <w:t xml:space="preserve"> </w:t>
      </w:r>
      <w:r>
        <w:rPr>
          <w:color w:val="111111"/>
          <w:sz w:val="20"/>
        </w:rPr>
        <w:t>or</w:t>
      </w:r>
      <w:r>
        <w:rPr>
          <w:color w:val="111111"/>
          <w:spacing w:val="-23"/>
          <w:sz w:val="20"/>
        </w:rPr>
        <w:t xml:space="preserve"> </w:t>
      </w:r>
      <w:r>
        <w:rPr>
          <w:sz w:val="20"/>
        </w:rPr>
        <w:t xml:space="preserve">to cease operations, </w:t>
      </w:r>
      <w:r>
        <w:rPr>
          <w:color w:val="0F0F0F"/>
          <w:sz w:val="20"/>
        </w:rPr>
        <w:t xml:space="preserve">or </w:t>
      </w:r>
      <w:r>
        <w:rPr>
          <w:sz w:val="20"/>
        </w:rPr>
        <w:t xml:space="preserve">have </w:t>
      </w:r>
      <w:r>
        <w:rPr>
          <w:color w:val="0E0E0E"/>
          <w:sz w:val="20"/>
        </w:rPr>
        <w:t xml:space="preserve">no </w:t>
      </w:r>
      <w:r>
        <w:rPr>
          <w:sz w:val="20"/>
        </w:rPr>
        <w:t xml:space="preserve">realistic alternative but to </w:t>
      </w:r>
      <w:r>
        <w:rPr>
          <w:color w:val="0F0F0F"/>
          <w:sz w:val="20"/>
        </w:rPr>
        <w:t>do</w:t>
      </w:r>
      <w:r>
        <w:rPr>
          <w:color w:val="0F0F0F"/>
          <w:spacing w:val="4"/>
          <w:sz w:val="20"/>
        </w:rPr>
        <w:t xml:space="preserve"> </w:t>
      </w:r>
      <w:r>
        <w:rPr>
          <w:color w:val="0A0A0A"/>
          <w:sz w:val="20"/>
        </w:rPr>
        <w:t>so.</w:t>
      </w:r>
    </w:p>
    <w:p w14:paraId="3860E09F" w14:textId="77777777" w:rsidR="00FA4AA8" w:rsidRDefault="0015611F">
      <w:pPr>
        <w:spacing w:before="149"/>
        <w:ind w:left="665"/>
        <w:rPr>
          <w:sz w:val="25"/>
        </w:rPr>
      </w:pPr>
      <w:r>
        <w:rPr>
          <w:sz w:val="25"/>
        </w:rPr>
        <w:t xml:space="preserve">Auditor’s </w:t>
      </w:r>
      <w:r>
        <w:rPr>
          <w:color w:val="0F0F0F"/>
          <w:sz w:val="25"/>
        </w:rPr>
        <w:t xml:space="preserve">Responsibilities </w:t>
      </w:r>
      <w:r>
        <w:rPr>
          <w:sz w:val="25"/>
        </w:rPr>
        <w:t xml:space="preserve">for </w:t>
      </w:r>
      <w:r>
        <w:rPr>
          <w:color w:val="151515"/>
          <w:sz w:val="25"/>
        </w:rPr>
        <w:t xml:space="preserve">the </w:t>
      </w:r>
      <w:r>
        <w:rPr>
          <w:color w:val="131313"/>
          <w:sz w:val="25"/>
        </w:rPr>
        <w:t xml:space="preserve">Audit </w:t>
      </w:r>
      <w:r>
        <w:rPr>
          <w:color w:val="111111"/>
          <w:sz w:val="25"/>
        </w:rPr>
        <w:t xml:space="preserve">of </w:t>
      </w:r>
      <w:r>
        <w:rPr>
          <w:color w:val="131313"/>
          <w:sz w:val="25"/>
        </w:rPr>
        <w:t xml:space="preserve">the Financial </w:t>
      </w:r>
      <w:r>
        <w:rPr>
          <w:color w:val="151515"/>
          <w:sz w:val="25"/>
        </w:rPr>
        <w:t>Report</w:t>
      </w:r>
    </w:p>
    <w:p w14:paraId="7795FC4A" w14:textId="77777777" w:rsidR="00FA4AA8" w:rsidRDefault="0015611F">
      <w:pPr>
        <w:spacing w:before="96"/>
        <w:ind w:left="657"/>
        <w:rPr>
          <w:sz w:val="21"/>
        </w:rPr>
      </w:pPr>
      <w:r>
        <w:rPr>
          <w:color w:val="0F0F0F"/>
          <w:sz w:val="21"/>
        </w:rPr>
        <w:t xml:space="preserve">My </w:t>
      </w:r>
      <w:r>
        <w:rPr>
          <w:sz w:val="21"/>
        </w:rPr>
        <w:t xml:space="preserve">objectives are </w:t>
      </w:r>
      <w:r>
        <w:rPr>
          <w:color w:val="0F0F0F"/>
          <w:sz w:val="21"/>
        </w:rPr>
        <w:t>to:</w:t>
      </w:r>
    </w:p>
    <w:p w14:paraId="4FFC9C7E" w14:textId="77777777" w:rsidR="00FA4AA8" w:rsidRDefault="0015611F">
      <w:pPr>
        <w:pStyle w:val="ListParagraph"/>
        <w:numPr>
          <w:ilvl w:val="0"/>
          <w:numId w:val="40"/>
        </w:numPr>
        <w:tabs>
          <w:tab w:val="left" w:pos="1206"/>
          <w:tab w:val="left" w:pos="1207"/>
        </w:tabs>
        <w:spacing w:before="164"/>
        <w:ind w:left="1199" w:right="765" w:hanging="538"/>
        <w:rPr>
          <w:color w:val="1A1A1A"/>
          <w:sz w:val="20"/>
        </w:rPr>
      </w:pPr>
      <w:r>
        <w:rPr>
          <w:color w:val="161616"/>
          <w:sz w:val="20"/>
        </w:rPr>
        <w:t>obtain</w:t>
      </w:r>
      <w:r>
        <w:rPr>
          <w:color w:val="161616"/>
          <w:spacing w:val="-29"/>
          <w:sz w:val="20"/>
        </w:rPr>
        <w:t xml:space="preserve"> </w:t>
      </w:r>
      <w:r>
        <w:rPr>
          <w:color w:val="131313"/>
          <w:sz w:val="20"/>
        </w:rPr>
        <w:t>reasonable</w:t>
      </w:r>
      <w:r>
        <w:rPr>
          <w:color w:val="131313"/>
          <w:spacing w:val="-30"/>
          <w:sz w:val="20"/>
        </w:rPr>
        <w:t xml:space="preserve"> </w:t>
      </w:r>
      <w:r>
        <w:rPr>
          <w:sz w:val="20"/>
        </w:rPr>
        <w:t>assurance</w:t>
      </w:r>
      <w:r>
        <w:rPr>
          <w:spacing w:val="-27"/>
          <w:sz w:val="20"/>
        </w:rPr>
        <w:t xml:space="preserve"> </w:t>
      </w:r>
      <w:r>
        <w:rPr>
          <w:sz w:val="20"/>
        </w:rPr>
        <w:t>about</w:t>
      </w:r>
      <w:r>
        <w:rPr>
          <w:spacing w:val="-27"/>
          <w:sz w:val="20"/>
        </w:rPr>
        <w:t xml:space="preserve"> </w:t>
      </w:r>
      <w:r>
        <w:rPr>
          <w:sz w:val="20"/>
        </w:rPr>
        <w:t>whether</w:t>
      </w:r>
      <w:r>
        <w:rPr>
          <w:spacing w:val="-26"/>
          <w:sz w:val="20"/>
        </w:rPr>
        <w:t xml:space="preserve"> </w:t>
      </w:r>
      <w:r>
        <w:rPr>
          <w:sz w:val="20"/>
        </w:rPr>
        <w:t>the</w:t>
      </w:r>
      <w:r>
        <w:rPr>
          <w:spacing w:val="-30"/>
          <w:sz w:val="20"/>
        </w:rPr>
        <w:t xml:space="preserve"> </w:t>
      </w:r>
      <w:r>
        <w:rPr>
          <w:sz w:val="20"/>
        </w:rPr>
        <w:t>financial</w:t>
      </w:r>
      <w:r>
        <w:rPr>
          <w:spacing w:val="-29"/>
          <w:sz w:val="20"/>
        </w:rPr>
        <w:t xml:space="preserve"> </w:t>
      </w:r>
      <w:r>
        <w:rPr>
          <w:sz w:val="20"/>
        </w:rPr>
        <w:t>report</w:t>
      </w:r>
      <w:r>
        <w:rPr>
          <w:spacing w:val="-29"/>
          <w:sz w:val="20"/>
        </w:rPr>
        <w:t xml:space="preserve"> </w:t>
      </w:r>
      <w:r>
        <w:rPr>
          <w:color w:val="0F0F0F"/>
          <w:sz w:val="20"/>
        </w:rPr>
        <w:t>as</w:t>
      </w:r>
      <w:r>
        <w:rPr>
          <w:color w:val="0F0F0F"/>
          <w:spacing w:val="-29"/>
          <w:sz w:val="20"/>
        </w:rPr>
        <w:t xml:space="preserve"> </w:t>
      </w:r>
      <w:r>
        <w:rPr>
          <w:color w:val="131313"/>
          <w:sz w:val="20"/>
        </w:rPr>
        <w:t>a</w:t>
      </w:r>
      <w:r>
        <w:rPr>
          <w:color w:val="131313"/>
          <w:spacing w:val="-31"/>
          <w:sz w:val="20"/>
        </w:rPr>
        <w:t xml:space="preserve"> </w:t>
      </w:r>
      <w:r>
        <w:rPr>
          <w:color w:val="0F0F0F"/>
          <w:sz w:val="20"/>
        </w:rPr>
        <w:t>whole</w:t>
      </w:r>
      <w:r>
        <w:rPr>
          <w:color w:val="0F0F0F"/>
          <w:spacing w:val="-29"/>
          <w:sz w:val="20"/>
        </w:rPr>
        <w:t xml:space="preserve"> </w:t>
      </w:r>
      <w:r>
        <w:rPr>
          <w:sz w:val="20"/>
        </w:rPr>
        <w:t>is</w:t>
      </w:r>
      <w:r>
        <w:rPr>
          <w:spacing w:val="-30"/>
          <w:sz w:val="20"/>
        </w:rPr>
        <w:t xml:space="preserve"> </w:t>
      </w:r>
      <w:r>
        <w:rPr>
          <w:color w:val="0F0F0F"/>
          <w:sz w:val="20"/>
        </w:rPr>
        <w:t>free</w:t>
      </w:r>
      <w:r>
        <w:rPr>
          <w:color w:val="0F0F0F"/>
          <w:spacing w:val="-33"/>
          <w:sz w:val="20"/>
        </w:rPr>
        <w:t xml:space="preserve"> </w:t>
      </w:r>
      <w:r>
        <w:rPr>
          <w:color w:val="111111"/>
          <w:sz w:val="20"/>
        </w:rPr>
        <w:t>from</w:t>
      </w:r>
      <w:r>
        <w:rPr>
          <w:color w:val="111111"/>
          <w:spacing w:val="-32"/>
          <w:sz w:val="20"/>
        </w:rPr>
        <w:t xml:space="preserve"> </w:t>
      </w:r>
      <w:r>
        <w:rPr>
          <w:sz w:val="20"/>
        </w:rPr>
        <w:t xml:space="preserve">material misstatement, </w:t>
      </w:r>
      <w:r>
        <w:rPr>
          <w:color w:val="0E0E0E"/>
          <w:sz w:val="20"/>
        </w:rPr>
        <w:t xml:space="preserve">whether </w:t>
      </w:r>
      <w:r>
        <w:rPr>
          <w:color w:val="0F0F0F"/>
          <w:sz w:val="20"/>
        </w:rPr>
        <w:t xml:space="preserve">due </w:t>
      </w:r>
      <w:r>
        <w:rPr>
          <w:sz w:val="20"/>
        </w:rPr>
        <w:t xml:space="preserve">to fraud </w:t>
      </w:r>
      <w:r>
        <w:rPr>
          <w:color w:val="181818"/>
          <w:sz w:val="20"/>
        </w:rPr>
        <w:t>or</w:t>
      </w:r>
      <w:r>
        <w:rPr>
          <w:color w:val="181818"/>
          <w:spacing w:val="9"/>
          <w:sz w:val="20"/>
        </w:rPr>
        <w:t xml:space="preserve"> </w:t>
      </w:r>
      <w:r>
        <w:rPr>
          <w:color w:val="0C0C0C"/>
          <w:sz w:val="20"/>
        </w:rPr>
        <w:t>error</w:t>
      </w:r>
    </w:p>
    <w:p w14:paraId="290C601F" w14:textId="77777777" w:rsidR="00FA4AA8" w:rsidRDefault="0015611F">
      <w:pPr>
        <w:spacing w:before="58"/>
        <w:ind w:left="1199"/>
        <w:rPr>
          <w:sz w:val="20"/>
        </w:rPr>
      </w:pPr>
      <w:r>
        <w:rPr>
          <w:sz w:val="20"/>
        </w:rPr>
        <w:t xml:space="preserve">issue </w:t>
      </w:r>
      <w:r>
        <w:rPr>
          <w:color w:val="1A1A1A"/>
          <w:sz w:val="20"/>
        </w:rPr>
        <w:t xml:space="preserve">an </w:t>
      </w:r>
      <w:r>
        <w:rPr>
          <w:sz w:val="20"/>
        </w:rPr>
        <w:t xml:space="preserve">Independent </w:t>
      </w:r>
      <w:r>
        <w:rPr>
          <w:color w:val="0F0F0F"/>
          <w:sz w:val="20"/>
        </w:rPr>
        <w:t xml:space="preserve">Auditor's </w:t>
      </w:r>
      <w:r>
        <w:rPr>
          <w:sz w:val="20"/>
        </w:rPr>
        <w:t xml:space="preserve">Report including </w:t>
      </w:r>
      <w:r>
        <w:rPr>
          <w:color w:val="0F0F0F"/>
          <w:sz w:val="20"/>
        </w:rPr>
        <w:t xml:space="preserve">my </w:t>
      </w:r>
      <w:r>
        <w:rPr>
          <w:sz w:val="20"/>
        </w:rPr>
        <w:t>opinion.</w:t>
      </w:r>
    </w:p>
    <w:p w14:paraId="5AD050A3" w14:textId="77777777" w:rsidR="00FA4AA8" w:rsidRDefault="0015611F">
      <w:pPr>
        <w:spacing w:before="195"/>
        <w:ind w:left="665" w:right="637" w:hanging="2"/>
        <w:rPr>
          <w:sz w:val="20"/>
        </w:rPr>
      </w:pPr>
      <w:r>
        <w:rPr>
          <w:sz w:val="20"/>
        </w:rPr>
        <w:t>Reasonable</w:t>
      </w:r>
      <w:r>
        <w:rPr>
          <w:spacing w:val="-23"/>
          <w:sz w:val="20"/>
        </w:rPr>
        <w:t xml:space="preserve"> </w:t>
      </w:r>
      <w:r>
        <w:rPr>
          <w:color w:val="0C0C0C"/>
          <w:sz w:val="20"/>
        </w:rPr>
        <w:t>assurance</w:t>
      </w:r>
      <w:r>
        <w:rPr>
          <w:color w:val="0C0C0C"/>
          <w:spacing w:val="-25"/>
          <w:sz w:val="20"/>
        </w:rPr>
        <w:t xml:space="preserve"> </w:t>
      </w:r>
      <w:r>
        <w:rPr>
          <w:sz w:val="20"/>
        </w:rPr>
        <w:t>is</w:t>
      </w:r>
      <w:r>
        <w:rPr>
          <w:spacing w:val="-31"/>
          <w:sz w:val="20"/>
        </w:rPr>
        <w:t xml:space="preserve"> </w:t>
      </w:r>
      <w:r>
        <w:rPr>
          <w:sz w:val="20"/>
        </w:rPr>
        <w:t>a</w:t>
      </w:r>
      <w:r>
        <w:rPr>
          <w:spacing w:val="-32"/>
          <w:sz w:val="20"/>
        </w:rPr>
        <w:t xml:space="preserve"> </w:t>
      </w:r>
      <w:r>
        <w:rPr>
          <w:sz w:val="20"/>
        </w:rPr>
        <w:t>high</w:t>
      </w:r>
      <w:r>
        <w:rPr>
          <w:spacing w:val="-27"/>
          <w:sz w:val="20"/>
        </w:rPr>
        <w:t xml:space="preserve"> </w:t>
      </w:r>
      <w:r>
        <w:rPr>
          <w:sz w:val="20"/>
        </w:rPr>
        <w:t>level</w:t>
      </w:r>
      <w:r>
        <w:rPr>
          <w:spacing w:val="-30"/>
          <w:sz w:val="20"/>
        </w:rPr>
        <w:t xml:space="preserve"> </w:t>
      </w:r>
      <w:r>
        <w:rPr>
          <w:sz w:val="20"/>
        </w:rPr>
        <w:t>of</w:t>
      </w:r>
      <w:r>
        <w:rPr>
          <w:spacing w:val="-29"/>
          <w:sz w:val="20"/>
        </w:rPr>
        <w:t xml:space="preserve"> </w:t>
      </w:r>
      <w:r>
        <w:rPr>
          <w:sz w:val="20"/>
        </w:rPr>
        <w:t>assurance,</w:t>
      </w:r>
      <w:r>
        <w:rPr>
          <w:spacing w:val="-25"/>
          <w:sz w:val="20"/>
        </w:rPr>
        <w:t xml:space="preserve"> </w:t>
      </w:r>
      <w:r>
        <w:rPr>
          <w:sz w:val="20"/>
        </w:rPr>
        <w:t>but</w:t>
      </w:r>
      <w:r>
        <w:rPr>
          <w:spacing w:val="-28"/>
          <w:sz w:val="20"/>
        </w:rPr>
        <w:t xml:space="preserve"> </w:t>
      </w:r>
      <w:r>
        <w:rPr>
          <w:sz w:val="20"/>
        </w:rPr>
        <w:t>does</w:t>
      </w:r>
      <w:r>
        <w:rPr>
          <w:spacing w:val="-25"/>
          <w:sz w:val="20"/>
        </w:rPr>
        <w:t xml:space="preserve"> </w:t>
      </w:r>
      <w:r>
        <w:rPr>
          <w:color w:val="0C0C0C"/>
          <w:sz w:val="20"/>
        </w:rPr>
        <w:t>not</w:t>
      </w:r>
      <w:r>
        <w:rPr>
          <w:color w:val="0C0C0C"/>
          <w:spacing w:val="-31"/>
          <w:sz w:val="20"/>
        </w:rPr>
        <w:t xml:space="preserve"> </w:t>
      </w:r>
      <w:r>
        <w:rPr>
          <w:sz w:val="20"/>
        </w:rPr>
        <w:t>guarantee</w:t>
      </w:r>
      <w:r>
        <w:rPr>
          <w:spacing w:val="-26"/>
          <w:sz w:val="20"/>
        </w:rPr>
        <w:t xml:space="preserve"> </w:t>
      </w:r>
      <w:r>
        <w:rPr>
          <w:sz w:val="20"/>
        </w:rPr>
        <w:t>an</w:t>
      </w:r>
      <w:r>
        <w:rPr>
          <w:spacing w:val="-31"/>
          <w:sz w:val="20"/>
        </w:rPr>
        <w:t xml:space="preserve"> </w:t>
      </w:r>
      <w:r>
        <w:rPr>
          <w:sz w:val="20"/>
        </w:rPr>
        <w:t>audit</w:t>
      </w:r>
      <w:r>
        <w:rPr>
          <w:spacing w:val="-30"/>
          <w:sz w:val="20"/>
        </w:rPr>
        <w:t xml:space="preserve"> </w:t>
      </w:r>
      <w:r>
        <w:rPr>
          <w:sz w:val="20"/>
        </w:rPr>
        <w:t>conducted</w:t>
      </w:r>
      <w:r>
        <w:rPr>
          <w:spacing w:val="-25"/>
          <w:sz w:val="20"/>
        </w:rPr>
        <w:t xml:space="preserve"> </w:t>
      </w:r>
      <w:r>
        <w:rPr>
          <w:color w:val="131313"/>
          <w:sz w:val="20"/>
        </w:rPr>
        <w:t xml:space="preserve">in </w:t>
      </w:r>
      <w:r>
        <w:rPr>
          <w:sz w:val="20"/>
        </w:rPr>
        <w:t>accordance</w:t>
      </w:r>
      <w:r>
        <w:rPr>
          <w:spacing w:val="-9"/>
          <w:sz w:val="20"/>
        </w:rPr>
        <w:t xml:space="preserve"> </w:t>
      </w:r>
      <w:r>
        <w:rPr>
          <w:sz w:val="20"/>
        </w:rPr>
        <w:t>with</w:t>
      </w:r>
      <w:r>
        <w:rPr>
          <w:spacing w:val="-19"/>
          <w:sz w:val="20"/>
        </w:rPr>
        <w:t xml:space="preserve"> </w:t>
      </w:r>
      <w:r>
        <w:rPr>
          <w:color w:val="0E0E0E"/>
          <w:sz w:val="20"/>
        </w:rPr>
        <w:t>Australian</w:t>
      </w:r>
      <w:r>
        <w:rPr>
          <w:color w:val="0E0E0E"/>
          <w:spacing w:val="-14"/>
          <w:sz w:val="20"/>
        </w:rPr>
        <w:t xml:space="preserve"> </w:t>
      </w:r>
      <w:r>
        <w:rPr>
          <w:sz w:val="20"/>
        </w:rPr>
        <w:t>Auditing</w:t>
      </w:r>
      <w:r>
        <w:rPr>
          <w:spacing w:val="-8"/>
          <w:sz w:val="20"/>
        </w:rPr>
        <w:t xml:space="preserve"> </w:t>
      </w:r>
      <w:r>
        <w:rPr>
          <w:sz w:val="20"/>
        </w:rPr>
        <w:t>Standards</w:t>
      </w:r>
      <w:r>
        <w:rPr>
          <w:spacing w:val="-7"/>
          <w:sz w:val="20"/>
        </w:rPr>
        <w:t xml:space="preserve"> </w:t>
      </w:r>
      <w:r>
        <w:rPr>
          <w:sz w:val="20"/>
        </w:rPr>
        <w:t>will</w:t>
      </w:r>
      <w:r>
        <w:rPr>
          <w:spacing w:val="-20"/>
          <w:sz w:val="20"/>
        </w:rPr>
        <w:t xml:space="preserve"> </w:t>
      </w:r>
      <w:r>
        <w:rPr>
          <w:sz w:val="20"/>
        </w:rPr>
        <w:t>always</w:t>
      </w:r>
      <w:r>
        <w:rPr>
          <w:spacing w:val="-14"/>
          <w:sz w:val="20"/>
        </w:rPr>
        <w:t xml:space="preserve"> </w:t>
      </w:r>
      <w:r>
        <w:rPr>
          <w:sz w:val="20"/>
        </w:rPr>
        <w:t>detect</w:t>
      </w:r>
      <w:r>
        <w:rPr>
          <w:spacing w:val="-16"/>
          <w:sz w:val="20"/>
        </w:rPr>
        <w:t xml:space="preserve"> </w:t>
      </w:r>
      <w:r>
        <w:rPr>
          <w:sz w:val="20"/>
        </w:rPr>
        <w:t>material</w:t>
      </w:r>
      <w:r>
        <w:rPr>
          <w:spacing w:val="-19"/>
          <w:sz w:val="20"/>
        </w:rPr>
        <w:t xml:space="preserve"> </w:t>
      </w:r>
      <w:r>
        <w:rPr>
          <w:sz w:val="20"/>
        </w:rPr>
        <w:t>misstatements.</w:t>
      </w:r>
    </w:p>
    <w:p w14:paraId="04B27315" w14:textId="77777777" w:rsidR="00FA4AA8" w:rsidRDefault="0015611F">
      <w:pPr>
        <w:spacing w:before="3" w:line="237" w:lineRule="auto"/>
        <w:ind w:left="659" w:right="885" w:hanging="2"/>
        <w:rPr>
          <w:sz w:val="20"/>
        </w:rPr>
      </w:pPr>
      <w:r>
        <w:rPr>
          <w:sz w:val="20"/>
        </w:rPr>
        <w:t>Misstatements</w:t>
      </w:r>
      <w:r>
        <w:rPr>
          <w:spacing w:val="-26"/>
          <w:sz w:val="20"/>
        </w:rPr>
        <w:t xml:space="preserve"> </w:t>
      </w:r>
      <w:r>
        <w:rPr>
          <w:sz w:val="20"/>
        </w:rPr>
        <w:t>can</w:t>
      </w:r>
      <w:r>
        <w:rPr>
          <w:spacing w:val="-34"/>
          <w:sz w:val="20"/>
        </w:rPr>
        <w:t xml:space="preserve"> </w:t>
      </w:r>
      <w:r>
        <w:rPr>
          <w:sz w:val="20"/>
        </w:rPr>
        <w:t>arise</w:t>
      </w:r>
      <w:r>
        <w:rPr>
          <w:spacing w:val="-34"/>
          <w:sz w:val="20"/>
        </w:rPr>
        <w:t xml:space="preserve"> </w:t>
      </w:r>
      <w:r>
        <w:rPr>
          <w:sz w:val="20"/>
        </w:rPr>
        <w:t>from</w:t>
      </w:r>
      <w:r>
        <w:rPr>
          <w:spacing w:val="-33"/>
          <w:sz w:val="20"/>
        </w:rPr>
        <w:t xml:space="preserve"> </w:t>
      </w:r>
      <w:r>
        <w:rPr>
          <w:sz w:val="20"/>
        </w:rPr>
        <w:t>fraud</w:t>
      </w:r>
      <w:r>
        <w:rPr>
          <w:spacing w:val="-32"/>
          <w:sz w:val="20"/>
        </w:rPr>
        <w:t xml:space="preserve"> </w:t>
      </w:r>
      <w:r>
        <w:rPr>
          <w:color w:val="1A1A1A"/>
          <w:sz w:val="20"/>
        </w:rPr>
        <w:t>or</w:t>
      </w:r>
      <w:r>
        <w:rPr>
          <w:color w:val="1A1A1A"/>
          <w:spacing w:val="-34"/>
          <w:sz w:val="20"/>
        </w:rPr>
        <w:t xml:space="preserve"> </w:t>
      </w:r>
      <w:r>
        <w:rPr>
          <w:color w:val="0C0C0C"/>
          <w:sz w:val="20"/>
        </w:rPr>
        <w:t>error.</w:t>
      </w:r>
      <w:r>
        <w:rPr>
          <w:color w:val="0C0C0C"/>
          <w:spacing w:val="-29"/>
          <w:sz w:val="20"/>
        </w:rPr>
        <w:t xml:space="preserve"> </w:t>
      </w:r>
      <w:r>
        <w:rPr>
          <w:sz w:val="20"/>
        </w:rPr>
        <w:t>Misstatements</w:t>
      </w:r>
      <w:r>
        <w:rPr>
          <w:spacing w:val="-26"/>
          <w:sz w:val="20"/>
        </w:rPr>
        <w:t xml:space="preserve"> </w:t>
      </w:r>
      <w:r>
        <w:rPr>
          <w:color w:val="0F0F0F"/>
          <w:sz w:val="20"/>
        </w:rPr>
        <w:t>are</w:t>
      </w:r>
      <w:r>
        <w:rPr>
          <w:color w:val="0F0F0F"/>
          <w:spacing w:val="-35"/>
          <w:sz w:val="20"/>
        </w:rPr>
        <w:t xml:space="preserve"> </w:t>
      </w:r>
      <w:r>
        <w:rPr>
          <w:sz w:val="20"/>
        </w:rPr>
        <w:t>considered</w:t>
      </w:r>
      <w:r>
        <w:rPr>
          <w:spacing w:val="-29"/>
          <w:sz w:val="20"/>
        </w:rPr>
        <w:t xml:space="preserve"> </w:t>
      </w:r>
      <w:r>
        <w:rPr>
          <w:sz w:val="20"/>
        </w:rPr>
        <w:t>material</w:t>
      </w:r>
      <w:r>
        <w:rPr>
          <w:spacing w:val="-33"/>
          <w:sz w:val="20"/>
        </w:rPr>
        <w:t xml:space="preserve"> </w:t>
      </w:r>
      <w:r>
        <w:rPr>
          <w:sz w:val="20"/>
        </w:rPr>
        <w:t>if,</w:t>
      </w:r>
      <w:r>
        <w:rPr>
          <w:spacing w:val="-36"/>
          <w:sz w:val="20"/>
        </w:rPr>
        <w:t xml:space="preserve"> </w:t>
      </w:r>
      <w:r>
        <w:rPr>
          <w:sz w:val="20"/>
        </w:rPr>
        <w:t>individually</w:t>
      </w:r>
      <w:r>
        <w:rPr>
          <w:spacing w:val="-30"/>
          <w:sz w:val="20"/>
        </w:rPr>
        <w:t xml:space="preserve"> </w:t>
      </w:r>
      <w:r>
        <w:rPr>
          <w:color w:val="1F1F1F"/>
          <w:sz w:val="20"/>
        </w:rPr>
        <w:t xml:space="preserve">or </w:t>
      </w:r>
      <w:r>
        <w:rPr>
          <w:sz w:val="20"/>
        </w:rPr>
        <w:t>in</w:t>
      </w:r>
      <w:r>
        <w:rPr>
          <w:spacing w:val="-25"/>
          <w:sz w:val="20"/>
        </w:rPr>
        <w:t xml:space="preserve"> </w:t>
      </w:r>
      <w:r>
        <w:rPr>
          <w:sz w:val="20"/>
        </w:rPr>
        <w:t>aggregate,</w:t>
      </w:r>
      <w:r>
        <w:rPr>
          <w:spacing w:val="-16"/>
          <w:sz w:val="20"/>
        </w:rPr>
        <w:t xml:space="preserve"> </w:t>
      </w:r>
      <w:r>
        <w:rPr>
          <w:color w:val="0C0C0C"/>
          <w:sz w:val="20"/>
        </w:rPr>
        <w:t>they</w:t>
      </w:r>
      <w:r>
        <w:rPr>
          <w:color w:val="0C0C0C"/>
          <w:spacing w:val="-21"/>
          <w:sz w:val="20"/>
        </w:rPr>
        <w:t xml:space="preserve"> </w:t>
      </w:r>
      <w:r>
        <w:rPr>
          <w:sz w:val="20"/>
        </w:rPr>
        <w:t>could</w:t>
      </w:r>
      <w:r>
        <w:rPr>
          <w:spacing w:val="-19"/>
          <w:sz w:val="20"/>
        </w:rPr>
        <w:t xml:space="preserve"> </w:t>
      </w:r>
      <w:r>
        <w:rPr>
          <w:sz w:val="20"/>
        </w:rPr>
        <w:t>reasonably</w:t>
      </w:r>
      <w:r>
        <w:rPr>
          <w:spacing w:val="-18"/>
          <w:sz w:val="20"/>
        </w:rPr>
        <w:t xml:space="preserve"> </w:t>
      </w:r>
      <w:r>
        <w:rPr>
          <w:color w:val="0C0C0C"/>
          <w:sz w:val="20"/>
        </w:rPr>
        <w:t>be</w:t>
      </w:r>
      <w:r>
        <w:rPr>
          <w:color w:val="0C0C0C"/>
          <w:spacing w:val="-26"/>
          <w:sz w:val="20"/>
        </w:rPr>
        <w:t xml:space="preserve"> </w:t>
      </w:r>
      <w:r>
        <w:rPr>
          <w:sz w:val="20"/>
        </w:rPr>
        <w:t>expected</w:t>
      </w:r>
      <w:r>
        <w:rPr>
          <w:spacing w:val="-25"/>
          <w:sz w:val="20"/>
        </w:rPr>
        <w:t xml:space="preserve"> </w:t>
      </w:r>
      <w:r>
        <w:rPr>
          <w:sz w:val="20"/>
        </w:rPr>
        <w:t>to</w:t>
      </w:r>
      <w:r>
        <w:rPr>
          <w:spacing w:val="-26"/>
          <w:sz w:val="20"/>
        </w:rPr>
        <w:t xml:space="preserve"> </w:t>
      </w:r>
      <w:r>
        <w:rPr>
          <w:sz w:val="20"/>
        </w:rPr>
        <w:t>influence</w:t>
      </w:r>
      <w:r>
        <w:rPr>
          <w:spacing w:val="-19"/>
          <w:sz w:val="20"/>
        </w:rPr>
        <w:t xml:space="preserve"> </w:t>
      </w:r>
      <w:r>
        <w:rPr>
          <w:sz w:val="20"/>
        </w:rPr>
        <w:t>the</w:t>
      </w:r>
      <w:r>
        <w:rPr>
          <w:spacing w:val="-25"/>
          <w:sz w:val="20"/>
        </w:rPr>
        <w:t xml:space="preserve"> </w:t>
      </w:r>
      <w:r>
        <w:rPr>
          <w:sz w:val="20"/>
        </w:rPr>
        <w:t>economic</w:t>
      </w:r>
      <w:r>
        <w:rPr>
          <w:spacing w:val="-12"/>
          <w:sz w:val="20"/>
        </w:rPr>
        <w:t xml:space="preserve"> </w:t>
      </w:r>
      <w:r>
        <w:rPr>
          <w:sz w:val="20"/>
        </w:rPr>
        <w:t>decisions</w:t>
      </w:r>
      <w:r>
        <w:rPr>
          <w:spacing w:val="-14"/>
          <w:sz w:val="20"/>
        </w:rPr>
        <w:t xml:space="preserve"> </w:t>
      </w:r>
      <w:r>
        <w:rPr>
          <w:color w:val="0A0A0A"/>
          <w:sz w:val="20"/>
        </w:rPr>
        <w:t>users</w:t>
      </w:r>
      <w:r>
        <w:rPr>
          <w:color w:val="0A0A0A"/>
          <w:spacing w:val="-19"/>
          <w:sz w:val="20"/>
        </w:rPr>
        <w:t xml:space="preserve"> </w:t>
      </w:r>
      <w:r>
        <w:rPr>
          <w:sz w:val="20"/>
        </w:rPr>
        <w:t xml:space="preserve">take based on </w:t>
      </w:r>
      <w:r>
        <w:rPr>
          <w:color w:val="151515"/>
          <w:sz w:val="20"/>
        </w:rPr>
        <w:t xml:space="preserve">the </w:t>
      </w:r>
      <w:r>
        <w:rPr>
          <w:sz w:val="20"/>
        </w:rPr>
        <w:t>financial</w:t>
      </w:r>
      <w:r>
        <w:rPr>
          <w:spacing w:val="3"/>
          <w:sz w:val="20"/>
        </w:rPr>
        <w:t xml:space="preserve"> </w:t>
      </w:r>
      <w:r>
        <w:rPr>
          <w:sz w:val="20"/>
        </w:rPr>
        <w:t>report.</w:t>
      </w:r>
    </w:p>
    <w:p w14:paraId="4CF59564" w14:textId="77777777" w:rsidR="00FA4AA8" w:rsidRDefault="0015611F">
      <w:pPr>
        <w:spacing w:before="174" w:line="237" w:lineRule="auto"/>
        <w:ind w:left="665" w:right="637"/>
        <w:rPr>
          <w:sz w:val="20"/>
        </w:rPr>
      </w:pPr>
      <w:r>
        <w:rPr>
          <w:color w:val="0F0F0F"/>
          <w:sz w:val="20"/>
        </w:rPr>
        <w:t>A</w:t>
      </w:r>
      <w:r>
        <w:rPr>
          <w:color w:val="0F0F0F"/>
          <w:spacing w:val="-25"/>
          <w:sz w:val="20"/>
        </w:rPr>
        <w:t xml:space="preserve"> </w:t>
      </w:r>
      <w:r>
        <w:rPr>
          <w:sz w:val="20"/>
        </w:rPr>
        <w:t>description</w:t>
      </w:r>
      <w:r>
        <w:rPr>
          <w:spacing w:val="-19"/>
          <w:sz w:val="20"/>
        </w:rPr>
        <w:t xml:space="preserve"> </w:t>
      </w:r>
      <w:r>
        <w:rPr>
          <w:color w:val="131313"/>
          <w:sz w:val="20"/>
        </w:rPr>
        <w:t>of</w:t>
      </w:r>
      <w:r>
        <w:rPr>
          <w:color w:val="131313"/>
          <w:spacing w:val="-28"/>
          <w:sz w:val="20"/>
        </w:rPr>
        <w:t xml:space="preserve"> </w:t>
      </w:r>
      <w:r>
        <w:rPr>
          <w:color w:val="1C1C1C"/>
          <w:sz w:val="20"/>
        </w:rPr>
        <w:t>my</w:t>
      </w:r>
      <w:r>
        <w:rPr>
          <w:color w:val="1C1C1C"/>
          <w:spacing w:val="-28"/>
          <w:sz w:val="20"/>
        </w:rPr>
        <w:t xml:space="preserve"> </w:t>
      </w:r>
      <w:r>
        <w:rPr>
          <w:color w:val="0A0A0A"/>
          <w:sz w:val="20"/>
        </w:rPr>
        <w:t>responsibilities</w:t>
      </w:r>
      <w:r>
        <w:rPr>
          <w:color w:val="0A0A0A"/>
          <w:spacing w:val="-25"/>
          <w:sz w:val="20"/>
        </w:rPr>
        <w:t xml:space="preserve"> </w:t>
      </w:r>
      <w:r>
        <w:rPr>
          <w:color w:val="131313"/>
          <w:sz w:val="20"/>
        </w:rPr>
        <w:t>for</w:t>
      </w:r>
      <w:r>
        <w:rPr>
          <w:color w:val="131313"/>
          <w:spacing w:val="-24"/>
          <w:sz w:val="20"/>
        </w:rPr>
        <w:t xml:space="preserve"> </w:t>
      </w:r>
      <w:r>
        <w:rPr>
          <w:color w:val="111111"/>
          <w:sz w:val="20"/>
        </w:rPr>
        <w:t>the</w:t>
      </w:r>
      <w:r>
        <w:rPr>
          <w:color w:val="111111"/>
          <w:spacing w:val="-27"/>
          <w:sz w:val="20"/>
        </w:rPr>
        <w:t xml:space="preserve"> </w:t>
      </w:r>
      <w:r>
        <w:rPr>
          <w:color w:val="0C0C0C"/>
          <w:sz w:val="20"/>
        </w:rPr>
        <w:t>audit</w:t>
      </w:r>
      <w:r>
        <w:rPr>
          <w:color w:val="0C0C0C"/>
          <w:spacing w:val="-18"/>
          <w:sz w:val="20"/>
        </w:rPr>
        <w:t xml:space="preserve"> </w:t>
      </w:r>
      <w:r>
        <w:rPr>
          <w:color w:val="151515"/>
          <w:sz w:val="20"/>
        </w:rPr>
        <w:t>of</w:t>
      </w:r>
      <w:r>
        <w:rPr>
          <w:color w:val="151515"/>
          <w:spacing w:val="-27"/>
          <w:sz w:val="20"/>
        </w:rPr>
        <w:t xml:space="preserve"> </w:t>
      </w:r>
      <w:r>
        <w:rPr>
          <w:sz w:val="20"/>
        </w:rPr>
        <w:t>the</w:t>
      </w:r>
      <w:r>
        <w:rPr>
          <w:spacing w:val="-26"/>
          <w:sz w:val="20"/>
        </w:rPr>
        <w:t xml:space="preserve"> </w:t>
      </w:r>
      <w:r>
        <w:rPr>
          <w:sz w:val="20"/>
        </w:rPr>
        <w:t>financial</w:t>
      </w:r>
      <w:r>
        <w:rPr>
          <w:spacing w:val="-20"/>
          <w:sz w:val="20"/>
        </w:rPr>
        <w:t xml:space="preserve"> </w:t>
      </w:r>
      <w:r>
        <w:rPr>
          <w:sz w:val="20"/>
        </w:rPr>
        <w:t>report</w:t>
      </w:r>
      <w:r>
        <w:rPr>
          <w:spacing w:val="-25"/>
          <w:sz w:val="20"/>
        </w:rPr>
        <w:t xml:space="preserve"> </w:t>
      </w:r>
      <w:r>
        <w:rPr>
          <w:color w:val="111111"/>
          <w:sz w:val="20"/>
        </w:rPr>
        <w:t>is</w:t>
      </w:r>
      <w:r>
        <w:rPr>
          <w:color w:val="111111"/>
          <w:spacing w:val="-28"/>
          <w:sz w:val="20"/>
        </w:rPr>
        <w:t xml:space="preserve"> </w:t>
      </w:r>
      <w:r>
        <w:rPr>
          <w:sz w:val="20"/>
        </w:rPr>
        <w:t>located</w:t>
      </w:r>
      <w:r>
        <w:rPr>
          <w:spacing w:val="-24"/>
          <w:sz w:val="20"/>
        </w:rPr>
        <w:t xml:space="preserve"> </w:t>
      </w:r>
      <w:r>
        <w:rPr>
          <w:color w:val="111111"/>
          <w:sz w:val="20"/>
        </w:rPr>
        <w:t>at</w:t>
      </w:r>
      <w:r>
        <w:rPr>
          <w:color w:val="111111"/>
          <w:spacing w:val="-23"/>
          <w:sz w:val="20"/>
        </w:rPr>
        <w:t xml:space="preserve"> </w:t>
      </w:r>
      <w:r>
        <w:rPr>
          <w:sz w:val="20"/>
        </w:rPr>
        <w:t>the</w:t>
      </w:r>
      <w:r>
        <w:rPr>
          <w:spacing w:val="-28"/>
          <w:sz w:val="20"/>
        </w:rPr>
        <w:t xml:space="preserve"> </w:t>
      </w:r>
      <w:r>
        <w:rPr>
          <w:color w:val="0C0C0C"/>
          <w:sz w:val="20"/>
        </w:rPr>
        <w:t>Auditing</w:t>
      </w:r>
      <w:r>
        <w:rPr>
          <w:color w:val="0C0C0C"/>
          <w:spacing w:val="-20"/>
          <w:sz w:val="20"/>
        </w:rPr>
        <w:t xml:space="preserve"> </w:t>
      </w:r>
      <w:r>
        <w:rPr>
          <w:sz w:val="20"/>
        </w:rPr>
        <w:t>and Assurance</w:t>
      </w:r>
      <w:r>
        <w:rPr>
          <w:spacing w:val="-20"/>
          <w:sz w:val="20"/>
        </w:rPr>
        <w:t xml:space="preserve"> </w:t>
      </w:r>
      <w:r>
        <w:rPr>
          <w:sz w:val="20"/>
        </w:rPr>
        <w:t>Standards</w:t>
      </w:r>
      <w:r>
        <w:rPr>
          <w:spacing w:val="-24"/>
          <w:sz w:val="20"/>
        </w:rPr>
        <w:t xml:space="preserve"> </w:t>
      </w:r>
      <w:r>
        <w:rPr>
          <w:sz w:val="20"/>
        </w:rPr>
        <w:t>Board</w:t>
      </w:r>
      <w:r>
        <w:rPr>
          <w:spacing w:val="-27"/>
          <w:sz w:val="20"/>
        </w:rPr>
        <w:t xml:space="preserve"> </w:t>
      </w:r>
      <w:r>
        <w:rPr>
          <w:sz w:val="20"/>
        </w:rPr>
        <w:t>website</w:t>
      </w:r>
      <w:r>
        <w:rPr>
          <w:spacing w:val="-27"/>
          <w:sz w:val="20"/>
        </w:rPr>
        <w:t xml:space="preserve"> </w:t>
      </w:r>
      <w:r>
        <w:rPr>
          <w:sz w:val="20"/>
        </w:rPr>
        <w:t>at:</w:t>
      </w:r>
      <w:r>
        <w:rPr>
          <w:spacing w:val="-22"/>
          <w:sz w:val="20"/>
        </w:rPr>
        <w:t xml:space="preserve"> </w:t>
      </w:r>
      <w:r w:rsidR="007719AF">
        <w:rPr>
          <w:color w:val="838383"/>
          <w:sz w:val="20"/>
          <w:u w:val="single" w:color="000000"/>
        </w:rPr>
        <w:t>www</w:t>
      </w:r>
      <w:r w:rsidR="007719AF">
        <w:rPr>
          <w:color w:val="838383"/>
          <w:spacing w:val="-26"/>
          <w:sz w:val="20"/>
          <w:u w:val="single" w:color="000000"/>
        </w:rPr>
        <w:t xml:space="preserve"> </w:t>
      </w:r>
      <w:r w:rsidR="007719AF">
        <w:rPr>
          <w:color w:val="838383"/>
          <w:sz w:val="20"/>
          <w:u w:val="single" w:color="000000"/>
        </w:rPr>
        <w:t>auasb.gov.au/aud</w:t>
      </w:r>
      <w:r w:rsidR="007719AF">
        <w:rPr>
          <w:color w:val="838383"/>
          <w:spacing w:val="-48"/>
          <w:sz w:val="20"/>
          <w:u w:val="single" w:color="000000"/>
        </w:rPr>
        <w:t xml:space="preserve"> </w:t>
      </w:r>
      <w:r w:rsidR="007719AF">
        <w:rPr>
          <w:color w:val="838383"/>
          <w:sz w:val="20"/>
          <w:u w:val="single" w:color="000000"/>
        </w:rPr>
        <w:t>itors_</w:t>
      </w:r>
      <w:r w:rsidR="007719AF">
        <w:rPr>
          <w:color w:val="898989"/>
          <w:sz w:val="20"/>
          <w:u w:val="single" w:color="000000"/>
        </w:rPr>
        <w:t>responsibilities/ar</w:t>
      </w:r>
      <w:r w:rsidR="007719AF">
        <w:rPr>
          <w:color w:val="898989"/>
          <w:spacing w:val="-40"/>
          <w:sz w:val="20"/>
          <w:u w:val="single" w:color="000000"/>
        </w:rPr>
        <w:t xml:space="preserve"> </w:t>
      </w:r>
      <w:r w:rsidR="007719AF">
        <w:rPr>
          <w:color w:val="9A9A9A"/>
          <w:sz w:val="20"/>
          <w:u w:val="single" w:color="000000"/>
        </w:rPr>
        <w:t>4.</w:t>
      </w:r>
      <w:r w:rsidR="007719AF">
        <w:rPr>
          <w:color w:val="828282"/>
          <w:sz w:val="20"/>
          <w:u w:val="single" w:color="000000"/>
        </w:rPr>
        <w:t>pdf</w:t>
      </w:r>
      <w:r w:rsidR="007719AF">
        <w:rPr>
          <w:color w:val="828282"/>
          <w:spacing w:val="-4"/>
          <w:sz w:val="20"/>
          <w:u w:val="single" w:color="000000"/>
        </w:rPr>
        <w:t xml:space="preserve"> .</w:t>
      </w:r>
      <w:r w:rsidR="009C3740">
        <w:rPr>
          <w:color w:val="828282"/>
          <w:spacing w:val="-4"/>
          <w:sz w:val="20"/>
          <w:u w:val="single" w:color="000000"/>
        </w:rPr>
        <w:t xml:space="preserve"> </w:t>
      </w:r>
      <w:r>
        <w:rPr>
          <w:color w:val="1F1F1F"/>
          <w:sz w:val="20"/>
        </w:rPr>
        <w:t xml:space="preserve">The </w:t>
      </w:r>
      <w:r>
        <w:rPr>
          <w:sz w:val="20"/>
        </w:rPr>
        <w:t xml:space="preserve">description </w:t>
      </w:r>
      <w:r>
        <w:rPr>
          <w:color w:val="131313"/>
          <w:sz w:val="20"/>
        </w:rPr>
        <w:t xml:space="preserve">forms </w:t>
      </w:r>
      <w:r>
        <w:rPr>
          <w:color w:val="0F0F0F"/>
          <w:sz w:val="20"/>
        </w:rPr>
        <w:t xml:space="preserve">part </w:t>
      </w:r>
      <w:r>
        <w:rPr>
          <w:color w:val="212121"/>
          <w:sz w:val="20"/>
        </w:rPr>
        <w:t xml:space="preserve">of </w:t>
      </w:r>
      <w:r>
        <w:rPr>
          <w:color w:val="131313"/>
          <w:sz w:val="20"/>
        </w:rPr>
        <w:t xml:space="preserve">my </w:t>
      </w:r>
      <w:r>
        <w:rPr>
          <w:color w:val="0C0C0C"/>
          <w:sz w:val="20"/>
        </w:rPr>
        <w:t>auditor's</w:t>
      </w:r>
      <w:r>
        <w:rPr>
          <w:color w:val="0C0C0C"/>
          <w:spacing w:val="17"/>
          <w:sz w:val="20"/>
        </w:rPr>
        <w:t xml:space="preserve"> </w:t>
      </w:r>
      <w:r>
        <w:rPr>
          <w:sz w:val="20"/>
        </w:rPr>
        <w:t>report.</w:t>
      </w:r>
    </w:p>
    <w:p w14:paraId="0470EFFA" w14:textId="77777777" w:rsidR="00FA4AA8" w:rsidRDefault="00FA4AA8">
      <w:pPr>
        <w:pStyle w:val="BodyText"/>
        <w:rPr>
          <w:sz w:val="22"/>
        </w:rPr>
      </w:pPr>
    </w:p>
    <w:p w14:paraId="7BB30AB4" w14:textId="77777777" w:rsidR="00FA4AA8" w:rsidRDefault="00FA4AA8">
      <w:pPr>
        <w:pStyle w:val="BodyText"/>
        <w:rPr>
          <w:sz w:val="22"/>
        </w:rPr>
      </w:pPr>
    </w:p>
    <w:p w14:paraId="1EAEA722" w14:textId="77777777" w:rsidR="00FA4AA8" w:rsidRDefault="00FA4AA8">
      <w:pPr>
        <w:pStyle w:val="BodyText"/>
        <w:rPr>
          <w:sz w:val="22"/>
        </w:rPr>
      </w:pPr>
    </w:p>
    <w:p w14:paraId="2D4E940D" w14:textId="77777777" w:rsidR="00FA4AA8" w:rsidRDefault="00FA4AA8">
      <w:pPr>
        <w:pStyle w:val="BodyText"/>
        <w:rPr>
          <w:sz w:val="22"/>
        </w:rPr>
      </w:pPr>
    </w:p>
    <w:p w14:paraId="3A928240" w14:textId="77777777" w:rsidR="00FA4AA8" w:rsidRDefault="00FA4AA8">
      <w:pPr>
        <w:pStyle w:val="BodyText"/>
        <w:rPr>
          <w:sz w:val="22"/>
        </w:rPr>
      </w:pPr>
    </w:p>
    <w:p w14:paraId="219BAEB0" w14:textId="77777777" w:rsidR="00FA4AA8" w:rsidRDefault="00FA4AA8">
      <w:pPr>
        <w:pStyle w:val="BodyText"/>
        <w:rPr>
          <w:sz w:val="22"/>
        </w:rPr>
      </w:pPr>
    </w:p>
    <w:p w14:paraId="6C895CD1" w14:textId="77777777" w:rsidR="00FA4AA8" w:rsidRDefault="00FA4AA8">
      <w:pPr>
        <w:pStyle w:val="BodyText"/>
        <w:rPr>
          <w:sz w:val="22"/>
        </w:rPr>
      </w:pPr>
    </w:p>
    <w:p w14:paraId="6CBAB7AF" w14:textId="77777777" w:rsidR="00FA4AA8" w:rsidRDefault="00FA4AA8">
      <w:pPr>
        <w:pStyle w:val="BodyText"/>
        <w:rPr>
          <w:sz w:val="22"/>
        </w:rPr>
      </w:pPr>
    </w:p>
    <w:p w14:paraId="522594DB" w14:textId="77777777" w:rsidR="00FA4AA8" w:rsidRDefault="00FA4AA8">
      <w:pPr>
        <w:pStyle w:val="BodyText"/>
        <w:rPr>
          <w:sz w:val="22"/>
        </w:rPr>
      </w:pPr>
    </w:p>
    <w:p w14:paraId="06CC7F23" w14:textId="77777777" w:rsidR="00FA4AA8" w:rsidRDefault="00FA4AA8">
      <w:pPr>
        <w:pStyle w:val="BodyText"/>
        <w:rPr>
          <w:sz w:val="22"/>
        </w:rPr>
      </w:pPr>
    </w:p>
    <w:p w14:paraId="6E361291" w14:textId="77777777" w:rsidR="00FA4AA8" w:rsidRDefault="00FA4AA8">
      <w:pPr>
        <w:pStyle w:val="BodyText"/>
        <w:rPr>
          <w:sz w:val="22"/>
        </w:rPr>
      </w:pPr>
    </w:p>
    <w:p w14:paraId="2B732F00" w14:textId="77777777" w:rsidR="00FA4AA8" w:rsidRDefault="0015611F">
      <w:pPr>
        <w:spacing w:before="197"/>
        <w:ind w:left="290" w:right="302"/>
        <w:jc w:val="center"/>
        <w:rPr>
          <w:sz w:val="20"/>
        </w:rPr>
      </w:pPr>
      <w:r>
        <w:rPr>
          <w:color w:val="131313"/>
          <w:w w:val="85"/>
          <w:sz w:val="20"/>
        </w:rPr>
        <w:t>185</w:t>
      </w:r>
    </w:p>
    <w:p w14:paraId="7CDEE33F" w14:textId="77777777" w:rsidR="00FA4AA8" w:rsidRDefault="00FA4AA8">
      <w:pPr>
        <w:jc w:val="center"/>
        <w:rPr>
          <w:sz w:val="20"/>
        </w:rPr>
        <w:sectPr w:rsidR="00FA4AA8">
          <w:headerReference w:type="default" r:id="rId197"/>
          <w:footerReference w:type="default" r:id="rId198"/>
          <w:pgSz w:w="11910" w:h="16850"/>
          <w:pgMar w:top="1600" w:right="960" w:bottom="280" w:left="940" w:header="0" w:footer="0" w:gutter="0"/>
          <w:cols w:space="720"/>
        </w:sectPr>
      </w:pPr>
    </w:p>
    <w:p w14:paraId="0DC0D656" w14:textId="77777777" w:rsidR="00FA4AA8" w:rsidRDefault="0015611F">
      <w:pPr>
        <w:pStyle w:val="BodyText"/>
        <w:spacing w:before="138"/>
        <w:ind w:left="659"/>
      </w:pPr>
      <w:r>
        <w:rPr>
          <w:w w:val="105"/>
        </w:rPr>
        <w:t xml:space="preserve">My opinion does </w:t>
      </w:r>
      <w:r>
        <w:rPr>
          <w:color w:val="0C0C0C"/>
          <w:w w:val="105"/>
        </w:rPr>
        <w:t xml:space="preserve">not </w:t>
      </w:r>
      <w:r>
        <w:rPr>
          <w:w w:val="105"/>
        </w:rPr>
        <w:t>provide assurance:</w:t>
      </w:r>
    </w:p>
    <w:p w14:paraId="39EB4AD4" w14:textId="77777777" w:rsidR="00FA4AA8" w:rsidRDefault="00FA4AA8">
      <w:pPr>
        <w:pStyle w:val="BodyText"/>
        <w:spacing w:before="5"/>
        <w:rPr>
          <w:sz w:val="16"/>
        </w:rPr>
      </w:pPr>
    </w:p>
    <w:p w14:paraId="12A27997" w14:textId="77777777" w:rsidR="00FA4AA8" w:rsidRDefault="0015611F">
      <w:pPr>
        <w:pStyle w:val="BodyText"/>
        <w:ind w:left="1202"/>
      </w:pPr>
      <w:r>
        <w:rPr>
          <w:w w:val="105"/>
        </w:rPr>
        <w:t xml:space="preserve">that the Company carried out its </w:t>
      </w:r>
      <w:r>
        <w:rPr>
          <w:color w:val="0C0C0C"/>
          <w:w w:val="105"/>
        </w:rPr>
        <w:t xml:space="preserve">activities </w:t>
      </w:r>
      <w:r>
        <w:rPr>
          <w:w w:val="105"/>
        </w:rPr>
        <w:t xml:space="preserve">effectively, efficiently </w:t>
      </w:r>
      <w:r>
        <w:rPr>
          <w:color w:val="131313"/>
          <w:w w:val="105"/>
        </w:rPr>
        <w:t xml:space="preserve">and </w:t>
      </w:r>
      <w:r>
        <w:rPr>
          <w:w w:val="105"/>
        </w:rPr>
        <w:t>economically</w:t>
      </w:r>
    </w:p>
    <w:p w14:paraId="7E1F4FC6" w14:textId="77777777" w:rsidR="00FA4AA8" w:rsidRDefault="0015611F">
      <w:pPr>
        <w:pStyle w:val="ListParagraph"/>
        <w:numPr>
          <w:ilvl w:val="0"/>
          <w:numId w:val="39"/>
        </w:numPr>
        <w:tabs>
          <w:tab w:val="left" w:pos="1199"/>
          <w:tab w:val="left" w:pos="1200"/>
        </w:tabs>
        <w:spacing w:before="81" w:line="266" w:lineRule="auto"/>
        <w:ind w:right="835"/>
        <w:rPr>
          <w:sz w:val="18"/>
        </w:rPr>
      </w:pPr>
      <w:r>
        <w:rPr>
          <w:w w:val="105"/>
          <w:sz w:val="18"/>
        </w:rPr>
        <w:t xml:space="preserve">about </w:t>
      </w:r>
      <w:r>
        <w:rPr>
          <w:color w:val="111111"/>
          <w:w w:val="105"/>
          <w:sz w:val="18"/>
        </w:rPr>
        <w:t xml:space="preserve">the </w:t>
      </w:r>
      <w:r>
        <w:rPr>
          <w:color w:val="0F0F0F"/>
          <w:w w:val="105"/>
          <w:sz w:val="18"/>
        </w:rPr>
        <w:t xml:space="preserve">security </w:t>
      </w:r>
      <w:r>
        <w:rPr>
          <w:w w:val="105"/>
          <w:sz w:val="18"/>
        </w:rPr>
        <w:t xml:space="preserve">and controls over </w:t>
      </w:r>
      <w:r>
        <w:rPr>
          <w:color w:val="111111"/>
          <w:w w:val="105"/>
          <w:sz w:val="18"/>
        </w:rPr>
        <w:t xml:space="preserve">the </w:t>
      </w:r>
      <w:r>
        <w:rPr>
          <w:color w:val="131313"/>
          <w:w w:val="105"/>
          <w:sz w:val="18"/>
        </w:rPr>
        <w:t xml:space="preserve">electronic </w:t>
      </w:r>
      <w:r>
        <w:rPr>
          <w:color w:val="0E0E0E"/>
          <w:w w:val="105"/>
          <w:sz w:val="18"/>
        </w:rPr>
        <w:t xml:space="preserve">publication </w:t>
      </w:r>
      <w:r>
        <w:rPr>
          <w:w w:val="105"/>
          <w:sz w:val="18"/>
        </w:rPr>
        <w:t xml:space="preserve">of </w:t>
      </w:r>
      <w:r>
        <w:rPr>
          <w:color w:val="181818"/>
          <w:w w:val="105"/>
          <w:sz w:val="18"/>
        </w:rPr>
        <w:t xml:space="preserve">the </w:t>
      </w:r>
      <w:r>
        <w:rPr>
          <w:w w:val="105"/>
          <w:sz w:val="18"/>
        </w:rPr>
        <w:t xml:space="preserve">audited </w:t>
      </w:r>
      <w:r>
        <w:rPr>
          <w:color w:val="0E0E0E"/>
          <w:w w:val="105"/>
          <w:sz w:val="18"/>
        </w:rPr>
        <w:t xml:space="preserve">financial </w:t>
      </w:r>
      <w:r>
        <w:rPr>
          <w:w w:val="105"/>
          <w:sz w:val="18"/>
        </w:rPr>
        <w:t xml:space="preserve">report </w:t>
      </w:r>
      <w:r>
        <w:rPr>
          <w:color w:val="1A1A1A"/>
          <w:w w:val="105"/>
          <w:sz w:val="18"/>
        </w:rPr>
        <w:t>on</w:t>
      </w:r>
      <w:r>
        <w:rPr>
          <w:w w:val="105"/>
          <w:sz w:val="18"/>
        </w:rPr>
        <w:t xml:space="preserve"> any website </w:t>
      </w:r>
      <w:r>
        <w:rPr>
          <w:color w:val="0E0E0E"/>
          <w:w w:val="105"/>
          <w:sz w:val="18"/>
        </w:rPr>
        <w:t xml:space="preserve">where </w:t>
      </w:r>
      <w:r>
        <w:rPr>
          <w:w w:val="105"/>
          <w:sz w:val="18"/>
        </w:rPr>
        <w:t xml:space="preserve">it </w:t>
      </w:r>
      <w:r>
        <w:rPr>
          <w:color w:val="151515"/>
          <w:w w:val="105"/>
          <w:sz w:val="18"/>
        </w:rPr>
        <w:t xml:space="preserve">may </w:t>
      </w:r>
      <w:r>
        <w:rPr>
          <w:color w:val="131313"/>
          <w:w w:val="105"/>
          <w:sz w:val="18"/>
        </w:rPr>
        <w:t>be</w:t>
      </w:r>
      <w:r>
        <w:rPr>
          <w:color w:val="131313"/>
          <w:spacing w:val="37"/>
          <w:w w:val="105"/>
          <w:sz w:val="18"/>
        </w:rPr>
        <w:t xml:space="preserve"> </w:t>
      </w:r>
      <w:r>
        <w:rPr>
          <w:color w:val="0C0C0C"/>
          <w:w w:val="105"/>
          <w:sz w:val="18"/>
        </w:rPr>
        <w:t>presented</w:t>
      </w:r>
    </w:p>
    <w:p w14:paraId="1244486F" w14:textId="77777777" w:rsidR="00FA4AA8" w:rsidRDefault="0015611F">
      <w:pPr>
        <w:pStyle w:val="BodyText"/>
        <w:spacing w:before="59"/>
        <w:ind w:left="1199"/>
      </w:pPr>
      <w:r>
        <w:rPr>
          <w:w w:val="105"/>
        </w:rPr>
        <w:t xml:space="preserve">about </w:t>
      </w:r>
      <w:r>
        <w:rPr>
          <w:color w:val="131313"/>
          <w:w w:val="105"/>
        </w:rPr>
        <w:t xml:space="preserve">any </w:t>
      </w:r>
      <w:r>
        <w:rPr>
          <w:color w:val="0E0E0E"/>
          <w:w w:val="105"/>
        </w:rPr>
        <w:t xml:space="preserve">other </w:t>
      </w:r>
      <w:r>
        <w:rPr>
          <w:w w:val="105"/>
        </w:rPr>
        <w:t xml:space="preserve">information </w:t>
      </w:r>
      <w:r>
        <w:rPr>
          <w:color w:val="111111"/>
          <w:w w:val="105"/>
        </w:rPr>
        <w:t xml:space="preserve">which </w:t>
      </w:r>
      <w:r>
        <w:rPr>
          <w:w w:val="105"/>
        </w:rPr>
        <w:t xml:space="preserve">may </w:t>
      </w:r>
      <w:r>
        <w:rPr>
          <w:color w:val="0E0E0E"/>
          <w:w w:val="105"/>
        </w:rPr>
        <w:t xml:space="preserve">have </w:t>
      </w:r>
      <w:r>
        <w:rPr>
          <w:color w:val="181818"/>
          <w:w w:val="105"/>
        </w:rPr>
        <w:t xml:space="preserve">been </w:t>
      </w:r>
      <w:r>
        <w:rPr>
          <w:color w:val="0A0A0A"/>
          <w:w w:val="105"/>
        </w:rPr>
        <w:t xml:space="preserve">hyperlinked </w:t>
      </w:r>
      <w:r>
        <w:rPr>
          <w:color w:val="131313"/>
          <w:w w:val="105"/>
        </w:rPr>
        <w:t xml:space="preserve">to/from </w:t>
      </w:r>
      <w:r>
        <w:rPr>
          <w:color w:val="0F0F0F"/>
          <w:w w:val="105"/>
        </w:rPr>
        <w:t xml:space="preserve">the </w:t>
      </w:r>
      <w:r>
        <w:rPr>
          <w:w w:val="105"/>
        </w:rPr>
        <w:t>financial report.</w:t>
      </w:r>
    </w:p>
    <w:p w14:paraId="609B7435" w14:textId="77777777" w:rsidR="00FA4AA8" w:rsidRDefault="00FA4AA8">
      <w:pPr>
        <w:pStyle w:val="BodyText"/>
        <w:rPr>
          <w:sz w:val="20"/>
        </w:rPr>
      </w:pPr>
    </w:p>
    <w:p w14:paraId="46C603B3" w14:textId="77777777" w:rsidR="00FA4AA8" w:rsidRDefault="00FA4AA8">
      <w:pPr>
        <w:pStyle w:val="BodyText"/>
        <w:rPr>
          <w:sz w:val="20"/>
        </w:rPr>
      </w:pPr>
    </w:p>
    <w:p w14:paraId="3588B9D4" w14:textId="77777777" w:rsidR="00FA4AA8" w:rsidRDefault="0015611F">
      <w:pPr>
        <w:pStyle w:val="BodyText"/>
        <w:spacing w:before="2"/>
        <w:rPr>
          <w:sz w:val="17"/>
        </w:rPr>
      </w:pPr>
      <w:r>
        <w:rPr>
          <w:noProof/>
          <w:lang w:val="en-AU" w:eastAsia="en-AU"/>
        </w:rPr>
        <w:drawing>
          <wp:anchor distT="0" distB="0" distL="0" distR="0" simplePos="0" relativeHeight="141" behindDoc="0" locked="0" layoutInCell="1" allowOverlap="1" wp14:anchorId="2D7F9431" wp14:editId="1264D739">
            <wp:simplePos x="0" y="0"/>
            <wp:positionH relativeFrom="page">
              <wp:posOffset>1028700</wp:posOffset>
            </wp:positionH>
            <wp:positionV relativeFrom="paragraph">
              <wp:posOffset>182249</wp:posOffset>
            </wp:positionV>
            <wp:extent cx="315467" cy="470916"/>
            <wp:effectExtent l="0" t="0" r="0" b="0"/>
            <wp:wrapTopAndBottom/>
            <wp:docPr id="95"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1.png"/>
                    <pic:cNvPicPr/>
                  </pic:nvPicPr>
                  <pic:blipFill>
                    <a:blip r:embed="rId199" cstate="print"/>
                    <a:stretch>
                      <a:fillRect/>
                    </a:stretch>
                  </pic:blipFill>
                  <pic:spPr>
                    <a:xfrm>
                      <a:off x="0" y="0"/>
                      <a:ext cx="315467" cy="470916"/>
                    </a:xfrm>
                    <a:prstGeom prst="rect">
                      <a:avLst/>
                    </a:prstGeom>
                  </pic:spPr>
                </pic:pic>
              </a:graphicData>
            </a:graphic>
          </wp:anchor>
        </w:drawing>
      </w:r>
      <w:r>
        <w:rPr>
          <w:noProof/>
          <w:lang w:val="en-AU" w:eastAsia="en-AU"/>
        </w:rPr>
        <w:drawing>
          <wp:anchor distT="0" distB="0" distL="0" distR="0" simplePos="0" relativeHeight="142" behindDoc="0" locked="0" layoutInCell="1" allowOverlap="1" wp14:anchorId="41A15AC2" wp14:editId="66238F07">
            <wp:simplePos x="0" y="0"/>
            <wp:positionH relativeFrom="page">
              <wp:posOffset>1554480</wp:posOffset>
            </wp:positionH>
            <wp:positionV relativeFrom="paragraph">
              <wp:posOffset>150245</wp:posOffset>
            </wp:positionV>
            <wp:extent cx="1046987" cy="498348"/>
            <wp:effectExtent l="0" t="0" r="0" b="0"/>
            <wp:wrapTopAndBottom/>
            <wp:docPr id="97"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2.png"/>
                    <pic:cNvPicPr/>
                  </pic:nvPicPr>
                  <pic:blipFill>
                    <a:blip r:embed="rId200" cstate="print"/>
                    <a:stretch>
                      <a:fillRect/>
                    </a:stretch>
                  </pic:blipFill>
                  <pic:spPr>
                    <a:xfrm>
                      <a:off x="0" y="0"/>
                      <a:ext cx="1046987" cy="498348"/>
                    </a:xfrm>
                    <a:prstGeom prst="rect">
                      <a:avLst/>
                    </a:prstGeom>
                  </pic:spPr>
                </pic:pic>
              </a:graphicData>
            </a:graphic>
          </wp:anchor>
        </w:drawing>
      </w:r>
    </w:p>
    <w:p w14:paraId="594DBEA6" w14:textId="77777777" w:rsidR="00FA4AA8" w:rsidRDefault="00FA4AA8">
      <w:pPr>
        <w:pStyle w:val="BodyText"/>
        <w:rPr>
          <w:sz w:val="20"/>
        </w:rPr>
      </w:pPr>
    </w:p>
    <w:p w14:paraId="1697CED5" w14:textId="77777777" w:rsidR="00FA4AA8" w:rsidRDefault="00FA4AA8">
      <w:pPr>
        <w:pStyle w:val="BodyText"/>
        <w:rPr>
          <w:sz w:val="20"/>
        </w:rPr>
      </w:pPr>
    </w:p>
    <w:p w14:paraId="58E683C4" w14:textId="77777777" w:rsidR="00FA4AA8" w:rsidRDefault="0015611F">
      <w:pPr>
        <w:spacing w:before="135" w:line="240" w:lineRule="exact"/>
        <w:ind w:left="656"/>
        <w:rPr>
          <w:sz w:val="21"/>
        </w:rPr>
      </w:pPr>
      <w:r>
        <w:rPr>
          <w:color w:val="111111"/>
          <w:sz w:val="21"/>
        </w:rPr>
        <w:t xml:space="preserve">David </w:t>
      </w:r>
      <w:r>
        <w:rPr>
          <w:sz w:val="21"/>
        </w:rPr>
        <w:t>Daniels</w:t>
      </w:r>
    </w:p>
    <w:p w14:paraId="1E59CD7F" w14:textId="77777777" w:rsidR="00FA4AA8" w:rsidRDefault="0015611F">
      <w:pPr>
        <w:spacing w:line="240" w:lineRule="exact"/>
        <w:ind w:left="656"/>
        <w:rPr>
          <w:sz w:val="21"/>
        </w:rPr>
      </w:pPr>
      <w:r>
        <w:rPr>
          <w:sz w:val="21"/>
        </w:rPr>
        <w:t xml:space="preserve">Director, Financial </w:t>
      </w:r>
      <w:r>
        <w:rPr>
          <w:color w:val="131313"/>
          <w:sz w:val="21"/>
        </w:rPr>
        <w:t>Audit Services</w:t>
      </w:r>
    </w:p>
    <w:p w14:paraId="762D4C10" w14:textId="77777777" w:rsidR="00FA4AA8" w:rsidRDefault="0015611F">
      <w:pPr>
        <w:pStyle w:val="BodyText"/>
        <w:spacing w:before="175" w:line="266" w:lineRule="auto"/>
        <w:ind w:left="657" w:right="7846" w:hanging="5"/>
      </w:pPr>
      <w:r>
        <w:rPr>
          <w:w w:val="105"/>
        </w:rPr>
        <w:t xml:space="preserve">28 </w:t>
      </w:r>
      <w:r>
        <w:rPr>
          <w:color w:val="111111"/>
          <w:w w:val="105"/>
        </w:rPr>
        <w:t xml:space="preserve">February </w:t>
      </w:r>
      <w:r>
        <w:rPr>
          <w:w w:val="105"/>
        </w:rPr>
        <w:t>2019 SYDNEY</w:t>
      </w:r>
    </w:p>
    <w:p w14:paraId="42CBF43A" w14:textId="77777777" w:rsidR="00FA4AA8" w:rsidRDefault="00FA4AA8">
      <w:pPr>
        <w:pStyle w:val="BodyText"/>
        <w:rPr>
          <w:sz w:val="20"/>
        </w:rPr>
      </w:pPr>
    </w:p>
    <w:p w14:paraId="25653CFF" w14:textId="77777777" w:rsidR="00FA4AA8" w:rsidRDefault="00FA4AA8">
      <w:pPr>
        <w:pStyle w:val="BodyText"/>
        <w:rPr>
          <w:sz w:val="20"/>
        </w:rPr>
      </w:pPr>
    </w:p>
    <w:p w14:paraId="37E1DA01" w14:textId="77777777" w:rsidR="00FA4AA8" w:rsidRDefault="00FA4AA8">
      <w:pPr>
        <w:pStyle w:val="BodyText"/>
        <w:rPr>
          <w:sz w:val="20"/>
        </w:rPr>
      </w:pPr>
    </w:p>
    <w:p w14:paraId="6E752A42" w14:textId="77777777" w:rsidR="00FA4AA8" w:rsidRDefault="00FA4AA8">
      <w:pPr>
        <w:pStyle w:val="BodyText"/>
        <w:rPr>
          <w:sz w:val="20"/>
        </w:rPr>
      </w:pPr>
    </w:p>
    <w:p w14:paraId="1FE31446" w14:textId="77777777" w:rsidR="00FA4AA8" w:rsidRDefault="00FA4AA8">
      <w:pPr>
        <w:pStyle w:val="BodyText"/>
        <w:rPr>
          <w:sz w:val="20"/>
        </w:rPr>
      </w:pPr>
    </w:p>
    <w:p w14:paraId="658D834A" w14:textId="77777777" w:rsidR="00FA4AA8" w:rsidRDefault="00FA4AA8">
      <w:pPr>
        <w:pStyle w:val="BodyText"/>
        <w:rPr>
          <w:sz w:val="20"/>
        </w:rPr>
      </w:pPr>
    </w:p>
    <w:p w14:paraId="00F2A120" w14:textId="77777777" w:rsidR="00FA4AA8" w:rsidRDefault="00FA4AA8">
      <w:pPr>
        <w:pStyle w:val="BodyText"/>
        <w:rPr>
          <w:sz w:val="20"/>
        </w:rPr>
      </w:pPr>
    </w:p>
    <w:p w14:paraId="771C0A09" w14:textId="77777777" w:rsidR="00FA4AA8" w:rsidRDefault="00FA4AA8">
      <w:pPr>
        <w:pStyle w:val="BodyText"/>
        <w:rPr>
          <w:sz w:val="20"/>
        </w:rPr>
      </w:pPr>
    </w:p>
    <w:p w14:paraId="09B9EB11" w14:textId="77777777" w:rsidR="00FA4AA8" w:rsidRDefault="00FA4AA8">
      <w:pPr>
        <w:pStyle w:val="BodyText"/>
        <w:rPr>
          <w:sz w:val="20"/>
        </w:rPr>
      </w:pPr>
    </w:p>
    <w:p w14:paraId="3C7BAA7E" w14:textId="77777777" w:rsidR="00FA4AA8" w:rsidRDefault="00FA4AA8">
      <w:pPr>
        <w:pStyle w:val="BodyText"/>
        <w:rPr>
          <w:sz w:val="20"/>
        </w:rPr>
      </w:pPr>
    </w:p>
    <w:p w14:paraId="6F4869E7" w14:textId="77777777" w:rsidR="00FA4AA8" w:rsidRDefault="00FA4AA8">
      <w:pPr>
        <w:pStyle w:val="BodyText"/>
        <w:rPr>
          <w:sz w:val="20"/>
        </w:rPr>
      </w:pPr>
    </w:p>
    <w:p w14:paraId="4813C3B8" w14:textId="77777777" w:rsidR="00FA4AA8" w:rsidRDefault="00FA4AA8">
      <w:pPr>
        <w:pStyle w:val="BodyText"/>
        <w:rPr>
          <w:sz w:val="20"/>
        </w:rPr>
      </w:pPr>
    </w:p>
    <w:p w14:paraId="39484CFA" w14:textId="77777777" w:rsidR="00FA4AA8" w:rsidRDefault="00FA4AA8">
      <w:pPr>
        <w:pStyle w:val="BodyText"/>
        <w:rPr>
          <w:sz w:val="20"/>
        </w:rPr>
      </w:pPr>
    </w:p>
    <w:p w14:paraId="25BDD236" w14:textId="77777777" w:rsidR="00FA4AA8" w:rsidRDefault="00FA4AA8">
      <w:pPr>
        <w:pStyle w:val="BodyText"/>
        <w:rPr>
          <w:sz w:val="20"/>
        </w:rPr>
      </w:pPr>
    </w:p>
    <w:p w14:paraId="7E362EB7" w14:textId="77777777" w:rsidR="00FA4AA8" w:rsidRDefault="00FA4AA8">
      <w:pPr>
        <w:pStyle w:val="BodyText"/>
        <w:rPr>
          <w:sz w:val="20"/>
        </w:rPr>
      </w:pPr>
    </w:p>
    <w:p w14:paraId="7FAB1F28" w14:textId="77777777" w:rsidR="00FA4AA8" w:rsidRDefault="00FA4AA8">
      <w:pPr>
        <w:pStyle w:val="BodyText"/>
        <w:rPr>
          <w:sz w:val="20"/>
        </w:rPr>
      </w:pPr>
    </w:p>
    <w:p w14:paraId="62D74B53" w14:textId="77777777" w:rsidR="00FA4AA8" w:rsidRDefault="00FA4AA8">
      <w:pPr>
        <w:pStyle w:val="BodyText"/>
        <w:rPr>
          <w:sz w:val="20"/>
        </w:rPr>
      </w:pPr>
    </w:p>
    <w:p w14:paraId="78718A7D" w14:textId="77777777" w:rsidR="00FA4AA8" w:rsidRDefault="00FA4AA8">
      <w:pPr>
        <w:pStyle w:val="BodyText"/>
        <w:rPr>
          <w:sz w:val="20"/>
        </w:rPr>
      </w:pPr>
    </w:p>
    <w:p w14:paraId="36DAC75C" w14:textId="77777777" w:rsidR="00FA4AA8" w:rsidRDefault="00FA4AA8">
      <w:pPr>
        <w:pStyle w:val="BodyText"/>
        <w:rPr>
          <w:sz w:val="20"/>
        </w:rPr>
      </w:pPr>
    </w:p>
    <w:p w14:paraId="021EE845" w14:textId="77777777" w:rsidR="00FA4AA8" w:rsidRDefault="00FA4AA8">
      <w:pPr>
        <w:pStyle w:val="BodyText"/>
        <w:rPr>
          <w:sz w:val="20"/>
        </w:rPr>
      </w:pPr>
    </w:p>
    <w:p w14:paraId="76C15C5B" w14:textId="77777777" w:rsidR="00FA4AA8" w:rsidRDefault="00FA4AA8">
      <w:pPr>
        <w:pStyle w:val="BodyText"/>
        <w:rPr>
          <w:sz w:val="20"/>
        </w:rPr>
      </w:pPr>
    </w:p>
    <w:p w14:paraId="7300FF3A" w14:textId="77777777" w:rsidR="00FA4AA8" w:rsidRDefault="00FA4AA8">
      <w:pPr>
        <w:pStyle w:val="BodyText"/>
        <w:rPr>
          <w:sz w:val="20"/>
        </w:rPr>
      </w:pPr>
    </w:p>
    <w:p w14:paraId="084C41B2" w14:textId="77777777" w:rsidR="00FA4AA8" w:rsidRDefault="00FA4AA8">
      <w:pPr>
        <w:pStyle w:val="BodyText"/>
        <w:rPr>
          <w:sz w:val="20"/>
        </w:rPr>
      </w:pPr>
    </w:p>
    <w:p w14:paraId="7080F33F" w14:textId="77777777" w:rsidR="00FA4AA8" w:rsidRDefault="00FA4AA8">
      <w:pPr>
        <w:pStyle w:val="BodyText"/>
        <w:rPr>
          <w:sz w:val="20"/>
        </w:rPr>
      </w:pPr>
    </w:p>
    <w:p w14:paraId="1E00B0D3" w14:textId="77777777" w:rsidR="00FA4AA8" w:rsidRDefault="00FA4AA8">
      <w:pPr>
        <w:pStyle w:val="BodyText"/>
        <w:rPr>
          <w:sz w:val="20"/>
        </w:rPr>
      </w:pPr>
    </w:p>
    <w:p w14:paraId="1B8C48B9" w14:textId="77777777" w:rsidR="00FA4AA8" w:rsidRDefault="00FA4AA8">
      <w:pPr>
        <w:pStyle w:val="BodyText"/>
        <w:rPr>
          <w:sz w:val="20"/>
        </w:rPr>
      </w:pPr>
    </w:p>
    <w:p w14:paraId="6FCEB247" w14:textId="77777777" w:rsidR="00FA4AA8" w:rsidRDefault="00FA4AA8">
      <w:pPr>
        <w:pStyle w:val="BodyText"/>
        <w:rPr>
          <w:sz w:val="20"/>
        </w:rPr>
      </w:pPr>
    </w:p>
    <w:p w14:paraId="679A3C29" w14:textId="77777777" w:rsidR="00FA4AA8" w:rsidRDefault="00FA4AA8">
      <w:pPr>
        <w:pStyle w:val="BodyText"/>
        <w:rPr>
          <w:sz w:val="20"/>
        </w:rPr>
      </w:pPr>
    </w:p>
    <w:p w14:paraId="2302E02A" w14:textId="77777777" w:rsidR="00FA4AA8" w:rsidRDefault="00FA4AA8">
      <w:pPr>
        <w:pStyle w:val="BodyText"/>
        <w:rPr>
          <w:sz w:val="20"/>
        </w:rPr>
      </w:pPr>
    </w:p>
    <w:p w14:paraId="405E7AFB" w14:textId="77777777" w:rsidR="00FA4AA8" w:rsidRDefault="00FA4AA8">
      <w:pPr>
        <w:pStyle w:val="BodyText"/>
        <w:rPr>
          <w:sz w:val="20"/>
        </w:rPr>
      </w:pPr>
    </w:p>
    <w:p w14:paraId="03A0D338" w14:textId="77777777" w:rsidR="00FA4AA8" w:rsidRDefault="00FA4AA8">
      <w:pPr>
        <w:pStyle w:val="BodyText"/>
        <w:rPr>
          <w:sz w:val="20"/>
        </w:rPr>
      </w:pPr>
    </w:p>
    <w:p w14:paraId="4BD3AB43" w14:textId="77777777" w:rsidR="00FA4AA8" w:rsidRDefault="00FA4AA8">
      <w:pPr>
        <w:pStyle w:val="BodyText"/>
        <w:rPr>
          <w:sz w:val="20"/>
        </w:rPr>
      </w:pPr>
    </w:p>
    <w:p w14:paraId="125E11B8" w14:textId="77777777" w:rsidR="00FA4AA8" w:rsidRDefault="00FA4AA8">
      <w:pPr>
        <w:pStyle w:val="BodyText"/>
        <w:rPr>
          <w:sz w:val="20"/>
        </w:rPr>
      </w:pPr>
    </w:p>
    <w:p w14:paraId="3DDA744B" w14:textId="77777777" w:rsidR="00FA4AA8" w:rsidRDefault="00FA4AA8">
      <w:pPr>
        <w:pStyle w:val="BodyText"/>
        <w:rPr>
          <w:sz w:val="20"/>
        </w:rPr>
      </w:pPr>
    </w:p>
    <w:p w14:paraId="00AC40C9" w14:textId="77777777" w:rsidR="00FA4AA8" w:rsidRDefault="00FA4AA8">
      <w:pPr>
        <w:pStyle w:val="BodyText"/>
        <w:rPr>
          <w:sz w:val="20"/>
        </w:rPr>
      </w:pPr>
    </w:p>
    <w:p w14:paraId="6B3E02D5" w14:textId="77777777" w:rsidR="00FA4AA8" w:rsidRDefault="00FA4AA8">
      <w:pPr>
        <w:pStyle w:val="BodyText"/>
        <w:rPr>
          <w:sz w:val="20"/>
        </w:rPr>
      </w:pPr>
    </w:p>
    <w:p w14:paraId="44FF9ED7" w14:textId="77777777" w:rsidR="00FA4AA8" w:rsidRDefault="00FA4AA8">
      <w:pPr>
        <w:pStyle w:val="BodyText"/>
        <w:rPr>
          <w:sz w:val="20"/>
        </w:rPr>
      </w:pPr>
    </w:p>
    <w:p w14:paraId="1D7D6E0E" w14:textId="77777777" w:rsidR="00FA4AA8" w:rsidRDefault="00FA4AA8">
      <w:pPr>
        <w:pStyle w:val="BodyText"/>
        <w:rPr>
          <w:sz w:val="20"/>
        </w:rPr>
      </w:pPr>
    </w:p>
    <w:p w14:paraId="6FF3E1A8" w14:textId="77777777" w:rsidR="00FA4AA8" w:rsidRDefault="00FA4AA8">
      <w:pPr>
        <w:pStyle w:val="BodyText"/>
        <w:rPr>
          <w:sz w:val="20"/>
        </w:rPr>
      </w:pPr>
    </w:p>
    <w:p w14:paraId="7A24CA50" w14:textId="77777777" w:rsidR="00FA4AA8" w:rsidRDefault="00FA4AA8">
      <w:pPr>
        <w:pStyle w:val="BodyText"/>
        <w:rPr>
          <w:sz w:val="20"/>
        </w:rPr>
      </w:pPr>
    </w:p>
    <w:p w14:paraId="707248A2" w14:textId="77777777" w:rsidR="00FA4AA8" w:rsidRDefault="00FA4AA8">
      <w:pPr>
        <w:pStyle w:val="BodyText"/>
        <w:spacing w:before="8"/>
        <w:rPr>
          <w:sz w:val="24"/>
        </w:rPr>
      </w:pPr>
    </w:p>
    <w:p w14:paraId="6B596C81" w14:textId="77777777" w:rsidR="00FA4AA8" w:rsidRDefault="0015611F">
      <w:pPr>
        <w:ind w:left="266" w:right="302"/>
        <w:jc w:val="center"/>
        <w:rPr>
          <w:sz w:val="15"/>
        </w:rPr>
      </w:pPr>
      <w:r>
        <w:rPr>
          <w:color w:val="111111"/>
          <w:sz w:val="15"/>
        </w:rPr>
        <w:t>186</w:t>
      </w:r>
    </w:p>
    <w:p w14:paraId="60A4823A" w14:textId="77777777" w:rsidR="00FA4AA8" w:rsidRDefault="00FA4AA8">
      <w:pPr>
        <w:jc w:val="center"/>
        <w:rPr>
          <w:sz w:val="15"/>
        </w:rPr>
        <w:sectPr w:rsidR="00FA4AA8">
          <w:headerReference w:type="default" r:id="rId201"/>
          <w:footerReference w:type="default" r:id="rId202"/>
          <w:pgSz w:w="11910" w:h="16850"/>
          <w:pgMar w:top="1600" w:right="960" w:bottom="280" w:left="940" w:header="0" w:footer="0" w:gutter="0"/>
          <w:cols w:space="720"/>
        </w:sectPr>
      </w:pPr>
    </w:p>
    <w:p w14:paraId="2224E488" w14:textId="77777777" w:rsidR="00FA4AA8" w:rsidRDefault="00FA4AA8">
      <w:pPr>
        <w:pStyle w:val="BodyText"/>
        <w:rPr>
          <w:sz w:val="20"/>
        </w:rPr>
      </w:pPr>
    </w:p>
    <w:p w14:paraId="7C5FF9BD" w14:textId="77777777" w:rsidR="00FA4AA8" w:rsidRDefault="00FA4AA8">
      <w:pPr>
        <w:pStyle w:val="BodyText"/>
        <w:rPr>
          <w:sz w:val="20"/>
        </w:rPr>
      </w:pPr>
    </w:p>
    <w:p w14:paraId="08FCBAAE" w14:textId="77777777" w:rsidR="00FA4AA8" w:rsidRDefault="00FA4AA8">
      <w:pPr>
        <w:pStyle w:val="BodyText"/>
        <w:rPr>
          <w:sz w:val="20"/>
        </w:rPr>
      </w:pPr>
    </w:p>
    <w:p w14:paraId="629251CB" w14:textId="77777777" w:rsidR="00FA4AA8" w:rsidRDefault="00FA4AA8">
      <w:pPr>
        <w:pStyle w:val="BodyText"/>
        <w:rPr>
          <w:sz w:val="20"/>
        </w:rPr>
      </w:pPr>
    </w:p>
    <w:p w14:paraId="2258B582" w14:textId="77777777" w:rsidR="00FA4AA8" w:rsidRDefault="00FA4AA8">
      <w:pPr>
        <w:pStyle w:val="BodyText"/>
        <w:rPr>
          <w:sz w:val="20"/>
        </w:rPr>
      </w:pPr>
    </w:p>
    <w:p w14:paraId="4038111F" w14:textId="77777777" w:rsidR="00FA4AA8" w:rsidRDefault="00FA4AA8">
      <w:pPr>
        <w:pStyle w:val="BodyText"/>
        <w:rPr>
          <w:sz w:val="20"/>
        </w:rPr>
      </w:pPr>
    </w:p>
    <w:p w14:paraId="41F5A462" w14:textId="77777777" w:rsidR="00FA4AA8" w:rsidRDefault="00FA4AA8">
      <w:pPr>
        <w:pStyle w:val="BodyText"/>
        <w:rPr>
          <w:sz w:val="20"/>
        </w:rPr>
      </w:pPr>
    </w:p>
    <w:p w14:paraId="07B02071" w14:textId="77777777" w:rsidR="00FA4AA8" w:rsidRDefault="00FA4AA8">
      <w:pPr>
        <w:pStyle w:val="BodyText"/>
        <w:rPr>
          <w:sz w:val="20"/>
        </w:rPr>
      </w:pPr>
    </w:p>
    <w:p w14:paraId="0AD9448E" w14:textId="77777777" w:rsidR="00FA4AA8" w:rsidRDefault="00FA4AA8">
      <w:pPr>
        <w:pStyle w:val="BodyText"/>
        <w:rPr>
          <w:sz w:val="20"/>
        </w:rPr>
      </w:pPr>
    </w:p>
    <w:p w14:paraId="4C27A339" w14:textId="77777777" w:rsidR="00FA4AA8" w:rsidRDefault="00FA4AA8">
      <w:pPr>
        <w:pStyle w:val="BodyText"/>
        <w:rPr>
          <w:sz w:val="20"/>
        </w:rPr>
      </w:pPr>
    </w:p>
    <w:p w14:paraId="27AD9EEB" w14:textId="77777777" w:rsidR="00FA4AA8" w:rsidRDefault="00FA4AA8">
      <w:pPr>
        <w:pStyle w:val="BodyText"/>
        <w:rPr>
          <w:sz w:val="20"/>
        </w:rPr>
      </w:pPr>
    </w:p>
    <w:p w14:paraId="4AB675B6" w14:textId="77777777" w:rsidR="00FA4AA8" w:rsidRDefault="00FA4AA8">
      <w:pPr>
        <w:pStyle w:val="BodyText"/>
        <w:rPr>
          <w:sz w:val="20"/>
        </w:rPr>
      </w:pPr>
    </w:p>
    <w:p w14:paraId="54CEA6E0" w14:textId="77777777" w:rsidR="00FA4AA8" w:rsidRDefault="00FA4AA8">
      <w:pPr>
        <w:pStyle w:val="BodyText"/>
        <w:rPr>
          <w:sz w:val="20"/>
        </w:rPr>
      </w:pPr>
    </w:p>
    <w:p w14:paraId="16E4BE76" w14:textId="77777777" w:rsidR="00FA4AA8" w:rsidRDefault="00FA4AA8">
      <w:pPr>
        <w:pStyle w:val="BodyText"/>
        <w:rPr>
          <w:sz w:val="20"/>
        </w:rPr>
      </w:pPr>
    </w:p>
    <w:p w14:paraId="606B7B99" w14:textId="77777777" w:rsidR="00FA4AA8" w:rsidRDefault="00FA4AA8">
      <w:pPr>
        <w:pStyle w:val="BodyText"/>
        <w:rPr>
          <w:sz w:val="20"/>
        </w:rPr>
      </w:pPr>
    </w:p>
    <w:p w14:paraId="16718868" w14:textId="77777777" w:rsidR="00FA4AA8" w:rsidRDefault="00FA4AA8">
      <w:pPr>
        <w:pStyle w:val="BodyText"/>
        <w:rPr>
          <w:sz w:val="20"/>
        </w:rPr>
      </w:pPr>
    </w:p>
    <w:p w14:paraId="1C8ABFDF" w14:textId="77777777" w:rsidR="00FA4AA8" w:rsidRDefault="00FA4AA8">
      <w:pPr>
        <w:pStyle w:val="BodyText"/>
        <w:rPr>
          <w:sz w:val="20"/>
        </w:rPr>
      </w:pPr>
    </w:p>
    <w:p w14:paraId="11EF896F" w14:textId="77777777" w:rsidR="00FA4AA8" w:rsidRDefault="00FA4AA8">
      <w:pPr>
        <w:pStyle w:val="BodyText"/>
        <w:rPr>
          <w:sz w:val="20"/>
        </w:rPr>
      </w:pPr>
    </w:p>
    <w:p w14:paraId="2D781C60" w14:textId="77777777" w:rsidR="00FA4AA8" w:rsidRDefault="00FA4AA8">
      <w:pPr>
        <w:pStyle w:val="BodyText"/>
        <w:spacing w:before="7"/>
        <w:rPr>
          <w:sz w:val="24"/>
        </w:rPr>
      </w:pPr>
    </w:p>
    <w:p w14:paraId="73E5596D" w14:textId="77777777" w:rsidR="00FA4AA8" w:rsidRDefault="0015611F">
      <w:pPr>
        <w:pStyle w:val="Heading1"/>
        <w:ind w:left="167" w:right="1301"/>
      </w:pPr>
      <w:bookmarkStart w:id="215" w:name="7._Whitlam_Trust_-_2018_Financial_statem"/>
      <w:bookmarkEnd w:id="215"/>
      <w:r>
        <w:t>Whitlam Institute Within Western Sydney University Trust</w:t>
      </w:r>
    </w:p>
    <w:p w14:paraId="40A4A089" w14:textId="77777777" w:rsidR="00FA4AA8" w:rsidRDefault="0015611F">
      <w:pPr>
        <w:ind w:left="167"/>
        <w:rPr>
          <w:b/>
          <w:sz w:val="20"/>
        </w:rPr>
      </w:pPr>
      <w:r>
        <w:rPr>
          <w:b/>
          <w:sz w:val="20"/>
        </w:rPr>
        <w:t>ABN: 42 247 216 279</w:t>
      </w:r>
    </w:p>
    <w:p w14:paraId="06AF7E04" w14:textId="77777777" w:rsidR="00FA4AA8" w:rsidRDefault="00FA4AA8">
      <w:pPr>
        <w:pStyle w:val="BodyText"/>
        <w:rPr>
          <w:b/>
          <w:sz w:val="22"/>
        </w:rPr>
      </w:pPr>
    </w:p>
    <w:p w14:paraId="1582158E" w14:textId="77777777" w:rsidR="00FA4AA8" w:rsidRDefault="00FA4AA8">
      <w:pPr>
        <w:pStyle w:val="BodyText"/>
        <w:rPr>
          <w:b/>
          <w:sz w:val="22"/>
        </w:rPr>
      </w:pPr>
    </w:p>
    <w:p w14:paraId="3A81A19B" w14:textId="77777777" w:rsidR="00FA4AA8" w:rsidRDefault="0015611F">
      <w:pPr>
        <w:spacing w:before="137"/>
        <w:ind w:left="167"/>
        <w:rPr>
          <w:b/>
          <w:sz w:val="28"/>
        </w:rPr>
      </w:pPr>
      <w:r>
        <w:rPr>
          <w:b/>
          <w:sz w:val="28"/>
        </w:rPr>
        <w:t>Financial Statements</w:t>
      </w:r>
    </w:p>
    <w:p w14:paraId="1A2199EB" w14:textId="77777777" w:rsidR="00FA4AA8" w:rsidRDefault="0015611F">
      <w:pPr>
        <w:spacing w:before="231"/>
        <w:ind w:left="167"/>
        <w:rPr>
          <w:b/>
          <w:sz w:val="20"/>
        </w:rPr>
      </w:pPr>
      <w:r>
        <w:rPr>
          <w:b/>
          <w:sz w:val="20"/>
        </w:rPr>
        <w:t>For the Year Ended 31 December 2018</w:t>
      </w:r>
    </w:p>
    <w:p w14:paraId="161A8159" w14:textId="77777777" w:rsidR="00FA4AA8" w:rsidRDefault="0015611F">
      <w:pPr>
        <w:spacing w:before="169"/>
        <w:ind w:left="167"/>
        <w:rPr>
          <w:sz w:val="20"/>
        </w:rPr>
      </w:pPr>
      <w:r>
        <w:rPr>
          <w:sz w:val="20"/>
        </w:rPr>
        <w:t>These financial statements of the Whitlam Institute Within Western Sydney University Trust (the Trust) are presented as an individual entity. The financial statements are presented in Australian currency.</w:t>
      </w:r>
    </w:p>
    <w:p w14:paraId="11E0F6EC" w14:textId="77777777" w:rsidR="00FA4AA8" w:rsidRDefault="0015611F">
      <w:pPr>
        <w:spacing w:before="170"/>
        <w:ind w:left="167" w:hanging="1"/>
        <w:rPr>
          <w:sz w:val="20"/>
        </w:rPr>
      </w:pPr>
      <w:r>
        <w:rPr>
          <w:sz w:val="20"/>
        </w:rPr>
        <w:t>The registered office and principal place of business of the Whitlam Institute Within Western Sydney University Trust is:</w:t>
      </w:r>
    </w:p>
    <w:p w14:paraId="7E6D6910" w14:textId="77777777" w:rsidR="00FA4AA8" w:rsidRDefault="0015611F">
      <w:pPr>
        <w:spacing w:before="170" w:line="417" w:lineRule="auto"/>
        <w:ind w:left="167" w:right="4986"/>
        <w:rPr>
          <w:sz w:val="20"/>
        </w:rPr>
      </w:pPr>
      <w:r>
        <w:rPr>
          <w:sz w:val="20"/>
        </w:rPr>
        <w:t>Whitlam Institute Within Western Sydney University Trust Western Sydney University</w:t>
      </w:r>
    </w:p>
    <w:p w14:paraId="466486E5" w14:textId="77777777" w:rsidR="00FA4AA8" w:rsidRDefault="0015611F">
      <w:pPr>
        <w:spacing w:line="417" w:lineRule="auto"/>
        <w:ind w:left="167" w:right="7082"/>
        <w:rPr>
          <w:sz w:val="20"/>
        </w:rPr>
      </w:pPr>
      <w:r>
        <w:rPr>
          <w:sz w:val="20"/>
        </w:rPr>
        <w:t xml:space="preserve">Building EZ, Parramatta Campus Cnr James Ruse Dr &amp; Victoria </w:t>
      </w:r>
      <w:r>
        <w:rPr>
          <w:spacing w:val="-9"/>
          <w:sz w:val="20"/>
        </w:rPr>
        <w:t xml:space="preserve">Rd </w:t>
      </w:r>
      <w:r>
        <w:rPr>
          <w:sz w:val="20"/>
        </w:rPr>
        <w:t>Rydalmere NSW 2116 Registered postal address</w:t>
      </w:r>
      <w:r>
        <w:rPr>
          <w:spacing w:val="1"/>
          <w:sz w:val="20"/>
        </w:rPr>
        <w:t xml:space="preserve"> </w:t>
      </w:r>
      <w:r>
        <w:rPr>
          <w:sz w:val="20"/>
        </w:rPr>
        <w:t>is:</w:t>
      </w:r>
    </w:p>
    <w:p w14:paraId="1997D13E" w14:textId="77777777" w:rsidR="00FA4AA8" w:rsidRDefault="0015611F">
      <w:pPr>
        <w:spacing w:line="417" w:lineRule="auto"/>
        <w:ind w:left="167" w:right="4986"/>
        <w:rPr>
          <w:sz w:val="20"/>
        </w:rPr>
      </w:pPr>
      <w:r>
        <w:rPr>
          <w:sz w:val="20"/>
        </w:rPr>
        <w:t>Whitlam Institute Within Western Sydney University Trust Locked Bag 1797</w:t>
      </w:r>
    </w:p>
    <w:p w14:paraId="7042E706" w14:textId="77777777" w:rsidR="00FA4AA8" w:rsidRDefault="0015611F">
      <w:pPr>
        <w:spacing w:line="229" w:lineRule="exact"/>
        <w:ind w:left="167"/>
        <w:rPr>
          <w:sz w:val="20"/>
        </w:rPr>
      </w:pPr>
      <w:r>
        <w:rPr>
          <w:sz w:val="20"/>
        </w:rPr>
        <w:t>Penrith NSW 2751</w:t>
      </w:r>
    </w:p>
    <w:p w14:paraId="51A5D786" w14:textId="77777777" w:rsidR="00FA4AA8" w:rsidRDefault="0015611F">
      <w:pPr>
        <w:spacing w:before="167"/>
        <w:ind w:left="167"/>
        <w:rPr>
          <w:sz w:val="20"/>
        </w:rPr>
      </w:pPr>
      <w:r>
        <w:rPr>
          <w:sz w:val="20"/>
        </w:rPr>
        <w:t>A description of the nature of the Trust's operations and it principal activities is included in the Trustees' report which is not part of these financial statements.</w:t>
      </w:r>
    </w:p>
    <w:p w14:paraId="624A23BE" w14:textId="77777777" w:rsidR="00FA4AA8" w:rsidRDefault="0015611F">
      <w:pPr>
        <w:spacing w:before="170"/>
        <w:ind w:left="167"/>
        <w:rPr>
          <w:sz w:val="20"/>
        </w:rPr>
      </w:pPr>
      <w:r>
        <w:rPr>
          <w:sz w:val="20"/>
        </w:rPr>
        <w:t>These financial statements were authorised for issue by the Trustees' on 22 February 2019. The Trustees have the power to amend and reissue the financial statements.</w:t>
      </w:r>
    </w:p>
    <w:p w14:paraId="514A17B9" w14:textId="77777777" w:rsidR="00FA4AA8" w:rsidRDefault="00FA4AA8">
      <w:pPr>
        <w:rPr>
          <w:sz w:val="20"/>
        </w:rPr>
        <w:sectPr w:rsidR="00FA4AA8">
          <w:headerReference w:type="default" r:id="rId203"/>
          <w:footerReference w:type="default" r:id="rId204"/>
          <w:pgSz w:w="11910" w:h="16840"/>
          <w:pgMar w:top="1600" w:right="840" w:bottom="720" w:left="840" w:header="0" w:footer="523" w:gutter="0"/>
          <w:pgNumType w:start="187"/>
          <w:cols w:space="720"/>
        </w:sectPr>
      </w:pPr>
    </w:p>
    <w:p w14:paraId="227CFD09" w14:textId="77777777" w:rsidR="00FA4AA8" w:rsidRDefault="00FA4AA8">
      <w:pPr>
        <w:pStyle w:val="BodyText"/>
        <w:rPr>
          <w:sz w:val="20"/>
        </w:rPr>
      </w:pPr>
    </w:p>
    <w:p w14:paraId="3003FA2B" w14:textId="77777777" w:rsidR="00FA4AA8" w:rsidRDefault="00FA4AA8">
      <w:pPr>
        <w:pStyle w:val="BodyText"/>
        <w:spacing w:before="8"/>
        <w:rPr>
          <w:sz w:val="23"/>
        </w:rPr>
      </w:pPr>
    </w:p>
    <w:p w14:paraId="23A10A6E" w14:textId="77777777" w:rsidR="00FA4AA8" w:rsidRDefault="0015611F">
      <w:pPr>
        <w:pStyle w:val="BodyText"/>
        <w:spacing w:before="94"/>
        <w:ind w:left="564" w:right="256"/>
      </w:pPr>
      <w:r>
        <w:t>The Trustees present their report on Whitlam Institute Within Western Sydney University Trust for the financial year ended 31 December 2018.</w:t>
      </w:r>
    </w:p>
    <w:p w14:paraId="7419EA63" w14:textId="77777777" w:rsidR="00FA4AA8" w:rsidRDefault="00FA4AA8">
      <w:pPr>
        <w:pStyle w:val="BodyText"/>
        <w:spacing w:before="11"/>
        <w:rPr>
          <w:sz w:val="24"/>
        </w:rPr>
      </w:pPr>
    </w:p>
    <w:p w14:paraId="2141BC4C" w14:textId="77777777" w:rsidR="00FA4AA8" w:rsidRDefault="0015611F">
      <w:pPr>
        <w:pStyle w:val="BodyText"/>
        <w:ind w:left="564"/>
      </w:pPr>
      <w:r>
        <w:t>Trustees</w:t>
      </w:r>
    </w:p>
    <w:p w14:paraId="71E16B79" w14:textId="77777777" w:rsidR="00FA4AA8" w:rsidRDefault="00FA4AA8">
      <w:pPr>
        <w:pStyle w:val="BodyText"/>
        <w:rPr>
          <w:sz w:val="25"/>
        </w:rPr>
      </w:pPr>
    </w:p>
    <w:p w14:paraId="6FE5062D" w14:textId="77777777" w:rsidR="00FA4AA8" w:rsidRDefault="0015611F">
      <w:pPr>
        <w:pStyle w:val="BodyText"/>
        <w:ind w:left="564" w:right="201"/>
      </w:pPr>
      <w:r>
        <w:t>The Whitlam Institute Within Western Sydney University Limited (referred to hereafter as the Trustee Company) has been appointed as the Trustee of the Trust. The following persons have been directors of the Trustee Company during the financial year and to the date of this report:</w:t>
      </w:r>
    </w:p>
    <w:p w14:paraId="402AEB0D" w14:textId="77777777" w:rsidR="00FA4AA8" w:rsidRDefault="00FA4AA8">
      <w:pPr>
        <w:pStyle w:val="BodyText"/>
        <w:rPr>
          <w:sz w:val="20"/>
        </w:rPr>
      </w:pPr>
    </w:p>
    <w:p w14:paraId="4988318E" w14:textId="77777777" w:rsidR="00FA4AA8" w:rsidRDefault="00FA4AA8">
      <w:pPr>
        <w:pStyle w:val="BodyText"/>
        <w:spacing w:before="5"/>
        <w:rPr>
          <w:sz w:val="25"/>
        </w:rPr>
      </w:pPr>
    </w:p>
    <w:p w14:paraId="08E1FAA4" w14:textId="77777777" w:rsidR="00FA4AA8" w:rsidRDefault="0015611F">
      <w:pPr>
        <w:pStyle w:val="BodyText"/>
        <w:spacing w:before="1" w:line="307" w:lineRule="auto"/>
        <w:ind w:left="562" w:right="7537"/>
      </w:pPr>
      <w:r>
        <w:t>The Hon. John Faulkner Ms Patricia Amphlett OAM Prof. Barney Glover</w:t>
      </w:r>
    </w:p>
    <w:p w14:paraId="60592830" w14:textId="77777777" w:rsidR="00FA4AA8" w:rsidRDefault="0015611F">
      <w:pPr>
        <w:pStyle w:val="BodyText"/>
        <w:spacing w:line="307" w:lineRule="auto"/>
        <w:ind w:left="562" w:right="7705"/>
      </w:pPr>
      <w:r>
        <w:t xml:space="preserve">Ms Gabrielle Trainor </w:t>
      </w:r>
      <w:r>
        <w:rPr>
          <w:spacing w:val="-9"/>
        </w:rPr>
        <w:t xml:space="preserve">AO </w:t>
      </w:r>
      <w:r>
        <w:t>Mr Talal Yassine OAM Ms Catherine</w:t>
      </w:r>
      <w:r>
        <w:rPr>
          <w:spacing w:val="-1"/>
        </w:rPr>
        <w:t xml:space="preserve"> </w:t>
      </w:r>
      <w:r>
        <w:t>Dovey</w:t>
      </w:r>
    </w:p>
    <w:p w14:paraId="5767A5A2" w14:textId="77777777" w:rsidR="00FA4AA8" w:rsidRDefault="0015611F">
      <w:pPr>
        <w:pStyle w:val="BodyText"/>
        <w:spacing w:line="307" w:lineRule="auto"/>
        <w:ind w:left="562" w:right="7987"/>
      </w:pPr>
      <w:r>
        <w:t>Mr Cameron Clyne Dr Rebecca</w:t>
      </w:r>
      <w:r>
        <w:rPr>
          <w:spacing w:val="3"/>
        </w:rPr>
        <w:t xml:space="preserve"> </w:t>
      </w:r>
      <w:r>
        <w:rPr>
          <w:spacing w:val="-3"/>
        </w:rPr>
        <w:t>Huntley</w:t>
      </w:r>
    </w:p>
    <w:p w14:paraId="3E4A1CC8" w14:textId="77777777" w:rsidR="00FA4AA8" w:rsidRDefault="0015611F">
      <w:pPr>
        <w:pStyle w:val="BodyText"/>
        <w:tabs>
          <w:tab w:val="left" w:pos="6686"/>
        </w:tabs>
        <w:spacing w:line="205" w:lineRule="exact"/>
        <w:ind w:left="562"/>
      </w:pPr>
      <w:r>
        <w:t>The Hon. Peter Collins</w:t>
      </w:r>
      <w:r>
        <w:rPr>
          <w:spacing w:val="-1"/>
        </w:rPr>
        <w:t xml:space="preserve"> </w:t>
      </w:r>
      <w:r>
        <w:t>AM QC</w:t>
      </w:r>
      <w:r>
        <w:tab/>
        <w:t>Appointed 30 May 2018</w:t>
      </w:r>
    </w:p>
    <w:p w14:paraId="3C3EF1D5" w14:textId="77777777" w:rsidR="00FA4AA8" w:rsidRDefault="0015611F">
      <w:pPr>
        <w:pStyle w:val="BodyText"/>
        <w:tabs>
          <w:tab w:val="left" w:pos="6686"/>
        </w:tabs>
        <w:spacing w:before="50"/>
        <w:ind w:left="562"/>
      </w:pPr>
      <w:r>
        <w:t>Ms</w:t>
      </w:r>
      <w:r>
        <w:rPr>
          <w:spacing w:val="-1"/>
        </w:rPr>
        <w:t xml:space="preserve"> </w:t>
      </w:r>
      <w:r>
        <w:t>Rebecca Mifsud</w:t>
      </w:r>
      <w:r>
        <w:tab/>
        <w:t>Appointed 22 November 2018</w:t>
      </w:r>
    </w:p>
    <w:p w14:paraId="55D055AA" w14:textId="77777777" w:rsidR="00FA4AA8" w:rsidRDefault="0015611F">
      <w:pPr>
        <w:pStyle w:val="BodyText"/>
        <w:tabs>
          <w:tab w:val="left" w:pos="6686"/>
        </w:tabs>
        <w:spacing w:before="57"/>
        <w:ind w:left="562"/>
      </w:pPr>
      <w:r>
        <w:t>Ms</w:t>
      </w:r>
      <w:r>
        <w:rPr>
          <w:spacing w:val="-1"/>
        </w:rPr>
        <w:t xml:space="preserve"> </w:t>
      </w:r>
      <w:r>
        <w:t>Amanda McKenzie</w:t>
      </w:r>
      <w:r>
        <w:tab/>
        <w:t>Resigned 17 August 2018</w:t>
      </w:r>
    </w:p>
    <w:p w14:paraId="34733A11" w14:textId="77777777" w:rsidR="00FA4AA8" w:rsidRDefault="00FA4AA8">
      <w:pPr>
        <w:pStyle w:val="BodyText"/>
        <w:spacing w:before="5"/>
        <w:rPr>
          <w:sz w:val="27"/>
        </w:rPr>
      </w:pPr>
    </w:p>
    <w:p w14:paraId="438779D0" w14:textId="77777777" w:rsidR="00FA4AA8" w:rsidRDefault="0015611F">
      <w:pPr>
        <w:pStyle w:val="BodyText"/>
        <w:ind w:left="564"/>
      </w:pPr>
      <w:r>
        <w:t>Directors have been in office since the start of the financial year to the date of this report unless otherwise stated.</w:t>
      </w:r>
    </w:p>
    <w:p w14:paraId="3F590006" w14:textId="77777777" w:rsidR="00FA4AA8" w:rsidRDefault="00FA4AA8">
      <w:pPr>
        <w:pStyle w:val="BodyText"/>
        <w:spacing w:before="7"/>
        <w:rPr>
          <w:sz w:val="26"/>
        </w:rPr>
      </w:pPr>
    </w:p>
    <w:p w14:paraId="5462A964" w14:textId="77777777" w:rsidR="00FA4AA8" w:rsidRDefault="0015611F">
      <w:pPr>
        <w:spacing w:before="1"/>
        <w:ind w:left="562"/>
        <w:rPr>
          <w:b/>
          <w:sz w:val="18"/>
        </w:rPr>
      </w:pPr>
      <w:r>
        <w:rPr>
          <w:b/>
          <w:sz w:val="18"/>
        </w:rPr>
        <w:t>Principal Activities and significant changes in nature of activities</w:t>
      </w:r>
    </w:p>
    <w:p w14:paraId="6809388B" w14:textId="77777777" w:rsidR="00FA4AA8" w:rsidRDefault="00FA4AA8">
      <w:pPr>
        <w:pStyle w:val="BodyText"/>
        <w:spacing w:before="4"/>
        <w:rPr>
          <w:b/>
          <w:sz w:val="25"/>
        </w:rPr>
      </w:pPr>
    </w:p>
    <w:p w14:paraId="44CB16D2" w14:textId="77777777" w:rsidR="00FA4AA8" w:rsidRDefault="0015611F">
      <w:pPr>
        <w:pStyle w:val="BodyText"/>
        <w:ind w:left="564"/>
      </w:pPr>
      <w:r>
        <w:t>There were no significant changes in the nature of the Trust's activities during the year.</w:t>
      </w:r>
    </w:p>
    <w:p w14:paraId="3E374676" w14:textId="77777777" w:rsidR="00FA4AA8" w:rsidRDefault="00FA4AA8">
      <w:pPr>
        <w:pStyle w:val="BodyText"/>
        <w:rPr>
          <w:sz w:val="25"/>
        </w:rPr>
      </w:pPr>
    </w:p>
    <w:p w14:paraId="69970457" w14:textId="77777777" w:rsidR="00FA4AA8" w:rsidRDefault="0015611F">
      <w:pPr>
        <w:pStyle w:val="BodyText"/>
        <w:ind w:left="564" w:right="745"/>
        <w:jc w:val="both"/>
      </w:pPr>
      <w:r>
        <w:t>The Whitlam Institute Within Western Sydney University Trust exists to support (through the provision of money, property or benefits) Western Sydney University, specifically the work of the Whitlam Institute with respect to the Whitlam Prime Ministerial Collection and the Institute's research, educational and policy activity.</w:t>
      </w:r>
    </w:p>
    <w:p w14:paraId="618E77E3" w14:textId="77777777" w:rsidR="00FA4AA8" w:rsidRDefault="00FA4AA8">
      <w:pPr>
        <w:jc w:val="both"/>
        <w:sectPr w:rsidR="00FA4AA8">
          <w:headerReference w:type="default" r:id="rId205"/>
          <w:footerReference w:type="default" r:id="rId206"/>
          <w:pgSz w:w="11910" w:h="16840"/>
          <w:pgMar w:top="2540" w:right="840" w:bottom="720" w:left="840" w:header="1017" w:footer="523" w:gutter="0"/>
          <w:pgNumType w:start="188"/>
          <w:cols w:space="720"/>
        </w:sectPr>
      </w:pPr>
    </w:p>
    <w:p w14:paraId="319A2A17" w14:textId="77777777" w:rsidR="00FA4AA8" w:rsidRDefault="00FA4AA8">
      <w:pPr>
        <w:pStyle w:val="BodyText"/>
        <w:spacing w:before="5"/>
      </w:pPr>
    </w:p>
    <w:p w14:paraId="024D7A0B" w14:textId="77777777" w:rsidR="00FA4AA8" w:rsidRDefault="0015611F">
      <w:pPr>
        <w:spacing w:before="94"/>
        <w:ind w:left="562"/>
        <w:rPr>
          <w:b/>
          <w:sz w:val="18"/>
        </w:rPr>
      </w:pPr>
      <w:r>
        <w:rPr>
          <w:b/>
          <w:sz w:val="18"/>
        </w:rPr>
        <w:t>Meetings of trustees</w:t>
      </w:r>
    </w:p>
    <w:p w14:paraId="714FA89F" w14:textId="77777777" w:rsidR="00FA4AA8" w:rsidRDefault="00FA4AA8">
      <w:pPr>
        <w:pStyle w:val="BodyText"/>
        <w:spacing w:before="5"/>
        <w:rPr>
          <w:b/>
          <w:sz w:val="25"/>
        </w:rPr>
      </w:pPr>
    </w:p>
    <w:p w14:paraId="1804D78C" w14:textId="77777777" w:rsidR="00FA4AA8" w:rsidRDefault="0015611F">
      <w:pPr>
        <w:pStyle w:val="BodyText"/>
        <w:ind w:left="564"/>
      </w:pPr>
      <w:r>
        <w:t>During the financial year, 4 meetings of trustees (including committees of trustees) were held. Attendances by each trustee during the year were as follows:</w:t>
      </w:r>
    </w:p>
    <w:p w14:paraId="0CCDE31D" w14:textId="77777777" w:rsidR="00FA4AA8" w:rsidRDefault="00FA4AA8">
      <w:pPr>
        <w:pStyle w:val="BodyText"/>
        <w:spacing w:before="8"/>
        <w:rPr>
          <w:sz w:val="25"/>
        </w:r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0"/>
        <w:gridCol w:w="1133"/>
        <w:gridCol w:w="1128"/>
      </w:tblGrid>
      <w:tr w:rsidR="00FA4AA8" w14:paraId="43EB2008" w14:textId="77777777">
        <w:trPr>
          <w:trHeight w:val="250"/>
        </w:trPr>
        <w:tc>
          <w:tcPr>
            <w:tcW w:w="2830" w:type="dxa"/>
            <w:vMerge w:val="restart"/>
            <w:tcBorders>
              <w:top w:val="nil"/>
              <w:left w:val="nil"/>
            </w:tcBorders>
          </w:tcPr>
          <w:p w14:paraId="518E8D6D" w14:textId="77777777" w:rsidR="00FA4AA8" w:rsidRDefault="00FA4AA8">
            <w:pPr>
              <w:pStyle w:val="TableParagraph"/>
              <w:rPr>
                <w:rFonts w:ascii="Times New Roman"/>
                <w:sz w:val="16"/>
              </w:rPr>
            </w:pPr>
          </w:p>
        </w:tc>
        <w:tc>
          <w:tcPr>
            <w:tcW w:w="2261" w:type="dxa"/>
            <w:gridSpan w:val="2"/>
          </w:tcPr>
          <w:p w14:paraId="64D469C9" w14:textId="77777777" w:rsidR="00FA4AA8" w:rsidRDefault="0015611F">
            <w:pPr>
              <w:pStyle w:val="TableParagraph"/>
              <w:spacing w:before="34"/>
              <w:ind w:left="433"/>
              <w:rPr>
                <w:b/>
                <w:sz w:val="16"/>
              </w:rPr>
            </w:pPr>
            <w:r>
              <w:rPr>
                <w:b/>
                <w:sz w:val="16"/>
              </w:rPr>
              <w:t>Trustees Meetings</w:t>
            </w:r>
          </w:p>
        </w:tc>
      </w:tr>
      <w:tr w:rsidR="00FA4AA8" w14:paraId="36039902" w14:textId="77777777">
        <w:trPr>
          <w:trHeight w:val="388"/>
        </w:trPr>
        <w:tc>
          <w:tcPr>
            <w:tcW w:w="2830" w:type="dxa"/>
            <w:vMerge/>
            <w:tcBorders>
              <w:top w:val="nil"/>
              <w:left w:val="nil"/>
            </w:tcBorders>
          </w:tcPr>
          <w:p w14:paraId="2E38AED8" w14:textId="77777777" w:rsidR="00FA4AA8" w:rsidRDefault="00FA4AA8">
            <w:pPr>
              <w:rPr>
                <w:sz w:val="2"/>
                <w:szCs w:val="2"/>
              </w:rPr>
            </w:pPr>
          </w:p>
        </w:tc>
        <w:tc>
          <w:tcPr>
            <w:tcW w:w="1133" w:type="dxa"/>
          </w:tcPr>
          <w:p w14:paraId="4F986970" w14:textId="77777777" w:rsidR="00FA4AA8" w:rsidRDefault="0015611F">
            <w:pPr>
              <w:pStyle w:val="TableParagraph"/>
              <w:spacing w:before="34"/>
              <w:ind w:left="270" w:right="14" w:hanging="232"/>
              <w:rPr>
                <w:b/>
                <w:sz w:val="14"/>
              </w:rPr>
            </w:pPr>
            <w:r>
              <w:rPr>
                <w:b/>
                <w:sz w:val="14"/>
              </w:rPr>
              <w:t>Number eligible to attend</w:t>
            </w:r>
          </w:p>
        </w:tc>
        <w:tc>
          <w:tcPr>
            <w:tcW w:w="1128" w:type="dxa"/>
          </w:tcPr>
          <w:p w14:paraId="2511C6C7" w14:textId="77777777" w:rsidR="00FA4AA8" w:rsidRDefault="0015611F">
            <w:pPr>
              <w:pStyle w:val="TableParagraph"/>
              <w:spacing w:before="34"/>
              <w:ind w:left="273" w:right="241" w:firstLine="27"/>
              <w:rPr>
                <w:b/>
                <w:sz w:val="14"/>
              </w:rPr>
            </w:pPr>
            <w:r>
              <w:rPr>
                <w:b/>
                <w:sz w:val="14"/>
              </w:rPr>
              <w:t>Number attended</w:t>
            </w:r>
          </w:p>
        </w:tc>
      </w:tr>
      <w:tr w:rsidR="00FA4AA8" w14:paraId="4E1C33EC" w14:textId="77777777">
        <w:trPr>
          <w:trHeight w:val="245"/>
        </w:trPr>
        <w:tc>
          <w:tcPr>
            <w:tcW w:w="2830" w:type="dxa"/>
            <w:tcBorders>
              <w:bottom w:val="nil"/>
            </w:tcBorders>
          </w:tcPr>
          <w:p w14:paraId="4311BDF7" w14:textId="77777777" w:rsidR="00FA4AA8" w:rsidRDefault="0015611F">
            <w:pPr>
              <w:pStyle w:val="TableParagraph"/>
              <w:spacing w:before="30"/>
              <w:ind w:left="52"/>
              <w:rPr>
                <w:sz w:val="16"/>
              </w:rPr>
            </w:pPr>
            <w:r>
              <w:rPr>
                <w:sz w:val="16"/>
              </w:rPr>
              <w:t>The Hon. John Faulkner</w:t>
            </w:r>
          </w:p>
        </w:tc>
        <w:tc>
          <w:tcPr>
            <w:tcW w:w="1133" w:type="dxa"/>
            <w:tcBorders>
              <w:bottom w:val="nil"/>
            </w:tcBorders>
          </w:tcPr>
          <w:p w14:paraId="1AB17736" w14:textId="77777777" w:rsidR="00FA4AA8" w:rsidRDefault="0015611F">
            <w:pPr>
              <w:pStyle w:val="TableParagraph"/>
              <w:spacing w:before="29"/>
              <w:ind w:right="456"/>
              <w:jc w:val="right"/>
              <w:rPr>
                <w:sz w:val="16"/>
              </w:rPr>
            </w:pPr>
            <w:r>
              <w:rPr>
                <w:w w:val="99"/>
                <w:sz w:val="16"/>
              </w:rPr>
              <w:t>4</w:t>
            </w:r>
          </w:p>
        </w:tc>
        <w:tc>
          <w:tcPr>
            <w:tcW w:w="1128" w:type="dxa"/>
            <w:tcBorders>
              <w:bottom w:val="nil"/>
            </w:tcBorders>
          </w:tcPr>
          <w:p w14:paraId="25371B3A" w14:textId="77777777" w:rsidR="00FA4AA8" w:rsidRDefault="0015611F">
            <w:pPr>
              <w:pStyle w:val="TableParagraph"/>
              <w:spacing w:before="29"/>
              <w:ind w:right="451"/>
              <w:jc w:val="right"/>
              <w:rPr>
                <w:sz w:val="16"/>
              </w:rPr>
            </w:pPr>
            <w:r>
              <w:rPr>
                <w:w w:val="99"/>
                <w:sz w:val="16"/>
              </w:rPr>
              <w:t>4</w:t>
            </w:r>
          </w:p>
        </w:tc>
      </w:tr>
      <w:tr w:rsidR="00FA4AA8" w14:paraId="36BBECD7" w14:textId="77777777">
        <w:trPr>
          <w:trHeight w:val="241"/>
        </w:trPr>
        <w:tc>
          <w:tcPr>
            <w:tcW w:w="2830" w:type="dxa"/>
            <w:tcBorders>
              <w:top w:val="nil"/>
              <w:bottom w:val="nil"/>
            </w:tcBorders>
          </w:tcPr>
          <w:p w14:paraId="2B00B2E3" w14:textId="77777777" w:rsidR="00FA4AA8" w:rsidRDefault="0015611F">
            <w:pPr>
              <w:pStyle w:val="TableParagraph"/>
              <w:spacing w:before="26"/>
              <w:ind w:left="52"/>
              <w:rPr>
                <w:sz w:val="16"/>
              </w:rPr>
            </w:pPr>
            <w:r>
              <w:rPr>
                <w:sz w:val="16"/>
              </w:rPr>
              <w:t>Ms Patricia Amphlett OAM</w:t>
            </w:r>
          </w:p>
        </w:tc>
        <w:tc>
          <w:tcPr>
            <w:tcW w:w="1133" w:type="dxa"/>
            <w:tcBorders>
              <w:top w:val="nil"/>
              <w:bottom w:val="nil"/>
            </w:tcBorders>
          </w:tcPr>
          <w:p w14:paraId="54DB7340" w14:textId="77777777" w:rsidR="00FA4AA8" w:rsidRDefault="0015611F">
            <w:pPr>
              <w:pStyle w:val="TableParagraph"/>
              <w:spacing w:before="25"/>
              <w:ind w:right="456"/>
              <w:jc w:val="right"/>
              <w:rPr>
                <w:sz w:val="16"/>
              </w:rPr>
            </w:pPr>
            <w:r>
              <w:rPr>
                <w:w w:val="99"/>
                <w:sz w:val="16"/>
              </w:rPr>
              <w:t>4</w:t>
            </w:r>
          </w:p>
        </w:tc>
        <w:tc>
          <w:tcPr>
            <w:tcW w:w="1128" w:type="dxa"/>
            <w:tcBorders>
              <w:top w:val="nil"/>
              <w:bottom w:val="nil"/>
            </w:tcBorders>
          </w:tcPr>
          <w:p w14:paraId="01E12E5A" w14:textId="77777777" w:rsidR="00FA4AA8" w:rsidRDefault="0015611F">
            <w:pPr>
              <w:pStyle w:val="TableParagraph"/>
              <w:spacing w:before="25"/>
              <w:ind w:right="451"/>
              <w:jc w:val="right"/>
              <w:rPr>
                <w:sz w:val="16"/>
              </w:rPr>
            </w:pPr>
            <w:r>
              <w:rPr>
                <w:w w:val="99"/>
                <w:sz w:val="16"/>
              </w:rPr>
              <w:t>4</w:t>
            </w:r>
          </w:p>
        </w:tc>
      </w:tr>
      <w:tr w:rsidR="00FA4AA8" w14:paraId="7132C8E4" w14:textId="77777777">
        <w:trPr>
          <w:trHeight w:val="241"/>
        </w:trPr>
        <w:tc>
          <w:tcPr>
            <w:tcW w:w="2830" w:type="dxa"/>
            <w:tcBorders>
              <w:top w:val="nil"/>
              <w:bottom w:val="nil"/>
            </w:tcBorders>
          </w:tcPr>
          <w:p w14:paraId="6279CC26" w14:textId="77777777" w:rsidR="00FA4AA8" w:rsidRDefault="0015611F">
            <w:pPr>
              <w:pStyle w:val="TableParagraph"/>
              <w:spacing w:before="26"/>
              <w:ind w:left="52"/>
              <w:rPr>
                <w:sz w:val="16"/>
              </w:rPr>
            </w:pPr>
            <w:r>
              <w:rPr>
                <w:sz w:val="16"/>
              </w:rPr>
              <w:t>Prof. Barney Glover</w:t>
            </w:r>
          </w:p>
        </w:tc>
        <w:tc>
          <w:tcPr>
            <w:tcW w:w="1133" w:type="dxa"/>
            <w:tcBorders>
              <w:top w:val="nil"/>
              <w:bottom w:val="nil"/>
            </w:tcBorders>
          </w:tcPr>
          <w:p w14:paraId="7599A8B1" w14:textId="77777777" w:rsidR="00FA4AA8" w:rsidRDefault="0015611F">
            <w:pPr>
              <w:pStyle w:val="TableParagraph"/>
              <w:spacing w:before="25"/>
              <w:ind w:right="456"/>
              <w:jc w:val="right"/>
              <w:rPr>
                <w:sz w:val="16"/>
              </w:rPr>
            </w:pPr>
            <w:r>
              <w:rPr>
                <w:w w:val="99"/>
                <w:sz w:val="16"/>
              </w:rPr>
              <w:t>4</w:t>
            </w:r>
          </w:p>
        </w:tc>
        <w:tc>
          <w:tcPr>
            <w:tcW w:w="1128" w:type="dxa"/>
            <w:tcBorders>
              <w:top w:val="nil"/>
              <w:bottom w:val="nil"/>
            </w:tcBorders>
          </w:tcPr>
          <w:p w14:paraId="22E974CE" w14:textId="77777777" w:rsidR="00FA4AA8" w:rsidRDefault="0015611F">
            <w:pPr>
              <w:pStyle w:val="TableParagraph"/>
              <w:spacing w:before="25"/>
              <w:ind w:right="451"/>
              <w:jc w:val="right"/>
              <w:rPr>
                <w:sz w:val="16"/>
              </w:rPr>
            </w:pPr>
            <w:r>
              <w:rPr>
                <w:w w:val="99"/>
                <w:sz w:val="16"/>
              </w:rPr>
              <w:t>4</w:t>
            </w:r>
          </w:p>
        </w:tc>
      </w:tr>
      <w:tr w:rsidR="00FA4AA8" w14:paraId="2C72CD4E" w14:textId="77777777">
        <w:trPr>
          <w:trHeight w:val="241"/>
        </w:trPr>
        <w:tc>
          <w:tcPr>
            <w:tcW w:w="2830" w:type="dxa"/>
            <w:tcBorders>
              <w:top w:val="nil"/>
              <w:bottom w:val="nil"/>
            </w:tcBorders>
          </w:tcPr>
          <w:p w14:paraId="4451CCA9" w14:textId="77777777" w:rsidR="00FA4AA8" w:rsidRDefault="0015611F">
            <w:pPr>
              <w:pStyle w:val="TableParagraph"/>
              <w:spacing w:before="26"/>
              <w:ind w:left="52"/>
              <w:rPr>
                <w:sz w:val="16"/>
              </w:rPr>
            </w:pPr>
            <w:r>
              <w:rPr>
                <w:sz w:val="16"/>
              </w:rPr>
              <w:t>Ms Gabrielle Trainor AO</w:t>
            </w:r>
          </w:p>
        </w:tc>
        <w:tc>
          <w:tcPr>
            <w:tcW w:w="1133" w:type="dxa"/>
            <w:tcBorders>
              <w:top w:val="nil"/>
              <w:bottom w:val="nil"/>
            </w:tcBorders>
          </w:tcPr>
          <w:p w14:paraId="112556B9" w14:textId="77777777" w:rsidR="00FA4AA8" w:rsidRDefault="0015611F">
            <w:pPr>
              <w:pStyle w:val="TableParagraph"/>
              <w:spacing w:before="25"/>
              <w:ind w:right="456"/>
              <w:jc w:val="right"/>
              <w:rPr>
                <w:sz w:val="16"/>
              </w:rPr>
            </w:pPr>
            <w:r>
              <w:rPr>
                <w:w w:val="99"/>
                <w:sz w:val="16"/>
              </w:rPr>
              <w:t>4</w:t>
            </w:r>
          </w:p>
        </w:tc>
        <w:tc>
          <w:tcPr>
            <w:tcW w:w="1128" w:type="dxa"/>
            <w:tcBorders>
              <w:top w:val="nil"/>
              <w:bottom w:val="nil"/>
            </w:tcBorders>
          </w:tcPr>
          <w:p w14:paraId="607CBD30" w14:textId="77777777" w:rsidR="00FA4AA8" w:rsidRDefault="0015611F">
            <w:pPr>
              <w:pStyle w:val="TableParagraph"/>
              <w:spacing w:before="25"/>
              <w:ind w:right="451"/>
              <w:jc w:val="right"/>
              <w:rPr>
                <w:sz w:val="16"/>
              </w:rPr>
            </w:pPr>
            <w:r>
              <w:rPr>
                <w:w w:val="99"/>
                <w:sz w:val="16"/>
              </w:rPr>
              <w:t>3</w:t>
            </w:r>
          </w:p>
        </w:tc>
      </w:tr>
      <w:tr w:rsidR="00FA4AA8" w14:paraId="0ABB0AE9" w14:textId="77777777">
        <w:trPr>
          <w:trHeight w:val="241"/>
        </w:trPr>
        <w:tc>
          <w:tcPr>
            <w:tcW w:w="2830" w:type="dxa"/>
            <w:tcBorders>
              <w:top w:val="nil"/>
              <w:bottom w:val="nil"/>
            </w:tcBorders>
          </w:tcPr>
          <w:p w14:paraId="4B3AEE45" w14:textId="77777777" w:rsidR="00FA4AA8" w:rsidRDefault="0015611F">
            <w:pPr>
              <w:pStyle w:val="TableParagraph"/>
              <w:spacing w:before="26"/>
              <w:ind w:left="52"/>
              <w:rPr>
                <w:sz w:val="16"/>
              </w:rPr>
            </w:pPr>
            <w:r>
              <w:rPr>
                <w:sz w:val="16"/>
              </w:rPr>
              <w:t>Mr Talal Yassine OAM</w:t>
            </w:r>
          </w:p>
        </w:tc>
        <w:tc>
          <w:tcPr>
            <w:tcW w:w="1133" w:type="dxa"/>
            <w:tcBorders>
              <w:top w:val="nil"/>
              <w:bottom w:val="nil"/>
            </w:tcBorders>
          </w:tcPr>
          <w:p w14:paraId="2ED3AB1A" w14:textId="77777777" w:rsidR="00FA4AA8" w:rsidRDefault="0015611F">
            <w:pPr>
              <w:pStyle w:val="TableParagraph"/>
              <w:spacing w:before="25"/>
              <w:ind w:right="456"/>
              <w:jc w:val="right"/>
              <w:rPr>
                <w:sz w:val="16"/>
              </w:rPr>
            </w:pPr>
            <w:r>
              <w:rPr>
                <w:w w:val="99"/>
                <w:sz w:val="16"/>
              </w:rPr>
              <w:t>4</w:t>
            </w:r>
          </w:p>
        </w:tc>
        <w:tc>
          <w:tcPr>
            <w:tcW w:w="1128" w:type="dxa"/>
            <w:tcBorders>
              <w:top w:val="nil"/>
              <w:bottom w:val="nil"/>
            </w:tcBorders>
          </w:tcPr>
          <w:p w14:paraId="0957DCB7" w14:textId="77777777" w:rsidR="00FA4AA8" w:rsidRDefault="0015611F">
            <w:pPr>
              <w:pStyle w:val="TableParagraph"/>
              <w:spacing w:before="25"/>
              <w:ind w:right="451"/>
              <w:jc w:val="right"/>
              <w:rPr>
                <w:sz w:val="16"/>
              </w:rPr>
            </w:pPr>
            <w:r>
              <w:rPr>
                <w:w w:val="99"/>
                <w:sz w:val="16"/>
              </w:rPr>
              <w:t>2</w:t>
            </w:r>
          </w:p>
        </w:tc>
      </w:tr>
      <w:tr w:rsidR="00FA4AA8" w14:paraId="392CDD8D" w14:textId="77777777">
        <w:trPr>
          <w:trHeight w:val="241"/>
        </w:trPr>
        <w:tc>
          <w:tcPr>
            <w:tcW w:w="2830" w:type="dxa"/>
            <w:tcBorders>
              <w:top w:val="nil"/>
              <w:bottom w:val="nil"/>
            </w:tcBorders>
          </w:tcPr>
          <w:p w14:paraId="449E497D" w14:textId="77777777" w:rsidR="00FA4AA8" w:rsidRDefault="0015611F">
            <w:pPr>
              <w:pStyle w:val="TableParagraph"/>
              <w:spacing w:before="26"/>
              <w:ind w:left="52"/>
              <w:rPr>
                <w:sz w:val="16"/>
              </w:rPr>
            </w:pPr>
            <w:r>
              <w:rPr>
                <w:sz w:val="16"/>
              </w:rPr>
              <w:t>Ms Catherine Dovey</w:t>
            </w:r>
          </w:p>
        </w:tc>
        <w:tc>
          <w:tcPr>
            <w:tcW w:w="1133" w:type="dxa"/>
            <w:tcBorders>
              <w:top w:val="nil"/>
              <w:bottom w:val="nil"/>
            </w:tcBorders>
          </w:tcPr>
          <w:p w14:paraId="077606C6" w14:textId="77777777" w:rsidR="00FA4AA8" w:rsidRDefault="0015611F">
            <w:pPr>
              <w:pStyle w:val="TableParagraph"/>
              <w:spacing w:before="25"/>
              <w:ind w:right="456"/>
              <w:jc w:val="right"/>
              <w:rPr>
                <w:sz w:val="16"/>
              </w:rPr>
            </w:pPr>
            <w:r>
              <w:rPr>
                <w:w w:val="99"/>
                <w:sz w:val="16"/>
              </w:rPr>
              <w:t>4</w:t>
            </w:r>
          </w:p>
        </w:tc>
        <w:tc>
          <w:tcPr>
            <w:tcW w:w="1128" w:type="dxa"/>
            <w:tcBorders>
              <w:top w:val="nil"/>
              <w:bottom w:val="nil"/>
            </w:tcBorders>
          </w:tcPr>
          <w:p w14:paraId="55EE7C8C" w14:textId="77777777" w:rsidR="00FA4AA8" w:rsidRDefault="0015611F">
            <w:pPr>
              <w:pStyle w:val="TableParagraph"/>
              <w:spacing w:before="25"/>
              <w:ind w:right="451"/>
              <w:jc w:val="right"/>
              <w:rPr>
                <w:sz w:val="16"/>
              </w:rPr>
            </w:pPr>
            <w:r>
              <w:rPr>
                <w:w w:val="99"/>
                <w:sz w:val="16"/>
              </w:rPr>
              <w:t>3</w:t>
            </w:r>
          </w:p>
        </w:tc>
      </w:tr>
      <w:tr w:rsidR="00FA4AA8" w14:paraId="7DDC7055" w14:textId="77777777">
        <w:trPr>
          <w:trHeight w:val="241"/>
        </w:trPr>
        <w:tc>
          <w:tcPr>
            <w:tcW w:w="2830" w:type="dxa"/>
            <w:tcBorders>
              <w:top w:val="nil"/>
              <w:bottom w:val="nil"/>
            </w:tcBorders>
          </w:tcPr>
          <w:p w14:paraId="093C4A22" w14:textId="77777777" w:rsidR="00FA4AA8" w:rsidRDefault="0015611F">
            <w:pPr>
              <w:pStyle w:val="TableParagraph"/>
              <w:spacing w:before="26"/>
              <w:ind w:left="52"/>
              <w:rPr>
                <w:sz w:val="16"/>
              </w:rPr>
            </w:pPr>
            <w:r>
              <w:rPr>
                <w:sz w:val="16"/>
              </w:rPr>
              <w:t>Mr Cameron Clyne</w:t>
            </w:r>
          </w:p>
        </w:tc>
        <w:tc>
          <w:tcPr>
            <w:tcW w:w="1133" w:type="dxa"/>
            <w:tcBorders>
              <w:top w:val="nil"/>
              <w:bottom w:val="nil"/>
            </w:tcBorders>
          </w:tcPr>
          <w:p w14:paraId="68F4C102" w14:textId="77777777" w:rsidR="00FA4AA8" w:rsidRDefault="0015611F">
            <w:pPr>
              <w:pStyle w:val="TableParagraph"/>
              <w:spacing w:before="25"/>
              <w:ind w:right="456"/>
              <w:jc w:val="right"/>
              <w:rPr>
                <w:sz w:val="16"/>
              </w:rPr>
            </w:pPr>
            <w:r>
              <w:rPr>
                <w:w w:val="99"/>
                <w:sz w:val="16"/>
              </w:rPr>
              <w:t>4</w:t>
            </w:r>
          </w:p>
        </w:tc>
        <w:tc>
          <w:tcPr>
            <w:tcW w:w="1128" w:type="dxa"/>
            <w:tcBorders>
              <w:top w:val="nil"/>
              <w:bottom w:val="nil"/>
            </w:tcBorders>
          </w:tcPr>
          <w:p w14:paraId="109D4E95" w14:textId="77777777" w:rsidR="00FA4AA8" w:rsidRDefault="0015611F">
            <w:pPr>
              <w:pStyle w:val="TableParagraph"/>
              <w:spacing w:before="25"/>
              <w:ind w:right="451"/>
              <w:jc w:val="right"/>
              <w:rPr>
                <w:sz w:val="16"/>
              </w:rPr>
            </w:pPr>
            <w:r>
              <w:rPr>
                <w:w w:val="99"/>
                <w:sz w:val="16"/>
              </w:rPr>
              <w:t>3</w:t>
            </w:r>
          </w:p>
        </w:tc>
      </w:tr>
      <w:tr w:rsidR="00FA4AA8" w14:paraId="0CD8697E" w14:textId="77777777">
        <w:trPr>
          <w:trHeight w:val="241"/>
        </w:trPr>
        <w:tc>
          <w:tcPr>
            <w:tcW w:w="2830" w:type="dxa"/>
            <w:tcBorders>
              <w:top w:val="nil"/>
              <w:bottom w:val="nil"/>
            </w:tcBorders>
          </w:tcPr>
          <w:p w14:paraId="0CCE74A7" w14:textId="77777777" w:rsidR="00FA4AA8" w:rsidRDefault="0015611F">
            <w:pPr>
              <w:pStyle w:val="TableParagraph"/>
              <w:spacing w:before="26"/>
              <w:ind w:left="52"/>
              <w:rPr>
                <w:sz w:val="16"/>
              </w:rPr>
            </w:pPr>
            <w:r>
              <w:rPr>
                <w:sz w:val="16"/>
              </w:rPr>
              <w:t>Dr Rebecca Huntley</w:t>
            </w:r>
          </w:p>
        </w:tc>
        <w:tc>
          <w:tcPr>
            <w:tcW w:w="1133" w:type="dxa"/>
            <w:tcBorders>
              <w:top w:val="nil"/>
              <w:bottom w:val="nil"/>
            </w:tcBorders>
          </w:tcPr>
          <w:p w14:paraId="675DE33D" w14:textId="77777777" w:rsidR="00FA4AA8" w:rsidRDefault="0015611F">
            <w:pPr>
              <w:pStyle w:val="TableParagraph"/>
              <w:spacing w:before="25"/>
              <w:ind w:right="456"/>
              <w:jc w:val="right"/>
              <w:rPr>
                <w:sz w:val="16"/>
              </w:rPr>
            </w:pPr>
            <w:r>
              <w:rPr>
                <w:w w:val="99"/>
                <w:sz w:val="16"/>
              </w:rPr>
              <w:t>4</w:t>
            </w:r>
          </w:p>
        </w:tc>
        <w:tc>
          <w:tcPr>
            <w:tcW w:w="1128" w:type="dxa"/>
            <w:tcBorders>
              <w:top w:val="nil"/>
              <w:bottom w:val="nil"/>
            </w:tcBorders>
          </w:tcPr>
          <w:p w14:paraId="17E37A52" w14:textId="77777777" w:rsidR="00FA4AA8" w:rsidRDefault="0015611F">
            <w:pPr>
              <w:pStyle w:val="TableParagraph"/>
              <w:spacing w:before="25"/>
              <w:ind w:right="451"/>
              <w:jc w:val="right"/>
              <w:rPr>
                <w:sz w:val="16"/>
              </w:rPr>
            </w:pPr>
            <w:r>
              <w:rPr>
                <w:w w:val="99"/>
                <w:sz w:val="16"/>
              </w:rPr>
              <w:t>4</w:t>
            </w:r>
          </w:p>
        </w:tc>
      </w:tr>
      <w:tr w:rsidR="00FA4AA8" w14:paraId="1F37D45D" w14:textId="77777777">
        <w:trPr>
          <w:trHeight w:val="241"/>
        </w:trPr>
        <w:tc>
          <w:tcPr>
            <w:tcW w:w="2830" w:type="dxa"/>
            <w:tcBorders>
              <w:top w:val="nil"/>
              <w:bottom w:val="nil"/>
            </w:tcBorders>
          </w:tcPr>
          <w:p w14:paraId="6553C81C" w14:textId="77777777" w:rsidR="00FA4AA8" w:rsidRDefault="0015611F">
            <w:pPr>
              <w:pStyle w:val="TableParagraph"/>
              <w:spacing w:before="26"/>
              <w:ind w:left="52"/>
              <w:rPr>
                <w:sz w:val="16"/>
              </w:rPr>
            </w:pPr>
            <w:r>
              <w:rPr>
                <w:sz w:val="16"/>
              </w:rPr>
              <w:t>The Hon. Peter Collins AM QC</w:t>
            </w:r>
          </w:p>
        </w:tc>
        <w:tc>
          <w:tcPr>
            <w:tcW w:w="1133" w:type="dxa"/>
            <w:tcBorders>
              <w:top w:val="nil"/>
              <w:bottom w:val="nil"/>
            </w:tcBorders>
          </w:tcPr>
          <w:p w14:paraId="5A30C2FF" w14:textId="77777777" w:rsidR="00FA4AA8" w:rsidRDefault="0015611F">
            <w:pPr>
              <w:pStyle w:val="TableParagraph"/>
              <w:spacing w:before="25"/>
              <w:ind w:right="456"/>
              <w:jc w:val="right"/>
              <w:rPr>
                <w:sz w:val="16"/>
              </w:rPr>
            </w:pPr>
            <w:r>
              <w:rPr>
                <w:w w:val="99"/>
                <w:sz w:val="16"/>
              </w:rPr>
              <w:t>2</w:t>
            </w:r>
          </w:p>
        </w:tc>
        <w:tc>
          <w:tcPr>
            <w:tcW w:w="1128" w:type="dxa"/>
            <w:tcBorders>
              <w:top w:val="nil"/>
              <w:bottom w:val="nil"/>
            </w:tcBorders>
          </w:tcPr>
          <w:p w14:paraId="1BB58EE6" w14:textId="77777777" w:rsidR="00FA4AA8" w:rsidRDefault="0015611F">
            <w:pPr>
              <w:pStyle w:val="TableParagraph"/>
              <w:spacing w:before="25"/>
              <w:ind w:right="451"/>
              <w:jc w:val="right"/>
              <w:rPr>
                <w:sz w:val="16"/>
              </w:rPr>
            </w:pPr>
            <w:r>
              <w:rPr>
                <w:w w:val="99"/>
                <w:sz w:val="16"/>
              </w:rPr>
              <w:t>2</w:t>
            </w:r>
          </w:p>
        </w:tc>
      </w:tr>
      <w:tr w:rsidR="00FA4AA8" w14:paraId="1E9C2B6F" w14:textId="77777777">
        <w:trPr>
          <w:trHeight w:val="241"/>
        </w:trPr>
        <w:tc>
          <w:tcPr>
            <w:tcW w:w="2830" w:type="dxa"/>
            <w:tcBorders>
              <w:top w:val="nil"/>
              <w:bottom w:val="nil"/>
            </w:tcBorders>
          </w:tcPr>
          <w:p w14:paraId="3BDAC036" w14:textId="77777777" w:rsidR="00FA4AA8" w:rsidRDefault="0015611F">
            <w:pPr>
              <w:pStyle w:val="TableParagraph"/>
              <w:spacing w:before="26"/>
              <w:ind w:left="52"/>
              <w:rPr>
                <w:sz w:val="16"/>
              </w:rPr>
            </w:pPr>
            <w:r>
              <w:rPr>
                <w:sz w:val="16"/>
              </w:rPr>
              <w:t>Ms Rebecca Mifsud</w:t>
            </w:r>
          </w:p>
        </w:tc>
        <w:tc>
          <w:tcPr>
            <w:tcW w:w="1133" w:type="dxa"/>
            <w:tcBorders>
              <w:top w:val="nil"/>
              <w:bottom w:val="nil"/>
            </w:tcBorders>
          </w:tcPr>
          <w:p w14:paraId="520CBBF2" w14:textId="77777777" w:rsidR="00FA4AA8" w:rsidRDefault="0015611F">
            <w:pPr>
              <w:pStyle w:val="TableParagraph"/>
              <w:spacing w:before="25"/>
              <w:ind w:right="455"/>
              <w:jc w:val="right"/>
              <w:rPr>
                <w:sz w:val="16"/>
              </w:rPr>
            </w:pPr>
            <w:r>
              <w:rPr>
                <w:w w:val="99"/>
                <w:sz w:val="16"/>
              </w:rPr>
              <w:t>-</w:t>
            </w:r>
          </w:p>
        </w:tc>
        <w:tc>
          <w:tcPr>
            <w:tcW w:w="1128" w:type="dxa"/>
            <w:tcBorders>
              <w:top w:val="nil"/>
              <w:bottom w:val="nil"/>
            </w:tcBorders>
          </w:tcPr>
          <w:p w14:paraId="4D931512" w14:textId="77777777" w:rsidR="00FA4AA8" w:rsidRDefault="0015611F">
            <w:pPr>
              <w:pStyle w:val="TableParagraph"/>
              <w:spacing w:before="25"/>
              <w:ind w:right="451"/>
              <w:jc w:val="right"/>
              <w:rPr>
                <w:sz w:val="16"/>
              </w:rPr>
            </w:pPr>
            <w:r>
              <w:rPr>
                <w:w w:val="99"/>
                <w:sz w:val="16"/>
              </w:rPr>
              <w:t>-</w:t>
            </w:r>
          </w:p>
        </w:tc>
      </w:tr>
      <w:tr w:rsidR="00FA4AA8" w14:paraId="3C61824C" w14:textId="77777777">
        <w:trPr>
          <w:trHeight w:val="478"/>
        </w:trPr>
        <w:tc>
          <w:tcPr>
            <w:tcW w:w="2830" w:type="dxa"/>
            <w:tcBorders>
              <w:top w:val="nil"/>
            </w:tcBorders>
          </w:tcPr>
          <w:p w14:paraId="683AF745" w14:textId="77777777" w:rsidR="00FA4AA8" w:rsidRDefault="0015611F">
            <w:pPr>
              <w:pStyle w:val="TableParagraph"/>
              <w:spacing w:before="26"/>
              <w:ind w:left="52"/>
              <w:rPr>
                <w:sz w:val="16"/>
              </w:rPr>
            </w:pPr>
            <w:r>
              <w:rPr>
                <w:sz w:val="16"/>
              </w:rPr>
              <w:t>Ms Amanda McKenzie</w:t>
            </w:r>
          </w:p>
        </w:tc>
        <w:tc>
          <w:tcPr>
            <w:tcW w:w="1133" w:type="dxa"/>
            <w:tcBorders>
              <w:top w:val="nil"/>
            </w:tcBorders>
          </w:tcPr>
          <w:p w14:paraId="392D09E1" w14:textId="77777777" w:rsidR="00FA4AA8" w:rsidRDefault="0015611F">
            <w:pPr>
              <w:pStyle w:val="TableParagraph"/>
              <w:spacing w:before="25"/>
              <w:ind w:right="456"/>
              <w:jc w:val="right"/>
              <w:rPr>
                <w:sz w:val="16"/>
              </w:rPr>
            </w:pPr>
            <w:r>
              <w:rPr>
                <w:w w:val="99"/>
                <w:sz w:val="16"/>
              </w:rPr>
              <w:t>3</w:t>
            </w:r>
          </w:p>
        </w:tc>
        <w:tc>
          <w:tcPr>
            <w:tcW w:w="1128" w:type="dxa"/>
            <w:tcBorders>
              <w:top w:val="nil"/>
            </w:tcBorders>
          </w:tcPr>
          <w:p w14:paraId="0FE0C13A" w14:textId="77777777" w:rsidR="00FA4AA8" w:rsidRDefault="0015611F">
            <w:pPr>
              <w:pStyle w:val="TableParagraph"/>
              <w:spacing w:before="25"/>
              <w:ind w:right="451"/>
              <w:jc w:val="right"/>
              <w:rPr>
                <w:sz w:val="16"/>
              </w:rPr>
            </w:pPr>
            <w:r>
              <w:rPr>
                <w:w w:val="99"/>
                <w:sz w:val="16"/>
              </w:rPr>
              <w:t>1</w:t>
            </w:r>
          </w:p>
        </w:tc>
      </w:tr>
    </w:tbl>
    <w:p w14:paraId="03D0683E" w14:textId="77777777" w:rsidR="00FA4AA8" w:rsidRDefault="00FA4AA8">
      <w:pPr>
        <w:pStyle w:val="BodyText"/>
        <w:spacing w:before="1"/>
        <w:rPr>
          <w:sz w:val="25"/>
        </w:rPr>
      </w:pPr>
    </w:p>
    <w:p w14:paraId="6D3BC2B3" w14:textId="77777777" w:rsidR="00FA4AA8" w:rsidRDefault="0015611F">
      <w:pPr>
        <w:pStyle w:val="BodyText"/>
        <w:ind w:left="564"/>
      </w:pPr>
      <w:r>
        <w:t>This report is made in accordance with a resolution of the Trustees.</w:t>
      </w:r>
    </w:p>
    <w:p w14:paraId="28A9455D" w14:textId="77777777" w:rsidR="00FA4AA8" w:rsidRDefault="00FA4AA8">
      <w:pPr>
        <w:pStyle w:val="BodyText"/>
        <w:rPr>
          <w:sz w:val="20"/>
        </w:rPr>
      </w:pPr>
    </w:p>
    <w:p w14:paraId="00D6CFD7" w14:textId="77777777" w:rsidR="00FA4AA8" w:rsidRDefault="0015611F">
      <w:pPr>
        <w:pStyle w:val="BodyText"/>
        <w:spacing w:before="4"/>
        <w:rPr>
          <w:sz w:val="16"/>
        </w:rPr>
      </w:pPr>
      <w:r>
        <w:rPr>
          <w:noProof/>
          <w:lang w:val="en-AU" w:eastAsia="en-AU"/>
        </w:rPr>
        <w:drawing>
          <wp:anchor distT="0" distB="0" distL="0" distR="0" simplePos="0" relativeHeight="143" behindDoc="0" locked="0" layoutInCell="1" allowOverlap="1" wp14:anchorId="7D32F57A" wp14:editId="270045C7">
            <wp:simplePos x="0" y="0"/>
            <wp:positionH relativeFrom="page">
              <wp:posOffset>885427</wp:posOffset>
            </wp:positionH>
            <wp:positionV relativeFrom="paragraph">
              <wp:posOffset>144332</wp:posOffset>
            </wp:positionV>
            <wp:extent cx="5949234" cy="891539"/>
            <wp:effectExtent l="0" t="0" r="0" b="0"/>
            <wp:wrapTopAndBottom/>
            <wp:docPr id="99"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63.jpeg"/>
                    <pic:cNvPicPr/>
                  </pic:nvPicPr>
                  <pic:blipFill>
                    <a:blip r:embed="rId207" cstate="print"/>
                    <a:stretch>
                      <a:fillRect/>
                    </a:stretch>
                  </pic:blipFill>
                  <pic:spPr>
                    <a:xfrm>
                      <a:off x="0" y="0"/>
                      <a:ext cx="5949234" cy="891539"/>
                    </a:xfrm>
                    <a:prstGeom prst="rect">
                      <a:avLst/>
                    </a:prstGeom>
                  </pic:spPr>
                </pic:pic>
              </a:graphicData>
            </a:graphic>
          </wp:anchor>
        </w:drawing>
      </w:r>
    </w:p>
    <w:p w14:paraId="4BF0106B" w14:textId="77777777" w:rsidR="00FA4AA8" w:rsidRDefault="00FA4AA8">
      <w:pPr>
        <w:pStyle w:val="BodyText"/>
        <w:rPr>
          <w:sz w:val="20"/>
        </w:rPr>
      </w:pPr>
    </w:p>
    <w:p w14:paraId="53B2C43E" w14:textId="77777777" w:rsidR="00FA4AA8" w:rsidRDefault="0015611F">
      <w:pPr>
        <w:pStyle w:val="BodyText"/>
        <w:spacing w:before="174"/>
        <w:ind w:left="563"/>
      </w:pPr>
      <w:r>
        <w:t>Dated 22 February 2019</w:t>
      </w:r>
    </w:p>
    <w:p w14:paraId="0C1F6EFF" w14:textId="77777777" w:rsidR="00FA4AA8" w:rsidRDefault="00FA4AA8">
      <w:pPr>
        <w:sectPr w:rsidR="00FA4AA8">
          <w:pgSz w:w="11910" w:h="16840"/>
          <w:pgMar w:top="2540" w:right="840" w:bottom="720" w:left="840" w:header="1017" w:footer="523" w:gutter="0"/>
          <w:cols w:space="720"/>
        </w:sectPr>
      </w:pPr>
    </w:p>
    <w:p w14:paraId="2CF1D267" w14:textId="77777777" w:rsidR="00FA4AA8" w:rsidRDefault="00FA4AA8">
      <w:pPr>
        <w:pStyle w:val="BodyText"/>
        <w:spacing w:before="6"/>
        <w:rPr>
          <w:sz w:val="21"/>
        </w:rPr>
      </w:pPr>
    </w:p>
    <w:p w14:paraId="542181DF" w14:textId="77777777" w:rsidR="00FA4AA8" w:rsidRDefault="0015611F">
      <w:pPr>
        <w:spacing w:before="91"/>
        <w:ind w:left="167"/>
        <w:rPr>
          <w:b/>
          <w:sz w:val="28"/>
        </w:rPr>
      </w:pPr>
      <w:r>
        <w:rPr>
          <w:b/>
          <w:sz w:val="28"/>
        </w:rPr>
        <w:t>Trustees' declaration</w:t>
      </w:r>
    </w:p>
    <w:p w14:paraId="24803AA7" w14:textId="77777777" w:rsidR="00FA4AA8" w:rsidRDefault="00FA4AA8">
      <w:pPr>
        <w:pStyle w:val="BodyText"/>
        <w:rPr>
          <w:b/>
          <w:sz w:val="25"/>
        </w:rPr>
      </w:pPr>
    </w:p>
    <w:p w14:paraId="6656EF0F" w14:textId="77777777" w:rsidR="00FA4AA8" w:rsidRDefault="0015611F">
      <w:pPr>
        <w:pStyle w:val="BodyText"/>
        <w:ind w:left="167"/>
      </w:pPr>
      <w:r>
        <w:t>In the Trustee's opinion:</w:t>
      </w:r>
    </w:p>
    <w:p w14:paraId="301DFCD9" w14:textId="77777777" w:rsidR="00FA4AA8" w:rsidRDefault="00FA4AA8">
      <w:pPr>
        <w:pStyle w:val="BodyText"/>
        <w:spacing w:before="7"/>
        <w:rPr>
          <w:sz w:val="19"/>
        </w:rPr>
      </w:pPr>
    </w:p>
    <w:p w14:paraId="0979E7FA" w14:textId="77777777" w:rsidR="00FA4AA8" w:rsidRDefault="0015611F">
      <w:pPr>
        <w:pStyle w:val="ListParagraph"/>
        <w:numPr>
          <w:ilvl w:val="0"/>
          <w:numId w:val="38"/>
        </w:numPr>
        <w:tabs>
          <w:tab w:val="left" w:pos="563"/>
          <w:tab w:val="left" w:pos="565"/>
        </w:tabs>
        <w:ind w:hanging="398"/>
        <w:rPr>
          <w:sz w:val="18"/>
        </w:rPr>
      </w:pPr>
      <w:r>
        <w:rPr>
          <w:sz w:val="18"/>
        </w:rPr>
        <w:t>the financial statements and notes, as set out on pages 191 to</w:t>
      </w:r>
      <w:r>
        <w:rPr>
          <w:spacing w:val="-1"/>
          <w:sz w:val="18"/>
        </w:rPr>
        <w:t xml:space="preserve"> </w:t>
      </w:r>
      <w:r>
        <w:rPr>
          <w:sz w:val="18"/>
        </w:rPr>
        <w:t>202:</w:t>
      </w:r>
    </w:p>
    <w:p w14:paraId="24C51ED0" w14:textId="77777777" w:rsidR="00FA4AA8" w:rsidRDefault="00FA4AA8">
      <w:pPr>
        <w:pStyle w:val="BodyText"/>
        <w:spacing w:before="4"/>
        <w:rPr>
          <w:sz w:val="25"/>
        </w:rPr>
      </w:pPr>
    </w:p>
    <w:p w14:paraId="393BE5DC" w14:textId="77777777" w:rsidR="00FA4AA8" w:rsidRDefault="0015611F">
      <w:pPr>
        <w:pStyle w:val="ListParagraph"/>
        <w:numPr>
          <w:ilvl w:val="1"/>
          <w:numId w:val="38"/>
        </w:numPr>
        <w:tabs>
          <w:tab w:val="left" w:pos="961"/>
          <w:tab w:val="left" w:pos="962"/>
        </w:tabs>
        <w:spacing w:before="1"/>
        <w:ind w:right="381"/>
        <w:rPr>
          <w:sz w:val="18"/>
        </w:rPr>
      </w:pPr>
      <w:r>
        <w:rPr>
          <w:sz w:val="18"/>
        </w:rPr>
        <w:t>comply with Australian Accounting Standards (Reduced Disclosure Requirements) and other interpretations,</w:t>
      </w:r>
      <w:r>
        <w:rPr>
          <w:spacing w:val="-25"/>
          <w:sz w:val="18"/>
        </w:rPr>
        <w:t xml:space="preserve"> </w:t>
      </w:r>
      <w:r>
        <w:rPr>
          <w:spacing w:val="-6"/>
          <w:sz w:val="18"/>
        </w:rPr>
        <w:t xml:space="preserve">the </w:t>
      </w:r>
      <w:r>
        <w:rPr>
          <w:i/>
          <w:sz w:val="18"/>
        </w:rPr>
        <w:t xml:space="preserve">Public Finance and Audit Act 1983, </w:t>
      </w:r>
      <w:r>
        <w:rPr>
          <w:sz w:val="18"/>
        </w:rPr>
        <w:t xml:space="preserve">the </w:t>
      </w:r>
      <w:r>
        <w:rPr>
          <w:i/>
          <w:sz w:val="18"/>
        </w:rPr>
        <w:t xml:space="preserve">Public Finance and Audit Regulation 2015 </w:t>
      </w:r>
      <w:r>
        <w:rPr>
          <w:sz w:val="18"/>
        </w:rPr>
        <w:t>and other mandatory professional reporting requirements;</w:t>
      </w:r>
      <w:r>
        <w:rPr>
          <w:spacing w:val="-1"/>
          <w:sz w:val="18"/>
        </w:rPr>
        <w:t xml:space="preserve"> </w:t>
      </w:r>
      <w:r>
        <w:rPr>
          <w:sz w:val="18"/>
        </w:rPr>
        <w:t>and</w:t>
      </w:r>
    </w:p>
    <w:p w14:paraId="49EDE9A9" w14:textId="77777777" w:rsidR="00FA4AA8" w:rsidRDefault="00FA4AA8">
      <w:pPr>
        <w:pStyle w:val="BodyText"/>
        <w:spacing w:before="10"/>
        <w:rPr>
          <w:sz w:val="24"/>
        </w:rPr>
      </w:pPr>
    </w:p>
    <w:p w14:paraId="4729CFD6" w14:textId="77777777" w:rsidR="00FA4AA8" w:rsidRDefault="0015611F">
      <w:pPr>
        <w:pStyle w:val="ListParagraph"/>
        <w:numPr>
          <w:ilvl w:val="1"/>
          <w:numId w:val="38"/>
        </w:numPr>
        <w:tabs>
          <w:tab w:val="left" w:pos="961"/>
          <w:tab w:val="left" w:pos="962"/>
        </w:tabs>
        <w:ind w:right="206"/>
        <w:rPr>
          <w:sz w:val="18"/>
        </w:rPr>
      </w:pPr>
      <w:r>
        <w:rPr>
          <w:sz w:val="18"/>
        </w:rPr>
        <w:t xml:space="preserve">give a true and fair view of the Trust's financial position as at 31 December 2018 and financial performance for </w:t>
      </w:r>
      <w:r>
        <w:rPr>
          <w:spacing w:val="-6"/>
          <w:sz w:val="18"/>
        </w:rPr>
        <w:t xml:space="preserve">the </w:t>
      </w:r>
      <w:r>
        <w:rPr>
          <w:sz w:val="18"/>
        </w:rPr>
        <w:t>financial year ended on that</w:t>
      </w:r>
      <w:r>
        <w:rPr>
          <w:spacing w:val="-1"/>
          <w:sz w:val="18"/>
        </w:rPr>
        <w:t xml:space="preserve"> </w:t>
      </w:r>
      <w:r>
        <w:rPr>
          <w:sz w:val="18"/>
        </w:rPr>
        <w:t>date;</w:t>
      </w:r>
    </w:p>
    <w:p w14:paraId="2A171D9C" w14:textId="77777777" w:rsidR="00FA4AA8" w:rsidRDefault="00FA4AA8">
      <w:pPr>
        <w:pStyle w:val="BodyText"/>
        <w:spacing w:before="10"/>
        <w:rPr>
          <w:sz w:val="17"/>
        </w:rPr>
      </w:pPr>
    </w:p>
    <w:p w14:paraId="53D7AD7B" w14:textId="77777777" w:rsidR="00FA4AA8" w:rsidRDefault="0015611F">
      <w:pPr>
        <w:pStyle w:val="ListParagraph"/>
        <w:numPr>
          <w:ilvl w:val="0"/>
          <w:numId w:val="38"/>
        </w:numPr>
        <w:tabs>
          <w:tab w:val="left" w:pos="563"/>
          <w:tab w:val="left" w:pos="565"/>
        </w:tabs>
        <w:ind w:right="259" w:hanging="396"/>
        <w:rPr>
          <w:sz w:val="18"/>
        </w:rPr>
      </w:pPr>
      <w:r>
        <w:rPr>
          <w:sz w:val="18"/>
        </w:rPr>
        <w:t xml:space="preserve">There are reasonable grounds to believe that the Trust will be able to pay its debts as and when they become due </w:t>
      </w:r>
      <w:r>
        <w:rPr>
          <w:spacing w:val="-5"/>
          <w:sz w:val="18"/>
        </w:rPr>
        <w:t xml:space="preserve">and </w:t>
      </w:r>
      <w:r>
        <w:rPr>
          <w:sz w:val="18"/>
        </w:rPr>
        <w:t>payable.</w:t>
      </w:r>
    </w:p>
    <w:p w14:paraId="14273049" w14:textId="77777777" w:rsidR="00FA4AA8" w:rsidRDefault="00FA4AA8">
      <w:pPr>
        <w:pStyle w:val="BodyText"/>
        <w:spacing w:before="9"/>
        <w:rPr>
          <w:sz w:val="17"/>
        </w:rPr>
      </w:pPr>
    </w:p>
    <w:p w14:paraId="3E7429E0" w14:textId="77777777" w:rsidR="00FA4AA8" w:rsidRDefault="0015611F">
      <w:pPr>
        <w:pStyle w:val="ListParagraph"/>
        <w:numPr>
          <w:ilvl w:val="0"/>
          <w:numId w:val="38"/>
        </w:numPr>
        <w:tabs>
          <w:tab w:val="left" w:pos="563"/>
          <w:tab w:val="left" w:pos="565"/>
        </w:tabs>
        <w:spacing w:before="1"/>
        <w:ind w:right="184" w:hanging="396"/>
        <w:rPr>
          <w:sz w:val="18"/>
        </w:rPr>
      </w:pPr>
      <w:r>
        <w:rPr>
          <w:sz w:val="18"/>
        </w:rPr>
        <w:t>We are not aware of any circumstances which would render any particulars in the financial statements to be misleading or inaccurate.</w:t>
      </w:r>
    </w:p>
    <w:p w14:paraId="0977498D" w14:textId="77777777" w:rsidR="00FA4AA8" w:rsidRDefault="00FA4AA8">
      <w:pPr>
        <w:pStyle w:val="BodyText"/>
        <w:spacing w:before="10"/>
        <w:rPr>
          <w:sz w:val="24"/>
        </w:rPr>
      </w:pPr>
    </w:p>
    <w:p w14:paraId="404D4B2A" w14:textId="77777777" w:rsidR="00FA4AA8" w:rsidRDefault="0015611F">
      <w:pPr>
        <w:pStyle w:val="BodyText"/>
        <w:spacing w:before="1"/>
        <w:ind w:left="168" w:right="717"/>
      </w:pPr>
      <w:r>
        <w:t xml:space="preserve">This declaration is made in accordance with a resolution of the Trustee Company, the Whitlam Institute with Western, pursuant to the </w:t>
      </w:r>
      <w:r>
        <w:rPr>
          <w:i/>
        </w:rPr>
        <w:t>Public Finance and Audit Act 1983</w:t>
      </w:r>
      <w:r>
        <w:t>.</w:t>
      </w:r>
    </w:p>
    <w:p w14:paraId="704952C9" w14:textId="77777777" w:rsidR="00FA4AA8" w:rsidRDefault="00FA4AA8">
      <w:pPr>
        <w:pStyle w:val="BodyText"/>
        <w:rPr>
          <w:sz w:val="20"/>
        </w:rPr>
      </w:pPr>
    </w:p>
    <w:p w14:paraId="47F9E2A1" w14:textId="77777777" w:rsidR="00FA4AA8" w:rsidRDefault="0015611F">
      <w:pPr>
        <w:pStyle w:val="BodyText"/>
        <w:spacing w:before="1"/>
        <w:rPr>
          <w:sz w:val="26"/>
        </w:rPr>
      </w:pPr>
      <w:r>
        <w:rPr>
          <w:noProof/>
          <w:lang w:val="en-AU" w:eastAsia="en-AU"/>
        </w:rPr>
        <w:drawing>
          <wp:anchor distT="0" distB="0" distL="0" distR="0" simplePos="0" relativeHeight="144" behindDoc="0" locked="0" layoutInCell="1" allowOverlap="1" wp14:anchorId="5081B1E4" wp14:editId="1A92666D">
            <wp:simplePos x="0" y="0"/>
            <wp:positionH relativeFrom="page">
              <wp:posOffset>657891</wp:posOffset>
            </wp:positionH>
            <wp:positionV relativeFrom="paragraph">
              <wp:posOffset>215501</wp:posOffset>
            </wp:positionV>
            <wp:extent cx="5694722" cy="892778"/>
            <wp:effectExtent l="0" t="0" r="0" b="0"/>
            <wp:wrapTopAndBottom/>
            <wp:docPr id="101"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64.jpeg"/>
                    <pic:cNvPicPr/>
                  </pic:nvPicPr>
                  <pic:blipFill>
                    <a:blip r:embed="rId208" cstate="print"/>
                    <a:stretch>
                      <a:fillRect/>
                    </a:stretch>
                  </pic:blipFill>
                  <pic:spPr>
                    <a:xfrm>
                      <a:off x="0" y="0"/>
                      <a:ext cx="5694722" cy="892778"/>
                    </a:xfrm>
                    <a:prstGeom prst="rect">
                      <a:avLst/>
                    </a:prstGeom>
                  </pic:spPr>
                </pic:pic>
              </a:graphicData>
            </a:graphic>
          </wp:anchor>
        </w:drawing>
      </w:r>
    </w:p>
    <w:p w14:paraId="58780CD5" w14:textId="77777777" w:rsidR="00FA4AA8" w:rsidRDefault="00FA4AA8">
      <w:pPr>
        <w:pStyle w:val="BodyText"/>
        <w:spacing w:before="4"/>
        <w:rPr>
          <w:sz w:val="19"/>
        </w:rPr>
      </w:pPr>
    </w:p>
    <w:p w14:paraId="10913920" w14:textId="77777777" w:rsidR="00FA4AA8" w:rsidRDefault="0015611F">
      <w:pPr>
        <w:pStyle w:val="BodyText"/>
        <w:ind w:left="168"/>
      </w:pPr>
      <w:r>
        <w:t>Dated 22 February 2019</w:t>
      </w:r>
    </w:p>
    <w:p w14:paraId="2E4929C3" w14:textId="77777777" w:rsidR="00FA4AA8" w:rsidRDefault="00FA4AA8">
      <w:pPr>
        <w:sectPr w:rsidR="00FA4AA8">
          <w:headerReference w:type="default" r:id="rId209"/>
          <w:footerReference w:type="default" r:id="rId210"/>
          <w:pgSz w:w="11910" w:h="16840"/>
          <w:pgMar w:top="1560" w:right="840" w:bottom="720" w:left="840" w:header="1017" w:footer="523" w:gutter="0"/>
          <w:pgNumType w:start="190"/>
          <w:cols w:space="720"/>
        </w:sectPr>
      </w:pPr>
    </w:p>
    <w:p w14:paraId="47D3ECF7" w14:textId="77777777" w:rsidR="00FA4AA8" w:rsidRDefault="00FA4AA8">
      <w:pPr>
        <w:pStyle w:val="BodyText"/>
        <w:rPr>
          <w:sz w:val="20"/>
        </w:rPr>
      </w:pPr>
    </w:p>
    <w:p w14:paraId="28369261" w14:textId="77777777" w:rsidR="00FA4AA8" w:rsidRDefault="00FA4AA8">
      <w:pPr>
        <w:pStyle w:val="BodyText"/>
        <w:spacing w:before="5" w:after="1"/>
        <w:rPr>
          <w:sz w:val="12"/>
        </w:rPr>
      </w:pPr>
    </w:p>
    <w:tbl>
      <w:tblPr>
        <w:tblW w:w="0" w:type="auto"/>
        <w:tblInd w:w="125" w:type="dxa"/>
        <w:tblLayout w:type="fixed"/>
        <w:tblCellMar>
          <w:left w:w="0" w:type="dxa"/>
          <w:right w:w="0" w:type="dxa"/>
        </w:tblCellMar>
        <w:tblLook w:val="01E0" w:firstRow="1" w:lastRow="1" w:firstColumn="1" w:lastColumn="1" w:noHBand="0" w:noVBand="0"/>
      </w:tblPr>
      <w:tblGrid>
        <w:gridCol w:w="5849"/>
        <w:gridCol w:w="1451"/>
        <w:gridCol w:w="1562"/>
        <w:gridCol w:w="1109"/>
      </w:tblGrid>
      <w:tr w:rsidR="00FA4AA8" w14:paraId="7D924239" w14:textId="77777777">
        <w:trPr>
          <w:trHeight w:val="938"/>
        </w:trPr>
        <w:tc>
          <w:tcPr>
            <w:tcW w:w="5849" w:type="dxa"/>
          </w:tcPr>
          <w:p w14:paraId="509A5420" w14:textId="77777777" w:rsidR="00FA4AA8" w:rsidRDefault="0015611F">
            <w:pPr>
              <w:pStyle w:val="TableParagraph"/>
              <w:spacing w:line="245" w:lineRule="exact"/>
              <w:ind w:left="50"/>
              <w:rPr>
                <w:b/>
              </w:rPr>
            </w:pPr>
            <w:r>
              <w:rPr>
                <w:b/>
              </w:rPr>
              <w:t>Start of audited financial statements</w:t>
            </w:r>
          </w:p>
          <w:p w14:paraId="4B9A3501" w14:textId="77777777" w:rsidR="00FA4AA8" w:rsidRDefault="00FA4AA8">
            <w:pPr>
              <w:pStyle w:val="TableParagraph"/>
              <w:spacing w:before="5"/>
              <w:rPr>
                <w:sz w:val="29"/>
              </w:rPr>
            </w:pPr>
          </w:p>
          <w:p w14:paraId="75F037FC" w14:textId="77777777" w:rsidR="00FA4AA8" w:rsidRDefault="0015611F">
            <w:pPr>
              <w:pStyle w:val="TableParagraph"/>
              <w:ind w:left="50"/>
              <w:rPr>
                <w:b/>
                <w:sz w:val="28"/>
              </w:rPr>
            </w:pPr>
            <w:r>
              <w:rPr>
                <w:b/>
                <w:sz w:val="28"/>
              </w:rPr>
              <w:t>Statement of comprehensive income</w:t>
            </w:r>
          </w:p>
        </w:tc>
        <w:tc>
          <w:tcPr>
            <w:tcW w:w="4122" w:type="dxa"/>
            <w:gridSpan w:val="3"/>
            <w:vMerge w:val="restart"/>
          </w:tcPr>
          <w:p w14:paraId="1BA0A979" w14:textId="77777777" w:rsidR="00FA4AA8" w:rsidRDefault="00FA4AA8">
            <w:pPr>
              <w:pStyle w:val="TableParagraph"/>
              <w:rPr>
                <w:rFonts w:ascii="Times New Roman"/>
                <w:sz w:val="18"/>
              </w:rPr>
            </w:pPr>
          </w:p>
        </w:tc>
      </w:tr>
      <w:tr w:rsidR="00FA4AA8" w14:paraId="3C326CAC" w14:textId="77777777">
        <w:trPr>
          <w:trHeight w:val="486"/>
        </w:trPr>
        <w:tc>
          <w:tcPr>
            <w:tcW w:w="5849" w:type="dxa"/>
          </w:tcPr>
          <w:p w14:paraId="6F03788B" w14:textId="77777777" w:rsidR="00FA4AA8" w:rsidRDefault="0015611F">
            <w:pPr>
              <w:pStyle w:val="TableParagraph"/>
              <w:spacing w:before="25"/>
              <w:ind w:left="50"/>
              <w:rPr>
                <w:b/>
              </w:rPr>
            </w:pPr>
            <w:r>
              <w:rPr>
                <w:b/>
              </w:rPr>
              <w:t>For the Year Ended 31 December 2018</w:t>
            </w:r>
          </w:p>
        </w:tc>
        <w:tc>
          <w:tcPr>
            <w:tcW w:w="4122" w:type="dxa"/>
            <w:gridSpan w:val="3"/>
            <w:vMerge/>
            <w:tcBorders>
              <w:top w:val="nil"/>
            </w:tcBorders>
          </w:tcPr>
          <w:p w14:paraId="733465CD" w14:textId="77777777" w:rsidR="00FA4AA8" w:rsidRDefault="00FA4AA8">
            <w:pPr>
              <w:rPr>
                <w:sz w:val="2"/>
                <w:szCs w:val="2"/>
              </w:rPr>
            </w:pPr>
          </w:p>
        </w:tc>
      </w:tr>
      <w:tr w:rsidR="00FA4AA8" w14:paraId="26F8AF6A" w14:textId="77777777">
        <w:trPr>
          <w:trHeight w:val="446"/>
        </w:trPr>
        <w:tc>
          <w:tcPr>
            <w:tcW w:w="5849" w:type="dxa"/>
          </w:tcPr>
          <w:p w14:paraId="757FDE6B" w14:textId="77777777" w:rsidR="00FA4AA8" w:rsidRDefault="00FA4AA8">
            <w:pPr>
              <w:pStyle w:val="TableParagraph"/>
              <w:rPr>
                <w:rFonts w:ascii="Times New Roman"/>
                <w:sz w:val="18"/>
              </w:rPr>
            </w:pPr>
          </w:p>
        </w:tc>
        <w:tc>
          <w:tcPr>
            <w:tcW w:w="1451" w:type="dxa"/>
          </w:tcPr>
          <w:p w14:paraId="4584AA34" w14:textId="77777777" w:rsidR="00FA4AA8" w:rsidRDefault="00FA4AA8">
            <w:pPr>
              <w:pStyle w:val="TableParagraph"/>
              <w:rPr>
                <w:rFonts w:ascii="Times New Roman"/>
                <w:sz w:val="18"/>
              </w:rPr>
            </w:pPr>
          </w:p>
        </w:tc>
        <w:tc>
          <w:tcPr>
            <w:tcW w:w="1562" w:type="dxa"/>
          </w:tcPr>
          <w:p w14:paraId="0D826622" w14:textId="77777777" w:rsidR="00FA4AA8" w:rsidRDefault="00FA4AA8">
            <w:pPr>
              <w:pStyle w:val="TableParagraph"/>
              <w:spacing w:before="7"/>
              <w:rPr>
                <w:sz w:val="17"/>
              </w:rPr>
            </w:pPr>
          </w:p>
          <w:p w14:paraId="5E94E6A3" w14:textId="77777777" w:rsidR="00FA4AA8" w:rsidRDefault="0015611F">
            <w:pPr>
              <w:pStyle w:val="TableParagraph"/>
              <w:ind w:left="491"/>
              <w:rPr>
                <w:b/>
                <w:sz w:val="18"/>
              </w:rPr>
            </w:pPr>
            <w:r>
              <w:rPr>
                <w:b/>
                <w:sz w:val="18"/>
              </w:rPr>
              <w:t>2018</w:t>
            </w:r>
          </w:p>
        </w:tc>
        <w:tc>
          <w:tcPr>
            <w:tcW w:w="1109" w:type="dxa"/>
          </w:tcPr>
          <w:p w14:paraId="1160F593" w14:textId="77777777" w:rsidR="00FA4AA8" w:rsidRDefault="00FA4AA8">
            <w:pPr>
              <w:pStyle w:val="TableParagraph"/>
              <w:spacing w:before="7"/>
              <w:rPr>
                <w:sz w:val="17"/>
              </w:rPr>
            </w:pPr>
          </w:p>
          <w:p w14:paraId="4FB9D3A1" w14:textId="77777777" w:rsidR="00FA4AA8" w:rsidRDefault="0015611F">
            <w:pPr>
              <w:pStyle w:val="TableParagraph"/>
              <w:ind w:left="247"/>
              <w:rPr>
                <w:b/>
                <w:sz w:val="18"/>
              </w:rPr>
            </w:pPr>
            <w:r>
              <w:rPr>
                <w:b/>
                <w:sz w:val="18"/>
              </w:rPr>
              <w:t>2017</w:t>
            </w:r>
          </w:p>
        </w:tc>
      </w:tr>
      <w:tr w:rsidR="00FA4AA8" w14:paraId="2E34222F" w14:textId="77777777">
        <w:trPr>
          <w:trHeight w:val="313"/>
        </w:trPr>
        <w:tc>
          <w:tcPr>
            <w:tcW w:w="5849" w:type="dxa"/>
          </w:tcPr>
          <w:p w14:paraId="2D6E4CE0" w14:textId="77777777" w:rsidR="00FA4AA8" w:rsidRDefault="00FA4AA8">
            <w:pPr>
              <w:pStyle w:val="TableParagraph"/>
              <w:rPr>
                <w:rFonts w:ascii="Times New Roman"/>
                <w:sz w:val="18"/>
              </w:rPr>
            </w:pPr>
          </w:p>
        </w:tc>
        <w:tc>
          <w:tcPr>
            <w:tcW w:w="1451" w:type="dxa"/>
          </w:tcPr>
          <w:p w14:paraId="7B87FF45" w14:textId="77777777" w:rsidR="00FA4AA8" w:rsidRDefault="0015611F">
            <w:pPr>
              <w:pStyle w:val="TableParagraph"/>
              <w:spacing w:before="30"/>
              <w:ind w:left="899" w:right="11"/>
              <w:jc w:val="center"/>
              <w:rPr>
                <w:b/>
                <w:sz w:val="18"/>
              </w:rPr>
            </w:pPr>
            <w:r>
              <w:rPr>
                <w:b/>
                <w:sz w:val="18"/>
              </w:rPr>
              <w:t>Notes</w:t>
            </w:r>
          </w:p>
        </w:tc>
        <w:tc>
          <w:tcPr>
            <w:tcW w:w="1562" w:type="dxa"/>
          </w:tcPr>
          <w:p w14:paraId="2B58E85D" w14:textId="77777777" w:rsidR="00FA4AA8" w:rsidRDefault="0015611F">
            <w:pPr>
              <w:pStyle w:val="TableParagraph"/>
              <w:spacing w:before="30"/>
              <w:ind w:right="177"/>
              <w:jc w:val="center"/>
              <w:rPr>
                <w:b/>
                <w:sz w:val="18"/>
              </w:rPr>
            </w:pPr>
            <w:r>
              <w:rPr>
                <w:b/>
                <w:w w:val="99"/>
                <w:sz w:val="18"/>
              </w:rPr>
              <w:t>$</w:t>
            </w:r>
          </w:p>
        </w:tc>
        <w:tc>
          <w:tcPr>
            <w:tcW w:w="1109" w:type="dxa"/>
          </w:tcPr>
          <w:p w14:paraId="0CD6F9A7" w14:textId="77777777" w:rsidR="00FA4AA8" w:rsidRDefault="0015611F">
            <w:pPr>
              <w:pStyle w:val="TableParagraph"/>
              <w:spacing w:before="30"/>
              <w:ind w:left="397"/>
              <w:rPr>
                <w:b/>
                <w:sz w:val="18"/>
              </w:rPr>
            </w:pPr>
            <w:r>
              <w:rPr>
                <w:b/>
                <w:w w:val="99"/>
                <w:sz w:val="18"/>
              </w:rPr>
              <w:t>$</w:t>
            </w:r>
          </w:p>
        </w:tc>
      </w:tr>
      <w:tr w:rsidR="00FA4AA8" w14:paraId="79558F71" w14:textId="77777777">
        <w:trPr>
          <w:trHeight w:val="363"/>
        </w:trPr>
        <w:tc>
          <w:tcPr>
            <w:tcW w:w="5849" w:type="dxa"/>
          </w:tcPr>
          <w:p w14:paraId="2110267D" w14:textId="77777777" w:rsidR="00FA4AA8" w:rsidRDefault="0015611F">
            <w:pPr>
              <w:pStyle w:val="TableParagraph"/>
              <w:spacing w:before="70"/>
              <w:ind w:left="94"/>
              <w:rPr>
                <w:b/>
                <w:sz w:val="18"/>
              </w:rPr>
            </w:pPr>
            <w:r>
              <w:rPr>
                <w:b/>
                <w:sz w:val="18"/>
              </w:rPr>
              <w:t>Revenue</w:t>
            </w:r>
          </w:p>
        </w:tc>
        <w:tc>
          <w:tcPr>
            <w:tcW w:w="1451" w:type="dxa"/>
          </w:tcPr>
          <w:p w14:paraId="03A152D8" w14:textId="77777777" w:rsidR="00FA4AA8" w:rsidRDefault="00FA4AA8">
            <w:pPr>
              <w:pStyle w:val="TableParagraph"/>
              <w:rPr>
                <w:rFonts w:ascii="Times New Roman"/>
                <w:sz w:val="18"/>
              </w:rPr>
            </w:pPr>
          </w:p>
        </w:tc>
        <w:tc>
          <w:tcPr>
            <w:tcW w:w="1562" w:type="dxa"/>
          </w:tcPr>
          <w:p w14:paraId="5EF3DC3E" w14:textId="77777777" w:rsidR="00FA4AA8" w:rsidRDefault="00FA4AA8">
            <w:pPr>
              <w:pStyle w:val="TableParagraph"/>
              <w:rPr>
                <w:rFonts w:ascii="Times New Roman"/>
                <w:sz w:val="18"/>
              </w:rPr>
            </w:pPr>
          </w:p>
        </w:tc>
        <w:tc>
          <w:tcPr>
            <w:tcW w:w="1109" w:type="dxa"/>
          </w:tcPr>
          <w:p w14:paraId="4C552411" w14:textId="77777777" w:rsidR="00FA4AA8" w:rsidRDefault="00FA4AA8">
            <w:pPr>
              <w:pStyle w:val="TableParagraph"/>
              <w:rPr>
                <w:rFonts w:ascii="Times New Roman"/>
                <w:sz w:val="18"/>
              </w:rPr>
            </w:pPr>
          </w:p>
        </w:tc>
      </w:tr>
      <w:tr w:rsidR="00FA4AA8" w14:paraId="4C0F9A06" w14:textId="77777777">
        <w:trPr>
          <w:trHeight w:val="319"/>
        </w:trPr>
        <w:tc>
          <w:tcPr>
            <w:tcW w:w="5849" w:type="dxa"/>
          </w:tcPr>
          <w:p w14:paraId="626CD823" w14:textId="77777777" w:rsidR="00FA4AA8" w:rsidRDefault="0015611F">
            <w:pPr>
              <w:pStyle w:val="TableParagraph"/>
              <w:spacing w:before="80"/>
              <w:ind w:left="94"/>
              <w:rPr>
                <w:sz w:val="18"/>
              </w:rPr>
            </w:pPr>
            <w:r>
              <w:rPr>
                <w:sz w:val="18"/>
              </w:rPr>
              <w:t>Services</w:t>
            </w:r>
          </w:p>
        </w:tc>
        <w:tc>
          <w:tcPr>
            <w:tcW w:w="1451" w:type="dxa"/>
          </w:tcPr>
          <w:p w14:paraId="04AC9AC0" w14:textId="77777777" w:rsidR="00FA4AA8" w:rsidRDefault="0015611F">
            <w:pPr>
              <w:pStyle w:val="TableParagraph"/>
              <w:spacing w:before="82"/>
              <w:ind w:left="889"/>
              <w:jc w:val="center"/>
              <w:rPr>
                <w:sz w:val="18"/>
              </w:rPr>
            </w:pPr>
            <w:r>
              <w:rPr>
                <w:w w:val="99"/>
                <w:sz w:val="18"/>
              </w:rPr>
              <w:t>2</w:t>
            </w:r>
          </w:p>
        </w:tc>
        <w:tc>
          <w:tcPr>
            <w:tcW w:w="1562" w:type="dxa"/>
          </w:tcPr>
          <w:p w14:paraId="6CB957AB" w14:textId="77777777" w:rsidR="00FA4AA8" w:rsidRDefault="0015611F">
            <w:pPr>
              <w:pStyle w:val="TableParagraph"/>
              <w:spacing w:before="82"/>
              <w:ind w:right="309"/>
              <w:jc w:val="right"/>
              <w:rPr>
                <w:b/>
                <w:sz w:val="18"/>
              </w:rPr>
            </w:pPr>
            <w:r>
              <w:rPr>
                <w:b/>
                <w:w w:val="95"/>
                <w:sz w:val="18"/>
              </w:rPr>
              <w:t>177,186</w:t>
            </w:r>
          </w:p>
        </w:tc>
        <w:tc>
          <w:tcPr>
            <w:tcW w:w="1109" w:type="dxa"/>
          </w:tcPr>
          <w:p w14:paraId="1D652380" w14:textId="77777777" w:rsidR="00FA4AA8" w:rsidRDefault="0015611F">
            <w:pPr>
              <w:pStyle w:val="TableParagraph"/>
              <w:spacing w:before="82"/>
              <w:ind w:left="368"/>
              <w:rPr>
                <w:sz w:val="18"/>
              </w:rPr>
            </w:pPr>
            <w:r>
              <w:rPr>
                <w:sz w:val="18"/>
              </w:rPr>
              <w:t>180,334</w:t>
            </w:r>
          </w:p>
        </w:tc>
      </w:tr>
      <w:tr w:rsidR="00FA4AA8" w14:paraId="25A7D538" w14:textId="77777777">
        <w:trPr>
          <w:trHeight w:val="264"/>
        </w:trPr>
        <w:tc>
          <w:tcPr>
            <w:tcW w:w="5849" w:type="dxa"/>
          </w:tcPr>
          <w:p w14:paraId="0D94BEAF" w14:textId="77777777" w:rsidR="00FA4AA8" w:rsidRDefault="0015611F">
            <w:pPr>
              <w:pStyle w:val="TableParagraph"/>
              <w:spacing w:before="25"/>
              <w:ind w:left="94"/>
              <w:rPr>
                <w:sz w:val="18"/>
              </w:rPr>
            </w:pPr>
            <w:r>
              <w:rPr>
                <w:sz w:val="18"/>
              </w:rPr>
              <w:t>Other revenue</w:t>
            </w:r>
          </w:p>
        </w:tc>
        <w:tc>
          <w:tcPr>
            <w:tcW w:w="1451" w:type="dxa"/>
          </w:tcPr>
          <w:p w14:paraId="1E6405A2" w14:textId="77777777" w:rsidR="00FA4AA8" w:rsidRDefault="0015611F">
            <w:pPr>
              <w:pStyle w:val="TableParagraph"/>
              <w:spacing w:before="26"/>
              <w:ind w:left="888"/>
              <w:jc w:val="center"/>
              <w:rPr>
                <w:sz w:val="18"/>
              </w:rPr>
            </w:pPr>
            <w:r>
              <w:rPr>
                <w:w w:val="99"/>
                <w:sz w:val="18"/>
              </w:rPr>
              <w:t>2</w:t>
            </w:r>
          </w:p>
        </w:tc>
        <w:tc>
          <w:tcPr>
            <w:tcW w:w="1562" w:type="dxa"/>
          </w:tcPr>
          <w:p w14:paraId="7E38EB51" w14:textId="77777777" w:rsidR="00FA4AA8" w:rsidRDefault="0015611F">
            <w:pPr>
              <w:pStyle w:val="TableParagraph"/>
              <w:spacing w:before="26"/>
              <w:ind w:right="309"/>
              <w:jc w:val="right"/>
              <w:rPr>
                <w:b/>
                <w:sz w:val="18"/>
              </w:rPr>
            </w:pPr>
            <w:r>
              <w:rPr>
                <w:b/>
                <w:w w:val="95"/>
                <w:sz w:val="18"/>
              </w:rPr>
              <w:t>16,981</w:t>
            </w:r>
          </w:p>
        </w:tc>
        <w:tc>
          <w:tcPr>
            <w:tcW w:w="1109" w:type="dxa"/>
          </w:tcPr>
          <w:p w14:paraId="68A88FF7" w14:textId="77777777" w:rsidR="00FA4AA8" w:rsidRDefault="0015611F">
            <w:pPr>
              <w:pStyle w:val="TableParagraph"/>
              <w:spacing w:before="26"/>
              <w:ind w:right="88"/>
              <w:jc w:val="right"/>
              <w:rPr>
                <w:sz w:val="18"/>
              </w:rPr>
            </w:pPr>
            <w:r>
              <w:rPr>
                <w:w w:val="95"/>
                <w:sz w:val="18"/>
              </w:rPr>
              <w:t>15,908</w:t>
            </w:r>
          </w:p>
        </w:tc>
      </w:tr>
      <w:tr w:rsidR="00FA4AA8" w14:paraId="54E9381C" w14:textId="77777777">
        <w:trPr>
          <w:trHeight w:val="259"/>
        </w:trPr>
        <w:tc>
          <w:tcPr>
            <w:tcW w:w="5849" w:type="dxa"/>
          </w:tcPr>
          <w:p w14:paraId="32AB7AB2" w14:textId="77777777" w:rsidR="00FA4AA8" w:rsidRDefault="0015611F">
            <w:pPr>
              <w:pStyle w:val="TableParagraph"/>
              <w:spacing w:before="25"/>
              <w:ind w:left="94"/>
              <w:rPr>
                <w:sz w:val="18"/>
              </w:rPr>
            </w:pPr>
            <w:r>
              <w:rPr>
                <w:sz w:val="18"/>
              </w:rPr>
              <w:t>Contribution of assets</w:t>
            </w:r>
          </w:p>
        </w:tc>
        <w:tc>
          <w:tcPr>
            <w:tcW w:w="1451" w:type="dxa"/>
          </w:tcPr>
          <w:p w14:paraId="778EBEBA" w14:textId="77777777" w:rsidR="00FA4AA8" w:rsidRDefault="00FA4AA8">
            <w:pPr>
              <w:pStyle w:val="TableParagraph"/>
              <w:rPr>
                <w:rFonts w:ascii="Times New Roman"/>
                <w:sz w:val="18"/>
              </w:rPr>
            </w:pPr>
          </w:p>
        </w:tc>
        <w:tc>
          <w:tcPr>
            <w:tcW w:w="1562" w:type="dxa"/>
            <w:tcBorders>
              <w:bottom w:val="single" w:sz="8" w:space="0" w:color="000000"/>
            </w:tcBorders>
          </w:tcPr>
          <w:p w14:paraId="3A37CB06" w14:textId="77777777" w:rsidR="00FA4AA8" w:rsidRDefault="0015611F">
            <w:pPr>
              <w:pStyle w:val="TableParagraph"/>
              <w:spacing w:before="26"/>
              <w:ind w:right="309"/>
              <w:jc w:val="right"/>
              <w:rPr>
                <w:b/>
                <w:sz w:val="18"/>
              </w:rPr>
            </w:pPr>
            <w:r>
              <w:rPr>
                <w:b/>
                <w:w w:val="95"/>
                <w:sz w:val="18"/>
              </w:rPr>
              <w:t>36,615</w:t>
            </w:r>
          </w:p>
        </w:tc>
        <w:tc>
          <w:tcPr>
            <w:tcW w:w="1109" w:type="dxa"/>
            <w:tcBorders>
              <w:bottom w:val="single" w:sz="8" w:space="0" w:color="000000"/>
            </w:tcBorders>
          </w:tcPr>
          <w:p w14:paraId="09747CED" w14:textId="77777777" w:rsidR="00FA4AA8" w:rsidRDefault="0015611F">
            <w:pPr>
              <w:pStyle w:val="TableParagraph"/>
              <w:spacing w:before="26"/>
              <w:ind w:right="88"/>
              <w:jc w:val="right"/>
              <w:rPr>
                <w:sz w:val="18"/>
              </w:rPr>
            </w:pPr>
            <w:r>
              <w:rPr>
                <w:w w:val="95"/>
                <w:sz w:val="18"/>
              </w:rPr>
              <w:t>30,730</w:t>
            </w:r>
          </w:p>
        </w:tc>
      </w:tr>
      <w:tr w:rsidR="00FA4AA8" w14:paraId="42BB7B69" w14:textId="77777777">
        <w:trPr>
          <w:trHeight w:val="317"/>
        </w:trPr>
        <w:tc>
          <w:tcPr>
            <w:tcW w:w="5849" w:type="dxa"/>
          </w:tcPr>
          <w:p w14:paraId="121A63DD" w14:textId="77777777" w:rsidR="00FA4AA8" w:rsidRDefault="0015611F">
            <w:pPr>
              <w:pStyle w:val="TableParagraph"/>
              <w:spacing w:before="113" w:line="184" w:lineRule="exact"/>
              <w:ind w:left="94"/>
              <w:rPr>
                <w:b/>
                <w:sz w:val="18"/>
              </w:rPr>
            </w:pPr>
            <w:r>
              <w:rPr>
                <w:b/>
                <w:sz w:val="18"/>
              </w:rPr>
              <w:t>Total revenue</w:t>
            </w:r>
          </w:p>
        </w:tc>
        <w:tc>
          <w:tcPr>
            <w:tcW w:w="1451" w:type="dxa"/>
          </w:tcPr>
          <w:p w14:paraId="1975D906" w14:textId="77777777" w:rsidR="00FA4AA8" w:rsidRDefault="00FA4AA8">
            <w:pPr>
              <w:pStyle w:val="TableParagraph"/>
              <w:rPr>
                <w:rFonts w:ascii="Times New Roman"/>
                <w:sz w:val="18"/>
              </w:rPr>
            </w:pPr>
          </w:p>
        </w:tc>
        <w:tc>
          <w:tcPr>
            <w:tcW w:w="1562" w:type="dxa"/>
            <w:tcBorders>
              <w:top w:val="single" w:sz="8" w:space="0" w:color="000000"/>
              <w:bottom w:val="single" w:sz="12" w:space="0" w:color="000000"/>
            </w:tcBorders>
          </w:tcPr>
          <w:p w14:paraId="59137672" w14:textId="77777777" w:rsidR="00FA4AA8" w:rsidRDefault="0015611F">
            <w:pPr>
              <w:pStyle w:val="TableParagraph"/>
              <w:spacing w:before="113" w:line="184" w:lineRule="exact"/>
              <w:ind w:right="308"/>
              <w:jc w:val="right"/>
              <w:rPr>
                <w:b/>
                <w:sz w:val="18"/>
              </w:rPr>
            </w:pPr>
            <w:r>
              <w:rPr>
                <w:b/>
                <w:w w:val="95"/>
                <w:sz w:val="18"/>
              </w:rPr>
              <w:t>230,782</w:t>
            </w:r>
          </w:p>
        </w:tc>
        <w:tc>
          <w:tcPr>
            <w:tcW w:w="1109" w:type="dxa"/>
            <w:tcBorders>
              <w:top w:val="single" w:sz="8" w:space="0" w:color="000000"/>
              <w:bottom w:val="single" w:sz="12" w:space="0" w:color="000000"/>
            </w:tcBorders>
          </w:tcPr>
          <w:p w14:paraId="5AB3E740" w14:textId="77777777" w:rsidR="00FA4AA8" w:rsidRDefault="0015611F">
            <w:pPr>
              <w:pStyle w:val="TableParagraph"/>
              <w:spacing w:before="113" w:line="184" w:lineRule="exact"/>
              <w:ind w:left="369"/>
              <w:rPr>
                <w:sz w:val="18"/>
              </w:rPr>
            </w:pPr>
            <w:r>
              <w:rPr>
                <w:sz w:val="18"/>
              </w:rPr>
              <w:t>226,972</w:t>
            </w:r>
          </w:p>
        </w:tc>
      </w:tr>
      <w:tr w:rsidR="00FA4AA8" w14:paraId="0EC6770F" w14:textId="77777777">
        <w:trPr>
          <w:trHeight w:val="576"/>
        </w:trPr>
        <w:tc>
          <w:tcPr>
            <w:tcW w:w="5849" w:type="dxa"/>
          </w:tcPr>
          <w:p w14:paraId="2D7A39F8" w14:textId="77777777" w:rsidR="00FA4AA8" w:rsidRDefault="00FA4AA8">
            <w:pPr>
              <w:pStyle w:val="TableParagraph"/>
              <w:spacing w:before="6"/>
              <w:rPr>
                <w:sz w:val="24"/>
              </w:rPr>
            </w:pPr>
          </w:p>
          <w:p w14:paraId="450EBC3B" w14:textId="77777777" w:rsidR="00FA4AA8" w:rsidRDefault="0015611F">
            <w:pPr>
              <w:pStyle w:val="TableParagraph"/>
              <w:spacing w:before="1"/>
              <w:ind w:left="94"/>
              <w:rPr>
                <w:b/>
                <w:sz w:val="18"/>
              </w:rPr>
            </w:pPr>
            <w:r>
              <w:rPr>
                <w:b/>
                <w:sz w:val="18"/>
              </w:rPr>
              <w:t>Expenses</w:t>
            </w:r>
          </w:p>
        </w:tc>
        <w:tc>
          <w:tcPr>
            <w:tcW w:w="1451" w:type="dxa"/>
          </w:tcPr>
          <w:p w14:paraId="6157F4CE" w14:textId="77777777" w:rsidR="00FA4AA8" w:rsidRDefault="00FA4AA8">
            <w:pPr>
              <w:pStyle w:val="TableParagraph"/>
              <w:rPr>
                <w:rFonts w:ascii="Times New Roman"/>
                <w:sz w:val="18"/>
              </w:rPr>
            </w:pPr>
          </w:p>
        </w:tc>
        <w:tc>
          <w:tcPr>
            <w:tcW w:w="1562" w:type="dxa"/>
            <w:tcBorders>
              <w:top w:val="single" w:sz="12" w:space="0" w:color="000000"/>
            </w:tcBorders>
          </w:tcPr>
          <w:p w14:paraId="065766B8" w14:textId="77777777" w:rsidR="00FA4AA8" w:rsidRDefault="00FA4AA8">
            <w:pPr>
              <w:pStyle w:val="TableParagraph"/>
              <w:rPr>
                <w:rFonts w:ascii="Times New Roman"/>
                <w:sz w:val="18"/>
              </w:rPr>
            </w:pPr>
          </w:p>
        </w:tc>
        <w:tc>
          <w:tcPr>
            <w:tcW w:w="1109" w:type="dxa"/>
            <w:tcBorders>
              <w:top w:val="single" w:sz="12" w:space="0" w:color="000000"/>
            </w:tcBorders>
          </w:tcPr>
          <w:p w14:paraId="620C5930" w14:textId="77777777" w:rsidR="00FA4AA8" w:rsidRDefault="00FA4AA8">
            <w:pPr>
              <w:pStyle w:val="TableParagraph"/>
              <w:rPr>
                <w:rFonts w:ascii="Times New Roman"/>
                <w:sz w:val="18"/>
              </w:rPr>
            </w:pPr>
          </w:p>
        </w:tc>
      </w:tr>
      <w:tr w:rsidR="00FA4AA8" w14:paraId="18AF1830" w14:textId="77777777">
        <w:trPr>
          <w:trHeight w:val="319"/>
        </w:trPr>
        <w:tc>
          <w:tcPr>
            <w:tcW w:w="5849" w:type="dxa"/>
          </w:tcPr>
          <w:p w14:paraId="6ED22E26" w14:textId="77777777" w:rsidR="00FA4AA8" w:rsidRDefault="0015611F">
            <w:pPr>
              <w:pStyle w:val="TableParagraph"/>
              <w:spacing w:before="80"/>
              <w:ind w:left="94"/>
              <w:rPr>
                <w:sz w:val="18"/>
              </w:rPr>
            </w:pPr>
            <w:r>
              <w:rPr>
                <w:sz w:val="18"/>
              </w:rPr>
              <w:t>Contribution to Ultimate Parent Entity</w:t>
            </w:r>
          </w:p>
        </w:tc>
        <w:tc>
          <w:tcPr>
            <w:tcW w:w="1451" w:type="dxa"/>
          </w:tcPr>
          <w:p w14:paraId="10414E62" w14:textId="77777777" w:rsidR="00FA4AA8" w:rsidRDefault="0015611F">
            <w:pPr>
              <w:pStyle w:val="TableParagraph"/>
              <w:spacing w:before="82"/>
              <w:ind w:left="889"/>
              <w:jc w:val="center"/>
              <w:rPr>
                <w:sz w:val="18"/>
              </w:rPr>
            </w:pPr>
            <w:r>
              <w:rPr>
                <w:w w:val="99"/>
                <w:sz w:val="18"/>
              </w:rPr>
              <w:t>3</w:t>
            </w:r>
          </w:p>
        </w:tc>
        <w:tc>
          <w:tcPr>
            <w:tcW w:w="1562" w:type="dxa"/>
          </w:tcPr>
          <w:p w14:paraId="3468D2B4" w14:textId="77777777" w:rsidR="00FA4AA8" w:rsidRDefault="0015611F">
            <w:pPr>
              <w:pStyle w:val="TableParagraph"/>
              <w:spacing w:before="82"/>
              <w:ind w:right="249"/>
              <w:jc w:val="right"/>
              <w:rPr>
                <w:b/>
                <w:sz w:val="18"/>
              </w:rPr>
            </w:pPr>
            <w:r>
              <w:rPr>
                <w:b/>
                <w:w w:val="95"/>
                <w:sz w:val="18"/>
              </w:rPr>
              <w:t>(61,000)</w:t>
            </w:r>
          </w:p>
        </w:tc>
        <w:tc>
          <w:tcPr>
            <w:tcW w:w="1109" w:type="dxa"/>
          </w:tcPr>
          <w:p w14:paraId="346819B6" w14:textId="77777777" w:rsidR="00FA4AA8" w:rsidRDefault="0015611F">
            <w:pPr>
              <w:pStyle w:val="TableParagraph"/>
              <w:spacing w:before="82"/>
              <w:ind w:right="27"/>
              <w:jc w:val="right"/>
              <w:rPr>
                <w:sz w:val="18"/>
              </w:rPr>
            </w:pPr>
            <w:r>
              <w:rPr>
                <w:w w:val="95"/>
                <w:sz w:val="18"/>
              </w:rPr>
              <w:t>(107,543)</w:t>
            </w:r>
          </w:p>
        </w:tc>
      </w:tr>
      <w:tr w:rsidR="00FA4AA8" w14:paraId="7C958BBF" w14:textId="77777777">
        <w:trPr>
          <w:trHeight w:val="264"/>
        </w:trPr>
        <w:tc>
          <w:tcPr>
            <w:tcW w:w="5849" w:type="dxa"/>
          </w:tcPr>
          <w:p w14:paraId="103F9E57" w14:textId="77777777" w:rsidR="00FA4AA8" w:rsidRDefault="0015611F">
            <w:pPr>
              <w:pStyle w:val="TableParagraph"/>
              <w:spacing w:before="25"/>
              <w:ind w:left="94"/>
              <w:rPr>
                <w:sz w:val="18"/>
              </w:rPr>
            </w:pPr>
            <w:r>
              <w:rPr>
                <w:sz w:val="18"/>
              </w:rPr>
              <w:t>Event expenses</w:t>
            </w:r>
          </w:p>
        </w:tc>
        <w:tc>
          <w:tcPr>
            <w:tcW w:w="1451" w:type="dxa"/>
          </w:tcPr>
          <w:p w14:paraId="73AA2C38" w14:textId="77777777" w:rsidR="00FA4AA8" w:rsidRDefault="0015611F">
            <w:pPr>
              <w:pStyle w:val="TableParagraph"/>
              <w:spacing w:before="26"/>
              <w:ind w:left="889"/>
              <w:jc w:val="center"/>
              <w:rPr>
                <w:sz w:val="18"/>
              </w:rPr>
            </w:pPr>
            <w:r>
              <w:rPr>
                <w:w w:val="99"/>
                <w:sz w:val="18"/>
              </w:rPr>
              <w:t>3</w:t>
            </w:r>
          </w:p>
        </w:tc>
        <w:tc>
          <w:tcPr>
            <w:tcW w:w="1562" w:type="dxa"/>
          </w:tcPr>
          <w:p w14:paraId="626F5E85" w14:textId="77777777" w:rsidR="00FA4AA8" w:rsidRDefault="0015611F">
            <w:pPr>
              <w:pStyle w:val="TableParagraph"/>
              <w:spacing w:before="26"/>
              <w:ind w:right="311"/>
              <w:jc w:val="right"/>
              <w:rPr>
                <w:b/>
                <w:sz w:val="18"/>
              </w:rPr>
            </w:pPr>
            <w:r>
              <w:rPr>
                <w:b/>
                <w:w w:val="99"/>
                <w:sz w:val="18"/>
              </w:rPr>
              <w:t>-</w:t>
            </w:r>
          </w:p>
        </w:tc>
        <w:tc>
          <w:tcPr>
            <w:tcW w:w="1109" w:type="dxa"/>
          </w:tcPr>
          <w:p w14:paraId="658A1005" w14:textId="77777777" w:rsidR="00FA4AA8" w:rsidRDefault="0015611F">
            <w:pPr>
              <w:pStyle w:val="TableParagraph"/>
              <w:spacing w:before="26"/>
              <w:ind w:right="28"/>
              <w:jc w:val="right"/>
              <w:rPr>
                <w:sz w:val="18"/>
              </w:rPr>
            </w:pPr>
            <w:r>
              <w:rPr>
                <w:w w:val="95"/>
                <w:sz w:val="18"/>
              </w:rPr>
              <w:t>(1,452)</w:t>
            </w:r>
          </w:p>
        </w:tc>
      </w:tr>
      <w:tr w:rsidR="00FA4AA8" w14:paraId="1683602C" w14:textId="77777777">
        <w:trPr>
          <w:trHeight w:val="259"/>
        </w:trPr>
        <w:tc>
          <w:tcPr>
            <w:tcW w:w="5849" w:type="dxa"/>
          </w:tcPr>
          <w:p w14:paraId="101F08DD" w14:textId="77777777" w:rsidR="00FA4AA8" w:rsidRDefault="0015611F">
            <w:pPr>
              <w:pStyle w:val="TableParagraph"/>
              <w:spacing w:before="25"/>
              <w:ind w:left="94"/>
              <w:rPr>
                <w:sz w:val="18"/>
              </w:rPr>
            </w:pPr>
            <w:r>
              <w:rPr>
                <w:sz w:val="18"/>
              </w:rPr>
              <w:t>Bank charges</w:t>
            </w:r>
          </w:p>
        </w:tc>
        <w:tc>
          <w:tcPr>
            <w:tcW w:w="1451" w:type="dxa"/>
          </w:tcPr>
          <w:p w14:paraId="11A3BE1C" w14:textId="77777777" w:rsidR="00FA4AA8" w:rsidRDefault="0015611F">
            <w:pPr>
              <w:pStyle w:val="TableParagraph"/>
              <w:spacing w:before="26"/>
              <w:ind w:left="889"/>
              <w:jc w:val="center"/>
              <w:rPr>
                <w:sz w:val="18"/>
              </w:rPr>
            </w:pPr>
            <w:r>
              <w:rPr>
                <w:w w:val="99"/>
                <w:sz w:val="18"/>
              </w:rPr>
              <w:t>3</w:t>
            </w:r>
          </w:p>
        </w:tc>
        <w:tc>
          <w:tcPr>
            <w:tcW w:w="1562" w:type="dxa"/>
            <w:tcBorders>
              <w:bottom w:val="single" w:sz="8" w:space="0" w:color="000000"/>
            </w:tcBorders>
          </w:tcPr>
          <w:p w14:paraId="51C0F803" w14:textId="77777777" w:rsidR="00FA4AA8" w:rsidRDefault="0015611F">
            <w:pPr>
              <w:pStyle w:val="TableParagraph"/>
              <w:spacing w:before="26"/>
              <w:ind w:right="310"/>
              <w:jc w:val="right"/>
              <w:rPr>
                <w:b/>
                <w:sz w:val="18"/>
              </w:rPr>
            </w:pPr>
            <w:r>
              <w:rPr>
                <w:b/>
                <w:w w:val="95"/>
                <w:sz w:val="18"/>
              </w:rPr>
              <w:t>125</w:t>
            </w:r>
          </w:p>
        </w:tc>
        <w:tc>
          <w:tcPr>
            <w:tcW w:w="1109" w:type="dxa"/>
            <w:tcBorders>
              <w:bottom w:val="single" w:sz="8" w:space="0" w:color="000000"/>
            </w:tcBorders>
          </w:tcPr>
          <w:p w14:paraId="72F75BA3" w14:textId="77777777" w:rsidR="00FA4AA8" w:rsidRDefault="0015611F">
            <w:pPr>
              <w:pStyle w:val="TableParagraph"/>
              <w:spacing w:before="26"/>
              <w:ind w:right="28"/>
              <w:jc w:val="right"/>
              <w:rPr>
                <w:sz w:val="18"/>
              </w:rPr>
            </w:pPr>
            <w:r>
              <w:rPr>
                <w:w w:val="95"/>
                <w:sz w:val="18"/>
              </w:rPr>
              <w:t>(195)</w:t>
            </w:r>
          </w:p>
        </w:tc>
      </w:tr>
      <w:tr w:rsidR="00FA4AA8" w14:paraId="6ED7DF12" w14:textId="77777777">
        <w:trPr>
          <w:trHeight w:val="317"/>
        </w:trPr>
        <w:tc>
          <w:tcPr>
            <w:tcW w:w="5849" w:type="dxa"/>
          </w:tcPr>
          <w:p w14:paraId="490D3773" w14:textId="77777777" w:rsidR="00FA4AA8" w:rsidRDefault="0015611F">
            <w:pPr>
              <w:pStyle w:val="TableParagraph"/>
              <w:spacing w:before="113" w:line="184" w:lineRule="exact"/>
              <w:ind w:left="94"/>
              <w:rPr>
                <w:b/>
                <w:sz w:val="18"/>
              </w:rPr>
            </w:pPr>
            <w:r>
              <w:rPr>
                <w:b/>
                <w:sz w:val="18"/>
              </w:rPr>
              <w:t>Total expenses</w:t>
            </w:r>
          </w:p>
        </w:tc>
        <w:tc>
          <w:tcPr>
            <w:tcW w:w="1451" w:type="dxa"/>
          </w:tcPr>
          <w:p w14:paraId="1B150AD9" w14:textId="77777777" w:rsidR="00FA4AA8" w:rsidRDefault="00FA4AA8">
            <w:pPr>
              <w:pStyle w:val="TableParagraph"/>
              <w:rPr>
                <w:rFonts w:ascii="Times New Roman"/>
                <w:sz w:val="18"/>
              </w:rPr>
            </w:pPr>
          </w:p>
        </w:tc>
        <w:tc>
          <w:tcPr>
            <w:tcW w:w="1562" w:type="dxa"/>
            <w:tcBorders>
              <w:top w:val="single" w:sz="8" w:space="0" w:color="000000"/>
              <w:bottom w:val="single" w:sz="12" w:space="0" w:color="000000"/>
            </w:tcBorders>
          </w:tcPr>
          <w:p w14:paraId="114DF908" w14:textId="77777777" w:rsidR="00FA4AA8" w:rsidRDefault="0015611F">
            <w:pPr>
              <w:pStyle w:val="TableParagraph"/>
              <w:spacing w:before="113" w:line="184" w:lineRule="exact"/>
              <w:ind w:right="249"/>
              <w:jc w:val="right"/>
              <w:rPr>
                <w:b/>
                <w:sz w:val="18"/>
              </w:rPr>
            </w:pPr>
            <w:r>
              <w:rPr>
                <w:b/>
                <w:w w:val="95"/>
                <w:sz w:val="18"/>
              </w:rPr>
              <w:t>(60,875)</w:t>
            </w:r>
          </w:p>
        </w:tc>
        <w:tc>
          <w:tcPr>
            <w:tcW w:w="1109" w:type="dxa"/>
            <w:tcBorders>
              <w:top w:val="single" w:sz="8" w:space="0" w:color="000000"/>
              <w:bottom w:val="single" w:sz="12" w:space="0" w:color="000000"/>
            </w:tcBorders>
          </w:tcPr>
          <w:p w14:paraId="77576558" w14:textId="77777777" w:rsidR="00FA4AA8" w:rsidRDefault="0015611F">
            <w:pPr>
              <w:pStyle w:val="TableParagraph"/>
              <w:spacing w:before="113" w:line="184" w:lineRule="exact"/>
              <w:ind w:right="27"/>
              <w:jc w:val="right"/>
              <w:rPr>
                <w:sz w:val="18"/>
              </w:rPr>
            </w:pPr>
            <w:r>
              <w:rPr>
                <w:w w:val="95"/>
                <w:sz w:val="18"/>
              </w:rPr>
              <w:t>(109,190)</w:t>
            </w:r>
          </w:p>
        </w:tc>
      </w:tr>
      <w:tr w:rsidR="00FA4AA8" w14:paraId="0213CBD7" w14:textId="77777777">
        <w:trPr>
          <w:trHeight w:val="411"/>
        </w:trPr>
        <w:tc>
          <w:tcPr>
            <w:tcW w:w="5849" w:type="dxa"/>
          </w:tcPr>
          <w:p w14:paraId="6A95AA5A" w14:textId="77777777" w:rsidR="00FA4AA8" w:rsidRDefault="00FA4AA8">
            <w:pPr>
              <w:pStyle w:val="TableParagraph"/>
              <w:spacing w:before="10"/>
              <w:rPr>
                <w:sz w:val="17"/>
              </w:rPr>
            </w:pPr>
          </w:p>
          <w:p w14:paraId="0AB51F6E" w14:textId="77777777" w:rsidR="00FA4AA8" w:rsidRDefault="0015611F">
            <w:pPr>
              <w:pStyle w:val="TableParagraph"/>
              <w:spacing w:line="185" w:lineRule="exact"/>
              <w:ind w:left="94"/>
              <w:rPr>
                <w:b/>
                <w:sz w:val="18"/>
              </w:rPr>
            </w:pPr>
            <w:r>
              <w:rPr>
                <w:b/>
                <w:sz w:val="18"/>
              </w:rPr>
              <w:t>Surplus for the year</w:t>
            </w:r>
          </w:p>
        </w:tc>
        <w:tc>
          <w:tcPr>
            <w:tcW w:w="1451" w:type="dxa"/>
          </w:tcPr>
          <w:p w14:paraId="6183858B" w14:textId="77777777" w:rsidR="00FA4AA8" w:rsidRDefault="00FA4AA8">
            <w:pPr>
              <w:pStyle w:val="TableParagraph"/>
              <w:rPr>
                <w:rFonts w:ascii="Times New Roman"/>
                <w:sz w:val="18"/>
              </w:rPr>
            </w:pPr>
          </w:p>
        </w:tc>
        <w:tc>
          <w:tcPr>
            <w:tcW w:w="1562" w:type="dxa"/>
            <w:tcBorders>
              <w:top w:val="single" w:sz="12" w:space="0" w:color="000000"/>
              <w:bottom w:val="single" w:sz="12" w:space="0" w:color="000000"/>
            </w:tcBorders>
          </w:tcPr>
          <w:p w14:paraId="0DA70362" w14:textId="77777777" w:rsidR="00FA4AA8" w:rsidRDefault="00FA4AA8">
            <w:pPr>
              <w:pStyle w:val="TableParagraph"/>
              <w:spacing w:before="10"/>
              <w:rPr>
                <w:sz w:val="17"/>
              </w:rPr>
            </w:pPr>
          </w:p>
          <w:p w14:paraId="5B3990EE" w14:textId="77777777" w:rsidR="00FA4AA8" w:rsidRDefault="0015611F">
            <w:pPr>
              <w:pStyle w:val="TableParagraph"/>
              <w:spacing w:line="185" w:lineRule="exact"/>
              <w:ind w:right="308"/>
              <w:jc w:val="right"/>
              <w:rPr>
                <w:b/>
                <w:sz w:val="18"/>
              </w:rPr>
            </w:pPr>
            <w:r>
              <w:rPr>
                <w:b/>
                <w:w w:val="95"/>
                <w:sz w:val="18"/>
              </w:rPr>
              <w:t>169,907</w:t>
            </w:r>
          </w:p>
        </w:tc>
        <w:tc>
          <w:tcPr>
            <w:tcW w:w="1109" w:type="dxa"/>
            <w:tcBorders>
              <w:top w:val="single" w:sz="12" w:space="0" w:color="000000"/>
              <w:bottom w:val="single" w:sz="12" w:space="0" w:color="000000"/>
            </w:tcBorders>
          </w:tcPr>
          <w:p w14:paraId="4A79DB7E" w14:textId="77777777" w:rsidR="00FA4AA8" w:rsidRDefault="00FA4AA8">
            <w:pPr>
              <w:pStyle w:val="TableParagraph"/>
              <w:spacing w:before="10"/>
              <w:rPr>
                <w:sz w:val="17"/>
              </w:rPr>
            </w:pPr>
          </w:p>
          <w:p w14:paraId="3FE6533B" w14:textId="77777777" w:rsidR="00FA4AA8" w:rsidRDefault="0015611F">
            <w:pPr>
              <w:pStyle w:val="TableParagraph"/>
              <w:spacing w:line="185" w:lineRule="exact"/>
              <w:ind w:left="369"/>
              <w:rPr>
                <w:sz w:val="18"/>
              </w:rPr>
            </w:pPr>
            <w:r>
              <w:rPr>
                <w:sz w:val="18"/>
              </w:rPr>
              <w:t>117,782</w:t>
            </w:r>
          </w:p>
        </w:tc>
      </w:tr>
      <w:tr w:rsidR="00FA4AA8" w14:paraId="598AEF79" w14:textId="77777777">
        <w:trPr>
          <w:trHeight w:val="796"/>
        </w:trPr>
        <w:tc>
          <w:tcPr>
            <w:tcW w:w="5849" w:type="dxa"/>
          </w:tcPr>
          <w:p w14:paraId="4C7F9C92" w14:textId="77777777" w:rsidR="00FA4AA8" w:rsidRDefault="00FA4AA8">
            <w:pPr>
              <w:pStyle w:val="TableParagraph"/>
              <w:rPr>
                <w:sz w:val="20"/>
              </w:rPr>
            </w:pPr>
          </w:p>
          <w:p w14:paraId="56A65FFC" w14:textId="77777777" w:rsidR="00FA4AA8" w:rsidRDefault="00FA4AA8">
            <w:pPr>
              <w:pStyle w:val="TableParagraph"/>
              <w:spacing w:before="7"/>
              <w:rPr>
                <w:sz w:val="17"/>
              </w:rPr>
            </w:pPr>
          </w:p>
          <w:p w14:paraId="47BD3A50" w14:textId="77777777" w:rsidR="00FA4AA8" w:rsidRDefault="0015611F">
            <w:pPr>
              <w:pStyle w:val="TableParagraph"/>
              <w:ind w:left="94"/>
              <w:rPr>
                <w:b/>
                <w:sz w:val="18"/>
              </w:rPr>
            </w:pPr>
            <w:r>
              <w:rPr>
                <w:b/>
                <w:sz w:val="18"/>
              </w:rPr>
              <w:t>Other comprehensive income for the year</w:t>
            </w:r>
          </w:p>
        </w:tc>
        <w:tc>
          <w:tcPr>
            <w:tcW w:w="1451" w:type="dxa"/>
          </w:tcPr>
          <w:p w14:paraId="4172DAE4" w14:textId="77777777" w:rsidR="00FA4AA8" w:rsidRDefault="00FA4AA8">
            <w:pPr>
              <w:pStyle w:val="TableParagraph"/>
              <w:rPr>
                <w:rFonts w:ascii="Times New Roman"/>
                <w:sz w:val="18"/>
              </w:rPr>
            </w:pPr>
          </w:p>
        </w:tc>
        <w:tc>
          <w:tcPr>
            <w:tcW w:w="1562" w:type="dxa"/>
            <w:tcBorders>
              <w:top w:val="single" w:sz="12" w:space="0" w:color="000000"/>
            </w:tcBorders>
          </w:tcPr>
          <w:p w14:paraId="6E442FC5" w14:textId="77777777" w:rsidR="00FA4AA8" w:rsidRDefault="00FA4AA8">
            <w:pPr>
              <w:pStyle w:val="TableParagraph"/>
              <w:rPr>
                <w:sz w:val="20"/>
              </w:rPr>
            </w:pPr>
          </w:p>
          <w:p w14:paraId="48E99BB1" w14:textId="77777777" w:rsidR="00FA4AA8" w:rsidRDefault="00FA4AA8">
            <w:pPr>
              <w:pStyle w:val="TableParagraph"/>
              <w:spacing w:before="7"/>
              <w:rPr>
                <w:sz w:val="17"/>
              </w:rPr>
            </w:pPr>
          </w:p>
          <w:p w14:paraId="4506AA58" w14:textId="77777777" w:rsidR="00FA4AA8" w:rsidRDefault="0015611F">
            <w:pPr>
              <w:pStyle w:val="TableParagraph"/>
              <w:ind w:right="311"/>
              <w:jc w:val="right"/>
              <w:rPr>
                <w:b/>
                <w:sz w:val="18"/>
              </w:rPr>
            </w:pPr>
            <w:r>
              <w:rPr>
                <w:b/>
                <w:w w:val="99"/>
                <w:sz w:val="18"/>
              </w:rPr>
              <w:t>-</w:t>
            </w:r>
          </w:p>
        </w:tc>
        <w:tc>
          <w:tcPr>
            <w:tcW w:w="1109" w:type="dxa"/>
            <w:tcBorders>
              <w:top w:val="single" w:sz="12" w:space="0" w:color="000000"/>
            </w:tcBorders>
          </w:tcPr>
          <w:p w14:paraId="2BC1D207" w14:textId="77777777" w:rsidR="00FA4AA8" w:rsidRDefault="00FA4AA8">
            <w:pPr>
              <w:pStyle w:val="TableParagraph"/>
              <w:rPr>
                <w:sz w:val="20"/>
              </w:rPr>
            </w:pPr>
          </w:p>
          <w:p w14:paraId="45A32B23" w14:textId="77777777" w:rsidR="00FA4AA8" w:rsidRDefault="00FA4AA8">
            <w:pPr>
              <w:pStyle w:val="TableParagraph"/>
              <w:spacing w:before="7"/>
              <w:rPr>
                <w:sz w:val="17"/>
              </w:rPr>
            </w:pPr>
          </w:p>
          <w:p w14:paraId="1FBABA54" w14:textId="77777777" w:rsidR="00FA4AA8" w:rsidRDefault="0015611F">
            <w:pPr>
              <w:pStyle w:val="TableParagraph"/>
              <w:ind w:right="89"/>
              <w:jc w:val="right"/>
              <w:rPr>
                <w:sz w:val="18"/>
              </w:rPr>
            </w:pPr>
            <w:r>
              <w:rPr>
                <w:w w:val="99"/>
                <w:sz w:val="18"/>
              </w:rPr>
              <w:t>-</w:t>
            </w:r>
          </w:p>
        </w:tc>
      </w:tr>
      <w:tr w:rsidR="00FA4AA8" w14:paraId="48F81AD4" w14:textId="77777777">
        <w:trPr>
          <w:trHeight w:val="384"/>
        </w:trPr>
        <w:tc>
          <w:tcPr>
            <w:tcW w:w="5849" w:type="dxa"/>
          </w:tcPr>
          <w:p w14:paraId="4211CF52" w14:textId="77777777" w:rsidR="00FA4AA8" w:rsidRDefault="0015611F">
            <w:pPr>
              <w:pStyle w:val="TableParagraph"/>
              <w:spacing w:before="151"/>
              <w:ind w:left="94"/>
              <w:rPr>
                <w:b/>
                <w:sz w:val="18"/>
              </w:rPr>
            </w:pPr>
            <w:r>
              <w:rPr>
                <w:b/>
                <w:sz w:val="18"/>
              </w:rPr>
              <w:t>Total comprehensive income for the year</w:t>
            </w:r>
          </w:p>
        </w:tc>
        <w:tc>
          <w:tcPr>
            <w:tcW w:w="1451" w:type="dxa"/>
          </w:tcPr>
          <w:p w14:paraId="404B58E0" w14:textId="77777777" w:rsidR="00FA4AA8" w:rsidRDefault="00FA4AA8">
            <w:pPr>
              <w:pStyle w:val="TableParagraph"/>
              <w:rPr>
                <w:rFonts w:ascii="Times New Roman"/>
                <w:sz w:val="18"/>
              </w:rPr>
            </w:pPr>
          </w:p>
        </w:tc>
        <w:tc>
          <w:tcPr>
            <w:tcW w:w="1562" w:type="dxa"/>
            <w:tcBorders>
              <w:bottom w:val="single" w:sz="12" w:space="0" w:color="000000"/>
            </w:tcBorders>
          </w:tcPr>
          <w:p w14:paraId="259D6C48" w14:textId="77777777" w:rsidR="00FA4AA8" w:rsidRDefault="0015611F">
            <w:pPr>
              <w:pStyle w:val="TableParagraph"/>
              <w:spacing w:before="150"/>
              <w:ind w:right="308"/>
              <w:jc w:val="right"/>
              <w:rPr>
                <w:b/>
                <w:sz w:val="18"/>
              </w:rPr>
            </w:pPr>
            <w:r>
              <w:rPr>
                <w:b/>
                <w:w w:val="95"/>
                <w:sz w:val="18"/>
              </w:rPr>
              <w:t>169,907</w:t>
            </w:r>
          </w:p>
        </w:tc>
        <w:tc>
          <w:tcPr>
            <w:tcW w:w="1109" w:type="dxa"/>
            <w:tcBorders>
              <w:bottom w:val="single" w:sz="12" w:space="0" w:color="000000"/>
            </w:tcBorders>
          </w:tcPr>
          <w:p w14:paraId="234FD702" w14:textId="77777777" w:rsidR="00FA4AA8" w:rsidRDefault="0015611F">
            <w:pPr>
              <w:pStyle w:val="TableParagraph"/>
              <w:spacing w:before="150"/>
              <w:ind w:left="369"/>
              <w:rPr>
                <w:sz w:val="18"/>
              </w:rPr>
            </w:pPr>
            <w:r>
              <w:rPr>
                <w:sz w:val="18"/>
              </w:rPr>
              <w:t>117,782</w:t>
            </w:r>
          </w:p>
        </w:tc>
      </w:tr>
      <w:tr w:rsidR="00FA4AA8" w14:paraId="76EC1A81" w14:textId="77777777">
        <w:trPr>
          <w:trHeight w:val="1105"/>
        </w:trPr>
        <w:tc>
          <w:tcPr>
            <w:tcW w:w="5849" w:type="dxa"/>
          </w:tcPr>
          <w:p w14:paraId="712A0C35" w14:textId="77777777" w:rsidR="00FA4AA8" w:rsidRDefault="00FA4AA8">
            <w:pPr>
              <w:pStyle w:val="TableParagraph"/>
              <w:rPr>
                <w:sz w:val="20"/>
              </w:rPr>
            </w:pPr>
          </w:p>
          <w:p w14:paraId="75233B3F" w14:textId="77777777" w:rsidR="00FA4AA8" w:rsidRDefault="00FA4AA8">
            <w:pPr>
              <w:pStyle w:val="TableParagraph"/>
              <w:rPr>
                <w:sz w:val="20"/>
              </w:rPr>
            </w:pPr>
          </w:p>
          <w:p w14:paraId="63A4D29A" w14:textId="77777777" w:rsidR="00FA4AA8" w:rsidRDefault="00FA4AA8">
            <w:pPr>
              <w:pStyle w:val="TableParagraph"/>
              <w:spacing w:before="4"/>
              <w:rPr>
                <w:sz w:val="25"/>
              </w:rPr>
            </w:pPr>
          </w:p>
          <w:p w14:paraId="45303B62" w14:textId="77777777" w:rsidR="00FA4AA8" w:rsidRDefault="0015611F">
            <w:pPr>
              <w:pStyle w:val="TableParagraph"/>
              <w:ind w:left="94"/>
              <w:rPr>
                <w:b/>
                <w:sz w:val="18"/>
              </w:rPr>
            </w:pPr>
            <w:r>
              <w:rPr>
                <w:b/>
                <w:sz w:val="18"/>
              </w:rPr>
              <w:t>Comprehensive income for the year attributable to</w:t>
            </w:r>
          </w:p>
        </w:tc>
        <w:tc>
          <w:tcPr>
            <w:tcW w:w="1451" w:type="dxa"/>
          </w:tcPr>
          <w:p w14:paraId="6662E57B" w14:textId="77777777" w:rsidR="00FA4AA8" w:rsidRDefault="00FA4AA8">
            <w:pPr>
              <w:pStyle w:val="TableParagraph"/>
              <w:rPr>
                <w:rFonts w:ascii="Times New Roman"/>
                <w:sz w:val="18"/>
              </w:rPr>
            </w:pPr>
          </w:p>
        </w:tc>
        <w:tc>
          <w:tcPr>
            <w:tcW w:w="1562" w:type="dxa"/>
            <w:tcBorders>
              <w:top w:val="single" w:sz="12" w:space="0" w:color="000000"/>
            </w:tcBorders>
          </w:tcPr>
          <w:p w14:paraId="7B0A9970" w14:textId="77777777" w:rsidR="00FA4AA8" w:rsidRDefault="00FA4AA8">
            <w:pPr>
              <w:pStyle w:val="TableParagraph"/>
              <w:rPr>
                <w:rFonts w:ascii="Times New Roman"/>
                <w:sz w:val="18"/>
              </w:rPr>
            </w:pPr>
          </w:p>
        </w:tc>
        <w:tc>
          <w:tcPr>
            <w:tcW w:w="1109" w:type="dxa"/>
            <w:tcBorders>
              <w:top w:val="single" w:sz="12" w:space="0" w:color="000000"/>
            </w:tcBorders>
          </w:tcPr>
          <w:p w14:paraId="60AD6442" w14:textId="77777777" w:rsidR="00FA4AA8" w:rsidRDefault="00FA4AA8">
            <w:pPr>
              <w:pStyle w:val="TableParagraph"/>
              <w:rPr>
                <w:rFonts w:ascii="Times New Roman"/>
                <w:sz w:val="18"/>
              </w:rPr>
            </w:pPr>
          </w:p>
        </w:tc>
      </w:tr>
      <w:tr w:rsidR="00FA4AA8" w14:paraId="54FAE10B" w14:textId="77777777">
        <w:trPr>
          <w:trHeight w:val="638"/>
        </w:trPr>
        <w:tc>
          <w:tcPr>
            <w:tcW w:w="5849" w:type="dxa"/>
          </w:tcPr>
          <w:p w14:paraId="5AC1C198" w14:textId="77777777" w:rsidR="00FA4AA8" w:rsidRDefault="0015611F">
            <w:pPr>
              <w:pStyle w:val="TableParagraph"/>
              <w:spacing w:before="89" w:line="260" w:lineRule="atLeast"/>
              <w:ind w:left="94" w:right="3784"/>
              <w:rPr>
                <w:sz w:val="18"/>
              </w:rPr>
            </w:pPr>
            <w:r>
              <w:rPr>
                <w:sz w:val="18"/>
              </w:rPr>
              <w:t>Non - controlling interest The parent</w:t>
            </w:r>
          </w:p>
        </w:tc>
        <w:tc>
          <w:tcPr>
            <w:tcW w:w="1451" w:type="dxa"/>
          </w:tcPr>
          <w:p w14:paraId="562CD270" w14:textId="77777777" w:rsidR="00FA4AA8" w:rsidRDefault="00FA4AA8">
            <w:pPr>
              <w:pStyle w:val="TableParagraph"/>
              <w:rPr>
                <w:rFonts w:ascii="Times New Roman"/>
                <w:sz w:val="18"/>
              </w:rPr>
            </w:pPr>
          </w:p>
        </w:tc>
        <w:tc>
          <w:tcPr>
            <w:tcW w:w="1562" w:type="dxa"/>
            <w:tcBorders>
              <w:bottom w:val="single" w:sz="8" w:space="0" w:color="000000"/>
            </w:tcBorders>
          </w:tcPr>
          <w:p w14:paraId="1091F3F3" w14:textId="77777777" w:rsidR="00FA4AA8" w:rsidRDefault="0015611F">
            <w:pPr>
              <w:pStyle w:val="TableParagraph"/>
              <w:spacing w:before="87" w:line="260" w:lineRule="atLeast"/>
              <w:ind w:left="600" w:right="291" w:firstLine="588"/>
              <w:rPr>
                <w:b/>
                <w:sz w:val="18"/>
              </w:rPr>
            </w:pPr>
            <w:r>
              <w:rPr>
                <w:b/>
                <w:sz w:val="18"/>
              </w:rPr>
              <w:t>- 169,907</w:t>
            </w:r>
          </w:p>
        </w:tc>
        <w:tc>
          <w:tcPr>
            <w:tcW w:w="1109" w:type="dxa"/>
            <w:tcBorders>
              <w:bottom w:val="single" w:sz="8" w:space="0" w:color="000000"/>
            </w:tcBorders>
          </w:tcPr>
          <w:p w14:paraId="4A485BE9" w14:textId="77777777" w:rsidR="00FA4AA8" w:rsidRDefault="0015611F">
            <w:pPr>
              <w:pStyle w:val="TableParagraph"/>
              <w:spacing w:before="87" w:line="260" w:lineRule="atLeast"/>
              <w:ind w:left="369" w:right="69" w:firstLine="588"/>
              <w:rPr>
                <w:sz w:val="18"/>
              </w:rPr>
            </w:pPr>
            <w:r>
              <w:rPr>
                <w:sz w:val="18"/>
              </w:rPr>
              <w:t>- 117,782</w:t>
            </w:r>
          </w:p>
        </w:tc>
      </w:tr>
      <w:tr w:rsidR="00FA4AA8" w14:paraId="27761CDE" w14:textId="77777777">
        <w:trPr>
          <w:trHeight w:val="318"/>
        </w:trPr>
        <w:tc>
          <w:tcPr>
            <w:tcW w:w="5849" w:type="dxa"/>
          </w:tcPr>
          <w:p w14:paraId="37985650" w14:textId="77777777" w:rsidR="00FA4AA8" w:rsidRDefault="0015611F">
            <w:pPr>
              <w:pStyle w:val="TableParagraph"/>
              <w:spacing w:before="113" w:line="185" w:lineRule="exact"/>
              <w:ind w:left="94"/>
              <w:rPr>
                <w:b/>
                <w:sz w:val="18"/>
              </w:rPr>
            </w:pPr>
            <w:r>
              <w:rPr>
                <w:b/>
                <w:sz w:val="18"/>
              </w:rPr>
              <w:t>Total comprehensive income for the year</w:t>
            </w:r>
          </w:p>
        </w:tc>
        <w:tc>
          <w:tcPr>
            <w:tcW w:w="1451" w:type="dxa"/>
          </w:tcPr>
          <w:p w14:paraId="6A340371" w14:textId="77777777" w:rsidR="00FA4AA8" w:rsidRDefault="00FA4AA8">
            <w:pPr>
              <w:pStyle w:val="TableParagraph"/>
              <w:rPr>
                <w:rFonts w:ascii="Times New Roman"/>
                <w:sz w:val="18"/>
              </w:rPr>
            </w:pPr>
          </w:p>
        </w:tc>
        <w:tc>
          <w:tcPr>
            <w:tcW w:w="1562" w:type="dxa"/>
            <w:tcBorders>
              <w:top w:val="single" w:sz="8" w:space="0" w:color="000000"/>
              <w:bottom w:val="single" w:sz="12" w:space="0" w:color="000000"/>
            </w:tcBorders>
          </w:tcPr>
          <w:p w14:paraId="6874F1B8" w14:textId="77777777" w:rsidR="00FA4AA8" w:rsidRDefault="0015611F">
            <w:pPr>
              <w:pStyle w:val="TableParagraph"/>
              <w:spacing w:before="113" w:line="185" w:lineRule="exact"/>
              <w:ind w:right="308"/>
              <w:jc w:val="right"/>
              <w:rPr>
                <w:b/>
                <w:sz w:val="18"/>
              </w:rPr>
            </w:pPr>
            <w:r>
              <w:rPr>
                <w:b/>
                <w:w w:val="95"/>
                <w:sz w:val="18"/>
              </w:rPr>
              <w:t>169,907</w:t>
            </w:r>
          </w:p>
        </w:tc>
        <w:tc>
          <w:tcPr>
            <w:tcW w:w="1109" w:type="dxa"/>
            <w:tcBorders>
              <w:top w:val="single" w:sz="8" w:space="0" w:color="000000"/>
              <w:bottom w:val="single" w:sz="12" w:space="0" w:color="000000"/>
            </w:tcBorders>
          </w:tcPr>
          <w:p w14:paraId="696A20B8" w14:textId="77777777" w:rsidR="00FA4AA8" w:rsidRDefault="0015611F">
            <w:pPr>
              <w:pStyle w:val="TableParagraph"/>
              <w:spacing w:before="113" w:line="185" w:lineRule="exact"/>
              <w:ind w:left="369"/>
              <w:rPr>
                <w:sz w:val="18"/>
              </w:rPr>
            </w:pPr>
            <w:r>
              <w:rPr>
                <w:sz w:val="18"/>
              </w:rPr>
              <w:t>117,782</w:t>
            </w:r>
          </w:p>
        </w:tc>
      </w:tr>
    </w:tbl>
    <w:p w14:paraId="793E4B4F" w14:textId="77777777" w:rsidR="00FA4AA8" w:rsidRDefault="00FA4AA8">
      <w:pPr>
        <w:pStyle w:val="BodyText"/>
        <w:rPr>
          <w:sz w:val="20"/>
        </w:rPr>
      </w:pPr>
    </w:p>
    <w:p w14:paraId="65DC0DA8" w14:textId="77777777" w:rsidR="00FA4AA8" w:rsidRDefault="00FA4AA8">
      <w:pPr>
        <w:pStyle w:val="BodyText"/>
        <w:rPr>
          <w:sz w:val="20"/>
        </w:rPr>
      </w:pPr>
    </w:p>
    <w:p w14:paraId="4604DEE4" w14:textId="77777777" w:rsidR="00FA4AA8" w:rsidRDefault="00FA4AA8">
      <w:pPr>
        <w:pStyle w:val="BodyText"/>
        <w:rPr>
          <w:sz w:val="20"/>
        </w:rPr>
      </w:pPr>
    </w:p>
    <w:p w14:paraId="43E7AA25" w14:textId="77777777" w:rsidR="00FA4AA8" w:rsidRDefault="00FA4AA8">
      <w:pPr>
        <w:pStyle w:val="BodyText"/>
        <w:rPr>
          <w:sz w:val="20"/>
        </w:rPr>
      </w:pPr>
    </w:p>
    <w:p w14:paraId="297714B3" w14:textId="77777777" w:rsidR="00FA4AA8" w:rsidRDefault="00FA4AA8">
      <w:pPr>
        <w:pStyle w:val="BodyText"/>
        <w:rPr>
          <w:sz w:val="20"/>
        </w:rPr>
      </w:pPr>
    </w:p>
    <w:p w14:paraId="5861E6E6" w14:textId="77777777" w:rsidR="00FA4AA8" w:rsidRDefault="00FA4AA8">
      <w:pPr>
        <w:pStyle w:val="BodyText"/>
        <w:rPr>
          <w:sz w:val="20"/>
        </w:rPr>
      </w:pPr>
    </w:p>
    <w:p w14:paraId="3EE3F785" w14:textId="77777777" w:rsidR="00FA4AA8" w:rsidRDefault="00FA4AA8">
      <w:pPr>
        <w:pStyle w:val="BodyText"/>
        <w:rPr>
          <w:sz w:val="20"/>
        </w:rPr>
      </w:pPr>
    </w:p>
    <w:p w14:paraId="4A9B8DB8" w14:textId="77777777" w:rsidR="00FA4AA8" w:rsidRDefault="00FA4AA8">
      <w:pPr>
        <w:pStyle w:val="BodyText"/>
        <w:rPr>
          <w:sz w:val="20"/>
        </w:rPr>
      </w:pPr>
    </w:p>
    <w:p w14:paraId="4C98B4F8" w14:textId="77777777" w:rsidR="00FA4AA8" w:rsidRDefault="00FA4AA8">
      <w:pPr>
        <w:pStyle w:val="BodyText"/>
        <w:rPr>
          <w:sz w:val="20"/>
        </w:rPr>
      </w:pPr>
    </w:p>
    <w:p w14:paraId="196361DE" w14:textId="77777777" w:rsidR="00FA4AA8" w:rsidRDefault="00FA4AA8">
      <w:pPr>
        <w:pStyle w:val="BodyText"/>
        <w:rPr>
          <w:sz w:val="20"/>
        </w:rPr>
      </w:pPr>
    </w:p>
    <w:p w14:paraId="14AE37F9" w14:textId="77777777" w:rsidR="00FA4AA8" w:rsidRDefault="00FA4AA8">
      <w:pPr>
        <w:pStyle w:val="BodyText"/>
        <w:rPr>
          <w:sz w:val="20"/>
        </w:rPr>
      </w:pPr>
    </w:p>
    <w:p w14:paraId="7AA61961" w14:textId="77777777" w:rsidR="00FA4AA8" w:rsidRDefault="00FA4AA8">
      <w:pPr>
        <w:pStyle w:val="BodyText"/>
        <w:rPr>
          <w:sz w:val="20"/>
        </w:rPr>
      </w:pPr>
    </w:p>
    <w:p w14:paraId="51289AD8" w14:textId="77777777" w:rsidR="00FA4AA8" w:rsidRDefault="00FA4AA8">
      <w:pPr>
        <w:pStyle w:val="BodyText"/>
        <w:rPr>
          <w:sz w:val="20"/>
        </w:rPr>
      </w:pPr>
    </w:p>
    <w:p w14:paraId="1DC92D02" w14:textId="77777777" w:rsidR="00FA4AA8" w:rsidRDefault="00FA4AA8">
      <w:pPr>
        <w:pStyle w:val="BodyText"/>
        <w:rPr>
          <w:sz w:val="20"/>
        </w:rPr>
      </w:pPr>
    </w:p>
    <w:p w14:paraId="49D065B7" w14:textId="77777777" w:rsidR="00FA4AA8" w:rsidRDefault="00FA4AA8">
      <w:pPr>
        <w:pStyle w:val="BodyText"/>
        <w:rPr>
          <w:sz w:val="20"/>
        </w:rPr>
      </w:pPr>
    </w:p>
    <w:p w14:paraId="5ADAFBF7" w14:textId="77777777" w:rsidR="00FA4AA8" w:rsidRDefault="00FA4AA8">
      <w:pPr>
        <w:pStyle w:val="BodyText"/>
        <w:rPr>
          <w:sz w:val="20"/>
        </w:rPr>
      </w:pPr>
    </w:p>
    <w:p w14:paraId="1E010E72" w14:textId="77777777" w:rsidR="00FA4AA8" w:rsidRDefault="00FA4AA8">
      <w:pPr>
        <w:pStyle w:val="BodyText"/>
        <w:rPr>
          <w:sz w:val="20"/>
        </w:rPr>
      </w:pPr>
    </w:p>
    <w:p w14:paraId="2993EB7B" w14:textId="77777777" w:rsidR="00FA4AA8" w:rsidRDefault="00FA4AA8">
      <w:pPr>
        <w:pStyle w:val="BodyText"/>
        <w:rPr>
          <w:sz w:val="21"/>
        </w:rPr>
      </w:pPr>
    </w:p>
    <w:p w14:paraId="2ABD8CC6" w14:textId="77777777" w:rsidR="00FA4AA8" w:rsidRDefault="0015611F">
      <w:pPr>
        <w:pStyle w:val="BodyText"/>
        <w:ind w:left="194" w:right="80"/>
        <w:jc w:val="center"/>
      </w:pPr>
      <w:r>
        <w:t>The accompanying notes form part of these financial statements.</w:t>
      </w:r>
    </w:p>
    <w:p w14:paraId="44CE5F85" w14:textId="77777777" w:rsidR="00FA4AA8" w:rsidRDefault="00FA4AA8">
      <w:pPr>
        <w:jc w:val="center"/>
        <w:sectPr w:rsidR="00FA4AA8">
          <w:pgSz w:w="11910" w:h="16840"/>
          <w:pgMar w:top="1560" w:right="840" w:bottom="720" w:left="840" w:header="1017" w:footer="523" w:gutter="0"/>
          <w:cols w:space="720"/>
        </w:sectPr>
      </w:pPr>
    </w:p>
    <w:p w14:paraId="3C33581E" w14:textId="77777777" w:rsidR="00FA4AA8" w:rsidRDefault="00FA4AA8">
      <w:pPr>
        <w:pStyle w:val="BodyText"/>
        <w:rPr>
          <w:sz w:val="20"/>
        </w:rPr>
      </w:pPr>
    </w:p>
    <w:p w14:paraId="18C858D5" w14:textId="77777777" w:rsidR="00FA4AA8" w:rsidRDefault="00FA4AA8">
      <w:pPr>
        <w:pStyle w:val="BodyText"/>
        <w:spacing w:before="3"/>
        <w:rPr>
          <w:sz w:val="10"/>
        </w:rPr>
      </w:pPr>
    </w:p>
    <w:tbl>
      <w:tblPr>
        <w:tblW w:w="0" w:type="auto"/>
        <w:tblInd w:w="125" w:type="dxa"/>
        <w:tblLayout w:type="fixed"/>
        <w:tblCellMar>
          <w:left w:w="0" w:type="dxa"/>
          <w:right w:w="0" w:type="dxa"/>
        </w:tblCellMar>
        <w:tblLook w:val="01E0" w:firstRow="1" w:lastRow="1" w:firstColumn="1" w:lastColumn="1" w:noHBand="0" w:noVBand="0"/>
      </w:tblPr>
      <w:tblGrid>
        <w:gridCol w:w="5471"/>
        <w:gridCol w:w="1901"/>
        <w:gridCol w:w="1459"/>
        <w:gridCol w:w="1135"/>
      </w:tblGrid>
      <w:tr w:rsidR="00FA4AA8" w14:paraId="1D234D31" w14:textId="77777777">
        <w:trPr>
          <w:trHeight w:val="344"/>
        </w:trPr>
        <w:tc>
          <w:tcPr>
            <w:tcW w:w="5471" w:type="dxa"/>
          </w:tcPr>
          <w:p w14:paraId="5904A65D" w14:textId="77777777" w:rsidR="00FA4AA8" w:rsidRDefault="0015611F">
            <w:pPr>
              <w:pStyle w:val="TableParagraph"/>
              <w:spacing w:line="312" w:lineRule="exact"/>
              <w:ind w:left="50"/>
              <w:rPr>
                <w:b/>
                <w:sz w:val="28"/>
              </w:rPr>
            </w:pPr>
            <w:r>
              <w:rPr>
                <w:b/>
                <w:sz w:val="28"/>
              </w:rPr>
              <w:t>Statement of financial position</w:t>
            </w:r>
          </w:p>
        </w:tc>
        <w:tc>
          <w:tcPr>
            <w:tcW w:w="4495" w:type="dxa"/>
            <w:gridSpan w:val="3"/>
            <w:vMerge w:val="restart"/>
          </w:tcPr>
          <w:p w14:paraId="226F2676" w14:textId="77777777" w:rsidR="00FA4AA8" w:rsidRDefault="00FA4AA8">
            <w:pPr>
              <w:pStyle w:val="TableParagraph"/>
              <w:rPr>
                <w:rFonts w:ascii="Times New Roman"/>
                <w:sz w:val="18"/>
              </w:rPr>
            </w:pPr>
          </w:p>
        </w:tc>
      </w:tr>
      <w:tr w:rsidR="00FA4AA8" w14:paraId="53EE8B88" w14:textId="77777777">
        <w:trPr>
          <w:trHeight w:val="486"/>
        </w:trPr>
        <w:tc>
          <w:tcPr>
            <w:tcW w:w="5471" w:type="dxa"/>
          </w:tcPr>
          <w:p w14:paraId="6E551FD9" w14:textId="77777777" w:rsidR="00FA4AA8" w:rsidRDefault="0015611F">
            <w:pPr>
              <w:pStyle w:val="TableParagraph"/>
              <w:spacing w:before="25"/>
              <w:ind w:left="50"/>
              <w:rPr>
                <w:b/>
              </w:rPr>
            </w:pPr>
            <w:r>
              <w:rPr>
                <w:b/>
              </w:rPr>
              <w:t>As at 31 December 2018</w:t>
            </w:r>
          </w:p>
        </w:tc>
        <w:tc>
          <w:tcPr>
            <w:tcW w:w="4495" w:type="dxa"/>
            <w:gridSpan w:val="3"/>
            <w:vMerge/>
            <w:tcBorders>
              <w:top w:val="nil"/>
            </w:tcBorders>
          </w:tcPr>
          <w:p w14:paraId="52B3B9DF" w14:textId="77777777" w:rsidR="00FA4AA8" w:rsidRDefault="00FA4AA8">
            <w:pPr>
              <w:rPr>
                <w:sz w:val="2"/>
                <w:szCs w:val="2"/>
              </w:rPr>
            </w:pPr>
          </w:p>
        </w:tc>
      </w:tr>
      <w:tr w:rsidR="00FA4AA8" w14:paraId="3D39921A" w14:textId="77777777">
        <w:trPr>
          <w:trHeight w:val="446"/>
        </w:trPr>
        <w:tc>
          <w:tcPr>
            <w:tcW w:w="5471" w:type="dxa"/>
          </w:tcPr>
          <w:p w14:paraId="016BD35A" w14:textId="77777777" w:rsidR="00FA4AA8" w:rsidRDefault="00FA4AA8">
            <w:pPr>
              <w:pStyle w:val="TableParagraph"/>
              <w:rPr>
                <w:rFonts w:ascii="Times New Roman"/>
                <w:sz w:val="18"/>
              </w:rPr>
            </w:pPr>
          </w:p>
        </w:tc>
        <w:tc>
          <w:tcPr>
            <w:tcW w:w="1901" w:type="dxa"/>
          </w:tcPr>
          <w:p w14:paraId="2097C93D" w14:textId="77777777" w:rsidR="00FA4AA8" w:rsidRDefault="00FA4AA8">
            <w:pPr>
              <w:pStyle w:val="TableParagraph"/>
              <w:rPr>
                <w:rFonts w:ascii="Times New Roman"/>
                <w:sz w:val="18"/>
              </w:rPr>
            </w:pPr>
          </w:p>
        </w:tc>
        <w:tc>
          <w:tcPr>
            <w:tcW w:w="1459" w:type="dxa"/>
          </w:tcPr>
          <w:p w14:paraId="7A0FDCB5" w14:textId="77777777" w:rsidR="00FA4AA8" w:rsidRDefault="00FA4AA8">
            <w:pPr>
              <w:pStyle w:val="TableParagraph"/>
              <w:spacing w:before="7"/>
              <w:rPr>
                <w:sz w:val="17"/>
              </w:rPr>
            </w:pPr>
          </w:p>
          <w:p w14:paraId="4D931642" w14:textId="77777777" w:rsidR="00FA4AA8" w:rsidRDefault="0015611F">
            <w:pPr>
              <w:pStyle w:val="TableParagraph"/>
              <w:ind w:left="449"/>
              <w:rPr>
                <w:b/>
                <w:sz w:val="18"/>
              </w:rPr>
            </w:pPr>
            <w:r>
              <w:rPr>
                <w:b/>
                <w:sz w:val="18"/>
              </w:rPr>
              <w:t>2018</w:t>
            </w:r>
          </w:p>
        </w:tc>
        <w:tc>
          <w:tcPr>
            <w:tcW w:w="1135" w:type="dxa"/>
          </w:tcPr>
          <w:p w14:paraId="1EC9C602" w14:textId="77777777" w:rsidR="00FA4AA8" w:rsidRDefault="00FA4AA8">
            <w:pPr>
              <w:pStyle w:val="TableParagraph"/>
              <w:spacing w:before="7"/>
              <w:rPr>
                <w:sz w:val="17"/>
              </w:rPr>
            </w:pPr>
          </w:p>
          <w:p w14:paraId="3DBE0103" w14:textId="77777777" w:rsidR="00FA4AA8" w:rsidRDefault="0015611F">
            <w:pPr>
              <w:pStyle w:val="TableParagraph"/>
              <w:ind w:left="287"/>
              <w:rPr>
                <w:b/>
                <w:sz w:val="18"/>
              </w:rPr>
            </w:pPr>
            <w:r>
              <w:rPr>
                <w:b/>
                <w:sz w:val="18"/>
              </w:rPr>
              <w:t>2017</w:t>
            </w:r>
          </w:p>
        </w:tc>
      </w:tr>
      <w:tr w:rsidR="00FA4AA8" w14:paraId="634BB1D5" w14:textId="77777777">
        <w:trPr>
          <w:trHeight w:val="313"/>
        </w:trPr>
        <w:tc>
          <w:tcPr>
            <w:tcW w:w="5471" w:type="dxa"/>
          </w:tcPr>
          <w:p w14:paraId="64A6CA42" w14:textId="77777777" w:rsidR="00FA4AA8" w:rsidRDefault="00FA4AA8">
            <w:pPr>
              <w:pStyle w:val="TableParagraph"/>
              <w:rPr>
                <w:rFonts w:ascii="Times New Roman"/>
                <w:sz w:val="18"/>
              </w:rPr>
            </w:pPr>
          </w:p>
        </w:tc>
        <w:tc>
          <w:tcPr>
            <w:tcW w:w="1901" w:type="dxa"/>
          </w:tcPr>
          <w:p w14:paraId="6DAA2582" w14:textId="77777777" w:rsidR="00FA4AA8" w:rsidRDefault="0015611F">
            <w:pPr>
              <w:pStyle w:val="TableParagraph"/>
              <w:spacing w:before="30"/>
              <w:ind w:left="1362"/>
              <w:rPr>
                <w:b/>
                <w:sz w:val="18"/>
              </w:rPr>
            </w:pPr>
            <w:r>
              <w:rPr>
                <w:b/>
                <w:sz w:val="18"/>
              </w:rPr>
              <w:t>Notes</w:t>
            </w:r>
          </w:p>
        </w:tc>
        <w:tc>
          <w:tcPr>
            <w:tcW w:w="1459" w:type="dxa"/>
          </w:tcPr>
          <w:p w14:paraId="336DDCC5" w14:textId="77777777" w:rsidR="00FA4AA8" w:rsidRDefault="0015611F">
            <w:pPr>
              <w:pStyle w:val="TableParagraph"/>
              <w:spacing w:before="30"/>
              <w:ind w:right="158"/>
              <w:jc w:val="center"/>
              <w:rPr>
                <w:b/>
                <w:sz w:val="18"/>
              </w:rPr>
            </w:pPr>
            <w:r>
              <w:rPr>
                <w:b/>
                <w:w w:val="99"/>
                <w:sz w:val="18"/>
              </w:rPr>
              <w:t>$</w:t>
            </w:r>
          </w:p>
        </w:tc>
        <w:tc>
          <w:tcPr>
            <w:tcW w:w="1135" w:type="dxa"/>
          </w:tcPr>
          <w:p w14:paraId="18BB44D1" w14:textId="77777777" w:rsidR="00FA4AA8" w:rsidRDefault="0015611F">
            <w:pPr>
              <w:pStyle w:val="TableParagraph"/>
              <w:spacing w:before="30"/>
              <w:ind w:right="158"/>
              <w:jc w:val="center"/>
              <w:rPr>
                <w:b/>
                <w:sz w:val="18"/>
              </w:rPr>
            </w:pPr>
            <w:r>
              <w:rPr>
                <w:b/>
                <w:w w:val="99"/>
                <w:sz w:val="18"/>
              </w:rPr>
              <w:t>$</w:t>
            </w:r>
          </w:p>
        </w:tc>
      </w:tr>
      <w:tr w:rsidR="00FA4AA8" w14:paraId="6325914A" w14:textId="77777777">
        <w:trPr>
          <w:trHeight w:val="706"/>
        </w:trPr>
        <w:tc>
          <w:tcPr>
            <w:tcW w:w="5471" w:type="dxa"/>
          </w:tcPr>
          <w:p w14:paraId="69F22326" w14:textId="77777777" w:rsidR="00FA4AA8" w:rsidRDefault="0015611F">
            <w:pPr>
              <w:pStyle w:val="TableParagraph"/>
              <w:spacing w:before="70" w:line="207" w:lineRule="exact"/>
              <w:ind w:left="77"/>
              <w:rPr>
                <w:b/>
                <w:sz w:val="18"/>
              </w:rPr>
            </w:pPr>
            <w:r>
              <w:rPr>
                <w:b/>
                <w:sz w:val="18"/>
              </w:rPr>
              <w:t>ASSETS</w:t>
            </w:r>
          </w:p>
          <w:p w14:paraId="093B62CB" w14:textId="77777777" w:rsidR="00FA4AA8" w:rsidRDefault="0015611F">
            <w:pPr>
              <w:pStyle w:val="TableParagraph"/>
              <w:spacing w:line="206" w:lineRule="exact"/>
              <w:ind w:left="77"/>
              <w:rPr>
                <w:b/>
                <w:sz w:val="18"/>
              </w:rPr>
            </w:pPr>
            <w:r>
              <w:rPr>
                <w:b/>
                <w:sz w:val="18"/>
              </w:rPr>
              <w:t>Current assets</w:t>
            </w:r>
          </w:p>
          <w:p w14:paraId="4649AE22" w14:textId="77777777" w:rsidR="00FA4AA8" w:rsidRDefault="0015611F">
            <w:pPr>
              <w:pStyle w:val="TableParagraph"/>
              <w:spacing w:line="203" w:lineRule="exact"/>
              <w:ind w:left="77"/>
              <w:rPr>
                <w:sz w:val="18"/>
              </w:rPr>
            </w:pPr>
            <w:r>
              <w:rPr>
                <w:sz w:val="18"/>
              </w:rPr>
              <w:t>Cash and cash equivalents</w:t>
            </w:r>
          </w:p>
        </w:tc>
        <w:tc>
          <w:tcPr>
            <w:tcW w:w="1901" w:type="dxa"/>
          </w:tcPr>
          <w:p w14:paraId="13AA2486" w14:textId="77777777" w:rsidR="00FA4AA8" w:rsidRDefault="00FA4AA8">
            <w:pPr>
              <w:pStyle w:val="TableParagraph"/>
              <w:rPr>
                <w:sz w:val="20"/>
              </w:rPr>
            </w:pPr>
          </w:p>
          <w:p w14:paraId="0147D7D0" w14:textId="77777777" w:rsidR="00FA4AA8" w:rsidRDefault="00FA4AA8">
            <w:pPr>
              <w:pStyle w:val="TableParagraph"/>
              <w:spacing w:before="11"/>
              <w:rPr>
                <w:sz w:val="21"/>
              </w:rPr>
            </w:pPr>
          </w:p>
          <w:p w14:paraId="3C2F03B4" w14:textId="77777777" w:rsidR="00FA4AA8" w:rsidRDefault="0015611F">
            <w:pPr>
              <w:pStyle w:val="TableParagraph"/>
              <w:spacing w:line="203" w:lineRule="exact"/>
              <w:ind w:left="1351"/>
              <w:rPr>
                <w:sz w:val="18"/>
              </w:rPr>
            </w:pPr>
            <w:r>
              <w:rPr>
                <w:w w:val="99"/>
                <w:sz w:val="18"/>
              </w:rPr>
              <w:t>5</w:t>
            </w:r>
          </w:p>
        </w:tc>
        <w:tc>
          <w:tcPr>
            <w:tcW w:w="1459" w:type="dxa"/>
          </w:tcPr>
          <w:p w14:paraId="72ADF29F" w14:textId="77777777" w:rsidR="00FA4AA8" w:rsidRDefault="00FA4AA8">
            <w:pPr>
              <w:pStyle w:val="TableParagraph"/>
              <w:rPr>
                <w:sz w:val="20"/>
              </w:rPr>
            </w:pPr>
          </w:p>
          <w:p w14:paraId="1641A816" w14:textId="77777777" w:rsidR="00FA4AA8" w:rsidRDefault="00FA4AA8">
            <w:pPr>
              <w:pStyle w:val="TableParagraph"/>
              <w:spacing w:before="11"/>
              <w:rPr>
                <w:sz w:val="21"/>
              </w:rPr>
            </w:pPr>
          </w:p>
          <w:p w14:paraId="6FDA243D" w14:textId="77777777" w:rsidR="00FA4AA8" w:rsidRDefault="0015611F">
            <w:pPr>
              <w:pStyle w:val="TableParagraph"/>
              <w:spacing w:line="203" w:lineRule="exact"/>
              <w:ind w:right="245"/>
              <w:jc w:val="right"/>
              <w:rPr>
                <w:b/>
                <w:sz w:val="18"/>
              </w:rPr>
            </w:pPr>
            <w:r>
              <w:rPr>
                <w:b/>
                <w:w w:val="95"/>
                <w:sz w:val="18"/>
              </w:rPr>
              <w:t>787,184</w:t>
            </w:r>
          </w:p>
        </w:tc>
        <w:tc>
          <w:tcPr>
            <w:tcW w:w="1135" w:type="dxa"/>
          </w:tcPr>
          <w:p w14:paraId="1EAD269B" w14:textId="77777777" w:rsidR="00FA4AA8" w:rsidRDefault="00FA4AA8">
            <w:pPr>
              <w:pStyle w:val="TableParagraph"/>
              <w:rPr>
                <w:sz w:val="20"/>
              </w:rPr>
            </w:pPr>
          </w:p>
          <w:p w14:paraId="73AED841" w14:textId="77777777" w:rsidR="00FA4AA8" w:rsidRDefault="00FA4AA8">
            <w:pPr>
              <w:pStyle w:val="TableParagraph"/>
              <w:spacing w:before="11"/>
              <w:rPr>
                <w:sz w:val="21"/>
              </w:rPr>
            </w:pPr>
          </w:p>
          <w:p w14:paraId="15AB2E8D" w14:textId="77777777" w:rsidR="00FA4AA8" w:rsidRDefault="0015611F">
            <w:pPr>
              <w:pStyle w:val="TableParagraph"/>
              <w:spacing w:line="203" w:lineRule="exact"/>
              <w:ind w:right="83"/>
              <w:jc w:val="right"/>
              <w:rPr>
                <w:sz w:val="18"/>
              </w:rPr>
            </w:pPr>
            <w:r>
              <w:rPr>
                <w:w w:val="95"/>
                <w:sz w:val="18"/>
              </w:rPr>
              <w:t>766,186</w:t>
            </w:r>
          </w:p>
        </w:tc>
      </w:tr>
      <w:tr w:rsidR="00FA4AA8" w14:paraId="54C9D08F" w14:textId="77777777">
        <w:trPr>
          <w:trHeight w:val="235"/>
        </w:trPr>
        <w:tc>
          <w:tcPr>
            <w:tcW w:w="5471" w:type="dxa"/>
          </w:tcPr>
          <w:p w14:paraId="3343BB52" w14:textId="77777777" w:rsidR="00FA4AA8" w:rsidRDefault="0015611F">
            <w:pPr>
              <w:pStyle w:val="TableParagraph"/>
              <w:spacing w:before="10" w:line="205" w:lineRule="exact"/>
              <w:ind w:left="77"/>
              <w:rPr>
                <w:sz w:val="18"/>
              </w:rPr>
            </w:pPr>
            <w:r>
              <w:rPr>
                <w:sz w:val="18"/>
              </w:rPr>
              <w:t>Amount owed from Ultimate Parent Entity</w:t>
            </w:r>
          </w:p>
        </w:tc>
        <w:tc>
          <w:tcPr>
            <w:tcW w:w="1901" w:type="dxa"/>
          </w:tcPr>
          <w:p w14:paraId="487600CC" w14:textId="77777777" w:rsidR="00FA4AA8" w:rsidRDefault="00FA4AA8">
            <w:pPr>
              <w:pStyle w:val="TableParagraph"/>
              <w:rPr>
                <w:rFonts w:ascii="Times New Roman"/>
                <w:sz w:val="16"/>
              </w:rPr>
            </w:pPr>
          </w:p>
        </w:tc>
        <w:tc>
          <w:tcPr>
            <w:tcW w:w="1459" w:type="dxa"/>
          </w:tcPr>
          <w:p w14:paraId="72095AF0" w14:textId="77777777" w:rsidR="00FA4AA8" w:rsidRDefault="0015611F">
            <w:pPr>
              <w:pStyle w:val="TableParagraph"/>
              <w:spacing w:before="11" w:line="204" w:lineRule="exact"/>
              <w:ind w:right="246"/>
              <w:jc w:val="right"/>
              <w:rPr>
                <w:b/>
                <w:sz w:val="18"/>
              </w:rPr>
            </w:pPr>
            <w:r>
              <w:rPr>
                <w:b/>
                <w:w w:val="95"/>
                <w:sz w:val="18"/>
              </w:rPr>
              <w:t>8,037</w:t>
            </w:r>
          </w:p>
        </w:tc>
        <w:tc>
          <w:tcPr>
            <w:tcW w:w="1135" w:type="dxa"/>
          </w:tcPr>
          <w:p w14:paraId="6BF2984E" w14:textId="77777777" w:rsidR="00FA4AA8" w:rsidRDefault="0015611F">
            <w:pPr>
              <w:pStyle w:val="TableParagraph"/>
              <w:spacing w:before="11" w:line="204" w:lineRule="exact"/>
              <w:ind w:right="87"/>
              <w:jc w:val="right"/>
              <w:rPr>
                <w:sz w:val="18"/>
              </w:rPr>
            </w:pPr>
            <w:r>
              <w:rPr>
                <w:w w:val="99"/>
                <w:sz w:val="18"/>
              </w:rPr>
              <w:t>-</w:t>
            </w:r>
          </w:p>
        </w:tc>
      </w:tr>
      <w:tr w:rsidR="00FA4AA8" w14:paraId="41A6CA12" w14:textId="77777777">
        <w:trPr>
          <w:trHeight w:val="216"/>
        </w:trPr>
        <w:tc>
          <w:tcPr>
            <w:tcW w:w="5471" w:type="dxa"/>
          </w:tcPr>
          <w:p w14:paraId="5D52F143" w14:textId="77777777" w:rsidR="00FA4AA8" w:rsidRDefault="0015611F">
            <w:pPr>
              <w:pStyle w:val="TableParagraph"/>
              <w:spacing w:before="11" w:line="185" w:lineRule="exact"/>
              <w:ind w:left="77"/>
              <w:rPr>
                <w:sz w:val="18"/>
              </w:rPr>
            </w:pPr>
            <w:r>
              <w:rPr>
                <w:sz w:val="18"/>
              </w:rPr>
              <w:t>Trade and other receivables</w:t>
            </w:r>
          </w:p>
        </w:tc>
        <w:tc>
          <w:tcPr>
            <w:tcW w:w="1901" w:type="dxa"/>
          </w:tcPr>
          <w:p w14:paraId="51FE8615" w14:textId="77777777" w:rsidR="00FA4AA8" w:rsidRDefault="00FA4AA8">
            <w:pPr>
              <w:pStyle w:val="TableParagraph"/>
              <w:rPr>
                <w:rFonts w:ascii="Times New Roman"/>
                <w:sz w:val="14"/>
              </w:rPr>
            </w:pPr>
          </w:p>
        </w:tc>
        <w:tc>
          <w:tcPr>
            <w:tcW w:w="1459" w:type="dxa"/>
            <w:tcBorders>
              <w:bottom w:val="single" w:sz="4" w:space="0" w:color="000000"/>
            </w:tcBorders>
          </w:tcPr>
          <w:p w14:paraId="2C6ABF4D" w14:textId="77777777" w:rsidR="00FA4AA8" w:rsidRDefault="0015611F">
            <w:pPr>
              <w:pStyle w:val="TableParagraph"/>
              <w:spacing w:before="11" w:line="185" w:lineRule="exact"/>
              <w:ind w:right="246"/>
              <w:jc w:val="right"/>
              <w:rPr>
                <w:b/>
                <w:sz w:val="18"/>
              </w:rPr>
            </w:pPr>
            <w:r>
              <w:rPr>
                <w:b/>
                <w:w w:val="95"/>
                <w:sz w:val="18"/>
              </w:rPr>
              <w:t>4,045</w:t>
            </w:r>
          </w:p>
        </w:tc>
        <w:tc>
          <w:tcPr>
            <w:tcW w:w="1135" w:type="dxa"/>
            <w:tcBorders>
              <w:bottom w:val="single" w:sz="4" w:space="0" w:color="000000"/>
            </w:tcBorders>
          </w:tcPr>
          <w:p w14:paraId="1639C77D" w14:textId="77777777" w:rsidR="00FA4AA8" w:rsidRDefault="0015611F">
            <w:pPr>
              <w:pStyle w:val="TableParagraph"/>
              <w:spacing w:before="11" w:line="185" w:lineRule="exact"/>
              <w:ind w:right="84"/>
              <w:jc w:val="right"/>
              <w:rPr>
                <w:sz w:val="18"/>
              </w:rPr>
            </w:pPr>
            <w:r>
              <w:rPr>
                <w:w w:val="95"/>
                <w:sz w:val="18"/>
              </w:rPr>
              <w:t>3,752</w:t>
            </w:r>
          </w:p>
        </w:tc>
      </w:tr>
      <w:tr w:rsidR="00FA4AA8" w14:paraId="26CB33F4" w14:textId="77777777">
        <w:trPr>
          <w:trHeight w:val="205"/>
        </w:trPr>
        <w:tc>
          <w:tcPr>
            <w:tcW w:w="5471" w:type="dxa"/>
          </w:tcPr>
          <w:p w14:paraId="36A2EF34" w14:textId="77777777" w:rsidR="00FA4AA8" w:rsidRDefault="0015611F">
            <w:pPr>
              <w:pStyle w:val="TableParagraph"/>
              <w:spacing w:before="1" w:line="184" w:lineRule="exact"/>
              <w:ind w:left="77"/>
              <w:rPr>
                <w:sz w:val="18"/>
              </w:rPr>
            </w:pPr>
            <w:r>
              <w:rPr>
                <w:sz w:val="18"/>
              </w:rPr>
              <w:t>Total current assets</w:t>
            </w:r>
          </w:p>
        </w:tc>
        <w:tc>
          <w:tcPr>
            <w:tcW w:w="1901" w:type="dxa"/>
          </w:tcPr>
          <w:p w14:paraId="23BF6F7D" w14:textId="77777777" w:rsidR="00FA4AA8" w:rsidRDefault="00FA4AA8">
            <w:pPr>
              <w:pStyle w:val="TableParagraph"/>
              <w:rPr>
                <w:rFonts w:ascii="Times New Roman"/>
                <w:sz w:val="14"/>
              </w:rPr>
            </w:pPr>
          </w:p>
        </w:tc>
        <w:tc>
          <w:tcPr>
            <w:tcW w:w="1459" w:type="dxa"/>
            <w:tcBorders>
              <w:top w:val="single" w:sz="4" w:space="0" w:color="000000"/>
              <w:bottom w:val="single" w:sz="12" w:space="0" w:color="000000"/>
            </w:tcBorders>
          </w:tcPr>
          <w:p w14:paraId="0224E0D6" w14:textId="77777777" w:rsidR="00FA4AA8" w:rsidRDefault="0015611F">
            <w:pPr>
              <w:pStyle w:val="TableParagraph"/>
              <w:spacing w:line="184" w:lineRule="exact"/>
              <w:ind w:right="245"/>
              <w:jc w:val="right"/>
              <w:rPr>
                <w:b/>
                <w:sz w:val="18"/>
              </w:rPr>
            </w:pPr>
            <w:r>
              <w:rPr>
                <w:b/>
                <w:w w:val="95"/>
                <w:sz w:val="18"/>
              </w:rPr>
              <w:t>799,266</w:t>
            </w:r>
          </w:p>
        </w:tc>
        <w:tc>
          <w:tcPr>
            <w:tcW w:w="1135" w:type="dxa"/>
            <w:tcBorders>
              <w:top w:val="single" w:sz="4" w:space="0" w:color="000000"/>
              <w:bottom w:val="single" w:sz="12" w:space="0" w:color="000000"/>
            </w:tcBorders>
          </w:tcPr>
          <w:p w14:paraId="5BD21DB9" w14:textId="77777777" w:rsidR="00FA4AA8" w:rsidRDefault="0015611F">
            <w:pPr>
              <w:pStyle w:val="TableParagraph"/>
              <w:spacing w:line="184" w:lineRule="exact"/>
              <w:ind w:right="83"/>
              <w:jc w:val="right"/>
              <w:rPr>
                <w:sz w:val="18"/>
              </w:rPr>
            </w:pPr>
            <w:r>
              <w:rPr>
                <w:w w:val="95"/>
                <w:sz w:val="18"/>
              </w:rPr>
              <w:t>769,938</w:t>
            </w:r>
          </w:p>
        </w:tc>
      </w:tr>
      <w:tr w:rsidR="00FA4AA8" w14:paraId="07C18621" w14:textId="77777777">
        <w:trPr>
          <w:trHeight w:val="551"/>
        </w:trPr>
        <w:tc>
          <w:tcPr>
            <w:tcW w:w="5471" w:type="dxa"/>
          </w:tcPr>
          <w:p w14:paraId="5C94D7C7" w14:textId="77777777" w:rsidR="00FA4AA8" w:rsidRDefault="0015611F">
            <w:pPr>
              <w:pStyle w:val="TableParagraph"/>
              <w:spacing w:before="140" w:line="207" w:lineRule="exact"/>
              <w:ind w:left="77"/>
              <w:rPr>
                <w:b/>
                <w:sz w:val="18"/>
              </w:rPr>
            </w:pPr>
            <w:r>
              <w:rPr>
                <w:b/>
                <w:sz w:val="18"/>
              </w:rPr>
              <w:t>Non-current assets</w:t>
            </w:r>
          </w:p>
          <w:p w14:paraId="5526D9B7" w14:textId="77777777" w:rsidR="00FA4AA8" w:rsidRDefault="0015611F">
            <w:pPr>
              <w:pStyle w:val="TableParagraph"/>
              <w:spacing w:line="185" w:lineRule="exact"/>
              <w:ind w:left="77"/>
              <w:rPr>
                <w:sz w:val="18"/>
              </w:rPr>
            </w:pPr>
            <w:r>
              <w:rPr>
                <w:sz w:val="18"/>
              </w:rPr>
              <w:t>Property, plant and equipment</w:t>
            </w:r>
          </w:p>
        </w:tc>
        <w:tc>
          <w:tcPr>
            <w:tcW w:w="1901" w:type="dxa"/>
          </w:tcPr>
          <w:p w14:paraId="4E7B14F3" w14:textId="77777777" w:rsidR="00FA4AA8" w:rsidRDefault="00FA4AA8">
            <w:pPr>
              <w:pStyle w:val="TableParagraph"/>
              <w:rPr>
                <w:sz w:val="20"/>
              </w:rPr>
            </w:pPr>
          </w:p>
          <w:p w14:paraId="62DF9574" w14:textId="77777777" w:rsidR="00FA4AA8" w:rsidRDefault="0015611F">
            <w:pPr>
              <w:pStyle w:val="TableParagraph"/>
              <w:spacing w:before="116" w:line="185" w:lineRule="exact"/>
              <w:ind w:left="1351"/>
              <w:rPr>
                <w:sz w:val="18"/>
              </w:rPr>
            </w:pPr>
            <w:r>
              <w:rPr>
                <w:w w:val="99"/>
                <w:sz w:val="18"/>
              </w:rPr>
              <w:t>6</w:t>
            </w:r>
          </w:p>
        </w:tc>
        <w:tc>
          <w:tcPr>
            <w:tcW w:w="1459" w:type="dxa"/>
            <w:tcBorders>
              <w:top w:val="single" w:sz="12" w:space="0" w:color="000000"/>
              <w:bottom w:val="single" w:sz="4" w:space="0" w:color="000000"/>
            </w:tcBorders>
          </w:tcPr>
          <w:p w14:paraId="3675618D" w14:textId="77777777" w:rsidR="00FA4AA8" w:rsidRDefault="00FA4AA8">
            <w:pPr>
              <w:pStyle w:val="TableParagraph"/>
              <w:rPr>
                <w:sz w:val="20"/>
              </w:rPr>
            </w:pPr>
          </w:p>
          <w:p w14:paraId="502C32F7" w14:textId="77777777" w:rsidR="00FA4AA8" w:rsidRDefault="0015611F">
            <w:pPr>
              <w:pStyle w:val="TableParagraph"/>
              <w:spacing w:before="116" w:line="185" w:lineRule="exact"/>
              <w:ind w:right="245"/>
              <w:jc w:val="right"/>
              <w:rPr>
                <w:b/>
                <w:sz w:val="18"/>
              </w:rPr>
            </w:pPr>
            <w:r>
              <w:rPr>
                <w:b/>
                <w:w w:val="95"/>
                <w:sz w:val="18"/>
              </w:rPr>
              <w:t>897,787</w:t>
            </w:r>
          </w:p>
        </w:tc>
        <w:tc>
          <w:tcPr>
            <w:tcW w:w="1135" w:type="dxa"/>
            <w:tcBorders>
              <w:top w:val="single" w:sz="12" w:space="0" w:color="000000"/>
              <w:bottom w:val="single" w:sz="4" w:space="0" w:color="000000"/>
            </w:tcBorders>
          </w:tcPr>
          <w:p w14:paraId="4AAC1847" w14:textId="77777777" w:rsidR="00FA4AA8" w:rsidRDefault="00FA4AA8">
            <w:pPr>
              <w:pStyle w:val="TableParagraph"/>
              <w:rPr>
                <w:sz w:val="20"/>
              </w:rPr>
            </w:pPr>
          </w:p>
          <w:p w14:paraId="472C40DF" w14:textId="77777777" w:rsidR="00FA4AA8" w:rsidRDefault="0015611F">
            <w:pPr>
              <w:pStyle w:val="TableParagraph"/>
              <w:spacing w:before="116" w:line="185" w:lineRule="exact"/>
              <w:ind w:right="83"/>
              <w:jc w:val="right"/>
              <w:rPr>
                <w:sz w:val="18"/>
              </w:rPr>
            </w:pPr>
            <w:r>
              <w:rPr>
                <w:w w:val="95"/>
                <w:sz w:val="18"/>
              </w:rPr>
              <w:t>861,172</w:t>
            </w:r>
          </w:p>
        </w:tc>
      </w:tr>
      <w:tr w:rsidR="00FA4AA8" w14:paraId="1E0D5C1C" w14:textId="77777777">
        <w:trPr>
          <w:trHeight w:val="205"/>
        </w:trPr>
        <w:tc>
          <w:tcPr>
            <w:tcW w:w="5471" w:type="dxa"/>
          </w:tcPr>
          <w:p w14:paraId="26434EAC" w14:textId="77777777" w:rsidR="00FA4AA8" w:rsidRDefault="0015611F">
            <w:pPr>
              <w:pStyle w:val="TableParagraph"/>
              <w:spacing w:line="184" w:lineRule="exact"/>
              <w:ind w:left="77"/>
              <w:rPr>
                <w:sz w:val="18"/>
              </w:rPr>
            </w:pPr>
            <w:r>
              <w:rPr>
                <w:sz w:val="18"/>
              </w:rPr>
              <w:t>Total non-current assets</w:t>
            </w:r>
          </w:p>
        </w:tc>
        <w:tc>
          <w:tcPr>
            <w:tcW w:w="1901" w:type="dxa"/>
          </w:tcPr>
          <w:p w14:paraId="7F2DD62D" w14:textId="77777777" w:rsidR="00FA4AA8" w:rsidRDefault="00FA4AA8">
            <w:pPr>
              <w:pStyle w:val="TableParagraph"/>
              <w:rPr>
                <w:rFonts w:ascii="Times New Roman"/>
                <w:sz w:val="14"/>
              </w:rPr>
            </w:pPr>
          </w:p>
        </w:tc>
        <w:tc>
          <w:tcPr>
            <w:tcW w:w="1459" w:type="dxa"/>
            <w:tcBorders>
              <w:top w:val="single" w:sz="4" w:space="0" w:color="000000"/>
              <w:bottom w:val="single" w:sz="12" w:space="0" w:color="000000"/>
            </w:tcBorders>
          </w:tcPr>
          <w:p w14:paraId="1C7E774F" w14:textId="77777777" w:rsidR="00FA4AA8" w:rsidRDefault="0015611F">
            <w:pPr>
              <w:pStyle w:val="TableParagraph"/>
              <w:spacing w:line="184" w:lineRule="exact"/>
              <w:ind w:right="245"/>
              <w:jc w:val="right"/>
              <w:rPr>
                <w:b/>
                <w:sz w:val="18"/>
              </w:rPr>
            </w:pPr>
            <w:r>
              <w:rPr>
                <w:b/>
                <w:w w:val="95"/>
                <w:sz w:val="18"/>
              </w:rPr>
              <w:t>897,787</w:t>
            </w:r>
          </w:p>
        </w:tc>
        <w:tc>
          <w:tcPr>
            <w:tcW w:w="1135" w:type="dxa"/>
            <w:tcBorders>
              <w:top w:val="single" w:sz="4" w:space="0" w:color="000000"/>
              <w:bottom w:val="single" w:sz="12" w:space="0" w:color="000000"/>
            </w:tcBorders>
          </w:tcPr>
          <w:p w14:paraId="3AB3C806" w14:textId="77777777" w:rsidR="00FA4AA8" w:rsidRDefault="0015611F">
            <w:pPr>
              <w:pStyle w:val="TableParagraph"/>
              <w:spacing w:line="184" w:lineRule="exact"/>
              <w:ind w:right="83"/>
              <w:jc w:val="right"/>
              <w:rPr>
                <w:sz w:val="18"/>
              </w:rPr>
            </w:pPr>
            <w:r>
              <w:rPr>
                <w:w w:val="95"/>
                <w:sz w:val="18"/>
              </w:rPr>
              <w:t>861,172</w:t>
            </w:r>
          </w:p>
        </w:tc>
      </w:tr>
      <w:tr w:rsidR="00FA4AA8" w14:paraId="5B9F7C89" w14:textId="77777777">
        <w:trPr>
          <w:trHeight w:val="487"/>
        </w:trPr>
        <w:tc>
          <w:tcPr>
            <w:tcW w:w="5471" w:type="dxa"/>
          </w:tcPr>
          <w:p w14:paraId="01934E0E" w14:textId="77777777" w:rsidR="00FA4AA8" w:rsidRDefault="00FA4AA8">
            <w:pPr>
              <w:pStyle w:val="TableParagraph"/>
              <w:spacing w:before="6"/>
              <w:rPr>
                <w:sz w:val="24"/>
              </w:rPr>
            </w:pPr>
          </w:p>
          <w:p w14:paraId="0B262530" w14:textId="77777777" w:rsidR="00FA4AA8" w:rsidRDefault="0015611F">
            <w:pPr>
              <w:pStyle w:val="TableParagraph"/>
              <w:spacing w:before="1" w:line="184" w:lineRule="exact"/>
              <w:ind w:left="77"/>
              <w:rPr>
                <w:b/>
                <w:sz w:val="18"/>
              </w:rPr>
            </w:pPr>
            <w:r>
              <w:rPr>
                <w:b/>
                <w:sz w:val="18"/>
              </w:rPr>
              <w:t>Total assets</w:t>
            </w:r>
          </w:p>
        </w:tc>
        <w:tc>
          <w:tcPr>
            <w:tcW w:w="1901" w:type="dxa"/>
          </w:tcPr>
          <w:p w14:paraId="516D5B75" w14:textId="77777777" w:rsidR="00FA4AA8" w:rsidRDefault="00FA4AA8">
            <w:pPr>
              <w:pStyle w:val="TableParagraph"/>
              <w:rPr>
                <w:rFonts w:ascii="Times New Roman"/>
                <w:sz w:val="18"/>
              </w:rPr>
            </w:pPr>
          </w:p>
        </w:tc>
        <w:tc>
          <w:tcPr>
            <w:tcW w:w="1459" w:type="dxa"/>
            <w:tcBorders>
              <w:top w:val="single" w:sz="12" w:space="0" w:color="000000"/>
              <w:bottom w:val="single" w:sz="12" w:space="0" w:color="000000"/>
            </w:tcBorders>
          </w:tcPr>
          <w:p w14:paraId="6B5A859C" w14:textId="77777777" w:rsidR="00FA4AA8" w:rsidRDefault="00FA4AA8">
            <w:pPr>
              <w:pStyle w:val="TableParagraph"/>
              <w:spacing w:before="6"/>
              <w:rPr>
                <w:sz w:val="24"/>
              </w:rPr>
            </w:pPr>
          </w:p>
          <w:p w14:paraId="0AC49BA0" w14:textId="77777777" w:rsidR="00FA4AA8" w:rsidRDefault="0015611F">
            <w:pPr>
              <w:pStyle w:val="TableParagraph"/>
              <w:spacing w:before="1" w:line="184" w:lineRule="exact"/>
              <w:ind w:right="245"/>
              <w:jc w:val="right"/>
              <w:rPr>
                <w:b/>
                <w:sz w:val="18"/>
              </w:rPr>
            </w:pPr>
            <w:r>
              <w:rPr>
                <w:b/>
                <w:w w:val="95"/>
                <w:sz w:val="18"/>
              </w:rPr>
              <w:t>1,697,053</w:t>
            </w:r>
          </w:p>
        </w:tc>
        <w:tc>
          <w:tcPr>
            <w:tcW w:w="1135" w:type="dxa"/>
            <w:tcBorders>
              <w:top w:val="single" w:sz="12" w:space="0" w:color="000000"/>
              <w:bottom w:val="single" w:sz="12" w:space="0" w:color="000000"/>
            </w:tcBorders>
          </w:tcPr>
          <w:p w14:paraId="3392F69C" w14:textId="77777777" w:rsidR="00FA4AA8" w:rsidRDefault="00FA4AA8">
            <w:pPr>
              <w:pStyle w:val="TableParagraph"/>
              <w:spacing w:before="6"/>
              <w:rPr>
                <w:sz w:val="24"/>
              </w:rPr>
            </w:pPr>
          </w:p>
          <w:p w14:paraId="280B7BF7" w14:textId="77777777" w:rsidR="00FA4AA8" w:rsidRDefault="0015611F">
            <w:pPr>
              <w:pStyle w:val="TableParagraph"/>
              <w:spacing w:before="1" w:line="184" w:lineRule="exact"/>
              <w:ind w:right="83"/>
              <w:jc w:val="right"/>
              <w:rPr>
                <w:sz w:val="18"/>
              </w:rPr>
            </w:pPr>
            <w:r>
              <w:rPr>
                <w:w w:val="95"/>
                <w:sz w:val="18"/>
              </w:rPr>
              <w:t>1,631,110</w:t>
            </w:r>
          </w:p>
        </w:tc>
      </w:tr>
      <w:tr w:rsidR="00FA4AA8" w14:paraId="5B1A2361" w14:textId="77777777">
        <w:trPr>
          <w:trHeight w:val="854"/>
        </w:trPr>
        <w:tc>
          <w:tcPr>
            <w:tcW w:w="5471" w:type="dxa"/>
          </w:tcPr>
          <w:p w14:paraId="10796A64" w14:textId="77777777" w:rsidR="00FA4AA8" w:rsidRDefault="00FA4AA8">
            <w:pPr>
              <w:pStyle w:val="TableParagraph"/>
              <w:rPr>
                <w:sz w:val="20"/>
              </w:rPr>
            </w:pPr>
          </w:p>
          <w:p w14:paraId="1CF330E8" w14:textId="77777777" w:rsidR="00FA4AA8" w:rsidRDefault="00FA4AA8">
            <w:pPr>
              <w:pStyle w:val="TableParagraph"/>
              <w:spacing w:before="10"/>
              <w:rPr>
                <w:sz w:val="16"/>
              </w:rPr>
            </w:pPr>
          </w:p>
          <w:p w14:paraId="38A7FF0F" w14:textId="77777777" w:rsidR="00FA4AA8" w:rsidRDefault="0015611F">
            <w:pPr>
              <w:pStyle w:val="TableParagraph"/>
              <w:spacing w:line="207" w:lineRule="exact"/>
              <w:ind w:left="77"/>
              <w:rPr>
                <w:b/>
                <w:sz w:val="18"/>
              </w:rPr>
            </w:pPr>
            <w:r>
              <w:rPr>
                <w:b/>
                <w:sz w:val="18"/>
              </w:rPr>
              <w:t>LIABILITIES</w:t>
            </w:r>
          </w:p>
          <w:p w14:paraId="1FF0C6EE" w14:textId="77777777" w:rsidR="00FA4AA8" w:rsidRDefault="0015611F">
            <w:pPr>
              <w:pStyle w:val="TableParagraph"/>
              <w:spacing w:line="203" w:lineRule="exact"/>
              <w:ind w:left="77"/>
              <w:rPr>
                <w:b/>
                <w:sz w:val="18"/>
              </w:rPr>
            </w:pPr>
            <w:r>
              <w:rPr>
                <w:b/>
                <w:sz w:val="18"/>
              </w:rPr>
              <w:t>Current liabilities</w:t>
            </w:r>
          </w:p>
        </w:tc>
        <w:tc>
          <w:tcPr>
            <w:tcW w:w="1901" w:type="dxa"/>
          </w:tcPr>
          <w:p w14:paraId="730C6230" w14:textId="77777777" w:rsidR="00FA4AA8" w:rsidRDefault="00FA4AA8">
            <w:pPr>
              <w:pStyle w:val="TableParagraph"/>
              <w:rPr>
                <w:rFonts w:ascii="Times New Roman"/>
                <w:sz w:val="18"/>
              </w:rPr>
            </w:pPr>
          </w:p>
        </w:tc>
        <w:tc>
          <w:tcPr>
            <w:tcW w:w="1459" w:type="dxa"/>
            <w:tcBorders>
              <w:top w:val="single" w:sz="12" w:space="0" w:color="000000"/>
            </w:tcBorders>
          </w:tcPr>
          <w:p w14:paraId="3D1FC173" w14:textId="77777777" w:rsidR="00FA4AA8" w:rsidRDefault="00FA4AA8">
            <w:pPr>
              <w:pStyle w:val="TableParagraph"/>
              <w:rPr>
                <w:rFonts w:ascii="Times New Roman"/>
                <w:sz w:val="18"/>
              </w:rPr>
            </w:pPr>
          </w:p>
        </w:tc>
        <w:tc>
          <w:tcPr>
            <w:tcW w:w="1135" w:type="dxa"/>
            <w:tcBorders>
              <w:top w:val="single" w:sz="12" w:space="0" w:color="000000"/>
            </w:tcBorders>
          </w:tcPr>
          <w:p w14:paraId="064D35EB" w14:textId="77777777" w:rsidR="00FA4AA8" w:rsidRDefault="00FA4AA8">
            <w:pPr>
              <w:pStyle w:val="TableParagraph"/>
              <w:rPr>
                <w:rFonts w:ascii="Times New Roman"/>
                <w:sz w:val="18"/>
              </w:rPr>
            </w:pPr>
          </w:p>
        </w:tc>
      </w:tr>
      <w:tr w:rsidR="00FA4AA8" w14:paraId="5E27406A" w14:textId="77777777">
        <w:trPr>
          <w:trHeight w:val="245"/>
        </w:trPr>
        <w:tc>
          <w:tcPr>
            <w:tcW w:w="5471" w:type="dxa"/>
          </w:tcPr>
          <w:p w14:paraId="14CC241F" w14:textId="77777777" w:rsidR="00FA4AA8" w:rsidRDefault="0015611F">
            <w:pPr>
              <w:pStyle w:val="TableParagraph"/>
              <w:spacing w:before="10"/>
              <w:ind w:left="77"/>
              <w:rPr>
                <w:sz w:val="18"/>
              </w:rPr>
            </w:pPr>
            <w:r>
              <w:rPr>
                <w:sz w:val="18"/>
              </w:rPr>
              <w:t>Amount owed to Ultimate Parent Entity</w:t>
            </w:r>
          </w:p>
        </w:tc>
        <w:tc>
          <w:tcPr>
            <w:tcW w:w="1901" w:type="dxa"/>
          </w:tcPr>
          <w:p w14:paraId="7692719B" w14:textId="77777777" w:rsidR="00FA4AA8" w:rsidRDefault="00FA4AA8">
            <w:pPr>
              <w:pStyle w:val="TableParagraph"/>
              <w:rPr>
                <w:rFonts w:ascii="Times New Roman"/>
                <w:sz w:val="16"/>
              </w:rPr>
            </w:pPr>
          </w:p>
        </w:tc>
        <w:tc>
          <w:tcPr>
            <w:tcW w:w="1459" w:type="dxa"/>
            <w:tcBorders>
              <w:bottom w:val="single" w:sz="4" w:space="0" w:color="000000"/>
            </w:tcBorders>
          </w:tcPr>
          <w:p w14:paraId="6B1D37EC" w14:textId="77777777" w:rsidR="00FA4AA8" w:rsidRDefault="0015611F">
            <w:pPr>
              <w:pStyle w:val="TableParagraph"/>
              <w:spacing w:before="11"/>
              <w:ind w:right="248"/>
              <w:jc w:val="right"/>
              <w:rPr>
                <w:b/>
                <w:sz w:val="18"/>
              </w:rPr>
            </w:pPr>
            <w:r>
              <w:rPr>
                <w:b/>
                <w:w w:val="99"/>
                <w:sz w:val="18"/>
              </w:rPr>
              <w:t>-</w:t>
            </w:r>
          </w:p>
        </w:tc>
        <w:tc>
          <w:tcPr>
            <w:tcW w:w="1135" w:type="dxa"/>
            <w:tcBorders>
              <w:bottom w:val="single" w:sz="4" w:space="0" w:color="000000"/>
            </w:tcBorders>
          </w:tcPr>
          <w:p w14:paraId="5AF7593C" w14:textId="77777777" w:rsidR="00FA4AA8" w:rsidRDefault="0015611F">
            <w:pPr>
              <w:pStyle w:val="TableParagraph"/>
              <w:spacing w:before="11"/>
              <w:ind w:right="83"/>
              <w:jc w:val="right"/>
              <w:rPr>
                <w:sz w:val="18"/>
              </w:rPr>
            </w:pPr>
            <w:r>
              <w:rPr>
                <w:w w:val="95"/>
                <w:sz w:val="18"/>
              </w:rPr>
              <w:t>103,964</w:t>
            </w:r>
          </w:p>
        </w:tc>
      </w:tr>
      <w:tr w:rsidR="00FA4AA8" w14:paraId="2FA6FB35" w14:textId="77777777">
        <w:trPr>
          <w:trHeight w:val="205"/>
        </w:trPr>
        <w:tc>
          <w:tcPr>
            <w:tcW w:w="5471" w:type="dxa"/>
          </w:tcPr>
          <w:p w14:paraId="22DF18BF" w14:textId="77777777" w:rsidR="00FA4AA8" w:rsidRDefault="0015611F">
            <w:pPr>
              <w:pStyle w:val="TableParagraph"/>
              <w:spacing w:line="184" w:lineRule="exact"/>
              <w:ind w:left="77"/>
              <w:rPr>
                <w:sz w:val="18"/>
              </w:rPr>
            </w:pPr>
            <w:r>
              <w:rPr>
                <w:sz w:val="18"/>
              </w:rPr>
              <w:t>Total current liabilities</w:t>
            </w:r>
          </w:p>
        </w:tc>
        <w:tc>
          <w:tcPr>
            <w:tcW w:w="1901" w:type="dxa"/>
          </w:tcPr>
          <w:p w14:paraId="63C522FD" w14:textId="77777777" w:rsidR="00FA4AA8" w:rsidRDefault="00FA4AA8">
            <w:pPr>
              <w:pStyle w:val="TableParagraph"/>
              <w:rPr>
                <w:rFonts w:ascii="Times New Roman"/>
                <w:sz w:val="14"/>
              </w:rPr>
            </w:pPr>
          </w:p>
        </w:tc>
        <w:tc>
          <w:tcPr>
            <w:tcW w:w="1459" w:type="dxa"/>
            <w:tcBorders>
              <w:top w:val="single" w:sz="4" w:space="0" w:color="000000"/>
              <w:bottom w:val="single" w:sz="12" w:space="0" w:color="000000"/>
            </w:tcBorders>
          </w:tcPr>
          <w:p w14:paraId="1CDC2851" w14:textId="77777777" w:rsidR="00FA4AA8" w:rsidRDefault="0015611F">
            <w:pPr>
              <w:pStyle w:val="TableParagraph"/>
              <w:spacing w:line="184" w:lineRule="exact"/>
              <w:ind w:right="248"/>
              <w:jc w:val="right"/>
              <w:rPr>
                <w:b/>
                <w:sz w:val="18"/>
              </w:rPr>
            </w:pPr>
            <w:r>
              <w:rPr>
                <w:b/>
                <w:w w:val="99"/>
                <w:sz w:val="18"/>
              </w:rPr>
              <w:t>-</w:t>
            </w:r>
          </w:p>
        </w:tc>
        <w:tc>
          <w:tcPr>
            <w:tcW w:w="1135" w:type="dxa"/>
            <w:tcBorders>
              <w:top w:val="single" w:sz="4" w:space="0" w:color="000000"/>
              <w:bottom w:val="single" w:sz="12" w:space="0" w:color="000000"/>
            </w:tcBorders>
          </w:tcPr>
          <w:p w14:paraId="45036E30" w14:textId="77777777" w:rsidR="00FA4AA8" w:rsidRDefault="0015611F">
            <w:pPr>
              <w:pStyle w:val="TableParagraph"/>
              <w:spacing w:line="184" w:lineRule="exact"/>
              <w:ind w:right="83"/>
              <w:jc w:val="right"/>
              <w:rPr>
                <w:sz w:val="18"/>
              </w:rPr>
            </w:pPr>
            <w:r>
              <w:rPr>
                <w:w w:val="95"/>
                <w:sz w:val="18"/>
              </w:rPr>
              <w:t>103,964</w:t>
            </w:r>
          </w:p>
        </w:tc>
      </w:tr>
      <w:tr w:rsidR="00FA4AA8" w14:paraId="2B119BD3" w14:textId="77777777">
        <w:trPr>
          <w:trHeight w:val="487"/>
        </w:trPr>
        <w:tc>
          <w:tcPr>
            <w:tcW w:w="5471" w:type="dxa"/>
          </w:tcPr>
          <w:p w14:paraId="33FFFCF1" w14:textId="77777777" w:rsidR="00FA4AA8" w:rsidRDefault="00FA4AA8">
            <w:pPr>
              <w:pStyle w:val="TableParagraph"/>
              <w:spacing w:before="6"/>
              <w:rPr>
                <w:sz w:val="24"/>
              </w:rPr>
            </w:pPr>
          </w:p>
          <w:p w14:paraId="7E977779" w14:textId="77777777" w:rsidR="00FA4AA8" w:rsidRDefault="0015611F">
            <w:pPr>
              <w:pStyle w:val="TableParagraph"/>
              <w:spacing w:before="1" w:line="184" w:lineRule="exact"/>
              <w:ind w:left="77"/>
              <w:rPr>
                <w:b/>
                <w:sz w:val="18"/>
              </w:rPr>
            </w:pPr>
            <w:r>
              <w:rPr>
                <w:b/>
                <w:sz w:val="18"/>
              </w:rPr>
              <w:t>Total liabilities</w:t>
            </w:r>
          </w:p>
        </w:tc>
        <w:tc>
          <w:tcPr>
            <w:tcW w:w="1901" w:type="dxa"/>
          </w:tcPr>
          <w:p w14:paraId="13CF5991" w14:textId="77777777" w:rsidR="00FA4AA8" w:rsidRDefault="00FA4AA8">
            <w:pPr>
              <w:pStyle w:val="TableParagraph"/>
              <w:rPr>
                <w:rFonts w:ascii="Times New Roman"/>
                <w:sz w:val="18"/>
              </w:rPr>
            </w:pPr>
          </w:p>
        </w:tc>
        <w:tc>
          <w:tcPr>
            <w:tcW w:w="1459" w:type="dxa"/>
            <w:tcBorders>
              <w:top w:val="single" w:sz="12" w:space="0" w:color="000000"/>
              <w:bottom w:val="single" w:sz="12" w:space="0" w:color="000000"/>
            </w:tcBorders>
          </w:tcPr>
          <w:p w14:paraId="14ABC5DA" w14:textId="77777777" w:rsidR="00FA4AA8" w:rsidRDefault="00FA4AA8">
            <w:pPr>
              <w:pStyle w:val="TableParagraph"/>
              <w:spacing w:before="6"/>
              <w:rPr>
                <w:sz w:val="24"/>
              </w:rPr>
            </w:pPr>
          </w:p>
          <w:p w14:paraId="1CD1FC30" w14:textId="77777777" w:rsidR="00FA4AA8" w:rsidRDefault="0015611F">
            <w:pPr>
              <w:pStyle w:val="TableParagraph"/>
              <w:spacing w:before="1" w:line="184" w:lineRule="exact"/>
              <w:ind w:right="248"/>
              <w:jc w:val="right"/>
              <w:rPr>
                <w:b/>
                <w:sz w:val="18"/>
              </w:rPr>
            </w:pPr>
            <w:r>
              <w:rPr>
                <w:b/>
                <w:w w:val="99"/>
                <w:sz w:val="18"/>
              </w:rPr>
              <w:t>-</w:t>
            </w:r>
          </w:p>
        </w:tc>
        <w:tc>
          <w:tcPr>
            <w:tcW w:w="1135" w:type="dxa"/>
            <w:tcBorders>
              <w:top w:val="single" w:sz="12" w:space="0" w:color="000000"/>
              <w:bottom w:val="single" w:sz="12" w:space="0" w:color="000000"/>
            </w:tcBorders>
          </w:tcPr>
          <w:p w14:paraId="3EC4758F" w14:textId="77777777" w:rsidR="00FA4AA8" w:rsidRDefault="00FA4AA8">
            <w:pPr>
              <w:pStyle w:val="TableParagraph"/>
              <w:spacing w:before="6"/>
              <w:rPr>
                <w:sz w:val="24"/>
              </w:rPr>
            </w:pPr>
          </w:p>
          <w:p w14:paraId="11DECAAA" w14:textId="77777777" w:rsidR="00FA4AA8" w:rsidRDefault="0015611F">
            <w:pPr>
              <w:pStyle w:val="TableParagraph"/>
              <w:spacing w:before="1" w:line="184" w:lineRule="exact"/>
              <w:ind w:right="83"/>
              <w:jc w:val="right"/>
              <w:rPr>
                <w:sz w:val="18"/>
              </w:rPr>
            </w:pPr>
            <w:r>
              <w:rPr>
                <w:w w:val="95"/>
                <w:sz w:val="18"/>
              </w:rPr>
              <w:t>103,964</w:t>
            </w:r>
          </w:p>
        </w:tc>
      </w:tr>
      <w:tr w:rsidR="00FA4AA8" w14:paraId="650F9765" w14:textId="77777777">
        <w:trPr>
          <w:trHeight w:val="487"/>
        </w:trPr>
        <w:tc>
          <w:tcPr>
            <w:tcW w:w="5471" w:type="dxa"/>
          </w:tcPr>
          <w:p w14:paraId="5D93ACBE" w14:textId="77777777" w:rsidR="00FA4AA8" w:rsidRDefault="00FA4AA8">
            <w:pPr>
              <w:pStyle w:val="TableParagraph"/>
              <w:spacing w:before="6"/>
              <w:rPr>
                <w:sz w:val="24"/>
              </w:rPr>
            </w:pPr>
          </w:p>
          <w:p w14:paraId="0556CC9E" w14:textId="77777777" w:rsidR="00FA4AA8" w:rsidRDefault="0015611F">
            <w:pPr>
              <w:pStyle w:val="TableParagraph"/>
              <w:spacing w:before="1" w:line="184" w:lineRule="exact"/>
              <w:ind w:left="77"/>
              <w:rPr>
                <w:b/>
                <w:sz w:val="18"/>
              </w:rPr>
            </w:pPr>
            <w:r>
              <w:rPr>
                <w:b/>
                <w:sz w:val="18"/>
              </w:rPr>
              <w:t>Net assets</w:t>
            </w:r>
          </w:p>
        </w:tc>
        <w:tc>
          <w:tcPr>
            <w:tcW w:w="1901" w:type="dxa"/>
          </w:tcPr>
          <w:p w14:paraId="6DF489D6" w14:textId="77777777" w:rsidR="00FA4AA8" w:rsidRDefault="00FA4AA8">
            <w:pPr>
              <w:pStyle w:val="TableParagraph"/>
              <w:rPr>
                <w:rFonts w:ascii="Times New Roman"/>
                <w:sz w:val="18"/>
              </w:rPr>
            </w:pPr>
          </w:p>
        </w:tc>
        <w:tc>
          <w:tcPr>
            <w:tcW w:w="1459" w:type="dxa"/>
            <w:tcBorders>
              <w:top w:val="single" w:sz="12" w:space="0" w:color="000000"/>
              <w:bottom w:val="single" w:sz="12" w:space="0" w:color="000000"/>
            </w:tcBorders>
          </w:tcPr>
          <w:p w14:paraId="5958B8AC" w14:textId="77777777" w:rsidR="00FA4AA8" w:rsidRDefault="00FA4AA8">
            <w:pPr>
              <w:pStyle w:val="TableParagraph"/>
              <w:spacing w:before="6"/>
              <w:rPr>
                <w:sz w:val="24"/>
              </w:rPr>
            </w:pPr>
          </w:p>
          <w:p w14:paraId="3BB187E9" w14:textId="77777777" w:rsidR="00FA4AA8" w:rsidRDefault="0015611F">
            <w:pPr>
              <w:pStyle w:val="TableParagraph"/>
              <w:spacing w:before="1" w:line="184" w:lineRule="exact"/>
              <w:ind w:right="245"/>
              <w:jc w:val="right"/>
              <w:rPr>
                <w:b/>
                <w:sz w:val="18"/>
              </w:rPr>
            </w:pPr>
            <w:r>
              <w:rPr>
                <w:b/>
                <w:w w:val="95"/>
                <w:sz w:val="18"/>
              </w:rPr>
              <w:t>1,697,053</w:t>
            </w:r>
          </w:p>
        </w:tc>
        <w:tc>
          <w:tcPr>
            <w:tcW w:w="1135" w:type="dxa"/>
            <w:tcBorders>
              <w:top w:val="single" w:sz="12" w:space="0" w:color="000000"/>
              <w:bottom w:val="single" w:sz="12" w:space="0" w:color="000000"/>
            </w:tcBorders>
          </w:tcPr>
          <w:p w14:paraId="24B7BEED" w14:textId="77777777" w:rsidR="00FA4AA8" w:rsidRDefault="00FA4AA8">
            <w:pPr>
              <w:pStyle w:val="TableParagraph"/>
              <w:spacing w:before="6"/>
              <w:rPr>
                <w:sz w:val="24"/>
              </w:rPr>
            </w:pPr>
          </w:p>
          <w:p w14:paraId="3824564D" w14:textId="77777777" w:rsidR="00FA4AA8" w:rsidRDefault="0015611F">
            <w:pPr>
              <w:pStyle w:val="TableParagraph"/>
              <w:spacing w:before="1" w:line="184" w:lineRule="exact"/>
              <w:ind w:right="83"/>
              <w:jc w:val="right"/>
              <w:rPr>
                <w:sz w:val="18"/>
              </w:rPr>
            </w:pPr>
            <w:r>
              <w:rPr>
                <w:w w:val="95"/>
                <w:sz w:val="18"/>
              </w:rPr>
              <w:t>1,527,146</w:t>
            </w:r>
          </w:p>
        </w:tc>
      </w:tr>
      <w:tr w:rsidR="00FA4AA8" w14:paraId="29BD4DEF" w14:textId="77777777">
        <w:trPr>
          <w:trHeight w:val="840"/>
        </w:trPr>
        <w:tc>
          <w:tcPr>
            <w:tcW w:w="5471" w:type="dxa"/>
          </w:tcPr>
          <w:p w14:paraId="222FEC36" w14:textId="77777777" w:rsidR="00FA4AA8" w:rsidRDefault="00FA4AA8">
            <w:pPr>
              <w:pStyle w:val="TableParagraph"/>
              <w:rPr>
                <w:sz w:val="20"/>
              </w:rPr>
            </w:pPr>
          </w:p>
          <w:p w14:paraId="2385AA63" w14:textId="77777777" w:rsidR="00FA4AA8" w:rsidRDefault="00FA4AA8">
            <w:pPr>
              <w:pStyle w:val="TableParagraph"/>
              <w:spacing w:before="10"/>
              <w:rPr>
                <w:sz w:val="16"/>
              </w:rPr>
            </w:pPr>
          </w:p>
          <w:p w14:paraId="59E6587A" w14:textId="77777777" w:rsidR="00FA4AA8" w:rsidRDefault="0015611F">
            <w:pPr>
              <w:pStyle w:val="TableParagraph"/>
              <w:spacing w:line="207" w:lineRule="exact"/>
              <w:ind w:left="77"/>
              <w:rPr>
                <w:b/>
                <w:sz w:val="18"/>
              </w:rPr>
            </w:pPr>
            <w:r>
              <w:rPr>
                <w:b/>
                <w:sz w:val="18"/>
              </w:rPr>
              <w:t>TRUST FUNDS</w:t>
            </w:r>
          </w:p>
          <w:p w14:paraId="74DD2938" w14:textId="77777777" w:rsidR="00FA4AA8" w:rsidRDefault="0015611F">
            <w:pPr>
              <w:pStyle w:val="TableParagraph"/>
              <w:spacing w:line="189" w:lineRule="exact"/>
              <w:ind w:left="77"/>
              <w:rPr>
                <w:sz w:val="18"/>
              </w:rPr>
            </w:pPr>
            <w:r>
              <w:rPr>
                <w:sz w:val="18"/>
              </w:rPr>
              <w:t>Settled fund</w:t>
            </w:r>
          </w:p>
        </w:tc>
        <w:tc>
          <w:tcPr>
            <w:tcW w:w="1901" w:type="dxa"/>
          </w:tcPr>
          <w:p w14:paraId="63832E92" w14:textId="77777777" w:rsidR="00FA4AA8" w:rsidRDefault="00FA4AA8">
            <w:pPr>
              <w:pStyle w:val="TableParagraph"/>
              <w:rPr>
                <w:rFonts w:ascii="Times New Roman"/>
                <w:sz w:val="18"/>
              </w:rPr>
            </w:pPr>
          </w:p>
        </w:tc>
        <w:tc>
          <w:tcPr>
            <w:tcW w:w="1459" w:type="dxa"/>
            <w:tcBorders>
              <w:top w:val="single" w:sz="12" w:space="0" w:color="000000"/>
            </w:tcBorders>
          </w:tcPr>
          <w:p w14:paraId="3A9E802A" w14:textId="77777777" w:rsidR="00FA4AA8" w:rsidRDefault="00FA4AA8">
            <w:pPr>
              <w:pStyle w:val="TableParagraph"/>
              <w:rPr>
                <w:sz w:val="20"/>
              </w:rPr>
            </w:pPr>
          </w:p>
          <w:p w14:paraId="6DA79F06" w14:textId="77777777" w:rsidR="00FA4AA8" w:rsidRDefault="00FA4AA8">
            <w:pPr>
              <w:pStyle w:val="TableParagraph"/>
              <w:rPr>
                <w:sz w:val="20"/>
              </w:rPr>
            </w:pPr>
          </w:p>
          <w:p w14:paraId="528CAC3A" w14:textId="77777777" w:rsidR="00FA4AA8" w:rsidRDefault="0015611F">
            <w:pPr>
              <w:pStyle w:val="TableParagraph"/>
              <w:spacing w:before="171" w:line="190" w:lineRule="exact"/>
              <w:ind w:right="247"/>
              <w:jc w:val="right"/>
              <w:rPr>
                <w:b/>
                <w:sz w:val="18"/>
              </w:rPr>
            </w:pPr>
            <w:r>
              <w:rPr>
                <w:b/>
                <w:w w:val="99"/>
                <w:sz w:val="18"/>
              </w:rPr>
              <w:t>1</w:t>
            </w:r>
          </w:p>
        </w:tc>
        <w:tc>
          <w:tcPr>
            <w:tcW w:w="1135" w:type="dxa"/>
            <w:tcBorders>
              <w:top w:val="single" w:sz="12" w:space="0" w:color="000000"/>
            </w:tcBorders>
          </w:tcPr>
          <w:p w14:paraId="79B8216E" w14:textId="77777777" w:rsidR="00FA4AA8" w:rsidRDefault="00FA4AA8">
            <w:pPr>
              <w:pStyle w:val="TableParagraph"/>
              <w:rPr>
                <w:sz w:val="20"/>
              </w:rPr>
            </w:pPr>
          </w:p>
          <w:p w14:paraId="27E77C89" w14:textId="77777777" w:rsidR="00FA4AA8" w:rsidRDefault="00FA4AA8">
            <w:pPr>
              <w:pStyle w:val="TableParagraph"/>
              <w:rPr>
                <w:sz w:val="20"/>
              </w:rPr>
            </w:pPr>
          </w:p>
          <w:p w14:paraId="76A16C1B" w14:textId="77777777" w:rsidR="00FA4AA8" w:rsidRDefault="0015611F">
            <w:pPr>
              <w:pStyle w:val="TableParagraph"/>
              <w:spacing w:before="171" w:line="190" w:lineRule="exact"/>
              <w:ind w:right="85"/>
              <w:jc w:val="right"/>
              <w:rPr>
                <w:sz w:val="18"/>
              </w:rPr>
            </w:pPr>
            <w:r>
              <w:rPr>
                <w:w w:val="99"/>
                <w:sz w:val="18"/>
              </w:rPr>
              <w:t>1</w:t>
            </w:r>
          </w:p>
        </w:tc>
      </w:tr>
      <w:tr w:rsidR="00FA4AA8" w14:paraId="1C542822" w14:textId="77777777">
        <w:trPr>
          <w:trHeight w:val="206"/>
        </w:trPr>
        <w:tc>
          <w:tcPr>
            <w:tcW w:w="5471" w:type="dxa"/>
          </w:tcPr>
          <w:p w14:paraId="5E6382B1" w14:textId="77777777" w:rsidR="00FA4AA8" w:rsidRDefault="0015611F">
            <w:pPr>
              <w:pStyle w:val="TableParagraph"/>
              <w:spacing w:line="186" w:lineRule="exact"/>
              <w:ind w:left="77"/>
              <w:rPr>
                <w:sz w:val="18"/>
              </w:rPr>
            </w:pPr>
            <w:r>
              <w:rPr>
                <w:sz w:val="18"/>
              </w:rPr>
              <w:t>Reserves</w:t>
            </w:r>
          </w:p>
        </w:tc>
        <w:tc>
          <w:tcPr>
            <w:tcW w:w="1901" w:type="dxa"/>
          </w:tcPr>
          <w:p w14:paraId="2A99BB56" w14:textId="77777777" w:rsidR="00FA4AA8" w:rsidRDefault="0015611F">
            <w:pPr>
              <w:pStyle w:val="TableParagraph"/>
              <w:spacing w:line="186" w:lineRule="exact"/>
              <w:ind w:left="1351"/>
              <w:rPr>
                <w:sz w:val="18"/>
              </w:rPr>
            </w:pPr>
            <w:r>
              <w:rPr>
                <w:w w:val="99"/>
                <w:sz w:val="18"/>
              </w:rPr>
              <w:t>7</w:t>
            </w:r>
          </w:p>
        </w:tc>
        <w:tc>
          <w:tcPr>
            <w:tcW w:w="1459" w:type="dxa"/>
          </w:tcPr>
          <w:p w14:paraId="66B48F75" w14:textId="77777777" w:rsidR="00FA4AA8" w:rsidRDefault="0015611F">
            <w:pPr>
              <w:pStyle w:val="TableParagraph"/>
              <w:spacing w:line="186" w:lineRule="exact"/>
              <w:ind w:right="245"/>
              <w:jc w:val="right"/>
              <w:rPr>
                <w:b/>
                <w:sz w:val="18"/>
              </w:rPr>
            </w:pPr>
            <w:r>
              <w:rPr>
                <w:b/>
                <w:w w:val="95"/>
                <w:sz w:val="18"/>
              </w:rPr>
              <w:t>195,247</w:t>
            </w:r>
          </w:p>
        </w:tc>
        <w:tc>
          <w:tcPr>
            <w:tcW w:w="1135" w:type="dxa"/>
          </w:tcPr>
          <w:p w14:paraId="37F064B4" w14:textId="77777777" w:rsidR="00FA4AA8" w:rsidRDefault="0015611F">
            <w:pPr>
              <w:pStyle w:val="TableParagraph"/>
              <w:spacing w:line="186" w:lineRule="exact"/>
              <w:ind w:right="83"/>
              <w:jc w:val="right"/>
              <w:rPr>
                <w:sz w:val="18"/>
              </w:rPr>
            </w:pPr>
            <w:r>
              <w:rPr>
                <w:w w:val="95"/>
                <w:sz w:val="18"/>
              </w:rPr>
              <w:t>195,247</w:t>
            </w:r>
          </w:p>
        </w:tc>
      </w:tr>
      <w:tr w:rsidR="00FA4AA8" w14:paraId="6DF8BD80" w14:textId="77777777">
        <w:trPr>
          <w:trHeight w:val="201"/>
        </w:trPr>
        <w:tc>
          <w:tcPr>
            <w:tcW w:w="5471" w:type="dxa"/>
          </w:tcPr>
          <w:p w14:paraId="6394528D" w14:textId="77777777" w:rsidR="00FA4AA8" w:rsidRDefault="0015611F">
            <w:pPr>
              <w:pStyle w:val="TableParagraph"/>
              <w:spacing w:line="182" w:lineRule="exact"/>
              <w:ind w:left="77"/>
              <w:rPr>
                <w:sz w:val="18"/>
              </w:rPr>
            </w:pPr>
            <w:r>
              <w:rPr>
                <w:sz w:val="18"/>
              </w:rPr>
              <w:t>Retained earnings</w:t>
            </w:r>
          </w:p>
        </w:tc>
        <w:tc>
          <w:tcPr>
            <w:tcW w:w="1901" w:type="dxa"/>
          </w:tcPr>
          <w:p w14:paraId="4C2FDFE3" w14:textId="77777777" w:rsidR="00FA4AA8" w:rsidRDefault="0015611F">
            <w:pPr>
              <w:pStyle w:val="TableParagraph"/>
              <w:spacing w:line="182" w:lineRule="exact"/>
              <w:ind w:left="1351"/>
              <w:rPr>
                <w:sz w:val="18"/>
              </w:rPr>
            </w:pPr>
            <w:r>
              <w:rPr>
                <w:w w:val="99"/>
                <w:sz w:val="18"/>
              </w:rPr>
              <w:t>8</w:t>
            </w:r>
          </w:p>
        </w:tc>
        <w:tc>
          <w:tcPr>
            <w:tcW w:w="1459" w:type="dxa"/>
            <w:tcBorders>
              <w:bottom w:val="single" w:sz="4" w:space="0" w:color="000000"/>
            </w:tcBorders>
          </w:tcPr>
          <w:p w14:paraId="63ACDA2F" w14:textId="77777777" w:rsidR="00FA4AA8" w:rsidRDefault="0015611F">
            <w:pPr>
              <w:pStyle w:val="TableParagraph"/>
              <w:spacing w:line="182" w:lineRule="exact"/>
              <w:ind w:right="245"/>
              <w:jc w:val="right"/>
              <w:rPr>
                <w:b/>
                <w:sz w:val="18"/>
              </w:rPr>
            </w:pPr>
            <w:r>
              <w:rPr>
                <w:b/>
                <w:w w:val="95"/>
                <w:sz w:val="18"/>
              </w:rPr>
              <w:t>1,501,805</w:t>
            </w:r>
          </w:p>
        </w:tc>
        <w:tc>
          <w:tcPr>
            <w:tcW w:w="1135" w:type="dxa"/>
            <w:tcBorders>
              <w:bottom w:val="single" w:sz="4" w:space="0" w:color="000000"/>
            </w:tcBorders>
          </w:tcPr>
          <w:p w14:paraId="793B2B4A" w14:textId="77777777" w:rsidR="00FA4AA8" w:rsidRDefault="0015611F">
            <w:pPr>
              <w:pStyle w:val="TableParagraph"/>
              <w:spacing w:line="182" w:lineRule="exact"/>
              <w:ind w:right="83"/>
              <w:jc w:val="right"/>
              <w:rPr>
                <w:sz w:val="18"/>
              </w:rPr>
            </w:pPr>
            <w:r>
              <w:rPr>
                <w:w w:val="95"/>
                <w:sz w:val="18"/>
              </w:rPr>
              <w:t>1,331,898</w:t>
            </w:r>
          </w:p>
        </w:tc>
      </w:tr>
      <w:tr w:rsidR="00FA4AA8" w14:paraId="29A8F7F1" w14:textId="77777777">
        <w:trPr>
          <w:trHeight w:val="205"/>
        </w:trPr>
        <w:tc>
          <w:tcPr>
            <w:tcW w:w="5471" w:type="dxa"/>
          </w:tcPr>
          <w:p w14:paraId="7A8ACF02" w14:textId="77777777" w:rsidR="00FA4AA8" w:rsidRDefault="0015611F">
            <w:pPr>
              <w:pStyle w:val="TableParagraph"/>
              <w:spacing w:line="184" w:lineRule="exact"/>
              <w:ind w:left="77"/>
              <w:rPr>
                <w:b/>
                <w:sz w:val="18"/>
              </w:rPr>
            </w:pPr>
            <w:r>
              <w:rPr>
                <w:b/>
                <w:sz w:val="18"/>
              </w:rPr>
              <w:t>Total trust funds</w:t>
            </w:r>
          </w:p>
        </w:tc>
        <w:tc>
          <w:tcPr>
            <w:tcW w:w="1901" w:type="dxa"/>
          </w:tcPr>
          <w:p w14:paraId="3A347524" w14:textId="77777777" w:rsidR="00FA4AA8" w:rsidRDefault="00FA4AA8">
            <w:pPr>
              <w:pStyle w:val="TableParagraph"/>
              <w:rPr>
                <w:rFonts w:ascii="Times New Roman"/>
                <w:sz w:val="14"/>
              </w:rPr>
            </w:pPr>
          </w:p>
        </w:tc>
        <w:tc>
          <w:tcPr>
            <w:tcW w:w="1459" w:type="dxa"/>
            <w:tcBorders>
              <w:top w:val="single" w:sz="4" w:space="0" w:color="000000"/>
              <w:bottom w:val="single" w:sz="12" w:space="0" w:color="000000"/>
            </w:tcBorders>
          </w:tcPr>
          <w:p w14:paraId="097EB1D6" w14:textId="77777777" w:rsidR="00FA4AA8" w:rsidRDefault="0015611F">
            <w:pPr>
              <w:pStyle w:val="TableParagraph"/>
              <w:spacing w:line="184" w:lineRule="exact"/>
              <w:ind w:right="245"/>
              <w:jc w:val="right"/>
              <w:rPr>
                <w:b/>
                <w:sz w:val="18"/>
              </w:rPr>
            </w:pPr>
            <w:r>
              <w:rPr>
                <w:b/>
                <w:w w:val="95"/>
                <w:sz w:val="18"/>
              </w:rPr>
              <w:t>1,697,053</w:t>
            </w:r>
          </w:p>
        </w:tc>
        <w:tc>
          <w:tcPr>
            <w:tcW w:w="1135" w:type="dxa"/>
            <w:tcBorders>
              <w:top w:val="single" w:sz="4" w:space="0" w:color="000000"/>
              <w:bottom w:val="single" w:sz="12" w:space="0" w:color="000000"/>
            </w:tcBorders>
          </w:tcPr>
          <w:p w14:paraId="5C79045B" w14:textId="77777777" w:rsidR="00FA4AA8" w:rsidRDefault="0015611F">
            <w:pPr>
              <w:pStyle w:val="TableParagraph"/>
              <w:spacing w:line="184" w:lineRule="exact"/>
              <w:ind w:right="83"/>
              <w:jc w:val="right"/>
              <w:rPr>
                <w:sz w:val="18"/>
              </w:rPr>
            </w:pPr>
            <w:r>
              <w:rPr>
                <w:w w:val="95"/>
                <w:sz w:val="18"/>
              </w:rPr>
              <w:t>1,527,146</w:t>
            </w:r>
          </w:p>
        </w:tc>
      </w:tr>
    </w:tbl>
    <w:p w14:paraId="523CAD12" w14:textId="77777777" w:rsidR="00FA4AA8" w:rsidRDefault="00FA4AA8">
      <w:pPr>
        <w:pStyle w:val="BodyText"/>
        <w:rPr>
          <w:sz w:val="20"/>
        </w:rPr>
      </w:pPr>
    </w:p>
    <w:p w14:paraId="7CC8612E" w14:textId="77777777" w:rsidR="00FA4AA8" w:rsidRDefault="00FA4AA8">
      <w:pPr>
        <w:pStyle w:val="BodyText"/>
        <w:rPr>
          <w:sz w:val="20"/>
        </w:rPr>
      </w:pPr>
    </w:p>
    <w:p w14:paraId="2E451327" w14:textId="77777777" w:rsidR="00FA4AA8" w:rsidRDefault="00FA4AA8">
      <w:pPr>
        <w:pStyle w:val="BodyText"/>
        <w:rPr>
          <w:sz w:val="20"/>
        </w:rPr>
      </w:pPr>
    </w:p>
    <w:p w14:paraId="2AFC994F" w14:textId="77777777" w:rsidR="00FA4AA8" w:rsidRDefault="00FA4AA8">
      <w:pPr>
        <w:pStyle w:val="BodyText"/>
        <w:rPr>
          <w:sz w:val="20"/>
        </w:rPr>
      </w:pPr>
    </w:p>
    <w:p w14:paraId="379232E2" w14:textId="77777777" w:rsidR="00FA4AA8" w:rsidRDefault="00FA4AA8">
      <w:pPr>
        <w:pStyle w:val="BodyText"/>
        <w:rPr>
          <w:sz w:val="20"/>
        </w:rPr>
      </w:pPr>
    </w:p>
    <w:p w14:paraId="7EB6D101" w14:textId="77777777" w:rsidR="00FA4AA8" w:rsidRDefault="00FA4AA8">
      <w:pPr>
        <w:pStyle w:val="BodyText"/>
        <w:rPr>
          <w:sz w:val="20"/>
        </w:rPr>
      </w:pPr>
    </w:p>
    <w:p w14:paraId="467D0973" w14:textId="77777777" w:rsidR="00FA4AA8" w:rsidRDefault="00FA4AA8">
      <w:pPr>
        <w:pStyle w:val="BodyText"/>
        <w:rPr>
          <w:sz w:val="20"/>
        </w:rPr>
      </w:pPr>
    </w:p>
    <w:p w14:paraId="45E064CE" w14:textId="77777777" w:rsidR="00FA4AA8" w:rsidRDefault="00FA4AA8">
      <w:pPr>
        <w:pStyle w:val="BodyText"/>
        <w:rPr>
          <w:sz w:val="20"/>
        </w:rPr>
      </w:pPr>
    </w:p>
    <w:p w14:paraId="4C881F7B" w14:textId="77777777" w:rsidR="00FA4AA8" w:rsidRDefault="00FA4AA8">
      <w:pPr>
        <w:pStyle w:val="BodyText"/>
        <w:rPr>
          <w:sz w:val="20"/>
        </w:rPr>
      </w:pPr>
    </w:p>
    <w:p w14:paraId="1D2C9A10" w14:textId="77777777" w:rsidR="00FA4AA8" w:rsidRDefault="00FA4AA8">
      <w:pPr>
        <w:pStyle w:val="BodyText"/>
        <w:rPr>
          <w:sz w:val="20"/>
        </w:rPr>
      </w:pPr>
    </w:p>
    <w:p w14:paraId="531F0C43" w14:textId="77777777" w:rsidR="00FA4AA8" w:rsidRDefault="00FA4AA8">
      <w:pPr>
        <w:pStyle w:val="BodyText"/>
        <w:rPr>
          <w:sz w:val="20"/>
        </w:rPr>
      </w:pPr>
    </w:p>
    <w:p w14:paraId="692645DF" w14:textId="77777777" w:rsidR="00FA4AA8" w:rsidRDefault="00FA4AA8">
      <w:pPr>
        <w:pStyle w:val="BodyText"/>
        <w:rPr>
          <w:sz w:val="20"/>
        </w:rPr>
      </w:pPr>
    </w:p>
    <w:p w14:paraId="7C536C8D" w14:textId="77777777" w:rsidR="00FA4AA8" w:rsidRDefault="00FA4AA8">
      <w:pPr>
        <w:pStyle w:val="BodyText"/>
        <w:rPr>
          <w:sz w:val="20"/>
        </w:rPr>
      </w:pPr>
    </w:p>
    <w:p w14:paraId="277856AF" w14:textId="77777777" w:rsidR="00FA4AA8" w:rsidRDefault="00FA4AA8">
      <w:pPr>
        <w:pStyle w:val="BodyText"/>
        <w:rPr>
          <w:sz w:val="20"/>
        </w:rPr>
      </w:pPr>
    </w:p>
    <w:p w14:paraId="4EA23BFC" w14:textId="77777777" w:rsidR="00FA4AA8" w:rsidRDefault="00FA4AA8">
      <w:pPr>
        <w:pStyle w:val="BodyText"/>
        <w:rPr>
          <w:sz w:val="20"/>
        </w:rPr>
      </w:pPr>
    </w:p>
    <w:p w14:paraId="40E4062B" w14:textId="77777777" w:rsidR="00FA4AA8" w:rsidRDefault="00FA4AA8">
      <w:pPr>
        <w:pStyle w:val="BodyText"/>
        <w:rPr>
          <w:sz w:val="20"/>
        </w:rPr>
      </w:pPr>
    </w:p>
    <w:p w14:paraId="06CD6E60" w14:textId="77777777" w:rsidR="00FA4AA8" w:rsidRDefault="00FA4AA8">
      <w:pPr>
        <w:pStyle w:val="BodyText"/>
        <w:rPr>
          <w:sz w:val="20"/>
        </w:rPr>
      </w:pPr>
    </w:p>
    <w:p w14:paraId="121008AF" w14:textId="77777777" w:rsidR="00FA4AA8" w:rsidRDefault="00FA4AA8">
      <w:pPr>
        <w:pStyle w:val="BodyText"/>
        <w:rPr>
          <w:sz w:val="20"/>
        </w:rPr>
      </w:pPr>
    </w:p>
    <w:p w14:paraId="0C29D0B5" w14:textId="77777777" w:rsidR="00FA4AA8" w:rsidRDefault="00FA4AA8">
      <w:pPr>
        <w:pStyle w:val="BodyText"/>
        <w:rPr>
          <w:sz w:val="20"/>
        </w:rPr>
      </w:pPr>
    </w:p>
    <w:p w14:paraId="3B386CE5" w14:textId="77777777" w:rsidR="00FA4AA8" w:rsidRDefault="00FA4AA8">
      <w:pPr>
        <w:pStyle w:val="BodyText"/>
        <w:rPr>
          <w:sz w:val="20"/>
        </w:rPr>
      </w:pPr>
    </w:p>
    <w:p w14:paraId="7EB66F6B" w14:textId="77777777" w:rsidR="00FA4AA8" w:rsidRDefault="00FA4AA8">
      <w:pPr>
        <w:pStyle w:val="BodyText"/>
        <w:rPr>
          <w:sz w:val="20"/>
        </w:rPr>
      </w:pPr>
    </w:p>
    <w:p w14:paraId="37DD6118" w14:textId="77777777" w:rsidR="00FA4AA8" w:rsidRDefault="00FA4AA8">
      <w:pPr>
        <w:pStyle w:val="BodyText"/>
        <w:rPr>
          <w:sz w:val="20"/>
        </w:rPr>
      </w:pPr>
    </w:p>
    <w:p w14:paraId="42E2AE0F" w14:textId="77777777" w:rsidR="00FA4AA8" w:rsidRDefault="00FA4AA8">
      <w:pPr>
        <w:pStyle w:val="BodyText"/>
        <w:rPr>
          <w:sz w:val="17"/>
        </w:rPr>
      </w:pPr>
    </w:p>
    <w:p w14:paraId="0D3C5536" w14:textId="77777777" w:rsidR="00FA4AA8" w:rsidRDefault="0015611F">
      <w:pPr>
        <w:pStyle w:val="BodyText"/>
        <w:spacing w:before="94"/>
        <w:ind w:left="194" w:right="50"/>
        <w:jc w:val="center"/>
      </w:pPr>
      <w:r>
        <w:t>The accompanying notes form part of these financial statements.</w:t>
      </w:r>
    </w:p>
    <w:p w14:paraId="5E9DB156" w14:textId="77777777" w:rsidR="00FA4AA8" w:rsidRDefault="00FA4AA8">
      <w:pPr>
        <w:jc w:val="center"/>
        <w:sectPr w:rsidR="00FA4AA8">
          <w:pgSz w:w="11910" w:h="16840"/>
          <w:pgMar w:top="1560" w:right="840" w:bottom="720" w:left="840" w:header="1017" w:footer="523" w:gutter="0"/>
          <w:cols w:space="720"/>
        </w:sectPr>
      </w:pPr>
    </w:p>
    <w:p w14:paraId="62A91D56" w14:textId="77777777" w:rsidR="00FA4AA8" w:rsidRDefault="00FA4AA8">
      <w:pPr>
        <w:pStyle w:val="BodyText"/>
        <w:rPr>
          <w:sz w:val="20"/>
        </w:rPr>
      </w:pPr>
    </w:p>
    <w:p w14:paraId="0CD75811" w14:textId="77777777" w:rsidR="00FA4AA8" w:rsidRDefault="00FA4AA8">
      <w:pPr>
        <w:pStyle w:val="BodyText"/>
        <w:spacing w:before="3"/>
        <w:rPr>
          <w:sz w:val="10"/>
        </w:rPr>
      </w:pPr>
    </w:p>
    <w:tbl>
      <w:tblPr>
        <w:tblW w:w="0" w:type="auto"/>
        <w:tblInd w:w="125" w:type="dxa"/>
        <w:tblLayout w:type="fixed"/>
        <w:tblCellMar>
          <w:left w:w="0" w:type="dxa"/>
          <w:right w:w="0" w:type="dxa"/>
        </w:tblCellMar>
        <w:tblLook w:val="01E0" w:firstRow="1" w:lastRow="1" w:firstColumn="1" w:lastColumn="1" w:noHBand="0" w:noVBand="0"/>
      </w:tblPr>
      <w:tblGrid>
        <w:gridCol w:w="4516"/>
        <w:gridCol w:w="1474"/>
        <w:gridCol w:w="1198"/>
        <w:gridCol w:w="1177"/>
        <w:gridCol w:w="1215"/>
      </w:tblGrid>
      <w:tr w:rsidR="00FA4AA8" w14:paraId="1BFC32AD" w14:textId="77777777">
        <w:trPr>
          <w:trHeight w:val="344"/>
        </w:trPr>
        <w:tc>
          <w:tcPr>
            <w:tcW w:w="4516" w:type="dxa"/>
          </w:tcPr>
          <w:p w14:paraId="3C5A4643" w14:textId="77777777" w:rsidR="00FA4AA8" w:rsidRDefault="0015611F">
            <w:pPr>
              <w:pStyle w:val="TableParagraph"/>
              <w:spacing w:line="312" w:lineRule="exact"/>
              <w:ind w:left="50"/>
              <w:rPr>
                <w:b/>
                <w:sz w:val="28"/>
              </w:rPr>
            </w:pPr>
            <w:r>
              <w:rPr>
                <w:b/>
                <w:sz w:val="28"/>
              </w:rPr>
              <w:t>Statement of changes in equity</w:t>
            </w:r>
          </w:p>
        </w:tc>
        <w:tc>
          <w:tcPr>
            <w:tcW w:w="5064" w:type="dxa"/>
            <w:gridSpan w:val="4"/>
            <w:vMerge w:val="restart"/>
          </w:tcPr>
          <w:p w14:paraId="6E465A1E" w14:textId="77777777" w:rsidR="00FA4AA8" w:rsidRDefault="00FA4AA8">
            <w:pPr>
              <w:pStyle w:val="TableParagraph"/>
              <w:rPr>
                <w:rFonts w:ascii="Times New Roman"/>
                <w:sz w:val="18"/>
              </w:rPr>
            </w:pPr>
          </w:p>
        </w:tc>
      </w:tr>
      <w:tr w:rsidR="00FA4AA8" w14:paraId="5E27155D" w14:textId="77777777">
        <w:trPr>
          <w:trHeight w:val="486"/>
        </w:trPr>
        <w:tc>
          <w:tcPr>
            <w:tcW w:w="4516" w:type="dxa"/>
          </w:tcPr>
          <w:p w14:paraId="3530E167" w14:textId="77777777" w:rsidR="00FA4AA8" w:rsidRDefault="0015611F">
            <w:pPr>
              <w:pStyle w:val="TableParagraph"/>
              <w:spacing w:before="25"/>
              <w:ind w:left="50"/>
              <w:rPr>
                <w:b/>
              </w:rPr>
            </w:pPr>
            <w:r>
              <w:rPr>
                <w:b/>
              </w:rPr>
              <w:t>For the Year Ended 31 December 2018</w:t>
            </w:r>
          </w:p>
        </w:tc>
        <w:tc>
          <w:tcPr>
            <w:tcW w:w="5064" w:type="dxa"/>
            <w:gridSpan w:val="4"/>
            <w:vMerge/>
            <w:tcBorders>
              <w:top w:val="nil"/>
            </w:tcBorders>
          </w:tcPr>
          <w:p w14:paraId="2F43FBFE" w14:textId="77777777" w:rsidR="00FA4AA8" w:rsidRDefault="00FA4AA8">
            <w:pPr>
              <w:rPr>
                <w:sz w:val="2"/>
                <w:szCs w:val="2"/>
              </w:rPr>
            </w:pPr>
          </w:p>
        </w:tc>
      </w:tr>
      <w:tr w:rsidR="00FA4AA8" w14:paraId="13B3BC6D" w14:textId="77777777">
        <w:trPr>
          <w:trHeight w:val="652"/>
        </w:trPr>
        <w:tc>
          <w:tcPr>
            <w:tcW w:w="4516" w:type="dxa"/>
          </w:tcPr>
          <w:p w14:paraId="1C6B85AD" w14:textId="77777777" w:rsidR="00FA4AA8" w:rsidRDefault="00FA4AA8">
            <w:pPr>
              <w:pStyle w:val="TableParagraph"/>
              <w:rPr>
                <w:rFonts w:ascii="Times New Roman"/>
                <w:sz w:val="18"/>
              </w:rPr>
            </w:pPr>
          </w:p>
        </w:tc>
        <w:tc>
          <w:tcPr>
            <w:tcW w:w="1474" w:type="dxa"/>
          </w:tcPr>
          <w:p w14:paraId="63F3FF1C" w14:textId="77777777" w:rsidR="00FA4AA8" w:rsidRDefault="00FA4AA8">
            <w:pPr>
              <w:pStyle w:val="TableParagraph"/>
              <w:rPr>
                <w:sz w:val="20"/>
              </w:rPr>
            </w:pPr>
          </w:p>
          <w:p w14:paraId="228EB708" w14:textId="77777777" w:rsidR="00FA4AA8" w:rsidRDefault="0015611F">
            <w:pPr>
              <w:pStyle w:val="TableParagraph"/>
              <w:spacing w:before="179"/>
              <w:ind w:right="149"/>
              <w:jc w:val="right"/>
              <w:rPr>
                <w:b/>
                <w:sz w:val="18"/>
              </w:rPr>
            </w:pPr>
            <w:r>
              <w:rPr>
                <w:b/>
                <w:sz w:val="18"/>
              </w:rPr>
              <w:t>Settled fund</w:t>
            </w:r>
          </w:p>
        </w:tc>
        <w:tc>
          <w:tcPr>
            <w:tcW w:w="1198" w:type="dxa"/>
          </w:tcPr>
          <w:p w14:paraId="581069EC" w14:textId="77777777" w:rsidR="00FA4AA8" w:rsidRDefault="00FA4AA8">
            <w:pPr>
              <w:pStyle w:val="TableParagraph"/>
              <w:spacing w:before="7"/>
              <w:rPr>
                <w:sz w:val="17"/>
              </w:rPr>
            </w:pPr>
          </w:p>
          <w:p w14:paraId="08BC6F89" w14:textId="77777777" w:rsidR="00FA4AA8" w:rsidRDefault="0015611F">
            <w:pPr>
              <w:pStyle w:val="TableParagraph"/>
              <w:ind w:left="153" w:right="254" w:firstLine="5"/>
              <w:rPr>
                <w:b/>
                <w:sz w:val="18"/>
              </w:rPr>
            </w:pPr>
            <w:r>
              <w:rPr>
                <w:b/>
                <w:sz w:val="18"/>
              </w:rPr>
              <w:t>Retained Earnings</w:t>
            </w:r>
          </w:p>
        </w:tc>
        <w:tc>
          <w:tcPr>
            <w:tcW w:w="1177" w:type="dxa"/>
          </w:tcPr>
          <w:p w14:paraId="400F845B" w14:textId="77777777" w:rsidR="00FA4AA8" w:rsidRDefault="00FA4AA8">
            <w:pPr>
              <w:pStyle w:val="TableParagraph"/>
              <w:rPr>
                <w:sz w:val="20"/>
              </w:rPr>
            </w:pPr>
          </w:p>
          <w:p w14:paraId="2E5569A2" w14:textId="77777777" w:rsidR="00FA4AA8" w:rsidRDefault="0015611F">
            <w:pPr>
              <w:pStyle w:val="TableParagraph"/>
              <w:spacing w:before="179"/>
              <w:ind w:left="143"/>
              <w:rPr>
                <w:b/>
                <w:sz w:val="18"/>
              </w:rPr>
            </w:pPr>
            <w:r>
              <w:rPr>
                <w:b/>
                <w:sz w:val="18"/>
              </w:rPr>
              <w:t>Reserves</w:t>
            </w:r>
          </w:p>
        </w:tc>
        <w:tc>
          <w:tcPr>
            <w:tcW w:w="1215" w:type="dxa"/>
          </w:tcPr>
          <w:p w14:paraId="1DC225C6" w14:textId="77777777" w:rsidR="00FA4AA8" w:rsidRDefault="00FA4AA8">
            <w:pPr>
              <w:pStyle w:val="TableParagraph"/>
              <w:rPr>
                <w:sz w:val="20"/>
              </w:rPr>
            </w:pPr>
          </w:p>
          <w:p w14:paraId="3C2FE011" w14:textId="77777777" w:rsidR="00FA4AA8" w:rsidRDefault="0015611F">
            <w:pPr>
              <w:pStyle w:val="TableParagraph"/>
              <w:spacing w:before="179"/>
              <w:ind w:right="85"/>
              <w:jc w:val="right"/>
              <w:rPr>
                <w:b/>
                <w:sz w:val="18"/>
              </w:rPr>
            </w:pPr>
            <w:r>
              <w:rPr>
                <w:b/>
                <w:sz w:val="18"/>
              </w:rPr>
              <w:t>Total Equity</w:t>
            </w:r>
          </w:p>
        </w:tc>
      </w:tr>
      <w:tr w:rsidR="00FA4AA8" w14:paraId="3244DB12" w14:textId="77777777">
        <w:trPr>
          <w:trHeight w:val="269"/>
        </w:trPr>
        <w:tc>
          <w:tcPr>
            <w:tcW w:w="4516" w:type="dxa"/>
          </w:tcPr>
          <w:p w14:paraId="715069AD" w14:textId="77777777" w:rsidR="00FA4AA8" w:rsidRDefault="00FA4AA8">
            <w:pPr>
              <w:pStyle w:val="TableParagraph"/>
              <w:rPr>
                <w:rFonts w:ascii="Times New Roman"/>
                <w:sz w:val="18"/>
              </w:rPr>
            </w:pPr>
          </w:p>
        </w:tc>
        <w:tc>
          <w:tcPr>
            <w:tcW w:w="1474" w:type="dxa"/>
            <w:tcBorders>
              <w:bottom w:val="single" w:sz="8" w:space="0" w:color="000000"/>
            </w:tcBorders>
          </w:tcPr>
          <w:p w14:paraId="34F30803" w14:textId="77777777" w:rsidR="00FA4AA8" w:rsidRDefault="0015611F">
            <w:pPr>
              <w:pStyle w:val="TableParagraph"/>
              <w:spacing w:before="30"/>
              <w:ind w:left="134"/>
              <w:jc w:val="center"/>
              <w:rPr>
                <w:b/>
                <w:sz w:val="18"/>
              </w:rPr>
            </w:pPr>
            <w:r>
              <w:rPr>
                <w:b/>
                <w:w w:val="99"/>
                <w:sz w:val="18"/>
              </w:rPr>
              <w:t>$</w:t>
            </w:r>
          </w:p>
        </w:tc>
        <w:tc>
          <w:tcPr>
            <w:tcW w:w="1198" w:type="dxa"/>
            <w:tcBorders>
              <w:bottom w:val="single" w:sz="8" w:space="0" w:color="000000"/>
            </w:tcBorders>
          </w:tcPr>
          <w:p w14:paraId="6A871FCC" w14:textId="77777777" w:rsidR="00FA4AA8" w:rsidRDefault="0015611F">
            <w:pPr>
              <w:pStyle w:val="TableParagraph"/>
              <w:spacing w:before="30"/>
              <w:ind w:right="116"/>
              <w:jc w:val="center"/>
              <w:rPr>
                <w:b/>
                <w:sz w:val="18"/>
              </w:rPr>
            </w:pPr>
            <w:r>
              <w:rPr>
                <w:b/>
                <w:w w:val="99"/>
                <w:sz w:val="18"/>
              </w:rPr>
              <w:t>$</w:t>
            </w:r>
          </w:p>
        </w:tc>
        <w:tc>
          <w:tcPr>
            <w:tcW w:w="1177" w:type="dxa"/>
            <w:tcBorders>
              <w:bottom w:val="single" w:sz="8" w:space="0" w:color="000000"/>
            </w:tcBorders>
          </w:tcPr>
          <w:p w14:paraId="5CDBC49A" w14:textId="77777777" w:rsidR="00FA4AA8" w:rsidRDefault="0015611F">
            <w:pPr>
              <w:pStyle w:val="TableParagraph"/>
              <w:spacing w:before="30"/>
              <w:ind w:right="43"/>
              <w:jc w:val="center"/>
              <w:rPr>
                <w:b/>
                <w:sz w:val="18"/>
              </w:rPr>
            </w:pPr>
            <w:r>
              <w:rPr>
                <w:b/>
                <w:w w:val="99"/>
                <w:sz w:val="18"/>
              </w:rPr>
              <w:t>$</w:t>
            </w:r>
          </w:p>
        </w:tc>
        <w:tc>
          <w:tcPr>
            <w:tcW w:w="1215" w:type="dxa"/>
            <w:tcBorders>
              <w:bottom w:val="single" w:sz="8" w:space="0" w:color="000000"/>
            </w:tcBorders>
          </w:tcPr>
          <w:p w14:paraId="76122C92" w14:textId="77777777" w:rsidR="00FA4AA8" w:rsidRDefault="0015611F">
            <w:pPr>
              <w:pStyle w:val="TableParagraph"/>
              <w:spacing w:before="30"/>
              <w:ind w:left="10"/>
              <w:jc w:val="center"/>
              <w:rPr>
                <w:b/>
                <w:sz w:val="18"/>
              </w:rPr>
            </w:pPr>
            <w:r>
              <w:rPr>
                <w:b/>
                <w:w w:val="99"/>
                <w:sz w:val="18"/>
              </w:rPr>
              <w:t>$</w:t>
            </w:r>
          </w:p>
        </w:tc>
      </w:tr>
      <w:tr w:rsidR="00FA4AA8" w14:paraId="6F3E2E86" w14:textId="77777777">
        <w:trPr>
          <w:trHeight w:val="397"/>
        </w:trPr>
        <w:tc>
          <w:tcPr>
            <w:tcW w:w="4516" w:type="dxa"/>
          </w:tcPr>
          <w:p w14:paraId="16950919" w14:textId="77777777" w:rsidR="00FA4AA8" w:rsidRDefault="0015611F">
            <w:pPr>
              <w:pStyle w:val="TableParagraph"/>
              <w:spacing w:before="28"/>
              <w:ind w:left="123"/>
              <w:rPr>
                <w:b/>
                <w:sz w:val="18"/>
              </w:rPr>
            </w:pPr>
            <w:r>
              <w:rPr>
                <w:b/>
                <w:sz w:val="18"/>
              </w:rPr>
              <w:t>Balance at 1 January 2018</w:t>
            </w:r>
          </w:p>
        </w:tc>
        <w:tc>
          <w:tcPr>
            <w:tcW w:w="1474" w:type="dxa"/>
            <w:tcBorders>
              <w:top w:val="single" w:sz="8" w:space="0" w:color="000000"/>
            </w:tcBorders>
          </w:tcPr>
          <w:p w14:paraId="6E8AC977" w14:textId="77777777" w:rsidR="00FA4AA8" w:rsidRDefault="0015611F">
            <w:pPr>
              <w:pStyle w:val="TableParagraph"/>
              <w:spacing w:before="29"/>
              <w:ind w:right="166"/>
              <w:jc w:val="right"/>
              <w:rPr>
                <w:sz w:val="18"/>
              </w:rPr>
            </w:pPr>
            <w:r>
              <w:rPr>
                <w:w w:val="99"/>
                <w:sz w:val="18"/>
              </w:rPr>
              <w:t>1</w:t>
            </w:r>
          </w:p>
        </w:tc>
        <w:tc>
          <w:tcPr>
            <w:tcW w:w="1198" w:type="dxa"/>
            <w:tcBorders>
              <w:top w:val="single" w:sz="8" w:space="0" w:color="000000"/>
            </w:tcBorders>
          </w:tcPr>
          <w:p w14:paraId="5D5FBBB6" w14:textId="77777777" w:rsidR="00FA4AA8" w:rsidRDefault="0015611F">
            <w:pPr>
              <w:pStyle w:val="TableParagraph"/>
              <w:spacing w:before="29"/>
              <w:ind w:right="138"/>
              <w:jc w:val="right"/>
              <w:rPr>
                <w:sz w:val="18"/>
              </w:rPr>
            </w:pPr>
            <w:r>
              <w:rPr>
                <w:w w:val="95"/>
                <w:sz w:val="18"/>
              </w:rPr>
              <w:t>1,331,898</w:t>
            </w:r>
          </w:p>
        </w:tc>
        <w:tc>
          <w:tcPr>
            <w:tcW w:w="1177" w:type="dxa"/>
            <w:tcBorders>
              <w:top w:val="single" w:sz="8" w:space="0" w:color="000000"/>
            </w:tcBorders>
          </w:tcPr>
          <w:p w14:paraId="3CB11B18" w14:textId="77777777" w:rsidR="00FA4AA8" w:rsidRDefault="0015611F">
            <w:pPr>
              <w:pStyle w:val="TableParagraph"/>
              <w:spacing w:before="29"/>
              <w:ind w:right="91"/>
              <w:jc w:val="right"/>
              <w:rPr>
                <w:sz w:val="18"/>
              </w:rPr>
            </w:pPr>
            <w:r>
              <w:rPr>
                <w:w w:val="95"/>
                <w:sz w:val="18"/>
              </w:rPr>
              <w:t>195,247</w:t>
            </w:r>
          </w:p>
        </w:tc>
        <w:tc>
          <w:tcPr>
            <w:tcW w:w="1215" w:type="dxa"/>
            <w:tcBorders>
              <w:top w:val="single" w:sz="8" w:space="0" w:color="000000"/>
            </w:tcBorders>
          </w:tcPr>
          <w:p w14:paraId="716949B9" w14:textId="77777777" w:rsidR="00FA4AA8" w:rsidRDefault="0015611F">
            <w:pPr>
              <w:pStyle w:val="TableParagraph"/>
              <w:spacing w:before="29"/>
              <w:ind w:right="82"/>
              <w:jc w:val="right"/>
              <w:rPr>
                <w:b/>
                <w:sz w:val="18"/>
              </w:rPr>
            </w:pPr>
            <w:r>
              <w:rPr>
                <w:b/>
                <w:w w:val="95"/>
                <w:sz w:val="18"/>
              </w:rPr>
              <w:t>1,527,146</w:t>
            </w:r>
          </w:p>
        </w:tc>
      </w:tr>
      <w:tr w:rsidR="00FA4AA8" w14:paraId="728E3DCF" w14:textId="77777777">
        <w:trPr>
          <w:trHeight w:val="390"/>
        </w:trPr>
        <w:tc>
          <w:tcPr>
            <w:tcW w:w="4516" w:type="dxa"/>
          </w:tcPr>
          <w:p w14:paraId="3F8BAF4F" w14:textId="77777777" w:rsidR="00FA4AA8" w:rsidRDefault="0015611F">
            <w:pPr>
              <w:pStyle w:val="TableParagraph"/>
              <w:spacing w:before="155"/>
              <w:ind w:left="123"/>
              <w:rPr>
                <w:sz w:val="18"/>
              </w:rPr>
            </w:pPr>
            <w:r>
              <w:rPr>
                <w:sz w:val="18"/>
              </w:rPr>
              <w:t>Revaluation of property, plant and equipment</w:t>
            </w:r>
          </w:p>
        </w:tc>
        <w:tc>
          <w:tcPr>
            <w:tcW w:w="1474" w:type="dxa"/>
            <w:tcBorders>
              <w:bottom w:val="single" w:sz="8" w:space="0" w:color="000000"/>
            </w:tcBorders>
          </w:tcPr>
          <w:p w14:paraId="6CD14170" w14:textId="77777777" w:rsidR="00FA4AA8" w:rsidRDefault="0015611F">
            <w:pPr>
              <w:pStyle w:val="TableParagraph"/>
              <w:spacing w:before="157"/>
              <w:ind w:right="167"/>
              <w:jc w:val="right"/>
              <w:rPr>
                <w:b/>
                <w:sz w:val="18"/>
              </w:rPr>
            </w:pPr>
            <w:r>
              <w:rPr>
                <w:b/>
                <w:w w:val="99"/>
                <w:sz w:val="18"/>
              </w:rPr>
              <w:t>-</w:t>
            </w:r>
          </w:p>
        </w:tc>
        <w:tc>
          <w:tcPr>
            <w:tcW w:w="1198" w:type="dxa"/>
            <w:tcBorders>
              <w:bottom w:val="single" w:sz="8" w:space="0" w:color="000000"/>
            </w:tcBorders>
          </w:tcPr>
          <w:p w14:paraId="32C85A6D" w14:textId="77777777" w:rsidR="00FA4AA8" w:rsidRDefault="0015611F">
            <w:pPr>
              <w:pStyle w:val="TableParagraph"/>
              <w:spacing w:before="157"/>
              <w:ind w:right="141"/>
              <w:jc w:val="right"/>
              <w:rPr>
                <w:b/>
                <w:sz w:val="18"/>
              </w:rPr>
            </w:pPr>
            <w:r>
              <w:rPr>
                <w:b/>
                <w:w w:val="99"/>
                <w:sz w:val="18"/>
              </w:rPr>
              <w:t>-</w:t>
            </w:r>
          </w:p>
        </w:tc>
        <w:tc>
          <w:tcPr>
            <w:tcW w:w="1177" w:type="dxa"/>
            <w:tcBorders>
              <w:bottom w:val="single" w:sz="8" w:space="0" w:color="000000"/>
            </w:tcBorders>
          </w:tcPr>
          <w:p w14:paraId="4B41E170" w14:textId="77777777" w:rsidR="00FA4AA8" w:rsidRDefault="0015611F">
            <w:pPr>
              <w:pStyle w:val="TableParagraph"/>
              <w:spacing w:before="157"/>
              <w:ind w:right="94"/>
              <w:jc w:val="right"/>
              <w:rPr>
                <w:b/>
                <w:sz w:val="18"/>
              </w:rPr>
            </w:pPr>
            <w:r>
              <w:rPr>
                <w:b/>
                <w:w w:val="99"/>
                <w:sz w:val="18"/>
              </w:rPr>
              <w:t>-</w:t>
            </w:r>
          </w:p>
        </w:tc>
        <w:tc>
          <w:tcPr>
            <w:tcW w:w="1215" w:type="dxa"/>
            <w:tcBorders>
              <w:bottom w:val="single" w:sz="8" w:space="0" w:color="000000"/>
            </w:tcBorders>
          </w:tcPr>
          <w:p w14:paraId="3972575C" w14:textId="77777777" w:rsidR="00FA4AA8" w:rsidRDefault="0015611F">
            <w:pPr>
              <w:pStyle w:val="TableParagraph"/>
              <w:spacing w:before="157"/>
              <w:ind w:right="85"/>
              <w:jc w:val="right"/>
              <w:rPr>
                <w:b/>
                <w:sz w:val="18"/>
              </w:rPr>
            </w:pPr>
            <w:r>
              <w:rPr>
                <w:b/>
                <w:w w:val="99"/>
                <w:sz w:val="18"/>
              </w:rPr>
              <w:t>-</w:t>
            </w:r>
          </w:p>
        </w:tc>
      </w:tr>
      <w:tr w:rsidR="00FA4AA8" w14:paraId="252CDFCC" w14:textId="77777777">
        <w:trPr>
          <w:trHeight w:val="468"/>
        </w:trPr>
        <w:tc>
          <w:tcPr>
            <w:tcW w:w="4516" w:type="dxa"/>
          </w:tcPr>
          <w:p w14:paraId="55E622C9" w14:textId="77777777" w:rsidR="00FA4AA8" w:rsidRDefault="0015611F">
            <w:pPr>
              <w:pStyle w:val="TableParagraph"/>
              <w:spacing w:before="113"/>
              <w:ind w:left="123"/>
              <w:rPr>
                <w:b/>
                <w:sz w:val="18"/>
              </w:rPr>
            </w:pPr>
            <w:r>
              <w:rPr>
                <w:b/>
                <w:sz w:val="18"/>
              </w:rPr>
              <w:t>Other comprehensive income</w:t>
            </w:r>
          </w:p>
        </w:tc>
        <w:tc>
          <w:tcPr>
            <w:tcW w:w="1474" w:type="dxa"/>
            <w:tcBorders>
              <w:top w:val="single" w:sz="8" w:space="0" w:color="000000"/>
            </w:tcBorders>
          </w:tcPr>
          <w:p w14:paraId="78D16B22" w14:textId="77777777" w:rsidR="00FA4AA8" w:rsidRDefault="0015611F">
            <w:pPr>
              <w:pStyle w:val="TableParagraph"/>
              <w:spacing w:before="113"/>
              <w:ind w:right="167"/>
              <w:jc w:val="right"/>
              <w:rPr>
                <w:b/>
                <w:sz w:val="18"/>
              </w:rPr>
            </w:pPr>
            <w:r>
              <w:rPr>
                <w:b/>
                <w:w w:val="99"/>
                <w:sz w:val="18"/>
              </w:rPr>
              <w:t>-</w:t>
            </w:r>
          </w:p>
        </w:tc>
        <w:tc>
          <w:tcPr>
            <w:tcW w:w="1198" w:type="dxa"/>
            <w:tcBorders>
              <w:top w:val="single" w:sz="8" w:space="0" w:color="000000"/>
            </w:tcBorders>
          </w:tcPr>
          <w:p w14:paraId="1507E9B2" w14:textId="77777777" w:rsidR="00FA4AA8" w:rsidRDefault="0015611F">
            <w:pPr>
              <w:pStyle w:val="TableParagraph"/>
              <w:spacing w:before="113"/>
              <w:ind w:right="141"/>
              <w:jc w:val="right"/>
              <w:rPr>
                <w:b/>
                <w:sz w:val="18"/>
              </w:rPr>
            </w:pPr>
            <w:r>
              <w:rPr>
                <w:b/>
                <w:w w:val="99"/>
                <w:sz w:val="18"/>
              </w:rPr>
              <w:t>-</w:t>
            </w:r>
          </w:p>
        </w:tc>
        <w:tc>
          <w:tcPr>
            <w:tcW w:w="1177" w:type="dxa"/>
            <w:tcBorders>
              <w:top w:val="single" w:sz="8" w:space="0" w:color="000000"/>
            </w:tcBorders>
          </w:tcPr>
          <w:p w14:paraId="6B9D0C55" w14:textId="77777777" w:rsidR="00FA4AA8" w:rsidRDefault="0015611F">
            <w:pPr>
              <w:pStyle w:val="TableParagraph"/>
              <w:spacing w:before="113"/>
              <w:ind w:right="94"/>
              <w:jc w:val="right"/>
              <w:rPr>
                <w:b/>
                <w:sz w:val="18"/>
              </w:rPr>
            </w:pPr>
            <w:r>
              <w:rPr>
                <w:b/>
                <w:w w:val="99"/>
                <w:sz w:val="18"/>
              </w:rPr>
              <w:t>-</w:t>
            </w:r>
          </w:p>
        </w:tc>
        <w:tc>
          <w:tcPr>
            <w:tcW w:w="1215" w:type="dxa"/>
            <w:tcBorders>
              <w:top w:val="single" w:sz="8" w:space="0" w:color="000000"/>
            </w:tcBorders>
          </w:tcPr>
          <w:p w14:paraId="02EEFB57" w14:textId="77777777" w:rsidR="00FA4AA8" w:rsidRDefault="0015611F">
            <w:pPr>
              <w:pStyle w:val="TableParagraph"/>
              <w:spacing w:before="113"/>
              <w:ind w:right="85"/>
              <w:jc w:val="right"/>
              <w:rPr>
                <w:b/>
                <w:sz w:val="18"/>
              </w:rPr>
            </w:pPr>
            <w:r>
              <w:rPr>
                <w:b/>
                <w:w w:val="99"/>
                <w:sz w:val="18"/>
              </w:rPr>
              <w:t>-</w:t>
            </w:r>
          </w:p>
        </w:tc>
      </w:tr>
      <w:tr w:rsidR="00FA4AA8" w14:paraId="4987533F" w14:textId="77777777">
        <w:trPr>
          <w:trHeight w:val="377"/>
        </w:trPr>
        <w:tc>
          <w:tcPr>
            <w:tcW w:w="4516" w:type="dxa"/>
          </w:tcPr>
          <w:p w14:paraId="45924883" w14:textId="77777777" w:rsidR="00FA4AA8" w:rsidRDefault="0015611F">
            <w:pPr>
              <w:pStyle w:val="TableParagraph"/>
              <w:spacing w:before="142"/>
              <w:ind w:left="123"/>
              <w:rPr>
                <w:sz w:val="18"/>
              </w:rPr>
            </w:pPr>
            <w:r>
              <w:rPr>
                <w:sz w:val="18"/>
              </w:rPr>
              <w:t>Surplus for the year</w:t>
            </w:r>
          </w:p>
        </w:tc>
        <w:tc>
          <w:tcPr>
            <w:tcW w:w="1474" w:type="dxa"/>
            <w:tcBorders>
              <w:bottom w:val="single" w:sz="8" w:space="0" w:color="000000"/>
            </w:tcBorders>
          </w:tcPr>
          <w:p w14:paraId="17F4AB4D" w14:textId="77777777" w:rsidR="00FA4AA8" w:rsidRDefault="0015611F">
            <w:pPr>
              <w:pStyle w:val="TableParagraph"/>
              <w:spacing w:before="143"/>
              <w:ind w:right="167"/>
              <w:jc w:val="right"/>
              <w:rPr>
                <w:b/>
                <w:sz w:val="18"/>
              </w:rPr>
            </w:pPr>
            <w:r>
              <w:rPr>
                <w:b/>
                <w:w w:val="99"/>
                <w:sz w:val="18"/>
              </w:rPr>
              <w:t>-</w:t>
            </w:r>
          </w:p>
        </w:tc>
        <w:tc>
          <w:tcPr>
            <w:tcW w:w="1198" w:type="dxa"/>
            <w:tcBorders>
              <w:bottom w:val="single" w:sz="8" w:space="0" w:color="000000"/>
            </w:tcBorders>
          </w:tcPr>
          <w:p w14:paraId="205C570E" w14:textId="77777777" w:rsidR="00FA4AA8" w:rsidRDefault="0015611F">
            <w:pPr>
              <w:pStyle w:val="TableParagraph"/>
              <w:spacing w:before="143"/>
              <w:ind w:right="138"/>
              <w:jc w:val="right"/>
              <w:rPr>
                <w:sz w:val="18"/>
              </w:rPr>
            </w:pPr>
            <w:r>
              <w:rPr>
                <w:w w:val="95"/>
                <w:sz w:val="18"/>
              </w:rPr>
              <w:t>169,907</w:t>
            </w:r>
          </w:p>
        </w:tc>
        <w:tc>
          <w:tcPr>
            <w:tcW w:w="1177" w:type="dxa"/>
            <w:tcBorders>
              <w:bottom w:val="single" w:sz="8" w:space="0" w:color="000000"/>
            </w:tcBorders>
          </w:tcPr>
          <w:p w14:paraId="118482C4" w14:textId="77777777" w:rsidR="00FA4AA8" w:rsidRDefault="0015611F">
            <w:pPr>
              <w:pStyle w:val="TableParagraph"/>
              <w:spacing w:before="143"/>
              <w:ind w:right="94"/>
              <w:jc w:val="right"/>
              <w:rPr>
                <w:b/>
                <w:sz w:val="18"/>
              </w:rPr>
            </w:pPr>
            <w:r>
              <w:rPr>
                <w:b/>
                <w:w w:val="99"/>
                <w:sz w:val="18"/>
              </w:rPr>
              <w:t>-</w:t>
            </w:r>
          </w:p>
        </w:tc>
        <w:tc>
          <w:tcPr>
            <w:tcW w:w="1215" w:type="dxa"/>
            <w:tcBorders>
              <w:bottom w:val="single" w:sz="8" w:space="0" w:color="000000"/>
            </w:tcBorders>
          </w:tcPr>
          <w:p w14:paraId="2399420B" w14:textId="77777777" w:rsidR="00FA4AA8" w:rsidRDefault="0015611F">
            <w:pPr>
              <w:pStyle w:val="TableParagraph"/>
              <w:spacing w:before="143"/>
              <w:ind w:right="82"/>
              <w:jc w:val="right"/>
              <w:rPr>
                <w:b/>
                <w:sz w:val="18"/>
              </w:rPr>
            </w:pPr>
            <w:r>
              <w:rPr>
                <w:b/>
                <w:w w:val="95"/>
                <w:sz w:val="18"/>
              </w:rPr>
              <w:t>169,907</w:t>
            </w:r>
          </w:p>
        </w:tc>
      </w:tr>
      <w:tr w:rsidR="00FA4AA8" w14:paraId="267B3E9A" w14:textId="77777777">
        <w:trPr>
          <w:trHeight w:val="580"/>
        </w:trPr>
        <w:tc>
          <w:tcPr>
            <w:tcW w:w="4516" w:type="dxa"/>
          </w:tcPr>
          <w:p w14:paraId="67917B04" w14:textId="77777777" w:rsidR="00FA4AA8" w:rsidRDefault="0015611F">
            <w:pPr>
              <w:pStyle w:val="TableParagraph"/>
              <w:spacing w:before="113"/>
              <w:ind w:left="123"/>
              <w:rPr>
                <w:b/>
                <w:sz w:val="18"/>
              </w:rPr>
            </w:pPr>
            <w:r>
              <w:rPr>
                <w:b/>
                <w:sz w:val="18"/>
              </w:rPr>
              <w:t>Total comprehensive income for the year</w:t>
            </w:r>
          </w:p>
        </w:tc>
        <w:tc>
          <w:tcPr>
            <w:tcW w:w="1474" w:type="dxa"/>
            <w:tcBorders>
              <w:top w:val="single" w:sz="8" w:space="0" w:color="000000"/>
              <w:bottom w:val="single" w:sz="8" w:space="0" w:color="000000"/>
            </w:tcBorders>
          </w:tcPr>
          <w:p w14:paraId="53292E34" w14:textId="77777777" w:rsidR="00FA4AA8" w:rsidRDefault="0015611F">
            <w:pPr>
              <w:pStyle w:val="TableParagraph"/>
              <w:spacing w:before="113"/>
              <w:ind w:right="167"/>
              <w:jc w:val="right"/>
              <w:rPr>
                <w:b/>
                <w:sz w:val="18"/>
              </w:rPr>
            </w:pPr>
            <w:r>
              <w:rPr>
                <w:b/>
                <w:w w:val="99"/>
                <w:sz w:val="18"/>
              </w:rPr>
              <w:t>-</w:t>
            </w:r>
          </w:p>
        </w:tc>
        <w:tc>
          <w:tcPr>
            <w:tcW w:w="1198" w:type="dxa"/>
            <w:tcBorders>
              <w:top w:val="single" w:sz="8" w:space="0" w:color="000000"/>
              <w:bottom w:val="single" w:sz="8" w:space="0" w:color="000000"/>
            </w:tcBorders>
          </w:tcPr>
          <w:p w14:paraId="6DDE745A" w14:textId="77777777" w:rsidR="00FA4AA8" w:rsidRDefault="0015611F">
            <w:pPr>
              <w:pStyle w:val="TableParagraph"/>
              <w:spacing w:before="113"/>
              <w:ind w:right="138"/>
              <w:jc w:val="right"/>
              <w:rPr>
                <w:b/>
                <w:sz w:val="18"/>
              </w:rPr>
            </w:pPr>
            <w:r>
              <w:rPr>
                <w:b/>
                <w:w w:val="95"/>
                <w:sz w:val="18"/>
              </w:rPr>
              <w:t>169,907</w:t>
            </w:r>
          </w:p>
        </w:tc>
        <w:tc>
          <w:tcPr>
            <w:tcW w:w="1177" w:type="dxa"/>
            <w:tcBorders>
              <w:top w:val="single" w:sz="8" w:space="0" w:color="000000"/>
              <w:bottom w:val="single" w:sz="8" w:space="0" w:color="000000"/>
            </w:tcBorders>
          </w:tcPr>
          <w:p w14:paraId="0A229D61" w14:textId="77777777" w:rsidR="00FA4AA8" w:rsidRDefault="0015611F">
            <w:pPr>
              <w:pStyle w:val="TableParagraph"/>
              <w:spacing w:before="113"/>
              <w:ind w:right="94"/>
              <w:jc w:val="right"/>
              <w:rPr>
                <w:b/>
                <w:sz w:val="18"/>
              </w:rPr>
            </w:pPr>
            <w:r>
              <w:rPr>
                <w:b/>
                <w:w w:val="99"/>
                <w:sz w:val="18"/>
              </w:rPr>
              <w:t>-</w:t>
            </w:r>
          </w:p>
        </w:tc>
        <w:tc>
          <w:tcPr>
            <w:tcW w:w="1215" w:type="dxa"/>
            <w:tcBorders>
              <w:top w:val="single" w:sz="8" w:space="0" w:color="000000"/>
              <w:bottom w:val="single" w:sz="8" w:space="0" w:color="000000"/>
            </w:tcBorders>
          </w:tcPr>
          <w:p w14:paraId="6CFC4F4D" w14:textId="77777777" w:rsidR="00FA4AA8" w:rsidRDefault="0015611F">
            <w:pPr>
              <w:pStyle w:val="TableParagraph"/>
              <w:spacing w:before="113"/>
              <w:ind w:right="82"/>
              <w:jc w:val="right"/>
              <w:rPr>
                <w:b/>
                <w:sz w:val="18"/>
              </w:rPr>
            </w:pPr>
            <w:r>
              <w:rPr>
                <w:b/>
                <w:w w:val="95"/>
                <w:sz w:val="18"/>
              </w:rPr>
              <w:t>169,907</w:t>
            </w:r>
          </w:p>
        </w:tc>
      </w:tr>
      <w:tr w:rsidR="00FA4AA8" w14:paraId="67487163" w14:textId="77777777">
        <w:trPr>
          <w:trHeight w:val="318"/>
        </w:trPr>
        <w:tc>
          <w:tcPr>
            <w:tcW w:w="4516" w:type="dxa"/>
          </w:tcPr>
          <w:p w14:paraId="611D56B6" w14:textId="77777777" w:rsidR="00FA4AA8" w:rsidRDefault="0015611F">
            <w:pPr>
              <w:pStyle w:val="TableParagraph"/>
              <w:spacing w:before="113" w:line="185" w:lineRule="exact"/>
              <w:ind w:left="123"/>
              <w:rPr>
                <w:b/>
                <w:sz w:val="18"/>
              </w:rPr>
            </w:pPr>
            <w:r>
              <w:rPr>
                <w:b/>
                <w:sz w:val="18"/>
              </w:rPr>
              <w:t>Balance at 31 December 2018</w:t>
            </w:r>
          </w:p>
        </w:tc>
        <w:tc>
          <w:tcPr>
            <w:tcW w:w="1474" w:type="dxa"/>
            <w:tcBorders>
              <w:top w:val="single" w:sz="8" w:space="0" w:color="000000"/>
              <w:bottom w:val="single" w:sz="12" w:space="0" w:color="000000"/>
            </w:tcBorders>
          </w:tcPr>
          <w:p w14:paraId="3D9469DF" w14:textId="77777777" w:rsidR="00FA4AA8" w:rsidRDefault="0015611F">
            <w:pPr>
              <w:pStyle w:val="TableParagraph"/>
              <w:spacing w:before="113" w:line="185" w:lineRule="exact"/>
              <w:ind w:right="166"/>
              <w:jc w:val="right"/>
              <w:rPr>
                <w:b/>
                <w:sz w:val="18"/>
              </w:rPr>
            </w:pPr>
            <w:r>
              <w:rPr>
                <w:b/>
                <w:w w:val="99"/>
                <w:sz w:val="18"/>
              </w:rPr>
              <w:t>1</w:t>
            </w:r>
          </w:p>
        </w:tc>
        <w:tc>
          <w:tcPr>
            <w:tcW w:w="1198" w:type="dxa"/>
            <w:tcBorders>
              <w:top w:val="single" w:sz="8" w:space="0" w:color="000000"/>
              <w:bottom w:val="single" w:sz="12" w:space="0" w:color="000000"/>
            </w:tcBorders>
          </w:tcPr>
          <w:p w14:paraId="01AE5D1E" w14:textId="77777777" w:rsidR="00FA4AA8" w:rsidRDefault="0015611F">
            <w:pPr>
              <w:pStyle w:val="TableParagraph"/>
              <w:spacing w:before="113" w:line="185" w:lineRule="exact"/>
              <w:ind w:right="138"/>
              <w:jc w:val="right"/>
              <w:rPr>
                <w:b/>
                <w:sz w:val="18"/>
              </w:rPr>
            </w:pPr>
            <w:r>
              <w:rPr>
                <w:b/>
                <w:w w:val="95"/>
                <w:sz w:val="18"/>
              </w:rPr>
              <w:t>1,501,805</w:t>
            </w:r>
          </w:p>
        </w:tc>
        <w:tc>
          <w:tcPr>
            <w:tcW w:w="1177" w:type="dxa"/>
            <w:tcBorders>
              <w:top w:val="single" w:sz="8" w:space="0" w:color="000000"/>
              <w:bottom w:val="single" w:sz="12" w:space="0" w:color="000000"/>
            </w:tcBorders>
          </w:tcPr>
          <w:p w14:paraId="1936F7DB" w14:textId="77777777" w:rsidR="00FA4AA8" w:rsidRDefault="0015611F">
            <w:pPr>
              <w:pStyle w:val="TableParagraph"/>
              <w:spacing w:before="113" w:line="185" w:lineRule="exact"/>
              <w:ind w:right="91"/>
              <w:jc w:val="right"/>
              <w:rPr>
                <w:b/>
                <w:sz w:val="18"/>
              </w:rPr>
            </w:pPr>
            <w:r>
              <w:rPr>
                <w:b/>
                <w:w w:val="95"/>
                <w:sz w:val="18"/>
              </w:rPr>
              <w:t>195,247</w:t>
            </w:r>
          </w:p>
        </w:tc>
        <w:tc>
          <w:tcPr>
            <w:tcW w:w="1215" w:type="dxa"/>
            <w:tcBorders>
              <w:top w:val="single" w:sz="8" w:space="0" w:color="000000"/>
              <w:bottom w:val="single" w:sz="12" w:space="0" w:color="000000"/>
            </w:tcBorders>
          </w:tcPr>
          <w:p w14:paraId="6CCF49A0" w14:textId="77777777" w:rsidR="00FA4AA8" w:rsidRDefault="0015611F">
            <w:pPr>
              <w:pStyle w:val="TableParagraph"/>
              <w:spacing w:before="113" w:line="185" w:lineRule="exact"/>
              <w:ind w:right="82"/>
              <w:jc w:val="right"/>
              <w:rPr>
                <w:b/>
                <w:sz w:val="18"/>
              </w:rPr>
            </w:pPr>
            <w:r>
              <w:rPr>
                <w:b/>
                <w:w w:val="95"/>
                <w:sz w:val="18"/>
              </w:rPr>
              <w:t>1,697,053</w:t>
            </w:r>
          </w:p>
        </w:tc>
      </w:tr>
    </w:tbl>
    <w:p w14:paraId="6132E351" w14:textId="77777777" w:rsidR="00FA4AA8" w:rsidRDefault="00FA4AA8">
      <w:pPr>
        <w:pStyle w:val="BodyText"/>
        <w:rPr>
          <w:sz w:val="20"/>
        </w:rPr>
      </w:pPr>
    </w:p>
    <w:p w14:paraId="78477A08" w14:textId="77777777" w:rsidR="00FA4AA8" w:rsidRDefault="00FA4AA8">
      <w:pPr>
        <w:pStyle w:val="BodyText"/>
        <w:rPr>
          <w:sz w:val="20"/>
        </w:rPr>
      </w:pPr>
    </w:p>
    <w:p w14:paraId="69217C6A" w14:textId="77777777" w:rsidR="00FA4AA8" w:rsidRDefault="00FA4AA8">
      <w:pPr>
        <w:pStyle w:val="BodyText"/>
        <w:rPr>
          <w:sz w:val="20"/>
        </w:rPr>
      </w:pPr>
    </w:p>
    <w:p w14:paraId="44AEE3EC" w14:textId="77777777" w:rsidR="00FA4AA8" w:rsidRDefault="00FA4AA8">
      <w:pPr>
        <w:pStyle w:val="BodyText"/>
        <w:spacing w:before="2"/>
        <w:rPr>
          <w:sz w:val="19"/>
        </w:rPr>
      </w:pPr>
    </w:p>
    <w:tbl>
      <w:tblPr>
        <w:tblW w:w="0" w:type="auto"/>
        <w:tblInd w:w="198" w:type="dxa"/>
        <w:tblLayout w:type="fixed"/>
        <w:tblCellMar>
          <w:left w:w="0" w:type="dxa"/>
          <w:right w:w="0" w:type="dxa"/>
        </w:tblCellMar>
        <w:tblLook w:val="01E0" w:firstRow="1" w:lastRow="1" w:firstColumn="1" w:lastColumn="1" w:noHBand="0" w:noVBand="0"/>
      </w:tblPr>
      <w:tblGrid>
        <w:gridCol w:w="4443"/>
        <w:gridCol w:w="1474"/>
        <w:gridCol w:w="1198"/>
        <w:gridCol w:w="1177"/>
        <w:gridCol w:w="1215"/>
      </w:tblGrid>
      <w:tr w:rsidR="00FA4AA8" w14:paraId="39F3EF16" w14:textId="77777777">
        <w:trPr>
          <w:trHeight w:val="443"/>
        </w:trPr>
        <w:tc>
          <w:tcPr>
            <w:tcW w:w="4443" w:type="dxa"/>
            <w:vMerge w:val="restart"/>
          </w:tcPr>
          <w:p w14:paraId="046AA06A" w14:textId="77777777" w:rsidR="00FA4AA8" w:rsidRDefault="00FA4AA8">
            <w:pPr>
              <w:pStyle w:val="TableParagraph"/>
              <w:rPr>
                <w:rFonts w:ascii="Times New Roman"/>
                <w:sz w:val="18"/>
              </w:rPr>
            </w:pPr>
          </w:p>
        </w:tc>
        <w:tc>
          <w:tcPr>
            <w:tcW w:w="1474" w:type="dxa"/>
          </w:tcPr>
          <w:p w14:paraId="0998C785" w14:textId="77777777" w:rsidR="00FA4AA8" w:rsidRDefault="00FA4AA8">
            <w:pPr>
              <w:pStyle w:val="TableParagraph"/>
              <w:spacing w:before="5"/>
              <w:rPr>
                <w:sz w:val="17"/>
              </w:rPr>
            </w:pPr>
          </w:p>
          <w:p w14:paraId="452AF7F5" w14:textId="77777777" w:rsidR="00FA4AA8" w:rsidRDefault="0015611F">
            <w:pPr>
              <w:pStyle w:val="TableParagraph"/>
              <w:ind w:right="149"/>
              <w:jc w:val="right"/>
              <w:rPr>
                <w:b/>
                <w:sz w:val="18"/>
              </w:rPr>
            </w:pPr>
            <w:r>
              <w:rPr>
                <w:b/>
                <w:sz w:val="18"/>
              </w:rPr>
              <w:t>Settled fund</w:t>
            </w:r>
          </w:p>
        </w:tc>
        <w:tc>
          <w:tcPr>
            <w:tcW w:w="1198" w:type="dxa"/>
          </w:tcPr>
          <w:p w14:paraId="1C774627" w14:textId="77777777" w:rsidR="00FA4AA8" w:rsidRDefault="0015611F">
            <w:pPr>
              <w:pStyle w:val="TableParagraph"/>
              <w:ind w:left="153" w:right="254" w:firstLine="5"/>
              <w:rPr>
                <w:b/>
                <w:sz w:val="18"/>
              </w:rPr>
            </w:pPr>
            <w:r>
              <w:rPr>
                <w:b/>
                <w:sz w:val="18"/>
              </w:rPr>
              <w:t>Retained Earnings</w:t>
            </w:r>
          </w:p>
        </w:tc>
        <w:tc>
          <w:tcPr>
            <w:tcW w:w="1177" w:type="dxa"/>
          </w:tcPr>
          <w:p w14:paraId="26CAF8F9" w14:textId="77777777" w:rsidR="00FA4AA8" w:rsidRDefault="00FA4AA8">
            <w:pPr>
              <w:pStyle w:val="TableParagraph"/>
              <w:spacing w:before="5"/>
              <w:rPr>
                <w:sz w:val="17"/>
              </w:rPr>
            </w:pPr>
          </w:p>
          <w:p w14:paraId="53BE21C7" w14:textId="77777777" w:rsidR="00FA4AA8" w:rsidRDefault="0015611F">
            <w:pPr>
              <w:pStyle w:val="TableParagraph"/>
              <w:ind w:left="143"/>
              <w:rPr>
                <w:b/>
                <w:sz w:val="18"/>
              </w:rPr>
            </w:pPr>
            <w:r>
              <w:rPr>
                <w:b/>
                <w:sz w:val="18"/>
              </w:rPr>
              <w:t>Reserves</w:t>
            </w:r>
          </w:p>
        </w:tc>
        <w:tc>
          <w:tcPr>
            <w:tcW w:w="1215" w:type="dxa"/>
          </w:tcPr>
          <w:p w14:paraId="4022A769" w14:textId="77777777" w:rsidR="00FA4AA8" w:rsidRDefault="00FA4AA8">
            <w:pPr>
              <w:pStyle w:val="TableParagraph"/>
              <w:spacing w:before="5"/>
              <w:rPr>
                <w:sz w:val="17"/>
              </w:rPr>
            </w:pPr>
          </w:p>
          <w:p w14:paraId="0C7D3200" w14:textId="77777777" w:rsidR="00FA4AA8" w:rsidRDefault="0015611F">
            <w:pPr>
              <w:pStyle w:val="TableParagraph"/>
              <w:ind w:right="85"/>
              <w:jc w:val="right"/>
              <w:rPr>
                <w:b/>
                <w:sz w:val="18"/>
              </w:rPr>
            </w:pPr>
            <w:r>
              <w:rPr>
                <w:b/>
                <w:sz w:val="18"/>
              </w:rPr>
              <w:t>Total Equity</w:t>
            </w:r>
          </w:p>
        </w:tc>
      </w:tr>
      <w:tr w:rsidR="00FA4AA8" w14:paraId="3D052D75" w14:textId="77777777">
        <w:trPr>
          <w:trHeight w:val="269"/>
        </w:trPr>
        <w:tc>
          <w:tcPr>
            <w:tcW w:w="4443" w:type="dxa"/>
            <w:vMerge/>
            <w:tcBorders>
              <w:top w:val="nil"/>
            </w:tcBorders>
          </w:tcPr>
          <w:p w14:paraId="5E27E499" w14:textId="77777777" w:rsidR="00FA4AA8" w:rsidRDefault="00FA4AA8">
            <w:pPr>
              <w:rPr>
                <w:sz w:val="2"/>
                <w:szCs w:val="2"/>
              </w:rPr>
            </w:pPr>
          </w:p>
        </w:tc>
        <w:tc>
          <w:tcPr>
            <w:tcW w:w="1474" w:type="dxa"/>
            <w:tcBorders>
              <w:bottom w:val="single" w:sz="8" w:space="0" w:color="000000"/>
            </w:tcBorders>
          </w:tcPr>
          <w:p w14:paraId="3B79B7F8" w14:textId="77777777" w:rsidR="00FA4AA8" w:rsidRDefault="0015611F">
            <w:pPr>
              <w:pStyle w:val="TableParagraph"/>
              <w:spacing w:before="30"/>
              <w:ind w:left="133"/>
              <w:jc w:val="center"/>
              <w:rPr>
                <w:b/>
                <w:sz w:val="18"/>
              </w:rPr>
            </w:pPr>
            <w:r>
              <w:rPr>
                <w:b/>
                <w:w w:val="99"/>
                <w:sz w:val="18"/>
              </w:rPr>
              <w:t>$</w:t>
            </w:r>
          </w:p>
        </w:tc>
        <w:tc>
          <w:tcPr>
            <w:tcW w:w="1198" w:type="dxa"/>
            <w:tcBorders>
              <w:bottom w:val="single" w:sz="8" w:space="0" w:color="000000"/>
            </w:tcBorders>
          </w:tcPr>
          <w:p w14:paraId="47937EA2" w14:textId="77777777" w:rsidR="00FA4AA8" w:rsidRDefault="0015611F">
            <w:pPr>
              <w:pStyle w:val="TableParagraph"/>
              <w:spacing w:before="30"/>
              <w:ind w:right="116"/>
              <w:jc w:val="center"/>
              <w:rPr>
                <w:b/>
                <w:sz w:val="18"/>
              </w:rPr>
            </w:pPr>
            <w:r>
              <w:rPr>
                <w:b/>
                <w:w w:val="99"/>
                <w:sz w:val="18"/>
              </w:rPr>
              <w:t>$</w:t>
            </w:r>
          </w:p>
        </w:tc>
        <w:tc>
          <w:tcPr>
            <w:tcW w:w="1177" w:type="dxa"/>
            <w:tcBorders>
              <w:bottom w:val="single" w:sz="8" w:space="0" w:color="000000"/>
            </w:tcBorders>
          </w:tcPr>
          <w:p w14:paraId="006DE904" w14:textId="77777777" w:rsidR="00FA4AA8" w:rsidRDefault="0015611F">
            <w:pPr>
              <w:pStyle w:val="TableParagraph"/>
              <w:spacing w:before="30"/>
              <w:ind w:right="43"/>
              <w:jc w:val="center"/>
              <w:rPr>
                <w:b/>
                <w:sz w:val="18"/>
              </w:rPr>
            </w:pPr>
            <w:r>
              <w:rPr>
                <w:b/>
                <w:w w:val="99"/>
                <w:sz w:val="18"/>
              </w:rPr>
              <w:t>$</w:t>
            </w:r>
          </w:p>
        </w:tc>
        <w:tc>
          <w:tcPr>
            <w:tcW w:w="1215" w:type="dxa"/>
            <w:tcBorders>
              <w:bottom w:val="single" w:sz="8" w:space="0" w:color="000000"/>
            </w:tcBorders>
          </w:tcPr>
          <w:p w14:paraId="139101F7" w14:textId="77777777" w:rsidR="00FA4AA8" w:rsidRDefault="0015611F">
            <w:pPr>
              <w:pStyle w:val="TableParagraph"/>
              <w:spacing w:before="30"/>
              <w:ind w:left="10"/>
              <w:jc w:val="center"/>
              <w:rPr>
                <w:b/>
                <w:sz w:val="18"/>
              </w:rPr>
            </w:pPr>
            <w:r>
              <w:rPr>
                <w:b/>
                <w:w w:val="99"/>
                <w:sz w:val="18"/>
              </w:rPr>
              <w:t>$</w:t>
            </w:r>
          </w:p>
        </w:tc>
      </w:tr>
      <w:tr w:rsidR="00FA4AA8" w14:paraId="70388F4B" w14:textId="77777777">
        <w:trPr>
          <w:trHeight w:val="397"/>
        </w:trPr>
        <w:tc>
          <w:tcPr>
            <w:tcW w:w="4443" w:type="dxa"/>
          </w:tcPr>
          <w:p w14:paraId="0AADC6D9" w14:textId="77777777" w:rsidR="00FA4AA8" w:rsidRDefault="0015611F">
            <w:pPr>
              <w:pStyle w:val="TableParagraph"/>
              <w:spacing w:before="28"/>
              <w:ind w:left="50"/>
              <w:rPr>
                <w:b/>
                <w:sz w:val="18"/>
              </w:rPr>
            </w:pPr>
            <w:r>
              <w:rPr>
                <w:b/>
                <w:sz w:val="18"/>
              </w:rPr>
              <w:t>Balance at 1 January 2017</w:t>
            </w:r>
          </w:p>
        </w:tc>
        <w:tc>
          <w:tcPr>
            <w:tcW w:w="1474" w:type="dxa"/>
            <w:tcBorders>
              <w:top w:val="single" w:sz="8" w:space="0" w:color="000000"/>
            </w:tcBorders>
          </w:tcPr>
          <w:p w14:paraId="47B22CD4" w14:textId="77777777" w:rsidR="00FA4AA8" w:rsidRDefault="0015611F">
            <w:pPr>
              <w:pStyle w:val="TableParagraph"/>
              <w:spacing w:before="29"/>
              <w:ind w:right="166"/>
              <w:jc w:val="right"/>
              <w:rPr>
                <w:sz w:val="18"/>
              </w:rPr>
            </w:pPr>
            <w:r>
              <w:rPr>
                <w:w w:val="99"/>
                <w:sz w:val="18"/>
              </w:rPr>
              <w:t>1</w:t>
            </w:r>
          </w:p>
        </w:tc>
        <w:tc>
          <w:tcPr>
            <w:tcW w:w="1198" w:type="dxa"/>
            <w:tcBorders>
              <w:top w:val="single" w:sz="8" w:space="0" w:color="000000"/>
            </w:tcBorders>
          </w:tcPr>
          <w:p w14:paraId="196E8B1F" w14:textId="77777777" w:rsidR="00FA4AA8" w:rsidRDefault="0015611F">
            <w:pPr>
              <w:pStyle w:val="TableParagraph"/>
              <w:spacing w:before="29"/>
              <w:ind w:right="138"/>
              <w:jc w:val="right"/>
              <w:rPr>
                <w:sz w:val="18"/>
              </w:rPr>
            </w:pPr>
            <w:r>
              <w:rPr>
                <w:w w:val="95"/>
                <w:sz w:val="18"/>
              </w:rPr>
              <w:t>1,214,116</w:t>
            </w:r>
          </w:p>
        </w:tc>
        <w:tc>
          <w:tcPr>
            <w:tcW w:w="1177" w:type="dxa"/>
            <w:tcBorders>
              <w:top w:val="single" w:sz="8" w:space="0" w:color="000000"/>
            </w:tcBorders>
          </w:tcPr>
          <w:p w14:paraId="40DBF064" w14:textId="77777777" w:rsidR="00FA4AA8" w:rsidRDefault="0015611F">
            <w:pPr>
              <w:pStyle w:val="TableParagraph"/>
              <w:spacing w:before="29"/>
              <w:ind w:right="91"/>
              <w:jc w:val="right"/>
              <w:rPr>
                <w:sz w:val="18"/>
              </w:rPr>
            </w:pPr>
            <w:r>
              <w:rPr>
                <w:w w:val="95"/>
                <w:sz w:val="18"/>
              </w:rPr>
              <w:t>195,247</w:t>
            </w:r>
          </w:p>
        </w:tc>
        <w:tc>
          <w:tcPr>
            <w:tcW w:w="1215" w:type="dxa"/>
            <w:tcBorders>
              <w:top w:val="single" w:sz="8" w:space="0" w:color="000000"/>
            </w:tcBorders>
          </w:tcPr>
          <w:p w14:paraId="50A1F4C8" w14:textId="77777777" w:rsidR="00FA4AA8" w:rsidRDefault="0015611F">
            <w:pPr>
              <w:pStyle w:val="TableParagraph"/>
              <w:spacing w:before="29"/>
              <w:ind w:right="82"/>
              <w:jc w:val="right"/>
              <w:rPr>
                <w:sz w:val="18"/>
              </w:rPr>
            </w:pPr>
            <w:r>
              <w:rPr>
                <w:w w:val="95"/>
                <w:sz w:val="18"/>
              </w:rPr>
              <w:t>1,409,364</w:t>
            </w:r>
          </w:p>
        </w:tc>
      </w:tr>
      <w:tr w:rsidR="00FA4AA8" w14:paraId="700E154A" w14:textId="77777777">
        <w:trPr>
          <w:trHeight w:val="390"/>
        </w:trPr>
        <w:tc>
          <w:tcPr>
            <w:tcW w:w="4443" w:type="dxa"/>
          </w:tcPr>
          <w:p w14:paraId="44DE2D00" w14:textId="77777777" w:rsidR="00FA4AA8" w:rsidRDefault="0015611F">
            <w:pPr>
              <w:pStyle w:val="TableParagraph"/>
              <w:spacing w:before="155"/>
              <w:ind w:left="50"/>
              <w:rPr>
                <w:sz w:val="18"/>
              </w:rPr>
            </w:pPr>
            <w:r>
              <w:rPr>
                <w:sz w:val="18"/>
              </w:rPr>
              <w:t>Revaluation of property, plant and equipment</w:t>
            </w:r>
          </w:p>
        </w:tc>
        <w:tc>
          <w:tcPr>
            <w:tcW w:w="1474" w:type="dxa"/>
            <w:tcBorders>
              <w:bottom w:val="single" w:sz="8" w:space="0" w:color="000000"/>
            </w:tcBorders>
          </w:tcPr>
          <w:p w14:paraId="1A71437A" w14:textId="77777777" w:rsidR="00FA4AA8" w:rsidRDefault="0015611F">
            <w:pPr>
              <w:pStyle w:val="TableParagraph"/>
              <w:spacing w:before="157"/>
              <w:ind w:right="167"/>
              <w:jc w:val="right"/>
              <w:rPr>
                <w:sz w:val="18"/>
              </w:rPr>
            </w:pPr>
            <w:r>
              <w:rPr>
                <w:w w:val="99"/>
                <w:sz w:val="18"/>
              </w:rPr>
              <w:t>-</w:t>
            </w:r>
          </w:p>
        </w:tc>
        <w:tc>
          <w:tcPr>
            <w:tcW w:w="1198" w:type="dxa"/>
            <w:tcBorders>
              <w:bottom w:val="single" w:sz="8" w:space="0" w:color="000000"/>
            </w:tcBorders>
          </w:tcPr>
          <w:p w14:paraId="06365712" w14:textId="77777777" w:rsidR="00FA4AA8" w:rsidRDefault="0015611F">
            <w:pPr>
              <w:pStyle w:val="TableParagraph"/>
              <w:spacing w:before="157"/>
              <w:ind w:right="141"/>
              <w:jc w:val="right"/>
              <w:rPr>
                <w:sz w:val="18"/>
              </w:rPr>
            </w:pPr>
            <w:r>
              <w:rPr>
                <w:w w:val="99"/>
                <w:sz w:val="18"/>
              </w:rPr>
              <w:t>-</w:t>
            </w:r>
          </w:p>
        </w:tc>
        <w:tc>
          <w:tcPr>
            <w:tcW w:w="1177" w:type="dxa"/>
            <w:tcBorders>
              <w:bottom w:val="single" w:sz="8" w:space="0" w:color="000000"/>
            </w:tcBorders>
          </w:tcPr>
          <w:p w14:paraId="6DB70668" w14:textId="77777777" w:rsidR="00FA4AA8" w:rsidRDefault="0015611F">
            <w:pPr>
              <w:pStyle w:val="TableParagraph"/>
              <w:spacing w:before="157"/>
              <w:ind w:right="94"/>
              <w:jc w:val="right"/>
              <w:rPr>
                <w:sz w:val="18"/>
              </w:rPr>
            </w:pPr>
            <w:r>
              <w:rPr>
                <w:w w:val="99"/>
                <w:sz w:val="18"/>
              </w:rPr>
              <w:t>-</w:t>
            </w:r>
          </w:p>
        </w:tc>
        <w:tc>
          <w:tcPr>
            <w:tcW w:w="1215" w:type="dxa"/>
            <w:tcBorders>
              <w:bottom w:val="single" w:sz="8" w:space="0" w:color="000000"/>
            </w:tcBorders>
          </w:tcPr>
          <w:p w14:paraId="217DBED1" w14:textId="77777777" w:rsidR="00FA4AA8" w:rsidRDefault="0015611F">
            <w:pPr>
              <w:pStyle w:val="TableParagraph"/>
              <w:spacing w:before="157"/>
              <w:ind w:right="85"/>
              <w:jc w:val="right"/>
              <w:rPr>
                <w:sz w:val="18"/>
              </w:rPr>
            </w:pPr>
            <w:r>
              <w:rPr>
                <w:w w:val="99"/>
                <w:sz w:val="18"/>
              </w:rPr>
              <w:t>-</w:t>
            </w:r>
          </w:p>
        </w:tc>
      </w:tr>
      <w:tr w:rsidR="00FA4AA8" w14:paraId="0AF0784E" w14:textId="77777777">
        <w:trPr>
          <w:trHeight w:val="468"/>
        </w:trPr>
        <w:tc>
          <w:tcPr>
            <w:tcW w:w="4443" w:type="dxa"/>
          </w:tcPr>
          <w:p w14:paraId="6753AF04" w14:textId="77777777" w:rsidR="00FA4AA8" w:rsidRDefault="0015611F">
            <w:pPr>
              <w:pStyle w:val="TableParagraph"/>
              <w:spacing w:before="113"/>
              <w:ind w:left="50"/>
              <w:rPr>
                <w:b/>
                <w:sz w:val="18"/>
              </w:rPr>
            </w:pPr>
            <w:r>
              <w:rPr>
                <w:b/>
                <w:sz w:val="18"/>
              </w:rPr>
              <w:t>Other comprehensive income</w:t>
            </w:r>
          </w:p>
        </w:tc>
        <w:tc>
          <w:tcPr>
            <w:tcW w:w="1474" w:type="dxa"/>
            <w:tcBorders>
              <w:top w:val="single" w:sz="8" w:space="0" w:color="000000"/>
            </w:tcBorders>
          </w:tcPr>
          <w:p w14:paraId="106E2577" w14:textId="77777777" w:rsidR="00FA4AA8" w:rsidRDefault="0015611F">
            <w:pPr>
              <w:pStyle w:val="TableParagraph"/>
              <w:spacing w:before="113"/>
              <w:ind w:right="167"/>
              <w:jc w:val="right"/>
              <w:rPr>
                <w:sz w:val="18"/>
              </w:rPr>
            </w:pPr>
            <w:r>
              <w:rPr>
                <w:w w:val="99"/>
                <w:sz w:val="18"/>
              </w:rPr>
              <w:t>-</w:t>
            </w:r>
          </w:p>
        </w:tc>
        <w:tc>
          <w:tcPr>
            <w:tcW w:w="1198" w:type="dxa"/>
            <w:tcBorders>
              <w:top w:val="single" w:sz="8" w:space="0" w:color="000000"/>
            </w:tcBorders>
          </w:tcPr>
          <w:p w14:paraId="6CA0071E" w14:textId="77777777" w:rsidR="00FA4AA8" w:rsidRDefault="0015611F">
            <w:pPr>
              <w:pStyle w:val="TableParagraph"/>
              <w:spacing w:before="113"/>
              <w:ind w:right="141"/>
              <w:jc w:val="right"/>
              <w:rPr>
                <w:sz w:val="18"/>
              </w:rPr>
            </w:pPr>
            <w:r>
              <w:rPr>
                <w:w w:val="99"/>
                <w:sz w:val="18"/>
              </w:rPr>
              <w:t>-</w:t>
            </w:r>
          </w:p>
        </w:tc>
        <w:tc>
          <w:tcPr>
            <w:tcW w:w="1177" w:type="dxa"/>
            <w:tcBorders>
              <w:top w:val="single" w:sz="8" w:space="0" w:color="000000"/>
            </w:tcBorders>
          </w:tcPr>
          <w:p w14:paraId="523DEF47" w14:textId="77777777" w:rsidR="00FA4AA8" w:rsidRDefault="0015611F">
            <w:pPr>
              <w:pStyle w:val="TableParagraph"/>
              <w:spacing w:before="113"/>
              <w:ind w:right="94"/>
              <w:jc w:val="right"/>
              <w:rPr>
                <w:sz w:val="18"/>
              </w:rPr>
            </w:pPr>
            <w:r>
              <w:rPr>
                <w:w w:val="99"/>
                <w:sz w:val="18"/>
              </w:rPr>
              <w:t>-</w:t>
            </w:r>
          </w:p>
        </w:tc>
        <w:tc>
          <w:tcPr>
            <w:tcW w:w="1215" w:type="dxa"/>
            <w:tcBorders>
              <w:top w:val="single" w:sz="8" w:space="0" w:color="000000"/>
            </w:tcBorders>
          </w:tcPr>
          <w:p w14:paraId="2D11477E" w14:textId="77777777" w:rsidR="00FA4AA8" w:rsidRDefault="0015611F">
            <w:pPr>
              <w:pStyle w:val="TableParagraph"/>
              <w:spacing w:before="113"/>
              <w:ind w:right="85"/>
              <w:jc w:val="right"/>
              <w:rPr>
                <w:sz w:val="18"/>
              </w:rPr>
            </w:pPr>
            <w:r>
              <w:rPr>
                <w:w w:val="99"/>
                <w:sz w:val="18"/>
              </w:rPr>
              <w:t>-</w:t>
            </w:r>
          </w:p>
        </w:tc>
      </w:tr>
      <w:tr w:rsidR="00FA4AA8" w14:paraId="61C56013" w14:textId="77777777">
        <w:trPr>
          <w:trHeight w:val="377"/>
        </w:trPr>
        <w:tc>
          <w:tcPr>
            <w:tcW w:w="4443" w:type="dxa"/>
          </w:tcPr>
          <w:p w14:paraId="4643FF68" w14:textId="77777777" w:rsidR="00FA4AA8" w:rsidRDefault="0015611F">
            <w:pPr>
              <w:pStyle w:val="TableParagraph"/>
              <w:spacing w:before="142"/>
              <w:ind w:left="50"/>
              <w:rPr>
                <w:sz w:val="18"/>
              </w:rPr>
            </w:pPr>
            <w:r>
              <w:rPr>
                <w:sz w:val="18"/>
              </w:rPr>
              <w:t>Surplus for the year</w:t>
            </w:r>
          </w:p>
        </w:tc>
        <w:tc>
          <w:tcPr>
            <w:tcW w:w="1474" w:type="dxa"/>
            <w:tcBorders>
              <w:bottom w:val="single" w:sz="8" w:space="0" w:color="000000"/>
            </w:tcBorders>
          </w:tcPr>
          <w:p w14:paraId="39AA2607" w14:textId="77777777" w:rsidR="00FA4AA8" w:rsidRDefault="0015611F">
            <w:pPr>
              <w:pStyle w:val="TableParagraph"/>
              <w:spacing w:before="143"/>
              <w:ind w:right="167"/>
              <w:jc w:val="right"/>
              <w:rPr>
                <w:sz w:val="18"/>
              </w:rPr>
            </w:pPr>
            <w:r>
              <w:rPr>
                <w:w w:val="99"/>
                <w:sz w:val="18"/>
              </w:rPr>
              <w:t>-</w:t>
            </w:r>
          </w:p>
        </w:tc>
        <w:tc>
          <w:tcPr>
            <w:tcW w:w="1198" w:type="dxa"/>
            <w:tcBorders>
              <w:bottom w:val="single" w:sz="8" w:space="0" w:color="000000"/>
            </w:tcBorders>
          </w:tcPr>
          <w:p w14:paraId="4F81ADF0" w14:textId="77777777" w:rsidR="00FA4AA8" w:rsidRDefault="0015611F">
            <w:pPr>
              <w:pStyle w:val="TableParagraph"/>
              <w:spacing w:before="143"/>
              <w:ind w:right="138"/>
              <w:jc w:val="right"/>
              <w:rPr>
                <w:sz w:val="18"/>
              </w:rPr>
            </w:pPr>
            <w:r>
              <w:rPr>
                <w:w w:val="95"/>
                <w:sz w:val="18"/>
              </w:rPr>
              <w:t>117,782</w:t>
            </w:r>
          </w:p>
        </w:tc>
        <w:tc>
          <w:tcPr>
            <w:tcW w:w="1177" w:type="dxa"/>
            <w:tcBorders>
              <w:bottom w:val="single" w:sz="8" w:space="0" w:color="000000"/>
            </w:tcBorders>
          </w:tcPr>
          <w:p w14:paraId="3CFAB065" w14:textId="77777777" w:rsidR="00FA4AA8" w:rsidRDefault="0015611F">
            <w:pPr>
              <w:pStyle w:val="TableParagraph"/>
              <w:spacing w:before="143"/>
              <w:ind w:right="94"/>
              <w:jc w:val="right"/>
              <w:rPr>
                <w:sz w:val="18"/>
              </w:rPr>
            </w:pPr>
            <w:r>
              <w:rPr>
                <w:w w:val="99"/>
                <w:sz w:val="18"/>
              </w:rPr>
              <w:t>-</w:t>
            </w:r>
          </w:p>
        </w:tc>
        <w:tc>
          <w:tcPr>
            <w:tcW w:w="1215" w:type="dxa"/>
            <w:tcBorders>
              <w:bottom w:val="single" w:sz="8" w:space="0" w:color="000000"/>
            </w:tcBorders>
          </w:tcPr>
          <w:p w14:paraId="784DF538" w14:textId="77777777" w:rsidR="00FA4AA8" w:rsidRDefault="0015611F">
            <w:pPr>
              <w:pStyle w:val="TableParagraph"/>
              <w:spacing w:before="143"/>
              <w:ind w:right="83"/>
              <w:jc w:val="right"/>
              <w:rPr>
                <w:sz w:val="18"/>
              </w:rPr>
            </w:pPr>
            <w:r>
              <w:rPr>
                <w:w w:val="95"/>
                <w:sz w:val="18"/>
              </w:rPr>
              <w:t>117,782</w:t>
            </w:r>
          </w:p>
        </w:tc>
      </w:tr>
      <w:tr w:rsidR="00FA4AA8" w14:paraId="6AD20DDC" w14:textId="77777777">
        <w:trPr>
          <w:trHeight w:val="580"/>
        </w:trPr>
        <w:tc>
          <w:tcPr>
            <w:tcW w:w="4443" w:type="dxa"/>
          </w:tcPr>
          <w:p w14:paraId="6C03A71F" w14:textId="77777777" w:rsidR="00FA4AA8" w:rsidRDefault="0015611F">
            <w:pPr>
              <w:pStyle w:val="TableParagraph"/>
              <w:spacing w:before="113"/>
              <w:ind w:left="50"/>
              <w:rPr>
                <w:b/>
                <w:sz w:val="18"/>
              </w:rPr>
            </w:pPr>
            <w:r>
              <w:rPr>
                <w:b/>
                <w:sz w:val="18"/>
              </w:rPr>
              <w:t>Total comprehensive income for the year</w:t>
            </w:r>
          </w:p>
        </w:tc>
        <w:tc>
          <w:tcPr>
            <w:tcW w:w="1474" w:type="dxa"/>
            <w:tcBorders>
              <w:top w:val="single" w:sz="8" w:space="0" w:color="000000"/>
              <w:bottom w:val="single" w:sz="8" w:space="0" w:color="000000"/>
            </w:tcBorders>
          </w:tcPr>
          <w:p w14:paraId="632F3184" w14:textId="77777777" w:rsidR="00FA4AA8" w:rsidRDefault="0015611F">
            <w:pPr>
              <w:pStyle w:val="TableParagraph"/>
              <w:spacing w:before="113"/>
              <w:ind w:right="167"/>
              <w:jc w:val="right"/>
              <w:rPr>
                <w:sz w:val="18"/>
              </w:rPr>
            </w:pPr>
            <w:r>
              <w:rPr>
                <w:w w:val="99"/>
                <w:sz w:val="18"/>
              </w:rPr>
              <w:t>-</w:t>
            </w:r>
          </w:p>
        </w:tc>
        <w:tc>
          <w:tcPr>
            <w:tcW w:w="1198" w:type="dxa"/>
            <w:tcBorders>
              <w:top w:val="single" w:sz="8" w:space="0" w:color="000000"/>
              <w:bottom w:val="single" w:sz="8" w:space="0" w:color="000000"/>
            </w:tcBorders>
          </w:tcPr>
          <w:p w14:paraId="248B8C77" w14:textId="77777777" w:rsidR="00FA4AA8" w:rsidRDefault="0015611F">
            <w:pPr>
              <w:pStyle w:val="TableParagraph"/>
              <w:spacing w:before="113"/>
              <w:ind w:right="138"/>
              <w:jc w:val="right"/>
              <w:rPr>
                <w:sz w:val="18"/>
              </w:rPr>
            </w:pPr>
            <w:r>
              <w:rPr>
                <w:w w:val="95"/>
                <w:sz w:val="18"/>
              </w:rPr>
              <w:t>117,782</w:t>
            </w:r>
          </w:p>
        </w:tc>
        <w:tc>
          <w:tcPr>
            <w:tcW w:w="1177" w:type="dxa"/>
            <w:tcBorders>
              <w:top w:val="single" w:sz="8" w:space="0" w:color="000000"/>
              <w:bottom w:val="single" w:sz="8" w:space="0" w:color="000000"/>
            </w:tcBorders>
          </w:tcPr>
          <w:p w14:paraId="18988035" w14:textId="77777777" w:rsidR="00FA4AA8" w:rsidRDefault="0015611F">
            <w:pPr>
              <w:pStyle w:val="TableParagraph"/>
              <w:spacing w:before="113"/>
              <w:ind w:right="94"/>
              <w:jc w:val="right"/>
              <w:rPr>
                <w:sz w:val="18"/>
              </w:rPr>
            </w:pPr>
            <w:r>
              <w:rPr>
                <w:w w:val="99"/>
                <w:sz w:val="18"/>
              </w:rPr>
              <w:t>-</w:t>
            </w:r>
          </w:p>
        </w:tc>
        <w:tc>
          <w:tcPr>
            <w:tcW w:w="1215" w:type="dxa"/>
            <w:tcBorders>
              <w:top w:val="single" w:sz="8" w:space="0" w:color="000000"/>
              <w:bottom w:val="single" w:sz="8" w:space="0" w:color="000000"/>
            </w:tcBorders>
          </w:tcPr>
          <w:p w14:paraId="2D7B35F7" w14:textId="77777777" w:rsidR="00FA4AA8" w:rsidRDefault="0015611F">
            <w:pPr>
              <w:pStyle w:val="TableParagraph"/>
              <w:spacing w:before="113"/>
              <w:ind w:right="82"/>
              <w:jc w:val="right"/>
              <w:rPr>
                <w:sz w:val="18"/>
              </w:rPr>
            </w:pPr>
            <w:r>
              <w:rPr>
                <w:w w:val="95"/>
                <w:sz w:val="18"/>
              </w:rPr>
              <w:t>117,782</w:t>
            </w:r>
          </w:p>
        </w:tc>
      </w:tr>
      <w:tr w:rsidR="00FA4AA8" w14:paraId="3922ED36" w14:textId="77777777">
        <w:trPr>
          <w:trHeight w:val="318"/>
        </w:trPr>
        <w:tc>
          <w:tcPr>
            <w:tcW w:w="4443" w:type="dxa"/>
          </w:tcPr>
          <w:p w14:paraId="176A958E" w14:textId="77777777" w:rsidR="00FA4AA8" w:rsidRDefault="0015611F">
            <w:pPr>
              <w:pStyle w:val="TableParagraph"/>
              <w:spacing w:before="113" w:line="185" w:lineRule="exact"/>
              <w:ind w:left="50"/>
              <w:rPr>
                <w:b/>
                <w:sz w:val="18"/>
              </w:rPr>
            </w:pPr>
            <w:r>
              <w:rPr>
                <w:b/>
                <w:sz w:val="18"/>
              </w:rPr>
              <w:t>Balance at 31 December 2017</w:t>
            </w:r>
          </w:p>
        </w:tc>
        <w:tc>
          <w:tcPr>
            <w:tcW w:w="1474" w:type="dxa"/>
            <w:tcBorders>
              <w:top w:val="single" w:sz="8" w:space="0" w:color="000000"/>
              <w:bottom w:val="single" w:sz="12" w:space="0" w:color="000000"/>
            </w:tcBorders>
          </w:tcPr>
          <w:p w14:paraId="6EF819F6" w14:textId="77777777" w:rsidR="00FA4AA8" w:rsidRDefault="0015611F">
            <w:pPr>
              <w:pStyle w:val="TableParagraph"/>
              <w:spacing w:before="113" w:line="185" w:lineRule="exact"/>
              <w:ind w:right="166"/>
              <w:jc w:val="right"/>
              <w:rPr>
                <w:sz w:val="18"/>
              </w:rPr>
            </w:pPr>
            <w:r>
              <w:rPr>
                <w:w w:val="99"/>
                <w:sz w:val="18"/>
              </w:rPr>
              <w:t>1</w:t>
            </w:r>
          </w:p>
        </w:tc>
        <w:tc>
          <w:tcPr>
            <w:tcW w:w="1198" w:type="dxa"/>
            <w:tcBorders>
              <w:top w:val="single" w:sz="8" w:space="0" w:color="000000"/>
              <w:bottom w:val="single" w:sz="12" w:space="0" w:color="000000"/>
            </w:tcBorders>
          </w:tcPr>
          <w:p w14:paraId="3F08E71B" w14:textId="77777777" w:rsidR="00FA4AA8" w:rsidRDefault="0015611F">
            <w:pPr>
              <w:pStyle w:val="TableParagraph"/>
              <w:spacing w:before="113" w:line="185" w:lineRule="exact"/>
              <w:ind w:right="138"/>
              <w:jc w:val="right"/>
              <w:rPr>
                <w:sz w:val="18"/>
              </w:rPr>
            </w:pPr>
            <w:r>
              <w:rPr>
                <w:w w:val="95"/>
                <w:sz w:val="18"/>
              </w:rPr>
              <w:t>1,331,898</w:t>
            </w:r>
          </w:p>
        </w:tc>
        <w:tc>
          <w:tcPr>
            <w:tcW w:w="1177" w:type="dxa"/>
            <w:tcBorders>
              <w:top w:val="single" w:sz="8" w:space="0" w:color="000000"/>
              <w:bottom w:val="single" w:sz="12" w:space="0" w:color="000000"/>
            </w:tcBorders>
          </w:tcPr>
          <w:p w14:paraId="5396D0A6" w14:textId="77777777" w:rsidR="00FA4AA8" w:rsidRDefault="0015611F">
            <w:pPr>
              <w:pStyle w:val="TableParagraph"/>
              <w:spacing w:before="113" w:line="185" w:lineRule="exact"/>
              <w:ind w:right="91"/>
              <w:jc w:val="right"/>
              <w:rPr>
                <w:sz w:val="18"/>
              </w:rPr>
            </w:pPr>
            <w:r>
              <w:rPr>
                <w:w w:val="95"/>
                <w:sz w:val="18"/>
              </w:rPr>
              <w:t>195,247</w:t>
            </w:r>
          </w:p>
        </w:tc>
        <w:tc>
          <w:tcPr>
            <w:tcW w:w="1215" w:type="dxa"/>
            <w:tcBorders>
              <w:top w:val="single" w:sz="8" w:space="0" w:color="000000"/>
              <w:bottom w:val="single" w:sz="12" w:space="0" w:color="000000"/>
            </w:tcBorders>
          </w:tcPr>
          <w:p w14:paraId="5BCF41FA" w14:textId="77777777" w:rsidR="00FA4AA8" w:rsidRDefault="0015611F">
            <w:pPr>
              <w:pStyle w:val="TableParagraph"/>
              <w:spacing w:before="113" w:line="185" w:lineRule="exact"/>
              <w:ind w:right="82"/>
              <w:jc w:val="right"/>
              <w:rPr>
                <w:sz w:val="18"/>
              </w:rPr>
            </w:pPr>
            <w:r>
              <w:rPr>
                <w:w w:val="95"/>
                <w:sz w:val="18"/>
              </w:rPr>
              <w:t>1,527,146</w:t>
            </w:r>
          </w:p>
        </w:tc>
      </w:tr>
    </w:tbl>
    <w:p w14:paraId="0BF2FED9" w14:textId="77777777" w:rsidR="00FA4AA8" w:rsidRDefault="00FA4AA8">
      <w:pPr>
        <w:pStyle w:val="BodyText"/>
        <w:rPr>
          <w:sz w:val="20"/>
        </w:rPr>
      </w:pPr>
    </w:p>
    <w:p w14:paraId="0427703A" w14:textId="77777777" w:rsidR="00FA4AA8" w:rsidRDefault="00FA4AA8">
      <w:pPr>
        <w:pStyle w:val="BodyText"/>
        <w:rPr>
          <w:sz w:val="20"/>
        </w:rPr>
      </w:pPr>
    </w:p>
    <w:p w14:paraId="780906AE" w14:textId="77777777" w:rsidR="00FA4AA8" w:rsidRDefault="00FA4AA8">
      <w:pPr>
        <w:pStyle w:val="BodyText"/>
        <w:rPr>
          <w:sz w:val="20"/>
        </w:rPr>
      </w:pPr>
    </w:p>
    <w:p w14:paraId="0D524876" w14:textId="77777777" w:rsidR="00FA4AA8" w:rsidRDefault="00FA4AA8">
      <w:pPr>
        <w:pStyle w:val="BodyText"/>
        <w:rPr>
          <w:sz w:val="20"/>
        </w:rPr>
      </w:pPr>
    </w:p>
    <w:p w14:paraId="28B2851A" w14:textId="77777777" w:rsidR="00FA4AA8" w:rsidRDefault="00FA4AA8">
      <w:pPr>
        <w:pStyle w:val="BodyText"/>
        <w:rPr>
          <w:sz w:val="20"/>
        </w:rPr>
      </w:pPr>
    </w:p>
    <w:p w14:paraId="63A8ECB1" w14:textId="77777777" w:rsidR="00FA4AA8" w:rsidRDefault="00FA4AA8">
      <w:pPr>
        <w:pStyle w:val="BodyText"/>
        <w:rPr>
          <w:sz w:val="20"/>
        </w:rPr>
      </w:pPr>
    </w:p>
    <w:p w14:paraId="628D2F9F" w14:textId="77777777" w:rsidR="00FA4AA8" w:rsidRDefault="00FA4AA8">
      <w:pPr>
        <w:pStyle w:val="BodyText"/>
        <w:rPr>
          <w:sz w:val="20"/>
        </w:rPr>
      </w:pPr>
    </w:p>
    <w:p w14:paraId="5D68C120" w14:textId="77777777" w:rsidR="00FA4AA8" w:rsidRDefault="00FA4AA8">
      <w:pPr>
        <w:pStyle w:val="BodyText"/>
        <w:rPr>
          <w:sz w:val="20"/>
        </w:rPr>
      </w:pPr>
    </w:p>
    <w:p w14:paraId="16C5C4B7" w14:textId="77777777" w:rsidR="00FA4AA8" w:rsidRDefault="00FA4AA8">
      <w:pPr>
        <w:pStyle w:val="BodyText"/>
        <w:rPr>
          <w:sz w:val="20"/>
        </w:rPr>
      </w:pPr>
    </w:p>
    <w:p w14:paraId="3C185D06" w14:textId="77777777" w:rsidR="00FA4AA8" w:rsidRDefault="00FA4AA8">
      <w:pPr>
        <w:pStyle w:val="BodyText"/>
        <w:rPr>
          <w:sz w:val="20"/>
        </w:rPr>
      </w:pPr>
    </w:p>
    <w:p w14:paraId="0DB58008" w14:textId="77777777" w:rsidR="00FA4AA8" w:rsidRDefault="00FA4AA8">
      <w:pPr>
        <w:pStyle w:val="BodyText"/>
        <w:rPr>
          <w:sz w:val="20"/>
        </w:rPr>
      </w:pPr>
    </w:p>
    <w:p w14:paraId="06FD6603" w14:textId="77777777" w:rsidR="00FA4AA8" w:rsidRDefault="00FA4AA8">
      <w:pPr>
        <w:pStyle w:val="BodyText"/>
        <w:rPr>
          <w:sz w:val="20"/>
        </w:rPr>
      </w:pPr>
    </w:p>
    <w:p w14:paraId="423F2FEC" w14:textId="77777777" w:rsidR="00FA4AA8" w:rsidRDefault="00FA4AA8">
      <w:pPr>
        <w:pStyle w:val="BodyText"/>
        <w:rPr>
          <w:sz w:val="20"/>
        </w:rPr>
      </w:pPr>
    </w:p>
    <w:p w14:paraId="0D1E385F" w14:textId="77777777" w:rsidR="00FA4AA8" w:rsidRDefault="00FA4AA8">
      <w:pPr>
        <w:pStyle w:val="BodyText"/>
        <w:rPr>
          <w:sz w:val="20"/>
        </w:rPr>
      </w:pPr>
    </w:p>
    <w:p w14:paraId="5B653A80" w14:textId="77777777" w:rsidR="00FA4AA8" w:rsidRDefault="00FA4AA8">
      <w:pPr>
        <w:pStyle w:val="BodyText"/>
        <w:rPr>
          <w:sz w:val="20"/>
        </w:rPr>
      </w:pPr>
    </w:p>
    <w:p w14:paraId="55821DDC" w14:textId="77777777" w:rsidR="00FA4AA8" w:rsidRDefault="00FA4AA8">
      <w:pPr>
        <w:pStyle w:val="BodyText"/>
        <w:rPr>
          <w:sz w:val="20"/>
        </w:rPr>
      </w:pPr>
    </w:p>
    <w:p w14:paraId="7BC06732" w14:textId="77777777" w:rsidR="00FA4AA8" w:rsidRDefault="00FA4AA8">
      <w:pPr>
        <w:pStyle w:val="BodyText"/>
        <w:rPr>
          <w:sz w:val="20"/>
        </w:rPr>
      </w:pPr>
    </w:p>
    <w:p w14:paraId="1F43E70C" w14:textId="77777777" w:rsidR="00FA4AA8" w:rsidRDefault="00FA4AA8">
      <w:pPr>
        <w:pStyle w:val="BodyText"/>
        <w:rPr>
          <w:sz w:val="20"/>
        </w:rPr>
      </w:pPr>
    </w:p>
    <w:p w14:paraId="0B0370D5" w14:textId="77777777" w:rsidR="00FA4AA8" w:rsidRDefault="00FA4AA8">
      <w:pPr>
        <w:pStyle w:val="BodyText"/>
        <w:rPr>
          <w:sz w:val="20"/>
        </w:rPr>
      </w:pPr>
    </w:p>
    <w:p w14:paraId="1E0C5B12" w14:textId="77777777" w:rsidR="00FA4AA8" w:rsidRDefault="00FA4AA8">
      <w:pPr>
        <w:pStyle w:val="BodyText"/>
        <w:rPr>
          <w:sz w:val="20"/>
        </w:rPr>
      </w:pPr>
    </w:p>
    <w:p w14:paraId="5B0E8426" w14:textId="77777777" w:rsidR="00FA4AA8" w:rsidRDefault="00FA4AA8">
      <w:pPr>
        <w:pStyle w:val="BodyText"/>
        <w:spacing w:before="2"/>
        <w:rPr>
          <w:sz w:val="20"/>
        </w:rPr>
      </w:pPr>
    </w:p>
    <w:p w14:paraId="56F09200" w14:textId="77777777" w:rsidR="00FA4AA8" w:rsidRDefault="0015611F">
      <w:pPr>
        <w:pStyle w:val="BodyText"/>
        <w:ind w:left="194" w:right="50"/>
        <w:jc w:val="center"/>
      </w:pPr>
      <w:r>
        <w:t>The accompanying notes form part of these financial statements.</w:t>
      </w:r>
    </w:p>
    <w:p w14:paraId="661DEEED" w14:textId="77777777" w:rsidR="00FA4AA8" w:rsidRDefault="00FA4AA8">
      <w:pPr>
        <w:jc w:val="center"/>
        <w:sectPr w:rsidR="00FA4AA8">
          <w:pgSz w:w="11910" w:h="16840"/>
          <w:pgMar w:top="1560" w:right="840" w:bottom="720" w:left="840" w:header="1017" w:footer="523" w:gutter="0"/>
          <w:cols w:space="720"/>
        </w:sectPr>
      </w:pPr>
    </w:p>
    <w:p w14:paraId="2563EDA4" w14:textId="77777777" w:rsidR="00FA4AA8" w:rsidRDefault="00FA4AA8">
      <w:pPr>
        <w:pStyle w:val="BodyText"/>
        <w:rPr>
          <w:sz w:val="20"/>
        </w:rPr>
      </w:pPr>
    </w:p>
    <w:p w14:paraId="05A06381" w14:textId="77777777" w:rsidR="00FA4AA8" w:rsidRDefault="00FA4AA8">
      <w:pPr>
        <w:pStyle w:val="BodyText"/>
        <w:spacing w:before="3"/>
        <w:rPr>
          <w:sz w:val="10"/>
        </w:rPr>
      </w:pPr>
    </w:p>
    <w:tbl>
      <w:tblPr>
        <w:tblW w:w="0" w:type="auto"/>
        <w:tblInd w:w="125" w:type="dxa"/>
        <w:tblLayout w:type="fixed"/>
        <w:tblCellMar>
          <w:left w:w="0" w:type="dxa"/>
          <w:right w:w="0" w:type="dxa"/>
        </w:tblCellMar>
        <w:tblLook w:val="01E0" w:firstRow="1" w:lastRow="1" w:firstColumn="1" w:lastColumn="1" w:noHBand="0" w:noVBand="0"/>
      </w:tblPr>
      <w:tblGrid>
        <w:gridCol w:w="5443"/>
        <w:gridCol w:w="2132"/>
        <w:gridCol w:w="1300"/>
        <w:gridCol w:w="1101"/>
      </w:tblGrid>
      <w:tr w:rsidR="00FA4AA8" w14:paraId="289A7547" w14:textId="77777777">
        <w:trPr>
          <w:trHeight w:val="344"/>
        </w:trPr>
        <w:tc>
          <w:tcPr>
            <w:tcW w:w="5443" w:type="dxa"/>
          </w:tcPr>
          <w:p w14:paraId="751604CE" w14:textId="77777777" w:rsidR="00FA4AA8" w:rsidRDefault="0015611F">
            <w:pPr>
              <w:pStyle w:val="TableParagraph"/>
              <w:spacing w:line="312" w:lineRule="exact"/>
              <w:ind w:left="50"/>
              <w:rPr>
                <w:b/>
                <w:sz w:val="28"/>
              </w:rPr>
            </w:pPr>
            <w:r>
              <w:rPr>
                <w:b/>
                <w:sz w:val="28"/>
              </w:rPr>
              <w:t>Statement of cash flows</w:t>
            </w:r>
          </w:p>
        </w:tc>
        <w:tc>
          <w:tcPr>
            <w:tcW w:w="4533" w:type="dxa"/>
            <w:gridSpan w:val="3"/>
            <w:vMerge w:val="restart"/>
          </w:tcPr>
          <w:p w14:paraId="68C354D6" w14:textId="77777777" w:rsidR="00FA4AA8" w:rsidRDefault="00FA4AA8">
            <w:pPr>
              <w:pStyle w:val="TableParagraph"/>
              <w:rPr>
                <w:rFonts w:ascii="Times New Roman"/>
                <w:sz w:val="18"/>
              </w:rPr>
            </w:pPr>
          </w:p>
        </w:tc>
      </w:tr>
      <w:tr w:rsidR="00FA4AA8" w14:paraId="36D4A0EC" w14:textId="77777777">
        <w:trPr>
          <w:trHeight w:val="486"/>
        </w:trPr>
        <w:tc>
          <w:tcPr>
            <w:tcW w:w="5443" w:type="dxa"/>
          </w:tcPr>
          <w:p w14:paraId="4891EEF9" w14:textId="77777777" w:rsidR="00FA4AA8" w:rsidRDefault="0015611F">
            <w:pPr>
              <w:pStyle w:val="TableParagraph"/>
              <w:spacing w:before="25"/>
              <w:ind w:left="50"/>
              <w:rPr>
                <w:b/>
              </w:rPr>
            </w:pPr>
            <w:r>
              <w:rPr>
                <w:b/>
              </w:rPr>
              <w:t>For the Year Ended 31 December 2018</w:t>
            </w:r>
          </w:p>
        </w:tc>
        <w:tc>
          <w:tcPr>
            <w:tcW w:w="4533" w:type="dxa"/>
            <w:gridSpan w:val="3"/>
            <w:vMerge/>
            <w:tcBorders>
              <w:top w:val="nil"/>
            </w:tcBorders>
          </w:tcPr>
          <w:p w14:paraId="2189998E" w14:textId="77777777" w:rsidR="00FA4AA8" w:rsidRDefault="00FA4AA8">
            <w:pPr>
              <w:rPr>
                <w:sz w:val="2"/>
                <w:szCs w:val="2"/>
              </w:rPr>
            </w:pPr>
          </w:p>
        </w:tc>
      </w:tr>
      <w:tr w:rsidR="00FA4AA8" w14:paraId="029BEA6C" w14:textId="77777777">
        <w:trPr>
          <w:trHeight w:val="446"/>
        </w:trPr>
        <w:tc>
          <w:tcPr>
            <w:tcW w:w="5443" w:type="dxa"/>
          </w:tcPr>
          <w:p w14:paraId="162E4A64" w14:textId="77777777" w:rsidR="00FA4AA8" w:rsidRDefault="00FA4AA8">
            <w:pPr>
              <w:pStyle w:val="TableParagraph"/>
              <w:rPr>
                <w:rFonts w:ascii="Times New Roman"/>
                <w:sz w:val="18"/>
              </w:rPr>
            </w:pPr>
          </w:p>
        </w:tc>
        <w:tc>
          <w:tcPr>
            <w:tcW w:w="2132" w:type="dxa"/>
          </w:tcPr>
          <w:p w14:paraId="08E88AD7" w14:textId="77777777" w:rsidR="00FA4AA8" w:rsidRDefault="00FA4AA8">
            <w:pPr>
              <w:pStyle w:val="TableParagraph"/>
              <w:rPr>
                <w:rFonts w:ascii="Times New Roman"/>
                <w:sz w:val="18"/>
              </w:rPr>
            </w:pPr>
          </w:p>
        </w:tc>
        <w:tc>
          <w:tcPr>
            <w:tcW w:w="1300" w:type="dxa"/>
          </w:tcPr>
          <w:p w14:paraId="5C230989" w14:textId="77777777" w:rsidR="00FA4AA8" w:rsidRDefault="00FA4AA8">
            <w:pPr>
              <w:pStyle w:val="TableParagraph"/>
              <w:spacing w:before="7"/>
              <w:rPr>
                <w:sz w:val="17"/>
              </w:rPr>
            </w:pPr>
          </w:p>
          <w:p w14:paraId="4731A5C9" w14:textId="77777777" w:rsidR="00FA4AA8" w:rsidRDefault="0015611F">
            <w:pPr>
              <w:pStyle w:val="TableParagraph"/>
              <w:ind w:left="231"/>
              <w:rPr>
                <w:b/>
                <w:sz w:val="18"/>
              </w:rPr>
            </w:pPr>
            <w:r>
              <w:rPr>
                <w:b/>
                <w:sz w:val="18"/>
              </w:rPr>
              <w:t>2018</w:t>
            </w:r>
          </w:p>
        </w:tc>
        <w:tc>
          <w:tcPr>
            <w:tcW w:w="1101" w:type="dxa"/>
          </w:tcPr>
          <w:p w14:paraId="56B1E1C4" w14:textId="77777777" w:rsidR="00FA4AA8" w:rsidRDefault="00FA4AA8">
            <w:pPr>
              <w:pStyle w:val="TableParagraph"/>
              <w:spacing w:before="7"/>
              <w:rPr>
                <w:sz w:val="17"/>
              </w:rPr>
            </w:pPr>
          </w:p>
          <w:p w14:paraId="012EFC91" w14:textId="77777777" w:rsidR="00FA4AA8" w:rsidRDefault="0015611F">
            <w:pPr>
              <w:pStyle w:val="TableParagraph"/>
              <w:ind w:left="228"/>
              <w:rPr>
                <w:b/>
                <w:sz w:val="18"/>
              </w:rPr>
            </w:pPr>
            <w:r>
              <w:rPr>
                <w:b/>
                <w:sz w:val="18"/>
              </w:rPr>
              <w:t>2017</w:t>
            </w:r>
          </w:p>
        </w:tc>
      </w:tr>
      <w:tr w:rsidR="00FA4AA8" w14:paraId="58EBB741" w14:textId="77777777">
        <w:trPr>
          <w:trHeight w:val="328"/>
        </w:trPr>
        <w:tc>
          <w:tcPr>
            <w:tcW w:w="5443" w:type="dxa"/>
          </w:tcPr>
          <w:p w14:paraId="327CD700" w14:textId="77777777" w:rsidR="00FA4AA8" w:rsidRDefault="00FA4AA8">
            <w:pPr>
              <w:pStyle w:val="TableParagraph"/>
              <w:rPr>
                <w:rFonts w:ascii="Times New Roman"/>
                <w:sz w:val="18"/>
              </w:rPr>
            </w:pPr>
          </w:p>
        </w:tc>
        <w:tc>
          <w:tcPr>
            <w:tcW w:w="2132" w:type="dxa"/>
          </w:tcPr>
          <w:p w14:paraId="7A50EEF4" w14:textId="77777777" w:rsidR="00FA4AA8" w:rsidRDefault="0015611F">
            <w:pPr>
              <w:pStyle w:val="TableParagraph"/>
              <w:spacing w:before="30"/>
              <w:ind w:left="1399"/>
              <w:rPr>
                <w:b/>
                <w:sz w:val="18"/>
              </w:rPr>
            </w:pPr>
            <w:r>
              <w:rPr>
                <w:b/>
                <w:sz w:val="18"/>
              </w:rPr>
              <w:t>Notes</w:t>
            </w:r>
          </w:p>
        </w:tc>
        <w:tc>
          <w:tcPr>
            <w:tcW w:w="1300" w:type="dxa"/>
          </w:tcPr>
          <w:p w14:paraId="0DEBF0EE" w14:textId="77777777" w:rsidR="00FA4AA8" w:rsidRDefault="0015611F">
            <w:pPr>
              <w:pStyle w:val="TableParagraph"/>
              <w:spacing w:before="30"/>
              <w:ind w:left="381"/>
              <w:rPr>
                <w:b/>
                <w:sz w:val="18"/>
              </w:rPr>
            </w:pPr>
            <w:r>
              <w:rPr>
                <w:b/>
                <w:w w:val="99"/>
                <w:sz w:val="18"/>
              </w:rPr>
              <w:t>$</w:t>
            </w:r>
          </w:p>
        </w:tc>
        <w:tc>
          <w:tcPr>
            <w:tcW w:w="1101" w:type="dxa"/>
          </w:tcPr>
          <w:p w14:paraId="2F869415" w14:textId="77777777" w:rsidR="00FA4AA8" w:rsidRDefault="0015611F">
            <w:pPr>
              <w:pStyle w:val="TableParagraph"/>
              <w:spacing w:before="30"/>
              <w:ind w:left="378"/>
              <w:rPr>
                <w:b/>
                <w:sz w:val="18"/>
              </w:rPr>
            </w:pPr>
            <w:r>
              <w:rPr>
                <w:b/>
                <w:w w:val="99"/>
                <w:sz w:val="18"/>
              </w:rPr>
              <w:t>$</w:t>
            </w:r>
          </w:p>
        </w:tc>
      </w:tr>
      <w:tr w:rsidR="00FA4AA8" w14:paraId="40CFA1D9" w14:textId="77777777">
        <w:trPr>
          <w:trHeight w:val="558"/>
        </w:trPr>
        <w:tc>
          <w:tcPr>
            <w:tcW w:w="5443" w:type="dxa"/>
          </w:tcPr>
          <w:p w14:paraId="65E21958" w14:textId="77777777" w:rsidR="00FA4AA8" w:rsidRDefault="0015611F">
            <w:pPr>
              <w:pStyle w:val="TableParagraph"/>
              <w:spacing w:before="85"/>
              <w:ind w:left="93"/>
              <w:rPr>
                <w:b/>
                <w:sz w:val="18"/>
              </w:rPr>
            </w:pPr>
            <w:r>
              <w:rPr>
                <w:b/>
                <w:sz w:val="18"/>
              </w:rPr>
              <w:t>Cash flows from operating activities</w:t>
            </w:r>
          </w:p>
          <w:p w14:paraId="2DF331EA" w14:textId="77777777" w:rsidR="00FA4AA8" w:rsidRDefault="0015611F">
            <w:pPr>
              <w:pStyle w:val="TableParagraph"/>
              <w:spacing w:before="27"/>
              <w:ind w:left="93"/>
              <w:rPr>
                <w:sz w:val="18"/>
              </w:rPr>
            </w:pPr>
            <w:r>
              <w:rPr>
                <w:sz w:val="18"/>
              </w:rPr>
              <w:t>Receipts from customers</w:t>
            </w:r>
          </w:p>
        </w:tc>
        <w:tc>
          <w:tcPr>
            <w:tcW w:w="2132" w:type="dxa"/>
          </w:tcPr>
          <w:p w14:paraId="65CEBBE4" w14:textId="77777777" w:rsidR="00FA4AA8" w:rsidRDefault="00FA4AA8">
            <w:pPr>
              <w:pStyle w:val="TableParagraph"/>
              <w:rPr>
                <w:rFonts w:ascii="Times New Roman"/>
                <w:sz w:val="18"/>
              </w:rPr>
            </w:pPr>
          </w:p>
        </w:tc>
        <w:tc>
          <w:tcPr>
            <w:tcW w:w="1300" w:type="dxa"/>
          </w:tcPr>
          <w:p w14:paraId="470B0A85" w14:textId="77777777" w:rsidR="00FA4AA8" w:rsidRDefault="00FA4AA8">
            <w:pPr>
              <w:pStyle w:val="TableParagraph"/>
              <w:spacing w:before="9"/>
              <w:rPr>
                <w:sz w:val="27"/>
              </w:rPr>
            </w:pPr>
          </w:p>
          <w:p w14:paraId="0D9F715A" w14:textId="77777777" w:rsidR="00FA4AA8" w:rsidRDefault="0015611F">
            <w:pPr>
              <w:pStyle w:val="TableParagraph"/>
              <w:ind w:left="357"/>
              <w:rPr>
                <w:b/>
                <w:sz w:val="18"/>
              </w:rPr>
            </w:pPr>
            <w:r>
              <w:rPr>
                <w:b/>
                <w:sz w:val="18"/>
              </w:rPr>
              <w:t>181,099</w:t>
            </w:r>
          </w:p>
        </w:tc>
        <w:tc>
          <w:tcPr>
            <w:tcW w:w="1101" w:type="dxa"/>
          </w:tcPr>
          <w:p w14:paraId="38CC45CA" w14:textId="77777777" w:rsidR="00FA4AA8" w:rsidRDefault="00FA4AA8">
            <w:pPr>
              <w:pStyle w:val="TableParagraph"/>
              <w:spacing w:before="9"/>
              <w:rPr>
                <w:sz w:val="27"/>
              </w:rPr>
            </w:pPr>
          </w:p>
          <w:p w14:paraId="0F9E23C9" w14:textId="77777777" w:rsidR="00FA4AA8" w:rsidRDefault="0015611F">
            <w:pPr>
              <w:pStyle w:val="TableParagraph"/>
              <w:ind w:right="93"/>
              <w:jc w:val="right"/>
              <w:rPr>
                <w:sz w:val="18"/>
              </w:rPr>
            </w:pPr>
            <w:r>
              <w:rPr>
                <w:w w:val="95"/>
                <w:sz w:val="18"/>
              </w:rPr>
              <w:t>168,357</w:t>
            </w:r>
          </w:p>
        </w:tc>
      </w:tr>
      <w:tr w:rsidR="00FA4AA8" w14:paraId="40295375" w14:textId="77777777">
        <w:trPr>
          <w:trHeight w:val="264"/>
        </w:trPr>
        <w:tc>
          <w:tcPr>
            <w:tcW w:w="5443" w:type="dxa"/>
          </w:tcPr>
          <w:p w14:paraId="7880D4C6" w14:textId="77777777" w:rsidR="00FA4AA8" w:rsidRDefault="0015611F">
            <w:pPr>
              <w:pStyle w:val="TableParagraph"/>
              <w:spacing w:before="25"/>
              <w:ind w:left="93"/>
              <w:rPr>
                <w:sz w:val="18"/>
              </w:rPr>
            </w:pPr>
            <w:r>
              <w:rPr>
                <w:sz w:val="18"/>
              </w:rPr>
              <w:t>Payments to suppliers and employees</w:t>
            </w:r>
          </w:p>
        </w:tc>
        <w:tc>
          <w:tcPr>
            <w:tcW w:w="2132" w:type="dxa"/>
          </w:tcPr>
          <w:p w14:paraId="016FB30F" w14:textId="77777777" w:rsidR="00FA4AA8" w:rsidRDefault="00FA4AA8">
            <w:pPr>
              <w:pStyle w:val="TableParagraph"/>
              <w:rPr>
                <w:rFonts w:ascii="Times New Roman"/>
                <w:sz w:val="18"/>
              </w:rPr>
            </w:pPr>
          </w:p>
        </w:tc>
        <w:tc>
          <w:tcPr>
            <w:tcW w:w="1300" w:type="dxa"/>
          </w:tcPr>
          <w:p w14:paraId="3534F521" w14:textId="77777777" w:rsidR="00FA4AA8" w:rsidRDefault="0015611F">
            <w:pPr>
              <w:pStyle w:val="TableParagraph"/>
              <w:spacing w:before="26"/>
              <w:ind w:left="297"/>
              <w:rPr>
                <w:b/>
                <w:sz w:val="18"/>
              </w:rPr>
            </w:pPr>
            <w:r>
              <w:rPr>
                <w:b/>
                <w:sz w:val="18"/>
              </w:rPr>
              <w:t>(176,789)</w:t>
            </w:r>
          </w:p>
        </w:tc>
        <w:tc>
          <w:tcPr>
            <w:tcW w:w="1101" w:type="dxa"/>
          </w:tcPr>
          <w:p w14:paraId="4BACD30C" w14:textId="77777777" w:rsidR="00FA4AA8" w:rsidRDefault="0015611F">
            <w:pPr>
              <w:pStyle w:val="TableParagraph"/>
              <w:spacing w:before="26"/>
              <w:ind w:right="94"/>
              <w:jc w:val="right"/>
              <w:rPr>
                <w:sz w:val="18"/>
              </w:rPr>
            </w:pPr>
            <w:r>
              <w:rPr>
                <w:w w:val="95"/>
                <w:sz w:val="18"/>
              </w:rPr>
              <w:t>6,751</w:t>
            </w:r>
          </w:p>
        </w:tc>
      </w:tr>
      <w:tr w:rsidR="00FA4AA8" w14:paraId="249F1FAB" w14:textId="77777777">
        <w:trPr>
          <w:trHeight w:val="290"/>
        </w:trPr>
        <w:tc>
          <w:tcPr>
            <w:tcW w:w="5443" w:type="dxa"/>
          </w:tcPr>
          <w:p w14:paraId="0C737471" w14:textId="77777777" w:rsidR="00FA4AA8" w:rsidRDefault="0015611F">
            <w:pPr>
              <w:pStyle w:val="TableParagraph"/>
              <w:spacing w:before="25"/>
              <w:ind w:left="93"/>
              <w:rPr>
                <w:sz w:val="18"/>
              </w:rPr>
            </w:pPr>
            <w:r>
              <w:rPr>
                <w:sz w:val="18"/>
              </w:rPr>
              <w:t>Investment income</w:t>
            </w:r>
          </w:p>
        </w:tc>
        <w:tc>
          <w:tcPr>
            <w:tcW w:w="2132" w:type="dxa"/>
          </w:tcPr>
          <w:p w14:paraId="4446CAB9" w14:textId="77777777" w:rsidR="00FA4AA8" w:rsidRDefault="00FA4AA8">
            <w:pPr>
              <w:pStyle w:val="TableParagraph"/>
              <w:rPr>
                <w:rFonts w:ascii="Times New Roman"/>
                <w:sz w:val="18"/>
              </w:rPr>
            </w:pPr>
          </w:p>
        </w:tc>
        <w:tc>
          <w:tcPr>
            <w:tcW w:w="1300" w:type="dxa"/>
          </w:tcPr>
          <w:p w14:paraId="6ADBF378" w14:textId="77777777" w:rsidR="00FA4AA8" w:rsidRDefault="0015611F">
            <w:pPr>
              <w:pStyle w:val="TableParagraph"/>
              <w:spacing w:before="26"/>
              <w:ind w:left="457"/>
              <w:rPr>
                <w:b/>
                <w:sz w:val="18"/>
              </w:rPr>
            </w:pPr>
            <w:r>
              <w:rPr>
                <w:b/>
                <w:sz w:val="18"/>
              </w:rPr>
              <w:t>16,688</w:t>
            </w:r>
          </w:p>
        </w:tc>
        <w:tc>
          <w:tcPr>
            <w:tcW w:w="1101" w:type="dxa"/>
          </w:tcPr>
          <w:p w14:paraId="131841C0" w14:textId="77777777" w:rsidR="00FA4AA8" w:rsidRDefault="0015611F">
            <w:pPr>
              <w:pStyle w:val="TableParagraph"/>
              <w:spacing w:before="26"/>
              <w:ind w:right="93"/>
              <w:jc w:val="right"/>
              <w:rPr>
                <w:sz w:val="18"/>
              </w:rPr>
            </w:pPr>
            <w:r>
              <w:rPr>
                <w:w w:val="95"/>
                <w:sz w:val="18"/>
              </w:rPr>
              <w:t>15,856</w:t>
            </w:r>
          </w:p>
        </w:tc>
      </w:tr>
    </w:tbl>
    <w:p w14:paraId="078EB073" w14:textId="77777777" w:rsidR="00FA4AA8" w:rsidRDefault="007E2441">
      <w:pPr>
        <w:tabs>
          <w:tab w:val="left" w:pos="8150"/>
          <w:tab w:val="left" w:pos="9347"/>
        </w:tabs>
        <w:spacing w:before="29" w:after="3"/>
        <w:ind w:left="211"/>
        <w:rPr>
          <w:sz w:val="18"/>
        </w:rPr>
      </w:pPr>
      <w:r>
        <w:rPr>
          <w:noProof/>
          <w:lang w:val="en-AU" w:eastAsia="en-AU"/>
        </w:rPr>
        <mc:AlternateContent>
          <mc:Choice Requires="wpg">
            <w:drawing>
              <wp:anchor distT="0" distB="0" distL="114300" distR="114300" simplePos="0" relativeHeight="15804416" behindDoc="0" locked="0" layoutInCell="1" allowOverlap="1" wp14:anchorId="7D701AF7" wp14:editId="50C77ED9">
                <wp:simplePos x="0" y="0"/>
                <wp:positionH relativeFrom="page">
                  <wp:posOffset>5289550</wp:posOffset>
                </wp:positionH>
                <wp:positionV relativeFrom="paragraph">
                  <wp:posOffset>-19050</wp:posOffset>
                </wp:positionV>
                <wp:extent cx="1647825" cy="19050"/>
                <wp:effectExtent l="0" t="0" r="0" b="0"/>
                <wp:wrapNone/>
                <wp:docPr id="871" name="Group 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7825" cy="19050"/>
                          <a:chOff x="8330" y="-30"/>
                          <a:chExt cx="2595" cy="30"/>
                        </a:xfrm>
                      </wpg:grpSpPr>
                      <wps:wsp>
                        <wps:cNvPr id="872" name="Line 687"/>
                        <wps:cNvCnPr>
                          <a:cxnSpLocks noChangeShapeType="1"/>
                        </wps:cNvCnPr>
                        <wps:spPr bwMode="auto">
                          <a:xfrm>
                            <a:off x="8330" y="-29"/>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73" name="Line 686"/>
                        <wps:cNvCnPr>
                          <a:cxnSpLocks noChangeShapeType="1"/>
                        </wps:cNvCnPr>
                        <wps:spPr bwMode="auto">
                          <a:xfrm>
                            <a:off x="8330" y="-28"/>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74" name="Line 685"/>
                        <wps:cNvCnPr>
                          <a:cxnSpLocks noChangeShapeType="1"/>
                        </wps:cNvCnPr>
                        <wps:spPr bwMode="auto">
                          <a:xfrm>
                            <a:off x="8330" y="-27"/>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75" name="Line 684"/>
                        <wps:cNvCnPr>
                          <a:cxnSpLocks noChangeShapeType="1"/>
                        </wps:cNvCnPr>
                        <wps:spPr bwMode="auto">
                          <a:xfrm>
                            <a:off x="8330" y="-26"/>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76" name="Line 683"/>
                        <wps:cNvCnPr>
                          <a:cxnSpLocks noChangeShapeType="1"/>
                        </wps:cNvCnPr>
                        <wps:spPr bwMode="auto">
                          <a:xfrm>
                            <a:off x="8330" y="-24"/>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77" name="Line 682"/>
                        <wps:cNvCnPr>
                          <a:cxnSpLocks noChangeShapeType="1"/>
                        </wps:cNvCnPr>
                        <wps:spPr bwMode="auto">
                          <a:xfrm>
                            <a:off x="8330" y="-23"/>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78" name="Line 681"/>
                        <wps:cNvCnPr>
                          <a:cxnSpLocks noChangeShapeType="1"/>
                        </wps:cNvCnPr>
                        <wps:spPr bwMode="auto">
                          <a:xfrm>
                            <a:off x="8330" y="-22"/>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79" name="Line 680"/>
                        <wps:cNvCnPr>
                          <a:cxnSpLocks noChangeShapeType="1"/>
                        </wps:cNvCnPr>
                        <wps:spPr bwMode="auto">
                          <a:xfrm>
                            <a:off x="8330" y="-21"/>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80" name="Line 679"/>
                        <wps:cNvCnPr>
                          <a:cxnSpLocks noChangeShapeType="1"/>
                        </wps:cNvCnPr>
                        <wps:spPr bwMode="auto">
                          <a:xfrm>
                            <a:off x="8330" y="-20"/>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81" name="Line 678"/>
                        <wps:cNvCnPr>
                          <a:cxnSpLocks noChangeShapeType="1"/>
                        </wps:cNvCnPr>
                        <wps:spPr bwMode="auto">
                          <a:xfrm>
                            <a:off x="8330" y="-18"/>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82" name="Line 677"/>
                        <wps:cNvCnPr>
                          <a:cxnSpLocks noChangeShapeType="1"/>
                        </wps:cNvCnPr>
                        <wps:spPr bwMode="auto">
                          <a:xfrm>
                            <a:off x="8330" y="-17"/>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83" name="Line 676"/>
                        <wps:cNvCnPr>
                          <a:cxnSpLocks noChangeShapeType="1"/>
                        </wps:cNvCnPr>
                        <wps:spPr bwMode="auto">
                          <a:xfrm>
                            <a:off x="8330" y="-16"/>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84" name="Line 675"/>
                        <wps:cNvCnPr>
                          <a:cxnSpLocks noChangeShapeType="1"/>
                        </wps:cNvCnPr>
                        <wps:spPr bwMode="auto">
                          <a:xfrm>
                            <a:off x="8330" y="-15"/>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85" name="Line 674"/>
                        <wps:cNvCnPr>
                          <a:cxnSpLocks noChangeShapeType="1"/>
                        </wps:cNvCnPr>
                        <wps:spPr bwMode="auto">
                          <a:xfrm>
                            <a:off x="8330" y="-14"/>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86" name="Line 673"/>
                        <wps:cNvCnPr>
                          <a:cxnSpLocks noChangeShapeType="1"/>
                        </wps:cNvCnPr>
                        <wps:spPr bwMode="auto">
                          <a:xfrm>
                            <a:off x="8330" y="-12"/>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87" name="Line 672"/>
                        <wps:cNvCnPr>
                          <a:cxnSpLocks noChangeShapeType="1"/>
                        </wps:cNvCnPr>
                        <wps:spPr bwMode="auto">
                          <a:xfrm>
                            <a:off x="8330" y="-11"/>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88" name="Line 671"/>
                        <wps:cNvCnPr>
                          <a:cxnSpLocks noChangeShapeType="1"/>
                        </wps:cNvCnPr>
                        <wps:spPr bwMode="auto">
                          <a:xfrm>
                            <a:off x="8330" y="-10"/>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89" name="Line 670"/>
                        <wps:cNvCnPr>
                          <a:cxnSpLocks noChangeShapeType="1"/>
                        </wps:cNvCnPr>
                        <wps:spPr bwMode="auto">
                          <a:xfrm>
                            <a:off x="8330" y="-9"/>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90" name="Line 669"/>
                        <wps:cNvCnPr>
                          <a:cxnSpLocks noChangeShapeType="1"/>
                        </wps:cNvCnPr>
                        <wps:spPr bwMode="auto">
                          <a:xfrm>
                            <a:off x="8330" y="-8"/>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91" name="Line 668"/>
                        <wps:cNvCnPr>
                          <a:cxnSpLocks noChangeShapeType="1"/>
                        </wps:cNvCnPr>
                        <wps:spPr bwMode="auto">
                          <a:xfrm>
                            <a:off x="8330" y="-6"/>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92" name="Line 667"/>
                        <wps:cNvCnPr>
                          <a:cxnSpLocks noChangeShapeType="1"/>
                        </wps:cNvCnPr>
                        <wps:spPr bwMode="auto">
                          <a:xfrm>
                            <a:off x="8330" y="-5"/>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93" name="Line 666"/>
                        <wps:cNvCnPr>
                          <a:cxnSpLocks noChangeShapeType="1"/>
                        </wps:cNvCnPr>
                        <wps:spPr bwMode="auto">
                          <a:xfrm>
                            <a:off x="8330" y="-4"/>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94" name="Line 665"/>
                        <wps:cNvCnPr>
                          <a:cxnSpLocks noChangeShapeType="1"/>
                        </wps:cNvCnPr>
                        <wps:spPr bwMode="auto">
                          <a:xfrm>
                            <a:off x="8330" y="-3"/>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95" name="Line 664"/>
                        <wps:cNvCnPr>
                          <a:cxnSpLocks noChangeShapeType="1"/>
                        </wps:cNvCnPr>
                        <wps:spPr bwMode="auto">
                          <a:xfrm>
                            <a:off x="8330" y="-2"/>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96" name="Line 663"/>
                        <wps:cNvCnPr>
                          <a:cxnSpLocks noChangeShapeType="1"/>
                        </wps:cNvCnPr>
                        <wps:spPr bwMode="auto">
                          <a:xfrm>
                            <a:off x="8330" y="0"/>
                            <a:ext cx="129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97" name="Line 662"/>
                        <wps:cNvCnPr>
                          <a:cxnSpLocks noChangeShapeType="1"/>
                        </wps:cNvCnPr>
                        <wps:spPr bwMode="auto">
                          <a:xfrm>
                            <a:off x="9628" y="-2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98" name="Line 661"/>
                        <wps:cNvCnPr>
                          <a:cxnSpLocks noChangeShapeType="1"/>
                        </wps:cNvCnPr>
                        <wps:spPr bwMode="auto">
                          <a:xfrm>
                            <a:off x="9628" y="-28"/>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99" name="Line 660"/>
                        <wps:cNvCnPr>
                          <a:cxnSpLocks noChangeShapeType="1"/>
                        </wps:cNvCnPr>
                        <wps:spPr bwMode="auto">
                          <a:xfrm>
                            <a:off x="9628" y="-2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900" name="Line 659"/>
                        <wps:cNvCnPr>
                          <a:cxnSpLocks noChangeShapeType="1"/>
                        </wps:cNvCnPr>
                        <wps:spPr bwMode="auto">
                          <a:xfrm>
                            <a:off x="9628" y="-26"/>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901" name="Line 658"/>
                        <wps:cNvCnPr>
                          <a:cxnSpLocks noChangeShapeType="1"/>
                        </wps:cNvCnPr>
                        <wps:spPr bwMode="auto">
                          <a:xfrm>
                            <a:off x="9628" y="-2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902" name="Line 657"/>
                        <wps:cNvCnPr>
                          <a:cxnSpLocks noChangeShapeType="1"/>
                        </wps:cNvCnPr>
                        <wps:spPr bwMode="auto">
                          <a:xfrm>
                            <a:off x="9628" y="-2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903" name="Line 656"/>
                        <wps:cNvCnPr>
                          <a:cxnSpLocks noChangeShapeType="1"/>
                        </wps:cNvCnPr>
                        <wps:spPr bwMode="auto">
                          <a:xfrm>
                            <a:off x="9628" y="-22"/>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904" name="Line 655"/>
                        <wps:cNvCnPr>
                          <a:cxnSpLocks noChangeShapeType="1"/>
                        </wps:cNvCnPr>
                        <wps:spPr bwMode="auto">
                          <a:xfrm>
                            <a:off x="9628" y="-2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905" name="Line 654"/>
                        <wps:cNvCnPr>
                          <a:cxnSpLocks noChangeShapeType="1"/>
                        </wps:cNvCnPr>
                        <wps:spPr bwMode="auto">
                          <a:xfrm>
                            <a:off x="9628" y="-20"/>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906" name="Line 653"/>
                        <wps:cNvCnPr>
                          <a:cxnSpLocks noChangeShapeType="1"/>
                        </wps:cNvCnPr>
                        <wps:spPr bwMode="auto">
                          <a:xfrm>
                            <a:off x="9628" y="-18"/>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907" name="Line 652"/>
                        <wps:cNvCnPr>
                          <a:cxnSpLocks noChangeShapeType="1"/>
                        </wps:cNvCnPr>
                        <wps:spPr bwMode="auto">
                          <a:xfrm>
                            <a:off x="9628" y="-1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908" name="Line 651"/>
                        <wps:cNvCnPr>
                          <a:cxnSpLocks noChangeShapeType="1"/>
                        </wps:cNvCnPr>
                        <wps:spPr bwMode="auto">
                          <a:xfrm>
                            <a:off x="9628" y="-16"/>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909" name="Line 650"/>
                        <wps:cNvCnPr>
                          <a:cxnSpLocks noChangeShapeType="1"/>
                        </wps:cNvCnPr>
                        <wps:spPr bwMode="auto">
                          <a:xfrm>
                            <a:off x="9628" y="-1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910" name="Line 649"/>
                        <wps:cNvCnPr>
                          <a:cxnSpLocks noChangeShapeType="1"/>
                        </wps:cNvCnPr>
                        <wps:spPr bwMode="auto">
                          <a:xfrm>
                            <a:off x="9628" y="-1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911" name="Line 648"/>
                        <wps:cNvCnPr>
                          <a:cxnSpLocks noChangeShapeType="1"/>
                        </wps:cNvCnPr>
                        <wps:spPr bwMode="auto">
                          <a:xfrm>
                            <a:off x="9628" y="-12"/>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912" name="Line 647"/>
                        <wps:cNvCnPr>
                          <a:cxnSpLocks noChangeShapeType="1"/>
                        </wps:cNvCnPr>
                        <wps:spPr bwMode="auto">
                          <a:xfrm>
                            <a:off x="9628" y="-1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913" name="Line 646"/>
                        <wps:cNvCnPr>
                          <a:cxnSpLocks noChangeShapeType="1"/>
                        </wps:cNvCnPr>
                        <wps:spPr bwMode="auto">
                          <a:xfrm>
                            <a:off x="9628" y="-10"/>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914" name="Line 645"/>
                        <wps:cNvCnPr>
                          <a:cxnSpLocks noChangeShapeType="1"/>
                        </wps:cNvCnPr>
                        <wps:spPr bwMode="auto">
                          <a:xfrm>
                            <a:off x="9628" y="-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915" name="Line 644"/>
                        <wps:cNvCnPr>
                          <a:cxnSpLocks noChangeShapeType="1"/>
                        </wps:cNvCnPr>
                        <wps:spPr bwMode="auto">
                          <a:xfrm>
                            <a:off x="9628" y="-8"/>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916" name="Line 643"/>
                        <wps:cNvCnPr>
                          <a:cxnSpLocks noChangeShapeType="1"/>
                        </wps:cNvCnPr>
                        <wps:spPr bwMode="auto">
                          <a:xfrm>
                            <a:off x="9628" y="-6"/>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917" name="Line 642"/>
                        <wps:cNvCnPr>
                          <a:cxnSpLocks noChangeShapeType="1"/>
                        </wps:cNvCnPr>
                        <wps:spPr bwMode="auto">
                          <a:xfrm>
                            <a:off x="9628" y="-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918" name="Line 641"/>
                        <wps:cNvCnPr>
                          <a:cxnSpLocks noChangeShapeType="1"/>
                        </wps:cNvCnPr>
                        <wps:spPr bwMode="auto">
                          <a:xfrm>
                            <a:off x="9628" y="-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919" name="Line 640"/>
                        <wps:cNvCnPr>
                          <a:cxnSpLocks noChangeShapeType="1"/>
                        </wps:cNvCnPr>
                        <wps:spPr bwMode="auto">
                          <a:xfrm>
                            <a:off x="9628" y="-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920" name="Line 639"/>
                        <wps:cNvCnPr>
                          <a:cxnSpLocks noChangeShapeType="1"/>
                        </wps:cNvCnPr>
                        <wps:spPr bwMode="auto">
                          <a:xfrm>
                            <a:off x="9628" y="-2"/>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921" name="Line 638"/>
                        <wps:cNvCnPr>
                          <a:cxnSpLocks noChangeShapeType="1"/>
                        </wps:cNvCnPr>
                        <wps:spPr bwMode="auto">
                          <a:xfrm>
                            <a:off x="9628" y="0"/>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9441AB" id="Group 637" o:spid="_x0000_s1026" style="position:absolute;margin-left:416.5pt;margin-top:-1.5pt;width:129.75pt;height:1.5pt;z-index:15804416;mso-position-horizontal-relative:page" coordorigin="8330,-30" coordsize="25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">
                <v:line id="Line 687" o:spid="_x0000_s1027" style="position:absolute;visibility:visible;mso-wrap-style:square" from="8330,-29" to="962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" strokeweight=".06pt"/>
                <v:line id="Line 686" o:spid="_x0000_s1028" style="position:absolute;visibility:visible;mso-wrap-style:square" from="8330,-28" to="96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" strokeweight=".06pt"/>
                <v:line id="Line 685" o:spid="_x0000_s1029" style="position:absolute;visibility:visible;mso-wrap-style:square" from="8330,-27" to="96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" strokeweight=".06pt"/>
                <v:line id="Line 684" o:spid="_x0000_s1030" style="position:absolute;visibility:visible;mso-wrap-style:square" from="8330,-26" to="962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" strokeweight=".06pt"/>
                <v:line id="Line 683" o:spid="_x0000_s1031" style="position:absolute;visibility:visible;mso-wrap-style:square" from="8330,-24" to="962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" strokeweight=".06pt"/>
                <v:line id="Line 682" o:spid="_x0000_s1032" style="position:absolute;visibility:visible;mso-wrap-style:square" from="8330,-23" to="962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" strokeweight=".06pt"/>
                <v:line id="Line 681" o:spid="_x0000_s1033" style="position:absolute;visibility:visible;mso-wrap-style:square" from="8330,-22" to="962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" strokeweight=".06pt"/>
                <v:line id="Line 680" o:spid="_x0000_s1034" style="position:absolute;visibility:visible;mso-wrap-style:square" from="8330,-21" to="962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" strokeweight=".06pt"/>
                <v:line id="Line 679" o:spid="_x0000_s1035" style="position:absolute;visibility:visible;mso-wrap-style:square" from="8330,-20" to="962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" strokeweight=".06pt"/>
                <v:line id="Line 678" o:spid="_x0000_s1036" style="position:absolute;visibility:visible;mso-wrap-style:square" from="8330,-18" to="96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" strokeweight=".06pt"/>
                <v:line id="Line 677" o:spid="_x0000_s1037" style="position:absolute;visibility:visible;mso-wrap-style:square" from="8330,-17" to="962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" strokeweight=".06pt"/>
                <v:line id="Line 676" o:spid="_x0000_s1038" style="position:absolute;visibility:visible;mso-wrap-style:square" from="8330,-16" to="962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" strokeweight=".06pt"/>
                <v:line id="Line 675" o:spid="_x0000_s1039" style="position:absolute;visibility:visible;mso-wrap-style:square" from="8330,-15" to="962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" strokeweight=".06pt"/>
                <v:line id="Line 674" o:spid="_x0000_s1040" style="position:absolute;visibility:visible;mso-wrap-style:square" from="8330,-14" to="962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" strokeweight=".06pt"/>
                <v:line id="Line 673" o:spid="_x0000_s1041" style="position:absolute;visibility:visible;mso-wrap-style:square" from="8330,-12" to="962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" strokeweight=".06pt"/>
                <v:line id="Line 672" o:spid="_x0000_s1042" style="position:absolute;visibility:visible;mso-wrap-style:square" from="8330,-11" to="962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" strokeweight=".06pt"/>
                <v:line id="Line 671" o:spid="_x0000_s1043" style="position:absolute;visibility:visible;mso-wrap-style:square" from="8330,-10" to="962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" strokeweight=".06pt"/>
                <v:line id="Line 670" o:spid="_x0000_s1044" style="position:absolute;visibility:visible;mso-wrap-style:square" from="8330,-9" to="96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" strokeweight=".06pt"/>
                <v:line id="Line 669" o:spid="_x0000_s1045" style="position:absolute;visibility:visible;mso-wrap-style:square" from="8330,-8" to="96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" strokeweight=".06pt"/>
                <v:line id="Line 668" o:spid="_x0000_s1046" style="position:absolute;visibility:visible;mso-wrap-style:square" from="8330,-6" to="96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" strokeweight=".06pt"/>
                <v:line id="Line 667" o:spid="_x0000_s1047" style="position:absolute;visibility:visible;mso-wrap-style:square" from="8330,-5" to="96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" strokeweight=".06pt"/>
                <v:line id="Line 666" o:spid="_x0000_s1048" style="position:absolute;visibility:visible;mso-wrap-style:square" from="8330,-4" to="96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" strokeweight=".06pt"/>
                <v:line id="Line 665" o:spid="_x0000_s1049" style="position:absolute;visibility:visible;mso-wrap-style:square" from="8330,-3" to="96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" strokeweight=".06pt"/>
                <v:line id="Line 664" o:spid="_x0000_s1050" style="position:absolute;visibility:visible;mso-wrap-style:square" from="8330,-2" to="96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" strokeweight=".06pt"/>
                <v:line id="Line 663" o:spid="_x0000_s1051" style="position:absolute;visibility:visible;mso-wrap-style:square" from="8330,0" to="9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" strokeweight=".06pt"/>
                <v:line id="Line 662" o:spid="_x0000_s1052" style="position:absolute;visibility:visible;mso-wrap-style:square" from="9628,-29" to="1092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" strokeweight=".06pt"/>
                <v:line id="Line 661" o:spid="_x0000_s1053" style="position:absolute;visibility:visible;mso-wrap-style:square" from="9628,-28" to="1092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" strokeweight=".06pt"/>
                <v:line id="Line 660" o:spid="_x0000_s1054" style="position:absolute;visibility:visible;mso-wrap-style:square" from="9628,-27" to="1092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" strokeweight=".06pt"/>
                <v:line id="Line 659" o:spid="_x0000_s1055" style="position:absolute;visibility:visible;mso-wrap-style:square" from="9628,-26" to="1092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" strokeweight=".06pt"/>
                <v:line id="Line 658" o:spid="_x0000_s1056" style="position:absolute;visibility:visible;mso-wrap-style:square" from="9628,-24" to="1092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" strokeweight=".06pt"/>
                <v:line id="Line 657" o:spid="_x0000_s1057" style="position:absolute;visibility:visible;mso-wrap-style:square" from="9628,-23" to="1092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" strokeweight=".06pt"/>
                <v:line id="Line 656" o:spid="_x0000_s1058" style="position:absolute;visibility:visible;mso-wrap-style:square" from="9628,-22" to="1092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" strokeweight=".06pt"/>
                <v:line id="Line 655" o:spid="_x0000_s1059" style="position:absolute;visibility:visible;mso-wrap-style:square" from="9628,-21" to="1092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" strokeweight=".06pt"/>
                <v:line id="Line 654" o:spid="_x0000_s1060" style="position:absolute;visibility:visible;mso-wrap-style:square" from="9628,-20" to="109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" strokeweight=".06pt"/>
                <v:line id="Line 653" o:spid="_x0000_s1061" style="position:absolute;visibility:visible;mso-wrap-style:square" from="9628,-18" to="109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" strokeweight=".06pt"/>
                <v:line id="Line 652" o:spid="_x0000_s1062" style="position:absolute;visibility:visible;mso-wrap-style:square" from="9628,-17" to="109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" strokeweight=".06pt"/>
                <v:line id="Line 651" o:spid="_x0000_s1063" style="position:absolute;visibility:visible;mso-wrap-style:square" from="9628,-16" to="1092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" strokeweight=".06pt"/>
                <v:line id="Line 650" o:spid="_x0000_s1064" style="position:absolute;visibility:visible;mso-wrap-style:square" from="9628,-15" to="1092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" strokeweight=".06pt"/>
                <v:line id="Line 649" o:spid="_x0000_s1065" style="position:absolute;visibility:visible;mso-wrap-style:square" from="9628,-14" to="1092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" strokeweight=".06pt"/>
                <v:line id="Line 648" o:spid="_x0000_s1066" style="position:absolute;visibility:visible;mso-wrap-style:square" from="9628,-12" to="1092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" strokeweight=".06pt"/>
                <v:line id="Line 647" o:spid="_x0000_s1067" style="position:absolute;visibility:visible;mso-wrap-style:square" from="9628,-11" to="1092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" strokeweight=".06pt"/>
                <v:line id="Line 646" o:spid="_x0000_s1068" style="position:absolute;visibility:visible;mso-wrap-style:square" from="9628,-10" to="109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" strokeweight=".06pt"/>
                <v:line id="Line 645" o:spid="_x0000_s1069" style="position:absolute;visibility:visible;mso-wrap-style:square" from="9628,-9" to="109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" strokeweight=".06pt"/>
                <v:line id="Line 644" o:spid="_x0000_s1070" style="position:absolute;visibility:visible;mso-wrap-style:square" from="9628,-8" to="109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" strokeweight=".06pt"/>
                <v:line id="Line 643" o:spid="_x0000_s1071" style="position:absolute;visibility:visible;mso-wrap-style:square" from="9628,-6" to="109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" strokeweight=".06pt"/>
                <v:line id="Line 642" o:spid="_x0000_s1072" style="position:absolute;visibility:visible;mso-wrap-style:square" from="9628,-5" to="109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" strokeweight=".06pt"/>
                <v:line id="Line 641" o:spid="_x0000_s1073" style="position:absolute;visibility:visible;mso-wrap-style:square" from="9628,-4" to="109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" strokeweight=".06pt"/>
                <v:line id="Line 640" o:spid="_x0000_s1074" style="position:absolute;visibility:visible;mso-wrap-style:square" from="9628,-3" to="109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" strokeweight=".06pt"/>
                <v:line id="Line 639" o:spid="_x0000_s1075" style="position:absolute;visibility:visible;mso-wrap-style:square" from="9628,-2" to="109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" strokeweight=".06pt"/>
                <v:line id="Line 638" o:spid="_x0000_s1076" style="position:absolute;visibility:visible;mso-wrap-style:square" from="9628,0" to="109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" strokeweight=".06pt"/>
                <w10:wrap anchorx="page"/>
              </v:group>
            </w:pict>
          </mc:Fallback>
        </mc:AlternateContent>
      </w:r>
      <w:r w:rsidR="0015611F">
        <w:rPr>
          <w:b/>
          <w:sz w:val="18"/>
        </w:rPr>
        <w:t>Net cash provided by</w:t>
      </w:r>
      <w:r w:rsidR="0015611F">
        <w:rPr>
          <w:b/>
          <w:spacing w:val="-1"/>
          <w:sz w:val="18"/>
        </w:rPr>
        <w:t xml:space="preserve"> </w:t>
      </w:r>
      <w:r w:rsidR="0015611F">
        <w:rPr>
          <w:b/>
          <w:sz w:val="18"/>
        </w:rPr>
        <w:t>operating activities</w:t>
      </w:r>
      <w:r w:rsidR="0015611F">
        <w:rPr>
          <w:b/>
          <w:sz w:val="18"/>
        </w:rPr>
        <w:tab/>
      </w:r>
      <w:r w:rsidR="0015611F">
        <w:rPr>
          <w:b/>
          <w:position w:val="-7"/>
          <w:sz w:val="18"/>
        </w:rPr>
        <w:t>20,998</w:t>
      </w:r>
      <w:r w:rsidR="0015611F">
        <w:rPr>
          <w:b/>
          <w:position w:val="-7"/>
          <w:sz w:val="18"/>
        </w:rPr>
        <w:tab/>
      </w:r>
      <w:r w:rsidR="0015611F">
        <w:rPr>
          <w:position w:val="-7"/>
          <w:sz w:val="18"/>
        </w:rPr>
        <w:t>190,964</w:t>
      </w:r>
    </w:p>
    <w:p w14:paraId="0813F0A4" w14:textId="77777777" w:rsidR="00FA4AA8" w:rsidRDefault="007E2441">
      <w:pPr>
        <w:pStyle w:val="BodyText"/>
        <w:spacing w:line="30" w:lineRule="exact"/>
        <w:ind w:left="7489"/>
        <w:rPr>
          <w:sz w:val="3"/>
        </w:rPr>
      </w:pPr>
      <w:r>
        <w:rPr>
          <w:noProof/>
          <w:sz w:val="3"/>
          <w:lang w:val="en-AU" w:eastAsia="en-AU"/>
        </w:rPr>
        <mc:AlternateContent>
          <mc:Choice Requires="wpg">
            <w:drawing>
              <wp:inline distT="0" distB="0" distL="0" distR="0" wp14:anchorId="105A3442" wp14:editId="6F939141">
                <wp:extent cx="1647825" cy="19050"/>
                <wp:effectExtent l="9525" t="9525" r="9525" b="9525"/>
                <wp:docPr id="820" name="Group 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7825" cy="19050"/>
                          <a:chOff x="0" y="0"/>
                          <a:chExt cx="2595" cy="30"/>
                        </a:xfrm>
                      </wpg:grpSpPr>
                      <wps:wsp>
                        <wps:cNvPr id="821" name="Line 636"/>
                        <wps:cNvCnPr>
                          <a:cxnSpLocks noChangeShapeType="1"/>
                        </wps:cNvCnPr>
                        <wps:spPr bwMode="auto">
                          <a:xfrm>
                            <a:off x="0" y="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22" name="Line 635"/>
                        <wps:cNvCnPr>
                          <a:cxnSpLocks noChangeShapeType="1"/>
                        </wps:cNvCnPr>
                        <wps:spPr bwMode="auto">
                          <a:xfrm>
                            <a:off x="0" y="2"/>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23" name="Line 634"/>
                        <wps:cNvCnPr>
                          <a:cxnSpLocks noChangeShapeType="1"/>
                        </wps:cNvCnPr>
                        <wps:spPr bwMode="auto">
                          <a:xfrm>
                            <a:off x="0" y="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24" name="Line 633"/>
                        <wps:cNvCnPr>
                          <a:cxnSpLocks noChangeShapeType="1"/>
                        </wps:cNvCnPr>
                        <wps:spPr bwMode="auto">
                          <a:xfrm>
                            <a:off x="0" y="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25" name="Line 632"/>
                        <wps:cNvCnPr>
                          <a:cxnSpLocks noChangeShapeType="1"/>
                        </wps:cNvCnPr>
                        <wps:spPr bwMode="auto">
                          <a:xfrm>
                            <a:off x="0" y="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26" name="Line 631"/>
                        <wps:cNvCnPr>
                          <a:cxnSpLocks noChangeShapeType="1"/>
                        </wps:cNvCnPr>
                        <wps:spPr bwMode="auto">
                          <a:xfrm>
                            <a:off x="0" y="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27" name="Line 630"/>
                        <wps:cNvCnPr>
                          <a:cxnSpLocks noChangeShapeType="1"/>
                        </wps:cNvCnPr>
                        <wps:spPr bwMode="auto">
                          <a:xfrm>
                            <a:off x="0" y="8"/>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28" name="Line 629"/>
                        <wps:cNvCnPr>
                          <a:cxnSpLocks noChangeShapeType="1"/>
                        </wps:cNvCnPr>
                        <wps:spPr bwMode="auto">
                          <a:xfrm>
                            <a:off x="0" y="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29" name="Line 628"/>
                        <wps:cNvCnPr>
                          <a:cxnSpLocks noChangeShapeType="1"/>
                        </wps:cNvCnPr>
                        <wps:spPr bwMode="auto">
                          <a:xfrm>
                            <a:off x="0" y="10"/>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30" name="Line 627"/>
                        <wps:cNvCnPr>
                          <a:cxnSpLocks noChangeShapeType="1"/>
                        </wps:cNvCnPr>
                        <wps:spPr bwMode="auto">
                          <a:xfrm>
                            <a:off x="0" y="1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31" name="Line 626"/>
                        <wps:cNvCnPr>
                          <a:cxnSpLocks noChangeShapeType="1"/>
                        </wps:cNvCnPr>
                        <wps:spPr bwMode="auto">
                          <a:xfrm>
                            <a:off x="0" y="1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32" name="Line 625"/>
                        <wps:cNvCnPr>
                          <a:cxnSpLocks noChangeShapeType="1"/>
                        </wps:cNvCnPr>
                        <wps:spPr bwMode="auto">
                          <a:xfrm>
                            <a:off x="0" y="1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33" name="Line 624"/>
                        <wps:cNvCnPr>
                          <a:cxnSpLocks noChangeShapeType="1"/>
                        </wps:cNvCnPr>
                        <wps:spPr bwMode="auto">
                          <a:xfrm>
                            <a:off x="0" y="1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34" name="Line 623"/>
                        <wps:cNvCnPr>
                          <a:cxnSpLocks noChangeShapeType="1"/>
                        </wps:cNvCnPr>
                        <wps:spPr bwMode="auto">
                          <a:xfrm>
                            <a:off x="0" y="16"/>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35" name="Line 622"/>
                        <wps:cNvCnPr>
                          <a:cxnSpLocks noChangeShapeType="1"/>
                        </wps:cNvCnPr>
                        <wps:spPr bwMode="auto">
                          <a:xfrm>
                            <a:off x="0" y="1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36" name="Line 621"/>
                        <wps:cNvCnPr>
                          <a:cxnSpLocks noChangeShapeType="1"/>
                        </wps:cNvCnPr>
                        <wps:spPr bwMode="auto">
                          <a:xfrm>
                            <a:off x="0" y="1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37" name="Line 620"/>
                        <wps:cNvCnPr>
                          <a:cxnSpLocks noChangeShapeType="1"/>
                        </wps:cNvCnPr>
                        <wps:spPr bwMode="auto">
                          <a:xfrm>
                            <a:off x="0" y="20"/>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38" name="Line 619"/>
                        <wps:cNvCnPr>
                          <a:cxnSpLocks noChangeShapeType="1"/>
                        </wps:cNvCnPr>
                        <wps:spPr bwMode="auto">
                          <a:xfrm>
                            <a:off x="0" y="2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39" name="Line 618"/>
                        <wps:cNvCnPr>
                          <a:cxnSpLocks noChangeShapeType="1"/>
                        </wps:cNvCnPr>
                        <wps:spPr bwMode="auto">
                          <a:xfrm>
                            <a:off x="0" y="22"/>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40" name="Line 617"/>
                        <wps:cNvCnPr>
                          <a:cxnSpLocks noChangeShapeType="1"/>
                        </wps:cNvCnPr>
                        <wps:spPr bwMode="auto">
                          <a:xfrm>
                            <a:off x="0" y="2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41" name="Line 616"/>
                        <wps:cNvCnPr>
                          <a:cxnSpLocks noChangeShapeType="1"/>
                        </wps:cNvCnPr>
                        <wps:spPr bwMode="auto">
                          <a:xfrm>
                            <a:off x="0" y="2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42" name="Line 615"/>
                        <wps:cNvCnPr>
                          <a:cxnSpLocks noChangeShapeType="1"/>
                        </wps:cNvCnPr>
                        <wps:spPr bwMode="auto">
                          <a:xfrm>
                            <a:off x="0" y="26"/>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43" name="Line 614"/>
                        <wps:cNvCnPr>
                          <a:cxnSpLocks noChangeShapeType="1"/>
                        </wps:cNvCnPr>
                        <wps:spPr bwMode="auto">
                          <a:xfrm>
                            <a:off x="0" y="2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44" name="Line 613"/>
                        <wps:cNvCnPr>
                          <a:cxnSpLocks noChangeShapeType="1"/>
                        </wps:cNvCnPr>
                        <wps:spPr bwMode="auto">
                          <a:xfrm>
                            <a:off x="0" y="28"/>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45" name="Line 612"/>
                        <wps:cNvCnPr>
                          <a:cxnSpLocks noChangeShapeType="1"/>
                        </wps:cNvCnPr>
                        <wps:spPr bwMode="auto">
                          <a:xfrm>
                            <a:off x="0" y="2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46" name="Line 611"/>
                        <wps:cNvCnPr>
                          <a:cxnSpLocks noChangeShapeType="1"/>
                        </wps:cNvCnPr>
                        <wps:spPr bwMode="auto">
                          <a:xfrm>
                            <a:off x="1297" y="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47" name="Line 610"/>
                        <wps:cNvCnPr>
                          <a:cxnSpLocks noChangeShapeType="1"/>
                        </wps:cNvCnPr>
                        <wps:spPr bwMode="auto">
                          <a:xfrm>
                            <a:off x="1297" y="2"/>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48" name="Line 609"/>
                        <wps:cNvCnPr>
                          <a:cxnSpLocks noChangeShapeType="1"/>
                        </wps:cNvCnPr>
                        <wps:spPr bwMode="auto">
                          <a:xfrm>
                            <a:off x="1297" y="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49" name="Line 608"/>
                        <wps:cNvCnPr>
                          <a:cxnSpLocks noChangeShapeType="1"/>
                        </wps:cNvCnPr>
                        <wps:spPr bwMode="auto">
                          <a:xfrm>
                            <a:off x="1297" y="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50" name="Line 607"/>
                        <wps:cNvCnPr>
                          <a:cxnSpLocks noChangeShapeType="1"/>
                        </wps:cNvCnPr>
                        <wps:spPr bwMode="auto">
                          <a:xfrm>
                            <a:off x="1297" y="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51" name="Line 606"/>
                        <wps:cNvCnPr>
                          <a:cxnSpLocks noChangeShapeType="1"/>
                        </wps:cNvCnPr>
                        <wps:spPr bwMode="auto">
                          <a:xfrm>
                            <a:off x="1297" y="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52" name="Line 605"/>
                        <wps:cNvCnPr>
                          <a:cxnSpLocks noChangeShapeType="1"/>
                        </wps:cNvCnPr>
                        <wps:spPr bwMode="auto">
                          <a:xfrm>
                            <a:off x="1297" y="8"/>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53" name="Line 604"/>
                        <wps:cNvCnPr>
                          <a:cxnSpLocks noChangeShapeType="1"/>
                        </wps:cNvCnPr>
                        <wps:spPr bwMode="auto">
                          <a:xfrm>
                            <a:off x="1297" y="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54" name="Line 603"/>
                        <wps:cNvCnPr>
                          <a:cxnSpLocks noChangeShapeType="1"/>
                        </wps:cNvCnPr>
                        <wps:spPr bwMode="auto">
                          <a:xfrm>
                            <a:off x="1297" y="10"/>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55" name="Line 602"/>
                        <wps:cNvCnPr>
                          <a:cxnSpLocks noChangeShapeType="1"/>
                        </wps:cNvCnPr>
                        <wps:spPr bwMode="auto">
                          <a:xfrm>
                            <a:off x="1297" y="1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56" name="Line 601"/>
                        <wps:cNvCnPr>
                          <a:cxnSpLocks noChangeShapeType="1"/>
                        </wps:cNvCnPr>
                        <wps:spPr bwMode="auto">
                          <a:xfrm>
                            <a:off x="1297" y="1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57" name="Line 600"/>
                        <wps:cNvCnPr>
                          <a:cxnSpLocks noChangeShapeType="1"/>
                        </wps:cNvCnPr>
                        <wps:spPr bwMode="auto">
                          <a:xfrm>
                            <a:off x="1297" y="1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58" name="Line 599"/>
                        <wps:cNvCnPr>
                          <a:cxnSpLocks noChangeShapeType="1"/>
                        </wps:cNvCnPr>
                        <wps:spPr bwMode="auto">
                          <a:xfrm>
                            <a:off x="1297" y="1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59" name="Line 598"/>
                        <wps:cNvCnPr>
                          <a:cxnSpLocks noChangeShapeType="1"/>
                        </wps:cNvCnPr>
                        <wps:spPr bwMode="auto">
                          <a:xfrm>
                            <a:off x="1297" y="16"/>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60" name="Line 597"/>
                        <wps:cNvCnPr>
                          <a:cxnSpLocks noChangeShapeType="1"/>
                        </wps:cNvCnPr>
                        <wps:spPr bwMode="auto">
                          <a:xfrm>
                            <a:off x="1297" y="1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61" name="Line 596"/>
                        <wps:cNvCnPr>
                          <a:cxnSpLocks noChangeShapeType="1"/>
                        </wps:cNvCnPr>
                        <wps:spPr bwMode="auto">
                          <a:xfrm>
                            <a:off x="1297" y="1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62" name="Line 595"/>
                        <wps:cNvCnPr>
                          <a:cxnSpLocks noChangeShapeType="1"/>
                        </wps:cNvCnPr>
                        <wps:spPr bwMode="auto">
                          <a:xfrm>
                            <a:off x="1297" y="20"/>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63" name="Line 594"/>
                        <wps:cNvCnPr>
                          <a:cxnSpLocks noChangeShapeType="1"/>
                        </wps:cNvCnPr>
                        <wps:spPr bwMode="auto">
                          <a:xfrm>
                            <a:off x="1297" y="2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64" name="Line 593"/>
                        <wps:cNvCnPr>
                          <a:cxnSpLocks noChangeShapeType="1"/>
                        </wps:cNvCnPr>
                        <wps:spPr bwMode="auto">
                          <a:xfrm>
                            <a:off x="1297" y="22"/>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65" name="Line 592"/>
                        <wps:cNvCnPr>
                          <a:cxnSpLocks noChangeShapeType="1"/>
                        </wps:cNvCnPr>
                        <wps:spPr bwMode="auto">
                          <a:xfrm>
                            <a:off x="1297" y="2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66" name="Line 591"/>
                        <wps:cNvCnPr>
                          <a:cxnSpLocks noChangeShapeType="1"/>
                        </wps:cNvCnPr>
                        <wps:spPr bwMode="auto">
                          <a:xfrm>
                            <a:off x="1297" y="2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67" name="Line 590"/>
                        <wps:cNvCnPr>
                          <a:cxnSpLocks noChangeShapeType="1"/>
                        </wps:cNvCnPr>
                        <wps:spPr bwMode="auto">
                          <a:xfrm>
                            <a:off x="1297" y="26"/>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68" name="Line 589"/>
                        <wps:cNvCnPr>
                          <a:cxnSpLocks noChangeShapeType="1"/>
                        </wps:cNvCnPr>
                        <wps:spPr bwMode="auto">
                          <a:xfrm>
                            <a:off x="1297" y="2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69" name="Line 588"/>
                        <wps:cNvCnPr>
                          <a:cxnSpLocks noChangeShapeType="1"/>
                        </wps:cNvCnPr>
                        <wps:spPr bwMode="auto">
                          <a:xfrm>
                            <a:off x="1297" y="28"/>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70" name="Line 587"/>
                        <wps:cNvCnPr>
                          <a:cxnSpLocks noChangeShapeType="1"/>
                        </wps:cNvCnPr>
                        <wps:spPr bwMode="auto">
                          <a:xfrm>
                            <a:off x="1297" y="2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B943511" id="Group 586" o:spid="_x0000_s1026" style="width:129.75pt;height:1.5pt;mso-position-horizontal-relative:char;mso-position-vertical-relative:line" coordsize="25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">
                <v:line id="Line 636" o:spid="_x0000_s1027" style="position:absolute;visibility:visible;mso-wrap-style:square" from="0,1" to="12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" strokeweight=".06pt"/>
                <v:line id="Line 635" o:spid="_x0000_s1028" style="position:absolute;visibility:visible;mso-wrap-style:square" from="0,2" to="12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" strokeweight=".06pt"/>
                <v:line id="Line 634" o:spid="_x0000_s1029" style="position:absolute;visibility:visible;mso-wrap-style:square" from="0,3" to="12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" strokeweight=".06pt"/>
                <v:line id="Line 633" o:spid="_x0000_s1030" style="position:absolute;visibility:visible;mso-wrap-style:square" from="0,4" to="12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" strokeweight=".06pt"/>
                <v:line id="Line 632" o:spid="_x0000_s1031" style="position:absolute;visibility:visible;mso-wrap-style:square" from="0,5" to="12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" strokeweight=".06pt"/>
                <v:line id="Line 631" o:spid="_x0000_s1032" style="position:absolute;visibility:visible;mso-wrap-style:square" from="0,7" to="12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" strokeweight=".06pt"/>
                <v:line id="Line 630" o:spid="_x0000_s1033" style="position:absolute;visibility:visible;mso-wrap-style:square" from="0,8" to="12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" strokeweight=".06pt"/>
                <v:line id="Line 629" o:spid="_x0000_s1034" style="position:absolute;visibility:visible;mso-wrap-style:square" from="0,9" to="12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" strokeweight=".06pt"/>
                <v:line id="Line 628" o:spid="_x0000_s1035" style="position:absolute;visibility:visible;mso-wrap-style:square" from="0,10" to="129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" strokeweight=".06pt"/>
                <v:line id="Line 627" o:spid="_x0000_s1036" style="position:absolute;visibility:visible;mso-wrap-style:square" from="0,11" to="129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" strokeweight=".06pt"/>
                <v:line id="Line 626" o:spid="_x0000_s1037" style="position:absolute;visibility:visible;mso-wrap-style:square" from="0,13" to="129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" strokeweight=".06pt"/>
                <v:line id="Line 625" o:spid="_x0000_s1038" style="position:absolute;visibility:visible;mso-wrap-style:square" from="0,14" to="129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" strokeweight=".06pt"/>
                <v:line id="Line 624" o:spid="_x0000_s1039" style="position:absolute;visibility:visible;mso-wrap-style:square" from="0,15" to="129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" strokeweight=".06pt"/>
                <v:line id="Line 623" o:spid="_x0000_s1040" style="position:absolute;visibility:visible;mso-wrap-style:square" from="0,16" to="129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" strokeweight=".06pt"/>
                <v:line id="Line 622" o:spid="_x0000_s1041" style="position:absolute;visibility:visible;mso-wrap-style:square" from="0,17" to="129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" strokeweight=".06pt"/>
                <v:line id="Line 621" o:spid="_x0000_s1042" style="position:absolute;visibility:visible;mso-wrap-style:square" from="0,19" to="129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" strokeweight=".06pt"/>
                <v:line id="Line 620" o:spid="_x0000_s1043" style="position:absolute;visibility:visible;mso-wrap-style:square" from="0,20" to="12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" strokeweight=".06pt"/>
                <v:line id="Line 619" o:spid="_x0000_s1044" style="position:absolute;visibility:visible;mso-wrap-style:square" from="0,21" to="129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" strokeweight=".06pt"/>
                <v:line id="Line 618" o:spid="_x0000_s1045" style="position:absolute;visibility:visible;mso-wrap-style:square" from="0,22" to="129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" strokeweight=".06pt"/>
                <v:line id="Line 617" o:spid="_x0000_s1046" style="position:absolute;visibility:visible;mso-wrap-style:square" from="0,23" to="129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" strokeweight=".06pt"/>
                <v:line id="Line 616" o:spid="_x0000_s1047" style="position:absolute;visibility:visible;mso-wrap-style:square" from="0,25" to="129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" strokeweight=".06pt"/>
                <v:line id="Line 615" o:spid="_x0000_s1048" style="position:absolute;visibility:visible;mso-wrap-style:square" from="0,26" to="129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" strokeweight=".06pt"/>
                <v:line id="Line 614" o:spid="_x0000_s1049" style="position:absolute;visibility:visible;mso-wrap-style:square" from="0,27" to="129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" strokeweight=".06pt"/>
                <v:line id="Line 613" o:spid="_x0000_s1050" style="position:absolute;visibility:visible;mso-wrap-style:square" from="0,28" to="129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" strokeweight=".06pt"/>
                <v:line id="Line 612" o:spid="_x0000_s1051" style="position:absolute;visibility:visible;mso-wrap-style:square" from="0,29" to="129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" strokeweight=".06pt"/>
                <v:line id="Line 611" o:spid="_x0000_s1052" style="position:absolute;visibility:visible;mso-wrap-style:square" from="1297,1" to="25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" strokeweight=".06pt"/>
                <v:line id="Line 610" o:spid="_x0000_s1053" style="position:absolute;visibility:visible;mso-wrap-style:square" from="1297,2" to="25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" strokeweight=".06pt"/>
                <v:line id="Line 609" o:spid="_x0000_s1054" style="position:absolute;visibility:visible;mso-wrap-style:square" from="1297,3" to="25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" strokeweight=".06pt"/>
                <v:line id="Line 608" o:spid="_x0000_s1055" style="position:absolute;visibility:visible;mso-wrap-style:square" from="1297,4" to="2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" strokeweight=".06pt"/>
                <v:line id="Line 607" o:spid="_x0000_s1056" style="position:absolute;visibility:visible;mso-wrap-style:square" from="1297,5" to="25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" strokeweight=".06pt"/>
                <v:line id="Line 606" o:spid="_x0000_s1057" style="position:absolute;visibility:visible;mso-wrap-style:square" from="1297,7" to="25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" strokeweight=".06pt"/>
                <v:line id="Line 605" o:spid="_x0000_s1058" style="position:absolute;visibility:visible;mso-wrap-style:square" from="1297,8" to="25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" strokeweight=".06pt"/>
                <v:line id="Line 604" o:spid="_x0000_s1059" style="position:absolute;visibility:visible;mso-wrap-style:square" from="1297,9" to="25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" strokeweight=".06pt"/>
                <v:line id="Line 603" o:spid="_x0000_s1060" style="position:absolute;visibility:visible;mso-wrap-style:square" from="1297,10" to="259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" strokeweight=".06pt"/>
                <v:line id="Line 602" o:spid="_x0000_s1061" style="position:absolute;visibility:visible;mso-wrap-style:square" from="1297,11" to="259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" strokeweight=".06pt"/>
                <v:line id="Line 601" o:spid="_x0000_s1062" style="position:absolute;visibility:visible;mso-wrap-style:square" from="1297,13" to="259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" strokeweight=".06pt"/>
                <v:line id="Line 600" o:spid="_x0000_s1063" style="position:absolute;visibility:visible;mso-wrap-style:square" from="1297,14" to="259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" strokeweight=".06pt"/>
                <v:line id="Line 599" o:spid="_x0000_s1064" style="position:absolute;visibility:visible;mso-wrap-style:square" from="1297,15" to="259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" strokeweight=".06pt"/>
                <v:line id="Line 598" o:spid="_x0000_s1065" style="position:absolute;visibility:visible;mso-wrap-style:square" from="1297,16" to="259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" strokeweight=".06pt"/>
                <v:line id="Line 597" o:spid="_x0000_s1066" style="position:absolute;visibility:visible;mso-wrap-style:square" from="1297,17" to="259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" strokeweight=".06pt"/>
                <v:line id="Line 596" o:spid="_x0000_s1067" style="position:absolute;visibility:visible;mso-wrap-style:square" from="1297,19" to="259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" strokeweight=".06pt"/>
                <v:line id="Line 595" o:spid="_x0000_s1068" style="position:absolute;visibility:visible;mso-wrap-style:square" from="1297,20" to="259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" strokeweight=".06pt"/>
                <v:line id="Line 594" o:spid="_x0000_s1069" style="position:absolute;visibility:visible;mso-wrap-style:square" from="1297,21" to="259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" strokeweight=".06pt"/>
                <v:line id="Line 593" o:spid="_x0000_s1070" style="position:absolute;visibility:visible;mso-wrap-style:square" from="1297,22" to="259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" strokeweight=".06pt"/>
                <v:line id="Line 592" o:spid="_x0000_s1071" style="position:absolute;visibility:visible;mso-wrap-style:square" from="1297,23" to="259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" strokeweight=".06pt"/>
                <v:line id="Line 591" o:spid="_x0000_s1072" style="position:absolute;visibility:visible;mso-wrap-style:square" from="1297,25" to="259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" strokeweight=".06pt"/>
                <v:line id="Line 590" o:spid="_x0000_s1073" style="position:absolute;visibility:visible;mso-wrap-style:square" from="1297,26" to="259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" strokeweight=".06pt"/>
                <v:line id="Line 589" o:spid="_x0000_s1074" style="position:absolute;visibility:visible;mso-wrap-style:square" from="1297,27" to="259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" strokeweight=".06pt"/>
                <v:line id="Line 588" o:spid="_x0000_s1075" style="position:absolute;visibility:visible;mso-wrap-style:square" from="1297,28" to="259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" strokeweight=".06pt"/>
                <v:line id="Line 587" o:spid="_x0000_s1076" style="position:absolute;visibility:visible;mso-wrap-style:square" from="1297,29" to="259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" strokeweight=".06pt"/>
                <w10:anchorlock/>
              </v:group>
            </w:pict>
          </mc:Fallback>
        </mc:AlternateContent>
      </w:r>
    </w:p>
    <w:p w14:paraId="00037449" w14:textId="77777777" w:rsidR="00FA4AA8" w:rsidRDefault="00FA4AA8">
      <w:pPr>
        <w:pStyle w:val="BodyText"/>
        <w:spacing w:before="4"/>
        <w:rPr>
          <w:sz w:val="27"/>
        </w:rPr>
      </w:pPr>
    </w:p>
    <w:p w14:paraId="1F90CA8C" w14:textId="77777777" w:rsidR="00FA4AA8" w:rsidRDefault="0015611F">
      <w:pPr>
        <w:spacing w:before="95"/>
        <w:ind w:left="212"/>
        <w:rPr>
          <w:b/>
          <w:sz w:val="18"/>
        </w:rPr>
      </w:pPr>
      <w:r>
        <w:rPr>
          <w:b/>
          <w:sz w:val="18"/>
        </w:rPr>
        <w:t>Cash flows from investing activities</w:t>
      </w:r>
    </w:p>
    <w:p w14:paraId="10B70EEB" w14:textId="77777777" w:rsidR="00FA4AA8" w:rsidRDefault="007E2441">
      <w:pPr>
        <w:pStyle w:val="BodyText"/>
        <w:spacing w:line="30" w:lineRule="exact"/>
        <w:ind w:left="7489"/>
        <w:rPr>
          <w:sz w:val="3"/>
        </w:rPr>
      </w:pPr>
      <w:r>
        <w:rPr>
          <w:noProof/>
          <w:sz w:val="3"/>
          <w:lang w:val="en-AU" w:eastAsia="en-AU"/>
        </w:rPr>
        <mc:AlternateContent>
          <mc:Choice Requires="wpg">
            <w:drawing>
              <wp:inline distT="0" distB="0" distL="0" distR="0" wp14:anchorId="0B385D2F" wp14:editId="0C5B7D37">
                <wp:extent cx="1647825" cy="19050"/>
                <wp:effectExtent l="9525" t="9525" r="9525" b="9525"/>
                <wp:docPr id="769" name="Group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7825" cy="19050"/>
                          <a:chOff x="0" y="0"/>
                          <a:chExt cx="2595" cy="30"/>
                        </a:xfrm>
                      </wpg:grpSpPr>
                      <wps:wsp>
                        <wps:cNvPr id="770" name="Line 585"/>
                        <wps:cNvCnPr>
                          <a:cxnSpLocks noChangeShapeType="1"/>
                        </wps:cNvCnPr>
                        <wps:spPr bwMode="auto">
                          <a:xfrm>
                            <a:off x="0" y="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71" name="Line 584"/>
                        <wps:cNvCnPr>
                          <a:cxnSpLocks noChangeShapeType="1"/>
                        </wps:cNvCnPr>
                        <wps:spPr bwMode="auto">
                          <a:xfrm>
                            <a:off x="0" y="2"/>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72" name="Line 583"/>
                        <wps:cNvCnPr>
                          <a:cxnSpLocks noChangeShapeType="1"/>
                        </wps:cNvCnPr>
                        <wps:spPr bwMode="auto">
                          <a:xfrm>
                            <a:off x="0" y="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73" name="Line 582"/>
                        <wps:cNvCnPr>
                          <a:cxnSpLocks noChangeShapeType="1"/>
                        </wps:cNvCnPr>
                        <wps:spPr bwMode="auto">
                          <a:xfrm>
                            <a:off x="0" y="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74" name="Line 581"/>
                        <wps:cNvCnPr>
                          <a:cxnSpLocks noChangeShapeType="1"/>
                        </wps:cNvCnPr>
                        <wps:spPr bwMode="auto">
                          <a:xfrm>
                            <a:off x="0" y="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75" name="Line 580"/>
                        <wps:cNvCnPr>
                          <a:cxnSpLocks noChangeShapeType="1"/>
                        </wps:cNvCnPr>
                        <wps:spPr bwMode="auto">
                          <a:xfrm>
                            <a:off x="0" y="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76" name="Line 579"/>
                        <wps:cNvCnPr>
                          <a:cxnSpLocks noChangeShapeType="1"/>
                        </wps:cNvCnPr>
                        <wps:spPr bwMode="auto">
                          <a:xfrm>
                            <a:off x="0" y="8"/>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77" name="Line 578"/>
                        <wps:cNvCnPr>
                          <a:cxnSpLocks noChangeShapeType="1"/>
                        </wps:cNvCnPr>
                        <wps:spPr bwMode="auto">
                          <a:xfrm>
                            <a:off x="0" y="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78" name="Line 577"/>
                        <wps:cNvCnPr>
                          <a:cxnSpLocks noChangeShapeType="1"/>
                        </wps:cNvCnPr>
                        <wps:spPr bwMode="auto">
                          <a:xfrm>
                            <a:off x="0" y="10"/>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79" name="Line 576"/>
                        <wps:cNvCnPr>
                          <a:cxnSpLocks noChangeShapeType="1"/>
                        </wps:cNvCnPr>
                        <wps:spPr bwMode="auto">
                          <a:xfrm>
                            <a:off x="0" y="1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80" name="Line 575"/>
                        <wps:cNvCnPr>
                          <a:cxnSpLocks noChangeShapeType="1"/>
                        </wps:cNvCnPr>
                        <wps:spPr bwMode="auto">
                          <a:xfrm>
                            <a:off x="0" y="1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81" name="Line 574"/>
                        <wps:cNvCnPr>
                          <a:cxnSpLocks noChangeShapeType="1"/>
                        </wps:cNvCnPr>
                        <wps:spPr bwMode="auto">
                          <a:xfrm>
                            <a:off x="0" y="1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82" name="Line 573"/>
                        <wps:cNvCnPr>
                          <a:cxnSpLocks noChangeShapeType="1"/>
                        </wps:cNvCnPr>
                        <wps:spPr bwMode="auto">
                          <a:xfrm>
                            <a:off x="0" y="1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83" name="Line 572"/>
                        <wps:cNvCnPr>
                          <a:cxnSpLocks noChangeShapeType="1"/>
                        </wps:cNvCnPr>
                        <wps:spPr bwMode="auto">
                          <a:xfrm>
                            <a:off x="0" y="16"/>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84" name="Line 571"/>
                        <wps:cNvCnPr>
                          <a:cxnSpLocks noChangeShapeType="1"/>
                        </wps:cNvCnPr>
                        <wps:spPr bwMode="auto">
                          <a:xfrm>
                            <a:off x="0" y="1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85" name="Line 570"/>
                        <wps:cNvCnPr>
                          <a:cxnSpLocks noChangeShapeType="1"/>
                        </wps:cNvCnPr>
                        <wps:spPr bwMode="auto">
                          <a:xfrm>
                            <a:off x="0" y="1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86" name="Line 569"/>
                        <wps:cNvCnPr>
                          <a:cxnSpLocks noChangeShapeType="1"/>
                        </wps:cNvCnPr>
                        <wps:spPr bwMode="auto">
                          <a:xfrm>
                            <a:off x="0" y="20"/>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87" name="Line 568"/>
                        <wps:cNvCnPr>
                          <a:cxnSpLocks noChangeShapeType="1"/>
                        </wps:cNvCnPr>
                        <wps:spPr bwMode="auto">
                          <a:xfrm>
                            <a:off x="0" y="2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88" name="Line 567"/>
                        <wps:cNvCnPr>
                          <a:cxnSpLocks noChangeShapeType="1"/>
                        </wps:cNvCnPr>
                        <wps:spPr bwMode="auto">
                          <a:xfrm>
                            <a:off x="0" y="22"/>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89" name="Line 566"/>
                        <wps:cNvCnPr>
                          <a:cxnSpLocks noChangeShapeType="1"/>
                        </wps:cNvCnPr>
                        <wps:spPr bwMode="auto">
                          <a:xfrm>
                            <a:off x="0" y="2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90" name="Line 565"/>
                        <wps:cNvCnPr>
                          <a:cxnSpLocks noChangeShapeType="1"/>
                        </wps:cNvCnPr>
                        <wps:spPr bwMode="auto">
                          <a:xfrm>
                            <a:off x="0" y="2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91" name="Line 564"/>
                        <wps:cNvCnPr>
                          <a:cxnSpLocks noChangeShapeType="1"/>
                        </wps:cNvCnPr>
                        <wps:spPr bwMode="auto">
                          <a:xfrm>
                            <a:off x="0" y="26"/>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92" name="Line 563"/>
                        <wps:cNvCnPr>
                          <a:cxnSpLocks noChangeShapeType="1"/>
                        </wps:cNvCnPr>
                        <wps:spPr bwMode="auto">
                          <a:xfrm>
                            <a:off x="0" y="2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93" name="Line 562"/>
                        <wps:cNvCnPr>
                          <a:cxnSpLocks noChangeShapeType="1"/>
                        </wps:cNvCnPr>
                        <wps:spPr bwMode="auto">
                          <a:xfrm>
                            <a:off x="0" y="28"/>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94" name="Line 561"/>
                        <wps:cNvCnPr>
                          <a:cxnSpLocks noChangeShapeType="1"/>
                        </wps:cNvCnPr>
                        <wps:spPr bwMode="auto">
                          <a:xfrm>
                            <a:off x="0" y="2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95" name="Line 560"/>
                        <wps:cNvCnPr>
                          <a:cxnSpLocks noChangeShapeType="1"/>
                        </wps:cNvCnPr>
                        <wps:spPr bwMode="auto">
                          <a:xfrm>
                            <a:off x="1297" y="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96" name="Line 559"/>
                        <wps:cNvCnPr>
                          <a:cxnSpLocks noChangeShapeType="1"/>
                        </wps:cNvCnPr>
                        <wps:spPr bwMode="auto">
                          <a:xfrm>
                            <a:off x="1297" y="2"/>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97" name="Line 558"/>
                        <wps:cNvCnPr>
                          <a:cxnSpLocks noChangeShapeType="1"/>
                        </wps:cNvCnPr>
                        <wps:spPr bwMode="auto">
                          <a:xfrm>
                            <a:off x="1297" y="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98" name="Line 557"/>
                        <wps:cNvCnPr>
                          <a:cxnSpLocks noChangeShapeType="1"/>
                        </wps:cNvCnPr>
                        <wps:spPr bwMode="auto">
                          <a:xfrm>
                            <a:off x="1297" y="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99" name="Line 556"/>
                        <wps:cNvCnPr>
                          <a:cxnSpLocks noChangeShapeType="1"/>
                        </wps:cNvCnPr>
                        <wps:spPr bwMode="auto">
                          <a:xfrm>
                            <a:off x="1297" y="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00" name="Line 555"/>
                        <wps:cNvCnPr>
                          <a:cxnSpLocks noChangeShapeType="1"/>
                        </wps:cNvCnPr>
                        <wps:spPr bwMode="auto">
                          <a:xfrm>
                            <a:off x="1297" y="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01" name="Line 554"/>
                        <wps:cNvCnPr>
                          <a:cxnSpLocks noChangeShapeType="1"/>
                        </wps:cNvCnPr>
                        <wps:spPr bwMode="auto">
                          <a:xfrm>
                            <a:off x="1297" y="8"/>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02" name="Line 553"/>
                        <wps:cNvCnPr>
                          <a:cxnSpLocks noChangeShapeType="1"/>
                        </wps:cNvCnPr>
                        <wps:spPr bwMode="auto">
                          <a:xfrm>
                            <a:off x="1297" y="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03" name="Line 552"/>
                        <wps:cNvCnPr>
                          <a:cxnSpLocks noChangeShapeType="1"/>
                        </wps:cNvCnPr>
                        <wps:spPr bwMode="auto">
                          <a:xfrm>
                            <a:off x="1297" y="10"/>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04" name="Line 551"/>
                        <wps:cNvCnPr>
                          <a:cxnSpLocks noChangeShapeType="1"/>
                        </wps:cNvCnPr>
                        <wps:spPr bwMode="auto">
                          <a:xfrm>
                            <a:off x="1297" y="1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05" name="Line 550"/>
                        <wps:cNvCnPr>
                          <a:cxnSpLocks noChangeShapeType="1"/>
                        </wps:cNvCnPr>
                        <wps:spPr bwMode="auto">
                          <a:xfrm>
                            <a:off x="1297" y="1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06" name="Line 549"/>
                        <wps:cNvCnPr>
                          <a:cxnSpLocks noChangeShapeType="1"/>
                        </wps:cNvCnPr>
                        <wps:spPr bwMode="auto">
                          <a:xfrm>
                            <a:off x="1297" y="1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07" name="Line 548"/>
                        <wps:cNvCnPr>
                          <a:cxnSpLocks noChangeShapeType="1"/>
                        </wps:cNvCnPr>
                        <wps:spPr bwMode="auto">
                          <a:xfrm>
                            <a:off x="1297" y="1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08" name="Line 547"/>
                        <wps:cNvCnPr>
                          <a:cxnSpLocks noChangeShapeType="1"/>
                        </wps:cNvCnPr>
                        <wps:spPr bwMode="auto">
                          <a:xfrm>
                            <a:off x="1297" y="16"/>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09" name="Line 546"/>
                        <wps:cNvCnPr>
                          <a:cxnSpLocks noChangeShapeType="1"/>
                        </wps:cNvCnPr>
                        <wps:spPr bwMode="auto">
                          <a:xfrm>
                            <a:off x="1297" y="1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10" name="Line 545"/>
                        <wps:cNvCnPr>
                          <a:cxnSpLocks noChangeShapeType="1"/>
                        </wps:cNvCnPr>
                        <wps:spPr bwMode="auto">
                          <a:xfrm>
                            <a:off x="1297" y="1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11" name="Line 544"/>
                        <wps:cNvCnPr>
                          <a:cxnSpLocks noChangeShapeType="1"/>
                        </wps:cNvCnPr>
                        <wps:spPr bwMode="auto">
                          <a:xfrm>
                            <a:off x="1297" y="20"/>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12" name="Line 543"/>
                        <wps:cNvCnPr>
                          <a:cxnSpLocks noChangeShapeType="1"/>
                        </wps:cNvCnPr>
                        <wps:spPr bwMode="auto">
                          <a:xfrm>
                            <a:off x="1297" y="2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13" name="Line 542"/>
                        <wps:cNvCnPr>
                          <a:cxnSpLocks noChangeShapeType="1"/>
                        </wps:cNvCnPr>
                        <wps:spPr bwMode="auto">
                          <a:xfrm>
                            <a:off x="1297" y="22"/>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14" name="Line 541"/>
                        <wps:cNvCnPr>
                          <a:cxnSpLocks noChangeShapeType="1"/>
                        </wps:cNvCnPr>
                        <wps:spPr bwMode="auto">
                          <a:xfrm>
                            <a:off x="1297" y="2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15" name="Line 540"/>
                        <wps:cNvCnPr>
                          <a:cxnSpLocks noChangeShapeType="1"/>
                        </wps:cNvCnPr>
                        <wps:spPr bwMode="auto">
                          <a:xfrm>
                            <a:off x="1297" y="2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16" name="Line 539"/>
                        <wps:cNvCnPr>
                          <a:cxnSpLocks noChangeShapeType="1"/>
                        </wps:cNvCnPr>
                        <wps:spPr bwMode="auto">
                          <a:xfrm>
                            <a:off x="1297" y="26"/>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17" name="Line 538"/>
                        <wps:cNvCnPr>
                          <a:cxnSpLocks noChangeShapeType="1"/>
                        </wps:cNvCnPr>
                        <wps:spPr bwMode="auto">
                          <a:xfrm>
                            <a:off x="1297" y="2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18" name="Line 537"/>
                        <wps:cNvCnPr>
                          <a:cxnSpLocks noChangeShapeType="1"/>
                        </wps:cNvCnPr>
                        <wps:spPr bwMode="auto">
                          <a:xfrm>
                            <a:off x="1297" y="28"/>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19" name="Line 536"/>
                        <wps:cNvCnPr>
                          <a:cxnSpLocks noChangeShapeType="1"/>
                        </wps:cNvCnPr>
                        <wps:spPr bwMode="auto">
                          <a:xfrm>
                            <a:off x="1297" y="2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2F61863" id="Group 535" o:spid="_x0000_s1026" style="width:129.75pt;height:1.5pt;mso-position-horizontal-relative:char;mso-position-vertical-relative:line" coordsize="25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">
                <v:line id="Line 585" o:spid="_x0000_s1027" style="position:absolute;visibility:visible;mso-wrap-style:square" from="0,1" to="12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" strokeweight=".06pt"/>
                <v:line id="Line 584" o:spid="_x0000_s1028" style="position:absolute;visibility:visible;mso-wrap-style:square" from="0,2" to="12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" strokeweight=".06pt"/>
                <v:line id="Line 583" o:spid="_x0000_s1029" style="position:absolute;visibility:visible;mso-wrap-style:square" from="0,3" to="12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" strokeweight=".06pt"/>
                <v:line id="Line 582" o:spid="_x0000_s1030" style="position:absolute;visibility:visible;mso-wrap-style:square" from="0,4" to="12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" strokeweight=".06pt"/>
                <v:line id="Line 581" o:spid="_x0000_s1031" style="position:absolute;visibility:visible;mso-wrap-style:square" from="0,5" to="12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" strokeweight=".06pt"/>
                <v:line id="Line 580" o:spid="_x0000_s1032" style="position:absolute;visibility:visible;mso-wrap-style:square" from="0,7" to="12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" strokeweight=".06pt"/>
                <v:line id="Line 579" o:spid="_x0000_s1033" style="position:absolute;visibility:visible;mso-wrap-style:square" from="0,8" to="12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" strokeweight=".06pt"/>
                <v:line id="Line 578" o:spid="_x0000_s1034" style="position:absolute;visibility:visible;mso-wrap-style:square" from="0,9" to="12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" strokeweight=".06pt"/>
                <v:line id="Line 577" o:spid="_x0000_s1035" style="position:absolute;visibility:visible;mso-wrap-style:square" from="0,10" to="129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" strokeweight=".06pt"/>
                <v:line id="Line 576" o:spid="_x0000_s1036" style="position:absolute;visibility:visible;mso-wrap-style:square" from="0,11" to="129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" strokeweight=".06pt"/>
                <v:line id="Line 575" o:spid="_x0000_s1037" style="position:absolute;visibility:visible;mso-wrap-style:square" from="0,13" to="129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" strokeweight=".06pt"/>
                <v:line id="Line 574" o:spid="_x0000_s1038" style="position:absolute;visibility:visible;mso-wrap-style:square" from="0,14" to="129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" strokeweight=".06pt"/>
                <v:line id="Line 573" o:spid="_x0000_s1039" style="position:absolute;visibility:visible;mso-wrap-style:square" from="0,15" to="129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" strokeweight=".06pt"/>
                <v:line id="Line 572" o:spid="_x0000_s1040" style="position:absolute;visibility:visible;mso-wrap-style:square" from="0,16" to="129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" strokeweight=".06pt"/>
                <v:line id="Line 571" o:spid="_x0000_s1041" style="position:absolute;visibility:visible;mso-wrap-style:square" from="0,17" to="129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" strokeweight=".06pt"/>
                <v:line id="Line 570" o:spid="_x0000_s1042" style="position:absolute;visibility:visible;mso-wrap-style:square" from="0,19" to="129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" strokeweight=".06pt"/>
                <v:line id="Line 569" o:spid="_x0000_s1043" style="position:absolute;visibility:visible;mso-wrap-style:square" from="0,20" to="12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" strokeweight=".06pt"/>
                <v:line id="Line 568" o:spid="_x0000_s1044" style="position:absolute;visibility:visible;mso-wrap-style:square" from="0,21" to="129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" strokeweight=".06pt"/>
                <v:line id="Line 567" o:spid="_x0000_s1045" style="position:absolute;visibility:visible;mso-wrap-style:square" from="0,22" to="129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" strokeweight=".06pt"/>
                <v:line id="Line 566" o:spid="_x0000_s1046" style="position:absolute;visibility:visible;mso-wrap-style:square" from="0,23" to="129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" strokeweight=".06pt"/>
                <v:line id="Line 565" o:spid="_x0000_s1047" style="position:absolute;visibility:visible;mso-wrap-style:square" from="0,25" to="129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" strokeweight=".06pt"/>
                <v:line id="Line 564" o:spid="_x0000_s1048" style="position:absolute;visibility:visible;mso-wrap-style:square" from="0,26" to="129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" strokeweight=".06pt"/>
                <v:line id="Line 563" o:spid="_x0000_s1049" style="position:absolute;visibility:visible;mso-wrap-style:square" from="0,27" to="129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" strokeweight=".06pt"/>
                <v:line id="Line 562" o:spid="_x0000_s1050" style="position:absolute;visibility:visible;mso-wrap-style:square" from="0,28" to="129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" strokeweight=".06pt"/>
                <v:line id="Line 561" o:spid="_x0000_s1051" style="position:absolute;visibility:visible;mso-wrap-style:square" from="0,29" to="129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" strokeweight=".06pt"/>
                <v:line id="Line 560" o:spid="_x0000_s1052" style="position:absolute;visibility:visible;mso-wrap-style:square" from="1297,1" to="25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" strokeweight=".06pt"/>
                <v:line id="Line 559" o:spid="_x0000_s1053" style="position:absolute;visibility:visible;mso-wrap-style:square" from="1297,2" to="25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" strokeweight=".06pt"/>
                <v:line id="Line 558" o:spid="_x0000_s1054" style="position:absolute;visibility:visible;mso-wrap-style:square" from="1297,3" to="25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" strokeweight=".06pt"/>
                <v:line id="Line 557" o:spid="_x0000_s1055" style="position:absolute;visibility:visible;mso-wrap-style:square" from="1297,4" to="2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" strokeweight=".06pt"/>
                <v:line id="Line 556" o:spid="_x0000_s1056" style="position:absolute;visibility:visible;mso-wrap-style:square" from="1297,5" to="25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" strokeweight=".06pt"/>
                <v:line id="Line 555" o:spid="_x0000_s1057" style="position:absolute;visibility:visible;mso-wrap-style:square" from="1297,7" to="25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" strokeweight=".06pt"/>
                <v:line id="Line 554" o:spid="_x0000_s1058" style="position:absolute;visibility:visible;mso-wrap-style:square" from="1297,8" to="25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" strokeweight=".06pt"/>
                <v:line id="Line 553" o:spid="_x0000_s1059" style="position:absolute;visibility:visible;mso-wrap-style:square" from="1297,9" to="25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" strokeweight=".06pt"/>
                <v:line id="Line 552" o:spid="_x0000_s1060" style="position:absolute;visibility:visible;mso-wrap-style:square" from="1297,10" to="259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" strokeweight=".06pt"/>
                <v:line id="Line 551" o:spid="_x0000_s1061" style="position:absolute;visibility:visible;mso-wrap-style:square" from="1297,11" to="259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" strokeweight=".06pt"/>
                <v:line id="Line 550" o:spid="_x0000_s1062" style="position:absolute;visibility:visible;mso-wrap-style:square" from="1297,13" to="259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" strokeweight=".06pt"/>
                <v:line id="Line 549" o:spid="_x0000_s1063" style="position:absolute;visibility:visible;mso-wrap-style:square" from="1297,14" to="259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" strokeweight=".06pt"/>
                <v:line id="Line 548" o:spid="_x0000_s1064" style="position:absolute;visibility:visible;mso-wrap-style:square" from="1297,15" to="259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" strokeweight=".06pt"/>
                <v:line id="Line 547" o:spid="_x0000_s1065" style="position:absolute;visibility:visible;mso-wrap-style:square" from="1297,16" to="259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" strokeweight=".06pt"/>
                <v:line id="Line 546" o:spid="_x0000_s1066" style="position:absolute;visibility:visible;mso-wrap-style:square" from="1297,17" to="259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" strokeweight=".06pt"/>
                <v:line id="Line 545" o:spid="_x0000_s1067" style="position:absolute;visibility:visible;mso-wrap-style:square" from="1297,19" to="259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" strokeweight=".06pt"/>
                <v:line id="Line 544" o:spid="_x0000_s1068" style="position:absolute;visibility:visible;mso-wrap-style:square" from="1297,20" to="259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" strokeweight=".06pt"/>
                <v:line id="Line 543" o:spid="_x0000_s1069" style="position:absolute;visibility:visible;mso-wrap-style:square" from="1297,21" to="259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" strokeweight=".06pt"/>
                <v:line id="Line 542" o:spid="_x0000_s1070" style="position:absolute;visibility:visible;mso-wrap-style:square" from="1297,22" to="259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" strokeweight=".06pt"/>
                <v:line id="Line 541" o:spid="_x0000_s1071" style="position:absolute;visibility:visible;mso-wrap-style:square" from="1297,23" to="259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" strokeweight=".06pt"/>
                <v:line id="Line 540" o:spid="_x0000_s1072" style="position:absolute;visibility:visible;mso-wrap-style:square" from="1297,25" to="259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" strokeweight=".06pt"/>
                <v:line id="Line 539" o:spid="_x0000_s1073" style="position:absolute;visibility:visible;mso-wrap-style:square" from="1297,26" to="259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" strokeweight=".06pt"/>
                <v:line id="Line 538" o:spid="_x0000_s1074" style="position:absolute;visibility:visible;mso-wrap-style:square" from="1297,27" to="259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" strokeweight=".06pt"/>
                <v:line id="Line 537" o:spid="_x0000_s1075" style="position:absolute;visibility:visible;mso-wrap-style:square" from="1297,28" to="259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" strokeweight=".06pt"/>
                <v:line id="Line 536" o:spid="_x0000_s1076" style="position:absolute;visibility:visible;mso-wrap-style:square" from="1297,29" to="259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" strokeweight=".06pt"/>
                <w10:anchorlock/>
              </v:group>
            </w:pict>
          </mc:Fallback>
        </mc:AlternateContent>
      </w:r>
    </w:p>
    <w:p w14:paraId="59C3F532" w14:textId="77777777" w:rsidR="00FA4AA8" w:rsidRDefault="0015611F">
      <w:pPr>
        <w:tabs>
          <w:tab w:val="left" w:pos="8638"/>
          <w:tab w:val="left" w:pos="9935"/>
        </w:tabs>
        <w:spacing w:before="27"/>
        <w:ind w:left="212"/>
        <w:rPr>
          <w:sz w:val="18"/>
        </w:rPr>
      </w:pPr>
      <w:r>
        <w:rPr>
          <w:b/>
          <w:sz w:val="18"/>
        </w:rPr>
        <w:t>Net cash provided by</w:t>
      </w:r>
      <w:r>
        <w:rPr>
          <w:b/>
          <w:spacing w:val="-1"/>
          <w:sz w:val="18"/>
        </w:rPr>
        <w:t xml:space="preserve"> </w:t>
      </w:r>
      <w:r>
        <w:rPr>
          <w:b/>
          <w:sz w:val="18"/>
        </w:rPr>
        <w:t>investing activities</w:t>
      </w:r>
      <w:r>
        <w:rPr>
          <w:b/>
          <w:sz w:val="18"/>
        </w:rPr>
        <w:tab/>
      </w:r>
      <w:r>
        <w:rPr>
          <w:b/>
          <w:position w:val="-8"/>
          <w:sz w:val="18"/>
        </w:rPr>
        <w:t>-</w:t>
      </w:r>
      <w:r>
        <w:rPr>
          <w:b/>
          <w:position w:val="-8"/>
          <w:sz w:val="18"/>
        </w:rPr>
        <w:tab/>
      </w:r>
      <w:r>
        <w:rPr>
          <w:position w:val="-8"/>
          <w:sz w:val="18"/>
        </w:rPr>
        <w:t>-</w:t>
      </w:r>
    </w:p>
    <w:p w14:paraId="4DA25A9D" w14:textId="77777777" w:rsidR="00FA4AA8" w:rsidRDefault="007E2441">
      <w:pPr>
        <w:pStyle w:val="BodyText"/>
        <w:spacing w:line="30" w:lineRule="exact"/>
        <w:ind w:left="7489"/>
        <w:rPr>
          <w:sz w:val="3"/>
        </w:rPr>
      </w:pPr>
      <w:r>
        <w:rPr>
          <w:noProof/>
          <w:sz w:val="3"/>
          <w:lang w:val="en-AU" w:eastAsia="en-AU"/>
        </w:rPr>
        <mc:AlternateContent>
          <mc:Choice Requires="wpg">
            <w:drawing>
              <wp:inline distT="0" distB="0" distL="0" distR="0" wp14:anchorId="2CDF4FBE" wp14:editId="0E02FEAC">
                <wp:extent cx="1647825" cy="19050"/>
                <wp:effectExtent l="9525" t="9525" r="9525" b="9525"/>
                <wp:docPr id="718"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7825" cy="19050"/>
                          <a:chOff x="0" y="0"/>
                          <a:chExt cx="2595" cy="30"/>
                        </a:xfrm>
                      </wpg:grpSpPr>
                      <wps:wsp>
                        <wps:cNvPr id="719" name="Line 534"/>
                        <wps:cNvCnPr>
                          <a:cxnSpLocks noChangeShapeType="1"/>
                        </wps:cNvCnPr>
                        <wps:spPr bwMode="auto">
                          <a:xfrm>
                            <a:off x="0" y="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20" name="Line 533"/>
                        <wps:cNvCnPr>
                          <a:cxnSpLocks noChangeShapeType="1"/>
                        </wps:cNvCnPr>
                        <wps:spPr bwMode="auto">
                          <a:xfrm>
                            <a:off x="0" y="2"/>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21" name="Line 532"/>
                        <wps:cNvCnPr>
                          <a:cxnSpLocks noChangeShapeType="1"/>
                        </wps:cNvCnPr>
                        <wps:spPr bwMode="auto">
                          <a:xfrm>
                            <a:off x="0" y="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22" name="Line 531"/>
                        <wps:cNvCnPr>
                          <a:cxnSpLocks noChangeShapeType="1"/>
                        </wps:cNvCnPr>
                        <wps:spPr bwMode="auto">
                          <a:xfrm>
                            <a:off x="0" y="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23" name="Line 530"/>
                        <wps:cNvCnPr>
                          <a:cxnSpLocks noChangeShapeType="1"/>
                        </wps:cNvCnPr>
                        <wps:spPr bwMode="auto">
                          <a:xfrm>
                            <a:off x="0" y="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24" name="Line 529"/>
                        <wps:cNvCnPr>
                          <a:cxnSpLocks noChangeShapeType="1"/>
                        </wps:cNvCnPr>
                        <wps:spPr bwMode="auto">
                          <a:xfrm>
                            <a:off x="0" y="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25" name="Line 528"/>
                        <wps:cNvCnPr>
                          <a:cxnSpLocks noChangeShapeType="1"/>
                        </wps:cNvCnPr>
                        <wps:spPr bwMode="auto">
                          <a:xfrm>
                            <a:off x="0" y="8"/>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26" name="Line 527"/>
                        <wps:cNvCnPr>
                          <a:cxnSpLocks noChangeShapeType="1"/>
                        </wps:cNvCnPr>
                        <wps:spPr bwMode="auto">
                          <a:xfrm>
                            <a:off x="0" y="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27" name="Line 526"/>
                        <wps:cNvCnPr>
                          <a:cxnSpLocks noChangeShapeType="1"/>
                        </wps:cNvCnPr>
                        <wps:spPr bwMode="auto">
                          <a:xfrm>
                            <a:off x="0" y="10"/>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28" name="Line 525"/>
                        <wps:cNvCnPr>
                          <a:cxnSpLocks noChangeShapeType="1"/>
                        </wps:cNvCnPr>
                        <wps:spPr bwMode="auto">
                          <a:xfrm>
                            <a:off x="0" y="1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29" name="Line 524"/>
                        <wps:cNvCnPr>
                          <a:cxnSpLocks noChangeShapeType="1"/>
                        </wps:cNvCnPr>
                        <wps:spPr bwMode="auto">
                          <a:xfrm>
                            <a:off x="0" y="1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30" name="Line 523"/>
                        <wps:cNvCnPr>
                          <a:cxnSpLocks noChangeShapeType="1"/>
                        </wps:cNvCnPr>
                        <wps:spPr bwMode="auto">
                          <a:xfrm>
                            <a:off x="0" y="1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31" name="Line 522"/>
                        <wps:cNvCnPr>
                          <a:cxnSpLocks noChangeShapeType="1"/>
                        </wps:cNvCnPr>
                        <wps:spPr bwMode="auto">
                          <a:xfrm>
                            <a:off x="0" y="1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32" name="Line 521"/>
                        <wps:cNvCnPr>
                          <a:cxnSpLocks noChangeShapeType="1"/>
                        </wps:cNvCnPr>
                        <wps:spPr bwMode="auto">
                          <a:xfrm>
                            <a:off x="0" y="16"/>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33" name="Line 520"/>
                        <wps:cNvCnPr>
                          <a:cxnSpLocks noChangeShapeType="1"/>
                        </wps:cNvCnPr>
                        <wps:spPr bwMode="auto">
                          <a:xfrm>
                            <a:off x="0" y="1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34" name="Line 519"/>
                        <wps:cNvCnPr>
                          <a:cxnSpLocks noChangeShapeType="1"/>
                        </wps:cNvCnPr>
                        <wps:spPr bwMode="auto">
                          <a:xfrm>
                            <a:off x="0" y="1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35" name="Line 518"/>
                        <wps:cNvCnPr>
                          <a:cxnSpLocks noChangeShapeType="1"/>
                        </wps:cNvCnPr>
                        <wps:spPr bwMode="auto">
                          <a:xfrm>
                            <a:off x="0" y="20"/>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36" name="Line 517"/>
                        <wps:cNvCnPr>
                          <a:cxnSpLocks noChangeShapeType="1"/>
                        </wps:cNvCnPr>
                        <wps:spPr bwMode="auto">
                          <a:xfrm>
                            <a:off x="0" y="2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37" name="Line 516"/>
                        <wps:cNvCnPr>
                          <a:cxnSpLocks noChangeShapeType="1"/>
                        </wps:cNvCnPr>
                        <wps:spPr bwMode="auto">
                          <a:xfrm>
                            <a:off x="0" y="22"/>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38" name="Line 515"/>
                        <wps:cNvCnPr>
                          <a:cxnSpLocks noChangeShapeType="1"/>
                        </wps:cNvCnPr>
                        <wps:spPr bwMode="auto">
                          <a:xfrm>
                            <a:off x="0" y="2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39" name="Line 514"/>
                        <wps:cNvCnPr>
                          <a:cxnSpLocks noChangeShapeType="1"/>
                        </wps:cNvCnPr>
                        <wps:spPr bwMode="auto">
                          <a:xfrm>
                            <a:off x="0" y="2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40" name="Line 513"/>
                        <wps:cNvCnPr>
                          <a:cxnSpLocks noChangeShapeType="1"/>
                        </wps:cNvCnPr>
                        <wps:spPr bwMode="auto">
                          <a:xfrm>
                            <a:off x="0" y="26"/>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41" name="Line 512"/>
                        <wps:cNvCnPr>
                          <a:cxnSpLocks noChangeShapeType="1"/>
                        </wps:cNvCnPr>
                        <wps:spPr bwMode="auto">
                          <a:xfrm>
                            <a:off x="0" y="2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42" name="Line 511"/>
                        <wps:cNvCnPr>
                          <a:cxnSpLocks noChangeShapeType="1"/>
                        </wps:cNvCnPr>
                        <wps:spPr bwMode="auto">
                          <a:xfrm>
                            <a:off x="0" y="28"/>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43" name="Line 510"/>
                        <wps:cNvCnPr>
                          <a:cxnSpLocks noChangeShapeType="1"/>
                        </wps:cNvCnPr>
                        <wps:spPr bwMode="auto">
                          <a:xfrm>
                            <a:off x="0" y="2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44" name="Line 509"/>
                        <wps:cNvCnPr>
                          <a:cxnSpLocks noChangeShapeType="1"/>
                        </wps:cNvCnPr>
                        <wps:spPr bwMode="auto">
                          <a:xfrm>
                            <a:off x="1297" y="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45" name="Line 508"/>
                        <wps:cNvCnPr>
                          <a:cxnSpLocks noChangeShapeType="1"/>
                        </wps:cNvCnPr>
                        <wps:spPr bwMode="auto">
                          <a:xfrm>
                            <a:off x="1297" y="2"/>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46" name="Line 507"/>
                        <wps:cNvCnPr>
                          <a:cxnSpLocks noChangeShapeType="1"/>
                        </wps:cNvCnPr>
                        <wps:spPr bwMode="auto">
                          <a:xfrm>
                            <a:off x="1297" y="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47" name="Line 506"/>
                        <wps:cNvCnPr>
                          <a:cxnSpLocks noChangeShapeType="1"/>
                        </wps:cNvCnPr>
                        <wps:spPr bwMode="auto">
                          <a:xfrm>
                            <a:off x="1297" y="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48" name="Line 505"/>
                        <wps:cNvCnPr>
                          <a:cxnSpLocks noChangeShapeType="1"/>
                        </wps:cNvCnPr>
                        <wps:spPr bwMode="auto">
                          <a:xfrm>
                            <a:off x="1297" y="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49" name="Line 504"/>
                        <wps:cNvCnPr>
                          <a:cxnSpLocks noChangeShapeType="1"/>
                        </wps:cNvCnPr>
                        <wps:spPr bwMode="auto">
                          <a:xfrm>
                            <a:off x="1297" y="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50" name="Line 503"/>
                        <wps:cNvCnPr>
                          <a:cxnSpLocks noChangeShapeType="1"/>
                        </wps:cNvCnPr>
                        <wps:spPr bwMode="auto">
                          <a:xfrm>
                            <a:off x="1297" y="8"/>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51" name="Line 502"/>
                        <wps:cNvCnPr>
                          <a:cxnSpLocks noChangeShapeType="1"/>
                        </wps:cNvCnPr>
                        <wps:spPr bwMode="auto">
                          <a:xfrm>
                            <a:off x="1297" y="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52" name="Line 501"/>
                        <wps:cNvCnPr>
                          <a:cxnSpLocks noChangeShapeType="1"/>
                        </wps:cNvCnPr>
                        <wps:spPr bwMode="auto">
                          <a:xfrm>
                            <a:off x="1297" y="10"/>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53" name="Line 500"/>
                        <wps:cNvCnPr>
                          <a:cxnSpLocks noChangeShapeType="1"/>
                        </wps:cNvCnPr>
                        <wps:spPr bwMode="auto">
                          <a:xfrm>
                            <a:off x="1297" y="1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54" name="Line 499"/>
                        <wps:cNvCnPr>
                          <a:cxnSpLocks noChangeShapeType="1"/>
                        </wps:cNvCnPr>
                        <wps:spPr bwMode="auto">
                          <a:xfrm>
                            <a:off x="1297" y="1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55" name="Line 498"/>
                        <wps:cNvCnPr>
                          <a:cxnSpLocks noChangeShapeType="1"/>
                        </wps:cNvCnPr>
                        <wps:spPr bwMode="auto">
                          <a:xfrm>
                            <a:off x="1297" y="1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56" name="Line 497"/>
                        <wps:cNvCnPr>
                          <a:cxnSpLocks noChangeShapeType="1"/>
                        </wps:cNvCnPr>
                        <wps:spPr bwMode="auto">
                          <a:xfrm>
                            <a:off x="1297" y="1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57" name="Line 496"/>
                        <wps:cNvCnPr>
                          <a:cxnSpLocks noChangeShapeType="1"/>
                        </wps:cNvCnPr>
                        <wps:spPr bwMode="auto">
                          <a:xfrm>
                            <a:off x="1297" y="16"/>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58" name="Line 495"/>
                        <wps:cNvCnPr>
                          <a:cxnSpLocks noChangeShapeType="1"/>
                        </wps:cNvCnPr>
                        <wps:spPr bwMode="auto">
                          <a:xfrm>
                            <a:off x="1297" y="1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59" name="Line 494"/>
                        <wps:cNvCnPr>
                          <a:cxnSpLocks noChangeShapeType="1"/>
                        </wps:cNvCnPr>
                        <wps:spPr bwMode="auto">
                          <a:xfrm>
                            <a:off x="1297" y="1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60" name="Line 493"/>
                        <wps:cNvCnPr>
                          <a:cxnSpLocks noChangeShapeType="1"/>
                        </wps:cNvCnPr>
                        <wps:spPr bwMode="auto">
                          <a:xfrm>
                            <a:off x="1297" y="20"/>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61" name="Line 492"/>
                        <wps:cNvCnPr>
                          <a:cxnSpLocks noChangeShapeType="1"/>
                        </wps:cNvCnPr>
                        <wps:spPr bwMode="auto">
                          <a:xfrm>
                            <a:off x="1297" y="2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62" name="Line 491"/>
                        <wps:cNvCnPr>
                          <a:cxnSpLocks noChangeShapeType="1"/>
                        </wps:cNvCnPr>
                        <wps:spPr bwMode="auto">
                          <a:xfrm>
                            <a:off x="1297" y="22"/>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63" name="Line 490"/>
                        <wps:cNvCnPr>
                          <a:cxnSpLocks noChangeShapeType="1"/>
                        </wps:cNvCnPr>
                        <wps:spPr bwMode="auto">
                          <a:xfrm>
                            <a:off x="1297" y="2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64" name="Line 489"/>
                        <wps:cNvCnPr>
                          <a:cxnSpLocks noChangeShapeType="1"/>
                        </wps:cNvCnPr>
                        <wps:spPr bwMode="auto">
                          <a:xfrm>
                            <a:off x="1297" y="2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65" name="Line 488"/>
                        <wps:cNvCnPr>
                          <a:cxnSpLocks noChangeShapeType="1"/>
                        </wps:cNvCnPr>
                        <wps:spPr bwMode="auto">
                          <a:xfrm>
                            <a:off x="1297" y="26"/>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66" name="Line 487"/>
                        <wps:cNvCnPr>
                          <a:cxnSpLocks noChangeShapeType="1"/>
                        </wps:cNvCnPr>
                        <wps:spPr bwMode="auto">
                          <a:xfrm>
                            <a:off x="1297" y="2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67" name="Line 486"/>
                        <wps:cNvCnPr>
                          <a:cxnSpLocks noChangeShapeType="1"/>
                        </wps:cNvCnPr>
                        <wps:spPr bwMode="auto">
                          <a:xfrm>
                            <a:off x="1297" y="28"/>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68" name="Line 485"/>
                        <wps:cNvCnPr>
                          <a:cxnSpLocks noChangeShapeType="1"/>
                        </wps:cNvCnPr>
                        <wps:spPr bwMode="auto">
                          <a:xfrm>
                            <a:off x="1297" y="2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7EED979" id="Group 484" o:spid="_x0000_s1026" style="width:129.75pt;height:1.5pt;mso-position-horizontal-relative:char;mso-position-vertical-relative:line" coordsize="25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">
                <v:line id="Line 534" o:spid="_x0000_s1027" style="position:absolute;visibility:visible;mso-wrap-style:square" from="0,1" to="12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" strokeweight=".06pt"/>
                <v:line id="Line 533" o:spid="_x0000_s1028" style="position:absolute;visibility:visible;mso-wrap-style:square" from="0,2" to="12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" strokeweight=".06pt"/>
                <v:line id="Line 532" o:spid="_x0000_s1029" style="position:absolute;visibility:visible;mso-wrap-style:square" from="0,3" to="12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" strokeweight=".06pt"/>
                <v:line id="Line 531" o:spid="_x0000_s1030" style="position:absolute;visibility:visible;mso-wrap-style:square" from="0,4" to="12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" strokeweight=".06pt"/>
                <v:line id="Line 530" o:spid="_x0000_s1031" style="position:absolute;visibility:visible;mso-wrap-style:square" from="0,5" to="12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" strokeweight=".06pt"/>
                <v:line id="Line 529" o:spid="_x0000_s1032" style="position:absolute;visibility:visible;mso-wrap-style:square" from="0,7" to="12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" strokeweight=".06pt"/>
                <v:line id="Line 528" o:spid="_x0000_s1033" style="position:absolute;visibility:visible;mso-wrap-style:square" from="0,8" to="12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" strokeweight=".06pt"/>
                <v:line id="Line 527" o:spid="_x0000_s1034" style="position:absolute;visibility:visible;mso-wrap-style:square" from="0,9" to="12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" strokeweight=".06pt"/>
                <v:line id="Line 526" o:spid="_x0000_s1035" style="position:absolute;visibility:visible;mso-wrap-style:square" from="0,10" to="129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" strokeweight=".06pt"/>
                <v:line id="Line 525" o:spid="_x0000_s1036" style="position:absolute;visibility:visible;mso-wrap-style:square" from="0,11" to="129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" strokeweight=".06pt"/>
                <v:line id="Line 524" o:spid="_x0000_s1037" style="position:absolute;visibility:visible;mso-wrap-style:square" from="0,13" to="129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" strokeweight=".06pt"/>
                <v:line id="Line 523" o:spid="_x0000_s1038" style="position:absolute;visibility:visible;mso-wrap-style:square" from="0,14" to="129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" strokeweight=".06pt"/>
                <v:line id="Line 522" o:spid="_x0000_s1039" style="position:absolute;visibility:visible;mso-wrap-style:square" from="0,15" to="129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" strokeweight=".06pt"/>
                <v:line id="Line 521" o:spid="_x0000_s1040" style="position:absolute;visibility:visible;mso-wrap-style:square" from="0,16" to="129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" strokeweight=".06pt"/>
                <v:line id="Line 520" o:spid="_x0000_s1041" style="position:absolute;visibility:visible;mso-wrap-style:square" from="0,17" to="129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" strokeweight=".06pt"/>
                <v:line id="Line 519" o:spid="_x0000_s1042" style="position:absolute;visibility:visible;mso-wrap-style:square" from="0,19" to="129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" strokeweight=".06pt"/>
                <v:line id="Line 518" o:spid="_x0000_s1043" style="position:absolute;visibility:visible;mso-wrap-style:square" from="0,20" to="12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" strokeweight=".06pt"/>
                <v:line id="Line 517" o:spid="_x0000_s1044" style="position:absolute;visibility:visible;mso-wrap-style:square" from="0,21" to="129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" strokeweight=".06pt"/>
                <v:line id="Line 516" o:spid="_x0000_s1045" style="position:absolute;visibility:visible;mso-wrap-style:square" from="0,22" to="129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" strokeweight=".06pt"/>
                <v:line id="Line 515" o:spid="_x0000_s1046" style="position:absolute;visibility:visible;mso-wrap-style:square" from="0,23" to="129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" strokeweight=".06pt"/>
                <v:line id="Line 514" o:spid="_x0000_s1047" style="position:absolute;visibility:visible;mso-wrap-style:square" from="0,25" to="129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" strokeweight=".06pt"/>
                <v:line id="Line 513" o:spid="_x0000_s1048" style="position:absolute;visibility:visible;mso-wrap-style:square" from="0,26" to="129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" strokeweight=".06pt"/>
                <v:line id="Line 512" o:spid="_x0000_s1049" style="position:absolute;visibility:visible;mso-wrap-style:square" from="0,27" to="129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" strokeweight=".06pt"/>
                <v:line id="Line 511" o:spid="_x0000_s1050" style="position:absolute;visibility:visible;mso-wrap-style:square" from="0,28" to="129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" strokeweight=".06pt"/>
                <v:line id="Line 510" o:spid="_x0000_s1051" style="position:absolute;visibility:visible;mso-wrap-style:square" from="0,29" to="129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" strokeweight=".06pt"/>
                <v:line id="Line 509" o:spid="_x0000_s1052" style="position:absolute;visibility:visible;mso-wrap-style:square" from="1297,1" to="25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" strokeweight=".06pt"/>
                <v:line id="Line 508" o:spid="_x0000_s1053" style="position:absolute;visibility:visible;mso-wrap-style:square" from="1297,2" to="25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" strokeweight=".06pt"/>
                <v:line id="Line 507" o:spid="_x0000_s1054" style="position:absolute;visibility:visible;mso-wrap-style:square" from="1297,3" to="25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" strokeweight=".06pt"/>
                <v:line id="Line 506" o:spid="_x0000_s1055" style="position:absolute;visibility:visible;mso-wrap-style:square" from="1297,4" to="2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" strokeweight=".06pt"/>
                <v:line id="Line 505" o:spid="_x0000_s1056" style="position:absolute;visibility:visible;mso-wrap-style:square" from="1297,5" to="25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" strokeweight=".06pt"/>
                <v:line id="Line 504" o:spid="_x0000_s1057" style="position:absolute;visibility:visible;mso-wrap-style:square" from="1297,7" to="25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" strokeweight=".06pt"/>
                <v:line id="Line 503" o:spid="_x0000_s1058" style="position:absolute;visibility:visible;mso-wrap-style:square" from="1297,8" to="25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" strokeweight=".06pt"/>
                <v:line id="Line 502" o:spid="_x0000_s1059" style="position:absolute;visibility:visible;mso-wrap-style:square" from="1297,9" to="25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" strokeweight=".06pt"/>
                <v:line id="Line 501" o:spid="_x0000_s1060" style="position:absolute;visibility:visible;mso-wrap-style:square" from="1297,10" to="259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" strokeweight=".06pt"/>
                <v:line id="Line 500" o:spid="_x0000_s1061" style="position:absolute;visibility:visible;mso-wrap-style:square" from="1297,11" to="259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" strokeweight=".06pt"/>
                <v:line id="Line 499" o:spid="_x0000_s1062" style="position:absolute;visibility:visible;mso-wrap-style:square" from="1297,13" to="259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" strokeweight=".06pt"/>
                <v:line id="Line 498" o:spid="_x0000_s1063" style="position:absolute;visibility:visible;mso-wrap-style:square" from="1297,14" to="259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" strokeweight=".06pt"/>
                <v:line id="Line 497" o:spid="_x0000_s1064" style="position:absolute;visibility:visible;mso-wrap-style:square" from="1297,15" to="259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" strokeweight=".06pt"/>
                <v:line id="Line 496" o:spid="_x0000_s1065" style="position:absolute;visibility:visible;mso-wrap-style:square" from="1297,16" to="259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" strokeweight=".06pt"/>
                <v:line id="Line 495" o:spid="_x0000_s1066" style="position:absolute;visibility:visible;mso-wrap-style:square" from="1297,17" to="259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" strokeweight=".06pt"/>
                <v:line id="Line 494" o:spid="_x0000_s1067" style="position:absolute;visibility:visible;mso-wrap-style:square" from="1297,19" to="259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" strokeweight=".06pt"/>
                <v:line id="Line 493" o:spid="_x0000_s1068" style="position:absolute;visibility:visible;mso-wrap-style:square" from="1297,20" to="259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" strokeweight=".06pt"/>
                <v:line id="Line 492" o:spid="_x0000_s1069" style="position:absolute;visibility:visible;mso-wrap-style:square" from="1297,21" to="259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" strokeweight=".06pt"/>
                <v:line id="Line 491" o:spid="_x0000_s1070" style="position:absolute;visibility:visible;mso-wrap-style:square" from="1297,22" to="259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" strokeweight=".06pt"/>
                <v:line id="Line 490" o:spid="_x0000_s1071" style="position:absolute;visibility:visible;mso-wrap-style:square" from="1297,23" to="259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" strokeweight=".06pt"/>
                <v:line id="Line 489" o:spid="_x0000_s1072" style="position:absolute;visibility:visible;mso-wrap-style:square" from="1297,25" to="259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" strokeweight=".06pt"/>
                <v:line id="Line 488" o:spid="_x0000_s1073" style="position:absolute;visibility:visible;mso-wrap-style:square" from="1297,26" to="259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" strokeweight=".06pt"/>
                <v:line id="Line 487" o:spid="_x0000_s1074" style="position:absolute;visibility:visible;mso-wrap-style:square" from="1297,27" to="259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" strokeweight=".06pt"/>
                <v:line id="Line 486" o:spid="_x0000_s1075" style="position:absolute;visibility:visible;mso-wrap-style:square" from="1297,28" to="259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" strokeweight=".06pt"/>
                <v:line id="Line 485" o:spid="_x0000_s1076" style="position:absolute;visibility:visible;mso-wrap-style:square" from="1297,29" to="259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" strokeweight=".06pt"/>
                <w10:anchorlock/>
              </v:group>
            </w:pict>
          </mc:Fallback>
        </mc:AlternateContent>
      </w:r>
    </w:p>
    <w:p w14:paraId="687B1A4A" w14:textId="77777777" w:rsidR="00FA4AA8" w:rsidRDefault="00FA4AA8">
      <w:pPr>
        <w:pStyle w:val="BodyText"/>
        <w:spacing w:before="9"/>
        <w:rPr>
          <w:sz w:val="26"/>
        </w:rPr>
      </w:pPr>
    </w:p>
    <w:p w14:paraId="55AC803E" w14:textId="77777777" w:rsidR="00FA4AA8" w:rsidRDefault="0015611F">
      <w:pPr>
        <w:spacing w:before="94" w:after="14"/>
        <w:ind w:left="212"/>
        <w:rPr>
          <w:b/>
          <w:sz w:val="18"/>
        </w:rPr>
      </w:pPr>
      <w:r>
        <w:rPr>
          <w:b/>
          <w:sz w:val="18"/>
        </w:rPr>
        <w:t>Cash flows from financing activities</w:t>
      </w:r>
    </w:p>
    <w:tbl>
      <w:tblPr>
        <w:tblW w:w="0" w:type="auto"/>
        <w:tblInd w:w="169" w:type="dxa"/>
        <w:tblLayout w:type="fixed"/>
        <w:tblCellMar>
          <w:left w:w="0" w:type="dxa"/>
          <w:right w:w="0" w:type="dxa"/>
        </w:tblCellMar>
        <w:tblLook w:val="01E0" w:firstRow="1" w:lastRow="1" w:firstColumn="1" w:lastColumn="1" w:noHBand="0" w:noVBand="0"/>
      </w:tblPr>
      <w:tblGrid>
        <w:gridCol w:w="5805"/>
        <w:gridCol w:w="1523"/>
        <w:gridCol w:w="1534"/>
        <w:gridCol w:w="1060"/>
      </w:tblGrid>
      <w:tr w:rsidR="00FA4AA8" w14:paraId="46942F69" w14:textId="77777777">
        <w:trPr>
          <w:trHeight w:val="319"/>
        </w:trPr>
        <w:tc>
          <w:tcPr>
            <w:tcW w:w="5805" w:type="dxa"/>
          </w:tcPr>
          <w:p w14:paraId="55C0B1EC" w14:textId="77777777" w:rsidR="00FA4AA8" w:rsidRDefault="0015611F">
            <w:pPr>
              <w:pStyle w:val="TableParagraph"/>
              <w:spacing w:before="28"/>
              <w:ind w:left="49"/>
              <w:rPr>
                <w:b/>
                <w:sz w:val="18"/>
              </w:rPr>
            </w:pPr>
            <w:r>
              <w:rPr>
                <w:b/>
                <w:sz w:val="18"/>
              </w:rPr>
              <w:t>Net cash provided by financing activities</w:t>
            </w:r>
          </w:p>
        </w:tc>
        <w:tc>
          <w:tcPr>
            <w:tcW w:w="1523" w:type="dxa"/>
          </w:tcPr>
          <w:p w14:paraId="5C769E0C" w14:textId="77777777" w:rsidR="00FA4AA8" w:rsidRDefault="00FA4AA8">
            <w:pPr>
              <w:pStyle w:val="TableParagraph"/>
              <w:rPr>
                <w:rFonts w:ascii="Times New Roman"/>
                <w:sz w:val="18"/>
              </w:rPr>
            </w:pPr>
          </w:p>
        </w:tc>
        <w:tc>
          <w:tcPr>
            <w:tcW w:w="1534" w:type="dxa"/>
            <w:tcBorders>
              <w:top w:val="single" w:sz="12" w:space="0" w:color="000000"/>
              <w:bottom w:val="single" w:sz="12" w:space="0" w:color="000000"/>
            </w:tcBorders>
          </w:tcPr>
          <w:p w14:paraId="4D9A211A" w14:textId="77777777" w:rsidR="00FA4AA8" w:rsidRDefault="0015611F">
            <w:pPr>
              <w:pStyle w:val="TableParagraph"/>
              <w:spacing w:before="113" w:line="185" w:lineRule="exact"/>
              <w:ind w:right="323"/>
              <w:jc w:val="right"/>
              <w:rPr>
                <w:b/>
                <w:sz w:val="18"/>
              </w:rPr>
            </w:pPr>
            <w:r>
              <w:rPr>
                <w:b/>
                <w:w w:val="99"/>
                <w:sz w:val="18"/>
              </w:rPr>
              <w:t>-</w:t>
            </w:r>
          </w:p>
        </w:tc>
        <w:tc>
          <w:tcPr>
            <w:tcW w:w="1060" w:type="dxa"/>
            <w:tcBorders>
              <w:top w:val="single" w:sz="12" w:space="0" w:color="000000"/>
              <w:bottom w:val="single" w:sz="12" w:space="0" w:color="000000"/>
            </w:tcBorders>
          </w:tcPr>
          <w:p w14:paraId="2CF4CE1E" w14:textId="77777777" w:rsidR="00FA4AA8" w:rsidRDefault="0015611F">
            <w:pPr>
              <w:pStyle w:val="TableParagraph"/>
              <w:spacing w:before="113" w:line="185" w:lineRule="exact"/>
              <w:ind w:right="86"/>
              <w:jc w:val="right"/>
              <w:rPr>
                <w:sz w:val="18"/>
              </w:rPr>
            </w:pPr>
            <w:r>
              <w:rPr>
                <w:w w:val="99"/>
                <w:sz w:val="18"/>
              </w:rPr>
              <w:t>-</w:t>
            </w:r>
          </w:p>
        </w:tc>
      </w:tr>
      <w:tr w:rsidR="00FA4AA8" w14:paraId="56A4B578" w14:textId="77777777">
        <w:trPr>
          <w:trHeight w:val="562"/>
        </w:trPr>
        <w:tc>
          <w:tcPr>
            <w:tcW w:w="5805" w:type="dxa"/>
          </w:tcPr>
          <w:p w14:paraId="3DEBB92B" w14:textId="77777777" w:rsidR="00FA4AA8" w:rsidRDefault="00FA4AA8">
            <w:pPr>
              <w:pStyle w:val="TableParagraph"/>
              <w:spacing w:before="1"/>
              <w:rPr>
                <w:b/>
                <w:sz w:val="28"/>
              </w:rPr>
            </w:pPr>
          </w:p>
          <w:p w14:paraId="172B814A" w14:textId="77777777" w:rsidR="00FA4AA8" w:rsidRDefault="0015611F">
            <w:pPr>
              <w:pStyle w:val="TableParagraph"/>
              <w:ind w:left="50"/>
              <w:rPr>
                <w:b/>
                <w:sz w:val="18"/>
              </w:rPr>
            </w:pPr>
            <w:r>
              <w:rPr>
                <w:b/>
                <w:sz w:val="18"/>
              </w:rPr>
              <w:t>Net increase/(decrease) in cash and cash equivalents</w:t>
            </w:r>
          </w:p>
        </w:tc>
        <w:tc>
          <w:tcPr>
            <w:tcW w:w="1523" w:type="dxa"/>
          </w:tcPr>
          <w:p w14:paraId="7B0B9F1D" w14:textId="77777777" w:rsidR="00FA4AA8" w:rsidRDefault="00FA4AA8">
            <w:pPr>
              <w:pStyle w:val="TableParagraph"/>
              <w:rPr>
                <w:rFonts w:ascii="Times New Roman"/>
                <w:sz w:val="18"/>
              </w:rPr>
            </w:pPr>
          </w:p>
        </w:tc>
        <w:tc>
          <w:tcPr>
            <w:tcW w:w="1534" w:type="dxa"/>
            <w:tcBorders>
              <w:top w:val="single" w:sz="12" w:space="0" w:color="000000"/>
            </w:tcBorders>
          </w:tcPr>
          <w:p w14:paraId="07E41453" w14:textId="77777777" w:rsidR="00FA4AA8" w:rsidRDefault="00FA4AA8">
            <w:pPr>
              <w:pStyle w:val="TableParagraph"/>
              <w:spacing w:before="3"/>
              <w:rPr>
                <w:b/>
                <w:sz w:val="28"/>
              </w:rPr>
            </w:pPr>
          </w:p>
          <w:p w14:paraId="53EC6022" w14:textId="77777777" w:rsidR="00FA4AA8" w:rsidRDefault="0015611F">
            <w:pPr>
              <w:pStyle w:val="TableParagraph"/>
              <w:ind w:right="321"/>
              <w:jc w:val="right"/>
              <w:rPr>
                <w:b/>
                <w:sz w:val="18"/>
              </w:rPr>
            </w:pPr>
            <w:r>
              <w:rPr>
                <w:b/>
                <w:w w:val="95"/>
                <w:sz w:val="18"/>
              </w:rPr>
              <w:t>20,998</w:t>
            </w:r>
          </w:p>
        </w:tc>
        <w:tc>
          <w:tcPr>
            <w:tcW w:w="1060" w:type="dxa"/>
            <w:tcBorders>
              <w:top w:val="single" w:sz="12" w:space="0" w:color="000000"/>
            </w:tcBorders>
          </w:tcPr>
          <w:p w14:paraId="2E30EA18" w14:textId="77777777" w:rsidR="00FA4AA8" w:rsidRDefault="00FA4AA8">
            <w:pPr>
              <w:pStyle w:val="TableParagraph"/>
              <w:spacing w:before="3"/>
              <w:rPr>
                <w:b/>
                <w:sz w:val="28"/>
              </w:rPr>
            </w:pPr>
          </w:p>
          <w:p w14:paraId="25916A38" w14:textId="77777777" w:rsidR="00FA4AA8" w:rsidRDefault="0015611F">
            <w:pPr>
              <w:pStyle w:val="TableParagraph"/>
              <w:ind w:right="83"/>
              <w:jc w:val="right"/>
              <w:rPr>
                <w:sz w:val="18"/>
              </w:rPr>
            </w:pPr>
            <w:r>
              <w:rPr>
                <w:w w:val="95"/>
                <w:sz w:val="18"/>
              </w:rPr>
              <w:t>190,964</w:t>
            </w:r>
          </w:p>
        </w:tc>
      </w:tr>
      <w:tr w:rsidR="00FA4AA8" w14:paraId="2ED704E6" w14:textId="77777777">
        <w:trPr>
          <w:trHeight w:val="260"/>
        </w:trPr>
        <w:tc>
          <w:tcPr>
            <w:tcW w:w="5805" w:type="dxa"/>
          </w:tcPr>
          <w:p w14:paraId="07D28F3E" w14:textId="77777777" w:rsidR="00FA4AA8" w:rsidRDefault="0015611F">
            <w:pPr>
              <w:pStyle w:val="TableParagraph"/>
              <w:spacing w:before="25"/>
              <w:ind w:left="50"/>
              <w:rPr>
                <w:sz w:val="18"/>
              </w:rPr>
            </w:pPr>
            <w:r>
              <w:rPr>
                <w:sz w:val="18"/>
              </w:rPr>
              <w:t>Cash and cash equivalents at beginning of year</w:t>
            </w:r>
          </w:p>
        </w:tc>
        <w:tc>
          <w:tcPr>
            <w:tcW w:w="1523" w:type="dxa"/>
          </w:tcPr>
          <w:p w14:paraId="33CDFE6A" w14:textId="77777777" w:rsidR="00FA4AA8" w:rsidRDefault="00FA4AA8">
            <w:pPr>
              <w:pStyle w:val="TableParagraph"/>
              <w:rPr>
                <w:rFonts w:ascii="Times New Roman"/>
                <w:sz w:val="18"/>
              </w:rPr>
            </w:pPr>
          </w:p>
        </w:tc>
        <w:tc>
          <w:tcPr>
            <w:tcW w:w="1534" w:type="dxa"/>
            <w:tcBorders>
              <w:bottom w:val="single" w:sz="12" w:space="0" w:color="000000"/>
            </w:tcBorders>
          </w:tcPr>
          <w:p w14:paraId="00A5E787" w14:textId="77777777" w:rsidR="00FA4AA8" w:rsidRDefault="0015611F">
            <w:pPr>
              <w:pStyle w:val="TableParagraph"/>
              <w:spacing w:before="26"/>
              <w:ind w:right="321"/>
              <w:jc w:val="right"/>
              <w:rPr>
                <w:b/>
                <w:sz w:val="18"/>
              </w:rPr>
            </w:pPr>
            <w:r>
              <w:rPr>
                <w:b/>
                <w:w w:val="95"/>
                <w:sz w:val="18"/>
              </w:rPr>
              <w:t>766,186</w:t>
            </w:r>
          </w:p>
        </w:tc>
        <w:tc>
          <w:tcPr>
            <w:tcW w:w="1060" w:type="dxa"/>
            <w:tcBorders>
              <w:bottom w:val="single" w:sz="12" w:space="0" w:color="000000"/>
            </w:tcBorders>
          </w:tcPr>
          <w:p w14:paraId="77AFD04D" w14:textId="77777777" w:rsidR="00FA4AA8" w:rsidRDefault="0015611F">
            <w:pPr>
              <w:pStyle w:val="TableParagraph"/>
              <w:spacing w:before="26"/>
              <w:ind w:right="83"/>
              <w:jc w:val="right"/>
              <w:rPr>
                <w:sz w:val="18"/>
              </w:rPr>
            </w:pPr>
            <w:r>
              <w:rPr>
                <w:w w:val="95"/>
                <w:sz w:val="18"/>
              </w:rPr>
              <w:t>575,222</w:t>
            </w:r>
          </w:p>
        </w:tc>
      </w:tr>
      <w:tr w:rsidR="00FA4AA8" w14:paraId="1B41494E" w14:textId="77777777">
        <w:trPr>
          <w:trHeight w:val="319"/>
        </w:trPr>
        <w:tc>
          <w:tcPr>
            <w:tcW w:w="5805" w:type="dxa"/>
          </w:tcPr>
          <w:p w14:paraId="09E3B25E" w14:textId="77777777" w:rsidR="00FA4AA8" w:rsidRDefault="0015611F">
            <w:pPr>
              <w:pStyle w:val="TableParagraph"/>
              <w:spacing w:before="28"/>
              <w:ind w:left="50"/>
              <w:rPr>
                <w:b/>
                <w:sz w:val="18"/>
              </w:rPr>
            </w:pPr>
            <w:r>
              <w:rPr>
                <w:b/>
                <w:sz w:val="18"/>
              </w:rPr>
              <w:t>Cash and cash equivalents at end of year</w:t>
            </w:r>
          </w:p>
        </w:tc>
        <w:tc>
          <w:tcPr>
            <w:tcW w:w="1523" w:type="dxa"/>
          </w:tcPr>
          <w:p w14:paraId="7F3E6635" w14:textId="77777777" w:rsidR="00FA4AA8" w:rsidRDefault="0015611F">
            <w:pPr>
              <w:pStyle w:val="TableParagraph"/>
              <w:spacing w:before="85"/>
              <w:ind w:right="227"/>
              <w:jc w:val="right"/>
              <w:rPr>
                <w:sz w:val="18"/>
              </w:rPr>
            </w:pPr>
            <w:r>
              <w:rPr>
                <w:w w:val="99"/>
                <w:sz w:val="18"/>
              </w:rPr>
              <w:t>5</w:t>
            </w:r>
          </w:p>
        </w:tc>
        <w:tc>
          <w:tcPr>
            <w:tcW w:w="1534" w:type="dxa"/>
            <w:tcBorders>
              <w:top w:val="single" w:sz="12" w:space="0" w:color="000000"/>
              <w:bottom w:val="single" w:sz="12" w:space="0" w:color="000000"/>
            </w:tcBorders>
          </w:tcPr>
          <w:p w14:paraId="17E409F3" w14:textId="77777777" w:rsidR="00FA4AA8" w:rsidRDefault="0015611F">
            <w:pPr>
              <w:pStyle w:val="TableParagraph"/>
              <w:spacing w:before="113" w:line="185" w:lineRule="exact"/>
              <w:ind w:right="321"/>
              <w:jc w:val="right"/>
              <w:rPr>
                <w:b/>
                <w:sz w:val="18"/>
              </w:rPr>
            </w:pPr>
            <w:r>
              <w:rPr>
                <w:b/>
                <w:w w:val="95"/>
                <w:sz w:val="18"/>
              </w:rPr>
              <w:t>787,184</w:t>
            </w:r>
          </w:p>
        </w:tc>
        <w:tc>
          <w:tcPr>
            <w:tcW w:w="1060" w:type="dxa"/>
            <w:tcBorders>
              <w:top w:val="single" w:sz="12" w:space="0" w:color="000000"/>
              <w:bottom w:val="single" w:sz="12" w:space="0" w:color="000000"/>
            </w:tcBorders>
          </w:tcPr>
          <w:p w14:paraId="225E6B26" w14:textId="77777777" w:rsidR="00FA4AA8" w:rsidRDefault="0015611F">
            <w:pPr>
              <w:pStyle w:val="TableParagraph"/>
              <w:spacing w:before="113" w:line="185" w:lineRule="exact"/>
              <w:ind w:right="83"/>
              <w:jc w:val="right"/>
              <w:rPr>
                <w:sz w:val="18"/>
              </w:rPr>
            </w:pPr>
            <w:r>
              <w:rPr>
                <w:w w:val="95"/>
                <w:sz w:val="18"/>
              </w:rPr>
              <w:t>766,186</w:t>
            </w:r>
          </w:p>
        </w:tc>
      </w:tr>
    </w:tbl>
    <w:p w14:paraId="32A5E72A" w14:textId="77777777" w:rsidR="00FA4AA8" w:rsidRDefault="00FA4AA8">
      <w:pPr>
        <w:pStyle w:val="BodyText"/>
        <w:rPr>
          <w:b/>
          <w:sz w:val="20"/>
        </w:rPr>
      </w:pPr>
    </w:p>
    <w:p w14:paraId="21A20815" w14:textId="77777777" w:rsidR="00FA4AA8" w:rsidRDefault="00FA4AA8">
      <w:pPr>
        <w:pStyle w:val="BodyText"/>
        <w:rPr>
          <w:b/>
          <w:sz w:val="20"/>
        </w:rPr>
      </w:pPr>
    </w:p>
    <w:p w14:paraId="601CCE97" w14:textId="77777777" w:rsidR="00FA4AA8" w:rsidRDefault="00FA4AA8">
      <w:pPr>
        <w:pStyle w:val="BodyText"/>
        <w:rPr>
          <w:b/>
          <w:sz w:val="20"/>
        </w:rPr>
      </w:pPr>
    </w:p>
    <w:p w14:paraId="4C2E6334" w14:textId="77777777" w:rsidR="00FA4AA8" w:rsidRDefault="00FA4AA8">
      <w:pPr>
        <w:pStyle w:val="BodyText"/>
        <w:rPr>
          <w:b/>
          <w:sz w:val="20"/>
        </w:rPr>
      </w:pPr>
    </w:p>
    <w:p w14:paraId="2AA08E65" w14:textId="77777777" w:rsidR="00FA4AA8" w:rsidRDefault="00FA4AA8">
      <w:pPr>
        <w:pStyle w:val="BodyText"/>
        <w:rPr>
          <w:b/>
          <w:sz w:val="20"/>
        </w:rPr>
      </w:pPr>
    </w:p>
    <w:p w14:paraId="6C837D9F" w14:textId="77777777" w:rsidR="00FA4AA8" w:rsidRDefault="00FA4AA8">
      <w:pPr>
        <w:pStyle w:val="BodyText"/>
        <w:rPr>
          <w:b/>
          <w:sz w:val="20"/>
        </w:rPr>
      </w:pPr>
    </w:p>
    <w:p w14:paraId="0B77412A" w14:textId="77777777" w:rsidR="00FA4AA8" w:rsidRDefault="00FA4AA8">
      <w:pPr>
        <w:pStyle w:val="BodyText"/>
        <w:rPr>
          <w:b/>
          <w:sz w:val="20"/>
        </w:rPr>
      </w:pPr>
    </w:p>
    <w:p w14:paraId="790B9A3B" w14:textId="77777777" w:rsidR="00FA4AA8" w:rsidRDefault="00FA4AA8">
      <w:pPr>
        <w:pStyle w:val="BodyText"/>
        <w:rPr>
          <w:b/>
          <w:sz w:val="20"/>
        </w:rPr>
      </w:pPr>
    </w:p>
    <w:p w14:paraId="4D28CF8E" w14:textId="77777777" w:rsidR="00FA4AA8" w:rsidRDefault="00FA4AA8">
      <w:pPr>
        <w:pStyle w:val="BodyText"/>
        <w:rPr>
          <w:b/>
          <w:sz w:val="20"/>
        </w:rPr>
      </w:pPr>
    </w:p>
    <w:p w14:paraId="31AF59D2" w14:textId="77777777" w:rsidR="00FA4AA8" w:rsidRDefault="00FA4AA8">
      <w:pPr>
        <w:pStyle w:val="BodyText"/>
        <w:rPr>
          <w:b/>
          <w:sz w:val="20"/>
        </w:rPr>
      </w:pPr>
    </w:p>
    <w:p w14:paraId="2F15A1F6" w14:textId="77777777" w:rsidR="00FA4AA8" w:rsidRDefault="00FA4AA8">
      <w:pPr>
        <w:pStyle w:val="BodyText"/>
        <w:rPr>
          <w:b/>
          <w:sz w:val="20"/>
        </w:rPr>
      </w:pPr>
    </w:p>
    <w:p w14:paraId="6BF31795" w14:textId="77777777" w:rsidR="00FA4AA8" w:rsidRDefault="00FA4AA8">
      <w:pPr>
        <w:pStyle w:val="BodyText"/>
        <w:rPr>
          <w:b/>
          <w:sz w:val="20"/>
        </w:rPr>
      </w:pPr>
    </w:p>
    <w:p w14:paraId="67DC9853" w14:textId="77777777" w:rsidR="00FA4AA8" w:rsidRDefault="00FA4AA8">
      <w:pPr>
        <w:pStyle w:val="BodyText"/>
        <w:rPr>
          <w:b/>
          <w:sz w:val="20"/>
        </w:rPr>
      </w:pPr>
    </w:p>
    <w:p w14:paraId="14CCA942" w14:textId="77777777" w:rsidR="00FA4AA8" w:rsidRDefault="00FA4AA8">
      <w:pPr>
        <w:pStyle w:val="BodyText"/>
        <w:rPr>
          <w:b/>
          <w:sz w:val="20"/>
        </w:rPr>
      </w:pPr>
    </w:p>
    <w:p w14:paraId="0A85FB2F" w14:textId="77777777" w:rsidR="00FA4AA8" w:rsidRDefault="00FA4AA8">
      <w:pPr>
        <w:pStyle w:val="BodyText"/>
        <w:rPr>
          <w:b/>
          <w:sz w:val="20"/>
        </w:rPr>
      </w:pPr>
    </w:p>
    <w:p w14:paraId="5101E203" w14:textId="77777777" w:rsidR="00FA4AA8" w:rsidRDefault="00FA4AA8">
      <w:pPr>
        <w:pStyle w:val="BodyText"/>
        <w:rPr>
          <w:b/>
          <w:sz w:val="20"/>
        </w:rPr>
      </w:pPr>
    </w:p>
    <w:p w14:paraId="50485FCF" w14:textId="77777777" w:rsidR="00FA4AA8" w:rsidRDefault="00FA4AA8">
      <w:pPr>
        <w:pStyle w:val="BodyText"/>
        <w:rPr>
          <w:b/>
          <w:sz w:val="20"/>
        </w:rPr>
      </w:pPr>
    </w:p>
    <w:p w14:paraId="0390766C" w14:textId="77777777" w:rsidR="00FA4AA8" w:rsidRDefault="00FA4AA8">
      <w:pPr>
        <w:pStyle w:val="BodyText"/>
        <w:rPr>
          <w:b/>
          <w:sz w:val="20"/>
        </w:rPr>
      </w:pPr>
    </w:p>
    <w:p w14:paraId="581BC820" w14:textId="77777777" w:rsidR="00FA4AA8" w:rsidRDefault="00FA4AA8">
      <w:pPr>
        <w:pStyle w:val="BodyText"/>
        <w:rPr>
          <w:b/>
          <w:sz w:val="20"/>
        </w:rPr>
      </w:pPr>
    </w:p>
    <w:p w14:paraId="3CD96AFC" w14:textId="77777777" w:rsidR="00FA4AA8" w:rsidRDefault="00FA4AA8">
      <w:pPr>
        <w:pStyle w:val="BodyText"/>
        <w:rPr>
          <w:b/>
          <w:sz w:val="20"/>
        </w:rPr>
      </w:pPr>
    </w:p>
    <w:p w14:paraId="7BEA2CF2" w14:textId="77777777" w:rsidR="00FA4AA8" w:rsidRDefault="00FA4AA8">
      <w:pPr>
        <w:pStyle w:val="BodyText"/>
        <w:rPr>
          <w:b/>
          <w:sz w:val="20"/>
        </w:rPr>
      </w:pPr>
    </w:p>
    <w:p w14:paraId="61CB333A" w14:textId="77777777" w:rsidR="00FA4AA8" w:rsidRDefault="00FA4AA8">
      <w:pPr>
        <w:pStyle w:val="BodyText"/>
        <w:rPr>
          <w:b/>
          <w:sz w:val="20"/>
        </w:rPr>
      </w:pPr>
    </w:p>
    <w:p w14:paraId="4B7926E4" w14:textId="77777777" w:rsidR="00FA4AA8" w:rsidRDefault="00FA4AA8">
      <w:pPr>
        <w:pStyle w:val="BodyText"/>
        <w:rPr>
          <w:b/>
          <w:sz w:val="20"/>
        </w:rPr>
      </w:pPr>
    </w:p>
    <w:p w14:paraId="01D5C51C" w14:textId="77777777" w:rsidR="00FA4AA8" w:rsidRDefault="00FA4AA8">
      <w:pPr>
        <w:pStyle w:val="BodyText"/>
        <w:rPr>
          <w:b/>
          <w:sz w:val="20"/>
        </w:rPr>
      </w:pPr>
    </w:p>
    <w:p w14:paraId="00F77335" w14:textId="77777777" w:rsidR="00FA4AA8" w:rsidRDefault="00FA4AA8">
      <w:pPr>
        <w:pStyle w:val="BodyText"/>
        <w:rPr>
          <w:b/>
          <w:sz w:val="20"/>
        </w:rPr>
      </w:pPr>
    </w:p>
    <w:p w14:paraId="300B55EE" w14:textId="77777777" w:rsidR="00FA4AA8" w:rsidRDefault="00FA4AA8">
      <w:pPr>
        <w:pStyle w:val="BodyText"/>
        <w:rPr>
          <w:b/>
          <w:sz w:val="20"/>
        </w:rPr>
      </w:pPr>
    </w:p>
    <w:p w14:paraId="3DEC533D" w14:textId="77777777" w:rsidR="00FA4AA8" w:rsidRDefault="00FA4AA8">
      <w:pPr>
        <w:pStyle w:val="BodyText"/>
        <w:rPr>
          <w:b/>
          <w:sz w:val="20"/>
        </w:rPr>
      </w:pPr>
    </w:p>
    <w:p w14:paraId="2E42124E" w14:textId="77777777" w:rsidR="00FA4AA8" w:rsidRDefault="00FA4AA8">
      <w:pPr>
        <w:pStyle w:val="BodyText"/>
        <w:rPr>
          <w:b/>
          <w:sz w:val="20"/>
        </w:rPr>
      </w:pPr>
    </w:p>
    <w:p w14:paraId="37C512E7" w14:textId="77777777" w:rsidR="00FA4AA8" w:rsidRDefault="00FA4AA8">
      <w:pPr>
        <w:pStyle w:val="BodyText"/>
        <w:rPr>
          <w:b/>
          <w:sz w:val="20"/>
        </w:rPr>
      </w:pPr>
    </w:p>
    <w:p w14:paraId="1E72F638" w14:textId="77777777" w:rsidR="00FA4AA8" w:rsidRDefault="00FA4AA8">
      <w:pPr>
        <w:pStyle w:val="BodyText"/>
        <w:rPr>
          <w:b/>
          <w:sz w:val="20"/>
        </w:rPr>
      </w:pPr>
    </w:p>
    <w:p w14:paraId="3B5C9511" w14:textId="77777777" w:rsidR="00FA4AA8" w:rsidRDefault="00FA4AA8">
      <w:pPr>
        <w:pStyle w:val="BodyText"/>
        <w:spacing w:before="3"/>
        <w:rPr>
          <w:b/>
          <w:sz w:val="27"/>
        </w:rPr>
      </w:pPr>
    </w:p>
    <w:p w14:paraId="69CF7508" w14:textId="77777777" w:rsidR="00FA4AA8" w:rsidRDefault="0015611F">
      <w:pPr>
        <w:pStyle w:val="BodyText"/>
        <w:ind w:left="194" w:right="11"/>
        <w:jc w:val="center"/>
      </w:pPr>
      <w:r>
        <w:t>The accompanying notes form part of these financial statements.</w:t>
      </w:r>
    </w:p>
    <w:p w14:paraId="56C99529" w14:textId="77777777" w:rsidR="00FA4AA8" w:rsidRDefault="00FA4AA8">
      <w:pPr>
        <w:jc w:val="center"/>
        <w:sectPr w:rsidR="00FA4AA8">
          <w:pgSz w:w="11910" w:h="16840"/>
          <w:pgMar w:top="1560" w:right="840" w:bottom="720" w:left="840" w:header="1017" w:footer="523" w:gutter="0"/>
          <w:cols w:space="720"/>
        </w:sectPr>
      </w:pPr>
    </w:p>
    <w:p w14:paraId="0E6C3D42" w14:textId="77777777" w:rsidR="00FA4AA8" w:rsidRDefault="00FA4AA8">
      <w:pPr>
        <w:pStyle w:val="BodyText"/>
        <w:rPr>
          <w:sz w:val="20"/>
        </w:rPr>
      </w:pPr>
    </w:p>
    <w:p w14:paraId="6976CE03" w14:textId="77777777" w:rsidR="00FA4AA8" w:rsidRDefault="00FA4AA8">
      <w:pPr>
        <w:pStyle w:val="BodyText"/>
        <w:spacing w:before="8"/>
        <w:rPr>
          <w:sz w:val="19"/>
        </w:rPr>
      </w:pPr>
    </w:p>
    <w:p w14:paraId="0DCA3C68" w14:textId="77777777" w:rsidR="00FA4AA8" w:rsidRDefault="0015611F">
      <w:pPr>
        <w:pStyle w:val="BodyText"/>
        <w:spacing w:before="95"/>
        <w:ind w:left="167" w:right="719"/>
      </w:pPr>
      <w:r>
        <w:t>Whitlam Institute Within Western Sydney University Trust (the Trust) is a not-for-profit controlled entity of the Western Sydney University. The Company is incorporated and domiciled in Australia.</w:t>
      </w:r>
    </w:p>
    <w:p w14:paraId="227C2A2A" w14:textId="77777777" w:rsidR="00FA4AA8" w:rsidRDefault="0015611F">
      <w:pPr>
        <w:pStyle w:val="BodyText"/>
        <w:spacing w:before="171"/>
        <w:ind w:left="167" w:right="426"/>
      </w:pPr>
      <w:r>
        <w:t>Material accounting policies adopted in the preparation of these financial statements are presented below and have been consistently applied to all the years reported, unless otherwise stated.</w:t>
      </w:r>
    </w:p>
    <w:p w14:paraId="106A5292" w14:textId="77777777" w:rsidR="00FA4AA8" w:rsidRDefault="0015611F">
      <w:pPr>
        <w:pStyle w:val="BodyText"/>
        <w:spacing w:before="172"/>
        <w:ind w:left="167"/>
      </w:pPr>
      <w:r>
        <w:t>The financial statements were authorised for issue by the Directors on 22 February 2019</w:t>
      </w:r>
    </w:p>
    <w:p w14:paraId="59EE5F30" w14:textId="77777777" w:rsidR="00FA4AA8" w:rsidRDefault="00FA4AA8">
      <w:pPr>
        <w:pStyle w:val="BodyText"/>
        <w:rPr>
          <w:sz w:val="25"/>
        </w:rPr>
      </w:pPr>
    </w:p>
    <w:p w14:paraId="28C69E76" w14:textId="77777777" w:rsidR="00FA4AA8" w:rsidRDefault="0015611F">
      <w:pPr>
        <w:tabs>
          <w:tab w:val="left" w:pos="563"/>
        </w:tabs>
        <w:ind w:left="169"/>
        <w:rPr>
          <w:b/>
          <w:sz w:val="18"/>
        </w:rPr>
      </w:pPr>
      <w:r>
        <w:rPr>
          <w:b/>
          <w:sz w:val="18"/>
        </w:rPr>
        <w:t>1</w:t>
      </w:r>
      <w:r>
        <w:rPr>
          <w:b/>
          <w:sz w:val="18"/>
        </w:rPr>
        <w:tab/>
        <w:t>Summary of Significant Accounting</w:t>
      </w:r>
      <w:r>
        <w:rPr>
          <w:b/>
          <w:spacing w:val="-1"/>
          <w:sz w:val="18"/>
        </w:rPr>
        <w:t xml:space="preserve"> </w:t>
      </w:r>
      <w:r>
        <w:rPr>
          <w:b/>
          <w:sz w:val="18"/>
        </w:rPr>
        <w:t>Policies</w:t>
      </w:r>
    </w:p>
    <w:p w14:paraId="66B9EF87" w14:textId="77777777" w:rsidR="00FA4AA8" w:rsidRDefault="00FA4AA8">
      <w:pPr>
        <w:pStyle w:val="BodyText"/>
        <w:rPr>
          <w:b/>
          <w:sz w:val="25"/>
        </w:rPr>
      </w:pPr>
    </w:p>
    <w:p w14:paraId="06270602" w14:textId="77777777" w:rsidR="00FA4AA8" w:rsidRDefault="0015611F">
      <w:pPr>
        <w:pStyle w:val="ListParagraph"/>
        <w:numPr>
          <w:ilvl w:val="0"/>
          <w:numId w:val="5"/>
        </w:numPr>
        <w:tabs>
          <w:tab w:val="left" w:pos="1130"/>
          <w:tab w:val="left" w:pos="1131"/>
        </w:tabs>
        <w:rPr>
          <w:b/>
          <w:sz w:val="18"/>
        </w:rPr>
      </w:pPr>
      <w:r>
        <w:rPr>
          <w:b/>
          <w:sz w:val="18"/>
        </w:rPr>
        <w:t>Basis of Preparation</w:t>
      </w:r>
    </w:p>
    <w:p w14:paraId="221E26C9" w14:textId="77777777" w:rsidR="00FA4AA8" w:rsidRDefault="00FA4AA8">
      <w:pPr>
        <w:pStyle w:val="BodyText"/>
        <w:rPr>
          <w:b/>
          <w:sz w:val="25"/>
        </w:rPr>
      </w:pPr>
    </w:p>
    <w:p w14:paraId="79C2BF5D" w14:textId="77777777" w:rsidR="00FA4AA8" w:rsidRDefault="0015611F">
      <w:pPr>
        <w:pStyle w:val="BodyText"/>
        <w:ind w:left="563" w:right="256"/>
      </w:pPr>
      <w:r>
        <w:t xml:space="preserve">These financial statements are general purpose financial statements that have been prepared in accordance with Australian Accounting Standards (including Australian Accounting Interpretations), the requirements of the </w:t>
      </w:r>
      <w:r>
        <w:rPr>
          <w:i/>
        </w:rPr>
        <w:t>Public Finance &amp; Audit Act 1983</w:t>
      </w:r>
      <w:r>
        <w:t xml:space="preserve">, </w:t>
      </w:r>
      <w:r>
        <w:rPr>
          <w:i/>
        </w:rPr>
        <w:t xml:space="preserve">Public Finance and Audit Regulation 2015 </w:t>
      </w:r>
      <w:r>
        <w:t>and other authoritative pronouncements of the Australian Accounting Standards Board (AASB).</w:t>
      </w:r>
    </w:p>
    <w:p w14:paraId="3F344487" w14:textId="77777777" w:rsidR="00FA4AA8" w:rsidRDefault="00FA4AA8">
      <w:pPr>
        <w:pStyle w:val="BodyText"/>
        <w:spacing w:before="10"/>
        <w:rPr>
          <w:sz w:val="24"/>
        </w:rPr>
      </w:pPr>
    </w:p>
    <w:p w14:paraId="5335BEB1" w14:textId="77777777" w:rsidR="00FA4AA8" w:rsidRDefault="0015611F">
      <w:pPr>
        <w:pStyle w:val="BodyText"/>
        <w:ind w:left="564" w:right="931"/>
      </w:pPr>
      <w:r>
        <w:t>These financial statements and notes comply with Australian Accounting Standards (Reduced Disclosure Requirements) some of which contains requirements specific to not for profit entities that are inconsistent with International Financial Reporting Standards (IFRS) requirements.</w:t>
      </w:r>
    </w:p>
    <w:p w14:paraId="4FE1695C" w14:textId="77777777" w:rsidR="00FA4AA8" w:rsidRDefault="00FA4AA8">
      <w:pPr>
        <w:pStyle w:val="BodyText"/>
        <w:spacing w:before="10"/>
        <w:rPr>
          <w:sz w:val="24"/>
        </w:rPr>
      </w:pPr>
    </w:p>
    <w:p w14:paraId="1593DF31" w14:textId="77777777" w:rsidR="00FA4AA8" w:rsidRDefault="0015611F">
      <w:pPr>
        <w:pStyle w:val="BodyText"/>
        <w:ind w:left="564" w:right="290"/>
      </w:pPr>
      <w:r>
        <w:t>The financial statements have been prepared on an accruals basis and are based on historical costs, modified, where applicable, by the measurement at fair value of selected non-current assets, financial assets and financial liabilities.</w:t>
      </w:r>
    </w:p>
    <w:p w14:paraId="64E61C70" w14:textId="77777777" w:rsidR="00FA4AA8" w:rsidRDefault="00FA4AA8">
      <w:pPr>
        <w:pStyle w:val="BodyText"/>
        <w:spacing w:before="10"/>
        <w:rPr>
          <w:sz w:val="24"/>
        </w:rPr>
      </w:pPr>
    </w:p>
    <w:p w14:paraId="6ADDD305" w14:textId="77777777" w:rsidR="00FA4AA8" w:rsidRDefault="0015611F">
      <w:pPr>
        <w:numPr>
          <w:ilvl w:val="0"/>
          <w:numId w:val="5"/>
        </w:numPr>
        <w:tabs>
          <w:tab w:val="left" w:pos="1130"/>
          <w:tab w:val="left" w:pos="1131"/>
        </w:tabs>
        <w:spacing w:before="1"/>
        <w:rPr>
          <w:b/>
          <w:sz w:val="18"/>
        </w:rPr>
      </w:pPr>
      <w:r>
        <w:rPr>
          <w:b/>
          <w:sz w:val="18"/>
        </w:rPr>
        <w:t>Income tax</w:t>
      </w:r>
      <w:r>
        <w:rPr>
          <w:b/>
          <w:spacing w:val="-1"/>
          <w:sz w:val="18"/>
        </w:rPr>
        <w:t xml:space="preserve"> </w:t>
      </w:r>
      <w:r>
        <w:rPr>
          <w:b/>
          <w:sz w:val="18"/>
        </w:rPr>
        <w:t>exemption</w:t>
      </w:r>
    </w:p>
    <w:p w14:paraId="5AF55AF4" w14:textId="77777777" w:rsidR="00FA4AA8" w:rsidRDefault="00FA4AA8">
      <w:pPr>
        <w:pStyle w:val="BodyText"/>
        <w:spacing w:before="11"/>
        <w:rPr>
          <w:b/>
          <w:sz w:val="24"/>
        </w:rPr>
      </w:pPr>
    </w:p>
    <w:p w14:paraId="11AF3176" w14:textId="77777777" w:rsidR="00FA4AA8" w:rsidRDefault="0015611F">
      <w:pPr>
        <w:pStyle w:val="BodyText"/>
        <w:ind w:left="563" w:right="813"/>
      </w:pPr>
      <w:r>
        <w:t>The Trust is exempt from the payment of tax by virtue of section 50 B of the Income Tax Assessment Act 1997. Accordingly no provision for income tax liability or future income tax benefit has been included in the accounts.</w:t>
      </w:r>
    </w:p>
    <w:p w14:paraId="09094826" w14:textId="77777777" w:rsidR="00FA4AA8" w:rsidRDefault="00FA4AA8">
      <w:pPr>
        <w:pStyle w:val="BodyText"/>
        <w:spacing w:before="11"/>
        <w:rPr>
          <w:sz w:val="24"/>
        </w:rPr>
      </w:pPr>
    </w:p>
    <w:p w14:paraId="442189D5" w14:textId="77777777" w:rsidR="00FA4AA8" w:rsidRDefault="0015611F">
      <w:pPr>
        <w:numPr>
          <w:ilvl w:val="0"/>
          <w:numId w:val="5"/>
        </w:numPr>
        <w:tabs>
          <w:tab w:val="left" w:pos="1130"/>
          <w:tab w:val="left" w:pos="1131"/>
        </w:tabs>
        <w:rPr>
          <w:b/>
          <w:sz w:val="18"/>
        </w:rPr>
      </w:pPr>
      <w:r>
        <w:rPr>
          <w:b/>
          <w:sz w:val="18"/>
        </w:rPr>
        <w:t>Government grants</w:t>
      </w:r>
    </w:p>
    <w:p w14:paraId="55B19AC7" w14:textId="77777777" w:rsidR="00FA4AA8" w:rsidRDefault="00FA4AA8">
      <w:pPr>
        <w:pStyle w:val="BodyText"/>
        <w:rPr>
          <w:b/>
          <w:sz w:val="25"/>
        </w:rPr>
      </w:pPr>
    </w:p>
    <w:p w14:paraId="198B9B70" w14:textId="77777777" w:rsidR="00FA4AA8" w:rsidRDefault="0015611F">
      <w:pPr>
        <w:pStyle w:val="BodyText"/>
        <w:ind w:left="563" w:right="222"/>
      </w:pPr>
      <w:r>
        <w:t>Grants from the government are recognised at their fair value where the Trust obtains control of the right to receive the grant, it is probable that economic benefits will flow to the Trust and it can be reliably measured.</w:t>
      </w:r>
    </w:p>
    <w:p w14:paraId="1BD6D4AF" w14:textId="77777777" w:rsidR="00FA4AA8" w:rsidRDefault="00FA4AA8">
      <w:pPr>
        <w:pStyle w:val="BodyText"/>
        <w:spacing w:before="10"/>
        <w:rPr>
          <w:sz w:val="24"/>
        </w:rPr>
      </w:pPr>
    </w:p>
    <w:p w14:paraId="1BA9EB82" w14:textId="77777777" w:rsidR="00FA4AA8" w:rsidRDefault="0015611F">
      <w:pPr>
        <w:numPr>
          <w:ilvl w:val="0"/>
          <w:numId w:val="5"/>
        </w:numPr>
        <w:tabs>
          <w:tab w:val="left" w:pos="1130"/>
          <w:tab w:val="left" w:pos="1131"/>
        </w:tabs>
        <w:spacing w:before="1"/>
        <w:rPr>
          <w:b/>
          <w:sz w:val="18"/>
        </w:rPr>
      </w:pPr>
      <w:r>
        <w:rPr>
          <w:b/>
          <w:sz w:val="18"/>
        </w:rPr>
        <w:t>Trade receivables</w:t>
      </w:r>
    </w:p>
    <w:p w14:paraId="60BC9AF7" w14:textId="77777777" w:rsidR="00FA4AA8" w:rsidRDefault="00FA4AA8">
      <w:pPr>
        <w:pStyle w:val="BodyText"/>
        <w:spacing w:before="11"/>
        <w:rPr>
          <w:b/>
          <w:sz w:val="24"/>
        </w:rPr>
      </w:pPr>
    </w:p>
    <w:p w14:paraId="3E91CD2C" w14:textId="77777777" w:rsidR="00FA4AA8" w:rsidRDefault="0015611F">
      <w:pPr>
        <w:pStyle w:val="BodyText"/>
        <w:ind w:left="563" w:right="184"/>
        <w:jc w:val="both"/>
      </w:pPr>
      <w:r>
        <w:t>Trade receivables are recognised initially at fair value and subsequently measured at amortised cost using the effective interest method, less provision for impairment. Trade receivables are generally due for settlement within 30 days. They are presented as current assets unless collection is not expected for more than 12 months after the reporting date.</w:t>
      </w:r>
    </w:p>
    <w:p w14:paraId="7A78E9D9" w14:textId="77777777" w:rsidR="00FA4AA8" w:rsidRDefault="00FA4AA8">
      <w:pPr>
        <w:pStyle w:val="BodyText"/>
        <w:spacing w:before="10"/>
        <w:rPr>
          <w:sz w:val="24"/>
        </w:rPr>
      </w:pPr>
    </w:p>
    <w:p w14:paraId="0BB01402" w14:textId="77777777" w:rsidR="00FA4AA8" w:rsidRDefault="0015611F">
      <w:pPr>
        <w:pStyle w:val="BodyText"/>
        <w:spacing w:before="1"/>
        <w:ind w:left="563" w:right="222"/>
      </w:pPr>
      <w:r>
        <w:t>Collectability of trade receivables is reviewed on an ongoing basis. For trade receivables the Trust applies a simplified approach in calculating expected credit losses (“ECLs”). Therefore, the Trust does not track changes in credit risk, but instead recognises a loss allowance based on lifetime ECLs at each reporting date. The Trust has established a provision matrix that is based on its historical credit loss experience, adjusted for forward-looking factors specific to the debtors and the economic environment. Cash flows relating to short-term receivables are not discounted if the effect of discounting is immaterial.</w:t>
      </w:r>
    </w:p>
    <w:p w14:paraId="7CFC5309" w14:textId="77777777" w:rsidR="00FA4AA8" w:rsidRDefault="00FA4AA8">
      <w:pPr>
        <w:pStyle w:val="BodyText"/>
        <w:spacing w:before="8"/>
        <w:rPr>
          <w:sz w:val="24"/>
        </w:rPr>
      </w:pPr>
    </w:p>
    <w:p w14:paraId="770A76F4" w14:textId="77777777" w:rsidR="00FA4AA8" w:rsidRDefault="0015611F">
      <w:pPr>
        <w:pStyle w:val="BodyText"/>
        <w:spacing w:before="1"/>
        <w:ind w:left="563" w:right="161"/>
      </w:pPr>
      <w:r>
        <w:t>The amount of the impairment loss is recognised in surplus/(deficit) within other comprehensive income. When a trade receivable for which an impairment allowance had been recognised becomes uncollectable in a subsequent period, it is written off against the allowance account. Subsequent recoveries of amounts previously written off are credited against other comprehensive income in surplus/(deficit).</w:t>
      </w:r>
    </w:p>
    <w:p w14:paraId="6782640D" w14:textId="77777777" w:rsidR="00FA4AA8" w:rsidRDefault="00FA4AA8">
      <w:pPr>
        <w:sectPr w:rsidR="00FA4AA8">
          <w:headerReference w:type="default" r:id="rId211"/>
          <w:footerReference w:type="default" r:id="rId212"/>
          <w:pgSz w:w="11910" w:h="16840"/>
          <w:pgMar w:top="2540" w:right="840" w:bottom="720" w:left="840" w:header="1017" w:footer="523" w:gutter="0"/>
          <w:pgNumType w:start="195"/>
          <w:cols w:space="720"/>
        </w:sectPr>
      </w:pPr>
    </w:p>
    <w:p w14:paraId="104538D7" w14:textId="77777777" w:rsidR="00FA4AA8" w:rsidRDefault="00FA4AA8">
      <w:pPr>
        <w:pStyle w:val="BodyText"/>
        <w:rPr>
          <w:sz w:val="20"/>
        </w:rPr>
      </w:pPr>
    </w:p>
    <w:p w14:paraId="4AA25C15" w14:textId="77777777" w:rsidR="00FA4AA8" w:rsidRDefault="00FA4AA8">
      <w:pPr>
        <w:pStyle w:val="BodyText"/>
        <w:spacing w:before="9"/>
        <w:rPr>
          <w:sz w:val="29"/>
        </w:rPr>
      </w:pPr>
    </w:p>
    <w:p w14:paraId="51B37283" w14:textId="77777777" w:rsidR="00FA4AA8" w:rsidRDefault="0015611F">
      <w:pPr>
        <w:tabs>
          <w:tab w:val="left" w:pos="563"/>
        </w:tabs>
        <w:spacing w:before="94"/>
        <w:ind w:left="169"/>
        <w:rPr>
          <w:b/>
          <w:sz w:val="18"/>
        </w:rPr>
      </w:pPr>
      <w:r>
        <w:rPr>
          <w:b/>
          <w:sz w:val="18"/>
        </w:rPr>
        <w:t>1</w:t>
      </w:r>
      <w:r>
        <w:rPr>
          <w:b/>
          <w:sz w:val="18"/>
        </w:rPr>
        <w:tab/>
        <w:t>Summary of Significant Accounting Policies</w:t>
      </w:r>
      <w:r>
        <w:rPr>
          <w:b/>
          <w:spacing w:val="-2"/>
          <w:sz w:val="18"/>
        </w:rPr>
        <w:t xml:space="preserve"> </w:t>
      </w:r>
      <w:r>
        <w:rPr>
          <w:b/>
          <w:sz w:val="18"/>
        </w:rPr>
        <w:t>(continued)</w:t>
      </w:r>
    </w:p>
    <w:p w14:paraId="6C3CE01B" w14:textId="77777777" w:rsidR="00FA4AA8" w:rsidRDefault="00FA4AA8">
      <w:pPr>
        <w:pStyle w:val="BodyText"/>
        <w:rPr>
          <w:b/>
          <w:sz w:val="25"/>
        </w:rPr>
      </w:pPr>
    </w:p>
    <w:p w14:paraId="766E67D0" w14:textId="77777777" w:rsidR="00FA4AA8" w:rsidRDefault="0015611F">
      <w:pPr>
        <w:pStyle w:val="ListParagraph"/>
        <w:numPr>
          <w:ilvl w:val="0"/>
          <w:numId w:val="5"/>
        </w:numPr>
        <w:tabs>
          <w:tab w:val="left" w:pos="1130"/>
          <w:tab w:val="left" w:pos="1131"/>
        </w:tabs>
        <w:rPr>
          <w:b/>
          <w:sz w:val="18"/>
        </w:rPr>
      </w:pPr>
      <w:r>
        <w:rPr>
          <w:b/>
          <w:sz w:val="18"/>
        </w:rPr>
        <w:t>Goods and Services Tax</w:t>
      </w:r>
      <w:r>
        <w:rPr>
          <w:b/>
          <w:spacing w:val="-2"/>
          <w:sz w:val="18"/>
        </w:rPr>
        <w:t xml:space="preserve"> </w:t>
      </w:r>
      <w:r>
        <w:rPr>
          <w:b/>
          <w:sz w:val="18"/>
        </w:rPr>
        <w:t>(GST)</w:t>
      </w:r>
    </w:p>
    <w:p w14:paraId="04918815" w14:textId="77777777" w:rsidR="00FA4AA8" w:rsidRDefault="00FA4AA8">
      <w:pPr>
        <w:pStyle w:val="BodyText"/>
        <w:rPr>
          <w:b/>
          <w:sz w:val="25"/>
        </w:rPr>
      </w:pPr>
    </w:p>
    <w:p w14:paraId="5E1E484C" w14:textId="77777777" w:rsidR="00FA4AA8" w:rsidRDefault="0015611F">
      <w:pPr>
        <w:pStyle w:val="BodyText"/>
        <w:ind w:left="563" w:right="301"/>
      </w:pPr>
      <w:r>
        <w:t>Revenues, expenses and assets are recognised net of the amount of associated GST, unless the GST incurred is not recoverable from the Australian Taxation Office. In this case it is recognised as part of the cost of acquisition of the asset or as part of the expense.</w:t>
      </w:r>
    </w:p>
    <w:p w14:paraId="4AC86E11" w14:textId="77777777" w:rsidR="00FA4AA8" w:rsidRDefault="00FA4AA8">
      <w:pPr>
        <w:pStyle w:val="BodyText"/>
        <w:spacing w:before="10"/>
        <w:rPr>
          <w:sz w:val="24"/>
        </w:rPr>
      </w:pPr>
    </w:p>
    <w:p w14:paraId="06334F95" w14:textId="77777777" w:rsidR="00FA4AA8" w:rsidRDefault="0015611F">
      <w:pPr>
        <w:pStyle w:val="BodyText"/>
        <w:ind w:left="563" w:right="441"/>
      </w:pPr>
      <w:r>
        <w:t>Receivables and payables are stated inclusive of the amount of GST receivable or payable. The net amount of GST recoverable from, or payable to, the Australian Taxation Office is included with other receivables or payables in the statement of financial position.</w:t>
      </w:r>
    </w:p>
    <w:p w14:paraId="7980AC97" w14:textId="77777777" w:rsidR="00FA4AA8" w:rsidRDefault="00FA4AA8">
      <w:pPr>
        <w:pStyle w:val="BodyText"/>
        <w:spacing w:before="11"/>
        <w:rPr>
          <w:sz w:val="24"/>
        </w:rPr>
      </w:pPr>
    </w:p>
    <w:p w14:paraId="586A162A" w14:textId="77777777" w:rsidR="00FA4AA8" w:rsidRDefault="0015611F">
      <w:pPr>
        <w:pStyle w:val="BodyText"/>
        <w:ind w:left="563" w:right="502"/>
      </w:pPr>
      <w:r>
        <w:t>Cash flows are presented on a gross basis. The GST components of cash flows arising from investing or financing activities which are recoverable from, or payable to the Australian Taxation Office, are presented as operating cash flows.</w:t>
      </w:r>
    </w:p>
    <w:p w14:paraId="78E12617" w14:textId="77777777" w:rsidR="00FA4AA8" w:rsidRDefault="00FA4AA8">
      <w:pPr>
        <w:pStyle w:val="BodyText"/>
        <w:spacing w:before="9"/>
        <w:rPr>
          <w:sz w:val="24"/>
        </w:rPr>
      </w:pPr>
    </w:p>
    <w:p w14:paraId="707F4294" w14:textId="77777777" w:rsidR="00FA4AA8" w:rsidRDefault="0015611F">
      <w:pPr>
        <w:numPr>
          <w:ilvl w:val="0"/>
          <w:numId w:val="5"/>
        </w:numPr>
        <w:tabs>
          <w:tab w:val="left" w:pos="1130"/>
          <w:tab w:val="left" w:pos="1131"/>
        </w:tabs>
        <w:spacing w:before="1"/>
        <w:rPr>
          <w:b/>
          <w:sz w:val="18"/>
        </w:rPr>
      </w:pPr>
      <w:r>
        <w:rPr>
          <w:b/>
          <w:sz w:val="18"/>
        </w:rPr>
        <w:t>Comparative amounts</w:t>
      </w:r>
    </w:p>
    <w:p w14:paraId="5D2A1C47" w14:textId="77777777" w:rsidR="00FA4AA8" w:rsidRDefault="00FA4AA8">
      <w:pPr>
        <w:pStyle w:val="BodyText"/>
        <w:spacing w:before="11"/>
        <w:rPr>
          <w:b/>
          <w:sz w:val="24"/>
        </w:rPr>
      </w:pPr>
    </w:p>
    <w:p w14:paraId="338BBB04" w14:textId="77777777" w:rsidR="00FA4AA8" w:rsidRDefault="0015611F">
      <w:pPr>
        <w:pStyle w:val="BodyText"/>
        <w:ind w:left="563"/>
      </w:pPr>
      <w:r>
        <w:t>Comparative information is presented consistent with the previous year unless otherwise stated.</w:t>
      </w:r>
    </w:p>
    <w:p w14:paraId="12925F86" w14:textId="77777777" w:rsidR="00FA4AA8" w:rsidRDefault="00FA4AA8">
      <w:pPr>
        <w:pStyle w:val="BodyText"/>
        <w:rPr>
          <w:sz w:val="25"/>
        </w:rPr>
      </w:pPr>
    </w:p>
    <w:p w14:paraId="14674DB5" w14:textId="77777777" w:rsidR="00FA4AA8" w:rsidRDefault="0015611F">
      <w:pPr>
        <w:numPr>
          <w:ilvl w:val="0"/>
          <w:numId w:val="5"/>
        </w:numPr>
        <w:tabs>
          <w:tab w:val="left" w:pos="1130"/>
          <w:tab w:val="left" w:pos="1131"/>
        </w:tabs>
        <w:rPr>
          <w:b/>
          <w:sz w:val="18"/>
        </w:rPr>
      </w:pPr>
      <w:r>
        <w:rPr>
          <w:b/>
          <w:sz w:val="18"/>
        </w:rPr>
        <w:t>New accounting standards and</w:t>
      </w:r>
      <w:r>
        <w:rPr>
          <w:b/>
          <w:spacing w:val="-1"/>
          <w:sz w:val="18"/>
        </w:rPr>
        <w:t xml:space="preserve"> </w:t>
      </w:r>
      <w:r>
        <w:rPr>
          <w:b/>
          <w:sz w:val="18"/>
        </w:rPr>
        <w:t>interpretations</w:t>
      </w:r>
    </w:p>
    <w:p w14:paraId="5A1CCACE" w14:textId="77777777" w:rsidR="00FA4AA8" w:rsidRDefault="00FA4AA8">
      <w:pPr>
        <w:pStyle w:val="BodyText"/>
        <w:rPr>
          <w:b/>
          <w:sz w:val="25"/>
        </w:rPr>
      </w:pPr>
    </w:p>
    <w:p w14:paraId="1D9D2791" w14:textId="77777777" w:rsidR="00FA4AA8" w:rsidRDefault="0015611F">
      <w:pPr>
        <w:pStyle w:val="BodyText"/>
        <w:ind w:left="564" w:right="196"/>
      </w:pPr>
      <w:r>
        <w:t>Certain new accounting standards and interpretations have been issued but are not mandatory for 31 December 2018 reporting periods and have not been early adopted in the financial statements. The Trust's assessment of the impact of these new standards and interpretations is that they will not materially affect any of the amounts recognised in the financial statements or significantly impact the disclosures in relation to the Trust.</w:t>
      </w:r>
    </w:p>
    <w:p w14:paraId="31039A47" w14:textId="77777777" w:rsidR="00FA4AA8" w:rsidRDefault="00FA4AA8">
      <w:pPr>
        <w:pStyle w:val="BodyText"/>
        <w:spacing w:before="9"/>
        <w:rPr>
          <w:sz w:val="24"/>
        </w:rPr>
      </w:pPr>
    </w:p>
    <w:p w14:paraId="72425CE6" w14:textId="77777777" w:rsidR="00FA4AA8" w:rsidRDefault="0015611F">
      <w:pPr>
        <w:numPr>
          <w:ilvl w:val="0"/>
          <w:numId w:val="5"/>
        </w:numPr>
        <w:tabs>
          <w:tab w:val="left" w:pos="1130"/>
          <w:tab w:val="left" w:pos="1131"/>
        </w:tabs>
        <w:spacing w:before="1"/>
        <w:rPr>
          <w:b/>
          <w:sz w:val="18"/>
        </w:rPr>
      </w:pPr>
      <w:r>
        <w:rPr>
          <w:b/>
          <w:sz w:val="18"/>
        </w:rPr>
        <w:t>Critical accounting estimates and</w:t>
      </w:r>
      <w:r>
        <w:rPr>
          <w:b/>
          <w:spacing w:val="-1"/>
          <w:sz w:val="18"/>
        </w:rPr>
        <w:t xml:space="preserve"> </w:t>
      </w:r>
      <w:r>
        <w:rPr>
          <w:b/>
          <w:sz w:val="18"/>
        </w:rPr>
        <w:t>judgments</w:t>
      </w:r>
    </w:p>
    <w:p w14:paraId="76F2CBDA" w14:textId="77777777" w:rsidR="00FA4AA8" w:rsidRDefault="00FA4AA8">
      <w:pPr>
        <w:pStyle w:val="BodyText"/>
        <w:spacing w:before="11"/>
        <w:rPr>
          <w:b/>
          <w:sz w:val="24"/>
        </w:rPr>
      </w:pPr>
    </w:p>
    <w:p w14:paraId="5B836467" w14:textId="77777777" w:rsidR="00FA4AA8" w:rsidRDefault="0015611F">
      <w:pPr>
        <w:pStyle w:val="BodyText"/>
        <w:ind w:left="563" w:right="201"/>
      </w:pPr>
      <w:r>
        <w:t>The preparation of financial statements requires the use of certain critical accounting estimates. It also requires management to exercise its judgement in the process of applying the Trust's accounting policies. Estimates and judgements are continually evaluated and are based on historic experience and other factors, including expectations of future events that may have a financial impact on the Trust and that are believed to be reasonable under the circumstances.</w:t>
      </w:r>
    </w:p>
    <w:p w14:paraId="5AAFA725" w14:textId="77777777" w:rsidR="00FA4AA8" w:rsidRDefault="00FA4AA8">
      <w:pPr>
        <w:pStyle w:val="BodyText"/>
        <w:spacing w:before="9"/>
        <w:rPr>
          <w:sz w:val="24"/>
        </w:rPr>
      </w:pPr>
    </w:p>
    <w:p w14:paraId="1FAC2D94" w14:textId="77777777" w:rsidR="00FA4AA8" w:rsidRDefault="0015611F">
      <w:pPr>
        <w:pStyle w:val="BodyText"/>
        <w:spacing w:before="1"/>
        <w:ind w:left="563" w:right="322"/>
      </w:pPr>
      <w:r>
        <w:t>The areas involving significant estimations and assumptions are disclosed in note 6 Property, Plant and Equipment. The Trust measures the carrying value of the Whitlam Collection at fair value with changes in fair value going through other comprehensive income. The Trust engages an independent valuation specialist to estimate fair value.</w:t>
      </w:r>
    </w:p>
    <w:p w14:paraId="2B5D5943" w14:textId="77777777" w:rsidR="00FA4AA8" w:rsidRDefault="00FA4AA8">
      <w:pPr>
        <w:pStyle w:val="BodyText"/>
        <w:spacing w:before="9"/>
        <w:rPr>
          <w:sz w:val="24"/>
        </w:rPr>
      </w:pPr>
    </w:p>
    <w:p w14:paraId="373638A8" w14:textId="77777777" w:rsidR="00FA4AA8" w:rsidRDefault="0015611F">
      <w:pPr>
        <w:numPr>
          <w:ilvl w:val="0"/>
          <w:numId w:val="5"/>
        </w:numPr>
        <w:tabs>
          <w:tab w:val="left" w:pos="1130"/>
          <w:tab w:val="left" w:pos="1131"/>
        </w:tabs>
        <w:rPr>
          <w:b/>
          <w:sz w:val="18"/>
        </w:rPr>
      </w:pPr>
      <w:r>
        <w:rPr>
          <w:b/>
          <w:sz w:val="18"/>
        </w:rPr>
        <w:t>Adoption of new and revised accounting</w:t>
      </w:r>
      <w:r>
        <w:rPr>
          <w:b/>
          <w:spacing w:val="-1"/>
          <w:sz w:val="18"/>
        </w:rPr>
        <w:t xml:space="preserve"> </w:t>
      </w:r>
      <w:r>
        <w:rPr>
          <w:b/>
          <w:sz w:val="18"/>
        </w:rPr>
        <w:t>standards</w:t>
      </w:r>
    </w:p>
    <w:p w14:paraId="36284C4A" w14:textId="77777777" w:rsidR="00FA4AA8" w:rsidRDefault="00FA4AA8">
      <w:pPr>
        <w:pStyle w:val="BodyText"/>
        <w:rPr>
          <w:b/>
          <w:sz w:val="25"/>
        </w:rPr>
      </w:pPr>
    </w:p>
    <w:p w14:paraId="430382C2" w14:textId="77777777" w:rsidR="00FA4AA8" w:rsidRDefault="0015611F">
      <w:pPr>
        <w:pStyle w:val="BodyText"/>
        <w:ind w:left="564" w:right="210"/>
      </w:pPr>
      <w:r>
        <w:t>The Trust has adopted all standards which became effective for the first time for the financial year beginning 1 January 2018. The adoption of these standards has not caused any material adjustments to the current year and comparative reported financial position, performance or cash flow of the Trust.</w:t>
      </w:r>
    </w:p>
    <w:p w14:paraId="78BC1813" w14:textId="77777777" w:rsidR="00FA4AA8" w:rsidRDefault="00FA4AA8">
      <w:pPr>
        <w:sectPr w:rsidR="00FA4AA8">
          <w:pgSz w:w="11910" w:h="16840"/>
          <w:pgMar w:top="2540" w:right="840" w:bottom="720" w:left="840" w:header="1017" w:footer="523" w:gutter="0"/>
          <w:cols w:space="720"/>
        </w:sectPr>
      </w:pPr>
    </w:p>
    <w:p w14:paraId="62F49BAB" w14:textId="77777777" w:rsidR="00FA4AA8" w:rsidRDefault="00FA4AA8">
      <w:pPr>
        <w:pStyle w:val="BodyText"/>
        <w:rPr>
          <w:sz w:val="20"/>
        </w:rPr>
      </w:pPr>
    </w:p>
    <w:p w14:paraId="5D04D83E" w14:textId="77777777" w:rsidR="00FA4AA8" w:rsidRDefault="00FA4AA8">
      <w:pPr>
        <w:pStyle w:val="BodyText"/>
        <w:rPr>
          <w:sz w:val="20"/>
        </w:rPr>
      </w:pPr>
    </w:p>
    <w:p w14:paraId="1DE8BCA9" w14:textId="77777777" w:rsidR="00FA4AA8" w:rsidRDefault="00FA4AA8">
      <w:pPr>
        <w:pStyle w:val="BodyText"/>
        <w:spacing w:before="5"/>
      </w:pPr>
    </w:p>
    <w:tbl>
      <w:tblPr>
        <w:tblW w:w="0" w:type="auto"/>
        <w:tblInd w:w="126" w:type="dxa"/>
        <w:tblLayout w:type="fixed"/>
        <w:tblCellMar>
          <w:left w:w="0" w:type="dxa"/>
          <w:right w:w="0" w:type="dxa"/>
        </w:tblCellMar>
        <w:tblLook w:val="01E0" w:firstRow="1" w:lastRow="1" w:firstColumn="1" w:lastColumn="1" w:noHBand="0" w:noVBand="0"/>
      </w:tblPr>
      <w:tblGrid>
        <w:gridCol w:w="297"/>
        <w:gridCol w:w="7074"/>
        <w:gridCol w:w="1472"/>
        <w:gridCol w:w="1123"/>
      </w:tblGrid>
      <w:tr w:rsidR="00FA4AA8" w14:paraId="3D0FF9A9" w14:textId="77777777">
        <w:trPr>
          <w:trHeight w:val="220"/>
        </w:trPr>
        <w:tc>
          <w:tcPr>
            <w:tcW w:w="297" w:type="dxa"/>
          </w:tcPr>
          <w:p w14:paraId="049A55B9" w14:textId="77777777" w:rsidR="00FA4AA8" w:rsidRDefault="0015611F">
            <w:pPr>
              <w:pStyle w:val="TableParagraph"/>
              <w:spacing w:line="201" w:lineRule="exact"/>
              <w:ind w:left="50"/>
              <w:rPr>
                <w:b/>
                <w:sz w:val="18"/>
              </w:rPr>
            </w:pPr>
            <w:r>
              <w:rPr>
                <w:b/>
                <w:w w:val="99"/>
                <w:sz w:val="18"/>
              </w:rPr>
              <w:t>2</w:t>
            </w:r>
          </w:p>
        </w:tc>
        <w:tc>
          <w:tcPr>
            <w:tcW w:w="7074" w:type="dxa"/>
          </w:tcPr>
          <w:p w14:paraId="2FD741C5" w14:textId="77777777" w:rsidR="00FA4AA8" w:rsidRDefault="0015611F">
            <w:pPr>
              <w:pStyle w:val="TableParagraph"/>
              <w:spacing w:line="201" w:lineRule="exact"/>
              <w:ind w:left="148"/>
              <w:rPr>
                <w:b/>
                <w:sz w:val="18"/>
              </w:rPr>
            </w:pPr>
            <w:r>
              <w:rPr>
                <w:b/>
                <w:sz w:val="18"/>
              </w:rPr>
              <w:t>Revenue</w:t>
            </w:r>
          </w:p>
        </w:tc>
        <w:tc>
          <w:tcPr>
            <w:tcW w:w="2595" w:type="dxa"/>
            <w:gridSpan w:val="2"/>
          </w:tcPr>
          <w:p w14:paraId="7002F8CE" w14:textId="77777777" w:rsidR="00FA4AA8" w:rsidRDefault="00FA4AA8">
            <w:pPr>
              <w:pStyle w:val="TableParagraph"/>
              <w:rPr>
                <w:rFonts w:ascii="Times New Roman"/>
                <w:sz w:val="14"/>
              </w:rPr>
            </w:pPr>
          </w:p>
        </w:tc>
      </w:tr>
      <w:tr w:rsidR="00FA4AA8" w14:paraId="0497D5BB" w14:textId="77777777">
        <w:trPr>
          <w:trHeight w:val="256"/>
        </w:trPr>
        <w:tc>
          <w:tcPr>
            <w:tcW w:w="297" w:type="dxa"/>
          </w:tcPr>
          <w:p w14:paraId="28E9A7EE" w14:textId="77777777" w:rsidR="00FA4AA8" w:rsidRDefault="00FA4AA8">
            <w:pPr>
              <w:pStyle w:val="TableParagraph"/>
              <w:rPr>
                <w:rFonts w:ascii="Times New Roman"/>
                <w:sz w:val="18"/>
              </w:rPr>
            </w:pPr>
          </w:p>
        </w:tc>
        <w:tc>
          <w:tcPr>
            <w:tcW w:w="7074" w:type="dxa"/>
          </w:tcPr>
          <w:p w14:paraId="26DC1FA4" w14:textId="77777777" w:rsidR="00FA4AA8" w:rsidRDefault="00FA4AA8">
            <w:pPr>
              <w:pStyle w:val="TableParagraph"/>
              <w:rPr>
                <w:rFonts w:ascii="Times New Roman"/>
                <w:sz w:val="18"/>
              </w:rPr>
            </w:pPr>
          </w:p>
        </w:tc>
        <w:tc>
          <w:tcPr>
            <w:tcW w:w="1472" w:type="dxa"/>
          </w:tcPr>
          <w:p w14:paraId="65B6A9AC" w14:textId="77777777" w:rsidR="00FA4AA8" w:rsidRDefault="0015611F">
            <w:pPr>
              <w:pStyle w:val="TableParagraph"/>
              <w:spacing w:before="13"/>
              <w:ind w:left="449"/>
              <w:rPr>
                <w:b/>
                <w:sz w:val="18"/>
              </w:rPr>
            </w:pPr>
            <w:r>
              <w:rPr>
                <w:b/>
                <w:sz w:val="18"/>
              </w:rPr>
              <w:t>2018</w:t>
            </w:r>
          </w:p>
        </w:tc>
        <w:tc>
          <w:tcPr>
            <w:tcW w:w="1123" w:type="dxa"/>
          </w:tcPr>
          <w:p w14:paraId="2B98162F" w14:textId="77777777" w:rsidR="00FA4AA8" w:rsidRDefault="0015611F">
            <w:pPr>
              <w:pStyle w:val="TableParagraph"/>
              <w:spacing w:before="13"/>
              <w:ind w:left="261"/>
              <w:rPr>
                <w:b/>
                <w:sz w:val="18"/>
              </w:rPr>
            </w:pPr>
            <w:r>
              <w:rPr>
                <w:b/>
                <w:sz w:val="18"/>
              </w:rPr>
              <w:t>2017</w:t>
            </w:r>
          </w:p>
        </w:tc>
      </w:tr>
      <w:tr w:rsidR="00FA4AA8" w14:paraId="075AE01C" w14:textId="77777777">
        <w:trPr>
          <w:trHeight w:val="266"/>
        </w:trPr>
        <w:tc>
          <w:tcPr>
            <w:tcW w:w="297" w:type="dxa"/>
          </w:tcPr>
          <w:p w14:paraId="4FEF1371" w14:textId="77777777" w:rsidR="00FA4AA8" w:rsidRDefault="00FA4AA8">
            <w:pPr>
              <w:pStyle w:val="TableParagraph"/>
              <w:rPr>
                <w:rFonts w:ascii="Times New Roman"/>
                <w:sz w:val="18"/>
              </w:rPr>
            </w:pPr>
          </w:p>
        </w:tc>
        <w:tc>
          <w:tcPr>
            <w:tcW w:w="7074" w:type="dxa"/>
          </w:tcPr>
          <w:p w14:paraId="21C9ABD9" w14:textId="77777777" w:rsidR="00FA4AA8" w:rsidRDefault="00FA4AA8">
            <w:pPr>
              <w:pStyle w:val="TableParagraph"/>
              <w:rPr>
                <w:rFonts w:ascii="Times New Roman"/>
                <w:sz w:val="18"/>
              </w:rPr>
            </w:pPr>
          </w:p>
        </w:tc>
        <w:tc>
          <w:tcPr>
            <w:tcW w:w="1472" w:type="dxa"/>
          </w:tcPr>
          <w:p w14:paraId="50D2567C" w14:textId="77777777" w:rsidR="00FA4AA8" w:rsidRDefault="0015611F">
            <w:pPr>
              <w:pStyle w:val="TableParagraph"/>
              <w:spacing w:before="30"/>
              <w:ind w:right="171"/>
              <w:jc w:val="center"/>
              <w:rPr>
                <w:b/>
                <w:sz w:val="18"/>
              </w:rPr>
            </w:pPr>
            <w:r>
              <w:rPr>
                <w:b/>
                <w:w w:val="99"/>
                <w:sz w:val="18"/>
              </w:rPr>
              <w:t>$</w:t>
            </w:r>
          </w:p>
        </w:tc>
        <w:tc>
          <w:tcPr>
            <w:tcW w:w="1123" w:type="dxa"/>
          </w:tcPr>
          <w:p w14:paraId="304CA4CC" w14:textId="77777777" w:rsidR="00FA4AA8" w:rsidRDefault="0015611F">
            <w:pPr>
              <w:pStyle w:val="TableParagraph"/>
              <w:spacing w:before="30"/>
              <w:ind w:left="410"/>
              <w:rPr>
                <w:b/>
                <w:sz w:val="18"/>
              </w:rPr>
            </w:pPr>
            <w:r>
              <w:rPr>
                <w:b/>
                <w:w w:val="99"/>
                <w:sz w:val="18"/>
              </w:rPr>
              <w:t>$</w:t>
            </w:r>
          </w:p>
        </w:tc>
      </w:tr>
      <w:tr w:rsidR="00FA4AA8" w14:paraId="44B2B581" w14:textId="77777777">
        <w:trPr>
          <w:trHeight w:val="439"/>
        </w:trPr>
        <w:tc>
          <w:tcPr>
            <w:tcW w:w="297" w:type="dxa"/>
          </w:tcPr>
          <w:p w14:paraId="445435EA" w14:textId="77777777" w:rsidR="00FA4AA8" w:rsidRDefault="00FA4AA8">
            <w:pPr>
              <w:pStyle w:val="TableParagraph"/>
              <w:rPr>
                <w:rFonts w:ascii="Times New Roman"/>
                <w:sz w:val="18"/>
              </w:rPr>
            </w:pPr>
          </w:p>
        </w:tc>
        <w:tc>
          <w:tcPr>
            <w:tcW w:w="7074" w:type="dxa"/>
          </w:tcPr>
          <w:p w14:paraId="6DA51E22" w14:textId="77777777" w:rsidR="00FA4AA8" w:rsidRDefault="0015611F">
            <w:pPr>
              <w:pStyle w:val="TableParagraph"/>
              <w:spacing w:before="23" w:line="207" w:lineRule="exact"/>
              <w:ind w:left="147"/>
              <w:rPr>
                <w:b/>
                <w:sz w:val="18"/>
              </w:rPr>
            </w:pPr>
            <w:r>
              <w:rPr>
                <w:b/>
                <w:sz w:val="18"/>
              </w:rPr>
              <w:t>Services</w:t>
            </w:r>
          </w:p>
          <w:p w14:paraId="7281ED2B" w14:textId="77777777" w:rsidR="00FA4AA8" w:rsidRDefault="0015611F">
            <w:pPr>
              <w:pStyle w:val="TableParagraph"/>
              <w:spacing w:line="189" w:lineRule="exact"/>
              <w:ind w:left="147"/>
              <w:rPr>
                <w:sz w:val="18"/>
              </w:rPr>
            </w:pPr>
            <w:r>
              <w:rPr>
                <w:sz w:val="18"/>
              </w:rPr>
              <w:t>Donations</w:t>
            </w:r>
          </w:p>
        </w:tc>
        <w:tc>
          <w:tcPr>
            <w:tcW w:w="1472" w:type="dxa"/>
          </w:tcPr>
          <w:p w14:paraId="7D747D55" w14:textId="77777777" w:rsidR="00FA4AA8" w:rsidRDefault="00FA4AA8">
            <w:pPr>
              <w:pStyle w:val="TableParagraph"/>
              <w:spacing w:before="11"/>
              <w:rPr>
                <w:sz w:val="19"/>
              </w:rPr>
            </w:pPr>
          </w:p>
          <w:p w14:paraId="78F929AD" w14:textId="77777777" w:rsidR="00FA4AA8" w:rsidRDefault="0015611F">
            <w:pPr>
              <w:pStyle w:val="TableParagraph"/>
              <w:spacing w:line="190" w:lineRule="exact"/>
              <w:ind w:right="260"/>
              <w:jc w:val="right"/>
              <w:rPr>
                <w:b/>
                <w:sz w:val="18"/>
              </w:rPr>
            </w:pPr>
            <w:r>
              <w:rPr>
                <w:b/>
                <w:w w:val="95"/>
                <w:sz w:val="18"/>
              </w:rPr>
              <w:t>177,186</w:t>
            </w:r>
          </w:p>
        </w:tc>
        <w:tc>
          <w:tcPr>
            <w:tcW w:w="1123" w:type="dxa"/>
          </w:tcPr>
          <w:p w14:paraId="09C0BF2C" w14:textId="77777777" w:rsidR="00FA4AA8" w:rsidRDefault="00FA4AA8">
            <w:pPr>
              <w:pStyle w:val="TableParagraph"/>
              <w:spacing w:before="11"/>
              <w:rPr>
                <w:sz w:val="19"/>
              </w:rPr>
            </w:pPr>
          </w:p>
          <w:p w14:paraId="4272AF0F" w14:textId="77777777" w:rsidR="00FA4AA8" w:rsidRDefault="0015611F">
            <w:pPr>
              <w:pStyle w:val="TableParagraph"/>
              <w:spacing w:line="190" w:lineRule="exact"/>
              <w:ind w:right="83"/>
              <w:jc w:val="right"/>
              <w:rPr>
                <w:sz w:val="18"/>
              </w:rPr>
            </w:pPr>
            <w:r>
              <w:rPr>
                <w:w w:val="95"/>
                <w:sz w:val="18"/>
              </w:rPr>
              <w:t>177,150</w:t>
            </w:r>
          </w:p>
        </w:tc>
      </w:tr>
      <w:tr w:rsidR="00FA4AA8" w14:paraId="5AB9F301" w14:textId="77777777">
        <w:trPr>
          <w:trHeight w:val="202"/>
        </w:trPr>
        <w:tc>
          <w:tcPr>
            <w:tcW w:w="297" w:type="dxa"/>
          </w:tcPr>
          <w:p w14:paraId="16E9F4A7" w14:textId="77777777" w:rsidR="00FA4AA8" w:rsidRDefault="00FA4AA8">
            <w:pPr>
              <w:pStyle w:val="TableParagraph"/>
              <w:rPr>
                <w:rFonts w:ascii="Times New Roman"/>
                <w:sz w:val="14"/>
              </w:rPr>
            </w:pPr>
          </w:p>
        </w:tc>
        <w:tc>
          <w:tcPr>
            <w:tcW w:w="7074" w:type="dxa"/>
          </w:tcPr>
          <w:p w14:paraId="285B5587" w14:textId="77777777" w:rsidR="00FA4AA8" w:rsidRDefault="0015611F">
            <w:pPr>
              <w:pStyle w:val="TableParagraph"/>
              <w:spacing w:line="182" w:lineRule="exact"/>
              <w:ind w:left="147"/>
              <w:rPr>
                <w:sz w:val="18"/>
              </w:rPr>
            </w:pPr>
            <w:r>
              <w:rPr>
                <w:sz w:val="18"/>
              </w:rPr>
              <w:t>Royalty and intellectual property</w:t>
            </w:r>
          </w:p>
        </w:tc>
        <w:tc>
          <w:tcPr>
            <w:tcW w:w="1472" w:type="dxa"/>
            <w:tcBorders>
              <w:bottom w:val="single" w:sz="4" w:space="0" w:color="000000"/>
            </w:tcBorders>
          </w:tcPr>
          <w:p w14:paraId="52ECF1FC" w14:textId="77777777" w:rsidR="00FA4AA8" w:rsidRDefault="0015611F">
            <w:pPr>
              <w:pStyle w:val="TableParagraph"/>
              <w:spacing w:line="182" w:lineRule="exact"/>
              <w:ind w:right="261"/>
              <w:jc w:val="right"/>
              <w:rPr>
                <w:b/>
                <w:sz w:val="18"/>
              </w:rPr>
            </w:pPr>
            <w:r>
              <w:rPr>
                <w:b/>
                <w:w w:val="99"/>
                <w:sz w:val="18"/>
              </w:rPr>
              <w:t>-</w:t>
            </w:r>
          </w:p>
        </w:tc>
        <w:tc>
          <w:tcPr>
            <w:tcW w:w="1123" w:type="dxa"/>
            <w:tcBorders>
              <w:bottom w:val="single" w:sz="4" w:space="0" w:color="000000"/>
            </w:tcBorders>
          </w:tcPr>
          <w:p w14:paraId="670C377F" w14:textId="77777777" w:rsidR="00FA4AA8" w:rsidRDefault="0015611F">
            <w:pPr>
              <w:pStyle w:val="TableParagraph"/>
              <w:spacing w:line="182" w:lineRule="exact"/>
              <w:ind w:right="84"/>
              <w:jc w:val="right"/>
              <w:rPr>
                <w:sz w:val="18"/>
              </w:rPr>
            </w:pPr>
            <w:r>
              <w:rPr>
                <w:w w:val="95"/>
                <w:sz w:val="18"/>
              </w:rPr>
              <w:t>3,184</w:t>
            </w:r>
          </w:p>
        </w:tc>
      </w:tr>
      <w:tr w:rsidR="00FA4AA8" w14:paraId="2B11F705" w14:textId="77777777">
        <w:trPr>
          <w:trHeight w:val="205"/>
        </w:trPr>
        <w:tc>
          <w:tcPr>
            <w:tcW w:w="297" w:type="dxa"/>
          </w:tcPr>
          <w:p w14:paraId="2AAC4E79" w14:textId="77777777" w:rsidR="00FA4AA8" w:rsidRDefault="00FA4AA8">
            <w:pPr>
              <w:pStyle w:val="TableParagraph"/>
              <w:rPr>
                <w:rFonts w:ascii="Times New Roman"/>
                <w:sz w:val="14"/>
              </w:rPr>
            </w:pPr>
          </w:p>
        </w:tc>
        <w:tc>
          <w:tcPr>
            <w:tcW w:w="7074" w:type="dxa"/>
          </w:tcPr>
          <w:p w14:paraId="2F4B3B05" w14:textId="77777777" w:rsidR="00FA4AA8" w:rsidRDefault="0015611F">
            <w:pPr>
              <w:pStyle w:val="TableParagraph"/>
              <w:spacing w:line="185" w:lineRule="exact"/>
              <w:ind w:left="147"/>
              <w:rPr>
                <w:b/>
                <w:sz w:val="18"/>
              </w:rPr>
            </w:pPr>
            <w:r>
              <w:rPr>
                <w:b/>
                <w:sz w:val="18"/>
              </w:rPr>
              <w:t>Total services</w:t>
            </w:r>
          </w:p>
        </w:tc>
        <w:tc>
          <w:tcPr>
            <w:tcW w:w="1472" w:type="dxa"/>
            <w:tcBorders>
              <w:top w:val="single" w:sz="4" w:space="0" w:color="000000"/>
              <w:bottom w:val="single" w:sz="8" w:space="0" w:color="000000"/>
            </w:tcBorders>
          </w:tcPr>
          <w:p w14:paraId="7423F818" w14:textId="77777777" w:rsidR="00FA4AA8" w:rsidRDefault="0015611F">
            <w:pPr>
              <w:pStyle w:val="TableParagraph"/>
              <w:spacing w:line="185" w:lineRule="exact"/>
              <w:ind w:right="258"/>
              <w:jc w:val="right"/>
              <w:rPr>
                <w:b/>
                <w:sz w:val="18"/>
              </w:rPr>
            </w:pPr>
            <w:r>
              <w:rPr>
                <w:b/>
                <w:w w:val="95"/>
                <w:sz w:val="18"/>
              </w:rPr>
              <w:t>177,186</w:t>
            </w:r>
          </w:p>
        </w:tc>
        <w:tc>
          <w:tcPr>
            <w:tcW w:w="1123" w:type="dxa"/>
            <w:tcBorders>
              <w:top w:val="single" w:sz="4" w:space="0" w:color="000000"/>
              <w:bottom w:val="single" w:sz="8" w:space="0" w:color="000000"/>
            </w:tcBorders>
          </w:tcPr>
          <w:p w14:paraId="22F1A349" w14:textId="77777777" w:rsidR="00FA4AA8" w:rsidRDefault="0015611F">
            <w:pPr>
              <w:pStyle w:val="TableParagraph"/>
              <w:spacing w:line="185" w:lineRule="exact"/>
              <w:ind w:right="83"/>
              <w:jc w:val="right"/>
              <w:rPr>
                <w:sz w:val="18"/>
              </w:rPr>
            </w:pPr>
            <w:r>
              <w:rPr>
                <w:w w:val="95"/>
                <w:sz w:val="18"/>
              </w:rPr>
              <w:t>180,334</w:t>
            </w:r>
          </w:p>
        </w:tc>
      </w:tr>
      <w:tr w:rsidR="00FA4AA8" w14:paraId="48AA5676" w14:textId="77777777">
        <w:trPr>
          <w:trHeight w:val="699"/>
        </w:trPr>
        <w:tc>
          <w:tcPr>
            <w:tcW w:w="297" w:type="dxa"/>
          </w:tcPr>
          <w:p w14:paraId="6B3E49F0" w14:textId="77777777" w:rsidR="00FA4AA8" w:rsidRDefault="00FA4AA8">
            <w:pPr>
              <w:pStyle w:val="TableParagraph"/>
              <w:rPr>
                <w:rFonts w:ascii="Times New Roman"/>
                <w:sz w:val="18"/>
              </w:rPr>
            </w:pPr>
          </w:p>
        </w:tc>
        <w:tc>
          <w:tcPr>
            <w:tcW w:w="7074" w:type="dxa"/>
          </w:tcPr>
          <w:p w14:paraId="4FA77532" w14:textId="77777777" w:rsidR="00FA4AA8" w:rsidRDefault="00FA4AA8">
            <w:pPr>
              <w:pStyle w:val="TableParagraph"/>
              <w:spacing w:before="7"/>
              <w:rPr>
                <w:sz w:val="24"/>
              </w:rPr>
            </w:pPr>
          </w:p>
          <w:p w14:paraId="6647E67D" w14:textId="77777777" w:rsidR="00FA4AA8" w:rsidRDefault="0015611F">
            <w:pPr>
              <w:pStyle w:val="TableParagraph"/>
              <w:spacing w:line="207" w:lineRule="exact"/>
              <w:ind w:left="147"/>
              <w:rPr>
                <w:b/>
                <w:sz w:val="18"/>
              </w:rPr>
            </w:pPr>
            <w:r>
              <w:rPr>
                <w:b/>
                <w:sz w:val="18"/>
              </w:rPr>
              <w:t>Other revenue</w:t>
            </w:r>
          </w:p>
          <w:p w14:paraId="6F6235C1" w14:textId="77777777" w:rsidR="00FA4AA8" w:rsidRDefault="0015611F">
            <w:pPr>
              <w:pStyle w:val="TableParagraph"/>
              <w:spacing w:line="189" w:lineRule="exact"/>
              <w:ind w:left="147"/>
              <w:rPr>
                <w:sz w:val="18"/>
              </w:rPr>
            </w:pPr>
            <w:r>
              <w:rPr>
                <w:sz w:val="18"/>
              </w:rPr>
              <w:t>Interest</w:t>
            </w:r>
          </w:p>
        </w:tc>
        <w:tc>
          <w:tcPr>
            <w:tcW w:w="1472" w:type="dxa"/>
            <w:tcBorders>
              <w:top w:val="single" w:sz="8" w:space="0" w:color="000000"/>
            </w:tcBorders>
          </w:tcPr>
          <w:p w14:paraId="25B51FFB" w14:textId="77777777" w:rsidR="00FA4AA8" w:rsidRDefault="00FA4AA8">
            <w:pPr>
              <w:pStyle w:val="TableParagraph"/>
              <w:rPr>
                <w:sz w:val="20"/>
              </w:rPr>
            </w:pPr>
          </w:p>
          <w:p w14:paraId="3098A532" w14:textId="77777777" w:rsidR="00FA4AA8" w:rsidRDefault="00FA4AA8">
            <w:pPr>
              <w:pStyle w:val="TableParagraph"/>
              <w:spacing w:before="7"/>
            </w:pPr>
          </w:p>
          <w:p w14:paraId="6B062DCD" w14:textId="77777777" w:rsidR="00FA4AA8" w:rsidRDefault="0015611F">
            <w:pPr>
              <w:pStyle w:val="TableParagraph"/>
              <w:spacing w:line="190" w:lineRule="exact"/>
              <w:ind w:right="259"/>
              <w:jc w:val="right"/>
              <w:rPr>
                <w:b/>
                <w:sz w:val="18"/>
              </w:rPr>
            </w:pPr>
            <w:r>
              <w:rPr>
                <w:b/>
                <w:w w:val="95"/>
                <w:sz w:val="18"/>
              </w:rPr>
              <w:t>10,916</w:t>
            </w:r>
          </w:p>
        </w:tc>
        <w:tc>
          <w:tcPr>
            <w:tcW w:w="1123" w:type="dxa"/>
            <w:tcBorders>
              <w:top w:val="single" w:sz="8" w:space="0" w:color="000000"/>
            </w:tcBorders>
          </w:tcPr>
          <w:p w14:paraId="67180BFA" w14:textId="77777777" w:rsidR="00FA4AA8" w:rsidRDefault="00FA4AA8">
            <w:pPr>
              <w:pStyle w:val="TableParagraph"/>
              <w:rPr>
                <w:sz w:val="20"/>
              </w:rPr>
            </w:pPr>
          </w:p>
          <w:p w14:paraId="2090756D" w14:textId="77777777" w:rsidR="00FA4AA8" w:rsidRDefault="00FA4AA8">
            <w:pPr>
              <w:pStyle w:val="TableParagraph"/>
              <w:spacing w:before="7"/>
            </w:pPr>
          </w:p>
          <w:p w14:paraId="60F596E2" w14:textId="77777777" w:rsidR="00FA4AA8" w:rsidRDefault="0015611F">
            <w:pPr>
              <w:pStyle w:val="TableParagraph"/>
              <w:spacing w:line="190" w:lineRule="exact"/>
              <w:ind w:right="83"/>
              <w:jc w:val="right"/>
              <w:rPr>
                <w:sz w:val="18"/>
              </w:rPr>
            </w:pPr>
            <w:r>
              <w:rPr>
                <w:w w:val="95"/>
                <w:sz w:val="18"/>
              </w:rPr>
              <w:t>10,713</w:t>
            </w:r>
          </w:p>
        </w:tc>
      </w:tr>
      <w:tr w:rsidR="00FA4AA8" w14:paraId="3ABE0E41" w14:textId="77777777">
        <w:trPr>
          <w:trHeight w:val="201"/>
        </w:trPr>
        <w:tc>
          <w:tcPr>
            <w:tcW w:w="297" w:type="dxa"/>
          </w:tcPr>
          <w:p w14:paraId="49C3B818" w14:textId="77777777" w:rsidR="00FA4AA8" w:rsidRDefault="00FA4AA8">
            <w:pPr>
              <w:pStyle w:val="TableParagraph"/>
              <w:rPr>
                <w:rFonts w:ascii="Times New Roman"/>
                <w:sz w:val="14"/>
              </w:rPr>
            </w:pPr>
          </w:p>
        </w:tc>
        <w:tc>
          <w:tcPr>
            <w:tcW w:w="7074" w:type="dxa"/>
          </w:tcPr>
          <w:p w14:paraId="747A58A4" w14:textId="77777777" w:rsidR="00FA4AA8" w:rsidRDefault="0015611F">
            <w:pPr>
              <w:pStyle w:val="TableParagraph"/>
              <w:spacing w:line="182" w:lineRule="exact"/>
              <w:ind w:left="147"/>
              <w:rPr>
                <w:sz w:val="18"/>
              </w:rPr>
            </w:pPr>
            <w:r>
              <w:rPr>
                <w:sz w:val="18"/>
              </w:rPr>
              <w:t>Distributions from managed funds</w:t>
            </w:r>
          </w:p>
        </w:tc>
        <w:tc>
          <w:tcPr>
            <w:tcW w:w="1472" w:type="dxa"/>
            <w:tcBorders>
              <w:bottom w:val="single" w:sz="4" w:space="0" w:color="000000"/>
            </w:tcBorders>
          </w:tcPr>
          <w:p w14:paraId="14A78950" w14:textId="77777777" w:rsidR="00FA4AA8" w:rsidRDefault="0015611F">
            <w:pPr>
              <w:pStyle w:val="TableParagraph"/>
              <w:spacing w:line="182" w:lineRule="exact"/>
              <w:ind w:right="259"/>
              <w:jc w:val="right"/>
              <w:rPr>
                <w:b/>
                <w:sz w:val="18"/>
              </w:rPr>
            </w:pPr>
            <w:r>
              <w:rPr>
                <w:b/>
                <w:w w:val="95"/>
                <w:sz w:val="18"/>
              </w:rPr>
              <w:t>6,065</w:t>
            </w:r>
          </w:p>
        </w:tc>
        <w:tc>
          <w:tcPr>
            <w:tcW w:w="1123" w:type="dxa"/>
            <w:tcBorders>
              <w:bottom w:val="single" w:sz="4" w:space="0" w:color="000000"/>
            </w:tcBorders>
          </w:tcPr>
          <w:p w14:paraId="7A4B6DBE" w14:textId="77777777" w:rsidR="00FA4AA8" w:rsidRDefault="0015611F">
            <w:pPr>
              <w:pStyle w:val="TableParagraph"/>
              <w:spacing w:line="182" w:lineRule="exact"/>
              <w:ind w:right="84"/>
              <w:jc w:val="right"/>
              <w:rPr>
                <w:sz w:val="18"/>
              </w:rPr>
            </w:pPr>
            <w:r>
              <w:rPr>
                <w:w w:val="95"/>
                <w:sz w:val="18"/>
              </w:rPr>
              <w:t>5,195</w:t>
            </w:r>
          </w:p>
        </w:tc>
      </w:tr>
      <w:tr w:rsidR="00FA4AA8" w14:paraId="02374167" w14:textId="77777777">
        <w:trPr>
          <w:trHeight w:val="205"/>
        </w:trPr>
        <w:tc>
          <w:tcPr>
            <w:tcW w:w="297" w:type="dxa"/>
          </w:tcPr>
          <w:p w14:paraId="2835B3C0" w14:textId="77777777" w:rsidR="00FA4AA8" w:rsidRDefault="00FA4AA8">
            <w:pPr>
              <w:pStyle w:val="TableParagraph"/>
              <w:rPr>
                <w:rFonts w:ascii="Times New Roman"/>
                <w:sz w:val="14"/>
              </w:rPr>
            </w:pPr>
          </w:p>
        </w:tc>
        <w:tc>
          <w:tcPr>
            <w:tcW w:w="7074" w:type="dxa"/>
          </w:tcPr>
          <w:p w14:paraId="2F3D81F3" w14:textId="77777777" w:rsidR="00FA4AA8" w:rsidRDefault="0015611F">
            <w:pPr>
              <w:pStyle w:val="TableParagraph"/>
              <w:spacing w:line="185" w:lineRule="exact"/>
              <w:ind w:left="147"/>
              <w:rPr>
                <w:b/>
                <w:sz w:val="18"/>
              </w:rPr>
            </w:pPr>
            <w:r>
              <w:rPr>
                <w:b/>
                <w:sz w:val="18"/>
              </w:rPr>
              <w:t>Total other revenue</w:t>
            </w:r>
          </w:p>
        </w:tc>
        <w:tc>
          <w:tcPr>
            <w:tcW w:w="1472" w:type="dxa"/>
            <w:tcBorders>
              <w:top w:val="single" w:sz="4" w:space="0" w:color="000000"/>
              <w:bottom w:val="single" w:sz="4" w:space="0" w:color="000000"/>
            </w:tcBorders>
          </w:tcPr>
          <w:p w14:paraId="65AF1FC4" w14:textId="77777777" w:rsidR="00FA4AA8" w:rsidRDefault="0015611F">
            <w:pPr>
              <w:pStyle w:val="TableParagraph"/>
              <w:spacing w:line="185" w:lineRule="exact"/>
              <w:ind w:right="259"/>
              <w:jc w:val="right"/>
              <w:rPr>
                <w:b/>
                <w:sz w:val="18"/>
              </w:rPr>
            </w:pPr>
            <w:r>
              <w:rPr>
                <w:b/>
                <w:w w:val="95"/>
                <w:sz w:val="18"/>
              </w:rPr>
              <w:t>16,981</w:t>
            </w:r>
          </w:p>
        </w:tc>
        <w:tc>
          <w:tcPr>
            <w:tcW w:w="1123" w:type="dxa"/>
            <w:tcBorders>
              <w:top w:val="single" w:sz="4" w:space="0" w:color="000000"/>
              <w:bottom w:val="single" w:sz="4" w:space="0" w:color="000000"/>
            </w:tcBorders>
          </w:tcPr>
          <w:p w14:paraId="0A628FE7" w14:textId="77777777" w:rsidR="00FA4AA8" w:rsidRDefault="0015611F">
            <w:pPr>
              <w:pStyle w:val="TableParagraph"/>
              <w:spacing w:line="185" w:lineRule="exact"/>
              <w:ind w:right="83"/>
              <w:jc w:val="right"/>
              <w:rPr>
                <w:sz w:val="18"/>
              </w:rPr>
            </w:pPr>
            <w:r>
              <w:rPr>
                <w:w w:val="95"/>
                <w:sz w:val="18"/>
              </w:rPr>
              <w:t>15,908</w:t>
            </w:r>
          </w:p>
        </w:tc>
      </w:tr>
      <w:tr w:rsidR="00FA4AA8" w14:paraId="7ABD544E" w14:textId="77777777">
        <w:trPr>
          <w:trHeight w:val="489"/>
        </w:trPr>
        <w:tc>
          <w:tcPr>
            <w:tcW w:w="297" w:type="dxa"/>
          </w:tcPr>
          <w:p w14:paraId="1CD4AD8A" w14:textId="77777777" w:rsidR="00FA4AA8" w:rsidRDefault="00FA4AA8">
            <w:pPr>
              <w:pStyle w:val="TableParagraph"/>
              <w:rPr>
                <w:rFonts w:ascii="Times New Roman"/>
                <w:sz w:val="18"/>
              </w:rPr>
            </w:pPr>
          </w:p>
        </w:tc>
        <w:tc>
          <w:tcPr>
            <w:tcW w:w="7074" w:type="dxa"/>
          </w:tcPr>
          <w:p w14:paraId="2612458D" w14:textId="77777777" w:rsidR="00FA4AA8" w:rsidRDefault="00FA4AA8">
            <w:pPr>
              <w:pStyle w:val="TableParagraph"/>
              <w:spacing w:before="7"/>
              <w:rPr>
                <w:sz w:val="24"/>
              </w:rPr>
            </w:pPr>
          </w:p>
          <w:p w14:paraId="26030878" w14:textId="77777777" w:rsidR="00FA4AA8" w:rsidRDefault="0015611F">
            <w:pPr>
              <w:pStyle w:val="TableParagraph"/>
              <w:spacing w:before="1" w:line="185" w:lineRule="exact"/>
              <w:ind w:left="147"/>
              <w:rPr>
                <w:b/>
                <w:sz w:val="18"/>
              </w:rPr>
            </w:pPr>
            <w:r>
              <w:rPr>
                <w:b/>
                <w:sz w:val="18"/>
              </w:rPr>
              <w:t>Total revenue</w:t>
            </w:r>
          </w:p>
        </w:tc>
        <w:tc>
          <w:tcPr>
            <w:tcW w:w="1472" w:type="dxa"/>
            <w:tcBorders>
              <w:top w:val="single" w:sz="4" w:space="0" w:color="000000"/>
              <w:bottom w:val="single" w:sz="8" w:space="0" w:color="000000"/>
            </w:tcBorders>
          </w:tcPr>
          <w:p w14:paraId="5D6899B1" w14:textId="77777777" w:rsidR="00FA4AA8" w:rsidRDefault="00FA4AA8">
            <w:pPr>
              <w:pStyle w:val="TableParagraph"/>
              <w:spacing w:before="7"/>
              <w:rPr>
                <w:sz w:val="24"/>
              </w:rPr>
            </w:pPr>
          </w:p>
          <w:p w14:paraId="10DCFAB0" w14:textId="77777777" w:rsidR="00FA4AA8" w:rsidRDefault="0015611F">
            <w:pPr>
              <w:pStyle w:val="TableParagraph"/>
              <w:spacing w:before="1" w:line="185" w:lineRule="exact"/>
              <w:ind w:right="258"/>
              <w:jc w:val="right"/>
              <w:rPr>
                <w:b/>
                <w:sz w:val="18"/>
              </w:rPr>
            </w:pPr>
            <w:r>
              <w:rPr>
                <w:b/>
                <w:w w:val="95"/>
                <w:sz w:val="18"/>
              </w:rPr>
              <w:t>194,167</w:t>
            </w:r>
          </w:p>
        </w:tc>
        <w:tc>
          <w:tcPr>
            <w:tcW w:w="1123" w:type="dxa"/>
            <w:tcBorders>
              <w:top w:val="single" w:sz="4" w:space="0" w:color="000000"/>
              <w:bottom w:val="single" w:sz="8" w:space="0" w:color="000000"/>
            </w:tcBorders>
          </w:tcPr>
          <w:p w14:paraId="0889EE2F" w14:textId="77777777" w:rsidR="00FA4AA8" w:rsidRDefault="00FA4AA8">
            <w:pPr>
              <w:pStyle w:val="TableParagraph"/>
              <w:spacing w:before="7"/>
              <w:rPr>
                <w:sz w:val="24"/>
              </w:rPr>
            </w:pPr>
          </w:p>
          <w:p w14:paraId="2E83360D" w14:textId="77777777" w:rsidR="00FA4AA8" w:rsidRDefault="0015611F">
            <w:pPr>
              <w:pStyle w:val="TableParagraph"/>
              <w:spacing w:before="1" w:line="185" w:lineRule="exact"/>
              <w:ind w:right="83"/>
              <w:jc w:val="right"/>
              <w:rPr>
                <w:sz w:val="18"/>
              </w:rPr>
            </w:pPr>
            <w:r>
              <w:rPr>
                <w:w w:val="95"/>
                <w:sz w:val="18"/>
              </w:rPr>
              <w:t>196,242</w:t>
            </w:r>
          </w:p>
        </w:tc>
      </w:tr>
      <w:tr w:rsidR="00FA4AA8" w14:paraId="674839AC" w14:textId="77777777">
        <w:trPr>
          <w:trHeight w:val="514"/>
        </w:trPr>
        <w:tc>
          <w:tcPr>
            <w:tcW w:w="297" w:type="dxa"/>
          </w:tcPr>
          <w:p w14:paraId="4C582E65" w14:textId="77777777" w:rsidR="00FA4AA8" w:rsidRDefault="00FA4AA8">
            <w:pPr>
              <w:pStyle w:val="TableParagraph"/>
              <w:rPr>
                <w:rFonts w:ascii="Times New Roman"/>
                <w:sz w:val="18"/>
              </w:rPr>
            </w:pPr>
          </w:p>
        </w:tc>
        <w:tc>
          <w:tcPr>
            <w:tcW w:w="7074" w:type="dxa"/>
          </w:tcPr>
          <w:p w14:paraId="6DF8AE7B" w14:textId="77777777" w:rsidR="00FA4AA8" w:rsidRDefault="00FA4AA8">
            <w:pPr>
              <w:pStyle w:val="TableParagraph"/>
              <w:spacing w:before="8"/>
              <w:rPr>
                <w:sz w:val="26"/>
              </w:rPr>
            </w:pPr>
          </w:p>
          <w:p w14:paraId="784AA40F" w14:textId="77777777" w:rsidR="00FA4AA8" w:rsidRDefault="0015611F">
            <w:pPr>
              <w:pStyle w:val="TableParagraph"/>
              <w:tabs>
                <w:tab w:val="left" w:pos="715"/>
              </w:tabs>
              <w:spacing w:line="187" w:lineRule="exact"/>
              <w:ind w:left="149"/>
              <w:rPr>
                <w:b/>
                <w:sz w:val="18"/>
              </w:rPr>
            </w:pPr>
            <w:r>
              <w:rPr>
                <w:b/>
                <w:sz w:val="18"/>
              </w:rPr>
              <w:t>(a)</w:t>
            </w:r>
            <w:r>
              <w:rPr>
                <w:b/>
                <w:sz w:val="18"/>
              </w:rPr>
              <w:tab/>
              <w:t>Accounting policy</w:t>
            </w:r>
          </w:p>
        </w:tc>
        <w:tc>
          <w:tcPr>
            <w:tcW w:w="1472" w:type="dxa"/>
            <w:tcBorders>
              <w:top w:val="single" w:sz="8" w:space="0" w:color="000000"/>
            </w:tcBorders>
          </w:tcPr>
          <w:p w14:paraId="6284CB8F" w14:textId="77777777" w:rsidR="00FA4AA8" w:rsidRDefault="00FA4AA8">
            <w:pPr>
              <w:pStyle w:val="TableParagraph"/>
              <w:rPr>
                <w:rFonts w:ascii="Times New Roman"/>
                <w:sz w:val="18"/>
              </w:rPr>
            </w:pPr>
          </w:p>
        </w:tc>
        <w:tc>
          <w:tcPr>
            <w:tcW w:w="1123" w:type="dxa"/>
            <w:tcBorders>
              <w:top w:val="single" w:sz="8" w:space="0" w:color="000000"/>
            </w:tcBorders>
          </w:tcPr>
          <w:p w14:paraId="1B820D62" w14:textId="77777777" w:rsidR="00FA4AA8" w:rsidRDefault="00FA4AA8">
            <w:pPr>
              <w:pStyle w:val="TableParagraph"/>
              <w:rPr>
                <w:rFonts w:ascii="Times New Roman"/>
                <w:sz w:val="18"/>
              </w:rPr>
            </w:pPr>
          </w:p>
        </w:tc>
      </w:tr>
    </w:tbl>
    <w:p w14:paraId="58D969DA" w14:textId="77777777" w:rsidR="00FA4AA8" w:rsidRDefault="00FA4AA8">
      <w:pPr>
        <w:pStyle w:val="BodyText"/>
        <w:spacing w:before="2"/>
        <w:rPr>
          <w:sz w:val="17"/>
        </w:rPr>
      </w:pPr>
    </w:p>
    <w:p w14:paraId="27BEBF64" w14:textId="77777777" w:rsidR="00FA4AA8" w:rsidRDefault="0015611F">
      <w:pPr>
        <w:pStyle w:val="BodyText"/>
        <w:spacing w:before="94"/>
        <w:ind w:left="563"/>
      </w:pPr>
      <w:r>
        <w:t>Revenue is measured at the fair value of the consideration received or receivable.</w:t>
      </w:r>
    </w:p>
    <w:p w14:paraId="5BC12815" w14:textId="77777777" w:rsidR="00FA4AA8" w:rsidRDefault="00FA4AA8">
      <w:pPr>
        <w:pStyle w:val="BodyText"/>
        <w:rPr>
          <w:sz w:val="25"/>
        </w:rPr>
      </w:pPr>
    </w:p>
    <w:p w14:paraId="1C2B95C8" w14:textId="77777777" w:rsidR="00FA4AA8" w:rsidRDefault="0015611F">
      <w:pPr>
        <w:pStyle w:val="BodyText"/>
        <w:ind w:left="563" w:right="130"/>
      </w:pPr>
      <w:r>
        <w:t>The Trust recognises revenue when the amount of revenue can be reliably measured, it is probable that future economic benefits will flow to the entity and specific criteria have been met for each of the Trust's activities as described below. The Trust bases its estimates on historical results, taking into consideration the type of customer, the type of transaction and the specifics of each</w:t>
      </w:r>
      <w:r>
        <w:rPr>
          <w:spacing w:val="-1"/>
        </w:rPr>
        <w:t xml:space="preserve"> </w:t>
      </w:r>
      <w:r>
        <w:t>arrangement.</w:t>
      </w:r>
    </w:p>
    <w:p w14:paraId="4F1DDF90" w14:textId="77777777" w:rsidR="00FA4AA8" w:rsidRDefault="00FA4AA8">
      <w:pPr>
        <w:pStyle w:val="BodyText"/>
        <w:spacing w:before="10"/>
        <w:rPr>
          <w:sz w:val="24"/>
        </w:rPr>
      </w:pPr>
    </w:p>
    <w:p w14:paraId="48168336" w14:textId="77777777" w:rsidR="00FA4AA8" w:rsidRDefault="0015611F">
      <w:pPr>
        <w:pStyle w:val="BodyText"/>
        <w:ind w:left="563"/>
      </w:pPr>
      <w:r>
        <w:t>Revenue is recognised for the major business activities as follows:</w:t>
      </w:r>
    </w:p>
    <w:p w14:paraId="22B477AD" w14:textId="77777777" w:rsidR="00FA4AA8" w:rsidRDefault="00FA4AA8">
      <w:pPr>
        <w:pStyle w:val="BodyText"/>
        <w:rPr>
          <w:sz w:val="25"/>
        </w:rPr>
      </w:pPr>
    </w:p>
    <w:p w14:paraId="005FDF26" w14:textId="77777777" w:rsidR="00FA4AA8" w:rsidRDefault="0015611F">
      <w:pPr>
        <w:numPr>
          <w:ilvl w:val="0"/>
          <w:numId w:val="37"/>
        </w:numPr>
        <w:tabs>
          <w:tab w:val="left" w:pos="784"/>
        </w:tabs>
        <w:ind w:hanging="221"/>
        <w:rPr>
          <w:sz w:val="18"/>
        </w:rPr>
      </w:pPr>
      <w:r>
        <w:rPr>
          <w:b/>
          <w:sz w:val="18"/>
        </w:rPr>
        <w:t>Donations, Scholarships and Prize</w:t>
      </w:r>
      <w:r>
        <w:rPr>
          <w:sz w:val="18"/>
        </w:rPr>
        <w:t>s</w:t>
      </w:r>
    </w:p>
    <w:p w14:paraId="79006A3A" w14:textId="77777777" w:rsidR="00FA4AA8" w:rsidRDefault="00FA4AA8">
      <w:pPr>
        <w:pStyle w:val="BodyText"/>
        <w:rPr>
          <w:sz w:val="25"/>
        </w:rPr>
      </w:pPr>
    </w:p>
    <w:p w14:paraId="1FF82078" w14:textId="77777777" w:rsidR="00FA4AA8" w:rsidRDefault="0015611F">
      <w:pPr>
        <w:pStyle w:val="BodyText"/>
        <w:ind w:left="563"/>
      </w:pPr>
      <w:r>
        <w:t>Donations, scholarships and prizes are recognised when they are received.</w:t>
      </w:r>
    </w:p>
    <w:p w14:paraId="0D0264F4" w14:textId="77777777" w:rsidR="00FA4AA8" w:rsidRDefault="00FA4AA8">
      <w:pPr>
        <w:pStyle w:val="BodyText"/>
        <w:rPr>
          <w:sz w:val="25"/>
        </w:rPr>
      </w:pPr>
    </w:p>
    <w:p w14:paraId="2FE79173" w14:textId="77777777" w:rsidR="00FA4AA8" w:rsidRDefault="0015611F">
      <w:pPr>
        <w:numPr>
          <w:ilvl w:val="0"/>
          <w:numId w:val="37"/>
        </w:numPr>
        <w:tabs>
          <w:tab w:val="left" w:pos="834"/>
        </w:tabs>
        <w:ind w:left="833" w:hanging="271"/>
        <w:rPr>
          <w:b/>
          <w:sz w:val="18"/>
        </w:rPr>
      </w:pPr>
      <w:r>
        <w:rPr>
          <w:b/>
          <w:sz w:val="18"/>
        </w:rPr>
        <w:t>Event income</w:t>
      </w:r>
    </w:p>
    <w:p w14:paraId="61C3B414" w14:textId="77777777" w:rsidR="00FA4AA8" w:rsidRDefault="00FA4AA8">
      <w:pPr>
        <w:pStyle w:val="BodyText"/>
        <w:rPr>
          <w:b/>
          <w:sz w:val="25"/>
        </w:rPr>
      </w:pPr>
    </w:p>
    <w:p w14:paraId="2BE05229" w14:textId="77777777" w:rsidR="00FA4AA8" w:rsidRDefault="0015611F">
      <w:pPr>
        <w:pStyle w:val="BodyText"/>
        <w:ind w:left="563"/>
      </w:pPr>
      <w:r>
        <w:t>Event income is recognised when it is probable the economic benefits associated with the transaction flows to the entity.</w:t>
      </w:r>
    </w:p>
    <w:p w14:paraId="57BCC224" w14:textId="77777777" w:rsidR="00FA4AA8" w:rsidRDefault="00FA4AA8">
      <w:pPr>
        <w:pStyle w:val="BodyText"/>
        <w:rPr>
          <w:sz w:val="25"/>
        </w:rPr>
      </w:pPr>
    </w:p>
    <w:p w14:paraId="7F70B159" w14:textId="77777777" w:rsidR="00FA4AA8" w:rsidRDefault="0015611F">
      <w:pPr>
        <w:numPr>
          <w:ilvl w:val="0"/>
          <w:numId w:val="37"/>
        </w:numPr>
        <w:tabs>
          <w:tab w:val="left" w:pos="884"/>
        </w:tabs>
        <w:ind w:left="883" w:hanging="321"/>
        <w:rPr>
          <w:b/>
          <w:sz w:val="18"/>
        </w:rPr>
      </w:pPr>
      <w:r>
        <w:rPr>
          <w:b/>
          <w:sz w:val="18"/>
        </w:rPr>
        <w:t>Investment income</w:t>
      </w:r>
    </w:p>
    <w:p w14:paraId="21508E1B" w14:textId="77777777" w:rsidR="00FA4AA8" w:rsidRDefault="00FA4AA8">
      <w:pPr>
        <w:pStyle w:val="BodyText"/>
        <w:rPr>
          <w:b/>
          <w:sz w:val="25"/>
        </w:rPr>
      </w:pPr>
    </w:p>
    <w:p w14:paraId="2A687581" w14:textId="77777777" w:rsidR="00FA4AA8" w:rsidRDefault="0015611F">
      <w:pPr>
        <w:pStyle w:val="BodyText"/>
        <w:ind w:left="563"/>
      </w:pPr>
      <w:r>
        <w:t>Investment income is recognised as it accrues using the effective interest method.</w:t>
      </w:r>
    </w:p>
    <w:p w14:paraId="0470AB96" w14:textId="77777777" w:rsidR="00FA4AA8" w:rsidRDefault="00FA4AA8">
      <w:pPr>
        <w:pStyle w:val="BodyText"/>
        <w:spacing w:before="8"/>
        <w:rPr>
          <w:sz w:val="26"/>
        </w:rPr>
      </w:pPr>
    </w:p>
    <w:p w14:paraId="7173452C" w14:textId="77777777" w:rsidR="00FA4AA8" w:rsidRDefault="0015611F">
      <w:pPr>
        <w:tabs>
          <w:tab w:val="left" w:pos="563"/>
        </w:tabs>
        <w:spacing w:after="10"/>
        <w:ind w:left="169"/>
        <w:rPr>
          <w:b/>
          <w:sz w:val="18"/>
        </w:rPr>
      </w:pPr>
      <w:r>
        <w:rPr>
          <w:b/>
          <w:sz w:val="18"/>
        </w:rPr>
        <w:t>3</w:t>
      </w:r>
      <w:r>
        <w:rPr>
          <w:b/>
          <w:sz w:val="18"/>
        </w:rPr>
        <w:tab/>
        <w:t>Expenses</w:t>
      </w:r>
    </w:p>
    <w:tbl>
      <w:tblPr>
        <w:tblW w:w="0" w:type="auto"/>
        <w:tblInd w:w="126" w:type="dxa"/>
        <w:tblLayout w:type="fixed"/>
        <w:tblCellMar>
          <w:left w:w="0" w:type="dxa"/>
          <w:right w:w="0" w:type="dxa"/>
        </w:tblCellMar>
        <w:tblLook w:val="01E0" w:firstRow="1" w:lastRow="1" w:firstColumn="1" w:lastColumn="1" w:noHBand="0" w:noVBand="0"/>
      </w:tblPr>
      <w:tblGrid>
        <w:gridCol w:w="297"/>
        <w:gridCol w:w="7075"/>
        <w:gridCol w:w="1508"/>
        <w:gridCol w:w="1087"/>
      </w:tblGrid>
      <w:tr w:rsidR="00FA4AA8" w14:paraId="724A6C33" w14:textId="77777777">
        <w:trPr>
          <w:trHeight w:val="424"/>
        </w:trPr>
        <w:tc>
          <w:tcPr>
            <w:tcW w:w="297" w:type="dxa"/>
            <w:vMerge w:val="restart"/>
          </w:tcPr>
          <w:p w14:paraId="6E31A537" w14:textId="77777777" w:rsidR="00FA4AA8" w:rsidRDefault="00FA4AA8">
            <w:pPr>
              <w:pStyle w:val="TableParagraph"/>
              <w:rPr>
                <w:rFonts w:ascii="Times New Roman"/>
                <w:sz w:val="18"/>
              </w:rPr>
            </w:pPr>
          </w:p>
        </w:tc>
        <w:tc>
          <w:tcPr>
            <w:tcW w:w="7075" w:type="dxa"/>
          </w:tcPr>
          <w:p w14:paraId="019C0F1E" w14:textId="77777777" w:rsidR="00FA4AA8" w:rsidRDefault="00FA4AA8">
            <w:pPr>
              <w:pStyle w:val="TableParagraph"/>
              <w:rPr>
                <w:rFonts w:ascii="Times New Roman"/>
                <w:sz w:val="18"/>
              </w:rPr>
            </w:pPr>
          </w:p>
        </w:tc>
        <w:tc>
          <w:tcPr>
            <w:tcW w:w="1508" w:type="dxa"/>
          </w:tcPr>
          <w:p w14:paraId="5AFCA72C" w14:textId="77777777" w:rsidR="00FA4AA8" w:rsidRDefault="0015611F">
            <w:pPr>
              <w:pStyle w:val="TableParagraph"/>
              <w:spacing w:line="201" w:lineRule="exact"/>
              <w:ind w:left="430" w:right="637"/>
              <w:jc w:val="center"/>
              <w:rPr>
                <w:b/>
                <w:sz w:val="18"/>
              </w:rPr>
            </w:pPr>
            <w:r>
              <w:rPr>
                <w:b/>
                <w:sz w:val="18"/>
              </w:rPr>
              <w:t>2018</w:t>
            </w:r>
          </w:p>
          <w:p w14:paraId="29A62272" w14:textId="77777777" w:rsidR="00FA4AA8" w:rsidRDefault="0015611F">
            <w:pPr>
              <w:pStyle w:val="TableParagraph"/>
              <w:spacing w:line="204" w:lineRule="exact"/>
              <w:ind w:right="207"/>
              <w:jc w:val="center"/>
              <w:rPr>
                <w:b/>
                <w:sz w:val="18"/>
              </w:rPr>
            </w:pPr>
            <w:r>
              <w:rPr>
                <w:b/>
                <w:w w:val="99"/>
                <w:sz w:val="18"/>
              </w:rPr>
              <w:t>$</w:t>
            </w:r>
          </w:p>
        </w:tc>
        <w:tc>
          <w:tcPr>
            <w:tcW w:w="1087" w:type="dxa"/>
          </w:tcPr>
          <w:p w14:paraId="65843E16" w14:textId="77777777" w:rsidR="00FA4AA8" w:rsidRDefault="0015611F">
            <w:pPr>
              <w:pStyle w:val="TableParagraph"/>
              <w:spacing w:line="201" w:lineRule="exact"/>
              <w:ind w:left="219" w:right="427"/>
              <w:jc w:val="center"/>
              <w:rPr>
                <w:sz w:val="18"/>
              </w:rPr>
            </w:pPr>
            <w:r>
              <w:rPr>
                <w:sz w:val="18"/>
              </w:rPr>
              <w:t>2017</w:t>
            </w:r>
          </w:p>
          <w:p w14:paraId="1D4EC78F" w14:textId="77777777" w:rsidR="00FA4AA8" w:rsidRDefault="0015611F">
            <w:pPr>
              <w:pStyle w:val="TableParagraph"/>
              <w:spacing w:line="204" w:lineRule="exact"/>
              <w:ind w:right="208"/>
              <w:jc w:val="center"/>
              <w:rPr>
                <w:sz w:val="18"/>
              </w:rPr>
            </w:pPr>
            <w:r>
              <w:rPr>
                <w:w w:val="99"/>
                <w:sz w:val="18"/>
              </w:rPr>
              <w:t>$</w:t>
            </w:r>
          </w:p>
        </w:tc>
      </w:tr>
      <w:tr w:rsidR="00FA4AA8" w14:paraId="5D11E966" w14:textId="77777777">
        <w:trPr>
          <w:trHeight w:val="249"/>
        </w:trPr>
        <w:tc>
          <w:tcPr>
            <w:tcW w:w="297" w:type="dxa"/>
            <w:vMerge/>
            <w:tcBorders>
              <w:top w:val="nil"/>
            </w:tcBorders>
          </w:tcPr>
          <w:p w14:paraId="2C25C3A9" w14:textId="77777777" w:rsidR="00FA4AA8" w:rsidRDefault="00FA4AA8">
            <w:pPr>
              <w:rPr>
                <w:sz w:val="2"/>
                <w:szCs w:val="2"/>
              </w:rPr>
            </w:pPr>
          </w:p>
        </w:tc>
        <w:tc>
          <w:tcPr>
            <w:tcW w:w="7075" w:type="dxa"/>
          </w:tcPr>
          <w:p w14:paraId="3FCFE9DC" w14:textId="77777777" w:rsidR="00FA4AA8" w:rsidRDefault="0015611F">
            <w:pPr>
              <w:pStyle w:val="TableParagraph"/>
              <w:spacing w:before="12"/>
              <w:ind w:left="147"/>
              <w:rPr>
                <w:sz w:val="18"/>
              </w:rPr>
            </w:pPr>
            <w:r>
              <w:rPr>
                <w:sz w:val="18"/>
              </w:rPr>
              <w:t>Contribution to Ultimate Parent Entity</w:t>
            </w:r>
          </w:p>
        </w:tc>
        <w:tc>
          <w:tcPr>
            <w:tcW w:w="1508" w:type="dxa"/>
          </w:tcPr>
          <w:p w14:paraId="264B70FE" w14:textId="77777777" w:rsidR="00FA4AA8" w:rsidRDefault="0015611F">
            <w:pPr>
              <w:pStyle w:val="TableParagraph"/>
              <w:spacing w:before="11"/>
              <w:ind w:right="295"/>
              <w:jc w:val="right"/>
              <w:rPr>
                <w:b/>
                <w:sz w:val="18"/>
              </w:rPr>
            </w:pPr>
            <w:r>
              <w:rPr>
                <w:b/>
                <w:w w:val="95"/>
                <w:sz w:val="18"/>
              </w:rPr>
              <w:t>61,000</w:t>
            </w:r>
          </w:p>
        </w:tc>
        <w:tc>
          <w:tcPr>
            <w:tcW w:w="1087" w:type="dxa"/>
          </w:tcPr>
          <w:p w14:paraId="373A9278" w14:textId="77777777" w:rsidR="00FA4AA8" w:rsidRDefault="0015611F">
            <w:pPr>
              <w:pStyle w:val="TableParagraph"/>
              <w:spacing w:before="11"/>
              <w:ind w:right="84"/>
              <w:jc w:val="right"/>
              <w:rPr>
                <w:sz w:val="18"/>
              </w:rPr>
            </w:pPr>
            <w:r>
              <w:rPr>
                <w:w w:val="95"/>
                <w:sz w:val="18"/>
              </w:rPr>
              <w:t>107,543</w:t>
            </w:r>
          </w:p>
        </w:tc>
      </w:tr>
      <w:tr w:rsidR="00FA4AA8" w14:paraId="50901553" w14:textId="77777777">
        <w:trPr>
          <w:trHeight w:val="280"/>
        </w:trPr>
        <w:tc>
          <w:tcPr>
            <w:tcW w:w="297" w:type="dxa"/>
            <w:vMerge/>
            <w:tcBorders>
              <w:top w:val="nil"/>
            </w:tcBorders>
          </w:tcPr>
          <w:p w14:paraId="1333C5CC" w14:textId="77777777" w:rsidR="00FA4AA8" w:rsidRDefault="00FA4AA8">
            <w:pPr>
              <w:rPr>
                <w:sz w:val="2"/>
                <w:szCs w:val="2"/>
              </w:rPr>
            </w:pPr>
          </w:p>
        </w:tc>
        <w:tc>
          <w:tcPr>
            <w:tcW w:w="7075" w:type="dxa"/>
          </w:tcPr>
          <w:p w14:paraId="4437F17C" w14:textId="77777777" w:rsidR="00FA4AA8" w:rsidRDefault="0015611F">
            <w:pPr>
              <w:pStyle w:val="TableParagraph"/>
              <w:spacing w:before="24"/>
              <w:ind w:left="147"/>
              <w:rPr>
                <w:sz w:val="18"/>
              </w:rPr>
            </w:pPr>
            <w:r>
              <w:rPr>
                <w:sz w:val="18"/>
              </w:rPr>
              <w:t>Event expenses</w:t>
            </w:r>
          </w:p>
        </w:tc>
        <w:tc>
          <w:tcPr>
            <w:tcW w:w="1508" w:type="dxa"/>
          </w:tcPr>
          <w:p w14:paraId="3137FBBD" w14:textId="77777777" w:rsidR="00FA4AA8" w:rsidRDefault="0015611F">
            <w:pPr>
              <w:pStyle w:val="TableParagraph"/>
              <w:spacing w:before="52"/>
              <w:ind w:right="297"/>
              <w:jc w:val="right"/>
              <w:rPr>
                <w:b/>
                <w:sz w:val="18"/>
              </w:rPr>
            </w:pPr>
            <w:r>
              <w:rPr>
                <w:b/>
                <w:w w:val="99"/>
                <w:sz w:val="18"/>
              </w:rPr>
              <w:t>-</w:t>
            </w:r>
          </w:p>
        </w:tc>
        <w:tc>
          <w:tcPr>
            <w:tcW w:w="1087" w:type="dxa"/>
          </w:tcPr>
          <w:p w14:paraId="4BC14565" w14:textId="77777777" w:rsidR="00FA4AA8" w:rsidRDefault="0015611F">
            <w:pPr>
              <w:pStyle w:val="TableParagraph"/>
              <w:spacing w:before="52"/>
              <w:ind w:right="85"/>
              <w:jc w:val="right"/>
              <w:rPr>
                <w:sz w:val="18"/>
              </w:rPr>
            </w:pPr>
            <w:r>
              <w:rPr>
                <w:w w:val="95"/>
                <w:sz w:val="18"/>
              </w:rPr>
              <w:t>1,452</w:t>
            </w:r>
          </w:p>
        </w:tc>
      </w:tr>
      <w:tr w:rsidR="00FA4AA8" w14:paraId="60A38A2E" w14:textId="77777777">
        <w:trPr>
          <w:trHeight w:val="249"/>
        </w:trPr>
        <w:tc>
          <w:tcPr>
            <w:tcW w:w="297" w:type="dxa"/>
            <w:vMerge/>
            <w:tcBorders>
              <w:top w:val="nil"/>
            </w:tcBorders>
          </w:tcPr>
          <w:p w14:paraId="428EDEA1" w14:textId="77777777" w:rsidR="00FA4AA8" w:rsidRDefault="00FA4AA8">
            <w:pPr>
              <w:rPr>
                <w:sz w:val="2"/>
                <w:szCs w:val="2"/>
              </w:rPr>
            </w:pPr>
          </w:p>
        </w:tc>
        <w:tc>
          <w:tcPr>
            <w:tcW w:w="7075" w:type="dxa"/>
          </w:tcPr>
          <w:p w14:paraId="7DFF9948" w14:textId="77777777" w:rsidR="00FA4AA8" w:rsidRDefault="0015611F">
            <w:pPr>
              <w:pStyle w:val="TableParagraph"/>
              <w:spacing w:before="17"/>
              <w:ind w:left="147"/>
              <w:rPr>
                <w:sz w:val="18"/>
              </w:rPr>
            </w:pPr>
            <w:r>
              <w:rPr>
                <w:sz w:val="18"/>
              </w:rPr>
              <w:t>Bank charges</w:t>
            </w:r>
          </w:p>
        </w:tc>
        <w:tc>
          <w:tcPr>
            <w:tcW w:w="1508" w:type="dxa"/>
            <w:tcBorders>
              <w:bottom w:val="single" w:sz="8" w:space="0" w:color="000000"/>
            </w:tcBorders>
          </w:tcPr>
          <w:p w14:paraId="51A85458" w14:textId="77777777" w:rsidR="00FA4AA8" w:rsidRDefault="0015611F">
            <w:pPr>
              <w:pStyle w:val="TableParagraph"/>
              <w:spacing w:before="16"/>
              <w:ind w:right="236"/>
              <w:jc w:val="right"/>
              <w:rPr>
                <w:b/>
                <w:sz w:val="18"/>
              </w:rPr>
            </w:pPr>
            <w:r>
              <w:rPr>
                <w:b/>
                <w:w w:val="95"/>
                <w:sz w:val="18"/>
              </w:rPr>
              <w:t>(125)</w:t>
            </w:r>
          </w:p>
        </w:tc>
        <w:tc>
          <w:tcPr>
            <w:tcW w:w="1087" w:type="dxa"/>
            <w:tcBorders>
              <w:bottom w:val="single" w:sz="8" w:space="0" w:color="000000"/>
            </w:tcBorders>
          </w:tcPr>
          <w:p w14:paraId="41B8911B" w14:textId="77777777" w:rsidR="00FA4AA8" w:rsidRDefault="0015611F">
            <w:pPr>
              <w:pStyle w:val="TableParagraph"/>
              <w:spacing w:before="16"/>
              <w:ind w:right="85"/>
              <w:jc w:val="right"/>
              <w:rPr>
                <w:sz w:val="18"/>
              </w:rPr>
            </w:pPr>
            <w:r>
              <w:rPr>
                <w:w w:val="95"/>
                <w:sz w:val="18"/>
              </w:rPr>
              <w:t>195</w:t>
            </w:r>
          </w:p>
        </w:tc>
      </w:tr>
      <w:tr w:rsidR="00FA4AA8" w14:paraId="522FF820" w14:textId="77777777">
        <w:trPr>
          <w:trHeight w:val="318"/>
        </w:trPr>
        <w:tc>
          <w:tcPr>
            <w:tcW w:w="297" w:type="dxa"/>
          </w:tcPr>
          <w:p w14:paraId="7CF8EA96" w14:textId="77777777" w:rsidR="00FA4AA8" w:rsidRDefault="00FA4AA8">
            <w:pPr>
              <w:pStyle w:val="TableParagraph"/>
              <w:rPr>
                <w:rFonts w:ascii="Times New Roman"/>
                <w:sz w:val="18"/>
              </w:rPr>
            </w:pPr>
          </w:p>
        </w:tc>
        <w:tc>
          <w:tcPr>
            <w:tcW w:w="7075" w:type="dxa"/>
          </w:tcPr>
          <w:p w14:paraId="744C8190" w14:textId="77777777" w:rsidR="00FA4AA8" w:rsidRDefault="0015611F">
            <w:pPr>
              <w:pStyle w:val="TableParagraph"/>
              <w:spacing w:before="113" w:line="185" w:lineRule="exact"/>
              <w:ind w:left="147"/>
              <w:rPr>
                <w:b/>
                <w:sz w:val="18"/>
              </w:rPr>
            </w:pPr>
            <w:r>
              <w:rPr>
                <w:b/>
                <w:sz w:val="18"/>
              </w:rPr>
              <w:t>Total expenses</w:t>
            </w:r>
          </w:p>
        </w:tc>
        <w:tc>
          <w:tcPr>
            <w:tcW w:w="1508" w:type="dxa"/>
            <w:tcBorders>
              <w:top w:val="single" w:sz="8" w:space="0" w:color="000000"/>
              <w:bottom w:val="single" w:sz="8" w:space="0" w:color="000000"/>
            </w:tcBorders>
          </w:tcPr>
          <w:p w14:paraId="361361EE" w14:textId="77777777" w:rsidR="00FA4AA8" w:rsidRDefault="0015611F">
            <w:pPr>
              <w:pStyle w:val="TableParagraph"/>
              <w:spacing w:before="113" w:line="185" w:lineRule="exact"/>
              <w:ind w:right="295"/>
              <w:jc w:val="right"/>
              <w:rPr>
                <w:b/>
                <w:sz w:val="18"/>
              </w:rPr>
            </w:pPr>
            <w:r>
              <w:rPr>
                <w:b/>
                <w:w w:val="95"/>
                <w:sz w:val="18"/>
              </w:rPr>
              <w:t>60,875</w:t>
            </w:r>
          </w:p>
        </w:tc>
        <w:tc>
          <w:tcPr>
            <w:tcW w:w="1087" w:type="dxa"/>
            <w:tcBorders>
              <w:top w:val="single" w:sz="8" w:space="0" w:color="000000"/>
              <w:bottom w:val="single" w:sz="8" w:space="0" w:color="000000"/>
            </w:tcBorders>
          </w:tcPr>
          <w:p w14:paraId="20A0C19A" w14:textId="77777777" w:rsidR="00FA4AA8" w:rsidRDefault="0015611F">
            <w:pPr>
              <w:pStyle w:val="TableParagraph"/>
              <w:spacing w:before="113" w:line="185" w:lineRule="exact"/>
              <w:ind w:right="84"/>
              <w:jc w:val="right"/>
              <w:rPr>
                <w:sz w:val="18"/>
              </w:rPr>
            </w:pPr>
            <w:r>
              <w:rPr>
                <w:w w:val="95"/>
                <w:sz w:val="18"/>
              </w:rPr>
              <w:t>109,190</w:t>
            </w:r>
          </w:p>
        </w:tc>
      </w:tr>
    </w:tbl>
    <w:p w14:paraId="154ED2E5" w14:textId="77777777" w:rsidR="00FA4AA8" w:rsidRDefault="00FA4AA8">
      <w:pPr>
        <w:spacing w:line="185" w:lineRule="exact"/>
        <w:jc w:val="right"/>
        <w:rPr>
          <w:sz w:val="18"/>
        </w:rPr>
        <w:sectPr w:rsidR="00FA4AA8">
          <w:pgSz w:w="11910" w:h="16840"/>
          <w:pgMar w:top="2540" w:right="840" w:bottom="720" w:left="840" w:header="1017" w:footer="523" w:gutter="0"/>
          <w:cols w:space="720"/>
        </w:sectPr>
      </w:pPr>
    </w:p>
    <w:p w14:paraId="0BFD6AEB" w14:textId="77777777" w:rsidR="00FA4AA8" w:rsidRDefault="00FA4AA8">
      <w:pPr>
        <w:pStyle w:val="BodyText"/>
        <w:rPr>
          <w:b/>
          <w:sz w:val="20"/>
        </w:rPr>
      </w:pPr>
    </w:p>
    <w:p w14:paraId="13FB770A" w14:textId="77777777" w:rsidR="00FA4AA8" w:rsidRDefault="00FA4AA8">
      <w:pPr>
        <w:pStyle w:val="BodyText"/>
        <w:spacing w:before="5"/>
        <w:rPr>
          <w:b/>
          <w:sz w:val="13"/>
        </w:rPr>
      </w:pPr>
    </w:p>
    <w:tbl>
      <w:tblPr>
        <w:tblW w:w="0" w:type="auto"/>
        <w:tblInd w:w="126" w:type="dxa"/>
        <w:tblLayout w:type="fixed"/>
        <w:tblCellMar>
          <w:left w:w="0" w:type="dxa"/>
          <w:right w:w="0" w:type="dxa"/>
        </w:tblCellMar>
        <w:tblLook w:val="01E0" w:firstRow="1" w:lastRow="1" w:firstColumn="1" w:lastColumn="1" w:noHBand="0" w:noVBand="0"/>
      </w:tblPr>
      <w:tblGrid>
        <w:gridCol w:w="7556"/>
        <w:gridCol w:w="1307"/>
        <w:gridCol w:w="1068"/>
      </w:tblGrid>
      <w:tr w:rsidR="00FA4AA8" w14:paraId="607BD2C0" w14:textId="77777777">
        <w:trPr>
          <w:trHeight w:val="1376"/>
        </w:trPr>
        <w:tc>
          <w:tcPr>
            <w:tcW w:w="7556" w:type="dxa"/>
          </w:tcPr>
          <w:p w14:paraId="311280EB" w14:textId="77777777" w:rsidR="00FA4AA8" w:rsidRDefault="0015611F">
            <w:pPr>
              <w:pStyle w:val="TableParagraph"/>
              <w:numPr>
                <w:ilvl w:val="0"/>
                <w:numId w:val="36"/>
              </w:numPr>
              <w:tabs>
                <w:tab w:val="left" w:pos="445"/>
                <w:tab w:val="left" w:pos="446"/>
              </w:tabs>
              <w:spacing w:line="201" w:lineRule="exact"/>
              <w:rPr>
                <w:b/>
                <w:sz w:val="18"/>
              </w:rPr>
            </w:pPr>
            <w:r>
              <w:rPr>
                <w:b/>
                <w:sz w:val="18"/>
              </w:rPr>
              <w:t>Remuneration of Auditors</w:t>
            </w:r>
          </w:p>
          <w:p w14:paraId="2DE87962" w14:textId="77777777" w:rsidR="00FA4AA8" w:rsidRDefault="00FA4AA8">
            <w:pPr>
              <w:pStyle w:val="TableParagraph"/>
              <w:rPr>
                <w:b/>
                <w:sz w:val="25"/>
              </w:rPr>
            </w:pPr>
          </w:p>
          <w:p w14:paraId="4A857F6A" w14:textId="77777777" w:rsidR="00FA4AA8" w:rsidRDefault="0015611F">
            <w:pPr>
              <w:pStyle w:val="TableParagraph"/>
              <w:ind w:left="444"/>
              <w:rPr>
                <w:sz w:val="18"/>
              </w:rPr>
            </w:pPr>
            <w:r>
              <w:rPr>
                <w:sz w:val="18"/>
              </w:rPr>
              <w:t>Audit fees of $12,656 (including GST) for 2018 (2017: $9,878) will be paid by the ultimate</w:t>
            </w:r>
          </w:p>
          <w:p w14:paraId="7E75E50A" w14:textId="77777777" w:rsidR="00FA4AA8" w:rsidRDefault="00FA4AA8">
            <w:pPr>
              <w:pStyle w:val="TableParagraph"/>
              <w:rPr>
                <w:b/>
                <w:sz w:val="20"/>
              </w:rPr>
            </w:pPr>
          </w:p>
          <w:p w14:paraId="0BE0A12E" w14:textId="77777777" w:rsidR="00FA4AA8" w:rsidRDefault="00FA4AA8">
            <w:pPr>
              <w:pStyle w:val="TableParagraph"/>
              <w:spacing w:before="11"/>
              <w:rPr>
                <w:b/>
                <w:sz w:val="20"/>
              </w:rPr>
            </w:pPr>
          </w:p>
          <w:p w14:paraId="43940E98" w14:textId="77777777" w:rsidR="00FA4AA8" w:rsidRDefault="0015611F">
            <w:pPr>
              <w:pStyle w:val="TableParagraph"/>
              <w:numPr>
                <w:ilvl w:val="0"/>
                <w:numId w:val="36"/>
              </w:numPr>
              <w:tabs>
                <w:tab w:val="left" w:pos="445"/>
                <w:tab w:val="left" w:pos="446"/>
              </w:tabs>
              <w:spacing w:line="190" w:lineRule="exact"/>
              <w:rPr>
                <w:b/>
                <w:sz w:val="18"/>
              </w:rPr>
            </w:pPr>
            <w:r>
              <w:rPr>
                <w:b/>
                <w:sz w:val="18"/>
              </w:rPr>
              <w:t>Cash and cash equivalents</w:t>
            </w:r>
          </w:p>
        </w:tc>
        <w:tc>
          <w:tcPr>
            <w:tcW w:w="1307" w:type="dxa"/>
          </w:tcPr>
          <w:p w14:paraId="2200AF7E" w14:textId="77777777" w:rsidR="00FA4AA8" w:rsidRDefault="00FA4AA8">
            <w:pPr>
              <w:pStyle w:val="TableParagraph"/>
              <w:rPr>
                <w:b/>
                <w:sz w:val="20"/>
              </w:rPr>
            </w:pPr>
          </w:p>
          <w:p w14:paraId="0F593930" w14:textId="77777777" w:rsidR="00FA4AA8" w:rsidRDefault="00FA4AA8">
            <w:pPr>
              <w:pStyle w:val="TableParagraph"/>
              <w:spacing w:before="5"/>
              <w:rPr>
                <w:b/>
              </w:rPr>
            </w:pPr>
          </w:p>
          <w:p w14:paraId="6CF393B1" w14:textId="77777777" w:rsidR="00FA4AA8" w:rsidRDefault="0015611F">
            <w:pPr>
              <w:pStyle w:val="TableParagraph"/>
              <w:ind w:right="239"/>
              <w:jc w:val="right"/>
              <w:rPr>
                <w:sz w:val="18"/>
              </w:rPr>
            </w:pPr>
            <w:r>
              <w:rPr>
                <w:sz w:val="18"/>
              </w:rPr>
              <w:t>parent entity.</w:t>
            </w:r>
          </w:p>
        </w:tc>
        <w:tc>
          <w:tcPr>
            <w:tcW w:w="1068" w:type="dxa"/>
          </w:tcPr>
          <w:p w14:paraId="5775E26A" w14:textId="77777777" w:rsidR="00FA4AA8" w:rsidRDefault="00FA4AA8">
            <w:pPr>
              <w:pStyle w:val="TableParagraph"/>
              <w:rPr>
                <w:rFonts w:ascii="Times New Roman"/>
                <w:sz w:val="18"/>
              </w:rPr>
            </w:pPr>
          </w:p>
        </w:tc>
      </w:tr>
      <w:tr w:rsidR="00FA4AA8" w14:paraId="1A055A4D" w14:textId="77777777">
        <w:trPr>
          <w:trHeight w:val="633"/>
        </w:trPr>
        <w:tc>
          <w:tcPr>
            <w:tcW w:w="7556" w:type="dxa"/>
          </w:tcPr>
          <w:p w14:paraId="0950EC37" w14:textId="77777777" w:rsidR="00FA4AA8" w:rsidRDefault="00FA4AA8">
            <w:pPr>
              <w:pStyle w:val="TableParagraph"/>
              <w:rPr>
                <w:b/>
                <w:sz w:val="20"/>
              </w:rPr>
            </w:pPr>
          </w:p>
          <w:p w14:paraId="0082B301" w14:textId="77777777" w:rsidR="00FA4AA8" w:rsidRDefault="0015611F">
            <w:pPr>
              <w:pStyle w:val="TableParagraph"/>
              <w:spacing w:before="179" w:line="204" w:lineRule="exact"/>
              <w:ind w:left="444"/>
              <w:rPr>
                <w:sz w:val="18"/>
              </w:rPr>
            </w:pPr>
            <w:r>
              <w:rPr>
                <w:sz w:val="18"/>
              </w:rPr>
              <w:t>Cash at bank and on hand</w:t>
            </w:r>
          </w:p>
        </w:tc>
        <w:tc>
          <w:tcPr>
            <w:tcW w:w="1307" w:type="dxa"/>
          </w:tcPr>
          <w:p w14:paraId="3119E99B" w14:textId="77777777" w:rsidR="00FA4AA8" w:rsidRDefault="0015611F">
            <w:pPr>
              <w:pStyle w:val="TableParagraph"/>
              <w:spacing w:line="204" w:lineRule="exact"/>
              <w:ind w:left="245" w:right="621"/>
              <w:jc w:val="center"/>
              <w:rPr>
                <w:b/>
                <w:sz w:val="18"/>
              </w:rPr>
            </w:pPr>
            <w:r>
              <w:rPr>
                <w:b/>
                <w:sz w:val="18"/>
              </w:rPr>
              <w:t>2018</w:t>
            </w:r>
          </w:p>
          <w:p w14:paraId="4A23BAA6" w14:textId="77777777" w:rsidR="00FA4AA8" w:rsidRDefault="0015611F">
            <w:pPr>
              <w:pStyle w:val="TableParagraph"/>
              <w:spacing w:line="206" w:lineRule="exact"/>
              <w:ind w:right="376"/>
              <w:jc w:val="center"/>
              <w:rPr>
                <w:b/>
                <w:sz w:val="18"/>
              </w:rPr>
            </w:pPr>
            <w:r>
              <w:rPr>
                <w:b/>
                <w:w w:val="99"/>
                <w:sz w:val="18"/>
              </w:rPr>
              <w:t>$</w:t>
            </w:r>
          </w:p>
          <w:p w14:paraId="57BC4164" w14:textId="77777777" w:rsidR="00FA4AA8" w:rsidRDefault="0015611F">
            <w:pPr>
              <w:pStyle w:val="TableParagraph"/>
              <w:spacing w:line="204" w:lineRule="exact"/>
              <w:ind w:left="245" w:right="52"/>
              <w:jc w:val="center"/>
              <w:rPr>
                <w:b/>
                <w:sz w:val="18"/>
              </w:rPr>
            </w:pPr>
            <w:r>
              <w:rPr>
                <w:b/>
                <w:sz w:val="18"/>
              </w:rPr>
              <w:t>17,515</w:t>
            </w:r>
          </w:p>
        </w:tc>
        <w:tc>
          <w:tcPr>
            <w:tcW w:w="1068" w:type="dxa"/>
          </w:tcPr>
          <w:p w14:paraId="6C257BA2" w14:textId="77777777" w:rsidR="00FA4AA8" w:rsidRDefault="0015611F">
            <w:pPr>
              <w:pStyle w:val="TableParagraph"/>
              <w:spacing w:line="204" w:lineRule="exact"/>
              <w:ind w:left="222" w:right="405"/>
              <w:jc w:val="center"/>
              <w:rPr>
                <w:b/>
                <w:sz w:val="18"/>
              </w:rPr>
            </w:pPr>
            <w:r>
              <w:rPr>
                <w:b/>
                <w:sz w:val="18"/>
              </w:rPr>
              <w:t>2017</w:t>
            </w:r>
          </w:p>
          <w:p w14:paraId="7504DBAD" w14:textId="77777777" w:rsidR="00FA4AA8" w:rsidRDefault="0015611F">
            <w:pPr>
              <w:pStyle w:val="TableParagraph"/>
              <w:spacing w:line="206" w:lineRule="exact"/>
              <w:ind w:right="184"/>
              <w:jc w:val="center"/>
              <w:rPr>
                <w:b/>
                <w:sz w:val="18"/>
              </w:rPr>
            </w:pPr>
            <w:r>
              <w:rPr>
                <w:b/>
                <w:w w:val="99"/>
                <w:sz w:val="18"/>
              </w:rPr>
              <w:t>$</w:t>
            </w:r>
          </w:p>
          <w:p w14:paraId="566C765B" w14:textId="77777777" w:rsidR="00FA4AA8" w:rsidRDefault="0015611F">
            <w:pPr>
              <w:pStyle w:val="TableParagraph"/>
              <w:spacing w:line="204" w:lineRule="exact"/>
              <w:ind w:left="446" w:right="31"/>
              <w:jc w:val="center"/>
              <w:rPr>
                <w:sz w:val="18"/>
              </w:rPr>
            </w:pPr>
            <w:r>
              <w:rPr>
                <w:sz w:val="18"/>
              </w:rPr>
              <w:t>18,613</w:t>
            </w:r>
          </w:p>
        </w:tc>
      </w:tr>
      <w:tr w:rsidR="00FA4AA8" w14:paraId="30FF5385" w14:textId="77777777">
        <w:trPr>
          <w:trHeight w:val="219"/>
        </w:trPr>
        <w:tc>
          <w:tcPr>
            <w:tcW w:w="7556" w:type="dxa"/>
          </w:tcPr>
          <w:p w14:paraId="5A65FC43" w14:textId="77777777" w:rsidR="00FA4AA8" w:rsidRDefault="0015611F">
            <w:pPr>
              <w:pStyle w:val="TableParagraph"/>
              <w:spacing w:before="12" w:line="187" w:lineRule="exact"/>
              <w:ind w:left="444"/>
              <w:rPr>
                <w:sz w:val="18"/>
              </w:rPr>
            </w:pPr>
            <w:r>
              <w:rPr>
                <w:sz w:val="18"/>
              </w:rPr>
              <w:t>Term deposits</w:t>
            </w:r>
          </w:p>
        </w:tc>
        <w:tc>
          <w:tcPr>
            <w:tcW w:w="1307" w:type="dxa"/>
          </w:tcPr>
          <w:p w14:paraId="158B6A56" w14:textId="77777777" w:rsidR="00FA4AA8" w:rsidRDefault="0015611F">
            <w:pPr>
              <w:pStyle w:val="TableParagraph"/>
              <w:spacing w:before="11" w:line="188" w:lineRule="exact"/>
              <w:ind w:right="280"/>
              <w:jc w:val="right"/>
              <w:rPr>
                <w:b/>
                <w:sz w:val="18"/>
              </w:rPr>
            </w:pPr>
            <w:r>
              <w:rPr>
                <w:b/>
                <w:w w:val="95"/>
                <w:sz w:val="18"/>
              </w:rPr>
              <w:t>420,683</w:t>
            </w:r>
          </w:p>
        </w:tc>
        <w:tc>
          <w:tcPr>
            <w:tcW w:w="1068" w:type="dxa"/>
          </w:tcPr>
          <w:p w14:paraId="207B3079" w14:textId="77777777" w:rsidR="00FA4AA8" w:rsidRDefault="0015611F">
            <w:pPr>
              <w:pStyle w:val="TableParagraph"/>
              <w:spacing w:before="11" w:line="188" w:lineRule="exact"/>
              <w:ind w:left="366"/>
              <w:rPr>
                <w:sz w:val="18"/>
              </w:rPr>
            </w:pPr>
            <w:r>
              <w:rPr>
                <w:sz w:val="18"/>
              </w:rPr>
              <w:t>410,352</w:t>
            </w:r>
          </w:p>
        </w:tc>
      </w:tr>
    </w:tbl>
    <w:p w14:paraId="4E33ECAF" w14:textId="77777777" w:rsidR="00FA4AA8" w:rsidRDefault="0015611F">
      <w:pPr>
        <w:tabs>
          <w:tab w:val="left" w:pos="7490"/>
          <w:tab w:val="left" w:pos="8050"/>
          <w:tab w:val="left" w:pos="9348"/>
        </w:tabs>
        <w:spacing w:before="27"/>
        <w:ind w:left="563"/>
        <w:rPr>
          <w:sz w:val="18"/>
        </w:rPr>
      </w:pPr>
      <w:r>
        <w:rPr>
          <w:sz w:val="18"/>
        </w:rPr>
        <w:t>T-Corp</w:t>
      </w:r>
      <w:r>
        <w:rPr>
          <w:spacing w:val="-1"/>
          <w:sz w:val="18"/>
        </w:rPr>
        <w:t xml:space="preserve"> </w:t>
      </w:r>
      <w:r>
        <w:rPr>
          <w:sz w:val="18"/>
        </w:rPr>
        <w:t>investments</w:t>
      </w:r>
      <w:r>
        <w:rPr>
          <w:sz w:val="18"/>
        </w:rPr>
        <w:tab/>
      </w:r>
      <w:r>
        <w:rPr>
          <w:sz w:val="18"/>
          <w:u w:val="single"/>
        </w:rPr>
        <w:t xml:space="preserve"> </w:t>
      </w:r>
      <w:r>
        <w:rPr>
          <w:sz w:val="18"/>
          <w:u w:val="single"/>
        </w:rPr>
        <w:tab/>
      </w:r>
      <w:r>
        <w:rPr>
          <w:b/>
          <w:sz w:val="18"/>
          <w:u w:val="single"/>
        </w:rPr>
        <w:t>348,986</w:t>
      </w:r>
      <w:r>
        <w:rPr>
          <w:b/>
          <w:sz w:val="18"/>
          <w:u w:val="single"/>
        </w:rPr>
        <w:tab/>
      </w:r>
      <w:r>
        <w:rPr>
          <w:sz w:val="18"/>
          <w:u w:val="single"/>
        </w:rPr>
        <w:t>337,221</w:t>
      </w:r>
      <w:r>
        <w:rPr>
          <w:spacing w:val="-15"/>
          <w:sz w:val="18"/>
          <w:u w:val="single"/>
        </w:rPr>
        <w:t xml:space="preserve"> </w:t>
      </w:r>
    </w:p>
    <w:p w14:paraId="390BC779" w14:textId="77777777" w:rsidR="00FA4AA8" w:rsidRDefault="0015611F">
      <w:pPr>
        <w:spacing w:before="18" w:line="207" w:lineRule="exact"/>
        <w:ind w:left="564"/>
        <w:rPr>
          <w:b/>
          <w:sz w:val="18"/>
        </w:rPr>
      </w:pPr>
      <w:r>
        <w:rPr>
          <w:b/>
          <w:sz w:val="18"/>
        </w:rPr>
        <w:t>Total cash and cash equivalents in statement of</w:t>
      </w:r>
    </w:p>
    <w:p w14:paraId="13F034E4" w14:textId="77777777" w:rsidR="00FA4AA8" w:rsidRDefault="0015611F">
      <w:pPr>
        <w:tabs>
          <w:tab w:val="left" w:pos="7490"/>
          <w:tab w:val="left" w:pos="8050"/>
          <w:tab w:val="left" w:pos="9349"/>
        </w:tabs>
        <w:spacing w:line="207" w:lineRule="exact"/>
        <w:ind w:left="564"/>
        <w:rPr>
          <w:sz w:val="18"/>
        </w:rPr>
      </w:pPr>
      <w:r>
        <w:rPr>
          <w:b/>
          <w:sz w:val="18"/>
        </w:rPr>
        <w:t>financial position &amp; statement of cash flows</w:t>
      </w:r>
      <w:r>
        <w:rPr>
          <w:b/>
          <w:sz w:val="18"/>
        </w:rPr>
        <w:tab/>
      </w:r>
      <w:r>
        <w:rPr>
          <w:b/>
          <w:sz w:val="18"/>
          <w:u w:val="thick"/>
        </w:rPr>
        <w:t xml:space="preserve"> </w:t>
      </w:r>
      <w:r>
        <w:rPr>
          <w:b/>
          <w:sz w:val="18"/>
          <w:u w:val="thick"/>
        </w:rPr>
        <w:tab/>
        <w:t>787,184</w:t>
      </w:r>
      <w:r>
        <w:rPr>
          <w:b/>
          <w:sz w:val="18"/>
          <w:u w:val="thick"/>
        </w:rPr>
        <w:tab/>
      </w:r>
      <w:r>
        <w:rPr>
          <w:sz w:val="18"/>
          <w:u w:val="thick"/>
        </w:rPr>
        <w:t>766,186</w:t>
      </w:r>
      <w:r>
        <w:rPr>
          <w:spacing w:val="-15"/>
          <w:sz w:val="18"/>
          <w:u w:val="thick"/>
        </w:rPr>
        <w:t xml:space="preserve"> </w:t>
      </w:r>
    </w:p>
    <w:p w14:paraId="0129D0B2" w14:textId="77777777" w:rsidR="00FA4AA8" w:rsidRDefault="00FA4AA8">
      <w:pPr>
        <w:pStyle w:val="BodyText"/>
        <w:spacing w:before="1"/>
        <w:rPr>
          <w:sz w:val="21"/>
        </w:rPr>
      </w:pPr>
    </w:p>
    <w:p w14:paraId="3C37E32E" w14:textId="77777777" w:rsidR="00FA4AA8" w:rsidRDefault="0015611F">
      <w:pPr>
        <w:pStyle w:val="ListParagraph"/>
        <w:numPr>
          <w:ilvl w:val="0"/>
          <w:numId w:val="4"/>
        </w:numPr>
        <w:tabs>
          <w:tab w:val="left" w:pos="1131"/>
          <w:tab w:val="left" w:pos="1132"/>
        </w:tabs>
        <w:spacing w:before="94"/>
        <w:rPr>
          <w:b/>
          <w:sz w:val="18"/>
        </w:rPr>
      </w:pPr>
      <w:r>
        <w:rPr>
          <w:b/>
          <w:sz w:val="18"/>
        </w:rPr>
        <w:t>Accounting Policy</w:t>
      </w:r>
    </w:p>
    <w:p w14:paraId="47131D20" w14:textId="77777777" w:rsidR="00FA4AA8" w:rsidRDefault="00FA4AA8">
      <w:pPr>
        <w:pStyle w:val="BodyText"/>
        <w:spacing w:before="5"/>
        <w:rPr>
          <w:b/>
          <w:sz w:val="25"/>
        </w:rPr>
      </w:pPr>
    </w:p>
    <w:p w14:paraId="43512985" w14:textId="77777777" w:rsidR="00FA4AA8" w:rsidRDefault="0015611F">
      <w:pPr>
        <w:pStyle w:val="BodyText"/>
        <w:ind w:left="563" w:right="141"/>
      </w:pPr>
      <w:r>
        <w:t>For the statement of cash flows presentation purposes cash and cash equivalents includes cash on hand, deposits held at call with financial institutions, other short term, highly liquid investments with original maturities of three months or less that are readily convertible to known amounts of cash and which are subject to an insignificant risk of changes in value.</w:t>
      </w:r>
    </w:p>
    <w:p w14:paraId="1BB2A571" w14:textId="77777777" w:rsidR="00FA4AA8" w:rsidRDefault="00FA4AA8">
      <w:pPr>
        <w:pStyle w:val="BodyText"/>
        <w:spacing w:before="10"/>
        <w:rPr>
          <w:sz w:val="24"/>
        </w:rPr>
      </w:pPr>
    </w:p>
    <w:p w14:paraId="2F819686" w14:textId="77777777" w:rsidR="00FA4AA8" w:rsidRDefault="0015611F">
      <w:pPr>
        <w:pStyle w:val="BodyText"/>
        <w:ind w:left="563"/>
      </w:pPr>
      <w:r>
        <w:t>Cash at bank is interest bearing and cash on hand is non-interest bearing.</w:t>
      </w:r>
    </w:p>
    <w:p w14:paraId="19786E8B" w14:textId="77777777" w:rsidR="00FA4AA8" w:rsidRDefault="00FA4AA8">
      <w:pPr>
        <w:sectPr w:rsidR="00FA4AA8">
          <w:pgSz w:w="11910" w:h="16840"/>
          <w:pgMar w:top="2540" w:right="840" w:bottom="720" w:left="840" w:header="1017" w:footer="523" w:gutter="0"/>
          <w:cols w:space="720"/>
        </w:sectPr>
      </w:pPr>
    </w:p>
    <w:p w14:paraId="3C35987F" w14:textId="77777777" w:rsidR="00FA4AA8" w:rsidRDefault="00FA4AA8">
      <w:pPr>
        <w:pStyle w:val="BodyText"/>
        <w:rPr>
          <w:sz w:val="20"/>
        </w:rPr>
      </w:pPr>
    </w:p>
    <w:p w14:paraId="6F281D58" w14:textId="77777777" w:rsidR="00FA4AA8" w:rsidRDefault="00FA4AA8">
      <w:pPr>
        <w:pStyle w:val="BodyText"/>
        <w:rPr>
          <w:sz w:val="20"/>
        </w:rPr>
      </w:pPr>
    </w:p>
    <w:p w14:paraId="70FAB7AB" w14:textId="77777777" w:rsidR="00FA4AA8" w:rsidRDefault="00FA4AA8">
      <w:pPr>
        <w:pStyle w:val="BodyText"/>
        <w:spacing w:before="5"/>
      </w:pPr>
    </w:p>
    <w:tbl>
      <w:tblPr>
        <w:tblW w:w="0" w:type="auto"/>
        <w:tblInd w:w="126" w:type="dxa"/>
        <w:tblLayout w:type="fixed"/>
        <w:tblCellMar>
          <w:left w:w="0" w:type="dxa"/>
          <w:right w:w="0" w:type="dxa"/>
        </w:tblCellMar>
        <w:tblLook w:val="01E0" w:firstRow="1" w:lastRow="1" w:firstColumn="1" w:lastColumn="1" w:noHBand="0" w:noVBand="0"/>
      </w:tblPr>
      <w:tblGrid>
        <w:gridCol w:w="297"/>
        <w:gridCol w:w="7075"/>
        <w:gridCol w:w="1465"/>
        <w:gridCol w:w="1129"/>
      </w:tblGrid>
      <w:tr w:rsidR="00FA4AA8" w14:paraId="05E772B1" w14:textId="77777777">
        <w:trPr>
          <w:trHeight w:val="409"/>
        </w:trPr>
        <w:tc>
          <w:tcPr>
            <w:tcW w:w="297" w:type="dxa"/>
          </w:tcPr>
          <w:p w14:paraId="5D652151" w14:textId="77777777" w:rsidR="00FA4AA8" w:rsidRDefault="0015611F">
            <w:pPr>
              <w:pStyle w:val="TableParagraph"/>
              <w:spacing w:line="201" w:lineRule="exact"/>
              <w:ind w:left="50"/>
              <w:rPr>
                <w:b/>
                <w:sz w:val="18"/>
              </w:rPr>
            </w:pPr>
            <w:r>
              <w:rPr>
                <w:b/>
                <w:w w:val="99"/>
                <w:sz w:val="18"/>
              </w:rPr>
              <w:t>6</w:t>
            </w:r>
          </w:p>
        </w:tc>
        <w:tc>
          <w:tcPr>
            <w:tcW w:w="7075" w:type="dxa"/>
          </w:tcPr>
          <w:p w14:paraId="0BBC068E" w14:textId="77777777" w:rsidR="00FA4AA8" w:rsidRDefault="0015611F">
            <w:pPr>
              <w:pStyle w:val="TableParagraph"/>
              <w:spacing w:line="201" w:lineRule="exact"/>
              <w:ind w:left="148"/>
              <w:rPr>
                <w:b/>
                <w:sz w:val="18"/>
              </w:rPr>
            </w:pPr>
            <w:r>
              <w:rPr>
                <w:b/>
                <w:sz w:val="18"/>
              </w:rPr>
              <w:t>Property, plant and equipment</w:t>
            </w:r>
          </w:p>
        </w:tc>
        <w:tc>
          <w:tcPr>
            <w:tcW w:w="1465" w:type="dxa"/>
          </w:tcPr>
          <w:p w14:paraId="47543F2A" w14:textId="77777777" w:rsidR="00FA4AA8" w:rsidRDefault="00FA4AA8">
            <w:pPr>
              <w:pStyle w:val="TableParagraph"/>
              <w:spacing w:before="5"/>
              <w:rPr>
                <w:sz w:val="17"/>
              </w:rPr>
            </w:pPr>
          </w:p>
          <w:p w14:paraId="06081656" w14:textId="77777777" w:rsidR="00FA4AA8" w:rsidRDefault="0015611F">
            <w:pPr>
              <w:pStyle w:val="TableParagraph"/>
              <w:spacing w:line="189" w:lineRule="exact"/>
              <w:ind w:left="344"/>
              <w:rPr>
                <w:b/>
                <w:sz w:val="18"/>
              </w:rPr>
            </w:pPr>
            <w:r>
              <w:rPr>
                <w:b/>
                <w:sz w:val="18"/>
              </w:rPr>
              <w:t>Library</w:t>
            </w:r>
          </w:p>
        </w:tc>
        <w:tc>
          <w:tcPr>
            <w:tcW w:w="1129" w:type="dxa"/>
          </w:tcPr>
          <w:p w14:paraId="7F4DA02E" w14:textId="77777777" w:rsidR="00FA4AA8" w:rsidRDefault="00FA4AA8">
            <w:pPr>
              <w:pStyle w:val="TableParagraph"/>
              <w:spacing w:before="5"/>
              <w:rPr>
                <w:sz w:val="17"/>
              </w:rPr>
            </w:pPr>
          </w:p>
          <w:p w14:paraId="6006F4BA" w14:textId="77777777" w:rsidR="00FA4AA8" w:rsidRDefault="0015611F">
            <w:pPr>
              <w:pStyle w:val="TableParagraph"/>
              <w:spacing w:line="189" w:lineRule="exact"/>
              <w:ind w:left="252"/>
              <w:rPr>
                <w:b/>
                <w:sz w:val="18"/>
              </w:rPr>
            </w:pPr>
            <w:r>
              <w:rPr>
                <w:b/>
                <w:sz w:val="18"/>
              </w:rPr>
              <w:t>Total</w:t>
            </w:r>
          </w:p>
        </w:tc>
      </w:tr>
      <w:tr w:rsidR="00FA4AA8" w14:paraId="34F6C4A4" w14:textId="77777777">
        <w:trPr>
          <w:trHeight w:val="183"/>
        </w:trPr>
        <w:tc>
          <w:tcPr>
            <w:tcW w:w="297" w:type="dxa"/>
          </w:tcPr>
          <w:p w14:paraId="1B27B217" w14:textId="77777777" w:rsidR="00FA4AA8" w:rsidRDefault="00FA4AA8">
            <w:pPr>
              <w:pStyle w:val="TableParagraph"/>
              <w:rPr>
                <w:rFonts w:ascii="Times New Roman"/>
                <w:sz w:val="12"/>
              </w:rPr>
            </w:pPr>
          </w:p>
        </w:tc>
        <w:tc>
          <w:tcPr>
            <w:tcW w:w="7075" w:type="dxa"/>
          </w:tcPr>
          <w:p w14:paraId="5CE7E243" w14:textId="77777777" w:rsidR="00FA4AA8" w:rsidRDefault="00FA4AA8">
            <w:pPr>
              <w:pStyle w:val="TableParagraph"/>
              <w:rPr>
                <w:rFonts w:ascii="Times New Roman"/>
                <w:sz w:val="12"/>
              </w:rPr>
            </w:pPr>
          </w:p>
        </w:tc>
        <w:tc>
          <w:tcPr>
            <w:tcW w:w="1465" w:type="dxa"/>
          </w:tcPr>
          <w:p w14:paraId="46E0103D" w14:textId="77777777" w:rsidR="00FA4AA8" w:rsidRDefault="0015611F">
            <w:pPr>
              <w:pStyle w:val="TableParagraph"/>
              <w:spacing w:line="164" w:lineRule="exact"/>
              <w:ind w:right="166"/>
              <w:jc w:val="center"/>
              <w:rPr>
                <w:b/>
                <w:sz w:val="16"/>
              </w:rPr>
            </w:pPr>
            <w:r>
              <w:rPr>
                <w:b/>
                <w:w w:val="99"/>
                <w:sz w:val="16"/>
              </w:rPr>
              <w:t>$</w:t>
            </w:r>
          </w:p>
        </w:tc>
        <w:tc>
          <w:tcPr>
            <w:tcW w:w="1129" w:type="dxa"/>
          </w:tcPr>
          <w:p w14:paraId="1CDBBD38" w14:textId="77777777" w:rsidR="00FA4AA8" w:rsidRDefault="0015611F">
            <w:pPr>
              <w:pStyle w:val="TableParagraph"/>
              <w:spacing w:line="164" w:lineRule="exact"/>
              <w:ind w:right="192"/>
              <w:jc w:val="center"/>
              <w:rPr>
                <w:b/>
                <w:sz w:val="16"/>
              </w:rPr>
            </w:pPr>
            <w:r>
              <w:rPr>
                <w:b/>
                <w:w w:val="99"/>
                <w:sz w:val="16"/>
              </w:rPr>
              <w:t>$</w:t>
            </w:r>
          </w:p>
        </w:tc>
      </w:tr>
      <w:tr w:rsidR="00FA4AA8" w14:paraId="416F002F" w14:textId="77777777">
        <w:trPr>
          <w:trHeight w:val="408"/>
        </w:trPr>
        <w:tc>
          <w:tcPr>
            <w:tcW w:w="297" w:type="dxa"/>
          </w:tcPr>
          <w:p w14:paraId="79E2A35D" w14:textId="77777777" w:rsidR="00FA4AA8" w:rsidRDefault="00FA4AA8">
            <w:pPr>
              <w:pStyle w:val="TableParagraph"/>
              <w:rPr>
                <w:rFonts w:ascii="Times New Roman"/>
                <w:sz w:val="18"/>
              </w:rPr>
            </w:pPr>
          </w:p>
        </w:tc>
        <w:tc>
          <w:tcPr>
            <w:tcW w:w="7075" w:type="dxa"/>
          </w:tcPr>
          <w:p w14:paraId="06A2142F" w14:textId="77777777" w:rsidR="00FA4AA8" w:rsidRDefault="0015611F">
            <w:pPr>
              <w:pStyle w:val="TableParagraph"/>
              <w:spacing w:line="204" w:lineRule="exact"/>
              <w:ind w:left="147"/>
              <w:rPr>
                <w:b/>
                <w:sz w:val="18"/>
              </w:rPr>
            </w:pPr>
            <w:r>
              <w:rPr>
                <w:b/>
                <w:sz w:val="18"/>
              </w:rPr>
              <w:t>At 1 January 2017</w:t>
            </w:r>
          </w:p>
          <w:p w14:paraId="12ED0A0C" w14:textId="77777777" w:rsidR="00FA4AA8" w:rsidRDefault="0015611F">
            <w:pPr>
              <w:pStyle w:val="TableParagraph"/>
              <w:spacing w:line="185" w:lineRule="exact"/>
              <w:ind w:left="147"/>
              <w:rPr>
                <w:sz w:val="18"/>
              </w:rPr>
            </w:pPr>
            <w:r>
              <w:rPr>
                <w:sz w:val="18"/>
              </w:rPr>
              <w:t>Valuation</w:t>
            </w:r>
            <w:r>
              <w:rPr>
                <w:w w:val="95"/>
                <w:sz w:val="18"/>
              </w:rPr>
              <w:t xml:space="preserve"> </w:t>
            </w:r>
          </w:p>
        </w:tc>
        <w:tc>
          <w:tcPr>
            <w:tcW w:w="1465" w:type="dxa"/>
            <w:tcBorders>
              <w:bottom w:val="single" w:sz="4" w:space="0" w:color="000000"/>
            </w:tcBorders>
          </w:tcPr>
          <w:p w14:paraId="2AA71FF7" w14:textId="77777777" w:rsidR="00FA4AA8" w:rsidRDefault="00FA4AA8">
            <w:pPr>
              <w:pStyle w:val="TableParagraph"/>
              <w:spacing w:before="7"/>
              <w:rPr>
                <w:sz w:val="17"/>
              </w:rPr>
            </w:pPr>
          </w:p>
          <w:p w14:paraId="688203A5" w14:textId="77777777" w:rsidR="00FA4AA8" w:rsidRDefault="0015611F">
            <w:pPr>
              <w:pStyle w:val="TableParagraph"/>
              <w:spacing w:before="1" w:line="185" w:lineRule="exact"/>
              <w:ind w:right="251"/>
              <w:jc w:val="right"/>
              <w:rPr>
                <w:sz w:val="18"/>
              </w:rPr>
            </w:pPr>
            <w:r>
              <w:rPr>
                <w:w w:val="95"/>
                <w:sz w:val="18"/>
              </w:rPr>
              <w:t>830,442</w:t>
            </w:r>
          </w:p>
        </w:tc>
        <w:tc>
          <w:tcPr>
            <w:tcW w:w="1129" w:type="dxa"/>
            <w:tcBorders>
              <w:bottom w:val="single" w:sz="4" w:space="0" w:color="000000"/>
            </w:tcBorders>
          </w:tcPr>
          <w:p w14:paraId="5ED2C4A1" w14:textId="77777777" w:rsidR="00FA4AA8" w:rsidRDefault="00FA4AA8">
            <w:pPr>
              <w:pStyle w:val="TableParagraph"/>
              <w:spacing w:before="7"/>
              <w:rPr>
                <w:sz w:val="17"/>
              </w:rPr>
            </w:pPr>
          </w:p>
          <w:p w14:paraId="56CE3FB6" w14:textId="77777777" w:rsidR="00FA4AA8" w:rsidRDefault="0015611F">
            <w:pPr>
              <w:pStyle w:val="TableParagraph"/>
              <w:spacing w:before="1" w:line="185" w:lineRule="exact"/>
              <w:ind w:right="82"/>
              <w:jc w:val="right"/>
              <w:rPr>
                <w:sz w:val="18"/>
              </w:rPr>
            </w:pPr>
            <w:r>
              <w:rPr>
                <w:w w:val="95"/>
                <w:sz w:val="18"/>
              </w:rPr>
              <w:t>830,442</w:t>
            </w:r>
          </w:p>
        </w:tc>
      </w:tr>
      <w:tr w:rsidR="00FA4AA8" w14:paraId="380BF249" w14:textId="77777777">
        <w:trPr>
          <w:trHeight w:val="205"/>
        </w:trPr>
        <w:tc>
          <w:tcPr>
            <w:tcW w:w="297" w:type="dxa"/>
          </w:tcPr>
          <w:p w14:paraId="5A66E776" w14:textId="77777777" w:rsidR="00FA4AA8" w:rsidRDefault="00FA4AA8">
            <w:pPr>
              <w:pStyle w:val="TableParagraph"/>
              <w:rPr>
                <w:rFonts w:ascii="Times New Roman"/>
                <w:sz w:val="14"/>
              </w:rPr>
            </w:pPr>
          </w:p>
        </w:tc>
        <w:tc>
          <w:tcPr>
            <w:tcW w:w="7075" w:type="dxa"/>
          </w:tcPr>
          <w:p w14:paraId="38CA7249" w14:textId="77777777" w:rsidR="00FA4AA8" w:rsidRDefault="0015611F">
            <w:pPr>
              <w:pStyle w:val="TableParagraph"/>
              <w:spacing w:line="185" w:lineRule="exact"/>
              <w:ind w:left="147"/>
              <w:rPr>
                <w:sz w:val="18"/>
              </w:rPr>
            </w:pPr>
            <w:r>
              <w:rPr>
                <w:sz w:val="18"/>
              </w:rPr>
              <w:t>Net book amount</w:t>
            </w:r>
          </w:p>
        </w:tc>
        <w:tc>
          <w:tcPr>
            <w:tcW w:w="1465" w:type="dxa"/>
            <w:tcBorders>
              <w:top w:val="single" w:sz="4" w:space="0" w:color="000000"/>
              <w:bottom w:val="single" w:sz="8" w:space="0" w:color="000000"/>
            </w:tcBorders>
          </w:tcPr>
          <w:p w14:paraId="498F1AE2" w14:textId="77777777" w:rsidR="00FA4AA8" w:rsidRDefault="0015611F">
            <w:pPr>
              <w:pStyle w:val="TableParagraph"/>
              <w:spacing w:line="185" w:lineRule="exact"/>
              <w:ind w:right="251"/>
              <w:jc w:val="right"/>
              <w:rPr>
                <w:sz w:val="18"/>
              </w:rPr>
            </w:pPr>
            <w:r>
              <w:rPr>
                <w:w w:val="95"/>
                <w:sz w:val="18"/>
              </w:rPr>
              <w:t>830,442</w:t>
            </w:r>
          </w:p>
        </w:tc>
        <w:tc>
          <w:tcPr>
            <w:tcW w:w="1129" w:type="dxa"/>
            <w:tcBorders>
              <w:top w:val="single" w:sz="4" w:space="0" w:color="000000"/>
              <w:bottom w:val="single" w:sz="8" w:space="0" w:color="000000"/>
            </w:tcBorders>
          </w:tcPr>
          <w:p w14:paraId="12072B11" w14:textId="77777777" w:rsidR="00FA4AA8" w:rsidRDefault="0015611F">
            <w:pPr>
              <w:pStyle w:val="TableParagraph"/>
              <w:spacing w:line="185" w:lineRule="exact"/>
              <w:ind w:right="82"/>
              <w:jc w:val="right"/>
              <w:rPr>
                <w:sz w:val="18"/>
              </w:rPr>
            </w:pPr>
            <w:r>
              <w:rPr>
                <w:w w:val="95"/>
                <w:sz w:val="18"/>
              </w:rPr>
              <w:t>830,442</w:t>
            </w:r>
          </w:p>
        </w:tc>
      </w:tr>
      <w:tr w:rsidR="00FA4AA8" w14:paraId="44CD32B0" w14:textId="77777777">
        <w:trPr>
          <w:trHeight w:val="557"/>
        </w:trPr>
        <w:tc>
          <w:tcPr>
            <w:tcW w:w="297" w:type="dxa"/>
          </w:tcPr>
          <w:p w14:paraId="3D5A9C75" w14:textId="77777777" w:rsidR="00FA4AA8" w:rsidRDefault="00FA4AA8">
            <w:pPr>
              <w:pStyle w:val="TableParagraph"/>
              <w:rPr>
                <w:rFonts w:ascii="Times New Roman"/>
                <w:sz w:val="18"/>
              </w:rPr>
            </w:pPr>
          </w:p>
        </w:tc>
        <w:tc>
          <w:tcPr>
            <w:tcW w:w="7075" w:type="dxa"/>
          </w:tcPr>
          <w:p w14:paraId="58310859" w14:textId="77777777" w:rsidR="00FA4AA8" w:rsidRDefault="0015611F">
            <w:pPr>
              <w:pStyle w:val="TableParagraph"/>
              <w:spacing w:before="141" w:line="207" w:lineRule="exact"/>
              <w:ind w:left="147"/>
              <w:rPr>
                <w:b/>
                <w:sz w:val="18"/>
              </w:rPr>
            </w:pPr>
            <w:r>
              <w:rPr>
                <w:b/>
                <w:sz w:val="18"/>
              </w:rPr>
              <w:t>Year ended 31 December 2017</w:t>
            </w:r>
          </w:p>
          <w:p w14:paraId="6C1A21FC" w14:textId="77777777" w:rsidR="00FA4AA8" w:rsidRDefault="0015611F">
            <w:pPr>
              <w:pStyle w:val="TableParagraph"/>
              <w:spacing w:line="189" w:lineRule="exact"/>
              <w:ind w:left="147"/>
              <w:rPr>
                <w:sz w:val="18"/>
              </w:rPr>
            </w:pPr>
            <w:r>
              <w:rPr>
                <w:sz w:val="18"/>
              </w:rPr>
              <w:t>Opening net book amount</w:t>
            </w:r>
            <w:r>
              <w:rPr>
                <w:w w:val="95"/>
                <w:sz w:val="18"/>
              </w:rPr>
              <w:t xml:space="preserve"> </w:t>
            </w:r>
          </w:p>
        </w:tc>
        <w:tc>
          <w:tcPr>
            <w:tcW w:w="1465" w:type="dxa"/>
            <w:tcBorders>
              <w:top w:val="single" w:sz="8" w:space="0" w:color="000000"/>
            </w:tcBorders>
          </w:tcPr>
          <w:p w14:paraId="4196B0B7" w14:textId="77777777" w:rsidR="00FA4AA8" w:rsidRDefault="00FA4AA8">
            <w:pPr>
              <w:pStyle w:val="TableParagraph"/>
              <w:rPr>
                <w:sz w:val="20"/>
              </w:rPr>
            </w:pPr>
          </w:p>
          <w:p w14:paraId="4D06332C" w14:textId="77777777" w:rsidR="00FA4AA8" w:rsidRDefault="0015611F">
            <w:pPr>
              <w:pStyle w:val="TableParagraph"/>
              <w:spacing w:before="117" w:line="190" w:lineRule="exact"/>
              <w:ind w:right="249"/>
              <w:jc w:val="right"/>
              <w:rPr>
                <w:sz w:val="18"/>
              </w:rPr>
            </w:pPr>
            <w:r>
              <w:rPr>
                <w:w w:val="95"/>
                <w:sz w:val="18"/>
              </w:rPr>
              <w:t>830,442</w:t>
            </w:r>
          </w:p>
        </w:tc>
        <w:tc>
          <w:tcPr>
            <w:tcW w:w="1129" w:type="dxa"/>
            <w:tcBorders>
              <w:top w:val="single" w:sz="8" w:space="0" w:color="000000"/>
            </w:tcBorders>
          </w:tcPr>
          <w:p w14:paraId="01E5FEE6" w14:textId="77777777" w:rsidR="00FA4AA8" w:rsidRDefault="00FA4AA8">
            <w:pPr>
              <w:pStyle w:val="TableParagraph"/>
              <w:rPr>
                <w:sz w:val="20"/>
              </w:rPr>
            </w:pPr>
          </w:p>
          <w:p w14:paraId="6F705DD9" w14:textId="77777777" w:rsidR="00FA4AA8" w:rsidRDefault="0015611F">
            <w:pPr>
              <w:pStyle w:val="TableParagraph"/>
              <w:spacing w:before="117" w:line="190" w:lineRule="exact"/>
              <w:ind w:right="82"/>
              <w:jc w:val="right"/>
              <w:rPr>
                <w:sz w:val="18"/>
              </w:rPr>
            </w:pPr>
            <w:r>
              <w:rPr>
                <w:w w:val="95"/>
                <w:sz w:val="18"/>
              </w:rPr>
              <w:t>830,442</w:t>
            </w:r>
          </w:p>
        </w:tc>
      </w:tr>
      <w:tr w:rsidR="00FA4AA8" w14:paraId="678F8822" w14:textId="77777777">
        <w:trPr>
          <w:trHeight w:val="215"/>
        </w:trPr>
        <w:tc>
          <w:tcPr>
            <w:tcW w:w="297" w:type="dxa"/>
          </w:tcPr>
          <w:p w14:paraId="0F1E673A" w14:textId="77777777" w:rsidR="00FA4AA8" w:rsidRDefault="00FA4AA8">
            <w:pPr>
              <w:pStyle w:val="TableParagraph"/>
              <w:rPr>
                <w:rFonts w:ascii="Times New Roman"/>
                <w:sz w:val="14"/>
              </w:rPr>
            </w:pPr>
          </w:p>
        </w:tc>
        <w:tc>
          <w:tcPr>
            <w:tcW w:w="7075" w:type="dxa"/>
          </w:tcPr>
          <w:p w14:paraId="1C6AD505" w14:textId="77777777" w:rsidR="00FA4AA8" w:rsidRDefault="0015611F">
            <w:pPr>
              <w:pStyle w:val="TableParagraph"/>
              <w:spacing w:line="196" w:lineRule="exact"/>
              <w:ind w:left="147"/>
              <w:rPr>
                <w:sz w:val="18"/>
              </w:rPr>
            </w:pPr>
            <w:r>
              <w:rPr>
                <w:sz w:val="18"/>
              </w:rPr>
              <w:t>Revaluation surplus</w:t>
            </w:r>
          </w:p>
        </w:tc>
        <w:tc>
          <w:tcPr>
            <w:tcW w:w="1465" w:type="dxa"/>
          </w:tcPr>
          <w:p w14:paraId="497AD617" w14:textId="77777777" w:rsidR="00FA4AA8" w:rsidRDefault="0015611F">
            <w:pPr>
              <w:pStyle w:val="TableParagraph"/>
              <w:spacing w:line="196" w:lineRule="exact"/>
              <w:ind w:right="254"/>
              <w:jc w:val="right"/>
              <w:rPr>
                <w:sz w:val="18"/>
              </w:rPr>
            </w:pPr>
            <w:r>
              <w:rPr>
                <w:w w:val="99"/>
                <w:sz w:val="18"/>
              </w:rPr>
              <w:t>-</w:t>
            </w:r>
          </w:p>
        </w:tc>
        <w:tc>
          <w:tcPr>
            <w:tcW w:w="1129" w:type="dxa"/>
          </w:tcPr>
          <w:p w14:paraId="08740FD1" w14:textId="77777777" w:rsidR="00FA4AA8" w:rsidRDefault="0015611F">
            <w:pPr>
              <w:pStyle w:val="TableParagraph"/>
              <w:spacing w:line="196" w:lineRule="exact"/>
              <w:ind w:right="84"/>
              <w:jc w:val="right"/>
              <w:rPr>
                <w:sz w:val="18"/>
              </w:rPr>
            </w:pPr>
            <w:r>
              <w:rPr>
                <w:w w:val="99"/>
                <w:sz w:val="18"/>
              </w:rPr>
              <w:t>-</w:t>
            </w:r>
          </w:p>
        </w:tc>
      </w:tr>
      <w:tr w:rsidR="00FA4AA8" w14:paraId="7A7EF2B6" w14:textId="77777777">
        <w:trPr>
          <w:trHeight w:val="211"/>
        </w:trPr>
        <w:tc>
          <w:tcPr>
            <w:tcW w:w="297" w:type="dxa"/>
          </w:tcPr>
          <w:p w14:paraId="08667DEF" w14:textId="77777777" w:rsidR="00FA4AA8" w:rsidRDefault="00FA4AA8">
            <w:pPr>
              <w:pStyle w:val="TableParagraph"/>
              <w:rPr>
                <w:rFonts w:ascii="Times New Roman"/>
                <w:sz w:val="14"/>
              </w:rPr>
            </w:pPr>
          </w:p>
        </w:tc>
        <w:tc>
          <w:tcPr>
            <w:tcW w:w="7075" w:type="dxa"/>
          </w:tcPr>
          <w:p w14:paraId="5EF9FDC8" w14:textId="77777777" w:rsidR="00FA4AA8" w:rsidRDefault="0015611F">
            <w:pPr>
              <w:pStyle w:val="TableParagraph"/>
              <w:spacing w:before="6" w:line="185" w:lineRule="exact"/>
              <w:ind w:left="147"/>
              <w:rPr>
                <w:sz w:val="18"/>
              </w:rPr>
            </w:pPr>
            <w:r>
              <w:rPr>
                <w:sz w:val="18"/>
              </w:rPr>
              <w:t>Additions</w:t>
            </w:r>
          </w:p>
        </w:tc>
        <w:tc>
          <w:tcPr>
            <w:tcW w:w="1465" w:type="dxa"/>
            <w:tcBorders>
              <w:bottom w:val="single" w:sz="4" w:space="0" w:color="000000"/>
            </w:tcBorders>
          </w:tcPr>
          <w:p w14:paraId="3789D832" w14:textId="77777777" w:rsidR="00FA4AA8" w:rsidRDefault="0015611F">
            <w:pPr>
              <w:pStyle w:val="TableParagraph"/>
              <w:spacing w:before="6" w:line="185" w:lineRule="exact"/>
              <w:ind w:right="252"/>
              <w:jc w:val="right"/>
              <w:rPr>
                <w:sz w:val="18"/>
              </w:rPr>
            </w:pPr>
            <w:r>
              <w:rPr>
                <w:sz w:val="18"/>
              </w:rPr>
              <w:t>30,730</w:t>
            </w:r>
          </w:p>
        </w:tc>
        <w:tc>
          <w:tcPr>
            <w:tcW w:w="1129" w:type="dxa"/>
            <w:tcBorders>
              <w:bottom w:val="single" w:sz="4" w:space="0" w:color="000000"/>
            </w:tcBorders>
          </w:tcPr>
          <w:p w14:paraId="3E37B747" w14:textId="77777777" w:rsidR="00FA4AA8" w:rsidRDefault="0015611F">
            <w:pPr>
              <w:pStyle w:val="TableParagraph"/>
              <w:spacing w:before="6" w:line="185" w:lineRule="exact"/>
              <w:ind w:right="82"/>
              <w:jc w:val="right"/>
              <w:rPr>
                <w:sz w:val="18"/>
              </w:rPr>
            </w:pPr>
            <w:r>
              <w:rPr>
                <w:w w:val="95"/>
                <w:sz w:val="18"/>
              </w:rPr>
              <w:t>30,730</w:t>
            </w:r>
          </w:p>
        </w:tc>
      </w:tr>
      <w:tr w:rsidR="00FA4AA8" w14:paraId="3D9F2F9E" w14:textId="77777777">
        <w:trPr>
          <w:trHeight w:val="205"/>
        </w:trPr>
        <w:tc>
          <w:tcPr>
            <w:tcW w:w="297" w:type="dxa"/>
          </w:tcPr>
          <w:p w14:paraId="73321ABD" w14:textId="77777777" w:rsidR="00FA4AA8" w:rsidRDefault="00FA4AA8">
            <w:pPr>
              <w:pStyle w:val="TableParagraph"/>
              <w:rPr>
                <w:rFonts w:ascii="Times New Roman"/>
                <w:sz w:val="14"/>
              </w:rPr>
            </w:pPr>
          </w:p>
        </w:tc>
        <w:tc>
          <w:tcPr>
            <w:tcW w:w="7075" w:type="dxa"/>
          </w:tcPr>
          <w:p w14:paraId="6438B0C8" w14:textId="77777777" w:rsidR="00FA4AA8" w:rsidRDefault="0015611F">
            <w:pPr>
              <w:pStyle w:val="TableParagraph"/>
              <w:spacing w:line="185" w:lineRule="exact"/>
              <w:ind w:left="147"/>
              <w:rPr>
                <w:sz w:val="18"/>
              </w:rPr>
            </w:pPr>
            <w:r>
              <w:rPr>
                <w:sz w:val="18"/>
              </w:rPr>
              <w:t>Closing net book amount</w:t>
            </w:r>
          </w:p>
        </w:tc>
        <w:tc>
          <w:tcPr>
            <w:tcW w:w="1465" w:type="dxa"/>
            <w:tcBorders>
              <w:top w:val="single" w:sz="4" w:space="0" w:color="000000"/>
              <w:bottom w:val="single" w:sz="8" w:space="0" w:color="000000"/>
            </w:tcBorders>
          </w:tcPr>
          <w:p w14:paraId="6DE2C6B0" w14:textId="77777777" w:rsidR="00FA4AA8" w:rsidRDefault="0015611F">
            <w:pPr>
              <w:pStyle w:val="TableParagraph"/>
              <w:spacing w:line="185" w:lineRule="exact"/>
              <w:ind w:right="251"/>
              <w:jc w:val="right"/>
              <w:rPr>
                <w:sz w:val="18"/>
              </w:rPr>
            </w:pPr>
            <w:r>
              <w:rPr>
                <w:w w:val="95"/>
                <w:sz w:val="18"/>
              </w:rPr>
              <w:t>861,172</w:t>
            </w:r>
          </w:p>
        </w:tc>
        <w:tc>
          <w:tcPr>
            <w:tcW w:w="1129" w:type="dxa"/>
            <w:tcBorders>
              <w:top w:val="single" w:sz="4" w:space="0" w:color="000000"/>
              <w:bottom w:val="single" w:sz="8" w:space="0" w:color="000000"/>
            </w:tcBorders>
          </w:tcPr>
          <w:p w14:paraId="2FED4C91" w14:textId="77777777" w:rsidR="00FA4AA8" w:rsidRDefault="0015611F">
            <w:pPr>
              <w:pStyle w:val="TableParagraph"/>
              <w:spacing w:line="185" w:lineRule="exact"/>
              <w:ind w:right="82"/>
              <w:jc w:val="right"/>
              <w:rPr>
                <w:sz w:val="18"/>
              </w:rPr>
            </w:pPr>
            <w:r>
              <w:rPr>
                <w:w w:val="95"/>
                <w:sz w:val="18"/>
              </w:rPr>
              <w:t>861,172</w:t>
            </w:r>
          </w:p>
        </w:tc>
      </w:tr>
      <w:tr w:rsidR="00FA4AA8" w14:paraId="6A49AC67" w14:textId="77777777">
        <w:trPr>
          <w:trHeight w:val="350"/>
        </w:trPr>
        <w:tc>
          <w:tcPr>
            <w:tcW w:w="297" w:type="dxa"/>
          </w:tcPr>
          <w:p w14:paraId="1EF28B2E" w14:textId="77777777" w:rsidR="00FA4AA8" w:rsidRDefault="00FA4AA8">
            <w:pPr>
              <w:pStyle w:val="TableParagraph"/>
              <w:rPr>
                <w:rFonts w:ascii="Times New Roman"/>
                <w:sz w:val="18"/>
              </w:rPr>
            </w:pPr>
          </w:p>
        </w:tc>
        <w:tc>
          <w:tcPr>
            <w:tcW w:w="7075" w:type="dxa"/>
          </w:tcPr>
          <w:p w14:paraId="59D221D3" w14:textId="77777777" w:rsidR="00FA4AA8" w:rsidRDefault="0015611F">
            <w:pPr>
              <w:pStyle w:val="TableParagraph"/>
              <w:spacing w:before="141" w:line="190" w:lineRule="exact"/>
              <w:ind w:left="147"/>
              <w:rPr>
                <w:b/>
                <w:sz w:val="18"/>
              </w:rPr>
            </w:pPr>
            <w:r>
              <w:rPr>
                <w:b/>
                <w:sz w:val="18"/>
              </w:rPr>
              <w:t>At 31 December 2017</w:t>
            </w:r>
          </w:p>
        </w:tc>
        <w:tc>
          <w:tcPr>
            <w:tcW w:w="1465" w:type="dxa"/>
            <w:tcBorders>
              <w:top w:val="single" w:sz="8" w:space="0" w:color="000000"/>
            </w:tcBorders>
          </w:tcPr>
          <w:p w14:paraId="6D688BBE" w14:textId="77777777" w:rsidR="00FA4AA8" w:rsidRDefault="00FA4AA8">
            <w:pPr>
              <w:pStyle w:val="TableParagraph"/>
              <w:rPr>
                <w:rFonts w:ascii="Times New Roman"/>
                <w:sz w:val="18"/>
              </w:rPr>
            </w:pPr>
          </w:p>
        </w:tc>
        <w:tc>
          <w:tcPr>
            <w:tcW w:w="1129" w:type="dxa"/>
            <w:tcBorders>
              <w:top w:val="single" w:sz="8" w:space="0" w:color="000000"/>
            </w:tcBorders>
          </w:tcPr>
          <w:p w14:paraId="5EC5EE09" w14:textId="77777777" w:rsidR="00FA4AA8" w:rsidRDefault="00FA4AA8">
            <w:pPr>
              <w:pStyle w:val="TableParagraph"/>
              <w:rPr>
                <w:rFonts w:ascii="Times New Roman"/>
                <w:sz w:val="18"/>
              </w:rPr>
            </w:pPr>
          </w:p>
        </w:tc>
      </w:tr>
      <w:tr w:rsidR="00FA4AA8" w14:paraId="5A5993CF" w14:textId="77777777">
        <w:trPr>
          <w:trHeight w:val="202"/>
        </w:trPr>
        <w:tc>
          <w:tcPr>
            <w:tcW w:w="297" w:type="dxa"/>
          </w:tcPr>
          <w:p w14:paraId="2767E328" w14:textId="77777777" w:rsidR="00FA4AA8" w:rsidRDefault="00FA4AA8">
            <w:pPr>
              <w:pStyle w:val="TableParagraph"/>
              <w:rPr>
                <w:rFonts w:ascii="Times New Roman"/>
                <w:sz w:val="14"/>
              </w:rPr>
            </w:pPr>
          </w:p>
        </w:tc>
        <w:tc>
          <w:tcPr>
            <w:tcW w:w="7075" w:type="dxa"/>
          </w:tcPr>
          <w:p w14:paraId="5782330C" w14:textId="77777777" w:rsidR="00FA4AA8" w:rsidRDefault="0015611F">
            <w:pPr>
              <w:pStyle w:val="TableParagraph"/>
              <w:spacing w:line="182" w:lineRule="exact"/>
              <w:ind w:left="147"/>
              <w:rPr>
                <w:sz w:val="18"/>
              </w:rPr>
            </w:pPr>
            <w:r>
              <w:rPr>
                <w:sz w:val="18"/>
              </w:rPr>
              <w:t>Valuation</w:t>
            </w:r>
          </w:p>
        </w:tc>
        <w:tc>
          <w:tcPr>
            <w:tcW w:w="1465" w:type="dxa"/>
            <w:tcBorders>
              <w:bottom w:val="single" w:sz="4" w:space="0" w:color="000000"/>
            </w:tcBorders>
          </w:tcPr>
          <w:p w14:paraId="38ED3212" w14:textId="77777777" w:rsidR="00FA4AA8" w:rsidRDefault="0015611F">
            <w:pPr>
              <w:pStyle w:val="TableParagraph"/>
              <w:spacing w:line="182" w:lineRule="exact"/>
              <w:ind w:right="251"/>
              <w:jc w:val="right"/>
              <w:rPr>
                <w:sz w:val="18"/>
              </w:rPr>
            </w:pPr>
            <w:r>
              <w:rPr>
                <w:w w:val="95"/>
                <w:sz w:val="18"/>
              </w:rPr>
              <w:t>861,172</w:t>
            </w:r>
          </w:p>
        </w:tc>
        <w:tc>
          <w:tcPr>
            <w:tcW w:w="1129" w:type="dxa"/>
            <w:tcBorders>
              <w:bottom w:val="single" w:sz="4" w:space="0" w:color="000000"/>
            </w:tcBorders>
          </w:tcPr>
          <w:p w14:paraId="7EA6A6CA" w14:textId="77777777" w:rsidR="00FA4AA8" w:rsidRDefault="0015611F">
            <w:pPr>
              <w:pStyle w:val="TableParagraph"/>
              <w:spacing w:line="182" w:lineRule="exact"/>
              <w:ind w:right="82"/>
              <w:jc w:val="right"/>
              <w:rPr>
                <w:sz w:val="18"/>
              </w:rPr>
            </w:pPr>
            <w:r>
              <w:rPr>
                <w:w w:val="95"/>
                <w:sz w:val="18"/>
              </w:rPr>
              <w:t>861,172</w:t>
            </w:r>
          </w:p>
        </w:tc>
      </w:tr>
      <w:tr w:rsidR="00FA4AA8" w14:paraId="17143655" w14:textId="77777777">
        <w:trPr>
          <w:trHeight w:val="205"/>
        </w:trPr>
        <w:tc>
          <w:tcPr>
            <w:tcW w:w="297" w:type="dxa"/>
          </w:tcPr>
          <w:p w14:paraId="398852ED" w14:textId="77777777" w:rsidR="00FA4AA8" w:rsidRDefault="00FA4AA8">
            <w:pPr>
              <w:pStyle w:val="TableParagraph"/>
              <w:rPr>
                <w:rFonts w:ascii="Times New Roman"/>
                <w:sz w:val="14"/>
              </w:rPr>
            </w:pPr>
          </w:p>
        </w:tc>
        <w:tc>
          <w:tcPr>
            <w:tcW w:w="7075" w:type="dxa"/>
          </w:tcPr>
          <w:p w14:paraId="3DE22910" w14:textId="77777777" w:rsidR="00FA4AA8" w:rsidRDefault="0015611F">
            <w:pPr>
              <w:pStyle w:val="TableParagraph"/>
              <w:spacing w:line="185" w:lineRule="exact"/>
              <w:ind w:left="147"/>
              <w:rPr>
                <w:sz w:val="18"/>
              </w:rPr>
            </w:pPr>
            <w:r>
              <w:rPr>
                <w:sz w:val="18"/>
              </w:rPr>
              <w:t>Net book amount</w:t>
            </w:r>
          </w:p>
        </w:tc>
        <w:tc>
          <w:tcPr>
            <w:tcW w:w="1465" w:type="dxa"/>
            <w:tcBorders>
              <w:top w:val="single" w:sz="4" w:space="0" w:color="000000"/>
              <w:bottom w:val="single" w:sz="8" w:space="0" w:color="000000"/>
            </w:tcBorders>
          </w:tcPr>
          <w:p w14:paraId="284E11EC" w14:textId="77777777" w:rsidR="00FA4AA8" w:rsidRDefault="0015611F">
            <w:pPr>
              <w:pStyle w:val="TableParagraph"/>
              <w:spacing w:line="185" w:lineRule="exact"/>
              <w:ind w:right="251"/>
              <w:jc w:val="right"/>
              <w:rPr>
                <w:sz w:val="18"/>
              </w:rPr>
            </w:pPr>
            <w:r>
              <w:rPr>
                <w:w w:val="95"/>
                <w:sz w:val="18"/>
              </w:rPr>
              <w:t>861,172</w:t>
            </w:r>
          </w:p>
        </w:tc>
        <w:tc>
          <w:tcPr>
            <w:tcW w:w="1129" w:type="dxa"/>
            <w:tcBorders>
              <w:top w:val="single" w:sz="4" w:space="0" w:color="000000"/>
              <w:bottom w:val="single" w:sz="8" w:space="0" w:color="000000"/>
            </w:tcBorders>
          </w:tcPr>
          <w:p w14:paraId="56124CAC" w14:textId="77777777" w:rsidR="00FA4AA8" w:rsidRDefault="0015611F">
            <w:pPr>
              <w:pStyle w:val="TableParagraph"/>
              <w:spacing w:line="185" w:lineRule="exact"/>
              <w:ind w:right="82"/>
              <w:jc w:val="right"/>
              <w:rPr>
                <w:sz w:val="18"/>
              </w:rPr>
            </w:pPr>
            <w:r>
              <w:rPr>
                <w:w w:val="95"/>
                <w:sz w:val="18"/>
              </w:rPr>
              <w:t>861,172</w:t>
            </w:r>
          </w:p>
        </w:tc>
      </w:tr>
      <w:tr w:rsidR="00FA4AA8" w14:paraId="79204337" w14:textId="77777777">
        <w:trPr>
          <w:trHeight w:val="357"/>
        </w:trPr>
        <w:tc>
          <w:tcPr>
            <w:tcW w:w="297" w:type="dxa"/>
          </w:tcPr>
          <w:p w14:paraId="7D75182B" w14:textId="77777777" w:rsidR="00FA4AA8" w:rsidRDefault="00FA4AA8">
            <w:pPr>
              <w:pStyle w:val="TableParagraph"/>
              <w:rPr>
                <w:rFonts w:ascii="Times New Roman"/>
                <w:sz w:val="18"/>
              </w:rPr>
            </w:pPr>
          </w:p>
        </w:tc>
        <w:tc>
          <w:tcPr>
            <w:tcW w:w="7075" w:type="dxa"/>
          </w:tcPr>
          <w:p w14:paraId="102D19CB" w14:textId="77777777" w:rsidR="00FA4AA8" w:rsidRDefault="0015611F">
            <w:pPr>
              <w:pStyle w:val="TableParagraph"/>
              <w:spacing w:before="141" w:line="197" w:lineRule="exact"/>
              <w:ind w:left="147"/>
              <w:rPr>
                <w:b/>
                <w:sz w:val="18"/>
              </w:rPr>
            </w:pPr>
            <w:r>
              <w:rPr>
                <w:b/>
                <w:sz w:val="18"/>
              </w:rPr>
              <w:t>Year ended 31 December 2018</w:t>
            </w:r>
          </w:p>
        </w:tc>
        <w:tc>
          <w:tcPr>
            <w:tcW w:w="1465" w:type="dxa"/>
            <w:tcBorders>
              <w:top w:val="single" w:sz="8" w:space="0" w:color="000000"/>
            </w:tcBorders>
          </w:tcPr>
          <w:p w14:paraId="2D433114" w14:textId="77777777" w:rsidR="00FA4AA8" w:rsidRDefault="00FA4AA8">
            <w:pPr>
              <w:pStyle w:val="TableParagraph"/>
              <w:rPr>
                <w:rFonts w:ascii="Times New Roman"/>
                <w:sz w:val="18"/>
              </w:rPr>
            </w:pPr>
          </w:p>
        </w:tc>
        <w:tc>
          <w:tcPr>
            <w:tcW w:w="1129" w:type="dxa"/>
            <w:tcBorders>
              <w:top w:val="single" w:sz="8" w:space="0" w:color="000000"/>
            </w:tcBorders>
          </w:tcPr>
          <w:p w14:paraId="05BE85D0" w14:textId="77777777" w:rsidR="00FA4AA8" w:rsidRDefault="00FA4AA8">
            <w:pPr>
              <w:pStyle w:val="TableParagraph"/>
              <w:rPr>
                <w:rFonts w:ascii="Times New Roman"/>
                <w:sz w:val="18"/>
              </w:rPr>
            </w:pPr>
          </w:p>
        </w:tc>
      </w:tr>
      <w:tr w:rsidR="00FA4AA8" w14:paraId="41174EB8" w14:textId="77777777">
        <w:trPr>
          <w:trHeight w:val="218"/>
        </w:trPr>
        <w:tc>
          <w:tcPr>
            <w:tcW w:w="297" w:type="dxa"/>
          </w:tcPr>
          <w:p w14:paraId="65BFA032" w14:textId="77777777" w:rsidR="00FA4AA8" w:rsidRDefault="00FA4AA8">
            <w:pPr>
              <w:pStyle w:val="TableParagraph"/>
              <w:rPr>
                <w:rFonts w:ascii="Times New Roman"/>
                <w:sz w:val="14"/>
              </w:rPr>
            </w:pPr>
          </w:p>
        </w:tc>
        <w:tc>
          <w:tcPr>
            <w:tcW w:w="7075" w:type="dxa"/>
          </w:tcPr>
          <w:p w14:paraId="03718AE4" w14:textId="77777777" w:rsidR="00FA4AA8" w:rsidRDefault="0015611F">
            <w:pPr>
              <w:pStyle w:val="TableParagraph"/>
              <w:spacing w:before="9" w:line="190" w:lineRule="exact"/>
              <w:ind w:left="147"/>
              <w:rPr>
                <w:sz w:val="18"/>
              </w:rPr>
            </w:pPr>
            <w:r>
              <w:rPr>
                <w:sz w:val="18"/>
              </w:rPr>
              <w:t>Opening net book amount</w:t>
            </w:r>
            <w:r>
              <w:rPr>
                <w:w w:val="95"/>
                <w:sz w:val="18"/>
              </w:rPr>
              <w:t xml:space="preserve"> </w:t>
            </w:r>
          </w:p>
        </w:tc>
        <w:tc>
          <w:tcPr>
            <w:tcW w:w="1465" w:type="dxa"/>
          </w:tcPr>
          <w:p w14:paraId="35E9EF72" w14:textId="77777777" w:rsidR="00FA4AA8" w:rsidRDefault="0015611F">
            <w:pPr>
              <w:pStyle w:val="TableParagraph"/>
              <w:spacing w:before="9" w:line="190" w:lineRule="exact"/>
              <w:ind w:right="249"/>
              <w:jc w:val="right"/>
              <w:rPr>
                <w:sz w:val="18"/>
              </w:rPr>
            </w:pPr>
            <w:r>
              <w:rPr>
                <w:w w:val="95"/>
                <w:sz w:val="18"/>
              </w:rPr>
              <w:t>861,172</w:t>
            </w:r>
          </w:p>
        </w:tc>
        <w:tc>
          <w:tcPr>
            <w:tcW w:w="1129" w:type="dxa"/>
          </w:tcPr>
          <w:p w14:paraId="6A93BF1B" w14:textId="77777777" w:rsidR="00FA4AA8" w:rsidRDefault="0015611F">
            <w:pPr>
              <w:pStyle w:val="TableParagraph"/>
              <w:spacing w:before="9" w:line="190" w:lineRule="exact"/>
              <w:ind w:right="82"/>
              <w:jc w:val="right"/>
              <w:rPr>
                <w:sz w:val="18"/>
              </w:rPr>
            </w:pPr>
            <w:r>
              <w:rPr>
                <w:w w:val="95"/>
                <w:sz w:val="18"/>
              </w:rPr>
              <w:t>861,172</w:t>
            </w:r>
          </w:p>
        </w:tc>
      </w:tr>
      <w:tr w:rsidR="00FA4AA8" w14:paraId="287629FB" w14:textId="77777777">
        <w:trPr>
          <w:trHeight w:val="206"/>
        </w:trPr>
        <w:tc>
          <w:tcPr>
            <w:tcW w:w="297" w:type="dxa"/>
          </w:tcPr>
          <w:p w14:paraId="3633AF81" w14:textId="77777777" w:rsidR="00FA4AA8" w:rsidRDefault="00FA4AA8">
            <w:pPr>
              <w:pStyle w:val="TableParagraph"/>
              <w:rPr>
                <w:rFonts w:ascii="Times New Roman"/>
                <w:sz w:val="14"/>
              </w:rPr>
            </w:pPr>
          </w:p>
        </w:tc>
        <w:tc>
          <w:tcPr>
            <w:tcW w:w="7075" w:type="dxa"/>
          </w:tcPr>
          <w:p w14:paraId="77E0A65A" w14:textId="77777777" w:rsidR="00FA4AA8" w:rsidRDefault="0015611F">
            <w:pPr>
              <w:pStyle w:val="TableParagraph"/>
              <w:spacing w:line="186" w:lineRule="exact"/>
              <w:ind w:left="147"/>
              <w:rPr>
                <w:sz w:val="18"/>
              </w:rPr>
            </w:pPr>
            <w:r>
              <w:rPr>
                <w:sz w:val="18"/>
              </w:rPr>
              <w:t>Revaluation surplus</w:t>
            </w:r>
          </w:p>
        </w:tc>
        <w:tc>
          <w:tcPr>
            <w:tcW w:w="1465" w:type="dxa"/>
          </w:tcPr>
          <w:p w14:paraId="005AB745" w14:textId="77777777" w:rsidR="00FA4AA8" w:rsidRDefault="0015611F">
            <w:pPr>
              <w:pStyle w:val="TableParagraph"/>
              <w:spacing w:line="186" w:lineRule="exact"/>
              <w:ind w:right="254"/>
              <w:jc w:val="right"/>
              <w:rPr>
                <w:sz w:val="18"/>
              </w:rPr>
            </w:pPr>
            <w:r>
              <w:rPr>
                <w:w w:val="99"/>
                <w:sz w:val="18"/>
              </w:rPr>
              <w:t>-</w:t>
            </w:r>
          </w:p>
        </w:tc>
        <w:tc>
          <w:tcPr>
            <w:tcW w:w="1129" w:type="dxa"/>
          </w:tcPr>
          <w:p w14:paraId="33358D30" w14:textId="77777777" w:rsidR="00FA4AA8" w:rsidRDefault="0015611F">
            <w:pPr>
              <w:pStyle w:val="TableParagraph"/>
              <w:spacing w:line="186" w:lineRule="exact"/>
              <w:ind w:right="84"/>
              <w:jc w:val="right"/>
              <w:rPr>
                <w:sz w:val="18"/>
              </w:rPr>
            </w:pPr>
            <w:r>
              <w:rPr>
                <w:w w:val="99"/>
                <w:sz w:val="18"/>
              </w:rPr>
              <w:t>-</w:t>
            </w:r>
          </w:p>
        </w:tc>
      </w:tr>
      <w:tr w:rsidR="00FA4AA8" w14:paraId="50AB196C" w14:textId="77777777">
        <w:trPr>
          <w:trHeight w:val="201"/>
        </w:trPr>
        <w:tc>
          <w:tcPr>
            <w:tcW w:w="297" w:type="dxa"/>
          </w:tcPr>
          <w:p w14:paraId="5835453E" w14:textId="77777777" w:rsidR="00FA4AA8" w:rsidRDefault="00FA4AA8">
            <w:pPr>
              <w:pStyle w:val="TableParagraph"/>
              <w:rPr>
                <w:rFonts w:ascii="Times New Roman"/>
                <w:sz w:val="14"/>
              </w:rPr>
            </w:pPr>
          </w:p>
        </w:tc>
        <w:tc>
          <w:tcPr>
            <w:tcW w:w="7075" w:type="dxa"/>
          </w:tcPr>
          <w:p w14:paraId="0EAE4B2C" w14:textId="77777777" w:rsidR="00FA4AA8" w:rsidRDefault="0015611F">
            <w:pPr>
              <w:pStyle w:val="TableParagraph"/>
              <w:spacing w:line="182" w:lineRule="exact"/>
              <w:ind w:left="147"/>
              <w:rPr>
                <w:sz w:val="18"/>
              </w:rPr>
            </w:pPr>
            <w:r>
              <w:rPr>
                <w:sz w:val="18"/>
              </w:rPr>
              <w:t>Additions</w:t>
            </w:r>
          </w:p>
        </w:tc>
        <w:tc>
          <w:tcPr>
            <w:tcW w:w="1465" w:type="dxa"/>
            <w:tcBorders>
              <w:bottom w:val="single" w:sz="4" w:space="0" w:color="000000"/>
            </w:tcBorders>
          </w:tcPr>
          <w:p w14:paraId="4F867CD3" w14:textId="77777777" w:rsidR="00FA4AA8" w:rsidRDefault="0015611F">
            <w:pPr>
              <w:pStyle w:val="TableParagraph"/>
              <w:spacing w:line="182" w:lineRule="exact"/>
              <w:ind w:right="252"/>
              <w:jc w:val="right"/>
              <w:rPr>
                <w:sz w:val="18"/>
              </w:rPr>
            </w:pPr>
            <w:r>
              <w:rPr>
                <w:sz w:val="18"/>
              </w:rPr>
              <w:t>36,615</w:t>
            </w:r>
          </w:p>
        </w:tc>
        <w:tc>
          <w:tcPr>
            <w:tcW w:w="1129" w:type="dxa"/>
            <w:tcBorders>
              <w:bottom w:val="single" w:sz="4" w:space="0" w:color="000000"/>
            </w:tcBorders>
          </w:tcPr>
          <w:p w14:paraId="756F7A13" w14:textId="77777777" w:rsidR="00FA4AA8" w:rsidRDefault="0015611F">
            <w:pPr>
              <w:pStyle w:val="TableParagraph"/>
              <w:spacing w:line="182" w:lineRule="exact"/>
              <w:ind w:right="82"/>
              <w:jc w:val="right"/>
              <w:rPr>
                <w:sz w:val="18"/>
              </w:rPr>
            </w:pPr>
            <w:r>
              <w:rPr>
                <w:w w:val="95"/>
                <w:sz w:val="18"/>
              </w:rPr>
              <w:t>36,615</w:t>
            </w:r>
          </w:p>
        </w:tc>
      </w:tr>
      <w:tr w:rsidR="00FA4AA8" w14:paraId="2F2FDA73" w14:textId="77777777">
        <w:trPr>
          <w:trHeight w:val="205"/>
        </w:trPr>
        <w:tc>
          <w:tcPr>
            <w:tcW w:w="297" w:type="dxa"/>
          </w:tcPr>
          <w:p w14:paraId="4EFB1B13" w14:textId="77777777" w:rsidR="00FA4AA8" w:rsidRDefault="00FA4AA8">
            <w:pPr>
              <w:pStyle w:val="TableParagraph"/>
              <w:rPr>
                <w:rFonts w:ascii="Times New Roman"/>
                <w:sz w:val="14"/>
              </w:rPr>
            </w:pPr>
          </w:p>
        </w:tc>
        <w:tc>
          <w:tcPr>
            <w:tcW w:w="7075" w:type="dxa"/>
          </w:tcPr>
          <w:p w14:paraId="124A95C0" w14:textId="77777777" w:rsidR="00FA4AA8" w:rsidRDefault="0015611F">
            <w:pPr>
              <w:pStyle w:val="TableParagraph"/>
              <w:spacing w:line="185" w:lineRule="exact"/>
              <w:ind w:left="147"/>
              <w:rPr>
                <w:sz w:val="18"/>
              </w:rPr>
            </w:pPr>
            <w:r>
              <w:rPr>
                <w:sz w:val="18"/>
              </w:rPr>
              <w:t>Closing net book amount</w:t>
            </w:r>
          </w:p>
        </w:tc>
        <w:tc>
          <w:tcPr>
            <w:tcW w:w="1465" w:type="dxa"/>
            <w:tcBorders>
              <w:top w:val="single" w:sz="4" w:space="0" w:color="000000"/>
              <w:bottom w:val="single" w:sz="8" w:space="0" w:color="000000"/>
            </w:tcBorders>
          </w:tcPr>
          <w:p w14:paraId="525FA52A" w14:textId="77777777" w:rsidR="00FA4AA8" w:rsidRDefault="0015611F">
            <w:pPr>
              <w:pStyle w:val="TableParagraph"/>
              <w:spacing w:line="185" w:lineRule="exact"/>
              <w:ind w:right="251"/>
              <w:jc w:val="right"/>
              <w:rPr>
                <w:sz w:val="18"/>
              </w:rPr>
            </w:pPr>
            <w:r>
              <w:rPr>
                <w:w w:val="95"/>
                <w:sz w:val="18"/>
              </w:rPr>
              <w:t>897,787</w:t>
            </w:r>
          </w:p>
        </w:tc>
        <w:tc>
          <w:tcPr>
            <w:tcW w:w="1129" w:type="dxa"/>
            <w:tcBorders>
              <w:top w:val="single" w:sz="4" w:space="0" w:color="000000"/>
              <w:bottom w:val="single" w:sz="8" w:space="0" w:color="000000"/>
            </w:tcBorders>
          </w:tcPr>
          <w:p w14:paraId="3A5021DC" w14:textId="77777777" w:rsidR="00FA4AA8" w:rsidRDefault="0015611F">
            <w:pPr>
              <w:pStyle w:val="TableParagraph"/>
              <w:spacing w:line="185" w:lineRule="exact"/>
              <w:ind w:right="82"/>
              <w:jc w:val="right"/>
              <w:rPr>
                <w:sz w:val="18"/>
              </w:rPr>
            </w:pPr>
            <w:r>
              <w:rPr>
                <w:w w:val="95"/>
                <w:sz w:val="18"/>
              </w:rPr>
              <w:t>897,787</w:t>
            </w:r>
          </w:p>
        </w:tc>
      </w:tr>
      <w:tr w:rsidR="00FA4AA8" w14:paraId="525058F0" w14:textId="77777777">
        <w:trPr>
          <w:trHeight w:val="350"/>
        </w:trPr>
        <w:tc>
          <w:tcPr>
            <w:tcW w:w="297" w:type="dxa"/>
          </w:tcPr>
          <w:p w14:paraId="59DC4C56" w14:textId="77777777" w:rsidR="00FA4AA8" w:rsidRDefault="00FA4AA8">
            <w:pPr>
              <w:pStyle w:val="TableParagraph"/>
              <w:rPr>
                <w:rFonts w:ascii="Times New Roman"/>
                <w:sz w:val="18"/>
              </w:rPr>
            </w:pPr>
          </w:p>
        </w:tc>
        <w:tc>
          <w:tcPr>
            <w:tcW w:w="7075" w:type="dxa"/>
          </w:tcPr>
          <w:p w14:paraId="736961EC" w14:textId="77777777" w:rsidR="00FA4AA8" w:rsidRDefault="0015611F">
            <w:pPr>
              <w:pStyle w:val="TableParagraph"/>
              <w:spacing w:before="141" w:line="190" w:lineRule="exact"/>
              <w:ind w:left="147"/>
              <w:rPr>
                <w:b/>
                <w:sz w:val="18"/>
              </w:rPr>
            </w:pPr>
            <w:r>
              <w:rPr>
                <w:b/>
                <w:sz w:val="18"/>
              </w:rPr>
              <w:t>At 31 December 2018</w:t>
            </w:r>
          </w:p>
        </w:tc>
        <w:tc>
          <w:tcPr>
            <w:tcW w:w="1465" w:type="dxa"/>
            <w:tcBorders>
              <w:top w:val="single" w:sz="8" w:space="0" w:color="000000"/>
            </w:tcBorders>
          </w:tcPr>
          <w:p w14:paraId="2CDE7D0B" w14:textId="77777777" w:rsidR="00FA4AA8" w:rsidRDefault="00FA4AA8">
            <w:pPr>
              <w:pStyle w:val="TableParagraph"/>
              <w:rPr>
                <w:rFonts w:ascii="Times New Roman"/>
                <w:sz w:val="18"/>
              </w:rPr>
            </w:pPr>
          </w:p>
        </w:tc>
        <w:tc>
          <w:tcPr>
            <w:tcW w:w="1129" w:type="dxa"/>
            <w:tcBorders>
              <w:top w:val="single" w:sz="8" w:space="0" w:color="000000"/>
            </w:tcBorders>
          </w:tcPr>
          <w:p w14:paraId="6E6FCE75" w14:textId="77777777" w:rsidR="00FA4AA8" w:rsidRDefault="00FA4AA8">
            <w:pPr>
              <w:pStyle w:val="TableParagraph"/>
              <w:rPr>
                <w:rFonts w:ascii="Times New Roman"/>
                <w:sz w:val="18"/>
              </w:rPr>
            </w:pPr>
          </w:p>
        </w:tc>
      </w:tr>
      <w:tr w:rsidR="00FA4AA8" w14:paraId="0E62F14C" w14:textId="77777777">
        <w:trPr>
          <w:trHeight w:val="202"/>
        </w:trPr>
        <w:tc>
          <w:tcPr>
            <w:tcW w:w="297" w:type="dxa"/>
          </w:tcPr>
          <w:p w14:paraId="6F70C188" w14:textId="77777777" w:rsidR="00FA4AA8" w:rsidRDefault="00FA4AA8">
            <w:pPr>
              <w:pStyle w:val="TableParagraph"/>
              <w:rPr>
                <w:rFonts w:ascii="Times New Roman"/>
                <w:sz w:val="14"/>
              </w:rPr>
            </w:pPr>
          </w:p>
        </w:tc>
        <w:tc>
          <w:tcPr>
            <w:tcW w:w="7075" w:type="dxa"/>
          </w:tcPr>
          <w:p w14:paraId="53BD7026" w14:textId="77777777" w:rsidR="00FA4AA8" w:rsidRDefault="0015611F">
            <w:pPr>
              <w:pStyle w:val="TableParagraph"/>
              <w:spacing w:line="182" w:lineRule="exact"/>
              <w:ind w:left="147"/>
              <w:rPr>
                <w:sz w:val="18"/>
              </w:rPr>
            </w:pPr>
            <w:r>
              <w:rPr>
                <w:sz w:val="18"/>
              </w:rPr>
              <w:t>Valuation</w:t>
            </w:r>
          </w:p>
        </w:tc>
        <w:tc>
          <w:tcPr>
            <w:tcW w:w="1465" w:type="dxa"/>
            <w:tcBorders>
              <w:bottom w:val="single" w:sz="4" w:space="0" w:color="000000"/>
            </w:tcBorders>
          </w:tcPr>
          <w:p w14:paraId="25843175" w14:textId="77777777" w:rsidR="00FA4AA8" w:rsidRDefault="0015611F">
            <w:pPr>
              <w:pStyle w:val="TableParagraph"/>
              <w:spacing w:line="182" w:lineRule="exact"/>
              <w:ind w:right="251"/>
              <w:jc w:val="right"/>
              <w:rPr>
                <w:sz w:val="18"/>
              </w:rPr>
            </w:pPr>
            <w:r>
              <w:rPr>
                <w:w w:val="95"/>
                <w:sz w:val="18"/>
              </w:rPr>
              <w:t>897,787</w:t>
            </w:r>
          </w:p>
        </w:tc>
        <w:tc>
          <w:tcPr>
            <w:tcW w:w="1129" w:type="dxa"/>
            <w:tcBorders>
              <w:bottom w:val="single" w:sz="4" w:space="0" w:color="000000"/>
            </w:tcBorders>
          </w:tcPr>
          <w:p w14:paraId="5B6A0C33" w14:textId="77777777" w:rsidR="00FA4AA8" w:rsidRDefault="0015611F">
            <w:pPr>
              <w:pStyle w:val="TableParagraph"/>
              <w:spacing w:line="182" w:lineRule="exact"/>
              <w:ind w:right="82"/>
              <w:jc w:val="right"/>
              <w:rPr>
                <w:sz w:val="18"/>
              </w:rPr>
            </w:pPr>
            <w:r>
              <w:rPr>
                <w:w w:val="95"/>
                <w:sz w:val="18"/>
              </w:rPr>
              <w:t>897,787</w:t>
            </w:r>
          </w:p>
        </w:tc>
      </w:tr>
      <w:tr w:rsidR="00FA4AA8" w14:paraId="1B5D1F67" w14:textId="77777777">
        <w:trPr>
          <w:trHeight w:val="205"/>
        </w:trPr>
        <w:tc>
          <w:tcPr>
            <w:tcW w:w="297" w:type="dxa"/>
          </w:tcPr>
          <w:p w14:paraId="04CFB240" w14:textId="77777777" w:rsidR="00FA4AA8" w:rsidRDefault="00FA4AA8">
            <w:pPr>
              <w:pStyle w:val="TableParagraph"/>
              <w:rPr>
                <w:rFonts w:ascii="Times New Roman"/>
                <w:sz w:val="14"/>
              </w:rPr>
            </w:pPr>
          </w:p>
        </w:tc>
        <w:tc>
          <w:tcPr>
            <w:tcW w:w="7075" w:type="dxa"/>
          </w:tcPr>
          <w:p w14:paraId="2EF5F939" w14:textId="77777777" w:rsidR="00FA4AA8" w:rsidRDefault="0015611F">
            <w:pPr>
              <w:pStyle w:val="TableParagraph"/>
              <w:spacing w:line="185" w:lineRule="exact"/>
              <w:ind w:left="147"/>
              <w:rPr>
                <w:sz w:val="18"/>
              </w:rPr>
            </w:pPr>
            <w:r>
              <w:rPr>
                <w:sz w:val="18"/>
              </w:rPr>
              <w:t>Net book amount</w:t>
            </w:r>
          </w:p>
        </w:tc>
        <w:tc>
          <w:tcPr>
            <w:tcW w:w="1465" w:type="dxa"/>
            <w:tcBorders>
              <w:top w:val="single" w:sz="4" w:space="0" w:color="000000"/>
              <w:bottom w:val="single" w:sz="8" w:space="0" w:color="000000"/>
            </w:tcBorders>
          </w:tcPr>
          <w:p w14:paraId="2D66CD7C" w14:textId="77777777" w:rsidR="00FA4AA8" w:rsidRDefault="0015611F">
            <w:pPr>
              <w:pStyle w:val="TableParagraph"/>
              <w:spacing w:line="185" w:lineRule="exact"/>
              <w:ind w:right="251"/>
              <w:jc w:val="right"/>
              <w:rPr>
                <w:sz w:val="18"/>
              </w:rPr>
            </w:pPr>
            <w:r>
              <w:rPr>
                <w:w w:val="95"/>
                <w:sz w:val="18"/>
              </w:rPr>
              <w:t>897,787</w:t>
            </w:r>
          </w:p>
        </w:tc>
        <w:tc>
          <w:tcPr>
            <w:tcW w:w="1129" w:type="dxa"/>
            <w:tcBorders>
              <w:top w:val="single" w:sz="4" w:space="0" w:color="000000"/>
              <w:bottom w:val="single" w:sz="8" w:space="0" w:color="000000"/>
            </w:tcBorders>
          </w:tcPr>
          <w:p w14:paraId="5BE5D65A" w14:textId="77777777" w:rsidR="00FA4AA8" w:rsidRDefault="0015611F">
            <w:pPr>
              <w:pStyle w:val="TableParagraph"/>
              <w:spacing w:line="185" w:lineRule="exact"/>
              <w:ind w:right="82"/>
              <w:jc w:val="right"/>
              <w:rPr>
                <w:sz w:val="18"/>
              </w:rPr>
            </w:pPr>
            <w:r>
              <w:rPr>
                <w:w w:val="95"/>
                <w:sz w:val="18"/>
              </w:rPr>
              <w:t>897,787</w:t>
            </w:r>
          </w:p>
        </w:tc>
      </w:tr>
    </w:tbl>
    <w:p w14:paraId="5E8A6AB0" w14:textId="77777777" w:rsidR="00FA4AA8" w:rsidRDefault="00FA4AA8">
      <w:pPr>
        <w:pStyle w:val="BodyText"/>
        <w:spacing w:before="8"/>
        <w:rPr>
          <w:sz w:val="17"/>
        </w:rPr>
      </w:pPr>
    </w:p>
    <w:p w14:paraId="7F2BCB95" w14:textId="77777777" w:rsidR="00FA4AA8" w:rsidRDefault="0015611F">
      <w:pPr>
        <w:tabs>
          <w:tab w:val="left" w:pos="1131"/>
        </w:tabs>
        <w:spacing w:before="95"/>
        <w:ind w:left="565"/>
        <w:rPr>
          <w:b/>
          <w:sz w:val="18"/>
        </w:rPr>
      </w:pPr>
      <w:r>
        <w:rPr>
          <w:b/>
          <w:sz w:val="18"/>
        </w:rPr>
        <w:t>(a)</w:t>
      </w:r>
      <w:r>
        <w:rPr>
          <w:b/>
          <w:sz w:val="18"/>
        </w:rPr>
        <w:tab/>
        <w:t>Accounting policy</w:t>
      </w:r>
    </w:p>
    <w:p w14:paraId="4E2E17AD" w14:textId="77777777" w:rsidR="00FA4AA8" w:rsidRDefault="00FA4AA8">
      <w:pPr>
        <w:pStyle w:val="BodyText"/>
        <w:spacing w:before="4"/>
        <w:rPr>
          <w:b/>
          <w:sz w:val="25"/>
        </w:rPr>
      </w:pPr>
    </w:p>
    <w:p w14:paraId="594F2E20" w14:textId="77777777" w:rsidR="00FA4AA8" w:rsidRDefault="0015611F">
      <w:pPr>
        <w:pStyle w:val="BodyText"/>
        <w:ind w:left="563" w:right="521"/>
      </w:pPr>
      <w:r>
        <w:t>Property, plant and equipment consists only of the Whitlam Collection and is not depreciated given the nature of its contents.</w:t>
      </w:r>
    </w:p>
    <w:p w14:paraId="4DA95924" w14:textId="77777777" w:rsidR="00FA4AA8" w:rsidRDefault="00FA4AA8">
      <w:pPr>
        <w:pStyle w:val="BodyText"/>
        <w:rPr>
          <w:sz w:val="25"/>
        </w:rPr>
      </w:pPr>
    </w:p>
    <w:p w14:paraId="74CD99E9" w14:textId="77777777" w:rsidR="00FA4AA8" w:rsidRDefault="0015611F">
      <w:pPr>
        <w:pStyle w:val="BodyText"/>
        <w:ind w:left="563" w:right="577"/>
      </w:pPr>
      <w:r>
        <w:t>The assets' residual values and useful lives are reviewed, and adjusted if appropriate, at the end of each reporting period.</w:t>
      </w:r>
    </w:p>
    <w:p w14:paraId="0E9665B3" w14:textId="77777777" w:rsidR="00FA4AA8" w:rsidRDefault="00FA4AA8">
      <w:pPr>
        <w:pStyle w:val="BodyText"/>
        <w:spacing w:before="11"/>
        <w:rPr>
          <w:sz w:val="24"/>
        </w:rPr>
      </w:pPr>
    </w:p>
    <w:p w14:paraId="3AC846CA" w14:textId="77777777" w:rsidR="00FA4AA8" w:rsidRDefault="0015611F">
      <w:pPr>
        <w:pStyle w:val="BodyText"/>
        <w:ind w:left="563" w:right="583"/>
      </w:pPr>
      <w:r>
        <w:t>An asset’s carrying amount is written down immediately to its recoverable amount if the asset’s carrying amount is greater than its estimated recoverable amount.</w:t>
      </w:r>
    </w:p>
    <w:p w14:paraId="30508727" w14:textId="77777777" w:rsidR="00FA4AA8" w:rsidRDefault="00FA4AA8">
      <w:pPr>
        <w:pStyle w:val="BodyText"/>
        <w:spacing w:before="11"/>
        <w:rPr>
          <w:sz w:val="24"/>
        </w:rPr>
      </w:pPr>
    </w:p>
    <w:p w14:paraId="1C5DBFDB" w14:textId="77777777" w:rsidR="00FA4AA8" w:rsidRDefault="0015611F">
      <w:pPr>
        <w:pStyle w:val="BodyText"/>
        <w:ind w:left="563" w:right="201"/>
      </w:pPr>
      <w:r>
        <w:t>Gains and losses on disposals are determined by comparing proceeds with carrying amount. These are included in the statement of comprehensive income.</w:t>
      </w:r>
    </w:p>
    <w:p w14:paraId="5396027C" w14:textId="77777777" w:rsidR="00FA4AA8" w:rsidRDefault="00FA4AA8">
      <w:pPr>
        <w:pStyle w:val="BodyText"/>
        <w:spacing w:before="11"/>
        <w:rPr>
          <w:sz w:val="24"/>
        </w:rPr>
      </w:pPr>
    </w:p>
    <w:p w14:paraId="3CEA254A" w14:textId="77777777" w:rsidR="00FA4AA8" w:rsidRDefault="0015611F">
      <w:pPr>
        <w:pStyle w:val="BodyText"/>
        <w:ind w:left="563"/>
      </w:pPr>
      <w:r>
        <w:t>Whitlam Collection</w:t>
      </w:r>
    </w:p>
    <w:p w14:paraId="7DA56457" w14:textId="77777777" w:rsidR="00FA4AA8" w:rsidRDefault="00FA4AA8">
      <w:pPr>
        <w:pStyle w:val="BodyText"/>
        <w:rPr>
          <w:sz w:val="25"/>
        </w:rPr>
      </w:pPr>
    </w:p>
    <w:p w14:paraId="4D07635A" w14:textId="77777777" w:rsidR="00FA4AA8" w:rsidRDefault="0015611F">
      <w:pPr>
        <w:pStyle w:val="BodyText"/>
        <w:ind w:left="563" w:right="241"/>
      </w:pPr>
      <w:r>
        <w:t>Assets comprising the Whitlam Collection have been donated to the Trust. Market valuations have been obtained from an independent valuer to determine the fair value of the collection in accordance with AASB 13 Fair Value Measurement and AASB116 Property, plant and Equipment. The Whitlam Collection was revalued in 2016 in accordance with the ultimate parent entity three year revaluation cycle.</w:t>
      </w:r>
    </w:p>
    <w:p w14:paraId="2F7B5661" w14:textId="77777777" w:rsidR="00FA4AA8" w:rsidRDefault="00FA4AA8">
      <w:pPr>
        <w:pStyle w:val="BodyText"/>
        <w:spacing w:before="10"/>
        <w:rPr>
          <w:sz w:val="24"/>
        </w:rPr>
      </w:pPr>
    </w:p>
    <w:p w14:paraId="29AD832F" w14:textId="77777777" w:rsidR="00FA4AA8" w:rsidRDefault="0015611F">
      <w:pPr>
        <w:pStyle w:val="BodyText"/>
        <w:ind w:left="563" w:right="132"/>
      </w:pPr>
      <w:r>
        <w:t>Increases in the carrying amounts arising on revaluation of the Whitlam Collection are recognised in other comprehensive income and accumulated in equity under the heading of revaluation surplus. To the extent that the increase reverses a decrease previously recognised in profit or loss, the increase is first recognised in profit or loss. Decreases that reverse previous increases of the same asset class are also recognised in other comprehensive income to the extent of the remaining reserve attributable to the asset class. All other decreases are charged to the income statement.</w:t>
      </w:r>
    </w:p>
    <w:p w14:paraId="008E618B" w14:textId="77777777" w:rsidR="00FA4AA8" w:rsidRDefault="00FA4AA8">
      <w:pPr>
        <w:sectPr w:rsidR="00FA4AA8">
          <w:pgSz w:w="11910" w:h="16840"/>
          <w:pgMar w:top="2540" w:right="840" w:bottom="720" w:left="840" w:header="1017" w:footer="523" w:gutter="0"/>
          <w:cols w:space="720"/>
        </w:sectPr>
      </w:pPr>
    </w:p>
    <w:p w14:paraId="7140BF33" w14:textId="77777777" w:rsidR="00FA4AA8" w:rsidRDefault="00FA4AA8">
      <w:pPr>
        <w:pStyle w:val="BodyText"/>
        <w:rPr>
          <w:sz w:val="20"/>
        </w:rPr>
      </w:pPr>
    </w:p>
    <w:p w14:paraId="5BF40016" w14:textId="77777777" w:rsidR="00FA4AA8" w:rsidRDefault="00FA4AA8">
      <w:pPr>
        <w:pStyle w:val="BodyText"/>
        <w:spacing w:before="9"/>
        <w:rPr>
          <w:sz w:val="29"/>
        </w:rPr>
      </w:pPr>
    </w:p>
    <w:p w14:paraId="3AB43B69" w14:textId="77777777" w:rsidR="00FA4AA8" w:rsidRDefault="00FA4AA8">
      <w:pPr>
        <w:rPr>
          <w:sz w:val="29"/>
        </w:rPr>
        <w:sectPr w:rsidR="00FA4AA8">
          <w:headerReference w:type="default" r:id="rId213"/>
          <w:footerReference w:type="default" r:id="rId214"/>
          <w:pgSz w:w="11910" w:h="16840"/>
          <w:pgMar w:top="2540" w:right="840" w:bottom="720" w:left="840" w:header="1017" w:footer="523" w:gutter="0"/>
          <w:pgNumType w:start="200"/>
          <w:cols w:space="720"/>
        </w:sectPr>
      </w:pPr>
    </w:p>
    <w:p w14:paraId="2F5808CE" w14:textId="77777777" w:rsidR="00FA4AA8" w:rsidRDefault="0015611F">
      <w:pPr>
        <w:numPr>
          <w:ilvl w:val="0"/>
          <w:numId w:val="35"/>
        </w:numPr>
        <w:tabs>
          <w:tab w:val="left" w:pos="565"/>
          <w:tab w:val="left" w:pos="566"/>
        </w:tabs>
        <w:spacing w:before="94"/>
        <w:ind w:hanging="397"/>
        <w:rPr>
          <w:b/>
          <w:sz w:val="18"/>
        </w:rPr>
      </w:pPr>
      <w:r>
        <w:rPr>
          <w:b/>
          <w:sz w:val="18"/>
        </w:rPr>
        <w:t>Reserves</w:t>
      </w:r>
    </w:p>
    <w:p w14:paraId="5F56A29F" w14:textId="77777777" w:rsidR="00FA4AA8" w:rsidRDefault="0015611F">
      <w:pPr>
        <w:pStyle w:val="BodyText"/>
        <w:spacing w:before="8"/>
        <w:rPr>
          <w:b/>
          <w:sz w:val="28"/>
        </w:rPr>
      </w:pPr>
      <w:r>
        <w:br w:type="column"/>
      </w:r>
    </w:p>
    <w:p w14:paraId="19A99B29" w14:textId="77777777" w:rsidR="00FA4AA8" w:rsidRDefault="0015611F">
      <w:pPr>
        <w:spacing w:line="207" w:lineRule="exact"/>
        <w:ind w:left="149" w:right="20"/>
        <w:jc w:val="center"/>
        <w:rPr>
          <w:b/>
          <w:sz w:val="18"/>
        </w:rPr>
      </w:pPr>
      <w:r>
        <w:rPr>
          <w:b/>
          <w:sz w:val="18"/>
        </w:rPr>
        <w:t>2018</w:t>
      </w:r>
    </w:p>
    <w:p w14:paraId="1AB22EDE" w14:textId="77777777" w:rsidR="00FA4AA8" w:rsidRDefault="0015611F">
      <w:pPr>
        <w:spacing w:line="207" w:lineRule="exact"/>
        <w:ind w:left="128"/>
        <w:jc w:val="center"/>
        <w:rPr>
          <w:b/>
          <w:sz w:val="18"/>
        </w:rPr>
      </w:pPr>
      <w:r>
        <w:rPr>
          <w:b/>
          <w:w w:val="99"/>
          <w:sz w:val="18"/>
        </w:rPr>
        <w:t>$</w:t>
      </w:r>
    </w:p>
    <w:p w14:paraId="40BCAC40" w14:textId="77777777" w:rsidR="00FA4AA8" w:rsidRDefault="0015611F">
      <w:pPr>
        <w:pStyle w:val="BodyText"/>
        <w:spacing w:before="8"/>
        <w:rPr>
          <w:b/>
          <w:sz w:val="28"/>
        </w:rPr>
      </w:pPr>
      <w:r>
        <w:br w:type="column"/>
      </w:r>
    </w:p>
    <w:p w14:paraId="2128F688" w14:textId="77777777" w:rsidR="00FA4AA8" w:rsidRDefault="0015611F">
      <w:pPr>
        <w:spacing w:line="207" w:lineRule="exact"/>
        <w:ind w:left="153" w:right="568"/>
        <w:jc w:val="center"/>
        <w:rPr>
          <w:b/>
          <w:sz w:val="18"/>
        </w:rPr>
      </w:pPr>
      <w:r>
        <w:rPr>
          <w:b/>
          <w:sz w:val="18"/>
        </w:rPr>
        <w:t>2017</w:t>
      </w:r>
    </w:p>
    <w:p w14:paraId="3B868CBC" w14:textId="77777777" w:rsidR="00FA4AA8" w:rsidRDefault="0015611F">
      <w:pPr>
        <w:spacing w:line="207" w:lineRule="exact"/>
        <w:ind w:right="415"/>
        <w:jc w:val="center"/>
        <w:rPr>
          <w:b/>
          <w:sz w:val="18"/>
        </w:rPr>
      </w:pPr>
      <w:r>
        <w:rPr>
          <w:b/>
          <w:w w:val="99"/>
          <w:sz w:val="18"/>
        </w:rPr>
        <w:t>$</w:t>
      </w:r>
    </w:p>
    <w:p w14:paraId="33D1CD28" w14:textId="77777777" w:rsidR="00FA4AA8" w:rsidRDefault="00FA4AA8">
      <w:pPr>
        <w:spacing w:line="207" w:lineRule="exact"/>
        <w:jc w:val="center"/>
        <w:rPr>
          <w:sz w:val="18"/>
        </w:rPr>
        <w:sectPr w:rsidR="00FA4AA8">
          <w:type w:val="continuous"/>
          <w:pgSz w:w="11910" w:h="16840"/>
          <w:pgMar w:top="20" w:right="840" w:bottom="0" w:left="840" w:header="720" w:footer="720" w:gutter="0"/>
          <w:cols w:num="3" w:space="720" w:equalWidth="0">
            <w:col w:w="1406" w:space="6365"/>
            <w:col w:w="610" w:space="687"/>
            <w:col w:w="1162"/>
          </w:cols>
        </w:sectPr>
      </w:pPr>
    </w:p>
    <w:p w14:paraId="12B84E9A" w14:textId="77777777" w:rsidR="00FA4AA8" w:rsidRDefault="007E2441">
      <w:pPr>
        <w:pStyle w:val="BodyText"/>
        <w:tabs>
          <w:tab w:val="left" w:pos="7487"/>
          <w:tab w:val="left" w:pos="8785"/>
        </w:tabs>
        <w:spacing w:before="30"/>
        <w:ind w:right="222"/>
        <w:jc w:val="right"/>
      </w:pPr>
      <w:r>
        <w:rPr>
          <w:noProof/>
          <w:lang w:val="en-AU" w:eastAsia="en-AU"/>
        </w:rPr>
        <mc:AlternateContent>
          <mc:Choice Requires="wpg">
            <w:drawing>
              <wp:anchor distT="0" distB="0" distL="0" distR="0" simplePos="0" relativeHeight="487664128" behindDoc="1" locked="0" layoutInCell="1" allowOverlap="1" wp14:anchorId="23F0CD60" wp14:editId="68039AE3">
                <wp:simplePos x="0" y="0"/>
                <wp:positionH relativeFrom="page">
                  <wp:posOffset>5290820</wp:posOffset>
                </wp:positionH>
                <wp:positionV relativeFrom="paragraph">
                  <wp:posOffset>167005</wp:posOffset>
                </wp:positionV>
                <wp:extent cx="1647825" cy="6350"/>
                <wp:effectExtent l="0" t="0" r="0" b="0"/>
                <wp:wrapTopAndBottom/>
                <wp:docPr id="701"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7825" cy="6350"/>
                          <a:chOff x="8332" y="263"/>
                          <a:chExt cx="2595" cy="10"/>
                        </a:xfrm>
                      </wpg:grpSpPr>
                      <wps:wsp>
                        <wps:cNvPr id="702" name="Line 483"/>
                        <wps:cNvCnPr>
                          <a:cxnSpLocks noChangeShapeType="1"/>
                        </wps:cNvCnPr>
                        <wps:spPr bwMode="auto">
                          <a:xfrm>
                            <a:off x="8332" y="26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03" name="Line 482"/>
                        <wps:cNvCnPr>
                          <a:cxnSpLocks noChangeShapeType="1"/>
                        </wps:cNvCnPr>
                        <wps:spPr bwMode="auto">
                          <a:xfrm>
                            <a:off x="8332" y="26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04" name="Line 481"/>
                        <wps:cNvCnPr>
                          <a:cxnSpLocks noChangeShapeType="1"/>
                        </wps:cNvCnPr>
                        <wps:spPr bwMode="auto">
                          <a:xfrm>
                            <a:off x="8332" y="266"/>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05" name="Line 480"/>
                        <wps:cNvCnPr>
                          <a:cxnSpLocks noChangeShapeType="1"/>
                        </wps:cNvCnPr>
                        <wps:spPr bwMode="auto">
                          <a:xfrm>
                            <a:off x="8332" y="26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06" name="Line 479"/>
                        <wps:cNvCnPr>
                          <a:cxnSpLocks noChangeShapeType="1"/>
                        </wps:cNvCnPr>
                        <wps:spPr bwMode="auto">
                          <a:xfrm>
                            <a:off x="8332" y="268"/>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07" name="Line 478"/>
                        <wps:cNvCnPr>
                          <a:cxnSpLocks noChangeShapeType="1"/>
                        </wps:cNvCnPr>
                        <wps:spPr bwMode="auto">
                          <a:xfrm>
                            <a:off x="8332" y="270"/>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08" name="Line 477"/>
                        <wps:cNvCnPr>
                          <a:cxnSpLocks noChangeShapeType="1"/>
                        </wps:cNvCnPr>
                        <wps:spPr bwMode="auto">
                          <a:xfrm>
                            <a:off x="8332" y="27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09" name="Line 476"/>
                        <wps:cNvCnPr>
                          <a:cxnSpLocks noChangeShapeType="1"/>
                        </wps:cNvCnPr>
                        <wps:spPr bwMode="auto">
                          <a:xfrm>
                            <a:off x="8332" y="272"/>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10" name="Line 475"/>
                        <wps:cNvCnPr>
                          <a:cxnSpLocks noChangeShapeType="1"/>
                        </wps:cNvCnPr>
                        <wps:spPr bwMode="auto">
                          <a:xfrm>
                            <a:off x="9629" y="26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11" name="Line 474"/>
                        <wps:cNvCnPr>
                          <a:cxnSpLocks noChangeShapeType="1"/>
                        </wps:cNvCnPr>
                        <wps:spPr bwMode="auto">
                          <a:xfrm>
                            <a:off x="9629" y="26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12" name="Line 473"/>
                        <wps:cNvCnPr>
                          <a:cxnSpLocks noChangeShapeType="1"/>
                        </wps:cNvCnPr>
                        <wps:spPr bwMode="auto">
                          <a:xfrm>
                            <a:off x="9629" y="266"/>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13" name="Line 472"/>
                        <wps:cNvCnPr>
                          <a:cxnSpLocks noChangeShapeType="1"/>
                        </wps:cNvCnPr>
                        <wps:spPr bwMode="auto">
                          <a:xfrm>
                            <a:off x="9629" y="26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14" name="Line 471"/>
                        <wps:cNvCnPr>
                          <a:cxnSpLocks noChangeShapeType="1"/>
                        </wps:cNvCnPr>
                        <wps:spPr bwMode="auto">
                          <a:xfrm>
                            <a:off x="9629" y="268"/>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15" name="Line 470"/>
                        <wps:cNvCnPr>
                          <a:cxnSpLocks noChangeShapeType="1"/>
                        </wps:cNvCnPr>
                        <wps:spPr bwMode="auto">
                          <a:xfrm>
                            <a:off x="9629" y="270"/>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16" name="Line 469"/>
                        <wps:cNvCnPr>
                          <a:cxnSpLocks noChangeShapeType="1"/>
                        </wps:cNvCnPr>
                        <wps:spPr bwMode="auto">
                          <a:xfrm>
                            <a:off x="9629" y="27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17" name="Line 468"/>
                        <wps:cNvCnPr>
                          <a:cxnSpLocks noChangeShapeType="1"/>
                        </wps:cNvCnPr>
                        <wps:spPr bwMode="auto">
                          <a:xfrm>
                            <a:off x="9629" y="272"/>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5FAC02" id="Group 467" o:spid="_x0000_s1026" style="position:absolute;margin-left:416.6pt;margin-top:13.15pt;width:129.75pt;height:.5pt;z-index:-15652352;mso-wrap-distance-left:0;mso-wrap-distance-right:0;mso-position-horizontal-relative:page" coordorigin="8332,263" coordsize="259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">
                <v:line id="Line 483" o:spid="_x0000_s1027" style="position:absolute;visibility:visible;mso-wrap-style:square" from="8332,264" to="9629,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" strokeweight=".06pt"/>
                <v:line id="Line 482" o:spid="_x0000_s1028" style="position:absolute;visibility:visible;mso-wrap-style:square" from="8332,265" to="9629,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" strokeweight=".06pt"/>
                <v:line id="Line 481" o:spid="_x0000_s1029" style="position:absolute;visibility:visible;mso-wrap-style:square" from="8332,266" to="962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" strokeweight=".06pt"/>
                <v:line id="Line 480" o:spid="_x0000_s1030" style="position:absolute;visibility:visible;mso-wrap-style:square" from="8332,267" to="9629,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" strokeweight=".06pt"/>
                <v:line id="Line 479" o:spid="_x0000_s1031" style="position:absolute;visibility:visible;mso-wrap-style:square" from="8332,268" to="9629,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" strokeweight=".06pt"/>
                <v:line id="Line 478" o:spid="_x0000_s1032" style="position:absolute;visibility:visible;mso-wrap-style:square" from="8332,270" to="9629,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" strokeweight=".06pt"/>
                <v:line id="Line 477" o:spid="_x0000_s1033" style="position:absolute;visibility:visible;mso-wrap-style:square" from="8332,271" to="9629,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" strokeweight=".06pt"/>
                <v:line id="Line 476" o:spid="_x0000_s1034" style="position:absolute;visibility:visible;mso-wrap-style:square" from="8332,272" to="9629,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" strokeweight=".06pt"/>
                <v:line id="Line 475" o:spid="_x0000_s1035" style="position:absolute;visibility:visible;mso-wrap-style:square" from="9629,264" to="10926,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" strokeweight=".06pt"/>
                <v:line id="Line 474" o:spid="_x0000_s1036" style="position:absolute;visibility:visible;mso-wrap-style:square" from="9629,265" to="10926,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" strokeweight=".06pt"/>
                <v:line id="Line 473" o:spid="_x0000_s1037" style="position:absolute;visibility:visible;mso-wrap-style:square" from="9629,266" to="10926,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" strokeweight=".06pt"/>
                <v:line id="Line 472" o:spid="_x0000_s1038" style="position:absolute;visibility:visible;mso-wrap-style:square" from="9629,267" to="10926,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" strokeweight=".06pt"/>
                <v:line id="Line 471" o:spid="_x0000_s1039" style="position:absolute;visibility:visible;mso-wrap-style:square" from="9629,268" to="10926,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" strokeweight=".06pt"/>
                <v:line id="Line 470" o:spid="_x0000_s1040" style="position:absolute;visibility:visible;mso-wrap-style:square" from="9629,270" to="10926,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" strokeweight=".06pt"/>
                <v:line id="Line 469" o:spid="_x0000_s1041" style="position:absolute;visibility:visible;mso-wrap-style:square" from="9629,271" to="10926,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" strokeweight=".06pt"/>
                <v:line id="Line 468" o:spid="_x0000_s1042" style="position:absolute;visibility:visible;mso-wrap-style:square" from="9629,272" to="10926,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" strokeweight=".06pt"/>
                <w10:wrap type="topAndBottom" anchorx="page"/>
              </v:group>
            </w:pict>
          </mc:Fallback>
        </mc:AlternateContent>
      </w:r>
      <w:r w:rsidR="0015611F">
        <w:t>Revaluation surplus - property, plant</w:t>
      </w:r>
      <w:r w:rsidR="0015611F">
        <w:rPr>
          <w:spacing w:val="-1"/>
        </w:rPr>
        <w:t xml:space="preserve"> </w:t>
      </w:r>
      <w:r w:rsidR="0015611F">
        <w:t>and equipment</w:t>
      </w:r>
      <w:r w:rsidR="0015611F">
        <w:tab/>
      </w:r>
      <w:r w:rsidR="0015611F">
        <w:rPr>
          <w:b/>
        </w:rPr>
        <w:t>195,247</w:t>
      </w:r>
      <w:r w:rsidR="0015611F">
        <w:rPr>
          <w:b/>
        </w:rPr>
        <w:tab/>
      </w:r>
      <w:r w:rsidR="0015611F">
        <w:rPr>
          <w:w w:val="95"/>
        </w:rPr>
        <w:t>195,247</w:t>
      </w:r>
    </w:p>
    <w:p w14:paraId="43AC1FF8" w14:textId="77777777" w:rsidR="00FA4AA8" w:rsidRDefault="0015611F">
      <w:pPr>
        <w:tabs>
          <w:tab w:val="left" w:pos="1297"/>
        </w:tabs>
        <w:ind w:right="222"/>
        <w:jc w:val="right"/>
        <w:rPr>
          <w:sz w:val="18"/>
        </w:rPr>
      </w:pPr>
      <w:r>
        <w:rPr>
          <w:b/>
          <w:sz w:val="18"/>
        </w:rPr>
        <w:t>195,247</w:t>
      </w:r>
      <w:r>
        <w:rPr>
          <w:b/>
          <w:sz w:val="18"/>
        </w:rPr>
        <w:tab/>
      </w:r>
      <w:r>
        <w:rPr>
          <w:w w:val="95"/>
          <w:sz w:val="18"/>
        </w:rPr>
        <w:t>195,247</w:t>
      </w:r>
    </w:p>
    <w:p w14:paraId="3D534582" w14:textId="77777777" w:rsidR="00FA4AA8" w:rsidRDefault="007E2441">
      <w:pPr>
        <w:pStyle w:val="BodyText"/>
        <w:spacing w:line="30" w:lineRule="exact"/>
        <w:ind w:left="7490"/>
        <w:rPr>
          <w:sz w:val="3"/>
        </w:rPr>
      </w:pPr>
      <w:r>
        <w:rPr>
          <w:noProof/>
          <w:sz w:val="3"/>
          <w:lang w:val="en-AU" w:eastAsia="en-AU"/>
        </w:rPr>
        <mc:AlternateContent>
          <mc:Choice Requires="wpg">
            <w:drawing>
              <wp:inline distT="0" distB="0" distL="0" distR="0" wp14:anchorId="6D59ED73" wp14:editId="2DF73FB4">
                <wp:extent cx="1647825" cy="19050"/>
                <wp:effectExtent l="9525" t="9525" r="9525" b="9525"/>
                <wp:docPr id="650"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7825" cy="19050"/>
                          <a:chOff x="0" y="0"/>
                          <a:chExt cx="2595" cy="30"/>
                        </a:xfrm>
                      </wpg:grpSpPr>
                      <wps:wsp>
                        <wps:cNvPr id="651" name="Line 466"/>
                        <wps:cNvCnPr>
                          <a:cxnSpLocks noChangeShapeType="1"/>
                        </wps:cNvCnPr>
                        <wps:spPr bwMode="auto">
                          <a:xfrm>
                            <a:off x="0" y="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52" name="Line 465"/>
                        <wps:cNvCnPr>
                          <a:cxnSpLocks noChangeShapeType="1"/>
                        </wps:cNvCnPr>
                        <wps:spPr bwMode="auto">
                          <a:xfrm>
                            <a:off x="0" y="2"/>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53" name="Line 464"/>
                        <wps:cNvCnPr>
                          <a:cxnSpLocks noChangeShapeType="1"/>
                        </wps:cNvCnPr>
                        <wps:spPr bwMode="auto">
                          <a:xfrm>
                            <a:off x="0" y="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54" name="Line 463"/>
                        <wps:cNvCnPr>
                          <a:cxnSpLocks noChangeShapeType="1"/>
                        </wps:cNvCnPr>
                        <wps:spPr bwMode="auto">
                          <a:xfrm>
                            <a:off x="0" y="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55" name="Line 462"/>
                        <wps:cNvCnPr>
                          <a:cxnSpLocks noChangeShapeType="1"/>
                        </wps:cNvCnPr>
                        <wps:spPr bwMode="auto">
                          <a:xfrm>
                            <a:off x="0" y="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56" name="Line 461"/>
                        <wps:cNvCnPr>
                          <a:cxnSpLocks noChangeShapeType="1"/>
                        </wps:cNvCnPr>
                        <wps:spPr bwMode="auto">
                          <a:xfrm>
                            <a:off x="0" y="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57" name="Line 460"/>
                        <wps:cNvCnPr>
                          <a:cxnSpLocks noChangeShapeType="1"/>
                        </wps:cNvCnPr>
                        <wps:spPr bwMode="auto">
                          <a:xfrm>
                            <a:off x="0" y="8"/>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58" name="Line 459"/>
                        <wps:cNvCnPr>
                          <a:cxnSpLocks noChangeShapeType="1"/>
                        </wps:cNvCnPr>
                        <wps:spPr bwMode="auto">
                          <a:xfrm>
                            <a:off x="0" y="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59" name="Line 458"/>
                        <wps:cNvCnPr>
                          <a:cxnSpLocks noChangeShapeType="1"/>
                        </wps:cNvCnPr>
                        <wps:spPr bwMode="auto">
                          <a:xfrm>
                            <a:off x="0" y="10"/>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60" name="Line 457"/>
                        <wps:cNvCnPr>
                          <a:cxnSpLocks noChangeShapeType="1"/>
                        </wps:cNvCnPr>
                        <wps:spPr bwMode="auto">
                          <a:xfrm>
                            <a:off x="0" y="1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61" name="Line 456"/>
                        <wps:cNvCnPr>
                          <a:cxnSpLocks noChangeShapeType="1"/>
                        </wps:cNvCnPr>
                        <wps:spPr bwMode="auto">
                          <a:xfrm>
                            <a:off x="0" y="1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62" name="Line 455"/>
                        <wps:cNvCnPr>
                          <a:cxnSpLocks noChangeShapeType="1"/>
                        </wps:cNvCnPr>
                        <wps:spPr bwMode="auto">
                          <a:xfrm>
                            <a:off x="0" y="1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63" name="Line 454"/>
                        <wps:cNvCnPr>
                          <a:cxnSpLocks noChangeShapeType="1"/>
                        </wps:cNvCnPr>
                        <wps:spPr bwMode="auto">
                          <a:xfrm>
                            <a:off x="0" y="1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64" name="Line 453"/>
                        <wps:cNvCnPr>
                          <a:cxnSpLocks noChangeShapeType="1"/>
                        </wps:cNvCnPr>
                        <wps:spPr bwMode="auto">
                          <a:xfrm>
                            <a:off x="0" y="16"/>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65" name="Line 452"/>
                        <wps:cNvCnPr>
                          <a:cxnSpLocks noChangeShapeType="1"/>
                        </wps:cNvCnPr>
                        <wps:spPr bwMode="auto">
                          <a:xfrm>
                            <a:off x="0" y="1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66" name="Line 451"/>
                        <wps:cNvCnPr>
                          <a:cxnSpLocks noChangeShapeType="1"/>
                        </wps:cNvCnPr>
                        <wps:spPr bwMode="auto">
                          <a:xfrm>
                            <a:off x="0" y="1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67" name="Line 450"/>
                        <wps:cNvCnPr>
                          <a:cxnSpLocks noChangeShapeType="1"/>
                        </wps:cNvCnPr>
                        <wps:spPr bwMode="auto">
                          <a:xfrm>
                            <a:off x="0" y="20"/>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68" name="Line 449"/>
                        <wps:cNvCnPr>
                          <a:cxnSpLocks noChangeShapeType="1"/>
                        </wps:cNvCnPr>
                        <wps:spPr bwMode="auto">
                          <a:xfrm>
                            <a:off x="0" y="2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69" name="Line 448"/>
                        <wps:cNvCnPr>
                          <a:cxnSpLocks noChangeShapeType="1"/>
                        </wps:cNvCnPr>
                        <wps:spPr bwMode="auto">
                          <a:xfrm>
                            <a:off x="0" y="22"/>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70" name="Line 447"/>
                        <wps:cNvCnPr>
                          <a:cxnSpLocks noChangeShapeType="1"/>
                        </wps:cNvCnPr>
                        <wps:spPr bwMode="auto">
                          <a:xfrm>
                            <a:off x="0" y="2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71" name="Line 446"/>
                        <wps:cNvCnPr>
                          <a:cxnSpLocks noChangeShapeType="1"/>
                        </wps:cNvCnPr>
                        <wps:spPr bwMode="auto">
                          <a:xfrm>
                            <a:off x="0" y="2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72" name="Line 445"/>
                        <wps:cNvCnPr>
                          <a:cxnSpLocks noChangeShapeType="1"/>
                        </wps:cNvCnPr>
                        <wps:spPr bwMode="auto">
                          <a:xfrm>
                            <a:off x="0" y="26"/>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73" name="Line 444"/>
                        <wps:cNvCnPr>
                          <a:cxnSpLocks noChangeShapeType="1"/>
                        </wps:cNvCnPr>
                        <wps:spPr bwMode="auto">
                          <a:xfrm>
                            <a:off x="0" y="2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74" name="Line 443"/>
                        <wps:cNvCnPr>
                          <a:cxnSpLocks noChangeShapeType="1"/>
                        </wps:cNvCnPr>
                        <wps:spPr bwMode="auto">
                          <a:xfrm>
                            <a:off x="0" y="28"/>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75" name="Line 442"/>
                        <wps:cNvCnPr>
                          <a:cxnSpLocks noChangeShapeType="1"/>
                        </wps:cNvCnPr>
                        <wps:spPr bwMode="auto">
                          <a:xfrm>
                            <a:off x="0" y="2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76" name="Line 441"/>
                        <wps:cNvCnPr>
                          <a:cxnSpLocks noChangeShapeType="1"/>
                        </wps:cNvCnPr>
                        <wps:spPr bwMode="auto">
                          <a:xfrm>
                            <a:off x="1297" y="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77" name="Line 440"/>
                        <wps:cNvCnPr>
                          <a:cxnSpLocks noChangeShapeType="1"/>
                        </wps:cNvCnPr>
                        <wps:spPr bwMode="auto">
                          <a:xfrm>
                            <a:off x="1297" y="2"/>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78" name="Line 439"/>
                        <wps:cNvCnPr>
                          <a:cxnSpLocks noChangeShapeType="1"/>
                        </wps:cNvCnPr>
                        <wps:spPr bwMode="auto">
                          <a:xfrm>
                            <a:off x="1297" y="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79" name="Line 438"/>
                        <wps:cNvCnPr>
                          <a:cxnSpLocks noChangeShapeType="1"/>
                        </wps:cNvCnPr>
                        <wps:spPr bwMode="auto">
                          <a:xfrm>
                            <a:off x="1297" y="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80" name="Line 437"/>
                        <wps:cNvCnPr>
                          <a:cxnSpLocks noChangeShapeType="1"/>
                        </wps:cNvCnPr>
                        <wps:spPr bwMode="auto">
                          <a:xfrm>
                            <a:off x="1297" y="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81" name="Line 436"/>
                        <wps:cNvCnPr>
                          <a:cxnSpLocks noChangeShapeType="1"/>
                        </wps:cNvCnPr>
                        <wps:spPr bwMode="auto">
                          <a:xfrm>
                            <a:off x="1297" y="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82" name="Line 435"/>
                        <wps:cNvCnPr>
                          <a:cxnSpLocks noChangeShapeType="1"/>
                        </wps:cNvCnPr>
                        <wps:spPr bwMode="auto">
                          <a:xfrm>
                            <a:off x="1297" y="8"/>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83" name="Line 434"/>
                        <wps:cNvCnPr>
                          <a:cxnSpLocks noChangeShapeType="1"/>
                        </wps:cNvCnPr>
                        <wps:spPr bwMode="auto">
                          <a:xfrm>
                            <a:off x="1297" y="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84" name="Line 433"/>
                        <wps:cNvCnPr>
                          <a:cxnSpLocks noChangeShapeType="1"/>
                        </wps:cNvCnPr>
                        <wps:spPr bwMode="auto">
                          <a:xfrm>
                            <a:off x="1297" y="10"/>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85" name="Line 432"/>
                        <wps:cNvCnPr>
                          <a:cxnSpLocks noChangeShapeType="1"/>
                        </wps:cNvCnPr>
                        <wps:spPr bwMode="auto">
                          <a:xfrm>
                            <a:off x="1297" y="1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86" name="Line 431"/>
                        <wps:cNvCnPr>
                          <a:cxnSpLocks noChangeShapeType="1"/>
                        </wps:cNvCnPr>
                        <wps:spPr bwMode="auto">
                          <a:xfrm>
                            <a:off x="1297" y="1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87" name="Line 430"/>
                        <wps:cNvCnPr>
                          <a:cxnSpLocks noChangeShapeType="1"/>
                        </wps:cNvCnPr>
                        <wps:spPr bwMode="auto">
                          <a:xfrm>
                            <a:off x="1297" y="1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88" name="Line 429"/>
                        <wps:cNvCnPr>
                          <a:cxnSpLocks noChangeShapeType="1"/>
                        </wps:cNvCnPr>
                        <wps:spPr bwMode="auto">
                          <a:xfrm>
                            <a:off x="1297" y="1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89" name="Line 428"/>
                        <wps:cNvCnPr>
                          <a:cxnSpLocks noChangeShapeType="1"/>
                        </wps:cNvCnPr>
                        <wps:spPr bwMode="auto">
                          <a:xfrm>
                            <a:off x="1297" y="16"/>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90" name="Line 427"/>
                        <wps:cNvCnPr>
                          <a:cxnSpLocks noChangeShapeType="1"/>
                        </wps:cNvCnPr>
                        <wps:spPr bwMode="auto">
                          <a:xfrm>
                            <a:off x="1297" y="1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91" name="Line 426"/>
                        <wps:cNvCnPr>
                          <a:cxnSpLocks noChangeShapeType="1"/>
                        </wps:cNvCnPr>
                        <wps:spPr bwMode="auto">
                          <a:xfrm>
                            <a:off x="1297" y="1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92" name="Line 425"/>
                        <wps:cNvCnPr>
                          <a:cxnSpLocks noChangeShapeType="1"/>
                        </wps:cNvCnPr>
                        <wps:spPr bwMode="auto">
                          <a:xfrm>
                            <a:off x="1297" y="20"/>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93" name="Line 424"/>
                        <wps:cNvCnPr>
                          <a:cxnSpLocks noChangeShapeType="1"/>
                        </wps:cNvCnPr>
                        <wps:spPr bwMode="auto">
                          <a:xfrm>
                            <a:off x="1297" y="2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94" name="Line 423"/>
                        <wps:cNvCnPr>
                          <a:cxnSpLocks noChangeShapeType="1"/>
                        </wps:cNvCnPr>
                        <wps:spPr bwMode="auto">
                          <a:xfrm>
                            <a:off x="1297" y="22"/>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95" name="Line 422"/>
                        <wps:cNvCnPr>
                          <a:cxnSpLocks noChangeShapeType="1"/>
                        </wps:cNvCnPr>
                        <wps:spPr bwMode="auto">
                          <a:xfrm>
                            <a:off x="1297" y="2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96" name="Line 421"/>
                        <wps:cNvCnPr>
                          <a:cxnSpLocks noChangeShapeType="1"/>
                        </wps:cNvCnPr>
                        <wps:spPr bwMode="auto">
                          <a:xfrm>
                            <a:off x="1297" y="2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97" name="Line 420"/>
                        <wps:cNvCnPr>
                          <a:cxnSpLocks noChangeShapeType="1"/>
                        </wps:cNvCnPr>
                        <wps:spPr bwMode="auto">
                          <a:xfrm>
                            <a:off x="1297" y="26"/>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98" name="Line 419"/>
                        <wps:cNvCnPr>
                          <a:cxnSpLocks noChangeShapeType="1"/>
                        </wps:cNvCnPr>
                        <wps:spPr bwMode="auto">
                          <a:xfrm>
                            <a:off x="1297" y="2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99" name="Line 418"/>
                        <wps:cNvCnPr>
                          <a:cxnSpLocks noChangeShapeType="1"/>
                        </wps:cNvCnPr>
                        <wps:spPr bwMode="auto">
                          <a:xfrm>
                            <a:off x="1297" y="28"/>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00" name="Line 417"/>
                        <wps:cNvCnPr>
                          <a:cxnSpLocks noChangeShapeType="1"/>
                        </wps:cNvCnPr>
                        <wps:spPr bwMode="auto">
                          <a:xfrm>
                            <a:off x="1297" y="2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DBE68AB" id="Group 416" o:spid="_x0000_s1026" style="width:129.75pt;height:1.5pt;mso-position-horizontal-relative:char;mso-position-vertical-relative:line" coordsize="25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">
                <v:line id="Line 466" o:spid="_x0000_s1027" style="position:absolute;visibility:visible;mso-wrap-style:square" from="0,1" to="12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" strokeweight=".06pt"/>
                <v:line id="Line 465" o:spid="_x0000_s1028" style="position:absolute;visibility:visible;mso-wrap-style:square" from="0,2" to="12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" strokeweight=".06pt"/>
                <v:line id="Line 464" o:spid="_x0000_s1029" style="position:absolute;visibility:visible;mso-wrap-style:square" from="0,3" to="12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" strokeweight=".06pt"/>
                <v:line id="Line 463" o:spid="_x0000_s1030" style="position:absolute;visibility:visible;mso-wrap-style:square" from="0,4" to="12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" strokeweight=".06pt"/>
                <v:line id="Line 462" o:spid="_x0000_s1031" style="position:absolute;visibility:visible;mso-wrap-style:square" from="0,5" to="12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" strokeweight=".06pt"/>
                <v:line id="Line 461" o:spid="_x0000_s1032" style="position:absolute;visibility:visible;mso-wrap-style:square" from="0,7" to="12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" strokeweight=".06pt"/>
                <v:line id="Line 460" o:spid="_x0000_s1033" style="position:absolute;visibility:visible;mso-wrap-style:square" from="0,8" to="12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" strokeweight=".06pt"/>
                <v:line id="Line 459" o:spid="_x0000_s1034" style="position:absolute;visibility:visible;mso-wrap-style:square" from="0,9" to="12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" strokeweight=".06pt"/>
                <v:line id="Line 458" o:spid="_x0000_s1035" style="position:absolute;visibility:visible;mso-wrap-style:square" from="0,10" to="129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" strokeweight=".06pt"/>
                <v:line id="Line 457" o:spid="_x0000_s1036" style="position:absolute;visibility:visible;mso-wrap-style:square" from="0,11" to="129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" strokeweight=".06pt"/>
                <v:line id="Line 456" o:spid="_x0000_s1037" style="position:absolute;visibility:visible;mso-wrap-style:square" from="0,13" to="129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" strokeweight=".06pt"/>
                <v:line id="Line 455" o:spid="_x0000_s1038" style="position:absolute;visibility:visible;mso-wrap-style:square" from="0,14" to="129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" strokeweight=".06pt"/>
                <v:line id="Line 454" o:spid="_x0000_s1039" style="position:absolute;visibility:visible;mso-wrap-style:square" from="0,15" to="129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" strokeweight=".06pt"/>
                <v:line id="Line 453" o:spid="_x0000_s1040" style="position:absolute;visibility:visible;mso-wrap-style:square" from="0,16" to="129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" strokeweight=".06pt"/>
                <v:line id="Line 452" o:spid="_x0000_s1041" style="position:absolute;visibility:visible;mso-wrap-style:square" from="0,17" to="129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" strokeweight=".06pt"/>
                <v:line id="Line 451" o:spid="_x0000_s1042" style="position:absolute;visibility:visible;mso-wrap-style:square" from="0,19" to="129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" strokeweight=".06pt"/>
                <v:line id="Line 450" o:spid="_x0000_s1043" style="position:absolute;visibility:visible;mso-wrap-style:square" from="0,20" to="12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" strokeweight=".06pt"/>
                <v:line id="Line 449" o:spid="_x0000_s1044" style="position:absolute;visibility:visible;mso-wrap-style:square" from="0,21" to="129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" strokeweight=".06pt"/>
                <v:line id="Line 448" o:spid="_x0000_s1045" style="position:absolute;visibility:visible;mso-wrap-style:square" from="0,22" to="129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" strokeweight=".06pt"/>
                <v:line id="Line 447" o:spid="_x0000_s1046" style="position:absolute;visibility:visible;mso-wrap-style:square" from="0,23" to="129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" strokeweight=".06pt"/>
                <v:line id="Line 446" o:spid="_x0000_s1047" style="position:absolute;visibility:visible;mso-wrap-style:square" from="0,25" to="129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" strokeweight=".06pt"/>
                <v:line id="Line 445" o:spid="_x0000_s1048" style="position:absolute;visibility:visible;mso-wrap-style:square" from="0,26" to="129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" strokeweight=".06pt"/>
                <v:line id="Line 444" o:spid="_x0000_s1049" style="position:absolute;visibility:visible;mso-wrap-style:square" from="0,27" to="129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" strokeweight=".06pt"/>
                <v:line id="Line 443" o:spid="_x0000_s1050" style="position:absolute;visibility:visible;mso-wrap-style:square" from="0,28" to="129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" strokeweight=".06pt"/>
                <v:line id="Line 442" o:spid="_x0000_s1051" style="position:absolute;visibility:visible;mso-wrap-style:square" from="0,29" to="129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" strokeweight=".06pt"/>
                <v:line id="Line 441" o:spid="_x0000_s1052" style="position:absolute;visibility:visible;mso-wrap-style:square" from="1297,1" to="25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" strokeweight=".06pt"/>
                <v:line id="Line 440" o:spid="_x0000_s1053" style="position:absolute;visibility:visible;mso-wrap-style:square" from="1297,2" to="25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" strokeweight=".06pt"/>
                <v:line id="Line 439" o:spid="_x0000_s1054" style="position:absolute;visibility:visible;mso-wrap-style:square" from="1297,3" to="25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" strokeweight=".06pt"/>
                <v:line id="Line 438" o:spid="_x0000_s1055" style="position:absolute;visibility:visible;mso-wrap-style:square" from="1297,4" to="2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" strokeweight=".06pt"/>
                <v:line id="Line 437" o:spid="_x0000_s1056" style="position:absolute;visibility:visible;mso-wrap-style:square" from="1297,5" to="25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" strokeweight=".06pt"/>
                <v:line id="Line 436" o:spid="_x0000_s1057" style="position:absolute;visibility:visible;mso-wrap-style:square" from="1297,7" to="25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" strokeweight=".06pt"/>
                <v:line id="Line 435" o:spid="_x0000_s1058" style="position:absolute;visibility:visible;mso-wrap-style:square" from="1297,8" to="25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" strokeweight=".06pt"/>
                <v:line id="Line 434" o:spid="_x0000_s1059" style="position:absolute;visibility:visible;mso-wrap-style:square" from="1297,9" to="25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" strokeweight=".06pt"/>
                <v:line id="Line 433" o:spid="_x0000_s1060" style="position:absolute;visibility:visible;mso-wrap-style:square" from="1297,10" to="259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" strokeweight=".06pt"/>
                <v:line id="Line 432" o:spid="_x0000_s1061" style="position:absolute;visibility:visible;mso-wrap-style:square" from="1297,11" to="259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" strokeweight=".06pt"/>
                <v:line id="Line 431" o:spid="_x0000_s1062" style="position:absolute;visibility:visible;mso-wrap-style:square" from="1297,13" to="259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" strokeweight=".06pt"/>
                <v:line id="Line 430" o:spid="_x0000_s1063" style="position:absolute;visibility:visible;mso-wrap-style:square" from="1297,14" to="259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" strokeweight=".06pt"/>
                <v:line id="Line 429" o:spid="_x0000_s1064" style="position:absolute;visibility:visible;mso-wrap-style:square" from="1297,15" to="259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" strokeweight=".06pt"/>
                <v:line id="Line 428" o:spid="_x0000_s1065" style="position:absolute;visibility:visible;mso-wrap-style:square" from="1297,16" to="259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" strokeweight=".06pt"/>
                <v:line id="Line 427" o:spid="_x0000_s1066" style="position:absolute;visibility:visible;mso-wrap-style:square" from="1297,17" to="259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" strokeweight=".06pt"/>
                <v:line id="Line 426" o:spid="_x0000_s1067" style="position:absolute;visibility:visible;mso-wrap-style:square" from="1297,19" to="259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" strokeweight=".06pt"/>
                <v:line id="Line 425" o:spid="_x0000_s1068" style="position:absolute;visibility:visible;mso-wrap-style:square" from="1297,20" to="259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" strokeweight=".06pt"/>
                <v:line id="Line 424" o:spid="_x0000_s1069" style="position:absolute;visibility:visible;mso-wrap-style:square" from="1297,21" to="259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" strokeweight=".06pt"/>
                <v:line id="Line 423" o:spid="_x0000_s1070" style="position:absolute;visibility:visible;mso-wrap-style:square" from="1297,22" to="259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" strokeweight=".06pt"/>
                <v:line id="Line 422" o:spid="_x0000_s1071" style="position:absolute;visibility:visible;mso-wrap-style:square" from="1297,23" to="259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" strokeweight=".06pt"/>
                <v:line id="Line 421" o:spid="_x0000_s1072" style="position:absolute;visibility:visible;mso-wrap-style:square" from="1297,25" to="259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" strokeweight=".06pt"/>
                <v:line id="Line 420" o:spid="_x0000_s1073" style="position:absolute;visibility:visible;mso-wrap-style:square" from="1297,26" to="259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" strokeweight=".06pt"/>
                <v:line id="Line 419" o:spid="_x0000_s1074" style="position:absolute;visibility:visible;mso-wrap-style:square" from="1297,27" to="259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" strokeweight=".06pt"/>
                <v:line id="Line 418" o:spid="_x0000_s1075" style="position:absolute;visibility:visible;mso-wrap-style:square" from="1297,28" to="259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" strokeweight=".06pt"/>
                <v:line id="Line 417" o:spid="_x0000_s1076" style="position:absolute;visibility:visible;mso-wrap-style:square" from="1297,29" to="259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" strokeweight=".06pt"/>
                <w10:anchorlock/>
              </v:group>
            </w:pict>
          </mc:Fallback>
        </mc:AlternateContent>
      </w:r>
    </w:p>
    <w:p w14:paraId="3E9E72F4" w14:textId="77777777" w:rsidR="00FA4AA8" w:rsidRDefault="00FA4AA8">
      <w:pPr>
        <w:pStyle w:val="BodyText"/>
        <w:spacing w:before="5"/>
      </w:pPr>
    </w:p>
    <w:p w14:paraId="5FACD59A" w14:textId="77777777" w:rsidR="00FA4AA8" w:rsidRDefault="00FA4AA8">
      <w:pPr>
        <w:sectPr w:rsidR="00FA4AA8">
          <w:type w:val="continuous"/>
          <w:pgSz w:w="11910" w:h="16840"/>
          <w:pgMar w:top="20" w:right="840" w:bottom="0" w:left="840" w:header="720" w:footer="720" w:gutter="0"/>
          <w:cols w:space="720"/>
        </w:sectPr>
      </w:pPr>
    </w:p>
    <w:p w14:paraId="048B626B" w14:textId="77777777" w:rsidR="00FA4AA8" w:rsidRDefault="0015611F">
      <w:pPr>
        <w:spacing w:before="94"/>
        <w:ind w:left="564"/>
        <w:rPr>
          <w:b/>
          <w:sz w:val="18"/>
        </w:rPr>
      </w:pPr>
      <w:r>
        <w:rPr>
          <w:b/>
          <w:sz w:val="18"/>
        </w:rPr>
        <w:t>Movements</w:t>
      </w:r>
    </w:p>
    <w:p w14:paraId="724B64CE" w14:textId="77777777" w:rsidR="00FA4AA8" w:rsidRDefault="00FA4AA8">
      <w:pPr>
        <w:pStyle w:val="BodyText"/>
        <w:rPr>
          <w:b/>
          <w:sz w:val="20"/>
        </w:rPr>
      </w:pPr>
    </w:p>
    <w:p w14:paraId="51672D0B" w14:textId="77777777" w:rsidR="00FA4AA8" w:rsidRDefault="00FA4AA8">
      <w:pPr>
        <w:pStyle w:val="BodyText"/>
        <w:spacing w:before="3"/>
        <w:rPr>
          <w:b/>
          <w:sz w:val="16"/>
        </w:rPr>
      </w:pPr>
    </w:p>
    <w:p w14:paraId="7E37E2B9" w14:textId="77777777" w:rsidR="00FA4AA8" w:rsidRDefault="0015611F">
      <w:pPr>
        <w:pStyle w:val="BodyText"/>
        <w:ind w:left="564"/>
      </w:pPr>
      <w:r>
        <w:t>Revaluation surplus - property, plant and equipment</w:t>
      </w:r>
      <w:r>
        <w:rPr>
          <w:w w:val="95"/>
        </w:rPr>
        <w:t xml:space="preserve"> </w:t>
      </w:r>
    </w:p>
    <w:p w14:paraId="4101CA58" w14:textId="77777777" w:rsidR="00FA4AA8" w:rsidRDefault="0015611F">
      <w:pPr>
        <w:pStyle w:val="BodyText"/>
        <w:spacing w:before="6"/>
        <w:rPr>
          <w:sz w:val="26"/>
        </w:rPr>
      </w:pPr>
      <w:r>
        <w:br w:type="column"/>
      </w:r>
    </w:p>
    <w:p w14:paraId="7CBC649C" w14:textId="77777777" w:rsidR="00FA4AA8" w:rsidRDefault="0015611F">
      <w:pPr>
        <w:spacing w:before="1" w:line="207" w:lineRule="exact"/>
        <w:ind w:left="543" w:right="20"/>
        <w:jc w:val="center"/>
        <w:rPr>
          <w:b/>
          <w:sz w:val="18"/>
        </w:rPr>
      </w:pPr>
      <w:r>
        <w:rPr>
          <w:b/>
          <w:sz w:val="18"/>
        </w:rPr>
        <w:t>2018</w:t>
      </w:r>
    </w:p>
    <w:p w14:paraId="626CC249" w14:textId="77777777" w:rsidR="00FA4AA8" w:rsidRDefault="0015611F">
      <w:pPr>
        <w:spacing w:line="207" w:lineRule="exact"/>
        <w:ind w:left="523"/>
        <w:jc w:val="center"/>
        <w:rPr>
          <w:b/>
          <w:sz w:val="18"/>
        </w:rPr>
      </w:pPr>
      <w:r>
        <w:rPr>
          <w:b/>
          <w:w w:val="99"/>
          <w:sz w:val="18"/>
        </w:rPr>
        <w:t>$</w:t>
      </w:r>
    </w:p>
    <w:p w14:paraId="0166500D" w14:textId="77777777" w:rsidR="00FA4AA8" w:rsidRDefault="0015611F">
      <w:pPr>
        <w:pStyle w:val="BodyText"/>
        <w:spacing w:before="6"/>
        <w:rPr>
          <w:b/>
          <w:sz w:val="26"/>
        </w:rPr>
      </w:pPr>
      <w:r>
        <w:br w:type="column"/>
      </w:r>
    </w:p>
    <w:p w14:paraId="4D19BAEB" w14:textId="77777777" w:rsidR="00FA4AA8" w:rsidRDefault="0015611F">
      <w:pPr>
        <w:spacing w:before="1" w:line="207" w:lineRule="exact"/>
        <w:ind w:left="505" w:right="538"/>
        <w:jc w:val="center"/>
        <w:rPr>
          <w:b/>
          <w:sz w:val="18"/>
        </w:rPr>
      </w:pPr>
      <w:r>
        <w:rPr>
          <w:b/>
          <w:sz w:val="18"/>
        </w:rPr>
        <w:t>2017</w:t>
      </w:r>
    </w:p>
    <w:p w14:paraId="6F24AC0D" w14:textId="77777777" w:rsidR="00FA4AA8" w:rsidRDefault="0015611F">
      <w:pPr>
        <w:spacing w:line="207" w:lineRule="exact"/>
        <w:ind w:right="34"/>
        <w:jc w:val="center"/>
        <w:rPr>
          <w:b/>
          <w:sz w:val="18"/>
        </w:rPr>
      </w:pPr>
      <w:r>
        <w:rPr>
          <w:b/>
          <w:w w:val="99"/>
          <w:sz w:val="18"/>
        </w:rPr>
        <w:t>$</w:t>
      </w:r>
    </w:p>
    <w:p w14:paraId="6CE95C7D" w14:textId="77777777" w:rsidR="00FA4AA8" w:rsidRDefault="00FA4AA8">
      <w:pPr>
        <w:spacing w:line="207" w:lineRule="exact"/>
        <w:jc w:val="center"/>
        <w:rPr>
          <w:sz w:val="18"/>
        </w:rPr>
        <w:sectPr w:rsidR="00FA4AA8">
          <w:type w:val="continuous"/>
          <w:pgSz w:w="11910" w:h="16840"/>
          <w:pgMar w:top="20" w:right="840" w:bottom="0" w:left="840" w:header="720" w:footer="720" w:gutter="0"/>
          <w:cols w:num="3" w:space="720" w:equalWidth="0">
            <w:col w:w="4759" w:space="2618"/>
            <w:col w:w="1005" w:space="279"/>
            <w:col w:w="1569"/>
          </w:cols>
        </w:sectPr>
      </w:pPr>
    </w:p>
    <w:p w14:paraId="4F8E2BA8" w14:textId="77777777" w:rsidR="00FA4AA8" w:rsidRDefault="0015611F">
      <w:pPr>
        <w:tabs>
          <w:tab w:val="left" w:pos="8051"/>
          <w:tab w:val="left" w:pos="9350"/>
        </w:tabs>
        <w:spacing w:line="207" w:lineRule="exact"/>
        <w:ind w:left="564"/>
        <w:rPr>
          <w:sz w:val="18"/>
        </w:rPr>
      </w:pPr>
      <w:r>
        <w:rPr>
          <w:sz w:val="18"/>
        </w:rPr>
        <w:t>Balance</w:t>
      </w:r>
      <w:r>
        <w:rPr>
          <w:spacing w:val="-1"/>
          <w:sz w:val="18"/>
        </w:rPr>
        <w:t xml:space="preserve"> </w:t>
      </w:r>
      <w:r>
        <w:rPr>
          <w:sz w:val="18"/>
        </w:rPr>
        <w:t>1 January</w:t>
      </w:r>
      <w:r>
        <w:rPr>
          <w:sz w:val="18"/>
        </w:rPr>
        <w:tab/>
      </w:r>
      <w:r>
        <w:rPr>
          <w:b/>
          <w:sz w:val="18"/>
        </w:rPr>
        <w:t>195,247</w:t>
      </w:r>
      <w:r>
        <w:rPr>
          <w:b/>
          <w:sz w:val="18"/>
        </w:rPr>
        <w:tab/>
      </w:r>
      <w:r>
        <w:rPr>
          <w:sz w:val="18"/>
        </w:rPr>
        <w:t>195,247</w:t>
      </w:r>
    </w:p>
    <w:p w14:paraId="1C2DBCCD" w14:textId="77777777" w:rsidR="00FA4AA8" w:rsidRDefault="0015611F">
      <w:pPr>
        <w:pStyle w:val="BodyText"/>
        <w:tabs>
          <w:tab w:val="left" w:pos="8639"/>
          <w:tab w:val="left" w:pos="9938"/>
        </w:tabs>
        <w:spacing w:line="207" w:lineRule="exact"/>
        <w:ind w:left="564"/>
      </w:pPr>
      <w:r>
        <w:t>Revaluation</w:t>
      </w:r>
      <w:r>
        <w:rPr>
          <w:spacing w:val="-1"/>
        </w:rPr>
        <w:t xml:space="preserve"> </w:t>
      </w:r>
      <w:r>
        <w:t>- gross</w:t>
      </w:r>
      <w:r>
        <w:tab/>
      </w:r>
      <w:r>
        <w:rPr>
          <w:b/>
        </w:rPr>
        <w:t>-</w:t>
      </w:r>
      <w:r>
        <w:rPr>
          <w:b/>
        </w:rPr>
        <w:tab/>
      </w:r>
      <w:r>
        <w:t>-</w:t>
      </w:r>
    </w:p>
    <w:p w14:paraId="21B0C61D" w14:textId="77777777" w:rsidR="00FA4AA8" w:rsidRDefault="007E2441">
      <w:pPr>
        <w:pStyle w:val="BodyText"/>
        <w:spacing w:line="20" w:lineRule="exact"/>
        <w:ind w:left="7490"/>
        <w:rPr>
          <w:sz w:val="2"/>
        </w:rPr>
      </w:pPr>
      <w:r>
        <w:rPr>
          <w:noProof/>
          <w:sz w:val="2"/>
          <w:lang w:val="en-AU" w:eastAsia="en-AU"/>
        </w:rPr>
        <mc:AlternateContent>
          <mc:Choice Requires="wpg">
            <w:drawing>
              <wp:inline distT="0" distB="0" distL="0" distR="0" wp14:anchorId="015397AA" wp14:editId="7EEDFBDE">
                <wp:extent cx="1647825" cy="6350"/>
                <wp:effectExtent l="9525" t="9525" r="9525" b="12700"/>
                <wp:docPr id="617"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7825" cy="6350"/>
                          <a:chOff x="0" y="0"/>
                          <a:chExt cx="2595" cy="10"/>
                        </a:xfrm>
                      </wpg:grpSpPr>
                      <wps:wsp>
                        <wps:cNvPr id="618" name="Line 415"/>
                        <wps:cNvCnPr>
                          <a:cxnSpLocks noChangeShapeType="1"/>
                        </wps:cNvCnPr>
                        <wps:spPr bwMode="auto">
                          <a:xfrm>
                            <a:off x="0" y="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19" name="Line 414"/>
                        <wps:cNvCnPr>
                          <a:cxnSpLocks noChangeShapeType="1"/>
                        </wps:cNvCnPr>
                        <wps:spPr bwMode="auto">
                          <a:xfrm>
                            <a:off x="0" y="2"/>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20" name="Line 413"/>
                        <wps:cNvCnPr>
                          <a:cxnSpLocks noChangeShapeType="1"/>
                        </wps:cNvCnPr>
                        <wps:spPr bwMode="auto">
                          <a:xfrm>
                            <a:off x="0" y="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21" name="Line 412"/>
                        <wps:cNvCnPr>
                          <a:cxnSpLocks noChangeShapeType="1"/>
                        </wps:cNvCnPr>
                        <wps:spPr bwMode="auto">
                          <a:xfrm>
                            <a:off x="0" y="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22" name="Line 411"/>
                        <wps:cNvCnPr>
                          <a:cxnSpLocks noChangeShapeType="1"/>
                        </wps:cNvCnPr>
                        <wps:spPr bwMode="auto">
                          <a:xfrm>
                            <a:off x="0" y="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23" name="Line 410"/>
                        <wps:cNvCnPr>
                          <a:cxnSpLocks noChangeShapeType="1"/>
                        </wps:cNvCnPr>
                        <wps:spPr bwMode="auto">
                          <a:xfrm>
                            <a:off x="0" y="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24" name="Line 409"/>
                        <wps:cNvCnPr>
                          <a:cxnSpLocks noChangeShapeType="1"/>
                        </wps:cNvCnPr>
                        <wps:spPr bwMode="auto">
                          <a:xfrm>
                            <a:off x="0" y="8"/>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25" name="Line 408"/>
                        <wps:cNvCnPr>
                          <a:cxnSpLocks noChangeShapeType="1"/>
                        </wps:cNvCnPr>
                        <wps:spPr bwMode="auto">
                          <a:xfrm>
                            <a:off x="0" y="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26" name="Line 407"/>
                        <wps:cNvCnPr>
                          <a:cxnSpLocks noChangeShapeType="1"/>
                        </wps:cNvCnPr>
                        <wps:spPr bwMode="auto">
                          <a:xfrm>
                            <a:off x="1297" y="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27" name="Line 406"/>
                        <wps:cNvCnPr>
                          <a:cxnSpLocks noChangeShapeType="1"/>
                        </wps:cNvCnPr>
                        <wps:spPr bwMode="auto">
                          <a:xfrm>
                            <a:off x="1297" y="2"/>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28" name="Line 405"/>
                        <wps:cNvCnPr>
                          <a:cxnSpLocks noChangeShapeType="1"/>
                        </wps:cNvCnPr>
                        <wps:spPr bwMode="auto">
                          <a:xfrm>
                            <a:off x="1297" y="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29" name="Line 404"/>
                        <wps:cNvCnPr>
                          <a:cxnSpLocks noChangeShapeType="1"/>
                        </wps:cNvCnPr>
                        <wps:spPr bwMode="auto">
                          <a:xfrm>
                            <a:off x="1297" y="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30" name="Line 403"/>
                        <wps:cNvCnPr>
                          <a:cxnSpLocks noChangeShapeType="1"/>
                        </wps:cNvCnPr>
                        <wps:spPr bwMode="auto">
                          <a:xfrm>
                            <a:off x="1297" y="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31" name="Line 402"/>
                        <wps:cNvCnPr>
                          <a:cxnSpLocks noChangeShapeType="1"/>
                        </wps:cNvCnPr>
                        <wps:spPr bwMode="auto">
                          <a:xfrm>
                            <a:off x="1297" y="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32" name="Line 401"/>
                        <wps:cNvCnPr>
                          <a:cxnSpLocks noChangeShapeType="1"/>
                        </wps:cNvCnPr>
                        <wps:spPr bwMode="auto">
                          <a:xfrm>
                            <a:off x="1297" y="8"/>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33" name="Line 400"/>
                        <wps:cNvCnPr>
                          <a:cxnSpLocks noChangeShapeType="1"/>
                        </wps:cNvCnPr>
                        <wps:spPr bwMode="auto">
                          <a:xfrm>
                            <a:off x="1297" y="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34" name="Line 399"/>
                        <wps:cNvCnPr>
                          <a:cxnSpLocks noChangeShapeType="1"/>
                        </wps:cNvCnPr>
                        <wps:spPr bwMode="auto">
                          <a:xfrm>
                            <a:off x="0" y="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35" name="Line 398"/>
                        <wps:cNvCnPr>
                          <a:cxnSpLocks noChangeShapeType="1"/>
                        </wps:cNvCnPr>
                        <wps:spPr bwMode="auto">
                          <a:xfrm>
                            <a:off x="0" y="2"/>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36" name="Line 397"/>
                        <wps:cNvCnPr>
                          <a:cxnSpLocks noChangeShapeType="1"/>
                        </wps:cNvCnPr>
                        <wps:spPr bwMode="auto">
                          <a:xfrm>
                            <a:off x="0" y="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37" name="Line 396"/>
                        <wps:cNvCnPr>
                          <a:cxnSpLocks noChangeShapeType="1"/>
                        </wps:cNvCnPr>
                        <wps:spPr bwMode="auto">
                          <a:xfrm>
                            <a:off x="0" y="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38" name="Line 395"/>
                        <wps:cNvCnPr>
                          <a:cxnSpLocks noChangeShapeType="1"/>
                        </wps:cNvCnPr>
                        <wps:spPr bwMode="auto">
                          <a:xfrm>
                            <a:off x="0" y="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39" name="Line 394"/>
                        <wps:cNvCnPr>
                          <a:cxnSpLocks noChangeShapeType="1"/>
                        </wps:cNvCnPr>
                        <wps:spPr bwMode="auto">
                          <a:xfrm>
                            <a:off x="0" y="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40" name="Line 393"/>
                        <wps:cNvCnPr>
                          <a:cxnSpLocks noChangeShapeType="1"/>
                        </wps:cNvCnPr>
                        <wps:spPr bwMode="auto">
                          <a:xfrm>
                            <a:off x="0" y="8"/>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41" name="Line 392"/>
                        <wps:cNvCnPr>
                          <a:cxnSpLocks noChangeShapeType="1"/>
                        </wps:cNvCnPr>
                        <wps:spPr bwMode="auto">
                          <a:xfrm>
                            <a:off x="0" y="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42" name="Line 391"/>
                        <wps:cNvCnPr>
                          <a:cxnSpLocks noChangeShapeType="1"/>
                        </wps:cNvCnPr>
                        <wps:spPr bwMode="auto">
                          <a:xfrm>
                            <a:off x="1297" y="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43" name="Line 390"/>
                        <wps:cNvCnPr>
                          <a:cxnSpLocks noChangeShapeType="1"/>
                        </wps:cNvCnPr>
                        <wps:spPr bwMode="auto">
                          <a:xfrm>
                            <a:off x="1297" y="2"/>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44" name="Line 389"/>
                        <wps:cNvCnPr>
                          <a:cxnSpLocks noChangeShapeType="1"/>
                        </wps:cNvCnPr>
                        <wps:spPr bwMode="auto">
                          <a:xfrm>
                            <a:off x="1297" y="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45" name="Line 388"/>
                        <wps:cNvCnPr>
                          <a:cxnSpLocks noChangeShapeType="1"/>
                        </wps:cNvCnPr>
                        <wps:spPr bwMode="auto">
                          <a:xfrm>
                            <a:off x="1297" y="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46" name="Line 387"/>
                        <wps:cNvCnPr>
                          <a:cxnSpLocks noChangeShapeType="1"/>
                        </wps:cNvCnPr>
                        <wps:spPr bwMode="auto">
                          <a:xfrm>
                            <a:off x="1297" y="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47" name="Line 386"/>
                        <wps:cNvCnPr>
                          <a:cxnSpLocks noChangeShapeType="1"/>
                        </wps:cNvCnPr>
                        <wps:spPr bwMode="auto">
                          <a:xfrm>
                            <a:off x="1297" y="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48" name="Line 385"/>
                        <wps:cNvCnPr>
                          <a:cxnSpLocks noChangeShapeType="1"/>
                        </wps:cNvCnPr>
                        <wps:spPr bwMode="auto">
                          <a:xfrm>
                            <a:off x="1297" y="8"/>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49" name="Line 384"/>
                        <wps:cNvCnPr>
                          <a:cxnSpLocks noChangeShapeType="1"/>
                        </wps:cNvCnPr>
                        <wps:spPr bwMode="auto">
                          <a:xfrm>
                            <a:off x="1297" y="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4888B4A" id="Group 383" o:spid="_x0000_s1026" style="width:129.75pt;height:.5pt;mso-position-horizontal-relative:char;mso-position-vertical-relative:line" coordsize="259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">
                <v:line id="Line 415" o:spid="_x0000_s1027" style="position:absolute;visibility:visible;mso-wrap-style:square" from="0,1" to="12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" strokeweight=".06pt"/>
                <v:line id="Line 414" o:spid="_x0000_s1028" style="position:absolute;visibility:visible;mso-wrap-style:square" from="0,2" to="12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" strokeweight=".06pt"/>
                <v:line id="Line 413" o:spid="_x0000_s1029" style="position:absolute;visibility:visible;mso-wrap-style:square" from="0,3" to="12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" strokeweight=".06pt"/>
                <v:line id="Line 412" o:spid="_x0000_s1030" style="position:absolute;visibility:visible;mso-wrap-style:square" from="0,4" to="12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" strokeweight=".06pt"/>
                <v:line id="Line 411" o:spid="_x0000_s1031" style="position:absolute;visibility:visible;mso-wrap-style:square" from="0,5" to="12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" strokeweight=".06pt"/>
                <v:line id="Line 410" o:spid="_x0000_s1032" style="position:absolute;visibility:visible;mso-wrap-style:square" from="0,7" to="12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" strokeweight=".06pt"/>
                <v:line id="Line 409" o:spid="_x0000_s1033" style="position:absolute;visibility:visible;mso-wrap-style:square" from="0,8" to="12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" strokeweight=".06pt"/>
                <v:line id="Line 408" o:spid="_x0000_s1034" style="position:absolute;visibility:visible;mso-wrap-style:square" from="0,9" to="12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" strokeweight=".06pt"/>
                <v:line id="Line 407" o:spid="_x0000_s1035" style="position:absolute;visibility:visible;mso-wrap-style:square" from="1297,1" to="25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" strokeweight=".06pt"/>
                <v:line id="Line 406" o:spid="_x0000_s1036" style="position:absolute;visibility:visible;mso-wrap-style:square" from="1297,2" to="25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" strokeweight=".06pt"/>
                <v:line id="Line 405" o:spid="_x0000_s1037" style="position:absolute;visibility:visible;mso-wrap-style:square" from="1297,3" to="25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" strokeweight=".06pt"/>
                <v:line id="Line 404" o:spid="_x0000_s1038" style="position:absolute;visibility:visible;mso-wrap-style:square" from="1297,4" to="2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" strokeweight=".06pt"/>
                <v:line id="Line 403" o:spid="_x0000_s1039" style="position:absolute;visibility:visible;mso-wrap-style:square" from="1297,5" to="25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" strokeweight=".06pt"/>
                <v:line id="Line 402" o:spid="_x0000_s1040" style="position:absolute;visibility:visible;mso-wrap-style:square" from="1297,7" to="25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" strokeweight=".06pt"/>
                <v:line id="Line 401" o:spid="_x0000_s1041" style="position:absolute;visibility:visible;mso-wrap-style:square" from="1297,8" to="25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" strokeweight=".06pt"/>
                <v:line id="Line 400" o:spid="_x0000_s1042" style="position:absolute;visibility:visible;mso-wrap-style:square" from="1297,9" to="25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" strokeweight=".06pt"/>
                <v:line id="Line 399" o:spid="_x0000_s1043" style="position:absolute;visibility:visible;mso-wrap-style:square" from="0,1" to="12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" strokeweight=".06pt"/>
                <v:line id="Line 398" o:spid="_x0000_s1044" style="position:absolute;visibility:visible;mso-wrap-style:square" from="0,2" to="12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" strokeweight=".06pt"/>
                <v:line id="Line 397" o:spid="_x0000_s1045" style="position:absolute;visibility:visible;mso-wrap-style:square" from="0,3" to="12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" strokeweight=".06pt"/>
                <v:line id="Line 396" o:spid="_x0000_s1046" style="position:absolute;visibility:visible;mso-wrap-style:square" from="0,4" to="12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" strokeweight=".06pt"/>
                <v:line id="Line 395" o:spid="_x0000_s1047" style="position:absolute;visibility:visible;mso-wrap-style:square" from="0,5" to="12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" strokeweight=".06pt"/>
                <v:line id="Line 394" o:spid="_x0000_s1048" style="position:absolute;visibility:visible;mso-wrap-style:square" from="0,7" to="12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" strokeweight=".06pt"/>
                <v:line id="Line 393" o:spid="_x0000_s1049" style="position:absolute;visibility:visible;mso-wrap-style:square" from="0,8" to="12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" strokeweight=".06pt"/>
                <v:line id="Line 392" o:spid="_x0000_s1050" style="position:absolute;visibility:visible;mso-wrap-style:square" from="0,9" to="12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" strokeweight=".06pt"/>
                <v:line id="Line 391" o:spid="_x0000_s1051" style="position:absolute;visibility:visible;mso-wrap-style:square" from="1297,1" to="25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" strokeweight=".06pt"/>
                <v:line id="Line 390" o:spid="_x0000_s1052" style="position:absolute;visibility:visible;mso-wrap-style:square" from="1297,2" to="25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" strokeweight=".06pt"/>
                <v:line id="Line 389" o:spid="_x0000_s1053" style="position:absolute;visibility:visible;mso-wrap-style:square" from="1297,3" to="25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" strokeweight=".06pt"/>
                <v:line id="Line 388" o:spid="_x0000_s1054" style="position:absolute;visibility:visible;mso-wrap-style:square" from="1297,4" to="2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" strokeweight=".06pt"/>
                <v:line id="Line 387" o:spid="_x0000_s1055" style="position:absolute;visibility:visible;mso-wrap-style:square" from="1297,5" to="25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" strokeweight=".06pt"/>
                <v:line id="Line 386" o:spid="_x0000_s1056" style="position:absolute;visibility:visible;mso-wrap-style:square" from="1297,7" to="25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" strokeweight=".06pt"/>
                <v:line id="Line 385" o:spid="_x0000_s1057" style="position:absolute;visibility:visible;mso-wrap-style:square" from="1297,8" to="25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" strokeweight=".06pt"/>
                <v:line id="Line 384" o:spid="_x0000_s1058" style="position:absolute;visibility:visible;mso-wrap-style:square" from="1297,9" to="25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" strokeweight=".06pt"/>
                <w10:anchorlock/>
              </v:group>
            </w:pict>
          </mc:Fallback>
        </mc:AlternateContent>
      </w:r>
    </w:p>
    <w:p w14:paraId="15ACFE82" w14:textId="77777777" w:rsidR="00FA4AA8" w:rsidRDefault="0015611F">
      <w:pPr>
        <w:tabs>
          <w:tab w:val="left" w:pos="8051"/>
          <w:tab w:val="left" w:pos="9350"/>
        </w:tabs>
        <w:ind w:left="564"/>
        <w:rPr>
          <w:sz w:val="18"/>
        </w:rPr>
      </w:pPr>
      <w:r>
        <w:rPr>
          <w:sz w:val="18"/>
        </w:rPr>
        <w:t>Balance</w:t>
      </w:r>
      <w:r>
        <w:rPr>
          <w:spacing w:val="-1"/>
          <w:sz w:val="18"/>
        </w:rPr>
        <w:t xml:space="preserve"> </w:t>
      </w:r>
      <w:r>
        <w:rPr>
          <w:sz w:val="18"/>
        </w:rPr>
        <w:t>31 December</w:t>
      </w:r>
      <w:r>
        <w:rPr>
          <w:sz w:val="18"/>
        </w:rPr>
        <w:tab/>
      </w:r>
      <w:r>
        <w:rPr>
          <w:b/>
          <w:sz w:val="18"/>
        </w:rPr>
        <w:t>195,247</w:t>
      </w:r>
      <w:r>
        <w:rPr>
          <w:b/>
          <w:sz w:val="18"/>
        </w:rPr>
        <w:tab/>
      </w:r>
      <w:r>
        <w:rPr>
          <w:sz w:val="18"/>
        </w:rPr>
        <w:t>195,247</w:t>
      </w:r>
    </w:p>
    <w:p w14:paraId="28AC8F01" w14:textId="77777777" w:rsidR="00FA4AA8" w:rsidRDefault="007E2441">
      <w:pPr>
        <w:pStyle w:val="BodyText"/>
        <w:spacing w:line="28" w:lineRule="exact"/>
        <w:ind w:left="7490"/>
        <w:rPr>
          <w:sz w:val="2"/>
        </w:rPr>
      </w:pPr>
      <w:r>
        <w:rPr>
          <w:noProof/>
          <w:sz w:val="2"/>
          <w:lang w:val="en-AU" w:eastAsia="en-AU"/>
        </w:rPr>
        <mc:AlternateContent>
          <mc:Choice Requires="wpg">
            <w:drawing>
              <wp:inline distT="0" distB="0" distL="0" distR="0" wp14:anchorId="0AE46CD0" wp14:editId="782F1BA2">
                <wp:extent cx="1647825" cy="17780"/>
                <wp:effectExtent l="9525" t="9525" r="9525" b="10795"/>
                <wp:docPr id="570"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7825" cy="17780"/>
                          <a:chOff x="0" y="0"/>
                          <a:chExt cx="2595" cy="28"/>
                        </a:xfrm>
                      </wpg:grpSpPr>
                      <wps:wsp>
                        <wps:cNvPr id="571" name="Line 382"/>
                        <wps:cNvCnPr>
                          <a:cxnSpLocks noChangeShapeType="1"/>
                        </wps:cNvCnPr>
                        <wps:spPr bwMode="auto">
                          <a:xfrm>
                            <a:off x="0" y="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572" name="Line 381"/>
                        <wps:cNvCnPr>
                          <a:cxnSpLocks noChangeShapeType="1"/>
                        </wps:cNvCnPr>
                        <wps:spPr bwMode="auto">
                          <a:xfrm>
                            <a:off x="0" y="2"/>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573" name="Line 380"/>
                        <wps:cNvCnPr>
                          <a:cxnSpLocks noChangeShapeType="1"/>
                        </wps:cNvCnPr>
                        <wps:spPr bwMode="auto">
                          <a:xfrm>
                            <a:off x="0" y="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574" name="Line 379"/>
                        <wps:cNvCnPr>
                          <a:cxnSpLocks noChangeShapeType="1"/>
                        </wps:cNvCnPr>
                        <wps:spPr bwMode="auto">
                          <a:xfrm>
                            <a:off x="0" y="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575" name="Line 378"/>
                        <wps:cNvCnPr>
                          <a:cxnSpLocks noChangeShapeType="1"/>
                        </wps:cNvCnPr>
                        <wps:spPr bwMode="auto">
                          <a:xfrm>
                            <a:off x="0" y="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576" name="Line 377"/>
                        <wps:cNvCnPr>
                          <a:cxnSpLocks noChangeShapeType="1"/>
                        </wps:cNvCnPr>
                        <wps:spPr bwMode="auto">
                          <a:xfrm>
                            <a:off x="0" y="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577" name="Line 376"/>
                        <wps:cNvCnPr>
                          <a:cxnSpLocks noChangeShapeType="1"/>
                        </wps:cNvCnPr>
                        <wps:spPr bwMode="auto">
                          <a:xfrm>
                            <a:off x="0" y="8"/>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578" name="Line 375"/>
                        <wps:cNvCnPr>
                          <a:cxnSpLocks noChangeShapeType="1"/>
                        </wps:cNvCnPr>
                        <wps:spPr bwMode="auto">
                          <a:xfrm>
                            <a:off x="0" y="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579" name="Line 374"/>
                        <wps:cNvCnPr>
                          <a:cxnSpLocks noChangeShapeType="1"/>
                        </wps:cNvCnPr>
                        <wps:spPr bwMode="auto">
                          <a:xfrm>
                            <a:off x="0" y="10"/>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580" name="Line 373"/>
                        <wps:cNvCnPr>
                          <a:cxnSpLocks noChangeShapeType="1"/>
                        </wps:cNvCnPr>
                        <wps:spPr bwMode="auto">
                          <a:xfrm>
                            <a:off x="0" y="1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581" name="Line 372"/>
                        <wps:cNvCnPr>
                          <a:cxnSpLocks noChangeShapeType="1"/>
                        </wps:cNvCnPr>
                        <wps:spPr bwMode="auto">
                          <a:xfrm>
                            <a:off x="0" y="1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582" name="Line 371"/>
                        <wps:cNvCnPr>
                          <a:cxnSpLocks noChangeShapeType="1"/>
                        </wps:cNvCnPr>
                        <wps:spPr bwMode="auto">
                          <a:xfrm>
                            <a:off x="0" y="1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583" name="Line 370"/>
                        <wps:cNvCnPr>
                          <a:cxnSpLocks noChangeShapeType="1"/>
                        </wps:cNvCnPr>
                        <wps:spPr bwMode="auto">
                          <a:xfrm>
                            <a:off x="0" y="1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584" name="Line 369"/>
                        <wps:cNvCnPr>
                          <a:cxnSpLocks noChangeShapeType="1"/>
                        </wps:cNvCnPr>
                        <wps:spPr bwMode="auto">
                          <a:xfrm>
                            <a:off x="0" y="16"/>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585" name="Line 368"/>
                        <wps:cNvCnPr>
                          <a:cxnSpLocks noChangeShapeType="1"/>
                        </wps:cNvCnPr>
                        <wps:spPr bwMode="auto">
                          <a:xfrm>
                            <a:off x="0" y="1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586" name="Line 367"/>
                        <wps:cNvCnPr>
                          <a:cxnSpLocks noChangeShapeType="1"/>
                        </wps:cNvCnPr>
                        <wps:spPr bwMode="auto">
                          <a:xfrm>
                            <a:off x="0" y="1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587" name="Line 366"/>
                        <wps:cNvCnPr>
                          <a:cxnSpLocks noChangeShapeType="1"/>
                        </wps:cNvCnPr>
                        <wps:spPr bwMode="auto">
                          <a:xfrm>
                            <a:off x="0" y="20"/>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588" name="Line 365"/>
                        <wps:cNvCnPr>
                          <a:cxnSpLocks noChangeShapeType="1"/>
                        </wps:cNvCnPr>
                        <wps:spPr bwMode="auto">
                          <a:xfrm>
                            <a:off x="0" y="2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589" name="Line 364"/>
                        <wps:cNvCnPr>
                          <a:cxnSpLocks noChangeShapeType="1"/>
                        </wps:cNvCnPr>
                        <wps:spPr bwMode="auto">
                          <a:xfrm>
                            <a:off x="0" y="22"/>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590" name="Line 363"/>
                        <wps:cNvCnPr>
                          <a:cxnSpLocks noChangeShapeType="1"/>
                        </wps:cNvCnPr>
                        <wps:spPr bwMode="auto">
                          <a:xfrm>
                            <a:off x="0" y="2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591" name="Line 362"/>
                        <wps:cNvCnPr>
                          <a:cxnSpLocks noChangeShapeType="1"/>
                        </wps:cNvCnPr>
                        <wps:spPr bwMode="auto">
                          <a:xfrm>
                            <a:off x="0" y="2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592" name="Line 361"/>
                        <wps:cNvCnPr>
                          <a:cxnSpLocks noChangeShapeType="1"/>
                        </wps:cNvCnPr>
                        <wps:spPr bwMode="auto">
                          <a:xfrm>
                            <a:off x="0" y="26"/>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593" name="Line 360"/>
                        <wps:cNvCnPr>
                          <a:cxnSpLocks noChangeShapeType="1"/>
                        </wps:cNvCnPr>
                        <wps:spPr bwMode="auto">
                          <a:xfrm>
                            <a:off x="0" y="2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594" name="Line 359"/>
                        <wps:cNvCnPr>
                          <a:cxnSpLocks noChangeShapeType="1"/>
                        </wps:cNvCnPr>
                        <wps:spPr bwMode="auto">
                          <a:xfrm>
                            <a:off x="1297" y="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595" name="Line 358"/>
                        <wps:cNvCnPr>
                          <a:cxnSpLocks noChangeShapeType="1"/>
                        </wps:cNvCnPr>
                        <wps:spPr bwMode="auto">
                          <a:xfrm>
                            <a:off x="1297" y="2"/>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596" name="Line 357"/>
                        <wps:cNvCnPr>
                          <a:cxnSpLocks noChangeShapeType="1"/>
                        </wps:cNvCnPr>
                        <wps:spPr bwMode="auto">
                          <a:xfrm>
                            <a:off x="1297" y="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597" name="Line 356"/>
                        <wps:cNvCnPr>
                          <a:cxnSpLocks noChangeShapeType="1"/>
                        </wps:cNvCnPr>
                        <wps:spPr bwMode="auto">
                          <a:xfrm>
                            <a:off x="1297" y="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598" name="Line 355"/>
                        <wps:cNvCnPr>
                          <a:cxnSpLocks noChangeShapeType="1"/>
                        </wps:cNvCnPr>
                        <wps:spPr bwMode="auto">
                          <a:xfrm>
                            <a:off x="1297" y="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599" name="Line 354"/>
                        <wps:cNvCnPr>
                          <a:cxnSpLocks noChangeShapeType="1"/>
                        </wps:cNvCnPr>
                        <wps:spPr bwMode="auto">
                          <a:xfrm>
                            <a:off x="1297" y="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00" name="Line 353"/>
                        <wps:cNvCnPr>
                          <a:cxnSpLocks noChangeShapeType="1"/>
                        </wps:cNvCnPr>
                        <wps:spPr bwMode="auto">
                          <a:xfrm>
                            <a:off x="1297" y="8"/>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01" name="Line 352"/>
                        <wps:cNvCnPr>
                          <a:cxnSpLocks noChangeShapeType="1"/>
                        </wps:cNvCnPr>
                        <wps:spPr bwMode="auto">
                          <a:xfrm>
                            <a:off x="1297" y="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02" name="Line 351"/>
                        <wps:cNvCnPr>
                          <a:cxnSpLocks noChangeShapeType="1"/>
                        </wps:cNvCnPr>
                        <wps:spPr bwMode="auto">
                          <a:xfrm>
                            <a:off x="1297" y="10"/>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03" name="Line 350"/>
                        <wps:cNvCnPr>
                          <a:cxnSpLocks noChangeShapeType="1"/>
                        </wps:cNvCnPr>
                        <wps:spPr bwMode="auto">
                          <a:xfrm>
                            <a:off x="1297" y="1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04" name="Line 349"/>
                        <wps:cNvCnPr>
                          <a:cxnSpLocks noChangeShapeType="1"/>
                        </wps:cNvCnPr>
                        <wps:spPr bwMode="auto">
                          <a:xfrm>
                            <a:off x="1297" y="1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05" name="Line 348"/>
                        <wps:cNvCnPr>
                          <a:cxnSpLocks noChangeShapeType="1"/>
                        </wps:cNvCnPr>
                        <wps:spPr bwMode="auto">
                          <a:xfrm>
                            <a:off x="1297" y="1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06" name="Line 347"/>
                        <wps:cNvCnPr>
                          <a:cxnSpLocks noChangeShapeType="1"/>
                        </wps:cNvCnPr>
                        <wps:spPr bwMode="auto">
                          <a:xfrm>
                            <a:off x="1297" y="1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07" name="Line 346"/>
                        <wps:cNvCnPr>
                          <a:cxnSpLocks noChangeShapeType="1"/>
                        </wps:cNvCnPr>
                        <wps:spPr bwMode="auto">
                          <a:xfrm>
                            <a:off x="1297" y="16"/>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08" name="Line 345"/>
                        <wps:cNvCnPr>
                          <a:cxnSpLocks noChangeShapeType="1"/>
                        </wps:cNvCnPr>
                        <wps:spPr bwMode="auto">
                          <a:xfrm>
                            <a:off x="1297" y="1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09" name="Line 344"/>
                        <wps:cNvCnPr>
                          <a:cxnSpLocks noChangeShapeType="1"/>
                        </wps:cNvCnPr>
                        <wps:spPr bwMode="auto">
                          <a:xfrm>
                            <a:off x="1297" y="1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10" name="Line 343"/>
                        <wps:cNvCnPr>
                          <a:cxnSpLocks noChangeShapeType="1"/>
                        </wps:cNvCnPr>
                        <wps:spPr bwMode="auto">
                          <a:xfrm>
                            <a:off x="1297" y="20"/>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11" name="Line 342"/>
                        <wps:cNvCnPr>
                          <a:cxnSpLocks noChangeShapeType="1"/>
                        </wps:cNvCnPr>
                        <wps:spPr bwMode="auto">
                          <a:xfrm>
                            <a:off x="1297" y="2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12" name="Line 341"/>
                        <wps:cNvCnPr>
                          <a:cxnSpLocks noChangeShapeType="1"/>
                        </wps:cNvCnPr>
                        <wps:spPr bwMode="auto">
                          <a:xfrm>
                            <a:off x="1297" y="22"/>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13" name="Line 340"/>
                        <wps:cNvCnPr>
                          <a:cxnSpLocks noChangeShapeType="1"/>
                        </wps:cNvCnPr>
                        <wps:spPr bwMode="auto">
                          <a:xfrm>
                            <a:off x="1297" y="2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14" name="Line 339"/>
                        <wps:cNvCnPr>
                          <a:cxnSpLocks noChangeShapeType="1"/>
                        </wps:cNvCnPr>
                        <wps:spPr bwMode="auto">
                          <a:xfrm>
                            <a:off x="1297" y="2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15" name="Line 338"/>
                        <wps:cNvCnPr>
                          <a:cxnSpLocks noChangeShapeType="1"/>
                        </wps:cNvCnPr>
                        <wps:spPr bwMode="auto">
                          <a:xfrm>
                            <a:off x="1297" y="26"/>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16" name="Line 337"/>
                        <wps:cNvCnPr>
                          <a:cxnSpLocks noChangeShapeType="1"/>
                        </wps:cNvCnPr>
                        <wps:spPr bwMode="auto">
                          <a:xfrm>
                            <a:off x="1297" y="2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BA9B964" id="Group 336" o:spid="_x0000_s1026" style="width:129.75pt;height:1.4pt;mso-position-horizontal-relative:char;mso-position-vertical-relative:line" coordsize="259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">
                <v:line id="Line 382" o:spid="_x0000_s1027" style="position:absolute;visibility:visible;mso-wrap-style:square" from="0,1" to="12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" strokeweight=".06pt"/>
                <v:line id="Line 381" o:spid="_x0000_s1028" style="position:absolute;visibility:visible;mso-wrap-style:square" from="0,2" to="12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" strokeweight=".06pt"/>
                <v:line id="Line 380" o:spid="_x0000_s1029" style="position:absolute;visibility:visible;mso-wrap-style:square" from="0,3" to="12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" strokeweight=".06pt"/>
                <v:line id="Line 379" o:spid="_x0000_s1030" style="position:absolute;visibility:visible;mso-wrap-style:square" from="0,4" to="12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" strokeweight=".06pt"/>
                <v:line id="Line 378" o:spid="_x0000_s1031" style="position:absolute;visibility:visible;mso-wrap-style:square" from="0,5" to="12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" strokeweight=".06pt"/>
                <v:line id="Line 377" o:spid="_x0000_s1032" style="position:absolute;visibility:visible;mso-wrap-style:square" from="0,7" to="12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" strokeweight=".06pt"/>
                <v:line id="Line 376" o:spid="_x0000_s1033" style="position:absolute;visibility:visible;mso-wrap-style:square" from="0,8" to="12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" strokeweight=".06pt"/>
                <v:line id="Line 375" o:spid="_x0000_s1034" style="position:absolute;visibility:visible;mso-wrap-style:square" from="0,9" to="12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" strokeweight=".06pt"/>
                <v:line id="Line 374" o:spid="_x0000_s1035" style="position:absolute;visibility:visible;mso-wrap-style:square" from="0,10" to="129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" strokeweight=".06pt"/>
                <v:line id="Line 373" o:spid="_x0000_s1036" style="position:absolute;visibility:visible;mso-wrap-style:square" from="0,11" to="129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" strokeweight=".06pt"/>
                <v:line id="Line 372" o:spid="_x0000_s1037" style="position:absolute;visibility:visible;mso-wrap-style:square" from="0,13" to="129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" strokeweight=".06pt"/>
                <v:line id="Line 371" o:spid="_x0000_s1038" style="position:absolute;visibility:visible;mso-wrap-style:square" from="0,14" to="129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" strokeweight=".06pt"/>
                <v:line id="Line 370" o:spid="_x0000_s1039" style="position:absolute;visibility:visible;mso-wrap-style:square" from="0,15" to="129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" strokeweight=".06pt"/>
                <v:line id="Line 369" o:spid="_x0000_s1040" style="position:absolute;visibility:visible;mso-wrap-style:square" from="0,16" to="129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" strokeweight=".06pt"/>
                <v:line id="Line 368" o:spid="_x0000_s1041" style="position:absolute;visibility:visible;mso-wrap-style:square" from="0,17" to="129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" strokeweight=".06pt"/>
                <v:line id="Line 367" o:spid="_x0000_s1042" style="position:absolute;visibility:visible;mso-wrap-style:square" from="0,19" to="129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" strokeweight=".06pt"/>
                <v:line id="Line 366" o:spid="_x0000_s1043" style="position:absolute;visibility:visible;mso-wrap-style:square" from="0,20" to="12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" strokeweight=".06pt"/>
                <v:line id="Line 365" o:spid="_x0000_s1044" style="position:absolute;visibility:visible;mso-wrap-style:square" from="0,21" to="129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" strokeweight=".06pt"/>
                <v:line id="Line 364" o:spid="_x0000_s1045" style="position:absolute;visibility:visible;mso-wrap-style:square" from="0,22" to="129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" strokeweight=".06pt"/>
                <v:line id="Line 363" o:spid="_x0000_s1046" style="position:absolute;visibility:visible;mso-wrap-style:square" from="0,23" to="129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" strokeweight=".06pt"/>
                <v:line id="Line 362" o:spid="_x0000_s1047" style="position:absolute;visibility:visible;mso-wrap-style:square" from="0,25" to="129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" strokeweight=".06pt"/>
                <v:line id="Line 361" o:spid="_x0000_s1048" style="position:absolute;visibility:visible;mso-wrap-style:square" from="0,26" to="129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" strokeweight=".06pt"/>
                <v:line id="Line 360" o:spid="_x0000_s1049" style="position:absolute;visibility:visible;mso-wrap-style:square" from="0,27" to="129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" strokeweight=".06pt"/>
                <v:line id="Line 359" o:spid="_x0000_s1050" style="position:absolute;visibility:visible;mso-wrap-style:square" from="1297,1" to="25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" strokeweight=".06pt"/>
                <v:line id="Line 358" o:spid="_x0000_s1051" style="position:absolute;visibility:visible;mso-wrap-style:square" from="1297,2" to="25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" strokeweight=".06pt"/>
                <v:line id="Line 357" o:spid="_x0000_s1052" style="position:absolute;visibility:visible;mso-wrap-style:square" from="1297,3" to="25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" strokeweight=".06pt"/>
                <v:line id="Line 356" o:spid="_x0000_s1053" style="position:absolute;visibility:visible;mso-wrap-style:square" from="1297,4" to="2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" strokeweight=".06pt"/>
                <v:line id="Line 355" o:spid="_x0000_s1054" style="position:absolute;visibility:visible;mso-wrap-style:square" from="1297,5" to="25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" strokeweight=".06pt"/>
                <v:line id="Line 354" o:spid="_x0000_s1055" style="position:absolute;visibility:visible;mso-wrap-style:square" from="1297,7" to="25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" strokeweight=".06pt"/>
                <v:line id="Line 353" o:spid="_x0000_s1056" style="position:absolute;visibility:visible;mso-wrap-style:square" from="1297,8" to="25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" strokeweight=".06pt"/>
                <v:line id="Line 352" o:spid="_x0000_s1057" style="position:absolute;visibility:visible;mso-wrap-style:square" from="1297,9" to="25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" strokeweight=".06pt"/>
                <v:line id="Line 351" o:spid="_x0000_s1058" style="position:absolute;visibility:visible;mso-wrap-style:square" from="1297,10" to="259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" strokeweight=".06pt"/>
                <v:line id="Line 350" o:spid="_x0000_s1059" style="position:absolute;visibility:visible;mso-wrap-style:square" from="1297,11" to="259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" strokeweight=".06pt"/>
                <v:line id="Line 349" o:spid="_x0000_s1060" style="position:absolute;visibility:visible;mso-wrap-style:square" from="1297,13" to="259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" strokeweight=".06pt"/>
                <v:line id="Line 348" o:spid="_x0000_s1061" style="position:absolute;visibility:visible;mso-wrap-style:square" from="1297,14" to="259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" strokeweight=".06pt"/>
                <v:line id="Line 347" o:spid="_x0000_s1062" style="position:absolute;visibility:visible;mso-wrap-style:square" from="1297,15" to="259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" strokeweight=".06pt"/>
                <v:line id="Line 346" o:spid="_x0000_s1063" style="position:absolute;visibility:visible;mso-wrap-style:square" from="1297,16" to="259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" strokeweight=".06pt"/>
                <v:line id="Line 345" o:spid="_x0000_s1064" style="position:absolute;visibility:visible;mso-wrap-style:square" from="1297,17" to="259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" strokeweight=".06pt"/>
                <v:line id="Line 344" o:spid="_x0000_s1065" style="position:absolute;visibility:visible;mso-wrap-style:square" from="1297,19" to="259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" strokeweight=".06pt"/>
                <v:line id="Line 343" o:spid="_x0000_s1066" style="position:absolute;visibility:visible;mso-wrap-style:square" from="1297,20" to="259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" strokeweight=".06pt"/>
                <v:line id="Line 342" o:spid="_x0000_s1067" style="position:absolute;visibility:visible;mso-wrap-style:square" from="1297,21" to="259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" strokeweight=".06pt"/>
                <v:line id="Line 341" o:spid="_x0000_s1068" style="position:absolute;visibility:visible;mso-wrap-style:square" from="1297,22" to="259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" strokeweight=".06pt"/>
                <v:line id="Line 340" o:spid="_x0000_s1069" style="position:absolute;visibility:visible;mso-wrap-style:square" from="1297,23" to="259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" strokeweight=".06pt"/>
                <v:line id="Line 339" o:spid="_x0000_s1070" style="position:absolute;visibility:visible;mso-wrap-style:square" from="1297,25" to="259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" strokeweight=".06pt"/>
                <v:line id="Line 338" o:spid="_x0000_s1071" style="position:absolute;visibility:visible;mso-wrap-style:square" from="1297,26" to="259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" strokeweight=".06pt"/>
                <v:line id="Line 337" o:spid="_x0000_s1072" style="position:absolute;visibility:visible;mso-wrap-style:square" from="1297,27" to="259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" strokeweight=".06pt"/>
                <w10:anchorlock/>
              </v:group>
            </w:pict>
          </mc:Fallback>
        </mc:AlternateContent>
      </w:r>
    </w:p>
    <w:p w14:paraId="7EF6E1AA" w14:textId="77777777" w:rsidR="00FA4AA8" w:rsidRDefault="00FA4AA8">
      <w:pPr>
        <w:pStyle w:val="BodyText"/>
        <w:spacing w:before="5"/>
      </w:pPr>
    </w:p>
    <w:p w14:paraId="603C41D3" w14:textId="77777777" w:rsidR="00FA4AA8" w:rsidRDefault="0015611F">
      <w:pPr>
        <w:numPr>
          <w:ilvl w:val="1"/>
          <w:numId w:val="35"/>
        </w:numPr>
        <w:tabs>
          <w:tab w:val="left" w:pos="1131"/>
          <w:tab w:val="left" w:pos="1132"/>
        </w:tabs>
        <w:spacing w:before="94"/>
        <w:rPr>
          <w:b/>
          <w:sz w:val="18"/>
        </w:rPr>
      </w:pPr>
      <w:r>
        <w:rPr>
          <w:b/>
          <w:sz w:val="18"/>
        </w:rPr>
        <w:t>Nature and purpose of reserves</w:t>
      </w:r>
    </w:p>
    <w:p w14:paraId="02B61A4A" w14:textId="77777777" w:rsidR="00FA4AA8" w:rsidRDefault="00FA4AA8">
      <w:pPr>
        <w:pStyle w:val="BodyText"/>
        <w:spacing w:before="4"/>
        <w:rPr>
          <w:b/>
          <w:sz w:val="25"/>
        </w:rPr>
      </w:pPr>
    </w:p>
    <w:p w14:paraId="1F1B4C2C" w14:textId="77777777" w:rsidR="00FA4AA8" w:rsidRDefault="0015611F">
      <w:pPr>
        <w:pStyle w:val="BodyText"/>
        <w:spacing w:before="1"/>
        <w:ind w:left="563"/>
      </w:pPr>
      <w:r>
        <w:t>(i) Revaluation surplus - property, plant and equipment</w:t>
      </w:r>
    </w:p>
    <w:p w14:paraId="7545EBCE" w14:textId="77777777" w:rsidR="00FA4AA8" w:rsidRDefault="00FA4AA8">
      <w:pPr>
        <w:pStyle w:val="BodyText"/>
        <w:spacing w:before="11"/>
        <w:rPr>
          <w:sz w:val="24"/>
        </w:rPr>
      </w:pPr>
    </w:p>
    <w:p w14:paraId="16743B0B" w14:textId="77777777" w:rsidR="00FA4AA8" w:rsidRDefault="0015611F">
      <w:pPr>
        <w:pStyle w:val="BodyText"/>
        <w:ind w:left="563" w:right="181"/>
      </w:pPr>
      <w:r>
        <w:t>The property, plant and equipment revaluation reserve is used to record increments and decrements on the revaluation of non-current assets, as described in note 6(a).</w:t>
      </w:r>
    </w:p>
    <w:p w14:paraId="0409DC8E" w14:textId="77777777" w:rsidR="00FA4AA8" w:rsidRDefault="00FA4AA8">
      <w:pPr>
        <w:pStyle w:val="BodyText"/>
        <w:spacing w:before="11"/>
        <w:rPr>
          <w:sz w:val="24"/>
        </w:rPr>
      </w:pPr>
    </w:p>
    <w:p w14:paraId="095EF8F9" w14:textId="77777777" w:rsidR="00FA4AA8" w:rsidRDefault="0015611F">
      <w:pPr>
        <w:numPr>
          <w:ilvl w:val="0"/>
          <w:numId w:val="35"/>
        </w:numPr>
        <w:tabs>
          <w:tab w:val="left" w:pos="565"/>
          <w:tab w:val="left" w:pos="566"/>
        </w:tabs>
        <w:ind w:hanging="397"/>
        <w:rPr>
          <w:b/>
          <w:sz w:val="18"/>
        </w:rPr>
      </w:pPr>
      <w:r>
        <w:rPr>
          <w:b/>
          <w:sz w:val="18"/>
        </w:rPr>
        <w:t>Retained earnings</w:t>
      </w:r>
    </w:p>
    <w:p w14:paraId="1B822394" w14:textId="77777777" w:rsidR="00FA4AA8" w:rsidRDefault="00FA4AA8">
      <w:pPr>
        <w:pStyle w:val="BodyText"/>
        <w:spacing w:before="9"/>
        <w:rPr>
          <w:b/>
          <w:sz w:val="16"/>
        </w:rPr>
      </w:pPr>
    </w:p>
    <w:p w14:paraId="6A9BA44D" w14:textId="77777777" w:rsidR="00FA4AA8" w:rsidRDefault="00FA4AA8">
      <w:pPr>
        <w:rPr>
          <w:sz w:val="16"/>
        </w:rPr>
        <w:sectPr w:rsidR="00FA4AA8">
          <w:type w:val="continuous"/>
          <w:pgSz w:w="11910" w:h="16840"/>
          <w:pgMar w:top="20" w:right="840" w:bottom="0" w:left="840" w:header="720" w:footer="720" w:gutter="0"/>
          <w:cols w:space="720"/>
        </w:sectPr>
      </w:pPr>
    </w:p>
    <w:p w14:paraId="6FFB1F5F" w14:textId="77777777" w:rsidR="00FA4AA8" w:rsidRDefault="0015611F">
      <w:pPr>
        <w:pStyle w:val="BodyText"/>
        <w:spacing w:before="94"/>
        <w:ind w:left="563"/>
      </w:pPr>
      <w:r>
        <w:t>Movements in retained earnings were as follows:</w:t>
      </w:r>
    </w:p>
    <w:p w14:paraId="0FEF73F4" w14:textId="77777777" w:rsidR="00FA4AA8" w:rsidRDefault="0015611F">
      <w:pPr>
        <w:pStyle w:val="BodyText"/>
        <w:spacing w:before="2"/>
        <w:rPr>
          <w:sz w:val="26"/>
        </w:rPr>
      </w:pPr>
      <w:r>
        <w:br w:type="column"/>
      </w:r>
    </w:p>
    <w:p w14:paraId="7040159B" w14:textId="77777777" w:rsidR="00FA4AA8" w:rsidRDefault="0015611F">
      <w:pPr>
        <w:spacing w:line="207" w:lineRule="exact"/>
        <w:ind w:left="543" w:right="20"/>
        <w:jc w:val="center"/>
        <w:rPr>
          <w:b/>
          <w:sz w:val="18"/>
        </w:rPr>
      </w:pPr>
      <w:r>
        <w:rPr>
          <w:b/>
          <w:sz w:val="18"/>
        </w:rPr>
        <w:t>2018</w:t>
      </w:r>
    </w:p>
    <w:p w14:paraId="6589BD76" w14:textId="77777777" w:rsidR="00FA4AA8" w:rsidRDefault="0015611F">
      <w:pPr>
        <w:spacing w:line="207" w:lineRule="exact"/>
        <w:ind w:left="523"/>
        <w:jc w:val="center"/>
        <w:rPr>
          <w:b/>
          <w:sz w:val="18"/>
        </w:rPr>
      </w:pPr>
      <w:r>
        <w:rPr>
          <w:b/>
          <w:w w:val="99"/>
          <w:sz w:val="18"/>
        </w:rPr>
        <w:t>$</w:t>
      </w:r>
    </w:p>
    <w:p w14:paraId="70365645" w14:textId="77777777" w:rsidR="00FA4AA8" w:rsidRDefault="0015611F">
      <w:pPr>
        <w:pStyle w:val="BodyText"/>
        <w:spacing w:before="2"/>
        <w:rPr>
          <w:b/>
          <w:sz w:val="26"/>
        </w:rPr>
      </w:pPr>
      <w:r>
        <w:br w:type="column"/>
      </w:r>
    </w:p>
    <w:p w14:paraId="6F987F50" w14:textId="77777777" w:rsidR="00FA4AA8" w:rsidRDefault="0015611F">
      <w:pPr>
        <w:spacing w:line="207" w:lineRule="exact"/>
        <w:ind w:left="505" w:right="538"/>
        <w:jc w:val="center"/>
        <w:rPr>
          <w:b/>
          <w:sz w:val="18"/>
        </w:rPr>
      </w:pPr>
      <w:r>
        <w:rPr>
          <w:b/>
          <w:sz w:val="18"/>
        </w:rPr>
        <w:t>2017</w:t>
      </w:r>
    </w:p>
    <w:p w14:paraId="48590FC8" w14:textId="77777777" w:rsidR="00FA4AA8" w:rsidRDefault="0015611F">
      <w:pPr>
        <w:spacing w:line="207" w:lineRule="exact"/>
        <w:ind w:right="34"/>
        <w:jc w:val="center"/>
        <w:rPr>
          <w:b/>
          <w:sz w:val="18"/>
        </w:rPr>
      </w:pPr>
      <w:r>
        <w:rPr>
          <w:b/>
          <w:w w:val="99"/>
          <w:sz w:val="18"/>
        </w:rPr>
        <w:t>$</w:t>
      </w:r>
    </w:p>
    <w:p w14:paraId="1BBF3EE7" w14:textId="77777777" w:rsidR="00FA4AA8" w:rsidRDefault="00FA4AA8">
      <w:pPr>
        <w:spacing w:line="207" w:lineRule="exact"/>
        <w:jc w:val="center"/>
        <w:rPr>
          <w:sz w:val="18"/>
        </w:rPr>
        <w:sectPr w:rsidR="00FA4AA8">
          <w:type w:val="continuous"/>
          <w:pgSz w:w="11910" w:h="16840"/>
          <w:pgMar w:top="20" w:right="840" w:bottom="0" w:left="840" w:header="720" w:footer="720" w:gutter="0"/>
          <w:cols w:num="3" w:space="720" w:equalWidth="0">
            <w:col w:w="4496" w:space="2881"/>
            <w:col w:w="1005" w:space="279"/>
            <w:col w:w="1569"/>
          </w:cols>
        </w:sectPr>
      </w:pPr>
    </w:p>
    <w:p w14:paraId="12DCF631" w14:textId="77777777" w:rsidR="00FA4AA8" w:rsidRDefault="0015611F">
      <w:pPr>
        <w:tabs>
          <w:tab w:val="left" w:pos="7901"/>
          <w:tab w:val="left" w:pos="9200"/>
        </w:tabs>
        <w:spacing w:line="206" w:lineRule="exact"/>
        <w:ind w:left="592"/>
        <w:rPr>
          <w:sz w:val="18"/>
        </w:rPr>
      </w:pPr>
      <w:r>
        <w:rPr>
          <w:sz w:val="18"/>
        </w:rPr>
        <w:t>Balance as at</w:t>
      </w:r>
      <w:r>
        <w:rPr>
          <w:spacing w:val="-1"/>
          <w:sz w:val="18"/>
        </w:rPr>
        <w:t xml:space="preserve"> </w:t>
      </w:r>
      <w:r>
        <w:rPr>
          <w:sz w:val="18"/>
        </w:rPr>
        <w:t>1 January</w:t>
      </w:r>
      <w:r>
        <w:rPr>
          <w:sz w:val="18"/>
        </w:rPr>
        <w:tab/>
      </w:r>
      <w:r>
        <w:rPr>
          <w:b/>
          <w:sz w:val="18"/>
        </w:rPr>
        <w:t>1,331,898</w:t>
      </w:r>
      <w:r>
        <w:rPr>
          <w:b/>
          <w:sz w:val="18"/>
        </w:rPr>
        <w:tab/>
      </w:r>
      <w:r>
        <w:rPr>
          <w:sz w:val="18"/>
        </w:rPr>
        <w:t>1,214,116</w:t>
      </w:r>
    </w:p>
    <w:p w14:paraId="41DD7A36" w14:textId="77777777" w:rsidR="00FA4AA8" w:rsidRDefault="0015611F">
      <w:pPr>
        <w:tabs>
          <w:tab w:val="left" w:pos="8051"/>
          <w:tab w:val="left" w:pos="9350"/>
        </w:tabs>
        <w:spacing w:line="206" w:lineRule="exact"/>
        <w:ind w:left="592"/>
        <w:rPr>
          <w:sz w:val="18"/>
        </w:rPr>
      </w:pPr>
      <w:r>
        <w:rPr>
          <w:sz w:val="18"/>
        </w:rPr>
        <w:t>Surplus for</w:t>
      </w:r>
      <w:r>
        <w:rPr>
          <w:spacing w:val="-1"/>
          <w:sz w:val="18"/>
        </w:rPr>
        <w:t xml:space="preserve"> </w:t>
      </w:r>
      <w:r>
        <w:rPr>
          <w:sz w:val="18"/>
        </w:rPr>
        <w:t>the year</w:t>
      </w:r>
      <w:r>
        <w:rPr>
          <w:sz w:val="18"/>
        </w:rPr>
        <w:tab/>
      </w:r>
      <w:r>
        <w:rPr>
          <w:b/>
          <w:sz w:val="18"/>
        </w:rPr>
        <w:t>169,907</w:t>
      </w:r>
      <w:r>
        <w:rPr>
          <w:b/>
          <w:sz w:val="18"/>
        </w:rPr>
        <w:tab/>
      </w:r>
      <w:r>
        <w:rPr>
          <w:sz w:val="18"/>
        </w:rPr>
        <w:t>117,782</w:t>
      </w:r>
    </w:p>
    <w:p w14:paraId="68A63D3C" w14:textId="77777777" w:rsidR="00FA4AA8" w:rsidRDefault="0015611F">
      <w:pPr>
        <w:pStyle w:val="BodyText"/>
        <w:tabs>
          <w:tab w:val="left" w:pos="8639"/>
          <w:tab w:val="left" w:pos="9938"/>
        </w:tabs>
        <w:spacing w:line="207" w:lineRule="exact"/>
        <w:ind w:left="592"/>
      </w:pPr>
      <w:r>
        <w:t>Trust distributions for</w:t>
      </w:r>
      <w:r>
        <w:rPr>
          <w:spacing w:val="-1"/>
        </w:rPr>
        <w:t xml:space="preserve"> </w:t>
      </w:r>
      <w:r>
        <w:t>the year</w:t>
      </w:r>
      <w:r>
        <w:tab/>
      </w:r>
      <w:r>
        <w:rPr>
          <w:b/>
        </w:rPr>
        <w:t>-</w:t>
      </w:r>
      <w:r>
        <w:rPr>
          <w:b/>
        </w:rPr>
        <w:tab/>
      </w:r>
      <w:r>
        <w:t>-</w:t>
      </w:r>
    </w:p>
    <w:p w14:paraId="4C881BE9" w14:textId="77777777" w:rsidR="00FA4AA8" w:rsidRDefault="007E2441">
      <w:pPr>
        <w:pStyle w:val="BodyText"/>
        <w:spacing w:line="20" w:lineRule="exact"/>
        <w:ind w:left="7490"/>
        <w:rPr>
          <w:sz w:val="2"/>
        </w:rPr>
      </w:pPr>
      <w:r>
        <w:rPr>
          <w:noProof/>
          <w:sz w:val="2"/>
          <w:lang w:val="en-AU" w:eastAsia="en-AU"/>
        </w:rPr>
        <mc:AlternateContent>
          <mc:Choice Requires="wpg">
            <w:drawing>
              <wp:inline distT="0" distB="0" distL="0" distR="0" wp14:anchorId="42441F45" wp14:editId="4A707900">
                <wp:extent cx="1647825" cy="6350"/>
                <wp:effectExtent l="9525" t="9525" r="9525" b="12700"/>
                <wp:docPr id="553"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7825" cy="6350"/>
                          <a:chOff x="0" y="0"/>
                          <a:chExt cx="2595" cy="10"/>
                        </a:xfrm>
                      </wpg:grpSpPr>
                      <wps:wsp>
                        <wps:cNvPr id="554" name="Line 335"/>
                        <wps:cNvCnPr>
                          <a:cxnSpLocks noChangeShapeType="1"/>
                        </wps:cNvCnPr>
                        <wps:spPr bwMode="auto">
                          <a:xfrm>
                            <a:off x="0" y="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555" name="Line 334"/>
                        <wps:cNvCnPr>
                          <a:cxnSpLocks noChangeShapeType="1"/>
                        </wps:cNvCnPr>
                        <wps:spPr bwMode="auto">
                          <a:xfrm>
                            <a:off x="0" y="2"/>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556" name="Line 333"/>
                        <wps:cNvCnPr>
                          <a:cxnSpLocks noChangeShapeType="1"/>
                        </wps:cNvCnPr>
                        <wps:spPr bwMode="auto">
                          <a:xfrm>
                            <a:off x="0" y="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557" name="Line 332"/>
                        <wps:cNvCnPr>
                          <a:cxnSpLocks noChangeShapeType="1"/>
                        </wps:cNvCnPr>
                        <wps:spPr bwMode="auto">
                          <a:xfrm>
                            <a:off x="0" y="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558" name="Line 331"/>
                        <wps:cNvCnPr>
                          <a:cxnSpLocks noChangeShapeType="1"/>
                        </wps:cNvCnPr>
                        <wps:spPr bwMode="auto">
                          <a:xfrm>
                            <a:off x="0" y="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559" name="Line 330"/>
                        <wps:cNvCnPr>
                          <a:cxnSpLocks noChangeShapeType="1"/>
                        </wps:cNvCnPr>
                        <wps:spPr bwMode="auto">
                          <a:xfrm>
                            <a:off x="0" y="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560" name="Line 329"/>
                        <wps:cNvCnPr>
                          <a:cxnSpLocks noChangeShapeType="1"/>
                        </wps:cNvCnPr>
                        <wps:spPr bwMode="auto">
                          <a:xfrm>
                            <a:off x="0" y="8"/>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561" name="Line 328"/>
                        <wps:cNvCnPr>
                          <a:cxnSpLocks noChangeShapeType="1"/>
                        </wps:cNvCnPr>
                        <wps:spPr bwMode="auto">
                          <a:xfrm>
                            <a:off x="0" y="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562" name="Line 327"/>
                        <wps:cNvCnPr>
                          <a:cxnSpLocks noChangeShapeType="1"/>
                        </wps:cNvCnPr>
                        <wps:spPr bwMode="auto">
                          <a:xfrm>
                            <a:off x="1297" y="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563" name="Line 326"/>
                        <wps:cNvCnPr>
                          <a:cxnSpLocks noChangeShapeType="1"/>
                        </wps:cNvCnPr>
                        <wps:spPr bwMode="auto">
                          <a:xfrm>
                            <a:off x="1297" y="2"/>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564" name="Line 325"/>
                        <wps:cNvCnPr>
                          <a:cxnSpLocks noChangeShapeType="1"/>
                        </wps:cNvCnPr>
                        <wps:spPr bwMode="auto">
                          <a:xfrm>
                            <a:off x="1297" y="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565" name="Line 324"/>
                        <wps:cNvCnPr>
                          <a:cxnSpLocks noChangeShapeType="1"/>
                        </wps:cNvCnPr>
                        <wps:spPr bwMode="auto">
                          <a:xfrm>
                            <a:off x="1297" y="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566" name="Line 323"/>
                        <wps:cNvCnPr>
                          <a:cxnSpLocks noChangeShapeType="1"/>
                        </wps:cNvCnPr>
                        <wps:spPr bwMode="auto">
                          <a:xfrm>
                            <a:off x="1297" y="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567" name="Line 322"/>
                        <wps:cNvCnPr>
                          <a:cxnSpLocks noChangeShapeType="1"/>
                        </wps:cNvCnPr>
                        <wps:spPr bwMode="auto">
                          <a:xfrm>
                            <a:off x="1297" y="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568" name="Line 321"/>
                        <wps:cNvCnPr>
                          <a:cxnSpLocks noChangeShapeType="1"/>
                        </wps:cNvCnPr>
                        <wps:spPr bwMode="auto">
                          <a:xfrm>
                            <a:off x="1297" y="8"/>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569" name="Line 320"/>
                        <wps:cNvCnPr>
                          <a:cxnSpLocks noChangeShapeType="1"/>
                        </wps:cNvCnPr>
                        <wps:spPr bwMode="auto">
                          <a:xfrm>
                            <a:off x="1297" y="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9F28DC6" id="Group 319" o:spid="_x0000_s1026" style="width:129.75pt;height:.5pt;mso-position-horizontal-relative:char;mso-position-vertical-relative:line" coordsize="259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">
                <v:line id="Line 335" o:spid="_x0000_s1027" style="position:absolute;visibility:visible;mso-wrap-style:square" from="0,1" to="12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" strokeweight=".06pt"/>
                <v:line id="Line 334" o:spid="_x0000_s1028" style="position:absolute;visibility:visible;mso-wrap-style:square" from="0,2" to="12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" strokeweight=".06pt"/>
                <v:line id="Line 333" o:spid="_x0000_s1029" style="position:absolute;visibility:visible;mso-wrap-style:square" from="0,3" to="12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" strokeweight=".06pt"/>
                <v:line id="Line 332" o:spid="_x0000_s1030" style="position:absolute;visibility:visible;mso-wrap-style:square" from="0,4" to="12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" strokeweight=".06pt"/>
                <v:line id="Line 331" o:spid="_x0000_s1031" style="position:absolute;visibility:visible;mso-wrap-style:square" from="0,5" to="12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" strokeweight=".06pt"/>
                <v:line id="Line 330" o:spid="_x0000_s1032" style="position:absolute;visibility:visible;mso-wrap-style:square" from="0,7" to="12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" strokeweight=".06pt"/>
                <v:line id="Line 329" o:spid="_x0000_s1033" style="position:absolute;visibility:visible;mso-wrap-style:square" from="0,8" to="12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" strokeweight=".06pt"/>
                <v:line id="Line 328" o:spid="_x0000_s1034" style="position:absolute;visibility:visible;mso-wrap-style:square" from="0,9" to="12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" strokeweight=".06pt"/>
                <v:line id="Line 327" o:spid="_x0000_s1035" style="position:absolute;visibility:visible;mso-wrap-style:square" from="1297,1" to="25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" strokeweight=".06pt"/>
                <v:line id="Line 326" o:spid="_x0000_s1036" style="position:absolute;visibility:visible;mso-wrap-style:square" from="1297,2" to="25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" strokeweight=".06pt"/>
                <v:line id="Line 325" o:spid="_x0000_s1037" style="position:absolute;visibility:visible;mso-wrap-style:square" from="1297,3" to="25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" strokeweight=".06pt"/>
                <v:line id="Line 324" o:spid="_x0000_s1038" style="position:absolute;visibility:visible;mso-wrap-style:square" from="1297,4" to="2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" strokeweight=".06pt"/>
                <v:line id="Line 323" o:spid="_x0000_s1039" style="position:absolute;visibility:visible;mso-wrap-style:square" from="1297,5" to="25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" strokeweight=".06pt"/>
                <v:line id="Line 322" o:spid="_x0000_s1040" style="position:absolute;visibility:visible;mso-wrap-style:square" from="1297,7" to="25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" strokeweight=".06pt"/>
                <v:line id="Line 321" o:spid="_x0000_s1041" style="position:absolute;visibility:visible;mso-wrap-style:square" from="1297,8" to="25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" strokeweight=".06pt"/>
                <v:line id="Line 320" o:spid="_x0000_s1042" style="position:absolute;visibility:visible;mso-wrap-style:square" from="1297,9" to="25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" strokeweight=".06pt"/>
                <w10:anchorlock/>
              </v:group>
            </w:pict>
          </mc:Fallback>
        </mc:AlternateContent>
      </w:r>
    </w:p>
    <w:p w14:paraId="1CA38FD1" w14:textId="77777777" w:rsidR="00FA4AA8" w:rsidRDefault="0015611F">
      <w:pPr>
        <w:tabs>
          <w:tab w:val="left" w:pos="7901"/>
          <w:tab w:val="left" w:pos="9200"/>
        </w:tabs>
        <w:ind w:left="592"/>
        <w:rPr>
          <w:sz w:val="18"/>
        </w:rPr>
      </w:pPr>
      <w:r>
        <w:rPr>
          <w:sz w:val="18"/>
        </w:rPr>
        <w:t>Balance as at</w:t>
      </w:r>
      <w:r>
        <w:rPr>
          <w:spacing w:val="-1"/>
          <w:sz w:val="18"/>
        </w:rPr>
        <w:t xml:space="preserve"> </w:t>
      </w:r>
      <w:r>
        <w:rPr>
          <w:sz w:val="18"/>
        </w:rPr>
        <w:t>31 December</w:t>
      </w:r>
      <w:r>
        <w:rPr>
          <w:sz w:val="18"/>
        </w:rPr>
        <w:tab/>
      </w:r>
      <w:r>
        <w:rPr>
          <w:b/>
          <w:sz w:val="18"/>
        </w:rPr>
        <w:t>1,501,805</w:t>
      </w:r>
      <w:r>
        <w:rPr>
          <w:b/>
          <w:sz w:val="18"/>
        </w:rPr>
        <w:tab/>
      </w:r>
      <w:r>
        <w:rPr>
          <w:sz w:val="18"/>
        </w:rPr>
        <w:t>1,331,898</w:t>
      </w:r>
    </w:p>
    <w:p w14:paraId="49D0F40E" w14:textId="77777777" w:rsidR="00FA4AA8" w:rsidRDefault="007E2441">
      <w:pPr>
        <w:pStyle w:val="BodyText"/>
        <w:spacing w:line="28" w:lineRule="exact"/>
        <w:ind w:left="7490"/>
        <w:rPr>
          <w:sz w:val="2"/>
        </w:rPr>
      </w:pPr>
      <w:r>
        <w:rPr>
          <w:noProof/>
          <w:sz w:val="2"/>
          <w:lang w:val="en-AU" w:eastAsia="en-AU"/>
        </w:rPr>
        <mc:AlternateContent>
          <mc:Choice Requires="wpg">
            <w:drawing>
              <wp:inline distT="0" distB="0" distL="0" distR="0" wp14:anchorId="57DED428" wp14:editId="1A7DF699">
                <wp:extent cx="1647825" cy="17780"/>
                <wp:effectExtent l="9525" t="9525" r="9525" b="10795"/>
                <wp:docPr id="506"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7825" cy="17780"/>
                          <a:chOff x="0" y="0"/>
                          <a:chExt cx="2595" cy="28"/>
                        </a:xfrm>
                      </wpg:grpSpPr>
                      <wps:wsp>
                        <wps:cNvPr id="507" name="Line 318"/>
                        <wps:cNvCnPr>
                          <a:cxnSpLocks noChangeShapeType="1"/>
                        </wps:cNvCnPr>
                        <wps:spPr bwMode="auto">
                          <a:xfrm>
                            <a:off x="0" y="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508" name="Line 317"/>
                        <wps:cNvCnPr>
                          <a:cxnSpLocks noChangeShapeType="1"/>
                        </wps:cNvCnPr>
                        <wps:spPr bwMode="auto">
                          <a:xfrm>
                            <a:off x="0" y="2"/>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509" name="Line 316"/>
                        <wps:cNvCnPr>
                          <a:cxnSpLocks noChangeShapeType="1"/>
                        </wps:cNvCnPr>
                        <wps:spPr bwMode="auto">
                          <a:xfrm>
                            <a:off x="0" y="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510" name="Line 315"/>
                        <wps:cNvCnPr>
                          <a:cxnSpLocks noChangeShapeType="1"/>
                        </wps:cNvCnPr>
                        <wps:spPr bwMode="auto">
                          <a:xfrm>
                            <a:off x="0" y="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511" name="Line 314"/>
                        <wps:cNvCnPr>
                          <a:cxnSpLocks noChangeShapeType="1"/>
                        </wps:cNvCnPr>
                        <wps:spPr bwMode="auto">
                          <a:xfrm>
                            <a:off x="0" y="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512" name="Line 313"/>
                        <wps:cNvCnPr>
                          <a:cxnSpLocks noChangeShapeType="1"/>
                        </wps:cNvCnPr>
                        <wps:spPr bwMode="auto">
                          <a:xfrm>
                            <a:off x="0" y="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513" name="Line 312"/>
                        <wps:cNvCnPr>
                          <a:cxnSpLocks noChangeShapeType="1"/>
                        </wps:cNvCnPr>
                        <wps:spPr bwMode="auto">
                          <a:xfrm>
                            <a:off x="0" y="8"/>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514" name="Line 311"/>
                        <wps:cNvCnPr>
                          <a:cxnSpLocks noChangeShapeType="1"/>
                        </wps:cNvCnPr>
                        <wps:spPr bwMode="auto">
                          <a:xfrm>
                            <a:off x="0" y="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515" name="Line 310"/>
                        <wps:cNvCnPr>
                          <a:cxnSpLocks noChangeShapeType="1"/>
                        </wps:cNvCnPr>
                        <wps:spPr bwMode="auto">
                          <a:xfrm>
                            <a:off x="0" y="10"/>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516" name="Line 309"/>
                        <wps:cNvCnPr>
                          <a:cxnSpLocks noChangeShapeType="1"/>
                        </wps:cNvCnPr>
                        <wps:spPr bwMode="auto">
                          <a:xfrm>
                            <a:off x="0" y="1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517" name="Line 308"/>
                        <wps:cNvCnPr>
                          <a:cxnSpLocks noChangeShapeType="1"/>
                        </wps:cNvCnPr>
                        <wps:spPr bwMode="auto">
                          <a:xfrm>
                            <a:off x="0" y="1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518" name="Line 307"/>
                        <wps:cNvCnPr>
                          <a:cxnSpLocks noChangeShapeType="1"/>
                        </wps:cNvCnPr>
                        <wps:spPr bwMode="auto">
                          <a:xfrm>
                            <a:off x="0" y="1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519" name="Line 306"/>
                        <wps:cNvCnPr>
                          <a:cxnSpLocks noChangeShapeType="1"/>
                        </wps:cNvCnPr>
                        <wps:spPr bwMode="auto">
                          <a:xfrm>
                            <a:off x="0" y="1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520" name="Line 305"/>
                        <wps:cNvCnPr>
                          <a:cxnSpLocks noChangeShapeType="1"/>
                        </wps:cNvCnPr>
                        <wps:spPr bwMode="auto">
                          <a:xfrm>
                            <a:off x="0" y="16"/>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521" name="Line 304"/>
                        <wps:cNvCnPr>
                          <a:cxnSpLocks noChangeShapeType="1"/>
                        </wps:cNvCnPr>
                        <wps:spPr bwMode="auto">
                          <a:xfrm>
                            <a:off x="0" y="1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522" name="Line 303"/>
                        <wps:cNvCnPr>
                          <a:cxnSpLocks noChangeShapeType="1"/>
                        </wps:cNvCnPr>
                        <wps:spPr bwMode="auto">
                          <a:xfrm>
                            <a:off x="0" y="1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523" name="Line 302"/>
                        <wps:cNvCnPr>
                          <a:cxnSpLocks noChangeShapeType="1"/>
                        </wps:cNvCnPr>
                        <wps:spPr bwMode="auto">
                          <a:xfrm>
                            <a:off x="0" y="20"/>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524" name="Line 301"/>
                        <wps:cNvCnPr>
                          <a:cxnSpLocks noChangeShapeType="1"/>
                        </wps:cNvCnPr>
                        <wps:spPr bwMode="auto">
                          <a:xfrm>
                            <a:off x="0" y="2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525" name="Line 300"/>
                        <wps:cNvCnPr>
                          <a:cxnSpLocks noChangeShapeType="1"/>
                        </wps:cNvCnPr>
                        <wps:spPr bwMode="auto">
                          <a:xfrm>
                            <a:off x="0" y="22"/>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526" name="Line 299"/>
                        <wps:cNvCnPr>
                          <a:cxnSpLocks noChangeShapeType="1"/>
                        </wps:cNvCnPr>
                        <wps:spPr bwMode="auto">
                          <a:xfrm>
                            <a:off x="0" y="2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527" name="Line 298"/>
                        <wps:cNvCnPr>
                          <a:cxnSpLocks noChangeShapeType="1"/>
                        </wps:cNvCnPr>
                        <wps:spPr bwMode="auto">
                          <a:xfrm>
                            <a:off x="0" y="2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528" name="Line 297"/>
                        <wps:cNvCnPr>
                          <a:cxnSpLocks noChangeShapeType="1"/>
                        </wps:cNvCnPr>
                        <wps:spPr bwMode="auto">
                          <a:xfrm>
                            <a:off x="0" y="26"/>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529" name="Line 296"/>
                        <wps:cNvCnPr>
                          <a:cxnSpLocks noChangeShapeType="1"/>
                        </wps:cNvCnPr>
                        <wps:spPr bwMode="auto">
                          <a:xfrm>
                            <a:off x="0" y="2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530" name="Line 295"/>
                        <wps:cNvCnPr>
                          <a:cxnSpLocks noChangeShapeType="1"/>
                        </wps:cNvCnPr>
                        <wps:spPr bwMode="auto">
                          <a:xfrm>
                            <a:off x="1297" y="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531" name="Line 294"/>
                        <wps:cNvCnPr>
                          <a:cxnSpLocks noChangeShapeType="1"/>
                        </wps:cNvCnPr>
                        <wps:spPr bwMode="auto">
                          <a:xfrm>
                            <a:off x="1297" y="2"/>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532" name="Line 293"/>
                        <wps:cNvCnPr>
                          <a:cxnSpLocks noChangeShapeType="1"/>
                        </wps:cNvCnPr>
                        <wps:spPr bwMode="auto">
                          <a:xfrm>
                            <a:off x="1297" y="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533" name="Line 292"/>
                        <wps:cNvCnPr>
                          <a:cxnSpLocks noChangeShapeType="1"/>
                        </wps:cNvCnPr>
                        <wps:spPr bwMode="auto">
                          <a:xfrm>
                            <a:off x="1297" y="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534" name="Line 291"/>
                        <wps:cNvCnPr>
                          <a:cxnSpLocks noChangeShapeType="1"/>
                        </wps:cNvCnPr>
                        <wps:spPr bwMode="auto">
                          <a:xfrm>
                            <a:off x="1297" y="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535" name="Line 290"/>
                        <wps:cNvCnPr>
                          <a:cxnSpLocks noChangeShapeType="1"/>
                        </wps:cNvCnPr>
                        <wps:spPr bwMode="auto">
                          <a:xfrm>
                            <a:off x="1297" y="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536" name="Line 289"/>
                        <wps:cNvCnPr>
                          <a:cxnSpLocks noChangeShapeType="1"/>
                        </wps:cNvCnPr>
                        <wps:spPr bwMode="auto">
                          <a:xfrm>
                            <a:off x="1297" y="8"/>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537" name="Line 288"/>
                        <wps:cNvCnPr>
                          <a:cxnSpLocks noChangeShapeType="1"/>
                        </wps:cNvCnPr>
                        <wps:spPr bwMode="auto">
                          <a:xfrm>
                            <a:off x="1297" y="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538" name="Line 287"/>
                        <wps:cNvCnPr>
                          <a:cxnSpLocks noChangeShapeType="1"/>
                        </wps:cNvCnPr>
                        <wps:spPr bwMode="auto">
                          <a:xfrm>
                            <a:off x="1297" y="10"/>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539" name="Line 286"/>
                        <wps:cNvCnPr>
                          <a:cxnSpLocks noChangeShapeType="1"/>
                        </wps:cNvCnPr>
                        <wps:spPr bwMode="auto">
                          <a:xfrm>
                            <a:off x="1297" y="1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540" name="Line 285"/>
                        <wps:cNvCnPr>
                          <a:cxnSpLocks noChangeShapeType="1"/>
                        </wps:cNvCnPr>
                        <wps:spPr bwMode="auto">
                          <a:xfrm>
                            <a:off x="1297" y="1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541" name="Line 284"/>
                        <wps:cNvCnPr>
                          <a:cxnSpLocks noChangeShapeType="1"/>
                        </wps:cNvCnPr>
                        <wps:spPr bwMode="auto">
                          <a:xfrm>
                            <a:off x="1297" y="14"/>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542" name="Line 283"/>
                        <wps:cNvCnPr>
                          <a:cxnSpLocks noChangeShapeType="1"/>
                        </wps:cNvCnPr>
                        <wps:spPr bwMode="auto">
                          <a:xfrm>
                            <a:off x="1297" y="1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543" name="Line 282"/>
                        <wps:cNvCnPr>
                          <a:cxnSpLocks noChangeShapeType="1"/>
                        </wps:cNvCnPr>
                        <wps:spPr bwMode="auto">
                          <a:xfrm>
                            <a:off x="1297" y="16"/>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544" name="Line 281"/>
                        <wps:cNvCnPr>
                          <a:cxnSpLocks noChangeShapeType="1"/>
                        </wps:cNvCnPr>
                        <wps:spPr bwMode="auto">
                          <a:xfrm>
                            <a:off x="1297" y="1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545" name="Line 280"/>
                        <wps:cNvCnPr>
                          <a:cxnSpLocks noChangeShapeType="1"/>
                        </wps:cNvCnPr>
                        <wps:spPr bwMode="auto">
                          <a:xfrm>
                            <a:off x="1297" y="19"/>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546" name="Line 279"/>
                        <wps:cNvCnPr>
                          <a:cxnSpLocks noChangeShapeType="1"/>
                        </wps:cNvCnPr>
                        <wps:spPr bwMode="auto">
                          <a:xfrm>
                            <a:off x="1297" y="20"/>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547" name="Line 278"/>
                        <wps:cNvCnPr>
                          <a:cxnSpLocks noChangeShapeType="1"/>
                        </wps:cNvCnPr>
                        <wps:spPr bwMode="auto">
                          <a:xfrm>
                            <a:off x="1297" y="21"/>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548" name="Line 277"/>
                        <wps:cNvCnPr>
                          <a:cxnSpLocks noChangeShapeType="1"/>
                        </wps:cNvCnPr>
                        <wps:spPr bwMode="auto">
                          <a:xfrm>
                            <a:off x="1297" y="22"/>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549" name="Line 276"/>
                        <wps:cNvCnPr>
                          <a:cxnSpLocks noChangeShapeType="1"/>
                        </wps:cNvCnPr>
                        <wps:spPr bwMode="auto">
                          <a:xfrm>
                            <a:off x="1297" y="23"/>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550" name="Line 275"/>
                        <wps:cNvCnPr>
                          <a:cxnSpLocks noChangeShapeType="1"/>
                        </wps:cNvCnPr>
                        <wps:spPr bwMode="auto">
                          <a:xfrm>
                            <a:off x="1297" y="25"/>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551" name="Line 274"/>
                        <wps:cNvCnPr>
                          <a:cxnSpLocks noChangeShapeType="1"/>
                        </wps:cNvCnPr>
                        <wps:spPr bwMode="auto">
                          <a:xfrm>
                            <a:off x="1297" y="26"/>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552" name="Line 273"/>
                        <wps:cNvCnPr>
                          <a:cxnSpLocks noChangeShapeType="1"/>
                        </wps:cNvCnPr>
                        <wps:spPr bwMode="auto">
                          <a:xfrm>
                            <a:off x="1297" y="27"/>
                            <a:ext cx="129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ECE6C4A" id="Group 272" o:spid="_x0000_s1026" style="width:129.75pt;height:1.4pt;mso-position-horizontal-relative:char;mso-position-vertical-relative:line" coordsize="259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">
                <v:line id="Line 318" o:spid="_x0000_s1027" style="position:absolute;visibility:visible;mso-wrap-style:square" from="0,1" to="12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" strokeweight=".06pt"/>
                <v:line id="Line 317" o:spid="_x0000_s1028" style="position:absolute;visibility:visible;mso-wrap-style:square" from="0,2" to="12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" strokeweight=".06pt"/>
                <v:line id="Line 316" o:spid="_x0000_s1029" style="position:absolute;visibility:visible;mso-wrap-style:square" from="0,3" to="12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" strokeweight=".06pt"/>
                <v:line id="Line 315" o:spid="_x0000_s1030" style="position:absolute;visibility:visible;mso-wrap-style:square" from="0,4" to="12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" strokeweight=".06pt"/>
                <v:line id="Line 314" o:spid="_x0000_s1031" style="position:absolute;visibility:visible;mso-wrap-style:square" from="0,5" to="12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" strokeweight=".06pt"/>
                <v:line id="Line 313" o:spid="_x0000_s1032" style="position:absolute;visibility:visible;mso-wrap-style:square" from="0,7" to="12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" strokeweight=".06pt"/>
                <v:line id="Line 312" o:spid="_x0000_s1033" style="position:absolute;visibility:visible;mso-wrap-style:square" from="0,8" to="12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" strokeweight=".06pt"/>
                <v:line id="Line 311" o:spid="_x0000_s1034" style="position:absolute;visibility:visible;mso-wrap-style:square" from="0,9" to="12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" strokeweight=".06pt"/>
                <v:line id="Line 310" o:spid="_x0000_s1035" style="position:absolute;visibility:visible;mso-wrap-style:square" from="0,10" to="129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" strokeweight=".06pt"/>
                <v:line id="Line 309" o:spid="_x0000_s1036" style="position:absolute;visibility:visible;mso-wrap-style:square" from="0,11" to="129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" strokeweight=".06pt"/>
                <v:line id="Line 308" o:spid="_x0000_s1037" style="position:absolute;visibility:visible;mso-wrap-style:square" from="0,13" to="129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" strokeweight=".06pt"/>
                <v:line id="Line 307" o:spid="_x0000_s1038" style="position:absolute;visibility:visible;mso-wrap-style:square" from="0,14" to="129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" strokeweight=".06pt"/>
                <v:line id="Line 306" o:spid="_x0000_s1039" style="position:absolute;visibility:visible;mso-wrap-style:square" from="0,15" to="129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" strokeweight=".06pt"/>
                <v:line id="Line 305" o:spid="_x0000_s1040" style="position:absolute;visibility:visible;mso-wrap-style:square" from="0,16" to="129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" strokeweight=".06pt"/>
                <v:line id="Line 304" o:spid="_x0000_s1041" style="position:absolute;visibility:visible;mso-wrap-style:square" from="0,17" to="129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" strokeweight=".06pt"/>
                <v:line id="Line 303" o:spid="_x0000_s1042" style="position:absolute;visibility:visible;mso-wrap-style:square" from="0,19" to="129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" strokeweight=".06pt"/>
                <v:line id="Line 302" o:spid="_x0000_s1043" style="position:absolute;visibility:visible;mso-wrap-style:square" from="0,20" to="12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" strokeweight=".06pt"/>
                <v:line id="Line 301" o:spid="_x0000_s1044" style="position:absolute;visibility:visible;mso-wrap-style:square" from="0,21" to="129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" strokeweight=".06pt"/>
                <v:line id="Line 300" o:spid="_x0000_s1045" style="position:absolute;visibility:visible;mso-wrap-style:square" from="0,22" to="129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" strokeweight=".06pt"/>
                <v:line id="Line 299" o:spid="_x0000_s1046" style="position:absolute;visibility:visible;mso-wrap-style:square" from="0,23" to="129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" strokeweight=".06pt"/>
                <v:line id="Line 298" o:spid="_x0000_s1047" style="position:absolute;visibility:visible;mso-wrap-style:square" from="0,25" to="129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" strokeweight=".06pt"/>
                <v:line id="Line 297" o:spid="_x0000_s1048" style="position:absolute;visibility:visible;mso-wrap-style:square" from="0,26" to="129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" strokeweight=".06pt"/>
                <v:line id="Line 296" o:spid="_x0000_s1049" style="position:absolute;visibility:visible;mso-wrap-style:square" from="0,27" to="129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" strokeweight=".06pt"/>
                <v:line id="Line 295" o:spid="_x0000_s1050" style="position:absolute;visibility:visible;mso-wrap-style:square" from="1297,1" to="25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" strokeweight=".06pt"/>
                <v:line id="Line 294" o:spid="_x0000_s1051" style="position:absolute;visibility:visible;mso-wrap-style:square" from="1297,2" to="25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" strokeweight=".06pt"/>
                <v:line id="Line 293" o:spid="_x0000_s1052" style="position:absolute;visibility:visible;mso-wrap-style:square" from="1297,3" to="25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" strokeweight=".06pt"/>
                <v:line id="Line 292" o:spid="_x0000_s1053" style="position:absolute;visibility:visible;mso-wrap-style:square" from="1297,4" to="2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" strokeweight=".06pt"/>
                <v:line id="Line 291" o:spid="_x0000_s1054" style="position:absolute;visibility:visible;mso-wrap-style:square" from="1297,5" to="25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" strokeweight=".06pt"/>
                <v:line id="Line 290" o:spid="_x0000_s1055" style="position:absolute;visibility:visible;mso-wrap-style:square" from="1297,7" to="25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" strokeweight=".06pt"/>
                <v:line id="Line 289" o:spid="_x0000_s1056" style="position:absolute;visibility:visible;mso-wrap-style:square" from="1297,8" to="25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" strokeweight=".06pt"/>
                <v:line id="Line 288" o:spid="_x0000_s1057" style="position:absolute;visibility:visible;mso-wrap-style:square" from="1297,9" to="25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" strokeweight=".06pt"/>
                <v:line id="Line 287" o:spid="_x0000_s1058" style="position:absolute;visibility:visible;mso-wrap-style:square" from="1297,10" to="259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" strokeweight=".06pt"/>
                <v:line id="Line 286" o:spid="_x0000_s1059" style="position:absolute;visibility:visible;mso-wrap-style:square" from="1297,11" to="259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" strokeweight=".06pt"/>
                <v:line id="Line 285" o:spid="_x0000_s1060" style="position:absolute;visibility:visible;mso-wrap-style:square" from="1297,13" to="259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" strokeweight=".06pt"/>
                <v:line id="Line 284" o:spid="_x0000_s1061" style="position:absolute;visibility:visible;mso-wrap-style:square" from="1297,14" to="259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" strokeweight=".06pt"/>
                <v:line id="Line 283" o:spid="_x0000_s1062" style="position:absolute;visibility:visible;mso-wrap-style:square" from="1297,15" to="259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" strokeweight=".06pt"/>
                <v:line id="Line 282" o:spid="_x0000_s1063" style="position:absolute;visibility:visible;mso-wrap-style:square" from="1297,16" to="259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" strokeweight=".06pt"/>
                <v:line id="Line 281" o:spid="_x0000_s1064" style="position:absolute;visibility:visible;mso-wrap-style:square" from="1297,17" to="259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" strokeweight=".06pt"/>
                <v:line id="Line 280" o:spid="_x0000_s1065" style="position:absolute;visibility:visible;mso-wrap-style:square" from="1297,19" to="259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" strokeweight=".06pt"/>
                <v:line id="Line 279" o:spid="_x0000_s1066" style="position:absolute;visibility:visible;mso-wrap-style:square" from="1297,20" to="259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" strokeweight=".06pt"/>
                <v:line id="Line 278" o:spid="_x0000_s1067" style="position:absolute;visibility:visible;mso-wrap-style:square" from="1297,21" to="259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" strokeweight=".06pt"/>
                <v:line id="Line 277" o:spid="_x0000_s1068" style="position:absolute;visibility:visible;mso-wrap-style:square" from="1297,22" to="259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" strokeweight=".06pt"/>
                <v:line id="Line 276" o:spid="_x0000_s1069" style="position:absolute;visibility:visible;mso-wrap-style:square" from="1297,23" to="259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" strokeweight=".06pt"/>
                <v:line id="Line 275" o:spid="_x0000_s1070" style="position:absolute;visibility:visible;mso-wrap-style:square" from="1297,25" to="259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" strokeweight=".06pt"/>
                <v:line id="Line 274" o:spid="_x0000_s1071" style="position:absolute;visibility:visible;mso-wrap-style:square" from="1297,26" to="259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" strokeweight=".06pt"/>
                <v:line id="Line 273" o:spid="_x0000_s1072" style="position:absolute;visibility:visible;mso-wrap-style:square" from="1297,27" to="259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" strokeweight=".06pt"/>
                <w10:anchorlock/>
              </v:group>
            </w:pict>
          </mc:Fallback>
        </mc:AlternateContent>
      </w:r>
    </w:p>
    <w:p w14:paraId="702FA097" w14:textId="77777777" w:rsidR="00FA4AA8" w:rsidRDefault="00FA4AA8">
      <w:pPr>
        <w:pStyle w:val="BodyText"/>
        <w:spacing w:before="8"/>
        <w:rPr>
          <w:sz w:val="16"/>
        </w:rPr>
      </w:pPr>
    </w:p>
    <w:p w14:paraId="6E30A315" w14:textId="77777777" w:rsidR="00FA4AA8" w:rsidRDefault="0015611F">
      <w:pPr>
        <w:numPr>
          <w:ilvl w:val="0"/>
          <w:numId w:val="35"/>
        </w:numPr>
        <w:tabs>
          <w:tab w:val="left" w:pos="565"/>
          <w:tab w:val="left" w:pos="566"/>
        </w:tabs>
        <w:spacing w:before="95"/>
        <w:ind w:hanging="397"/>
        <w:rPr>
          <w:b/>
          <w:sz w:val="18"/>
        </w:rPr>
      </w:pPr>
      <w:r>
        <w:rPr>
          <w:b/>
          <w:sz w:val="18"/>
        </w:rPr>
        <w:t>Commitments</w:t>
      </w:r>
    </w:p>
    <w:p w14:paraId="5AED61ED" w14:textId="77777777" w:rsidR="00FA4AA8" w:rsidRDefault="00FA4AA8">
      <w:pPr>
        <w:pStyle w:val="BodyText"/>
        <w:rPr>
          <w:b/>
          <w:sz w:val="25"/>
        </w:rPr>
      </w:pPr>
    </w:p>
    <w:p w14:paraId="5FD2A054" w14:textId="77777777" w:rsidR="00FA4AA8" w:rsidRDefault="0015611F">
      <w:pPr>
        <w:pStyle w:val="BodyText"/>
        <w:ind w:left="563"/>
      </w:pPr>
      <w:r>
        <w:t>The Trust had no commitments at 31 December 2018 (31 December 2017: nil).</w:t>
      </w:r>
    </w:p>
    <w:p w14:paraId="2E5DB18D" w14:textId="77777777" w:rsidR="00FA4AA8" w:rsidRDefault="00FA4AA8">
      <w:pPr>
        <w:pStyle w:val="BodyText"/>
        <w:rPr>
          <w:sz w:val="25"/>
        </w:rPr>
      </w:pPr>
    </w:p>
    <w:p w14:paraId="5B712B70" w14:textId="77777777" w:rsidR="00FA4AA8" w:rsidRDefault="0015611F">
      <w:pPr>
        <w:numPr>
          <w:ilvl w:val="0"/>
          <w:numId w:val="35"/>
        </w:numPr>
        <w:tabs>
          <w:tab w:val="left" w:pos="566"/>
        </w:tabs>
        <w:ind w:hanging="397"/>
        <w:rPr>
          <w:b/>
          <w:sz w:val="18"/>
        </w:rPr>
      </w:pPr>
      <w:r>
        <w:rPr>
          <w:b/>
          <w:sz w:val="18"/>
        </w:rPr>
        <w:t>Contingencies</w:t>
      </w:r>
    </w:p>
    <w:p w14:paraId="1F9C50E4" w14:textId="77777777" w:rsidR="00FA4AA8" w:rsidRDefault="00FA4AA8">
      <w:pPr>
        <w:pStyle w:val="BodyText"/>
        <w:spacing w:before="11"/>
        <w:rPr>
          <w:b/>
          <w:sz w:val="24"/>
        </w:rPr>
      </w:pPr>
    </w:p>
    <w:p w14:paraId="4AD7EF34" w14:textId="77777777" w:rsidR="00FA4AA8" w:rsidRDefault="0015611F">
      <w:pPr>
        <w:pStyle w:val="BodyText"/>
        <w:ind w:left="564"/>
      </w:pPr>
      <w:r>
        <w:t>The Trust did not have any contingencies at 31 December 2018 (31 December 2017: nil).</w:t>
      </w:r>
    </w:p>
    <w:p w14:paraId="59007674" w14:textId="77777777" w:rsidR="00FA4AA8" w:rsidRDefault="00FA4AA8">
      <w:pPr>
        <w:sectPr w:rsidR="00FA4AA8">
          <w:type w:val="continuous"/>
          <w:pgSz w:w="11910" w:h="16840"/>
          <w:pgMar w:top="20" w:right="840" w:bottom="0" w:left="840" w:header="720" w:footer="720" w:gutter="0"/>
          <w:cols w:space="720"/>
        </w:sectPr>
      </w:pPr>
    </w:p>
    <w:p w14:paraId="01CD34CF" w14:textId="77777777" w:rsidR="00FA4AA8" w:rsidRDefault="00FA4AA8">
      <w:pPr>
        <w:pStyle w:val="BodyText"/>
        <w:spacing w:before="8"/>
        <w:rPr>
          <w:sz w:val="24"/>
        </w:rPr>
      </w:pPr>
    </w:p>
    <w:p w14:paraId="386F958F" w14:textId="77777777" w:rsidR="00FA4AA8" w:rsidRDefault="0015611F">
      <w:pPr>
        <w:numPr>
          <w:ilvl w:val="0"/>
          <w:numId w:val="35"/>
        </w:numPr>
        <w:tabs>
          <w:tab w:val="left" w:pos="566"/>
        </w:tabs>
        <w:spacing w:before="94"/>
        <w:ind w:hanging="397"/>
        <w:rPr>
          <w:b/>
          <w:sz w:val="18"/>
        </w:rPr>
      </w:pPr>
      <w:r>
        <w:rPr>
          <w:b/>
          <w:sz w:val="18"/>
        </w:rPr>
        <w:t>Key Management Personnel</w:t>
      </w:r>
      <w:r>
        <w:rPr>
          <w:b/>
          <w:spacing w:val="-1"/>
          <w:sz w:val="18"/>
        </w:rPr>
        <w:t xml:space="preserve"> </w:t>
      </w:r>
      <w:r>
        <w:rPr>
          <w:b/>
          <w:sz w:val="18"/>
        </w:rPr>
        <w:t>Disclosures</w:t>
      </w:r>
    </w:p>
    <w:p w14:paraId="2BC956CF" w14:textId="77777777" w:rsidR="00FA4AA8" w:rsidRDefault="00FA4AA8">
      <w:pPr>
        <w:pStyle w:val="BodyText"/>
        <w:spacing w:before="8"/>
        <w:rPr>
          <w:b/>
          <w:sz w:val="26"/>
        </w:rPr>
      </w:pPr>
    </w:p>
    <w:p w14:paraId="66141518" w14:textId="77777777" w:rsidR="00FA4AA8" w:rsidRDefault="0015611F">
      <w:pPr>
        <w:pStyle w:val="ListParagraph"/>
        <w:numPr>
          <w:ilvl w:val="1"/>
          <w:numId w:val="35"/>
        </w:numPr>
        <w:tabs>
          <w:tab w:val="left" w:pos="1131"/>
          <w:tab w:val="left" w:pos="1132"/>
        </w:tabs>
        <w:rPr>
          <w:b/>
          <w:sz w:val="18"/>
        </w:rPr>
      </w:pPr>
      <w:r>
        <w:rPr>
          <w:b/>
          <w:sz w:val="18"/>
        </w:rPr>
        <w:t>Names of responsible persons and executive</w:t>
      </w:r>
      <w:r>
        <w:rPr>
          <w:b/>
          <w:spacing w:val="-1"/>
          <w:sz w:val="18"/>
        </w:rPr>
        <w:t xml:space="preserve"> </w:t>
      </w:r>
      <w:r>
        <w:rPr>
          <w:b/>
          <w:sz w:val="18"/>
        </w:rPr>
        <w:t>officers</w:t>
      </w:r>
    </w:p>
    <w:p w14:paraId="2B7A2804" w14:textId="77777777" w:rsidR="00FA4AA8" w:rsidRDefault="00FA4AA8">
      <w:pPr>
        <w:pStyle w:val="BodyText"/>
        <w:spacing w:before="4"/>
        <w:rPr>
          <w:b/>
          <w:sz w:val="25"/>
        </w:rPr>
      </w:pPr>
    </w:p>
    <w:p w14:paraId="085DE352" w14:textId="77777777" w:rsidR="00FA4AA8" w:rsidRDefault="0015611F">
      <w:pPr>
        <w:pStyle w:val="BodyText"/>
        <w:spacing w:before="1"/>
        <w:ind w:left="564"/>
      </w:pPr>
      <w:r>
        <w:t>The following persons were responsible persons and executive officers of Whitlam Institute Within Western Sydney University Trust during the financial year:</w:t>
      </w:r>
    </w:p>
    <w:p w14:paraId="14E6674E" w14:textId="77777777" w:rsidR="00FA4AA8" w:rsidRDefault="00FA4AA8">
      <w:pPr>
        <w:pStyle w:val="BodyText"/>
        <w:spacing w:before="10"/>
        <w:rPr>
          <w:sz w:val="24"/>
        </w:rPr>
      </w:pPr>
    </w:p>
    <w:p w14:paraId="6615DCBF" w14:textId="77777777" w:rsidR="00FA4AA8" w:rsidRDefault="0015611F">
      <w:pPr>
        <w:pStyle w:val="ListParagraph"/>
        <w:numPr>
          <w:ilvl w:val="0"/>
          <w:numId w:val="34"/>
        </w:numPr>
        <w:tabs>
          <w:tab w:val="left" w:pos="774"/>
        </w:tabs>
        <w:spacing w:before="1" w:line="633" w:lineRule="auto"/>
        <w:ind w:right="6927" w:hanging="29"/>
        <w:rPr>
          <w:sz w:val="18"/>
        </w:rPr>
      </w:pPr>
      <w:r>
        <w:rPr>
          <w:sz w:val="18"/>
        </w:rPr>
        <w:t xml:space="preserve">Names of Responsible </w:t>
      </w:r>
      <w:r>
        <w:rPr>
          <w:spacing w:val="-3"/>
          <w:sz w:val="18"/>
        </w:rPr>
        <w:t xml:space="preserve">Persons </w:t>
      </w:r>
      <w:r>
        <w:rPr>
          <w:sz w:val="18"/>
        </w:rPr>
        <w:t>Ms Leanne</w:t>
      </w:r>
      <w:r>
        <w:rPr>
          <w:spacing w:val="-1"/>
          <w:sz w:val="18"/>
        </w:rPr>
        <w:t xml:space="preserve"> </w:t>
      </w:r>
      <w:r>
        <w:rPr>
          <w:sz w:val="18"/>
        </w:rPr>
        <w:t>Smith</w:t>
      </w:r>
    </w:p>
    <w:p w14:paraId="6FC27B2D" w14:textId="77777777" w:rsidR="00FA4AA8" w:rsidRDefault="0015611F">
      <w:pPr>
        <w:pStyle w:val="BodyText"/>
        <w:spacing w:line="182" w:lineRule="exact"/>
        <w:ind w:left="563"/>
      </w:pPr>
      <w:r>
        <w:t>All responsible persons of the Trust are employees of the Western Sydney University (parent entity) and are not</w:t>
      </w:r>
    </w:p>
    <w:p w14:paraId="12FC6DDA" w14:textId="77777777" w:rsidR="00FA4AA8" w:rsidRDefault="0015611F">
      <w:pPr>
        <w:pStyle w:val="BodyText"/>
        <w:spacing w:line="207" w:lineRule="exact"/>
        <w:ind w:left="563"/>
      </w:pPr>
      <w:r>
        <w:t>remunerated by either the parent entity or the Trust for their executive responsibilities.</w:t>
      </w:r>
    </w:p>
    <w:p w14:paraId="790F0B73" w14:textId="77777777" w:rsidR="00FA4AA8" w:rsidRDefault="00FA4AA8">
      <w:pPr>
        <w:pStyle w:val="BodyText"/>
        <w:spacing w:before="11"/>
        <w:rPr>
          <w:sz w:val="24"/>
        </w:rPr>
      </w:pPr>
    </w:p>
    <w:p w14:paraId="51373103" w14:textId="77777777" w:rsidR="00FA4AA8" w:rsidRDefault="0015611F">
      <w:pPr>
        <w:pStyle w:val="ListParagraph"/>
        <w:numPr>
          <w:ilvl w:val="0"/>
          <w:numId w:val="34"/>
        </w:numPr>
        <w:tabs>
          <w:tab w:val="left" w:pos="814"/>
        </w:tabs>
        <w:ind w:hanging="29"/>
        <w:rPr>
          <w:sz w:val="18"/>
        </w:rPr>
      </w:pPr>
      <w:r>
        <w:rPr>
          <w:sz w:val="18"/>
        </w:rPr>
        <w:t>Names of Executive Officers</w:t>
      </w:r>
    </w:p>
    <w:p w14:paraId="4D603235" w14:textId="77777777" w:rsidR="00FA4AA8" w:rsidRDefault="00FA4AA8">
      <w:pPr>
        <w:pStyle w:val="BodyText"/>
        <w:spacing w:before="5"/>
        <w:rPr>
          <w:sz w:val="29"/>
        </w:rPr>
      </w:pPr>
    </w:p>
    <w:p w14:paraId="7E72E73A" w14:textId="77777777" w:rsidR="00FA4AA8" w:rsidRDefault="0015611F">
      <w:pPr>
        <w:pStyle w:val="BodyText"/>
        <w:spacing w:before="1" w:line="302" w:lineRule="auto"/>
        <w:ind w:left="592" w:right="7107"/>
      </w:pPr>
      <w:r>
        <w:t xml:space="preserve">The Hon. John Faulkner </w:t>
      </w:r>
      <w:r>
        <w:rPr>
          <w:spacing w:val="-3"/>
        </w:rPr>
        <w:t xml:space="preserve">(Chair) </w:t>
      </w:r>
      <w:r>
        <w:t>Ms Patricia Amphlett OAM Prof. Barney</w:t>
      </w:r>
      <w:r>
        <w:rPr>
          <w:spacing w:val="-1"/>
        </w:rPr>
        <w:t xml:space="preserve"> </w:t>
      </w:r>
      <w:r>
        <w:t>Glover</w:t>
      </w:r>
    </w:p>
    <w:p w14:paraId="191DA352" w14:textId="77777777" w:rsidR="00FA4AA8" w:rsidRDefault="0015611F">
      <w:pPr>
        <w:pStyle w:val="BodyText"/>
        <w:spacing w:before="2" w:line="302" w:lineRule="auto"/>
        <w:ind w:left="592" w:right="7617"/>
      </w:pPr>
      <w:r>
        <w:t xml:space="preserve">Ms Gabrielle Trainor </w:t>
      </w:r>
      <w:r>
        <w:rPr>
          <w:spacing w:val="-9"/>
        </w:rPr>
        <w:t xml:space="preserve">AO </w:t>
      </w:r>
      <w:r>
        <w:t>Mr Talal Yassine OAM Ms Catherine</w:t>
      </w:r>
      <w:r>
        <w:rPr>
          <w:spacing w:val="-1"/>
        </w:rPr>
        <w:t xml:space="preserve"> </w:t>
      </w:r>
      <w:r>
        <w:t>Dovey</w:t>
      </w:r>
    </w:p>
    <w:p w14:paraId="210F2F06" w14:textId="77777777" w:rsidR="00FA4AA8" w:rsidRDefault="0015611F">
      <w:pPr>
        <w:pStyle w:val="BodyText"/>
        <w:spacing w:before="2" w:line="302" w:lineRule="auto"/>
        <w:ind w:left="592" w:right="7987"/>
      </w:pPr>
      <w:r>
        <w:t>Mr Cameron Clyne Dr Rebecca</w:t>
      </w:r>
      <w:r>
        <w:rPr>
          <w:spacing w:val="3"/>
        </w:rPr>
        <w:t xml:space="preserve"> </w:t>
      </w:r>
      <w:r>
        <w:rPr>
          <w:spacing w:val="-3"/>
        </w:rPr>
        <w:t>Huntley</w:t>
      </w:r>
    </w:p>
    <w:p w14:paraId="5E8BAF6D" w14:textId="77777777" w:rsidR="00FA4AA8" w:rsidRDefault="0015611F">
      <w:pPr>
        <w:pStyle w:val="BodyText"/>
        <w:spacing w:before="2" w:line="302" w:lineRule="auto"/>
        <w:ind w:left="592" w:right="5125"/>
      </w:pPr>
      <w:r>
        <w:t>The Hon. Peter Collins AM QC - appointed 30 May 2018 Ms Rebecca Mifsud - appointed 22 November 2018</w:t>
      </w:r>
    </w:p>
    <w:p w14:paraId="2FD5D5EB" w14:textId="77777777" w:rsidR="00FA4AA8" w:rsidRDefault="0015611F">
      <w:pPr>
        <w:pStyle w:val="BodyText"/>
        <w:spacing w:before="1"/>
        <w:ind w:left="592"/>
      </w:pPr>
      <w:r>
        <w:t>Ms Amanda McKenzie - resigned 17 August 2018</w:t>
      </w:r>
    </w:p>
    <w:p w14:paraId="397C72BC" w14:textId="77777777" w:rsidR="00FA4AA8" w:rsidRDefault="00FA4AA8">
      <w:pPr>
        <w:pStyle w:val="BodyText"/>
        <w:spacing w:before="5"/>
        <w:rPr>
          <w:sz w:val="27"/>
        </w:rPr>
      </w:pPr>
    </w:p>
    <w:p w14:paraId="764A7261" w14:textId="77777777" w:rsidR="00FA4AA8" w:rsidRDefault="0015611F">
      <w:pPr>
        <w:pStyle w:val="BodyText"/>
        <w:ind w:left="564" w:right="371"/>
      </w:pPr>
      <w:r>
        <w:t>All executive officers of the Trust are not employees of the Western Sydney University (parent entity) except for Prof. Barney Glover and are not remunerated by either the parent entity or the Trust for their executive responsibilities.</w:t>
      </w:r>
    </w:p>
    <w:p w14:paraId="2112FC82" w14:textId="77777777" w:rsidR="00FA4AA8" w:rsidRDefault="00FA4AA8">
      <w:pPr>
        <w:sectPr w:rsidR="00FA4AA8">
          <w:pgSz w:w="11910" w:h="16840"/>
          <w:pgMar w:top="2540" w:right="840" w:bottom="720" w:left="840" w:header="1017" w:footer="523" w:gutter="0"/>
          <w:cols w:space="720"/>
        </w:sectPr>
      </w:pPr>
    </w:p>
    <w:p w14:paraId="706DD812" w14:textId="77777777" w:rsidR="00FA4AA8" w:rsidRDefault="00FA4AA8">
      <w:pPr>
        <w:pStyle w:val="BodyText"/>
        <w:spacing w:before="8"/>
        <w:rPr>
          <w:sz w:val="24"/>
        </w:rPr>
      </w:pPr>
    </w:p>
    <w:p w14:paraId="41072A5E" w14:textId="77777777" w:rsidR="00FA4AA8" w:rsidRDefault="0015611F">
      <w:pPr>
        <w:numPr>
          <w:ilvl w:val="0"/>
          <w:numId w:val="35"/>
        </w:numPr>
        <w:tabs>
          <w:tab w:val="left" w:pos="566"/>
        </w:tabs>
        <w:spacing w:before="94"/>
        <w:ind w:hanging="397"/>
        <w:rPr>
          <w:b/>
          <w:sz w:val="18"/>
        </w:rPr>
      </w:pPr>
      <w:r>
        <w:rPr>
          <w:b/>
          <w:sz w:val="18"/>
        </w:rPr>
        <w:t>Related party</w:t>
      </w:r>
      <w:r>
        <w:rPr>
          <w:b/>
          <w:spacing w:val="-1"/>
          <w:sz w:val="18"/>
        </w:rPr>
        <w:t xml:space="preserve"> </w:t>
      </w:r>
      <w:r>
        <w:rPr>
          <w:b/>
          <w:sz w:val="18"/>
        </w:rPr>
        <w:t>transactions</w:t>
      </w:r>
    </w:p>
    <w:p w14:paraId="4AF12D7E" w14:textId="77777777" w:rsidR="00FA4AA8" w:rsidRDefault="00FA4AA8">
      <w:pPr>
        <w:pStyle w:val="BodyText"/>
        <w:spacing w:before="8"/>
        <w:rPr>
          <w:b/>
          <w:sz w:val="26"/>
        </w:rPr>
      </w:pPr>
    </w:p>
    <w:p w14:paraId="216B1058" w14:textId="77777777" w:rsidR="00FA4AA8" w:rsidRDefault="0015611F">
      <w:pPr>
        <w:pStyle w:val="ListParagraph"/>
        <w:numPr>
          <w:ilvl w:val="1"/>
          <w:numId w:val="35"/>
        </w:numPr>
        <w:tabs>
          <w:tab w:val="left" w:pos="1131"/>
          <w:tab w:val="left" w:pos="1132"/>
        </w:tabs>
        <w:rPr>
          <w:b/>
          <w:sz w:val="18"/>
        </w:rPr>
      </w:pPr>
      <w:r>
        <w:rPr>
          <w:b/>
          <w:sz w:val="18"/>
        </w:rPr>
        <w:t>Parent entity</w:t>
      </w:r>
    </w:p>
    <w:p w14:paraId="235EC415" w14:textId="77777777" w:rsidR="00FA4AA8" w:rsidRDefault="00FA4AA8">
      <w:pPr>
        <w:pStyle w:val="BodyText"/>
        <w:spacing w:before="5"/>
        <w:rPr>
          <w:b/>
          <w:sz w:val="25"/>
        </w:rPr>
      </w:pPr>
    </w:p>
    <w:p w14:paraId="05951161" w14:textId="77777777" w:rsidR="00FA4AA8" w:rsidRDefault="0015611F">
      <w:pPr>
        <w:pStyle w:val="BodyText"/>
        <w:ind w:left="564"/>
      </w:pPr>
      <w:r>
        <w:t>The ultimate parent entity of the Trust is Western Sydney University.</w:t>
      </w:r>
    </w:p>
    <w:p w14:paraId="42C86F1C" w14:textId="77777777" w:rsidR="00FA4AA8" w:rsidRDefault="00FA4AA8">
      <w:pPr>
        <w:pStyle w:val="BodyText"/>
        <w:spacing w:before="7"/>
        <w:rPr>
          <w:sz w:val="26"/>
        </w:rPr>
      </w:pPr>
    </w:p>
    <w:p w14:paraId="1E5B59D8" w14:textId="77777777" w:rsidR="00FA4AA8" w:rsidRDefault="0015611F">
      <w:pPr>
        <w:numPr>
          <w:ilvl w:val="1"/>
          <w:numId w:val="35"/>
        </w:numPr>
        <w:tabs>
          <w:tab w:val="left" w:pos="1131"/>
          <w:tab w:val="left" w:pos="1132"/>
        </w:tabs>
        <w:spacing w:after="44"/>
        <w:rPr>
          <w:b/>
          <w:sz w:val="18"/>
        </w:rPr>
      </w:pPr>
      <w:r>
        <w:rPr>
          <w:b/>
          <w:sz w:val="18"/>
        </w:rPr>
        <w:t>Transactions with related parties</w:t>
      </w:r>
    </w:p>
    <w:tbl>
      <w:tblPr>
        <w:tblW w:w="0" w:type="auto"/>
        <w:tblInd w:w="550" w:type="dxa"/>
        <w:tblLayout w:type="fixed"/>
        <w:tblCellMar>
          <w:left w:w="0" w:type="dxa"/>
          <w:right w:w="0" w:type="dxa"/>
        </w:tblCellMar>
        <w:tblLook w:val="01E0" w:firstRow="1" w:lastRow="1" w:firstColumn="1" w:lastColumn="1" w:noHBand="0" w:noVBand="0"/>
      </w:tblPr>
      <w:tblGrid>
        <w:gridCol w:w="7348"/>
        <w:gridCol w:w="1079"/>
        <w:gridCol w:w="1139"/>
      </w:tblGrid>
      <w:tr w:rsidR="00FA4AA8" w14:paraId="6533163C" w14:textId="77777777">
        <w:trPr>
          <w:trHeight w:val="474"/>
        </w:trPr>
        <w:tc>
          <w:tcPr>
            <w:tcW w:w="8427" w:type="dxa"/>
            <w:gridSpan w:val="2"/>
          </w:tcPr>
          <w:p w14:paraId="319270B0" w14:textId="77777777" w:rsidR="00FA4AA8" w:rsidRDefault="0015611F">
            <w:pPr>
              <w:pStyle w:val="TableParagraph"/>
              <w:spacing w:line="201" w:lineRule="exact"/>
              <w:ind w:left="7377" w:right="609"/>
              <w:jc w:val="center"/>
              <w:rPr>
                <w:b/>
                <w:sz w:val="18"/>
              </w:rPr>
            </w:pPr>
            <w:r>
              <w:rPr>
                <w:b/>
                <w:sz w:val="18"/>
              </w:rPr>
              <w:t>2018</w:t>
            </w:r>
          </w:p>
          <w:p w14:paraId="59F9D2C6" w14:textId="77777777" w:rsidR="00FA4AA8" w:rsidRDefault="0015611F">
            <w:pPr>
              <w:pStyle w:val="TableParagraph"/>
              <w:spacing w:before="66" w:line="187" w:lineRule="exact"/>
              <w:ind w:left="6768"/>
              <w:jc w:val="center"/>
              <w:rPr>
                <w:b/>
                <w:sz w:val="18"/>
              </w:rPr>
            </w:pPr>
            <w:r>
              <w:rPr>
                <w:b/>
                <w:w w:val="99"/>
                <w:sz w:val="18"/>
              </w:rPr>
              <w:t>$</w:t>
            </w:r>
          </w:p>
        </w:tc>
        <w:tc>
          <w:tcPr>
            <w:tcW w:w="1139" w:type="dxa"/>
          </w:tcPr>
          <w:p w14:paraId="6017D0AB" w14:textId="77777777" w:rsidR="00FA4AA8" w:rsidRDefault="0015611F">
            <w:pPr>
              <w:pStyle w:val="TableParagraph"/>
              <w:spacing w:line="201" w:lineRule="exact"/>
              <w:ind w:left="190" w:right="390"/>
              <w:jc w:val="center"/>
              <w:rPr>
                <w:b/>
                <w:sz w:val="18"/>
              </w:rPr>
            </w:pPr>
            <w:r>
              <w:rPr>
                <w:b/>
                <w:sz w:val="18"/>
              </w:rPr>
              <w:t>2017</w:t>
            </w:r>
          </w:p>
          <w:p w14:paraId="0CAD08B1" w14:textId="77777777" w:rsidR="00FA4AA8" w:rsidRDefault="0015611F">
            <w:pPr>
              <w:pStyle w:val="TableParagraph"/>
              <w:spacing w:before="66" w:line="187" w:lineRule="exact"/>
              <w:ind w:right="201"/>
              <w:jc w:val="center"/>
              <w:rPr>
                <w:b/>
                <w:sz w:val="18"/>
              </w:rPr>
            </w:pPr>
            <w:r>
              <w:rPr>
                <w:b/>
                <w:w w:val="99"/>
                <w:sz w:val="18"/>
              </w:rPr>
              <w:t>$</w:t>
            </w:r>
          </w:p>
        </w:tc>
      </w:tr>
      <w:tr w:rsidR="00FA4AA8" w14:paraId="194B4436" w14:textId="77777777">
        <w:trPr>
          <w:trHeight w:val="300"/>
        </w:trPr>
        <w:tc>
          <w:tcPr>
            <w:tcW w:w="7348" w:type="dxa"/>
          </w:tcPr>
          <w:p w14:paraId="73E8F4E1" w14:textId="77777777" w:rsidR="00FA4AA8" w:rsidRDefault="0015611F">
            <w:pPr>
              <w:pStyle w:val="TableParagraph"/>
              <w:spacing w:before="63"/>
              <w:ind w:left="50"/>
              <w:rPr>
                <w:sz w:val="18"/>
              </w:rPr>
            </w:pPr>
            <w:r>
              <w:rPr>
                <w:sz w:val="18"/>
              </w:rPr>
              <w:t>Matched Donations from the Ultimate Parent Entity</w:t>
            </w:r>
          </w:p>
        </w:tc>
        <w:tc>
          <w:tcPr>
            <w:tcW w:w="1079" w:type="dxa"/>
          </w:tcPr>
          <w:p w14:paraId="4B0749F5" w14:textId="77777777" w:rsidR="00FA4AA8" w:rsidRDefault="0015611F">
            <w:pPr>
              <w:pStyle w:val="TableParagraph"/>
              <w:spacing w:before="61"/>
              <w:ind w:right="267"/>
              <w:jc w:val="right"/>
              <w:rPr>
                <w:b/>
                <w:sz w:val="18"/>
              </w:rPr>
            </w:pPr>
            <w:r>
              <w:rPr>
                <w:b/>
                <w:w w:val="99"/>
                <w:sz w:val="18"/>
              </w:rPr>
              <w:t>-</w:t>
            </w:r>
          </w:p>
        </w:tc>
        <w:tc>
          <w:tcPr>
            <w:tcW w:w="1139" w:type="dxa"/>
          </w:tcPr>
          <w:p w14:paraId="71AD1D55" w14:textId="77777777" w:rsidR="00FA4AA8" w:rsidRDefault="0015611F">
            <w:pPr>
              <w:pStyle w:val="TableParagraph"/>
              <w:spacing w:before="61"/>
              <w:ind w:right="48"/>
              <w:jc w:val="right"/>
              <w:rPr>
                <w:sz w:val="18"/>
              </w:rPr>
            </w:pPr>
            <w:r>
              <w:rPr>
                <w:w w:val="95"/>
                <w:sz w:val="18"/>
              </w:rPr>
              <w:t>(8,290)</w:t>
            </w:r>
          </w:p>
        </w:tc>
      </w:tr>
      <w:tr w:rsidR="00FA4AA8" w14:paraId="360450C4" w14:textId="77777777">
        <w:trPr>
          <w:trHeight w:val="233"/>
        </w:trPr>
        <w:tc>
          <w:tcPr>
            <w:tcW w:w="7348" w:type="dxa"/>
          </w:tcPr>
          <w:p w14:paraId="778488AE" w14:textId="77777777" w:rsidR="00FA4AA8" w:rsidRDefault="0015611F">
            <w:pPr>
              <w:pStyle w:val="TableParagraph"/>
              <w:spacing w:before="26" w:line="187" w:lineRule="exact"/>
              <w:ind w:left="50"/>
              <w:rPr>
                <w:sz w:val="18"/>
              </w:rPr>
            </w:pPr>
            <w:r>
              <w:rPr>
                <w:sz w:val="18"/>
              </w:rPr>
              <w:t>Payment to Ultimate Parent Entity</w:t>
            </w:r>
          </w:p>
        </w:tc>
        <w:tc>
          <w:tcPr>
            <w:tcW w:w="1079" w:type="dxa"/>
          </w:tcPr>
          <w:p w14:paraId="327C7CD7" w14:textId="77777777" w:rsidR="00FA4AA8" w:rsidRDefault="0015611F">
            <w:pPr>
              <w:pStyle w:val="TableParagraph"/>
              <w:spacing w:before="25" w:line="188" w:lineRule="exact"/>
              <w:ind w:right="265"/>
              <w:jc w:val="right"/>
              <w:rPr>
                <w:b/>
                <w:sz w:val="18"/>
              </w:rPr>
            </w:pPr>
            <w:r>
              <w:rPr>
                <w:b/>
                <w:w w:val="95"/>
                <w:sz w:val="18"/>
              </w:rPr>
              <w:t>61,000</w:t>
            </w:r>
          </w:p>
        </w:tc>
        <w:tc>
          <w:tcPr>
            <w:tcW w:w="1139" w:type="dxa"/>
          </w:tcPr>
          <w:p w14:paraId="6CCE00DF" w14:textId="77777777" w:rsidR="00FA4AA8" w:rsidRDefault="0015611F">
            <w:pPr>
              <w:pStyle w:val="TableParagraph"/>
              <w:spacing w:before="25" w:line="188" w:lineRule="exact"/>
              <w:ind w:right="108"/>
              <w:jc w:val="right"/>
              <w:rPr>
                <w:sz w:val="18"/>
              </w:rPr>
            </w:pPr>
            <w:r>
              <w:rPr>
                <w:w w:val="95"/>
                <w:sz w:val="18"/>
              </w:rPr>
              <w:t>3,579</w:t>
            </w:r>
          </w:p>
        </w:tc>
      </w:tr>
    </w:tbl>
    <w:p w14:paraId="5E9B3C74" w14:textId="77777777" w:rsidR="00FA4AA8" w:rsidRDefault="00FA4AA8">
      <w:pPr>
        <w:pStyle w:val="BodyText"/>
        <w:rPr>
          <w:b/>
          <w:sz w:val="29"/>
        </w:rPr>
      </w:pPr>
    </w:p>
    <w:p w14:paraId="046B1266" w14:textId="77777777" w:rsidR="00FA4AA8" w:rsidRDefault="0015611F">
      <w:pPr>
        <w:pStyle w:val="ListParagraph"/>
        <w:numPr>
          <w:ilvl w:val="1"/>
          <w:numId w:val="35"/>
        </w:numPr>
        <w:tabs>
          <w:tab w:val="left" w:pos="1131"/>
          <w:tab w:val="left" w:pos="1132"/>
        </w:tabs>
        <w:spacing w:after="44"/>
        <w:ind w:hanging="568"/>
        <w:rPr>
          <w:b/>
          <w:sz w:val="18"/>
        </w:rPr>
      </w:pPr>
      <w:r>
        <w:rPr>
          <w:b/>
          <w:sz w:val="18"/>
        </w:rPr>
        <w:t>Receivables and (payables) with related parties</w:t>
      </w:r>
    </w:p>
    <w:tbl>
      <w:tblPr>
        <w:tblW w:w="0" w:type="auto"/>
        <w:tblInd w:w="550" w:type="dxa"/>
        <w:tblLayout w:type="fixed"/>
        <w:tblCellMar>
          <w:left w:w="0" w:type="dxa"/>
          <w:right w:w="0" w:type="dxa"/>
        </w:tblCellMar>
        <w:tblLook w:val="01E0" w:firstRow="1" w:lastRow="1" w:firstColumn="1" w:lastColumn="1" w:noHBand="0" w:noVBand="0"/>
      </w:tblPr>
      <w:tblGrid>
        <w:gridCol w:w="7369"/>
        <w:gridCol w:w="1061"/>
        <w:gridCol w:w="1136"/>
      </w:tblGrid>
      <w:tr w:rsidR="00FA4AA8" w14:paraId="056F0060" w14:textId="77777777">
        <w:trPr>
          <w:trHeight w:val="474"/>
        </w:trPr>
        <w:tc>
          <w:tcPr>
            <w:tcW w:w="8430" w:type="dxa"/>
            <w:gridSpan w:val="2"/>
          </w:tcPr>
          <w:p w14:paraId="1AAD87E2" w14:textId="77777777" w:rsidR="00FA4AA8" w:rsidRDefault="0015611F">
            <w:pPr>
              <w:pStyle w:val="TableParagraph"/>
              <w:spacing w:line="201" w:lineRule="exact"/>
              <w:ind w:left="7398" w:right="590"/>
              <w:jc w:val="center"/>
              <w:rPr>
                <w:b/>
                <w:sz w:val="18"/>
              </w:rPr>
            </w:pPr>
            <w:r>
              <w:rPr>
                <w:b/>
                <w:sz w:val="18"/>
              </w:rPr>
              <w:t>2018</w:t>
            </w:r>
          </w:p>
          <w:p w14:paraId="0E429EC1" w14:textId="77777777" w:rsidR="00FA4AA8" w:rsidRDefault="0015611F">
            <w:pPr>
              <w:pStyle w:val="TableParagraph"/>
              <w:spacing w:before="66" w:line="187" w:lineRule="exact"/>
              <w:ind w:left="6807"/>
              <w:jc w:val="center"/>
              <w:rPr>
                <w:b/>
                <w:sz w:val="18"/>
              </w:rPr>
            </w:pPr>
            <w:r>
              <w:rPr>
                <w:b/>
                <w:w w:val="99"/>
                <w:sz w:val="18"/>
              </w:rPr>
              <w:t>$</w:t>
            </w:r>
          </w:p>
        </w:tc>
        <w:tc>
          <w:tcPr>
            <w:tcW w:w="1136" w:type="dxa"/>
          </w:tcPr>
          <w:p w14:paraId="2CD107B0" w14:textId="77777777" w:rsidR="00FA4AA8" w:rsidRDefault="0015611F">
            <w:pPr>
              <w:pStyle w:val="TableParagraph"/>
              <w:spacing w:line="201" w:lineRule="exact"/>
              <w:ind w:left="252" w:right="442"/>
              <w:jc w:val="center"/>
              <w:rPr>
                <w:b/>
                <w:sz w:val="18"/>
              </w:rPr>
            </w:pPr>
            <w:r>
              <w:rPr>
                <w:b/>
                <w:sz w:val="18"/>
              </w:rPr>
              <w:t>2017</w:t>
            </w:r>
          </w:p>
          <w:p w14:paraId="6A20BFE7" w14:textId="77777777" w:rsidR="00FA4AA8" w:rsidRDefault="0015611F">
            <w:pPr>
              <w:pStyle w:val="TableParagraph"/>
              <w:spacing w:before="66" w:line="187" w:lineRule="exact"/>
              <w:ind w:right="192"/>
              <w:jc w:val="center"/>
              <w:rPr>
                <w:b/>
                <w:sz w:val="18"/>
              </w:rPr>
            </w:pPr>
            <w:r>
              <w:rPr>
                <w:b/>
                <w:w w:val="99"/>
                <w:sz w:val="18"/>
              </w:rPr>
              <w:t>$</w:t>
            </w:r>
          </w:p>
        </w:tc>
      </w:tr>
      <w:tr w:rsidR="00FA4AA8" w14:paraId="127F4852" w14:textId="77777777">
        <w:trPr>
          <w:trHeight w:val="299"/>
        </w:trPr>
        <w:tc>
          <w:tcPr>
            <w:tcW w:w="7369" w:type="dxa"/>
          </w:tcPr>
          <w:p w14:paraId="0E6E153B" w14:textId="77777777" w:rsidR="00FA4AA8" w:rsidRDefault="0015611F">
            <w:pPr>
              <w:pStyle w:val="TableParagraph"/>
              <w:spacing w:before="61"/>
              <w:ind w:left="50"/>
              <w:rPr>
                <w:sz w:val="18"/>
              </w:rPr>
            </w:pPr>
            <w:r>
              <w:rPr>
                <w:sz w:val="18"/>
              </w:rPr>
              <w:t>Amount owed from Ultimate Parent Entity</w:t>
            </w:r>
          </w:p>
        </w:tc>
        <w:tc>
          <w:tcPr>
            <w:tcW w:w="1061" w:type="dxa"/>
          </w:tcPr>
          <w:p w14:paraId="30312E4F" w14:textId="77777777" w:rsidR="00FA4AA8" w:rsidRDefault="0015611F">
            <w:pPr>
              <w:pStyle w:val="TableParagraph"/>
              <w:spacing w:before="62"/>
              <w:ind w:right="269"/>
              <w:jc w:val="right"/>
              <w:rPr>
                <w:b/>
                <w:sz w:val="18"/>
              </w:rPr>
            </w:pPr>
            <w:r>
              <w:rPr>
                <w:b/>
                <w:w w:val="95"/>
                <w:sz w:val="18"/>
              </w:rPr>
              <w:t>8,037</w:t>
            </w:r>
          </w:p>
        </w:tc>
        <w:tc>
          <w:tcPr>
            <w:tcW w:w="1136" w:type="dxa"/>
          </w:tcPr>
          <w:p w14:paraId="69CA572D" w14:textId="77777777" w:rsidR="00FA4AA8" w:rsidRDefault="0015611F">
            <w:pPr>
              <w:pStyle w:val="TableParagraph"/>
              <w:spacing w:before="62"/>
              <w:ind w:right="109"/>
              <w:jc w:val="right"/>
              <w:rPr>
                <w:sz w:val="18"/>
              </w:rPr>
            </w:pPr>
            <w:r>
              <w:rPr>
                <w:w w:val="99"/>
                <w:sz w:val="18"/>
              </w:rPr>
              <w:t>-</w:t>
            </w:r>
          </w:p>
        </w:tc>
      </w:tr>
      <w:tr w:rsidR="00FA4AA8" w14:paraId="32F2A6F1" w14:textId="77777777">
        <w:trPr>
          <w:trHeight w:val="233"/>
        </w:trPr>
        <w:tc>
          <w:tcPr>
            <w:tcW w:w="7369" w:type="dxa"/>
          </w:tcPr>
          <w:p w14:paraId="380625A4" w14:textId="77777777" w:rsidR="00FA4AA8" w:rsidRDefault="0015611F">
            <w:pPr>
              <w:pStyle w:val="TableParagraph"/>
              <w:spacing w:before="25" w:line="188" w:lineRule="exact"/>
              <w:ind w:left="50"/>
              <w:rPr>
                <w:sz w:val="18"/>
              </w:rPr>
            </w:pPr>
            <w:r>
              <w:rPr>
                <w:sz w:val="18"/>
              </w:rPr>
              <w:t>Amount owed to Ultimate Parent Entity</w:t>
            </w:r>
          </w:p>
        </w:tc>
        <w:tc>
          <w:tcPr>
            <w:tcW w:w="1061" w:type="dxa"/>
          </w:tcPr>
          <w:p w14:paraId="5EDED2BA" w14:textId="77777777" w:rsidR="00FA4AA8" w:rsidRDefault="0015611F">
            <w:pPr>
              <w:pStyle w:val="TableParagraph"/>
              <w:spacing w:before="26" w:line="187" w:lineRule="exact"/>
              <w:ind w:right="270"/>
              <w:jc w:val="right"/>
              <w:rPr>
                <w:b/>
                <w:sz w:val="18"/>
              </w:rPr>
            </w:pPr>
            <w:r>
              <w:rPr>
                <w:b/>
                <w:w w:val="99"/>
                <w:sz w:val="18"/>
              </w:rPr>
              <w:t>-</w:t>
            </w:r>
          </w:p>
        </w:tc>
        <w:tc>
          <w:tcPr>
            <w:tcW w:w="1136" w:type="dxa"/>
          </w:tcPr>
          <w:p w14:paraId="254714B8" w14:textId="77777777" w:rsidR="00FA4AA8" w:rsidRDefault="0015611F">
            <w:pPr>
              <w:pStyle w:val="TableParagraph"/>
              <w:spacing w:before="26" w:line="187" w:lineRule="exact"/>
              <w:ind w:right="47"/>
              <w:jc w:val="right"/>
              <w:rPr>
                <w:sz w:val="18"/>
              </w:rPr>
            </w:pPr>
            <w:r>
              <w:rPr>
                <w:w w:val="95"/>
                <w:sz w:val="18"/>
              </w:rPr>
              <w:t>(103,964)</w:t>
            </w:r>
          </w:p>
        </w:tc>
      </w:tr>
    </w:tbl>
    <w:p w14:paraId="21FB4C10" w14:textId="77777777" w:rsidR="00FA4AA8" w:rsidRDefault="00FA4AA8">
      <w:pPr>
        <w:pStyle w:val="BodyText"/>
        <w:spacing w:before="5"/>
        <w:rPr>
          <w:b/>
          <w:sz w:val="27"/>
        </w:rPr>
      </w:pPr>
    </w:p>
    <w:p w14:paraId="40A1B37E" w14:textId="77777777" w:rsidR="00FA4AA8" w:rsidRDefault="0015611F">
      <w:pPr>
        <w:pStyle w:val="BodyText"/>
        <w:spacing w:before="1"/>
        <w:ind w:left="564" w:right="170"/>
      </w:pPr>
      <w:r>
        <w:t>The ultimate parent collected $52,186 donations on behalf of the Trust during the year. Donations collected and T-Corp investments were used to settle amounts owed by the Trust to the Ultimate Parent.</w:t>
      </w:r>
    </w:p>
    <w:p w14:paraId="166FACA9" w14:textId="77777777" w:rsidR="00FA4AA8" w:rsidRDefault="00FA4AA8">
      <w:pPr>
        <w:pStyle w:val="BodyText"/>
        <w:spacing w:before="10"/>
        <w:rPr>
          <w:sz w:val="24"/>
        </w:rPr>
      </w:pPr>
    </w:p>
    <w:p w14:paraId="553F9899" w14:textId="77777777" w:rsidR="00FA4AA8" w:rsidRDefault="0015611F">
      <w:pPr>
        <w:numPr>
          <w:ilvl w:val="0"/>
          <w:numId w:val="35"/>
        </w:numPr>
        <w:tabs>
          <w:tab w:val="left" w:pos="565"/>
        </w:tabs>
        <w:ind w:left="564"/>
        <w:rPr>
          <w:b/>
          <w:sz w:val="18"/>
        </w:rPr>
      </w:pPr>
      <w:r>
        <w:rPr>
          <w:b/>
          <w:sz w:val="18"/>
        </w:rPr>
        <w:t>Economic dependency</w:t>
      </w:r>
    </w:p>
    <w:p w14:paraId="03CE112F" w14:textId="77777777" w:rsidR="00FA4AA8" w:rsidRDefault="00FA4AA8">
      <w:pPr>
        <w:pStyle w:val="BodyText"/>
        <w:rPr>
          <w:b/>
          <w:sz w:val="25"/>
        </w:rPr>
      </w:pPr>
    </w:p>
    <w:p w14:paraId="1375E542" w14:textId="77777777" w:rsidR="00FA4AA8" w:rsidRDefault="0015611F">
      <w:pPr>
        <w:pStyle w:val="BodyText"/>
        <w:ind w:left="563" w:right="262"/>
      </w:pPr>
      <w:r>
        <w:t>The Trust is economically dependent on the Western Sydney University for the provision of office accommodation and support activities.</w:t>
      </w:r>
    </w:p>
    <w:p w14:paraId="2CE8DCC2" w14:textId="77777777" w:rsidR="00FA4AA8" w:rsidRDefault="00FA4AA8">
      <w:pPr>
        <w:pStyle w:val="BodyText"/>
        <w:rPr>
          <w:sz w:val="25"/>
        </w:rPr>
      </w:pPr>
    </w:p>
    <w:p w14:paraId="7C69D8C3" w14:textId="77777777" w:rsidR="00FA4AA8" w:rsidRDefault="0015611F">
      <w:pPr>
        <w:numPr>
          <w:ilvl w:val="0"/>
          <w:numId w:val="35"/>
        </w:numPr>
        <w:tabs>
          <w:tab w:val="left" w:pos="564"/>
        </w:tabs>
        <w:ind w:left="563" w:hanging="395"/>
        <w:rPr>
          <w:b/>
          <w:sz w:val="18"/>
        </w:rPr>
      </w:pPr>
      <w:r>
        <w:rPr>
          <w:b/>
          <w:sz w:val="18"/>
        </w:rPr>
        <w:t>Events occurring after the reporting</w:t>
      </w:r>
      <w:r>
        <w:rPr>
          <w:b/>
          <w:spacing w:val="-1"/>
          <w:sz w:val="18"/>
        </w:rPr>
        <w:t xml:space="preserve"> </w:t>
      </w:r>
      <w:r>
        <w:rPr>
          <w:b/>
          <w:sz w:val="18"/>
        </w:rPr>
        <w:t>date</w:t>
      </w:r>
    </w:p>
    <w:p w14:paraId="03ADAC53" w14:textId="77777777" w:rsidR="00FA4AA8" w:rsidRDefault="00FA4AA8">
      <w:pPr>
        <w:pStyle w:val="BodyText"/>
        <w:spacing w:before="11"/>
        <w:rPr>
          <w:b/>
          <w:sz w:val="24"/>
        </w:rPr>
      </w:pPr>
    </w:p>
    <w:p w14:paraId="38B8ACD1" w14:textId="77777777" w:rsidR="00FA4AA8" w:rsidRDefault="0015611F">
      <w:pPr>
        <w:pStyle w:val="BodyText"/>
        <w:ind w:left="564" w:right="161" w:hanging="1"/>
      </w:pPr>
      <w:r>
        <w:t>No matters or circumstances have arisen since the end of the financial year which significantly affected or may significantly affect the operations of the Trust, the results of those operations, or the state of affairs of the Trust in future financial years (2017: nil).</w:t>
      </w:r>
    </w:p>
    <w:p w14:paraId="1FCA9E67" w14:textId="77777777" w:rsidR="00FA4AA8" w:rsidRDefault="00FA4AA8">
      <w:pPr>
        <w:pStyle w:val="BodyText"/>
        <w:rPr>
          <w:sz w:val="20"/>
        </w:rPr>
      </w:pPr>
    </w:p>
    <w:p w14:paraId="3B2B8C0B" w14:textId="77777777" w:rsidR="00FA4AA8" w:rsidRDefault="00FA4AA8">
      <w:pPr>
        <w:pStyle w:val="BodyText"/>
        <w:rPr>
          <w:sz w:val="20"/>
        </w:rPr>
      </w:pPr>
    </w:p>
    <w:p w14:paraId="10A8456F" w14:textId="77777777" w:rsidR="00FA4AA8" w:rsidRDefault="00FA4AA8">
      <w:pPr>
        <w:pStyle w:val="BodyText"/>
        <w:spacing w:before="10"/>
        <w:rPr>
          <w:sz w:val="27"/>
        </w:rPr>
      </w:pPr>
    </w:p>
    <w:p w14:paraId="227C7916" w14:textId="77777777" w:rsidR="00FA4AA8" w:rsidRDefault="0015611F">
      <w:pPr>
        <w:pStyle w:val="BodyText"/>
        <w:ind w:left="564"/>
      </w:pPr>
      <w:r>
        <w:t>END OF AUDITED FINANCIAL STATEMENTS</w:t>
      </w:r>
    </w:p>
    <w:p w14:paraId="1C3DF897" w14:textId="77777777" w:rsidR="00FA4AA8" w:rsidRDefault="00FA4AA8">
      <w:pPr>
        <w:sectPr w:rsidR="00FA4AA8">
          <w:pgSz w:w="11910" w:h="16840"/>
          <w:pgMar w:top="2540" w:right="840" w:bottom="720" w:left="840" w:header="1017" w:footer="523" w:gutter="0"/>
          <w:cols w:space="720"/>
        </w:sectPr>
      </w:pPr>
    </w:p>
    <w:p w14:paraId="10768A28" w14:textId="77777777" w:rsidR="00FA4AA8" w:rsidRDefault="0015611F">
      <w:pPr>
        <w:pStyle w:val="BodyText"/>
        <w:ind w:left="4483"/>
        <w:rPr>
          <w:sz w:val="20"/>
        </w:rPr>
      </w:pPr>
      <w:r>
        <w:rPr>
          <w:noProof/>
          <w:sz w:val="20"/>
          <w:lang w:val="en-AU" w:eastAsia="en-AU"/>
        </w:rPr>
        <w:drawing>
          <wp:inline distT="0" distB="0" distL="0" distR="0" wp14:anchorId="6D6A0CEB" wp14:editId="187E7C33">
            <wp:extent cx="608075" cy="155448"/>
            <wp:effectExtent l="0" t="0" r="0" b="0"/>
            <wp:docPr id="103"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65.jpeg"/>
                    <pic:cNvPicPr/>
                  </pic:nvPicPr>
                  <pic:blipFill>
                    <a:blip r:embed="rId215" cstate="print"/>
                    <a:stretch>
                      <a:fillRect/>
                    </a:stretch>
                  </pic:blipFill>
                  <pic:spPr>
                    <a:xfrm>
                      <a:off x="0" y="0"/>
                      <a:ext cx="608075" cy="155448"/>
                    </a:xfrm>
                    <a:prstGeom prst="rect">
                      <a:avLst/>
                    </a:prstGeom>
                  </pic:spPr>
                </pic:pic>
              </a:graphicData>
            </a:graphic>
          </wp:inline>
        </w:drawing>
      </w:r>
    </w:p>
    <w:p w14:paraId="2E9ED715" w14:textId="77777777" w:rsidR="00FA4AA8" w:rsidRDefault="0015611F">
      <w:pPr>
        <w:pStyle w:val="BodyText"/>
        <w:spacing w:before="3"/>
        <w:rPr>
          <w:sz w:val="13"/>
        </w:rPr>
      </w:pPr>
      <w:r>
        <w:rPr>
          <w:noProof/>
          <w:lang w:val="en-AU" w:eastAsia="en-AU"/>
        </w:rPr>
        <w:drawing>
          <wp:anchor distT="0" distB="0" distL="0" distR="0" simplePos="0" relativeHeight="155" behindDoc="0" locked="0" layoutInCell="1" allowOverlap="1" wp14:anchorId="476F6880" wp14:editId="1808C447">
            <wp:simplePos x="0" y="0"/>
            <wp:positionH relativeFrom="page">
              <wp:posOffset>3378708</wp:posOffset>
            </wp:positionH>
            <wp:positionV relativeFrom="paragraph">
              <wp:posOffset>121793</wp:posOffset>
            </wp:positionV>
            <wp:extent cx="768095" cy="434340"/>
            <wp:effectExtent l="0" t="0" r="0" b="0"/>
            <wp:wrapTopAndBottom/>
            <wp:docPr id="105"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66.jpeg"/>
                    <pic:cNvPicPr/>
                  </pic:nvPicPr>
                  <pic:blipFill>
                    <a:blip r:embed="rId216" cstate="print"/>
                    <a:stretch>
                      <a:fillRect/>
                    </a:stretch>
                  </pic:blipFill>
                  <pic:spPr>
                    <a:xfrm>
                      <a:off x="0" y="0"/>
                      <a:ext cx="768095" cy="434340"/>
                    </a:xfrm>
                    <a:prstGeom prst="rect">
                      <a:avLst/>
                    </a:prstGeom>
                  </pic:spPr>
                </pic:pic>
              </a:graphicData>
            </a:graphic>
          </wp:anchor>
        </w:drawing>
      </w:r>
    </w:p>
    <w:p w14:paraId="1EADFD19" w14:textId="77777777" w:rsidR="00FA4AA8" w:rsidRDefault="00FA4AA8">
      <w:pPr>
        <w:pStyle w:val="BodyText"/>
        <w:spacing w:before="10"/>
        <w:rPr>
          <w:sz w:val="6"/>
        </w:rPr>
      </w:pPr>
    </w:p>
    <w:p w14:paraId="13D371F7" w14:textId="77777777" w:rsidR="00FA4AA8" w:rsidRDefault="0015611F">
      <w:pPr>
        <w:pStyle w:val="BodyText"/>
        <w:ind w:left="4332"/>
        <w:rPr>
          <w:sz w:val="20"/>
        </w:rPr>
      </w:pPr>
      <w:r>
        <w:rPr>
          <w:noProof/>
          <w:sz w:val="20"/>
          <w:lang w:val="en-AU" w:eastAsia="en-AU"/>
        </w:rPr>
        <w:drawing>
          <wp:inline distT="0" distB="0" distL="0" distR="0" wp14:anchorId="235EA01A" wp14:editId="0030C3CA">
            <wp:extent cx="781812" cy="219455"/>
            <wp:effectExtent l="0" t="0" r="0" b="0"/>
            <wp:docPr id="107"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7.jpeg"/>
                    <pic:cNvPicPr/>
                  </pic:nvPicPr>
                  <pic:blipFill>
                    <a:blip r:embed="rId217" cstate="print"/>
                    <a:stretch>
                      <a:fillRect/>
                    </a:stretch>
                  </pic:blipFill>
                  <pic:spPr>
                    <a:xfrm>
                      <a:off x="0" y="0"/>
                      <a:ext cx="781812" cy="219455"/>
                    </a:xfrm>
                    <a:prstGeom prst="rect">
                      <a:avLst/>
                    </a:prstGeom>
                  </pic:spPr>
                </pic:pic>
              </a:graphicData>
            </a:graphic>
          </wp:inline>
        </w:drawing>
      </w:r>
    </w:p>
    <w:p w14:paraId="31C7C7F4" w14:textId="77777777" w:rsidR="00FA4AA8" w:rsidRDefault="00FA4AA8">
      <w:pPr>
        <w:pStyle w:val="BodyText"/>
        <w:rPr>
          <w:sz w:val="20"/>
        </w:rPr>
      </w:pPr>
    </w:p>
    <w:p w14:paraId="584EB075" w14:textId="77777777" w:rsidR="00FA4AA8" w:rsidRDefault="00FA4AA8">
      <w:pPr>
        <w:pStyle w:val="BodyText"/>
        <w:rPr>
          <w:sz w:val="20"/>
        </w:rPr>
      </w:pPr>
    </w:p>
    <w:p w14:paraId="5DD46A05" w14:textId="77777777" w:rsidR="00FA4AA8" w:rsidRDefault="00FA4AA8">
      <w:pPr>
        <w:pStyle w:val="BodyText"/>
        <w:spacing w:before="6"/>
        <w:rPr>
          <w:sz w:val="24"/>
        </w:rPr>
      </w:pPr>
    </w:p>
    <w:p w14:paraId="38F422C6" w14:textId="77777777" w:rsidR="00FA4AA8" w:rsidRDefault="0015611F">
      <w:pPr>
        <w:spacing w:before="93"/>
        <w:ind w:left="232" w:right="275"/>
        <w:jc w:val="center"/>
        <w:rPr>
          <w:sz w:val="23"/>
        </w:rPr>
      </w:pPr>
      <w:r>
        <w:rPr>
          <w:color w:val="161616"/>
          <w:sz w:val="23"/>
        </w:rPr>
        <w:t xml:space="preserve">INDEPENDENT </w:t>
      </w:r>
      <w:r>
        <w:rPr>
          <w:color w:val="0E0E0E"/>
          <w:sz w:val="23"/>
        </w:rPr>
        <w:t xml:space="preserve">AUDITOR’S </w:t>
      </w:r>
      <w:r>
        <w:rPr>
          <w:sz w:val="23"/>
        </w:rPr>
        <w:t>REPORT</w:t>
      </w:r>
    </w:p>
    <w:p w14:paraId="08E6E16C" w14:textId="77777777" w:rsidR="00FA4AA8" w:rsidRDefault="0015611F">
      <w:pPr>
        <w:spacing w:before="169"/>
        <w:ind w:left="249" w:right="275"/>
        <w:jc w:val="center"/>
        <w:rPr>
          <w:b/>
          <w:sz w:val="19"/>
        </w:rPr>
      </w:pPr>
      <w:r>
        <w:rPr>
          <w:b/>
          <w:color w:val="1F1F1F"/>
          <w:sz w:val="19"/>
        </w:rPr>
        <w:t xml:space="preserve">Whitlam </w:t>
      </w:r>
      <w:r>
        <w:rPr>
          <w:b/>
          <w:color w:val="131313"/>
          <w:sz w:val="19"/>
        </w:rPr>
        <w:t xml:space="preserve">Institute within </w:t>
      </w:r>
      <w:r>
        <w:rPr>
          <w:b/>
          <w:color w:val="0C0C0C"/>
          <w:sz w:val="19"/>
        </w:rPr>
        <w:t xml:space="preserve">Western </w:t>
      </w:r>
      <w:r>
        <w:rPr>
          <w:b/>
          <w:color w:val="151515"/>
          <w:sz w:val="19"/>
        </w:rPr>
        <w:t xml:space="preserve">Sydney </w:t>
      </w:r>
      <w:r>
        <w:rPr>
          <w:b/>
          <w:color w:val="131313"/>
          <w:sz w:val="19"/>
        </w:rPr>
        <w:t xml:space="preserve">University </w:t>
      </w:r>
      <w:r>
        <w:rPr>
          <w:b/>
          <w:sz w:val="19"/>
        </w:rPr>
        <w:t>Trust</w:t>
      </w:r>
    </w:p>
    <w:p w14:paraId="1C629765" w14:textId="77777777" w:rsidR="00FA4AA8" w:rsidRDefault="00FA4AA8">
      <w:pPr>
        <w:pStyle w:val="BodyText"/>
        <w:rPr>
          <w:b/>
          <w:sz w:val="20"/>
        </w:rPr>
      </w:pPr>
    </w:p>
    <w:p w14:paraId="0D56C926" w14:textId="77777777" w:rsidR="00FA4AA8" w:rsidRDefault="00FA4AA8">
      <w:pPr>
        <w:pStyle w:val="BodyText"/>
        <w:spacing w:before="5"/>
        <w:rPr>
          <w:b/>
          <w:sz w:val="28"/>
        </w:rPr>
      </w:pPr>
    </w:p>
    <w:p w14:paraId="556F66E8" w14:textId="77777777" w:rsidR="00FA4AA8" w:rsidRDefault="0015611F">
      <w:pPr>
        <w:spacing w:line="247" w:lineRule="auto"/>
        <w:ind w:left="643" w:right="710" w:hanging="3"/>
        <w:rPr>
          <w:sz w:val="20"/>
        </w:rPr>
      </w:pPr>
      <w:r>
        <w:rPr>
          <w:color w:val="0F0F0F"/>
          <w:sz w:val="20"/>
        </w:rPr>
        <w:t>To</w:t>
      </w:r>
      <w:r>
        <w:rPr>
          <w:color w:val="0F0F0F"/>
          <w:spacing w:val="-37"/>
          <w:sz w:val="20"/>
        </w:rPr>
        <w:t xml:space="preserve"> </w:t>
      </w:r>
      <w:r>
        <w:rPr>
          <w:sz w:val="20"/>
        </w:rPr>
        <w:t>Members</w:t>
      </w:r>
      <w:r>
        <w:rPr>
          <w:spacing w:val="-24"/>
          <w:sz w:val="20"/>
        </w:rPr>
        <w:t xml:space="preserve"> </w:t>
      </w:r>
      <w:r>
        <w:rPr>
          <w:color w:val="131313"/>
          <w:sz w:val="20"/>
        </w:rPr>
        <w:t>of</w:t>
      </w:r>
      <w:r>
        <w:rPr>
          <w:color w:val="131313"/>
          <w:spacing w:val="-32"/>
          <w:sz w:val="20"/>
        </w:rPr>
        <w:t xml:space="preserve"> </w:t>
      </w:r>
      <w:r>
        <w:rPr>
          <w:sz w:val="20"/>
        </w:rPr>
        <w:t>the</w:t>
      </w:r>
      <w:r>
        <w:rPr>
          <w:spacing w:val="-32"/>
          <w:sz w:val="20"/>
        </w:rPr>
        <w:t xml:space="preserve"> </w:t>
      </w:r>
      <w:r>
        <w:rPr>
          <w:color w:val="181818"/>
          <w:sz w:val="20"/>
        </w:rPr>
        <w:t>New</w:t>
      </w:r>
      <w:r>
        <w:rPr>
          <w:color w:val="181818"/>
          <w:spacing w:val="-30"/>
          <w:sz w:val="20"/>
        </w:rPr>
        <w:t xml:space="preserve"> </w:t>
      </w:r>
      <w:r>
        <w:rPr>
          <w:sz w:val="20"/>
        </w:rPr>
        <w:t>South</w:t>
      </w:r>
      <w:r>
        <w:rPr>
          <w:spacing w:val="-34"/>
          <w:sz w:val="20"/>
        </w:rPr>
        <w:t xml:space="preserve"> </w:t>
      </w:r>
      <w:r>
        <w:rPr>
          <w:color w:val="0C0C0C"/>
          <w:sz w:val="20"/>
        </w:rPr>
        <w:t>Wales</w:t>
      </w:r>
      <w:r>
        <w:rPr>
          <w:color w:val="0C0C0C"/>
          <w:spacing w:val="-26"/>
          <w:sz w:val="20"/>
        </w:rPr>
        <w:t xml:space="preserve"> </w:t>
      </w:r>
      <w:r>
        <w:rPr>
          <w:sz w:val="20"/>
        </w:rPr>
        <w:t>Parliament</w:t>
      </w:r>
      <w:r>
        <w:rPr>
          <w:spacing w:val="-27"/>
          <w:sz w:val="20"/>
        </w:rPr>
        <w:t xml:space="preserve"> </w:t>
      </w:r>
      <w:r>
        <w:rPr>
          <w:sz w:val="20"/>
        </w:rPr>
        <w:t>and</w:t>
      </w:r>
      <w:r>
        <w:rPr>
          <w:spacing w:val="-31"/>
          <w:sz w:val="20"/>
        </w:rPr>
        <w:t xml:space="preserve"> </w:t>
      </w:r>
      <w:r>
        <w:rPr>
          <w:sz w:val="20"/>
        </w:rPr>
        <w:t>Members</w:t>
      </w:r>
      <w:r>
        <w:rPr>
          <w:spacing w:val="-28"/>
          <w:sz w:val="20"/>
        </w:rPr>
        <w:t xml:space="preserve"> </w:t>
      </w:r>
      <w:r>
        <w:rPr>
          <w:color w:val="131313"/>
          <w:sz w:val="20"/>
        </w:rPr>
        <w:t>of</w:t>
      </w:r>
      <w:r>
        <w:rPr>
          <w:color w:val="131313"/>
          <w:spacing w:val="-34"/>
          <w:sz w:val="20"/>
        </w:rPr>
        <w:t xml:space="preserve"> </w:t>
      </w:r>
      <w:r>
        <w:rPr>
          <w:sz w:val="20"/>
        </w:rPr>
        <w:t>Whitlam</w:t>
      </w:r>
      <w:r>
        <w:rPr>
          <w:spacing w:val="-29"/>
          <w:sz w:val="20"/>
        </w:rPr>
        <w:t xml:space="preserve"> </w:t>
      </w:r>
      <w:r>
        <w:rPr>
          <w:sz w:val="20"/>
        </w:rPr>
        <w:t>Institute</w:t>
      </w:r>
      <w:r>
        <w:rPr>
          <w:spacing w:val="-28"/>
          <w:sz w:val="20"/>
        </w:rPr>
        <w:t xml:space="preserve"> </w:t>
      </w:r>
      <w:r>
        <w:rPr>
          <w:sz w:val="20"/>
        </w:rPr>
        <w:t>within</w:t>
      </w:r>
      <w:r>
        <w:rPr>
          <w:spacing w:val="-31"/>
          <w:sz w:val="20"/>
        </w:rPr>
        <w:t xml:space="preserve"> </w:t>
      </w:r>
      <w:r>
        <w:rPr>
          <w:sz w:val="20"/>
        </w:rPr>
        <w:t>Western Sydney University</w:t>
      </w:r>
      <w:r>
        <w:rPr>
          <w:spacing w:val="21"/>
          <w:sz w:val="20"/>
        </w:rPr>
        <w:t xml:space="preserve"> </w:t>
      </w:r>
      <w:r>
        <w:rPr>
          <w:color w:val="111111"/>
          <w:sz w:val="20"/>
        </w:rPr>
        <w:t>Trust</w:t>
      </w:r>
    </w:p>
    <w:p w14:paraId="2DCBC3A6" w14:textId="77777777" w:rsidR="00FA4AA8" w:rsidRDefault="0015611F">
      <w:pPr>
        <w:spacing w:before="144"/>
        <w:ind w:left="641"/>
        <w:rPr>
          <w:sz w:val="24"/>
        </w:rPr>
      </w:pPr>
      <w:r>
        <w:rPr>
          <w:color w:val="161616"/>
          <w:w w:val="105"/>
          <w:sz w:val="24"/>
        </w:rPr>
        <w:t>Opinion</w:t>
      </w:r>
    </w:p>
    <w:p w14:paraId="7D1D8A52" w14:textId="77777777" w:rsidR="00FA4AA8" w:rsidRDefault="0015611F">
      <w:pPr>
        <w:spacing w:before="115" w:line="228" w:lineRule="auto"/>
        <w:ind w:left="636" w:right="710" w:hanging="3"/>
        <w:rPr>
          <w:sz w:val="21"/>
        </w:rPr>
      </w:pPr>
      <w:r>
        <w:rPr>
          <w:color w:val="242424"/>
          <w:w w:val="95"/>
          <w:sz w:val="21"/>
        </w:rPr>
        <w:t>I</w:t>
      </w:r>
      <w:r>
        <w:rPr>
          <w:color w:val="242424"/>
          <w:spacing w:val="-33"/>
          <w:w w:val="95"/>
          <w:sz w:val="21"/>
        </w:rPr>
        <w:t xml:space="preserve"> </w:t>
      </w:r>
      <w:r>
        <w:rPr>
          <w:w w:val="95"/>
          <w:sz w:val="21"/>
        </w:rPr>
        <w:t>have</w:t>
      </w:r>
      <w:r>
        <w:rPr>
          <w:spacing w:val="-30"/>
          <w:w w:val="95"/>
          <w:sz w:val="21"/>
        </w:rPr>
        <w:t xml:space="preserve"> </w:t>
      </w:r>
      <w:r>
        <w:rPr>
          <w:w w:val="95"/>
          <w:sz w:val="21"/>
        </w:rPr>
        <w:t>audited</w:t>
      </w:r>
      <w:r>
        <w:rPr>
          <w:spacing w:val="-28"/>
          <w:w w:val="95"/>
          <w:sz w:val="21"/>
        </w:rPr>
        <w:t xml:space="preserve"> </w:t>
      </w:r>
      <w:r>
        <w:rPr>
          <w:w w:val="95"/>
          <w:sz w:val="21"/>
        </w:rPr>
        <w:t>the</w:t>
      </w:r>
      <w:r>
        <w:rPr>
          <w:spacing w:val="-31"/>
          <w:w w:val="95"/>
          <w:sz w:val="21"/>
        </w:rPr>
        <w:t xml:space="preserve"> </w:t>
      </w:r>
      <w:r>
        <w:rPr>
          <w:w w:val="95"/>
          <w:sz w:val="21"/>
        </w:rPr>
        <w:t>accompanying</w:t>
      </w:r>
      <w:r>
        <w:rPr>
          <w:spacing w:val="-19"/>
          <w:w w:val="95"/>
          <w:sz w:val="21"/>
        </w:rPr>
        <w:t xml:space="preserve"> </w:t>
      </w:r>
      <w:r>
        <w:rPr>
          <w:w w:val="95"/>
          <w:sz w:val="21"/>
        </w:rPr>
        <w:t>financial</w:t>
      </w:r>
      <w:r>
        <w:rPr>
          <w:spacing w:val="-26"/>
          <w:w w:val="95"/>
          <w:sz w:val="21"/>
        </w:rPr>
        <w:t xml:space="preserve"> </w:t>
      </w:r>
      <w:r>
        <w:rPr>
          <w:color w:val="0C0C0C"/>
          <w:w w:val="95"/>
          <w:sz w:val="21"/>
        </w:rPr>
        <w:t>statements</w:t>
      </w:r>
      <w:r>
        <w:rPr>
          <w:color w:val="0C0C0C"/>
          <w:spacing w:val="-23"/>
          <w:w w:val="95"/>
          <w:sz w:val="21"/>
        </w:rPr>
        <w:t xml:space="preserve"> </w:t>
      </w:r>
      <w:r>
        <w:rPr>
          <w:w w:val="95"/>
          <w:sz w:val="21"/>
        </w:rPr>
        <w:t>of</w:t>
      </w:r>
      <w:r>
        <w:rPr>
          <w:spacing w:val="-33"/>
          <w:w w:val="95"/>
          <w:sz w:val="21"/>
        </w:rPr>
        <w:t xml:space="preserve"> </w:t>
      </w:r>
      <w:r>
        <w:rPr>
          <w:color w:val="131313"/>
          <w:w w:val="95"/>
          <w:sz w:val="21"/>
        </w:rPr>
        <w:t>the</w:t>
      </w:r>
      <w:r>
        <w:rPr>
          <w:color w:val="131313"/>
          <w:spacing w:val="-32"/>
          <w:w w:val="95"/>
          <w:sz w:val="21"/>
        </w:rPr>
        <w:t xml:space="preserve"> </w:t>
      </w:r>
      <w:r>
        <w:rPr>
          <w:w w:val="95"/>
          <w:sz w:val="21"/>
        </w:rPr>
        <w:t>Whitlam</w:t>
      </w:r>
      <w:r>
        <w:rPr>
          <w:spacing w:val="-27"/>
          <w:w w:val="95"/>
          <w:sz w:val="21"/>
        </w:rPr>
        <w:t xml:space="preserve"> </w:t>
      </w:r>
      <w:r>
        <w:rPr>
          <w:w w:val="95"/>
          <w:sz w:val="21"/>
        </w:rPr>
        <w:t>Institute</w:t>
      </w:r>
      <w:r>
        <w:rPr>
          <w:spacing w:val="-30"/>
          <w:w w:val="95"/>
          <w:sz w:val="21"/>
        </w:rPr>
        <w:t xml:space="preserve"> </w:t>
      </w:r>
      <w:r>
        <w:rPr>
          <w:color w:val="0F0F0F"/>
          <w:w w:val="95"/>
          <w:sz w:val="21"/>
        </w:rPr>
        <w:t>within</w:t>
      </w:r>
      <w:r>
        <w:rPr>
          <w:color w:val="0F0F0F"/>
          <w:spacing w:val="-28"/>
          <w:w w:val="95"/>
          <w:sz w:val="21"/>
        </w:rPr>
        <w:t xml:space="preserve"> </w:t>
      </w:r>
      <w:r>
        <w:rPr>
          <w:color w:val="0C0C0C"/>
          <w:w w:val="95"/>
          <w:sz w:val="21"/>
        </w:rPr>
        <w:t>Western</w:t>
      </w:r>
      <w:r>
        <w:rPr>
          <w:color w:val="0C0C0C"/>
          <w:spacing w:val="-25"/>
          <w:w w:val="95"/>
          <w:sz w:val="21"/>
        </w:rPr>
        <w:t xml:space="preserve"> </w:t>
      </w:r>
      <w:r>
        <w:rPr>
          <w:w w:val="95"/>
          <w:sz w:val="21"/>
        </w:rPr>
        <w:t xml:space="preserve">Sydney University Trust </w:t>
      </w:r>
      <w:r>
        <w:rPr>
          <w:color w:val="0E0E0E"/>
          <w:w w:val="95"/>
          <w:sz w:val="21"/>
        </w:rPr>
        <w:t xml:space="preserve">(The </w:t>
      </w:r>
      <w:r>
        <w:rPr>
          <w:color w:val="0A0A0A"/>
          <w:w w:val="95"/>
          <w:sz w:val="21"/>
        </w:rPr>
        <w:t xml:space="preserve">Trust), </w:t>
      </w:r>
      <w:r>
        <w:rPr>
          <w:w w:val="95"/>
          <w:sz w:val="21"/>
        </w:rPr>
        <w:t xml:space="preserve">which comprise </w:t>
      </w:r>
      <w:r>
        <w:rPr>
          <w:color w:val="111111"/>
          <w:w w:val="95"/>
          <w:sz w:val="21"/>
        </w:rPr>
        <w:t xml:space="preserve">the </w:t>
      </w:r>
      <w:r>
        <w:rPr>
          <w:w w:val="95"/>
          <w:sz w:val="21"/>
        </w:rPr>
        <w:t xml:space="preserve">Statement of comprehensive income </w:t>
      </w:r>
      <w:r>
        <w:rPr>
          <w:color w:val="0C0C0C"/>
          <w:w w:val="95"/>
          <w:sz w:val="21"/>
        </w:rPr>
        <w:t xml:space="preserve">for </w:t>
      </w:r>
      <w:r>
        <w:rPr>
          <w:w w:val="95"/>
          <w:sz w:val="21"/>
        </w:rPr>
        <w:t>the year ended</w:t>
      </w:r>
      <w:r>
        <w:rPr>
          <w:spacing w:val="-26"/>
          <w:w w:val="95"/>
          <w:sz w:val="21"/>
        </w:rPr>
        <w:t xml:space="preserve"> </w:t>
      </w:r>
      <w:r>
        <w:rPr>
          <w:color w:val="111111"/>
          <w:w w:val="95"/>
          <w:sz w:val="21"/>
        </w:rPr>
        <w:t>31</w:t>
      </w:r>
      <w:r>
        <w:rPr>
          <w:color w:val="111111"/>
          <w:spacing w:val="-31"/>
          <w:w w:val="95"/>
          <w:sz w:val="21"/>
        </w:rPr>
        <w:t xml:space="preserve"> </w:t>
      </w:r>
      <w:r>
        <w:rPr>
          <w:w w:val="95"/>
          <w:sz w:val="21"/>
        </w:rPr>
        <w:t>December</w:t>
      </w:r>
      <w:r>
        <w:rPr>
          <w:spacing w:val="-25"/>
          <w:w w:val="95"/>
          <w:sz w:val="21"/>
        </w:rPr>
        <w:t xml:space="preserve"> </w:t>
      </w:r>
      <w:r>
        <w:rPr>
          <w:w w:val="95"/>
          <w:sz w:val="21"/>
        </w:rPr>
        <w:t>2018,</w:t>
      </w:r>
      <w:r>
        <w:rPr>
          <w:spacing w:val="-28"/>
          <w:w w:val="95"/>
          <w:sz w:val="21"/>
        </w:rPr>
        <w:t xml:space="preserve"> </w:t>
      </w:r>
      <w:r>
        <w:rPr>
          <w:w w:val="95"/>
          <w:sz w:val="21"/>
        </w:rPr>
        <w:t>the</w:t>
      </w:r>
      <w:r>
        <w:rPr>
          <w:spacing w:val="-30"/>
          <w:w w:val="95"/>
          <w:sz w:val="21"/>
        </w:rPr>
        <w:t xml:space="preserve"> </w:t>
      </w:r>
      <w:r>
        <w:rPr>
          <w:w w:val="95"/>
          <w:sz w:val="21"/>
        </w:rPr>
        <w:t>Statement</w:t>
      </w:r>
      <w:r>
        <w:rPr>
          <w:spacing w:val="-23"/>
          <w:w w:val="95"/>
          <w:sz w:val="21"/>
        </w:rPr>
        <w:t xml:space="preserve"> </w:t>
      </w:r>
      <w:r>
        <w:rPr>
          <w:w w:val="95"/>
          <w:sz w:val="21"/>
        </w:rPr>
        <w:t>of</w:t>
      </w:r>
      <w:r>
        <w:rPr>
          <w:spacing w:val="-30"/>
          <w:w w:val="95"/>
          <w:sz w:val="21"/>
        </w:rPr>
        <w:t xml:space="preserve"> </w:t>
      </w:r>
      <w:r>
        <w:rPr>
          <w:w w:val="95"/>
          <w:sz w:val="21"/>
        </w:rPr>
        <w:t>financial</w:t>
      </w:r>
      <w:r>
        <w:rPr>
          <w:spacing w:val="-26"/>
          <w:w w:val="95"/>
          <w:sz w:val="21"/>
        </w:rPr>
        <w:t xml:space="preserve"> </w:t>
      </w:r>
      <w:r>
        <w:rPr>
          <w:color w:val="0C0C0C"/>
          <w:w w:val="95"/>
          <w:sz w:val="21"/>
        </w:rPr>
        <w:t>position</w:t>
      </w:r>
      <w:r>
        <w:rPr>
          <w:color w:val="0C0C0C"/>
          <w:spacing w:val="-26"/>
          <w:w w:val="95"/>
          <w:sz w:val="21"/>
        </w:rPr>
        <w:t xml:space="preserve"> </w:t>
      </w:r>
      <w:r>
        <w:rPr>
          <w:w w:val="95"/>
          <w:sz w:val="21"/>
        </w:rPr>
        <w:t>as</w:t>
      </w:r>
      <w:r>
        <w:rPr>
          <w:spacing w:val="-29"/>
          <w:w w:val="95"/>
          <w:sz w:val="21"/>
        </w:rPr>
        <w:t xml:space="preserve"> </w:t>
      </w:r>
      <w:r>
        <w:rPr>
          <w:w w:val="95"/>
          <w:sz w:val="21"/>
        </w:rPr>
        <w:t>at</w:t>
      </w:r>
      <w:r>
        <w:rPr>
          <w:spacing w:val="-30"/>
          <w:w w:val="95"/>
          <w:sz w:val="21"/>
        </w:rPr>
        <w:t xml:space="preserve"> </w:t>
      </w:r>
      <w:r>
        <w:rPr>
          <w:color w:val="161616"/>
          <w:w w:val="95"/>
          <w:sz w:val="21"/>
        </w:rPr>
        <w:t>31</w:t>
      </w:r>
      <w:r>
        <w:rPr>
          <w:color w:val="161616"/>
          <w:spacing w:val="-35"/>
          <w:w w:val="95"/>
          <w:sz w:val="21"/>
        </w:rPr>
        <w:t xml:space="preserve"> </w:t>
      </w:r>
      <w:r>
        <w:rPr>
          <w:w w:val="95"/>
          <w:sz w:val="21"/>
        </w:rPr>
        <w:t>December</w:t>
      </w:r>
      <w:r>
        <w:rPr>
          <w:spacing w:val="-22"/>
          <w:w w:val="95"/>
          <w:sz w:val="21"/>
        </w:rPr>
        <w:t xml:space="preserve"> </w:t>
      </w:r>
      <w:r>
        <w:rPr>
          <w:w w:val="95"/>
          <w:sz w:val="21"/>
        </w:rPr>
        <w:t>2018,</w:t>
      </w:r>
      <w:r>
        <w:rPr>
          <w:spacing w:val="-29"/>
          <w:w w:val="95"/>
          <w:sz w:val="21"/>
        </w:rPr>
        <w:t xml:space="preserve"> </w:t>
      </w:r>
      <w:r>
        <w:rPr>
          <w:w w:val="95"/>
          <w:sz w:val="21"/>
        </w:rPr>
        <w:t>the</w:t>
      </w:r>
      <w:r>
        <w:rPr>
          <w:spacing w:val="-32"/>
          <w:w w:val="95"/>
          <w:sz w:val="21"/>
        </w:rPr>
        <w:t xml:space="preserve"> </w:t>
      </w:r>
      <w:r>
        <w:rPr>
          <w:w w:val="95"/>
          <w:sz w:val="21"/>
        </w:rPr>
        <w:t>Statement</w:t>
      </w:r>
      <w:r>
        <w:rPr>
          <w:color w:val="0F0F0F"/>
          <w:w w:val="95"/>
          <w:sz w:val="21"/>
        </w:rPr>
        <w:t xml:space="preserve"> </w:t>
      </w:r>
      <w:r>
        <w:rPr>
          <w:color w:val="0F0F0F"/>
          <w:sz w:val="21"/>
        </w:rPr>
        <w:t>of</w:t>
      </w:r>
      <w:r>
        <w:rPr>
          <w:color w:val="0F0F0F"/>
          <w:spacing w:val="-35"/>
          <w:sz w:val="21"/>
        </w:rPr>
        <w:t xml:space="preserve"> </w:t>
      </w:r>
      <w:r>
        <w:rPr>
          <w:sz w:val="21"/>
        </w:rPr>
        <w:t>changes</w:t>
      </w:r>
      <w:r>
        <w:rPr>
          <w:spacing w:val="-33"/>
          <w:sz w:val="21"/>
        </w:rPr>
        <w:t xml:space="preserve"> </w:t>
      </w:r>
      <w:r>
        <w:rPr>
          <w:color w:val="1A1A1A"/>
          <w:sz w:val="21"/>
        </w:rPr>
        <w:t>in</w:t>
      </w:r>
      <w:r>
        <w:rPr>
          <w:color w:val="1A1A1A"/>
          <w:spacing w:val="-37"/>
          <w:sz w:val="21"/>
        </w:rPr>
        <w:t xml:space="preserve"> </w:t>
      </w:r>
      <w:r>
        <w:rPr>
          <w:sz w:val="21"/>
        </w:rPr>
        <w:t>equity</w:t>
      </w:r>
      <w:r>
        <w:rPr>
          <w:spacing w:val="-32"/>
          <w:sz w:val="21"/>
        </w:rPr>
        <w:t xml:space="preserve"> </w:t>
      </w:r>
      <w:r>
        <w:rPr>
          <w:color w:val="0F0F0F"/>
          <w:sz w:val="21"/>
        </w:rPr>
        <w:t>and</w:t>
      </w:r>
      <w:r>
        <w:rPr>
          <w:color w:val="0F0F0F"/>
          <w:spacing w:val="-36"/>
          <w:sz w:val="21"/>
        </w:rPr>
        <w:t xml:space="preserve"> </w:t>
      </w:r>
      <w:r>
        <w:rPr>
          <w:sz w:val="21"/>
        </w:rPr>
        <w:t>the</w:t>
      </w:r>
      <w:r>
        <w:rPr>
          <w:spacing w:val="-35"/>
          <w:sz w:val="21"/>
        </w:rPr>
        <w:t xml:space="preserve"> </w:t>
      </w:r>
      <w:r>
        <w:rPr>
          <w:sz w:val="21"/>
        </w:rPr>
        <w:t>Statement</w:t>
      </w:r>
      <w:r>
        <w:rPr>
          <w:spacing w:val="-30"/>
          <w:sz w:val="21"/>
        </w:rPr>
        <w:t xml:space="preserve"> </w:t>
      </w:r>
      <w:r>
        <w:rPr>
          <w:color w:val="151515"/>
          <w:sz w:val="21"/>
        </w:rPr>
        <w:t>of</w:t>
      </w:r>
      <w:r>
        <w:rPr>
          <w:color w:val="151515"/>
          <w:spacing w:val="-38"/>
          <w:sz w:val="21"/>
        </w:rPr>
        <w:t xml:space="preserve"> </w:t>
      </w:r>
      <w:r>
        <w:rPr>
          <w:sz w:val="21"/>
        </w:rPr>
        <w:t>cash</w:t>
      </w:r>
      <w:r>
        <w:rPr>
          <w:spacing w:val="-35"/>
          <w:sz w:val="21"/>
        </w:rPr>
        <w:t xml:space="preserve"> </w:t>
      </w:r>
      <w:r>
        <w:rPr>
          <w:color w:val="0C0C0C"/>
          <w:sz w:val="21"/>
        </w:rPr>
        <w:t>flows</w:t>
      </w:r>
      <w:r>
        <w:rPr>
          <w:color w:val="0C0C0C"/>
          <w:spacing w:val="-35"/>
          <w:sz w:val="21"/>
        </w:rPr>
        <w:t xml:space="preserve"> </w:t>
      </w:r>
      <w:r>
        <w:rPr>
          <w:sz w:val="21"/>
        </w:rPr>
        <w:t>for</w:t>
      </w:r>
      <w:r>
        <w:rPr>
          <w:spacing w:val="-37"/>
          <w:sz w:val="21"/>
        </w:rPr>
        <w:t xml:space="preserve"> </w:t>
      </w:r>
      <w:r>
        <w:rPr>
          <w:color w:val="0C0C0C"/>
          <w:sz w:val="21"/>
        </w:rPr>
        <w:t>the</w:t>
      </w:r>
      <w:r>
        <w:rPr>
          <w:color w:val="0C0C0C"/>
          <w:spacing w:val="-36"/>
          <w:sz w:val="21"/>
        </w:rPr>
        <w:t xml:space="preserve"> </w:t>
      </w:r>
      <w:r>
        <w:rPr>
          <w:color w:val="0F0F0F"/>
          <w:sz w:val="21"/>
        </w:rPr>
        <w:t>year</w:t>
      </w:r>
      <w:r>
        <w:rPr>
          <w:color w:val="0F0F0F"/>
          <w:spacing w:val="-36"/>
          <w:sz w:val="21"/>
        </w:rPr>
        <w:t xml:space="preserve"> </w:t>
      </w:r>
      <w:r>
        <w:rPr>
          <w:color w:val="0A0A0A"/>
          <w:sz w:val="21"/>
        </w:rPr>
        <w:t>then</w:t>
      </w:r>
      <w:r>
        <w:rPr>
          <w:color w:val="0A0A0A"/>
          <w:spacing w:val="-38"/>
          <w:sz w:val="21"/>
        </w:rPr>
        <w:t xml:space="preserve"> </w:t>
      </w:r>
      <w:r>
        <w:rPr>
          <w:color w:val="111111"/>
          <w:sz w:val="21"/>
        </w:rPr>
        <w:t>ended,</w:t>
      </w:r>
      <w:r>
        <w:rPr>
          <w:color w:val="111111"/>
          <w:spacing w:val="-30"/>
          <w:sz w:val="21"/>
        </w:rPr>
        <w:t xml:space="preserve"> </w:t>
      </w:r>
      <w:r>
        <w:rPr>
          <w:sz w:val="21"/>
        </w:rPr>
        <w:t>notes</w:t>
      </w:r>
      <w:r>
        <w:rPr>
          <w:spacing w:val="-33"/>
          <w:sz w:val="21"/>
        </w:rPr>
        <w:t xml:space="preserve"> </w:t>
      </w:r>
      <w:r>
        <w:rPr>
          <w:sz w:val="21"/>
        </w:rPr>
        <w:t>comprising</w:t>
      </w:r>
      <w:r>
        <w:rPr>
          <w:spacing w:val="-28"/>
          <w:sz w:val="21"/>
        </w:rPr>
        <w:t xml:space="preserve"> </w:t>
      </w:r>
      <w:r>
        <w:rPr>
          <w:color w:val="0C0C0C"/>
          <w:sz w:val="21"/>
        </w:rPr>
        <w:t>a</w:t>
      </w:r>
      <w:r>
        <w:rPr>
          <w:sz w:val="21"/>
        </w:rPr>
        <w:t xml:space="preserve"> summary</w:t>
      </w:r>
      <w:r>
        <w:rPr>
          <w:spacing w:val="-12"/>
          <w:sz w:val="21"/>
        </w:rPr>
        <w:t xml:space="preserve"> </w:t>
      </w:r>
      <w:r>
        <w:rPr>
          <w:sz w:val="21"/>
        </w:rPr>
        <w:t>of</w:t>
      </w:r>
      <w:r>
        <w:rPr>
          <w:spacing w:val="-15"/>
          <w:sz w:val="21"/>
        </w:rPr>
        <w:t xml:space="preserve"> </w:t>
      </w:r>
      <w:r>
        <w:rPr>
          <w:sz w:val="21"/>
        </w:rPr>
        <w:t>significant</w:t>
      </w:r>
      <w:r>
        <w:rPr>
          <w:spacing w:val="2"/>
          <w:sz w:val="21"/>
        </w:rPr>
        <w:t xml:space="preserve"> </w:t>
      </w:r>
      <w:r>
        <w:rPr>
          <w:sz w:val="21"/>
        </w:rPr>
        <w:t>accounting</w:t>
      </w:r>
      <w:r>
        <w:rPr>
          <w:spacing w:val="-10"/>
          <w:sz w:val="21"/>
        </w:rPr>
        <w:t xml:space="preserve"> </w:t>
      </w:r>
      <w:r>
        <w:rPr>
          <w:color w:val="0A0A0A"/>
          <w:sz w:val="21"/>
        </w:rPr>
        <w:t>policies</w:t>
      </w:r>
      <w:r>
        <w:rPr>
          <w:color w:val="0A0A0A"/>
          <w:spacing w:val="-12"/>
          <w:sz w:val="21"/>
        </w:rPr>
        <w:t xml:space="preserve"> </w:t>
      </w:r>
      <w:r>
        <w:rPr>
          <w:sz w:val="21"/>
        </w:rPr>
        <w:t>and</w:t>
      </w:r>
      <w:r>
        <w:rPr>
          <w:spacing w:val="-16"/>
          <w:sz w:val="21"/>
        </w:rPr>
        <w:t xml:space="preserve"> </w:t>
      </w:r>
      <w:r>
        <w:rPr>
          <w:sz w:val="21"/>
        </w:rPr>
        <w:t>other</w:t>
      </w:r>
      <w:r>
        <w:rPr>
          <w:spacing w:val="-14"/>
          <w:sz w:val="21"/>
        </w:rPr>
        <w:t xml:space="preserve"> </w:t>
      </w:r>
      <w:r>
        <w:rPr>
          <w:sz w:val="21"/>
        </w:rPr>
        <w:t>explanatory</w:t>
      </w:r>
      <w:r>
        <w:rPr>
          <w:spacing w:val="-8"/>
          <w:sz w:val="21"/>
        </w:rPr>
        <w:t xml:space="preserve"> </w:t>
      </w:r>
      <w:r>
        <w:rPr>
          <w:sz w:val="21"/>
        </w:rPr>
        <w:t>information.</w:t>
      </w:r>
    </w:p>
    <w:p w14:paraId="715075E1" w14:textId="77777777" w:rsidR="00FA4AA8" w:rsidRDefault="0015611F">
      <w:pPr>
        <w:spacing w:before="170"/>
        <w:ind w:left="634"/>
        <w:rPr>
          <w:sz w:val="20"/>
        </w:rPr>
      </w:pPr>
      <w:r>
        <w:rPr>
          <w:color w:val="1F1F1F"/>
          <w:sz w:val="20"/>
        </w:rPr>
        <w:t xml:space="preserve">In </w:t>
      </w:r>
      <w:r>
        <w:rPr>
          <w:color w:val="111111"/>
          <w:sz w:val="20"/>
        </w:rPr>
        <w:t xml:space="preserve">my </w:t>
      </w:r>
      <w:r>
        <w:rPr>
          <w:color w:val="131313"/>
          <w:sz w:val="20"/>
        </w:rPr>
        <w:t xml:space="preserve">opinion, the </w:t>
      </w:r>
      <w:r>
        <w:rPr>
          <w:color w:val="0C0C0C"/>
          <w:sz w:val="20"/>
        </w:rPr>
        <w:t xml:space="preserve">financial </w:t>
      </w:r>
      <w:r>
        <w:rPr>
          <w:sz w:val="20"/>
        </w:rPr>
        <w:t>statements:</w:t>
      </w:r>
    </w:p>
    <w:p w14:paraId="36C72FF3" w14:textId="77777777" w:rsidR="00FA4AA8" w:rsidRDefault="0015611F">
      <w:pPr>
        <w:pStyle w:val="ListParagraph"/>
        <w:numPr>
          <w:ilvl w:val="0"/>
          <w:numId w:val="33"/>
        </w:numPr>
        <w:tabs>
          <w:tab w:val="left" w:pos="1179"/>
          <w:tab w:val="left" w:pos="1180"/>
        </w:tabs>
        <w:spacing w:before="159" w:line="244" w:lineRule="auto"/>
        <w:ind w:right="728" w:hanging="537"/>
        <w:rPr>
          <w:color w:val="262626"/>
          <w:sz w:val="20"/>
        </w:rPr>
      </w:pPr>
      <w:r>
        <w:rPr>
          <w:color w:val="1D1D1D"/>
          <w:sz w:val="20"/>
        </w:rPr>
        <w:t>give</w:t>
      </w:r>
      <w:r>
        <w:rPr>
          <w:color w:val="1D1D1D"/>
          <w:spacing w:val="-22"/>
          <w:sz w:val="20"/>
        </w:rPr>
        <w:t xml:space="preserve"> </w:t>
      </w:r>
      <w:r>
        <w:rPr>
          <w:color w:val="262626"/>
          <w:sz w:val="20"/>
        </w:rPr>
        <w:t>a</w:t>
      </w:r>
      <w:r>
        <w:rPr>
          <w:color w:val="262626"/>
          <w:spacing w:val="-23"/>
          <w:sz w:val="20"/>
        </w:rPr>
        <w:t xml:space="preserve"> </w:t>
      </w:r>
      <w:r>
        <w:rPr>
          <w:color w:val="181818"/>
          <w:sz w:val="20"/>
        </w:rPr>
        <w:t>true</w:t>
      </w:r>
      <w:r>
        <w:rPr>
          <w:color w:val="181818"/>
          <w:spacing w:val="-22"/>
          <w:sz w:val="20"/>
        </w:rPr>
        <w:t xml:space="preserve"> </w:t>
      </w:r>
      <w:r>
        <w:rPr>
          <w:color w:val="161616"/>
          <w:sz w:val="20"/>
        </w:rPr>
        <w:t>and</w:t>
      </w:r>
      <w:r>
        <w:rPr>
          <w:color w:val="161616"/>
          <w:spacing w:val="-23"/>
          <w:sz w:val="20"/>
        </w:rPr>
        <w:t xml:space="preserve"> </w:t>
      </w:r>
      <w:r>
        <w:rPr>
          <w:color w:val="131313"/>
          <w:sz w:val="20"/>
        </w:rPr>
        <w:t>fair</w:t>
      </w:r>
      <w:r>
        <w:rPr>
          <w:color w:val="131313"/>
          <w:spacing w:val="-19"/>
          <w:sz w:val="20"/>
        </w:rPr>
        <w:t xml:space="preserve"> </w:t>
      </w:r>
      <w:r>
        <w:rPr>
          <w:color w:val="131313"/>
          <w:sz w:val="20"/>
        </w:rPr>
        <w:t>view</w:t>
      </w:r>
      <w:r>
        <w:rPr>
          <w:color w:val="131313"/>
          <w:spacing w:val="-23"/>
          <w:sz w:val="20"/>
        </w:rPr>
        <w:t xml:space="preserve"> </w:t>
      </w:r>
      <w:r>
        <w:rPr>
          <w:color w:val="0F0F0F"/>
          <w:sz w:val="20"/>
        </w:rPr>
        <w:t>of</w:t>
      </w:r>
      <w:r>
        <w:rPr>
          <w:color w:val="0F0F0F"/>
          <w:spacing w:val="-22"/>
          <w:sz w:val="20"/>
        </w:rPr>
        <w:t xml:space="preserve"> </w:t>
      </w:r>
      <w:r>
        <w:rPr>
          <w:sz w:val="20"/>
        </w:rPr>
        <w:t>the</w:t>
      </w:r>
      <w:r>
        <w:rPr>
          <w:spacing w:val="-24"/>
          <w:sz w:val="20"/>
        </w:rPr>
        <w:t xml:space="preserve"> </w:t>
      </w:r>
      <w:r>
        <w:rPr>
          <w:sz w:val="20"/>
        </w:rPr>
        <w:t>financial</w:t>
      </w:r>
      <w:r>
        <w:rPr>
          <w:spacing w:val="-15"/>
          <w:sz w:val="20"/>
        </w:rPr>
        <w:t xml:space="preserve"> </w:t>
      </w:r>
      <w:r>
        <w:rPr>
          <w:sz w:val="20"/>
        </w:rPr>
        <w:t>position</w:t>
      </w:r>
      <w:r>
        <w:rPr>
          <w:spacing w:val="-18"/>
          <w:sz w:val="20"/>
        </w:rPr>
        <w:t xml:space="preserve"> </w:t>
      </w:r>
      <w:r>
        <w:rPr>
          <w:color w:val="0C0C0C"/>
          <w:sz w:val="20"/>
        </w:rPr>
        <w:t>of</w:t>
      </w:r>
      <w:r>
        <w:rPr>
          <w:color w:val="0C0C0C"/>
          <w:spacing w:val="-23"/>
          <w:sz w:val="20"/>
        </w:rPr>
        <w:t xml:space="preserve"> </w:t>
      </w:r>
      <w:r>
        <w:rPr>
          <w:color w:val="151515"/>
          <w:sz w:val="20"/>
        </w:rPr>
        <w:t>the</w:t>
      </w:r>
      <w:r>
        <w:rPr>
          <w:color w:val="151515"/>
          <w:spacing w:val="-21"/>
          <w:sz w:val="20"/>
        </w:rPr>
        <w:t xml:space="preserve"> </w:t>
      </w:r>
      <w:r>
        <w:rPr>
          <w:color w:val="0F0F0F"/>
          <w:sz w:val="20"/>
        </w:rPr>
        <w:t>Trust</w:t>
      </w:r>
      <w:r>
        <w:rPr>
          <w:color w:val="0F0F0F"/>
          <w:spacing w:val="-17"/>
          <w:sz w:val="20"/>
        </w:rPr>
        <w:t xml:space="preserve"> </w:t>
      </w:r>
      <w:r>
        <w:rPr>
          <w:color w:val="0F0F0F"/>
          <w:sz w:val="20"/>
        </w:rPr>
        <w:t>as</w:t>
      </w:r>
      <w:r>
        <w:rPr>
          <w:color w:val="0F0F0F"/>
          <w:spacing w:val="-23"/>
          <w:sz w:val="20"/>
        </w:rPr>
        <w:t xml:space="preserve"> </w:t>
      </w:r>
      <w:r>
        <w:rPr>
          <w:color w:val="181818"/>
          <w:sz w:val="20"/>
        </w:rPr>
        <w:t>at</w:t>
      </w:r>
      <w:r>
        <w:rPr>
          <w:color w:val="181818"/>
          <w:spacing w:val="-21"/>
          <w:sz w:val="20"/>
        </w:rPr>
        <w:t xml:space="preserve"> </w:t>
      </w:r>
      <w:r>
        <w:rPr>
          <w:color w:val="181818"/>
          <w:sz w:val="20"/>
        </w:rPr>
        <w:t>31</w:t>
      </w:r>
      <w:r>
        <w:rPr>
          <w:color w:val="181818"/>
          <w:spacing w:val="-23"/>
          <w:sz w:val="20"/>
        </w:rPr>
        <w:t xml:space="preserve"> </w:t>
      </w:r>
      <w:r>
        <w:rPr>
          <w:color w:val="0F0F0F"/>
          <w:sz w:val="20"/>
        </w:rPr>
        <w:t>December</w:t>
      </w:r>
      <w:r>
        <w:rPr>
          <w:color w:val="0F0F0F"/>
          <w:spacing w:val="-18"/>
          <w:sz w:val="20"/>
        </w:rPr>
        <w:t xml:space="preserve"> </w:t>
      </w:r>
      <w:r>
        <w:rPr>
          <w:color w:val="151515"/>
          <w:sz w:val="20"/>
        </w:rPr>
        <w:t>2018,</w:t>
      </w:r>
      <w:r>
        <w:rPr>
          <w:color w:val="151515"/>
          <w:spacing w:val="-13"/>
          <w:sz w:val="20"/>
        </w:rPr>
        <w:t xml:space="preserve"> </w:t>
      </w:r>
      <w:r>
        <w:rPr>
          <w:color w:val="0C0C0C"/>
          <w:sz w:val="20"/>
        </w:rPr>
        <w:t>and</w:t>
      </w:r>
      <w:r>
        <w:rPr>
          <w:color w:val="0C0C0C"/>
          <w:spacing w:val="-22"/>
          <w:sz w:val="20"/>
        </w:rPr>
        <w:t xml:space="preserve"> </w:t>
      </w:r>
      <w:r>
        <w:rPr>
          <w:color w:val="111111"/>
          <w:sz w:val="20"/>
        </w:rPr>
        <w:t>of</w:t>
      </w:r>
      <w:r>
        <w:rPr>
          <w:color w:val="111111"/>
          <w:spacing w:val="-20"/>
          <w:sz w:val="20"/>
        </w:rPr>
        <w:t xml:space="preserve"> </w:t>
      </w:r>
      <w:r>
        <w:rPr>
          <w:color w:val="131313"/>
          <w:sz w:val="20"/>
        </w:rPr>
        <w:t>its</w:t>
      </w:r>
      <w:r>
        <w:rPr>
          <w:color w:val="0F0F0F"/>
          <w:sz w:val="20"/>
        </w:rPr>
        <w:t xml:space="preserve"> financial</w:t>
      </w:r>
      <w:r>
        <w:rPr>
          <w:color w:val="0F0F0F"/>
          <w:spacing w:val="-23"/>
          <w:sz w:val="20"/>
        </w:rPr>
        <w:t xml:space="preserve"> </w:t>
      </w:r>
      <w:r>
        <w:rPr>
          <w:sz w:val="20"/>
        </w:rPr>
        <w:t>performance</w:t>
      </w:r>
      <w:r>
        <w:rPr>
          <w:spacing w:val="-22"/>
          <w:sz w:val="20"/>
        </w:rPr>
        <w:t xml:space="preserve"> </w:t>
      </w:r>
      <w:r>
        <w:rPr>
          <w:sz w:val="20"/>
        </w:rPr>
        <w:t>and</w:t>
      </w:r>
      <w:r>
        <w:rPr>
          <w:spacing w:val="-28"/>
          <w:sz w:val="20"/>
        </w:rPr>
        <w:t xml:space="preserve"> </w:t>
      </w:r>
      <w:r>
        <w:rPr>
          <w:color w:val="0C0C0C"/>
          <w:sz w:val="20"/>
        </w:rPr>
        <w:t>its</w:t>
      </w:r>
      <w:r>
        <w:rPr>
          <w:color w:val="0C0C0C"/>
          <w:spacing w:val="-28"/>
          <w:sz w:val="20"/>
        </w:rPr>
        <w:t xml:space="preserve"> </w:t>
      </w:r>
      <w:r>
        <w:rPr>
          <w:sz w:val="20"/>
        </w:rPr>
        <w:t>cash</w:t>
      </w:r>
      <w:r>
        <w:rPr>
          <w:spacing w:val="-29"/>
          <w:sz w:val="20"/>
        </w:rPr>
        <w:t xml:space="preserve"> </w:t>
      </w:r>
      <w:r>
        <w:rPr>
          <w:color w:val="0E0E0E"/>
          <w:sz w:val="20"/>
        </w:rPr>
        <w:t>flows</w:t>
      </w:r>
      <w:r>
        <w:rPr>
          <w:color w:val="0E0E0E"/>
          <w:spacing w:val="-25"/>
          <w:sz w:val="20"/>
        </w:rPr>
        <w:t xml:space="preserve"> </w:t>
      </w:r>
      <w:r>
        <w:rPr>
          <w:sz w:val="20"/>
        </w:rPr>
        <w:t>for</w:t>
      </w:r>
      <w:r>
        <w:rPr>
          <w:spacing w:val="-27"/>
          <w:sz w:val="20"/>
        </w:rPr>
        <w:t xml:space="preserve"> </w:t>
      </w:r>
      <w:r>
        <w:rPr>
          <w:color w:val="0E0E0E"/>
          <w:sz w:val="20"/>
        </w:rPr>
        <w:t>the</w:t>
      </w:r>
      <w:r>
        <w:rPr>
          <w:color w:val="0E0E0E"/>
          <w:spacing w:val="-28"/>
          <w:sz w:val="20"/>
        </w:rPr>
        <w:t xml:space="preserve"> </w:t>
      </w:r>
      <w:r>
        <w:rPr>
          <w:sz w:val="20"/>
        </w:rPr>
        <w:t>year</w:t>
      </w:r>
      <w:r>
        <w:rPr>
          <w:spacing w:val="-28"/>
          <w:sz w:val="20"/>
        </w:rPr>
        <w:t xml:space="preserve"> </w:t>
      </w:r>
      <w:r>
        <w:rPr>
          <w:color w:val="131313"/>
          <w:sz w:val="20"/>
        </w:rPr>
        <w:t>then</w:t>
      </w:r>
      <w:r>
        <w:rPr>
          <w:color w:val="131313"/>
          <w:spacing w:val="-28"/>
          <w:sz w:val="20"/>
        </w:rPr>
        <w:t xml:space="preserve"> </w:t>
      </w:r>
      <w:r>
        <w:rPr>
          <w:sz w:val="20"/>
        </w:rPr>
        <w:t>ended</w:t>
      </w:r>
      <w:r>
        <w:rPr>
          <w:spacing w:val="-26"/>
          <w:sz w:val="20"/>
        </w:rPr>
        <w:t xml:space="preserve"> </w:t>
      </w:r>
      <w:r>
        <w:rPr>
          <w:color w:val="131313"/>
          <w:sz w:val="20"/>
        </w:rPr>
        <w:t>in</w:t>
      </w:r>
      <w:r>
        <w:rPr>
          <w:color w:val="131313"/>
          <w:spacing w:val="-28"/>
          <w:sz w:val="20"/>
        </w:rPr>
        <w:t xml:space="preserve"> </w:t>
      </w:r>
      <w:r>
        <w:rPr>
          <w:sz w:val="20"/>
        </w:rPr>
        <w:t>accordance</w:t>
      </w:r>
      <w:r>
        <w:rPr>
          <w:spacing w:val="-17"/>
          <w:sz w:val="20"/>
        </w:rPr>
        <w:t xml:space="preserve"> </w:t>
      </w:r>
      <w:r>
        <w:rPr>
          <w:color w:val="131313"/>
          <w:sz w:val="20"/>
        </w:rPr>
        <w:t>with</w:t>
      </w:r>
      <w:r>
        <w:rPr>
          <w:color w:val="131313"/>
          <w:spacing w:val="-28"/>
          <w:sz w:val="20"/>
        </w:rPr>
        <w:t xml:space="preserve"> </w:t>
      </w:r>
      <w:r>
        <w:rPr>
          <w:sz w:val="20"/>
        </w:rPr>
        <w:t>Australian</w:t>
      </w:r>
      <w:r>
        <w:rPr>
          <w:color w:val="0E0E0E"/>
          <w:sz w:val="20"/>
        </w:rPr>
        <w:t xml:space="preserve"> Accounting</w:t>
      </w:r>
      <w:r>
        <w:rPr>
          <w:color w:val="0E0E0E"/>
          <w:spacing w:val="22"/>
          <w:sz w:val="20"/>
        </w:rPr>
        <w:t xml:space="preserve"> </w:t>
      </w:r>
      <w:r>
        <w:rPr>
          <w:sz w:val="20"/>
        </w:rPr>
        <w:t>Standards</w:t>
      </w:r>
    </w:p>
    <w:p w14:paraId="128756D2" w14:textId="77777777" w:rsidR="00FA4AA8" w:rsidRDefault="0015611F">
      <w:pPr>
        <w:pStyle w:val="ListParagraph"/>
        <w:numPr>
          <w:ilvl w:val="0"/>
          <w:numId w:val="33"/>
        </w:numPr>
        <w:tabs>
          <w:tab w:val="left" w:pos="1178"/>
          <w:tab w:val="left" w:pos="1179"/>
        </w:tabs>
        <w:spacing w:before="45"/>
        <w:ind w:left="1182" w:right="939" w:hanging="541"/>
        <w:rPr>
          <w:color w:val="212121"/>
          <w:sz w:val="20"/>
        </w:rPr>
      </w:pPr>
      <w:r>
        <w:rPr>
          <w:sz w:val="20"/>
        </w:rPr>
        <w:t>are</w:t>
      </w:r>
      <w:r>
        <w:rPr>
          <w:spacing w:val="-31"/>
          <w:sz w:val="20"/>
        </w:rPr>
        <w:t xml:space="preserve"> </w:t>
      </w:r>
      <w:r>
        <w:rPr>
          <w:color w:val="131313"/>
          <w:sz w:val="20"/>
        </w:rPr>
        <w:t>in</w:t>
      </w:r>
      <w:r>
        <w:rPr>
          <w:color w:val="131313"/>
          <w:spacing w:val="-30"/>
          <w:sz w:val="20"/>
        </w:rPr>
        <w:t xml:space="preserve"> </w:t>
      </w:r>
      <w:r>
        <w:rPr>
          <w:color w:val="0C0C0C"/>
          <w:sz w:val="20"/>
        </w:rPr>
        <w:t>accordance</w:t>
      </w:r>
      <w:r>
        <w:rPr>
          <w:color w:val="0C0C0C"/>
          <w:spacing w:val="-16"/>
          <w:sz w:val="20"/>
        </w:rPr>
        <w:t xml:space="preserve"> </w:t>
      </w:r>
      <w:r>
        <w:rPr>
          <w:sz w:val="20"/>
        </w:rPr>
        <w:t>with</w:t>
      </w:r>
      <w:r>
        <w:rPr>
          <w:spacing w:val="-26"/>
          <w:sz w:val="20"/>
        </w:rPr>
        <w:t xml:space="preserve"> </w:t>
      </w:r>
      <w:r>
        <w:rPr>
          <w:sz w:val="20"/>
        </w:rPr>
        <w:t>section</w:t>
      </w:r>
      <w:r>
        <w:rPr>
          <w:spacing w:val="-22"/>
          <w:sz w:val="20"/>
        </w:rPr>
        <w:t xml:space="preserve"> </w:t>
      </w:r>
      <w:r>
        <w:rPr>
          <w:color w:val="0F0F0F"/>
          <w:sz w:val="20"/>
        </w:rPr>
        <w:t>41</w:t>
      </w:r>
      <w:r>
        <w:rPr>
          <w:color w:val="232323"/>
          <w:sz w:val="20"/>
        </w:rPr>
        <w:t>B</w:t>
      </w:r>
      <w:r>
        <w:rPr>
          <w:color w:val="232323"/>
          <w:spacing w:val="-27"/>
          <w:sz w:val="20"/>
        </w:rPr>
        <w:t xml:space="preserve"> </w:t>
      </w:r>
      <w:r>
        <w:rPr>
          <w:color w:val="212121"/>
          <w:sz w:val="20"/>
        </w:rPr>
        <w:t>of</w:t>
      </w:r>
      <w:r>
        <w:rPr>
          <w:color w:val="212121"/>
          <w:spacing w:val="-31"/>
          <w:sz w:val="20"/>
        </w:rPr>
        <w:t xml:space="preserve"> </w:t>
      </w:r>
      <w:r>
        <w:rPr>
          <w:color w:val="111111"/>
          <w:sz w:val="20"/>
        </w:rPr>
        <w:t>the</w:t>
      </w:r>
      <w:r>
        <w:rPr>
          <w:color w:val="111111"/>
          <w:spacing w:val="-23"/>
          <w:sz w:val="20"/>
        </w:rPr>
        <w:t xml:space="preserve"> </w:t>
      </w:r>
      <w:r>
        <w:rPr>
          <w:i/>
          <w:sz w:val="20"/>
        </w:rPr>
        <w:t>Public</w:t>
      </w:r>
      <w:r>
        <w:rPr>
          <w:i/>
          <w:spacing w:val="-25"/>
          <w:sz w:val="20"/>
        </w:rPr>
        <w:t xml:space="preserve"> </w:t>
      </w:r>
      <w:r>
        <w:rPr>
          <w:i/>
          <w:sz w:val="20"/>
        </w:rPr>
        <w:t>Finance</w:t>
      </w:r>
      <w:r>
        <w:rPr>
          <w:i/>
          <w:spacing w:val="-23"/>
          <w:sz w:val="20"/>
        </w:rPr>
        <w:t xml:space="preserve"> </w:t>
      </w:r>
      <w:r>
        <w:rPr>
          <w:i/>
          <w:sz w:val="20"/>
        </w:rPr>
        <w:t>and</w:t>
      </w:r>
      <w:r>
        <w:rPr>
          <w:i/>
          <w:spacing w:val="-25"/>
          <w:sz w:val="20"/>
        </w:rPr>
        <w:t xml:space="preserve"> </w:t>
      </w:r>
      <w:r>
        <w:rPr>
          <w:i/>
          <w:color w:val="131313"/>
          <w:sz w:val="20"/>
        </w:rPr>
        <w:t>Audit</w:t>
      </w:r>
      <w:r>
        <w:rPr>
          <w:i/>
          <w:color w:val="131313"/>
          <w:spacing w:val="-23"/>
          <w:sz w:val="20"/>
        </w:rPr>
        <w:t xml:space="preserve"> </w:t>
      </w:r>
      <w:r>
        <w:rPr>
          <w:i/>
          <w:color w:val="131313"/>
          <w:sz w:val="20"/>
        </w:rPr>
        <w:t>Act</w:t>
      </w:r>
      <w:r>
        <w:rPr>
          <w:i/>
          <w:color w:val="131313"/>
          <w:spacing w:val="-25"/>
          <w:sz w:val="20"/>
        </w:rPr>
        <w:t xml:space="preserve"> </w:t>
      </w:r>
      <w:r>
        <w:rPr>
          <w:i/>
          <w:sz w:val="20"/>
        </w:rPr>
        <w:t>1983</w:t>
      </w:r>
      <w:r>
        <w:rPr>
          <w:i/>
          <w:spacing w:val="-22"/>
          <w:sz w:val="20"/>
        </w:rPr>
        <w:t xml:space="preserve"> </w:t>
      </w:r>
      <w:r>
        <w:rPr>
          <w:color w:val="0E0E0E"/>
          <w:sz w:val="20"/>
        </w:rPr>
        <w:t>(PF&amp;A</w:t>
      </w:r>
      <w:r>
        <w:rPr>
          <w:color w:val="0E0E0E"/>
          <w:spacing w:val="-21"/>
          <w:sz w:val="20"/>
        </w:rPr>
        <w:t xml:space="preserve"> </w:t>
      </w:r>
      <w:r>
        <w:rPr>
          <w:color w:val="111111"/>
          <w:sz w:val="20"/>
        </w:rPr>
        <w:t>Act)</w:t>
      </w:r>
      <w:r>
        <w:rPr>
          <w:color w:val="111111"/>
          <w:spacing w:val="-21"/>
          <w:sz w:val="20"/>
        </w:rPr>
        <w:t xml:space="preserve"> </w:t>
      </w:r>
      <w:r>
        <w:rPr>
          <w:sz w:val="20"/>
        </w:rPr>
        <w:t>and</w:t>
      </w:r>
      <w:r>
        <w:rPr>
          <w:color w:val="161616"/>
          <w:sz w:val="20"/>
        </w:rPr>
        <w:t xml:space="preserve"> the </w:t>
      </w:r>
      <w:r>
        <w:rPr>
          <w:sz w:val="20"/>
        </w:rPr>
        <w:t xml:space="preserve">Public Finance and Audit </w:t>
      </w:r>
      <w:r>
        <w:rPr>
          <w:color w:val="0C0C0C"/>
          <w:sz w:val="20"/>
        </w:rPr>
        <w:t>Regulation</w:t>
      </w:r>
      <w:r>
        <w:rPr>
          <w:color w:val="0C0C0C"/>
          <w:spacing w:val="5"/>
          <w:sz w:val="20"/>
        </w:rPr>
        <w:t xml:space="preserve"> </w:t>
      </w:r>
      <w:r>
        <w:rPr>
          <w:sz w:val="20"/>
        </w:rPr>
        <w:t>2015</w:t>
      </w:r>
    </w:p>
    <w:p w14:paraId="6D1A6C16" w14:textId="77777777" w:rsidR="00FA4AA8" w:rsidRDefault="00FA4AA8">
      <w:pPr>
        <w:pStyle w:val="BodyText"/>
        <w:spacing w:before="9"/>
        <w:rPr>
          <w:sz w:val="17"/>
        </w:rPr>
      </w:pPr>
    </w:p>
    <w:p w14:paraId="29B171DE" w14:textId="77777777" w:rsidR="00FA4AA8" w:rsidRDefault="0015611F">
      <w:pPr>
        <w:ind w:left="638"/>
        <w:rPr>
          <w:sz w:val="19"/>
        </w:rPr>
      </w:pPr>
      <w:r>
        <w:rPr>
          <w:color w:val="212121"/>
          <w:sz w:val="19"/>
        </w:rPr>
        <w:t xml:space="preserve">My </w:t>
      </w:r>
      <w:r>
        <w:rPr>
          <w:sz w:val="19"/>
        </w:rPr>
        <w:t xml:space="preserve">opinion should </w:t>
      </w:r>
      <w:r>
        <w:rPr>
          <w:color w:val="1C1C1C"/>
          <w:sz w:val="19"/>
        </w:rPr>
        <w:t xml:space="preserve">be </w:t>
      </w:r>
      <w:r>
        <w:rPr>
          <w:color w:val="161616"/>
          <w:sz w:val="19"/>
        </w:rPr>
        <w:t xml:space="preserve">read </w:t>
      </w:r>
      <w:r>
        <w:rPr>
          <w:color w:val="0C0C0C"/>
          <w:sz w:val="19"/>
        </w:rPr>
        <w:t xml:space="preserve">in </w:t>
      </w:r>
      <w:r>
        <w:rPr>
          <w:sz w:val="19"/>
        </w:rPr>
        <w:t xml:space="preserve">conjunction with the rest </w:t>
      </w:r>
      <w:r>
        <w:rPr>
          <w:color w:val="1C1C1C"/>
          <w:sz w:val="19"/>
        </w:rPr>
        <w:t xml:space="preserve">of </w:t>
      </w:r>
      <w:r>
        <w:rPr>
          <w:sz w:val="19"/>
        </w:rPr>
        <w:t>this report.</w:t>
      </w:r>
    </w:p>
    <w:p w14:paraId="176A1E74" w14:textId="77777777" w:rsidR="00FA4AA8" w:rsidRDefault="0015611F">
      <w:pPr>
        <w:spacing w:before="169"/>
        <w:ind w:left="636"/>
        <w:rPr>
          <w:sz w:val="23"/>
        </w:rPr>
      </w:pPr>
      <w:r>
        <w:rPr>
          <w:w w:val="110"/>
          <w:sz w:val="23"/>
        </w:rPr>
        <w:t xml:space="preserve">Basis </w:t>
      </w:r>
      <w:r>
        <w:rPr>
          <w:color w:val="181818"/>
          <w:w w:val="110"/>
          <w:sz w:val="23"/>
        </w:rPr>
        <w:t xml:space="preserve">for </w:t>
      </w:r>
      <w:r>
        <w:rPr>
          <w:color w:val="131313"/>
          <w:w w:val="110"/>
          <w:sz w:val="23"/>
        </w:rPr>
        <w:t>Opinion</w:t>
      </w:r>
    </w:p>
    <w:p w14:paraId="5D1F0295" w14:textId="77777777" w:rsidR="00FA4AA8" w:rsidRDefault="0015611F">
      <w:pPr>
        <w:spacing w:before="109"/>
        <w:ind w:left="646" w:right="710" w:hanging="13"/>
        <w:rPr>
          <w:sz w:val="20"/>
        </w:rPr>
      </w:pPr>
      <w:r>
        <w:rPr>
          <w:color w:val="161616"/>
          <w:sz w:val="20"/>
        </w:rPr>
        <w:t>I</w:t>
      </w:r>
      <w:r>
        <w:rPr>
          <w:color w:val="161616"/>
          <w:spacing w:val="-37"/>
          <w:sz w:val="20"/>
        </w:rPr>
        <w:t xml:space="preserve"> </w:t>
      </w:r>
      <w:r>
        <w:rPr>
          <w:sz w:val="20"/>
        </w:rPr>
        <w:t>conducted</w:t>
      </w:r>
      <w:r>
        <w:rPr>
          <w:spacing w:val="-32"/>
          <w:sz w:val="20"/>
        </w:rPr>
        <w:t xml:space="preserve"> </w:t>
      </w:r>
      <w:r>
        <w:rPr>
          <w:color w:val="131313"/>
          <w:sz w:val="20"/>
        </w:rPr>
        <w:t>my</w:t>
      </w:r>
      <w:r>
        <w:rPr>
          <w:color w:val="131313"/>
          <w:spacing w:val="-32"/>
          <w:sz w:val="20"/>
        </w:rPr>
        <w:t xml:space="preserve"> </w:t>
      </w:r>
      <w:r>
        <w:rPr>
          <w:color w:val="0C0C0C"/>
          <w:sz w:val="20"/>
        </w:rPr>
        <w:t>audit</w:t>
      </w:r>
      <w:r>
        <w:rPr>
          <w:color w:val="0C0C0C"/>
          <w:spacing w:val="-31"/>
          <w:sz w:val="20"/>
        </w:rPr>
        <w:t xml:space="preserve"> </w:t>
      </w:r>
      <w:r>
        <w:rPr>
          <w:color w:val="1A1A1A"/>
          <w:sz w:val="20"/>
        </w:rPr>
        <w:t>in</w:t>
      </w:r>
      <w:r>
        <w:rPr>
          <w:color w:val="1A1A1A"/>
          <w:spacing w:val="-35"/>
          <w:sz w:val="20"/>
        </w:rPr>
        <w:t xml:space="preserve"> </w:t>
      </w:r>
      <w:r>
        <w:rPr>
          <w:sz w:val="20"/>
        </w:rPr>
        <w:t>accordance</w:t>
      </w:r>
      <w:r>
        <w:rPr>
          <w:spacing w:val="-25"/>
          <w:sz w:val="20"/>
        </w:rPr>
        <w:t xml:space="preserve"> </w:t>
      </w:r>
      <w:r>
        <w:rPr>
          <w:color w:val="111111"/>
          <w:sz w:val="20"/>
        </w:rPr>
        <w:t>with</w:t>
      </w:r>
      <w:r>
        <w:rPr>
          <w:color w:val="111111"/>
          <w:spacing w:val="-33"/>
          <w:sz w:val="20"/>
        </w:rPr>
        <w:t xml:space="preserve"> </w:t>
      </w:r>
      <w:r>
        <w:rPr>
          <w:sz w:val="20"/>
        </w:rPr>
        <w:t>Australian</w:t>
      </w:r>
      <w:r>
        <w:rPr>
          <w:spacing w:val="-28"/>
          <w:sz w:val="20"/>
        </w:rPr>
        <w:t xml:space="preserve"> </w:t>
      </w:r>
      <w:r>
        <w:rPr>
          <w:sz w:val="20"/>
        </w:rPr>
        <w:t>Auditing</w:t>
      </w:r>
      <w:r>
        <w:rPr>
          <w:spacing w:val="-31"/>
          <w:sz w:val="20"/>
        </w:rPr>
        <w:t xml:space="preserve"> </w:t>
      </w:r>
      <w:r>
        <w:rPr>
          <w:sz w:val="20"/>
        </w:rPr>
        <w:t>Standards.</w:t>
      </w:r>
      <w:r>
        <w:rPr>
          <w:spacing w:val="-24"/>
          <w:sz w:val="20"/>
        </w:rPr>
        <w:t xml:space="preserve"> </w:t>
      </w:r>
      <w:r>
        <w:rPr>
          <w:color w:val="131313"/>
          <w:sz w:val="20"/>
        </w:rPr>
        <w:t>My</w:t>
      </w:r>
      <w:r>
        <w:rPr>
          <w:color w:val="131313"/>
          <w:spacing w:val="-35"/>
          <w:sz w:val="20"/>
        </w:rPr>
        <w:t xml:space="preserve"> </w:t>
      </w:r>
      <w:r>
        <w:rPr>
          <w:sz w:val="20"/>
        </w:rPr>
        <w:t>responsibilities</w:t>
      </w:r>
      <w:r>
        <w:rPr>
          <w:spacing w:val="-31"/>
          <w:sz w:val="20"/>
        </w:rPr>
        <w:t xml:space="preserve"> </w:t>
      </w:r>
      <w:r>
        <w:rPr>
          <w:sz w:val="20"/>
        </w:rPr>
        <w:t>under</w:t>
      </w:r>
      <w:r>
        <w:rPr>
          <w:spacing w:val="-34"/>
          <w:sz w:val="20"/>
        </w:rPr>
        <w:t xml:space="preserve"> </w:t>
      </w:r>
      <w:r>
        <w:rPr>
          <w:color w:val="0F0F0F"/>
          <w:sz w:val="20"/>
        </w:rPr>
        <w:t>the</w:t>
      </w:r>
      <w:r>
        <w:rPr>
          <w:color w:val="0E0E0E"/>
          <w:sz w:val="20"/>
        </w:rPr>
        <w:t xml:space="preserve"> standards</w:t>
      </w:r>
      <w:r>
        <w:rPr>
          <w:color w:val="0E0E0E"/>
          <w:spacing w:val="-20"/>
          <w:sz w:val="20"/>
        </w:rPr>
        <w:t xml:space="preserve"> </w:t>
      </w:r>
      <w:r>
        <w:rPr>
          <w:color w:val="111111"/>
          <w:sz w:val="20"/>
        </w:rPr>
        <w:t>are</w:t>
      </w:r>
      <w:r>
        <w:rPr>
          <w:color w:val="111111"/>
          <w:spacing w:val="-30"/>
          <w:sz w:val="20"/>
        </w:rPr>
        <w:t xml:space="preserve"> </w:t>
      </w:r>
      <w:r>
        <w:rPr>
          <w:sz w:val="20"/>
        </w:rPr>
        <w:t>described</w:t>
      </w:r>
      <w:r>
        <w:rPr>
          <w:spacing w:val="-22"/>
          <w:sz w:val="20"/>
        </w:rPr>
        <w:t xml:space="preserve"> </w:t>
      </w:r>
      <w:r>
        <w:rPr>
          <w:color w:val="1C1C1C"/>
          <w:sz w:val="20"/>
        </w:rPr>
        <w:t>in</w:t>
      </w:r>
      <w:r>
        <w:rPr>
          <w:color w:val="1C1C1C"/>
          <w:spacing w:val="-30"/>
          <w:sz w:val="20"/>
        </w:rPr>
        <w:t xml:space="preserve"> </w:t>
      </w:r>
      <w:r>
        <w:rPr>
          <w:color w:val="0C0C0C"/>
          <w:sz w:val="20"/>
        </w:rPr>
        <w:t>the</w:t>
      </w:r>
      <w:r>
        <w:rPr>
          <w:color w:val="0C0C0C"/>
          <w:spacing w:val="-26"/>
          <w:sz w:val="20"/>
        </w:rPr>
        <w:t xml:space="preserve"> </w:t>
      </w:r>
      <w:r>
        <w:rPr>
          <w:sz w:val="20"/>
        </w:rPr>
        <w:t>Auditor's</w:t>
      </w:r>
      <w:r>
        <w:rPr>
          <w:spacing w:val="-25"/>
          <w:sz w:val="20"/>
        </w:rPr>
        <w:t xml:space="preserve"> </w:t>
      </w:r>
      <w:r>
        <w:rPr>
          <w:sz w:val="20"/>
        </w:rPr>
        <w:t>Responsibilities</w:t>
      </w:r>
      <w:r>
        <w:rPr>
          <w:spacing w:val="-26"/>
          <w:sz w:val="20"/>
        </w:rPr>
        <w:t xml:space="preserve"> </w:t>
      </w:r>
      <w:r>
        <w:rPr>
          <w:color w:val="131313"/>
          <w:sz w:val="20"/>
        </w:rPr>
        <w:t>for</w:t>
      </w:r>
      <w:r>
        <w:rPr>
          <w:color w:val="131313"/>
          <w:spacing w:val="-23"/>
          <w:sz w:val="20"/>
        </w:rPr>
        <w:t xml:space="preserve"> </w:t>
      </w:r>
      <w:r>
        <w:rPr>
          <w:sz w:val="20"/>
        </w:rPr>
        <w:t>the</w:t>
      </w:r>
      <w:r>
        <w:rPr>
          <w:spacing w:val="-32"/>
          <w:sz w:val="20"/>
        </w:rPr>
        <w:t xml:space="preserve"> </w:t>
      </w:r>
      <w:r>
        <w:rPr>
          <w:color w:val="131313"/>
          <w:sz w:val="20"/>
        </w:rPr>
        <w:t>’Audit</w:t>
      </w:r>
      <w:r>
        <w:rPr>
          <w:color w:val="131313"/>
          <w:spacing w:val="-19"/>
          <w:sz w:val="20"/>
        </w:rPr>
        <w:t xml:space="preserve"> </w:t>
      </w:r>
      <w:r>
        <w:rPr>
          <w:color w:val="0C0C0C"/>
          <w:sz w:val="20"/>
        </w:rPr>
        <w:t>of</w:t>
      </w:r>
      <w:r>
        <w:rPr>
          <w:color w:val="0C0C0C"/>
          <w:spacing w:val="-25"/>
          <w:sz w:val="20"/>
        </w:rPr>
        <w:t xml:space="preserve"> </w:t>
      </w:r>
      <w:r>
        <w:rPr>
          <w:sz w:val="20"/>
        </w:rPr>
        <w:t>the</w:t>
      </w:r>
      <w:r>
        <w:rPr>
          <w:spacing w:val="-31"/>
          <w:sz w:val="20"/>
        </w:rPr>
        <w:t xml:space="preserve"> </w:t>
      </w:r>
      <w:r>
        <w:rPr>
          <w:color w:val="0E0E0E"/>
          <w:sz w:val="20"/>
        </w:rPr>
        <w:t>Financial</w:t>
      </w:r>
      <w:r>
        <w:rPr>
          <w:color w:val="0E0E0E"/>
          <w:spacing w:val="-20"/>
          <w:sz w:val="20"/>
        </w:rPr>
        <w:t xml:space="preserve"> </w:t>
      </w:r>
      <w:r>
        <w:rPr>
          <w:color w:val="0C0C0C"/>
          <w:sz w:val="20"/>
        </w:rPr>
        <w:t>Statements'</w:t>
      </w:r>
      <w:r>
        <w:rPr>
          <w:sz w:val="20"/>
        </w:rPr>
        <w:t xml:space="preserve"> section </w:t>
      </w:r>
      <w:r>
        <w:rPr>
          <w:color w:val="0F0F0F"/>
          <w:sz w:val="20"/>
        </w:rPr>
        <w:t>of my</w:t>
      </w:r>
      <w:r>
        <w:rPr>
          <w:color w:val="0F0F0F"/>
          <w:spacing w:val="-2"/>
          <w:sz w:val="20"/>
        </w:rPr>
        <w:t xml:space="preserve"> </w:t>
      </w:r>
      <w:r>
        <w:rPr>
          <w:sz w:val="20"/>
        </w:rPr>
        <w:t>report.</w:t>
      </w:r>
    </w:p>
    <w:p w14:paraId="09B3020C" w14:textId="77777777" w:rsidR="00FA4AA8" w:rsidRDefault="0015611F">
      <w:pPr>
        <w:spacing w:before="7" w:line="390" w:lineRule="atLeast"/>
        <w:ind w:left="1185" w:right="2281" w:hanging="545"/>
        <w:rPr>
          <w:sz w:val="20"/>
        </w:rPr>
      </w:pPr>
      <w:r>
        <w:rPr>
          <w:color w:val="1A1A1A"/>
          <w:sz w:val="20"/>
        </w:rPr>
        <w:t>I</w:t>
      </w:r>
      <w:r>
        <w:rPr>
          <w:color w:val="1A1A1A"/>
          <w:spacing w:val="-27"/>
          <w:sz w:val="20"/>
        </w:rPr>
        <w:t xml:space="preserve"> </w:t>
      </w:r>
      <w:r>
        <w:rPr>
          <w:color w:val="1D1D1D"/>
          <w:sz w:val="20"/>
        </w:rPr>
        <w:t>am</w:t>
      </w:r>
      <w:r>
        <w:rPr>
          <w:color w:val="1D1D1D"/>
          <w:spacing w:val="-27"/>
          <w:sz w:val="20"/>
        </w:rPr>
        <w:t xml:space="preserve"> </w:t>
      </w:r>
      <w:r>
        <w:rPr>
          <w:color w:val="0F0F0F"/>
          <w:sz w:val="20"/>
        </w:rPr>
        <w:t>independent</w:t>
      </w:r>
      <w:r>
        <w:rPr>
          <w:color w:val="0F0F0F"/>
          <w:spacing w:val="-19"/>
          <w:sz w:val="20"/>
        </w:rPr>
        <w:t xml:space="preserve"> </w:t>
      </w:r>
      <w:r>
        <w:rPr>
          <w:color w:val="0F0F0F"/>
          <w:sz w:val="20"/>
        </w:rPr>
        <w:t>of</w:t>
      </w:r>
      <w:r>
        <w:rPr>
          <w:color w:val="0F0F0F"/>
          <w:spacing w:val="-29"/>
          <w:sz w:val="20"/>
        </w:rPr>
        <w:t xml:space="preserve"> </w:t>
      </w:r>
      <w:r>
        <w:rPr>
          <w:color w:val="131313"/>
          <w:sz w:val="20"/>
        </w:rPr>
        <w:t>the</w:t>
      </w:r>
      <w:r>
        <w:rPr>
          <w:color w:val="131313"/>
          <w:spacing w:val="-30"/>
          <w:sz w:val="20"/>
        </w:rPr>
        <w:t xml:space="preserve"> </w:t>
      </w:r>
      <w:r>
        <w:rPr>
          <w:color w:val="111111"/>
          <w:sz w:val="20"/>
        </w:rPr>
        <w:t>Trust</w:t>
      </w:r>
      <w:r>
        <w:rPr>
          <w:color w:val="111111"/>
          <w:spacing w:val="-28"/>
          <w:sz w:val="20"/>
        </w:rPr>
        <w:t xml:space="preserve"> </w:t>
      </w:r>
      <w:r>
        <w:rPr>
          <w:color w:val="0F0F0F"/>
          <w:sz w:val="20"/>
        </w:rPr>
        <w:t>in</w:t>
      </w:r>
      <w:r>
        <w:rPr>
          <w:color w:val="0F0F0F"/>
          <w:spacing w:val="-29"/>
          <w:sz w:val="20"/>
        </w:rPr>
        <w:t xml:space="preserve"> </w:t>
      </w:r>
      <w:r>
        <w:rPr>
          <w:color w:val="0E0E0E"/>
          <w:sz w:val="20"/>
        </w:rPr>
        <w:t>accordance</w:t>
      </w:r>
      <w:r>
        <w:rPr>
          <w:color w:val="0E0E0E"/>
          <w:spacing w:val="-21"/>
          <w:sz w:val="20"/>
        </w:rPr>
        <w:t xml:space="preserve"> </w:t>
      </w:r>
      <w:r>
        <w:rPr>
          <w:color w:val="181818"/>
          <w:sz w:val="20"/>
        </w:rPr>
        <w:t>with</w:t>
      </w:r>
      <w:r>
        <w:rPr>
          <w:color w:val="181818"/>
          <w:spacing w:val="-29"/>
          <w:sz w:val="20"/>
        </w:rPr>
        <w:t xml:space="preserve"> </w:t>
      </w:r>
      <w:r>
        <w:rPr>
          <w:sz w:val="20"/>
        </w:rPr>
        <w:t>the</w:t>
      </w:r>
      <w:r>
        <w:rPr>
          <w:spacing w:val="-28"/>
          <w:sz w:val="20"/>
        </w:rPr>
        <w:t xml:space="preserve"> </w:t>
      </w:r>
      <w:r>
        <w:rPr>
          <w:sz w:val="20"/>
        </w:rPr>
        <w:t>requirements</w:t>
      </w:r>
      <w:r>
        <w:rPr>
          <w:spacing w:val="-17"/>
          <w:sz w:val="20"/>
        </w:rPr>
        <w:t xml:space="preserve"> </w:t>
      </w:r>
      <w:r>
        <w:rPr>
          <w:color w:val="1A1A1A"/>
          <w:sz w:val="20"/>
        </w:rPr>
        <w:t>of</w:t>
      </w:r>
      <w:r>
        <w:rPr>
          <w:color w:val="1A1A1A"/>
          <w:spacing w:val="-29"/>
          <w:sz w:val="20"/>
        </w:rPr>
        <w:t xml:space="preserve"> </w:t>
      </w:r>
      <w:r>
        <w:rPr>
          <w:sz w:val="20"/>
        </w:rPr>
        <w:t>the: Australian Auditing</w:t>
      </w:r>
      <w:r>
        <w:rPr>
          <w:spacing w:val="14"/>
          <w:sz w:val="20"/>
        </w:rPr>
        <w:t xml:space="preserve"> </w:t>
      </w:r>
      <w:r>
        <w:rPr>
          <w:sz w:val="20"/>
        </w:rPr>
        <w:t>Standards</w:t>
      </w:r>
    </w:p>
    <w:p w14:paraId="336239C3" w14:textId="77777777" w:rsidR="00FA4AA8" w:rsidRDefault="0015611F">
      <w:pPr>
        <w:pStyle w:val="ListParagraph"/>
        <w:numPr>
          <w:ilvl w:val="0"/>
          <w:numId w:val="33"/>
        </w:numPr>
        <w:tabs>
          <w:tab w:val="left" w:pos="1185"/>
          <w:tab w:val="left" w:pos="1186"/>
        </w:tabs>
        <w:spacing w:before="64" w:line="228" w:lineRule="auto"/>
        <w:ind w:left="1183" w:right="1559" w:hanging="535"/>
        <w:rPr>
          <w:color w:val="262626"/>
          <w:sz w:val="21"/>
        </w:rPr>
      </w:pPr>
      <w:r>
        <w:rPr>
          <w:w w:val="95"/>
          <w:sz w:val="21"/>
        </w:rPr>
        <w:t>Accounting</w:t>
      </w:r>
      <w:r>
        <w:rPr>
          <w:spacing w:val="-29"/>
          <w:w w:val="95"/>
          <w:sz w:val="21"/>
        </w:rPr>
        <w:t xml:space="preserve"> </w:t>
      </w:r>
      <w:r>
        <w:rPr>
          <w:w w:val="95"/>
          <w:sz w:val="21"/>
        </w:rPr>
        <w:t>Professional</w:t>
      </w:r>
      <w:r>
        <w:rPr>
          <w:spacing w:val="-28"/>
          <w:w w:val="95"/>
          <w:sz w:val="21"/>
        </w:rPr>
        <w:t xml:space="preserve"> </w:t>
      </w:r>
      <w:r>
        <w:rPr>
          <w:w w:val="95"/>
          <w:sz w:val="21"/>
        </w:rPr>
        <w:t>and</w:t>
      </w:r>
      <w:r>
        <w:rPr>
          <w:spacing w:val="-36"/>
          <w:w w:val="95"/>
          <w:sz w:val="21"/>
        </w:rPr>
        <w:t xml:space="preserve"> </w:t>
      </w:r>
      <w:r>
        <w:rPr>
          <w:w w:val="95"/>
          <w:sz w:val="21"/>
        </w:rPr>
        <w:t>Ethical</w:t>
      </w:r>
      <w:r>
        <w:rPr>
          <w:spacing w:val="-32"/>
          <w:w w:val="95"/>
          <w:sz w:val="21"/>
        </w:rPr>
        <w:t xml:space="preserve"> </w:t>
      </w:r>
      <w:r>
        <w:rPr>
          <w:w w:val="95"/>
          <w:sz w:val="21"/>
        </w:rPr>
        <w:t>Standards</w:t>
      </w:r>
      <w:r>
        <w:rPr>
          <w:spacing w:val="-28"/>
          <w:w w:val="95"/>
          <w:sz w:val="21"/>
        </w:rPr>
        <w:t xml:space="preserve"> </w:t>
      </w:r>
      <w:r>
        <w:rPr>
          <w:color w:val="131313"/>
          <w:w w:val="95"/>
          <w:sz w:val="21"/>
        </w:rPr>
        <w:t>Board’s</w:t>
      </w:r>
      <w:r>
        <w:rPr>
          <w:color w:val="131313"/>
          <w:spacing w:val="-29"/>
          <w:w w:val="95"/>
          <w:sz w:val="21"/>
        </w:rPr>
        <w:t xml:space="preserve"> </w:t>
      </w:r>
      <w:r>
        <w:rPr>
          <w:color w:val="1C1C1C"/>
          <w:w w:val="95"/>
          <w:sz w:val="21"/>
        </w:rPr>
        <w:t>APES</w:t>
      </w:r>
      <w:r>
        <w:rPr>
          <w:color w:val="1C1C1C"/>
          <w:spacing w:val="-30"/>
          <w:w w:val="95"/>
          <w:sz w:val="21"/>
        </w:rPr>
        <w:t xml:space="preserve"> </w:t>
      </w:r>
      <w:r>
        <w:rPr>
          <w:color w:val="1D1D1D"/>
          <w:w w:val="95"/>
          <w:sz w:val="21"/>
        </w:rPr>
        <w:t>110</w:t>
      </w:r>
      <w:r>
        <w:rPr>
          <w:color w:val="1D1D1D"/>
          <w:spacing w:val="-33"/>
          <w:w w:val="95"/>
          <w:sz w:val="21"/>
        </w:rPr>
        <w:t xml:space="preserve"> </w:t>
      </w:r>
      <w:r>
        <w:rPr>
          <w:w w:val="95"/>
          <w:sz w:val="21"/>
        </w:rPr>
        <w:t>‘Code</w:t>
      </w:r>
      <w:r>
        <w:rPr>
          <w:spacing w:val="-30"/>
          <w:w w:val="95"/>
          <w:sz w:val="21"/>
        </w:rPr>
        <w:t xml:space="preserve"> </w:t>
      </w:r>
      <w:r>
        <w:rPr>
          <w:color w:val="181818"/>
          <w:w w:val="95"/>
          <w:sz w:val="21"/>
        </w:rPr>
        <w:t>of</w:t>
      </w:r>
      <w:r>
        <w:rPr>
          <w:color w:val="181818"/>
          <w:spacing w:val="-35"/>
          <w:w w:val="95"/>
          <w:sz w:val="21"/>
        </w:rPr>
        <w:t xml:space="preserve"> </w:t>
      </w:r>
      <w:r>
        <w:rPr>
          <w:color w:val="0A0A0A"/>
          <w:w w:val="95"/>
          <w:sz w:val="21"/>
        </w:rPr>
        <w:t>Ethics</w:t>
      </w:r>
      <w:r>
        <w:rPr>
          <w:color w:val="0A0A0A"/>
          <w:spacing w:val="-29"/>
          <w:w w:val="95"/>
          <w:sz w:val="21"/>
        </w:rPr>
        <w:t xml:space="preserve"> </w:t>
      </w:r>
      <w:r>
        <w:rPr>
          <w:color w:val="151515"/>
          <w:w w:val="95"/>
          <w:sz w:val="21"/>
        </w:rPr>
        <w:t>for</w:t>
      </w:r>
      <w:r>
        <w:rPr>
          <w:w w:val="95"/>
          <w:sz w:val="21"/>
        </w:rPr>
        <w:t xml:space="preserve"> </w:t>
      </w:r>
      <w:r>
        <w:rPr>
          <w:sz w:val="21"/>
        </w:rPr>
        <w:t xml:space="preserve">Professional Accountants’ </w:t>
      </w:r>
      <w:r>
        <w:rPr>
          <w:color w:val="1F1F1F"/>
          <w:sz w:val="21"/>
        </w:rPr>
        <w:t>(APES</w:t>
      </w:r>
      <w:r>
        <w:rPr>
          <w:color w:val="1F1F1F"/>
          <w:spacing w:val="-5"/>
          <w:sz w:val="21"/>
        </w:rPr>
        <w:t xml:space="preserve"> </w:t>
      </w:r>
      <w:r>
        <w:rPr>
          <w:color w:val="131313"/>
          <w:sz w:val="21"/>
        </w:rPr>
        <w:t>110).</w:t>
      </w:r>
    </w:p>
    <w:p w14:paraId="5A4EB88B" w14:textId="77777777" w:rsidR="00FA4AA8" w:rsidRDefault="00FA4AA8">
      <w:pPr>
        <w:pStyle w:val="BodyText"/>
        <w:spacing w:before="3"/>
        <w:rPr>
          <w:sz w:val="17"/>
        </w:rPr>
      </w:pPr>
    </w:p>
    <w:p w14:paraId="190A8A02" w14:textId="77777777" w:rsidR="00FA4AA8" w:rsidRDefault="0015611F">
      <w:pPr>
        <w:ind w:left="642"/>
        <w:rPr>
          <w:sz w:val="19"/>
        </w:rPr>
      </w:pPr>
      <w:r>
        <w:rPr>
          <w:color w:val="2B2B2B"/>
          <w:sz w:val="19"/>
        </w:rPr>
        <w:t xml:space="preserve">I </w:t>
      </w:r>
      <w:r>
        <w:rPr>
          <w:sz w:val="19"/>
        </w:rPr>
        <w:t xml:space="preserve">have fulfilled </w:t>
      </w:r>
      <w:r>
        <w:rPr>
          <w:color w:val="161616"/>
          <w:sz w:val="19"/>
        </w:rPr>
        <w:t xml:space="preserve">my </w:t>
      </w:r>
      <w:r>
        <w:rPr>
          <w:sz w:val="19"/>
        </w:rPr>
        <w:t xml:space="preserve">other ethical responsibilities in accordance with </w:t>
      </w:r>
      <w:r>
        <w:rPr>
          <w:color w:val="0C0C0C"/>
          <w:sz w:val="19"/>
        </w:rPr>
        <w:t xml:space="preserve">APES </w:t>
      </w:r>
      <w:r>
        <w:rPr>
          <w:color w:val="131313"/>
          <w:sz w:val="19"/>
        </w:rPr>
        <w:t>110.</w:t>
      </w:r>
    </w:p>
    <w:p w14:paraId="445D3C94" w14:textId="77777777" w:rsidR="00FA4AA8" w:rsidRDefault="0015611F">
      <w:pPr>
        <w:spacing w:before="168"/>
        <w:ind w:left="644" w:right="1249" w:hanging="1"/>
        <w:rPr>
          <w:sz w:val="20"/>
        </w:rPr>
      </w:pPr>
      <w:r>
        <w:rPr>
          <w:sz w:val="20"/>
        </w:rPr>
        <w:t>Parliament</w:t>
      </w:r>
      <w:r>
        <w:rPr>
          <w:spacing w:val="-32"/>
          <w:sz w:val="20"/>
        </w:rPr>
        <w:t xml:space="preserve"> </w:t>
      </w:r>
      <w:r>
        <w:rPr>
          <w:sz w:val="20"/>
        </w:rPr>
        <w:t>promotes</w:t>
      </w:r>
      <w:r>
        <w:rPr>
          <w:spacing w:val="-34"/>
          <w:sz w:val="20"/>
        </w:rPr>
        <w:t xml:space="preserve"> </w:t>
      </w:r>
      <w:r>
        <w:rPr>
          <w:sz w:val="20"/>
        </w:rPr>
        <w:t>independence</w:t>
      </w:r>
      <w:r>
        <w:rPr>
          <w:spacing w:val="-31"/>
          <w:sz w:val="20"/>
        </w:rPr>
        <w:t xml:space="preserve"> </w:t>
      </w:r>
      <w:r>
        <w:rPr>
          <w:color w:val="0C0C0C"/>
          <w:sz w:val="20"/>
        </w:rPr>
        <w:t>by</w:t>
      </w:r>
      <w:r>
        <w:rPr>
          <w:color w:val="0C0C0C"/>
          <w:spacing w:val="-35"/>
          <w:sz w:val="20"/>
        </w:rPr>
        <w:t xml:space="preserve"> </w:t>
      </w:r>
      <w:r>
        <w:rPr>
          <w:sz w:val="20"/>
        </w:rPr>
        <w:t>ensuring</w:t>
      </w:r>
      <w:r>
        <w:rPr>
          <w:spacing w:val="-33"/>
          <w:sz w:val="20"/>
        </w:rPr>
        <w:t xml:space="preserve"> </w:t>
      </w:r>
      <w:r>
        <w:rPr>
          <w:color w:val="131313"/>
          <w:sz w:val="20"/>
        </w:rPr>
        <w:t>the</w:t>
      </w:r>
      <w:r>
        <w:rPr>
          <w:color w:val="131313"/>
          <w:spacing w:val="-39"/>
          <w:sz w:val="20"/>
        </w:rPr>
        <w:t xml:space="preserve"> </w:t>
      </w:r>
      <w:r>
        <w:rPr>
          <w:sz w:val="20"/>
        </w:rPr>
        <w:t>Auditor-General</w:t>
      </w:r>
      <w:r>
        <w:rPr>
          <w:spacing w:val="-38"/>
          <w:sz w:val="20"/>
        </w:rPr>
        <w:t xml:space="preserve"> </w:t>
      </w:r>
      <w:r>
        <w:rPr>
          <w:color w:val="1C1C1C"/>
          <w:sz w:val="20"/>
        </w:rPr>
        <w:t>and</w:t>
      </w:r>
      <w:r>
        <w:rPr>
          <w:color w:val="1C1C1C"/>
          <w:spacing w:val="-37"/>
          <w:sz w:val="20"/>
        </w:rPr>
        <w:t xml:space="preserve"> </w:t>
      </w:r>
      <w:r>
        <w:rPr>
          <w:color w:val="0F0F0F"/>
          <w:sz w:val="20"/>
        </w:rPr>
        <w:t>the</w:t>
      </w:r>
      <w:r>
        <w:rPr>
          <w:color w:val="0F0F0F"/>
          <w:spacing w:val="-37"/>
          <w:sz w:val="20"/>
        </w:rPr>
        <w:t xml:space="preserve"> </w:t>
      </w:r>
      <w:r>
        <w:rPr>
          <w:color w:val="181818"/>
          <w:sz w:val="20"/>
        </w:rPr>
        <w:t>Audit</w:t>
      </w:r>
      <w:r>
        <w:rPr>
          <w:color w:val="181818"/>
          <w:spacing w:val="-34"/>
          <w:sz w:val="20"/>
        </w:rPr>
        <w:t xml:space="preserve"> </w:t>
      </w:r>
      <w:r>
        <w:rPr>
          <w:sz w:val="20"/>
        </w:rPr>
        <w:t>Office</w:t>
      </w:r>
      <w:r>
        <w:rPr>
          <w:spacing w:val="-35"/>
          <w:sz w:val="20"/>
        </w:rPr>
        <w:t xml:space="preserve"> </w:t>
      </w:r>
      <w:r>
        <w:rPr>
          <w:color w:val="242424"/>
          <w:sz w:val="20"/>
        </w:rPr>
        <w:t xml:space="preserve">of </w:t>
      </w:r>
      <w:r>
        <w:rPr>
          <w:sz w:val="20"/>
        </w:rPr>
        <w:t xml:space="preserve">New </w:t>
      </w:r>
      <w:r>
        <w:rPr>
          <w:color w:val="111111"/>
          <w:sz w:val="20"/>
        </w:rPr>
        <w:t xml:space="preserve">South </w:t>
      </w:r>
      <w:r>
        <w:rPr>
          <w:color w:val="151515"/>
          <w:sz w:val="20"/>
        </w:rPr>
        <w:t xml:space="preserve">Wales </w:t>
      </w:r>
      <w:r>
        <w:rPr>
          <w:color w:val="161616"/>
          <w:sz w:val="20"/>
        </w:rPr>
        <w:t xml:space="preserve">are </w:t>
      </w:r>
      <w:r>
        <w:rPr>
          <w:color w:val="1F1F1F"/>
          <w:sz w:val="20"/>
        </w:rPr>
        <w:t xml:space="preserve">not </w:t>
      </w:r>
      <w:r>
        <w:rPr>
          <w:sz w:val="20"/>
        </w:rPr>
        <w:t xml:space="preserve">compromised </w:t>
      </w:r>
      <w:r>
        <w:rPr>
          <w:color w:val="212121"/>
          <w:sz w:val="20"/>
        </w:rPr>
        <w:t xml:space="preserve">in </w:t>
      </w:r>
      <w:r>
        <w:rPr>
          <w:color w:val="161616"/>
          <w:sz w:val="20"/>
        </w:rPr>
        <w:t>their roles</w:t>
      </w:r>
      <w:r>
        <w:rPr>
          <w:color w:val="161616"/>
          <w:spacing w:val="8"/>
          <w:sz w:val="20"/>
        </w:rPr>
        <w:t xml:space="preserve"> </w:t>
      </w:r>
      <w:r>
        <w:rPr>
          <w:color w:val="131313"/>
          <w:sz w:val="20"/>
        </w:rPr>
        <w:t>by:</w:t>
      </w:r>
    </w:p>
    <w:p w14:paraId="47E9C90A" w14:textId="77777777" w:rsidR="00FA4AA8" w:rsidRDefault="0015611F">
      <w:pPr>
        <w:pStyle w:val="ListParagraph"/>
        <w:numPr>
          <w:ilvl w:val="0"/>
          <w:numId w:val="33"/>
        </w:numPr>
        <w:tabs>
          <w:tab w:val="left" w:pos="1186"/>
          <w:tab w:val="left" w:pos="1187"/>
        </w:tabs>
        <w:spacing w:before="167" w:line="228" w:lineRule="auto"/>
        <w:ind w:left="1185" w:right="1911"/>
        <w:rPr>
          <w:color w:val="262626"/>
          <w:sz w:val="21"/>
        </w:rPr>
      </w:pPr>
      <w:r>
        <w:rPr>
          <w:w w:val="95"/>
          <w:sz w:val="21"/>
        </w:rPr>
        <w:t>providing</w:t>
      </w:r>
      <w:r>
        <w:rPr>
          <w:spacing w:val="-30"/>
          <w:w w:val="95"/>
          <w:sz w:val="21"/>
        </w:rPr>
        <w:t xml:space="preserve"> </w:t>
      </w:r>
      <w:r>
        <w:rPr>
          <w:w w:val="95"/>
          <w:sz w:val="21"/>
        </w:rPr>
        <w:t>that</w:t>
      </w:r>
      <w:r>
        <w:rPr>
          <w:spacing w:val="-31"/>
          <w:w w:val="95"/>
          <w:sz w:val="21"/>
        </w:rPr>
        <w:t xml:space="preserve"> </w:t>
      </w:r>
      <w:r>
        <w:rPr>
          <w:w w:val="95"/>
          <w:sz w:val="21"/>
        </w:rPr>
        <w:t>only</w:t>
      </w:r>
      <w:r>
        <w:rPr>
          <w:spacing w:val="-29"/>
          <w:w w:val="95"/>
          <w:sz w:val="21"/>
        </w:rPr>
        <w:t xml:space="preserve"> </w:t>
      </w:r>
      <w:r>
        <w:rPr>
          <w:color w:val="0F0F0F"/>
          <w:w w:val="95"/>
          <w:sz w:val="21"/>
        </w:rPr>
        <w:t>Parliament,</w:t>
      </w:r>
      <w:r>
        <w:rPr>
          <w:color w:val="0F0F0F"/>
          <w:spacing w:val="-24"/>
          <w:w w:val="95"/>
          <w:sz w:val="21"/>
        </w:rPr>
        <w:t xml:space="preserve"> </w:t>
      </w:r>
      <w:r>
        <w:rPr>
          <w:color w:val="131313"/>
          <w:w w:val="95"/>
          <w:sz w:val="21"/>
        </w:rPr>
        <w:t>and</w:t>
      </w:r>
      <w:r>
        <w:rPr>
          <w:color w:val="131313"/>
          <w:spacing w:val="-32"/>
          <w:w w:val="95"/>
          <w:sz w:val="21"/>
        </w:rPr>
        <w:t xml:space="preserve"> </w:t>
      </w:r>
      <w:r>
        <w:rPr>
          <w:color w:val="181818"/>
          <w:w w:val="95"/>
          <w:sz w:val="21"/>
        </w:rPr>
        <w:t>not</w:t>
      </w:r>
      <w:r>
        <w:rPr>
          <w:color w:val="181818"/>
          <w:spacing w:val="-32"/>
          <w:w w:val="95"/>
          <w:sz w:val="21"/>
        </w:rPr>
        <w:t xml:space="preserve"> </w:t>
      </w:r>
      <w:r>
        <w:rPr>
          <w:w w:val="95"/>
          <w:sz w:val="21"/>
        </w:rPr>
        <w:t>the</w:t>
      </w:r>
      <w:r>
        <w:rPr>
          <w:spacing w:val="-35"/>
          <w:w w:val="95"/>
          <w:sz w:val="21"/>
        </w:rPr>
        <w:t xml:space="preserve"> </w:t>
      </w:r>
      <w:r>
        <w:rPr>
          <w:w w:val="95"/>
          <w:sz w:val="21"/>
        </w:rPr>
        <w:t>executive</w:t>
      </w:r>
      <w:r>
        <w:rPr>
          <w:spacing w:val="-25"/>
          <w:w w:val="95"/>
          <w:sz w:val="21"/>
        </w:rPr>
        <w:t xml:space="preserve"> </w:t>
      </w:r>
      <w:r>
        <w:rPr>
          <w:color w:val="0E0E0E"/>
          <w:w w:val="95"/>
          <w:sz w:val="21"/>
        </w:rPr>
        <w:t>government,</w:t>
      </w:r>
      <w:r>
        <w:rPr>
          <w:color w:val="0E0E0E"/>
          <w:spacing w:val="-25"/>
          <w:w w:val="95"/>
          <w:sz w:val="21"/>
        </w:rPr>
        <w:t xml:space="preserve"> </w:t>
      </w:r>
      <w:r>
        <w:rPr>
          <w:color w:val="0E0E0E"/>
          <w:w w:val="95"/>
          <w:sz w:val="21"/>
        </w:rPr>
        <w:t>can</w:t>
      </w:r>
      <w:r>
        <w:rPr>
          <w:color w:val="0E0E0E"/>
          <w:spacing w:val="-32"/>
          <w:w w:val="95"/>
          <w:sz w:val="21"/>
        </w:rPr>
        <w:t xml:space="preserve"> </w:t>
      </w:r>
      <w:r>
        <w:rPr>
          <w:w w:val="95"/>
          <w:sz w:val="21"/>
        </w:rPr>
        <w:t>remove</w:t>
      </w:r>
      <w:r>
        <w:rPr>
          <w:spacing w:val="-29"/>
          <w:w w:val="95"/>
          <w:sz w:val="21"/>
        </w:rPr>
        <w:t xml:space="preserve"> </w:t>
      </w:r>
      <w:r>
        <w:rPr>
          <w:color w:val="181818"/>
          <w:w w:val="95"/>
          <w:sz w:val="21"/>
        </w:rPr>
        <w:t>an</w:t>
      </w:r>
      <w:r>
        <w:rPr>
          <w:w w:val="95"/>
          <w:sz w:val="21"/>
        </w:rPr>
        <w:t xml:space="preserve"> </w:t>
      </w:r>
      <w:r>
        <w:rPr>
          <w:sz w:val="21"/>
        </w:rPr>
        <w:t>Auditor-General</w:t>
      </w:r>
    </w:p>
    <w:p w14:paraId="6ED26536" w14:textId="77777777" w:rsidR="00FA4AA8" w:rsidRDefault="0015611F">
      <w:pPr>
        <w:spacing w:before="59"/>
        <w:ind w:left="1186"/>
        <w:rPr>
          <w:sz w:val="20"/>
        </w:rPr>
      </w:pPr>
      <w:r>
        <w:rPr>
          <w:sz w:val="20"/>
        </w:rPr>
        <w:t xml:space="preserve">mandating </w:t>
      </w:r>
      <w:r>
        <w:rPr>
          <w:color w:val="0A0A0A"/>
          <w:sz w:val="20"/>
        </w:rPr>
        <w:t xml:space="preserve">the </w:t>
      </w:r>
      <w:r>
        <w:rPr>
          <w:color w:val="0C0C0C"/>
          <w:sz w:val="20"/>
        </w:rPr>
        <w:t xml:space="preserve">Auditor-General </w:t>
      </w:r>
      <w:r>
        <w:rPr>
          <w:color w:val="0F0F0F"/>
          <w:sz w:val="20"/>
        </w:rPr>
        <w:t xml:space="preserve">as </w:t>
      </w:r>
      <w:r>
        <w:rPr>
          <w:sz w:val="20"/>
        </w:rPr>
        <w:t xml:space="preserve">auditor </w:t>
      </w:r>
      <w:r>
        <w:rPr>
          <w:color w:val="131313"/>
          <w:sz w:val="20"/>
        </w:rPr>
        <w:t xml:space="preserve">of </w:t>
      </w:r>
      <w:r>
        <w:rPr>
          <w:sz w:val="20"/>
        </w:rPr>
        <w:t xml:space="preserve">public </w:t>
      </w:r>
      <w:r>
        <w:rPr>
          <w:color w:val="151515"/>
          <w:sz w:val="20"/>
        </w:rPr>
        <w:t xml:space="preserve">sector </w:t>
      </w:r>
      <w:r>
        <w:rPr>
          <w:sz w:val="20"/>
        </w:rPr>
        <w:t>agencies</w:t>
      </w:r>
    </w:p>
    <w:p w14:paraId="1881CDFE" w14:textId="77777777" w:rsidR="00FA4AA8" w:rsidRDefault="0015611F">
      <w:pPr>
        <w:pStyle w:val="ListParagraph"/>
        <w:numPr>
          <w:ilvl w:val="0"/>
          <w:numId w:val="33"/>
        </w:numPr>
        <w:tabs>
          <w:tab w:val="left" w:pos="1186"/>
          <w:tab w:val="left" w:pos="1187"/>
        </w:tabs>
        <w:spacing w:before="58"/>
        <w:ind w:left="1186"/>
        <w:rPr>
          <w:color w:val="212121"/>
          <w:sz w:val="20"/>
        </w:rPr>
      </w:pPr>
      <w:r>
        <w:rPr>
          <w:sz w:val="20"/>
        </w:rPr>
        <w:t>precluding the Auditor-General from providing non-audit</w:t>
      </w:r>
      <w:r>
        <w:rPr>
          <w:spacing w:val="6"/>
          <w:sz w:val="20"/>
        </w:rPr>
        <w:t xml:space="preserve"> </w:t>
      </w:r>
      <w:r>
        <w:rPr>
          <w:color w:val="0C0C0C"/>
          <w:sz w:val="20"/>
        </w:rPr>
        <w:t>services.</w:t>
      </w:r>
    </w:p>
    <w:p w14:paraId="46C8490A" w14:textId="77777777" w:rsidR="00FA4AA8" w:rsidRDefault="0015611F">
      <w:pPr>
        <w:spacing w:before="195"/>
        <w:ind w:left="645" w:right="752" w:hanging="5"/>
        <w:rPr>
          <w:sz w:val="20"/>
        </w:rPr>
      </w:pPr>
      <w:r>
        <w:rPr>
          <w:color w:val="2D2D2D"/>
          <w:sz w:val="20"/>
        </w:rPr>
        <w:t>I</w:t>
      </w:r>
      <w:r>
        <w:rPr>
          <w:color w:val="2D2D2D"/>
          <w:spacing w:val="-28"/>
          <w:sz w:val="20"/>
        </w:rPr>
        <w:t xml:space="preserve"> </w:t>
      </w:r>
      <w:r>
        <w:rPr>
          <w:sz w:val="20"/>
        </w:rPr>
        <w:t>believe</w:t>
      </w:r>
      <w:r>
        <w:rPr>
          <w:spacing w:val="-24"/>
          <w:sz w:val="20"/>
        </w:rPr>
        <w:t xml:space="preserve"> </w:t>
      </w:r>
      <w:r>
        <w:rPr>
          <w:color w:val="111111"/>
          <w:sz w:val="20"/>
        </w:rPr>
        <w:t>the</w:t>
      </w:r>
      <w:r>
        <w:rPr>
          <w:color w:val="111111"/>
          <w:spacing w:val="-27"/>
          <w:sz w:val="20"/>
        </w:rPr>
        <w:t xml:space="preserve"> </w:t>
      </w:r>
      <w:r>
        <w:rPr>
          <w:sz w:val="20"/>
        </w:rPr>
        <w:t>audit</w:t>
      </w:r>
      <w:r>
        <w:rPr>
          <w:spacing w:val="-22"/>
          <w:sz w:val="20"/>
        </w:rPr>
        <w:t xml:space="preserve"> </w:t>
      </w:r>
      <w:r>
        <w:rPr>
          <w:color w:val="0E0E0E"/>
          <w:sz w:val="20"/>
        </w:rPr>
        <w:t>evidence</w:t>
      </w:r>
      <w:r>
        <w:rPr>
          <w:color w:val="0E0E0E"/>
          <w:spacing w:val="-18"/>
          <w:sz w:val="20"/>
        </w:rPr>
        <w:t xml:space="preserve"> </w:t>
      </w:r>
      <w:r>
        <w:rPr>
          <w:color w:val="212121"/>
          <w:sz w:val="20"/>
        </w:rPr>
        <w:t>I</w:t>
      </w:r>
      <w:r>
        <w:rPr>
          <w:color w:val="212121"/>
          <w:spacing w:val="-28"/>
          <w:sz w:val="20"/>
        </w:rPr>
        <w:t xml:space="preserve"> </w:t>
      </w:r>
      <w:r>
        <w:rPr>
          <w:color w:val="0C0C0C"/>
          <w:sz w:val="20"/>
        </w:rPr>
        <w:t>have</w:t>
      </w:r>
      <w:r>
        <w:rPr>
          <w:color w:val="0C0C0C"/>
          <w:spacing w:val="-25"/>
          <w:sz w:val="20"/>
        </w:rPr>
        <w:t xml:space="preserve"> </w:t>
      </w:r>
      <w:r>
        <w:rPr>
          <w:color w:val="0F0F0F"/>
          <w:sz w:val="20"/>
        </w:rPr>
        <w:t>obtained</w:t>
      </w:r>
      <w:r>
        <w:rPr>
          <w:color w:val="0F0F0F"/>
          <w:spacing w:val="-23"/>
          <w:sz w:val="20"/>
        </w:rPr>
        <w:t xml:space="preserve"> </w:t>
      </w:r>
      <w:r>
        <w:rPr>
          <w:color w:val="161616"/>
          <w:sz w:val="20"/>
        </w:rPr>
        <w:t>is</w:t>
      </w:r>
      <w:r>
        <w:rPr>
          <w:color w:val="161616"/>
          <w:spacing w:val="-27"/>
          <w:sz w:val="20"/>
        </w:rPr>
        <w:t xml:space="preserve"> </w:t>
      </w:r>
      <w:r>
        <w:rPr>
          <w:sz w:val="20"/>
        </w:rPr>
        <w:t>sufficient</w:t>
      </w:r>
      <w:r>
        <w:rPr>
          <w:spacing w:val="-15"/>
          <w:sz w:val="20"/>
        </w:rPr>
        <w:t xml:space="preserve"> </w:t>
      </w:r>
      <w:r>
        <w:rPr>
          <w:sz w:val="20"/>
        </w:rPr>
        <w:t>and</w:t>
      </w:r>
      <w:r>
        <w:rPr>
          <w:spacing w:val="-23"/>
          <w:sz w:val="20"/>
        </w:rPr>
        <w:t xml:space="preserve"> </w:t>
      </w:r>
      <w:r>
        <w:rPr>
          <w:sz w:val="20"/>
        </w:rPr>
        <w:t>appropriate</w:t>
      </w:r>
      <w:r>
        <w:rPr>
          <w:spacing w:val="-19"/>
          <w:sz w:val="20"/>
        </w:rPr>
        <w:t xml:space="preserve"> </w:t>
      </w:r>
      <w:r>
        <w:rPr>
          <w:color w:val="1F1F1F"/>
          <w:sz w:val="20"/>
        </w:rPr>
        <w:t>to</w:t>
      </w:r>
      <w:r>
        <w:rPr>
          <w:color w:val="1F1F1F"/>
          <w:spacing w:val="-27"/>
          <w:sz w:val="20"/>
        </w:rPr>
        <w:t xml:space="preserve"> </w:t>
      </w:r>
      <w:r>
        <w:rPr>
          <w:sz w:val="20"/>
        </w:rPr>
        <w:t>provide</w:t>
      </w:r>
      <w:r>
        <w:rPr>
          <w:spacing w:val="-22"/>
          <w:sz w:val="20"/>
        </w:rPr>
        <w:t xml:space="preserve"> </w:t>
      </w:r>
      <w:r>
        <w:rPr>
          <w:color w:val="1C1C1C"/>
          <w:sz w:val="20"/>
        </w:rPr>
        <w:t>a</w:t>
      </w:r>
      <w:r>
        <w:rPr>
          <w:color w:val="1C1C1C"/>
          <w:spacing w:val="-33"/>
          <w:sz w:val="20"/>
        </w:rPr>
        <w:t xml:space="preserve"> </w:t>
      </w:r>
      <w:r>
        <w:rPr>
          <w:sz w:val="20"/>
        </w:rPr>
        <w:t>basis</w:t>
      </w:r>
      <w:r>
        <w:rPr>
          <w:spacing w:val="-26"/>
          <w:sz w:val="20"/>
        </w:rPr>
        <w:t xml:space="preserve"> </w:t>
      </w:r>
      <w:r>
        <w:rPr>
          <w:color w:val="151515"/>
          <w:sz w:val="20"/>
        </w:rPr>
        <w:t>for</w:t>
      </w:r>
      <w:r>
        <w:rPr>
          <w:color w:val="151515"/>
          <w:spacing w:val="-32"/>
          <w:sz w:val="20"/>
        </w:rPr>
        <w:t xml:space="preserve"> </w:t>
      </w:r>
      <w:r>
        <w:rPr>
          <w:sz w:val="20"/>
        </w:rPr>
        <w:t>my audit</w:t>
      </w:r>
      <w:r>
        <w:rPr>
          <w:spacing w:val="8"/>
          <w:sz w:val="20"/>
        </w:rPr>
        <w:t xml:space="preserve"> </w:t>
      </w:r>
      <w:r>
        <w:rPr>
          <w:sz w:val="20"/>
        </w:rPr>
        <w:t>opinion.</w:t>
      </w:r>
    </w:p>
    <w:p w14:paraId="0CA6CE37" w14:textId="77777777" w:rsidR="00FA4AA8" w:rsidRDefault="00FA4AA8">
      <w:pPr>
        <w:pStyle w:val="BodyText"/>
        <w:rPr>
          <w:sz w:val="20"/>
        </w:rPr>
      </w:pPr>
    </w:p>
    <w:p w14:paraId="7641D5B1" w14:textId="77777777" w:rsidR="00FA4AA8" w:rsidRDefault="00FA4AA8">
      <w:pPr>
        <w:pStyle w:val="BodyText"/>
        <w:rPr>
          <w:sz w:val="20"/>
        </w:rPr>
      </w:pPr>
    </w:p>
    <w:p w14:paraId="56AFCC9A" w14:textId="77777777" w:rsidR="00FA4AA8" w:rsidRDefault="00FA4AA8">
      <w:pPr>
        <w:pStyle w:val="BodyText"/>
        <w:rPr>
          <w:sz w:val="20"/>
        </w:rPr>
      </w:pPr>
    </w:p>
    <w:p w14:paraId="31491FF7" w14:textId="77777777" w:rsidR="00FA4AA8" w:rsidRDefault="007E2441">
      <w:pPr>
        <w:pStyle w:val="BodyText"/>
        <w:rPr>
          <w:sz w:val="27"/>
        </w:rPr>
      </w:pPr>
      <w:r>
        <w:rPr>
          <w:noProof/>
          <w:lang w:val="en-AU" w:eastAsia="en-AU"/>
        </w:rPr>
        <mc:AlternateContent>
          <mc:Choice Requires="wps">
            <w:drawing>
              <wp:anchor distT="0" distB="0" distL="0" distR="0" simplePos="0" relativeHeight="487667712" behindDoc="1" locked="0" layoutInCell="1" allowOverlap="1" wp14:anchorId="69D3D4A7" wp14:editId="7E91F451">
                <wp:simplePos x="0" y="0"/>
                <wp:positionH relativeFrom="page">
                  <wp:posOffset>676910</wp:posOffset>
                </wp:positionH>
                <wp:positionV relativeFrom="paragraph">
                  <wp:posOffset>228600</wp:posOffset>
                </wp:positionV>
                <wp:extent cx="6181725" cy="1270"/>
                <wp:effectExtent l="0" t="0" r="0" b="0"/>
                <wp:wrapTopAndBottom/>
                <wp:docPr id="505" name="Freeform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81725" cy="1270"/>
                        </a:xfrm>
                        <a:custGeom>
                          <a:avLst/>
                          <a:gdLst>
                            <a:gd name="T0" fmla="+- 0 1066 1066"/>
                            <a:gd name="T1" fmla="*/ T0 w 9735"/>
                            <a:gd name="T2" fmla="+- 0 10800 1066"/>
                            <a:gd name="T3" fmla="*/ T2 w 9735"/>
                          </a:gdLst>
                          <a:ahLst/>
                          <a:cxnLst>
                            <a:cxn ang="0">
                              <a:pos x="T1" y="0"/>
                            </a:cxn>
                            <a:cxn ang="0">
                              <a:pos x="T3" y="0"/>
                            </a:cxn>
                          </a:cxnLst>
                          <a:rect l="0" t="0" r="r" b="b"/>
                          <a:pathLst>
                            <a:path w="9735">
                              <a:moveTo>
                                <a:pt x="0" y="0"/>
                              </a:moveTo>
                              <a:lnTo>
                                <a:pt x="9734" y="0"/>
                              </a:lnTo>
                            </a:path>
                          </a:pathLst>
                        </a:custGeom>
                        <a:noFill/>
                        <a:ln w="1219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0BA28" id="Freeform 271" o:spid="_x0000_s1026" style="position:absolute;margin-left:53.3pt;margin-top:18pt;width:486.75pt;height:.1pt;z-index:-15648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" path="m,l9734,e" filled="f" strokecolor="#858585" strokeweight=".96pt">
                <v:path arrowok="t" o:connecttype="custom" o:connectlocs="0,0;6181090,0" o:connectangles="0,0"/>
                <w10:wrap type="topAndBottom" anchorx="page"/>
              </v:shape>
            </w:pict>
          </mc:Fallback>
        </mc:AlternateContent>
      </w:r>
    </w:p>
    <w:p w14:paraId="5D5C0F69" w14:textId="77777777" w:rsidR="00FA4AA8" w:rsidRDefault="0015611F">
      <w:pPr>
        <w:spacing w:before="129"/>
        <w:ind w:left="267" w:right="275"/>
        <w:jc w:val="center"/>
        <w:rPr>
          <w:sz w:val="13"/>
        </w:rPr>
      </w:pPr>
      <w:r>
        <w:rPr>
          <w:color w:val="262626"/>
          <w:sz w:val="13"/>
        </w:rPr>
        <w:t xml:space="preserve">Level </w:t>
      </w:r>
      <w:r>
        <w:rPr>
          <w:color w:val="161616"/>
          <w:sz w:val="13"/>
        </w:rPr>
        <w:t xml:space="preserve">15. </w:t>
      </w:r>
      <w:r>
        <w:rPr>
          <w:color w:val="232323"/>
          <w:sz w:val="13"/>
        </w:rPr>
        <w:t xml:space="preserve">1 </w:t>
      </w:r>
      <w:r>
        <w:rPr>
          <w:color w:val="0F0F0F"/>
          <w:sz w:val="13"/>
        </w:rPr>
        <w:t xml:space="preserve">Margaret </w:t>
      </w:r>
      <w:r>
        <w:rPr>
          <w:color w:val="232323"/>
          <w:sz w:val="13"/>
        </w:rPr>
        <w:t xml:space="preserve">Street, </w:t>
      </w:r>
      <w:r>
        <w:rPr>
          <w:color w:val="0F0F0F"/>
          <w:sz w:val="13"/>
        </w:rPr>
        <w:t xml:space="preserve">Sydney </w:t>
      </w:r>
      <w:r>
        <w:rPr>
          <w:color w:val="232323"/>
          <w:sz w:val="13"/>
        </w:rPr>
        <w:t xml:space="preserve">NSW </w:t>
      </w:r>
      <w:r>
        <w:rPr>
          <w:color w:val="1F1F1F"/>
          <w:sz w:val="13"/>
        </w:rPr>
        <w:t xml:space="preserve">2000 </w:t>
      </w:r>
      <w:r>
        <w:rPr>
          <w:color w:val="8C8C8C"/>
          <w:sz w:val="13"/>
        </w:rPr>
        <w:t xml:space="preserve">I </w:t>
      </w:r>
      <w:r>
        <w:rPr>
          <w:color w:val="6E6E6E"/>
          <w:sz w:val="13"/>
        </w:rPr>
        <w:t xml:space="preserve">GPO </w:t>
      </w:r>
      <w:r>
        <w:rPr>
          <w:color w:val="363636"/>
          <w:sz w:val="13"/>
        </w:rPr>
        <w:t xml:space="preserve">Box </w:t>
      </w:r>
      <w:r>
        <w:rPr>
          <w:color w:val="5D5D5D"/>
          <w:sz w:val="13"/>
        </w:rPr>
        <w:t xml:space="preserve">12. </w:t>
      </w:r>
      <w:r>
        <w:rPr>
          <w:color w:val="575757"/>
          <w:sz w:val="13"/>
        </w:rPr>
        <w:t xml:space="preserve">Sydney </w:t>
      </w:r>
      <w:r>
        <w:rPr>
          <w:color w:val="505050"/>
          <w:sz w:val="13"/>
        </w:rPr>
        <w:t xml:space="preserve">NSW </w:t>
      </w:r>
      <w:r>
        <w:rPr>
          <w:color w:val="606060"/>
          <w:sz w:val="13"/>
        </w:rPr>
        <w:t xml:space="preserve">2 g1 </w:t>
      </w:r>
      <w:r>
        <w:rPr>
          <w:color w:val="9E9E9E"/>
          <w:w w:val="60"/>
          <w:sz w:val="13"/>
        </w:rPr>
        <w:t xml:space="preserve">1 </w:t>
      </w:r>
      <w:r>
        <w:rPr>
          <w:color w:val="343434"/>
          <w:w w:val="60"/>
          <w:sz w:val="13"/>
        </w:rPr>
        <w:t xml:space="preserve">1 </w:t>
      </w:r>
      <w:r>
        <w:rPr>
          <w:color w:val="484848"/>
          <w:sz w:val="13"/>
        </w:rPr>
        <w:t xml:space="preserve">02 </w:t>
      </w:r>
      <w:r>
        <w:rPr>
          <w:color w:val="414141"/>
          <w:sz w:val="13"/>
        </w:rPr>
        <w:t xml:space="preserve">9275 </w:t>
      </w:r>
      <w:r>
        <w:rPr>
          <w:color w:val="909090"/>
          <w:sz w:val="13"/>
        </w:rPr>
        <w:t>7</w:t>
      </w:r>
      <w:r>
        <w:rPr>
          <w:color w:val="343434"/>
          <w:sz w:val="13"/>
        </w:rPr>
        <w:t xml:space="preserve">› </w:t>
      </w:r>
      <w:r>
        <w:rPr>
          <w:color w:val="494949"/>
          <w:sz w:val="13"/>
        </w:rPr>
        <w:t xml:space="preserve">01 </w:t>
      </w:r>
      <w:r>
        <w:rPr>
          <w:color w:val="959595"/>
          <w:w w:val="60"/>
          <w:sz w:val="13"/>
        </w:rPr>
        <w:t xml:space="preserve">1 </w:t>
      </w:r>
      <w:r>
        <w:rPr>
          <w:color w:val="343434"/>
          <w:sz w:val="13"/>
        </w:rPr>
        <w:t xml:space="preserve">1 </w:t>
      </w:r>
      <w:r>
        <w:rPr>
          <w:color w:val="4B4B4B"/>
          <w:sz w:val="13"/>
        </w:rPr>
        <w:t xml:space="preserve">03 </w:t>
      </w:r>
      <w:r>
        <w:rPr>
          <w:color w:val="464646"/>
          <w:sz w:val="13"/>
        </w:rPr>
        <w:t xml:space="preserve">9275 </w:t>
      </w:r>
      <w:r>
        <w:rPr>
          <w:color w:val="3B3B3B"/>
          <w:sz w:val="13"/>
        </w:rPr>
        <w:t xml:space="preserve">7179 </w:t>
      </w:r>
      <w:r w:rsidR="00444D3A">
        <w:rPr>
          <w:color w:val="3B3B3B"/>
          <w:sz w:val="13"/>
        </w:rPr>
        <w:t>I</w:t>
      </w:r>
      <w:r>
        <w:rPr>
          <w:color w:val="AFAFAF"/>
          <w:sz w:val="13"/>
        </w:rPr>
        <w:t xml:space="preserve"> </w:t>
      </w:r>
      <w:r>
        <w:rPr>
          <w:color w:val="242424"/>
          <w:sz w:val="13"/>
        </w:rPr>
        <w:t xml:space="preserve">e </w:t>
      </w:r>
      <w:r>
        <w:rPr>
          <w:color w:val="606060"/>
          <w:sz w:val="13"/>
        </w:rPr>
        <w:t>mail</w:t>
      </w:r>
      <w:r w:rsidR="00444D3A">
        <w:rPr>
          <w:color w:val="606060"/>
          <w:sz w:val="13"/>
        </w:rPr>
        <w:t>@</w:t>
      </w:r>
      <w:r>
        <w:rPr>
          <w:color w:val="606060"/>
          <w:sz w:val="13"/>
        </w:rPr>
        <w:t>audit</w:t>
      </w:r>
      <w:r w:rsidR="00444D3A">
        <w:rPr>
          <w:color w:val="606060"/>
          <w:sz w:val="13"/>
        </w:rPr>
        <w:t>.</w:t>
      </w:r>
      <w:r>
        <w:rPr>
          <w:color w:val="3F3F3F"/>
          <w:sz w:val="13"/>
        </w:rPr>
        <w:t>n</w:t>
      </w:r>
      <w:r w:rsidR="00444D3A">
        <w:rPr>
          <w:color w:val="3F3F3F"/>
          <w:sz w:val="13"/>
        </w:rPr>
        <w:t>s</w:t>
      </w:r>
      <w:r>
        <w:rPr>
          <w:color w:val="3F3F3F"/>
          <w:sz w:val="13"/>
        </w:rPr>
        <w:t xml:space="preserve">w.gov.au </w:t>
      </w:r>
      <w:r>
        <w:rPr>
          <w:color w:val="A0A0A0"/>
          <w:sz w:val="13"/>
        </w:rPr>
        <w:t xml:space="preserve">I </w:t>
      </w:r>
      <w:r w:rsidR="00444D3A">
        <w:rPr>
          <w:color w:val="181818"/>
          <w:sz w:val="13"/>
        </w:rPr>
        <w:t>audit.</w:t>
      </w:r>
      <w:r>
        <w:rPr>
          <w:color w:val="181818"/>
          <w:sz w:val="13"/>
        </w:rPr>
        <w:t xml:space="preserve">nsw. </w:t>
      </w:r>
      <w:r>
        <w:rPr>
          <w:color w:val="131313"/>
          <w:sz w:val="13"/>
        </w:rPr>
        <w:t>go</w:t>
      </w:r>
      <w:r w:rsidR="00444D3A">
        <w:rPr>
          <w:color w:val="131313"/>
          <w:sz w:val="13"/>
        </w:rPr>
        <w:t>v</w:t>
      </w:r>
      <w:r>
        <w:rPr>
          <w:color w:val="131313"/>
          <w:sz w:val="13"/>
        </w:rPr>
        <w:t>.au</w:t>
      </w:r>
    </w:p>
    <w:p w14:paraId="2FC81054" w14:textId="77777777" w:rsidR="00FA4AA8" w:rsidRDefault="00FA4AA8">
      <w:pPr>
        <w:jc w:val="center"/>
        <w:rPr>
          <w:sz w:val="13"/>
        </w:rPr>
        <w:sectPr w:rsidR="00FA4AA8">
          <w:headerReference w:type="default" r:id="rId218"/>
          <w:footerReference w:type="default" r:id="rId219"/>
          <w:pgSz w:w="11910" w:h="16850"/>
          <w:pgMar w:top="1060" w:right="980" w:bottom="920" w:left="960" w:header="0" w:footer="722" w:gutter="0"/>
          <w:pgNumType w:start="203"/>
          <w:cols w:space="720"/>
        </w:sectPr>
      </w:pPr>
    </w:p>
    <w:p w14:paraId="2927308C" w14:textId="77777777" w:rsidR="00FA4AA8" w:rsidRDefault="0015611F">
      <w:pPr>
        <w:pStyle w:val="Heading5"/>
        <w:spacing w:before="127"/>
        <w:ind w:left="605"/>
      </w:pPr>
      <w:r>
        <w:rPr>
          <w:color w:val="181818"/>
          <w:w w:val="105"/>
        </w:rPr>
        <w:t xml:space="preserve">Other </w:t>
      </w:r>
      <w:r>
        <w:rPr>
          <w:color w:val="0C0C0C"/>
          <w:w w:val="105"/>
        </w:rPr>
        <w:t>Information</w:t>
      </w:r>
    </w:p>
    <w:p w14:paraId="5F7E3004" w14:textId="77777777" w:rsidR="00FA4AA8" w:rsidRDefault="0015611F">
      <w:pPr>
        <w:spacing w:before="117"/>
        <w:ind w:left="605" w:right="730" w:firstLine="2"/>
        <w:rPr>
          <w:sz w:val="20"/>
        </w:rPr>
      </w:pPr>
      <w:r>
        <w:rPr>
          <w:sz w:val="20"/>
        </w:rPr>
        <w:t>Other</w:t>
      </w:r>
      <w:r>
        <w:rPr>
          <w:spacing w:val="-22"/>
          <w:sz w:val="20"/>
        </w:rPr>
        <w:t xml:space="preserve"> </w:t>
      </w:r>
      <w:r>
        <w:rPr>
          <w:sz w:val="20"/>
        </w:rPr>
        <w:t>information</w:t>
      </w:r>
      <w:r>
        <w:rPr>
          <w:spacing w:val="-20"/>
          <w:sz w:val="20"/>
        </w:rPr>
        <w:t xml:space="preserve"> </w:t>
      </w:r>
      <w:r>
        <w:rPr>
          <w:sz w:val="20"/>
        </w:rPr>
        <w:t>comprises</w:t>
      </w:r>
      <w:r>
        <w:rPr>
          <w:spacing w:val="-23"/>
          <w:sz w:val="20"/>
        </w:rPr>
        <w:t xml:space="preserve"> </w:t>
      </w:r>
      <w:r>
        <w:rPr>
          <w:sz w:val="20"/>
        </w:rPr>
        <w:t>the</w:t>
      </w:r>
      <w:r>
        <w:rPr>
          <w:spacing w:val="-27"/>
          <w:sz w:val="20"/>
        </w:rPr>
        <w:t xml:space="preserve"> </w:t>
      </w:r>
      <w:r>
        <w:rPr>
          <w:color w:val="0C0C0C"/>
          <w:sz w:val="20"/>
        </w:rPr>
        <w:t>information</w:t>
      </w:r>
      <w:r>
        <w:rPr>
          <w:color w:val="0C0C0C"/>
          <w:spacing w:val="-18"/>
          <w:sz w:val="20"/>
        </w:rPr>
        <w:t xml:space="preserve"> </w:t>
      </w:r>
      <w:r>
        <w:rPr>
          <w:sz w:val="20"/>
        </w:rPr>
        <w:t>included</w:t>
      </w:r>
      <w:r>
        <w:rPr>
          <w:spacing w:val="-19"/>
          <w:sz w:val="20"/>
        </w:rPr>
        <w:t xml:space="preserve"> </w:t>
      </w:r>
      <w:r>
        <w:rPr>
          <w:sz w:val="20"/>
        </w:rPr>
        <w:t>in</w:t>
      </w:r>
      <w:r>
        <w:rPr>
          <w:spacing w:val="-29"/>
          <w:sz w:val="20"/>
        </w:rPr>
        <w:t xml:space="preserve"> </w:t>
      </w:r>
      <w:r>
        <w:rPr>
          <w:sz w:val="20"/>
        </w:rPr>
        <w:t>the</w:t>
      </w:r>
      <w:r>
        <w:rPr>
          <w:spacing w:val="-25"/>
          <w:sz w:val="20"/>
        </w:rPr>
        <w:t xml:space="preserve"> </w:t>
      </w:r>
      <w:r>
        <w:rPr>
          <w:sz w:val="20"/>
        </w:rPr>
        <w:t>Trust’s</w:t>
      </w:r>
      <w:r>
        <w:rPr>
          <w:spacing w:val="-23"/>
          <w:sz w:val="20"/>
        </w:rPr>
        <w:t xml:space="preserve"> </w:t>
      </w:r>
      <w:r>
        <w:rPr>
          <w:color w:val="111111"/>
          <w:sz w:val="20"/>
        </w:rPr>
        <w:t>annual</w:t>
      </w:r>
      <w:r>
        <w:rPr>
          <w:color w:val="111111"/>
          <w:spacing w:val="-23"/>
          <w:sz w:val="20"/>
        </w:rPr>
        <w:t xml:space="preserve"> </w:t>
      </w:r>
      <w:r>
        <w:rPr>
          <w:color w:val="111111"/>
          <w:sz w:val="20"/>
        </w:rPr>
        <w:t>report</w:t>
      </w:r>
      <w:r>
        <w:rPr>
          <w:color w:val="111111"/>
          <w:spacing w:val="-25"/>
          <w:sz w:val="20"/>
        </w:rPr>
        <w:t xml:space="preserve"> </w:t>
      </w:r>
      <w:r>
        <w:rPr>
          <w:color w:val="0F0F0F"/>
          <w:sz w:val="20"/>
        </w:rPr>
        <w:t>for</w:t>
      </w:r>
      <w:r>
        <w:rPr>
          <w:color w:val="0F0F0F"/>
          <w:spacing w:val="-26"/>
          <w:sz w:val="20"/>
        </w:rPr>
        <w:t xml:space="preserve"> </w:t>
      </w:r>
      <w:r>
        <w:rPr>
          <w:sz w:val="20"/>
        </w:rPr>
        <w:t>the</w:t>
      </w:r>
      <w:r>
        <w:rPr>
          <w:spacing w:val="-25"/>
          <w:sz w:val="20"/>
        </w:rPr>
        <w:t xml:space="preserve"> </w:t>
      </w:r>
      <w:r>
        <w:rPr>
          <w:sz w:val="20"/>
        </w:rPr>
        <w:t>year</w:t>
      </w:r>
      <w:r>
        <w:rPr>
          <w:spacing w:val="-22"/>
          <w:sz w:val="20"/>
        </w:rPr>
        <w:t xml:space="preserve"> </w:t>
      </w:r>
      <w:r>
        <w:rPr>
          <w:sz w:val="20"/>
        </w:rPr>
        <w:t xml:space="preserve">ended </w:t>
      </w:r>
      <w:r>
        <w:rPr>
          <w:color w:val="111111"/>
          <w:sz w:val="20"/>
        </w:rPr>
        <w:t>31</w:t>
      </w:r>
      <w:r>
        <w:rPr>
          <w:color w:val="111111"/>
          <w:spacing w:val="-39"/>
          <w:sz w:val="20"/>
        </w:rPr>
        <w:t xml:space="preserve"> </w:t>
      </w:r>
      <w:r>
        <w:rPr>
          <w:sz w:val="20"/>
        </w:rPr>
        <w:t>December</w:t>
      </w:r>
      <w:r>
        <w:rPr>
          <w:spacing w:val="-33"/>
          <w:sz w:val="20"/>
        </w:rPr>
        <w:t xml:space="preserve"> </w:t>
      </w:r>
      <w:r>
        <w:rPr>
          <w:sz w:val="20"/>
        </w:rPr>
        <w:t>2019,</w:t>
      </w:r>
      <w:r>
        <w:rPr>
          <w:spacing w:val="-32"/>
          <w:sz w:val="20"/>
        </w:rPr>
        <w:t xml:space="preserve"> </w:t>
      </w:r>
      <w:r>
        <w:rPr>
          <w:color w:val="131313"/>
          <w:sz w:val="20"/>
        </w:rPr>
        <w:t>other</w:t>
      </w:r>
      <w:r>
        <w:rPr>
          <w:color w:val="131313"/>
          <w:spacing w:val="-35"/>
          <w:sz w:val="20"/>
        </w:rPr>
        <w:t xml:space="preserve"> </w:t>
      </w:r>
      <w:r>
        <w:rPr>
          <w:sz w:val="20"/>
        </w:rPr>
        <w:t>than</w:t>
      </w:r>
      <w:r>
        <w:rPr>
          <w:spacing w:val="-35"/>
          <w:sz w:val="20"/>
        </w:rPr>
        <w:t xml:space="preserve"> </w:t>
      </w:r>
      <w:r>
        <w:rPr>
          <w:sz w:val="20"/>
        </w:rPr>
        <w:t>the</w:t>
      </w:r>
      <w:r>
        <w:rPr>
          <w:spacing w:val="-39"/>
          <w:sz w:val="20"/>
        </w:rPr>
        <w:t xml:space="preserve"> </w:t>
      </w:r>
      <w:r>
        <w:rPr>
          <w:color w:val="0F0F0F"/>
          <w:sz w:val="20"/>
        </w:rPr>
        <w:t>financial</w:t>
      </w:r>
      <w:r>
        <w:rPr>
          <w:color w:val="0F0F0F"/>
          <w:spacing w:val="-30"/>
          <w:sz w:val="20"/>
        </w:rPr>
        <w:t xml:space="preserve"> </w:t>
      </w:r>
      <w:r>
        <w:rPr>
          <w:sz w:val="20"/>
        </w:rPr>
        <w:t>statements</w:t>
      </w:r>
      <w:r>
        <w:rPr>
          <w:spacing w:val="-29"/>
          <w:sz w:val="20"/>
        </w:rPr>
        <w:t xml:space="preserve"> </w:t>
      </w:r>
      <w:r>
        <w:rPr>
          <w:sz w:val="20"/>
        </w:rPr>
        <w:t>and</w:t>
      </w:r>
      <w:r>
        <w:rPr>
          <w:spacing w:val="-34"/>
          <w:sz w:val="20"/>
        </w:rPr>
        <w:t xml:space="preserve"> </w:t>
      </w:r>
      <w:r>
        <w:rPr>
          <w:color w:val="181818"/>
          <w:sz w:val="20"/>
        </w:rPr>
        <w:t>my</w:t>
      </w:r>
      <w:r>
        <w:rPr>
          <w:color w:val="181818"/>
          <w:spacing w:val="-37"/>
          <w:sz w:val="20"/>
        </w:rPr>
        <w:t xml:space="preserve"> </w:t>
      </w:r>
      <w:r>
        <w:rPr>
          <w:sz w:val="20"/>
        </w:rPr>
        <w:t>Independent</w:t>
      </w:r>
      <w:r>
        <w:rPr>
          <w:spacing w:val="-28"/>
          <w:sz w:val="20"/>
        </w:rPr>
        <w:t xml:space="preserve"> </w:t>
      </w:r>
      <w:r>
        <w:rPr>
          <w:sz w:val="20"/>
        </w:rPr>
        <w:t>Auditor’s</w:t>
      </w:r>
      <w:r>
        <w:rPr>
          <w:spacing w:val="-31"/>
          <w:sz w:val="20"/>
        </w:rPr>
        <w:t xml:space="preserve"> </w:t>
      </w:r>
      <w:r>
        <w:rPr>
          <w:sz w:val="20"/>
        </w:rPr>
        <w:t>Report</w:t>
      </w:r>
      <w:r>
        <w:rPr>
          <w:spacing w:val="-31"/>
          <w:sz w:val="20"/>
        </w:rPr>
        <w:t xml:space="preserve"> </w:t>
      </w:r>
      <w:r>
        <w:rPr>
          <w:sz w:val="20"/>
        </w:rPr>
        <w:t>thereon. The</w:t>
      </w:r>
      <w:r>
        <w:rPr>
          <w:spacing w:val="-21"/>
          <w:sz w:val="20"/>
        </w:rPr>
        <w:t xml:space="preserve"> </w:t>
      </w:r>
      <w:r>
        <w:rPr>
          <w:sz w:val="20"/>
        </w:rPr>
        <w:t>Trustees</w:t>
      </w:r>
      <w:r>
        <w:rPr>
          <w:spacing w:val="-10"/>
          <w:sz w:val="20"/>
        </w:rPr>
        <w:t xml:space="preserve"> </w:t>
      </w:r>
      <w:r>
        <w:rPr>
          <w:color w:val="131313"/>
          <w:sz w:val="20"/>
        </w:rPr>
        <w:t>of</w:t>
      </w:r>
      <w:r>
        <w:rPr>
          <w:color w:val="131313"/>
          <w:spacing w:val="-25"/>
          <w:sz w:val="20"/>
        </w:rPr>
        <w:t xml:space="preserve"> </w:t>
      </w:r>
      <w:r>
        <w:rPr>
          <w:sz w:val="20"/>
        </w:rPr>
        <w:t>the</w:t>
      </w:r>
      <w:r>
        <w:rPr>
          <w:spacing w:val="-20"/>
          <w:sz w:val="20"/>
        </w:rPr>
        <w:t xml:space="preserve"> </w:t>
      </w:r>
      <w:r>
        <w:rPr>
          <w:color w:val="0E0E0E"/>
          <w:sz w:val="20"/>
        </w:rPr>
        <w:t>Trust</w:t>
      </w:r>
      <w:r>
        <w:rPr>
          <w:color w:val="0E0E0E"/>
          <w:spacing w:val="-20"/>
          <w:sz w:val="20"/>
        </w:rPr>
        <w:t xml:space="preserve"> </w:t>
      </w:r>
      <w:r>
        <w:rPr>
          <w:color w:val="181818"/>
          <w:sz w:val="20"/>
        </w:rPr>
        <w:t>are</w:t>
      </w:r>
      <w:r>
        <w:rPr>
          <w:color w:val="181818"/>
          <w:spacing w:val="-21"/>
          <w:sz w:val="20"/>
        </w:rPr>
        <w:t xml:space="preserve"> </w:t>
      </w:r>
      <w:r>
        <w:rPr>
          <w:sz w:val="20"/>
        </w:rPr>
        <w:t>responsible</w:t>
      </w:r>
      <w:r>
        <w:rPr>
          <w:spacing w:val="-16"/>
          <w:sz w:val="20"/>
        </w:rPr>
        <w:t xml:space="preserve"> </w:t>
      </w:r>
      <w:r>
        <w:rPr>
          <w:sz w:val="20"/>
        </w:rPr>
        <w:t>for</w:t>
      </w:r>
      <w:r>
        <w:rPr>
          <w:spacing w:val="-22"/>
          <w:sz w:val="20"/>
        </w:rPr>
        <w:t xml:space="preserve"> </w:t>
      </w:r>
      <w:r>
        <w:rPr>
          <w:color w:val="0F0F0F"/>
          <w:sz w:val="20"/>
        </w:rPr>
        <w:t>the</w:t>
      </w:r>
      <w:r>
        <w:rPr>
          <w:color w:val="0F0F0F"/>
          <w:spacing w:val="-21"/>
          <w:sz w:val="20"/>
        </w:rPr>
        <w:t xml:space="preserve"> </w:t>
      </w:r>
      <w:r>
        <w:rPr>
          <w:sz w:val="20"/>
        </w:rPr>
        <w:t>other</w:t>
      </w:r>
      <w:r>
        <w:rPr>
          <w:spacing w:val="-18"/>
          <w:sz w:val="20"/>
        </w:rPr>
        <w:t xml:space="preserve"> </w:t>
      </w:r>
      <w:r>
        <w:rPr>
          <w:sz w:val="20"/>
        </w:rPr>
        <w:t>information.</w:t>
      </w:r>
      <w:r>
        <w:rPr>
          <w:spacing w:val="-8"/>
          <w:sz w:val="20"/>
        </w:rPr>
        <w:t xml:space="preserve"> </w:t>
      </w:r>
      <w:r>
        <w:rPr>
          <w:color w:val="131313"/>
          <w:sz w:val="20"/>
        </w:rPr>
        <w:t>At</w:t>
      </w:r>
      <w:r>
        <w:rPr>
          <w:color w:val="131313"/>
          <w:spacing w:val="-21"/>
          <w:sz w:val="20"/>
        </w:rPr>
        <w:t xml:space="preserve"> </w:t>
      </w:r>
      <w:r>
        <w:rPr>
          <w:color w:val="131313"/>
          <w:sz w:val="20"/>
        </w:rPr>
        <w:t>the</w:t>
      </w:r>
      <w:r>
        <w:rPr>
          <w:color w:val="131313"/>
          <w:spacing w:val="-21"/>
          <w:sz w:val="20"/>
        </w:rPr>
        <w:t xml:space="preserve"> </w:t>
      </w:r>
      <w:r>
        <w:rPr>
          <w:sz w:val="20"/>
        </w:rPr>
        <w:t>date</w:t>
      </w:r>
      <w:r>
        <w:rPr>
          <w:spacing w:val="-20"/>
          <w:sz w:val="20"/>
        </w:rPr>
        <w:t xml:space="preserve"> </w:t>
      </w:r>
      <w:r>
        <w:rPr>
          <w:color w:val="131313"/>
          <w:sz w:val="20"/>
        </w:rPr>
        <w:t>of</w:t>
      </w:r>
      <w:r>
        <w:rPr>
          <w:color w:val="131313"/>
          <w:spacing w:val="-21"/>
          <w:sz w:val="20"/>
        </w:rPr>
        <w:t xml:space="preserve"> </w:t>
      </w:r>
      <w:r>
        <w:rPr>
          <w:color w:val="0E0E0E"/>
          <w:sz w:val="20"/>
        </w:rPr>
        <w:t>this</w:t>
      </w:r>
      <w:r>
        <w:rPr>
          <w:color w:val="0E0E0E"/>
          <w:spacing w:val="-20"/>
          <w:sz w:val="20"/>
        </w:rPr>
        <w:t xml:space="preserve"> </w:t>
      </w:r>
      <w:r>
        <w:rPr>
          <w:sz w:val="20"/>
        </w:rPr>
        <w:t xml:space="preserve">Independent Auditor's Report, the </w:t>
      </w:r>
      <w:r>
        <w:rPr>
          <w:color w:val="0E0E0E"/>
          <w:sz w:val="20"/>
        </w:rPr>
        <w:t xml:space="preserve">other </w:t>
      </w:r>
      <w:r>
        <w:rPr>
          <w:sz w:val="20"/>
        </w:rPr>
        <w:t xml:space="preserve">information </w:t>
      </w:r>
      <w:r>
        <w:rPr>
          <w:color w:val="282828"/>
          <w:sz w:val="20"/>
        </w:rPr>
        <w:t xml:space="preserve">I </w:t>
      </w:r>
      <w:r>
        <w:rPr>
          <w:color w:val="0F0F0F"/>
          <w:sz w:val="20"/>
        </w:rPr>
        <w:t xml:space="preserve">have </w:t>
      </w:r>
      <w:r>
        <w:rPr>
          <w:sz w:val="20"/>
        </w:rPr>
        <w:t xml:space="preserve">received comprise the Trustees' declaration </w:t>
      </w:r>
      <w:r>
        <w:rPr>
          <w:color w:val="131313"/>
          <w:sz w:val="20"/>
        </w:rPr>
        <w:t xml:space="preserve">and </w:t>
      </w:r>
      <w:r>
        <w:rPr>
          <w:color w:val="181818"/>
          <w:sz w:val="20"/>
        </w:rPr>
        <w:t xml:space="preserve">the </w:t>
      </w:r>
      <w:r>
        <w:rPr>
          <w:sz w:val="20"/>
        </w:rPr>
        <w:t>Trustees'</w:t>
      </w:r>
      <w:r>
        <w:rPr>
          <w:spacing w:val="-10"/>
          <w:sz w:val="20"/>
        </w:rPr>
        <w:t xml:space="preserve"> </w:t>
      </w:r>
      <w:r>
        <w:rPr>
          <w:color w:val="0F0F0F"/>
          <w:sz w:val="20"/>
        </w:rPr>
        <w:t>report.</w:t>
      </w:r>
      <w:r>
        <w:rPr>
          <w:color w:val="0F0F0F"/>
          <w:spacing w:val="-11"/>
          <w:sz w:val="20"/>
        </w:rPr>
        <w:t xml:space="preserve"> </w:t>
      </w:r>
      <w:r>
        <w:rPr>
          <w:color w:val="0F0F0F"/>
          <w:sz w:val="20"/>
        </w:rPr>
        <w:t>My</w:t>
      </w:r>
      <w:r>
        <w:rPr>
          <w:color w:val="0F0F0F"/>
          <w:spacing w:val="-12"/>
          <w:sz w:val="20"/>
        </w:rPr>
        <w:t xml:space="preserve"> </w:t>
      </w:r>
      <w:r>
        <w:rPr>
          <w:sz w:val="20"/>
        </w:rPr>
        <w:t>opinion</w:t>
      </w:r>
      <w:r>
        <w:rPr>
          <w:spacing w:val="-16"/>
          <w:sz w:val="20"/>
        </w:rPr>
        <w:t xml:space="preserve"> </w:t>
      </w:r>
      <w:r>
        <w:rPr>
          <w:color w:val="161616"/>
          <w:sz w:val="20"/>
        </w:rPr>
        <w:t>on</w:t>
      </w:r>
      <w:r>
        <w:rPr>
          <w:color w:val="161616"/>
          <w:spacing w:val="-19"/>
          <w:sz w:val="20"/>
        </w:rPr>
        <w:t xml:space="preserve"> </w:t>
      </w:r>
      <w:r>
        <w:rPr>
          <w:sz w:val="20"/>
        </w:rPr>
        <w:t>the</w:t>
      </w:r>
      <w:r>
        <w:rPr>
          <w:spacing w:val="-19"/>
          <w:sz w:val="20"/>
        </w:rPr>
        <w:t xml:space="preserve"> </w:t>
      </w:r>
      <w:r>
        <w:rPr>
          <w:sz w:val="20"/>
        </w:rPr>
        <w:t>financial</w:t>
      </w:r>
      <w:r>
        <w:rPr>
          <w:spacing w:val="-12"/>
          <w:sz w:val="20"/>
        </w:rPr>
        <w:t xml:space="preserve"> </w:t>
      </w:r>
      <w:r>
        <w:rPr>
          <w:sz w:val="20"/>
        </w:rPr>
        <w:t>statements</w:t>
      </w:r>
      <w:r>
        <w:rPr>
          <w:spacing w:val="-5"/>
          <w:sz w:val="20"/>
        </w:rPr>
        <w:t xml:space="preserve"> </w:t>
      </w:r>
      <w:r>
        <w:rPr>
          <w:sz w:val="20"/>
        </w:rPr>
        <w:t>does</w:t>
      </w:r>
      <w:r>
        <w:rPr>
          <w:spacing w:val="-13"/>
          <w:sz w:val="20"/>
        </w:rPr>
        <w:t xml:space="preserve"> </w:t>
      </w:r>
      <w:r>
        <w:rPr>
          <w:color w:val="0E0E0E"/>
          <w:sz w:val="20"/>
        </w:rPr>
        <w:t>not</w:t>
      </w:r>
      <w:r>
        <w:rPr>
          <w:color w:val="0E0E0E"/>
          <w:spacing w:val="-19"/>
          <w:sz w:val="20"/>
        </w:rPr>
        <w:t xml:space="preserve"> </w:t>
      </w:r>
      <w:r>
        <w:rPr>
          <w:sz w:val="20"/>
        </w:rPr>
        <w:t>cover</w:t>
      </w:r>
      <w:r>
        <w:rPr>
          <w:spacing w:val="-14"/>
          <w:sz w:val="20"/>
        </w:rPr>
        <w:t xml:space="preserve"> </w:t>
      </w:r>
      <w:r>
        <w:rPr>
          <w:sz w:val="20"/>
        </w:rPr>
        <w:t>the</w:t>
      </w:r>
      <w:r>
        <w:rPr>
          <w:spacing w:val="-17"/>
          <w:sz w:val="20"/>
        </w:rPr>
        <w:t xml:space="preserve"> </w:t>
      </w:r>
      <w:r>
        <w:rPr>
          <w:sz w:val="20"/>
        </w:rPr>
        <w:t>other</w:t>
      </w:r>
      <w:r>
        <w:rPr>
          <w:spacing w:val="-11"/>
          <w:sz w:val="20"/>
        </w:rPr>
        <w:t xml:space="preserve"> </w:t>
      </w:r>
      <w:r>
        <w:rPr>
          <w:sz w:val="20"/>
        </w:rPr>
        <w:t>information.</w:t>
      </w:r>
    </w:p>
    <w:p w14:paraId="0704FC66" w14:textId="77777777" w:rsidR="00FA4AA8" w:rsidRDefault="0015611F">
      <w:pPr>
        <w:spacing w:before="2"/>
        <w:ind w:left="609"/>
        <w:rPr>
          <w:sz w:val="20"/>
        </w:rPr>
      </w:pPr>
      <w:r>
        <w:rPr>
          <w:sz w:val="20"/>
        </w:rPr>
        <w:t xml:space="preserve">Accordingly, </w:t>
      </w:r>
      <w:r>
        <w:rPr>
          <w:color w:val="1C1C1C"/>
          <w:sz w:val="20"/>
        </w:rPr>
        <w:t xml:space="preserve">I </w:t>
      </w:r>
      <w:r>
        <w:rPr>
          <w:sz w:val="20"/>
        </w:rPr>
        <w:t xml:space="preserve">do </w:t>
      </w:r>
      <w:r>
        <w:rPr>
          <w:color w:val="212121"/>
          <w:sz w:val="20"/>
        </w:rPr>
        <w:t xml:space="preserve">not </w:t>
      </w:r>
      <w:r>
        <w:rPr>
          <w:sz w:val="20"/>
        </w:rPr>
        <w:t xml:space="preserve">express </w:t>
      </w:r>
      <w:r>
        <w:rPr>
          <w:color w:val="131313"/>
          <w:sz w:val="20"/>
        </w:rPr>
        <w:t xml:space="preserve">any </w:t>
      </w:r>
      <w:r>
        <w:rPr>
          <w:color w:val="181818"/>
          <w:sz w:val="20"/>
        </w:rPr>
        <w:t xml:space="preserve">form </w:t>
      </w:r>
      <w:r>
        <w:rPr>
          <w:sz w:val="20"/>
        </w:rPr>
        <w:t xml:space="preserve">of assurance conclusion on </w:t>
      </w:r>
      <w:r>
        <w:rPr>
          <w:color w:val="0F0F0F"/>
          <w:sz w:val="20"/>
        </w:rPr>
        <w:t xml:space="preserve">the </w:t>
      </w:r>
      <w:r>
        <w:rPr>
          <w:color w:val="0C0C0C"/>
          <w:sz w:val="20"/>
        </w:rPr>
        <w:t xml:space="preserve">other </w:t>
      </w:r>
      <w:r>
        <w:rPr>
          <w:sz w:val="20"/>
        </w:rPr>
        <w:t>information.</w:t>
      </w:r>
    </w:p>
    <w:p w14:paraId="65537A98" w14:textId="77777777" w:rsidR="00FA4AA8" w:rsidRDefault="0015611F">
      <w:pPr>
        <w:spacing w:before="166"/>
        <w:ind w:left="607" w:right="710" w:hanging="3"/>
        <w:rPr>
          <w:sz w:val="20"/>
        </w:rPr>
      </w:pPr>
      <w:r>
        <w:rPr>
          <w:color w:val="0F0F0F"/>
          <w:sz w:val="20"/>
        </w:rPr>
        <w:t xml:space="preserve">In </w:t>
      </w:r>
      <w:r>
        <w:rPr>
          <w:sz w:val="20"/>
        </w:rPr>
        <w:t xml:space="preserve">connection with my audit of </w:t>
      </w:r>
      <w:r>
        <w:rPr>
          <w:color w:val="0E0E0E"/>
          <w:sz w:val="20"/>
        </w:rPr>
        <w:t xml:space="preserve">the </w:t>
      </w:r>
      <w:r>
        <w:rPr>
          <w:sz w:val="20"/>
        </w:rPr>
        <w:t xml:space="preserve">financial statements, my responsibility </w:t>
      </w:r>
      <w:r>
        <w:rPr>
          <w:color w:val="111111"/>
          <w:sz w:val="20"/>
        </w:rPr>
        <w:t xml:space="preserve">is </w:t>
      </w:r>
      <w:r>
        <w:rPr>
          <w:sz w:val="20"/>
        </w:rPr>
        <w:t xml:space="preserve">to read </w:t>
      </w:r>
      <w:r>
        <w:rPr>
          <w:color w:val="0C0C0C"/>
          <w:sz w:val="20"/>
        </w:rPr>
        <w:t xml:space="preserve">the </w:t>
      </w:r>
      <w:r>
        <w:rPr>
          <w:sz w:val="20"/>
        </w:rPr>
        <w:t>other information</w:t>
      </w:r>
      <w:r>
        <w:rPr>
          <w:spacing w:val="-28"/>
          <w:sz w:val="20"/>
        </w:rPr>
        <w:t xml:space="preserve"> </w:t>
      </w:r>
      <w:r>
        <w:rPr>
          <w:sz w:val="20"/>
        </w:rPr>
        <w:t>and,</w:t>
      </w:r>
      <w:r>
        <w:rPr>
          <w:spacing w:val="-33"/>
          <w:sz w:val="20"/>
        </w:rPr>
        <w:t xml:space="preserve"> </w:t>
      </w:r>
      <w:r>
        <w:rPr>
          <w:color w:val="1A1A1A"/>
          <w:sz w:val="20"/>
        </w:rPr>
        <w:t>in</w:t>
      </w:r>
      <w:r>
        <w:rPr>
          <w:color w:val="1A1A1A"/>
          <w:spacing w:val="-37"/>
          <w:sz w:val="20"/>
        </w:rPr>
        <w:t xml:space="preserve"> </w:t>
      </w:r>
      <w:r>
        <w:rPr>
          <w:sz w:val="20"/>
        </w:rPr>
        <w:t>doing</w:t>
      </w:r>
      <w:r>
        <w:rPr>
          <w:spacing w:val="-32"/>
          <w:sz w:val="20"/>
        </w:rPr>
        <w:t xml:space="preserve"> </w:t>
      </w:r>
      <w:r>
        <w:rPr>
          <w:sz w:val="20"/>
        </w:rPr>
        <w:t>so,</w:t>
      </w:r>
      <w:r>
        <w:rPr>
          <w:spacing w:val="-35"/>
          <w:sz w:val="20"/>
        </w:rPr>
        <w:t xml:space="preserve"> </w:t>
      </w:r>
      <w:r>
        <w:rPr>
          <w:sz w:val="20"/>
        </w:rPr>
        <w:t>consider</w:t>
      </w:r>
      <w:r>
        <w:rPr>
          <w:spacing w:val="-26"/>
          <w:sz w:val="20"/>
        </w:rPr>
        <w:t xml:space="preserve"> </w:t>
      </w:r>
      <w:r>
        <w:rPr>
          <w:color w:val="0F0F0F"/>
          <w:sz w:val="20"/>
        </w:rPr>
        <w:t>whether</w:t>
      </w:r>
      <w:r>
        <w:rPr>
          <w:color w:val="0F0F0F"/>
          <w:spacing w:val="-28"/>
          <w:sz w:val="20"/>
        </w:rPr>
        <w:t xml:space="preserve"> </w:t>
      </w:r>
      <w:r>
        <w:rPr>
          <w:color w:val="0C0C0C"/>
          <w:sz w:val="20"/>
        </w:rPr>
        <w:t>the</w:t>
      </w:r>
      <w:r>
        <w:rPr>
          <w:color w:val="0C0C0C"/>
          <w:spacing w:val="-31"/>
          <w:sz w:val="20"/>
        </w:rPr>
        <w:t xml:space="preserve"> </w:t>
      </w:r>
      <w:r>
        <w:rPr>
          <w:sz w:val="20"/>
        </w:rPr>
        <w:t>other</w:t>
      </w:r>
      <w:r>
        <w:rPr>
          <w:spacing w:val="-34"/>
          <w:sz w:val="20"/>
        </w:rPr>
        <w:t xml:space="preserve"> </w:t>
      </w:r>
      <w:r>
        <w:rPr>
          <w:sz w:val="20"/>
        </w:rPr>
        <w:t>information</w:t>
      </w:r>
      <w:r>
        <w:rPr>
          <w:spacing w:val="-27"/>
          <w:sz w:val="20"/>
        </w:rPr>
        <w:t xml:space="preserve"> </w:t>
      </w:r>
      <w:r>
        <w:rPr>
          <w:color w:val="161616"/>
          <w:sz w:val="20"/>
        </w:rPr>
        <w:t>is</w:t>
      </w:r>
      <w:r>
        <w:rPr>
          <w:color w:val="161616"/>
          <w:spacing w:val="-34"/>
          <w:sz w:val="20"/>
        </w:rPr>
        <w:t xml:space="preserve"> </w:t>
      </w:r>
      <w:r>
        <w:rPr>
          <w:color w:val="111111"/>
          <w:sz w:val="20"/>
        </w:rPr>
        <w:t>materially</w:t>
      </w:r>
      <w:r>
        <w:rPr>
          <w:color w:val="111111"/>
          <w:spacing w:val="-29"/>
          <w:sz w:val="20"/>
        </w:rPr>
        <w:t xml:space="preserve"> </w:t>
      </w:r>
      <w:r>
        <w:rPr>
          <w:sz w:val="20"/>
        </w:rPr>
        <w:t>inconsistent</w:t>
      </w:r>
      <w:r>
        <w:rPr>
          <w:spacing w:val="-23"/>
          <w:sz w:val="20"/>
        </w:rPr>
        <w:t xml:space="preserve"> </w:t>
      </w:r>
      <w:r>
        <w:rPr>
          <w:color w:val="0F0F0F"/>
          <w:sz w:val="20"/>
        </w:rPr>
        <w:t>with</w:t>
      </w:r>
      <w:r>
        <w:rPr>
          <w:color w:val="0F0F0F"/>
          <w:spacing w:val="-34"/>
          <w:sz w:val="20"/>
        </w:rPr>
        <w:t xml:space="preserve"> </w:t>
      </w:r>
      <w:r>
        <w:rPr>
          <w:color w:val="0F0F0F"/>
          <w:sz w:val="20"/>
        </w:rPr>
        <w:t xml:space="preserve">the </w:t>
      </w:r>
      <w:r>
        <w:rPr>
          <w:sz w:val="20"/>
        </w:rPr>
        <w:t>financial</w:t>
      </w:r>
      <w:r>
        <w:rPr>
          <w:spacing w:val="-18"/>
          <w:sz w:val="20"/>
        </w:rPr>
        <w:t xml:space="preserve"> </w:t>
      </w:r>
      <w:r>
        <w:rPr>
          <w:sz w:val="20"/>
        </w:rPr>
        <w:t>statements</w:t>
      </w:r>
      <w:r>
        <w:rPr>
          <w:spacing w:val="-11"/>
          <w:sz w:val="20"/>
        </w:rPr>
        <w:t xml:space="preserve"> </w:t>
      </w:r>
      <w:r>
        <w:rPr>
          <w:color w:val="131313"/>
          <w:sz w:val="20"/>
        </w:rPr>
        <w:t>or</w:t>
      </w:r>
      <w:r>
        <w:rPr>
          <w:color w:val="131313"/>
          <w:spacing w:val="-21"/>
          <w:sz w:val="20"/>
        </w:rPr>
        <w:t xml:space="preserve"> </w:t>
      </w:r>
      <w:r>
        <w:rPr>
          <w:color w:val="1A1A1A"/>
          <w:sz w:val="20"/>
        </w:rPr>
        <w:t>my</w:t>
      </w:r>
      <w:r>
        <w:rPr>
          <w:color w:val="1A1A1A"/>
          <w:spacing w:val="-22"/>
          <w:sz w:val="20"/>
        </w:rPr>
        <w:t xml:space="preserve"> </w:t>
      </w:r>
      <w:r>
        <w:rPr>
          <w:color w:val="0C0C0C"/>
          <w:sz w:val="20"/>
        </w:rPr>
        <w:t>knowledge</w:t>
      </w:r>
      <w:r>
        <w:rPr>
          <w:color w:val="0C0C0C"/>
          <w:spacing w:val="-16"/>
          <w:sz w:val="20"/>
        </w:rPr>
        <w:t xml:space="preserve"> </w:t>
      </w:r>
      <w:r>
        <w:rPr>
          <w:sz w:val="20"/>
        </w:rPr>
        <w:t>obtained</w:t>
      </w:r>
      <w:r>
        <w:rPr>
          <w:spacing w:val="-17"/>
          <w:sz w:val="20"/>
        </w:rPr>
        <w:t xml:space="preserve"> </w:t>
      </w:r>
      <w:r>
        <w:rPr>
          <w:sz w:val="20"/>
        </w:rPr>
        <w:t>in</w:t>
      </w:r>
      <w:r>
        <w:rPr>
          <w:spacing w:val="-25"/>
          <w:sz w:val="20"/>
        </w:rPr>
        <w:t xml:space="preserve"> </w:t>
      </w:r>
      <w:r>
        <w:rPr>
          <w:color w:val="1A1A1A"/>
          <w:sz w:val="20"/>
        </w:rPr>
        <w:t>the</w:t>
      </w:r>
      <w:r>
        <w:rPr>
          <w:color w:val="1A1A1A"/>
          <w:spacing w:val="-22"/>
          <w:sz w:val="20"/>
        </w:rPr>
        <w:t xml:space="preserve"> </w:t>
      </w:r>
      <w:r>
        <w:rPr>
          <w:color w:val="0C0C0C"/>
          <w:sz w:val="20"/>
        </w:rPr>
        <w:t>audit,</w:t>
      </w:r>
      <w:r>
        <w:rPr>
          <w:color w:val="0C0C0C"/>
          <w:spacing w:val="-20"/>
          <w:sz w:val="20"/>
        </w:rPr>
        <w:t xml:space="preserve"> </w:t>
      </w:r>
      <w:r>
        <w:rPr>
          <w:sz w:val="20"/>
        </w:rPr>
        <w:t>or</w:t>
      </w:r>
      <w:r>
        <w:rPr>
          <w:spacing w:val="-20"/>
          <w:sz w:val="20"/>
        </w:rPr>
        <w:t xml:space="preserve"> </w:t>
      </w:r>
      <w:r>
        <w:rPr>
          <w:sz w:val="20"/>
        </w:rPr>
        <w:t>otherwise</w:t>
      </w:r>
      <w:r>
        <w:rPr>
          <w:spacing w:val="-20"/>
          <w:sz w:val="20"/>
        </w:rPr>
        <w:t xml:space="preserve"> </w:t>
      </w:r>
      <w:r>
        <w:rPr>
          <w:sz w:val="20"/>
        </w:rPr>
        <w:t>appears</w:t>
      </w:r>
      <w:r>
        <w:rPr>
          <w:spacing w:val="-21"/>
          <w:sz w:val="20"/>
        </w:rPr>
        <w:t xml:space="preserve"> </w:t>
      </w:r>
      <w:r>
        <w:rPr>
          <w:sz w:val="20"/>
        </w:rPr>
        <w:t>to</w:t>
      </w:r>
      <w:r>
        <w:rPr>
          <w:spacing w:val="-26"/>
          <w:sz w:val="20"/>
        </w:rPr>
        <w:t xml:space="preserve"> </w:t>
      </w:r>
      <w:r>
        <w:rPr>
          <w:color w:val="1F1F1F"/>
          <w:sz w:val="20"/>
        </w:rPr>
        <w:t>be</w:t>
      </w:r>
      <w:r>
        <w:rPr>
          <w:color w:val="1F1F1F"/>
          <w:spacing w:val="-27"/>
          <w:sz w:val="20"/>
        </w:rPr>
        <w:t xml:space="preserve"> </w:t>
      </w:r>
      <w:r>
        <w:rPr>
          <w:sz w:val="20"/>
        </w:rPr>
        <w:t>materially misstated.</w:t>
      </w:r>
    </w:p>
    <w:p w14:paraId="4E92F322" w14:textId="77777777" w:rsidR="00FA4AA8" w:rsidRDefault="0015611F">
      <w:pPr>
        <w:spacing w:before="167"/>
        <w:ind w:left="610" w:right="710" w:hanging="6"/>
        <w:rPr>
          <w:sz w:val="20"/>
        </w:rPr>
      </w:pPr>
      <w:r>
        <w:rPr>
          <w:color w:val="0C0C0C"/>
          <w:sz w:val="20"/>
        </w:rPr>
        <w:t>If,</w:t>
      </w:r>
      <w:r>
        <w:rPr>
          <w:color w:val="0C0C0C"/>
          <w:spacing w:val="-29"/>
          <w:sz w:val="20"/>
        </w:rPr>
        <w:t xml:space="preserve"> </w:t>
      </w:r>
      <w:r>
        <w:rPr>
          <w:sz w:val="20"/>
        </w:rPr>
        <w:t>based</w:t>
      </w:r>
      <w:r>
        <w:rPr>
          <w:spacing w:val="-21"/>
          <w:sz w:val="20"/>
        </w:rPr>
        <w:t xml:space="preserve"> </w:t>
      </w:r>
      <w:r>
        <w:rPr>
          <w:color w:val="111111"/>
          <w:sz w:val="20"/>
        </w:rPr>
        <w:t>on</w:t>
      </w:r>
      <w:r>
        <w:rPr>
          <w:color w:val="111111"/>
          <w:spacing w:val="-27"/>
          <w:sz w:val="20"/>
        </w:rPr>
        <w:t xml:space="preserve"> </w:t>
      </w:r>
      <w:r>
        <w:rPr>
          <w:sz w:val="20"/>
        </w:rPr>
        <w:t>the</w:t>
      </w:r>
      <w:r>
        <w:rPr>
          <w:spacing w:val="-22"/>
          <w:sz w:val="20"/>
        </w:rPr>
        <w:t xml:space="preserve"> </w:t>
      </w:r>
      <w:r>
        <w:rPr>
          <w:color w:val="0F0F0F"/>
          <w:sz w:val="20"/>
        </w:rPr>
        <w:t>work</w:t>
      </w:r>
      <w:r>
        <w:rPr>
          <w:color w:val="0F0F0F"/>
          <w:spacing w:val="-17"/>
          <w:sz w:val="20"/>
        </w:rPr>
        <w:t xml:space="preserve"> </w:t>
      </w:r>
      <w:r>
        <w:rPr>
          <w:color w:val="161616"/>
          <w:sz w:val="20"/>
        </w:rPr>
        <w:t>I</w:t>
      </w:r>
      <w:r>
        <w:rPr>
          <w:color w:val="161616"/>
          <w:spacing w:val="-26"/>
          <w:sz w:val="20"/>
        </w:rPr>
        <w:t xml:space="preserve"> </w:t>
      </w:r>
      <w:r>
        <w:rPr>
          <w:sz w:val="20"/>
        </w:rPr>
        <w:t>have</w:t>
      </w:r>
      <w:r>
        <w:rPr>
          <w:spacing w:val="-27"/>
          <w:sz w:val="20"/>
        </w:rPr>
        <w:t xml:space="preserve"> </w:t>
      </w:r>
      <w:r>
        <w:rPr>
          <w:sz w:val="20"/>
        </w:rPr>
        <w:t>performed,</w:t>
      </w:r>
      <w:r>
        <w:rPr>
          <w:spacing w:val="-21"/>
          <w:sz w:val="20"/>
        </w:rPr>
        <w:t xml:space="preserve"> </w:t>
      </w:r>
      <w:r>
        <w:rPr>
          <w:color w:val="1D1D1D"/>
          <w:sz w:val="20"/>
        </w:rPr>
        <w:t>I</w:t>
      </w:r>
      <w:r>
        <w:rPr>
          <w:color w:val="1D1D1D"/>
          <w:spacing w:val="-23"/>
          <w:sz w:val="20"/>
        </w:rPr>
        <w:t xml:space="preserve"> </w:t>
      </w:r>
      <w:r>
        <w:rPr>
          <w:sz w:val="20"/>
        </w:rPr>
        <w:t>conclude</w:t>
      </w:r>
      <w:r>
        <w:rPr>
          <w:spacing w:val="-20"/>
          <w:sz w:val="20"/>
        </w:rPr>
        <w:t xml:space="preserve"> </w:t>
      </w:r>
      <w:r>
        <w:rPr>
          <w:color w:val="0F0F0F"/>
          <w:sz w:val="20"/>
        </w:rPr>
        <w:t>there</w:t>
      </w:r>
      <w:r>
        <w:rPr>
          <w:color w:val="0F0F0F"/>
          <w:spacing w:val="-22"/>
          <w:sz w:val="20"/>
        </w:rPr>
        <w:t xml:space="preserve"> </w:t>
      </w:r>
      <w:r>
        <w:rPr>
          <w:color w:val="181818"/>
          <w:sz w:val="20"/>
        </w:rPr>
        <w:t>is</w:t>
      </w:r>
      <w:r>
        <w:rPr>
          <w:color w:val="181818"/>
          <w:spacing w:val="-26"/>
          <w:sz w:val="20"/>
        </w:rPr>
        <w:t xml:space="preserve"> </w:t>
      </w:r>
      <w:r>
        <w:rPr>
          <w:color w:val="161616"/>
          <w:sz w:val="20"/>
        </w:rPr>
        <w:t>a</w:t>
      </w:r>
      <w:r>
        <w:rPr>
          <w:color w:val="161616"/>
          <w:spacing w:val="-27"/>
          <w:sz w:val="20"/>
        </w:rPr>
        <w:t xml:space="preserve"> </w:t>
      </w:r>
      <w:r>
        <w:rPr>
          <w:color w:val="161616"/>
          <w:sz w:val="20"/>
        </w:rPr>
        <w:t>material</w:t>
      </w:r>
      <w:r>
        <w:rPr>
          <w:color w:val="161616"/>
          <w:spacing w:val="-24"/>
          <w:sz w:val="20"/>
        </w:rPr>
        <w:t xml:space="preserve"> </w:t>
      </w:r>
      <w:r>
        <w:rPr>
          <w:sz w:val="20"/>
        </w:rPr>
        <w:t>misstatement</w:t>
      </w:r>
      <w:r>
        <w:rPr>
          <w:spacing w:val="-14"/>
          <w:sz w:val="20"/>
        </w:rPr>
        <w:t xml:space="preserve"> </w:t>
      </w:r>
      <w:r>
        <w:rPr>
          <w:color w:val="131313"/>
          <w:sz w:val="20"/>
        </w:rPr>
        <w:t>of</w:t>
      </w:r>
      <w:r>
        <w:rPr>
          <w:color w:val="131313"/>
          <w:spacing w:val="-25"/>
          <w:sz w:val="20"/>
        </w:rPr>
        <w:t xml:space="preserve"> </w:t>
      </w:r>
      <w:r>
        <w:rPr>
          <w:color w:val="161616"/>
          <w:sz w:val="20"/>
        </w:rPr>
        <w:t>the</w:t>
      </w:r>
      <w:r>
        <w:rPr>
          <w:color w:val="161616"/>
          <w:spacing w:val="-24"/>
          <w:sz w:val="20"/>
        </w:rPr>
        <w:t xml:space="preserve"> </w:t>
      </w:r>
      <w:r>
        <w:rPr>
          <w:color w:val="0E0E0E"/>
          <w:sz w:val="20"/>
        </w:rPr>
        <w:t xml:space="preserve">other </w:t>
      </w:r>
      <w:r>
        <w:rPr>
          <w:sz w:val="20"/>
        </w:rPr>
        <w:t>information, I must report that</w:t>
      </w:r>
      <w:r>
        <w:rPr>
          <w:spacing w:val="28"/>
          <w:sz w:val="20"/>
        </w:rPr>
        <w:t xml:space="preserve"> </w:t>
      </w:r>
      <w:r>
        <w:rPr>
          <w:sz w:val="20"/>
        </w:rPr>
        <w:t>fact.</w:t>
      </w:r>
    </w:p>
    <w:p w14:paraId="768637FD" w14:textId="77777777" w:rsidR="00FA4AA8" w:rsidRDefault="0015611F">
      <w:pPr>
        <w:spacing w:before="166"/>
        <w:ind w:left="605"/>
        <w:rPr>
          <w:sz w:val="20"/>
        </w:rPr>
      </w:pPr>
      <w:r>
        <w:rPr>
          <w:color w:val="181818"/>
          <w:sz w:val="20"/>
        </w:rPr>
        <w:t xml:space="preserve">I </w:t>
      </w:r>
      <w:r>
        <w:rPr>
          <w:color w:val="161616"/>
          <w:sz w:val="20"/>
        </w:rPr>
        <w:t xml:space="preserve">have </w:t>
      </w:r>
      <w:r>
        <w:rPr>
          <w:sz w:val="20"/>
        </w:rPr>
        <w:t xml:space="preserve">nothing </w:t>
      </w:r>
      <w:r>
        <w:rPr>
          <w:color w:val="181818"/>
          <w:sz w:val="20"/>
        </w:rPr>
        <w:t xml:space="preserve">to </w:t>
      </w:r>
      <w:r>
        <w:rPr>
          <w:sz w:val="20"/>
        </w:rPr>
        <w:t xml:space="preserve">report in this </w:t>
      </w:r>
      <w:r>
        <w:rPr>
          <w:color w:val="0A0A0A"/>
          <w:sz w:val="20"/>
        </w:rPr>
        <w:t>regard.</w:t>
      </w:r>
    </w:p>
    <w:p w14:paraId="161EE08B" w14:textId="77777777" w:rsidR="00FA4AA8" w:rsidRDefault="0015611F">
      <w:pPr>
        <w:spacing w:before="158"/>
        <w:ind w:left="611"/>
        <w:rPr>
          <w:sz w:val="24"/>
        </w:rPr>
      </w:pPr>
      <w:r>
        <w:rPr>
          <w:color w:val="111111"/>
          <w:w w:val="105"/>
          <w:sz w:val="24"/>
        </w:rPr>
        <w:t xml:space="preserve">The Directors’ </w:t>
      </w:r>
      <w:r>
        <w:rPr>
          <w:w w:val="105"/>
          <w:sz w:val="24"/>
        </w:rPr>
        <w:t xml:space="preserve">Responsibilities </w:t>
      </w:r>
      <w:r>
        <w:rPr>
          <w:color w:val="0F0F0F"/>
          <w:w w:val="105"/>
          <w:sz w:val="24"/>
        </w:rPr>
        <w:t xml:space="preserve">for </w:t>
      </w:r>
      <w:r>
        <w:rPr>
          <w:color w:val="131313"/>
          <w:w w:val="105"/>
          <w:sz w:val="24"/>
        </w:rPr>
        <w:t xml:space="preserve">the </w:t>
      </w:r>
      <w:r>
        <w:rPr>
          <w:color w:val="0C0C0C"/>
          <w:w w:val="105"/>
          <w:sz w:val="24"/>
        </w:rPr>
        <w:t xml:space="preserve">Financial </w:t>
      </w:r>
      <w:r>
        <w:rPr>
          <w:color w:val="0F0F0F"/>
          <w:w w:val="105"/>
          <w:sz w:val="24"/>
        </w:rPr>
        <w:t>Statements</w:t>
      </w:r>
    </w:p>
    <w:p w14:paraId="3999033F" w14:textId="77777777" w:rsidR="00FA4AA8" w:rsidRDefault="0015611F">
      <w:pPr>
        <w:spacing w:before="107"/>
        <w:ind w:left="607" w:right="710" w:firstLine="4"/>
        <w:rPr>
          <w:sz w:val="20"/>
        </w:rPr>
      </w:pPr>
      <w:r>
        <w:rPr>
          <w:sz w:val="20"/>
        </w:rPr>
        <w:t>The</w:t>
      </w:r>
      <w:r>
        <w:rPr>
          <w:spacing w:val="-26"/>
          <w:sz w:val="20"/>
        </w:rPr>
        <w:t xml:space="preserve"> </w:t>
      </w:r>
      <w:r>
        <w:rPr>
          <w:sz w:val="20"/>
        </w:rPr>
        <w:t>Directors</w:t>
      </w:r>
      <w:r>
        <w:rPr>
          <w:spacing w:val="-11"/>
          <w:sz w:val="20"/>
        </w:rPr>
        <w:t xml:space="preserve"> </w:t>
      </w:r>
      <w:r>
        <w:rPr>
          <w:sz w:val="20"/>
        </w:rPr>
        <w:t>of</w:t>
      </w:r>
      <w:r>
        <w:rPr>
          <w:spacing w:val="-23"/>
          <w:sz w:val="20"/>
        </w:rPr>
        <w:t xml:space="preserve"> </w:t>
      </w:r>
      <w:r>
        <w:rPr>
          <w:color w:val="1A1A1A"/>
          <w:sz w:val="20"/>
        </w:rPr>
        <w:t>the</w:t>
      </w:r>
      <w:r>
        <w:rPr>
          <w:color w:val="1A1A1A"/>
          <w:spacing w:val="-24"/>
          <w:sz w:val="20"/>
        </w:rPr>
        <w:t xml:space="preserve"> </w:t>
      </w:r>
      <w:r>
        <w:rPr>
          <w:sz w:val="20"/>
        </w:rPr>
        <w:t>Trust</w:t>
      </w:r>
      <w:r>
        <w:rPr>
          <w:spacing w:val="-19"/>
          <w:sz w:val="20"/>
        </w:rPr>
        <w:t xml:space="preserve"> </w:t>
      </w:r>
      <w:r>
        <w:rPr>
          <w:sz w:val="20"/>
        </w:rPr>
        <w:t>are</w:t>
      </w:r>
      <w:r>
        <w:rPr>
          <w:spacing w:val="-23"/>
          <w:sz w:val="20"/>
        </w:rPr>
        <w:t xml:space="preserve"> </w:t>
      </w:r>
      <w:r>
        <w:rPr>
          <w:sz w:val="20"/>
        </w:rPr>
        <w:t>responsible</w:t>
      </w:r>
      <w:r>
        <w:rPr>
          <w:spacing w:val="-19"/>
          <w:sz w:val="20"/>
        </w:rPr>
        <w:t xml:space="preserve"> </w:t>
      </w:r>
      <w:r>
        <w:rPr>
          <w:sz w:val="20"/>
        </w:rPr>
        <w:t>for</w:t>
      </w:r>
      <w:r>
        <w:rPr>
          <w:spacing w:val="-24"/>
          <w:sz w:val="20"/>
        </w:rPr>
        <w:t xml:space="preserve"> </w:t>
      </w:r>
      <w:r>
        <w:rPr>
          <w:sz w:val="20"/>
        </w:rPr>
        <w:t>the</w:t>
      </w:r>
      <w:r>
        <w:rPr>
          <w:spacing w:val="-24"/>
          <w:sz w:val="20"/>
        </w:rPr>
        <w:t xml:space="preserve"> </w:t>
      </w:r>
      <w:r>
        <w:rPr>
          <w:sz w:val="20"/>
        </w:rPr>
        <w:t>preparation</w:t>
      </w:r>
      <w:r>
        <w:rPr>
          <w:spacing w:val="-16"/>
          <w:sz w:val="20"/>
        </w:rPr>
        <w:t xml:space="preserve"> </w:t>
      </w:r>
      <w:r>
        <w:rPr>
          <w:color w:val="0E0E0E"/>
          <w:sz w:val="20"/>
        </w:rPr>
        <w:t>and</w:t>
      </w:r>
      <w:r>
        <w:rPr>
          <w:color w:val="0E0E0E"/>
          <w:spacing w:val="-24"/>
          <w:sz w:val="20"/>
        </w:rPr>
        <w:t xml:space="preserve"> </w:t>
      </w:r>
      <w:r>
        <w:rPr>
          <w:color w:val="151515"/>
          <w:sz w:val="20"/>
        </w:rPr>
        <w:t>fair</w:t>
      </w:r>
      <w:r>
        <w:rPr>
          <w:color w:val="151515"/>
          <w:spacing w:val="-22"/>
          <w:sz w:val="20"/>
        </w:rPr>
        <w:t xml:space="preserve"> </w:t>
      </w:r>
      <w:r>
        <w:rPr>
          <w:sz w:val="20"/>
        </w:rPr>
        <w:t>presentation</w:t>
      </w:r>
      <w:r>
        <w:rPr>
          <w:spacing w:val="-13"/>
          <w:sz w:val="20"/>
        </w:rPr>
        <w:t xml:space="preserve"> </w:t>
      </w:r>
      <w:r>
        <w:rPr>
          <w:color w:val="0F0F0F"/>
          <w:sz w:val="20"/>
        </w:rPr>
        <w:t>of</w:t>
      </w:r>
      <w:r>
        <w:rPr>
          <w:color w:val="0F0F0F"/>
          <w:spacing w:val="-24"/>
          <w:sz w:val="20"/>
        </w:rPr>
        <w:t xml:space="preserve"> </w:t>
      </w:r>
      <w:r>
        <w:rPr>
          <w:sz w:val="20"/>
        </w:rPr>
        <w:t>the</w:t>
      </w:r>
      <w:r>
        <w:rPr>
          <w:spacing w:val="-21"/>
          <w:sz w:val="20"/>
        </w:rPr>
        <w:t xml:space="preserve"> </w:t>
      </w:r>
      <w:r>
        <w:rPr>
          <w:color w:val="0E0E0E"/>
          <w:sz w:val="20"/>
        </w:rPr>
        <w:t xml:space="preserve">financial </w:t>
      </w:r>
      <w:r>
        <w:rPr>
          <w:sz w:val="20"/>
        </w:rPr>
        <w:t>statements</w:t>
      </w:r>
      <w:r>
        <w:rPr>
          <w:spacing w:val="-28"/>
          <w:sz w:val="20"/>
        </w:rPr>
        <w:t xml:space="preserve"> </w:t>
      </w:r>
      <w:r>
        <w:rPr>
          <w:color w:val="0C0C0C"/>
          <w:sz w:val="20"/>
        </w:rPr>
        <w:t>in</w:t>
      </w:r>
      <w:r>
        <w:rPr>
          <w:color w:val="0C0C0C"/>
          <w:spacing w:val="-32"/>
          <w:sz w:val="20"/>
        </w:rPr>
        <w:t xml:space="preserve"> </w:t>
      </w:r>
      <w:r>
        <w:rPr>
          <w:sz w:val="20"/>
        </w:rPr>
        <w:t>accordance</w:t>
      </w:r>
      <w:r>
        <w:rPr>
          <w:spacing w:val="-25"/>
          <w:sz w:val="20"/>
        </w:rPr>
        <w:t xml:space="preserve"> </w:t>
      </w:r>
      <w:r>
        <w:rPr>
          <w:color w:val="181818"/>
          <w:sz w:val="20"/>
        </w:rPr>
        <w:t>with</w:t>
      </w:r>
      <w:r>
        <w:rPr>
          <w:color w:val="181818"/>
          <w:spacing w:val="-33"/>
          <w:sz w:val="20"/>
        </w:rPr>
        <w:t xml:space="preserve"> </w:t>
      </w:r>
      <w:r>
        <w:rPr>
          <w:color w:val="0C0C0C"/>
          <w:sz w:val="20"/>
        </w:rPr>
        <w:t>Australian</w:t>
      </w:r>
      <w:r>
        <w:rPr>
          <w:color w:val="0C0C0C"/>
          <w:spacing w:val="-26"/>
          <w:sz w:val="20"/>
        </w:rPr>
        <w:t xml:space="preserve"> </w:t>
      </w:r>
      <w:r>
        <w:rPr>
          <w:sz w:val="20"/>
        </w:rPr>
        <w:t>Accounting</w:t>
      </w:r>
      <w:r>
        <w:rPr>
          <w:spacing w:val="-21"/>
          <w:sz w:val="20"/>
        </w:rPr>
        <w:t xml:space="preserve"> </w:t>
      </w:r>
      <w:r>
        <w:rPr>
          <w:color w:val="0A0A0A"/>
          <w:sz w:val="20"/>
        </w:rPr>
        <w:t>Standards,</w:t>
      </w:r>
      <w:r>
        <w:rPr>
          <w:color w:val="0A0A0A"/>
          <w:spacing w:val="-26"/>
          <w:sz w:val="20"/>
        </w:rPr>
        <w:t xml:space="preserve"> </w:t>
      </w:r>
      <w:r>
        <w:rPr>
          <w:sz w:val="20"/>
        </w:rPr>
        <w:t>the</w:t>
      </w:r>
      <w:r>
        <w:rPr>
          <w:spacing w:val="-32"/>
          <w:sz w:val="20"/>
        </w:rPr>
        <w:t xml:space="preserve"> </w:t>
      </w:r>
      <w:r>
        <w:rPr>
          <w:color w:val="161616"/>
          <w:sz w:val="20"/>
        </w:rPr>
        <w:t>PF8A</w:t>
      </w:r>
      <w:r>
        <w:rPr>
          <w:color w:val="161616"/>
          <w:spacing w:val="-28"/>
          <w:sz w:val="20"/>
        </w:rPr>
        <w:t xml:space="preserve"> </w:t>
      </w:r>
      <w:r>
        <w:rPr>
          <w:color w:val="0F0F0F"/>
          <w:sz w:val="20"/>
        </w:rPr>
        <w:t>Act</w:t>
      </w:r>
      <w:r>
        <w:rPr>
          <w:color w:val="0F0F0F"/>
          <w:spacing w:val="-29"/>
          <w:sz w:val="20"/>
        </w:rPr>
        <w:t xml:space="preserve"> </w:t>
      </w:r>
      <w:r>
        <w:rPr>
          <w:color w:val="1C1C1C"/>
          <w:sz w:val="20"/>
        </w:rPr>
        <w:t>and</w:t>
      </w:r>
      <w:r>
        <w:rPr>
          <w:color w:val="1C1C1C"/>
          <w:spacing w:val="-33"/>
          <w:sz w:val="20"/>
        </w:rPr>
        <w:t xml:space="preserve"> </w:t>
      </w:r>
      <w:r>
        <w:rPr>
          <w:color w:val="181818"/>
          <w:sz w:val="20"/>
        </w:rPr>
        <w:t>for</w:t>
      </w:r>
      <w:r>
        <w:rPr>
          <w:color w:val="181818"/>
          <w:spacing w:val="-27"/>
          <w:sz w:val="20"/>
        </w:rPr>
        <w:t xml:space="preserve"> </w:t>
      </w:r>
      <w:r>
        <w:rPr>
          <w:sz w:val="20"/>
        </w:rPr>
        <w:t>such</w:t>
      </w:r>
      <w:r>
        <w:rPr>
          <w:spacing w:val="-30"/>
          <w:sz w:val="20"/>
        </w:rPr>
        <w:t xml:space="preserve"> </w:t>
      </w:r>
      <w:r>
        <w:rPr>
          <w:sz w:val="20"/>
        </w:rPr>
        <w:t xml:space="preserve">internal </w:t>
      </w:r>
      <w:r>
        <w:rPr>
          <w:color w:val="131313"/>
          <w:sz w:val="20"/>
        </w:rPr>
        <w:t>control</w:t>
      </w:r>
      <w:r>
        <w:rPr>
          <w:color w:val="131313"/>
          <w:spacing w:val="-28"/>
          <w:sz w:val="20"/>
        </w:rPr>
        <w:t xml:space="preserve"> </w:t>
      </w:r>
      <w:r>
        <w:rPr>
          <w:color w:val="151515"/>
          <w:sz w:val="20"/>
        </w:rPr>
        <w:t>as</w:t>
      </w:r>
      <w:r>
        <w:rPr>
          <w:color w:val="151515"/>
          <w:spacing w:val="-29"/>
          <w:sz w:val="20"/>
        </w:rPr>
        <w:t xml:space="preserve"> </w:t>
      </w:r>
      <w:r>
        <w:rPr>
          <w:color w:val="161616"/>
          <w:sz w:val="20"/>
        </w:rPr>
        <w:t>the</w:t>
      </w:r>
      <w:r>
        <w:rPr>
          <w:color w:val="161616"/>
          <w:spacing w:val="-32"/>
          <w:sz w:val="20"/>
        </w:rPr>
        <w:t xml:space="preserve"> </w:t>
      </w:r>
      <w:r>
        <w:rPr>
          <w:color w:val="0F0F0F"/>
          <w:sz w:val="20"/>
        </w:rPr>
        <w:t>Directors</w:t>
      </w:r>
      <w:r>
        <w:rPr>
          <w:color w:val="0F0F0F"/>
          <w:spacing w:val="-24"/>
          <w:sz w:val="20"/>
        </w:rPr>
        <w:t xml:space="preserve"> </w:t>
      </w:r>
      <w:r>
        <w:rPr>
          <w:sz w:val="20"/>
        </w:rPr>
        <w:t>determine</w:t>
      </w:r>
      <w:r>
        <w:rPr>
          <w:spacing w:val="-23"/>
          <w:sz w:val="20"/>
        </w:rPr>
        <w:t xml:space="preserve"> </w:t>
      </w:r>
      <w:r>
        <w:rPr>
          <w:color w:val="131313"/>
          <w:sz w:val="20"/>
        </w:rPr>
        <w:t>is</w:t>
      </w:r>
      <w:r>
        <w:rPr>
          <w:color w:val="131313"/>
          <w:spacing w:val="-31"/>
          <w:sz w:val="20"/>
        </w:rPr>
        <w:t xml:space="preserve"> </w:t>
      </w:r>
      <w:r>
        <w:rPr>
          <w:sz w:val="20"/>
        </w:rPr>
        <w:t>necessary</w:t>
      </w:r>
      <w:r>
        <w:rPr>
          <w:spacing w:val="-25"/>
          <w:sz w:val="20"/>
        </w:rPr>
        <w:t xml:space="preserve"> </w:t>
      </w:r>
      <w:r>
        <w:rPr>
          <w:sz w:val="20"/>
        </w:rPr>
        <w:t>to</w:t>
      </w:r>
      <w:r>
        <w:rPr>
          <w:spacing w:val="-32"/>
          <w:sz w:val="20"/>
        </w:rPr>
        <w:t xml:space="preserve"> </w:t>
      </w:r>
      <w:r>
        <w:rPr>
          <w:sz w:val="20"/>
        </w:rPr>
        <w:t>enable</w:t>
      </w:r>
      <w:r>
        <w:rPr>
          <w:spacing w:val="-26"/>
          <w:sz w:val="20"/>
        </w:rPr>
        <w:t xml:space="preserve"> </w:t>
      </w:r>
      <w:r>
        <w:rPr>
          <w:sz w:val="20"/>
        </w:rPr>
        <w:t>the</w:t>
      </w:r>
      <w:r>
        <w:rPr>
          <w:spacing w:val="-33"/>
          <w:sz w:val="20"/>
        </w:rPr>
        <w:t xml:space="preserve"> </w:t>
      </w:r>
      <w:r>
        <w:rPr>
          <w:sz w:val="20"/>
        </w:rPr>
        <w:t>preparation</w:t>
      </w:r>
      <w:r>
        <w:rPr>
          <w:spacing w:val="-26"/>
          <w:sz w:val="20"/>
        </w:rPr>
        <w:t xml:space="preserve"> </w:t>
      </w:r>
      <w:r>
        <w:rPr>
          <w:color w:val="0E0E0E"/>
          <w:sz w:val="20"/>
        </w:rPr>
        <w:t>and</w:t>
      </w:r>
      <w:r>
        <w:rPr>
          <w:color w:val="0E0E0E"/>
          <w:spacing w:val="-31"/>
          <w:sz w:val="20"/>
        </w:rPr>
        <w:t xml:space="preserve"> </w:t>
      </w:r>
      <w:r>
        <w:rPr>
          <w:color w:val="0C0C0C"/>
          <w:sz w:val="20"/>
        </w:rPr>
        <w:t>fair</w:t>
      </w:r>
      <w:r>
        <w:rPr>
          <w:color w:val="0C0C0C"/>
          <w:spacing w:val="-29"/>
          <w:sz w:val="20"/>
        </w:rPr>
        <w:t xml:space="preserve"> </w:t>
      </w:r>
      <w:r>
        <w:rPr>
          <w:sz w:val="20"/>
        </w:rPr>
        <w:t>presentation</w:t>
      </w:r>
      <w:r>
        <w:rPr>
          <w:spacing w:val="-26"/>
          <w:sz w:val="20"/>
        </w:rPr>
        <w:t xml:space="preserve"> </w:t>
      </w:r>
      <w:r>
        <w:rPr>
          <w:color w:val="1F1F1F"/>
          <w:sz w:val="20"/>
        </w:rPr>
        <w:t>of</w:t>
      </w:r>
      <w:r>
        <w:rPr>
          <w:color w:val="1F1F1F"/>
          <w:spacing w:val="-33"/>
          <w:sz w:val="20"/>
        </w:rPr>
        <w:t xml:space="preserve"> </w:t>
      </w:r>
      <w:r>
        <w:rPr>
          <w:color w:val="131313"/>
          <w:sz w:val="20"/>
        </w:rPr>
        <w:t xml:space="preserve">the </w:t>
      </w:r>
      <w:r>
        <w:rPr>
          <w:sz w:val="20"/>
        </w:rPr>
        <w:t>financial</w:t>
      </w:r>
      <w:r>
        <w:rPr>
          <w:spacing w:val="-7"/>
          <w:sz w:val="20"/>
        </w:rPr>
        <w:t xml:space="preserve"> </w:t>
      </w:r>
      <w:r>
        <w:rPr>
          <w:sz w:val="20"/>
        </w:rPr>
        <w:t xml:space="preserve">statements </w:t>
      </w:r>
      <w:r>
        <w:rPr>
          <w:color w:val="0C0C0C"/>
          <w:sz w:val="20"/>
        </w:rPr>
        <w:t>that</w:t>
      </w:r>
      <w:r>
        <w:rPr>
          <w:color w:val="0C0C0C"/>
          <w:spacing w:val="-15"/>
          <w:sz w:val="20"/>
        </w:rPr>
        <w:t xml:space="preserve"> </w:t>
      </w:r>
      <w:r>
        <w:rPr>
          <w:color w:val="181818"/>
          <w:sz w:val="20"/>
        </w:rPr>
        <w:t>are</w:t>
      </w:r>
      <w:r>
        <w:rPr>
          <w:color w:val="181818"/>
          <w:spacing w:val="-24"/>
          <w:sz w:val="20"/>
        </w:rPr>
        <w:t xml:space="preserve"> </w:t>
      </w:r>
      <w:r>
        <w:rPr>
          <w:color w:val="181818"/>
          <w:sz w:val="20"/>
        </w:rPr>
        <w:t>free</w:t>
      </w:r>
      <w:r>
        <w:rPr>
          <w:color w:val="181818"/>
          <w:spacing w:val="-17"/>
          <w:sz w:val="20"/>
        </w:rPr>
        <w:t xml:space="preserve"> </w:t>
      </w:r>
      <w:r>
        <w:rPr>
          <w:color w:val="111111"/>
          <w:sz w:val="20"/>
        </w:rPr>
        <w:t>from</w:t>
      </w:r>
      <w:r>
        <w:rPr>
          <w:color w:val="111111"/>
          <w:spacing w:val="-12"/>
          <w:sz w:val="20"/>
        </w:rPr>
        <w:t xml:space="preserve"> </w:t>
      </w:r>
      <w:r>
        <w:rPr>
          <w:color w:val="111111"/>
          <w:sz w:val="20"/>
        </w:rPr>
        <w:t>material</w:t>
      </w:r>
      <w:r>
        <w:rPr>
          <w:color w:val="111111"/>
          <w:spacing w:val="-20"/>
          <w:sz w:val="20"/>
        </w:rPr>
        <w:t xml:space="preserve"> </w:t>
      </w:r>
      <w:r>
        <w:rPr>
          <w:sz w:val="20"/>
        </w:rPr>
        <w:t>misstatement,</w:t>
      </w:r>
      <w:r>
        <w:rPr>
          <w:spacing w:val="1"/>
          <w:sz w:val="20"/>
        </w:rPr>
        <w:t xml:space="preserve"> </w:t>
      </w:r>
      <w:r>
        <w:rPr>
          <w:sz w:val="20"/>
        </w:rPr>
        <w:t>whether</w:t>
      </w:r>
      <w:r>
        <w:rPr>
          <w:spacing w:val="-8"/>
          <w:sz w:val="20"/>
        </w:rPr>
        <w:t xml:space="preserve"> </w:t>
      </w:r>
      <w:r>
        <w:rPr>
          <w:sz w:val="20"/>
        </w:rPr>
        <w:t>due</w:t>
      </w:r>
      <w:r>
        <w:rPr>
          <w:spacing w:val="-18"/>
          <w:sz w:val="20"/>
        </w:rPr>
        <w:t xml:space="preserve"> </w:t>
      </w:r>
      <w:r>
        <w:rPr>
          <w:sz w:val="20"/>
        </w:rPr>
        <w:t>to</w:t>
      </w:r>
      <w:r>
        <w:rPr>
          <w:spacing w:val="-19"/>
          <w:sz w:val="20"/>
        </w:rPr>
        <w:t xml:space="preserve"> </w:t>
      </w:r>
      <w:r>
        <w:rPr>
          <w:color w:val="1A1A1A"/>
          <w:sz w:val="20"/>
        </w:rPr>
        <w:t>fraud</w:t>
      </w:r>
      <w:r>
        <w:rPr>
          <w:color w:val="1A1A1A"/>
          <w:spacing w:val="-15"/>
          <w:sz w:val="20"/>
        </w:rPr>
        <w:t xml:space="preserve"> </w:t>
      </w:r>
      <w:r>
        <w:rPr>
          <w:color w:val="262626"/>
          <w:sz w:val="20"/>
        </w:rPr>
        <w:t>or</w:t>
      </w:r>
      <w:r>
        <w:rPr>
          <w:color w:val="262626"/>
          <w:spacing w:val="-16"/>
          <w:sz w:val="20"/>
        </w:rPr>
        <w:t xml:space="preserve"> </w:t>
      </w:r>
      <w:r>
        <w:rPr>
          <w:color w:val="161616"/>
          <w:sz w:val="20"/>
        </w:rPr>
        <w:t>error.</w:t>
      </w:r>
    </w:p>
    <w:p w14:paraId="3E1E5E0E" w14:textId="77777777" w:rsidR="00FA4AA8" w:rsidRDefault="0015611F">
      <w:pPr>
        <w:spacing w:before="167"/>
        <w:ind w:left="608" w:right="809" w:hanging="4"/>
        <w:jc w:val="both"/>
        <w:rPr>
          <w:sz w:val="20"/>
        </w:rPr>
      </w:pPr>
      <w:r>
        <w:rPr>
          <w:color w:val="1A1A1A"/>
          <w:sz w:val="20"/>
        </w:rPr>
        <w:t>In</w:t>
      </w:r>
      <w:r>
        <w:rPr>
          <w:color w:val="1A1A1A"/>
          <w:spacing w:val="-35"/>
          <w:sz w:val="20"/>
        </w:rPr>
        <w:t xml:space="preserve"> </w:t>
      </w:r>
      <w:r>
        <w:rPr>
          <w:sz w:val="20"/>
        </w:rPr>
        <w:t>preparing</w:t>
      </w:r>
      <w:r>
        <w:rPr>
          <w:spacing w:val="-26"/>
          <w:sz w:val="20"/>
        </w:rPr>
        <w:t xml:space="preserve"> </w:t>
      </w:r>
      <w:r>
        <w:rPr>
          <w:sz w:val="20"/>
        </w:rPr>
        <w:t>the</w:t>
      </w:r>
      <w:r>
        <w:rPr>
          <w:spacing w:val="-36"/>
          <w:sz w:val="20"/>
        </w:rPr>
        <w:t xml:space="preserve"> </w:t>
      </w:r>
      <w:r>
        <w:rPr>
          <w:color w:val="0C0C0C"/>
          <w:sz w:val="20"/>
        </w:rPr>
        <w:t>financial</w:t>
      </w:r>
      <w:r>
        <w:rPr>
          <w:color w:val="0C0C0C"/>
          <w:spacing w:val="-24"/>
          <w:sz w:val="20"/>
        </w:rPr>
        <w:t xml:space="preserve"> </w:t>
      </w:r>
      <w:r>
        <w:rPr>
          <w:sz w:val="20"/>
        </w:rPr>
        <w:t>statements,</w:t>
      </w:r>
      <w:r>
        <w:rPr>
          <w:spacing w:val="-22"/>
          <w:sz w:val="20"/>
        </w:rPr>
        <w:t xml:space="preserve"> </w:t>
      </w:r>
      <w:r>
        <w:rPr>
          <w:color w:val="111111"/>
          <w:sz w:val="20"/>
        </w:rPr>
        <w:t>the</w:t>
      </w:r>
      <w:r>
        <w:rPr>
          <w:color w:val="111111"/>
          <w:spacing w:val="-32"/>
          <w:sz w:val="20"/>
        </w:rPr>
        <w:t xml:space="preserve"> </w:t>
      </w:r>
      <w:r>
        <w:rPr>
          <w:sz w:val="20"/>
        </w:rPr>
        <w:t>Directors</w:t>
      </w:r>
      <w:r>
        <w:rPr>
          <w:spacing w:val="-21"/>
          <w:sz w:val="20"/>
        </w:rPr>
        <w:t xml:space="preserve"> </w:t>
      </w:r>
      <w:r>
        <w:rPr>
          <w:sz w:val="20"/>
        </w:rPr>
        <w:t>are</w:t>
      </w:r>
      <w:r>
        <w:rPr>
          <w:spacing w:val="-27"/>
          <w:sz w:val="20"/>
        </w:rPr>
        <w:t xml:space="preserve"> </w:t>
      </w:r>
      <w:r>
        <w:rPr>
          <w:sz w:val="20"/>
        </w:rPr>
        <w:t>responsible</w:t>
      </w:r>
      <w:r>
        <w:rPr>
          <w:spacing w:val="-22"/>
          <w:sz w:val="20"/>
        </w:rPr>
        <w:t xml:space="preserve"> </w:t>
      </w:r>
      <w:r>
        <w:rPr>
          <w:color w:val="0F0F0F"/>
          <w:sz w:val="20"/>
        </w:rPr>
        <w:t>for</w:t>
      </w:r>
      <w:r>
        <w:rPr>
          <w:color w:val="0F0F0F"/>
          <w:spacing w:val="-29"/>
          <w:sz w:val="20"/>
        </w:rPr>
        <w:t xml:space="preserve"> </w:t>
      </w:r>
      <w:r>
        <w:rPr>
          <w:sz w:val="20"/>
        </w:rPr>
        <w:t>assessing</w:t>
      </w:r>
      <w:r>
        <w:rPr>
          <w:spacing w:val="-26"/>
          <w:sz w:val="20"/>
        </w:rPr>
        <w:t xml:space="preserve"> </w:t>
      </w:r>
      <w:r>
        <w:rPr>
          <w:sz w:val="20"/>
        </w:rPr>
        <w:t>the</w:t>
      </w:r>
      <w:r>
        <w:rPr>
          <w:spacing w:val="-32"/>
          <w:sz w:val="20"/>
        </w:rPr>
        <w:t xml:space="preserve"> </w:t>
      </w:r>
      <w:r>
        <w:rPr>
          <w:sz w:val="20"/>
        </w:rPr>
        <w:t>Trust's</w:t>
      </w:r>
      <w:r>
        <w:rPr>
          <w:spacing w:val="-28"/>
          <w:sz w:val="20"/>
        </w:rPr>
        <w:t xml:space="preserve"> </w:t>
      </w:r>
      <w:r>
        <w:rPr>
          <w:sz w:val="20"/>
        </w:rPr>
        <w:t>ability</w:t>
      </w:r>
      <w:r>
        <w:rPr>
          <w:spacing w:val="-29"/>
          <w:sz w:val="20"/>
        </w:rPr>
        <w:t xml:space="preserve"> </w:t>
      </w:r>
      <w:r>
        <w:rPr>
          <w:color w:val="1F1F1F"/>
          <w:sz w:val="20"/>
        </w:rPr>
        <w:t xml:space="preserve">to </w:t>
      </w:r>
      <w:r>
        <w:rPr>
          <w:sz w:val="20"/>
        </w:rPr>
        <w:t>continue</w:t>
      </w:r>
      <w:r>
        <w:rPr>
          <w:spacing w:val="-26"/>
          <w:sz w:val="20"/>
        </w:rPr>
        <w:t xml:space="preserve"> </w:t>
      </w:r>
      <w:r>
        <w:rPr>
          <w:color w:val="0C0C0C"/>
          <w:sz w:val="20"/>
        </w:rPr>
        <w:t>as</w:t>
      </w:r>
      <w:r>
        <w:rPr>
          <w:color w:val="0C0C0C"/>
          <w:spacing w:val="-30"/>
          <w:sz w:val="20"/>
        </w:rPr>
        <w:t xml:space="preserve"> </w:t>
      </w:r>
      <w:r>
        <w:rPr>
          <w:color w:val="242424"/>
          <w:sz w:val="20"/>
        </w:rPr>
        <w:t>a</w:t>
      </w:r>
      <w:r>
        <w:rPr>
          <w:color w:val="242424"/>
          <w:spacing w:val="-32"/>
          <w:sz w:val="20"/>
        </w:rPr>
        <w:t xml:space="preserve"> </w:t>
      </w:r>
      <w:r>
        <w:rPr>
          <w:sz w:val="20"/>
        </w:rPr>
        <w:t>going</w:t>
      </w:r>
      <w:r>
        <w:rPr>
          <w:spacing w:val="-32"/>
          <w:sz w:val="20"/>
        </w:rPr>
        <w:t xml:space="preserve"> </w:t>
      </w:r>
      <w:r>
        <w:rPr>
          <w:sz w:val="20"/>
        </w:rPr>
        <w:t>concern</w:t>
      </w:r>
      <w:r>
        <w:rPr>
          <w:spacing w:val="-26"/>
          <w:sz w:val="20"/>
        </w:rPr>
        <w:t xml:space="preserve"> </w:t>
      </w:r>
      <w:r>
        <w:rPr>
          <w:color w:val="0C0C0C"/>
          <w:sz w:val="20"/>
        </w:rPr>
        <w:t>disclosing,</w:t>
      </w:r>
      <w:r>
        <w:rPr>
          <w:color w:val="0C0C0C"/>
          <w:spacing w:val="-23"/>
          <w:sz w:val="20"/>
        </w:rPr>
        <w:t xml:space="preserve"> </w:t>
      </w:r>
      <w:r>
        <w:rPr>
          <w:color w:val="0E0E0E"/>
          <w:sz w:val="20"/>
        </w:rPr>
        <w:t>as</w:t>
      </w:r>
      <w:r>
        <w:rPr>
          <w:color w:val="0E0E0E"/>
          <w:spacing w:val="-31"/>
          <w:sz w:val="20"/>
        </w:rPr>
        <w:t xml:space="preserve"> </w:t>
      </w:r>
      <w:r>
        <w:rPr>
          <w:sz w:val="20"/>
        </w:rPr>
        <w:t>applicable,</w:t>
      </w:r>
      <w:r>
        <w:rPr>
          <w:spacing w:val="-25"/>
          <w:sz w:val="20"/>
        </w:rPr>
        <w:t xml:space="preserve"> </w:t>
      </w:r>
      <w:r>
        <w:rPr>
          <w:color w:val="111111"/>
          <w:sz w:val="20"/>
        </w:rPr>
        <w:t>matters</w:t>
      </w:r>
      <w:r>
        <w:rPr>
          <w:color w:val="111111"/>
          <w:spacing w:val="-26"/>
          <w:sz w:val="20"/>
        </w:rPr>
        <w:t xml:space="preserve"> </w:t>
      </w:r>
      <w:r>
        <w:rPr>
          <w:color w:val="0F0F0F"/>
          <w:sz w:val="20"/>
        </w:rPr>
        <w:t>related</w:t>
      </w:r>
      <w:r>
        <w:rPr>
          <w:color w:val="0F0F0F"/>
          <w:spacing w:val="-26"/>
          <w:sz w:val="20"/>
        </w:rPr>
        <w:t xml:space="preserve"> </w:t>
      </w:r>
      <w:r>
        <w:rPr>
          <w:color w:val="161616"/>
          <w:sz w:val="20"/>
        </w:rPr>
        <w:t>to</w:t>
      </w:r>
      <w:r>
        <w:rPr>
          <w:color w:val="161616"/>
          <w:spacing w:val="-27"/>
          <w:sz w:val="20"/>
        </w:rPr>
        <w:t xml:space="preserve"> </w:t>
      </w:r>
      <w:r>
        <w:rPr>
          <w:sz w:val="20"/>
        </w:rPr>
        <w:t>going</w:t>
      </w:r>
      <w:r>
        <w:rPr>
          <w:spacing w:val="-28"/>
          <w:sz w:val="20"/>
        </w:rPr>
        <w:t xml:space="preserve"> </w:t>
      </w:r>
      <w:r>
        <w:rPr>
          <w:color w:val="181818"/>
          <w:sz w:val="20"/>
        </w:rPr>
        <w:t>concern</w:t>
      </w:r>
      <w:r>
        <w:rPr>
          <w:color w:val="181818"/>
          <w:spacing w:val="-26"/>
          <w:sz w:val="20"/>
        </w:rPr>
        <w:t xml:space="preserve"> </w:t>
      </w:r>
      <w:r>
        <w:rPr>
          <w:sz w:val="20"/>
        </w:rPr>
        <w:t>and</w:t>
      </w:r>
      <w:r>
        <w:rPr>
          <w:spacing w:val="-32"/>
          <w:sz w:val="20"/>
        </w:rPr>
        <w:t xml:space="preserve"> </w:t>
      </w:r>
      <w:r>
        <w:rPr>
          <w:color w:val="131313"/>
          <w:sz w:val="20"/>
        </w:rPr>
        <w:t>using</w:t>
      </w:r>
      <w:r>
        <w:rPr>
          <w:color w:val="131313"/>
          <w:spacing w:val="-30"/>
          <w:sz w:val="20"/>
        </w:rPr>
        <w:t xml:space="preserve"> </w:t>
      </w:r>
      <w:r>
        <w:rPr>
          <w:color w:val="0F0F0F"/>
          <w:sz w:val="20"/>
        </w:rPr>
        <w:t xml:space="preserve">the </w:t>
      </w:r>
      <w:r>
        <w:rPr>
          <w:sz w:val="20"/>
        </w:rPr>
        <w:t>going</w:t>
      </w:r>
      <w:r>
        <w:rPr>
          <w:spacing w:val="-30"/>
          <w:sz w:val="20"/>
        </w:rPr>
        <w:t xml:space="preserve"> </w:t>
      </w:r>
      <w:r>
        <w:rPr>
          <w:sz w:val="20"/>
        </w:rPr>
        <w:t>concern</w:t>
      </w:r>
      <w:r>
        <w:rPr>
          <w:spacing w:val="-26"/>
          <w:sz w:val="20"/>
        </w:rPr>
        <w:t xml:space="preserve"> </w:t>
      </w:r>
      <w:r>
        <w:rPr>
          <w:color w:val="0C0C0C"/>
          <w:sz w:val="20"/>
        </w:rPr>
        <w:t>basis</w:t>
      </w:r>
      <w:r>
        <w:rPr>
          <w:color w:val="0C0C0C"/>
          <w:spacing w:val="-26"/>
          <w:sz w:val="20"/>
        </w:rPr>
        <w:t xml:space="preserve"> </w:t>
      </w:r>
      <w:r>
        <w:rPr>
          <w:color w:val="111111"/>
          <w:sz w:val="20"/>
        </w:rPr>
        <w:t>of</w:t>
      </w:r>
      <w:r>
        <w:rPr>
          <w:color w:val="111111"/>
          <w:spacing w:val="-26"/>
          <w:sz w:val="20"/>
        </w:rPr>
        <w:t xml:space="preserve"> </w:t>
      </w:r>
      <w:r>
        <w:rPr>
          <w:sz w:val="20"/>
        </w:rPr>
        <w:t>accounting</w:t>
      </w:r>
      <w:r>
        <w:rPr>
          <w:spacing w:val="-15"/>
          <w:sz w:val="20"/>
        </w:rPr>
        <w:t xml:space="preserve"> </w:t>
      </w:r>
      <w:r>
        <w:rPr>
          <w:sz w:val="20"/>
        </w:rPr>
        <w:t>unless</w:t>
      </w:r>
      <w:r>
        <w:rPr>
          <w:spacing w:val="-27"/>
          <w:sz w:val="20"/>
        </w:rPr>
        <w:t xml:space="preserve"> </w:t>
      </w:r>
      <w:r>
        <w:rPr>
          <w:sz w:val="20"/>
        </w:rPr>
        <w:t>the</w:t>
      </w:r>
      <w:r>
        <w:rPr>
          <w:spacing w:val="-29"/>
          <w:sz w:val="20"/>
        </w:rPr>
        <w:t xml:space="preserve"> </w:t>
      </w:r>
      <w:r>
        <w:rPr>
          <w:sz w:val="20"/>
        </w:rPr>
        <w:t>Directors</w:t>
      </w:r>
      <w:r>
        <w:rPr>
          <w:spacing w:val="-21"/>
          <w:sz w:val="20"/>
        </w:rPr>
        <w:t xml:space="preserve"> </w:t>
      </w:r>
      <w:r>
        <w:rPr>
          <w:sz w:val="20"/>
        </w:rPr>
        <w:t>either</w:t>
      </w:r>
      <w:r>
        <w:rPr>
          <w:spacing w:val="-24"/>
          <w:sz w:val="20"/>
        </w:rPr>
        <w:t xml:space="preserve"> </w:t>
      </w:r>
      <w:r>
        <w:rPr>
          <w:sz w:val="20"/>
        </w:rPr>
        <w:t>intend</w:t>
      </w:r>
      <w:r>
        <w:rPr>
          <w:spacing w:val="-26"/>
          <w:sz w:val="20"/>
        </w:rPr>
        <w:t xml:space="preserve"> </w:t>
      </w:r>
      <w:r>
        <w:rPr>
          <w:sz w:val="20"/>
        </w:rPr>
        <w:t>to</w:t>
      </w:r>
      <w:r>
        <w:rPr>
          <w:spacing w:val="-28"/>
          <w:sz w:val="20"/>
        </w:rPr>
        <w:t xml:space="preserve"> </w:t>
      </w:r>
      <w:r>
        <w:rPr>
          <w:color w:val="111111"/>
          <w:sz w:val="20"/>
        </w:rPr>
        <w:t>liquidate</w:t>
      </w:r>
      <w:r>
        <w:rPr>
          <w:color w:val="111111"/>
          <w:spacing w:val="-24"/>
          <w:sz w:val="20"/>
        </w:rPr>
        <w:t xml:space="preserve"> </w:t>
      </w:r>
      <w:r>
        <w:rPr>
          <w:color w:val="131313"/>
          <w:sz w:val="20"/>
        </w:rPr>
        <w:t>the</w:t>
      </w:r>
      <w:r>
        <w:rPr>
          <w:color w:val="131313"/>
          <w:spacing w:val="-30"/>
          <w:sz w:val="20"/>
        </w:rPr>
        <w:t xml:space="preserve"> </w:t>
      </w:r>
      <w:r>
        <w:rPr>
          <w:sz w:val="20"/>
        </w:rPr>
        <w:t>Trust</w:t>
      </w:r>
      <w:r>
        <w:rPr>
          <w:spacing w:val="-22"/>
          <w:sz w:val="20"/>
        </w:rPr>
        <w:t xml:space="preserve"> </w:t>
      </w:r>
      <w:r>
        <w:rPr>
          <w:color w:val="161616"/>
          <w:sz w:val="20"/>
        </w:rPr>
        <w:t>or</w:t>
      </w:r>
      <w:r>
        <w:rPr>
          <w:color w:val="161616"/>
          <w:spacing w:val="-29"/>
          <w:sz w:val="20"/>
        </w:rPr>
        <w:t xml:space="preserve"> </w:t>
      </w:r>
      <w:r>
        <w:rPr>
          <w:color w:val="181818"/>
          <w:sz w:val="20"/>
        </w:rPr>
        <w:t>to</w:t>
      </w:r>
      <w:r>
        <w:rPr>
          <w:color w:val="181818"/>
          <w:spacing w:val="-33"/>
          <w:sz w:val="20"/>
        </w:rPr>
        <w:t xml:space="preserve"> </w:t>
      </w:r>
      <w:r>
        <w:rPr>
          <w:sz w:val="20"/>
        </w:rPr>
        <w:t xml:space="preserve">cease operations </w:t>
      </w:r>
      <w:r>
        <w:rPr>
          <w:color w:val="131313"/>
          <w:sz w:val="20"/>
        </w:rPr>
        <w:t xml:space="preserve">or </w:t>
      </w:r>
      <w:r>
        <w:rPr>
          <w:sz w:val="20"/>
        </w:rPr>
        <w:t xml:space="preserve">have </w:t>
      </w:r>
      <w:r>
        <w:rPr>
          <w:color w:val="0C0C0C"/>
          <w:sz w:val="20"/>
        </w:rPr>
        <w:t xml:space="preserve">no </w:t>
      </w:r>
      <w:r>
        <w:rPr>
          <w:sz w:val="20"/>
        </w:rPr>
        <w:t xml:space="preserve">realistic alternative </w:t>
      </w:r>
      <w:r>
        <w:rPr>
          <w:color w:val="131313"/>
          <w:sz w:val="20"/>
        </w:rPr>
        <w:t xml:space="preserve">but </w:t>
      </w:r>
      <w:r>
        <w:rPr>
          <w:color w:val="161616"/>
          <w:sz w:val="20"/>
        </w:rPr>
        <w:t xml:space="preserve">to </w:t>
      </w:r>
      <w:r>
        <w:rPr>
          <w:color w:val="0C0C0C"/>
          <w:sz w:val="20"/>
        </w:rPr>
        <w:t>do</w:t>
      </w:r>
      <w:r>
        <w:rPr>
          <w:color w:val="0C0C0C"/>
          <w:spacing w:val="-8"/>
          <w:sz w:val="20"/>
        </w:rPr>
        <w:t xml:space="preserve"> </w:t>
      </w:r>
      <w:r>
        <w:rPr>
          <w:sz w:val="20"/>
        </w:rPr>
        <w:t>so.</w:t>
      </w:r>
    </w:p>
    <w:p w14:paraId="2E0B1495" w14:textId="77777777" w:rsidR="00FA4AA8" w:rsidRDefault="0015611F">
      <w:pPr>
        <w:spacing w:before="159"/>
        <w:ind w:left="609"/>
        <w:jc w:val="both"/>
        <w:rPr>
          <w:sz w:val="24"/>
        </w:rPr>
      </w:pPr>
      <w:r>
        <w:rPr>
          <w:w w:val="105"/>
          <w:sz w:val="24"/>
        </w:rPr>
        <w:t xml:space="preserve">Auditor’s Responsibilities </w:t>
      </w:r>
      <w:r>
        <w:rPr>
          <w:color w:val="131313"/>
          <w:w w:val="105"/>
          <w:sz w:val="24"/>
        </w:rPr>
        <w:t xml:space="preserve">for </w:t>
      </w:r>
      <w:r>
        <w:rPr>
          <w:color w:val="1C1C1C"/>
          <w:w w:val="105"/>
          <w:sz w:val="24"/>
        </w:rPr>
        <w:t xml:space="preserve">the </w:t>
      </w:r>
      <w:r>
        <w:rPr>
          <w:color w:val="0E0E0E"/>
          <w:w w:val="105"/>
          <w:sz w:val="24"/>
        </w:rPr>
        <w:t xml:space="preserve">Audit </w:t>
      </w:r>
      <w:r>
        <w:rPr>
          <w:color w:val="181818"/>
          <w:w w:val="105"/>
          <w:sz w:val="24"/>
        </w:rPr>
        <w:t xml:space="preserve">of </w:t>
      </w:r>
      <w:r>
        <w:rPr>
          <w:color w:val="232323"/>
          <w:w w:val="105"/>
          <w:sz w:val="24"/>
        </w:rPr>
        <w:t xml:space="preserve">the </w:t>
      </w:r>
      <w:r>
        <w:rPr>
          <w:color w:val="131313"/>
          <w:w w:val="105"/>
          <w:sz w:val="24"/>
        </w:rPr>
        <w:t xml:space="preserve">Financial </w:t>
      </w:r>
      <w:r>
        <w:rPr>
          <w:color w:val="0F0F0F"/>
          <w:w w:val="105"/>
          <w:sz w:val="24"/>
        </w:rPr>
        <w:t>Statements</w:t>
      </w:r>
    </w:p>
    <w:p w14:paraId="7A215544" w14:textId="77777777" w:rsidR="00FA4AA8" w:rsidRDefault="0015611F">
      <w:pPr>
        <w:spacing w:before="116"/>
        <w:ind w:left="609"/>
        <w:rPr>
          <w:sz w:val="19"/>
        </w:rPr>
      </w:pPr>
      <w:r>
        <w:rPr>
          <w:color w:val="181818"/>
          <w:sz w:val="19"/>
        </w:rPr>
        <w:t xml:space="preserve">My </w:t>
      </w:r>
      <w:r>
        <w:rPr>
          <w:sz w:val="19"/>
        </w:rPr>
        <w:t xml:space="preserve">objectives </w:t>
      </w:r>
      <w:r>
        <w:rPr>
          <w:color w:val="0A0A0A"/>
          <w:sz w:val="19"/>
        </w:rPr>
        <w:t xml:space="preserve">are </w:t>
      </w:r>
      <w:r>
        <w:rPr>
          <w:sz w:val="19"/>
        </w:rPr>
        <w:t>to.</w:t>
      </w:r>
    </w:p>
    <w:p w14:paraId="6BD11A4C" w14:textId="77777777" w:rsidR="00FA4AA8" w:rsidRDefault="0015611F">
      <w:pPr>
        <w:spacing w:before="168"/>
        <w:ind w:left="1150" w:right="710" w:firstLine="6"/>
        <w:rPr>
          <w:sz w:val="20"/>
        </w:rPr>
      </w:pPr>
      <w:r>
        <w:rPr>
          <w:sz w:val="20"/>
        </w:rPr>
        <w:t>obtain</w:t>
      </w:r>
      <w:r>
        <w:rPr>
          <w:spacing w:val="-30"/>
          <w:sz w:val="20"/>
        </w:rPr>
        <w:t xml:space="preserve"> </w:t>
      </w:r>
      <w:r>
        <w:rPr>
          <w:sz w:val="20"/>
        </w:rPr>
        <w:t>reasonable</w:t>
      </w:r>
      <w:r>
        <w:rPr>
          <w:spacing w:val="-31"/>
          <w:sz w:val="20"/>
        </w:rPr>
        <w:t xml:space="preserve"> </w:t>
      </w:r>
      <w:r>
        <w:rPr>
          <w:sz w:val="20"/>
        </w:rPr>
        <w:t>assurance</w:t>
      </w:r>
      <w:r>
        <w:rPr>
          <w:spacing w:val="-31"/>
          <w:sz w:val="20"/>
        </w:rPr>
        <w:t xml:space="preserve"> </w:t>
      </w:r>
      <w:r>
        <w:rPr>
          <w:sz w:val="20"/>
        </w:rPr>
        <w:t>about</w:t>
      </w:r>
      <w:r>
        <w:rPr>
          <w:spacing w:val="-29"/>
          <w:sz w:val="20"/>
        </w:rPr>
        <w:t xml:space="preserve"> </w:t>
      </w:r>
      <w:r>
        <w:rPr>
          <w:color w:val="0C0C0C"/>
          <w:sz w:val="20"/>
        </w:rPr>
        <w:t>whether</w:t>
      </w:r>
      <w:r>
        <w:rPr>
          <w:color w:val="0C0C0C"/>
          <w:spacing w:val="-27"/>
          <w:sz w:val="20"/>
        </w:rPr>
        <w:t xml:space="preserve"> </w:t>
      </w:r>
      <w:r>
        <w:rPr>
          <w:color w:val="0C0C0C"/>
          <w:sz w:val="20"/>
        </w:rPr>
        <w:t>the</w:t>
      </w:r>
      <w:r>
        <w:rPr>
          <w:color w:val="0C0C0C"/>
          <w:spacing w:val="-34"/>
          <w:sz w:val="20"/>
        </w:rPr>
        <w:t xml:space="preserve"> </w:t>
      </w:r>
      <w:r>
        <w:rPr>
          <w:sz w:val="20"/>
        </w:rPr>
        <w:t>financial</w:t>
      </w:r>
      <w:r>
        <w:rPr>
          <w:spacing w:val="-30"/>
          <w:sz w:val="20"/>
        </w:rPr>
        <w:t xml:space="preserve"> </w:t>
      </w:r>
      <w:r>
        <w:rPr>
          <w:sz w:val="20"/>
        </w:rPr>
        <w:t>statements</w:t>
      </w:r>
      <w:r>
        <w:rPr>
          <w:spacing w:val="-26"/>
          <w:sz w:val="20"/>
        </w:rPr>
        <w:t xml:space="preserve"> </w:t>
      </w:r>
      <w:r>
        <w:rPr>
          <w:sz w:val="20"/>
        </w:rPr>
        <w:t>as</w:t>
      </w:r>
      <w:r>
        <w:rPr>
          <w:spacing w:val="-32"/>
          <w:sz w:val="20"/>
        </w:rPr>
        <w:t xml:space="preserve"> </w:t>
      </w:r>
      <w:r>
        <w:rPr>
          <w:color w:val="0F0F0F"/>
          <w:sz w:val="20"/>
        </w:rPr>
        <w:t>a</w:t>
      </w:r>
      <w:r>
        <w:rPr>
          <w:color w:val="0F0F0F"/>
          <w:spacing w:val="-32"/>
          <w:sz w:val="20"/>
        </w:rPr>
        <w:t xml:space="preserve"> </w:t>
      </w:r>
      <w:r>
        <w:rPr>
          <w:sz w:val="20"/>
        </w:rPr>
        <w:t>whole</w:t>
      </w:r>
      <w:r>
        <w:rPr>
          <w:spacing w:val="-31"/>
          <w:sz w:val="20"/>
        </w:rPr>
        <w:t xml:space="preserve"> </w:t>
      </w:r>
      <w:r>
        <w:rPr>
          <w:color w:val="151515"/>
          <w:sz w:val="20"/>
        </w:rPr>
        <w:t>are</w:t>
      </w:r>
      <w:r>
        <w:rPr>
          <w:color w:val="151515"/>
          <w:spacing w:val="-33"/>
          <w:sz w:val="20"/>
        </w:rPr>
        <w:t xml:space="preserve"> </w:t>
      </w:r>
      <w:r>
        <w:rPr>
          <w:color w:val="0E0E0E"/>
          <w:sz w:val="20"/>
        </w:rPr>
        <w:t>free</w:t>
      </w:r>
      <w:r>
        <w:rPr>
          <w:color w:val="0E0E0E"/>
          <w:spacing w:val="-33"/>
          <w:sz w:val="20"/>
        </w:rPr>
        <w:t xml:space="preserve"> </w:t>
      </w:r>
      <w:r>
        <w:rPr>
          <w:sz w:val="20"/>
        </w:rPr>
        <w:t xml:space="preserve">from material </w:t>
      </w:r>
      <w:r>
        <w:rPr>
          <w:color w:val="0C0C0C"/>
          <w:sz w:val="20"/>
        </w:rPr>
        <w:t xml:space="preserve">misstatement, </w:t>
      </w:r>
      <w:r>
        <w:rPr>
          <w:sz w:val="20"/>
        </w:rPr>
        <w:t xml:space="preserve">whether </w:t>
      </w:r>
      <w:r>
        <w:rPr>
          <w:color w:val="0A0A0A"/>
          <w:sz w:val="20"/>
        </w:rPr>
        <w:t xml:space="preserve">due </w:t>
      </w:r>
      <w:r>
        <w:rPr>
          <w:color w:val="1C1C1C"/>
          <w:sz w:val="20"/>
        </w:rPr>
        <w:t xml:space="preserve">to </w:t>
      </w:r>
      <w:r>
        <w:rPr>
          <w:color w:val="131313"/>
          <w:sz w:val="20"/>
        </w:rPr>
        <w:t xml:space="preserve">fraud </w:t>
      </w:r>
      <w:r>
        <w:rPr>
          <w:color w:val="111111"/>
          <w:sz w:val="20"/>
        </w:rPr>
        <w:t>or</w:t>
      </w:r>
      <w:r>
        <w:rPr>
          <w:color w:val="111111"/>
          <w:spacing w:val="16"/>
          <w:sz w:val="20"/>
        </w:rPr>
        <w:t xml:space="preserve"> </w:t>
      </w:r>
      <w:r>
        <w:rPr>
          <w:sz w:val="20"/>
        </w:rPr>
        <w:t>error</w:t>
      </w:r>
    </w:p>
    <w:p w14:paraId="4FEAB48B" w14:textId="77777777" w:rsidR="00FA4AA8" w:rsidRDefault="0015611F">
      <w:pPr>
        <w:spacing w:before="68"/>
        <w:ind w:left="1151"/>
        <w:rPr>
          <w:sz w:val="19"/>
        </w:rPr>
      </w:pPr>
      <w:r>
        <w:rPr>
          <w:sz w:val="19"/>
        </w:rPr>
        <w:t xml:space="preserve">issue </w:t>
      </w:r>
      <w:r>
        <w:rPr>
          <w:color w:val="1A1A1A"/>
          <w:sz w:val="19"/>
        </w:rPr>
        <w:t xml:space="preserve">an </w:t>
      </w:r>
      <w:r>
        <w:rPr>
          <w:sz w:val="19"/>
        </w:rPr>
        <w:t>Independent Auditor's Report including my opinion.</w:t>
      </w:r>
    </w:p>
    <w:p w14:paraId="7A1D17BA" w14:textId="77777777" w:rsidR="00FA4AA8" w:rsidRDefault="00FA4AA8">
      <w:pPr>
        <w:pStyle w:val="BodyText"/>
        <w:spacing w:before="7"/>
        <w:rPr>
          <w:sz w:val="17"/>
        </w:rPr>
      </w:pPr>
    </w:p>
    <w:p w14:paraId="4924359A" w14:textId="77777777" w:rsidR="00FA4AA8" w:rsidRDefault="0015611F">
      <w:pPr>
        <w:spacing w:line="232" w:lineRule="auto"/>
        <w:ind w:left="609" w:right="710" w:hanging="2"/>
        <w:rPr>
          <w:sz w:val="20"/>
        </w:rPr>
      </w:pPr>
      <w:r>
        <w:rPr>
          <w:sz w:val="20"/>
        </w:rPr>
        <w:t>Reasonable</w:t>
      </w:r>
      <w:r>
        <w:rPr>
          <w:spacing w:val="-24"/>
          <w:sz w:val="20"/>
        </w:rPr>
        <w:t xml:space="preserve"> </w:t>
      </w:r>
      <w:r>
        <w:rPr>
          <w:sz w:val="20"/>
        </w:rPr>
        <w:t>assurance</w:t>
      </w:r>
      <w:r>
        <w:rPr>
          <w:spacing w:val="-24"/>
          <w:sz w:val="20"/>
        </w:rPr>
        <w:t xml:space="preserve"> </w:t>
      </w:r>
      <w:r>
        <w:rPr>
          <w:color w:val="0A0A0A"/>
          <w:sz w:val="20"/>
        </w:rPr>
        <w:t>is</w:t>
      </w:r>
      <w:r>
        <w:rPr>
          <w:color w:val="0A0A0A"/>
          <w:spacing w:val="-31"/>
          <w:sz w:val="20"/>
        </w:rPr>
        <w:t xml:space="preserve"> </w:t>
      </w:r>
      <w:r>
        <w:rPr>
          <w:color w:val="282828"/>
          <w:sz w:val="20"/>
        </w:rPr>
        <w:t>a</w:t>
      </w:r>
      <w:r>
        <w:rPr>
          <w:color w:val="282828"/>
          <w:spacing w:val="-32"/>
          <w:sz w:val="20"/>
        </w:rPr>
        <w:t xml:space="preserve"> </w:t>
      </w:r>
      <w:r>
        <w:rPr>
          <w:color w:val="111111"/>
          <w:sz w:val="20"/>
        </w:rPr>
        <w:t>high</w:t>
      </w:r>
      <w:r>
        <w:rPr>
          <w:color w:val="111111"/>
          <w:spacing w:val="-27"/>
          <w:sz w:val="20"/>
        </w:rPr>
        <w:t xml:space="preserve"> </w:t>
      </w:r>
      <w:r>
        <w:rPr>
          <w:sz w:val="20"/>
        </w:rPr>
        <w:t>level</w:t>
      </w:r>
      <w:r>
        <w:rPr>
          <w:spacing w:val="-31"/>
          <w:sz w:val="20"/>
        </w:rPr>
        <w:t xml:space="preserve"> </w:t>
      </w:r>
      <w:r>
        <w:rPr>
          <w:color w:val="131313"/>
          <w:sz w:val="20"/>
        </w:rPr>
        <w:t>of</w:t>
      </w:r>
      <w:r>
        <w:rPr>
          <w:color w:val="131313"/>
          <w:spacing w:val="-28"/>
          <w:sz w:val="20"/>
        </w:rPr>
        <w:t xml:space="preserve"> </w:t>
      </w:r>
      <w:r>
        <w:rPr>
          <w:sz w:val="20"/>
        </w:rPr>
        <w:t>assurance,</w:t>
      </w:r>
      <w:r>
        <w:rPr>
          <w:spacing w:val="-21"/>
          <w:sz w:val="20"/>
        </w:rPr>
        <w:t xml:space="preserve"> </w:t>
      </w:r>
      <w:r>
        <w:rPr>
          <w:color w:val="151515"/>
          <w:sz w:val="20"/>
        </w:rPr>
        <w:t>but</w:t>
      </w:r>
      <w:r>
        <w:rPr>
          <w:color w:val="151515"/>
          <w:spacing w:val="-27"/>
          <w:sz w:val="20"/>
        </w:rPr>
        <w:t xml:space="preserve"> </w:t>
      </w:r>
      <w:r>
        <w:rPr>
          <w:sz w:val="20"/>
        </w:rPr>
        <w:t>does</w:t>
      </w:r>
      <w:r>
        <w:rPr>
          <w:spacing w:val="-28"/>
          <w:sz w:val="20"/>
        </w:rPr>
        <w:t xml:space="preserve"> </w:t>
      </w:r>
      <w:r>
        <w:rPr>
          <w:color w:val="1A1A1A"/>
          <w:sz w:val="20"/>
        </w:rPr>
        <w:t>not</w:t>
      </w:r>
      <w:r>
        <w:rPr>
          <w:color w:val="1A1A1A"/>
          <w:spacing w:val="-28"/>
          <w:sz w:val="20"/>
        </w:rPr>
        <w:t xml:space="preserve"> </w:t>
      </w:r>
      <w:r>
        <w:rPr>
          <w:sz w:val="20"/>
        </w:rPr>
        <w:t>guarantee</w:t>
      </w:r>
      <w:r>
        <w:rPr>
          <w:spacing w:val="-25"/>
          <w:sz w:val="20"/>
        </w:rPr>
        <w:t xml:space="preserve"> </w:t>
      </w:r>
      <w:r>
        <w:rPr>
          <w:color w:val="111111"/>
          <w:sz w:val="20"/>
        </w:rPr>
        <w:t>an</w:t>
      </w:r>
      <w:r>
        <w:rPr>
          <w:color w:val="111111"/>
          <w:spacing w:val="-31"/>
          <w:sz w:val="20"/>
        </w:rPr>
        <w:t xml:space="preserve"> </w:t>
      </w:r>
      <w:r>
        <w:rPr>
          <w:color w:val="131313"/>
          <w:sz w:val="20"/>
        </w:rPr>
        <w:t>audit</w:t>
      </w:r>
      <w:r>
        <w:rPr>
          <w:color w:val="131313"/>
          <w:spacing w:val="-30"/>
          <w:sz w:val="20"/>
        </w:rPr>
        <w:t xml:space="preserve"> </w:t>
      </w:r>
      <w:r>
        <w:rPr>
          <w:sz w:val="20"/>
        </w:rPr>
        <w:t>conducted</w:t>
      </w:r>
      <w:r>
        <w:rPr>
          <w:spacing w:val="-24"/>
          <w:sz w:val="20"/>
        </w:rPr>
        <w:t xml:space="preserve"> </w:t>
      </w:r>
      <w:r>
        <w:rPr>
          <w:color w:val="1C1C1C"/>
          <w:sz w:val="20"/>
        </w:rPr>
        <w:t xml:space="preserve">in </w:t>
      </w:r>
      <w:r>
        <w:rPr>
          <w:color w:val="0C0C0C"/>
          <w:sz w:val="20"/>
        </w:rPr>
        <w:t>accordance</w:t>
      </w:r>
      <w:r>
        <w:rPr>
          <w:color w:val="0C0C0C"/>
          <w:spacing w:val="-10"/>
          <w:sz w:val="20"/>
        </w:rPr>
        <w:t xml:space="preserve"> </w:t>
      </w:r>
      <w:r>
        <w:rPr>
          <w:color w:val="111111"/>
          <w:sz w:val="20"/>
        </w:rPr>
        <w:t>with</w:t>
      </w:r>
      <w:r>
        <w:rPr>
          <w:color w:val="111111"/>
          <w:spacing w:val="-19"/>
          <w:sz w:val="20"/>
        </w:rPr>
        <w:t xml:space="preserve"> </w:t>
      </w:r>
      <w:r>
        <w:rPr>
          <w:sz w:val="20"/>
        </w:rPr>
        <w:t>Australian</w:t>
      </w:r>
      <w:r>
        <w:rPr>
          <w:spacing w:val="-3"/>
          <w:sz w:val="20"/>
        </w:rPr>
        <w:t xml:space="preserve"> </w:t>
      </w:r>
      <w:r>
        <w:rPr>
          <w:sz w:val="20"/>
        </w:rPr>
        <w:t>Auditing</w:t>
      </w:r>
      <w:r>
        <w:rPr>
          <w:spacing w:val="-13"/>
          <w:sz w:val="20"/>
        </w:rPr>
        <w:t xml:space="preserve"> </w:t>
      </w:r>
      <w:r>
        <w:rPr>
          <w:color w:val="0C0C0C"/>
          <w:sz w:val="20"/>
        </w:rPr>
        <w:t>Standards</w:t>
      </w:r>
      <w:r>
        <w:rPr>
          <w:color w:val="0C0C0C"/>
          <w:spacing w:val="-8"/>
          <w:sz w:val="20"/>
        </w:rPr>
        <w:t xml:space="preserve"> </w:t>
      </w:r>
      <w:r>
        <w:rPr>
          <w:sz w:val="20"/>
        </w:rPr>
        <w:t>will</w:t>
      </w:r>
      <w:r>
        <w:rPr>
          <w:spacing w:val="-20"/>
          <w:sz w:val="20"/>
        </w:rPr>
        <w:t xml:space="preserve"> </w:t>
      </w:r>
      <w:r>
        <w:rPr>
          <w:color w:val="111111"/>
          <w:sz w:val="20"/>
        </w:rPr>
        <w:t>always</w:t>
      </w:r>
      <w:r>
        <w:rPr>
          <w:color w:val="111111"/>
          <w:spacing w:val="-13"/>
          <w:sz w:val="20"/>
        </w:rPr>
        <w:t xml:space="preserve"> </w:t>
      </w:r>
      <w:r>
        <w:rPr>
          <w:sz w:val="20"/>
        </w:rPr>
        <w:t>detect</w:t>
      </w:r>
      <w:r>
        <w:rPr>
          <w:spacing w:val="-16"/>
          <w:sz w:val="20"/>
        </w:rPr>
        <w:t xml:space="preserve"> </w:t>
      </w:r>
      <w:r>
        <w:rPr>
          <w:sz w:val="20"/>
        </w:rPr>
        <w:t>material</w:t>
      </w:r>
      <w:r>
        <w:rPr>
          <w:spacing w:val="-18"/>
          <w:sz w:val="20"/>
        </w:rPr>
        <w:t xml:space="preserve"> </w:t>
      </w:r>
      <w:r>
        <w:rPr>
          <w:sz w:val="20"/>
        </w:rPr>
        <w:t>misstatements.</w:t>
      </w:r>
    </w:p>
    <w:p w14:paraId="0D2938AE" w14:textId="77777777" w:rsidR="00FA4AA8" w:rsidRDefault="0015611F">
      <w:pPr>
        <w:spacing w:before="11" w:line="237" w:lineRule="auto"/>
        <w:ind w:left="616" w:right="684" w:hanging="8"/>
        <w:rPr>
          <w:sz w:val="20"/>
        </w:rPr>
      </w:pPr>
      <w:r>
        <w:rPr>
          <w:sz w:val="20"/>
        </w:rPr>
        <w:t>Misstatements</w:t>
      </w:r>
      <w:r>
        <w:rPr>
          <w:spacing w:val="-24"/>
          <w:sz w:val="20"/>
        </w:rPr>
        <w:t xml:space="preserve"> </w:t>
      </w:r>
      <w:r>
        <w:rPr>
          <w:color w:val="0C0C0C"/>
          <w:sz w:val="20"/>
        </w:rPr>
        <w:t>can</w:t>
      </w:r>
      <w:r>
        <w:rPr>
          <w:color w:val="0C0C0C"/>
          <w:spacing w:val="-31"/>
          <w:sz w:val="20"/>
        </w:rPr>
        <w:t xml:space="preserve"> </w:t>
      </w:r>
      <w:r>
        <w:rPr>
          <w:sz w:val="20"/>
        </w:rPr>
        <w:t>arise</w:t>
      </w:r>
      <w:r>
        <w:rPr>
          <w:spacing w:val="-34"/>
          <w:sz w:val="20"/>
        </w:rPr>
        <w:t xml:space="preserve"> </w:t>
      </w:r>
      <w:r>
        <w:rPr>
          <w:color w:val="131313"/>
          <w:sz w:val="20"/>
        </w:rPr>
        <w:t>from</w:t>
      </w:r>
      <w:r>
        <w:rPr>
          <w:color w:val="131313"/>
          <w:spacing w:val="-30"/>
          <w:sz w:val="20"/>
        </w:rPr>
        <w:t xml:space="preserve"> </w:t>
      </w:r>
      <w:r>
        <w:rPr>
          <w:sz w:val="20"/>
        </w:rPr>
        <w:t>fraud</w:t>
      </w:r>
      <w:r>
        <w:rPr>
          <w:spacing w:val="-31"/>
          <w:sz w:val="20"/>
        </w:rPr>
        <w:t xml:space="preserve"> </w:t>
      </w:r>
      <w:r>
        <w:rPr>
          <w:sz w:val="20"/>
        </w:rPr>
        <w:t>or</w:t>
      </w:r>
      <w:r>
        <w:rPr>
          <w:spacing w:val="-32"/>
          <w:sz w:val="20"/>
        </w:rPr>
        <w:t xml:space="preserve"> </w:t>
      </w:r>
      <w:r>
        <w:rPr>
          <w:sz w:val="20"/>
        </w:rPr>
        <w:t>error.</w:t>
      </w:r>
      <w:r>
        <w:rPr>
          <w:spacing w:val="-28"/>
          <w:sz w:val="20"/>
        </w:rPr>
        <w:t xml:space="preserve"> </w:t>
      </w:r>
      <w:r>
        <w:rPr>
          <w:sz w:val="20"/>
        </w:rPr>
        <w:t>Misstatements</w:t>
      </w:r>
      <w:r>
        <w:rPr>
          <w:spacing w:val="-23"/>
          <w:sz w:val="20"/>
        </w:rPr>
        <w:t xml:space="preserve"> </w:t>
      </w:r>
      <w:r>
        <w:rPr>
          <w:sz w:val="20"/>
        </w:rPr>
        <w:t>are</w:t>
      </w:r>
      <w:r>
        <w:rPr>
          <w:spacing w:val="-32"/>
          <w:sz w:val="20"/>
        </w:rPr>
        <w:t xml:space="preserve"> </w:t>
      </w:r>
      <w:r>
        <w:rPr>
          <w:sz w:val="20"/>
        </w:rPr>
        <w:t>considered</w:t>
      </w:r>
      <w:r>
        <w:rPr>
          <w:spacing w:val="-31"/>
          <w:sz w:val="20"/>
        </w:rPr>
        <w:t xml:space="preserve"> </w:t>
      </w:r>
      <w:r>
        <w:rPr>
          <w:sz w:val="20"/>
        </w:rPr>
        <w:t>material</w:t>
      </w:r>
      <w:r>
        <w:rPr>
          <w:spacing w:val="-28"/>
          <w:sz w:val="20"/>
        </w:rPr>
        <w:t xml:space="preserve"> </w:t>
      </w:r>
      <w:r>
        <w:rPr>
          <w:sz w:val="20"/>
        </w:rPr>
        <w:t>if,</w:t>
      </w:r>
      <w:r>
        <w:rPr>
          <w:spacing w:val="-33"/>
          <w:sz w:val="20"/>
        </w:rPr>
        <w:t xml:space="preserve"> </w:t>
      </w:r>
      <w:r>
        <w:rPr>
          <w:sz w:val="20"/>
        </w:rPr>
        <w:t>individually</w:t>
      </w:r>
      <w:r>
        <w:rPr>
          <w:spacing w:val="-28"/>
          <w:sz w:val="20"/>
        </w:rPr>
        <w:t xml:space="preserve"> </w:t>
      </w:r>
      <w:r>
        <w:rPr>
          <w:sz w:val="20"/>
        </w:rPr>
        <w:t>or</w:t>
      </w:r>
      <w:r>
        <w:rPr>
          <w:spacing w:val="-28"/>
          <w:sz w:val="20"/>
        </w:rPr>
        <w:t xml:space="preserve"> </w:t>
      </w:r>
      <w:r>
        <w:rPr>
          <w:color w:val="181818"/>
          <w:sz w:val="20"/>
        </w:rPr>
        <w:t xml:space="preserve">in </w:t>
      </w:r>
      <w:r>
        <w:rPr>
          <w:sz w:val="20"/>
        </w:rPr>
        <w:t>aggregate,</w:t>
      </w:r>
      <w:r>
        <w:rPr>
          <w:spacing w:val="-22"/>
          <w:sz w:val="20"/>
        </w:rPr>
        <w:t xml:space="preserve"> </w:t>
      </w:r>
      <w:r>
        <w:rPr>
          <w:color w:val="0F0F0F"/>
          <w:sz w:val="20"/>
        </w:rPr>
        <w:t>they</w:t>
      </w:r>
      <w:r>
        <w:rPr>
          <w:color w:val="0F0F0F"/>
          <w:spacing w:val="-26"/>
          <w:sz w:val="20"/>
        </w:rPr>
        <w:t xml:space="preserve"> </w:t>
      </w:r>
      <w:r>
        <w:rPr>
          <w:sz w:val="20"/>
        </w:rPr>
        <w:t>could</w:t>
      </w:r>
      <w:r>
        <w:rPr>
          <w:spacing w:val="-28"/>
          <w:sz w:val="20"/>
        </w:rPr>
        <w:t xml:space="preserve"> </w:t>
      </w:r>
      <w:r>
        <w:rPr>
          <w:sz w:val="20"/>
        </w:rPr>
        <w:t>reasonably</w:t>
      </w:r>
      <w:r>
        <w:rPr>
          <w:spacing w:val="-24"/>
          <w:sz w:val="20"/>
        </w:rPr>
        <w:t xml:space="preserve"> </w:t>
      </w:r>
      <w:r>
        <w:rPr>
          <w:color w:val="131313"/>
          <w:sz w:val="20"/>
        </w:rPr>
        <w:t>be</w:t>
      </w:r>
      <w:r>
        <w:rPr>
          <w:color w:val="131313"/>
          <w:spacing w:val="-30"/>
          <w:sz w:val="20"/>
        </w:rPr>
        <w:t xml:space="preserve"> </w:t>
      </w:r>
      <w:r>
        <w:rPr>
          <w:sz w:val="20"/>
        </w:rPr>
        <w:t>expected</w:t>
      </w:r>
      <w:r>
        <w:rPr>
          <w:spacing w:val="-22"/>
          <w:sz w:val="20"/>
        </w:rPr>
        <w:t xml:space="preserve"> </w:t>
      </w:r>
      <w:r>
        <w:rPr>
          <w:sz w:val="20"/>
        </w:rPr>
        <w:t>to</w:t>
      </w:r>
      <w:r>
        <w:rPr>
          <w:spacing w:val="-33"/>
          <w:sz w:val="20"/>
        </w:rPr>
        <w:t xml:space="preserve"> </w:t>
      </w:r>
      <w:r>
        <w:rPr>
          <w:sz w:val="20"/>
        </w:rPr>
        <w:t>influence</w:t>
      </w:r>
      <w:r>
        <w:rPr>
          <w:spacing w:val="-26"/>
          <w:sz w:val="20"/>
        </w:rPr>
        <w:t xml:space="preserve"> </w:t>
      </w:r>
      <w:r>
        <w:rPr>
          <w:color w:val="0C0C0C"/>
          <w:sz w:val="20"/>
        </w:rPr>
        <w:t>the</w:t>
      </w:r>
      <w:r>
        <w:rPr>
          <w:color w:val="0C0C0C"/>
          <w:spacing w:val="-29"/>
          <w:sz w:val="20"/>
        </w:rPr>
        <w:t xml:space="preserve"> </w:t>
      </w:r>
      <w:r>
        <w:rPr>
          <w:color w:val="0E0E0E"/>
          <w:sz w:val="20"/>
        </w:rPr>
        <w:t>economic</w:t>
      </w:r>
      <w:r>
        <w:rPr>
          <w:color w:val="0E0E0E"/>
          <w:spacing w:val="-22"/>
          <w:sz w:val="20"/>
        </w:rPr>
        <w:t xml:space="preserve"> </w:t>
      </w:r>
      <w:r>
        <w:rPr>
          <w:sz w:val="20"/>
        </w:rPr>
        <w:t>decisions</w:t>
      </w:r>
      <w:r>
        <w:rPr>
          <w:spacing w:val="-24"/>
          <w:sz w:val="20"/>
        </w:rPr>
        <w:t xml:space="preserve"> </w:t>
      </w:r>
      <w:r>
        <w:rPr>
          <w:sz w:val="20"/>
        </w:rPr>
        <w:t>users</w:t>
      </w:r>
      <w:r>
        <w:rPr>
          <w:spacing w:val="-24"/>
          <w:sz w:val="20"/>
        </w:rPr>
        <w:t xml:space="preserve"> </w:t>
      </w:r>
      <w:r>
        <w:rPr>
          <w:sz w:val="20"/>
        </w:rPr>
        <w:t>take</w:t>
      </w:r>
      <w:r>
        <w:rPr>
          <w:spacing w:val="-30"/>
          <w:sz w:val="20"/>
        </w:rPr>
        <w:t xml:space="preserve"> </w:t>
      </w:r>
      <w:r>
        <w:rPr>
          <w:color w:val="0F0F0F"/>
          <w:sz w:val="20"/>
        </w:rPr>
        <w:t xml:space="preserve">based </w:t>
      </w:r>
      <w:r>
        <w:rPr>
          <w:color w:val="161616"/>
          <w:sz w:val="20"/>
        </w:rPr>
        <w:t xml:space="preserve">on </w:t>
      </w:r>
      <w:r>
        <w:rPr>
          <w:sz w:val="20"/>
        </w:rPr>
        <w:t>the financial</w:t>
      </w:r>
      <w:r>
        <w:rPr>
          <w:spacing w:val="11"/>
          <w:sz w:val="20"/>
        </w:rPr>
        <w:t xml:space="preserve"> </w:t>
      </w:r>
      <w:r>
        <w:rPr>
          <w:sz w:val="20"/>
        </w:rPr>
        <w:t>statements.</w:t>
      </w:r>
    </w:p>
    <w:p w14:paraId="017015A0" w14:textId="77777777" w:rsidR="00FA4AA8" w:rsidRDefault="0015611F">
      <w:pPr>
        <w:spacing w:before="174" w:line="237" w:lineRule="auto"/>
        <w:ind w:left="616" w:right="710" w:hanging="7"/>
        <w:rPr>
          <w:sz w:val="20"/>
        </w:rPr>
      </w:pPr>
      <w:r>
        <w:rPr>
          <w:color w:val="1C1C1C"/>
          <w:sz w:val="20"/>
        </w:rPr>
        <w:t>A</w:t>
      </w:r>
      <w:r>
        <w:rPr>
          <w:color w:val="1C1C1C"/>
          <w:spacing w:val="-22"/>
          <w:sz w:val="20"/>
        </w:rPr>
        <w:t xml:space="preserve"> </w:t>
      </w:r>
      <w:r>
        <w:rPr>
          <w:sz w:val="20"/>
        </w:rPr>
        <w:t>description</w:t>
      </w:r>
      <w:r>
        <w:rPr>
          <w:spacing w:val="-15"/>
          <w:sz w:val="20"/>
        </w:rPr>
        <w:t xml:space="preserve"> </w:t>
      </w:r>
      <w:r>
        <w:rPr>
          <w:color w:val="131313"/>
          <w:sz w:val="20"/>
        </w:rPr>
        <w:t>of</w:t>
      </w:r>
      <w:r>
        <w:rPr>
          <w:color w:val="131313"/>
          <w:spacing w:val="-25"/>
          <w:sz w:val="20"/>
        </w:rPr>
        <w:t xml:space="preserve"> </w:t>
      </w:r>
      <w:r>
        <w:rPr>
          <w:sz w:val="20"/>
        </w:rPr>
        <w:t>my</w:t>
      </w:r>
      <w:r>
        <w:rPr>
          <w:spacing w:val="-24"/>
          <w:sz w:val="20"/>
        </w:rPr>
        <w:t xml:space="preserve"> </w:t>
      </w:r>
      <w:r>
        <w:rPr>
          <w:sz w:val="20"/>
        </w:rPr>
        <w:t>responsibilities</w:t>
      </w:r>
      <w:r>
        <w:rPr>
          <w:spacing w:val="-22"/>
          <w:sz w:val="20"/>
        </w:rPr>
        <w:t xml:space="preserve"> </w:t>
      </w:r>
      <w:r>
        <w:rPr>
          <w:color w:val="161616"/>
          <w:sz w:val="20"/>
        </w:rPr>
        <w:t>for</w:t>
      </w:r>
      <w:r>
        <w:rPr>
          <w:color w:val="161616"/>
          <w:spacing w:val="-25"/>
          <w:sz w:val="20"/>
        </w:rPr>
        <w:t xml:space="preserve"> </w:t>
      </w:r>
      <w:r>
        <w:rPr>
          <w:sz w:val="20"/>
        </w:rPr>
        <w:t>the</w:t>
      </w:r>
      <w:r>
        <w:rPr>
          <w:spacing w:val="-28"/>
          <w:sz w:val="20"/>
        </w:rPr>
        <w:t xml:space="preserve"> </w:t>
      </w:r>
      <w:r>
        <w:rPr>
          <w:color w:val="161616"/>
          <w:sz w:val="20"/>
        </w:rPr>
        <w:t>audit</w:t>
      </w:r>
      <w:r>
        <w:rPr>
          <w:color w:val="161616"/>
          <w:spacing w:val="-20"/>
          <w:sz w:val="20"/>
        </w:rPr>
        <w:t xml:space="preserve"> </w:t>
      </w:r>
      <w:r>
        <w:rPr>
          <w:color w:val="0E0E0E"/>
          <w:sz w:val="20"/>
        </w:rPr>
        <w:t>of</w:t>
      </w:r>
      <w:r>
        <w:rPr>
          <w:color w:val="0E0E0E"/>
          <w:spacing w:val="-27"/>
          <w:sz w:val="20"/>
        </w:rPr>
        <w:t xml:space="preserve"> </w:t>
      </w:r>
      <w:r>
        <w:rPr>
          <w:sz w:val="20"/>
        </w:rPr>
        <w:t>the</w:t>
      </w:r>
      <w:r>
        <w:rPr>
          <w:spacing w:val="-21"/>
          <w:sz w:val="20"/>
        </w:rPr>
        <w:t xml:space="preserve"> </w:t>
      </w:r>
      <w:r>
        <w:rPr>
          <w:sz w:val="20"/>
        </w:rPr>
        <w:t>financial</w:t>
      </w:r>
      <w:r>
        <w:rPr>
          <w:spacing w:val="-12"/>
          <w:sz w:val="20"/>
        </w:rPr>
        <w:t xml:space="preserve"> </w:t>
      </w:r>
      <w:r>
        <w:rPr>
          <w:color w:val="0C0C0C"/>
          <w:sz w:val="20"/>
        </w:rPr>
        <w:t>statements</w:t>
      </w:r>
      <w:r>
        <w:rPr>
          <w:color w:val="0C0C0C"/>
          <w:spacing w:val="-18"/>
          <w:sz w:val="20"/>
        </w:rPr>
        <w:t xml:space="preserve"> </w:t>
      </w:r>
      <w:r>
        <w:rPr>
          <w:color w:val="1D1D1D"/>
          <w:sz w:val="20"/>
        </w:rPr>
        <w:t>is</w:t>
      </w:r>
      <w:r>
        <w:rPr>
          <w:color w:val="1D1D1D"/>
          <w:spacing w:val="-25"/>
          <w:sz w:val="20"/>
        </w:rPr>
        <w:t xml:space="preserve"> </w:t>
      </w:r>
      <w:r>
        <w:rPr>
          <w:color w:val="131313"/>
          <w:sz w:val="20"/>
        </w:rPr>
        <w:t>located</w:t>
      </w:r>
      <w:r>
        <w:rPr>
          <w:color w:val="131313"/>
          <w:spacing w:val="-17"/>
          <w:sz w:val="20"/>
        </w:rPr>
        <w:t xml:space="preserve"> </w:t>
      </w:r>
      <w:r>
        <w:rPr>
          <w:color w:val="0F0F0F"/>
          <w:sz w:val="20"/>
        </w:rPr>
        <w:t>at</w:t>
      </w:r>
      <w:r>
        <w:rPr>
          <w:color w:val="0F0F0F"/>
          <w:spacing w:val="-25"/>
          <w:sz w:val="20"/>
        </w:rPr>
        <w:t xml:space="preserve"> </w:t>
      </w:r>
      <w:r>
        <w:rPr>
          <w:color w:val="0F0F0F"/>
          <w:sz w:val="20"/>
        </w:rPr>
        <w:t>the</w:t>
      </w:r>
      <w:r>
        <w:rPr>
          <w:color w:val="0F0F0F"/>
          <w:spacing w:val="-24"/>
          <w:sz w:val="20"/>
        </w:rPr>
        <w:t xml:space="preserve"> </w:t>
      </w:r>
      <w:r>
        <w:rPr>
          <w:sz w:val="20"/>
        </w:rPr>
        <w:t xml:space="preserve">Auditing </w:t>
      </w:r>
      <w:r>
        <w:rPr>
          <w:color w:val="131313"/>
          <w:w w:val="95"/>
          <w:sz w:val="20"/>
        </w:rPr>
        <w:t>and</w:t>
      </w:r>
      <w:r>
        <w:rPr>
          <w:color w:val="131313"/>
          <w:spacing w:val="-15"/>
          <w:w w:val="95"/>
          <w:sz w:val="20"/>
        </w:rPr>
        <w:t xml:space="preserve"> </w:t>
      </w:r>
      <w:r>
        <w:rPr>
          <w:w w:val="95"/>
          <w:sz w:val="20"/>
        </w:rPr>
        <w:t>Assurance</w:t>
      </w:r>
      <w:r>
        <w:rPr>
          <w:spacing w:val="-7"/>
          <w:w w:val="95"/>
          <w:sz w:val="20"/>
        </w:rPr>
        <w:t xml:space="preserve"> </w:t>
      </w:r>
      <w:r>
        <w:rPr>
          <w:color w:val="0C0C0C"/>
          <w:w w:val="95"/>
          <w:sz w:val="20"/>
        </w:rPr>
        <w:t>Standards</w:t>
      </w:r>
      <w:r>
        <w:rPr>
          <w:color w:val="0C0C0C"/>
          <w:spacing w:val="-7"/>
          <w:w w:val="95"/>
          <w:sz w:val="20"/>
        </w:rPr>
        <w:t xml:space="preserve"> </w:t>
      </w:r>
      <w:r>
        <w:rPr>
          <w:color w:val="131313"/>
          <w:w w:val="95"/>
          <w:sz w:val="20"/>
        </w:rPr>
        <w:t>Board</w:t>
      </w:r>
      <w:r>
        <w:rPr>
          <w:color w:val="131313"/>
          <w:spacing w:val="-13"/>
          <w:w w:val="95"/>
          <w:sz w:val="20"/>
        </w:rPr>
        <w:t xml:space="preserve"> </w:t>
      </w:r>
      <w:r>
        <w:rPr>
          <w:w w:val="95"/>
          <w:sz w:val="20"/>
        </w:rPr>
        <w:t>website</w:t>
      </w:r>
      <w:r>
        <w:rPr>
          <w:spacing w:val="-11"/>
          <w:w w:val="95"/>
          <w:sz w:val="20"/>
        </w:rPr>
        <w:t xml:space="preserve"> </w:t>
      </w:r>
      <w:r>
        <w:rPr>
          <w:color w:val="161616"/>
          <w:w w:val="95"/>
          <w:sz w:val="20"/>
        </w:rPr>
        <w:t>at:</w:t>
      </w:r>
      <w:r>
        <w:rPr>
          <w:color w:val="808080"/>
          <w:spacing w:val="-14"/>
          <w:w w:val="95"/>
          <w:sz w:val="20"/>
          <w:u w:val="single" w:color="7C8080"/>
        </w:rPr>
        <w:t xml:space="preserve"> </w:t>
      </w:r>
      <w:r w:rsidR="00444D3A">
        <w:rPr>
          <w:color w:val="838383"/>
          <w:sz w:val="20"/>
          <w:u w:val="single" w:color="000000"/>
        </w:rPr>
        <w:t>www</w:t>
      </w:r>
      <w:r w:rsidR="00444D3A">
        <w:rPr>
          <w:color w:val="838383"/>
          <w:spacing w:val="-26"/>
          <w:sz w:val="20"/>
          <w:u w:val="single" w:color="000000"/>
        </w:rPr>
        <w:t xml:space="preserve"> </w:t>
      </w:r>
      <w:r w:rsidR="00444D3A">
        <w:rPr>
          <w:color w:val="838383"/>
          <w:sz w:val="20"/>
          <w:u w:val="single" w:color="000000"/>
        </w:rPr>
        <w:t>auasb.gov.au/aud</w:t>
      </w:r>
      <w:r w:rsidR="00444D3A">
        <w:rPr>
          <w:color w:val="838383"/>
          <w:spacing w:val="-48"/>
          <w:sz w:val="20"/>
          <w:u w:val="single" w:color="000000"/>
        </w:rPr>
        <w:t xml:space="preserve"> </w:t>
      </w:r>
      <w:r w:rsidR="00444D3A">
        <w:rPr>
          <w:color w:val="838383"/>
          <w:sz w:val="20"/>
          <w:u w:val="single" w:color="000000"/>
        </w:rPr>
        <w:t>itors</w:t>
      </w:r>
      <w:r w:rsidR="007719AF">
        <w:rPr>
          <w:color w:val="838383"/>
          <w:sz w:val="20"/>
          <w:u w:val="single" w:color="000000"/>
        </w:rPr>
        <w:t>_</w:t>
      </w:r>
      <w:r w:rsidR="00444D3A">
        <w:rPr>
          <w:color w:val="898989"/>
          <w:sz w:val="20"/>
          <w:u w:val="single" w:color="000000"/>
        </w:rPr>
        <w:t>responsibilities/ar</w:t>
      </w:r>
      <w:r w:rsidR="00444D3A">
        <w:rPr>
          <w:color w:val="898989"/>
          <w:spacing w:val="-40"/>
          <w:sz w:val="20"/>
          <w:u w:val="single" w:color="000000"/>
        </w:rPr>
        <w:t xml:space="preserve"> </w:t>
      </w:r>
      <w:r w:rsidR="00444D3A">
        <w:rPr>
          <w:color w:val="9A9A9A"/>
          <w:sz w:val="20"/>
          <w:u w:val="single" w:color="000000"/>
        </w:rPr>
        <w:t>4.</w:t>
      </w:r>
      <w:r w:rsidR="00444D3A">
        <w:rPr>
          <w:color w:val="828282"/>
          <w:sz w:val="20"/>
          <w:u w:val="single" w:color="000000"/>
        </w:rPr>
        <w:t>pdf</w:t>
      </w:r>
      <w:r>
        <w:rPr>
          <w:color w:val="181818"/>
          <w:spacing w:val="-13"/>
          <w:w w:val="95"/>
          <w:sz w:val="20"/>
        </w:rPr>
        <w:t xml:space="preserve"> </w:t>
      </w:r>
      <w:r w:rsidR="00444D3A">
        <w:rPr>
          <w:color w:val="181818"/>
          <w:spacing w:val="-13"/>
          <w:w w:val="95"/>
          <w:sz w:val="20"/>
        </w:rPr>
        <w:t>.</w:t>
      </w:r>
      <w:r>
        <w:rPr>
          <w:color w:val="1A1A1A"/>
          <w:w w:val="95"/>
          <w:sz w:val="20"/>
        </w:rPr>
        <w:t xml:space="preserve">The </w:t>
      </w:r>
      <w:r>
        <w:rPr>
          <w:sz w:val="20"/>
        </w:rPr>
        <w:t xml:space="preserve">description forms part of </w:t>
      </w:r>
      <w:r>
        <w:rPr>
          <w:color w:val="1A1A1A"/>
          <w:sz w:val="20"/>
        </w:rPr>
        <w:t xml:space="preserve">my </w:t>
      </w:r>
      <w:r>
        <w:rPr>
          <w:sz w:val="20"/>
        </w:rPr>
        <w:t>auditor’s</w:t>
      </w:r>
      <w:r>
        <w:rPr>
          <w:spacing w:val="13"/>
          <w:sz w:val="20"/>
        </w:rPr>
        <w:t xml:space="preserve"> </w:t>
      </w:r>
      <w:r>
        <w:rPr>
          <w:color w:val="0F0F0F"/>
          <w:sz w:val="20"/>
        </w:rPr>
        <w:t>report.</w:t>
      </w:r>
    </w:p>
    <w:p w14:paraId="43FA4742" w14:textId="77777777" w:rsidR="00FA4AA8" w:rsidRDefault="00FA4AA8">
      <w:pPr>
        <w:spacing w:line="237" w:lineRule="auto"/>
        <w:rPr>
          <w:sz w:val="20"/>
        </w:rPr>
        <w:sectPr w:rsidR="00FA4AA8">
          <w:headerReference w:type="default" r:id="rId220"/>
          <w:footerReference w:type="default" r:id="rId221"/>
          <w:pgSz w:w="11910" w:h="16850"/>
          <w:pgMar w:top="1600" w:right="980" w:bottom="960" w:left="960" w:header="0" w:footer="771" w:gutter="0"/>
          <w:pgNumType w:start="204"/>
          <w:cols w:space="720"/>
        </w:sectPr>
      </w:pPr>
    </w:p>
    <w:p w14:paraId="738C884A" w14:textId="77777777" w:rsidR="00FA4AA8" w:rsidRDefault="0015611F">
      <w:pPr>
        <w:spacing w:before="134"/>
        <w:ind w:left="630"/>
        <w:rPr>
          <w:sz w:val="20"/>
        </w:rPr>
      </w:pPr>
      <w:r>
        <w:rPr>
          <w:color w:val="131313"/>
          <w:sz w:val="20"/>
        </w:rPr>
        <w:t xml:space="preserve">My </w:t>
      </w:r>
      <w:r>
        <w:rPr>
          <w:sz w:val="20"/>
        </w:rPr>
        <w:t>opinion does not provide assurance:</w:t>
      </w:r>
    </w:p>
    <w:p w14:paraId="715577F7" w14:textId="77777777" w:rsidR="00FA4AA8" w:rsidRDefault="0015611F">
      <w:pPr>
        <w:spacing w:before="166"/>
        <w:ind w:left="1175"/>
        <w:rPr>
          <w:sz w:val="20"/>
        </w:rPr>
      </w:pPr>
      <w:r>
        <w:rPr>
          <w:color w:val="0A0A0A"/>
          <w:sz w:val="20"/>
        </w:rPr>
        <w:t xml:space="preserve">that </w:t>
      </w:r>
      <w:r>
        <w:rPr>
          <w:color w:val="161616"/>
          <w:sz w:val="20"/>
        </w:rPr>
        <w:t xml:space="preserve">the </w:t>
      </w:r>
      <w:r>
        <w:rPr>
          <w:sz w:val="20"/>
        </w:rPr>
        <w:t xml:space="preserve">Trust </w:t>
      </w:r>
      <w:r>
        <w:rPr>
          <w:color w:val="0C0C0C"/>
          <w:sz w:val="20"/>
        </w:rPr>
        <w:t xml:space="preserve">carried </w:t>
      </w:r>
      <w:r>
        <w:rPr>
          <w:sz w:val="20"/>
        </w:rPr>
        <w:t xml:space="preserve">out its activities effectively, efficiently </w:t>
      </w:r>
      <w:r>
        <w:rPr>
          <w:color w:val="0E0E0E"/>
          <w:sz w:val="20"/>
        </w:rPr>
        <w:t xml:space="preserve">and </w:t>
      </w:r>
      <w:r>
        <w:rPr>
          <w:sz w:val="20"/>
        </w:rPr>
        <w:t>economically</w:t>
      </w:r>
    </w:p>
    <w:p w14:paraId="76E82CF2" w14:textId="77777777" w:rsidR="00FA4AA8" w:rsidRDefault="0015611F">
      <w:pPr>
        <w:pStyle w:val="ListParagraph"/>
        <w:numPr>
          <w:ilvl w:val="0"/>
          <w:numId w:val="33"/>
        </w:numPr>
        <w:tabs>
          <w:tab w:val="left" w:pos="1177"/>
          <w:tab w:val="left" w:pos="1179"/>
        </w:tabs>
        <w:spacing w:before="58" w:line="228" w:lineRule="auto"/>
        <w:ind w:left="1179" w:right="1654" w:hanging="545"/>
        <w:rPr>
          <w:color w:val="161616"/>
          <w:sz w:val="21"/>
        </w:rPr>
      </w:pPr>
      <w:r>
        <w:rPr>
          <w:w w:val="95"/>
          <w:sz w:val="21"/>
        </w:rPr>
        <w:t>about</w:t>
      </w:r>
      <w:r>
        <w:rPr>
          <w:spacing w:val="-29"/>
          <w:w w:val="95"/>
          <w:sz w:val="21"/>
        </w:rPr>
        <w:t xml:space="preserve"> </w:t>
      </w:r>
      <w:r>
        <w:rPr>
          <w:color w:val="0F0F0F"/>
          <w:w w:val="95"/>
          <w:sz w:val="21"/>
        </w:rPr>
        <w:t>the</w:t>
      </w:r>
      <w:r>
        <w:rPr>
          <w:color w:val="0F0F0F"/>
          <w:spacing w:val="-29"/>
          <w:w w:val="95"/>
          <w:sz w:val="21"/>
        </w:rPr>
        <w:t xml:space="preserve"> </w:t>
      </w:r>
      <w:r>
        <w:rPr>
          <w:w w:val="95"/>
          <w:sz w:val="21"/>
        </w:rPr>
        <w:t>security</w:t>
      </w:r>
      <w:r>
        <w:rPr>
          <w:spacing w:val="-28"/>
          <w:w w:val="95"/>
          <w:sz w:val="21"/>
        </w:rPr>
        <w:t xml:space="preserve"> </w:t>
      </w:r>
      <w:r>
        <w:rPr>
          <w:w w:val="95"/>
          <w:sz w:val="21"/>
        </w:rPr>
        <w:t>and</w:t>
      </w:r>
      <w:r>
        <w:rPr>
          <w:spacing w:val="-31"/>
          <w:w w:val="95"/>
          <w:sz w:val="21"/>
        </w:rPr>
        <w:t xml:space="preserve"> </w:t>
      </w:r>
      <w:r>
        <w:rPr>
          <w:color w:val="111111"/>
          <w:w w:val="95"/>
          <w:sz w:val="21"/>
        </w:rPr>
        <w:t>controls</w:t>
      </w:r>
      <w:r>
        <w:rPr>
          <w:color w:val="111111"/>
          <w:spacing w:val="-28"/>
          <w:w w:val="95"/>
          <w:sz w:val="21"/>
        </w:rPr>
        <w:t xml:space="preserve"> </w:t>
      </w:r>
      <w:r>
        <w:rPr>
          <w:w w:val="95"/>
          <w:sz w:val="21"/>
        </w:rPr>
        <w:t>over</w:t>
      </w:r>
      <w:r>
        <w:rPr>
          <w:spacing w:val="-32"/>
          <w:w w:val="95"/>
          <w:sz w:val="21"/>
        </w:rPr>
        <w:t xml:space="preserve"> </w:t>
      </w:r>
      <w:r>
        <w:rPr>
          <w:color w:val="0C0C0C"/>
          <w:w w:val="95"/>
          <w:sz w:val="21"/>
        </w:rPr>
        <w:t>the</w:t>
      </w:r>
      <w:r>
        <w:rPr>
          <w:color w:val="0C0C0C"/>
          <w:spacing w:val="-33"/>
          <w:w w:val="95"/>
          <w:sz w:val="21"/>
        </w:rPr>
        <w:t xml:space="preserve"> </w:t>
      </w:r>
      <w:r>
        <w:rPr>
          <w:w w:val="95"/>
          <w:sz w:val="21"/>
        </w:rPr>
        <w:t>electronic</w:t>
      </w:r>
      <w:r>
        <w:rPr>
          <w:spacing w:val="-25"/>
          <w:w w:val="95"/>
          <w:sz w:val="21"/>
        </w:rPr>
        <w:t xml:space="preserve"> </w:t>
      </w:r>
      <w:r>
        <w:rPr>
          <w:w w:val="95"/>
          <w:sz w:val="21"/>
        </w:rPr>
        <w:t>publication</w:t>
      </w:r>
      <w:r>
        <w:rPr>
          <w:spacing w:val="-27"/>
          <w:w w:val="95"/>
          <w:sz w:val="21"/>
        </w:rPr>
        <w:t xml:space="preserve"> </w:t>
      </w:r>
      <w:r>
        <w:rPr>
          <w:color w:val="111111"/>
          <w:w w:val="95"/>
          <w:sz w:val="21"/>
        </w:rPr>
        <w:t>of</w:t>
      </w:r>
      <w:r>
        <w:rPr>
          <w:color w:val="111111"/>
          <w:spacing w:val="-29"/>
          <w:w w:val="95"/>
          <w:sz w:val="21"/>
        </w:rPr>
        <w:t xml:space="preserve"> </w:t>
      </w:r>
      <w:r>
        <w:rPr>
          <w:color w:val="0F0F0F"/>
          <w:w w:val="95"/>
          <w:sz w:val="21"/>
        </w:rPr>
        <w:t>the</w:t>
      </w:r>
      <w:r>
        <w:rPr>
          <w:color w:val="0F0F0F"/>
          <w:spacing w:val="-29"/>
          <w:w w:val="95"/>
          <w:sz w:val="21"/>
        </w:rPr>
        <w:t xml:space="preserve"> </w:t>
      </w:r>
      <w:r>
        <w:rPr>
          <w:w w:val="95"/>
          <w:sz w:val="21"/>
        </w:rPr>
        <w:t>audited</w:t>
      </w:r>
      <w:r>
        <w:rPr>
          <w:spacing w:val="-30"/>
          <w:w w:val="95"/>
          <w:sz w:val="21"/>
        </w:rPr>
        <w:t xml:space="preserve"> </w:t>
      </w:r>
      <w:r>
        <w:rPr>
          <w:w w:val="95"/>
          <w:sz w:val="21"/>
        </w:rPr>
        <w:t xml:space="preserve">financial </w:t>
      </w:r>
      <w:r>
        <w:rPr>
          <w:sz w:val="21"/>
        </w:rPr>
        <w:t xml:space="preserve">statements </w:t>
      </w:r>
      <w:r>
        <w:rPr>
          <w:color w:val="0F0F0F"/>
          <w:sz w:val="21"/>
        </w:rPr>
        <w:t xml:space="preserve">on </w:t>
      </w:r>
      <w:r>
        <w:rPr>
          <w:color w:val="181818"/>
          <w:sz w:val="21"/>
        </w:rPr>
        <w:t xml:space="preserve">any </w:t>
      </w:r>
      <w:r>
        <w:rPr>
          <w:color w:val="0C0C0C"/>
          <w:sz w:val="21"/>
        </w:rPr>
        <w:t xml:space="preserve">website </w:t>
      </w:r>
      <w:r>
        <w:rPr>
          <w:color w:val="161616"/>
          <w:sz w:val="21"/>
        </w:rPr>
        <w:t xml:space="preserve">where </w:t>
      </w:r>
      <w:r>
        <w:rPr>
          <w:sz w:val="21"/>
        </w:rPr>
        <w:t>it</w:t>
      </w:r>
      <w:r>
        <w:rPr>
          <w:spacing w:val="-45"/>
          <w:sz w:val="21"/>
        </w:rPr>
        <w:t xml:space="preserve"> </w:t>
      </w:r>
      <w:r>
        <w:rPr>
          <w:sz w:val="21"/>
        </w:rPr>
        <w:t xml:space="preserve">may </w:t>
      </w:r>
      <w:r>
        <w:rPr>
          <w:color w:val="161616"/>
          <w:sz w:val="21"/>
        </w:rPr>
        <w:t>be presented</w:t>
      </w:r>
    </w:p>
    <w:p w14:paraId="4411479C" w14:textId="77777777" w:rsidR="00FA4AA8" w:rsidRDefault="0015611F">
      <w:pPr>
        <w:spacing w:before="69"/>
        <w:ind w:left="1178"/>
        <w:rPr>
          <w:sz w:val="19"/>
        </w:rPr>
      </w:pPr>
      <w:r>
        <w:rPr>
          <w:color w:val="0C0C0C"/>
          <w:sz w:val="19"/>
        </w:rPr>
        <w:t xml:space="preserve">about </w:t>
      </w:r>
      <w:r>
        <w:rPr>
          <w:sz w:val="19"/>
        </w:rPr>
        <w:t xml:space="preserve">any </w:t>
      </w:r>
      <w:r>
        <w:rPr>
          <w:color w:val="131313"/>
          <w:sz w:val="19"/>
        </w:rPr>
        <w:t xml:space="preserve">other </w:t>
      </w:r>
      <w:r>
        <w:rPr>
          <w:sz w:val="19"/>
        </w:rPr>
        <w:t xml:space="preserve">information </w:t>
      </w:r>
      <w:r>
        <w:rPr>
          <w:color w:val="131313"/>
          <w:sz w:val="19"/>
        </w:rPr>
        <w:t xml:space="preserve">which </w:t>
      </w:r>
      <w:r>
        <w:rPr>
          <w:color w:val="1C1C1C"/>
          <w:sz w:val="19"/>
        </w:rPr>
        <w:t xml:space="preserve">may </w:t>
      </w:r>
      <w:r>
        <w:rPr>
          <w:color w:val="161616"/>
          <w:sz w:val="19"/>
        </w:rPr>
        <w:t xml:space="preserve">have </w:t>
      </w:r>
      <w:r>
        <w:rPr>
          <w:color w:val="181818"/>
          <w:sz w:val="19"/>
        </w:rPr>
        <w:t xml:space="preserve">been </w:t>
      </w:r>
      <w:r>
        <w:rPr>
          <w:sz w:val="19"/>
        </w:rPr>
        <w:t xml:space="preserve">hyperlinked to/from </w:t>
      </w:r>
      <w:r>
        <w:rPr>
          <w:color w:val="131313"/>
          <w:sz w:val="19"/>
        </w:rPr>
        <w:t xml:space="preserve">the </w:t>
      </w:r>
      <w:r>
        <w:rPr>
          <w:sz w:val="19"/>
        </w:rPr>
        <w:t>financial statements</w:t>
      </w:r>
    </w:p>
    <w:p w14:paraId="65F503B6" w14:textId="77777777" w:rsidR="00FA4AA8" w:rsidRDefault="00FA4AA8">
      <w:pPr>
        <w:pStyle w:val="BodyText"/>
        <w:rPr>
          <w:sz w:val="20"/>
        </w:rPr>
      </w:pPr>
    </w:p>
    <w:p w14:paraId="039C475F" w14:textId="77777777" w:rsidR="00FA4AA8" w:rsidRDefault="00FA4AA8">
      <w:pPr>
        <w:pStyle w:val="BodyText"/>
        <w:rPr>
          <w:sz w:val="20"/>
        </w:rPr>
      </w:pPr>
    </w:p>
    <w:p w14:paraId="1D6AAA5B" w14:textId="77777777" w:rsidR="00FA4AA8" w:rsidRDefault="00FA4AA8">
      <w:pPr>
        <w:pStyle w:val="BodyText"/>
        <w:rPr>
          <w:sz w:val="20"/>
        </w:rPr>
      </w:pPr>
    </w:p>
    <w:p w14:paraId="20162A4B" w14:textId="77777777" w:rsidR="00FA4AA8" w:rsidRDefault="00FA4AA8">
      <w:pPr>
        <w:pStyle w:val="BodyText"/>
        <w:rPr>
          <w:sz w:val="20"/>
        </w:rPr>
      </w:pPr>
    </w:p>
    <w:p w14:paraId="0D6152CB" w14:textId="77777777" w:rsidR="00FA4AA8" w:rsidRDefault="0015611F">
      <w:pPr>
        <w:pStyle w:val="BodyText"/>
        <w:spacing w:before="1"/>
        <w:rPr>
          <w:sz w:val="10"/>
        </w:rPr>
      </w:pPr>
      <w:r>
        <w:rPr>
          <w:noProof/>
          <w:lang w:val="en-AU" w:eastAsia="en-AU"/>
        </w:rPr>
        <w:drawing>
          <wp:anchor distT="0" distB="0" distL="0" distR="0" simplePos="0" relativeHeight="157" behindDoc="0" locked="0" layoutInCell="1" allowOverlap="1" wp14:anchorId="4056B3FF" wp14:editId="59441F1E">
            <wp:simplePos x="0" y="0"/>
            <wp:positionH relativeFrom="page">
              <wp:posOffset>1028700</wp:posOffset>
            </wp:positionH>
            <wp:positionV relativeFrom="paragraph">
              <wp:posOffset>121808</wp:posOffset>
            </wp:positionV>
            <wp:extent cx="315467" cy="397764"/>
            <wp:effectExtent l="0" t="0" r="0" b="0"/>
            <wp:wrapTopAndBottom/>
            <wp:docPr id="109"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8.png"/>
                    <pic:cNvPicPr/>
                  </pic:nvPicPr>
                  <pic:blipFill>
                    <a:blip r:embed="rId222" cstate="print"/>
                    <a:stretch>
                      <a:fillRect/>
                    </a:stretch>
                  </pic:blipFill>
                  <pic:spPr>
                    <a:xfrm>
                      <a:off x="0" y="0"/>
                      <a:ext cx="315467" cy="397764"/>
                    </a:xfrm>
                    <a:prstGeom prst="rect">
                      <a:avLst/>
                    </a:prstGeom>
                  </pic:spPr>
                </pic:pic>
              </a:graphicData>
            </a:graphic>
          </wp:anchor>
        </w:drawing>
      </w:r>
      <w:r>
        <w:rPr>
          <w:noProof/>
          <w:lang w:val="en-AU" w:eastAsia="en-AU"/>
        </w:rPr>
        <w:drawing>
          <wp:anchor distT="0" distB="0" distL="0" distR="0" simplePos="0" relativeHeight="158" behindDoc="0" locked="0" layoutInCell="1" allowOverlap="1" wp14:anchorId="256AA7CE" wp14:editId="07B43E84">
            <wp:simplePos x="0" y="0"/>
            <wp:positionH relativeFrom="page">
              <wp:posOffset>1554480</wp:posOffset>
            </wp:positionH>
            <wp:positionV relativeFrom="paragraph">
              <wp:posOffset>98948</wp:posOffset>
            </wp:positionV>
            <wp:extent cx="1042416" cy="416051"/>
            <wp:effectExtent l="0" t="0" r="0" b="0"/>
            <wp:wrapTopAndBottom/>
            <wp:docPr id="11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9.png"/>
                    <pic:cNvPicPr/>
                  </pic:nvPicPr>
                  <pic:blipFill>
                    <a:blip r:embed="rId223" cstate="print"/>
                    <a:stretch>
                      <a:fillRect/>
                    </a:stretch>
                  </pic:blipFill>
                  <pic:spPr>
                    <a:xfrm>
                      <a:off x="0" y="0"/>
                      <a:ext cx="1042416" cy="416051"/>
                    </a:xfrm>
                    <a:prstGeom prst="rect">
                      <a:avLst/>
                    </a:prstGeom>
                  </pic:spPr>
                </pic:pic>
              </a:graphicData>
            </a:graphic>
          </wp:anchor>
        </w:drawing>
      </w:r>
    </w:p>
    <w:p w14:paraId="69B1FD86" w14:textId="77777777" w:rsidR="00FA4AA8" w:rsidRDefault="00FA4AA8">
      <w:pPr>
        <w:pStyle w:val="BodyText"/>
        <w:rPr>
          <w:sz w:val="20"/>
        </w:rPr>
      </w:pPr>
    </w:p>
    <w:p w14:paraId="6C57FE54" w14:textId="77777777" w:rsidR="00FA4AA8" w:rsidRDefault="00FA4AA8">
      <w:pPr>
        <w:pStyle w:val="BodyText"/>
        <w:rPr>
          <w:sz w:val="20"/>
        </w:rPr>
      </w:pPr>
    </w:p>
    <w:p w14:paraId="06C4D800" w14:textId="77777777" w:rsidR="00FA4AA8" w:rsidRDefault="0015611F">
      <w:pPr>
        <w:spacing w:before="120" w:line="240" w:lineRule="exact"/>
        <w:ind w:left="629"/>
        <w:rPr>
          <w:sz w:val="21"/>
        </w:rPr>
      </w:pPr>
      <w:r>
        <w:rPr>
          <w:color w:val="0F0F0F"/>
          <w:sz w:val="21"/>
        </w:rPr>
        <w:t xml:space="preserve">David </w:t>
      </w:r>
      <w:r>
        <w:rPr>
          <w:color w:val="131313"/>
          <w:sz w:val="21"/>
        </w:rPr>
        <w:t>Daniels</w:t>
      </w:r>
    </w:p>
    <w:p w14:paraId="489F38AA" w14:textId="77777777" w:rsidR="00FA4AA8" w:rsidRDefault="0015611F">
      <w:pPr>
        <w:spacing w:line="240" w:lineRule="exact"/>
        <w:ind w:left="629"/>
        <w:rPr>
          <w:sz w:val="21"/>
        </w:rPr>
      </w:pPr>
      <w:r>
        <w:rPr>
          <w:sz w:val="21"/>
        </w:rPr>
        <w:t xml:space="preserve">Director, </w:t>
      </w:r>
      <w:r>
        <w:rPr>
          <w:color w:val="131313"/>
          <w:sz w:val="21"/>
        </w:rPr>
        <w:t xml:space="preserve">Financial </w:t>
      </w:r>
      <w:r>
        <w:rPr>
          <w:sz w:val="21"/>
        </w:rPr>
        <w:t>Audit Services</w:t>
      </w:r>
    </w:p>
    <w:p w14:paraId="1F4DA23C" w14:textId="77777777" w:rsidR="00FA4AA8" w:rsidRDefault="00FA4AA8">
      <w:pPr>
        <w:pStyle w:val="BodyText"/>
        <w:rPr>
          <w:sz w:val="22"/>
        </w:rPr>
      </w:pPr>
    </w:p>
    <w:p w14:paraId="00558E6C" w14:textId="77777777" w:rsidR="00FA4AA8" w:rsidRDefault="00FA4AA8">
      <w:pPr>
        <w:pStyle w:val="BodyText"/>
        <w:spacing w:before="5"/>
        <w:rPr>
          <w:sz w:val="25"/>
        </w:rPr>
      </w:pPr>
    </w:p>
    <w:p w14:paraId="6D4588AB" w14:textId="77777777" w:rsidR="00FA4AA8" w:rsidRDefault="0015611F">
      <w:pPr>
        <w:ind w:left="632"/>
        <w:rPr>
          <w:sz w:val="20"/>
        </w:rPr>
      </w:pPr>
      <w:r>
        <w:rPr>
          <w:color w:val="0F0F0F"/>
          <w:sz w:val="20"/>
        </w:rPr>
        <w:t xml:space="preserve">28 </w:t>
      </w:r>
      <w:r>
        <w:rPr>
          <w:sz w:val="20"/>
        </w:rPr>
        <w:t xml:space="preserve">February </w:t>
      </w:r>
      <w:r>
        <w:rPr>
          <w:color w:val="181818"/>
          <w:sz w:val="20"/>
        </w:rPr>
        <w:t>2019</w:t>
      </w:r>
    </w:p>
    <w:p w14:paraId="1F98F43F" w14:textId="77777777" w:rsidR="00FA4AA8" w:rsidRDefault="0015611F">
      <w:pPr>
        <w:spacing w:before="10"/>
        <w:ind w:left="636"/>
        <w:rPr>
          <w:sz w:val="19"/>
        </w:rPr>
      </w:pPr>
      <w:r>
        <w:rPr>
          <w:color w:val="161616"/>
          <w:sz w:val="19"/>
        </w:rPr>
        <w:t>SYDNEY</w:t>
      </w:r>
    </w:p>
    <w:p w14:paraId="49DEDAF2" w14:textId="77777777" w:rsidR="00FA4AA8" w:rsidRDefault="00FA4AA8">
      <w:pPr>
        <w:rPr>
          <w:sz w:val="19"/>
        </w:rPr>
        <w:sectPr w:rsidR="00FA4AA8">
          <w:headerReference w:type="default" r:id="rId224"/>
          <w:footerReference w:type="default" r:id="rId225"/>
          <w:pgSz w:w="11910" w:h="16850"/>
          <w:pgMar w:top="1600" w:right="980" w:bottom="960" w:left="960" w:header="0" w:footer="764" w:gutter="0"/>
          <w:pgNumType w:start="205"/>
          <w:cols w:space="720"/>
        </w:sectPr>
      </w:pPr>
    </w:p>
    <w:p w14:paraId="05824963" w14:textId="77777777" w:rsidR="00FA4AA8" w:rsidRDefault="00FA4AA8">
      <w:pPr>
        <w:pStyle w:val="BodyText"/>
        <w:rPr>
          <w:sz w:val="20"/>
        </w:rPr>
      </w:pPr>
    </w:p>
    <w:p w14:paraId="72461BC6" w14:textId="77777777" w:rsidR="00FA4AA8" w:rsidRDefault="00FA4AA8">
      <w:pPr>
        <w:pStyle w:val="BodyText"/>
        <w:rPr>
          <w:sz w:val="20"/>
        </w:rPr>
      </w:pPr>
    </w:p>
    <w:p w14:paraId="06A47FB5" w14:textId="77777777" w:rsidR="00FA4AA8" w:rsidRDefault="00FA4AA8">
      <w:pPr>
        <w:pStyle w:val="BodyText"/>
        <w:rPr>
          <w:sz w:val="20"/>
        </w:rPr>
      </w:pPr>
    </w:p>
    <w:p w14:paraId="6FC3F122" w14:textId="77777777" w:rsidR="00FA4AA8" w:rsidRDefault="00FA4AA8">
      <w:pPr>
        <w:pStyle w:val="BodyText"/>
        <w:rPr>
          <w:sz w:val="20"/>
        </w:rPr>
      </w:pPr>
    </w:p>
    <w:p w14:paraId="4B068FE6" w14:textId="77777777" w:rsidR="00FA4AA8" w:rsidRDefault="00FA4AA8">
      <w:pPr>
        <w:pStyle w:val="BodyText"/>
        <w:rPr>
          <w:sz w:val="20"/>
        </w:rPr>
      </w:pPr>
    </w:p>
    <w:p w14:paraId="55CB4FC8" w14:textId="77777777" w:rsidR="00FA4AA8" w:rsidRDefault="00FA4AA8">
      <w:pPr>
        <w:pStyle w:val="BodyText"/>
        <w:rPr>
          <w:sz w:val="20"/>
        </w:rPr>
      </w:pPr>
    </w:p>
    <w:p w14:paraId="73C094B4" w14:textId="77777777" w:rsidR="00FA4AA8" w:rsidRDefault="00FA4AA8">
      <w:pPr>
        <w:pStyle w:val="BodyText"/>
        <w:rPr>
          <w:sz w:val="20"/>
        </w:rPr>
      </w:pPr>
    </w:p>
    <w:p w14:paraId="3E15B08E" w14:textId="77777777" w:rsidR="00FA4AA8" w:rsidRDefault="00FA4AA8">
      <w:pPr>
        <w:pStyle w:val="BodyText"/>
        <w:rPr>
          <w:sz w:val="20"/>
        </w:rPr>
      </w:pPr>
    </w:p>
    <w:p w14:paraId="61231877" w14:textId="77777777" w:rsidR="00FA4AA8" w:rsidRDefault="00FA4AA8">
      <w:pPr>
        <w:pStyle w:val="BodyText"/>
        <w:rPr>
          <w:sz w:val="20"/>
        </w:rPr>
      </w:pPr>
    </w:p>
    <w:p w14:paraId="1A6E881E" w14:textId="77777777" w:rsidR="00FA4AA8" w:rsidRDefault="00FA4AA8">
      <w:pPr>
        <w:pStyle w:val="BodyText"/>
        <w:rPr>
          <w:sz w:val="20"/>
        </w:rPr>
      </w:pPr>
    </w:p>
    <w:p w14:paraId="1D68962E" w14:textId="77777777" w:rsidR="00FA4AA8" w:rsidRDefault="00FA4AA8">
      <w:pPr>
        <w:pStyle w:val="BodyText"/>
        <w:rPr>
          <w:sz w:val="20"/>
        </w:rPr>
      </w:pPr>
    </w:p>
    <w:p w14:paraId="50562DCA" w14:textId="77777777" w:rsidR="00FA4AA8" w:rsidRDefault="00FA4AA8">
      <w:pPr>
        <w:pStyle w:val="BodyText"/>
        <w:rPr>
          <w:sz w:val="20"/>
        </w:rPr>
      </w:pPr>
    </w:p>
    <w:p w14:paraId="15277860" w14:textId="77777777" w:rsidR="00FA4AA8" w:rsidRDefault="00FA4AA8">
      <w:pPr>
        <w:pStyle w:val="BodyText"/>
        <w:rPr>
          <w:sz w:val="20"/>
        </w:rPr>
      </w:pPr>
    </w:p>
    <w:p w14:paraId="2641B41F" w14:textId="77777777" w:rsidR="00FA4AA8" w:rsidRDefault="00FA4AA8">
      <w:pPr>
        <w:pStyle w:val="BodyText"/>
        <w:rPr>
          <w:sz w:val="20"/>
        </w:rPr>
      </w:pPr>
    </w:p>
    <w:p w14:paraId="41A7DA69" w14:textId="77777777" w:rsidR="00FA4AA8" w:rsidRDefault="00FA4AA8">
      <w:pPr>
        <w:pStyle w:val="BodyText"/>
        <w:rPr>
          <w:sz w:val="20"/>
        </w:rPr>
      </w:pPr>
    </w:p>
    <w:p w14:paraId="5F72BD1E" w14:textId="77777777" w:rsidR="00FA4AA8" w:rsidRDefault="00FA4AA8">
      <w:pPr>
        <w:pStyle w:val="BodyText"/>
        <w:rPr>
          <w:sz w:val="20"/>
        </w:rPr>
      </w:pPr>
    </w:p>
    <w:p w14:paraId="4FCE12F8" w14:textId="77777777" w:rsidR="00FA4AA8" w:rsidRDefault="00FA4AA8">
      <w:pPr>
        <w:pStyle w:val="BodyText"/>
        <w:rPr>
          <w:sz w:val="20"/>
        </w:rPr>
      </w:pPr>
    </w:p>
    <w:p w14:paraId="2FBAA397" w14:textId="77777777" w:rsidR="00FA4AA8" w:rsidRDefault="00FA4AA8">
      <w:pPr>
        <w:pStyle w:val="BodyText"/>
        <w:rPr>
          <w:sz w:val="20"/>
        </w:rPr>
      </w:pPr>
    </w:p>
    <w:p w14:paraId="2622961F" w14:textId="77777777" w:rsidR="00FA4AA8" w:rsidRDefault="00FA4AA8">
      <w:pPr>
        <w:pStyle w:val="BodyText"/>
        <w:rPr>
          <w:sz w:val="20"/>
        </w:rPr>
      </w:pPr>
    </w:p>
    <w:p w14:paraId="17E5FAEE" w14:textId="77777777" w:rsidR="00FA4AA8" w:rsidRDefault="00FA4AA8">
      <w:pPr>
        <w:pStyle w:val="BodyText"/>
        <w:rPr>
          <w:sz w:val="20"/>
        </w:rPr>
      </w:pPr>
    </w:p>
    <w:p w14:paraId="6CD843DD" w14:textId="77777777" w:rsidR="00FA4AA8" w:rsidRDefault="00FA4AA8">
      <w:pPr>
        <w:pStyle w:val="BodyText"/>
        <w:rPr>
          <w:sz w:val="20"/>
        </w:rPr>
      </w:pPr>
    </w:p>
    <w:p w14:paraId="3FB07976" w14:textId="77777777" w:rsidR="00FA4AA8" w:rsidRDefault="00FA4AA8">
      <w:pPr>
        <w:pStyle w:val="BodyText"/>
        <w:rPr>
          <w:sz w:val="20"/>
        </w:rPr>
      </w:pPr>
    </w:p>
    <w:p w14:paraId="7030673A" w14:textId="77777777" w:rsidR="00FA4AA8" w:rsidRDefault="00FA4AA8">
      <w:pPr>
        <w:pStyle w:val="BodyText"/>
        <w:rPr>
          <w:sz w:val="20"/>
        </w:rPr>
      </w:pPr>
    </w:p>
    <w:p w14:paraId="0BF5013A" w14:textId="77777777" w:rsidR="00FA4AA8" w:rsidRDefault="00FA4AA8">
      <w:pPr>
        <w:pStyle w:val="BodyText"/>
        <w:spacing w:before="10"/>
        <w:rPr>
          <w:sz w:val="17"/>
        </w:rPr>
      </w:pPr>
    </w:p>
    <w:p w14:paraId="513CC9F0" w14:textId="77777777" w:rsidR="00FA4AA8" w:rsidRDefault="0015611F">
      <w:pPr>
        <w:pStyle w:val="BodyText"/>
        <w:spacing w:before="94"/>
        <w:ind w:left="3791" w:right="3809"/>
        <w:jc w:val="center"/>
      </w:pPr>
      <w:r>
        <w:t>This page is intentionally blank</w:t>
      </w:r>
    </w:p>
    <w:p w14:paraId="241BDB0C" w14:textId="77777777" w:rsidR="00FA4AA8" w:rsidRDefault="00FA4AA8">
      <w:pPr>
        <w:jc w:val="center"/>
        <w:sectPr w:rsidR="00FA4AA8">
          <w:headerReference w:type="default" r:id="rId226"/>
          <w:footerReference w:type="default" r:id="rId227"/>
          <w:pgSz w:w="11910" w:h="16840"/>
          <w:pgMar w:top="1580" w:right="880" w:bottom="720" w:left="900" w:header="0" w:footer="523" w:gutter="0"/>
          <w:pgNumType w:start="206"/>
          <w:cols w:space="720"/>
        </w:sectPr>
      </w:pPr>
    </w:p>
    <w:p w14:paraId="5BAF338C" w14:textId="77777777" w:rsidR="00FA4AA8" w:rsidRDefault="00FA4AA8">
      <w:pPr>
        <w:pStyle w:val="BodyText"/>
        <w:rPr>
          <w:sz w:val="20"/>
        </w:rPr>
      </w:pPr>
    </w:p>
    <w:p w14:paraId="6B597A0B" w14:textId="77777777" w:rsidR="00FA4AA8" w:rsidRDefault="00FA4AA8">
      <w:pPr>
        <w:pStyle w:val="BodyText"/>
        <w:rPr>
          <w:sz w:val="20"/>
        </w:rPr>
      </w:pPr>
    </w:p>
    <w:p w14:paraId="62ABDF52" w14:textId="77777777" w:rsidR="00FA4AA8" w:rsidRDefault="00FA4AA8">
      <w:pPr>
        <w:pStyle w:val="BodyText"/>
        <w:rPr>
          <w:sz w:val="20"/>
        </w:rPr>
      </w:pPr>
    </w:p>
    <w:p w14:paraId="76A33935" w14:textId="77777777" w:rsidR="00FA4AA8" w:rsidRDefault="00FA4AA8">
      <w:pPr>
        <w:pStyle w:val="BodyText"/>
        <w:rPr>
          <w:sz w:val="20"/>
        </w:rPr>
      </w:pPr>
    </w:p>
    <w:p w14:paraId="6ED6A016" w14:textId="77777777" w:rsidR="00FA4AA8" w:rsidRDefault="00FA4AA8">
      <w:pPr>
        <w:pStyle w:val="BodyText"/>
        <w:rPr>
          <w:sz w:val="20"/>
        </w:rPr>
      </w:pPr>
    </w:p>
    <w:p w14:paraId="3AC85352" w14:textId="77777777" w:rsidR="00FA4AA8" w:rsidRDefault="00FA4AA8">
      <w:pPr>
        <w:pStyle w:val="BodyText"/>
        <w:rPr>
          <w:sz w:val="20"/>
        </w:rPr>
      </w:pPr>
    </w:p>
    <w:p w14:paraId="323136D9" w14:textId="77777777" w:rsidR="00FA4AA8" w:rsidRDefault="00FA4AA8">
      <w:pPr>
        <w:pStyle w:val="BodyText"/>
        <w:rPr>
          <w:sz w:val="20"/>
        </w:rPr>
      </w:pPr>
    </w:p>
    <w:p w14:paraId="2511F64E" w14:textId="77777777" w:rsidR="00FA4AA8" w:rsidRDefault="00FA4AA8">
      <w:pPr>
        <w:pStyle w:val="BodyText"/>
        <w:rPr>
          <w:sz w:val="20"/>
        </w:rPr>
      </w:pPr>
    </w:p>
    <w:p w14:paraId="3D22CF26" w14:textId="77777777" w:rsidR="00FA4AA8" w:rsidRDefault="00FA4AA8">
      <w:pPr>
        <w:pStyle w:val="BodyText"/>
        <w:rPr>
          <w:sz w:val="20"/>
        </w:rPr>
      </w:pPr>
    </w:p>
    <w:p w14:paraId="7B71C336" w14:textId="77777777" w:rsidR="00FA4AA8" w:rsidRDefault="00FA4AA8">
      <w:pPr>
        <w:pStyle w:val="BodyText"/>
        <w:rPr>
          <w:sz w:val="20"/>
        </w:rPr>
      </w:pPr>
    </w:p>
    <w:p w14:paraId="565AE9B9" w14:textId="77777777" w:rsidR="00FA4AA8" w:rsidRDefault="00FA4AA8">
      <w:pPr>
        <w:pStyle w:val="BodyText"/>
        <w:rPr>
          <w:sz w:val="20"/>
        </w:rPr>
      </w:pPr>
    </w:p>
    <w:p w14:paraId="78C548D4" w14:textId="77777777" w:rsidR="00FA4AA8" w:rsidRDefault="00FA4AA8">
      <w:pPr>
        <w:pStyle w:val="BodyText"/>
        <w:rPr>
          <w:sz w:val="20"/>
        </w:rPr>
      </w:pPr>
    </w:p>
    <w:p w14:paraId="4387D910" w14:textId="77777777" w:rsidR="00FA4AA8" w:rsidRDefault="00FA4AA8">
      <w:pPr>
        <w:pStyle w:val="BodyText"/>
        <w:rPr>
          <w:sz w:val="20"/>
        </w:rPr>
      </w:pPr>
    </w:p>
    <w:p w14:paraId="4D9F11F4" w14:textId="77777777" w:rsidR="00FA4AA8" w:rsidRDefault="00FA4AA8">
      <w:pPr>
        <w:pStyle w:val="BodyText"/>
        <w:rPr>
          <w:sz w:val="20"/>
        </w:rPr>
      </w:pPr>
    </w:p>
    <w:p w14:paraId="6A80A0FE" w14:textId="77777777" w:rsidR="00FA4AA8" w:rsidRDefault="00FA4AA8">
      <w:pPr>
        <w:pStyle w:val="BodyText"/>
        <w:rPr>
          <w:sz w:val="20"/>
        </w:rPr>
      </w:pPr>
    </w:p>
    <w:p w14:paraId="63AD2AEE" w14:textId="77777777" w:rsidR="00FA4AA8" w:rsidRDefault="00FA4AA8">
      <w:pPr>
        <w:pStyle w:val="BodyText"/>
        <w:rPr>
          <w:sz w:val="20"/>
        </w:rPr>
      </w:pPr>
    </w:p>
    <w:p w14:paraId="0554D391" w14:textId="77777777" w:rsidR="00FA4AA8" w:rsidRDefault="00FA4AA8">
      <w:pPr>
        <w:pStyle w:val="BodyText"/>
        <w:rPr>
          <w:sz w:val="20"/>
        </w:rPr>
      </w:pPr>
    </w:p>
    <w:p w14:paraId="224512C2" w14:textId="77777777" w:rsidR="00FA4AA8" w:rsidRDefault="00FA4AA8">
      <w:pPr>
        <w:pStyle w:val="BodyText"/>
        <w:rPr>
          <w:sz w:val="20"/>
        </w:rPr>
      </w:pPr>
    </w:p>
    <w:p w14:paraId="4EED4EFA" w14:textId="77777777" w:rsidR="00FA4AA8" w:rsidRDefault="00FA4AA8">
      <w:pPr>
        <w:pStyle w:val="BodyText"/>
        <w:spacing w:before="8"/>
        <w:rPr>
          <w:sz w:val="24"/>
        </w:rPr>
      </w:pPr>
    </w:p>
    <w:p w14:paraId="00FBB6FF" w14:textId="77777777" w:rsidR="00FA4AA8" w:rsidRDefault="0015611F">
      <w:pPr>
        <w:pStyle w:val="Heading1"/>
        <w:spacing w:before="81"/>
        <w:ind w:right="1694"/>
      </w:pPr>
      <w:bookmarkStart w:id="216" w:name="8._Western_Growth_Developments_(Westmead"/>
      <w:bookmarkEnd w:id="216"/>
      <w:r>
        <w:t>Western Growth Developments (Westmead) Pty Ltd</w:t>
      </w:r>
    </w:p>
    <w:p w14:paraId="53A816DF" w14:textId="77777777" w:rsidR="00FA4AA8" w:rsidRDefault="0015611F">
      <w:pPr>
        <w:spacing w:before="231"/>
        <w:ind w:left="107"/>
        <w:rPr>
          <w:b/>
          <w:sz w:val="20"/>
        </w:rPr>
      </w:pPr>
      <w:r>
        <w:rPr>
          <w:b/>
          <w:sz w:val="20"/>
        </w:rPr>
        <w:t>ABN: 93 625 406 411</w:t>
      </w:r>
    </w:p>
    <w:p w14:paraId="728258BA" w14:textId="77777777" w:rsidR="00FA4AA8" w:rsidRDefault="00FA4AA8">
      <w:pPr>
        <w:pStyle w:val="BodyText"/>
        <w:spacing w:before="11"/>
        <w:rPr>
          <w:b/>
          <w:sz w:val="27"/>
        </w:rPr>
      </w:pPr>
    </w:p>
    <w:p w14:paraId="0D92DC92" w14:textId="77777777" w:rsidR="00FA4AA8" w:rsidRDefault="0015611F">
      <w:pPr>
        <w:ind w:left="107"/>
        <w:rPr>
          <w:b/>
          <w:sz w:val="28"/>
        </w:rPr>
      </w:pPr>
      <w:r>
        <w:rPr>
          <w:b/>
          <w:sz w:val="28"/>
        </w:rPr>
        <w:t>Financial Statements</w:t>
      </w:r>
    </w:p>
    <w:p w14:paraId="56249066" w14:textId="77777777" w:rsidR="00FA4AA8" w:rsidRDefault="0015611F">
      <w:pPr>
        <w:spacing w:before="230"/>
        <w:ind w:left="107"/>
        <w:rPr>
          <w:b/>
          <w:sz w:val="20"/>
        </w:rPr>
      </w:pPr>
      <w:r>
        <w:rPr>
          <w:b/>
          <w:sz w:val="20"/>
        </w:rPr>
        <w:t>For the initial period ended 31 December 2018</w:t>
      </w:r>
    </w:p>
    <w:p w14:paraId="53C47E35" w14:textId="77777777" w:rsidR="00FA4AA8" w:rsidRDefault="00FA4AA8">
      <w:pPr>
        <w:pStyle w:val="BodyText"/>
        <w:rPr>
          <w:b/>
          <w:sz w:val="22"/>
        </w:rPr>
      </w:pPr>
    </w:p>
    <w:p w14:paraId="342A9956" w14:textId="77777777" w:rsidR="00FA4AA8" w:rsidRDefault="00FA4AA8">
      <w:pPr>
        <w:pStyle w:val="BodyText"/>
        <w:rPr>
          <w:b/>
          <w:sz w:val="22"/>
        </w:rPr>
      </w:pPr>
    </w:p>
    <w:p w14:paraId="6149492A" w14:textId="77777777" w:rsidR="00FA4AA8" w:rsidRDefault="00FA4AA8">
      <w:pPr>
        <w:pStyle w:val="BodyText"/>
        <w:rPr>
          <w:b/>
          <w:sz w:val="22"/>
        </w:rPr>
      </w:pPr>
    </w:p>
    <w:p w14:paraId="5388B0B1" w14:textId="77777777" w:rsidR="00FA4AA8" w:rsidRDefault="00FA4AA8">
      <w:pPr>
        <w:pStyle w:val="BodyText"/>
        <w:rPr>
          <w:b/>
          <w:sz w:val="22"/>
        </w:rPr>
      </w:pPr>
    </w:p>
    <w:p w14:paraId="3DEF4760" w14:textId="77777777" w:rsidR="00FA4AA8" w:rsidRDefault="00FA4AA8">
      <w:pPr>
        <w:pStyle w:val="BodyText"/>
        <w:rPr>
          <w:b/>
          <w:sz w:val="22"/>
        </w:rPr>
      </w:pPr>
    </w:p>
    <w:p w14:paraId="1F91F5E2" w14:textId="77777777" w:rsidR="00FA4AA8" w:rsidRDefault="00FA4AA8">
      <w:pPr>
        <w:pStyle w:val="BodyText"/>
        <w:rPr>
          <w:b/>
          <w:sz w:val="22"/>
        </w:rPr>
      </w:pPr>
    </w:p>
    <w:p w14:paraId="3D92A7EF" w14:textId="77777777" w:rsidR="00FA4AA8" w:rsidRDefault="00FA4AA8">
      <w:pPr>
        <w:pStyle w:val="BodyText"/>
        <w:rPr>
          <w:b/>
          <w:sz w:val="22"/>
        </w:rPr>
      </w:pPr>
    </w:p>
    <w:p w14:paraId="3E414494" w14:textId="77777777" w:rsidR="00FA4AA8" w:rsidRDefault="00FA4AA8">
      <w:pPr>
        <w:pStyle w:val="BodyText"/>
        <w:spacing w:before="7"/>
        <w:rPr>
          <w:b/>
          <w:sz w:val="28"/>
        </w:rPr>
      </w:pPr>
    </w:p>
    <w:p w14:paraId="68F0C9EA" w14:textId="77777777" w:rsidR="00FA4AA8" w:rsidRDefault="0015611F">
      <w:pPr>
        <w:pStyle w:val="BodyText"/>
        <w:spacing w:before="1"/>
        <w:ind w:left="105"/>
      </w:pPr>
      <w:r>
        <w:t>These financial statements are of Western Growth Developments (Westmead) Pty Ltd as an individual entity. The financial statements are presented in the Australian currency.</w:t>
      </w:r>
    </w:p>
    <w:p w14:paraId="787F0247" w14:textId="77777777" w:rsidR="00FA4AA8" w:rsidRDefault="0015611F">
      <w:pPr>
        <w:pStyle w:val="BodyText"/>
        <w:spacing w:before="166"/>
        <w:ind w:left="105"/>
      </w:pPr>
      <w:r>
        <w:t>Western Growth Developments (Westmead) Pty Ltd (referred to hereafter as the Company) is a company limited by shares, incorporated and domiciled in Australia.</w:t>
      </w:r>
    </w:p>
    <w:p w14:paraId="3B8749B1" w14:textId="77777777" w:rsidR="00FA4AA8" w:rsidRDefault="0015611F">
      <w:pPr>
        <w:pStyle w:val="BodyText"/>
        <w:spacing w:before="167"/>
        <w:ind w:left="105"/>
      </w:pPr>
      <w:r>
        <w:t>Its principal place of business is:</w:t>
      </w:r>
    </w:p>
    <w:p w14:paraId="5022D45B" w14:textId="77777777" w:rsidR="00FA4AA8" w:rsidRDefault="0015611F">
      <w:pPr>
        <w:pStyle w:val="BodyText"/>
        <w:spacing w:before="168"/>
        <w:ind w:left="105"/>
      </w:pPr>
      <w:r>
        <w:t>Hawkesbury Rd, Westmead NSW 2155</w:t>
      </w:r>
    </w:p>
    <w:p w14:paraId="633984B8" w14:textId="77777777" w:rsidR="00FA4AA8" w:rsidRDefault="00FA4AA8">
      <w:pPr>
        <w:pStyle w:val="BodyText"/>
        <w:rPr>
          <w:sz w:val="20"/>
        </w:rPr>
      </w:pPr>
    </w:p>
    <w:p w14:paraId="30A562A2" w14:textId="77777777" w:rsidR="00FA4AA8" w:rsidRDefault="0015611F">
      <w:pPr>
        <w:pStyle w:val="BodyText"/>
        <w:spacing w:before="144"/>
        <w:ind w:left="105"/>
      </w:pPr>
      <w:r>
        <w:t>Its registered office is:</w:t>
      </w:r>
    </w:p>
    <w:p w14:paraId="53C5A7E2" w14:textId="77777777" w:rsidR="00FA4AA8" w:rsidRDefault="0015611F">
      <w:pPr>
        <w:pStyle w:val="BodyText"/>
        <w:spacing w:before="167"/>
        <w:ind w:left="105" w:right="7323"/>
      </w:pPr>
      <w:r>
        <w:t>Western Sydney University Building R1 Hawkesbury Campus</w:t>
      </w:r>
    </w:p>
    <w:p w14:paraId="60C66A6F" w14:textId="77777777" w:rsidR="00FA4AA8" w:rsidRDefault="0015611F">
      <w:pPr>
        <w:pStyle w:val="BodyText"/>
        <w:spacing w:line="206" w:lineRule="exact"/>
        <w:ind w:left="105"/>
      </w:pPr>
      <w:r>
        <w:t>Londonderry Road, Richmond NSW 2753</w:t>
      </w:r>
    </w:p>
    <w:p w14:paraId="36EDFC4A" w14:textId="77777777" w:rsidR="00FA4AA8" w:rsidRDefault="00FA4AA8">
      <w:pPr>
        <w:pStyle w:val="BodyText"/>
        <w:rPr>
          <w:sz w:val="20"/>
        </w:rPr>
      </w:pPr>
    </w:p>
    <w:p w14:paraId="62F48629" w14:textId="77777777" w:rsidR="00FA4AA8" w:rsidRDefault="00FA4AA8">
      <w:pPr>
        <w:pStyle w:val="BodyText"/>
        <w:rPr>
          <w:sz w:val="28"/>
        </w:rPr>
      </w:pPr>
    </w:p>
    <w:p w14:paraId="59CBC695" w14:textId="77777777" w:rsidR="00FA4AA8" w:rsidRDefault="0015611F">
      <w:pPr>
        <w:pStyle w:val="BodyText"/>
        <w:spacing w:line="225" w:lineRule="auto"/>
        <w:ind w:left="105" w:right="461"/>
      </w:pPr>
      <w:r>
        <w:t>A description of the nature of the Company's operations and its principal activities are included in the directors' report on pages 208 - 209, which is not part of these financial statements.</w:t>
      </w:r>
    </w:p>
    <w:p w14:paraId="798E2D59" w14:textId="77777777" w:rsidR="00FA4AA8" w:rsidRDefault="00FA4AA8">
      <w:pPr>
        <w:pStyle w:val="BodyText"/>
        <w:spacing w:before="9"/>
        <w:rPr>
          <w:sz w:val="15"/>
        </w:rPr>
      </w:pPr>
    </w:p>
    <w:p w14:paraId="5E6EACC3" w14:textId="77777777" w:rsidR="00FA4AA8" w:rsidRDefault="0015611F">
      <w:pPr>
        <w:pStyle w:val="BodyText"/>
        <w:ind w:left="105" w:right="461"/>
      </w:pPr>
      <w:r>
        <w:t>The financial statements were authorised for issue by the directors on 10 April 2019. The directors have the power to amend and reissue financial statements.</w:t>
      </w:r>
    </w:p>
    <w:p w14:paraId="56E69160" w14:textId="77777777" w:rsidR="00FA4AA8" w:rsidRDefault="00FA4AA8">
      <w:pPr>
        <w:sectPr w:rsidR="00FA4AA8">
          <w:headerReference w:type="default" r:id="rId228"/>
          <w:footerReference w:type="default" r:id="rId229"/>
          <w:pgSz w:w="11910" w:h="16840"/>
          <w:pgMar w:top="1580" w:right="880" w:bottom="720" w:left="900" w:header="0" w:footer="523" w:gutter="0"/>
          <w:pgNumType w:start="207"/>
          <w:cols w:space="720"/>
        </w:sectPr>
      </w:pPr>
    </w:p>
    <w:p w14:paraId="6663F63A" w14:textId="77777777" w:rsidR="00FA4AA8" w:rsidRDefault="00FA4AA8">
      <w:pPr>
        <w:pStyle w:val="BodyText"/>
        <w:spacing w:before="6"/>
        <w:rPr>
          <w:sz w:val="21"/>
        </w:rPr>
      </w:pPr>
    </w:p>
    <w:p w14:paraId="23E9ED8F" w14:textId="77777777" w:rsidR="00FA4AA8" w:rsidRDefault="0015611F">
      <w:pPr>
        <w:spacing w:before="91"/>
        <w:ind w:left="107"/>
        <w:rPr>
          <w:b/>
          <w:sz w:val="28"/>
        </w:rPr>
      </w:pPr>
      <w:r>
        <w:rPr>
          <w:b/>
          <w:sz w:val="28"/>
        </w:rPr>
        <w:t>Directors' Report</w:t>
      </w:r>
    </w:p>
    <w:p w14:paraId="604B3C4C" w14:textId="77777777" w:rsidR="00FA4AA8" w:rsidRDefault="0015611F">
      <w:pPr>
        <w:pStyle w:val="Heading6"/>
        <w:ind w:left="107"/>
      </w:pPr>
      <w:r>
        <w:t>31 December 2018</w:t>
      </w:r>
    </w:p>
    <w:p w14:paraId="41551609" w14:textId="77777777" w:rsidR="00FA4AA8" w:rsidRDefault="00FA4AA8">
      <w:pPr>
        <w:pStyle w:val="BodyText"/>
        <w:rPr>
          <w:b/>
          <w:sz w:val="24"/>
        </w:rPr>
      </w:pPr>
    </w:p>
    <w:p w14:paraId="783B3CB8" w14:textId="77777777" w:rsidR="00FA4AA8" w:rsidRDefault="00FA4AA8">
      <w:pPr>
        <w:pStyle w:val="BodyText"/>
        <w:spacing w:before="9"/>
        <w:rPr>
          <w:b/>
          <w:sz w:val="27"/>
        </w:rPr>
      </w:pPr>
    </w:p>
    <w:p w14:paraId="13955CCD" w14:textId="77777777" w:rsidR="00FA4AA8" w:rsidRDefault="0015611F">
      <w:pPr>
        <w:pStyle w:val="BodyText"/>
        <w:ind w:left="107" w:right="461"/>
      </w:pPr>
      <w:r>
        <w:t>The directors present their report on Western Growth Developments (Westmead) Pty Ltd for the financial period from 5 April to 31 December 2018.</w:t>
      </w:r>
    </w:p>
    <w:p w14:paraId="6415E4FC" w14:textId="77777777" w:rsidR="00FA4AA8" w:rsidRDefault="00FA4AA8">
      <w:pPr>
        <w:pStyle w:val="BodyText"/>
        <w:spacing w:before="11"/>
        <w:rPr>
          <w:sz w:val="24"/>
        </w:rPr>
      </w:pPr>
    </w:p>
    <w:p w14:paraId="36FE8073" w14:textId="77777777" w:rsidR="00FA4AA8" w:rsidRDefault="0015611F">
      <w:pPr>
        <w:numPr>
          <w:ilvl w:val="0"/>
          <w:numId w:val="32"/>
        </w:numPr>
        <w:tabs>
          <w:tab w:val="left" w:pos="501"/>
          <w:tab w:val="left" w:pos="502"/>
        </w:tabs>
        <w:spacing w:line="595" w:lineRule="auto"/>
        <w:ind w:left="107" w:right="7907" w:firstLine="0"/>
        <w:rPr>
          <w:b/>
          <w:sz w:val="18"/>
        </w:rPr>
      </w:pPr>
      <w:r>
        <w:rPr>
          <w:b/>
          <w:sz w:val="18"/>
        </w:rPr>
        <w:t>General information Directors</w:t>
      </w:r>
    </w:p>
    <w:p w14:paraId="5C927AA4" w14:textId="77777777" w:rsidR="00FA4AA8" w:rsidRDefault="0015611F">
      <w:pPr>
        <w:pStyle w:val="BodyText"/>
        <w:spacing w:line="193" w:lineRule="exact"/>
        <w:ind w:left="163"/>
      </w:pPr>
      <w:r>
        <w:t>The names of the directors during the period 5 April 2018 to 31 December 2018 and up to the date of this report are:</w:t>
      </w:r>
    </w:p>
    <w:p w14:paraId="7A77CEA0" w14:textId="77777777" w:rsidR="00FA4AA8" w:rsidRDefault="00FA4AA8">
      <w:pPr>
        <w:pStyle w:val="BodyText"/>
        <w:spacing w:before="7"/>
        <w:rPr>
          <w:sz w:val="25"/>
        </w:rPr>
      </w:pPr>
    </w:p>
    <w:p w14:paraId="613EC34A" w14:textId="77777777" w:rsidR="00FA4AA8" w:rsidRDefault="0015611F">
      <w:pPr>
        <w:pStyle w:val="BodyText"/>
        <w:tabs>
          <w:tab w:val="left" w:pos="3249"/>
        </w:tabs>
        <w:ind w:left="151"/>
      </w:pPr>
      <w:r>
        <w:rPr>
          <w:spacing w:val="-3"/>
        </w:rPr>
        <w:t xml:space="preserve">Mr </w:t>
      </w:r>
      <w:r>
        <w:t>Peter</w:t>
      </w:r>
      <w:r>
        <w:rPr>
          <w:spacing w:val="5"/>
        </w:rPr>
        <w:t xml:space="preserve"> </w:t>
      </w:r>
      <w:r>
        <w:t>Pickering (Chair)</w:t>
      </w:r>
      <w:r>
        <w:tab/>
        <w:t>Appointed 5 April</w:t>
      </w:r>
      <w:r>
        <w:rPr>
          <w:spacing w:val="-3"/>
        </w:rPr>
        <w:t xml:space="preserve"> </w:t>
      </w:r>
      <w:r>
        <w:t>2018</w:t>
      </w:r>
    </w:p>
    <w:p w14:paraId="3FD6CEC4" w14:textId="77777777" w:rsidR="00FA4AA8" w:rsidRDefault="0015611F">
      <w:pPr>
        <w:pStyle w:val="BodyText"/>
        <w:tabs>
          <w:tab w:val="left" w:pos="3249"/>
        </w:tabs>
        <w:spacing w:before="57"/>
        <w:ind w:left="151"/>
      </w:pPr>
      <w:r>
        <w:t>Professor Barney</w:t>
      </w:r>
      <w:r>
        <w:rPr>
          <w:spacing w:val="-2"/>
        </w:rPr>
        <w:t xml:space="preserve"> </w:t>
      </w:r>
      <w:r>
        <w:t>Glover</w:t>
      </w:r>
      <w:r>
        <w:tab/>
        <w:t>Appointed 5 April</w:t>
      </w:r>
      <w:r>
        <w:rPr>
          <w:spacing w:val="-3"/>
        </w:rPr>
        <w:t xml:space="preserve"> </w:t>
      </w:r>
      <w:r>
        <w:t>2018</w:t>
      </w:r>
    </w:p>
    <w:p w14:paraId="2EC709B9" w14:textId="77777777" w:rsidR="00FA4AA8" w:rsidRDefault="00FA4AA8">
      <w:pPr>
        <w:pStyle w:val="BodyText"/>
        <w:spacing w:before="11"/>
        <w:rPr>
          <w:sz w:val="28"/>
        </w:rPr>
      </w:pPr>
    </w:p>
    <w:p w14:paraId="24CCD3DA" w14:textId="77777777" w:rsidR="00FA4AA8" w:rsidRDefault="0015611F">
      <w:pPr>
        <w:ind w:left="107"/>
        <w:rPr>
          <w:b/>
          <w:sz w:val="18"/>
        </w:rPr>
      </w:pPr>
      <w:r>
        <w:rPr>
          <w:b/>
          <w:sz w:val="18"/>
        </w:rPr>
        <w:t>Company secretary</w:t>
      </w:r>
    </w:p>
    <w:p w14:paraId="60E81D46" w14:textId="77777777" w:rsidR="00FA4AA8" w:rsidRDefault="00FA4AA8">
      <w:pPr>
        <w:pStyle w:val="BodyText"/>
        <w:spacing w:before="5"/>
        <w:rPr>
          <w:b/>
          <w:sz w:val="25"/>
        </w:rPr>
      </w:pPr>
    </w:p>
    <w:p w14:paraId="43B7E06B" w14:textId="77777777" w:rsidR="00FA4AA8" w:rsidRDefault="0015611F">
      <w:pPr>
        <w:pStyle w:val="BodyText"/>
        <w:ind w:left="163" w:right="461"/>
      </w:pPr>
      <w:r>
        <w:t>Ms Helen Fleming held the position of Company Secretary for the financial period from 25 April 2018 to the date of this report.</w:t>
      </w:r>
    </w:p>
    <w:p w14:paraId="0029487C" w14:textId="77777777" w:rsidR="00FA4AA8" w:rsidRDefault="00FA4AA8">
      <w:pPr>
        <w:pStyle w:val="BodyText"/>
        <w:spacing w:before="7"/>
        <w:rPr>
          <w:sz w:val="26"/>
        </w:rPr>
      </w:pPr>
    </w:p>
    <w:p w14:paraId="4ACE67D5" w14:textId="77777777" w:rsidR="00FA4AA8" w:rsidRDefault="0015611F">
      <w:pPr>
        <w:ind w:left="107"/>
        <w:rPr>
          <w:b/>
          <w:sz w:val="18"/>
        </w:rPr>
      </w:pPr>
      <w:r>
        <w:rPr>
          <w:b/>
          <w:sz w:val="18"/>
        </w:rPr>
        <w:t>Principal activities</w:t>
      </w:r>
    </w:p>
    <w:p w14:paraId="6B72255A" w14:textId="77777777" w:rsidR="00FA4AA8" w:rsidRDefault="00FA4AA8">
      <w:pPr>
        <w:pStyle w:val="BodyText"/>
        <w:spacing w:before="4"/>
        <w:rPr>
          <w:b/>
          <w:sz w:val="25"/>
        </w:rPr>
      </w:pPr>
    </w:p>
    <w:p w14:paraId="150FE728" w14:textId="77777777" w:rsidR="00FA4AA8" w:rsidRDefault="0015611F">
      <w:pPr>
        <w:pStyle w:val="BodyText"/>
        <w:spacing w:before="1"/>
        <w:ind w:left="163" w:right="221"/>
      </w:pPr>
      <w:r>
        <w:t>Western Growth Developments (Westmead) Pty Ltd was incorporated on 5 April 2018 to pursue its charitable purpose of promoting scholarship, research, free inquiry, the interaction of research and teaching, and academic excellence, beginning in Greater Western Sydney.</w:t>
      </w:r>
    </w:p>
    <w:p w14:paraId="1E23ADF1" w14:textId="77777777" w:rsidR="00FA4AA8" w:rsidRDefault="00FA4AA8">
      <w:pPr>
        <w:pStyle w:val="BodyText"/>
        <w:spacing w:before="10"/>
        <w:rPr>
          <w:sz w:val="24"/>
        </w:rPr>
      </w:pPr>
    </w:p>
    <w:p w14:paraId="59D4CA2B" w14:textId="77777777" w:rsidR="00FA4AA8" w:rsidRDefault="0015611F">
      <w:pPr>
        <w:pStyle w:val="BodyText"/>
        <w:ind w:left="163"/>
      </w:pPr>
      <w:r>
        <w:t>The principal activities of the Company for the promotion of its object are:</w:t>
      </w:r>
    </w:p>
    <w:p w14:paraId="535CC8BC" w14:textId="77777777" w:rsidR="00FA4AA8" w:rsidRDefault="00FA4AA8">
      <w:pPr>
        <w:pStyle w:val="BodyText"/>
        <w:rPr>
          <w:sz w:val="25"/>
        </w:rPr>
      </w:pPr>
    </w:p>
    <w:p w14:paraId="298DAA77" w14:textId="77777777" w:rsidR="00FA4AA8" w:rsidRDefault="0015611F">
      <w:pPr>
        <w:pStyle w:val="ListParagraph"/>
        <w:numPr>
          <w:ilvl w:val="0"/>
          <w:numId w:val="31"/>
        </w:numPr>
        <w:tabs>
          <w:tab w:val="left" w:pos="375"/>
        </w:tabs>
        <w:rPr>
          <w:sz w:val="18"/>
        </w:rPr>
      </w:pPr>
      <w:r>
        <w:rPr>
          <w:sz w:val="18"/>
        </w:rPr>
        <w:t>act as a co-developer in respect of the Westmead</w:t>
      </w:r>
      <w:r>
        <w:rPr>
          <w:spacing w:val="2"/>
          <w:sz w:val="18"/>
        </w:rPr>
        <w:t xml:space="preserve"> </w:t>
      </w:r>
      <w:r>
        <w:rPr>
          <w:sz w:val="18"/>
        </w:rPr>
        <w:t>Project;</w:t>
      </w:r>
    </w:p>
    <w:p w14:paraId="3AD16CB9" w14:textId="77777777" w:rsidR="00FA4AA8" w:rsidRDefault="00FA4AA8">
      <w:pPr>
        <w:pStyle w:val="BodyText"/>
        <w:rPr>
          <w:sz w:val="25"/>
        </w:rPr>
      </w:pPr>
    </w:p>
    <w:p w14:paraId="0F44D8B7" w14:textId="77777777" w:rsidR="00FA4AA8" w:rsidRDefault="0015611F">
      <w:pPr>
        <w:pStyle w:val="ListParagraph"/>
        <w:numPr>
          <w:ilvl w:val="0"/>
          <w:numId w:val="31"/>
        </w:numPr>
        <w:tabs>
          <w:tab w:val="left" w:pos="375"/>
        </w:tabs>
        <w:rPr>
          <w:sz w:val="18"/>
        </w:rPr>
      </w:pPr>
      <w:r>
        <w:rPr>
          <w:sz w:val="18"/>
        </w:rPr>
        <w:t>use and operate its interest in the completed Westmead Project to generate rental</w:t>
      </w:r>
      <w:r>
        <w:rPr>
          <w:spacing w:val="13"/>
          <w:sz w:val="18"/>
        </w:rPr>
        <w:t xml:space="preserve"> </w:t>
      </w:r>
      <w:r>
        <w:rPr>
          <w:sz w:val="18"/>
        </w:rPr>
        <w:t>income;</w:t>
      </w:r>
    </w:p>
    <w:p w14:paraId="5F3AA059" w14:textId="77777777" w:rsidR="00FA4AA8" w:rsidRDefault="00FA4AA8">
      <w:pPr>
        <w:pStyle w:val="BodyText"/>
        <w:rPr>
          <w:sz w:val="25"/>
        </w:rPr>
      </w:pPr>
    </w:p>
    <w:p w14:paraId="67265530" w14:textId="77777777" w:rsidR="00FA4AA8" w:rsidRDefault="0015611F">
      <w:pPr>
        <w:pStyle w:val="ListParagraph"/>
        <w:numPr>
          <w:ilvl w:val="0"/>
          <w:numId w:val="31"/>
        </w:numPr>
        <w:tabs>
          <w:tab w:val="left" w:pos="365"/>
        </w:tabs>
        <w:ind w:left="333" w:right="402" w:hanging="171"/>
        <w:rPr>
          <w:sz w:val="18"/>
        </w:rPr>
      </w:pPr>
      <w:r>
        <w:rPr>
          <w:sz w:val="18"/>
        </w:rPr>
        <w:t>undertake other development activities in Greater Western Sydney in the furtherance of Western Sydney University's strategic plan for its campuses for future sustainability and</w:t>
      </w:r>
      <w:r>
        <w:rPr>
          <w:spacing w:val="3"/>
          <w:sz w:val="18"/>
        </w:rPr>
        <w:t xml:space="preserve"> </w:t>
      </w:r>
      <w:r>
        <w:rPr>
          <w:sz w:val="18"/>
        </w:rPr>
        <w:t>growth.</w:t>
      </w:r>
    </w:p>
    <w:p w14:paraId="449F10FE" w14:textId="77777777" w:rsidR="00FA4AA8" w:rsidRDefault="00FA4AA8">
      <w:pPr>
        <w:pStyle w:val="BodyText"/>
        <w:spacing w:before="10"/>
        <w:rPr>
          <w:sz w:val="24"/>
        </w:rPr>
      </w:pPr>
    </w:p>
    <w:p w14:paraId="255BB219" w14:textId="77777777" w:rsidR="00FA4AA8" w:rsidRDefault="0015611F">
      <w:pPr>
        <w:numPr>
          <w:ilvl w:val="0"/>
          <w:numId w:val="32"/>
        </w:numPr>
        <w:tabs>
          <w:tab w:val="left" w:pos="501"/>
          <w:tab w:val="left" w:pos="502"/>
        </w:tabs>
        <w:spacing w:before="1"/>
        <w:ind w:left="501" w:hanging="395"/>
        <w:rPr>
          <w:b/>
          <w:sz w:val="18"/>
        </w:rPr>
      </w:pPr>
      <w:r>
        <w:rPr>
          <w:b/>
          <w:sz w:val="18"/>
        </w:rPr>
        <w:t>Other</w:t>
      </w:r>
      <w:r>
        <w:rPr>
          <w:b/>
          <w:spacing w:val="-1"/>
          <w:sz w:val="18"/>
        </w:rPr>
        <w:t xml:space="preserve"> </w:t>
      </w:r>
      <w:r>
        <w:rPr>
          <w:b/>
          <w:sz w:val="18"/>
        </w:rPr>
        <w:t>items</w:t>
      </w:r>
    </w:p>
    <w:p w14:paraId="49CC2A0B" w14:textId="77777777" w:rsidR="00FA4AA8" w:rsidRDefault="00FA4AA8">
      <w:pPr>
        <w:pStyle w:val="BodyText"/>
        <w:spacing w:before="7"/>
        <w:rPr>
          <w:b/>
          <w:sz w:val="26"/>
        </w:rPr>
      </w:pPr>
    </w:p>
    <w:p w14:paraId="3875D458" w14:textId="77777777" w:rsidR="00FA4AA8" w:rsidRDefault="0015611F">
      <w:pPr>
        <w:ind w:left="107"/>
        <w:rPr>
          <w:b/>
          <w:sz w:val="18"/>
        </w:rPr>
      </w:pPr>
      <w:r>
        <w:rPr>
          <w:b/>
          <w:sz w:val="18"/>
        </w:rPr>
        <w:t>Significant changes in state of affairs</w:t>
      </w:r>
    </w:p>
    <w:p w14:paraId="1B600079" w14:textId="77777777" w:rsidR="00FA4AA8" w:rsidRDefault="00FA4AA8">
      <w:pPr>
        <w:pStyle w:val="BodyText"/>
        <w:spacing w:before="5"/>
        <w:rPr>
          <w:b/>
          <w:sz w:val="25"/>
        </w:rPr>
      </w:pPr>
    </w:p>
    <w:p w14:paraId="4CFEE6E4" w14:textId="77777777" w:rsidR="00FA4AA8" w:rsidRDefault="0015611F">
      <w:pPr>
        <w:pStyle w:val="BodyText"/>
        <w:ind w:left="163"/>
      </w:pPr>
      <w:r>
        <w:t>No significant changes in the nature of the Company's activity occurred during the financial period from 5 April 2018 to 31 December 2018.</w:t>
      </w:r>
    </w:p>
    <w:p w14:paraId="69EC96DC" w14:textId="77777777" w:rsidR="00FA4AA8" w:rsidRDefault="00FA4AA8">
      <w:pPr>
        <w:pStyle w:val="BodyText"/>
        <w:spacing w:before="7"/>
        <w:rPr>
          <w:sz w:val="26"/>
        </w:rPr>
      </w:pPr>
    </w:p>
    <w:p w14:paraId="3464748D" w14:textId="77777777" w:rsidR="00FA4AA8" w:rsidRDefault="0015611F">
      <w:pPr>
        <w:ind w:left="107"/>
        <w:rPr>
          <w:b/>
          <w:sz w:val="18"/>
        </w:rPr>
      </w:pPr>
      <w:r>
        <w:rPr>
          <w:b/>
          <w:sz w:val="18"/>
        </w:rPr>
        <w:t>Events after the reporting date</w:t>
      </w:r>
    </w:p>
    <w:p w14:paraId="0CD81E04" w14:textId="77777777" w:rsidR="00FA4AA8" w:rsidRDefault="00FA4AA8">
      <w:pPr>
        <w:pStyle w:val="BodyText"/>
        <w:spacing w:before="5"/>
        <w:rPr>
          <w:b/>
          <w:sz w:val="25"/>
        </w:rPr>
      </w:pPr>
    </w:p>
    <w:p w14:paraId="5A043C4B" w14:textId="77777777" w:rsidR="00FA4AA8" w:rsidRDefault="0015611F">
      <w:pPr>
        <w:pStyle w:val="BodyText"/>
        <w:ind w:left="163" w:right="131"/>
      </w:pPr>
      <w:r>
        <w:t>No matters or circumstances have arisen since the end of the financial year which significantly affected or may significantly affect the operations of the Company, the results of those operations or the state of affairs of the Company in future financial</w:t>
      </w:r>
      <w:r>
        <w:rPr>
          <w:spacing w:val="1"/>
        </w:rPr>
        <w:t xml:space="preserve"> </w:t>
      </w:r>
      <w:r>
        <w:t>years.</w:t>
      </w:r>
    </w:p>
    <w:p w14:paraId="6F89F5F7" w14:textId="77777777" w:rsidR="00FA4AA8" w:rsidRDefault="00FA4AA8">
      <w:pPr>
        <w:pStyle w:val="BodyText"/>
        <w:spacing w:before="6"/>
        <w:rPr>
          <w:sz w:val="26"/>
        </w:rPr>
      </w:pPr>
    </w:p>
    <w:p w14:paraId="1AADF414" w14:textId="77777777" w:rsidR="00FA4AA8" w:rsidRDefault="0015611F">
      <w:pPr>
        <w:ind w:left="107"/>
        <w:rPr>
          <w:b/>
          <w:sz w:val="18"/>
        </w:rPr>
      </w:pPr>
      <w:r>
        <w:rPr>
          <w:b/>
          <w:sz w:val="18"/>
        </w:rPr>
        <w:t>Future developments and results</w:t>
      </w:r>
    </w:p>
    <w:p w14:paraId="1E7953BF" w14:textId="77777777" w:rsidR="00FA4AA8" w:rsidRDefault="00FA4AA8">
      <w:pPr>
        <w:pStyle w:val="BodyText"/>
        <w:spacing w:before="5"/>
        <w:rPr>
          <w:b/>
          <w:sz w:val="25"/>
        </w:rPr>
      </w:pPr>
    </w:p>
    <w:p w14:paraId="2F8E8DDF" w14:textId="77777777" w:rsidR="00FA4AA8" w:rsidRDefault="0015611F">
      <w:pPr>
        <w:pStyle w:val="BodyText"/>
        <w:ind w:left="163"/>
      </w:pPr>
      <w:r>
        <w:t>Future developments are not expected to significantly affect the future operations of the Company.</w:t>
      </w:r>
    </w:p>
    <w:p w14:paraId="0AE5626E" w14:textId="77777777" w:rsidR="00FA4AA8" w:rsidRDefault="00FA4AA8">
      <w:pPr>
        <w:sectPr w:rsidR="00FA4AA8">
          <w:headerReference w:type="default" r:id="rId230"/>
          <w:footerReference w:type="default" r:id="rId231"/>
          <w:pgSz w:w="11910" w:h="16840"/>
          <w:pgMar w:top="1580" w:right="880" w:bottom="700" w:left="900" w:header="1015" w:footer="502" w:gutter="0"/>
          <w:pgNumType w:start="208"/>
          <w:cols w:space="720"/>
        </w:sectPr>
      </w:pPr>
    </w:p>
    <w:p w14:paraId="1CFDD534" w14:textId="77777777" w:rsidR="00FA4AA8" w:rsidRDefault="00FA4AA8">
      <w:pPr>
        <w:pStyle w:val="BodyText"/>
        <w:spacing w:before="6"/>
        <w:rPr>
          <w:sz w:val="21"/>
        </w:rPr>
      </w:pPr>
    </w:p>
    <w:p w14:paraId="50E8EB0E" w14:textId="77777777" w:rsidR="00FA4AA8" w:rsidRDefault="0015611F">
      <w:pPr>
        <w:spacing w:before="91"/>
        <w:ind w:left="132"/>
        <w:rPr>
          <w:b/>
          <w:sz w:val="28"/>
        </w:rPr>
      </w:pPr>
      <w:r>
        <w:rPr>
          <w:b/>
          <w:color w:val="231F20"/>
          <w:sz w:val="28"/>
        </w:rPr>
        <w:t>Directors' Report</w:t>
      </w:r>
    </w:p>
    <w:p w14:paraId="128E56A6" w14:textId="77777777" w:rsidR="00FA4AA8" w:rsidRDefault="0015611F">
      <w:pPr>
        <w:spacing w:before="54"/>
        <w:ind w:left="132"/>
        <w:rPr>
          <w:b/>
        </w:rPr>
      </w:pPr>
      <w:r>
        <w:rPr>
          <w:b/>
          <w:color w:val="231F20"/>
        </w:rPr>
        <w:t>31 December 2018</w:t>
      </w:r>
    </w:p>
    <w:p w14:paraId="799EDA9E" w14:textId="77777777" w:rsidR="00FA4AA8" w:rsidRDefault="00FA4AA8">
      <w:pPr>
        <w:pStyle w:val="BodyText"/>
        <w:spacing w:before="1"/>
        <w:rPr>
          <w:b/>
          <w:sz w:val="25"/>
        </w:rPr>
      </w:pPr>
    </w:p>
    <w:p w14:paraId="5E35E811" w14:textId="77777777" w:rsidR="00FA4AA8" w:rsidRDefault="0015611F">
      <w:pPr>
        <w:tabs>
          <w:tab w:val="left" w:pos="529"/>
        </w:tabs>
        <w:ind w:left="132"/>
        <w:rPr>
          <w:b/>
          <w:sz w:val="18"/>
        </w:rPr>
      </w:pPr>
      <w:r>
        <w:rPr>
          <w:b/>
          <w:color w:val="231F20"/>
          <w:sz w:val="18"/>
        </w:rPr>
        <w:t>2.</w:t>
      </w:r>
      <w:r>
        <w:rPr>
          <w:b/>
          <w:color w:val="231F20"/>
          <w:sz w:val="18"/>
        </w:rPr>
        <w:tab/>
        <w:t>Other items</w:t>
      </w:r>
    </w:p>
    <w:p w14:paraId="5514BA01" w14:textId="77777777" w:rsidR="00FA4AA8" w:rsidRDefault="00FA4AA8">
      <w:pPr>
        <w:pStyle w:val="BodyText"/>
        <w:spacing w:before="7"/>
        <w:rPr>
          <w:b/>
          <w:sz w:val="26"/>
        </w:rPr>
      </w:pPr>
    </w:p>
    <w:p w14:paraId="17308C70" w14:textId="77777777" w:rsidR="00FA4AA8" w:rsidRDefault="0015611F">
      <w:pPr>
        <w:ind w:left="132"/>
        <w:rPr>
          <w:b/>
          <w:sz w:val="18"/>
        </w:rPr>
      </w:pPr>
      <w:r>
        <w:rPr>
          <w:b/>
          <w:color w:val="231F20"/>
          <w:sz w:val="18"/>
        </w:rPr>
        <w:t>Environmental issues</w:t>
      </w:r>
    </w:p>
    <w:p w14:paraId="3C885085" w14:textId="77777777" w:rsidR="00FA4AA8" w:rsidRDefault="00FA4AA8">
      <w:pPr>
        <w:pStyle w:val="BodyText"/>
        <w:spacing w:before="5"/>
        <w:rPr>
          <w:b/>
          <w:sz w:val="25"/>
        </w:rPr>
      </w:pPr>
    </w:p>
    <w:p w14:paraId="5485E21F" w14:textId="77777777" w:rsidR="00FA4AA8" w:rsidRDefault="0015611F">
      <w:pPr>
        <w:pStyle w:val="BodyText"/>
        <w:ind w:left="188"/>
      </w:pPr>
      <w:r>
        <w:rPr>
          <w:color w:val="231F20"/>
        </w:rPr>
        <w:t>The Company is subject to environmental regulations in respect of its land and building development activities.</w:t>
      </w:r>
    </w:p>
    <w:p w14:paraId="2F409701" w14:textId="77777777" w:rsidR="00FA4AA8" w:rsidRDefault="00FA4AA8">
      <w:pPr>
        <w:pStyle w:val="BodyText"/>
        <w:spacing w:before="8"/>
        <w:rPr>
          <w:sz w:val="26"/>
        </w:rPr>
      </w:pPr>
    </w:p>
    <w:p w14:paraId="5BEDCFBD" w14:textId="77777777" w:rsidR="00FA4AA8" w:rsidRDefault="0015611F">
      <w:pPr>
        <w:ind w:left="132"/>
        <w:rPr>
          <w:b/>
          <w:sz w:val="18"/>
        </w:rPr>
      </w:pPr>
      <w:r>
        <w:rPr>
          <w:b/>
          <w:color w:val="231F20"/>
          <w:sz w:val="18"/>
        </w:rPr>
        <w:t>Meetings of directors</w:t>
      </w:r>
    </w:p>
    <w:p w14:paraId="4D475F59" w14:textId="77777777" w:rsidR="00FA4AA8" w:rsidRDefault="00FA4AA8">
      <w:pPr>
        <w:pStyle w:val="BodyText"/>
        <w:spacing w:before="4"/>
        <w:rPr>
          <w:b/>
          <w:sz w:val="25"/>
        </w:rPr>
      </w:pPr>
    </w:p>
    <w:p w14:paraId="4621C36E" w14:textId="77777777" w:rsidR="00FA4AA8" w:rsidRDefault="0015611F">
      <w:pPr>
        <w:pStyle w:val="BodyText"/>
        <w:spacing w:before="1"/>
        <w:ind w:left="188"/>
      </w:pPr>
      <w:r>
        <w:rPr>
          <w:color w:val="231F20"/>
        </w:rPr>
        <w:t>During the financial period, there was one meeting of directors held on 25 June 2018.</w:t>
      </w:r>
    </w:p>
    <w:p w14:paraId="18533498" w14:textId="77777777" w:rsidR="00FA4AA8" w:rsidRDefault="00FA4AA8">
      <w:pPr>
        <w:pStyle w:val="BodyText"/>
        <w:rPr>
          <w:sz w:val="20"/>
        </w:rPr>
      </w:pPr>
    </w:p>
    <w:p w14:paraId="4B1578B2" w14:textId="77777777" w:rsidR="00FA4AA8" w:rsidRDefault="00FA4AA8">
      <w:pPr>
        <w:pStyle w:val="BodyText"/>
        <w:spacing w:before="5"/>
        <w:rPr>
          <w:sz w:val="26"/>
        </w:rPr>
      </w:pPr>
    </w:p>
    <w:p w14:paraId="11C41777" w14:textId="77777777" w:rsidR="00FA4AA8" w:rsidRDefault="0015611F">
      <w:pPr>
        <w:ind w:left="183"/>
        <w:rPr>
          <w:b/>
          <w:sz w:val="18"/>
        </w:rPr>
      </w:pPr>
      <w:r>
        <w:rPr>
          <w:b/>
          <w:color w:val="231F20"/>
          <w:sz w:val="18"/>
        </w:rPr>
        <w:t>Insurance</w:t>
      </w:r>
    </w:p>
    <w:p w14:paraId="2AC4D8B2" w14:textId="77777777" w:rsidR="00FA4AA8" w:rsidRDefault="0015611F">
      <w:pPr>
        <w:pStyle w:val="BodyText"/>
        <w:spacing w:before="144" w:line="405" w:lineRule="auto"/>
        <w:ind w:left="188"/>
      </w:pPr>
      <w:r>
        <w:rPr>
          <w:color w:val="231F20"/>
        </w:rPr>
        <w:t>The Company is insured externally and in line with the parent entity's policies for all significant areas of risk exposure and accordingly, is not a self-insurer and makes no provision in its financial statements for internal coverage.</w:t>
      </w:r>
    </w:p>
    <w:p w14:paraId="5CB9DB6F" w14:textId="77777777" w:rsidR="00FA4AA8" w:rsidRDefault="0015611F">
      <w:pPr>
        <w:spacing w:before="164"/>
        <w:ind w:left="133"/>
        <w:rPr>
          <w:b/>
          <w:sz w:val="18"/>
        </w:rPr>
      </w:pPr>
      <w:r>
        <w:rPr>
          <w:b/>
          <w:color w:val="231F20"/>
          <w:sz w:val="18"/>
        </w:rPr>
        <w:t>Auditor's independence declaration</w:t>
      </w:r>
    </w:p>
    <w:p w14:paraId="6124290F" w14:textId="77777777" w:rsidR="00FA4AA8" w:rsidRDefault="00FA4AA8">
      <w:pPr>
        <w:pStyle w:val="BodyText"/>
        <w:spacing w:before="5"/>
        <w:rPr>
          <w:b/>
          <w:sz w:val="25"/>
        </w:rPr>
      </w:pPr>
    </w:p>
    <w:p w14:paraId="43480854" w14:textId="77777777" w:rsidR="00FA4AA8" w:rsidRDefault="0015611F">
      <w:pPr>
        <w:pStyle w:val="BodyText"/>
        <w:ind w:left="188" w:right="179"/>
      </w:pPr>
      <w:r>
        <w:rPr>
          <w:noProof/>
          <w:lang w:val="en-AU" w:eastAsia="en-AU"/>
        </w:rPr>
        <w:drawing>
          <wp:anchor distT="0" distB="0" distL="0" distR="0" simplePos="0" relativeHeight="462799360" behindDoc="1" locked="0" layoutInCell="1" allowOverlap="1" wp14:anchorId="28CEF5AB" wp14:editId="26B35EF0">
            <wp:simplePos x="0" y="0"/>
            <wp:positionH relativeFrom="page">
              <wp:posOffset>3840581</wp:posOffset>
            </wp:positionH>
            <wp:positionV relativeFrom="paragraph">
              <wp:posOffset>86096</wp:posOffset>
            </wp:positionV>
            <wp:extent cx="2684170" cy="1682780"/>
            <wp:effectExtent l="0" t="0" r="0" b="0"/>
            <wp:wrapNone/>
            <wp:docPr id="113"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70.jpeg"/>
                    <pic:cNvPicPr/>
                  </pic:nvPicPr>
                  <pic:blipFill>
                    <a:blip r:embed="rId232" cstate="print"/>
                    <a:stretch>
                      <a:fillRect/>
                    </a:stretch>
                  </pic:blipFill>
                  <pic:spPr>
                    <a:xfrm>
                      <a:off x="0" y="0"/>
                      <a:ext cx="2684170" cy="1682780"/>
                    </a:xfrm>
                    <a:prstGeom prst="rect">
                      <a:avLst/>
                    </a:prstGeom>
                  </pic:spPr>
                </pic:pic>
              </a:graphicData>
            </a:graphic>
          </wp:anchor>
        </w:drawing>
      </w:r>
      <w:r>
        <w:rPr>
          <w:noProof/>
          <w:lang w:val="en-AU" w:eastAsia="en-AU"/>
        </w:rPr>
        <w:drawing>
          <wp:anchor distT="0" distB="0" distL="0" distR="0" simplePos="0" relativeHeight="462799872" behindDoc="1" locked="0" layoutInCell="1" allowOverlap="1" wp14:anchorId="4A4DF168" wp14:editId="2B3302EA">
            <wp:simplePos x="0" y="0"/>
            <wp:positionH relativeFrom="page">
              <wp:posOffset>1094828</wp:posOffset>
            </wp:positionH>
            <wp:positionV relativeFrom="paragraph">
              <wp:posOffset>352123</wp:posOffset>
            </wp:positionV>
            <wp:extent cx="2054961" cy="1247470"/>
            <wp:effectExtent l="0" t="0" r="0" b="0"/>
            <wp:wrapNone/>
            <wp:docPr id="115"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71.jpeg"/>
                    <pic:cNvPicPr/>
                  </pic:nvPicPr>
                  <pic:blipFill>
                    <a:blip r:embed="rId233" cstate="print"/>
                    <a:stretch>
                      <a:fillRect/>
                    </a:stretch>
                  </pic:blipFill>
                  <pic:spPr>
                    <a:xfrm>
                      <a:off x="0" y="0"/>
                      <a:ext cx="2054961" cy="1247470"/>
                    </a:xfrm>
                    <a:prstGeom prst="rect">
                      <a:avLst/>
                    </a:prstGeom>
                  </pic:spPr>
                </pic:pic>
              </a:graphicData>
            </a:graphic>
          </wp:anchor>
        </w:drawing>
      </w:r>
      <w:r>
        <w:rPr>
          <w:color w:val="231F20"/>
        </w:rPr>
        <w:t xml:space="preserve">The auditor's independence declaration in accordance with section 307C of the </w:t>
      </w:r>
      <w:r>
        <w:rPr>
          <w:i/>
          <w:color w:val="231F20"/>
        </w:rPr>
        <w:t>Corporations Act 2001</w:t>
      </w:r>
      <w:r>
        <w:rPr>
          <w:color w:val="231F20"/>
        </w:rPr>
        <w:t>, for the period ended 31 December 2018 has been received and can be found on page 212 of the financial report.</w:t>
      </w:r>
    </w:p>
    <w:p w14:paraId="3D745D3A" w14:textId="77777777" w:rsidR="00FA4AA8" w:rsidRDefault="00FA4AA8">
      <w:pPr>
        <w:pStyle w:val="BodyText"/>
        <w:spacing w:before="10"/>
        <w:rPr>
          <w:sz w:val="24"/>
        </w:rPr>
      </w:pPr>
    </w:p>
    <w:p w14:paraId="34294453" w14:textId="77777777" w:rsidR="00FA4AA8" w:rsidRDefault="0015611F">
      <w:pPr>
        <w:pStyle w:val="BodyText"/>
        <w:ind w:left="132"/>
      </w:pPr>
      <w:r>
        <w:rPr>
          <w:color w:val="231F20"/>
        </w:rPr>
        <w:t>Signed in accordance with a resolution of the Board of Directors.</w:t>
      </w:r>
    </w:p>
    <w:p w14:paraId="2E2EFE38" w14:textId="77777777" w:rsidR="00FA4AA8" w:rsidRDefault="00FA4AA8">
      <w:pPr>
        <w:pStyle w:val="BodyText"/>
        <w:rPr>
          <w:sz w:val="20"/>
        </w:rPr>
      </w:pPr>
    </w:p>
    <w:p w14:paraId="5BDB6A8E" w14:textId="77777777" w:rsidR="00FA4AA8" w:rsidRDefault="00FA4AA8">
      <w:pPr>
        <w:pStyle w:val="BodyText"/>
        <w:rPr>
          <w:sz w:val="20"/>
        </w:rPr>
      </w:pPr>
    </w:p>
    <w:p w14:paraId="0B93BCFB" w14:textId="77777777" w:rsidR="00FA4AA8" w:rsidRDefault="00FA4AA8">
      <w:pPr>
        <w:pStyle w:val="BodyText"/>
        <w:rPr>
          <w:sz w:val="20"/>
        </w:rPr>
      </w:pPr>
    </w:p>
    <w:p w14:paraId="3DC5922B" w14:textId="77777777" w:rsidR="00FA4AA8" w:rsidRDefault="00FA4AA8">
      <w:pPr>
        <w:pStyle w:val="BodyText"/>
        <w:spacing w:before="2"/>
        <w:rPr>
          <w:sz w:val="19"/>
        </w:rPr>
      </w:pPr>
    </w:p>
    <w:p w14:paraId="5F85632C" w14:textId="77777777" w:rsidR="00FA4AA8" w:rsidRDefault="007E2441">
      <w:pPr>
        <w:pStyle w:val="BodyText"/>
        <w:tabs>
          <w:tab w:val="left" w:pos="5118"/>
        </w:tabs>
        <w:spacing w:before="95"/>
        <w:ind w:left="119"/>
      </w:pPr>
      <w:r>
        <w:rPr>
          <w:noProof/>
          <w:lang w:val="en-AU" w:eastAsia="en-AU"/>
        </w:rPr>
        <mc:AlternateContent>
          <mc:Choice Requires="wps">
            <w:drawing>
              <wp:anchor distT="0" distB="0" distL="114300" distR="114300" simplePos="0" relativeHeight="462797824" behindDoc="1" locked="0" layoutInCell="1" allowOverlap="1" wp14:anchorId="5F03A692" wp14:editId="2A1A0788">
                <wp:simplePos x="0" y="0"/>
                <wp:positionH relativeFrom="page">
                  <wp:posOffset>1113790</wp:posOffset>
                </wp:positionH>
                <wp:positionV relativeFrom="paragraph">
                  <wp:posOffset>64135</wp:posOffset>
                </wp:positionV>
                <wp:extent cx="2016760" cy="128270"/>
                <wp:effectExtent l="0" t="0" r="0" b="0"/>
                <wp:wrapNone/>
                <wp:docPr id="504"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76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C9913" w14:textId="77777777" w:rsidR="001F3ACE" w:rsidRDefault="001F3ACE">
                            <w:pPr>
                              <w:pStyle w:val="BodyText"/>
                              <w:spacing w:line="201" w:lineRule="exact"/>
                            </w:pPr>
                            <w:r>
                              <w:rPr>
                                <w:color w:val="231F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3A692" id="Text Box 270" o:spid="_x0000_s1050" type="#_x0000_t202" style="position:absolute;left:0;text-align:left;margin-left:87.7pt;margin-top:5.05pt;width:158.8pt;height:10.1pt;z-index:-405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" filled="f" stroked="f">
                <v:textbox inset="0,0,0,0">
                  <w:txbxContent>
                    <w:p w14:paraId="4E1C9913" w14:textId="77777777" w:rsidR="001F3ACE" w:rsidRDefault="001F3ACE">
                      <w:pPr>
                        <w:pStyle w:val="BodyText"/>
                        <w:spacing w:line="201" w:lineRule="exact"/>
                      </w:pPr>
                      <w:r>
                        <w:rPr>
                          <w:color w:val="231F20"/>
                        </w:rPr>
                        <w:t>...............................................................</w:t>
                      </w:r>
                    </w:p>
                  </w:txbxContent>
                </v:textbox>
                <w10:wrap anchorx="page"/>
              </v:shape>
            </w:pict>
          </mc:Fallback>
        </mc:AlternateContent>
      </w:r>
      <w:r w:rsidR="0015611F">
        <w:rPr>
          <w:color w:val="231F20"/>
        </w:rPr>
        <w:t>Director:</w:t>
      </w:r>
      <w:r w:rsidR="0015611F">
        <w:rPr>
          <w:color w:val="231F20"/>
        </w:rPr>
        <w:tab/>
        <w:t>Director:</w:t>
      </w:r>
    </w:p>
    <w:p w14:paraId="1B3A69E0" w14:textId="77777777" w:rsidR="00FA4AA8" w:rsidRDefault="00FA4AA8">
      <w:pPr>
        <w:pStyle w:val="BodyText"/>
        <w:rPr>
          <w:sz w:val="20"/>
        </w:rPr>
      </w:pPr>
    </w:p>
    <w:p w14:paraId="2AFC7684" w14:textId="77777777" w:rsidR="00FA4AA8" w:rsidRDefault="00FA4AA8">
      <w:pPr>
        <w:pStyle w:val="BodyText"/>
        <w:rPr>
          <w:sz w:val="20"/>
        </w:rPr>
      </w:pPr>
    </w:p>
    <w:p w14:paraId="325B6C03" w14:textId="77777777" w:rsidR="00FA4AA8" w:rsidRDefault="00FA4AA8">
      <w:pPr>
        <w:pStyle w:val="BodyText"/>
        <w:rPr>
          <w:sz w:val="20"/>
        </w:rPr>
      </w:pPr>
    </w:p>
    <w:p w14:paraId="784B828F" w14:textId="77777777" w:rsidR="00FA4AA8" w:rsidRDefault="00FA4AA8">
      <w:pPr>
        <w:pStyle w:val="BodyText"/>
        <w:spacing w:before="4"/>
        <w:rPr>
          <w:sz w:val="29"/>
        </w:rPr>
      </w:pPr>
    </w:p>
    <w:p w14:paraId="03DC8F21" w14:textId="77777777" w:rsidR="00FA4AA8" w:rsidRDefault="007E2441">
      <w:pPr>
        <w:pStyle w:val="BodyText"/>
        <w:tabs>
          <w:tab w:val="left" w:pos="2610"/>
          <w:tab w:val="left" w:pos="4618"/>
        </w:tabs>
        <w:ind w:left="175"/>
      </w:pPr>
      <w:r>
        <w:rPr>
          <w:noProof/>
          <w:lang w:val="en-AU" w:eastAsia="en-AU"/>
        </w:rPr>
        <mc:AlternateContent>
          <mc:Choice Requires="wps">
            <w:drawing>
              <wp:anchor distT="0" distB="0" distL="114300" distR="114300" simplePos="0" relativeHeight="462798336" behindDoc="1" locked="0" layoutInCell="1" allowOverlap="1" wp14:anchorId="439FB3BD" wp14:editId="60BF3080">
                <wp:simplePos x="0" y="0"/>
                <wp:positionH relativeFrom="page">
                  <wp:posOffset>2573020</wp:posOffset>
                </wp:positionH>
                <wp:positionV relativeFrom="paragraph">
                  <wp:posOffset>3810</wp:posOffset>
                </wp:positionV>
                <wp:extent cx="930275" cy="128270"/>
                <wp:effectExtent l="0" t="0" r="0" b="0"/>
                <wp:wrapNone/>
                <wp:docPr id="503"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3C6E5" w14:textId="77777777" w:rsidR="001F3ACE" w:rsidRDefault="001F3ACE">
                            <w:pPr>
                              <w:pStyle w:val="BodyText"/>
                              <w:spacing w:line="201" w:lineRule="exact"/>
                            </w:pPr>
                            <w:r>
                              <w:rPr>
                                <w:color w:val="231F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FB3BD" id="Text Box 269" o:spid="_x0000_s1051" type="#_x0000_t202" style="position:absolute;left:0;text-align:left;margin-left:202.6pt;margin-top:.3pt;width:73.25pt;height:10.1pt;z-index:-40518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" filled="f" stroked="f">
                <v:textbox inset="0,0,0,0">
                  <w:txbxContent>
                    <w:p w14:paraId="5B33C6E5" w14:textId="77777777" w:rsidR="001F3ACE" w:rsidRDefault="001F3ACE">
                      <w:pPr>
                        <w:pStyle w:val="BodyText"/>
                        <w:spacing w:line="201" w:lineRule="exact"/>
                      </w:pPr>
                      <w:r>
                        <w:rPr>
                          <w:color w:val="231F20"/>
                        </w:rPr>
                        <w:t>.............................</w:t>
                      </w:r>
                    </w:p>
                  </w:txbxContent>
                </v:textbox>
                <w10:wrap anchorx="page"/>
              </v:shape>
            </w:pict>
          </mc:Fallback>
        </mc:AlternateContent>
      </w:r>
      <w:r>
        <w:rPr>
          <w:noProof/>
          <w:lang w:val="en-AU" w:eastAsia="en-AU"/>
        </w:rPr>
        <mc:AlternateContent>
          <mc:Choice Requires="wps">
            <w:drawing>
              <wp:anchor distT="0" distB="0" distL="114300" distR="114300" simplePos="0" relativeHeight="462798848" behindDoc="1" locked="0" layoutInCell="1" allowOverlap="1" wp14:anchorId="21B48C59" wp14:editId="2678F0C0">
                <wp:simplePos x="0" y="0"/>
                <wp:positionH relativeFrom="page">
                  <wp:posOffset>1233170</wp:posOffset>
                </wp:positionH>
                <wp:positionV relativeFrom="paragraph">
                  <wp:posOffset>3810</wp:posOffset>
                </wp:positionV>
                <wp:extent cx="962660" cy="128270"/>
                <wp:effectExtent l="0" t="0" r="0" b="0"/>
                <wp:wrapNone/>
                <wp:docPr id="502"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66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C6759" w14:textId="77777777" w:rsidR="001F3ACE" w:rsidRDefault="001F3ACE">
                            <w:pPr>
                              <w:pStyle w:val="BodyText"/>
                              <w:spacing w:line="201" w:lineRule="exact"/>
                            </w:pPr>
                            <w:r>
                              <w:rPr>
                                <w:color w:val="231F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48C59" id="Text Box 268" o:spid="_x0000_s1052" type="#_x0000_t202" style="position:absolute;left:0;text-align:left;margin-left:97.1pt;margin-top:.3pt;width:75.8pt;height:10.1pt;z-index:-405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" filled="f" stroked="f">
                <v:textbox inset="0,0,0,0">
                  <w:txbxContent>
                    <w:p w14:paraId="0BFC6759" w14:textId="77777777" w:rsidR="001F3ACE" w:rsidRDefault="001F3ACE">
                      <w:pPr>
                        <w:pStyle w:val="BodyText"/>
                        <w:spacing w:line="201" w:lineRule="exact"/>
                      </w:pPr>
                      <w:r>
                        <w:rPr>
                          <w:color w:val="231F20"/>
                        </w:rPr>
                        <w:t>..............................</w:t>
                      </w:r>
                    </w:p>
                  </w:txbxContent>
                </v:textbox>
                <w10:wrap anchorx="page"/>
              </v:shape>
            </w:pict>
          </mc:Fallback>
        </mc:AlternateContent>
      </w:r>
      <w:r w:rsidR="0015611F">
        <w:rPr>
          <w:noProof/>
          <w:lang w:val="en-AU" w:eastAsia="en-AU"/>
        </w:rPr>
        <w:drawing>
          <wp:anchor distT="0" distB="0" distL="0" distR="0" simplePos="0" relativeHeight="462800384" behindDoc="1" locked="0" layoutInCell="1" allowOverlap="1" wp14:anchorId="08B8B4FE" wp14:editId="31043370">
            <wp:simplePos x="0" y="0"/>
            <wp:positionH relativeFrom="page">
              <wp:posOffset>2579751</wp:posOffset>
            </wp:positionH>
            <wp:positionV relativeFrom="paragraph">
              <wp:posOffset>-113296</wp:posOffset>
            </wp:positionV>
            <wp:extent cx="919149" cy="263385"/>
            <wp:effectExtent l="0" t="0" r="0" b="0"/>
            <wp:wrapNone/>
            <wp:docPr id="117"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72.jpeg"/>
                    <pic:cNvPicPr/>
                  </pic:nvPicPr>
                  <pic:blipFill>
                    <a:blip r:embed="rId234" cstate="print"/>
                    <a:stretch>
                      <a:fillRect/>
                    </a:stretch>
                  </pic:blipFill>
                  <pic:spPr>
                    <a:xfrm>
                      <a:off x="0" y="0"/>
                      <a:ext cx="919149" cy="263385"/>
                    </a:xfrm>
                    <a:prstGeom prst="rect">
                      <a:avLst/>
                    </a:prstGeom>
                  </pic:spPr>
                </pic:pic>
              </a:graphicData>
            </a:graphic>
          </wp:anchor>
        </w:drawing>
      </w:r>
      <w:r w:rsidR="0015611F">
        <w:rPr>
          <w:noProof/>
          <w:lang w:val="en-AU" w:eastAsia="en-AU"/>
        </w:rPr>
        <w:drawing>
          <wp:anchor distT="0" distB="0" distL="0" distR="0" simplePos="0" relativeHeight="462800896" behindDoc="1" locked="0" layoutInCell="1" allowOverlap="1" wp14:anchorId="09362E40" wp14:editId="7E990990">
            <wp:simplePos x="0" y="0"/>
            <wp:positionH relativeFrom="page">
              <wp:posOffset>1237843</wp:posOffset>
            </wp:positionH>
            <wp:positionV relativeFrom="paragraph">
              <wp:posOffset>-151230</wp:posOffset>
            </wp:positionV>
            <wp:extent cx="972591" cy="296646"/>
            <wp:effectExtent l="0" t="0" r="0" b="0"/>
            <wp:wrapNone/>
            <wp:docPr id="119"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73.jpeg"/>
                    <pic:cNvPicPr/>
                  </pic:nvPicPr>
                  <pic:blipFill>
                    <a:blip r:embed="rId235" cstate="print"/>
                    <a:stretch>
                      <a:fillRect/>
                    </a:stretch>
                  </pic:blipFill>
                  <pic:spPr>
                    <a:xfrm>
                      <a:off x="0" y="0"/>
                      <a:ext cx="972591" cy="296646"/>
                    </a:xfrm>
                    <a:prstGeom prst="rect">
                      <a:avLst/>
                    </a:prstGeom>
                  </pic:spPr>
                </pic:pic>
              </a:graphicData>
            </a:graphic>
          </wp:anchor>
        </w:drawing>
      </w:r>
      <w:r w:rsidR="0015611F">
        <w:rPr>
          <w:color w:val="231F20"/>
        </w:rPr>
        <w:t>Dated</w:t>
      </w:r>
      <w:r w:rsidR="0015611F">
        <w:rPr>
          <w:color w:val="231F20"/>
          <w:spacing w:val="2"/>
        </w:rPr>
        <w:t xml:space="preserve"> </w:t>
      </w:r>
      <w:r w:rsidR="0015611F">
        <w:rPr>
          <w:color w:val="231F20"/>
        </w:rPr>
        <w:t>this</w:t>
      </w:r>
      <w:r w:rsidR="0015611F">
        <w:rPr>
          <w:color w:val="231F20"/>
        </w:rPr>
        <w:tab/>
        <w:t>day of</w:t>
      </w:r>
      <w:r w:rsidR="0015611F">
        <w:rPr>
          <w:color w:val="231F20"/>
        </w:rPr>
        <w:tab/>
        <w:t>.2019</w:t>
      </w:r>
    </w:p>
    <w:p w14:paraId="3F6B9D1C" w14:textId="77777777" w:rsidR="00FA4AA8" w:rsidRDefault="00FA4AA8">
      <w:pPr>
        <w:sectPr w:rsidR="00FA4AA8">
          <w:pgSz w:w="11910" w:h="16840"/>
          <w:pgMar w:top="1600" w:right="878" w:bottom="700" w:left="900" w:header="1015" w:footer="502" w:gutter="0"/>
          <w:cols w:space="720"/>
        </w:sectPr>
      </w:pPr>
    </w:p>
    <w:p w14:paraId="1E7716E3" w14:textId="77777777" w:rsidR="00FA4AA8" w:rsidRDefault="00FA4AA8">
      <w:pPr>
        <w:pStyle w:val="BodyText"/>
        <w:spacing w:before="5"/>
        <w:rPr>
          <w:sz w:val="20"/>
        </w:rPr>
      </w:pPr>
    </w:p>
    <w:p w14:paraId="59B5C287" w14:textId="77777777" w:rsidR="00FA4AA8" w:rsidRDefault="0015611F">
      <w:pPr>
        <w:spacing w:before="91"/>
        <w:ind w:left="117"/>
        <w:rPr>
          <w:b/>
          <w:sz w:val="27"/>
        </w:rPr>
      </w:pPr>
      <w:r>
        <w:rPr>
          <w:b/>
          <w:color w:val="111111"/>
          <w:sz w:val="27"/>
        </w:rPr>
        <w:t xml:space="preserve">Directors’ </w:t>
      </w:r>
      <w:r>
        <w:rPr>
          <w:b/>
          <w:color w:val="131313"/>
          <w:sz w:val="27"/>
        </w:rPr>
        <w:t>Declaration</w:t>
      </w:r>
    </w:p>
    <w:p w14:paraId="2CF49A7F" w14:textId="77777777" w:rsidR="00FA4AA8" w:rsidRDefault="0015611F">
      <w:pPr>
        <w:pStyle w:val="BodyText"/>
        <w:spacing w:before="269"/>
        <w:ind w:left="118"/>
      </w:pPr>
      <w:r>
        <w:t>The directors of the Company declare that:</w:t>
      </w:r>
    </w:p>
    <w:p w14:paraId="3ED7D1BA" w14:textId="77777777" w:rsidR="00FA4AA8" w:rsidRDefault="00FA4AA8">
      <w:pPr>
        <w:pStyle w:val="BodyText"/>
        <w:spacing w:before="7"/>
        <w:rPr>
          <w:sz w:val="16"/>
        </w:rPr>
      </w:pPr>
    </w:p>
    <w:p w14:paraId="7895B35E" w14:textId="77777777" w:rsidR="00FA4AA8" w:rsidRDefault="0015611F">
      <w:pPr>
        <w:pStyle w:val="ListParagraph"/>
        <w:numPr>
          <w:ilvl w:val="0"/>
          <w:numId w:val="30"/>
        </w:numPr>
        <w:tabs>
          <w:tab w:val="left" w:pos="498"/>
          <w:tab w:val="left" w:pos="499"/>
        </w:tabs>
        <w:rPr>
          <w:sz w:val="18"/>
        </w:rPr>
      </w:pPr>
      <w:r>
        <w:rPr>
          <w:sz w:val="18"/>
        </w:rPr>
        <w:t>the financial statements and</w:t>
      </w:r>
      <w:r>
        <w:rPr>
          <w:spacing w:val="3"/>
          <w:sz w:val="18"/>
        </w:rPr>
        <w:t xml:space="preserve"> </w:t>
      </w:r>
      <w:r>
        <w:rPr>
          <w:sz w:val="18"/>
        </w:rPr>
        <w:t>notes</w:t>
      </w:r>
    </w:p>
    <w:p w14:paraId="220F2572" w14:textId="77777777" w:rsidR="00FA4AA8" w:rsidRDefault="00FA4AA8">
      <w:pPr>
        <w:pStyle w:val="BodyText"/>
        <w:spacing w:before="10"/>
        <w:rPr>
          <w:sz w:val="23"/>
        </w:rPr>
      </w:pPr>
    </w:p>
    <w:p w14:paraId="3A1C497A" w14:textId="77777777" w:rsidR="00FA4AA8" w:rsidRDefault="0015611F">
      <w:pPr>
        <w:pStyle w:val="ListParagraph"/>
        <w:numPr>
          <w:ilvl w:val="1"/>
          <w:numId w:val="30"/>
        </w:numPr>
        <w:tabs>
          <w:tab w:val="left" w:pos="883"/>
          <w:tab w:val="left" w:pos="884"/>
        </w:tabs>
        <w:spacing w:before="1" w:line="230" w:lineRule="auto"/>
        <w:ind w:right="150" w:hanging="374"/>
        <w:rPr>
          <w:color w:val="1C1C1C"/>
          <w:sz w:val="18"/>
        </w:rPr>
      </w:pPr>
      <w:r>
        <w:rPr>
          <w:w w:val="95"/>
          <w:sz w:val="18"/>
        </w:rPr>
        <w:t xml:space="preserve">comply </w:t>
      </w:r>
      <w:r>
        <w:rPr>
          <w:color w:val="161616"/>
          <w:w w:val="95"/>
          <w:sz w:val="18"/>
        </w:rPr>
        <w:t xml:space="preserve">with </w:t>
      </w:r>
      <w:r>
        <w:rPr>
          <w:w w:val="95"/>
          <w:sz w:val="18"/>
        </w:rPr>
        <w:t xml:space="preserve">Australian Accounting Standards - Reduced Disclosure Requirements, the </w:t>
      </w:r>
      <w:r>
        <w:rPr>
          <w:i/>
          <w:w w:val="95"/>
          <w:sz w:val="18"/>
        </w:rPr>
        <w:t xml:space="preserve">Corporations Regulations </w:t>
      </w:r>
      <w:r>
        <w:rPr>
          <w:i/>
          <w:sz w:val="18"/>
        </w:rPr>
        <w:t xml:space="preserve">2001, Public Finance and Audit Act 1983, </w:t>
      </w:r>
      <w:r>
        <w:rPr>
          <w:i/>
          <w:color w:val="111111"/>
          <w:sz w:val="18"/>
        </w:rPr>
        <w:t xml:space="preserve">Public </w:t>
      </w:r>
      <w:r>
        <w:rPr>
          <w:i/>
          <w:sz w:val="18"/>
        </w:rPr>
        <w:t xml:space="preserve">Finance and Audit Regulation 2015 </w:t>
      </w:r>
      <w:r>
        <w:rPr>
          <w:color w:val="0C0C0C"/>
          <w:sz w:val="18"/>
        </w:rPr>
        <w:t xml:space="preserve">and </w:t>
      </w:r>
      <w:r>
        <w:rPr>
          <w:sz w:val="18"/>
        </w:rPr>
        <w:t>other mandatory professional reporting requirements,</w:t>
      </w:r>
      <w:r>
        <w:rPr>
          <w:spacing w:val="27"/>
          <w:sz w:val="18"/>
        </w:rPr>
        <w:t xml:space="preserve"> </w:t>
      </w:r>
      <w:r>
        <w:rPr>
          <w:sz w:val="18"/>
        </w:rPr>
        <w:t>and</w:t>
      </w:r>
    </w:p>
    <w:p w14:paraId="6A3B9699" w14:textId="77777777" w:rsidR="00FA4AA8" w:rsidRDefault="00FA4AA8">
      <w:pPr>
        <w:pStyle w:val="BodyText"/>
        <w:spacing w:before="11"/>
        <w:rPr>
          <w:sz w:val="23"/>
        </w:rPr>
      </w:pPr>
    </w:p>
    <w:p w14:paraId="0B0D5E27" w14:textId="77777777" w:rsidR="00FA4AA8" w:rsidRDefault="0015611F">
      <w:pPr>
        <w:pStyle w:val="ListParagraph"/>
        <w:numPr>
          <w:ilvl w:val="1"/>
          <w:numId w:val="30"/>
        </w:numPr>
        <w:tabs>
          <w:tab w:val="left" w:pos="884"/>
          <w:tab w:val="left" w:pos="885"/>
        </w:tabs>
        <w:spacing w:line="232" w:lineRule="auto"/>
        <w:ind w:left="888" w:right="1041" w:hanging="384"/>
        <w:rPr>
          <w:color w:val="131313"/>
          <w:sz w:val="18"/>
        </w:rPr>
      </w:pPr>
      <w:r>
        <w:rPr>
          <w:sz w:val="18"/>
        </w:rPr>
        <w:t>give</w:t>
      </w:r>
      <w:r>
        <w:rPr>
          <w:spacing w:val="-17"/>
          <w:sz w:val="18"/>
        </w:rPr>
        <w:t xml:space="preserve"> </w:t>
      </w:r>
      <w:r>
        <w:rPr>
          <w:sz w:val="18"/>
        </w:rPr>
        <w:t>a</w:t>
      </w:r>
      <w:r>
        <w:rPr>
          <w:spacing w:val="-17"/>
          <w:sz w:val="18"/>
        </w:rPr>
        <w:t xml:space="preserve"> </w:t>
      </w:r>
      <w:r>
        <w:rPr>
          <w:color w:val="111111"/>
          <w:sz w:val="18"/>
        </w:rPr>
        <w:t>true</w:t>
      </w:r>
      <w:r>
        <w:rPr>
          <w:color w:val="111111"/>
          <w:spacing w:val="-18"/>
          <w:sz w:val="18"/>
        </w:rPr>
        <w:t xml:space="preserve"> </w:t>
      </w:r>
      <w:r>
        <w:rPr>
          <w:sz w:val="18"/>
        </w:rPr>
        <w:t>and</w:t>
      </w:r>
      <w:r>
        <w:rPr>
          <w:spacing w:val="-17"/>
          <w:sz w:val="18"/>
        </w:rPr>
        <w:t xml:space="preserve"> </w:t>
      </w:r>
      <w:r>
        <w:rPr>
          <w:sz w:val="18"/>
        </w:rPr>
        <w:t>fair</w:t>
      </w:r>
      <w:r>
        <w:rPr>
          <w:spacing w:val="-12"/>
          <w:sz w:val="18"/>
        </w:rPr>
        <w:t xml:space="preserve"> </w:t>
      </w:r>
      <w:r>
        <w:rPr>
          <w:sz w:val="18"/>
        </w:rPr>
        <w:t>view</w:t>
      </w:r>
      <w:r>
        <w:rPr>
          <w:spacing w:val="-12"/>
          <w:sz w:val="18"/>
        </w:rPr>
        <w:t xml:space="preserve"> </w:t>
      </w:r>
      <w:r>
        <w:rPr>
          <w:sz w:val="18"/>
        </w:rPr>
        <w:t>of</w:t>
      </w:r>
      <w:r>
        <w:rPr>
          <w:spacing w:val="-24"/>
          <w:sz w:val="18"/>
        </w:rPr>
        <w:t xml:space="preserve"> </w:t>
      </w:r>
      <w:r>
        <w:rPr>
          <w:color w:val="151515"/>
          <w:sz w:val="18"/>
        </w:rPr>
        <w:t>the</w:t>
      </w:r>
      <w:r>
        <w:rPr>
          <w:color w:val="151515"/>
          <w:spacing w:val="-19"/>
          <w:sz w:val="18"/>
        </w:rPr>
        <w:t xml:space="preserve"> </w:t>
      </w:r>
      <w:r>
        <w:rPr>
          <w:sz w:val="18"/>
        </w:rPr>
        <w:t>Company’s</w:t>
      </w:r>
      <w:r>
        <w:rPr>
          <w:spacing w:val="-8"/>
          <w:sz w:val="18"/>
        </w:rPr>
        <w:t xml:space="preserve"> </w:t>
      </w:r>
      <w:r>
        <w:rPr>
          <w:sz w:val="18"/>
        </w:rPr>
        <w:t>of</w:t>
      </w:r>
      <w:r>
        <w:rPr>
          <w:spacing w:val="-17"/>
          <w:sz w:val="18"/>
        </w:rPr>
        <w:t xml:space="preserve"> </w:t>
      </w:r>
      <w:r>
        <w:rPr>
          <w:sz w:val="18"/>
        </w:rPr>
        <w:t>the</w:t>
      </w:r>
      <w:r>
        <w:rPr>
          <w:spacing w:val="-15"/>
          <w:sz w:val="18"/>
        </w:rPr>
        <w:t xml:space="preserve"> </w:t>
      </w:r>
      <w:r>
        <w:rPr>
          <w:sz w:val="18"/>
        </w:rPr>
        <w:t>financial</w:t>
      </w:r>
      <w:r>
        <w:rPr>
          <w:spacing w:val="-11"/>
          <w:sz w:val="18"/>
        </w:rPr>
        <w:t xml:space="preserve"> </w:t>
      </w:r>
      <w:r>
        <w:rPr>
          <w:color w:val="0F0F0F"/>
          <w:sz w:val="18"/>
        </w:rPr>
        <w:t>position</w:t>
      </w:r>
      <w:r>
        <w:rPr>
          <w:color w:val="0F0F0F"/>
          <w:spacing w:val="-7"/>
          <w:sz w:val="18"/>
        </w:rPr>
        <w:t xml:space="preserve"> </w:t>
      </w:r>
      <w:r>
        <w:rPr>
          <w:sz w:val="18"/>
        </w:rPr>
        <w:t>as</w:t>
      </w:r>
      <w:r>
        <w:rPr>
          <w:spacing w:val="-19"/>
          <w:sz w:val="18"/>
        </w:rPr>
        <w:t xml:space="preserve"> </w:t>
      </w:r>
      <w:r>
        <w:rPr>
          <w:sz w:val="18"/>
        </w:rPr>
        <w:t>at</w:t>
      </w:r>
      <w:r>
        <w:rPr>
          <w:spacing w:val="-23"/>
          <w:sz w:val="18"/>
        </w:rPr>
        <w:t xml:space="preserve"> </w:t>
      </w:r>
      <w:r>
        <w:rPr>
          <w:color w:val="0F0F0F"/>
          <w:sz w:val="18"/>
        </w:rPr>
        <w:t>31</w:t>
      </w:r>
      <w:r>
        <w:rPr>
          <w:color w:val="0F0F0F"/>
          <w:spacing w:val="-15"/>
          <w:sz w:val="18"/>
        </w:rPr>
        <w:t xml:space="preserve"> </w:t>
      </w:r>
      <w:r>
        <w:rPr>
          <w:sz w:val="18"/>
        </w:rPr>
        <w:t>December</w:t>
      </w:r>
      <w:r>
        <w:rPr>
          <w:spacing w:val="-10"/>
          <w:sz w:val="18"/>
        </w:rPr>
        <w:t xml:space="preserve"> </w:t>
      </w:r>
      <w:r>
        <w:rPr>
          <w:sz w:val="18"/>
        </w:rPr>
        <w:t>2018</w:t>
      </w:r>
      <w:r>
        <w:rPr>
          <w:spacing w:val="-17"/>
          <w:sz w:val="18"/>
        </w:rPr>
        <w:t xml:space="preserve"> </w:t>
      </w:r>
      <w:r>
        <w:rPr>
          <w:color w:val="151515"/>
          <w:sz w:val="18"/>
        </w:rPr>
        <w:t>and</w:t>
      </w:r>
      <w:r>
        <w:rPr>
          <w:color w:val="151515"/>
          <w:spacing w:val="-21"/>
          <w:sz w:val="18"/>
        </w:rPr>
        <w:t xml:space="preserve"> </w:t>
      </w:r>
      <w:r>
        <w:rPr>
          <w:sz w:val="18"/>
        </w:rPr>
        <w:t>of</w:t>
      </w:r>
      <w:r>
        <w:rPr>
          <w:spacing w:val="-17"/>
          <w:sz w:val="18"/>
        </w:rPr>
        <w:t xml:space="preserve"> </w:t>
      </w:r>
      <w:r>
        <w:rPr>
          <w:sz w:val="18"/>
        </w:rPr>
        <w:t xml:space="preserve">its performance </w:t>
      </w:r>
      <w:r>
        <w:rPr>
          <w:color w:val="0C0C0C"/>
          <w:sz w:val="18"/>
        </w:rPr>
        <w:t xml:space="preserve">for </w:t>
      </w:r>
      <w:r>
        <w:rPr>
          <w:color w:val="111111"/>
          <w:sz w:val="18"/>
        </w:rPr>
        <w:t xml:space="preserve">the </w:t>
      </w:r>
      <w:r>
        <w:rPr>
          <w:sz w:val="18"/>
        </w:rPr>
        <w:t xml:space="preserve">financial period ended </w:t>
      </w:r>
      <w:r>
        <w:rPr>
          <w:color w:val="0C0C0C"/>
          <w:sz w:val="18"/>
        </w:rPr>
        <w:t xml:space="preserve">on </w:t>
      </w:r>
      <w:r>
        <w:rPr>
          <w:color w:val="131313"/>
          <w:sz w:val="18"/>
        </w:rPr>
        <w:t xml:space="preserve">that </w:t>
      </w:r>
      <w:r>
        <w:rPr>
          <w:sz w:val="18"/>
        </w:rPr>
        <w:t>date,</w:t>
      </w:r>
      <w:r>
        <w:rPr>
          <w:spacing w:val="1"/>
          <w:sz w:val="18"/>
        </w:rPr>
        <w:t xml:space="preserve"> </w:t>
      </w:r>
      <w:r>
        <w:rPr>
          <w:color w:val="0F0F0F"/>
          <w:sz w:val="18"/>
        </w:rPr>
        <w:t>and;</w:t>
      </w:r>
    </w:p>
    <w:p w14:paraId="1AE1A73B" w14:textId="77777777" w:rsidR="00FA4AA8" w:rsidRDefault="00FA4AA8">
      <w:pPr>
        <w:pStyle w:val="BodyText"/>
        <w:spacing w:before="6"/>
        <w:rPr>
          <w:sz w:val="17"/>
        </w:rPr>
      </w:pPr>
    </w:p>
    <w:p w14:paraId="5DD94A97" w14:textId="77777777" w:rsidR="00FA4AA8" w:rsidRDefault="0015611F">
      <w:pPr>
        <w:pStyle w:val="ListParagraph"/>
        <w:numPr>
          <w:ilvl w:val="0"/>
          <w:numId w:val="30"/>
        </w:numPr>
        <w:tabs>
          <w:tab w:val="left" w:pos="508"/>
          <w:tab w:val="left" w:pos="509"/>
        </w:tabs>
        <w:spacing w:line="228" w:lineRule="auto"/>
        <w:ind w:left="515" w:right="101" w:hanging="394"/>
        <w:rPr>
          <w:color w:val="1F1F1F"/>
          <w:sz w:val="18"/>
        </w:rPr>
      </w:pPr>
      <w:r>
        <w:rPr>
          <w:sz w:val="18"/>
        </w:rPr>
        <w:t>In</w:t>
      </w:r>
      <w:r>
        <w:rPr>
          <w:spacing w:val="-23"/>
          <w:sz w:val="18"/>
        </w:rPr>
        <w:t xml:space="preserve"> </w:t>
      </w:r>
      <w:r>
        <w:rPr>
          <w:color w:val="111111"/>
          <w:sz w:val="18"/>
        </w:rPr>
        <w:t>the</w:t>
      </w:r>
      <w:r>
        <w:rPr>
          <w:color w:val="111111"/>
          <w:spacing w:val="-20"/>
          <w:sz w:val="18"/>
        </w:rPr>
        <w:t xml:space="preserve"> </w:t>
      </w:r>
      <w:r>
        <w:rPr>
          <w:sz w:val="18"/>
        </w:rPr>
        <w:t>directors'</w:t>
      </w:r>
      <w:r>
        <w:rPr>
          <w:spacing w:val="-10"/>
          <w:sz w:val="18"/>
        </w:rPr>
        <w:t xml:space="preserve"> </w:t>
      </w:r>
      <w:r>
        <w:rPr>
          <w:sz w:val="18"/>
        </w:rPr>
        <w:t>opinion,</w:t>
      </w:r>
      <w:r>
        <w:rPr>
          <w:spacing w:val="-15"/>
          <w:sz w:val="18"/>
        </w:rPr>
        <w:t xml:space="preserve"> </w:t>
      </w:r>
      <w:r>
        <w:rPr>
          <w:color w:val="161616"/>
          <w:sz w:val="18"/>
        </w:rPr>
        <w:t>there</w:t>
      </w:r>
      <w:r>
        <w:rPr>
          <w:color w:val="161616"/>
          <w:spacing w:val="-11"/>
          <w:sz w:val="18"/>
        </w:rPr>
        <w:t xml:space="preserve"> </w:t>
      </w:r>
      <w:r>
        <w:rPr>
          <w:sz w:val="18"/>
        </w:rPr>
        <w:t>are</w:t>
      </w:r>
      <w:r>
        <w:rPr>
          <w:spacing w:val="-19"/>
          <w:sz w:val="18"/>
        </w:rPr>
        <w:t xml:space="preserve"> </w:t>
      </w:r>
      <w:r>
        <w:rPr>
          <w:sz w:val="18"/>
        </w:rPr>
        <w:t>reasonable</w:t>
      </w:r>
      <w:r>
        <w:rPr>
          <w:spacing w:val="-10"/>
          <w:sz w:val="18"/>
        </w:rPr>
        <w:t xml:space="preserve"> </w:t>
      </w:r>
      <w:r>
        <w:rPr>
          <w:sz w:val="18"/>
        </w:rPr>
        <w:t>grounds</w:t>
      </w:r>
      <w:r>
        <w:rPr>
          <w:spacing w:val="-13"/>
          <w:sz w:val="18"/>
        </w:rPr>
        <w:t xml:space="preserve"> </w:t>
      </w:r>
      <w:r>
        <w:rPr>
          <w:sz w:val="18"/>
        </w:rPr>
        <w:t>to</w:t>
      </w:r>
      <w:r>
        <w:rPr>
          <w:spacing w:val="-21"/>
          <w:sz w:val="18"/>
        </w:rPr>
        <w:t xml:space="preserve"> </w:t>
      </w:r>
      <w:r>
        <w:rPr>
          <w:color w:val="111111"/>
          <w:sz w:val="18"/>
        </w:rPr>
        <w:t>believe</w:t>
      </w:r>
      <w:r>
        <w:rPr>
          <w:color w:val="111111"/>
          <w:spacing w:val="-16"/>
          <w:sz w:val="18"/>
        </w:rPr>
        <w:t xml:space="preserve"> </w:t>
      </w:r>
      <w:r>
        <w:rPr>
          <w:color w:val="0F0F0F"/>
          <w:sz w:val="18"/>
        </w:rPr>
        <w:t>that</w:t>
      </w:r>
      <w:r>
        <w:rPr>
          <w:color w:val="0F0F0F"/>
          <w:spacing w:val="-19"/>
          <w:sz w:val="18"/>
        </w:rPr>
        <w:t xml:space="preserve"> </w:t>
      </w:r>
      <w:r>
        <w:rPr>
          <w:sz w:val="18"/>
        </w:rPr>
        <w:t>the</w:t>
      </w:r>
      <w:r>
        <w:rPr>
          <w:spacing w:val="-16"/>
          <w:sz w:val="18"/>
        </w:rPr>
        <w:t xml:space="preserve"> </w:t>
      </w:r>
      <w:r>
        <w:rPr>
          <w:sz w:val="18"/>
        </w:rPr>
        <w:t>Company</w:t>
      </w:r>
      <w:r>
        <w:rPr>
          <w:spacing w:val="-8"/>
          <w:sz w:val="18"/>
        </w:rPr>
        <w:t xml:space="preserve"> </w:t>
      </w:r>
      <w:r>
        <w:rPr>
          <w:color w:val="1C1C1C"/>
          <w:sz w:val="18"/>
        </w:rPr>
        <w:t>will</w:t>
      </w:r>
      <w:r>
        <w:rPr>
          <w:color w:val="1C1C1C"/>
          <w:spacing w:val="-17"/>
          <w:sz w:val="18"/>
        </w:rPr>
        <w:t xml:space="preserve"> </w:t>
      </w:r>
      <w:r>
        <w:rPr>
          <w:color w:val="262626"/>
          <w:sz w:val="18"/>
        </w:rPr>
        <w:t>be</w:t>
      </w:r>
      <w:r>
        <w:rPr>
          <w:color w:val="262626"/>
          <w:spacing w:val="-24"/>
          <w:sz w:val="18"/>
        </w:rPr>
        <w:t xml:space="preserve"> </w:t>
      </w:r>
      <w:r>
        <w:rPr>
          <w:sz w:val="18"/>
        </w:rPr>
        <w:t>able</w:t>
      </w:r>
      <w:r>
        <w:rPr>
          <w:spacing w:val="-22"/>
          <w:sz w:val="18"/>
        </w:rPr>
        <w:t xml:space="preserve"> </w:t>
      </w:r>
      <w:r>
        <w:rPr>
          <w:sz w:val="18"/>
        </w:rPr>
        <w:t>to</w:t>
      </w:r>
      <w:r>
        <w:rPr>
          <w:spacing w:val="-25"/>
          <w:sz w:val="18"/>
        </w:rPr>
        <w:t xml:space="preserve"> </w:t>
      </w:r>
      <w:r>
        <w:rPr>
          <w:sz w:val="18"/>
        </w:rPr>
        <w:t>pay</w:t>
      </w:r>
      <w:r>
        <w:rPr>
          <w:spacing w:val="-24"/>
          <w:sz w:val="18"/>
        </w:rPr>
        <w:t xml:space="preserve"> </w:t>
      </w:r>
      <w:r>
        <w:rPr>
          <w:sz w:val="18"/>
        </w:rPr>
        <w:t>its</w:t>
      </w:r>
      <w:r>
        <w:rPr>
          <w:spacing w:val="-20"/>
          <w:sz w:val="18"/>
        </w:rPr>
        <w:t xml:space="preserve"> </w:t>
      </w:r>
      <w:r>
        <w:rPr>
          <w:color w:val="0E0E0E"/>
          <w:sz w:val="18"/>
        </w:rPr>
        <w:t>debts</w:t>
      </w:r>
      <w:r>
        <w:rPr>
          <w:color w:val="0E0E0E"/>
          <w:spacing w:val="-18"/>
          <w:sz w:val="18"/>
        </w:rPr>
        <w:t xml:space="preserve"> </w:t>
      </w:r>
      <w:r>
        <w:rPr>
          <w:sz w:val="18"/>
        </w:rPr>
        <w:t>as</w:t>
      </w:r>
      <w:r>
        <w:rPr>
          <w:spacing w:val="-18"/>
          <w:sz w:val="18"/>
        </w:rPr>
        <w:t xml:space="preserve"> </w:t>
      </w:r>
      <w:r>
        <w:rPr>
          <w:sz w:val="18"/>
        </w:rPr>
        <w:t>and when they become due and</w:t>
      </w:r>
      <w:r>
        <w:rPr>
          <w:spacing w:val="6"/>
          <w:sz w:val="18"/>
        </w:rPr>
        <w:t xml:space="preserve"> </w:t>
      </w:r>
      <w:r>
        <w:rPr>
          <w:sz w:val="18"/>
        </w:rPr>
        <w:t>payable.</w:t>
      </w:r>
    </w:p>
    <w:p w14:paraId="740F599F" w14:textId="77777777" w:rsidR="00FA4AA8" w:rsidRDefault="00FA4AA8">
      <w:pPr>
        <w:pStyle w:val="BodyText"/>
        <w:spacing w:before="7"/>
        <w:rPr>
          <w:sz w:val="17"/>
        </w:rPr>
      </w:pPr>
    </w:p>
    <w:p w14:paraId="0BEE0FA4" w14:textId="77777777" w:rsidR="00FA4AA8" w:rsidRDefault="0015611F">
      <w:pPr>
        <w:pStyle w:val="ListParagraph"/>
        <w:numPr>
          <w:ilvl w:val="0"/>
          <w:numId w:val="30"/>
        </w:numPr>
        <w:tabs>
          <w:tab w:val="left" w:pos="513"/>
          <w:tab w:val="left" w:pos="514"/>
        </w:tabs>
        <w:spacing w:line="228" w:lineRule="auto"/>
        <w:ind w:left="513" w:right="896" w:hanging="380"/>
        <w:rPr>
          <w:color w:val="1A1A1A"/>
          <w:sz w:val="18"/>
        </w:rPr>
      </w:pPr>
      <w:r>
        <w:rPr>
          <w:color w:val="0E0E0E"/>
          <w:sz w:val="18"/>
        </w:rPr>
        <w:t>We</w:t>
      </w:r>
      <w:r>
        <w:rPr>
          <w:color w:val="0E0E0E"/>
          <w:spacing w:val="-22"/>
          <w:sz w:val="18"/>
        </w:rPr>
        <w:t xml:space="preserve"> </w:t>
      </w:r>
      <w:r>
        <w:rPr>
          <w:color w:val="0F0F0F"/>
          <w:sz w:val="18"/>
        </w:rPr>
        <w:t>are</w:t>
      </w:r>
      <w:r>
        <w:rPr>
          <w:color w:val="0F0F0F"/>
          <w:spacing w:val="-24"/>
          <w:sz w:val="18"/>
        </w:rPr>
        <w:t xml:space="preserve"> </w:t>
      </w:r>
      <w:r>
        <w:rPr>
          <w:sz w:val="18"/>
        </w:rPr>
        <w:t>not</w:t>
      </w:r>
      <w:r>
        <w:rPr>
          <w:spacing w:val="-24"/>
          <w:sz w:val="18"/>
        </w:rPr>
        <w:t xml:space="preserve"> </w:t>
      </w:r>
      <w:r>
        <w:rPr>
          <w:sz w:val="18"/>
        </w:rPr>
        <w:t>aware</w:t>
      </w:r>
      <w:r>
        <w:rPr>
          <w:spacing w:val="-18"/>
          <w:sz w:val="18"/>
        </w:rPr>
        <w:t xml:space="preserve"> </w:t>
      </w:r>
      <w:r>
        <w:rPr>
          <w:color w:val="111111"/>
          <w:sz w:val="18"/>
        </w:rPr>
        <w:t>of</w:t>
      </w:r>
      <w:r>
        <w:rPr>
          <w:color w:val="111111"/>
          <w:spacing w:val="-23"/>
          <w:sz w:val="18"/>
        </w:rPr>
        <w:t xml:space="preserve"> </w:t>
      </w:r>
      <w:r>
        <w:rPr>
          <w:color w:val="0E0E0E"/>
          <w:sz w:val="18"/>
        </w:rPr>
        <w:t>any</w:t>
      </w:r>
      <w:r>
        <w:rPr>
          <w:color w:val="0E0E0E"/>
          <w:spacing w:val="-18"/>
          <w:sz w:val="18"/>
        </w:rPr>
        <w:t xml:space="preserve"> </w:t>
      </w:r>
      <w:r>
        <w:rPr>
          <w:sz w:val="18"/>
        </w:rPr>
        <w:t>circumstances</w:t>
      </w:r>
      <w:r>
        <w:rPr>
          <w:spacing w:val="-12"/>
          <w:sz w:val="18"/>
        </w:rPr>
        <w:t xml:space="preserve"> </w:t>
      </w:r>
      <w:r>
        <w:rPr>
          <w:sz w:val="18"/>
        </w:rPr>
        <w:t>which</w:t>
      </w:r>
      <w:r>
        <w:rPr>
          <w:spacing w:val="-19"/>
          <w:sz w:val="18"/>
        </w:rPr>
        <w:t xml:space="preserve"> </w:t>
      </w:r>
      <w:r>
        <w:rPr>
          <w:sz w:val="18"/>
        </w:rPr>
        <w:t>would</w:t>
      </w:r>
      <w:r>
        <w:rPr>
          <w:spacing w:val="-18"/>
          <w:sz w:val="18"/>
        </w:rPr>
        <w:t xml:space="preserve"> </w:t>
      </w:r>
      <w:r>
        <w:rPr>
          <w:sz w:val="18"/>
        </w:rPr>
        <w:t>render</w:t>
      </w:r>
      <w:r>
        <w:rPr>
          <w:spacing w:val="-15"/>
          <w:sz w:val="18"/>
        </w:rPr>
        <w:t xml:space="preserve"> </w:t>
      </w:r>
      <w:r>
        <w:rPr>
          <w:color w:val="161616"/>
          <w:sz w:val="18"/>
        </w:rPr>
        <w:t>any</w:t>
      </w:r>
      <w:r>
        <w:rPr>
          <w:color w:val="161616"/>
          <w:spacing w:val="-21"/>
          <w:sz w:val="18"/>
        </w:rPr>
        <w:t xml:space="preserve"> </w:t>
      </w:r>
      <w:r>
        <w:rPr>
          <w:sz w:val="18"/>
        </w:rPr>
        <w:t>particulars</w:t>
      </w:r>
      <w:r>
        <w:rPr>
          <w:spacing w:val="-6"/>
          <w:sz w:val="18"/>
        </w:rPr>
        <w:t xml:space="preserve"> </w:t>
      </w:r>
      <w:r>
        <w:rPr>
          <w:sz w:val="18"/>
        </w:rPr>
        <w:t>in</w:t>
      </w:r>
      <w:r>
        <w:rPr>
          <w:spacing w:val="-23"/>
          <w:sz w:val="18"/>
        </w:rPr>
        <w:t xml:space="preserve"> </w:t>
      </w:r>
      <w:r>
        <w:rPr>
          <w:color w:val="0E0E0E"/>
          <w:sz w:val="18"/>
        </w:rPr>
        <w:t>the</w:t>
      </w:r>
      <w:r>
        <w:rPr>
          <w:color w:val="0E0E0E"/>
          <w:spacing w:val="-18"/>
          <w:sz w:val="18"/>
        </w:rPr>
        <w:t xml:space="preserve"> </w:t>
      </w:r>
      <w:r>
        <w:rPr>
          <w:sz w:val="18"/>
        </w:rPr>
        <w:t>financial</w:t>
      </w:r>
      <w:r>
        <w:rPr>
          <w:spacing w:val="-15"/>
          <w:sz w:val="18"/>
        </w:rPr>
        <w:t xml:space="preserve"> </w:t>
      </w:r>
      <w:r>
        <w:rPr>
          <w:sz w:val="18"/>
        </w:rPr>
        <w:t>statements</w:t>
      </w:r>
      <w:r>
        <w:rPr>
          <w:spacing w:val="-15"/>
          <w:sz w:val="18"/>
        </w:rPr>
        <w:t xml:space="preserve"> </w:t>
      </w:r>
      <w:r>
        <w:rPr>
          <w:color w:val="0F0F0F"/>
          <w:sz w:val="18"/>
        </w:rPr>
        <w:t>to</w:t>
      </w:r>
      <w:r>
        <w:rPr>
          <w:color w:val="0F0F0F"/>
          <w:spacing w:val="-26"/>
          <w:sz w:val="18"/>
        </w:rPr>
        <w:t xml:space="preserve"> </w:t>
      </w:r>
      <w:r>
        <w:rPr>
          <w:color w:val="181818"/>
          <w:sz w:val="18"/>
        </w:rPr>
        <w:t>be</w:t>
      </w:r>
      <w:r>
        <w:rPr>
          <w:sz w:val="18"/>
        </w:rPr>
        <w:t xml:space="preserve"> misleading </w:t>
      </w:r>
      <w:r>
        <w:rPr>
          <w:color w:val="131313"/>
          <w:sz w:val="18"/>
        </w:rPr>
        <w:t>or</w:t>
      </w:r>
      <w:r>
        <w:rPr>
          <w:color w:val="131313"/>
          <w:spacing w:val="14"/>
          <w:sz w:val="18"/>
        </w:rPr>
        <w:t xml:space="preserve"> </w:t>
      </w:r>
      <w:r>
        <w:rPr>
          <w:sz w:val="18"/>
        </w:rPr>
        <w:t>inaccurate.</w:t>
      </w:r>
    </w:p>
    <w:p w14:paraId="46DAC930" w14:textId="77777777" w:rsidR="00FA4AA8" w:rsidRDefault="00FA4AA8">
      <w:pPr>
        <w:pStyle w:val="BodyText"/>
        <w:spacing w:before="10"/>
        <w:rPr>
          <w:sz w:val="23"/>
        </w:rPr>
      </w:pPr>
    </w:p>
    <w:p w14:paraId="526522A2" w14:textId="77777777" w:rsidR="00FA4AA8" w:rsidRDefault="0015611F">
      <w:pPr>
        <w:pStyle w:val="BodyText"/>
        <w:tabs>
          <w:tab w:val="left" w:pos="6395"/>
        </w:tabs>
        <w:spacing w:line="204" w:lineRule="exact"/>
        <w:ind w:left="132"/>
      </w:pPr>
      <w:r>
        <w:rPr>
          <w:noProof/>
          <w:lang w:val="en-AU" w:eastAsia="en-AU"/>
        </w:rPr>
        <w:drawing>
          <wp:anchor distT="0" distB="0" distL="0" distR="0" simplePos="0" relativeHeight="462801920" behindDoc="1" locked="0" layoutInCell="1" allowOverlap="1" wp14:anchorId="5010E1FB" wp14:editId="32BA4003">
            <wp:simplePos x="0" y="0"/>
            <wp:positionH relativeFrom="page">
              <wp:posOffset>1191767</wp:posOffset>
            </wp:positionH>
            <wp:positionV relativeFrom="paragraph">
              <wp:posOffset>31011</wp:posOffset>
            </wp:positionV>
            <wp:extent cx="5093208" cy="1292352"/>
            <wp:effectExtent l="0" t="0" r="0" b="0"/>
            <wp:wrapNone/>
            <wp:docPr id="121"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74.jpeg"/>
                    <pic:cNvPicPr/>
                  </pic:nvPicPr>
                  <pic:blipFill>
                    <a:blip r:embed="rId236" cstate="print"/>
                    <a:stretch>
                      <a:fillRect/>
                    </a:stretch>
                  </pic:blipFill>
                  <pic:spPr>
                    <a:xfrm>
                      <a:off x="0" y="0"/>
                      <a:ext cx="5093208" cy="1292352"/>
                    </a:xfrm>
                    <a:prstGeom prst="rect">
                      <a:avLst/>
                    </a:prstGeom>
                  </pic:spPr>
                </pic:pic>
              </a:graphicData>
            </a:graphic>
          </wp:anchor>
        </w:drawing>
      </w:r>
      <w:r>
        <w:t>This</w:t>
      </w:r>
      <w:r>
        <w:rPr>
          <w:spacing w:val="-18"/>
        </w:rPr>
        <w:t xml:space="preserve"> </w:t>
      </w:r>
      <w:r>
        <w:t>declaration</w:t>
      </w:r>
      <w:r>
        <w:rPr>
          <w:spacing w:val="-9"/>
        </w:rPr>
        <w:t xml:space="preserve"> </w:t>
      </w:r>
      <w:r>
        <w:t>is</w:t>
      </w:r>
      <w:r>
        <w:rPr>
          <w:spacing w:val="-21"/>
        </w:rPr>
        <w:t xml:space="preserve"> </w:t>
      </w:r>
      <w:r>
        <w:t>made</w:t>
      </w:r>
      <w:r>
        <w:rPr>
          <w:spacing w:val="-13"/>
        </w:rPr>
        <w:t xml:space="preserve"> </w:t>
      </w:r>
      <w:r>
        <w:t>in</w:t>
      </w:r>
      <w:r>
        <w:rPr>
          <w:spacing w:val="-21"/>
        </w:rPr>
        <w:t xml:space="preserve"> </w:t>
      </w:r>
      <w:r>
        <w:t>accordance</w:t>
      </w:r>
      <w:r>
        <w:rPr>
          <w:spacing w:val="-8"/>
        </w:rPr>
        <w:t xml:space="preserve"> </w:t>
      </w:r>
      <w:r>
        <w:t>with</w:t>
      </w:r>
      <w:r>
        <w:rPr>
          <w:spacing w:val="-14"/>
        </w:rPr>
        <w:t xml:space="preserve"> </w:t>
      </w:r>
      <w:r>
        <w:rPr>
          <w:color w:val="131313"/>
        </w:rPr>
        <w:t>a</w:t>
      </w:r>
      <w:r>
        <w:rPr>
          <w:color w:val="131313"/>
          <w:spacing w:val="-21"/>
        </w:rPr>
        <w:t xml:space="preserve"> </w:t>
      </w:r>
      <w:r>
        <w:t>resolution</w:t>
      </w:r>
      <w:r>
        <w:rPr>
          <w:spacing w:val="-9"/>
        </w:rPr>
        <w:t xml:space="preserve"> </w:t>
      </w:r>
      <w:r>
        <w:t>of</w:t>
      </w:r>
      <w:r>
        <w:rPr>
          <w:spacing w:val="-21"/>
        </w:rPr>
        <w:t xml:space="preserve"> </w:t>
      </w:r>
      <w:r>
        <w:t>the</w:t>
      </w:r>
      <w:r>
        <w:rPr>
          <w:spacing w:val="-17"/>
        </w:rPr>
        <w:t xml:space="preserve"> </w:t>
      </w:r>
      <w:r>
        <w:t>Board</w:t>
      </w:r>
      <w:r>
        <w:rPr>
          <w:spacing w:val="-15"/>
        </w:rPr>
        <w:t xml:space="preserve"> </w:t>
      </w:r>
      <w:r>
        <w:t>of</w:t>
      </w:r>
      <w:r>
        <w:rPr>
          <w:spacing w:val="-23"/>
        </w:rPr>
        <w:t xml:space="preserve"> </w:t>
      </w:r>
      <w:r>
        <w:t>Dire</w:t>
      </w:r>
      <w:r>
        <w:tab/>
      </w:r>
      <w:r>
        <w:rPr>
          <w:color w:val="5B5B5B"/>
        </w:rPr>
        <w:t xml:space="preserve">, </w:t>
      </w:r>
      <w:r>
        <w:t xml:space="preserve">pursuant to section 295(4) </w:t>
      </w:r>
      <w:r>
        <w:rPr>
          <w:color w:val="131313"/>
        </w:rPr>
        <w:t>of</w:t>
      </w:r>
      <w:r>
        <w:rPr>
          <w:color w:val="131313"/>
          <w:spacing w:val="-23"/>
        </w:rPr>
        <w:t xml:space="preserve"> </w:t>
      </w:r>
      <w:r>
        <w:rPr>
          <w:color w:val="0C0C0C"/>
        </w:rPr>
        <w:t>the</w:t>
      </w:r>
    </w:p>
    <w:p w14:paraId="0CEE85C9" w14:textId="77777777" w:rsidR="00FA4AA8" w:rsidRDefault="00444D3A">
      <w:pPr>
        <w:spacing w:line="204" w:lineRule="exact"/>
        <w:ind w:left="134"/>
        <w:rPr>
          <w:i/>
          <w:sz w:val="18"/>
        </w:rPr>
      </w:pPr>
      <w:r>
        <w:rPr>
          <w:i/>
          <w:sz w:val="18"/>
        </w:rPr>
        <w:t>Corporations</w:t>
      </w:r>
      <w:r w:rsidR="0015611F">
        <w:rPr>
          <w:i/>
          <w:sz w:val="18"/>
        </w:rPr>
        <w:t xml:space="preserve"> Act 2001, </w:t>
      </w:r>
      <w:r w:rsidR="0015611F">
        <w:rPr>
          <w:sz w:val="18"/>
        </w:rPr>
        <w:t xml:space="preserve">and </w:t>
      </w:r>
      <w:r w:rsidR="0015611F">
        <w:rPr>
          <w:color w:val="131313"/>
          <w:sz w:val="18"/>
        </w:rPr>
        <w:t xml:space="preserve">41(C) </w:t>
      </w:r>
      <w:r w:rsidR="0015611F">
        <w:rPr>
          <w:color w:val="161616"/>
          <w:sz w:val="18"/>
        </w:rPr>
        <w:t xml:space="preserve">of </w:t>
      </w:r>
      <w:r w:rsidR="0015611F">
        <w:rPr>
          <w:sz w:val="18"/>
        </w:rPr>
        <w:t xml:space="preserve">the </w:t>
      </w:r>
      <w:r w:rsidR="0015611F">
        <w:rPr>
          <w:i/>
          <w:sz w:val="18"/>
        </w:rPr>
        <w:t xml:space="preserve">Public Finance </w:t>
      </w:r>
      <w:r w:rsidR="0015611F">
        <w:rPr>
          <w:i/>
          <w:color w:val="0F0F0F"/>
          <w:sz w:val="18"/>
        </w:rPr>
        <w:t xml:space="preserve">and </w:t>
      </w:r>
      <w:r w:rsidR="0015611F">
        <w:rPr>
          <w:i/>
          <w:color w:val="0C0C0C"/>
          <w:sz w:val="18"/>
        </w:rPr>
        <w:t xml:space="preserve">Audit </w:t>
      </w:r>
      <w:r w:rsidR="0015611F">
        <w:rPr>
          <w:i/>
          <w:sz w:val="18"/>
        </w:rPr>
        <w:t>Act 198,</w:t>
      </w:r>
    </w:p>
    <w:p w14:paraId="358F16D5" w14:textId="77777777" w:rsidR="00FA4AA8" w:rsidRDefault="00FA4AA8">
      <w:pPr>
        <w:pStyle w:val="BodyText"/>
        <w:rPr>
          <w:i/>
          <w:sz w:val="20"/>
        </w:rPr>
      </w:pPr>
    </w:p>
    <w:p w14:paraId="4D6BC6AA" w14:textId="77777777" w:rsidR="00FA4AA8" w:rsidRDefault="00FA4AA8">
      <w:pPr>
        <w:pStyle w:val="BodyText"/>
        <w:rPr>
          <w:i/>
          <w:sz w:val="20"/>
        </w:rPr>
      </w:pPr>
    </w:p>
    <w:p w14:paraId="3AB14711" w14:textId="77777777" w:rsidR="00FA4AA8" w:rsidRDefault="00FA4AA8">
      <w:pPr>
        <w:pStyle w:val="BodyText"/>
        <w:rPr>
          <w:i/>
          <w:sz w:val="20"/>
        </w:rPr>
      </w:pPr>
    </w:p>
    <w:p w14:paraId="3E0032D0" w14:textId="77777777" w:rsidR="00FA4AA8" w:rsidRDefault="00FA4AA8">
      <w:pPr>
        <w:pStyle w:val="BodyText"/>
        <w:rPr>
          <w:i/>
          <w:sz w:val="20"/>
        </w:rPr>
      </w:pPr>
    </w:p>
    <w:p w14:paraId="28AA3506" w14:textId="77777777" w:rsidR="00FA4AA8" w:rsidRDefault="00FA4AA8">
      <w:pPr>
        <w:pStyle w:val="BodyText"/>
        <w:spacing w:before="2"/>
        <w:rPr>
          <w:i/>
          <w:sz w:val="25"/>
        </w:rPr>
      </w:pPr>
    </w:p>
    <w:p w14:paraId="24C0EA64" w14:textId="77777777" w:rsidR="00FA4AA8" w:rsidRDefault="0015611F">
      <w:pPr>
        <w:pStyle w:val="BodyText"/>
        <w:ind w:left="180"/>
      </w:pPr>
      <w:r>
        <w:t>Director</w:t>
      </w:r>
    </w:p>
    <w:p w14:paraId="17ECD58C" w14:textId="77777777" w:rsidR="00FA4AA8" w:rsidRDefault="00FA4AA8">
      <w:pPr>
        <w:pStyle w:val="BodyText"/>
        <w:rPr>
          <w:sz w:val="20"/>
        </w:rPr>
      </w:pPr>
    </w:p>
    <w:p w14:paraId="73C91FD1" w14:textId="77777777" w:rsidR="00FA4AA8" w:rsidRDefault="0015611F">
      <w:pPr>
        <w:pStyle w:val="BodyText"/>
        <w:spacing w:before="2"/>
        <w:rPr>
          <w:sz w:val="24"/>
        </w:rPr>
      </w:pPr>
      <w:r>
        <w:rPr>
          <w:noProof/>
          <w:lang w:val="en-AU" w:eastAsia="en-AU"/>
        </w:rPr>
        <w:drawing>
          <wp:anchor distT="0" distB="0" distL="0" distR="0" simplePos="0" relativeHeight="166" behindDoc="0" locked="0" layoutInCell="1" allowOverlap="1" wp14:anchorId="2E368729" wp14:editId="7CEC0216">
            <wp:simplePos x="0" y="0"/>
            <wp:positionH relativeFrom="page">
              <wp:posOffset>746759</wp:posOffset>
            </wp:positionH>
            <wp:positionV relativeFrom="paragraph">
              <wp:posOffset>201802</wp:posOffset>
            </wp:positionV>
            <wp:extent cx="1948815" cy="230314"/>
            <wp:effectExtent l="0" t="0" r="0" b="0"/>
            <wp:wrapTopAndBottom/>
            <wp:docPr id="123"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75.jpeg"/>
                    <pic:cNvPicPr/>
                  </pic:nvPicPr>
                  <pic:blipFill>
                    <a:blip r:embed="rId237" cstate="print"/>
                    <a:stretch>
                      <a:fillRect/>
                    </a:stretch>
                  </pic:blipFill>
                  <pic:spPr>
                    <a:xfrm>
                      <a:off x="0" y="0"/>
                      <a:ext cx="1948815" cy="230314"/>
                    </a:xfrm>
                    <a:prstGeom prst="rect">
                      <a:avLst/>
                    </a:prstGeom>
                  </pic:spPr>
                </pic:pic>
              </a:graphicData>
            </a:graphic>
          </wp:anchor>
        </w:drawing>
      </w:r>
    </w:p>
    <w:p w14:paraId="05D68B77" w14:textId="77777777" w:rsidR="00FA4AA8" w:rsidRDefault="00FA4AA8">
      <w:pPr>
        <w:rPr>
          <w:sz w:val="24"/>
        </w:rPr>
        <w:sectPr w:rsidR="00FA4AA8">
          <w:headerReference w:type="default" r:id="rId238"/>
          <w:footerReference w:type="default" r:id="rId239"/>
          <w:pgSz w:w="11910" w:h="16850"/>
          <w:pgMar w:top="1820" w:right="1200" w:bottom="720" w:left="1020" w:header="1265" w:footer="523" w:gutter="0"/>
          <w:pgNumType w:start="210"/>
          <w:cols w:space="720"/>
        </w:sectPr>
      </w:pPr>
    </w:p>
    <w:p w14:paraId="12B1157F" w14:textId="77777777" w:rsidR="00FA4AA8" w:rsidRDefault="00FA4AA8">
      <w:pPr>
        <w:pStyle w:val="BodyText"/>
        <w:spacing w:before="5"/>
        <w:rPr>
          <w:sz w:val="20"/>
        </w:rPr>
      </w:pPr>
    </w:p>
    <w:p w14:paraId="2E9264A2" w14:textId="77777777" w:rsidR="00FA4AA8" w:rsidRDefault="0015611F">
      <w:pPr>
        <w:spacing w:before="91"/>
        <w:ind w:left="120"/>
        <w:rPr>
          <w:sz w:val="27"/>
        </w:rPr>
      </w:pPr>
      <w:r>
        <w:rPr>
          <w:color w:val="111111"/>
          <w:w w:val="110"/>
          <w:sz w:val="27"/>
        </w:rPr>
        <w:t xml:space="preserve">Responsible </w:t>
      </w:r>
      <w:r>
        <w:rPr>
          <w:color w:val="161616"/>
          <w:w w:val="110"/>
          <w:sz w:val="27"/>
        </w:rPr>
        <w:t xml:space="preserve">Entities’ </w:t>
      </w:r>
      <w:r>
        <w:rPr>
          <w:color w:val="111111"/>
          <w:w w:val="110"/>
          <w:sz w:val="27"/>
        </w:rPr>
        <w:t>Declaration</w:t>
      </w:r>
    </w:p>
    <w:p w14:paraId="412B56DF" w14:textId="77777777" w:rsidR="00FA4AA8" w:rsidRDefault="00FA4AA8">
      <w:pPr>
        <w:pStyle w:val="BodyText"/>
        <w:spacing w:before="7"/>
        <w:rPr>
          <w:sz w:val="34"/>
        </w:rPr>
      </w:pPr>
    </w:p>
    <w:p w14:paraId="36B06F72" w14:textId="77777777" w:rsidR="00FA4AA8" w:rsidRDefault="0015611F">
      <w:pPr>
        <w:pStyle w:val="BodyText"/>
        <w:ind w:left="123"/>
      </w:pPr>
      <w:r>
        <w:t xml:space="preserve">The responsible entities declare </w:t>
      </w:r>
      <w:r>
        <w:rPr>
          <w:color w:val="111111"/>
        </w:rPr>
        <w:t xml:space="preserve">that </w:t>
      </w:r>
      <w:r>
        <w:t xml:space="preserve">in </w:t>
      </w:r>
      <w:r>
        <w:rPr>
          <w:color w:val="1A1A1A"/>
        </w:rPr>
        <w:t xml:space="preserve">the </w:t>
      </w:r>
      <w:r>
        <w:t>responsible entities' opinion:</w:t>
      </w:r>
    </w:p>
    <w:p w14:paraId="29B0385D" w14:textId="77777777" w:rsidR="00FA4AA8" w:rsidRDefault="00FA4AA8">
      <w:pPr>
        <w:pStyle w:val="BodyText"/>
        <w:rPr>
          <w:sz w:val="20"/>
        </w:rPr>
      </w:pPr>
    </w:p>
    <w:p w14:paraId="686F1A5B" w14:textId="77777777" w:rsidR="00FA4AA8" w:rsidRDefault="0015611F">
      <w:pPr>
        <w:pStyle w:val="ListParagraph"/>
        <w:numPr>
          <w:ilvl w:val="0"/>
          <w:numId w:val="29"/>
        </w:numPr>
        <w:tabs>
          <w:tab w:val="left" w:pos="781"/>
          <w:tab w:val="left" w:pos="782"/>
        </w:tabs>
        <w:spacing w:before="130" w:line="232" w:lineRule="auto"/>
        <w:ind w:right="283" w:hanging="653"/>
        <w:rPr>
          <w:sz w:val="18"/>
        </w:rPr>
      </w:pPr>
      <w:r>
        <w:rPr>
          <w:sz w:val="18"/>
        </w:rPr>
        <w:t>there</w:t>
      </w:r>
      <w:r>
        <w:rPr>
          <w:spacing w:val="-15"/>
          <w:sz w:val="18"/>
        </w:rPr>
        <w:t xml:space="preserve"> </w:t>
      </w:r>
      <w:r>
        <w:rPr>
          <w:sz w:val="18"/>
        </w:rPr>
        <w:t>are</w:t>
      </w:r>
      <w:r>
        <w:rPr>
          <w:spacing w:val="-21"/>
          <w:sz w:val="18"/>
        </w:rPr>
        <w:t xml:space="preserve"> </w:t>
      </w:r>
      <w:r>
        <w:rPr>
          <w:sz w:val="18"/>
        </w:rPr>
        <w:t>reasonable</w:t>
      </w:r>
      <w:r>
        <w:rPr>
          <w:spacing w:val="-11"/>
          <w:sz w:val="18"/>
        </w:rPr>
        <w:t xml:space="preserve"> </w:t>
      </w:r>
      <w:r>
        <w:rPr>
          <w:sz w:val="18"/>
        </w:rPr>
        <w:t>grounds</w:t>
      </w:r>
      <w:r>
        <w:rPr>
          <w:spacing w:val="-16"/>
          <w:sz w:val="18"/>
        </w:rPr>
        <w:t xml:space="preserve"> </w:t>
      </w:r>
      <w:r>
        <w:rPr>
          <w:color w:val="0E0E0E"/>
          <w:sz w:val="18"/>
        </w:rPr>
        <w:t>to</w:t>
      </w:r>
      <w:r>
        <w:rPr>
          <w:color w:val="0E0E0E"/>
          <w:spacing w:val="-22"/>
          <w:sz w:val="18"/>
        </w:rPr>
        <w:t xml:space="preserve"> </w:t>
      </w:r>
      <w:r>
        <w:rPr>
          <w:sz w:val="18"/>
        </w:rPr>
        <w:t>believe</w:t>
      </w:r>
      <w:r>
        <w:rPr>
          <w:spacing w:val="-14"/>
          <w:sz w:val="18"/>
        </w:rPr>
        <w:t xml:space="preserve"> </w:t>
      </w:r>
      <w:r>
        <w:rPr>
          <w:sz w:val="18"/>
        </w:rPr>
        <w:t>that</w:t>
      </w:r>
      <w:r>
        <w:rPr>
          <w:spacing w:val="-20"/>
          <w:sz w:val="18"/>
        </w:rPr>
        <w:t xml:space="preserve"> </w:t>
      </w:r>
      <w:r>
        <w:rPr>
          <w:sz w:val="18"/>
        </w:rPr>
        <w:t>the</w:t>
      </w:r>
      <w:r>
        <w:rPr>
          <w:spacing w:val="-18"/>
          <w:sz w:val="18"/>
        </w:rPr>
        <w:t xml:space="preserve"> </w:t>
      </w:r>
      <w:r>
        <w:rPr>
          <w:sz w:val="18"/>
        </w:rPr>
        <w:t>registered</w:t>
      </w:r>
      <w:r>
        <w:rPr>
          <w:spacing w:val="-10"/>
          <w:sz w:val="18"/>
        </w:rPr>
        <w:t xml:space="preserve"> </w:t>
      </w:r>
      <w:r>
        <w:rPr>
          <w:sz w:val="18"/>
        </w:rPr>
        <w:t>entity</w:t>
      </w:r>
      <w:r>
        <w:rPr>
          <w:spacing w:val="-15"/>
          <w:sz w:val="18"/>
        </w:rPr>
        <w:t xml:space="preserve"> </w:t>
      </w:r>
      <w:r>
        <w:rPr>
          <w:sz w:val="18"/>
        </w:rPr>
        <w:t>is</w:t>
      </w:r>
      <w:r>
        <w:rPr>
          <w:spacing w:val="-20"/>
          <w:sz w:val="18"/>
        </w:rPr>
        <w:t xml:space="preserve"> </w:t>
      </w:r>
      <w:r>
        <w:rPr>
          <w:sz w:val="18"/>
        </w:rPr>
        <w:t>able</w:t>
      </w:r>
      <w:r>
        <w:rPr>
          <w:spacing w:val="-20"/>
          <w:sz w:val="18"/>
        </w:rPr>
        <w:t xml:space="preserve"> </w:t>
      </w:r>
      <w:r>
        <w:rPr>
          <w:color w:val="0F0F0F"/>
          <w:sz w:val="18"/>
        </w:rPr>
        <w:t>to</w:t>
      </w:r>
      <w:r>
        <w:rPr>
          <w:color w:val="0F0F0F"/>
          <w:spacing w:val="-23"/>
          <w:sz w:val="18"/>
        </w:rPr>
        <w:t xml:space="preserve"> </w:t>
      </w:r>
      <w:r>
        <w:rPr>
          <w:sz w:val="18"/>
        </w:rPr>
        <w:t>pay</w:t>
      </w:r>
      <w:r>
        <w:rPr>
          <w:spacing w:val="-13"/>
          <w:sz w:val="18"/>
        </w:rPr>
        <w:t xml:space="preserve"> </w:t>
      </w:r>
      <w:r>
        <w:rPr>
          <w:color w:val="151515"/>
          <w:sz w:val="18"/>
        </w:rPr>
        <w:t>all</w:t>
      </w:r>
      <w:r>
        <w:rPr>
          <w:color w:val="151515"/>
          <w:spacing w:val="-21"/>
          <w:sz w:val="18"/>
        </w:rPr>
        <w:t xml:space="preserve"> </w:t>
      </w:r>
      <w:r>
        <w:rPr>
          <w:sz w:val="18"/>
        </w:rPr>
        <w:t>of</w:t>
      </w:r>
      <w:r>
        <w:rPr>
          <w:spacing w:val="-20"/>
          <w:sz w:val="18"/>
        </w:rPr>
        <w:t xml:space="preserve"> </w:t>
      </w:r>
      <w:r>
        <w:rPr>
          <w:sz w:val="18"/>
        </w:rPr>
        <w:t>its</w:t>
      </w:r>
      <w:r>
        <w:rPr>
          <w:spacing w:val="-18"/>
          <w:sz w:val="18"/>
        </w:rPr>
        <w:t xml:space="preserve"> </w:t>
      </w:r>
      <w:r>
        <w:rPr>
          <w:sz w:val="18"/>
        </w:rPr>
        <w:t>debts,</w:t>
      </w:r>
      <w:r>
        <w:rPr>
          <w:spacing w:val="-9"/>
          <w:sz w:val="18"/>
        </w:rPr>
        <w:t xml:space="preserve"> </w:t>
      </w:r>
      <w:r>
        <w:rPr>
          <w:color w:val="1A1A1A"/>
          <w:sz w:val="18"/>
        </w:rPr>
        <w:t>as</w:t>
      </w:r>
      <w:r>
        <w:rPr>
          <w:color w:val="1A1A1A"/>
          <w:spacing w:val="-19"/>
          <w:sz w:val="18"/>
        </w:rPr>
        <w:t xml:space="preserve"> </w:t>
      </w:r>
      <w:r>
        <w:rPr>
          <w:color w:val="151515"/>
          <w:sz w:val="18"/>
        </w:rPr>
        <w:t>and</w:t>
      </w:r>
      <w:r>
        <w:rPr>
          <w:color w:val="151515"/>
          <w:spacing w:val="-16"/>
          <w:sz w:val="18"/>
        </w:rPr>
        <w:t xml:space="preserve"> </w:t>
      </w:r>
      <w:r>
        <w:rPr>
          <w:sz w:val="18"/>
        </w:rPr>
        <w:t>when</w:t>
      </w:r>
      <w:r>
        <w:rPr>
          <w:spacing w:val="-14"/>
          <w:sz w:val="18"/>
        </w:rPr>
        <w:t xml:space="preserve"> </w:t>
      </w:r>
      <w:r>
        <w:rPr>
          <w:color w:val="111111"/>
          <w:sz w:val="18"/>
        </w:rPr>
        <w:t>they</w:t>
      </w:r>
      <w:r>
        <w:rPr>
          <w:sz w:val="18"/>
        </w:rPr>
        <w:t xml:space="preserve"> become due and payable;</w:t>
      </w:r>
      <w:r>
        <w:rPr>
          <w:spacing w:val="-15"/>
          <w:sz w:val="18"/>
        </w:rPr>
        <w:t xml:space="preserve"> </w:t>
      </w:r>
      <w:r>
        <w:rPr>
          <w:sz w:val="18"/>
        </w:rPr>
        <w:t>and</w:t>
      </w:r>
    </w:p>
    <w:p w14:paraId="0952F558" w14:textId="77777777" w:rsidR="00FA4AA8" w:rsidRDefault="00FA4AA8">
      <w:pPr>
        <w:pStyle w:val="BodyText"/>
        <w:rPr>
          <w:sz w:val="20"/>
        </w:rPr>
      </w:pPr>
    </w:p>
    <w:p w14:paraId="4E9AF41B" w14:textId="77777777" w:rsidR="00FA4AA8" w:rsidRDefault="0015611F">
      <w:pPr>
        <w:pStyle w:val="ListParagraph"/>
        <w:numPr>
          <w:ilvl w:val="0"/>
          <w:numId w:val="29"/>
        </w:numPr>
        <w:tabs>
          <w:tab w:val="left" w:pos="781"/>
          <w:tab w:val="left" w:pos="782"/>
        </w:tabs>
        <w:spacing w:before="132" w:line="232" w:lineRule="auto"/>
        <w:ind w:left="787" w:right="863"/>
        <w:rPr>
          <w:i/>
          <w:color w:val="131313"/>
          <w:sz w:val="18"/>
        </w:rPr>
      </w:pPr>
      <w:r>
        <w:rPr>
          <w:sz w:val="18"/>
        </w:rPr>
        <w:t>the</w:t>
      </w:r>
      <w:r>
        <w:rPr>
          <w:spacing w:val="-25"/>
          <w:sz w:val="18"/>
        </w:rPr>
        <w:t xml:space="preserve"> </w:t>
      </w:r>
      <w:r>
        <w:rPr>
          <w:sz w:val="18"/>
        </w:rPr>
        <w:t>financial</w:t>
      </w:r>
      <w:r>
        <w:rPr>
          <w:spacing w:val="-21"/>
          <w:sz w:val="18"/>
        </w:rPr>
        <w:t xml:space="preserve"> </w:t>
      </w:r>
      <w:r>
        <w:rPr>
          <w:sz w:val="18"/>
        </w:rPr>
        <w:t>statements</w:t>
      </w:r>
      <w:r>
        <w:rPr>
          <w:spacing w:val="-19"/>
          <w:sz w:val="18"/>
        </w:rPr>
        <w:t xml:space="preserve"> </w:t>
      </w:r>
      <w:r>
        <w:rPr>
          <w:sz w:val="18"/>
        </w:rPr>
        <w:t>and</w:t>
      </w:r>
      <w:r>
        <w:rPr>
          <w:spacing w:val="-29"/>
          <w:sz w:val="18"/>
        </w:rPr>
        <w:t xml:space="preserve"> </w:t>
      </w:r>
      <w:r>
        <w:rPr>
          <w:sz w:val="18"/>
        </w:rPr>
        <w:t>notes</w:t>
      </w:r>
      <w:r>
        <w:rPr>
          <w:spacing w:val="-24"/>
          <w:sz w:val="18"/>
        </w:rPr>
        <w:t xml:space="preserve"> </w:t>
      </w:r>
      <w:r>
        <w:rPr>
          <w:sz w:val="18"/>
        </w:rPr>
        <w:t>satisfy</w:t>
      </w:r>
      <w:r>
        <w:rPr>
          <w:spacing w:val="-23"/>
          <w:sz w:val="18"/>
        </w:rPr>
        <w:t xml:space="preserve"> </w:t>
      </w:r>
      <w:r>
        <w:rPr>
          <w:sz w:val="18"/>
        </w:rPr>
        <w:t>the</w:t>
      </w:r>
      <w:r>
        <w:rPr>
          <w:spacing w:val="-25"/>
          <w:sz w:val="18"/>
        </w:rPr>
        <w:t xml:space="preserve"> </w:t>
      </w:r>
      <w:r>
        <w:rPr>
          <w:sz w:val="18"/>
        </w:rPr>
        <w:t>requirements</w:t>
      </w:r>
      <w:r>
        <w:rPr>
          <w:spacing w:val="-12"/>
          <w:sz w:val="18"/>
        </w:rPr>
        <w:t xml:space="preserve"> </w:t>
      </w:r>
      <w:r>
        <w:rPr>
          <w:sz w:val="18"/>
        </w:rPr>
        <w:t>of</w:t>
      </w:r>
      <w:r>
        <w:rPr>
          <w:spacing w:val="-32"/>
          <w:sz w:val="18"/>
        </w:rPr>
        <w:t xml:space="preserve"> </w:t>
      </w:r>
      <w:r>
        <w:rPr>
          <w:sz w:val="18"/>
        </w:rPr>
        <w:t>the</w:t>
      </w:r>
      <w:r>
        <w:rPr>
          <w:spacing w:val="-22"/>
          <w:sz w:val="18"/>
        </w:rPr>
        <w:t xml:space="preserve"> </w:t>
      </w:r>
      <w:r>
        <w:rPr>
          <w:i/>
          <w:sz w:val="18"/>
        </w:rPr>
        <w:t>Australian</w:t>
      </w:r>
      <w:r>
        <w:rPr>
          <w:i/>
          <w:spacing w:val="-15"/>
          <w:sz w:val="18"/>
        </w:rPr>
        <w:t xml:space="preserve"> </w:t>
      </w:r>
      <w:r>
        <w:rPr>
          <w:i/>
          <w:sz w:val="18"/>
        </w:rPr>
        <w:t>Charities</w:t>
      </w:r>
      <w:r>
        <w:rPr>
          <w:i/>
          <w:spacing w:val="-19"/>
          <w:sz w:val="18"/>
        </w:rPr>
        <w:t xml:space="preserve"> </w:t>
      </w:r>
      <w:r>
        <w:rPr>
          <w:i/>
          <w:sz w:val="18"/>
        </w:rPr>
        <w:t>and</w:t>
      </w:r>
      <w:r>
        <w:rPr>
          <w:i/>
          <w:spacing w:val="-22"/>
          <w:sz w:val="18"/>
        </w:rPr>
        <w:t xml:space="preserve"> </w:t>
      </w:r>
      <w:r>
        <w:rPr>
          <w:i/>
          <w:sz w:val="18"/>
        </w:rPr>
        <w:t xml:space="preserve">Not-for-profits Commission </w:t>
      </w:r>
      <w:r>
        <w:rPr>
          <w:i/>
          <w:color w:val="0F0F0F"/>
          <w:sz w:val="18"/>
        </w:rPr>
        <w:t>Act</w:t>
      </w:r>
      <w:r>
        <w:rPr>
          <w:i/>
          <w:color w:val="0F0F0F"/>
          <w:spacing w:val="9"/>
          <w:sz w:val="18"/>
        </w:rPr>
        <w:t xml:space="preserve"> </w:t>
      </w:r>
      <w:r>
        <w:rPr>
          <w:i/>
          <w:sz w:val="18"/>
        </w:rPr>
        <w:t>2012.</w:t>
      </w:r>
    </w:p>
    <w:p w14:paraId="2993800F" w14:textId="77777777" w:rsidR="00FA4AA8" w:rsidRDefault="00FA4AA8">
      <w:pPr>
        <w:pStyle w:val="BodyText"/>
        <w:rPr>
          <w:i/>
          <w:sz w:val="20"/>
        </w:rPr>
      </w:pPr>
    </w:p>
    <w:p w14:paraId="1AA48788" w14:textId="77777777" w:rsidR="00FA4AA8" w:rsidRDefault="007E2441">
      <w:pPr>
        <w:tabs>
          <w:tab w:val="left" w:pos="1627"/>
        </w:tabs>
        <w:spacing w:before="126"/>
        <w:ind w:left="133"/>
        <w:rPr>
          <w:i/>
          <w:sz w:val="18"/>
        </w:rPr>
      </w:pPr>
      <w:r>
        <w:rPr>
          <w:noProof/>
          <w:lang w:val="en-AU" w:eastAsia="en-AU"/>
        </w:rPr>
        <mc:AlternateContent>
          <mc:Choice Requires="wpg">
            <w:drawing>
              <wp:anchor distT="0" distB="0" distL="114300" distR="114300" simplePos="0" relativeHeight="462802944" behindDoc="1" locked="0" layoutInCell="1" allowOverlap="1" wp14:anchorId="0519102A" wp14:editId="2D8DCCA3">
                <wp:simplePos x="0" y="0"/>
                <wp:positionH relativeFrom="page">
                  <wp:posOffset>1560830</wp:posOffset>
                </wp:positionH>
                <wp:positionV relativeFrom="paragraph">
                  <wp:posOffset>-1905</wp:posOffset>
                </wp:positionV>
                <wp:extent cx="1176655" cy="868680"/>
                <wp:effectExtent l="0" t="0" r="0" b="0"/>
                <wp:wrapNone/>
                <wp:docPr id="498"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6655" cy="868680"/>
                          <a:chOff x="2458" y="-3"/>
                          <a:chExt cx="1853" cy="1368"/>
                        </a:xfrm>
                      </wpg:grpSpPr>
                      <pic:pic xmlns:pic="http://schemas.openxmlformats.org/drawingml/2006/picture">
                        <pic:nvPicPr>
                          <pic:cNvPr id="499" name="Picture 267"/>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3134" y="722"/>
                            <a:ext cx="1176" cy="6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0" name="Picture 266"/>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2457" y="-3"/>
                            <a:ext cx="370" cy="9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1" name="Picture 265"/>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2884" y="170"/>
                            <a:ext cx="288" cy="71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898BC7F" id="Group 264" o:spid="_x0000_s1026" style="position:absolute;margin-left:122.9pt;margin-top:-.15pt;width:92.65pt;height:68.4pt;z-index:-40513536;mso-position-horizontal-relative:page" coordorigin="2458,-3" coordsize="1853,13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">
                <v:shape id="Picture 267" o:spid="_x0000_s1027" type="#_x0000_t75" style="position:absolute;left:3134;top:722;width:1176;height: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">
                  <v:imagedata r:id="rId243" o:title=""/>
                </v:shape>
                <v:shape id="Picture 266" o:spid="_x0000_s1028" type="#_x0000_t75" style="position:absolute;left:2457;top:-3;width:370;height: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">
                  <v:imagedata r:id="rId244" o:title=""/>
                </v:shape>
                <v:shape id="Picture 265" o:spid="_x0000_s1029" type="#_x0000_t75" style="position:absolute;left:2884;top:170;width:288;height: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">
                  <v:imagedata r:id="rId245" o:title=""/>
                </v:shape>
                <w10:wrap anchorx="page"/>
              </v:group>
            </w:pict>
          </mc:Fallback>
        </mc:AlternateContent>
      </w:r>
      <w:r w:rsidR="0015611F">
        <w:rPr>
          <w:sz w:val="18"/>
        </w:rPr>
        <w:t>Signed</w:t>
      </w:r>
      <w:r w:rsidR="0015611F">
        <w:rPr>
          <w:spacing w:val="-14"/>
          <w:sz w:val="18"/>
        </w:rPr>
        <w:t xml:space="preserve"> </w:t>
      </w:r>
      <w:r w:rsidR="0015611F">
        <w:rPr>
          <w:sz w:val="18"/>
        </w:rPr>
        <w:t>in</w:t>
      </w:r>
      <w:r w:rsidR="0015611F">
        <w:rPr>
          <w:spacing w:val="-18"/>
          <w:sz w:val="18"/>
        </w:rPr>
        <w:t xml:space="preserve"> </w:t>
      </w:r>
      <w:r w:rsidR="0015611F">
        <w:rPr>
          <w:sz w:val="18"/>
        </w:rPr>
        <w:t>accord</w:t>
      </w:r>
      <w:r w:rsidR="0015611F">
        <w:rPr>
          <w:sz w:val="18"/>
        </w:rPr>
        <w:tab/>
      </w:r>
      <w:r w:rsidR="0015611F">
        <w:rPr>
          <w:color w:val="161616"/>
          <w:sz w:val="18"/>
        </w:rPr>
        <w:t xml:space="preserve">c </w:t>
      </w:r>
      <w:r w:rsidR="0015611F">
        <w:rPr>
          <w:color w:val="181818"/>
          <w:sz w:val="18"/>
        </w:rPr>
        <w:t xml:space="preserve">wi </w:t>
      </w:r>
      <w:r w:rsidR="0015611F">
        <w:rPr>
          <w:sz w:val="18"/>
        </w:rPr>
        <w:t xml:space="preserve">subsection </w:t>
      </w:r>
      <w:r w:rsidR="0015611F">
        <w:rPr>
          <w:color w:val="0E0E0E"/>
          <w:sz w:val="18"/>
        </w:rPr>
        <w:t xml:space="preserve">60.15(2) </w:t>
      </w:r>
      <w:r w:rsidR="0015611F">
        <w:rPr>
          <w:color w:val="0F0F0F"/>
          <w:sz w:val="18"/>
        </w:rPr>
        <w:t xml:space="preserve">of </w:t>
      </w:r>
      <w:r w:rsidR="0015611F">
        <w:rPr>
          <w:color w:val="111111"/>
          <w:sz w:val="18"/>
        </w:rPr>
        <w:t xml:space="preserve">the </w:t>
      </w:r>
      <w:r w:rsidR="0015611F">
        <w:rPr>
          <w:i/>
          <w:sz w:val="18"/>
        </w:rPr>
        <w:t xml:space="preserve">Australian Charities </w:t>
      </w:r>
      <w:r w:rsidR="0015611F">
        <w:rPr>
          <w:color w:val="1C1C1C"/>
          <w:sz w:val="18"/>
        </w:rPr>
        <w:t xml:space="preserve">and </w:t>
      </w:r>
      <w:r w:rsidR="0015611F">
        <w:rPr>
          <w:i/>
          <w:sz w:val="18"/>
        </w:rPr>
        <w:t>Not-</w:t>
      </w:r>
      <w:r w:rsidR="00444D3A">
        <w:rPr>
          <w:i/>
          <w:sz w:val="18"/>
        </w:rPr>
        <w:t>for</w:t>
      </w:r>
      <w:r w:rsidR="0015611F">
        <w:rPr>
          <w:i/>
          <w:sz w:val="18"/>
        </w:rPr>
        <w:t>-pro</w:t>
      </w:r>
      <w:r w:rsidR="00444D3A">
        <w:rPr>
          <w:i/>
          <w:sz w:val="18"/>
        </w:rPr>
        <w:t>fits</w:t>
      </w:r>
      <w:r w:rsidR="0015611F">
        <w:rPr>
          <w:i/>
          <w:sz w:val="18"/>
        </w:rPr>
        <w:t xml:space="preserve"> </w:t>
      </w:r>
      <w:r w:rsidR="0015611F">
        <w:rPr>
          <w:sz w:val="18"/>
        </w:rPr>
        <w:t xml:space="preserve">Commission </w:t>
      </w:r>
      <w:r w:rsidR="0015611F">
        <w:rPr>
          <w:i/>
          <w:color w:val="181818"/>
          <w:sz w:val="18"/>
        </w:rPr>
        <w:t>Act</w:t>
      </w:r>
      <w:r w:rsidR="0015611F">
        <w:rPr>
          <w:i/>
          <w:color w:val="181818"/>
          <w:spacing w:val="-29"/>
          <w:sz w:val="18"/>
        </w:rPr>
        <w:t xml:space="preserve"> </w:t>
      </w:r>
      <w:r w:rsidR="0015611F">
        <w:rPr>
          <w:i/>
          <w:sz w:val="18"/>
        </w:rPr>
        <w:t>2013.</w:t>
      </w:r>
    </w:p>
    <w:p w14:paraId="34F03C35" w14:textId="77777777" w:rsidR="00FA4AA8" w:rsidRDefault="00FA4AA8">
      <w:pPr>
        <w:pStyle w:val="BodyText"/>
        <w:rPr>
          <w:i/>
          <w:sz w:val="20"/>
        </w:rPr>
      </w:pPr>
    </w:p>
    <w:p w14:paraId="7F4281E2" w14:textId="77777777" w:rsidR="00FA4AA8" w:rsidRDefault="00FA4AA8">
      <w:pPr>
        <w:pStyle w:val="BodyText"/>
        <w:rPr>
          <w:i/>
          <w:sz w:val="20"/>
        </w:rPr>
      </w:pPr>
    </w:p>
    <w:p w14:paraId="357DC9FE" w14:textId="77777777" w:rsidR="00FA4AA8" w:rsidRDefault="00FA4AA8">
      <w:pPr>
        <w:pStyle w:val="BodyText"/>
        <w:spacing w:before="4"/>
        <w:rPr>
          <w:i/>
        </w:rPr>
      </w:pPr>
    </w:p>
    <w:p w14:paraId="35BAD7BC" w14:textId="77777777" w:rsidR="00FA4AA8" w:rsidRDefault="00444D3A">
      <w:pPr>
        <w:ind w:left="139"/>
        <w:rPr>
          <w:sz w:val="15"/>
        </w:rPr>
      </w:pPr>
      <w:r>
        <w:rPr>
          <w:sz w:val="15"/>
        </w:rPr>
        <w:t>Director</w:t>
      </w:r>
      <w:r w:rsidR="0015611F">
        <w:rPr>
          <w:sz w:val="15"/>
        </w:rPr>
        <w:t xml:space="preserve"> </w:t>
      </w:r>
      <w:r w:rsidR="0015611F">
        <w:rPr>
          <w:color w:val="3F3F3F"/>
          <w:sz w:val="15"/>
        </w:rPr>
        <w:t>..</w:t>
      </w:r>
      <w:r w:rsidR="0015611F">
        <w:rPr>
          <w:color w:val="363636"/>
          <w:sz w:val="15"/>
        </w:rPr>
        <w:t xml:space="preserve">-.. </w:t>
      </w:r>
      <w:r w:rsidR="0015611F">
        <w:rPr>
          <w:color w:val="3B3B3B"/>
          <w:sz w:val="15"/>
        </w:rPr>
        <w:t xml:space="preserve">-.. </w:t>
      </w:r>
      <w:r w:rsidR="0015611F">
        <w:rPr>
          <w:color w:val="313131"/>
          <w:w w:val="95"/>
          <w:sz w:val="15"/>
        </w:rPr>
        <w:t xml:space="preserve">- </w:t>
      </w:r>
      <w:r w:rsidR="0015611F">
        <w:rPr>
          <w:color w:val="696969"/>
          <w:sz w:val="15"/>
        </w:rPr>
        <w:t>.</w:t>
      </w:r>
      <w:r w:rsidR="0015611F">
        <w:rPr>
          <w:color w:val="2A2A2A"/>
          <w:sz w:val="15"/>
        </w:rPr>
        <w:t xml:space="preserve">-........... </w:t>
      </w:r>
      <w:r w:rsidR="0015611F">
        <w:rPr>
          <w:sz w:val="15"/>
        </w:rPr>
        <w:t xml:space="preserve">-........ </w:t>
      </w:r>
      <w:r w:rsidR="0015611F">
        <w:rPr>
          <w:color w:val="383838"/>
          <w:sz w:val="15"/>
        </w:rPr>
        <w:t>........</w:t>
      </w:r>
      <w:r w:rsidR="0015611F">
        <w:rPr>
          <w:color w:val="2D2D2D"/>
          <w:sz w:val="15"/>
        </w:rPr>
        <w:t xml:space="preserve">-.. </w:t>
      </w:r>
      <w:r w:rsidR="0015611F">
        <w:rPr>
          <w:color w:val="595959"/>
          <w:sz w:val="15"/>
        </w:rPr>
        <w:t xml:space="preserve">-. </w:t>
      </w:r>
      <w:r w:rsidR="0015611F">
        <w:rPr>
          <w:color w:val="2A2A2A"/>
          <w:sz w:val="15"/>
        </w:rPr>
        <w:t xml:space="preserve">-.. </w:t>
      </w:r>
      <w:r w:rsidR="0015611F">
        <w:rPr>
          <w:color w:val="494949"/>
          <w:sz w:val="15"/>
        </w:rPr>
        <w:t xml:space="preserve">-. </w:t>
      </w:r>
      <w:r w:rsidR="0015611F">
        <w:rPr>
          <w:color w:val="595959"/>
          <w:sz w:val="15"/>
        </w:rPr>
        <w:t xml:space="preserve">.. </w:t>
      </w:r>
      <w:r w:rsidR="0015611F">
        <w:rPr>
          <w:color w:val="464646"/>
          <w:sz w:val="15"/>
        </w:rPr>
        <w:t xml:space="preserve">-.. </w:t>
      </w:r>
      <w:r w:rsidR="0015611F">
        <w:rPr>
          <w:color w:val="313131"/>
          <w:sz w:val="15"/>
        </w:rPr>
        <w:t xml:space="preserve">-.. </w:t>
      </w:r>
      <w:r w:rsidR="0015611F">
        <w:rPr>
          <w:color w:val="4D4D4D"/>
          <w:sz w:val="15"/>
        </w:rPr>
        <w:t>..</w:t>
      </w:r>
      <w:r w:rsidR="0015611F">
        <w:rPr>
          <w:color w:val="313131"/>
          <w:sz w:val="15"/>
        </w:rPr>
        <w:t xml:space="preserve">-.. </w:t>
      </w:r>
      <w:r w:rsidR="0015611F">
        <w:rPr>
          <w:color w:val="363636"/>
          <w:sz w:val="15"/>
        </w:rPr>
        <w:t>-.</w:t>
      </w:r>
    </w:p>
    <w:p w14:paraId="5BF3258E" w14:textId="77777777" w:rsidR="00FA4AA8" w:rsidRDefault="0015611F">
      <w:pPr>
        <w:pStyle w:val="BodyText"/>
        <w:spacing w:before="6"/>
        <w:rPr>
          <w:sz w:val="23"/>
        </w:rPr>
      </w:pPr>
      <w:r>
        <w:rPr>
          <w:noProof/>
          <w:lang w:val="en-AU" w:eastAsia="en-AU"/>
        </w:rPr>
        <w:drawing>
          <wp:anchor distT="0" distB="0" distL="0" distR="0" simplePos="0" relativeHeight="168" behindDoc="0" locked="0" layoutInCell="1" allowOverlap="1" wp14:anchorId="33F05797" wp14:editId="265D158C">
            <wp:simplePos x="0" y="0"/>
            <wp:positionH relativeFrom="page">
              <wp:posOffset>746759</wp:posOffset>
            </wp:positionH>
            <wp:positionV relativeFrom="paragraph">
              <wp:posOffset>196522</wp:posOffset>
            </wp:positionV>
            <wp:extent cx="2061019" cy="221456"/>
            <wp:effectExtent l="0" t="0" r="0" b="0"/>
            <wp:wrapTopAndBottom/>
            <wp:docPr id="125"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79.jpeg"/>
                    <pic:cNvPicPr/>
                  </pic:nvPicPr>
                  <pic:blipFill>
                    <a:blip r:embed="rId246" cstate="print"/>
                    <a:stretch>
                      <a:fillRect/>
                    </a:stretch>
                  </pic:blipFill>
                  <pic:spPr>
                    <a:xfrm>
                      <a:off x="0" y="0"/>
                      <a:ext cx="2061019" cy="221456"/>
                    </a:xfrm>
                    <a:prstGeom prst="rect">
                      <a:avLst/>
                    </a:prstGeom>
                  </pic:spPr>
                </pic:pic>
              </a:graphicData>
            </a:graphic>
          </wp:anchor>
        </w:drawing>
      </w:r>
    </w:p>
    <w:p w14:paraId="19F4A5C2" w14:textId="77777777" w:rsidR="00FA4AA8" w:rsidRDefault="00FA4AA8">
      <w:pPr>
        <w:rPr>
          <w:sz w:val="23"/>
        </w:rPr>
        <w:sectPr w:rsidR="00FA4AA8">
          <w:headerReference w:type="default" r:id="rId247"/>
          <w:footerReference w:type="default" r:id="rId248"/>
          <w:pgSz w:w="11910" w:h="16850"/>
          <w:pgMar w:top="1820" w:right="1200" w:bottom="720" w:left="1020" w:header="1265" w:footer="523" w:gutter="0"/>
          <w:pgNumType w:start="211"/>
          <w:cols w:space="720"/>
        </w:sectPr>
      </w:pPr>
    </w:p>
    <w:p w14:paraId="5987CFE7" w14:textId="77777777" w:rsidR="00FA4AA8" w:rsidRDefault="0015611F">
      <w:pPr>
        <w:pStyle w:val="BodyText"/>
        <w:ind w:left="4520"/>
        <w:rPr>
          <w:sz w:val="20"/>
        </w:rPr>
      </w:pPr>
      <w:r>
        <w:rPr>
          <w:noProof/>
          <w:sz w:val="20"/>
          <w:lang w:val="en-AU" w:eastAsia="en-AU"/>
        </w:rPr>
        <w:drawing>
          <wp:inline distT="0" distB="0" distL="0" distR="0" wp14:anchorId="5C105F98" wp14:editId="7B302BD9">
            <wp:extent cx="624714" cy="167640"/>
            <wp:effectExtent l="0" t="0" r="0" b="0"/>
            <wp:docPr id="127"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80.jpeg"/>
                    <pic:cNvPicPr/>
                  </pic:nvPicPr>
                  <pic:blipFill>
                    <a:blip r:embed="rId249" cstate="print"/>
                    <a:stretch>
                      <a:fillRect/>
                    </a:stretch>
                  </pic:blipFill>
                  <pic:spPr>
                    <a:xfrm>
                      <a:off x="0" y="0"/>
                      <a:ext cx="624714" cy="167640"/>
                    </a:xfrm>
                    <a:prstGeom prst="rect">
                      <a:avLst/>
                    </a:prstGeom>
                  </pic:spPr>
                </pic:pic>
              </a:graphicData>
            </a:graphic>
          </wp:inline>
        </w:drawing>
      </w:r>
    </w:p>
    <w:p w14:paraId="4A3FB53F" w14:textId="77777777" w:rsidR="00FA4AA8" w:rsidRDefault="0015611F">
      <w:pPr>
        <w:pStyle w:val="BodyText"/>
        <w:spacing w:before="3"/>
        <w:rPr>
          <w:sz w:val="15"/>
        </w:rPr>
      </w:pPr>
      <w:r>
        <w:rPr>
          <w:noProof/>
          <w:lang w:val="en-AU" w:eastAsia="en-AU"/>
        </w:rPr>
        <w:drawing>
          <wp:anchor distT="0" distB="0" distL="0" distR="0" simplePos="0" relativeHeight="170" behindDoc="0" locked="0" layoutInCell="1" allowOverlap="1" wp14:anchorId="020F17AD" wp14:editId="180BF46F">
            <wp:simplePos x="0" y="0"/>
            <wp:positionH relativeFrom="page">
              <wp:posOffset>3330792</wp:posOffset>
            </wp:positionH>
            <wp:positionV relativeFrom="paragraph">
              <wp:posOffset>136652</wp:posOffset>
            </wp:positionV>
            <wp:extent cx="786225" cy="451103"/>
            <wp:effectExtent l="0" t="0" r="0" b="0"/>
            <wp:wrapTopAndBottom/>
            <wp:docPr id="129"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81.jpeg"/>
                    <pic:cNvPicPr/>
                  </pic:nvPicPr>
                  <pic:blipFill>
                    <a:blip r:embed="rId250" cstate="print"/>
                    <a:stretch>
                      <a:fillRect/>
                    </a:stretch>
                  </pic:blipFill>
                  <pic:spPr>
                    <a:xfrm>
                      <a:off x="0" y="0"/>
                      <a:ext cx="786225" cy="451103"/>
                    </a:xfrm>
                    <a:prstGeom prst="rect">
                      <a:avLst/>
                    </a:prstGeom>
                  </pic:spPr>
                </pic:pic>
              </a:graphicData>
            </a:graphic>
          </wp:anchor>
        </w:drawing>
      </w:r>
    </w:p>
    <w:p w14:paraId="0919140C" w14:textId="77777777" w:rsidR="00FA4AA8" w:rsidRDefault="00FA4AA8">
      <w:pPr>
        <w:pStyle w:val="BodyText"/>
        <w:rPr>
          <w:sz w:val="7"/>
        </w:rPr>
      </w:pPr>
    </w:p>
    <w:p w14:paraId="2222C1E4" w14:textId="77777777" w:rsidR="00FA4AA8" w:rsidRDefault="0015611F">
      <w:pPr>
        <w:pStyle w:val="BodyText"/>
        <w:ind w:left="4366"/>
        <w:rPr>
          <w:sz w:val="20"/>
        </w:rPr>
      </w:pPr>
      <w:r>
        <w:rPr>
          <w:noProof/>
          <w:sz w:val="20"/>
          <w:lang w:val="en-AU" w:eastAsia="en-AU"/>
        </w:rPr>
        <w:drawing>
          <wp:inline distT="0" distB="0" distL="0" distR="0" wp14:anchorId="1DACFCBA" wp14:editId="1068311B">
            <wp:extent cx="810604" cy="240792"/>
            <wp:effectExtent l="0" t="0" r="0" b="0"/>
            <wp:docPr id="131"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82.jpeg"/>
                    <pic:cNvPicPr/>
                  </pic:nvPicPr>
                  <pic:blipFill>
                    <a:blip r:embed="rId251" cstate="print"/>
                    <a:stretch>
                      <a:fillRect/>
                    </a:stretch>
                  </pic:blipFill>
                  <pic:spPr>
                    <a:xfrm>
                      <a:off x="0" y="0"/>
                      <a:ext cx="810604" cy="240792"/>
                    </a:xfrm>
                    <a:prstGeom prst="rect">
                      <a:avLst/>
                    </a:prstGeom>
                  </pic:spPr>
                </pic:pic>
              </a:graphicData>
            </a:graphic>
          </wp:inline>
        </w:drawing>
      </w:r>
    </w:p>
    <w:p w14:paraId="2A74FDC7" w14:textId="77777777" w:rsidR="00FA4AA8" w:rsidRDefault="00FA4AA8">
      <w:pPr>
        <w:pStyle w:val="BodyText"/>
        <w:rPr>
          <w:sz w:val="20"/>
        </w:rPr>
      </w:pPr>
    </w:p>
    <w:p w14:paraId="65388CBD" w14:textId="77777777" w:rsidR="00FA4AA8" w:rsidRDefault="00FA4AA8">
      <w:pPr>
        <w:pStyle w:val="BodyText"/>
        <w:rPr>
          <w:sz w:val="20"/>
        </w:rPr>
      </w:pPr>
    </w:p>
    <w:p w14:paraId="457C1982" w14:textId="77777777" w:rsidR="00FA4AA8" w:rsidRDefault="00FA4AA8">
      <w:pPr>
        <w:pStyle w:val="BodyText"/>
        <w:spacing w:before="1"/>
        <w:rPr>
          <w:sz w:val="24"/>
        </w:rPr>
      </w:pPr>
    </w:p>
    <w:p w14:paraId="44EB6AD1" w14:textId="77777777" w:rsidR="00FA4AA8" w:rsidRDefault="0015611F">
      <w:pPr>
        <w:pStyle w:val="Heading9"/>
        <w:spacing w:before="93" w:line="238" w:lineRule="exact"/>
        <w:ind w:left="522"/>
      </w:pPr>
      <w:r>
        <w:t>To the Directors</w:t>
      </w:r>
    </w:p>
    <w:p w14:paraId="166D9E8F" w14:textId="77777777" w:rsidR="00FA4AA8" w:rsidRDefault="0015611F">
      <w:pPr>
        <w:spacing w:line="238" w:lineRule="exact"/>
        <w:ind w:left="525"/>
        <w:rPr>
          <w:sz w:val="21"/>
        </w:rPr>
      </w:pPr>
      <w:r>
        <w:rPr>
          <w:sz w:val="21"/>
        </w:rPr>
        <w:t>Western Growth Developments (Westmead) Pty Ltd</w:t>
      </w:r>
    </w:p>
    <w:p w14:paraId="06688422" w14:textId="77777777" w:rsidR="00FA4AA8" w:rsidRDefault="00FA4AA8">
      <w:pPr>
        <w:pStyle w:val="BodyText"/>
        <w:rPr>
          <w:sz w:val="22"/>
        </w:rPr>
      </w:pPr>
    </w:p>
    <w:p w14:paraId="72A1B7F5" w14:textId="77777777" w:rsidR="00FA4AA8" w:rsidRDefault="00FA4AA8">
      <w:pPr>
        <w:pStyle w:val="BodyText"/>
        <w:spacing w:before="3"/>
        <w:rPr>
          <w:sz w:val="29"/>
        </w:rPr>
      </w:pPr>
    </w:p>
    <w:p w14:paraId="411B2744" w14:textId="77777777" w:rsidR="00FA4AA8" w:rsidRDefault="0015611F">
      <w:pPr>
        <w:ind w:left="352" w:right="509"/>
        <w:jc w:val="center"/>
        <w:rPr>
          <w:sz w:val="23"/>
        </w:rPr>
      </w:pPr>
      <w:r>
        <w:rPr>
          <w:w w:val="110"/>
          <w:sz w:val="23"/>
        </w:rPr>
        <w:t>Auditor’s Independence Declaration</w:t>
      </w:r>
    </w:p>
    <w:p w14:paraId="49BE3FE2" w14:textId="77777777" w:rsidR="00FA4AA8" w:rsidRDefault="00FA4AA8">
      <w:pPr>
        <w:pStyle w:val="BodyText"/>
        <w:rPr>
          <w:sz w:val="26"/>
        </w:rPr>
      </w:pPr>
    </w:p>
    <w:p w14:paraId="22A59553" w14:textId="77777777" w:rsidR="00FA4AA8" w:rsidRDefault="00FA4AA8">
      <w:pPr>
        <w:pStyle w:val="BodyText"/>
        <w:spacing w:before="7"/>
        <w:rPr>
          <w:sz w:val="25"/>
        </w:rPr>
      </w:pPr>
    </w:p>
    <w:p w14:paraId="455E4AEC" w14:textId="77777777" w:rsidR="00FA4AA8" w:rsidRDefault="0015611F">
      <w:pPr>
        <w:spacing w:before="1" w:line="249" w:lineRule="auto"/>
        <w:ind w:left="522" w:right="739" w:firstLine="5"/>
        <w:rPr>
          <w:sz w:val="20"/>
        </w:rPr>
      </w:pPr>
      <w:r>
        <w:rPr>
          <w:sz w:val="20"/>
        </w:rPr>
        <w:t>As auditor for the audit of the fina</w:t>
      </w:r>
      <w:r w:rsidR="00444D3A">
        <w:rPr>
          <w:sz w:val="20"/>
        </w:rPr>
        <w:t>ncial statements of Western Growt</w:t>
      </w:r>
      <w:r>
        <w:rPr>
          <w:sz w:val="20"/>
        </w:rPr>
        <w:t xml:space="preserve">h Developments (Westmead) Pty Ltd for the period 5 April 2018 to 31 December 2018, </w:t>
      </w:r>
      <w:r>
        <w:rPr>
          <w:color w:val="1C1C1C"/>
          <w:sz w:val="20"/>
        </w:rPr>
        <w:t xml:space="preserve">I </w:t>
      </w:r>
      <w:r>
        <w:rPr>
          <w:sz w:val="20"/>
        </w:rPr>
        <w:t>declare, to the best of my knowledge and belief, there have been no contraventions of:</w:t>
      </w:r>
    </w:p>
    <w:p w14:paraId="4D6D1B4C" w14:textId="77777777" w:rsidR="00FA4AA8" w:rsidRDefault="0015611F">
      <w:pPr>
        <w:pStyle w:val="ListParagraph"/>
        <w:numPr>
          <w:ilvl w:val="1"/>
          <w:numId w:val="29"/>
        </w:numPr>
        <w:tabs>
          <w:tab w:val="left" w:pos="1095"/>
          <w:tab w:val="left" w:pos="1096"/>
        </w:tabs>
        <w:spacing w:before="170"/>
        <w:rPr>
          <w:sz w:val="20"/>
        </w:rPr>
      </w:pPr>
      <w:r>
        <w:rPr>
          <w:sz w:val="20"/>
        </w:rPr>
        <w:t xml:space="preserve">the auditor independence requirements of the </w:t>
      </w:r>
      <w:r>
        <w:rPr>
          <w:i/>
          <w:sz w:val="20"/>
        </w:rPr>
        <w:t xml:space="preserve">Corporations Act 2001 </w:t>
      </w:r>
      <w:r>
        <w:rPr>
          <w:sz w:val="20"/>
        </w:rPr>
        <w:t>in relation to the</w:t>
      </w:r>
      <w:r>
        <w:rPr>
          <w:spacing w:val="-36"/>
          <w:sz w:val="20"/>
        </w:rPr>
        <w:t xml:space="preserve"> </w:t>
      </w:r>
      <w:r>
        <w:rPr>
          <w:sz w:val="20"/>
        </w:rPr>
        <w:t>audit</w:t>
      </w:r>
    </w:p>
    <w:p w14:paraId="6DBD0B19" w14:textId="77777777" w:rsidR="00FA4AA8" w:rsidRDefault="0015611F">
      <w:pPr>
        <w:pStyle w:val="ListParagraph"/>
        <w:numPr>
          <w:ilvl w:val="1"/>
          <w:numId w:val="29"/>
        </w:numPr>
        <w:tabs>
          <w:tab w:val="left" w:pos="1091"/>
          <w:tab w:val="left" w:pos="1092"/>
        </w:tabs>
        <w:spacing w:before="77"/>
        <w:ind w:left="1091" w:hanging="575"/>
        <w:rPr>
          <w:sz w:val="20"/>
        </w:rPr>
      </w:pPr>
      <w:r>
        <w:rPr>
          <w:sz w:val="20"/>
        </w:rPr>
        <w:t xml:space="preserve">any applicable code of professional conduct </w:t>
      </w:r>
      <w:r>
        <w:rPr>
          <w:color w:val="1F1F1F"/>
          <w:sz w:val="20"/>
        </w:rPr>
        <w:t xml:space="preserve">in </w:t>
      </w:r>
      <w:r>
        <w:rPr>
          <w:sz w:val="20"/>
        </w:rPr>
        <w:t xml:space="preserve">relation </w:t>
      </w:r>
      <w:r>
        <w:rPr>
          <w:color w:val="0C0C0C"/>
          <w:sz w:val="20"/>
        </w:rPr>
        <w:t xml:space="preserve">to </w:t>
      </w:r>
      <w:r>
        <w:rPr>
          <w:sz w:val="20"/>
        </w:rPr>
        <w:t>the</w:t>
      </w:r>
      <w:r>
        <w:rPr>
          <w:spacing w:val="45"/>
          <w:sz w:val="20"/>
        </w:rPr>
        <w:t xml:space="preserve"> </w:t>
      </w:r>
      <w:r>
        <w:rPr>
          <w:sz w:val="20"/>
        </w:rPr>
        <w:t>audit.</w:t>
      </w:r>
    </w:p>
    <w:p w14:paraId="085FABC8" w14:textId="77777777" w:rsidR="00FA4AA8" w:rsidRDefault="00FA4AA8">
      <w:pPr>
        <w:pStyle w:val="BodyText"/>
        <w:rPr>
          <w:sz w:val="20"/>
        </w:rPr>
      </w:pPr>
    </w:p>
    <w:p w14:paraId="594DC822" w14:textId="77777777" w:rsidR="00FA4AA8" w:rsidRDefault="00FA4AA8">
      <w:pPr>
        <w:pStyle w:val="BodyText"/>
        <w:rPr>
          <w:sz w:val="20"/>
        </w:rPr>
      </w:pPr>
    </w:p>
    <w:p w14:paraId="1803AE33" w14:textId="77777777" w:rsidR="00FA4AA8" w:rsidRDefault="00FA4AA8">
      <w:pPr>
        <w:pStyle w:val="BodyText"/>
        <w:rPr>
          <w:sz w:val="20"/>
        </w:rPr>
      </w:pPr>
    </w:p>
    <w:p w14:paraId="603E98F1" w14:textId="77777777" w:rsidR="00FA4AA8" w:rsidRDefault="00FA4AA8">
      <w:pPr>
        <w:pStyle w:val="BodyText"/>
        <w:rPr>
          <w:sz w:val="20"/>
        </w:rPr>
      </w:pPr>
    </w:p>
    <w:p w14:paraId="5C7E3B27" w14:textId="77777777" w:rsidR="00FA4AA8" w:rsidRDefault="00FA4AA8">
      <w:pPr>
        <w:pStyle w:val="BodyText"/>
        <w:rPr>
          <w:sz w:val="20"/>
        </w:rPr>
      </w:pPr>
    </w:p>
    <w:p w14:paraId="71B02CB1" w14:textId="77777777" w:rsidR="00FA4AA8" w:rsidRDefault="0015611F">
      <w:pPr>
        <w:pStyle w:val="BodyText"/>
        <w:rPr>
          <w:sz w:val="19"/>
        </w:rPr>
      </w:pPr>
      <w:r>
        <w:rPr>
          <w:noProof/>
          <w:lang w:val="en-AU" w:eastAsia="en-AU"/>
        </w:rPr>
        <w:drawing>
          <wp:anchor distT="0" distB="0" distL="0" distR="0" simplePos="0" relativeHeight="171" behindDoc="0" locked="0" layoutInCell="1" allowOverlap="1" wp14:anchorId="0830A1DE" wp14:editId="4CBE78F2">
            <wp:simplePos x="0" y="0"/>
            <wp:positionH relativeFrom="page">
              <wp:posOffset>764893</wp:posOffset>
            </wp:positionH>
            <wp:positionV relativeFrom="paragraph">
              <wp:posOffset>163772</wp:posOffset>
            </wp:positionV>
            <wp:extent cx="2931585" cy="228600"/>
            <wp:effectExtent l="0" t="0" r="0" b="0"/>
            <wp:wrapTopAndBottom/>
            <wp:docPr id="133"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83.jpeg"/>
                    <pic:cNvPicPr/>
                  </pic:nvPicPr>
                  <pic:blipFill>
                    <a:blip r:embed="rId252" cstate="print"/>
                    <a:stretch>
                      <a:fillRect/>
                    </a:stretch>
                  </pic:blipFill>
                  <pic:spPr>
                    <a:xfrm>
                      <a:off x="0" y="0"/>
                      <a:ext cx="2931585" cy="228600"/>
                    </a:xfrm>
                    <a:prstGeom prst="rect">
                      <a:avLst/>
                    </a:prstGeom>
                  </pic:spPr>
                </pic:pic>
              </a:graphicData>
            </a:graphic>
          </wp:anchor>
        </w:drawing>
      </w:r>
    </w:p>
    <w:p w14:paraId="0EAF873A" w14:textId="77777777" w:rsidR="00FA4AA8" w:rsidRDefault="0015611F">
      <w:pPr>
        <w:spacing w:before="43" w:line="242" w:lineRule="auto"/>
        <w:ind w:left="528" w:right="7474" w:hanging="7"/>
        <w:rPr>
          <w:sz w:val="21"/>
        </w:rPr>
      </w:pPr>
      <w:r>
        <w:rPr>
          <w:sz w:val="21"/>
        </w:rPr>
        <w:t xml:space="preserve">Margaret Crawford </w:t>
      </w:r>
      <w:r>
        <w:rPr>
          <w:w w:val="95"/>
          <w:sz w:val="21"/>
        </w:rPr>
        <w:t>Auditor-General of NSW</w:t>
      </w:r>
    </w:p>
    <w:p w14:paraId="7EE37889" w14:textId="77777777" w:rsidR="00FA4AA8" w:rsidRDefault="00FA4AA8">
      <w:pPr>
        <w:pStyle w:val="BodyText"/>
        <w:rPr>
          <w:sz w:val="22"/>
        </w:rPr>
      </w:pPr>
    </w:p>
    <w:p w14:paraId="77941002" w14:textId="77777777" w:rsidR="00FA4AA8" w:rsidRDefault="00FA4AA8">
      <w:pPr>
        <w:pStyle w:val="BodyText"/>
        <w:spacing w:before="2"/>
        <w:rPr>
          <w:sz w:val="28"/>
        </w:rPr>
      </w:pPr>
    </w:p>
    <w:p w14:paraId="063720D4" w14:textId="77777777" w:rsidR="00FA4AA8" w:rsidRDefault="0015611F">
      <w:pPr>
        <w:ind w:left="518" w:right="8528" w:firstLine="225"/>
        <w:rPr>
          <w:sz w:val="21"/>
        </w:rPr>
      </w:pPr>
      <w:r>
        <w:rPr>
          <w:w w:val="95"/>
          <w:sz w:val="21"/>
        </w:rPr>
        <w:t xml:space="preserve">April 2019 </w:t>
      </w:r>
      <w:r>
        <w:rPr>
          <w:sz w:val="21"/>
        </w:rPr>
        <w:t>SYDNEY</w:t>
      </w:r>
    </w:p>
    <w:p w14:paraId="0BF3217C" w14:textId="77777777" w:rsidR="00FA4AA8" w:rsidRDefault="00FA4AA8">
      <w:pPr>
        <w:rPr>
          <w:sz w:val="21"/>
        </w:rPr>
        <w:sectPr w:rsidR="00FA4AA8">
          <w:headerReference w:type="default" r:id="rId253"/>
          <w:footerReference w:type="default" r:id="rId254"/>
          <w:pgSz w:w="11910" w:h="16840"/>
          <w:pgMar w:top="760" w:right="880" w:bottom="720" w:left="840" w:header="0" w:footer="523" w:gutter="0"/>
          <w:pgNumType w:start="212"/>
          <w:cols w:space="720"/>
        </w:sectPr>
      </w:pPr>
    </w:p>
    <w:p w14:paraId="09585BEE" w14:textId="77777777" w:rsidR="00FA4AA8" w:rsidRDefault="00FA4AA8">
      <w:pPr>
        <w:pStyle w:val="BodyText"/>
        <w:rPr>
          <w:sz w:val="20"/>
        </w:rPr>
      </w:pPr>
    </w:p>
    <w:p w14:paraId="1DCB70AF" w14:textId="77777777" w:rsidR="00FA4AA8" w:rsidRDefault="00FA4AA8">
      <w:pPr>
        <w:pStyle w:val="BodyText"/>
        <w:spacing w:before="2"/>
        <w:rPr>
          <w:sz w:val="10"/>
        </w:rPr>
      </w:pPr>
    </w:p>
    <w:tbl>
      <w:tblPr>
        <w:tblW w:w="0" w:type="auto"/>
        <w:tblInd w:w="125" w:type="dxa"/>
        <w:tblLayout w:type="fixed"/>
        <w:tblCellMar>
          <w:left w:w="0" w:type="dxa"/>
          <w:right w:w="0" w:type="dxa"/>
        </w:tblCellMar>
        <w:tblLook w:val="01E0" w:firstRow="1" w:lastRow="1" w:firstColumn="1" w:lastColumn="1" w:noHBand="0" w:noVBand="0"/>
      </w:tblPr>
      <w:tblGrid>
        <w:gridCol w:w="6962"/>
        <w:gridCol w:w="1707"/>
        <w:gridCol w:w="1296"/>
      </w:tblGrid>
      <w:tr w:rsidR="00FA4AA8" w14:paraId="06F9866E" w14:textId="77777777">
        <w:trPr>
          <w:trHeight w:val="343"/>
        </w:trPr>
        <w:tc>
          <w:tcPr>
            <w:tcW w:w="6962" w:type="dxa"/>
          </w:tcPr>
          <w:p w14:paraId="20AEBE65" w14:textId="77777777" w:rsidR="00FA4AA8" w:rsidRDefault="0015611F">
            <w:pPr>
              <w:pStyle w:val="TableParagraph"/>
              <w:spacing w:line="314" w:lineRule="exact"/>
              <w:ind w:left="50"/>
              <w:rPr>
                <w:b/>
                <w:sz w:val="28"/>
              </w:rPr>
            </w:pPr>
            <w:r>
              <w:rPr>
                <w:b/>
                <w:sz w:val="28"/>
              </w:rPr>
              <w:t>Statement of Comprehensive Income</w:t>
            </w:r>
          </w:p>
        </w:tc>
        <w:tc>
          <w:tcPr>
            <w:tcW w:w="3003" w:type="dxa"/>
            <w:gridSpan w:val="2"/>
            <w:vMerge w:val="restart"/>
          </w:tcPr>
          <w:p w14:paraId="6ACAF3D8" w14:textId="77777777" w:rsidR="00FA4AA8" w:rsidRDefault="00FA4AA8">
            <w:pPr>
              <w:pStyle w:val="TableParagraph"/>
              <w:rPr>
                <w:rFonts w:ascii="Times New Roman"/>
                <w:sz w:val="18"/>
              </w:rPr>
            </w:pPr>
          </w:p>
        </w:tc>
      </w:tr>
      <w:tr w:rsidR="00FA4AA8" w14:paraId="1C7E0731" w14:textId="77777777">
        <w:trPr>
          <w:trHeight w:val="632"/>
        </w:trPr>
        <w:tc>
          <w:tcPr>
            <w:tcW w:w="6962" w:type="dxa"/>
          </w:tcPr>
          <w:p w14:paraId="2DA6DF3D" w14:textId="77777777" w:rsidR="00FA4AA8" w:rsidRDefault="0015611F">
            <w:pPr>
              <w:pStyle w:val="TableParagraph"/>
              <w:spacing w:before="23"/>
              <w:ind w:left="50"/>
              <w:rPr>
                <w:b/>
              </w:rPr>
            </w:pPr>
            <w:r>
              <w:rPr>
                <w:b/>
              </w:rPr>
              <w:t>For the initial Period 5 April 2018 to 31 December 2018</w:t>
            </w:r>
          </w:p>
        </w:tc>
        <w:tc>
          <w:tcPr>
            <w:tcW w:w="3003" w:type="dxa"/>
            <w:gridSpan w:val="2"/>
            <w:vMerge/>
            <w:tcBorders>
              <w:top w:val="nil"/>
            </w:tcBorders>
          </w:tcPr>
          <w:p w14:paraId="75CEE041" w14:textId="77777777" w:rsidR="00FA4AA8" w:rsidRDefault="00FA4AA8">
            <w:pPr>
              <w:rPr>
                <w:sz w:val="2"/>
                <w:szCs w:val="2"/>
              </w:rPr>
            </w:pPr>
          </w:p>
        </w:tc>
      </w:tr>
      <w:tr w:rsidR="00FA4AA8" w14:paraId="4F0EF51E" w14:textId="77777777">
        <w:trPr>
          <w:trHeight w:val="593"/>
        </w:trPr>
        <w:tc>
          <w:tcPr>
            <w:tcW w:w="6962" w:type="dxa"/>
          </w:tcPr>
          <w:p w14:paraId="29E693BB" w14:textId="77777777" w:rsidR="00FA4AA8" w:rsidRDefault="00FA4AA8">
            <w:pPr>
              <w:pStyle w:val="TableParagraph"/>
              <w:rPr>
                <w:rFonts w:ascii="Times New Roman"/>
                <w:sz w:val="18"/>
              </w:rPr>
            </w:pPr>
          </w:p>
        </w:tc>
        <w:tc>
          <w:tcPr>
            <w:tcW w:w="1707" w:type="dxa"/>
          </w:tcPr>
          <w:p w14:paraId="0DBE37DE" w14:textId="77777777" w:rsidR="00FA4AA8" w:rsidRDefault="00FA4AA8">
            <w:pPr>
              <w:pStyle w:val="TableParagraph"/>
              <w:rPr>
                <w:rFonts w:ascii="Times New Roman"/>
                <w:sz w:val="18"/>
              </w:rPr>
            </w:pPr>
          </w:p>
        </w:tc>
        <w:tc>
          <w:tcPr>
            <w:tcW w:w="1296" w:type="dxa"/>
          </w:tcPr>
          <w:p w14:paraId="5571E556" w14:textId="77777777" w:rsidR="00FA4AA8" w:rsidRDefault="00FA4AA8">
            <w:pPr>
              <w:pStyle w:val="TableParagraph"/>
              <w:rPr>
                <w:sz w:val="20"/>
              </w:rPr>
            </w:pPr>
          </w:p>
          <w:p w14:paraId="0D77FC19" w14:textId="77777777" w:rsidR="00FA4AA8" w:rsidRDefault="0015611F">
            <w:pPr>
              <w:pStyle w:val="TableParagraph"/>
              <w:spacing w:before="120"/>
              <w:ind w:left="393" w:right="397"/>
              <w:jc w:val="center"/>
              <w:rPr>
                <w:b/>
                <w:sz w:val="18"/>
              </w:rPr>
            </w:pPr>
            <w:r>
              <w:rPr>
                <w:b/>
                <w:sz w:val="18"/>
              </w:rPr>
              <w:t>2018</w:t>
            </w:r>
          </w:p>
        </w:tc>
      </w:tr>
      <w:tr w:rsidR="00FA4AA8" w14:paraId="7233AA19" w14:textId="77777777">
        <w:trPr>
          <w:trHeight w:val="313"/>
        </w:trPr>
        <w:tc>
          <w:tcPr>
            <w:tcW w:w="6962" w:type="dxa"/>
          </w:tcPr>
          <w:p w14:paraId="0BDE55EB" w14:textId="77777777" w:rsidR="00FA4AA8" w:rsidRDefault="00FA4AA8">
            <w:pPr>
              <w:pStyle w:val="TableParagraph"/>
              <w:rPr>
                <w:rFonts w:ascii="Times New Roman"/>
                <w:sz w:val="18"/>
              </w:rPr>
            </w:pPr>
          </w:p>
        </w:tc>
        <w:tc>
          <w:tcPr>
            <w:tcW w:w="1707" w:type="dxa"/>
          </w:tcPr>
          <w:p w14:paraId="6B92DFED" w14:textId="77777777" w:rsidR="00FA4AA8" w:rsidRDefault="0015611F">
            <w:pPr>
              <w:pStyle w:val="TableParagraph"/>
              <w:spacing w:before="30"/>
              <w:ind w:left="1196" w:right="70"/>
              <w:jc w:val="center"/>
              <w:rPr>
                <w:b/>
                <w:sz w:val="18"/>
              </w:rPr>
            </w:pPr>
            <w:r>
              <w:rPr>
                <w:b/>
                <w:sz w:val="18"/>
              </w:rPr>
              <w:t>Note</w:t>
            </w:r>
          </w:p>
        </w:tc>
        <w:tc>
          <w:tcPr>
            <w:tcW w:w="1296" w:type="dxa"/>
          </w:tcPr>
          <w:p w14:paraId="7CA572D7" w14:textId="77777777" w:rsidR="00FA4AA8" w:rsidRDefault="0015611F">
            <w:pPr>
              <w:pStyle w:val="TableParagraph"/>
              <w:spacing w:before="30"/>
              <w:ind w:right="4"/>
              <w:jc w:val="center"/>
              <w:rPr>
                <w:b/>
                <w:sz w:val="18"/>
              </w:rPr>
            </w:pPr>
            <w:r>
              <w:rPr>
                <w:b/>
                <w:sz w:val="18"/>
              </w:rPr>
              <w:t>$</w:t>
            </w:r>
          </w:p>
        </w:tc>
      </w:tr>
      <w:tr w:rsidR="00FA4AA8" w14:paraId="5D3E3C4C" w14:textId="77777777">
        <w:trPr>
          <w:trHeight w:val="527"/>
        </w:trPr>
        <w:tc>
          <w:tcPr>
            <w:tcW w:w="6962" w:type="dxa"/>
          </w:tcPr>
          <w:p w14:paraId="431174FF" w14:textId="77777777" w:rsidR="00FA4AA8" w:rsidRDefault="0015611F">
            <w:pPr>
              <w:pStyle w:val="TableParagraph"/>
              <w:spacing w:before="70"/>
              <w:ind w:left="76"/>
              <w:rPr>
                <w:b/>
                <w:sz w:val="18"/>
              </w:rPr>
            </w:pPr>
            <w:r>
              <w:rPr>
                <w:b/>
                <w:sz w:val="18"/>
              </w:rPr>
              <w:t>Revenue</w:t>
            </w:r>
          </w:p>
          <w:p w14:paraId="0FC2347B" w14:textId="77777777" w:rsidR="00FA4AA8" w:rsidRDefault="0015611F">
            <w:pPr>
              <w:pStyle w:val="TableParagraph"/>
              <w:spacing w:before="25" w:line="205" w:lineRule="exact"/>
              <w:ind w:left="76"/>
              <w:rPr>
                <w:sz w:val="18"/>
              </w:rPr>
            </w:pPr>
            <w:r>
              <w:rPr>
                <w:sz w:val="18"/>
              </w:rPr>
              <w:t>Other revenue</w:t>
            </w:r>
          </w:p>
        </w:tc>
        <w:tc>
          <w:tcPr>
            <w:tcW w:w="1707" w:type="dxa"/>
          </w:tcPr>
          <w:p w14:paraId="2863FDFE" w14:textId="77777777" w:rsidR="00FA4AA8" w:rsidRDefault="00FA4AA8">
            <w:pPr>
              <w:pStyle w:val="TableParagraph"/>
              <w:rPr>
                <w:rFonts w:ascii="Times New Roman"/>
                <w:sz w:val="18"/>
              </w:rPr>
            </w:pPr>
          </w:p>
        </w:tc>
        <w:tc>
          <w:tcPr>
            <w:tcW w:w="1296" w:type="dxa"/>
            <w:tcBorders>
              <w:bottom w:val="single" w:sz="12" w:space="0" w:color="000000"/>
            </w:tcBorders>
          </w:tcPr>
          <w:p w14:paraId="1F13D2AA" w14:textId="77777777" w:rsidR="00FA4AA8" w:rsidRDefault="00FA4AA8">
            <w:pPr>
              <w:pStyle w:val="TableParagraph"/>
              <w:spacing w:before="3"/>
              <w:rPr>
                <w:sz w:val="26"/>
              </w:rPr>
            </w:pPr>
          </w:p>
          <w:p w14:paraId="568591FB" w14:textId="77777777" w:rsidR="00FA4AA8" w:rsidRDefault="0015611F">
            <w:pPr>
              <w:pStyle w:val="TableParagraph"/>
              <w:spacing w:line="205" w:lineRule="exact"/>
              <w:ind w:right="1"/>
              <w:jc w:val="center"/>
              <w:rPr>
                <w:b/>
                <w:sz w:val="18"/>
              </w:rPr>
            </w:pPr>
            <w:r>
              <w:rPr>
                <w:b/>
                <w:sz w:val="18"/>
              </w:rPr>
              <w:t>-</w:t>
            </w:r>
          </w:p>
        </w:tc>
      </w:tr>
      <w:tr w:rsidR="00FA4AA8" w14:paraId="37DEB527" w14:textId="77777777">
        <w:trPr>
          <w:trHeight w:val="386"/>
        </w:trPr>
        <w:tc>
          <w:tcPr>
            <w:tcW w:w="6962" w:type="dxa"/>
          </w:tcPr>
          <w:p w14:paraId="379C21F3" w14:textId="77777777" w:rsidR="00FA4AA8" w:rsidRDefault="0015611F">
            <w:pPr>
              <w:pStyle w:val="TableParagraph"/>
              <w:spacing w:before="110"/>
              <w:ind w:left="76"/>
              <w:rPr>
                <w:b/>
                <w:sz w:val="18"/>
              </w:rPr>
            </w:pPr>
            <w:r>
              <w:rPr>
                <w:b/>
                <w:sz w:val="18"/>
              </w:rPr>
              <w:t>Total revenue</w:t>
            </w:r>
          </w:p>
        </w:tc>
        <w:tc>
          <w:tcPr>
            <w:tcW w:w="1707" w:type="dxa"/>
          </w:tcPr>
          <w:p w14:paraId="7BCF4828" w14:textId="77777777" w:rsidR="00FA4AA8" w:rsidRDefault="00FA4AA8">
            <w:pPr>
              <w:pStyle w:val="TableParagraph"/>
              <w:rPr>
                <w:rFonts w:ascii="Times New Roman"/>
                <w:sz w:val="18"/>
              </w:rPr>
            </w:pPr>
          </w:p>
        </w:tc>
        <w:tc>
          <w:tcPr>
            <w:tcW w:w="1296" w:type="dxa"/>
            <w:tcBorders>
              <w:top w:val="single" w:sz="12" w:space="0" w:color="000000"/>
            </w:tcBorders>
          </w:tcPr>
          <w:p w14:paraId="5A10216A" w14:textId="77777777" w:rsidR="00FA4AA8" w:rsidRDefault="0015611F">
            <w:pPr>
              <w:pStyle w:val="TableParagraph"/>
              <w:tabs>
                <w:tab w:val="left" w:pos="616"/>
                <w:tab w:val="left" w:pos="1295"/>
              </w:tabs>
              <w:spacing w:before="110"/>
              <w:ind w:left="-1"/>
              <w:jc w:val="right"/>
              <w:rPr>
                <w:b/>
                <w:sz w:val="18"/>
              </w:rPr>
            </w:pPr>
            <w:r>
              <w:rPr>
                <w:rFonts w:ascii="Times New Roman"/>
                <w:sz w:val="18"/>
                <w:u w:val="thick"/>
              </w:rPr>
              <w:t xml:space="preserve"> </w:t>
            </w:r>
            <w:r>
              <w:rPr>
                <w:rFonts w:ascii="Times New Roman"/>
                <w:sz w:val="18"/>
                <w:u w:val="thick"/>
              </w:rPr>
              <w:tab/>
            </w:r>
            <w:r>
              <w:rPr>
                <w:b/>
                <w:sz w:val="18"/>
                <w:u w:val="thick"/>
              </w:rPr>
              <w:t>-</w:t>
            </w:r>
            <w:r>
              <w:rPr>
                <w:b/>
                <w:sz w:val="18"/>
                <w:u w:val="thick"/>
              </w:rPr>
              <w:tab/>
            </w:r>
          </w:p>
        </w:tc>
      </w:tr>
      <w:tr w:rsidR="00FA4AA8" w14:paraId="331ADC62" w14:textId="77777777">
        <w:trPr>
          <w:trHeight w:val="531"/>
        </w:trPr>
        <w:tc>
          <w:tcPr>
            <w:tcW w:w="6962" w:type="dxa"/>
          </w:tcPr>
          <w:p w14:paraId="75D8643E" w14:textId="77777777" w:rsidR="00FA4AA8" w:rsidRDefault="0015611F">
            <w:pPr>
              <w:pStyle w:val="TableParagraph"/>
              <w:spacing w:before="62"/>
              <w:ind w:left="76"/>
              <w:rPr>
                <w:b/>
                <w:sz w:val="18"/>
              </w:rPr>
            </w:pPr>
            <w:r>
              <w:rPr>
                <w:b/>
                <w:sz w:val="18"/>
              </w:rPr>
              <w:t>Expenses</w:t>
            </w:r>
          </w:p>
          <w:p w14:paraId="098A9EE1" w14:textId="77777777" w:rsidR="00FA4AA8" w:rsidRDefault="0015611F">
            <w:pPr>
              <w:pStyle w:val="TableParagraph"/>
              <w:spacing w:before="26"/>
              <w:ind w:left="76"/>
              <w:rPr>
                <w:sz w:val="18"/>
              </w:rPr>
            </w:pPr>
            <w:r>
              <w:rPr>
                <w:sz w:val="18"/>
              </w:rPr>
              <w:t>Other expenses</w:t>
            </w:r>
          </w:p>
        </w:tc>
        <w:tc>
          <w:tcPr>
            <w:tcW w:w="1707" w:type="dxa"/>
          </w:tcPr>
          <w:p w14:paraId="25FDD70F" w14:textId="77777777" w:rsidR="00FA4AA8" w:rsidRDefault="00FA4AA8">
            <w:pPr>
              <w:pStyle w:val="TableParagraph"/>
              <w:spacing w:before="7"/>
              <w:rPr>
                <w:sz w:val="25"/>
              </w:rPr>
            </w:pPr>
          </w:p>
          <w:p w14:paraId="16303291" w14:textId="77777777" w:rsidR="00FA4AA8" w:rsidRDefault="0015611F">
            <w:pPr>
              <w:pStyle w:val="TableParagraph"/>
              <w:ind w:left="1123"/>
              <w:jc w:val="center"/>
              <w:rPr>
                <w:sz w:val="18"/>
              </w:rPr>
            </w:pPr>
            <w:r>
              <w:rPr>
                <w:sz w:val="18"/>
              </w:rPr>
              <w:t>5</w:t>
            </w:r>
          </w:p>
        </w:tc>
        <w:tc>
          <w:tcPr>
            <w:tcW w:w="1296" w:type="dxa"/>
          </w:tcPr>
          <w:p w14:paraId="5210AF87" w14:textId="77777777" w:rsidR="00FA4AA8" w:rsidRDefault="00FA4AA8">
            <w:pPr>
              <w:pStyle w:val="TableParagraph"/>
              <w:spacing w:before="7"/>
              <w:rPr>
                <w:sz w:val="25"/>
              </w:rPr>
            </w:pPr>
          </w:p>
          <w:p w14:paraId="652AB97D" w14:textId="77777777" w:rsidR="00FA4AA8" w:rsidRDefault="0015611F">
            <w:pPr>
              <w:pStyle w:val="TableParagraph"/>
              <w:ind w:right="28"/>
              <w:jc w:val="right"/>
              <w:rPr>
                <w:b/>
                <w:sz w:val="18"/>
              </w:rPr>
            </w:pPr>
            <w:r>
              <w:rPr>
                <w:b/>
                <w:sz w:val="18"/>
              </w:rPr>
              <w:t>(5,500)</w:t>
            </w:r>
          </w:p>
        </w:tc>
      </w:tr>
      <w:tr w:rsidR="00FA4AA8" w14:paraId="4C9EC43F" w14:textId="77777777">
        <w:trPr>
          <w:trHeight w:val="247"/>
        </w:trPr>
        <w:tc>
          <w:tcPr>
            <w:tcW w:w="6962" w:type="dxa"/>
          </w:tcPr>
          <w:p w14:paraId="28856BA0" w14:textId="77777777" w:rsidR="00FA4AA8" w:rsidRDefault="0015611F">
            <w:pPr>
              <w:pStyle w:val="TableParagraph"/>
              <w:spacing w:before="23" w:line="205" w:lineRule="exact"/>
              <w:ind w:left="76"/>
              <w:rPr>
                <w:sz w:val="18"/>
              </w:rPr>
            </w:pPr>
            <w:r>
              <w:rPr>
                <w:sz w:val="18"/>
              </w:rPr>
              <w:t>Finance cost</w:t>
            </w:r>
          </w:p>
        </w:tc>
        <w:tc>
          <w:tcPr>
            <w:tcW w:w="1707" w:type="dxa"/>
          </w:tcPr>
          <w:p w14:paraId="217EB2AB" w14:textId="77777777" w:rsidR="00FA4AA8" w:rsidRDefault="0015611F">
            <w:pPr>
              <w:pStyle w:val="TableParagraph"/>
              <w:spacing w:before="23" w:line="205" w:lineRule="exact"/>
              <w:ind w:left="1194" w:right="70"/>
              <w:jc w:val="center"/>
              <w:rPr>
                <w:sz w:val="18"/>
              </w:rPr>
            </w:pPr>
            <w:r>
              <w:rPr>
                <w:sz w:val="18"/>
              </w:rPr>
              <w:t>7(b)</w:t>
            </w:r>
          </w:p>
        </w:tc>
        <w:tc>
          <w:tcPr>
            <w:tcW w:w="1296" w:type="dxa"/>
            <w:tcBorders>
              <w:bottom w:val="single" w:sz="12" w:space="0" w:color="000000"/>
            </w:tcBorders>
          </w:tcPr>
          <w:p w14:paraId="1498FFEC" w14:textId="77777777" w:rsidR="00FA4AA8" w:rsidRDefault="0015611F">
            <w:pPr>
              <w:pStyle w:val="TableParagraph"/>
              <w:spacing w:before="23" w:line="205" w:lineRule="exact"/>
              <w:ind w:right="28"/>
              <w:jc w:val="right"/>
              <w:rPr>
                <w:b/>
                <w:sz w:val="18"/>
              </w:rPr>
            </w:pPr>
            <w:r>
              <w:rPr>
                <w:b/>
                <w:sz w:val="18"/>
              </w:rPr>
              <w:t>(95)</w:t>
            </w:r>
          </w:p>
        </w:tc>
      </w:tr>
      <w:tr w:rsidR="00FA4AA8" w14:paraId="449B48C0" w14:textId="77777777">
        <w:trPr>
          <w:trHeight w:val="386"/>
        </w:trPr>
        <w:tc>
          <w:tcPr>
            <w:tcW w:w="6962" w:type="dxa"/>
          </w:tcPr>
          <w:p w14:paraId="01DB719E" w14:textId="77777777" w:rsidR="00FA4AA8" w:rsidRDefault="0015611F">
            <w:pPr>
              <w:pStyle w:val="TableParagraph"/>
              <w:spacing w:before="110"/>
              <w:ind w:left="76"/>
              <w:rPr>
                <w:b/>
                <w:sz w:val="18"/>
              </w:rPr>
            </w:pPr>
            <w:r>
              <w:rPr>
                <w:b/>
                <w:sz w:val="18"/>
              </w:rPr>
              <w:t>Total expenses</w:t>
            </w:r>
          </w:p>
        </w:tc>
        <w:tc>
          <w:tcPr>
            <w:tcW w:w="1707" w:type="dxa"/>
          </w:tcPr>
          <w:p w14:paraId="5AA26DDF" w14:textId="77777777" w:rsidR="00FA4AA8" w:rsidRDefault="00FA4AA8">
            <w:pPr>
              <w:pStyle w:val="TableParagraph"/>
              <w:rPr>
                <w:rFonts w:ascii="Times New Roman"/>
                <w:sz w:val="18"/>
              </w:rPr>
            </w:pPr>
          </w:p>
        </w:tc>
        <w:tc>
          <w:tcPr>
            <w:tcW w:w="1296" w:type="dxa"/>
            <w:tcBorders>
              <w:top w:val="single" w:sz="12" w:space="0" w:color="000000"/>
            </w:tcBorders>
          </w:tcPr>
          <w:p w14:paraId="245DFC0D" w14:textId="77777777" w:rsidR="00FA4AA8" w:rsidRDefault="0015611F">
            <w:pPr>
              <w:pStyle w:val="TableParagraph"/>
              <w:tabs>
                <w:tab w:val="left" w:pos="692"/>
              </w:tabs>
              <w:spacing w:before="110"/>
              <w:ind w:left="-1"/>
              <w:jc w:val="right"/>
              <w:rPr>
                <w:b/>
                <w:sz w:val="18"/>
              </w:rPr>
            </w:pPr>
            <w:r>
              <w:rPr>
                <w:rFonts w:ascii="Times New Roman"/>
                <w:sz w:val="18"/>
                <w:u w:val="thick"/>
              </w:rPr>
              <w:t xml:space="preserve"> </w:t>
            </w:r>
            <w:r>
              <w:rPr>
                <w:rFonts w:ascii="Times New Roman"/>
                <w:sz w:val="18"/>
                <w:u w:val="thick"/>
              </w:rPr>
              <w:tab/>
            </w:r>
            <w:r>
              <w:rPr>
                <w:b/>
                <w:sz w:val="18"/>
                <w:u w:val="thick"/>
              </w:rPr>
              <w:t>(5,595)</w:t>
            </w:r>
            <w:r>
              <w:rPr>
                <w:b/>
                <w:spacing w:val="-21"/>
                <w:sz w:val="18"/>
                <w:u w:val="thick"/>
              </w:rPr>
              <w:t xml:space="preserve"> </w:t>
            </w:r>
          </w:p>
        </w:tc>
      </w:tr>
      <w:tr w:rsidR="00FA4AA8" w14:paraId="07380968" w14:textId="77777777">
        <w:trPr>
          <w:trHeight w:val="295"/>
        </w:trPr>
        <w:tc>
          <w:tcPr>
            <w:tcW w:w="6962" w:type="dxa"/>
          </w:tcPr>
          <w:p w14:paraId="1442D946" w14:textId="77777777" w:rsidR="00FA4AA8" w:rsidRDefault="0015611F">
            <w:pPr>
              <w:pStyle w:val="TableParagraph"/>
              <w:spacing w:before="62"/>
              <w:ind w:left="76"/>
              <w:rPr>
                <w:b/>
                <w:sz w:val="18"/>
              </w:rPr>
            </w:pPr>
            <w:r>
              <w:rPr>
                <w:b/>
                <w:sz w:val="18"/>
              </w:rPr>
              <w:t>Surplus / (deficit) for the period</w:t>
            </w:r>
          </w:p>
        </w:tc>
        <w:tc>
          <w:tcPr>
            <w:tcW w:w="1707" w:type="dxa"/>
          </w:tcPr>
          <w:p w14:paraId="63961F01" w14:textId="77777777" w:rsidR="00FA4AA8" w:rsidRDefault="00FA4AA8">
            <w:pPr>
              <w:pStyle w:val="TableParagraph"/>
              <w:rPr>
                <w:rFonts w:ascii="Times New Roman"/>
                <w:sz w:val="18"/>
              </w:rPr>
            </w:pPr>
          </w:p>
        </w:tc>
        <w:tc>
          <w:tcPr>
            <w:tcW w:w="1296" w:type="dxa"/>
          </w:tcPr>
          <w:p w14:paraId="11305BA2" w14:textId="77777777" w:rsidR="00FA4AA8" w:rsidRDefault="0015611F">
            <w:pPr>
              <w:pStyle w:val="TableParagraph"/>
              <w:tabs>
                <w:tab w:val="left" w:pos="692"/>
              </w:tabs>
              <w:spacing w:before="62"/>
              <w:ind w:left="-1"/>
              <w:jc w:val="right"/>
              <w:rPr>
                <w:b/>
                <w:sz w:val="18"/>
              </w:rPr>
            </w:pPr>
            <w:r>
              <w:rPr>
                <w:rFonts w:ascii="Times New Roman"/>
                <w:sz w:val="18"/>
                <w:u w:val="thick"/>
              </w:rPr>
              <w:t xml:space="preserve"> </w:t>
            </w:r>
            <w:r>
              <w:rPr>
                <w:rFonts w:ascii="Times New Roman"/>
                <w:sz w:val="18"/>
                <w:u w:val="thick"/>
              </w:rPr>
              <w:tab/>
            </w:r>
            <w:r>
              <w:rPr>
                <w:b/>
                <w:sz w:val="18"/>
                <w:u w:val="thick"/>
              </w:rPr>
              <w:t>(5,595)</w:t>
            </w:r>
            <w:r>
              <w:rPr>
                <w:b/>
                <w:spacing w:val="-21"/>
                <w:sz w:val="18"/>
                <w:u w:val="thick"/>
              </w:rPr>
              <w:t xml:space="preserve"> </w:t>
            </w:r>
          </w:p>
        </w:tc>
      </w:tr>
      <w:tr w:rsidR="00FA4AA8" w14:paraId="4BF58FA5" w14:textId="77777777">
        <w:trPr>
          <w:trHeight w:val="243"/>
        </w:trPr>
        <w:tc>
          <w:tcPr>
            <w:tcW w:w="6962" w:type="dxa"/>
          </w:tcPr>
          <w:p w14:paraId="0BCD8D10" w14:textId="77777777" w:rsidR="00FA4AA8" w:rsidRDefault="0015611F">
            <w:pPr>
              <w:pStyle w:val="TableParagraph"/>
              <w:spacing w:before="19" w:line="205" w:lineRule="exact"/>
              <w:ind w:left="76"/>
              <w:rPr>
                <w:sz w:val="18"/>
              </w:rPr>
            </w:pPr>
            <w:r>
              <w:rPr>
                <w:sz w:val="18"/>
              </w:rPr>
              <w:t>Other comprehensive income</w:t>
            </w:r>
          </w:p>
        </w:tc>
        <w:tc>
          <w:tcPr>
            <w:tcW w:w="1707" w:type="dxa"/>
          </w:tcPr>
          <w:p w14:paraId="67A94DB7" w14:textId="77777777" w:rsidR="00FA4AA8" w:rsidRDefault="00FA4AA8">
            <w:pPr>
              <w:pStyle w:val="TableParagraph"/>
              <w:rPr>
                <w:rFonts w:ascii="Times New Roman"/>
                <w:sz w:val="16"/>
              </w:rPr>
            </w:pPr>
          </w:p>
        </w:tc>
        <w:tc>
          <w:tcPr>
            <w:tcW w:w="1296" w:type="dxa"/>
            <w:tcBorders>
              <w:bottom w:val="single" w:sz="12" w:space="0" w:color="000000"/>
            </w:tcBorders>
          </w:tcPr>
          <w:p w14:paraId="65175A71" w14:textId="77777777" w:rsidR="00FA4AA8" w:rsidRDefault="0015611F">
            <w:pPr>
              <w:pStyle w:val="TableParagraph"/>
              <w:spacing w:before="19" w:line="205" w:lineRule="exact"/>
              <w:ind w:right="1"/>
              <w:jc w:val="center"/>
              <w:rPr>
                <w:b/>
                <w:sz w:val="18"/>
              </w:rPr>
            </w:pPr>
            <w:r>
              <w:rPr>
                <w:b/>
                <w:sz w:val="18"/>
              </w:rPr>
              <w:t>-</w:t>
            </w:r>
          </w:p>
        </w:tc>
      </w:tr>
      <w:tr w:rsidR="00FA4AA8" w14:paraId="42B8680D" w14:textId="77777777">
        <w:trPr>
          <w:trHeight w:val="400"/>
        </w:trPr>
        <w:tc>
          <w:tcPr>
            <w:tcW w:w="6962" w:type="dxa"/>
          </w:tcPr>
          <w:p w14:paraId="26948AAE" w14:textId="77777777" w:rsidR="00FA4AA8" w:rsidRDefault="0015611F">
            <w:pPr>
              <w:pStyle w:val="TableParagraph"/>
              <w:spacing w:before="110"/>
              <w:ind w:left="76"/>
              <w:rPr>
                <w:b/>
                <w:sz w:val="18"/>
              </w:rPr>
            </w:pPr>
            <w:r>
              <w:rPr>
                <w:b/>
                <w:sz w:val="18"/>
              </w:rPr>
              <w:t>Total comprehensive income for the period</w:t>
            </w:r>
          </w:p>
        </w:tc>
        <w:tc>
          <w:tcPr>
            <w:tcW w:w="1707" w:type="dxa"/>
          </w:tcPr>
          <w:p w14:paraId="2B98F19B" w14:textId="77777777" w:rsidR="00FA4AA8" w:rsidRDefault="00FA4AA8">
            <w:pPr>
              <w:pStyle w:val="TableParagraph"/>
              <w:rPr>
                <w:rFonts w:ascii="Times New Roman"/>
                <w:sz w:val="18"/>
              </w:rPr>
            </w:pPr>
          </w:p>
        </w:tc>
        <w:tc>
          <w:tcPr>
            <w:tcW w:w="1296" w:type="dxa"/>
            <w:tcBorders>
              <w:top w:val="single" w:sz="12" w:space="0" w:color="000000"/>
            </w:tcBorders>
          </w:tcPr>
          <w:p w14:paraId="25798A39" w14:textId="77777777" w:rsidR="00FA4AA8" w:rsidRDefault="0015611F">
            <w:pPr>
              <w:pStyle w:val="TableParagraph"/>
              <w:tabs>
                <w:tab w:val="left" w:pos="692"/>
              </w:tabs>
              <w:spacing w:before="110"/>
              <w:ind w:left="-1"/>
              <w:jc w:val="right"/>
              <w:rPr>
                <w:b/>
                <w:sz w:val="18"/>
              </w:rPr>
            </w:pPr>
            <w:r>
              <w:rPr>
                <w:rFonts w:ascii="Times New Roman"/>
                <w:sz w:val="18"/>
                <w:u w:val="double"/>
              </w:rPr>
              <w:t xml:space="preserve"> </w:t>
            </w:r>
            <w:r>
              <w:rPr>
                <w:rFonts w:ascii="Times New Roman"/>
                <w:sz w:val="18"/>
                <w:u w:val="double"/>
              </w:rPr>
              <w:tab/>
            </w:r>
            <w:r>
              <w:rPr>
                <w:b/>
                <w:sz w:val="18"/>
                <w:u w:val="single"/>
              </w:rPr>
              <w:t>(5</w:t>
            </w:r>
            <w:r>
              <w:rPr>
                <w:b/>
                <w:sz w:val="18"/>
              </w:rPr>
              <w:t>,5</w:t>
            </w:r>
            <w:r>
              <w:rPr>
                <w:b/>
                <w:sz w:val="18"/>
                <w:u w:val="single"/>
              </w:rPr>
              <w:t>95</w:t>
            </w:r>
            <w:r>
              <w:rPr>
                <w:b/>
                <w:sz w:val="18"/>
              </w:rPr>
              <w:t>)</w:t>
            </w:r>
            <w:r>
              <w:rPr>
                <w:b/>
                <w:spacing w:val="-21"/>
                <w:sz w:val="18"/>
              </w:rPr>
              <w:t xml:space="preserve"> </w:t>
            </w:r>
          </w:p>
        </w:tc>
      </w:tr>
      <w:tr w:rsidR="00FA4AA8" w14:paraId="65E86D0D" w14:textId="77777777">
        <w:trPr>
          <w:trHeight w:val="545"/>
        </w:trPr>
        <w:tc>
          <w:tcPr>
            <w:tcW w:w="6962" w:type="dxa"/>
          </w:tcPr>
          <w:p w14:paraId="377C8F2B" w14:textId="77777777" w:rsidR="00FA4AA8" w:rsidRDefault="0015611F">
            <w:pPr>
              <w:pStyle w:val="TableParagraph"/>
              <w:spacing w:before="76"/>
              <w:ind w:left="76"/>
              <w:rPr>
                <w:b/>
                <w:sz w:val="18"/>
              </w:rPr>
            </w:pPr>
            <w:r>
              <w:rPr>
                <w:b/>
                <w:sz w:val="18"/>
              </w:rPr>
              <w:t>Comprehensive income attributable to:</w:t>
            </w:r>
          </w:p>
          <w:p w14:paraId="408D334C" w14:textId="77777777" w:rsidR="00FA4AA8" w:rsidRDefault="0015611F">
            <w:pPr>
              <w:pStyle w:val="TableParagraph"/>
              <w:spacing w:before="26"/>
              <w:ind w:left="76"/>
              <w:rPr>
                <w:sz w:val="18"/>
              </w:rPr>
            </w:pPr>
            <w:r>
              <w:rPr>
                <w:sz w:val="18"/>
              </w:rPr>
              <w:t>Non-controlling interest</w:t>
            </w:r>
          </w:p>
        </w:tc>
        <w:tc>
          <w:tcPr>
            <w:tcW w:w="1707" w:type="dxa"/>
          </w:tcPr>
          <w:p w14:paraId="03F5B9D0" w14:textId="77777777" w:rsidR="00FA4AA8" w:rsidRDefault="00FA4AA8">
            <w:pPr>
              <w:pStyle w:val="TableParagraph"/>
              <w:rPr>
                <w:rFonts w:ascii="Times New Roman"/>
                <w:sz w:val="18"/>
              </w:rPr>
            </w:pPr>
          </w:p>
        </w:tc>
        <w:tc>
          <w:tcPr>
            <w:tcW w:w="1296" w:type="dxa"/>
          </w:tcPr>
          <w:p w14:paraId="04E613D1" w14:textId="77777777" w:rsidR="00FA4AA8" w:rsidRDefault="00FA4AA8">
            <w:pPr>
              <w:pStyle w:val="TableParagraph"/>
              <w:spacing w:before="10"/>
              <w:rPr>
                <w:sz w:val="26"/>
              </w:rPr>
            </w:pPr>
          </w:p>
          <w:p w14:paraId="0992F5B2" w14:textId="77777777" w:rsidR="00FA4AA8" w:rsidRDefault="0015611F">
            <w:pPr>
              <w:pStyle w:val="TableParagraph"/>
              <w:ind w:right="1"/>
              <w:jc w:val="center"/>
              <w:rPr>
                <w:b/>
                <w:sz w:val="18"/>
              </w:rPr>
            </w:pPr>
            <w:r>
              <w:rPr>
                <w:b/>
                <w:sz w:val="18"/>
              </w:rPr>
              <w:t>-</w:t>
            </w:r>
          </w:p>
        </w:tc>
      </w:tr>
      <w:tr w:rsidR="00FA4AA8" w14:paraId="0686DCC3" w14:textId="77777777">
        <w:trPr>
          <w:trHeight w:val="247"/>
        </w:trPr>
        <w:tc>
          <w:tcPr>
            <w:tcW w:w="6962" w:type="dxa"/>
          </w:tcPr>
          <w:p w14:paraId="20AC7F30" w14:textId="77777777" w:rsidR="00FA4AA8" w:rsidRDefault="0015611F">
            <w:pPr>
              <w:pStyle w:val="TableParagraph"/>
              <w:spacing w:before="23" w:line="205" w:lineRule="exact"/>
              <w:ind w:left="76"/>
              <w:rPr>
                <w:sz w:val="18"/>
              </w:rPr>
            </w:pPr>
            <w:r>
              <w:rPr>
                <w:sz w:val="18"/>
              </w:rPr>
              <w:t>Western Sydney University (The Parent)</w:t>
            </w:r>
          </w:p>
        </w:tc>
        <w:tc>
          <w:tcPr>
            <w:tcW w:w="1707" w:type="dxa"/>
          </w:tcPr>
          <w:p w14:paraId="14982AC2" w14:textId="77777777" w:rsidR="00FA4AA8" w:rsidRDefault="00FA4AA8">
            <w:pPr>
              <w:pStyle w:val="TableParagraph"/>
              <w:rPr>
                <w:rFonts w:ascii="Times New Roman"/>
                <w:sz w:val="18"/>
              </w:rPr>
            </w:pPr>
          </w:p>
        </w:tc>
        <w:tc>
          <w:tcPr>
            <w:tcW w:w="1296" w:type="dxa"/>
            <w:tcBorders>
              <w:bottom w:val="single" w:sz="12" w:space="0" w:color="000000"/>
            </w:tcBorders>
          </w:tcPr>
          <w:p w14:paraId="2CAD118B" w14:textId="77777777" w:rsidR="00FA4AA8" w:rsidRDefault="0015611F">
            <w:pPr>
              <w:pStyle w:val="TableParagraph"/>
              <w:spacing w:before="23" w:line="205" w:lineRule="exact"/>
              <w:ind w:right="28"/>
              <w:jc w:val="right"/>
              <w:rPr>
                <w:b/>
                <w:sz w:val="18"/>
              </w:rPr>
            </w:pPr>
            <w:r>
              <w:rPr>
                <w:b/>
                <w:sz w:val="18"/>
              </w:rPr>
              <w:t>(5,595)</w:t>
            </w:r>
          </w:p>
        </w:tc>
      </w:tr>
      <w:tr w:rsidR="00FA4AA8" w14:paraId="5A5CF5EB" w14:textId="77777777">
        <w:trPr>
          <w:trHeight w:val="317"/>
        </w:trPr>
        <w:tc>
          <w:tcPr>
            <w:tcW w:w="6962" w:type="dxa"/>
          </w:tcPr>
          <w:p w14:paraId="7ECFE174" w14:textId="77777777" w:rsidR="00FA4AA8" w:rsidRDefault="0015611F">
            <w:pPr>
              <w:pStyle w:val="TableParagraph"/>
              <w:spacing w:before="110" w:line="188" w:lineRule="exact"/>
              <w:ind w:left="76"/>
              <w:rPr>
                <w:b/>
                <w:sz w:val="18"/>
              </w:rPr>
            </w:pPr>
            <w:r>
              <w:rPr>
                <w:b/>
                <w:sz w:val="18"/>
              </w:rPr>
              <w:t>Total comprehensive income for the period</w:t>
            </w:r>
          </w:p>
        </w:tc>
        <w:tc>
          <w:tcPr>
            <w:tcW w:w="1707" w:type="dxa"/>
          </w:tcPr>
          <w:p w14:paraId="08091D53" w14:textId="77777777" w:rsidR="00FA4AA8" w:rsidRDefault="00FA4AA8">
            <w:pPr>
              <w:pStyle w:val="TableParagraph"/>
              <w:rPr>
                <w:rFonts w:ascii="Times New Roman"/>
                <w:sz w:val="18"/>
              </w:rPr>
            </w:pPr>
          </w:p>
        </w:tc>
        <w:tc>
          <w:tcPr>
            <w:tcW w:w="1296" w:type="dxa"/>
            <w:tcBorders>
              <w:top w:val="single" w:sz="12" w:space="0" w:color="000000"/>
            </w:tcBorders>
          </w:tcPr>
          <w:p w14:paraId="60B6A821" w14:textId="77777777" w:rsidR="00FA4AA8" w:rsidRDefault="0015611F">
            <w:pPr>
              <w:pStyle w:val="TableParagraph"/>
              <w:tabs>
                <w:tab w:val="left" w:pos="692"/>
              </w:tabs>
              <w:spacing w:before="110" w:line="188" w:lineRule="exact"/>
              <w:ind w:left="-1"/>
              <w:jc w:val="right"/>
              <w:rPr>
                <w:b/>
                <w:sz w:val="18"/>
              </w:rPr>
            </w:pPr>
            <w:r>
              <w:rPr>
                <w:rFonts w:ascii="Times New Roman"/>
                <w:sz w:val="18"/>
                <w:u w:val="double"/>
              </w:rPr>
              <w:t xml:space="preserve"> </w:t>
            </w:r>
            <w:r>
              <w:rPr>
                <w:rFonts w:ascii="Times New Roman"/>
                <w:sz w:val="18"/>
                <w:u w:val="double"/>
              </w:rPr>
              <w:tab/>
            </w:r>
            <w:r>
              <w:rPr>
                <w:b/>
                <w:sz w:val="18"/>
                <w:u w:val="single"/>
              </w:rPr>
              <w:t>(5</w:t>
            </w:r>
            <w:r>
              <w:rPr>
                <w:b/>
                <w:sz w:val="18"/>
              </w:rPr>
              <w:t>,5</w:t>
            </w:r>
            <w:r>
              <w:rPr>
                <w:b/>
                <w:sz w:val="18"/>
                <w:u w:val="single"/>
              </w:rPr>
              <w:t>95</w:t>
            </w:r>
            <w:r>
              <w:rPr>
                <w:b/>
                <w:sz w:val="18"/>
              </w:rPr>
              <w:t>)</w:t>
            </w:r>
            <w:r>
              <w:rPr>
                <w:b/>
                <w:spacing w:val="-21"/>
                <w:sz w:val="18"/>
              </w:rPr>
              <w:t xml:space="preserve"> </w:t>
            </w:r>
          </w:p>
        </w:tc>
      </w:tr>
    </w:tbl>
    <w:p w14:paraId="3B5322D8" w14:textId="77777777" w:rsidR="00FA4AA8" w:rsidRDefault="00FA4AA8">
      <w:pPr>
        <w:pStyle w:val="BodyText"/>
        <w:rPr>
          <w:sz w:val="20"/>
        </w:rPr>
      </w:pPr>
    </w:p>
    <w:p w14:paraId="7F6C9693" w14:textId="77777777" w:rsidR="00FA4AA8" w:rsidRDefault="00FA4AA8">
      <w:pPr>
        <w:pStyle w:val="BodyText"/>
        <w:rPr>
          <w:sz w:val="20"/>
        </w:rPr>
      </w:pPr>
    </w:p>
    <w:p w14:paraId="03D98B01" w14:textId="77777777" w:rsidR="00FA4AA8" w:rsidRDefault="00FA4AA8">
      <w:pPr>
        <w:pStyle w:val="BodyText"/>
        <w:rPr>
          <w:sz w:val="20"/>
        </w:rPr>
      </w:pPr>
    </w:p>
    <w:p w14:paraId="4BB653BE" w14:textId="77777777" w:rsidR="00FA4AA8" w:rsidRDefault="00FA4AA8">
      <w:pPr>
        <w:pStyle w:val="BodyText"/>
        <w:rPr>
          <w:sz w:val="20"/>
        </w:rPr>
      </w:pPr>
    </w:p>
    <w:p w14:paraId="2CB78A93" w14:textId="77777777" w:rsidR="00FA4AA8" w:rsidRDefault="00FA4AA8">
      <w:pPr>
        <w:pStyle w:val="BodyText"/>
        <w:rPr>
          <w:sz w:val="20"/>
        </w:rPr>
      </w:pPr>
    </w:p>
    <w:p w14:paraId="184BE81F" w14:textId="77777777" w:rsidR="00FA4AA8" w:rsidRDefault="00FA4AA8">
      <w:pPr>
        <w:pStyle w:val="BodyText"/>
        <w:rPr>
          <w:sz w:val="20"/>
        </w:rPr>
      </w:pPr>
    </w:p>
    <w:p w14:paraId="3314A203" w14:textId="77777777" w:rsidR="00FA4AA8" w:rsidRDefault="00FA4AA8">
      <w:pPr>
        <w:pStyle w:val="BodyText"/>
        <w:rPr>
          <w:sz w:val="20"/>
        </w:rPr>
      </w:pPr>
    </w:p>
    <w:p w14:paraId="39982222" w14:textId="77777777" w:rsidR="00FA4AA8" w:rsidRDefault="00FA4AA8">
      <w:pPr>
        <w:pStyle w:val="BodyText"/>
        <w:rPr>
          <w:sz w:val="20"/>
        </w:rPr>
      </w:pPr>
    </w:p>
    <w:p w14:paraId="1C62526A" w14:textId="77777777" w:rsidR="00FA4AA8" w:rsidRDefault="00FA4AA8">
      <w:pPr>
        <w:pStyle w:val="BodyText"/>
        <w:rPr>
          <w:sz w:val="20"/>
        </w:rPr>
      </w:pPr>
    </w:p>
    <w:p w14:paraId="03005ABE" w14:textId="77777777" w:rsidR="00FA4AA8" w:rsidRDefault="00FA4AA8">
      <w:pPr>
        <w:pStyle w:val="BodyText"/>
        <w:rPr>
          <w:sz w:val="20"/>
        </w:rPr>
      </w:pPr>
    </w:p>
    <w:p w14:paraId="3FA5E146" w14:textId="77777777" w:rsidR="00FA4AA8" w:rsidRDefault="00FA4AA8">
      <w:pPr>
        <w:pStyle w:val="BodyText"/>
        <w:rPr>
          <w:sz w:val="20"/>
        </w:rPr>
      </w:pPr>
    </w:p>
    <w:p w14:paraId="59C00163" w14:textId="77777777" w:rsidR="00FA4AA8" w:rsidRDefault="00FA4AA8">
      <w:pPr>
        <w:pStyle w:val="BodyText"/>
        <w:rPr>
          <w:sz w:val="20"/>
        </w:rPr>
      </w:pPr>
    </w:p>
    <w:p w14:paraId="36022455" w14:textId="77777777" w:rsidR="00FA4AA8" w:rsidRDefault="00FA4AA8">
      <w:pPr>
        <w:pStyle w:val="BodyText"/>
        <w:rPr>
          <w:sz w:val="20"/>
        </w:rPr>
      </w:pPr>
    </w:p>
    <w:p w14:paraId="0B38A3E7" w14:textId="77777777" w:rsidR="00FA4AA8" w:rsidRDefault="00FA4AA8">
      <w:pPr>
        <w:pStyle w:val="BodyText"/>
        <w:rPr>
          <w:sz w:val="20"/>
        </w:rPr>
      </w:pPr>
    </w:p>
    <w:p w14:paraId="16F49249" w14:textId="77777777" w:rsidR="00FA4AA8" w:rsidRDefault="00FA4AA8">
      <w:pPr>
        <w:pStyle w:val="BodyText"/>
        <w:rPr>
          <w:sz w:val="20"/>
        </w:rPr>
      </w:pPr>
    </w:p>
    <w:p w14:paraId="3F9CCB4B" w14:textId="77777777" w:rsidR="00FA4AA8" w:rsidRDefault="00FA4AA8">
      <w:pPr>
        <w:pStyle w:val="BodyText"/>
        <w:rPr>
          <w:sz w:val="20"/>
        </w:rPr>
      </w:pPr>
    </w:p>
    <w:p w14:paraId="7D2FCEBD" w14:textId="77777777" w:rsidR="00FA4AA8" w:rsidRDefault="00FA4AA8">
      <w:pPr>
        <w:pStyle w:val="BodyText"/>
        <w:rPr>
          <w:sz w:val="20"/>
        </w:rPr>
      </w:pPr>
    </w:p>
    <w:p w14:paraId="2E1B2857" w14:textId="77777777" w:rsidR="00FA4AA8" w:rsidRDefault="00FA4AA8">
      <w:pPr>
        <w:pStyle w:val="BodyText"/>
        <w:rPr>
          <w:sz w:val="20"/>
        </w:rPr>
      </w:pPr>
    </w:p>
    <w:p w14:paraId="62E758DC" w14:textId="77777777" w:rsidR="00FA4AA8" w:rsidRDefault="00FA4AA8">
      <w:pPr>
        <w:pStyle w:val="BodyText"/>
        <w:rPr>
          <w:sz w:val="20"/>
        </w:rPr>
      </w:pPr>
    </w:p>
    <w:p w14:paraId="6048E628" w14:textId="77777777" w:rsidR="00FA4AA8" w:rsidRDefault="00FA4AA8">
      <w:pPr>
        <w:pStyle w:val="BodyText"/>
        <w:rPr>
          <w:sz w:val="20"/>
        </w:rPr>
      </w:pPr>
    </w:p>
    <w:p w14:paraId="67B27E7F" w14:textId="77777777" w:rsidR="00FA4AA8" w:rsidRDefault="00FA4AA8">
      <w:pPr>
        <w:pStyle w:val="BodyText"/>
        <w:rPr>
          <w:sz w:val="20"/>
        </w:rPr>
      </w:pPr>
    </w:p>
    <w:p w14:paraId="45ABB28A" w14:textId="77777777" w:rsidR="00FA4AA8" w:rsidRDefault="00FA4AA8">
      <w:pPr>
        <w:pStyle w:val="BodyText"/>
        <w:rPr>
          <w:sz w:val="20"/>
        </w:rPr>
      </w:pPr>
    </w:p>
    <w:p w14:paraId="66ED4141" w14:textId="77777777" w:rsidR="00FA4AA8" w:rsidRDefault="00FA4AA8">
      <w:pPr>
        <w:pStyle w:val="BodyText"/>
        <w:rPr>
          <w:sz w:val="20"/>
        </w:rPr>
      </w:pPr>
    </w:p>
    <w:p w14:paraId="36ED54BF" w14:textId="77777777" w:rsidR="00FA4AA8" w:rsidRDefault="00FA4AA8">
      <w:pPr>
        <w:pStyle w:val="BodyText"/>
        <w:rPr>
          <w:sz w:val="20"/>
        </w:rPr>
      </w:pPr>
    </w:p>
    <w:p w14:paraId="49D90013" w14:textId="77777777" w:rsidR="00FA4AA8" w:rsidRDefault="00FA4AA8">
      <w:pPr>
        <w:pStyle w:val="BodyText"/>
        <w:rPr>
          <w:sz w:val="20"/>
        </w:rPr>
      </w:pPr>
    </w:p>
    <w:p w14:paraId="24E4A6D4" w14:textId="77777777" w:rsidR="00FA4AA8" w:rsidRDefault="00FA4AA8">
      <w:pPr>
        <w:pStyle w:val="BodyText"/>
        <w:rPr>
          <w:sz w:val="20"/>
        </w:rPr>
      </w:pPr>
    </w:p>
    <w:p w14:paraId="72E0E941" w14:textId="77777777" w:rsidR="00FA4AA8" w:rsidRDefault="00FA4AA8">
      <w:pPr>
        <w:pStyle w:val="BodyText"/>
        <w:rPr>
          <w:sz w:val="20"/>
        </w:rPr>
      </w:pPr>
    </w:p>
    <w:p w14:paraId="39616570" w14:textId="77777777" w:rsidR="00FA4AA8" w:rsidRDefault="00FA4AA8">
      <w:pPr>
        <w:pStyle w:val="BodyText"/>
        <w:rPr>
          <w:sz w:val="20"/>
        </w:rPr>
      </w:pPr>
    </w:p>
    <w:p w14:paraId="687D5938" w14:textId="77777777" w:rsidR="00FA4AA8" w:rsidRDefault="00FA4AA8">
      <w:pPr>
        <w:pStyle w:val="BodyText"/>
        <w:rPr>
          <w:sz w:val="20"/>
        </w:rPr>
      </w:pPr>
    </w:p>
    <w:p w14:paraId="2BD4A9E3" w14:textId="77777777" w:rsidR="00FA4AA8" w:rsidRDefault="00FA4AA8">
      <w:pPr>
        <w:pStyle w:val="BodyText"/>
        <w:rPr>
          <w:sz w:val="20"/>
        </w:rPr>
      </w:pPr>
    </w:p>
    <w:p w14:paraId="18863C90" w14:textId="77777777" w:rsidR="00FA4AA8" w:rsidRDefault="00FA4AA8">
      <w:pPr>
        <w:pStyle w:val="BodyText"/>
        <w:rPr>
          <w:sz w:val="20"/>
        </w:rPr>
      </w:pPr>
    </w:p>
    <w:p w14:paraId="70CE24A5" w14:textId="77777777" w:rsidR="00FA4AA8" w:rsidRDefault="00FA4AA8">
      <w:pPr>
        <w:pStyle w:val="BodyText"/>
        <w:spacing w:before="9"/>
        <w:rPr>
          <w:sz w:val="19"/>
        </w:rPr>
      </w:pPr>
    </w:p>
    <w:p w14:paraId="2F60C0F5" w14:textId="77777777" w:rsidR="00FA4AA8" w:rsidRDefault="0015611F">
      <w:pPr>
        <w:pStyle w:val="BodyText"/>
        <w:ind w:left="576" w:right="509"/>
        <w:jc w:val="center"/>
      </w:pPr>
      <w:r>
        <w:t>The accompanying notes form part of these financial statements.</w:t>
      </w:r>
    </w:p>
    <w:p w14:paraId="2DD749F3" w14:textId="77777777" w:rsidR="00FA4AA8" w:rsidRDefault="00FA4AA8">
      <w:pPr>
        <w:jc w:val="center"/>
        <w:sectPr w:rsidR="00FA4AA8">
          <w:headerReference w:type="default" r:id="rId255"/>
          <w:footerReference w:type="default" r:id="rId256"/>
          <w:pgSz w:w="11910" w:h="16840"/>
          <w:pgMar w:top="1580" w:right="880" w:bottom="720" w:left="840" w:header="1015" w:footer="523" w:gutter="0"/>
          <w:pgNumType w:start="213"/>
          <w:cols w:space="720"/>
        </w:sectPr>
      </w:pPr>
    </w:p>
    <w:p w14:paraId="373CCC0A" w14:textId="77777777" w:rsidR="00FA4AA8" w:rsidRDefault="00FA4AA8">
      <w:pPr>
        <w:pStyle w:val="BodyText"/>
        <w:spacing w:before="6"/>
        <w:rPr>
          <w:sz w:val="21"/>
        </w:rPr>
      </w:pPr>
    </w:p>
    <w:p w14:paraId="326C7087" w14:textId="77777777" w:rsidR="00FA4AA8" w:rsidRDefault="0015611F">
      <w:pPr>
        <w:pStyle w:val="Heading2"/>
      </w:pPr>
      <w:r>
        <w:t>Statement of Financial Position</w:t>
      </w:r>
    </w:p>
    <w:p w14:paraId="0525BD2B" w14:textId="77777777" w:rsidR="00FA4AA8" w:rsidRDefault="0015611F">
      <w:pPr>
        <w:pStyle w:val="Heading6"/>
        <w:ind w:left="167"/>
      </w:pPr>
      <w:r>
        <w:t>As At 31 December 2018</w:t>
      </w:r>
    </w:p>
    <w:p w14:paraId="13D6D119" w14:textId="77777777" w:rsidR="00FA4AA8" w:rsidRDefault="00FA4AA8">
      <w:pPr>
        <w:pStyle w:val="BodyText"/>
        <w:spacing w:before="8"/>
        <w:rPr>
          <w:b/>
          <w:sz w:val="27"/>
        </w:rPr>
      </w:pPr>
    </w:p>
    <w:p w14:paraId="33206195" w14:textId="77777777" w:rsidR="00FA4AA8" w:rsidRDefault="00FA4AA8">
      <w:pPr>
        <w:rPr>
          <w:sz w:val="27"/>
        </w:rPr>
        <w:sectPr w:rsidR="00FA4AA8">
          <w:pgSz w:w="11910" w:h="16840"/>
          <w:pgMar w:top="1580" w:right="880" w:bottom="720" w:left="840" w:header="1015" w:footer="523" w:gutter="0"/>
          <w:cols w:space="720"/>
        </w:sectPr>
      </w:pPr>
    </w:p>
    <w:p w14:paraId="7C4C5F20" w14:textId="77777777" w:rsidR="00FA4AA8" w:rsidRDefault="00FA4AA8">
      <w:pPr>
        <w:pStyle w:val="BodyText"/>
        <w:rPr>
          <w:b/>
          <w:sz w:val="20"/>
        </w:rPr>
      </w:pPr>
    </w:p>
    <w:p w14:paraId="18EA5234" w14:textId="77777777" w:rsidR="00FA4AA8" w:rsidRDefault="00FA4AA8">
      <w:pPr>
        <w:pStyle w:val="BodyText"/>
        <w:rPr>
          <w:b/>
          <w:sz w:val="20"/>
        </w:rPr>
      </w:pPr>
    </w:p>
    <w:p w14:paraId="706046DD" w14:textId="77777777" w:rsidR="00FA4AA8" w:rsidRDefault="00FA4AA8">
      <w:pPr>
        <w:pStyle w:val="BodyText"/>
        <w:spacing w:before="8"/>
        <w:rPr>
          <w:b/>
          <w:sz w:val="22"/>
        </w:rPr>
      </w:pPr>
    </w:p>
    <w:p w14:paraId="388B9268" w14:textId="77777777" w:rsidR="00FA4AA8" w:rsidRDefault="0015611F">
      <w:pPr>
        <w:ind w:left="194"/>
        <w:rPr>
          <w:b/>
          <w:sz w:val="18"/>
        </w:rPr>
      </w:pPr>
      <w:r>
        <w:rPr>
          <w:b/>
          <w:sz w:val="18"/>
        </w:rPr>
        <w:t>ASSETS</w:t>
      </w:r>
    </w:p>
    <w:p w14:paraId="5D7C7F03" w14:textId="77777777" w:rsidR="00FA4AA8" w:rsidRDefault="0015611F">
      <w:pPr>
        <w:spacing w:before="26"/>
        <w:ind w:left="194"/>
        <w:rPr>
          <w:b/>
          <w:sz w:val="18"/>
        </w:rPr>
      </w:pPr>
      <w:r>
        <w:rPr>
          <w:b/>
          <w:sz w:val="18"/>
        </w:rPr>
        <w:t>Current Assets</w:t>
      </w:r>
    </w:p>
    <w:p w14:paraId="0C219120" w14:textId="77777777" w:rsidR="00FA4AA8" w:rsidRDefault="0015611F">
      <w:pPr>
        <w:pStyle w:val="BodyText"/>
        <w:rPr>
          <w:b/>
          <w:sz w:val="20"/>
        </w:rPr>
      </w:pPr>
      <w:r>
        <w:br w:type="column"/>
      </w:r>
    </w:p>
    <w:p w14:paraId="7EC935D7" w14:textId="77777777" w:rsidR="00FA4AA8" w:rsidRDefault="0015611F">
      <w:pPr>
        <w:spacing w:before="138"/>
        <w:ind w:left="194"/>
        <w:rPr>
          <w:b/>
          <w:sz w:val="18"/>
        </w:rPr>
      </w:pPr>
      <w:r>
        <w:rPr>
          <w:b/>
          <w:sz w:val="18"/>
        </w:rPr>
        <w:t>Note</w:t>
      </w:r>
    </w:p>
    <w:p w14:paraId="0823624F" w14:textId="77777777" w:rsidR="00FA4AA8" w:rsidRDefault="0015611F">
      <w:pPr>
        <w:spacing w:before="95"/>
        <w:ind w:left="178" w:right="534"/>
        <w:jc w:val="center"/>
        <w:rPr>
          <w:b/>
          <w:sz w:val="18"/>
        </w:rPr>
      </w:pPr>
      <w:r>
        <w:br w:type="column"/>
      </w:r>
      <w:r>
        <w:rPr>
          <w:b/>
          <w:sz w:val="18"/>
        </w:rPr>
        <w:t>2018</w:t>
      </w:r>
    </w:p>
    <w:p w14:paraId="507F2513" w14:textId="77777777" w:rsidR="00FA4AA8" w:rsidRDefault="0015611F">
      <w:pPr>
        <w:spacing w:before="66"/>
        <w:ind w:right="357"/>
        <w:jc w:val="center"/>
        <w:rPr>
          <w:b/>
          <w:sz w:val="18"/>
        </w:rPr>
      </w:pPr>
      <w:r>
        <w:rPr>
          <w:b/>
          <w:sz w:val="18"/>
        </w:rPr>
        <w:t>$</w:t>
      </w:r>
    </w:p>
    <w:p w14:paraId="38BE2278" w14:textId="77777777" w:rsidR="00FA4AA8" w:rsidRDefault="00FA4AA8">
      <w:pPr>
        <w:jc w:val="center"/>
        <w:rPr>
          <w:sz w:val="18"/>
        </w:rPr>
        <w:sectPr w:rsidR="00FA4AA8">
          <w:type w:val="continuous"/>
          <w:pgSz w:w="11910" w:h="16840"/>
          <w:pgMar w:top="20" w:right="880" w:bottom="0" w:left="840" w:header="720" w:footer="720" w:gutter="0"/>
          <w:cols w:num="3" w:space="720" w:equalWidth="0">
            <w:col w:w="1526" w:space="6577"/>
            <w:col w:w="635" w:space="298"/>
            <w:col w:w="1154"/>
          </w:cols>
        </w:sectPr>
      </w:pPr>
    </w:p>
    <w:p w14:paraId="713D23E4" w14:textId="77777777" w:rsidR="00FA4AA8" w:rsidRDefault="0015611F">
      <w:pPr>
        <w:pStyle w:val="BodyText"/>
        <w:tabs>
          <w:tab w:val="left" w:pos="9403"/>
        </w:tabs>
        <w:spacing w:before="55"/>
        <w:ind w:left="194"/>
        <w:rPr>
          <w:b/>
        </w:rPr>
      </w:pPr>
      <w:r>
        <w:t>Cash and</w:t>
      </w:r>
      <w:r>
        <w:rPr>
          <w:spacing w:val="-3"/>
        </w:rPr>
        <w:t xml:space="preserve"> </w:t>
      </w:r>
      <w:r>
        <w:t>cash</w:t>
      </w:r>
      <w:r>
        <w:rPr>
          <w:spacing w:val="1"/>
        </w:rPr>
        <w:t xml:space="preserve"> </w:t>
      </w:r>
      <w:r>
        <w:t>equivalents</w:t>
      </w:r>
      <w:r>
        <w:tab/>
      </w:r>
      <w:r>
        <w:rPr>
          <w:b/>
        </w:rPr>
        <w:t>-</w:t>
      </w:r>
    </w:p>
    <w:p w14:paraId="5196DAE9" w14:textId="77777777" w:rsidR="00FA4AA8" w:rsidRDefault="0015611F">
      <w:pPr>
        <w:tabs>
          <w:tab w:val="left" w:pos="9539"/>
        </w:tabs>
        <w:spacing w:before="57" w:after="22"/>
        <w:ind w:left="194"/>
        <w:rPr>
          <w:b/>
          <w:sz w:val="18"/>
        </w:rPr>
      </w:pPr>
      <w:r>
        <w:rPr>
          <w:sz w:val="18"/>
        </w:rPr>
        <w:t>Other</w:t>
      </w:r>
      <w:r>
        <w:rPr>
          <w:spacing w:val="-3"/>
          <w:sz w:val="18"/>
        </w:rPr>
        <w:t xml:space="preserve"> </w:t>
      </w:r>
      <w:r>
        <w:rPr>
          <w:sz w:val="18"/>
        </w:rPr>
        <w:t>receivables</w:t>
      </w:r>
      <w:r>
        <w:rPr>
          <w:sz w:val="18"/>
        </w:rPr>
        <w:tab/>
      </w:r>
      <w:r>
        <w:rPr>
          <w:b/>
          <w:sz w:val="18"/>
        </w:rPr>
        <w:t>3,925</w:t>
      </w:r>
    </w:p>
    <w:p w14:paraId="23590ADE" w14:textId="77777777" w:rsidR="00FA4AA8" w:rsidRDefault="007E2441">
      <w:pPr>
        <w:pStyle w:val="BodyText"/>
        <w:spacing w:line="24" w:lineRule="exact"/>
        <w:ind w:left="8782"/>
        <w:rPr>
          <w:sz w:val="2"/>
        </w:rPr>
      </w:pPr>
      <w:r>
        <w:rPr>
          <w:noProof/>
          <w:sz w:val="2"/>
          <w:lang w:val="en-AU" w:eastAsia="en-AU"/>
        </w:rPr>
        <mc:AlternateContent>
          <mc:Choice Requires="wpg">
            <w:drawing>
              <wp:inline distT="0" distB="0" distL="0" distR="0" wp14:anchorId="4232B7B4" wp14:editId="2EBE3B6D">
                <wp:extent cx="822960" cy="15875"/>
                <wp:effectExtent l="9525" t="9525" r="5715" b="3175"/>
                <wp:docPr id="489"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15875"/>
                          <a:chOff x="0" y="0"/>
                          <a:chExt cx="1296" cy="25"/>
                        </a:xfrm>
                      </wpg:grpSpPr>
                      <wps:wsp>
                        <wps:cNvPr id="490" name="Line 263"/>
                        <wps:cNvCnPr>
                          <a:cxnSpLocks noChangeShapeType="1"/>
                        </wps:cNvCnPr>
                        <wps:spPr bwMode="auto">
                          <a:xfrm>
                            <a:off x="0" y="4"/>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91" name="Line 262"/>
                        <wps:cNvCnPr>
                          <a:cxnSpLocks noChangeShapeType="1"/>
                        </wps:cNvCnPr>
                        <wps:spPr bwMode="auto">
                          <a:xfrm>
                            <a:off x="0" y="6"/>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92" name="Line 261"/>
                        <wps:cNvCnPr>
                          <a:cxnSpLocks noChangeShapeType="1"/>
                        </wps:cNvCnPr>
                        <wps:spPr bwMode="auto">
                          <a:xfrm>
                            <a:off x="0" y="9"/>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93" name="Line 260"/>
                        <wps:cNvCnPr>
                          <a:cxnSpLocks noChangeShapeType="1"/>
                        </wps:cNvCnPr>
                        <wps:spPr bwMode="auto">
                          <a:xfrm>
                            <a:off x="0" y="11"/>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94" name="Line 259"/>
                        <wps:cNvCnPr>
                          <a:cxnSpLocks noChangeShapeType="1"/>
                        </wps:cNvCnPr>
                        <wps:spPr bwMode="auto">
                          <a:xfrm>
                            <a:off x="0" y="13"/>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95" name="Line 258"/>
                        <wps:cNvCnPr>
                          <a:cxnSpLocks noChangeShapeType="1"/>
                        </wps:cNvCnPr>
                        <wps:spPr bwMode="auto">
                          <a:xfrm>
                            <a:off x="0" y="16"/>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96" name="Line 257"/>
                        <wps:cNvCnPr>
                          <a:cxnSpLocks noChangeShapeType="1"/>
                        </wps:cNvCnPr>
                        <wps:spPr bwMode="auto">
                          <a:xfrm>
                            <a:off x="0" y="18"/>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97" name="Line 256"/>
                        <wps:cNvCnPr>
                          <a:cxnSpLocks noChangeShapeType="1"/>
                        </wps:cNvCnPr>
                        <wps:spPr bwMode="auto">
                          <a:xfrm>
                            <a:off x="0" y="21"/>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9DC4C44" id="Group 255" o:spid="_x0000_s1026" style="width:64.8pt;height:1.25pt;mso-position-horizontal-relative:char;mso-position-vertical-relative:line" coordsize="129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">
                <v:line id="Line 263" o:spid="_x0000_s1027" style="position:absolute;visibility:visible;mso-wrap-style:square" from="0,4" to="12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" strokeweight=".1323mm"/>
                <v:line id="Line 262" o:spid="_x0000_s1028" style="position:absolute;visibility:visible;mso-wrap-style:square" from="0,6" to="12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" strokeweight=".1323mm"/>
                <v:line id="Line 261" o:spid="_x0000_s1029" style="position:absolute;visibility:visible;mso-wrap-style:square" from="0,9" to="12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" strokeweight=".1323mm"/>
                <v:line id="Line 260" o:spid="_x0000_s1030" style="position:absolute;visibility:visible;mso-wrap-style:square" from="0,11" to="12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" strokeweight=".1323mm"/>
                <v:line id="Line 259" o:spid="_x0000_s1031" style="position:absolute;visibility:visible;mso-wrap-style:square" from="0,13" to="129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" strokeweight=".1323mm"/>
                <v:line id="Line 258" o:spid="_x0000_s1032" style="position:absolute;visibility:visible;mso-wrap-style:square" from="0,16" to="129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" strokeweight=".1323mm"/>
                <v:line id="Line 257" o:spid="_x0000_s1033" style="position:absolute;visibility:visible;mso-wrap-style:square" from="0,18" to="129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" strokeweight=".1323mm"/>
                <v:line id="Line 256" o:spid="_x0000_s1034" style="position:absolute;visibility:visible;mso-wrap-style:square" from="0,21" to="12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" strokeweight=".1323mm"/>
                <w10:anchorlock/>
              </v:group>
            </w:pict>
          </mc:Fallback>
        </mc:AlternateContent>
      </w:r>
    </w:p>
    <w:p w14:paraId="2A02A18B" w14:textId="77777777" w:rsidR="00FA4AA8" w:rsidRDefault="0015611F">
      <w:pPr>
        <w:tabs>
          <w:tab w:val="left" w:pos="8786"/>
          <w:tab w:val="left" w:pos="9539"/>
        </w:tabs>
        <w:spacing w:before="27"/>
        <w:ind w:left="194"/>
        <w:rPr>
          <w:b/>
          <w:sz w:val="18"/>
        </w:rPr>
      </w:pPr>
      <w:r>
        <w:rPr>
          <w:b/>
          <w:sz w:val="18"/>
        </w:rPr>
        <w:t>Total</w:t>
      </w:r>
      <w:r>
        <w:rPr>
          <w:b/>
          <w:spacing w:val="-2"/>
          <w:sz w:val="18"/>
        </w:rPr>
        <w:t xml:space="preserve"> </w:t>
      </w:r>
      <w:r>
        <w:rPr>
          <w:b/>
          <w:sz w:val="18"/>
        </w:rPr>
        <w:t>Current</w:t>
      </w:r>
      <w:r>
        <w:rPr>
          <w:b/>
          <w:spacing w:val="-1"/>
          <w:sz w:val="18"/>
        </w:rPr>
        <w:t xml:space="preserve"> </w:t>
      </w:r>
      <w:r>
        <w:rPr>
          <w:b/>
          <w:sz w:val="18"/>
        </w:rPr>
        <w:t>Assets</w:t>
      </w:r>
      <w:r>
        <w:rPr>
          <w:b/>
          <w:sz w:val="18"/>
        </w:rPr>
        <w:tab/>
      </w:r>
      <w:r>
        <w:rPr>
          <w:b/>
          <w:position w:val="-8"/>
          <w:sz w:val="18"/>
          <w:u w:val="thick"/>
        </w:rPr>
        <w:t xml:space="preserve"> </w:t>
      </w:r>
      <w:r>
        <w:rPr>
          <w:b/>
          <w:position w:val="-8"/>
          <w:sz w:val="18"/>
          <w:u w:val="thick"/>
        </w:rPr>
        <w:tab/>
        <w:t>3,925</w:t>
      </w:r>
      <w:r>
        <w:rPr>
          <w:b/>
          <w:spacing w:val="-11"/>
          <w:position w:val="-8"/>
          <w:sz w:val="18"/>
          <w:u w:val="thick"/>
        </w:rPr>
        <w:t xml:space="preserve"> </w:t>
      </w:r>
    </w:p>
    <w:p w14:paraId="41FC227E" w14:textId="77777777" w:rsidR="00FA4AA8" w:rsidRDefault="0015611F">
      <w:pPr>
        <w:spacing w:before="41"/>
        <w:ind w:left="194"/>
        <w:rPr>
          <w:b/>
          <w:sz w:val="18"/>
        </w:rPr>
      </w:pPr>
      <w:r>
        <w:rPr>
          <w:b/>
          <w:sz w:val="18"/>
        </w:rPr>
        <w:t>Non-Current Assets</w:t>
      </w:r>
    </w:p>
    <w:p w14:paraId="00C4232E" w14:textId="77777777" w:rsidR="00FA4AA8" w:rsidRDefault="0015611F">
      <w:pPr>
        <w:pStyle w:val="BodyText"/>
        <w:tabs>
          <w:tab w:val="left" w:pos="8445"/>
          <w:tab w:val="left" w:pos="9439"/>
        </w:tabs>
        <w:spacing w:before="57" w:after="19"/>
        <w:ind w:left="194"/>
        <w:rPr>
          <w:b/>
        </w:rPr>
      </w:pPr>
      <w:r>
        <w:t>Property, plant</w:t>
      </w:r>
      <w:r>
        <w:rPr>
          <w:spacing w:val="2"/>
        </w:rPr>
        <w:t xml:space="preserve"> </w:t>
      </w:r>
      <w:r>
        <w:t>and</w:t>
      </w:r>
      <w:r>
        <w:rPr>
          <w:spacing w:val="1"/>
        </w:rPr>
        <w:t xml:space="preserve"> </w:t>
      </w:r>
      <w:r>
        <w:t>equipment</w:t>
      </w:r>
      <w:r>
        <w:tab/>
        <w:t>3</w:t>
      </w:r>
      <w:r>
        <w:tab/>
      </w:r>
      <w:r>
        <w:rPr>
          <w:b/>
        </w:rPr>
        <w:t>39,250</w:t>
      </w:r>
    </w:p>
    <w:p w14:paraId="7F86424C" w14:textId="77777777" w:rsidR="00FA4AA8" w:rsidRDefault="007E2441">
      <w:pPr>
        <w:pStyle w:val="BodyText"/>
        <w:spacing w:line="24" w:lineRule="exact"/>
        <w:ind w:left="8782"/>
        <w:rPr>
          <w:sz w:val="2"/>
        </w:rPr>
      </w:pPr>
      <w:r>
        <w:rPr>
          <w:noProof/>
          <w:sz w:val="2"/>
          <w:lang w:val="en-AU" w:eastAsia="en-AU"/>
        </w:rPr>
        <mc:AlternateContent>
          <mc:Choice Requires="wpg">
            <w:drawing>
              <wp:inline distT="0" distB="0" distL="0" distR="0" wp14:anchorId="52FA7F91" wp14:editId="6EFCB5A4">
                <wp:extent cx="822960" cy="15875"/>
                <wp:effectExtent l="9525" t="9525" r="5715" b="3175"/>
                <wp:docPr id="480"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15875"/>
                          <a:chOff x="0" y="0"/>
                          <a:chExt cx="1296" cy="25"/>
                        </a:xfrm>
                      </wpg:grpSpPr>
                      <wps:wsp>
                        <wps:cNvPr id="481" name="Line 254"/>
                        <wps:cNvCnPr>
                          <a:cxnSpLocks noChangeShapeType="1"/>
                        </wps:cNvCnPr>
                        <wps:spPr bwMode="auto">
                          <a:xfrm>
                            <a:off x="0" y="4"/>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82" name="Line 253"/>
                        <wps:cNvCnPr>
                          <a:cxnSpLocks noChangeShapeType="1"/>
                        </wps:cNvCnPr>
                        <wps:spPr bwMode="auto">
                          <a:xfrm>
                            <a:off x="0" y="6"/>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83" name="Line 252"/>
                        <wps:cNvCnPr>
                          <a:cxnSpLocks noChangeShapeType="1"/>
                        </wps:cNvCnPr>
                        <wps:spPr bwMode="auto">
                          <a:xfrm>
                            <a:off x="0" y="9"/>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84" name="Line 251"/>
                        <wps:cNvCnPr>
                          <a:cxnSpLocks noChangeShapeType="1"/>
                        </wps:cNvCnPr>
                        <wps:spPr bwMode="auto">
                          <a:xfrm>
                            <a:off x="0" y="11"/>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85" name="Line 250"/>
                        <wps:cNvCnPr>
                          <a:cxnSpLocks noChangeShapeType="1"/>
                        </wps:cNvCnPr>
                        <wps:spPr bwMode="auto">
                          <a:xfrm>
                            <a:off x="0" y="13"/>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86" name="Line 249"/>
                        <wps:cNvCnPr>
                          <a:cxnSpLocks noChangeShapeType="1"/>
                        </wps:cNvCnPr>
                        <wps:spPr bwMode="auto">
                          <a:xfrm>
                            <a:off x="0" y="16"/>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87" name="Line 248"/>
                        <wps:cNvCnPr>
                          <a:cxnSpLocks noChangeShapeType="1"/>
                        </wps:cNvCnPr>
                        <wps:spPr bwMode="auto">
                          <a:xfrm>
                            <a:off x="0" y="18"/>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88" name="Line 247"/>
                        <wps:cNvCnPr>
                          <a:cxnSpLocks noChangeShapeType="1"/>
                        </wps:cNvCnPr>
                        <wps:spPr bwMode="auto">
                          <a:xfrm>
                            <a:off x="0" y="21"/>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9ADF057" id="Group 246" o:spid="_x0000_s1026" style="width:64.8pt;height:1.25pt;mso-position-horizontal-relative:char;mso-position-vertical-relative:line" coordsize="129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">
                <v:line id="Line 254" o:spid="_x0000_s1027" style="position:absolute;visibility:visible;mso-wrap-style:square" from="0,4" to="12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" strokeweight=".1323mm"/>
                <v:line id="Line 253" o:spid="_x0000_s1028" style="position:absolute;visibility:visible;mso-wrap-style:square" from="0,6" to="12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" strokeweight=".1323mm"/>
                <v:line id="Line 252" o:spid="_x0000_s1029" style="position:absolute;visibility:visible;mso-wrap-style:square" from="0,9" to="12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" strokeweight=".1323mm"/>
                <v:line id="Line 251" o:spid="_x0000_s1030" style="position:absolute;visibility:visible;mso-wrap-style:square" from="0,11" to="12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" strokeweight=".1323mm"/>
                <v:line id="Line 250" o:spid="_x0000_s1031" style="position:absolute;visibility:visible;mso-wrap-style:square" from="0,13" to="129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" strokeweight=".1323mm"/>
                <v:line id="Line 249" o:spid="_x0000_s1032" style="position:absolute;visibility:visible;mso-wrap-style:square" from="0,16" to="129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" strokeweight=".1323mm"/>
                <v:line id="Line 248" o:spid="_x0000_s1033" style="position:absolute;visibility:visible;mso-wrap-style:square" from="0,18" to="129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" strokeweight=".1323mm"/>
                <v:line id="Line 247" o:spid="_x0000_s1034" style="position:absolute;visibility:visible;mso-wrap-style:square" from="0,21" to="12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" strokeweight=".1323mm"/>
                <w10:anchorlock/>
              </v:group>
            </w:pict>
          </mc:Fallback>
        </mc:AlternateContent>
      </w:r>
    </w:p>
    <w:p w14:paraId="5CAA4C5A" w14:textId="77777777" w:rsidR="00FA4AA8" w:rsidRDefault="0015611F">
      <w:pPr>
        <w:tabs>
          <w:tab w:val="left" w:pos="8786"/>
          <w:tab w:val="left" w:pos="9439"/>
        </w:tabs>
        <w:spacing w:before="27"/>
        <w:ind w:left="194"/>
        <w:rPr>
          <w:b/>
          <w:sz w:val="18"/>
        </w:rPr>
      </w:pPr>
      <w:r>
        <w:rPr>
          <w:b/>
          <w:sz w:val="18"/>
        </w:rPr>
        <w:t>Total</w:t>
      </w:r>
      <w:r>
        <w:rPr>
          <w:b/>
          <w:spacing w:val="-1"/>
          <w:sz w:val="18"/>
        </w:rPr>
        <w:t xml:space="preserve"> </w:t>
      </w:r>
      <w:r>
        <w:rPr>
          <w:b/>
          <w:sz w:val="18"/>
        </w:rPr>
        <w:t>Non-Current</w:t>
      </w:r>
      <w:r>
        <w:rPr>
          <w:b/>
          <w:spacing w:val="-2"/>
          <w:sz w:val="18"/>
        </w:rPr>
        <w:t xml:space="preserve"> </w:t>
      </w:r>
      <w:r>
        <w:rPr>
          <w:b/>
          <w:sz w:val="18"/>
        </w:rPr>
        <w:t>Assets</w:t>
      </w:r>
      <w:r>
        <w:rPr>
          <w:b/>
          <w:sz w:val="18"/>
        </w:rPr>
        <w:tab/>
      </w:r>
      <w:r>
        <w:rPr>
          <w:b/>
          <w:position w:val="-8"/>
          <w:sz w:val="18"/>
          <w:u w:val="thick"/>
        </w:rPr>
        <w:t xml:space="preserve"> </w:t>
      </w:r>
      <w:r>
        <w:rPr>
          <w:b/>
          <w:position w:val="-8"/>
          <w:sz w:val="18"/>
          <w:u w:val="thick"/>
        </w:rPr>
        <w:tab/>
        <w:t>39,250</w:t>
      </w:r>
      <w:r>
        <w:rPr>
          <w:b/>
          <w:spacing w:val="-10"/>
          <w:position w:val="-8"/>
          <w:sz w:val="18"/>
          <w:u w:val="thick"/>
        </w:rPr>
        <w:t xml:space="preserve"> </w:t>
      </w:r>
    </w:p>
    <w:p w14:paraId="0C400FE9" w14:textId="77777777" w:rsidR="00FA4AA8" w:rsidRDefault="0015611F">
      <w:pPr>
        <w:tabs>
          <w:tab w:val="left" w:pos="8786"/>
          <w:tab w:val="left" w:pos="9439"/>
        </w:tabs>
        <w:spacing w:before="41"/>
        <w:ind w:left="194"/>
        <w:rPr>
          <w:b/>
          <w:sz w:val="18"/>
        </w:rPr>
      </w:pPr>
      <w:r>
        <w:rPr>
          <w:b/>
          <w:sz w:val="18"/>
        </w:rPr>
        <w:t>Total</w:t>
      </w:r>
      <w:r>
        <w:rPr>
          <w:b/>
          <w:spacing w:val="-1"/>
          <w:sz w:val="18"/>
        </w:rPr>
        <w:t xml:space="preserve"> </w:t>
      </w:r>
      <w:r>
        <w:rPr>
          <w:b/>
          <w:sz w:val="18"/>
        </w:rPr>
        <w:t>Assets</w:t>
      </w:r>
      <w:r>
        <w:rPr>
          <w:b/>
          <w:sz w:val="18"/>
        </w:rPr>
        <w:tab/>
      </w:r>
      <w:r>
        <w:rPr>
          <w:b/>
          <w:position w:val="-8"/>
          <w:sz w:val="18"/>
          <w:u w:val="double"/>
        </w:rPr>
        <w:t xml:space="preserve"> </w:t>
      </w:r>
      <w:r>
        <w:rPr>
          <w:b/>
          <w:position w:val="-8"/>
          <w:sz w:val="18"/>
          <w:u w:val="double"/>
        </w:rPr>
        <w:tab/>
      </w:r>
      <w:r>
        <w:rPr>
          <w:b/>
          <w:position w:val="-8"/>
          <w:sz w:val="18"/>
          <w:u w:val="single"/>
        </w:rPr>
        <w:t>43</w:t>
      </w:r>
      <w:r>
        <w:rPr>
          <w:b/>
          <w:position w:val="-8"/>
          <w:sz w:val="18"/>
        </w:rPr>
        <w:t>,</w:t>
      </w:r>
      <w:r>
        <w:rPr>
          <w:b/>
          <w:position w:val="-8"/>
          <w:sz w:val="18"/>
          <w:u w:val="single"/>
        </w:rPr>
        <w:t>17</w:t>
      </w:r>
      <w:r>
        <w:rPr>
          <w:b/>
          <w:position w:val="-8"/>
          <w:sz w:val="18"/>
        </w:rPr>
        <w:t>5</w:t>
      </w:r>
      <w:r>
        <w:rPr>
          <w:b/>
          <w:spacing w:val="-10"/>
          <w:position w:val="-8"/>
          <w:sz w:val="18"/>
        </w:rPr>
        <w:t xml:space="preserve"> </w:t>
      </w:r>
    </w:p>
    <w:p w14:paraId="10AF10C0" w14:textId="77777777" w:rsidR="00FA4AA8" w:rsidRDefault="0015611F">
      <w:pPr>
        <w:spacing w:before="157"/>
        <w:ind w:left="194"/>
        <w:rPr>
          <w:b/>
          <w:sz w:val="18"/>
        </w:rPr>
      </w:pPr>
      <w:r>
        <w:rPr>
          <w:b/>
          <w:sz w:val="18"/>
        </w:rPr>
        <w:t>LIABILITIES</w:t>
      </w:r>
    </w:p>
    <w:p w14:paraId="27224495" w14:textId="77777777" w:rsidR="00FA4AA8" w:rsidRDefault="0015611F">
      <w:pPr>
        <w:spacing w:before="26"/>
        <w:ind w:left="194"/>
        <w:rPr>
          <w:b/>
          <w:sz w:val="18"/>
        </w:rPr>
      </w:pPr>
      <w:r>
        <w:rPr>
          <w:b/>
          <w:sz w:val="18"/>
        </w:rPr>
        <w:t>Current Liabilities</w:t>
      </w:r>
    </w:p>
    <w:p w14:paraId="68ADCFC2" w14:textId="77777777" w:rsidR="00FA4AA8" w:rsidRDefault="0015611F">
      <w:pPr>
        <w:tabs>
          <w:tab w:val="left" w:pos="8445"/>
          <w:tab w:val="left" w:pos="9539"/>
        </w:tabs>
        <w:spacing w:before="57" w:after="19"/>
        <w:ind w:left="194"/>
        <w:rPr>
          <w:b/>
          <w:sz w:val="18"/>
        </w:rPr>
      </w:pPr>
      <w:r>
        <w:rPr>
          <w:sz w:val="18"/>
        </w:rPr>
        <w:t>Accrued expenses</w:t>
      </w:r>
      <w:r>
        <w:rPr>
          <w:sz w:val="18"/>
        </w:rPr>
        <w:tab/>
        <w:t>4</w:t>
      </w:r>
      <w:r>
        <w:rPr>
          <w:sz w:val="18"/>
        </w:rPr>
        <w:tab/>
      </w:r>
      <w:r>
        <w:rPr>
          <w:b/>
          <w:sz w:val="18"/>
        </w:rPr>
        <w:t>5,500</w:t>
      </w:r>
    </w:p>
    <w:p w14:paraId="6F083830" w14:textId="77777777" w:rsidR="00FA4AA8" w:rsidRDefault="007E2441">
      <w:pPr>
        <w:pStyle w:val="BodyText"/>
        <w:spacing w:line="24" w:lineRule="exact"/>
        <w:ind w:left="8782"/>
        <w:rPr>
          <w:sz w:val="2"/>
        </w:rPr>
      </w:pPr>
      <w:r>
        <w:rPr>
          <w:noProof/>
          <w:sz w:val="2"/>
          <w:lang w:val="en-AU" w:eastAsia="en-AU"/>
        </w:rPr>
        <mc:AlternateContent>
          <mc:Choice Requires="wpg">
            <w:drawing>
              <wp:inline distT="0" distB="0" distL="0" distR="0" wp14:anchorId="6FD137DB" wp14:editId="4858C053">
                <wp:extent cx="822960" cy="15875"/>
                <wp:effectExtent l="9525" t="9525" r="5715" b="3175"/>
                <wp:docPr id="471"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15875"/>
                          <a:chOff x="0" y="0"/>
                          <a:chExt cx="1296" cy="25"/>
                        </a:xfrm>
                      </wpg:grpSpPr>
                      <wps:wsp>
                        <wps:cNvPr id="472" name="Line 245"/>
                        <wps:cNvCnPr>
                          <a:cxnSpLocks noChangeShapeType="1"/>
                        </wps:cNvCnPr>
                        <wps:spPr bwMode="auto">
                          <a:xfrm>
                            <a:off x="0" y="4"/>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73" name="Line 244"/>
                        <wps:cNvCnPr>
                          <a:cxnSpLocks noChangeShapeType="1"/>
                        </wps:cNvCnPr>
                        <wps:spPr bwMode="auto">
                          <a:xfrm>
                            <a:off x="0" y="6"/>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74" name="Line 243"/>
                        <wps:cNvCnPr>
                          <a:cxnSpLocks noChangeShapeType="1"/>
                        </wps:cNvCnPr>
                        <wps:spPr bwMode="auto">
                          <a:xfrm>
                            <a:off x="0" y="9"/>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75" name="Line 242"/>
                        <wps:cNvCnPr>
                          <a:cxnSpLocks noChangeShapeType="1"/>
                        </wps:cNvCnPr>
                        <wps:spPr bwMode="auto">
                          <a:xfrm>
                            <a:off x="0" y="11"/>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76" name="Line 241"/>
                        <wps:cNvCnPr>
                          <a:cxnSpLocks noChangeShapeType="1"/>
                        </wps:cNvCnPr>
                        <wps:spPr bwMode="auto">
                          <a:xfrm>
                            <a:off x="0" y="13"/>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77" name="Line 240"/>
                        <wps:cNvCnPr>
                          <a:cxnSpLocks noChangeShapeType="1"/>
                        </wps:cNvCnPr>
                        <wps:spPr bwMode="auto">
                          <a:xfrm>
                            <a:off x="0" y="16"/>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78" name="Line 239"/>
                        <wps:cNvCnPr>
                          <a:cxnSpLocks noChangeShapeType="1"/>
                        </wps:cNvCnPr>
                        <wps:spPr bwMode="auto">
                          <a:xfrm>
                            <a:off x="0" y="18"/>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79" name="Line 238"/>
                        <wps:cNvCnPr>
                          <a:cxnSpLocks noChangeShapeType="1"/>
                        </wps:cNvCnPr>
                        <wps:spPr bwMode="auto">
                          <a:xfrm>
                            <a:off x="0" y="21"/>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BF782AB" id="Group 237" o:spid="_x0000_s1026" style="width:64.8pt;height:1.25pt;mso-position-horizontal-relative:char;mso-position-vertical-relative:line" coordsize="129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">
                <v:line id="Line 245" o:spid="_x0000_s1027" style="position:absolute;visibility:visible;mso-wrap-style:square" from="0,4" to="12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" strokeweight=".1323mm"/>
                <v:line id="Line 244" o:spid="_x0000_s1028" style="position:absolute;visibility:visible;mso-wrap-style:square" from="0,6" to="12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" strokeweight=".1323mm"/>
                <v:line id="Line 243" o:spid="_x0000_s1029" style="position:absolute;visibility:visible;mso-wrap-style:square" from="0,9" to="12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" strokeweight=".1323mm"/>
                <v:line id="Line 242" o:spid="_x0000_s1030" style="position:absolute;visibility:visible;mso-wrap-style:square" from="0,11" to="12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" strokeweight=".1323mm"/>
                <v:line id="Line 241" o:spid="_x0000_s1031" style="position:absolute;visibility:visible;mso-wrap-style:square" from="0,13" to="129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" strokeweight=".1323mm"/>
                <v:line id="Line 240" o:spid="_x0000_s1032" style="position:absolute;visibility:visible;mso-wrap-style:square" from="0,16" to="129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" strokeweight=".1323mm"/>
                <v:line id="Line 239" o:spid="_x0000_s1033" style="position:absolute;visibility:visible;mso-wrap-style:square" from="0,18" to="129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" strokeweight=".1323mm"/>
                <v:line id="Line 238" o:spid="_x0000_s1034" style="position:absolute;visibility:visible;mso-wrap-style:square" from="0,21" to="12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" strokeweight=".1323mm"/>
                <w10:anchorlock/>
              </v:group>
            </w:pict>
          </mc:Fallback>
        </mc:AlternateContent>
      </w:r>
    </w:p>
    <w:p w14:paraId="29608D2A" w14:textId="77777777" w:rsidR="00FA4AA8" w:rsidRDefault="0015611F">
      <w:pPr>
        <w:tabs>
          <w:tab w:val="left" w:pos="8786"/>
          <w:tab w:val="left" w:pos="9539"/>
        </w:tabs>
        <w:spacing w:before="27"/>
        <w:ind w:left="194"/>
        <w:rPr>
          <w:b/>
          <w:sz w:val="18"/>
        </w:rPr>
      </w:pPr>
      <w:r>
        <w:rPr>
          <w:b/>
          <w:sz w:val="18"/>
        </w:rPr>
        <w:t>Total</w:t>
      </w:r>
      <w:r>
        <w:rPr>
          <w:b/>
          <w:spacing w:val="-1"/>
          <w:sz w:val="18"/>
        </w:rPr>
        <w:t xml:space="preserve"> </w:t>
      </w:r>
      <w:r>
        <w:rPr>
          <w:b/>
          <w:sz w:val="18"/>
        </w:rPr>
        <w:t>Current Liabilities</w:t>
      </w:r>
      <w:r>
        <w:rPr>
          <w:b/>
          <w:sz w:val="18"/>
        </w:rPr>
        <w:tab/>
      </w:r>
      <w:r>
        <w:rPr>
          <w:b/>
          <w:position w:val="-8"/>
          <w:sz w:val="18"/>
          <w:u w:val="thick"/>
        </w:rPr>
        <w:t xml:space="preserve"> </w:t>
      </w:r>
      <w:r>
        <w:rPr>
          <w:b/>
          <w:position w:val="-8"/>
          <w:sz w:val="18"/>
          <w:u w:val="thick"/>
        </w:rPr>
        <w:tab/>
        <w:t>5,500</w:t>
      </w:r>
      <w:r>
        <w:rPr>
          <w:b/>
          <w:spacing w:val="-11"/>
          <w:position w:val="-8"/>
          <w:sz w:val="18"/>
          <w:u w:val="thick"/>
        </w:rPr>
        <w:t xml:space="preserve"> </w:t>
      </w:r>
    </w:p>
    <w:p w14:paraId="78144452" w14:textId="77777777" w:rsidR="00FA4AA8" w:rsidRDefault="0015611F">
      <w:pPr>
        <w:spacing w:before="44"/>
        <w:ind w:left="194"/>
        <w:rPr>
          <w:b/>
          <w:sz w:val="18"/>
        </w:rPr>
      </w:pPr>
      <w:r>
        <w:rPr>
          <w:b/>
          <w:sz w:val="18"/>
        </w:rPr>
        <w:t>Non-Current Liabilities</w:t>
      </w:r>
    </w:p>
    <w:p w14:paraId="3C8DE33E" w14:textId="77777777" w:rsidR="00FA4AA8" w:rsidRDefault="0015611F">
      <w:pPr>
        <w:pStyle w:val="BodyText"/>
        <w:tabs>
          <w:tab w:val="left" w:pos="8335"/>
          <w:tab w:val="left" w:pos="9439"/>
        </w:tabs>
        <w:spacing w:before="59" w:after="19"/>
        <w:ind w:left="194"/>
        <w:rPr>
          <w:b/>
        </w:rPr>
      </w:pPr>
      <w:r>
        <w:t>Loan from</w:t>
      </w:r>
      <w:r>
        <w:rPr>
          <w:spacing w:val="-2"/>
        </w:rPr>
        <w:t xml:space="preserve"> </w:t>
      </w:r>
      <w:r>
        <w:t>parent</w:t>
      </w:r>
      <w:r>
        <w:rPr>
          <w:spacing w:val="2"/>
        </w:rPr>
        <w:t xml:space="preserve"> </w:t>
      </w:r>
      <w:r>
        <w:t>entity</w:t>
      </w:r>
      <w:r>
        <w:tab/>
        <w:t>7(b)</w:t>
      </w:r>
      <w:r>
        <w:tab/>
      </w:r>
      <w:r>
        <w:rPr>
          <w:b/>
        </w:rPr>
        <w:t>43,270</w:t>
      </w:r>
    </w:p>
    <w:p w14:paraId="2A539944" w14:textId="77777777" w:rsidR="00FA4AA8" w:rsidRDefault="007E2441">
      <w:pPr>
        <w:pStyle w:val="BodyText"/>
        <w:spacing w:line="24" w:lineRule="exact"/>
        <w:ind w:left="8782"/>
        <w:rPr>
          <w:sz w:val="2"/>
        </w:rPr>
      </w:pPr>
      <w:r>
        <w:rPr>
          <w:noProof/>
          <w:sz w:val="2"/>
          <w:lang w:val="en-AU" w:eastAsia="en-AU"/>
        </w:rPr>
        <mc:AlternateContent>
          <mc:Choice Requires="wpg">
            <w:drawing>
              <wp:inline distT="0" distB="0" distL="0" distR="0" wp14:anchorId="0FD6FC0F" wp14:editId="45907F00">
                <wp:extent cx="822960" cy="15875"/>
                <wp:effectExtent l="9525" t="9525" r="5715" b="3175"/>
                <wp:docPr id="462"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15875"/>
                          <a:chOff x="0" y="0"/>
                          <a:chExt cx="1296" cy="25"/>
                        </a:xfrm>
                      </wpg:grpSpPr>
                      <wps:wsp>
                        <wps:cNvPr id="463" name="Line 236"/>
                        <wps:cNvCnPr>
                          <a:cxnSpLocks noChangeShapeType="1"/>
                        </wps:cNvCnPr>
                        <wps:spPr bwMode="auto">
                          <a:xfrm>
                            <a:off x="0" y="4"/>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64" name="Line 235"/>
                        <wps:cNvCnPr>
                          <a:cxnSpLocks noChangeShapeType="1"/>
                        </wps:cNvCnPr>
                        <wps:spPr bwMode="auto">
                          <a:xfrm>
                            <a:off x="0" y="6"/>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65" name="Line 234"/>
                        <wps:cNvCnPr>
                          <a:cxnSpLocks noChangeShapeType="1"/>
                        </wps:cNvCnPr>
                        <wps:spPr bwMode="auto">
                          <a:xfrm>
                            <a:off x="0" y="9"/>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66" name="Line 233"/>
                        <wps:cNvCnPr>
                          <a:cxnSpLocks noChangeShapeType="1"/>
                        </wps:cNvCnPr>
                        <wps:spPr bwMode="auto">
                          <a:xfrm>
                            <a:off x="0" y="11"/>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67" name="Line 232"/>
                        <wps:cNvCnPr>
                          <a:cxnSpLocks noChangeShapeType="1"/>
                        </wps:cNvCnPr>
                        <wps:spPr bwMode="auto">
                          <a:xfrm>
                            <a:off x="0" y="13"/>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68" name="Line 231"/>
                        <wps:cNvCnPr>
                          <a:cxnSpLocks noChangeShapeType="1"/>
                        </wps:cNvCnPr>
                        <wps:spPr bwMode="auto">
                          <a:xfrm>
                            <a:off x="0" y="16"/>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69" name="Line 230"/>
                        <wps:cNvCnPr>
                          <a:cxnSpLocks noChangeShapeType="1"/>
                        </wps:cNvCnPr>
                        <wps:spPr bwMode="auto">
                          <a:xfrm>
                            <a:off x="0" y="18"/>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70" name="Line 229"/>
                        <wps:cNvCnPr>
                          <a:cxnSpLocks noChangeShapeType="1"/>
                        </wps:cNvCnPr>
                        <wps:spPr bwMode="auto">
                          <a:xfrm>
                            <a:off x="0" y="21"/>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9F8E9CA" id="Group 228" o:spid="_x0000_s1026" style="width:64.8pt;height:1.25pt;mso-position-horizontal-relative:char;mso-position-vertical-relative:line" coordsize="129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">
                <v:line id="Line 236" o:spid="_x0000_s1027" style="position:absolute;visibility:visible;mso-wrap-style:square" from="0,4" to="12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" strokeweight=".1323mm"/>
                <v:line id="Line 235" o:spid="_x0000_s1028" style="position:absolute;visibility:visible;mso-wrap-style:square" from="0,6" to="12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" strokeweight=".1323mm"/>
                <v:line id="Line 234" o:spid="_x0000_s1029" style="position:absolute;visibility:visible;mso-wrap-style:square" from="0,9" to="12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" strokeweight=".1323mm"/>
                <v:line id="Line 233" o:spid="_x0000_s1030" style="position:absolute;visibility:visible;mso-wrap-style:square" from="0,11" to="12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" strokeweight=".1323mm"/>
                <v:line id="Line 232" o:spid="_x0000_s1031" style="position:absolute;visibility:visible;mso-wrap-style:square" from="0,13" to="129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" strokeweight=".1323mm"/>
                <v:line id="Line 231" o:spid="_x0000_s1032" style="position:absolute;visibility:visible;mso-wrap-style:square" from="0,16" to="129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" strokeweight=".1323mm"/>
                <v:line id="Line 230" o:spid="_x0000_s1033" style="position:absolute;visibility:visible;mso-wrap-style:square" from="0,18" to="129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" strokeweight=".1323mm"/>
                <v:line id="Line 229" o:spid="_x0000_s1034" style="position:absolute;visibility:visible;mso-wrap-style:square" from="0,21" to="12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" strokeweight=".1323mm"/>
                <w10:anchorlock/>
              </v:group>
            </w:pict>
          </mc:Fallback>
        </mc:AlternateContent>
      </w:r>
    </w:p>
    <w:p w14:paraId="642B9414" w14:textId="77777777" w:rsidR="00FA4AA8" w:rsidRDefault="0015611F">
      <w:pPr>
        <w:tabs>
          <w:tab w:val="left" w:pos="8786"/>
          <w:tab w:val="left" w:pos="9439"/>
        </w:tabs>
        <w:spacing w:before="29"/>
        <w:ind w:left="194"/>
        <w:rPr>
          <w:b/>
          <w:sz w:val="18"/>
        </w:rPr>
      </w:pPr>
      <w:r>
        <w:rPr>
          <w:b/>
          <w:sz w:val="18"/>
        </w:rPr>
        <w:t>Total</w:t>
      </w:r>
      <w:r>
        <w:rPr>
          <w:b/>
          <w:spacing w:val="-1"/>
          <w:sz w:val="18"/>
        </w:rPr>
        <w:t xml:space="preserve"> </w:t>
      </w:r>
      <w:r>
        <w:rPr>
          <w:b/>
          <w:sz w:val="18"/>
        </w:rPr>
        <w:t>Non-Current Liabilities</w:t>
      </w:r>
      <w:r>
        <w:rPr>
          <w:b/>
          <w:sz w:val="18"/>
        </w:rPr>
        <w:tab/>
      </w:r>
      <w:r>
        <w:rPr>
          <w:b/>
          <w:position w:val="-7"/>
          <w:sz w:val="18"/>
          <w:u w:val="thick"/>
        </w:rPr>
        <w:t xml:space="preserve"> </w:t>
      </w:r>
      <w:r>
        <w:rPr>
          <w:b/>
          <w:position w:val="-7"/>
          <w:sz w:val="18"/>
          <w:u w:val="thick"/>
        </w:rPr>
        <w:tab/>
        <w:t>43,270</w:t>
      </w:r>
      <w:r>
        <w:rPr>
          <w:b/>
          <w:spacing w:val="-10"/>
          <w:position w:val="-7"/>
          <w:sz w:val="18"/>
          <w:u w:val="thick"/>
        </w:rPr>
        <w:t xml:space="preserve"> </w:t>
      </w:r>
    </w:p>
    <w:p w14:paraId="76DC9CF4" w14:textId="77777777" w:rsidR="00FA4AA8" w:rsidRDefault="0015611F">
      <w:pPr>
        <w:tabs>
          <w:tab w:val="left" w:pos="8786"/>
          <w:tab w:val="left" w:pos="9439"/>
        </w:tabs>
        <w:spacing w:before="49"/>
        <w:ind w:left="194"/>
        <w:rPr>
          <w:b/>
          <w:sz w:val="18"/>
        </w:rPr>
      </w:pPr>
      <w:r>
        <w:rPr>
          <w:b/>
          <w:sz w:val="18"/>
        </w:rPr>
        <w:t>Total Liabilities</w:t>
      </w:r>
      <w:r>
        <w:rPr>
          <w:b/>
          <w:sz w:val="18"/>
        </w:rPr>
        <w:tab/>
      </w:r>
      <w:r>
        <w:rPr>
          <w:b/>
          <w:position w:val="-8"/>
          <w:sz w:val="18"/>
          <w:u w:val="thick"/>
        </w:rPr>
        <w:t xml:space="preserve"> </w:t>
      </w:r>
      <w:r>
        <w:rPr>
          <w:b/>
          <w:position w:val="-8"/>
          <w:sz w:val="18"/>
          <w:u w:val="thick"/>
        </w:rPr>
        <w:tab/>
        <w:t>48,770</w:t>
      </w:r>
      <w:r>
        <w:rPr>
          <w:b/>
          <w:spacing w:val="-10"/>
          <w:position w:val="-8"/>
          <w:sz w:val="18"/>
          <w:u w:val="thick"/>
        </w:rPr>
        <w:t xml:space="preserve"> </w:t>
      </w:r>
    </w:p>
    <w:p w14:paraId="087E26BE" w14:textId="77777777" w:rsidR="00FA4AA8" w:rsidRDefault="00FA4AA8">
      <w:pPr>
        <w:pStyle w:val="BodyText"/>
        <w:spacing w:before="7" w:after="1"/>
        <w:rPr>
          <w:b/>
          <w:sz w:val="11"/>
        </w:rPr>
      </w:pPr>
    </w:p>
    <w:tbl>
      <w:tblPr>
        <w:tblW w:w="0" w:type="auto"/>
        <w:tblInd w:w="151" w:type="dxa"/>
        <w:tblLayout w:type="fixed"/>
        <w:tblCellMar>
          <w:left w:w="0" w:type="dxa"/>
          <w:right w:w="0" w:type="dxa"/>
        </w:tblCellMar>
        <w:tblLook w:val="01E0" w:firstRow="1" w:lastRow="1" w:firstColumn="1" w:lastColumn="1" w:noHBand="0" w:noVBand="0"/>
      </w:tblPr>
      <w:tblGrid>
        <w:gridCol w:w="8642"/>
        <w:gridCol w:w="1296"/>
      </w:tblGrid>
      <w:tr w:rsidR="00FA4AA8" w14:paraId="78E50BD9" w14:textId="77777777">
        <w:trPr>
          <w:trHeight w:val="876"/>
        </w:trPr>
        <w:tc>
          <w:tcPr>
            <w:tcW w:w="8642" w:type="dxa"/>
          </w:tcPr>
          <w:p w14:paraId="6AA1024A" w14:textId="77777777" w:rsidR="00FA4AA8" w:rsidRDefault="0015611F">
            <w:pPr>
              <w:pStyle w:val="TableParagraph"/>
              <w:spacing w:line="115" w:lineRule="exact"/>
              <w:ind w:left="50"/>
              <w:rPr>
                <w:b/>
                <w:sz w:val="18"/>
              </w:rPr>
            </w:pPr>
            <w:r>
              <w:rPr>
                <w:b/>
                <w:sz w:val="18"/>
              </w:rPr>
              <w:t>Net Assets</w:t>
            </w:r>
          </w:p>
          <w:p w14:paraId="3DE1C4B9" w14:textId="77777777" w:rsidR="00FA4AA8" w:rsidRDefault="00FA4AA8">
            <w:pPr>
              <w:pStyle w:val="TableParagraph"/>
              <w:rPr>
                <w:b/>
                <w:sz w:val="20"/>
              </w:rPr>
            </w:pPr>
          </w:p>
          <w:p w14:paraId="1944C001" w14:textId="77777777" w:rsidR="00FA4AA8" w:rsidRDefault="00FA4AA8">
            <w:pPr>
              <w:pStyle w:val="TableParagraph"/>
              <w:spacing w:before="10"/>
              <w:rPr>
                <w:b/>
                <w:sz w:val="26"/>
              </w:rPr>
            </w:pPr>
          </w:p>
          <w:p w14:paraId="7D86B52F" w14:textId="77777777" w:rsidR="00FA4AA8" w:rsidRDefault="0015611F">
            <w:pPr>
              <w:pStyle w:val="TableParagraph"/>
              <w:spacing w:line="203" w:lineRule="exact"/>
              <w:ind w:left="50"/>
              <w:rPr>
                <w:b/>
                <w:sz w:val="18"/>
              </w:rPr>
            </w:pPr>
            <w:r>
              <w:rPr>
                <w:b/>
                <w:sz w:val="18"/>
              </w:rPr>
              <w:t>EQUITY</w:t>
            </w:r>
          </w:p>
        </w:tc>
        <w:tc>
          <w:tcPr>
            <w:tcW w:w="1296" w:type="dxa"/>
          </w:tcPr>
          <w:p w14:paraId="33E1CF93" w14:textId="77777777" w:rsidR="00FA4AA8" w:rsidRDefault="0015611F">
            <w:pPr>
              <w:pStyle w:val="TableParagraph"/>
              <w:tabs>
                <w:tab w:val="left" w:pos="693"/>
              </w:tabs>
              <w:spacing w:line="201" w:lineRule="exact"/>
              <w:ind w:right="-15"/>
              <w:jc w:val="right"/>
              <w:rPr>
                <w:b/>
                <w:sz w:val="18"/>
              </w:rPr>
            </w:pPr>
            <w:r>
              <w:rPr>
                <w:rFonts w:ascii="Times New Roman"/>
                <w:sz w:val="18"/>
                <w:u w:val="double"/>
              </w:rPr>
              <w:t xml:space="preserve"> </w:t>
            </w:r>
            <w:r>
              <w:rPr>
                <w:rFonts w:ascii="Times New Roman"/>
                <w:sz w:val="18"/>
                <w:u w:val="double"/>
              </w:rPr>
              <w:tab/>
            </w:r>
            <w:r>
              <w:rPr>
                <w:b/>
                <w:sz w:val="18"/>
                <w:u w:val="single"/>
              </w:rPr>
              <w:t>(5</w:t>
            </w:r>
            <w:r>
              <w:rPr>
                <w:b/>
                <w:sz w:val="18"/>
              </w:rPr>
              <w:t>,5</w:t>
            </w:r>
            <w:r>
              <w:rPr>
                <w:b/>
                <w:sz w:val="18"/>
                <w:u w:val="single"/>
              </w:rPr>
              <w:t>95</w:t>
            </w:r>
            <w:r>
              <w:rPr>
                <w:b/>
                <w:sz w:val="18"/>
              </w:rPr>
              <w:t>)</w:t>
            </w:r>
            <w:r>
              <w:rPr>
                <w:b/>
                <w:spacing w:val="-21"/>
                <w:sz w:val="18"/>
              </w:rPr>
              <w:t xml:space="preserve"> </w:t>
            </w:r>
          </w:p>
        </w:tc>
      </w:tr>
      <w:tr w:rsidR="00FA4AA8" w14:paraId="5033B9D8" w14:textId="77777777">
        <w:trPr>
          <w:trHeight w:val="249"/>
        </w:trPr>
        <w:tc>
          <w:tcPr>
            <w:tcW w:w="8642" w:type="dxa"/>
          </w:tcPr>
          <w:p w14:paraId="06046EAF" w14:textId="77777777" w:rsidR="00FA4AA8" w:rsidRDefault="0015611F">
            <w:pPr>
              <w:pStyle w:val="TableParagraph"/>
              <w:spacing w:before="10"/>
              <w:ind w:left="50"/>
              <w:rPr>
                <w:sz w:val="18"/>
              </w:rPr>
            </w:pPr>
            <w:r>
              <w:rPr>
                <w:sz w:val="18"/>
              </w:rPr>
              <w:t>Issued capital</w:t>
            </w:r>
          </w:p>
        </w:tc>
        <w:tc>
          <w:tcPr>
            <w:tcW w:w="1296" w:type="dxa"/>
          </w:tcPr>
          <w:p w14:paraId="7316E3F2" w14:textId="77777777" w:rsidR="00FA4AA8" w:rsidRDefault="0015611F">
            <w:pPr>
              <w:pStyle w:val="TableParagraph"/>
              <w:spacing w:before="12"/>
              <w:jc w:val="center"/>
              <w:rPr>
                <w:b/>
                <w:sz w:val="18"/>
              </w:rPr>
            </w:pPr>
            <w:r>
              <w:rPr>
                <w:b/>
                <w:sz w:val="18"/>
              </w:rPr>
              <w:t>-</w:t>
            </w:r>
          </w:p>
        </w:tc>
      </w:tr>
      <w:tr w:rsidR="00FA4AA8" w14:paraId="1794D3AC" w14:textId="77777777">
        <w:trPr>
          <w:trHeight w:val="253"/>
        </w:trPr>
        <w:tc>
          <w:tcPr>
            <w:tcW w:w="8642" w:type="dxa"/>
          </w:tcPr>
          <w:p w14:paraId="6B6D61EB" w14:textId="77777777" w:rsidR="00FA4AA8" w:rsidRDefault="0015611F">
            <w:pPr>
              <w:pStyle w:val="TableParagraph"/>
              <w:spacing w:before="24"/>
              <w:ind w:left="50"/>
              <w:rPr>
                <w:sz w:val="18"/>
              </w:rPr>
            </w:pPr>
            <w:r>
              <w:rPr>
                <w:sz w:val="18"/>
              </w:rPr>
              <w:t>Retained earnings</w:t>
            </w:r>
          </w:p>
        </w:tc>
        <w:tc>
          <w:tcPr>
            <w:tcW w:w="1296" w:type="dxa"/>
            <w:tcBorders>
              <w:bottom w:val="single" w:sz="12" w:space="0" w:color="000000"/>
            </w:tcBorders>
          </w:tcPr>
          <w:p w14:paraId="5E525507" w14:textId="77777777" w:rsidR="00FA4AA8" w:rsidRDefault="0015611F">
            <w:pPr>
              <w:pStyle w:val="TableParagraph"/>
              <w:spacing w:before="26"/>
              <w:ind w:right="27"/>
              <w:jc w:val="right"/>
              <w:rPr>
                <w:b/>
                <w:sz w:val="18"/>
              </w:rPr>
            </w:pPr>
            <w:r>
              <w:rPr>
                <w:b/>
                <w:sz w:val="18"/>
              </w:rPr>
              <w:t>(5,595)</w:t>
            </w:r>
          </w:p>
        </w:tc>
      </w:tr>
      <w:tr w:rsidR="00FA4AA8" w14:paraId="128311C5" w14:textId="77777777">
        <w:trPr>
          <w:trHeight w:val="317"/>
        </w:trPr>
        <w:tc>
          <w:tcPr>
            <w:tcW w:w="8642" w:type="dxa"/>
          </w:tcPr>
          <w:p w14:paraId="43893710" w14:textId="77777777" w:rsidR="00FA4AA8" w:rsidRDefault="00FA4AA8">
            <w:pPr>
              <w:pStyle w:val="TableParagraph"/>
              <w:rPr>
                <w:rFonts w:ascii="Times New Roman"/>
                <w:sz w:val="18"/>
              </w:rPr>
            </w:pPr>
          </w:p>
        </w:tc>
        <w:tc>
          <w:tcPr>
            <w:tcW w:w="1296" w:type="dxa"/>
            <w:tcBorders>
              <w:top w:val="single" w:sz="12" w:space="0" w:color="000000"/>
            </w:tcBorders>
          </w:tcPr>
          <w:p w14:paraId="021248E4" w14:textId="77777777" w:rsidR="00FA4AA8" w:rsidRDefault="0015611F">
            <w:pPr>
              <w:pStyle w:val="TableParagraph"/>
              <w:tabs>
                <w:tab w:val="left" w:pos="693"/>
              </w:tabs>
              <w:spacing w:before="110" w:line="188" w:lineRule="exact"/>
              <w:ind w:right="-15"/>
              <w:jc w:val="right"/>
              <w:rPr>
                <w:b/>
                <w:sz w:val="18"/>
              </w:rPr>
            </w:pPr>
            <w:r>
              <w:rPr>
                <w:rFonts w:ascii="Times New Roman"/>
                <w:sz w:val="18"/>
                <w:u w:val="thick"/>
              </w:rPr>
              <w:t xml:space="preserve"> </w:t>
            </w:r>
            <w:r>
              <w:rPr>
                <w:rFonts w:ascii="Times New Roman"/>
                <w:sz w:val="18"/>
                <w:u w:val="thick"/>
              </w:rPr>
              <w:tab/>
            </w:r>
            <w:r>
              <w:rPr>
                <w:b/>
                <w:sz w:val="18"/>
                <w:u w:val="thick"/>
              </w:rPr>
              <w:t>(5,595)</w:t>
            </w:r>
            <w:r>
              <w:rPr>
                <w:b/>
                <w:spacing w:val="-21"/>
                <w:sz w:val="18"/>
                <w:u w:val="thick"/>
              </w:rPr>
              <w:t xml:space="preserve"> </w:t>
            </w:r>
          </w:p>
        </w:tc>
      </w:tr>
    </w:tbl>
    <w:p w14:paraId="494D7C39" w14:textId="77777777" w:rsidR="00FA4AA8" w:rsidRDefault="0015611F">
      <w:pPr>
        <w:tabs>
          <w:tab w:val="left" w:pos="8786"/>
          <w:tab w:val="left" w:pos="9479"/>
        </w:tabs>
        <w:spacing w:before="44"/>
        <w:ind w:left="194"/>
        <w:rPr>
          <w:b/>
          <w:sz w:val="18"/>
        </w:rPr>
      </w:pPr>
      <w:r>
        <w:rPr>
          <w:b/>
          <w:sz w:val="18"/>
        </w:rPr>
        <w:t>Total Equity</w:t>
      </w:r>
      <w:r>
        <w:rPr>
          <w:b/>
          <w:sz w:val="18"/>
        </w:rPr>
        <w:tab/>
      </w:r>
      <w:r>
        <w:rPr>
          <w:b/>
          <w:position w:val="-8"/>
          <w:sz w:val="18"/>
          <w:u w:val="double"/>
        </w:rPr>
        <w:t xml:space="preserve"> </w:t>
      </w:r>
      <w:r>
        <w:rPr>
          <w:b/>
          <w:position w:val="-8"/>
          <w:sz w:val="18"/>
          <w:u w:val="double"/>
        </w:rPr>
        <w:tab/>
      </w:r>
      <w:r>
        <w:rPr>
          <w:b/>
          <w:position w:val="-8"/>
          <w:sz w:val="18"/>
          <w:u w:val="single"/>
        </w:rPr>
        <w:t>(5</w:t>
      </w:r>
      <w:r>
        <w:rPr>
          <w:b/>
          <w:position w:val="-8"/>
          <w:sz w:val="18"/>
        </w:rPr>
        <w:t>,5</w:t>
      </w:r>
      <w:r>
        <w:rPr>
          <w:b/>
          <w:position w:val="-8"/>
          <w:sz w:val="18"/>
          <w:u w:val="single"/>
        </w:rPr>
        <w:t>95</w:t>
      </w:r>
      <w:r>
        <w:rPr>
          <w:b/>
          <w:position w:val="-8"/>
          <w:sz w:val="18"/>
        </w:rPr>
        <w:t>)</w:t>
      </w:r>
      <w:r>
        <w:rPr>
          <w:b/>
          <w:spacing w:val="-21"/>
          <w:position w:val="-8"/>
          <w:sz w:val="18"/>
        </w:rPr>
        <w:t xml:space="preserve"> </w:t>
      </w:r>
    </w:p>
    <w:p w14:paraId="3CA37664" w14:textId="77777777" w:rsidR="00FA4AA8" w:rsidRDefault="00FA4AA8">
      <w:pPr>
        <w:pStyle w:val="BodyText"/>
        <w:rPr>
          <w:b/>
          <w:sz w:val="20"/>
        </w:rPr>
      </w:pPr>
    </w:p>
    <w:p w14:paraId="6601B271" w14:textId="77777777" w:rsidR="00FA4AA8" w:rsidRDefault="00FA4AA8">
      <w:pPr>
        <w:pStyle w:val="BodyText"/>
        <w:rPr>
          <w:b/>
          <w:sz w:val="20"/>
        </w:rPr>
      </w:pPr>
    </w:p>
    <w:p w14:paraId="6A278A44" w14:textId="77777777" w:rsidR="00FA4AA8" w:rsidRDefault="00FA4AA8">
      <w:pPr>
        <w:pStyle w:val="BodyText"/>
        <w:rPr>
          <w:b/>
          <w:sz w:val="20"/>
        </w:rPr>
      </w:pPr>
    </w:p>
    <w:p w14:paraId="09F03E27" w14:textId="77777777" w:rsidR="00FA4AA8" w:rsidRDefault="00FA4AA8">
      <w:pPr>
        <w:pStyle w:val="BodyText"/>
        <w:rPr>
          <w:b/>
          <w:sz w:val="20"/>
        </w:rPr>
      </w:pPr>
    </w:p>
    <w:p w14:paraId="608D23C6" w14:textId="77777777" w:rsidR="00FA4AA8" w:rsidRDefault="00FA4AA8">
      <w:pPr>
        <w:pStyle w:val="BodyText"/>
        <w:rPr>
          <w:b/>
          <w:sz w:val="20"/>
        </w:rPr>
      </w:pPr>
    </w:p>
    <w:p w14:paraId="21A25952" w14:textId="77777777" w:rsidR="00FA4AA8" w:rsidRDefault="00FA4AA8">
      <w:pPr>
        <w:pStyle w:val="BodyText"/>
        <w:rPr>
          <w:b/>
          <w:sz w:val="20"/>
        </w:rPr>
      </w:pPr>
    </w:p>
    <w:p w14:paraId="6C4951F6" w14:textId="77777777" w:rsidR="00FA4AA8" w:rsidRDefault="00FA4AA8">
      <w:pPr>
        <w:pStyle w:val="BodyText"/>
        <w:rPr>
          <w:b/>
          <w:sz w:val="20"/>
        </w:rPr>
      </w:pPr>
    </w:p>
    <w:p w14:paraId="53DA4CE4" w14:textId="77777777" w:rsidR="00FA4AA8" w:rsidRDefault="00FA4AA8">
      <w:pPr>
        <w:pStyle w:val="BodyText"/>
        <w:rPr>
          <w:b/>
          <w:sz w:val="20"/>
        </w:rPr>
      </w:pPr>
    </w:p>
    <w:p w14:paraId="78C4B0D9" w14:textId="77777777" w:rsidR="00FA4AA8" w:rsidRDefault="00FA4AA8">
      <w:pPr>
        <w:pStyle w:val="BodyText"/>
        <w:rPr>
          <w:b/>
          <w:sz w:val="20"/>
        </w:rPr>
      </w:pPr>
    </w:p>
    <w:p w14:paraId="2CC175DC" w14:textId="77777777" w:rsidR="00FA4AA8" w:rsidRDefault="00FA4AA8">
      <w:pPr>
        <w:pStyle w:val="BodyText"/>
        <w:rPr>
          <w:b/>
          <w:sz w:val="20"/>
        </w:rPr>
      </w:pPr>
    </w:p>
    <w:p w14:paraId="14D34AAC" w14:textId="77777777" w:rsidR="00FA4AA8" w:rsidRDefault="00FA4AA8">
      <w:pPr>
        <w:pStyle w:val="BodyText"/>
        <w:rPr>
          <w:b/>
          <w:sz w:val="20"/>
        </w:rPr>
      </w:pPr>
    </w:p>
    <w:p w14:paraId="08E4627C" w14:textId="77777777" w:rsidR="00FA4AA8" w:rsidRDefault="00FA4AA8">
      <w:pPr>
        <w:pStyle w:val="BodyText"/>
        <w:rPr>
          <w:b/>
          <w:sz w:val="20"/>
        </w:rPr>
      </w:pPr>
    </w:p>
    <w:p w14:paraId="3CA2D2CA" w14:textId="77777777" w:rsidR="00FA4AA8" w:rsidRDefault="00FA4AA8">
      <w:pPr>
        <w:pStyle w:val="BodyText"/>
        <w:rPr>
          <w:b/>
          <w:sz w:val="20"/>
        </w:rPr>
      </w:pPr>
    </w:p>
    <w:p w14:paraId="4D7D5B82" w14:textId="77777777" w:rsidR="00FA4AA8" w:rsidRDefault="00FA4AA8">
      <w:pPr>
        <w:pStyle w:val="BodyText"/>
        <w:rPr>
          <w:b/>
          <w:sz w:val="20"/>
        </w:rPr>
      </w:pPr>
    </w:p>
    <w:p w14:paraId="5D2C790B" w14:textId="77777777" w:rsidR="00FA4AA8" w:rsidRDefault="00FA4AA8">
      <w:pPr>
        <w:pStyle w:val="BodyText"/>
        <w:rPr>
          <w:b/>
          <w:sz w:val="20"/>
        </w:rPr>
      </w:pPr>
    </w:p>
    <w:p w14:paraId="0E2C8DA4" w14:textId="77777777" w:rsidR="00FA4AA8" w:rsidRDefault="00FA4AA8">
      <w:pPr>
        <w:pStyle w:val="BodyText"/>
        <w:rPr>
          <w:b/>
          <w:sz w:val="20"/>
        </w:rPr>
      </w:pPr>
    </w:p>
    <w:p w14:paraId="5E427C9B" w14:textId="77777777" w:rsidR="00FA4AA8" w:rsidRDefault="00FA4AA8">
      <w:pPr>
        <w:pStyle w:val="BodyText"/>
        <w:rPr>
          <w:b/>
          <w:sz w:val="20"/>
        </w:rPr>
      </w:pPr>
    </w:p>
    <w:p w14:paraId="37B330B5" w14:textId="77777777" w:rsidR="00FA4AA8" w:rsidRDefault="00FA4AA8">
      <w:pPr>
        <w:pStyle w:val="BodyText"/>
        <w:rPr>
          <w:b/>
          <w:sz w:val="20"/>
        </w:rPr>
      </w:pPr>
    </w:p>
    <w:p w14:paraId="706066E5" w14:textId="77777777" w:rsidR="00FA4AA8" w:rsidRDefault="00FA4AA8">
      <w:pPr>
        <w:pStyle w:val="BodyText"/>
        <w:rPr>
          <w:b/>
          <w:sz w:val="20"/>
        </w:rPr>
      </w:pPr>
    </w:p>
    <w:p w14:paraId="3D58428C" w14:textId="77777777" w:rsidR="00FA4AA8" w:rsidRDefault="00FA4AA8">
      <w:pPr>
        <w:pStyle w:val="BodyText"/>
        <w:spacing w:before="7"/>
        <w:rPr>
          <w:b/>
          <w:sz w:val="21"/>
        </w:rPr>
      </w:pPr>
    </w:p>
    <w:p w14:paraId="7DFDC94D" w14:textId="77777777" w:rsidR="00FA4AA8" w:rsidRDefault="0015611F">
      <w:pPr>
        <w:pStyle w:val="BodyText"/>
        <w:ind w:left="576" w:right="509"/>
        <w:jc w:val="center"/>
      </w:pPr>
      <w:r>
        <w:t>The accompanying notes form part of these financial statements.</w:t>
      </w:r>
    </w:p>
    <w:p w14:paraId="0C208404" w14:textId="77777777" w:rsidR="00FA4AA8" w:rsidRDefault="00FA4AA8">
      <w:pPr>
        <w:jc w:val="center"/>
        <w:sectPr w:rsidR="00FA4AA8">
          <w:type w:val="continuous"/>
          <w:pgSz w:w="11910" w:h="16840"/>
          <w:pgMar w:top="20" w:right="880" w:bottom="0" w:left="840" w:header="720" w:footer="720" w:gutter="0"/>
          <w:cols w:space="720"/>
        </w:sectPr>
      </w:pPr>
    </w:p>
    <w:p w14:paraId="56753670" w14:textId="77777777" w:rsidR="00FA4AA8" w:rsidRDefault="00FA4AA8">
      <w:pPr>
        <w:pStyle w:val="BodyText"/>
        <w:rPr>
          <w:sz w:val="20"/>
        </w:rPr>
      </w:pPr>
    </w:p>
    <w:p w14:paraId="69B64E3C" w14:textId="77777777" w:rsidR="00FA4AA8" w:rsidRDefault="00FA4AA8">
      <w:pPr>
        <w:pStyle w:val="BodyText"/>
        <w:spacing w:before="2"/>
        <w:rPr>
          <w:sz w:val="10"/>
        </w:rPr>
      </w:pPr>
    </w:p>
    <w:tbl>
      <w:tblPr>
        <w:tblW w:w="0" w:type="auto"/>
        <w:tblInd w:w="125" w:type="dxa"/>
        <w:tblLayout w:type="fixed"/>
        <w:tblCellMar>
          <w:left w:w="0" w:type="dxa"/>
          <w:right w:w="0" w:type="dxa"/>
        </w:tblCellMar>
        <w:tblLook w:val="01E0" w:firstRow="1" w:lastRow="1" w:firstColumn="1" w:lastColumn="1" w:noHBand="0" w:noVBand="0"/>
      </w:tblPr>
      <w:tblGrid>
        <w:gridCol w:w="6295"/>
        <w:gridCol w:w="1179"/>
        <w:gridCol w:w="1450"/>
        <w:gridCol w:w="1043"/>
      </w:tblGrid>
      <w:tr w:rsidR="00FA4AA8" w14:paraId="27F84B58" w14:textId="77777777">
        <w:trPr>
          <w:trHeight w:val="343"/>
        </w:trPr>
        <w:tc>
          <w:tcPr>
            <w:tcW w:w="6295" w:type="dxa"/>
          </w:tcPr>
          <w:p w14:paraId="11E4550D" w14:textId="77777777" w:rsidR="00FA4AA8" w:rsidRDefault="0015611F">
            <w:pPr>
              <w:pStyle w:val="TableParagraph"/>
              <w:spacing w:line="314" w:lineRule="exact"/>
              <w:ind w:left="50"/>
              <w:rPr>
                <w:b/>
                <w:sz w:val="28"/>
              </w:rPr>
            </w:pPr>
            <w:r>
              <w:rPr>
                <w:b/>
                <w:sz w:val="28"/>
              </w:rPr>
              <w:t>Statement of Changes in Equity</w:t>
            </w:r>
          </w:p>
        </w:tc>
        <w:tc>
          <w:tcPr>
            <w:tcW w:w="3672" w:type="dxa"/>
            <w:gridSpan w:val="3"/>
            <w:vMerge w:val="restart"/>
          </w:tcPr>
          <w:p w14:paraId="7F9F93DC" w14:textId="77777777" w:rsidR="00FA4AA8" w:rsidRDefault="00FA4AA8">
            <w:pPr>
              <w:pStyle w:val="TableParagraph"/>
              <w:rPr>
                <w:rFonts w:ascii="Times New Roman"/>
                <w:sz w:val="18"/>
              </w:rPr>
            </w:pPr>
          </w:p>
        </w:tc>
      </w:tr>
      <w:tr w:rsidR="00FA4AA8" w14:paraId="174BCBBD" w14:textId="77777777">
        <w:trPr>
          <w:trHeight w:val="486"/>
        </w:trPr>
        <w:tc>
          <w:tcPr>
            <w:tcW w:w="6295" w:type="dxa"/>
          </w:tcPr>
          <w:p w14:paraId="7B6F4283" w14:textId="77777777" w:rsidR="00FA4AA8" w:rsidRDefault="0015611F">
            <w:pPr>
              <w:pStyle w:val="TableParagraph"/>
              <w:spacing w:before="23"/>
              <w:ind w:left="50"/>
              <w:rPr>
                <w:b/>
              </w:rPr>
            </w:pPr>
            <w:r>
              <w:rPr>
                <w:b/>
              </w:rPr>
              <w:t>For the initial Period 5 April 2018 to 31 December 2018</w:t>
            </w:r>
          </w:p>
        </w:tc>
        <w:tc>
          <w:tcPr>
            <w:tcW w:w="3672" w:type="dxa"/>
            <w:gridSpan w:val="3"/>
            <w:vMerge/>
            <w:tcBorders>
              <w:top w:val="nil"/>
            </w:tcBorders>
          </w:tcPr>
          <w:p w14:paraId="765789BB" w14:textId="77777777" w:rsidR="00FA4AA8" w:rsidRDefault="00FA4AA8">
            <w:pPr>
              <w:rPr>
                <w:sz w:val="2"/>
                <w:szCs w:val="2"/>
              </w:rPr>
            </w:pPr>
          </w:p>
        </w:tc>
      </w:tr>
      <w:tr w:rsidR="00FA4AA8" w14:paraId="25B9965E" w14:textId="77777777">
        <w:trPr>
          <w:trHeight w:val="653"/>
        </w:trPr>
        <w:tc>
          <w:tcPr>
            <w:tcW w:w="6295" w:type="dxa"/>
          </w:tcPr>
          <w:p w14:paraId="51D3CE6D" w14:textId="77777777" w:rsidR="00FA4AA8" w:rsidRDefault="00FA4AA8">
            <w:pPr>
              <w:pStyle w:val="TableParagraph"/>
              <w:rPr>
                <w:rFonts w:ascii="Times New Roman"/>
                <w:sz w:val="18"/>
              </w:rPr>
            </w:pPr>
          </w:p>
        </w:tc>
        <w:tc>
          <w:tcPr>
            <w:tcW w:w="1179" w:type="dxa"/>
          </w:tcPr>
          <w:p w14:paraId="45A3115A" w14:textId="77777777" w:rsidR="00FA4AA8" w:rsidRDefault="00FA4AA8">
            <w:pPr>
              <w:pStyle w:val="TableParagraph"/>
              <w:spacing w:before="8"/>
              <w:rPr>
                <w:sz w:val="17"/>
              </w:rPr>
            </w:pPr>
          </w:p>
          <w:p w14:paraId="1BDD76CD" w14:textId="77777777" w:rsidR="00FA4AA8" w:rsidRDefault="0015611F">
            <w:pPr>
              <w:pStyle w:val="TableParagraph"/>
              <w:ind w:left="309" w:right="249" w:firstLine="14"/>
              <w:rPr>
                <w:b/>
                <w:sz w:val="18"/>
              </w:rPr>
            </w:pPr>
            <w:r>
              <w:rPr>
                <w:b/>
                <w:sz w:val="18"/>
              </w:rPr>
              <w:t>Issued Capital</w:t>
            </w:r>
          </w:p>
        </w:tc>
        <w:tc>
          <w:tcPr>
            <w:tcW w:w="1450" w:type="dxa"/>
          </w:tcPr>
          <w:p w14:paraId="1A23466E" w14:textId="77777777" w:rsidR="00FA4AA8" w:rsidRDefault="00FA4AA8">
            <w:pPr>
              <w:pStyle w:val="TableParagraph"/>
              <w:spacing w:before="8"/>
              <w:rPr>
                <w:sz w:val="17"/>
              </w:rPr>
            </w:pPr>
          </w:p>
          <w:p w14:paraId="5651A707" w14:textId="77777777" w:rsidR="00FA4AA8" w:rsidRDefault="0015611F">
            <w:pPr>
              <w:pStyle w:val="TableParagraph"/>
              <w:ind w:left="268" w:right="391" w:firstLine="4"/>
              <w:rPr>
                <w:b/>
                <w:sz w:val="18"/>
              </w:rPr>
            </w:pPr>
            <w:r>
              <w:rPr>
                <w:b/>
                <w:sz w:val="18"/>
              </w:rPr>
              <w:t>Retained Earnings</w:t>
            </w:r>
          </w:p>
        </w:tc>
        <w:tc>
          <w:tcPr>
            <w:tcW w:w="1043" w:type="dxa"/>
          </w:tcPr>
          <w:p w14:paraId="158192CF" w14:textId="77777777" w:rsidR="00FA4AA8" w:rsidRDefault="00FA4AA8">
            <w:pPr>
              <w:pStyle w:val="TableParagraph"/>
              <w:rPr>
                <w:sz w:val="20"/>
              </w:rPr>
            </w:pPr>
          </w:p>
          <w:p w14:paraId="26E9CBD1" w14:textId="77777777" w:rsidR="00FA4AA8" w:rsidRDefault="00FA4AA8">
            <w:pPr>
              <w:pStyle w:val="TableParagraph"/>
              <w:spacing w:before="7"/>
              <w:rPr>
                <w:sz w:val="15"/>
              </w:rPr>
            </w:pPr>
          </w:p>
          <w:p w14:paraId="723CE8BD" w14:textId="77777777" w:rsidR="00FA4AA8" w:rsidRDefault="0015611F">
            <w:pPr>
              <w:pStyle w:val="TableParagraph"/>
              <w:ind w:left="212"/>
              <w:rPr>
                <w:b/>
                <w:sz w:val="18"/>
              </w:rPr>
            </w:pPr>
            <w:r>
              <w:rPr>
                <w:b/>
                <w:sz w:val="18"/>
              </w:rPr>
              <w:t>Total</w:t>
            </w:r>
          </w:p>
        </w:tc>
      </w:tr>
      <w:tr w:rsidR="00FA4AA8" w14:paraId="05CCA876" w14:textId="77777777">
        <w:trPr>
          <w:trHeight w:val="262"/>
        </w:trPr>
        <w:tc>
          <w:tcPr>
            <w:tcW w:w="6295" w:type="dxa"/>
          </w:tcPr>
          <w:p w14:paraId="5BCA69CA" w14:textId="77777777" w:rsidR="00FA4AA8" w:rsidRDefault="00FA4AA8">
            <w:pPr>
              <w:pStyle w:val="TableParagraph"/>
              <w:rPr>
                <w:rFonts w:ascii="Times New Roman"/>
                <w:sz w:val="18"/>
              </w:rPr>
            </w:pPr>
          </w:p>
        </w:tc>
        <w:tc>
          <w:tcPr>
            <w:tcW w:w="1179" w:type="dxa"/>
            <w:tcBorders>
              <w:bottom w:val="single" w:sz="12" w:space="0" w:color="000000"/>
            </w:tcBorders>
          </w:tcPr>
          <w:p w14:paraId="7F495BD2" w14:textId="77777777" w:rsidR="00FA4AA8" w:rsidRDefault="0015611F">
            <w:pPr>
              <w:pStyle w:val="TableParagraph"/>
              <w:spacing w:before="30"/>
              <w:ind w:right="517"/>
              <w:jc w:val="right"/>
              <w:rPr>
                <w:b/>
                <w:sz w:val="18"/>
              </w:rPr>
            </w:pPr>
            <w:r>
              <w:rPr>
                <w:b/>
                <w:sz w:val="18"/>
              </w:rPr>
              <w:t>$</w:t>
            </w:r>
          </w:p>
        </w:tc>
        <w:tc>
          <w:tcPr>
            <w:tcW w:w="1450" w:type="dxa"/>
            <w:tcBorders>
              <w:bottom w:val="single" w:sz="12" w:space="0" w:color="000000"/>
            </w:tcBorders>
          </w:tcPr>
          <w:p w14:paraId="3C5487A4" w14:textId="77777777" w:rsidR="00FA4AA8" w:rsidRDefault="0015611F">
            <w:pPr>
              <w:pStyle w:val="TableParagraph"/>
              <w:spacing w:before="30"/>
              <w:ind w:left="604"/>
              <w:rPr>
                <w:b/>
                <w:sz w:val="18"/>
              </w:rPr>
            </w:pPr>
            <w:r>
              <w:rPr>
                <w:b/>
                <w:sz w:val="18"/>
              </w:rPr>
              <w:t>$</w:t>
            </w:r>
          </w:p>
        </w:tc>
        <w:tc>
          <w:tcPr>
            <w:tcW w:w="1043" w:type="dxa"/>
            <w:tcBorders>
              <w:bottom w:val="single" w:sz="12" w:space="0" w:color="000000"/>
            </w:tcBorders>
          </w:tcPr>
          <w:p w14:paraId="11E47E44" w14:textId="77777777" w:rsidR="00FA4AA8" w:rsidRDefault="0015611F">
            <w:pPr>
              <w:pStyle w:val="TableParagraph"/>
              <w:spacing w:before="30"/>
              <w:ind w:right="184"/>
              <w:jc w:val="center"/>
              <w:rPr>
                <w:b/>
                <w:sz w:val="18"/>
              </w:rPr>
            </w:pPr>
            <w:r>
              <w:rPr>
                <w:b/>
                <w:sz w:val="18"/>
              </w:rPr>
              <w:t>$</w:t>
            </w:r>
          </w:p>
        </w:tc>
      </w:tr>
      <w:tr w:rsidR="00FA4AA8" w14:paraId="60E626B0" w14:textId="77777777">
        <w:trPr>
          <w:trHeight w:val="274"/>
        </w:trPr>
        <w:tc>
          <w:tcPr>
            <w:tcW w:w="6295" w:type="dxa"/>
          </w:tcPr>
          <w:p w14:paraId="17675B5C" w14:textId="77777777" w:rsidR="00FA4AA8" w:rsidRDefault="0015611F">
            <w:pPr>
              <w:pStyle w:val="TableParagraph"/>
              <w:spacing w:before="31"/>
              <w:ind w:left="76"/>
              <w:rPr>
                <w:b/>
                <w:sz w:val="18"/>
              </w:rPr>
            </w:pPr>
            <w:r>
              <w:rPr>
                <w:b/>
                <w:sz w:val="18"/>
              </w:rPr>
              <w:t>Balance at 5 April 2018</w:t>
            </w:r>
          </w:p>
        </w:tc>
        <w:tc>
          <w:tcPr>
            <w:tcW w:w="1179" w:type="dxa"/>
            <w:tcBorders>
              <w:top w:val="single" w:sz="12" w:space="0" w:color="000000"/>
            </w:tcBorders>
          </w:tcPr>
          <w:p w14:paraId="73289D81" w14:textId="77777777" w:rsidR="00FA4AA8" w:rsidRDefault="0015611F">
            <w:pPr>
              <w:pStyle w:val="TableParagraph"/>
              <w:spacing w:before="35"/>
              <w:ind w:right="538"/>
              <w:jc w:val="right"/>
              <w:rPr>
                <w:b/>
                <w:sz w:val="18"/>
              </w:rPr>
            </w:pPr>
            <w:r>
              <w:rPr>
                <w:b/>
                <w:sz w:val="18"/>
              </w:rPr>
              <w:t>-</w:t>
            </w:r>
          </w:p>
        </w:tc>
        <w:tc>
          <w:tcPr>
            <w:tcW w:w="1450" w:type="dxa"/>
            <w:tcBorders>
              <w:top w:val="single" w:sz="12" w:space="0" w:color="000000"/>
            </w:tcBorders>
          </w:tcPr>
          <w:p w14:paraId="782F49D5" w14:textId="77777777" w:rsidR="00FA4AA8" w:rsidRDefault="0015611F">
            <w:pPr>
              <w:pStyle w:val="TableParagraph"/>
              <w:spacing w:before="35"/>
              <w:ind w:left="623"/>
              <w:rPr>
                <w:b/>
                <w:sz w:val="18"/>
              </w:rPr>
            </w:pPr>
            <w:r>
              <w:rPr>
                <w:b/>
                <w:sz w:val="18"/>
              </w:rPr>
              <w:t>-</w:t>
            </w:r>
          </w:p>
        </w:tc>
        <w:tc>
          <w:tcPr>
            <w:tcW w:w="1043" w:type="dxa"/>
            <w:tcBorders>
              <w:top w:val="single" w:sz="12" w:space="0" w:color="000000"/>
            </w:tcBorders>
          </w:tcPr>
          <w:p w14:paraId="493066D7" w14:textId="77777777" w:rsidR="00FA4AA8" w:rsidRDefault="0015611F">
            <w:pPr>
              <w:pStyle w:val="TableParagraph"/>
              <w:spacing w:before="35"/>
              <w:ind w:right="186"/>
              <w:jc w:val="center"/>
              <w:rPr>
                <w:b/>
                <w:sz w:val="18"/>
              </w:rPr>
            </w:pPr>
            <w:r>
              <w:rPr>
                <w:b/>
                <w:sz w:val="18"/>
              </w:rPr>
              <w:t>-</w:t>
            </w:r>
          </w:p>
        </w:tc>
      </w:tr>
      <w:tr w:rsidR="00FA4AA8" w14:paraId="1C932F84" w14:textId="77777777">
        <w:trPr>
          <w:trHeight w:val="265"/>
        </w:trPr>
        <w:tc>
          <w:tcPr>
            <w:tcW w:w="6295" w:type="dxa"/>
          </w:tcPr>
          <w:p w14:paraId="78670CF2" w14:textId="77777777" w:rsidR="00FA4AA8" w:rsidRDefault="0015611F">
            <w:pPr>
              <w:pStyle w:val="TableParagraph"/>
              <w:spacing w:before="28"/>
              <w:ind w:left="76"/>
              <w:rPr>
                <w:sz w:val="18"/>
              </w:rPr>
            </w:pPr>
            <w:r>
              <w:rPr>
                <w:sz w:val="18"/>
              </w:rPr>
              <w:t>Surplus / (deficit) for the period</w:t>
            </w:r>
          </w:p>
        </w:tc>
        <w:tc>
          <w:tcPr>
            <w:tcW w:w="1179" w:type="dxa"/>
          </w:tcPr>
          <w:p w14:paraId="2468860B" w14:textId="77777777" w:rsidR="00FA4AA8" w:rsidRDefault="0015611F">
            <w:pPr>
              <w:pStyle w:val="TableParagraph"/>
              <w:spacing w:before="25"/>
              <w:ind w:right="538"/>
              <w:jc w:val="right"/>
              <w:rPr>
                <w:b/>
                <w:sz w:val="18"/>
              </w:rPr>
            </w:pPr>
            <w:r>
              <w:rPr>
                <w:b/>
                <w:sz w:val="18"/>
              </w:rPr>
              <w:t>-</w:t>
            </w:r>
          </w:p>
        </w:tc>
        <w:tc>
          <w:tcPr>
            <w:tcW w:w="1450" w:type="dxa"/>
          </w:tcPr>
          <w:p w14:paraId="58EB1DA6" w14:textId="77777777" w:rsidR="00FA4AA8" w:rsidRDefault="0015611F">
            <w:pPr>
              <w:pStyle w:val="TableParagraph"/>
              <w:spacing w:before="25"/>
              <w:ind w:left="664"/>
              <w:rPr>
                <w:b/>
                <w:sz w:val="18"/>
              </w:rPr>
            </w:pPr>
            <w:r>
              <w:rPr>
                <w:b/>
                <w:sz w:val="18"/>
              </w:rPr>
              <w:t>(5,595)</w:t>
            </w:r>
          </w:p>
        </w:tc>
        <w:tc>
          <w:tcPr>
            <w:tcW w:w="1043" w:type="dxa"/>
          </w:tcPr>
          <w:p w14:paraId="4EDD5859" w14:textId="77777777" w:rsidR="00FA4AA8" w:rsidRDefault="0015611F">
            <w:pPr>
              <w:pStyle w:val="TableParagraph"/>
              <w:spacing w:before="25"/>
              <w:ind w:right="29"/>
              <w:jc w:val="right"/>
              <w:rPr>
                <w:b/>
                <w:sz w:val="18"/>
              </w:rPr>
            </w:pPr>
            <w:r>
              <w:rPr>
                <w:b/>
                <w:sz w:val="18"/>
              </w:rPr>
              <w:t>(5,595)</w:t>
            </w:r>
          </w:p>
        </w:tc>
      </w:tr>
      <w:tr w:rsidR="00FA4AA8" w14:paraId="142BD251" w14:textId="77777777">
        <w:trPr>
          <w:trHeight w:val="251"/>
        </w:trPr>
        <w:tc>
          <w:tcPr>
            <w:tcW w:w="6295" w:type="dxa"/>
          </w:tcPr>
          <w:p w14:paraId="5592A4FB" w14:textId="77777777" w:rsidR="00FA4AA8" w:rsidRDefault="0015611F">
            <w:pPr>
              <w:pStyle w:val="TableParagraph"/>
              <w:spacing w:before="26" w:line="205" w:lineRule="exact"/>
              <w:ind w:left="76"/>
              <w:rPr>
                <w:sz w:val="18"/>
              </w:rPr>
            </w:pPr>
            <w:r>
              <w:rPr>
                <w:sz w:val="18"/>
              </w:rPr>
              <w:t>Other comprehensive income</w:t>
            </w:r>
          </w:p>
        </w:tc>
        <w:tc>
          <w:tcPr>
            <w:tcW w:w="1179" w:type="dxa"/>
            <w:tcBorders>
              <w:bottom w:val="single" w:sz="12" w:space="0" w:color="000000"/>
            </w:tcBorders>
          </w:tcPr>
          <w:p w14:paraId="75D01CB4" w14:textId="77777777" w:rsidR="00FA4AA8" w:rsidRDefault="0015611F">
            <w:pPr>
              <w:pStyle w:val="TableParagraph"/>
              <w:spacing w:before="24"/>
              <w:ind w:right="538"/>
              <w:jc w:val="right"/>
              <w:rPr>
                <w:b/>
                <w:sz w:val="18"/>
              </w:rPr>
            </w:pPr>
            <w:r>
              <w:rPr>
                <w:b/>
                <w:sz w:val="18"/>
              </w:rPr>
              <w:t>-</w:t>
            </w:r>
          </w:p>
        </w:tc>
        <w:tc>
          <w:tcPr>
            <w:tcW w:w="1450" w:type="dxa"/>
            <w:tcBorders>
              <w:bottom w:val="single" w:sz="12" w:space="0" w:color="000000"/>
            </w:tcBorders>
          </w:tcPr>
          <w:p w14:paraId="4BEA1855" w14:textId="77777777" w:rsidR="00FA4AA8" w:rsidRDefault="0015611F">
            <w:pPr>
              <w:pStyle w:val="TableParagraph"/>
              <w:spacing w:before="24"/>
              <w:ind w:left="623"/>
              <w:rPr>
                <w:b/>
                <w:sz w:val="18"/>
              </w:rPr>
            </w:pPr>
            <w:r>
              <w:rPr>
                <w:b/>
                <w:sz w:val="18"/>
              </w:rPr>
              <w:t>-</w:t>
            </w:r>
          </w:p>
        </w:tc>
        <w:tc>
          <w:tcPr>
            <w:tcW w:w="1043" w:type="dxa"/>
            <w:tcBorders>
              <w:bottom w:val="single" w:sz="12" w:space="0" w:color="000000"/>
            </w:tcBorders>
          </w:tcPr>
          <w:p w14:paraId="6EB440EE" w14:textId="77777777" w:rsidR="00FA4AA8" w:rsidRDefault="0015611F">
            <w:pPr>
              <w:pStyle w:val="TableParagraph"/>
              <w:spacing w:before="24"/>
              <w:ind w:right="186"/>
              <w:jc w:val="center"/>
              <w:rPr>
                <w:b/>
                <w:sz w:val="18"/>
              </w:rPr>
            </w:pPr>
            <w:r>
              <w:rPr>
                <w:b/>
                <w:sz w:val="18"/>
              </w:rPr>
              <w:t>-</w:t>
            </w:r>
          </w:p>
        </w:tc>
      </w:tr>
      <w:tr w:rsidR="00FA4AA8" w14:paraId="73E0ABF7" w14:textId="77777777">
        <w:trPr>
          <w:trHeight w:val="308"/>
        </w:trPr>
        <w:tc>
          <w:tcPr>
            <w:tcW w:w="6295" w:type="dxa"/>
          </w:tcPr>
          <w:p w14:paraId="7030179C" w14:textId="77777777" w:rsidR="00FA4AA8" w:rsidRDefault="0015611F">
            <w:pPr>
              <w:pStyle w:val="TableParagraph"/>
              <w:spacing w:before="110" w:line="178" w:lineRule="exact"/>
              <w:ind w:left="76"/>
              <w:rPr>
                <w:b/>
                <w:sz w:val="18"/>
              </w:rPr>
            </w:pPr>
            <w:r>
              <w:rPr>
                <w:b/>
                <w:sz w:val="18"/>
              </w:rPr>
              <w:t>Total comprehensive income for the period</w:t>
            </w:r>
          </w:p>
        </w:tc>
        <w:tc>
          <w:tcPr>
            <w:tcW w:w="1179" w:type="dxa"/>
            <w:tcBorders>
              <w:top w:val="single" w:sz="12" w:space="0" w:color="000000"/>
              <w:bottom w:val="single" w:sz="12" w:space="0" w:color="000000"/>
            </w:tcBorders>
          </w:tcPr>
          <w:p w14:paraId="00069FA1" w14:textId="77777777" w:rsidR="00FA4AA8" w:rsidRDefault="0015611F">
            <w:pPr>
              <w:pStyle w:val="TableParagraph"/>
              <w:spacing w:before="110" w:line="178" w:lineRule="exact"/>
              <w:ind w:right="538"/>
              <w:jc w:val="right"/>
              <w:rPr>
                <w:b/>
                <w:sz w:val="18"/>
              </w:rPr>
            </w:pPr>
            <w:r>
              <w:rPr>
                <w:b/>
                <w:sz w:val="18"/>
              </w:rPr>
              <w:t>-</w:t>
            </w:r>
          </w:p>
        </w:tc>
        <w:tc>
          <w:tcPr>
            <w:tcW w:w="1450" w:type="dxa"/>
            <w:tcBorders>
              <w:top w:val="single" w:sz="12" w:space="0" w:color="000000"/>
              <w:bottom w:val="single" w:sz="12" w:space="0" w:color="000000"/>
            </w:tcBorders>
          </w:tcPr>
          <w:p w14:paraId="1926A2F5" w14:textId="77777777" w:rsidR="00FA4AA8" w:rsidRDefault="0015611F">
            <w:pPr>
              <w:pStyle w:val="TableParagraph"/>
              <w:spacing w:before="110" w:line="178" w:lineRule="exact"/>
              <w:ind w:left="663"/>
              <w:rPr>
                <w:b/>
                <w:sz w:val="18"/>
              </w:rPr>
            </w:pPr>
            <w:r>
              <w:rPr>
                <w:b/>
                <w:sz w:val="18"/>
              </w:rPr>
              <w:t>(5,595)</w:t>
            </w:r>
          </w:p>
        </w:tc>
        <w:tc>
          <w:tcPr>
            <w:tcW w:w="1043" w:type="dxa"/>
            <w:tcBorders>
              <w:top w:val="single" w:sz="12" w:space="0" w:color="000000"/>
              <w:bottom w:val="single" w:sz="12" w:space="0" w:color="000000"/>
            </w:tcBorders>
          </w:tcPr>
          <w:p w14:paraId="7A463EB5" w14:textId="77777777" w:rsidR="00FA4AA8" w:rsidRDefault="0015611F">
            <w:pPr>
              <w:pStyle w:val="TableParagraph"/>
              <w:spacing w:before="110" w:line="178" w:lineRule="exact"/>
              <w:ind w:right="30"/>
              <w:jc w:val="right"/>
              <w:rPr>
                <w:b/>
                <w:sz w:val="18"/>
              </w:rPr>
            </w:pPr>
            <w:r>
              <w:rPr>
                <w:b/>
                <w:sz w:val="18"/>
              </w:rPr>
              <w:t>(5,595)</w:t>
            </w:r>
          </w:p>
        </w:tc>
      </w:tr>
      <w:tr w:rsidR="00FA4AA8" w14:paraId="60AFC729" w14:textId="77777777">
        <w:trPr>
          <w:trHeight w:val="307"/>
        </w:trPr>
        <w:tc>
          <w:tcPr>
            <w:tcW w:w="6295" w:type="dxa"/>
          </w:tcPr>
          <w:p w14:paraId="0D32276F" w14:textId="77777777" w:rsidR="00FA4AA8" w:rsidRDefault="0015611F">
            <w:pPr>
              <w:pStyle w:val="TableParagraph"/>
              <w:spacing w:before="110" w:line="178" w:lineRule="exact"/>
              <w:ind w:left="76"/>
              <w:rPr>
                <w:b/>
                <w:sz w:val="18"/>
              </w:rPr>
            </w:pPr>
            <w:r>
              <w:rPr>
                <w:b/>
                <w:sz w:val="18"/>
              </w:rPr>
              <w:t>Balance at 31 December 2018</w:t>
            </w:r>
          </w:p>
        </w:tc>
        <w:tc>
          <w:tcPr>
            <w:tcW w:w="1179" w:type="dxa"/>
            <w:tcBorders>
              <w:top w:val="single" w:sz="12" w:space="0" w:color="000000"/>
              <w:bottom w:val="double" w:sz="3" w:space="0" w:color="000000"/>
            </w:tcBorders>
          </w:tcPr>
          <w:p w14:paraId="581F74CF" w14:textId="77777777" w:rsidR="00FA4AA8" w:rsidRDefault="0015611F">
            <w:pPr>
              <w:pStyle w:val="TableParagraph"/>
              <w:spacing w:before="110" w:line="178" w:lineRule="exact"/>
              <w:ind w:right="538"/>
              <w:jc w:val="right"/>
              <w:rPr>
                <w:b/>
                <w:sz w:val="18"/>
              </w:rPr>
            </w:pPr>
            <w:r>
              <w:rPr>
                <w:b/>
                <w:sz w:val="18"/>
              </w:rPr>
              <w:t>-</w:t>
            </w:r>
          </w:p>
        </w:tc>
        <w:tc>
          <w:tcPr>
            <w:tcW w:w="1450" w:type="dxa"/>
            <w:tcBorders>
              <w:top w:val="single" w:sz="12" w:space="0" w:color="000000"/>
              <w:bottom w:val="double" w:sz="3" w:space="0" w:color="000000"/>
            </w:tcBorders>
          </w:tcPr>
          <w:p w14:paraId="49D11ED6" w14:textId="77777777" w:rsidR="00FA4AA8" w:rsidRDefault="0015611F">
            <w:pPr>
              <w:pStyle w:val="TableParagraph"/>
              <w:spacing w:before="110" w:line="178" w:lineRule="exact"/>
              <w:ind w:left="663"/>
              <w:rPr>
                <w:b/>
                <w:sz w:val="18"/>
              </w:rPr>
            </w:pPr>
            <w:r>
              <w:rPr>
                <w:b/>
                <w:sz w:val="18"/>
              </w:rPr>
              <w:t>(5,595)</w:t>
            </w:r>
          </w:p>
        </w:tc>
        <w:tc>
          <w:tcPr>
            <w:tcW w:w="1043" w:type="dxa"/>
            <w:tcBorders>
              <w:top w:val="single" w:sz="12" w:space="0" w:color="000000"/>
              <w:bottom w:val="double" w:sz="3" w:space="0" w:color="000000"/>
            </w:tcBorders>
          </w:tcPr>
          <w:p w14:paraId="7698D852" w14:textId="77777777" w:rsidR="00FA4AA8" w:rsidRDefault="0015611F">
            <w:pPr>
              <w:pStyle w:val="TableParagraph"/>
              <w:spacing w:before="110" w:line="178" w:lineRule="exact"/>
              <w:ind w:right="30"/>
              <w:jc w:val="right"/>
              <w:rPr>
                <w:b/>
                <w:sz w:val="18"/>
              </w:rPr>
            </w:pPr>
            <w:r>
              <w:rPr>
                <w:b/>
                <w:sz w:val="18"/>
              </w:rPr>
              <w:t>(5,595)</w:t>
            </w:r>
          </w:p>
        </w:tc>
      </w:tr>
    </w:tbl>
    <w:p w14:paraId="52785605" w14:textId="77777777" w:rsidR="00FA4AA8" w:rsidRDefault="00FA4AA8">
      <w:pPr>
        <w:pStyle w:val="BodyText"/>
        <w:rPr>
          <w:sz w:val="20"/>
        </w:rPr>
      </w:pPr>
    </w:p>
    <w:p w14:paraId="6D88EDC2" w14:textId="77777777" w:rsidR="00FA4AA8" w:rsidRDefault="00FA4AA8">
      <w:pPr>
        <w:pStyle w:val="BodyText"/>
        <w:rPr>
          <w:sz w:val="20"/>
        </w:rPr>
      </w:pPr>
    </w:p>
    <w:p w14:paraId="3916138D" w14:textId="77777777" w:rsidR="00FA4AA8" w:rsidRDefault="00FA4AA8">
      <w:pPr>
        <w:pStyle w:val="BodyText"/>
        <w:rPr>
          <w:sz w:val="20"/>
        </w:rPr>
      </w:pPr>
    </w:p>
    <w:p w14:paraId="1EF8ED9A" w14:textId="77777777" w:rsidR="00FA4AA8" w:rsidRDefault="00FA4AA8">
      <w:pPr>
        <w:pStyle w:val="BodyText"/>
        <w:rPr>
          <w:sz w:val="20"/>
        </w:rPr>
      </w:pPr>
    </w:p>
    <w:p w14:paraId="4EBFFD91" w14:textId="77777777" w:rsidR="00FA4AA8" w:rsidRDefault="00FA4AA8">
      <w:pPr>
        <w:pStyle w:val="BodyText"/>
        <w:rPr>
          <w:sz w:val="20"/>
        </w:rPr>
      </w:pPr>
    </w:p>
    <w:p w14:paraId="366F8E99" w14:textId="77777777" w:rsidR="00FA4AA8" w:rsidRDefault="00FA4AA8">
      <w:pPr>
        <w:pStyle w:val="BodyText"/>
        <w:rPr>
          <w:sz w:val="20"/>
        </w:rPr>
      </w:pPr>
    </w:p>
    <w:p w14:paraId="70BE6523" w14:textId="77777777" w:rsidR="00FA4AA8" w:rsidRDefault="00FA4AA8">
      <w:pPr>
        <w:pStyle w:val="BodyText"/>
        <w:rPr>
          <w:sz w:val="20"/>
        </w:rPr>
      </w:pPr>
    </w:p>
    <w:p w14:paraId="533ADC96" w14:textId="77777777" w:rsidR="00FA4AA8" w:rsidRDefault="00FA4AA8">
      <w:pPr>
        <w:pStyle w:val="BodyText"/>
        <w:rPr>
          <w:sz w:val="20"/>
        </w:rPr>
      </w:pPr>
    </w:p>
    <w:p w14:paraId="142D3D7D" w14:textId="77777777" w:rsidR="00FA4AA8" w:rsidRDefault="00FA4AA8">
      <w:pPr>
        <w:pStyle w:val="BodyText"/>
        <w:rPr>
          <w:sz w:val="20"/>
        </w:rPr>
      </w:pPr>
    </w:p>
    <w:p w14:paraId="269C9378" w14:textId="77777777" w:rsidR="00FA4AA8" w:rsidRDefault="00FA4AA8">
      <w:pPr>
        <w:pStyle w:val="BodyText"/>
        <w:rPr>
          <w:sz w:val="20"/>
        </w:rPr>
      </w:pPr>
    </w:p>
    <w:p w14:paraId="5FD218C4" w14:textId="77777777" w:rsidR="00FA4AA8" w:rsidRDefault="00FA4AA8">
      <w:pPr>
        <w:pStyle w:val="BodyText"/>
        <w:rPr>
          <w:sz w:val="20"/>
        </w:rPr>
      </w:pPr>
    </w:p>
    <w:p w14:paraId="1A0CFD8F" w14:textId="77777777" w:rsidR="00FA4AA8" w:rsidRDefault="00FA4AA8">
      <w:pPr>
        <w:pStyle w:val="BodyText"/>
        <w:rPr>
          <w:sz w:val="20"/>
        </w:rPr>
      </w:pPr>
    </w:p>
    <w:p w14:paraId="7F680F11" w14:textId="77777777" w:rsidR="00FA4AA8" w:rsidRDefault="00FA4AA8">
      <w:pPr>
        <w:pStyle w:val="BodyText"/>
        <w:rPr>
          <w:sz w:val="20"/>
        </w:rPr>
      </w:pPr>
    </w:p>
    <w:p w14:paraId="56170140" w14:textId="77777777" w:rsidR="00FA4AA8" w:rsidRDefault="00FA4AA8">
      <w:pPr>
        <w:pStyle w:val="BodyText"/>
        <w:rPr>
          <w:sz w:val="20"/>
        </w:rPr>
      </w:pPr>
    </w:p>
    <w:p w14:paraId="4B97DAAD" w14:textId="77777777" w:rsidR="00FA4AA8" w:rsidRDefault="00FA4AA8">
      <w:pPr>
        <w:pStyle w:val="BodyText"/>
        <w:rPr>
          <w:sz w:val="20"/>
        </w:rPr>
      </w:pPr>
    </w:p>
    <w:p w14:paraId="1BAD044E" w14:textId="77777777" w:rsidR="00FA4AA8" w:rsidRDefault="00FA4AA8">
      <w:pPr>
        <w:pStyle w:val="BodyText"/>
        <w:rPr>
          <w:sz w:val="20"/>
        </w:rPr>
      </w:pPr>
    </w:p>
    <w:p w14:paraId="578AD590" w14:textId="77777777" w:rsidR="00FA4AA8" w:rsidRDefault="00FA4AA8">
      <w:pPr>
        <w:pStyle w:val="BodyText"/>
        <w:rPr>
          <w:sz w:val="20"/>
        </w:rPr>
      </w:pPr>
    </w:p>
    <w:p w14:paraId="042FDC1E" w14:textId="77777777" w:rsidR="00FA4AA8" w:rsidRDefault="00FA4AA8">
      <w:pPr>
        <w:pStyle w:val="BodyText"/>
        <w:rPr>
          <w:sz w:val="20"/>
        </w:rPr>
      </w:pPr>
    </w:p>
    <w:p w14:paraId="3B1C2678" w14:textId="77777777" w:rsidR="00FA4AA8" w:rsidRDefault="00FA4AA8">
      <w:pPr>
        <w:pStyle w:val="BodyText"/>
        <w:rPr>
          <w:sz w:val="20"/>
        </w:rPr>
      </w:pPr>
    </w:p>
    <w:p w14:paraId="41FC8C94" w14:textId="77777777" w:rsidR="00FA4AA8" w:rsidRDefault="00FA4AA8">
      <w:pPr>
        <w:pStyle w:val="BodyText"/>
        <w:rPr>
          <w:sz w:val="20"/>
        </w:rPr>
      </w:pPr>
    </w:p>
    <w:p w14:paraId="10A9F272" w14:textId="77777777" w:rsidR="00FA4AA8" w:rsidRDefault="00FA4AA8">
      <w:pPr>
        <w:pStyle w:val="BodyText"/>
        <w:rPr>
          <w:sz w:val="20"/>
        </w:rPr>
      </w:pPr>
    </w:p>
    <w:p w14:paraId="62C6A95F" w14:textId="77777777" w:rsidR="00FA4AA8" w:rsidRDefault="00FA4AA8">
      <w:pPr>
        <w:pStyle w:val="BodyText"/>
        <w:rPr>
          <w:sz w:val="20"/>
        </w:rPr>
      </w:pPr>
    </w:p>
    <w:p w14:paraId="7A5C96EC" w14:textId="77777777" w:rsidR="00FA4AA8" w:rsidRDefault="00FA4AA8">
      <w:pPr>
        <w:pStyle w:val="BodyText"/>
        <w:rPr>
          <w:sz w:val="20"/>
        </w:rPr>
      </w:pPr>
    </w:p>
    <w:p w14:paraId="4D16CDC6" w14:textId="77777777" w:rsidR="00FA4AA8" w:rsidRDefault="00FA4AA8">
      <w:pPr>
        <w:pStyle w:val="BodyText"/>
        <w:rPr>
          <w:sz w:val="20"/>
        </w:rPr>
      </w:pPr>
    </w:p>
    <w:p w14:paraId="7EE11073" w14:textId="77777777" w:rsidR="00FA4AA8" w:rsidRDefault="00FA4AA8">
      <w:pPr>
        <w:pStyle w:val="BodyText"/>
        <w:rPr>
          <w:sz w:val="20"/>
        </w:rPr>
      </w:pPr>
    </w:p>
    <w:p w14:paraId="1B40FEB8" w14:textId="77777777" w:rsidR="00FA4AA8" w:rsidRDefault="00FA4AA8">
      <w:pPr>
        <w:pStyle w:val="BodyText"/>
        <w:rPr>
          <w:sz w:val="20"/>
        </w:rPr>
      </w:pPr>
    </w:p>
    <w:p w14:paraId="2778A4E6" w14:textId="77777777" w:rsidR="00FA4AA8" w:rsidRDefault="00FA4AA8">
      <w:pPr>
        <w:pStyle w:val="BodyText"/>
        <w:rPr>
          <w:sz w:val="20"/>
        </w:rPr>
      </w:pPr>
    </w:p>
    <w:p w14:paraId="5A5ACD0A" w14:textId="77777777" w:rsidR="00FA4AA8" w:rsidRDefault="00FA4AA8">
      <w:pPr>
        <w:pStyle w:val="BodyText"/>
        <w:rPr>
          <w:sz w:val="20"/>
        </w:rPr>
      </w:pPr>
    </w:p>
    <w:p w14:paraId="6878EF64" w14:textId="77777777" w:rsidR="00FA4AA8" w:rsidRDefault="00FA4AA8">
      <w:pPr>
        <w:pStyle w:val="BodyText"/>
        <w:rPr>
          <w:sz w:val="20"/>
        </w:rPr>
      </w:pPr>
    </w:p>
    <w:p w14:paraId="0284CBB7" w14:textId="77777777" w:rsidR="00FA4AA8" w:rsidRDefault="00FA4AA8">
      <w:pPr>
        <w:pStyle w:val="BodyText"/>
        <w:rPr>
          <w:sz w:val="20"/>
        </w:rPr>
      </w:pPr>
    </w:p>
    <w:p w14:paraId="3B87CCAD" w14:textId="77777777" w:rsidR="00FA4AA8" w:rsidRDefault="00FA4AA8">
      <w:pPr>
        <w:pStyle w:val="BodyText"/>
        <w:rPr>
          <w:sz w:val="20"/>
        </w:rPr>
      </w:pPr>
    </w:p>
    <w:p w14:paraId="63C3CE3B" w14:textId="77777777" w:rsidR="00FA4AA8" w:rsidRDefault="00FA4AA8">
      <w:pPr>
        <w:pStyle w:val="BodyText"/>
        <w:rPr>
          <w:sz w:val="20"/>
        </w:rPr>
      </w:pPr>
    </w:p>
    <w:p w14:paraId="69CBA5EB" w14:textId="77777777" w:rsidR="00FA4AA8" w:rsidRDefault="00FA4AA8">
      <w:pPr>
        <w:pStyle w:val="BodyText"/>
        <w:rPr>
          <w:sz w:val="20"/>
        </w:rPr>
      </w:pPr>
    </w:p>
    <w:p w14:paraId="44A90535" w14:textId="77777777" w:rsidR="00FA4AA8" w:rsidRDefault="00FA4AA8">
      <w:pPr>
        <w:pStyle w:val="BodyText"/>
        <w:rPr>
          <w:sz w:val="20"/>
        </w:rPr>
      </w:pPr>
    </w:p>
    <w:p w14:paraId="23399E1E" w14:textId="77777777" w:rsidR="00FA4AA8" w:rsidRDefault="00FA4AA8">
      <w:pPr>
        <w:pStyle w:val="BodyText"/>
        <w:rPr>
          <w:sz w:val="20"/>
        </w:rPr>
      </w:pPr>
    </w:p>
    <w:p w14:paraId="7473B2E5" w14:textId="77777777" w:rsidR="00FA4AA8" w:rsidRDefault="00FA4AA8">
      <w:pPr>
        <w:pStyle w:val="BodyText"/>
        <w:rPr>
          <w:sz w:val="20"/>
        </w:rPr>
      </w:pPr>
    </w:p>
    <w:p w14:paraId="15A2FEC5" w14:textId="77777777" w:rsidR="00FA4AA8" w:rsidRDefault="00FA4AA8">
      <w:pPr>
        <w:pStyle w:val="BodyText"/>
        <w:rPr>
          <w:sz w:val="20"/>
        </w:rPr>
      </w:pPr>
    </w:p>
    <w:p w14:paraId="29147D8C" w14:textId="77777777" w:rsidR="00FA4AA8" w:rsidRDefault="00FA4AA8">
      <w:pPr>
        <w:pStyle w:val="BodyText"/>
        <w:rPr>
          <w:sz w:val="20"/>
        </w:rPr>
      </w:pPr>
    </w:p>
    <w:p w14:paraId="12211D42" w14:textId="77777777" w:rsidR="00FA4AA8" w:rsidRDefault="00FA4AA8">
      <w:pPr>
        <w:pStyle w:val="BodyText"/>
        <w:rPr>
          <w:sz w:val="20"/>
        </w:rPr>
      </w:pPr>
    </w:p>
    <w:p w14:paraId="1B6C25B3" w14:textId="77777777" w:rsidR="00FA4AA8" w:rsidRDefault="00FA4AA8">
      <w:pPr>
        <w:pStyle w:val="BodyText"/>
        <w:rPr>
          <w:sz w:val="20"/>
        </w:rPr>
      </w:pPr>
    </w:p>
    <w:p w14:paraId="1EEF0AC3" w14:textId="77777777" w:rsidR="00FA4AA8" w:rsidRDefault="00FA4AA8">
      <w:pPr>
        <w:pStyle w:val="BodyText"/>
        <w:rPr>
          <w:sz w:val="20"/>
        </w:rPr>
      </w:pPr>
    </w:p>
    <w:p w14:paraId="537CA04C" w14:textId="77777777" w:rsidR="00FA4AA8" w:rsidRDefault="00FA4AA8">
      <w:pPr>
        <w:pStyle w:val="BodyText"/>
        <w:rPr>
          <w:sz w:val="20"/>
        </w:rPr>
      </w:pPr>
    </w:p>
    <w:p w14:paraId="6F1E6C0F" w14:textId="77777777" w:rsidR="00FA4AA8" w:rsidRDefault="00FA4AA8">
      <w:pPr>
        <w:pStyle w:val="BodyText"/>
        <w:rPr>
          <w:sz w:val="20"/>
        </w:rPr>
      </w:pPr>
    </w:p>
    <w:p w14:paraId="7D245D3A" w14:textId="77777777" w:rsidR="00FA4AA8" w:rsidRDefault="00FA4AA8">
      <w:pPr>
        <w:pStyle w:val="BodyText"/>
        <w:spacing w:before="7"/>
      </w:pPr>
    </w:p>
    <w:p w14:paraId="77197BEB" w14:textId="77777777" w:rsidR="00FA4AA8" w:rsidRDefault="0015611F">
      <w:pPr>
        <w:pStyle w:val="BodyText"/>
        <w:spacing w:before="94"/>
        <w:ind w:left="576" w:right="509"/>
        <w:jc w:val="center"/>
      </w:pPr>
      <w:r>
        <w:t>The accompanying notes form part of these financial statements.</w:t>
      </w:r>
    </w:p>
    <w:p w14:paraId="27B3DE55" w14:textId="77777777" w:rsidR="00FA4AA8" w:rsidRDefault="00FA4AA8">
      <w:pPr>
        <w:jc w:val="center"/>
        <w:sectPr w:rsidR="00FA4AA8">
          <w:pgSz w:w="11910" w:h="16840"/>
          <w:pgMar w:top="1580" w:right="880" w:bottom="720" w:left="840" w:header="1015" w:footer="523" w:gutter="0"/>
          <w:cols w:space="720"/>
        </w:sectPr>
      </w:pPr>
    </w:p>
    <w:p w14:paraId="3A653560" w14:textId="77777777" w:rsidR="00FA4AA8" w:rsidRDefault="00FA4AA8">
      <w:pPr>
        <w:pStyle w:val="BodyText"/>
        <w:spacing w:before="6"/>
        <w:rPr>
          <w:sz w:val="21"/>
        </w:rPr>
      </w:pPr>
    </w:p>
    <w:p w14:paraId="57BD7D30" w14:textId="77777777" w:rsidR="00FA4AA8" w:rsidRDefault="0015611F">
      <w:pPr>
        <w:pStyle w:val="Heading2"/>
      </w:pPr>
      <w:r>
        <w:t>Statement of Cash Flows</w:t>
      </w:r>
    </w:p>
    <w:p w14:paraId="1B78880F" w14:textId="77777777" w:rsidR="00FA4AA8" w:rsidRDefault="0015611F">
      <w:pPr>
        <w:pStyle w:val="Heading6"/>
        <w:ind w:left="167"/>
      </w:pPr>
      <w:r>
        <w:t>For the initial Period 5 April 2018 to 31 December 2018</w:t>
      </w:r>
    </w:p>
    <w:p w14:paraId="7A087752" w14:textId="77777777" w:rsidR="00FA4AA8" w:rsidRDefault="00FA4AA8">
      <w:pPr>
        <w:pStyle w:val="BodyText"/>
        <w:spacing w:before="8"/>
        <w:rPr>
          <w:b/>
          <w:sz w:val="27"/>
        </w:rPr>
      </w:pPr>
    </w:p>
    <w:p w14:paraId="31D676C2" w14:textId="77777777" w:rsidR="00FA4AA8" w:rsidRDefault="00FA4AA8">
      <w:pPr>
        <w:rPr>
          <w:sz w:val="27"/>
        </w:rPr>
        <w:sectPr w:rsidR="00FA4AA8">
          <w:pgSz w:w="11910" w:h="16840"/>
          <w:pgMar w:top="1580" w:right="880" w:bottom="720" w:left="840" w:header="1015" w:footer="523" w:gutter="0"/>
          <w:cols w:space="720"/>
        </w:sectPr>
      </w:pPr>
    </w:p>
    <w:p w14:paraId="0B96AE98" w14:textId="77777777" w:rsidR="00FA4AA8" w:rsidRDefault="00FA4AA8">
      <w:pPr>
        <w:pStyle w:val="BodyText"/>
        <w:rPr>
          <w:b/>
          <w:sz w:val="20"/>
        </w:rPr>
      </w:pPr>
    </w:p>
    <w:p w14:paraId="2EB4C6F3" w14:textId="77777777" w:rsidR="00FA4AA8" w:rsidRDefault="00FA4AA8">
      <w:pPr>
        <w:pStyle w:val="BodyText"/>
        <w:rPr>
          <w:b/>
          <w:sz w:val="20"/>
        </w:rPr>
      </w:pPr>
    </w:p>
    <w:p w14:paraId="684127ED" w14:textId="77777777" w:rsidR="00FA4AA8" w:rsidRDefault="00FA4AA8">
      <w:pPr>
        <w:pStyle w:val="BodyText"/>
        <w:spacing w:before="8"/>
        <w:rPr>
          <w:b/>
          <w:sz w:val="22"/>
        </w:rPr>
      </w:pPr>
    </w:p>
    <w:p w14:paraId="26A58C29" w14:textId="77777777" w:rsidR="00FA4AA8" w:rsidRDefault="0015611F">
      <w:pPr>
        <w:ind w:left="194"/>
        <w:rPr>
          <w:b/>
          <w:sz w:val="18"/>
        </w:rPr>
      </w:pPr>
      <w:r>
        <w:rPr>
          <w:b/>
          <w:sz w:val="18"/>
        </w:rPr>
        <w:t>Cash flows from operating activities</w:t>
      </w:r>
    </w:p>
    <w:p w14:paraId="37FECB4D" w14:textId="77777777" w:rsidR="00FA4AA8" w:rsidRDefault="0015611F">
      <w:pPr>
        <w:spacing w:before="95"/>
        <w:ind w:left="178" w:right="534"/>
        <w:jc w:val="center"/>
        <w:rPr>
          <w:b/>
          <w:sz w:val="18"/>
        </w:rPr>
      </w:pPr>
      <w:r>
        <w:br w:type="column"/>
      </w:r>
      <w:r>
        <w:rPr>
          <w:b/>
          <w:sz w:val="18"/>
        </w:rPr>
        <w:t>2018</w:t>
      </w:r>
    </w:p>
    <w:p w14:paraId="44CA0A9C" w14:textId="77777777" w:rsidR="00FA4AA8" w:rsidRDefault="0015611F">
      <w:pPr>
        <w:spacing w:before="66"/>
        <w:ind w:right="357"/>
        <w:jc w:val="center"/>
        <w:rPr>
          <w:b/>
          <w:sz w:val="18"/>
        </w:rPr>
      </w:pPr>
      <w:r>
        <w:rPr>
          <w:b/>
          <w:sz w:val="18"/>
        </w:rPr>
        <w:t>$</w:t>
      </w:r>
    </w:p>
    <w:p w14:paraId="1605E102" w14:textId="77777777" w:rsidR="00FA4AA8" w:rsidRDefault="00FA4AA8">
      <w:pPr>
        <w:pStyle w:val="BodyText"/>
        <w:rPr>
          <w:b/>
          <w:sz w:val="20"/>
        </w:rPr>
      </w:pPr>
    </w:p>
    <w:p w14:paraId="7A95D780" w14:textId="77777777" w:rsidR="00FA4AA8" w:rsidRDefault="00FA4AA8">
      <w:pPr>
        <w:pStyle w:val="BodyText"/>
        <w:spacing w:before="2"/>
        <w:rPr>
          <w:b/>
          <w:sz w:val="10"/>
        </w:rPr>
      </w:pPr>
    </w:p>
    <w:p w14:paraId="6179382B" w14:textId="77777777" w:rsidR="00FA4AA8" w:rsidRDefault="007E2441">
      <w:pPr>
        <w:pStyle w:val="BodyText"/>
        <w:spacing w:line="24" w:lineRule="exact"/>
        <w:ind w:left="-254"/>
        <w:rPr>
          <w:sz w:val="2"/>
        </w:rPr>
      </w:pPr>
      <w:r>
        <w:rPr>
          <w:noProof/>
          <w:sz w:val="2"/>
          <w:lang w:val="en-AU" w:eastAsia="en-AU"/>
        </w:rPr>
        <mc:AlternateContent>
          <mc:Choice Requires="wpg">
            <w:drawing>
              <wp:inline distT="0" distB="0" distL="0" distR="0" wp14:anchorId="5364FBA4" wp14:editId="641697D8">
                <wp:extent cx="822960" cy="15875"/>
                <wp:effectExtent l="9525" t="9525" r="5715" b="3175"/>
                <wp:docPr id="453"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15875"/>
                          <a:chOff x="0" y="0"/>
                          <a:chExt cx="1296" cy="25"/>
                        </a:xfrm>
                      </wpg:grpSpPr>
                      <wps:wsp>
                        <wps:cNvPr id="454" name="Line 227"/>
                        <wps:cNvCnPr>
                          <a:cxnSpLocks noChangeShapeType="1"/>
                        </wps:cNvCnPr>
                        <wps:spPr bwMode="auto">
                          <a:xfrm>
                            <a:off x="0" y="4"/>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55" name="Line 226"/>
                        <wps:cNvCnPr>
                          <a:cxnSpLocks noChangeShapeType="1"/>
                        </wps:cNvCnPr>
                        <wps:spPr bwMode="auto">
                          <a:xfrm>
                            <a:off x="0" y="6"/>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56" name="Line 225"/>
                        <wps:cNvCnPr>
                          <a:cxnSpLocks noChangeShapeType="1"/>
                        </wps:cNvCnPr>
                        <wps:spPr bwMode="auto">
                          <a:xfrm>
                            <a:off x="0" y="9"/>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57" name="Line 224"/>
                        <wps:cNvCnPr>
                          <a:cxnSpLocks noChangeShapeType="1"/>
                        </wps:cNvCnPr>
                        <wps:spPr bwMode="auto">
                          <a:xfrm>
                            <a:off x="0" y="11"/>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58" name="Line 223"/>
                        <wps:cNvCnPr>
                          <a:cxnSpLocks noChangeShapeType="1"/>
                        </wps:cNvCnPr>
                        <wps:spPr bwMode="auto">
                          <a:xfrm>
                            <a:off x="0" y="13"/>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59" name="Line 222"/>
                        <wps:cNvCnPr>
                          <a:cxnSpLocks noChangeShapeType="1"/>
                        </wps:cNvCnPr>
                        <wps:spPr bwMode="auto">
                          <a:xfrm>
                            <a:off x="0" y="16"/>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60" name="Line 221"/>
                        <wps:cNvCnPr>
                          <a:cxnSpLocks noChangeShapeType="1"/>
                        </wps:cNvCnPr>
                        <wps:spPr bwMode="auto">
                          <a:xfrm>
                            <a:off x="0" y="18"/>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61" name="Line 220"/>
                        <wps:cNvCnPr>
                          <a:cxnSpLocks noChangeShapeType="1"/>
                        </wps:cNvCnPr>
                        <wps:spPr bwMode="auto">
                          <a:xfrm>
                            <a:off x="0" y="21"/>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BB90FCD" id="Group 219" o:spid="_x0000_s1026" style="width:64.8pt;height:1.25pt;mso-position-horizontal-relative:char;mso-position-vertical-relative:line" coordsize="129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">
                <v:line id="Line 227" o:spid="_x0000_s1027" style="position:absolute;visibility:visible;mso-wrap-style:square" from="0,4" to="12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" strokeweight=".1323mm"/>
                <v:line id="Line 226" o:spid="_x0000_s1028" style="position:absolute;visibility:visible;mso-wrap-style:square" from="0,6" to="12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" strokeweight=".1323mm"/>
                <v:line id="Line 225" o:spid="_x0000_s1029" style="position:absolute;visibility:visible;mso-wrap-style:square" from="0,9" to="12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" strokeweight=".1323mm"/>
                <v:line id="Line 224" o:spid="_x0000_s1030" style="position:absolute;visibility:visible;mso-wrap-style:square" from="0,11" to="12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" strokeweight=".1323mm"/>
                <v:line id="Line 223" o:spid="_x0000_s1031" style="position:absolute;visibility:visible;mso-wrap-style:square" from="0,13" to="129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" strokeweight=".1323mm"/>
                <v:line id="Line 222" o:spid="_x0000_s1032" style="position:absolute;visibility:visible;mso-wrap-style:square" from="0,16" to="129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" strokeweight=".1323mm"/>
                <v:line id="Line 221" o:spid="_x0000_s1033" style="position:absolute;visibility:visible;mso-wrap-style:square" from="0,18" to="129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" strokeweight=".1323mm"/>
                <v:line id="Line 220" o:spid="_x0000_s1034" style="position:absolute;visibility:visible;mso-wrap-style:square" from="0,21" to="12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" strokeweight=".1323mm"/>
                <w10:anchorlock/>
              </v:group>
            </w:pict>
          </mc:Fallback>
        </mc:AlternateContent>
      </w:r>
    </w:p>
    <w:p w14:paraId="026CAE67" w14:textId="77777777" w:rsidR="00FA4AA8" w:rsidRDefault="00FA4AA8">
      <w:pPr>
        <w:spacing w:line="24" w:lineRule="exact"/>
        <w:rPr>
          <w:sz w:val="2"/>
        </w:rPr>
        <w:sectPr w:rsidR="00FA4AA8">
          <w:type w:val="continuous"/>
          <w:pgSz w:w="11910" w:h="16840"/>
          <w:pgMar w:top="20" w:right="880" w:bottom="0" w:left="840" w:header="720" w:footer="720" w:gutter="0"/>
          <w:cols w:num="2" w:space="720" w:equalWidth="0">
            <w:col w:w="3339" w:space="5697"/>
            <w:col w:w="1154"/>
          </w:cols>
        </w:sectPr>
      </w:pPr>
    </w:p>
    <w:p w14:paraId="1E6B64A9" w14:textId="77777777" w:rsidR="00FA4AA8" w:rsidRDefault="0015611F">
      <w:pPr>
        <w:tabs>
          <w:tab w:val="left" w:pos="8786"/>
          <w:tab w:val="left" w:pos="9403"/>
          <w:tab w:val="left" w:pos="10082"/>
        </w:tabs>
        <w:spacing w:before="29"/>
        <w:ind w:left="194"/>
        <w:rPr>
          <w:b/>
          <w:sz w:val="18"/>
        </w:rPr>
      </w:pPr>
      <w:r>
        <w:rPr>
          <w:b/>
          <w:sz w:val="18"/>
        </w:rPr>
        <w:t>Net cash used in</w:t>
      </w:r>
      <w:r>
        <w:rPr>
          <w:b/>
          <w:spacing w:val="-3"/>
          <w:sz w:val="18"/>
        </w:rPr>
        <w:t xml:space="preserve"> </w:t>
      </w:r>
      <w:r>
        <w:rPr>
          <w:b/>
          <w:sz w:val="18"/>
        </w:rPr>
        <w:t>operating</w:t>
      </w:r>
      <w:r>
        <w:rPr>
          <w:b/>
          <w:spacing w:val="-1"/>
          <w:sz w:val="18"/>
        </w:rPr>
        <w:t xml:space="preserve"> </w:t>
      </w:r>
      <w:r>
        <w:rPr>
          <w:b/>
          <w:sz w:val="18"/>
        </w:rPr>
        <w:t>activities</w:t>
      </w:r>
      <w:r>
        <w:rPr>
          <w:b/>
          <w:sz w:val="18"/>
        </w:rPr>
        <w:tab/>
      </w:r>
      <w:r>
        <w:rPr>
          <w:b/>
          <w:position w:val="-7"/>
          <w:sz w:val="18"/>
          <w:u w:val="thick"/>
        </w:rPr>
        <w:t xml:space="preserve"> </w:t>
      </w:r>
      <w:r>
        <w:rPr>
          <w:b/>
          <w:position w:val="-7"/>
          <w:sz w:val="18"/>
          <w:u w:val="thick"/>
        </w:rPr>
        <w:tab/>
        <w:t>-</w:t>
      </w:r>
      <w:r>
        <w:rPr>
          <w:b/>
          <w:position w:val="-7"/>
          <w:sz w:val="18"/>
          <w:u w:val="thick"/>
        </w:rPr>
        <w:tab/>
      </w:r>
    </w:p>
    <w:p w14:paraId="19016690" w14:textId="77777777" w:rsidR="00FA4AA8" w:rsidRDefault="00FA4AA8">
      <w:pPr>
        <w:pStyle w:val="BodyText"/>
        <w:spacing w:before="1"/>
        <w:rPr>
          <w:b/>
          <w:sz w:val="29"/>
        </w:rPr>
      </w:pPr>
    </w:p>
    <w:p w14:paraId="65C87182" w14:textId="77777777" w:rsidR="00FA4AA8" w:rsidRDefault="0015611F">
      <w:pPr>
        <w:spacing w:before="94"/>
        <w:ind w:left="194"/>
        <w:rPr>
          <w:b/>
          <w:sz w:val="18"/>
        </w:rPr>
      </w:pPr>
      <w:r>
        <w:rPr>
          <w:b/>
          <w:sz w:val="18"/>
        </w:rPr>
        <w:t>Cash flows from investing activities</w:t>
      </w:r>
    </w:p>
    <w:p w14:paraId="55B78834" w14:textId="77777777" w:rsidR="00FA4AA8" w:rsidRDefault="007E2441">
      <w:pPr>
        <w:pStyle w:val="BodyText"/>
        <w:spacing w:line="24" w:lineRule="exact"/>
        <w:ind w:left="8782"/>
        <w:rPr>
          <w:sz w:val="2"/>
        </w:rPr>
      </w:pPr>
      <w:r>
        <w:rPr>
          <w:noProof/>
          <w:sz w:val="2"/>
          <w:lang w:val="en-AU" w:eastAsia="en-AU"/>
        </w:rPr>
        <mc:AlternateContent>
          <mc:Choice Requires="wpg">
            <w:drawing>
              <wp:inline distT="0" distB="0" distL="0" distR="0" wp14:anchorId="51CC2E6E" wp14:editId="211E208F">
                <wp:extent cx="822960" cy="15875"/>
                <wp:effectExtent l="9525" t="9525" r="5715" b="3175"/>
                <wp:docPr id="444"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15875"/>
                          <a:chOff x="0" y="0"/>
                          <a:chExt cx="1296" cy="25"/>
                        </a:xfrm>
                      </wpg:grpSpPr>
                      <wps:wsp>
                        <wps:cNvPr id="445" name="Line 218"/>
                        <wps:cNvCnPr>
                          <a:cxnSpLocks noChangeShapeType="1"/>
                        </wps:cNvCnPr>
                        <wps:spPr bwMode="auto">
                          <a:xfrm>
                            <a:off x="0" y="4"/>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46" name="Line 217"/>
                        <wps:cNvCnPr>
                          <a:cxnSpLocks noChangeShapeType="1"/>
                        </wps:cNvCnPr>
                        <wps:spPr bwMode="auto">
                          <a:xfrm>
                            <a:off x="0" y="6"/>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47" name="Line 216"/>
                        <wps:cNvCnPr>
                          <a:cxnSpLocks noChangeShapeType="1"/>
                        </wps:cNvCnPr>
                        <wps:spPr bwMode="auto">
                          <a:xfrm>
                            <a:off x="0" y="9"/>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48" name="Line 215"/>
                        <wps:cNvCnPr>
                          <a:cxnSpLocks noChangeShapeType="1"/>
                        </wps:cNvCnPr>
                        <wps:spPr bwMode="auto">
                          <a:xfrm>
                            <a:off x="0" y="11"/>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49" name="Line 214"/>
                        <wps:cNvCnPr>
                          <a:cxnSpLocks noChangeShapeType="1"/>
                        </wps:cNvCnPr>
                        <wps:spPr bwMode="auto">
                          <a:xfrm>
                            <a:off x="0" y="13"/>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50" name="Line 213"/>
                        <wps:cNvCnPr>
                          <a:cxnSpLocks noChangeShapeType="1"/>
                        </wps:cNvCnPr>
                        <wps:spPr bwMode="auto">
                          <a:xfrm>
                            <a:off x="0" y="16"/>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51" name="Line 212"/>
                        <wps:cNvCnPr>
                          <a:cxnSpLocks noChangeShapeType="1"/>
                        </wps:cNvCnPr>
                        <wps:spPr bwMode="auto">
                          <a:xfrm>
                            <a:off x="0" y="18"/>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52" name="Line 211"/>
                        <wps:cNvCnPr>
                          <a:cxnSpLocks noChangeShapeType="1"/>
                        </wps:cNvCnPr>
                        <wps:spPr bwMode="auto">
                          <a:xfrm>
                            <a:off x="0" y="21"/>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2BDF634" id="Group 210" o:spid="_x0000_s1026" style="width:64.8pt;height:1.25pt;mso-position-horizontal-relative:char;mso-position-vertical-relative:line" coordsize="129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">
                <v:line id="Line 218" o:spid="_x0000_s1027" style="position:absolute;visibility:visible;mso-wrap-style:square" from="0,4" to="12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" strokeweight=".1323mm"/>
                <v:line id="Line 217" o:spid="_x0000_s1028" style="position:absolute;visibility:visible;mso-wrap-style:square" from="0,6" to="12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" strokeweight=".1323mm"/>
                <v:line id="Line 216" o:spid="_x0000_s1029" style="position:absolute;visibility:visible;mso-wrap-style:square" from="0,9" to="12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" strokeweight=".1323mm"/>
                <v:line id="Line 215" o:spid="_x0000_s1030" style="position:absolute;visibility:visible;mso-wrap-style:square" from="0,11" to="12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" strokeweight=".1323mm"/>
                <v:line id="Line 214" o:spid="_x0000_s1031" style="position:absolute;visibility:visible;mso-wrap-style:square" from="0,13" to="129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" strokeweight=".1323mm"/>
                <v:line id="Line 213" o:spid="_x0000_s1032" style="position:absolute;visibility:visible;mso-wrap-style:square" from="0,16" to="129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" strokeweight=".1323mm"/>
                <v:line id="Line 212" o:spid="_x0000_s1033" style="position:absolute;visibility:visible;mso-wrap-style:square" from="0,18" to="129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" strokeweight=".1323mm"/>
                <v:line id="Line 211" o:spid="_x0000_s1034" style="position:absolute;visibility:visible;mso-wrap-style:square" from="0,21" to="12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" strokeweight=".1323mm"/>
                <w10:anchorlock/>
              </v:group>
            </w:pict>
          </mc:Fallback>
        </mc:AlternateContent>
      </w:r>
    </w:p>
    <w:p w14:paraId="7CF11604" w14:textId="77777777" w:rsidR="00FA4AA8" w:rsidRDefault="0015611F">
      <w:pPr>
        <w:tabs>
          <w:tab w:val="left" w:pos="8786"/>
          <w:tab w:val="left" w:pos="9403"/>
          <w:tab w:val="left" w:pos="10082"/>
        </w:tabs>
        <w:spacing w:before="23"/>
        <w:ind w:left="194"/>
        <w:rPr>
          <w:b/>
          <w:sz w:val="18"/>
        </w:rPr>
      </w:pPr>
      <w:r>
        <w:rPr>
          <w:b/>
          <w:sz w:val="18"/>
        </w:rPr>
        <w:t>Net cash used in</w:t>
      </w:r>
      <w:r>
        <w:rPr>
          <w:b/>
          <w:spacing w:val="-3"/>
          <w:sz w:val="18"/>
        </w:rPr>
        <w:t xml:space="preserve"> </w:t>
      </w:r>
      <w:r>
        <w:rPr>
          <w:b/>
          <w:sz w:val="18"/>
        </w:rPr>
        <w:t>investing activities</w:t>
      </w:r>
      <w:r>
        <w:rPr>
          <w:b/>
          <w:sz w:val="18"/>
        </w:rPr>
        <w:tab/>
      </w:r>
      <w:r>
        <w:rPr>
          <w:b/>
          <w:position w:val="-7"/>
          <w:sz w:val="18"/>
          <w:u w:val="thick"/>
        </w:rPr>
        <w:t xml:space="preserve"> </w:t>
      </w:r>
      <w:r>
        <w:rPr>
          <w:b/>
          <w:position w:val="-7"/>
          <w:sz w:val="18"/>
          <w:u w:val="thick"/>
        </w:rPr>
        <w:tab/>
        <w:t>-</w:t>
      </w:r>
      <w:r>
        <w:rPr>
          <w:b/>
          <w:position w:val="-7"/>
          <w:sz w:val="18"/>
          <w:u w:val="thick"/>
        </w:rPr>
        <w:tab/>
      </w:r>
    </w:p>
    <w:p w14:paraId="47E6A392" w14:textId="77777777" w:rsidR="00FA4AA8" w:rsidRDefault="00FA4AA8">
      <w:pPr>
        <w:pStyle w:val="BodyText"/>
        <w:spacing w:before="1"/>
        <w:rPr>
          <w:b/>
          <w:sz w:val="29"/>
        </w:rPr>
      </w:pPr>
    </w:p>
    <w:p w14:paraId="761DE54A" w14:textId="77777777" w:rsidR="00FA4AA8" w:rsidRDefault="0015611F">
      <w:pPr>
        <w:spacing w:before="94"/>
        <w:ind w:left="194"/>
        <w:rPr>
          <w:b/>
          <w:sz w:val="18"/>
        </w:rPr>
      </w:pPr>
      <w:r>
        <w:rPr>
          <w:b/>
          <w:sz w:val="18"/>
        </w:rPr>
        <w:t>Cash flows from financing activities</w:t>
      </w:r>
    </w:p>
    <w:p w14:paraId="73F22C22" w14:textId="77777777" w:rsidR="00FA4AA8" w:rsidRDefault="007E2441">
      <w:pPr>
        <w:pStyle w:val="BodyText"/>
        <w:spacing w:line="24" w:lineRule="exact"/>
        <w:ind w:left="8782"/>
        <w:rPr>
          <w:sz w:val="2"/>
        </w:rPr>
      </w:pPr>
      <w:r>
        <w:rPr>
          <w:noProof/>
          <w:sz w:val="2"/>
          <w:lang w:val="en-AU" w:eastAsia="en-AU"/>
        </w:rPr>
        <mc:AlternateContent>
          <mc:Choice Requires="wpg">
            <w:drawing>
              <wp:inline distT="0" distB="0" distL="0" distR="0" wp14:anchorId="1BD3C553" wp14:editId="2645BD8C">
                <wp:extent cx="822960" cy="15875"/>
                <wp:effectExtent l="9525" t="9525" r="5715" b="3175"/>
                <wp:docPr id="435"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15875"/>
                          <a:chOff x="0" y="0"/>
                          <a:chExt cx="1296" cy="25"/>
                        </a:xfrm>
                      </wpg:grpSpPr>
                      <wps:wsp>
                        <wps:cNvPr id="436" name="Line 209"/>
                        <wps:cNvCnPr>
                          <a:cxnSpLocks noChangeShapeType="1"/>
                        </wps:cNvCnPr>
                        <wps:spPr bwMode="auto">
                          <a:xfrm>
                            <a:off x="0" y="4"/>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37" name="Line 208"/>
                        <wps:cNvCnPr>
                          <a:cxnSpLocks noChangeShapeType="1"/>
                        </wps:cNvCnPr>
                        <wps:spPr bwMode="auto">
                          <a:xfrm>
                            <a:off x="0" y="6"/>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38" name="Line 207"/>
                        <wps:cNvCnPr>
                          <a:cxnSpLocks noChangeShapeType="1"/>
                        </wps:cNvCnPr>
                        <wps:spPr bwMode="auto">
                          <a:xfrm>
                            <a:off x="0" y="9"/>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39" name="Line 206"/>
                        <wps:cNvCnPr>
                          <a:cxnSpLocks noChangeShapeType="1"/>
                        </wps:cNvCnPr>
                        <wps:spPr bwMode="auto">
                          <a:xfrm>
                            <a:off x="0" y="11"/>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40" name="Line 205"/>
                        <wps:cNvCnPr>
                          <a:cxnSpLocks noChangeShapeType="1"/>
                        </wps:cNvCnPr>
                        <wps:spPr bwMode="auto">
                          <a:xfrm>
                            <a:off x="0" y="13"/>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41" name="Line 204"/>
                        <wps:cNvCnPr>
                          <a:cxnSpLocks noChangeShapeType="1"/>
                        </wps:cNvCnPr>
                        <wps:spPr bwMode="auto">
                          <a:xfrm>
                            <a:off x="0" y="16"/>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42" name="Line 203"/>
                        <wps:cNvCnPr>
                          <a:cxnSpLocks noChangeShapeType="1"/>
                        </wps:cNvCnPr>
                        <wps:spPr bwMode="auto">
                          <a:xfrm>
                            <a:off x="0" y="18"/>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43" name="Line 202"/>
                        <wps:cNvCnPr>
                          <a:cxnSpLocks noChangeShapeType="1"/>
                        </wps:cNvCnPr>
                        <wps:spPr bwMode="auto">
                          <a:xfrm>
                            <a:off x="0" y="21"/>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5B3C44F" id="Group 201" o:spid="_x0000_s1026" style="width:64.8pt;height:1.25pt;mso-position-horizontal-relative:char;mso-position-vertical-relative:line" coordsize="129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">
                <v:line id="Line 209" o:spid="_x0000_s1027" style="position:absolute;visibility:visible;mso-wrap-style:square" from="0,4" to="12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" strokeweight=".1323mm"/>
                <v:line id="Line 208" o:spid="_x0000_s1028" style="position:absolute;visibility:visible;mso-wrap-style:square" from="0,6" to="12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" strokeweight=".1323mm"/>
                <v:line id="Line 207" o:spid="_x0000_s1029" style="position:absolute;visibility:visible;mso-wrap-style:square" from="0,9" to="12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" strokeweight=".1323mm"/>
                <v:line id="Line 206" o:spid="_x0000_s1030" style="position:absolute;visibility:visible;mso-wrap-style:square" from="0,11" to="12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" strokeweight=".1323mm"/>
                <v:line id="Line 205" o:spid="_x0000_s1031" style="position:absolute;visibility:visible;mso-wrap-style:square" from="0,13" to="129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" strokeweight=".1323mm"/>
                <v:line id="Line 204" o:spid="_x0000_s1032" style="position:absolute;visibility:visible;mso-wrap-style:square" from="0,16" to="129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" strokeweight=".1323mm"/>
                <v:line id="Line 203" o:spid="_x0000_s1033" style="position:absolute;visibility:visible;mso-wrap-style:square" from="0,18" to="129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" strokeweight=".1323mm"/>
                <v:line id="Line 202" o:spid="_x0000_s1034" style="position:absolute;visibility:visible;mso-wrap-style:square" from="0,21" to="12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" strokeweight=".1323mm"/>
                <w10:anchorlock/>
              </v:group>
            </w:pict>
          </mc:Fallback>
        </mc:AlternateContent>
      </w:r>
    </w:p>
    <w:p w14:paraId="2C94160E" w14:textId="77777777" w:rsidR="00FA4AA8" w:rsidRDefault="0015611F">
      <w:pPr>
        <w:tabs>
          <w:tab w:val="left" w:pos="8786"/>
          <w:tab w:val="left" w:pos="9403"/>
          <w:tab w:val="left" w:pos="10082"/>
        </w:tabs>
        <w:spacing w:before="24"/>
        <w:ind w:left="194"/>
        <w:rPr>
          <w:b/>
          <w:sz w:val="18"/>
        </w:rPr>
      </w:pPr>
      <w:r>
        <w:rPr>
          <w:b/>
          <w:sz w:val="18"/>
        </w:rPr>
        <w:t>Net cash provided by</w:t>
      </w:r>
      <w:r>
        <w:rPr>
          <w:b/>
          <w:spacing w:val="-12"/>
          <w:sz w:val="18"/>
        </w:rPr>
        <w:t xml:space="preserve"> </w:t>
      </w:r>
      <w:r>
        <w:rPr>
          <w:b/>
          <w:sz w:val="18"/>
        </w:rPr>
        <w:t>financing</w:t>
      </w:r>
      <w:r>
        <w:rPr>
          <w:b/>
          <w:spacing w:val="-1"/>
          <w:sz w:val="18"/>
        </w:rPr>
        <w:t xml:space="preserve"> </w:t>
      </w:r>
      <w:r>
        <w:rPr>
          <w:b/>
          <w:sz w:val="18"/>
        </w:rPr>
        <w:t>activities</w:t>
      </w:r>
      <w:r>
        <w:rPr>
          <w:b/>
          <w:sz w:val="18"/>
        </w:rPr>
        <w:tab/>
      </w:r>
      <w:r>
        <w:rPr>
          <w:b/>
          <w:position w:val="-7"/>
          <w:sz w:val="18"/>
          <w:u w:val="thick"/>
        </w:rPr>
        <w:t xml:space="preserve"> </w:t>
      </w:r>
      <w:r>
        <w:rPr>
          <w:b/>
          <w:position w:val="-7"/>
          <w:sz w:val="18"/>
          <w:u w:val="thick"/>
        </w:rPr>
        <w:tab/>
        <w:t>-</w:t>
      </w:r>
      <w:r>
        <w:rPr>
          <w:b/>
          <w:position w:val="-7"/>
          <w:sz w:val="18"/>
          <w:u w:val="thick"/>
        </w:rPr>
        <w:tab/>
      </w:r>
    </w:p>
    <w:p w14:paraId="481EDABF" w14:textId="77777777" w:rsidR="00FA4AA8" w:rsidRDefault="00FA4AA8">
      <w:pPr>
        <w:pStyle w:val="BodyText"/>
        <w:spacing w:before="8"/>
        <w:rPr>
          <w:b/>
          <w:sz w:val="21"/>
        </w:rPr>
      </w:pPr>
    </w:p>
    <w:p w14:paraId="62BAAC0C" w14:textId="77777777" w:rsidR="00FA4AA8" w:rsidRDefault="007E2441">
      <w:pPr>
        <w:tabs>
          <w:tab w:val="left" w:pos="9402"/>
        </w:tabs>
        <w:spacing w:before="94"/>
        <w:ind w:left="194"/>
        <w:rPr>
          <w:b/>
          <w:sz w:val="18"/>
        </w:rPr>
      </w:pPr>
      <w:r>
        <w:rPr>
          <w:noProof/>
          <w:lang w:val="en-AU" w:eastAsia="en-AU"/>
        </w:rPr>
        <mc:AlternateContent>
          <mc:Choice Requires="wpg">
            <w:drawing>
              <wp:anchor distT="0" distB="0" distL="0" distR="0" simplePos="0" relativeHeight="487679488" behindDoc="1" locked="0" layoutInCell="1" allowOverlap="1" wp14:anchorId="5C8566C5" wp14:editId="04C47547">
                <wp:simplePos x="0" y="0"/>
                <wp:positionH relativeFrom="page">
                  <wp:posOffset>6112510</wp:posOffset>
                </wp:positionH>
                <wp:positionV relativeFrom="paragraph">
                  <wp:posOffset>205740</wp:posOffset>
                </wp:positionV>
                <wp:extent cx="822960" cy="15875"/>
                <wp:effectExtent l="0" t="0" r="0" b="0"/>
                <wp:wrapTopAndBottom/>
                <wp:docPr id="426"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15875"/>
                          <a:chOff x="9626" y="324"/>
                          <a:chExt cx="1296" cy="25"/>
                        </a:xfrm>
                      </wpg:grpSpPr>
                      <wps:wsp>
                        <wps:cNvPr id="427" name="Line 200"/>
                        <wps:cNvCnPr>
                          <a:cxnSpLocks noChangeShapeType="1"/>
                        </wps:cNvCnPr>
                        <wps:spPr bwMode="auto">
                          <a:xfrm>
                            <a:off x="9626" y="328"/>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28" name="Line 199"/>
                        <wps:cNvCnPr>
                          <a:cxnSpLocks noChangeShapeType="1"/>
                        </wps:cNvCnPr>
                        <wps:spPr bwMode="auto">
                          <a:xfrm>
                            <a:off x="9626" y="330"/>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29" name="Line 198"/>
                        <wps:cNvCnPr>
                          <a:cxnSpLocks noChangeShapeType="1"/>
                        </wps:cNvCnPr>
                        <wps:spPr bwMode="auto">
                          <a:xfrm>
                            <a:off x="9626" y="332"/>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30" name="Line 197"/>
                        <wps:cNvCnPr>
                          <a:cxnSpLocks noChangeShapeType="1"/>
                        </wps:cNvCnPr>
                        <wps:spPr bwMode="auto">
                          <a:xfrm>
                            <a:off x="9626" y="335"/>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31" name="Line 196"/>
                        <wps:cNvCnPr>
                          <a:cxnSpLocks noChangeShapeType="1"/>
                        </wps:cNvCnPr>
                        <wps:spPr bwMode="auto">
                          <a:xfrm>
                            <a:off x="9626" y="337"/>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32" name="Line 195"/>
                        <wps:cNvCnPr>
                          <a:cxnSpLocks noChangeShapeType="1"/>
                        </wps:cNvCnPr>
                        <wps:spPr bwMode="auto">
                          <a:xfrm>
                            <a:off x="9626" y="340"/>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33" name="Line 194"/>
                        <wps:cNvCnPr>
                          <a:cxnSpLocks noChangeShapeType="1"/>
                        </wps:cNvCnPr>
                        <wps:spPr bwMode="auto">
                          <a:xfrm>
                            <a:off x="9626" y="342"/>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34" name="Line 193"/>
                        <wps:cNvCnPr>
                          <a:cxnSpLocks noChangeShapeType="1"/>
                        </wps:cNvCnPr>
                        <wps:spPr bwMode="auto">
                          <a:xfrm>
                            <a:off x="9626" y="344"/>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71E5CF" id="Group 192" o:spid="_x0000_s1026" style="position:absolute;margin-left:481.3pt;margin-top:16.2pt;width:64.8pt;height:1.25pt;z-index:-15636992;mso-wrap-distance-left:0;mso-wrap-distance-right:0;mso-position-horizontal-relative:page" coordorigin="9626,324" coordsize="129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">
                <v:line id="Line 200" o:spid="_x0000_s1027" style="position:absolute;visibility:visible;mso-wrap-style:square" from="9626,328" to="10922,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" strokeweight=".1323mm"/>
                <v:line id="Line 199" o:spid="_x0000_s1028" style="position:absolute;visibility:visible;mso-wrap-style:square" from="9626,330" to="10922,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" strokeweight=".1323mm"/>
                <v:line id="Line 198" o:spid="_x0000_s1029" style="position:absolute;visibility:visible;mso-wrap-style:square" from="9626,332" to="10922,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" strokeweight=".1323mm"/>
                <v:line id="Line 197" o:spid="_x0000_s1030" style="position:absolute;visibility:visible;mso-wrap-style:square" from="9626,335" to="10922,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" strokeweight=".1323mm"/>
                <v:line id="Line 196" o:spid="_x0000_s1031" style="position:absolute;visibility:visible;mso-wrap-style:square" from="9626,337" to="10922,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" strokeweight=".1323mm"/>
                <v:line id="Line 195" o:spid="_x0000_s1032" style="position:absolute;visibility:visible;mso-wrap-style:square" from="9626,340" to="10922,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" strokeweight=".1323mm"/>
                <v:line id="Line 194" o:spid="_x0000_s1033" style="position:absolute;visibility:visible;mso-wrap-style:square" from="9626,342" to="10922,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" strokeweight=".1323mm"/>
                <v:line id="Line 193" o:spid="_x0000_s1034" style="position:absolute;visibility:visible;mso-wrap-style:square" from="9626,344" to="10922,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" strokeweight=".1323mm"/>
                <w10:wrap type="topAndBottom" anchorx="page"/>
              </v:group>
            </w:pict>
          </mc:Fallback>
        </mc:AlternateContent>
      </w:r>
      <w:r w:rsidR="0015611F">
        <w:rPr>
          <w:b/>
          <w:sz w:val="18"/>
        </w:rPr>
        <w:t>Net increase/(decrease) in cash and cash</w:t>
      </w:r>
      <w:r w:rsidR="0015611F">
        <w:rPr>
          <w:b/>
          <w:spacing w:val="-5"/>
          <w:sz w:val="18"/>
        </w:rPr>
        <w:t xml:space="preserve"> </w:t>
      </w:r>
      <w:r w:rsidR="0015611F">
        <w:rPr>
          <w:b/>
          <w:sz w:val="18"/>
        </w:rPr>
        <w:t>equivalents</w:t>
      </w:r>
      <w:r w:rsidR="0015611F">
        <w:rPr>
          <w:b/>
          <w:spacing w:val="1"/>
          <w:sz w:val="18"/>
        </w:rPr>
        <w:t xml:space="preserve"> </w:t>
      </w:r>
      <w:r w:rsidR="0015611F">
        <w:rPr>
          <w:b/>
          <w:sz w:val="18"/>
        </w:rPr>
        <w:t>held</w:t>
      </w:r>
      <w:r w:rsidR="0015611F">
        <w:rPr>
          <w:b/>
          <w:sz w:val="18"/>
        </w:rPr>
        <w:tab/>
        <w:t>-</w:t>
      </w:r>
    </w:p>
    <w:p w14:paraId="2E674052" w14:textId="77777777" w:rsidR="00FA4AA8" w:rsidRDefault="0015611F">
      <w:pPr>
        <w:tabs>
          <w:tab w:val="left" w:pos="8786"/>
          <w:tab w:val="left" w:pos="9403"/>
          <w:tab w:val="left" w:pos="10082"/>
        </w:tabs>
        <w:spacing w:before="55"/>
        <w:ind w:left="194"/>
        <w:rPr>
          <w:b/>
          <w:sz w:val="18"/>
        </w:rPr>
      </w:pPr>
      <w:r>
        <w:rPr>
          <w:b/>
          <w:sz w:val="18"/>
        </w:rPr>
        <w:t>Cash and cash equivalents at end of</w:t>
      </w:r>
      <w:r>
        <w:rPr>
          <w:b/>
          <w:spacing w:val="-2"/>
          <w:sz w:val="18"/>
        </w:rPr>
        <w:t xml:space="preserve"> </w:t>
      </w:r>
      <w:r>
        <w:rPr>
          <w:b/>
          <w:sz w:val="18"/>
        </w:rPr>
        <w:t>financial period</w:t>
      </w:r>
      <w:r>
        <w:rPr>
          <w:b/>
          <w:sz w:val="18"/>
        </w:rPr>
        <w:tab/>
      </w:r>
      <w:r>
        <w:rPr>
          <w:b/>
          <w:position w:val="-2"/>
          <w:sz w:val="18"/>
          <w:u w:val="double"/>
        </w:rPr>
        <w:t xml:space="preserve"> </w:t>
      </w:r>
      <w:r>
        <w:rPr>
          <w:b/>
          <w:position w:val="-2"/>
          <w:sz w:val="18"/>
          <w:u w:val="double"/>
        </w:rPr>
        <w:tab/>
        <w:t>-</w:t>
      </w:r>
      <w:r>
        <w:rPr>
          <w:b/>
          <w:position w:val="-2"/>
          <w:sz w:val="18"/>
          <w:u w:val="double"/>
        </w:rPr>
        <w:tab/>
      </w:r>
    </w:p>
    <w:p w14:paraId="4A1B5C36" w14:textId="77777777" w:rsidR="00FA4AA8" w:rsidRDefault="00FA4AA8">
      <w:pPr>
        <w:pStyle w:val="BodyText"/>
        <w:rPr>
          <w:b/>
          <w:sz w:val="20"/>
        </w:rPr>
      </w:pPr>
    </w:p>
    <w:p w14:paraId="16AD55F7" w14:textId="77777777" w:rsidR="00FA4AA8" w:rsidRDefault="00FA4AA8">
      <w:pPr>
        <w:pStyle w:val="BodyText"/>
        <w:rPr>
          <w:b/>
          <w:sz w:val="20"/>
        </w:rPr>
      </w:pPr>
    </w:p>
    <w:p w14:paraId="12C7B01D" w14:textId="77777777" w:rsidR="00FA4AA8" w:rsidRDefault="00FA4AA8">
      <w:pPr>
        <w:pStyle w:val="BodyText"/>
        <w:rPr>
          <w:b/>
          <w:sz w:val="20"/>
        </w:rPr>
      </w:pPr>
    </w:p>
    <w:p w14:paraId="11BBF1AD" w14:textId="77777777" w:rsidR="00FA4AA8" w:rsidRDefault="00FA4AA8">
      <w:pPr>
        <w:pStyle w:val="BodyText"/>
        <w:rPr>
          <w:b/>
          <w:sz w:val="20"/>
        </w:rPr>
      </w:pPr>
    </w:p>
    <w:p w14:paraId="7233229B" w14:textId="77777777" w:rsidR="00FA4AA8" w:rsidRDefault="00FA4AA8">
      <w:pPr>
        <w:pStyle w:val="BodyText"/>
        <w:rPr>
          <w:b/>
          <w:sz w:val="20"/>
        </w:rPr>
      </w:pPr>
    </w:p>
    <w:p w14:paraId="2EC38D52" w14:textId="77777777" w:rsidR="00FA4AA8" w:rsidRDefault="00FA4AA8">
      <w:pPr>
        <w:pStyle w:val="BodyText"/>
        <w:rPr>
          <w:b/>
          <w:sz w:val="20"/>
        </w:rPr>
      </w:pPr>
    </w:p>
    <w:p w14:paraId="1F1143C1" w14:textId="77777777" w:rsidR="00FA4AA8" w:rsidRDefault="00FA4AA8">
      <w:pPr>
        <w:pStyle w:val="BodyText"/>
        <w:rPr>
          <w:b/>
          <w:sz w:val="20"/>
        </w:rPr>
      </w:pPr>
    </w:p>
    <w:p w14:paraId="74610918" w14:textId="77777777" w:rsidR="00FA4AA8" w:rsidRDefault="00FA4AA8">
      <w:pPr>
        <w:pStyle w:val="BodyText"/>
        <w:rPr>
          <w:b/>
          <w:sz w:val="20"/>
        </w:rPr>
      </w:pPr>
    </w:p>
    <w:p w14:paraId="49A6D095" w14:textId="77777777" w:rsidR="00FA4AA8" w:rsidRDefault="00FA4AA8">
      <w:pPr>
        <w:pStyle w:val="BodyText"/>
        <w:rPr>
          <w:b/>
          <w:sz w:val="20"/>
        </w:rPr>
      </w:pPr>
    </w:p>
    <w:p w14:paraId="1F9CCF81" w14:textId="77777777" w:rsidR="00FA4AA8" w:rsidRDefault="00FA4AA8">
      <w:pPr>
        <w:pStyle w:val="BodyText"/>
        <w:rPr>
          <w:b/>
          <w:sz w:val="20"/>
        </w:rPr>
      </w:pPr>
    </w:p>
    <w:p w14:paraId="5DD14680" w14:textId="77777777" w:rsidR="00FA4AA8" w:rsidRDefault="00FA4AA8">
      <w:pPr>
        <w:pStyle w:val="BodyText"/>
        <w:rPr>
          <w:b/>
          <w:sz w:val="20"/>
        </w:rPr>
      </w:pPr>
    </w:p>
    <w:p w14:paraId="408A9702" w14:textId="77777777" w:rsidR="00FA4AA8" w:rsidRDefault="00FA4AA8">
      <w:pPr>
        <w:pStyle w:val="BodyText"/>
        <w:rPr>
          <w:b/>
          <w:sz w:val="20"/>
        </w:rPr>
      </w:pPr>
    </w:p>
    <w:p w14:paraId="1FD000E5" w14:textId="77777777" w:rsidR="00FA4AA8" w:rsidRDefault="00FA4AA8">
      <w:pPr>
        <w:pStyle w:val="BodyText"/>
        <w:rPr>
          <w:b/>
          <w:sz w:val="20"/>
        </w:rPr>
      </w:pPr>
    </w:p>
    <w:p w14:paraId="09BF0A84" w14:textId="77777777" w:rsidR="00FA4AA8" w:rsidRDefault="00FA4AA8">
      <w:pPr>
        <w:pStyle w:val="BodyText"/>
        <w:rPr>
          <w:b/>
          <w:sz w:val="20"/>
        </w:rPr>
      </w:pPr>
    </w:p>
    <w:p w14:paraId="01031BB6" w14:textId="77777777" w:rsidR="00FA4AA8" w:rsidRDefault="00FA4AA8">
      <w:pPr>
        <w:pStyle w:val="BodyText"/>
        <w:rPr>
          <w:b/>
          <w:sz w:val="20"/>
        </w:rPr>
      </w:pPr>
    </w:p>
    <w:p w14:paraId="6F4AB99B" w14:textId="77777777" w:rsidR="00FA4AA8" w:rsidRDefault="00FA4AA8">
      <w:pPr>
        <w:pStyle w:val="BodyText"/>
        <w:rPr>
          <w:b/>
          <w:sz w:val="20"/>
        </w:rPr>
      </w:pPr>
    </w:p>
    <w:p w14:paraId="20BF5AC2" w14:textId="77777777" w:rsidR="00FA4AA8" w:rsidRDefault="00FA4AA8">
      <w:pPr>
        <w:pStyle w:val="BodyText"/>
        <w:rPr>
          <w:b/>
          <w:sz w:val="20"/>
        </w:rPr>
      </w:pPr>
    </w:p>
    <w:p w14:paraId="6809959F" w14:textId="77777777" w:rsidR="00FA4AA8" w:rsidRDefault="00FA4AA8">
      <w:pPr>
        <w:pStyle w:val="BodyText"/>
        <w:rPr>
          <w:b/>
          <w:sz w:val="20"/>
        </w:rPr>
      </w:pPr>
    </w:p>
    <w:p w14:paraId="52BDEA19" w14:textId="77777777" w:rsidR="00FA4AA8" w:rsidRDefault="00FA4AA8">
      <w:pPr>
        <w:pStyle w:val="BodyText"/>
        <w:rPr>
          <w:b/>
          <w:sz w:val="20"/>
        </w:rPr>
      </w:pPr>
    </w:p>
    <w:p w14:paraId="5ACAAC27" w14:textId="77777777" w:rsidR="00FA4AA8" w:rsidRDefault="00FA4AA8">
      <w:pPr>
        <w:pStyle w:val="BodyText"/>
        <w:rPr>
          <w:b/>
          <w:sz w:val="20"/>
        </w:rPr>
      </w:pPr>
    </w:p>
    <w:p w14:paraId="2C3B43AA" w14:textId="77777777" w:rsidR="00FA4AA8" w:rsidRDefault="00FA4AA8">
      <w:pPr>
        <w:pStyle w:val="BodyText"/>
        <w:rPr>
          <w:b/>
          <w:sz w:val="20"/>
        </w:rPr>
      </w:pPr>
    </w:p>
    <w:p w14:paraId="789F8F05" w14:textId="77777777" w:rsidR="00FA4AA8" w:rsidRDefault="00FA4AA8">
      <w:pPr>
        <w:pStyle w:val="BodyText"/>
        <w:rPr>
          <w:b/>
          <w:sz w:val="20"/>
        </w:rPr>
      </w:pPr>
    </w:p>
    <w:p w14:paraId="1C3EB0D9" w14:textId="77777777" w:rsidR="00FA4AA8" w:rsidRDefault="00FA4AA8">
      <w:pPr>
        <w:pStyle w:val="BodyText"/>
        <w:rPr>
          <w:b/>
          <w:sz w:val="20"/>
        </w:rPr>
      </w:pPr>
    </w:p>
    <w:p w14:paraId="2C133C64" w14:textId="77777777" w:rsidR="00FA4AA8" w:rsidRDefault="00FA4AA8">
      <w:pPr>
        <w:pStyle w:val="BodyText"/>
        <w:rPr>
          <w:b/>
          <w:sz w:val="20"/>
        </w:rPr>
      </w:pPr>
    </w:p>
    <w:p w14:paraId="79008DB5" w14:textId="77777777" w:rsidR="00FA4AA8" w:rsidRDefault="00FA4AA8">
      <w:pPr>
        <w:pStyle w:val="BodyText"/>
        <w:rPr>
          <w:b/>
          <w:sz w:val="20"/>
        </w:rPr>
      </w:pPr>
    </w:p>
    <w:p w14:paraId="2549609A" w14:textId="77777777" w:rsidR="00FA4AA8" w:rsidRDefault="00FA4AA8">
      <w:pPr>
        <w:pStyle w:val="BodyText"/>
        <w:rPr>
          <w:b/>
          <w:sz w:val="20"/>
        </w:rPr>
      </w:pPr>
    </w:p>
    <w:p w14:paraId="0B0BB390" w14:textId="77777777" w:rsidR="00FA4AA8" w:rsidRDefault="00FA4AA8">
      <w:pPr>
        <w:pStyle w:val="BodyText"/>
        <w:rPr>
          <w:b/>
          <w:sz w:val="20"/>
        </w:rPr>
      </w:pPr>
    </w:p>
    <w:p w14:paraId="5AF456F4" w14:textId="77777777" w:rsidR="00FA4AA8" w:rsidRDefault="00FA4AA8">
      <w:pPr>
        <w:pStyle w:val="BodyText"/>
        <w:rPr>
          <w:b/>
          <w:sz w:val="20"/>
        </w:rPr>
      </w:pPr>
    </w:p>
    <w:p w14:paraId="6AB8BEF5" w14:textId="77777777" w:rsidR="00FA4AA8" w:rsidRDefault="00FA4AA8">
      <w:pPr>
        <w:pStyle w:val="BodyText"/>
        <w:rPr>
          <w:b/>
          <w:sz w:val="20"/>
        </w:rPr>
      </w:pPr>
    </w:p>
    <w:p w14:paraId="4C82A18F" w14:textId="77777777" w:rsidR="00FA4AA8" w:rsidRDefault="00FA4AA8">
      <w:pPr>
        <w:pStyle w:val="BodyText"/>
        <w:rPr>
          <w:b/>
          <w:sz w:val="20"/>
        </w:rPr>
      </w:pPr>
    </w:p>
    <w:p w14:paraId="4A7CBBA6" w14:textId="77777777" w:rsidR="00FA4AA8" w:rsidRDefault="00FA4AA8">
      <w:pPr>
        <w:pStyle w:val="BodyText"/>
        <w:rPr>
          <w:b/>
          <w:sz w:val="20"/>
        </w:rPr>
      </w:pPr>
    </w:p>
    <w:p w14:paraId="2E379AD5" w14:textId="77777777" w:rsidR="00FA4AA8" w:rsidRDefault="00FA4AA8">
      <w:pPr>
        <w:pStyle w:val="BodyText"/>
        <w:rPr>
          <w:b/>
          <w:sz w:val="20"/>
        </w:rPr>
      </w:pPr>
    </w:p>
    <w:p w14:paraId="263BBAD1" w14:textId="77777777" w:rsidR="00FA4AA8" w:rsidRDefault="00FA4AA8">
      <w:pPr>
        <w:pStyle w:val="BodyText"/>
        <w:rPr>
          <w:b/>
          <w:sz w:val="20"/>
        </w:rPr>
      </w:pPr>
    </w:p>
    <w:p w14:paraId="5C7AAACE" w14:textId="77777777" w:rsidR="00FA4AA8" w:rsidRDefault="00FA4AA8">
      <w:pPr>
        <w:pStyle w:val="BodyText"/>
        <w:rPr>
          <w:b/>
          <w:sz w:val="20"/>
        </w:rPr>
      </w:pPr>
    </w:p>
    <w:p w14:paraId="68F79A98" w14:textId="77777777" w:rsidR="00FA4AA8" w:rsidRDefault="00FA4AA8">
      <w:pPr>
        <w:pStyle w:val="BodyText"/>
        <w:rPr>
          <w:b/>
          <w:sz w:val="20"/>
        </w:rPr>
      </w:pPr>
    </w:p>
    <w:p w14:paraId="7DF2996C" w14:textId="77777777" w:rsidR="00FA4AA8" w:rsidRDefault="00FA4AA8">
      <w:pPr>
        <w:pStyle w:val="BodyText"/>
        <w:spacing w:before="9"/>
        <w:rPr>
          <w:b/>
          <w:sz w:val="24"/>
        </w:rPr>
      </w:pPr>
    </w:p>
    <w:p w14:paraId="5EF4CD20" w14:textId="77777777" w:rsidR="00FA4AA8" w:rsidRDefault="0015611F">
      <w:pPr>
        <w:pStyle w:val="BodyText"/>
        <w:spacing w:before="95"/>
        <w:ind w:left="576" w:right="509"/>
        <w:jc w:val="center"/>
      </w:pPr>
      <w:r>
        <w:t>The accompanying notes form part of these financial statements.</w:t>
      </w:r>
    </w:p>
    <w:p w14:paraId="706E3F6E" w14:textId="77777777" w:rsidR="00FA4AA8" w:rsidRDefault="00FA4AA8">
      <w:pPr>
        <w:jc w:val="center"/>
        <w:sectPr w:rsidR="00FA4AA8">
          <w:type w:val="continuous"/>
          <w:pgSz w:w="11910" w:h="16840"/>
          <w:pgMar w:top="20" w:right="880" w:bottom="0" w:left="840" w:header="720" w:footer="720" w:gutter="0"/>
          <w:cols w:space="720"/>
        </w:sectPr>
      </w:pPr>
    </w:p>
    <w:p w14:paraId="50845400" w14:textId="77777777" w:rsidR="00FA4AA8" w:rsidRDefault="00FA4AA8">
      <w:pPr>
        <w:pStyle w:val="BodyText"/>
        <w:spacing w:before="6"/>
        <w:rPr>
          <w:sz w:val="21"/>
        </w:rPr>
      </w:pPr>
    </w:p>
    <w:p w14:paraId="7F975358" w14:textId="77777777" w:rsidR="00FA4AA8" w:rsidRDefault="0015611F">
      <w:pPr>
        <w:pStyle w:val="Heading2"/>
      </w:pPr>
      <w:r>
        <w:t>Notes to the Financial Statements</w:t>
      </w:r>
    </w:p>
    <w:p w14:paraId="6B6564E1" w14:textId="77777777" w:rsidR="00FA4AA8" w:rsidRDefault="0015611F">
      <w:pPr>
        <w:pStyle w:val="Heading6"/>
        <w:ind w:left="167"/>
      </w:pPr>
      <w:r>
        <w:t>For the initial Period 5 April 2018 to 31 December 2018</w:t>
      </w:r>
    </w:p>
    <w:p w14:paraId="2BDC0D24" w14:textId="77777777" w:rsidR="00FA4AA8" w:rsidRDefault="00FA4AA8">
      <w:pPr>
        <w:pStyle w:val="BodyText"/>
        <w:rPr>
          <w:b/>
          <w:sz w:val="24"/>
        </w:rPr>
      </w:pPr>
    </w:p>
    <w:p w14:paraId="33F0EC3B" w14:textId="77777777" w:rsidR="00FA4AA8" w:rsidRDefault="00FA4AA8">
      <w:pPr>
        <w:pStyle w:val="BodyText"/>
        <w:rPr>
          <w:b/>
          <w:sz w:val="34"/>
        </w:rPr>
      </w:pPr>
    </w:p>
    <w:p w14:paraId="3CA35838" w14:textId="77777777" w:rsidR="00FA4AA8" w:rsidRDefault="0015611F">
      <w:pPr>
        <w:tabs>
          <w:tab w:val="left" w:pos="563"/>
        </w:tabs>
        <w:spacing w:before="1"/>
        <w:ind w:left="170"/>
        <w:rPr>
          <w:b/>
          <w:sz w:val="18"/>
        </w:rPr>
      </w:pPr>
      <w:r>
        <w:rPr>
          <w:b/>
          <w:sz w:val="18"/>
        </w:rPr>
        <w:t>1</w:t>
      </w:r>
      <w:r>
        <w:rPr>
          <w:b/>
          <w:sz w:val="18"/>
        </w:rPr>
        <w:tab/>
        <w:t>Summary of Significant Accounting</w:t>
      </w:r>
      <w:r>
        <w:rPr>
          <w:b/>
          <w:spacing w:val="-8"/>
          <w:sz w:val="18"/>
        </w:rPr>
        <w:t xml:space="preserve"> </w:t>
      </w:r>
      <w:r>
        <w:rPr>
          <w:b/>
          <w:sz w:val="18"/>
        </w:rPr>
        <w:t>Policies</w:t>
      </w:r>
    </w:p>
    <w:p w14:paraId="617C2C71" w14:textId="77777777" w:rsidR="00FA4AA8" w:rsidRDefault="00FA4AA8">
      <w:pPr>
        <w:pStyle w:val="BodyText"/>
        <w:spacing w:before="11"/>
        <w:rPr>
          <w:b/>
          <w:sz w:val="24"/>
        </w:rPr>
      </w:pPr>
    </w:p>
    <w:p w14:paraId="73C1CB8E" w14:textId="77777777" w:rsidR="00FA4AA8" w:rsidRDefault="0015611F">
      <w:pPr>
        <w:pStyle w:val="BodyText"/>
        <w:ind w:left="563" w:right="132"/>
      </w:pPr>
      <w:r>
        <w:t>Western Growth Developments (Westmead) Pty Ltd is a not-for-profit company limited by shares and is a controlled entity of Western Sydney University. The Company is incorporated and domiciled in Australia.</w:t>
      </w:r>
    </w:p>
    <w:p w14:paraId="6CAB04FD" w14:textId="77777777" w:rsidR="00FA4AA8" w:rsidRDefault="00FA4AA8">
      <w:pPr>
        <w:pStyle w:val="BodyText"/>
        <w:spacing w:before="11"/>
        <w:rPr>
          <w:sz w:val="24"/>
        </w:rPr>
      </w:pPr>
    </w:p>
    <w:p w14:paraId="77EB483B" w14:textId="77777777" w:rsidR="00FA4AA8" w:rsidRDefault="0015611F">
      <w:pPr>
        <w:numPr>
          <w:ilvl w:val="0"/>
          <w:numId w:val="3"/>
        </w:numPr>
        <w:tabs>
          <w:tab w:val="left" w:pos="1130"/>
          <w:tab w:val="left" w:pos="1131"/>
        </w:tabs>
        <w:ind w:hanging="568"/>
        <w:rPr>
          <w:b/>
          <w:sz w:val="18"/>
        </w:rPr>
      </w:pPr>
      <w:r>
        <w:rPr>
          <w:b/>
          <w:sz w:val="18"/>
        </w:rPr>
        <w:t>Basis of</w:t>
      </w:r>
      <w:r>
        <w:rPr>
          <w:b/>
          <w:spacing w:val="-1"/>
          <w:sz w:val="18"/>
        </w:rPr>
        <w:t xml:space="preserve"> </w:t>
      </w:r>
      <w:r>
        <w:rPr>
          <w:b/>
          <w:sz w:val="18"/>
        </w:rPr>
        <w:t>Preparation</w:t>
      </w:r>
    </w:p>
    <w:p w14:paraId="183EF60C" w14:textId="77777777" w:rsidR="00FA4AA8" w:rsidRDefault="00FA4AA8">
      <w:pPr>
        <w:pStyle w:val="BodyText"/>
        <w:rPr>
          <w:b/>
          <w:sz w:val="25"/>
        </w:rPr>
      </w:pPr>
    </w:p>
    <w:p w14:paraId="4271F284" w14:textId="77777777" w:rsidR="00FA4AA8" w:rsidRDefault="0015611F">
      <w:pPr>
        <w:ind w:left="1130" w:right="185"/>
        <w:rPr>
          <w:sz w:val="18"/>
        </w:rPr>
      </w:pPr>
      <w:r>
        <w:rPr>
          <w:sz w:val="18"/>
        </w:rPr>
        <w:t xml:space="preserve">The financial statements are general purpose financial statements that have been prepared in accordance with Australian Accounting Standards - Reduced Disclosure Requirements, Australian Accounting Interpretations, the </w:t>
      </w:r>
      <w:r>
        <w:rPr>
          <w:i/>
          <w:sz w:val="18"/>
        </w:rPr>
        <w:t>Corporations Act 2001</w:t>
      </w:r>
      <w:r>
        <w:rPr>
          <w:sz w:val="18"/>
        </w:rPr>
        <w:t xml:space="preserve">, the </w:t>
      </w:r>
      <w:r>
        <w:rPr>
          <w:i/>
          <w:sz w:val="18"/>
        </w:rPr>
        <w:t xml:space="preserve">Public Finance and Audit Act 1983, Public Finance and Audit Regulation 2015, the Australian Charities and Not-for-profits Commission Act 2012 </w:t>
      </w:r>
      <w:r>
        <w:rPr>
          <w:sz w:val="18"/>
        </w:rPr>
        <w:t xml:space="preserve">and </w:t>
      </w:r>
      <w:r>
        <w:rPr>
          <w:i/>
          <w:sz w:val="18"/>
        </w:rPr>
        <w:t>Regulation 2013</w:t>
      </w:r>
      <w:r>
        <w:rPr>
          <w:sz w:val="18"/>
        </w:rPr>
        <w:t>.</w:t>
      </w:r>
    </w:p>
    <w:p w14:paraId="287188B9" w14:textId="77777777" w:rsidR="00FA4AA8" w:rsidRDefault="00FA4AA8">
      <w:pPr>
        <w:pStyle w:val="BodyText"/>
        <w:spacing w:before="9"/>
        <w:rPr>
          <w:sz w:val="24"/>
        </w:rPr>
      </w:pPr>
    </w:p>
    <w:p w14:paraId="2696E1B9" w14:textId="77777777" w:rsidR="00FA4AA8" w:rsidRDefault="0015611F">
      <w:pPr>
        <w:pStyle w:val="BodyText"/>
        <w:ind w:left="1130" w:right="220"/>
      </w:pPr>
      <w:r>
        <w:t>The financial statements have been prepared on an accrual basis and are based on historical costs, modified, where applicable, by the measurement at fair value of selected non-current assets, financial assets and financial liabilities.</w:t>
      </w:r>
    </w:p>
    <w:p w14:paraId="055E38BF" w14:textId="77777777" w:rsidR="00FA4AA8" w:rsidRDefault="00FA4AA8">
      <w:pPr>
        <w:pStyle w:val="BodyText"/>
        <w:spacing w:before="11"/>
        <w:rPr>
          <w:sz w:val="24"/>
        </w:rPr>
      </w:pPr>
    </w:p>
    <w:p w14:paraId="0AB3B641" w14:textId="77777777" w:rsidR="00FA4AA8" w:rsidRDefault="0015611F">
      <w:pPr>
        <w:pStyle w:val="BodyText"/>
        <w:ind w:left="1130"/>
      </w:pPr>
      <w:r>
        <w:t>The financial statements were authorised for issue by the Directors of the Company on10 April 2019.</w:t>
      </w:r>
    </w:p>
    <w:p w14:paraId="2B639E4D" w14:textId="77777777" w:rsidR="00FA4AA8" w:rsidRDefault="00FA4AA8">
      <w:pPr>
        <w:pStyle w:val="BodyText"/>
        <w:rPr>
          <w:sz w:val="25"/>
        </w:rPr>
      </w:pPr>
    </w:p>
    <w:p w14:paraId="27BCBCC7" w14:textId="77777777" w:rsidR="00FA4AA8" w:rsidRDefault="0015611F">
      <w:pPr>
        <w:numPr>
          <w:ilvl w:val="1"/>
          <w:numId w:val="3"/>
        </w:numPr>
        <w:tabs>
          <w:tab w:val="left" w:pos="1281"/>
        </w:tabs>
        <w:rPr>
          <w:b/>
          <w:sz w:val="18"/>
        </w:rPr>
      </w:pPr>
      <w:r>
        <w:rPr>
          <w:b/>
          <w:sz w:val="18"/>
        </w:rPr>
        <w:t>Critical accounting</w:t>
      </w:r>
      <w:r>
        <w:rPr>
          <w:b/>
          <w:spacing w:val="1"/>
          <w:sz w:val="18"/>
        </w:rPr>
        <w:t xml:space="preserve"> </w:t>
      </w:r>
      <w:r>
        <w:rPr>
          <w:b/>
          <w:sz w:val="18"/>
        </w:rPr>
        <w:t>estimates</w:t>
      </w:r>
    </w:p>
    <w:p w14:paraId="0EA2D8BE" w14:textId="77777777" w:rsidR="00FA4AA8" w:rsidRDefault="00FA4AA8">
      <w:pPr>
        <w:pStyle w:val="BodyText"/>
        <w:spacing w:before="11"/>
        <w:rPr>
          <w:b/>
          <w:sz w:val="24"/>
        </w:rPr>
      </w:pPr>
    </w:p>
    <w:p w14:paraId="18619837" w14:textId="77777777" w:rsidR="00FA4AA8" w:rsidRDefault="0015611F">
      <w:pPr>
        <w:pStyle w:val="BodyText"/>
        <w:ind w:left="1130" w:right="132"/>
      </w:pPr>
      <w:r>
        <w:t>The preparation of financial statements in conformity with Australian Accounting Standards requires the use of certain critical accounting estimates. It also requires management to exercise its judgement in the process of applying the Company's accounting policies. The estimates and underlying assumptions are reviewed on an ongoing basis. All significant estimates or assumptions made in preparation of the financial statements have been explained in the accounting policy notes or subsequent notes.</w:t>
      </w:r>
    </w:p>
    <w:p w14:paraId="73192961" w14:textId="77777777" w:rsidR="00FA4AA8" w:rsidRDefault="00FA4AA8">
      <w:pPr>
        <w:pStyle w:val="BodyText"/>
        <w:spacing w:before="9"/>
        <w:rPr>
          <w:sz w:val="24"/>
        </w:rPr>
      </w:pPr>
    </w:p>
    <w:p w14:paraId="27555F4F" w14:textId="77777777" w:rsidR="00FA4AA8" w:rsidRDefault="0015611F">
      <w:pPr>
        <w:numPr>
          <w:ilvl w:val="1"/>
          <w:numId w:val="3"/>
        </w:numPr>
        <w:tabs>
          <w:tab w:val="left" w:pos="1333"/>
        </w:tabs>
        <w:ind w:left="1332" w:hanging="203"/>
        <w:rPr>
          <w:b/>
          <w:sz w:val="18"/>
        </w:rPr>
      </w:pPr>
      <w:r>
        <w:rPr>
          <w:b/>
          <w:sz w:val="18"/>
        </w:rPr>
        <w:t>Foreign currency translations and</w:t>
      </w:r>
      <w:r>
        <w:rPr>
          <w:b/>
          <w:spacing w:val="-11"/>
          <w:sz w:val="18"/>
        </w:rPr>
        <w:t xml:space="preserve"> </w:t>
      </w:r>
      <w:r>
        <w:rPr>
          <w:b/>
          <w:sz w:val="18"/>
        </w:rPr>
        <w:t>balances</w:t>
      </w:r>
    </w:p>
    <w:p w14:paraId="113610ED" w14:textId="77777777" w:rsidR="00FA4AA8" w:rsidRDefault="00FA4AA8">
      <w:pPr>
        <w:pStyle w:val="BodyText"/>
        <w:rPr>
          <w:b/>
          <w:sz w:val="25"/>
        </w:rPr>
      </w:pPr>
    </w:p>
    <w:p w14:paraId="6234028D" w14:textId="77777777" w:rsidR="00FA4AA8" w:rsidRDefault="0015611F">
      <w:pPr>
        <w:pStyle w:val="BodyText"/>
        <w:ind w:left="1130" w:right="132"/>
      </w:pPr>
      <w:r>
        <w:t>The functional currency of the Company is measured using the currency of the primary economic environment which is Australian dollars. The financial statements are presented in Australian dollars which is the parent entity's functional and presentation currency.</w:t>
      </w:r>
    </w:p>
    <w:p w14:paraId="0052CCBE" w14:textId="77777777" w:rsidR="00FA4AA8" w:rsidRDefault="00FA4AA8">
      <w:pPr>
        <w:pStyle w:val="BodyText"/>
        <w:spacing w:before="10"/>
        <w:rPr>
          <w:sz w:val="24"/>
        </w:rPr>
      </w:pPr>
    </w:p>
    <w:p w14:paraId="03854F9F" w14:textId="77777777" w:rsidR="00FA4AA8" w:rsidRDefault="0015611F">
      <w:pPr>
        <w:numPr>
          <w:ilvl w:val="0"/>
          <w:numId w:val="3"/>
        </w:numPr>
        <w:tabs>
          <w:tab w:val="left" w:pos="1130"/>
          <w:tab w:val="left" w:pos="1131"/>
        </w:tabs>
        <w:spacing w:line="573" w:lineRule="auto"/>
        <w:ind w:right="6435"/>
        <w:rPr>
          <w:b/>
          <w:sz w:val="18"/>
        </w:rPr>
      </w:pPr>
      <w:r>
        <w:rPr>
          <w:b/>
          <w:sz w:val="18"/>
        </w:rPr>
        <w:t>Basis for consolidation Interest in Joint</w:t>
      </w:r>
      <w:r>
        <w:rPr>
          <w:b/>
          <w:spacing w:val="-3"/>
          <w:sz w:val="18"/>
        </w:rPr>
        <w:t xml:space="preserve"> </w:t>
      </w:r>
      <w:r>
        <w:rPr>
          <w:b/>
          <w:sz w:val="18"/>
        </w:rPr>
        <w:t>Arrangements</w:t>
      </w:r>
    </w:p>
    <w:p w14:paraId="2C4C3BE4" w14:textId="77777777" w:rsidR="00FA4AA8" w:rsidRDefault="0015611F">
      <w:pPr>
        <w:pStyle w:val="BodyText"/>
        <w:ind w:left="1130"/>
      </w:pPr>
      <w:r>
        <w:t xml:space="preserve">AASB 11 </w:t>
      </w:r>
      <w:r>
        <w:rPr>
          <w:i/>
        </w:rPr>
        <w:t xml:space="preserve">Joint Arrangements </w:t>
      </w:r>
      <w:r>
        <w:t>defines a joint arrangement as an arrangement of which two or more parties have joint control and classifies these arrangements as either joint ventures or joint operations.</w:t>
      </w:r>
    </w:p>
    <w:p w14:paraId="03A2535D" w14:textId="77777777" w:rsidR="00FA4AA8" w:rsidRDefault="00FA4AA8">
      <w:pPr>
        <w:pStyle w:val="BodyText"/>
        <w:spacing w:before="11"/>
        <w:rPr>
          <w:sz w:val="24"/>
        </w:rPr>
      </w:pPr>
    </w:p>
    <w:p w14:paraId="0564C68E" w14:textId="77777777" w:rsidR="00FA4AA8" w:rsidRDefault="0015611F">
      <w:pPr>
        <w:pStyle w:val="BodyText"/>
        <w:ind w:left="1130"/>
      </w:pPr>
      <w:r>
        <w:t>Western Growth Developments (Westmead) Pty Ltd has determined that it has joint operations.</w:t>
      </w:r>
    </w:p>
    <w:p w14:paraId="0621F46B" w14:textId="77777777" w:rsidR="00FA4AA8" w:rsidRDefault="00FA4AA8">
      <w:pPr>
        <w:pStyle w:val="BodyText"/>
        <w:rPr>
          <w:sz w:val="25"/>
        </w:rPr>
      </w:pPr>
    </w:p>
    <w:p w14:paraId="5FAA58E4" w14:textId="77777777" w:rsidR="00FA4AA8" w:rsidRDefault="0015611F">
      <w:pPr>
        <w:ind w:left="1130"/>
        <w:rPr>
          <w:b/>
          <w:sz w:val="18"/>
        </w:rPr>
      </w:pPr>
      <w:r>
        <w:rPr>
          <w:b/>
          <w:sz w:val="18"/>
        </w:rPr>
        <w:t>Joint operations</w:t>
      </w:r>
    </w:p>
    <w:p w14:paraId="252104E0" w14:textId="77777777" w:rsidR="00FA4AA8" w:rsidRDefault="00FA4AA8">
      <w:pPr>
        <w:pStyle w:val="BodyText"/>
        <w:spacing w:before="11"/>
        <w:rPr>
          <w:b/>
          <w:sz w:val="24"/>
        </w:rPr>
      </w:pPr>
    </w:p>
    <w:p w14:paraId="7EC4BFAA" w14:textId="77777777" w:rsidR="00FA4AA8" w:rsidRDefault="0015611F">
      <w:pPr>
        <w:pStyle w:val="BodyText"/>
        <w:ind w:left="1130" w:right="290"/>
        <w:jc w:val="both"/>
      </w:pPr>
      <w:r>
        <w:t>The Company's share of assets, liabilities, revenue and expenses of a joint operation have been incorporated into the financial statements under the appropriate headings. Details of the joint operations are set out in note 6.</w:t>
      </w:r>
    </w:p>
    <w:p w14:paraId="5CF9E919" w14:textId="77777777" w:rsidR="00FA4AA8" w:rsidRDefault="00FA4AA8">
      <w:pPr>
        <w:jc w:val="both"/>
        <w:sectPr w:rsidR="00FA4AA8">
          <w:pgSz w:w="11910" w:h="16840"/>
          <w:pgMar w:top="1580" w:right="880" w:bottom="720" w:left="840" w:header="1015" w:footer="523" w:gutter="0"/>
          <w:cols w:space="720"/>
        </w:sectPr>
      </w:pPr>
    </w:p>
    <w:p w14:paraId="7A704629" w14:textId="77777777" w:rsidR="00FA4AA8" w:rsidRDefault="00FA4AA8">
      <w:pPr>
        <w:pStyle w:val="BodyText"/>
        <w:spacing w:before="6"/>
        <w:rPr>
          <w:sz w:val="21"/>
        </w:rPr>
      </w:pPr>
    </w:p>
    <w:p w14:paraId="40408A2E" w14:textId="77777777" w:rsidR="00FA4AA8" w:rsidRDefault="0015611F">
      <w:pPr>
        <w:pStyle w:val="Heading2"/>
      </w:pPr>
      <w:r>
        <w:t>Notes to the Financial Statements</w:t>
      </w:r>
    </w:p>
    <w:p w14:paraId="0701E726" w14:textId="77777777" w:rsidR="00FA4AA8" w:rsidRDefault="0015611F">
      <w:pPr>
        <w:pStyle w:val="Heading6"/>
        <w:ind w:left="167"/>
      </w:pPr>
      <w:r>
        <w:t>For the initial Period 5 April 2018 to 31 December 2018</w:t>
      </w:r>
    </w:p>
    <w:p w14:paraId="6F0D4783" w14:textId="77777777" w:rsidR="00FA4AA8" w:rsidRDefault="00FA4AA8">
      <w:pPr>
        <w:pStyle w:val="BodyText"/>
        <w:rPr>
          <w:b/>
          <w:sz w:val="24"/>
        </w:rPr>
      </w:pPr>
    </w:p>
    <w:p w14:paraId="6B7D5AF5" w14:textId="77777777" w:rsidR="00FA4AA8" w:rsidRDefault="00FA4AA8">
      <w:pPr>
        <w:pStyle w:val="BodyText"/>
        <w:rPr>
          <w:b/>
          <w:sz w:val="34"/>
        </w:rPr>
      </w:pPr>
    </w:p>
    <w:p w14:paraId="43175846" w14:textId="77777777" w:rsidR="00FA4AA8" w:rsidRDefault="0015611F">
      <w:pPr>
        <w:numPr>
          <w:ilvl w:val="0"/>
          <w:numId w:val="28"/>
        </w:numPr>
        <w:tabs>
          <w:tab w:val="left" w:pos="563"/>
          <w:tab w:val="left" w:pos="564"/>
        </w:tabs>
        <w:spacing w:before="1"/>
        <w:rPr>
          <w:b/>
          <w:sz w:val="18"/>
        </w:rPr>
      </w:pPr>
      <w:r>
        <w:rPr>
          <w:b/>
          <w:sz w:val="18"/>
        </w:rPr>
        <w:t>Summary of Significant Accounting</w:t>
      </w:r>
      <w:r>
        <w:rPr>
          <w:b/>
          <w:spacing w:val="-8"/>
          <w:sz w:val="18"/>
        </w:rPr>
        <w:t xml:space="preserve"> </w:t>
      </w:r>
      <w:r>
        <w:rPr>
          <w:b/>
          <w:sz w:val="18"/>
        </w:rPr>
        <w:t>Policies</w:t>
      </w:r>
    </w:p>
    <w:p w14:paraId="71A2453A" w14:textId="77777777" w:rsidR="00FA4AA8" w:rsidRDefault="00FA4AA8">
      <w:pPr>
        <w:pStyle w:val="BodyText"/>
        <w:spacing w:before="11"/>
        <w:rPr>
          <w:b/>
          <w:sz w:val="24"/>
        </w:rPr>
      </w:pPr>
    </w:p>
    <w:p w14:paraId="7946AD11" w14:textId="77777777" w:rsidR="00FA4AA8" w:rsidRDefault="0015611F">
      <w:pPr>
        <w:pStyle w:val="ListParagraph"/>
        <w:numPr>
          <w:ilvl w:val="0"/>
          <w:numId w:val="3"/>
        </w:numPr>
        <w:tabs>
          <w:tab w:val="left" w:pos="1130"/>
          <w:tab w:val="left" w:pos="1131"/>
        </w:tabs>
        <w:ind w:hanging="568"/>
        <w:rPr>
          <w:b/>
          <w:sz w:val="18"/>
        </w:rPr>
      </w:pPr>
      <w:r>
        <w:rPr>
          <w:b/>
          <w:sz w:val="18"/>
        </w:rPr>
        <w:t>Income tax</w:t>
      </w:r>
      <w:r>
        <w:rPr>
          <w:b/>
          <w:spacing w:val="1"/>
          <w:sz w:val="18"/>
        </w:rPr>
        <w:t xml:space="preserve"> </w:t>
      </w:r>
      <w:r>
        <w:rPr>
          <w:b/>
          <w:sz w:val="18"/>
        </w:rPr>
        <w:t>exemption</w:t>
      </w:r>
    </w:p>
    <w:p w14:paraId="276A4DB4" w14:textId="77777777" w:rsidR="00FA4AA8" w:rsidRDefault="00FA4AA8">
      <w:pPr>
        <w:pStyle w:val="BodyText"/>
        <w:rPr>
          <w:b/>
          <w:sz w:val="25"/>
        </w:rPr>
      </w:pPr>
    </w:p>
    <w:p w14:paraId="3433B4DA" w14:textId="77777777" w:rsidR="00FA4AA8" w:rsidRDefault="0015611F">
      <w:pPr>
        <w:ind w:left="1130"/>
        <w:rPr>
          <w:sz w:val="18"/>
        </w:rPr>
      </w:pPr>
      <w:r>
        <w:rPr>
          <w:sz w:val="18"/>
        </w:rPr>
        <w:t xml:space="preserve">The Company is exempt from the payment of tax by virtue of section 50-5 of the </w:t>
      </w:r>
      <w:r>
        <w:rPr>
          <w:i/>
          <w:sz w:val="18"/>
        </w:rPr>
        <w:t>Income Tax Assessment Act 1997</w:t>
      </w:r>
      <w:r>
        <w:rPr>
          <w:sz w:val="18"/>
        </w:rPr>
        <w:t>.</w:t>
      </w:r>
    </w:p>
    <w:p w14:paraId="3EADED75" w14:textId="77777777" w:rsidR="00FA4AA8" w:rsidRDefault="00FA4AA8">
      <w:pPr>
        <w:pStyle w:val="BodyText"/>
        <w:spacing w:before="11"/>
        <w:rPr>
          <w:sz w:val="24"/>
        </w:rPr>
      </w:pPr>
    </w:p>
    <w:p w14:paraId="317B6850" w14:textId="77777777" w:rsidR="00FA4AA8" w:rsidRDefault="0015611F">
      <w:pPr>
        <w:numPr>
          <w:ilvl w:val="0"/>
          <w:numId w:val="3"/>
        </w:numPr>
        <w:tabs>
          <w:tab w:val="left" w:pos="1130"/>
          <w:tab w:val="left" w:pos="1131"/>
        </w:tabs>
        <w:ind w:hanging="568"/>
        <w:rPr>
          <w:b/>
          <w:sz w:val="18"/>
        </w:rPr>
      </w:pPr>
      <w:r>
        <w:rPr>
          <w:b/>
          <w:sz w:val="18"/>
        </w:rPr>
        <w:t>Goods and services tax</w:t>
      </w:r>
      <w:r>
        <w:rPr>
          <w:b/>
          <w:spacing w:val="3"/>
          <w:sz w:val="18"/>
        </w:rPr>
        <w:t xml:space="preserve"> </w:t>
      </w:r>
      <w:r>
        <w:rPr>
          <w:b/>
          <w:sz w:val="18"/>
        </w:rPr>
        <w:t>(GST)</w:t>
      </w:r>
    </w:p>
    <w:p w14:paraId="665D917D" w14:textId="77777777" w:rsidR="00FA4AA8" w:rsidRDefault="00FA4AA8">
      <w:pPr>
        <w:pStyle w:val="BodyText"/>
        <w:rPr>
          <w:b/>
          <w:sz w:val="25"/>
        </w:rPr>
      </w:pPr>
    </w:p>
    <w:p w14:paraId="2EA34CBE" w14:textId="77777777" w:rsidR="00FA4AA8" w:rsidRDefault="0015611F">
      <w:pPr>
        <w:pStyle w:val="BodyText"/>
        <w:ind w:left="1130" w:right="220"/>
      </w:pPr>
      <w:r>
        <w:t>Revenue, expenses and assets are recognised net of the amount of GST, except where the amount of GST incurred is not recoverable from the Australian Taxation Office. In these circumstances the GST is recognised as part of the cost of acquisition of the asset or as part of an item of the expense. Receivables and payables in the financial statements are shown inclusive of GST.</w:t>
      </w:r>
    </w:p>
    <w:p w14:paraId="49C3D0D1" w14:textId="77777777" w:rsidR="00FA4AA8" w:rsidRDefault="00FA4AA8">
      <w:pPr>
        <w:pStyle w:val="BodyText"/>
        <w:spacing w:before="7"/>
        <w:rPr>
          <w:sz w:val="16"/>
        </w:rPr>
      </w:pPr>
    </w:p>
    <w:p w14:paraId="782EB9D0" w14:textId="77777777" w:rsidR="00FA4AA8" w:rsidRDefault="00FA4AA8">
      <w:pPr>
        <w:rPr>
          <w:sz w:val="16"/>
        </w:rPr>
        <w:sectPr w:rsidR="00FA4AA8">
          <w:pgSz w:w="11910" w:h="16840"/>
          <w:pgMar w:top="1580" w:right="880" w:bottom="720" w:left="840" w:header="1015" w:footer="523" w:gutter="0"/>
          <w:cols w:space="720"/>
        </w:sectPr>
      </w:pPr>
    </w:p>
    <w:p w14:paraId="339B633D" w14:textId="77777777" w:rsidR="00FA4AA8" w:rsidRDefault="0015611F">
      <w:pPr>
        <w:numPr>
          <w:ilvl w:val="0"/>
          <w:numId w:val="28"/>
        </w:numPr>
        <w:tabs>
          <w:tab w:val="left" w:pos="563"/>
          <w:tab w:val="left" w:pos="564"/>
        </w:tabs>
        <w:spacing w:before="94"/>
        <w:ind w:hanging="397"/>
        <w:rPr>
          <w:b/>
          <w:sz w:val="18"/>
        </w:rPr>
      </w:pPr>
      <w:r>
        <w:rPr>
          <w:b/>
          <w:sz w:val="18"/>
        </w:rPr>
        <w:t>Other</w:t>
      </w:r>
      <w:r>
        <w:rPr>
          <w:b/>
          <w:spacing w:val="-3"/>
          <w:sz w:val="18"/>
        </w:rPr>
        <w:t xml:space="preserve"> </w:t>
      </w:r>
      <w:r>
        <w:rPr>
          <w:b/>
          <w:sz w:val="18"/>
        </w:rPr>
        <w:t>receivables</w:t>
      </w:r>
    </w:p>
    <w:p w14:paraId="6B3AEC9B" w14:textId="77777777" w:rsidR="00FA4AA8" w:rsidRDefault="0015611F">
      <w:pPr>
        <w:pStyle w:val="BodyText"/>
        <w:spacing w:before="1"/>
        <w:rPr>
          <w:b/>
          <w:sz w:val="29"/>
        </w:rPr>
      </w:pPr>
      <w:r>
        <w:br w:type="column"/>
      </w:r>
    </w:p>
    <w:p w14:paraId="4E93E128" w14:textId="77777777" w:rsidR="00FA4AA8" w:rsidRDefault="0015611F">
      <w:pPr>
        <w:ind w:left="152" w:right="535"/>
        <w:jc w:val="center"/>
        <w:rPr>
          <w:b/>
          <w:sz w:val="18"/>
        </w:rPr>
      </w:pPr>
      <w:r>
        <w:rPr>
          <w:b/>
          <w:sz w:val="18"/>
        </w:rPr>
        <w:t>2018</w:t>
      </w:r>
    </w:p>
    <w:p w14:paraId="1A319646" w14:textId="77777777" w:rsidR="00FA4AA8" w:rsidRDefault="0015611F">
      <w:pPr>
        <w:spacing w:before="67"/>
        <w:ind w:right="383"/>
        <w:jc w:val="center"/>
        <w:rPr>
          <w:b/>
          <w:sz w:val="18"/>
        </w:rPr>
      </w:pPr>
      <w:r>
        <w:rPr>
          <w:b/>
          <w:sz w:val="18"/>
        </w:rPr>
        <w:t>$</w:t>
      </w:r>
    </w:p>
    <w:p w14:paraId="7B5EADA1" w14:textId="77777777" w:rsidR="00FA4AA8" w:rsidRDefault="00FA4AA8">
      <w:pPr>
        <w:jc w:val="center"/>
        <w:rPr>
          <w:sz w:val="18"/>
        </w:rPr>
        <w:sectPr w:rsidR="00FA4AA8">
          <w:type w:val="continuous"/>
          <w:pgSz w:w="11910" w:h="16840"/>
          <w:pgMar w:top="20" w:right="880" w:bottom="0" w:left="840" w:header="720" w:footer="720" w:gutter="0"/>
          <w:cols w:num="2" w:space="720" w:equalWidth="0">
            <w:col w:w="2119" w:space="6943"/>
            <w:col w:w="1128"/>
          </w:cols>
        </w:sectPr>
      </w:pPr>
    </w:p>
    <w:p w14:paraId="7A37EE26" w14:textId="77777777" w:rsidR="00FA4AA8" w:rsidRDefault="007E2441">
      <w:pPr>
        <w:tabs>
          <w:tab w:val="left" w:pos="9539"/>
        </w:tabs>
        <w:spacing w:before="61"/>
        <w:ind w:left="563"/>
        <w:rPr>
          <w:b/>
          <w:sz w:val="18"/>
        </w:rPr>
      </w:pPr>
      <w:r>
        <w:rPr>
          <w:noProof/>
          <w:lang w:val="en-AU" w:eastAsia="en-AU"/>
        </w:rPr>
        <mc:AlternateContent>
          <mc:Choice Requires="wpg">
            <w:drawing>
              <wp:anchor distT="0" distB="0" distL="0" distR="0" simplePos="0" relativeHeight="487680000" behindDoc="1" locked="0" layoutInCell="1" allowOverlap="1" wp14:anchorId="7FD3D2DF" wp14:editId="7C4DAA0C">
                <wp:simplePos x="0" y="0"/>
                <wp:positionH relativeFrom="page">
                  <wp:posOffset>6111240</wp:posOffset>
                </wp:positionH>
                <wp:positionV relativeFrom="paragraph">
                  <wp:posOffset>184785</wp:posOffset>
                </wp:positionV>
                <wp:extent cx="822960" cy="15875"/>
                <wp:effectExtent l="0" t="0" r="0" b="0"/>
                <wp:wrapTopAndBottom/>
                <wp:docPr id="417"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15875"/>
                          <a:chOff x="9624" y="291"/>
                          <a:chExt cx="1296" cy="25"/>
                        </a:xfrm>
                      </wpg:grpSpPr>
                      <wps:wsp>
                        <wps:cNvPr id="418" name="Line 191"/>
                        <wps:cNvCnPr>
                          <a:cxnSpLocks noChangeShapeType="1"/>
                        </wps:cNvCnPr>
                        <wps:spPr bwMode="auto">
                          <a:xfrm>
                            <a:off x="9624" y="295"/>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19" name="Line 190"/>
                        <wps:cNvCnPr>
                          <a:cxnSpLocks noChangeShapeType="1"/>
                        </wps:cNvCnPr>
                        <wps:spPr bwMode="auto">
                          <a:xfrm>
                            <a:off x="9624" y="297"/>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20" name="Line 189"/>
                        <wps:cNvCnPr>
                          <a:cxnSpLocks noChangeShapeType="1"/>
                        </wps:cNvCnPr>
                        <wps:spPr bwMode="auto">
                          <a:xfrm>
                            <a:off x="9624" y="299"/>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21" name="Line 188"/>
                        <wps:cNvCnPr>
                          <a:cxnSpLocks noChangeShapeType="1"/>
                        </wps:cNvCnPr>
                        <wps:spPr bwMode="auto">
                          <a:xfrm>
                            <a:off x="9624" y="302"/>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22" name="Line 187"/>
                        <wps:cNvCnPr>
                          <a:cxnSpLocks noChangeShapeType="1"/>
                        </wps:cNvCnPr>
                        <wps:spPr bwMode="auto">
                          <a:xfrm>
                            <a:off x="9624" y="304"/>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23" name="Line 186"/>
                        <wps:cNvCnPr>
                          <a:cxnSpLocks noChangeShapeType="1"/>
                        </wps:cNvCnPr>
                        <wps:spPr bwMode="auto">
                          <a:xfrm>
                            <a:off x="9624" y="307"/>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24" name="Line 185"/>
                        <wps:cNvCnPr>
                          <a:cxnSpLocks noChangeShapeType="1"/>
                        </wps:cNvCnPr>
                        <wps:spPr bwMode="auto">
                          <a:xfrm>
                            <a:off x="9624" y="309"/>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25" name="Line 184"/>
                        <wps:cNvCnPr>
                          <a:cxnSpLocks noChangeShapeType="1"/>
                        </wps:cNvCnPr>
                        <wps:spPr bwMode="auto">
                          <a:xfrm>
                            <a:off x="9624" y="311"/>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CBBE55" id="Group 183" o:spid="_x0000_s1026" style="position:absolute;margin-left:481.2pt;margin-top:14.55pt;width:64.8pt;height:1.25pt;z-index:-15636480;mso-wrap-distance-left:0;mso-wrap-distance-right:0;mso-position-horizontal-relative:page" coordorigin="9624,291" coordsize="129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">
                <v:line id="Line 191" o:spid="_x0000_s1027" style="position:absolute;visibility:visible;mso-wrap-style:square" from="9624,295" to="10920,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" strokeweight=".1323mm"/>
                <v:line id="Line 190" o:spid="_x0000_s1028" style="position:absolute;visibility:visible;mso-wrap-style:square" from="9624,297" to="10920,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" strokeweight=".1323mm"/>
                <v:line id="Line 189" o:spid="_x0000_s1029" style="position:absolute;visibility:visible;mso-wrap-style:square" from="9624,299" to="10920,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" strokeweight=".1323mm"/>
                <v:line id="Line 188" o:spid="_x0000_s1030" style="position:absolute;visibility:visible;mso-wrap-style:square" from="9624,302" to="10920,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" strokeweight=".1323mm"/>
                <v:line id="Line 187" o:spid="_x0000_s1031" style="position:absolute;visibility:visible;mso-wrap-style:square" from="9624,304" to="10920,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" strokeweight=".1323mm"/>
                <v:line id="Line 186" o:spid="_x0000_s1032" style="position:absolute;visibility:visible;mso-wrap-style:square" from="9624,307" to="1092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" strokeweight=".1323mm"/>
                <v:line id="Line 185" o:spid="_x0000_s1033" style="position:absolute;visibility:visible;mso-wrap-style:square" from="9624,309" to="10920,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" strokeweight=".1323mm"/>
                <v:line id="Line 184" o:spid="_x0000_s1034" style="position:absolute;visibility:visible;mso-wrap-style:square" from="9624,311" to="10920,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" strokeweight=".1323mm"/>
                <w10:wrap type="topAndBottom" anchorx="page"/>
              </v:group>
            </w:pict>
          </mc:Fallback>
        </mc:AlternateContent>
      </w:r>
      <w:r w:rsidR="0015611F">
        <w:rPr>
          <w:sz w:val="18"/>
        </w:rPr>
        <w:t>GST</w:t>
      </w:r>
      <w:r w:rsidR="0015611F">
        <w:rPr>
          <w:spacing w:val="-3"/>
          <w:sz w:val="18"/>
        </w:rPr>
        <w:t xml:space="preserve"> </w:t>
      </w:r>
      <w:r w:rsidR="0015611F">
        <w:rPr>
          <w:sz w:val="18"/>
        </w:rPr>
        <w:t>receivable</w:t>
      </w:r>
      <w:r w:rsidR="0015611F">
        <w:rPr>
          <w:sz w:val="18"/>
        </w:rPr>
        <w:tab/>
      </w:r>
      <w:r w:rsidR="0015611F">
        <w:rPr>
          <w:b/>
          <w:sz w:val="18"/>
        </w:rPr>
        <w:t>3,925</w:t>
      </w:r>
    </w:p>
    <w:p w14:paraId="4EB820F7" w14:textId="77777777" w:rsidR="00FA4AA8" w:rsidRDefault="0015611F">
      <w:pPr>
        <w:tabs>
          <w:tab w:val="left" w:pos="8783"/>
          <w:tab w:val="left" w:pos="9539"/>
        </w:tabs>
        <w:spacing w:before="83"/>
        <w:ind w:left="563"/>
        <w:rPr>
          <w:b/>
          <w:sz w:val="18"/>
        </w:rPr>
      </w:pPr>
      <w:r>
        <w:rPr>
          <w:b/>
          <w:sz w:val="18"/>
        </w:rPr>
        <w:t>Total</w:t>
      </w:r>
      <w:r>
        <w:rPr>
          <w:b/>
          <w:spacing w:val="-1"/>
          <w:sz w:val="18"/>
        </w:rPr>
        <w:t xml:space="preserve"> </w:t>
      </w:r>
      <w:r>
        <w:rPr>
          <w:b/>
          <w:sz w:val="18"/>
        </w:rPr>
        <w:t>other</w:t>
      </w:r>
      <w:r>
        <w:rPr>
          <w:b/>
          <w:spacing w:val="-2"/>
          <w:sz w:val="18"/>
        </w:rPr>
        <w:t xml:space="preserve"> </w:t>
      </w:r>
      <w:r>
        <w:rPr>
          <w:b/>
          <w:sz w:val="18"/>
        </w:rPr>
        <w:t>receivables</w:t>
      </w:r>
      <w:r>
        <w:rPr>
          <w:b/>
          <w:sz w:val="18"/>
        </w:rPr>
        <w:tab/>
      </w:r>
      <w:r>
        <w:rPr>
          <w:b/>
          <w:sz w:val="18"/>
          <w:u w:val="double"/>
        </w:rPr>
        <w:t xml:space="preserve"> </w:t>
      </w:r>
      <w:r>
        <w:rPr>
          <w:b/>
          <w:sz w:val="18"/>
          <w:u w:val="double"/>
        </w:rPr>
        <w:tab/>
      </w:r>
      <w:r>
        <w:rPr>
          <w:b/>
          <w:sz w:val="18"/>
          <w:u w:val="single"/>
        </w:rPr>
        <w:t>3</w:t>
      </w:r>
      <w:r>
        <w:rPr>
          <w:b/>
          <w:sz w:val="18"/>
        </w:rPr>
        <w:t>,9</w:t>
      </w:r>
      <w:r>
        <w:rPr>
          <w:b/>
          <w:sz w:val="18"/>
          <w:u w:val="single"/>
        </w:rPr>
        <w:t>2</w:t>
      </w:r>
      <w:r>
        <w:rPr>
          <w:b/>
          <w:sz w:val="18"/>
        </w:rPr>
        <w:t>5</w:t>
      </w:r>
      <w:r>
        <w:rPr>
          <w:b/>
          <w:spacing w:val="-14"/>
          <w:sz w:val="18"/>
        </w:rPr>
        <w:t xml:space="preserve"> </w:t>
      </w:r>
    </w:p>
    <w:p w14:paraId="08D572A2" w14:textId="77777777" w:rsidR="00FA4AA8" w:rsidRDefault="00FA4AA8">
      <w:pPr>
        <w:pStyle w:val="BodyText"/>
        <w:rPr>
          <w:b/>
          <w:sz w:val="21"/>
        </w:rPr>
      </w:pPr>
    </w:p>
    <w:p w14:paraId="7F9B6E97" w14:textId="77777777" w:rsidR="00FA4AA8" w:rsidRDefault="0015611F">
      <w:pPr>
        <w:spacing w:before="94"/>
        <w:ind w:left="564"/>
        <w:rPr>
          <w:i/>
          <w:sz w:val="18"/>
        </w:rPr>
      </w:pPr>
      <w:r>
        <w:rPr>
          <w:rFonts w:ascii="Times New Roman"/>
          <w:sz w:val="18"/>
          <w:u w:val="single"/>
        </w:rPr>
        <w:t xml:space="preserve"> </w:t>
      </w:r>
      <w:r>
        <w:rPr>
          <w:i/>
          <w:sz w:val="18"/>
          <w:u w:val="single"/>
        </w:rPr>
        <w:t>Accounting Policy</w:t>
      </w:r>
    </w:p>
    <w:p w14:paraId="08EE8A79" w14:textId="77777777" w:rsidR="00FA4AA8" w:rsidRDefault="00FA4AA8">
      <w:pPr>
        <w:pStyle w:val="BodyText"/>
        <w:spacing w:before="10"/>
        <w:rPr>
          <w:i/>
          <w:sz w:val="16"/>
        </w:rPr>
      </w:pPr>
    </w:p>
    <w:p w14:paraId="424301EC" w14:textId="77777777" w:rsidR="00FA4AA8" w:rsidRDefault="0015611F">
      <w:pPr>
        <w:pStyle w:val="BodyText"/>
        <w:spacing w:before="94"/>
        <w:ind w:left="564" w:right="220"/>
      </w:pPr>
      <w:r>
        <w:t xml:space="preserve">Loans and receivables are non-derivative financial assets with fixed or determinable payments that are not quoted in an active market and are </w:t>
      </w:r>
      <w:r w:rsidR="00444D3A">
        <w:t>subsequently</w:t>
      </w:r>
      <w:r>
        <w:t xml:space="preserve"> measured at amortised cost.</w:t>
      </w:r>
    </w:p>
    <w:p w14:paraId="1FAD9CE5" w14:textId="77777777" w:rsidR="00FA4AA8" w:rsidRDefault="00FA4AA8">
      <w:pPr>
        <w:pStyle w:val="BodyText"/>
        <w:spacing w:before="11"/>
        <w:rPr>
          <w:sz w:val="24"/>
        </w:rPr>
      </w:pPr>
    </w:p>
    <w:p w14:paraId="6268AEB8" w14:textId="77777777" w:rsidR="00FA4AA8" w:rsidRDefault="0015611F">
      <w:pPr>
        <w:pStyle w:val="BodyText"/>
        <w:ind w:left="564" w:right="220"/>
      </w:pPr>
      <w:r>
        <w:t>Loans and receivables are classified as current assets, except for those which are not expected to be realised within 12 months after the end of the reporting period, which are classified as non-current assets.</w:t>
      </w:r>
    </w:p>
    <w:p w14:paraId="6503A527" w14:textId="77777777" w:rsidR="00FA4AA8" w:rsidRDefault="00FA4AA8">
      <w:pPr>
        <w:sectPr w:rsidR="00FA4AA8">
          <w:type w:val="continuous"/>
          <w:pgSz w:w="11910" w:h="16840"/>
          <w:pgMar w:top="20" w:right="880" w:bottom="0" w:left="840" w:header="720" w:footer="720" w:gutter="0"/>
          <w:cols w:space="720"/>
        </w:sectPr>
      </w:pPr>
    </w:p>
    <w:p w14:paraId="57E3C0FA" w14:textId="77777777" w:rsidR="00FA4AA8" w:rsidRDefault="00FA4AA8">
      <w:pPr>
        <w:pStyle w:val="BodyText"/>
        <w:spacing w:before="6"/>
        <w:rPr>
          <w:sz w:val="21"/>
        </w:rPr>
      </w:pPr>
    </w:p>
    <w:p w14:paraId="576F21AB" w14:textId="77777777" w:rsidR="00FA4AA8" w:rsidRDefault="0015611F">
      <w:pPr>
        <w:pStyle w:val="Heading2"/>
      </w:pPr>
      <w:r>
        <w:t>Notes to the Financial Statements</w:t>
      </w:r>
    </w:p>
    <w:p w14:paraId="5D6B77B5" w14:textId="77777777" w:rsidR="00FA4AA8" w:rsidRDefault="0015611F">
      <w:pPr>
        <w:pStyle w:val="Heading6"/>
        <w:ind w:left="167"/>
      </w:pPr>
      <w:r>
        <w:t>For the initial Period 5 April 2018 to 31 December 2018</w:t>
      </w:r>
    </w:p>
    <w:p w14:paraId="7EDC4BBE" w14:textId="77777777" w:rsidR="00FA4AA8" w:rsidRDefault="00FA4AA8">
      <w:pPr>
        <w:pStyle w:val="BodyText"/>
        <w:rPr>
          <w:b/>
          <w:sz w:val="24"/>
        </w:rPr>
      </w:pPr>
    </w:p>
    <w:p w14:paraId="6452B4ED" w14:textId="77777777" w:rsidR="00FA4AA8" w:rsidRDefault="00FA4AA8">
      <w:pPr>
        <w:pStyle w:val="BodyText"/>
        <w:rPr>
          <w:b/>
          <w:sz w:val="34"/>
        </w:rPr>
      </w:pPr>
    </w:p>
    <w:p w14:paraId="53F3E082" w14:textId="77777777" w:rsidR="00FA4AA8" w:rsidRDefault="0015611F">
      <w:pPr>
        <w:numPr>
          <w:ilvl w:val="0"/>
          <w:numId w:val="28"/>
        </w:numPr>
        <w:tabs>
          <w:tab w:val="left" w:pos="563"/>
          <w:tab w:val="left" w:pos="564"/>
        </w:tabs>
        <w:spacing w:before="1"/>
        <w:ind w:hanging="397"/>
        <w:rPr>
          <w:b/>
          <w:sz w:val="18"/>
        </w:rPr>
      </w:pPr>
      <w:r>
        <w:rPr>
          <w:b/>
          <w:sz w:val="18"/>
        </w:rPr>
        <w:t>Property, plant and</w:t>
      </w:r>
      <w:r>
        <w:rPr>
          <w:b/>
          <w:spacing w:val="1"/>
          <w:sz w:val="18"/>
        </w:rPr>
        <w:t xml:space="preserve"> </w:t>
      </w:r>
      <w:r>
        <w:rPr>
          <w:b/>
          <w:sz w:val="18"/>
        </w:rPr>
        <w:t>equipment</w:t>
      </w:r>
    </w:p>
    <w:p w14:paraId="4DF8B118" w14:textId="77777777" w:rsidR="00FA4AA8" w:rsidRDefault="00FA4AA8">
      <w:pPr>
        <w:pStyle w:val="BodyText"/>
        <w:spacing w:before="7"/>
        <w:rPr>
          <w:b/>
          <w:sz w:val="26"/>
        </w:rPr>
      </w:pPr>
    </w:p>
    <w:p w14:paraId="58AEC5B3" w14:textId="77777777" w:rsidR="00FA4AA8" w:rsidRDefault="0015611F">
      <w:pPr>
        <w:pStyle w:val="ListParagraph"/>
        <w:numPr>
          <w:ilvl w:val="1"/>
          <w:numId w:val="28"/>
        </w:numPr>
        <w:tabs>
          <w:tab w:val="left" w:pos="1130"/>
          <w:tab w:val="left" w:pos="1131"/>
        </w:tabs>
        <w:ind w:hanging="568"/>
        <w:rPr>
          <w:b/>
          <w:sz w:val="18"/>
        </w:rPr>
      </w:pPr>
      <w:r>
        <w:rPr>
          <w:b/>
          <w:sz w:val="18"/>
        </w:rPr>
        <w:t>Movements in Carrying</w:t>
      </w:r>
      <w:r>
        <w:rPr>
          <w:b/>
          <w:spacing w:val="-1"/>
          <w:sz w:val="18"/>
        </w:rPr>
        <w:t xml:space="preserve"> </w:t>
      </w:r>
      <w:r>
        <w:rPr>
          <w:b/>
          <w:sz w:val="18"/>
        </w:rPr>
        <w:t>Amounts</w:t>
      </w:r>
    </w:p>
    <w:p w14:paraId="43E35804" w14:textId="77777777" w:rsidR="00FA4AA8" w:rsidRDefault="00FA4AA8">
      <w:pPr>
        <w:pStyle w:val="BodyText"/>
        <w:spacing w:before="5"/>
        <w:rPr>
          <w:b/>
          <w:sz w:val="25"/>
        </w:rPr>
      </w:pPr>
    </w:p>
    <w:p w14:paraId="03B47231" w14:textId="77777777" w:rsidR="00FA4AA8" w:rsidRDefault="0015611F">
      <w:pPr>
        <w:pStyle w:val="BodyText"/>
        <w:ind w:left="1130" w:right="132"/>
      </w:pPr>
      <w:r>
        <w:t>Movement in the carrying amounts for each class of property, plant and equipment between the beginning and the end of the current financial period:</w:t>
      </w:r>
    </w:p>
    <w:p w14:paraId="3C8D6205" w14:textId="77777777" w:rsidR="00FA4AA8" w:rsidRDefault="0015611F">
      <w:pPr>
        <w:spacing w:before="32" w:after="6"/>
        <w:ind w:right="1463"/>
        <w:jc w:val="right"/>
        <w:rPr>
          <w:b/>
          <w:sz w:val="18"/>
        </w:rPr>
      </w:pPr>
      <w:r>
        <w:rPr>
          <w:b/>
          <w:sz w:val="18"/>
        </w:rPr>
        <w:t>Construction</w:t>
      </w:r>
    </w:p>
    <w:tbl>
      <w:tblPr>
        <w:tblW w:w="0" w:type="auto"/>
        <w:tblInd w:w="1131" w:type="dxa"/>
        <w:tblLayout w:type="fixed"/>
        <w:tblCellMar>
          <w:left w:w="0" w:type="dxa"/>
          <w:right w:w="0" w:type="dxa"/>
        </w:tblCellMar>
        <w:tblLook w:val="01E0" w:firstRow="1" w:lastRow="1" w:firstColumn="1" w:lastColumn="1" w:noHBand="0" w:noVBand="0"/>
      </w:tblPr>
      <w:tblGrid>
        <w:gridCol w:w="6367"/>
        <w:gridCol w:w="1478"/>
        <w:gridCol w:w="1115"/>
      </w:tblGrid>
      <w:tr w:rsidR="00FA4AA8" w14:paraId="46E868E8" w14:textId="77777777">
        <w:trPr>
          <w:trHeight w:val="237"/>
        </w:trPr>
        <w:tc>
          <w:tcPr>
            <w:tcW w:w="6367" w:type="dxa"/>
            <w:vMerge w:val="restart"/>
          </w:tcPr>
          <w:p w14:paraId="16F637B4" w14:textId="77777777" w:rsidR="00FA4AA8" w:rsidRDefault="00FA4AA8">
            <w:pPr>
              <w:pStyle w:val="TableParagraph"/>
              <w:rPr>
                <w:rFonts w:ascii="Times New Roman"/>
                <w:sz w:val="18"/>
              </w:rPr>
            </w:pPr>
          </w:p>
        </w:tc>
        <w:tc>
          <w:tcPr>
            <w:tcW w:w="1478" w:type="dxa"/>
          </w:tcPr>
          <w:p w14:paraId="7EC3BEB7" w14:textId="77777777" w:rsidR="00FA4AA8" w:rsidRDefault="0015611F">
            <w:pPr>
              <w:pStyle w:val="TableParagraph"/>
              <w:spacing w:line="201" w:lineRule="exact"/>
              <w:ind w:right="310"/>
              <w:jc w:val="right"/>
              <w:rPr>
                <w:b/>
                <w:sz w:val="18"/>
              </w:rPr>
            </w:pPr>
            <w:r>
              <w:rPr>
                <w:b/>
                <w:sz w:val="18"/>
              </w:rPr>
              <w:t>in Progress</w:t>
            </w:r>
          </w:p>
        </w:tc>
        <w:tc>
          <w:tcPr>
            <w:tcW w:w="1115" w:type="dxa"/>
          </w:tcPr>
          <w:p w14:paraId="367879E0" w14:textId="77777777" w:rsidR="00FA4AA8" w:rsidRDefault="0015611F">
            <w:pPr>
              <w:pStyle w:val="TableParagraph"/>
              <w:spacing w:line="201" w:lineRule="exact"/>
              <w:ind w:left="271"/>
              <w:rPr>
                <w:b/>
                <w:sz w:val="18"/>
              </w:rPr>
            </w:pPr>
            <w:r>
              <w:rPr>
                <w:b/>
                <w:sz w:val="18"/>
              </w:rPr>
              <w:t>Total</w:t>
            </w:r>
          </w:p>
        </w:tc>
      </w:tr>
      <w:tr w:rsidR="00FA4AA8" w14:paraId="4E029367" w14:textId="77777777">
        <w:trPr>
          <w:trHeight w:val="313"/>
        </w:trPr>
        <w:tc>
          <w:tcPr>
            <w:tcW w:w="6367" w:type="dxa"/>
            <w:vMerge/>
            <w:tcBorders>
              <w:top w:val="nil"/>
            </w:tcBorders>
          </w:tcPr>
          <w:p w14:paraId="5D0D60A6" w14:textId="77777777" w:rsidR="00FA4AA8" w:rsidRDefault="00FA4AA8">
            <w:pPr>
              <w:rPr>
                <w:sz w:val="2"/>
                <w:szCs w:val="2"/>
              </w:rPr>
            </w:pPr>
          </w:p>
        </w:tc>
        <w:tc>
          <w:tcPr>
            <w:tcW w:w="1478" w:type="dxa"/>
          </w:tcPr>
          <w:p w14:paraId="6541AE5F" w14:textId="77777777" w:rsidR="00FA4AA8" w:rsidRDefault="0015611F">
            <w:pPr>
              <w:pStyle w:val="TableParagraph"/>
              <w:spacing w:before="30"/>
              <w:ind w:right="137"/>
              <w:jc w:val="center"/>
              <w:rPr>
                <w:b/>
                <w:sz w:val="18"/>
              </w:rPr>
            </w:pPr>
            <w:r>
              <w:rPr>
                <w:b/>
                <w:sz w:val="18"/>
              </w:rPr>
              <w:t>$</w:t>
            </w:r>
          </w:p>
        </w:tc>
        <w:tc>
          <w:tcPr>
            <w:tcW w:w="1115" w:type="dxa"/>
          </w:tcPr>
          <w:p w14:paraId="23CB6C33" w14:textId="77777777" w:rsidR="00FA4AA8" w:rsidRDefault="0015611F">
            <w:pPr>
              <w:pStyle w:val="TableParagraph"/>
              <w:spacing w:before="30"/>
              <w:ind w:right="138"/>
              <w:jc w:val="center"/>
              <w:rPr>
                <w:b/>
                <w:sz w:val="18"/>
              </w:rPr>
            </w:pPr>
            <w:r>
              <w:rPr>
                <w:b/>
                <w:sz w:val="18"/>
              </w:rPr>
              <w:t>$</w:t>
            </w:r>
          </w:p>
        </w:tc>
      </w:tr>
      <w:tr w:rsidR="00FA4AA8" w14:paraId="5CD5391A" w14:textId="77777777">
        <w:trPr>
          <w:trHeight w:val="544"/>
        </w:trPr>
        <w:tc>
          <w:tcPr>
            <w:tcW w:w="6367" w:type="dxa"/>
          </w:tcPr>
          <w:p w14:paraId="53DDBD12" w14:textId="77777777" w:rsidR="00FA4AA8" w:rsidRDefault="0015611F">
            <w:pPr>
              <w:pStyle w:val="TableParagraph"/>
              <w:spacing w:before="70"/>
              <w:ind w:left="50"/>
              <w:rPr>
                <w:b/>
                <w:sz w:val="18"/>
              </w:rPr>
            </w:pPr>
            <w:r>
              <w:rPr>
                <w:b/>
                <w:sz w:val="18"/>
              </w:rPr>
              <w:t>Period ended 31 December</w:t>
            </w:r>
            <w:r>
              <w:rPr>
                <w:b/>
                <w:spacing w:val="-6"/>
                <w:sz w:val="18"/>
              </w:rPr>
              <w:t xml:space="preserve"> </w:t>
            </w:r>
            <w:r>
              <w:rPr>
                <w:b/>
                <w:sz w:val="18"/>
              </w:rPr>
              <w:t>2018</w:t>
            </w:r>
          </w:p>
          <w:p w14:paraId="7CAB2F88" w14:textId="77777777" w:rsidR="00FA4AA8" w:rsidRDefault="0015611F">
            <w:pPr>
              <w:pStyle w:val="TableParagraph"/>
              <w:spacing w:before="30"/>
              <w:ind w:left="50"/>
              <w:rPr>
                <w:sz w:val="18"/>
              </w:rPr>
            </w:pPr>
            <w:r>
              <w:rPr>
                <w:sz w:val="18"/>
              </w:rPr>
              <w:t>Balance at the beginning of</w:t>
            </w:r>
            <w:r>
              <w:rPr>
                <w:spacing w:val="-1"/>
                <w:sz w:val="18"/>
              </w:rPr>
              <w:t xml:space="preserve"> </w:t>
            </w:r>
            <w:r>
              <w:rPr>
                <w:sz w:val="18"/>
              </w:rPr>
              <w:t>period</w:t>
            </w:r>
          </w:p>
        </w:tc>
        <w:tc>
          <w:tcPr>
            <w:tcW w:w="1478" w:type="dxa"/>
          </w:tcPr>
          <w:p w14:paraId="4E4B65FF" w14:textId="77777777" w:rsidR="00FA4AA8" w:rsidRDefault="00FA4AA8">
            <w:pPr>
              <w:pStyle w:val="TableParagraph"/>
              <w:spacing w:before="6"/>
              <w:rPr>
                <w:b/>
                <w:sz w:val="26"/>
              </w:rPr>
            </w:pPr>
          </w:p>
          <w:p w14:paraId="3D94CF90" w14:textId="77777777" w:rsidR="00FA4AA8" w:rsidRDefault="0015611F">
            <w:pPr>
              <w:pStyle w:val="TableParagraph"/>
              <w:ind w:right="139"/>
              <w:jc w:val="center"/>
              <w:rPr>
                <w:b/>
                <w:sz w:val="18"/>
              </w:rPr>
            </w:pPr>
            <w:r>
              <w:rPr>
                <w:b/>
                <w:sz w:val="18"/>
              </w:rPr>
              <w:t>-</w:t>
            </w:r>
          </w:p>
        </w:tc>
        <w:tc>
          <w:tcPr>
            <w:tcW w:w="1115" w:type="dxa"/>
          </w:tcPr>
          <w:p w14:paraId="10EB9EAF" w14:textId="77777777" w:rsidR="00FA4AA8" w:rsidRDefault="00FA4AA8">
            <w:pPr>
              <w:pStyle w:val="TableParagraph"/>
              <w:spacing w:before="6"/>
              <w:rPr>
                <w:b/>
                <w:sz w:val="26"/>
              </w:rPr>
            </w:pPr>
          </w:p>
          <w:p w14:paraId="3A334B1C" w14:textId="77777777" w:rsidR="00FA4AA8" w:rsidRDefault="0015611F">
            <w:pPr>
              <w:pStyle w:val="TableParagraph"/>
              <w:ind w:right="140"/>
              <w:jc w:val="center"/>
              <w:rPr>
                <w:b/>
                <w:sz w:val="18"/>
              </w:rPr>
            </w:pPr>
            <w:r>
              <w:rPr>
                <w:b/>
                <w:sz w:val="18"/>
              </w:rPr>
              <w:t>-</w:t>
            </w:r>
          </w:p>
        </w:tc>
      </w:tr>
      <w:tr w:rsidR="00FA4AA8" w14:paraId="35616FB3" w14:textId="77777777">
        <w:trPr>
          <w:trHeight w:val="251"/>
        </w:trPr>
        <w:tc>
          <w:tcPr>
            <w:tcW w:w="6367" w:type="dxa"/>
          </w:tcPr>
          <w:p w14:paraId="7AFC82AB" w14:textId="77777777" w:rsidR="00FA4AA8" w:rsidRDefault="0015611F">
            <w:pPr>
              <w:pStyle w:val="TableParagraph"/>
              <w:spacing w:before="26" w:line="205" w:lineRule="exact"/>
              <w:ind w:left="50"/>
              <w:rPr>
                <w:sz w:val="18"/>
              </w:rPr>
            </w:pPr>
            <w:r>
              <w:rPr>
                <w:sz w:val="18"/>
              </w:rPr>
              <w:t>Additions</w:t>
            </w:r>
          </w:p>
        </w:tc>
        <w:tc>
          <w:tcPr>
            <w:tcW w:w="1478" w:type="dxa"/>
            <w:tcBorders>
              <w:bottom w:val="single" w:sz="12" w:space="0" w:color="000000"/>
            </w:tcBorders>
          </w:tcPr>
          <w:p w14:paraId="442DCD5C" w14:textId="77777777" w:rsidR="00FA4AA8" w:rsidRDefault="0015611F">
            <w:pPr>
              <w:pStyle w:val="TableParagraph"/>
              <w:spacing w:before="24"/>
              <w:ind w:right="270"/>
              <w:jc w:val="right"/>
              <w:rPr>
                <w:b/>
                <w:sz w:val="18"/>
              </w:rPr>
            </w:pPr>
            <w:r>
              <w:rPr>
                <w:b/>
                <w:sz w:val="18"/>
              </w:rPr>
              <w:t>39,250</w:t>
            </w:r>
          </w:p>
        </w:tc>
        <w:tc>
          <w:tcPr>
            <w:tcW w:w="1115" w:type="dxa"/>
            <w:tcBorders>
              <w:bottom w:val="single" w:sz="12" w:space="0" w:color="000000"/>
            </w:tcBorders>
          </w:tcPr>
          <w:p w14:paraId="2C2C2A59" w14:textId="77777777" w:rsidR="00FA4AA8" w:rsidRDefault="0015611F">
            <w:pPr>
              <w:pStyle w:val="TableParagraph"/>
              <w:spacing w:before="24"/>
              <w:ind w:right="88"/>
              <w:jc w:val="right"/>
              <w:rPr>
                <w:b/>
                <w:sz w:val="18"/>
              </w:rPr>
            </w:pPr>
            <w:r>
              <w:rPr>
                <w:b/>
                <w:sz w:val="18"/>
              </w:rPr>
              <w:t>39,250</w:t>
            </w:r>
          </w:p>
        </w:tc>
      </w:tr>
      <w:tr w:rsidR="00FA4AA8" w14:paraId="0A967572" w14:textId="77777777">
        <w:trPr>
          <w:trHeight w:val="307"/>
        </w:trPr>
        <w:tc>
          <w:tcPr>
            <w:tcW w:w="6367" w:type="dxa"/>
          </w:tcPr>
          <w:p w14:paraId="7606F7EC" w14:textId="77777777" w:rsidR="00FA4AA8" w:rsidRDefault="0015611F">
            <w:pPr>
              <w:pStyle w:val="TableParagraph"/>
              <w:spacing w:before="110" w:line="178" w:lineRule="exact"/>
              <w:ind w:left="50"/>
              <w:rPr>
                <w:b/>
                <w:sz w:val="18"/>
              </w:rPr>
            </w:pPr>
            <w:r>
              <w:rPr>
                <w:b/>
                <w:sz w:val="18"/>
              </w:rPr>
              <w:t>Balance at the end of the period</w:t>
            </w:r>
          </w:p>
        </w:tc>
        <w:tc>
          <w:tcPr>
            <w:tcW w:w="1478" w:type="dxa"/>
            <w:tcBorders>
              <w:top w:val="single" w:sz="12" w:space="0" w:color="000000"/>
              <w:bottom w:val="double" w:sz="3" w:space="0" w:color="000000"/>
            </w:tcBorders>
          </w:tcPr>
          <w:p w14:paraId="04620708" w14:textId="77777777" w:rsidR="00FA4AA8" w:rsidRDefault="0015611F">
            <w:pPr>
              <w:pStyle w:val="TableParagraph"/>
              <w:spacing w:before="110" w:line="178" w:lineRule="exact"/>
              <w:ind w:right="270"/>
              <w:jc w:val="right"/>
              <w:rPr>
                <w:b/>
                <w:sz w:val="18"/>
              </w:rPr>
            </w:pPr>
            <w:r>
              <w:rPr>
                <w:b/>
                <w:sz w:val="18"/>
              </w:rPr>
              <w:t>39,250</w:t>
            </w:r>
          </w:p>
        </w:tc>
        <w:tc>
          <w:tcPr>
            <w:tcW w:w="1115" w:type="dxa"/>
            <w:tcBorders>
              <w:top w:val="single" w:sz="12" w:space="0" w:color="000000"/>
              <w:bottom w:val="double" w:sz="3" w:space="0" w:color="000000"/>
            </w:tcBorders>
          </w:tcPr>
          <w:p w14:paraId="3FB47FC5" w14:textId="77777777" w:rsidR="00FA4AA8" w:rsidRDefault="0015611F">
            <w:pPr>
              <w:pStyle w:val="TableParagraph"/>
              <w:spacing w:before="110" w:line="178" w:lineRule="exact"/>
              <w:ind w:right="89"/>
              <w:jc w:val="right"/>
              <w:rPr>
                <w:b/>
                <w:sz w:val="18"/>
              </w:rPr>
            </w:pPr>
            <w:r>
              <w:rPr>
                <w:b/>
                <w:sz w:val="18"/>
              </w:rPr>
              <w:t>39,250</w:t>
            </w:r>
          </w:p>
        </w:tc>
      </w:tr>
    </w:tbl>
    <w:p w14:paraId="492457D4" w14:textId="77777777" w:rsidR="00FA4AA8" w:rsidRDefault="00FA4AA8">
      <w:pPr>
        <w:pStyle w:val="BodyText"/>
        <w:spacing w:before="7"/>
        <w:rPr>
          <w:b/>
          <w:sz w:val="25"/>
        </w:rPr>
      </w:pPr>
    </w:p>
    <w:p w14:paraId="124A2973" w14:textId="77777777" w:rsidR="00FA4AA8" w:rsidRDefault="0015611F">
      <w:pPr>
        <w:ind w:left="564"/>
        <w:rPr>
          <w:i/>
          <w:sz w:val="18"/>
        </w:rPr>
      </w:pPr>
      <w:r>
        <w:rPr>
          <w:rFonts w:ascii="Times New Roman"/>
          <w:sz w:val="18"/>
          <w:u w:val="single"/>
        </w:rPr>
        <w:t xml:space="preserve"> </w:t>
      </w:r>
      <w:r>
        <w:rPr>
          <w:i/>
          <w:sz w:val="18"/>
          <w:u w:val="single"/>
        </w:rPr>
        <w:t>Accounting Policy</w:t>
      </w:r>
    </w:p>
    <w:p w14:paraId="4224D48E" w14:textId="77777777" w:rsidR="00FA4AA8" w:rsidRDefault="00FA4AA8">
      <w:pPr>
        <w:pStyle w:val="BodyText"/>
        <w:spacing w:before="10"/>
        <w:rPr>
          <w:i/>
          <w:sz w:val="16"/>
        </w:rPr>
      </w:pPr>
    </w:p>
    <w:p w14:paraId="19FB12C5" w14:textId="77777777" w:rsidR="00FA4AA8" w:rsidRDefault="0015611F">
      <w:pPr>
        <w:pStyle w:val="BodyText"/>
        <w:spacing w:before="94"/>
        <w:ind w:left="564"/>
      </w:pPr>
      <w:r>
        <w:t>Property, plant and equipment is carried at cost less, where applicable, any accumulated depreciation and impairment losses.</w:t>
      </w:r>
    </w:p>
    <w:p w14:paraId="500BD879" w14:textId="77777777" w:rsidR="00FA4AA8" w:rsidRDefault="00FA4AA8">
      <w:pPr>
        <w:pStyle w:val="BodyText"/>
        <w:spacing w:before="11"/>
        <w:rPr>
          <w:sz w:val="24"/>
        </w:rPr>
      </w:pPr>
    </w:p>
    <w:p w14:paraId="717C69AE" w14:textId="77777777" w:rsidR="00FA4AA8" w:rsidRDefault="0015611F">
      <w:pPr>
        <w:pStyle w:val="BodyText"/>
        <w:ind w:left="564" w:right="150"/>
      </w:pPr>
      <w:r>
        <w:t xml:space="preserve">Subsequent costs are not included in the asset's carrying </w:t>
      </w:r>
      <w:r w:rsidR="00444D3A">
        <w:t>amount</w:t>
      </w:r>
      <w:r>
        <w:t xml:space="preserve"> or recognised as a separate asset, as appropriate, only when it is probable that future economic benefits associated with the item will flow to the Company and the cost of the item can be measured reliably. All other repairs and maintenance, where applicable, are charged to the statement of comprehensive income during the financial period in which they are</w:t>
      </w:r>
      <w:r>
        <w:rPr>
          <w:spacing w:val="3"/>
        </w:rPr>
        <w:t xml:space="preserve"> </w:t>
      </w:r>
      <w:r>
        <w:t>incurred.</w:t>
      </w:r>
    </w:p>
    <w:p w14:paraId="4CEF1C3D" w14:textId="77777777" w:rsidR="00FA4AA8" w:rsidRDefault="00FA4AA8">
      <w:pPr>
        <w:pStyle w:val="BodyText"/>
        <w:spacing w:before="9"/>
        <w:rPr>
          <w:sz w:val="24"/>
        </w:rPr>
      </w:pPr>
    </w:p>
    <w:p w14:paraId="0C1B3CE2" w14:textId="77777777" w:rsidR="00FA4AA8" w:rsidRDefault="0015611F">
      <w:pPr>
        <w:pStyle w:val="BodyText"/>
        <w:ind w:left="564" w:right="132"/>
      </w:pPr>
      <w:r>
        <w:t>An asset's carrying amount is written down immediately to its recoverable amount if the asset's carrying amount is greater than its estimated recoverable amount.</w:t>
      </w:r>
    </w:p>
    <w:p w14:paraId="0BFB7316" w14:textId="77777777" w:rsidR="00FA4AA8" w:rsidRDefault="00FA4AA8">
      <w:pPr>
        <w:pStyle w:val="BodyText"/>
        <w:spacing w:before="9"/>
        <w:rPr>
          <w:sz w:val="16"/>
        </w:rPr>
      </w:pPr>
    </w:p>
    <w:p w14:paraId="487AC352" w14:textId="77777777" w:rsidR="00FA4AA8" w:rsidRDefault="00FA4AA8">
      <w:pPr>
        <w:rPr>
          <w:sz w:val="16"/>
        </w:rPr>
        <w:sectPr w:rsidR="00FA4AA8">
          <w:pgSz w:w="11910" w:h="16840"/>
          <w:pgMar w:top="1580" w:right="880" w:bottom="720" w:left="840" w:header="1015" w:footer="523" w:gutter="0"/>
          <w:cols w:space="720"/>
        </w:sectPr>
      </w:pPr>
    </w:p>
    <w:p w14:paraId="28A400B3" w14:textId="77777777" w:rsidR="00FA4AA8" w:rsidRDefault="0015611F">
      <w:pPr>
        <w:numPr>
          <w:ilvl w:val="0"/>
          <w:numId w:val="28"/>
        </w:numPr>
        <w:tabs>
          <w:tab w:val="left" w:pos="563"/>
          <w:tab w:val="left" w:pos="564"/>
        </w:tabs>
        <w:spacing w:before="94"/>
        <w:ind w:hanging="397"/>
        <w:rPr>
          <w:b/>
          <w:sz w:val="18"/>
        </w:rPr>
      </w:pPr>
      <w:r>
        <w:rPr>
          <w:b/>
          <w:sz w:val="18"/>
        </w:rPr>
        <w:t>Accrued</w:t>
      </w:r>
      <w:r>
        <w:rPr>
          <w:b/>
          <w:spacing w:val="-4"/>
          <w:sz w:val="18"/>
        </w:rPr>
        <w:t xml:space="preserve"> </w:t>
      </w:r>
      <w:r>
        <w:rPr>
          <w:b/>
          <w:sz w:val="18"/>
        </w:rPr>
        <w:t>expenses</w:t>
      </w:r>
    </w:p>
    <w:p w14:paraId="36BB99B0" w14:textId="77777777" w:rsidR="00FA4AA8" w:rsidRDefault="00FA4AA8">
      <w:pPr>
        <w:pStyle w:val="BodyText"/>
        <w:rPr>
          <w:b/>
          <w:sz w:val="20"/>
        </w:rPr>
      </w:pPr>
    </w:p>
    <w:p w14:paraId="5603B36D" w14:textId="77777777" w:rsidR="00FA4AA8" w:rsidRDefault="00FA4AA8">
      <w:pPr>
        <w:pStyle w:val="BodyText"/>
        <w:rPr>
          <w:b/>
          <w:sz w:val="20"/>
        </w:rPr>
      </w:pPr>
    </w:p>
    <w:p w14:paraId="6707492B" w14:textId="77777777" w:rsidR="00FA4AA8" w:rsidRDefault="00FA4AA8">
      <w:pPr>
        <w:pStyle w:val="BodyText"/>
        <w:spacing w:before="4"/>
        <w:rPr>
          <w:b/>
          <w:sz w:val="17"/>
        </w:rPr>
      </w:pPr>
    </w:p>
    <w:p w14:paraId="1D8ED808" w14:textId="77777777" w:rsidR="00FA4AA8" w:rsidRDefault="0015611F">
      <w:pPr>
        <w:ind w:left="563"/>
        <w:rPr>
          <w:b/>
          <w:sz w:val="18"/>
        </w:rPr>
      </w:pPr>
      <w:r>
        <w:rPr>
          <w:b/>
          <w:sz w:val="18"/>
        </w:rPr>
        <w:t>Current</w:t>
      </w:r>
    </w:p>
    <w:p w14:paraId="0C02637B" w14:textId="77777777" w:rsidR="00FA4AA8" w:rsidRDefault="0015611F">
      <w:pPr>
        <w:pStyle w:val="BodyText"/>
        <w:spacing w:before="1"/>
        <w:rPr>
          <w:b/>
          <w:sz w:val="29"/>
        </w:rPr>
      </w:pPr>
      <w:r>
        <w:br w:type="column"/>
      </w:r>
    </w:p>
    <w:p w14:paraId="52AF1E7A" w14:textId="77777777" w:rsidR="00FA4AA8" w:rsidRDefault="0015611F">
      <w:pPr>
        <w:ind w:left="61" w:right="441"/>
        <w:jc w:val="center"/>
        <w:rPr>
          <w:b/>
          <w:sz w:val="18"/>
        </w:rPr>
      </w:pPr>
      <w:r>
        <w:rPr>
          <w:b/>
          <w:sz w:val="18"/>
        </w:rPr>
        <w:t>2018</w:t>
      </w:r>
    </w:p>
    <w:p w14:paraId="23312263" w14:textId="77777777" w:rsidR="00FA4AA8" w:rsidRDefault="0015611F">
      <w:pPr>
        <w:spacing w:before="66"/>
        <w:ind w:right="381"/>
        <w:jc w:val="center"/>
        <w:rPr>
          <w:b/>
          <w:sz w:val="18"/>
        </w:rPr>
      </w:pPr>
      <w:r>
        <w:rPr>
          <w:b/>
          <w:sz w:val="18"/>
        </w:rPr>
        <w:t>$</w:t>
      </w:r>
    </w:p>
    <w:p w14:paraId="2F00F14E" w14:textId="77777777" w:rsidR="00FA4AA8" w:rsidRDefault="00FA4AA8">
      <w:pPr>
        <w:jc w:val="center"/>
        <w:rPr>
          <w:sz w:val="18"/>
        </w:rPr>
        <w:sectPr w:rsidR="00FA4AA8">
          <w:type w:val="continuous"/>
          <w:pgSz w:w="11910" w:h="16840"/>
          <w:pgMar w:top="20" w:right="880" w:bottom="0" w:left="840" w:header="720" w:footer="720" w:gutter="0"/>
          <w:cols w:num="2" w:space="720" w:equalWidth="0">
            <w:col w:w="2199" w:space="6866"/>
            <w:col w:w="1125"/>
          </w:cols>
        </w:sectPr>
      </w:pPr>
    </w:p>
    <w:p w14:paraId="5235FFCC" w14:textId="77777777" w:rsidR="00FA4AA8" w:rsidRDefault="0015611F">
      <w:pPr>
        <w:pStyle w:val="BodyText"/>
        <w:tabs>
          <w:tab w:val="left" w:pos="9542"/>
        </w:tabs>
        <w:spacing w:before="29" w:after="22"/>
        <w:ind w:left="564"/>
        <w:rPr>
          <w:b/>
        </w:rPr>
      </w:pPr>
      <w:r>
        <w:t>External audit</w:t>
      </w:r>
      <w:r>
        <w:rPr>
          <w:spacing w:val="-1"/>
        </w:rPr>
        <w:t xml:space="preserve"> </w:t>
      </w:r>
      <w:r>
        <w:t>costs</w:t>
      </w:r>
      <w:r>
        <w:tab/>
      </w:r>
      <w:r>
        <w:rPr>
          <w:b/>
        </w:rPr>
        <w:t>5,500</w:t>
      </w:r>
    </w:p>
    <w:p w14:paraId="7CA3135E" w14:textId="77777777" w:rsidR="00FA4AA8" w:rsidRDefault="007E2441">
      <w:pPr>
        <w:pStyle w:val="BodyText"/>
        <w:spacing w:line="24" w:lineRule="exact"/>
        <w:ind w:left="8782"/>
        <w:rPr>
          <w:sz w:val="2"/>
        </w:rPr>
      </w:pPr>
      <w:r>
        <w:rPr>
          <w:noProof/>
          <w:sz w:val="2"/>
          <w:lang w:val="en-AU" w:eastAsia="en-AU"/>
        </w:rPr>
        <mc:AlternateContent>
          <mc:Choice Requires="wpg">
            <w:drawing>
              <wp:inline distT="0" distB="0" distL="0" distR="0" wp14:anchorId="4A818412" wp14:editId="65B48E2A">
                <wp:extent cx="822960" cy="15875"/>
                <wp:effectExtent l="9525" t="9525" r="5715" b="3175"/>
                <wp:docPr id="408"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15875"/>
                          <a:chOff x="0" y="0"/>
                          <a:chExt cx="1296" cy="25"/>
                        </a:xfrm>
                      </wpg:grpSpPr>
                      <wps:wsp>
                        <wps:cNvPr id="409" name="Line 182"/>
                        <wps:cNvCnPr>
                          <a:cxnSpLocks noChangeShapeType="1"/>
                        </wps:cNvCnPr>
                        <wps:spPr bwMode="auto">
                          <a:xfrm>
                            <a:off x="0" y="4"/>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10" name="Line 181"/>
                        <wps:cNvCnPr>
                          <a:cxnSpLocks noChangeShapeType="1"/>
                        </wps:cNvCnPr>
                        <wps:spPr bwMode="auto">
                          <a:xfrm>
                            <a:off x="0" y="6"/>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11" name="Line 180"/>
                        <wps:cNvCnPr>
                          <a:cxnSpLocks noChangeShapeType="1"/>
                        </wps:cNvCnPr>
                        <wps:spPr bwMode="auto">
                          <a:xfrm>
                            <a:off x="0" y="9"/>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12" name="Line 179"/>
                        <wps:cNvCnPr>
                          <a:cxnSpLocks noChangeShapeType="1"/>
                        </wps:cNvCnPr>
                        <wps:spPr bwMode="auto">
                          <a:xfrm>
                            <a:off x="0" y="11"/>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13" name="Line 178"/>
                        <wps:cNvCnPr>
                          <a:cxnSpLocks noChangeShapeType="1"/>
                        </wps:cNvCnPr>
                        <wps:spPr bwMode="auto">
                          <a:xfrm>
                            <a:off x="0" y="13"/>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14" name="Line 177"/>
                        <wps:cNvCnPr>
                          <a:cxnSpLocks noChangeShapeType="1"/>
                        </wps:cNvCnPr>
                        <wps:spPr bwMode="auto">
                          <a:xfrm>
                            <a:off x="0" y="16"/>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15" name="Line 176"/>
                        <wps:cNvCnPr>
                          <a:cxnSpLocks noChangeShapeType="1"/>
                        </wps:cNvCnPr>
                        <wps:spPr bwMode="auto">
                          <a:xfrm>
                            <a:off x="0" y="18"/>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16" name="Line 175"/>
                        <wps:cNvCnPr>
                          <a:cxnSpLocks noChangeShapeType="1"/>
                        </wps:cNvCnPr>
                        <wps:spPr bwMode="auto">
                          <a:xfrm>
                            <a:off x="0" y="21"/>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24B6B13" id="Group 174" o:spid="_x0000_s1026" style="width:64.8pt;height:1.25pt;mso-position-horizontal-relative:char;mso-position-vertical-relative:line" coordsize="129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">
                <v:line id="Line 182" o:spid="_x0000_s1027" style="position:absolute;visibility:visible;mso-wrap-style:square" from="0,4" to="12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" strokeweight=".1323mm"/>
                <v:line id="Line 181" o:spid="_x0000_s1028" style="position:absolute;visibility:visible;mso-wrap-style:square" from="0,6" to="12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" strokeweight=".1323mm"/>
                <v:line id="Line 180" o:spid="_x0000_s1029" style="position:absolute;visibility:visible;mso-wrap-style:square" from="0,9" to="12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" strokeweight=".1323mm"/>
                <v:line id="Line 179" o:spid="_x0000_s1030" style="position:absolute;visibility:visible;mso-wrap-style:square" from="0,11" to="12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" strokeweight=".1323mm"/>
                <v:line id="Line 178" o:spid="_x0000_s1031" style="position:absolute;visibility:visible;mso-wrap-style:square" from="0,13" to="129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" strokeweight=".1323mm"/>
                <v:line id="Line 177" o:spid="_x0000_s1032" style="position:absolute;visibility:visible;mso-wrap-style:square" from="0,16" to="129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" strokeweight=".1323mm"/>
                <v:line id="Line 176" o:spid="_x0000_s1033" style="position:absolute;visibility:visible;mso-wrap-style:square" from="0,18" to="129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" strokeweight=".1323mm"/>
                <v:line id="Line 175" o:spid="_x0000_s1034" style="position:absolute;visibility:visible;mso-wrap-style:square" from="0,21" to="12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" strokeweight=".1323mm"/>
                <w10:anchorlock/>
              </v:group>
            </w:pict>
          </mc:Fallback>
        </mc:AlternateContent>
      </w:r>
    </w:p>
    <w:p w14:paraId="172AEA52" w14:textId="77777777" w:rsidR="00FA4AA8" w:rsidRDefault="0015611F">
      <w:pPr>
        <w:tabs>
          <w:tab w:val="left" w:pos="8786"/>
          <w:tab w:val="left" w:pos="9542"/>
        </w:tabs>
        <w:spacing w:before="113"/>
        <w:ind w:left="563"/>
        <w:rPr>
          <w:b/>
          <w:sz w:val="18"/>
        </w:rPr>
      </w:pPr>
      <w:r>
        <w:rPr>
          <w:b/>
          <w:sz w:val="18"/>
        </w:rPr>
        <w:t>Total accrued</w:t>
      </w:r>
      <w:r>
        <w:rPr>
          <w:b/>
          <w:spacing w:val="1"/>
          <w:sz w:val="18"/>
        </w:rPr>
        <w:t xml:space="preserve"> </w:t>
      </w:r>
      <w:r>
        <w:rPr>
          <w:b/>
          <w:sz w:val="18"/>
        </w:rPr>
        <w:t>expenses</w:t>
      </w:r>
      <w:r>
        <w:rPr>
          <w:b/>
          <w:sz w:val="18"/>
        </w:rPr>
        <w:tab/>
      </w:r>
      <w:r>
        <w:rPr>
          <w:b/>
          <w:sz w:val="18"/>
          <w:u w:val="double"/>
        </w:rPr>
        <w:t xml:space="preserve"> </w:t>
      </w:r>
      <w:r>
        <w:rPr>
          <w:b/>
          <w:sz w:val="18"/>
          <w:u w:val="double"/>
        </w:rPr>
        <w:tab/>
      </w:r>
      <w:r>
        <w:rPr>
          <w:b/>
          <w:sz w:val="18"/>
          <w:u w:val="single"/>
        </w:rPr>
        <w:t>5</w:t>
      </w:r>
      <w:r>
        <w:rPr>
          <w:b/>
          <w:sz w:val="18"/>
        </w:rPr>
        <w:t>,5</w:t>
      </w:r>
      <w:r>
        <w:rPr>
          <w:b/>
          <w:sz w:val="18"/>
          <w:u w:val="single"/>
        </w:rPr>
        <w:t>0</w:t>
      </w:r>
      <w:r>
        <w:rPr>
          <w:b/>
          <w:sz w:val="18"/>
        </w:rPr>
        <w:t>0</w:t>
      </w:r>
      <w:r>
        <w:rPr>
          <w:b/>
          <w:spacing w:val="-14"/>
          <w:sz w:val="18"/>
        </w:rPr>
        <w:t xml:space="preserve"> </w:t>
      </w:r>
    </w:p>
    <w:p w14:paraId="646C184A" w14:textId="77777777" w:rsidR="00FA4AA8" w:rsidRDefault="00FA4AA8">
      <w:pPr>
        <w:pStyle w:val="BodyText"/>
        <w:rPr>
          <w:b/>
          <w:sz w:val="21"/>
        </w:rPr>
      </w:pPr>
    </w:p>
    <w:p w14:paraId="21ECBA2F" w14:textId="77777777" w:rsidR="00FA4AA8" w:rsidRDefault="00FA4AA8">
      <w:pPr>
        <w:rPr>
          <w:sz w:val="21"/>
        </w:rPr>
        <w:sectPr w:rsidR="00FA4AA8">
          <w:type w:val="continuous"/>
          <w:pgSz w:w="11910" w:h="16840"/>
          <w:pgMar w:top="20" w:right="880" w:bottom="0" w:left="840" w:header="720" w:footer="720" w:gutter="0"/>
          <w:cols w:space="720"/>
        </w:sectPr>
      </w:pPr>
    </w:p>
    <w:p w14:paraId="11AF54C0" w14:textId="77777777" w:rsidR="00FA4AA8" w:rsidRDefault="0015611F">
      <w:pPr>
        <w:pStyle w:val="ListParagraph"/>
        <w:numPr>
          <w:ilvl w:val="0"/>
          <w:numId w:val="28"/>
        </w:numPr>
        <w:tabs>
          <w:tab w:val="left" w:pos="563"/>
          <w:tab w:val="left" w:pos="564"/>
        </w:tabs>
        <w:spacing w:before="94"/>
        <w:ind w:hanging="397"/>
        <w:rPr>
          <w:b/>
          <w:sz w:val="18"/>
        </w:rPr>
      </w:pPr>
      <w:r>
        <w:rPr>
          <w:b/>
          <w:sz w:val="18"/>
        </w:rPr>
        <w:t>Expenses</w:t>
      </w:r>
    </w:p>
    <w:p w14:paraId="0E52FBA8" w14:textId="77777777" w:rsidR="00FA4AA8" w:rsidRDefault="00FA4AA8">
      <w:pPr>
        <w:pStyle w:val="BodyText"/>
        <w:rPr>
          <w:b/>
          <w:sz w:val="20"/>
        </w:rPr>
      </w:pPr>
    </w:p>
    <w:p w14:paraId="208D0E76" w14:textId="77777777" w:rsidR="00FA4AA8" w:rsidRDefault="00FA4AA8">
      <w:pPr>
        <w:pStyle w:val="BodyText"/>
        <w:rPr>
          <w:b/>
          <w:sz w:val="20"/>
        </w:rPr>
      </w:pPr>
    </w:p>
    <w:p w14:paraId="5E7081B5" w14:textId="77777777" w:rsidR="00FA4AA8" w:rsidRDefault="00FA4AA8">
      <w:pPr>
        <w:pStyle w:val="BodyText"/>
        <w:spacing w:before="4"/>
        <w:rPr>
          <w:b/>
          <w:sz w:val="17"/>
        </w:rPr>
      </w:pPr>
    </w:p>
    <w:p w14:paraId="1D2CE97A" w14:textId="77777777" w:rsidR="00FA4AA8" w:rsidRDefault="0015611F">
      <w:pPr>
        <w:ind w:left="587"/>
        <w:rPr>
          <w:b/>
          <w:sz w:val="18"/>
        </w:rPr>
      </w:pPr>
      <w:r>
        <w:rPr>
          <w:b/>
          <w:sz w:val="18"/>
        </w:rPr>
        <w:t>Other</w:t>
      </w:r>
      <w:r>
        <w:rPr>
          <w:b/>
          <w:spacing w:val="-5"/>
          <w:sz w:val="18"/>
        </w:rPr>
        <w:t xml:space="preserve"> </w:t>
      </w:r>
      <w:r>
        <w:rPr>
          <w:b/>
          <w:sz w:val="18"/>
        </w:rPr>
        <w:t>expenses</w:t>
      </w:r>
    </w:p>
    <w:p w14:paraId="5F05B64D" w14:textId="77777777" w:rsidR="00FA4AA8" w:rsidRDefault="0015611F">
      <w:pPr>
        <w:pStyle w:val="BodyText"/>
        <w:spacing w:before="1"/>
        <w:rPr>
          <w:b/>
          <w:sz w:val="29"/>
        </w:rPr>
      </w:pPr>
      <w:r>
        <w:br w:type="column"/>
      </w:r>
    </w:p>
    <w:p w14:paraId="792F7EA9" w14:textId="77777777" w:rsidR="00FA4AA8" w:rsidRDefault="0015611F">
      <w:pPr>
        <w:ind w:left="61" w:right="441"/>
        <w:jc w:val="center"/>
        <w:rPr>
          <w:b/>
          <w:sz w:val="18"/>
        </w:rPr>
      </w:pPr>
      <w:r>
        <w:rPr>
          <w:b/>
          <w:sz w:val="18"/>
        </w:rPr>
        <w:t>2018</w:t>
      </w:r>
    </w:p>
    <w:p w14:paraId="2E1B1FAB" w14:textId="77777777" w:rsidR="00FA4AA8" w:rsidRDefault="0015611F">
      <w:pPr>
        <w:spacing w:before="66"/>
        <w:ind w:right="381"/>
        <w:jc w:val="center"/>
        <w:rPr>
          <w:b/>
          <w:sz w:val="18"/>
        </w:rPr>
      </w:pPr>
      <w:r>
        <w:rPr>
          <w:b/>
          <w:sz w:val="18"/>
        </w:rPr>
        <w:t>$</w:t>
      </w:r>
    </w:p>
    <w:p w14:paraId="619AA9C7" w14:textId="77777777" w:rsidR="00FA4AA8" w:rsidRDefault="00FA4AA8">
      <w:pPr>
        <w:jc w:val="center"/>
        <w:rPr>
          <w:sz w:val="18"/>
        </w:rPr>
        <w:sectPr w:rsidR="00FA4AA8">
          <w:type w:val="continuous"/>
          <w:pgSz w:w="11910" w:h="16840"/>
          <w:pgMar w:top="20" w:right="880" w:bottom="0" w:left="840" w:header="720" w:footer="720" w:gutter="0"/>
          <w:cols w:num="2" w:space="720" w:equalWidth="0">
            <w:col w:w="1983" w:space="7082"/>
            <w:col w:w="1125"/>
          </w:cols>
        </w:sectPr>
      </w:pPr>
    </w:p>
    <w:p w14:paraId="05701C26" w14:textId="77777777" w:rsidR="00FA4AA8" w:rsidRDefault="0015611F">
      <w:pPr>
        <w:pStyle w:val="BodyText"/>
        <w:tabs>
          <w:tab w:val="left" w:pos="9542"/>
        </w:tabs>
        <w:spacing w:before="31" w:after="19"/>
        <w:ind w:left="588"/>
        <w:rPr>
          <w:b/>
        </w:rPr>
      </w:pPr>
      <w:r>
        <w:t>External audit</w:t>
      </w:r>
      <w:r>
        <w:rPr>
          <w:spacing w:val="-1"/>
        </w:rPr>
        <w:t xml:space="preserve"> </w:t>
      </w:r>
      <w:r>
        <w:t>costs</w:t>
      </w:r>
      <w:r>
        <w:tab/>
      </w:r>
      <w:r>
        <w:rPr>
          <w:b/>
        </w:rPr>
        <w:t>5,500</w:t>
      </w:r>
    </w:p>
    <w:p w14:paraId="38F4A403" w14:textId="77777777" w:rsidR="00FA4AA8" w:rsidRDefault="007E2441">
      <w:pPr>
        <w:pStyle w:val="BodyText"/>
        <w:spacing w:line="24" w:lineRule="exact"/>
        <w:ind w:left="8782"/>
        <w:rPr>
          <w:sz w:val="2"/>
        </w:rPr>
      </w:pPr>
      <w:r>
        <w:rPr>
          <w:noProof/>
          <w:sz w:val="2"/>
          <w:lang w:val="en-AU" w:eastAsia="en-AU"/>
        </w:rPr>
        <mc:AlternateContent>
          <mc:Choice Requires="wpg">
            <w:drawing>
              <wp:inline distT="0" distB="0" distL="0" distR="0" wp14:anchorId="5ABEC31D" wp14:editId="635011EA">
                <wp:extent cx="822960" cy="15875"/>
                <wp:effectExtent l="9525" t="9525" r="5715" b="3175"/>
                <wp:docPr id="391"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15875"/>
                          <a:chOff x="0" y="0"/>
                          <a:chExt cx="1296" cy="25"/>
                        </a:xfrm>
                      </wpg:grpSpPr>
                      <wps:wsp>
                        <wps:cNvPr id="392" name="Line 173"/>
                        <wps:cNvCnPr>
                          <a:cxnSpLocks noChangeShapeType="1"/>
                        </wps:cNvCnPr>
                        <wps:spPr bwMode="auto">
                          <a:xfrm>
                            <a:off x="0" y="4"/>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393" name="Line 172"/>
                        <wps:cNvCnPr>
                          <a:cxnSpLocks noChangeShapeType="1"/>
                        </wps:cNvCnPr>
                        <wps:spPr bwMode="auto">
                          <a:xfrm>
                            <a:off x="0" y="6"/>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394" name="Line 171"/>
                        <wps:cNvCnPr>
                          <a:cxnSpLocks noChangeShapeType="1"/>
                        </wps:cNvCnPr>
                        <wps:spPr bwMode="auto">
                          <a:xfrm>
                            <a:off x="0" y="9"/>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395" name="Line 170"/>
                        <wps:cNvCnPr>
                          <a:cxnSpLocks noChangeShapeType="1"/>
                        </wps:cNvCnPr>
                        <wps:spPr bwMode="auto">
                          <a:xfrm>
                            <a:off x="0" y="11"/>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396" name="Line 169"/>
                        <wps:cNvCnPr>
                          <a:cxnSpLocks noChangeShapeType="1"/>
                        </wps:cNvCnPr>
                        <wps:spPr bwMode="auto">
                          <a:xfrm>
                            <a:off x="0" y="13"/>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397" name="Line 168"/>
                        <wps:cNvCnPr>
                          <a:cxnSpLocks noChangeShapeType="1"/>
                        </wps:cNvCnPr>
                        <wps:spPr bwMode="auto">
                          <a:xfrm>
                            <a:off x="0" y="16"/>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398" name="Line 167"/>
                        <wps:cNvCnPr>
                          <a:cxnSpLocks noChangeShapeType="1"/>
                        </wps:cNvCnPr>
                        <wps:spPr bwMode="auto">
                          <a:xfrm>
                            <a:off x="0" y="18"/>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399" name="Line 166"/>
                        <wps:cNvCnPr>
                          <a:cxnSpLocks noChangeShapeType="1"/>
                        </wps:cNvCnPr>
                        <wps:spPr bwMode="auto">
                          <a:xfrm>
                            <a:off x="0" y="21"/>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00" name="Line 165"/>
                        <wps:cNvCnPr>
                          <a:cxnSpLocks noChangeShapeType="1"/>
                        </wps:cNvCnPr>
                        <wps:spPr bwMode="auto">
                          <a:xfrm>
                            <a:off x="0" y="4"/>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01" name="Line 164"/>
                        <wps:cNvCnPr>
                          <a:cxnSpLocks noChangeShapeType="1"/>
                        </wps:cNvCnPr>
                        <wps:spPr bwMode="auto">
                          <a:xfrm>
                            <a:off x="0" y="6"/>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02" name="Line 163"/>
                        <wps:cNvCnPr>
                          <a:cxnSpLocks noChangeShapeType="1"/>
                        </wps:cNvCnPr>
                        <wps:spPr bwMode="auto">
                          <a:xfrm>
                            <a:off x="0" y="9"/>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03" name="Line 162"/>
                        <wps:cNvCnPr>
                          <a:cxnSpLocks noChangeShapeType="1"/>
                        </wps:cNvCnPr>
                        <wps:spPr bwMode="auto">
                          <a:xfrm>
                            <a:off x="0" y="11"/>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04" name="Line 161"/>
                        <wps:cNvCnPr>
                          <a:cxnSpLocks noChangeShapeType="1"/>
                        </wps:cNvCnPr>
                        <wps:spPr bwMode="auto">
                          <a:xfrm>
                            <a:off x="0" y="13"/>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05" name="Line 160"/>
                        <wps:cNvCnPr>
                          <a:cxnSpLocks noChangeShapeType="1"/>
                        </wps:cNvCnPr>
                        <wps:spPr bwMode="auto">
                          <a:xfrm>
                            <a:off x="0" y="16"/>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06" name="Line 159"/>
                        <wps:cNvCnPr>
                          <a:cxnSpLocks noChangeShapeType="1"/>
                        </wps:cNvCnPr>
                        <wps:spPr bwMode="auto">
                          <a:xfrm>
                            <a:off x="0" y="18"/>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07" name="Line 158"/>
                        <wps:cNvCnPr>
                          <a:cxnSpLocks noChangeShapeType="1"/>
                        </wps:cNvCnPr>
                        <wps:spPr bwMode="auto">
                          <a:xfrm>
                            <a:off x="0" y="21"/>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343E02C" id="Group 157" o:spid="_x0000_s1026" style="width:64.8pt;height:1.25pt;mso-position-horizontal-relative:char;mso-position-vertical-relative:line" coordsize="129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">
                <v:line id="Line 173" o:spid="_x0000_s1027" style="position:absolute;visibility:visible;mso-wrap-style:square" from="0,4" to="12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" strokeweight=".1323mm"/>
                <v:line id="Line 172" o:spid="_x0000_s1028" style="position:absolute;visibility:visible;mso-wrap-style:square" from="0,6" to="12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" strokeweight=".1323mm"/>
                <v:line id="Line 171" o:spid="_x0000_s1029" style="position:absolute;visibility:visible;mso-wrap-style:square" from="0,9" to="12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" strokeweight=".1323mm"/>
                <v:line id="Line 170" o:spid="_x0000_s1030" style="position:absolute;visibility:visible;mso-wrap-style:square" from="0,11" to="12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" strokeweight=".1323mm"/>
                <v:line id="Line 169" o:spid="_x0000_s1031" style="position:absolute;visibility:visible;mso-wrap-style:square" from="0,13" to="129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" strokeweight=".1323mm"/>
                <v:line id="Line 168" o:spid="_x0000_s1032" style="position:absolute;visibility:visible;mso-wrap-style:square" from="0,16" to="129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" strokeweight=".1323mm"/>
                <v:line id="Line 167" o:spid="_x0000_s1033" style="position:absolute;visibility:visible;mso-wrap-style:square" from="0,18" to="129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" strokeweight=".1323mm"/>
                <v:line id="Line 166" o:spid="_x0000_s1034" style="position:absolute;visibility:visible;mso-wrap-style:square" from="0,21" to="12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" strokeweight=".1323mm"/>
                <v:line id="Line 165" o:spid="_x0000_s1035" style="position:absolute;visibility:visible;mso-wrap-style:square" from="0,4" to="12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" strokeweight=".1323mm"/>
                <v:line id="Line 164" o:spid="_x0000_s1036" style="position:absolute;visibility:visible;mso-wrap-style:square" from="0,6" to="12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" strokeweight=".1323mm"/>
                <v:line id="Line 163" o:spid="_x0000_s1037" style="position:absolute;visibility:visible;mso-wrap-style:square" from="0,9" to="12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" strokeweight=".1323mm"/>
                <v:line id="Line 162" o:spid="_x0000_s1038" style="position:absolute;visibility:visible;mso-wrap-style:square" from="0,11" to="12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" strokeweight=".1323mm"/>
                <v:line id="Line 161" o:spid="_x0000_s1039" style="position:absolute;visibility:visible;mso-wrap-style:square" from="0,13" to="129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" strokeweight=".1323mm"/>
                <v:line id="Line 160" o:spid="_x0000_s1040" style="position:absolute;visibility:visible;mso-wrap-style:square" from="0,16" to="129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" strokeweight=".1323mm"/>
                <v:line id="Line 159" o:spid="_x0000_s1041" style="position:absolute;visibility:visible;mso-wrap-style:square" from="0,18" to="129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" strokeweight=".1323mm"/>
                <v:line id="Line 158" o:spid="_x0000_s1042" style="position:absolute;visibility:visible;mso-wrap-style:square" from="0,21" to="12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" strokeweight=".1323mm"/>
                <w10:anchorlock/>
              </v:group>
            </w:pict>
          </mc:Fallback>
        </mc:AlternateContent>
      </w:r>
    </w:p>
    <w:p w14:paraId="1C44E880" w14:textId="77777777" w:rsidR="00FA4AA8" w:rsidRDefault="0015611F">
      <w:pPr>
        <w:tabs>
          <w:tab w:val="left" w:pos="8786"/>
          <w:tab w:val="left" w:pos="9542"/>
        </w:tabs>
        <w:spacing w:before="113"/>
        <w:ind w:left="587"/>
        <w:rPr>
          <w:b/>
          <w:sz w:val="18"/>
        </w:rPr>
      </w:pPr>
      <w:r>
        <w:rPr>
          <w:b/>
          <w:sz w:val="18"/>
        </w:rPr>
        <w:t>Total other</w:t>
      </w:r>
      <w:r>
        <w:rPr>
          <w:b/>
          <w:spacing w:val="-1"/>
          <w:sz w:val="18"/>
        </w:rPr>
        <w:t xml:space="preserve"> </w:t>
      </w:r>
      <w:r>
        <w:rPr>
          <w:b/>
          <w:sz w:val="18"/>
        </w:rPr>
        <w:t>expenses</w:t>
      </w:r>
      <w:r>
        <w:rPr>
          <w:b/>
          <w:sz w:val="18"/>
        </w:rPr>
        <w:tab/>
      </w:r>
      <w:r>
        <w:rPr>
          <w:b/>
          <w:sz w:val="18"/>
          <w:u w:val="double"/>
        </w:rPr>
        <w:t xml:space="preserve"> </w:t>
      </w:r>
      <w:r>
        <w:rPr>
          <w:b/>
          <w:sz w:val="18"/>
          <w:u w:val="double"/>
        </w:rPr>
        <w:tab/>
      </w:r>
      <w:r>
        <w:rPr>
          <w:b/>
          <w:sz w:val="18"/>
          <w:u w:val="single"/>
        </w:rPr>
        <w:t>5</w:t>
      </w:r>
      <w:r>
        <w:rPr>
          <w:b/>
          <w:sz w:val="18"/>
        </w:rPr>
        <w:t>,5</w:t>
      </w:r>
      <w:r>
        <w:rPr>
          <w:b/>
          <w:sz w:val="18"/>
          <w:u w:val="single"/>
        </w:rPr>
        <w:t>0</w:t>
      </w:r>
      <w:r>
        <w:rPr>
          <w:b/>
          <w:sz w:val="18"/>
        </w:rPr>
        <w:t>0</w:t>
      </w:r>
      <w:r>
        <w:rPr>
          <w:b/>
          <w:spacing w:val="-14"/>
          <w:sz w:val="18"/>
        </w:rPr>
        <w:t xml:space="preserve"> </w:t>
      </w:r>
    </w:p>
    <w:p w14:paraId="1A982F13" w14:textId="77777777" w:rsidR="00FA4AA8" w:rsidRDefault="00FA4AA8">
      <w:pPr>
        <w:rPr>
          <w:sz w:val="18"/>
        </w:rPr>
        <w:sectPr w:rsidR="00FA4AA8">
          <w:type w:val="continuous"/>
          <w:pgSz w:w="11910" w:h="16840"/>
          <w:pgMar w:top="20" w:right="880" w:bottom="0" w:left="840" w:header="720" w:footer="720" w:gutter="0"/>
          <w:cols w:space="720"/>
        </w:sectPr>
      </w:pPr>
    </w:p>
    <w:p w14:paraId="5B52A4B2" w14:textId="77777777" w:rsidR="00FA4AA8" w:rsidRDefault="00FA4AA8">
      <w:pPr>
        <w:pStyle w:val="BodyText"/>
        <w:spacing w:before="6"/>
        <w:rPr>
          <w:b/>
          <w:sz w:val="21"/>
        </w:rPr>
      </w:pPr>
    </w:p>
    <w:p w14:paraId="0C8534BB" w14:textId="77777777" w:rsidR="00FA4AA8" w:rsidRDefault="0015611F">
      <w:pPr>
        <w:spacing w:before="91"/>
        <w:ind w:left="167"/>
        <w:rPr>
          <w:b/>
          <w:sz w:val="28"/>
        </w:rPr>
      </w:pPr>
      <w:r>
        <w:rPr>
          <w:b/>
          <w:sz w:val="28"/>
        </w:rPr>
        <w:t>Notes to the Financial Statements</w:t>
      </w:r>
    </w:p>
    <w:p w14:paraId="6D44AB45" w14:textId="77777777" w:rsidR="00FA4AA8" w:rsidRDefault="0015611F">
      <w:pPr>
        <w:spacing w:before="54"/>
        <w:ind w:left="167"/>
        <w:rPr>
          <w:b/>
        </w:rPr>
      </w:pPr>
      <w:r>
        <w:rPr>
          <w:b/>
        </w:rPr>
        <w:t>For the initial Period 5 April 2018 to 31 December 2018</w:t>
      </w:r>
    </w:p>
    <w:p w14:paraId="7E6B5EE3" w14:textId="77777777" w:rsidR="00FA4AA8" w:rsidRDefault="00FA4AA8">
      <w:pPr>
        <w:pStyle w:val="BodyText"/>
        <w:rPr>
          <w:b/>
          <w:sz w:val="24"/>
        </w:rPr>
      </w:pPr>
    </w:p>
    <w:p w14:paraId="78242F29" w14:textId="77777777" w:rsidR="00FA4AA8" w:rsidRDefault="00FA4AA8">
      <w:pPr>
        <w:pStyle w:val="BodyText"/>
        <w:rPr>
          <w:b/>
          <w:sz w:val="34"/>
        </w:rPr>
      </w:pPr>
    </w:p>
    <w:p w14:paraId="1F322C1C" w14:textId="77777777" w:rsidR="00FA4AA8" w:rsidRDefault="0015611F">
      <w:pPr>
        <w:pStyle w:val="ListParagraph"/>
        <w:numPr>
          <w:ilvl w:val="0"/>
          <w:numId w:val="28"/>
        </w:numPr>
        <w:tabs>
          <w:tab w:val="left" w:pos="563"/>
          <w:tab w:val="left" w:pos="564"/>
        </w:tabs>
        <w:spacing w:before="1"/>
        <w:ind w:hanging="397"/>
        <w:rPr>
          <w:b/>
          <w:sz w:val="18"/>
        </w:rPr>
      </w:pPr>
      <w:r>
        <w:rPr>
          <w:b/>
          <w:sz w:val="18"/>
        </w:rPr>
        <w:t>Joint Operations</w:t>
      </w:r>
    </w:p>
    <w:p w14:paraId="62D2FD85" w14:textId="77777777" w:rsidR="00FA4AA8" w:rsidRDefault="00FA4AA8">
      <w:pPr>
        <w:pStyle w:val="BodyText"/>
        <w:spacing w:before="7"/>
        <w:rPr>
          <w:b/>
          <w:sz w:val="26"/>
        </w:rPr>
      </w:pPr>
    </w:p>
    <w:p w14:paraId="5354BEDE" w14:textId="77777777" w:rsidR="00FA4AA8" w:rsidRDefault="0015611F">
      <w:pPr>
        <w:ind w:left="563"/>
        <w:rPr>
          <w:b/>
          <w:i/>
          <w:sz w:val="18"/>
        </w:rPr>
      </w:pPr>
      <w:r>
        <w:rPr>
          <w:b/>
          <w:i/>
          <w:sz w:val="18"/>
        </w:rPr>
        <w:t>Joint operations with Bieson Pty Ltd</w:t>
      </w:r>
    </w:p>
    <w:p w14:paraId="752B2589" w14:textId="77777777" w:rsidR="00FA4AA8" w:rsidRDefault="00FA4AA8">
      <w:pPr>
        <w:pStyle w:val="BodyText"/>
        <w:spacing w:before="5"/>
        <w:rPr>
          <w:b/>
          <w:i/>
          <w:sz w:val="25"/>
        </w:rPr>
      </w:pPr>
    </w:p>
    <w:p w14:paraId="134BDF46" w14:textId="77777777" w:rsidR="00FA4AA8" w:rsidRDefault="0015611F">
      <w:pPr>
        <w:pStyle w:val="BodyText"/>
        <w:ind w:left="563" w:right="150"/>
      </w:pPr>
      <w:r>
        <w:t>The Company entered into an agreement with Bieson Pty Limited to develop land and building at Westmead. Both parties were granted a 125-year ground lease by Western Sydney University to carry out the development. The Company and Bieson Pty Ltd each have a 50% interest in the development and operation and will share equally in the project expenses, assets, liabilities and income during the operation phase. Due to decision making being shared equally, and the equal sharing of costs and output, the Company has determined this to be a jointly controlled operation.</w:t>
      </w:r>
    </w:p>
    <w:p w14:paraId="60C1467C" w14:textId="77777777" w:rsidR="00FA4AA8" w:rsidRDefault="0015611F">
      <w:pPr>
        <w:spacing w:before="30"/>
        <w:ind w:left="7317" w:right="1261" w:hanging="89"/>
        <w:rPr>
          <w:b/>
          <w:sz w:val="18"/>
        </w:rPr>
      </w:pPr>
      <w:r>
        <w:rPr>
          <w:b/>
          <w:sz w:val="18"/>
        </w:rPr>
        <w:t>Ownership interest/ voting rights held</w:t>
      </w:r>
    </w:p>
    <w:p w14:paraId="71B9FCE1" w14:textId="77777777" w:rsidR="00FA4AA8" w:rsidRDefault="0015611F">
      <w:pPr>
        <w:spacing w:before="66"/>
        <w:ind w:left="5359"/>
        <w:rPr>
          <w:b/>
          <w:sz w:val="18"/>
        </w:rPr>
      </w:pPr>
      <w:r>
        <w:rPr>
          <w:b/>
          <w:sz w:val="18"/>
        </w:rPr>
        <w:t>Principal place of</w:t>
      </w:r>
    </w:p>
    <w:p w14:paraId="07272AEB" w14:textId="77777777" w:rsidR="00FA4AA8" w:rsidRDefault="0015611F">
      <w:pPr>
        <w:tabs>
          <w:tab w:val="left" w:pos="3024"/>
          <w:tab w:val="left" w:pos="5716"/>
          <w:tab w:val="right" w:pos="8273"/>
        </w:tabs>
        <w:spacing w:line="207" w:lineRule="exact"/>
        <w:ind w:left="590"/>
        <w:rPr>
          <w:b/>
          <w:sz w:val="18"/>
        </w:rPr>
      </w:pPr>
      <w:r>
        <w:rPr>
          <w:b/>
          <w:sz w:val="18"/>
        </w:rPr>
        <w:t>Name of joint</w:t>
      </w:r>
      <w:r>
        <w:rPr>
          <w:b/>
          <w:spacing w:val="1"/>
          <w:sz w:val="18"/>
        </w:rPr>
        <w:t xml:space="preserve"> </w:t>
      </w:r>
      <w:r>
        <w:rPr>
          <w:b/>
          <w:sz w:val="18"/>
        </w:rPr>
        <w:t>operation</w:t>
      </w:r>
      <w:r>
        <w:rPr>
          <w:b/>
          <w:sz w:val="18"/>
        </w:rPr>
        <w:tab/>
        <w:t>Nature</w:t>
      </w:r>
      <w:r>
        <w:rPr>
          <w:b/>
          <w:spacing w:val="-2"/>
          <w:sz w:val="18"/>
        </w:rPr>
        <w:t xml:space="preserve"> </w:t>
      </w:r>
      <w:r>
        <w:rPr>
          <w:b/>
          <w:sz w:val="18"/>
        </w:rPr>
        <w:t>of</w:t>
      </w:r>
      <w:r>
        <w:rPr>
          <w:b/>
          <w:spacing w:val="-1"/>
          <w:sz w:val="18"/>
        </w:rPr>
        <w:t xml:space="preserve"> </w:t>
      </w:r>
      <w:r>
        <w:rPr>
          <w:b/>
          <w:sz w:val="18"/>
        </w:rPr>
        <w:t>relationship</w:t>
      </w:r>
      <w:r>
        <w:rPr>
          <w:b/>
          <w:sz w:val="18"/>
        </w:rPr>
        <w:tab/>
        <w:t>business</w:t>
      </w:r>
      <w:r>
        <w:rPr>
          <w:b/>
          <w:sz w:val="18"/>
        </w:rPr>
        <w:tab/>
        <w:t>2018</w:t>
      </w:r>
    </w:p>
    <w:p w14:paraId="04A6317F" w14:textId="77777777" w:rsidR="00FA4AA8" w:rsidRDefault="00FA4AA8">
      <w:pPr>
        <w:spacing w:line="207" w:lineRule="exact"/>
        <w:rPr>
          <w:sz w:val="18"/>
        </w:rPr>
        <w:sectPr w:rsidR="00FA4AA8">
          <w:pgSz w:w="11910" w:h="16840"/>
          <w:pgMar w:top="1580" w:right="880" w:bottom="720" w:left="840" w:header="1015" w:footer="523" w:gutter="0"/>
          <w:cols w:space="720"/>
        </w:sectPr>
      </w:pPr>
    </w:p>
    <w:p w14:paraId="76C58A7C" w14:textId="77777777" w:rsidR="00FA4AA8" w:rsidRDefault="0015611F">
      <w:pPr>
        <w:pStyle w:val="BodyText"/>
        <w:spacing w:before="64"/>
        <w:ind w:left="590" w:right="-9"/>
      </w:pPr>
      <w:r>
        <w:t>Westmead land and building development</w:t>
      </w:r>
    </w:p>
    <w:p w14:paraId="135E9D7A" w14:textId="77777777" w:rsidR="00FA4AA8" w:rsidRDefault="0015611F">
      <w:pPr>
        <w:pStyle w:val="BodyText"/>
        <w:spacing w:before="62" w:line="207" w:lineRule="exact"/>
        <w:ind w:left="513"/>
      </w:pPr>
      <w:r>
        <w:br w:type="column"/>
        <w:t>Jointly controlled operation</w:t>
      </w:r>
    </w:p>
    <w:p w14:paraId="2FCC107C" w14:textId="77777777" w:rsidR="00FA4AA8" w:rsidRDefault="0015611F">
      <w:pPr>
        <w:pStyle w:val="BodyText"/>
        <w:tabs>
          <w:tab w:val="left" w:pos="3086"/>
          <w:tab w:val="left" w:pos="5474"/>
        </w:tabs>
        <w:spacing w:line="207" w:lineRule="exact"/>
        <w:ind w:left="513"/>
        <w:rPr>
          <w:b/>
        </w:rPr>
      </w:pPr>
      <w:r>
        <w:t>with Bieson</w:t>
      </w:r>
      <w:r>
        <w:rPr>
          <w:spacing w:val="2"/>
        </w:rPr>
        <w:t xml:space="preserve"> </w:t>
      </w:r>
      <w:r>
        <w:t>Pty</w:t>
      </w:r>
      <w:r>
        <w:rPr>
          <w:spacing w:val="-3"/>
        </w:rPr>
        <w:t xml:space="preserve"> </w:t>
      </w:r>
      <w:r>
        <w:t>Limited</w:t>
      </w:r>
      <w:r>
        <w:tab/>
        <w:t>Westmead</w:t>
      </w:r>
      <w:r>
        <w:rPr>
          <w:spacing w:val="3"/>
        </w:rPr>
        <w:t xml:space="preserve"> </w:t>
      </w:r>
      <w:r>
        <w:t>NSW</w:t>
      </w:r>
      <w:r>
        <w:tab/>
      </w:r>
      <w:r>
        <w:rPr>
          <w:b/>
        </w:rPr>
        <w:t>50.00</w:t>
      </w:r>
    </w:p>
    <w:p w14:paraId="42A1439B" w14:textId="77777777" w:rsidR="00FA4AA8" w:rsidRDefault="00FA4AA8">
      <w:pPr>
        <w:spacing w:line="207" w:lineRule="exact"/>
        <w:sectPr w:rsidR="00FA4AA8">
          <w:type w:val="continuous"/>
          <w:pgSz w:w="11910" w:h="16840"/>
          <w:pgMar w:top="20" w:right="880" w:bottom="0" w:left="840" w:header="720" w:footer="720" w:gutter="0"/>
          <w:cols w:num="2" w:space="720" w:equalWidth="0">
            <w:col w:w="2303" w:space="40"/>
            <w:col w:w="7847"/>
          </w:cols>
        </w:sectPr>
      </w:pPr>
    </w:p>
    <w:p w14:paraId="3FAB73FD" w14:textId="77777777" w:rsidR="00FA4AA8" w:rsidRDefault="00FA4AA8">
      <w:pPr>
        <w:pStyle w:val="BodyText"/>
        <w:rPr>
          <w:b/>
          <w:sz w:val="19"/>
        </w:rPr>
      </w:pPr>
    </w:p>
    <w:p w14:paraId="2F8D9338" w14:textId="77777777" w:rsidR="00FA4AA8" w:rsidRDefault="0015611F">
      <w:pPr>
        <w:pStyle w:val="BodyText"/>
        <w:spacing w:before="95"/>
        <w:ind w:left="563"/>
      </w:pPr>
      <w:r>
        <w:t>The assets and liabilities employed in the above jointly controlled operations, including the Company's share of any assets and liabilities held jointly, are detailed below. The amounts are included in the financial statements under their respective categories.</w:t>
      </w:r>
    </w:p>
    <w:p w14:paraId="65558ACE" w14:textId="77777777" w:rsidR="00FA4AA8" w:rsidRDefault="0015611F">
      <w:pPr>
        <w:spacing w:before="32"/>
        <w:ind w:left="9213" w:right="483"/>
        <w:jc w:val="center"/>
        <w:rPr>
          <w:b/>
          <w:sz w:val="18"/>
        </w:rPr>
      </w:pPr>
      <w:r>
        <w:rPr>
          <w:b/>
          <w:sz w:val="18"/>
        </w:rPr>
        <w:t>2018</w:t>
      </w:r>
    </w:p>
    <w:p w14:paraId="1DBAFB45" w14:textId="77777777" w:rsidR="00FA4AA8" w:rsidRDefault="0015611F">
      <w:pPr>
        <w:spacing w:before="66"/>
        <w:ind w:left="8729"/>
        <w:jc w:val="center"/>
        <w:rPr>
          <w:b/>
          <w:sz w:val="18"/>
        </w:rPr>
      </w:pPr>
      <w:r>
        <w:rPr>
          <w:b/>
          <w:sz w:val="18"/>
        </w:rPr>
        <w:t>$</w:t>
      </w:r>
    </w:p>
    <w:p w14:paraId="29465844" w14:textId="77777777" w:rsidR="00FA4AA8" w:rsidRDefault="0015611F">
      <w:pPr>
        <w:spacing w:before="146"/>
        <w:ind w:left="607"/>
        <w:rPr>
          <w:b/>
          <w:sz w:val="18"/>
        </w:rPr>
      </w:pPr>
      <w:r>
        <w:rPr>
          <w:b/>
          <w:sz w:val="18"/>
        </w:rPr>
        <w:t>Statement of Financial Position</w:t>
      </w:r>
    </w:p>
    <w:p w14:paraId="0AB4E626" w14:textId="77777777" w:rsidR="00FA4AA8" w:rsidRDefault="0015611F">
      <w:pPr>
        <w:pStyle w:val="BodyText"/>
        <w:tabs>
          <w:tab w:val="left" w:pos="9441"/>
        </w:tabs>
        <w:spacing w:before="31"/>
        <w:ind w:left="607"/>
        <w:rPr>
          <w:b/>
        </w:rPr>
      </w:pPr>
      <w:r>
        <w:t>Construction</w:t>
      </w:r>
      <w:r>
        <w:rPr>
          <w:spacing w:val="-1"/>
        </w:rPr>
        <w:t xml:space="preserve"> </w:t>
      </w:r>
      <w:r>
        <w:t>in</w:t>
      </w:r>
      <w:r>
        <w:rPr>
          <w:spacing w:val="2"/>
        </w:rPr>
        <w:t xml:space="preserve"> </w:t>
      </w:r>
      <w:r>
        <w:t>progress</w:t>
      </w:r>
      <w:r>
        <w:tab/>
      </w:r>
      <w:r>
        <w:rPr>
          <w:b/>
        </w:rPr>
        <w:t>39,250</w:t>
      </w:r>
    </w:p>
    <w:p w14:paraId="58EDF12E" w14:textId="77777777" w:rsidR="00FA4AA8" w:rsidRDefault="0015611F">
      <w:pPr>
        <w:tabs>
          <w:tab w:val="left" w:pos="9542"/>
        </w:tabs>
        <w:spacing w:before="57"/>
        <w:ind w:left="607"/>
        <w:rPr>
          <w:b/>
          <w:sz w:val="18"/>
        </w:rPr>
      </w:pPr>
      <w:r>
        <w:rPr>
          <w:sz w:val="18"/>
        </w:rPr>
        <w:t>GST</w:t>
      </w:r>
      <w:r>
        <w:rPr>
          <w:spacing w:val="-3"/>
          <w:sz w:val="18"/>
        </w:rPr>
        <w:t xml:space="preserve"> </w:t>
      </w:r>
      <w:r>
        <w:rPr>
          <w:sz w:val="18"/>
        </w:rPr>
        <w:t>receivable</w:t>
      </w:r>
      <w:r>
        <w:rPr>
          <w:sz w:val="18"/>
        </w:rPr>
        <w:tab/>
      </w:r>
      <w:r>
        <w:rPr>
          <w:b/>
          <w:sz w:val="18"/>
        </w:rPr>
        <w:t>3,925</w:t>
      </w:r>
    </w:p>
    <w:p w14:paraId="3B4A6673" w14:textId="77777777" w:rsidR="00FA4AA8" w:rsidRDefault="00FA4AA8">
      <w:pPr>
        <w:rPr>
          <w:sz w:val="18"/>
        </w:rPr>
        <w:sectPr w:rsidR="00FA4AA8">
          <w:type w:val="continuous"/>
          <w:pgSz w:w="11910" w:h="16840"/>
          <w:pgMar w:top="20" w:right="880" w:bottom="0" w:left="840" w:header="720" w:footer="720" w:gutter="0"/>
          <w:cols w:space="720"/>
        </w:sectPr>
      </w:pPr>
    </w:p>
    <w:p w14:paraId="30492378" w14:textId="77777777" w:rsidR="00FA4AA8" w:rsidRDefault="00FA4AA8">
      <w:pPr>
        <w:pStyle w:val="BodyText"/>
        <w:spacing w:before="6"/>
        <w:rPr>
          <w:b/>
          <w:sz w:val="21"/>
        </w:rPr>
      </w:pPr>
    </w:p>
    <w:p w14:paraId="00E27655" w14:textId="77777777" w:rsidR="00FA4AA8" w:rsidRDefault="0015611F">
      <w:pPr>
        <w:pStyle w:val="Heading2"/>
      </w:pPr>
      <w:r>
        <w:t>Notes to the Financial Statements</w:t>
      </w:r>
    </w:p>
    <w:p w14:paraId="0AE25627" w14:textId="77777777" w:rsidR="00FA4AA8" w:rsidRDefault="0015611F">
      <w:pPr>
        <w:pStyle w:val="Heading6"/>
        <w:ind w:left="167"/>
      </w:pPr>
      <w:r>
        <w:t>For the initial Period 5 April 2018 to 31 December 2018</w:t>
      </w:r>
    </w:p>
    <w:p w14:paraId="280FBD49" w14:textId="77777777" w:rsidR="00FA4AA8" w:rsidRDefault="00FA4AA8">
      <w:pPr>
        <w:pStyle w:val="BodyText"/>
        <w:rPr>
          <w:b/>
          <w:sz w:val="24"/>
        </w:rPr>
      </w:pPr>
    </w:p>
    <w:p w14:paraId="7EDD5173" w14:textId="77777777" w:rsidR="00FA4AA8" w:rsidRDefault="00FA4AA8">
      <w:pPr>
        <w:pStyle w:val="BodyText"/>
        <w:rPr>
          <w:b/>
          <w:sz w:val="34"/>
        </w:rPr>
      </w:pPr>
    </w:p>
    <w:p w14:paraId="0B8AAC9E" w14:textId="77777777" w:rsidR="00FA4AA8" w:rsidRDefault="0015611F">
      <w:pPr>
        <w:numPr>
          <w:ilvl w:val="0"/>
          <w:numId w:val="28"/>
        </w:numPr>
        <w:tabs>
          <w:tab w:val="left" w:pos="563"/>
          <w:tab w:val="left" w:pos="564"/>
        </w:tabs>
        <w:spacing w:before="1"/>
        <w:ind w:hanging="397"/>
        <w:rPr>
          <w:b/>
          <w:sz w:val="18"/>
        </w:rPr>
      </w:pPr>
      <w:r>
        <w:rPr>
          <w:b/>
          <w:sz w:val="18"/>
        </w:rPr>
        <w:t>Related Parties</w:t>
      </w:r>
    </w:p>
    <w:p w14:paraId="620CE09E" w14:textId="77777777" w:rsidR="00FA4AA8" w:rsidRDefault="00FA4AA8">
      <w:pPr>
        <w:pStyle w:val="BodyText"/>
        <w:spacing w:before="7"/>
        <w:rPr>
          <w:b/>
          <w:sz w:val="26"/>
        </w:rPr>
      </w:pPr>
    </w:p>
    <w:p w14:paraId="23120895" w14:textId="77777777" w:rsidR="00FA4AA8" w:rsidRDefault="0015611F">
      <w:pPr>
        <w:pStyle w:val="ListParagraph"/>
        <w:numPr>
          <w:ilvl w:val="1"/>
          <w:numId w:val="28"/>
        </w:numPr>
        <w:tabs>
          <w:tab w:val="left" w:pos="1130"/>
          <w:tab w:val="left" w:pos="1131"/>
        </w:tabs>
        <w:ind w:hanging="568"/>
        <w:rPr>
          <w:b/>
          <w:sz w:val="18"/>
        </w:rPr>
      </w:pPr>
      <w:r>
        <w:rPr>
          <w:b/>
          <w:sz w:val="18"/>
        </w:rPr>
        <w:t>Parent</w:t>
      </w:r>
      <w:r>
        <w:rPr>
          <w:b/>
          <w:spacing w:val="-1"/>
          <w:sz w:val="18"/>
        </w:rPr>
        <w:t xml:space="preserve"> </w:t>
      </w:r>
      <w:r>
        <w:rPr>
          <w:b/>
          <w:sz w:val="18"/>
        </w:rPr>
        <w:t>entity</w:t>
      </w:r>
    </w:p>
    <w:p w14:paraId="05E00749" w14:textId="77777777" w:rsidR="00FA4AA8" w:rsidRDefault="00FA4AA8">
      <w:pPr>
        <w:pStyle w:val="BodyText"/>
        <w:spacing w:before="5"/>
        <w:rPr>
          <w:b/>
          <w:sz w:val="25"/>
        </w:rPr>
      </w:pPr>
    </w:p>
    <w:p w14:paraId="7E84361C" w14:textId="77777777" w:rsidR="00FA4AA8" w:rsidRDefault="0015611F">
      <w:pPr>
        <w:pStyle w:val="BodyText"/>
        <w:ind w:left="1130"/>
      </w:pPr>
      <w:r>
        <w:t>The ultimate parent entity of the Company is Western Sydney University.</w:t>
      </w:r>
    </w:p>
    <w:p w14:paraId="311CD206" w14:textId="77777777" w:rsidR="00FA4AA8" w:rsidRDefault="00FA4AA8">
      <w:pPr>
        <w:pStyle w:val="BodyText"/>
        <w:spacing w:before="7"/>
        <w:rPr>
          <w:sz w:val="26"/>
        </w:rPr>
      </w:pPr>
    </w:p>
    <w:p w14:paraId="39B201C7" w14:textId="77777777" w:rsidR="00FA4AA8" w:rsidRDefault="0015611F">
      <w:pPr>
        <w:numPr>
          <w:ilvl w:val="1"/>
          <w:numId w:val="28"/>
        </w:numPr>
        <w:tabs>
          <w:tab w:val="left" w:pos="1130"/>
          <w:tab w:val="left" w:pos="1131"/>
        </w:tabs>
        <w:spacing w:before="1"/>
        <w:ind w:hanging="568"/>
        <w:rPr>
          <w:b/>
          <w:sz w:val="18"/>
        </w:rPr>
      </w:pPr>
      <w:r>
        <w:rPr>
          <w:b/>
          <w:sz w:val="18"/>
        </w:rPr>
        <w:t>Loans to/from related</w:t>
      </w:r>
      <w:r>
        <w:rPr>
          <w:b/>
          <w:spacing w:val="4"/>
          <w:sz w:val="18"/>
        </w:rPr>
        <w:t xml:space="preserve"> </w:t>
      </w:r>
      <w:r>
        <w:rPr>
          <w:b/>
          <w:sz w:val="18"/>
        </w:rPr>
        <w:t>parties</w:t>
      </w:r>
    </w:p>
    <w:p w14:paraId="7CFB01B6" w14:textId="77777777" w:rsidR="00FA4AA8" w:rsidRDefault="00FA4AA8">
      <w:pPr>
        <w:pStyle w:val="BodyText"/>
        <w:rPr>
          <w:b/>
          <w:sz w:val="9"/>
        </w:rPr>
      </w:pPr>
    </w:p>
    <w:p w14:paraId="447D9BD4" w14:textId="77777777" w:rsidR="00FA4AA8" w:rsidRDefault="00FA4AA8">
      <w:pPr>
        <w:rPr>
          <w:sz w:val="9"/>
        </w:rPr>
        <w:sectPr w:rsidR="00FA4AA8">
          <w:pgSz w:w="11910" w:h="16840"/>
          <w:pgMar w:top="1580" w:right="880" w:bottom="720" w:left="840" w:header="1015" w:footer="523" w:gutter="0"/>
          <w:cols w:space="720"/>
        </w:sectPr>
      </w:pPr>
    </w:p>
    <w:p w14:paraId="21CFDF78" w14:textId="77777777" w:rsidR="00FA4AA8" w:rsidRDefault="00FA4AA8">
      <w:pPr>
        <w:pStyle w:val="BodyText"/>
        <w:rPr>
          <w:b/>
          <w:sz w:val="20"/>
        </w:rPr>
      </w:pPr>
    </w:p>
    <w:p w14:paraId="3EBCD510" w14:textId="77777777" w:rsidR="00FA4AA8" w:rsidRDefault="00FA4AA8">
      <w:pPr>
        <w:pStyle w:val="BodyText"/>
        <w:rPr>
          <w:b/>
          <w:sz w:val="20"/>
        </w:rPr>
      </w:pPr>
    </w:p>
    <w:p w14:paraId="6D4691D0" w14:textId="77777777" w:rsidR="00FA4AA8" w:rsidRDefault="00FA4AA8">
      <w:pPr>
        <w:pStyle w:val="BodyText"/>
        <w:spacing w:before="2"/>
        <w:rPr>
          <w:b/>
          <w:sz w:val="25"/>
        </w:rPr>
      </w:pPr>
    </w:p>
    <w:p w14:paraId="4754D1F2" w14:textId="77777777" w:rsidR="00FA4AA8" w:rsidRDefault="0015611F">
      <w:pPr>
        <w:ind w:left="1156"/>
        <w:rPr>
          <w:b/>
          <w:sz w:val="18"/>
        </w:rPr>
      </w:pPr>
      <w:r>
        <w:rPr>
          <w:b/>
          <w:sz w:val="18"/>
        </w:rPr>
        <w:t>Loan from Parent</w:t>
      </w:r>
    </w:p>
    <w:p w14:paraId="1C0714A5" w14:textId="77777777" w:rsidR="00FA4AA8" w:rsidRDefault="0015611F">
      <w:pPr>
        <w:spacing w:before="95"/>
        <w:ind w:left="1139" w:right="533"/>
        <w:jc w:val="center"/>
        <w:rPr>
          <w:b/>
          <w:sz w:val="18"/>
        </w:rPr>
      </w:pPr>
      <w:r>
        <w:br w:type="column"/>
      </w:r>
      <w:r>
        <w:rPr>
          <w:b/>
          <w:sz w:val="18"/>
        </w:rPr>
        <w:t>2018</w:t>
      </w:r>
    </w:p>
    <w:p w14:paraId="56AFCEB7" w14:textId="77777777" w:rsidR="00FA4AA8" w:rsidRDefault="0015611F">
      <w:pPr>
        <w:spacing w:before="66"/>
        <w:ind w:left="605"/>
        <w:jc w:val="center"/>
        <w:rPr>
          <w:b/>
          <w:sz w:val="18"/>
        </w:rPr>
      </w:pPr>
      <w:r>
        <w:rPr>
          <w:b/>
          <w:sz w:val="18"/>
        </w:rPr>
        <w:t>$</w:t>
      </w:r>
    </w:p>
    <w:p w14:paraId="319A14FA" w14:textId="77777777" w:rsidR="00FA4AA8" w:rsidRDefault="00FA4AA8">
      <w:pPr>
        <w:jc w:val="center"/>
        <w:rPr>
          <w:sz w:val="18"/>
        </w:rPr>
        <w:sectPr w:rsidR="00FA4AA8">
          <w:type w:val="continuous"/>
          <w:pgSz w:w="11910" w:h="16840"/>
          <w:pgMar w:top="20" w:right="880" w:bottom="0" w:left="840" w:header="720" w:footer="720" w:gutter="0"/>
          <w:cols w:num="2" w:space="720" w:equalWidth="0">
            <w:col w:w="2692" w:space="5384"/>
            <w:col w:w="2114"/>
          </w:cols>
        </w:sectPr>
      </w:pPr>
    </w:p>
    <w:p w14:paraId="7F239422" w14:textId="77777777" w:rsidR="00FA4AA8" w:rsidRDefault="0015611F">
      <w:pPr>
        <w:pStyle w:val="BodyText"/>
        <w:tabs>
          <w:tab w:val="left" w:pos="9403"/>
        </w:tabs>
        <w:spacing w:before="31"/>
        <w:ind w:left="1156"/>
        <w:rPr>
          <w:b/>
        </w:rPr>
      </w:pPr>
      <w:r>
        <w:t>Beginning of</w:t>
      </w:r>
      <w:r>
        <w:rPr>
          <w:spacing w:val="1"/>
        </w:rPr>
        <w:t xml:space="preserve"> </w:t>
      </w:r>
      <w:r>
        <w:t>the</w:t>
      </w:r>
      <w:r>
        <w:rPr>
          <w:spacing w:val="-2"/>
        </w:rPr>
        <w:t xml:space="preserve"> </w:t>
      </w:r>
      <w:r>
        <w:t>period</w:t>
      </w:r>
      <w:r>
        <w:tab/>
      </w:r>
      <w:r>
        <w:rPr>
          <w:b/>
        </w:rPr>
        <w:t>-</w:t>
      </w:r>
    </w:p>
    <w:p w14:paraId="12F6C9FA" w14:textId="77777777" w:rsidR="00FA4AA8" w:rsidRDefault="0015611F">
      <w:pPr>
        <w:tabs>
          <w:tab w:val="left" w:pos="9379"/>
        </w:tabs>
        <w:spacing w:before="57"/>
        <w:ind w:left="1156"/>
        <w:rPr>
          <w:b/>
          <w:sz w:val="18"/>
        </w:rPr>
      </w:pPr>
      <w:r>
        <w:rPr>
          <w:sz w:val="18"/>
        </w:rPr>
        <w:t>Loan</w:t>
      </w:r>
      <w:r>
        <w:rPr>
          <w:spacing w:val="-2"/>
          <w:sz w:val="18"/>
        </w:rPr>
        <w:t xml:space="preserve"> </w:t>
      </w:r>
      <w:r>
        <w:rPr>
          <w:sz w:val="18"/>
        </w:rPr>
        <w:t>advanced</w:t>
      </w:r>
      <w:r>
        <w:rPr>
          <w:sz w:val="18"/>
        </w:rPr>
        <w:tab/>
      </w:r>
      <w:r>
        <w:rPr>
          <w:b/>
          <w:sz w:val="18"/>
        </w:rPr>
        <w:t>(43,175)</w:t>
      </w:r>
    </w:p>
    <w:p w14:paraId="20AF2568" w14:textId="77777777" w:rsidR="00FA4AA8" w:rsidRDefault="0015611F">
      <w:pPr>
        <w:pStyle w:val="BodyText"/>
        <w:tabs>
          <w:tab w:val="left" w:pos="9731"/>
        </w:tabs>
        <w:spacing w:before="57" w:after="19"/>
        <w:ind w:left="1156"/>
        <w:rPr>
          <w:b/>
        </w:rPr>
      </w:pPr>
      <w:r>
        <w:t>Interest charged</w:t>
      </w:r>
      <w:r>
        <w:tab/>
      </w:r>
      <w:r>
        <w:rPr>
          <w:b/>
        </w:rPr>
        <w:t>(95)</w:t>
      </w:r>
    </w:p>
    <w:p w14:paraId="7A3AD959" w14:textId="77777777" w:rsidR="00FA4AA8" w:rsidRDefault="007E2441">
      <w:pPr>
        <w:pStyle w:val="BodyText"/>
        <w:spacing w:line="24" w:lineRule="exact"/>
        <w:ind w:left="8782"/>
        <w:rPr>
          <w:sz w:val="2"/>
        </w:rPr>
      </w:pPr>
      <w:r>
        <w:rPr>
          <w:noProof/>
          <w:sz w:val="2"/>
          <w:lang w:val="en-AU" w:eastAsia="en-AU"/>
        </w:rPr>
        <mc:AlternateContent>
          <mc:Choice Requires="wpg">
            <w:drawing>
              <wp:inline distT="0" distB="0" distL="0" distR="0" wp14:anchorId="11CC2ACF" wp14:editId="6092F0C8">
                <wp:extent cx="822960" cy="15875"/>
                <wp:effectExtent l="9525" t="9525" r="5715" b="3175"/>
                <wp:docPr id="382"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15875"/>
                          <a:chOff x="0" y="0"/>
                          <a:chExt cx="1296" cy="25"/>
                        </a:xfrm>
                      </wpg:grpSpPr>
                      <wps:wsp>
                        <wps:cNvPr id="383" name="Line 156"/>
                        <wps:cNvCnPr>
                          <a:cxnSpLocks noChangeShapeType="1"/>
                        </wps:cNvCnPr>
                        <wps:spPr bwMode="auto">
                          <a:xfrm>
                            <a:off x="0" y="4"/>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384" name="Line 155"/>
                        <wps:cNvCnPr>
                          <a:cxnSpLocks noChangeShapeType="1"/>
                        </wps:cNvCnPr>
                        <wps:spPr bwMode="auto">
                          <a:xfrm>
                            <a:off x="0" y="6"/>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385" name="Line 154"/>
                        <wps:cNvCnPr>
                          <a:cxnSpLocks noChangeShapeType="1"/>
                        </wps:cNvCnPr>
                        <wps:spPr bwMode="auto">
                          <a:xfrm>
                            <a:off x="0" y="9"/>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386" name="Line 153"/>
                        <wps:cNvCnPr>
                          <a:cxnSpLocks noChangeShapeType="1"/>
                        </wps:cNvCnPr>
                        <wps:spPr bwMode="auto">
                          <a:xfrm>
                            <a:off x="0" y="11"/>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387" name="Line 152"/>
                        <wps:cNvCnPr>
                          <a:cxnSpLocks noChangeShapeType="1"/>
                        </wps:cNvCnPr>
                        <wps:spPr bwMode="auto">
                          <a:xfrm>
                            <a:off x="0" y="13"/>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388" name="Line 151"/>
                        <wps:cNvCnPr>
                          <a:cxnSpLocks noChangeShapeType="1"/>
                        </wps:cNvCnPr>
                        <wps:spPr bwMode="auto">
                          <a:xfrm>
                            <a:off x="0" y="16"/>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389" name="Line 150"/>
                        <wps:cNvCnPr>
                          <a:cxnSpLocks noChangeShapeType="1"/>
                        </wps:cNvCnPr>
                        <wps:spPr bwMode="auto">
                          <a:xfrm>
                            <a:off x="0" y="18"/>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390" name="Line 149"/>
                        <wps:cNvCnPr>
                          <a:cxnSpLocks noChangeShapeType="1"/>
                        </wps:cNvCnPr>
                        <wps:spPr bwMode="auto">
                          <a:xfrm>
                            <a:off x="0" y="21"/>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AE8E178" id="Group 148" o:spid="_x0000_s1026" style="width:64.8pt;height:1.25pt;mso-position-horizontal-relative:char;mso-position-vertical-relative:line" coordsize="129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">
                <v:line id="Line 156" o:spid="_x0000_s1027" style="position:absolute;visibility:visible;mso-wrap-style:square" from="0,4" to="12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" strokeweight=".1323mm"/>
                <v:line id="Line 155" o:spid="_x0000_s1028" style="position:absolute;visibility:visible;mso-wrap-style:square" from="0,6" to="12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" strokeweight=".1323mm"/>
                <v:line id="Line 154" o:spid="_x0000_s1029" style="position:absolute;visibility:visible;mso-wrap-style:square" from="0,9" to="12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" strokeweight=".1323mm"/>
                <v:line id="Line 153" o:spid="_x0000_s1030" style="position:absolute;visibility:visible;mso-wrap-style:square" from="0,11" to="12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" strokeweight=".1323mm"/>
                <v:line id="Line 152" o:spid="_x0000_s1031" style="position:absolute;visibility:visible;mso-wrap-style:square" from="0,13" to="129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" strokeweight=".1323mm"/>
                <v:line id="Line 151" o:spid="_x0000_s1032" style="position:absolute;visibility:visible;mso-wrap-style:square" from="0,16" to="129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" strokeweight=".1323mm"/>
                <v:line id="Line 150" o:spid="_x0000_s1033" style="position:absolute;visibility:visible;mso-wrap-style:square" from="0,18" to="129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" strokeweight=".1323mm"/>
                <v:line id="Line 149" o:spid="_x0000_s1034" style="position:absolute;visibility:visible;mso-wrap-style:square" from="0,21" to="12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" strokeweight=".1323mm"/>
                <w10:anchorlock/>
              </v:group>
            </w:pict>
          </mc:Fallback>
        </mc:AlternateContent>
      </w:r>
    </w:p>
    <w:p w14:paraId="3EB131FB" w14:textId="77777777" w:rsidR="00FA4AA8" w:rsidRDefault="0015611F">
      <w:pPr>
        <w:tabs>
          <w:tab w:val="left" w:pos="8786"/>
          <w:tab w:val="left" w:pos="9379"/>
        </w:tabs>
        <w:spacing w:before="113"/>
        <w:ind w:left="1156"/>
        <w:rPr>
          <w:b/>
          <w:sz w:val="18"/>
        </w:rPr>
      </w:pPr>
      <w:r>
        <w:rPr>
          <w:b/>
          <w:sz w:val="18"/>
        </w:rPr>
        <w:t>End of period</w:t>
      </w:r>
      <w:r>
        <w:rPr>
          <w:b/>
          <w:sz w:val="18"/>
        </w:rPr>
        <w:tab/>
      </w:r>
      <w:r>
        <w:rPr>
          <w:b/>
          <w:sz w:val="18"/>
          <w:u w:val="double"/>
        </w:rPr>
        <w:t xml:space="preserve"> </w:t>
      </w:r>
      <w:r>
        <w:rPr>
          <w:b/>
          <w:sz w:val="18"/>
          <w:u w:val="double"/>
        </w:rPr>
        <w:tab/>
      </w:r>
      <w:r>
        <w:rPr>
          <w:b/>
          <w:sz w:val="18"/>
          <w:u w:val="single"/>
        </w:rPr>
        <w:t>(4</w:t>
      </w:r>
      <w:r>
        <w:rPr>
          <w:b/>
          <w:sz w:val="18"/>
        </w:rPr>
        <w:t>3,</w:t>
      </w:r>
      <w:r>
        <w:rPr>
          <w:b/>
          <w:sz w:val="18"/>
          <w:u w:val="single"/>
        </w:rPr>
        <w:t>27</w:t>
      </w:r>
      <w:r>
        <w:rPr>
          <w:b/>
          <w:sz w:val="18"/>
        </w:rPr>
        <w:t>0)</w:t>
      </w:r>
      <w:r>
        <w:rPr>
          <w:b/>
          <w:spacing w:val="-23"/>
          <w:sz w:val="18"/>
        </w:rPr>
        <w:t xml:space="preserve"> </w:t>
      </w:r>
    </w:p>
    <w:p w14:paraId="2ED72D65" w14:textId="77777777" w:rsidR="00FA4AA8" w:rsidRDefault="00FA4AA8">
      <w:pPr>
        <w:pStyle w:val="BodyText"/>
        <w:rPr>
          <w:b/>
          <w:sz w:val="20"/>
        </w:rPr>
      </w:pPr>
    </w:p>
    <w:p w14:paraId="0FF552E9" w14:textId="77777777" w:rsidR="00FA4AA8" w:rsidRDefault="00FA4AA8">
      <w:pPr>
        <w:pStyle w:val="BodyText"/>
        <w:spacing w:before="2"/>
        <w:rPr>
          <w:b/>
          <w:sz w:val="23"/>
        </w:rPr>
      </w:pPr>
    </w:p>
    <w:p w14:paraId="517A789B" w14:textId="77777777" w:rsidR="00FA4AA8" w:rsidRDefault="0015611F">
      <w:pPr>
        <w:pStyle w:val="BodyText"/>
        <w:ind w:left="564" w:right="99"/>
      </w:pPr>
      <w:r>
        <w:t>The Company has a maximum loan facility limit of $91M from Western Sydney University. The loan facility was granted to pay for all costs and expenses in connection with the development of land and leasing of constructed building at</w:t>
      </w:r>
    </w:p>
    <w:p w14:paraId="6271A27B" w14:textId="77777777" w:rsidR="00FA4AA8" w:rsidRDefault="0015611F">
      <w:pPr>
        <w:pStyle w:val="BodyText"/>
        <w:spacing w:line="206" w:lineRule="exact"/>
        <w:ind w:left="564"/>
      </w:pPr>
      <w:r>
        <w:t>Westmead</w:t>
      </w:r>
      <w:r>
        <w:rPr>
          <w:spacing w:val="12"/>
        </w:rPr>
        <w:t xml:space="preserve"> </w:t>
      </w:r>
      <w:r>
        <w:rPr>
          <w:spacing w:val="2"/>
        </w:rPr>
        <w:t>NSW.</w:t>
      </w:r>
    </w:p>
    <w:p w14:paraId="3C733029" w14:textId="77777777" w:rsidR="00FA4AA8" w:rsidRDefault="00FA4AA8">
      <w:pPr>
        <w:pStyle w:val="BodyText"/>
        <w:rPr>
          <w:sz w:val="25"/>
        </w:rPr>
      </w:pPr>
    </w:p>
    <w:p w14:paraId="2A0B68D1" w14:textId="77777777" w:rsidR="00FA4AA8" w:rsidRDefault="0015611F">
      <w:pPr>
        <w:ind w:left="564"/>
        <w:rPr>
          <w:i/>
          <w:sz w:val="18"/>
        </w:rPr>
      </w:pPr>
      <w:r>
        <w:rPr>
          <w:rFonts w:ascii="Times New Roman"/>
          <w:spacing w:val="-45"/>
          <w:sz w:val="18"/>
          <w:u w:val="single"/>
        </w:rPr>
        <w:t xml:space="preserve"> </w:t>
      </w:r>
      <w:r>
        <w:rPr>
          <w:i/>
          <w:sz w:val="18"/>
          <w:u w:val="single"/>
        </w:rPr>
        <w:t>Accounting</w:t>
      </w:r>
      <w:r>
        <w:rPr>
          <w:i/>
          <w:spacing w:val="4"/>
          <w:sz w:val="18"/>
          <w:u w:val="single"/>
        </w:rPr>
        <w:t xml:space="preserve"> </w:t>
      </w:r>
      <w:r>
        <w:rPr>
          <w:i/>
          <w:sz w:val="18"/>
          <w:u w:val="single"/>
        </w:rPr>
        <w:t>Policy</w:t>
      </w:r>
    </w:p>
    <w:p w14:paraId="12C0DE30" w14:textId="77777777" w:rsidR="00FA4AA8" w:rsidRDefault="00FA4AA8">
      <w:pPr>
        <w:pStyle w:val="BodyText"/>
        <w:spacing w:before="9"/>
        <w:rPr>
          <w:i/>
          <w:sz w:val="16"/>
        </w:rPr>
      </w:pPr>
    </w:p>
    <w:p w14:paraId="0C189D20" w14:textId="77777777" w:rsidR="00FA4AA8" w:rsidRDefault="0015611F">
      <w:pPr>
        <w:pStyle w:val="BodyText"/>
        <w:spacing w:before="94"/>
        <w:ind w:left="564" w:right="185"/>
      </w:pPr>
      <w:r>
        <w:t>Borrowings are initially recognised at fair value, net of transaction costs incurred. Borrowings are subsequently measured at amortised cost. Any difference between the proceeds (net of transaction costs) and the redemption amount is recognised in the statement of comprehensive income over the period of the borrowings using the effective interest method. Fees paid on the establishment of loan facilities are recognised as transaction costs of the loan to the extent that it is probable that some or all of the facility will be drawn down. In this case, the fee is deferred until the drawdown occurs. To the extent there is no evidence that it is probable that some or all of the facility will be drawn down, the fee is capitalised as a prepayment for liquidity services and amortised over the period of the facility to which it relates.</w:t>
      </w:r>
    </w:p>
    <w:p w14:paraId="27508541" w14:textId="77777777" w:rsidR="00FA4AA8" w:rsidRDefault="00FA4AA8">
      <w:pPr>
        <w:pStyle w:val="BodyText"/>
        <w:spacing w:before="8"/>
        <w:rPr>
          <w:sz w:val="24"/>
        </w:rPr>
      </w:pPr>
    </w:p>
    <w:p w14:paraId="5714E408" w14:textId="77777777" w:rsidR="00FA4AA8" w:rsidRDefault="0015611F">
      <w:pPr>
        <w:pStyle w:val="BodyText"/>
        <w:ind w:left="564"/>
      </w:pPr>
      <w:r>
        <w:t>Borrowings are removed from the statement of financial position when the obligation specified in the contract is discharged, cancelled or expired.</w:t>
      </w:r>
    </w:p>
    <w:p w14:paraId="577CE371" w14:textId="77777777" w:rsidR="00FA4AA8" w:rsidRDefault="00FA4AA8">
      <w:pPr>
        <w:pStyle w:val="BodyText"/>
        <w:spacing w:before="10"/>
        <w:rPr>
          <w:sz w:val="24"/>
        </w:rPr>
      </w:pPr>
    </w:p>
    <w:p w14:paraId="6D2E4C67" w14:textId="77777777" w:rsidR="00FA4AA8" w:rsidRDefault="0015611F">
      <w:pPr>
        <w:pStyle w:val="BodyText"/>
        <w:spacing w:before="1"/>
        <w:ind w:left="564" w:right="132"/>
      </w:pPr>
      <w:r>
        <w:t>Borrowings are classified as current liabilities unless the company has an unconditional right to defer the settlement of the liability for at least 12 months after the reporting period.</w:t>
      </w:r>
    </w:p>
    <w:p w14:paraId="2435E9E8" w14:textId="77777777" w:rsidR="00FA4AA8" w:rsidRDefault="00FA4AA8">
      <w:pPr>
        <w:pStyle w:val="BodyText"/>
        <w:spacing w:before="7"/>
        <w:rPr>
          <w:sz w:val="26"/>
        </w:rPr>
      </w:pPr>
    </w:p>
    <w:p w14:paraId="435B1EB5" w14:textId="77777777" w:rsidR="00FA4AA8" w:rsidRDefault="0015611F">
      <w:pPr>
        <w:numPr>
          <w:ilvl w:val="1"/>
          <w:numId w:val="28"/>
        </w:numPr>
        <w:tabs>
          <w:tab w:val="left" w:pos="1130"/>
          <w:tab w:val="left" w:pos="1131"/>
        </w:tabs>
        <w:ind w:hanging="568"/>
        <w:rPr>
          <w:b/>
          <w:sz w:val="18"/>
        </w:rPr>
      </w:pPr>
      <w:r>
        <w:rPr>
          <w:b/>
          <w:sz w:val="18"/>
        </w:rPr>
        <w:t>Outstanding balances</w:t>
      </w:r>
    </w:p>
    <w:p w14:paraId="19B5CCCA" w14:textId="77777777" w:rsidR="00FA4AA8" w:rsidRDefault="00FA4AA8">
      <w:pPr>
        <w:pStyle w:val="BodyText"/>
        <w:spacing w:before="4"/>
        <w:rPr>
          <w:b/>
          <w:sz w:val="25"/>
        </w:rPr>
      </w:pPr>
    </w:p>
    <w:p w14:paraId="6E7E1C59" w14:textId="77777777" w:rsidR="00FA4AA8" w:rsidRDefault="0015611F">
      <w:pPr>
        <w:pStyle w:val="BodyText"/>
        <w:ind w:right="551"/>
        <w:jc w:val="right"/>
      </w:pPr>
      <w:r>
        <w:t>The following balances are outstanding at the reporting date in relation to transactions with related</w:t>
      </w:r>
      <w:r>
        <w:rPr>
          <w:spacing w:val="7"/>
        </w:rPr>
        <w:t xml:space="preserve"> </w:t>
      </w:r>
      <w:r>
        <w:t>parties:</w:t>
      </w:r>
    </w:p>
    <w:p w14:paraId="771280A8" w14:textId="77777777" w:rsidR="00FA4AA8" w:rsidRDefault="0015611F">
      <w:pPr>
        <w:spacing w:before="33"/>
        <w:ind w:right="546"/>
        <w:jc w:val="right"/>
        <w:rPr>
          <w:b/>
          <w:sz w:val="18"/>
        </w:rPr>
      </w:pPr>
      <w:r>
        <w:rPr>
          <w:b/>
          <w:sz w:val="18"/>
        </w:rPr>
        <w:t>2018</w:t>
      </w:r>
    </w:p>
    <w:p w14:paraId="1BDEB6D4" w14:textId="77777777" w:rsidR="00FA4AA8" w:rsidRDefault="0015611F">
      <w:pPr>
        <w:spacing w:before="67"/>
        <w:ind w:right="697"/>
        <w:jc w:val="right"/>
        <w:rPr>
          <w:b/>
          <w:sz w:val="18"/>
        </w:rPr>
      </w:pPr>
      <w:r>
        <w:rPr>
          <w:b/>
          <w:sz w:val="18"/>
        </w:rPr>
        <w:t>$</w:t>
      </w:r>
    </w:p>
    <w:p w14:paraId="4A1897FD" w14:textId="77777777" w:rsidR="00FA4AA8" w:rsidRDefault="0015611F">
      <w:pPr>
        <w:spacing w:before="91"/>
        <w:ind w:left="1159"/>
        <w:rPr>
          <w:b/>
          <w:sz w:val="18"/>
        </w:rPr>
      </w:pPr>
      <w:r>
        <w:rPr>
          <w:b/>
          <w:sz w:val="18"/>
        </w:rPr>
        <w:t>Non-current payables (loans)</w:t>
      </w:r>
    </w:p>
    <w:p w14:paraId="2C8BAEDC" w14:textId="77777777" w:rsidR="00FA4AA8" w:rsidRDefault="0015611F">
      <w:pPr>
        <w:tabs>
          <w:tab w:val="left" w:pos="9381"/>
        </w:tabs>
        <w:spacing w:before="59" w:after="19"/>
        <w:ind w:left="1300"/>
        <w:rPr>
          <w:b/>
          <w:sz w:val="18"/>
        </w:rPr>
      </w:pPr>
      <w:r>
        <w:rPr>
          <w:sz w:val="18"/>
        </w:rPr>
        <w:t>Western</w:t>
      </w:r>
      <w:r>
        <w:rPr>
          <w:spacing w:val="1"/>
          <w:sz w:val="18"/>
        </w:rPr>
        <w:t xml:space="preserve"> </w:t>
      </w:r>
      <w:r>
        <w:rPr>
          <w:sz w:val="18"/>
        </w:rPr>
        <w:t>Sydney University</w:t>
      </w:r>
      <w:r>
        <w:rPr>
          <w:sz w:val="18"/>
        </w:rPr>
        <w:tab/>
      </w:r>
      <w:r>
        <w:rPr>
          <w:b/>
          <w:sz w:val="18"/>
        </w:rPr>
        <w:t>(43,270)</w:t>
      </w:r>
    </w:p>
    <w:p w14:paraId="05C0019F" w14:textId="77777777" w:rsidR="00FA4AA8" w:rsidRDefault="007E2441">
      <w:pPr>
        <w:pStyle w:val="BodyText"/>
        <w:spacing w:line="24" w:lineRule="exact"/>
        <w:ind w:left="8784"/>
        <w:rPr>
          <w:sz w:val="2"/>
        </w:rPr>
      </w:pPr>
      <w:r>
        <w:rPr>
          <w:noProof/>
          <w:sz w:val="2"/>
          <w:lang w:val="en-AU" w:eastAsia="en-AU"/>
        </w:rPr>
        <mc:AlternateContent>
          <mc:Choice Requires="wpg">
            <w:drawing>
              <wp:inline distT="0" distB="0" distL="0" distR="0" wp14:anchorId="002C2198" wp14:editId="38117E24">
                <wp:extent cx="822960" cy="15875"/>
                <wp:effectExtent l="9525" t="9525" r="5715" b="3175"/>
                <wp:docPr id="373"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15875"/>
                          <a:chOff x="0" y="0"/>
                          <a:chExt cx="1296" cy="25"/>
                        </a:xfrm>
                      </wpg:grpSpPr>
                      <wps:wsp>
                        <wps:cNvPr id="374" name="Line 147"/>
                        <wps:cNvCnPr>
                          <a:cxnSpLocks noChangeShapeType="1"/>
                        </wps:cNvCnPr>
                        <wps:spPr bwMode="auto">
                          <a:xfrm>
                            <a:off x="0" y="4"/>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375" name="Line 146"/>
                        <wps:cNvCnPr>
                          <a:cxnSpLocks noChangeShapeType="1"/>
                        </wps:cNvCnPr>
                        <wps:spPr bwMode="auto">
                          <a:xfrm>
                            <a:off x="0" y="6"/>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376" name="Line 145"/>
                        <wps:cNvCnPr>
                          <a:cxnSpLocks noChangeShapeType="1"/>
                        </wps:cNvCnPr>
                        <wps:spPr bwMode="auto">
                          <a:xfrm>
                            <a:off x="0" y="9"/>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377" name="Line 144"/>
                        <wps:cNvCnPr>
                          <a:cxnSpLocks noChangeShapeType="1"/>
                        </wps:cNvCnPr>
                        <wps:spPr bwMode="auto">
                          <a:xfrm>
                            <a:off x="0" y="11"/>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378" name="Line 143"/>
                        <wps:cNvCnPr>
                          <a:cxnSpLocks noChangeShapeType="1"/>
                        </wps:cNvCnPr>
                        <wps:spPr bwMode="auto">
                          <a:xfrm>
                            <a:off x="0" y="13"/>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379" name="Line 142"/>
                        <wps:cNvCnPr>
                          <a:cxnSpLocks noChangeShapeType="1"/>
                        </wps:cNvCnPr>
                        <wps:spPr bwMode="auto">
                          <a:xfrm>
                            <a:off x="0" y="16"/>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380" name="Line 141"/>
                        <wps:cNvCnPr>
                          <a:cxnSpLocks noChangeShapeType="1"/>
                        </wps:cNvCnPr>
                        <wps:spPr bwMode="auto">
                          <a:xfrm>
                            <a:off x="0" y="18"/>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381" name="Line 140"/>
                        <wps:cNvCnPr>
                          <a:cxnSpLocks noChangeShapeType="1"/>
                        </wps:cNvCnPr>
                        <wps:spPr bwMode="auto">
                          <a:xfrm>
                            <a:off x="0" y="21"/>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BFB2F4F" id="Group 139" o:spid="_x0000_s1026" style="width:64.8pt;height:1.25pt;mso-position-horizontal-relative:char;mso-position-vertical-relative:line" coordsize="129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">
                <v:line id="Line 147" o:spid="_x0000_s1027" style="position:absolute;visibility:visible;mso-wrap-style:square" from="0,4" to="12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" strokeweight=".1323mm"/>
                <v:line id="Line 146" o:spid="_x0000_s1028" style="position:absolute;visibility:visible;mso-wrap-style:square" from="0,6" to="12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" strokeweight=".1323mm"/>
                <v:line id="Line 145" o:spid="_x0000_s1029" style="position:absolute;visibility:visible;mso-wrap-style:square" from="0,9" to="12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" strokeweight=".1323mm"/>
                <v:line id="Line 144" o:spid="_x0000_s1030" style="position:absolute;visibility:visible;mso-wrap-style:square" from="0,11" to="12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" strokeweight=".1323mm"/>
                <v:line id="Line 143" o:spid="_x0000_s1031" style="position:absolute;visibility:visible;mso-wrap-style:square" from="0,13" to="129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" strokeweight=".1323mm"/>
                <v:line id="Line 142" o:spid="_x0000_s1032" style="position:absolute;visibility:visible;mso-wrap-style:square" from="0,16" to="129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" strokeweight=".1323mm"/>
                <v:line id="Line 141" o:spid="_x0000_s1033" style="position:absolute;visibility:visible;mso-wrap-style:square" from="0,18" to="129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" strokeweight=".1323mm"/>
                <v:line id="Line 140" o:spid="_x0000_s1034" style="position:absolute;visibility:visible;mso-wrap-style:square" from="0,21" to="12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" strokeweight=".1323mm"/>
                <w10:anchorlock/>
              </v:group>
            </w:pict>
          </mc:Fallback>
        </mc:AlternateContent>
      </w:r>
    </w:p>
    <w:p w14:paraId="320AE01E" w14:textId="77777777" w:rsidR="00FA4AA8" w:rsidRDefault="0015611F">
      <w:pPr>
        <w:tabs>
          <w:tab w:val="left" w:pos="8788"/>
          <w:tab w:val="left" w:pos="9381"/>
        </w:tabs>
        <w:spacing w:before="113"/>
        <w:ind w:left="1159"/>
        <w:rPr>
          <w:b/>
          <w:sz w:val="18"/>
        </w:rPr>
      </w:pPr>
      <w:r>
        <w:rPr>
          <w:b/>
          <w:sz w:val="18"/>
        </w:rPr>
        <w:t>Total</w:t>
      </w:r>
      <w:r>
        <w:rPr>
          <w:b/>
          <w:spacing w:val="-3"/>
          <w:sz w:val="18"/>
        </w:rPr>
        <w:t xml:space="preserve"> </w:t>
      </w:r>
      <w:r>
        <w:rPr>
          <w:b/>
          <w:sz w:val="18"/>
        </w:rPr>
        <w:t>non-current</w:t>
      </w:r>
      <w:r>
        <w:rPr>
          <w:b/>
          <w:spacing w:val="-2"/>
          <w:sz w:val="18"/>
        </w:rPr>
        <w:t xml:space="preserve"> </w:t>
      </w:r>
      <w:r>
        <w:rPr>
          <w:b/>
          <w:sz w:val="18"/>
        </w:rPr>
        <w:t>payables</w:t>
      </w:r>
      <w:r>
        <w:rPr>
          <w:b/>
          <w:sz w:val="18"/>
        </w:rPr>
        <w:tab/>
      </w:r>
      <w:r>
        <w:rPr>
          <w:b/>
          <w:sz w:val="18"/>
          <w:u w:val="double"/>
        </w:rPr>
        <w:t xml:space="preserve"> </w:t>
      </w:r>
      <w:r>
        <w:rPr>
          <w:b/>
          <w:sz w:val="18"/>
          <w:u w:val="double"/>
        </w:rPr>
        <w:tab/>
      </w:r>
      <w:r>
        <w:rPr>
          <w:b/>
          <w:sz w:val="18"/>
          <w:u w:val="single"/>
        </w:rPr>
        <w:t>(4</w:t>
      </w:r>
      <w:r>
        <w:rPr>
          <w:b/>
          <w:sz w:val="18"/>
        </w:rPr>
        <w:t>3,</w:t>
      </w:r>
      <w:r>
        <w:rPr>
          <w:b/>
          <w:sz w:val="18"/>
          <w:u w:val="single"/>
        </w:rPr>
        <w:t>27</w:t>
      </w:r>
      <w:r>
        <w:rPr>
          <w:b/>
          <w:sz w:val="18"/>
        </w:rPr>
        <w:t>0)</w:t>
      </w:r>
      <w:r>
        <w:rPr>
          <w:b/>
          <w:spacing w:val="-23"/>
          <w:sz w:val="18"/>
        </w:rPr>
        <w:t xml:space="preserve"> </w:t>
      </w:r>
    </w:p>
    <w:p w14:paraId="6644B0F1" w14:textId="77777777" w:rsidR="00FA4AA8" w:rsidRDefault="00FA4AA8">
      <w:pPr>
        <w:rPr>
          <w:sz w:val="18"/>
        </w:rPr>
        <w:sectPr w:rsidR="00FA4AA8">
          <w:type w:val="continuous"/>
          <w:pgSz w:w="11910" w:h="16840"/>
          <w:pgMar w:top="20" w:right="880" w:bottom="0" w:left="840" w:header="720" w:footer="720" w:gutter="0"/>
          <w:cols w:space="720"/>
        </w:sectPr>
      </w:pPr>
    </w:p>
    <w:p w14:paraId="744509C7" w14:textId="77777777" w:rsidR="00FA4AA8" w:rsidRDefault="00FA4AA8">
      <w:pPr>
        <w:pStyle w:val="BodyText"/>
        <w:spacing w:before="6"/>
        <w:rPr>
          <w:b/>
          <w:sz w:val="21"/>
        </w:rPr>
      </w:pPr>
    </w:p>
    <w:p w14:paraId="17951DA4" w14:textId="77777777" w:rsidR="00FA4AA8" w:rsidRDefault="0015611F">
      <w:pPr>
        <w:spacing w:before="91"/>
        <w:ind w:left="167"/>
        <w:rPr>
          <w:b/>
          <w:sz w:val="28"/>
        </w:rPr>
      </w:pPr>
      <w:r>
        <w:rPr>
          <w:b/>
          <w:sz w:val="28"/>
        </w:rPr>
        <w:t>Notes to the Financial Statements</w:t>
      </w:r>
    </w:p>
    <w:p w14:paraId="4E9EEA47" w14:textId="77777777" w:rsidR="00FA4AA8" w:rsidRDefault="0015611F">
      <w:pPr>
        <w:spacing w:before="54"/>
        <w:ind w:left="167"/>
        <w:rPr>
          <w:b/>
        </w:rPr>
      </w:pPr>
      <w:r>
        <w:rPr>
          <w:b/>
        </w:rPr>
        <w:t>For the initial Period 5 April 2018 to 31 December 2018</w:t>
      </w:r>
    </w:p>
    <w:p w14:paraId="418E8D7E" w14:textId="77777777" w:rsidR="00FA4AA8" w:rsidRDefault="00FA4AA8">
      <w:pPr>
        <w:pStyle w:val="BodyText"/>
        <w:rPr>
          <w:b/>
          <w:sz w:val="24"/>
        </w:rPr>
      </w:pPr>
    </w:p>
    <w:p w14:paraId="14D7039A" w14:textId="77777777" w:rsidR="00FA4AA8" w:rsidRDefault="00FA4AA8">
      <w:pPr>
        <w:pStyle w:val="BodyText"/>
        <w:rPr>
          <w:b/>
          <w:sz w:val="34"/>
        </w:rPr>
      </w:pPr>
    </w:p>
    <w:p w14:paraId="17B1E2D8" w14:textId="77777777" w:rsidR="00FA4AA8" w:rsidRDefault="0015611F">
      <w:pPr>
        <w:pStyle w:val="ListParagraph"/>
        <w:numPr>
          <w:ilvl w:val="0"/>
          <w:numId w:val="28"/>
        </w:numPr>
        <w:tabs>
          <w:tab w:val="left" w:pos="563"/>
          <w:tab w:val="left" w:pos="564"/>
        </w:tabs>
        <w:spacing w:before="1"/>
        <w:ind w:hanging="397"/>
        <w:rPr>
          <w:b/>
          <w:sz w:val="18"/>
        </w:rPr>
      </w:pPr>
      <w:r>
        <w:rPr>
          <w:b/>
          <w:sz w:val="18"/>
        </w:rPr>
        <w:t>Key Management Personnel</w:t>
      </w:r>
      <w:r>
        <w:rPr>
          <w:b/>
          <w:spacing w:val="-8"/>
          <w:sz w:val="18"/>
        </w:rPr>
        <w:t xml:space="preserve"> </w:t>
      </w:r>
      <w:r>
        <w:rPr>
          <w:b/>
          <w:sz w:val="18"/>
        </w:rPr>
        <w:t>Disclosures</w:t>
      </w:r>
    </w:p>
    <w:p w14:paraId="1E583F47" w14:textId="77777777" w:rsidR="00FA4AA8" w:rsidRDefault="00FA4AA8">
      <w:pPr>
        <w:pStyle w:val="BodyText"/>
        <w:spacing w:before="7"/>
        <w:rPr>
          <w:b/>
          <w:sz w:val="26"/>
        </w:rPr>
      </w:pPr>
    </w:p>
    <w:p w14:paraId="3A805338" w14:textId="77777777" w:rsidR="00FA4AA8" w:rsidRDefault="0015611F">
      <w:pPr>
        <w:pStyle w:val="ListParagraph"/>
        <w:numPr>
          <w:ilvl w:val="1"/>
          <w:numId w:val="28"/>
        </w:numPr>
        <w:tabs>
          <w:tab w:val="left" w:pos="1130"/>
          <w:tab w:val="left" w:pos="1131"/>
        </w:tabs>
        <w:ind w:hanging="568"/>
        <w:rPr>
          <w:b/>
          <w:sz w:val="18"/>
        </w:rPr>
      </w:pPr>
      <w:r>
        <w:rPr>
          <w:b/>
          <w:sz w:val="18"/>
        </w:rPr>
        <w:t>Names of responsible persons and board</w:t>
      </w:r>
      <w:r>
        <w:rPr>
          <w:b/>
          <w:spacing w:val="-3"/>
          <w:sz w:val="18"/>
        </w:rPr>
        <w:t xml:space="preserve"> </w:t>
      </w:r>
      <w:r>
        <w:rPr>
          <w:b/>
          <w:sz w:val="18"/>
        </w:rPr>
        <w:t>members</w:t>
      </w:r>
    </w:p>
    <w:p w14:paraId="68056FAC" w14:textId="77777777" w:rsidR="00FA4AA8" w:rsidRDefault="00FA4AA8">
      <w:pPr>
        <w:pStyle w:val="BodyText"/>
        <w:spacing w:before="5"/>
        <w:rPr>
          <w:b/>
          <w:sz w:val="25"/>
        </w:rPr>
      </w:pPr>
    </w:p>
    <w:p w14:paraId="3399FBA4" w14:textId="77777777" w:rsidR="00FA4AA8" w:rsidRDefault="0015611F">
      <w:pPr>
        <w:pStyle w:val="BodyText"/>
        <w:ind w:left="1130"/>
      </w:pPr>
      <w:r>
        <w:t>The following persons were both responsible persons and board members of Western Growth Developments (Westmead) Pty Ltd for the financial period from 5 April 2018 to 31 December 2018.</w:t>
      </w:r>
    </w:p>
    <w:p w14:paraId="35579A78" w14:textId="77777777" w:rsidR="00FA4AA8" w:rsidRDefault="00FA4AA8">
      <w:pPr>
        <w:pStyle w:val="BodyText"/>
        <w:spacing w:before="4"/>
        <w:rPr>
          <w:sz w:val="29"/>
        </w:rPr>
      </w:pPr>
    </w:p>
    <w:p w14:paraId="7CCDC9E7" w14:textId="77777777" w:rsidR="00FA4AA8" w:rsidRDefault="0015611F">
      <w:pPr>
        <w:pStyle w:val="BodyText"/>
        <w:spacing w:line="300" w:lineRule="auto"/>
        <w:ind w:left="1130" w:right="6959"/>
      </w:pPr>
      <w:r>
        <w:t>Mr Peter Pickering (Chair) Professor Barney Glover</w:t>
      </w:r>
    </w:p>
    <w:p w14:paraId="7DC79ABA" w14:textId="77777777" w:rsidR="00FA4AA8" w:rsidRDefault="00FA4AA8">
      <w:pPr>
        <w:pStyle w:val="BodyText"/>
        <w:spacing w:before="9"/>
        <w:rPr>
          <w:sz w:val="22"/>
        </w:rPr>
      </w:pPr>
    </w:p>
    <w:p w14:paraId="6D87BC7E" w14:textId="77777777" w:rsidR="00FA4AA8" w:rsidRDefault="0015611F">
      <w:pPr>
        <w:pStyle w:val="BodyText"/>
        <w:ind w:left="1130"/>
      </w:pPr>
      <w:r>
        <w:t>All responsible persons and board members are employees of the parent entity and are not remunerated by the Company for their executive responsibilities.</w:t>
      </w:r>
    </w:p>
    <w:p w14:paraId="0B570F69" w14:textId="77777777" w:rsidR="00FA4AA8" w:rsidRDefault="00FA4AA8">
      <w:pPr>
        <w:pStyle w:val="BodyText"/>
        <w:spacing w:before="11"/>
        <w:rPr>
          <w:sz w:val="24"/>
        </w:rPr>
      </w:pPr>
    </w:p>
    <w:p w14:paraId="25F6D655" w14:textId="77777777" w:rsidR="00FA4AA8" w:rsidRDefault="0015611F">
      <w:pPr>
        <w:numPr>
          <w:ilvl w:val="0"/>
          <w:numId w:val="28"/>
        </w:numPr>
        <w:tabs>
          <w:tab w:val="left" w:pos="563"/>
          <w:tab w:val="left" w:pos="564"/>
        </w:tabs>
        <w:ind w:hanging="397"/>
        <w:rPr>
          <w:b/>
          <w:sz w:val="18"/>
        </w:rPr>
      </w:pPr>
      <w:r>
        <w:rPr>
          <w:b/>
          <w:sz w:val="18"/>
        </w:rPr>
        <w:t>Cash Flow</w:t>
      </w:r>
      <w:r>
        <w:rPr>
          <w:b/>
          <w:spacing w:val="4"/>
          <w:sz w:val="18"/>
        </w:rPr>
        <w:t xml:space="preserve"> </w:t>
      </w:r>
      <w:r>
        <w:rPr>
          <w:b/>
          <w:sz w:val="18"/>
        </w:rPr>
        <w:t>Information</w:t>
      </w:r>
    </w:p>
    <w:p w14:paraId="098954A6" w14:textId="77777777" w:rsidR="00FA4AA8" w:rsidRDefault="00FA4AA8">
      <w:pPr>
        <w:pStyle w:val="BodyText"/>
        <w:spacing w:before="8"/>
        <w:rPr>
          <w:b/>
          <w:sz w:val="26"/>
        </w:rPr>
      </w:pPr>
    </w:p>
    <w:p w14:paraId="748108A4" w14:textId="77777777" w:rsidR="00FA4AA8" w:rsidRDefault="0015611F">
      <w:pPr>
        <w:pStyle w:val="ListParagraph"/>
        <w:numPr>
          <w:ilvl w:val="1"/>
          <w:numId w:val="28"/>
        </w:numPr>
        <w:tabs>
          <w:tab w:val="left" w:pos="1130"/>
          <w:tab w:val="left" w:pos="1131"/>
        </w:tabs>
        <w:ind w:hanging="568"/>
        <w:rPr>
          <w:b/>
          <w:sz w:val="18"/>
        </w:rPr>
      </w:pPr>
      <w:r>
        <w:rPr>
          <w:b/>
          <w:sz w:val="18"/>
        </w:rPr>
        <w:t>Non-cash financing and investing</w:t>
      </w:r>
      <w:r>
        <w:rPr>
          <w:b/>
          <w:spacing w:val="1"/>
          <w:sz w:val="18"/>
        </w:rPr>
        <w:t xml:space="preserve"> </w:t>
      </w:r>
      <w:r>
        <w:rPr>
          <w:b/>
          <w:sz w:val="18"/>
        </w:rPr>
        <w:t>activities</w:t>
      </w:r>
    </w:p>
    <w:p w14:paraId="15357F74" w14:textId="77777777" w:rsidR="00FA4AA8" w:rsidRDefault="00FA4AA8">
      <w:pPr>
        <w:pStyle w:val="BodyText"/>
        <w:spacing w:before="4"/>
        <w:rPr>
          <w:b/>
          <w:sz w:val="25"/>
        </w:rPr>
      </w:pPr>
    </w:p>
    <w:p w14:paraId="406752FE" w14:textId="77777777" w:rsidR="00FA4AA8" w:rsidRDefault="0015611F">
      <w:pPr>
        <w:pStyle w:val="BodyText"/>
        <w:spacing w:before="1"/>
        <w:ind w:left="1130"/>
      </w:pPr>
      <w:r>
        <w:t>The Company had non-cash investing and financing transactions that are not reflected in the statement of cash flows. These are included in the statement of financial position under their respective categories.</w:t>
      </w:r>
    </w:p>
    <w:p w14:paraId="56E7A98C" w14:textId="77777777" w:rsidR="00FA4AA8" w:rsidRDefault="0015611F">
      <w:pPr>
        <w:spacing w:before="32"/>
        <w:ind w:left="9191" w:right="509"/>
        <w:jc w:val="center"/>
        <w:rPr>
          <w:b/>
          <w:sz w:val="18"/>
        </w:rPr>
      </w:pPr>
      <w:r>
        <w:rPr>
          <w:b/>
          <w:sz w:val="18"/>
        </w:rPr>
        <w:t>2018</w:t>
      </w:r>
    </w:p>
    <w:p w14:paraId="10604072" w14:textId="77777777" w:rsidR="00FA4AA8" w:rsidRDefault="0015611F">
      <w:pPr>
        <w:spacing w:before="67"/>
        <w:ind w:left="8681"/>
        <w:jc w:val="center"/>
        <w:rPr>
          <w:b/>
          <w:sz w:val="18"/>
        </w:rPr>
      </w:pPr>
      <w:r>
        <w:rPr>
          <w:b/>
          <w:sz w:val="18"/>
        </w:rPr>
        <w:t>$</w:t>
      </w:r>
    </w:p>
    <w:p w14:paraId="57950E0F" w14:textId="77777777" w:rsidR="00FA4AA8" w:rsidRDefault="0015611F">
      <w:pPr>
        <w:pStyle w:val="BodyText"/>
        <w:tabs>
          <w:tab w:val="left" w:pos="9249"/>
        </w:tabs>
        <w:spacing w:before="64"/>
        <w:ind w:left="938"/>
        <w:jc w:val="center"/>
        <w:rPr>
          <w:b/>
        </w:rPr>
      </w:pPr>
      <w:r>
        <w:t>Building concept design costs paid via loan facility</w:t>
      </w:r>
      <w:r>
        <w:rPr>
          <w:spacing w:val="10"/>
        </w:rPr>
        <w:t xml:space="preserve"> </w:t>
      </w:r>
      <w:r>
        <w:t>from</w:t>
      </w:r>
      <w:r>
        <w:rPr>
          <w:spacing w:val="2"/>
        </w:rPr>
        <w:t xml:space="preserve"> </w:t>
      </w:r>
      <w:r>
        <w:t>parent</w:t>
      </w:r>
      <w:r>
        <w:tab/>
      </w:r>
      <w:r>
        <w:rPr>
          <w:b/>
        </w:rPr>
        <w:t>39,250</w:t>
      </w:r>
    </w:p>
    <w:p w14:paraId="0C493B94" w14:textId="77777777" w:rsidR="00FA4AA8" w:rsidRDefault="0015611F">
      <w:pPr>
        <w:tabs>
          <w:tab w:val="left" w:pos="9251"/>
        </w:tabs>
        <w:spacing w:before="57"/>
        <w:ind w:left="1000"/>
        <w:jc w:val="center"/>
        <w:rPr>
          <w:b/>
          <w:sz w:val="18"/>
        </w:rPr>
      </w:pPr>
      <w:r>
        <w:rPr>
          <w:sz w:val="18"/>
        </w:rPr>
        <w:t>Loan</w:t>
      </w:r>
      <w:r>
        <w:rPr>
          <w:spacing w:val="-2"/>
          <w:sz w:val="18"/>
        </w:rPr>
        <w:t xml:space="preserve"> </w:t>
      </w:r>
      <w:r>
        <w:rPr>
          <w:sz w:val="18"/>
        </w:rPr>
        <w:t>from</w:t>
      </w:r>
      <w:r>
        <w:rPr>
          <w:spacing w:val="1"/>
          <w:sz w:val="18"/>
        </w:rPr>
        <w:t xml:space="preserve"> </w:t>
      </w:r>
      <w:r>
        <w:rPr>
          <w:sz w:val="18"/>
        </w:rPr>
        <w:t>parent</w:t>
      </w:r>
      <w:r>
        <w:rPr>
          <w:sz w:val="18"/>
        </w:rPr>
        <w:tab/>
      </w:r>
      <w:r>
        <w:rPr>
          <w:b/>
          <w:sz w:val="18"/>
        </w:rPr>
        <w:t>(43,270)</w:t>
      </w:r>
    </w:p>
    <w:p w14:paraId="707F6658" w14:textId="77777777" w:rsidR="00FA4AA8" w:rsidRDefault="00FA4AA8">
      <w:pPr>
        <w:pStyle w:val="BodyText"/>
        <w:spacing w:before="11"/>
        <w:rPr>
          <w:b/>
          <w:sz w:val="28"/>
        </w:rPr>
      </w:pPr>
    </w:p>
    <w:p w14:paraId="6286260B" w14:textId="77777777" w:rsidR="00FA4AA8" w:rsidRDefault="0015611F">
      <w:pPr>
        <w:numPr>
          <w:ilvl w:val="0"/>
          <w:numId w:val="28"/>
        </w:numPr>
        <w:tabs>
          <w:tab w:val="left" w:pos="564"/>
        </w:tabs>
        <w:ind w:hanging="397"/>
        <w:rPr>
          <w:b/>
          <w:sz w:val="18"/>
        </w:rPr>
      </w:pPr>
      <w:r>
        <w:rPr>
          <w:b/>
          <w:sz w:val="18"/>
        </w:rPr>
        <w:t>Events Occurring After the Reporting</w:t>
      </w:r>
      <w:r>
        <w:rPr>
          <w:b/>
          <w:spacing w:val="-3"/>
          <w:sz w:val="18"/>
        </w:rPr>
        <w:t xml:space="preserve"> </w:t>
      </w:r>
      <w:r>
        <w:rPr>
          <w:b/>
          <w:sz w:val="18"/>
        </w:rPr>
        <w:t>Date</w:t>
      </w:r>
    </w:p>
    <w:p w14:paraId="4F6E5960" w14:textId="77777777" w:rsidR="00FA4AA8" w:rsidRDefault="00FA4AA8">
      <w:pPr>
        <w:pStyle w:val="BodyText"/>
        <w:rPr>
          <w:b/>
          <w:sz w:val="25"/>
        </w:rPr>
      </w:pPr>
    </w:p>
    <w:p w14:paraId="5767887F" w14:textId="77777777" w:rsidR="00FA4AA8" w:rsidRDefault="0015611F">
      <w:pPr>
        <w:pStyle w:val="BodyText"/>
        <w:ind w:left="564" w:right="132"/>
      </w:pPr>
      <w:r>
        <w:t>No matters or circumstances have arisen since the end of the financial year which significantly affected or may significantly affect the operations of Western Growth Developments (Westmead) Pty Ltd, the results of those operations, or the state of affairs of the Company in future financial years.</w:t>
      </w:r>
    </w:p>
    <w:p w14:paraId="39EC5B0F" w14:textId="77777777" w:rsidR="00FA4AA8" w:rsidRDefault="00FA4AA8">
      <w:pPr>
        <w:sectPr w:rsidR="00FA4AA8">
          <w:pgSz w:w="11910" w:h="16840"/>
          <w:pgMar w:top="1580" w:right="880" w:bottom="720" w:left="840" w:header="1015" w:footer="523" w:gutter="0"/>
          <w:cols w:space="720"/>
        </w:sectPr>
      </w:pPr>
    </w:p>
    <w:p w14:paraId="3B6E3002" w14:textId="77777777" w:rsidR="00FA4AA8" w:rsidRDefault="0015611F">
      <w:pPr>
        <w:pStyle w:val="BodyText"/>
        <w:ind w:left="4691"/>
        <w:rPr>
          <w:sz w:val="20"/>
        </w:rPr>
      </w:pPr>
      <w:r>
        <w:rPr>
          <w:noProof/>
          <w:sz w:val="20"/>
          <w:lang w:val="en-AU" w:eastAsia="en-AU"/>
        </w:rPr>
        <w:drawing>
          <wp:inline distT="0" distB="0" distL="0" distR="0" wp14:anchorId="1220EE38" wp14:editId="145F929E">
            <wp:extent cx="633966" cy="161544"/>
            <wp:effectExtent l="0" t="0" r="0" b="0"/>
            <wp:docPr id="135"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84.png"/>
                    <pic:cNvPicPr/>
                  </pic:nvPicPr>
                  <pic:blipFill>
                    <a:blip r:embed="rId257" cstate="print"/>
                    <a:stretch>
                      <a:fillRect/>
                    </a:stretch>
                  </pic:blipFill>
                  <pic:spPr>
                    <a:xfrm>
                      <a:off x="0" y="0"/>
                      <a:ext cx="633966" cy="161544"/>
                    </a:xfrm>
                    <a:prstGeom prst="rect">
                      <a:avLst/>
                    </a:prstGeom>
                  </pic:spPr>
                </pic:pic>
              </a:graphicData>
            </a:graphic>
          </wp:inline>
        </w:drawing>
      </w:r>
    </w:p>
    <w:p w14:paraId="0D34833D" w14:textId="77777777" w:rsidR="00FA4AA8" w:rsidRDefault="0015611F">
      <w:pPr>
        <w:pStyle w:val="BodyText"/>
        <w:spacing w:before="3"/>
        <w:rPr>
          <w:sz w:val="15"/>
        </w:rPr>
      </w:pPr>
      <w:r>
        <w:rPr>
          <w:noProof/>
          <w:lang w:val="en-AU" w:eastAsia="en-AU"/>
        </w:rPr>
        <w:drawing>
          <wp:anchor distT="0" distB="0" distL="0" distR="0" simplePos="0" relativeHeight="185" behindDoc="0" locked="0" layoutInCell="1" allowOverlap="1" wp14:anchorId="31887AAF" wp14:editId="5BD769C2">
            <wp:simplePos x="0" y="0"/>
            <wp:positionH relativeFrom="page">
              <wp:posOffset>3334736</wp:posOffset>
            </wp:positionH>
            <wp:positionV relativeFrom="paragraph">
              <wp:posOffset>136329</wp:posOffset>
            </wp:positionV>
            <wp:extent cx="792457" cy="451103"/>
            <wp:effectExtent l="0" t="0" r="0" b="0"/>
            <wp:wrapTopAndBottom/>
            <wp:docPr id="137"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85.png"/>
                    <pic:cNvPicPr/>
                  </pic:nvPicPr>
                  <pic:blipFill>
                    <a:blip r:embed="rId258" cstate="print"/>
                    <a:stretch>
                      <a:fillRect/>
                    </a:stretch>
                  </pic:blipFill>
                  <pic:spPr>
                    <a:xfrm>
                      <a:off x="0" y="0"/>
                      <a:ext cx="792457" cy="451103"/>
                    </a:xfrm>
                    <a:prstGeom prst="rect">
                      <a:avLst/>
                    </a:prstGeom>
                  </pic:spPr>
                </pic:pic>
              </a:graphicData>
            </a:graphic>
          </wp:anchor>
        </w:drawing>
      </w:r>
    </w:p>
    <w:p w14:paraId="329B6BB7" w14:textId="77777777" w:rsidR="00FA4AA8" w:rsidRDefault="00FA4AA8">
      <w:pPr>
        <w:pStyle w:val="BodyText"/>
        <w:spacing w:before="5"/>
        <w:rPr>
          <w:sz w:val="7"/>
        </w:rPr>
      </w:pPr>
    </w:p>
    <w:p w14:paraId="0F8019EF" w14:textId="77777777" w:rsidR="00FA4AA8" w:rsidRDefault="0015611F">
      <w:pPr>
        <w:pStyle w:val="BodyText"/>
        <w:ind w:left="4542"/>
        <w:rPr>
          <w:sz w:val="20"/>
        </w:rPr>
      </w:pPr>
      <w:r>
        <w:rPr>
          <w:noProof/>
          <w:sz w:val="20"/>
          <w:lang w:val="en-AU" w:eastAsia="en-AU"/>
        </w:rPr>
        <w:drawing>
          <wp:inline distT="0" distB="0" distL="0" distR="0" wp14:anchorId="72011DAD" wp14:editId="2FDC6CC3">
            <wp:extent cx="810745" cy="234696"/>
            <wp:effectExtent l="0" t="0" r="0" b="0"/>
            <wp:docPr id="139"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86.png"/>
                    <pic:cNvPicPr/>
                  </pic:nvPicPr>
                  <pic:blipFill>
                    <a:blip r:embed="rId259" cstate="print"/>
                    <a:stretch>
                      <a:fillRect/>
                    </a:stretch>
                  </pic:blipFill>
                  <pic:spPr>
                    <a:xfrm>
                      <a:off x="0" y="0"/>
                      <a:ext cx="810745" cy="234696"/>
                    </a:xfrm>
                    <a:prstGeom prst="rect">
                      <a:avLst/>
                    </a:prstGeom>
                  </pic:spPr>
                </pic:pic>
              </a:graphicData>
            </a:graphic>
          </wp:inline>
        </w:drawing>
      </w:r>
    </w:p>
    <w:p w14:paraId="406FA01E" w14:textId="77777777" w:rsidR="00FA4AA8" w:rsidRDefault="00FA4AA8">
      <w:pPr>
        <w:pStyle w:val="BodyText"/>
        <w:rPr>
          <w:sz w:val="20"/>
        </w:rPr>
      </w:pPr>
    </w:p>
    <w:p w14:paraId="155E84E1" w14:textId="77777777" w:rsidR="00FA4AA8" w:rsidRDefault="00FA4AA8">
      <w:pPr>
        <w:pStyle w:val="BodyText"/>
        <w:rPr>
          <w:sz w:val="20"/>
        </w:rPr>
      </w:pPr>
    </w:p>
    <w:p w14:paraId="661C6761" w14:textId="77777777" w:rsidR="00FA4AA8" w:rsidRDefault="00FA4AA8">
      <w:pPr>
        <w:pStyle w:val="BodyText"/>
        <w:spacing w:before="9"/>
        <w:rPr>
          <w:sz w:val="26"/>
        </w:rPr>
      </w:pPr>
    </w:p>
    <w:p w14:paraId="6AB6E48E" w14:textId="77777777" w:rsidR="00FA4AA8" w:rsidRDefault="0015611F">
      <w:pPr>
        <w:spacing w:before="92"/>
        <w:ind w:left="107" w:right="155"/>
        <w:jc w:val="center"/>
        <w:rPr>
          <w:sz w:val="24"/>
        </w:rPr>
      </w:pPr>
      <w:r>
        <w:rPr>
          <w:sz w:val="24"/>
        </w:rPr>
        <w:t>INDEPENDENT AUDITOR’S REPORT</w:t>
      </w:r>
    </w:p>
    <w:p w14:paraId="056B0025" w14:textId="77777777" w:rsidR="00FA4AA8" w:rsidRDefault="0015611F">
      <w:pPr>
        <w:spacing w:before="174"/>
        <w:ind w:left="113" w:right="155"/>
        <w:jc w:val="center"/>
        <w:rPr>
          <w:sz w:val="20"/>
        </w:rPr>
      </w:pPr>
      <w:r>
        <w:rPr>
          <w:w w:val="105"/>
          <w:sz w:val="20"/>
        </w:rPr>
        <w:t>Western Growth Developments (Westmead) Pty</w:t>
      </w:r>
      <w:r>
        <w:rPr>
          <w:spacing w:val="52"/>
          <w:w w:val="105"/>
          <w:sz w:val="20"/>
        </w:rPr>
        <w:t xml:space="preserve"> </w:t>
      </w:r>
      <w:r>
        <w:rPr>
          <w:w w:val="105"/>
          <w:sz w:val="20"/>
        </w:rPr>
        <w:t>Ltd</w:t>
      </w:r>
    </w:p>
    <w:p w14:paraId="74F135C6" w14:textId="77777777" w:rsidR="00FA4AA8" w:rsidRDefault="00FA4AA8">
      <w:pPr>
        <w:pStyle w:val="BodyText"/>
        <w:rPr>
          <w:sz w:val="22"/>
        </w:rPr>
      </w:pPr>
    </w:p>
    <w:p w14:paraId="64A8DED2" w14:textId="77777777" w:rsidR="00FA4AA8" w:rsidRDefault="00FA4AA8">
      <w:pPr>
        <w:pStyle w:val="BodyText"/>
        <w:spacing w:before="7"/>
        <w:rPr>
          <w:sz w:val="28"/>
        </w:rPr>
      </w:pPr>
    </w:p>
    <w:p w14:paraId="3D78FBBA" w14:textId="77777777" w:rsidR="00FA4AA8" w:rsidRDefault="0015611F">
      <w:pPr>
        <w:spacing w:line="213" w:lineRule="auto"/>
        <w:ind w:left="674" w:right="837" w:hanging="1"/>
        <w:rPr>
          <w:sz w:val="23"/>
        </w:rPr>
      </w:pPr>
      <w:r>
        <w:rPr>
          <w:w w:val="90"/>
          <w:sz w:val="23"/>
        </w:rPr>
        <w:t>To</w:t>
      </w:r>
      <w:r>
        <w:rPr>
          <w:spacing w:val="-35"/>
          <w:w w:val="90"/>
          <w:sz w:val="23"/>
        </w:rPr>
        <w:t xml:space="preserve"> </w:t>
      </w:r>
      <w:r>
        <w:rPr>
          <w:w w:val="90"/>
          <w:sz w:val="23"/>
        </w:rPr>
        <w:t>Members</w:t>
      </w:r>
      <w:r>
        <w:rPr>
          <w:spacing w:val="-31"/>
          <w:w w:val="90"/>
          <w:sz w:val="23"/>
        </w:rPr>
        <w:t xml:space="preserve"> </w:t>
      </w:r>
      <w:r>
        <w:rPr>
          <w:w w:val="90"/>
          <w:sz w:val="23"/>
        </w:rPr>
        <w:t>of</w:t>
      </w:r>
      <w:r>
        <w:rPr>
          <w:spacing w:val="-32"/>
          <w:w w:val="90"/>
          <w:sz w:val="23"/>
        </w:rPr>
        <w:t xml:space="preserve"> </w:t>
      </w:r>
      <w:r>
        <w:rPr>
          <w:w w:val="90"/>
          <w:sz w:val="23"/>
        </w:rPr>
        <w:t>the</w:t>
      </w:r>
      <w:r>
        <w:rPr>
          <w:spacing w:val="-35"/>
          <w:w w:val="90"/>
          <w:sz w:val="23"/>
        </w:rPr>
        <w:t xml:space="preserve"> </w:t>
      </w:r>
      <w:r>
        <w:rPr>
          <w:w w:val="90"/>
          <w:sz w:val="23"/>
        </w:rPr>
        <w:t>New</w:t>
      </w:r>
      <w:r>
        <w:rPr>
          <w:spacing w:val="-27"/>
          <w:w w:val="90"/>
          <w:sz w:val="23"/>
        </w:rPr>
        <w:t xml:space="preserve"> </w:t>
      </w:r>
      <w:r>
        <w:rPr>
          <w:w w:val="90"/>
          <w:sz w:val="23"/>
        </w:rPr>
        <w:t>South</w:t>
      </w:r>
      <w:r>
        <w:rPr>
          <w:spacing w:val="-27"/>
          <w:w w:val="90"/>
          <w:sz w:val="23"/>
        </w:rPr>
        <w:t xml:space="preserve"> </w:t>
      </w:r>
      <w:r>
        <w:rPr>
          <w:w w:val="90"/>
          <w:sz w:val="23"/>
        </w:rPr>
        <w:t>Wales</w:t>
      </w:r>
      <w:r>
        <w:rPr>
          <w:spacing w:val="-29"/>
          <w:w w:val="90"/>
          <w:sz w:val="23"/>
        </w:rPr>
        <w:t xml:space="preserve"> </w:t>
      </w:r>
      <w:r>
        <w:rPr>
          <w:w w:val="90"/>
          <w:sz w:val="23"/>
        </w:rPr>
        <w:t>Parliament</w:t>
      </w:r>
      <w:r>
        <w:rPr>
          <w:spacing w:val="-27"/>
          <w:w w:val="90"/>
          <w:sz w:val="23"/>
        </w:rPr>
        <w:t xml:space="preserve"> </w:t>
      </w:r>
      <w:r>
        <w:rPr>
          <w:w w:val="90"/>
          <w:sz w:val="23"/>
        </w:rPr>
        <w:t>and</w:t>
      </w:r>
      <w:r>
        <w:rPr>
          <w:spacing w:val="-33"/>
          <w:w w:val="90"/>
          <w:sz w:val="23"/>
        </w:rPr>
        <w:t xml:space="preserve"> </w:t>
      </w:r>
      <w:r>
        <w:rPr>
          <w:w w:val="90"/>
          <w:sz w:val="23"/>
        </w:rPr>
        <w:t>Members</w:t>
      </w:r>
      <w:r>
        <w:rPr>
          <w:spacing w:val="-27"/>
          <w:w w:val="90"/>
          <w:sz w:val="23"/>
        </w:rPr>
        <w:t xml:space="preserve"> </w:t>
      </w:r>
      <w:r>
        <w:rPr>
          <w:w w:val="90"/>
          <w:sz w:val="23"/>
        </w:rPr>
        <w:t>of</w:t>
      </w:r>
      <w:r>
        <w:rPr>
          <w:spacing w:val="-35"/>
          <w:w w:val="90"/>
          <w:sz w:val="23"/>
        </w:rPr>
        <w:t xml:space="preserve"> </w:t>
      </w:r>
      <w:r>
        <w:rPr>
          <w:w w:val="90"/>
          <w:sz w:val="23"/>
        </w:rPr>
        <w:t>Western</w:t>
      </w:r>
      <w:r>
        <w:rPr>
          <w:spacing w:val="-30"/>
          <w:w w:val="90"/>
          <w:sz w:val="23"/>
        </w:rPr>
        <w:t xml:space="preserve"> </w:t>
      </w:r>
      <w:r>
        <w:rPr>
          <w:w w:val="90"/>
          <w:sz w:val="23"/>
        </w:rPr>
        <w:t>Growth</w:t>
      </w:r>
      <w:r>
        <w:rPr>
          <w:spacing w:val="-29"/>
          <w:w w:val="90"/>
          <w:sz w:val="23"/>
        </w:rPr>
        <w:t xml:space="preserve"> </w:t>
      </w:r>
      <w:r>
        <w:rPr>
          <w:w w:val="90"/>
          <w:sz w:val="23"/>
        </w:rPr>
        <w:t xml:space="preserve">Developments </w:t>
      </w:r>
      <w:r>
        <w:rPr>
          <w:w w:val="95"/>
          <w:sz w:val="23"/>
        </w:rPr>
        <w:t>(Westmead) Pty</w:t>
      </w:r>
      <w:r>
        <w:rPr>
          <w:spacing w:val="-17"/>
          <w:w w:val="95"/>
          <w:sz w:val="23"/>
        </w:rPr>
        <w:t xml:space="preserve"> </w:t>
      </w:r>
      <w:r>
        <w:rPr>
          <w:w w:val="95"/>
          <w:sz w:val="23"/>
        </w:rPr>
        <w:t>Ltd</w:t>
      </w:r>
    </w:p>
    <w:p w14:paraId="655DD573" w14:textId="77777777" w:rsidR="00FA4AA8" w:rsidRDefault="0015611F">
      <w:pPr>
        <w:spacing w:before="170"/>
        <w:ind w:left="679"/>
        <w:rPr>
          <w:rFonts w:ascii="Times New Roman"/>
          <w:sz w:val="25"/>
        </w:rPr>
      </w:pPr>
      <w:r>
        <w:rPr>
          <w:rFonts w:ascii="Times New Roman"/>
          <w:w w:val="105"/>
          <w:sz w:val="25"/>
        </w:rPr>
        <w:t>Opinion</w:t>
      </w:r>
    </w:p>
    <w:p w14:paraId="5BD29689" w14:textId="77777777" w:rsidR="00FA4AA8" w:rsidRDefault="0015611F">
      <w:pPr>
        <w:spacing w:before="123" w:line="249" w:lineRule="auto"/>
        <w:ind w:left="667" w:right="715" w:firstLine="11"/>
        <w:rPr>
          <w:sz w:val="20"/>
        </w:rPr>
      </w:pPr>
      <w:r>
        <w:rPr>
          <w:sz w:val="20"/>
        </w:rPr>
        <w:t xml:space="preserve">I have audited the accompanying financial statements </w:t>
      </w:r>
      <w:r>
        <w:rPr>
          <w:color w:val="181818"/>
          <w:sz w:val="20"/>
        </w:rPr>
        <w:t xml:space="preserve">of </w:t>
      </w:r>
      <w:r>
        <w:rPr>
          <w:sz w:val="20"/>
        </w:rPr>
        <w:t xml:space="preserve">Western Growth Developments (Westmead) Pty Ltd (the Company), which </w:t>
      </w:r>
      <w:r>
        <w:rPr>
          <w:color w:val="111111"/>
          <w:sz w:val="20"/>
        </w:rPr>
        <w:t xml:space="preserve">comprise </w:t>
      </w:r>
      <w:r>
        <w:rPr>
          <w:sz w:val="20"/>
        </w:rPr>
        <w:t>the Statement of Comprehensive Income for the initial period</w:t>
      </w:r>
      <w:r>
        <w:rPr>
          <w:color w:val="161616"/>
          <w:sz w:val="20"/>
        </w:rPr>
        <w:t xml:space="preserve"> 5 </w:t>
      </w:r>
      <w:r>
        <w:rPr>
          <w:sz w:val="20"/>
        </w:rPr>
        <w:t xml:space="preserve">April 2018 to 31 December 2018, the Statement of Financial Position as </w:t>
      </w:r>
      <w:r>
        <w:rPr>
          <w:color w:val="0C0C0C"/>
          <w:sz w:val="20"/>
        </w:rPr>
        <w:t xml:space="preserve">at </w:t>
      </w:r>
      <w:r>
        <w:rPr>
          <w:sz w:val="20"/>
        </w:rPr>
        <w:t>31 December 2018, the Statement of Changes in Equity and the Statement of Cash Flows for the period then ended, notes comprising a Summary of Significant Accounting Policies and other explanatory information, Directors' Declaration and the Responsible Entities' Declaration.</w:t>
      </w:r>
    </w:p>
    <w:p w14:paraId="38E5E5FA" w14:textId="77777777" w:rsidR="00FA4AA8" w:rsidRDefault="0015611F">
      <w:pPr>
        <w:spacing w:before="173"/>
        <w:ind w:left="664"/>
        <w:rPr>
          <w:sz w:val="20"/>
        </w:rPr>
      </w:pPr>
      <w:r>
        <w:rPr>
          <w:sz w:val="20"/>
        </w:rPr>
        <w:t>In my opinion, the financial statements:</w:t>
      </w:r>
    </w:p>
    <w:p w14:paraId="66B48A59" w14:textId="77777777" w:rsidR="00FA4AA8" w:rsidRDefault="0015611F">
      <w:pPr>
        <w:pStyle w:val="ListParagraph"/>
        <w:numPr>
          <w:ilvl w:val="0"/>
          <w:numId w:val="27"/>
        </w:numPr>
        <w:tabs>
          <w:tab w:val="left" w:pos="1232"/>
          <w:tab w:val="left" w:pos="1233"/>
        </w:tabs>
        <w:spacing w:before="187"/>
        <w:rPr>
          <w:sz w:val="20"/>
        </w:rPr>
      </w:pPr>
      <w:r>
        <w:rPr>
          <w:sz w:val="20"/>
        </w:rPr>
        <w:t xml:space="preserve">are in accordance with the </w:t>
      </w:r>
      <w:r>
        <w:rPr>
          <w:i/>
          <w:sz w:val="20"/>
        </w:rPr>
        <w:t>Corporations Act 2001,</w:t>
      </w:r>
      <w:r>
        <w:rPr>
          <w:i/>
          <w:spacing w:val="-31"/>
          <w:sz w:val="20"/>
        </w:rPr>
        <w:t xml:space="preserve"> </w:t>
      </w:r>
      <w:r>
        <w:rPr>
          <w:sz w:val="20"/>
        </w:rPr>
        <w:t>including:</w:t>
      </w:r>
    </w:p>
    <w:p w14:paraId="372C7311" w14:textId="77777777" w:rsidR="00FA4AA8" w:rsidRDefault="0015611F">
      <w:pPr>
        <w:spacing w:before="68" w:line="249" w:lineRule="auto"/>
        <w:ind w:left="1818" w:right="928"/>
        <w:rPr>
          <w:sz w:val="20"/>
        </w:rPr>
      </w:pPr>
      <w:r>
        <w:rPr>
          <w:sz w:val="20"/>
        </w:rPr>
        <w:t>giving a true and fair view of the Company's financial position as at 31 December 2018 and its performance for the period ended on that date</w:t>
      </w:r>
    </w:p>
    <w:p w14:paraId="3F471AE2" w14:textId="77777777" w:rsidR="00FA4AA8" w:rsidRDefault="0015611F">
      <w:pPr>
        <w:spacing w:before="64"/>
        <w:ind w:left="1817"/>
        <w:rPr>
          <w:sz w:val="20"/>
        </w:rPr>
      </w:pPr>
      <w:r>
        <w:rPr>
          <w:sz w:val="20"/>
        </w:rPr>
        <w:t>complying with Australian Accounting Standards and the Corporations Regulations 2001</w:t>
      </w:r>
    </w:p>
    <w:p w14:paraId="25DF236C" w14:textId="77777777" w:rsidR="00FA4AA8" w:rsidRDefault="0015611F">
      <w:pPr>
        <w:pStyle w:val="ListParagraph"/>
        <w:numPr>
          <w:ilvl w:val="0"/>
          <w:numId w:val="27"/>
        </w:numPr>
        <w:tabs>
          <w:tab w:val="left" w:pos="1242"/>
          <w:tab w:val="left" w:pos="1243"/>
        </w:tabs>
        <w:spacing w:before="77" w:line="249" w:lineRule="auto"/>
        <w:ind w:right="988" w:hanging="560"/>
        <w:rPr>
          <w:sz w:val="20"/>
        </w:rPr>
      </w:pPr>
      <w:r>
        <w:rPr>
          <w:sz w:val="20"/>
        </w:rPr>
        <w:t>are</w:t>
      </w:r>
      <w:r>
        <w:rPr>
          <w:spacing w:val="-10"/>
          <w:sz w:val="20"/>
        </w:rPr>
        <w:t xml:space="preserve"> </w:t>
      </w:r>
      <w:r>
        <w:rPr>
          <w:sz w:val="20"/>
        </w:rPr>
        <w:t>in</w:t>
      </w:r>
      <w:r>
        <w:rPr>
          <w:spacing w:val="-13"/>
          <w:sz w:val="20"/>
        </w:rPr>
        <w:t xml:space="preserve"> </w:t>
      </w:r>
      <w:r>
        <w:rPr>
          <w:sz w:val="20"/>
        </w:rPr>
        <w:t>accordance</w:t>
      </w:r>
      <w:r>
        <w:rPr>
          <w:spacing w:val="-4"/>
          <w:sz w:val="20"/>
        </w:rPr>
        <w:t xml:space="preserve"> </w:t>
      </w:r>
      <w:r>
        <w:rPr>
          <w:sz w:val="20"/>
        </w:rPr>
        <w:t>with</w:t>
      </w:r>
      <w:r>
        <w:rPr>
          <w:spacing w:val="-7"/>
          <w:sz w:val="20"/>
        </w:rPr>
        <w:t xml:space="preserve"> </w:t>
      </w:r>
      <w:r>
        <w:rPr>
          <w:sz w:val="20"/>
        </w:rPr>
        <w:t>section</w:t>
      </w:r>
      <w:r>
        <w:rPr>
          <w:spacing w:val="-2"/>
          <w:sz w:val="20"/>
        </w:rPr>
        <w:t xml:space="preserve"> </w:t>
      </w:r>
      <w:r>
        <w:rPr>
          <w:sz w:val="20"/>
        </w:rPr>
        <w:t>41C</w:t>
      </w:r>
      <w:r>
        <w:rPr>
          <w:spacing w:val="-3"/>
          <w:sz w:val="20"/>
        </w:rPr>
        <w:t xml:space="preserve"> </w:t>
      </w:r>
      <w:r>
        <w:rPr>
          <w:sz w:val="20"/>
        </w:rPr>
        <w:t>of</w:t>
      </w:r>
      <w:r>
        <w:rPr>
          <w:spacing w:val="-8"/>
          <w:sz w:val="20"/>
        </w:rPr>
        <w:t xml:space="preserve"> </w:t>
      </w:r>
      <w:r>
        <w:rPr>
          <w:sz w:val="20"/>
        </w:rPr>
        <w:t>the</w:t>
      </w:r>
      <w:r>
        <w:rPr>
          <w:spacing w:val="-13"/>
          <w:sz w:val="20"/>
        </w:rPr>
        <w:t xml:space="preserve"> </w:t>
      </w:r>
      <w:r w:rsidR="00444D3A" w:rsidRPr="00444D3A">
        <w:rPr>
          <w:i/>
          <w:sz w:val="20"/>
        </w:rPr>
        <w:t>Public</w:t>
      </w:r>
      <w:r w:rsidRPr="00444D3A">
        <w:rPr>
          <w:i/>
          <w:spacing w:val="-15"/>
          <w:sz w:val="20"/>
        </w:rPr>
        <w:t xml:space="preserve"> </w:t>
      </w:r>
      <w:r w:rsidRPr="00444D3A">
        <w:rPr>
          <w:i/>
          <w:sz w:val="20"/>
        </w:rPr>
        <w:t>Finance</w:t>
      </w:r>
      <w:r>
        <w:rPr>
          <w:spacing w:val="-7"/>
          <w:sz w:val="20"/>
        </w:rPr>
        <w:t xml:space="preserve"> </w:t>
      </w:r>
      <w:r>
        <w:rPr>
          <w:i/>
          <w:color w:val="0E0E0E"/>
          <w:sz w:val="20"/>
        </w:rPr>
        <w:t>and</w:t>
      </w:r>
      <w:r>
        <w:rPr>
          <w:i/>
          <w:color w:val="0E0E0E"/>
          <w:spacing w:val="-5"/>
          <w:sz w:val="20"/>
        </w:rPr>
        <w:t xml:space="preserve"> </w:t>
      </w:r>
      <w:r>
        <w:rPr>
          <w:i/>
          <w:sz w:val="20"/>
        </w:rPr>
        <w:t>Audit</w:t>
      </w:r>
      <w:r>
        <w:rPr>
          <w:i/>
          <w:spacing w:val="5"/>
          <w:sz w:val="20"/>
        </w:rPr>
        <w:t xml:space="preserve"> </w:t>
      </w:r>
      <w:r>
        <w:rPr>
          <w:i/>
          <w:sz w:val="20"/>
        </w:rPr>
        <w:t>Act</w:t>
      </w:r>
      <w:r>
        <w:rPr>
          <w:i/>
          <w:spacing w:val="-11"/>
          <w:sz w:val="20"/>
        </w:rPr>
        <w:t xml:space="preserve"> </w:t>
      </w:r>
      <w:r>
        <w:rPr>
          <w:i/>
          <w:sz w:val="20"/>
        </w:rPr>
        <w:t>1983</w:t>
      </w:r>
      <w:r>
        <w:rPr>
          <w:i/>
          <w:spacing w:val="1"/>
          <w:sz w:val="20"/>
        </w:rPr>
        <w:t xml:space="preserve"> </w:t>
      </w:r>
      <w:r>
        <w:rPr>
          <w:sz w:val="20"/>
        </w:rPr>
        <w:t>(PF&amp;A</w:t>
      </w:r>
      <w:r>
        <w:rPr>
          <w:spacing w:val="5"/>
          <w:sz w:val="20"/>
        </w:rPr>
        <w:t xml:space="preserve"> </w:t>
      </w:r>
      <w:r>
        <w:rPr>
          <w:sz w:val="20"/>
        </w:rPr>
        <w:t>Act)</w:t>
      </w:r>
      <w:r>
        <w:rPr>
          <w:spacing w:val="-4"/>
          <w:sz w:val="20"/>
        </w:rPr>
        <w:t xml:space="preserve"> </w:t>
      </w:r>
      <w:r>
        <w:rPr>
          <w:sz w:val="20"/>
        </w:rPr>
        <w:t>and the Public Finance and Audit Regulation</w:t>
      </w:r>
      <w:r>
        <w:rPr>
          <w:spacing w:val="-8"/>
          <w:sz w:val="20"/>
        </w:rPr>
        <w:t xml:space="preserve"> </w:t>
      </w:r>
      <w:r>
        <w:rPr>
          <w:sz w:val="20"/>
        </w:rPr>
        <w:t>2015</w:t>
      </w:r>
    </w:p>
    <w:p w14:paraId="7C5EBF78" w14:textId="77777777" w:rsidR="00FA4AA8" w:rsidRDefault="0015611F">
      <w:pPr>
        <w:pStyle w:val="ListParagraph"/>
        <w:numPr>
          <w:ilvl w:val="0"/>
          <w:numId w:val="27"/>
        </w:numPr>
        <w:tabs>
          <w:tab w:val="left" w:pos="1231"/>
          <w:tab w:val="left" w:pos="1232"/>
        </w:tabs>
        <w:spacing w:before="65" w:line="249" w:lineRule="auto"/>
        <w:ind w:left="1236" w:right="1799" w:hanging="569"/>
        <w:rPr>
          <w:sz w:val="20"/>
        </w:rPr>
      </w:pPr>
      <w:r>
        <w:rPr>
          <w:sz w:val="20"/>
        </w:rPr>
        <w:t xml:space="preserve">have been prepared in accordance with Division 60 of the </w:t>
      </w:r>
      <w:r>
        <w:rPr>
          <w:i/>
          <w:sz w:val="20"/>
        </w:rPr>
        <w:t xml:space="preserve">Australian Charities </w:t>
      </w:r>
      <w:r>
        <w:rPr>
          <w:sz w:val="20"/>
        </w:rPr>
        <w:t xml:space="preserve">and </w:t>
      </w:r>
      <w:r>
        <w:rPr>
          <w:i/>
          <w:sz w:val="20"/>
        </w:rPr>
        <w:t>Not-for-Profits</w:t>
      </w:r>
      <w:r>
        <w:rPr>
          <w:i/>
          <w:spacing w:val="-9"/>
          <w:sz w:val="20"/>
        </w:rPr>
        <w:t xml:space="preserve"> </w:t>
      </w:r>
      <w:r>
        <w:rPr>
          <w:i/>
          <w:sz w:val="20"/>
        </w:rPr>
        <w:t>Commission</w:t>
      </w:r>
      <w:r>
        <w:rPr>
          <w:i/>
          <w:spacing w:val="7"/>
          <w:sz w:val="20"/>
        </w:rPr>
        <w:t xml:space="preserve"> </w:t>
      </w:r>
      <w:r>
        <w:rPr>
          <w:i/>
          <w:sz w:val="20"/>
        </w:rPr>
        <w:t>Act</w:t>
      </w:r>
      <w:r>
        <w:rPr>
          <w:i/>
          <w:spacing w:val="-13"/>
          <w:sz w:val="20"/>
        </w:rPr>
        <w:t xml:space="preserve"> </w:t>
      </w:r>
      <w:r>
        <w:rPr>
          <w:i/>
          <w:sz w:val="20"/>
        </w:rPr>
        <w:t>2012</w:t>
      </w:r>
      <w:r>
        <w:rPr>
          <w:i/>
          <w:spacing w:val="-3"/>
          <w:sz w:val="20"/>
        </w:rPr>
        <w:t xml:space="preserve"> </w:t>
      </w:r>
      <w:r>
        <w:rPr>
          <w:sz w:val="20"/>
        </w:rPr>
        <w:t>and</w:t>
      </w:r>
      <w:r>
        <w:rPr>
          <w:spacing w:val="-10"/>
          <w:sz w:val="20"/>
        </w:rPr>
        <w:t xml:space="preserve"> </w:t>
      </w:r>
      <w:r>
        <w:rPr>
          <w:sz w:val="20"/>
        </w:rPr>
        <w:t>Division</w:t>
      </w:r>
      <w:r>
        <w:rPr>
          <w:spacing w:val="-4"/>
          <w:sz w:val="20"/>
        </w:rPr>
        <w:t xml:space="preserve"> </w:t>
      </w:r>
      <w:r>
        <w:rPr>
          <w:sz w:val="20"/>
        </w:rPr>
        <w:t>60</w:t>
      </w:r>
      <w:r>
        <w:rPr>
          <w:spacing w:val="-15"/>
          <w:sz w:val="20"/>
        </w:rPr>
        <w:t xml:space="preserve"> </w:t>
      </w:r>
      <w:r>
        <w:rPr>
          <w:sz w:val="20"/>
        </w:rPr>
        <w:t>of</w:t>
      </w:r>
      <w:r>
        <w:rPr>
          <w:spacing w:val="-1"/>
          <w:sz w:val="20"/>
        </w:rPr>
        <w:t xml:space="preserve"> </w:t>
      </w:r>
      <w:r>
        <w:rPr>
          <w:sz w:val="20"/>
        </w:rPr>
        <w:t>the</w:t>
      </w:r>
      <w:r>
        <w:rPr>
          <w:spacing w:val="-7"/>
          <w:sz w:val="20"/>
        </w:rPr>
        <w:t xml:space="preserve"> </w:t>
      </w:r>
      <w:r>
        <w:rPr>
          <w:sz w:val="20"/>
        </w:rPr>
        <w:t>Australian</w:t>
      </w:r>
      <w:r>
        <w:rPr>
          <w:spacing w:val="-5"/>
          <w:sz w:val="20"/>
        </w:rPr>
        <w:t xml:space="preserve"> </w:t>
      </w:r>
      <w:r>
        <w:rPr>
          <w:sz w:val="20"/>
        </w:rPr>
        <w:t>Charities</w:t>
      </w:r>
      <w:r>
        <w:rPr>
          <w:spacing w:val="-8"/>
          <w:sz w:val="20"/>
        </w:rPr>
        <w:t xml:space="preserve"> </w:t>
      </w:r>
      <w:r>
        <w:rPr>
          <w:sz w:val="20"/>
        </w:rPr>
        <w:t>and Not-for-profits Commission Regulation</w:t>
      </w:r>
      <w:r>
        <w:rPr>
          <w:spacing w:val="-29"/>
          <w:sz w:val="20"/>
        </w:rPr>
        <w:t xml:space="preserve"> </w:t>
      </w:r>
      <w:r>
        <w:rPr>
          <w:sz w:val="20"/>
        </w:rPr>
        <w:t>2013.</w:t>
      </w:r>
    </w:p>
    <w:p w14:paraId="59E46B9C" w14:textId="77777777" w:rsidR="00FA4AA8" w:rsidRDefault="00FA4AA8">
      <w:pPr>
        <w:pStyle w:val="BodyText"/>
        <w:spacing w:before="8"/>
        <w:rPr>
          <w:sz w:val="17"/>
        </w:rPr>
      </w:pPr>
    </w:p>
    <w:p w14:paraId="2B0113D1" w14:textId="77777777" w:rsidR="00FA4AA8" w:rsidRDefault="0015611F">
      <w:pPr>
        <w:ind w:left="673"/>
        <w:rPr>
          <w:sz w:val="20"/>
        </w:rPr>
      </w:pPr>
      <w:r>
        <w:rPr>
          <w:sz w:val="20"/>
        </w:rPr>
        <w:t>My opinion should be read in conjunction with the rest of this report.</w:t>
      </w:r>
    </w:p>
    <w:p w14:paraId="63621217" w14:textId="77777777" w:rsidR="00FA4AA8" w:rsidRDefault="0015611F">
      <w:pPr>
        <w:spacing w:before="160"/>
        <w:ind w:left="669"/>
        <w:rPr>
          <w:sz w:val="25"/>
        </w:rPr>
      </w:pPr>
      <w:r>
        <w:rPr>
          <w:w w:val="105"/>
          <w:sz w:val="25"/>
        </w:rPr>
        <w:t>Basis for Opinion</w:t>
      </w:r>
    </w:p>
    <w:p w14:paraId="445CDC0A" w14:textId="77777777" w:rsidR="00FA4AA8" w:rsidRDefault="0015611F">
      <w:pPr>
        <w:spacing w:before="120" w:line="249" w:lineRule="auto"/>
        <w:ind w:left="667" w:right="715" w:firstLine="2"/>
        <w:rPr>
          <w:sz w:val="20"/>
        </w:rPr>
      </w:pPr>
      <w:r>
        <w:rPr>
          <w:color w:val="1A1A1A"/>
          <w:sz w:val="20"/>
        </w:rPr>
        <w:t xml:space="preserve">I </w:t>
      </w:r>
      <w:r>
        <w:rPr>
          <w:sz w:val="20"/>
        </w:rPr>
        <w:t xml:space="preserve">conducted my audit </w:t>
      </w:r>
      <w:r>
        <w:rPr>
          <w:color w:val="131313"/>
          <w:sz w:val="20"/>
        </w:rPr>
        <w:t xml:space="preserve">in </w:t>
      </w:r>
      <w:r>
        <w:rPr>
          <w:sz w:val="20"/>
        </w:rPr>
        <w:t xml:space="preserve">accordance with Australian Auditing Standards. My responsibilities under the standards are described </w:t>
      </w:r>
      <w:r>
        <w:rPr>
          <w:color w:val="1C1C1C"/>
          <w:sz w:val="20"/>
        </w:rPr>
        <w:t xml:space="preserve">in </w:t>
      </w:r>
      <w:r>
        <w:rPr>
          <w:sz w:val="20"/>
        </w:rPr>
        <w:t xml:space="preserve">the Auditor’s Responsibilities </w:t>
      </w:r>
      <w:r>
        <w:rPr>
          <w:color w:val="161616"/>
          <w:sz w:val="20"/>
        </w:rPr>
        <w:t xml:space="preserve">for </w:t>
      </w:r>
      <w:r>
        <w:rPr>
          <w:sz w:val="20"/>
        </w:rPr>
        <w:t>the ’Audit of the Financial Statements' section of my report.</w:t>
      </w:r>
    </w:p>
    <w:p w14:paraId="397243C0" w14:textId="77777777" w:rsidR="00FA4AA8" w:rsidRDefault="0015611F">
      <w:pPr>
        <w:spacing w:before="142"/>
        <w:ind w:left="661"/>
        <w:rPr>
          <w:sz w:val="23"/>
        </w:rPr>
      </w:pPr>
      <w:r>
        <w:rPr>
          <w:color w:val="1F1F1F"/>
          <w:w w:val="95"/>
          <w:sz w:val="23"/>
        </w:rPr>
        <w:t xml:space="preserve">I </w:t>
      </w:r>
      <w:r>
        <w:rPr>
          <w:color w:val="0F0F0F"/>
          <w:w w:val="95"/>
          <w:sz w:val="23"/>
        </w:rPr>
        <w:t xml:space="preserve">am </w:t>
      </w:r>
      <w:r>
        <w:rPr>
          <w:w w:val="95"/>
          <w:sz w:val="23"/>
        </w:rPr>
        <w:t xml:space="preserve">independent of the Company in </w:t>
      </w:r>
      <w:r>
        <w:rPr>
          <w:color w:val="0C0C0C"/>
          <w:w w:val="95"/>
          <w:sz w:val="23"/>
        </w:rPr>
        <w:t xml:space="preserve">accordance </w:t>
      </w:r>
      <w:r>
        <w:rPr>
          <w:color w:val="0F0F0F"/>
          <w:w w:val="95"/>
          <w:sz w:val="23"/>
        </w:rPr>
        <w:t xml:space="preserve">with </w:t>
      </w:r>
      <w:r>
        <w:rPr>
          <w:w w:val="95"/>
          <w:sz w:val="23"/>
        </w:rPr>
        <w:t>the requirements of the:</w:t>
      </w:r>
    </w:p>
    <w:p w14:paraId="6F9DE79A" w14:textId="77777777" w:rsidR="00FA4AA8" w:rsidRDefault="0015611F">
      <w:pPr>
        <w:pStyle w:val="ListParagraph"/>
        <w:numPr>
          <w:ilvl w:val="0"/>
          <w:numId w:val="27"/>
        </w:numPr>
        <w:tabs>
          <w:tab w:val="left" w:pos="1240"/>
          <w:tab w:val="left" w:pos="1241"/>
        </w:tabs>
        <w:spacing w:before="177"/>
        <w:ind w:left="1240" w:hanging="569"/>
        <w:rPr>
          <w:sz w:val="20"/>
        </w:rPr>
      </w:pPr>
      <w:r>
        <w:rPr>
          <w:sz w:val="20"/>
        </w:rPr>
        <w:t>Australian Auditing</w:t>
      </w:r>
      <w:r>
        <w:rPr>
          <w:spacing w:val="-21"/>
          <w:sz w:val="20"/>
        </w:rPr>
        <w:t xml:space="preserve"> </w:t>
      </w:r>
      <w:r>
        <w:rPr>
          <w:sz w:val="20"/>
        </w:rPr>
        <w:t>Standards</w:t>
      </w:r>
    </w:p>
    <w:p w14:paraId="17CAEA65" w14:textId="77777777" w:rsidR="00FA4AA8" w:rsidRDefault="007719AF">
      <w:pPr>
        <w:pStyle w:val="ListParagraph"/>
        <w:numPr>
          <w:ilvl w:val="0"/>
          <w:numId w:val="27"/>
        </w:numPr>
        <w:tabs>
          <w:tab w:val="left" w:pos="1239"/>
          <w:tab w:val="left" w:pos="1240"/>
        </w:tabs>
        <w:spacing w:before="67"/>
        <w:ind w:left="1239" w:hanging="568"/>
        <w:rPr>
          <w:i/>
          <w:sz w:val="20"/>
        </w:rPr>
      </w:pPr>
      <w:r w:rsidRPr="007719AF">
        <w:rPr>
          <w:i/>
          <w:sz w:val="20"/>
        </w:rPr>
        <w:t>Corporati</w:t>
      </w:r>
      <w:r w:rsidR="0015611F" w:rsidRPr="007719AF">
        <w:rPr>
          <w:i/>
          <w:sz w:val="20"/>
        </w:rPr>
        <w:t>ons</w:t>
      </w:r>
      <w:r w:rsidR="0015611F">
        <w:rPr>
          <w:sz w:val="20"/>
        </w:rPr>
        <w:t xml:space="preserve"> </w:t>
      </w:r>
      <w:r w:rsidR="0015611F">
        <w:rPr>
          <w:i/>
          <w:sz w:val="20"/>
        </w:rPr>
        <w:t>Act</w:t>
      </w:r>
      <w:r w:rsidR="0015611F">
        <w:rPr>
          <w:i/>
          <w:spacing w:val="20"/>
          <w:sz w:val="20"/>
        </w:rPr>
        <w:t xml:space="preserve"> </w:t>
      </w:r>
      <w:r w:rsidR="0015611F">
        <w:rPr>
          <w:i/>
          <w:sz w:val="20"/>
        </w:rPr>
        <w:t>2001</w:t>
      </w:r>
    </w:p>
    <w:p w14:paraId="5E8EEA73" w14:textId="77777777" w:rsidR="00FA4AA8" w:rsidRDefault="0015611F">
      <w:pPr>
        <w:pStyle w:val="ListParagraph"/>
        <w:numPr>
          <w:ilvl w:val="0"/>
          <w:numId w:val="27"/>
        </w:numPr>
        <w:tabs>
          <w:tab w:val="left" w:pos="1240"/>
          <w:tab w:val="left" w:pos="1241"/>
        </w:tabs>
        <w:spacing w:before="73" w:line="249" w:lineRule="auto"/>
        <w:ind w:left="1234" w:right="1640" w:hanging="562"/>
        <w:rPr>
          <w:sz w:val="20"/>
        </w:rPr>
      </w:pPr>
      <w:r>
        <w:rPr>
          <w:sz w:val="20"/>
        </w:rPr>
        <w:t>Accounting</w:t>
      </w:r>
      <w:r>
        <w:rPr>
          <w:spacing w:val="3"/>
          <w:sz w:val="20"/>
        </w:rPr>
        <w:t xml:space="preserve"> </w:t>
      </w:r>
      <w:r>
        <w:rPr>
          <w:sz w:val="20"/>
        </w:rPr>
        <w:t>Professional</w:t>
      </w:r>
      <w:r>
        <w:rPr>
          <w:spacing w:val="-3"/>
          <w:sz w:val="20"/>
        </w:rPr>
        <w:t xml:space="preserve"> </w:t>
      </w:r>
      <w:r>
        <w:rPr>
          <w:sz w:val="20"/>
        </w:rPr>
        <w:t>and</w:t>
      </w:r>
      <w:r>
        <w:rPr>
          <w:spacing w:val="-12"/>
          <w:sz w:val="20"/>
        </w:rPr>
        <w:t xml:space="preserve"> </w:t>
      </w:r>
      <w:r>
        <w:rPr>
          <w:sz w:val="20"/>
        </w:rPr>
        <w:t>Ethical</w:t>
      </w:r>
      <w:r>
        <w:rPr>
          <w:spacing w:val="-8"/>
          <w:sz w:val="20"/>
        </w:rPr>
        <w:t xml:space="preserve"> </w:t>
      </w:r>
      <w:r>
        <w:rPr>
          <w:sz w:val="20"/>
        </w:rPr>
        <w:t>Standards</w:t>
      </w:r>
      <w:r>
        <w:rPr>
          <w:spacing w:val="3"/>
          <w:sz w:val="20"/>
        </w:rPr>
        <w:t xml:space="preserve"> </w:t>
      </w:r>
      <w:r>
        <w:rPr>
          <w:sz w:val="20"/>
        </w:rPr>
        <w:t>Board’s</w:t>
      </w:r>
      <w:r>
        <w:rPr>
          <w:spacing w:val="-5"/>
          <w:sz w:val="20"/>
        </w:rPr>
        <w:t xml:space="preserve"> </w:t>
      </w:r>
      <w:r>
        <w:rPr>
          <w:sz w:val="20"/>
        </w:rPr>
        <w:t>APES</w:t>
      </w:r>
      <w:r>
        <w:rPr>
          <w:spacing w:val="-8"/>
          <w:sz w:val="20"/>
        </w:rPr>
        <w:t xml:space="preserve"> </w:t>
      </w:r>
      <w:r>
        <w:rPr>
          <w:sz w:val="20"/>
        </w:rPr>
        <w:t>110</w:t>
      </w:r>
      <w:r>
        <w:rPr>
          <w:spacing w:val="-18"/>
          <w:sz w:val="20"/>
        </w:rPr>
        <w:t xml:space="preserve"> </w:t>
      </w:r>
      <w:r>
        <w:rPr>
          <w:sz w:val="20"/>
        </w:rPr>
        <w:t>’Code</w:t>
      </w:r>
      <w:r>
        <w:rPr>
          <w:spacing w:val="-4"/>
          <w:sz w:val="20"/>
        </w:rPr>
        <w:t xml:space="preserve"> </w:t>
      </w:r>
      <w:r>
        <w:rPr>
          <w:color w:val="131313"/>
          <w:sz w:val="20"/>
        </w:rPr>
        <w:t>of</w:t>
      </w:r>
      <w:r>
        <w:rPr>
          <w:color w:val="131313"/>
          <w:spacing w:val="-4"/>
          <w:sz w:val="20"/>
        </w:rPr>
        <w:t xml:space="preserve"> </w:t>
      </w:r>
      <w:r>
        <w:rPr>
          <w:sz w:val="20"/>
        </w:rPr>
        <w:t>Ethics</w:t>
      </w:r>
      <w:r>
        <w:rPr>
          <w:spacing w:val="-7"/>
          <w:sz w:val="20"/>
        </w:rPr>
        <w:t xml:space="preserve"> </w:t>
      </w:r>
      <w:r>
        <w:rPr>
          <w:sz w:val="20"/>
        </w:rPr>
        <w:t xml:space="preserve">for Professional Accountants’ </w:t>
      </w:r>
      <w:r>
        <w:rPr>
          <w:color w:val="0A0A0A"/>
          <w:sz w:val="20"/>
        </w:rPr>
        <w:t>(APES</w:t>
      </w:r>
      <w:r>
        <w:rPr>
          <w:color w:val="0A0A0A"/>
          <w:spacing w:val="5"/>
          <w:sz w:val="20"/>
        </w:rPr>
        <w:t xml:space="preserve"> </w:t>
      </w:r>
      <w:r>
        <w:rPr>
          <w:sz w:val="20"/>
        </w:rPr>
        <w:t>110).</w:t>
      </w:r>
    </w:p>
    <w:p w14:paraId="2BC51BBD" w14:textId="77777777" w:rsidR="00FA4AA8" w:rsidRDefault="00FA4AA8">
      <w:pPr>
        <w:pStyle w:val="BodyText"/>
        <w:spacing w:before="2"/>
        <w:rPr>
          <w:sz w:val="17"/>
        </w:rPr>
      </w:pPr>
    </w:p>
    <w:p w14:paraId="43C5F2F5" w14:textId="77777777" w:rsidR="00FA4AA8" w:rsidRDefault="0015611F">
      <w:pPr>
        <w:spacing w:before="1"/>
        <w:ind w:left="664"/>
        <w:rPr>
          <w:sz w:val="20"/>
        </w:rPr>
      </w:pPr>
      <w:r>
        <w:rPr>
          <w:sz w:val="20"/>
        </w:rPr>
        <w:t xml:space="preserve">I have fulfilled my other ethical responsibilities </w:t>
      </w:r>
      <w:r>
        <w:rPr>
          <w:color w:val="131313"/>
          <w:sz w:val="20"/>
        </w:rPr>
        <w:t xml:space="preserve">in </w:t>
      </w:r>
      <w:r>
        <w:rPr>
          <w:sz w:val="20"/>
        </w:rPr>
        <w:t xml:space="preserve">accordance </w:t>
      </w:r>
      <w:r>
        <w:rPr>
          <w:color w:val="131313"/>
          <w:sz w:val="20"/>
        </w:rPr>
        <w:t xml:space="preserve">with </w:t>
      </w:r>
      <w:r>
        <w:rPr>
          <w:sz w:val="20"/>
        </w:rPr>
        <w:t>APES 110.</w:t>
      </w:r>
    </w:p>
    <w:p w14:paraId="1C067DEB" w14:textId="77777777" w:rsidR="00FA4AA8" w:rsidRDefault="00FA4AA8">
      <w:pPr>
        <w:pStyle w:val="BodyText"/>
        <w:rPr>
          <w:sz w:val="20"/>
        </w:rPr>
      </w:pPr>
    </w:p>
    <w:p w14:paraId="40195CD7" w14:textId="77777777" w:rsidR="00FA4AA8" w:rsidRDefault="00FA4AA8">
      <w:pPr>
        <w:pStyle w:val="BodyText"/>
        <w:rPr>
          <w:sz w:val="20"/>
        </w:rPr>
      </w:pPr>
    </w:p>
    <w:p w14:paraId="280B6DFD" w14:textId="77777777" w:rsidR="00FA4AA8" w:rsidRDefault="00FA4AA8">
      <w:pPr>
        <w:pStyle w:val="BodyText"/>
        <w:rPr>
          <w:sz w:val="20"/>
        </w:rPr>
      </w:pPr>
    </w:p>
    <w:p w14:paraId="59873A22" w14:textId="77777777" w:rsidR="00FA4AA8" w:rsidRDefault="00FA4AA8">
      <w:pPr>
        <w:pStyle w:val="BodyText"/>
        <w:rPr>
          <w:sz w:val="20"/>
        </w:rPr>
      </w:pPr>
    </w:p>
    <w:p w14:paraId="33CDFF2C" w14:textId="77777777" w:rsidR="00FA4AA8" w:rsidRDefault="00FA4AA8">
      <w:pPr>
        <w:pStyle w:val="BodyText"/>
        <w:rPr>
          <w:sz w:val="20"/>
        </w:rPr>
      </w:pPr>
    </w:p>
    <w:p w14:paraId="00C30624" w14:textId="77777777" w:rsidR="00FA4AA8" w:rsidRDefault="00FA4AA8">
      <w:pPr>
        <w:pStyle w:val="BodyText"/>
        <w:rPr>
          <w:sz w:val="20"/>
        </w:rPr>
      </w:pPr>
    </w:p>
    <w:p w14:paraId="54CF4DAC" w14:textId="77777777" w:rsidR="00FA4AA8" w:rsidRDefault="00FA4AA8">
      <w:pPr>
        <w:pStyle w:val="BodyText"/>
        <w:rPr>
          <w:sz w:val="20"/>
        </w:rPr>
      </w:pPr>
    </w:p>
    <w:p w14:paraId="2FE39AF9" w14:textId="77777777" w:rsidR="00FA4AA8" w:rsidRDefault="007E2441">
      <w:pPr>
        <w:pStyle w:val="BodyText"/>
        <w:spacing w:before="1"/>
        <w:rPr>
          <w:sz w:val="29"/>
        </w:rPr>
      </w:pPr>
      <w:r>
        <w:rPr>
          <w:noProof/>
          <w:lang w:val="en-AU" w:eastAsia="en-AU"/>
        </w:rPr>
        <mc:AlternateContent>
          <mc:Choice Requires="wps">
            <w:drawing>
              <wp:anchor distT="0" distB="0" distL="0" distR="0" simplePos="0" relativeHeight="487683072" behindDoc="1" locked="0" layoutInCell="1" allowOverlap="1" wp14:anchorId="36453282" wp14:editId="17AF6B83">
                <wp:simplePos x="0" y="0"/>
                <wp:positionH relativeFrom="page">
                  <wp:posOffset>502920</wp:posOffset>
                </wp:positionH>
                <wp:positionV relativeFrom="paragraph">
                  <wp:posOffset>245110</wp:posOffset>
                </wp:positionV>
                <wp:extent cx="6468745" cy="1270"/>
                <wp:effectExtent l="0" t="0" r="0" b="0"/>
                <wp:wrapTopAndBottom/>
                <wp:docPr id="372" name="Freeform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68745" cy="1270"/>
                        </a:xfrm>
                        <a:custGeom>
                          <a:avLst/>
                          <a:gdLst>
                            <a:gd name="T0" fmla="+- 0 792 792"/>
                            <a:gd name="T1" fmla="*/ T0 w 10187"/>
                            <a:gd name="T2" fmla="+- 0 10978 792"/>
                            <a:gd name="T3" fmla="*/ T2 w 10187"/>
                          </a:gdLst>
                          <a:ahLst/>
                          <a:cxnLst>
                            <a:cxn ang="0">
                              <a:pos x="T1" y="0"/>
                            </a:cxn>
                            <a:cxn ang="0">
                              <a:pos x="T3" y="0"/>
                            </a:cxn>
                          </a:cxnLst>
                          <a:rect l="0" t="0" r="r" b="b"/>
                          <a:pathLst>
                            <a:path w="10187">
                              <a:moveTo>
                                <a:pt x="0" y="0"/>
                              </a:moveTo>
                              <a:lnTo>
                                <a:pt x="10186" y="0"/>
                              </a:lnTo>
                            </a:path>
                          </a:pathLst>
                        </a:custGeom>
                        <a:noFill/>
                        <a:ln w="15241">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FB54C" id="Freeform 138" o:spid="_x0000_s1026" style="position:absolute;margin-left:39.6pt;margin-top:19.3pt;width:509.35pt;height:.1pt;z-index:-15633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18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" path="m,l10186,e" filled="f" strokecolor="#1f1f1f" strokeweight=".42336mm">
                <v:path arrowok="t" o:connecttype="custom" o:connectlocs="0,0;6468110,0" o:connectangles="0,0"/>
                <w10:wrap type="topAndBottom" anchorx="page"/>
              </v:shape>
            </w:pict>
          </mc:Fallback>
        </mc:AlternateContent>
      </w:r>
    </w:p>
    <w:p w14:paraId="49BD1F71" w14:textId="77777777" w:rsidR="00FA4AA8" w:rsidRDefault="0015611F">
      <w:pPr>
        <w:spacing w:before="137"/>
        <w:ind w:left="145" w:right="145"/>
        <w:jc w:val="center"/>
        <w:rPr>
          <w:sz w:val="14"/>
        </w:rPr>
      </w:pPr>
      <w:r>
        <w:rPr>
          <w:sz w:val="14"/>
        </w:rPr>
        <w:t xml:space="preserve">Level </w:t>
      </w:r>
      <w:r>
        <w:rPr>
          <w:color w:val="161616"/>
          <w:sz w:val="14"/>
        </w:rPr>
        <w:t xml:space="preserve">15, </w:t>
      </w:r>
      <w:r>
        <w:rPr>
          <w:sz w:val="14"/>
        </w:rPr>
        <w:t xml:space="preserve">1 Margaret Street, Sydney </w:t>
      </w:r>
      <w:r w:rsidR="007719AF">
        <w:rPr>
          <w:sz w:val="14"/>
        </w:rPr>
        <w:t>NSW</w:t>
      </w:r>
      <w:r>
        <w:rPr>
          <w:sz w:val="14"/>
        </w:rPr>
        <w:t xml:space="preserve"> </w:t>
      </w:r>
      <w:r w:rsidR="007719AF">
        <w:rPr>
          <w:color w:val="1F1F1F"/>
          <w:sz w:val="14"/>
        </w:rPr>
        <w:t>2000| GPO Box 12</w:t>
      </w:r>
      <w:r>
        <w:rPr>
          <w:color w:val="131313"/>
          <w:sz w:val="14"/>
        </w:rPr>
        <w:t xml:space="preserve">, </w:t>
      </w:r>
      <w:r>
        <w:rPr>
          <w:color w:val="212121"/>
          <w:sz w:val="14"/>
        </w:rPr>
        <w:t xml:space="preserve">Sydney </w:t>
      </w:r>
      <w:r>
        <w:rPr>
          <w:sz w:val="14"/>
        </w:rPr>
        <w:t xml:space="preserve">NSW 2001 </w:t>
      </w:r>
      <w:r>
        <w:rPr>
          <w:color w:val="232323"/>
          <w:w w:val="90"/>
          <w:sz w:val="14"/>
        </w:rPr>
        <w:t xml:space="preserve">1 </w:t>
      </w:r>
      <w:r>
        <w:rPr>
          <w:sz w:val="14"/>
        </w:rPr>
        <w:t xml:space="preserve">102 </w:t>
      </w:r>
      <w:r>
        <w:rPr>
          <w:color w:val="0F0F0F"/>
          <w:sz w:val="14"/>
        </w:rPr>
        <w:t xml:space="preserve">0275 </w:t>
      </w:r>
      <w:r>
        <w:rPr>
          <w:color w:val="212121"/>
          <w:sz w:val="14"/>
        </w:rPr>
        <w:t xml:space="preserve">7101 </w:t>
      </w:r>
      <w:r>
        <w:rPr>
          <w:color w:val="565656"/>
          <w:sz w:val="14"/>
        </w:rPr>
        <w:t xml:space="preserve">I </w:t>
      </w:r>
      <w:r>
        <w:rPr>
          <w:sz w:val="14"/>
        </w:rPr>
        <w:t xml:space="preserve">f </w:t>
      </w:r>
      <w:r>
        <w:rPr>
          <w:color w:val="1C1C1C"/>
          <w:sz w:val="14"/>
        </w:rPr>
        <w:t xml:space="preserve">02 </w:t>
      </w:r>
      <w:r>
        <w:rPr>
          <w:sz w:val="14"/>
        </w:rPr>
        <w:t xml:space="preserve">9275 7179 </w:t>
      </w:r>
      <w:r w:rsidR="007719AF">
        <w:rPr>
          <w:color w:val="363636"/>
          <w:sz w:val="14"/>
        </w:rPr>
        <w:t>I</w:t>
      </w:r>
      <w:r>
        <w:rPr>
          <w:color w:val="363636"/>
          <w:sz w:val="14"/>
        </w:rPr>
        <w:t xml:space="preserve"> </w:t>
      </w:r>
      <w:r>
        <w:rPr>
          <w:color w:val="0C0C0C"/>
          <w:sz w:val="14"/>
        </w:rPr>
        <w:t xml:space="preserve">e </w:t>
      </w:r>
      <w:r w:rsidR="007719AF">
        <w:rPr>
          <w:sz w:val="14"/>
        </w:rPr>
        <w:t>mail audit.nsw.gov</w:t>
      </w:r>
      <w:r>
        <w:rPr>
          <w:sz w:val="14"/>
        </w:rPr>
        <w:t xml:space="preserve">.au </w:t>
      </w:r>
      <w:r>
        <w:rPr>
          <w:color w:val="333333"/>
          <w:sz w:val="14"/>
        </w:rPr>
        <w:t xml:space="preserve">I </w:t>
      </w:r>
      <w:r>
        <w:rPr>
          <w:sz w:val="14"/>
        </w:rPr>
        <w:t>audit.nsw.gov.au</w:t>
      </w:r>
    </w:p>
    <w:p w14:paraId="776C1BD9" w14:textId="77777777" w:rsidR="00FA4AA8" w:rsidRDefault="00FA4AA8">
      <w:pPr>
        <w:jc w:val="center"/>
        <w:rPr>
          <w:sz w:val="14"/>
        </w:rPr>
        <w:sectPr w:rsidR="00FA4AA8">
          <w:headerReference w:type="default" r:id="rId260"/>
          <w:footerReference w:type="default" r:id="rId261"/>
          <w:pgSz w:w="11900" w:h="16840"/>
          <w:pgMar w:top="500" w:right="800" w:bottom="720" w:left="680" w:header="0" w:footer="523" w:gutter="0"/>
          <w:pgNumType w:start="223"/>
          <w:cols w:space="720"/>
        </w:sectPr>
      </w:pPr>
    </w:p>
    <w:p w14:paraId="09753FF5" w14:textId="77777777" w:rsidR="00FA4AA8" w:rsidRDefault="0015611F">
      <w:pPr>
        <w:spacing w:before="64" w:line="242" w:lineRule="auto"/>
        <w:ind w:left="691" w:right="1267" w:hanging="1"/>
        <w:rPr>
          <w:sz w:val="21"/>
        </w:rPr>
      </w:pPr>
      <w:r>
        <w:rPr>
          <w:w w:val="95"/>
          <w:sz w:val="21"/>
        </w:rPr>
        <w:t xml:space="preserve">Parliament promotes independence by ensuring the Auditor-General and the Audit Office of </w:t>
      </w:r>
      <w:r>
        <w:rPr>
          <w:sz w:val="21"/>
        </w:rPr>
        <w:t>New South Wales are not compromised in their roles by:</w:t>
      </w:r>
    </w:p>
    <w:p w14:paraId="722351AC" w14:textId="77777777" w:rsidR="00FA4AA8" w:rsidRDefault="007719AF">
      <w:pPr>
        <w:pStyle w:val="ListParagraph"/>
        <w:numPr>
          <w:ilvl w:val="0"/>
          <w:numId w:val="27"/>
        </w:numPr>
        <w:tabs>
          <w:tab w:val="left" w:pos="1257"/>
          <w:tab w:val="left" w:pos="1258"/>
        </w:tabs>
        <w:spacing w:before="166" w:line="242" w:lineRule="auto"/>
        <w:ind w:left="1254" w:right="2022" w:hanging="569"/>
        <w:rPr>
          <w:sz w:val="21"/>
        </w:rPr>
      </w:pPr>
      <w:r>
        <w:rPr>
          <w:w w:val="95"/>
          <w:sz w:val="21"/>
        </w:rPr>
        <w:t>providing</w:t>
      </w:r>
      <w:r w:rsidR="0015611F">
        <w:rPr>
          <w:spacing w:val="-5"/>
          <w:w w:val="95"/>
          <w:sz w:val="21"/>
        </w:rPr>
        <w:t xml:space="preserve"> </w:t>
      </w:r>
      <w:r w:rsidR="0015611F">
        <w:rPr>
          <w:w w:val="95"/>
          <w:sz w:val="21"/>
        </w:rPr>
        <w:t>that</w:t>
      </w:r>
      <w:r w:rsidR="0015611F">
        <w:rPr>
          <w:spacing w:val="-10"/>
          <w:w w:val="95"/>
          <w:sz w:val="21"/>
        </w:rPr>
        <w:t xml:space="preserve"> </w:t>
      </w:r>
      <w:r w:rsidR="0015611F">
        <w:rPr>
          <w:w w:val="95"/>
          <w:sz w:val="21"/>
        </w:rPr>
        <w:t>only</w:t>
      </w:r>
      <w:r w:rsidR="0015611F">
        <w:rPr>
          <w:spacing w:val="-10"/>
          <w:w w:val="95"/>
          <w:sz w:val="21"/>
        </w:rPr>
        <w:t xml:space="preserve"> </w:t>
      </w:r>
      <w:r w:rsidR="0015611F">
        <w:rPr>
          <w:w w:val="95"/>
          <w:sz w:val="21"/>
        </w:rPr>
        <w:t>Parliament,</w:t>
      </w:r>
      <w:r w:rsidR="0015611F">
        <w:rPr>
          <w:spacing w:val="6"/>
          <w:w w:val="95"/>
          <w:sz w:val="21"/>
        </w:rPr>
        <w:t xml:space="preserve"> </w:t>
      </w:r>
      <w:r w:rsidR="0015611F">
        <w:rPr>
          <w:w w:val="95"/>
          <w:sz w:val="21"/>
        </w:rPr>
        <w:t>and</w:t>
      </w:r>
      <w:r w:rsidR="0015611F">
        <w:rPr>
          <w:spacing w:val="-11"/>
          <w:w w:val="95"/>
          <w:sz w:val="21"/>
        </w:rPr>
        <w:t xml:space="preserve"> </w:t>
      </w:r>
      <w:r w:rsidR="0015611F">
        <w:rPr>
          <w:w w:val="95"/>
          <w:sz w:val="21"/>
        </w:rPr>
        <w:t>not</w:t>
      </w:r>
      <w:r w:rsidR="0015611F">
        <w:rPr>
          <w:spacing w:val="-9"/>
          <w:w w:val="95"/>
          <w:sz w:val="21"/>
        </w:rPr>
        <w:t xml:space="preserve"> </w:t>
      </w:r>
      <w:r w:rsidR="0015611F">
        <w:rPr>
          <w:w w:val="95"/>
          <w:sz w:val="21"/>
        </w:rPr>
        <w:t>the</w:t>
      </w:r>
      <w:r w:rsidR="0015611F">
        <w:rPr>
          <w:spacing w:val="-16"/>
          <w:w w:val="95"/>
          <w:sz w:val="21"/>
        </w:rPr>
        <w:t xml:space="preserve"> </w:t>
      </w:r>
      <w:r w:rsidR="0015611F">
        <w:rPr>
          <w:w w:val="95"/>
          <w:sz w:val="21"/>
        </w:rPr>
        <w:t>executive</w:t>
      </w:r>
      <w:r w:rsidR="0015611F">
        <w:rPr>
          <w:spacing w:val="-2"/>
          <w:w w:val="95"/>
          <w:sz w:val="21"/>
        </w:rPr>
        <w:t xml:space="preserve"> </w:t>
      </w:r>
      <w:r w:rsidR="0015611F">
        <w:rPr>
          <w:w w:val="95"/>
          <w:sz w:val="21"/>
        </w:rPr>
        <w:t>government,</w:t>
      </w:r>
      <w:r w:rsidR="0015611F">
        <w:rPr>
          <w:spacing w:val="5"/>
          <w:w w:val="95"/>
          <w:sz w:val="21"/>
        </w:rPr>
        <w:t xml:space="preserve"> </w:t>
      </w:r>
      <w:r w:rsidR="0015611F">
        <w:rPr>
          <w:w w:val="95"/>
          <w:sz w:val="21"/>
        </w:rPr>
        <w:t>can</w:t>
      </w:r>
      <w:r w:rsidR="0015611F">
        <w:rPr>
          <w:spacing w:val="-10"/>
          <w:w w:val="95"/>
          <w:sz w:val="21"/>
        </w:rPr>
        <w:t xml:space="preserve"> </w:t>
      </w:r>
      <w:r w:rsidR="0015611F">
        <w:rPr>
          <w:w w:val="95"/>
          <w:sz w:val="21"/>
        </w:rPr>
        <w:t>remove</w:t>
      </w:r>
      <w:r w:rsidR="0015611F">
        <w:rPr>
          <w:spacing w:val="-11"/>
          <w:w w:val="95"/>
          <w:sz w:val="21"/>
        </w:rPr>
        <w:t xml:space="preserve"> </w:t>
      </w:r>
      <w:r w:rsidR="0015611F">
        <w:rPr>
          <w:color w:val="161616"/>
          <w:w w:val="95"/>
          <w:sz w:val="21"/>
        </w:rPr>
        <w:t>an</w:t>
      </w:r>
      <w:r w:rsidR="0015611F">
        <w:rPr>
          <w:w w:val="95"/>
          <w:sz w:val="21"/>
        </w:rPr>
        <w:t xml:space="preserve"> </w:t>
      </w:r>
      <w:r w:rsidR="0015611F">
        <w:rPr>
          <w:sz w:val="21"/>
        </w:rPr>
        <w:t>Auditor-General</w:t>
      </w:r>
    </w:p>
    <w:p w14:paraId="5001321D" w14:textId="77777777" w:rsidR="00FA4AA8" w:rsidRDefault="0015611F">
      <w:pPr>
        <w:pStyle w:val="ListParagraph"/>
        <w:numPr>
          <w:ilvl w:val="0"/>
          <w:numId w:val="27"/>
        </w:numPr>
        <w:tabs>
          <w:tab w:val="left" w:pos="1250"/>
          <w:tab w:val="left" w:pos="1251"/>
        </w:tabs>
        <w:spacing w:before="54"/>
        <w:ind w:left="1250" w:hanging="565"/>
        <w:rPr>
          <w:sz w:val="21"/>
        </w:rPr>
      </w:pPr>
      <w:r>
        <w:rPr>
          <w:sz w:val="21"/>
        </w:rPr>
        <w:t>mandating the Auditor-General as auditor of public sector</w:t>
      </w:r>
      <w:r>
        <w:rPr>
          <w:spacing w:val="-12"/>
          <w:sz w:val="21"/>
        </w:rPr>
        <w:t xml:space="preserve"> </w:t>
      </w:r>
      <w:r>
        <w:rPr>
          <w:sz w:val="21"/>
        </w:rPr>
        <w:t>agencies</w:t>
      </w:r>
    </w:p>
    <w:p w14:paraId="58EC5B79" w14:textId="77777777" w:rsidR="00FA4AA8" w:rsidRDefault="0015611F">
      <w:pPr>
        <w:pStyle w:val="ListParagraph"/>
        <w:numPr>
          <w:ilvl w:val="0"/>
          <w:numId w:val="27"/>
        </w:numPr>
        <w:tabs>
          <w:tab w:val="left" w:pos="1250"/>
          <w:tab w:val="left" w:pos="1251"/>
        </w:tabs>
        <w:spacing w:before="56"/>
        <w:ind w:left="1250" w:hanging="565"/>
        <w:rPr>
          <w:sz w:val="21"/>
        </w:rPr>
      </w:pPr>
      <w:r>
        <w:rPr>
          <w:sz w:val="21"/>
        </w:rPr>
        <w:t>precluding the Auditor-General from providing non-audit</w:t>
      </w:r>
      <w:r>
        <w:rPr>
          <w:spacing w:val="-4"/>
          <w:sz w:val="21"/>
        </w:rPr>
        <w:t xml:space="preserve"> </w:t>
      </w:r>
      <w:r>
        <w:rPr>
          <w:sz w:val="21"/>
        </w:rPr>
        <w:t>services.</w:t>
      </w:r>
    </w:p>
    <w:p w14:paraId="7E7E2218" w14:textId="77777777" w:rsidR="00FA4AA8" w:rsidRDefault="0015611F">
      <w:pPr>
        <w:spacing w:before="196"/>
        <w:ind w:left="690" w:right="715" w:hanging="3"/>
        <w:rPr>
          <w:sz w:val="21"/>
        </w:rPr>
      </w:pPr>
      <w:r>
        <w:rPr>
          <w:color w:val="181818"/>
          <w:sz w:val="21"/>
        </w:rPr>
        <w:t xml:space="preserve">I </w:t>
      </w:r>
      <w:r>
        <w:rPr>
          <w:sz w:val="21"/>
        </w:rPr>
        <w:t xml:space="preserve">confirm </w:t>
      </w:r>
      <w:r>
        <w:rPr>
          <w:color w:val="0C0C0C"/>
          <w:sz w:val="21"/>
        </w:rPr>
        <w:t xml:space="preserve">the </w:t>
      </w:r>
      <w:r>
        <w:rPr>
          <w:sz w:val="21"/>
        </w:rPr>
        <w:t xml:space="preserve">independence declaration, required </w:t>
      </w:r>
      <w:r>
        <w:rPr>
          <w:color w:val="0E0E0E"/>
          <w:sz w:val="21"/>
        </w:rPr>
        <w:t xml:space="preserve">by </w:t>
      </w:r>
      <w:r>
        <w:rPr>
          <w:sz w:val="21"/>
        </w:rPr>
        <w:t xml:space="preserve">the Corporations </w:t>
      </w:r>
      <w:r>
        <w:rPr>
          <w:i/>
          <w:sz w:val="21"/>
        </w:rPr>
        <w:t xml:space="preserve">Act 2001, </w:t>
      </w:r>
      <w:r>
        <w:rPr>
          <w:sz w:val="21"/>
        </w:rPr>
        <w:t>provided to the directors</w:t>
      </w:r>
      <w:r>
        <w:rPr>
          <w:spacing w:val="-25"/>
          <w:sz w:val="21"/>
        </w:rPr>
        <w:t xml:space="preserve"> </w:t>
      </w:r>
      <w:r>
        <w:rPr>
          <w:color w:val="161616"/>
          <w:sz w:val="21"/>
        </w:rPr>
        <w:t>of</w:t>
      </w:r>
      <w:r>
        <w:rPr>
          <w:color w:val="161616"/>
          <w:spacing w:val="-31"/>
          <w:sz w:val="21"/>
        </w:rPr>
        <w:t xml:space="preserve"> </w:t>
      </w:r>
      <w:r>
        <w:rPr>
          <w:color w:val="1A1A1A"/>
          <w:sz w:val="21"/>
        </w:rPr>
        <w:t>the</w:t>
      </w:r>
      <w:r>
        <w:rPr>
          <w:color w:val="1A1A1A"/>
          <w:spacing w:val="-31"/>
          <w:sz w:val="21"/>
        </w:rPr>
        <w:t xml:space="preserve"> </w:t>
      </w:r>
      <w:r>
        <w:rPr>
          <w:sz w:val="21"/>
        </w:rPr>
        <w:t>Company</w:t>
      </w:r>
      <w:r>
        <w:rPr>
          <w:spacing w:val="-19"/>
          <w:sz w:val="21"/>
        </w:rPr>
        <w:t xml:space="preserve"> </w:t>
      </w:r>
      <w:r>
        <w:rPr>
          <w:color w:val="1A1A1A"/>
          <w:sz w:val="21"/>
        </w:rPr>
        <w:t>on</w:t>
      </w:r>
      <w:r>
        <w:rPr>
          <w:color w:val="1A1A1A"/>
          <w:spacing w:val="-35"/>
          <w:sz w:val="21"/>
        </w:rPr>
        <w:t xml:space="preserve"> </w:t>
      </w:r>
      <w:r>
        <w:rPr>
          <w:color w:val="181818"/>
          <w:sz w:val="21"/>
        </w:rPr>
        <w:t>8</w:t>
      </w:r>
      <w:r>
        <w:rPr>
          <w:color w:val="181818"/>
          <w:spacing w:val="-28"/>
          <w:sz w:val="21"/>
        </w:rPr>
        <w:t xml:space="preserve"> </w:t>
      </w:r>
      <w:r>
        <w:rPr>
          <w:sz w:val="21"/>
        </w:rPr>
        <w:t>April</w:t>
      </w:r>
      <w:r>
        <w:rPr>
          <w:spacing w:val="-31"/>
          <w:sz w:val="21"/>
        </w:rPr>
        <w:t xml:space="preserve"> </w:t>
      </w:r>
      <w:r>
        <w:rPr>
          <w:sz w:val="21"/>
        </w:rPr>
        <w:t>2019,</w:t>
      </w:r>
      <w:r>
        <w:rPr>
          <w:spacing w:val="-19"/>
          <w:sz w:val="21"/>
        </w:rPr>
        <w:t xml:space="preserve"> </w:t>
      </w:r>
      <w:r>
        <w:rPr>
          <w:sz w:val="21"/>
        </w:rPr>
        <w:t>would</w:t>
      </w:r>
      <w:r>
        <w:rPr>
          <w:spacing w:val="-24"/>
          <w:sz w:val="21"/>
        </w:rPr>
        <w:t xml:space="preserve"> </w:t>
      </w:r>
      <w:r>
        <w:rPr>
          <w:sz w:val="21"/>
        </w:rPr>
        <w:t>be</w:t>
      </w:r>
      <w:r>
        <w:rPr>
          <w:spacing w:val="-29"/>
          <w:sz w:val="21"/>
        </w:rPr>
        <w:t xml:space="preserve"> </w:t>
      </w:r>
      <w:r>
        <w:rPr>
          <w:color w:val="3A3A3A"/>
          <w:sz w:val="21"/>
        </w:rPr>
        <w:t>in</w:t>
      </w:r>
      <w:r>
        <w:rPr>
          <w:color w:val="3A3A3A"/>
          <w:spacing w:val="-31"/>
          <w:sz w:val="21"/>
        </w:rPr>
        <w:t xml:space="preserve"> </w:t>
      </w:r>
      <w:r>
        <w:rPr>
          <w:sz w:val="21"/>
        </w:rPr>
        <w:t>the</w:t>
      </w:r>
      <w:r>
        <w:rPr>
          <w:spacing w:val="-29"/>
          <w:sz w:val="21"/>
        </w:rPr>
        <w:t xml:space="preserve"> </w:t>
      </w:r>
      <w:r>
        <w:rPr>
          <w:sz w:val="21"/>
        </w:rPr>
        <w:t>same</w:t>
      </w:r>
      <w:r>
        <w:rPr>
          <w:spacing w:val="-24"/>
          <w:sz w:val="21"/>
        </w:rPr>
        <w:t xml:space="preserve"> </w:t>
      </w:r>
      <w:r>
        <w:rPr>
          <w:sz w:val="21"/>
        </w:rPr>
        <w:t>terms</w:t>
      </w:r>
      <w:r>
        <w:rPr>
          <w:spacing w:val="-29"/>
          <w:sz w:val="21"/>
        </w:rPr>
        <w:t xml:space="preserve"> </w:t>
      </w:r>
      <w:r>
        <w:rPr>
          <w:sz w:val="21"/>
        </w:rPr>
        <w:t>if</w:t>
      </w:r>
      <w:r>
        <w:rPr>
          <w:spacing w:val="-28"/>
          <w:sz w:val="21"/>
        </w:rPr>
        <w:t xml:space="preserve"> </w:t>
      </w:r>
      <w:r>
        <w:rPr>
          <w:sz w:val="21"/>
        </w:rPr>
        <w:t>provided</w:t>
      </w:r>
      <w:r>
        <w:rPr>
          <w:spacing w:val="-20"/>
          <w:sz w:val="21"/>
        </w:rPr>
        <w:t xml:space="preserve"> </w:t>
      </w:r>
      <w:r>
        <w:rPr>
          <w:sz w:val="21"/>
        </w:rPr>
        <w:t>to</w:t>
      </w:r>
      <w:r>
        <w:rPr>
          <w:spacing w:val="-29"/>
          <w:sz w:val="21"/>
        </w:rPr>
        <w:t xml:space="preserve"> </w:t>
      </w:r>
      <w:r>
        <w:rPr>
          <w:color w:val="151515"/>
          <w:sz w:val="21"/>
        </w:rPr>
        <w:t>the</w:t>
      </w:r>
      <w:r>
        <w:rPr>
          <w:color w:val="151515"/>
          <w:spacing w:val="-29"/>
          <w:sz w:val="21"/>
        </w:rPr>
        <w:t xml:space="preserve"> </w:t>
      </w:r>
      <w:r>
        <w:rPr>
          <w:sz w:val="21"/>
        </w:rPr>
        <w:t>directors</w:t>
      </w:r>
      <w:r>
        <w:rPr>
          <w:spacing w:val="-20"/>
          <w:sz w:val="21"/>
        </w:rPr>
        <w:t xml:space="preserve"> </w:t>
      </w:r>
      <w:r>
        <w:rPr>
          <w:sz w:val="21"/>
        </w:rPr>
        <w:t>as</w:t>
      </w:r>
      <w:r>
        <w:rPr>
          <w:spacing w:val="-30"/>
          <w:sz w:val="21"/>
        </w:rPr>
        <w:t xml:space="preserve"> </w:t>
      </w:r>
      <w:r>
        <w:rPr>
          <w:color w:val="0E0E0E"/>
          <w:sz w:val="21"/>
        </w:rPr>
        <w:t>at</w:t>
      </w:r>
      <w:r>
        <w:rPr>
          <w:color w:val="181818"/>
          <w:sz w:val="21"/>
        </w:rPr>
        <w:t xml:space="preserve"> the </w:t>
      </w:r>
      <w:r>
        <w:rPr>
          <w:sz w:val="21"/>
        </w:rPr>
        <w:t>time of this Independent Auditor's</w:t>
      </w:r>
      <w:r>
        <w:rPr>
          <w:spacing w:val="30"/>
          <w:sz w:val="21"/>
        </w:rPr>
        <w:t xml:space="preserve"> </w:t>
      </w:r>
      <w:r>
        <w:rPr>
          <w:sz w:val="21"/>
        </w:rPr>
        <w:t>Report.</w:t>
      </w:r>
    </w:p>
    <w:p w14:paraId="47EEFD90" w14:textId="77777777" w:rsidR="00FA4AA8" w:rsidRDefault="0015611F">
      <w:pPr>
        <w:spacing w:before="168" w:line="242" w:lineRule="auto"/>
        <w:ind w:left="690" w:right="837" w:hanging="3"/>
        <w:rPr>
          <w:sz w:val="21"/>
        </w:rPr>
      </w:pPr>
      <w:r>
        <w:rPr>
          <w:color w:val="0C0C0C"/>
          <w:sz w:val="21"/>
        </w:rPr>
        <w:t>I</w:t>
      </w:r>
      <w:r>
        <w:rPr>
          <w:color w:val="0C0C0C"/>
          <w:spacing w:val="-35"/>
          <w:sz w:val="21"/>
        </w:rPr>
        <w:t xml:space="preserve"> </w:t>
      </w:r>
      <w:r>
        <w:rPr>
          <w:sz w:val="21"/>
        </w:rPr>
        <w:t>believe</w:t>
      </w:r>
      <w:r>
        <w:rPr>
          <w:spacing w:val="-29"/>
          <w:sz w:val="21"/>
        </w:rPr>
        <w:t xml:space="preserve"> </w:t>
      </w:r>
      <w:r>
        <w:rPr>
          <w:sz w:val="21"/>
        </w:rPr>
        <w:t>the</w:t>
      </w:r>
      <w:r>
        <w:rPr>
          <w:spacing w:val="-30"/>
          <w:sz w:val="21"/>
        </w:rPr>
        <w:t xml:space="preserve"> </w:t>
      </w:r>
      <w:r>
        <w:rPr>
          <w:sz w:val="21"/>
        </w:rPr>
        <w:t>audit</w:t>
      </w:r>
      <w:r>
        <w:rPr>
          <w:spacing w:val="-34"/>
          <w:sz w:val="21"/>
        </w:rPr>
        <w:t xml:space="preserve"> </w:t>
      </w:r>
      <w:r>
        <w:rPr>
          <w:sz w:val="21"/>
        </w:rPr>
        <w:t>evidence</w:t>
      </w:r>
      <w:r>
        <w:rPr>
          <w:spacing w:val="-32"/>
          <w:sz w:val="21"/>
        </w:rPr>
        <w:t xml:space="preserve"> </w:t>
      </w:r>
      <w:r>
        <w:rPr>
          <w:sz w:val="21"/>
        </w:rPr>
        <w:t>I</w:t>
      </w:r>
      <w:r>
        <w:rPr>
          <w:spacing w:val="-34"/>
          <w:sz w:val="21"/>
        </w:rPr>
        <w:t xml:space="preserve"> </w:t>
      </w:r>
      <w:r>
        <w:rPr>
          <w:sz w:val="21"/>
        </w:rPr>
        <w:t>have</w:t>
      </w:r>
      <w:r>
        <w:rPr>
          <w:spacing w:val="-32"/>
          <w:sz w:val="21"/>
        </w:rPr>
        <w:t xml:space="preserve"> </w:t>
      </w:r>
      <w:r>
        <w:rPr>
          <w:sz w:val="21"/>
        </w:rPr>
        <w:t>obtained</w:t>
      </w:r>
      <w:r>
        <w:rPr>
          <w:spacing w:val="-25"/>
          <w:sz w:val="21"/>
        </w:rPr>
        <w:t xml:space="preserve"> </w:t>
      </w:r>
      <w:r>
        <w:rPr>
          <w:sz w:val="21"/>
        </w:rPr>
        <w:t>is</w:t>
      </w:r>
      <w:r>
        <w:rPr>
          <w:spacing w:val="-29"/>
          <w:sz w:val="21"/>
        </w:rPr>
        <w:t xml:space="preserve"> </w:t>
      </w:r>
      <w:r>
        <w:rPr>
          <w:sz w:val="21"/>
        </w:rPr>
        <w:t>sufficient</w:t>
      </w:r>
      <w:r>
        <w:rPr>
          <w:spacing w:val="-28"/>
          <w:sz w:val="21"/>
        </w:rPr>
        <w:t xml:space="preserve"> </w:t>
      </w:r>
      <w:r>
        <w:rPr>
          <w:sz w:val="21"/>
        </w:rPr>
        <w:t>and</w:t>
      </w:r>
      <w:r>
        <w:rPr>
          <w:spacing w:val="-28"/>
          <w:sz w:val="21"/>
        </w:rPr>
        <w:t xml:space="preserve"> </w:t>
      </w:r>
      <w:r>
        <w:rPr>
          <w:sz w:val="21"/>
        </w:rPr>
        <w:t>appropriate</w:t>
      </w:r>
      <w:r>
        <w:rPr>
          <w:spacing w:val="-23"/>
          <w:sz w:val="21"/>
        </w:rPr>
        <w:t xml:space="preserve"> </w:t>
      </w:r>
      <w:r>
        <w:rPr>
          <w:sz w:val="21"/>
        </w:rPr>
        <w:t>to</w:t>
      </w:r>
      <w:r>
        <w:rPr>
          <w:spacing w:val="-37"/>
          <w:sz w:val="21"/>
        </w:rPr>
        <w:t xml:space="preserve"> </w:t>
      </w:r>
      <w:r>
        <w:rPr>
          <w:sz w:val="21"/>
        </w:rPr>
        <w:t>provide</w:t>
      </w:r>
      <w:r>
        <w:rPr>
          <w:spacing w:val="-25"/>
          <w:sz w:val="21"/>
        </w:rPr>
        <w:t xml:space="preserve"> </w:t>
      </w:r>
      <w:r>
        <w:rPr>
          <w:sz w:val="21"/>
        </w:rPr>
        <w:t>a</w:t>
      </w:r>
      <w:r>
        <w:rPr>
          <w:spacing w:val="-34"/>
          <w:sz w:val="21"/>
        </w:rPr>
        <w:t xml:space="preserve"> </w:t>
      </w:r>
      <w:r>
        <w:rPr>
          <w:sz w:val="21"/>
        </w:rPr>
        <w:t>basis</w:t>
      </w:r>
      <w:r>
        <w:rPr>
          <w:spacing w:val="-29"/>
          <w:sz w:val="21"/>
        </w:rPr>
        <w:t xml:space="preserve"> </w:t>
      </w:r>
      <w:r>
        <w:rPr>
          <w:sz w:val="21"/>
        </w:rPr>
        <w:t>for</w:t>
      </w:r>
      <w:r>
        <w:rPr>
          <w:spacing w:val="-32"/>
          <w:sz w:val="21"/>
        </w:rPr>
        <w:t xml:space="preserve"> </w:t>
      </w:r>
      <w:r>
        <w:rPr>
          <w:sz w:val="21"/>
        </w:rPr>
        <w:t>my audit</w:t>
      </w:r>
      <w:r>
        <w:rPr>
          <w:spacing w:val="-3"/>
          <w:sz w:val="21"/>
        </w:rPr>
        <w:t xml:space="preserve"> </w:t>
      </w:r>
      <w:r>
        <w:rPr>
          <w:sz w:val="21"/>
        </w:rPr>
        <w:t>opinion</w:t>
      </w:r>
    </w:p>
    <w:p w14:paraId="3682471E" w14:textId="77777777" w:rsidR="00FA4AA8" w:rsidRDefault="0015611F">
      <w:pPr>
        <w:spacing w:before="170"/>
        <w:ind w:left="688"/>
        <w:rPr>
          <w:b/>
          <w:sz w:val="21"/>
        </w:rPr>
      </w:pPr>
      <w:r>
        <w:rPr>
          <w:b/>
          <w:sz w:val="21"/>
        </w:rPr>
        <w:t>Other Information</w:t>
      </w:r>
    </w:p>
    <w:p w14:paraId="3EEF2084" w14:textId="77777777" w:rsidR="00FA4AA8" w:rsidRDefault="0015611F">
      <w:pPr>
        <w:spacing w:before="167"/>
        <w:ind w:left="687" w:right="837" w:hanging="1"/>
        <w:rPr>
          <w:sz w:val="21"/>
        </w:rPr>
      </w:pPr>
      <w:r>
        <w:rPr>
          <w:sz w:val="21"/>
        </w:rPr>
        <w:t>Other</w:t>
      </w:r>
      <w:r>
        <w:rPr>
          <w:spacing w:val="-36"/>
          <w:sz w:val="21"/>
        </w:rPr>
        <w:t xml:space="preserve"> </w:t>
      </w:r>
      <w:r>
        <w:rPr>
          <w:sz w:val="21"/>
        </w:rPr>
        <w:t>information</w:t>
      </w:r>
      <w:r>
        <w:rPr>
          <w:spacing w:val="-31"/>
          <w:sz w:val="21"/>
        </w:rPr>
        <w:t xml:space="preserve"> </w:t>
      </w:r>
      <w:r>
        <w:rPr>
          <w:sz w:val="21"/>
        </w:rPr>
        <w:t>comprises</w:t>
      </w:r>
      <w:r>
        <w:rPr>
          <w:spacing w:val="-31"/>
          <w:sz w:val="21"/>
        </w:rPr>
        <w:t xml:space="preserve"> </w:t>
      </w:r>
      <w:r>
        <w:rPr>
          <w:sz w:val="21"/>
        </w:rPr>
        <w:t>the</w:t>
      </w:r>
      <w:r>
        <w:rPr>
          <w:spacing w:val="-37"/>
          <w:sz w:val="21"/>
        </w:rPr>
        <w:t xml:space="preserve"> </w:t>
      </w:r>
      <w:r>
        <w:rPr>
          <w:sz w:val="21"/>
        </w:rPr>
        <w:t>information</w:t>
      </w:r>
      <w:r>
        <w:rPr>
          <w:spacing w:val="-30"/>
          <w:sz w:val="21"/>
        </w:rPr>
        <w:t xml:space="preserve"> </w:t>
      </w:r>
      <w:r>
        <w:rPr>
          <w:sz w:val="21"/>
        </w:rPr>
        <w:t>included</w:t>
      </w:r>
      <w:r>
        <w:rPr>
          <w:spacing w:val="-34"/>
          <w:sz w:val="21"/>
        </w:rPr>
        <w:t xml:space="preserve"> </w:t>
      </w:r>
      <w:r>
        <w:rPr>
          <w:sz w:val="21"/>
        </w:rPr>
        <w:t>in</w:t>
      </w:r>
      <w:r>
        <w:rPr>
          <w:spacing w:val="-36"/>
          <w:sz w:val="21"/>
        </w:rPr>
        <w:t xml:space="preserve"> </w:t>
      </w:r>
      <w:r>
        <w:rPr>
          <w:sz w:val="21"/>
        </w:rPr>
        <w:t>the</w:t>
      </w:r>
      <w:r>
        <w:rPr>
          <w:spacing w:val="-39"/>
          <w:sz w:val="21"/>
        </w:rPr>
        <w:t xml:space="preserve"> </w:t>
      </w:r>
      <w:r>
        <w:rPr>
          <w:sz w:val="21"/>
        </w:rPr>
        <w:t>Company's</w:t>
      </w:r>
      <w:r>
        <w:rPr>
          <w:spacing w:val="-34"/>
          <w:sz w:val="21"/>
        </w:rPr>
        <w:t xml:space="preserve"> </w:t>
      </w:r>
      <w:r>
        <w:rPr>
          <w:color w:val="0F0F0F"/>
          <w:sz w:val="21"/>
        </w:rPr>
        <w:t>annual</w:t>
      </w:r>
      <w:r>
        <w:rPr>
          <w:color w:val="0F0F0F"/>
          <w:spacing w:val="-33"/>
          <w:sz w:val="21"/>
        </w:rPr>
        <w:t xml:space="preserve"> </w:t>
      </w:r>
      <w:r>
        <w:rPr>
          <w:sz w:val="21"/>
        </w:rPr>
        <w:t>report</w:t>
      </w:r>
      <w:r>
        <w:rPr>
          <w:spacing w:val="-35"/>
          <w:sz w:val="21"/>
        </w:rPr>
        <w:t xml:space="preserve"> </w:t>
      </w:r>
      <w:r>
        <w:rPr>
          <w:sz w:val="21"/>
        </w:rPr>
        <w:t>for</w:t>
      </w:r>
      <w:r>
        <w:rPr>
          <w:spacing w:val="-36"/>
          <w:sz w:val="21"/>
        </w:rPr>
        <w:t xml:space="preserve"> </w:t>
      </w:r>
      <w:r>
        <w:rPr>
          <w:sz w:val="21"/>
        </w:rPr>
        <w:t>the</w:t>
      </w:r>
      <w:r>
        <w:rPr>
          <w:spacing w:val="-40"/>
          <w:sz w:val="21"/>
        </w:rPr>
        <w:t xml:space="preserve"> </w:t>
      </w:r>
      <w:r>
        <w:rPr>
          <w:sz w:val="21"/>
        </w:rPr>
        <w:t xml:space="preserve">period </w:t>
      </w:r>
      <w:r>
        <w:rPr>
          <w:w w:val="95"/>
          <w:sz w:val="21"/>
        </w:rPr>
        <w:t>ended</w:t>
      </w:r>
      <w:r>
        <w:rPr>
          <w:spacing w:val="-8"/>
          <w:w w:val="95"/>
          <w:sz w:val="21"/>
        </w:rPr>
        <w:t xml:space="preserve"> </w:t>
      </w:r>
      <w:r>
        <w:rPr>
          <w:w w:val="95"/>
          <w:sz w:val="21"/>
        </w:rPr>
        <w:t>31</w:t>
      </w:r>
      <w:r>
        <w:rPr>
          <w:spacing w:val="-14"/>
          <w:w w:val="95"/>
          <w:sz w:val="21"/>
        </w:rPr>
        <w:t xml:space="preserve"> </w:t>
      </w:r>
      <w:r>
        <w:rPr>
          <w:w w:val="95"/>
          <w:sz w:val="21"/>
        </w:rPr>
        <w:t>December</w:t>
      </w:r>
      <w:r>
        <w:rPr>
          <w:spacing w:val="2"/>
          <w:w w:val="95"/>
          <w:sz w:val="21"/>
        </w:rPr>
        <w:t xml:space="preserve"> </w:t>
      </w:r>
      <w:r>
        <w:rPr>
          <w:w w:val="95"/>
          <w:sz w:val="21"/>
        </w:rPr>
        <w:t>2018,</w:t>
      </w:r>
      <w:r>
        <w:rPr>
          <w:spacing w:val="-11"/>
          <w:w w:val="95"/>
          <w:sz w:val="21"/>
        </w:rPr>
        <w:t xml:space="preserve"> </w:t>
      </w:r>
      <w:r>
        <w:rPr>
          <w:w w:val="95"/>
          <w:sz w:val="21"/>
        </w:rPr>
        <w:t>other than</w:t>
      </w:r>
      <w:r>
        <w:rPr>
          <w:spacing w:val="-5"/>
          <w:w w:val="95"/>
          <w:sz w:val="21"/>
        </w:rPr>
        <w:t xml:space="preserve"> </w:t>
      </w:r>
      <w:r>
        <w:rPr>
          <w:w w:val="95"/>
          <w:sz w:val="21"/>
        </w:rPr>
        <w:t>the</w:t>
      </w:r>
      <w:r>
        <w:rPr>
          <w:spacing w:val="-10"/>
          <w:w w:val="95"/>
          <w:sz w:val="21"/>
        </w:rPr>
        <w:t xml:space="preserve"> </w:t>
      </w:r>
      <w:r>
        <w:rPr>
          <w:w w:val="95"/>
          <w:sz w:val="21"/>
        </w:rPr>
        <w:t>financial</w:t>
      </w:r>
      <w:r>
        <w:rPr>
          <w:spacing w:val="-6"/>
          <w:w w:val="95"/>
          <w:sz w:val="21"/>
        </w:rPr>
        <w:t xml:space="preserve"> </w:t>
      </w:r>
      <w:r>
        <w:rPr>
          <w:w w:val="95"/>
          <w:sz w:val="21"/>
        </w:rPr>
        <w:t>statements</w:t>
      </w:r>
      <w:r>
        <w:rPr>
          <w:spacing w:val="-4"/>
          <w:w w:val="95"/>
          <w:sz w:val="21"/>
        </w:rPr>
        <w:t xml:space="preserve"> </w:t>
      </w:r>
      <w:r>
        <w:rPr>
          <w:w w:val="95"/>
          <w:sz w:val="21"/>
        </w:rPr>
        <w:t>and</w:t>
      </w:r>
      <w:r>
        <w:rPr>
          <w:spacing w:val="-15"/>
          <w:w w:val="95"/>
          <w:sz w:val="21"/>
        </w:rPr>
        <w:t xml:space="preserve"> </w:t>
      </w:r>
      <w:r>
        <w:rPr>
          <w:w w:val="95"/>
          <w:sz w:val="21"/>
        </w:rPr>
        <w:t>my</w:t>
      </w:r>
      <w:r>
        <w:rPr>
          <w:spacing w:val="-10"/>
          <w:w w:val="95"/>
          <w:sz w:val="21"/>
        </w:rPr>
        <w:t xml:space="preserve"> </w:t>
      </w:r>
      <w:r>
        <w:rPr>
          <w:w w:val="95"/>
          <w:sz w:val="21"/>
        </w:rPr>
        <w:t>Independent</w:t>
      </w:r>
      <w:r>
        <w:rPr>
          <w:spacing w:val="8"/>
          <w:w w:val="95"/>
          <w:sz w:val="21"/>
        </w:rPr>
        <w:t xml:space="preserve"> </w:t>
      </w:r>
      <w:r>
        <w:rPr>
          <w:w w:val="95"/>
          <w:sz w:val="21"/>
        </w:rPr>
        <w:t>Auditor’s</w:t>
      </w:r>
      <w:r>
        <w:rPr>
          <w:spacing w:val="-6"/>
          <w:w w:val="95"/>
          <w:sz w:val="21"/>
        </w:rPr>
        <w:t xml:space="preserve"> </w:t>
      </w:r>
      <w:r>
        <w:rPr>
          <w:w w:val="95"/>
          <w:sz w:val="21"/>
        </w:rPr>
        <w:t xml:space="preserve">Report </w:t>
      </w:r>
      <w:r>
        <w:rPr>
          <w:sz w:val="21"/>
        </w:rPr>
        <w:t>thereon.</w:t>
      </w:r>
      <w:r>
        <w:rPr>
          <w:spacing w:val="-26"/>
          <w:sz w:val="21"/>
        </w:rPr>
        <w:t xml:space="preserve"> </w:t>
      </w:r>
      <w:r>
        <w:rPr>
          <w:sz w:val="21"/>
        </w:rPr>
        <w:t>The</w:t>
      </w:r>
      <w:r>
        <w:rPr>
          <w:spacing w:val="-31"/>
          <w:sz w:val="21"/>
        </w:rPr>
        <w:t xml:space="preserve"> </w:t>
      </w:r>
      <w:r>
        <w:rPr>
          <w:sz w:val="21"/>
        </w:rPr>
        <w:t>directors</w:t>
      </w:r>
      <w:r>
        <w:rPr>
          <w:spacing w:val="-26"/>
          <w:sz w:val="21"/>
        </w:rPr>
        <w:t xml:space="preserve"> </w:t>
      </w:r>
      <w:r>
        <w:rPr>
          <w:sz w:val="21"/>
        </w:rPr>
        <w:t>of</w:t>
      </w:r>
      <w:r>
        <w:rPr>
          <w:spacing w:val="-32"/>
          <w:sz w:val="21"/>
        </w:rPr>
        <w:t xml:space="preserve"> </w:t>
      </w:r>
      <w:r>
        <w:rPr>
          <w:sz w:val="21"/>
        </w:rPr>
        <w:t>the</w:t>
      </w:r>
      <w:r>
        <w:rPr>
          <w:spacing w:val="-32"/>
          <w:sz w:val="21"/>
        </w:rPr>
        <w:t xml:space="preserve"> </w:t>
      </w:r>
      <w:r>
        <w:rPr>
          <w:sz w:val="21"/>
        </w:rPr>
        <w:t>Company</w:t>
      </w:r>
      <w:r>
        <w:rPr>
          <w:spacing w:val="-16"/>
          <w:sz w:val="21"/>
        </w:rPr>
        <w:t xml:space="preserve"> </w:t>
      </w:r>
      <w:r>
        <w:rPr>
          <w:sz w:val="21"/>
        </w:rPr>
        <w:t>are</w:t>
      </w:r>
      <w:r>
        <w:rPr>
          <w:spacing w:val="-30"/>
          <w:sz w:val="21"/>
        </w:rPr>
        <w:t xml:space="preserve"> </w:t>
      </w:r>
      <w:r>
        <w:rPr>
          <w:sz w:val="21"/>
        </w:rPr>
        <w:t>responsible</w:t>
      </w:r>
      <w:r>
        <w:rPr>
          <w:spacing w:val="-20"/>
          <w:sz w:val="21"/>
        </w:rPr>
        <w:t xml:space="preserve"> </w:t>
      </w:r>
      <w:r>
        <w:rPr>
          <w:sz w:val="21"/>
        </w:rPr>
        <w:t>for</w:t>
      </w:r>
      <w:r>
        <w:rPr>
          <w:spacing w:val="-29"/>
          <w:sz w:val="21"/>
        </w:rPr>
        <w:t xml:space="preserve"> </w:t>
      </w:r>
      <w:r>
        <w:rPr>
          <w:sz w:val="21"/>
        </w:rPr>
        <w:t>the</w:t>
      </w:r>
      <w:r>
        <w:rPr>
          <w:spacing w:val="-26"/>
          <w:sz w:val="21"/>
        </w:rPr>
        <w:t xml:space="preserve"> </w:t>
      </w:r>
      <w:r>
        <w:rPr>
          <w:sz w:val="21"/>
        </w:rPr>
        <w:t>other</w:t>
      </w:r>
      <w:r>
        <w:rPr>
          <w:spacing w:val="-27"/>
          <w:sz w:val="21"/>
        </w:rPr>
        <w:t xml:space="preserve"> </w:t>
      </w:r>
      <w:r>
        <w:rPr>
          <w:sz w:val="21"/>
        </w:rPr>
        <w:t>information.</w:t>
      </w:r>
      <w:r>
        <w:rPr>
          <w:spacing w:val="-20"/>
          <w:sz w:val="21"/>
        </w:rPr>
        <w:t xml:space="preserve"> </w:t>
      </w:r>
      <w:r>
        <w:rPr>
          <w:sz w:val="21"/>
        </w:rPr>
        <w:t>At</w:t>
      </w:r>
      <w:r>
        <w:rPr>
          <w:spacing w:val="-32"/>
          <w:sz w:val="21"/>
        </w:rPr>
        <w:t xml:space="preserve"> </w:t>
      </w:r>
      <w:r>
        <w:rPr>
          <w:sz w:val="21"/>
        </w:rPr>
        <w:t>the</w:t>
      </w:r>
      <w:r>
        <w:rPr>
          <w:spacing w:val="-30"/>
          <w:sz w:val="21"/>
        </w:rPr>
        <w:t xml:space="preserve"> </w:t>
      </w:r>
      <w:r>
        <w:rPr>
          <w:sz w:val="21"/>
        </w:rPr>
        <w:t>date</w:t>
      </w:r>
      <w:r>
        <w:rPr>
          <w:spacing w:val="-36"/>
          <w:sz w:val="21"/>
        </w:rPr>
        <w:t xml:space="preserve"> </w:t>
      </w:r>
      <w:r>
        <w:rPr>
          <w:sz w:val="21"/>
        </w:rPr>
        <w:t>of</w:t>
      </w:r>
      <w:r>
        <w:rPr>
          <w:spacing w:val="-27"/>
          <w:sz w:val="21"/>
        </w:rPr>
        <w:t xml:space="preserve"> </w:t>
      </w:r>
      <w:r>
        <w:rPr>
          <w:sz w:val="21"/>
        </w:rPr>
        <w:t xml:space="preserve">this </w:t>
      </w:r>
      <w:r>
        <w:rPr>
          <w:w w:val="95"/>
          <w:sz w:val="21"/>
        </w:rPr>
        <w:t>Independent</w:t>
      </w:r>
      <w:r>
        <w:rPr>
          <w:spacing w:val="7"/>
          <w:w w:val="95"/>
          <w:sz w:val="21"/>
        </w:rPr>
        <w:t xml:space="preserve"> </w:t>
      </w:r>
      <w:r>
        <w:rPr>
          <w:w w:val="95"/>
          <w:sz w:val="21"/>
        </w:rPr>
        <w:t>Auditor's</w:t>
      </w:r>
      <w:r>
        <w:rPr>
          <w:spacing w:val="-8"/>
          <w:w w:val="95"/>
          <w:sz w:val="21"/>
        </w:rPr>
        <w:t xml:space="preserve"> </w:t>
      </w:r>
      <w:r>
        <w:rPr>
          <w:w w:val="95"/>
          <w:sz w:val="21"/>
        </w:rPr>
        <w:t>Report,</w:t>
      </w:r>
      <w:r>
        <w:rPr>
          <w:spacing w:val="-7"/>
          <w:w w:val="95"/>
          <w:sz w:val="21"/>
        </w:rPr>
        <w:t xml:space="preserve"> </w:t>
      </w:r>
      <w:r>
        <w:rPr>
          <w:w w:val="95"/>
          <w:sz w:val="21"/>
        </w:rPr>
        <w:t>the</w:t>
      </w:r>
      <w:r>
        <w:rPr>
          <w:spacing w:val="-8"/>
          <w:w w:val="95"/>
          <w:sz w:val="21"/>
        </w:rPr>
        <w:t xml:space="preserve"> </w:t>
      </w:r>
      <w:r>
        <w:rPr>
          <w:w w:val="95"/>
          <w:sz w:val="21"/>
        </w:rPr>
        <w:t>other</w:t>
      </w:r>
      <w:r>
        <w:rPr>
          <w:spacing w:val="-7"/>
          <w:w w:val="95"/>
          <w:sz w:val="21"/>
        </w:rPr>
        <w:t xml:space="preserve"> </w:t>
      </w:r>
      <w:r>
        <w:rPr>
          <w:w w:val="95"/>
          <w:sz w:val="21"/>
        </w:rPr>
        <w:t>information</w:t>
      </w:r>
      <w:r>
        <w:rPr>
          <w:spacing w:val="-2"/>
          <w:w w:val="95"/>
          <w:sz w:val="21"/>
        </w:rPr>
        <w:t xml:space="preserve"> </w:t>
      </w:r>
      <w:r>
        <w:rPr>
          <w:color w:val="1D1D1D"/>
          <w:w w:val="95"/>
          <w:sz w:val="21"/>
        </w:rPr>
        <w:t>I</w:t>
      </w:r>
      <w:r>
        <w:rPr>
          <w:color w:val="1D1D1D"/>
          <w:spacing w:val="-15"/>
          <w:w w:val="95"/>
          <w:sz w:val="21"/>
        </w:rPr>
        <w:t xml:space="preserve"> </w:t>
      </w:r>
      <w:r>
        <w:rPr>
          <w:w w:val="95"/>
          <w:sz w:val="21"/>
        </w:rPr>
        <w:t>have</w:t>
      </w:r>
      <w:r>
        <w:rPr>
          <w:spacing w:val="-7"/>
          <w:w w:val="95"/>
          <w:sz w:val="21"/>
        </w:rPr>
        <w:t xml:space="preserve"> </w:t>
      </w:r>
      <w:r>
        <w:rPr>
          <w:w w:val="95"/>
          <w:sz w:val="21"/>
        </w:rPr>
        <w:t>received</w:t>
      </w:r>
      <w:r>
        <w:rPr>
          <w:spacing w:val="-4"/>
          <w:w w:val="95"/>
          <w:sz w:val="21"/>
        </w:rPr>
        <w:t xml:space="preserve"> </w:t>
      </w:r>
      <w:r>
        <w:rPr>
          <w:w w:val="95"/>
          <w:sz w:val="21"/>
        </w:rPr>
        <w:t>comprise the</w:t>
      </w:r>
      <w:r>
        <w:rPr>
          <w:spacing w:val="-7"/>
          <w:w w:val="95"/>
          <w:sz w:val="21"/>
        </w:rPr>
        <w:t xml:space="preserve"> </w:t>
      </w:r>
      <w:r>
        <w:rPr>
          <w:w w:val="95"/>
          <w:sz w:val="21"/>
        </w:rPr>
        <w:t>Directors’ Report.</w:t>
      </w:r>
    </w:p>
    <w:p w14:paraId="76BF40E4" w14:textId="77777777" w:rsidR="00FA4AA8" w:rsidRDefault="0015611F">
      <w:pPr>
        <w:spacing w:before="162"/>
        <w:ind w:left="689" w:right="837" w:hanging="8"/>
        <w:rPr>
          <w:sz w:val="21"/>
        </w:rPr>
      </w:pPr>
      <w:r>
        <w:rPr>
          <w:sz w:val="21"/>
        </w:rPr>
        <w:t>My</w:t>
      </w:r>
      <w:r>
        <w:rPr>
          <w:spacing w:val="-31"/>
          <w:sz w:val="21"/>
        </w:rPr>
        <w:t xml:space="preserve"> </w:t>
      </w:r>
      <w:r>
        <w:rPr>
          <w:sz w:val="21"/>
        </w:rPr>
        <w:t>opinion</w:t>
      </w:r>
      <w:r>
        <w:rPr>
          <w:spacing w:val="-31"/>
          <w:sz w:val="21"/>
        </w:rPr>
        <w:t xml:space="preserve"> </w:t>
      </w:r>
      <w:r>
        <w:rPr>
          <w:sz w:val="21"/>
        </w:rPr>
        <w:t>on</w:t>
      </w:r>
      <w:r>
        <w:rPr>
          <w:spacing w:val="-34"/>
          <w:sz w:val="21"/>
        </w:rPr>
        <w:t xml:space="preserve"> </w:t>
      </w:r>
      <w:r>
        <w:rPr>
          <w:sz w:val="21"/>
        </w:rPr>
        <w:t>the</w:t>
      </w:r>
      <w:r>
        <w:rPr>
          <w:spacing w:val="-35"/>
          <w:sz w:val="21"/>
        </w:rPr>
        <w:t xml:space="preserve"> </w:t>
      </w:r>
      <w:r>
        <w:rPr>
          <w:sz w:val="21"/>
        </w:rPr>
        <w:t>financial</w:t>
      </w:r>
      <w:r>
        <w:rPr>
          <w:spacing w:val="-32"/>
          <w:sz w:val="21"/>
        </w:rPr>
        <w:t xml:space="preserve"> </w:t>
      </w:r>
      <w:r>
        <w:rPr>
          <w:sz w:val="21"/>
        </w:rPr>
        <w:t>statements</w:t>
      </w:r>
      <w:r>
        <w:rPr>
          <w:spacing w:val="-27"/>
          <w:sz w:val="21"/>
        </w:rPr>
        <w:t xml:space="preserve"> </w:t>
      </w:r>
      <w:r>
        <w:rPr>
          <w:sz w:val="21"/>
        </w:rPr>
        <w:t>does</w:t>
      </w:r>
      <w:r>
        <w:rPr>
          <w:spacing w:val="-35"/>
          <w:sz w:val="21"/>
        </w:rPr>
        <w:t xml:space="preserve"> </w:t>
      </w:r>
      <w:r>
        <w:rPr>
          <w:sz w:val="21"/>
        </w:rPr>
        <w:t>not</w:t>
      </w:r>
      <w:r>
        <w:rPr>
          <w:spacing w:val="-34"/>
          <w:sz w:val="21"/>
        </w:rPr>
        <w:t xml:space="preserve"> </w:t>
      </w:r>
      <w:r>
        <w:rPr>
          <w:sz w:val="21"/>
        </w:rPr>
        <w:t>cover</w:t>
      </w:r>
      <w:r>
        <w:rPr>
          <w:spacing w:val="-32"/>
          <w:sz w:val="21"/>
        </w:rPr>
        <w:t xml:space="preserve"> </w:t>
      </w:r>
      <w:r>
        <w:rPr>
          <w:sz w:val="21"/>
        </w:rPr>
        <w:t>the</w:t>
      </w:r>
      <w:r>
        <w:rPr>
          <w:spacing w:val="-33"/>
          <w:sz w:val="21"/>
        </w:rPr>
        <w:t xml:space="preserve"> </w:t>
      </w:r>
      <w:r>
        <w:rPr>
          <w:sz w:val="21"/>
        </w:rPr>
        <w:t>other</w:t>
      </w:r>
      <w:r>
        <w:rPr>
          <w:spacing w:val="-33"/>
          <w:sz w:val="21"/>
        </w:rPr>
        <w:t xml:space="preserve"> </w:t>
      </w:r>
      <w:r>
        <w:rPr>
          <w:sz w:val="21"/>
        </w:rPr>
        <w:t>information.</w:t>
      </w:r>
      <w:r>
        <w:rPr>
          <w:spacing w:val="-28"/>
          <w:sz w:val="21"/>
        </w:rPr>
        <w:t xml:space="preserve"> </w:t>
      </w:r>
      <w:r>
        <w:rPr>
          <w:sz w:val="21"/>
        </w:rPr>
        <w:t>Accordingly,</w:t>
      </w:r>
      <w:r>
        <w:rPr>
          <w:spacing w:val="-28"/>
          <w:sz w:val="21"/>
        </w:rPr>
        <w:t xml:space="preserve"> </w:t>
      </w:r>
      <w:r>
        <w:rPr>
          <w:sz w:val="21"/>
        </w:rPr>
        <w:t>I</w:t>
      </w:r>
      <w:r>
        <w:rPr>
          <w:spacing w:val="-38"/>
          <w:sz w:val="21"/>
        </w:rPr>
        <w:t xml:space="preserve"> </w:t>
      </w:r>
      <w:r>
        <w:rPr>
          <w:sz w:val="21"/>
        </w:rPr>
        <w:t>do</w:t>
      </w:r>
      <w:r>
        <w:rPr>
          <w:spacing w:val="-36"/>
          <w:sz w:val="21"/>
        </w:rPr>
        <w:t xml:space="preserve"> </w:t>
      </w:r>
      <w:r>
        <w:rPr>
          <w:sz w:val="21"/>
        </w:rPr>
        <w:t>not express any form of assurance conclusion on the other</w:t>
      </w:r>
      <w:r>
        <w:rPr>
          <w:spacing w:val="-10"/>
          <w:sz w:val="21"/>
        </w:rPr>
        <w:t xml:space="preserve"> </w:t>
      </w:r>
      <w:r>
        <w:rPr>
          <w:sz w:val="21"/>
        </w:rPr>
        <w:t>information.</w:t>
      </w:r>
    </w:p>
    <w:p w14:paraId="22295BF9" w14:textId="77777777" w:rsidR="00FA4AA8" w:rsidRDefault="0015611F">
      <w:pPr>
        <w:spacing w:before="170" w:line="242" w:lineRule="auto"/>
        <w:ind w:left="683" w:right="715" w:hanging="6"/>
        <w:rPr>
          <w:sz w:val="21"/>
        </w:rPr>
      </w:pPr>
      <w:r>
        <w:rPr>
          <w:color w:val="0E0E0E"/>
          <w:sz w:val="21"/>
        </w:rPr>
        <w:t xml:space="preserve">In </w:t>
      </w:r>
      <w:r>
        <w:rPr>
          <w:sz w:val="21"/>
        </w:rPr>
        <w:t xml:space="preserve">connection with my audit of the financial statements, my responsibility </w:t>
      </w:r>
      <w:r>
        <w:rPr>
          <w:color w:val="181818"/>
          <w:sz w:val="21"/>
        </w:rPr>
        <w:t xml:space="preserve">is </w:t>
      </w:r>
      <w:r>
        <w:rPr>
          <w:sz w:val="21"/>
        </w:rPr>
        <w:t xml:space="preserve">to read the other </w:t>
      </w:r>
      <w:r>
        <w:rPr>
          <w:w w:val="95"/>
          <w:sz w:val="21"/>
        </w:rPr>
        <w:t>information and,</w:t>
      </w:r>
      <w:r>
        <w:rPr>
          <w:spacing w:val="-8"/>
          <w:w w:val="95"/>
          <w:sz w:val="21"/>
        </w:rPr>
        <w:t xml:space="preserve"> </w:t>
      </w:r>
      <w:r>
        <w:rPr>
          <w:color w:val="0E0E0E"/>
          <w:w w:val="95"/>
          <w:sz w:val="21"/>
        </w:rPr>
        <w:t>in</w:t>
      </w:r>
      <w:r>
        <w:rPr>
          <w:color w:val="0E0E0E"/>
          <w:spacing w:val="-10"/>
          <w:w w:val="95"/>
          <w:sz w:val="21"/>
        </w:rPr>
        <w:t xml:space="preserve"> </w:t>
      </w:r>
      <w:r>
        <w:rPr>
          <w:w w:val="95"/>
          <w:sz w:val="21"/>
        </w:rPr>
        <w:t>doing</w:t>
      </w:r>
      <w:r>
        <w:rPr>
          <w:spacing w:val="-4"/>
          <w:w w:val="95"/>
          <w:sz w:val="21"/>
        </w:rPr>
        <w:t xml:space="preserve"> </w:t>
      </w:r>
      <w:r>
        <w:rPr>
          <w:w w:val="95"/>
          <w:sz w:val="21"/>
        </w:rPr>
        <w:t>so,</w:t>
      </w:r>
      <w:r>
        <w:rPr>
          <w:spacing w:val="-7"/>
          <w:w w:val="95"/>
          <w:sz w:val="21"/>
        </w:rPr>
        <w:t xml:space="preserve"> </w:t>
      </w:r>
      <w:r>
        <w:rPr>
          <w:w w:val="95"/>
          <w:sz w:val="21"/>
        </w:rPr>
        <w:t>consider</w:t>
      </w:r>
      <w:r>
        <w:rPr>
          <w:spacing w:val="-1"/>
          <w:w w:val="95"/>
          <w:sz w:val="21"/>
        </w:rPr>
        <w:t xml:space="preserve"> </w:t>
      </w:r>
      <w:r>
        <w:rPr>
          <w:w w:val="95"/>
          <w:sz w:val="21"/>
        </w:rPr>
        <w:t>whether</w:t>
      </w:r>
      <w:r>
        <w:rPr>
          <w:spacing w:val="-3"/>
          <w:w w:val="95"/>
          <w:sz w:val="21"/>
        </w:rPr>
        <w:t xml:space="preserve"> </w:t>
      </w:r>
      <w:r>
        <w:rPr>
          <w:w w:val="95"/>
          <w:sz w:val="21"/>
        </w:rPr>
        <w:t>the</w:t>
      </w:r>
      <w:r>
        <w:rPr>
          <w:spacing w:val="-7"/>
          <w:w w:val="95"/>
          <w:sz w:val="21"/>
        </w:rPr>
        <w:t xml:space="preserve"> </w:t>
      </w:r>
      <w:r>
        <w:rPr>
          <w:w w:val="95"/>
          <w:sz w:val="21"/>
        </w:rPr>
        <w:t>other</w:t>
      </w:r>
      <w:r>
        <w:rPr>
          <w:spacing w:val="-6"/>
          <w:w w:val="95"/>
          <w:sz w:val="21"/>
        </w:rPr>
        <w:t xml:space="preserve"> </w:t>
      </w:r>
      <w:r>
        <w:rPr>
          <w:w w:val="95"/>
          <w:sz w:val="21"/>
        </w:rPr>
        <w:t>information</w:t>
      </w:r>
      <w:r>
        <w:rPr>
          <w:spacing w:val="-4"/>
          <w:w w:val="95"/>
          <w:sz w:val="21"/>
        </w:rPr>
        <w:t xml:space="preserve"> </w:t>
      </w:r>
      <w:r>
        <w:rPr>
          <w:w w:val="95"/>
          <w:sz w:val="21"/>
        </w:rPr>
        <w:t>is</w:t>
      </w:r>
      <w:r>
        <w:rPr>
          <w:spacing w:val="-12"/>
          <w:w w:val="95"/>
          <w:sz w:val="21"/>
        </w:rPr>
        <w:t xml:space="preserve"> </w:t>
      </w:r>
      <w:r>
        <w:rPr>
          <w:w w:val="95"/>
          <w:sz w:val="21"/>
        </w:rPr>
        <w:t>materially inconsistent</w:t>
      </w:r>
      <w:r>
        <w:rPr>
          <w:spacing w:val="2"/>
          <w:w w:val="95"/>
          <w:sz w:val="21"/>
        </w:rPr>
        <w:t xml:space="preserve"> </w:t>
      </w:r>
      <w:r>
        <w:rPr>
          <w:w w:val="95"/>
          <w:sz w:val="21"/>
        </w:rPr>
        <w:t>with</w:t>
      </w:r>
      <w:r>
        <w:rPr>
          <w:spacing w:val="-7"/>
          <w:w w:val="95"/>
          <w:sz w:val="21"/>
        </w:rPr>
        <w:t xml:space="preserve"> </w:t>
      </w:r>
      <w:r>
        <w:rPr>
          <w:w w:val="95"/>
          <w:sz w:val="21"/>
        </w:rPr>
        <w:t xml:space="preserve">the </w:t>
      </w:r>
      <w:r>
        <w:rPr>
          <w:sz w:val="21"/>
        </w:rPr>
        <w:t>financial</w:t>
      </w:r>
      <w:r>
        <w:rPr>
          <w:spacing w:val="-23"/>
          <w:sz w:val="21"/>
        </w:rPr>
        <w:t xml:space="preserve"> </w:t>
      </w:r>
      <w:r>
        <w:rPr>
          <w:sz w:val="21"/>
        </w:rPr>
        <w:t>statements</w:t>
      </w:r>
      <w:r>
        <w:rPr>
          <w:spacing w:val="-20"/>
          <w:sz w:val="21"/>
        </w:rPr>
        <w:t xml:space="preserve"> </w:t>
      </w:r>
      <w:r>
        <w:rPr>
          <w:sz w:val="21"/>
        </w:rPr>
        <w:t>or</w:t>
      </w:r>
      <w:r>
        <w:rPr>
          <w:spacing w:val="-27"/>
          <w:sz w:val="21"/>
        </w:rPr>
        <w:t xml:space="preserve"> </w:t>
      </w:r>
      <w:r>
        <w:rPr>
          <w:sz w:val="21"/>
        </w:rPr>
        <w:t>my</w:t>
      </w:r>
      <w:r>
        <w:rPr>
          <w:spacing w:val="-28"/>
          <w:sz w:val="21"/>
        </w:rPr>
        <w:t xml:space="preserve"> </w:t>
      </w:r>
      <w:r>
        <w:rPr>
          <w:sz w:val="21"/>
        </w:rPr>
        <w:t>knowledge</w:t>
      </w:r>
      <w:r>
        <w:rPr>
          <w:spacing w:val="-20"/>
          <w:sz w:val="21"/>
        </w:rPr>
        <w:t xml:space="preserve"> </w:t>
      </w:r>
      <w:r>
        <w:rPr>
          <w:sz w:val="21"/>
        </w:rPr>
        <w:t>obtained</w:t>
      </w:r>
      <w:r>
        <w:rPr>
          <w:spacing w:val="-21"/>
          <w:sz w:val="21"/>
        </w:rPr>
        <w:t xml:space="preserve"> </w:t>
      </w:r>
      <w:r>
        <w:rPr>
          <w:sz w:val="21"/>
        </w:rPr>
        <w:t>in</w:t>
      </w:r>
      <w:r>
        <w:rPr>
          <w:spacing w:val="-25"/>
          <w:sz w:val="21"/>
        </w:rPr>
        <w:t xml:space="preserve"> </w:t>
      </w:r>
      <w:r>
        <w:rPr>
          <w:sz w:val="21"/>
        </w:rPr>
        <w:t>the</w:t>
      </w:r>
      <w:r>
        <w:rPr>
          <w:spacing w:val="-23"/>
          <w:sz w:val="21"/>
        </w:rPr>
        <w:t xml:space="preserve"> </w:t>
      </w:r>
      <w:r>
        <w:rPr>
          <w:sz w:val="21"/>
        </w:rPr>
        <w:t>audit,</w:t>
      </w:r>
      <w:r>
        <w:rPr>
          <w:spacing w:val="-21"/>
          <w:sz w:val="21"/>
        </w:rPr>
        <w:t xml:space="preserve"> </w:t>
      </w:r>
      <w:r>
        <w:rPr>
          <w:color w:val="0E0E0E"/>
          <w:sz w:val="21"/>
        </w:rPr>
        <w:t>or</w:t>
      </w:r>
      <w:r>
        <w:rPr>
          <w:color w:val="0E0E0E"/>
          <w:spacing w:val="-23"/>
          <w:sz w:val="21"/>
        </w:rPr>
        <w:t xml:space="preserve"> </w:t>
      </w:r>
      <w:r>
        <w:rPr>
          <w:sz w:val="21"/>
        </w:rPr>
        <w:t>otherwise</w:t>
      </w:r>
      <w:r>
        <w:rPr>
          <w:spacing w:val="-23"/>
          <w:sz w:val="21"/>
        </w:rPr>
        <w:t xml:space="preserve"> </w:t>
      </w:r>
      <w:r>
        <w:rPr>
          <w:sz w:val="21"/>
        </w:rPr>
        <w:t>appears</w:t>
      </w:r>
      <w:r>
        <w:rPr>
          <w:spacing w:val="-23"/>
          <w:sz w:val="21"/>
        </w:rPr>
        <w:t xml:space="preserve"> </w:t>
      </w:r>
      <w:r>
        <w:rPr>
          <w:sz w:val="21"/>
        </w:rPr>
        <w:t>to</w:t>
      </w:r>
      <w:r>
        <w:rPr>
          <w:spacing w:val="-27"/>
          <w:sz w:val="21"/>
        </w:rPr>
        <w:t xml:space="preserve"> </w:t>
      </w:r>
      <w:r>
        <w:rPr>
          <w:sz w:val="21"/>
        </w:rPr>
        <w:t>be</w:t>
      </w:r>
      <w:r>
        <w:rPr>
          <w:spacing w:val="-27"/>
          <w:sz w:val="21"/>
        </w:rPr>
        <w:t xml:space="preserve"> </w:t>
      </w:r>
      <w:r>
        <w:rPr>
          <w:sz w:val="21"/>
        </w:rPr>
        <w:t>materially misstated.</w:t>
      </w:r>
    </w:p>
    <w:p w14:paraId="27BA1DB9" w14:textId="77777777" w:rsidR="00FA4AA8" w:rsidRDefault="0015611F">
      <w:pPr>
        <w:spacing w:before="162" w:line="242" w:lineRule="auto"/>
        <w:ind w:left="683" w:right="837" w:hanging="6"/>
        <w:rPr>
          <w:sz w:val="21"/>
        </w:rPr>
      </w:pPr>
      <w:r>
        <w:rPr>
          <w:sz w:val="21"/>
        </w:rPr>
        <w:t>If,</w:t>
      </w:r>
      <w:r>
        <w:rPr>
          <w:spacing w:val="-32"/>
          <w:sz w:val="21"/>
        </w:rPr>
        <w:t xml:space="preserve"> </w:t>
      </w:r>
      <w:r>
        <w:rPr>
          <w:sz w:val="21"/>
        </w:rPr>
        <w:t>based</w:t>
      </w:r>
      <w:r>
        <w:rPr>
          <w:spacing w:val="-27"/>
          <w:sz w:val="21"/>
        </w:rPr>
        <w:t xml:space="preserve"> </w:t>
      </w:r>
      <w:r>
        <w:rPr>
          <w:sz w:val="21"/>
        </w:rPr>
        <w:t>on</w:t>
      </w:r>
      <w:r>
        <w:rPr>
          <w:spacing w:val="-29"/>
          <w:sz w:val="21"/>
        </w:rPr>
        <w:t xml:space="preserve"> </w:t>
      </w:r>
      <w:r>
        <w:rPr>
          <w:sz w:val="21"/>
        </w:rPr>
        <w:t>the</w:t>
      </w:r>
      <w:r>
        <w:rPr>
          <w:spacing w:val="-33"/>
          <w:sz w:val="21"/>
        </w:rPr>
        <w:t xml:space="preserve"> </w:t>
      </w:r>
      <w:r>
        <w:rPr>
          <w:sz w:val="21"/>
        </w:rPr>
        <w:t>work</w:t>
      </w:r>
      <w:r>
        <w:rPr>
          <w:spacing w:val="-24"/>
          <w:sz w:val="21"/>
        </w:rPr>
        <w:t xml:space="preserve"> </w:t>
      </w:r>
      <w:r>
        <w:rPr>
          <w:sz w:val="21"/>
        </w:rPr>
        <w:t>I</w:t>
      </w:r>
      <w:r>
        <w:rPr>
          <w:spacing w:val="-32"/>
          <w:sz w:val="21"/>
        </w:rPr>
        <w:t xml:space="preserve"> </w:t>
      </w:r>
      <w:r>
        <w:rPr>
          <w:sz w:val="21"/>
        </w:rPr>
        <w:t>have</w:t>
      </w:r>
      <w:r>
        <w:rPr>
          <w:spacing w:val="-33"/>
          <w:sz w:val="21"/>
        </w:rPr>
        <w:t xml:space="preserve"> </w:t>
      </w:r>
      <w:r>
        <w:rPr>
          <w:sz w:val="21"/>
        </w:rPr>
        <w:t>performed,</w:t>
      </w:r>
      <w:r>
        <w:rPr>
          <w:spacing w:val="-24"/>
          <w:sz w:val="21"/>
        </w:rPr>
        <w:t xml:space="preserve"> </w:t>
      </w:r>
      <w:r w:rsidR="007719AF">
        <w:rPr>
          <w:w w:val="95"/>
          <w:sz w:val="21"/>
        </w:rPr>
        <w:t>(</w:t>
      </w:r>
      <w:r w:rsidR="007719AF">
        <w:rPr>
          <w:spacing w:val="-24"/>
          <w:w w:val="95"/>
          <w:sz w:val="21"/>
        </w:rPr>
        <w:t>conclude</w:t>
      </w:r>
      <w:r>
        <w:rPr>
          <w:spacing w:val="-27"/>
          <w:sz w:val="21"/>
        </w:rPr>
        <w:t xml:space="preserve"> </w:t>
      </w:r>
      <w:r>
        <w:rPr>
          <w:sz w:val="21"/>
        </w:rPr>
        <w:t>there</w:t>
      </w:r>
      <w:r>
        <w:rPr>
          <w:spacing w:val="-29"/>
          <w:sz w:val="21"/>
        </w:rPr>
        <w:t xml:space="preserve"> </w:t>
      </w:r>
      <w:r>
        <w:rPr>
          <w:sz w:val="21"/>
        </w:rPr>
        <w:t>is</w:t>
      </w:r>
      <w:r>
        <w:rPr>
          <w:spacing w:val="-28"/>
          <w:sz w:val="21"/>
        </w:rPr>
        <w:t xml:space="preserve"> </w:t>
      </w:r>
      <w:r>
        <w:rPr>
          <w:sz w:val="21"/>
        </w:rPr>
        <w:t>a</w:t>
      </w:r>
      <w:r>
        <w:rPr>
          <w:spacing w:val="-32"/>
          <w:sz w:val="21"/>
        </w:rPr>
        <w:t xml:space="preserve"> </w:t>
      </w:r>
      <w:r>
        <w:rPr>
          <w:sz w:val="21"/>
        </w:rPr>
        <w:t>material</w:t>
      </w:r>
      <w:r>
        <w:rPr>
          <w:spacing w:val="-28"/>
          <w:sz w:val="21"/>
        </w:rPr>
        <w:t xml:space="preserve"> </w:t>
      </w:r>
      <w:r>
        <w:rPr>
          <w:sz w:val="21"/>
        </w:rPr>
        <w:t>misstatement</w:t>
      </w:r>
      <w:r>
        <w:rPr>
          <w:spacing w:val="-21"/>
          <w:sz w:val="21"/>
        </w:rPr>
        <w:t xml:space="preserve"> </w:t>
      </w:r>
      <w:r>
        <w:rPr>
          <w:sz w:val="21"/>
        </w:rPr>
        <w:t>of</w:t>
      </w:r>
      <w:r>
        <w:rPr>
          <w:spacing w:val="-29"/>
          <w:sz w:val="21"/>
        </w:rPr>
        <w:t xml:space="preserve"> </w:t>
      </w:r>
      <w:r>
        <w:rPr>
          <w:sz w:val="21"/>
        </w:rPr>
        <w:t>the</w:t>
      </w:r>
      <w:r>
        <w:rPr>
          <w:spacing w:val="-28"/>
          <w:sz w:val="21"/>
        </w:rPr>
        <w:t xml:space="preserve"> </w:t>
      </w:r>
      <w:r>
        <w:rPr>
          <w:sz w:val="21"/>
        </w:rPr>
        <w:t xml:space="preserve">other information, </w:t>
      </w:r>
      <w:r>
        <w:rPr>
          <w:color w:val="0F0F0F"/>
          <w:sz w:val="21"/>
        </w:rPr>
        <w:t xml:space="preserve">I </w:t>
      </w:r>
      <w:r>
        <w:rPr>
          <w:sz w:val="21"/>
        </w:rPr>
        <w:t>must report that</w:t>
      </w:r>
      <w:r>
        <w:rPr>
          <w:spacing w:val="16"/>
          <w:sz w:val="21"/>
        </w:rPr>
        <w:t xml:space="preserve"> </w:t>
      </w:r>
      <w:r>
        <w:rPr>
          <w:sz w:val="21"/>
        </w:rPr>
        <w:t>fact.</w:t>
      </w:r>
    </w:p>
    <w:p w14:paraId="2A1319E0" w14:textId="77777777" w:rsidR="00FA4AA8" w:rsidRDefault="0015611F">
      <w:pPr>
        <w:spacing w:before="170"/>
        <w:ind w:left="687"/>
        <w:rPr>
          <w:sz w:val="21"/>
        </w:rPr>
      </w:pPr>
      <w:r>
        <w:rPr>
          <w:color w:val="0F0F0F"/>
          <w:sz w:val="21"/>
        </w:rPr>
        <w:t xml:space="preserve">I </w:t>
      </w:r>
      <w:r>
        <w:rPr>
          <w:sz w:val="21"/>
        </w:rPr>
        <w:t>have nothing to report in this regard.</w:t>
      </w:r>
    </w:p>
    <w:p w14:paraId="39D46DC8" w14:textId="77777777" w:rsidR="00FA4AA8" w:rsidRDefault="0015611F">
      <w:pPr>
        <w:spacing w:before="172"/>
        <w:ind w:left="692"/>
        <w:rPr>
          <w:b/>
          <w:sz w:val="24"/>
        </w:rPr>
      </w:pPr>
      <w:r>
        <w:rPr>
          <w:b/>
          <w:sz w:val="24"/>
        </w:rPr>
        <w:t>The Directors’ Responsibilities for the Financial Statements</w:t>
      </w:r>
    </w:p>
    <w:p w14:paraId="25846F78" w14:textId="77777777" w:rsidR="00FA4AA8" w:rsidRDefault="0015611F">
      <w:pPr>
        <w:spacing w:before="107"/>
        <w:ind w:left="685" w:right="715" w:hanging="3"/>
        <w:rPr>
          <w:sz w:val="21"/>
        </w:rPr>
      </w:pPr>
      <w:r>
        <w:rPr>
          <w:sz w:val="21"/>
        </w:rPr>
        <w:t>The</w:t>
      </w:r>
      <w:r>
        <w:rPr>
          <w:spacing w:val="-39"/>
          <w:sz w:val="21"/>
        </w:rPr>
        <w:t xml:space="preserve"> </w:t>
      </w:r>
      <w:r>
        <w:rPr>
          <w:sz w:val="21"/>
        </w:rPr>
        <w:t>Directors</w:t>
      </w:r>
      <w:r>
        <w:rPr>
          <w:spacing w:val="-29"/>
          <w:sz w:val="21"/>
        </w:rPr>
        <w:t xml:space="preserve"> </w:t>
      </w:r>
      <w:r>
        <w:rPr>
          <w:sz w:val="21"/>
        </w:rPr>
        <w:t>of</w:t>
      </w:r>
      <w:r>
        <w:rPr>
          <w:spacing w:val="-39"/>
          <w:sz w:val="21"/>
        </w:rPr>
        <w:t xml:space="preserve"> </w:t>
      </w:r>
      <w:r>
        <w:rPr>
          <w:sz w:val="21"/>
        </w:rPr>
        <w:t>the</w:t>
      </w:r>
      <w:r>
        <w:rPr>
          <w:spacing w:val="-40"/>
          <w:sz w:val="21"/>
        </w:rPr>
        <w:t xml:space="preserve"> </w:t>
      </w:r>
      <w:r>
        <w:rPr>
          <w:sz w:val="21"/>
        </w:rPr>
        <w:t>Company</w:t>
      </w:r>
      <w:r>
        <w:rPr>
          <w:spacing w:val="-27"/>
          <w:sz w:val="21"/>
        </w:rPr>
        <w:t xml:space="preserve"> </w:t>
      </w:r>
      <w:r>
        <w:rPr>
          <w:sz w:val="21"/>
        </w:rPr>
        <w:t>are</w:t>
      </w:r>
      <w:r>
        <w:rPr>
          <w:spacing w:val="-38"/>
          <w:sz w:val="21"/>
        </w:rPr>
        <w:t xml:space="preserve"> </w:t>
      </w:r>
      <w:r>
        <w:rPr>
          <w:sz w:val="21"/>
        </w:rPr>
        <w:t>responsible</w:t>
      </w:r>
      <w:r>
        <w:rPr>
          <w:spacing w:val="-27"/>
          <w:sz w:val="21"/>
        </w:rPr>
        <w:t xml:space="preserve"> </w:t>
      </w:r>
      <w:r>
        <w:rPr>
          <w:sz w:val="21"/>
        </w:rPr>
        <w:t>for</w:t>
      </w:r>
      <w:r>
        <w:rPr>
          <w:spacing w:val="-34"/>
          <w:sz w:val="21"/>
        </w:rPr>
        <w:t xml:space="preserve"> </w:t>
      </w:r>
      <w:r>
        <w:rPr>
          <w:sz w:val="21"/>
        </w:rPr>
        <w:t>the</w:t>
      </w:r>
      <w:r>
        <w:rPr>
          <w:spacing w:val="-38"/>
          <w:sz w:val="21"/>
        </w:rPr>
        <w:t xml:space="preserve"> </w:t>
      </w:r>
      <w:r>
        <w:rPr>
          <w:sz w:val="21"/>
        </w:rPr>
        <w:t>preparation</w:t>
      </w:r>
      <w:r>
        <w:rPr>
          <w:spacing w:val="-32"/>
          <w:sz w:val="21"/>
        </w:rPr>
        <w:t xml:space="preserve"> </w:t>
      </w:r>
      <w:r>
        <w:rPr>
          <w:sz w:val="21"/>
        </w:rPr>
        <w:t>and</w:t>
      </w:r>
      <w:r>
        <w:rPr>
          <w:spacing w:val="-38"/>
          <w:sz w:val="21"/>
        </w:rPr>
        <w:t xml:space="preserve"> </w:t>
      </w:r>
      <w:r>
        <w:rPr>
          <w:sz w:val="21"/>
        </w:rPr>
        <w:t>fair</w:t>
      </w:r>
      <w:r>
        <w:rPr>
          <w:spacing w:val="-37"/>
          <w:sz w:val="21"/>
        </w:rPr>
        <w:t xml:space="preserve"> </w:t>
      </w:r>
      <w:r>
        <w:rPr>
          <w:sz w:val="21"/>
        </w:rPr>
        <w:t>presentation</w:t>
      </w:r>
      <w:r>
        <w:rPr>
          <w:spacing w:val="-29"/>
          <w:sz w:val="21"/>
        </w:rPr>
        <w:t xml:space="preserve"> </w:t>
      </w:r>
      <w:r>
        <w:rPr>
          <w:sz w:val="21"/>
        </w:rPr>
        <w:t>of</w:t>
      </w:r>
      <w:r>
        <w:rPr>
          <w:spacing w:val="-35"/>
          <w:sz w:val="21"/>
        </w:rPr>
        <w:t xml:space="preserve"> </w:t>
      </w:r>
      <w:r>
        <w:rPr>
          <w:sz w:val="21"/>
        </w:rPr>
        <w:t>the</w:t>
      </w:r>
      <w:r>
        <w:rPr>
          <w:spacing w:val="-37"/>
          <w:sz w:val="21"/>
        </w:rPr>
        <w:t xml:space="preserve"> </w:t>
      </w:r>
      <w:r>
        <w:rPr>
          <w:sz w:val="21"/>
        </w:rPr>
        <w:t xml:space="preserve">financial </w:t>
      </w:r>
      <w:r>
        <w:rPr>
          <w:w w:val="95"/>
          <w:sz w:val="21"/>
        </w:rPr>
        <w:t xml:space="preserve">statements in accordance with Australian Accounting Standards, the PF&amp;A Act, the </w:t>
      </w:r>
      <w:r>
        <w:rPr>
          <w:i/>
          <w:w w:val="95"/>
          <w:sz w:val="21"/>
        </w:rPr>
        <w:t xml:space="preserve">Corporations Act </w:t>
      </w:r>
      <w:r>
        <w:rPr>
          <w:i/>
          <w:sz w:val="21"/>
        </w:rPr>
        <w:t>2001</w:t>
      </w:r>
      <w:r>
        <w:rPr>
          <w:i/>
          <w:spacing w:val="-22"/>
          <w:sz w:val="21"/>
        </w:rPr>
        <w:t xml:space="preserve"> </w:t>
      </w:r>
      <w:r>
        <w:rPr>
          <w:sz w:val="21"/>
        </w:rPr>
        <w:t>and</w:t>
      </w:r>
      <w:r>
        <w:rPr>
          <w:spacing w:val="-26"/>
          <w:sz w:val="21"/>
        </w:rPr>
        <w:t xml:space="preserve"> </w:t>
      </w:r>
      <w:r>
        <w:rPr>
          <w:sz w:val="21"/>
        </w:rPr>
        <w:t>the</w:t>
      </w:r>
      <w:r>
        <w:rPr>
          <w:spacing w:val="-24"/>
          <w:sz w:val="21"/>
        </w:rPr>
        <w:t xml:space="preserve"> </w:t>
      </w:r>
      <w:r w:rsidR="007719AF">
        <w:rPr>
          <w:i/>
          <w:sz w:val="21"/>
        </w:rPr>
        <w:t>Australian Charit</w:t>
      </w:r>
      <w:r>
        <w:rPr>
          <w:i/>
          <w:sz w:val="21"/>
        </w:rPr>
        <w:t>ies</w:t>
      </w:r>
      <w:r>
        <w:rPr>
          <w:i/>
          <w:spacing w:val="-21"/>
          <w:sz w:val="21"/>
        </w:rPr>
        <w:t xml:space="preserve"> </w:t>
      </w:r>
      <w:r>
        <w:rPr>
          <w:i/>
          <w:sz w:val="21"/>
        </w:rPr>
        <w:t>and</w:t>
      </w:r>
      <w:r>
        <w:rPr>
          <w:i/>
          <w:spacing w:val="-26"/>
          <w:sz w:val="21"/>
        </w:rPr>
        <w:t xml:space="preserve"> </w:t>
      </w:r>
      <w:r w:rsidR="007719AF">
        <w:rPr>
          <w:i/>
          <w:sz w:val="21"/>
        </w:rPr>
        <w:t>Not-for-Profi</w:t>
      </w:r>
      <w:r>
        <w:rPr>
          <w:i/>
          <w:sz w:val="21"/>
        </w:rPr>
        <w:t>ts</w:t>
      </w:r>
      <w:r>
        <w:rPr>
          <w:i/>
          <w:spacing w:val="-33"/>
          <w:sz w:val="21"/>
        </w:rPr>
        <w:t xml:space="preserve"> </w:t>
      </w:r>
      <w:r>
        <w:rPr>
          <w:i/>
          <w:sz w:val="21"/>
        </w:rPr>
        <w:t>Commission</w:t>
      </w:r>
      <w:r>
        <w:rPr>
          <w:i/>
          <w:spacing w:val="-13"/>
          <w:sz w:val="21"/>
        </w:rPr>
        <w:t xml:space="preserve"> </w:t>
      </w:r>
      <w:r>
        <w:rPr>
          <w:i/>
          <w:sz w:val="21"/>
        </w:rPr>
        <w:t>Act</w:t>
      </w:r>
      <w:r>
        <w:rPr>
          <w:i/>
          <w:spacing w:val="-26"/>
          <w:sz w:val="21"/>
        </w:rPr>
        <w:t xml:space="preserve"> </w:t>
      </w:r>
      <w:r w:rsidR="007719AF" w:rsidRPr="007719AF">
        <w:rPr>
          <w:i/>
          <w:sz w:val="21"/>
        </w:rPr>
        <w:t>201</w:t>
      </w:r>
      <w:r w:rsidRPr="007719AF">
        <w:rPr>
          <w:i/>
          <w:sz w:val="21"/>
        </w:rPr>
        <w:t>2</w:t>
      </w:r>
      <w:r>
        <w:rPr>
          <w:sz w:val="21"/>
        </w:rPr>
        <w:t>,</w:t>
      </w:r>
      <w:r>
        <w:rPr>
          <w:spacing w:val="-23"/>
          <w:sz w:val="21"/>
        </w:rPr>
        <w:t xml:space="preserve"> </w:t>
      </w:r>
      <w:r>
        <w:rPr>
          <w:sz w:val="21"/>
        </w:rPr>
        <w:t>and</w:t>
      </w:r>
      <w:r>
        <w:rPr>
          <w:spacing w:val="-25"/>
          <w:sz w:val="21"/>
        </w:rPr>
        <w:t xml:space="preserve"> </w:t>
      </w:r>
      <w:r>
        <w:rPr>
          <w:sz w:val="21"/>
        </w:rPr>
        <w:t>for</w:t>
      </w:r>
      <w:r>
        <w:rPr>
          <w:spacing w:val="-25"/>
          <w:sz w:val="21"/>
        </w:rPr>
        <w:t xml:space="preserve"> </w:t>
      </w:r>
      <w:r>
        <w:rPr>
          <w:sz w:val="21"/>
        </w:rPr>
        <w:t>such</w:t>
      </w:r>
      <w:r>
        <w:rPr>
          <w:spacing w:val="-24"/>
          <w:sz w:val="21"/>
        </w:rPr>
        <w:t xml:space="preserve"> </w:t>
      </w:r>
      <w:r>
        <w:rPr>
          <w:sz w:val="21"/>
        </w:rPr>
        <w:t>internal control</w:t>
      </w:r>
      <w:r>
        <w:rPr>
          <w:spacing w:val="-30"/>
          <w:sz w:val="21"/>
        </w:rPr>
        <w:t xml:space="preserve"> </w:t>
      </w:r>
      <w:r>
        <w:rPr>
          <w:color w:val="131313"/>
          <w:sz w:val="21"/>
        </w:rPr>
        <w:t>as</w:t>
      </w:r>
      <w:r>
        <w:rPr>
          <w:color w:val="131313"/>
          <w:spacing w:val="-33"/>
          <w:sz w:val="21"/>
        </w:rPr>
        <w:t xml:space="preserve"> </w:t>
      </w:r>
      <w:r>
        <w:rPr>
          <w:sz w:val="21"/>
        </w:rPr>
        <w:t>the</w:t>
      </w:r>
      <w:r>
        <w:rPr>
          <w:spacing w:val="-29"/>
          <w:sz w:val="21"/>
        </w:rPr>
        <w:t xml:space="preserve"> </w:t>
      </w:r>
      <w:r>
        <w:rPr>
          <w:sz w:val="21"/>
        </w:rPr>
        <w:t>Directors</w:t>
      </w:r>
      <w:r>
        <w:rPr>
          <w:spacing w:val="-28"/>
          <w:sz w:val="21"/>
        </w:rPr>
        <w:t xml:space="preserve"> </w:t>
      </w:r>
      <w:r>
        <w:rPr>
          <w:sz w:val="21"/>
        </w:rPr>
        <w:t>determine</w:t>
      </w:r>
      <w:r>
        <w:rPr>
          <w:spacing w:val="-27"/>
          <w:sz w:val="21"/>
        </w:rPr>
        <w:t xml:space="preserve"> </w:t>
      </w:r>
      <w:r>
        <w:rPr>
          <w:sz w:val="21"/>
        </w:rPr>
        <w:t>is</w:t>
      </w:r>
      <w:r>
        <w:rPr>
          <w:spacing w:val="-34"/>
          <w:sz w:val="21"/>
        </w:rPr>
        <w:t xml:space="preserve"> </w:t>
      </w:r>
      <w:r>
        <w:rPr>
          <w:sz w:val="21"/>
        </w:rPr>
        <w:t>necessary</w:t>
      </w:r>
      <w:r>
        <w:rPr>
          <w:spacing w:val="-28"/>
          <w:sz w:val="21"/>
        </w:rPr>
        <w:t xml:space="preserve"> </w:t>
      </w:r>
      <w:r>
        <w:rPr>
          <w:sz w:val="21"/>
        </w:rPr>
        <w:t>to</w:t>
      </w:r>
      <w:r>
        <w:rPr>
          <w:spacing w:val="-35"/>
          <w:sz w:val="21"/>
        </w:rPr>
        <w:t xml:space="preserve"> </w:t>
      </w:r>
      <w:r>
        <w:rPr>
          <w:sz w:val="21"/>
        </w:rPr>
        <w:t>enable</w:t>
      </w:r>
      <w:r>
        <w:rPr>
          <w:spacing w:val="-30"/>
          <w:sz w:val="21"/>
        </w:rPr>
        <w:t xml:space="preserve"> </w:t>
      </w:r>
      <w:r>
        <w:rPr>
          <w:sz w:val="21"/>
        </w:rPr>
        <w:t>the</w:t>
      </w:r>
      <w:r>
        <w:rPr>
          <w:spacing w:val="-33"/>
          <w:sz w:val="21"/>
        </w:rPr>
        <w:t xml:space="preserve"> </w:t>
      </w:r>
      <w:r>
        <w:rPr>
          <w:sz w:val="21"/>
        </w:rPr>
        <w:t>preparation</w:t>
      </w:r>
      <w:r>
        <w:rPr>
          <w:spacing w:val="-27"/>
          <w:sz w:val="21"/>
        </w:rPr>
        <w:t xml:space="preserve"> </w:t>
      </w:r>
      <w:r>
        <w:rPr>
          <w:sz w:val="21"/>
        </w:rPr>
        <w:t>and</w:t>
      </w:r>
      <w:r>
        <w:rPr>
          <w:spacing w:val="-29"/>
          <w:sz w:val="21"/>
        </w:rPr>
        <w:t xml:space="preserve"> </w:t>
      </w:r>
      <w:r>
        <w:rPr>
          <w:sz w:val="21"/>
        </w:rPr>
        <w:t>fair</w:t>
      </w:r>
      <w:r>
        <w:rPr>
          <w:spacing w:val="-32"/>
          <w:sz w:val="21"/>
        </w:rPr>
        <w:t xml:space="preserve"> </w:t>
      </w:r>
      <w:r>
        <w:rPr>
          <w:sz w:val="21"/>
        </w:rPr>
        <w:t>presentation</w:t>
      </w:r>
      <w:r>
        <w:rPr>
          <w:spacing w:val="-22"/>
          <w:sz w:val="21"/>
        </w:rPr>
        <w:t xml:space="preserve"> </w:t>
      </w:r>
      <w:r>
        <w:rPr>
          <w:sz w:val="21"/>
        </w:rPr>
        <w:t>of</w:t>
      </w:r>
      <w:r>
        <w:rPr>
          <w:spacing w:val="-31"/>
          <w:sz w:val="21"/>
        </w:rPr>
        <w:t xml:space="preserve"> </w:t>
      </w:r>
      <w:r>
        <w:rPr>
          <w:sz w:val="21"/>
        </w:rPr>
        <w:t>the financial</w:t>
      </w:r>
      <w:r>
        <w:rPr>
          <w:spacing w:val="-9"/>
          <w:sz w:val="21"/>
        </w:rPr>
        <w:t xml:space="preserve"> </w:t>
      </w:r>
      <w:r>
        <w:rPr>
          <w:sz w:val="21"/>
        </w:rPr>
        <w:t>statements</w:t>
      </w:r>
      <w:r>
        <w:rPr>
          <w:spacing w:val="-2"/>
          <w:sz w:val="21"/>
        </w:rPr>
        <w:t xml:space="preserve"> </w:t>
      </w:r>
      <w:r>
        <w:rPr>
          <w:sz w:val="21"/>
        </w:rPr>
        <w:t>that</w:t>
      </w:r>
      <w:r>
        <w:rPr>
          <w:spacing w:val="-15"/>
          <w:sz w:val="21"/>
        </w:rPr>
        <w:t xml:space="preserve"> </w:t>
      </w:r>
      <w:r>
        <w:rPr>
          <w:sz w:val="21"/>
        </w:rPr>
        <w:t>are</w:t>
      </w:r>
      <w:r>
        <w:rPr>
          <w:spacing w:val="-16"/>
          <w:sz w:val="21"/>
        </w:rPr>
        <w:t xml:space="preserve"> </w:t>
      </w:r>
      <w:r>
        <w:rPr>
          <w:sz w:val="21"/>
        </w:rPr>
        <w:t>free</w:t>
      </w:r>
      <w:r>
        <w:rPr>
          <w:spacing w:val="-16"/>
          <w:sz w:val="21"/>
        </w:rPr>
        <w:t xml:space="preserve"> </w:t>
      </w:r>
      <w:r>
        <w:rPr>
          <w:sz w:val="21"/>
        </w:rPr>
        <w:t>from</w:t>
      </w:r>
      <w:r>
        <w:rPr>
          <w:spacing w:val="-19"/>
          <w:sz w:val="21"/>
        </w:rPr>
        <w:t xml:space="preserve"> </w:t>
      </w:r>
      <w:r>
        <w:rPr>
          <w:sz w:val="21"/>
        </w:rPr>
        <w:t>material</w:t>
      </w:r>
      <w:r>
        <w:rPr>
          <w:spacing w:val="-9"/>
          <w:sz w:val="21"/>
        </w:rPr>
        <w:t xml:space="preserve"> </w:t>
      </w:r>
      <w:r>
        <w:rPr>
          <w:sz w:val="21"/>
        </w:rPr>
        <w:t>misstatement,</w:t>
      </w:r>
      <w:r>
        <w:rPr>
          <w:spacing w:val="-2"/>
          <w:sz w:val="21"/>
        </w:rPr>
        <w:t xml:space="preserve"> </w:t>
      </w:r>
      <w:r>
        <w:rPr>
          <w:sz w:val="21"/>
        </w:rPr>
        <w:t>whether</w:t>
      </w:r>
      <w:r>
        <w:rPr>
          <w:spacing w:val="-9"/>
          <w:sz w:val="21"/>
        </w:rPr>
        <w:t xml:space="preserve"> </w:t>
      </w:r>
      <w:r>
        <w:rPr>
          <w:color w:val="111111"/>
          <w:sz w:val="21"/>
        </w:rPr>
        <w:t>due</w:t>
      </w:r>
      <w:r>
        <w:rPr>
          <w:color w:val="111111"/>
          <w:spacing w:val="-17"/>
          <w:sz w:val="21"/>
        </w:rPr>
        <w:t xml:space="preserve"> </w:t>
      </w:r>
      <w:r>
        <w:rPr>
          <w:sz w:val="21"/>
        </w:rPr>
        <w:t>to</w:t>
      </w:r>
      <w:r>
        <w:rPr>
          <w:spacing w:val="-18"/>
          <w:sz w:val="21"/>
        </w:rPr>
        <w:t xml:space="preserve"> </w:t>
      </w:r>
      <w:r>
        <w:rPr>
          <w:sz w:val="21"/>
        </w:rPr>
        <w:t>fraud</w:t>
      </w:r>
      <w:r>
        <w:rPr>
          <w:spacing w:val="-22"/>
          <w:sz w:val="21"/>
        </w:rPr>
        <w:t xml:space="preserve"> </w:t>
      </w:r>
      <w:r>
        <w:rPr>
          <w:sz w:val="21"/>
        </w:rPr>
        <w:t>or</w:t>
      </w:r>
      <w:r>
        <w:rPr>
          <w:spacing w:val="-14"/>
          <w:sz w:val="21"/>
        </w:rPr>
        <w:t xml:space="preserve"> </w:t>
      </w:r>
      <w:r>
        <w:rPr>
          <w:sz w:val="21"/>
        </w:rPr>
        <w:t>error.</w:t>
      </w:r>
    </w:p>
    <w:p w14:paraId="64B511F4" w14:textId="77777777" w:rsidR="00FA4AA8" w:rsidRDefault="0015611F">
      <w:pPr>
        <w:spacing w:before="166"/>
        <w:ind w:left="684" w:right="837" w:firstLine="3"/>
        <w:rPr>
          <w:sz w:val="21"/>
        </w:rPr>
      </w:pPr>
      <w:r>
        <w:rPr>
          <w:sz w:val="21"/>
        </w:rPr>
        <w:t>In</w:t>
      </w:r>
      <w:r>
        <w:rPr>
          <w:spacing w:val="-34"/>
          <w:sz w:val="21"/>
        </w:rPr>
        <w:t xml:space="preserve"> </w:t>
      </w:r>
      <w:r>
        <w:rPr>
          <w:sz w:val="21"/>
        </w:rPr>
        <w:t>preparing</w:t>
      </w:r>
      <w:r>
        <w:rPr>
          <w:spacing w:val="-25"/>
          <w:sz w:val="21"/>
        </w:rPr>
        <w:t xml:space="preserve"> </w:t>
      </w:r>
      <w:r>
        <w:rPr>
          <w:color w:val="0C0C0C"/>
          <w:sz w:val="21"/>
        </w:rPr>
        <w:t>the</w:t>
      </w:r>
      <w:r>
        <w:rPr>
          <w:color w:val="0C0C0C"/>
          <w:spacing w:val="-29"/>
          <w:sz w:val="21"/>
        </w:rPr>
        <w:t xml:space="preserve"> </w:t>
      </w:r>
      <w:r>
        <w:rPr>
          <w:sz w:val="21"/>
        </w:rPr>
        <w:t>financial</w:t>
      </w:r>
      <w:r>
        <w:rPr>
          <w:spacing w:val="-26"/>
          <w:sz w:val="21"/>
        </w:rPr>
        <w:t xml:space="preserve"> </w:t>
      </w:r>
      <w:r>
        <w:rPr>
          <w:sz w:val="21"/>
        </w:rPr>
        <w:t>statements,</w:t>
      </w:r>
      <w:r>
        <w:rPr>
          <w:spacing w:val="-21"/>
          <w:sz w:val="21"/>
        </w:rPr>
        <w:t xml:space="preserve"> </w:t>
      </w:r>
      <w:r>
        <w:rPr>
          <w:sz w:val="21"/>
        </w:rPr>
        <w:t>the</w:t>
      </w:r>
      <w:r>
        <w:rPr>
          <w:spacing w:val="-31"/>
          <w:sz w:val="21"/>
        </w:rPr>
        <w:t xml:space="preserve"> </w:t>
      </w:r>
      <w:r>
        <w:rPr>
          <w:sz w:val="21"/>
        </w:rPr>
        <w:t>Directors</w:t>
      </w:r>
      <w:r>
        <w:rPr>
          <w:spacing w:val="-19"/>
          <w:sz w:val="21"/>
        </w:rPr>
        <w:t xml:space="preserve"> </w:t>
      </w:r>
      <w:r>
        <w:rPr>
          <w:sz w:val="21"/>
        </w:rPr>
        <w:t>are</w:t>
      </w:r>
      <w:r>
        <w:rPr>
          <w:spacing w:val="-25"/>
          <w:sz w:val="21"/>
        </w:rPr>
        <w:t xml:space="preserve"> </w:t>
      </w:r>
      <w:r>
        <w:rPr>
          <w:sz w:val="21"/>
        </w:rPr>
        <w:t>responsible</w:t>
      </w:r>
      <w:r>
        <w:rPr>
          <w:spacing w:val="-16"/>
          <w:sz w:val="21"/>
        </w:rPr>
        <w:t xml:space="preserve"> </w:t>
      </w:r>
      <w:r>
        <w:rPr>
          <w:sz w:val="21"/>
        </w:rPr>
        <w:t>for</w:t>
      </w:r>
      <w:r>
        <w:rPr>
          <w:spacing w:val="-27"/>
          <w:sz w:val="21"/>
        </w:rPr>
        <w:t xml:space="preserve"> </w:t>
      </w:r>
      <w:r>
        <w:rPr>
          <w:sz w:val="21"/>
        </w:rPr>
        <w:t>assessing</w:t>
      </w:r>
      <w:r>
        <w:rPr>
          <w:spacing w:val="-22"/>
          <w:sz w:val="21"/>
        </w:rPr>
        <w:t xml:space="preserve"> </w:t>
      </w:r>
      <w:r>
        <w:rPr>
          <w:sz w:val="21"/>
        </w:rPr>
        <w:t>the</w:t>
      </w:r>
      <w:r>
        <w:rPr>
          <w:spacing w:val="-33"/>
          <w:sz w:val="21"/>
        </w:rPr>
        <w:t xml:space="preserve"> </w:t>
      </w:r>
      <w:r>
        <w:rPr>
          <w:sz w:val="21"/>
        </w:rPr>
        <w:t>Company’s ability</w:t>
      </w:r>
      <w:r>
        <w:rPr>
          <w:spacing w:val="-32"/>
          <w:sz w:val="21"/>
        </w:rPr>
        <w:t xml:space="preserve"> </w:t>
      </w:r>
      <w:r>
        <w:rPr>
          <w:sz w:val="21"/>
        </w:rPr>
        <w:t>to</w:t>
      </w:r>
      <w:r>
        <w:rPr>
          <w:spacing w:val="-38"/>
          <w:sz w:val="21"/>
        </w:rPr>
        <w:t xml:space="preserve"> </w:t>
      </w:r>
      <w:r>
        <w:rPr>
          <w:sz w:val="21"/>
        </w:rPr>
        <w:t>continue</w:t>
      </w:r>
      <w:r>
        <w:rPr>
          <w:spacing w:val="-32"/>
          <w:sz w:val="21"/>
        </w:rPr>
        <w:t xml:space="preserve"> </w:t>
      </w:r>
      <w:r>
        <w:rPr>
          <w:sz w:val="21"/>
        </w:rPr>
        <w:t>as</w:t>
      </w:r>
      <w:r>
        <w:rPr>
          <w:spacing w:val="-38"/>
          <w:sz w:val="21"/>
        </w:rPr>
        <w:t xml:space="preserve"> </w:t>
      </w:r>
      <w:r>
        <w:rPr>
          <w:sz w:val="21"/>
        </w:rPr>
        <w:t>a</w:t>
      </w:r>
      <w:r>
        <w:rPr>
          <w:spacing w:val="-38"/>
          <w:sz w:val="21"/>
        </w:rPr>
        <w:t xml:space="preserve"> </w:t>
      </w:r>
      <w:r>
        <w:rPr>
          <w:sz w:val="21"/>
        </w:rPr>
        <w:t>going</w:t>
      </w:r>
      <w:r>
        <w:rPr>
          <w:spacing w:val="-33"/>
          <w:sz w:val="21"/>
        </w:rPr>
        <w:t xml:space="preserve"> </w:t>
      </w:r>
      <w:r>
        <w:rPr>
          <w:sz w:val="21"/>
        </w:rPr>
        <w:t>concern</w:t>
      </w:r>
      <w:r>
        <w:rPr>
          <w:spacing w:val="-31"/>
          <w:sz w:val="21"/>
        </w:rPr>
        <w:t xml:space="preserve"> </w:t>
      </w:r>
      <w:r>
        <w:rPr>
          <w:sz w:val="21"/>
        </w:rPr>
        <w:t>disclosing,</w:t>
      </w:r>
      <w:r>
        <w:rPr>
          <w:spacing w:val="-34"/>
          <w:sz w:val="21"/>
        </w:rPr>
        <w:t xml:space="preserve"> </w:t>
      </w:r>
      <w:r>
        <w:rPr>
          <w:sz w:val="21"/>
        </w:rPr>
        <w:t>as</w:t>
      </w:r>
      <w:r>
        <w:rPr>
          <w:spacing w:val="-37"/>
          <w:sz w:val="21"/>
        </w:rPr>
        <w:t xml:space="preserve"> </w:t>
      </w:r>
      <w:r>
        <w:rPr>
          <w:sz w:val="21"/>
        </w:rPr>
        <w:t>applicable,</w:t>
      </w:r>
      <w:r>
        <w:rPr>
          <w:spacing w:val="-26"/>
          <w:sz w:val="21"/>
        </w:rPr>
        <w:t xml:space="preserve"> </w:t>
      </w:r>
      <w:r>
        <w:rPr>
          <w:sz w:val="21"/>
        </w:rPr>
        <w:t>matters</w:t>
      </w:r>
      <w:r>
        <w:rPr>
          <w:spacing w:val="-32"/>
          <w:sz w:val="21"/>
        </w:rPr>
        <w:t xml:space="preserve"> </w:t>
      </w:r>
      <w:r>
        <w:rPr>
          <w:sz w:val="21"/>
        </w:rPr>
        <w:t>related</w:t>
      </w:r>
      <w:r>
        <w:rPr>
          <w:spacing w:val="-31"/>
          <w:sz w:val="21"/>
        </w:rPr>
        <w:t xml:space="preserve"> </w:t>
      </w:r>
      <w:r>
        <w:rPr>
          <w:sz w:val="21"/>
        </w:rPr>
        <w:t>to</w:t>
      </w:r>
      <w:r>
        <w:rPr>
          <w:spacing w:val="-34"/>
          <w:sz w:val="21"/>
        </w:rPr>
        <w:t xml:space="preserve"> </w:t>
      </w:r>
      <w:r>
        <w:rPr>
          <w:sz w:val="21"/>
        </w:rPr>
        <w:t>going</w:t>
      </w:r>
      <w:r>
        <w:rPr>
          <w:spacing w:val="-33"/>
          <w:sz w:val="21"/>
        </w:rPr>
        <w:t xml:space="preserve"> </w:t>
      </w:r>
      <w:r>
        <w:rPr>
          <w:sz w:val="21"/>
        </w:rPr>
        <w:t>concern</w:t>
      </w:r>
      <w:r>
        <w:rPr>
          <w:spacing w:val="-31"/>
          <w:sz w:val="21"/>
        </w:rPr>
        <w:t xml:space="preserve"> </w:t>
      </w:r>
      <w:r>
        <w:rPr>
          <w:sz w:val="21"/>
        </w:rPr>
        <w:t xml:space="preserve">and using the going concern basis of accounting unless the Directors either intend to liquidate the Company or </w:t>
      </w:r>
      <w:r>
        <w:rPr>
          <w:color w:val="0F0F0F"/>
          <w:sz w:val="21"/>
        </w:rPr>
        <w:t xml:space="preserve">to </w:t>
      </w:r>
      <w:r>
        <w:rPr>
          <w:sz w:val="21"/>
        </w:rPr>
        <w:t xml:space="preserve">cease operations or have </w:t>
      </w:r>
      <w:r>
        <w:rPr>
          <w:color w:val="161616"/>
          <w:sz w:val="21"/>
        </w:rPr>
        <w:t xml:space="preserve">no </w:t>
      </w:r>
      <w:r>
        <w:rPr>
          <w:sz w:val="21"/>
        </w:rPr>
        <w:t xml:space="preserve">realistic alternative but to </w:t>
      </w:r>
      <w:r>
        <w:rPr>
          <w:color w:val="1A1A1A"/>
          <w:sz w:val="21"/>
        </w:rPr>
        <w:t>do</w:t>
      </w:r>
      <w:r>
        <w:rPr>
          <w:color w:val="1A1A1A"/>
          <w:spacing w:val="-29"/>
          <w:sz w:val="21"/>
        </w:rPr>
        <w:t xml:space="preserve"> </w:t>
      </w:r>
      <w:r>
        <w:rPr>
          <w:sz w:val="21"/>
        </w:rPr>
        <w:t>so.</w:t>
      </w:r>
    </w:p>
    <w:p w14:paraId="117EA2CC" w14:textId="77777777" w:rsidR="00FA4AA8" w:rsidRDefault="0015611F">
      <w:pPr>
        <w:spacing w:before="158"/>
        <w:ind w:left="697"/>
        <w:rPr>
          <w:sz w:val="25"/>
        </w:rPr>
      </w:pPr>
      <w:r>
        <w:rPr>
          <w:b/>
          <w:sz w:val="25"/>
        </w:rPr>
        <w:t xml:space="preserve">Auditor’s Responsibilities for the Audit of the Financial </w:t>
      </w:r>
      <w:r>
        <w:rPr>
          <w:sz w:val="25"/>
        </w:rPr>
        <w:t>Statements</w:t>
      </w:r>
    </w:p>
    <w:p w14:paraId="423827D4" w14:textId="77777777" w:rsidR="00FA4AA8" w:rsidRDefault="0015611F">
      <w:pPr>
        <w:spacing w:before="115"/>
        <w:ind w:left="691"/>
        <w:rPr>
          <w:sz w:val="21"/>
        </w:rPr>
      </w:pPr>
      <w:r>
        <w:rPr>
          <w:sz w:val="21"/>
        </w:rPr>
        <w:t xml:space="preserve">My objectives </w:t>
      </w:r>
      <w:r>
        <w:rPr>
          <w:color w:val="0E0E0E"/>
          <w:sz w:val="21"/>
        </w:rPr>
        <w:t xml:space="preserve">are </w:t>
      </w:r>
      <w:r>
        <w:rPr>
          <w:sz w:val="21"/>
        </w:rPr>
        <w:t>to:</w:t>
      </w:r>
    </w:p>
    <w:p w14:paraId="7F5CC0EF" w14:textId="77777777" w:rsidR="00FA4AA8" w:rsidRDefault="0015611F">
      <w:pPr>
        <w:pStyle w:val="ListParagraph"/>
        <w:numPr>
          <w:ilvl w:val="0"/>
          <w:numId w:val="27"/>
        </w:numPr>
        <w:tabs>
          <w:tab w:val="left" w:pos="1257"/>
          <w:tab w:val="left" w:pos="1258"/>
        </w:tabs>
        <w:spacing w:before="162"/>
        <w:ind w:left="1259" w:right="931" w:hanging="574"/>
        <w:rPr>
          <w:sz w:val="21"/>
        </w:rPr>
      </w:pPr>
      <w:r>
        <w:rPr>
          <w:w w:val="95"/>
          <w:sz w:val="21"/>
        </w:rPr>
        <w:t>obtain</w:t>
      </w:r>
      <w:r>
        <w:rPr>
          <w:spacing w:val="-4"/>
          <w:w w:val="95"/>
          <w:sz w:val="21"/>
        </w:rPr>
        <w:t xml:space="preserve"> </w:t>
      </w:r>
      <w:r>
        <w:rPr>
          <w:w w:val="95"/>
          <w:sz w:val="21"/>
        </w:rPr>
        <w:t>reasonable assurance</w:t>
      </w:r>
      <w:r>
        <w:rPr>
          <w:spacing w:val="1"/>
          <w:w w:val="95"/>
          <w:sz w:val="21"/>
        </w:rPr>
        <w:t xml:space="preserve"> </w:t>
      </w:r>
      <w:r>
        <w:rPr>
          <w:w w:val="95"/>
          <w:sz w:val="21"/>
        </w:rPr>
        <w:t>about</w:t>
      </w:r>
      <w:r>
        <w:rPr>
          <w:spacing w:val="-8"/>
          <w:w w:val="95"/>
          <w:sz w:val="21"/>
        </w:rPr>
        <w:t xml:space="preserve"> </w:t>
      </w:r>
      <w:r>
        <w:rPr>
          <w:w w:val="95"/>
          <w:sz w:val="21"/>
        </w:rPr>
        <w:t>whether</w:t>
      </w:r>
      <w:r>
        <w:rPr>
          <w:spacing w:val="3"/>
          <w:w w:val="95"/>
          <w:sz w:val="21"/>
        </w:rPr>
        <w:t xml:space="preserve"> </w:t>
      </w:r>
      <w:r>
        <w:rPr>
          <w:w w:val="95"/>
          <w:sz w:val="21"/>
        </w:rPr>
        <w:t>the</w:t>
      </w:r>
      <w:r>
        <w:rPr>
          <w:spacing w:val="-3"/>
          <w:w w:val="95"/>
          <w:sz w:val="21"/>
        </w:rPr>
        <w:t xml:space="preserve"> </w:t>
      </w:r>
      <w:r>
        <w:rPr>
          <w:w w:val="95"/>
          <w:sz w:val="21"/>
        </w:rPr>
        <w:t>financial</w:t>
      </w:r>
      <w:r>
        <w:rPr>
          <w:spacing w:val="-1"/>
          <w:w w:val="95"/>
          <w:sz w:val="21"/>
        </w:rPr>
        <w:t xml:space="preserve"> </w:t>
      </w:r>
      <w:r>
        <w:rPr>
          <w:w w:val="95"/>
          <w:sz w:val="21"/>
        </w:rPr>
        <w:t>statements</w:t>
      </w:r>
      <w:r>
        <w:rPr>
          <w:spacing w:val="3"/>
          <w:w w:val="95"/>
          <w:sz w:val="21"/>
        </w:rPr>
        <w:t xml:space="preserve"> </w:t>
      </w:r>
      <w:r>
        <w:rPr>
          <w:color w:val="3B3B3B"/>
          <w:w w:val="95"/>
          <w:sz w:val="21"/>
        </w:rPr>
        <w:t>as</w:t>
      </w:r>
      <w:r>
        <w:rPr>
          <w:color w:val="3B3B3B"/>
          <w:spacing w:val="-7"/>
          <w:w w:val="95"/>
          <w:sz w:val="21"/>
        </w:rPr>
        <w:t xml:space="preserve"> </w:t>
      </w:r>
      <w:r>
        <w:rPr>
          <w:color w:val="2A2A2A"/>
          <w:w w:val="95"/>
          <w:sz w:val="21"/>
        </w:rPr>
        <w:t>a</w:t>
      </w:r>
      <w:r>
        <w:rPr>
          <w:color w:val="2A2A2A"/>
          <w:spacing w:val="-11"/>
          <w:w w:val="95"/>
          <w:sz w:val="21"/>
        </w:rPr>
        <w:t xml:space="preserve"> </w:t>
      </w:r>
      <w:r>
        <w:rPr>
          <w:w w:val="95"/>
          <w:sz w:val="21"/>
        </w:rPr>
        <w:t>whole</w:t>
      </w:r>
      <w:r>
        <w:rPr>
          <w:spacing w:val="-2"/>
          <w:w w:val="95"/>
          <w:sz w:val="21"/>
        </w:rPr>
        <w:t xml:space="preserve"> </w:t>
      </w:r>
      <w:r>
        <w:rPr>
          <w:w w:val="95"/>
          <w:sz w:val="21"/>
        </w:rPr>
        <w:t>are</w:t>
      </w:r>
      <w:r>
        <w:rPr>
          <w:spacing w:val="-10"/>
          <w:w w:val="95"/>
          <w:sz w:val="21"/>
        </w:rPr>
        <w:t xml:space="preserve"> </w:t>
      </w:r>
      <w:r>
        <w:rPr>
          <w:w w:val="95"/>
          <w:sz w:val="21"/>
        </w:rPr>
        <w:t>free</w:t>
      </w:r>
      <w:r>
        <w:rPr>
          <w:spacing w:val="-8"/>
          <w:w w:val="95"/>
          <w:sz w:val="21"/>
        </w:rPr>
        <w:t xml:space="preserve"> </w:t>
      </w:r>
      <w:r>
        <w:rPr>
          <w:w w:val="95"/>
          <w:sz w:val="21"/>
        </w:rPr>
        <w:t xml:space="preserve">from </w:t>
      </w:r>
      <w:r>
        <w:rPr>
          <w:sz w:val="21"/>
        </w:rPr>
        <w:t xml:space="preserve">material misstatement, whether due to fraud </w:t>
      </w:r>
      <w:r>
        <w:rPr>
          <w:color w:val="0F0F0F"/>
          <w:sz w:val="21"/>
        </w:rPr>
        <w:t>or</w:t>
      </w:r>
      <w:r>
        <w:rPr>
          <w:color w:val="0F0F0F"/>
          <w:spacing w:val="24"/>
          <w:sz w:val="21"/>
        </w:rPr>
        <w:t xml:space="preserve"> </w:t>
      </w:r>
      <w:r>
        <w:rPr>
          <w:sz w:val="21"/>
        </w:rPr>
        <w:t>error</w:t>
      </w:r>
    </w:p>
    <w:p w14:paraId="2462979F" w14:textId="77777777" w:rsidR="00FA4AA8" w:rsidRDefault="0015611F">
      <w:pPr>
        <w:pStyle w:val="ListParagraph"/>
        <w:numPr>
          <w:ilvl w:val="0"/>
          <w:numId w:val="27"/>
        </w:numPr>
        <w:tabs>
          <w:tab w:val="left" w:pos="1259"/>
          <w:tab w:val="left" w:pos="1260"/>
        </w:tabs>
        <w:spacing w:before="59"/>
        <w:ind w:left="1259" w:hanging="574"/>
        <w:rPr>
          <w:sz w:val="21"/>
        </w:rPr>
      </w:pPr>
      <w:r>
        <w:rPr>
          <w:sz w:val="21"/>
        </w:rPr>
        <w:t>issue an Independent Auditor’s Report including my</w:t>
      </w:r>
      <w:r>
        <w:rPr>
          <w:spacing w:val="-15"/>
          <w:sz w:val="21"/>
        </w:rPr>
        <w:t xml:space="preserve"> </w:t>
      </w:r>
      <w:r>
        <w:rPr>
          <w:sz w:val="21"/>
        </w:rPr>
        <w:t>opinion.</w:t>
      </w:r>
    </w:p>
    <w:p w14:paraId="755F7FE8" w14:textId="77777777" w:rsidR="00FA4AA8" w:rsidRDefault="00FA4AA8">
      <w:pPr>
        <w:pStyle w:val="BodyText"/>
        <w:spacing w:before="10"/>
        <w:rPr>
          <w:sz w:val="17"/>
        </w:rPr>
      </w:pPr>
    </w:p>
    <w:p w14:paraId="6BBADC9E" w14:textId="77777777" w:rsidR="00FA4AA8" w:rsidRDefault="0015611F">
      <w:pPr>
        <w:spacing w:before="1" w:line="232" w:lineRule="auto"/>
        <w:ind w:left="690" w:right="837"/>
        <w:rPr>
          <w:sz w:val="21"/>
        </w:rPr>
      </w:pPr>
      <w:r>
        <w:rPr>
          <w:sz w:val="21"/>
        </w:rPr>
        <w:t>Reasonable</w:t>
      </w:r>
      <w:r>
        <w:rPr>
          <w:spacing w:val="-33"/>
          <w:sz w:val="21"/>
        </w:rPr>
        <w:t xml:space="preserve"> </w:t>
      </w:r>
      <w:r>
        <w:rPr>
          <w:sz w:val="21"/>
        </w:rPr>
        <w:t>assurance</w:t>
      </w:r>
      <w:r>
        <w:rPr>
          <w:spacing w:val="-28"/>
          <w:sz w:val="21"/>
        </w:rPr>
        <w:t xml:space="preserve"> </w:t>
      </w:r>
      <w:r>
        <w:rPr>
          <w:sz w:val="21"/>
        </w:rPr>
        <w:t>is</w:t>
      </w:r>
      <w:r>
        <w:rPr>
          <w:spacing w:val="-33"/>
          <w:sz w:val="21"/>
        </w:rPr>
        <w:t xml:space="preserve"> </w:t>
      </w:r>
      <w:r>
        <w:rPr>
          <w:color w:val="111111"/>
          <w:sz w:val="21"/>
        </w:rPr>
        <w:t>a</w:t>
      </w:r>
      <w:r>
        <w:rPr>
          <w:color w:val="111111"/>
          <w:spacing w:val="-32"/>
          <w:sz w:val="21"/>
        </w:rPr>
        <w:t xml:space="preserve"> </w:t>
      </w:r>
      <w:r>
        <w:rPr>
          <w:sz w:val="21"/>
        </w:rPr>
        <w:t>high</w:t>
      </w:r>
      <w:r>
        <w:rPr>
          <w:spacing w:val="-33"/>
          <w:sz w:val="21"/>
        </w:rPr>
        <w:t xml:space="preserve"> </w:t>
      </w:r>
      <w:r>
        <w:rPr>
          <w:sz w:val="21"/>
        </w:rPr>
        <w:t>level</w:t>
      </w:r>
      <w:r>
        <w:rPr>
          <w:spacing w:val="-34"/>
          <w:sz w:val="21"/>
        </w:rPr>
        <w:t xml:space="preserve"> </w:t>
      </w:r>
      <w:r>
        <w:rPr>
          <w:sz w:val="21"/>
        </w:rPr>
        <w:t>of</w:t>
      </w:r>
      <w:r>
        <w:rPr>
          <w:spacing w:val="-36"/>
          <w:sz w:val="21"/>
        </w:rPr>
        <w:t xml:space="preserve"> </w:t>
      </w:r>
      <w:r>
        <w:rPr>
          <w:sz w:val="21"/>
        </w:rPr>
        <w:t>assurance,</w:t>
      </w:r>
      <w:r>
        <w:rPr>
          <w:spacing w:val="-29"/>
          <w:sz w:val="21"/>
        </w:rPr>
        <w:t xml:space="preserve"> </w:t>
      </w:r>
      <w:r>
        <w:rPr>
          <w:sz w:val="21"/>
        </w:rPr>
        <w:t>but</w:t>
      </w:r>
      <w:r>
        <w:rPr>
          <w:spacing w:val="-34"/>
          <w:sz w:val="21"/>
        </w:rPr>
        <w:t xml:space="preserve"> </w:t>
      </w:r>
      <w:r>
        <w:rPr>
          <w:sz w:val="21"/>
        </w:rPr>
        <w:t>does</w:t>
      </w:r>
      <w:r>
        <w:rPr>
          <w:spacing w:val="-31"/>
          <w:sz w:val="21"/>
        </w:rPr>
        <w:t xml:space="preserve"> </w:t>
      </w:r>
      <w:r>
        <w:rPr>
          <w:sz w:val="21"/>
        </w:rPr>
        <w:t>not</w:t>
      </w:r>
      <w:r>
        <w:rPr>
          <w:spacing w:val="-34"/>
          <w:sz w:val="21"/>
        </w:rPr>
        <w:t xml:space="preserve"> </w:t>
      </w:r>
      <w:r>
        <w:rPr>
          <w:sz w:val="21"/>
        </w:rPr>
        <w:t>guarantee</w:t>
      </w:r>
      <w:r>
        <w:rPr>
          <w:spacing w:val="-32"/>
          <w:sz w:val="21"/>
        </w:rPr>
        <w:t xml:space="preserve"> </w:t>
      </w:r>
      <w:r>
        <w:rPr>
          <w:color w:val="111111"/>
          <w:sz w:val="21"/>
        </w:rPr>
        <w:t>an</w:t>
      </w:r>
      <w:r>
        <w:rPr>
          <w:color w:val="111111"/>
          <w:spacing w:val="-36"/>
          <w:sz w:val="21"/>
        </w:rPr>
        <w:t xml:space="preserve"> </w:t>
      </w:r>
      <w:r>
        <w:rPr>
          <w:sz w:val="21"/>
        </w:rPr>
        <w:t>audit</w:t>
      </w:r>
      <w:r>
        <w:rPr>
          <w:spacing w:val="-33"/>
          <w:sz w:val="21"/>
        </w:rPr>
        <w:t xml:space="preserve"> </w:t>
      </w:r>
      <w:r>
        <w:rPr>
          <w:sz w:val="21"/>
        </w:rPr>
        <w:t>conducted</w:t>
      </w:r>
      <w:r>
        <w:rPr>
          <w:spacing w:val="-28"/>
          <w:sz w:val="21"/>
        </w:rPr>
        <w:t xml:space="preserve"> </w:t>
      </w:r>
      <w:r>
        <w:rPr>
          <w:sz w:val="21"/>
        </w:rPr>
        <w:t>in accordance</w:t>
      </w:r>
      <w:r>
        <w:rPr>
          <w:spacing w:val="-10"/>
          <w:sz w:val="21"/>
        </w:rPr>
        <w:t xml:space="preserve"> </w:t>
      </w:r>
      <w:r>
        <w:rPr>
          <w:sz w:val="21"/>
        </w:rPr>
        <w:t>with</w:t>
      </w:r>
      <w:r>
        <w:rPr>
          <w:spacing w:val="-18"/>
          <w:sz w:val="21"/>
        </w:rPr>
        <w:t xml:space="preserve"> </w:t>
      </w:r>
      <w:r>
        <w:rPr>
          <w:sz w:val="21"/>
        </w:rPr>
        <w:t>Australian</w:t>
      </w:r>
      <w:r>
        <w:rPr>
          <w:spacing w:val="-9"/>
          <w:sz w:val="21"/>
        </w:rPr>
        <w:t xml:space="preserve"> </w:t>
      </w:r>
      <w:r>
        <w:rPr>
          <w:sz w:val="21"/>
        </w:rPr>
        <w:t>Auditing</w:t>
      </w:r>
      <w:r>
        <w:rPr>
          <w:spacing w:val="-13"/>
          <w:sz w:val="21"/>
        </w:rPr>
        <w:t xml:space="preserve"> </w:t>
      </w:r>
      <w:r>
        <w:rPr>
          <w:sz w:val="21"/>
        </w:rPr>
        <w:t>Standards</w:t>
      </w:r>
      <w:r>
        <w:rPr>
          <w:spacing w:val="-11"/>
          <w:sz w:val="21"/>
        </w:rPr>
        <w:t xml:space="preserve"> </w:t>
      </w:r>
      <w:r>
        <w:rPr>
          <w:sz w:val="21"/>
        </w:rPr>
        <w:t>will</w:t>
      </w:r>
      <w:r>
        <w:rPr>
          <w:spacing w:val="-23"/>
          <w:sz w:val="21"/>
        </w:rPr>
        <w:t xml:space="preserve"> </w:t>
      </w:r>
      <w:r>
        <w:rPr>
          <w:sz w:val="21"/>
        </w:rPr>
        <w:t>always</w:t>
      </w:r>
      <w:r>
        <w:rPr>
          <w:spacing w:val="-20"/>
          <w:sz w:val="21"/>
        </w:rPr>
        <w:t xml:space="preserve"> </w:t>
      </w:r>
      <w:r>
        <w:rPr>
          <w:sz w:val="21"/>
        </w:rPr>
        <w:t>detect</w:t>
      </w:r>
      <w:r>
        <w:rPr>
          <w:spacing w:val="-19"/>
          <w:sz w:val="21"/>
        </w:rPr>
        <w:t xml:space="preserve"> </w:t>
      </w:r>
      <w:r>
        <w:rPr>
          <w:sz w:val="21"/>
        </w:rPr>
        <w:t>material</w:t>
      </w:r>
      <w:r>
        <w:rPr>
          <w:spacing w:val="-16"/>
          <w:sz w:val="21"/>
        </w:rPr>
        <w:t xml:space="preserve"> </w:t>
      </w:r>
      <w:r>
        <w:rPr>
          <w:sz w:val="21"/>
        </w:rPr>
        <w:t>misstatements.</w:t>
      </w:r>
    </w:p>
    <w:p w14:paraId="7AAE849E" w14:textId="77777777" w:rsidR="00FA4AA8" w:rsidRDefault="0015611F">
      <w:pPr>
        <w:spacing w:line="242" w:lineRule="auto"/>
        <w:ind w:left="690" w:right="669" w:firstLine="1"/>
        <w:rPr>
          <w:sz w:val="21"/>
        </w:rPr>
      </w:pPr>
      <w:r>
        <w:rPr>
          <w:sz w:val="21"/>
        </w:rPr>
        <w:t>Misstatements</w:t>
      </w:r>
      <w:r>
        <w:rPr>
          <w:spacing w:val="-28"/>
          <w:sz w:val="21"/>
        </w:rPr>
        <w:t xml:space="preserve"> </w:t>
      </w:r>
      <w:r>
        <w:rPr>
          <w:sz w:val="21"/>
        </w:rPr>
        <w:t>can</w:t>
      </w:r>
      <w:r>
        <w:rPr>
          <w:spacing w:val="-37"/>
          <w:sz w:val="21"/>
        </w:rPr>
        <w:t xml:space="preserve"> </w:t>
      </w:r>
      <w:r>
        <w:rPr>
          <w:sz w:val="21"/>
        </w:rPr>
        <w:t>arise</w:t>
      </w:r>
      <w:r>
        <w:rPr>
          <w:spacing w:val="-35"/>
          <w:sz w:val="21"/>
        </w:rPr>
        <w:t xml:space="preserve"> </w:t>
      </w:r>
      <w:r>
        <w:rPr>
          <w:sz w:val="21"/>
        </w:rPr>
        <w:t>from</w:t>
      </w:r>
      <w:r>
        <w:rPr>
          <w:spacing w:val="-35"/>
          <w:sz w:val="21"/>
        </w:rPr>
        <w:t xml:space="preserve"> </w:t>
      </w:r>
      <w:r>
        <w:rPr>
          <w:sz w:val="21"/>
        </w:rPr>
        <w:t>fraud</w:t>
      </w:r>
      <w:r>
        <w:rPr>
          <w:spacing w:val="-37"/>
          <w:sz w:val="21"/>
        </w:rPr>
        <w:t xml:space="preserve"> </w:t>
      </w:r>
      <w:r>
        <w:rPr>
          <w:sz w:val="21"/>
        </w:rPr>
        <w:t>or</w:t>
      </w:r>
      <w:r>
        <w:rPr>
          <w:spacing w:val="-39"/>
          <w:sz w:val="21"/>
        </w:rPr>
        <w:t xml:space="preserve"> </w:t>
      </w:r>
      <w:r>
        <w:rPr>
          <w:sz w:val="21"/>
        </w:rPr>
        <w:t>error.</w:t>
      </w:r>
      <w:r>
        <w:rPr>
          <w:spacing w:val="-34"/>
          <w:sz w:val="21"/>
        </w:rPr>
        <w:t xml:space="preserve"> </w:t>
      </w:r>
      <w:r>
        <w:rPr>
          <w:sz w:val="21"/>
        </w:rPr>
        <w:t>Misstatements</w:t>
      </w:r>
      <w:r>
        <w:rPr>
          <w:spacing w:val="-30"/>
          <w:sz w:val="21"/>
        </w:rPr>
        <w:t xml:space="preserve"> </w:t>
      </w:r>
      <w:r>
        <w:rPr>
          <w:sz w:val="21"/>
        </w:rPr>
        <w:t>are</w:t>
      </w:r>
      <w:r>
        <w:rPr>
          <w:spacing w:val="-36"/>
          <w:sz w:val="21"/>
        </w:rPr>
        <w:t xml:space="preserve"> </w:t>
      </w:r>
      <w:r>
        <w:rPr>
          <w:sz w:val="21"/>
        </w:rPr>
        <w:t>considered</w:t>
      </w:r>
      <w:r>
        <w:rPr>
          <w:spacing w:val="-33"/>
          <w:sz w:val="21"/>
        </w:rPr>
        <w:t xml:space="preserve"> </w:t>
      </w:r>
      <w:r>
        <w:rPr>
          <w:sz w:val="21"/>
        </w:rPr>
        <w:t>material</w:t>
      </w:r>
      <w:r>
        <w:rPr>
          <w:spacing w:val="-36"/>
          <w:sz w:val="21"/>
        </w:rPr>
        <w:t xml:space="preserve"> </w:t>
      </w:r>
      <w:r>
        <w:rPr>
          <w:color w:val="1C1C1C"/>
          <w:sz w:val="21"/>
        </w:rPr>
        <w:t>if,</w:t>
      </w:r>
      <w:r>
        <w:rPr>
          <w:color w:val="1C1C1C"/>
          <w:spacing w:val="-34"/>
          <w:sz w:val="21"/>
        </w:rPr>
        <w:t xml:space="preserve"> </w:t>
      </w:r>
      <w:r>
        <w:rPr>
          <w:sz w:val="21"/>
        </w:rPr>
        <w:t>individually</w:t>
      </w:r>
      <w:r>
        <w:rPr>
          <w:spacing w:val="-31"/>
          <w:sz w:val="21"/>
        </w:rPr>
        <w:t xml:space="preserve"> </w:t>
      </w:r>
      <w:r>
        <w:rPr>
          <w:color w:val="131313"/>
          <w:sz w:val="21"/>
        </w:rPr>
        <w:t>or</w:t>
      </w:r>
      <w:r>
        <w:rPr>
          <w:color w:val="131313"/>
          <w:spacing w:val="-39"/>
          <w:sz w:val="21"/>
        </w:rPr>
        <w:t xml:space="preserve"> </w:t>
      </w:r>
      <w:r>
        <w:rPr>
          <w:color w:val="232323"/>
          <w:sz w:val="21"/>
        </w:rPr>
        <w:t xml:space="preserve">in </w:t>
      </w:r>
      <w:r>
        <w:rPr>
          <w:sz w:val="21"/>
        </w:rPr>
        <w:t>aggregate,</w:t>
      </w:r>
      <w:r>
        <w:rPr>
          <w:spacing w:val="-26"/>
          <w:sz w:val="21"/>
        </w:rPr>
        <w:t xml:space="preserve"> </w:t>
      </w:r>
      <w:r>
        <w:rPr>
          <w:sz w:val="21"/>
        </w:rPr>
        <w:t>they</w:t>
      </w:r>
      <w:r>
        <w:rPr>
          <w:spacing w:val="-32"/>
          <w:sz w:val="21"/>
        </w:rPr>
        <w:t xml:space="preserve"> </w:t>
      </w:r>
      <w:r>
        <w:rPr>
          <w:sz w:val="21"/>
        </w:rPr>
        <w:t>could</w:t>
      </w:r>
      <w:r>
        <w:rPr>
          <w:spacing w:val="-29"/>
          <w:sz w:val="21"/>
        </w:rPr>
        <w:t xml:space="preserve"> </w:t>
      </w:r>
      <w:r>
        <w:rPr>
          <w:sz w:val="21"/>
        </w:rPr>
        <w:t>reasonably</w:t>
      </w:r>
      <w:r>
        <w:rPr>
          <w:spacing w:val="-29"/>
          <w:sz w:val="21"/>
        </w:rPr>
        <w:t xml:space="preserve"> </w:t>
      </w:r>
      <w:r>
        <w:rPr>
          <w:sz w:val="21"/>
        </w:rPr>
        <w:t>be</w:t>
      </w:r>
      <w:r>
        <w:rPr>
          <w:spacing w:val="-31"/>
          <w:sz w:val="21"/>
        </w:rPr>
        <w:t xml:space="preserve"> </w:t>
      </w:r>
      <w:r>
        <w:rPr>
          <w:sz w:val="21"/>
        </w:rPr>
        <w:t>expected</w:t>
      </w:r>
      <w:r>
        <w:rPr>
          <w:spacing w:val="-27"/>
          <w:sz w:val="21"/>
        </w:rPr>
        <w:t xml:space="preserve"> </w:t>
      </w:r>
      <w:r>
        <w:rPr>
          <w:sz w:val="21"/>
        </w:rPr>
        <w:t>to</w:t>
      </w:r>
      <w:r>
        <w:rPr>
          <w:spacing w:val="-34"/>
          <w:sz w:val="21"/>
        </w:rPr>
        <w:t xml:space="preserve"> </w:t>
      </w:r>
      <w:r>
        <w:rPr>
          <w:sz w:val="21"/>
        </w:rPr>
        <w:t>influence</w:t>
      </w:r>
      <w:r>
        <w:rPr>
          <w:spacing w:val="-28"/>
          <w:sz w:val="21"/>
        </w:rPr>
        <w:t xml:space="preserve"> </w:t>
      </w:r>
      <w:r>
        <w:rPr>
          <w:sz w:val="21"/>
        </w:rPr>
        <w:t>the</w:t>
      </w:r>
      <w:r>
        <w:rPr>
          <w:spacing w:val="-34"/>
          <w:sz w:val="21"/>
        </w:rPr>
        <w:t xml:space="preserve"> </w:t>
      </w:r>
      <w:r>
        <w:rPr>
          <w:sz w:val="21"/>
        </w:rPr>
        <w:t>economic</w:t>
      </w:r>
      <w:r>
        <w:rPr>
          <w:spacing w:val="-27"/>
          <w:sz w:val="21"/>
        </w:rPr>
        <w:t xml:space="preserve"> </w:t>
      </w:r>
      <w:r>
        <w:rPr>
          <w:sz w:val="21"/>
        </w:rPr>
        <w:t>decisions</w:t>
      </w:r>
      <w:r>
        <w:rPr>
          <w:spacing w:val="-28"/>
          <w:sz w:val="21"/>
        </w:rPr>
        <w:t xml:space="preserve"> </w:t>
      </w:r>
      <w:r>
        <w:rPr>
          <w:sz w:val="21"/>
        </w:rPr>
        <w:t>users</w:t>
      </w:r>
      <w:r>
        <w:rPr>
          <w:spacing w:val="-31"/>
          <w:sz w:val="21"/>
        </w:rPr>
        <w:t xml:space="preserve"> </w:t>
      </w:r>
      <w:r>
        <w:rPr>
          <w:sz w:val="21"/>
        </w:rPr>
        <w:t>take</w:t>
      </w:r>
      <w:r>
        <w:rPr>
          <w:spacing w:val="-32"/>
          <w:sz w:val="21"/>
        </w:rPr>
        <w:t xml:space="preserve"> </w:t>
      </w:r>
      <w:r>
        <w:rPr>
          <w:color w:val="111111"/>
          <w:sz w:val="21"/>
        </w:rPr>
        <w:t xml:space="preserve">based </w:t>
      </w:r>
      <w:r>
        <w:rPr>
          <w:sz w:val="21"/>
        </w:rPr>
        <w:t>on the financial</w:t>
      </w:r>
      <w:r>
        <w:rPr>
          <w:spacing w:val="15"/>
          <w:sz w:val="21"/>
        </w:rPr>
        <w:t xml:space="preserve"> </w:t>
      </w:r>
      <w:r>
        <w:rPr>
          <w:sz w:val="21"/>
        </w:rPr>
        <w:t>statements.</w:t>
      </w:r>
    </w:p>
    <w:p w14:paraId="14229EE8" w14:textId="77777777" w:rsidR="00FA4AA8" w:rsidRDefault="00FA4AA8">
      <w:pPr>
        <w:spacing w:line="242" w:lineRule="auto"/>
        <w:rPr>
          <w:sz w:val="21"/>
        </w:rPr>
        <w:sectPr w:rsidR="00FA4AA8">
          <w:headerReference w:type="default" r:id="rId262"/>
          <w:footerReference w:type="default" r:id="rId263"/>
          <w:pgSz w:w="11900" w:h="16840"/>
          <w:pgMar w:top="1140" w:right="800" w:bottom="720" w:left="680" w:header="0" w:footer="523" w:gutter="0"/>
          <w:pgNumType w:start="224"/>
          <w:cols w:space="720"/>
        </w:sectPr>
      </w:pPr>
    </w:p>
    <w:p w14:paraId="0F36E75A" w14:textId="77777777" w:rsidR="00FA4AA8" w:rsidRDefault="0015611F">
      <w:pPr>
        <w:spacing w:before="68" w:line="247" w:lineRule="auto"/>
        <w:ind w:left="685" w:right="715" w:firstLine="7"/>
        <w:rPr>
          <w:sz w:val="20"/>
        </w:rPr>
      </w:pPr>
      <w:r>
        <w:rPr>
          <w:sz w:val="20"/>
        </w:rPr>
        <w:t xml:space="preserve">A description </w:t>
      </w:r>
      <w:r>
        <w:rPr>
          <w:color w:val="181818"/>
          <w:sz w:val="20"/>
        </w:rPr>
        <w:t xml:space="preserve">of </w:t>
      </w:r>
      <w:r>
        <w:rPr>
          <w:sz w:val="20"/>
        </w:rPr>
        <w:t xml:space="preserve">my responsibilities for the audit of the financial statements is located </w:t>
      </w:r>
      <w:r>
        <w:rPr>
          <w:color w:val="0C0C0C"/>
          <w:sz w:val="20"/>
        </w:rPr>
        <w:t xml:space="preserve">at </w:t>
      </w:r>
      <w:r>
        <w:rPr>
          <w:sz w:val="20"/>
        </w:rPr>
        <w:t>the Auditing and Assurance Standards Board website at:</w:t>
      </w:r>
      <w:r>
        <w:rPr>
          <w:sz w:val="20"/>
          <w:u w:val="single" w:color="484848"/>
        </w:rPr>
        <w:t xml:space="preserve"> </w:t>
      </w:r>
      <w:hyperlink r:id="rId264">
        <w:r>
          <w:rPr>
            <w:sz w:val="20"/>
            <w:u w:val="single" w:color="484848"/>
          </w:rPr>
          <w:t>www.auasb.gov.au/auditors responsibilities/ar4.pdf</w:t>
        </w:r>
        <w:r>
          <w:rPr>
            <w:sz w:val="20"/>
          </w:rPr>
          <w:t xml:space="preserve">. </w:t>
        </w:r>
      </w:hyperlink>
      <w:r>
        <w:rPr>
          <w:sz w:val="20"/>
        </w:rPr>
        <w:t>The description forms part of my auditor's report.</w:t>
      </w:r>
    </w:p>
    <w:p w14:paraId="48561C98" w14:textId="77777777" w:rsidR="00FA4AA8" w:rsidRDefault="0015611F">
      <w:pPr>
        <w:spacing w:before="168"/>
        <w:ind w:left="686"/>
        <w:rPr>
          <w:sz w:val="21"/>
        </w:rPr>
      </w:pPr>
      <w:r>
        <w:rPr>
          <w:sz w:val="21"/>
        </w:rPr>
        <w:t>My opinion does not provide assurance.</w:t>
      </w:r>
    </w:p>
    <w:p w14:paraId="2A93D633" w14:textId="77777777" w:rsidR="00FA4AA8" w:rsidRDefault="0015611F">
      <w:pPr>
        <w:pStyle w:val="ListParagraph"/>
        <w:numPr>
          <w:ilvl w:val="0"/>
          <w:numId w:val="27"/>
        </w:numPr>
        <w:tabs>
          <w:tab w:val="left" w:pos="1255"/>
          <w:tab w:val="left" w:pos="1256"/>
        </w:tabs>
        <w:spacing w:before="172"/>
        <w:ind w:left="1255" w:hanging="575"/>
        <w:rPr>
          <w:sz w:val="21"/>
        </w:rPr>
      </w:pPr>
      <w:r>
        <w:rPr>
          <w:sz w:val="21"/>
        </w:rPr>
        <w:t>that</w:t>
      </w:r>
      <w:r>
        <w:rPr>
          <w:spacing w:val="-5"/>
          <w:sz w:val="21"/>
        </w:rPr>
        <w:t xml:space="preserve"> </w:t>
      </w:r>
      <w:r>
        <w:rPr>
          <w:color w:val="0C0C0C"/>
          <w:sz w:val="21"/>
        </w:rPr>
        <w:t>the</w:t>
      </w:r>
      <w:r>
        <w:rPr>
          <w:color w:val="0C0C0C"/>
          <w:spacing w:val="-15"/>
          <w:sz w:val="21"/>
        </w:rPr>
        <w:t xml:space="preserve"> </w:t>
      </w:r>
      <w:r>
        <w:rPr>
          <w:sz w:val="21"/>
        </w:rPr>
        <w:t>Company</w:t>
      </w:r>
      <w:r>
        <w:rPr>
          <w:spacing w:val="2"/>
          <w:sz w:val="21"/>
        </w:rPr>
        <w:t xml:space="preserve"> </w:t>
      </w:r>
      <w:r>
        <w:rPr>
          <w:sz w:val="21"/>
        </w:rPr>
        <w:t>carried</w:t>
      </w:r>
      <w:r>
        <w:rPr>
          <w:spacing w:val="-6"/>
          <w:sz w:val="21"/>
        </w:rPr>
        <w:t xml:space="preserve"> </w:t>
      </w:r>
      <w:r>
        <w:rPr>
          <w:sz w:val="21"/>
        </w:rPr>
        <w:t>out</w:t>
      </w:r>
      <w:r>
        <w:rPr>
          <w:spacing w:val="-13"/>
          <w:sz w:val="21"/>
        </w:rPr>
        <w:t xml:space="preserve"> </w:t>
      </w:r>
      <w:r>
        <w:rPr>
          <w:sz w:val="21"/>
        </w:rPr>
        <w:t>its</w:t>
      </w:r>
      <w:r>
        <w:rPr>
          <w:spacing w:val="-14"/>
          <w:sz w:val="21"/>
        </w:rPr>
        <w:t xml:space="preserve"> </w:t>
      </w:r>
      <w:r>
        <w:rPr>
          <w:sz w:val="21"/>
        </w:rPr>
        <w:t>activities</w:t>
      </w:r>
      <w:r>
        <w:rPr>
          <w:spacing w:val="2"/>
          <w:sz w:val="21"/>
        </w:rPr>
        <w:t xml:space="preserve"> </w:t>
      </w:r>
      <w:r>
        <w:rPr>
          <w:sz w:val="21"/>
        </w:rPr>
        <w:t>effectively,</w:t>
      </w:r>
      <w:r>
        <w:rPr>
          <w:spacing w:val="2"/>
          <w:sz w:val="21"/>
        </w:rPr>
        <w:t xml:space="preserve"> </w:t>
      </w:r>
      <w:r>
        <w:rPr>
          <w:sz w:val="21"/>
        </w:rPr>
        <w:t>efficiently</w:t>
      </w:r>
      <w:r>
        <w:rPr>
          <w:spacing w:val="10"/>
          <w:sz w:val="21"/>
        </w:rPr>
        <w:t xml:space="preserve"> </w:t>
      </w:r>
      <w:r>
        <w:rPr>
          <w:sz w:val="21"/>
        </w:rPr>
        <w:t>and</w:t>
      </w:r>
      <w:r>
        <w:rPr>
          <w:spacing w:val="-10"/>
          <w:sz w:val="21"/>
        </w:rPr>
        <w:t xml:space="preserve"> </w:t>
      </w:r>
      <w:r>
        <w:rPr>
          <w:sz w:val="21"/>
        </w:rPr>
        <w:t>economically</w:t>
      </w:r>
    </w:p>
    <w:p w14:paraId="048D3A59" w14:textId="77777777" w:rsidR="00FA4AA8" w:rsidRDefault="0015611F">
      <w:pPr>
        <w:pStyle w:val="ListParagraph"/>
        <w:numPr>
          <w:ilvl w:val="0"/>
          <w:numId w:val="27"/>
        </w:numPr>
        <w:tabs>
          <w:tab w:val="left" w:pos="1251"/>
          <w:tab w:val="left" w:pos="1252"/>
        </w:tabs>
        <w:spacing w:before="56" w:line="242" w:lineRule="auto"/>
        <w:ind w:left="1252" w:right="1736" w:hanging="572"/>
        <w:rPr>
          <w:sz w:val="21"/>
        </w:rPr>
      </w:pPr>
      <w:r>
        <w:rPr>
          <w:w w:val="95"/>
          <w:sz w:val="21"/>
        </w:rPr>
        <w:t>about</w:t>
      </w:r>
      <w:r>
        <w:rPr>
          <w:spacing w:val="-10"/>
          <w:w w:val="95"/>
          <w:sz w:val="21"/>
        </w:rPr>
        <w:t xml:space="preserve"> </w:t>
      </w:r>
      <w:r>
        <w:rPr>
          <w:w w:val="95"/>
          <w:sz w:val="21"/>
        </w:rPr>
        <w:t>the</w:t>
      </w:r>
      <w:r>
        <w:rPr>
          <w:spacing w:val="-5"/>
          <w:w w:val="95"/>
          <w:sz w:val="21"/>
        </w:rPr>
        <w:t xml:space="preserve"> </w:t>
      </w:r>
      <w:r>
        <w:rPr>
          <w:w w:val="95"/>
          <w:sz w:val="21"/>
        </w:rPr>
        <w:t>security</w:t>
      </w:r>
      <w:r>
        <w:rPr>
          <w:spacing w:val="-4"/>
          <w:w w:val="95"/>
          <w:sz w:val="21"/>
        </w:rPr>
        <w:t xml:space="preserve"> </w:t>
      </w:r>
      <w:r>
        <w:rPr>
          <w:w w:val="95"/>
          <w:sz w:val="21"/>
        </w:rPr>
        <w:t>and</w:t>
      </w:r>
      <w:r>
        <w:rPr>
          <w:spacing w:val="-18"/>
          <w:w w:val="95"/>
          <w:sz w:val="21"/>
        </w:rPr>
        <w:t xml:space="preserve"> </w:t>
      </w:r>
      <w:r>
        <w:rPr>
          <w:w w:val="95"/>
          <w:sz w:val="21"/>
        </w:rPr>
        <w:t>controls</w:t>
      </w:r>
      <w:r>
        <w:rPr>
          <w:spacing w:val="-4"/>
          <w:w w:val="95"/>
          <w:sz w:val="21"/>
        </w:rPr>
        <w:t xml:space="preserve"> </w:t>
      </w:r>
      <w:r>
        <w:rPr>
          <w:w w:val="95"/>
          <w:sz w:val="21"/>
        </w:rPr>
        <w:t>over</w:t>
      </w:r>
      <w:r>
        <w:rPr>
          <w:spacing w:val="-1"/>
          <w:w w:val="95"/>
          <w:sz w:val="21"/>
        </w:rPr>
        <w:t xml:space="preserve"> </w:t>
      </w:r>
      <w:r>
        <w:rPr>
          <w:w w:val="95"/>
          <w:sz w:val="21"/>
        </w:rPr>
        <w:t>the</w:t>
      </w:r>
      <w:r>
        <w:rPr>
          <w:spacing w:val="-13"/>
          <w:w w:val="95"/>
          <w:sz w:val="21"/>
        </w:rPr>
        <w:t xml:space="preserve"> </w:t>
      </w:r>
      <w:r>
        <w:rPr>
          <w:w w:val="95"/>
          <w:sz w:val="21"/>
        </w:rPr>
        <w:t>electronic</w:t>
      </w:r>
      <w:r>
        <w:rPr>
          <w:spacing w:val="4"/>
          <w:w w:val="95"/>
          <w:sz w:val="21"/>
        </w:rPr>
        <w:t xml:space="preserve"> </w:t>
      </w:r>
      <w:r>
        <w:rPr>
          <w:w w:val="95"/>
          <w:sz w:val="21"/>
        </w:rPr>
        <w:t>publication</w:t>
      </w:r>
      <w:r>
        <w:rPr>
          <w:spacing w:val="-2"/>
          <w:w w:val="95"/>
          <w:sz w:val="21"/>
        </w:rPr>
        <w:t xml:space="preserve"> </w:t>
      </w:r>
      <w:r>
        <w:rPr>
          <w:w w:val="95"/>
          <w:sz w:val="21"/>
        </w:rPr>
        <w:t>of</w:t>
      </w:r>
      <w:r>
        <w:rPr>
          <w:spacing w:val="-8"/>
          <w:w w:val="95"/>
          <w:sz w:val="21"/>
        </w:rPr>
        <w:t xml:space="preserve"> </w:t>
      </w:r>
      <w:r>
        <w:rPr>
          <w:w w:val="95"/>
          <w:sz w:val="21"/>
        </w:rPr>
        <w:t>the</w:t>
      </w:r>
      <w:r>
        <w:rPr>
          <w:spacing w:val="-5"/>
          <w:w w:val="95"/>
          <w:sz w:val="21"/>
        </w:rPr>
        <w:t xml:space="preserve"> </w:t>
      </w:r>
      <w:r>
        <w:rPr>
          <w:w w:val="95"/>
          <w:sz w:val="21"/>
        </w:rPr>
        <w:t>audited</w:t>
      </w:r>
      <w:r>
        <w:rPr>
          <w:spacing w:val="-7"/>
          <w:w w:val="95"/>
          <w:sz w:val="21"/>
        </w:rPr>
        <w:t xml:space="preserve"> </w:t>
      </w:r>
      <w:r>
        <w:rPr>
          <w:w w:val="95"/>
          <w:sz w:val="21"/>
        </w:rPr>
        <w:t xml:space="preserve">financial </w:t>
      </w:r>
      <w:r>
        <w:rPr>
          <w:sz w:val="21"/>
        </w:rPr>
        <w:t>statements on any website where it may be</w:t>
      </w:r>
      <w:r>
        <w:rPr>
          <w:spacing w:val="4"/>
          <w:sz w:val="21"/>
        </w:rPr>
        <w:t xml:space="preserve"> </w:t>
      </w:r>
      <w:r>
        <w:rPr>
          <w:sz w:val="21"/>
        </w:rPr>
        <w:t>presented</w:t>
      </w:r>
    </w:p>
    <w:p w14:paraId="39041750" w14:textId="77777777" w:rsidR="00FA4AA8" w:rsidRDefault="0015611F">
      <w:pPr>
        <w:spacing w:before="64"/>
        <w:ind w:left="1252"/>
        <w:rPr>
          <w:sz w:val="20"/>
        </w:rPr>
      </w:pPr>
      <w:r>
        <w:rPr>
          <w:sz w:val="20"/>
        </w:rPr>
        <w:t>about any other information which may have been hyperlinked to/from the financial statements.</w:t>
      </w:r>
    </w:p>
    <w:p w14:paraId="6CFF2DA1" w14:textId="77777777" w:rsidR="00FA4AA8" w:rsidRDefault="00FA4AA8">
      <w:pPr>
        <w:pStyle w:val="BodyText"/>
        <w:rPr>
          <w:sz w:val="20"/>
        </w:rPr>
      </w:pPr>
    </w:p>
    <w:p w14:paraId="148663F7" w14:textId="77777777" w:rsidR="00FA4AA8" w:rsidRDefault="00FA4AA8">
      <w:pPr>
        <w:pStyle w:val="BodyText"/>
        <w:rPr>
          <w:sz w:val="20"/>
        </w:rPr>
      </w:pPr>
    </w:p>
    <w:p w14:paraId="02B5B28E" w14:textId="77777777" w:rsidR="00FA4AA8" w:rsidRDefault="00FA4AA8">
      <w:pPr>
        <w:pStyle w:val="BodyText"/>
        <w:rPr>
          <w:sz w:val="20"/>
        </w:rPr>
      </w:pPr>
    </w:p>
    <w:p w14:paraId="0F8FB16E" w14:textId="77777777" w:rsidR="00FA4AA8" w:rsidRDefault="00FA4AA8">
      <w:pPr>
        <w:pStyle w:val="BodyText"/>
        <w:rPr>
          <w:sz w:val="20"/>
        </w:rPr>
      </w:pPr>
    </w:p>
    <w:p w14:paraId="16967327" w14:textId="77777777" w:rsidR="00FA4AA8" w:rsidRDefault="0015611F">
      <w:pPr>
        <w:pStyle w:val="BodyText"/>
        <w:rPr>
          <w:sz w:val="21"/>
        </w:rPr>
      </w:pPr>
      <w:r>
        <w:rPr>
          <w:noProof/>
          <w:lang w:val="en-AU" w:eastAsia="en-AU"/>
        </w:rPr>
        <w:drawing>
          <wp:anchor distT="0" distB="0" distL="0" distR="0" simplePos="0" relativeHeight="187" behindDoc="0" locked="0" layoutInCell="1" allowOverlap="1" wp14:anchorId="3FBC429A" wp14:editId="3453E8C2">
            <wp:simplePos x="0" y="0"/>
            <wp:positionH relativeFrom="page">
              <wp:posOffset>935798</wp:posOffset>
            </wp:positionH>
            <wp:positionV relativeFrom="paragraph">
              <wp:posOffset>178541</wp:posOffset>
            </wp:positionV>
            <wp:extent cx="2115253" cy="326135"/>
            <wp:effectExtent l="0" t="0" r="0" b="0"/>
            <wp:wrapTopAndBottom/>
            <wp:docPr id="141"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87.jpeg"/>
                    <pic:cNvPicPr/>
                  </pic:nvPicPr>
                  <pic:blipFill>
                    <a:blip r:embed="rId265" cstate="print"/>
                    <a:stretch>
                      <a:fillRect/>
                    </a:stretch>
                  </pic:blipFill>
                  <pic:spPr>
                    <a:xfrm>
                      <a:off x="0" y="0"/>
                      <a:ext cx="2115253" cy="326135"/>
                    </a:xfrm>
                    <a:prstGeom prst="rect">
                      <a:avLst/>
                    </a:prstGeom>
                  </pic:spPr>
                </pic:pic>
              </a:graphicData>
            </a:graphic>
          </wp:anchor>
        </w:drawing>
      </w:r>
    </w:p>
    <w:p w14:paraId="24CC4D67" w14:textId="77777777" w:rsidR="00FA4AA8" w:rsidRDefault="0015611F">
      <w:pPr>
        <w:spacing w:before="95"/>
        <w:ind w:left="688" w:right="7481" w:hanging="7"/>
        <w:rPr>
          <w:sz w:val="21"/>
        </w:rPr>
      </w:pPr>
      <w:r>
        <w:rPr>
          <w:sz w:val="21"/>
        </w:rPr>
        <w:t xml:space="preserve">Margaret Crawford </w:t>
      </w:r>
      <w:r>
        <w:rPr>
          <w:w w:val="95"/>
          <w:sz w:val="21"/>
        </w:rPr>
        <w:t>Auditor-General for NSW</w:t>
      </w:r>
    </w:p>
    <w:p w14:paraId="4CC21EAA" w14:textId="77777777" w:rsidR="00FA4AA8" w:rsidRDefault="0015611F">
      <w:pPr>
        <w:tabs>
          <w:tab w:val="left" w:pos="1072"/>
        </w:tabs>
        <w:spacing w:before="170"/>
        <w:ind w:left="673" w:right="8461" w:firstLine="62"/>
        <w:rPr>
          <w:sz w:val="21"/>
        </w:rPr>
      </w:pPr>
      <w:r>
        <w:rPr>
          <w:sz w:val="21"/>
        </w:rPr>
        <w:t>\</w:t>
      </w:r>
      <w:r>
        <w:rPr>
          <w:sz w:val="21"/>
        </w:rPr>
        <w:tab/>
      </w:r>
      <w:r>
        <w:rPr>
          <w:w w:val="95"/>
          <w:sz w:val="21"/>
        </w:rPr>
        <w:t>April</w:t>
      </w:r>
      <w:r>
        <w:rPr>
          <w:spacing w:val="-19"/>
          <w:w w:val="95"/>
          <w:sz w:val="21"/>
        </w:rPr>
        <w:t xml:space="preserve"> </w:t>
      </w:r>
      <w:r>
        <w:rPr>
          <w:w w:val="95"/>
          <w:sz w:val="21"/>
        </w:rPr>
        <w:t xml:space="preserve">2019 </w:t>
      </w:r>
      <w:r>
        <w:rPr>
          <w:sz w:val="21"/>
        </w:rPr>
        <w:t>SYDNEY</w:t>
      </w:r>
    </w:p>
    <w:p w14:paraId="4E1F4D14" w14:textId="77777777" w:rsidR="00FA4AA8" w:rsidRDefault="00FA4AA8">
      <w:pPr>
        <w:rPr>
          <w:sz w:val="21"/>
        </w:rPr>
        <w:sectPr w:rsidR="00FA4AA8">
          <w:headerReference w:type="default" r:id="rId266"/>
          <w:footerReference w:type="default" r:id="rId267"/>
          <w:pgSz w:w="11900" w:h="16840"/>
          <w:pgMar w:top="1160" w:right="800" w:bottom="720" w:left="680" w:header="0" w:footer="523" w:gutter="0"/>
          <w:pgNumType w:start="225"/>
          <w:cols w:space="720"/>
        </w:sectPr>
      </w:pPr>
    </w:p>
    <w:p w14:paraId="21DCD2A2" w14:textId="77777777" w:rsidR="00FA4AA8" w:rsidRDefault="00FA4AA8">
      <w:pPr>
        <w:pStyle w:val="BodyText"/>
        <w:rPr>
          <w:sz w:val="20"/>
        </w:rPr>
      </w:pPr>
    </w:p>
    <w:p w14:paraId="2F894694" w14:textId="77777777" w:rsidR="00FA4AA8" w:rsidRDefault="00FA4AA8">
      <w:pPr>
        <w:pStyle w:val="BodyText"/>
        <w:rPr>
          <w:sz w:val="20"/>
        </w:rPr>
      </w:pPr>
    </w:p>
    <w:p w14:paraId="4065584F" w14:textId="77777777" w:rsidR="00FA4AA8" w:rsidRDefault="00FA4AA8">
      <w:pPr>
        <w:pStyle w:val="BodyText"/>
        <w:rPr>
          <w:sz w:val="20"/>
        </w:rPr>
      </w:pPr>
    </w:p>
    <w:p w14:paraId="0AF99F8D" w14:textId="77777777" w:rsidR="00FA4AA8" w:rsidRDefault="00FA4AA8">
      <w:pPr>
        <w:pStyle w:val="BodyText"/>
        <w:rPr>
          <w:sz w:val="20"/>
        </w:rPr>
      </w:pPr>
    </w:p>
    <w:p w14:paraId="256A9753" w14:textId="77777777" w:rsidR="00FA4AA8" w:rsidRDefault="00FA4AA8">
      <w:pPr>
        <w:pStyle w:val="BodyText"/>
        <w:rPr>
          <w:sz w:val="20"/>
        </w:rPr>
      </w:pPr>
    </w:p>
    <w:p w14:paraId="053C205A" w14:textId="77777777" w:rsidR="00FA4AA8" w:rsidRDefault="00FA4AA8">
      <w:pPr>
        <w:pStyle w:val="BodyText"/>
        <w:rPr>
          <w:sz w:val="20"/>
        </w:rPr>
      </w:pPr>
    </w:p>
    <w:p w14:paraId="6EB1BDF6" w14:textId="77777777" w:rsidR="00FA4AA8" w:rsidRDefault="00FA4AA8">
      <w:pPr>
        <w:pStyle w:val="BodyText"/>
        <w:rPr>
          <w:sz w:val="20"/>
        </w:rPr>
      </w:pPr>
    </w:p>
    <w:p w14:paraId="33D17915" w14:textId="77777777" w:rsidR="00FA4AA8" w:rsidRDefault="00FA4AA8">
      <w:pPr>
        <w:pStyle w:val="BodyText"/>
        <w:rPr>
          <w:sz w:val="20"/>
        </w:rPr>
      </w:pPr>
    </w:p>
    <w:p w14:paraId="061EF811" w14:textId="77777777" w:rsidR="00FA4AA8" w:rsidRDefault="00FA4AA8">
      <w:pPr>
        <w:pStyle w:val="BodyText"/>
        <w:rPr>
          <w:sz w:val="20"/>
        </w:rPr>
      </w:pPr>
    </w:p>
    <w:p w14:paraId="6D1F6B0E" w14:textId="77777777" w:rsidR="00FA4AA8" w:rsidRDefault="00FA4AA8">
      <w:pPr>
        <w:pStyle w:val="BodyText"/>
        <w:rPr>
          <w:sz w:val="20"/>
        </w:rPr>
      </w:pPr>
    </w:p>
    <w:p w14:paraId="695AF1D8" w14:textId="77777777" w:rsidR="00FA4AA8" w:rsidRDefault="00FA4AA8">
      <w:pPr>
        <w:pStyle w:val="BodyText"/>
        <w:rPr>
          <w:sz w:val="20"/>
        </w:rPr>
      </w:pPr>
    </w:p>
    <w:p w14:paraId="60FCCBC0" w14:textId="77777777" w:rsidR="00FA4AA8" w:rsidRDefault="00FA4AA8">
      <w:pPr>
        <w:pStyle w:val="BodyText"/>
        <w:rPr>
          <w:sz w:val="20"/>
        </w:rPr>
      </w:pPr>
    </w:p>
    <w:p w14:paraId="5D216E3F" w14:textId="77777777" w:rsidR="00FA4AA8" w:rsidRDefault="00FA4AA8">
      <w:pPr>
        <w:pStyle w:val="BodyText"/>
        <w:rPr>
          <w:sz w:val="20"/>
        </w:rPr>
      </w:pPr>
    </w:p>
    <w:p w14:paraId="668F5D7F" w14:textId="77777777" w:rsidR="00FA4AA8" w:rsidRDefault="00FA4AA8">
      <w:pPr>
        <w:pStyle w:val="BodyText"/>
        <w:rPr>
          <w:sz w:val="20"/>
        </w:rPr>
      </w:pPr>
    </w:p>
    <w:p w14:paraId="2502BF95" w14:textId="77777777" w:rsidR="00FA4AA8" w:rsidRDefault="00FA4AA8">
      <w:pPr>
        <w:pStyle w:val="BodyText"/>
        <w:rPr>
          <w:sz w:val="20"/>
        </w:rPr>
      </w:pPr>
    </w:p>
    <w:p w14:paraId="757C86ED" w14:textId="77777777" w:rsidR="00FA4AA8" w:rsidRDefault="00FA4AA8">
      <w:pPr>
        <w:pStyle w:val="BodyText"/>
        <w:rPr>
          <w:sz w:val="20"/>
        </w:rPr>
      </w:pPr>
    </w:p>
    <w:p w14:paraId="45511D18" w14:textId="77777777" w:rsidR="00FA4AA8" w:rsidRDefault="00FA4AA8">
      <w:pPr>
        <w:pStyle w:val="BodyText"/>
        <w:rPr>
          <w:sz w:val="20"/>
        </w:rPr>
      </w:pPr>
    </w:p>
    <w:p w14:paraId="53D60A3E" w14:textId="77777777" w:rsidR="00FA4AA8" w:rsidRDefault="00FA4AA8">
      <w:pPr>
        <w:pStyle w:val="BodyText"/>
        <w:rPr>
          <w:sz w:val="20"/>
        </w:rPr>
      </w:pPr>
    </w:p>
    <w:p w14:paraId="5553D546" w14:textId="77777777" w:rsidR="00FA4AA8" w:rsidRDefault="00FA4AA8">
      <w:pPr>
        <w:pStyle w:val="BodyText"/>
        <w:rPr>
          <w:sz w:val="20"/>
        </w:rPr>
      </w:pPr>
    </w:p>
    <w:p w14:paraId="0C29B5BA" w14:textId="77777777" w:rsidR="00FA4AA8" w:rsidRDefault="00FA4AA8">
      <w:pPr>
        <w:pStyle w:val="BodyText"/>
        <w:rPr>
          <w:sz w:val="20"/>
        </w:rPr>
      </w:pPr>
    </w:p>
    <w:p w14:paraId="372D4523" w14:textId="77777777" w:rsidR="00FA4AA8" w:rsidRDefault="00FA4AA8">
      <w:pPr>
        <w:pStyle w:val="BodyText"/>
        <w:rPr>
          <w:sz w:val="20"/>
        </w:rPr>
      </w:pPr>
    </w:p>
    <w:p w14:paraId="5EC21BC4" w14:textId="77777777" w:rsidR="00FA4AA8" w:rsidRDefault="00FA4AA8">
      <w:pPr>
        <w:pStyle w:val="BodyText"/>
        <w:rPr>
          <w:sz w:val="20"/>
        </w:rPr>
      </w:pPr>
    </w:p>
    <w:p w14:paraId="57B0160D" w14:textId="77777777" w:rsidR="00FA4AA8" w:rsidRDefault="00FA4AA8">
      <w:pPr>
        <w:pStyle w:val="BodyText"/>
        <w:rPr>
          <w:sz w:val="20"/>
        </w:rPr>
      </w:pPr>
    </w:p>
    <w:p w14:paraId="194AE77D" w14:textId="77777777" w:rsidR="00FA4AA8" w:rsidRDefault="00FA4AA8">
      <w:pPr>
        <w:pStyle w:val="BodyText"/>
        <w:spacing w:before="10"/>
        <w:rPr>
          <w:sz w:val="17"/>
        </w:rPr>
      </w:pPr>
    </w:p>
    <w:p w14:paraId="699F5610" w14:textId="77777777" w:rsidR="00FA4AA8" w:rsidRDefault="0015611F">
      <w:pPr>
        <w:pStyle w:val="BodyText"/>
        <w:spacing w:before="94"/>
        <w:ind w:left="3810" w:right="3791"/>
        <w:jc w:val="center"/>
      </w:pPr>
      <w:r>
        <w:t>This page is intentionally blank</w:t>
      </w:r>
    </w:p>
    <w:p w14:paraId="20B591BC" w14:textId="77777777" w:rsidR="00FA4AA8" w:rsidRDefault="00FA4AA8">
      <w:pPr>
        <w:jc w:val="center"/>
        <w:sectPr w:rsidR="00FA4AA8">
          <w:headerReference w:type="default" r:id="rId268"/>
          <w:footerReference w:type="default" r:id="rId269"/>
          <w:pgSz w:w="11910" w:h="16840"/>
          <w:pgMar w:top="1580" w:right="900" w:bottom="720" w:left="880" w:header="0" w:footer="523" w:gutter="0"/>
          <w:pgNumType w:start="226"/>
          <w:cols w:space="720"/>
        </w:sectPr>
      </w:pPr>
    </w:p>
    <w:p w14:paraId="70A49EAE" w14:textId="77777777" w:rsidR="00FA4AA8" w:rsidRDefault="00FA4AA8">
      <w:pPr>
        <w:pStyle w:val="BodyText"/>
        <w:rPr>
          <w:sz w:val="20"/>
        </w:rPr>
      </w:pPr>
    </w:p>
    <w:p w14:paraId="76685AB1" w14:textId="77777777" w:rsidR="00FA4AA8" w:rsidRDefault="00FA4AA8">
      <w:pPr>
        <w:pStyle w:val="BodyText"/>
        <w:rPr>
          <w:sz w:val="20"/>
        </w:rPr>
      </w:pPr>
    </w:p>
    <w:p w14:paraId="1C6C1E48" w14:textId="77777777" w:rsidR="00FA4AA8" w:rsidRDefault="00FA4AA8">
      <w:pPr>
        <w:pStyle w:val="BodyText"/>
        <w:rPr>
          <w:sz w:val="20"/>
        </w:rPr>
      </w:pPr>
    </w:p>
    <w:p w14:paraId="7AD26BDF" w14:textId="77777777" w:rsidR="00FA4AA8" w:rsidRDefault="00FA4AA8">
      <w:pPr>
        <w:pStyle w:val="BodyText"/>
        <w:rPr>
          <w:sz w:val="20"/>
        </w:rPr>
      </w:pPr>
    </w:p>
    <w:p w14:paraId="7581414B" w14:textId="77777777" w:rsidR="00FA4AA8" w:rsidRDefault="00FA4AA8">
      <w:pPr>
        <w:pStyle w:val="BodyText"/>
        <w:rPr>
          <w:sz w:val="20"/>
        </w:rPr>
      </w:pPr>
    </w:p>
    <w:p w14:paraId="7AB2E10A" w14:textId="77777777" w:rsidR="00FA4AA8" w:rsidRDefault="00FA4AA8">
      <w:pPr>
        <w:pStyle w:val="BodyText"/>
        <w:rPr>
          <w:sz w:val="20"/>
        </w:rPr>
      </w:pPr>
    </w:p>
    <w:p w14:paraId="3B703425" w14:textId="77777777" w:rsidR="00FA4AA8" w:rsidRDefault="00FA4AA8">
      <w:pPr>
        <w:pStyle w:val="BodyText"/>
        <w:rPr>
          <w:sz w:val="20"/>
        </w:rPr>
      </w:pPr>
    </w:p>
    <w:p w14:paraId="5A8D3E7D" w14:textId="77777777" w:rsidR="00FA4AA8" w:rsidRDefault="00FA4AA8">
      <w:pPr>
        <w:pStyle w:val="BodyText"/>
        <w:rPr>
          <w:sz w:val="20"/>
        </w:rPr>
      </w:pPr>
    </w:p>
    <w:p w14:paraId="77A33373" w14:textId="77777777" w:rsidR="00FA4AA8" w:rsidRDefault="00FA4AA8">
      <w:pPr>
        <w:pStyle w:val="BodyText"/>
        <w:rPr>
          <w:sz w:val="20"/>
        </w:rPr>
      </w:pPr>
    </w:p>
    <w:p w14:paraId="4AF9AE26" w14:textId="77777777" w:rsidR="00FA4AA8" w:rsidRDefault="00FA4AA8">
      <w:pPr>
        <w:pStyle w:val="BodyText"/>
        <w:rPr>
          <w:sz w:val="20"/>
        </w:rPr>
      </w:pPr>
    </w:p>
    <w:p w14:paraId="679ACCE2" w14:textId="77777777" w:rsidR="00FA4AA8" w:rsidRDefault="00FA4AA8">
      <w:pPr>
        <w:pStyle w:val="BodyText"/>
        <w:rPr>
          <w:sz w:val="20"/>
        </w:rPr>
      </w:pPr>
    </w:p>
    <w:p w14:paraId="38B2D537" w14:textId="77777777" w:rsidR="00FA4AA8" w:rsidRDefault="00FA4AA8">
      <w:pPr>
        <w:pStyle w:val="BodyText"/>
        <w:rPr>
          <w:sz w:val="20"/>
        </w:rPr>
      </w:pPr>
    </w:p>
    <w:p w14:paraId="3FAA7406" w14:textId="77777777" w:rsidR="00FA4AA8" w:rsidRDefault="00FA4AA8">
      <w:pPr>
        <w:pStyle w:val="BodyText"/>
        <w:rPr>
          <w:sz w:val="20"/>
        </w:rPr>
      </w:pPr>
    </w:p>
    <w:p w14:paraId="0931EA3E" w14:textId="77777777" w:rsidR="00FA4AA8" w:rsidRDefault="00FA4AA8">
      <w:pPr>
        <w:pStyle w:val="BodyText"/>
        <w:rPr>
          <w:sz w:val="20"/>
        </w:rPr>
      </w:pPr>
    </w:p>
    <w:p w14:paraId="5AF3FAC1" w14:textId="77777777" w:rsidR="00FA4AA8" w:rsidRDefault="00FA4AA8">
      <w:pPr>
        <w:pStyle w:val="BodyText"/>
        <w:rPr>
          <w:sz w:val="20"/>
        </w:rPr>
      </w:pPr>
    </w:p>
    <w:p w14:paraId="5CE79AB9" w14:textId="77777777" w:rsidR="00FA4AA8" w:rsidRDefault="00FA4AA8">
      <w:pPr>
        <w:pStyle w:val="BodyText"/>
        <w:rPr>
          <w:sz w:val="20"/>
        </w:rPr>
      </w:pPr>
    </w:p>
    <w:p w14:paraId="3C279887" w14:textId="77777777" w:rsidR="00FA4AA8" w:rsidRDefault="00FA4AA8">
      <w:pPr>
        <w:pStyle w:val="BodyText"/>
        <w:rPr>
          <w:sz w:val="20"/>
        </w:rPr>
      </w:pPr>
    </w:p>
    <w:p w14:paraId="56134D68" w14:textId="77777777" w:rsidR="00FA4AA8" w:rsidRDefault="00FA4AA8">
      <w:pPr>
        <w:pStyle w:val="BodyText"/>
        <w:rPr>
          <w:sz w:val="20"/>
        </w:rPr>
      </w:pPr>
    </w:p>
    <w:p w14:paraId="3D8D6ADE" w14:textId="77777777" w:rsidR="00FA4AA8" w:rsidRDefault="00FA4AA8">
      <w:pPr>
        <w:pStyle w:val="BodyText"/>
        <w:spacing w:before="8"/>
        <w:rPr>
          <w:sz w:val="24"/>
        </w:rPr>
      </w:pPr>
    </w:p>
    <w:p w14:paraId="7549A98D" w14:textId="77777777" w:rsidR="00FA4AA8" w:rsidRDefault="0015611F">
      <w:pPr>
        <w:pStyle w:val="Heading1"/>
        <w:spacing w:before="81"/>
        <w:ind w:left="127"/>
      </w:pPr>
      <w:bookmarkStart w:id="217" w:name="9._Western_Growth_Developments_(Parramat"/>
      <w:bookmarkEnd w:id="217"/>
      <w:r>
        <w:t>Western Growth Developments (Innovation Hub Parramatta) Pty Ltd</w:t>
      </w:r>
    </w:p>
    <w:p w14:paraId="25FA7D6F" w14:textId="77777777" w:rsidR="00FA4AA8" w:rsidRDefault="0015611F">
      <w:pPr>
        <w:spacing w:before="231"/>
        <w:ind w:left="127"/>
        <w:rPr>
          <w:b/>
          <w:sz w:val="20"/>
        </w:rPr>
      </w:pPr>
      <w:r>
        <w:rPr>
          <w:b/>
          <w:sz w:val="20"/>
        </w:rPr>
        <w:t>ABN: 36 626 590 029</w:t>
      </w:r>
    </w:p>
    <w:p w14:paraId="15AAE4DE" w14:textId="77777777" w:rsidR="00FA4AA8" w:rsidRDefault="00FA4AA8">
      <w:pPr>
        <w:pStyle w:val="BodyText"/>
        <w:spacing w:before="11"/>
        <w:rPr>
          <w:b/>
          <w:sz w:val="27"/>
        </w:rPr>
      </w:pPr>
    </w:p>
    <w:p w14:paraId="581ACE72" w14:textId="77777777" w:rsidR="00FA4AA8" w:rsidRDefault="0015611F">
      <w:pPr>
        <w:ind w:left="127"/>
        <w:rPr>
          <w:b/>
          <w:sz w:val="28"/>
        </w:rPr>
      </w:pPr>
      <w:r>
        <w:rPr>
          <w:b/>
          <w:sz w:val="28"/>
        </w:rPr>
        <w:t>Financial Statements</w:t>
      </w:r>
    </w:p>
    <w:p w14:paraId="176ED54A" w14:textId="77777777" w:rsidR="00FA4AA8" w:rsidRDefault="0015611F">
      <w:pPr>
        <w:spacing w:before="230"/>
        <w:ind w:left="127"/>
        <w:rPr>
          <w:b/>
          <w:sz w:val="20"/>
        </w:rPr>
      </w:pPr>
      <w:r>
        <w:rPr>
          <w:b/>
          <w:sz w:val="20"/>
        </w:rPr>
        <w:t>For the initial period ended 31 December 2018</w:t>
      </w:r>
    </w:p>
    <w:p w14:paraId="11F9449D" w14:textId="77777777" w:rsidR="00FA4AA8" w:rsidRDefault="00FA4AA8">
      <w:pPr>
        <w:pStyle w:val="BodyText"/>
        <w:rPr>
          <w:b/>
          <w:sz w:val="22"/>
        </w:rPr>
      </w:pPr>
    </w:p>
    <w:p w14:paraId="22C9EE83" w14:textId="77777777" w:rsidR="00FA4AA8" w:rsidRDefault="00FA4AA8">
      <w:pPr>
        <w:pStyle w:val="BodyText"/>
        <w:rPr>
          <w:b/>
          <w:sz w:val="22"/>
        </w:rPr>
      </w:pPr>
    </w:p>
    <w:p w14:paraId="37CFE943" w14:textId="77777777" w:rsidR="00FA4AA8" w:rsidRDefault="00FA4AA8">
      <w:pPr>
        <w:pStyle w:val="BodyText"/>
        <w:rPr>
          <w:b/>
          <w:sz w:val="22"/>
        </w:rPr>
      </w:pPr>
    </w:p>
    <w:p w14:paraId="3E3488BB" w14:textId="77777777" w:rsidR="00FA4AA8" w:rsidRDefault="00FA4AA8">
      <w:pPr>
        <w:pStyle w:val="BodyText"/>
        <w:rPr>
          <w:b/>
          <w:sz w:val="22"/>
        </w:rPr>
      </w:pPr>
    </w:p>
    <w:p w14:paraId="006E3C2A" w14:textId="77777777" w:rsidR="00FA4AA8" w:rsidRDefault="00FA4AA8">
      <w:pPr>
        <w:pStyle w:val="BodyText"/>
        <w:rPr>
          <w:b/>
          <w:sz w:val="22"/>
        </w:rPr>
      </w:pPr>
    </w:p>
    <w:p w14:paraId="2006BCA6" w14:textId="77777777" w:rsidR="00FA4AA8" w:rsidRDefault="00FA4AA8">
      <w:pPr>
        <w:pStyle w:val="BodyText"/>
        <w:rPr>
          <w:b/>
          <w:sz w:val="22"/>
        </w:rPr>
      </w:pPr>
    </w:p>
    <w:p w14:paraId="3D7FF849" w14:textId="77777777" w:rsidR="00FA4AA8" w:rsidRDefault="00FA4AA8">
      <w:pPr>
        <w:pStyle w:val="BodyText"/>
        <w:rPr>
          <w:b/>
          <w:sz w:val="22"/>
        </w:rPr>
      </w:pPr>
    </w:p>
    <w:p w14:paraId="7164CE8A" w14:textId="77777777" w:rsidR="00FA4AA8" w:rsidRDefault="00FA4AA8">
      <w:pPr>
        <w:pStyle w:val="BodyText"/>
        <w:rPr>
          <w:b/>
          <w:sz w:val="22"/>
        </w:rPr>
      </w:pPr>
    </w:p>
    <w:p w14:paraId="43546757" w14:textId="77777777" w:rsidR="00FA4AA8" w:rsidRDefault="0015611F">
      <w:pPr>
        <w:pStyle w:val="BodyText"/>
        <w:spacing w:before="148"/>
        <w:ind w:left="107" w:right="461"/>
      </w:pPr>
      <w:r>
        <w:t>These financial statements are of Western Growth Developments (Innovation Hub Parramatta) Pty Ltd as an individual entity. The financial statements are presented in the Australian currency.</w:t>
      </w:r>
    </w:p>
    <w:p w14:paraId="180D3AF7" w14:textId="77777777" w:rsidR="00FA4AA8" w:rsidRDefault="0015611F">
      <w:pPr>
        <w:pStyle w:val="BodyText"/>
        <w:spacing w:before="167"/>
        <w:ind w:left="107"/>
      </w:pPr>
      <w:r>
        <w:t>Western Growth Developments (Innovation Hub Parramatta) Pty Ltd (referred to hereafter as the Company) is a company limited by shares, incorporated and domiciled in Australia.</w:t>
      </w:r>
    </w:p>
    <w:p w14:paraId="4E9BDEB6" w14:textId="77777777" w:rsidR="00FA4AA8" w:rsidRDefault="0015611F">
      <w:pPr>
        <w:pStyle w:val="BodyText"/>
        <w:spacing w:before="167"/>
        <w:ind w:left="107"/>
      </w:pPr>
      <w:r>
        <w:t>Its principal place of business is:</w:t>
      </w:r>
    </w:p>
    <w:p w14:paraId="4CBBC2CF" w14:textId="77777777" w:rsidR="00FA4AA8" w:rsidRDefault="0015611F">
      <w:pPr>
        <w:pStyle w:val="BodyText"/>
        <w:spacing w:before="167" w:line="207" w:lineRule="exact"/>
        <w:ind w:left="107"/>
      </w:pPr>
      <w:r>
        <w:t>6 Hassall Street</w:t>
      </w:r>
    </w:p>
    <w:p w14:paraId="5A2D5F1B" w14:textId="77777777" w:rsidR="00FA4AA8" w:rsidRDefault="0015611F">
      <w:pPr>
        <w:pStyle w:val="BodyText"/>
        <w:spacing w:line="434" w:lineRule="auto"/>
        <w:ind w:left="107" w:right="8042"/>
      </w:pPr>
      <w:r>
        <w:t>Parramatta NSW 2150 Its registered office is:</w:t>
      </w:r>
    </w:p>
    <w:p w14:paraId="19A67BD5" w14:textId="77777777" w:rsidR="00FA4AA8" w:rsidRDefault="0015611F">
      <w:pPr>
        <w:pStyle w:val="BodyText"/>
        <w:ind w:left="107" w:right="7321"/>
      </w:pPr>
      <w:r>
        <w:t>Western Sydney University Building R1 Hawkesbury Campus</w:t>
      </w:r>
    </w:p>
    <w:p w14:paraId="22E958DF" w14:textId="77777777" w:rsidR="00FA4AA8" w:rsidRDefault="0015611F">
      <w:pPr>
        <w:pStyle w:val="BodyText"/>
        <w:spacing w:line="206" w:lineRule="exact"/>
        <w:ind w:left="107"/>
      </w:pPr>
      <w:r>
        <w:t>Londonderry Road, Richmond NSW 2753</w:t>
      </w:r>
    </w:p>
    <w:p w14:paraId="6D032938" w14:textId="77777777" w:rsidR="00FA4AA8" w:rsidRDefault="00FA4AA8">
      <w:pPr>
        <w:pStyle w:val="BodyText"/>
        <w:rPr>
          <w:sz w:val="20"/>
        </w:rPr>
      </w:pPr>
    </w:p>
    <w:p w14:paraId="2D512AC1" w14:textId="77777777" w:rsidR="00FA4AA8" w:rsidRDefault="00FA4AA8">
      <w:pPr>
        <w:pStyle w:val="BodyText"/>
        <w:spacing w:before="11"/>
        <w:rPr>
          <w:sz w:val="27"/>
        </w:rPr>
      </w:pPr>
    </w:p>
    <w:p w14:paraId="1DE1E6B0" w14:textId="77777777" w:rsidR="00FA4AA8" w:rsidRDefault="0015611F">
      <w:pPr>
        <w:pStyle w:val="BodyText"/>
        <w:spacing w:line="225" w:lineRule="auto"/>
        <w:ind w:left="107" w:right="459"/>
      </w:pPr>
      <w:r>
        <w:t>A description of the nature of the Company's operations and its principal activities are included in the directors' report on pages 228 - 229, which is not part of these financial statements.</w:t>
      </w:r>
    </w:p>
    <w:p w14:paraId="7E5BA6BB" w14:textId="77777777" w:rsidR="00FA4AA8" w:rsidRDefault="00FA4AA8">
      <w:pPr>
        <w:pStyle w:val="BodyText"/>
        <w:spacing w:before="9"/>
        <w:rPr>
          <w:sz w:val="15"/>
        </w:rPr>
      </w:pPr>
    </w:p>
    <w:p w14:paraId="1D184800" w14:textId="77777777" w:rsidR="00FA4AA8" w:rsidRDefault="0015611F">
      <w:pPr>
        <w:pStyle w:val="BodyText"/>
        <w:ind w:left="107" w:right="461"/>
      </w:pPr>
      <w:r>
        <w:t>The financial statements were authorised for issue by the directors on 10 April 2019. The directors have the power to amend and reissue financial statements.</w:t>
      </w:r>
    </w:p>
    <w:p w14:paraId="478EE96A" w14:textId="77777777" w:rsidR="00FA4AA8" w:rsidRDefault="00FA4AA8">
      <w:pPr>
        <w:sectPr w:rsidR="00FA4AA8">
          <w:headerReference w:type="default" r:id="rId270"/>
          <w:footerReference w:type="default" r:id="rId271"/>
          <w:pgSz w:w="11910" w:h="16840"/>
          <w:pgMar w:top="1580" w:right="900" w:bottom="720" w:left="880" w:header="0" w:footer="523" w:gutter="0"/>
          <w:pgNumType w:start="227"/>
          <w:cols w:space="720"/>
        </w:sectPr>
      </w:pPr>
    </w:p>
    <w:p w14:paraId="509D50F0" w14:textId="77777777" w:rsidR="00FA4AA8" w:rsidRDefault="00FA4AA8">
      <w:pPr>
        <w:pStyle w:val="BodyText"/>
        <w:spacing w:before="8"/>
        <w:rPr>
          <w:sz w:val="20"/>
        </w:rPr>
      </w:pPr>
    </w:p>
    <w:p w14:paraId="3E36E154" w14:textId="77777777" w:rsidR="00FA4AA8" w:rsidRDefault="0015611F">
      <w:pPr>
        <w:spacing w:before="92"/>
        <w:ind w:left="127"/>
        <w:rPr>
          <w:b/>
          <w:sz w:val="28"/>
        </w:rPr>
      </w:pPr>
      <w:r>
        <w:rPr>
          <w:b/>
          <w:sz w:val="28"/>
        </w:rPr>
        <w:t>Directors' Report</w:t>
      </w:r>
    </w:p>
    <w:p w14:paraId="5A6F1AB2" w14:textId="77777777" w:rsidR="00FA4AA8" w:rsidRDefault="0015611F">
      <w:pPr>
        <w:pStyle w:val="Heading6"/>
        <w:spacing w:before="53"/>
        <w:ind w:left="127"/>
      </w:pPr>
      <w:r>
        <w:t>31 December 2018</w:t>
      </w:r>
    </w:p>
    <w:p w14:paraId="73600DEE" w14:textId="77777777" w:rsidR="00FA4AA8" w:rsidRDefault="00FA4AA8">
      <w:pPr>
        <w:pStyle w:val="BodyText"/>
        <w:rPr>
          <w:b/>
          <w:sz w:val="24"/>
        </w:rPr>
      </w:pPr>
    </w:p>
    <w:p w14:paraId="4703598C" w14:textId="77777777" w:rsidR="00FA4AA8" w:rsidRDefault="00FA4AA8">
      <w:pPr>
        <w:pStyle w:val="BodyText"/>
        <w:spacing w:before="9"/>
        <w:rPr>
          <w:b/>
          <w:sz w:val="27"/>
        </w:rPr>
      </w:pPr>
    </w:p>
    <w:p w14:paraId="668F33E3" w14:textId="77777777" w:rsidR="00FA4AA8" w:rsidRDefault="0015611F">
      <w:pPr>
        <w:pStyle w:val="BodyText"/>
        <w:spacing w:before="1"/>
        <w:ind w:left="127"/>
      </w:pPr>
      <w:r>
        <w:t>The directors present their report on Western Growth Developments (Innovation Hub Parramatta) Pty Ltd for the financial period from 4 June 2018 to 31 December 2018.</w:t>
      </w:r>
    </w:p>
    <w:p w14:paraId="1EC6781D" w14:textId="77777777" w:rsidR="00FA4AA8" w:rsidRDefault="00FA4AA8">
      <w:pPr>
        <w:pStyle w:val="BodyText"/>
        <w:spacing w:before="10"/>
        <w:rPr>
          <w:sz w:val="24"/>
        </w:rPr>
      </w:pPr>
    </w:p>
    <w:p w14:paraId="3EFAB28C" w14:textId="77777777" w:rsidR="00FA4AA8" w:rsidRDefault="0015611F">
      <w:pPr>
        <w:numPr>
          <w:ilvl w:val="0"/>
          <w:numId w:val="26"/>
        </w:numPr>
        <w:tabs>
          <w:tab w:val="left" w:pos="521"/>
          <w:tab w:val="left" w:pos="522"/>
        </w:tabs>
        <w:spacing w:before="1" w:line="595" w:lineRule="auto"/>
        <w:ind w:left="127" w:right="7887" w:firstLine="0"/>
        <w:rPr>
          <w:b/>
          <w:sz w:val="18"/>
        </w:rPr>
      </w:pPr>
      <w:r>
        <w:rPr>
          <w:b/>
          <w:sz w:val="18"/>
        </w:rPr>
        <w:t>General information Directors</w:t>
      </w:r>
    </w:p>
    <w:p w14:paraId="32A07FAC" w14:textId="77777777" w:rsidR="00FA4AA8" w:rsidRDefault="0015611F">
      <w:pPr>
        <w:pStyle w:val="BodyText"/>
        <w:spacing w:line="193" w:lineRule="exact"/>
        <w:ind w:left="183"/>
      </w:pPr>
      <w:r>
        <w:t>The names of the directors during the period 4 June 2018 to 31 December 2018 and up to the date of this report are:</w:t>
      </w:r>
    </w:p>
    <w:p w14:paraId="524EC904" w14:textId="77777777" w:rsidR="00FA4AA8" w:rsidRDefault="00FA4AA8">
      <w:pPr>
        <w:pStyle w:val="BodyText"/>
        <w:spacing w:before="7"/>
        <w:rPr>
          <w:sz w:val="25"/>
        </w:rPr>
      </w:pPr>
    </w:p>
    <w:p w14:paraId="33828EFF" w14:textId="77777777" w:rsidR="00FA4AA8" w:rsidRDefault="0015611F">
      <w:pPr>
        <w:pStyle w:val="BodyText"/>
        <w:tabs>
          <w:tab w:val="left" w:pos="3269"/>
        </w:tabs>
        <w:ind w:left="171"/>
      </w:pPr>
      <w:r>
        <w:rPr>
          <w:spacing w:val="-3"/>
        </w:rPr>
        <w:t xml:space="preserve">Mr </w:t>
      </w:r>
      <w:r>
        <w:t>Peter</w:t>
      </w:r>
      <w:r>
        <w:rPr>
          <w:spacing w:val="5"/>
        </w:rPr>
        <w:t xml:space="preserve"> </w:t>
      </w:r>
      <w:r>
        <w:t>Pickering (Chair)</w:t>
      </w:r>
      <w:r>
        <w:tab/>
        <w:t>Appointed 4 June 2018</w:t>
      </w:r>
    </w:p>
    <w:p w14:paraId="32B49FBC" w14:textId="77777777" w:rsidR="00FA4AA8" w:rsidRDefault="0015611F">
      <w:pPr>
        <w:pStyle w:val="BodyText"/>
        <w:tabs>
          <w:tab w:val="left" w:pos="3269"/>
        </w:tabs>
        <w:spacing w:before="57"/>
        <w:ind w:left="171"/>
      </w:pPr>
      <w:r>
        <w:t>Professor Barney</w:t>
      </w:r>
      <w:r>
        <w:rPr>
          <w:spacing w:val="-2"/>
        </w:rPr>
        <w:t xml:space="preserve"> </w:t>
      </w:r>
      <w:r>
        <w:t>Glover</w:t>
      </w:r>
      <w:r>
        <w:tab/>
        <w:t>Appointed 4 June 2018</w:t>
      </w:r>
    </w:p>
    <w:p w14:paraId="5660B3A1" w14:textId="77777777" w:rsidR="00FA4AA8" w:rsidRDefault="00FA4AA8">
      <w:pPr>
        <w:pStyle w:val="BodyText"/>
        <w:spacing w:before="11"/>
        <w:rPr>
          <w:sz w:val="28"/>
        </w:rPr>
      </w:pPr>
    </w:p>
    <w:p w14:paraId="56D81A81" w14:textId="77777777" w:rsidR="00FA4AA8" w:rsidRDefault="0015611F">
      <w:pPr>
        <w:ind w:left="127"/>
        <w:rPr>
          <w:b/>
          <w:sz w:val="18"/>
        </w:rPr>
      </w:pPr>
      <w:r>
        <w:rPr>
          <w:b/>
          <w:sz w:val="18"/>
        </w:rPr>
        <w:t>Company secretary</w:t>
      </w:r>
    </w:p>
    <w:p w14:paraId="3B7D99BC" w14:textId="77777777" w:rsidR="00FA4AA8" w:rsidRDefault="00FA4AA8">
      <w:pPr>
        <w:pStyle w:val="BodyText"/>
        <w:spacing w:before="4"/>
        <w:rPr>
          <w:b/>
          <w:sz w:val="25"/>
        </w:rPr>
      </w:pPr>
    </w:p>
    <w:p w14:paraId="5C7F9717" w14:textId="77777777" w:rsidR="00FA4AA8" w:rsidRDefault="0015611F">
      <w:pPr>
        <w:pStyle w:val="BodyText"/>
        <w:spacing w:before="1"/>
        <w:ind w:left="183" w:right="461"/>
      </w:pPr>
      <w:r>
        <w:t>Ms Helen Fleming held the position of Company Secretary for the financial period from 4 June 2018 to the date of this report.</w:t>
      </w:r>
    </w:p>
    <w:p w14:paraId="25D4265F" w14:textId="77777777" w:rsidR="00FA4AA8" w:rsidRDefault="00FA4AA8">
      <w:pPr>
        <w:pStyle w:val="BodyText"/>
        <w:spacing w:before="6"/>
        <w:rPr>
          <w:sz w:val="26"/>
        </w:rPr>
      </w:pPr>
    </w:p>
    <w:p w14:paraId="56D0DC42" w14:textId="77777777" w:rsidR="00FA4AA8" w:rsidRDefault="0015611F">
      <w:pPr>
        <w:spacing w:before="1"/>
        <w:ind w:left="127"/>
        <w:rPr>
          <w:b/>
          <w:sz w:val="18"/>
        </w:rPr>
      </w:pPr>
      <w:r>
        <w:rPr>
          <w:b/>
          <w:sz w:val="18"/>
        </w:rPr>
        <w:t>Principal activities</w:t>
      </w:r>
    </w:p>
    <w:p w14:paraId="259EB056" w14:textId="77777777" w:rsidR="00FA4AA8" w:rsidRDefault="00FA4AA8">
      <w:pPr>
        <w:pStyle w:val="BodyText"/>
        <w:spacing w:before="4"/>
        <w:rPr>
          <w:b/>
          <w:sz w:val="25"/>
        </w:rPr>
      </w:pPr>
    </w:p>
    <w:p w14:paraId="53DF9D58" w14:textId="77777777" w:rsidR="00FA4AA8" w:rsidRDefault="0015611F">
      <w:pPr>
        <w:pStyle w:val="BodyText"/>
        <w:ind w:left="183"/>
      </w:pPr>
      <w:r>
        <w:t xml:space="preserve">Western Growth Developments (Innovation Hub </w:t>
      </w:r>
      <w:r w:rsidR="007719AF">
        <w:t>Parramatta</w:t>
      </w:r>
      <w:r>
        <w:t>) Pty Ltd was incorporated on 4 June 2018 to pursue its charitable purpose of promoting scholarship, research, free inquiry, the interaction of research and teaching, and academic excellence, beginning in Greater Western Sydney.</w:t>
      </w:r>
    </w:p>
    <w:p w14:paraId="44A42B76" w14:textId="77777777" w:rsidR="00FA4AA8" w:rsidRDefault="00FA4AA8">
      <w:pPr>
        <w:pStyle w:val="BodyText"/>
        <w:spacing w:before="10"/>
        <w:rPr>
          <w:sz w:val="24"/>
        </w:rPr>
      </w:pPr>
    </w:p>
    <w:p w14:paraId="69241652" w14:textId="77777777" w:rsidR="00FA4AA8" w:rsidRDefault="0015611F">
      <w:pPr>
        <w:pStyle w:val="BodyText"/>
        <w:spacing w:before="1"/>
        <w:ind w:left="183"/>
      </w:pPr>
      <w:r>
        <w:t>The principal activities of the Company for the promotion of its object are:</w:t>
      </w:r>
    </w:p>
    <w:p w14:paraId="28793A6E" w14:textId="77777777" w:rsidR="00FA4AA8" w:rsidRDefault="00FA4AA8">
      <w:pPr>
        <w:pStyle w:val="BodyText"/>
        <w:spacing w:before="11"/>
        <w:rPr>
          <w:sz w:val="24"/>
        </w:rPr>
      </w:pPr>
    </w:p>
    <w:p w14:paraId="4DC3645A" w14:textId="77777777" w:rsidR="00FA4AA8" w:rsidRDefault="0015611F">
      <w:pPr>
        <w:pStyle w:val="ListParagraph"/>
        <w:numPr>
          <w:ilvl w:val="0"/>
          <w:numId w:val="25"/>
        </w:numPr>
        <w:tabs>
          <w:tab w:val="left" w:pos="395"/>
        </w:tabs>
        <w:rPr>
          <w:sz w:val="18"/>
        </w:rPr>
      </w:pPr>
      <w:r>
        <w:rPr>
          <w:sz w:val="18"/>
        </w:rPr>
        <w:t>act as a co-developer in respect of the Parramatta</w:t>
      </w:r>
      <w:r>
        <w:rPr>
          <w:spacing w:val="2"/>
          <w:sz w:val="18"/>
        </w:rPr>
        <w:t xml:space="preserve"> </w:t>
      </w:r>
      <w:r>
        <w:rPr>
          <w:sz w:val="18"/>
        </w:rPr>
        <w:t>Project;</w:t>
      </w:r>
    </w:p>
    <w:p w14:paraId="5BEDBB18" w14:textId="77777777" w:rsidR="00FA4AA8" w:rsidRDefault="00FA4AA8">
      <w:pPr>
        <w:pStyle w:val="BodyText"/>
        <w:rPr>
          <w:sz w:val="25"/>
        </w:rPr>
      </w:pPr>
    </w:p>
    <w:p w14:paraId="4A2F5EDC" w14:textId="77777777" w:rsidR="00FA4AA8" w:rsidRDefault="0015611F">
      <w:pPr>
        <w:pStyle w:val="ListParagraph"/>
        <w:numPr>
          <w:ilvl w:val="0"/>
          <w:numId w:val="25"/>
        </w:numPr>
        <w:tabs>
          <w:tab w:val="left" w:pos="395"/>
        </w:tabs>
        <w:rPr>
          <w:sz w:val="18"/>
        </w:rPr>
      </w:pPr>
      <w:r>
        <w:rPr>
          <w:sz w:val="18"/>
        </w:rPr>
        <w:t>use and operate its interest in the completed Parramatta Project to generate rental</w:t>
      </w:r>
      <w:r>
        <w:rPr>
          <w:spacing w:val="11"/>
          <w:sz w:val="18"/>
        </w:rPr>
        <w:t xml:space="preserve"> </w:t>
      </w:r>
      <w:r>
        <w:rPr>
          <w:sz w:val="18"/>
        </w:rPr>
        <w:t>income;</w:t>
      </w:r>
    </w:p>
    <w:p w14:paraId="16570148" w14:textId="77777777" w:rsidR="00FA4AA8" w:rsidRDefault="00FA4AA8">
      <w:pPr>
        <w:pStyle w:val="BodyText"/>
        <w:rPr>
          <w:sz w:val="25"/>
        </w:rPr>
      </w:pPr>
    </w:p>
    <w:p w14:paraId="22D8D517" w14:textId="77777777" w:rsidR="00FA4AA8" w:rsidRDefault="0015611F">
      <w:pPr>
        <w:pStyle w:val="ListParagraph"/>
        <w:numPr>
          <w:ilvl w:val="0"/>
          <w:numId w:val="25"/>
        </w:numPr>
        <w:tabs>
          <w:tab w:val="left" w:pos="385"/>
        </w:tabs>
        <w:ind w:left="384" w:hanging="202"/>
        <w:rPr>
          <w:sz w:val="18"/>
        </w:rPr>
      </w:pPr>
      <w:r>
        <w:rPr>
          <w:sz w:val="18"/>
        </w:rPr>
        <w:t>sell, lease, license, mortgage, charge or otherwise deal with the Land;</w:t>
      </w:r>
      <w:r>
        <w:rPr>
          <w:spacing w:val="9"/>
          <w:sz w:val="18"/>
        </w:rPr>
        <w:t xml:space="preserve"> </w:t>
      </w:r>
      <w:r>
        <w:rPr>
          <w:sz w:val="18"/>
        </w:rPr>
        <w:t>and</w:t>
      </w:r>
    </w:p>
    <w:p w14:paraId="73739417" w14:textId="77777777" w:rsidR="00FA4AA8" w:rsidRDefault="00FA4AA8">
      <w:pPr>
        <w:pStyle w:val="BodyText"/>
        <w:rPr>
          <w:sz w:val="25"/>
        </w:rPr>
      </w:pPr>
    </w:p>
    <w:p w14:paraId="34053429" w14:textId="77777777" w:rsidR="00FA4AA8" w:rsidRDefault="0015611F">
      <w:pPr>
        <w:pStyle w:val="ListParagraph"/>
        <w:numPr>
          <w:ilvl w:val="0"/>
          <w:numId w:val="25"/>
        </w:numPr>
        <w:tabs>
          <w:tab w:val="left" w:pos="395"/>
        </w:tabs>
        <w:ind w:left="353" w:right="374" w:hanging="171"/>
        <w:rPr>
          <w:sz w:val="18"/>
        </w:rPr>
      </w:pPr>
      <w:r>
        <w:rPr>
          <w:sz w:val="18"/>
        </w:rPr>
        <w:t>undertake other development activities in Greater Western Sydney in the furtherance of Western Sydney University's strategic plan for its campuses for future sustainability and</w:t>
      </w:r>
      <w:r>
        <w:rPr>
          <w:spacing w:val="3"/>
          <w:sz w:val="18"/>
        </w:rPr>
        <w:t xml:space="preserve"> </w:t>
      </w:r>
      <w:r>
        <w:rPr>
          <w:sz w:val="18"/>
        </w:rPr>
        <w:t>growth.</w:t>
      </w:r>
    </w:p>
    <w:p w14:paraId="46AEE1D6" w14:textId="77777777" w:rsidR="00FA4AA8" w:rsidRDefault="00FA4AA8">
      <w:pPr>
        <w:pStyle w:val="BodyText"/>
        <w:spacing w:before="11"/>
        <w:rPr>
          <w:sz w:val="24"/>
        </w:rPr>
      </w:pPr>
    </w:p>
    <w:p w14:paraId="3E1A9985" w14:textId="77777777" w:rsidR="00FA4AA8" w:rsidRDefault="0015611F">
      <w:pPr>
        <w:numPr>
          <w:ilvl w:val="0"/>
          <w:numId w:val="26"/>
        </w:numPr>
        <w:tabs>
          <w:tab w:val="left" w:pos="521"/>
          <w:tab w:val="left" w:pos="522"/>
        </w:tabs>
        <w:ind w:left="521" w:hanging="395"/>
        <w:rPr>
          <w:b/>
          <w:sz w:val="18"/>
        </w:rPr>
      </w:pPr>
      <w:r>
        <w:rPr>
          <w:b/>
          <w:sz w:val="18"/>
        </w:rPr>
        <w:t>Other</w:t>
      </w:r>
      <w:r>
        <w:rPr>
          <w:b/>
          <w:spacing w:val="-1"/>
          <w:sz w:val="18"/>
        </w:rPr>
        <w:t xml:space="preserve"> </w:t>
      </w:r>
      <w:r>
        <w:rPr>
          <w:b/>
          <w:sz w:val="18"/>
        </w:rPr>
        <w:t>items</w:t>
      </w:r>
    </w:p>
    <w:p w14:paraId="1D8067CC" w14:textId="77777777" w:rsidR="00FA4AA8" w:rsidRDefault="00FA4AA8">
      <w:pPr>
        <w:pStyle w:val="BodyText"/>
        <w:spacing w:before="7"/>
        <w:rPr>
          <w:b/>
          <w:sz w:val="26"/>
        </w:rPr>
      </w:pPr>
    </w:p>
    <w:p w14:paraId="621AC6D6" w14:textId="77777777" w:rsidR="00FA4AA8" w:rsidRDefault="0015611F">
      <w:pPr>
        <w:ind w:left="127"/>
        <w:rPr>
          <w:b/>
          <w:sz w:val="18"/>
        </w:rPr>
      </w:pPr>
      <w:r>
        <w:rPr>
          <w:b/>
          <w:sz w:val="18"/>
        </w:rPr>
        <w:t>Significant changes in state of affairs</w:t>
      </w:r>
    </w:p>
    <w:p w14:paraId="384AF5C1" w14:textId="77777777" w:rsidR="00FA4AA8" w:rsidRDefault="00FA4AA8">
      <w:pPr>
        <w:pStyle w:val="BodyText"/>
        <w:spacing w:before="5"/>
        <w:rPr>
          <w:b/>
          <w:sz w:val="25"/>
        </w:rPr>
      </w:pPr>
    </w:p>
    <w:p w14:paraId="2EC2CA2D" w14:textId="77777777" w:rsidR="00FA4AA8" w:rsidRDefault="0015611F">
      <w:pPr>
        <w:pStyle w:val="BodyText"/>
        <w:ind w:left="183"/>
      </w:pPr>
      <w:r>
        <w:t>No significant changes in the nature of the Company's activity occurred during the financial period from 4 June 2018 to 31 December 2018.</w:t>
      </w:r>
    </w:p>
    <w:p w14:paraId="01D2EAC1" w14:textId="77777777" w:rsidR="00FA4AA8" w:rsidRDefault="00FA4AA8">
      <w:pPr>
        <w:pStyle w:val="BodyText"/>
        <w:spacing w:before="7"/>
        <w:rPr>
          <w:sz w:val="26"/>
        </w:rPr>
      </w:pPr>
    </w:p>
    <w:p w14:paraId="1384AFC1" w14:textId="77777777" w:rsidR="00FA4AA8" w:rsidRDefault="0015611F">
      <w:pPr>
        <w:ind w:left="127"/>
        <w:rPr>
          <w:b/>
          <w:sz w:val="18"/>
        </w:rPr>
      </w:pPr>
      <w:r>
        <w:rPr>
          <w:b/>
          <w:sz w:val="18"/>
        </w:rPr>
        <w:t>Events after the reporting date</w:t>
      </w:r>
    </w:p>
    <w:p w14:paraId="64573716" w14:textId="77777777" w:rsidR="00FA4AA8" w:rsidRDefault="00FA4AA8">
      <w:pPr>
        <w:pStyle w:val="BodyText"/>
        <w:spacing w:before="5"/>
        <w:rPr>
          <w:b/>
          <w:sz w:val="25"/>
        </w:rPr>
      </w:pPr>
    </w:p>
    <w:p w14:paraId="00E92BC6" w14:textId="77777777" w:rsidR="00FA4AA8" w:rsidRDefault="0015611F">
      <w:pPr>
        <w:pStyle w:val="BodyText"/>
        <w:ind w:left="183" w:right="131"/>
      </w:pPr>
      <w:r>
        <w:t>No matters or circumstances have arisen since the end of the financial year which significantly affected or may significantly affect the operations of the Company, the results of those operations or the state of affairs of the Company in future financial</w:t>
      </w:r>
      <w:r>
        <w:rPr>
          <w:spacing w:val="1"/>
        </w:rPr>
        <w:t xml:space="preserve"> </w:t>
      </w:r>
      <w:r>
        <w:t>years.</w:t>
      </w:r>
    </w:p>
    <w:p w14:paraId="0C410A2C" w14:textId="77777777" w:rsidR="00FA4AA8" w:rsidRDefault="00FA4AA8">
      <w:pPr>
        <w:pStyle w:val="BodyText"/>
        <w:spacing w:before="6"/>
        <w:rPr>
          <w:sz w:val="26"/>
        </w:rPr>
      </w:pPr>
    </w:p>
    <w:p w14:paraId="362FF927" w14:textId="77777777" w:rsidR="00FA4AA8" w:rsidRDefault="0015611F">
      <w:pPr>
        <w:ind w:left="127"/>
        <w:rPr>
          <w:b/>
          <w:sz w:val="18"/>
        </w:rPr>
      </w:pPr>
      <w:r>
        <w:rPr>
          <w:b/>
          <w:sz w:val="18"/>
        </w:rPr>
        <w:t>Future developments and results</w:t>
      </w:r>
    </w:p>
    <w:p w14:paraId="697610DD" w14:textId="77777777" w:rsidR="00FA4AA8" w:rsidRDefault="00FA4AA8">
      <w:pPr>
        <w:pStyle w:val="BodyText"/>
        <w:spacing w:before="5"/>
        <w:rPr>
          <w:b/>
          <w:sz w:val="25"/>
        </w:rPr>
      </w:pPr>
    </w:p>
    <w:p w14:paraId="7171DF93" w14:textId="77777777" w:rsidR="00FA4AA8" w:rsidRDefault="0015611F">
      <w:pPr>
        <w:pStyle w:val="BodyText"/>
        <w:ind w:left="183"/>
      </w:pPr>
      <w:r>
        <w:t>Future developments are not expected to significantly affect the future operations of the Company.</w:t>
      </w:r>
    </w:p>
    <w:p w14:paraId="389AFCD2" w14:textId="77777777" w:rsidR="00FA4AA8" w:rsidRDefault="00FA4AA8">
      <w:pPr>
        <w:sectPr w:rsidR="00FA4AA8">
          <w:headerReference w:type="default" r:id="rId272"/>
          <w:footerReference w:type="default" r:id="rId273"/>
          <w:pgSz w:w="11910" w:h="16840"/>
          <w:pgMar w:top="1580" w:right="900" w:bottom="720" w:left="880" w:header="1015" w:footer="523" w:gutter="0"/>
          <w:pgNumType w:start="228"/>
          <w:cols w:space="720"/>
        </w:sectPr>
      </w:pPr>
    </w:p>
    <w:p w14:paraId="2CE1C5DA" w14:textId="77777777" w:rsidR="00FA4AA8" w:rsidRDefault="00FA4AA8">
      <w:pPr>
        <w:pStyle w:val="BodyText"/>
        <w:spacing w:before="7"/>
        <w:rPr>
          <w:sz w:val="20"/>
        </w:rPr>
      </w:pPr>
    </w:p>
    <w:p w14:paraId="6C70138F" w14:textId="77777777" w:rsidR="00FA4AA8" w:rsidRDefault="0015611F">
      <w:pPr>
        <w:spacing w:before="92"/>
        <w:ind w:left="126"/>
        <w:rPr>
          <w:b/>
          <w:sz w:val="28"/>
        </w:rPr>
      </w:pPr>
      <w:r>
        <w:rPr>
          <w:b/>
          <w:color w:val="231F20"/>
          <w:sz w:val="28"/>
        </w:rPr>
        <w:t>Directors' Report</w:t>
      </w:r>
    </w:p>
    <w:p w14:paraId="22AB4D36" w14:textId="77777777" w:rsidR="00FA4AA8" w:rsidRDefault="0015611F">
      <w:pPr>
        <w:spacing w:before="53"/>
        <w:ind w:left="126"/>
        <w:rPr>
          <w:b/>
        </w:rPr>
      </w:pPr>
      <w:r>
        <w:rPr>
          <w:b/>
          <w:color w:val="231F20"/>
        </w:rPr>
        <w:t>31 December 2018</w:t>
      </w:r>
    </w:p>
    <w:p w14:paraId="20BDD8A0" w14:textId="77777777" w:rsidR="00FA4AA8" w:rsidRDefault="00FA4AA8">
      <w:pPr>
        <w:pStyle w:val="BodyText"/>
        <w:spacing w:before="1"/>
        <w:rPr>
          <w:b/>
          <w:sz w:val="25"/>
        </w:rPr>
      </w:pPr>
    </w:p>
    <w:p w14:paraId="2E2C3AF5" w14:textId="77777777" w:rsidR="00FA4AA8" w:rsidRDefault="0015611F">
      <w:pPr>
        <w:tabs>
          <w:tab w:val="left" w:pos="522"/>
        </w:tabs>
        <w:spacing w:line="595" w:lineRule="auto"/>
        <w:ind w:left="126" w:right="7563"/>
        <w:rPr>
          <w:b/>
          <w:sz w:val="18"/>
        </w:rPr>
      </w:pPr>
      <w:r>
        <w:rPr>
          <w:b/>
          <w:color w:val="231F20"/>
          <w:sz w:val="18"/>
        </w:rPr>
        <w:t>2.</w:t>
      </w:r>
      <w:r>
        <w:rPr>
          <w:b/>
          <w:color w:val="231F20"/>
          <w:sz w:val="18"/>
        </w:rPr>
        <w:tab/>
        <w:t>Other items (continued) Environmental</w:t>
      </w:r>
      <w:r>
        <w:rPr>
          <w:b/>
          <w:color w:val="231F20"/>
          <w:spacing w:val="-2"/>
          <w:sz w:val="18"/>
        </w:rPr>
        <w:t xml:space="preserve"> </w:t>
      </w:r>
      <w:r>
        <w:rPr>
          <w:b/>
          <w:color w:val="231F20"/>
          <w:sz w:val="18"/>
        </w:rPr>
        <w:t>issues</w:t>
      </w:r>
    </w:p>
    <w:p w14:paraId="71DE91C2" w14:textId="77777777" w:rsidR="00FA4AA8" w:rsidRDefault="0015611F">
      <w:pPr>
        <w:pStyle w:val="BodyText"/>
        <w:spacing w:line="193" w:lineRule="exact"/>
        <w:ind w:left="181"/>
      </w:pPr>
      <w:r>
        <w:rPr>
          <w:color w:val="231F20"/>
        </w:rPr>
        <w:t>The Company is subject to environmental regulations in respect of its land and building development activities.</w:t>
      </w:r>
    </w:p>
    <w:p w14:paraId="028AA7A2" w14:textId="77777777" w:rsidR="00FA4AA8" w:rsidRDefault="00FA4AA8">
      <w:pPr>
        <w:pStyle w:val="BodyText"/>
        <w:spacing w:before="8"/>
        <w:rPr>
          <w:sz w:val="26"/>
        </w:rPr>
      </w:pPr>
    </w:p>
    <w:p w14:paraId="1C4D918C" w14:textId="77777777" w:rsidR="00FA4AA8" w:rsidRDefault="0015611F">
      <w:pPr>
        <w:ind w:left="126"/>
        <w:rPr>
          <w:b/>
          <w:sz w:val="18"/>
        </w:rPr>
      </w:pPr>
      <w:r>
        <w:rPr>
          <w:b/>
          <w:color w:val="231F20"/>
          <w:sz w:val="18"/>
        </w:rPr>
        <w:t>Meetings of directors</w:t>
      </w:r>
    </w:p>
    <w:p w14:paraId="66D57B54" w14:textId="77777777" w:rsidR="00FA4AA8" w:rsidRDefault="00FA4AA8">
      <w:pPr>
        <w:pStyle w:val="BodyText"/>
        <w:spacing w:before="5"/>
        <w:rPr>
          <w:b/>
          <w:sz w:val="25"/>
        </w:rPr>
      </w:pPr>
    </w:p>
    <w:p w14:paraId="26E943B2" w14:textId="77777777" w:rsidR="00FA4AA8" w:rsidRDefault="0015611F">
      <w:pPr>
        <w:pStyle w:val="BodyText"/>
        <w:ind w:left="181"/>
      </w:pPr>
      <w:r>
        <w:rPr>
          <w:color w:val="231F20"/>
        </w:rPr>
        <w:t>During the financial period, two meetings of directors were held. Attendances by each director during the year were as follows:</w:t>
      </w:r>
    </w:p>
    <w:p w14:paraId="5DD6D902" w14:textId="77777777" w:rsidR="00FA4AA8" w:rsidRDefault="00FA4AA8">
      <w:pPr>
        <w:pStyle w:val="BodyText"/>
        <w:spacing w:before="2" w:after="1"/>
        <w:rPr>
          <w:sz w:val="23"/>
        </w:rPr>
      </w:pPr>
    </w:p>
    <w:tbl>
      <w:tblPr>
        <w:tblW w:w="0" w:type="auto"/>
        <w:tblInd w:w="138"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1978"/>
        <w:gridCol w:w="737"/>
        <w:gridCol w:w="732"/>
      </w:tblGrid>
      <w:tr w:rsidR="00FA4AA8" w14:paraId="5FDC8AF4" w14:textId="77777777">
        <w:trPr>
          <w:trHeight w:val="440"/>
        </w:trPr>
        <w:tc>
          <w:tcPr>
            <w:tcW w:w="1978" w:type="dxa"/>
            <w:vMerge w:val="restart"/>
            <w:tcBorders>
              <w:top w:val="nil"/>
              <w:left w:val="nil"/>
            </w:tcBorders>
          </w:tcPr>
          <w:p w14:paraId="164FF74C" w14:textId="77777777" w:rsidR="00FA4AA8" w:rsidRDefault="00FA4AA8">
            <w:pPr>
              <w:pStyle w:val="TableParagraph"/>
              <w:rPr>
                <w:rFonts w:ascii="Times New Roman"/>
                <w:sz w:val="18"/>
              </w:rPr>
            </w:pPr>
          </w:p>
        </w:tc>
        <w:tc>
          <w:tcPr>
            <w:tcW w:w="1469" w:type="dxa"/>
            <w:gridSpan w:val="2"/>
          </w:tcPr>
          <w:p w14:paraId="14CEE2B9" w14:textId="77777777" w:rsidR="00FA4AA8" w:rsidRDefault="0015611F">
            <w:pPr>
              <w:pStyle w:val="TableParagraph"/>
              <w:spacing w:before="43"/>
              <w:ind w:left="387" w:right="328" w:hanging="22"/>
              <w:rPr>
                <w:b/>
                <w:sz w:val="16"/>
              </w:rPr>
            </w:pPr>
            <w:r>
              <w:rPr>
                <w:b/>
                <w:color w:val="231F20"/>
                <w:sz w:val="16"/>
              </w:rPr>
              <w:t>Directors' Meetings</w:t>
            </w:r>
          </w:p>
        </w:tc>
      </w:tr>
      <w:tr w:rsidR="00FA4AA8" w14:paraId="28240EAF" w14:textId="77777777">
        <w:trPr>
          <w:trHeight w:val="553"/>
        </w:trPr>
        <w:tc>
          <w:tcPr>
            <w:tcW w:w="1978" w:type="dxa"/>
            <w:vMerge/>
            <w:tcBorders>
              <w:top w:val="nil"/>
              <w:left w:val="nil"/>
            </w:tcBorders>
          </w:tcPr>
          <w:p w14:paraId="2ACB91E0" w14:textId="77777777" w:rsidR="00FA4AA8" w:rsidRDefault="00FA4AA8">
            <w:pPr>
              <w:rPr>
                <w:sz w:val="2"/>
                <w:szCs w:val="2"/>
              </w:rPr>
            </w:pPr>
          </w:p>
        </w:tc>
        <w:tc>
          <w:tcPr>
            <w:tcW w:w="737" w:type="dxa"/>
          </w:tcPr>
          <w:p w14:paraId="5EA8130B" w14:textId="77777777" w:rsidR="00FA4AA8" w:rsidRDefault="0015611F">
            <w:pPr>
              <w:pStyle w:val="TableParagraph"/>
              <w:spacing w:before="42"/>
              <w:ind w:left="43" w:right="31" w:hanging="1"/>
              <w:jc w:val="center"/>
              <w:rPr>
                <w:b/>
                <w:sz w:val="14"/>
              </w:rPr>
            </w:pPr>
            <w:r>
              <w:rPr>
                <w:b/>
                <w:color w:val="231F20"/>
                <w:sz w:val="14"/>
              </w:rPr>
              <w:t>Number eligible</w:t>
            </w:r>
            <w:r>
              <w:rPr>
                <w:b/>
                <w:color w:val="231F20"/>
                <w:spacing w:val="-8"/>
                <w:sz w:val="14"/>
              </w:rPr>
              <w:t xml:space="preserve"> to </w:t>
            </w:r>
            <w:r>
              <w:rPr>
                <w:b/>
                <w:color w:val="231F20"/>
                <w:sz w:val="14"/>
              </w:rPr>
              <w:t>attend</w:t>
            </w:r>
          </w:p>
        </w:tc>
        <w:tc>
          <w:tcPr>
            <w:tcW w:w="732" w:type="dxa"/>
          </w:tcPr>
          <w:p w14:paraId="70EF7093" w14:textId="77777777" w:rsidR="00FA4AA8" w:rsidRDefault="00FA4AA8">
            <w:pPr>
              <w:pStyle w:val="TableParagraph"/>
              <w:spacing w:before="7"/>
              <w:rPr>
                <w:sz w:val="17"/>
              </w:rPr>
            </w:pPr>
          </w:p>
          <w:p w14:paraId="2CBEA09A" w14:textId="77777777" w:rsidR="00FA4AA8" w:rsidRDefault="0015611F">
            <w:pPr>
              <w:pStyle w:val="TableParagraph"/>
              <w:ind w:left="79" w:firstLine="24"/>
              <w:rPr>
                <w:b/>
                <w:sz w:val="14"/>
              </w:rPr>
            </w:pPr>
            <w:r>
              <w:rPr>
                <w:b/>
                <w:color w:val="231F20"/>
                <w:sz w:val="14"/>
              </w:rPr>
              <w:t xml:space="preserve">Number </w:t>
            </w:r>
            <w:r>
              <w:rPr>
                <w:b/>
                <w:color w:val="231F20"/>
                <w:w w:val="95"/>
                <w:sz w:val="14"/>
              </w:rPr>
              <w:t>attended</w:t>
            </w:r>
          </w:p>
        </w:tc>
      </w:tr>
      <w:tr w:rsidR="00FA4AA8" w14:paraId="2C79873A" w14:textId="77777777">
        <w:trPr>
          <w:trHeight w:val="254"/>
        </w:trPr>
        <w:tc>
          <w:tcPr>
            <w:tcW w:w="1978" w:type="dxa"/>
            <w:tcBorders>
              <w:bottom w:val="nil"/>
              <w:right w:val="single" w:sz="8" w:space="0" w:color="231F20"/>
            </w:tcBorders>
          </w:tcPr>
          <w:p w14:paraId="0A542825" w14:textId="77777777" w:rsidR="00FA4AA8" w:rsidRDefault="0015611F">
            <w:pPr>
              <w:pStyle w:val="TableParagraph"/>
              <w:spacing w:before="40"/>
              <w:ind w:left="51"/>
              <w:rPr>
                <w:sz w:val="16"/>
              </w:rPr>
            </w:pPr>
            <w:r>
              <w:rPr>
                <w:color w:val="231F20"/>
                <w:sz w:val="16"/>
              </w:rPr>
              <w:t>Mr Peter Pickering (Chair)</w:t>
            </w:r>
          </w:p>
        </w:tc>
        <w:tc>
          <w:tcPr>
            <w:tcW w:w="737" w:type="dxa"/>
            <w:tcBorders>
              <w:left w:val="single" w:sz="8" w:space="0" w:color="231F20"/>
              <w:bottom w:val="nil"/>
            </w:tcBorders>
          </w:tcPr>
          <w:p w14:paraId="5994BB61" w14:textId="77777777" w:rsidR="00FA4AA8" w:rsidRDefault="0015611F">
            <w:pPr>
              <w:pStyle w:val="TableParagraph"/>
              <w:spacing w:before="38"/>
              <w:ind w:right="255"/>
              <w:jc w:val="right"/>
              <w:rPr>
                <w:sz w:val="16"/>
              </w:rPr>
            </w:pPr>
            <w:r>
              <w:rPr>
                <w:color w:val="231F20"/>
                <w:sz w:val="16"/>
              </w:rPr>
              <w:t>2</w:t>
            </w:r>
          </w:p>
        </w:tc>
        <w:tc>
          <w:tcPr>
            <w:tcW w:w="732" w:type="dxa"/>
            <w:tcBorders>
              <w:bottom w:val="nil"/>
            </w:tcBorders>
          </w:tcPr>
          <w:p w14:paraId="39E54AF6" w14:textId="77777777" w:rsidR="00FA4AA8" w:rsidRDefault="0015611F">
            <w:pPr>
              <w:pStyle w:val="TableParagraph"/>
              <w:spacing w:before="38"/>
              <w:ind w:left="122"/>
              <w:jc w:val="center"/>
              <w:rPr>
                <w:sz w:val="16"/>
              </w:rPr>
            </w:pPr>
            <w:r>
              <w:rPr>
                <w:color w:val="231F20"/>
                <w:sz w:val="16"/>
              </w:rPr>
              <w:t>2</w:t>
            </w:r>
          </w:p>
        </w:tc>
      </w:tr>
      <w:tr w:rsidR="00FA4AA8" w14:paraId="5E94CD68" w14:textId="77777777">
        <w:trPr>
          <w:trHeight w:val="476"/>
        </w:trPr>
        <w:tc>
          <w:tcPr>
            <w:tcW w:w="1978" w:type="dxa"/>
            <w:tcBorders>
              <w:top w:val="nil"/>
              <w:right w:val="single" w:sz="8" w:space="0" w:color="231F20"/>
            </w:tcBorders>
          </w:tcPr>
          <w:p w14:paraId="4D4576F7" w14:textId="77777777" w:rsidR="00FA4AA8" w:rsidRDefault="0015611F">
            <w:pPr>
              <w:pStyle w:val="TableParagraph"/>
              <w:spacing w:before="28"/>
              <w:ind w:left="51"/>
              <w:rPr>
                <w:sz w:val="16"/>
              </w:rPr>
            </w:pPr>
            <w:r>
              <w:rPr>
                <w:color w:val="231F20"/>
                <w:sz w:val="16"/>
              </w:rPr>
              <w:t>Professor Barney Glover</w:t>
            </w:r>
          </w:p>
        </w:tc>
        <w:tc>
          <w:tcPr>
            <w:tcW w:w="737" w:type="dxa"/>
            <w:tcBorders>
              <w:top w:val="nil"/>
              <w:left w:val="single" w:sz="8" w:space="0" w:color="231F20"/>
            </w:tcBorders>
          </w:tcPr>
          <w:p w14:paraId="7CF1B2B9" w14:textId="77777777" w:rsidR="00FA4AA8" w:rsidRDefault="0015611F">
            <w:pPr>
              <w:pStyle w:val="TableParagraph"/>
              <w:spacing w:before="25"/>
              <w:ind w:right="255"/>
              <w:jc w:val="right"/>
              <w:rPr>
                <w:sz w:val="16"/>
              </w:rPr>
            </w:pPr>
            <w:r>
              <w:rPr>
                <w:color w:val="231F20"/>
                <w:sz w:val="16"/>
              </w:rPr>
              <w:t>2</w:t>
            </w:r>
          </w:p>
        </w:tc>
        <w:tc>
          <w:tcPr>
            <w:tcW w:w="732" w:type="dxa"/>
            <w:tcBorders>
              <w:top w:val="nil"/>
            </w:tcBorders>
          </w:tcPr>
          <w:p w14:paraId="5F6270F8" w14:textId="77777777" w:rsidR="00FA4AA8" w:rsidRDefault="0015611F">
            <w:pPr>
              <w:pStyle w:val="TableParagraph"/>
              <w:spacing w:before="25"/>
              <w:ind w:left="122"/>
              <w:jc w:val="center"/>
              <w:rPr>
                <w:sz w:val="16"/>
              </w:rPr>
            </w:pPr>
            <w:r>
              <w:rPr>
                <w:color w:val="231F20"/>
                <w:sz w:val="16"/>
              </w:rPr>
              <w:t>2</w:t>
            </w:r>
          </w:p>
        </w:tc>
      </w:tr>
    </w:tbl>
    <w:p w14:paraId="0D98FD87" w14:textId="77777777" w:rsidR="00FA4AA8" w:rsidRDefault="00FA4AA8">
      <w:pPr>
        <w:pStyle w:val="BodyText"/>
        <w:rPr>
          <w:sz w:val="25"/>
        </w:rPr>
      </w:pPr>
    </w:p>
    <w:p w14:paraId="4142E95A" w14:textId="77777777" w:rsidR="00FA4AA8" w:rsidRDefault="0015611F">
      <w:pPr>
        <w:ind w:left="176"/>
        <w:rPr>
          <w:b/>
          <w:sz w:val="18"/>
        </w:rPr>
      </w:pPr>
      <w:r>
        <w:rPr>
          <w:b/>
          <w:color w:val="231F20"/>
          <w:sz w:val="18"/>
        </w:rPr>
        <w:t>Insurance</w:t>
      </w:r>
    </w:p>
    <w:p w14:paraId="3EFEFC36" w14:textId="77777777" w:rsidR="00FA4AA8" w:rsidRDefault="00FA4AA8">
      <w:pPr>
        <w:pStyle w:val="BodyText"/>
        <w:rPr>
          <w:b/>
          <w:sz w:val="25"/>
        </w:rPr>
      </w:pPr>
    </w:p>
    <w:p w14:paraId="571E6747" w14:textId="77777777" w:rsidR="00FA4AA8" w:rsidRDefault="0015611F">
      <w:pPr>
        <w:pStyle w:val="BodyText"/>
        <w:ind w:left="182"/>
      </w:pPr>
      <w:r>
        <w:rPr>
          <w:color w:val="231F20"/>
        </w:rPr>
        <w:t>The Company is insured externally and in line with the parent entity's policies for all significant areas of risk exposure and accordingly, is not a self-insurer and makes no provision in its financial statements for internal coverage.</w:t>
      </w:r>
    </w:p>
    <w:p w14:paraId="446CE975" w14:textId="77777777" w:rsidR="00FA4AA8" w:rsidRDefault="00FA4AA8">
      <w:pPr>
        <w:pStyle w:val="BodyText"/>
        <w:spacing w:before="7"/>
        <w:rPr>
          <w:sz w:val="26"/>
        </w:rPr>
      </w:pPr>
    </w:p>
    <w:p w14:paraId="2144FF1A" w14:textId="77777777" w:rsidR="00FA4AA8" w:rsidRDefault="0015611F">
      <w:pPr>
        <w:ind w:left="126"/>
        <w:rPr>
          <w:b/>
          <w:sz w:val="18"/>
        </w:rPr>
      </w:pPr>
      <w:r>
        <w:rPr>
          <w:b/>
          <w:color w:val="231F20"/>
          <w:sz w:val="18"/>
        </w:rPr>
        <w:t>Auditor's independence declaration</w:t>
      </w:r>
    </w:p>
    <w:p w14:paraId="6EFB5ADD" w14:textId="77777777" w:rsidR="00FA4AA8" w:rsidRDefault="00FA4AA8">
      <w:pPr>
        <w:pStyle w:val="BodyText"/>
        <w:spacing w:before="5"/>
        <w:rPr>
          <w:b/>
          <w:sz w:val="25"/>
        </w:rPr>
      </w:pPr>
    </w:p>
    <w:p w14:paraId="3BD9C8FF" w14:textId="77777777" w:rsidR="00FA4AA8" w:rsidRDefault="007E2441">
      <w:pPr>
        <w:pStyle w:val="BodyText"/>
        <w:ind w:left="182" w:right="179"/>
      </w:pPr>
      <w:r>
        <w:rPr>
          <w:noProof/>
          <w:lang w:val="en-AU" w:eastAsia="en-AU"/>
        </w:rPr>
        <mc:AlternateContent>
          <mc:Choice Requires="wpg">
            <w:drawing>
              <wp:anchor distT="0" distB="0" distL="114300" distR="114300" simplePos="0" relativeHeight="462814208" behindDoc="1" locked="0" layoutInCell="1" allowOverlap="1" wp14:anchorId="12153A03" wp14:editId="535F4F45">
                <wp:simplePos x="0" y="0"/>
                <wp:positionH relativeFrom="page">
                  <wp:posOffset>3813175</wp:posOffset>
                </wp:positionH>
                <wp:positionV relativeFrom="paragraph">
                  <wp:posOffset>139065</wp:posOffset>
                </wp:positionV>
                <wp:extent cx="2684780" cy="1720850"/>
                <wp:effectExtent l="0" t="0" r="0" b="0"/>
                <wp:wrapNone/>
                <wp:docPr id="369"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4780" cy="1720850"/>
                          <a:chOff x="6005" y="219"/>
                          <a:chExt cx="4228" cy="2710"/>
                        </a:xfrm>
                      </wpg:grpSpPr>
                      <pic:pic xmlns:pic="http://schemas.openxmlformats.org/drawingml/2006/picture">
                        <pic:nvPicPr>
                          <pic:cNvPr id="370" name="Picture 137"/>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6004" y="278"/>
                            <a:ext cx="4228" cy="2651"/>
                          </a:xfrm>
                          <a:prstGeom prst="rect">
                            <a:avLst/>
                          </a:prstGeom>
                          <a:noFill/>
                          <a:extLst>
                            <a:ext uri="{909E8E84-426E-40DD-AFC4-6F175D3DCCD1}">
                              <a14:hiddenFill xmlns:a14="http://schemas.microsoft.com/office/drawing/2010/main">
                                <a:solidFill>
                                  <a:srgbClr val="FFFFFF"/>
                                </a:solidFill>
                              </a14:hiddenFill>
                            </a:ext>
                          </a:extLst>
                        </pic:spPr>
                      </pic:pic>
                      <wps:wsp>
                        <wps:cNvPr id="371" name="AutoShape 136"/>
                        <wps:cNvSpPr>
                          <a:spLocks/>
                        </wps:cNvSpPr>
                        <wps:spPr bwMode="auto">
                          <a:xfrm>
                            <a:off x="9216" y="218"/>
                            <a:ext cx="920" cy="275"/>
                          </a:xfrm>
                          <a:custGeom>
                            <a:avLst/>
                            <a:gdLst>
                              <a:gd name="T0" fmla="+- 0 9483 9216"/>
                              <a:gd name="T1" fmla="*/ T0 w 920"/>
                              <a:gd name="T2" fmla="+- 0 219 219"/>
                              <a:gd name="T3" fmla="*/ 219 h 275"/>
                              <a:gd name="T4" fmla="+- 0 9216 9216"/>
                              <a:gd name="T5" fmla="*/ T4 w 920"/>
                              <a:gd name="T6" fmla="+- 0 219 219"/>
                              <a:gd name="T7" fmla="*/ 219 h 275"/>
                              <a:gd name="T8" fmla="+- 0 9216 9216"/>
                              <a:gd name="T9" fmla="*/ T8 w 920"/>
                              <a:gd name="T10" fmla="+- 0 493 219"/>
                              <a:gd name="T11" fmla="*/ 493 h 275"/>
                              <a:gd name="T12" fmla="+- 0 9483 9216"/>
                              <a:gd name="T13" fmla="*/ T12 w 920"/>
                              <a:gd name="T14" fmla="+- 0 493 219"/>
                              <a:gd name="T15" fmla="*/ 493 h 275"/>
                              <a:gd name="T16" fmla="+- 0 9483 9216"/>
                              <a:gd name="T17" fmla="*/ T16 w 920"/>
                              <a:gd name="T18" fmla="+- 0 219 219"/>
                              <a:gd name="T19" fmla="*/ 219 h 275"/>
                              <a:gd name="T20" fmla="+- 0 10135 9216"/>
                              <a:gd name="T21" fmla="*/ T20 w 920"/>
                              <a:gd name="T22" fmla="+- 0 226 219"/>
                              <a:gd name="T23" fmla="*/ 226 h 275"/>
                              <a:gd name="T24" fmla="+- 0 9876 9216"/>
                              <a:gd name="T25" fmla="*/ T24 w 920"/>
                              <a:gd name="T26" fmla="+- 0 226 219"/>
                              <a:gd name="T27" fmla="*/ 226 h 275"/>
                              <a:gd name="T28" fmla="+- 0 9876 9216"/>
                              <a:gd name="T29" fmla="*/ T28 w 920"/>
                              <a:gd name="T30" fmla="+- 0 441 219"/>
                              <a:gd name="T31" fmla="*/ 441 h 275"/>
                              <a:gd name="T32" fmla="+- 0 10135 9216"/>
                              <a:gd name="T33" fmla="*/ T32 w 920"/>
                              <a:gd name="T34" fmla="+- 0 441 219"/>
                              <a:gd name="T35" fmla="*/ 441 h 275"/>
                              <a:gd name="T36" fmla="+- 0 10135 9216"/>
                              <a:gd name="T37" fmla="*/ T36 w 920"/>
                              <a:gd name="T38" fmla="+- 0 226 219"/>
                              <a:gd name="T39" fmla="*/ 226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20" h="275">
                                <a:moveTo>
                                  <a:pt x="267" y="0"/>
                                </a:moveTo>
                                <a:lnTo>
                                  <a:pt x="0" y="0"/>
                                </a:lnTo>
                                <a:lnTo>
                                  <a:pt x="0" y="274"/>
                                </a:lnTo>
                                <a:lnTo>
                                  <a:pt x="267" y="274"/>
                                </a:lnTo>
                                <a:lnTo>
                                  <a:pt x="267" y="0"/>
                                </a:lnTo>
                                <a:close/>
                                <a:moveTo>
                                  <a:pt x="919" y="7"/>
                                </a:moveTo>
                                <a:lnTo>
                                  <a:pt x="660" y="7"/>
                                </a:lnTo>
                                <a:lnTo>
                                  <a:pt x="660" y="222"/>
                                </a:lnTo>
                                <a:lnTo>
                                  <a:pt x="919" y="222"/>
                                </a:lnTo>
                                <a:lnTo>
                                  <a:pt x="919"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8005A4" id="Group 135" o:spid="_x0000_s1026" style="position:absolute;margin-left:300.25pt;margin-top:10.95pt;width:211.4pt;height:135.5pt;z-index:-40502272;mso-position-horizontal-relative:page" coordorigin="6005,219" coordsize="4228,2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">
                <v:shape id="Picture 137" o:spid="_x0000_s1027" type="#_x0000_t75" style="position:absolute;left:6004;top:278;width:4228;height:2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">
                  <v:imagedata r:id="rId275" o:title=""/>
                </v:shape>
                <v:shape id="AutoShape 136" o:spid="_x0000_s1028" style="position:absolute;left:9216;top:218;width:920;height:275;visibility:visible;mso-wrap-style:square;v-text-anchor:top" coordsize="920,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" path="m267,l,,,274r267,l267,xm919,7l660,7r,215l919,222,919,7xe" stroked="f">
                  <v:path arrowok="t" o:connecttype="custom" o:connectlocs="267,219;0,219;0,493;267,493;267,219;919,226;660,226;660,441;919,441;919,226" o:connectangles="0,0,0,0,0,0,0,0,0,0"/>
                </v:shape>
                <w10:wrap anchorx="page"/>
              </v:group>
            </w:pict>
          </mc:Fallback>
        </mc:AlternateContent>
      </w:r>
      <w:r w:rsidR="0015611F">
        <w:rPr>
          <w:noProof/>
          <w:lang w:val="en-AU" w:eastAsia="en-AU"/>
        </w:rPr>
        <w:drawing>
          <wp:anchor distT="0" distB="0" distL="0" distR="0" simplePos="0" relativeHeight="462814720" behindDoc="1" locked="0" layoutInCell="1" allowOverlap="1" wp14:anchorId="0A70DD2A" wp14:editId="26E15898">
            <wp:simplePos x="0" y="0"/>
            <wp:positionH relativeFrom="page">
              <wp:posOffset>1071911</wp:posOffset>
            </wp:positionH>
            <wp:positionV relativeFrom="paragraph">
              <wp:posOffset>337171</wp:posOffset>
            </wp:positionV>
            <wp:extent cx="2069859" cy="1355760"/>
            <wp:effectExtent l="0" t="0" r="0" b="0"/>
            <wp:wrapNone/>
            <wp:docPr id="143"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1.jpeg"/>
                    <pic:cNvPicPr/>
                  </pic:nvPicPr>
                  <pic:blipFill>
                    <a:blip r:embed="rId233" cstate="print"/>
                    <a:stretch>
                      <a:fillRect/>
                    </a:stretch>
                  </pic:blipFill>
                  <pic:spPr>
                    <a:xfrm>
                      <a:off x="0" y="0"/>
                      <a:ext cx="2069859" cy="1355760"/>
                    </a:xfrm>
                    <a:prstGeom prst="rect">
                      <a:avLst/>
                    </a:prstGeom>
                  </pic:spPr>
                </pic:pic>
              </a:graphicData>
            </a:graphic>
          </wp:anchor>
        </w:drawing>
      </w:r>
      <w:r w:rsidR="0015611F">
        <w:rPr>
          <w:color w:val="231F20"/>
        </w:rPr>
        <w:t xml:space="preserve">The auditor's independence declaration in accordance with section 307C of the </w:t>
      </w:r>
      <w:r w:rsidR="0015611F">
        <w:rPr>
          <w:i/>
          <w:color w:val="231F20"/>
        </w:rPr>
        <w:t>Corporations Act 2001</w:t>
      </w:r>
      <w:r w:rsidR="0015611F">
        <w:rPr>
          <w:color w:val="231F20"/>
        </w:rPr>
        <w:t>, for the period ended 31 December 2018 has been received and can be found on page 232 of the financial report.</w:t>
      </w:r>
    </w:p>
    <w:p w14:paraId="2D00AA17" w14:textId="77777777" w:rsidR="00FA4AA8" w:rsidRDefault="00FA4AA8">
      <w:pPr>
        <w:pStyle w:val="BodyText"/>
        <w:spacing w:before="10"/>
        <w:rPr>
          <w:sz w:val="24"/>
        </w:rPr>
      </w:pPr>
    </w:p>
    <w:p w14:paraId="0D8A0AD3" w14:textId="77777777" w:rsidR="00FA4AA8" w:rsidRDefault="0015611F">
      <w:pPr>
        <w:pStyle w:val="BodyText"/>
        <w:spacing w:before="1"/>
        <w:ind w:left="182"/>
      </w:pPr>
      <w:r>
        <w:rPr>
          <w:color w:val="231F20"/>
        </w:rPr>
        <w:t>Signed in accordance with a resolution of the Board of Directors:</w:t>
      </w:r>
    </w:p>
    <w:p w14:paraId="03CE0BA9" w14:textId="77777777" w:rsidR="00FA4AA8" w:rsidRDefault="00FA4AA8">
      <w:pPr>
        <w:pStyle w:val="BodyText"/>
        <w:rPr>
          <w:sz w:val="20"/>
        </w:rPr>
      </w:pPr>
    </w:p>
    <w:p w14:paraId="12A1FF0E" w14:textId="77777777" w:rsidR="00FA4AA8" w:rsidRDefault="00FA4AA8">
      <w:pPr>
        <w:pStyle w:val="BodyText"/>
        <w:rPr>
          <w:sz w:val="20"/>
        </w:rPr>
      </w:pPr>
    </w:p>
    <w:p w14:paraId="6BC27973" w14:textId="77777777" w:rsidR="00FA4AA8" w:rsidRDefault="00FA4AA8">
      <w:pPr>
        <w:pStyle w:val="BodyText"/>
        <w:rPr>
          <w:sz w:val="20"/>
        </w:rPr>
      </w:pPr>
    </w:p>
    <w:p w14:paraId="1EBA27EA" w14:textId="77777777" w:rsidR="00FA4AA8" w:rsidRDefault="00FA4AA8">
      <w:pPr>
        <w:pStyle w:val="BodyText"/>
        <w:spacing w:before="8"/>
        <w:rPr>
          <w:sz w:val="29"/>
        </w:rPr>
      </w:pPr>
    </w:p>
    <w:p w14:paraId="669A0EA7" w14:textId="77777777" w:rsidR="00FA4AA8" w:rsidRDefault="007E2441">
      <w:pPr>
        <w:pStyle w:val="BodyText"/>
        <w:tabs>
          <w:tab w:val="left" w:pos="5125"/>
        </w:tabs>
        <w:spacing w:before="94"/>
        <w:ind w:left="126"/>
      </w:pPr>
      <w:r>
        <w:rPr>
          <w:noProof/>
          <w:lang w:val="en-AU" w:eastAsia="en-AU"/>
        </w:rPr>
        <mc:AlternateContent>
          <mc:Choice Requires="wps">
            <w:drawing>
              <wp:anchor distT="0" distB="0" distL="114300" distR="114300" simplePos="0" relativeHeight="462812672" behindDoc="1" locked="0" layoutInCell="1" allowOverlap="1" wp14:anchorId="2E108BDF" wp14:editId="4BD2BCE2">
                <wp:simplePos x="0" y="0"/>
                <wp:positionH relativeFrom="page">
                  <wp:posOffset>1105535</wp:posOffset>
                </wp:positionH>
                <wp:positionV relativeFrom="paragraph">
                  <wp:posOffset>63500</wp:posOffset>
                </wp:positionV>
                <wp:extent cx="2016760" cy="128270"/>
                <wp:effectExtent l="0" t="0" r="0" b="0"/>
                <wp:wrapNone/>
                <wp:docPr id="36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76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90537" w14:textId="77777777" w:rsidR="001F3ACE" w:rsidRDefault="001F3ACE">
                            <w:pPr>
                              <w:pStyle w:val="BodyText"/>
                              <w:spacing w:line="201" w:lineRule="exact"/>
                            </w:pPr>
                            <w:r>
                              <w:rPr>
                                <w:color w:val="231F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08BDF" id="Text Box 134" o:spid="_x0000_s1053" type="#_x0000_t202" style="position:absolute;left:0;text-align:left;margin-left:87.05pt;margin-top:5pt;width:158.8pt;height:10.1pt;z-index:-4050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" filled="f" stroked="f">
                <v:textbox inset="0,0,0,0">
                  <w:txbxContent>
                    <w:p w14:paraId="6A490537" w14:textId="77777777" w:rsidR="001F3ACE" w:rsidRDefault="001F3ACE">
                      <w:pPr>
                        <w:pStyle w:val="BodyText"/>
                        <w:spacing w:line="201" w:lineRule="exact"/>
                      </w:pPr>
                      <w:r>
                        <w:rPr>
                          <w:color w:val="231F20"/>
                        </w:rPr>
                        <w:t>...............................................................</w:t>
                      </w:r>
                    </w:p>
                  </w:txbxContent>
                </v:textbox>
                <w10:wrap anchorx="page"/>
              </v:shape>
            </w:pict>
          </mc:Fallback>
        </mc:AlternateContent>
      </w:r>
      <w:r w:rsidR="0015611F">
        <w:rPr>
          <w:color w:val="231F20"/>
        </w:rPr>
        <w:t>Director:</w:t>
      </w:r>
      <w:r w:rsidR="0015611F">
        <w:rPr>
          <w:color w:val="231F20"/>
        </w:rPr>
        <w:tab/>
        <w:t>Director:</w:t>
      </w:r>
      <w:r w:rsidR="0015611F">
        <w:rPr>
          <w:color w:val="231F20"/>
          <w:spacing w:val="1"/>
        </w:rPr>
        <w:t xml:space="preserve"> </w:t>
      </w:r>
      <w:r w:rsidR="0015611F">
        <w:rPr>
          <w:color w:val="231F20"/>
        </w:rPr>
        <w:t>................................................................</w:t>
      </w:r>
    </w:p>
    <w:p w14:paraId="3F3103EB" w14:textId="77777777" w:rsidR="00FA4AA8" w:rsidRDefault="00FA4AA8">
      <w:pPr>
        <w:pStyle w:val="BodyText"/>
        <w:rPr>
          <w:sz w:val="20"/>
        </w:rPr>
      </w:pPr>
    </w:p>
    <w:p w14:paraId="567033BF" w14:textId="77777777" w:rsidR="00FA4AA8" w:rsidRDefault="00FA4AA8">
      <w:pPr>
        <w:pStyle w:val="BodyText"/>
        <w:rPr>
          <w:sz w:val="20"/>
        </w:rPr>
      </w:pPr>
    </w:p>
    <w:p w14:paraId="297E1D60" w14:textId="77777777" w:rsidR="00FA4AA8" w:rsidRDefault="00FA4AA8">
      <w:pPr>
        <w:pStyle w:val="BodyText"/>
        <w:rPr>
          <w:sz w:val="20"/>
        </w:rPr>
      </w:pPr>
    </w:p>
    <w:p w14:paraId="6639B06F" w14:textId="77777777" w:rsidR="00FA4AA8" w:rsidRDefault="00FA4AA8">
      <w:pPr>
        <w:pStyle w:val="BodyText"/>
        <w:rPr>
          <w:sz w:val="20"/>
        </w:rPr>
      </w:pPr>
    </w:p>
    <w:p w14:paraId="4E3273E1" w14:textId="77777777" w:rsidR="00FA4AA8" w:rsidRDefault="007E2441">
      <w:pPr>
        <w:pStyle w:val="BodyText"/>
        <w:tabs>
          <w:tab w:val="left" w:pos="2612"/>
          <w:tab w:val="right" w:pos="5068"/>
        </w:tabs>
        <w:spacing w:before="121"/>
        <w:ind w:left="181"/>
      </w:pPr>
      <w:r>
        <w:rPr>
          <w:noProof/>
          <w:lang w:val="en-AU" w:eastAsia="en-AU"/>
        </w:rPr>
        <mc:AlternateContent>
          <mc:Choice Requires="wps">
            <w:drawing>
              <wp:anchor distT="0" distB="0" distL="114300" distR="114300" simplePos="0" relativeHeight="462813184" behindDoc="1" locked="0" layoutInCell="1" allowOverlap="1" wp14:anchorId="6EA4FFE4" wp14:editId="4AF9CD35">
                <wp:simplePos x="0" y="0"/>
                <wp:positionH relativeFrom="page">
                  <wp:posOffset>1256030</wp:posOffset>
                </wp:positionH>
                <wp:positionV relativeFrom="paragraph">
                  <wp:posOffset>80645</wp:posOffset>
                </wp:positionV>
                <wp:extent cx="929005" cy="128270"/>
                <wp:effectExtent l="0" t="0" r="0" b="0"/>
                <wp:wrapNone/>
                <wp:docPr id="367"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00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3EB2A" w14:textId="77777777" w:rsidR="001F3ACE" w:rsidRDefault="001F3ACE">
                            <w:pPr>
                              <w:pStyle w:val="BodyText"/>
                              <w:spacing w:line="201" w:lineRule="exact"/>
                            </w:pPr>
                            <w:r>
                              <w:rPr>
                                <w:color w:val="231F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4FFE4" id="Text Box 133" o:spid="_x0000_s1054" type="#_x0000_t202" style="position:absolute;left:0;text-align:left;margin-left:98.9pt;margin-top:6.35pt;width:73.15pt;height:10.1pt;z-index:-405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" filled="f" stroked="f">
                <v:textbox inset="0,0,0,0">
                  <w:txbxContent>
                    <w:p w14:paraId="2DA3EB2A" w14:textId="77777777" w:rsidR="001F3ACE" w:rsidRDefault="001F3ACE">
                      <w:pPr>
                        <w:pStyle w:val="BodyText"/>
                        <w:spacing w:line="201" w:lineRule="exact"/>
                      </w:pPr>
                      <w:r>
                        <w:rPr>
                          <w:color w:val="231F20"/>
                        </w:rPr>
                        <w:t>.............................</w:t>
                      </w:r>
                    </w:p>
                  </w:txbxContent>
                </v:textbox>
                <w10:wrap anchorx="page"/>
              </v:shape>
            </w:pict>
          </mc:Fallback>
        </mc:AlternateContent>
      </w:r>
      <w:r>
        <w:rPr>
          <w:noProof/>
          <w:lang w:val="en-AU" w:eastAsia="en-AU"/>
        </w:rPr>
        <mc:AlternateContent>
          <mc:Choice Requires="wps">
            <w:drawing>
              <wp:anchor distT="0" distB="0" distL="114300" distR="114300" simplePos="0" relativeHeight="462813696" behindDoc="1" locked="0" layoutInCell="1" allowOverlap="1" wp14:anchorId="6C423C00" wp14:editId="4404AC5C">
                <wp:simplePos x="0" y="0"/>
                <wp:positionH relativeFrom="page">
                  <wp:posOffset>2560955</wp:posOffset>
                </wp:positionH>
                <wp:positionV relativeFrom="paragraph">
                  <wp:posOffset>80645</wp:posOffset>
                </wp:positionV>
                <wp:extent cx="960755" cy="128270"/>
                <wp:effectExtent l="0" t="0" r="0" b="0"/>
                <wp:wrapNone/>
                <wp:docPr id="366"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75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6D487" w14:textId="77777777" w:rsidR="001F3ACE" w:rsidRDefault="001F3ACE">
                            <w:pPr>
                              <w:pStyle w:val="BodyText"/>
                              <w:spacing w:line="201" w:lineRule="exact"/>
                            </w:pPr>
                            <w:r>
                              <w:rPr>
                                <w:color w:val="231F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23C00" id="Text Box 132" o:spid="_x0000_s1055" type="#_x0000_t202" style="position:absolute;left:0;text-align:left;margin-left:201.65pt;margin-top:6.35pt;width:75.65pt;height:10.1pt;z-index:-4050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" filled="f" stroked="f">
                <v:textbox inset="0,0,0,0">
                  <w:txbxContent>
                    <w:p w14:paraId="7656D487" w14:textId="77777777" w:rsidR="001F3ACE" w:rsidRDefault="001F3ACE">
                      <w:pPr>
                        <w:pStyle w:val="BodyText"/>
                        <w:spacing w:line="201" w:lineRule="exact"/>
                      </w:pPr>
                      <w:r>
                        <w:rPr>
                          <w:color w:val="231F20"/>
                        </w:rPr>
                        <w:t>..............................</w:t>
                      </w:r>
                    </w:p>
                  </w:txbxContent>
                </v:textbox>
                <w10:wrap anchorx="page"/>
              </v:shape>
            </w:pict>
          </mc:Fallback>
        </mc:AlternateContent>
      </w:r>
      <w:r w:rsidR="0015611F">
        <w:rPr>
          <w:noProof/>
          <w:lang w:val="en-AU" w:eastAsia="en-AU"/>
        </w:rPr>
        <w:drawing>
          <wp:anchor distT="0" distB="0" distL="0" distR="0" simplePos="0" relativeHeight="462815232" behindDoc="1" locked="0" layoutInCell="1" allowOverlap="1" wp14:anchorId="02550FAE" wp14:editId="144739EA">
            <wp:simplePos x="0" y="0"/>
            <wp:positionH relativeFrom="page">
              <wp:posOffset>1243774</wp:posOffset>
            </wp:positionH>
            <wp:positionV relativeFrom="paragraph">
              <wp:posOffset>-80526</wp:posOffset>
            </wp:positionV>
            <wp:extent cx="972591" cy="296646"/>
            <wp:effectExtent l="0" t="0" r="0" b="0"/>
            <wp:wrapNone/>
            <wp:docPr id="145"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3.jpeg"/>
                    <pic:cNvPicPr/>
                  </pic:nvPicPr>
                  <pic:blipFill>
                    <a:blip r:embed="rId235" cstate="print"/>
                    <a:stretch>
                      <a:fillRect/>
                    </a:stretch>
                  </pic:blipFill>
                  <pic:spPr>
                    <a:xfrm>
                      <a:off x="0" y="0"/>
                      <a:ext cx="972591" cy="296646"/>
                    </a:xfrm>
                    <a:prstGeom prst="rect">
                      <a:avLst/>
                    </a:prstGeom>
                  </pic:spPr>
                </pic:pic>
              </a:graphicData>
            </a:graphic>
          </wp:anchor>
        </w:drawing>
      </w:r>
      <w:r w:rsidR="0015611F">
        <w:rPr>
          <w:noProof/>
          <w:lang w:val="en-AU" w:eastAsia="en-AU"/>
        </w:rPr>
        <w:drawing>
          <wp:anchor distT="0" distB="0" distL="0" distR="0" simplePos="0" relativeHeight="462815744" behindDoc="1" locked="0" layoutInCell="1" allowOverlap="1" wp14:anchorId="0B85863A" wp14:editId="1C7B1CBD">
            <wp:simplePos x="0" y="0"/>
            <wp:positionH relativeFrom="page">
              <wp:posOffset>2563456</wp:posOffset>
            </wp:positionH>
            <wp:positionV relativeFrom="paragraph">
              <wp:posOffset>-31809</wp:posOffset>
            </wp:positionV>
            <wp:extent cx="943292" cy="263398"/>
            <wp:effectExtent l="0" t="0" r="0" b="0"/>
            <wp:wrapNone/>
            <wp:docPr id="147"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89.jpeg"/>
                    <pic:cNvPicPr/>
                  </pic:nvPicPr>
                  <pic:blipFill>
                    <a:blip r:embed="rId276" cstate="print"/>
                    <a:stretch>
                      <a:fillRect/>
                    </a:stretch>
                  </pic:blipFill>
                  <pic:spPr>
                    <a:xfrm>
                      <a:off x="0" y="0"/>
                      <a:ext cx="943292" cy="263398"/>
                    </a:xfrm>
                    <a:prstGeom prst="rect">
                      <a:avLst/>
                    </a:prstGeom>
                  </pic:spPr>
                </pic:pic>
              </a:graphicData>
            </a:graphic>
          </wp:anchor>
        </w:drawing>
      </w:r>
      <w:r w:rsidR="0015611F">
        <w:rPr>
          <w:color w:val="231F20"/>
        </w:rPr>
        <w:t>Dated</w:t>
      </w:r>
      <w:r w:rsidR="0015611F">
        <w:rPr>
          <w:color w:val="231F20"/>
          <w:spacing w:val="1"/>
        </w:rPr>
        <w:t xml:space="preserve"> </w:t>
      </w:r>
      <w:r w:rsidR="0015611F">
        <w:rPr>
          <w:color w:val="231F20"/>
        </w:rPr>
        <w:t>this .</w:t>
      </w:r>
      <w:r w:rsidR="0015611F">
        <w:rPr>
          <w:color w:val="231F20"/>
        </w:rPr>
        <w:tab/>
        <w:t>day</w:t>
      </w:r>
      <w:r w:rsidR="0015611F">
        <w:rPr>
          <w:color w:val="231F20"/>
          <w:spacing w:val="-1"/>
        </w:rPr>
        <w:t xml:space="preserve"> </w:t>
      </w:r>
      <w:r w:rsidR="0015611F">
        <w:rPr>
          <w:color w:val="231F20"/>
        </w:rPr>
        <w:t>of</w:t>
      </w:r>
      <w:r w:rsidR="0015611F">
        <w:rPr>
          <w:color w:val="231F20"/>
        </w:rPr>
        <w:tab/>
        <w:t>2019</w:t>
      </w:r>
    </w:p>
    <w:p w14:paraId="00946B9D" w14:textId="77777777" w:rsidR="00FA4AA8" w:rsidRDefault="00FA4AA8">
      <w:pPr>
        <w:sectPr w:rsidR="00FA4AA8">
          <w:pgSz w:w="11910" w:h="16840"/>
          <w:pgMar w:top="1600" w:right="898" w:bottom="720" w:left="880" w:header="1015" w:footer="523" w:gutter="0"/>
          <w:cols w:space="720"/>
        </w:sectPr>
      </w:pPr>
    </w:p>
    <w:p w14:paraId="58F11696" w14:textId="77777777" w:rsidR="00FA4AA8" w:rsidRDefault="00FA4AA8">
      <w:pPr>
        <w:pStyle w:val="BodyText"/>
        <w:rPr>
          <w:sz w:val="20"/>
        </w:rPr>
      </w:pPr>
    </w:p>
    <w:p w14:paraId="33FC6D4F" w14:textId="77777777" w:rsidR="00FA4AA8" w:rsidRDefault="0015611F">
      <w:pPr>
        <w:spacing w:before="92"/>
        <w:ind w:left="119"/>
        <w:rPr>
          <w:b/>
          <w:sz w:val="27"/>
        </w:rPr>
      </w:pPr>
      <w:r>
        <w:rPr>
          <w:b/>
          <w:color w:val="181818"/>
          <w:sz w:val="27"/>
        </w:rPr>
        <w:t xml:space="preserve">Directors' </w:t>
      </w:r>
      <w:r>
        <w:rPr>
          <w:b/>
          <w:color w:val="111111"/>
          <w:sz w:val="27"/>
        </w:rPr>
        <w:t>Declaration</w:t>
      </w:r>
    </w:p>
    <w:p w14:paraId="75FA3574" w14:textId="77777777" w:rsidR="00FA4AA8" w:rsidRDefault="0015611F">
      <w:pPr>
        <w:pStyle w:val="BodyText"/>
        <w:spacing w:before="268"/>
        <w:ind w:left="120"/>
      </w:pPr>
      <w:r>
        <w:rPr>
          <w:color w:val="0F0F0F"/>
        </w:rPr>
        <w:t xml:space="preserve">The </w:t>
      </w:r>
      <w:r>
        <w:t xml:space="preserve">directors </w:t>
      </w:r>
      <w:r>
        <w:rPr>
          <w:color w:val="282828"/>
        </w:rPr>
        <w:t xml:space="preserve">of </w:t>
      </w:r>
      <w:r>
        <w:rPr>
          <w:color w:val="151515"/>
        </w:rPr>
        <w:t xml:space="preserve">the </w:t>
      </w:r>
      <w:r>
        <w:t xml:space="preserve">Company </w:t>
      </w:r>
      <w:r>
        <w:rPr>
          <w:color w:val="111111"/>
        </w:rPr>
        <w:t xml:space="preserve">declare </w:t>
      </w:r>
      <w:r>
        <w:rPr>
          <w:color w:val="1C1C1C"/>
        </w:rPr>
        <w:t>that:</w:t>
      </w:r>
    </w:p>
    <w:p w14:paraId="1AE1A777" w14:textId="77777777" w:rsidR="00FA4AA8" w:rsidRDefault="00FA4AA8">
      <w:pPr>
        <w:pStyle w:val="BodyText"/>
        <w:spacing w:before="7"/>
        <w:rPr>
          <w:sz w:val="16"/>
        </w:rPr>
      </w:pPr>
    </w:p>
    <w:p w14:paraId="5DE251AD" w14:textId="77777777" w:rsidR="00FA4AA8" w:rsidRDefault="0015611F">
      <w:pPr>
        <w:pStyle w:val="ListParagraph"/>
        <w:numPr>
          <w:ilvl w:val="0"/>
          <w:numId w:val="24"/>
        </w:numPr>
        <w:tabs>
          <w:tab w:val="left" w:pos="496"/>
          <w:tab w:val="left" w:pos="497"/>
        </w:tabs>
        <w:rPr>
          <w:color w:val="262626"/>
          <w:sz w:val="18"/>
        </w:rPr>
      </w:pPr>
      <w:r>
        <w:rPr>
          <w:sz w:val="18"/>
        </w:rPr>
        <w:t xml:space="preserve">the </w:t>
      </w:r>
      <w:r>
        <w:rPr>
          <w:color w:val="0F0F0F"/>
          <w:sz w:val="18"/>
        </w:rPr>
        <w:t xml:space="preserve">financial </w:t>
      </w:r>
      <w:r>
        <w:rPr>
          <w:color w:val="0C0C0C"/>
          <w:sz w:val="18"/>
        </w:rPr>
        <w:t xml:space="preserve">statements </w:t>
      </w:r>
      <w:r>
        <w:rPr>
          <w:color w:val="181818"/>
          <w:sz w:val="18"/>
        </w:rPr>
        <w:t>and</w:t>
      </w:r>
      <w:r>
        <w:rPr>
          <w:color w:val="181818"/>
          <w:spacing w:val="18"/>
          <w:sz w:val="18"/>
        </w:rPr>
        <w:t xml:space="preserve"> </w:t>
      </w:r>
      <w:r>
        <w:rPr>
          <w:color w:val="131313"/>
          <w:sz w:val="18"/>
        </w:rPr>
        <w:t>notes</w:t>
      </w:r>
    </w:p>
    <w:p w14:paraId="4E6444B2" w14:textId="77777777" w:rsidR="00FA4AA8" w:rsidRDefault="00FA4AA8">
      <w:pPr>
        <w:pStyle w:val="BodyText"/>
        <w:spacing w:before="9"/>
        <w:rPr>
          <w:sz w:val="24"/>
        </w:rPr>
      </w:pPr>
    </w:p>
    <w:p w14:paraId="77AC3B40" w14:textId="77777777" w:rsidR="00FA4AA8" w:rsidRDefault="0015611F">
      <w:pPr>
        <w:pStyle w:val="ListParagraph"/>
        <w:numPr>
          <w:ilvl w:val="1"/>
          <w:numId w:val="24"/>
        </w:numPr>
        <w:tabs>
          <w:tab w:val="left" w:pos="871"/>
          <w:tab w:val="left" w:pos="872"/>
        </w:tabs>
        <w:spacing w:line="223" w:lineRule="auto"/>
        <w:ind w:right="197" w:hanging="379"/>
        <w:rPr>
          <w:color w:val="232323"/>
          <w:sz w:val="18"/>
        </w:rPr>
      </w:pPr>
      <w:r>
        <w:rPr>
          <w:sz w:val="18"/>
        </w:rPr>
        <w:t>comply</w:t>
      </w:r>
      <w:r>
        <w:rPr>
          <w:spacing w:val="-32"/>
          <w:sz w:val="18"/>
        </w:rPr>
        <w:t xml:space="preserve"> </w:t>
      </w:r>
      <w:r>
        <w:rPr>
          <w:sz w:val="18"/>
        </w:rPr>
        <w:t>with</w:t>
      </w:r>
      <w:r>
        <w:rPr>
          <w:spacing w:val="-31"/>
          <w:sz w:val="18"/>
        </w:rPr>
        <w:t xml:space="preserve"> </w:t>
      </w:r>
      <w:r>
        <w:rPr>
          <w:sz w:val="18"/>
        </w:rPr>
        <w:t>Australian</w:t>
      </w:r>
      <w:r>
        <w:rPr>
          <w:spacing w:val="-30"/>
          <w:sz w:val="18"/>
        </w:rPr>
        <w:t xml:space="preserve"> </w:t>
      </w:r>
      <w:r>
        <w:rPr>
          <w:sz w:val="18"/>
        </w:rPr>
        <w:t>Accounting</w:t>
      </w:r>
      <w:r>
        <w:rPr>
          <w:spacing w:val="-30"/>
          <w:sz w:val="18"/>
        </w:rPr>
        <w:t xml:space="preserve"> </w:t>
      </w:r>
      <w:r>
        <w:rPr>
          <w:sz w:val="18"/>
        </w:rPr>
        <w:t>Standards</w:t>
      </w:r>
      <w:r>
        <w:rPr>
          <w:spacing w:val="-30"/>
          <w:sz w:val="18"/>
        </w:rPr>
        <w:t xml:space="preserve"> </w:t>
      </w:r>
      <w:r>
        <w:rPr>
          <w:color w:val="1A1A1A"/>
          <w:sz w:val="18"/>
        </w:rPr>
        <w:t>-</w:t>
      </w:r>
      <w:r>
        <w:rPr>
          <w:color w:val="1A1A1A"/>
          <w:spacing w:val="-36"/>
          <w:sz w:val="18"/>
        </w:rPr>
        <w:t xml:space="preserve"> </w:t>
      </w:r>
      <w:r>
        <w:rPr>
          <w:sz w:val="18"/>
        </w:rPr>
        <w:t>Reduced</w:t>
      </w:r>
      <w:r>
        <w:rPr>
          <w:spacing w:val="-29"/>
          <w:sz w:val="18"/>
        </w:rPr>
        <w:t xml:space="preserve"> </w:t>
      </w:r>
      <w:r>
        <w:rPr>
          <w:sz w:val="18"/>
        </w:rPr>
        <w:t>Disclosure</w:t>
      </w:r>
      <w:r>
        <w:rPr>
          <w:spacing w:val="-31"/>
          <w:sz w:val="18"/>
        </w:rPr>
        <w:t xml:space="preserve"> </w:t>
      </w:r>
      <w:r>
        <w:rPr>
          <w:sz w:val="18"/>
        </w:rPr>
        <w:t>Requirements,</w:t>
      </w:r>
      <w:r>
        <w:rPr>
          <w:spacing w:val="-28"/>
          <w:sz w:val="18"/>
        </w:rPr>
        <w:t xml:space="preserve"> </w:t>
      </w:r>
      <w:r>
        <w:rPr>
          <w:color w:val="1A1A1A"/>
          <w:sz w:val="18"/>
        </w:rPr>
        <w:t>the</w:t>
      </w:r>
      <w:r>
        <w:rPr>
          <w:color w:val="1A1A1A"/>
          <w:spacing w:val="-33"/>
          <w:sz w:val="18"/>
        </w:rPr>
        <w:t xml:space="preserve"> </w:t>
      </w:r>
      <w:r>
        <w:rPr>
          <w:i/>
          <w:sz w:val="18"/>
        </w:rPr>
        <w:t>Corporations</w:t>
      </w:r>
      <w:r>
        <w:rPr>
          <w:i/>
          <w:spacing w:val="-31"/>
          <w:sz w:val="18"/>
        </w:rPr>
        <w:t xml:space="preserve"> </w:t>
      </w:r>
      <w:r>
        <w:rPr>
          <w:i/>
          <w:sz w:val="18"/>
        </w:rPr>
        <w:t>Regulations</w:t>
      </w:r>
      <w:r>
        <w:rPr>
          <w:i/>
          <w:color w:val="0A0A0A"/>
          <w:sz w:val="18"/>
        </w:rPr>
        <w:t xml:space="preserve"> 2001, </w:t>
      </w:r>
      <w:r>
        <w:rPr>
          <w:i/>
          <w:color w:val="181818"/>
          <w:sz w:val="18"/>
        </w:rPr>
        <w:t xml:space="preserve">Public </w:t>
      </w:r>
      <w:r>
        <w:rPr>
          <w:i/>
          <w:sz w:val="18"/>
        </w:rPr>
        <w:t xml:space="preserve">Finance </w:t>
      </w:r>
      <w:r>
        <w:rPr>
          <w:i/>
          <w:color w:val="212121"/>
          <w:sz w:val="18"/>
        </w:rPr>
        <w:t xml:space="preserve">and </w:t>
      </w:r>
      <w:r>
        <w:rPr>
          <w:i/>
          <w:sz w:val="18"/>
        </w:rPr>
        <w:t xml:space="preserve">Audit Act 198:3, Public </w:t>
      </w:r>
      <w:r>
        <w:rPr>
          <w:i/>
          <w:color w:val="181818"/>
          <w:sz w:val="18"/>
        </w:rPr>
        <w:t xml:space="preserve">Finance </w:t>
      </w:r>
      <w:r>
        <w:rPr>
          <w:i/>
          <w:color w:val="111111"/>
          <w:sz w:val="18"/>
        </w:rPr>
        <w:t xml:space="preserve">and </w:t>
      </w:r>
      <w:r>
        <w:rPr>
          <w:i/>
          <w:color w:val="0C0C0C"/>
          <w:sz w:val="18"/>
        </w:rPr>
        <w:t xml:space="preserve">Audit </w:t>
      </w:r>
      <w:r>
        <w:rPr>
          <w:i/>
          <w:sz w:val="18"/>
        </w:rPr>
        <w:t xml:space="preserve">Regulation 2015 </w:t>
      </w:r>
      <w:r>
        <w:rPr>
          <w:color w:val="0E0E0E"/>
          <w:sz w:val="18"/>
        </w:rPr>
        <w:t xml:space="preserve">and </w:t>
      </w:r>
      <w:r>
        <w:rPr>
          <w:color w:val="151515"/>
          <w:sz w:val="18"/>
        </w:rPr>
        <w:t xml:space="preserve">other </w:t>
      </w:r>
      <w:r>
        <w:rPr>
          <w:sz w:val="18"/>
        </w:rPr>
        <w:t xml:space="preserve">mandatory professional reporting </w:t>
      </w:r>
      <w:r w:rsidR="007719AF">
        <w:rPr>
          <w:sz w:val="18"/>
        </w:rPr>
        <w:t>requirements</w:t>
      </w:r>
      <w:r>
        <w:rPr>
          <w:sz w:val="18"/>
        </w:rPr>
        <w:t>,</w:t>
      </w:r>
      <w:r>
        <w:rPr>
          <w:spacing w:val="-18"/>
          <w:sz w:val="18"/>
        </w:rPr>
        <w:t xml:space="preserve"> </w:t>
      </w:r>
      <w:r>
        <w:rPr>
          <w:sz w:val="18"/>
        </w:rPr>
        <w:t>and</w:t>
      </w:r>
    </w:p>
    <w:p w14:paraId="2569F73E" w14:textId="77777777" w:rsidR="00FA4AA8" w:rsidRDefault="00FA4AA8">
      <w:pPr>
        <w:pStyle w:val="BodyText"/>
        <w:spacing w:before="7"/>
        <w:rPr>
          <w:sz w:val="24"/>
        </w:rPr>
      </w:pPr>
    </w:p>
    <w:p w14:paraId="6D3EDC10" w14:textId="77777777" w:rsidR="00FA4AA8" w:rsidRDefault="0015611F">
      <w:pPr>
        <w:pStyle w:val="ListParagraph"/>
        <w:numPr>
          <w:ilvl w:val="1"/>
          <w:numId w:val="24"/>
        </w:numPr>
        <w:tabs>
          <w:tab w:val="left" w:pos="872"/>
          <w:tab w:val="left" w:pos="873"/>
        </w:tabs>
        <w:spacing w:line="228" w:lineRule="auto"/>
        <w:ind w:left="866" w:right="1093" w:hanging="375"/>
        <w:rPr>
          <w:color w:val="282828"/>
          <w:sz w:val="18"/>
        </w:rPr>
      </w:pPr>
      <w:r>
        <w:rPr>
          <w:color w:val="0C0C0C"/>
          <w:sz w:val="18"/>
        </w:rPr>
        <w:t>give</w:t>
      </w:r>
      <w:r>
        <w:rPr>
          <w:color w:val="0C0C0C"/>
          <w:spacing w:val="-17"/>
          <w:sz w:val="18"/>
        </w:rPr>
        <w:t xml:space="preserve"> </w:t>
      </w:r>
      <w:r>
        <w:rPr>
          <w:color w:val="1F1F1F"/>
          <w:sz w:val="18"/>
        </w:rPr>
        <w:t>a</w:t>
      </w:r>
      <w:r>
        <w:rPr>
          <w:color w:val="1F1F1F"/>
          <w:spacing w:val="-18"/>
          <w:sz w:val="18"/>
        </w:rPr>
        <w:t xml:space="preserve"> </w:t>
      </w:r>
      <w:r>
        <w:rPr>
          <w:sz w:val="18"/>
        </w:rPr>
        <w:t>true</w:t>
      </w:r>
      <w:r>
        <w:rPr>
          <w:spacing w:val="-16"/>
          <w:sz w:val="18"/>
        </w:rPr>
        <w:t xml:space="preserve"> </w:t>
      </w:r>
      <w:r>
        <w:rPr>
          <w:color w:val="181818"/>
          <w:sz w:val="18"/>
        </w:rPr>
        <w:t>and</w:t>
      </w:r>
      <w:r>
        <w:rPr>
          <w:color w:val="181818"/>
          <w:spacing w:val="-15"/>
          <w:sz w:val="18"/>
        </w:rPr>
        <w:t xml:space="preserve"> </w:t>
      </w:r>
      <w:r>
        <w:rPr>
          <w:color w:val="0F0F0F"/>
          <w:sz w:val="18"/>
        </w:rPr>
        <w:t>fair</w:t>
      </w:r>
      <w:r>
        <w:rPr>
          <w:color w:val="0F0F0F"/>
          <w:spacing w:val="-16"/>
          <w:sz w:val="18"/>
        </w:rPr>
        <w:t xml:space="preserve"> </w:t>
      </w:r>
      <w:r>
        <w:rPr>
          <w:sz w:val="18"/>
        </w:rPr>
        <w:t>view</w:t>
      </w:r>
      <w:r>
        <w:rPr>
          <w:spacing w:val="-16"/>
          <w:sz w:val="18"/>
        </w:rPr>
        <w:t xml:space="preserve"> </w:t>
      </w:r>
      <w:r>
        <w:rPr>
          <w:color w:val="0C0C0C"/>
          <w:sz w:val="18"/>
        </w:rPr>
        <w:t>of</w:t>
      </w:r>
      <w:r>
        <w:rPr>
          <w:color w:val="0C0C0C"/>
          <w:spacing w:val="-15"/>
          <w:sz w:val="18"/>
        </w:rPr>
        <w:t xml:space="preserve"> </w:t>
      </w:r>
      <w:r>
        <w:rPr>
          <w:color w:val="111111"/>
          <w:sz w:val="18"/>
        </w:rPr>
        <w:t>the</w:t>
      </w:r>
      <w:r>
        <w:rPr>
          <w:color w:val="111111"/>
          <w:spacing w:val="-14"/>
          <w:sz w:val="18"/>
        </w:rPr>
        <w:t xml:space="preserve"> </w:t>
      </w:r>
      <w:r>
        <w:rPr>
          <w:sz w:val="18"/>
        </w:rPr>
        <w:t>Company's</w:t>
      </w:r>
      <w:r>
        <w:rPr>
          <w:spacing w:val="-11"/>
          <w:sz w:val="18"/>
        </w:rPr>
        <w:t xml:space="preserve"> </w:t>
      </w:r>
      <w:r>
        <w:rPr>
          <w:color w:val="181818"/>
          <w:sz w:val="18"/>
        </w:rPr>
        <w:t>of</w:t>
      </w:r>
      <w:r>
        <w:rPr>
          <w:color w:val="181818"/>
          <w:spacing w:val="-18"/>
          <w:sz w:val="18"/>
        </w:rPr>
        <w:t xml:space="preserve"> </w:t>
      </w:r>
      <w:r>
        <w:rPr>
          <w:color w:val="0F0F0F"/>
          <w:sz w:val="18"/>
        </w:rPr>
        <w:t>the</w:t>
      </w:r>
      <w:r>
        <w:rPr>
          <w:color w:val="0F0F0F"/>
          <w:spacing w:val="-15"/>
          <w:sz w:val="18"/>
        </w:rPr>
        <w:t xml:space="preserve"> </w:t>
      </w:r>
      <w:r>
        <w:rPr>
          <w:sz w:val="18"/>
        </w:rPr>
        <w:t>financial</w:t>
      </w:r>
      <w:r>
        <w:rPr>
          <w:spacing w:val="-11"/>
          <w:sz w:val="18"/>
        </w:rPr>
        <w:t xml:space="preserve"> </w:t>
      </w:r>
      <w:r>
        <w:rPr>
          <w:color w:val="111111"/>
          <w:sz w:val="18"/>
        </w:rPr>
        <w:t>position</w:t>
      </w:r>
      <w:r>
        <w:rPr>
          <w:color w:val="111111"/>
          <w:spacing w:val="-9"/>
          <w:sz w:val="18"/>
        </w:rPr>
        <w:t xml:space="preserve"> </w:t>
      </w:r>
      <w:r>
        <w:rPr>
          <w:color w:val="1F1F1F"/>
          <w:sz w:val="18"/>
        </w:rPr>
        <w:t>as</w:t>
      </w:r>
      <w:r>
        <w:rPr>
          <w:color w:val="1F1F1F"/>
          <w:spacing w:val="-19"/>
          <w:sz w:val="18"/>
        </w:rPr>
        <w:t xml:space="preserve"> </w:t>
      </w:r>
      <w:r>
        <w:rPr>
          <w:color w:val="161616"/>
          <w:sz w:val="18"/>
        </w:rPr>
        <w:t>at</w:t>
      </w:r>
      <w:r>
        <w:rPr>
          <w:color w:val="161616"/>
          <w:spacing w:val="-23"/>
          <w:sz w:val="18"/>
        </w:rPr>
        <w:t xml:space="preserve"> </w:t>
      </w:r>
      <w:r>
        <w:rPr>
          <w:color w:val="161616"/>
          <w:sz w:val="18"/>
        </w:rPr>
        <w:t>31</w:t>
      </w:r>
      <w:r>
        <w:rPr>
          <w:color w:val="161616"/>
          <w:spacing w:val="-15"/>
          <w:sz w:val="18"/>
        </w:rPr>
        <w:t xml:space="preserve"> </w:t>
      </w:r>
      <w:r>
        <w:rPr>
          <w:sz w:val="18"/>
        </w:rPr>
        <w:t>December</w:t>
      </w:r>
      <w:r>
        <w:rPr>
          <w:spacing w:val="-14"/>
          <w:sz w:val="18"/>
        </w:rPr>
        <w:t xml:space="preserve"> </w:t>
      </w:r>
      <w:r>
        <w:rPr>
          <w:color w:val="212121"/>
          <w:sz w:val="18"/>
        </w:rPr>
        <w:t>2018</w:t>
      </w:r>
      <w:r>
        <w:rPr>
          <w:color w:val="212121"/>
          <w:spacing w:val="-17"/>
          <w:sz w:val="18"/>
        </w:rPr>
        <w:t xml:space="preserve"> </w:t>
      </w:r>
      <w:r>
        <w:rPr>
          <w:color w:val="1A1A1A"/>
          <w:sz w:val="18"/>
        </w:rPr>
        <w:t>and</w:t>
      </w:r>
      <w:r>
        <w:rPr>
          <w:color w:val="1A1A1A"/>
          <w:spacing w:val="-13"/>
          <w:sz w:val="18"/>
        </w:rPr>
        <w:t xml:space="preserve"> </w:t>
      </w:r>
      <w:r>
        <w:rPr>
          <w:color w:val="1A1A1A"/>
          <w:sz w:val="18"/>
        </w:rPr>
        <w:t>of</w:t>
      </w:r>
      <w:r>
        <w:rPr>
          <w:color w:val="1A1A1A"/>
          <w:spacing w:val="-18"/>
          <w:sz w:val="18"/>
        </w:rPr>
        <w:t xml:space="preserve"> </w:t>
      </w:r>
      <w:r>
        <w:rPr>
          <w:color w:val="212121"/>
          <w:sz w:val="18"/>
        </w:rPr>
        <w:t>its</w:t>
      </w:r>
      <w:r>
        <w:rPr>
          <w:sz w:val="18"/>
        </w:rPr>
        <w:t xml:space="preserve"> performance </w:t>
      </w:r>
      <w:r>
        <w:rPr>
          <w:color w:val="131313"/>
          <w:sz w:val="18"/>
        </w:rPr>
        <w:t xml:space="preserve">for </w:t>
      </w:r>
      <w:r>
        <w:rPr>
          <w:color w:val="1A1A1A"/>
          <w:sz w:val="18"/>
        </w:rPr>
        <w:t xml:space="preserve">the </w:t>
      </w:r>
      <w:r>
        <w:rPr>
          <w:color w:val="131313"/>
          <w:sz w:val="18"/>
        </w:rPr>
        <w:t xml:space="preserve">financial </w:t>
      </w:r>
      <w:r>
        <w:rPr>
          <w:sz w:val="18"/>
        </w:rPr>
        <w:t xml:space="preserve">period ended </w:t>
      </w:r>
      <w:r>
        <w:rPr>
          <w:color w:val="111111"/>
          <w:sz w:val="18"/>
        </w:rPr>
        <w:t xml:space="preserve">on </w:t>
      </w:r>
      <w:r>
        <w:rPr>
          <w:color w:val="0E0E0E"/>
          <w:sz w:val="18"/>
        </w:rPr>
        <w:t xml:space="preserve">that </w:t>
      </w:r>
      <w:r>
        <w:rPr>
          <w:color w:val="151515"/>
          <w:sz w:val="18"/>
        </w:rPr>
        <w:t xml:space="preserve">date, </w:t>
      </w:r>
      <w:r>
        <w:rPr>
          <w:color w:val="131313"/>
          <w:sz w:val="18"/>
        </w:rPr>
        <w:t>and;</w:t>
      </w:r>
    </w:p>
    <w:p w14:paraId="1F8D4A26" w14:textId="77777777" w:rsidR="00FA4AA8" w:rsidRDefault="00FA4AA8">
      <w:pPr>
        <w:pStyle w:val="BodyText"/>
        <w:spacing w:before="3"/>
      </w:pPr>
    </w:p>
    <w:p w14:paraId="0A6262DC" w14:textId="77777777" w:rsidR="00FA4AA8" w:rsidRDefault="0015611F">
      <w:pPr>
        <w:pStyle w:val="ListParagraph"/>
        <w:numPr>
          <w:ilvl w:val="0"/>
          <w:numId w:val="24"/>
        </w:numPr>
        <w:tabs>
          <w:tab w:val="left" w:pos="487"/>
          <w:tab w:val="left" w:pos="488"/>
        </w:tabs>
        <w:spacing w:line="223" w:lineRule="auto"/>
        <w:ind w:left="489" w:right="153" w:hanging="380"/>
        <w:rPr>
          <w:color w:val="1D1D1D"/>
          <w:sz w:val="18"/>
        </w:rPr>
      </w:pPr>
      <w:r>
        <w:rPr>
          <w:color w:val="212121"/>
          <w:sz w:val="18"/>
        </w:rPr>
        <w:t>In</w:t>
      </w:r>
      <w:r>
        <w:rPr>
          <w:color w:val="212121"/>
          <w:spacing w:val="-23"/>
          <w:sz w:val="18"/>
        </w:rPr>
        <w:t xml:space="preserve"> </w:t>
      </w:r>
      <w:r>
        <w:rPr>
          <w:sz w:val="18"/>
        </w:rPr>
        <w:t>the</w:t>
      </w:r>
      <w:r>
        <w:rPr>
          <w:spacing w:val="-19"/>
          <w:sz w:val="18"/>
        </w:rPr>
        <w:t xml:space="preserve"> </w:t>
      </w:r>
      <w:r>
        <w:rPr>
          <w:sz w:val="18"/>
        </w:rPr>
        <w:t>directors'</w:t>
      </w:r>
      <w:r>
        <w:rPr>
          <w:spacing w:val="-12"/>
          <w:sz w:val="18"/>
        </w:rPr>
        <w:t xml:space="preserve"> </w:t>
      </w:r>
      <w:r>
        <w:rPr>
          <w:color w:val="131313"/>
          <w:sz w:val="18"/>
        </w:rPr>
        <w:t>opinion,</w:t>
      </w:r>
      <w:r>
        <w:rPr>
          <w:color w:val="131313"/>
          <w:spacing w:val="-11"/>
          <w:sz w:val="18"/>
        </w:rPr>
        <w:t xml:space="preserve"> </w:t>
      </w:r>
      <w:r>
        <w:rPr>
          <w:color w:val="161616"/>
          <w:sz w:val="18"/>
        </w:rPr>
        <w:t>there</w:t>
      </w:r>
      <w:r>
        <w:rPr>
          <w:color w:val="161616"/>
          <w:spacing w:val="-14"/>
          <w:sz w:val="18"/>
        </w:rPr>
        <w:t xml:space="preserve"> </w:t>
      </w:r>
      <w:r>
        <w:rPr>
          <w:color w:val="0C0C0C"/>
          <w:sz w:val="18"/>
        </w:rPr>
        <w:t>are</w:t>
      </w:r>
      <w:r>
        <w:rPr>
          <w:color w:val="0C0C0C"/>
          <w:spacing w:val="-20"/>
          <w:sz w:val="18"/>
        </w:rPr>
        <w:t xml:space="preserve"> </w:t>
      </w:r>
      <w:r>
        <w:rPr>
          <w:color w:val="0E0E0E"/>
          <w:sz w:val="18"/>
        </w:rPr>
        <w:t>reasonable</w:t>
      </w:r>
      <w:r>
        <w:rPr>
          <w:color w:val="0E0E0E"/>
          <w:spacing w:val="-16"/>
          <w:sz w:val="18"/>
        </w:rPr>
        <w:t xml:space="preserve"> </w:t>
      </w:r>
      <w:r>
        <w:rPr>
          <w:color w:val="0C0C0C"/>
          <w:sz w:val="18"/>
        </w:rPr>
        <w:t>grounds</w:t>
      </w:r>
      <w:r>
        <w:rPr>
          <w:color w:val="0C0C0C"/>
          <w:spacing w:val="-13"/>
          <w:sz w:val="18"/>
        </w:rPr>
        <w:t xml:space="preserve"> </w:t>
      </w:r>
      <w:r>
        <w:rPr>
          <w:color w:val="1A1A1A"/>
          <w:sz w:val="18"/>
        </w:rPr>
        <w:t>to</w:t>
      </w:r>
      <w:r>
        <w:rPr>
          <w:color w:val="1A1A1A"/>
          <w:spacing w:val="-23"/>
          <w:sz w:val="18"/>
        </w:rPr>
        <w:t xml:space="preserve"> </w:t>
      </w:r>
      <w:r>
        <w:rPr>
          <w:color w:val="111111"/>
          <w:sz w:val="18"/>
        </w:rPr>
        <w:t>believe</w:t>
      </w:r>
      <w:r>
        <w:rPr>
          <w:color w:val="111111"/>
          <w:spacing w:val="-18"/>
          <w:sz w:val="18"/>
        </w:rPr>
        <w:t xml:space="preserve"> </w:t>
      </w:r>
      <w:r>
        <w:rPr>
          <w:color w:val="0F0F0F"/>
          <w:sz w:val="18"/>
        </w:rPr>
        <w:t>that</w:t>
      </w:r>
      <w:r>
        <w:rPr>
          <w:color w:val="0F0F0F"/>
          <w:spacing w:val="-19"/>
          <w:sz w:val="18"/>
        </w:rPr>
        <w:t xml:space="preserve"> </w:t>
      </w:r>
      <w:r>
        <w:rPr>
          <w:color w:val="111111"/>
          <w:sz w:val="18"/>
        </w:rPr>
        <w:t>the</w:t>
      </w:r>
      <w:r>
        <w:rPr>
          <w:color w:val="111111"/>
          <w:spacing w:val="-15"/>
          <w:sz w:val="18"/>
        </w:rPr>
        <w:t xml:space="preserve"> </w:t>
      </w:r>
      <w:r>
        <w:rPr>
          <w:color w:val="181818"/>
          <w:sz w:val="18"/>
        </w:rPr>
        <w:t>Company</w:t>
      </w:r>
      <w:r>
        <w:rPr>
          <w:color w:val="181818"/>
          <w:spacing w:val="-7"/>
          <w:sz w:val="18"/>
        </w:rPr>
        <w:t xml:space="preserve"> </w:t>
      </w:r>
      <w:r>
        <w:rPr>
          <w:color w:val="212121"/>
          <w:sz w:val="18"/>
        </w:rPr>
        <w:t>will</w:t>
      </w:r>
      <w:r>
        <w:rPr>
          <w:color w:val="212121"/>
          <w:spacing w:val="-22"/>
          <w:sz w:val="18"/>
        </w:rPr>
        <w:t xml:space="preserve"> </w:t>
      </w:r>
      <w:r>
        <w:rPr>
          <w:color w:val="1D1D1D"/>
          <w:sz w:val="18"/>
        </w:rPr>
        <w:t>be</w:t>
      </w:r>
      <w:r>
        <w:rPr>
          <w:color w:val="1D1D1D"/>
          <w:spacing w:val="-20"/>
          <w:sz w:val="18"/>
        </w:rPr>
        <w:t xml:space="preserve"> </w:t>
      </w:r>
      <w:r>
        <w:rPr>
          <w:color w:val="181818"/>
          <w:sz w:val="18"/>
        </w:rPr>
        <w:t>able</w:t>
      </w:r>
      <w:r>
        <w:rPr>
          <w:color w:val="181818"/>
          <w:spacing w:val="-20"/>
          <w:sz w:val="18"/>
        </w:rPr>
        <w:t xml:space="preserve"> </w:t>
      </w:r>
      <w:r>
        <w:rPr>
          <w:color w:val="1C1C1C"/>
          <w:sz w:val="18"/>
        </w:rPr>
        <w:t>to</w:t>
      </w:r>
      <w:r>
        <w:rPr>
          <w:color w:val="1C1C1C"/>
          <w:spacing w:val="-24"/>
          <w:sz w:val="18"/>
        </w:rPr>
        <w:t xml:space="preserve"> </w:t>
      </w:r>
      <w:r>
        <w:rPr>
          <w:color w:val="0F0F0F"/>
          <w:sz w:val="18"/>
        </w:rPr>
        <w:t>pay</w:t>
      </w:r>
      <w:r>
        <w:rPr>
          <w:color w:val="0F0F0F"/>
          <w:spacing w:val="-12"/>
          <w:sz w:val="18"/>
        </w:rPr>
        <w:t xml:space="preserve"> </w:t>
      </w:r>
      <w:r>
        <w:rPr>
          <w:sz w:val="18"/>
        </w:rPr>
        <w:t>its</w:t>
      </w:r>
      <w:r>
        <w:rPr>
          <w:spacing w:val="-19"/>
          <w:sz w:val="18"/>
        </w:rPr>
        <w:t xml:space="preserve"> </w:t>
      </w:r>
      <w:r>
        <w:rPr>
          <w:color w:val="0F0F0F"/>
          <w:sz w:val="18"/>
        </w:rPr>
        <w:t>debts</w:t>
      </w:r>
      <w:r>
        <w:rPr>
          <w:color w:val="0F0F0F"/>
          <w:spacing w:val="-17"/>
          <w:sz w:val="18"/>
        </w:rPr>
        <w:t xml:space="preserve"> </w:t>
      </w:r>
      <w:r>
        <w:rPr>
          <w:color w:val="1C1C1C"/>
          <w:sz w:val="18"/>
        </w:rPr>
        <w:t>as</w:t>
      </w:r>
      <w:r>
        <w:rPr>
          <w:color w:val="1C1C1C"/>
          <w:spacing w:val="-17"/>
          <w:sz w:val="18"/>
        </w:rPr>
        <w:t xml:space="preserve"> </w:t>
      </w:r>
      <w:r>
        <w:rPr>
          <w:color w:val="131313"/>
          <w:sz w:val="18"/>
        </w:rPr>
        <w:t>and</w:t>
      </w:r>
      <w:r>
        <w:rPr>
          <w:color w:val="151515"/>
          <w:sz w:val="18"/>
        </w:rPr>
        <w:t xml:space="preserve"> when </w:t>
      </w:r>
      <w:r>
        <w:rPr>
          <w:color w:val="242424"/>
          <w:sz w:val="18"/>
        </w:rPr>
        <w:t xml:space="preserve">they </w:t>
      </w:r>
      <w:r>
        <w:rPr>
          <w:sz w:val="18"/>
        </w:rPr>
        <w:t xml:space="preserve">become </w:t>
      </w:r>
      <w:r>
        <w:rPr>
          <w:color w:val="131313"/>
          <w:sz w:val="18"/>
        </w:rPr>
        <w:t xml:space="preserve">due </w:t>
      </w:r>
      <w:r>
        <w:rPr>
          <w:color w:val="161616"/>
          <w:sz w:val="18"/>
        </w:rPr>
        <w:t>and</w:t>
      </w:r>
      <w:r>
        <w:rPr>
          <w:color w:val="161616"/>
          <w:spacing w:val="7"/>
          <w:sz w:val="18"/>
        </w:rPr>
        <w:t xml:space="preserve"> </w:t>
      </w:r>
      <w:r>
        <w:rPr>
          <w:sz w:val="18"/>
        </w:rPr>
        <w:t>payable.</w:t>
      </w:r>
    </w:p>
    <w:p w14:paraId="7B77373C" w14:textId="77777777" w:rsidR="00FA4AA8" w:rsidRDefault="00FA4AA8">
      <w:pPr>
        <w:pStyle w:val="BodyText"/>
        <w:spacing w:before="3"/>
      </w:pPr>
    </w:p>
    <w:p w14:paraId="278EE42C" w14:textId="77777777" w:rsidR="00FA4AA8" w:rsidRDefault="0015611F">
      <w:pPr>
        <w:pStyle w:val="ListParagraph"/>
        <w:numPr>
          <w:ilvl w:val="0"/>
          <w:numId w:val="24"/>
        </w:numPr>
        <w:tabs>
          <w:tab w:val="left" w:pos="487"/>
          <w:tab w:val="left" w:pos="488"/>
        </w:tabs>
        <w:spacing w:line="223" w:lineRule="auto"/>
        <w:ind w:left="487" w:right="958" w:hanging="380"/>
        <w:rPr>
          <w:color w:val="262626"/>
          <w:sz w:val="18"/>
        </w:rPr>
      </w:pPr>
      <w:r>
        <w:rPr>
          <w:sz w:val="18"/>
        </w:rPr>
        <w:t>We</w:t>
      </w:r>
      <w:r>
        <w:rPr>
          <w:spacing w:val="-22"/>
          <w:sz w:val="18"/>
        </w:rPr>
        <w:t xml:space="preserve"> </w:t>
      </w:r>
      <w:r>
        <w:rPr>
          <w:color w:val="131313"/>
          <w:sz w:val="18"/>
        </w:rPr>
        <w:t>are</w:t>
      </w:r>
      <w:r>
        <w:rPr>
          <w:color w:val="131313"/>
          <w:spacing w:val="-20"/>
          <w:sz w:val="18"/>
        </w:rPr>
        <w:t xml:space="preserve"> </w:t>
      </w:r>
      <w:r>
        <w:rPr>
          <w:color w:val="0F0F0F"/>
          <w:sz w:val="18"/>
        </w:rPr>
        <w:t>not</w:t>
      </w:r>
      <w:r>
        <w:rPr>
          <w:color w:val="0F0F0F"/>
          <w:spacing w:val="-19"/>
          <w:sz w:val="18"/>
        </w:rPr>
        <w:t xml:space="preserve"> </w:t>
      </w:r>
      <w:r>
        <w:rPr>
          <w:sz w:val="18"/>
        </w:rPr>
        <w:t>aware</w:t>
      </w:r>
      <w:r>
        <w:rPr>
          <w:spacing w:val="-19"/>
          <w:sz w:val="18"/>
        </w:rPr>
        <w:t xml:space="preserve"> </w:t>
      </w:r>
      <w:r>
        <w:rPr>
          <w:sz w:val="18"/>
        </w:rPr>
        <w:t>of</w:t>
      </w:r>
      <w:r>
        <w:rPr>
          <w:spacing w:val="-21"/>
          <w:sz w:val="18"/>
        </w:rPr>
        <w:t xml:space="preserve"> </w:t>
      </w:r>
      <w:r>
        <w:rPr>
          <w:sz w:val="18"/>
        </w:rPr>
        <w:t>any</w:t>
      </w:r>
      <w:r>
        <w:rPr>
          <w:spacing w:val="-18"/>
          <w:sz w:val="18"/>
        </w:rPr>
        <w:t xml:space="preserve"> </w:t>
      </w:r>
      <w:r>
        <w:rPr>
          <w:color w:val="111111"/>
          <w:sz w:val="18"/>
        </w:rPr>
        <w:t>circumstances</w:t>
      </w:r>
      <w:r>
        <w:rPr>
          <w:color w:val="111111"/>
          <w:spacing w:val="-10"/>
          <w:sz w:val="18"/>
        </w:rPr>
        <w:t xml:space="preserve"> </w:t>
      </w:r>
      <w:r>
        <w:rPr>
          <w:sz w:val="18"/>
        </w:rPr>
        <w:t>which</w:t>
      </w:r>
      <w:r>
        <w:rPr>
          <w:spacing w:val="-14"/>
          <w:sz w:val="18"/>
        </w:rPr>
        <w:t xml:space="preserve"> </w:t>
      </w:r>
      <w:r>
        <w:rPr>
          <w:sz w:val="18"/>
        </w:rPr>
        <w:t>would</w:t>
      </w:r>
      <w:r>
        <w:rPr>
          <w:spacing w:val="-19"/>
          <w:sz w:val="18"/>
        </w:rPr>
        <w:t xml:space="preserve"> </w:t>
      </w:r>
      <w:r>
        <w:rPr>
          <w:color w:val="131313"/>
          <w:sz w:val="18"/>
        </w:rPr>
        <w:t>render</w:t>
      </w:r>
      <w:r>
        <w:rPr>
          <w:color w:val="131313"/>
          <w:spacing w:val="-19"/>
          <w:sz w:val="18"/>
        </w:rPr>
        <w:t xml:space="preserve"> </w:t>
      </w:r>
      <w:r>
        <w:rPr>
          <w:color w:val="1F1F1F"/>
          <w:sz w:val="18"/>
        </w:rPr>
        <w:t>any</w:t>
      </w:r>
      <w:r>
        <w:rPr>
          <w:color w:val="1F1F1F"/>
          <w:spacing w:val="-21"/>
          <w:sz w:val="18"/>
        </w:rPr>
        <w:t xml:space="preserve"> </w:t>
      </w:r>
      <w:r>
        <w:rPr>
          <w:color w:val="0C0C0C"/>
          <w:sz w:val="18"/>
        </w:rPr>
        <w:t>particulars</w:t>
      </w:r>
      <w:r>
        <w:rPr>
          <w:color w:val="0C0C0C"/>
          <w:spacing w:val="-14"/>
          <w:sz w:val="18"/>
        </w:rPr>
        <w:t xml:space="preserve"> </w:t>
      </w:r>
      <w:r>
        <w:rPr>
          <w:color w:val="242424"/>
          <w:sz w:val="18"/>
        </w:rPr>
        <w:t>in</w:t>
      </w:r>
      <w:r>
        <w:rPr>
          <w:color w:val="242424"/>
          <w:spacing w:val="-25"/>
          <w:sz w:val="18"/>
        </w:rPr>
        <w:t xml:space="preserve"> </w:t>
      </w:r>
      <w:r>
        <w:rPr>
          <w:color w:val="232323"/>
          <w:sz w:val="18"/>
        </w:rPr>
        <w:t>the</w:t>
      </w:r>
      <w:r>
        <w:rPr>
          <w:color w:val="232323"/>
          <w:spacing w:val="-19"/>
          <w:sz w:val="18"/>
        </w:rPr>
        <w:t xml:space="preserve"> </w:t>
      </w:r>
      <w:r>
        <w:rPr>
          <w:sz w:val="18"/>
        </w:rPr>
        <w:t>financial</w:t>
      </w:r>
      <w:r>
        <w:rPr>
          <w:spacing w:val="-15"/>
          <w:sz w:val="18"/>
        </w:rPr>
        <w:t xml:space="preserve"> </w:t>
      </w:r>
      <w:r>
        <w:rPr>
          <w:sz w:val="18"/>
        </w:rPr>
        <w:t>statements</w:t>
      </w:r>
      <w:r>
        <w:rPr>
          <w:spacing w:val="-14"/>
          <w:sz w:val="18"/>
        </w:rPr>
        <w:t xml:space="preserve"> </w:t>
      </w:r>
      <w:r>
        <w:rPr>
          <w:color w:val="212121"/>
          <w:sz w:val="18"/>
        </w:rPr>
        <w:t>to</w:t>
      </w:r>
      <w:r>
        <w:rPr>
          <w:color w:val="212121"/>
          <w:spacing w:val="-23"/>
          <w:sz w:val="18"/>
        </w:rPr>
        <w:t xml:space="preserve"> </w:t>
      </w:r>
      <w:r>
        <w:rPr>
          <w:sz w:val="18"/>
        </w:rPr>
        <w:t>be misleading or</w:t>
      </w:r>
      <w:r>
        <w:rPr>
          <w:spacing w:val="14"/>
          <w:sz w:val="18"/>
        </w:rPr>
        <w:t xml:space="preserve"> </w:t>
      </w:r>
      <w:r>
        <w:rPr>
          <w:sz w:val="18"/>
        </w:rPr>
        <w:t>inaccurate.</w:t>
      </w:r>
    </w:p>
    <w:p w14:paraId="2FD42AB3" w14:textId="77777777" w:rsidR="00FA4AA8" w:rsidRDefault="00FA4AA8">
      <w:pPr>
        <w:pStyle w:val="BodyText"/>
        <w:spacing w:before="4"/>
        <w:rPr>
          <w:sz w:val="24"/>
        </w:rPr>
      </w:pPr>
    </w:p>
    <w:p w14:paraId="7976F023" w14:textId="77777777" w:rsidR="00FA4AA8" w:rsidRDefault="0015611F">
      <w:pPr>
        <w:pStyle w:val="BodyText"/>
        <w:ind w:left="111"/>
      </w:pPr>
      <w:r>
        <w:rPr>
          <w:noProof/>
          <w:lang w:val="en-AU" w:eastAsia="en-AU"/>
        </w:rPr>
        <w:drawing>
          <wp:anchor distT="0" distB="0" distL="0" distR="0" simplePos="0" relativeHeight="462816768" behindDoc="1" locked="0" layoutInCell="1" allowOverlap="1" wp14:anchorId="3A0A44F2" wp14:editId="3703B9ED">
            <wp:simplePos x="0" y="0"/>
            <wp:positionH relativeFrom="page">
              <wp:posOffset>1210055</wp:posOffset>
            </wp:positionH>
            <wp:positionV relativeFrom="paragraph">
              <wp:posOffset>18819</wp:posOffset>
            </wp:positionV>
            <wp:extent cx="5026152" cy="1359407"/>
            <wp:effectExtent l="0" t="0" r="0" b="0"/>
            <wp:wrapNone/>
            <wp:docPr id="149"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90.jpeg"/>
                    <pic:cNvPicPr/>
                  </pic:nvPicPr>
                  <pic:blipFill>
                    <a:blip r:embed="rId277" cstate="print"/>
                    <a:stretch>
                      <a:fillRect/>
                    </a:stretch>
                  </pic:blipFill>
                  <pic:spPr>
                    <a:xfrm>
                      <a:off x="0" y="0"/>
                      <a:ext cx="5026152" cy="1359407"/>
                    </a:xfrm>
                    <a:prstGeom prst="rect">
                      <a:avLst/>
                    </a:prstGeom>
                  </pic:spPr>
                </pic:pic>
              </a:graphicData>
            </a:graphic>
          </wp:anchor>
        </w:drawing>
      </w:r>
      <w:r>
        <w:rPr>
          <w:color w:val="0F0F0F"/>
          <w:spacing w:val="-1"/>
          <w:w w:val="94"/>
        </w:rPr>
        <w:t>Thi</w:t>
      </w:r>
      <w:r>
        <w:rPr>
          <w:color w:val="0F0F0F"/>
          <w:w w:val="94"/>
        </w:rPr>
        <w:t>s</w:t>
      </w:r>
      <w:r>
        <w:rPr>
          <w:color w:val="0F0F0F"/>
          <w:spacing w:val="3"/>
        </w:rPr>
        <w:t xml:space="preserve"> </w:t>
      </w:r>
      <w:r>
        <w:rPr>
          <w:spacing w:val="-1"/>
          <w:w w:val="95"/>
        </w:rPr>
        <w:t>declaratio</w:t>
      </w:r>
      <w:r>
        <w:rPr>
          <w:w w:val="95"/>
        </w:rPr>
        <w:t>n</w:t>
      </w:r>
      <w:r>
        <w:rPr>
          <w:spacing w:val="14"/>
        </w:rPr>
        <w:t xml:space="preserve"> </w:t>
      </w:r>
      <w:r>
        <w:rPr>
          <w:color w:val="181818"/>
          <w:spacing w:val="-1"/>
          <w:w w:val="97"/>
        </w:rPr>
        <w:t>i</w:t>
      </w:r>
      <w:r>
        <w:rPr>
          <w:color w:val="181818"/>
          <w:w w:val="97"/>
        </w:rPr>
        <w:t>s</w:t>
      </w:r>
      <w:r>
        <w:rPr>
          <w:color w:val="181818"/>
          <w:spacing w:val="-4"/>
        </w:rPr>
        <w:t xml:space="preserve"> </w:t>
      </w:r>
      <w:r>
        <w:rPr>
          <w:w w:val="95"/>
        </w:rPr>
        <w:t>made</w:t>
      </w:r>
      <w:r>
        <w:rPr>
          <w:spacing w:val="7"/>
        </w:rPr>
        <w:t xml:space="preserve"> </w:t>
      </w:r>
      <w:r>
        <w:rPr>
          <w:spacing w:val="-1"/>
          <w:w w:val="98"/>
        </w:rPr>
        <w:t>i</w:t>
      </w:r>
      <w:r>
        <w:rPr>
          <w:w w:val="98"/>
        </w:rPr>
        <w:t>n</w:t>
      </w:r>
      <w:r>
        <w:rPr>
          <w:spacing w:val="-5"/>
        </w:rPr>
        <w:t xml:space="preserve"> </w:t>
      </w:r>
      <w:r>
        <w:rPr>
          <w:spacing w:val="-1"/>
          <w:w w:val="95"/>
        </w:rPr>
        <w:t>accordanc</w:t>
      </w:r>
      <w:r>
        <w:rPr>
          <w:w w:val="95"/>
        </w:rPr>
        <w:t>e</w:t>
      </w:r>
      <w:r>
        <w:rPr>
          <w:spacing w:val="22"/>
        </w:rPr>
        <w:t xml:space="preserve"> </w:t>
      </w:r>
      <w:r>
        <w:rPr>
          <w:spacing w:val="-1"/>
          <w:w w:val="95"/>
        </w:rPr>
        <w:t>wit</w:t>
      </w:r>
      <w:r>
        <w:rPr>
          <w:w w:val="95"/>
        </w:rPr>
        <w:t>h</w:t>
      </w:r>
      <w:r>
        <w:rPr>
          <w:spacing w:val="-1"/>
        </w:rPr>
        <w:t xml:space="preserve"> </w:t>
      </w:r>
      <w:r>
        <w:rPr>
          <w:color w:val="1C1C1C"/>
          <w:w w:val="93"/>
        </w:rPr>
        <w:t>a</w:t>
      </w:r>
      <w:r>
        <w:rPr>
          <w:color w:val="1C1C1C"/>
          <w:spacing w:val="5"/>
        </w:rPr>
        <w:t xml:space="preserve"> </w:t>
      </w:r>
      <w:r>
        <w:rPr>
          <w:color w:val="0C0C0C"/>
          <w:w w:val="95"/>
        </w:rPr>
        <w:t>resolution</w:t>
      </w:r>
      <w:r>
        <w:rPr>
          <w:color w:val="0C0C0C"/>
          <w:spacing w:val="11"/>
        </w:rPr>
        <w:t xml:space="preserve"> </w:t>
      </w:r>
      <w:r>
        <w:rPr>
          <w:color w:val="131313"/>
          <w:spacing w:val="-1"/>
        </w:rPr>
        <w:t>o</w:t>
      </w:r>
      <w:r>
        <w:rPr>
          <w:color w:val="131313"/>
        </w:rPr>
        <w:t>f</w:t>
      </w:r>
      <w:r>
        <w:rPr>
          <w:color w:val="131313"/>
          <w:spacing w:val="-10"/>
        </w:rPr>
        <w:t xml:space="preserve"> </w:t>
      </w:r>
      <w:r>
        <w:rPr>
          <w:spacing w:val="-1"/>
          <w:w w:val="98"/>
        </w:rPr>
        <w:t>th</w:t>
      </w:r>
      <w:r>
        <w:rPr>
          <w:w w:val="98"/>
        </w:rPr>
        <w:t>e</w:t>
      </w:r>
      <w:r>
        <w:rPr>
          <w:spacing w:val="2"/>
        </w:rPr>
        <w:t xml:space="preserve"> </w:t>
      </w:r>
      <w:r>
        <w:rPr>
          <w:spacing w:val="-1"/>
          <w:w w:val="94"/>
        </w:rPr>
        <w:t>Boar</w:t>
      </w:r>
      <w:r>
        <w:rPr>
          <w:w w:val="94"/>
        </w:rPr>
        <w:t>d</w:t>
      </w:r>
      <w:r>
        <w:t xml:space="preserve"> </w:t>
      </w:r>
      <w:r>
        <w:rPr>
          <w:color w:val="2A2A2A"/>
          <w:spacing w:val="-1"/>
        </w:rPr>
        <w:t>o</w:t>
      </w:r>
      <w:r w:rsidR="007719AF">
        <w:rPr>
          <w:color w:val="2A2A2A"/>
        </w:rPr>
        <w:t>f Directors</w:t>
      </w:r>
      <w:r w:rsidR="007719AF">
        <w:rPr>
          <w:color w:val="1C1C1C"/>
          <w:spacing w:val="16"/>
          <w:w w:val="219"/>
        </w:rPr>
        <w:t>,</w:t>
      </w:r>
      <w:r w:rsidR="007719AF">
        <w:rPr>
          <w:spacing w:val="-1"/>
          <w:w w:val="96"/>
        </w:rPr>
        <w:t xml:space="preserve"> pursuant</w:t>
      </w:r>
      <w:r>
        <w:rPr>
          <w:spacing w:val="1"/>
        </w:rPr>
        <w:t xml:space="preserve"> </w:t>
      </w:r>
      <w:r>
        <w:rPr>
          <w:color w:val="1C1C1C"/>
          <w:spacing w:val="-1"/>
          <w:w w:val="101"/>
        </w:rPr>
        <w:t>t</w:t>
      </w:r>
      <w:r>
        <w:rPr>
          <w:color w:val="1C1C1C"/>
          <w:w w:val="101"/>
        </w:rPr>
        <w:t>o</w:t>
      </w:r>
      <w:r>
        <w:rPr>
          <w:color w:val="1C1C1C"/>
          <w:spacing w:val="-3"/>
        </w:rPr>
        <w:t xml:space="preserve"> </w:t>
      </w:r>
      <w:r>
        <w:rPr>
          <w:w w:val="95"/>
        </w:rPr>
        <w:t>section</w:t>
      </w:r>
      <w:r>
        <w:rPr>
          <w:spacing w:val="3"/>
        </w:rPr>
        <w:t xml:space="preserve"> </w:t>
      </w:r>
      <w:r>
        <w:rPr>
          <w:color w:val="161616"/>
          <w:spacing w:val="-1"/>
          <w:w w:val="96"/>
        </w:rPr>
        <w:t>295</w:t>
      </w:r>
      <w:r>
        <w:rPr>
          <w:color w:val="161616"/>
          <w:w w:val="96"/>
        </w:rPr>
        <w:t>(</w:t>
      </w:r>
      <w:r>
        <w:rPr>
          <w:color w:val="161616"/>
          <w:spacing w:val="-1"/>
          <w:w w:val="96"/>
        </w:rPr>
        <w:t>4</w:t>
      </w:r>
      <w:r>
        <w:rPr>
          <w:color w:val="161616"/>
          <w:w w:val="96"/>
        </w:rPr>
        <w:t>)</w:t>
      </w:r>
      <w:r>
        <w:rPr>
          <w:color w:val="161616"/>
          <w:spacing w:val="6"/>
        </w:rPr>
        <w:t xml:space="preserve"> </w:t>
      </w:r>
      <w:r>
        <w:rPr>
          <w:color w:val="282828"/>
          <w:spacing w:val="-1"/>
          <w:w w:val="97"/>
        </w:rPr>
        <w:t>o</w:t>
      </w:r>
      <w:r>
        <w:rPr>
          <w:color w:val="282828"/>
          <w:w w:val="97"/>
        </w:rPr>
        <w:t>f</w:t>
      </w:r>
      <w:r>
        <w:rPr>
          <w:color w:val="282828"/>
          <w:spacing w:val="-6"/>
        </w:rPr>
        <w:t xml:space="preserve"> </w:t>
      </w:r>
      <w:r>
        <w:rPr>
          <w:color w:val="181818"/>
          <w:spacing w:val="-1"/>
          <w:w w:val="96"/>
        </w:rPr>
        <w:t>the</w:t>
      </w:r>
    </w:p>
    <w:p w14:paraId="62E76A1F" w14:textId="77777777" w:rsidR="00FA4AA8" w:rsidRDefault="00FA4AA8">
      <w:pPr>
        <w:pStyle w:val="BodyText"/>
        <w:rPr>
          <w:sz w:val="20"/>
        </w:rPr>
      </w:pPr>
    </w:p>
    <w:p w14:paraId="62DF0765" w14:textId="77777777" w:rsidR="00FA4AA8" w:rsidRDefault="00FA4AA8">
      <w:pPr>
        <w:pStyle w:val="BodyText"/>
        <w:rPr>
          <w:sz w:val="20"/>
        </w:rPr>
      </w:pPr>
    </w:p>
    <w:p w14:paraId="212B8942" w14:textId="77777777" w:rsidR="00FA4AA8" w:rsidRDefault="00FA4AA8">
      <w:pPr>
        <w:pStyle w:val="BodyText"/>
        <w:rPr>
          <w:sz w:val="20"/>
        </w:rPr>
      </w:pPr>
    </w:p>
    <w:p w14:paraId="1E3D5B1B" w14:textId="77777777" w:rsidR="00FA4AA8" w:rsidRDefault="00FA4AA8">
      <w:pPr>
        <w:pStyle w:val="BodyText"/>
        <w:rPr>
          <w:sz w:val="20"/>
        </w:rPr>
      </w:pPr>
    </w:p>
    <w:p w14:paraId="32DCE224" w14:textId="77777777" w:rsidR="00FA4AA8" w:rsidRDefault="00FA4AA8">
      <w:pPr>
        <w:pStyle w:val="BodyText"/>
        <w:rPr>
          <w:sz w:val="20"/>
        </w:rPr>
      </w:pPr>
    </w:p>
    <w:p w14:paraId="5EDC55EB" w14:textId="77777777" w:rsidR="00FA4AA8" w:rsidRDefault="00FA4AA8">
      <w:pPr>
        <w:pStyle w:val="BodyText"/>
        <w:spacing w:before="8"/>
        <w:rPr>
          <w:sz w:val="22"/>
        </w:rPr>
      </w:pPr>
    </w:p>
    <w:p w14:paraId="45D90637" w14:textId="77777777" w:rsidR="00FA4AA8" w:rsidRDefault="0015611F">
      <w:pPr>
        <w:pStyle w:val="BodyText"/>
        <w:tabs>
          <w:tab w:val="left" w:pos="4920"/>
        </w:tabs>
        <w:ind w:left="149"/>
      </w:pPr>
      <w:r>
        <w:rPr>
          <w:position w:val="1"/>
        </w:rPr>
        <w:t>Director</w:t>
      </w:r>
      <w:r>
        <w:rPr>
          <w:position w:val="1"/>
        </w:rPr>
        <w:tab/>
      </w:r>
      <w:r>
        <w:t>Director</w:t>
      </w:r>
    </w:p>
    <w:p w14:paraId="31D050C3" w14:textId="77777777" w:rsidR="00FA4AA8" w:rsidRDefault="00FA4AA8">
      <w:pPr>
        <w:pStyle w:val="BodyText"/>
        <w:rPr>
          <w:sz w:val="20"/>
        </w:rPr>
      </w:pPr>
    </w:p>
    <w:p w14:paraId="1FB70815" w14:textId="77777777" w:rsidR="00FA4AA8" w:rsidRDefault="0015611F">
      <w:pPr>
        <w:pStyle w:val="BodyText"/>
        <w:spacing w:before="1"/>
        <w:rPr>
          <w:sz w:val="27"/>
        </w:rPr>
      </w:pPr>
      <w:r>
        <w:rPr>
          <w:noProof/>
          <w:lang w:val="en-AU" w:eastAsia="en-AU"/>
        </w:rPr>
        <w:drawing>
          <wp:anchor distT="0" distB="0" distL="0" distR="0" simplePos="0" relativeHeight="195" behindDoc="0" locked="0" layoutInCell="1" allowOverlap="1" wp14:anchorId="250093EA" wp14:editId="2237312E">
            <wp:simplePos x="0" y="0"/>
            <wp:positionH relativeFrom="page">
              <wp:posOffset>768095</wp:posOffset>
            </wp:positionH>
            <wp:positionV relativeFrom="paragraph">
              <wp:posOffset>222939</wp:posOffset>
            </wp:positionV>
            <wp:extent cx="1749552" cy="225551"/>
            <wp:effectExtent l="0" t="0" r="0" b="0"/>
            <wp:wrapTopAndBottom/>
            <wp:docPr id="151"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91.jpeg"/>
                    <pic:cNvPicPr/>
                  </pic:nvPicPr>
                  <pic:blipFill>
                    <a:blip r:embed="rId278" cstate="print"/>
                    <a:stretch>
                      <a:fillRect/>
                    </a:stretch>
                  </pic:blipFill>
                  <pic:spPr>
                    <a:xfrm>
                      <a:off x="0" y="0"/>
                      <a:ext cx="1749552" cy="225551"/>
                    </a:xfrm>
                    <a:prstGeom prst="rect">
                      <a:avLst/>
                    </a:prstGeom>
                  </pic:spPr>
                </pic:pic>
              </a:graphicData>
            </a:graphic>
          </wp:anchor>
        </w:drawing>
      </w:r>
    </w:p>
    <w:p w14:paraId="4BBDCCCB" w14:textId="77777777" w:rsidR="00FA4AA8" w:rsidRDefault="00FA4AA8">
      <w:pPr>
        <w:rPr>
          <w:sz w:val="27"/>
        </w:rPr>
        <w:sectPr w:rsidR="00FA4AA8">
          <w:headerReference w:type="default" r:id="rId279"/>
          <w:footerReference w:type="default" r:id="rId280"/>
          <w:pgSz w:w="11910" w:h="16850"/>
          <w:pgMar w:top="1820" w:right="1100" w:bottom="720" w:left="1080" w:header="1269" w:footer="523" w:gutter="0"/>
          <w:pgNumType w:start="230"/>
          <w:cols w:space="720"/>
        </w:sectPr>
      </w:pPr>
    </w:p>
    <w:p w14:paraId="4B66664E" w14:textId="77777777" w:rsidR="00FA4AA8" w:rsidRDefault="00FA4AA8">
      <w:pPr>
        <w:pStyle w:val="BodyText"/>
        <w:spacing w:before="7"/>
        <w:rPr>
          <w:sz w:val="20"/>
        </w:rPr>
      </w:pPr>
    </w:p>
    <w:p w14:paraId="326FA105" w14:textId="77777777" w:rsidR="00FA4AA8" w:rsidRDefault="0015611F">
      <w:pPr>
        <w:pStyle w:val="Heading3"/>
      </w:pPr>
      <w:r>
        <w:rPr>
          <w:color w:val="161616"/>
        </w:rPr>
        <w:t xml:space="preserve">Responsible </w:t>
      </w:r>
      <w:r>
        <w:rPr>
          <w:color w:val="1C1C1C"/>
        </w:rPr>
        <w:t xml:space="preserve">Entities' </w:t>
      </w:r>
      <w:r>
        <w:rPr>
          <w:color w:val="131313"/>
        </w:rPr>
        <w:t>Declaration</w:t>
      </w:r>
    </w:p>
    <w:p w14:paraId="7F80F8C1" w14:textId="77777777" w:rsidR="00FA4AA8" w:rsidRDefault="00FA4AA8">
      <w:pPr>
        <w:pStyle w:val="BodyText"/>
        <w:rPr>
          <w:b/>
          <w:sz w:val="30"/>
        </w:rPr>
      </w:pPr>
    </w:p>
    <w:p w14:paraId="11D4104F" w14:textId="77777777" w:rsidR="00FA4AA8" w:rsidRDefault="00FA4AA8">
      <w:pPr>
        <w:pStyle w:val="BodyText"/>
        <w:spacing w:before="2"/>
        <w:rPr>
          <w:b/>
          <w:sz w:val="29"/>
        </w:rPr>
      </w:pPr>
    </w:p>
    <w:p w14:paraId="0F82547C" w14:textId="77777777" w:rsidR="00FA4AA8" w:rsidRDefault="0015611F">
      <w:pPr>
        <w:pStyle w:val="BodyText"/>
        <w:ind w:left="106"/>
      </w:pPr>
      <w:r>
        <w:rPr>
          <w:color w:val="1A1A1A"/>
        </w:rPr>
        <w:t xml:space="preserve">The </w:t>
      </w:r>
      <w:r>
        <w:t xml:space="preserve">responsible </w:t>
      </w:r>
      <w:r>
        <w:rPr>
          <w:color w:val="111111"/>
        </w:rPr>
        <w:t xml:space="preserve">entities </w:t>
      </w:r>
      <w:r>
        <w:t xml:space="preserve">declare </w:t>
      </w:r>
      <w:r>
        <w:rPr>
          <w:color w:val="111111"/>
        </w:rPr>
        <w:t xml:space="preserve">that </w:t>
      </w:r>
      <w:r>
        <w:rPr>
          <w:color w:val="343434"/>
        </w:rPr>
        <w:t xml:space="preserve">in </w:t>
      </w:r>
      <w:r>
        <w:t xml:space="preserve">the responsible entities' </w:t>
      </w:r>
      <w:r>
        <w:rPr>
          <w:color w:val="1C1C1C"/>
        </w:rPr>
        <w:t>opinion:</w:t>
      </w:r>
    </w:p>
    <w:p w14:paraId="15EFCBDA" w14:textId="77777777" w:rsidR="00FA4AA8" w:rsidRDefault="00FA4AA8">
      <w:pPr>
        <w:pStyle w:val="BodyText"/>
        <w:rPr>
          <w:sz w:val="20"/>
        </w:rPr>
      </w:pPr>
    </w:p>
    <w:p w14:paraId="2B6C2384" w14:textId="77777777" w:rsidR="00FA4AA8" w:rsidRDefault="0015611F">
      <w:pPr>
        <w:pStyle w:val="ListParagraph"/>
        <w:numPr>
          <w:ilvl w:val="0"/>
          <w:numId w:val="23"/>
        </w:numPr>
        <w:tabs>
          <w:tab w:val="left" w:pos="765"/>
          <w:tab w:val="left" w:pos="766"/>
        </w:tabs>
        <w:spacing w:before="141" w:line="223" w:lineRule="auto"/>
        <w:ind w:right="330" w:hanging="648"/>
        <w:rPr>
          <w:sz w:val="18"/>
        </w:rPr>
      </w:pPr>
      <w:r>
        <w:rPr>
          <w:color w:val="181818"/>
          <w:sz w:val="18"/>
        </w:rPr>
        <w:t>there</w:t>
      </w:r>
      <w:r>
        <w:rPr>
          <w:color w:val="181818"/>
          <w:spacing w:val="-16"/>
          <w:sz w:val="18"/>
        </w:rPr>
        <w:t xml:space="preserve"> </w:t>
      </w:r>
      <w:r>
        <w:rPr>
          <w:color w:val="111111"/>
          <w:sz w:val="18"/>
        </w:rPr>
        <w:t>are</w:t>
      </w:r>
      <w:r>
        <w:rPr>
          <w:color w:val="111111"/>
          <w:spacing w:val="-22"/>
          <w:sz w:val="18"/>
        </w:rPr>
        <w:t xml:space="preserve"> </w:t>
      </w:r>
      <w:r>
        <w:rPr>
          <w:sz w:val="18"/>
        </w:rPr>
        <w:t>reasonable</w:t>
      </w:r>
      <w:r>
        <w:rPr>
          <w:spacing w:val="-12"/>
          <w:sz w:val="18"/>
        </w:rPr>
        <w:t xml:space="preserve"> </w:t>
      </w:r>
      <w:r>
        <w:rPr>
          <w:color w:val="131313"/>
          <w:sz w:val="18"/>
        </w:rPr>
        <w:t>grounds</w:t>
      </w:r>
      <w:r>
        <w:rPr>
          <w:color w:val="131313"/>
          <w:spacing w:val="-11"/>
          <w:sz w:val="18"/>
        </w:rPr>
        <w:t xml:space="preserve"> </w:t>
      </w:r>
      <w:r>
        <w:rPr>
          <w:color w:val="262626"/>
          <w:sz w:val="18"/>
        </w:rPr>
        <w:t>to</w:t>
      </w:r>
      <w:r>
        <w:rPr>
          <w:color w:val="262626"/>
          <w:spacing w:val="-17"/>
          <w:sz w:val="18"/>
        </w:rPr>
        <w:t xml:space="preserve"> </w:t>
      </w:r>
      <w:r>
        <w:rPr>
          <w:sz w:val="18"/>
        </w:rPr>
        <w:t>believe</w:t>
      </w:r>
      <w:r>
        <w:rPr>
          <w:spacing w:val="-13"/>
          <w:sz w:val="18"/>
        </w:rPr>
        <w:t xml:space="preserve"> </w:t>
      </w:r>
      <w:r>
        <w:rPr>
          <w:sz w:val="18"/>
        </w:rPr>
        <w:t>that</w:t>
      </w:r>
      <w:r>
        <w:rPr>
          <w:spacing w:val="-17"/>
          <w:sz w:val="18"/>
        </w:rPr>
        <w:t xml:space="preserve"> </w:t>
      </w:r>
      <w:r>
        <w:rPr>
          <w:sz w:val="18"/>
        </w:rPr>
        <w:t>the</w:t>
      </w:r>
      <w:r>
        <w:rPr>
          <w:spacing w:val="-12"/>
          <w:sz w:val="18"/>
        </w:rPr>
        <w:t xml:space="preserve"> </w:t>
      </w:r>
      <w:r>
        <w:rPr>
          <w:sz w:val="18"/>
        </w:rPr>
        <w:t>registered</w:t>
      </w:r>
      <w:r>
        <w:rPr>
          <w:spacing w:val="-12"/>
          <w:sz w:val="18"/>
        </w:rPr>
        <w:t xml:space="preserve"> </w:t>
      </w:r>
      <w:r>
        <w:rPr>
          <w:color w:val="111111"/>
          <w:sz w:val="18"/>
        </w:rPr>
        <w:t>entity</w:t>
      </w:r>
      <w:r>
        <w:rPr>
          <w:color w:val="111111"/>
          <w:spacing w:val="-16"/>
          <w:sz w:val="18"/>
        </w:rPr>
        <w:t xml:space="preserve"> </w:t>
      </w:r>
      <w:r>
        <w:rPr>
          <w:color w:val="1C1C1C"/>
          <w:sz w:val="18"/>
        </w:rPr>
        <w:t>is</w:t>
      </w:r>
      <w:r>
        <w:rPr>
          <w:color w:val="1C1C1C"/>
          <w:spacing w:val="-21"/>
          <w:sz w:val="18"/>
        </w:rPr>
        <w:t xml:space="preserve"> </w:t>
      </w:r>
      <w:r>
        <w:rPr>
          <w:color w:val="0F0F0F"/>
          <w:sz w:val="18"/>
        </w:rPr>
        <w:t>able</w:t>
      </w:r>
      <w:r>
        <w:rPr>
          <w:color w:val="0F0F0F"/>
          <w:spacing w:val="-14"/>
          <w:sz w:val="18"/>
        </w:rPr>
        <w:t xml:space="preserve"> </w:t>
      </w:r>
      <w:r>
        <w:rPr>
          <w:color w:val="131313"/>
          <w:sz w:val="18"/>
        </w:rPr>
        <w:t>to</w:t>
      </w:r>
      <w:r>
        <w:rPr>
          <w:color w:val="131313"/>
          <w:spacing w:val="-24"/>
          <w:sz w:val="18"/>
        </w:rPr>
        <w:t xml:space="preserve"> </w:t>
      </w:r>
      <w:r>
        <w:rPr>
          <w:color w:val="1D1D1D"/>
          <w:sz w:val="18"/>
        </w:rPr>
        <w:t>pay</w:t>
      </w:r>
      <w:r>
        <w:rPr>
          <w:color w:val="1D1D1D"/>
          <w:spacing w:val="-11"/>
          <w:sz w:val="18"/>
        </w:rPr>
        <w:t xml:space="preserve"> </w:t>
      </w:r>
      <w:r>
        <w:rPr>
          <w:color w:val="212121"/>
          <w:sz w:val="18"/>
        </w:rPr>
        <w:t>all</w:t>
      </w:r>
      <w:r>
        <w:rPr>
          <w:color w:val="212121"/>
          <w:spacing w:val="-22"/>
          <w:sz w:val="18"/>
        </w:rPr>
        <w:t xml:space="preserve"> </w:t>
      </w:r>
      <w:r>
        <w:rPr>
          <w:color w:val="1A1A1A"/>
          <w:sz w:val="18"/>
        </w:rPr>
        <w:t>of</w:t>
      </w:r>
      <w:r>
        <w:rPr>
          <w:color w:val="1A1A1A"/>
          <w:spacing w:val="-21"/>
          <w:sz w:val="18"/>
        </w:rPr>
        <w:t xml:space="preserve"> </w:t>
      </w:r>
      <w:r>
        <w:rPr>
          <w:color w:val="131313"/>
          <w:sz w:val="18"/>
        </w:rPr>
        <w:t>its</w:t>
      </w:r>
      <w:r>
        <w:rPr>
          <w:color w:val="131313"/>
          <w:spacing w:val="-18"/>
          <w:sz w:val="18"/>
        </w:rPr>
        <w:t xml:space="preserve"> </w:t>
      </w:r>
      <w:r>
        <w:rPr>
          <w:color w:val="111111"/>
          <w:sz w:val="18"/>
        </w:rPr>
        <w:t>debts,</w:t>
      </w:r>
      <w:r>
        <w:rPr>
          <w:color w:val="111111"/>
          <w:spacing w:val="-11"/>
          <w:sz w:val="18"/>
        </w:rPr>
        <w:t xml:space="preserve"> </w:t>
      </w:r>
      <w:r>
        <w:rPr>
          <w:color w:val="0F0F0F"/>
          <w:sz w:val="18"/>
        </w:rPr>
        <w:t>as</w:t>
      </w:r>
      <w:r>
        <w:rPr>
          <w:color w:val="0F0F0F"/>
          <w:spacing w:val="-19"/>
          <w:sz w:val="18"/>
        </w:rPr>
        <w:t xml:space="preserve"> </w:t>
      </w:r>
      <w:r>
        <w:rPr>
          <w:color w:val="111111"/>
          <w:sz w:val="18"/>
        </w:rPr>
        <w:t>and</w:t>
      </w:r>
      <w:r>
        <w:rPr>
          <w:color w:val="111111"/>
          <w:spacing w:val="-21"/>
          <w:sz w:val="18"/>
        </w:rPr>
        <w:t xml:space="preserve"> </w:t>
      </w:r>
      <w:r>
        <w:rPr>
          <w:color w:val="0C0C0C"/>
          <w:sz w:val="18"/>
        </w:rPr>
        <w:t>when</w:t>
      </w:r>
      <w:r>
        <w:rPr>
          <w:color w:val="0C0C0C"/>
          <w:spacing w:val="-15"/>
          <w:sz w:val="18"/>
        </w:rPr>
        <w:t xml:space="preserve"> </w:t>
      </w:r>
      <w:r>
        <w:rPr>
          <w:color w:val="111111"/>
          <w:sz w:val="18"/>
        </w:rPr>
        <w:t>they</w:t>
      </w:r>
      <w:r>
        <w:rPr>
          <w:color w:val="131313"/>
          <w:sz w:val="18"/>
        </w:rPr>
        <w:t xml:space="preserve"> become </w:t>
      </w:r>
      <w:r>
        <w:rPr>
          <w:color w:val="161616"/>
          <w:sz w:val="18"/>
        </w:rPr>
        <w:t xml:space="preserve">due </w:t>
      </w:r>
      <w:r>
        <w:rPr>
          <w:sz w:val="18"/>
        </w:rPr>
        <w:t xml:space="preserve">and </w:t>
      </w:r>
      <w:r>
        <w:rPr>
          <w:color w:val="0F0F0F"/>
          <w:sz w:val="18"/>
        </w:rPr>
        <w:t>payable;</w:t>
      </w:r>
      <w:r>
        <w:rPr>
          <w:color w:val="0F0F0F"/>
          <w:spacing w:val="2"/>
          <w:sz w:val="18"/>
        </w:rPr>
        <w:t xml:space="preserve"> </w:t>
      </w:r>
      <w:r>
        <w:rPr>
          <w:color w:val="1D1D1D"/>
          <w:sz w:val="18"/>
        </w:rPr>
        <w:t>and</w:t>
      </w:r>
    </w:p>
    <w:p w14:paraId="6E9B5711" w14:textId="77777777" w:rsidR="00FA4AA8" w:rsidRDefault="00FA4AA8">
      <w:pPr>
        <w:pStyle w:val="BodyText"/>
        <w:rPr>
          <w:sz w:val="20"/>
        </w:rPr>
      </w:pPr>
    </w:p>
    <w:p w14:paraId="58681864" w14:textId="77777777" w:rsidR="00FA4AA8" w:rsidRDefault="0015611F">
      <w:pPr>
        <w:pStyle w:val="ListParagraph"/>
        <w:numPr>
          <w:ilvl w:val="0"/>
          <w:numId w:val="23"/>
        </w:numPr>
        <w:tabs>
          <w:tab w:val="left" w:pos="765"/>
          <w:tab w:val="left" w:pos="766"/>
        </w:tabs>
        <w:spacing w:before="149" w:line="223" w:lineRule="auto"/>
        <w:ind w:left="708" w:right="920" w:hanging="600"/>
        <w:rPr>
          <w:i/>
          <w:color w:val="262626"/>
          <w:sz w:val="18"/>
        </w:rPr>
      </w:pPr>
      <w:r>
        <w:rPr>
          <w:noProof/>
          <w:lang w:val="en-AU" w:eastAsia="en-AU"/>
        </w:rPr>
        <w:drawing>
          <wp:anchor distT="0" distB="0" distL="0" distR="0" simplePos="0" relativeHeight="462818304" behindDoc="1" locked="0" layoutInCell="1" allowOverlap="1" wp14:anchorId="3A667BE4" wp14:editId="08ABACED">
            <wp:simplePos x="0" y="0"/>
            <wp:positionH relativeFrom="page">
              <wp:posOffset>1761744</wp:posOffset>
            </wp:positionH>
            <wp:positionV relativeFrom="paragraph">
              <wp:posOffset>425970</wp:posOffset>
            </wp:positionV>
            <wp:extent cx="225551" cy="612648"/>
            <wp:effectExtent l="0" t="0" r="0" b="0"/>
            <wp:wrapNone/>
            <wp:docPr id="153"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92.jpeg"/>
                    <pic:cNvPicPr/>
                  </pic:nvPicPr>
                  <pic:blipFill>
                    <a:blip r:embed="rId281" cstate="print"/>
                    <a:stretch>
                      <a:fillRect/>
                    </a:stretch>
                  </pic:blipFill>
                  <pic:spPr>
                    <a:xfrm>
                      <a:off x="0" y="0"/>
                      <a:ext cx="225551" cy="612648"/>
                    </a:xfrm>
                    <a:prstGeom prst="rect">
                      <a:avLst/>
                    </a:prstGeom>
                  </pic:spPr>
                </pic:pic>
              </a:graphicData>
            </a:graphic>
          </wp:anchor>
        </w:drawing>
      </w:r>
      <w:r>
        <w:tab/>
      </w:r>
      <w:r>
        <w:rPr>
          <w:color w:val="131313"/>
          <w:sz w:val="18"/>
        </w:rPr>
        <w:t>the</w:t>
      </w:r>
      <w:r>
        <w:rPr>
          <w:color w:val="131313"/>
          <w:spacing w:val="-21"/>
          <w:sz w:val="18"/>
        </w:rPr>
        <w:t xml:space="preserve"> </w:t>
      </w:r>
      <w:r>
        <w:rPr>
          <w:sz w:val="18"/>
        </w:rPr>
        <w:t>financial</w:t>
      </w:r>
      <w:r>
        <w:rPr>
          <w:spacing w:val="-19"/>
          <w:sz w:val="18"/>
        </w:rPr>
        <w:t xml:space="preserve"> </w:t>
      </w:r>
      <w:r>
        <w:rPr>
          <w:sz w:val="18"/>
        </w:rPr>
        <w:t>statements</w:t>
      </w:r>
      <w:r>
        <w:rPr>
          <w:spacing w:val="-12"/>
          <w:sz w:val="18"/>
        </w:rPr>
        <w:t xml:space="preserve"> </w:t>
      </w:r>
      <w:r>
        <w:rPr>
          <w:color w:val="0A0A0A"/>
          <w:sz w:val="18"/>
        </w:rPr>
        <w:t>and</w:t>
      </w:r>
      <w:r>
        <w:rPr>
          <w:color w:val="0A0A0A"/>
          <w:spacing w:val="-26"/>
          <w:sz w:val="18"/>
        </w:rPr>
        <w:t xml:space="preserve"> </w:t>
      </w:r>
      <w:r>
        <w:rPr>
          <w:color w:val="0A0A0A"/>
          <w:sz w:val="18"/>
        </w:rPr>
        <w:t>notes</w:t>
      </w:r>
      <w:r>
        <w:rPr>
          <w:color w:val="0A0A0A"/>
          <w:spacing w:val="-18"/>
          <w:sz w:val="18"/>
        </w:rPr>
        <w:t xml:space="preserve"> </w:t>
      </w:r>
      <w:r>
        <w:rPr>
          <w:color w:val="181818"/>
          <w:sz w:val="18"/>
        </w:rPr>
        <w:t>satisfy</w:t>
      </w:r>
      <w:r>
        <w:rPr>
          <w:color w:val="181818"/>
          <w:spacing w:val="-20"/>
          <w:sz w:val="18"/>
        </w:rPr>
        <w:t xml:space="preserve"> </w:t>
      </w:r>
      <w:r>
        <w:rPr>
          <w:color w:val="1C1C1C"/>
          <w:sz w:val="18"/>
        </w:rPr>
        <w:t>the</w:t>
      </w:r>
      <w:r>
        <w:rPr>
          <w:color w:val="1C1C1C"/>
          <w:spacing w:val="-24"/>
          <w:sz w:val="18"/>
        </w:rPr>
        <w:t xml:space="preserve"> </w:t>
      </w:r>
      <w:r>
        <w:rPr>
          <w:color w:val="0F0F0F"/>
          <w:sz w:val="18"/>
        </w:rPr>
        <w:t>requirements</w:t>
      </w:r>
      <w:r>
        <w:rPr>
          <w:color w:val="0F0F0F"/>
          <w:spacing w:val="-10"/>
          <w:sz w:val="18"/>
        </w:rPr>
        <w:t xml:space="preserve"> </w:t>
      </w:r>
      <w:r w:rsidR="007719AF">
        <w:rPr>
          <w:color w:val="161616"/>
          <w:sz w:val="18"/>
        </w:rPr>
        <w:t>of</w:t>
      </w:r>
      <w:r>
        <w:rPr>
          <w:color w:val="161616"/>
          <w:spacing w:val="-22"/>
          <w:sz w:val="18"/>
        </w:rPr>
        <w:t xml:space="preserve"> </w:t>
      </w:r>
      <w:r>
        <w:rPr>
          <w:color w:val="0F0F0F"/>
          <w:sz w:val="18"/>
        </w:rPr>
        <w:t>the</w:t>
      </w:r>
      <w:r>
        <w:rPr>
          <w:color w:val="0F0F0F"/>
          <w:spacing w:val="-18"/>
          <w:sz w:val="18"/>
        </w:rPr>
        <w:t xml:space="preserve"> </w:t>
      </w:r>
      <w:r>
        <w:rPr>
          <w:i/>
          <w:color w:val="0F0F0F"/>
          <w:sz w:val="18"/>
        </w:rPr>
        <w:t>Australian</w:t>
      </w:r>
      <w:r>
        <w:rPr>
          <w:i/>
          <w:color w:val="0F0F0F"/>
          <w:spacing w:val="-6"/>
          <w:sz w:val="18"/>
        </w:rPr>
        <w:t xml:space="preserve"> </w:t>
      </w:r>
      <w:r>
        <w:rPr>
          <w:sz w:val="18"/>
        </w:rPr>
        <w:t>Clarifies</w:t>
      </w:r>
      <w:r>
        <w:rPr>
          <w:spacing w:val="-20"/>
          <w:sz w:val="18"/>
        </w:rPr>
        <w:t xml:space="preserve"> </w:t>
      </w:r>
      <w:r>
        <w:rPr>
          <w:i/>
          <w:sz w:val="18"/>
        </w:rPr>
        <w:t>and</w:t>
      </w:r>
      <w:r>
        <w:rPr>
          <w:i/>
          <w:spacing w:val="-18"/>
          <w:sz w:val="18"/>
        </w:rPr>
        <w:t xml:space="preserve"> </w:t>
      </w:r>
      <w:r>
        <w:rPr>
          <w:i/>
          <w:sz w:val="18"/>
        </w:rPr>
        <w:t>Not-for-profits Commission Act</w:t>
      </w:r>
      <w:r>
        <w:rPr>
          <w:i/>
          <w:spacing w:val="6"/>
          <w:sz w:val="18"/>
        </w:rPr>
        <w:t xml:space="preserve"> </w:t>
      </w:r>
      <w:r>
        <w:rPr>
          <w:i/>
          <w:color w:val="0F0F0F"/>
          <w:sz w:val="18"/>
        </w:rPr>
        <w:t>2012.</w:t>
      </w:r>
    </w:p>
    <w:p w14:paraId="2C7C9FDA" w14:textId="77777777" w:rsidR="00FA4AA8" w:rsidRDefault="00FA4AA8">
      <w:pPr>
        <w:pStyle w:val="BodyText"/>
        <w:rPr>
          <w:i/>
          <w:sz w:val="20"/>
        </w:rPr>
      </w:pPr>
    </w:p>
    <w:p w14:paraId="440D3AC6" w14:textId="77777777" w:rsidR="00FA4AA8" w:rsidRDefault="007E2441">
      <w:pPr>
        <w:tabs>
          <w:tab w:val="left" w:pos="1956"/>
          <w:tab w:val="left" w:pos="2561"/>
        </w:tabs>
        <w:spacing w:before="136"/>
        <w:ind w:left="116"/>
        <w:rPr>
          <w:i/>
          <w:sz w:val="18"/>
        </w:rPr>
      </w:pPr>
      <w:r>
        <w:rPr>
          <w:noProof/>
          <w:lang w:val="en-AU" w:eastAsia="en-AU"/>
        </w:rPr>
        <mc:AlternateContent>
          <mc:Choice Requires="wpg">
            <w:drawing>
              <wp:anchor distT="0" distB="0" distL="114300" distR="114300" simplePos="0" relativeHeight="462817792" behindDoc="1" locked="0" layoutInCell="1" allowOverlap="1" wp14:anchorId="3D15C46F" wp14:editId="071DA2FB">
                <wp:simplePos x="0" y="0"/>
                <wp:positionH relativeFrom="page">
                  <wp:posOffset>2118360</wp:posOffset>
                </wp:positionH>
                <wp:positionV relativeFrom="paragraph">
                  <wp:posOffset>114300</wp:posOffset>
                </wp:positionV>
                <wp:extent cx="948055" cy="668020"/>
                <wp:effectExtent l="0" t="0" r="0" b="0"/>
                <wp:wrapNone/>
                <wp:docPr id="363"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8055" cy="668020"/>
                          <a:chOff x="3336" y="180"/>
                          <a:chExt cx="1493" cy="1052"/>
                        </a:xfrm>
                      </wpg:grpSpPr>
                      <pic:pic xmlns:pic="http://schemas.openxmlformats.org/drawingml/2006/picture">
                        <pic:nvPicPr>
                          <pic:cNvPr id="364" name="Picture 131"/>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3552" y="588"/>
                            <a:ext cx="1277" cy="6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5" name="Picture 130"/>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3336" y="180"/>
                            <a:ext cx="298" cy="51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D69FB6C" id="Group 129" o:spid="_x0000_s1026" style="position:absolute;margin-left:166.8pt;margin-top:9pt;width:74.65pt;height:52.6pt;z-index:-40498688;mso-position-horizontal-relative:page" coordorigin="3336,180" coordsize="1493,10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">
                <v:shape id="Picture 131" o:spid="_x0000_s1027" type="#_x0000_t75" style="position:absolute;left:3552;top:588;width:1277;height: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">
                  <v:imagedata r:id="rId284" o:title=""/>
                </v:shape>
                <v:shape id="Picture 130" o:spid="_x0000_s1028" type="#_x0000_t75" style="position:absolute;left:3336;top:180;width:298;height: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">
                  <v:imagedata r:id="rId285" o:title=""/>
                </v:shape>
                <w10:wrap anchorx="page"/>
              </v:group>
            </w:pict>
          </mc:Fallback>
        </mc:AlternateContent>
      </w:r>
      <w:r w:rsidR="0015611F">
        <w:rPr>
          <w:color w:val="131313"/>
          <w:sz w:val="18"/>
        </w:rPr>
        <w:t>Signed</w:t>
      </w:r>
      <w:r w:rsidR="0015611F">
        <w:rPr>
          <w:color w:val="131313"/>
          <w:spacing w:val="-19"/>
          <w:sz w:val="18"/>
        </w:rPr>
        <w:t xml:space="preserve"> </w:t>
      </w:r>
      <w:r w:rsidR="0015611F">
        <w:rPr>
          <w:color w:val="0E0E0E"/>
          <w:sz w:val="18"/>
        </w:rPr>
        <w:t>in</w:t>
      </w:r>
      <w:r w:rsidR="0015611F">
        <w:rPr>
          <w:color w:val="0E0E0E"/>
          <w:spacing w:val="-23"/>
          <w:sz w:val="18"/>
        </w:rPr>
        <w:t xml:space="preserve"> </w:t>
      </w:r>
      <w:r w:rsidR="007719AF">
        <w:rPr>
          <w:color w:val="0E0E0E"/>
          <w:sz w:val="18"/>
        </w:rPr>
        <w:t>accordance</w:t>
      </w:r>
      <w:r w:rsidR="0015611F">
        <w:rPr>
          <w:color w:val="0E0E0E"/>
          <w:sz w:val="18"/>
        </w:rPr>
        <w:tab/>
      </w:r>
      <w:r w:rsidR="0015611F">
        <w:rPr>
          <w:color w:val="1A1A1A"/>
          <w:sz w:val="18"/>
        </w:rPr>
        <w:t>i</w:t>
      </w:r>
      <w:r w:rsidR="0015611F">
        <w:rPr>
          <w:color w:val="1A1A1A"/>
          <w:spacing w:val="-3"/>
          <w:sz w:val="18"/>
        </w:rPr>
        <w:t xml:space="preserve"> </w:t>
      </w:r>
      <w:r w:rsidR="0015611F">
        <w:rPr>
          <w:color w:val="1D1D1D"/>
          <w:sz w:val="18"/>
        </w:rPr>
        <w:t>h</w:t>
      </w:r>
      <w:r w:rsidR="0015611F">
        <w:rPr>
          <w:color w:val="1D1D1D"/>
          <w:spacing w:val="-7"/>
          <w:sz w:val="18"/>
        </w:rPr>
        <w:t xml:space="preserve"> </w:t>
      </w:r>
      <w:r w:rsidR="0015611F">
        <w:rPr>
          <w:color w:val="0C0C0C"/>
          <w:sz w:val="18"/>
        </w:rPr>
        <w:t>s</w:t>
      </w:r>
      <w:r w:rsidR="0015611F">
        <w:rPr>
          <w:color w:val="0C0C0C"/>
          <w:sz w:val="18"/>
        </w:rPr>
        <w:tab/>
      </w:r>
      <w:r w:rsidR="0015611F">
        <w:rPr>
          <w:color w:val="131313"/>
          <w:sz w:val="18"/>
        </w:rPr>
        <w:t>ection</w:t>
      </w:r>
      <w:r w:rsidR="0015611F">
        <w:rPr>
          <w:color w:val="131313"/>
          <w:spacing w:val="-22"/>
          <w:sz w:val="18"/>
        </w:rPr>
        <w:t xml:space="preserve"> </w:t>
      </w:r>
      <w:r w:rsidR="0015611F">
        <w:rPr>
          <w:color w:val="0F0F0F"/>
          <w:sz w:val="18"/>
        </w:rPr>
        <w:t>60.</w:t>
      </w:r>
      <w:r w:rsidR="0015611F">
        <w:rPr>
          <w:color w:val="282828"/>
          <w:sz w:val="18"/>
        </w:rPr>
        <w:t>1</w:t>
      </w:r>
      <w:r w:rsidR="0015611F">
        <w:rPr>
          <w:color w:val="1F1F1F"/>
          <w:sz w:val="18"/>
        </w:rPr>
        <w:t>5(2}</w:t>
      </w:r>
      <w:r w:rsidR="0015611F">
        <w:rPr>
          <w:color w:val="1F1F1F"/>
          <w:spacing w:val="-22"/>
          <w:sz w:val="18"/>
        </w:rPr>
        <w:t xml:space="preserve"> </w:t>
      </w:r>
      <w:r w:rsidR="0015611F">
        <w:rPr>
          <w:color w:val="1A1A1A"/>
          <w:sz w:val="18"/>
        </w:rPr>
        <w:t>of</w:t>
      </w:r>
      <w:r w:rsidR="0015611F">
        <w:rPr>
          <w:color w:val="1A1A1A"/>
          <w:spacing w:val="-26"/>
          <w:sz w:val="18"/>
        </w:rPr>
        <w:t xml:space="preserve"> </w:t>
      </w:r>
      <w:r w:rsidR="0015611F">
        <w:rPr>
          <w:color w:val="232323"/>
          <w:sz w:val="18"/>
        </w:rPr>
        <w:t>the</w:t>
      </w:r>
      <w:r w:rsidR="0015611F">
        <w:rPr>
          <w:color w:val="232323"/>
          <w:spacing w:val="-18"/>
          <w:sz w:val="18"/>
        </w:rPr>
        <w:t xml:space="preserve"> </w:t>
      </w:r>
      <w:r w:rsidR="0015611F">
        <w:rPr>
          <w:i/>
          <w:sz w:val="18"/>
        </w:rPr>
        <w:t>Australian</w:t>
      </w:r>
      <w:r w:rsidR="0015611F">
        <w:rPr>
          <w:i/>
          <w:spacing w:val="-13"/>
          <w:sz w:val="18"/>
        </w:rPr>
        <w:t xml:space="preserve"> </w:t>
      </w:r>
      <w:r w:rsidR="0015611F">
        <w:rPr>
          <w:i/>
          <w:color w:val="0F0F0F"/>
          <w:sz w:val="18"/>
        </w:rPr>
        <w:t>Charities</w:t>
      </w:r>
      <w:r w:rsidR="0015611F">
        <w:rPr>
          <w:i/>
          <w:color w:val="0F0F0F"/>
          <w:spacing w:val="-15"/>
          <w:sz w:val="18"/>
        </w:rPr>
        <w:t xml:space="preserve"> </w:t>
      </w:r>
      <w:r w:rsidR="0015611F">
        <w:rPr>
          <w:i/>
          <w:color w:val="1F1F1F"/>
          <w:sz w:val="18"/>
        </w:rPr>
        <w:t>and</w:t>
      </w:r>
      <w:r w:rsidR="0015611F">
        <w:rPr>
          <w:i/>
          <w:color w:val="1F1F1F"/>
          <w:spacing w:val="-23"/>
          <w:sz w:val="18"/>
        </w:rPr>
        <w:t xml:space="preserve"> </w:t>
      </w:r>
      <w:r w:rsidR="0015611F">
        <w:rPr>
          <w:i/>
          <w:sz w:val="18"/>
        </w:rPr>
        <w:t>Not-for-profits</w:t>
      </w:r>
      <w:r w:rsidR="0015611F">
        <w:rPr>
          <w:i/>
          <w:spacing w:val="-25"/>
          <w:sz w:val="18"/>
        </w:rPr>
        <w:t xml:space="preserve"> </w:t>
      </w:r>
      <w:r w:rsidR="007719AF">
        <w:rPr>
          <w:i/>
          <w:color w:val="0E0E0E"/>
          <w:sz w:val="18"/>
        </w:rPr>
        <w:t>Commission</w:t>
      </w:r>
      <w:r w:rsidR="0015611F">
        <w:rPr>
          <w:i/>
          <w:color w:val="0E0E0E"/>
          <w:spacing w:val="-17"/>
          <w:sz w:val="18"/>
        </w:rPr>
        <w:t xml:space="preserve"> </w:t>
      </w:r>
      <w:r w:rsidR="0015611F">
        <w:rPr>
          <w:i/>
          <w:sz w:val="18"/>
        </w:rPr>
        <w:t>Regulation</w:t>
      </w:r>
      <w:r w:rsidR="0015611F">
        <w:rPr>
          <w:i/>
          <w:spacing w:val="-16"/>
          <w:sz w:val="18"/>
        </w:rPr>
        <w:t xml:space="preserve"> </w:t>
      </w:r>
      <w:r w:rsidR="0015611F">
        <w:rPr>
          <w:i/>
          <w:color w:val="131313"/>
          <w:sz w:val="18"/>
        </w:rPr>
        <w:t>20</w:t>
      </w:r>
      <w:r w:rsidR="0015611F">
        <w:rPr>
          <w:i/>
          <w:color w:val="131313"/>
          <w:spacing w:val="-40"/>
          <w:sz w:val="18"/>
        </w:rPr>
        <w:t xml:space="preserve"> </w:t>
      </w:r>
      <w:r w:rsidR="0015611F">
        <w:rPr>
          <w:i/>
          <w:color w:val="111111"/>
          <w:sz w:val="18"/>
        </w:rPr>
        <w:t>I3.</w:t>
      </w:r>
    </w:p>
    <w:p w14:paraId="4A9489D5" w14:textId="77777777" w:rsidR="00FA4AA8" w:rsidRDefault="00FA4AA8">
      <w:pPr>
        <w:pStyle w:val="BodyText"/>
        <w:rPr>
          <w:i/>
          <w:sz w:val="20"/>
        </w:rPr>
      </w:pPr>
    </w:p>
    <w:p w14:paraId="3F788A4B" w14:textId="77777777" w:rsidR="00FA4AA8" w:rsidRDefault="00FA4AA8">
      <w:pPr>
        <w:pStyle w:val="BodyText"/>
        <w:spacing w:before="11"/>
        <w:rPr>
          <w:i/>
          <w:sz w:val="27"/>
        </w:rPr>
      </w:pPr>
    </w:p>
    <w:p w14:paraId="0E5E37E4" w14:textId="77777777" w:rsidR="00FA4AA8" w:rsidRDefault="0015611F">
      <w:pPr>
        <w:pStyle w:val="BodyText"/>
        <w:ind w:left="110"/>
      </w:pPr>
      <w:r>
        <w:t xml:space="preserve">Director </w:t>
      </w:r>
      <w:r>
        <w:rPr>
          <w:color w:val="484848"/>
        </w:rPr>
        <w:t>.............</w:t>
      </w:r>
    </w:p>
    <w:p w14:paraId="4F92D4BC" w14:textId="77777777" w:rsidR="00FA4AA8" w:rsidRDefault="0015611F">
      <w:pPr>
        <w:pStyle w:val="BodyText"/>
        <w:spacing w:before="8"/>
        <w:rPr>
          <w:sz w:val="26"/>
        </w:rPr>
      </w:pPr>
      <w:r>
        <w:rPr>
          <w:noProof/>
          <w:lang w:val="en-AU" w:eastAsia="en-AU"/>
        </w:rPr>
        <w:drawing>
          <wp:anchor distT="0" distB="0" distL="0" distR="0" simplePos="0" relativeHeight="197" behindDoc="0" locked="0" layoutInCell="1" allowOverlap="1" wp14:anchorId="170223B2" wp14:editId="48201318">
            <wp:simplePos x="0" y="0"/>
            <wp:positionH relativeFrom="page">
              <wp:posOffset>765048</wp:posOffset>
            </wp:positionH>
            <wp:positionV relativeFrom="paragraph">
              <wp:posOffset>219860</wp:posOffset>
            </wp:positionV>
            <wp:extent cx="1819656" cy="222503"/>
            <wp:effectExtent l="0" t="0" r="0" b="0"/>
            <wp:wrapTopAndBottom/>
            <wp:docPr id="155"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95.jpeg"/>
                    <pic:cNvPicPr/>
                  </pic:nvPicPr>
                  <pic:blipFill>
                    <a:blip r:embed="rId286" cstate="print"/>
                    <a:stretch>
                      <a:fillRect/>
                    </a:stretch>
                  </pic:blipFill>
                  <pic:spPr>
                    <a:xfrm>
                      <a:off x="0" y="0"/>
                      <a:ext cx="1819656" cy="222503"/>
                    </a:xfrm>
                    <a:prstGeom prst="rect">
                      <a:avLst/>
                    </a:prstGeom>
                  </pic:spPr>
                </pic:pic>
              </a:graphicData>
            </a:graphic>
          </wp:anchor>
        </w:drawing>
      </w:r>
    </w:p>
    <w:p w14:paraId="4EF7FEE5" w14:textId="77777777" w:rsidR="00FA4AA8" w:rsidRDefault="00FA4AA8">
      <w:pPr>
        <w:rPr>
          <w:sz w:val="26"/>
        </w:rPr>
        <w:sectPr w:rsidR="00FA4AA8">
          <w:headerReference w:type="default" r:id="rId287"/>
          <w:footerReference w:type="default" r:id="rId288"/>
          <w:pgSz w:w="11910" w:h="16850"/>
          <w:pgMar w:top="1820" w:right="1100" w:bottom="720" w:left="1080" w:header="1279" w:footer="523" w:gutter="0"/>
          <w:pgNumType w:start="231"/>
          <w:cols w:space="720"/>
        </w:sectPr>
      </w:pPr>
    </w:p>
    <w:p w14:paraId="1AFA85CA" w14:textId="77777777" w:rsidR="00FA4AA8" w:rsidRDefault="007E2441">
      <w:pPr>
        <w:pStyle w:val="BodyText"/>
        <w:ind w:left="4227"/>
        <w:rPr>
          <w:sz w:val="20"/>
        </w:rPr>
      </w:pPr>
      <w:r>
        <w:rPr>
          <w:noProof/>
          <w:sz w:val="20"/>
          <w:lang w:val="en-AU" w:eastAsia="en-AU"/>
        </w:rPr>
        <mc:AlternateContent>
          <mc:Choice Requires="wpg">
            <w:drawing>
              <wp:inline distT="0" distB="0" distL="0" distR="0" wp14:anchorId="118958BD" wp14:editId="5D1DF60B">
                <wp:extent cx="996950" cy="460375"/>
                <wp:effectExtent l="0" t="0" r="0" b="0"/>
                <wp:docPr id="358"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0" cy="460375"/>
                          <a:chOff x="0" y="0"/>
                          <a:chExt cx="1570" cy="725"/>
                        </a:xfrm>
                      </wpg:grpSpPr>
                      <pic:pic xmlns:pic="http://schemas.openxmlformats.org/drawingml/2006/picture">
                        <pic:nvPicPr>
                          <pic:cNvPr id="359" name="Picture 128"/>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158" y="19"/>
                            <a:ext cx="1243" cy="7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0" name="Picture 127"/>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4"/>
                            <a:ext cx="135"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1" name="Picture 126"/>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1396" y="0"/>
                            <a:ext cx="140"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2" name="Picture 125"/>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1458" y="91"/>
                            <a:ext cx="111" cy="14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DB2488C" id="Group 124" o:spid="_x0000_s1026" style="width:78.5pt;height:36.25pt;mso-position-horizontal-relative:char;mso-position-vertical-relative:line" coordsize="1570,72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">
                <v:shape id="Picture 128" o:spid="_x0000_s1027" type="#_x0000_t75" style="position:absolute;left:158;top:19;width:1243;height: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">
                  <v:imagedata r:id="rId293" o:title=""/>
                </v:shape>
                <v:shape id="Picture 127" o:spid="_x0000_s1028" type="#_x0000_t75" style="position:absolute;top:4;width:135;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">
                  <v:imagedata r:id="rId294" o:title=""/>
                </v:shape>
                <v:shape id="Picture 126" o:spid="_x0000_s1029" type="#_x0000_t75" style="position:absolute;left:1396;width:140;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">
                  <v:imagedata r:id="rId295" o:title=""/>
                </v:shape>
                <v:shape id="Picture 125" o:spid="_x0000_s1030" type="#_x0000_t75" style="position:absolute;left:1458;top:91;width:111;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">
                  <v:imagedata r:id="rId296" o:title=""/>
                </v:shape>
                <w10:anchorlock/>
              </v:group>
            </w:pict>
          </mc:Fallback>
        </mc:AlternateContent>
      </w:r>
    </w:p>
    <w:p w14:paraId="17EB4DC2" w14:textId="77777777" w:rsidR="00FA4AA8" w:rsidRDefault="00FA4AA8">
      <w:pPr>
        <w:pStyle w:val="BodyText"/>
        <w:spacing w:before="11"/>
        <w:rPr>
          <w:sz w:val="9"/>
        </w:rPr>
      </w:pPr>
    </w:p>
    <w:p w14:paraId="3912C7DF" w14:textId="77777777" w:rsidR="00FA4AA8" w:rsidRDefault="0015611F">
      <w:pPr>
        <w:pStyle w:val="BodyText"/>
        <w:ind w:left="4347"/>
        <w:rPr>
          <w:sz w:val="20"/>
        </w:rPr>
      </w:pPr>
      <w:r>
        <w:rPr>
          <w:noProof/>
          <w:sz w:val="20"/>
          <w:lang w:val="en-AU" w:eastAsia="en-AU"/>
        </w:rPr>
        <w:drawing>
          <wp:inline distT="0" distB="0" distL="0" distR="0" wp14:anchorId="6174E45A" wp14:editId="5C694129">
            <wp:extent cx="813652" cy="231648"/>
            <wp:effectExtent l="0" t="0" r="0" b="0"/>
            <wp:docPr id="157"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00.jpeg"/>
                    <pic:cNvPicPr/>
                  </pic:nvPicPr>
                  <pic:blipFill>
                    <a:blip r:embed="rId297" cstate="print"/>
                    <a:stretch>
                      <a:fillRect/>
                    </a:stretch>
                  </pic:blipFill>
                  <pic:spPr>
                    <a:xfrm>
                      <a:off x="0" y="0"/>
                      <a:ext cx="813652" cy="231648"/>
                    </a:xfrm>
                    <a:prstGeom prst="rect">
                      <a:avLst/>
                    </a:prstGeom>
                  </pic:spPr>
                </pic:pic>
              </a:graphicData>
            </a:graphic>
          </wp:inline>
        </w:drawing>
      </w:r>
    </w:p>
    <w:p w14:paraId="208A78ED" w14:textId="77777777" w:rsidR="00FA4AA8" w:rsidRDefault="00FA4AA8">
      <w:pPr>
        <w:pStyle w:val="BodyText"/>
        <w:rPr>
          <w:sz w:val="20"/>
        </w:rPr>
      </w:pPr>
    </w:p>
    <w:p w14:paraId="7B4DD770" w14:textId="77777777" w:rsidR="00FA4AA8" w:rsidRDefault="00FA4AA8">
      <w:pPr>
        <w:pStyle w:val="BodyText"/>
        <w:rPr>
          <w:sz w:val="20"/>
        </w:rPr>
      </w:pPr>
    </w:p>
    <w:p w14:paraId="744EDE7E" w14:textId="77777777" w:rsidR="00FA4AA8" w:rsidRDefault="00FA4AA8">
      <w:pPr>
        <w:pStyle w:val="BodyText"/>
        <w:spacing w:before="8"/>
        <w:rPr>
          <w:sz w:val="25"/>
        </w:rPr>
      </w:pPr>
    </w:p>
    <w:p w14:paraId="10BA7CE4" w14:textId="77777777" w:rsidR="00FA4AA8" w:rsidRDefault="0015611F">
      <w:pPr>
        <w:spacing w:before="93"/>
        <w:ind w:left="518"/>
        <w:rPr>
          <w:sz w:val="20"/>
        </w:rPr>
      </w:pPr>
      <w:r>
        <w:rPr>
          <w:sz w:val="20"/>
        </w:rPr>
        <w:t>To the Directors</w:t>
      </w:r>
    </w:p>
    <w:p w14:paraId="5D55E6B5" w14:textId="77777777" w:rsidR="00FA4AA8" w:rsidRDefault="0015611F">
      <w:pPr>
        <w:spacing w:before="10"/>
        <w:ind w:left="520"/>
        <w:rPr>
          <w:sz w:val="20"/>
        </w:rPr>
      </w:pPr>
      <w:r>
        <w:rPr>
          <w:sz w:val="20"/>
        </w:rPr>
        <w:t>Western Growth Developments (Innovation Hub Parramatta) Pty Ltd</w:t>
      </w:r>
    </w:p>
    <w:p w14:paraId="43808A37" w14:textId="77777777" w:rsidR="00FA4AA8" w:rsidRDefault="00FA4AA8">
      <w:pPr>
        <w:pStyle w:val="BodyText"/>
        <w:rPr>
          <w:sz w:val="22"/>
        </w:rPr>
      </w:pPr>
    </w:p>
    <w:p w14:paraId="35433F5D" w14:textId="77777777" w:rsidR="00FA4AA8" w:rsidRDefault="00FA4AA8">
      <w:pPr>
        <w:pStyle w:val="BodyText"/>
        <w:spacing w:before="5"/>
        <w:rPr>
          <w:sz w:val="29"/>
        </w:rPr>
      </w:pPr>
    </w:p>
    <w:p w14:paraId="6FE2B563" w14:textId="77777777" w:rsidR="00FA4AA8" w:rsidRDefault="0015611F">
      <w:pPr>
        <w:ind w:left="330" w:right="509"/>
        <w:jc w:val="center"/>
        <w:rPr>
          <w:sz w:val="23"/>
        </w:rPr>
      </w:pPr>
      <w:r>
        <w:rPr>
          <w:w w:val="110"/>
          <w:sz w:val="23"/>
        </w:rPr>
        <w:t>Auditor’s Independence Declaration</w:t>
      </w:r>
    </w:p>
    <w:p w14:paraId="675598AA" w14:textId="77777777" w:rsidR="00FA4AA8" w:rsidRDefault="00FA4AA8">
      <w:pPr>
        <w:pStyle w:val="BodyText"/>
        <w:rPr>
          <w:sz w:val="26"/>
        </w:rPr>
      </w:pPr>
    </w:p>
    <w:p w14:paraId="59CE9BC8" w14:textId="77777777" w:rsidR="00FA4AA8" w:rsidRDefault="00FA4AA8">
      <w:pPr>
        <w:pStyle w:val="BodyText"/>
        <w:spacing w:before="3"/>
        <w:rPr>
          <w:sz w:val="25"/>
        </w:rPr>
      </w:pPr>
    </w:p>
    <w:p w14:paraId="663B2251" w14:textId="77777777" w:rsidR="00FA4AA8" w:rsidRDefault="0015611F">
      <w:pPr>
        <w:spacing w:line="249" w:lineRule="auto"/>
        <w:ind w:left="517" w:right="220" w:firstLine="1"/>
        <w:rPr>
          <w:sz w:val="20"/>
        </w:rPr>
      </w:pPr>
      <w:r>
        <w:rPr>
          <w:sz w:val="20"/>
        </w:rPr>
        <w:t>As</w:t>
      </w:r>
      <w:r>
        <w:rPr>
          <w:spacing w:val="-20"/>
          <w:sz w:val="20"/>
        </w:rPr>
        <w:t xml:space="preserve"> </w:t>
      </w:r>
      <w:r>
        <w:rPr>
          <w:sz w:val="20"/>
        </w:rPr>
        <w:t>auditor</w:t>
      </w:r>
      <w:r>
        <w:rPr>
          <w:spacing w:val="-3"/>
          <w:sz w:val="20"/>
        </w:rPr>
        <w:t xml:space="preserve"> </w:t>
      </w:r>
      <w:r>
        <w:rPr>
          <w:sz w:val="20"/>
        </w:rPr>
        <w:t>for</w:t>
      </w:r>
      <w:r>
        <w:rPr>
          <w:spacing w:val="-11"/>
          <w:sz w:val="20"/>
        </w:rPr>
        <w:t xml:space="preserve"> </w:t>
      </w:r>
      <w:r>
        <w:rPr>
          <w:sz w:val="20"/>
        </w:rPr>
        <w:t>the</w:t>
      </w:r>
      <w:r>
        <w:rPr>
          <w:spacing w:val="-15"/>
          <w:sz w:val="20"/>
        </w:rPr>
        <w:t xml:space="preserve"> </w:t>
      </w:r>
      <w:r>
        <w:rPr>
          <w:sz w:val="20"/>
        </w:rPr>
        <w:t>audit</w:t>
      </w:r>
      <w:r>
        <w:rPr>
          <w:spacing w:val="-13"/>
          <w:sz w:val="20"/>
        </w:rPr>
        <w:t xml:space="preserve"> </w:t>
      </w:r>
      <w:r>
        <w:rPr>
          <w:sz w:val="20"/>
        </w:rPr>
        <w:t>of</w:t>
      </w:r>
      <w:r>
        <w:rPr>
          <w:spacing w:val="-11"/>
          <w:sz w:val="20"/>
        </w:rPr>
        <w:t xml:space="preserve"> </w:t>
      </w:r>
      <w:r>
        <w:rPr>
          <w:sz w:val="20"/>
        </w:rPr>
        <w:t>the</w:t>
      </w:r>
      <w:r>
        <w:rPr>
          <w:spacing w:val="-12"/>
          <w:sz w:val="20"/>
        </w:rPr>
        <w:t xml:space="preserve"> </w:t>
      </w:r>
      <w:r>
        <w:rPr>
          <w:sz w:val="20"/>
        </w:rPr>
        <w:t>financial</w:t>
      </w:r>
      <w:r>
        <w:rPr>
          <w:spacing w:val="-10"/>
          <w:sz w:val="20"/>
        </w:rPr>
        <w:t xml:space="preserve"> </w:t>
      </w:r>
      <w:r>
        <w:rPr>
          <w:sz w:val="20"/>
        </w:rPr>
        <w:t>statements of</w:t>
      </w:r>
      <w:r>
        <w:rPr>
          <w:spacing w:val="-17"/>
          <w:sz w:val="20"/>
        </w:rPr>
        <w:t xml:space="preserve"> </w:t>
      </w:r>
      <w:r>
        <w:rPr>
          <w:sz w:val="20"/>
        </w:rPr>
        <w:t>Western</w:t>
      </w:r>
      <w:r>
        <w:rPr>
          <w:spacing w:val="-6"/>
          <w:sz w:val="20"/>
        </w:rPr>
        <w:t xml:space="preserve"> </w:t>
      </w:r>
      <w:r>
        <w:rPr>
          <w:sz w:val="20"/>
        </w:rPr>
        <w:t>Growth</w:t>
      </w:r>
      <w:r>
        <w:rPr>
          <w:spacing w:val="-4"/>
          <w:sz w:val="20"/>
        </w:rPr>
        <w:t xml:space="preserve"> </w:t>
      </w:r>
      <w:r>
        <w:rPr>
          <w:sz w:val="20"/>
        </w:rPr>
        <w:t>Developments</w:t>
      </w:r>
      <w:r>
        <w:rPr>
          <w:spacing w:val="3"/>
          <w:sz w:val="20"/>
        </w:rPr>
        <w:t xml:space="preserve"> </w:t>
      </w:r>
      <w:r>
        <w:rPr>
          <w:sz w:val="20"/>
        </w:rPr>
        <w:t>(Innovation</w:t>
      </w:r>
      <w:r>
        <w:rPr>
          <w:spacing w:val="-10"/>
          <w:sz w:val="20"/>
        </w:rPr>
        <w:t xml:space="preserve"> </w:t>
      </w:r>
      <w:r>
        <w:rPr>
          <w:sz w:val="20"/>
        </w:rPr>
        <w:t>Hub Parramatta) Pty Ltd for the period 4 June 2018 to 31 December 2018, I declare, to the best of my knowledge and belief, there have been no contraventions</w:t>
      </w:r>
      <w:r>
        <w:rPr>
          <w:spacing w:val="37"/>
          <w:sz w:val="20"/>
        </w:rPr>
        <w:t xml:space="preserve"> </w:t>
      </w:r>
      <w:r>
        <w:rPr>
          <w:sz w:val="20"/>
        </w:rPr>
        <w:t>of:</w:t>
      </w:r>
    </w:p>
    <w:p w14:paraId="05A07564" w14:textId="77777777" w:rsidR="00FA4AA8" w:rsidRDefault="0015611F">
      <w:pPr>
        <w:pStyle w:val="ListParagraph"/>
        <w:numPr>
          <w:ilvl w:val="1"/>
          <w:numId w:val="23"/>
        </w:numPr>
        <w:tabs>
          <w:tab w:val="left" w:pos="1076"/>
          <w:tab w:val="left" w:pos="1077"/>
        </w:tabs>
        <w:spacing w:before="171"/>
        <w:rPr>
          <w:sz w:val="20"/>
        </w:rPr>
      </w:pPr>
      <w:r>
        <w:rPr>
          <w:sz w:val="20"/>
        </w:rPr>
        <w:t xml:space="preserve">the auditor independence requirements of the </w:t>
      </w:r>
      <w:r>
        <w:rPr>
          <w:i/>
          <w:sz w:val="20"/>
        </w:rPr>
        <w:t xml:space="preserve">Corporations Act 2001 </w:t>
      </w:r>
      <w:r>
        <w:rPr>
          <w:sz w:val="20"/>
        </w:rPr>
        <w:t>in relation to the</w:t>
      </w:r>
      <w:r>
        <w:rPr>
          <w:spacing w:val="4"/>
          <w:sz w:val="20"/>
        </w:rPr>
        <w:t xml:space="preserve"> </w:t>
      </w:r>
      <w:r>
        <w:rPr>
          <w:sz w:val="20"/>
        </w:rPr>
        <w:t>audit</w:t>
      </w:r>
    </w:p>
    <w:p w14:paraId="77C42962" w14:textId="77777777" w:rsidR="00FA4AA8" w:rsidRDefault="0015611F">
      <w:pPr>
        <w:pStyle w:val="ListParagraph"/>
        <w:numPr>
          <w:ilvl w:val="1"/>
          <w:numId w:val="23"/>
        </w:numPr>
        <w:tabs>
          <w:tab w:val="left" w:pos="1067"/>
          <w:tab w:val="left" w:pos="1068"/>
        </w:tabs>
        <w:spacing w:before="72"/>
        <w:ind w:left="1067" w:hanging="556"/>
        <w:rPr>
          <w:sz w:val="20"/>
        </w:rPr>
      </w:pPr>
      <w:r>
        <w:rPr>
          <w:sz w:val="20"/>
        </w:rPr>
        <w:t xml:space="preserve">any applicable code </w:t>
      </w:r>
      <w:r>
        <w:rPr>
          <w:color w:val="181818"/>
          <w:sz w:val="20"/>
        </w:rPr>
        <w:t xml:space="preserve">of </w:t>
      </w:r>
      <w:r>
        <w:rPr>
          <w:sz w:val="20"/>
        </w:rPr>
        <w:t>professional conduct in relation to the</w:t>
      </w:r>
      <w:r>
        <w:rPr>
          <w:spacing w:val="50"/>
          <w:sz w:val="20"/>
        </w:rPr>
        <w:t xml:space="preserve"> </w:t>
      </w:r>
      <w:r>
        <w:rPr>
          <w:sz w:val="20"/>
        </w:rPr>
        <w:t>audit.</w:t>
      </w:r>
    </w:p>
    <w:p w14:paraId="3B748D50" w14:textId="77777777" w:rsidR="00FA4AA8" w:rsidRDefault="00FA4AA8">
      <w:pPr>
        <w:pStyle w:val="BodyText"/>
        <w:rPr>
          <w:sz w:val="20"/>
        </w:rPr>
      </w:pPr>
    </w:p>
    <w:p w14:paraId="015E0185" w14:textId="77777777" w:rsidR="00FA4AA8" w:rsidRDefault="00FA4AA8">
      <w:pPr>
        <w:pStyle w:val="BodyText"/>
        <w:rPr>
          <w:sz w:val="20"/>
        </w:rPr>
      </w:pPr>
    </w:p>
    <w:p w14:paraId="0E6CFB6C" w14:textId="77777777" w:rsidR="00FA4AA8" w:rsidRDefault="00FA4AA8">
      <w:pPr>
        <w:pStyle w:val="BodyText"/>
        <w:rPr>
          <w:sz w:val="20"/>
        </w:rPr>
      </w:pPr>
    </w:p>
    <w:p w14:paraId="05F6293E" w14:textId="77777777" w:rsidR="00FA4AA8" w:rsidRDefault="00FA4AA8">
      <w:pPr>
        <w:pStyle w:val="BodyText"/>
        <w:rPr>
          <w:sz w:val="20"/>
        </w:rPr>
      </w:pPr>
    </w:p>
    <w:p w14:paraId="4F98E7AE" w14:textId="77777777" w:rsidR="00FA4AA8" w:rsidRDefault="00FA4AA8">
      <w:pPr>
        <w:pStyle w:val="BodyText"/>
        <w:rPr>
          <w:sz w:val="20"/>
        </w:rPr>
      </w:pPr>
    </w:p>
    <w:p w14:paraId="37FCF097" w14:textId="77777777" w:rsidR="00FA4AA8" w:rsidRDefault="0015611F">
      <w:pPr>
        <w:pStyle w:val="BodyText"/>
        <w:spacing w:before="7"/>
        <w:rPr>
          <w:sz w:val="15"/>
        </w:rPr>
      </w:pPr>
      <w:r>
        <w:rPr>
          <w:noProof/>
          <w:lang w:val="en-AU" w:eastAsia="en-AU"/>
        </w:rPr>
        <w:drawing>
          <wp:anchor distT="0" distB="0" distL="0" distR="0" simplePos="0" relativeHeight="201" behindDoc="0" locked="0" layoutInCell="1" allowOverlap="1" wp14:anchorId="4CF5B462" wp14:editId="0916026D">
            <wp:simplePos x="0" y="0"/>
            <wp:positionH relativeFrom="page">
              <wp:posOffset>886789</wp:posOffset>
            </wp:positionH>
            <wp:positionV relativeFrom="paragraph">
              <wp:posOffset>139275</wp:posOffset>
            </wp:positionV>
            <wp:extent cx="2462287" cy="216408"/>
            <wp:effectExtent l="0" t="0" r="0" b="0"/>
            <wp:wrapTopAndBottom/>
            <wp:docPr id="159" name="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01.jpeg"/>
                    <pic:cNvPicPr/>
                  </pic:nvPicPr>
                  <pic:blipFill>
                    <a:blip r:embed="rId298" cstate="print"/>
                    <a:stretch>
                      <a:fillRect/>
                    </a:stretch>
                  </pic:blipFill>
                  <pic:spPr>
                    <a:xfrm>
                      <a:off x="0" y="0"/>
                      <a:ext cx="2462287" cy="216408"/>
                    </a:xfrm>
                    <a:prstGeom prst="rect">
                      <a:avLst/>
                    </a:prstGeom>
                  </pic:spPr>
                </pic:pic>
              </a:graphicData>
            </a:graphic>
          </wp:anchor>
        </w:drawing>
      </w:r>
    </w:p>
    <w:p w14:paraId="7DA6A213" w14:textId="77777777" w:rsidR="00FA4AA8" w:rsidRDefault="0015611F">
      <w:pPr>
        <w:spacing w:before="91" w:line="259" w:lineRule="exact"/>
        <w:ind w:left="510"/>
        <w:rPr>
          <w:sz w:val="23"/>
        </w:rPr>
      </w:pPr>
      <w:r>
        <w:rPr>
          <w:w w:val="95"/>
          <w:sz w:val="23"/>
        </w:rPr>
        <w:t>Margaret Crawford</w:t>
      </w:r>
    </w:p>
    <w:p w14:paraId="7CA4AF34" w14:textId="77777777" w:rsidR="00FA4AA8" w:rsidRDefault="0015611F">
      <w:pPr>
        <w:spacing w:line="236" w:lineRule="exact"/>
        <w:ind w:left="508"/>
        <w:rPr>
          <w:sz w:val="21"/>
        </w:rPr>
      </w:pPr>
      <w:r>
        <w:rPr>
          <w:sz w:val="21"/>
        </w:rPr>
        <w:t>Auditor-General of NSW</w:t>
      </w:r>
    </w:p>
    <w:p w14:paraId="54E26B48" w14:textId="77777777" w:rsidR="00FA4AA8" w:rsidRDefault="00FA4AA8">
      <w:pPr>
        <w:pStyle w:val="BodyText"/>
        <w:rPr>
          <w:sz w:val="22"/>
        </w:rPr>
      </w:pPr>
    </w:p>
    <w:p w14:paraId="0D3A79B5" w14:textId="77777777" w:rsidR="00FA4AA8" w:rsidRDefault="00FA4AA8">
      <w:pPr>
        <w:pStyle w:val="BodyText"/>
        <w:spacing w:before="7"/>
        <w:rPr>
          <w:sz w:val="29"/>
        </w:rPr>
      </w:pPr>
    </w:p>
    <w:p w14:paraId="175BD259" w14:textId="77777777" w:rsidR="00FA4AA8" w:rsidRDefault="0015611F">
      <w:pPr>
        <w:spacing w:line="249" w:lineRule="auto"/>
        <w:ind w:left="513" w:right="7797" w:firstLine="220"/>
        <w:rPr>
          <w:sz w:val="20"/>
        </w:rPr>
      </w:pPr>
      <w:r>
        <w:rPr>
          <w:sz w:val="20"/>
        </w:rPr>
        <w:t>April 2019 SYDNEY</w:t>
      </w:r>
    </w:p>
    <w:p w14:paraId="38A15FA6" w14:textId="77777777" w:rsidR="00FA4AA8" w:rsidRDefault="00FA4AA8">
      <w:pPr>
        <w:spacing w:line="249" w:lineRule="auto"/>
        <w:rPr>
          <w:sz w:val="20"/>
        </w:rPr>
        <w:sectPr w:rsidR="00FA4AA8">
          <w:headerReference w:type="default" r:id="rId299"/>
          <w:footerReference w:type="default" r:id="rId300"/>
          <w:pgSz w:w="11910" w:h="16840"/>
          <w:pgMar w:top="1220" w:right="880" w:bottom="720" w:left="840" w:header="0" w:footer="523" w:gutter="0"/>
          <w:pgNumType w:start="232"/>
          <w:cols w:space="720"/>
        </w:sectPr>
      </w:pPr>
    </w:p>
    <w:p w14:paraId="21DF2971" w14:textId="77777777" w:rsidR="00FA4AA8" w:rsidRDefault="00FA4AA8">
      <w:pPr>
        <w:pStyle w:val="BodyText"/>
        <w:rPr>
          <w:sz w:val="20"/>
        </w:rPr>
      </w:pPr>
    </w:p>
    <w:p w14:paraId="09458821" w14:textId="77777777" w:rsidR="00FA4AA8" w:rsidRDefault="00FA4AA8">
      <w:pPr>
        <w:pStyle w:val="BodyText"/>
        <w:spacing w:before="2"/>
        <w:rPr>
          <w:sz w:val="10"/>
        </w:rPr>
      </w:pPr>
    </w:p>
    <w:tbl>
      <w:tblPr>
        <w:tblW w:w="0" w:type="auto"/>
        <w:tblInd w:w="125" w:type="dxa"/>
        <w:tblLayout w:type="fixed"/>
        <w:tblCellMar>
          <w:left w:w="0" w:type="dxa"/>
          <w:right w:w="0" w:type="dxa"/>
        </w:tblCellMar>
        <w:tblLook w:val="01E0" w:firstRow="1" w:lastRow="1" w:firstColumn="1" w:lastColumn="1" w:noHBand="0" w:noVBand="0"/>
      </w:tblPr>
      <w:tblGrid>
        <w:gridCol w:w="6970"/>
        <w:gridCol w:w="1698"/>
        <w:gridCol w:w="1296"/>
      </w:tblGrid>
      <w:tr w:rsidR="00FA4AA8" w14:paraId="7911DADB" w14:textId="77777777">
        <w:trPr>
          <w:trHeight w:val="343"/>
        </w:trPr>
        <w:tc>
          <w:tcPr>
            <w:tcW w:w="6970" w:type="dxa"/>
          </w:tcPr>
          <w:p w14:paraId="4B8416AE" w14:textId="77777777" w:rsidR="00FA4AA8" w:rsidRDefault="0015611F">
            <w:pPr>
              <w:pStyle w:val="TableParagraph"/>
              <w:spacing w:line="314" w:lineRule="exact"/>
              <w:ind w:left="50"/>
              <w:rPr>
                <w:b/>
                <w:sz w:val="28"/>
              </w:rPr>
            </w:pPr>
            <w:r>
              <w:rPr>
                <w:b/>
                <w:sz w:val="28"/>
              </w:rPr>
              <w:t>Statement of Comprehensive Income</w:t>
            </w:r>
          </w:p>
        </w:tc>
        <w:tc>
          <w:tcPr>
            <w:tcW w:w="2994" w:type="dxa"/>
            <w:gridSpan w:val="2"/>
            <w:vMerge w:val="restart"/>
          </w:tcPr>
          <w:p w14:paraId="2566EFFF" w14:textId="77777777" w:rsidR="00FA4AA8" w:rsidRDefault="00FA4AA8">
            <w:pPr>
              <w:pStyle w:val="TableParagraph"/>
              <w:rPr>
                <w:rFonts w:ascii="Times New Roman"/>
                <w:sz w:val="18"/>
              </w:rPr>
            </w:pPr>
          </w:p>
        </w:tc>
      </w:tr>
      <w:tr w:rsidR="00FA4AA8" w14:paraId="6786D589" w14:textId="77777777">
        <w:trPr>
          <w:trHeight w:val="632"/>
        </w:trPr>
        <w:tc>
          <w:tcPr>
            <w:tcW w:w="6970" w:type="dxa"/>
          </w:tcPr>
          <w:p w14:paraId="3D05FFDD" w14:textId="77777777" w:rsidR="00FA4AA8" w:rsidRDefault="0015611F">
            <w:pPr>
              <w:pStyle w:val="TableParagraph"/>
              <w:spacing w:before="23"/>
              <w:ind w:left="50"/>
              <w:rPr>
                <w:b/>
              </w:rPr>
            </w:pPr>
            <w:r>
              <w:rPr>
                <w:b/>
              </w:rPr>
              <w:t>For the initial Period 4 June 2018 to 31 December 2018</w:t>
            </w:r>
          </w:p>
        </w:tc>
        <w:tc>
          <w:tcPr>
            <w:tcW w:w="2994" w:type="dxa"/>
            <w:gridSpan w:val="2"/>
            <w:vMerge/>
            <w:tcBorders>
              <w:top w:val="nil"/>
            </w:tcBorders>
          </w:tcPr>
          <w:p w14:paraId="2A35A850" w14:textId="77777777" w:rsidR="00FA4AA8" w:rsidRDefault="00FA4AA8">
            <w:pPr>
              <w:rPr>
                <w:sz w:val="2"/>
                <w:szCs w:val="2"/>
              </w:rPr>
            </w:pPr>
          </w:p>
        </w:tc>
      </w:tr>
      <w:tr w:rsidR="00FA4AA8" w14:paraId="0EFD498F" w14:textId="77777777">
        <w:trPr>
          <w:trHeight w:val="593"/>
        </w:trPr>
        <w:tc>
          <w:tcPr>
            <w:tcW w:w="6970" w:type="dxa"/>
          </w:tcPr>
          <w:p w14:paraId="3ABAC5C2" w14:textId="77777777" w:rsidR="00FA4AA8" w:rsidRDefault="00FA4AA8">
            <w:pPr>
              <w:pStyle w:val="TableParagraph"/>
              <w:rPr>
                <w:rFonts w:ascii="Times New Roman"/>
                <w:sz w:val="18"/>
              </w:rPr>
            </w:pPr>
          </w:p>
        </w:tc>
        <w:tc>
          <w:tcPr>
            <w:tcW w:w="1698" w:type="dxa"/>
          </w:tcPr>
          <w:p w14:paraId="2A4166EA" w14:textId="77777777" w:rsidR="00FA4AA8" w:rsidRDefault="00FA4AA8">
            <w:pPr>
              <w:pStyle w:val="TableParagraph"/>
              <w:rPr>
                <w:rFonts w:ascii="Times New Roman"/>
                <w:sz w:val="18"/>
              </w:rPr>
            </w:pPr>
          </w:p>
        </w:tc>
        <w:tc>
          <w:tcPr>
            <w:tcW w:w="1296" w:type="dxa"/>
          </w:tcPr>
          <w:p w14:paraId="2A15E4C5" w14:textId="77777777" w:rsidR="00FA4AA8" w:rsidRDefault="00FA4AA8">
            <w:pPr>
              <w:pStyle w:val="TableParagraph"/>
              <w:rPr>
                <w:sz w:val="20"/>
              </w:rPr>
            </w:pPr>
          </w:p>
          <w:p w14:paraId="24F6112A" w14:textId="77777777" w:rsidR="00FA4AA8" w:rsidRDefault="0015611F">
            <w:pPr>
              <w:pStyle w:val="TableParagraph"/>
              <w:spacing w:before="120"/>
              <w:ind w:left="393" w:right="395"/>
              <w:jc w:val="center"/>
              <w:rPr>
                <w:b/>
                <w:sz w:val="18"/>
              </w:rPr>
            </w:pPr>
            <w:r>
              <w:rPr>
                <w:b/>
                <w:sz w:val="18"/>
              </w:rPr>
              <w:t>2018</w:t>
            </w:r>
          </w:p>
        </w:tc>
      </w:tr>
      <w:tr w:rsidR="00FA4AA8" w14:paraId="7D2C7C0A" w14:textId="77777777">
        <w:trPr>
          <w:trHeight w:val="313"/>
        </w:trPr>
        <w:tc>
          <w:tcPr>
            <w:tcW w:w="6970" w:type="dxa"/>
          </w:tcPr>
          <w:p w14:paraId="25FBA980" w14:textId="77777777" w:rsidR="00FA4AA8" w:rsidRDefault="00FA4AA8">
            <w:pPr>
              <w:pStyle w:val="TableParagraph"/>
              <w:rPr>
                <w:rFonts w:ascii="Times New Roman"/>
                <w:sz w:val="18"/>
              </w:rPr>
            </w:pPr>
          </w:p>
        </w:tc>
        <w:tc>
          <w:tcPr>
            <w:tcW w:w="1698" w:type="dxa"/>
          </w:tcPr>
          <w:p w14:paraId="42A24FF8" w14:textId="77777777" w:rsidR="00FA4AA8" w:rsidRDefault="0015611F">
            <w:pPr>
              <w:pStyle w:val="TableParagraph"/>
              <w:spacing w:before="30"/>
              <w:ind w:left="1188" w:right="69"/>
              <w:jc w:val="center"/>
              <w:rPr>
                <w:b/>
                <w:sz w:val="18"/>
              </w:rPr>
            </w:pPr>
            <w:r>
              <w:rPr>
                <w:b/>
                <w:sz w:val="18"/>
              </w:rPr>
              <w:t>Note</w:t>
            </w:r>
          </w:p>
        </w:tc>
        <w:tc>
          <w:tcPr>
            <w:tcW w:w="1296" w:type="dxa"/>
          </w:tcPr>
          <w:p w14:paraId="67E2A6F9" w14:textId="77777777" w:rsidR="00FA4AA8" w:rsidRDefault="0015611F">
            <w:pPr>
              <w:pStyle w:val="TableParagraph"/>
              <w:spacing w:before="30"/>
              <w:ind w:right="2"/>
              <w:jc w:val="center"/>
              <w:rPr>
                <w:b/>
                <w:sz w:val="18"/>
              </w:rPr>
            </w:pPr>
            <w:r>
              <w:rPr>
                <w:b/>
                <w:sz w:val="18"/>
              </w:rPr>
              <w:t>$</w:t>
            </w:r>
          </w:p>
        </w:tc>
      </w:tr>
      <w:tr w:rsidR="00FA4AA8" w14:paraId="20720F64" w14:textId="77777777">
        <w:trPr>
          <w:trHeight w:val="527"/>
        </w:trPr>
        <w:tc>
          <w:tcPr>
            <w:tcW w:w="6970" w:type="dxa"/>
          </w:tcPr>
          <w:p w14:paraId="2E9F86D1" w14:textId="77777777" w:rsidR="00FA4AA8" w:rsidRDefault="0015611F">
            <w:pPr>
              <w:pStyle w:val="TableParagraph"/>
              <w:spacing w:before="70"/>
              <w:ind w:left="76"/>
              <w:rPr>
                <w:b/>
                <w:sz w:val="18"/>
              </w:rPr>
            </w:pPr>
            <w:r>
              <w:rPr>
                <w:b/>
                <w:sz w:val="18"/>
              </w:rPr>
              <w:t>Revenue</w:t>
            </w:r>
          </w:p>
          <w:p w14:paraId="3903CB14" w14:textId="77777777" w:rsidR="00FA4AA8" w:rsidRDefault="0015611F">
            <w:pPr>
              <w:pStyle w:val="TableParagraph"/>
              <w:spacing w:before="25" w:line="205" w:lineRule="exact"/>
              <w:ind w:left="76"/>
              <w:rPr>
                <w:sz w:val="18"/>
              </w:rPr>
            </w:pPr>
            <w:r>
              <w:rPr>
                <w:sz w:val="18"/>
              </w:rPr>
              <w:t>Other revenue</w:t>
            </w:r>
          </w:p>
        </w:tc>
        <w:tc>
          <w:tcPr>
            <w:tcW w:w="1698" w:type="dxa"/>
          </w:tcPr>
          <w:p w14:paraId="61929F39" w14:textId="77777777" w:rsidR="00FA4AA8" w:rsidRDefault="00FA4AA8">
            <w:pPr>
              <w:pStyle w:val="TableParagraph"/>
              <w:rPr>
                <w:rFonts w:ascii="Times New Roman"/>
                <w:sz w:val="18"/>
              </w:rPr>
            </w:pPr>
          </w:p>
        </w:tc>
        <w:tc>
          <w:tcPr>
            <w:tcW w:w="1296" w:type="dxa"/>
            <w:tcBorders>
              <w:bottom w:val="single" w:sz="12" w:space="0" w:color="000000"/>
            </w:tcBorders>
          </w:tcPr>
          <w:p w14:paraId="50F32932" w14:textId="77777777" w:rsidR="00FA4AA8" w:rsidRDefault="00FA4AA8">
            <w:pPr>
              <w:pStyle w:val="TableParagraph"/>
              <w:spacing w:before="3"/>
              <w:rPr>
                <w:sz w:val="26"/>
              </w:rPr>
            </w:pPr>
          </w:p>
          <w:p w14:paraId="1B8034B0" w14:textId="77777777" w:rsidR="00FA4AA8" w:rsidRDefault="0015611F">
            <w:pPr>
              <w:pStyle w:val="TableParagraph"/>
              <w:spacing w:line="205" w:lineRule="exact"/>
              <w:ind w:right="1"/>
              <w:jc w:val="center"/>
              <w:rPr>
                <w:b/>
                <w:sz w:val="18"/>
              </w:rPr>
            </w:pPr>
            <w:r>
              <w:rPr>
                <w:b/>
                <w:sz w:val="18"/>
              </w:rPr>
              <w:t>-</w:t>
            </w:r>
          </w:p>
        </w:tc>
      </w:tr>
      <w:tr w:rsidR="00FA4AA8" w14:paraId="53382851" w14:textId="77777777">
        <w:trPr>
          <w:trHeight w:val="386"/>
        </w:trPr>
        <w:tc>
          <w:tcPr>
            <w:tcW w:w="6970" w:type="dxa"/>
          </w:tcPr>
          <w:p w14:paraId="52C545CB" w14:textId="77777777" w:rsidR="00FA4AA8" w:rsidRDefault="0015611F">
            <w:pPr>
              <w:pStyle w:val="TableParagraph"/>
              <w:spacing w:before="110"/>
              <w:ind w:left="76"/>
              <w:rPr>
                <w:b/>
                <w:sz w:val="18"/>
              </w:rPr>
            </w:pPr>
            <w:r>
              <w:rPr>
                <w:b/>
                <w:sz w:val="18"/>
              </w:rPr>
              <w:t>Total revenue</w:t>
            </w:r>
          </w:p>
        </w:tc>
        <w:tc>
          <w:tcPr>
            <w:tcW w:w="1698" w:type="dxa"/>
          </w:tcPr>
          <w:p w14:paraId="75136E1C" w14:textId="77777777" w:rsidR="00FA4AA8" w:rsidRDefault="00FA4AA8">
            <w:pPr>
              <w:pStyle w:val="TableParagraph"/>
              <w:rPr>
                <w:rFonts w:ascii="Times New Roman"/>
                <w:sz w:val="18"/>
              </w:rPr>
            </w:pPr>
          </w:p>
        </w:tc>
        <w:tc>
          <w:tcPr>
            <w:tcW w:w="1296" w:type="dxa"/>
            <w:tcBorders>
              <w:top w:val="single" w:sz="12" w:space="0" w:color="000000"/>
            </w:tcBorders>
          </w:tcPr>
          <w:p w14:paraId="0574218F" w14:textId="77777777" w:rsidR="00FA4AA8" w:rsidRDefault="0015611F">
            <w:pPr>
              <w:pStyle w:val="TableParagraph"/>
              <w:tabs>
                <w:tab w:val="left" w:pos="616"/>
                <w:tab w:val="left" w:pos="1295"/>
              </w:tabs>
              <w:spacing w:before="110"/>
              <w:ind w:right="-15"/>
              <w:jc w:val="right"/>
              <w:rPr>
                <w:b/>
                <w:sz w:val="18"/>
              </w:rPr>
            </w:pPr>
            <w:r>
              <w:rPr>
                <w:rFonts w:ascii="Times New Roman"/>
                <w:sz w:val="18"/>
                <w:u w:val="thick"/>
              </w:rPr>
              <w:t xml:space="preserve"> </w:t>
            </w:r>
            <w:r>
              <w:rPr>
                <w:rFonts w:ascii="Times New Roman"/>
                <w:sz w:val="18"/>
                <w:u w:val="thick"/>
              </w:rPr>
              <w:tab/>
            </w:r>
            <w:r>
              <w:rPr>
                <w:b/>
                <w:sz w:val="18"/>
                <w:u w:val="thick"/>
              </w:rPr>
              <w:t>-</w:t>
            </w:r>
            <w:r>
              <w:rPr>
                <w:b/>
                <w:sz w:val="18"/>
                <w:u w:val="thick"/>
              </w:rPr>
              <w:tab/>
            </w:r>
          </w:p>
        </w:tc>
      </w:tr>
      <w:tr w:rsidR="00FA4AA8" w14:paraId="5E837932" w14:textId="77777777">
        <w:trPr>
          <w:trHeight w:val="531"/>
        </w:trPr>
        <w:tc>
          <w:tcPr>
            <w:tcW w:w="6970" w:type="dxa"/>
          </w:tcPr>
          <w:p w14:paraId="2C6F7C33" w14:textId="77777777" w:rsidR="00FA4AA8" w:rsidRDefault="0015611F">
            <w:pPr>
              <w:pStyle w:val="TableParagraph"/>
              <w:spacing w:before="62"/>
              <w:ind w:left="76"/>
              <w:rPr>
                <w:b/>
                <w:sz w:val="18"/>
              </w:rPr>
            </w:pPr>
            <w:r>
              <w:rPr>
                <w:b/>
                <w:sz w:val="18"/>
              </w:rPr>
              <w:t>Expenses</w:t>
            </w:r>
          </w:p>
          <w:p w14:paraId="4BFC8306" w14:textId="77777777" w:rsidR="00FA4AA8" w:rsidRDefault="0015611F">
            <w:pPr>
              <w:pStyle w:val="TableParagraph"/>
              <w:spacing w:before="26"/>
              <w:ind w:left="76"/>
              <w:rPr>
                <w:sz w:val="18"/>
              </w:rPr>
            </w:pPr>
            <w:r>
              <w:rPr>
                <w:sz w:val="18"/>
              </w:rPr>
              <w:t>Finance costs</w:t>
            </w:r>
          </w:p>
        </w:tc>
        <w:tc>
          <w:tcPr>
            <w:tcW w:w="1698" w:type="dxa"/>
          </w:tcPr>
          <w:p w14:paraId="313B567F" w14:textId="77777777" w:rsidR="00FA4AA8" w:rsidRDefault="00FA4AA8">
            <w:pPr>
              <w:pStyle w:val="TableParagraph"/>
              <w:spacing w:before="7"/>
              <w:rPr>
                <w:sz w:val="25"/>
              </w:rPr>
            </w:pPr>
          </w:p>
          <w:p w14:paraId="4C720D65" w14:textId="77777777" w:rsidR="00FA4AA8" w:rsidRDefault="0015611F">
            <w:pPr>
              <w:pStyle w:val="TableParagraph"/>
              <w:ind w:left="1186" w:right="69"/>
              <w:jc w:val="center"/>
              <w:rPr>
                <w:sz w:val="18"/>
              </w:rPr>
            </w:pPr>
            <w:r>
              <w:rPr>
                <w:sz w:val="18"/>
              </w:rPr>
              <w:t>7(b)</w:t>
            </w:r>
          </w:p>
        </w:tc>
        <w:tc>
          <w:tcPr>
            <w:tcW w:w="1296" w:type="dxa"/>
          </w:tcPr>
          <w:p w14:paraId="4E78AB90" w14:textId="77777777" w:rsidR="00FA4AA8" w:rsidRDefault="00FA4AA8">
            <w:pPr>
              <w:pStyle w:val="TableParagraph"/>
              <w:spacing w:before="7"/>
              <w:rPr>
                <w:sz w:val="25"/>
              </w:rPr>
            </w:pPr>
          </w:p>
          <w:p w14:paraId="065AA548" w14:textId="77777777" w:rsidR="00FA4AA8" w:rsidRDefault="0015611F">
            <w:pPr>
              <w:pStyle w:val="TableParagraph"/>
              <w:ind w:right="26"/>
              <w:jc w:val="right"/>
              <w:rPr>
                <w:b/>
                <w:sz w:val="18"/>
              </w:rPr>
            </w:pPr>
            <w:r>
              <w:rPr>
                <w:b/>
                <w:sz w:val="18"/>
              </w:rPr>
              <w:t>(299,972)</w:t>
            </w:r>
          </w:p>
        </w:tc>
      </w:tr>
      <w:tr w:rsidR="00FA4AA8" w14:paraId="27012DBA" w14:textId="77777777">
        <w:trPr>
          <w:trHeight w:val="247"/>
        </w:trPr>
        <w:tc>
          <w:tcPr>
            <w:tcW w:w="6970" w:type="dxa"/>
          </w:tcPr>
          <w:p w14:paraId="74CD5C49" w14:textId="77777777" w:rsidR="00FA4AA8" w:rsidRDefault="0015611F">
            <w:pPr>
              <w:pStyle w:val="TableParagraph"/>
              <w:spacing w:before="23" w:line="205" w:lineRule="exact"/>
              <w:ind w:left="76"/>
              <w:rPr>
                <w:sz w:val="18"/>
              </w:rPr>
            </w:pPr>
            <w:r>
              <w:rPr>
                <w:sz w:val="18"/>
              </w:rPr>
              <w:t>Other expenses</w:t>
            </w:r>
          </w:p>
        </w:tc>
        <w:tc>
          <w:tcPr>
            <w:tcW w:w="1698" w:type="dxa"/>
          </w:tcPr>
          <w:p w14:paraId="055A56A8" w14:textId="77777777" w:rsidR="00FA4AA8" w:rsidRDefault="0015611F">
            <w:pPr>
              <w:pStyle w:val="TableParagraph"/>
              <w:spacing w:before="23" w:line="205" w:lineRule="exact"/>
              <w:ind w:left="1116"/>
              <w:jc w:val="center"/>
              <w:rPr>
                <w:sz w:val="18"/>
              </w:rPr>
            </w:pPr>
            <w:r>
              <w:rPr>
                <w:sz w:val="18"/>
              </w:rPr>
              <w:t>5</w:t>
            </w:r>
          </w:p>
        </w:tc>
        <w:tc>
          <w:tcPr>
            <w:tcW w:w="1296" w:type="dxa"/>
            <w:tcBorders>
              <w:bottom w:val="single" w:sz="12" w:space="0" w:color="000000"/>
            </w:tcBorders>
          </w:tcPr>
          <w:p w14:paraId="75BB2180" w14:textId="77777777" w:rsidR="00FA4AA8" w:rsidRDefault="0015611F">
            <w:pPr>
              <w:pStyle w:val="TableParagraph"/>
              <w:spacing w:before="23" w:line="205" w:lineRule="exact"/>
              <w:ind w:right="25"/>
              <w:jc w:val="right"/>
              <w:rPr>
                <w:b/>
                <w:sz w:val="18"/>
              </w:rPr>
            </w:pPr>
            <w:r>
              <w:rPr>
                <w:b/>
                <w:sz w:val="18"/>
              </w:rPr>
              <w:t>(70,874)</w:t>
            </w:r>
          </w:p>
        </w:tc>
      </w:tr>
      <w:tr w:rsidR="00FA4AA8" w14:paraId="5AF37FC2" w14:textId="77777777">
        <w:trPr>
          <w:trHeight w:val="386"/>
        </w:trPr>
        <w:tc>
          <w:tcPr>
            <w:tcW w:w="6970" w:type="dxa"/>
          </w:tcPr>
          <w:p w14:paraId="734406B8" w14:textId="77777777" w:rsidR="00FA4AA8" w:rsidRDefault="0015611F">
            <w:pPr>
              <w:pStyle w:val="TableParagraph"/>
              <w:spacing w:before="110"/>
              <w:ind w:left="76"/>
              <w:rPr>
                <w:b/>
                <w:sz w:val="18"/>
              </w:rPr>
            </w:pPr>
            <w:r>
              <w:rPr>
                <w:b/>
                <w:sz w:val="18"/>
              </w:rPr>
              <w:t>Total expenses</w:t>
            </w:r>
          </w:p>
        </w:tc>
        <w:tc>
          <w:tcPr>
            <w:tcW w:w="1698" w:type="dxa"/>
          </w:tcPr>
          <w:p w14:paraId="13C2ABFF" w14:textId="77777777" w:rsidR="00FA4AA8" w:rsidRDefault="00FA4AA8">
            <w:pPr>
              <w:pStyle w:val="TableParagraph"/>
              <w:rPr>
                <w:rFonts w:ascii="Times New Roman"/>
                <w:sz w:val="18"/>
              </w:rPr>
            </w:pPr>
          </w:p>
        </w:tc>
        <w:tc>
          <w:tcPr>
            <w:tcW w:w="1296" w:type="dxa"/>
            <w:tcBorders>
              <w:top w:val="single" w:sz="12" w:space="0" w:color="000000"/>
            </w:tcBorders>
          </w:tcPr>
          <w:p w14:paraId="2E4CFF86" w14:textId="77777777" w:rsidR="00FA4AA8" w:rsidRDefault="0015611F">
            <w:pPr>
              <w:pStyle w:val="TableParagraph"/>
              <w:tabs>
                <w:tab w:val="left" w:pos="491"/>
              </w:tabs>
              <w:spacing w:before="110"/>
              <w:ind w:right="-15"/>
              <w:jc w:val="right"/>
              <w:rPr>
                <w:b/>
                <w:sz w:val="18"/>
              </w:rPr>
            </w:pPr>
            <w:r>
              <w:rPr>
                <w:rFonts w:ascii="Times New Roman"/>
                <w:sz w:val="18"/>
                <w:u w:val="thick"/>
              </w:rPr>
              <w:t xml:space="preserve"> </w:t>
            </w:r>
            <w:r>
              <w:rPr>
                <w:rFonts w:ascii="Times New Roman"/>
                <w:sz w:val="18"/>
                <w:u w:val="thick"/>
              </w:rPr>
              <w:tab/>
            </w:r>
            <w:r>
              <w:rPr>
                <w:b/>
                <w:sz w:val="18"/>
                <w:u w:val="thick"/>
              </w:rPr>
              <w:t>(370,846)</w:t>
            </w:r>
            <w:r>
              <w:rPr>
                <w:b/>
                <w:spacing w:val="-22"/>
                <w:sz w:val="18"/>
                <w:u w:val="thick"/>
              </w:rPr>
              <w:t xml:space="preserve"> </w:t>
            </w:r>
          </w:p>
        </w:tc>
      </w:tr>
      <w:tr w:rsidR="00FA4AA8" w14:paraId="28F33CD4" w14:textId="77777777">
        <w:trPr>
          <w:trHeight w:val="295"/>
        </w:trPr>
        <w:tc>
          <w:tcPr>
            <w:tcW w:w="6970" w:type="dxa"/>
          </w:tcPr>
          <w:p w14:paraId="4A792BA3" w14:textId="77777777" w:rsidR="00FA4AA8" w:rsidRDefault="0015611F">
            <w:pPr>
              <w:pStyle w:val="TableParagraph"/>
              <w:spacing w:before="62"/>
              <w:ind w:left="76"/>
              <w:rPr>
                <w:b/>
                <w:sz w:val="18"/>
              </w:rPr>
            </w:pPr>
            <w:r>
              <w:rPr>
                <w:b/>
                <w:sz w:val="18"/>
              </w:rPr>
              <w:t>Surplus / (deficit) for the period</w:t>
            </w:r>
          </w:p>
        </w:tc>
        <w:tc>
          <w:tcPr>
            <w:tcW w:w="1698" w:type="dxa"/>
          </w:tcPr>
          <w:p w14:paraId="258BF737" w14:textId="77777777" w:rsidR="00FA4AA8" w:rsidRDefault="00FA4AA8">
            <w:pPr>
              <w:pStyle w:val="TableParagraph"/>
              <w:rPr>
                <w:rFonts w:ascii="Times New Roman"/>
                <w:sz w:val="18"/>
              </w:rPr>
            </w:pPr>
          </w:p>
        </w:tc>
        <w:tc>
          <w:tcPr>
            <w:tcW w:w="1296" w:type="dxa"/>
          </w:tcPr>
          <w:p w14:paraId="0597BB25" w14:textId="77777777" w:rsidR="00FA4AA8" w:rsidRDefault="0015611F">
            <w:pPr>
              <w:pStyle w:val="TableParagraph"/>
              <w:tabs>
                <w:tab w:val="left" w:pos="491"/>
              </w:tabs>
              <w:spacing w:before="62"/>
              <w:ind w:right="-15"/>
              <w:jc w:val="right"/>
              <w:rPr>
                <w:b/>
                <w:sz w:val="18"/>
              </w:rPr>
            </w:pPr>
            <w:r>
              <w:rPr>
                <w:rFonts w:ascii="Times New Roman"/>
                <w:sz w:val="18"/>
                <w:u w:val="thick"/>
              </w:rPr>
              <w:t xml:space="preserve"> </w:t>
            </w:r>
            <w:r>
              <w:rPr>
                <w:rFonts w:ascii="Times New Roman"/>
                <w:sz w:val="18"/>
                <w:u w:val="thick"/>
              </w:rPr>
              <w:tab/>
            </w:r>
            <w:r>
              <w:rPr>
                <w:b/>
                <w:sz w:val="18"/>
                <w:u w:val="thick"/>
              </w:rPr>
              <w:t>(370,846)</w:t>
            </w:r>
            <w:r>
              <w:rPr>
                <w:b/>
                <w:spacing w:val="-22"/>
                <w:sz w:val="18"/>
                <w:u w:val="thick"/>
              </w:rPr>
              <w:t xml:space="preserve"> </w:t>
            </w:r>
          </w:p>
        </w:tc>
      </w:tr>
      <w:tr w:rsidR="00FA4AA8" w14:paraId="483DC2FC" w14:textId="77777777">
        <w:trPr>
          <w:trHeight w:val="243"/>
        </w:trPr>
        <w:tc>
          <w:tcPr>
            <w:tcW w:w="6970" w:type="dxa"/>
          </w:tcPr>
          <w:p w14:paraId="1671684F" w14:textId="77777777" w:rsidR="00FA4AA8" w:rsidRDefault="0015611F">
            <w:pPr>
              <w:pStyle w:val="TableParagraph"/>
              <w:spacing w:before="19" w:line="205" w:lineRule="exact"/>
              <w:ind w:left="76"/>
              <w:rPr>
                <w:sz w:val="18"/>
              </w:rPr>
            </w:pPr>
            <w:r>
              <w:rPr>
                <w:sz w:val="18"/>
              </w:rPr>
              <w:t>Other comprehensive income</w:t>
            </w:r>
          </w:p>
        </w:tc>
        <w:tc>
          <w:tcPr>
            <w:tcW w:w="1698" w:type="dxa"/>
          </w:tcPr>
          <w:p w14:paraId="17BB69A1" w14:textId="77777777" w:rsidR="00FA4AA8" w:rsidRDefault="00FA4AA8">
            <w:pPr>
              <w:pStyle w:val="TableParagraph"/>
              <w:rPr>
                <w:rFonts w:ascii="Times New Roman"/>
                <w:sz w:val="16"/>
              </w:rPr>
            </w:pPr>
          </w:p>
        </w:tc>
        <w:tc>
          <w:tcPr>
            <w:tcW w:w="1296" w:type="dxa"/>
            <w:tcBorders>
              <w:bottom w:val="single" w:sz="12" w:space="0" w:color="000000"/>
            </w:tcBorders>
          </w:tcPr>
          <w:p w14:paraId="0BD0118B" w14:textId="77777777" w:rsidR="00FA4AA8" w:rsidRDefault="0015611F">
            <w:pPr>
              <w:pStyle w:val="TableParagraph"/>
              <w:spacing w:before="19" w:line="205" w:lineRule="exact"/>
              <w:ind w:right="1"/>
              <w:jc w:val="center"/>
              <w:rPr>
                <w:b/>
                <w:sz w:val="18"/>
              </w:rPr>
            </w:pPr>
            <w:r>
              <w:rPr>
                <w:b/>
                <w:sz w:val="18"/>
              </w:rPr>
              <w:t>-</w:t>
            </w:r>
          </w:p>
        </w:tc>
      </w:tr>
      <w:tr w:rsidR="00FA4AA8" w14:paraId="39A28EFC" w14:textId="77777777">
        <w:trPr>
          <w:trHeight w:val="400"/>
        </w:trPr>
        <w:tc>
          <w:tcPr>
            <w:tcW w:w="6970" w:type="dxa"/>
          </w:tcPr>
          <w:p w14:paraId="046E0DF3" w14:textId="77777777" w:rsidR="00FA4AA8" w:rsidRDefault="0015611F">
            <w:pPr>
              <w:pStyle w:val="TableParagraph"/>
              <w:spacing w:before="110"/>
              <w:ind w:left="76"/>
              <w:rPr>
                <w:b/>
                <w:sz w:val="18"/>
              </w:rPr>
            </w:pPr>
            <w:r>
              <w:rPr>
                <w:b/>
                <w:sz w:val="18"/>
              </w:rPr>
              <w:t>Total comprehensive income for the period</w:t>
            </w:r>
          </w:p>
        </w:tc>
        <w:tc>
          <w:tcPr>
            <w:tcW w:w="1698" w:type="dxa"/>
          </w:tcPr>
          <w:p w14:paraId="0D19D2EF" w14:textId="77777777" w:rsidR="00FA4AA8" w:rsidRDefault="00FA4AA8">
            <w:pPr>
              <w:pStyle w:val="TableParagraph"/>
              <w:rPr>
                <w:rFonts w:ascii="Times New Roman"/>
                <w:sz w:val="18"/>
              </w:rPr>
            </w:pPr>
          </w:p>
        </w:tc>
        <w:tc>
          <w:tcPr>
            <w:tcW w:w="1296" w:type="dxa"/>
            <w:tcBorders>
              <w:top w:val="single" w:sz="12" w:space="0" w:color="000000"/>
            </w:tcBorders>
          </w:tcPr>
          <w:p w14:paraId="32BDE262" w14:textId="77777777" w:rsidR="00FA4AA8" w:rsidRDefault="0015611F">
            <w:pPr>
              <w:pStyle w:val="TableParagraph"/>
              <w:tabs>
                <w:tab w:val="left" w:pos="491"/>
              </w:tabs>
              <w:spacing w:before="110"/>
              <w:ind w:right="-15"/>
              <w:jc w:val="right"/>
              <w:rPr>
                <w:b/>
                <w:sz w:val="18"/>
              </w:rPr>
            </w:pPr>
            <w:r>
              <w:rPr>
                <w:rFonts w:ascii="Times New Roman"/>
                <w:sz w:val="18"/>
                <w:u w:val="double"/>
              </w:rPr>
              <w:t xml:space="preserve"> </w:t>
            </w:r>
            <w:r>
              <w:rPr>
                <w:rFonts w:ascii="Times New Roman"/>
                <w:sz w:val="18"/>
                <w:u w:val="double"/>
              </w:rPr>
              <w:tab/>
            </w:r>
            <w:r>
              <w:rPr>
                <w:b/>
                <w:sz w:val="18"/>
                <w:u w:val="single"/>
              </w:rPr>
              <w:t>(37</w:t>
            </w:r>
            <w:r>
              <w:rPr>
                <w:b/>
                <w:sz w:val="18"/>
              </w:rPr>
              <w:t>0,</w:t>
            </w:r>
            <w:r>
              <w:rPr>
                <w:b/>
                <w:sz w:val="18"/>
                <w:u w:val="single"/>
              </w:rPr>
              <w:t>84</w:t>
            </w:r>
            <w:r>
              <w:rPr>
                <w:b/>
                <w:sz w:val="18"/>
              </w:rPr>
              <w:t>6)</w:t>
            </w:r>
            <w:r>
              <w:rPr>
                <w:b/>
                <w:spacing w:val="-22"/>
                <w:sz w:val="18"/>
              </w:rPr>
              <w:t xml:space="preserve"> </w:t>
            </w:r>
          </w:p>
        </w:tc>
      </w:tr>
      <w:tr w:rsidR="00FA4AA8" w14:paraId="2614E41E" w14:textId="77777777">
        <w:trPr>
          <w:trHeight w:val="545"/>
        </w:trPr>
        <w:tc>
          <w:tcPr>
            <w:tcW w:w="6970" w:type="dxa"/>
          </w:tcPr>
          <w:p w14:paraId="2C543B08" w14:textId="77777777" w:rsidR="00FA4AA8" w:rsidRDefault="0015611F">
            <w:pPr>
              <w:pStyle w:val="TableParagraph"/>
              <w:spacing w:before="76"/>
              <w:ind w:left="76"/>
              <w:rPr>
                <w:b/>
                <w:sz w:val="18"/>
              </w:rPr>
            </w:pPr>
            <w:r>
              <w:rPr>
                <w:b/>
                <w:sz w:val="18"/>
              </w:rPr>
              <w:t>Comprehensive income attributable to:</w:t>
            </w:r>
          </w:p>
          <w:p w14:paraId="36696172" w14:textId="77777777" w:rsidR="00FA4AA8" w:rsidRDefault="0015611F">
            <w:pPr>
              <w:pStyle w:val="TableParagraph"/>
              <w:spacing w:before="26"/>
              <w:ind w:left="76"/>
              <w:rPr>
                <w:sz w:val="18"/>
              </w:rPr>
            </w:pPr>
            <w:r>
              <w:rPr>
                <w:sz w:val="18"/>
              </w:rPr>
              <w:t>Non-controlling interest</w:t>
            </w:r>
          </w:p>
        </w:tc>
        <w:tc>
          <w:tcPr>
            <w:tcW w:w="1698" w:type="dxa"/>
          </w:tcPr>
          <w:p w14:paraId="03CC2D75" w14:textId="77777777" w:rsidR="00FA4AA8" w:rsidRDefault="00FA4AA8">
            <w:pPr>
              <w:pStyle w:val="TableParagraph"/>
              <w:rPr>
                <w:rFonts w:ascii="Times New Roman"/>
                <w:sz w:val="18"/>
              </w:rPr>
            </w:pPr>
          </w:p>
        </w:tc>
        <w:tc>
          <w:tcPr>
            <w:tcW w:w="1296" w:type="dxa"/>
          </w:tcPr>
          <w:p w14:paraId="4AF88937" w14:textId="77777777" w:rsidR="00FA4AA8" w:rsidRDefault="00FA4AA8">
            <w:pPr>
              <w:pStyle w:val="TableParagraph"/>
              <w:spacing w:before="10"/>
              <w:rPr>
                <w:sz w:val="26"/>
              </w:rPr>
            </w:pPr>
          </w:p>
          <w:p w14:paraId="3BB4E729" w14:textId="77777777" w:rsidR="00FA4AA8" w:rsidRDefault="0015611F">
            <w:pPr>
              <w:pStyle w:val="TableParagraph"/>
              <w:ind w:right="1"/>
              <w:jc w:val="center"/>
              <w:rPr>
                <w:b/>
                <w:sz w:val="18"/>
              </w:rPr>
            </w:pPr>
            <w:r>
              <w:rPr>
                <w:b/>
                <w:sz w:val="18"/>
              </w:rPr>
              <w:t>-</w:t>
            </w:r>
          </w:p>
        </w:tc>
      </w:tr>
      <w:tr w:rsidR="00FA4AA8" w14:paraId="65D2AC95" w14:textId="77777777">
        <w:trPr>
          <w:trHeight w:val="247"/>
        </w:trPr>
        <w:tc>
          <w:tcPr>
            <w:tcW w:w="6970" w:type="dxa"/>
          </w:tcPr>
          <w:p w14:paraId="0A800CAC" w14:textId="77777777" w:rsidR="00FA4AA8" w:rsidRDefault="0015611F">
            <w:pPr>
              <w:pStyle w:val="TableParagraph"/>
              <w:spacing w:before="23" w:line="205" w:lineRule="exact"/>
              <w:ind w:left="76"/>
              <w:rPr>
                <w:sz w:val="18"/>
              </w:rPr>
            </w:pPr>
            <w:r>
              <w:rPr>
                <w:sz w:val="18"/>
              </w:rPr>
              <w:t>Western Sydney University (The Parent)</w:t>
            </w:r>
          </w:p>
        </w:tc>
        <w:tc>
          <w:tcPr>
            <w:tcW w:w="1698" w:type="dxa"/>
          </w:tcPr>
          <w:p w14:paraId="6D72D7AE" w14:textId="77777777" w:rsidR="00FA4AA8" w:rsidRDefault="00FA4AA8">
            <w:pPr>
              <w:pStyle w:val="TableParagraph"/>
              <w:rPr>
                <w:rFonts w:ascii="Times New Roman"/>
                <w:sz w:val="18"/>
              </w:rPr>
            </w:pPr>
          </w:p>
        </w:tc>
        <w:tc>
          <w:tcPr>
            <w:tcW w:w="1296" w:type="dxa"/>
            <w:tcBorders>
              <w:bottom w:val="single" w:sz="12" w:space="0" w:color="000000"/>
            </w:tcBorders>
          </w:tcPr>
          <w:p w14:paraId="69C92D10" w14:textId="77777777" w:rsidR="00FA4AA8" w:rsidRDefault="0015611F">
            <w:pPr>
              <w:pStyle w:val="TableParagraph"/>
              <w:spacing w:before="23" w:line="205" w:lineRule="exact"/>
              <w:ind w:right="26"/>
              <w:jc w:val="right"/>
              <w:rPr>
                <w:b/>
                <w:sz w:val="18"/>
              </w:rPr>
            </w:pPr>
            <w:r>
              <w:rPr>
                <w:b/>
                <w:sz w:val="18"/>
              </w:rPr>
              <w:t>(370,846)</w:t>
            </w:r>
          </w:p>
        </w:tc>
      </w:tr>
      <w:tr w:rsidR="00FA4AA8" w14:paraId="702DE856" w14:textId="77777777">
        <w:trPr>
          <w:trHeight w:val="317"/>
        </w:trPr>
        <w:tc>
          <w:tcPr>
            <w:tcW w:w="6970" w:type="dxa"/>
          </w:tcPr>
          <w:p w14:paraId="5E33ADF0" w14:textId="77777777" w:rsidR="00FA4AA8" w:rsidRDefault="0015611F">
            <w:pPr>
              <w:pStyle w:val="TableParagraph"/>
              <w:spacing w:before="110" w:line="188" w:lineRule="exact"/>
              <w:ind w:left="76"/>
              <w:rPr>
                <w:b/>
                <w:sz w:val="18"/>
              </w:rPr>
            </w:pPr>
            <w:r>
              <w:rPr>
                <w:b/>
                <w:sz w:val="18"/>
              </w:rPr>
              <w:t>Total comprehensive income for the period</w:t>
            </w:r>
          </w:p>
        </w:tc>
        <w:tc>
          <w:tcPr>
            <w:tcW w:w="1698" w:type="dxa"/>
          </w:tcPr>
          <w:p w14:paraId="7FA4B9E8" w14:textId="77777777" w:rsidR="00FA4AA8" w:rsidRDefault="00FA4AA8">
            <w:pPr>
              <w:pStyle w:val="TableParagraph"/>
              <w:rPr>
                <w:rFonts w:ascii="Times New Roman"/>
                <w:sz w:val="18"/>
              </w:rPr>
            </w:pPr>
          </w:p>
        </w:tc>
        <w:tc>
          <w:tcPr>
            <w:tcW w:w="1296" w:type="dxa"/>
            <w:tcBorders>
              <w:top w:val="single" w:sz="12" w:space="0" w:color="000000"/>
            </w:tcBorders>
          </w:tcPr>
          <w:p w14:paraId="6D7D04CC" w14:textId="77777777" w:rsidR="00FA4AA8" w:rsidRDefault="0015611F">
            <w:pPr>
              <w:pStyle w:val="TableParagraph"/>
              <w:tabs>
                <w:tab w:val="left" w:pos="491"/>
              </w:tabs>
              <w:spacing w:before="110" w:line="188" w:lineRule="exact"/>
              <w:ind w:right="-15"/>
              <w:jc w:val="right"/>
              <w:rPr>
                <w:b/>
                <w:sz w:val="18"/>
              </w:rPr>
            </w:pPr>
            <w:r>
              <w:rPr>
                <w:rFonts w:ascii="Times New Roman"/>
                <w:sz w:val="18"/>
                <w:u w:val="double"/>
              </w:rPr>
              <w:t xml:space="preserve"> </w:t>
            </w:r>
            <w:r>
              <w:rPr>
                <w:rFonts w:ascii="Times New Roman"/>
                <w:sz w:val="18"/>
                <w:u w:val="double"/>
              </w:rPr>
              <w:tab/>
            </w:r>
            <w:r>
              <w:rPr>
                <w:b/>
                <w:sz w:val="18"/>
                <w:u w:val="single"/>
              </w:rPr>
              <w:t>(37</w:t>
            </w:r>
            <w:r>
              <w:rPr>
                <w:b/>
                <w:sz w:val="18"/>
              </w:rPr>
              <w:t>0,</w:t>
            </w:r>
            <w:r>
              <w:rPr>
                <w:b/>
                <w:sz w:val="18"/>
                <w:u w:val="single"/>
              </w:rPr>
              <w:t>84</w:t>
            </w:r>
            <w:r>
              <w:rPr>
                <w:b/>
                <w:sz w:val="18"/>
              </w:rPr>
              <w:t>6)</w:t>
            </w:r>
            <w:r>
              <w:rPr>
                <w:b/>
                <w:spacing w:val="-22"/>
                <w:sz w:val="18"/>
              </w:rPr>
              <w:t xml:space="preserve"> </w:t>
            </w:r>
          </w:p>
        </w:tc>
      </w:tr>
    </w:tbl>
    <w:p w14:paraId="2C37308B" w14:textId="77777777" w:rsidR="00FA4AA8" w:rsidRDefault="00FA4AA8">
      <w:pPr>
        <w:pStyle w:val="BodyText"/>
        <w:rPr>
          <w:sz w:val="20"/>
        </w:rPr>
      </w:pPr>
    </w:p>
    <w:p w14:paraId="5C4DFD5E" w14:textId="77777777" w:rsidR="00FA4AA8" w:rsidRDefault="00FA4AA8">
      <w:pPr>
        <w:pStyle w:val="BodyText"/>
        <w:rPr>
          <w:sz w:val="20"/>
        </w:rPr>
      </w:pPr>
    </w:p>
    <w:p w14:paraId="36FDD3D1" w14:textId="77777777" w:rsidR="00FA4AA8" w:rsidRDefault="00FA4AA8">
      <w:pPr>
        <w:pStyle w:val="BodyText"/>
        <w:rPr>
          <w:sz w:val="20"/>
        </w:rPr>
      </w:pPr>
    </w:p>
    <w:p w14:paraId="42B3DC81" w14:textId="77777777" w:rsidR="00FA4AA8" w:rsidRDefault="00FA4AA8">
      <w:pPr>
        <w:pStyle w:val="BodyText"/>
        <w:rPr>
          <w:sz w:val="20"/>
        </w:rPr>
      </w:pPr>
    </w:p>
    <w:p w14:paraId="091F2A11" w14:textId="77777777" w:rsidR="00FA4AA8" w:rsidRDefault="00FA4AA8">
      <w:pPr>
        <w:pStyle w:val="BodyText"/>
        <w:rPr>
          <w:sz w:val="20"/>
        </w:rPr>
      </w:pPr>
    </w:p>
    <w:p w14:paraId="0B9D828E" w14:textId="77777777" w:rsidR="00FA4AA8" w:rsidRDefault="00FA4AA8">
      <w:pPr>
        <w:pStyle w:val="BodyText"/>
        <w:rPr>
          <w:sz w:val="20"/>
        </w:rPr>
      </w:pPr>
    </w:p>
    <w:p w14:paraId="34A633CA" w14:textId="77777777" w:rsidR="00FA4AA8" w:rsidRDefault="00FA4AA8">
      <w:pPr>
        <w:pStyle w:val="BodyText"/>
        <w:rPr>
          <w:sz w:val="20"/>
        </w:rPr>
      </w:pPr>
    </w:p>
    <w:p w14:paraId="671D9AAE" w14:textId="77777777" w:rsidR="00FA4AA8" w:rsidRDefault="00FA4AA8">
      <w:pPr>
        <w:pStyle w:val="BodyText"/>
        <w:rPr>
          <w:sz w:val="20"/>
        </w:rPr>
      </w:pPr>
    </w:p>
    <w:p w14:paraId="75C3FE4B" w14:textId="77777777" w:rsidR="00FA4AA8" w:rsidRDefault="00FA4AA8">
      <w:pPr>
        <w:pStyle w:val="BodyText"/>
        <w:rPr>
          <w:sz w:val="20"/>
        </w:rPr>
      </w:pPr>
    </w:p>
    <w:p w14:paraId="7AFF7176" w14:textId="77777777" w:rsidR="00FA4AA8" w:rsidRDefault="00FA4AA8">
      <w:pPr>
        <w:pStyle w:val="BodyText"/>
        <w:rPr>
          <w:sz w:val="20"/>
        </w:rPr>
      </w:pPr>
    </w:p>
    <w:p w14:paraId="34B0C390" w14:textId="77777777" w:rsidR="00FA4AA8" w:rsidRDefault="00FA4AA8">
      <w:pPr>
        <w:pStyle w:val="BodyText"/>
        <w:rPr>
          <w:sz w:val="20"/>
        </w:rPr>
      </w:pPr>
    </w:p>
    <w:p w14:paraId="7C4B435A" w14:textId="77777777" w:rsidR="00FA4AA8" w:rsidRDefault="00FA4AA8">
      <w:pPr>
        <w:pStyle w:val="BodyText"/>
        <w:rPr>
          <w:sz w:val="20"/>
        </w:rPr>
      </w:pPr>
    </w:p>
    <w:p w14:paraId="6E63BDF1" w14:textId="77777777" w:rsidR="00FA4AA8" w:rsidRDefault="00FA4AA8">
      <w:pPr>
        <w:pStyle w:val="BodyText"/>
        <w:rPr>
          <w:sz w:val="20"/>
        </w:rPr>
      </w:pPr>
    </w:p>
    <w:p w14:paraId="037AB646" w14:textId="77777777" w:rsidR="00FA4AA8" w:rsidRDefault="00FA4AA8">
      <w:pPr>
        <w:pStyle w:val="BodyText"/>
        <w:rPr>
          <w:sz w:val="20"/>
        </w:rPr>
      </w:pPr>
    </w:p>
    <w:p w14:paraId="15AF4851" w14:textId="77777777" w:rsidR="00FA4AA8" w:rsidRDefault="00FA4AA8">
      <w:pPr>
        <w:pStyle w:val="BodyText"/>
        <w:rPr>
          <w:sz w:val="20"/>
        </w:rPr>
      </w:pPr>
    </w:p>
    <w:p w14:paraId="0075F757" w14:textId="77777777" w:rsidR="00FA4AA8" w:rsidRDefault="00FA4AA8">
      <w:pPr>
        <w:pStyle w:val="BodyText"/>
        <w:rPr>
          <w:sz w:val="20"/>
        </w:rPr>
      </w:pPr>
    </w:p>
    <w:p w14:paraId="489E62A7" w14:textId="77777777" w:rsidR="00FA4AA8" w:rsidRDefault="00FA4AA8">
      <w:pPr>
        <w:pStyle w:val="BodyText"/>
        <w:rPr>
          <w:sz w:val="20"/>
        </w:rPr>
      </w:pPr>
    </w:p>
    <w:p w14:paraId="7F3B7449" w14:textId="77777777" w:rsidR="00FA4AA8" w:rsidRDefault="00FA4AA8">
      <w:pPr>
        <w:pStyle w:val="BodyText"/>
        <w:rPr>
          <w:sz w:val="20"/>
        </w:rPr>
      </w:pPr>
    </w:p>
    <w:p w14:paraId="26E91519" w14:textId="77777777" w:rsidR="00FA4AA8" w:rsidRDefault="00FA4AA8">
      <w:pPr>
        <w:pStyle w:val="BodyText"/>
        <w:rPr>
          <w:sz w:val="20"/>
        </w:rPr>
      </w:pPr>
    </w:p>
    <w:p w14:paraId="56DB2E3B" w14:textId="77777777" w:rsidR="00FA4AA8" w:rsidRDefault="00FA4AA8">
      <w:pPr>
        <w:pStyle w:val="BodyText"/>
        <w:rPr>
          <w:sz w:val="20"/>
        </w:rPr>
      </w:pPr>
    </w:p>
    <w:p w14:paraId="31897895" w14:textId="77777777" w:rsidR="00FA4AA8" w:rsidRDefault="00FA4AA8">
      <w:pPr>
        <w:pStyle w:val="BodyText"/>
        <w:rPr>
          <w:sz w:val="20"/>
        </w:rPr>
      </w:pPr>
    </w:p>
    <w:p w14:paraId="01E3BC3B" w14:textId="77777777" w:rsidR="00FA4AA8" w:rsidRDefault="00FA4AA8">
      <w:pPr>
        <w:pStyle w:val="BodyText"/>
        <w:rPr>
          <w:sz w:val="20"/>
        </w:rPr>
      </w:pPr>
    </w:p>
    <w:p w14:paraId="18B8DD95" w14:textId="77777777" w:rsidR="00FA4AA8" w:rsidRDefault="00FA4AA8">
      <w:pPr>
        <w:pStyle w:val="BodyText"/>
        <w:rPr>
          <w:sz w:val="20"/>
        </w:rPr>
      </w:pPr>
    </w:p>
    <w:p w14:paraId="07194ED0" w14:textId="77777777" w:rsidR="00FA4AA8" w:rsidRDefault="00FA4AA8">
      <w:pPr>
        <w:pStyle w:val="BodyText"/>
        <w:rPr>
          <w:sz w:val="20"/>
        </w:rPr>
      </w:pPr>
    </w:p>
    <w:p w14:paraId="70F13616" w14:textId="77777777" w:rsidR="00FA4AA8" w:rsidRDefault="00FA4AA8">
      <w:pPr>
        <w:pStyle w:val="BodyText"/>
        <w:rPr>
          <w:sz w:val="20"/>
        </w:rPr>
      </w:pPr>
    </w:p>
    <w:p w14:paraId="70B4D07E" w14:textId="77777777" w:rsidR="00FA4AA8" w:rsidRDefault="00FA4AA8">
      <w:pPr>
        <w:pStyle w:val="BodyText"/>
        <w:rPr>
          <w:sz w:val="20"/>
        </w:rPr>
      </w:pPr>
    </w:p>
    <w:p w14:paraId="63AF5E31" w14:textId="77777777" w:rsidR="00FA4AA8" w:rsidRDefault="00FA4AA8">
      <w:pPr>
        <w:pStyle w:val="BodyText"/>
        <w:rPr>
          <w:sz w:val="20"/>
        </w:rPr>
      </w:pPr>
    </w:p>
    <w:p w14:paraId="59BD77B5" w14:textId="77777777" w:rsidR="00FA4AA8" w:rsidRDefault="00FA4AA8">
      <w:pPr>
        <w:pStyle w:val="BodyText"/>
        <w:rPr>
          <w:sz w:val="20"/>
        </w:rPr>
      </w:pPr>
    </w:p>
    <w:p w14:paraId="54A648E6" w14:textId="77777777" w:rsidR="00FA4AA8" w:rsidRDefault="00FA4AA8">
      <w:pPr>
        <w:pStyle w:val="BodyText"/>
        <w:rPr>
          <w:sz w:val="20"/>
        </w:rPr>
      </w:pPr>
    </w:p>
    <w:p w14:paraId="0A4779D9" w14:textId="77777777" w:rsidR="00FA4AA8" w:rsidRDefault="00FA4AA8">
      <w:pPr>
        <w:pStyle w:val="BodyText"/>
        <w:rPr>
          <w:sz w:val="20"/>
        </w:rPr>
      </w:pPr>
    </w:p>
    <w:p w14:paraId="731A2896" w14:textId="77777777" w:rsidR="00FA4AA8" w:rsidRDefault="00FA4AA8">
      <w:pPr>
        <w:pStyle w:val="BodyText"/>
        <w:rPr>
          <w:sz w:val="20"/>
        </w:rPr>
      </w:pPr>
    </w:p>
    <w:p w14:paraId="4D93E985" w14:textId="77777777" w:rsidR="00FA4AA8" w:rsidRDefault="00FA4AA8">
      <w:pPr>
        <w:pStyle w:val="BodyText"/>
        <w:spacing w:before="9"/>
        <w:rPr>
          <w:sz w:val="19"/>
        </w:rPr>
      </w:pPr>
    </w:p>
    <w:p w14:paraId="3E7263DD" w14:textId="77777777" w:rsidR="00FA4AA8" w:rsidRDefault="0015611F">
      <w:pPr>
        <w:pStyle w:val="BodyText"/>
        <w:ind w:left="576" w:right="509"/>
        <w:jc w:val="center"/>
      </w:pPr>
      <w:r>
        <w:t>The accompanying notes form part of these financial statements.</w:t>
      </w:r>
    </w:p>
    <w:p w14:paraId="456DF93D" w14:textId="77777777" w:rsidR="00FA4AA8" w:rsidRDefault="00FA4AA8">
      <w:pPr>
        <w:jc w:val="center"/>
        <w:sectPr w:rsidR="00FA4AA8">
          <w:headerReference w:type="default" r:id="rId301"/>
          <w:footerReference w:type="default" r:id="rId302"/>
          <w:pgSz w:w="11910" w:h="16840"/>
          <w:pgMar w:top="1580" w:right="880" w:bottom="720" w:left="840" w:header="1015" w:footer="523" w:gutter="0"/>
          <w:pgNumType w:start="233"/>
          <w:cols w:space="720"/>
        </w:sectPr>
      </w:pPr>
    </w:p>
    <w:p w14:paraId="26FF7ED7" w14:textId="77777777" w:rsidR="00FA4AA8" w:rsidRDefault="00FA4AA8">
      <w:pPr>
        <w:pStyle w:val="BodyText"/>
        <w:spacing w:before="6"/>
        <w:rPr>
          <w:sz w:val="21"/>
        </w:rPr>
      </w:pPr>
    </w:p>
    <w:p w14:paraId="32B1C43D" w14:textId="77777777" w:rsidR="00FA4AA8" w:rsidRDefault="0015611F">
      <w:pPr>
        <w:pStyle w:val="Heading2"/>
      </w:pPr>
      <w:r>
        <w:t>Statement of Financial Position</w:t>
      </w:r>
    </w:p>
    <w:p w14:paraId="68C23299" w14:textId="77777777" w:rsidR="00FA4AA8" w:rsidRDefault="0015611F">
      <w:pPr>
        <w:pStyle w:val="Heading6"/>
        <w:ind w:left="167"/>
      </w:pPr>
      <w:r>
        <w:t xml:space="preserve">As </w:t>
      </w:r>
      <w:r w:rsidR="007719AF">
        <w:t>At</w:t>
      </w:r>
      <w:r>
        <w:t xml:space="preserve"> 31 December 2018</w:t>
      </w:r>
    </w:p>
    <w:p w14:paraId="7D1BFAA2" w14:textId="77777777" w:rsidR="00FA4AA8" w:rsidRDefault="00FA4AA8">
      <w:pPr>
        <w:pStyle w:val="BodyText"/>
        <w:spacing w:before="8"/>
        <w:rPr>
          <w:b/>
          <w:sz w:val="27"/>
        </w:rPr>
      </w:pPr>
    </w:p>
    <w:p w14:paraId="356B1E00" w14:textId="77777777" w:rsidR="00FA4AA8" w:rsidRDefault="00FA4AA8">
      <w:pPr>
        <w:rPr>
          <w:sz w:val="27"/>
        </w:rPr>
        <w:sectPr w:rsidR="00FA4AA8">
          <w:pgSz w:w="11910" w:h="16840"/>
          <w:pgMar w:top="1580" w:right="880" w:bottom="720" w:left="840" w:header="1015" w:footer="523" w:gutter="0"/>
          <w:cols w:space="720"/>
        </w:sectPr>
      </w:pPr>
    </w:p>
    <w:p w14:paraId="696AB74C" w14:textId="77777777" w:rsidR="00FA4AA8" w:rsidRDefault="00FA4AA8">
      <w:pPr>
        <w:pStyle w:val="BodyText"/>
        <w:rPr>
          <w:b/>
          <w:sz w:val="20"/>
        </w:rPr>
      </w:pPr>
    </w:p>
    <w:p w14:paraId="3E06BB85" w14:textId="77777777" w:rsidR="00FA4AA8" w:rsidRDefault="00FA4AA8">
      <w:pPr>
        <w:pStyle w:val="BodyText"/>
        <w:rPr>
          <w:b/>
          <w:sz w:val="20"/>
        </w:rPr>
      </w:pPr>
    </w:p>
    <w:p w14:paraId="2354C026" w14:textId="77777777" w:rsidR="00FA4AA8" w:rsidRDefault="00FA4AA8">
      <w:pPr>
        <w:pStyle w:val="BodyText"/>
        <w:spacing w:before="8"/>
        <w:rPr>
          <w:b/>
          <w:sz w:val="22"/>
        </w:rPr>
      </w:pPr>
    </w:p>
    <w:p w14:paraId="055C3BB0" w14:textId="77777777" w:rsidR="00FA4AA8" w:rsidRDefault="0015611F">
      <w:pPr>
        <w:ind w:left="194"/>
        <w:rPr>
          <w:b/>
          <w:sz w:val="18"/>
        </w:rPr>
      </w:pPr>
      <w:r>
        <w:rPr>
          <w:b/>
          <w:sz w:val="18"/>
        </w:rPr>
        <w:t>ASSETS</w:t>
      </w:r>
    </w:p>
    <w:p w14:paraId="3E6A8629" w14:textId="77777777" w:rsidR="00FA4AA8" w:rsidRDefault="0015611F">
      <w:pPr>
        <w:spacing w:before="26"/>
        <w:ind w:left="194"/>
        <w:rPr>
          <w:b/>
          <w:sz w:val="18"/>
        </w:rPr>
      </w:pPr>
      <w:r>
        <w:rPr>
          <w:b/>
          <w:sz w:val="18"/>
        </w:rPr>
        <w:t>Current Assets</w:t>
      </w:r>
    </w:p>
    <w:p w14:paraId="17A9A7B7" w14:textId="77777777" w:rsidR="00FA4AA8" w:rsidRDefault="0015611F">
      <w:pPr>
        <w:pStyle w:val="BodyText"/>
        <w:rPr>
          <w:b/>
          <w:sz w:val="20"/>
        </w:rPr>
      </w:pPr>
      <w:r>
        <w:br w:type="column"/>
      </w:r>
    </w:p>
    <w:p w14:paraId="6293E2A2" w14:textId="77777777" w:rsidR="00FA4AA8" w:rsidRDefault="0015611F">
      <w:pPr>
        <w:spacing w:before="138"/>
        <w:ind w:left="194"/>
        <w:rPr>
          <w:b/>
          <w:sz w:val="18"/>
        </w:rPr>
      </w:pPr>
      <w:r>
        <w:rPr>
          <w:b/>
          <w:sz w:val="18"/>
        </w:rPr>
        <w:t>Note</w:t>
      </w:r>
    </w:p>
    <w:p w14:paraId="5E6A41CF" w14:textId="77777777" w:rsidR="00FA4AA8" w:rsidRDefault="0015611F">
      <w:pPr>
        <w:spacing w:before="95"/>
        <w:ind w:left="178" w:right="534"/>
        <w:jc w:val="center"/>
        <w:rPr>
          <w:b/>
          <w:sz w:val="18"/>
        </w:rPr>
      </w:pPr>
      <w:r>
        <w:br w:type="column"/>
      </w:r>
      <w:r>
        <w:rPr>
          <w:b/>
          <w:sz w:val="18"/>
        </w:rPr>
        <w:t>2018</w:t>
      </w:r>
    </w:p>
    <w:p w14:paraId="2D6B7DB0" w14:textId="77777777" w:rsidR="00FA4AA8" w:rsidRDefault="0015611F">
      <w:pPr>
        <w:spacing w:before="66"/>
        <w:ind w:right="357"/>
        <w:jc w:val="center"/>
        <w:rPr>
          <w:b/>
          <w:sz w:val="18"/>
        </w:rPr>
      </w:pPr>
      <w:r>
        <w:rPr>
          <w:b/>
          <w:sz w:val="18"/>
        </w:rPr>
        <w:t>$</w:t>
      </w:r>
    </w:p>
    <w:p w14:paraId="0FC19A76" w14:textId="77777777" w:rsidR="00FA4AA8" w:rsidRDefault="00FA4AA8">
      <w:pPr>
        <w:jc w:val="center"/>
        <w:rPr>
          <w:sz w:val="18"/>
        </w:rPr>
        <w:sectPr w:rsidR="00FA4AA8">
          <w:type w:val="continuous"/>
          <w:pgSz w:w="11910" w:h="16840"/>
          <w:pgMar w:top="20" w:right="880" w:bottom="0" w:left="840" w:header="720" w:footer="720" w:gutter="0"/>
          <w:cols w:num="3" w:space="720" w:equalWidth="0">
            <w:col w:w="1526" w:space="6577"/>
            <w:col w:w="635" w:space="298"/>
            <w:col w:w="1154"/>
          </w:cols>
        </w:sectPr>
      </w:pPr>
    </w:p>
    <w:p w14:paraId="114F6C53" w14:textId="77777777" w:rsidR="00FA4AA8" w:rsidRDefault="0015611F">
      <w:pPr>
        <w:pStyle w:val="BodyText"/>
        <w:tabs>
          <w:tab w:val="left" w:pos="9403"/>
        </w:tabs>
        <w:spacing w:before="55"/>
        <w:ind w:left="194"/>
        <w:rPr>
          <w:b/>
        </w:rPr>
      </w:pPr>
      <w:r>
        <w:t>Cash and</w:t>
      </w:r>
      <w:r>
        <w:rPr>
          <w:spacing w:val="-3"/>
        </w:rPr>
        <w:t xml:space="preserve"> </w:t>
      </w:r>
      <w:r>
        <w:t>cash</w:t>
      </w:r>
      <w:r>
        <w:rPr>
          <w:spacing w:val="1"/>
        </w:rPr>
        <w:t xml:space="preserve"> </w:t>
      </w:r>
      <w:r>
        <w:t>equivalents</w:t>
      </w:r>
      <w:r>
        <w:tab/>
      </w:r>
      <w:r>
        <w:rPr>
          <w:b/>
        </w:rPr>
        <w:t>-</w:t>
      </w:r>
    </w:p>
    <w:p w14:paraId="2EFB5C42" w14:textId="77777777" w:rsidR="00FA4AA8" w:rsidRDefault="0015611F">
      <w:pPr>
        <w:tabs>
          <w:tab w:val="left" w:pos="8445"/>
          <w:tab w:val="left" w:pos="9187"/>
        </w:tabs>
        <w:spacing w:before="59" w:after="19"/>
        <w:ind w:left="194"/>
        <w:rPr>
          <w:b/>
          <w:sz w:val="18"/>
        </w:rPr>
      </w:pPr>
      <w:r>
        <w:rPr>
          <w:sz w:val="18"/>
        </w:rPr>
        <w:t>Other</w:t>
      </w:r>
      <w:r>
        <w:rPr>
          <w:spacing w:val="-3"/>
          <w:sz w:val="18"/>
        </w:rPr>
        <w:t xml:space="preserve"> </w:t>
      </w:r>
      <w:r>
        <w:rPr>
          <w:sz w:val="18"/>
        </w:rPr>
        <w:t>receivables</w:t>
      </w:r>
      <w:r>
        <w:rPr>
          <w:sz w:val="18"/>
        </w:rPr>
        <w:tab/>
        <w:t>2</w:t>
      </w:r>
      <w:r>
        <w:rPr>
          <w:sz w:val="18"/>
        </w:rPr>
        <w:tab/>
      </w:r>
      <w:r>
        <w:rPr>
          <w:b/>
          <w:sz w:val="18"/>
        </w:rPr>
        <w:t>1,505,906</w:t>
      </w:r>
    </w:p>
    <w:p w14:paraId="7C0F1AFA" w14:textId="77777777" w:rsidR="00FA4AA8" w:rsidRDefault="007E2441">
      <w:pPr>
        <w:pStyle w:val="BodyText"/>
        <w:spacing w:line="24" w:lineRule="exact"/>
        <w:ind w:left="8782"/>
        <w:rPr>
          <w:sz w:val="2"/>
        </w:rPr>
      </w:pPr>
      <w:r>
        <w:rPr>
          <w:noProof/>
          <w:sz w:val="2"/>
          <w:lang w:val="en-AU" w:eastAsia="en-AU"/>
        </w:rPr>
        <mc:AlternateContent>
          <mc:Choice Requires="wpg">
            <w:drawing>
              <wp:inline distT="0" distB="0" distL="0" distR="0" wp14:anchorId="2C67B583" wp14:editId="21AB38FC">
                <wp:extent cx="822960" cy="15875"/>
                <wp:effectExtent l="9525" t="9525" r="5715" b="3175"/>
                <wp:docPr id="349"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15875"/>
                          <a:chOff x="0" y="0"/>
                          <a:chExt cx="1296" cy="25"/>
                        </a:xfrm>
                      </wpg:grpSpPr>
                      <wps:wsp>
                        <wps:cNvPr id="350" name="Line 123"/>
                        <wps:cNvCnPr>
                          <a:cxnSpLocks noChangeShapeType="1"/>
                        </wps:cNvCnPr>
                        <wps:spPr bwMode="auto">
                          <a:xfrm>
                            <a:off x="0" y="4"/>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351" name="Line 122"/>
                        <wps:cNvCnPr>
                          <a:cxnSpLocks noChangeShapeType="1"/>
                        </wps:cNvCnPr>
                        <wps:spPr bwMode="auto">
                          <a:xfrm>
                            <a:off x="0" y="6"/>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352" name="Line 121"/>
                        <wps:cNvCnPr>
                          <a:cxnSpLocks noChangeShapeType="1"/>
                        </wps:cNvCnPr>
                        <wps:spPr bwMode="auto">
                          <a:xfrm>
                            <a:off x="0" y="9"/>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353" name="Line 120"/>
                        <wps:cNvCnPr>
                          <a:cxnSpLocks noChangeShapeType="1"/>
                        </wps:cNvCnPr>
                        <wps:spPr bwMode="auto">
                          <a:xfrm>
                            <a:off x="0" y="11"/>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354" name="Line 119"/>
                        <wps:cNvCnPr>
                          <a:cxnSpLocks noChangeShapeType="1"/>
                        </wps:cNvCnPr>
                        <wps:spPr bwMode="auto">
                          <a:xfrm>
                            <a:off x="0" y="13"/>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355" name="Line 118"/>
                        <wps:cNvCnPr>
                          <a:cxnSpLocks noChangeShapeType="1"/>
                        </wps:cNvCnPr>
                        <wps:spPr bwMode="auto">
                          <a:xfrm>
                            <a:off x="0" y="16"/>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356" name="Line 117"/>
                        <wps:cNvCnPr>
                          <a:cxnSpLocks noChangeShapeType="1"/>
                        </wps:cNvCnPr>
                        <wps:spPr bwMode="auto">
                          <a:xfrm>
                            <a:off x="0" y="18"/>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357" name="Line 116"/>
                        <wps:cNvCnPr>
                          <a:cxnSpLocks noChangeShapeType="1"/>
                        </wps:cNvCnPr>
                        <wps:spPr bwMode="auto">
                          <a:xfrm>
                            <a:off x="0" y="21"/>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4623551" id="Group 115" o:spid="_x0000_s1026" style="width:64.8pt;height:1.25pt;mso-position-horizontal-relative:char;mso-position-vertical-relative:line" coordsize="129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">
                <v:line id="Line 123" o:spid="_x0000_s1027" style="position:absolute;visibility:visible;mso-wrap-style:square" from="0,4" to="12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" strokeweight=".1323mm"/>
                <v:line id="Line 122" o:spid="_x0000_s1028" style="position:absolute;visibility:visible;mso-wrap-style:square" from="0,6" to="12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" strokeweight=".1323mm"/>
                <v:line id="Line 121" o:spid="_x0000_s1029" style="position:absolute;visibility:visible;mso-wrap-style:square" from="0,9" to="12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" strokeweight=".1323mm"/>
                <v:line id="Line 120" o:spid="_x0000_s1030" style="position:absolute;visibility:visible;mso-wrap-style:square" from="0,11" to="12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" strokeweight=".1323mm"/>
                <v:line id="Line 119" o:spid="_x0000_s1031" style="position:absolute;visibility:visible;mso-wrap-style:square" from="0,13" to="129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" strokeweight=".1323mm"/>
                <v:line id="Line 118" o:spid="_x0000_s1032" style="position:absolute;visibility:visible;mso-wrap-style:square" from="0,16" to="129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" strokeweight=".1323mm"/>
                <v:line id="Line 117" o:spid="_x0000_s1033" style="position:absolute;visibility:visible;mso-wrap-style:square" from="0,18" to="129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" strokeweight=".1323mm"/>
                <v:line id="Line 116" o:spid="_x0000_s1034" style="position:absolute;visibility:visible;mso-wrap-style:square" from="0,21" to="12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" strokeweight=".1323mm"/>
                <w10:anchorlock/>
              </v:group>
            </w:pict>
          </mc:Fallback>
        </mc:AlternateContent>
      </w:r>
    </w:p>
    <w:p w14:paraId="6A8AE234" w14:textId="77777777" w:rsidR="00FA4AA8" w:rsidRDefault="0015611F">
      <w:pPr>
        <w:tabs>
          <w:tab w:val="left" w:pos="8786"/>
          <w:tab w:val="left" w:pos="9187"/>
        </w:tabs>
        <w:spacing w:before="27"/>
        <w:ind w:left="194"/>
        <w:rPr>
          <w:b/>
          <w:sz w:val="18"/>
        </w:rPr>
      </w:pPr>
      <w:r>
        <w:rPr>
          <w:b/>
          <w:sz w:val="18"/>
        </w:rPr>
        <w:t>Total</w:t>
      </w:r>
      <w:r>
        <w:rPr>
          <w:b/>
          <w:spacing w:val="-2"/>
          <w:sz w:val="18"/>
        </w:rPr>
        <w:t xml:space="preserve"> </w:t>
      </w:r>
      <w:r>
        <w:rPr>
          <w:b/>
          <w:sz w:val="18"/>
        </w:rPr>
        <w:t>Current</w:t>
      </w:r>
      <w:r>
        <w:rPr>
          <w:b/>
          <w:spacing w:val="-1"/>
          <w:sz w:val="18"/>
        </w:rPr>
        <w:t xml:space="preserve"> </w:t>
      </w:r>
      <w:r>
        <w:rPr>
          <w:b/>
          <w:sz w:val="18"/>
        </w:rPr>
        <w:t>Assets</w:t>
      </w:r>
      <w:r>
        <w:rPr>
          <w:b/>
          <w:sz w:val="18"/>
        </w:rPr>
        <w:tab/>
      </w:r>
      <w:r>
        <w:rPr>
          <w:b/>
          <w:position w:val="-8"/>
          <w:sz w:val="18"/>
          <w:u w:val="thick"/>
        </w:rPr>
        <w:t xml:space="preserve"> </w:t>
      </w:r>
      <w:r>
        <w:rPr>
          <w:b/>
          <w:position w:val="-8"/>
          <w:sz w:val="18"/>
          <w:u w:val="thick"/>
        </w:rPr>
        <w:tab/>
        <w:t>1,505,906</w:t>
      </w:r>
      <w:r>
        <w:rPr>
          <w:b/>
          <w:spacing w:val="-11"/>
          <w:position w:val="-8"/>
          <w:sz w:val="18"/>
          <w:u w:val="thick"/>
        </w:rPr>
        <w:t xml:space="preserve"> </w:t>
      </w:r>
    </w:p>
    <w:p w14:paraId="6D14C89E" w14:textId="77777777" w:rsidR="00FA4AA8" w:rsidRDefault="0015611F">
      <w:pPr>
        <w:spacing w:before="41"/>
        <w:ind w:left="194"/>
        <w:rPr>
          <w:b/>
          <w:sz w:val="18"/>
        </w:rPr>
      </w:pPr>
      <w:r>
        <w:rPr>
          <w:b/>
          <w:sz w:val="18"/>
        </w:rPr>
        <w:t>Non-Current Assets</w:t>
      </w:r>
    </w:p>
    <w:p w14:paraId="51614C89" w14:textId="77777777" w:rsidR="00FA4AA8" w:rsidRDefault="0015611F">
      <w:pPr>
        <w:tabs>
          <w:tab w:val="left" w:pos="8445"/>
          <w:tab w:val="left" w:pos="9086"/>
        </w:tabs>
        <w:spacing w:before="57" w:after="19"/>
        <w:ind w:left="194"/>
        <w:rPr>
          <w:b/>
          <w:sz w:val="18"/>
        </w:rPr>
      </w:pPr>
      <w:r>
        <w:rPr>
          <w:sz w:val="18"/>
        </w:rPr>
        <w:t>Property, plant</w:t>
      </w:r>
      <w:r>
        <w:rPr>
          <w:spacing w:val="2"/>
          <w:sz w:val="18"/>
        </w:rPr>
        <w:t xml:space="preserve"> </w:t>
      </w:r>
      <w:r>
        <w:rPr>
          <w:sz w:val="18"/>
        </w:rPr>
        <w:t>and</w:t>
      </w:r>
      <w:r>
        <w:rPr>
          <w:spacing w:val="1"/>
          <w:sz w:val="18"/>
        </w:rPr>
        <w:t xml:space="preserve"> </w:t>
      </w:r>
      <w:r>
        <w:rPr>
          <w:sz w:val="18"/>
        </w:rPr>
        <w:t>equipment</w:t>
      </w:r>
      <w:r>
        <w:rPr>
          <w:sz w:val="18"/>
        </w:rPr>
        <w:tab/>
        <w:t>3</w:t>
      </w:r>
      <w:r>
        <w:rPr>
          <w:sz w:val="18"/>
        </w:rPr>
        <w:tab/>
      </w:r>
      <w:r>
        <w:rPr>
          <w:b/>
          <w:sz w:val="18"/>
        </w:rPr>
        <w:t>21,184,140</w:t>
      </w:r>
    </w:p>
    <w:p w14:paraId="1CC1F66B" w14:textId="77777777" w:rsidR="00FA4AA8" w:rsidRDefault="007E2441">
      <w:pPr>
        <w:pStyle w:val="BodyText"/>
        <w:spacing w:line="24" w:lineRule="exact"/>
        <w:ind w:left="8782"/>
        <w:rPr>
          <w:sz w:val="2"/>
        </w:rPr>
      </w:pPr>
      <w:r>
        <w:rPr>
          <w:noProof/>
          <w:sz w:val="2"/>
          <w:lang w:val="en-AU" w:eastAsia="en-AU"/>
        </w:rPr>
        <mc:AlternateContent>
          <mc:Choice Requires="wpg">
            <w:drawing>
              <wp:inline distT="0" distB="0" distL="0" distR="0" wp14:anchorId="40B5DF95" wp14:editId="1C4F2E46">
                <wp:extent cx="822960" cy="15875"/>
                <wp:effectExtent l="9525" t="9525" r="5715" b="3175"/>
                <wp:docPr id="340"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15875"/>
                          <a:chOff x="0" y="0"/>
                          <a:chExt cx="1296" cy="25"/>
                        </a:xfrm>
                      </wpg:grpSpPr>
                      <wps:wsp>
                        <wps:cNvPr id="341" name="Line 114"/>
                        <wps:cNvCnPr>
                          <a:cxnSpLocks noChangeShapeType="1"/>
                        </wps:cNvCnPr>
                        <wps:spPr bwMode="auto">
                          <a:xfrm>
                            <a:off x="0" y="4"/>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342" name="Line 113"/>
                        <wps:cNvCnPr>
                          <a:cxnSpLocks noChangeShapeType="1"/>
                        </wps:cNvCnPr>
                        <wps:spPr bwMode="auto">
                          <a:xfrm>
                            <a:off x="0" y="6"/>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343" name="Line 112"/>
                        <wps:cNvCnPr>
                          <a:cxnSpLocks noChangeShapeType="1"/>
                        </wps:cNvCnPr>
                        <wps:spPr bwMode="auto">
                          <a:xfrm>
                            <a:off x="0" y="9"/>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344" name="Line 111"/>
                        <wps:cNvCnPr>
                          <a:cxnSpLocks noChangeShapeType="1"/>
                        </wps:cNvCnPr>
                        <wps:spPr bwMode="auto">
                          <a:xfrm>
                            <a:off x="0" y="11"/>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345" name="Line 110"/>
                        <wps:cNvCnPr>
                          <a:cxnSpLocks noChangeShapeType="1"/>
                        </wps:cNvCnPr>
                        <wps:spPr bwMode="auto">
                          <a:xfrm>
                            <a:off x="0" y="13"/>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346" name="Line 109"/>
                        <wps:cNvCnPr>
                          <a:cxnSpLocks noChangeShapeType="1"/>
                        </wps:cNvCnPr>
                        <wps:spPr bwMode="auto">
                          <a:xfrm>
                            <a:off x="0" y="16"/>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347" name="Line 108"/>
                        <wps:cNvCnPr>
                          <a:cxnSpLocks noChangeShapeType="1"/>
                        </wps:cNvCnPr>
                        <wps:spPr bwMode="auto">
                          <a:xfrm>
                            <a:off x="0" y="18"/>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348" name="Line 107"/>
                        <wps:cNvCnPr>
                          <a:cxnSpLocks noChangeShapeType="1"/>
                        </wps:cNvCnPr>
                        <wps:spPr bwMode="auto">
                          <a:xfrm>
                            <a:off x="0" y="21"/>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054D365" id="Group 106" o:spid="_x0000_s1026" style="width:64.8pt;height:1.25pt;mso-position-horizontal-relative:char;mso-position-vertical-relative:line" coordsize="129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">
                <v:line id="Line 114" o:spid="_x0000_s1027" style="position:absolute;visibility:visible;mso-wrap-style:square" from="0,4" to="12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" strokeweight=".1323mm"/>
                <v:line id="Line 113" o:spid="_x0000_s1028" style="position:absolute;visibility:visible;mso-wrap-style:square" from="0,6" to="12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" strokeweight=".1323mm"/>
                <v:line id="Line 112" o:spid="_x0000_s1029" style="position:absolute;visibility:visible;mso-wrap-style:square" from="0,9" to="12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" strokeweight=".1323mm"/>
                <v:line id="Line 111" o:spid="_x0000_s1030" style="position:absolute;visibility:visible;mso-wrap-style:square" from="0,11" to="12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" strokeweight=".1323mm"/>
                <v:line id="Line 110" o:spid="_x0000_s1031" style="position:absolute;visibility:visible;mso-wrap-style:square" from="0,13" to="129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" strokeweight=".1323mm"/>
                <v:line id="Line 109" o:spid="_x0000_s1032" style="position:absolute;visibility:visible;mso-wrap-style:square" from="0,16" to="129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" strokeweight=".1323mm"/>
                <v:line id="Line 108" o:spid="_x0000_s1033" style="position:absolute;visibility:visible;mso-wrap-style:square" from="0,18" to="129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" strokeweight=".1323mm"/>
                <v:line id="Line 107" o:spid="_x0000_s1034" style="position:absolute;visibility:visible;mso-wrap-style:square" from="0,21" to="12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" strokeweight=".1323mm"/>
                <w10:anchorlock/>
              </v:group>
            </w:pict>
          </mc:Fallback>
        </mc:AlternateContent>
      </w:r>
    </w:p>
    <w:p w14:paraId="581727C2" w14:textId="77777777" w:rsidR="00FA4AA8" w:rsidRDefault="0015611F">
      <w:pPr>
        <w:tabs>
          <w:tab w:val="left" w:pos="8786"/>
          <w:tab w:val="left" w:pos="9086"/>
        </w:tabs>
        <w:spacing w:before="27"/>
        <w:ind w:left="194"/>
        <w:rPr>
          <w:b/>
          <w:sz w:val="18"/>
        </w:rPr>
      </w:pPr>
      <w:r>
        <w:rPr>
          <w:b/>
          <w:sz w:val="18"/>
        </w:rPr>
        <w:t>Total</w:t>
      </w:r>
      <w:r>
        <w:rPr>
          <w:b/>
          <w:spacing w:val="-1"/>
          <w:sz w:val="18"/>
        </w:rPr>
        <w:t xml:space="preserve"> </w:t>
      </w:r>
      <w:r>
        <w:rPr>
          <w:b/>
          <w:sz w:val="18"/>
        </w:rPr>
        <w:t>Non-Current</w:t>
      </w:r>
      <w:r>
        <w:rPr>
          <w:b/>
          <w:spacing w:val="-2"/>
          <w:sz w:val="18"/>
        </w:rPr>
        <w:t xml:space="preserve"> </w:t>
      </w:r>
      <w:r>
        <w:rPr>
          <w:b/>
          <w:sz w:val="18"/>
        </w:rPr>
        <w:t>Assets</w:t>
      </w:r>
      <w:r>
        <w:rPr>
          <w:b/>
          <w:sz w:val="18"/>
        </w:rPr>
        <w:tab/>
      </w:r>
      <w:r>
        <w:rPr>
          <w:b/>
          <w:position w:val="-8"/>
          <w:sz w:val="18"/>
          <w:u w:val="thick"/>
        </w:rPr>
        <w:t xml:space="preserve"> </w:t>
      </w:r>
      <w:r>
        <w:rPr>
          <w:b/>
          <w:position w:val="-8"/>
          <w:sz w:val="18"/>
          <w:u w:val="thick"/>
        </w:rPr>
        <w:tab/>
        <w:t>21,184,140</w:t>
      </w:r>
      <w:r>
        <w:rPr>
          <w:b/>
          <w:spacing w:val="-10"/>
          <w:position w:val="-8"/>
          <w:sz w:val="18"/>
          <w:u w:val="thick"/>
        </w:rPr>
        <w:t xml:space="preserve"> </w:t>
      </w:r>
    </w:p>
    <w:p w14:paraId="0B5D22DC" w14:textId="77777777" w:rsidR="00FA4AA8" w:rsidRDefault="0015611F">
      <w:pPr>
        <w:tabs>
          <w:tab w:val="left" w:pos="8786"/>
          <w:tab w:val="left" w:pos="9086"/>
        </w:tabs>
        <w:spacing w:before="41"/>
        <w:ind w:left="194"/>
        <w:rPr>
          <w:b/>
          <w:sz w:val="18"/>
        </w:rPr>
      </w:pPr>
      <w:r>
        <w:rPr>
          <w:b/>
          <w:sz w:val="18"/>
        </w:rPr>
        <w:t>Total</w:t>
      </w:r>
      <w:r>
        <w:rPr>
          <w:b/>
          <w:spacing w:val="-1"/>
          <w:sz w:val="18"/>
        </w:rPr>
        <w:t xml:space="preserve"> </w:t>
      </w:r>
      <w:r>
        <w:rPr>
          <w:b/>
          <w:sz w:val="18"/>
        </w:rPr>
        <w:t>Assets</w:t>
      </w:r>
      <w:r>
        <w:rPr>
          <w:b/>
          <w:sz w:val="18"/>
        </w:rPr>
        <w:tab/>
      </w:r>
      <w:r>
        <w:rPr>
          <w:b/>
          <w:position w:val="-8"/>
          <w:sz w:val="18"/>
          <w:u w:val="double"/>
        </w:rPr>
        <w:t xml:space="preserve"> </w:t>
      </w:r>
      <w:r>
        <w:rPr>
          <w:b/>
          <w:position w:val="-8"/>
          <w:sz w:val="18"/>
          <w:u w:val="double"/>
        </w:rPr>
        <w:tab/>
      </w:r>
      <w:r>
        <w:rPr>
          <w:b/>
          <w:position w:val="-8"/>
          <w:sz w:val="18"/>
          <w:u w:val="single"/>
        </w:rPr>
        <w:t>22</w:t>
      </w:r>
      <w:r>
        <w:rPr>
          <w:b/>
          <w:position w:val="-8"/>
          <w:sz w:val="18"/>
        </w:rPr>
        <w:t>,</w:t>
      </w:r>
      <w:r>
        <w:rPr>
          <w:b/>
          <w:position w:val="-8"/>
          <w:sz w:val="18"/>
          <w:u w:val="single"/>
        </w:rPr>
        <w:t>69</w:t>
      </w:r>
      <w:r>
        <w:rPr>
          <w:b/>
          <w:position w:val="-8"/>
          <w:sz w:val="18"/>
        </w:rPr>
        <w:t>0,</w:t>
      </w:r>
      <w:r>
        <w:rPr>
          <w:b/>
          <w:position w:val="-8"/>
          <w:sz w:val="18"/>
          <w:u w:val="single"/>
        </w:rPr>
        <w:t>04</w:t>
      </w:r>
      <w:r>
        <w:rPr>
          <w:b/>
          <w:position w:val="-8"/>
          <w:sz w:val="18"/>
        </w:rPr>
        <w:t>6</w:t>
      </w:r>
      <w:r>
        <w:rPr>
          <w:b/>
          <w:spacing w:val="-10"/>
          <w:position w:val="-8"/>
          <w:sz w:val="18"/>
        </w:rPr>
        <w:t xml:space="preserve"> </w:t>
      </w:r>
    </w:p>
    <w:p w14:paraId="0F0EFC2F" w14:textId="77777777" w:rsidR="00FA4AA8" w:rsidRDefault="0015611F">
      <w:pPr>
        <w:spacing w:before="157"/>
        <w:ind w:left="194"/>
        <w:rPr>
          <w:b/>
          <w:sz w:val="18"/>
        </w:rPr>
      </w:pPr>
      <w:r>
        <w:rPr>
          <w:b/>
          <w:sz w:val="18"/>
        </w:rPr>
        <w:t>LIABILITIES</w:t>
      </w:r>
    </w:p>
    <w:p w14:paraId="4CED5BA2" w14:textId="77777777" w:rsidR="00FA4AA8" w:rsidRDefault="0015611F">
      <w:pPr>
        <w:spacing w:before="26"/>
        <w:ind w:left="194"/>
        <w:rPr>
          <w:b/>
          <w:sz w:val="18"/>
        </w:rPr>
      </w:pPr>
      <w:r>
        <w:rPr>
          <w:b/>
          <w:sz w:val="18"/>
        </w:rPr>
        <w:t>Current Liabilities</w:t>
      </w:r>
    </w:p>
    <w:p w14:paraId="48E13768" w14:textId="77777777" w:rsidR="00FA4AA8" w:rsidRDefault="0015611F">
      <w:pPr>
        <w:tabs>
          <w:tab w:val="left" w:pos="8445"/>
          <w:tab w:val="left" w:pos="9539"/>
        </w:tabs>
        <w:spacing w:before="57" w:after="19"/>
        <w:ind w:left="194"/>
        <w:rPr>
          <w:b/>
          <w:sz w:val="18"/>
        </w:rPr>
      </w:pPr>
      <w:r>
        <w:rPr>
          <w:sz w:val="18"/>
        </w:rPr>
        <w:t>Accrued expenses</w:t>
      </w:r>
      <w:r>
        <w:rPr>
          <w:sz w:val="18"/>
        </w:rPr>
        <w:tab/>
        <w:t>4</w:t>
      </w:r>
      <w:r>
        <w:rPr>
          <w:sz w:val="18"/>
        </w:rPr>
        <w:tab/>
      </w:r>
      <w:r>
        <w:rPr>
          <w:b/>
          <w:sz w:val="18"/>
        </w:rPr>
        <w:t>4,200</w:t>
      </w:r>
    </w:p>
    <w:p w14:paraId="03177DA8" w14:textId="77777777" w:rsidR="00FA4AA8" w:rsidRDefault="007E2441">
      <w:pPr>
        <w:pStyle w:val="BodyText"/>
        <w:spacing w:line="24" w:lineRule="exact"/>
        <w:ind w:left="8782"/>
        <w:rPr>
          <w:sz w:val="2"/>
        </w:rPr>
      </w:pPr>
      <w:r>
        <w:rPr>
          <w:noProof/>
          <w:sz w:val="2"/>
          <w:lang w:val="en-AU" w:eastAsia="en-AU"/>
        </w:rPr>
        <mc:AlternateContent>
          <mc:Choice Requires="wpg">
            <w:drawing>
              <wp:inline distT="0" distB="0" distL="0" distR="0" wp14:anchorId="24AEF06C" wp14:editId="664A3387">
                <wp:extent cx="822960" cy="15875"/>
                <wp:effectExtent l="9525" t="9525" r="5715" b="3175"/>
                <wp:docPr id="331"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15875"/>
                          <a:chOff x="0" y="0"/>
                          <a:chExt cx="1296" cy="25"/>
                        </a:xfrm>
                      </wpg:grpSpPr>
                      <wps:wsp>
                        <wps:cNvPr id="332" name="Line 105"/>
                        <wps:cNvCnPr>
                          <a:cxnSpLocks noChangeShapeType="1"/>
                        </wps:cNvCnPr>
                        <wps:spPr bwMode="auto">
                          <a:xfrm>
                            <a:off x="0" y="4"/>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333" name="Line 104"/>
                        <wps:cNvCnPr>
                          <a:cxnSpLocks noChangeShapeType="1"/>
                        </wps:cNvCnPr>
                        <wps:spPr bwMode="auto">
                          <a:xfrm>
                            <a:off x="0" y="6"/>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334" name="Line 103"/>
                        <wps:cNvCnPr>
                          <a:cxnSpLocks noChangeShapeType="1"/>
                        </wps:cNvCnPr>
                        <wps:spPr bwMode="auto">
                          <a:xfrm>
                            <a:off x="0" y="9"/>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335" name="Line 102"/>
                        <wps:cNvCnPr>
                          <a:cxnSpLocks noChangeShapeType="1"/>
                        </wps:cNvCnPr>
                        <wps:spPr bwMode="auto">
                          <a:xfrm>
                            <a:off x="0" y="11"/>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336" name="Line 101"/>
                        <wps:cNvCnPr>
                          <a:cxnSpLocks noChangeShapeType="1"/>
                        </wps:cNvCnPr>
                        <wps:spPr bwMode="auto">
                          <a:xfrm>
                            <a:off x="0" y="13"/>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337" name="Line 100"/>
                        <wps:cNvCnPr>
                          <a:cxnSpLocks noChangeShapeType="1"/>
                        </wps:cNvCnPr>
                        <wps:spPr bwMode="auto">
                          <a:xfrm>
                            <a:off x="0" y="16"/>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338" name="Line 99"/>
                        <wps:cNvCnPr>
                          <a:cxnSpLocks noChangeShapeType="1"/>
                        </wps:cNvCnPr>
                        <wps:spPr bwMode="auto">
                          <a:xfrm>
                            <a:off x="0" y="18"/>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339" name="Line 98"/>
                        <wps:cNvCnPr>
                          <a:cxnSpLocks noChangeShapeType="1"/>
                        </wps:cNvCnPr>
                        <wps:spPr bwMode="auto">
                          <a:xfrm>
                            <a:off x="0" y="21"/>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BB03254" id="Group 97" o:spid="_x0000_s1026" style="width:64.8pt;height:1.25pt;mso-position-horizontal-relative:char;mso-position-vertical-relative:line" coordsize="129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">
                <v:line id="Line 105" o:spid="_x0000_s1027" style="position:absolute;visibility:visible;mso-wrap-style:square" from="0,4" to="12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" strokeweight=".1323mm"/>
                <v:line id="Line 104" o:spid="_x0000_s1028" style="position:absolute;visibility:visible;mso-wrap-style:square" from="0,6" to="12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" strokeweight=".1323mm"/>
                <v:line id="Line 103" o:spid="_x0000_s1029" style="position:absolute;visibility:visible;mso-wrap-style:square" from="0,9" to="12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" strokeweight=".1323mm"/>
                <v:line id="Line 102" o:spid="_x0000_s1030" style="position:absolute;visibility:visible;mso-wrap-style:square" from="0,11" to="12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" strokeweight=".1323mm"/>
                <v:line id="Line 101" o:spid="_x0000_s1031" style="position:absolute;visibility:visible;mso-wrap-style:square" from="0,13" to="129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" strokeweight=".1323mm"/>
                <v:line id="Line 100" o:spid="_x0000_s1032" style="position:absolute;visibility:visible;mso-wrap-style:square" from="0,16" to="129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" strokeweight=".1323mm"/>
                <v:line id="Line 99" o:spid="_x0000_s1033" style="position:absolute;visibility:visible;mso-wrap-style:square" from="0,18" to="129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" strokeweight=".1323mm"/>
                <v:line id="Line 98" o:spid="_x0000_s1034" style="position:absolute;visibility:visible;mso-wrap-style:square" from="0,21" to="12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" strokeweight=".1323mm"/>
                <w10:anchorlock/>
              </v:group>
            </w:pict>
          </mc:Fallback>
        </mc:AlternateContent>
      </w:r>
    </w:p>
    <w:p w14:paraId="373C4696" w14:textId="77777777" w:rsidR="00FA4AA8" w:rsidRDefault="0015611F">
      <w:pPr>
        <w:tabs>
          <w:tab w:val="left" w:pos="8786"/>
          <w:tab w:val="left" w:pos="9539"/>
        </w:tabs>
        <w:spacing w:before="27"/>
        <w:ind w:left="194"/>
        <w:rPr>
          <w:b/>
          <w:sz w:val="18"/>
        </w:rPr>
      </w:pPr>
      <w:r>
        <w:rPr>
          <w:b/>
          <w:sz w:val="18"/>
        </w:rPr>
        <w:t>Total</w:t>
      </w:r>
      <w:r>
        <w:rPr>
          <w:b/>
          <w:spacing w:val="-1"/>
          <w:sz w:val="18"/>
        </w:rPr>
        <w:t xml:space="preserve"> </w:t>
      </w:r>
      <w:r>
        <w:rPr>
          <w:b/>
          <w:sz w:val="18"/>
        </w:rPr>
        <w:t>Current Liabilities</w:t>
      </w:r>
      <w:r>
        <w:rPr>
          <w:b/>
          <w:sz w:val="18"/>
        </w:rPr>
        <w:tab/>
      </w:r>
      <w:r>
        <w:rPr>
          <w:b/>
          <w:position w:val="-8"/>
          <w:sz w:val="18"/>
          <w:u w:val="thick"/>
        </w:rPr>
        <w:t xml:space="preserve"> </w:t>
      </w:r>
      <w:r>
        <w:rPr>
          <w:b/>
          <w:position w:val="-8"/>
          <w:sz w:val="18"/>
          <w:u w:val="thick"/>
        </w:rPr>
        <w:tab/>
        <w:t>4,200</w:t>
      </w:r>
      <w:r>
        <w:rPr>
          <w:b/>
          <w:spacing w:val="-11"/>
          <w:position w:val="-8"/>
          <w:sz w:val="18"/>
          <w:u w:val="thick"/>
        </w:rPr>
        <w:t xml:space="preserve"> </w:t>
      </w:r>
    </w:p>
    <w:p w14:paraId="1E6CB6F2" w14:textId="77777777" w:rsidR="00FA4AA8" w:rsidRDefault="0015611F">
      <w:pPr>
        <w:spacing w:before="44"/>
        <w:ind w:left="194"/>
        <w:rPr>
          <w:b/>
          <w:sz w:val="18"/>
        </w:rPr>
      </w:pPr>
      <w:r>
        <w:rPr>
          <w:b/>
          <w:sz w:val="18"/>
        </w:rPr>
        <w:t>Non-Current Liabilities</w:t>
      </w:r>
    </w:p>
    <w:p w14:paraId="4BB33336" w14:textId="77777777" w:rsidR="00FA4AA8" w:rsidRDefault="0015611F">
      <w:pPr>
        <w:tabs>
          <w:tab w:val="left" w:pos="8335"/>
          <w:tab w:val="left" w:pos="9086"/>
        </w:tabs>
        <w:spacing w:before="59" w:after="19"/>
        <w:ind w:left="194"/>
        <w:rPr>
          <w:b/>
          <w:sz w:val="18"/>
        </w:rPr>
      </w:pPr>
      <w:r>
        <w:rPr>
          <w:sz w:val="18"/>
        </w:rPr>
        <w:t>Loan from</w:t>
      </w:r>
      <w:r>
        <w:rPr>
          <w:spacing w:val="-2"/>
          <w:sz w:val="18"/>
        </w:rPr>
        <w:t xml:space="preserve"> </w:t>
      </w:r>
      <w:r>
        <w:rPr>
          <w:sz w:val="18"/>
        </w:rPr>
        <w:t>parent</w:t>
      </w:r>
      <w:r>
        <w:rPr>
          <w:spacing w:val="2"/>
          <w:sz w:val="18"/>
        </w:rPr>
        <w:t xml:space="preserve"> </w:t>
      </w:r>
      <w:r>
        <w:rPr>
          <w:sz w:val="18"/>
        </w:rPr>
        <w:t>entity</w:t>
      </w:r>
      <w:r>
        <w:rPr>
          <w:sz w:val="18"/>
        </w:rPr>
        <w:tab/>
        <w:t>7(b)</w:t>
      </w:r>
      <w:r>
        <w:rPr>
          <w:sz w:val="18"/>
        </w:rPr>
        <w:tab/>
      </w:r>
      <w:r>
        <w:rPr>
          <w:b/>
          <w:sz w:val="18"/>
        </w:rPr>
        <w:t>23,056,692</w:t>
      </w:r>
    </w:p>
    <w:p w14:paraId="34C07B87" w14:textId="77777777" w:rsidR="00FA4AA8" w:rsidRDefault="007E2441">
      <w:pPr>
        <w:pStyle w:val="BodyText"/>
        <w:spacing w:line="24" w:lineRule="exact"/>
        <w:ind w:left="8782"/>
        <w:rPr>
          <w:sz w:val="2"/>
        </w:rPr>
      </w:pPr>
      <w:r>
        <w:rPr>
          <w:noProof/>
          <w:sz w:val="2"/>
          <w:lang w:val="en-AU" w:eastAsia="en-AU"/>
        </w:rPr>
        <mc:AlternateContent>
          <mc:Choice Requires="wpg">
            <w:drawing>
              <wp:inline distT="0" distB="0" distL="0" distR="0" wp14:anchorId="47A7A925" wp14:editId="0610C7E3">
                <wp:extent cx="822960" cy="15875"/>
                <wp:effectExtent l="9525" t="9525" r="5715" b="3175"/>
                <wp:docPr id="322"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15875"/>
                          <a:chOff x="0" y="0"/>
                          <a:chExt cx="1296" cy="25"/>
                        </a:xfrm>
                      </wpg:grpSpPr>
                      <wps:wsp>
                        <wps:cNvPr id="323" name="Line 96"/>
                        <wps:cNvCnPr>
                          <a:cxnSpLocks noChangeShapeType="1"/>
                        </wps:cNvCnPr>
                        <wps:spPr bwMode="auto">
                          <a:xfrm>
                            <a:off x="0" y="4"/>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324" name="Line 95"/>
                        <wps:cNvCnPr>
                          <a:cxnSpLocks noChangeShapeType="1"/>
                        </wps:cNvCnPr>
                        <wps:spPr bwMode="auto">
                          <a:xfrm>
                            <a:off x="0" y="6"/>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325" name="Line 94"/>
                        <wps:cNvCnPr>
                          <a:cxnSpLocks noChangeShapeType="1"/>
                        </wps:cNvCnPr>
                        <wps:spPr bwMode="auto">
                          <a:xfrm>
                            <a:off x="0" y="9"/>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326" name="Line 93"/>
                        <wps:cNvCnPr>
                          <a:cxnSpLocks noChangeShapeType="1"/>
                        </wps:cNvCnPr>
                        <wps:spPr bwMode="auto">
                          <a:xfrm>
                            <a:off x="0" y="11"/>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327" name="Line 92"/>
                        <wps:cNvCnPr>
                          <a:cxnSpLocks noChangeShapeType="1"/>
                        </wps:cNvCnPr>
                        <wps:spPr bwMode="auto">
                          <a:xfrm>
                            <a:off x="0" y="13"/>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328" name="Line 91"/>
                        <wps:cNvCnPr>
                          <a:cxnSpLocks noChangeShapeType="1"/>
                        </wps:cNvCnPr>
                        <wps:spPr bwMode="auto">
                          <a:xfrm>
                            <a:off x="0" y="16"/>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329" name="Line 90"/>
                        <wps:cNvCnPr>
                          <a:cxnSpLocks noChangeShapeType="1"/>
                        </wps:cNvCnPr>
                        <wps:spPr bwMode="auto">
                          <a:xfrm>
                            <a:off x="0" y="18"/>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330" name="Line 89"/>
                        <wps:cNvCnPr>
                          <a:cxnSpLocks noChangeShapeType="1"/>
                        </wps:cNvCnPr>
                        <wps:spPr bwMode="auto">
                          <a:xfrm>
                            <a:off x="0" y="21"/>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CADCCAA" id="Group 88" o:spid="_x0000_s1026" style="width:64.8pt;height:1.25pt;mso-position-horizontal-relative:char;mso-position-vertical-relative:line" coordsize="129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">
                <v:line id="Line 96" o:spid="_x0000_s1027" style="position:absolute;visibility:visible;mso-wrap-style:square" from="0,4" to="12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" strokeweight=".1323mm"/>
                <v:line id="Line 95" o:spid="_x0000_s1028" style="position:absolute;visibility:visible;mso-wrap-style:square" from="0,6" to="12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" strokeweight=".1323mm"/>
                <v:line id="Line 94" o:spid="_x0000_s1029" style="position:absolute;visibility:visible;mso-wrap-style:square" from="0,9" to="12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" strokeweight=".1323mm"/>
                <v:line id="Line 93" o:spid="_x0000_s1030" style="position:absolute;visibility:visible;mso-wrap-style:square" from="0,11" to="12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" strokeweight=".1323mm"/>
                <v:line id="Line 92" o:spid="_x0000_s1031" style="position:absolute;visibility:visible;mso-wrap-style:square" from="0,13" to="129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" strokeweight=".1323mm"/>
                <v:line id="Line 91" o:spid="_x0000_s1032" style="position:absolute;visibility:visible;mso-wrap-style:square" from="0,16" to="129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" strokeweight=".1323mm"/>
                <v:line id="Line 90" o:spid="_x0000_s1033" style="position:absolute;visibility:visible;mso-wrap-style:square" from="0,18" to="129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" strokeweight=".1323mm"/>
                <v:line id="Line 89" o:spid="_x0000_s1034" style="position:absolute;visibility:visible;mso-wrap-style:square" from="0,21" to="12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" strokeweight=".1323mm"/>
                <w10:anchorlock/>
              </v:group>
            </w:pict>
          </mc:Fallback>
        </mc:AlternateContent>
      </w:r>
    </w:p>
    <w:p w14:paraId="574FCCDF" w14:textId="77777777" w:rsidR="00FA4AA8" w:rsidRDefault="0015611F">
      <w:pPr>
        <w:tabs>
          <w:tab w:val="left" w:pos="8786"/>
          <w:tab w:val="left" w:pos="9086"/>
        </w:tabs>
        <w:spacing w:before="29"/>
        <w:ind w:left="194"/>
        <w:rPr>
          <w:b/>
          <w:sz w:val="18"/>
        </w:rPr>
      </w:pPr>
      <w:r>
        <w:rPr>
          <w:b/>
          <w:sz w:val="18"/>
        </w:rPr>
        <w:t>Total</w:t>
      </w:r>
      <w:r>
        <w:rPr>
          <w:b/>
          <w:spacing w:val="-1"/>
          <w:sz w:val="18"/>
        </w:rPr>
        <w:t xml:space="preserve"> </w:t>
      </w:r>
      <w:r>
        <w:rPr>
          <w:b/>
          <w:sz w:val="18"/>
        </w:rPr>
        <w:t>Non-Current Liabilities</w:t>
      </w:r>
      <w:r>
        <w:rPr>
          <w:b/>
          <w:sz w:val="18"/>
        </w:rPr>
        <w:tab/>
      </w:r>
      <w:r>
        <w:rPr>
          <w:b/>
          <w:position w:val="-7"/>
          <w:sz w:val="18"/>
          <w:u w:val="thick"/>
        </w:rPr>
        <w:t xml:space="preserve"> </w:t>
      </w:r>
      <w:r>
        <w:rPr>
          <w:b/>
          <w:position w:val="-7"/>
          <w:sz w:val="18"/>
          <w:u w:val="thick"/>
        </w:rPr>
        <w:tab/>
        <w:t>23,056,692</w:t>
      </w:r>
      <w:r>
        <w:rPr>
          <w:b/>
          <w:spacing w:val="-10"/>
          <w:position w:val="-7"/>
          <w:sz w:val="18"/>
          <w:u w:val="thick"/>
        </w:rPr>
        <w:t xml:space="preserve"> </w:t>
      </w:r>
    </w:p>
    <w:p w14:paraId="2B737742" w14:textId="77777777" w:rsidR="00FA4AA8" w:rsidRDefault="0015611F">
      <w:pPr>
        <w:tabs>
          <w:tab w:val="left" w:pos="8786"/>
          <w:tab w:val="left" w:pos="9086"/>
        </w:tabs>
        <w:spacing w:before="49"/>
        <w:ind w:left="194"/>
        <w:rPr>
          <w:b/>
          <w:sz w:val="18"/>
        </w:rPr>
      </w:pPr>
      <w:r>
        <w:rPr>
          <w:b/>
          <w:sz w:val="18"/>
        </w:rPr>
        <w:t>Total Liabilities</w:t>
      </w:r>
      <w:r>
        <w:rPr>
          <w:b/>
          <w:sz w:val="18"/>
        </w:rPr>
        <w:tab/>
      </w:r>
      <w:r>
        <w:rPr>
          <w:b/>
          <w:position w:val="-8"/>
          <w:sz w:val="18"/>
          <w:u w:val="thick"/>
        </w:rPr>
        <w:t xml:space="preserve"> </w:t>
      </w:r>
      <w:r>
        <w:rPr>
          <w:b/>
          <w:position w:val="-8"/>
          <w:sz w:val="18"/>
          <w:u w:val="thick"/>
        </w:rPr>
        <w:tab/>
        <w:t>23,060,892</w:t>
      </w:r>
      <w:r>
        <w:rPr>
          <w:b/>
          <w:spacing w:val="-10"/>
          <w:position w:val="-8"/>
          <w:sz w:val="18"/>
          <w:u w:val="thick"/>
        </w:rPr>
        <w:t xml:space="preserve"> </w:t>
      </w:r>
    </w:p>
    <w:p w14:paraId="07B2D634" w14:textId="77777777" w:rsidR="00FA4AA8" w:rsidRDefault="00FA4AA8">
      <w:pPr>
        <w:pStyle w:val="BodyText"/>
        <w:spacing w:before="7" w:after="1"/>
        <w:rPr>
          <w:b/>
          <w:sz w:val="11"/>
        </w:rPr>
      </w:pPr>
    </w:p>
    <w:tbl>
      <w:tblPr>
        <w:tblW w:w="0" w:type="auto"/>
        <w:tblInd w:w="151" w:type="dxa"/>
        <w:tblLayout w:type="fixed"/>
        <w:tblCellMar>
          <w:left w:w="0" w:type="dxa"/>
          <w:right w:w="0" w:type="dxa"/>
        </w:tblCellMar>
        <w:tblLook w:val="01E0" w:firstRow="1" w:lastRow="1" w:firstColumn="1" w:lastColumn="1" w:noHBand="0" w:noVBand="0"/>
      </w:tblPr>
      <w:tblGrid>
        <w:gridCol w:w="8642"/>
        <w:gridCol w:w="1296"/>
      </w:tblGrid>
      <w:tr w:rsidR="00FA4AA8" w14:paraId="0AE5AD81" w14:textId="77777777">
        <w:trPr>
          <w:trHeight w:val="876"/>
        </w:trPr>
        <w:tc>
          <w:tcPr>
            <w:tcW w:w="8642" w:type="dxa"/>
          </w:tcPr>
          <w:p w14:paraId="72D03758" w14:textId="77777777" w:rsidR="00FA4AA8" w:rsidRDefault="0015611F">
            <w:pPr>
              <w:pStyle w:val="TableParagraph"/>
              <w:spacing w:line="115" w:lineRule="exact"/>
              <w:ind w:left="50"/>
              <w:rPr>
                <w:b/>
                <w:sz w:val="18"/>
              </w:rPr>
            </w:pPr>
            <w:r>
              <w:rPr>
                <w:b/>
                <w:sz w:val="18"/>
              </w:rPr>
              <w:t>Net Assets</w:t>
            </w:r>
          </w:p>
          <w:p w14:paraId="38E81C7C" w14:textId="77777777" w:rsidR="00FA4AA8" w:rsidRDefault="00FA4AA8">
            <w:pPr>
              <w:pStyle w:val="TableParagraph"/>
              <w:rPr>
                <w:b/>
                <w:sz w:val="20"/>
              </w:rPr>
            </w:pPr>
          </w:p>
          <w:p w14:paraId="3B99A214" w14:textId="77777777" w:rsidR="00FA4AA8" w:rsidRDefault="00FA4AA8">
            <w:pPr>
              <w:pStyle w:val="TableParagraph"/>
              <w:spacing w:before="10"/>
              <w:rPr>
                <w:b/>
                <w:sz w:val="26"/>
              </w:rPr>
            </w:pPr>
          </w:p>
          <w:p w14:paraId="0FEBBBBA" w14:textId="77777777" w:rsidR="00FA4AA8" w:rsidRDefault="0015611F">
            <w:pPr>
              <w:pStyle w:val="TableParagraph"/>
              <w:spacing w:line="203" w:lineRule="exact"/>
              <w:ind w:left="50"/>
              <w:rPr>
                <w:b/>
                <w:sz w:val="18"/>
              </w:rPr>
            </w:pPr>
            <w:r>
              <w:rPr>
                <w:b/>
                <w:sz w:val="18"/>
              </w:rPr>
              <w:t>EQUITY</w:t>
            </w:r>
          </w:p>
        </w:tc>
        <w:tc>
          <w:tcPr>
            <w:tcW w:w="1296" w:type="dxa"/>
          </w:tcPr>
          <w:p w14:paraId="618D759B" w14:textId="77777777" w:rsidR="00FA4AA8" w:rsidRDefault="0015611F">
            <w:pPr>
              <w:pStyle w:val="TableParagraph"/>
              <w:tabs>
                <w:tab w:val="left" w:pos="491"/>
              </w:tabs>
              <w:spacing w:line="201" w:lineRule="exact"/>
              <w:ind w:right="-15"/>
              <w:jc w:val="right"/>
              <w:rPr>
                <w:b/>
                <w:sz w:val="18"/>
              </w:rPr>
            </w:pPr>
            <w:r>
              <w:rPr>
                <w:rFonts w:ascii="Times New Roman"/>
                <w:sz w:val="18"/>
                <w:u w:val="double"/>
              </w:rPr>
              <w:t xml:space="preserve"> </w:t>
            </w:r>
            <w:r>
              <w:rPr>
                <w:rFonts w:ascii="Times New Roman"/>
                <w:sz w:val="18"/>
                <w:u w:val="double"/>
              </w:rPr>
              <w:tab/>
            </w:r>
            <w:r>
              <w:rPr>
                <w:b/>
                <w:sz w:val="18"/>
                <w:u w:val="single"/>
              </w:rPr>
              <w:t>(37</w:t>
            </w:r>
            <w:r>
              <w:rPr>
                <w:b/>
                <w:sz w:val="18"/>
              </w:rPr>
              <w:t>0,</w:t>
            </w:r>
            <w:r>
              <w:rPr>
                <w:b/>
                <w:sz w:val="18"/>
                <w:u w:val="single"/>
              </w:rPr>
              <w:t>84</w:t>
            </w:r>
            <w:r>
              <w:rPr>
                <w:b/>
                <w:sz w:val="18"/>
              </w:rPr>
              <w:t>6)</w:t>
            </w:r>
            <w:r>
              <w:rPr>
                <w:b/>
                <w:spacing w:val="-22"/>
                <w:sz w:val="18"/>
              </w:rPr>
              <w:t xml:space="preserve"> </w:t>
            </w:r>
          </w:p>
        </w:tc>
      </w:tr>
      <w:tr w:rsidR="00FA4AA8" w14:paraId="4F62A73E" w14:textId="77777777">
        <w:trPr>
          <w:trHeight w:val="249"/>
        </w:trPr>
        <w:tc>
          <w:tcPr>
            <w:tcW w:w="8642" w:type="dxa"/>
          </w:tcPr>
          <w:p w14:paraId="283DDA73" w14:textId="77777777" w:rsidR="00FA4AA8" w:rsidRDefault="0015611F">
            <w:pPr>
              <w:pStyle w:val="TableParagraph"/>
              <w:spacing w:before="10"/>
              <w:ind w:left="50"/>
              <w:rPr>
                <w:sz w:val="18"/>
              </w:rPr>
            </w:pPr>
            <w:r>
              <w:rPr>
                <w:sz w:val="18"/>
              </w:rPr>
              <w:t>Issued capital</w:t>
            </w:r>
          </w:p>
        </w:tc>
        <w:tc>
          <w:tcPr>
            <w:tcW w:w="1296" w:type="dxa"/>
          </w:tcPr>
          <w:p w14:paraId="67F2242C" w14:textId="77777777" w:rsidR="00FA4AA8" w:rsidRDefault="0015611F">
            <w:pPr>
              <w:pStyle w:val="TableParagraph"/>
              <w:spacing w:before="12"/>
              <w:jc w:val="center"/>
              <w:rPr>
                <w:b/>
                <w:sz w:val="18"/>
              </w:rPr>
            </w:pPr>
            <w:r>
              <w:rPr>
                <w:b/>
                <w:sz w:val="18"/>
              </w:rPr>
              <w:t>-</w:t>
            </w:r>
          </w:p>
        </w:tc>
      </w:tr>
      <w:tr w:rsidR="00FA4AA8" w14:paraId="4B836B28" w14:textId="77777777">
        <w:trPr>
          <w:trHeight w:val="253"/>
        </w:trPr>
        <w:tc>
          <w:tcPr>
            <w:tcW w:w="8642" w:type="dxa"/>
          </w:tcPr>
          <w:p w14:paraId="16B6C7A6" w14:textId="77777777" w:rsidR="00FA4AA8" w:rsidRDefault="0015611F">
            <w:pPr>
              <w:pStyle w:val="TableParagraph"/>
              <w:spacing w:before="24"/>
              <w:ind w:left="50"/>
              <w:rPr>
                <w:sz w:val="18"/>
              </w:rPr>
            </w:pPr>
            <w:r>
              <w:rPr>
                <w:sz w:val="18"/>
              </w:rPr>
              <w:t>Retained earnings</w:t>
            </w:r>
          </w:p>
        </w:tc>
        <w:tc>
          <w:tcPr>
            <w:tcW w:w="1296" w:type="dxa"/>
            <w:tcBorders>
              <w:bottom w:val="single" w:sz="12" w:space="0" w:color="000000"/>
            </w:tcBorders>
          </w:tcPr>
          <w:p w14:paraId="7D15E1C6" w14:textId="77777777" w:rsidR="00FA4AA8" w:rsidRDefault="0015611F">
            <w:pPr>
              <w:pStyle w:val="TableParagraph"/>
              <w:spacing w:before="26"/>
              <w:ind w:right="26"/>
              <w:jc w:val="right"/>
              <w:rPr>
                <w:b/>
                <w:sz w:val="18"/>
              </w:rPr>
            </w:pPr>
            <w:r>
              <w:rPr>
                <w:b/>
                <w:sz w:val="18"/>
              </w:rPr>
              <w:t>(370,846)</w:t>
            </w:r>
          </w:p>
        </w:tc>
      </w:tr>
      <w:tr w:rsidR="00FA4AA8" w14:paraId="6E802285" w14:textId="77777777">
        <w:trPr>
          <w:trHeight w:val="317"/>
        </w:trPr>
        <w:tc>
          <w:tcPr>
            <w:tcW w:w="8642" w:type="dxa"/>
          </w:tcPr>
          <w:p w14:paraId="0BB2ABAF" w14:textId="77777777" w:rsidR="00FA4AA8" w:rsidRDefault="00FA4AA8">
            <w:pPr>
              <w:pStyle w:val="TableParagraph"/>
              <w:rPr>
                <w:rFonts w:ascii="Times New Roman"/>
                <w:sz w:val="18"/>
              </w:rPr>
            </w:pPr>
          </w:p>
        </w:tc>
        <w:tc>
          <w:tcPr>
            <w:tcW w:w="1296" w:type="dxa"/>
            <w:tcBorders>
              <w:top w:val="single" w:sz="12" w:space="0" w:color="000000"/>
            </w:tcBorders>
          </w:tcPr>
          <w:p w14:paraId="60711D5B" w14:textId="77777777" w:rsidR="00FA4AA8" w:rsidRDefault="0015611F">
            <w:pPr>
              <w:pStyle w:val="TableParagraph"/>
              <w:tabs>
                <w:tab w:val="left" w:pos="491"/>
              </w:tabs>
              <w:spacing w:before="110" w:line="188" w:lineRule="exact"/>
              <w:ind w:right="-15"/>
              <w:jc w:val="right"/>
              <w:rPr>
                <w:b/>
                <w:sz w:val="18"/>
              </w:rPr>
            </w:pPr>
            <w:r>
              <w:rPr>
                <w:rFonts w:ascii="Times New Roman"/>
                <w:sz w:val="18"/>
                <w:u w:val="thick"/>
              </w:rPr>
              <w:t xml:space="preserve"> </w:t>
            </w:r>
            <w:r>
              <w:rPr>
                <w:rFonts w:ascii="Times New Roman"/>
                <w:sz w:val="18"/>
                <w:u w:val="thick"/>
              </w:rPr>
              <w:tab/>
            </w:r>
            <w:r>
              <w:rPr>
                <w:b/>
                <w:sz w:val="18"/>
                <w:u w:val="thick"/>
              </w:rPr>
              <w:t>(370,846)</w:t>
            </w:r>
            <w:r>
              <w:rPr>
                <w:b/>
                <w:spacing w:val="-22"/>
                <w:sz w:val="18"/>
                <w:u w:val="thick"/>
              </w:rPr>
              <w:t xml:space="preserve"> </w:t>
            </w:r>
          </w:p>
        </w:tc>
      </w:tr>
    </w:tbl>
    <w:p w14:paraId="44B928D3" w14:textId="77777777" w:rsidR="00FA4AA8" w:rsidRDefault="0015611F">
      <w:pPr>
        <w:tabs>
          <w:tab w:val="left" w:pos="8786"/>
          <w:tab w:val="left" w:pos="9278"/>
        </w:tabs>
        <w:spacing w:before="44"/>
        <w:ind w:left="194"/>
        <w:rPr>
          <w:b/>
          <w:sz w:val="18"/>
        </w:rPr>
      </w:pPr>
      <w:r>
        <w:rPr>
          <w:b/>
          <w:sz w:val="18"/>
        </w:rPr>
        <w:t>Total Equity</w:t>
      </w:r>
      <w:r>
        <w:rPr>
          <w:b/>
          <w:sz w:val="18"/>
        </w:rPr>
        <w:tab/>
      </w:r>
      <w:r>
        <w:rPr>
          <w:b/>
          <w:position w:val="-8"/>
          <w:sz w:val="18"/>
          <w:u w:val="double"/>
        </w:rPr>
        <w:t xml:space="preserve"> </w:t>
      </w:r>
      <w:r>
        <w:rPr>
          <w:b/>
          <w:position w:val="-8"/>
          <w:sz w:val="18"/>
          <w:u w:val="double"/>
        </w:rPr>
        <w:tab/>
      </w:r>
      <w:r>
        <w:rPr>
          <w:b/>
          <w:position w:val="-8"/>
          <w:sz w:val="18"/>
          <w:u w:val="single"/>
        </w:rPr>
        <w:t>(37</w:t>
      </w:r>
      <w:r>
        <w:rPr>
          <w:b/>
          <w:position w:val="-8"/>
          <w:sz w:val="18"/>
        </w:rPr>
        <w:t>0,</w:t>
      </w:r>
      <w:r>
        <w:rPr>
          <w:b/>
          <w:position w:val="-8"/>
          <w:sz w:val="18"/>
          <w:u w:val="single"/>
        </w:rPr>
        <w:t>84</w:t>
      </w:r>
      <w:r>
        <w:rPr>
          <w:b/>
          <w:position w:val="-8"/>
          <w:sz w:val="18"/>
        </w:rPr>
        <w:t>6)</w:t>
      </w:r>
      <w:r>
        <w:rPr>
          <w:b/>
          <w:spacing w:val="-22"/>
          <w:position w:val="-8"/>
          <w:sz w:val="18"/>
        </w:rPr>
        <w:t xml:space="preserve"> </w:t>
      </w:r>
    </w:p>
    <w:p w14:paraId="0E5FFEB2" w14:textId="77777777" w:rsidR="00FA4AA8" w:rsidRDefault="00FA4AA8">
      <w:pPr>
        <w:pStyle w:val="BodyText"/>
        <w:rPr>
          <w:b/>
          <w:sz w:val="20"/>
        </w:rPr>
      </w:pPr>
    </w:p>
    <w:p w14:paraId="13BAB68D" w14:textId="77777777" w:rsidR="00FA4AA8" w:rsidRDefault="00FA4AA8">
      <w:pPr>
        <w:pStyle w:val="BodyText"/>
        <w:rPr>
          <w:b/>
          <w:sz w:val="20"/>
        </w:rPr>
      </w:pPr>
    </w:p>
    <w:p w14:paraId="7CFA086D" w14:textId="77777777" w:rsidR="00FA4AA8" w:rsidRDefault="00FA4AA8">
      <w:pPr>
        <w:pStyle w:val="BodyText"/>
        <w:rPr>
          <w:b/>
          <w:sz w:val="20"/>
        </w:rPr>
      </w:pPr>
    </w:p>
    <w:p w14:paraId="1F222932" w14:textId="77777777" w:rsidR="00FA4AA8" w:rsidRDefault="00FA4AA8">
      <w:pPr>
        <w:pStyle w:val="BodyText"/>
        <w:rPr>
          <w:b/>
          <w:sz w:val="20"/>
        </w:rPr>
      </w:pPr>
    </w:p>
    <w:p w14:paraId="7C9336B5" w14:textId="77777777" w:rsidR="00FA4AA8" w:rsidRDefault="00FA4AA8">
      <w:pPr>
        <w:pStyle w:val="BodyText"/>
        <w:rPr>
          <w:b/>
          <w:sz w:val="20"/>
        </w:rPr>
      </w:pPr>
    </w:p>
    <w:p w14:paraId="36A6ABE6" w14:textId="77777777" w:rsidR="00FA4AA8" w:rsidRDefault="00FA4AA8">
      <w:pPr>
        <w:pStyle w:val="BodyText"/>
        <w:rPr>
          <w:b/>
          <w:sz w:val="20"/>
        </w:rPr>
      </w:pPr>
    </w:p>
    <w:p w14:paraId="331D70FF" w14:textId="77777777" w:rsidR="00FA4AA8" w:rsidRDefault="00FA4AA8">
      <w:pPr>
        <w:pStyle w:val="BodyText"/>
        <w:rPr>
          <w:b/>
          <w:sz w:val="20"/>
        </w:rPr>
      </w:pPr>
    </w:p>
    <w:p w14:paraId="0B84A355" w14:textId="77777777" w:rsidR="00FA4AA8" w:rsidRDefault="00FA4AA8">
      <w:pPr>
        <w:pStyle w:val="BodyText"/>
        <w:rPr>
          <w:b/>
          <w:sz w:val="20"/>
        </w:rPr>
      </w:pPr>
    </w:p>
    <w:p w14:paraId="7A7AAC4C" w14:textId="77777777" w:rsidR="00FA4AA8" w:rsidRDefault="00FA4AA8">
      <w:pPr>
        <w:pStyle w:val="BodyText"/>
        <w:rPr>
          <w:b/>
          <w:sz w:val="20"/>
        </w:rPr>
      </w:pPr>
    </w:p>
    <w:p w14:paraId="4F30D732" w14:textId="77777777" w:rsidR="00FA4AA8" w:rsidRDefault="00FA4AA8">
      <w:pPr>
        <w:pStyle w:val="BodyText"/>
        <w:rPr>
          <w:b/>
          <w:sz w:val="20"/>
        </w:rPr>
      </w:pPr>
    </w:p>
    <w:p w14:paraId="1FBC6F1C" w14:textId="77777777" w:rsidR="00FA4AA8" w:rsidRDefault="00FA4AA8">
      <w:pPr>
        <w:pStyle w:val="BodyText"/>
        <w:rPr>
          <w:b/>
          <w:sz w:val="20"/>
        </w:rPr>
      </w:pPr>
    </w:p>
    <w:p w14:paraId="1AFF45C3" w14:textId="77777777" w:rsidR="00FA4AA8" w:rsidRDefault="00FA4AA8">
      <w:pPr>
        <w:pStyle w:val="BodyText"/>
        <w:rPr>
          <w:b/>
          <w:sz w:val="20"/>
        </w:rPr>
      </w:pPr>
    </w:p>
    <w:p w14:paraId="4E241358" w14:textId="77777777" w:rsidR="00FA4AA8" w:rsidRDefault="00FA4AA8">
      <w:pPr>
        <w:pStyle w:val="BodyText"/>
        <w:rPr>
          <w:b/>
          <w:sz w:val="20"/>
        </w:rPr>
      </w:pPr>
    </w:p>
    <w:p w14:paraId="5906F813" w14:textId="77777777" w:rsidR="00FA4AA8" w:rsidRDefault="00FA4AA8">
      <w:pPr>
        <w:pStyle w:val="BodyText"/>
        <w:rPr>
          <w:b/>
          <w:sz w:val="20"/>
        </w:rPr>
      </w:pPr>
    </w:p>
    <w:p w14:paraId="7B67DA53" w14:textId="77777777" w:rsidR="00FA4AA8" w:rsidRDefault="00FA4AA8">
      <w:pPr>
        <w:pStyle w:val="BodyText"/>
        <w:rPr>
          <w:b/>
          <w:sz w:val="20"/>
        </w:rPr>
      </w:pPr>
    </w:p>
    <w:p w14:paraId="5A2F91CB" w14:textId="77777777" w:rsidR="00FA4AA8" w:rsidRDefault="00FA4AA8">
      <w:pPr>
        <w:pStyle w:val="BodyText"/>
        <w:rPr>
          <w:b/>
          <w:sz w:val="20"/>
        </w:rPr>
      </w:pPr>
    </w:p>
    <w:p w14:paraId="6DF90B75" w14:textId="77777777" w:rsidR="00FA4AA8" w:rsidRDefault="00FA4AA8">
      <w:pPr>
        <w:pStyle w:val="BodyText"/>
        <w:rPr>
          <w:b/>
          <w:sz w:val="20"/>
        </w:rPr>
      </w:pPr>
    </w:p>
    <w:p w14:paraId="06398B3B" w14:textId="77777777" w:rsidR="00FA4AA8" w:rsidRDefault="00FA4AA8">
      <w:pPr>
        <w:pStyle w:val="BodyText"/>
        <w:rPr>
          <w:b/>
          <w:sz w:val="20"/>
        </w:rPr>
      </w:pPr>
    </w:p>
    <w:p w14:paraId="689F167F" w14:textId="77777777" w:rsidR="00FA4AA8" w:rsidRDefault="00FA4AA8">
      <w:pPr>
        <w:pStyle w:val="BodyText"/>
        <w:rPr>
          <w:b/>
          <w:sz w:val="20"/>
        </w:rPr>
      </w:pPr>
    </w:p>
    <w:p w14:paraId="3A2EEB97" w14:textId="77777777" w:rsidR="00FA4AA8" w:rsidRDefault="00FA4AA8">
      <w:pPr>
        <w:pStyle w:val="BodyText"/>
        <w:spacing w:before="7"/>
        <w:rPr>
          <w:b/>
          <w:sz w:val="21"/>
        </w:rPr>
      </w:pPr>
    </w:p>
    <w:p w14:paraId="3510D773" w14:textId="77777777" w:rsidR="00FA4AA8" w:rsidRDefault="0015611F">
      <w:pPr>
        <w:pStyle w:val="BodyText"/>
        <w:ind w:left="576" w:right="509"/>
        <w:jc w:val="center"/>
      </w:pPr>
      <w:r>
        <w:t>The accompanying notes form part of these financial statements.</w:t>
      </w:r>
    </w:p>
    <w:p w14:paraId="62261737" w14:textId="77777777" w:rsidR="00FA4AA8" w:rsidRDefault="00FA4AA8">
      <w:pPr>
        <w:jc w:val="center"/>
        <w:sectPr w:rsidR="00FA4AA8">
          <w:type w:val="continuous"/>
          <w:pgSz w:w="11910" w:h="16840"/>
          <w:pgMar w:top="20" w:right="880" w:bottom="0" w:left="840" w:header="720" w:footer="720" w:gutter="0"/>
          <w:cols w:space="720"/>
        </w:sectPr>
      </w:pPr>
    </w:p>
    <w:p w14:paraId="6A557AE9" w14:textId="77777777" w:rsidR="00FA4AA8" w:rsidRDefault="00FA4AA8">
      <w:pPr>
        <w:pStyle w:val="BodyText"/>
        <w:rPr>
          <w:sz w:val="20"/>
        </w:rPr>
      </w:pPr>
    </w:p>
    <w:p w14:paraId="6C5925FE" w14:textId="77777777" w:rsidR="00FA4AA8" w:rsidRDefault="00FA4AA8">
      <w:pPr>
        <w:pStyle w:val="BodyText"/>
        <w:spacing w:before="2"/>
        <w:rPr>
          <w:sz w:val="10"/>
        </w:rPr>
      </w:pPr>
    </w:p>
    <w:tbl>
      <w:tblPr>
        <w:tblW w:w="0" w:type="auto"/>
        <w:tblInd w:w="125" w:type="dxa"/>
        <w:tblLayout w:type="fixed"/>
        <w:tblCellMar>
          <w:left w:w="0" w:type="dxa"/>
          <w:right w:w="0" w:type="dxa"/>
        </w:tblCellMar>
        <w:tblLook w:val="01E0" w:firstRow="1" w:lastRow="1" w:firstColumn="1" w:lastColumn="1" w:noHBand="0" w:noVBand="0"/>
      </w:tblPr>
      <w:tblGrid>
        <w:gridCol w:w="6295"/>
        <w:gridCol w:w="1179"/>
        <w:gridCol w:w="1450"/>
        <w:gridCol w:w="1042"/>
      </w:tblGrid>
      <w:tr w:rsidR="00FA4AA8" w14:paraId="106745DE" w14:textId="77777777">
        <w:trPr>
          <w:trHeight w:val="343"/>
        </w:trPr>
        <w:tc>
          <w:tcPr>
            <w:tcW w:w="6295" w:type="dxa"/>
          </w:tcPr>
          <w:p w14:paraId="331369F3" w14:textId="77777777" w:rsidR="00FA4AA8" w:rsidRDefault="0015611F">
            <w:pPr>
              <w:pStyle w:val="TableParagraph"/>
              <w:spacing w:line="314" w:lineRule="exact"/>
              <w:ind w:left="50"/>
              <w:rPr>
                <w:b/>
                <w:sz w:val="28"/>
              </w:rPr>
            </w:pPr>
            <w:r>
              <w:rPr>
                <w:b/>
                <w:sz w:val="28"/>
              </w:rPr>
              <w:t>Statement of Changes in Equity</w:t>
            </w:r>
          </w:p>
        </w:tc>
        <w:tc>
          <w:tcPr>
            <w:tcW w:w="3671" w:type="dxa"/>
            <w:gridSpan w:val="3"/>
            <w:vMerge w:val="restart"/>
          </w:tcPr>
          <w:p w14:paraId="0AD45FAE" w14:textId="77777777" w:rsidR="00FA4AA8" w:rsidRDefault="00FA4AA8">
            <w:pPr>
              <w:pStyle w:val="TableParagraph"/>
              <w:rPr>
                <w:rFonts w:ascii="Times New Roman"/>
                <w:sz w:val="18"/>
              </w:rPr>
            </w:pPr>
          </w:p>
        </w:tc>
      </w:tr>
      <w:tr w:rsidR="00FA4AA8" w14:paraId="2D9F31B3" w14:textId="77777777">
        <w:trPr>
          <w:trHeight w:val="486"/>
        </w:trPr>
        <w:tc>
          <w:tcPr>
            <w:tcW w:w="6295" w:type="dxa"/>
          </w:tcPr>
          <w:p w14:paraId="64F01D34" w14:textId="77777777" w:rsidR="00FA4AA8" w:rsidRDefault="0015611F">
            <w:pPr>
              <w:pStyle w:val="TableParagraph"/>
              <w:spacing w:before="23"/>
              <w:ind w:left="50"/>
              <w:rPr>
                <w:b/>
              </w:rPr>
            </w:pPr>
            <w:r>
              <w:rPr>
                <w:b/>
              </w:rPr>
              <w:t>For the initial Period 4 June 2018 to 31 December 2018</w:t>
            </w:r>
          </w:p>
        </w:tc>
        <w:tc>
          <w:tcPr>
            <w:tcW w:w="3671" w:type="dxa"/>
            <w:gridSpan w:val="3"/>
            <w:vMerge/>
            <w:tcBorders>
              <w:top w:val="nil"/>
            </w:tcBorders>
          </w:tcPr>
          <w:p w14:paraId="6A9D3FA3" w14:textId="77777777" w:rsidR="00FA4AA8" w:rsidRDefault="00FA4AA8">
            <w:pPr>
              <w:rPr>
                <w:sz w:val="2"/>
                <w:szCs w:val="2"/>
              </w:rPr>
            </w:pPr>
          </w:p>
        </w:tc>
      </w:tr>
      <w:tr w:rsidR="00FA4AA8" w14:paraId="24C4EFC4" w14:textId="77777777">
        <w:trPr>
          <w:trHeight w:val="653"/>
        </w:trPr>
        <w:tc>
          <w:tcPr>
            <w:tcW w:w="6295" w:type="dxa"/>
          </w:tcPr>
          <w:p w14:paraId="4F425F91" w14:textId="77777777" w:rsidR="00FA4AA8" w:rsidRDefault="00FA4AA8">
            <w:pPr>
              <w:pStyle w:val="TableParagraph"/>
              <w:rPr>
                <w:rFonts w:ascii="Times New Roman"/>
                <w:sz w:val="18"/>
              </w:rPr>
            </w:pPr>
          </w:p>
        </w:tc>
        <w:tc>
          <w:tcPr>
            <w:tcW w:w="1179" w:type="dxa"/>
          </w:tcPr>
          <w:p w14:paraId="405918B7" w14:textId="77777777" w:rsidR="00FA4AA8" w:rsidRDefault="00FA4AA8">
            <w:pPr>
              <w:pStyle w:val="TableParagraph"/>
              <w:spacing w:before="8"/>
              <w:rPr>
                <w:sz w:val="17"/>
              </w:rPr>
            </w:pPr>
          </w:p>
          <w:p w14:paraId="3515F28F" w14:textId="77777777" w:rsidR="00FA4AA8" w:rsidRDefault="0015611F">
            <w:pPr>
              <w:pStyle w:val="TableParagraph"/>
              <w:ind w:left="309" w:right="249" w:firstLine="14"/>
              <w:rPr>
                <w:b/>
                <w:sz w:val="18"/>
              </w:rPr>
            </w:pPr>
            <w:r>
              <w:rPr>
                <w:b/>
                <w:sz w:val="18"/>
              </w:rPr>
              <w:t>Issued Capital</w:t>
            </w:r>
          </w:p>
        </w:tc>
        <w:tc>
          <w:tcPr>
            <w:tcW w:w="1450" w:type="dxa"/>
          </w:tcPr>
          <w:p w14:paraId="260715C4" w14:textId="77777777" w:rsidR="00FA4AA8" w:rsidRDefault="00FA4AA8">
            <w:pPr>
              <w:pStyle w:val="TableParagraph"/>
              <w:spacing w:before="8"/>
              <w:rPr>
                <w:sz w:val="17"/>
              </w:rPr>
            </w:pPr>
          </w:p>
          <w:p w14:paraId="78DAD46B" w14:textId="77777777" w:rsidR="00FA4AA8" w:rsidRDefault="0015611F">
            <w:pPr>
              <w:pStyle w:val="TableParagraph"/>
              <w:ind w:left="268" w:right="391" w:firstLine="4"/>
              <w:rPr>
                <w:b/>
                <w:sz w:val="18"/>
              </w:rPr>
            </w:pPr>
            <w:r>
              <w:rPr>
                <w:b/>
                <w:sz w:val="18"/>
              </w:rPr>
              <w:t>Retained Earnings</w:t>
            </w:r>
          </w:p>
        </w:tc>
        <w:tc>
          <w:tcPr>
            <w:tcW w:w="1042" w:type="dxa"/>
          </w:tcPr>
          <w:p w14:paraId="7E14135D" w14:textId="77777777" w:rsidR="00FA4AA8" w:rsidRDefault="00FA4AA8">
            <w:pPr>
              <w:pStyle w:val="TableParagraph"/>
              <w:rPr>
                <w:sz w:val="20"/>
              </w:rPr>
            </w:pPr>
          </w:p>
          <w:p w14:paraId="6337D8C9" w14:textId="77777777" w:rsidR="00FA4AA8" w:rsidRDefault="00FA4AA8">
            <w:pPr>
              <w:pStyle w:val="TableParagraph"/>
              <w:spacing w:before="7"/>
              <w:rPr>
                <w:sz w:val="15"/>
              </w:rPr>
            </w:pPr>
          </w:p>
          <w:p w14:paraId="7084768D" w14:textId="77777777" w:rsidR="00FA4AA8" w:rsidRDefault="0015611F">
            <w:pPr>
              <w:pStyle w:val="TableParagraph"/>
              <w:ind w:left="212"/>
              <w:rPr>
                <w:b/>
                <w:sz w:val="18"/>
              </w:rPr>
            </w:pPr>
            <w:r>
              <w:rPr>
                <w:b/>
                <w:sz w:val="18"/>
              </w:rPr>
              <w:t>Total</w:t>
            </w:r>
          </w:p>
        </w:tc>
      </w:tr>
      <w:tr w:rsidR="00FA4AA8" w14:paraId="4E2B8835" w14:textId="77777777">
        <w:trPr>
          <w:trHeight w:val="262"/>
        </w:trPr>
        <w:tc>
          <w:tcPr>
            <w:tcW w:w="6295" w:type="dxa"/>
          </w:tcPr>
          <w:p w14:paraId="322F0573" w14:textId="77777777" w:rsidR="00FA4AA8" w:rsidRDefault="00FA4AA8">
            <w:pPr>
              <w:pStyle w:val="TableParagraph"/>
              <w:rPr>
                <w:rFonts w:ascii="Times New Roman"/>
                <w:sz w:val="18"/>
              </w:rPr>
            </w:pPr>
          </w:p>
        </w:tc>
        <w:tc>
          <w:tcPr>
            <w:tcW w:w="1179" w:type="dxa"/>
            <w:tcBorders>
              <w:bottom w:val="single" w:sz="12" w:space="0" w:color="000000"/>
            </w:tcBorders>
          </w:tcPr>
          <w:p w14:paraId="50F0DF0C" w14:textId="77777777" w:rsidR="00FA4AA8" w:rsidRDefault="0015611F">
            <w:pPr>
              <w:pStyle w:val="TableParagraph"/>
              <w:spacing w:before="30"/>
              <w:ind w:right="517"/>
              <w:jc w:val="right"/>
              <w:rPr>
                <w:b/>
                <w:sz w:val="18"/>
              </w:rPr>
            </w:pPr>
            <w:r>
              <w:rPr>
                <w:b/>
                <w:sz w:val="18"/>
              </w:rPr>
              <w:t>$</w:t>
            </w:r>
          </w:p>
        </w:tc>
        <w:tc>
          <w:tcPr>
            <w:tcW w:w="1450" w:type="dxa"/>
            <w:tcBorders>
              <w:bottom w:val="single" w:sz="12" w:space="0" w:color="000000"/>
            </w:tcBorders>
          </w:tcPr>
          <w:p w14:paraId="43A9BA22" w14:textId="77777777" w:rsidR="00FA4AA8" w:rsidRDefault="0015611F">
            <w:pPr>
              <w:pStyle w:val="TableParagraph"/>
              <w:spacing w:before="30"/>
              <w:ind w:right="139"/>
              <w:jc w:val="center"/>
              <w:rPr>
                <w:b/>
                <w:sz w:val="18"/>
              </w:rPr>
            </w:pPr>
            <w:r>
              <w:rPr>
                <w:b/>
                <w:sz w:val="18"/>
              </w:rPr>
              <w:t>$</w:t>
            </w:r>
          </w:p>
        </w:tc>
        <w:tc>
          <w:tcPr>
            <w:tcW w:w="1042" w:type="dxa"/>
            <w:tcBorders>
              <w:bottom w:val="single" w:sz="12" w:space="0" w:color="000000"/>
            </w:tcBorders>
          </w:tcPr>
          <w:p w14:paraId="61567DF8" w14:textId="77777777" w:rsidR="00FA4AA8" w:rsidRDefault="0015611F">
            <w:pPr>
              <w:pStyle w:val="TableParagraph"/>
              <w:spacing w:before="30"/>
              <w:ind w:right="183"/>
              <w:jc w:val="center"/>
              <w:rPr>
                <w:b/>
                <w:sz w:val="18"/>
              </w:rPr>
            </w:pPr>
            <w:r>
              <w:rPr>
                <w:b/>
                <w:sz w:val="18"/>
              </w:rPr>
              <w:t>$</w:t>
            </w:r>
          </w:p>
        </w:tc>
      </w:tr>
      <w:tr w:rsidR="00FA4AA8" w14:paraId="38AEF52E" w14:textId="77777777">
        <w:trPr>
          <w:trHeight w:val="274"/>
        </w:trPr>
        <w:tc>
          <w:tcPr>
            <w:tcW w:w="6295" w:type="dxa"/>
          </w:tcPr>
          <w:p w14:paraId="77152F6B" w14:textId="77777777" w:rsidR="00FA4AA8" w:rsidRDefault="0015611F">
            <w:pPr>
              <w:pStyle w:val="TableParagraph"/>
              <w:spacing w:before="31"/>
              <w:ind w:left="76"/>
              <w:rPr>
                <w:b/>
                <w:sz w:val="18"/>
              </w:rPr>
            </w:pPr>
            <w:r>
              <w:rPr>
                <w:b/>
                <w:sz w:val="18"/>
              </w:rPr>
              <w:t>Balance at 4 June 2018</w:t>
            </w:r>
          </w:p>
        </w:tc>
        <w:tc>
          <w:tcPr>
            <w:tcW w:w="1179" w:type="dxa"/>
            <w:tcBorders>
              <w:top w:val="single" w:sz="12" w:space="0" w:color="000000"/>
            </w:tcBorders>
          </w:tcPr>
          <w:p w14:paraId="02C917BB" w14:textId="77777777" w:rsidR="00FA4AA8" w:rsidRDefault="0015611F">
            <w:pPr>
              <w:pStyle w:val="TableParagraph"/>
              <w:spacing w:before="35"/>
              <w:ind w:right="538"/>
              <w:jc w:val="right"/>
              <w:rPr>
                <w:b/>
                <w:sz w:val="18"/>
              </w:rPr>
            </w:pPr>
            <w:r>
              <w:rPr>
                <w:b/>
                <w:sz w:val="18"/>
              </w:rPr>
              <w:t>-</w:t>
            </w:r>
          </w:p>
        </w:tc>
        <w:tc>
          <w:tcPr>
            <w:tcW w:w="1450" w:type="dxa"/>
            <w:tcBorders>
              <w:top w:val="single" w:sz="12" w:space="0" w:color="000000"/>
            </w:tcBorders>
          </w:tcPr>
          <w:p w14:paraId="77A01E26" w14:textId="77777777" w:rsidR="00FA4AA8" w:rsidRDefault="0015611F">
            <w:pPr>
              <w:pStyle w:val="TableParagraph"/>
              <w:spacing w:before="35"/>
              <w:ind w:right="141"/>
              <w:jc w:val="center"/>
              <w:rPr>
                <w:b/>
                <w:sz w:val="18"/>
              </w:rPr>
            </w:pPr>
            <w:r>
              <w:rPr>
                <w:b/>
                <w:sz w:val="18"/>
              </w:rPr>
              <w:t>-</w:t>
            </w:r>
          </w:p>
        </w:tc>
        <w:tc>
          <w:tcPr>
            <w:tcW w:w="1042" w:type="dxa"/>
            <w:tcBorders>
              <w:top w:val="single" w:sz="12" w:space="0" w:color="000000"/>
            </w:tcBorders>
          </w:tcPr>
          <w:p w14:paraId="54B18101" w14:textId="77777777" w:rsidR="00FA4AA8" w:rsidRDefault="0015611F">
            <w:pPr>
              <w:pStyle w:val="TableParagraph"/>
              <w:spacing w:before="35"/>
              <w:ind w:right="185"/>
              <w:jc w:val="center"/>
              <w:rPr>
                <w:b/>
                <w:sz w:val="18"/>
              </w:rPr>
            </w:pPr>
            <w:r>
              <w:rPr>
                <w:b/>
                <w:sz w:val="18"/>
              </w:rPr>
              <w:t>-</w:t>
            </w:r>
          </w:p>
        </w:tc>
      </w:tr>
      <w:tr w:rsidR="00FA4AA8" w14:paraId="4EDC9048" w14:textId="77777777">
        <w:trPr>
          <w:trHeight w:val="265"/>
        </w:trPr>
        <w:tc>
          <w:tcPr>
            <w:tcW w:w="6295" w:type="dxa"/>
          </w:tcPr>
          <w:p w14:paraId="2B00BC2E" w14:textId="77777777" w:rsidR="00FA4AA8" w:rsidRDefault="0015611F">
            <w:pPr>
              <w:pStyle w:val="TableParagraph"/>
              <w:spacing w:before="28"/>
              <w:ind w:left="76"/>
              <w:rPr>
                <w:sz w:val="18"/>
              </w:rPr>
            </w:pPr>
            <w:r>
              <w:rPr>
                <w:sz w:val="18"/>
              </w:rPr>
              <w:t>Surplus / (deficit) for the period</w:t>
            </w:r>
          </w:p>
        </w:tc>
        <w:tc>
          <w:tcPr>
            <w:tcW w:w="1179" w:type="dxa"/>
          </w:tcPr>
          <w:p w14:paraId="563FFBB7" w14:textId="77777777" w:rsidR="00FA4AA8" w:rsidRDefault="0015611F">
            <w:pPr>
              <w:pStyle w:val="TableParagraph"/>
              <w:spacing w:before="25"/>
              <w:ind w:right="538"/>
              <w:jc w:val="right"/>
              <w:rPr>
                <w:b/>
                <w:sz w:val="18"/>
              </w:rPr>
            </w:pPr>
            <w:r>
              <w:rPr>
                <w:b/>
                <w:sz w:val="18"/>
              </w:rPr>
              <w:t>-</w:t>
            </w:r>
          </w:p>
        </w:tc>
        <w:tc>
          <w:tcPr>
            <w:tcW w:w="1450" w:type="dxa"/>
          </w:tcPr>
          <w:p w14:paraId="6FA86E80" w14:textId="77777777" w:rsidR="00FA4AA8" w:rsidRDefault="0015611F">
            <w:pPr>
              <w:pStyle w:val="TableParagraph"/>
              <w:spacing w:before="25"/>
              <w:ind w:right="209"/>
              <w:jc w:val="right"/>
              <w:rPr>
                <w:b/>
                <w:sz w:val="18"/>
              </w:rPr>
            </w:pPr>
            <w:r>
              <w:rPr>
                <w:b/>
                <w:sz w:val="18"/>
              </w:rPr>
              <w:t>(370,846)</w:t>
            </w:r>
          </w:p>
        </w:tc>
        <w:tc>
          <w:tcPr>
            <w:tcW w:w="1042" w:type="dxa"/>
          </w:tcPr>
          <w:p w14:paraId="2BA4083B" w14:textId="77777777" w:rsidR="00FA4AA8" w:rsidRDefault="0015611F">
            <w:pPr>
              <w:pStyle w:val="TableParagraph"/>
              <w:spacing w:before="25"/>
              <w:ind w:left="236"/>
              <w:rPr>
                <w:b/>
                <w:sz w:val="18"/>
              </w:rPr>
            </w:pPr>
            <w:r>
              <w:rPr>
                <w:b/>
                <w:sz w:val="18"/>
              </w:rPr>
              <w:t>(370,846)</w:t>
            </w:r>
          </w:p>
        </w:tc>
      </w:tr>
      <w:tr w:rsidR="00FA4AA8" w14:paraId="52104FED" w14:textId="77777777">
        <w:trPr>
          <w:trHeight w:val="251"/>
        </w:trPr>
        <w:tc>
          <w:tcPr>
            <w:tcW w:w="6295" w:type="dxa"/>
          </w:tcPr>
          <w:p w14:paraId="7E97F39E" w14:textId="77777777" w:rsidR="00FA4AA8" w:rsidRDefault="0015611F">
            <w:pPr>
              <w:pStyle w:val="TableParagraph"/>
              <w:spacing w:before="26" w:line="205" w:lineRule="exact"/>
              <w:ind w:left="76"/>
              <w:rPr>
                <w:sz w:val="18"/>
              </w:rPr>
            </w:pPr>
            <w:r>
              <w:rPr>
                <w:sz w:val="18"/>
              </w:rPr>
              <w:t>Other comprehensive income</w:t>
            </w:r>
          </w:p>
        </w:tc>
        <w:tc>
          <w:tcPr>
            <w:tcW w:w="1179" w:type="dxa"/>
            <w:tcBorders>
              <w:bottom w:val="single" w:sz="12" w:space="0" w:color="000000"/>
            </w:tcBorders>
          </w:tcPr>
          <w:p w14:paraId="2669EFF5" w14:textId="77777777" w:rsidR="00FA4AA8" w:rsidRDefault="0015611F">
            <w:pPr>
              <w:pStyle w:val="TableParagraph"/>
              <w:spacing w:before="24"/>
              <w:ind w:right="538"/>
              <w:jc w:val="right"/>
              <w:rPr>
                <w:b/>
                <w:sz w:val="18"/>
              </w:rPr>
            </w:pPr>
            <w:r>
              <w:rPr>
                <w:b/>
                <w:sz w:val="18"/>
              </w:rPr>
              <w:t>-</w:t>
            </w:r>
          </w:p>
        </w:tc>
        <w:tc>
          <w:tcPr>
            <w:tcW w:w="1450" w:type="dxa"/>
            <w:tcBorders>
              <w:bottom w:val="single" w:sz="12" w:space="0" w:color="000000"/>
            </w:tcBorders>
          </w:tcPr>
          <w:p w14:paraId="492751B6" w14:textId="77777777" w:rsidR="00FA4AA8" w:rsidRDefault="0015611F">
            <w:pPr>
              <w:pStyle w:val="TableParagraph"/>
              <w:spacing w:before="24"/>
              <w:ind w:right="141"/>
              <w:jc w:val="center"/>
              <w:rPr>
                <w:b/>
                <w:sz w:val="18"/>
              </w:rPr>
            </w:pPr>
            <w:r>
              <w:rPr>
                <w:b/>
                <w:sz w:val="18"/>
              </w:rPr>
              <w:t>-</w:t>
            </w:r>
          </w:p>
        </w:tc>
        <w:tc>
          <w:tcPr>
            <w:tcW w:w="1042" w:type="dxa"/>
            <w:tcBorders>
              <w:bottom w:val="single" w:sz="12" w:space="0" w:color="000000"/>
            </w:tcBorders>
          </w:tcPr>
          <w:p w14:paraId="04768671" w14:textId="77777777" w:rsidR="00FA4AA8" w:rsidRDefault="0015611F">
            <w:pPr>
              <w:pStyle w:val="TableParagraph"/>
              <w:spacing w:before="24"/>
              <w:ind w:right="185"/>
              <w:jc w:val="center"/>
              <w:rPr>
                <w:b/>
                <w:sz w:val="18"/>
              </w:rPr>
            </w:pPr>
            <w:r>
              <w:rPr>
                <w:b/>
                <w:sz w:val="18"/>
              </w:rPr>
              <w:t>-</w:t>
            </w:r>
          </w:p>
        </w:tc>
      </w:tr>
      <w:tr w:rsidR="00FA4AA8" w14:paraId="11298EBD" w14:textId="77777777">
        <w:trPr>
          <w:trHeight w:val="308"/>
        </w:trPr>
        <w:tc>
          <w:tcPr>
            <w:tcW w:w="6295" w:type="dxa"/>
          </w:tcPr>
          <w:p w14:paraId="56D71DC0" w14:textId="77777777" w:rsidR="00FA4AA8" w:rsidRDefault="0015611F">
            <w:pPr>
              <w:pStyle w:val="TableParagraph"/>
              <w:spacing w:before="98" w:line="178" w:lineRule="exact"/>
              <w:ind w:left="76"/>
              <w:rPr>
                <w:b/>
                <w:sz w:val="18"/>
              </w:rPr>
            </w:pPr>
            <w:r>
              <w:rPr>
                <w:b/>
                <w:sz w:val="18"/>
              </w:rPr>
              <w:t>Total comprehensive income for the period</w:t>
            </w:r>
          </w:p>
        </w:tc>
        <w:tc>
          <w:tcPr>
            <w:tcW w:w="1179" w:type="dxa"/>
            <w:tcBorders>
              <w:bottom w:val="single" w:sz="12" w:space="0" w:color="000000"/>
            </w:tcBorders>
          </w:tcPr>
          <w:p w14:paraId="159D22BF" w14:textId="77777777" w:rsidR="00FA4AA8" w:rsidRDefault="0015611F">
            <w:pPr>
              <w:pStyle w:val="TableParagraph"/>
              <w:spacing w:before="98" w:line="178" w:lineRule="exact"/>
              <w:ind w:right="538"/>
              <w:jc w:val="right"/>
              <w:rPr>
                <w:b/>
                <w:sz w:val="18"/>
              </w:rPr>
            </w:pPr>
            <w:r>
              <w:rPr>
                <w:b/>
                <w:sz w:val="18"/>
              </w:rPr>
              <w:t>-</w:t>
            </w:r>
          </w:p>
        </w:tc>
        <w:tc>
          <w:tcPr>
            <w:tcW w:w="1450" w:type="dxa"/>
            <w:tcBorders>
              <w:bottom w:val="single" w:sz="12" w:space="0" w:color="000000"/>
            </w:tcBorders>
          </w:tcPr>
          <w:p w14:paraId="484AC49D" w14:textId="77777777" w:rsidR="00FA4AA8" w:rsidRDefault="0015611F">
            <w:pPr>
              <w:pStyle w:val="TableParagraph"/>
              <w:spacing w:before="98" w:line="178" w:lineRule="exact"/>
              <w:ind w:right="210"/>
              <w:jc w:val="right"/>
              <w:rPr>
                <w:b/>
                <w:sz w:val="18"/>
              </w:rPr>
            </w:pPr>
            <w:r>
              <w:rPr>
                <w:b/>
                <w:sz w:val="18"/>
              </w:rPr>
              <w:t>(370,846)</w:t>
            </w:r>
          </w:p>
        </w:tc>
        <w:tc>
          <w:tcPr>
            <w:tcW w:w="1042" w:type="dxa"/>
            <w:tcBorders>
              <w:bottom w:val="single" w:sz="12" w:space="0" w:color="000000"/>
            </w:tcBorders>
          </w:tcPr>
          <w:p w14:paraId="7765A2F5" w14:textId="77777777" w:rsidR="00FA4AA8" w:rsidRDefault="0015611F">
            <w:pPr>
              <w:pStyle w:val="TableParagraph"/>
              <w:spacing w:before="98" w:line="178" w:lineRule="exact"/>
              <w:ind w:left="236"/>
              <w:rPr>
                <w:b/>
                <w:sz w:val="18"/>
              </w:rPr>
            </w:pPr>
            <w:r>
              <w:rPr>
                <w:b/>
                <w:sz w:val="18"/>
              </w:rPr>
              <w:t>(370,846)</w:t>
            </w:r>
          </w:p>
        </w:tc>
      </w:tr>
      <w:tr w:rsidR="00FA4AA8" w14:paraId="2A05D632" w14:textId="77777777">
        <w:trPr>
          <w:trHeight w:val="307"/>
        </w:trPr>
        <w:tc>
          <w:tcPr>
            <w:tcW w:w="6295" w:type="dxa"/>
          </w:tcPr>
          <w:p w14:paraId="02559459" w14:textId="77777777" w:rsidR="00FA4AA8" w:rsidRDefault="0015611F">
            <w:pPr>
              <w:pStyle w:val="TableParagraph"/>
              <w:spacing w:before="110" w:line="178" w:lineRule="exact"/>
              <w:ind w:left="76"/>
              <w:rPr>
                <w:b/>
                <w:sz w:val="18"/>
              </w:rPr>
            </w:pPr>
            <w:r>
              <w:rPr>
                <w:b/>
                <w:sz w:val="18"/>
              </w:rPr>
              <w:t>Balance at 31 December 2018</w:t>
            </w:r>
          </w:p>
        </w:tc>
        <w:tc>
          <w:tcPr>
            <w:tcW w:w="1179" w:type="dxa"/>
            <w:tcBorders>
              <w:top w:val="single" w:sz="12" w:space="0" w:color="000000"/>
              <w:bottom w:val="double" w:sz="3" w:space="0" w:color="000000"/>
            </w:tcBorders>
          </w:tcPr>
          <w:p w14:paraId="2828C9D7" w14:textId="77777777" w:rsidR="00FA4AA8" w:rsidRDefault="0015611F">
            <w:pPr>
              <w:pStyle w:val="TableParagraph"/>
              <w:spacing w:before="110" w:line="178" w:lineRule="exact"/>
              <w:ind w:right="538"/>
              <w:jc w:val="right"/>
              <w:rPr>
                <w:b/>
                <w:sz w:val="18"/>
              </w:rPr>
            </w:pPr>
            <w:r>
              <w:rPr>
                <w:b/>
                <w:sz w:val="18"/>
              </w:rPr>
              <w:t>-</w:t>
            </w:r>
          </w:p>
        </w:tc>
        <w:tc>
          <w:tcPr>
            <w:tcW w:w="1450" w:type="dxa"/>
            <w:tcBorders>
              <w:top w:val="single" w:sz="12" w:space="0" w:color="000000"/>
              <w:bottom w:val="double" w:sz="3" w:space="0" w:color="000000"/>
            </w:tcBorders>
          </w:tcPr>
          <w:p w14:paraId="3FD3F6BA" w14:textId="77777777" w:rsidR="00FA4AA8" w:rsidRDefault="0015611F">
            <w:pPr>
              <w:pStyle w:val="TableParagraph"/>
              <w:spacing w:before="110" w:line="178" w:lineRule="exact"/>
              <w:ind w:right="210"/>
              <w:jc w:val="right"/>
              <w:rPr>
                <w:b/>
                <w:sz w:val="18"/>
              </w:rPr>
            </w:pPr>
            <w:r>
              <w:rPr>
                <w:b/>
                <w:sz w:val="18"/>
              </w:rPr>
              <w:t>(370,846)</w:t>
            </w:r>
          </w:p>
        </w:tc>
        <w:tc>
          <w:tcPr>
            <w:tcW w:w="1042" w:type="dxa"/>
            <w:tcBorders>
              <w:top w:val="single" w:sz="12" w:space="0" w:color="000000"/>
              <w:bottom w:val="double" w:sz="3" w:space="0" w:color="000000"/>
            </w:tcBorders>
          </w:tcPr>
          <w:p w14:paraId="41AD2233" w14:textId="77777777" w:rsidR="00FA4AA8" w:rsidRDefault="0015611F">
            <w:pPr>
              <w:pStyle w:val="TableParagraph"/>
              <w:spacing w:before="110" w:line="178" w:lineRule="exact"/>
              <w:ind w:left="236"/>
              <w:rPr>
                <w:b/>
                <w:sz w:val="18"/>
              </w:rPr>
            </w:pPr>
            <w:r>
              <w:rPr>
                <w:b/>
                <w:sz w:val="18"/>
              </w:rPr>
              <w:t>(370,846)</w:t>
            </w:r>
          </w:p>
        </w:tc>
      </w:tr>
    </w:tbl>
    <w:p w14:paraId="3CF70392" w14:textId="77777777" w:rsidR="00FA4AA8" w:rsidRDefault="00FA4AA8">
      <w:pPr>
        <w:pStyle w:val="BodyText"/>
        <w:rPr>
          <w:sz w:val="20"/>
        </w:rPr>
      </w:pPr>
    </w:p>
    <w:p w14:paraId="6B50D5D9" w14:textId="77777777" w:rsidR="00FA4AA8" w:rsidRDefault="00FA4AA8">
      <w:pPr>
        <w:pStyle w:val="BodyText"/>
        <w:rPr>
          <w:sz w:val="20"/>
        </w:rPr>
      </w:pPr>
    </w:p>
    <w:p w14:paraId="1728CF8F" w14:textId="77777777" w:rsidR="00FA4AA8" w:rsidRDefault="00FA4AA8">
      <w:pPr>
        <w:pStyle w:val="BodyText"/>
        <w:rPr>
          <w:sz w:val="20"/>
        </w:rPr>
      </w:pPr>
    </w:p>
    <w:p w14:paraId="13AF5FD1" w14:textId="77777777" w:rsidR="00FA4AA8" w:rsidRDefault="00FA4AA8">
      <w:pPr>
        <w:pStyle w:val="BodyText"/>
        <w:rPr>
          <w:sz w:val="20"/>
        </w:rPr>
      </w:pPr>
    </w:p>
    <w:p w14:paraId="49FB979D" w14:textId="77777777" w:rsidR="00FA4AA8" w:rsidRDefault="00FA4AA8">
      <w:pPr>
        <w:pStyle w:val="BodyText"/>
        <w:rPr>
          <w:sz w:val="20"/>
        </w:rPr>
      </w:pPr>
    </w:p>
    <w:p w14:paraId="53F42ED6" w14:textId="77777777" w:rsidR="00FA4AA8" w:rsidRDefault="00FA4AA8">
      <w:pPr>
        <w:pStyle w:val="BodyText"/>
        <w:rPr>
          <w:sz w:val="20"/>
        </w:rPr>
      </w:pPr>
    </w:p>
    <w:p w14:paraId="59B5A88C" w14:textId="77777777" w:rsidR="00FA4AA8" w:rsidRDefault="00FA4AA8">
      <w:pPr>
        <w:pStyle w:val="BodyText"/>
        <w:rPr>
          <w:sz w:val="20"/>
        </w:rPr>
      </w:pPr>
    </w:p>
    <w:p w14:paraId="290FF6C6" w14:textId="77777777" w:rsidR="00FA4AA8" w:rsidRDefault="00FA4AA8">
      <w:pPr>
        <w:pStyle w:val="BodyText"/>
        <w:rPr>
          <w:sz w:val="20"/>
        </w:rPr>
      </w:pPr>
    </w:p>
    <w:p w14:paraId="647AE3B1" w14:textId="77777777" w:rsidR="00FA4AA8" w:rsidRDefault="00FA4AA8">
      <w:pPr>
        <w:pStyle w:val="BodyText"/>
        <w:rPr>
          <w:sz w:val="20"/>
        </w:rPr>
      </w:pPr>
    </w:p>
    <w:p w14:paraId="597DEE5E" w14:textId="77777777" w:rsidR="00FA4AA8" w:rsidRDefault="00FA4AA8">
      <w:pPr>
        <w:pStyle w:val="BodyText"/>
        <w:rPr>
          <w:sz w:val="20"/>
        </w:rPr>
      </w:pPr>
    </w:p>
    <w:p w14:paraId="4F2E69A9" w14:textId="77777777" w:rsidR="00FA4AA8" w:rsidRDefault="00FA4AA8">
      <w:pPr>
        <w:pStyle w:val="BodyText"/>
        <w:rPr>
          <w:sz w:val="20"/>
        </w:rPr>
      </w:pPr>
    </w:p>
    <w:p w14:paraId="4298463F" w14:textId="77777777" w:rsidR="00FA4AA8" w:rsidRDefault="00FA4AA8">
      <w:pPr>
        <w:pStyle w:val="BodyText"/>
        <w:rPr>
          <w:sz w:val="20"/>
        </w:rPr>
      </w:pPr>
    </w:p>
    <w:p w14:paraId="66CBAE29" w14:textId="77777777" w:rsidR="00FA4AA8" w:rsidRDefault="00FA4AA8">
      <w:pPr>
        <w:pStyle w:val="BodyText"/>
        <w:rPr>
          <w:sz w:val="20"/>
        </w:rPr>
      </w:pPr>
    </w:p>
    <w:p w14:paraId="2EE53B7A" w14:textId="77777777" w:rsidR="00FA4AA8" w:rsidRDefault="00FA4AA8">
      <w:pPr>
        <w:pStyle w:val="BodyText"/>
        <w:rPr>
          <w:sz w:val="20"/>
        </w:rPr>
      </w:pPr>
    </w:p>
    <w:p w14:paraId="2B279655" w14:textId="77777777" w:rsidR="00FA4AA8" w:rsidRDefault="00FA4AA8">
      <w:pPr>
        <w:pStyle w:val="BodyText"/>
        <w:rPr>
          <w:sz w:val="20"/>
        </w:rPr>
      </w:pPr>
    </w:p>
    <w:p w14:paraId="28BEFAA5" w14:textId="77777777" w:rsidR="00FA4AA8" w:rsidRDefault="00FA4AA8">
      <w:pPr>
        <w:pStyle w:val="BodyText"/>
        <w:rPr>
          <w:sz w:val="20"/>
        </w:rPr>
      </w:pPr>
    </w:p>
    <w:p w14:paraId="41A25585" w14:textId="77777777" w:rsidR="00FA4AA8" w:rsidRDefault="00FA4AA8">
      <w:pPr>
        <w:pStyle w:val="BodyText"/>
        <w:rPr>
          <w:sz w:val="20"/>
        </w:rPr>
      </w:pPr>
    </w:p>
    <w:p w14:paraId="0BB7B765" w14:textId="77777777" w:rsidR="00FA4AA8" w:rsidRDefault="00FA4AA8">
      <w:pPr>
        <w:pStyle w:val="BodyText"/>
        <w:rPr>
          <w:sz w:val="20"/>
        </w:rPr>
      </w:pPr>
    </w:p>
    <w:p w14:paraId="22035CA2" w14:textId="77777777" w:rsidR="00FA4AA8" w:rsidRDefault="00FA4AA8">
      <w:pPr>
        <w:pStyle w:val="BodyText"/>
        <w:rPr>
          <w:sz w:val="20"/>
        </w:rPr>
      </w:pPr>
    </w:p>
    <w:p w14:paraId="76057C81" w14:textId="77777777" w:rsidR="00FA4AA8" w:rsidRDefault="00FA4AA8">
      <w:pPr>
        <w:pStyle w:val="BodyText"/>
        <w:rPr>
          <w:sz w:val="20"/>
        </w:rPr>
      </w:pPr>
    </w:p>
    <w:p w14:paraId="4B864FE8" w14:textId="77777777" w:rsidR="00FA4AA8" w:rsidRDefault="00FA4AA8">
      <w:pPr>
        <w:pStyle w:val="BodyText"/>
        <w:rPr>
          <w:sz w:val="20"/>
        </w:rPr>
      </w:pPr>
    </w:p>
    <w:p w14:paraId="7AB4589C" w14:textId="77777777" w:rsidR="00FA4AA8" w:rsidRDefault="00FA4AA8">
      <w:pPr>
        <w:pStyle w:val="BodyText"/>
        <w:rPr>
          <w:sz w:val="20"/>
        </w:rPr>
      </w:pPr>
    </w:p>
    <w:p w14:paraId="73B85700" w14:textId="77777777" w:rsidR="00FA4AA8" w:rsidRDefault="00FA4AA8">
      <w:pPr>
        <w:pStyle w:val="BodyText"/>
        <w:rPr>
          <w:sz w:val="20"/>
        </w:rPr>
      </w:pPr>
    </w:p>
    <w:p w14:paraId="01EE7E6F" w14:textId="77777777" w:rsidR="00FA4AA8" w:rsidRDefault="00FA4AA8">
      <w:pPr>
        <w:pStyle w:val="BodyText"/>
        <w:rPr>
          <w:sz w:val="20"/>
        </w:rPr>
      </w:pPr>
    </w:p>
    <w:p w14:paraId="35751D4D" w14:textId="77777777" w:rsidR="00FA4AA8" w:rsidRDefault="00FA4AA8">
      <w:pPr>
        <w:pStyle w:val="BodyText"/>
        <w:rPr>
          <w:sz w:val="20"/>
        </w:rPr>
      </w:pPr>
    </w:p>
    <w:p w14:paraId="68F1D68F" w14:textId="77777777" w:rsidR="00FA4AA8" w:rsidRDefault="00FA4AA8">
      <w:pPr>
        <w:pStyle w:val="BodyText"/>
        <w:rPr>
          <w:sz w:val="20"/>
        </w:rPr>
      </w:pPr>
    </w:p>
    <w:p w14:paraId="20C116A6" w14:textId="77777777" w:rsidR="00FA4AA8" w:rsidRDefault="00FA4AA8">
      <w:pPr>
        <w:pStyle w:val="BodyText"/>
        <w:rPr>
          <w:sz w:val="20"/>
        </w:rPr>
      </w:pPr>
    </w:p>
    <w:p w14:paraId="2A8EAAF5" w14:textId="77777777" w:rsidR="00FA4AA8" w:rsidRDefault="00FA4AA8">
      <w:pPr>
        <w:pStyle w:val="BodyText"/>
        <w:rPr>
          <w:sz w:val="20"/>
        </w:rPr>
      </w:pPr>
    </w:p>
    <w:p w14:paraId="3E414BE0" w14:textId="77777777" w:rsidR="00FA4AA8" w:rsidRDefault="00FA4AA8">
      <w:pPr>
        <w:pStyle w:val="BodyText"/>
        <w:rPr>
          <w:sz w:val="20"/>
        </w:rPr>
      </w:pPr>
    </w:p>
    <w:p w14:paraId="6A08A62A" w14:textId="77777777" w:rsidR="00FA4AA8" w:rsidRDefault="00FA4AA8">
      <w:pPr>
        <w:pStyle w:val="BodyText"/>
        <w:rPr>
          <w:sz w:val="20"/>
        </w:rPr>
      </w:pPr>
    </w:p>
    <w:p w14:paraId="68DB98A2" w14:textId="77777777" w:rsidR="00FA4AA8" w:rsidRDefault="00FA4AA8">
      <w:pPr>
        <w:pStyle w:val="BodyText"/>
        <w:rPr>
          <w:sz w:val="20"/>
        </w:rPr>
      </w:pPr>
    </w:p>
    <w:p w14:paraId="4B7B76F6" w14:textId="77777777" w:rsidR="00FA4AA8" w:rsidRDefault="00FA4AA8">
      <w:pPr>
        <w:pStyle w:val="BodyText"/>
        <w:rPr>
          <w:sz w:val="20"/>
        </w:rPr>
      </w:pPr>
    </w:p>
    <w:p w14:paraId="5A8F9BB9" w14:textId="77777777" w:rsidR="00FA4AA8" w:rsidRDefault="00FA4AA8">
      <w:pPr>
        <w:pStyle w:val="BodyText"/>
        <w:rPr>
          <w:sz w:val="20"/>
        </w:rPr>
      </w:pPr>
    </w:p>
    <w:p w14:paraId="5255F8AC" w14:textId="77777777" w:rsidR="00FA4AA8" w:rsidRDefault="00FA4AA8">
      <w:pPr>
        <w:pStyle w:val="BodyText"/>
        <w:rPr>
          <w:sz w:val="20"/>
        </w:rPr>
      </w:pPr>
    </w:p>
    <w:p w14:paraId="4731D0FA" w14:textId="77777777" w:rsidR="00FA4AA8" w:rsidRDefault="00FA4AA8">
      <w:pPr>
        <w:pStyle w:val="BodyText"/>
        <w:rPr>
          <w:sz w:val="20"/>
        </w:rPr>
      </w:pPr>
    </w:p>
    <w:p w14:paraId="5D2ACF46" w14:textId="77777777" w:rsidR="00FA4AA8" w:rsidRDefault="00FA4AA8">
      <w:pPr>
        <w:pStyle w:val="BodyText"/>
        <w:rPr>
          <w:sz w:val="20"/>
        </w:rPr>
      </w:pPr>
    </w:p>
    <w:p w14:paraId="4E5EA312" w14:textId="77777777" w:rsidR="00FA4AA8" w:rsidRDefault="00FA4AA8">
      <w:pPr>
        <w:pStyle w:val="BodyText"/>
        <w:rPr>
          <w:sz w:val="20"/>
        </w:rPr>
      </w:pPr>
    </w:p>
    <w:p w14:paraId="1FA2BFEF" w14:textId="77777777" w:rsidR="00FA4AA8" w:rsidRDefault="00FA4AA8">
      <w:pPr>
        <w:pStyle w:val="BodyText"/>
        <w:rPr>
          <w:sz w:val="20"/>
        </w:rPr>
      </w:pPr>
    </w:p>
    <w:p w14:paraId="41A9F7DC" w14:textId="77777777" w:rsidR="00FA4AA8" w:rsidRDefault="00FA4AA8">
      <w:pPr>
        <w:pStyle w:val="BodyText"/>
        <w:rPr>
          <w:sz w:val="20"/>
        </w:rPr>
      </w:pPr>
    </w:p>
    <w:p w14:paraId="30968A11" w14:textId="77777777" w:rsidR="00FA4AA8" w:rsidRDefault="00FA4AA8">
      <w:pPr>
        <w:pStyle w:val="BodyText"/>
        <w:rPr>
          <w:sz w:val="20"/>
        </w:rPr>
      </w:pPr>
    </w:p>
    <w:p w14:paraId="1A3B6B2C" w14:textId="77777777" w:rsidR="00FA4AA8" w:rsidRDefault="00FA4AA8">
      <w:pPr>
        <w:pStyle w:val="BodyText"/>
        <w:rPr>
          <w:sz w:val="20"/>
        </w:rPr>
      </w:pPr>
    </w:p>
    <w:p w14:paraId="748B24EA" w14:textId="77777777" w:rsidR="00FA4AA8" w:rsidRDefault="00FA4AA8">
      <w:pPr>
        <w:pStyle w:val="BodyText"/>
        <w:rPr>
          <w:sz w:val="20"/>
        </w:rPr>
      </w:pPr>
    </w:p>
    <w:p w14:paraId="19140C1D" w14:textId="77777777" w:rsidR="00FA4AA8" w:rsidRDefault="00FA4AA8">
      <w:pPr>
        <w:pStyle w:val="BodyText"/>
        <w:rPr>
          <w:sz w:val="20"/>
        </w:rPr>
      </w:pPr>
    </w:p>
    <w:p w14:paraId="3121659D" w14:textId="77777777" w:rsidR="00FA4AA8" w:rsidRDefault="00FA4AA8">
      <w:pPr>
        <w:pStyle w:val="BodyText"/>
        <w:spacing w:before="7"/>
      </w:pPr>
    </w:p>
    <w:p w14:paraId="694410E6" w14:textId="77777777" w:rsidR="00FA4AA8" w:rsidRDefault="0015611F">
      <w:pPr>
        <w:pStyle w:val="BodyText"/>
        <w:spacing w:before="94"/>
        <w:ind w:left="576" w:right="509"/>
        <w:jc w:val="center"/>
      </w:pPr>
      <w:r>
        <w:t>The accompanying notes form part of these financial statements.</w:t>
      </w:r>
    </w:p>
    <w:p w14:paraId="734931BA" w14:textId="77777777" w:rsidR="00FA4AA8" w:rsidRDefault="00FA4AA8">
      <w:pPr>
        <w:jc w:val="center"/>
        <w:sectPr w:rsidR="00FA4AA8">
          <w:pgSz w:w="11910" w:h="16840"/>
          <w:pgMar w:top="1580" w:right="880" w:bottom="720" w:left="840" w:header="1015" w:footer="523" w:gutter="0"/>
          <w:cols w:space="720"/>
        </w:sectPr>
      </w:pPr>
    </w:p>
    <w:p w14:paraId="5A05952B" w14:textId="77777777" w:rsidR="00FA4AA8" w:rsidRDefault="00FA4AA8">
      <w:pPr>
        <w:pStyle w:val="BodyText"/>
        <w:spacing w:before="6"/>
        <w:rPr>
          <w:sz w:val="21"/>
        </w:rPr>
      </w:pPr>
    </w:p>
    <w:p w14:paraId="23388257" w14:textId="77777777" w:rsidR="00FA4AA8" w:rsidRDefault="0015611F">
      <w:pPr>
        <w:pStyle w:val="Heading2"/>
      </w:pPr>
      <w:r>
        <w:t>Statement of Cash Flows</w:t>
      </w:r>
    </w:p>
    <w:p w14:paraId="49ED16C7" w14:textId="77777777" w:rsidR="00FA4AA8" w:rsidRDefault="0015611F">
      <w:pPr>
        <w:pStyle w:val="Heading6"/>
        <w:ind w:left="167"/>
      </w:pPr>
      <w:r>
        <w:t>For the initial Period 4 June 2018 to 31 December 2018</w:t>
      </w:r>
    </w:p>
    <w:p w14:paraId="278F9B99" w14:textId="77777777" w:rsidR="00FA4AA8" w:rsidRDefault="00FA4AA8">
      <w:pPr>
        <w:pStyle w:val="BodyText"/>
        <w:spacing w:before="8"/>
        <w:rPr>
          <w:b/>
          <w:sz w:val="27"/>
        </w:rPr>
      </w:pPr>
    </w:p>
    <w:p w14:paraId="4B51051D" w14:textId="77777777" w:rsidR="00FA4AA8" w:rsidRDefault="00FA4AA8">
      <w:pPr>
        <w:rPr>
          <w:sz w:val="27"/>
        </w:rPr>
        <w:sectPr w:rsidR="00FA4AA8">
          <w:pgSz w:w="11910" w:h="16840"/>
          <w:pgMar w:top="1580" w:right="880" w:bottom="720" w:left="840" w:header="1015" w:footer="523" w:gutter="0"/>
          <w:cols w:space="720"/>
        </w:sectPr>
      </w:pPr>
    </w:p>
    <w:p w14:paraId="7E3DFCC7" w14:textId="77777777" w:rsidR="00FA4AA8" w:rsidRDefault="00FA4AA8">
      <w:pPr>
        <w:pStyle w:val="BodyText"/>
        <w:rPr>
          <w:b/>
          <w:sz w:val="20"/>
        </w:rPr>
      </w:pPr>
    </w:p>
    <w:p w14:paraId="2B1756EE" w14:textId="77777777" w:rsidR="00FA4AA8" w:rsidRDefault="00FA4AA8">
      <w:pPr>
        <w:pStyle w:val="BodyText"/>
        <w:rPr>
          <w:b/>
          <w:sz w:val="20"/>
        </w:rPr>
      </w:pPr>
    </w:p>
    <w:p w14:paraId="396EAD05" w14:textId="77777777" w:rsidR="00FA4AA8" w:rsidRDefault="00FA4AA8">
      <w:pPr>
        <w:pStyle w:val="BodyText"/>
        <w:spacing w:before="8"/>
        <w:rPr>
          <w:b/>
          <w:sz w:val="22"/>
        </w:rPr>
      </w:pPr>
    </w:p>
    <w:p w14:paraId="65F07A5F" w14:textId="77777777" w:rsidR="00FA4AA8" w:rsidRDefault="0015611F">
      <w:pPr>
        <w:ind w:left="194"/>
        <w:rPr>
          <w:b/>
          <w:sz w:val="18"/>
        </w:rPr>
      </w:pPr>
      <w:r>
        <w:rPr>
          <w:b/>
          <w:sz w:val="18"/>
        </w:rPr>
        <w:t>Cash flows from operating activities</w:t>
      </w:r>
    </w:p>
    <w:p w14:paraId="55937B62" w14:textId="77777777" w:rsidR="00FA4AA8" w:rsidRDefault="0015611F">
      <w:pPr>
        <w:spacing w:before="95"/>
        <w:ind w:left="178" w:right="534"/>
        <w:jc w:val="center"/>
        <w:rPr>
          <w:b/>
          <w:sz w:val="18"/>
        </w:rPr>
      </w:pPr>
      <w:r>
        <w:br w:type="column"/>
      </w:r>
      <w:r>
        <w:rPr>
          <w:b/>
          <w:sz w:val="18"/>
        </w:rPr>
        <w:t>2018</w:t>
      </w:r>
    </w:p>
    <w:p w14:paraId="15F13585" w14:textId="77777777" w:rsidR="00FA4AA8" w:rsidRDefault="0015611F">
      <w:pPr>
        <w:spacing w:before="66"/>
        <w:ind w:right="357"/>
        <w:jc w:val="center"/>
        <w:rPr>
          <w:b/>
          <w:sz w:val="18"/>
        </w:rPr>
      </w:pPr>
      <w:r>
        <w:rPr>
          <w:b/>
          <w:sz w:val="18"/>
        </w:rPr>
        <w:t>$</w:t>
      </w:r>
    </w:p>
    <w:p w14:paraId="619EFDC4" w14:textId="77777777" w:rsidR="00FA4AA8" w:rsidRDefault="00FA4AA8">
      <w:pPr>
        <w:pStyle w:val="BodyText"/>
        <w:rPr>
          <w:b/>
          <w:sz w:val="20"/>
        </w:rPr>
      </w:pPr>
    </w:p>
    <w:p w14:paraId="2B7A28DD" w14:textId="77777777" w:rsidR="00FA4AA8" w:rsidRDefault="00FA4AA8">
      <w:pPr>
        <w:pStyle w:val="BodyText"/>
        <w:spacing w:before="2"/>
        <w:rPr>
          <w:b/>
          <w:sz w:val="10"/>
        </w:rPr>
      </w:pPr>
    </w:p>
    <w:p w14:paraId="087E65E7" w14:textId="77777777" w:rsidR="00FA4AA8" w:rsidRDefault="007E2441">
      <w:pPr>
        <w:pStyle w:val="BodyText"/>
        <w:spacing w:line="24" w:lineRule="exact"/>
        <w:ind w:left="-254"/>
        <w:rPr>
          <w:sz w:val="2"/>
        </w:rPr>
      </w:pPr>
      <w:r>
        <w:rPr>
          <w:noProof/>
          <w:sz w:val="2"/>
          <w:lang w:val="en-AU" w:eastAsia="en-AU"/>
        </w:rPr>
        <mc:AlternateContent>
          <mc:Choice Requires="wpg">
            <w:drawing>
              <wp:inline distT="0" distB="0" distL="0" distR="0" wp14:anchorId="4CD101F7" wp14:editId="09454AE8">
                <wp:extent cx="822960" cy="15875"/>
                <wp:effectExtent l="9525" t="9525" r="5715" b="3175"/>
                <wp:docPr id="313"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15875"/>
                          <a:chOff x="0" y="0"/>
                          <a:chExt cx="1296" cy="25"/>
                        </a:xfrm>
                      </wpg:grpSpPr>
                      <wps:wsp>
                        <wps:cNvPr id="314" name="Line 87"/>
                        <wps:cNvCnPr>
                          <a:cxnSpLocks noChangeShapeType="1"/>
                        </wps:cNvCnPr>
                        <wps:spPr bwMode="auto">
                          <a:xfrm>
                            <a:off x="0" y="4"/>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315" name="Line 86"/>
                        <wps:cNvCnPr>
                          <a:cxnSpLocks noChangeShapeType="1"/>
                        </wps:cNvCnPr>
                        <wps:spPr bwMode="auto">
                          <a:xfrm>
                            <a:off x="0" y="6"/>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316" name="Line 85"/>
                        <wps:cNvCnPr>
                          <a:cxnSpLocks noChangeShapeType="1"/>
                        </wps:cNvCnPr>
                        <wps:spPr bwMode="auto">
                          <a:xfrm>
                            <a:off x="0" y="9"/>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317" name="Line 84"/>
                        <wps:cNvCnPr>
                          <a:cxnSpLocks noChangeShapeType="1"/>
                        </wps:cNvCnPr>
                        <wps:spPr bwMode="auto">
                          <a:xfrm>
                            <a:off x="0" y="11"/>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318" name="Line 83"/>
                        <wps:cNvCnPr>
                          <a:cxnSpLocks noChangeShapeType="1"/>
                        </wps:cNvCnPr>
                        <wps:spPr bwMode="auto">
                          <a:xfrm>
                            <a:off x="0" y="13"/>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319" name="Line 82"/>
                        <wps:cNvCnPr>
                          <a:cxnSpLocks noChangeShapeType="1"/>
                        </wps:cNvCnPr>
                        <wps:spPr bwMode="auto">
                          <a:xfrm>
                            <a:off x="0" y="16"/>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320" name="Line 81"/>
                        <wps:cNvCnPr>
                          <a:cxnSpLocks noChangeShapeType="1"/>
                        </wps:cNvCnPr>
                        <wps:spPr bwMode="auto">
                          <a:xfrm>
                            <a:off x="0" y="18"/>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321" name="Line 80"/>
                        <wps:cNvCnPr>
                          <a:cxnSpLocks noChangeShapeType="1"/>
                        </wps:cNvCnPr>
                        <wps:spPr bwMode="auto">
                          <a:xfrm>
                            <a:off x="0" y="21"/>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33153F9" id="Group 79" o:spid="_x0000_s1026" style="width:64.8pt;height:1.25pt;mso-position-horizontal-relative:char;mso-position-vertical-relative:line" coordsize="129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">
                <v:line id="Line 87" o:spid="_x0000_s1027" style="position:absolute;visibility:visible;mso-wrap-style:square" from="0,4" to="12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" strokeweight=".1323mm"/>
                <v:line id="Line 86" o:spid="_x0000_s1028" style="position:absolute;visibility:visible;mso-wrap-style:square" from="0,6" to="12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" strokeweight=".1323mm"/>
                <v:line id="Line 85" o:spid="_x0000_s1029" style="position:absolute;visibility:visible;mso-wrap-style:square" from="0,9" to="12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" strokeweight=".1323mm"/>
                <v:line id="Line 84" o:spid="_x0000_s1030" style="position:absolute;visibility:visible;mso-wrap-style:square" from="0,11" to="12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" strokeweight=".1323mm"/>
                <v:line id="Line 83" o:spid="_x0000_s1031" style="position:absolute;visibility:visible;mso-wrap-style:square" from="0,13" to="129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" strokeweight=".1323mm"/>
                <v:line id="Line 82" o:spid="_x0000_s1032" style="position:absolute;visibility:visible;mso-wrap-style:square" from="0,16" to="129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" strokeweight=".1323mm"/>
                <v:line id="Line 81" o:spid="_x0000_s1033" style="position:absolute;visibility:visible;mso-wrap-style:square" from="0,18" to="129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" strokeweight=".1323mm"/>
                <v:line id="Line 80" o:spid="_x0000_s1034" style="position:absolute;visibility:visible;mso-wrap-style:square" from="0,21" to="12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" strokeweight=".1323mm"/>
                <w10:anchorlock/>
              </v:group>
            </w:pict>
          </mc:Fallback>
        </mc:AlternateContent>
      </w:r>
    </w:p>
    <w:p w14:paraId="74180A8F" w14:textId="77777777" w:rsidR="00FA4AA8" w:rsidRDefault="00FA4AA8">
      <w:pPr>
        <w:spacing w:line="24" w:lineRule="exact"/>
        <w:rPr>
          <w:sz w:val="2"/>
        </w:rPr>
        <w:sectPr w:rsidR="00FA4AA8">
          <w:type w:val="continuous"/>
          <w:pgSz w:w="11910" w:h="16840"/>
          <w:pgMar w:top="20" w:right="880" w:bottom="0" w:left="840" w:header="720" w:footer="720" w:gutter="0"/>
          <w:cols w:num="2" w:space="720" w:equalWidth="0">
            <w:col w:w="3339" w:space="5697"/>
            <w:col w:w="1154"/>
          </w:cols>
        </w:sectPr>
      </w:pPr>
    </w:p>
    <w:p w14:paraId="595A0044" w14:textId="77777777" w:rsidR="00FA4AA8" w:rsidRDefault="0015611F">
      <w:pPr>
        <w:tabs>
          <w:tab w:val="left" w:pos="8786"/>
          <w:tab w:val="left" w:pos="9403"/>
          <w:tab w:val="left" w:pos="10082"/>
        </w:tabs>
        <w:spacing w:before="29"/>
        <w:ind w:left="194"/>
        <w:rPr>
          <w:b/>
          <w:sz w:val="18"/>
        </w:rPr>
      </w:pPr>
      <w:r>
        <w:rPr>
          <w:b/>
          <w:sz w:val="18"/>
        </w:rPr>
        <w:t>Net cash used in</w:t>
      </w:r>
      <w:r>
        <w:rPr>
          <w:b/>
          <w:spacing w:val="-3"/>
          <w:sz w:val="18"/>
        </w:rPr>
        <w:t xml:space="preserve"> </w:t>
      </w:r>
      <w:r>
        <w:rPr>
          <w:b/>
          <w:sz w:val="18"/>
        </w:rPr>
        <w:t>operating</w:t>
      </w:r>
      <w:r>
        <w:rPr>
          <w:b/>
          <w:spacing w:val="-1"/>
          <w:sz w:val="18"/>
        </w:rPr>
        <w:t xml:space="preserve"> </w:t>
      </w:r>
      <w:r>
        <w:rPr>
          <w:b/>
          <w:sz w:val="18"/>
        </w:rPr>
        <w:t>activities</w:t>
      </w:r>
      <w:r>
        <w:rPr>
          <w:b/>
          <w:sz w:val="18"/>
        </w:rPr>
        <w:tab/>
      </w:r>
      <w:r>
        <w:rPr>
          <w:b/>
          <w:position w:val="-7"/>
          <w:sz w:val="18"/>
          <w:u w:val="thick"/>
        </w:rPr>
        <w:t xml:space="preserve"> </w:t>
      </w:r>
      <w:r>
        <w:rPr>
          <w:b/>
          <w:position w:val="-7"/>
          <w:sz w:val="18"/>
          <w:u w:val="thick"/>
        </w:rPr>
        <w:tab/>
        <w:t>-</w:t>
      </w:r>
      <w:r>
        <w:rPr>
          <w:b/>
          <w:position w:val="-7"/>
          <w:sz w:val="18"/>
          <w:u w:val="thick"/>
        </w:rPr>
        <w:tab/>
      </w:r>
    </w:p>
    <w:p w14:paraId="6CC91554" w14:textId="77777777" w:rsidR="00FA4AA8" w:rsidRDefault="00FA4AA8">
      <w:pPr>
        <w:pStyle w:val="BodyText"/>
        <w:spacing w:before="1"/>
        <w:rPr>
          <w:b/>
          <w:sz w:val="29"/>
        </w:rPr>
      </w:pPr>
    </w:p>
    <w:p w14:paraId="7944358B" w14:textId="77777777" w:rsidR="00FA4AA8" w:rsidRDefault="0015611F">
      <w:pPr>
        <w:spacing w:before="94"/>
        <w:ind w:left="194"/>
        <w:rPr>
          <w:b/>
          <w:sz w:val="18"/>
        </w:rPr>
      </w:pPr>
      <w:r>
        <w:rPr>
          <w:b/>
          <w:sz w:val="18"/>
        </w:rPr>
        <w:t>Cash flows from investing activities</w:t>
      </w:r>
    </w:p>
    <w:p w14:paraId="48C7036A" w14:textId="77777777" w:rsidR="00FA4AA8" w:rsidRDefault="007E2441">
      <w:pPr>
        <w:pStyle w:val="BodyText"/>
        <w:spacing w:line="24" w:lineRule="exact"/>
        <w:ind w:left="8782"/>
        <w:rPr>
          <w:sz w:val="2"/>
        </w:rPr>
      </w:pPr>
      <w:r>
        <w:rPr>
          <w:noProof/>
          <w:sz w:val="2"/>
          <w:lang w:val="en-AU" w:eastAsia="en-AU"/>
        </w:rPr>
        <mc:AlternateContent>
          <mc:Choice Requires="wpg">
            <w:drawing>
              <wp:inline distT="0" distB="0" distL="0" distR="0" wp14:anchorId="42576885" wp14:editId="2E517FAC">
                <wp:extent cx="822960" cy="15875"/>
                <wp:effectExtent l="9525" t="9525" r="5715" b="3175"/>
                <wp:docPr id="304"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15875"/>
                          <a:chOff x="0" y="0"/>
                          <a:chExt cx="1296" cy="25"/>
                        </a:xfrm>
                      </wpg:grpSpPr>
                      <wps:wsp>
                        <wps:cNvPr id="305" name="Line 78"/>
                        <wps:cNvCnPr>
                          <a:cxnSpLocks noChangeShapeType="1"/>
                        </wps:cNvCnPr>
                        <wps:spPr bwMode="auto">
                          <a:xfrm>
                            <a:off x="0" y="4"/>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306" name="Line 77"/>
                        <wps:cNvCnPr>
                          <a:cxnSpLocks noChangeShapeType="1"/>
                        </wps:cNvCnPr>
                        <wps:spPr bwMode="auto">
                          <a:xfrm>
                            <a:off x="0" y="6"/>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307" name="Line 76"/>
                        <wps:cNvCnPr>
                          <a:cxnSpLocks noChangeShapeType="1"/>
                        </wps:cNvCnPr>
                        <wps:spPr bwMode="auto">
                          <a:xfrm>
                            <a:off x="0" y="9"/>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308" name="Line 75"/>
                        <wps:cNvCnPr>
                          <a:cxnSpLocks noChangeShapeType="1"/>
                        </wps:cNvCnPr>
                        <wps:spPr bwMode="auto">
                          <a:xfrm>
                            <a:off x="0" y="11"/>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309" name="Line 74"/>
                        <wps:cNvCnPr>
                          <a:cxnSpLocks noChangeShapeType="1"/>
                        </wps:cNvCnPr>
                        <wps:spPr bwMode="auto">
                          <a:xfrm>
                            <a:off x="0" y="13"/>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310" name="Line 73"/>
                        <wps:cNvCnPr>
                          <a:cxnSpLocks noChangeShapeType="1"/>
                        </wps:cNvCnPr>
                        <wps:spPr bwMode="auto">
                          <a:xfrm>
                            <a:off x="0" y="16"/>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311" name="Line 72"/>
                        <wps:cNvCnPr>
                          <a:cxnSpLocks noChangeShapeType="1"/>
                        </wps:cNvCnPr>
                        <wps:spPr bwMode="auto">
                          <a:xfrm>
                            <a:off x="0" y="18"/>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312" name="Line 71"/>
                        <wps:cNvCnPr>
                          <a:cxnSpLocks noChangeShapeType="1"/>
                        </wps:cNvCnPr>
                        <wps:spPr bwMode="auto">
                          <a:xfrm>
                            <a:off x="0" y="21"/>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3268BC6" id="Group 70" o:spid="_x0000_s1026" style="width:64.8pt;height:1.25pt;mso-position-horizontal-relative:char;mso-position-vertical-relative:line" coordsize="129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">
                <v:line id="Line 78" o:spid="_x0000_s1027" style="position:absolute;visibility:visible;mso-wrap-style:square" from="0,4" to="12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" strokeweight=".1323mm"/>
                <v:line id="Line 77" o:spid="_x0000_s1028" style="position:absolute;visibility:visible;mso-wrap-style:square" from="0,6" to="12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" strokeweight=".1323mm"/>
                <v:line id="Line 76" o:spid="_x0000_s1029" style="position:absolute;visibility:visible;mso-wrap-style:square" from="0,9" to="12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" strokeweight=".1323mm"/>
                <v:line id="Line 75" o:spid="_x0000_s1030" style="position:absolute;visibility:visible;mso-wrap-style:square" from="0,11" to="12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" strokeweight=".1323mm"/>
                <v:line id="Line 74" o:spid="_x0000_s1031" style="position:absolute;visibility:visible;mso-wrap-style:square" from="0,13" to="129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" strokeweight=".1323mm"/>
                <v:line id="Line 73" o:spid="_x0000_s1032" style="position:absolute;visibility:visible;mso-wrap-style:square" from="0,16" to="129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" strokeweight=".1323mm"/>
                <v:line id="Line 72" o:spid="_x0000_s1033" style="position:absolute;visibility:visible;mso-wrap-style:square" from="0,18" to="129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" strokeweight=".1323mm"/>
                <v:line id="Line 71" o:spid="_x0000_s1034" style="position:absolute;visibility:visible;mso-wrap-style:square" from="0,21" to="12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" strokeweight=".1323mm"/>
                <w10:anchorlock/>
              </v:group>
            </w:pict>
          </mc:Fallback>
        </mc:AlternateContent>
      </w:r>
    </w:p>
    <w:p w14:paraId="15DAE555" w14:textId="77777777" w:rsidR="00FA4AA8" w:rsidRDefault="0015611F">
      <w:pPr>
        <w:tabs>
          <w:tab w:val="left" w:pos="8786"/>
          <w:tab w:val="left" w:pos="9403"/>
          <w:tab w:val="left" w:pos="10082"/>
        </w:tabs>
        <w:spacing w:before="23"/>
        <w:ind w:left="194"/>
        <w:rPr>
          <w:b/>
          <w:sz w:val="18"/>
        </w:rPr>
      </w:pPr>
      <w:r>
        <w:rPr>
          <w:b/>
          <w:sz w:val="18"/>
        </w:rPr>
        <w:t>Net cash used in</w:t>
      </w:r>
      <w:r>
        <w:rPr>
          <w:b/>
          <w:spacing w:val="-3"/>
          <w:sz w:val="18"/>
        </w:rPr>
        <w:t xml:space="preserve"> </w:t>
      </w:r>
      <w:r>
        <w:rPr>
          <w:b/>
          <w:sz w:val="18"/>
        </w:rPr>
        <w:t>investing activities</w:t>
      </w:r>
      <w:r>
        <w:rPr>
          <w:b/>
          <w:sz w:val="18"/>
        </w:rPr>
        <w:tab/>
      </w:r>
      <w:r>
        <w:rPr>
          <w:b/>
          <w:position w:val="-7"/>
          <w:sz w:val="18"/>
          <w:u w:val="thick"/>
        </w:rPr>
        <w:t xml:space="preserve"> </w:t>
      </w:r>
      <w:r>
        <w:rPr>
          <w:b/>
          <w:position w:val="-7"/>
          <w:sz w:val="18"/>
          <w:u w:val="thick"/>
        </w:rPr>
        <w:tab/>
        <w:t>-</w:t>
      </w:r>
      <w:r>
        <w:rPr>
          <w:b/>
          <w:position w:val="-7"/>
          <w:sz w:val="18"/>
          <w:u w:val="thick"/>
        </w:rPr>
        <w:tab/>
      </w:r>
    </w:p>
    <w:p w14:paraId="099CAFF8" w14:textId="77777777" w:rsidR="00FA4AA8" w:rsidRDefault="00FA4AA8">
      <w:pPr>
        <w:pStyle w:val="BodyText"/>
        <w:spacing w:before="1"/>
        <w:rPr>
          <w:b/>
          <w:sz w:val="29"/>
        </w:rPr>
      </w:pPr>
    </w:p>
    <w:p w14:paraId="5B177883" w14:textId="77777777" w:rsidR="00FA4AA8" w:rsidRDefault="0015611F">
      <w:pPr>
        <w:spacing w:before="94"/>
        <w:ind w:left="194"/>
        <w:rPr>
          <w:b/>
          <w:sz w:val="18"/>
        </w:rPr>
      </w:pPr>
      <w:r>
        <w:rPr>
          <w:b/>
          <w:sz w:val="18"/>
        </w:rPr>
        <w:t>Cash flows from financing activities</w:t>
      </w:r>
    </w:p>
    <w:p w14:paraId="2E771501" w14:textId="77777777" w:rsidR="00FA4AA8" w:rsidRDefault="007E2441">
      <w:pPr>
        <w:pStyle w:val="BodyText"/>
        <w:spacing w:line="24" w:lineRule="exact"/>
        <w:ind w:left="8782"/>
        <w:rPr>
          <w:sz w:val="2"/>
        </w:rPr>
      </w:pPr>
      <w:r>
        <w:rPr>
          <w:noProof/>
          <w:sz w:val="2"/>
          <w:lang w:val="en-AU" w:eastAsia="en-AU"/>
        </w:rPr>
        <mc:AlternateContent>
          <mc:Choice Requires="wpg">
            <w:drawing>
              <wp:inline distT="0" distB="0" distL="0" distR="0" wp14:anchorId="079BBCA9" wp14:editId="7CA14455">
                <wp:extent cx="822960" cy="15875"/>
                <wp:effectExtent l="9525" t="9525" r="5715" b="3175"/>
                <wp:docPr id="295"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15875"/>
                          <a:chOff x="0" y="0"/>
                          <a:chExt cx="1296" cy="25"/>
                        </a:xfrm>
                      </wpg:grpSpPr>
                      <wps:wsp>
                        <wps:cNvPr id="296" name="Line 69"/>
                        <wps:cNvCnPr>
                          <a:cxnSpLocks noChangeShapeType="1"/>
                        </wps:cNvCnPr>
                        <wps:spPr bwMode="auto">
                          <a:xfrm>
                            <a:off x="0" y="4"/>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297" name="Line 68"/>
                        <wps:cNvCnPr>
                          <a:cxnSpLocks noChangeShapeType="1"/>
                        </wps:cNvCnPr>
                        <wps:spPr bwMode="auto">
                          <a:xfrm>
                            <a:off x="0" y="6"/>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298" name="Line 67"/>
                        <wps:cNvCnPr>
                          <a:cxnSpLocks noChangeShapeType="1"/>
                        </wps:cNvCnPr>
                        <wps:spPr bwMode="auto">
                          <a:xfrm>
                            <a:off x="0" y="9"/>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299" name="Line 66"/>
                        <wps:cNvCnPr>
                          <a:cxnSpLocks noChangeShapeType="1"/>
                        </wps:cNvCnPr>
                        <wps:spPr bwMode="auto">
                          <a:xfrm>
                            <a:off x="0" y="11"/>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300" name="Line 65"/>
                        <wps:cNvCnPr>
                          <a:cxnSpLocks noChangeShapeType="1"/>
                        </wps:cNvCnPr>
                        <wps:spPr bwMode="auto">
                          <a:xfrm>
                            <a:off x="0" y="13"/>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301" name="Line 64"/>
                        <wps:cNvCnPr>
                          <a:cxnSpLocks noChangeShapeType="1"/>
                        </wps:cNvCnPr>
                        <wps:spPr bwMode="auto">
                          <a:xfrm>
                            <a:off x="0" y="16"/>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302" name="Line 63"/>
                        <wps:cNvCnPr>
                          <a:cxnSpLocks noChangeShapeType="1"/>
                        </wps:cNvCnPr>
                        <wps:spPr bwMode="auto">
                          <a:xfrm>
                            <a:off x="0" y="18"/>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303" name="Line 62"/>
                        <wps:cNvCnPr>
                          <a:cxnSpLocks noChangeShapeType="1"/>
                        </wps:cNvCnPr>
                        <wps:spPr bwMode="auto">
                          <a:xfrm>
                            <a:off x="0" y="21"/>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E24402F" id="Group 61" o:spid="_x0000_s1026" style="width:64.8pt;height:1.25pt;mso-position-horizontal-relative:char;mso-position-vertical-relative:line" coordsize="129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">
                <v:line id="Line 69" o:spid="_x0000_s1027" style="position:absolute;visibility:visible;mso-wrap-style:square" from="0,4" to="12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" strokeweight=".1323mm"/>
                <v:line id="Line 68" o:spid="_x0000_s1028" style="position:absolute;visibility:visible;mso-wrap-style:square" from="0,6" to="12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" strokeweight=".1323mm"/>
                <v:line id="Line 67" o:spid="_x0000_s1029" style="position:absolute;visibility:visible;mso-wrap-style:square" from="0,9" to="12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" strokeweight=".1323mm"/>
                <v:line id="Line 66" o:spid="_x0000_s1030" style="position:absolute;visibility:visible;mso-wrap-style:square" from="0,11" to="12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" strokeweight=".1323mm"/>
                <v:line id="Line 65" o:spid="_x0000_s1031" style="position:absolute;visibility:visible;mso-wrap-style:square" from="0,13" to="129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" strokeweight=".1323mm"/>
                <v:line id="Line 64" o:spid="_x0000_s1032" style="position:absolute;visibility:visible;mso-wrap-style:square" from="0,16" to="129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" strokeweight=".1323mm"/>
                <v:line id="Line 63" o:spid="_x0000_s1033" style="position:absolute;visibility:visible;mso-wrap-style:square" from="0,18" to="129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" strokeweight=".1323mm"/>
                <v:line id="Line 62" o:spid="_x0000_s1034" style="position:absolute;visibility:visible;mso-wrap-style:square" from="0,21" to="12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" strokeweight=".1323mm"/>
                <w10:anchorlock/>
              </v:group>
            </w:pict>
          </mc:Fallback>
        </mc:AlternateContent>
      </w:r>
    </w:p>
    <w:p w14:paraId="296D91EB" w14:textId="77777777" w:rsidR="00FA4AA8" w:rsidRDefault="0015611F">
      <w:pPr>
        <w:tabs>
          <w:tab w:val="left" w:pos="8786"/>
          <w:tab w:val="left" w:pos="9403"/>
          <w:tab w:val="left" w:pos="10082"/>
        </w:tabs>
        <w:spacing w:before="24"/>
        <w:ind w:left="194"/>
        <w:rPr>
          <w:b/>
          <w:sz w:val="18"/>
        </w:rPr>
      </w:pPr>
      <w:r>
        <w:rPr>
          <w:b/>
          <w:sz w:val="18"/>
        </w:rPr>
        <w:t>Net cash provided by</w:t>
      </w:r>
      <w:r>
        <w:rPr>
          <w:b/>
          <w:spacing w:val="-12"/>
          <w:sz w:val="18"/>
        </w:rPr>
        <w:t xml:space="preserve"> </w:t>
      </w:r>
      <w:r>
        <w:rPr>
          <w:b/>
          <w:sz w:val="18"/>
        </w:rPr>
        <w:t>financing</w:t>
      </w:r>
      <w:r>
        <w:rPr>
          <w:b/>
          <w:spacing w:val="-1"/>
          <w:sz w:val="18"/>
        </w:rPr>
        <w:t xml:space="preserve"> </w:t>
      </w:r>
      <w:r>
        <w:rPr>
          <w:b/>
          <w:sz w:val="18"/>
        </w:rPr>
        <w:t>activities</w:t>
      </w:r>
      <w:r>
        <w:rPr>
          <w:b/>
          <w:sz w:val="18"/>
        </w:rPr>
        <w:tab/>
      </w:r>
      <w:r>
        <w:rPr>
          <w:b/>
          <w:position w:val="-7"/>
          <w:sz w:val="18"/>
          <w:u w:val="thick"/>
        </w:rPr>
        <w:t xml:space="preserve"> </w:t>
      </w:r>
      <w:r>
        <w:rPr>
          <w:b/>
          <w:position w:val="-7"/>
          <w:sz w:val="18"/>
          <w:u w:val="thick"/>
        </w:rPr>
        <w:tab/>
        <w:t>-</w:t>
      </w:r>
      <w:r>
        <w:rPr>
          <w:b/>
          <w:position w:val="-7"/>
          <w:sz w:val="18"/>
          <w:u w:val="thick"/>
        </w:rPr>
        <w:tab/>
      </w:r>
    </w:p>
    <w:p w14:paraId="6B83B3F1" w14:textId="77777777" w:rsidR="00FA4AA8" w:rsidRDefault="00FA4AA8">
      <w:pPr>
        <w:pStyle w:val="BodyText"/>
        <w:spacing w:before="8"/>
        <w:rPr>
          <w:b/>
          <w:sz w:val="21"/>
        </w:rPr>
      </w:pPr>
    </w:p>
    <w:p w14:paraId="369B2102" w14:textId="77777777" w:rsidR="00FA4AA8" w:rsidRDefault="007E2441">
      <w:pPr>
        <w:tabs>
          <w:tab w:val="left" w:pos="9402"/>
        </w:tabs>
        <w:spacing w:before="94"/>
        <w:ind w:left="194"/>
        <w:rPr>
          <w:b/>
          <w:sz w:val="18"/>
        </w:rPr>
      </w:pPr>
      <w:r>
        <w:rPr>
          <w:noProof/>
          <w:lang w:val="en-AU" w:eastAsia="en-AU"/>
        </w:rPr>
        <mc:AlternateContent>
          <mc:Choice Requires="wpg">
            <w:drawing>
              <wp:anchor distT="0" distB="0" distL="0" distR="0" simplePos="0" relativeHeight="487694848" behindDoc="1" locked="0" layoutInCell="1" allowOverlap="1" wp14:anchorId="51C75FC6" wp14:editId="68B2022C">
                <wp:simplePos x="0" y="0"/>
                <wp:positionH relativeFrom="page">
                  <wp:posOffset>6112510</wp:posOffset>
                </wp:positionH>
                <wp:positionV relativeFrom="paragraph">
                  <wp:posOffset>205740</wp:posOffset>
                </wp:positionV>
                <wp:extent cx="822960" cy="15875"/>
                <wp:effectExtent l="0" t="0" r="0" b="0"/>
                <wp:wrapTopAndBottom/>
                <wp:docPr id="286"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15875"/>
                          <a:chOff x="9626" y="324"/>
                          <a:chExt cx="1296" cy="25"/>
                        </a:xfrm>
                      </wpg:grpSpPr>
                      <wps:wsp>
                        <wps:cNvPr id="287" name="Line 60"/>
                        <wps:cNvCnPr>
                          <a:cxnSpLocks noChangeShapeType="1"/>
                        </wps:cNvCnPr>
                        <wps:spPr bwMode="auto">
                          <a:xfrm>
                            <a:off x="9626" y="328"/>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288" name="Line 59"/>
                        <wps:cNvCnPr>
                          <a:cxnSpLocks noChangeShapeType="1"/>
                        </wps:cNvCnPr>
                        <wps:spPr bwMode="auto">
                          <a:xfrm>
                            <a:off x="9626" y="330"/>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289" name="Line 58"/>
                        <wps:cNvCnPr>
                          <a:cxnSpLocks noChangeShapeType="1"/>
                        </wps:cNvCnPr>
                        <wps:spPr bwMode="auto">
                          <a:xfrm>
                            <a:off x="9626" y="332"/>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290" name="Line 57"/>
                        <wps:cNvCnPr>
                          <a:cxnSpLocks noChangeShapeType="1"/>
                        </wps:cNvCnPr>
                        <wps:spPr bwMode="auto">
                          <a:xfrm>
                            <a:off x="9626" y="335"/>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291" name="Line 56"/>
                        <wps:cNvCnPr>
                          <a:cxnSpLocks noChangeShapeType="1"/>
                        </wps:cNvCnPr>
                        <wps:spPr bwMode="auto">
                          <a:xfrm>
                            <a:off x="9626" y="337"/>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292" name="Line 55"/>
                        <wps:cNvCnPr>
                          <a:cxnSpLocks noChangeShapeType="1"/>
                        </wps:cNvCnPr>
                        <wps:spPr bwMode="auto">
                          <a:xfrm>
                            <a:off x="9626" y="340"/>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293" name="Line 54"/>
                        <wps:cNvCnPr>
                          <a:cxnSpLocks noChangeShapeType="1"/>
                        </wps:cNvCnPr>
                        <wps:spPr bwMode="auto">
                          <a:xfrm>
                            <a:off x="9626" y="342"/>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294" name="Line 53"/>
                        <wps:cNvCnPr>
                          <a:cxnSpLocks noChangeShapeType="1"/>
                        </wps:cNvCnPr>
                        <wps:spPr bwMode="auto">
                          <a:xfrm>
                            <a:off x="9626" y="344"/>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362C1D" id="Group 52" o:spid="_x0000_s1026" style="position:absolute;margin-left:481.3pt;margin-top:16.2pt;width:64.8pt;height:1.25pt;z-index:-15621632;mso-wrap-distance-left:0;mso-wrap-distance-right:0;mso-position-horizontal-relative:page" coordorigin="9626,324" coordsize="129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">
                <v:line id="Line 60" o:spid="_x0000_s1027" style="position:absolute;visibility:visible;mso-wrap-style:square" from="9626,328" to="10922,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" strokeweight=".1323mm"/>
                <v:line id="Line 59" o:spid="_x0000_s1028" style="position:absolute;visibility:visible;mso-wrap-style:square" from="9626,330" to="10922,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" strokeweight=".1323mm"/>
                <v:line id="Line 58" o:spid="_x0000_s1029" style="position:absolute;visibility:visible;mso-wrap-style:square" from="9626,332" to="10922,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" strokeweight=".1323mm"/>
                <v:line id="Line 57" o:spid="_x0000_s1030" style="position:absolute;visibility:visible;mso-wrap-style:square" from="9626,335" to="10922,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" strokeweight=".1323mm"/>
                <v:line id="Line 56" o:spid="_x0000_s1031" style="position:absolute;visibility:visible;mso-wrap-style:square" from="9626,337" to="10922,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" strokeweight=".1323mm"/>
                <v:line id="Line 55" o:spid="_x0000_s1032" style="position:absolute;visibility:visible;mso-wrap-style:square" from="9626,340" to="10922,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" strokeweight=".1323mm"/>
                <v:line id="Line 54" o:spid="_x0000_s1033" style="position:absolute;visibility:visible;mso-wrap-style:square" from="9626,342" to="10922,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" strokeweight=".1323mm"/>
                <v:line id="Line 53" o:spid="_x0000_s1034" style="position:absolute;visibility:visible;mso-wrap-style:square" from="9626,344" to="10922,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" strokeweight=".1323mm"/>
                <w10:wrap type="topAndBottom" anchorx="page"/>
              </v:group>
            </w:pict>
          </mc:Fallback>
        </mc:AlternateContent>
      </w:r>
      <w:r w:rsidR="0015611F">
        <w:rPr>
          <w:b/>
          <w:sz w:val="18"/>
        </w:rPr>
        <w:t>Net increase/(decrease) in cash and cash</w:t>
      </w:r>
      <w:r w:rsidR="0015611F">
        <w:rPr>
          <w:b/>
          <w:spacing w:val="-5"/>
          <w:sz w:val="18"/>
        </w:rPr>
        <w:t xml:space="preserve"> </w:t>
      </w:r>
      <w:r w:rsidR="0015611F">
        <w:rPr>
          <w:b/>
          <w:sz w:val="18"/>
        </w:rPr>
        <w:t>equivalents</w:t>
      </w:r>
      <w:r w:rsidR="0015611F">
        <w:rPr>
          <w:b/>
          <w:spacing w:val="1"/>
          <w:sz w:val="18"/>
        </w:rPr>
        <w:t xml:space="preserve"> </w:t>
      </w:r>
      <w:r w:rsidR="0015611F">
        <w:rPr>
          <w:b/>
          <w:sz w:val="18"/>
        </w:rPr>
        <w:t>held</w:t>
      </w:r>
      <w:r w:rsidR="0015611F">
        <w:rPr>
          <w:b/>
          <w:sz w:val="18"/>
        </w:rPr>
        <w:tab/>
        <w:t>-</w:t>
      </w:r>
    </w:p>
    <w:p w14:paraId="784E1853" w14:textId="77777777" w:rsidR="00FA4AA8" w:rsidRDefault="0015611F">
      <w:pPr>
        <w:tabs>
          <w:tab w:val="left" w:pos="8786"/>
          <w:tab w:val="left" w:pos="9403"/>
          <w:tab w:val="left" w:pos="10082"/>
        </w:tabs>
        <w:spacing w:before="55"/>
        <w:ind w:left="194"/>
        <w:rPr>
          <w:b/>
          <w:sz w:val="18"/>
        </w:rPr>
      </w:pPr>
      <w:r>
        <w:rPr>
          <w:b/>
          <w:sz w:val="18"/>
        </w:rPr>
        <w:t>Cash and cash equivalents at end of</w:t>
      </w:r>
      <w:r>
        <w:rPr>
          <w:b/>
          <w:spacing w:val="-2"/>
          <w:sz w:val="18"/>
        </w:rPr>
        <w:t xml:space="preserve"> </w:t>
      </w:r>
      <w:r>
        <w:rPr>
          <w:b/>
          <w:sz w:val="18"/>
        </w:rPr>
        <w:t>financial period</w:t>
      </w:r>
      <w:r>
        <w:rPr>
          <w:b/>
          <w:sz w:val="18"/>
        </w:rPr>
        <w:tab/>
      </w:r>
      <w:r>
        <w:rPr>
          <w:b/>
          <w:position w:val="-2"/>
          <w:sz w:val="18"/>
          <w:u w:val="double"/>
        </w:rPr>
        <w:t xml:space="preserve"> </w:t>
      </w:r>
      <w:r>
        <w:rPr>
          <w:b/>
          <w:position w:val="-2"/>
          <w:sz w:val="18"/>
          <w:u w:val="double"/>
        </w:rPr>
        <w:tab/>
        <w:t>-</w:t>
      </w:r>
      <w:r>
        <w:rPr>
          <w:b/>
          <w:position w:val="-2"/>
          <w:sz w:val="18"/>
          <w:u w:val="double"/>
        </w:rPr>
        <w:tab/>
      </w:r>
    </w:p>
    <w:p w14:paraId="670816BF" w14:textId="77777777" w:rsidR="00FA4AA8" w:rsidRDefault="00FA4AA8">
      <w:pPr>
        <w:pStyle w:val="BodyText"/>
        <w:rPr>
          <w:b/>
          <w:sz w:val="20"/>
        </w:rPr>
      </w:pPr>
    </w:p>
    <w:p w14:paraId="3C5D7B1F" w14:textId="77777777" w:rsidR="00FA4AA8" w:rsidRDefault="00FA4AA8">
      <w:pPr>
        <w:pStyle w:val="BodyText"/>
        <w:rPr>
          <w:b/>
          <w:sz w:val="20"/>
        </w:rPr>
      </w:pPr>
    </w:p>
    <w:p w14:paraId="69493704" w14:textId="77777777" w:rsidR="00FA4AA8" w:rsidRDefault="00FA4AA8">
      <w:pPr>
        <w:pStyle w:val="BodyText"/>
        <w:rPr>
          <w:b/>
          <w:sz w:val="20"/>
        </w:rPr>
      </w:pPr>
    </w:p>
    <w:p w14:paraId="38D07DBA" w14:textId="77777777" w:rsidR="00FA4AA8" w:rsidRDefault="00FA4AA8">
      <w:pPr>
        <w:pStyle w:val="BodyText"/>
        <w:rPr>
          <w:b/>
          <w:sz w:val="20"/>
        </w:rPr>
      </w:pPr>
    </w:p>
    <w:p w14:paraId="31742A47" w14:textId="77777777" w:rsidR="00FA4AA8" w:rsidRDefault="00FA4AA8">
      <w:pPr>
        <w:pStyle w:val="BodyText"/>
        <w:rPr>
          <w:b/>
          <w:sz w:val="20"/>
        </w:rPr>
      </w:pPr>
    </w:p>
    <w:p w14:paraId="5086BA3D" w14:textId="77777777" w:rsidR="00FA4AA8" w:rsidRDefault="00FA4AA8">
      <w:pPr>
        <w:pStyle w:val="BodyText"/>
        <w:rPr>
          <w:b/>
          <w:sz w:val="20"/>
        </w:rPr>
      </w:pPr>
    </w:p>
    <w:p w14:paraId="5BA384D5" w14:textId="77777777" w:rsidR="00FA4AA8" w:rsidRDefault="00FA4AA8">
      <w:pPr>
        <w:pStyle w:val="BodyText"/>
        <w:rPr>
          <w:b/>
          <w:sz w:val="20"/>
        </w:rPr>
      </w:pPr>
    </w:p>
    <w:p w14:paraId="2B2BD4F1" w14:textId="77777777" w:rsidR="00FA4AA8" w:rsidRDefault="00FA4AA8">
      <w:pPr>
        <w:pStyle w:val="BodyText"/>
        <w:rPr>
          <w:b/>
          <w:sz w:val="20"/>
        </w:rPr>
      </w:pPr>
    </w:p>
    <w:p w14:paraId="4B94FB2A" w14:textId="77777777" w:rsidR="00FA4AA8" w:rsidRDefault="00FA4AA8">
      <w:pPr>
        <w:pStyle w:val="BodyText"/>
        <w:rPr>
          <w:b/>
          <w:sz w:val="20"/>
        </w:rPr>
      </w:pPr>
    </w:p>
    <w:p w14:paraId="2D745D64" w14:textId="77777777" w:rsidR="00FA4AA8" w:rsidRDefault="00FA4AA8">
      <w:pPr>
        <w:pStyle w:val="BodyText"/>
        <w:rPr>
          <w:b/>
          <w:sz w:val="20"/>
        </w:rPr>
      </w:pPr>
    </w:p>
    <w:p w14:paraId="642F84B7" w14:textId="77777777" w:rsidR="00FA4AA8" w:rsidRDefault="00FA4AA8">
      <w:pPr>
        <w:pStyle w:val="BodyText"/>
        <w:rPr>
          <w:b/>
          <w:sz w:val="20"/>
        </w:rPr>
      </w:pPr>
    </w:p>
    <w:p w14:paraId="0E0353F3" w14:textId="77777777" w:rsidR="00FA4AA8" w:rsidRDefault="00FA4AA8">
      <w:pPr>
        <w:pStyle w:val="BodyText"/>
        <w:rPr>
          <w:b/>
          <w:sz w:val="20"/>
        </w:rPr>
      </w:pPr>
    </w:p>
    <w:p w14:paraId="30B8413C" w14:textId="77777777" w:rsidR="00FA4AA8" w:rsidRDefault="00FA4AA8">
      <w:pPr>
        <w:pStyle w:val="BodyText"/>
        <w:rPr>
          <w:b/>
          <w:sz w:val="20"/>
        </w:rPr>
      </w:pPr>
    </w:p>
    <w:p w14:paraId="27AB57DE" w14:textId="77777777" w:rsidR="00FA4AA8" w:rsidRDefault="00FA4AA8">
      <w:pPr>
        <w:pStyle w:val="BodyText"/>
        <w:rPr>
          <w:b/>
          <w:sz w:val="20"/>
        </w:rPr>
      </w:pPr>
    </w:p>
    <w:p w14:paraId="7356948C" w14:textId="77777777" w:rsidR="00FA4AA8" w:rsidRDefault="00FA4AA8">
      <w:pPr>
        <w:pStyle w:val="BodyText"/>
        <w:rPr>
          <w:b/>
          <w:sz w:val="20"/>
        </w:rPr>
      </w:pPr>
    </w:p>
    <w:p w14:paraId="5B8DA1D7" w14:textId="77777777" w:rsidR="00FA4AA8" w:rsidRDefault="00FA4AA8">
      <w:pPr>
        <w:pStyle w:val="BodyText"/>
        <w:rPr>
          <w:b/>
          <w:sz w:val="20"/>
        </w:rPr>
      </w:pPr>
    </w:p>
    <w:p w14:paraId="63868CFF" w14:textId="77777777" w:rsidR="00FA4AA8" w:rsidRDefault="00FA4AA8">
      <w:pPr>
        <w:pStyle w:val="BodyText"/>
        <w:rPr>
          <w:b/>
          <w:sz w:val="20"/>
        </w:rPr>
      </w:pPr>
    </w:p>
    <w:p w14:paraId="3BDBEEF3" w14:textId="77777777" w:rsidR="00FA4AA8" w:rsidRDefault="00FA4AA8">
      <w:pPr>
        <w:pStyle w:val="BodyText"/>
        <w:rPr>
          <w:b/>
          <w:sz w:val="20"/>
        </w:rPr>
      </w:pPr>
    </w:p>
    <w:p w14:paraId="7F6AB1B9" w14:textId="77777777" w:rsidR="00FA4AA8" w:rsidRDefault="00FA4AA8">
      <w:pPr>
        <w:pStyle w:val="BodyText"/>
        <w:rPr>
          <w:b/>
          <w:sz w:val="20"/>
        </w:rPr>
      </w:pPr>
    </w:p>
    <w:p w14:paraId="3B30F10E" w14:textId="77777777" w:rsidR="00FA4AA8" w:rsidRDefault="00FA4AA8">
      <w:pPr>
        <w:pStyle w:val="BodyText"/>
        <w:rPr>
          <w:b/>
          <w:sz w:val="20"/>
        </w:rPr>
      </w:pPr>
    </w:p>
    <w:p w14:paraId="5F9C80D3" w14:textId="77777777" w:rsidR="00FA4AA8" w:rsidRDefault="00FA4AA8">
      <w:pPr>
        <w:pStyle w:val="BodyText"/>
        <w:rPr>
          <w:b/>
          <w:sz w:val="20"/>
        </w:rPr>
      </w:pPr>
    </w:p>
    <w:p w14:paraId="1206F739" w14:textId="77777777" w:rsidR="00FA4AA8" w:rsidRDefault="00FA4AA8">
      <w:pPr>
        <w:pStyle w:val="BodyText"/>
        <w:rPr>
          <w:b/>
          <w:sz w:val="20"/>
        </w:rPr>
      </w:pPr>
    </w:p>
    <w:p w14:paraId="3046EDA5" w14:textId="77777777" w:rsidR="00FA4AA8" w:rsidRDefault="00FA4AA8">
      <w:pPr>
        <w:pStyle w:val="BodyText"/>
        <w:rPr>
          <w:b/>
          <w:sz w:val="20"/>
        </w:rPr>
      </w:pPr>
    </w:p>
    <w:p w14:paraId="2C17A5AA" w14:textId="77777777" w:rsidR="00FA4AA8" w:rsidRDefault="00FA4AA8">
      <w:pPr>
        <w:pStyle w:val="BodyText"/>
        <w:rPr>
          <w:b/>
          <w:sz w:val="20"/>
        </w:rPr>
      </w:pPr>
    </w:p>
    <w:p w14:paraId="223B329E" w14:textId="77777777" w:rsidR="00FA4AA8" w:rsidRDefault="00FA4AA8">
      <w:pPr>
        <w:pStyle w:val="BodyText"/>
        <w:rPr>
          <w:b/>
          <w:sz w:val="20"/>
        </w:rPr>
      </w:pPr>
    </w:p>
    <w:p w14:paraId="5411924B" w14:textId="77777777" w:rsidR="00FA4AA8" w:rsidRDefault="00FA4AA8">
      <w:pPr>
        <w:pStyle w:val="BodyText"/>
        <w:rPr>
          <w:b/>
          <w:sz w:val="20"/>
        </w:rPr>
      </w:pPr>
    </w:p>
    <w:p w14:paraId="4126183E" w14:textId="77777777" w:rsidR="00FA4AA8" w:rsidRDefault="00FA4AA8">
      <w:pPr>
        <w:pStyle w:val="BodyText"/>
        <w:rPr>
          <w:b/>
          <w:sz w:val="20"/>
        </w:rPr>
      </w:pPr>
    </w:p>
    <w:p w14:paraId="6D7CE9EC" w14:textId="77777777" w:rsidR="00FA4AA8" w:rsidRDefault="00FA4AA8">
      <w:pPr>
        <w:pStyle w:val="BodyText"/>
        <w:rPr>
          <w:b/>
          <w:sz w:val="20"/>
        </w:rPr>
      </w:pPr>
    </w:p>
    <w:p w14:paraId="6C26F60C" w14:textId="77777777" w:rsidR="00FA4AA8" w:rsidRDefault="00FA4AA8">
      <w:pPr>
        <w:pStyle w:val="BodyText"/>
        <w:rPr>
          <w:b/>
          <w:sz w:val="20"/>
        </w:rPr>
      </w:pPr>
    </w:p>
    <w:p w14:paraId="2DBA192E" w14:textId="77777777" w:rsidR="00FA4AA8" w:rsidRDefault="00FA4AA8">
      <w:pPr>
        <w:pStyle w:val="BodyText"/>
        <w:rPr>
          <w:b/>
          <w:sz w:val="20"/>
        </w:rPr>
      </w:pPr>
    </w:p>
    <w:p w14:paraId="5764C610" w14:textId="77777777" w:rsidR="00FA4AA8" w:rsidRDefault="00FA4AA8">
      <w:pPr>
        <w:pStyle w:val="BodyText"/>
        <w:rPr>
          <w:b/>
          <w:sz w:val="20"/>
        </w:rPr>
      </w:pPr>
    </w:p>
    <w:p w14:paraId="500F312C" w14:textId="77777777" w:rsidR="00FA4AA8" w:rsidRDefault="00FA4AA8">
      <w:pPr>
        <w:pStyle w:val="BodyText"/>
        <w:rPr>
          <w:b/>
          <w:sz w:val="20"/>
        </w:rPr>
      </w:pPr>
    </w:p>
    <w:p w14:paraId="71DE4B42" w14:textId="77777777" w:rsidR="00FA4AA8" w:rsidRDefault="00FA4AA8">
      <w:pPr>
        <w:pStyle w:val="BodyText"/>
        <w:rPr>
          <w:b/>
          <w:sz w:val="20"/>
        </w:rPr>
      </w:pPr>
    </w:p>
    <w:p w14:paraId="77FA20DA" w14:textId="77777777" w:rsidR="00FA4AA8" w:rsidRDefault="00FA4AA8">
      <w:pPr>
        <w:pStyle w:val="BodyText"/>
        <w:rPr>
          <w:b/>
          <w:sz w:val="20"/>
        </w:rPr>
      </w:pPr>
    </w:p>
    <w:p w14:paraId="51CB5164" w14:textId="77777777" w:rsidR="00FA4AA8" w:rsidRDefault="00FA4AA8">
      <w:pPr>
        <w:pStyle w:val="BodyText"/>
        <w:rPr>
          <w:b/>
          <w:sz w:val="20"/>
        </w:rPr>
      </w:pPr>
    </w:p>
    <w:p w14:paraId="7FFE4F74" w14:textId="77777777" w:rsidR="00FA4AA8" w:rsidRDefault="00FA4AA8">
      <w:pPr>
        <w:pStyle w:val="BodyText"/>
        <w:spacing w:before="9"/>
        <w:rPr>
          <w:b/>
          <w:sz w:val="24"/>
        </w:rPr>
      </w:pPr>
    </w:p>
    <w:p w14:paraId="5A3B0515" w14:textId="77777777" w:rsidR="00FA4AA8" w:rsidRDefault="0015611F">
      <w:pPr>
        <w:pStyle w:val="BodyText"/>
        <w:spacing w:before="95"/>
        <w:ind w:left="576" w:right="509"/>
        <w:jc w:val="center"/>
      </w:pPr>
      <w:r>
        <w:t>The accompanying notes form part of these financial statements.</w:t>
      </w:r>
    </w:p>
    <w:p w14:paraId="253EDEDB" w14:textId="77777777" w:rsidR="00FA4AA8" w:rsidRDefault="00FA4AA8">
      <w:pPr>
        <w:jc w:val="center"/>
        <w:sectPr w:rsidR="00FA4AA8">
          <w:type w:val="continuous"/>
          <w:pgSz w:w="11910" w:h="16840"/>
          <w:pgMar w:top="20" w:right="880" w:bottom="0" w:left="840" w:header="720" w:footer="720" w:gutter="0"/>
          <w:cols w:space="720"/>
        </w:sectPr>
      </w:pPr>
    </w:p>
    <w:p w14:paraId="77F8446F" w14:textId="77777777" w:rsidR="00FA4AA8" w:rsidRDefault="00FA4AA8">
      <w:pPr>
        <w:pStyle w:val="BodyText"/>
        <w:spacing w:before="6"/>
        <w:rPr>
          <w:sz w:val="21"/>
        </w:rPr>
      </w:pPr>
    </w:p>
    <w:p w14:paraId="0A663E1A" w14:textId="77777777" w:rsidR="00FA4AA8" w:rsidRDefault="0015611F">
      <w:pPr>
        <w:pStyle w:val="Heading2"/>
      </w:pPr>
      <w:r>
        <w:t>Notes to the Financial Statements</w:t>
      </w:r>
    </w:p>
    <w:p w14:paraId="0F6934F4" w14:textId="77777777" w:rsidR="00FA4AA8" w:rsidRDefault="0015611F">
      <w:pPr>
        <w:pStyle w:val="Heading6"/>
        <w:ind w:left="167"/>
      </w:pPr>
      <w:r>
        <w:t>For the initial Period 4 June 2018 to 31 December 2018</w:t>
      </w:r>
    </w:p>
    <w:p w14:paraId="52212F62" w14:textId="77777777" w:rsidR="00FA4AA8" w:rsidRDefault="00FA4AA8">
      <w:pPr>
        <w:pStyle w:val="BodyText"/>
        <w:rPr>
          <w:b/>
          <w:sz w:val="24"/>
        </w:rPr>
      </w:pPr>
    </w:p>
    <w:p w14:paraId="5E23AC06" w14:textId="77777777" w:rsidR="00FA4AA8" w:rsidRDefault="00FA4AA8">
      <w:pPr>
        <w:pStyle w:val="BodyText"/>
        <w:rPr>
          <w:b/>
          <w:sz w:val="34"/>
        </w:rPr>
      </w:pPr>
    </w:p>
    <w:p w14:paraId="198B51D3" w14:textId="77777777" w:rsidR="00FA4AA8" w:rsidRDefault="0015611F">
      <w:pPr>
        <w:tabs>
          <w:tab w:val="left" w:pos="563"/>
        </w:tabs>
        <w:spacing w:before="1"/>
        <w:ind w:left="170"/>
        <w:rPr>
          <w:b/>
          <w:sz w:val="18"/>
        </w:rPr>
      </w:pPr>
      <w:r>
        <w:rPr>
          <w:b/>
          <w:sz w:val="18"/>
        </w:rPr>
        <w:t>1</w:t>
      </w:r>
      <w:r>
        <w:rPr>
          <w:b/>
          <w:sz w:val="18"/>
        </w:rPr>
        <w:tab/>
        <w:t>Summary of Significant Accounting</w:t>
      </w:r>
      <w:r>
        <w:rPr>
          <w:b/>
          <w:spacing w:val="-8"/>
          <w:sz w:val="18"/>
        </w:rPr>
        <w:t xml:space="preserve"> </w:t>
      </w:r>
      <w:r>
        <w:rPr>
          <w:b/>
          <w:sz w:val="18"/>
        </w:rPr>
        <w:t>Policies</w:t>
      </w:r>
    </w:p>
    <w:p w14:paraId="10CED7DC" w14:textId="77777777" w:rsidR="00FA4AA8" w:rsidRDefault="00FA4AA8">
      <w:pPr>
        <w:pStyle w:val="BodyText"/>
        <w:spacing w:before="11"/>
        <w:rPr>
          <w:b/>
          <w:sz w:val="24"/>
        </w:rPr>
      </w:pPr>
    </w:p>
    <w:p w14:paraId="6A3BBBFB" w14:textId="77777777" w:rsidR="00FA4AA8" w:rsidRDefault="0015611F">
      <w:pPr>
        <w:pStyle w:val="BodyText"/>
        <w:ind w:left="563" w:right="220"/>
      </w:pPr>
      <w:r>
        <w:t>Western Growth Developments (Innovation Hub Parramatta) Pty Ltd is a not-for-profit company limited by shares and is a controlled entity of Western Sydney University. The Company is incorporated and domiciled in Australia.</w:t>
      </w:r>
    </w:p>
    <w:p w14:paraId="10A77AB5" w14:textId="77777777" w:rsidR="00FA4AA8" w:rsidRDefault="00FA4AA8">
      <w:pPr>
        <w:pStyle w:val="BodyText"/>
        <w:spacing w:before="11"/>
        <w:rPr>
          <w:sz w:val="24"/>
        </w:rPr>
      </w:pPr>
    </w:p>
    <w:p w14:paraId="041B2229" w14:textId="77777777" w:rsidR="00FA4AA8" w:rsidRDefault="0015611F">
      <w:pPr>
        <w:numPr>
          <w:ilvl w:val="0"/>
          <w:numId w:val="2"/>
        </w:numPr>
        <w:tabs>
          <w:tab w:val="left" w:pos="1130"/>
          <w:tab w:val="left" w:pos="1131"/>
        </w:tabs>
        <w:ind w:hanging="568"/>
        <w:rPr>
          <w:b/>
          <w:sz w:val="18"/>
        </w:rPr>
      </w:pPr>
      <w:r>
        <w:rPr>
          <w:b/>
          <w:sz w:val="18"/>
        </w:rPr>
        <w:t>Basis of</w:t>
      </w:r>
      <w:r>
        <w:rPr>
          <w:b/>
          <w:spacing w:val="-1"/>
          <w:sz w:val="18"/>
        </w:rPr>
        <w:t xml:space="preserve"> </w:t>
      </w:r>
      <w:r>
        <w:rPr>
          <w:b/>
          <w:sz w:val="18"/>
        </w:rPr>
        <w:t>Preparation</w:t>
      </w:r>
    </w:p>
    <w:p w14:paraId="1FFA3F69" w14:textId="77777777" w:rsidR="00FA4AA8" w:rsidRDefault="00FA4AA8">
      <w:pPr>
        <w:pStyle w:val="BodyText"/>
        <w:rPr>
          <w:b/>
          <w:sz w:val="25"/>
        </w:rPr>
      </w:pPr>
    </w:p>
    <w:p w14:paraId="5E5F61AE" w14:textId="77777777" w:rsidR="00FA4AA8" w:rsidRDefault="0015611F">
      <w:pPr>
        <w:ind w:left="1130" w:right="185"/>
        <w:rPr>
          <w:sz w:val="18"/>
        </w:rPr>
      </w:pPr>
      <w:r>
        <w:rPr>
          <w:sz w:val="18"/>
        </w:rPr>
        <w:t xml:space="preserve">The financial statements are general purpose financial statements that have been prepared in accordance with Australian Accounting Standards - Reduced Disclosure Requirements, Australian Accounting Interpretations, the </w:t>
      </w:r>
      <w:r>
        <w:rPr>
          <w:i/>
          <w:sz w:val="18"/>
        </w:rPr>
        <w:t>Corporations Act 2001</w:t>
      </w:r>
      <w:r>
        <w:rPr>
          <w:sz w:val="18"/>
        </w:rPr>
        <w:t xml:space="preserve">, the </w:t>
      </w:r>
      <w:r>
        <w:rPr>
          <w:i/>
          <w:sz w:val="18"/>
        </w:rPr>
        <w:t xml:space="preserve">Public Finance and Audit Act 1983, Public Finance and Audit Regulation 2015, the Australian Charities and Not-for-profits Commission Act 2012 </w:t>
      </w:r>
      <w:r>
        <w:rPr>
          <w:sz w:val="18"/>
        </w:rPr>
        <w:t xml:space="preserve">and </w:t>
      </w:r>
      <w:r>
        <w:rPr>
          <w:i/>
          <w:sz w:val="18"/>
        </w:rPr>
        <w:t>Regulation 2013</w:t>
      </w:r>
      <w:r>
        <w:rPr>
          <w:sz w:val="18"/>
        </w:rPr>
        <w:t>.</w:t>
      </w:r>
    </w:p>
    <w:p w14:paraId="0C333571" w14:textId="77777777" w:rsidR="00FA4AA8" w:rsidRDefault="00FA4AA8">
      <w:pPr>
        <w:pStyle w:val="BodyText"/>
        <w:spacing w:before="9"/>
        <w:rPr>
          <w:sz w:val="24"/>
        </w:rPr>
      </w:pPr>
    </w:p>
    <w:p w14:paraId="2395F2BD" w14:textId="77777777" w:rsidR="00FA4AA8" w:rsidRDefault="0015611F">
      <w:pPr>
        <w:pStyle w:val="BodyText"/>
        <w:ind w:left="1130" w:right="220"/>
      </w:pPr>
      <w:r>
        <w:t>The financial statements have been prepared on an accrual basis and are based on historical costs, modified, where applicable, by the measurement at fair value of selected non-current assets, financial assets and financial liabilities.</w:t>
      </w:r>
    </w:p>
    <w:p w14:paraId="4A8E0976" w14:textId="77777777" w:rsidR="00FA4AA8" w:rsidRDefault="00FA4AA8">
      <w:pPr>
        <w:pStyle w:val="BodyText"/>
        <w:spacing w:before="11"/>
        <w:rPr>
          <w:sz w:val="24"/>
        </w:rPr>
      </w:pPr>
    </w:p>
    <w:p w14:paraId="460DD4AD" w14:textId="77777777" w:rsidR="00FA4AA8" w:rsidRDefault="0015611F">
      <w:pPr>
        <w:pStyle w:val="BodyText"/>
        <w:ind w:left="1130"/>
      </w:pPr>
      <w:r>
        <w:t>The financial statements were authorised for issue by the Directors of the Company on10 April 2019.</w:t>
      </w:r>
    </w:p>
    <w:p w14:paraId="1BA4BE67" w14:textId="77777777" w:rsidR="00FA4AA8" w:rsidRDefault="00FA4AA8">
      <w:pPr>
        <w:pStyle w:val="BodyText"/>
        <w:rPr>
          <w:sz w:val="25"/>
        </w:rPr>
      </w:pPr>
    </w:p>
    <w:p w14:paraId="1A2928D2" w14:textId="77777777" w:rsidR="00FA4AA8" w:rsidRDefault="0015611F">
      <w:pPr>
        <w:numPr>
          <w:ilvl w:val="1"/>
          <w:numId w:val="2"/>
        </w:numPr>
        <w:tabs>
          <w:tab w:val="left" w:pos="1281"/>
        </w:tabs>
        <w:rPr>
          <w:b/>
          <w:sz w:val="18"/>
        </w:rPr>
      </w:pPr>
      <w:r>
        <w:rPr>
          <w:b/>
          <w:sz w:val="18"/>
        </w:rPr>
        <w:t>Critical accounting</w:t>
      </w:r>
      <w:r>
        <w:rPr>
          <w:b/>
          <w:spacing w:val="1"/>
          <w:sz w:val="18"/>
        </w:rPr>
        <w:t xml:space="preserve"> </w:t>
      </w:r>
      <w:r>
        <w:rPr>
          <w:b/>
          <w:sz w:val="18"/>
        </w:rPr>
        <w:t>estimates</w:t>
      </w:r>
    </w:p>
    <w:p w14:paraId="380FCAFE" w14:textId="77777777" w:rsidR="00FA4AA8" w:rsidRDefault="00FA4AA8">
      <w:pPr>
        <w:pStyle w:val="BodyText"/>
        <w:spacing w:before="11"/>
        <w:rPr>
          <w:b/>
          <w:sz w:val="24"/>
        </w:rPr>
      </w:pPr>
    </w:p>
    <w:p w14:paraId="50EB4FC9" w14:textId="77777777" w:rsidR="00FA4AA8" w:rsidRDefault="0015611F">
      <w:pPr>
        <w:pStyle w:val="BodyText"/>
        <w:ind w:left="1130" w:right="132"/>
      </w:pPr>
      <w:r>
        <w:t>The preparation of financial statements in conformity with Australian Accounting Standards requires the use of certain critical accounting estimates. It also requires management to exercise its judgement in the process of applying the Company's accounting policies. The estimates and underlying assumptions are reviewed on an ongoing basis. All significant estimates or assumptions made in preparation of the financial statements have been explained in the accounting policy notes or subsequent notes.</w:t>
      </w:r>
    </w:p>
    <w:p w14:paraId="6E609FDE" w14:textId="77777777" w:rsidR="00FA4AA8" w:rsidRDefault="00FA4AA8">
      <w:pPr>
        <w:pStyle w:val="BodyText"/>
        <w:spacing w:before="9"/>
        <w:rPr>
          <w:sz w:val="24"/>
        </w:rPr>
      </w:pPr>
    </w:p>
    <w:p w14:paraId="0BE1FD4A" w14:textId="77777777" w:rsidR="00FA4AA8" w:rsidRDefault="0015611F">
      <w:pPr>
        <w:numPr>
          <w:ilvl w:val="1"/>
          <w:numId w:val="2"/>
        </w:numPr>
        <w:tabs>
          <w:tab w:val="left" w:pos="1333"/>
        </w:tabs>
        <w:ind w:left="1332" w:hanging="203"/>
        <w:rPr>
          <w:b/>
          <w:sz w:val="18"/>
        </w:rPr>
      </w:pPr>
      <w:r>
        <w:rPr>
          <w:b/>
          <w:sz w:val="18"/>
        </w:rPr>
        <w:t>Foreign currency translations and</w:t>
      </w:r>
      <w:r>
        <w:rPr>
          <w:b/>
          <w:spacing w:val="-11"/>
          <w:sz w:val="18"/>
        </w:rPr>
        <w:t xml:space="preserve"> </w:t>
      </w:r>
      <w:r>
        <w:rPr>
          <w:b/>
          <w:sz w:val="18"/>
        </w:rPr>
        <w:t>balances</w:t>
      </w:r>
    </w:p>
    <w:p w14:paraId="77BEBA40" w14:textId="77777777" w:rsidR="00FA4AA8" w:rsidRDefault="00FA4AA8">
      <w:pPr>
        <w:pStyle w:val="BodyText"/>
        <w:rPr>
          <w:b/>
          <w:sz w:val="25"/>
        </w:rPr>
      </w:pPr>
    </w:p>
    <w:p w14:paraId="6AFC1632" w14:textId="77777777" w:rsidR="00FA4AA8" w:rsidRDefault="0015611F">
      <w:pPr>
        <w:pStyle w:val="BodyText"/>
        <w:ind w:left="1130" w:right="132"/>
      </w:pPr>
      <w:r>
        <w:t>The functional currency of the Company is measured using the currency of the primary economic environment which is Australian dollars. The financial statements are presented in Australian dollars which is the parent entity's functional and presentation currency.</w:t>
      </w:r>
    </w:p>
    <w:p w14:paraId="63EC5A32" w14:textId="77777777" w:rsidR="00FA4AA8" w:rsidRDefault="00FA4AA8">
      <w:pPr>
        <w:pStyle w:val="BodyText"/>
        <w:spacing w:before="10"/>
        <w:rPr>
          <w:sz w:val="24"/>
        </w:rPr>
      </w:pPr>
    </w:p>
    <w:p w14:paraId="7D4D2EDD" w14:textId="77777777" w:rsidR="00FA4AA8" w:rsidRDefault="0015611F">
      <w:pPr>
        <w:numPr>
          <w:ilvl w:val="0"/>
          <w:numId w:val="2"/>
        </w:numPr>
        <w:tabs>
          <w:tab w:val="left" w:pos="1130"/>
          <w:tab w:val="left" w:pos="1131"/>
        </w:tabs>
        <w:spacing w:line="573" w:lineRule="auto"/>
        <w:ind w:right="6435"/>
        <w:rPr>
          <w:b/>
          <w:sz w:val="18"/>
        </w:rPr>
      </w:pPr>
      <w:r>
        <w:rPr>
          <w:b/>
          <w:sz w:val="18"/>
        </w:rPr>
        <w:t>Basis for consolidation Interest in Joint</w:t>
      </w:r>
      <w:r>
        <w:rPr>
          <w:b/>
          <w:spacing w:val="-3"/>
          <w:sz w:val="18"/>
        </w:rPr>
        <w:t xml:space="preserve"> </w:t>
      </w:r>
      <w:r>
        <w:rPr>
          <w:b/>
          <w:sz w:val="18"/>
        </w:rPr>
        <w:t>Arrangements</w:t>
      </w:r>
    </w:p>
    <w:p w14:paraId="150BDA69" w14:textId="77777777" w:rsidR="00FA4AA8" w:rsidRDefault="0015611F">
      <w:pPr>
        <w:pStyle w:val="BodyText"/>
        <w:ind w:left="1130"/>
      </w:pPr>
      <w:r>
        <w:t xml:space="preserve">AASB 11 </w:t>
      </w:r>
      <w:r>
        <w:rPr>
          <w:i/>
        </w:rPr>
        <w:t xml:space="preserve">Joint Arrangements </w:t>
      </w:r>
      <w:r>
        <w:t>defines a joint arrangement as an arrangement of which two or more parties have joint control and classifies these arrangements as either joint ventures or joint operations.</w:t>
      </w:r>
    </w:p>
    <w:p w14:paraId="02C6A705" w14:textId="77777777" w:rsidR="00FA4AA8" w:rsidRDefault="00FA4AA8">
      <w:pPr>
        <w:pStyle w:val="BodyText"/>
        <w:spacing w:before="11"/>
        <w:rPr>
          <w:sz w:val="24"/>
        </w:rPr>
      </w:pPr>
    </w:p>
    <w:p w14:paraId="1A021920" w14:textId="77777777" w:rsidR="00FA4AA8" w:rsidRDefault="0015611F">
      <w:pPr>
        <w:pStyle w:val="BodyText"/>
        <w:ind w:left="1130"/>
      </w:pPr>
      <w:r>
        <w:t>Western Growth Developments (Innovation Hub Parramatta) Pty Ltd has determined that it has joint operations.</w:t>
      </w:r>
    </w:p>
    <w:p w14:paraId="5D8A9DD8" w14:textId="77777777" w:rsidR="00FA4AA8" w:rsidRDefault="00FA4AA8">
      <w:pPr>
        <w:pStyle w:val="BodyText"/>
        <w:rPr>
          <w:sz w:val="25"/>
        </w:rPr>
      </w:pPr>
    </w:p>
    <w:p w14:paraId="29D6414F" w14:textId="77777777" w:rsidR="00FA4AA8" w:rsidRDefault="0015611F">
      <w:pPr>
        <w:ind w:left="1130"/>
        <w:rPr>
          <w:b/>
          <w:sz w:val="18"/>
        </w:rPr>
      </w:pPr>
      <w:r>
        <w:rPr>
          <w:b/>
          <w:sz w:val="18"/>
        </w:rPr>
        <w:t>Joint operations</w:t>
      </w:r>
    </w:p>
    <w:p w14:paraId="1B944560" w14:textId="77777777" w:rsidR="00FA4AA8" w:rsidRDefault="00FA4AA8">
      <w:pPr>
        <w:pStyle w:val="BodyText"/>
        <w:spacing w:before="11"/>
        <w:rPr>
          <w:b/>
          <w:sz w:val="24"/>
        </w:rPr>
      </w:pPr>
    </w:p>
    <w:p w14:paraId="223626E7" w14:textId="77777777" w:rsidR="00FA4AA8" w:rsidRDefault="0015611F">
      <w:pPr>
        <w:pStyle w:val="BodyText"/>
        <w:ind w:left="1130" w:right="290"/>
        <w:jc w:val="both"/>
      </w:pPr>
      <w:r>
        <w:t>The Company's share of assets, liabilities, revenue and expenses of a joint operation have been incorporated into the financial statements under the appropriate headings. Details of the joint operations are set out in note 6.</w:t>
      </w:r>
    </w:p>
    <w:p w14:paraId="127F3A25" w14:textId="77777777" w:rsidR="00FA4AA8" w:rsidRDefault="00FA4AA8">
      <w:pPr>
        <w:jc w:val="both"/>
        <w:sectPr w:rsidR="00FA4AA8">
          <w:pgSz w:w="11910" w:h="16840"/>
          <w:pgMar w:top="1580" w:right="880" w:bottom="720" w:left="840" w:header="1015" w:footer="523" w:gutter="0"/>
          <w:cols w:space="720"/>
        </w:sectPr>
      </w:pPr>
    </w:p>
    <w:p w14:paraId="35E66932" w14:textId="77777777" w:rsidR="00FA4AA8" w:rsidRDefault="00FA4AA8">
      <w:pPr>
        <w:pStyle w:val="BodyText"/>
        <w:spacing w:before="6"/>
        <w:rPr>
          <w:sz w:val="21"/>
        </w:rPr>
      </w:pPr>
    </w:p>
    <w:p w14:paraId="635E6F24" w14:textId="77777777" w:rsidR="00FA4AA8" w:rsidRDefault="0015611F">
      <w:pPr>
        <w:pStyle w:val="Heading2"/>
      </w:pPr>
      <w:r>
        <w:t>Notes to the Financial Statements</w:t>
      </w:r>
    </w:p>
    <w:p w14:paraId="38DA98F6" w14:textId="77777777" w:rsidR="00FA4AA8" w:rsidRDefault="0015611F">
      <w:pPr>
        <w:pStyle w:val="Heading6"/>
        <w:ind w:left="167"/>
      </w:pPr>
      <w:r>
        <w:t>For the initial Period 4 June 2018 to 31 December 2018</w:t>
      </w:r>
    </w:p>
    <w:p w14:paraId="352AE9E3" w14:textId="77777777" w:rsidR="00FA4AA8" w:rsidRDefault="00FA4AA8">
      <w:pPr>
        <w:pStyle w:val="BodyText"/>
        <w:rPr>
          <w:b/>
          <w:sz w:val="24"/>
        </w:rPr>
      </w:pPr>
    </w:p>
    <w:p w14:paraId="4A5B7F1C" w14:textId="77777777" w:rsidR="00FA4AA8" w:rsidRDefault="00FA4AA8">
      <w:pPr>
        <w:pStyle w:val="BodyText"/>
        <w:rPr>
          <w:b/>
          <w:sz w:val="34"/>
        </w:rPr>
      </w:pPr>
    </w:p>
    <w:p w14:paraId="33282040" w14:textId="77777777" w:rsidR="00FA4AA8" w:rsidRDefault="0015611F">
      <w:pPr>
        <w:numPr>
          <w:ilvl w:val="0"/>
          <w:numId w:val="22"/>
        </w:numPr>
        <w:tabs>
          <w:tab w:val="left" w:pos="563"/>
          <w:tab w:val="left" w:pos="564"/>
        </w:tabs>
        <w:spacing w:before="1"/>
        <w:rPr>
          <w:b/>
          <w:sz w:val="18"/>
        </w:rPr>
      </w:pPr>
      <w:r>
        <w:rPr>
          <w:b/>
          <w:sz w:val="18"/>
        </w:rPr>
        <w:t>Summary of Significant Accounting Policies</w:t>
      </w:r>
      <w:r>
        <w:rPr>
          <w:b/>
          <w:spacing w:val="-9"/>
          <w:sz w:val="18"/>
        </w:rPr>
        <w:t xml:space="preserve"> </w:t>
      </w:r>
      <w:r>
        <w:rPr>
          <w:b/>
          <w:sz w:val="18"/>
        </w:rPr>
        <w:t>(continued)</w:t>
      </w:r>
    </w:p>
    <w:p w14:paraId="256A113E" w14:textId="77777777" w:rsidR="00FA4AA8" w:rsidRDefault="00FA4AA8">
      <w:pPr>
        <w:pStyle w:val="BodyText"/>
        <w:spacing w:before="11"/>
        <w:rPr>
          <w:b/>
          <w:sz w:val="24"/>
        </w:rPr>
      </w:pPr>
    </w:p>
    <w:p w14:paraId="712430C4" w14:textId="77777777" w:rsidR="00FA4AA8" w:rsidRDefault="0015611F">
      <w:pPr>
        <w:pStyle w:val="ListParagraph"/>
        <w:numPr>
          <w:ilvl w:val="0"/>
          <w:numId w:val="2"/>
        </w:numPr>
        <w:tabs>
          <w:tab w:val="left" w:pos="1130"/>
          <w:tab w:val="left" w:pos="1131"/>
        </w:tabs>
        <w:ind w:hanging="568"/>
        <w:rPr>
          <w:b/>
          <w:sz w:val="18"/>
        </w:rPr>
      </w:pPr>
      <w:r>
        <w:rPr>
          <w:b/>
          <w:sz w:val="18"/>
        </w:rPr>
        <w:t>Income tax</w:t>
      </w:r>
      <w:r>
        <w:rPr>
          <w:b/>
          <w:spacing w:val="1"/>
          <w:sz w:val="18"/>
        </w:rPr>
        <w:t xml:space="preserve"> </w:t>
      </w:r>
      <w:r>
        <w:rPr>
          <w:b/>
          <w:sz w:val="18"/>
        </w:rPr>
        <w:t>exemption</w:t>
      </w:r>
    </w:p>
    <w:p w14:paraId="146FC6B7" w14:textId="77777777" w:rsidR="00FA4AA8" w:rsidRDefault="00FA4AA8">
      <w:pPr>
        <w:pStyle w:val="BodyText"/>
        <w:rPr>
          <w:b/>
          <w:sz w:val="25"/>
        </w:rPr>
      </w:pPr>
    </w:p>
    <w:p w14:paraId="1F272988" w14:textId="77777777" w:rsidR="00FA4AA8" w:rsidRDefault="0015611F">
      <w:pPr>
        <w:ind w:left="1130"/>
        <w:rPr>
          <w:sz w:val="18"/>
        </w:rPr>
      </w:pPr>
      <w:r>
        <w:rPr>
          <w:sz w:val="18"/>
        </w:rPr>
        <w:t xml:space="preserve">The Company is exempt from the payment of tax by virtue of section 50-5 of the </w:t>
      </w:r>
      <w:r>
        <w:rPr>
          <w:i/>
          <w:sz w:val="18"/>
        </w:rPr>
        <w:t>Income Tax Assessment Act 1997</w:t>
      </w:r>
      <w:r>
        <w:rPr>
          <w:sz w:val="18"/>
        </w:rPr>
        <w:t>.</w:t>
      </w:r>
    </w:p>
    <w:p w14:paraId="3C711216" w14:textId="77777777" w:rsidR="00FA4AA8" w:rsidRDefault="00FA4AA8">
      <w:pPr>
        <w:pStyle w:val="BodyText"/>
        <w:spacing w:before="11"/>
        <w:rPr>
          <w:sz w:val="24"/>
        </w:rPr>
      </w:pPr>
    </w:p>
    <w:p w14:paraId="58CF9B00" w14:textId="77777777" w:rsidR="00FA4AA8" w:rsidRDefault="0015611F">
      <w:pPr>
        <w:numPr>
          <w:ilvl w:val="0"/>
          <w:numId w:val="2"/>
        </w:numPr>
        <w:tabs>
          <w:tab w:val="left" w:pos="1130"/>
          <w:tab w:val="left" w:pos="1131"/>
        </w:tabs>
        <w:ind w:hanging="568"/>
        <w:rPr>
          <w:b/>
          <w:sz w:val="18"/>
        </w:rPr>
      </w:pPr>
      <w:r>
        <w:rPr>
          <w:b/>
          <w:sz w:val="18"/>
        </w:rPr>
        <w:t>Goods and services tax</w:t>
      </w:r>
      <w:r>
        <w:rPr>
          <w:b/>
          <w:spacing w:val="3"/>
          <w:sz w:val="18"/>
        </w:rPr>
        <w:t xml:space="preserve"> </w:t>
      </w:r>
      <w:r>
        <w:rPr>
          <w:b/>
          <w:sz w:val="18"/>
        </w:rPr>
        <w:t>(GST)</w:t>
      </w:r>
    </w:p>
    <w:p w14:paraId="2F7A3401" w14:textId="77777777" w:rsidR="00FA4AA8" w:rsidRDefault="00FA4AA8">
      <w:pPr>
        <w:pStyle w:val="BodyText"/>
        <w:rPr>
          <w:b/>
          <w:sz w:val="25"/>
        </w:rPr>
      </w:pPr>
    </w:p>
    <w:p w14:paraId="7E29DE81" w14:textId="77777777" w:rsidR="00FA4AA8" w:rsidRDefault="0015611F">
      <w:pPr>
        <w:pStyle w:val="BodyText"/>
        <w:ind w:left="1130" w:right="220"/>
      </w:pPr>
      <w:r>
        <w:t>Revenue, expenses and assets are recognised net of the amount of GST, except where the amount of GST incurred is not recoverable from the Australian Taxation Office. In these circumstances the GST is recognised as part of the cost of acquisition of the asset or as part of an item of the expense. Receivables and payables in the financial statements are shown inclusive of GST.</w:t>
      </w:r>
    </w:p>
    <w:p w14:paraId="2749FA65" w14:textId="77777777" w:rsidR="00FA4AA8" w:rsidRDefault="00FA4AA8">
      <w:pPr>
        <w:pStyle w:val="BodyText"/>
        <w:spacing w:before="9"/>
        <w:rPr>
          <w:sz w:val="24"/>
        </w:rPr>
      </w:pPr>
    </w:p>
    <w:p w14:paraId="5C17AE29" w14:textId="77777777" w:rsidR="00FA4AA8" w:rsidRDefault="0015611F">
      <w:pPr>
        <w:pStyle w:val="BodyText"/>
        <w:ind w:left="1130"/>
      </w:pPr>
      <w:r>
        <w:t>Cash flows are presented on a gross basis. The GST components of cash arising from investing or financing activities, which are recoverable or payable to the taxation authority, are presented as operating cash flows.</w:t>
      </w:r>
    </w:p>
    <w:p w14:paraId="138140F3" w14:textId="77777777" w:rsidR="00FA4AA8" w:rsidRDefault="00FA4AA8">
      <w:pPr>
        <w:pStyle w:val="BodyText"/>
        <w:spacing w:before="9"/>
        <w:rPr>
          <w:sz w:val="16"/>
        </w:rPr>
      </w:pPr>
    </w:p>
    <w:p w14:paraId="60A56CE3" w14:textId="77777777" w:rsidR="00FA4AA8" w:rsidRDefault="00FA4AA8">
      <w:pPr>
        <w:rPr>
          <w:sz w:val="16"/>
        </w:rPr>
        <w:sectPr w:rsidR="00FA4AA8">
          <w:pgSz w:w="11910" w:h="16840"/>
          <w:pgMar w:top="1580" w:right="880" w:bottom="720" w:left="840" w:header="1015" w:footer="523" w:gutter="0"/>
          <w:cols w:space="720"/>
        </w:sectPr>
      </w:pPr>
    </w:p>
    <w:p w14:paraId="454F2CA9" w14:textId="77777777" w:rsidR="00FA4AA8" w:rsidRDefault="0015611F">
      <w:pPr>
        <w:numPr>
          <w:ilvl w:val="0"/>
          <w:numId w:val="22"/>
        </w:numPr>
        <w:tabs>
          <w:tab w:val="left" w:pos="563"/>
          <w:tab w:val="left" w:pos="564"/>
        </w:tabs>
        <w:spacing w:before="94"/>
        <w:ind w:hanging="397"/>
        <w:rPr>
          <w:b/>
          <w:sz w:val="18"/>
        </w:rPr>
      </w:pPr>
      <w:r>
        <w:rPr>
          <w:b/>
          <w:sz w:val="18"/>
        </w:rPr>
        <w:t>Other</w:t>
      </w:r>
      <w:r>
        <w:rPr>
          <w:b/>
          <w:spacing w:val="-3"/>
          <w:sz w:val="18"/>
        </w:rPr>
        <w:t xml:space="preserve"> </w:t>
      </w:r>
      <w:r>
        <w:rPr>
          <w:b/>
          <w:sz w:val="18"/>
        </w:rPr>
        <w:t>receivables</w:t>
      </w:r>
    </w:p>
    <w:p w14:paraId="09713454" w14:textId="77777777" w:rsidR="00FA4AA8" w:rsidRDefault="0015611F">
      <w:pPr>
        <w:pStyle w:val="BodyText"/>
        <w:spacing w:before="1"/>
        <w:rPr>
          <w:b/>
          <w:sz w:val="29"/>
        </w:rPr>
      </w:pPr>
      <w:r>
        <w:br w:type="column"/>
      </w:r>
    </w:p>
    <w:p w14:paraId="56F12154" w14:textId="77777777" w:rsidR="00FA4AA8" w:rsidRDefault="0015611F">
      <w:pPr>
        <w:ind w:left="152" w:right="535"/>
        <w:jc w:val="center"/>
        <w:rPr>
          <w:b/>
          <w:sz w:val="18"/>
        </w:rPr>
      </w:pPr>
      <w:r>
        <w:rPr>
          <w:b/>
          <w:sz w:val="18"/>
        </w:rPr>
        <w:t>2018</w:t>
      </w:r>
    </w:p>
    <w:p w14:paraId="7B9870CC" w14:textId="77777777" w:rsidR="00FA4AA8" w:rsidRDefault="0015611F">
      <w:pPr>
        <w:spacing w:before="66"/>
        <w:ind w:right="383"/>
        <w:jc w:val="center"/>
        <w:rPr>
          <w:b/>
          <w:sz w:val="18"/>
        </w:rPr>
      </w:pPr>
      <w:r>
        <w:rPr>
          <w:b/>
          <w:sz w:val="18"/>
        </w:rPr>
        <w:t>$</w:t>
      </w:r>
    </w:p>
    <w:p w14:paraId="222C47C9" w14:textId="77777777" w:rsidR="00FA4AA8" w:rsidRDefault="00FA4AA8">
      <w:pPr>
        <w:jc w:val="center"/>
        <w:rPr>
          <w:sz w:val="18"/>
        </w:rPr>
        <w:sectPr w:rsidR="00FA4AA8">
          <w:type w:val="continuous"/>
          <w:pgSz w:w="11910" w:h="16840"/>
          <w:pgMar w:top="20" w:right="880" w:bottom="0" w:left="840" w:header="720" w:footer="720" w:gutter="0"/>
          <w:cols w:num="2" w:space="720" w:equalWidth="0">
            <w:col w:w="2119" w:space="6943"/>
            <w:col w:w="1128"/>
          </w:cols>
        </w:sectPr>
      </w:pPr>
    </w:p>
    <w:p w14:paraId="17CA9F4C" w14:textId="77777777" w:rsidR="00FA4AA8" w:rsidRDefault="007E2441">
      <w:pPr>
        <w:tabs>
          <w:tab w:val="left" w:pos="9187"/>
        </w:tabs>
        <w:spacing w:before="62"/>
        <w:ind w:left="563"/>
        <w:rPr>
          <w:b/>
          <w:sz w:val="18"/>
        </w:rPr>
      </w:pPr>
      <w:r>
        <w:rPr>
          <w:noProof/>
          <w:lang w:val="en-AU" w:eastAsia="en-AU"/>
        </w:rPr>
        <mc:AlternateContent>
          <mc:Choice Requires="wpg">
            <w:drawing>
              <wp:anchor distT="0" distB="0" distL="0" distR="0" simplePos="0" relativeHeight="487695360" behindDoc="1" locked="0" layoutInCell="1" allowOverlap="1" wp14:anchorId="100A4A9F" wp14:editId="75DD7A2B">
                <wp:simplePos x="0" y="0"/>
                <wp:positionH relativeFrom="page">
                  <wp:posOffset>6111240</wp:posOffset>
                </wp:positionH>
                <wp:positionV relativeFrom="paragraph">
                  <wp:posOffset>185420</wp:posOffset>
                </wp:positionV>
                <wp:extent cx="822960" cy="15875"/>
                <wp:effectExtent l="0" t="0" r="0" b="0"/>
                <wp:wrapTopAndBottom/>
                <wp:docPr id="27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15875"/>
                          <a:chOff x="9624" y="292"/>
                          <a:chExt cx="1296" cy="25"/>
                        </a:xfrm>
                      </wpg:grpSpPr>
                      <wps:wsp>
                        <wps:cNvPr id="278" name="Line 51"/>
                        <wps:cNvCnPr>
                          <a:cxnSpLocks noChangeShapeType="1"/>
                        </wps:cNvCnPr>
                        <wps:spPr bwMode="auto">
                          <a:xfrm>
                            <a:off x="9624" y="296"/>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279" name="Line 50"/>
                        <wps:cNvCnPr>
                          <a:cxnSpLocks noChangeShapeType="1"/>
                        </wps:cNvCnPr>
                        <wps:spPr bwMode="auto">
                          <a:xfrm>
                            <a:off x="9624" y="298"/>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280" name="Line 49"/>
                        <wps:cNvCnPr>
                          <a:cxnSpLocks noChangeShapeType="1"/>
                        </wps:cNvCnPr>
                        <wps:spPr bwMode="auto">
                          <a:xfrm>
                            <a:off x="9624" y="300"/>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281" name="Line 48"/>
                        <wps:cNvCnPr>
                          <a:cxnSpLocks noChangeShapeType="1"/>
                        </wps:cNvCnPr>
                        <wps:spPr bwMode="auto">
                          <a:xfrm>
                            <a:off x="9624" y="303"/>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282" name="Line 47"/>
                        <wps:cNvCnPr>
                          <a:cxnSpLocks noChangeShapeType="1"/>
                        </wps:cNvCnPr>
                        <wps:spPr bwMode="auto">
                          <a:xfrm>
                            <a:off x="9624" y="305"/>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283" name="Line 46"/>
                        <wps:cNvCnPr>
                          <a:cxnSpLocks noChangeShapeType="1"/>
                        </wps:cNvCnPr>
                        <wps:spPr bwMode="auto">
                          <a:xfrm>
                            <a:off x="9624" y="308"/>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284" name="Line 45"/>
                        <wps:cNvCnPr>
                          <a:cxnSpLocks noChangeShapeType="1"/>
                        </wps:cNvCnPr>
                        <wps:spPr bwMode="auto">
                          <a:xfrm>
                            <a:off x="9624" y="310"/>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285" name="Line 44"/>
                        <wps:cNvCnPr>
                          <a:cxnSpLocks noChangeShapeType="1"/>
                        </wps:cNvCnPr>
                        <wps:spPr bwMode="auto">
                          <a:xfrm>
                            <a:off x="9624" y="312"/>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B24C14" id="Group 43" o:spid="_x0000_s1026" style="position:absolute;margin-left:481.2pt;margin-top:14.6pt;width:64.8pt;height:1.25pt;z-index:-15621120;mso-wrap-distance-left:0;mso-wrap-distance-right:0;mso-position-horizontal-relative:page" coordorigin="9624,292" coordsize="129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">
                <v:line id="Line 51" o:spid="_x0000_s1027" style="position:absolute;visibility:visible;mso-wrap-style:square" from="9624,296" to="10920,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" strokeweight=".1323mm"/>
                <v:line id="Line 50" o:spid="_x0000_s1028" style="position:absolute;visibility:visible;mso-wrap-style:square" from="9624,298" to="10920,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" strokeweight=".1323mm"/>
                <v:line id="Line 49" o:spid="_x0000_s1029" style="position:absolute;visibility:visible;mso-wrap-style:square" from="9624,300" to="10920,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" strokeweight=".1323mm"/>
                <v:line id="Line 48" o:spid="_x0000_s1030" style="position:absolute;visibility:visible;mso-wrap-style:square" from="9624,303" to="10920,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" strokeweight=".1323mm"/>
                <v:line id="Line 47" o:spid="_x0000_s1031" style="position:absolute;visibility:visible;mso-wrap-style:square" from="9624,305" to="10920,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" strokeweight=".1323mm"/>
                <v:line id="Line 46" o:spid="_x0000_s1032" style="position:absolute;visibility:visible;mso-wrap-style:square" from="9624,308" to="10920,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" strokeweight=".1323mm"/>
                <v:line id="Line 45" o:spid="_x0000_s1033" style="position:absolute;visibility:visible;mso-wrap-style:square" from="9624,310" to="10920,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" strokeweight=".1323mm"/>
                <v:line id="Line 44" o:spid="_x0000_s1034" style="position:absolute;visibility:visible;mso-wrap-style:square" from="9624,312" to="10920,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" strokeweight=".1323mm"/>
                <w10:wrap type="topAndBottom" anchorx="page"/>
              </v:group>
            </w:pict>
          </mc:Fallback>
        </mc:AlternateContent>
      </w:r>
      <w:r w:rsidR="0015611F">
        <w:rPr>
          <w:sz w:val="18"/>
        </w:rPr>
        <w:t>GST</w:t>
      </w:r>
      <w:r w:rsidR="0015611F">
        <w:rPr>
          <w:spacing w:val="-3"/>
          <w:sz w:val="18"/>
        </w:rPr>
        <w:t xml:space="preserve"> </w:t>
      </w:r>
      <w:r w:rsidR="0015611F">
        <w:rPr>
          <w:sz w:val="18"/>
        </w:rPr>
        <w:t>receivable</w:t>
      </w:r>
      <w:r w:rsidR="0015611F">
        <w:rPr>
          <w:sz w:val="18"/>
        </w:rPr>
        <w:tab/>
      </w:r>
      <w:r w:rsidR="0015611F">
        <w:rPr>
          <w:b/>
          <w:sz w:val="18"/>
        </w:rPr>
        <w:t>1,505,906</w:t>
      </w:r>
    </w:p>
    <w:p w14:paraId="534DDFB4" w14:textId="77777777" w:rsidR="00FA4AA8" w:rsidRDefault="0015611F">
      <w:pPr>
        <w:tabs>
          <w:tab w:val="left" w:pos="8783"/>
          <w:tab w:val="left" w:pos="9187"/>
        </w:tabs>
        <w:spacing w:before="83"/>
        <w:ind w:left="563"/>
        <w:rPr>
          <w:b/>
          <w:sz w:val="18"/>
        </w:rPr>
      </w:pPr>
      <w:r>
        <w:rPr>
          <w:b/>
          <w:sz w:val="18"/>
        </w:rPr>
        <w:t>Total</w:t>
      </w:r>
      <w:r>
        <w:rPr>
          <w:b/>
          <w:spacing w:val="-1"/>
          <w:sz w:val="18"/>
        </w:rPr>
        <w:t xml:space="preserve"> </w:t>
      </w:r>
      <w:r>
        <w:rPr>
          <w:b/>
          <w:sz w:val="18"/>
        </w:rPr>
        <w:t>other</w:t>
      </w:r>
      <w:r>
        <w:rPr>
          <w:b/>
          <w:spacing w:val="-2"/>
          <w:sz w:val="18"/>
        </w:rPr>
        <w:t xml:space="preserve"> </w:t>
      </w:r>
      <w:r>
        <w:rPr>
          <w:b/>
          <w:sz w:val="18"/>
        </w:rPr>
        <w:t>receivables</w:t>
      </w:r>
      <w:r>
        <w:rPr>
          <w:b/>
          <w:sz w:val="18"/>
        </w:rPr>
        <w:tab/>
      </w:r>
      <w:r>
        <w:rPr>
          <w:b/>
          <w:sz w:val="18"/>
          <w:u w:val="double"/>
        </w:rPr>
        <w:t xml:space="preserve"> </w:t>
      </w:r>
      <w:r>
        <w:rPr>
          <w:b/>
          <w:sz w:val="18"/>
          <w:u w:val="double"/>
        </w:rPr>
        <w:tab/>
      </w:r>
      <w:r>
        <w:rPr>
          <w:b/>
          <w:sz w:val="18"/>
          <w:u w:val="single"/>
        </w:rPr>
        <w:t>1</w:t>
      </w:r>
      <w:r>
        <w:rPr>
          <w:b/>
          <w:sz w:val="18"/>
        </w:rPr>
        <w:t>,5</w:t>
      </w:r>
      <w:r>
        <w:rPr>
          <w:b/>
          <w:sz w:val="18"/>
          <w:u w:val="single"/>
        </w:rPr>
        <w:t>05</w:t>
      </w:r>
      <w:r>
        <w:rPr>
          <w:b/>
          <w:sz w:val="18"/>
        </w:rPr>
        <w:t>,9</w:t>
      </w:r>
      <w:r>
        <w:rPr>
          <w:b/>
          <w:sz w:val="18"/>
          <w:u w:val="single"/>
        </w:rPr>
        <w:t>0</w:t>
      </w:r>
      <w:r>
        <w:rPr>
          <w:b/>
          <w:sz w:val="18"/>
        </w:rPr>
        <w:t>6</w:t>
      </w:r>
      <w:r>
        <w:rPr>
          <w:b/>
          <w:spacing w:val="-14"/>
          <w:sz w:val="18"/>
        </w:rPr>
        <w:t xml:space="preserve"> </w:t>
      </w:r>
    </w:p>
    <w:p w14:paraId="6D8BE5F6" w14:textId="77777777" w:rsidR="00FA4AA8" w:rsidRDefault="00FA4AA8">
      <w:pPr>
        <w:pStyle w:val="BodyText"/>
        <w:rPr>
          <w:b/>
          <w:sz w:val="21"/>
        </w:rPr>
      </w:pPr>
    </w:p>
    <w:p w14:paraId="2B020BF3" w14:textId="77777777" w:rsidR="00FA4AA8" w:rsidRDefault="0015611F">
      <w:pPr>
        <w:spacing w:before="94"/>
        <w:ind w:left="564"/>
        <w:rPr>
          <w:i/>
          <w:sz w:val="18"/>
        </w:rPr>
      </w:pPr>
      <w:r>
        <w:rPr>
          <w:rFonts w:ascii="Times New Roman"/>
          <w:sz w:val="18"/>
          <w:u w:val="single"/>
        </w:rPr>
        <w:t xml:space="preserve"> </w:t>
      </w:r>
      <w:r>
        <w:rPr>
          <w:i/>
          <w:sz w:val="18"/>
          <w:u w:val="single"/>
        </w:rPr>
        <w:t>Accounting Policy</w:t>
      </w:r>
    </w:p>
    <w:p w14:paraId="08912D3E" w14:textId="77777777" w:rsidR="00FA4AA8" w:rsidRDefault="00FA4AA8">
      <w:pPr>
        <w:pStyle w:val="BodyText"/>
        <w:spacing w:before="10"/>
        <w:rPr>
          <w:i/>
          <w:sz w:val="16"/>
        </w:rPr>
      </w:pPr>
    </w:p>
    <w:p w14:paraId="44814D55" w14:textId="77777777" w:rsidR="00FA4AA8" w:rsidRDefault="0015611F">
      <w:pPr>
        <w:pStyle w:val="BodyText"/>
        <w:spacing w:before="94"/>
        <w:ind w:left="564" w:right="220"/>
      </w:pPr>
      <w:r>
        <w:t xml:space="preserve">Loans and receivables are non-derivative financial assets with fixed or determinable payments that are not quoted in an active market and are </w:t>
      </w:r>
      <w:r w:rsidR="007719AF">
        <w:t>subsequently</w:t>
      </w:r>
      <w:r>
        <w:t xml:space="preserve"> measured at amortised cost.</w:t>
      </w:r>
    </w:p>
    <w:p w14:paraId="2F809D5B" w14:textId="77777777" w:rsidR="00FA4AA8" w:rsidRDefault="00FA4AA8">
      <w:pPr>
        <w:pStyle w:val="BodyText"/>
        <w:spacing w:before="11"/>
        <w:rPr>
          <w:sz w:val="24"/>
        </w:rPr>
      </w:pPr>
    </w:p>
    <w:p w14:paraId="74217FFA" w14:textId="77777777" w:rsidR="00FA4AA8" w:rsidRDefault="0015611F">
      <w:pPr>
        <w:pStyle w:val="BodyText"/>
        <w:ind w:left="564" w:right="220"/>
      </w:pPr>
      <w:r>
        <w:t>Loans and receivables are classified as current assets, except for those which are not expected to be realised within 12 months after the end of the reporting period, which are classified as non-current assets.</w:t>
      </w:r>
    </w:p>
    <w:p w14:paraId="44378471" w14:textId="77777777" w:rsidR="00FA4AA8" w:rsidRDefault="00FA4AA8">
      <w:pPr>
        <w:sectPr w:rsidR="00FA4AA8">
          <w:type w:val="continuous"/>
          <w:pgSz w:w="11910" w:h="16840"/>
          <w:pgMar w:top="20" w:right="880" w:bottom="0" w:left="840" w:header="720" w:footer="720" w:gutter="0"/>
          <w:cols w:space="720"/>
        </w:sectPr>
      </w:pPr>
    </w:p>
    <w:p w14:paraId="20E0CF2D" w14:textId="77777777" w:rsidR="00FA4AA8" w:rsidRDefault="00FA4AA8">
      <w:pPr>
        <w:pStyle w:val="BodyText"/>
        <w:spacing w:before="6"/>
        <w:rPr>
          <w:sz w:val="21"/>
        </w:rPr>
      </w:pPr>
    </w:p>
    <w:p w14:paraId="6B78A8F1" w14:textId="77777777" w:rsidR="00FA4AA8" w:rsidRDefault="0015611F">
      <w:pPr>
        <w:pStyle w:val="Heading2"/>
      </w:pPr>
      <w:r>
        <w:t>Notes to the Financial Statements</w:t>
      </w:r>
    </w:p>
    <w:p w14:paraId="0EF61D37" w14:textId="77777777" w:rsidR="00FA4AA8" w:rsidRDefault="0015611F">
      <w:pPr>
        <w:pStyle w:val="Heading6"/>
        <w:ind w:left="167"/>
      </w:pPr>
      <w:r>
        <w:t>For the initial Period 4 June 2018 to 31 December 2018</w:t>
      </w:r>
    </w:p>
    <w:p w14:paraId="12CB7D9B" w14:textId="77777777" w:rsidR="00FA4AA8" w:rsidRDefault="00FA4AA8">
      <w:pPr>
        <w:pStyle w:val="BodyText"/>
        <w:rPr>
          <w:b/>
          <w:sz w:val="24"/>
        </w:rPr>
      </w:pPr>
    </w:p>
    <w:p w14:paraId="239E66BF" w14:textId="77777777" w:rsidR="00FA4AA8" w:rsidRDefault="00FA4AA8">
      <w:pPr>
        <w:pStyle w:val="BodyText"/>
        <w:rPr>
          <w:b/>
          <w:sz w:val="34"/>
        </w:rPr>
      </w:pPr>
    </w:p>
    <w:p w14:paraId="0ED87326" w14:textId="77777777" w:rsidR="00FA4AA8" w:rsidRDefault="0015611F">
      <w:pPr>
        <w:numPr>
          <w:ilvl w:val="0"/>
          <w:numId w:val="22"/>
        </w:numPr>
        <w:tabs>
          <w:tab w:val="left" w:pos="563"/>
          <w:tab w:val="left" w:pos="564"/>
        </w:tabs>
        <w:spacing w:before="1"/>
        <w:ind w:hanging="397"/>
        <w:rPr>
          <w:b/>
          <w:sz w:val="18"/>
        </w:rPr>
      </w:pPr>
      <w:r>
        <w:rPr>
          <w:b/>
          <w:sz w:val="18"/>
        </w:rPr>
        <w:t>Property, plant and</w:t>
      </w:r>
      <w:r>
        <w:rPr>
          <w:b/>
          <w:spacing w:val="1"/>
          <w:sz w:val="18"/>
        </w:rPr>
        <w:t xml:space="preserve"> </w:t>
      </w:r>
      <w:r>
        <w:rPr>
          <w:b/>
          <w:sz w:val="18"/>
        </w:rPr>
        <w:t>equipment</w:t>
      </w:r>
    </w:p>
    <w:p w14:paraId="20C63067" w14:textId="77777777" w:rsidR="00FA4AA8" w:rsidRDefault="00FA4AA8">
      <w:pPr>
        <w:pStyle w:val="BodyText"/>
        <w:spacing w:before="7"/>
        <w:rPr>
          <w:b/>
          <w:sz w:val="26"/>
        </w:rPr>
      </w:pPr>
    </w:p>
    <w:p w14:paraId="6E3BB0B6" w14:textId="77777777" w:rsidR="00FA4AA8" w:rsidRDefault="0015611F">
      <w:pPr>
        <w:pStyle w:val="ListParagraph"/>
        <w:numPr>
          <w:ilvl w:val="1"/>
          <w:numId w:val="22"/>
        </w:numPr>
        <w:tabs>
          <w:tab w:val="left" w:pos="1130"/>
          <w:tab w:val="left" w:pos="1131"/>
        </w:tabs>
        <w:ind w:hanging="568"/>
        <w:rPr>
          <w:b/>
          <w:sz w:val="18"/>
        </w:rPr>
      </w:pPr>
      <w:r>
        <w:rPr>
          <w:b/>
          <w:sz w:val="18"/>
        </w:rPr>
        <w:t>Movements in Carrying</w:t>
      </w:r>
      <w:r>
        <w:rPr>
          <w:b/>
          <w:spacing w:val="-1"/>
          <w:sz w:val="18"/>
        </w:rPr>
        <w:t xml:space="preserve"> </w:t>
      </w:r>
      <w:r>
        <w:rPr>
          <w:b/>
          <w:sz w:val="18"/>
        </w:rPr>
        <w:t>Amounts</w:t>
      </w:r>
    </w:p>
    <w:p w14:paraId="02F73965" w14:textId="77777777" w:rsidR="00FA4AA8" w:rsidRDefault="00FA4AA8">
      <w:pPr>
        <w:pStyle w:val="BodyText"/>
        <w:spacing w:before="5"/>
        <w:rPr>
          <w:b/>
          <w:sz w:val="25"/>
        </w:rPr>
      </w:pPr>
    </w:p>
    <w:p w14:paraId="61619428" w14:textId="77777777" w:rsidR="00FA4AA8" w:rsidRDefault="0015611F">
      <w:pPr>
        <w:pStyle w:val="BodyText"/>
        <w:spacing w:after="39"/>
        <w:ind w:left="1130" w:right="132"/>
      </w:pPr>
      <w:r>
        <w:t>Movement in the carrying amounts for each class of property, plant and equipment between the beginning and the end of the current financial period:</w:t>
      </w:r>
    </w:p>
    <w:tbl>
      <w:tblPr>
        <w:tblW w:w="0" w:type="auto"/>
        <w:tblInd w:w="1131" w:type="dxa"/>
        <w:tblLayout w:type="fixed"/>
        <w:tblCellMar>
          <w:left w:w="0" w:type="dxa"/>
          <w:right w:w="0" w:type="dxa"/>
        </w:tblCellMar>
        <w:tblLook w:val="01E0" w:firstRow="1" w:lastRow="1" w:firstColumn="1" w:lastColumn="1" w:noHBand="0" w:noVBand="0"/>
      </w:tblPr>
      <w:tblGrid>
        <w:gridCol w:w="6367"/>
        <w:gridCol w:w="1401"/>
        <w:gridCol w:w="1191"/>
      </w:tblGrid>
      <w:tr w:rsidR="00FA4AA8" w14:paraId="3CAB2A84" w14:textId="77777777">
        <w:trPr>
          <w:trHeight w:val="237"/>
        </w:trPr>
        <w:tc>
          <w:tcPr>
            <w:tcW w:w="6367" w:type="dxa"/>
            <w:vMerge w:val="restart"/>
          </w:tcPr>
          <w:p w14:paraId="777DB2C6" w14:textId="77777777" w:rsidR="00FA4AA8" w:rsidRDefault="00FA4AA8">
            <w:pPr>
              <w:pStyle w:val="TableParagraph"/>
              <w:rPr>
                <w:rFonts w:ascii="Times New Roman"/>
                <w:sz w:val="18"/>
              </w:rPr>
            </w:pPr>
          </w:p>
        </w:tc>
        <w:tc>
          <w:tcPr>
            <w:tcW w:w="1401" w:type="dxa"/>
          </w:tcPr>
          <w:p w14:paraId="2C404A85" w14:textId="77777777" w:rsidR="00FA4AA8" w:rsidRDefault="0015611F">
            <w:pPr>
              <w:pStyle w:val="TableParagraph"/>
              <w:spacing w:line="201" w:lineRule="exact"/>
              <w:ind w:left="453"/>
              <w:rPr>
                <w:b/>
                <w:sz w:val="18"/>
              </w:rPr>
            </w:pPr>
            <w:r>
              <w:rPr>
                <w:b/>
                <w:sz w:val="18"/>
              </w:rPr>
              <w:t>Land</w:t>
            </w:r>
          </w:p>
        </w:tc>
        <w:tc>
          <w:tcPr>
            <w:tcW w:w="1191" w:type="dxa"/>
          </w:tcPr>
          <w:p w14:paraId="39779C12" w14:textId="77777777" w:rsidR="00FA4AA8" w:rsidRDefault="0015611F">
            <w:pPr>
              <w:pStyle w:val="TableParagraph"/>
              <w:spacing w:line="201" w:lineRule="exact"/>
              <w:ind w:left="348"/>
              <w:rPr>
                <w:b/>
                <w:sz w:val="18"/>
              </w:rPr>
            </w:pPr>
            <w:r>
              <w:rPr>
                <w:b/>
                <w:sz w:val="18"/>
              </w:rPr>
              <w:t>Total</w:t>
            </w:r>
          </w:p>
        </w:tc>
      </w:tr>
      <w:tr w:rsidR="00FA4AA8" w14:paraId="1630B9A1" w14:textId="77777777">
        <w:trPr>
          <w:trHeight w:val="313"/>
        </w:trPr>
        <w:tc>
          <w:tcPr>
            <w:tcW w:w="6367" w:type="dxa"/>
            <w:vMerge/>
            <w:tcBorders>
              <w:top w:val="nil"/>
            </w:tcBorders>
          </w:tcPr>
          <w:p w14:paraId="0D8AEAD7" w14:textId="77777777" w:rsidR="00FA4AA8" w:rsidRDefault="00FA4AA8">
            <w:pPr>
              <w:rPr>
                <w:sz w:val="2"/>
                <w:szCs w:val="2"/>
              </w:rPr>
            </w:pPr>
          </w:p>
        </w:tc>
        <w:tc>
          <w:tcPr>
            <w:tcW w:w="1401" w:type="dxa"/>
          </w:tcPr>
          <w:p w14:paraId="255FE843" w14:textId="77777777" w:rsidR="00FA4AA8" w:rsidRDefault="0015611F">
            <w:pPr>
              <w:pStyle w:val="TableParagraph"/>
              <w:spacing w:before="30"/>
              <w:ind w:right="60"/>
              <w:jc w:val="center"/>
              <w:rPr>
                <w:b/>
                <w:sz w:val="18"/>
              </w:rPr>
            </w:pPr>
            <w:r>
              <w:rPr>
                <w:b/>
                <w:sz w:val="18"/>
              </w:rPr>
              <w:t>$</w:t>
            </w:r>
          </w:p>
        </w:tc>
        <w:tc>
          <w:tcPr>
            <w:tcW w:w="1191" w:type="dxa"/>
          </w:tcPr>
          <w:p w14:paraId="6B5E27FB" w14:textId="77777777" w:rsidR="00FA4AA8" w:rsidRDefault="0015611F">
            <w:pPr>
              <w:pStyle w:val="TableParagraph"/>
              <w:spacing w:before="30"/>
              <w:ind w:right="60"/>
              <w:jc w:val="center"/>
              <w:rPr>
                <w:b/>
                <w:sz w:val="18"/>
              </w:rPr>
            </w:pPr>
            <w:r>
              <w:rPr>
                <w:b/>
                <w:sz w:val="18"/>
              </w:rPr>
              <w:t>$</w:t>
            </w:r>
          </w:p>
        </w:tc>
      </w:tr>
      <w:tr w:rsidR="00FA4AA8" w14:paraId="7CD31147" w14:textId="77777777">
        <w:trPr>
          <w:trHeight w:val="544"/>
        </w:trPr>
        <w:tc>
          <w:tcPr>
            <w:tcW w:w="6367" w:type="dxa"/>
          </w:tcPr>
          <w:p w14:paraId="664E0943" w14:textId="77777777" w:rsidR="00FA4AA8" w:rsidRDefault="0015611F">
            <w:pPr>
              <w:pStyle w:val="TableParagraph"/>
              <w:spacing w:before="70"/>
              <w:ind w:left="50"/>
              <w:rPr>
                <w:b/>
                <w:sz w:val="18"/>
              </w:rPr>
            </w:pPr>
            <w:r>
              <w:rPr>
                <w:b/>
                <w:sz w:val="18"/>
              </w:rPr>
              <w:t>Period ended 31 December</w:t>
            </w:r>
            <w:r>
              <w:rPr>
                <w:b/>
                <w:spacing w:val="-6"/>
                <w:sz w:val="18"/>
              </w:rPr>
              <w:t xml:space="preserve"> </w:t>
            </w:r>
            <w:r>
              <w:rPr>
                <w:b/>
                <w:sz w:val="18"/>
              </w:rPr>
              <w:t>2018</w:t>
            </w:r>
          </w:p>
          <w:p w14:paraId="5AC63CE2" w14:textId="77777777" w:rsidR="00FA4AA8" w:rsidRDefault="0015611F">
            <w:pPr>
              <w:pStyle w:val="TableParagraph"/>
              <w:spacing w:before="30"/>
              <w:ind w:left="50"/>
              <w:rPr>
                <w:sz w:val="18"/>
              </w:rPr>
            </w:pPr>
            <w:r>
              <w:rPr>
                <w:sz w:val="18"/>
              </w:rPr>
              <w:t>Balance at the beginning of</w:t>
            </w:r>
            <w:r>
              <w:rPr>
                <w:spacing w:val="-1"/>
                <w:sz w:val="18"/>
              </w:rPr>
              <w:t xml:space="preserve"> </w:t>
            </w:r>
            <w:r>
              <w:rPr>
                <w:sz w:val="18"/>
              </w:rPr>
              <w:t>period</w:t>
            </w:r>
          </w:p>
        </w:tc>
        <w:tc>
          <w:tcPr>
            <w:tcW w:w="1401" w:type="dxa"/>
          </w:tcPr>
          <w:p w14:paraId="021A9960" w14:textId="77777777" w:rsidR="00FA4AA8" w:rsidRDefault="00FA4AA8">
            <w:pPr>
              <w:pStyle w:val="TableParagraph"/>
              <w:spacing w:before="6"/>
              <w:rPr>
                <w:sz w:val="26"/>
              </w:rPr>
            </w:pPr>
          </w:p>
          <w:p w14:paraId="517AA13C" w14:textId="77777777" w:rsidR="00FA4AA8" w:rsidRDefault="0015611F">
            <w:pPr>
              <w:pStyle w:val="TableParagraph"/>
              <w:ind w:right="62"/>
              <w:jc w:val="center"/>
              <w:rPr>
                <w:b/>
                <w:sz w:val="18"/>
              </w:rPr>
            </w:pPr>
            <w:r>
              <w:rPr>
                <w:b/>
                <w:sz w:val="18"/>
              </w:rPr>
              <w:t>-</w:t>
            </w:r>
          </w:p>
        </w:tc>
        <w:tc>
          <w:tcPr>
            <w:tcW w:w="1191" w:type="dxa"/>
          </w:tcPr>
          <w:p w14:paraId="68885ED4" w14:textId="77777777" w:rsidR="00FA4AA8" w:rsidRDefault="00FA4AA8">
            <w:pPr>
              <w:pStyle w:val="TableParagraph"/>
              <w:spacing w:before="6"/>
              <w:rPr>
                <w:sz w:val="26"/>
              </w:rPr>
            </w:pPr>
          </w:p>
          <w:p w14:paraId="52AAC84D" w14:textId="77777777" w:rsidR="00FA4AA8" w:rsidRDefault="0015611F">
            <w:pPr>
              <w:pStyle w:val="TableParagraph"/>
              <w:ind w:right="62"/>
              <w:jc w:val="center"/>
              <w:rPr>
                <w:b/>
                <w:sz w:val="18"/>
              </w:rPr>
            </w:pPr>
            <w:r>
              <w:rPr>
                <w:b/>
                <w:sz w:val="18"/>
              </w:rPr>
              <w:t>-</w:t>
            </w:r>
          </w:p>
        </w:tc>
      </w:tr>
      <w:tr w:rsidR="00FA4AA8" w14:paraId="2685777D" w14:textId="77777777">
        <w:trPr>
          <w:trHeight w:val="251"/>
        </w:trPr>
        <w:tc>
          <w:tcPr>
            <w:tcW w:w="6367" w:type="dxa"/>
          </w:tcPr>
          <w:p w14:paraId="484AD2CB" w14:textId="77777777" w:rsidR="00FA4AA8" w:rsidRDefault="0015611F">
            <w:pPr>
              <w:pStyle w:val="TableParagraph"/>
              <w:spacing w:before="26" w:line="205" w:lineRule="exact"/>
              <w:ind w:left="50"/>
              <w:rPr>
                <w:sz w:val="18"/>
              </w:rPr>
            </w:pPr>
            <w:r>
              <w:rPr>
                <w:sz w:val="18"/>
              </w:rPr>
              <w:t>Additions</w:t>
            </w:r>
          </w:p>
        </w:tc>
        <w:tc>
          <w:tcPr>
            <w:tcW w:w="1401" w:type="dxa"/>
            <w:tcBorders>
              <w:bottom w:val="single" w:sz="12" w:space="0" w:color="000000"/>
            </w:tcBorders>
          </w:tcPr>
          <w:p w14:paraId="79859547" w14:textId="77777777" w:rsidR="00FA4AA8" w:rsidRDefault="0015611F">
            <w:pPr>
              <w:pStyle w:val="TableParagraph"/>
              <w:spacing w:before="24"/>
              <w:ind w:right="193"/>
              <w:jc w:val="right"/>
              <w:rPr>
                <w:b/>
                <w:sz w:val="18"/>
              </w:rPr>
            </w:pPr>
            <w:r>
              <w:rPr>
                <w:b/>
                <w:sz w:val="18"/>
              </w:rPr>
              <w:t>21,184,140</w:t>
            </w:r>
          </w:p>
        </w:tc>
        <w:tc>
          <w:tcPr>
            <w:tcW w:w="1191" w:type="dxa"/>
            <w:tcBorders>
              <w:bottom w:val="single" w:sz="12" w:space="0" w:color="000000"/>
            </w:tcBorders>
          </w:tcPr>
          <w:p w14:paraId="14BCB557" w14:textId="77777777" w:rsidR="00FA4AA8" w:rsidRDefault="0015611F">
            <w:pPr>
              <w:pStyle w:val="TableParagraph"/>
              <w:spacing w:before="24"/>
              <w:ind w:left="195"/>
              <w:rPr>
                <w:b/>
                <w:sz w:val="18"/>
              </w:rPr>
            </w:pPr>
            <w:r>
              <w:rPr>
                <w:b/>
                <w:sz w:val="18"/>
              </w:rPr>
              <w:t>21,184,140</w:t>
            </w:r>
          </w:p>
        </w:tc>
      </w:tr>
      <w:tr w:rsidR="00FA4AA8" w14:paraId="46E0A85F" w14:textId="77777777">
        <w:trPr>
          <w:trHeight w:val="307"/>
        </w:trPr>
        <w:tc>
          <w:tcPr>
            <w:tcW w:w="6367" w:type="dxa"/>
          </w:tcPr>
          <w:p w14:paraId="6945C8AE" w14:textId="77777777" w:rsidR="00FA4AA8" w:rsidRDefault="0015611F">
            <w:pPr>
              <w:pStyle w:val="TableParagraph"/>
              <w:spacing w:before="110" w:line="178" w:lineRule="exact"/>
              <w:ind w:left="50"/>
              <w:rPr>
                <w:b/>
                <w:sz w:val="18"/>
              </w:rPr>
            </w:pPr>
            <w:r>
              <w:rPr>
                <w:b/>
                <w:sz w:val="18"/>
              </w:rPr>
              <w:t>Balance at the end of the period</w:t>
            </w:r>
          </w:p>
        </w:tc>
        <w:tc>
          <w:tcPr>
            <w:tcW w:w="1401" w:type="dxa"/>
            <w:tcBorders>
              <w:top w:val="single" w:sz="12" w:space="0" w:color="000000"/>
              <w:bottom w:val="double" w:sz="3" w:space="0" w:color="000000"/>
            </w:tcBorders>
          </w:tcPr>
          <w:p w14:paraId="3530A5FC" w14:textId="77777777" w:rsidR="00FA4AA8" w:rsidRDefault="0015611F">
            <w:pPr>
              <w:pStyle w:val="TableParagraph"/>
              <w:spacing w:before="110" w:line="178" w:lineRule="exact"/>
              <w:ind w:right="193"/>
              <w:jc w:val="right"/>
              <w:rPr>
                <w:b/>
                <w:sz w:val="18"/>
              </w:rPr>
            </w:pPr>
            <w:r>
              <w:rPr>
                <w:b/>
                <w:sz w:val="18"/>
              </w:rPr>
              <w:t>21,184,140</w:t>
            </w:r>
          </w:p>
        </w:tc>
        <w:tc>
          <w:tcPr>
            <w:tcW w:w="1191" w:type="dxa"/>
            <w:tcBorders>
              <w:top w:val="single" w:sz="12" w:space="0" w:color="000000"/>
              <w:bottom w:val="double" w:sz="3" w:space="0" w:color="000000"/>
            </w:tcBorders>
          </w:tcPr>
          <w:p w14:paraId="265C882B" w14:textId="77777777" w:rsidR="00FA4AA8" w:rsidRDefault="0015611F">
            <w:pPr>
              <w:pStyle w:val="TableParagraph"/>
              <w:spacing w:before="110" w:line="178" w:lineRule="exact"/>
              <w:ind w:left="194"/>
              <w:rPr>
                <w:b/>
                <w:sz w:val="18"/>
              </w:rPr>
            </w:pPr>
            <w:r>
              <w:rPr>
                <w:b/>
                <w:sz w:val="18"/>
              </w:rPr>
              <w:t>21,184,140</w:t>
            </w:r>
          </w:p>
        </w:tc>
      </w:tr>
    </w:tbl>
    <w:p w14:paraId="33A81AAE" w14:textId="77777777" w:rsidR="00FA4AA8" w:rsidRDefault="00FA4AA8">
      <w:pPr>
        <w:pStyle w:val="BodyText"/>
        <w:spacing w:before="7"/>
        <w:rPr>
          <w:sz w:val="25"/>
        </w:rPr>
      </w:pPr>
    </w:p>
    <w:p w14:paraId="53145AB4" w14:textId="77777777" w:rsidR="00FA4AA8" w:rsidRDefault="0015611F">
      <w:pPr>
        <w:ind w:left="564"/>
        <w:rPr>
          <w:i/>
          <w:sz w:val="18"/>
        </w:rPr>
      </w:pPr>
      <w:r>
        <w:rPr>
          <w:rFonts w:ascii="Times New Roman"/>
          <w:sz w:val="18"/>
          <w:u w:val="single"/>
        </w:rPr>
        <w:t xml:space="preserve"> </w:t>
      </w:r>
      <w:r>
        <w:rPr>
          <w:i/>
          <w:sz w:val="18"/>
          <w:u w:val="single"/>
        </w:rPr>
        <w:t>Accounting Policy</w:t>
      </w:r>
    </w:p>
    <w:p w14:paraId="4EE88EE5" w14:textId="77777777" w:rsidR="00FA4AA8" w:rsidRDefault="00FA4AA8">
      <w:pPr>
        <w:pStyle w:val="BodyText"/>
        <w:spacing w:before="10"/>
        <w:rPr>
          <w:i/>
          <w:sz w:val="16"/>
        </w:rPr>
      </w:pPr>
    </w:p>
    <w:p w14:paraId="4ABEC96C" w14:textId="77777777" w:rsidR="00FA4AA8" w:rsidRDefault="0015611F">
      <w:pPr>
        <w:pStyle w:val="BodyText"/>
        <w:spacing w:before="94"/>
        <w:ind w:left="564"/>
      </w:pPr>
      <w:r>
        <w:t>Property, plant and equipment is carried at cost less, where applicable, any accumulated depreciation and impairment losses. Land is not depreciated.</w:t>
      </w:r>
    </w:p>
    <w:p w14:paraId="14421319" w14:textId="77777777" w:rsidR="00FA4AA8" w:rsidRDefault="00FA4AA8">
      <w:pPr>
        <w:pStyle w:val="BodyText"/>
        <w:spacing w:before="11"/>
        <w:rPr>
          <w:sz w:val="24"/>
        </w:rPr>
      </w:pPr>
    </w:p>
    <w:p w14:paraId="45E357E9" w14:textId="77777777" w:rsidR="00FA4AA8" w:rsidRDefault="0015611F">
      <w:pPr>
        <w:pStyle w:val="BodyText"/>
        <w:ind w:left="564" w:right="150"/>
      </w:pPr>
      <w:r>
        <w:t xml:space="preserve">Subsequent costs are not included in the asset's carrying </w:t>
      </w:r>
      <w:r w:rsidR="007719AF">
        <w:t>amount</w:t>
      </w:r>
      <w:r>
        <w:t xml:space="preserve"> or recognised as a separate asset, as appropriate, only when it is probable that future economic benefits associated with the item will flow to the Company and the cost of the item can be measured reliably. All other repairs and maintenance, where applicable, are charged to the statement of comprehensive income during the financial period in which they are</w:t>
      </w:r>
      <w:r>
        <w:rPr>
          <w:spacing w:val="3"/>
        </w:rPr>
        <w:t xml:space="preserve"> </w:t>
      </w:r>
      <w:r>
        <w:t>incurred.</w:t>
      </w:r>
    </w:p>
    <w:p w14:paraId="3DB05777" w14:textId="77777777" w:rsidR="00FA4AA8" w:rsidRDefault="00FA4AA8">
      <w:pPr>
        <w:pStyle w:val="BodyText"/>
        <w:spacing w:before="9"/>
        <w:rPr>
          <w:sz w:val="24"/>
        </w:rPr>
      </w:pPr>
    </w:p>
    <w:p w14:paraId="3118578F" w14:textId="77777777" w:rsidR="00FA4AA8" w:rsidRDefault="0015611F">
      <w:pPr>
        <w:pStyle w:val="BodyText"/>
        <w:ind w:left="564" w:right="132"/>
      </w:pPr>
      <w:r>
        <w:t>An asset's carrying amount is written down immediately to its recoverable amount if the asset's carrying amount is greater than its estimated recoverable amount.</w:t>
      </w:r>
    </w:p>
    <w:p w14:paraId="0DE3CEF0" w14:textId="77777777" w:rsidR="00FA4AA8" w:rsidRDefault="00FA4AA8">
      <w:pPr>
        <w:pStyle w:val="BodyText"/>
        <w:spacing w:before="9"/>
        <w:rPr>
          <w:sz w:val="16"/>
        </w:rPr>
      </w:pPr>
    </w:p>
    <w:p w14:paraId="77867353" w14:textId="77777777" w:rsidR="00FA4AA8" w:rsidRDefault="00FA4AA8">
      <w:pPr>
        <w:rPr>
          <w:sz w:val="16"/>
        </w:rPr>
        <w:sectPr w:rsidR="00FA4AA8">
          <w:pgSz w:w="11910" w:h="16840"/>
          <w:pgMar w:top="1580" w:right="880" w:bottom="720" w:left="840" w:header="1015" w:footer="523" w:gutter="0"/>
          <w:cols w:space="720"/>
        </w:sectPr>
      </w:pPr>
    </w:p>
    <w:p w14:paraId="7C032272" w14:textId="77777777" w:rsidR="00FA4AA8" w:rsidRDefault="0015611F">
      <w:pPr>
        <w:numPr>
          <w:ilvl w:val="0"/>
          <w:numId w:val="22"/>
        </w:numPr>
        <w:tabs>
          <w:tab w:val="left" w:pos="563"/>
          <w:tab w:val="left" w:pos="564"/>
        </w:tabs>
        <w:spacing w:before="94"/>
        <w:ind w:hanging="397"/>
        <w:rPr>
          <w:b/>
          <w:sz w:val="18"/>
        </w:rPr>
      </w:pPr>
      <w:r>
        <w:rPr>
          <w:b/>
          <w:sz w:val="18"/>
        </w:rPr>
        <w:t>Accrued</w:t>
      </w:r>
      <w:r>
        <w:rPr>
          <w:b/>
          <w:spacing w:val="-4"/>
          <w:sz w:val="18"/>
        </w:rPr>
        <w:t xml:space="preserve"> </w:t>
      </w:r>
      <w:r>
        <w:rPr>
          <w:b/>
          <w:sz w:val="18"/>
        </w:rPr>
        <w:t>expenses</w:t>
      </w:r>
    </w:p>
    <w:p w14:paraId="1F4D73D1" w14:textId="77777777" w:rsidR="00FA4AA8" w:rsidRDefault="00FA4AA8">
      <w:pPr>
        <w:pStyle w:val="BodyText"/>
        <w:rPr>
          <w:b/>
          <w:sz w:val="20"/>
        </w:rPr>
      </w:pPr>
    </w:p>
    <w:p w14:paraId="7960CAE6" w14:textId="77777777" w:rsidR="00FA4AA8" w:rsidRDefault="00FA4AA8">
      <w:pPr>
        <w:pStyle w:val="BodyText"/>
        <w:rPr>
          <w:b/>
          <w:sz w:val="20"/>
        </w:rPr>
      </w:pPr>
    </w:p>
    <w:p w14:paraId="1154DFAE" w14:textId="77777777" w:rsidR="00FA4AA8" w:rsidRDefault="00FA4AA8">
      <w:pPr>
        <w:pStyle w:val="BodyText"/>
        <w:spacing w:before="4"/>
        <w:rPr>
          <w:b/>
          <w:sz w:val="17"/>
        </w:rPr>
      </w:pPr>
    </w:p>
    <w:p w14:paraId="0015CF16" w14:textId="77777777" w:rsidR="00FA4AA8" w:rsidRDefault="0015611F">
      <w:pPr>
        <w:ind w:left="563"/>
        <w:rPr>
          <w:b/>
          <w:sz w:val="18"/>
        </w:rPr>
      </w:pPr>
      <w:r>
        <w:rPr>
          <w:b/>
          <w:sz w:val="18"/>
        </w:rPr>
        <w:t>Current</w:t>
      </w:r>
    </w:p>
    <w:p w14:paraId="5FB62D4C" w14:textId="77777777" w:rsidR="00FA4AA8" w:rsidRDefault="0015611F">
      <w:pPr>
        <w:pStyle w:val="BodyText"/>
        <w:spacing w:before="1"/>
        <w:rPr>
          <w:b/>
          <w:sz w:val="29"/>
        </w:rPr>
      </w:pPr>
      <w:r>
        <w:br w:type="column"/>
      </w:r>
    </w:p>
    <w:p w14:paraId="6AF4A030" w14:textId="77777777" w:rsidR="00FA4AA8" w:rsidRDefault="0015611F">
      <w:pPr>
        <w:ind w:left="61" w:right="441"/>
        <w:jc w:val="center"/>
        <w:rPr>
          <w:b/>
          <w:sz w:val="18"/>
        </w:rPr>
      </w:pPr>
      <w:r>
        <w:rPr>
          <w:b/>
          <w:sz w:val="18"/>
        </w:rPr>
        <w:t>2018</w:t>
      </w:r>
    </w:p>
    <w:p w14:paraId="45B24846" w14:textId="77777777" w:rsidR="00FA4AA8" w:rsidRDefault="0015611F">
      <w:pPr>
        <w:spacing w:before="66"/>
        <w:ind w:right="381"/>
        <w:jc w:val="center"/>
        <w:rPr>
          <w:b/>
          <w:sz w:val="18"/>
        </w:rPr>
      </w:pPr>
      <w:r>
        <w:rPr>
          <w:b/>
          <w:sz w:val="18"/>
        </w:rPr>
        <w:t>$</w:t>
      </w:r>
    </w:p>
    <w:p w14:paraId="638B8290" w14:textId="77777777" w:rsidR="00FA4AA8" w:rsidRDefault="00FA4AA8">
      <w:pPr>
        <w:jc w:val="center"/>
        <w:rPr>
          <w:sz w:val="18"/>
        </w:rPr>
        <w:sectPr w:rsidR="00FA4AA8">
          <w:type w:val="continuous"/>
          <w:pgSz w:w="11910" w:h="16840"/>
          <w:pgMar w:top="20" w:right="880" w:bottom="0" w:left="840" w:header="720" w:footer="720" w:gutter="0"/>
          <w:cols w:num="2" w:space="720" w:equalWidth="0">
            <w:col w:w="2199" w:space="6866"/>
            <w:col w:w="1125"/>
          </w:cols>
        </w:sectPr>
      </w:pPr>
    </w:p>
    <w:p w14:paraId="7A1CC60B" w14:textId="77777777" w:rsidR="00FA4AA8" w:rsidRDefault="0015611F">
      <w:pPr>
        <w:pStyle w:val="BodyText"/>
        <w:tabs>
          <w:tab w:val="left" w:pos="9542"/>
        </w:tabs>
        <w:spacing w:before="29" w:after="22"/>
        <w:ind w:left="564"/>
        <w:rPr>
          <w:b/>
        </w:rPr>
      </w:pPr>
      <w:r>
        <w:t>External audit</w:t>
      </w:r>
      <w:r>
        <w:rPr>
          <w:spacing w:val="-1"/>
        </w:rPr>
        <w:t xml:space="preserve"> </w:t>
      </w:r>
      <w:r>
        <w:t>costs</w:t>
      </w:r>
      <w:r>
        <w:tab/>
      </w:r>
      <w:r>
        <w:rPr>
          <w:b/>
        </w:rPr>
        <w:t>4,200</w:t>
      </w:r>
    </w:p>
    <w:p w14:paraId="3CE69E3D" w14:textId="77777777" w:rsidR="00FA4AA8" w:rsidRDefault="007E2441">
      <w:pPr>
        <w:pStyle w:val="BodyText"/>
        <w:spacing w:line="24" w:lineRule="exact"/>
        <w:ind w:left="8782"/>
        <w:rPr>
          <w:sz w:val="2"/>
        </w:rPr>
      </w:pPr>
      <w:r>
        <w:rPr>
          <w:noProof/>
          <w:sz w:val="2"/>
          <w:lang w:val="en-AU" w:eastAsia="en-AU"/>
        </w:rPr>
        <mc:AlternateContent>
          <mc:Choice Requires="wpg">
            <w:drawing>
              <wp:inline distT="0" distB="0" distL="0" distR="0" wp14:anchorId="4CA4BD9B" wp14:editId="670AB20E">
                <wp:extent cx="822960" cy="15875"/>
                <wp:effectExtent l="9525" t="9525" r="5715" b="3175"/>
                <wp:docPr id="268"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15875"/>
                          <a:chOff x="0" y="0"/>
                          <a:chExt cx="1296" cy="25"/>
                        </a:xfrm>
                      </wpg:grpSpPr>
                      <wps:wsp>
                        <wps:cNvPr id="269" name="Line 42"/>
                        <wps:cNvCnPr>
                          <a:cxnSpLocks noChangeShapeType="1"/>
                        </wps:cNvCnPr>
                        <wps:spPr bwMode="auto">
                          <a:xfrm>
                            <a:off x="0" y="4"/>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270" name="Line 41"/>
                        <wps:cNvCnPr>
                          <a:cxnSpLocks noChangeShapeType="1"/>
                        </wps:cNvCnPr>
                        <wps:spPr bwMode="auto">
                          <a:xfrm>
                            <a:off x="0" y="6"/>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271" name="Line 40"/>
                        <wps:cNvCnPr>
                          <a:cxnSpLocks noChangeShapeType="1"/>
                        </wps:cNvCnPr>
                        <wps:spPr bwMode="auto">
                          <a:xfrm>
                            <a:off x="0" y="9"/>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272" name="Line 39"/>
                        <wps:cNvCnPr>
                          <a:cxnSpLocks noChangeShapeType="1"/>
                        </wps:cNvCnPr>
                        <wps:spPr bwMode="auto">
                          <a:xfrm>
                            <a:off x="0" y="11"/>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273" name="Line 38"/>
                        <wps:cNvCnPr>
                          <a:cxnSpLocks noChangeShapeType="1"/>
                        </wps:cNvCnPr>
                        <wps:spPr bwMode="auto">
                          <a:xfrm>
                            <a:off x="0" y="13"/>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274" name="Line 37"/>
                        <wps:cNvCnPr>
                          <a:cxnSpLocks noChangeShapeType="1"/>
                        </wps:cNvCnPr>
                        <wps:spPr bwMode="auto">
                          <a:xfrm>
                            <a:off x="0" y="16"/>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275" name="Line 36"/>
                        <wps:cNvCnPr>
                          <a:cxnSpLocks noChangeShapeType="1"/>
                        </wps:cNvCnPr>
                        <wps:spPr bwMode="auto">
                          <a:xfrm>
                            <a:off x="0" y="18"/>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276" name="Line 35"/>
                        <wps:cNvCnPr>
                          <a:cxnSpLocks noChangeShapeType="1"/>
                        </wps:cNvCnPr>
                        <wps:spPr bwMode="auto">
                          <a:xfrm>
                            <a:off x="0" y="21"/>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0BDAF7D" id="Group 34" o:spid="_x0000_s1026" style="width:64.8pt;height:1.25pt;mso-position-horizontal-relative:char;mso-position-vertical-relative:line" coordsize="129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">
                <v:line id="Line 42" o:spid="_x0000_s1027" style="position:absolute;visibility:visible;mso-wrap-style:square" from="0,4" to="12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" strokeweight=".1323mm"/>
                <v:line id="Line 41" o:spid="_x0000_s1028" style="position:absolute;visibility:visible;mso-wrap-style:square" from="0,6" to="12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" strokeweight=".1323mm"/>
                <v:line id="Line 40" o:spid="_x0000_s1029" style="position:absolute;visibility:visible;mso-wrap-style:square" from="0,9" to="12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" strokeweight=".1323mm"/>
                <v:line id="Line 39" o:spid="_x0000_s1030" style="position:absolute;visibility:visible;mso-wrap-style:square" from="0,11" to="12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" strokeweight=".1323mm"/>
                <v:line id="Line 38" o:spid="_x0000_s1031" style="position:absolute;visibility:visible;mso-wrap-style:square" from="0,13" to="129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" strokeweight=".1323mm"/>
                <v:line id="Line 37" o:spid="_x0000_s1032" style="position:absolute;visibility:visible;mso-wrap-style:square" from="0,16" to="129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" strokeweight=".1323mm"/>
                <v:line id="Line 36" o:spid="_x0000_s1033" style="position:absolute;visibility:visible;mso-wrap-style:square" from="0,18" to="129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" strokeweight=".1323mm"/>
                <v:line id="Line 35" o:spid="_x0000_s1034" style="position:absolute;visibility:visible;mso-wrap-style:square" from="0,21" to="12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" strokeweight=".1323mm"/>
                <w10:anchorlock/>
              </v:group>
            </w:pict>
          </mc:Fallback>
        </mc:AlternateContent>
      </w:r>
    </w:p>
    <w:p w14:paraId="765168F1" w14:textId="77777777" w:rsidR="00FA4AA8" w:rsidRDefault="0015611F">
      <w:pPr>
        <w:tabs>
          <w:tab w:val="left" w:pos="8786"/>
          <w:tab w:val="left" w:pos="9542"/>
        </w:tabs>
        <w:spacing w:before="113"/>
        <w:ind w:left="563"/>
        <w:rPr>
          <w:b/>
          <w:sz w:val="18"/>
        </w:rPr>
      </w:pPr>
      <w:r>
        <w:rPr>
          <w:b/>
          <w:sz w:val="18"/>
        </w:rPr>
        <w:t>Total accrued</w:t>
      </w:r>
      <w:r>
        <w:rPr>
          <w:b/>
          <w:spacing w:val="1"/>
          <w:sz w:val="18"/>
        </w:rPr>
        <w:t xml:space="preserve"> </w:t>
      </w:r>
      <w:r>
        <w:rPr>
          <w:b/>
          <w:sz w:val="18"/>
        </w:rPr>
        <w:t>expenses</w:t>
      </w:r>
      <w:r>
        <w:rPr>
          <w:b/>
          <w:sz w:val="18"/>
        </w:rPr>
        <w:tab/>
      </w:r>
      <w:r>
        <w:rPr>
          <w:b/>
          <w:sz w:val="18"/>
          <w:u w:val="double"/>
        </w:rPr>
        <w:t xml:space="preserve"> </w:t>
      </w:r>
      <w:r>
        <w:rPr>
          <w:b/>
          <w:sz w:val="18"/>
          <w:u w:val="double"/>
        </w:rPr>
        <w:tab/>
      </w:r>
      <w:r>
        <w:rPr>
          <w:b/>
          <w:sz w:val="18"/>
          <w:u w:val="single"/>
        </w:rPr>
        <w:t>4</w:t>
      </w:r>
      <w:r>
        <w:rPr>
          <w:b/>
          <w:sz w:val="18"/>
        </w:rPr>
        <w:t>,2</w:t>
      </w:r>
      <w:r>
        <w:rPr>
          <w:b/>
          <w:sz w:val="18"/>
          <w:u w:val="single"/>
        </w:rPr>
        <w:t>0</w:t>
      </w:r>
      <w:r>
        <w:rPr>
          <w:b/>
          <w:sz w:val="18"/>
        </w:rPr>
        <w:t>0</w:t>
      </w:r>
      <w:r>
        <w:rPr>
          <w:b/>
          <w:spacing w:val="-14"/>
          <w:sz w:val="18"/>
        </w:rPr>
        <w:t xml:space="preserve"> </w:t>
      </w:r>
    </w:p>
    <w:p w14:paraId="2C33DD23" w14:textId="77777777" w:rsidR="00FA4AA8" w:rsidRDefault="00FA4AA8">
      <w:pPr>
        <w:pStyle w:val="BodyText"/>
        <w:rPr>
          <w:b/>
          <w:sz w:val="21"/>
        </w:rPr>
      </w:pPr>
    </w:p>
    <w:p w14:paraId="5CB75DA8" w14:textId="77777777" w:rsidR="00FA4AA8" w:rsidRDefault="00FA4AA8">
      <w:pPr>
        <w:rPr>
          <w:sz w:val="21"/>
        </w:rPr>
        <w:sectPr w:rsidR="00FA4AA8">
          <w:type w:val="continuous"/>
          <w:pgSz w:w="11910" w:h="16840"/>
          <w:pgMar w:top="20" w:right="880" w:bottom="0" w:left="840" w:header="720" w:footer="720" w:gutter="0"/>
          <w:cols w:space="720"/>
        </w:sectPr>
      </w:pPr>
    </w:p>
    <w:p w14:paraId="0190DCFD" w14:textId="77777777" w:rsidR="00FA4AA8" w:rsidRDefault="0015611F">
      <w:pPr>
        <w:pStyle w:val="ListParagraph"/>
        <w:numPr>
          <w:ilvl w:val="0"/>
          <w:numId w:val="22"/>
        </w:numPr>
        <w:tabs>
          <w:tab w:val="left" w:pos="563"/>
          <w:tab w:val="left" w:pos="564"/>
        </w:tabs>
        <w:spacing w:before="94"/>
        <w:ind w:hanging="397"/>
        <w:rPr>
          <w:b/>
          <w:sz w:val="18"/>
        </w:rPr>
      </w:pPr>
      <w:r>
        <w:rPr>
          <w:b/>
          <w:sz w:val="18"/>
        </w:rPr>
        <w:t>Expenses</w:t>
      </w:r>
    </w:p>
    <w:p w14:paraId="2D7A790E" w14:textId="77777777" w:rsidR="00FA4AA8" w:rsidRDefault="00FA4AA8">
      <w:pPr>
        <w:pStyle w:val="BodyText"/>
        <w:rPr>
          <w:b/>
          <w:sz w:val="20"/>
        </w:rPr>
      </w:pPr>
    </w:p>
    <w:p w14:paraId="4E82C8D5" w14:textId="77777777" w:rsidR="00FA4AA8" w:rsidRDefault="00FA4AA8">
      <w:pPr>
        <w:pStyle w:val="BodyText"/>
        <w:rPr>
          <w:b/>
          <w:sz w:val="20"/>
        </w:rPr>
      </w:pPr>
    </w:p>
    <w:p w14:paraId="0A5F61F2" w14:textId="77777777" w:rsidR="00FA4AA8" w:rsidRDefault="00FA4AA8">
      <w:pPr>
        <w:pStyle w:val="BodyText"/>
        <w:spacing w:before="6"/>
        <w:rPr>
          <w:b/>
          <w:sz w:val="21"/>
        </w:rPr>
      </w:pPr>
    </w:p>
    <w:p w14:paraId="083D3285" w14:textId="77777777" w:rsidR="00FA4AA8" w:rsidRDefault="0015611F">
      <w:pPr>
        <w:ind w:left="587"/>
        <w:rPr>
          <w:b/>
          <w:sz w:val="18"/>
        </w:rPr>
      </w:pPr>
      <w:r>
        <w:rPr>
          <w:b/>
          <w:sz w:val="18"/>
        </w:rPr>
        <w:t>Other</w:t>
      </w:r>
      <w:r>
        <w:rPr>
          <w:b/>
          <w:spacing w:val="-5"/>
          <w:sz w:val="18"/>
        </w:rPr>
        <w:t xml:space="preserve"> </w:t>
      </w:r>
      <w:r>
        <w:rPr>
          <w:b/>
          <w:sz w:val="18"/>
        </w:rPr>
        <w:t>expenses</w:t>
      </w:r>
    </w:p>
    <w:p w14:paraId="2EC7D53C" w14:textId="77777777" w:rsidR="00FA4AA8" w:rsidRDefault="0015611F">
      <w:pPr>
        <w:pStyle w:val="BodyText"/>
        <w:spacing w:before="1"/>
        <w:rPr>
          <w:b/>
          <w:sz w:val="29"/>
        </w:rPr>
      </w:pPr>
      <w:r>
        <w:br w:type="column"/>
      </w:r>
    </w:p>
    <w:p w14:paraId="434C2C1F" w14:textId="77777777" w:rsidR="00FA4AA8" w:rsidRDefault="0015611F">
      <w:pPr>
        <w:ind w:left="61" w:right="441"/>
        <w:jc w:val="center"/>
        <w:rPr>
          <w:b/>
          <w:sz w:val="18"/>
        </w:rPr>
      </w:pPr>
      <w:r>
        <w:rPr>
          <w:b/>
          <w:sz w:val="18"/>
        </w:rPr>
        <w:t>2018</w:t>
      </w:r>
    </w:p>
    <w:p w14:paraId="5C458C7C" w14:textId="77777777" w:rsidR="00FA4AA8" w:rsidRDefault="0015611F">
      <w:pPr>
        <w:spacing w:before="66"/>
        <w:ind w:right="381"/>
        <w:jc w:val="center"/>
        <w:rPr>
          <w:b/>
          <w:sz w:val="18"/>
        </w:rPr>
      </w:pPr>
      <w:r>
        <w:rPr>
          <w:b/>
          <w:sz w:val="18"/>
        </w:rPr>
        <w:t>$</w:t>
      </w:r>
    </w:p>
    <w:p w14:paraId="732B481C" w14:textId="77777777" w:rsidR="00FA4AA8" w:rsidRDefault="00FA4AA8">
      <w:pPr>
        <w:jc w:val="center"/>
        <w:rPr>
          <w:sz w:val="18"/>
        </w:rPr>
        <w:sectPr w:rsidR="00FA4AA8">
          <w:type w:val="continuous"/>
          <w:pgSz w:w="11910" w:h="16840"/>
          <w:pgMar w:top="20" w:right="880" w:bottom="0" w:left="840" w:header="720" w:footer="720" w:gutter="0"/>
          <w:cols w:num="2" w:space="720" w:equalWidth="0">
            <w:col w:w="1983" w:space="7082"/>
            <w:col w:w="1125"/>
          </w:cols>
        </w:sectPr>
      </w:pPr>
    </w:p>
    <w:p w14:paraId="5E7A5CEC" w14:textId="77777777" w:rsidR="00FA4AA8" w:rsidRDefault="0015611F">
      <w:pPr>
        <w:tabs>
          <w:tab w:val="left" w:pos="9441"/>
        </w:tabs>
        <w:spacing w:before="31"/>
        <w:ind w:left="588"/>
        <w:rPr>
          <w:b/>
          <w:sz w:val="18"/>
        </w:rPr>
      </w:pPr>
      <w:r>
        <w:rPr>
          <w:sz w:val="18"/>
        </w:rPr>
        <w:t>Rates</w:t>
      </w:r>
      <w:r>
        <w:rPr>
          <w:spacing w:val="-1"/>
          <w:sz w:val="18"/>
        </w:rPr>
        <w:t xml:space="preserve"> </w:t>
      </w:r>
      <w:r>
        <w:rPr>
          <w:sz w:val="18"/>
        </w:rPr>
        <w:t>and</w:t>
      </w:r>
      <w:r>
        <w:rPr>
          <w:spacing w:val="-2"/>
          <w:sz w:val="18"/>
        </w:rPr>
        <w:t xml:space="preserve"> </w:t>
      </w:r>
      <w:r>
        <w:rPr>
          <w:sz w:val="18"/>
        </w:rPr>
        <w:t>taxes</w:t>
      </w:r>
      <w:r>
        <w:rPr>
          <w:sz w:val="18"/>
        </w:rPr>
        <w:tab/>
      </w:r>
      <w:r>
        <w:rPr>
          <w:b/>
          <w:sz w:val="18"/>
        </w:rPr>
        <w:t>66,674</w:t>
      </w:r>
    </w:p>
    <w:p w14:paraId="174BA23A" w14:textId="77777777" w:rsidR="00FA4AA8" w:rsidRDefault="0015611F">
      <w:pPr>
        <w:pStyle w:val="BodyText"/>
        <w:tabs>
          <w:tab w:val="left" w:pos="9542"/>
        </w:tabs>
        <w:spacing w:before="57" w:after="19"/>
        <w:ind w:left="588"/>
        <w:rPr>
          <w:b/>
        </w:rPr>
      </w:pPr>
      <w:r>
        <w:t>External audit</w:t>
      </w:r>
      <w:r>
        <w:rPr>
          <w:spacing w:val="-1"/>
        </w:rPr>
        <w:t xml:space="preserve"> </w:t>
      </w:r>
      <w:r>
        <w:t>costs</w:t>
      </w:r>
      <w:r>
        <w:tab/>
      </w:r>
      <w:r>
        <w:rPr>
          <w:b/>
        </w:rPr>
        <w:t>4,200</w:t>
      </w:r>
    </w:p>
    <w:p w14:paraId="4B9B5267" w14:textId="77777777" w:rsidR="00FA4AA8" w:rsidRDefault="007E2441">
      <w:pPr>
        <w:pStyle w:val="BodyText"/>
        <w:spacing w:line="24" w:lineRule="exact"/>
        <w:ind w:left="8782"/>
        <w:rPr>
          <w:sz w:val="2"/>
        </w:rPr>
      </w:pPr>
      <w:r>
        <w:rPr>
          <w:noProof/>
          <w:sz w:val="2"/>
          <w:lang w:val="en-AU" w:eastAsia="en-AU"/>
        </w:rPr>
        <mc:AlternateContent>
          <mc:Choice Requires="wpg">
            <w:drawing>
              <wp:inline distT="0" distB="0" distL="0" distR="0" wp14:anchorId="205DBF9E" wp14:editId="478CE5E4">
                <wp:extent cx="822960" cy="15875"/>
                <wp:effectExtent l="9525" t="9525" r="5715" b="3175"/>
                <wp:docPr id="25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15875"/>
                          <a:chOff x="0" y="0"/>
                          <a:chExt cx="1296" cy="25"/>
                        </a:xfrm>
                      </wpg:grpSpPr>
                      <wps:wsp>
                        <wps:cNvPr id="260" name="Line 33"/>
                        <wps:cNvCnPr>
                          <a:cxnSpLocks noChangeShapeType="1"/>
                        </wps:cNvCnPr>
                        <wps:spPr bwMode="auto">
                          <a:xfrm>
                            <a:off x="0" y="4"/>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261" name="Line 32"/>
                        <wps:cNvCnPr>
                          <a:cxnSpLocks noChangeShapeType="1"/>
                        </wps:cNvCnPr>
                        <wps:spPr bwMode="auto">
                          <a:xfrm>
                            <a:off x="0" y="6"/>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262" name="Line 31"/>
                        <wps:cNvCnPr>
                          <a:cxnSpLocks noChangeShapeType="1"/>
                        </wps:cNvCnPr>
                        <wps:spPr bwMode="auto">
                          <a:xfrm>
                            <a:off x="0" y="9"/>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263" name="Line 30"/>
                        <wps:cNvCnPr>
                          <a:cxnSpLocks noChangeShapeType="1"/>
                        </wps:cNvCnPr>
                        <wps:spPr bwMode="auto">
                          <a:xfrm>
                            <a:off x="0" y="11"/>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264" name="Line 29"/>
                        <wps:cNvCnPr>
                          <a:cxnSpLocks noChangeShapeType="1"/>
                        </wps:cNvCnPr>
                        <wps:spPr bwMode="auto">
                          <a:xfrm>
                            <a:off x="0" y="13"/>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265" name="Line 28"/>
                        <wps:cNvCnPr>
                          <a:cxnSpLocks noChangeShapeType="1"/>
                        </wps:cNvCnPr>
                        <wps:spPr bwMode="auto">
                          <a:xfrm>
                            <a:off x="0" y="16"/>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266" name="Line 27"/>
                        <wps:cNvCnPr>
                          <a:cxnSpLocks noChangeShapeType="1"/>
                        </wps:cNvCnPr>
                        <wps:spPr bwMode="auto">
                          <a:xfrm>
                            <a:off x="0" y="18"/>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267" name="Line 26"/>
                        <wps:cNvCnPr>
                          <a:cxnSpLocks noChangeShapeType="1"/>
                        </wps:cNvCnPr>
                        <wps:spPr bwMode="auto">
                          <a:xfrm>
                            <a:off x="0" y="21"/>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E07D91B" id="Group 25" o:spid="_x0000_s1026" style="width:64.8pt;height:1.25pt;mso-position-horizontal-relative:char;mso-position-vertical-relative:line" coordsize="129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">
                <v:line id="Line 33" o:spid="_x0000_s1027" style="position:absolute;visibility:visible;mso-wrap-style:square" from="0,4" to="12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" strokeweight=".1323mm"/>
                <v:line id="Line 32" o:spid="_x0000_s1028" style="position:absolute;visibility:visible;mso-wrap-style:square" from="0,6" to="12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" strokeweight=".1323mm"/>
                <v:line id="Line 31" o:spid="_x0000_s1029" style="position:absolute;visibility:visible;mso-wrap-style:square" from="0,9" to="12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" strokeweight=".1323mm"/>
                <v:line id="Line 30" o:spid="_x0000_s1030" style="position:absolute;visibility:visible;mso-wrap-style:square" from="0,11" to="12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" strokeweight=".1323mm"/>
                <v:line id="Line 29" o:spid="_x0000_s1031" style="position:absolute;visibility:visible;mso-wrap-style:square" from="0,13" to="129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" strokeweight=".1323mm"/>
                <v:line id="Line 28" o:spid="_x0000_s1032" style="position:absolute;visibility:visible;mso-wrap-style:square" from="0,16" to="129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" strokeweight=".1323mm"/>
                <v:line id="Line 27" o:spid="_x0000_s1033" style="position:absolute;visibility:visible;mso-wrap-style:square" from="0,18" to="129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" strokeweight=".1323mm"/>
                <v:line id="Line 26" o:spid="_x0000_s1034" style="position:absolute;visibility:visible;mso-wrap-style:square" from="0,21" to="12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" strokeweight=".1323mm"/>
                <w10:anchorlock/>
              </v:group>
            </w:pict>
          </mc:Fallback>
        </mc:AlternateContent>
      </w:r>
    </w:p>
    <w:p w14:paraId="20B51043" w14:textId="77777777" w:rsidR="00FA4AA8" w:rsidRDefault="0015611F">
      <w:pPr>
        <w:tabs>
          <w:tab w:val="left" w:pos="8786"/>
          <w:tab w:val="left" w:pos="9441"/>
        </w:tabs>
        <w:spacing w:before="113"/>
        <w:ind w:left="587"/>
        <w:rPr>
          <w:b/>
          <w:sz w:val="18"/>
        </w:rPr>
      </w:pPr>
      <w:r>
        <w:rPr>
          <w:b/>
          <w:sz w:val="18"/>
        </w:rPr>
        <w:t>Total other</w:t>
      </w:r>
      <w:r>
        <w:rPr>
          <w:b/>
          <w:spacing w:val="-1"/>
          <w:sz w:val="18"/>
        </w:rPr>
        <w:t xml:space="preserve"> </w:t>
      </w:r>
      <w:r>
        <w:rPr>
          <w:b/>
          <w:sz w:val="18"/>
        </w:rPr>
        <w:t>expenses</w:t>
      </w:r>
      <w:r>
        <w:rPr>
          <w:b/>
          <w:sz w:val="18"/>
        </w:rPr>
        <w:tab/>
      </w:r>
      <w:r>
        <w:rPr>
          <w:b/>
          <w:sz w:val="18"/>
          <w:u w:val="double"/>
        </w:rPr>
        <w:t xml:space="preserve"> </w:t>
      </w:r>
      <w:r>
        <w:rPr>
          <w:b/>
          <w:sz w:val="18"/>
          <w:u w:val="double"/>
        </w:rPr>
        <w:tab/>
      </w:r>
      <w:r>
        <w:rPr>
          <w:b/>
          <w:sz w:val="18"/>
          <w:u w:val="single"/>
        </w:rPr>
        <w:t>70</w:t>
      </w:r>
      <w:r>
        <w:rPr>
          <w:b/>
          <w:sz w:val="18"/>
        </w:rPr>
        <w:t>,</w:t>
      </w:r>
      <w:r>
        <w:rPr>
          <w:b/>
          <w:sz w:val="18"/>
          <w:u w:val="single"/>
        </w:rPr>
        <w:t>87</w:t>
      </w:r>
      <w:r>
        <w:rPr>
          <w:b/>
          <w:sz w:val="18"/>
        </w:rPr>
        <w:t>4</w:t>
      </w:r>
      <w:r>
        <w:rPr>
          <w:b/>
          <w:spacing w:val="-12"/>
          <w:sz w:val="18"/>
        </w:rPr>
        <w:t xml:space="preserve"> </w:t>
      </w:r>
    </w:p>
    <w:p w14:paraId="5D3DA1D2" w14:textId="77777777" w:rsidR="00FA4AA8" w:rsidRDefault="00FA4AA8">
      <w:pPr>
        <w:rPr>
          <w:sz w:val="18"/>
        </w:rPr>
        <w:sectPr w:rsidR="00FA4AA8">
          <w:type w:val="continuous"/>
          <w:pgSz w:w="11910" w:h="16840"/>
          <w:pgMar w:top="20" w:right="880" w:bottom="0" w:left="840" w:header="720" w:footer="720" w:gutter="0"/>
          <w:cols w:space="720"/>
        </w:sectPr>
      </w:pPr>
    </w:p>
    <w:p w14:paraId="2075DA12" w14:textId="77777777" w:rsidR="00FA4AA8" w:rsidRDefault="00FA4AA8">
      <w:pPr>
        <w:pStyle w:val="BodyText"/>
        <w:spacing w:before="6"/>
        <w:rPr>
          <w:b/>
          <w:sz w:val="21"/>
        </w:rPr>
      </w:pPr>
    </w:p>
    <w:p w14:paraId="643BA3C7" w14:textId="77777777" w:rsidR="00FA4AA8" w:rsidRDefault="0015611F">
      <w:pPr>
        <w:spacing w:before="91"/>
        <w:ind w:left="167"/>
        <w:rPr>
          <w:b/>
          <w:sz w:val="28"/>
        </w:rPr>
      </w:pPr>
      <w:r>
        <w:rPr>
          <w:b/>
          <w:sz w:val="28"/>
        </w:rPr>
        <w:t>Notes to the Financial Statements</w:t>
      </w:r>
    </w:p>
    <w:p w14:paraId="5F06EED2" w14:textId="77777777" w:rsidR="00FA4AA8" w:rsidRDefault="0015611F">
      <w:pPr>
        <w:spacing w:before="54"/>
        <w:ind w:left="167"/>
        <w:rPr>
          <w:b/>
        </w:rPr>
      </w:pPr>
      <w:r>
        <w:rPr>
          <w:b/>
        </w:rPr>
        <w:t>For the initial Period 4 June 2018 to 31 December 2018</w:t>
      </w:r>
    </w:p>
    <w:p w14:paraId="2804CCDA" w14:textId="77777777" w:rsidR="00FA4AA8" w:rsidRDefault="00FA4AA8">
      <w:pPr>
        <w:pStyle w:val="BodyText"/>
        <w:rPr>
          <w:b/>
          <w:sz w:val="24"/>
        </w:rPr>
      </w:pPr>
    </w:p>
    <w:p w14:paraId="5B338383" w14:textId="77777777" w:rsidR="00FA4AA8" w:rsidRDefault="00FA4AA8">
      <w:pPr>
        <w:pStyle w:val="BodyText"/>
        <w:rPr>
          <w:b/>
          <w:sz w:val="34"/>
        </w:rPr>
      </w:pPr>
    </w:p>
    <w:p w14:paraId="62491AE5" w14:textId="77777777" w:rsidR="00FA4AA8" w:rsidRDefault="0015611F">
      <w:pPr>
        <w:pStyle w:val="ListParagraph"/>
        <w:numPr>
          <w:ilvl w:val="0"/>
          <w:numId w:val="22"/>
        </w:numPr>
        <w:tabs>
          <w:tab w:val="left" w:pos="563"/>
          <w:tab w:val="left" w:pos="564"/>
        </w:tabs>
        <w:spacing w:before="1"/>
        <w:ind w:hanging="397"/>
        <w:rPr>
          <w:b/>
          <w:sz w:val="18"/>
        </w:rPr>
      </w:pPr>
      <w:r>
        <w:rPr>
          <w:b/>
          <w:sz w:val="18"/>
        </w:rPr>
        <w:t>Joint Operations</w:t>
      </w:r>
    </w:p>
    <w:p w14:paraId="2999A905" w14:textId="77777777" w:rsidR="00FA4AA8" w:rsidRDefault="00FA4AA8">
      <w:pPr>
        <w:pStyle w:val="BodyText"/>
        <w:spacing w:before="7"/>
        <w:rPr>
          <w:b/>
          <w:sz w:val="26"/>
        </w:rPr>
      </w:pPr>
    </w:p>
    <w:p w14:paraId="06F5F8E4" w14:textId="77777777" w:rsidR="00FA4AA8" w:rsidRDefault="0015611F">
      <w:pPr>
        <w:ind w:left="563"/>
        <w:rPr>
          <w:b/>
          <w:i/>
          <w:sz w:val="18"/>
        </w:rPr>
      </w:pPr>
      <w:r>
        <w:rPr>
          <w:b/>
          <w:i/>
          <w:sz w:val="18"/>
        </w:rPr>
        <w:t>Joint operations with Bieson Pty Ltd</w:t>
      </w:r>
    </w:p>
    <w:p w14:paraId="2559EEAA" w14:textId="77777777" w:rsidR="00FA4AA8" w:rsidRDefault="00FA4AA8">
      <w:pPr>
        <w:pStyle w:val="BodyText"/>
        <w:spacing w:before="5"/>
        <w:rPr>
          <w:b/>
          <w:i/>
          <w:sz w:val="25"/>
        </w:rPr>
      </w:pPr>
    </w:p>
    <w:p w14:paraId="0625AD34" w14:textId="77777777" w:rsidR="00FA4AA8" w:rsidRDefault="0015611F">
      <w:pPr>
        <w:pStyle w:val="BodyText"/>
        <w:ind w:left="563" w:right="185"/>
      </w:pPr>
      <w:r>
        <w:t>The Company entered into an agreement with Bieson Pty Limited to acquire land and construct a building at Hassall St., Parramatta NSW to create an Engineering Innovation Hub that will accommodate teaching and research, strategic partners and commercial tenants. Both parties each have a 50% interest in the development and operation and will share equally in the project expenses, assets, liabilities and income during the operation phase. Due to decision making being shared equally, and the equal sharing of costs and output, the Company has determined this to be a jointly controlled</w:t>
      </w:r>
      <w:r>
        <w:rPr>
          <w:spacing w:val="-3"/>
        </w:rPr>
        <w:t xml:space="preserve"> </w:t>
      </w:r>
      <w:r>
        <w:t>operation.</w:t>
      </w:r>
    </w:p>
    <w:p w14:paraId="6E725544" w14:textId="77777777" w:rsidR="00FA4AA8" w:rsidRDefault="0015611F">
      <w:pPr>
        <w:spacing w:before="30"/>
        <w:ind w:left="7317" w:right="1261" w:hanging="89"/>
        <w:rPr>
          <w:b/>
          <w:sz w:val="18"/>
        </w:rPr>
      </w:pPr>
      <w:r>
        <w:rPr>
          <w:b/>
          <w:sz w:val="18"/>
        </w:rPr>
        <w:t>Ownership interest/ voting rights held</w:t>
      </w:r>
    </w:p>
    <w:p w14:paraId="333E0671" w14:textId="77777777" w:rsidR="00FA4AA8" w:rsidRDefault="0015611F">
      <w:pPr>
        <w:spacing w:before="66"/>
        <w:ind w:left="5359"/>
        <w:rPr>
          <w:b/>
          <w:sz w:val="18"/>
        </w:rPr>
      </w:pPr>
      <w:r>
        <w:rPr>
          <w:b/>
          <w:sz w:val="18"/>
        </w:rPr>
        <w:t>Principal place of</w:t>
      </w:r>
    </w:p>
    <w:p w14:paraId="6D89F6E3" w14:textId="77777777" w:rsidR="00FA4AA8" w:rsidRDefault="0015611F">
      <w:pPr>
        <w:tabs>
          <w:tab w:val="left" w:pos="3024"/>
          <w:tab w:val="left" w:pos="5716"/>
          <w:tab w:val="right" w:pos="8273"/>
        </w:tabs>
        <w:spacing w:line="207" w:lineRule="exact"/>
        <w:ind w:left="590"/>
        <w:rPr>
          <w:b/>
          <w:sz w:val="18"/>
        </w:rPr>
      </w:pPr>
      <w:r>
        <w:rPr>
          <w:b/>
          <w:sz w:val="18"/>
        </w:rPr>
        <w:t>Name of joint</w:t>
      </w:r>
      <w:r>
        <w:rPr>
          <w:b/>
          <w:spacing w:val="1"/>
          <w:sz w:val="18"/>
        </w:rPr>
        <w:t xml:space="preserve"> </w:t>
      </w:r>
      <w:r>
        <w:rPr>
          <w:b/>
          <w:sz w:val="18"/>
        </w:rPr>
        <w:t>operation</w:t>
      </w:r>
      <w:r>
        <w:rPr>
          <w:b/>
          <w:sz w:val="18"/>
        </w:rPr>
        <w:tab/>
        <w:t>Nature</w:t>
      </w:r>
      <w:r>
        <w:rPr>
          <w:b/>
          <w:spacing w:val="-2"/>
          <w:sz w:val="18"/>
        </w:rPr>
        <w:t xml:space="preserve"> </w:t>
      </w:r>
      <w:r>
        <w:rPr>
          <w:b/>
          <w:sz w:val="18"/>
        </w:rPr>
        <w:t>of</w:t>
      </w:r>
      <w:r>
        <w:rPr>
          <w:b/>
          <w:spacing w:val="-1"/>
          <w:sz w:val="18"/>
        </w:rPr>
        <w:t xml:space="preserve"> </w:t>
      </w:r>
      <w:r>
        <w:rPr>
          <w:b/>
          <w:sz w:val="18"/>
        </w:rPr>
        <w:t>relationship</w:t>
      </w:r>
      <w:r>
        <w:rPr>
          <w:b/>
          <w:sz w:val="18"/>
        </w:rPr>
        <w:tab/>
        <w:t>business</w:t>
      </w:r>
      <w:r>
        <w:rPr>
          <w:b/>
          <w:sz w:val="18"/>
        </w:rPr>
        <w:tab/>
        <w:t>2018</w:t>
      </w:r>
    </w:p>
    <w:p w14:paraId="60D15A80" w14:textId="77777777" w:rsidR="00FA4AA8" w:rsidRDefault="00FA4AA8">
      <w:pPr>
        <w:spacing w:line="207" w:lineRule="exact"/>
        <w:rPr>
          <w:sz w:val="18"/>
        </w:rPr>
        <w:sectPr w:rsidR="00FA4AA8">
          <w:pgSz w:w="11910" w:h="16840"/>
          <w:pgMar w:top="1580" w:right="880" w:bottom="720" w:left="840" w:header="1015" w:footer="523" w:gutter="0"/>
          <w:cols w:space="720"/>
        </w:sectPr>
      </w:pPr>
    </w:p>
    <w:p w14:paraId="5A89BA0A" w14:textId="77777777" w:rsidR="00FA4AA8" w:rsidRDefault="0015611F">
      <w:pPr>
        <w:pStyle w:val="BodyText"/>
        <w:spacing w:before="64"/>
        <w:ind w:left="590" w:right="-9"/>
      </w:pPr>
      <w:r>
        <w:t>Parramatta land and building development</w:t>
      </w:r>
    </w:p>
    <w:p w14:paraId="70B2EDCB" w14:textId="77777777" w:rsidR="00FA4AA8" w:rsidRDefault="0015611F">
      <w:pPr>
        <w:pStyle w:val="BodyText"/>
        <w:spacing w:before="62" w:line="207" w:lineRule="exact"/>
        <w:ind w:left="513"/>
      </w:pPr>
      <w:r>
        <w:br w:type="column"/>
        <w:t>Jointly controlled operation</w:t>
      </w:r>
    </w:p>
    <w:p w14:paraId="1B596E9F" w14:textId="77777777" w:rsidR="00FA4AA8" w:rsidRDefault="0015611F">
      <w:pPr>
        <w:pStyle w:val="BodyText"/>
        <w:tabs>
          <w:tab w:val="left" w:pos="3076"/>
          <w:tab w:val="left" w:pos="5474"/>
        </w:tabs>
        <w:spacing w:line="207" w:lineRule="exact"/>
        <w:ind w:left="513"/>
        <w:rPr>
          <w:b/>
        </w:rPr>
      </w:pPr>
      <w:r>
        <w:t>with Bieson</w:t>
      </w:r>
      <w:r>
        <w:rPr>
          <w:spacing w:val="2"/>
        </w:rPr>
        <w:t xml:space="preserve"> </w:t>
      </w:r>
      <w:r>
        <w:t>Pty</w:t>
      </w:r>
      <w:r>
        <w:rPr>
          <w:spacing w:val="-3"/>
        </w:rPr>
        <w:t xml:space="preserve"> </w:t>
      </w:r>
      <w:r>
        <w:t>Limited</w:t>
      </w:r>
      <w:r>
        <w:tab/>
        <w:t>Parramatta</w:t>
      </w:r>
      <w:r>
        <w:rPr>
          <w:spacing w:val="-1"/>
        </w:rPr>
        <w:t xml:space="preserve"> </w:t>
      </w:r>
      <w:r>
        <w:t>NSW</w:t>
      </w:r>
      <w:r>
        <w:tab/>
      </w:r>
      <w:r>
        <w:rPr>
          <w:b/>
        </w:rPr>
        <w:t>50.00</w:t>
      </w:r>
    </w:p>
    <w:p w14:paraId="50F59690" w14:textId="77777777" w:rsidR="00FA4AA8" w:rsidRDefault="00FA4AA8">
      <w:pPr>
        <w:spacing w:line="207" w:lineRule="exact"/>
        <w:sectPr w:rsidR="00FA4AA8">
          <w:type w:val="continuous"/>
          <w:pgSz w:w="11910" w:h="16840"/>
          <w:pgMar w:top="20" w:right="880" w:bottom="0" w:left="840" w:header="720" w:footer="720" w:gutter="0"/>
          <w:cols w:num="2" w:space="720" w:equalWidth="0">
            <w:col w:w="2303" w:space="40"/>
            <w:col w:w="7847"/>
          </w:cols>
        </w:sectPr>
      </w:pPr>
    </w:p>
    <w:p w14:paraId="789DF31E" w14:textId="77777777" w:rsidR="00FA4AA8" w:rsidRDefault="00FA4AA8">
      <w:pPr>
        <w:pStyle w:val="BodyText"/>
        <w:rPr>
          <w:b/>
          <w:sz w:val="19"/>
        </w:rPr>
      </w:pPr>
    </w:p>
    <w:p w14:paraId="5E84B9D0" w14:textId="77777777" w:rsidR="00FA4AA8" w:rsidRDefault="0015611F">
      <w:pPr>
        <w:pStyle w:val="BodyText"/>
        <w:spacing w:before="95"/>
        <w:ind w:left="563"/>
      </w:pPr>
      <w:r>
        <w:t>The assets and liabilities employed in the above jointly controlled operations, including the Company's share of any assets and liabilities held jointly, are detailed below. The amounts are included in the financial statements under their respective categories.</w:t>
      </w:r>
    </w:p>
    <w:p w14:paraId="24D93A67" w14:textId="77777777" w:rsidR="00FA4AA8" w:rsidRDefault="0015611F">
      <w:pPr>
        <w:spacing w:before="32"/>
        <w:ind w:left="9213" w:right="483"/>
        <w:jc w:val="center"/>
        <w:rPr>
          <w:b/>
          <w:sz w:val="18"/>
        </w:rPr>
      </w:pPr>
      <w:r>
        <w:rPr>
          <w:b/>
          <w:sz w:val="18"/>
        </w:rPr>
        <w:t>2018</w:t>
      </w:r>
    </w:p>
    <w:p w14:paraId="3CA25317" w14:textId="77777777" w:rsidR="00FA4AA8" w:rsidRDefault="0015611F">
      <w:pPr>
        <w:spacing w:before="66"/>
        <w:ind w:left="8729"/>
        <w:jc w:val="center"/>
        <w:rPr>
          <w:b/>
          <w:sz w:val="18"/>
        </w:rPr>
      </w:pPr>
      <w:r>
        <w:rPr>
          <w:b/>
          <w:sz w:val="18"/>
        </w:rPr>
        <w:t>$</w:t>
      </w:r>
    </w:p>
    <w:p w14:paraId="3A5A72BF" w14:textId="77777777" w:rsidR="00FA4AA8" w:rsidRDefault="0015611F">
      <w:pPr>
        <w:spacing w:before="146"/>
        <w:ind w:left="607"/>
        <w:rPr>
          <w:b/>
          <w:sz w:val="18"/>
        </w:rPr>
      </w:pPr>
      <w:r>
        <w:rPr>
          <w:b/>
          <w:sz w:val="18"/>
        </w:rPr>
        <w:t>Statement of Financial Position</w:t>
      </w:r>
    </w:p>
    <w:p w14:paraId="3AF0D79D" w14:textId="77777777" w:rsidR="00FA4AA8" w:rsidRDefault="0015611F">
      <w:pPr>
        <w:tabs>
          <w:tab w:val="left" w:pos="9088"/>
        </w:tabs>
        <w:spacing w:before="31"/>
        <w:ind w:left="607"/>
        <w:rPr>
          <w:b/>
          <w:sz w:val="18"/>
        </w:rPr>
      </w:pPr>
      <w:r>
        <w:rPr>
          <w:sz w:val="18"/>
        </w:rPr>
        <w:t>Land</w:t>
      </w:r>
      <w:r>
        <w:rPr>
          <w:sz w:val="18"/>
        </w:rPr>
        <w:tab/>
      </w:r>
      <w:r>
        <w:rPr>
          <w:b/>
          <w:sz w:val="18"/>
        </w:rPr>
        <w:t>21,184,140</w:t>
      </w:r>
    </w:p>
    <w:p w14:paraId="448C6DCA" w14:textId="77777777" w:rsidR="00FA4AA8" w:rsidRDefault="0015611F">
      <w:pPr>
        <w:tabs>
          <w:tab w:val="left" w:pos="9189"/>
        </w:tabs>
        <w:spacing w:before="57"/>
        <w:ind w:left="607"/>
        <w:rPr>
          <w:b/>
          <w:sz w:val="18"/>
        </w:rPr>
      </w:pPr>
      <w:r>
        <w:rPr>
          <w:sz w:val="18"/>
        </w:rPr>
        <w:t>GST</w:t>
      </w:r>
      <w:r>
        <w:rPr>
          <w:spacing w:val="-3"/>
          <w:sz w:val="18"/>
        </w:rPr>
        <w:t xml:space="preserve"> </w:t>
      </w:r>
      <w:r>
        <w:rPr>
          <w:sz w:val="18"/>
        </w:rPr>
        <w:t>receivable</w:t>
      </w:r>
      <w:r>
        <w:rPr>
          <w:sz w:val="18"/>
        </w:rPr>
        <w:tab/>
      </w:r>
      <w:r>
        <w:rPr>
          <w:b/>
          <w:sz w:val="18"/>
        </w:rPr>
        <w:t>1,505,906</w:t>
      </w:r>
    </w:p>
    <w:p w14:paraId="5A5CAA5C" w14:textId="77777777" w:rsidR="00FA4AA8" w:rsidRDefault="00FA4AA8">
      <w:pPr>
        <w:rPr>
          <w:sz w:val="18"/>
        </w:rPr>
        <w:sectPr w:rsidR="00FA4AA8">
          <w:type w:val="continuous"/>
          <w:pgSz w:w="11910" w:h="16840"/>
          <w:pgMar w:top="20" w:right="880" w:bottom="0" w:left="840" w:header="720" w:footer="720" w:gutter="0"/>
          <w:cols w:space="720"/>
        </w:sectPr>
      </w:pPr>
    </w:p>
    <w:p w14:paraId="30006C4E" w14:textId="77777777" w:rsidR="00FA4AA8" w:rsidRDefault="00FA4AA8">
      <w:pPr>
        <w:pStyle w:val="BodyText"/>
        <w:spacing w:before="6"/>
        <w:rPr>
          <w:b/>
          <w:sz w:val="21"/>
        </w:rPr>
      </w:pPr>
    </w:p>
    <w:p w14:paraId="1B47C0DC" w14:textId="77777777" w:rsidR="00FA4AA8" w:rsidRDefault="0015611F">
      <w:pPr>
        <w:pStyle w:val="Heading2"/>
      </w:pPr>
      <w:r>
        <w:t>Notes to the Financial Statements</w:t>
      </w:r>
    </w:p>
    <w:p w14:paraId="2ABE6734" w14:textId="77777777" w:rsidR="00FA4AA8" w:rsidRDefault="0015611F">
      <w:pPr>
        <w:pStyle w:val="Heading6"/>
        <w:ind w:left="167"/>
      </w:pPr>
      <w:r>
        <w:t>For the initial Period 4 June 2018 to 31 December 2018</w:t>
      </w:r>
    </w:p>
    <w:p w14:paraId="658A00F8" w14:textId="77777777" w:rsidR="00FA4AA8" w:rsidRDefault="00FA4AA8">
      <w:pPr>
        <w:pStyle w:val="BodyText"/>
        <w:rPr>
          <w:b/>
          <w:sz w:val="24"/>
        </w:rPr>
      </w:pPr>
    </w:p>
    <w:p w14:paraId="7A540414" w14:textId="77777777" w:rsidR="00FA4AA8" w:rsidRDefault="00FA4AA8">
      <w:pPr>
        <w:pStyle w:val="BodyText"/>
        <w:rPr>
          <w:b/>
          <w:sz w:val="34"/>
        </w:rPr>
      </w:pPr>
    </w:p>
    <w:p w14:paraId="042D793E" w14:textId="77777777" w:rsidR="00FA4AA8" w:rsidRDefault="0015611F">
      <w:pPr>
        <w:numPr>
          <w:ilvl w:val="0"/>
          <w:numId w:val="22"/>
        </w:numPr>
        <w:tabs>
          <w:tab w:val="left" w:pos="563"/>
          <w:tab w:val="left" w:pos="564"/>
        </w:tabs>
        <w:spacing w:before="1"/>
        <w:ind w:hanging="397"/>
        <w:rPr>
          <w:b/>
          <w:sz w:val="18"/>
        </w:rPr>
      </w:pPr>
      <w:r>
        <w:rPr>
          <w:b/>
          <w:sz w:val="18"/>
        </w:rPr>
        <w:t>Related Parties</w:t>
      </w:r>
    </w:p>
    <w:p w14:paraId="5F90EA4E" w14:textId="77777777" w:rsidR="00FA4AA8" w:rsidRDefault="00FA4AA8">
      <w:pPr>
        <w:pStyle w:val="BodyText"/>
        <w:spacing w:before="7"/>
        <w:rPr>
          <w:b/>
          <w:sz w:val="26"/>
        </w:rPr>
      </w:pPr>
    </w:p>
    <w:p w14:paraId="5579A7AC" w14:textId="77777777" w:rsidR="00FA4AA8" w:rsidRDefault="0015611F">
      <w:pPr>
        <w:pStyle w:val="ListParagraph"/>
        <w:numPr>
          <w:ilvl w:val="1"/>
          <w:numId w:val="22"/>
        </w:numPr>
        <w:tabs>
          <w:tab w:val="left" w:pos="1130"/>
          <w:tab w:val="left" w:pos="1131"/>
        </w:tabs>
        <w:ind w:hanging="568"/>
        <w:rPr>
          <w:b/>
          <w:sz w:val="18"/>
        </w:rPr>
      </w:pPr>
      <w:r>
        <w:rPr>
          <w:b/>
          <w:sz w:val="18"/>
        </w:rPr>
        <w:t>Parent</w:t>
      </w:r>
      <w:r>
        <w:rPr>
          <w:b/>
          <w:spacing w:val="-1"/>
          <w:sz w:val="18"/>
        </w:rPr>
        <w:t xml:space="preserve"> </w:t>
      </w:r>
      <w:r>
        <w:rPr>
          <w:b/>
          <w:sz w:val="18"/>
        </w:rPr>
        <w:t>entity</w:t>
      </w:r>
    </w:p>
    <w:p w14:paraId="37225C8F" w14:textId="77777777" w:rsidR="00FA4AA8" w:rsidRDefault="00FA4AA8">
      <w:pPr>
        <w:pStyle w:val="BodyText"/>
        <w:spacing w:before="5"/>
        <w:rPr>
          <w:b/>
          <w:sz w:val="25"/>
        </w:rPr>
      </w:pPr>
    </w:p>
    <w:p w14:paraId="3C45A314" w14:textId="77777777" w:rsidR="00FA4AA8" w:rsidRDefault="0015611F">
      <w:pPr>
        <w:pStyle w:val="BodyText"/>
        <w:ind w:left="1130"/>
      </w:pPr>
      <w:r>
        <w:t>The ultimate parent entity of the Company is Western Sydney University.</w:t>
      </w:r>
    </w:p>
    <w:p w14:paraId="568E1AE5" w14:textId="77777777" w:rsidR="00FA4AA8" w:rsidRDefault="00FA4AA8">
      <w:pPr>
        <w:pStyle w:val="BodyText"/>
        <w:spacing w:before="7"/>
        <w:rPr>
          <w:sz w:val="26"/>
        </w:rPr>
      </w:pPr>
    </w:p>
    <w:p w14:paraId="24AA9ADC" w14:textId="77777777" w:rsidR="00FA4AA8" w:rsidRDefault="0015611F">
      <w:pPr>
        <w:numPr>
          <w:ilvl w:val="1"/>
          <w:numId w:val="22"/>
        </w:numPr>
        <w:tabs>
          <w:tab w:val="left" w:pos="1130"/>
          <w:tab w:val="left" w:pos="1131"/>
        </w:tabs>
        <w:spacing w:before="1"/>
        <w:ind w:hanging="568"/>
        <w:rPr>
          <w:b/>
          <w:sz w:val="18"/>
        </w:rPr>
      </w:pPr>
      <w:r>
        <w:rPr>
          <w:b/>
          <w:sz w:val="18"/>
        </w:rPr>
        <w:t>Loans to/from related</w:t>
      </w:r>
      <w:r>
        <w:rPr>
          <w:b/>
          <w:spacing w:val="4"/>
          <w:sz w:val="18"/>
        </w:rPr>
        <w:t xml:space="preserve"> </w:t>
      </w:r>
      <w:r>
        <w:rPr>
          <w:b/>
          <w:sz w:val="18"/>
        </w:rPr>
        <w:t>parties</w:t>
      </w:r>
    </w:p>
    <w:p w14:paraId="4003B154" w14:textId="77777777" w:rsidR="00FA4AA8" w:rsidRDefault="00FA4AA8">
      <w:pPr>
        <w:pStyle w:val="BodyText"/>
        <w:rPr>
          <w:b/>
          <w:sz w:val="9"/>
        </w:rPr>
      </w:pPr>
    </w:p>
    <w:p w14:paraId="68B6C153" w14:textId="77777777" w:rsidR="00FA4AA8" w:rsidRDefault="00FA4AA8">
      <w:pPr>
        <w:rPr>
          <w:sz w:val="9"/>
        </w:rPr>
        <w:sectPr w:rsidR="00FA4AA8">
          <w:pgSz w:w="11910" w:h="16840"/>
          <w:pgMar w:top="1580" w:right="880" w:bottom="720" w:left="840" w:header="1015" w:footer="523" w:gutter="0"/>
          <w:cols w:space="720"/>
        </w:sectPr>
      </w:pPr>
    </w:p>
    <w:p w14:paraId="462376E0" w14:textId="77777777" w:rsidR="00FA4AA8" w:rsidRDefault="00FA4AA8">
      <w:pPr>
        <w:pStyle w:val="BodyText"/>
        <w:rPr>
          <w:b/>
          <w:sz w:val="20"/>
        </w:rPr>
      </w:pPr>
    </w:p>
    <w:p w14:paraId="59945487" w14:textId="77777777" w:rsidR="00FA4AA8" w:rsidRDefault="00FA4AA8">
      <w:pPr>
        <w:pStyle w:val="BodyText"/>
        <w:rPr>
          <w:b/>
          <w:sz w:val="20"/>
        </w:rPr>
      </w:pPr>
    </w:p>
    <w:p w14:paraId="2A7BA120" w14:textId="77777777" w:rsidR="00FA4AA8" w:rsidRDefault="00FA4AA8">
      <w:pPr>
        <w:pStyle w:val="BodyText"/>
        <w:spacing w:before="2"/>
        <w:rPr>
          <w:b/>
          <w:sz w:val="25"/>
        </w:rPr>
      </w:pPr>
    </w:p>
    <w:p w14:paraId="63E1198C" w14:textId="77777777" w:rsidR="00FA4AA8" w:rsidRDefault="0015611F">
      <w:pPr>
        <w:ind w:left="1156"/>
        <w:rPr>
          <w:b/>
          <w:sz w:val="18"/>
        </w:rPr>
      </w:pPr>
      <w:r>
        <w:rPr>
          <w:b/>
          <w:sz w:val="18"/>
        </w:rPr>
        <w:t>Loan from Parent</w:t>
      </w:r>
    </w:p>
    <w:p w14:paraId="4D9DF04B" w14:textId="77777777" w:rsidR="00FA4AA8" w:rsidRDefault="0015611F">
      <w:pPr>
        <w:spacing w:before="95"/>
        <w:ind w:left="1139" w:right="533"/>
        <w:jc w:val="center"/>
        <w:rPr>
          <w:b/>
          <w:sz w:val="18"/>
        </w:rPr>
      </w:pPr>
      <w:r>
        <w:br w:type="column"/>
      </w:r>
      <w:r>
        <w:rPr>
          <w:b/>
          <w:sz w:val="18"/>
        </w:rPr>
        <w:t>2018</w:t>
      </w:r>
    </w:p>
    <w:p w14:paraId="3F183E52" w14:textId="77777777" w:rsidR="00FA4AA8" w:rsidRDefault="0015611F">
      <w:pPr>
        <w:spacing w:before="66"/>
        <w:ind w:left="605"/>
        <w:jc w:val="center"/>
        <w:rPr>
          <w:b/>
          <w:sz w:val="18"/>
        </w:rPr>
      </w:pPr>
      <w:r>
        <w:rPr>
          <w:b/>
          <w:sz w:val="18"/>
        </w:rPr>
        <w:t>$</w:t>
      </w:r>
    </w:p>
    <w:p w14:paraId="201B97CC" w14:textId="77777777" w:rsidR="00FA4AA8" w:rsidRDefault="00FA4AA8">
      <w:pPr>
        <w:jc w:val="center"/>
        <w:rPr>
          <w:sz w:val="18"/>
        </w:rPr>
        <w:sectPr w:rsidR="00FA4AA8">
          <w:type w:val="continuous"/>
          <w:pgSz w:w="11910" w:h="16840"/>
          <w:pgMar w:top="20" w:right="880" w:bottom="0" w:left="840" w:header="720" w:footer="720" w:gutter="0"/>
          <w:cols w:num="2" w:space="720" w:equalWidth="0">
            <w:col w:w="2692" w:space="5384"/>
            <w:col w:w="2114"/>
          </w:cols>
        </w:sectPr>
      </w:pPr>
    </w:p>
    <w:p w14:paraId="5D9B35F0" w14:textId="77777777" w:rsidR="00FA4AA8" w:rsidRDefault="0015611F">
      <w:pPr>
        <w:pStyle w:val="BodyText"/>
        <w:tabs>
          <w:tab w:val="left" w:pos="9403"/>
        </w:tabs>
        <w:spacing w:before="31"/>
        <w:ind w:left="1156"/>
        <w:rPr>
          <w:b/>
        </w:rPr>
      </w:pPr>
      <w:r>
        <w:t>Beginning of</w:t>
      </w:r>
      <w:r>
        <w:rPr>
          <w:spacing w:val="1"/>
        </w:rPr>
        <w:t xml:space="preserve"> </w:t>
      </w:r>
      <w:r>
        <w:t>the</w:t>
      </w:r>
      <w:r>
        <w:rPr>
          <w:spacing w:val="-2"/>
        </w:rPr>
        <w:t xml:space="preserve"> </w:t>
      </w:r>
      <w:r>
        <w:t>period</w:t>
      </w:r>
      <w:r>
        <w:tab/>
      </w:r>
      <w:r>
        <w:rPr>
          <w:b/>
        </w:rPr>
        <w:t>-</w:t>
      </w:r>
    </w:p>
    <w:p w14:paraId="2671274F" w14:textId="77777777" w:rsidR="00FA4AA8" w:rsidRDefault="0015611F">
      <w:pPr>
        <w:tabs>
          <w:tab w:val="left" w:pos="9026"/>
        </w:tabs>
        <w:spacing w:before="57"/>
        <w:ind w:left="1156"/>
        <w:rPr>
          <w:b/>
          <w:sz w:val="18"/>
        </w:rPr>
      </w:pPr>
      <w:r>
        <w:rPr>
          <w:sz w:val="18"/>
        </w:rPr>
        <w:t>Loan</w:t>
      </w:r>
      <w:r>
        <w:rPr>
          <w:spacing w:val="-2"/>
          <w:sz w:val="18"/>
        </w:rPr>
        <w:t xml:space="preserve"> </w:t>
      </w:r>
      <w:r>
        <w:rPr>
          <w:sz w:val="18"/>
        </w:rPr>
        <w:t>advanced</w:t>
      </w:r>
      <w:r>
        <w:rPr>
          <w:sz w:val="18"/>
        </w:rPr>
        <w:tab/>
      </w:r>
      <w:r>
        <w:rPr>
          <w:b/>
          <w:sz w:val="18"/>
        </w:rPr>
        <w:t>(22,756,720)</w:t>
      </w:r>
    </w:p>
    <w:p w14:paraId="5DFDC37C" w14:textId="77777777" w:rsidR="00FA4AA8" w:rsidRDefault="0015611F">
      <w:pPr>
        <w:tabs>
          <w:tab w:val="left" w:pos="9278"/>
        </w:tabs>
        <w:spacing w:before="57" w:after="19"/>
        <w:ind w:left="1156"/>
        <w:rPr>
          <w:b/>
          <w:sz w:val="18"/>
        </w:rPr>
      </w:pPr>
      <w:r>
        <w:rPr>
          <w:sz w:val="18"/>
        </w:rPr>
        <w:t>Interest charged</w:t>
      </w:r>
      <w:r>
        <w:rPr>
          <w:sz w:val="18"/>
        </w:rPr>
        <w:tab/>
      </w:r>
      <w:r>
        <w:rPr>
          <w:b/>
          <w:sz w:val="18"/>
        </w:rPr>
        <w:t>(299,972)</w:t>
      </w:r>
    </w:p>
    <w:p w14:paraId="6B415851" w14:textId="77777777" w:rsidR="00FA4AA8" w:rsidRDefault="007E2441">
      <w:pPr>
        <w:pStyle w:val="BodyText"/>
        <w:spacing w:line="24" w:lineRule="exact"/>
        <w:ind w:left="8782"/>
        <w:rPr>
          <w:sz w:val="2"/>
        </w:rPr>
      </w:pPr>
      <w:r>
        <w:rPr>
          <w:noProof/>
          <w:sz w:val="2"/>
          <w:lang w:val="en-AU" w:eastAsia="en-AU"/>
        </w:rPr>
        <mc:AlternateContent>
          <mc:Choice Requires="wpg">
            <w:drawing>
              <wp:inline distT="0" distB="0" distL="0" distR="0" wp14:anchorId="035C3F56" wp14:editId="04F6821D">
                <wp:extent cx="822960" cy="15875"/>
                <wp:effectExtent l="9525" t="9525" r="5715" b="3175"/>
                <wp:docPr id="25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15875"/>
                          <a:chOff x="0" y="0"/>
                          <a:chExt cx="1296" cy="25"/>
                        </a:xfrm>
                      </wpg:grpSpPr>
                      <wps:wsp>
                        <wps:cNvPr id="251" name="Line 24"/>
                        <wps:cNvCnPr>
                          <a:cxnSpLocks noChangeShapeType="1"/>
                        </wps:cNvCnPr>
                        <wps:spPr bwMode="auto">
                          <a:xfrm>
                            <a:off x="0" y="4"/>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252" name="Line 23"/>
                        <wps:cNvCnPr>
                          <a:cxnSpLocks noChangeShapeType="1"/>
                        </wps:cNvCnPr>
                        <wps:spPr bwMode="auto">
                          <a:xfrm>
                            <a:off x="0" y="6"/>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253" name="Line 22"/>
                        <wps:cNvCnPr>
                          <a:cxnSpLocks noChangeShapeType="1"/>
                        </wps:cNvCnPr>
                        <wps:spPr bwMode="auto">
                          <a:xfrm>
                            <a:off x="0" y="9"/>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254" name="Line 21"/>
                        <wps:cNvCnPr>
                          <a:cxnSpLocks noChangeShapeType="1"/>
                        </wps:cNvCnPr>
                        <wps:spPr bwMode="auto">
                          <a:xfrm>
                            <a:off x="0" y="11"/>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255" name="Line 20"/>
                        <wps:cNvCnPr>
                          <a:cxnSpLocks noChangeShapeType="1"/>
                        </wps:cNvCnPr>
                        <wps:spPr bwMode="auto">
                          <a:xfrm>
                            <a:off x="0" y="13"/>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256" name="Line 19"/>
                        <wps:cNvCnPr>
                          <a:cxnSpLocks noChangeShapeType="1"/>
                        </wps:cNvCnPr>
                        <wps:spPr bwMode="auto">
                          <a:xfrm>
                            <a:off x="0" y="16"/>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257" name="Line 18"/>
                        <wps:cNvCnPr>
                          <a:cxnSpLocks noChangeShapeType="1"/>
                        </wps:cNvCnPr>
                        <wps:spPr bwMode="auto">
                          <a:xfrm>
                            <a:off x="0" y="18"/>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258" name="Line 17"/>
                        <wps:cNvCnPr>
                          <a:cxnSpLocks noChangeShapeType="1"/>
                        </wps:cNvCnPr>
                        <wps:spPr bwMode="auto">
                          <a:xfrm>
                            <a:off x="0" y="21"/>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BFC4604" id="Group 16" o:spid="_x0000_s1026" style="width:64.8pt;height:1.25pt;mso-position-horizontal-relative:char;mso-position-vertical-relative:line" coordsize="129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">
                <v:line id="Line 24" o:spid="_x0000_s1027" style="position:absolute;visibility:visible;mso-wrap-style:square" from="0,4" to="12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" strokeweight=".1323mm"/>
                <v:line id="Line 23" o:spid="_x0000_s1028" style="position:absolute;visibility:visible;mso-wrap-style:square" from="0,6" to="12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" strokeweight=".1323mm"/>
                <v:line id="Line 22" o:spid="_x0000_s1029" style="position:absolute;visibility:visible;mso-wrap-style:square" from="0,9" to="12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" strokeweight=".1323mm"/>
                <v:line id="Line 21" o:spid="_x0000_s1030" style="position:absolute;visibility:visible;mso-wrap-style:square" from="0,11" to="12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" strokeweight=".1323mm"/>
                <v:line id="Line 20" o:spid="_x0000_s1031" style="position:absolute;visibility:visible;mso-wrap-style:square" from="0,13" to="129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" strokeweight=".1323mm"/>
                <v:line id="Line 19" o:spid="_x0000_s1032" style="position:absolute;visibility:visible;mso-wrap-style:square" from="0,16" to="129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" strokeweight=".1323mm"/>
                <v:line id="Line 18" o:spid="_x0000_s1033" style="position:absolute;visibility:visible;mso-wrap-style:square" from="0,18" to="129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" strokeweight=".1323mm"/>
                <v:line id="Line 17" o:spid="_x0000_s1034" style="position:absolute;visibility:visible;mso-wrap-style:square" from="0,21" to="12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" strokeweight=".1323mm"/>
                <w10:anchorlock/>
              </v:group>
            </w:pict>
          </mc:Fallback>
        </mc:AlternateContent>
      </w:r>
    </w:p>
    <w:p w14:paraId="44E60753" w14:textId="77777777" w:rsidR="00FA4AA8" w:rsidRDefault="0015611F">
      <w:pPr>
        <w:tabs>
          <w:tab w:val="left" w:pos="8786"/>
        </w:tabs>
        <w:spacing w:before="113"/>
        <w:ind w:left="1156"/>
        <w:rPr>
          <w:b/>
          <w:sz w:val="18"/>
        </w:rPr>
      </w:pPr>
      <w:r>
        <w:rPr>
          <w:b/>
          <w:sz w:val="18"/>
        </w:rPr>
        <w:t>End of period</w:t>
      </w:r>
      <w:r>
        <w:rPr>
          <w:b/>
          <w:sz w:val="18"/>
        </w:rPr>
        <w:tab/>
      </w:r>
      <w:r>
        <w:rPr>
          <w:b/>
          <w:sz w:val="18"/>
          <w:u w:val="double"/>
        </w:rPr>
        <w:t xml:space="preserve"> </w:t>
      </w:r>
      <w:r>
        <w:rPr>
          <w:b/>
          <w:sz w:val="18"/>
          <w:u w:val="single"/>
        </w:rPr>
        <w:t>(2</w:t>
      </w:r>
      <w:r>
        <w:rPr>
          <w:b/>
          <w:sz w:val="18"/>
        </w:rPr>
        <w:t>3,</w:t>
      </w:r>
      <w:r>
        <w:rPr>
          <w:b/>
          <w:sz w:val="18"/>
          <w:u w:val="single"/>
        </w:rPr>
        <w:t>05</w:t>
      </w:r>
      <w:r>
        <w:rPr>
          <w:b/>
          <w:sz w:val="18"/>
        </w:rPr>
        <w:t>6,</w:t>
      </w:r>
      <w:r>
        <w:rPr>
          <w:b/>
          <w:sz w:val="18"/>
          <w:u w:val="single"/>
        </w:rPr>
        <w:t>69</w:t>
      </w:r>
      <w:r>
        <w:rPr>
          <w:b/>
          <w:sz w:val="18"/>
        </w:rPr>
        <w:t>2)</w:t>
      </w:r>
      <w:r>
        <w:rPr>
          <w:b/>
          <w:spacing w:val="-23"/>
          <w:sz w:val="18"/>
        </w:rPr>
        <w:t xml:space="preserve"> </w:t>
      </w:r>
    </w:p>
    <w:p w14:paraId="47B3C435" w14:textId="77777777" w:rsidR="00FA4AA8" w:rsidRDefault="00FA4AA8">
      <w:pPr>
        <w:pStyle w:val="BodyText"/>
        <w:rPr>
          <w:b/>
          <w:sz w:val="20"/>
        </w:rPr>
      </w:pPr>
    </w:p>
    <w:p w14:paraId="567B02EA" w14:textId="77777777" w:rsidR="00FA4AA8" w:rsidRDefault="00FA4AA8">
      <w:pPr>
        <w:pStyle w:val="BodyText"/>
        <w:spacing w:before="2"/>
        <w:rPr>
          <w:b/>
          <w:sz w:val="23"/>
        </w:rPr>
      </w:pPr>
    </w:p>
    <w:p w14:paraId="482BA6CB" w14:textId="77777777" w:rsidR="00FA4AA8" w:rsidRDefault="0015611F">
      <w:pPr>
        <w:pStyle w:val="BodyText"/>
        <w:ind w:left="564" w:right="220"/>
      </w:pPr>
      <w:r>
        <w:t>The Company has a maximum loan facility limit of $127M from Western Sydney University. The loan facility was granted to pay for all costs and expenses in connection with the acquisition and development of land and leasing of constructed building at 6 Hassall St., Parramatta NSW.</w:t>
      </w:r>
    </w:p>
    <w:p w14:paraId="4DAAA724" w14:textId="77777777" w:rsidR="00FA4AA8" w:rsidRDefault="00FA4AA8">
      <w:pPr>
        <w:pStyle w:val="BodyText"/>
        <w:spacing w:before="10"/>
        <w:rPr>
          <w:sz w:val="24"/>
        </w:rPr>
      </w:pPr>
    </w:p>
    <w:p w14:paraId="26DAF169" w14:textId="77777777" w:rsidR="00FA4AA8" w:rsidRDefault="0015611F">
      <w:pPr>
        <w:ind w:left="564"/>
        <w:rPr>
          <w:i/>
          <w:sz w:val="18"/>
        </w:rPr>
      </w:pPr>
      <w:r>
        <w:rPr>
          <w:rFonts w:ascii="Times New Roman"/>
          <w:sz w:val="18"/>
          <w:u w:val="single"/>
        </w:rPr>
        <w:t xml:space="preserve"> </w:t>
      </w:r>
      <w:r>
        <w:rPr>
          <w:i/>
          <w:sz w:val="18"/>
          <w:u w:val="single"/>
        </w:rPr>
        <w:t>Accounting Policy</w:t>
      </w:r>
    </w:p>
    <w:p w14:paraId="386C211C" w14:textId="77777777" w:rsidR="00FA4AA8" w:rsidRDefault="00FA4AA8">
      <w:pPr>
        <w:pStyle w:val="BodyText"/>
        <w:spacing w:before="9"/>
        <w:rPr>
          <w:i/>
          <w:sz w:val="16"/>
        </w:rPr>
      </w:pPr>
    </w:p>
    <w:p w14:paraId="273F1274" w14:textId="77777777" w:rsidR="00FA4AA8" w:rsidRDefault="0015611F">
      <w:pPr>
        <w:pStyle w:val="BodyText"/>
        <w:spacing w:before="95"/>
        <w:ind w:left="564" w:right="185"/>
      </w:pPr>
      <w:r>
        <w:t>Borrowings are initially recognised at fair value, net of transaction costs incurred. Borrowings are subsequently measured at amortised cost. Any difference between the proceeds (net of transaction costs) and the redemption amount is recognised in the statement of comprehensive income over the period of the borrowings using the effective interest method. Fees paid on the establishment of loan facilities are recognised as transaction costs of the loan to the extent that it is probable that some or all of the facility will be drawn down. In this case, the fee is deferred until the drawdown occurs. To the extent there is no evidence that it is probable that some or all of the facility will be drawn down, the fee is capitalised as a prepayment for liquidity services and amortised over the period of the facility to which it relates.</w:t>
      </w:r>
    </w:p>
    <w:p w14:paraId="39B3B978" w14:textId="77777777" w:rsidR="00FA4AA8" w:rsidRDefault="00FA4AA8">
      <w:pPr>
        <w:pStyle w:val="BodyText"/>
        <w:spacing w:before="7"/>
        <w:rPr>
          <w:sz w:val="24"/>
        </w:rPr>
      </w:pPr>
    </w:p>
    <w:p w14:paraId="3EDEF574" w14:textId="77777777" w:rsidR="00FA4AA8" w:rsidRDefault="0015611F">
      <w:pPr>
        <w:pStyle w:val="BodyText"/>
        <w:ind w:left="564"/>
      </w:pPr>
      <w:r>
        <w:t>Borrowings are removed from the statement of financial position when the obligation specified in the contract is discharged, cancelled or expired.</w:t>
      </w:r>
    </w:p>
    <w:p w14:paraId="0A7B3A36" w14:textId="77777777" w:rsidR="00FA4AA8" w:rsidRDefault="00FA4AA8">
      <w:pPr>
        <w:pStyle w:val="BodyText"/>
        <w:spacing w:before="11"/>
        <w:rPr>
          <w:sz w:val="24"/>
        </w:rPr>
      </w:pPr>
    </w:p>
    <w:p w14:paraId="3474DFA4" w14:textId="77777777" w:rsidR="00FA4AA8" w:rsidRDefault="0015611F">
      <w:pPr>
        <w:pStyle w:val="BodyText"/>
        <w:ind w:left="564" w:right="132"/>
      </w:pPr>
      <w:r>
        <w:t>Borrowings are classified as current liabilities unless the company has an unconditional right to defer the settlement of the liability for at least 12 months after the reporting period.</w:t>
      </w:r>
    </w:p>
    <w:p w14:paraId="02B46EFF" w14:textId="77777777" w:rsidR="00FA4AA8" w:rsidRDefault="00FA4AA8">
      <w:pPr>
        <w:pStyle w:val="BodyText"/>
        <w:spacing w:before="7"/>
        <w:rPr>
          <w:sz w:val="26"/>
        </w:rPr>
      </w:pPr>
    </w:p>
    <w:p w14:paraId="5F12ED00" w14:textId="77777777" w:rsidR="00FA4AA8" w:rsidRDefault="0015611F">
      <w:pPr>
        <w:numPr>
          <w:ilvl w:val="1"/>
          <w:numId w:val="22"/>
        </w:numPr>
        <w:tabs>
          <w:tab w:val="left" w:pos="1130"/>
          <w:tab w:val="left" w:pos="1131"/>
        </w:tabs>
        <w:ind w:hanging="568"/>
        <w:rPr>
          <w:b/>
          <w:sz w:val="18"/>
        </w:rPr>
      </w:pPr>
      <w:r>
        <w:rPr>
          <w:b/>
          <w:sz w:val="18"/>
        </w:rPr>
        <w:t>Outstanding balances</w:t>
      </w:r>
    </w:p>
    <w:p w14:paraId="741AF3F6" w14:textId="77777777" w:rsidR="00FA4AA8" w:rsidRDefault="00FA4AA8">
      <w:pPr>
        <w:pStyle w:val="BodyText"/>
        <w:spacing w:before="5"/>
        <w:rPr>
          <w:b/>
          <w:sz w:val="25"/>
        </w:rPr>
      </w:pPr>
    </w:p>
    <w:p w14:paraId="490E28D7" w14:textId="77777777" w:rsidR="00FA4AA8" w:rsidRDefault="0015611F">
      <w:pPr>
        <w:pStyle w:val="BodyText"/>
        <w:ind w:right="551"/>
        <w:jc w:val="right"/>
      </w:pPr>
      <w:r>
        <w:t>The following balances are outstanding at the reporting date in relation to transactions with related</w:t>
      </w:r>
      <w:r>
        <w:rPr>
          <w:spacing w:val="7"/>
        </w:rPr>
        <w:t xml:space="preserve"> </w:t>
      </w:r>
      <w:r>
        <w:t>parties:</w:t>
      </w:r>
    </w:p>
    <w:p w14:paraId="3F419F57" w14:textId="77777777" w:rsidR="00FA4AA8" w:rsidRDefault="0015611F">
      <w:pPr>
        <w:spacing w:before="33"/>
        <w:ind w:right="546"/>
        <w:jc w:val="right"/>
        <w:rPr>
          <w:b/>
          <w:sz w:val="18"/>
        </w:rPr>
      </w:pPr>
      <w:r>
        <w:rPr>
          <w:b/>
          <w:sz w:val="18"/>
        </w:rPr>
        <w:t>2018</w:t>
      </w:r>
    </w:p>
    <w:p w14:paraId="538AA146" w14:textId="77777777" w:rsidR="00FA4AA8" w:rsidRDefault="0015611F">
      <w:pPr>
        <w:spacing w:before="66"/>
        <w:ind w:right="697"/>
        <w:jc w:val="right"/>
        <w:rPr>
          <w:b/>
          <w:sz w:val="18"/>
        </w:rPr>
      </w:pPr>
      <w:r>
        <w:rPr>
          <w:b/>
          <w:sz w:val="18"/>
        </w:rPr>
        <w:t>$</w:t>
      </w:r>
    </w:p>
    <w:p w14:paraId="0859DE03" w14:textId="77777777" w:rsidR="00FA4AA8" w:rsidRDefault="0015611F">
      <w:pPr>
        <w:spacing w:before="91"/>
        <w:ind w:left="1159"/>
        <w:rPr>
          <w:b/>
          <w:sz w:val="18"/>
        </w:rPr>
      </w:pPr>
      <w:r>
        <w:rPr>
          <w:b/>
          <w:sz w:val="18"/>
        </w:rPr>
        <w:t>Non-current payables (loans)</w:t>
      </w:r>
    </w:p>
    <w:p w14:paraId="7AA6DBEC" w14:textId="77777777" w:rsidR="00FA4AA8" w:rsidRDefault="0015611F">
      <w:pPr>
        <w:tabs>
          <w:tab w:val="left" w:pos="9028"/>
        </w:tabs>
        <w:spacing w:before="59" w:after="19"/>
        <w:ind w:left="1300"/>
        <w:rPr>
          <w:b/>
          <w:sz w:val="18"/>
        </w:rPr>
      </w:pPr>
      <w:r>
        <w:rPr>
          <w:sz w:val="18"/>
        </w:rPr>
        <w:t>Western</w:t>
      </w:r>
      <w:r>
        <w:rPr>
          <w:spacing w:val="1"/>
          <w:sz w:val="18"/>
        </w:rPr>
        <w:t xml:space="preserve"> </w:t>
      </w:r>
      <w:r>
        <w:rPr>
          <w:sz w:val="18"/>
        </w:rPr>
        <w:t>Sydney University</w:t>
      </w:r>
      <w:r>
        <w:rPr>
          <w:sz w:val="18"/>
        </w:rPr>
        <w:tab/>
      </w:r>
      <w:r>
        <w:rPr>
          <w:b/>
          <w:sz w:val="18"/>
        </w:rPr>
        <w:t>(23,056,692)</w:t>
      </w:r>
    </w:p>
    <w:p w14:paraId="6E4FEDD5" w14:textId="77777777" w:rsidR="00FA4AA8" w:rsidRDefault="007E2441">
      <w:pPr>
        <w:pStyle w:val="BodyText"/>
        <w:spacing w:line="24" w:lineRule="exact"/>
        <w:ind w:left="8784"/>
        <w:rPr>
          <w:sz w:val="2"/>
        </w:rPr>
      </w:pPr>
      <w:r>
        <w:rPr>
          <w:noProof/>
          <w:sz w:val="2"/>
          <w:lang w:val="en-AU" w:eastAsia="en-AU"/>
        </w:rPr>
        <mc:AlternateContent>
          <mc:Choice Requires="wpg">
            <w:drawing>
              <wp:inline distT="0" distB="0" distL="0" distR="0" wp14:anchorId="7FEA4B07" wp14:editId="5A4D4A18">
                <wp:extent cx="822960" cy="15875"/>
                <wp:effectExtent l="9525" t="9525" r="5715" b="3175"/>
                <wp:docPr id="24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15875"/>
                          <a:chOff x="0" y="0"/>
                          <a:chExt cx="1296" cy="25"/>
                        </a:xfrm>
                      </wpg:grpSpPr>
                      <wps:wsp>
                        <wps:cNvPr id="242" name="Line 15"/>
                        <wps:cNvCnPr>
                          <a:cxnSpLocks noChangeShapeType="1"/>
                        </wps:cNvCnPr>
                        <wps:spPr bwMode="auto">
                          <a:xfrm>
                            <a:off x="0" y="4"/>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243" name="Line 14"/>
                        <wps:cNvCnPr>
                          <a:cxnSpLocks noChangeShapeType="1"/>
                        </wps:cNvCnPr>
                        <wps:spPr bwMode="auto">
                          <a:xfrm>
                            <a:off x="0" y="6"/>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244" name="Line 13"/>
                        <wps:cNvCnPr>
                          <a:cxnSpLocks noChangeShapeType="1"/>
                        </wps:cNvCnPr>
                        <wps:spPr bwMode="auto">
                          <a:xfrm>
                            <a:off x="0" y="9"/>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245" name="Line 12"/>
                        <wps:cNvCnPr>
                          <a:cxnSpLocks noChangeShapeType="1"/>
                        </wps:cNvCnPr>
                        <wps:spPr bwMode="auto">
                          <a:xfrm>
                            <a:off x="0" y="11"/>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246" name="Line 11"/>
                        <wps:cNvCnPr>
                          <a:cxnSpLocks noChangeShapeType="1"/>
                        </wps:cNvCnPr>
                        <wps:spPr bwMode="auto">
                          <a:xfrm>
                            <a:off x="0" y="13"/>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247" name="Line 10"/>
                        <wps:cNvCnPr>
                          <a:cxnSpLocks noChangeShapeType="1"/>
                        </wps:cNvCnPr>
                        <wps:spPr bwMode="auto">
                          <a:xfrm>
                            <a:off x="0" y="16"/>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248" name="Line 9"/>
                        <wps:cNvCnPr>
                          <a:cxnSpLocks noChangeShapeType="1"/>
                        </wps:cNvCnPr>
                        <wps:spPr bwMode="auto">
                          <a:xfrm>
                            <a:off x="0" y="18"/>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249" name="Line 8"/>
                        <wps:cNvCnPr>
                          <a:cxnSpLocks noChangeShapeType="1"/>
                        </wps:cNvCnPr>
                        <wps:spPr bwMode="auto">
                          <a:xfrm>
                            <a:off x="0" y="21"/>
                            <a:ext cx="1296"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E3AA587" id="Group 7" o:spid="_x0000_s1026" style="width:64.8pt;height:1.25pt;mso-position-horizontal-relative:char;mso-position-vertical-relative:line" coordsize="129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">
                <v:line id="Line 15" o:spid="_x0000_s1027" style="position:absolute;visibility:visible;mso-wrap-style:square" from="0,4" to="12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" strokeweight=".1323mm"/>
                <v:line id="Line 14" o:spid="_x0000_s1028" style="position:absolute;visibility:visible;mso-wrap-style:square" from="0,6" to="12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" strokeweight=".1323mm"/>
                <v:line id="Line 13" o:spid="_x0000_s1029" style="position:absolute;visibility:visible;mso-wrap-style:square" from="0,9" to="12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" strokeweight=".1323mm"/>
                <v:line id="Line 12" o:spid="_x0000_s1030" style="position:absolute;visibility:visible;mso-wrap-style:square" from="0,11" to="12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" strokeweight=".1323mm"/>
                <v:line id="Line 11" o:spid="_x0000_s1031" style="position:absolute;visibility:visible;mso-wrap-style:square" from="0,13" to="129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" strokeweight=".1323mm"/>
                <v:line id="Line 10" o:spid="_x0000_s1032" style="position:absolute;visibility:visible;mso-wrap-style:square" from="0,16" to="129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" strokeweight=".1323mm"/>
                <v:line id="Line 9" o:spid="_x0000_s1033" style="position:absolute;visibility:visible;mso-wrap-style:square" from="0,18" to="129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" strokeweight=".1323mm"/>
                <v:line id="Line 8" o:spid="_x0000_s1034" style="position:absolute;visibility:visible;mso-wrap-style:square" from="0,21" to="12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" strokeweight=".1323mm"/>
                <w10:anchorlock/>
              </v:group>
            </w:pict>
          </mc:Fallback>
        </mc:AlternateContent>
      </w:r>
    </w:p>
    <w:p w14:paraId="0B640363" w14:textId="77777777" w:rsidR="00FA4AA8" w:rsidRDefault="0015611F">
      <w:pPr>
        <w:tabs>
          <w:tab w:val="left" w:pos="8788"/>
        </w:tabs>
        <w:spacing w:before="113"/>
        <w:ind w:left="1159"/>
        <w:rPr>
          <w:b/>
          <w:sz w:val="18"/>
        </w:rPr>
      </w:pPr>
      <w:r>
        <w:rPr>
          <w:b/>
          <w:sz w:val="18"/>
        </w:rPr>
        <w:t>Total</w:t>
      </w:r>
      <w:r>
        <w:rPr>
          <w:b/>
          <w:spacing w:val="-3"/>
          <w:sz w:val="18"/>
        </w:rPr>
        <w:t xml:space="preserve"> </w:t>
      </w:r>
      <w:r>
        <w:rPr>
          <w:b/>
          <w:sz w:val="18"/>
        </w:rPr>
        <w:t>non-current</w:t>
      </w:r>
      <w:r>
        <w:rPr>
          <w:b/>
          <w:spacing w:val="-2"/>
          <w:sz w:val="18"/>
        </w:rPr>
        <w:t xml:space="preserve"> </w:t>
      </w:r>
      <w:r>
        <w:rPr>
          <w:b/>
          <w:sz w:val="18"/>
        </w:rPr>
        <w:t>payables</w:t>
      </w:r>
      <w:r>
        <w:rPr>
          <w:b/>
          <w:sz w:val="18"/>
        </w:rPr>
        <w:tab/>
      </w:r>
      <w:r>
        <w:rPr>
          <w:b/>
          <w:sz w:val="18"/>
          <w:u w:val="double"/>
        </w:rPr>
        <w:t xml:space="preserve"> </w:t>
      </w:r>
      <w:r>
        <w:rPr>
          <w:b/>
          <w:sz w:val="18"/>
          <w:u w:val="single"/>
        </w:rPr>
        <w:t>(2</w:t>
      </w:r>
      <w:r>
        <w:rPr>
          <w:b/>
          <w:sz w:val="18"/>
        </w:rPr>
        <w:t>3,</w:t>
      </w:r>
      <w:r>
        <w:rPr>
          <w:b/>
          <w:sz w:val="18"/>
          <w:u w:val="single"/>
        </w:rPr>
        <w:t>05</w:t>
      </w:r>
      <w:r>
        <w:rPr>
          <w:b/>
          <w:sz w:val="18"/>
        </w:rPr>
        <w:t>6,</w:t>
      </w:r>
      <w:r>
        <w:rPr>
          <w:b/>
          <w:sz w:val="18"/>
          <w:u w:val="single"/>
        </w:rPr>
        <w:t>69</w:t>
      </w:r>
      <w:r>
        <w:rPr>
          <w:b/>
          <w:sz w:val="18"/>
        </w:rPr>
        <w:t>2)</w:t>
      </w:r>
      <w:r>
        <w:rPr>
          <w:b/>
          <w:spacing w:val="-23"/>
          <w:sz w:val="18"/>
        </w:rPr>
        <w:t xml:space="preserve"> </w:t>
      </w:r>
    </w:p>
    <w:p w14:paraId="16E29BF3" w14:textId="77777777" w:rsidR="00FA4AA8" w:rsidRDefault="00FA4AA8">
      <w:pPr>
        <w:rPr>
          <w:sz w:val="18"/>
        </w:rPr>
        <w:sectPr w:rsidR="00FA4AA8">
          <w:type w:val="continuous"/>
          <w:pgSz w:w="11910" w:h="16840"/>
          <w:pgMar w:top="20" w:right="880" w:bottom="0" w:left="840" w:header="720" w:footer="720" w:gutter="0"/>
          <w:cols w:space="720"/>
        </w:sectPr>
      </w:pPr>
    </w:p>
    <w:p w14:paraId="0E85687C" w14:textId="77777777" w:rsidR="00FA4AA8" w:rsidRDefault="00FA4AA8">
      <w:pPr>
        <w:pStyle w:val="BodyText"/>
        <w:spacing w:before="6"/>
        <w:rPr>
          <w:b/>
          <w:sz w:val="21"/>
        </w:rPr>
      </w:pPr>
    </w:p>
    <w:p w14:paraId="2F062128" w14:textId="77777777" w:rsidR="00FA4AA8" w:rsidRDefault="0015611F">
      <w:pPr>
        <w:spacing w:before="91"/>
        <w:ind w:left="167"/>
        <w:rPr>
          <w:b/>
          <w:sz w:val="28"/>
        </w:rPr>
      </w:pPr>
      <w:r>
        <w:rPr>
          <w:b/>
          <w:sz w:val="28"/>
        </w:rPr>
        <w:t>Notes to the Financial Statements</w:t>
      </w:r>
    </w:p>
    <w:p w14:paraId="1932D9A5" w14:textId="77777777" w:rsidR="00FA4AA8" w:rsidRDefault="0015611F">
      <w:pPr>
        <w:spacing w:before="54"/>
        <w:ind w:left="167"/>
        <w:rPr>
          <w:b/>
        </w:rPr>
      </w:pPr>
      <w:r>
        <w:rPr>
          <w:b/>
        </w:rPr>
        <w:t>For the initial Period 4 June 2018 to 31 December 2018</w:t>
      </w:r>
    </w:p>
    <w:p w14:paraId="4ED447D0" w14:textId="77777777" w:rsidR="00FA4AA8" w:rsidRDefault="00FA4AA8">
      <w:pPr>
        <w:pStyle w:val="BodyText"/>
        <w:rPr>
          <w:b/>
          <w:sz w:val="24"/>
        </w:rPr>
      </w:pPr>
    </w:p>
    <w:p w14:paraId="40D3CB3B" w14:textId="77777777" w:rsidR="00FA4AA8" w:rsidRDefault="00FA4AA8">
      <w:pPr>
        <w:pStyle w:val="BodyText"/>
        <w:rPr>
          <w:b/>
          <w:sz w:val="34"/>
        </w:rPr>
      </w:pPr>
    </w:p>
    <w:p w14:paraId="18287A04" w14:textId="77777777" w:rsidR="00FA4AA8" w:rsidRDefault="0015611F">
      <w:pPr>
        <w:pStyle w:val="ListParagraph"/>
        <w:numPr>
          <w:ilvl w:val="0"/>
          <w:numId w:val="22"/>
        </w:numPr>
        <w:tabs>
          <w:tab w:val="left" w:pos="563"/>
          <w:tab w:val="left" w:pos="564"/>
        </w:tabs>
        <w:spacing w:before="1"/>
        <w:ind w:hanging="397"/>
        <w:rPr>
          <w:b/>
          <w:sz w:val="18"/>
        </w:rPr>
      </w:pPr>
      <w:r>
        <w:rPr>
          <w:b/>
          <w:sz w:val="18"/>
        </w:rPr>
        <w:t>Key Management Personnel</w:t>
      </w:r>
      <w:r>
        <w:rPr>
          <w:b/>
          <w:spacing w:val="-8"/>
          <w:sz w:val="18"/>
        </w:rPr>
        <w:t xml:space="preserve"> </w:t>
      </w:r>
      <w:r>
        <w:rPr>
          <w:b/>
          <w:sz w:val="18"/>
        </w:rPr>
        <w:t>Disclosures</w:t>
      </w:r>
    </w:p>
    <w:p w14:paraId="63DDAE4A" w14:textId="77777777" w:rsidR="00FA4AA8" w:rsidRDefault="00FA4AA8">
      <w:pPr>
        <w:pStyle w:val="BodyText"/>
        <w:spacing w:before="7"/>
        <w:rPr>
          <w:b/>
          <w:sz w:val="26"/>
        </w:rPr>
      </w:pPr>
    </w:p>
    <w:p w14:paraId="4A74279F" w14:textId="77777777" w:rsidR="00FA4AA8" w:rsidRDefault="0015611F">
      <w:pPr>
        <w:pStyle w:val="ListParagraph"/>
        <w:numPr>
          <w:ilvl w:val="1"/>
          <w:numId w:val="22"/>
        </w:numPr>
        <w:tabs>
          <w:tab w:val="left" w:pos="1130"/>
          <w:tab w:val="left" w:pos="1131"/>
        </w:tabs>
        <w:ind w:hanging="568"/>
        <w:rPr>
          <w:b/>
          <w:sz w:val="18"/>
        </w:rPr>
      </w:pPr>
      <w:r>
        <w:rPr>
          <w:b/>
          <w:sz w:val="18"/>
        </w:rPr>
        <w:t>Names of responsible persons and board</w:t>
      </w:r>
      <w:r>
        <w:rPr>
          <w:b/>
          <w:spacing w:val="-3"/>
          <w:sz w:val="18"/>
        </w:rPr>
        <w:t xml:space="preserve"> </w:t>
      </w:r>
      <w:r>
        <w:rPr>
          <w:b/>
          <w:sz w:val="18"/>
        </w:rPr>
        <w:t>members</w:t>
      </w:r>
    </w:p>
    <w:p w14:paraId="6520D753" w14:textId="77777777" w:rsidR="00FA4AA8" w:rsidRDefault="00FA4AA8">
      <w:pPr>
        <w:pStyle w:val="BodyText"/>
        <w:spacing w:before="5"/>
        <w:rPr>
          <w:b/>
          <w:sz w:val="25"/>
        </w:rPr>
      </w:pPr>
    </w:p>
    <w:p w14:paraId="37F17FD1" w14:textId="77777777" w:rsidR="00FA4AA8" w:rsidRDefault="0015611F">
      <w:pPr>
        <w:pStyle w:val="BodyText"/>
        <w:ind w:left="1130"/>
      </w:pPr>
      <w:r>
        <w:t>The following persons were both responsible persons and board members of Western Growth Developments (Innovation Hub Parramatta) Pty Ltd for the financial period from 4 June 2018 to 31 December 2018.</w:t>
      </w:r>
    </w:p>
    <w:p w14:paraId="46C147A6" w14:textId="77777777" w:rsidR="00FA4AA8" w:rsidRDefault="00FA4AA8">
      <w:pPr>
        <w:pStyle w:val="BodyText"/>
        <w:spacing w:before="4"/>
        <w:rPr>
          <w:sz w:val="29"/>
        </w:rPr>
      </w:pPr>
    </w:p>
    <w:p w14:paraId="7FE67328" w14:textId="77777777" w:rsidR="00FA4AA8" w:rsidRDefault="0015611F">
      <w:pPr>
        <w:pStyle w:val="BodyText"/>
        <w:spacing w:line="300" w:lineRule="auto"/>
        <w:ind w:left="1130" w:right="6959"/>
      </w:pPr>
      <w:r>
        <w:t>Mr Peter Pickering (Chair) Professor Barney Glover</w:t>
      </w:r>
    </w:p>
    <w:p w14:paraId="46DCCD27" w14:textId="77777777" w:rsidR="00FA4AA8" w:rsidRDefault="00FA4AA8">
      <w:pPr>
        <w:pStyle w:val="BodyText"/>
        <w:spacing w:before="9"/>
        <w:rPr>
          <w:sz w:val="22"/>
        </w:rPr>
      </w:pPr>
    </w:p>
    <w:p w14:paraId="1FB72251" w14:textId="77777777" w:rsidR="00FA4AA8" w:rsidRDefault="0015611F">
      <w:pPr>
        <w:pStyle w:val="BodyText"/>
        <w:ind w:left="1130"/>
      </w:pPr>
      <w:r>
        <w:t>All responsible persons and board members are employees of the parent entity and are not remunerated by the Company for their executive responsibilities.</w:t>
      </w:r>
    </w:p>
    <w:p w14:paraId="4FAC4C66" w14:textId="77777777" w:rsidR="00FA4AA8" w:rsidRDefault="00FA4AA8">
      <w:pPr>
        <w:pStyle w:val="BodyText"/>
        <w:spacing w:before="11"/>
        <w:rPr>
          <w:sz w:val="24"/>
        </w:rPr>
      </w:pPr>
    </w:p>
    <w:p w14:paraId="1FFBD021" w14:textId="77777777" w:rsidR="00FA4AA8" w:rsidRDefault="0015611F">
      <w:pPr>
        <w:numPr>
          <w:ilvl w:val="0"/>
          <w:numId w:val="22"/>
        </w:numPr>
        <w:tabs>
          <w:tab w:val="left" w:pos="563"/>
          <w:tab w:val="left" w:pos="564"/>
        </w:tabs>
        <w:ind w:hanging="397"/>
        <w:rPr>
          <w:b/>
          <w:sz w:val="18"/>
        </w:rPr>
      </w:pPr>
      <w:r>
        <w:rPr>
          <w:b/>
          <w:sz w:val="18"/>
        </w:rPr>
        <w:t>Cash Flow</w:t>
      </w:r>
      <w:r>
        <w:rPr>
          <w:b/>
          <w:spacing w:val="4"/>
          <w:sz w:val="18"/>
        </w:rPr>
        <w:t xml:space="preserve"> </w:t>
      </w:r>
      <w:r>
        <w:rPr>
          <w:b/>
          <w:sz w:val="18"/>
        </w:rPr>
        <w:t>Information</w:t>
      </w:r>
    </w:p>
    <w:p w14:paraId="1A6C4B1F" w14:textId="77777777" w:rsidR="00FA4AA8" w:rsidRDefault="00FA4AA8">
      <w:pPr>
        <w:pStyle w:val="BodyText"/>
        <w:spacing w:before="8"/>
        <w:rPr>
          <w:b/>
          <w:sz w:val="26"/>
        </w:rPr>
      </w:pPr>
    </w:p>
    <w:p w14:paraId="478AA287" w14:textId="77777777" w:rsidR="00FA4AA8" w:rsidRDefault="0015611F">
      <w:pPr>
        <w:pStyle w:val="ListParagraph"/>
        <w:numPr>
          <w:ilvl w:val="1"/>
          <w:numId w:val="22"/>
        </w:numPr>
        <w:tabs>
          <w:tab w:val="left" w:pos="1130"/>
          <w:tab w:val="left" w:pos="1131"/>
        </w:tabs>
        <w:ind w:hanging="568"/>
        <w:rPr>
          <w:b/>
          <w:sz w:val="18"/>
        </w:rPr>
      </w:pPr>
      <w:r>
        <w:rPr>
          <w:b/>
          <w:sz w:val="18"/>
        </w:rPr>
        <w:t>Non-cash financing and investing</w:t>
      </w:r>
      <w:r>
        <w:rPr>
          <w:b/>
          <w:spacing w:val="1"/>
          <w:sz w:val="18"/>
        </w:rPr>
        <w:t xml:space="preserve"> </w:t>
      </w:r>
      <w:r>
        <w:rPr>
          <w:b/>
          <w:sz w:val="18"/>
        </w:rPr>
        <w:t>activities</w:t>
      </w:r>
    </w:p>
    <w:p w14:paraId="2C89ECB6" w14:textId="77777777" w:rsidR="00FA4AA8" w:rsidRDefault="00FA4AA8">
      <w:pPr>
        <w:pStyle w:val="BodyText"/>
        <w:spacing w:before="4"/>
        <w:rPr>
          <w:b/>
          <w:sz w:val="25"/>
        </w:rPr>
      </w:pPr>
    </w:p>
    <w:p w14:paraId="424AC986" w14:textId="77777777" w:rsidR="00FA4AA8" w:rsidRDefault="0015611F">
      <w:pPr>
        <w:pStyle w:val="BodyText"/>
        <w:spacing w:before="1"/>
        <w:ind w:left="1130"/>
      </w:pPr>
      <w:r>
        <w:t>The Company had non-cash investing and financing transactions that are not reflected in the statement of cash flows. These are included in the statement of financial position under their respective categories.</w:t>
      </w:r>
    </w:p>
    <w:p w14:paraId="4A21F77D" w14:textId="77777777" w:rsidR="00FA4AA8" w:rsidRDefault="0015611F">
      <w:pPr>
        <w:spacing w:before="32"/>
        <w:ind w:left="9186" w:right="509"/>
        <w:jc w:val="center"/>
        <w:rPr>
          <w:b/>
          <w:sz w:val="18"/>
        </w:rPr>
      </w:pPr>
      <w:r>
        <w:rPr>
          <w:b/>
          <w:sz w:val="18"/>
        </w:rPr>
        <w:t>2018</w:t>
      </w:r>
    </w:p>
    <w:p w14:paraId="14206023" w14:textId="77777777" w:rsidR="00FA4AA8" w:rsidRDefault="0015611F">
      <w:pPr>
        <w:spacing w:before="67"/>
        <w:ind w:left="8676"/>
        <w:jc w:val="center"/>
        <w:rPr>
          <w:b/>
          <w:sz w:val="18"/>
        </w:rPr>
      </w:pPr>
      <w:r>
        <w:rPr>
          <w:b/>
          <w:sz w:val="18"/>
        </w:rPr>
        <w:t>$</w:t>
      </w:r>
    </w:p>
    <w:p w14:paraId="3914DD81" w14:textId="77777777" w:rsidR="00FA4AA8" w:rsidRDefault="0015611F">
      <w:pPr>
        <w:pStyle w:val="BodyText"/>
        <w:tabs>
          <w:tab w:val="left" w:pos="8891"/>
        </w:tabs>
        <w:spacing w:before="64"/>
        <w:ind w:left="935"/>
        <w:jc w:val="center"/>
        <w:rPr>
          <w:b/>
        </w:rPr>
      </w:pPr>
      <w:r>
        <w:t>Land acquisition paid via loan facility</w:t>
      </w:r>
      <w:r>
        <w:rPr>
          <w:spacing w:val="1"/>
        </w:rPr>
        <w:t xml:space="preserve"> </w:t>
      </w:r>
      <w:r>
        <w:t>from parent</w:t>
      </w:r>
      <w:r>
        <w:tab/>
      </w:r>
      <w:r>
        <w:rPr>
          <w:b/>
        </w:rPr>
        <w:t>21,184,140</w:t>
      </w:r>
    </w:p>
    <w:p w14:paraId="70827FF1" w14:textId="77777777" w:rsidR="00FA4AA8" w:rsidRDefault="0015611F">
      <w:pPr>
        <w:tabs>
          <w:tab w:val="left" w:pos="8894"/>
        </w:tabs>
        <w:spacing w:before="57"/>
        <w:ind w:left="998"/>
        <w:jc w:val="center"/>
        <w:rPr>
          <w:b/>
          <w:sz w:val="18"/>
        </w:rPr>
      </w:pPr>
      <w:r>
        <w:rPr>
          <w:sz w:val="18"/>
        </w:rPr>
        <w:t>Loan</w:t>
      </w:r>
      <w:r>
        <w:rPr>
          <w:spacing w:val="-2"/>
          <w:sz w:val="18"/>
        </w:rPr>
        <w:t xml:space="preserve"> </w:t>
      </w:r>
      <w:r>
        <w:rPr>
          <w:sz w:val="18"/>
        </w:rPr>
        <w:t>from</w:t>
      </w:r>
      <w:r>
        <w:rPr>
          <w:spacing w:val="1"/>
          <w:sz w:val="18"/>
        </w:rPr>
        <w:t xml:space="preserve"> </w:t>
      </w:r>
      <w:r>
        <w:rPr>
          <w:sz w:val="18"/>
        </w:rPr>
        <w:t>parent</w:t>
      </w:r>
      <w:r>
        <w:rPr>
          <w:sz w:val="18"/>
        </w:rPr>
        <w:tab/>
      </w:r>
      <w:r>
        <w:rPr>
          <w:b/>
          <w:sz w:val="18"/>
        </w:rPr>
        <w:t>(23,056,692)</w:t>
      </w:r>
    </w:p>
    <w:p w14:paraId="597337D6" w14:textId="77777777" w:rsidR="00FA4AA8" w:rsidRDefault="00FA4AA8">
      <w:pPr>
        <w:pStyle w:val="BodyText"/>
        <w:spacing w:before="11"/>
        <w:rPr>
          <w:b/>
          <w:sz w:val="28"/>
        </w:rPr>
      </w:pPr>
    </w:p>
    <w:p w14:paraId="3431ED2D" w14:textId="77777777" w:rsidR="00FA4AA8" w:rsidRDefault="0015611F">
      <w:pPr>
        <w:numPr>
          <w:ilvl w:val="0"/>
          <w:numId w:val="22"/>
        </w:numPr>
        <w:tabs>
          <w:tab w:val="left" w:pos="564"/>
        </w:tabs>
        <w:ind w:hanging="397"/>
        <w:rPr>
          <w:b/>
          <w:sz w:val="18"/>
        </w:rPr>
      </w:pPr>
      <w:r>
        <w:rPr>
          <w:b/>
          <w:sz w:val="18"/>
        </w:rPr>
        <w:t>Events Occurring After the Reporting</w:t>
      </w:r>
      <w:r>
        <w:rPr>
          <w:b/>
          <w:spacing w:val="-3"/>
          <w:sz w:val="18"/>
        </w:rPr>
        <w:t xml:space="preserve"> </w:t>
      </w:r>
      <w:r>
        <w:rPr>
          <w:b/>
          <w:sz w:val="18"/>
        </w:rPr>
        <w:t>Date</w:t>
      </w:r>
    </w:p>
    <w:p w14:paraId="7A64A86B" w14:textId="77777777" w:rsidR="00FA4AA8" w:rsidRDefault="00FA4AA8">
      <w:pPr>
        <w:pStyle w:val="BodyText"/>
        <w:rPr>
          <w:b/>
          <w:sz w:val="25"/>
        </w:rPr>
      </w:pPr>
    </w:p>
    <w:p w14:paraId="029DFF3F" w14:textId="77777777" w:rsidR="00FA4AA8" w:rsidRDefault="0015611F">
      <w:pPr>
        <w:pStyle w:val="BodyText"/>
        <w:ind w:left="564"/>
      </w:pPr>
      <w:r>
        <w:t>No matters or circumstances have arisen since the end of the financial year which significantly affected or may significantly affect the operations of Company, the results of those operations, or the state of affairs of the Company in future financial years.</w:t>
      </w:r>
    </w:p>
    <w:p w14:paraId="0255B66F" w14:textId="77777777" w:rsidR="00FA4AA8" w:rsidRDefault="00FA4AA8">
      <w:pPr>
        <w:sectPr w:rsidR="00FA4AA8">
          <w:pgSz w:w="11910" w:h="16840"/>
          <w:pgMar w:top="1580" w:right="880" w:bottom="720" w:left="840" w:header="1015" w:footer="523" w:gutter="0"/>
          <w:cols w:space="720"/>
        </w:sectPr>
      </w:pPr>
    </w:p>
    <w:p w14:paraId="2D4469B0" w14:textId="77777777" w:rsidR="00FA4AA8" w:rsidRDefault="007E2441">
      <w:pPr>
        <w:pStyle w:val="BodyText"/>
        <w:rPr>
          <w:sz w:val="20"/>
        </w:rPr>
      </w:pPr>
      <w:r>
        <w:rPr>
          <w:noProof/>
          <w:lang w:val="en-AU" w:eastAsia="en-AU"/>
        </w:rPr>
        <mc:AlternateContent>
          <mc:Choice Requires="wps">
            <w:drawing>
              <wp:anchor distT="0" distB="0" distL="114300" distR="114300" simplePos="0" relativeHeight="15839744" behindDoc="0" locked="0" layoutInCell="1" allowOverlap="1" wp14:anchorId="622072FA" wp14:editId="11E7CF1E">
                <wp:simplePos x="0" y="0"/>
                <wp:positionH relativeFrom="page">
                  <wp:posOffset>7510780</wp:posOffset>
                </wp:positionH>
                <wp:positionV relativeFrom="page">
                  <wp:posOffset>8968105</wp:posOffset>
                </wp:positionV>
                <wp:extent cx="0" cy="0"/>
                <wp:effectExtent l="0" t="0" r="0" b="0"/>
                <wp:wrapNone/>
                <wp:docPr id="24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4386">
                          <a:solidFill>
                            <a:srgbClr val="C6C6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019F16" id="Line 6" o:spid="_x0000_s1026" style="position:absolute;z-index:1583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1.4pt,706.15pt" to="591.4pt,70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" strokecolor="#c6c6c6" strokeweight=".67739mm">
                <w10:wrap anchorx="page" anchory="page"/>
              </v:line>
            </w:pict>
          </mc:Fallback>
        </mc:AlternateContent>
      </w:r>
    </w:p>
    <w:p w14:paraId="3497599A" w14:textId="77777777" w:rsidR="00FA4AA8" w:rsidRDefault="00FA4AA8">
      <w:pPr>
        <w:pStyle w:val="BodyText"/>
        <w:rPr>
          <w:sz w:val="20"/>
        </w:rPr>
      </w:pPr>
    </w:p>
    <w:p w14:paraId="2D5544E2" w14:textId="77777777" w:rsidR="00FA4AA8" w:rsidRDefault="00FA4AA8">
      <w:pPr>
        <w:pStyle w:val="BodyText"/>
        <w:spacing w:before="3"/>
        <w:rPr>
          <w:sz w:val="28"/>
        </w:rPr>
      </w:pPr>
    </w:p>
    <w:p w14:paraId="3B406712" w14:textId="77777777" w:rsidR="00FA4AA8" w:rsidRDefault="0015611F">
      <w:pPr>
        <w:pStyle w:val="BodyText"/>
        <w:ind w:left="4581"/>
        <w:rPr>
          <w:sz w:val="20"/>
        </w:rPr>
      </w:pPr>
      <w:r>
        <w:rPr>
          <w:noProof/>
          <w:sz w:val="20"/>
          <w:lang w:val="en-AU" w:eastAsia="en-AU"/>
        </w:rPr>
        <w:drawing>
          <wp:inline distT="0" distB="0" distL="0" distR="0" wp14:anchorId="050173C4" wp14:editId="23C2CCB8">
            <wp:extent cx="792457" cy="445007"/>
            <wp:effectExtent l="0" t="0" r="0" b="0"/>
            <wp:docPr id="161"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02.png"/>
                    <pic:cNvPicPr/>
                  </pic:nvPicPr>
                  <pic:blipFill>
                    <a:blip r:embed="rId303" cstate="print"/>
                    <a:stretch>
                      <a:fillRect/>
                    </a:stretch>
                  </pic:blipFill>
                  <pic:spPr>
                    <a:xfrm>
                      <a:off x="0" y="0"/>
                      <a:ext cx="792457" cy="445007"/>
                    </a:xfrm>
                    <a:prstGeom prst="rect">
                      <a:avLst/>
                    </a:prstGeom>
                  </pic:spPr>
                </pic:pic>
              </a:graphicData>
            </a:graphic>
          </wp:inline>
        </w:drawing>
      </w:r>
    </w:p>
    <w:p w14:paraId="30BEF6A1" w14:textId="77777777" w:rsidR="00FA4AA8" w:rsidRDefault="0015611F">
      <w:pPr>
        <w:pStyle w:val="BodyText"/>
        <w:spacing w:before="7"/>
        <w:rPr>
          <w:sz w:val="6"/>
        </w:rPr>
      </w:pPr>
      <w:r>
        <w:rPr>
          <w:noProof/>
          <w:lang w:val="en-AU" w:eastAsia="en-AU"/>
        </w:rPr>
        <w:drawing>
          <wp:anchor distT="0" distB="0" distL="0" distR="0" simplePos="0" relativeHeight="215" behindDoc="0" locked="0" layoutInCell="1" allowOverlap="1" wp14:anchorId="03347043" wp14:editId="0DC35D69">
            <wp:simplePos x="0" y="0"/>
            <wp:positionH relativeFrom="page">
              <wp:posOffset>3310350</wp:posOffset>
            </wp:positionH>
            <wp:positionV relativeFrom="paragraph">
              <wp:posOffset>73074</wp:posOffset>
            </wp:positionV>
            <wp:extent cx="810745" cy="231648"/>
            <wp:effectExtent l="0" t="0" r="0" b="0"/>
            <wp:wrapTopAndBottom/>
            <wp:docPr id="163"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03.png"/>
                    <pic:cNvPicPr/>
                  </pic:nvPicPr>
                  <pic:blipFill>
                    <a:blip r:embed="rId304" cstate="print"/>
                    <a:stretch>
                      <a:fillRect/>
                    </a:stretch>
                  </pic:blipFill>
                  <pic:spPr>
                    <a:xfrm>
                      <a:off x="0" y="0"/>
                      <a:ext cx="810745" cy="231648"/>
                    </a:xfrm>
                    <a:prstGeom prst="rect">
                      <a:avLst/>
                    </a:prstGeom>
                  </pic:spPr>
                </pic:pic>
              </a:graphicData>
            </a:graphic>
          </wp:anchor>
        </w:drawing>
      </w:r>
    </w:p>
    <w:p w14:paraId="29085735" w14:textId="77777777" w:rsidR="00FA4AA8" w:rsidRDefault="00FA4AA8">
      <w:pPr>
        <w:pStyle w:val="BodyText"/>
        <w:rPr>
          <w:sz w:val="20"/>
        </w:rPr>
      </w:pPr>
    </w:p>
    <w:p w14:paraId="40064221" w14:textId="77777777" w:rsidR="00FA4AA8" w:rsidRDefault="00FA4AA8">
      <w:pPr>
        <w:pStyle w:val="BodyText"/>
        <w:rPr>
          <w:sz w:val="20"/>
        </w:rPr>
      </w:pPr>
    </w:p>
    <w:p w14:paraId="4B23B677" w14:textId="77777777" w:rsidR="00FA4AA8" w:rsidRDefault="00FA4AA8">
      <w:pPr>
        <w:pStyle w:val="BodyText"/>
        <w:spacing w:before="5"/>
        <w:rPr>
          <w:sz w:val="25"/>
        </w:rPr>
      </w:pPr>
    </w:p>
    <w:p w14:paraId="341BE233" w14:textId="77777777" w:rsidR="00FA4AA8" w:rsidRDefault="0015611F">
      <w:pPr>
        <w:spacing w:before="92"/>
        <w:ind w:left="1" w:right="38"/>
        <w:jc w:val="center"/>
        <w:rPr>
          <w:sz w:val="24"/>
        </w:rPr>
      </w:pPr>
      <w:r>
        <w:rPr>
          <w:sz w:val="24"/>
        </w:rPr>
        <w:t>INDEPENDENT AUDITOR’S REPORT</w:t>
      </w:r>
    </w:p>
    <w:p w14:paraId="2CC198BE" w14:textId="77777777" w:rsidR="00FA4AA8" w:rsidRDefault="0015611F">
      <w:pPr>
        <w:pStyle w:val="Heading9"/>
        <w:spacing w:before="161"/>
        <w:ind w:left="1" w:right="16"/>
        <w:jc w:val="center"/>
      </w:pPr>
      <w:r>
        <w:t>Western Growth Developments (Innovation Hub Parramatta) Pty Ltd</w:t>
      </w:r>
    </w:p>
    <w:p w14:paraId="1A0D7F2D" w14:textId="77777777" w:rsidR="00FA4AA8" w:rsidRDefault="00FA4AA8">
      <w:pPr>
        <w:pStyle w:val="BodyText"/>
        <w:rPr>
          <w:sz w:val="22"/>
        </w:rPr>
      </w:pPr>
    </w:p>
    <w:p w14:paraId="12D4A623" w14:textId="77777777" w:rsidR="00FA4AA8" w:rsidRDefault="00FA4AA8">
      <w:pPr>
        <w:pStyle w:val="BodyText"/>
        <w:spacing w:before="4"/>
        <w:rPr>
          <w:sz w:val="28"/>
        </w:rPr>
      </w:pPr>
    </w:p>
    <w:p w14:paraId="02F63674" w14:textId="77777777" w:rsidR="00FA4AA8" w:rsidRDefault="0015611F">
      <w:pPr>
        <w:ind w:left="695" w:right="1078" w:hanging="2"/>
        <w:rPr>
          <w:sz w:val="21"/>
        </w:rPr>
      </w:pPr>
      <w:r>
        <w:rPr>
          <w:w w:val="95"/>
          <w:sz w:val="21"/>
        </w:rPr>
        <w:t xml:space="preserve">To Members of </w:t>
      </w:r>
      <w:r>
        <w:rPr>
          <w:color w:val="0E0E0E"/>
          <w:w w:val="95"/>
          <w:sz w:val="21"/>
        </w:rPr>
        <w:t xml:space="preserve">the </w:t>
      </w:r>
      <w:r>
        <w:rPr>
          <w:w w:val="95"/>
          <w:sz w:val="21"/>
        </w:rPr>
        <w:t xml:space="preserve">New South Wales Parliament and Members of Western Growth Developments </w:t>
      </w:r>
      <w:r>
        <w:rPr>
          <w:sz w:val="21"/>
        </w:rPr>
        <w:t>(Innovation Hub Parramatta) Pty Ltd</w:t>
      </w:r>
    </w:p>
    <w:p w14:paraId="3A93BA49" w14:textId="77777777" w:rsidR="00FA4AA8" w:rsidRDefault="0015611F">
      <w:pPr>
        <w:spacing w:before="175"/>
        <w:ind w:left="687"/>
        <w:rPr>
          <w:sz w:val="23"/>
        </w:rPr>
      </w:pPr>
      <w:r>
        <w:rPr>
          <w:w w:val="115"/>
          <w:sz w:val="23"/>
        </w:rPr>
        <w:t>Opinion</w:t>
      </w:r>
    </w:p>
    <w:p w14:paraId="505E5A90" w14:textId="77777777" w:rsidR="00FA4AA8" w:rsidRDefault="0015611F">
      <w:pPr>
        <w:spacing w:before="119"/>
        <w:ind w:left="691" w:right="697" w:hanging="3"/>
        <w:rPr>
          <w:sz w:val="21"/>
        </w:rPr>
      </w:pPr>
      <w:r>
        <w:rPr>
          <w:color w:val="131313"/>
          <w:w w:val="95"/>
          <w:sz w:val="21"/>
        </w:rPr>
        <w:t xml:space="preserve">I </w:t>
      </w:r>
      <w:r>
        <w:rPr>
          <w:w w:val="95"/>
          <w:sz w:val="21"/>
        </w:rPr>
        <w:t xml:space="preserve">have audited the accompanying financial statements </w:t>
      </w:r>
      <w:r>
        <w:rPr>
          <w:color w:val="131313"/>
          <w:w w:val="95"/>
          <w:sz w:val="21"/>
        </w:rPr>
        <w:t xml:space="preserve">of </w:t>
      </w:r>
      <w:r>
        <w:rPr>
          <w:w w:val="95"/>
          <w:sz w:val="21"/>
        </w:rPr>
        <w:t xml:space="preserve">Western Growth Developments (Innovation Hub Parramatta) Pty Ltd (the Company), which comprise the Statement of Comprehensive Income for </w:t>
      </w:r>
      <w:r>
        <w:rPr>
          <w:sz w:val="21"/>
        </w:rPr>
        <w:t>the initial period 4 June 2018 to 31 December 2018, the Statement of Financial Position as at</w:t>
      </w:r>
    </w:p>
    <w:p w14:paraId="4EC52133" w14:textId="77777777" w:rsidR="00FA4AA8" w:rsidRDefault="0015611F">
      <w:pPr>
        <w:spacing w:before="1"/>
        <w:ind w:left="690" w:right="1078" w:firstLine="8"/>
        <w:rPr>
          <w:sz w:val="21"/>
        </w:rPr>
      </w:pPr>
      <w:r>
        <w:rPr>
          <w:sz w:val="21"/>
        </w:rPr>
        <w:t>31</w:t>
      </w:r>
      <w:r>
        <w:rPr>
          <w:spacing w:val="-30"/>
          <w:sz w:val="21"/>
        </w:rPr>
        <w:t xml:space="preserve"> </w:t>
      </w:r>
      <w:r>
        <w:rPr>
          <w:sz w:val="21"/>
        </w:rPr>
        <w:t>December</w:t>
      </w:r>
      <w:r>
        <w:rPr>
          <w:spacing w:val="-27"/>
          <w:sz w:val="21"/>
        </w:rPr>
        <w:t xml:space="preserve"> </w:t>
      </w:r>
      <w:r>
        <w:rPr>
          <w:sz w:val="21"/>
        </w:rPr>
        <w:t>2018,</w:t>
      </w:r>
      <w:r>
        <w:rPr>
          <w:spacing w:val="-31"/>
          <w:sz w:val="21"/>
        </w:rPr>
        <w:t xml:space="preserve"> </w:t>
      </w:r>
      <w:r>
        <w:rPr>
          <w:sz w:val="21"/>
        </w:rPr>
        <w:t>the</w:t>
      </w:r>
      <w:r>
        <w:rPr>
          <w:spacing w:val="-32"/>
          <w:sz w:val="21"/>
        </w:rPr>
        <w:t xml:space="preserve"> </w:t>
      </w:r>
      <w:r>
        <w:rPr>
          <w:sz w:val="21"/>
        </w:rPr>
        <w:t>Statement</w:t>
      </w:r>
      <w:r>
        <w:rPr>
          <w:spacing w:val="-28"/>
          <w:sz w:val="21"/>
        </w:rPr>
        <w:t xml:space="preserve"> </w:t>
      </w:r>
      <w:r>
        <w:rPr>
          <w:sz w:val="21"/>
        </w:rPr>
        <w:t>of</w:t>
      </w:r>
      <w:r>
        <w:rPr>
          <w:spacing w:val="-31"/>
          <w:sz w:val="21"/>
        </w:rPr>
        <w:t xml:space="preserve"> </w:t>
      </w:r>
      <w:r>
        <w:rPr>
          <w:sz w:val="21"/>
        </w:rPr>
        <w:t>Changes</w:t>
      </w:r>
      <w:r>
        <w:rPr>
          <w:spacing w:val="-34"/>
          <w:sz w:val="21"/>
        </w:rPr>
        <w:t xml:space="preserve"> </w:t>
      </w:r>
      <w:r>
        <w:rPr>
          <w:color w:val="0F0F0F"/>
          <w:sz w:val="21"/>
        </w:rPr>
        <w:t>in</w:t>
      </w:r>
      <w:r>
        <w:rPr>
          <w:color w:val="0F0F0F"/>
          <w:spacing w:val="-35"/>
          <w:sz w:val="21"/>
        </w:rPr>
        <w:t xml:space="preserve"> </w:t>
      </w:r>
      <w:r>
        <w:rPr>
          <w:sz w:val="21"/>
        </w:rPr>
        <w:t>Equity</w:t>
      </w:r>
      <w:r>
        <w:rPr>
          <w:spacing w:val="-31"/>
          <w:sz w:val="21"/>
        </w:rPr>
        <w:t xml:space="preserve"> </w:t>
      </w:r>
      <w:r>
        <w:rPr>
          <w:sz w:val="21"/>
        </w:rPr>
        <w:t>and</w:t>
      </w:r>
      <w:r>
        <w:rPr>
          <w:spacing w:val="-36"/>
          <w:sz w:val="21"/>
        </w:rPr>
        <w:t xml:space="preserve"> </w:t>
      </w:r>
      <w:r>
        <w:rPr>
          <w:sz w:val="21"/>
        </w:rPr>
        <w:t>the</w:t>
      </w:r>
      <w:r>
        <w:rPr>
          <w:spacing w:val="-32"/>
          <w:sz w:val="21"/>
        </w:rPr>
        <w:t xml:space="preserve"> </w:t>
      </w:r>
      <w:r>
        <w:rPr>
          <w:sz w:val="21"/>
        </w:rPr>
        <w:t>Statement</w:t>
      </w:r>
      <w:r>
        <w:rPr>
          <w:spacing w:val="-24"/>
          <w:sz w:val="21"/>
        </w:rPr>
        <w:t xml:space="preserve"> </w:t>
      </w:r>
      <w:r>
        <w:rPr>
          <w:sz w:val="21"/>
        </w:rPr>
        <w:t>of</w:t>
      </w:r>
      <w:r>
        <w:rPr>
          <w:spacing w:val="-35"/>
          <w:sz w:val="21"/>
        </w:rPr>
        <w:t xml:space="preserve"> </w:t>
      </w:r>
      <w:r>
        <w:rPr>
          <w:sz w:val="21"/>
        </w:rPr>
        <w:t>Cash</w:t>
      </w:r>
      <w:r>
        <w:rPr>
          <w:spacing w:val="-31"/>
          <w:sz w:val="21"/>
        </w:rPr>
        <w:t xml:space="preserve"> </w:t>
      </w:r>
      <w:r>
        <w:rPr>
          <w:sz w:val="21"/>
        </w:rPr>
        <w:t>Flows</w:t>
      </w:r>
      <w:r>
        <w:rPr>
          <w:spacing w:val="-31"/>
          <w:sz w:val="21"/>
        </w:rPr>
        <w:t xml:space="preserve"> </w:t>
      </w:r>
      <w:r>
        <w:rPr>
          <w:sz w:val="21"/>
        </w:rPr>
        <w:t>for</w:t>
      </w:r>
      <w:r>
        <w:rPr>
          <w:spacing w:val="-34"/>
          <w:sz w:val="21"/>
        </w:rPr>
        <w:t xml:space="preserve"> </w:t>
      </w:r>
      <w:r>
        <w:rPr>
          <w:sz w:val="21"/>
        </w:rPr>
        <w:t>the period</w:t>
      </w:r>
      <w:r>
        <w:rPr>
          <w:spacing w:val="-23"/>
          <w:sz w:val="21"/>
        </w:rPr>
        <w:t xml:space="preserve"> </w:t>
      </w:r>
      <w:r>
        <w:rPr>
          <w:sz w:val="21"/>
        </w:rPr>
        <w:t>then</w:t>
      </w:r>
      <w:r>
        <w:rPr>
          <w:spacing w:val="-25"/>
          <w:sz w:val="21"/>
        </w:rPr>
        <w:t xml:space="preserve"> </w:t>
      </w:r>
      <w:r>
        <w:rPr>
          <w:sz w:val="21"/>
        </w:rPr>
        <w:t>ended,</w:t>
      </w:r>
      <w:r>
        <w:rPr>
          <w:spacing w:val="-22"/>
          <w:sz w:val="21"/>
        </w:rPr>
        <w:t xml:space="preserve"> </w:t>
      </w:r>
      <w:r>
        <w:rPr>
          <w:sz w:val="21"/>
        </w:rPr>
        <w:t>notes</w:t>
      </w:r>
      <w:r>
        <w:rPr>
          <w:spacing w:val="-28"/>
          <w:sz w:val="21"/>
        </w:rPr>
        <w:t xml:space="preserve"> </w:t>
      </w:r>
      <w:r>
        <w:rPr>
          <w:sz w:val="21"/>
        </w:rPr>
        <w:t>comprising</w:t>
      </w:r>
      <w:r>
        <w:rPr>
          <w:spacing w:val="-22"/>
          <w:sz w:val="21"/>
        </w:rPr>
        <w:t xml:space="preserve"> </w:t>
      </w:r>
      <w:r>
        <w:rPr>
          <w:color w:val="181818"/>
          <w:sz w:val="21"/>
        </w:rPr>
        <w:t>a</w:t>
      </w:r>
      <w:r>
        <w:rPr>
          <w:color w:val="181818"/>
          <w:spacing w:val="-33"/>
          <w:sz w:val="21"/>
        </w:rPr>
        <w:t xml:space="preserve"> </w:t>
      </w:r>
      <w:r>
        <w:rPr>
          <w:sz w:val="21"/>
        </w:rPr>
        <w:t>Summary</w:t>
      </w:r>
      <w:r>
        <w:rPr>
          <w:spacing w:val="-14"/>
          <w:sz w:val="21"/>
        </w:rPr>
        <w:t xml:space="preserve"> </w:t>
      </w:r>
      <w:r>
        <w:rPr>
          <w:sz w:val="21"/>
        </w:rPr>
        <w:t>of</w:t>
      </w:r>
      <w:r>
        <w:rPr>
          <w:spacing w:val="-29"/>
          <w:sz w:val="21"/>
        </w:rPr>
        <w:t xml:space="preserve"> </w:t>
      </w:r>
      <w:r>
        <w:rPr>
          <w:sz w:val="21"/>
        </w:rPr>
        <w:t>Significant</w:t>
      </w:r>
      <w:r>
        <w:rPr>
          <w:spacing w:val="-18"/>
          <w:sz w:val="21"/>
        </w:rPr>
        <w:t xml:space="preserve"> </w:t>
      </w:r>
      <w:r>
        <w:rPr>
          <w:sz w:val="21"/>
        </w:rPr>
        <w:t>Accounting</w:t>
      </w:r>
      <w:r>
        <w:rPr>
          <w:spacing w:val="-22"/>
          <w:sz w:val="21"/>
        </w:rPr>
        <w:t xml:space="preserve"> </w:t>
      </w:r>
      <w:r>
        <w:rPr>
          <w:sz w:val="21"/>
        </w:rPr>
        <w:t>Policies</w:t>
      </w:r>
      <w:r>
        <w:rPr>
          <w:spacing w:val="-25"/>
          <w:sz w:val="21"/>
        </w:rPr>
        <w:t xml:space="preserve"> </w:t>
      </w:r>
      <w:r>
        <w:rPr>
          <w:color w:val="0E0E0E"/>
          <w:sz w:val="21"/>
        </w:rPr>
        <w:t>and</w:t>
      </w:r>
      <w:r>
        <w:rPr>
          <w:color w:val="0E0E0E"/>
          <w:spacing w:val="-28"/>
          <w:sz w:val="21"/>
        </w:rPr>
        <w:t xml:space="preserve"> </w:t>
      </w:r>
      <w:r>
        <w:rPr>
          <w:sz w:val="21"/>
        </w:rPr>
        <w:t>other explanatory</w:t>
      </w:r>
      <w:r>
        <w:rPr>
          <w:spacing w:val="-11"/>
          <w:sz w:val="21"/>
        </w:rPr>
        <w:t xml:space="preserve"> </w:t>
      </w:r>
      <w:r>
        <w:rPr>
          <w:sz w:val="21"/>
        </w:rPr>
        <w:t>information,</w:t>
      </w:r>
      <w:r>
        <w:rPr>
          <w:spacing w:val="-18"/>
          <w:sz w:val="21"/>
        </w:rPr>
        <w:t xml:space="preserve"> </w:t>
      </w:r>
      <w:r>
        <w:rPr>
          <w:sz w:val="21"/>
        </w:rPr>
        <w:t>Directors’</w:t>
      </w:r>
      <w:r>
        <w:rPr>
          <w:spacing w:val="-16"/>
          <w:sz w:val="21"/>
        </w:rPr>
        <w:t xml:space="preserve"> </w:t>
      </w:r>
      <w:r>
        <w:rPr>
          <w:sz w:val="21"/>
        </w:rPr>
        <w:t>Declaration</w:t>
      </w:r>
      <w:r>
        <w:rPr>
          <w:spacing w:val="-11"/>
          <w:sz w:val="21"/>
        </w:rPr>
        <w:t xml:space="preserve"> </w:t>
      </w:r>
      <w:r>
        <w:rPr>
          <w:sz w:val="21"/>
        </w:rPr>
        <w:t>and</w:t>
      </w:r>
      <w:r>
        <w:rPr>
          <w:spacing w:val="-22"/>
          <w:sz w:val="21"/>
        </w:rPr>
        <w:t xml:space="preserve"> </w:t>
      </w:r>
      <w:r>
        <w:rPr>
          <w:sz w:val="21"/>
        </w:rPr>
        <w:t>the</w:t>
      </w:r>
      <w:r>
        <w:rPr>
          <w:spacing w:val="-23"/>
          <w:sz w:val="21"/>
        </w:rPr>
        <w:t xml:space="preserve"> </w:t>
      </w:r>
      <w:r>
        <w:rPr>
          <w:sz w:val="21"/>
        </w:rPr>
        <w:t>Responsible</w:t>
      </w:r>
      <w:r>
        <w:rPr>
          <w:spacing w:val="-15"/>
          <w:sz w:val="21"/>
        </w:rPr>
        <w:t xml:space="preserve"> </w:t>
      </w:r>
      <w:r>
        <w:rPr>
          <w:sz w:val="21"/>
        </w:rPr>
        <w:t>Entities'</w:t>
      </w:r>
      <w:r>
        <w:rPr>
          <w:spacing w:val="-21"/>
          <w:sz w:val="21"/>
        </w:rPr>
        <w:t xml:space="preserve"> </w:t>
      </w:r>
      <w:r>
        <w:rPr>
          <w:sz w:val="21"/>
        </w:rPr>
        <w:t>Declaration.</w:t>
      </w:r>
    </w:p>
    <w:p w14:paraId="7B978807" w14:textId="77777777" w:rsidR="00FA4AA8" w:rsidRDefault="0015611F">
      <w:pPr>
        <w:spacing w:before="168"/>
        <w:ind w:left="688"/>
        <w:rPr>
          <w:sz w:val="21"/>
        </w:rPr>
      </w:pPr>
      <w:r>
        <w:rPr>
          <w:color w:val="0E0E0E"/>
          <w:sz w:val="21"/>
        </w:rPr>
        <w:t xml:space="preserve">In </w:t>
      </w:r>
      <w:r>
        <w:rPr>
          <w:sz w:val="21"/>
        </w:rPr>
        <w:t>my opinion, the financial statements:</w:t>
      </w:r>
    </w:p>
    <w:p w14:paraId="7F4A60F6" w14:textId="77777777" w:rsidR="00FA4AA8" w:rsidRDefault="0015611F">
      <w:pPr>
        <w:pStyle w:val="ListParagraph"/>
        <w:numPr>
          <w:ilvl w:val="0"/>
          <w:numId w:val="21"/>
        </w:numPr>
        <w:tabs>
          <w:tab w:val="left" w:pos="1252"/>
          <w:tab w:val="left" w:pos="1253"/>
        </w:tabs>
        <w:spacing w:before="167"/>
        <w:ind w:left="1252" w:hanging="571"/>
        <w:rPr>
          <w:sz w:val="21"/>
        </w:rPr>
      </w:pPr>
      <w:r>
        <w:rPr>
          <w:sz w:val="21"/>
        </w:rPr>
        <w:t xml:space="preserve">are in accordance with the </w:t>
      </w:r>
      <w:r>
        <w:rPr>
          <w:i/>
          <w:sz w:val="21"/>
        </w:rPr>
        <w:t>Corporations Act 2001,</w:t>
      </w:r>
      <w:r>
        <w:rPr>
          <w:i/>
          <w:spacing w:val="-25"/>
          <w:sz w:val="21"/>
        </w:rPr>
        <w:t xml:space="preserve"> </w:t>
      </w:r>
      <w:r>
        <w:rPr>
          <w:sz w:val="21"/>
        </w:rPr>
        <w:t>including:</w:t>
      </w:r>
    </w:p>
    <w:p w14:paraId="6376B746" w14:textId="77777777" w:rsidR="00FA4AA8" w:rsidRDefault="0015611F">
      <w:pPr>
        <w:pStyle w:val="Heading9"/>
        <w:spacing w:before="61"/>
        <w:ind w:left="1828" w:right="697"/>
      </w:pPr>
      <w:r>
        <w:t>giving</w:t>
      </w:r>
      <w:r>
        <w:rPr>
          <w:spacing w:val="-31"/>
        </w:rPr>
        <w:t xml:space="preserve"> </w:t>
      </w:r>
      <w:r>
        <w:t>a</w:t>
      </w:r>
      <w:r>
        <w:rPr>
          <w:spacing w:val="-34"/>
        </w:rPr>
        <w:t xml:space="preserve"> </w:t>
      </w:r>
      <w:r>
        <w:t>true</w:t>
      </w:r>
      <w:r>
        <w:rPr>
          <w:spacing w:val="-33"/>
        </w:rPr>
        <w:t xml:space="preserve"> </w:t>
      </w:r>
      <w:r>
        <w:t>and</w:t>
      </w:r>
      <w:r>
        <w:rPr>
          <w:spacing w:val="-30"/>
        </w:rPr>
        <w:t xml:space="preserve"> </w:t>
      </w:r>
      <w:r>
        <w:t>fair</w:t>
      </w:r>
      <w:r>
        <w:rPr>
          <w:spacing w:val="-28"/>
        </w:rPr>
        <w:t xml:space="preserve"> </w:t>
      </w:r>
      <w:r>
        <w:t>view</w:t>
      </w:r>
      <w:r>
        <w:rPr>
          <w:spacing w:val="-29"/>
        </w:rPr>
        <w:t xml:space="preserve"> </w:t>
      </w:r>
      <w:r>
        <w:t>of</w:t>
      </w:r>
      <w:r>
        <w:rPr>
          <w:spacing w:val="-31"/>
        </w:rPr>
        <w:t xml:space="preserve"> </w:t>
      </w:r>
      <w:r>
        <w:t>the</w:t>
      </w:r>
      <w:r>
        <w:rPr>
          <w:spacing w:val="-36"/>
        </w:rPr>
        <w:t xml:space="preserve"> </w:t>
      </w:r>
      <w:r>
        <w:t>Company's</w:t>
      </w:r>
      <w:r>
        <w:rPr>
          <w:spacing w:val="-27"/>
        </w:rPr>
        <w:t xml:space="preserve"> </w:t>
      </w:r>
      <w:r>
        <w:t>financial</w:t>
      </w:r>
      <w:r>
        <w:rPr>
          <w:spacing w:val="-26"/>
        </w:rPr>
        <w:t xml:space="preserve"> </w:t>
      </w:r>
      <w:r>
        <w:t>position</w:t>
      </w:r>
      <w:r>
        <w:rPr>
          <w:spacing w:val="-28"/>
        </w:rPr>
        <w:t xml:space="preserve"> </w:t>
      </w:r>
      <w:r>
        <w:t>as</w:t>
      </w:r>
      <w:r>
        <w:rPr>
          <w:spacing w:val="-30"/>
        </w:rPr>
        <w:t xml:space="preserve"> </w:t>
      </w:r>
      <w:r>
        <w:t>at</w:t>
      </w:r>
      <w:r>
        <w:rPr>
          <w:spacing w:val="-33"/>
        </w:rPr>
        <w:t xml:space="preserve"> </w:t>
      </w:r>
      <w:r>
        <w:t>31</w:t>
      </w:r>
      <w:r>
        <w:rPr>
          <w:spacing w:val="-35"/>
        </w:rPr>
        <w:t xml:space="preserve"> </w:t>
      </w:r>
      <w:r>
        <w:t>December</w:t>
      </w:r>
      <w:r>
        <w:rPr>
          <w:spacing w:val="-20"/>
        </w:rPr>
        <w:t xml:space="preserve"> </w:t>
      </w:r>
      <w:r>
        <w:t xml:space="preserve">2018 </w:t>
      </w:r>
      <w:r>
        <w:rPr>
          <w:color w:val="0C0C0C"/>
        </w:rPr>
        <w:t xml:space="preserve">and </w:t>
      </w:r>
      <w:r>
        <w:t>its performance for the period ended on that</w:t>
      </w:r>
      <w:r>
        <w:rPr>
          <w:spacing w:val="-3"/>
        </w:rPr>
        <w:t xml:space="preserve"> </w:t>
      </w:r>
      <w:r>
        <w:t>date</w:t>
      </w:r>
    </w:p>
    <w:p w14:paraId="5C61E6A6" w14:textId="77777777" w:rsidR="00FA4AA8" w:rsidRDefault="0015611F">
      <w:pPr>
        <w:tabs>
          <w:tab w:val="left" w:pos="1827"/>
        </w:tabs>
        <w:spacing w:before="59"/>
        <w:ind w:left="1269"/>
        <w:rPr>
          <w:sz w:val="21"/>
        </w:rPr>
      </w:pPr>
      <w:r>
        <w:rPr>
          <w:color w:val="5B5B5B"/>
          <w:w w:val="75"/>
          <w:sz w:val="21"/>
        </w:rPr>
        <w:t>—</w:t>
      </w:r>
      <w:r>
        <w:rPr>
          <w:color w:val="5B5B5B"/>
          <w:w w:val="75"/>
          <w:sz w:val="21"/>
        </w:rPr>
        <w:tab/>
      </w:r>
      <w:r>
        <w:rPr>
          <w:sz w:val="21"/>
        </w:rPr>
        <w:t>complying</w:t>
      </w:r>
      <w:r>
        <w:rPr>
          <w:spacing w:val="-18"/>
          <w:sz w:val="21"/>
        </w:rPr>
        <w:t xml:space="preserve"> </w:t>
      </w:r>
      <w:r>
        <w:rPr>
          <w:sz w:val="21"/>
        </w:rPr>
        <w:t>with</w:t>
      </w:r>
      <w:r>
        <w:rPr>
          <w:spacing w:val="-20"/>
          <w:sz w:val="21"/>
        </w:rPr>
        <w:t xml:space="preserve"> </w:t>
      </w:r>
      <w:r>
        <w:rPr>
          <w:sz w:val="21"/>
        </w:rPr>
        <w:t>Australian</w:t>
      </w:r>
      <w:r>
        <w:rPr>
          <w:spacing w:val="-14"/>
          <w:sz w:val="21"/>
        </w:rPr>
        <w:t xml:space="preserve"> </w:t>
      </w:r>
      <w:r>
        <w:rPr>
          <w:sz w:val="21"/>
        </w:rPr>
        <w:t>Accounting</w:t>
      </w:r>
      <w:r>
        <w:rPr>
          <w:spacing w:val="-10"/>
          <w:sz w:val="21"/>
        </w:rPr>
        <w:t xml:space="preserve"> </w:t>
      </w:r>
      <w:r>
        <w:rPr>
          <w:sz w:val="21"/>
        </w:rPr>
        <w:t>Standards</w:t>
      </w:r>
      <w:r>
        <w:rPr>
          <w:spacing w:val="-8"/>
          <w:sz w:val="21"/>
        </w:rPr>
        <w:t xml:space="preserve"> </w:t>
      </w:r>
      <w:r>
        <w:rPr>
          <w:sz w:val="21"/>
        </w:rPr>
        <w:t>and</w:t>
      </w:r>
      <w:r>
        <w:rPr>
          <w:spacing w:val="-19"/>
          <w:sz w:val="21"/>
        </w:rPr>
        <w:t xml:space="preserve"> </w:t>
      </w:r>
      <w:r>
        <w:rPr>
          <w:sz w:val="21"/>
        </w:rPr>
        <w:t>the</w:t>
      </w:r>
      <w:r>
        <w:rPr>
          <w:spacing w:val="-26"/>
          <w:sz w:val="21"/>
        </w:rPr>
        <w:t xml:space="preserve"> </w:t>
      </w:r>
      <w:r>
        <w:rPr>
          <w:sz w:val="21"/>
        </w:rPr>
        <w:t>Corporations</w:t>
      </w:r>
      <w:r>
        <w:rPr>
          <w:spacing w:val="-14"/>
          <w:sz w:val="21"/>
        </w:rPr>
        <w:t xml:space="preserve"> </w:t>
      </w:r>
      <w:r>
        <w:rPr>
          <w:sz w:val="21"/>
        </w:rPr>
        <w:t>Regulations</w:t>
      </w:r>
      <w:r>
        <w:rPr>
          <w:spacing w:val="-7"/>
          <w:sz w:val="21"/>
        </w:rPr>
        <w:t xml:space="preserve"> </w:t>
      </w:r>
      <w:r>
        <w:rPr>
          <w:sz w:val="21"/>
        </w:rPr>
        <w:t>2001</w:t>
      </w:r>
    </w:p>
    <w:p w14:paraId="32DA4F90" w14:textId="77777777" w:rsidR="00FA4AA8" w:rsidRDefault="0015611F">
      <w:pPr>
        <w:pStyle w:val="ListParagraph"/>
        <w:numPr>
          <w:ilvl w:val="0"/>
          <w:numId w:val="21"/>
        </w:numPr>
        <w:tabs>
          <w:tab w:val="left" w:pos="1252"/>
          <w:tab w:val="left" w:pos="1253"/>
        </w:tabs>
        <w:spacing w:before="61" w:line="242" w:lineRule="auto"/>
        <w:ind w:right="990" w:hanging="565"/>
        <w:rPr>
          <w:sz w:val="21"/>
        </w:rPr>
      </w:pPr>
      <w:r>
        <w:rPr>
          <w:sz w:val="21"/>
        </w:rPr>
        <w:t>are</w:t>
      </w:r>
      <w:r>
        <w:rPr>
          <w:spacing w:val="-29"/>
          <w:sz w:val="21"/>
        </w:rPr>
        <w:t xml:space="preserve"> </w:t>
      </w:r>
      <w:r>
        <w:rPr>
          <w:sz w:val="21"/>
        </w:rPr>
        <w:t>in</w:t>
      </w:r>
      <w:r>
        <w:rPr>
          <w:spacing w:val="-29"/>
          <w:sz w:val="21"/>
        </w:rPr>
        <w:t xml:space="preserve"> </w:t>
      </w:r>
      <w:r>
        <w:rPr>
          <w:sz w:val="21"/>
        </w:rPr>
        <w:t>accordance</w:t>
      </w:r>
      <w:r>
        <w:rPr>
          <w:spacing w:val="-18"/>
          <w:sz w:val="21"/>
        </w:rPr>
        <w:t xml:space="preserve"> </w:t>
      </w:r>
      <w:r>
        <w:rPr>
          <w:sz w:val="21"/>
        </w:rPr>
        <w:t>with</w:t>
      </w:r>
      <w:r>
        <w:rPr>
          <w:spacing w:val="-27"/>
          <w:sz w:val="21"/>
        </w:rPr>
        <w:t xml:space="preserve"> </w:t>
      </w:r>
      <w:r>
        <w:rPr>
          <w:sz w:val="21"/>
        </w:rPr>
        <w:t>section</w:t>
      </w:r>
      <w:r>
        <w:rPr>
          <w:spacing w:val="-22"/>
          <w:sz w:val="21"/>
        </w:rPr>
        <w:t xml:space="preserve"> </w:t>
      </w:r>
      <w:r>
        <w:rPr>
          <w:sz w:val="21"/>
        </w:rPr>
        <w:t>41C</w:t>
      </w:r>
      <w:r>
        <w:rPr>
          <w:spacing w:val="-24"/>
          <w:sz w:val="21"/>
        </w:rPr>
        <w:t xml:space="preserve"> </w:t>
      </w:r>
      <w:r>
        <w:rPr>
          <w:sz w:val="21"/>
        </w:rPr>
        <w:t>of</w:t>
      </w:r>
      <w:r>
        <w:rPr>
          <w:spacing w:val="-31"/>
          <w:sz w:val="21"/>
        </w:rPr>
        <w:t xml:space="preserve"> </w:t>
      </w:r>
      <w:r>
        <w:rPr>
          <w:sz w:val="21"/>
        </w:rPr>
        <w:t>the</w:t>
      </w:r>
      <w:r>
        <w:rPr>
          <w:spacing w:val="-27"/>
          <w:sz w:val="21"/>
        </w:rPr>
        <w:t xml:space="preserve"> </w:t>
      </w:r>
      <w:r>
        <w:rPr>
          <w:i/>
          <w:sz w:val="21"/>
        </w:rPr>
        <w:t>Public</w:t>
      </w:r>
      <w:r>
        <w:rPr>
          <w:i/>
          <w:spacing w:val="-26"/>
          <w:sz w:val="21"/>
        </w:rPr>
        <w:t xml:space="preserve"> </w:t>
      </w:r>
      <w:r>
        <w:rPr>
          <w:i/>
          <w:sz w:val="21"/>
        </w:rPr>
        <w:t>Finance</w:t>
      </w:r>
      <w:r>
        <w:rPr>
          <w:i/>
          <w:spacing w:val="-26"/>
          <w:sz w:val="21"/>
        </w:rPr>
        <w:t xml:space="preserve"> </w:t>
      </w:r>
      <w:r>
        <w:rPr>
          <w:i/>
          <w:sz w:val="21"/>
        </w:rPr>
        <w:t>and</w:t>
      </w:r>
      <w:r>
        <w:rPr>
          <w:i/>
          <w:spacing w:val="-20"/>
          <w:sz w:val="21"/>
        </w:rPr>
        <w:t xml:space="preserve"> </w:t>
      </w:r>
      <w:r>
        <w:rPr>
          <w:i/>
          <w:sz w:val="21"/>
        </w:rPr>
        <w:t>Audit</w:t>
      </w:r>
      <w:r>
        <w:rPr>
          <w:i/>
          <w:spacing w:val="-24"/>
          <w:sz w:val="21"/>
        </w:rPr>
        <w:t xml:space="preserve"> </w:t>
      </w:r>
      <w:r>
        <w:rPr>
          <w:i/>
          <w:sz w:val="21"/>
        </w:rPr>
        <w:t>Act</w:t>
      </w:r>
      <w:r>
        <w:rPr>
          <w:i/>
          <w:spacing w:val="29"/>
          <w:sz w:val="21"/>
        </w:rPr>
        <w:t xml:space="preserve"> </w:t>
      </w:r>
      <w:r>
        <w:rPr>
          <w:sz w:val="21"/>
        </w:rPr>
        <w:t>983</w:t>
      </w:r>
      <w:r>
        <w:rPr>
          <w:spacing w:val="-32"/>
          <w:sz w:val="21"/>
        </w:rPr>
        <w:t xml:space="preserve"> </w:t>
      </w:r>
      <w:r>
        <w:rPr>
          <w:sz w:val="21"/>
        </w:rPr>
        <w:t>(PF&amp;A</w:t>
      </w:r>
      <w:r>
        <w:rPr>
          <w:spacing w:val="-20"/>
          <w:sz w:val="21"/>
        </w:rPr>
        <w:t xml:space="preserve"> </w:t>
      </w:r>
      <w:r>
        <w:rPr>
          <w:sz w:val="21"/>
        </w:rPr>
        <w:t>Act)</w:t>
      </w:r>
      <w:r>
        <w:rPr>
          <w:spacing w:val="-25"/>
          <w:sz w:val="21"/>
        </w:rPr>
        <w:t xml:space="preserve"> </w:t>
      </w:r>
      <w:r>
        <w:rPr>
          <w:sz w:val="21"/>
        </w:rPr>
        <w:t xml:space="preserve">and the </w:t>
      </w:r>
      <w:r>
        <w:rPr>
          <w:color w:val="151515"/>
          <w:sz w:val="21"/>
        </w:rPr>
        <w:t xml:space="preserve">Public </w:t>
      </w:r>
      <w:r>
        <w:rPr>
          <w:sz w:val="21"/>
        </w:rPr>
        <w:t>Finance and Audit Regulation</w:t>
      </w:r>
      <w:r>
        <w:rPr>
          <w:spacing w:val="15"/>
          <w:sz w:val="21"/>
        </w:rPr>
        <w:t xml:space="preserve"> </w:t>
      </w:r>
      <w:r>
        <w:rPr>
          <w:sz w:val="21"/>
        </w:rPr>
        <w:t>2015</w:t>
      </w:r>
    </w:p>
    <w:p w14:paraId="7C2B184E" w14:textId="77777777" w:rsidR="00FA4AA8" w:rsidRDefault="0015611F">
      <w:pPr>
        <w:pStyle w:val="Heading9"/>
        <w:spacing w:before="55" w:line="241" w:lineRule="exact"/>
        <w:ind w:left="1255"/>
      </w:pPr>
      <w:r>
        <w:t xml:space="preserve">have been prepared in accordance with Division 60 of the Australian Charities </w:t>
      </w:r>
      <w:r>
        <w:rPr>
          <w:color w:val="0E0E0E"/>
        </w:rPr>
        <w:t>and</w:t>
      </w:r>
    </w:p>
    <w:p w14:paraId="1C50761A" w14:textId="77777777" w:rsidR="00FA4AA8" w:rsidRDefault="0015611F">
      <w:pPr>
        <w:ind w:left="1253" w:right="1825" w:firstLine="15"/>
        <w:rPr>
          <w:sz w:val="21"/>
        </w:rPr>
      </w:pPr>
      <w:r>
        <w:rPr>
          <w:w w:val="95"/>
          <w:sz w:val="21"/>
        </w:rPr>
        <w:t>/\lot-low-pro/lbs</w:t>
      </w:r>
      <w:r>
        <w:rPr>
          <w:spacing w:val="-28"/>
          <w:w w:val="95"/>
          <w:sz w:val="21"/>
        </w:rPr>
        <w:t xml:space="preserve"> </w:t>
      </w:r>
      <w:r>
        <w:rPr>
          <w:i/>
          <w:w w:val="95"/>
          <w:sz w:val="21"/>
        </w:rPr>
        <w:t>Commission</w:t>
      </w:r>
      <w:r>
        <w:rPr>
          <w:i/>
          <w:spacing w:val="-9"/>
          <w:w w:val="95"/>
          <w:sz w:val="21"/>
        </w:rPr>
        <w:t xml:space="preserve"> </w:t>
      </w:r>
      <w:r>
        <w:rPr>
          <w:i/>
          <w:w w:val="95"/>
          <w:sz w:val="21"/>
        </w:rPr>
        <w:t>Act</w:t>
      </w:r>
      <w:r>
        <w:rPr>
          <w:i/>
          <w:spacing w:val="-21"/>
          <w:w w:val="95"/>
          <w:sz w:val="21"/>
        </w:rPr>
        <w:t xml:space="preserve"> </w:t>
      </w:r>
      <w:r>
        <w:rPr>
          <w:i/>
          <w:w w:val="95"/>
          <w:sz w:val="21"/>
        </w:rPr>
        <w:t>2012</w:t>
      </w:r>
      <w:r>
        <w:rPr>
          <w:i/>
          <w:spacing w:val="-15"/>
          <w:w w:val="95"/>
          <w:sz w:val="21"/>
        </w:rPr>
        <w:t xml:space="preserve"> </w:t>
      </w:r>
      <w:r>
        <w:rPr>
          <w:w w:val="95"/>
          <w:sz w:val="21"/>
        </w:rPr>
        <w:t>and</w:t>
      </w:r>
      <w:r>
        <w:rPr>
          <w:spacing w:val="-19"/>
          <w:w w:val="95"/>
          <w:sz w:val="21"/>
        </w:rPr>
        <w:t xml:space="preserve"> </w:t>
      </w:r>
      <w:r>
        <w:rPr>
          <w:w w:val="95"/>
          <w:sz w:val="21"/>
        </w:rPr>
        <w:t>Division</w:t>
      </w:r>
      <w:r>
        <w:rPr>
          <w:spacing w:val="-15"/>
          <w:w w:val="95"/>
          <w:sz w:val="21"/>
        </w:rPr>
        <w:t xml:space="preserve"> </w:t>
      </w:r>
      <w:r>
        <w:rPr>
          <w:w w:val="95"/>
          <w:sz w:val="21"/>
        </w:rPr>
        <w:t>60</w:t>
      </w:r>
      <w:r>
        <w:rPr>
          <w:spacing w:val="-24"/>
          <w:w w:val="95"/>
          <w:sz w:val="21"/>
        </w:rPr>
        <w:t xml:space="preserve"> </w:t>
      </w:r>
      <w:r>
        <w:rPr>
          <w:w w:val="95"/>
          <w:sz w:val="21"/>
        </w:rPr>
        <w:t>of</w:t>
      </w:r>
      <w:r>
        <w:rPr>
          <w:spacing w:val="-18"/>
          <w:w w:val="95"/>
          <w:sz w:val="21"/>
        </w:rPr>
        <w:t xml:space="preserve"> </w:t>
      </w:r>
      <w:r>
        <w:rPr>
          <w:w w:val="95"/>
          <w:sz w:val="21"/>
        </w:rPr>
        <w:t>the</w:t>
      </w:r>
      <w:r>
        <w:rPr>
          <w:spacing w:val="-17"/>
          <w:w w:val="95"/>
          <w:sz w:val="21"/>
        </w:rPr>
        <w:t xml:space="preserve"> </w:t>
      </w:r>
      <w:r>
        <w:rPr>
          <w:w w:val="95"/>
          <w:sz w:val="21"/>
        </w:rPr>
        <w:t>Australian</w:t>
      </w:r>
      <w:r>
        <w:rPr>
          <w:spacing w:val="-14"/>
          <w:w w:val="95"/>
          <w:sz w:val="21"/>
        </w:rPr>
        <w:t xml:space="preserve"> </w:t>
      </w:r>
      <w:r>
        <w:rPr>
          <w:w w:val="95"/>
          <w:sz w:val="21"/>
        </w:rPr>
        <w:t>Charities</w:t>
      </w:r>
      <w:r>
        <w:rPr>
          <w:spacing w:val="-10"/>
          <w:w w:val="95"/>
          <w:sz w:val="21"/>
        </w:rPr>
        <w:t xml:space="preserve"> </w:t>
      </w:r>
      <w:r>
        <w:rPr>
          <w:w w:val="95"/>
          <w:sz w:val="21"/>
        </w:rPr>
        <w:t xml:space="preserve">and </w:t>
      </w:r>
      <w:r>
        <w:rPr>
          <w:sz w:val="21"/>
        </w:rPr>
        <w:t>Not-for-profits Commission Regulation</w:t>
      </w:r>
      <w:r>
        <w:rPr>
          <w:spacing w:val="18"/>
          <w:sz w:val="21"/>
        </w:rPr>
        <w:t xml:space="preserve"> </w:t>
      </w:r>
      <w:r>
        <w:rPr>
          <w:sz w:val="21"/>
        </w:rPr>
        <w:t>2013</w:t>
      </w:r>
    </w:p>
    <w:p w14:paraId="55CF9065" w14:textId="77777777" w:rsidR="00FA4AA8" w:rsidRDefault="00FA4AA8">
      <w:pPr>
        <w:pStyle w:val="BodyText"/>
        <w:spacing w:before="2"/>
        <w:rPr>
          <w:sz w:val="17"/>
        </w:rPr>
      </w:pPr>
    </w:p>
    <w:p w14:paraId="16E36170" w14:textId="77777777" w:rsidR="00FA4AA8" w:rsidRDefault="0015611F">
      <w:pPr>
        <w:ind w:left="687"/>
        <w:rPr>
          <w:sz w:val="21"/>
        </w:rPr>
      </w:pPr>
      <w:r>
        <w:rPr>
          <w:sz w:val="21"/>
        </w:rPr>
        <w:t>My opinion should be read in conjunction with the rest of this report.</w:t>
      </w:r>
    </w:p>
    <w:p w14:paraId="2C1DCAFF" w14:textId="77777777" w:rsidR="00FA4AA8" w:rsidRDefault="0015611F">
      <w:pPr>
        <w:spacing w:before="172"/>
        <w:ind w:left="680"/>
        <w:rPr>
          <w:sz w:val="24"/>
        </w:rPr>
      </w:pPr>
      <w:r>
        <w:rPr>
          <w:w w:val="110"/>
          <w:sz w:val="24"/>
        </w:rPr>
        <w:t>Basis for Opinion</w:t>
      </w:r>
    </w:p>
    <w:p w14:paraId="0E017327" w14:textId="77777777" w:rsidR="00FA4AA8" w:rsidRDefault="0015611F">
      <w:pPr>
        <w:spacing w:before="113"/>
        <w:ind w:left="691" w:right="697" w:hanging="14"/>
        <w:rPr>
          <w:sz w:val="21"/>
        </w:rPr>
      </w:pPr>
      <w:r>
        <w:rPr>
          <w:w w:val="95"/>
          <w:sz w:val="21"/>
        </w:rPr>
        <w:t>I</w:t>
      </w:r>
      <w:r>
        <w:rPr>
          <w:spacing w:val="-17"/>
          <w:w w:val="95"/>
          <w:sz w:val="21"/>
        </w:rPr>
        <w:t xml:space="preserve"> </w:t>
      </w:r>
      <w:r>
        <w:rPr>
          <w:w w:val="95"/>
          <w:sz w:val="21"/>
        </w:rPr>
        <w:t>conducted</w:t>
      </w:r>
      <w:r>
        <w:rPr>
          <w:spacing w:val="5"/>
          <w:w w:val="95"/>
          <w:sz w:val="21"/>
        </w:rPr>
        <w:t xml:space="preserve"> </w:t>
      </w:r>
      <w:r>
        <w:rPr>
          <w:w w:val="95"/>
          <w:sz w:val="21"/>
        </w:rPr>
        <w:t>my</w:t>
      </w:r>
      <w:r>
        <w:rPr>
          <w:spacing w:val="-1"/>
          <w:w w:val="95"/>
          <w:sz w:val="21"/>
        </w:rPr>
        <w:t xml:space="preserve"> </w:t>
      </w:r>
      <w:r>
        <w:rPr>
          <w:spacing w:val="2"/>
          <w:w w:val="95"/>
          <w:sz w:val="21"/>
        </w:rPr>
        <w:t>audit</w:t>
      </w:r>
      <w:r>
        <w:rPr>
          <w:spacing w:val="-7"/>
          <w:w w:val="95"/>
          <w:sz w:val="21"/>
        </w:rPr>
        <w:t xml:space="preserve"> </w:t>
      </w:r>
      <w:r>
        <w:rPr>
          <w:color w:val="0E0E0E"/>
          <w:w w:val="95"/>
          <w:sz w:val="21"/>
        </w:rPr>
        <w:t>in</w:t>
      </w:r>
      <w:r>
        <w:rPr>
          <w:color w:val="0E0E0E"/>
          <w:spacing w:val="-11"/>
          <w:w w:val="95"/>
          <w:sz w:val="21"/>
        </w:rPr>
        <w:t xml:space="preserve"> </w:t>
      </w:r>
      <w:r>
        <w:rPr>
          <w:w w:val="95"/>
          <w:sz w:val="21"/>
        </w:rPr>
        <w:t>accordance</w:t>
      </w:r>
      <w:r>
        <w:rPr>
          <w:spacing w:val="5"/>
          <w:w w:val="95"/>
          <w:sz w:val="21"/>
        </w:rPr>
        <w:t xml:space="preserve"> </w:t>
      </w:r>
      <w:r>
        <w:rPr>
          <w:w w:val="95"/>
          <w:sz w:val="21"/>
        </w:rPr>
        <w:t>with</w:t>
      </w:r>
      <w:r>
        <w:rPr>
          <w:spacing w:val="-4"/>
          <w:w w:val="95"/>
          <w:sz w:val="21"/>
        </w:rPr>
        <w:t xml:space="preserve"> </w:t>
      </w:r>
      <w:r>
        <w:rPr>
          <w:w w:val="95"/>
          <w:sz w:val="21"/>
        </w:rPr>
        <w:t>Australian</w:t>
      </w:r>
      <w:r>
        <w:rPr>
          <w:spacing w:val="6"/>
          <w:w w:val="95"/>
          <w:sz w:val="21"/>
        </w:rPr>
        <w:t xml:space="preserve"> </w:t>
      </w:r>
      <w:r>
        <w:rPr>
          <w:w w:val="95"/>
          <w:sz w:val="21"/>
        </w:rPr>
        <w:t>Auditing</w:t>
      </w:r>
      <w:r>
        <w:rPr>
          <w:spacing w:val="-3"/>
          <w:w w:val="95"/>
          <w:sz w:val="21"/>
        </w:rPr>
        <w:t xml:space="preserve"> </w:t>
      </w:r>
      <w:r>
        <w:rPr>
          <w:w w:val="95"/>
          <w:sz w:val="21"/>
        </w:rPr>
        <w:t>Standards.</w:t>
      </w:r>
      <w:r>
        <w:rPr>
          <w:spacing w:val="9"/>
          <w:w w:val="95"/>
          <w:sz w:val="21"/>
        </w:rPr>
        <w:t xml:space="preserve"> </w:t>
      </w:r>
      <w:r>
        <w:rPr>
          <w:w w:val="95"/>
          <w:sz w:val="21"/>
        </w:rPr>
        <w:t>My</w:t>
      </w:r>
      <w:r>
        <w:rPr>
          <w:spacing w:val="-6"/>
          <w:w w:val="95"/>
          <w:sz w:val="21"/>
        </w:rPr>
        <w:t xml:space="preserve"> </w:t>
      </w:r>
      <w:r>
        <w:rPr>
          <w:w w:val="95"/>
          <w:sz w:val="21"/>
        </w:rPr>
        <w:t>responsibilities</w:t>
      </w:r>
      <w:r>
        <w:rPr>
          <w:spacing w:val="-16"/>
          <w:w w:val="95"/>
          <w:sz w:val="21"/>
        </w:rPr>
        <w:t xml:space="preserve"> </w:t>
      </w:r>
      <w:r>
        <w:rPr>
          <w:w w:val="95"/>
          <w:sz w:val="21"/>
        </w:rPr>
        <w:t>under</w:t>
      </w:r>
      <w:r>
        <w:rPr>
          <w:spacing w:val="-4"/>
          <w:w w:val="95"/>
          <w:sz w:val="21"/>
        </w:rPr>
        <w:t xml:space="preserve"> </w:t>
      </w:r>
      <w:r>
        <w:rPr>
          <w:w w:val="95"/>
          <w:sz w:val="21"/>
        </w:rPr>
        <w:t xml:space="preserve">the </w:t>
      </w:r>
      <w:r>
        <w:rPr>
          <w:sz w:val="21"/>
        </w:rPr>
        <w:t>standards</w:t>
      </w:r>
      <w:r>
        <w:rPr>
          <w:spacing w:val="-28"/>
          <w:sz w:val="21"/>
        </w:rPr>
        <w:t xml:space="preserve"> </w:t>
      </w:r>
      <w:r>
        <w:rPr>
          <w:sz w:val="21"/>
        </w:rPr>
        <w:t>are</w:t>
      </w:r>
      <w:r>
        <w:rPr>
          <w:spacing w:val="-36"/>
          <w:sz w:val="21"/>
        </w:rPr>
        <w:t xml:space="preserve"> </w:t>
      </w:r>
      <w:r>
        <w:rPr>
          <w:sz w:val="21"/>
        </w:rPr>
        <w:t>described</w:t>
      </w:r>
      <w:r>
        <w:rPr>
          <w:spacing w:val="-29"/>
          <w:sz w:val="21"/>
        </w:rPr>
        <w:t xml:space="preserve"> </w:t>
      </w:r>
      <w:r>
        <w:rPr>
          <w:color w:val="242424"/>
          <w:sz w:val="21"/>
        </w:rPr>
        <w:t>in</w:t>
      </w:r>
      <w:r>
        <w:rPr>
          <w:color w:val="242424"/>
          <w:spacing w:val="-33"/>
          <w:sz w:val="21"/>
        </w:rPr>
        <w:t xml:space="preserve"> </w:t>
      </w:r>
      <w:r>
        <w:rPr>
          <w:sz w:val="21"/>
        </w:rPr>
        <w:t>the</w:t>
      </w:r>
      <w:r>
        <w:rPr>
          <w:spacing w:val="-30"/>
          <w:sz w:val="21"/>
        </w:rPr>
        <w:t xml:space="preserve"> </w:t>
      </w:r>
      <w:r>
        <w:rPr>
          <w:sz w:val="21"/>
        </w:rPr>
        <w:t>Auditor’s</w:t>
      </w:r>
      <w:r>
        <w:rPr>
          <w:spacing w:val="-29"/>
          <w:sz w:val="21"/>
        </w:rPr>
        <w:t xml:space="preserve"> </w:t>
      </w:r>
      <w:r>
        <w:rPr>
          <w:sz w:val="21"/>
        </w:rPr>
        <w:t>Responsibilities</w:t>
      </w:r>
      <w:r>
        <w:rPr>
          <w:spacing w:val="-35"/>
          <w:sz w:val="21"/>
        </w:rPr>
        <w:t xml:space="preserve"> </w:t>
      </w:r>
      <w:r>
        <w:rPr>
          <w:color w:val="0F0F0F"/>
          <w:sz w:val="21"/>
        </w:rPr>
        <w:t>for</w:t>
      </w:r>
      <w:r>
        <w:rPr>
          <w:color w:val="0F0F0F"/>
          <w:spacing w:val="-35"/>
          <w:sz w:val="21"/>
        </w:rPr>
        <w:t xml:space="preserve"> </w:t>
      </w:r>
      <w:r>
        <w:rPr>
          <w:sz w:val="21"/>
        </w:rPr>
        <w:t>the</w:t>
      </w:r>
      <w:r>
        <w:rPr>
          <w:spacing w:val="-34"/>
          <w:sz w:val="21"/>
        </w:rPr>
        <w:t xml:space="preserve"> </w:t>
      </w:r>
      <w:r>
        <w:rPr>
          <w:sz w:val="21"/>
        </w:rPr>
        <w:t>’Audit</w:t>
      </w:r>
      <w:r>
        <w:rPr>
          <w:spacing w:val="-37"/>
          <w:sz w:val="21"/>
        </w:rPr>
        <w:t xml:space="preserve"> </w:t>
      </w:r>
      <w:r>
        <w:rPr>
          <w:sz w:val="21"/>
        </w:rPr>
        <w:t>of</w:t>
      </w:r>
      <w:r>
        <w:rPr>
          <w:spacing w:val="-34"/>
          <w:sz w:val="21"/>
        </w:rPr>
        <w:t xml:space="preserve"> </w:t>
      </w:r>
      <w:r>
        <w:rPr>
          <w:sz w:val="21"/>
        </w:rPr>
        <w:t>the</w:t>
      </w:r>
      <w:r>
        <w:rPr>
          <w:spacing w:val="-36"/>
          <w:sz w:val="21"/>
        </w:rPr>
        <w:t xml:space="preserve"> </w:t>
      </w:r>
      <w:r>
        <w:rPr>
          <w:sz w:val="21"/>
        </w:rPr>
        <w:t>Financia1</w:t>
      </w:r>
      <w:r>
        <w:rPr>
          <w:spacing w:val="-35"/>
          <w:sz w:val="21"/>
        </w:rPr>
        <w:t xml:space="preserve"> </w:t>
      </w:r>
      <w:r>
        <w:rPr>
          <w:sz w:val="21"/>
        </w:rPr>
        <w:t xml:space="preserve">Statements’ section of </w:t>
      </w:r>
      <w:r>
        <w:rPr>
          <w:color w:val="131313"/>
          <w:sz w:val="21"/>
        </w:rPr>
        <w:t>my</w:t>
      </w:r>
      <w:r>
        <w:rPr>
          <w:color w:val="131313"/>
          <w:spacing w:val="2"/>
          <w:sz w:val="21"/>
        </w:rPr>
        <w:t xml:space="preserve"> </w:t>
      </w:r>
      <w:r>
        <w:rPr>
          <w:sz w:val="21"/>
        </w:rPr>
        <w:t>report.</w:t>
      </w:r>
    </w:p>
    <w:p w14:paraId="68AB62D3" w14:textId="77777777" w:rsidR="00FA4AA8" w:rsidRDefault="0015611F">
      <w:pPr>
        <w:spacing w:before="163"/>
        <w:ind w:left="688"/>
        <w:rPr>
          <w:sz w:val="21"/>
        </w:rPr>
      </w:pPr>
      <w:r>
        <w:rPr>
          <w:sz w:val="21"/>
        </w:rPr>
        <w:t xml:space="preserve">I am independent of </w:t>
      </w:r>
      <w:r>
        <w:rPr>
          <w:color w:val="0E0E0E"/>
          <w:sz w:val="21"/>
        </w:rPr>
        <w:t xml:space="preserve">the </w:t>
      </w:r>
      <w:r>
        <w:rPr>
          <w:sz w:val="21"/>
        </w:rPr>
        <w:t>Company in accordance with the requirements of the:</w:t>
      </w:r>
    </w:p>
    <w:p w14:paraId="11FB39AF" w14:textId="77777777" w:rsidR="00FA4AA8" w:rsidRDefault="0015611F">
      <w:pPr>
        <w:pStyle w:val="ListParagraph"/>
        <w:numPr>
          <w:ilvl w:val="0"/>
          <w:numId w:val="21"/>
        </w:numPr>
        <w:tabs>
          <w:tab w:val="left" w:pos="1255"/>
          <w:tab w:val="left" w:pos="1256"/>
        </w:tabs>
        <w:spacing w:before="172"/>
        <w:ind w:left="1255" w:hanging="569"/>
        <w:rPr>
          <w:sz w:val="21"/>
        </w:rPr>
      </w:pPr>
      <w:r>
        <w:rPr>
          <w:sz w:val="21"/>
        </w:rPr>
        <w:t>Australian Auditing</w:t>
      </w:r>
      <w:r>
        <w:rPr>
          <w:spacing w:val="-27"/>
          <w:sz w:val="21"/>
        </w:rPr>
        <w:t xml:space="preserve"> </w:t>
      </w:r>
      <w:r>
        <w:rPr>
          <w:sz w:val="21"/>
        </w:rPr>
        <w:t>Standards</w:t>
      </w:r>
    </w:p>
    <w:p w14:paraId="6DE099CE" w14:textId="77777777" w:rsidR="00FA4AA8" w:rsidRDefault="0015611F">
      <w:pPr>
        <w:pStyle w:val="ListParagraph"/>
        <w:numPr>
          <w:ilvl w:val="0"/>
          <w:numId w:val="21"/>
        </w:numPr>
        <w:tabs>
          <w:tab w:val="left" w:pos="1263"/>
          <w:tab w:val="left" w:pos="1265"/>
        </w:tabs>
        <w:spacing w:before="56"/>
        <w:ind w:left="1264" w:hanging="578"/>
        <w:rPr>
          <w:i/>
          <w:sz w:val="21"/>
        </w:rPr>
      </w:pPr>
      <w:r>
        <w:rPr>
          <w:sz w:val="21"/>
        </w:rPr>
        <w:t>Corporations 4o/</w:t>
      </w:r>
      <w:r>
        <w:rPr>
          <w:spacing w:val="12"/>
          <w:sz w:val="21"/>
        </w:rPr>
        <w:t xml:space="preserve"> </w:t>
      </w:r>
      <w:r>
        <w:rPr>
          <w:i/>
          <w:sz w:val="21"/>
        </w:rPr>
        <w:t>2001</w:t>
      </w:r>
    </w:p>
    <w:p w14:paraId="5C796C9E" w14:textId="77777777" w:rsidR="00FA4AA8" w:rsidRDefault="0015611F">
      <w:pPr>
        <w:pStyle w:val="ListParagraph"/>
        <w:numPr>
          <w:ilvl w:val="0"/>
          <w:numId w:val="21"/>
        </w:numPr>
        <w:tabs>
          <w:tab w:val="left" w:pos="1265"/>
          <w:tab w:val="left" w:pos="1266"/>
        </w:tabs>
        <w:spacing w:before="61"/>
        <w:ind w:left="1258" w:right="1634" w:hanging="571"/>
        <w:rPr>
          <w:color w:val="0F0F0F"/>
          <w:sz w:val="21"/>
        </w:rPr>
      </w:pPr>
      <w:r>
        <w:rPr>
          <w:w w:val="95"/>
          <w:sz w:val="21"/>
        </w:rPr>
        <w:t xml:space="preserve">Accounting Professional and Ethical Standards Board's APES 110 ‘Code </w:t>
      </w:r>
      <w:r>
        <w:rPr>
          <w:color w:val="0F0F0F"/>
          <w:w w:val="95"/>
          <w:sz w:val="21"/>
        </w:rPr>
        <w:t xml:space="preserve">of </w:t>
      </w:r>
      <w:r>
        <w:rPr>
          <w:w w:val="95"/>
          <w:sz w:val="21"/>
        </w:rPr>
        <w:t xml:space="preserve">Ethics for </w:t>
      </w:r>
      <w:r>
        <w:rPr>
          <w:sz w:val="21"/>
        </w:rPr>
        <w:t>Professional Accountants’ (APES</w:t>
      </w:r>
      <w:r>
        <w:rPr>
          <w:spacing w:val="-5"/>
          <w:sz w:val="21"/>
        </w:rPr>
        <w:t xml:space="preserve"> </w:t>
      </w:r>
      <w:r>
        <w:rPr>
          <w:sz w:val="21"/>
        </w:rPr>
        <w:t>110).</w:t>
      </w:r>
    </w:p>
    <w:p w14:paraId="3948E21C" w14:textId="77777777" w:rsidR="00FA4AA8" w:rsidRDefault="0015611F">
      <w:pPr>
        <w:spacing w:before="194"/>
        <w:ind w:left="683"/>
        <w:rPr>
          <w:sz w:val="21"/>
        </w:rPr>
      </w:pPr>
      <w:r>
        <w:rPr>
          <w:color w:val="232323"/>
          <w:sz w:val="21"/>
        </w:rPr>
        <w:t xml:space="preserve">I </w:t>
      </w:r>
      <w:r>
        <w:rPr>
          <w:sz w:val="21"/>
        </w:rPr>
        <w:t xml:space="preserve">have fulfilled my other ethical responsibilities </w:t>
      </w:r>
      <w:r>
        <w:rPr>
          <w:color w:val="0F0F0F"/>
          <w:sz w:val="21"/>
        </w:rPr>
        <w:t xml:space="preserve">in </w:t>
      </w:r>
      <w:r>
        <w:rPr>
          <w:sz w:val="21"/>
        </w:rPr>
        <w:t>accordance with APES 110.</w:t>
      </w:r>
    </w:p>
    <w:p w14:paraId="3C17178D" w14:textId="77777777" w:rsidR="00FA4AA8" w:rsidRDefault="00FA4AA8">
      <w:pPr>
        <w:pStyle w:val="BodyText"/>
        <w:rPr>
          <w:sz w:val="20"/>
        </w:rPr>
      </w:pPr>
    </w:p>
    <w:p w14:paraId="5CEF4BB8" w14:textId="77777777" w:rsidR="00FA4AA8" w:rsidRDefault="00FA4AA8">
      <w:pPr>
        <w:pStyle w:val="BodyText"/>
        <w:rPr>
          <w:sz w:val="20"/>
        </w:rPr>
      </w:pPr>
    </w:p>
    <w:p w14:paraId="6338C754" w14:textId="77777777" w:rsidR="00FA4AA8" w:rsidRDefault="00FA4AA8">
      <w:pPr>
        <w:pStyle w:val="BodyText"/>
        <w:rPr>
          <w:sz w:val="20"/>
        </w:rPr>
      </w:pPr>
    </w:p>
    <w:p w14:paraId="1443DA87" w14:textId="77777777" w:rsidR="00FA4AA8" w:rsidRDefault="00FA4AA8">
      <w:pPr>
        <w:pStyle w:val="BodyText"/>
        <w:rPr>
          <w:sz w:val="20"/>
        </w:rPr>
      </w:pPr>
    </w:p>
    <w:p w14:paraId="0A232DEF" w14:textId="77777777" w:rsidR="00FA4AA8" w:rsidRDefault="00FA4AA8">
      <w:pPr>
        <w:pStyle w:val="BodyText"/>
        <w:rPr>
          <w:sz w:val="20"/>
        </w:rPr>
      </w:pPr>
    </w:p>
    <w:p w14:paraId="02A5E8D8" w14:textId="77777777" w:rsidR="00FA4AA8" w:rsidRDefault="00FA4AA8">
      <w:pPr>
        <w:pStyle w:val="BodyText"/>
        <w:rPr>
          <w:sz w:val="20"/>
        </w:rPr>
      </w:pPr>
    </w:p>
    <w:p w14:paraId="31E250BB" w14:textId="77777777" w:rsidR="00FA4AA8" w:rsidRDefault="00FA4AA8">
      <w:pPr>
        <w:pStyle w:val="BodyText"/>
        <w:rPr>
          <w:sz w:val="20"/>
        </w:rPr>
      </w:pPr>
    </w:p>
    <w:p w14:paraId="523FDA7F" w14:textId="77777777" w:rsidR="00FA4AA8" w:rsidRDefault="007E2441">
      <w:pPr>
        <w:pStyle w:val="BodyText"/>
        <w:spacing w:before="10"/>
        <w:rPr>
          <w:sz w:val="28"/>
        </w:rPr>
      </w:pPr>
      <w:r>
        <w:rPr>
          <w:noProof/>
          <w:lang w:val="en-AU" w:eastAsia="en-AU"/>
        </w:rPr>
        <mc:AlternateContent>
          <mc:Choice Requires="wps">
            <w:drawing>
              <wp:anchor distT="0" distB="0" distL="0" distR="0" simplePos="0" relativeHeight="487698432" behindDoc="1" locked="0" layoutInCell="1" allowOverlap="1" wp14:anchorId="1AE338ED" wp14:editId="1A0B93EC">
                <wp:simplePos x="0" y="0"/>
                <wp:positionH relativeFrom="page">
                  <wp:posOffset>496570</wp:posOffset>
                </wp:positionH>
                <wp:positionV relativeFrom="paragraph">
                  <wp:posOffset>243205</wp:posOffset>
                </wp:positionV>
                <wp:extent cx="6474460" cy="1270"/>
                <wp:effectExtent l="0" t="0" r="0" b="0"/>
                <wp:wrapTopAndBottom/>
                <wp:docPr id="239"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4460" cy="1270"/>
                        </a:xfrm>
                        <a:custGeom>
                          <a:avLst/>
                          <a:gdLst>
                            <a:gd name="T0" fmla="+- 0 782 782"/>
                            <a:gd name="T1" fmla="*/ T0 w 10196"/>
                            <a:gd name="T2" fmla="+- 0 10978 782"/>
                            <a:gd name="T3" fmla="*/ T2 w 10196"/>
                          </a:gdLst>
                          <a:ahLst/>
                          <a:cxnLst>
                            <a:cxn ang="0">
                              <a:pos x="T1" y="0"/>
                            </a:cxn>
                            <a:cxn ang="0">
                              <a:pos x="T3" y="0"/>
                            </a:cxn>
                          </a:cxnLst>
                          <a:rect l="0" t="0" r="r" b="b"/>
                          <a:pathLst>
                            <a:path w="10196">
                              <a:moveTo>
                                <a:pt x="0" y="0"/>
                              </a:moveTo>
                              <a:lnTo>
                                <a:pt x="10196" y="0"/>
                              </a:lnTo>
                            </a:path>
                          </a:pathLst>
                        </a:custGeom>
                        <a:noFill/>
                        <a:ln w="15241">
                          <a:solidFill>
                            <a:srgbClr val="2626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32ECE" id="Freeform 5" o:spid="_x0000_s1026" style="position:absolute;margin-left:39.1pt;margin-top:19.15pt;width:509.8pt;height:.1pt;z-index:-15618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19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" path="m,l10196,e" filled="f" strokecolor="#262626" strokeweight=".42336mm">
                <v:path arrowok="t" o:connecttype="custom" o:connectlocs="0,0;6474460,0" o:connectangles="0,0"/>
                <w10:wrap type="topAndBottom" anchorx="page"/>
              </v:shape>
            </w:pict>
          </mc:Fallback>
        </mc:AlternateContent>
      </w:r>
    </w:p>
    <w:p w14:paraId="76AE0C54" w14:textId="77777777" w:rsidR="00FA4AA8" w:rsidRDefault="0015611F">
      <w:pPr>
        <w:spacing w:before="118"/>
        <w:ind w:left="1"/>
        <w:jc w:val="center"/>
        <w:rPr>
          <w:sz w:val="16"/>
        </w:rPr>
      </w:pPr>
      <w:r>
        <w:rPr>
          <w:w w:val="90"/>
          <w:sz w:val="16"/>
        </w:rPr>
        <w:t xml:space="preserve">Level 1S, </w:t>
      </w:r>
      <w:r>
        <w:rPr>
          <w:color w:val="2D2D2D"/>
          <w:w w:val="90"/>
          <w:sz w:val="16"/>
        </w:rPr>
        <w:t xml:space="preserve">1 </w:t>
      </w:r>
      <w:r>
        <w:rPr>
          <w:w w:val="90"/>
          <w:sz w:val="16"/>
        </w:rPr>
        <w:t xml:space="preserve">Margaret Street, Sydney NSW t000 </w:t>
      </w:r>
      <w:r>
        <w:rPr>
          <w:color w:val="212121"/>
          <w:w w:val="90"/>
          <w:sz w:val="16"/>
        </w:rPr>
        <w:t xml:space="preserve">I </w:t>
      </w:r>
      <w:r>
        <w:rPr>
          <w:color w:val="0F0F0F"/>
          <w:w w:val="90"/>
          <w:sz w:val="16"/>
        </w:rPr>
        <w:t xml:space="preserve">GPO </w:t>
      </w:r>
      <w:r>
        <w:rPr>
          <w:w w:val="90"/>
          <w:sz w:val="16"/>
        </w:rPr>
        <w:t xml:space="preserve">Box 12, Sydney NSW 200J </w:t>
      </w:r>
      <w:r>
        <w:rPr>
          <w:color w:val="4B4B4B"/>
          <w:w w:val="85"/>
          <w:sz w:val="16"/>
        </w:rPr>
        <w:t xml:space="preserve">1 </w:t>
      </w:r>
      <w:r>
        <w:rPr>
          <w:w w:val="85"/>
          <w:sz w:val="16"/>
        </w:rPr>
        <w:t xml:space="preserve">1 </w:t>
      </w:r>
      <w:r>
        <w:rPr>
          <w:color w:val="2D2D2D"/>
          <w:w w:val="90"/>
          <w:sz w:val="16"/>
        </w:rPr>
        <w:t xml:space="preserve">02 </w:t>
      </w:r>
      <w:r>
        <w:rPr>
          <w:color w:val="0E0E0E"/>
          <w:w w:val="90"/>
          <w:sz w:val="16"/>
        </w:rPr>
        <w:t xml:space="preserve">9275 </w:t>
      </w:r>
      <w:r>
        <w:rPr>
          <w:color w:val="1F1F1F"/>
          <w:w w:val="90"/>
          <w:sz w:val="16"/>
        </w:rPr>
        <w:t>71</w:t>
      </w:r>
      <w:r>
        <w:rPr>
          <w:color w:val="0F0F0F"/>
          <w:w w:val="90"/>
          <w:sz w:val="16"/>
        </w:rPr>
        <w:t xml:space="preserve">OJ </w:t>
      </w:r>
      <w:r>
        <w:rPr>
          <w:color w:val="2D2D2D"/>
          <w:w w:val="85"/>
          <w:sz w:val="16"/>
        </w:rPr>
        <w:t xml:space="preserve">I </w:t>
      </w:r>
      <w:r>
        <w:rPr>
          <w:w w:val="90"/>
          <w:sz w:val="16"/>
        </w:rPr>
        <w:t xml:space="preserve">f 02 </w:t>
      </w:r>
      <w:r>
        <w:rPr>
          <w:color w:val="2A2A2A"/>
          <w:w w:val="90"/>
          <w:sz w:val="16"/>
        </w:rPr>
        <w:t xml:space="preserve">9275 </w:t>
      </w:r>
      <w:r>
        <w:rPr>
          <w:w w:val="90"/>
          <w:sz w:val="16"/>
        </w:rPr>
        <w:t xml:space="preserve">7179 </w:t>
      </w:r>
      <w:r>
        <w:rPr>
          <w:color w:val="363636"/>
          <w:w w:val="90"/>
          <w:sz w:val="16"/>
        </w:rPr>
        <w:t xml:space="preserve">I </w:t>
      </w:r>
      <w:r>
        <w:rPr>
          <w:w w:val="90"/>
          <w:sz w:val="16"/>
        </w:rPr>
        <w:t xml:space="preserve">e </w:t>
      </w:r>
      <w:hyperlink r:id="rId305">
        <w:r>
          <w:rPr>
            <w:w w:val="90"/>
            <w:sz w:val="16"/>
          </w:rPr>
          <w:t xml:space="preserve">mail@audit.new.gov.au </w:t>
        </w:r>
      </w:hyperlink>
      <w:r>
        <w:rPr>
          <w:color w:val="3D3D3D"/>
          <w:w w:val="90"/>
          <w:sz w:val="16"/>
        </w:rPr>
        <w:t xml:space="preserve">I </w:t>
      </w:r>
      <w:r>
        <w:rPr>
          <w:w w:val="90"/>
          <w:sz w:val="16"/>
        </w:rPr>
        <w:t>audit.new.gov.au</w:t>
      </w:r>
    </w:p>
    <w:p w14:paraId="0E1BFCB0" w14:textId="77777777" w:rsidR="00FA4AA8" w:rsidRDefault="00FA4AA8">
      <w:pPr>
        <w:jc w:val="center"/>
        <w:rPr>
          <w:sz w:val="16"/>
        </w:rPr>
        <w:sectPr w:rsidR="00FA4AA8">
          <w:headerReference w:type="default" r:id="rId306"/>
          <w:footerReference w:type="default" r:id="rId307"/>
          <w:pgSz w:w="11900" w:h="16840"/>
          <w:pgMar w:top="280" w:right="800" w:bottom="720" w:left="660" w:header="0" w:footer="523" w:gutter="0"/>
          <w:pgNumType w:start="243"/>
          <w:cols w:space="720"/>
        </w:sectPr>
      </w:pPr>
    </w:p>
    <w:p w14:paraId="62B99D50" w14:textId="77777777" w:rsidR="00FA4AA8" w:rsidRDefault="0015611F">
      <w:pPr>
        <w:spacing w:before="75" w:line="249" w:lineRule="auto"/>
        <w:ind w:left="697" w:right="1641" w:hanging="1"/>
        <w:rPr>
          <w:sz w:val="20"/>
        </w:rPr>
      </w:pPr>
      <w:r>
        <w:rPr>
          <w:sz w:val="20"/>
        </w:rPr>
        <w:t xml:space="preserve">Parliament promotes independence by ensuring the Auditor-General and the Audit Office of New South Wales are not compromised </w:t>
      </w:r>
      <w:r>
        <w:rPr>
          <w:color w:val="282828"/>
          <w:sz w:val="20"/>
        </w:rPr>
        <w:t xml:space="preserve">in </w:t>
      </w:r>
      <w:r>
        <w:rPr>
          <w:sz w:val="20"/>
        </w:rPr>
        <w:t xml:space="preserve">their roles </w:t>
      </w:r>
      <w:r>
        <w:rPr>
          <w:color w:val="0C0C0C"/>
          <w:sz w:val="20"/>
        </w:rPr>
        <w:t>by:</w:t>
      </w:r>
    </w:p>
    <w:p w14:paraId="05D4FACE" w14:textId="77777777" w:rsidR="00FA4AA8" w:rsidRDefault="0015611F">
      <w:pPr>
        <w:pStyle w:val="ListParagraph"/>
        <w:numPr>
          <w:ilvl w:val="0"/>
          <w:numId w:val="21"/>
        </w:numPr>
        <w:tabs>
          <w:tab w:val="left" w:pos="1254"/>
          <w:tab w:val="left" w:pos="1255"/>
        </w:tabs>
        <w:spacing w:before="170" w:line="213" w:lineRule="auto"/>
        <w:ind w:left="1260" w:right="2047"/>
        <w:rPr>
          <w:sz w:val="23"/>
        </w:rPr>
      </w:pPr>
      <w:r>
        <w:rPr>
          <w:w w:val="90"/>
          <w:sz w:val="23"/>
        </w:rPr>
        <w:t>providing</w:t>
      </w:r>
      <w:r>
        <w:rPr>
          <w:spacing w:val="-26"/>
          <w:w w:val="90"/>
          <w:sz w:val="23"/>
        </w:rPr>
        <w:t xml:space="preserve"> </w:t>
      </w:r>
      <w:r>
        <w:rPr>
          <w:w w:val="90"/>
          <w:sz w:val="23"/>
        </w:rPr>
        <w:t>that</w:t>
      </w:r>
      <w:r>
        <w:rPr>
          <w:spacing w:val="-35"/>
          <w:w w:val="90"/>
          <w:sz w:val="23"/>
        </w:rPr>
        <w:t xml:space="preserve"> </w:t>
      </w:r>
      <w:r>
        <w:rPr>
          <w:w w:val="90"/>
          <w:sz w:val="23"/>
        </w:rPr>
        <w:t>only</w:t>
      </w:r>
      <w:r>
        <w:rPr>
          <w:spacing w:val="-31"/>
          <w:w w:val="90"/>
          <w:sz w:val="23"/>
        </w:rPr>
        <w:t xml:space="preserve"> </w:t>
      </w:r>
      <w:r>
        <w:rPr>
          <w:w w:val="90"/>
          <w:sz w:val="23"/>
        </w:rPr>
        <w:t>Parliament,</w:t>
      </w:r>
      <w:r>
        <w:rPr>
          <w:spacing w:val="-26"/>
          <w:w w:val="90"/>
          <w:sz w:val="23"/>
        </w:rPr>
        <w:t xml:space="preserve"> </w:t>
      </w:r>
      <w:r>
        <w:rPr>
          <w:w w:val="90"/>
          <w:sz w:val="23"/>
        </w:rPr>
        <w:t>and</w:t>
      </w:r>
      <w:r>
        <w:rPr>
          <w:spacing w:val="-36"/>
          <w:w w:val="90"/>
          <w:sz w:val="23"/>
        </w:rPr>
        <w:t xml:space="preserve"> </w:t>
      </w:r>
      <w:r>
        <w:rPr>
          <w:w w:val="90"/>
          <w:sz w:val="23"/>
        </w:rPr>
        <w:t>not</w:t>
      </w:r>
      <w:r>
        <w:rPr>
          <w:spacing w:val="-34"/>
          <w:w w:val="90"/>
          <w:sz w:val="23"/>
        </w:rPr>
        <w:t xml:space="preserve"> </w:t>
      </w:r>
      <w:r>
        <w:rPr>
          <w:w w:val="90"/>
          <w:sz w:val="23"/>
        </w:rPr>
        <w:t>the</w:t>
      </w:r>
      <w:r>
        <w:rPr>
          <w:spacing w:val="-32"/>
          <w:w w:val="90"/>
          <w:sz w:val="23"/>
        </w:rPr>
        <w:t xml:space="preserve"> </w:t>
      </w:r>
      <w:r>
        <w:rPr>
          <w:w w:val="90"/>
          <w:sz w:val="23"/>
        </w:rPr>
        <w:t>executive</w:t>
      </w:r>
      <w:r>
        <w:rPr>
          <w:spacing w:val="-27"/>
          <w:w w:val="90"/>
          <w:sz w:val="23"/>
        </w:rPr>
        <w:t xml:space="preserve"> </w:t>
      </w:r>
      <w:r>
        <w:rPr>
          <w:w w:val="90"/>
          <w:sz w:val="23"/>
        </w:rPr>
        <w:t>government,</w:t>
      </w:r>
      <w:r>
        <w:rPr>
          <w:spacing w:val="-24"/>
          <w:w w:val="90"/>
          <w:sz w:val="23"/>
        </w:rPr>
        <w:t xml:space="preserve"> </w:t>
      </w:r>
      <w:r>
        <w:rPr>
          <w:w w:val="90"/>
          <w:sz w:val="23"/>
        </w:rPr>
        <w:t>can</w:t>
      </w:r>
      <w:r>
        <w:rPr>
          <w:spacing w:val="-31"/>
          <w:w w:val="90"/>
          <w:sz w:val="23"/>
        </w:rPr>
        <w:t xml:space="preserve"> </w:t>
      </w:r>
      <w:r>
        <w:rPr>
          <w:w w:val="90"/>
          <w:sz w:val="23"/>
        </w:rPr>
        <w:t>remove</w:t>
      </w:r>
      <w:r>
        <w:rPr>
          <w:spacing w:val="-26"/>
          <w:w w:val="90"/>
          <w:sz w:val="23"/>
        </w:rPr>
        <w:t xml:space="preserve"> </w:t>
      </w:r>
      <w:r>
        <w:rPr>
          <w:color w:val="131313"/>
          <w:w w:val="90"/>
          <w:sz w:val="23"/>
        </w:rPr>
        <w:t>an</w:t>
      </w:r>
      <w:r>
        <w:rPr>
          <w:w w:val="90"/>
          <w:sz w:val="23"/>
        </w:rPr>
        <w:t xml:space="preserve"> </w:t>
      </w:r>
      <w:r>
        <w:rPr>
          <w:w w:val="95"/>
          <w:sz w:val="23"/>
        </w:rPr>
        <w:t>Auditor-General</w:t>
      </w:r>
    </w:p>
    <w:p w14:paraId="56A66429" w14:textId="77777777" w:rsidR="00FA4AA8" w:rsidRDefault="0015611F">
      <w:pPr>
        <w:pStyle w:val="ListParagraph"/>
        <w:numPr>
          <w:ilvl w:val="0"/>
          <w:numId w:val="21"/>
        </w:numPr>
        <w:tabs>
          <w:tab w:val="left" w:pos="1253"/>
          <w:tab w:val="left" w:pos="1254"/>
        </w:tabs>
        <w:spacing w:before="38"/>
        <w:ind w:left="1253" w:hanging="564"/>
        <w:rPr>
          <w:sz w:val="24"/>
        </w:rPr>
      </w:pPr>
      <w:r>
        <w:rPr>
          <w:w w:val="90"/>
          <w:sz w:val="24"/>
        </w:rPr>
        <w:t>mandating the Auditor-General as auditor of public sector</w:t>
      </w:r>
      <w:r>
        <w:rPr>
          <w:spacing w:val="-39"/>
          <w:w w:val="90"/>
          <w:sz w:val="24"/>
        </w:rPr>
        <w:t xml:space="preserve"> </w:t>
      </w:r>
      <w:r>
        <w:rPr>
          <w:w w:val="90"/>
          <w:sz w:val="24"/>
        </w:rPr>
        <w:t>agencies</w:t>
      </w:r>
    </w:p>
    <w:p w14:paraId="485D62FE" w14:textId="77777777" w:rsidR="00FA4AA8" w:rsidRDefault="0015611F">
      <w:pPr>
        <w:pStyle w:val="ListParagraph"/>
        <w:numPr>
          <w:ilvl w:val="0"/>
          <w:numId w:val="21"/>
        </w:numPr>
        <w:tabs>
          <w:tab w:val="left" w:pos="1253"/>
          <w:tab w:val="left" w:pos="1254"/>
        </w:tabs>
        <w:spacing w:before="22"/>
        <w:ind w:left="1253" w:hanging="564"/>
        <w:rPr>
          <w:sz w:val="24"/>
        </w:rPr>
      </w:pPr>
      <w:r>
        <w:rPr>
          <w:w w:val="90"/>
          <w:sz w:val="24"/>
        </w:rPr>
        <w:t>precluding the Auditor-General from providing non-audit</w:t>
      </w:r>
      <w:r>
        <w:rPr>
          <w:spacing w:val="-10"/>
          <w:w w:val="90"/>
          <w:sz w:val="24"/>
        </w:rPr>
        <w:t xml:space="preserve"> </w:t>
      </w:r>
      <w:r>
        <w:rPr>
          <w:w w:val="90"/>
          <w:sz w:val="24"/>
        </w:rPr>
        <w:t>services.</w:t>
      </w:r>
    </w:p>
    <w:p w14:paraId="41AB8BE8" w14:textId="77777777" w:rsidR="00FA4AA8" w:rsidRDefault="0015611F">
      <w:pPr>
        <w:spacing w:before="198" w:line="252" w:lineRule="auto"/>
        <w:ind w:left="685" w:right="697" w:hanging="1"/>
        <w:rPr>
          <w:sz w:val="20"/>
        </w:rPr>
      </w:pPr>
      <w:r>
        <w:rPr>
          <w:sz w:val="20"/>
        </w:rPr>
        <w:t xml:space="preserve">I confirm the independence declaration, required by the </w:t>
      </w:r>
      <w:r>
        <w:rPr>
          <w:i/>
          <w:sz w:val="20"/>
        </w:rPr>
        <w:t xml:space="preserve">Corporations Act 2001, </w:t>
      </w:r>
      <w:r>
        <w:rPr>
          <w:sz w:val="20"/>
        </w:rPr>
        <w:t xml:space="preserve">provided to the directors </w:t>
      </w:r>
      <w:r>
        <w:rPr>
          <w:color w:val="111111"/>
          <w:sz w:val="20"/>
        </w:rPr>
        <w:t xml:space="preserve">of </w:t>
      </w:r>
      <w:r>
        <w:rPr>
          <w:sz w:val="20"/>
        </w:rPr>
        <w:t xml:space="preserve">the Company on </w:t>
      </w:r>
      <w:r>
        <w:rPr>
          <w:color w:val="0C0C0C"/>
          <w:sz w:val="20"/>
        </w:rPr>
        <w:t xml:space="preserve">8 </w:t>
      </w:r>
      <w:r>
        <w:rPr>
          <w:sz w:val="20"/>
        </w:rPr>
        <w:t xml:space="preserve">April 2019, would be in the same terms if provided to the directors as at the time </w:t>
      </w:r>
      <w:r>
        <w:rPr>
          <w:color w:val="131313"/>
          <w:sz w:val="20"/>
        </w:rPr>
        <w:t xml:space="preserve">of </w:t>
      </w:r>
      <w:r>
        <w:rPr>
          <w:sz w:val="20"/>
        </w:rPr>
        <w:t>this Independent Auditor’s Report.</w:t>
      </w:r>
    </w:p>
    <w:p w14:paraId="6D2310C1" w14:textId="77777777" w:rsidR="00FA4AA8" w:rsidRDefault="0015611F">
      <w:pPr>
        <w:spacing w:before="169" w:line="249" w:lineRule="auto"/>
        <w:ind w:left="691" w:right="1158" w:hanging="12"/>
        <w:rPr>
          <w:sz w:val="20"/>
        </w:rPr>
      </w:pPr>
      <w:r>
        <w:rPr>
          <w:sz w:val="20"/>
        </w:rPr>
        <w:t xml:space="preserve">I believe the audit evidence </w:t>
      </w:r>
      <w:r>
        <w:rPr>
          <w:color w:val="0C0C0C"/>
          <w:sz w:val="20"/>
        </w:rPr>
        <w:t xml:space="preserve">I </w:t>
      </w:r>
      <w:r>
        <w:rPr>
          <w:sz w:val="20"/>
        </w:rPr>
        <w:t xml:space="preserve">have obtained is sufficient and appropriate to provide </w:t>
      </w:r>
      <w:r>
        <w:rPr>
          <w:color w:val="1C1C1C"/>
          <w:sz w:val="20"/>
        </w:rPr>
        <w:t xml:space="preserve">a </w:t>
      </w:r>
      <w:r>
        <w:rPr>
          <w:sz w:val="20"/>
        </w:rPr>
        <w:t xml:space="preserve">basis </w:t>
      </w:r>
      <w:r w:rsidR="007719AF">
        <w:rPr>
          <w:sz w:val="20"/>
        </w:rPr>
        <w:t>for</w:t>
      </w:r>
      <w:r>
        <w:rPr>
          <w:sz w:val="20"/>
        </w:rPr>
        <w:t xml:space="preserve"> my audit opinion.</w:t>
      </w:r>
    </w:p>
    <w:p w14:paraId="7546B545" w14:textId="77777777" w:rsidR="00FA4AA8" w:rsidRDefault="0015611F">
      <w:pPr>
        <w:spacing w:before="169"/>
        <w:ind w:left="689"/>
        <w:rPr>
          <w:b/>
          <w:sz w:val="20"/>
        </w:rPr>
      </w:pPr>
      <w:r>
        <w:rPr>
          <w:b/>
          <w:sz w:val="20"/>
        </w:rPr>
        <w:t>Other Information</w:t>
      </w:r>
    </w:p>
    <w:p w14:paraId="34A50D55" w14:textId="77777777" w:rsidR="00FA4AA8" w:rsidRDefault="0015611F">
      <w:pPr>
        <w:spacing w:before="188" w:line="249" w:lineRule="auto"/>
        <w:ind w:left="679" w:right="697" w:firstLine="9"/>
        <w:rPr>
          <w:sz w:val="20"/>
        </w:rPr>
      </w:pPr>
      <w:r>
        <w:rPr>
          <w:sz w:val="20"/>
        </w:rPr>
        <w:t xml:space="preserve">Other information comprises </w:t>
      </w:r>
      <w:r>
        <w:rPr>
          <w:color w:val="0F0F0F"/>
          <w:sz w:val="20"/>
        </w:rPr>
        <w:t xml:space="preserve">the </w:t>
      </w:r>
      <w:r>
        <w:rPr>
          <w:sz w:val="20"/>
        </w:rPr>
        <w:t xml:space="preserve">information included </w:t>
      </w:r>
      <w:r>
        <w:rPr>
          <w:color w:val="131313"/>
          <w:sz w:val="20"/>
        </w:rPr>
        <w:t xml:space="preserve">in </w:t>
      </w:r>
      <w:r>
        <w:rPr>
          <w:sz w:val="20"/>
        </w:rPr>
        <w:t>the Company's annual report for the period ended 31 December 2018, other than the financial statements and my Independent Auditor's Report thereon. The directors of the Company are responsible for the other information. At the date of this Independent Auditor’s Report, the other information I have received comprise the Directors' Report.</w:t>
      </w:r>
    </w:p>
    <w:p w14:paraId="3AFD33B2" w14:textId="77777777" w:rsidR="00FA4AA8" w:rsidRPr="007719AF" w:rsidRDefault="0015611F">
      <w:pPr>
        <w:spacing w:before="163" w:line="208" w:lineRule="auto"/>
        <w:ind w:left="675" w:right="1078"/>
        <w:rPr>
          <w:sz w:val="20"/>
          <w:szCs w:val="20"/>
        </w:rPr>
      </w:pPr>
      <w:r w:rsidRPr="007719AF">
        <w:rPr>
          <w:w w:val="85"/>
          <w:sz w:val="20"/>
          <w:szCs w:val="20"/>
        </w:rPr>
        <w:t>My</w:t>
      </w:r>
      <w:r w:rsidRPr="007719AF">
        <w:rPr>
          <w:spacing w:val="-12"/>
          <w:w w:val="85"/>
          <w:sz w:val="20"/>
          <w:szCs w:val="20"/>
        </w:rPr>
        <w:t xml:space="preserve"> </w:t>
      </w:r>
      <w:r w:rsidRPr="007719AF">
        <w:rPr>
          <w:w w:val="85"/>
          <w:sz w:val="20"/>
          <w:szCs w:val="20"/>
        </w:rPr>
        <w:t>opinion</w:t>
      </w:r>
      <w:r w:rsidRPr="007719AF">
        <w:rPr>
          <w:spacing w:val="-13"/>
          <w:w w:val="85"/>
          <w:sz w:val="20"/>
          <w:szCs w:val="20"/>
        </w:rPr>
        <w:t xml:space="preserve"> </w:t>
      </w:r>
      <w:r w:rsidRPr="007719AF">
        <w:rPr>
          <w:w w:val="85"/>
          <w:sz w:val="20"/>
          <w:szCs w:val="20"/>
        </w:rPr>
        <w:t>on</w:t>
      </w:r>
      <w:r w:rsidRPr="007719AF">
        <w:rPr>
          <w:spacing w:val="-18"/>
          <w:w w:val="85"/>
          <w:sz w:val="20"/>
          <w:szCs w:val="20"/>
        </w:rPr>
        <w:t xml:space="preserve"> </w:t>
      </w:r>
      <w:r w:rsidRPr="007719AF">
        <w:rPr>
          <w:color w:val="111111"/>
          <w:w w:val="85"/>
          <w:sz w:val="20"/>
          <w:szCs w:val="20"/>
        </w:rPr>
        <w:t>the</w:t>
      </w:r>
      <w:r w:rsidRPr="007719AF">
        <w:rPr>
          <w:color w:val="111111"/>
          <w:spacing w:val="-19"/>
          <w:w w:val="85"/>
          <w:sz w:val="20"/>
          <w:szCs w:val="20"/>
        </w:rPr>
        <w:t xml:space="preserve"> </w:t>
      </w:r>
      <w:r w:rsidRPr="007719AF">
        <w:rPr>
          <w:w w:val="85"/>
          <w:sz w:val="20"/>
          <w:szCs w:val="20"/>
        </w:rPr>
        <w:t>financial</w:t>
      </w:r>
      <w:r w:rsidRPr="007719AF">
        <w:rPr>
          <w:spacing w:val="-15"/>
          <w:w w:val="85"/>
          <w:sz w:val="20"/>
          <w:szCs w:val="20"/>
        </w:rPr>
        <w:t xml:space="preserve"> </w:t>
      </w:r>
      <w:r w:rsidRPr="007719AF">
        <w:rPr>
          <w:w w:val="85"/>
          <w:sz w:val="20"/>
          <w:szCs w:val="20"/>
        </w:rPr>
        <w:t>statements</w:t>
      </w:r>
      <w:r w:rsidRPr="007719AF">
        <w:rPr>
          <w:spacing w:val="-12"/>
          <w:w w:val="85"/>
          <w:sz w:val="20"/>
          <w:szCs w:val="20"/>
        </w:rPr>
        <w:t xml:space="preserve"> </w:t>
      </w:r>
      <w:r w:rsidRPr="007719AF">
        <w:rPr>
          <w:w w:val="85"/>
          <w:sz w:val="20"/>
          <w:szCs w:val="20"/>
        </w:rPr>
        <w:t>does</w:t>
      </w:r>
      <w:r w:rsidRPr="007719AF">
        <w:rPr>
          <w:spacing w:val="-25"/>
          <w:w w:val="85"/>
          <w:sz w:val="20"/>
          <w:szCs w:val="20"/>
        </w:rPr>
        <w:t xml:space="preserve"> </w:t>
      </w:r>
      <w:r w:rsidRPr="007719AF">
        <w:rPr>
          <w:w w:val="85"/>
          <w:sz w:val="20"/>
          <w:szCs w:val="20"/>
        </w:rPr>
        <w:t>not</w:t>
      </w:r>
      <w:r w:rsidRPr="007719AF">
        <w:rPr>
          <w:spacing w:val="-18"/>
          <w:w w:val="85"/>
          <w:sz w:val="20"/>
          <w:szCs w:val="20"/>
        </w:rPr>
        <w:t xml:space="preserve"> </w:t>
      </w:r>
      <w:r w:rsidRPr="007719AF">
        <w:rPr>
          <w:w w:val="85"/>
          <w:sz w:val="20"/>
          <w:szCs w:val="20"/>
        </w:rPr>
        <w:t>cover</w:t>
      </w:r>
      <w:r w:rsidRPr="007719AF">
        <w:rPr>
          <w:spacing w:val="-16"/>
          <w:w w:val="85"/>
          <w:sz w:val="20"/>
          <w:szCs w:val="20"/>
        </w:rPr>
        <w:t xml:space="preserve"> </w:t>
      </w:r>
      <w:r w:rsidRPr="007719AF">
        <w:rPr>
          <w:w w:val="85"/>
          <w:sz w:val="20"/>
          <w:szCs w:val="20"/>
        </w:rPr>
        <w:t>the</w:t>
      </w:r>
      <w:r w:rsidRPr="007719AF">
        <w:rPr>
          <w:spacing w:val="-22"/>
          <w:w w:val="85"/>
          <w:sz w:val="20"/>
          <w:szCs w:val="20"/>
        </w:rPr>
        <w:t xml:space="preserve"> </w:t>
      </w:r>
      <w:r w:rsidRPr="007719AF">
        <w:rPr>
          <w:w w:val="85"/>
          <w:sz w:val="20"/>
          <w:szCs w:val="20"/>
        </w:rPr>
        <w:t>other</w:t>
      </w:r>
      <w:r w:rsidRPr="007719AF">
        <w:rPr>
          <w:spacing w:val="-18"/>
          <w:w w:val="85"/>
          <w:sz w:val="20"/>
          <w:szCs w:val="20"/>
        </w:rPr>
        <w:t xml:space="preserve"> </w:t>
      </w:r>
      <w:r w:rsidRPr="007719AF">
        <w:rPr>
          <w:w w:val="85"/>
          <w:sz w:val="20"/>
          <w:szCs w:val="20"/>
        </w:rPr>
        <w:t>information.</w:t>
      </w:r>
      <w:r w:rsidRPr="007719AF">
        <w:rPr>
          <w:spacing w:val="-1"/>
          <w:w w:val="85"/>
          <w:sz w:val="20"/>
          <w:szCs w:val="20"/>
        </w:rPr>
        <w:t xml:space="preserve"> </w:t>
      </w:r>
      <w:r w:rsidRPr="007719AF">
        <w:rPr>
          <w:w w:val="85"/>
          <w:sz w:val="20"/>
          <w:szCs w:val="20"/>
        </w:rPr>
        <w:t>Accordingly,</w:t>
      </w:r>
      <w:r w:rsidRPr="007719AF">
        <w:rPr>
          <w:spacing w:val="-12"/>
          <w:w w:val="85"/>
          <w:sz w:val="20"/>
          <w:szCs w:val="20"/>
        </w:rPr>
        <w:t xml:space="preserve"> </w:t>
      </w:r>
      <w:r w:rsidRPr="007719AF">
        <w:rPr>
          <w:w w:val="85"/>
          <w:sz w:val="20"/>
          <w:szCs w:val="20"/>
        </w:rPr>
        <w:t>I</w:t>
      </w:r>
      <w:r w:rsidRPr="007719AF">
        <w:rPr>
          <w:spacing w:val="-19"/>
          <w:w w:val="85"/>
          <w:sz w:val="20"/>
          <w:szCs w:val="20"/>
        </w:rPr>
        <w:t xml:space="preserve"> </w:t>
      </w:r>
      <w:r w:rsidRPr="007719AF">
        <w:rPr>
          <w:w w:val="85"/>
          <w:sz w:val="20"/>
          <w:szCs w:val="20"/>
        </w:rPr>
        <w:t>do</w:t>
      </w:r>
      <w:r w:rsidRPr="007719AF">
        <w:rPr>
          <w:spacing w:val="-22"/>
          <w:w w:val="85"/>
          <w:sz w:val="20"/>
          <w:szCs w:val="20"/>
        </w:rPr>
        <w:t xml:space="preserve"> </w:t>
      </w:r>
      <w:r w:rsidRPr="007719AF">
        <w:rPr>
          <w:w w:val="85"/>
          <w:sz w:val="20"/>
          <w:szCs w:val="20"/>
        </w:rPr>
        <w:t xml:space="preserve">not </w:t>
      </w:r>
      <w:r w:rsidRPr="007719AF">
        <w:rPr>
          <w:w w:val="90"/>
          <w:sz w:val="20"/>
          <w:szCs w:val="20"/>
        </w:rPr>
        <w:t>express any form of assurance conclusion on the other</w:t>
      </w:r>
      <w:r w:rsidRPr="007719AF">
        <w:rPr>
          <w:spacing w:val="-44"/>
          <w:w w:val="90"/>
          <w:sz w:val="20"/>
          <w:szCs w:val="20"/>
        </w:rPr>
        <w:t xml:space="preserve"> </w:t>
      </w:r>
      <w:r w:rsidRPr="007719AF">
        <w:rPr>
          <w:w w:val="90"/>
          <w:sz w:val="20"/>
          <w:szCs w:val="20"/>
        </w:rPr>
        <w:t>information</w:t>
      </w:r>
    </w:p>
    <w:p w14:paraId="1EB507E3" w14:textId="77777777" w:rsidR="00FA4AA8" w:rsidRDefault="0015611F">
      <w:pPr>
        <w:spacing w:before="181" w:line="249" w:lineRule="auto"/>
        <w:ind w:left="680" w:right="697" w:hanging="6"/>
        <w:rPr>
          <w:sz w:val="20"/>
        </w:rPr>
      </w:pPr>
      <w:r>
        <w:rPr>
          <w:color w:val="181818"/>
          <w:sz w:val="20"/>
        </w:rPr>
        <w:t xml:space="preserve">In </w:t>
      </w:r>
      <w:r>
        <w:rPr>
          <w:sz w:val="20"/>
        </w:rPr>
        <w:t xml:space="preserve">connection with my audit of the financial statements, </w:t>
      </w:r>
      <w:r>
        <w:rPr>
          <w:color w:val="0C0C0C"/>
          <w:sz w:val="20"/>
        </w:rPr>
        <w:t xml:space="preserve">my </w:t>
      </w:r>
      <w:r>
        <w:rPr>
          <w:sz w:val="20"/>
        </w:rPr>
        <w:t xml:space="preserve">responsibility </w:t>
      </w:r>
      <w:r>
        <w:rPr>
          <w:color w:val="161616"/>
          <w:sz w:val="20"/>
        </w:rPr>
        <w:t xml:space="preserve">is </w:t>
      </w:r>
      <w:r>
        <w:rPr>
          <w:color w:val="0F0F0F"/>
          <w:sz w:val="20"/>
        </w:rPr>
        <w:t xml:space="preserve">to </w:t>
      </w:r>
      <w:r>
        <w:rPr>
          <w:sz w:val="20"/>
        </w:rPr>
        <w:t xml:space="preserve">read the other information and, in doing so, consider whether the other information is materially inconsistent </w:t>
      </w:r>
      <w:r w:rsidR="007719AF">
        <w:rPr>
          <w:sz w:val="20"/>
        </w:rPr>
        <w:t>with</w:t>
      </w:r>
      <w:r>
        <w:rPr>
          <w:sz w:val="20"/>
        </w:rPr>
        <w:t xml:space="preserve"> the financial statements or my knowledge obtained in the audit, or otherwise appears to </w:t>
      </w:r>
      <w:r>
        <w:rPr>
          <w:color w:val="111111"/>
          <w:sz w:val="20"/>
        </w:rPr>
        <w:t xml:space="preserve">be </w:t>
      </w:r>
      <w:r>
        <w:rPr>
          <w:sz w:val="20"/>
        </w:rPr>
        <w:t>materially misstated</w:t>
      </w:r>
    </w:p>
    <w:p w14:paraId="21FC493D" w14:textId="77777777" w:rsidR="00FA4AA8" w:rsidRDefault="0015611F">
      <w:pPr>
        <w:spacing w:before="181" w:line="244" w:lineRule="auto"/>
        <w:ind w:left="680" w:right="1078" w:hanging="6"/>
        <w:rPr>
          <w:sz w:val="20"/>
        </w:rPr>
      </w:pPr>
      <w:r>
        <w:rPr>
          <w:color w:val="0F0F0F"/>
          <w:sz w:val="20"/>
        </w:rPr>
        <w:t xml:space="preserve">If, </w:t>
      </w:r>
      <w:r>
        <w:rPr>
          <w:sz w:val="20"/>
        </w:rPr>
        <w:t xml:space="preserve">based on the work </w:t>
      </w:r>
      <w:r>
        <w:rPr>
          <w:color w:val="1F1F1F"/>
          <w:sz w:val="20"/>
        </w:rPr>
        <w:t xml:space="preserve">I </w:t>
      </w:r>
      <w:r>
        <w:rPr>
          <w:sz w:val="20"/>
        </w:rPr>
        <w:t xml:space="preserve">have performed, I conclude there is a material misstatement of the other information, </w:t>
      </w:r>
      <w:r>
        <w:rPr>
          <w:color w:val="2D2D2D"/>
          <w:sz w:val="20"/>
        </w:rPr>
        <w:t xml:space="preserve">I </w:t>
      </w:r>
      <w:r>
        <w:rPr>
          <w:sz w:val="20"/>
        </w:rPr>
        <w:t>must report that fact.</w:t>
      </w:r>
    </w:p>
    <w:p w14:paraId="66925E5B" w14:textId="77777777" w:rsidR="00FA4AA8" w:rsidRDefault="0015611F">
      <w:pPr>
        <w:spacing w:before="189"/>
        <w:ind w:left="670"/>
        <w:rPr>
          <w:sz w:val="20"/>
        </w:rPr>
      </w:pPr>
      <w:r>
        <w:rPr>
          <w:sz w:val="20"/>
        </w:rPr>
        <w:t>I have nothing to repo</w:t>
      </w:r>
      <w:r w:rsidR="007719AF">
        <w:rPr>
          <w:sz w:val="20"/>
        </w:rPr>
        <w:t>rt</w:t>
      </w:r>
      <w:r>
        <w:rPr>
          <w:sz w:val="20"/>
        </w:rPr>
        <w:t xml:space="preserve"> </w:t>
      </w:r>
      <w:r>
        <w:rPr>
          <w:color w:val="0E0E0E"/>
          <w:sz w:val="20"/>
        </w:rPr>
        <w:t xml:space="preserve">in </w:t>
      </w:r>
      <w:r>
        <w:rPr>
          <w:sz w:val="20"/>
        </w:rPr>
        <w:t>this regard.</w:t>
      </w:r>
    </w:p>
    <w:p w14:paraId="183AC7EA" w14:textId="77777777" w:rsidR="00FA4AA8" w:rsidRDefault="0015611F">
      <w:pPr>
        <w:spacing w:before="169"/>
        <w:ind w:left="674"/>
        <w:rPr>
          <w:b/>
          <w:sz w:val="24"/>
        </w:rPr>
      </w:pPr>
      <w:r>
        <w:rPr>
          <w:b/>
          <w:sz w:val="24"/>
        </w:rPr>
        <w:t>The Directors’ Responsibilities for the Financial Statements</w:t>
      </w:r>
    </w:p>
    <w:p w14:paraId="22142357" w14:textId="77777777" w:rsidR="00FA4AA8" w:rsidRDefault="0015611F">
      <w:pPr>
        <w:spacing w:before="126" w:line="249" w:lineRule="auto"/>
        <w:ind w:left="671" w:right="740" w:firstLine="3"/>
        <w:rPr>
          <w:sz w:val="20"/>
        </w:rPr>
      </w:pPr>
      <w:r>
        <w:rPr>
          <w:sz w:val="20"/>
        </w:rPr>
        <w:t xml:space="preserve">The Directors </w:t>
      </w:r>
      <w:r>
        <w:rPr>
          <w:color w:val="0C0C0C"/>
          <w:sz w:val="20"/>
        </w:rPr>
        <w:t xml:space="preserve">of </w:t>
      </w:r>
      <w:r>
        <w:rPr>
          <w:sz w:val="20"/>
        </w:rPr>
        <w:t xml:space="preserve">the Company are responsible for the preparation and fair presentation </w:t>
      </w:r>
      <w:r>
        <w:rPr>
          <w:color w:val="131313"/>
          <w:sz w:val="20"/>
        </w:rPr>
        <w:t xml:space="preserve">of </w:t>
      </w:r>
      <w:r>
        <w:rPr>
          <w:sz w:val="20"/>
        </w:rPr>
        <w:t xml:space="preserve">the financial statements in accordance </w:t>
      </w:r>
      <w:r>
        <w:rPr>
          <w:color w:val="0A0A0A"/>
          <w:sz w:val="20"/>
        </w:rPr>
        <w:t xml:space="preserve">with </w:t>
      </w:r>
      <w:r>
        <w:rPr>
          <w:sz w:val="20"/>
        </w:rPr>
        <w:t xml:space="preserve">Australian Accounting Standards, the PF&amp;A Act, the Corporations </w:t>
      </w:r>
      <w:r>
        <w:rPr>
          <w:i/>
          <w:sz w:val="20"/>
        </w:rPr>
        <w:t xml:space="preserve">Act 2001 </w:t>
      </w:r>
      <w:r>
        <w:rPr>
          <w:sz w:val="20"/>
        </w:rPr>
        <w:t xml:space="preserve">and </w:t>
      </w:r>
      <w:r>
        <w:rPr>
          <w:color w:val="111111"/>
          <w:sz w:val="20"/>
        </w:rPr>
        <w:t xml:space="preserve">the </w:t>
      </w:r>
      <w:r>
        <w:rPr>
          <w:i/>
          <w:sz w:val="20"/>
        </w:rPr>
        <w:t xml:space="preserve">Australian </w:t>
      </w:r>
      <w:r w:rsidR="007719AF" w:rsidRPr="007719AF">
        <w:rPr>
          <w:i/>
          <w:sz w:val="20"/>
        </w:rPr>
        <w:t>Cha</w:t>
      </w:r>
      <w:r w:rsidR="007719AF">
        <w:rPr>
          <w:i/>
          <w:sz w:val="20"/>
        </w:rPr>
        <w:t>r</w:t>
      </w:r>
      <w:r w:rsidR="007719AF" w:rsidRPr="007719AF">
        <w:rPr>
          <w:i/>
          <w:sz w:val="20"/>
        </w:rPr>
        <w:t>ites</w:t>
      </w:r>
      <w:r w:rsidRPr="007719AF">
        <w:rPr>
          <w:i/>
          <w:sz w:val="20"/>
        </w:rPr>
        <w:t xml:space="preserve"> </w:t>
      </w:r>
      <w:r>
        <w:rPr>
          <w:i/>
          <w:color w:val="0C0C0C"/>
          <w:sz w:val="20"/>
        </w:rPr>
        <w:t xml:space="preserve">and </w:t>
      </w:r>
      <w:r>
        <w:rPr>
          <w:i/>
          <w:sz w:val="20"/>
        </w:rPr>
        <w:t xml:space="preserve">Not-for-profits Commission Act 2012, </w:t>
      </w:r>
      <w:r>
        <w:rPr>
          <w:sz w:val="20"/>
        </w:rPr>
        <w:t xml:space="preserve">and for such internal control as the Directors determine </w:t>
      </w:r>
      <w:r>
        <w:rPr>
          <w:color w:val="0A0A0A"/>
          <w:sz w:val="20"/>
        </w:rPr>
        <w:t xml:space="preserve">is </w:t>
      </w:r>
      <w:r>
        <w:rPr>
          <w:sz w:val="20"/>
        </w:rPr>
        <w:t xml:space="preserve">necessary </w:t>
      </w:r>
      <w:r>
        <w:rPr>
          <w:color w:val="1A1A1A"/>
          <w:sz w:val="20"/>
        </w:rPr>
        <w:t xml:space="preserve">to </w:t>
      </w:r>
      <w:r>
        <w:rPr>
          <w:sz w:val="20"/>
        </w:rPr>
        <w:t>enable the preparation and fair presentation of the financial statements that are free from material misstatement, whether due to fraud or error.</w:t>
      </w:r>
    </w:p>
    <w:p w14:paraId="799C9772" w14:textId="77777777" w:rsidR="00FA4AA8" w:rsidRDefault="0015611F">
      <w:pPr>
        <w:spacing w:before="173" w:line="249" w:lineRule="auto"/>
        <w:ind w:left="667" w:right="812" w:firstLine="3"/>
        <w:rPr>
          <w:sz w:val="20"/>
        </w:rPr>
      </w:pPr>
      <w:r>
        <w:rPr>
          <w:sz w:val="20"/>
        </w:rPr>
        <w:t xml:space="preserve">In preparing the financial statements, the Directors are responsible for assessing the Company’s ability to continue as </w:t>
      </w:r>
      <w:r>
        <w:rPr>
          <w:color w:val="131313"/>
          <w:sz w:val="20"/>
        </w:rPr>
        <w:t xml:space="preserve">a </w:t>
      </w:r>
      <w:r>
        <w:rPr>
          <w:sz w:val="20"/>
        </w:rPr>
        <w:t xml:space="preserve">going concern disclosing, as applicable, matters related to going concern and using the going concern basis </w:t>
      </w:r>
      <w:r>
        <w:rPr>
          <w:color w:val="2A2A2A"/>
          <w:sz w:val="20"/>
        </w:rPr>
        <w:t xml:space="preserve">of </w:t>
      </w:r>
      <w:r>
        <w:rPr>
          <w:sz w:val="20"/>
        </w:rPr>
        <w:t xml:space="preserve">accounting unless the Directors either intend to </w:t>
      </w:r>
      <w:r w:rsidR="007719AF">
        <w:rPr>
          <w:sz w:val="20"/>
        </w:rPr>
        <w:t>liquidate</w:t>
      </w:r>
      <w:r>
        <w:rPr>
          <w:sz w:val="20"/>
        </w:rPr>
        <w:t xml:space="preserve"> the Company </w:t>
      </w:r>
      <w:r>
        <w:rPr>
          <w:color w:val="0A0A0A"/>
          <w:sz w:val="20"/>
        </w:rPr>
        <w:t xml:space="preserve">or </w:t>
      </w:r>
      <w:r>
        <w:rPr>
          <w:sz w:val="20"/>
        </w:rPr>
        <w:t>to cease operations or have no realistic alternative but to do so.</w:t>
      </w:r>
    </w:p>
    <w:p w14:paraId="076ADE43" w14:textId="77777777" w:rsidR="00FA4AA8" w:rsidRDefault="0015611F">
      <w:pPr>
        <w:spacing w:before="158"/>
        <w:ind w:left="674"/>
        <w:rPr>
          <w:b/>
          <w:sz w:val="25"/>
        </w:rPr>
      </w:pPr>
      <w:r>
        <w:rPr>
          <w:w w:val="105"/>
          <w:sz w:val="25"/>
        </w:rPr>
        <w:t xml:space="preserve">Auditor’s Responsibilities for the Audit of the Financial </w:t>
      </w:r>
      <w:r>
        <w:rPr>
          <w:b/>
          <w:w w:val="105"/>
          <w:sz w:val="25"/>
        </w:rPr>
        <w:t>Statements</w:t>
      </w:r>
    </w:p>
    <w:p w14:paraId="29DD6EE8" w14:textId="77777777" w:rsidR="00FA4AA8" w:rsidRDefault="0015611F">
      <w:pPr>
        <w:spacing w:before="114"/>
        <w:ind w:left="669"/>
        <w:rPr>
          <w:sz w:val="20"/>
        </w:rPr>
      </w:pPr>
      <w:r>
        <w:rPr>
          <w:sz w:val="20"/>
        </w:rPr>
        <w:t xml:space="preserve">My objectives are </w:t>
      </w:r>
      <w:r>
        <w:rPr>
          <w:color w:val="0E0E0E"/>
          <w:sz w:val="20"/>
        </w:rPr>
        <w:t>to:</w:t>
      </w:r>
    </w:p>
    <w:p w14:paraId="2EF48775" w14:textId="77777777" w:rsidR="00FA4AA8" w:rsidRDefault="0015611F">
      <w:pPr>
        <w:pStyle w:val="ListParagraph"/>
        <w:numPr>
          <w:ilvl w:val="0"/>
          <w:numId w:val="21"/>
        </w:numPr>
        <w:tabs>
          <w:tab w:val="left" w:pos="1243"/>
          <w:tab w:val="left" w:pos="1244"/>
        </w:tabs>
        <w:spacing w:before="188" w:line="249" w:lineRule="auto"/>
        <w:ind w:left="1246" w:right="955" w:hanging="574"/>
        <w:rPr>
          <w:sz w:val="20"/>
        </w:rPr>
      </w:pPr>
      <w:r>
        <w:rPr>
          <w:sz w:val="20"/>
        </w:rPr>
        <w:t>obtain</w:t>
      </w:r>
      <w:r>
        <w:rPr>
          <w:spacing w:val="-4"/>
          <w:sz w:val="20"/>
        </w:rPr>
        <w:t xml:space="preserve"> </w:t>
      </w:r>
      <w:r>
        <w:rPr>
          <w:sz w:val="20"/>
        </w:rPr>
        <w:t>reasonable</w:t>
      </w:r>
      <w:r>
        <w:rPr>
          <w:spacing w:val="5"/>
          <w:sz w:val="20"/>
        </w:rPr>
        <w:t xml:space="preserve"> </w:t>
      </w:r>
      <w:r>
        <w:rPr>
          <w:sz w:val="20"/>
        </w:rPr>
        <w:t>assurance</w:t>
      </w:r>
      <w:r>
        <w:rPr>
          <w:spacing w:val="7"/>
          <w:sz w:val="20"/>
        </w:rPr>
        <w:t xml:space="preserve"> </w:t>
      </w:r>
      <w:r>
        <w:rPr>
          <w:sz w:val="20"/>
        </w:rPr>
        <w:t>about</w:t>
      </w:r>
      <w:r>
        <w:rPr>
          <w:spacing w:val="-9"/>
          <w:sz w:val="20"/>
        </w:rPr>
        <w:t xml:space="preserve"> </w:t>
      </w:r>
      <w:r>
        <w:rPr>
          <w:sz w:val="20"/>
        </w:rPr>
        <w:t>whether</w:t>
      </w:r>
      <w:r>
        <w:rPr>
          <w:spacing w:val="-6"/>
          <w:sz w:val="20"/>
        </w:rPr>
        <w:t xml:space="preserve"> </w:t>
      </w:r>
      <w:r>
        <w:rPr>
          <w:sz w:val="20"/>
        </w:rPr>
        <w:t>the</w:t>
      </w:r>
      <w:r>
        <w:rPr>
          <w:spacing w:val="-8"/>
          <w:sz w:val="20"/>
        </w:rPr>
        <w:t xml:space="preserve"> </w:t>
      </w:r>
      <w:r>
        <w:rPr>
          <w:sz w:val="20"/>
        </w:rPr>
        <w:t>financial statements</w:t>
      </w:r>
      <w:r>
        <w:rPr>
          <w:spacing w:val="-7"/>
          <w:sz w:val="20"/>
        </w:rPr>
        <w:t xml:space="preserve"> </w:t>
      </w:r>
      <w:r>
        <w:rPr>
          <w:sz w:val="20"/>
        </w:rPr>
        <w:t>as</w:t>
      </w:r>
      <w:r>
        <w:rPr>
          <w:spacing w:val="-7"/>
          <w:sz w:val="20"/>
        </w:rPr>
        <w:t xml:space="preserve"> </w:t>
      </w:r>
      <w:r>
        <w:rPr>
          <w:sz w:val="20"/>
        </w:rPr>
        <w:t>a</w:t>
      </w:r>
      <w:r>
        <w:rPr>
          <w:spacing w:val="-9"/>
          <w:sz w:val="20"/>
        </w:rPr>
        <w:t xml:space="preserve"> </w:t>
      </w:r>
      <w:r>
        <w:rPr>
          <w:sz w:val="20"/>
        </w:rPr>
        <w:t>whole</w:t>
      </w:r>
      <w:r>
        <w:rPr>
          <w:spacing w:val="-3"/>
          <w:sz w:val="20"/>
        </w:rPr>
        <w:t xml:space="preserve"> </w:t>
      </w:r>
      <w:r>
        <w:rPr>
          <w:sz w:val="20"/>
        </w:rPr>
        <w:t>are</w:t>
      </w:r>
      <w:r>
        <w:rPr>
          <w:spacing w:val="-10"/>
          <w:sz w:val="20"/>
        </w:rPr>
        <w:t xml:space="preserve"> </w:t>
      </w:r>
      <w:r>
        <w:rPr>
          <w:sz w:val="20"/>
        </w:rPr>
        <w:t>free</w:t>
      </w:r>
      <w:r>
        <w:rPr>
          <w:spacing w:val="-8"/>
          <w:sz w:val="20"/>
        </w:rPr>
        <w:t xml:space="preserve"> </w:t>
      </w:r>
      <w:r>
        <w:rPr>
          <w:sz w:val="20"/>
        </w:rPr>
        <w:t>from material misstatement, whether due to fraud or</w:t>
      </w:r>
      <w:r>
        <w:rPr>
          <w:spacing w:val="5"/>
          <w:sz w:val="20"/>
        </w:rPr>
        <w:t xml:space="preserve"> </w:t>
      </w:r>
      <w:r>
        <w:rPr>
          <w:sz w:val="20"/>
        </w:rPr>
        <w:t>error</w:t>
      </w:r>
    </w:p>
    <w:p w14:paraId="75FD70C9" w14:textId="77777777" w:rsidR="00FA4AA8" w:rsidRDefault="0015611F">
      <w:pPr>
        <w:pStyle w:val="ListParagraph"/>
        <w:numPr>
          <w:ilvl w:val="0"/>
          <w:numId w:val="21"/>
        </w:numPr>
        <w:tabs>
          <w:tab w:val="left" w:pos="1246"/>
          <w:tab w:val="left" w:pos="1247"/>
        </w:tabs>
        <w:spacing w:before="59"/>
        <w:ind w:left="1246" w:hanging="574"/>
        <w:rPr>
          <w:sz w:val="20"/>
        </w:rPr>
      </w:pPr>
      <w:r>
        <w:rPr>
          <w:sz w:val="20"/>
        </w:rPr>
        <w:t xml:space="preserve">issue an Independent Auditor’s Report including </w:t>
      </w:r>
      <w:r>
        <w:rPr>
          <w:color w:val="131313"/>
          <w:sz w:val="20"/>
        </w:rPr>
        <w:t>my</w:t>
      </w:r>
      <w:r>
        <w:rPr>
          <w:color w:val="131313"/>
          <w:spacing w:val="38"/>
          <w:sz w:val="20"/>
        </w:rPr>
        <w:t xml:space="preserve"> </w:t>
      </w:r>
      <w:r>
        <w:rPr>
          <w:sz w:val="20"/>
        </w:rPr>
        <w:t>opinion.</w:t>
      </w:r>
    </w:p>
    <w:p w14:paraId="16DCD4B2" w14:textId="77777777" w:rsidR="00FA4AA8" w:rsidRDefault="00FA4AA8">
      <w:pPr>
        <w:pStyle w:val="BodyText"/>
        <w:spacing w:before="5"/>
      </w:pPr>
    </w:p>
    <w:p w14:paraId="30D865F0" w14:textId="77777777" w:rsidR="00FA4AA8" w:rsidRDefault="0015611F">
      <w:pPr>
        <w:spacing w:line="244" w:lineRule="auto"/>
        <w:ind w:left="672" w:right="1078" w:firstLine="1"/>
        <w:rPr>
          <w:sz w:val="20"/>
        </w:rPr>
      </w:pPr>
      <w:r>
        <w:rPr>
          <w:sz w:val="20"/>
        </w:rPr>
        <w:t xml:space="preserve">Reasonable assurance </w:t>
      </w:r>
      <w:r>
        <w:rPr>
          <w:color w:val="212121"/>
          <w:sz w:val="20"/>
        </w:rPr>
        <w:t xml:space="preserve">is </w:t>
      </w:r>
      <w:r>
        <w:rPr>
          <w:color w:val="1C1C1C"/>
          <w:sz w:val="20"/>
        </w:rPr>
        <w:t xml:space="preserve">a </w:t>
      </w:r>
      <w:r>
        <w:rPr>
          <w:sz w:val="20"/>
        </w:rPr>
        <w:t xml:space="preserve">high level </w:t>
      </w:r>
      <w:r>
        <w:rPr>
          <w:color w:val="343434"/>
          <w:sz w:val="20"/>
        </w:rPr>
        <w:t xml:space="preserve">of </w:t>
      </w:r>
      <w:r>
        <w:rPr>
          <w:sz w:val="20"/>
        </w:rPr>
        <w:t>assurance, but does not guarantee an audit conducted ln accordance with Australian Auditing Standards will always detect material</w:t>
      </w:r>
      <w:r>
        <w:rPr>
          <w:spacing w:val="54"/>
          <w:sz w:val="20"/>
        </w:rPr>
        <w:t xml:space="preserve"> </w:t>
      </w:r>
      <w:r>
        <w:rPr>
          <w:sz w:val="20"/>
        </w:rPr>
        <w:t>misstatements.</w:t>
      </w:r>
    </w:p>
    <w:p w14:paraId="78CB87A5" w14:textId="77777777" w:rsidR="00FA4AA8" w:rsidRDefault="0015611F">
      <w:pPr>
        <w:spacing w:before="6" w:line="249" w:lineRule="auto"/>
        <w:ind w:left="672" w:right="670" w:hanging="8"/>
        <w:rPr>
          <w:sz w:val="20"/>
        </w:rPr>
      </w:pPr>
      <w:r>
        <w:rPr>
          <w:sz w:val="20"/>
        </w:rPr>
        <w:t xml:space="preserve">Misstatements can arise from fraud </w:t>
      </w:r>
      <w:r>
        <w:rPr>
          <w:color w:val="151515"/>
          <w:sz w:val="20"/>
        </w:rPr>
        <w:t xml:space="preserve">or </w:t>
      </w:r>
      <w:r>
        <w:rPr>
          <w:sz w:val="20"/>
        </w:rPr>
        <w:t>error. Misstatements are considered material if, individually or in aggregate, they could reasonably be expected to influence the economic decisions users take based on the financial statements.</w:t>
      </w:r>
    </w:p>
    <w:p w14:paraId="331FAE84" w14:textId="77777777" w:rsidR="00FA4AA8" w:rsidRDefault="00FA4AA8">
      <w:pPr>
        <w:spacing w:line="249" w:lineRule="auto"/>
        <w:rPr>
          <w:sz w:val="20"/>
        </w:rPr>
        <w:sectPr w:rsidR="00FA4AA8">
          <w:headerReference w:type="default" r:id="rId308"/>
          <w:footerReference w:type="default" r:id="rId309"/>
          <w:pgSz w:w="11900" w:h="16840"/>
          <w:pgMar w:top="1240" w:right="800" w:bottom="720" w:left="660" w:header="0" w:footer="523" w:gutter="0"/>
          <w:pgNumType w:start="244"/>
          <w:cols w:space="720"/>
        </w:sectPr>
      </w:pPr>
    </w:p>
    <w:p w14:paraId="6176D53E" w14:textId="77777777" w:rsidR="00FA4AA8" w:rsidRDefault="0015611F">
      <w:pPr>
        <w:spacing w:before="76"/>
        <w:ind w:left="714" w:right="812" w:hanging="2"/>
        <w:rPr>
          <w:sz w:val="21"/>
        </w:rPr>
      </w:pPr>
      <w:r>
        <w:rPr>
          <w:sz w:val="21"/>
        </w:rPr>
        <w:t>A</w:t>
      </w:r>
      <w:r>
        <w:rPr>
          <w:spacing w:val="-29"/>
          <w:sz w:val="21"/>
        </w:rPr>
        <w:t xml:space="preserve"> </w:t>
      </w:r>
      <w:r>
        <w:rPr>
          <w:sz w:val="21"/>
        </w:rPr>
        <w:t>description</w:t>
      </w:r>
      <w:r>
        <w:rPr>
          <w:spacing w:val="-23"/>
          <w:sz w:val="21"/>
        </w:rPr>
        <w:t xml:space="preserve"> </w:t>
      </w:r>
      <w:r>
        <w:rPr>
          <w:sz w:val="21"/>
        </w:rPr>
        <w:t>of</w:t>
      </w:r>
      <w:r>
        <w:rPr>
          <w:spacing w:val="-28"/>
          <w:sz w:val="21"/>
        </w:rPr>
        <w:t xml:space="preserve"> </w:t>
      </w:r>
      <w:r>
        <w:rPr>
          <w:sz w:val="21"/>
        </w:rPr>
        <w:t>my</w:t>
      </w:r>
      <w:r>
        <w:rPr>
          <w:spacing w:val="-25"/>
          <w:sz w:val="21"/>
        </w:rPr>
        <w:t xml:space="preserve"> </w:t>
      </w:r>
      <w:r>
        <w:rPr>
          <w:sz w:val="21"/>
        </w:rPr>
        <w:t>responsibilities</w:t>
      </w:r>
      <w:r>
        <w:rPr>
          <w:spacing w:val="-24"/>
          <w:sz w:val="21"/>
        </w:rPr>
        <w:t xml:space="preserve"> </w:t>
      </w:r>
      <w:r>
        <w:rPr>
          <w:sz w:val="21"/>
        </w:rPr>
        <w:t>for</w:t>
      </w:r>
      <w:r>
        <w:rPr>
          <w:spacing w:val="-29"/>
          <w:sz w:val="21"/>
        </w:rPr>
        <w:t xml:space="preserve"> </w:t>
      </w:r>
      <w:r>
        <w:rPr>
          <w:sz w:val="21"/>
        </w:rPr>
        <w:t>the</w:t>
      </w:r>
      <w:r>
        <w:rPr>
          <w:spacing w:val="-31"/>
          <w:sz w:val="21"/>
        </w:rPr>
        <w:t xml:space="preserve"> </w:t>
      </w:r>
      <w:r>
        <w:rPr>
          <w:sz w:val="21"/>
        </w:rPr>
        <w:t>audit</w:t>
      </w:r>
      <w:r>
        <w:rPr>
          <w:spacing w:val="-26"/>
          <w:sz w:val="21"/>
        </w:rPr>
        <w:t xml:space="preserve"> </w:t>
      </w:r>
      <w:r>
        <w:rPr>
          <w:sz w:val="21"/>
        </w:rPr>
        <w:t>of</w:t>
      </w:r>
      <w:r>
        <w:rPr>
          <w:spacing w:val="-31"/>
          <w:sz w:val="21"/>
        </w:rPr>
        <w:t xml:space="preserve"> </w:t>
      </w:r>
      <w:r>
        <w:rPr>
          <w:sz w:val="21"/>
        </w:rPr>
        <w:t>the</w:t>
      </w:r>
      <w:r>
        <w:rPr>
          <w:spacing w:val="-28"/>
          <w:sz w:val="21"/>
        </w:rPr>
        <w:t xml:space="preserve"> </w:t>
      </w:r>
      <w:r>
        <w:rPr>
          <w:sz w:val="21"/>
        </w:rPr>
        <w:t>financial</w:t>
      </w:r>
      <w:r>
        <w:rPr>
          <w:spacing w:val="-22"/>
          <w:sz w:val="21"/>
        </w:rPr>
        <w:t xml:space="preserve"> </w:t>
      </w:r>
      <w:r>
        <w:rPr>
          <w:sz w:val="21"/>
        </w:rPr>
        <w:t>statements</w:t>
      </w:r>
      <w:r>
        <w:rPr>
          <w:spacing w:val="-23"/>
          <w:sz w:val="21"/>
        </w:rPr>
        <w:t xml:space="preserve"> </w:t>
      </w:r>
      <w:r>
        <w:rPr>
          <w:sz w:val="21"/>
        </w:rPr>
        <w:t>is</w:t>
      </w:r>
      <w:r>
        <w:rPr>
          <w:spacing w:val="-34"/>
          <w:sz w:val="21"/>
        </w:rPr>
        <w:t xml:space="preserve"> </w:t>
      </w:r>
      <w:r>
        <w:rPr>
          <w:sz w:val="21"/>
        </w:rPr>
        <w:t>located</w:t>
      </w:r>
      <w:r>
        <w:rPr>
          <w:spacing w:val="-26"/>
          <w:sz w:val="21"/>
        </w:rPr>
        <w:t xml:space="preserve"> </w:t>
      </w:r>
      <w:r>
        <w:rPr>
          <w:sz w:val="21"/>
        </w:rPr>
        <w:t>at</w:t>
      </w:r>
      <w:r>
        <w:rPr>
          <w:spacing w:val="-32"/>
          <w:sz w:val="21"/>
        </w:rPr>
        <w:t xml:space="preserve"> </w:t>
      </w:r>
      <w:r>
        <w:rPr>
          <w:sz w:val="21"/>
        </w:rPr>
        <w:t>the</w:t>
      </w:r>
      <w:r>
        <w:rPr>
          <w:spacing w:val="-26"/>
          <w:sz w:val="21"/>
        </w:rPr>
        <w:t xml:space="preserve"> </w:t>
      </w:r>
      <w:r>
        <w:rPr>
          <w:sz w:val="21"/>
        </w:rPr>
        <w:t xml:space="preserve">Auditing </w:t>
      </w:r>
      <w:r>
        <w:rPr>
          <w:w w:val="95"/>
          <w:sz w:val="21"/>
        </w:rPr>
        <w:t>and Assurance Standards Board website at:</w:t>
      </w:r>
      <w:r>
        <w:rPr>
          <w:w w:val="95"/>
          <w:sz w:val="21"/>
          <w:u w:val="single" w:color="545454"/>
        </w:rPr>
        <w:t xml:space="preserve"> </w:t>
      </w:r>
      <w:hyperlink r:id="rId310">
        <w:r>
          <w:rPr>
            <w:w w:val="95"/>
            <w:sz w:val="21"/>
            <w:u w:val="single" w:color="545454"/>
          </w:rPr>
          <w:t>www.auasb.gov.au/auditors responsibilities/ar4.pdf</w:t>
        </w:r>
        <w:r>
          <w:rPr>
            <w:w w:val="95"/>
            <w:sz w:val="21"/>
          </w:rPr>
          <w:t xml:space="preserve">. </w:t>
        </w:r>
      </w:hyperlink>
      <w:r>
        <w:rPr>
          <w:w w:val="95"/>
          <w:sz w:val="21"/>
        </w:rPr>
        <w:t xml:space="preserve">The </w:t>
      </w:r>
      <w:r>
        <w:rPr>
          <w:sz w:val="21"/>
        </w:rPr>
        <w:t>description forms pan of my auditor’s</w:t>
      </w:r>
      <w:r>
        <w:rPr>
          <w:spacing w:val="26"/>
          <w:sz w:val="21"/>
        </w:rPr>
        <w:t xml:space="preserve"> </w:t>
      </w:r>
      <w:r>
        <w:rPr>
          <w:sz w:val="21"/>
        </w:rPr>
        <w:t>report.</w:t>
      </w:r>
    </w:p>
    <w:p w14:paraId="26DF9CD1" w14:textId="77777777" w:rsidR="00FA4AA8" w:rsidRDefault="0015611F">
      <w:pPr>
        <w:spacing w:before="168"/>
        <w:ind w:left="706"/>
        <w:rPr>
          <w:sz w:val="21"/>
        </w:rPr>
      </w:pPr>
      <w:r>
        <w:rPr>
          <w:sz w:val="21"/>
        </w:rPr>
        <w:t>My opinion does not provide assurance:</w:t>
      </w:r>
    </w:p>
    <w:p w14:paraId="6B8FC9FA" w14:textId="77777777" w:rsidR="00FA4AA8" w:rsidRDefault="0015611F">
      <w:pPr>
        <w:pStyle w:val="ListParagraph"/>
        <w:numPr>
          <w:ilvl w:val="0"/>
          <w:numId w:val="21"/>
        </w:numPr>
        <w:tabs>
          <w:tab w:val="left" w:pos="1275"/>
          <w:tab w:val="left" w:pos="1276"/>
        </w:tabs>
        <w:spacing w:before="171"/>
        <w:ind w:left="1275" w:hanging="565"/>
        <w:rPr>
          <w:sz w:val="21"/>
        </w:rPr>
      </w:pPr>
      <w:r>
        <w:rPr>
          <w:sz w:val="21"/>
        </w:rPr>
        <w:t>that the Company carried out its activities effectively, efficiently and</w:t>
      </w:r>
      <w:r>
        <w:rPr>
          <w:spacing w:val="-41"/>
          <w:sz w:val="21"/>
        </w:rPr>
        <w:t xml:space="preserve"> </w:t>
      </w:r>
      <w:r>
        <w:rPr>
          <w:sz w:val="21"/>
        </w:rPr>
        <w:t>economically</w:t>
      </w:r>
    </w:p>
    <w:p w14:paraId="064463AD" w14:textId="77777777" w:rsidR="00FA4AA8" w:rsidRDefault="0015611F">
      <w:pPr>
        <w:pStyle w:val="ListParagraph"/>
        <w:numPr>
          <w:ilvl w:val="0"/>
          <w:numId w:val="21"/>
        </w:numPr>
        <w:tabs>
          <w:tab w:val="left" w:pos="1271"/>
          <w:tab w:val="left" w:pos="1272"/>
        </w:tabs>
        <w:spacing w:before="57"/>
        <w:ind w:left="1277" w:right="1742" w:hanging="567"/>
        <w:rPr>
          <w:sz w:val="21"/>
        </w:rPr>
      </w:pPr>
      <w:r>
        <w:rPr>
          <w:w w:val="95"/>
          <w:sz w:val="21"/>
        </w:rPr>
        <w:t>about</w:t>
      </w:r>
      <w:r>
        <w:rPr>
          <w:spacing w:val="-10"/>
          <w:w w:val="95"/>
          <w:sz w:val="21"/>
        </w:rPr>
        <w:t xml:space="preserve"> </w:t>
      </w:r>
      <w:r>
        <w:rPr>
          <w:w w:val="95"/>
          <w:sz w:val="21"/>
        </w:rPr>
        <w:t>the</w:t>
      </w:r>
      <w:r>
        <w:rPr>
          <w:spacing w:val="-12"/>
          <w:w w:val="95"/>
          <w:sz w:val="21"/>
        </w:rPr>
        <w:t xml:space="preserve"> </w:t>
      </w:r>
      <w:r>
        <w:rPr>
          <w:w w:val="95"/>
          <w:sz w:val="21"/>
        </w:rPr>
        <w:t>security</w:t>
      </w:r>
      <w:r>
        <w:rPr>
          <w:spacing w:val="-4"/>
          <w:w w:val="95"/>
          <w:sz w:val="21"/>
        </w:rPr>
        <w:t xml:space="preserve"> </w:t>
      </w:r>
      <w:r>
        <w:rPr>
          <w:w w:val="95"/>
          <w:sz w:val="21"/>
        </w:rPr>
        <w:t>and</w:t>
      </w:r>
      <w:r>
        <w:rPr>
          <w:spacing w:val="-11"/>
          <w:w w:val="95"/>
          <w:sz w:val="21"/>
        </w:rPr>
        <w:t xml:space="preserve"> </w:t>
      </w:r>
      <w:r>
        <w:rPr>
          <w:w w:val="95"/>
          <w:sz w:val="21"/>
        </w:rPr>
        <w:t>controls</w:t>
      </w:r>
      <w:r>
        <w:rPr>
          <w:spacing w:val="-4"/>
          <w:w w:val="95"/>
          <w:sz w:val="21"/>
        </w:rPr>
        <w:t xml:space="preserve"> </w:t>
      </w:r>
      <w:r>
        <w:rPr>
          <w:w w:val="95"/>
          <w:sz w:val="21"/>
        </w:rPr>
        <w:t>over</w:t>
      </w:r>
      <w:r>
        <w:rPr>
          <w:spacing w:val="-1"/>
          <w:w w:val="95"/>
          <w:sz w:val="21"/>
        </w:rPr>
        <w:t xml:space="preserve"> </w:t>
      </w:r>
      <w:r>
        <w:rPr>
          <w:w w:val="95"/>
          <w:sz w:val="21"/>
        </w:rPr>
        <w:t>the</w:t>
      </w:r>
      <w:r>
        <w:rPr>
          <w:spacing w:val="-13"/>
          <w:w w:val="95"/>
          <w:sz w:val="21"/>
        </w:rPr>
        <w:t xml:space="preserve"> </w:t>
      </w:r>
      <w:r>
        <w:rPr>
          <w:w w:val="95"/>
          <w:sz w:val="21"/>
        </w:rPr>
        <w:t>electronic</w:t>
      </w:r>
      <w:r>
        <w:rPr>
          <w:spacing w:val="-3"/>
          <w:w w:val="95"/>
          <w:sz w:val="21"/>
        </w:rPr>
        <w:t xml:space="preserve"> </w:t>
      </w:r>
      <w:r>
        <w:rPr>
          <w:w w:val="95"/>
          <w:sz w:val="21"/>
        </w:rPr>
        <w:t>publication</w:t>
      </w:r>
      <w:r>
        <w:rPr>
          <w:spacing w:val="6"/>
          <w:w w:val="95"/>
          <w:sz w:val="21"/>
        </w:rPr>
        <w:t xml:space="preserve"> </w:t>
      </w:r>
      <w:r>
        <w:rPr>
          <w:w w:val="95"/>
          <w:sz w:val="21"/>
        </w:rPr>
        <w:t>of</w:t>
      </w:r>
      <w:r>
        <w:rPr>
          <w:spacing w:val="-8"/>
          <w:w w:val="95"/>
          <w:sz w:val="21"/>
        </w:rPr>
        <w:t xml:space="preserve"> </w:t>
      </w:r>
      <w:r>
        <w:rPr>
          <w:w w:val="95"/>
          <w:sz w:val="21"/>
        </w:rPr>
        <w:t>the</w:t>
      </w:r>
      <w:r>
        <w:rPr>
          <w:spacing w:val="-12"/>
          <w:w w:val="95"/>
          <w:sz w:val="21"/>
        </w:rPr>
        <w:t xml:space="preserve"> </w:t>
      </w:r>
      <w:r>
        <w:rPr>
          <w:w w:val="95"/>
          <w:sz w:val="21"/>
        </w:rPr>
        <w:t>audited</w:t>
      </w:r>
      <w:r>
        <w:rPr>
          <w:spacing w:val="-7"/>
          <w:w w:val="95"/>
          <w:sz w:val="21"/>
        </w:rPr>
        <w:t xml:space="preserve"> </w:t>
      </w:r>
      <w:r>
        <w:rPr>
          <w:w w:val="95"/>
          <w:sz w:val="21"/>
        </w:rPr>
        <w:t xml:space="preserve">financial </w:t>
      </w:r>
      <w:r>
        <w:rPr>
          <w:sz w:val="21"/>
        </w:rPr>
        <w:t xml:space="preserve">statements on any website where </w:t>
      </w:r>
      <w:r>
        <w:rPr>
          <w:color w:val="161616"/>
          <w:sz w:val="21"/>
        </w:rPr>
        <w:t xml:space="preserve">it </w:t>
      </w:r>
      <w:r>
        <w:rPr>
          <w:sz w:val="21"/>
        </w:rPr>
        <w:t>may be</w:t>
      </w:r>
      <w:r>
        <w:rPr>
          <w:spacing w:val="-27"/>
          <w:sz w:val="21"/>
        </w:rPr>
        <w:t xml:space="preserve"> </w:t>
      </w:r>
      <w:r>
        <w:rPr>
          <w:sz w:val="21"/>
        </w:rPr>
        <w:t>presented</w:t>
      </w:r>
    </w:p>
    <w:p w14:paraId="08B08E09" w14:textId="77777777" w:rsidR="00FA4AA8" w:rsidRDefault="0015611F">
      <w:pPr>
        <w:pStyle w:val="ListParagraph"/>
        <w:numPr>
          <w:ilvl w:val="0"/>
          <w:numId w:val="21"/>
        </w:numPr>
        <w:tabs>
          <w:tab w:val="left" w:pos="1276"/>
          <w:tab w:val="left" w:pos="1277"/>
        </w:tabs>
        <w:spacing w:before="68"/>
        <w:ind w:left="1276"/>
        <w:rPr>
          <w:sz w:val="20"/>
        </w:rPr>
      </w:pPr>
      <w:r>
        <w:rPr>
          <w:sz w:val="20"/>
        </w:rPr>
        <w:t>about any other information which may have been hyperlinked to/from the financial</w:t>
      </w:r>
      <w:r>
        <w:rPr>
          <w:spacing w:val="11"/>
          <w:sz w:val="20"/>
        </w:rPr>
        <w:t xml:space="preserve"> </w:t>
      </w:r>
      <w:r>
        <w:rPr>
          <w:sz w:val="20"/>
        </w:rPr>
        <w:t>statements.</w:t>
      </w:r>
    </w:p>
    <w:p w14:paraId="7845ACDC" w14:textId="77777777" w:rsidR="00FA4AA8" w:rsidRDefault="00FA4AA8">
      <w:pPr>
        <w:pStyle w:val="BodyText"/>
        <w:rPr>
          <w:sz w:val="20"/>
        </w:rPr>
      </w:pPr>
    </w:p>
    <w:p w14:paraId="2405599A" w14:textId="77777777" w:rsidR="00FA4AA8" w:rsidRDefault="00FA4AA8">
      <w:pPr>
        <w:pStyle w:val="BodyText"/>
        <w:rPr>
          <w:sz w:val="20"/>
        </w:rPr>
      </w:pPr>
    </w:p>
    <w:p w14:paraId="7C4B2F26" w14:textId="77777777" w:rsidR="00FA4AA8" w:rsidRDefault="00FA4AA8">
      <w:pPr>
        <w:pStyle w:val="BodyText"/>
        <w:rPr>
          <w:sz w:val="20"/>
        </w:rPr>
      </w:pPr>
    </w:p>
    <w:p w14:paraId="6B5CCC93" w14:textId="77777777" w:rsidR="00FA4AA8" w:rsidRDefault="0015611F">
      <w:pPr>
        <w:pStyle w:val="BodyText"/>
        <w:spacing w:before="3"/>
        <w:rPr>
          <w:sz w:val="17"/>
        </w:rPr>
      </w:pPr>
      <w:r>
        <w:rPr>
          <w:noProof/>
          <w:lang w:val="en-AU" w:eastAsia="en-AU"/>
        </w:rPr>
        <w:drawing>
          <wp:anchor distT="0" distB="0" distL="0" distR="0" simplePos="0" relativeHeight="218" behindDoc="0" locked="0" layoutInCell="1" allowOverlap="1" wp14:anchorId="49368493" wp14:editId="4B88CBF3">
            <wp:simplePos x="0" y="0"/>
            <wp:positionH relativeFrom="page">
              <wp:posOffset>789485</wp:posOffset>
            </wp:positionH>
            <wp:positionV relativeFrom="paragraph">
              <wp:posOffset>151231</wp:posOffset>
            </wp:positionV>
            <wp:extent cx="2090870" cy="252983"/>
            <wp:effectExtent l="0" t="0" r="0" b="0"/>
            <wp:wrapTopAndBottom/>
            <wp:docPr id="165" name="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04.jpeg"/>
                    <pic:cNvPicPr/>
                  </pic:nvPicPr>
                  <pic:blipFill>
                    <a:blip r:embed="rId311" cstate="print"/>
                    <a:stretch>
                      <a:fillRect/>
                    </a:stretch>
                  </pic:blipFill>
                  <pic:spPr>
                    <a:xfrm>
                      <a:off x="0" y="0"/>
                      <a:ext cx="2090870" cy="252983"/>
                    </a:xfrm>
                    <a:prstGeom prst="rect">
                      <a:avLst/>
                    </a:prstGeom>
                  </pic:spPr>
                </pic:pic>
              </a:graphicData>
            </a:graphic>
          </wp:anchor>
        </w:drawing>
      </w:r>
    </w:p>
    <w:p w14:paraId="62210256" w14:textId="77777777" w:rsidR="00FA4AA8" w:rsidRDefault="0015611F">
      <w:pPr>
        <w:spacing w:before="76"/>
        <w:ind w:left="703" w:right="7483" w:hanging="2"/>
        <w:rPr>
          <w:sz w:val="21"/>
        </w:rPr>
      </w:pPr>
      <w:r>
        <w:rPr>
          <w:sz w:val="21"/>
        </w:rPr>
        <w:t xml:space="preserve">Margaret Crawford </w:t>
      </w:r>
      <w:r>
        <w:rPr>
          <w:w w:val="95"/>
          <w:sz w:val="21"/>
        </w:rPr>
        <w:t>Auditor-General for NSW</w:t>
      </w:r>
    </w:p>
    <w:p w14:paraId="27637C7A" w14:textId="77777777" w:rsidR="00FA4AA8" w:rsidRDefault="0015611F">
      <w:pPr>
        <w:spacing w:before="170"/>
        <w:ind w:left="703" w:right="7717" w:firstLine="278"/>
        <w:rPr>
          <w:sz w:val="21"/>
        </w:rPr>
      </w:pPr>
      <w:r>
        <w:rPr>
          <w:w w:val="95"/>
          <w:sz w:val="21"/>
        </w:rPr>
        <w:t xml:space="preserve">April 2019 </w:t>
      </w:r>
      <w:r>
        <w:rPr>
          <w:sz w:val="21"/>
        </w:rPr>
        <w:t>SYDNEY</w:t>
      </w:r>
    </w:p>
    <w:p w14:paraId="2EAB28FE" w14:textId="77777777" w:rsidR="00FA4AA8" w:rsidRDefault="00FA4AA8">
      <w:pPr>
        <w:rPr>
          <w:sz w:val="21"/>
        </w:rPr>
        <w:sectPr w:rsidR="00FA4AA8">
          <w:headerReference w:type="default" r:id="rId312"/>
          <w:footerReference w:type="default" r:id="rId313"/>
          <w:pgSz w:w="11900" w:h="16840"/>
          <w:pgMar w:top="1220" w:right="800" w:bottom="720" w:left="660" w:header="0" w:footer="523" w:gutter="0"/>
          <w:pgNumType w:start="245"/>
          <w:cols w:space="720"/>
        </w:sectPr>
      </w:pPr>
    </w:p>
    <w:p w14:paraId="7750557D" w14:textId="77777777" w:rsidR="00FA4AA8" w:rsidRDefault="00FA4AA8">
      <w:pPr>
        <w:pStyle w:val="BodyText"/>
        <w:rPr>
          <w:sz w:val="20"/>
        </w:rPr>
      </w:pPr>
    </w:p>
    <w:p w14:paraId="5FEC859C" w14:textId="77777777" w:rsidR="00FA4AA8" w:rsidRDefault="00FA4AA8">
      <w:pPr>
        <w:pStyle w:val="BodyText"/>
        <w:rPr>
          <w:sz w:val="20"/>
        </w:rPr>
      </w:pPr>
    </w:p>
    <w:p w14:paraId="0FCE8C6A" w14:textId="77777777" w:rsidR="00FA4AA8" w:rsidRDefault="00FA4AA8">
      <w:pPr>
        <w:pStyle w:val="BodyText"/>
        <w:rPr>
          <w:sz w:val="20"/>
        </w:rPr>
      </w:pPr>
    </w:p>
    <w:p w14:paraId="01ED70B7" w14:textId="77777777" w:rsidR="00FA4AA8" w:rsidRDefault="00FA4AA8">
      <w:pPr>
        <w:pStyle w:val="BodyText"/>
        <w:rPr>
          <w:sz w:val="20"/>
        </w:rPr>
      </w:pPr>
    </w:p>
    <w:p w14:paraId="0D09C46C" w14:textId="77777777" w:rsidR="00FA4AA8" w:rsidRDefault="00FA4AA8">
      <w:pPr>
        <w:pStyle w:val="BodyText"/>
        <w:rPr>
          <w:sz w:val="20"/>
        </w:rPr>
      </w:pPr>
    </w:p>
    <w:p w14:paraId="4AC10F98" w14:textId="77777777" w:rsidR="00FA4AA8" w:rsidRDefault="00FA4AA8">
      <w:pPr>
        <w:pStyle w:val="BodyText"/>
        <w:rPr>
          <w:sz w:val="20"/>
        </w:rPr>
      </w:pPr>
    </w:p>
    <w:p w14:paraId="6B801911" w14:textId="77777777" w:rsidR="00FA4AA8" w:rsidRDefault="00FA4AA8">
      <w:pPr>
        <w:pStyle w:val="BodyText"/>
        <w:rPr>
          <w:sz w:val="20"/>
        </w:rPr>
      </w:pPr>
    </w:p>
    <w:p w14:paraId="2C4E9072" w14:textId="77777777" w:rsidR="00FA4AA8" w:rsidRDefault="00FA4AA8">
      <w:pPr>
        <w:pStyle w:val="BodyText"/>
        <w:rPr>
          <w:sz w:val="20"/>
        </w:rPr>
      </w:pPr>
    </w:p>
    <w:p w14:paraId="5D083536" w14:textId="77777777" w:rsidR="00FA4AA8" w:rsidRDefault="00FA4AA8">
      <w:pPr>
        <w:pStyle w:val="BodyText"/>
        <w:rPr>
          <w:sz w:val="20"/>
        </w:rPr>
      </w:pPr>
    </w:p>
    <w:p w14:paraId="1EEE439E" w14:textId="77777777" w:rsidR="00FA4AA8" w:rsidRDefault="00FA4AA8">
      <w:pPr>
        <w:pStyle w:val="BodyText"/>
        <w:rPr>
          <w:sz w:val="20"/>
        </w:rPr>
      </w:pPr>
    </w:p>
    <w:p w14:paraId="35A4C690" w14:textId="77777777" w:rsidR="00FA4AA8" w:rsidRDefault="00FA4AA8">
      <w:pPr>
        <w:pStyle w:val="BodyText"/>
        <w:rPr>
          <w:sz w:val="20"/>
        </w:rPr>
      </w:pPr>
    </w:p>
    <w:p w14:paraId="0D6244B4" w14:textId="77777777" w:rsidR="00FA4AA8" w:rsidRDefault="00FA4AA8">
      <w:pPr>
        <w:pStyle w:val="BodyText"/>
        <w:rPr>
          <w:sz w:val="20"/>
        </w:rPr>
      </w:pPr>
    </w:p>
    <w:p w14:paraId="0DF25E52" w14:textId="77777777" w:rsidR="00FA4AA8" w:rsidRDefault="00FA4AA8">
      <w:pPr>
        <w:pStyle w:val="BodyText"/>
        <w:rPr>
          <w:sz w:val="20"/>
        </w:rPr>
      </w:pPr>
    </w:p>
    <w:p w14:paraId="26193AB8" w14:textId="77777777" w:rsidR="00FA4AA8" w:rsidRDefault="00FA4AA8">
      <w:pPr>
        <w:pStyle w:val="BodyText"/>
        <w:rPr>
          <w:sz w:val="20"/>
        </w:rPr>
      </w:pPr>
    </w:p>
    <w:p w14:paraId="30EE70E6" w14:textId="77777777" w:rsidR="00FA4AA8" w:rsidRDefault="00FA4AA8">
      <w:pPr>
        <w:pStyle w:val="BodyText"/>
        <w:rPr>
          <w:sz w:val="20"/>
        </w:rPr>
      </w:pPr>
    </w:p>
    <w:p w14:paraId="466DE90B" w14:textId="77777777" w:rsidR="00FA4AA8" w:rsidRDefault="00FA4AA8">
      <w:pPr>
        <w:pStyle w:val="BodyText"/>
        <w:rPr>
          <w:sz w:val="20"/>
        </w:rPr>
      </w:pPr>
    </w:p>
    <w:p w14:paraId="01921B66" w14:textId="77777777" w:rsidR="00FA4AA8" w:rsidRDefault="00FA4AA8">
      <w:pPr>
        <w:pStyle w:val="BodyText"/>
        <w:rPr>
          <w:sz w:val="20"/>
        </w:rPr>
      </w:pPr>
    </w:p>
    <w:p w14:paraId="5D31C7B5" w14:textId="77777777" w:rsidR="00FA4AA8" w:rsidRDefault="00FA4AA8">
      <w:pPr>
        <w:pStyle w:val="BodyText"/>
        <w:rPr>
          <w:sz w:val="20"/>
        </w:rPr>
      </w:pPr>
    </w:p>
    <w:p w14:paraId="59C758AC" w14:textId="77777777" w:rsidR="00FA4AA8" w:rsidRDefault="00FA4AA8">
      <w:pPr>
        <w:pStyle w:val="BodyText"/>
        <w:rPr>
          <w:sz w:val="20"/>
        </w:rPr>
      </w:pPr>
    </w:p>
    <w:p w14:paraId="4FA1B5B2" w14:textId="77777777" w:rsidR="00FA4AA8" w:rsidRDefault="00FA4AA8">
      <w:pPr>
        <w:pStyle w:val="BodyText"/>
        <w:rPr>
          <w:sz w:val="20"/>
        </w:rPr>
      </w:pPr>
    </w:p>
    <w:p w14:paraId="09C44722" w14:textId="77777777" w:rsidR="00FA4AA8" w:rsidRDefault="00FA4AA8">
      <w:pPr>
        <w:pStyle w:val="BodyText"/>
        <w:rPr>
          <w:sz w:val="20"/>
        </w:rPr>
      </w:pPr>
    </w:p>
    <w:p w14:paraId="49E9922E" w14:textId="77777777" w:rsidR="00FA4AA8" w:rsidRDefault="00FA4AA8">
      <w:pPr>
        <w:pStyle w:val="BodyText"/>
        <w:rPr>
          <w:sz w:val="20"/>
        </w:rPr>
      </w:pPr>
    </w:p>
    <w:p w14:paraId="2099DCB5" w14:textId="77777777" w:rsidR="00FA4AA8" w:rsidRDefault="00FA4AA8">
      <w:pPr>
        <w:pStyle w:val="BodyText"/>
        <w:rPr>
          <w:sz w:val="20"/>
        </w:rPr>
      </w:pPr>
    </w:p>
    <w:p w14:paraId="49B4D81B" w14:textId="77777777" w:rsidR="00FA4AA8" w:rsidRDefault="00FA4AA8">
      <w:pPr>
        <w:pStyle w:val="BodyText"/>
        <w:spacing w:before="10"/>
        <w:rPr>
          <w:sz w:val="17"/>
        </w:rPr>
      </w:pPr>
    </w:p>
    <w:p w14:paraId="39D3612C" w14:textId="77777777" w:rsidR="00FA4AA8" w:rsidRDefault="0015611F">
      <w:pPr>
        <w:pStyle w:val="BodyText"/>
        <w:spacing w:before="94"/>
        <w:ind w:left="3388" w:right="3029"/>
        <w:jc w:val="center"/>
      </w:pPr>
      <w:r>
        <w:t>This page is intentionally blank</w:t>
      </w:r>
    </w:p>
    <w:p w14:paraId="7D4394E5" w14:textId="77777777" w:rsidR="00FA4AA8" w:rsidRDefault="00FA4AA8">
      <w:pPr>
        <w:jc w:val="center"/>
        <w:sectPr w:rsidR="00FA4AA8">
          <w:headerReference w:type="default" r:id="rId314"/>
          <w:footerReference w:type="default" r:id="rId315"/>
          <w:pgSz w:w="11910" w:h="16840"/>
          <w:pgMar w:top="1580" w:right="1680" w:bottom="720" w:left="1320" w:header="0" w:footer="523" w:gutter="0"/>
          <w:pgNumType w:start="246"/>
          <w:cols w:space="720"/>
        </w:sectPr>
      </w:pPr>
    </w:p>
    <w:p w14:paraId="24B41313" w14:textId="77777777" w:rsidR="00FA4AA8" w:rsidRDefault="00FA4AA8">
      <w:pPr>
        <w:pStyle w:val="BodyText"/>
        <w:rPr>
          <w:sz w:val="20"/>
        </w:rPr>
      </w:pPr>
    </w:p>
    <w:p w14:paraId="2B4C7960" w14:textId="77777777" w:rsidR="00FA4AA8" w:rsidRDefault="00FA4AA8">
      <w:pPr>
        <w:pStyle w:val="BodyText"/>
        <w:rPr>
          <w:sz w:val="20"/>
        </w:rPr>
      </w:pPr>
    </w:p>
    <w:p w14:paraId="2FD91791" w14:textId="77777777" w:rsidR="00FA4AA8" w:rsidRDefault="00FA4AA8">
      <w:pPr>
        <w:pStyle w:val="BodyText"/>
        <w:rPr>
          <w:sz w:val="20"/>
        </w:rPr>
      </w:pPr>
    </w:p>
    <w:p w14:paraId="3669D84A" w14:textId="77777777" w:rsidR="00FA4AA8" w:rsidRDefault="00FA4AA8">
      <w:pPr>
        <w:pStyle w:val="BodyText"/>
        <w:rPr>
          <w:sz w:val="20"/>
        </w:rPr>
      </w:pPr>
    </w:p>
    <w:p w14:paraId="159B54B8" w14:textId="77777777" w:rsidR="00FA4AA8" w:rsidRDefault="00FA4AA8">
      <w:pPr>
        <w:pStyle w:val="BodyText"/>
        <w:rPr>
          <w:sz w:val="20"/>
        </w:rPr>
      </w:pPr>
    </w:p>
    <w:p w14:paraId="030DD56A" w14:textId="77777777" w:rsidR="00FA4AA8" w:rsidRDefault="00FA4AA8">
      <w:pPr>
        <w:pStyle w:val="BodyText"/>
        <w:rPr>
          <w:sz w:val="20"/>
        </w:rPr>
      </w:pPr>
    </w:p>
    <w:p w14:paraId="44C0EA52" w14:textId="77777777" w:rsidR="00FA4AA8" w:rsidRDefault="00FA4AA8">
      <w:pPr>
        <w:pStyle w:val="BodyText"/>
        <w:rPr>
          <w:sz w:val="20"/>
        </w:rPr>
      </w:pPr>
    </w:p>
    <w:p w14:paraId="37EA2914" w14:textId="77777777" w:rsidR="00FA4AA8" w:rsidRDefault="00FA4AA8">
      <w:pPr>
        <w:pStyle w:val="BodyText"/>
        <w:rPr>
          <w:sz w:val="20"/>
        </w:rPr>
      </w:pPr>
    </w:p>
    <w:p w14:paraId="2D36B437" w14:textId="77777777" w:rsidR="00FA4AA8" w:rsidRDefault="00FA4AA8">
      <w:pPr>
        <w:pStyle w:val="BodyText"/>
        <w:rPr>
          <w:sz w:val="20"/>
        </w:rPr>
      </w:pPr>
    </w:p>
    <w:p w14:paraId="26AC748E" w14:textId="77777777" w:rsidR="00FA4AA8" w:rsidRDefault="00FA4AA8">
      <w:pPr>
        <w:pStyle w:val="BodyText"/>
        <w:rPr>
          <w:sz w:val="20"/>
        </w:rPr>
      </w:pPr>
    </w:p>
    <w:p w14:paraId="41002581" w14:textId="77777777" w:rsidR="00FA4AA8" w:rsidRDefault="00FA4AA8">
      <w:pPr>
        <w:pStyle w:val="BodyText"/>
        <w:rPr>
          <w:sz w:val="20"/>
        </w:rPr>
      </w:pPr>
    </w:p>
    <w:p w14:paraId="3DABAF5D" w14:textId="77777777" w:rsidR="00FA4AA8" w:rsidRDefault="00FA4AA8">
      <w:pPr>
        <w:pStyle w:val="BodyText"/>
        <w:rPr>
          <w:sz w:val="20"/>
        </w:rPr>
      </w:pPr>
    </w:p>
    <w:p w14:paraId="7E735308" w14:textId="77777777" w:rsidR="00FA4AA8" w:rsidRDefault="00FA4AA8">
      <w:pPr>
        <w:pStyle w:val="BodyText"/>
        <w:rPr>
          <w:sz w:val="20"/>
        </w:rPr>
      </w:pPr>
    </w:p>
    <w:p w14:paraId="2945485A" w14:textId="77777777" w:rsidR="00FA4AA8" w:rsidRDefault="00FA4AA8">
      <w:pPr>
        <w:pStyle w:val="BodyText"/>
        <w:rPr>
          <w:sz w:val="20"/>
        </w:rPr>
      </w:pPr>
    </w:p>
    <w:p w14:paraId="61F574A4" w14:textId="77777777" w:rsidR="00FA4AA8" w:rsidRDefault="00FA4AA8">
      <w:pPr>
        <w:pStyle w:val="BodyText"/>
        <w:rPr>
          <w:sz w:val="20"/>
        </w:rPr>
      </w:pPr>
    </w:p>
    <w:p w14:paraId="2088B084" w14:textId="77777777" w:rsidR="00FA4AA8" w:rsidRDefault="00FA4AA8">
      <w:pPr>
        <w:pStyle w:val="BodyText"/>
        <w:rPr>
          <w:sz w:val="20"/>
        </w:rPr>
      </w:pPr>
    </w:p>
    <w:p w14:paraId="36E871E0" w14:textId="77777777" w:rsidR="00FA4AA8" w:rsidRDefault="00FA4AA8">
      <w:pPr>
        <w:pStyle w:val="BodyText"/>
        <w:rPr>
          <w:sz w:val="20"/>
        </w:rPr>
      </w:pPr>
    </w:p>
    <w:p w14:paraId="0E656184" w14:textId="77777777" w:rsidR="00FA4AA8" w:rsidRDefault="00FA4AA8">
      <w:pPr>
        <w:pStyle w:val="BodyText"/>
        <w:rPr>
          <w:sz w:val="20"/>
        </w:rPr>
      </w:pPr>
    </w:p>
    <w:p w14:paraId="625AAED6" w14:textId="77777777" w:rsidR="00FA4AA8" w:rsidRDefault="00FA4AA8">
      <w:pPr>
        <w:pStyle w:val="BodyText"/>
        <w:rPr>
          <w:sz w:val="20"/>
        </w:rPr>
      </w:pPr>
    </w:p>
    <w:p w14:paraId="4BF23630" w14:textId="77777777" w:rsidR="00FA4AA8" w:rsidRDefault="00FA4AA8">
      <w:pPr>
        <w:pStyle w:val="BodyText"/>
        <w:rPr>
          <w:sz w:val="20"/>
        </w:rPr>
      </w:pPr>
    </w:p>
    <w:p w14:paraId="26159F3D" w14:textId="77777777" w:rsidR="00FA4AA8" w:rsidRDefault="00FA4AA8">
      <w:pPr>
        <w:pStyle w:val="BodyText"/>
        <w:rPr>
          <w:sz w:val="20"/>
        </w:rPr>
      </w:pPr>
    </w:p>
    <w:p w14:paraId="268AABCC" w14:textId="77777777" w:rsidR="00FA4AA8" w:rsidRDefault="00FA4AA8">
      <w:pPr>
        <w:pStyle w:val="BodyText"/>
        <w:rPr>
          <w:sz w:val="20"/>
        </w:rPr>
      </w:pPr>
    </w:p>
    <w:p w14:paraId="30ED7346" w14:textId="77777777" w:rsidR="00FA4AA8" w:rsidRDefault="00FA4AA8">
      <w:pPr>
        <w:pStyle w:val="BodyText"/>
        <w:rPr>
          <w:sz w:val="20"/>
        </w:rPr>
      </w:pPr>
    </w:p>
    <w:p w14:paraId="206C06D2" w14:textId="77777777" w:rsidR="00FA4AA8" w:rsidRDefault="00FA4AA8">
      <w:pPr>
        <w:pStyle w:val="BodyText"/>
        <w:rPr>
          <w:sz w:val="20"/>
        </w:rPr>
      </w:pPr>
    </w:p>
    <w:p w14:paraId="6B4E5737" w14:textId="77777777" w:rsidR="00FA4AA8" w:rsidRDefault="00FA4AA8">
      <w:pPr>
        <w:pStyle w:val="BodyText"/>
        <w:rPr>
          <w:sz w:val="20"/>
        </w:rPr>
      </w:pPr>
    </w:p>
    <w:p w14:paraId="3774CA46" w14:textId="77777777" w:rsidR="00FA4AA8" w:rsidRDefault="00FA4AA8">
      <w:pPr>
        <w:pStyle w:val="BodyText"/>
        <w:rPr>
          <w:sz w:val="20"/>
        </w:rPr>
      </w:pPr>
    </w:p>
    <w:p w14:paraId="1680AB7C" w14:textId="77777777" w:rsidR="00FA4AA8" w:rsidRDefault="0015611F">
      <w:pPr>
        <w:spacing w:before="199"/>
        <w:ind w:left="119"/>
        <w:rPr>
          <w:b/>
          <w:sz w:val="96"/>
        </w:rPr>
      </w:pPr>
      <w:bookmarkStart w:id="218" w:name="10._Appendices"/>
      <w:bookmarkStart w:id="219" w:name="1.Cover_Sheet.pdf"/>
      <w:bookmarkEnd w:id="218"/>
      <w:bookmarkEnd w:id="219"/>
      <w:r>
        <w:rPr>
          <w:b/>
          <w:color w:val="231F20"/>
          <w:sz w:val="96"/>
        </w:rPr>
        <w:t>Appendices</w:t>
      </w:r>
    </w:p>
    <w:p w14:paraId="613F7588" w14:textId="77777777" w:rsidR="00FA4AA8" w:rsidRDefault="00FA4AA8">
      <w:pPr>
        <w:pStyle w:val="BodyText"/>
        <w:rPr>
          <w:b/>
          <w:sz w:val="20"/>
        </w:rPr>
      </w:pPr>
    </w:p>
    <w:p w14:paraId="5A8CD92B" w14:textId="77777777" w:rsidR="00FA4AA8" w:rsidRDefault="00FA4AA8">
      <w:pPr>
        <w:pStyle w:val="BodyText"/>
        <w:spacing w:before="10"/>
        <w:rPr>
          <w:b/>
          <w:sz w:val="23"/>
        </w:rPr>
      </w:pPr>
    </w:p>
    <w:p w14:paraId="68741CA3" w14:textId="77777777" w:rsidR="00FA4AA8" w:rsidRDefault="0015611F">
      <w:pPr>
        <w:spacing w:before="87"/>
        <w:ind w:left="100"/>
        <w:rPr>
          <w:b/>
          <w:sz w:val="40"/>
        </w:rPr>
      </w:pPr>
      <w:r>
        <w:rPr>
          <w:b/>
          <w:color w:val="231F20"/>
          <w:sz w:val="40"/>
        </w:rPr>
        <w:t>Western Sydney</w:t>
      </w:r>
      <w:r>
        <w:rPr>
          <w:b/>
          <w:color w:val="231F20"/>
          <w:spacing w:val="-10"/>
          <w:sz w:val="40"/>
        </w:rPr>
        <w:t xml:space="preserve"> </w:t>
      </w:r>
      <w:r>
        <w:rPr>
          <w:b/>
          <w:color w:val="231F20"/>
          <w:sz w:val="40"/>
        </w:rPr>
        <w:t>University</w:t>
      </w:r>
    </w:p>
    <w:p w14:paraId="497B8722" w14:textId="77777777" w:rsidR="00FA4AA8" w:rsidRDefault="00FA4AA8">
      <w:pPr>
        <w:rPr>
          <w:sz w:val="40"/>
        </w:rPr>
        <w:sectPr w:rsidR="00FA4AA8">
          <w:headerReference w:type="default" r:id="rId316"/>
          <w:footerReference w:type="default" r:id="rId317"/>
          <w:pgSz w:w="11910" w:h="16840"/>
          <w:pgMar w:top="1600" w:right="1678" w:bottom="720" w:left="1320" w:header="0" w:footer="523" w:gutter="0"/>
          <w:pgNumType w:start="247"/>
          <w:cols w:space="720"/>
        </w:sectPr>
      </w:pPr>
    </w:p>
    <w:tbl>
      <w:tblPr>
        <w:tblW w:w="0" w:type="auto"/>
        <w:tblInd w:w="108" w:type="dxa"/>
        <w:tblLayout w:type="fixed"/>
        <w:tblCellMar>
          <w:left w:w="0" w:type="dxa"/>
          <w:right w:w="0" w:type="dxa"/>
        </w:tblCellMar>
        <w:tblLook w:val="01E0" w:firstRow="1" w:lastRow="1" w:firstColumn="1" w:lastColumn="1" w:noHBand="0" w:noVBand="0"/>
      </w:tblPr>
      <w:tblGrid>
        <w:gridCol w:w="6713"/>
        <w:gridCol w:w="1334"/>
        <w:gridCol w:w="1325"/>
        <w:gridCol w:w="1290"/>
        <w:gridCol w:w="1308"/>
      </w:tblGrid>
      <w:tr w:rsidR="00FA4AA8" w14:paraId="6E5BCE28" w14:textId="77777777">
        <w:trPr>
          <w:trHeight w:val="555"/>
        </w:trPr>
        <w:tc>
          <w:tcPr>
            <w:tcW w:w="6713" w:type="dxa"/>
          </w:tcPr>
          <w:p w14:paraId="22FC0F1A" w14:textId="77777777" w:rsidR="00FA4AA8" w:rsidRDefault="00FA4AA8">
            <w:pPr>
              <w:pStyle w:val="TableParagraph"/>
              <w:rPr>
                <w:rFonts w:ascii="Times New Roman"/>
                <w:sz w:val="16"/>
              </w:rPr>
            </w:pPr>
          </w:p>
        </w:tc>
        <w:tc>
          <w:tcPr>
            <w:tcW w:w="1334" w:type="dxa"/>
          </w:tcPr>
          <w:p w14:paraId="3ADC1390" w14:textId="77777777" w:rsidR="00FA4AA8" w:rsidRDefault="00FA4AA8">
            <w:pPr>
              <w:pStyle w:val="TableParagraph"/>
              <w:rPr>
                <w:rFonts w:ascii="Times New Roman"/>
                <w:sz w:val="16"/>
              </w:rPr>
            </w:pPr>
          </w:p>
        </w:tc>
        <w:tc>
          <w:tcPr>
            <w:tcW w:w="1325" w:type="dxa"/>
          </w:tcPr>
          <w:p w14:paraId="27E76137" w14:textId="77777777" w:rsidR="00FA4AA8" w:rsidRDefault="00FA4AA8">
            <w:pPr>
              <w:pStyle w:val="TableParagraph"/>
              <w:rPr>
                <w:rFonts w:ascii="Times New Roman"/>
                <w:sz w:val="16"/>
              </w:rPr>
            </w:pPr>
          </w:p>
        </w:tc>
        <w:tc>
          <w:tcPr>
            <w:tcW w:w="1290" w:type="dxa"/>
          </w:tcPr>
          <w:p w14:paraId="72895604" w14:textId="77777777" w:rsidR="00FA4AA8" w:rsidRDefault="0015611F">
            <w:pPr>
              <w:pStyle w:val="TableParagraph"/>
              <w:spacing w:line="196" w:lineRule="exact"/>
              <w:ind w:left="47"/>
              <w:rPr>
                <w:b/>
                <w:sz w:val="18"/>
              </w:rPr>
            </w:pPr>
            <w:bookmarkStart w:id="220" w:name="2.Annual_Report_2018_actual_comparison_t"/>
            <w:bookmarkStart w:id="221" w:name="2018_Actual_to_Budget"/>
            <w:bookmarkEnd w:id="220"/>
            <w:bookmarkEnd w:id="221"/>
            <w:r>
              <w:rPr>
                <w:b/>
                <w:sz w:val="18"/>
              </w:rPr>
              <w:t>Appendices</w:t>
            </w:r>
          </w:p>
        </w:tc>
        <w:tc>
          <w:tcPr>
            <w:tcW w:w="1308" w:type="dxa"/>
          </w:tcPr>
          <w:p w14:paraId="19B5CBE5" w14:textId="77777777" w:rsidR="00FA4AA8" w:rsidRDefault="00FA4AA8">
            <w:pPr>
              <w:pStyle w:val="TableParagraph"/>
              <w:rPr>
                <w:rFonts w:ascii="Times New Roman"/>
                <w:sz w:val="16"/>
              </w:rPr>
            </w:pPr>
          </w:p>
        </w:tc>
      </w:tr>
      <w:tr w:rsidR="00FA4AA8" w14:paraId="0EB8168F" w14:textId="77777777">
        <w:trPr>
          <w:trHeight w:val="810"/>
        </w:trPr>
        <w:tc>
          <w:tcPr>
            <w:tcW w:w="6713" w:type="dxa"/>
          </w:tcPr>
          <w:p w14:paraId="5300B6B0" w14:textId="77777777" w:rsidR="00FA4AA8" w:rsidRDefault="00FA4AA8">
            <w:pPr>
              <w:pStyle w:val="TableParagraph"/>
              <w:spacing w:before="7"/>
              <w:rPr>
                <w:b/>
                <w:sz w:val="29"/>
              </w:rPr>
            </w:pPr>
          </w:p>
          <w:p w14:paraId="5D6D55FA" w14:textId="77777777" w:rsidR="00FA4AA8" w:rsidRDefault="0015611F">
            <w:pPr>
              <w:pStyle w:val="TableParagraph"/>
              <w:ind w:left="200"/>
              <w:rPr>
                <w:b/>
                <w:sz w:val="28"/>
              </w:rPr>
            </w:pPr>
            <w:r>
              <w:rPr>
                <w:b/>
                <w:sz w:val="28"/>
              </w:rPr>
              <w:t>2018 Actual to Budget Comparative Analysis</w:t>
            </w:r>
          </w:p>
        </w:tc>
        <w:tc>
          <w:tcPr>
            <w:tcW w:w="1334" w:type="dxa"/>
          </w:tcPr>
          <w:p w14:paraId="46884212" w14:textId="77777777" w:rsidR="00FA4AA8" w:rsidRDefault="00FA4AA8">
            <w:pPr>
              <w:pStyle w:val="TableParagraph"/>
              <w:rPr>
                <w:rFonts w:ascii="Times New Roman"/>
                <w:sz w:val="16"/>
              </w:rPr>
            </w:pPr>
          </w:p>
        </w:tc>
        <w:tc>
          <w:tcPr>
            <w:tcW w:w="1325" w:type="dxa"/>
          </w:tcPr>
          <w:p w14:paraId="745B75BE" w14:textId="77777777" w:rsidR="00FA4AA8" w:rsidRDefault="00FA4AA8">
            <w:pPr>
              <w:pStyle w:val="TableParagraph"/>
              <w:rPr>
                <w:rFonts w:ascii="Times New Roman"/>
                <w:sz w:val="16"/>
              </w:rPr>
            </w:pPr>
          </w:p>
        </w:tc>
        <w:tc>
          <w:tcPr>
            <w:tcW w:w="1290" w:type="dxa"/>
          </w:tcPr>
          <w:p w14:paraId="73C0E59E" w14:textId="77777777" w:rsidR="00FA4AA8" w:rsidRDefault="00FA4AA8">
            <w:pPr>
              <w:pStyle w:val="TableParagraph"/>
              <w:rPr>
                <w:rFonts w:ascii="Times New Roman"/>
                <w:sz w:val="16"/>
              </w:rPr>
            </w:pPr>
          </w:p>
        </w:tc>
        <w:tc>
          <w:tcPr>
            <w:tcW w:w="1308" w:type="dxa"/>
          </w:tcPr>
          <w:p w14:paraId="4A35D84E" w14:textId="77777777" w:rsidR="00FA4AA8" w:rsidRDefault="00FA4AA8">
            <w:pPr>
              <w:pStyle w:val="TableParagraph"/>
              <w:rPr>
                <w:rFonts w:ascii="Times New Roman"/>
                <w:sz w:val="16"/>
              </w:rPr>
            </w:pPr>
          </w:p>
        </w:tc>
      </w:tr>
      <w:tr w:rsidR="00FA4AA8" w14:paraId="60FCF8A7" w14:textId="77777777">
        <w:trPr>
          <w:trHeight w:val="386"/>
        </w:trPr>
        <w:tc>
          <w:tcPr>
            <w:tcW w:w="6713" w:type="dxa"/>
          </w:tcPr>
          <w:p w14:paraId="474626D8" w14:textId="77777777" w:rsidR="00FA4AA8" w:rsidRDefault="00FA4AA8">
            <w:pPr>
              <w:pStyle w:val="TableParagraph"/>
              <w:rPr>
                <w:rFonts w:ascii="Times New Roman"/>
                <w:sz w:val="16"/>
              </w:rPr>
            </w:pPr>
          </w:p>
        </w:tc>
        <w:tc>
          <w:tcPr>
            <w:tcW w:w="1334" w:type="dxa"/>
          </w:tcPr>
          <w:p w14:paraId="694CFD77" w14:textId="77777777" w:rsidR="00FA4AA8" w:rsidRDefault="0015611F">
            <w:pPr>
              <w:pStyle w:val="TableParagraph"/>
              <w:spacing w:before="131"/>
              <w:ind w:right="302"/>
              <w:jc w:val="right"/>
              <w:rPr>
                <w:b/>
                <w:sz w:val="18"/>
              </w:rPr>
            </w:pPr>
            <w:r>
              <w:rPr>
                <w:b/>
                <w:w w:val="95"/>
                <w:sz w:val="18"/>
              </w:rPr>
              <w:t>2018</w:t>
            </w:r>
          </w:p>
        </w:tc>
        <w:tc>
          <w:tcPr>
            <w:tcW w:w="1325" w:type="dxa"/>
          </w:tcPr>
          <w:p w14:paraId="49A4A5A2" w14:textId="77777777" w:rsidR="00FA4AA8" w:rsidRDefault="0015611F">
            <w:pPr>
              <w:pStyle w:val="TableParagraph"/>
              <w:spacing w:before="131"/>
              <w:ind w:right="218"/>
              <w:jc w:val="right"/>
              <w:rPr>
                <w:b/>
                <w:sz w:val="18"/>
              </w:rPr>
            </w:pPr>
            <w:r>
              <w:rPr>
                <w:b/>
                <w:w w:val="95"/>
                <w:sz w:val="18"/>
              </w:rPr>
              <w:t>2018</w:t>
            </w:r>
          </w:p>
        </w:tc>
        <w:tc>
          <w:tcPr>
            <w:tcW w:w="1290" w:type="dxa"/>
          </w:tcPr>
          <w:p w14:paraId="4C7304CD" w14:textId="77777777" w:rsidR="00FA4AA8" w:rsidRDefault="0015611F">
            <w:pPr>
              <w:pStyle w:val="TableParagraph"/>
              <w:spacing w:before="131"/>
              <w:ind w:right="132"/>
              <w:jc w:val="right"/>
              <w:rPr>
                <w:b/>
                <w:i/>
                <w:sz w:val="18"/>
              </w:rPr>
            </w:pPr>
            <w:r>
              <w:rPr>
                <w:b/>
                <w:i/>
                <w:w w:val="95"/>
                <w:sz w:val="18"/>
              </w:rPr>
              <w:t>2018</w:t>
            </w:r>
          </w:p>
        </w:tc>
        <w:tc>
          <w:tcPr>
            <w:tcW w:w="1308" w:type="dxa"/>
          </w:tcPr>
          <w:p w14:paraId="738C1B37" w14:textId="77777777" w:rsidR="00FA4AA8" w:rsidRDefault="0015611F">
            <w:pPr>
              <w:pStyle w:val="TableParagraph"/>
              <w:spacing w:before="131"/>
              <w:ind w:right="237"/>
              <w:jc w:val="right"/>
              <w:rPr>
                <w:b/>
                <w:i/>
                <w:sz w:val="18"/>
              </w:rPr>
            </w:pPr>
            <w:r>
              <w:rPr>
                <w:b/>
                <w:i/>
                <w:w w:val="95"/>
                <w:sz w:val="18"/>
              </w:rPr>
              <w:t>2018</w:t>
            </w:r>
          </w:p>
        </w:tc>
      </w:tr>
      <w:tr w:rsidR="00FA4AA8" w14:paraId="18DB1A6C" w14:textId="77777777">
        <w:trPr>
          <w:trHeight w:val="287"/>
        </w:trPr>
        <w:tc>
          <w:tcPr>
            <w:tcW w:w="6713" w:type="dxa"/>
          </w:tcPr>
          <w:p w14:paraId="63DBF941" w14:textId="77777777" w:rsidR="00FA4AA8" w:rsidRDefault="00FA4AA8">
            <w:pPr>
              <w:pStyle w:val="TableParagraph"/>
              <w:rPr>
                <w:rFonts w:ascii="Times New Roman"/>
                <w:sz w:val="16"/>
              </w:rPr>
            </w:pPr>
          </w:p>
        </w:tc>
        <w:tc>
          <w:tcPr>
            <w:tcW w:w="1334" w:type="dxa"/>
          </w:tcPr>
          <w:p w14:paraId="08F6239C" w14:textId="77777777" w:rsidR="00FA4AA8" w:rsidRDefault="0015611F">
            <w:pPr>
              <w:pStyle w:val="TableParagraph"/>
              <w:spacing w:before="32"/>
              <w:ind w:right="298"/>
              <w:jc w:val="right"/>
              <w:rPr>
                <w:b/>
                <w:sz w:val="18"/>
              </w:rPr>
            </w:pPr>
            <w:r>
              <w:rPr>
                <w:b/>
                <w:w w:val="95"/>
                <w:sz w:val="18"/>
              </w:rPr>
              <w:t>BUDGET</w:t>
            </w:r>
          </w:p>
        </w:tc>
        <w:tc>
          <w:tcPr>
            <w:tcW w:w="1325" w:type="dxa"/>
          </w:tcPr>
          <w:p w14:paraId="65C0C7D9" w14:textId="77777777" w:rsidR="00FA4AA8" w:rsidRDefault="0015611F">
            <w:pPr>
              <w:pStyle w:val="TableParagraph"/>
              <w:spacing w:before="32"/>
              <w:ind w:right="225"/>
              <w:jc w:val="right"/>
              <w:rPr>
                <w:b/>
                <w:sz w:val="18"/>
              </w:rPr>
            </w:pPr>
            <w:r>
              <w:rPr>
                <w:b/>
                <w:sz w:val="18"/>
              </w:rPr>
              <w:t>ACTUAL</w:t>
            </w:r>
          </w:p>
        </w:tc>
        <w:tc>
          <w:tcPr>
            <w:tcW w:w="1290" w:type="dxa"/>
          </w:tcPr>
          <w:p w14:paraId="2FBFC82B" w14:textId="77777777" w:rsidR="00FA4AA8" w:rsidRDefault="0015611F">
            <w:pPr>
              <w:pStyle w:val="TableParagraph"/>
              <w:spacing w:before="32"/>
              <w:ind w:right="131"/>
              <w:jc w:val="right"/>
              <w:rPr>
                <w:b/>
                <w:i/>
                <w:sz w:val="18"/>
              </w:rPr>
            </w:pPr>
            <w:r>
              <w:rPr>
                <w:b/>
                <w:i/>
                <w:sz w:val="18"/>
              </w:rPr>
              <w:t>VARIANCE</w:t>
            </w:r>
          </w:p>
        </w:tc>
        <w:tc>
          <w:tcPr>
            <w:tcW w:w="1308" w:type="dxa"/>
          </w:tcPr>
          <w:p w14:paraId="6B6EE885" w14:textId="77777777" w:rsidR="00FA4AA8" w:rsidRDefault="0015611F">
            <w:pPr>
              <w:pStyle w:val="TableParagraph"/>
              <w:spacing w:before="32"/>
              <w:ind w:left="137"/>
              <w:rPr>
                <w:b/>
                <w:i/>
                <w:sz w:val="18"/>
              </w:rPr>
            </w:pPr>
            <w:r>
              <w:rPr>
                <w:b/>
                <w:i/>
                <w:sz w:val="18"/>
              </w:rPr>
              <w:t>VARIANCE</w:t>
            </w:r>
          </w:p>
        </w:tc>
      </w:tr>
      <w:tr w:rsidR="00FA4AA8" w14:paraId="27843B27" w14:textId="77777777">
        <w:trPr>
          <w:trHeight w:val="315"/>
        </w:trPr>
        <w:tc>
          <w:tcPr>
            <w:tcW w:w="6713" w:type="dxa"/>
          </w:tcPr>
          <w:p w14:paraId="28916E7D" w14:textId="77777777" w:rsidR="00FA4AA8" w:rsidRDefault="00FA4AA8">
            <w:pPr>
              <w:pStyle w:val="TableParagraph"/>
              <w:rPr>
                <w:rFonts w:ascii="Times New Roman"/>
                <w:sz w:val="16"/>
              </w:rPr>
            </w:pPr>
          </w:p>
        </w:tc>
        <w:tc>
          <w:tcPr>
            <w:tcW w:w="1334" w:type="dxa"/>
          </w:tcPr>
          <w:p w14:paraId="6E486F4C" w14:textId="77777777" w:rsidR="00FA4AA8" w:rsidRDefault="0015611F">
            <w:pPr>
              <w:pStyle w:val="TableParagraph"/>
              <w:spacing w:before="32"/>
              <w:ind w:right="301"/>
              <w:jc w:val="right"/>
              <w:rPr>
                <w:b/>
                <w:sz w:val="18"/>
              </w:rPr>
            </w:pPr>
            <w:r>
              <w:rPr>
                <w:b/>
                <w:sz w:val="18"/>
              </w:rPr>
              <w:t>$'000</w:t>
            </w:r>
          </w:p>
        </w:tc>
        <w:tc>
          <w:tcPr>
            <w:tcW w:w="1325" w:type="dxa"/>
          </w:tcPr>
          <w:p w14:paraId="6BE2B828" w14:textId="77777777" w:rsidR="00FA4AA8" w:rsidRDefault="0015611F">
            <w:pPr>
              <w:pStyle w:val="TableParagraph"/>
              <w:spacing w:before="32"/>
              <w:ind w:right="218"/>
              <w:jc w:val="right"/>
              <w:rPr>
                <w:b/>
                <w:sz w:val="18"/>
              </w:rPr>
            </w:pPr>
            <w:r>
              <w:rPr>
                <w:b/>
                <w:sz w:val="18"/>
              </w:rPr>
              <w:t>$'000</w:t>
            </w:r>
          </w:p>
        </w:tc>
        <w:tc>
          <w:tcPr>
            <w:tcW w:w="1290" w:type="dxa"/>
          </w:tcPr>
          <w:p w14:paraId="73BFD8FB" w14:textId="77777777" w:rsidR="00FA4AA8" w:rsidRDefault="0015611F">
            <w:pPr>
              <w:pStyle w:val="TableParagraph"/>
              <w:spacing w:before="32"/>
              <w:ind w:right="131"/>
              <w:jc w:val="right"/>
              <w:rPr>
                <w:b/>
                <w:i/>
                <w:sz w:val="18"/>
              </w:rPr>
            </w:pPr>
            <w:r>
              <w:rPr>
                <w:b/>
                <w:i/>
                <w:w w:val="95"/>
                <w:sz w:val="18"/>
              </w:rPr>
              <w:t>$'000</w:t>
            </w:r>
          </w:p>
        </w:tc>
        <w:tc>
          <w:tcPr>
            <w:tcW w:w="1308" w:type="dxa"/>
          </w:tcPr>
          <w:p w14:paraId="21F3F82B" w14:textId="77777777" w:rsidR="00FA4AA8" w:rsidRDefault="0015611F">
            <w:pPr>
              <w:pStyle w:val="TableParagraph"/>
              <w:spacing w:before="51"/>
              <w:ind w:right="202"/>
              <w:jc w:val="right"/>
              <w:rPr>
                <w:sz w:val="16"/>
              </w:rPr>
            </w:pPr>
            <w:r>
              <w:rPr>
                <w:sz w:val="16"/>
              </w:rPr>
              <w:t>%</w:t>
            </w:r>
          </w:p>
        </w:tc>
      </w:tr>
      <w:tr w:rsidR="00FA4AA8" w14:paraId="2342CBAC" w14:textId="77777777">
        <w:trPr>
          <w:trHeight w:val="328"/>
        </w:trPr>
        <w:tc>
          <w:tcPr>
            <w:tcW w:w="6713" w:type="dxa"/>
          </w:tcPr>
          <w:p w14:paraId="16DDFD1F" w14:textId="77777777" w:rsidR="00FA4AA8" w:rsidRDefault="0015611F">
            <w:pPr>
              <w:pStyle w:val="TableParagraph"/>
              <w:spacing w:before="60"/>
              <w:ind w:left="329"/>
              <w:rPr>
                <w:b/>
                <w:sz w:val="18"/>
              </w:rPr>
            </w:pPr>
            <w:r>
              <w:rPr>
                <w:b/>
                <w:sz w:val="18"/>
              </w:rPr>
              <w:t>INCOME FROM CONTINUING OPERATIONS</w:t>
            </w:r>
          </w:p>
        </w:tc>
        <w:tc>
          <w:tcPr>
            <w:tcW w:w="1334" w:type="dxa"/>
          </w:tcPr>
          <w:p w14:paraId="5D443958" w14:textId="77777777" w:rsidR="00FA4AA8" w:rsidRDefault="00FA4AA8">
            <w:pPr>
              <w:pStyle w:val="TableParagraph"/>
              <w:rPr>
                <w:rFonts w:ascii="Times New Roman"/>
                <w:sz w:val="16"/>
              </w:rPr>
            </w:pPr>
          </w:p>
        </w:tc>
        <w:tc>
          <w:tcPr>
            <w:tcW w:w="1325" w:type="dxa"/>
          </w:tcPr>
          <w:p w14:paraId="1D58CFD2" w14:textId="77777777" w:rsidR="00FA4AA8" w:rsidRDefault="00FA4AA8">
            <w:pPr>
              <w:pStyle w:val="TableParagraph"/>
              <w:rPr>
                <w:rFonts w:ascii="Times New Roman"/>
                <w:sz w:val="16"/>
              </w:rPr>
            </w:pPr>
          </w:p>
        </w:tc>
        <w:tc>
          <w:tcPr>
            <w:tcW w:w="1290" w:type="dxa"/>
          </w:tcPr>
          <w:p w14:paraId="73295F83" w14:textId="77777777" w:rsidR="00FA4AA8" w:rsidRDefault="00FA4AA8">
            <w:pPr>
              <w:pStyle w:val="TableParagraph"/>
              <w:rPr>
                <w:rFonts w:ascii="Times New Roman"/>
                <w:sz w:val="16"/>
              </w:rPr>
            </w:pPr>
          </w:p>
        </w:tc>
        <w:tc>
          <w:tcPr>
            <w:tcW w:w="1308" w:type="dxa"/>
          </w:tcPr>
          <w:p w14:paraId="15421596" w14:textId="77777777" w:rsidR="00FA4AA8" w:rsidRDefault="00FA4AA8">
            <w:pPr>
              <w:pStyle w:val="TableParagraph"/>
              <w:rPr>
                <w:rFonts w:ascii="Times New Roman"/>
                <w:sz w:val="16"/>
              </w:rPr>
            </w:pPr>
          </w:p>
        </w:tc>
      </w:tr>
      <w:tr w:rsidR="00FA4AA8" w14:paraId="64C9B7AB" w14:textId="77777777">
        <w:trPr>
          <w:trHeight w:val="336"/>
        </w:trPr>
        <w:tc>
          <w:tcPr>
            <w:tcW w:w="6713" w:type="dxa"/>
          </w:tcPr>
          <w:p w14:paraId="548C5774" w14:textId="77777777" w:rsidR="00FA4AA8" w:rsidRDefault="0015611F">
            <w:pPr>
              <w:pStyle w:val="TableParagraph"/>
              <w:spacing w:before="45"/>
              <w:ind w:left="645"/>
              <w:rPr>
                <w:b/>
                <w:sz w:val="18"/>
              </w:rPr>
            </w:pPr>
            <w:r>
              <w:rPr>
                <w:b/>
                <w:sz w:val="18"/>
              </w:rPr>
              <w:t>GOVERNMENT</w:t>
            </w:r>
          </w:p>
        </w:tc>
        <w:tc>
          <w:tcPr>
            <w:tcW w:w="1334" w:type="dxa"/>
          </w:tcPr>
          <w:p w14:paraId="2703F268" w14:textId="77777777" w:rsidR="00FA4AA8" w:rsidRDefault="0015611F">
            <w:pPr>
              <w:pStyle w:val="TableParagraph"/>
              <w:spacing w:before="45"/>
              <w:ind w:right="301"/>
              <w:jc w:val="right"/>
              <w:rPr>
                <w:b/>
                <w:sz w:val="18"/>
              </w:rPr>
            </w:pPr>
            <w:r>
              <w:rPr>
                <w:b/>
                <w:w w:val="95"/>
                <w:sz w:val="18"/>
              </w:rPr>
              <w:t>547,921</w:t>
            </w:r>
          </w:p>
        </w:tc>
        <w:tc>
          <w:tcPr>
            <w:tcW w:w="1325" w:type="dxa"/>
          </w:tcPr>
          <w:p w14:paraId="5D773D85" w14:textId="77777777" w:rsidR="00FA4AA8" w:rsidRDefault="0015611F">
            <w:pPr>
              <w:pStyle w:val="TableParagraph"/>
              <w:spacing w:before="45"/>
              <w:ind w:right="218"/>
              <w:jc w:val="right"/>
              <w:rPr>
                <w:b/>
                <w:sz w:val="18"/>
              </w:rPr>
            </w:pPr>
            <w:r>
              <w:rPr>
                <w:b/>
                <w:w w:val="95"/>
                <w:sz w:val="18"/>
              </w:rPr>
              <w:t>549,813</w:t>
            </w:r>
          </w:p>
        </w:tc>
        <w:tc>
          <w:tcPr>
            <w:tcW w:w="1290" w:type="dxa"/>
          </w:tcPr>
          <w:p w14:paraId="42800AEE" w14:textId="77777777" w:rsidR="00FA4AA8" w:rsidRDefault="0015611F">
            <w:pPr>
              <w:pStyle w:val="TableParagraph"/>
              <w:spacing w:before="45"/>
              <w:ind w:right="131"/>
              <w:jc w:val="right"/>
              <w:rPr>
                <w:b/>
                <w:i/>
                <w:sz w:val="18"/>
              </w:rPr>
            </w:pPr>
            <w:r>
              <w:rPr>
                <w:b/>
                <w:i/>
                <w:w w:val="95"/>
                <w:sz w:val="18"/>
              </w:rPr>
              <w:t>1,891</w:t>
            </w:r>
          </w:p>
        </w:tc>
        <w:tc>
          <w:tcPr>
            <w:tcW w:w="1308" w:type="dxa"/>
          </w:tcPr>
          <w:p w14:paraId="453030B7" w14:textId="77777777" w:rsidR="00FA4AA8" w:rsidRDefault="0015611F">
            <w:pPr>
              <w:pStyle w:val="TableParagraph"/>
              <w:spacing w:before="64"/>
              <w:ind w:right="194"/>
              <w:jc w:val="right"/>
              <w:rPr>
                <w:b/>
                <w:sz w:val="16"/>
              </w:rPr>
            </w:pPr>
            <w:r>
              <w:rPr>
                <w:b/>
                <w:sz w:val="16"/>
              </w:rPr>
              <w:t>0.3%</w:t>
            </w:r>
          </w:p>
        </w:tc>
      </w:tr>
      <w:tr w:rsidR="00FA4AA8" w14:paraId="1FB7F909" w14:textId="77777777">
        <w:trPr>
          <w:trHeight w:val="294"/>
        </w:trPr>
        <w:tc>
          <w:tcPr>
            <w:tcW w:w="6713" w:type="dxa"/>
          </w:tcPr>
          <w:p w14:paraId="2997F722" w14:textId="77777777" w:rsidR="00FA4AA8" w:rsidRDefault="0015611F">
            <w:pPr>
              <w:pStyle w:val="TableParagraph"/>
              <w:spacing w:before="68" w:line="206" w:lineRule="exact"/>
              <w:ind w:left="645"/>
              <w:rPr>
                <w:b/>
                <w:sz w:val="18"/>
              </w:rPr>
            </w:pPr>
            <w:r>
              <w:rPr>
                <w:b/>
                <w:sz w:val="18"/>
              </w:rPr>
              <w:t>ACADEMIC ACTIVITIES</w:t>
            </w:r>
          </w:p>
        </w:tc>
        <w:tc>
          <w:tcPr>
            <w:tcW w:w="1334" w:type="dxa"/>
          </w:tcPr>
          <w:p w14:paraId="45F0AF4A" w14:textId="77777777" w:rsidR="00FA4AA8" w:rsidRDefault="00FA4AA8">
            <w:pPr>
              <w:pStyle w:val="TableParagraph"/>
              <w:rPr>
                <w:rFonts w:ascii="Times New Roman"/>
                <w:sz w:val="16"/>
              </w:rPr>
            </w:pPr>
          </w:p>
        </w:tc>
        <w:tc>
          <w:tcPr>
            <w:tcW w:w="1325" w:type="dxa"/>
          </w:tcPr>
          <w:p w14:paraId="3D817EDA" w14:textId="77777777" w:rsidR="00FA4AA8" w:rsidRDefault="00FA4AA8">
            <w:pPr>
              <w:pStyle w:val="TableParagraph"/>
              <w:rPr>
                <w:rFonts w:ascii="Times New Roman"/>
                <w:sz w:val="16"/>
              </w:rPr>
            </w:pPr>
          </w:p>
        </w:tc>
        <w:tc>
          <w:tcPr>
            <w:tcW w:w="1290" w:type="dxa"/>
          </w:tcPr>
          <w:p w14:paraId="2BEC4A49" w14:textId="77777777" w:rsidR="00FA4AA8" w:rsidRDefault="00FA4AA8">
            <w:pPr>
              <w:pStyle w:val="TableParagraph"/>
              <w:rPr>
                <w:rFonts w:ascii="Times New Roman"/>
                <w:sz w:val="16"/>
              </w:rPr>
            </w:pPr>
          </w:p>
        </w:tc>
        <w:tc>
          <w:tcPr>
            <w:tcW w:w="1308" w:type="dxa"/>
          </w:tcPr>
          <w:p w14:paraId="22EAAB3D" w14:textId="77777777" w:rsidR="00FA4AA8" w:rsidRDefault="00FA4AA8">
            <w:pPr>
              <w:pStyle w:val="TableParagraph"/>
              <w:rPr>
                <w:rFonts w:ascii="Times New Roman"/>
                <w:sz w:val="16"/>
              </w:rPr>
            </w:pPr>
          </w:p>
        </w:tc>
      </w:tr>
      <w:tr w:rsidR="00FA4AA8" w14:paraId="29C1E350" w14:textId="77777777">
        <w:trPr>
          <w:trHeight w:val="229"/>
        </w:trPr>
        <w:tc>
          <w:tcPr>
            <w:tcW w:w="6713" w:type="dxa"/>
          </w:tcPr>
          <w:p w14:paraId="6FD998BF" w14:textId="77777777" w:rsidR="00FA4AA8" w:rsidRDefault="0015611F">
            <w:pPr>
              <w:pStyle w:val="TableParagraph"/>
              <w:spacing w:before="3" w:line="206" w:lineRule="exact"/>
              <w:ind w:left="946"/>
              <w:rPr>
                <w:sz w:val="18"/>
              </w:rPr>
            </w:pPr>
            <w:r>
              <w:rPr>
                <w:sz w:val="18"/>
              </w:rPr>
              <w:t>International Onshore</w:t>
            </w:r>
          </w:p>
        </w:tc>
        <w:tc>
          <w:tcPr>
            <w:tcW w:w="1334" w:type="dxa"/>
          </w:tcPr>
          <w:p w14:paraId="09C5C65C" w14:textId="77777777" w:rsidR="00FA4AA8" w:rsidRDefault="0015611F">
            <w:pPr>
              <w:pStyle w:val="TableParagraph"/>
              <w:spacing w:before="3" w:line="206" w:lineRule="exact"/>
              <w:ind w:right="303"/>
              <w:jc w:val="right"/>
              <w:rPr>
                <w:sz w:val="18"/>
              </w:rPr>
            </w:pPr>
            <w:r>
              <w:rPr>
                <w:w w:val="95"/>
                <w:sz w:val="18"/>
              </w:rPr>
              <w:t>124,269</w:t>
            </w:r>
          </w:p>
        </w:tc>
        <w:tc>
          <w:tcPr>
            <w:tcW w:w="1325" w:type="dxa"/>
          </w:tcPr>
          <w:p w14:paraId="03576B5A" w14:textId="77777777" w:rsidR="00FA4AA8" w:rsidRDefault="0015611F">
            <w:pPr>
              <w:pStyle w:val="TableParagraph"/>
              <w:spacing w:before="3" w:line="206" w:lineRule="exact"/>
              <w:ind w:right="218"/>
              <w:jc w:val="right"/>
              <w:rPr>
                <w:sz w:val="18"/>
              </w:rPr>
            </w:pPr>
            <w:r>
              <w:rPr>
                <w:w w:val="95"/>
                <w:sz w:val="18"/>
              </w:rPr>
              <w:t>132,045</w:t>
            </w:r>
          </w:p>
        </w:tc>
        <w:tc>
          <w:tcPr>
            <w:tcW w:w="1290" w:type="dxa"/>
          </w:tcPr>
          <w:p w14:paraId="4BBE0A73" w14:textId="77777777" w:rsidR="00FA4AA8" w:rsidRDefault="0015611F">
            <w:pPr>
              <w:pStyle w:val="TableParagraph"/>
              <w:spacing w:before="3" w:line="206" w:lineRule="exact"/>
              <w:ind w:right="132"/>
              <w:jc w:val="right"/>
              <w:rPr>
                <w:i/>
                <w:sz w:val="18"/>
              </w:rPr>
            </w:pPr>
            <w:r>
              <w:rPr>
                <w:i/>
                <w:w w:val="95"/>
                <w:sz w:val="18"/>
              </w:rPr>
              <w:t>7,776</w:t>
            </w:r>
          </w:p>
        </w:tc>
        <w:tc>
          <w:tcPr>
            <w:tcW w:w="1308" w:type="dxa"/>
          </w:tcPr>
          <w:p w14:paraId="54A3C4CE" w14:textId="77777777" w:rsidR="00FA4AA8" w:rsidRDefault="0015611F">
            <w:pPr>
              <w:pStyle w:val="TableParagraph"/>
              <w:spacing w:before="22"/>
              <w:ind w:right="202"/>
              <w:jc w:val="right"/>
              <w:rPr>
                <w:sz w:val="16"/>
              </w:rPr>
            </w:pPr>
            <w:r>
              <w:rPr>
                <w:sz w:val="16"/>
              </w:rPr>
              <w:t>6.3%</w:t>
            </w:r>
          </w:p>
        </w:tc>
      </w:tr>
      <w:tr w:rsidR="00FA4AA8" w14:paraId="08CEE1D6" w14:textId="77777777">
        <w:trPr>
          <w:trHeight w:val="229"/>
        </w:trPr>
        <w:tc>
          <w:tcPr>
            <w:tcW w:w="6713" w:type="dxa"/>
          </w:tcPr>
          <w:p w14:paraId="0E3A2AB0" w14:textId="77777777" w:rsidR="00FA4AA8" w:rsidRDefault="0015611F">
            <w:pPr>
              <w:pStyle w:val="TableParagraph"/>
              <w:spacing w:before="3" w:line="206" w:lineRule="exact"/>
              <w:ind w:left="946"/>
              <w:rPr>
                <w:sz w:val="18"/>
              </w:rPr>
            </w:pPr>
            <w:r>
              <w:rPr>
                <w:sz w:val="18"/>
              </w:rPr>
              <w:t>International Offshore</w:t>
            </w:r>
          </w:p>
        </w:tc>
        <w:tc>
          <w:tcPr>
            <w:tcW w:w="1334" w:type="dxa"/>
          </w:tcPr>
          <w:p w14:paraId="6884655F" w14:textId="77777777" w:rsidR="00FA4AA8" w:rsidRDefault="0015611F">
            <w:pPr>
              <w:pStyle w:val="TableParagraph"/>
              <w:spacing w:before="3" w:line="206" w:lineRule="exact"/>
              <w:ind w:right="303"/>
              <w:jc w:val="right"/>
              <w:rPr>
                <w:sz w:val="18"/>
              </w:rPr>
            </w:pPr>
            <w:r>
              <w:rPr>
                <w:w w:val="95"/>
                <w:sz w:val="18"/>
              </w:rPr>
              <w:t>727</w:t>
            </w:r>
          </w:p>
        </w:tc>
        <w:tc>
          <w:tcPr>
            <w:tcW w:w="1325" w:type="dxa"/>
          </w:tcPr>
          <w:p w14:paraId="3A31D9A2" w14:textId="77777777" w:rsidR="00FA4AA8" w:rsidRDefault="0015611F">
            <w:pPr>
              <w:pStyle w:val="TableParagraph"/>
              <w:spacing w:before="3" w:line="206" w:lineRule="exact"/>
              <w:ind w:right="218"/>
              <w:jc w:val="right"/>
              <w:rPr>
                <w:sz w:val="18"/>
              </w:rPr>
            </w:pPr>
            <w:r>
              <w:rPr>
                <w:w w:val="95"/>
                <w:sz w:val="18"/>
              </w:rPr>
              <w:t>573</w:t>
            </w:r>
          </w:p>
        </w:tc>
        <w:tc>
          <w:tcPr>
            <w:tcW w:w="1290" w:type="dxa"/>
          </w:tcPr>
          <w:p w14:paraId="2576F9D0" w14:textId="77777777" w:rsidR="00FA4AA8" w:rsidRDefault="0015611F">
            <w:pPr>
              <w:pStyle w:val="TableParagraph"/>
              <w:spacing w:before="3" w:line="206" w:lineRule="exact"/>
              <w:ind w:right="132"/>
              <w:jc w:val="right"/>
              <w:rPr>
                <w:i/>
                <w:sz w:val="18"/>
              </w:rPr>
            </w:pPr>
            <w:r>
              <w:rPr>
                <w:i/>
                <w:w w:val="95"/>
                <w:sz w:val="18"/>
              </w:rPr>
              <w:t>(154)</w:t>
            </w:r>
          </w:p>
        </w:tc>
        <w:tc>
          <w:tcPr>
            <w:tcW w:w="1308" w:type="dxa"/>
          </w:tcPr>
          <w:p w14:paraId="605A71DC" w14:textId="77777777" w:rsidR="00FA4AA8" w:rsidRDefault="0015611F">
            <w:pPr>
              <w:pStyle w:val="TableParagraph"/>
              <w:spacing w:before="22"/>
              <w:ind w:right="202"/>
              <w:jc w:val="right"/>
              <w:rPr>
                <w:sz w:val="16"/>
              </w:rPr>
            </w:pPr>
            <w:r>
              <w:rPr>
                <w:sz w:val="16"/>
              </w:rPr>
              <w:t>(21.2%)</w:t>
            </w:r>
          </w:p>
        </w:tc>
      </w:tr>
      <w:tr w:rsidR="00FA4AA8" w14:paraId="72A6FF9E" w14:textId="77777777">
        <w:trPr>
          <w:trHeight w:val="229"/>
        </w:trPr>
        <w:tc>
          <w:tcPr>
            <w:tcW w:w="6713" w:type="dxa"/>
          </w:tcPr>
          <w:p w14:paraId="03BA8B37" w14:textId="77777777" w:rsidR="00FA4AA8" w:rsidRDefault="0015611F">
            <w:pPr>
              <w:pStyle w:val="TableParagraph"/>
              <w:spacing w:before="3" w:line="206" w:lineRule="exact"/>
              <w:ind w:left="946"/>
              <w:rPr>
                <w:sz w:val="18"/>
              </w:rPr>
            </w:pPr>
            <w:r>
              <w:rPr>
                <w:sz w:val="18"/>
              </w:rPr>
              <w:t>Local fee-paying</w:t>
            </w:r>
          </w:p>
        </w:tc>
        <w:tc>
          <w:tcPr>
            <w:tcW w:w="1334" w:type="dxa"/>
          </w:tcPr>
          <w:p w14:paraId="267B6080" w14:textId="77777777" w:rsidR="00FA4AA8" w:rsidRDefault="0015611F">
            <w:pPr>
              <w:pStyle w:val="TableParagraph"/>
              <w:spacing w:before="3" w:line="206" w:lineRule="exact"/>
              <w:ind w:right="301"/>
              <w:jc w:val="right"/>
              <w:rPr>
                <w:sz w:val="18"/>
              </w:rPr>
            </w:pPr>
            <w:r>
              <w:rPr>
                <w:w w:val="95"/>
                <w:sz w:val="18"/>
              </w:rPr>
              <w:t>17,500</w:t>
            </w:r>
          </w:p>
        </w:tc>
        <w:tc>
          <w:tcPr>
            <w:tcW w:w="1325" w:type="dxa"/>
          </w:tcPr>
          <w:p w14:paraId="6631C5B8" w14:textId="77777777" w:rsidR="00FA4AA8" w:rsidRDefault="0015611F">
            <w:pPr>
              <w:pStyle w:val="TableParagraph"/>
              <w:spacing w:before="3" w:line="206" w:lineRule="exact"/>
              <w:ind w:right="218"/>
              <w:jc w:val="right"/>
              <w:rPr>
                <w:sz w:val="18"/>
              </w:rPr>
            </w:pPr>
            <w:r>
              <w:rPr>
                <w:w w:val="95"/>
                <w:sz w:val="18"/>
              </w:rPr>
              <w:t>20,948</w:t>
            </w:r>
          </w:p>
        </w:tc>
        <w:tc>
          <w:tcPr>
            <w:tcW w:w="1290" w:type="dxa"/>
          </w:tcPr>
          <w:p w14:paraId="1E7B1F07" w14:textId="77777777" w:rsidR="00FA4AA8" w:rsidRDefault="0015611F">
            <w:pPr>
              <w:pStyle w:val="TableParagraph"/>
              <w:spacing w:before="3" w:line="206" w:lineRule="exact"/>
              <w:ind w:right="131"/>
              <w:jc w:val="right"/>
              <w:rPr>
                <w:i/>
                <w:sz w:val="18"/>
              </w:rPr>
            </w:pPr>
            <w:r>
              <w:rPr>
                <w:i/>
                <w:w w:val="95"/>
                <w:sz w:val="18"/>
              </w:rPr>
              <w:t>3,448</w:t>
            </w:r>
          </w:p>
        </w:tc>
        <w:tc>
          <w:tcPr>
            <w:tcW w:w="1308" w:type="dxa"/>
          </w:tcPr>
          <w:p w14:paraId="74621AB1" w14:textId="77777777" w:rsidR="00FA4AA8" w:rsidRDefault="0015611F">
            <w:pPr>
              <w:pStyle w:val="TableParagraph"/>
              <w:spacing w:before="22"/>
              <w:ind w:right="202"/>
              <w:jc w:val="right"/>
              <w:rPr>
                <w:sz w:val="16"/>
              </w:rPr>
            </w:pPr>
            <w:r>
              <w:rPr>
                <w:sz w:val="16"/>
              </w:rPr>
              <w:t>19.7%</w:t>
            </w:r>
          </w:p>
        </w:tc>
      </w:tr>
      <w:tr w:rsidR="00FA4AA8" w14:paraId="0FBF7C5B" w14:textId="77777777">
        <w:trPr>
          <w:trHeight w:val="229"/>
        </w:trPr>
        <w:tc>
          <w:tcPr>
            <w:tcW w:w="6713" w:type="dxa"/>
          </w:tcPr>
          <w:p w14:paraId="0BA95267" w14:textId="77777777" w:rsidR="00FA4AA8" w:rsidRDefault="0015611F">
            <w:pPr>
              <w:pStyle w:val="TableParagraph"/>
              <w:spacing w:before="3" w:line="206" w:lineRule="exact"/>
              <w:ind w:left="946"/>
              <w:rPr>
                <w:sz w:val="18"/>
              </w:rPr>
            </w:pPr>
            <w:r>
              <w:rPr>
                <w:sz w:val="18"/>
              </w:rPr>
              <w:t>External Research Grants</w:t>
            </w:r>
          </w:p>
        </w:tc>
        <w:tc>
          <w:tcPr>
            <w:tcW w:w="1334" w:type="dxa"/>
          </w:tcPr>
          <w:p w14:paraId="79CAF296" w14:textId="77777777" w:rsidR="00FA4AA8" w:rsidRDefault="0015611F">
            <w:pPr>
              <w:pStyle w:val="TableParagraph"/>
              <w:spacing w:before="3" w:line="206" w:lineRule="exact"/>
              <w:ind w:right="301"/>
              <w:jc w:val="right"/>
              <w:rPr>
                <w:sz w:val="18"/>
              </w:rPr>
            </w:pPr>
            <w:r>
              <w:rPr>
                <w:w w:val="95"/>
                <w:sz w:val="18"/>
              </w:rPr>
              <w:t>32,150</w:t>
            </w:r>
          </w:p>
        </w:tc>
        <w:tc>
          <w:tcPr>
            <w:tcW w:w="1325" w:type="dxa"/>
          </w:tcPr>
          <w:p w14:paraId="79C95508" w14:textId="77777777" w:rsidR="00FA4AA8" w:rsidRDefault="0015611F">
            <w:pPr>
              <w:pStyle w:val="TableParagraph"/>
              <w:spacing w:before="3" w:line="206" w:lineRule="exact"/>
              <w:ind w:right="218"/>
              <w:jc w:val="right"/>
              <w:rPr>
                <w:sz w:val="18"/>
              </w:rPr>
            </w:pPr>
            <w:r>
              <w:rPr>
                <w:w w:val="95"/>
                <w:sz w:val="18"/>
              </w:rPr>
              <w:t>32,319</w:t>
            </w:r>
          </w:p>
        </w:tc>
        <w:tc>
          <w:tcPr>
            <w:tcW w:w="1290" w:type="dxa"/>
          </w:tcPr>
          <w:p w14:paraId="3BD00D84" w14:textId="77777777" w:rsidR="00FA4AA8" w:rsidRDefault="0015611F">
            <w:pPr>
              <w:pStyle w:val="TableParagraph"/>
              <w:spacing w:before="3" w:line="206" w:lineRule="exact"/>
              <w:ind w:right="131"/>
              <w:jc w:val="right"/>
              <w:rPr>
                <w:i/>
                <w:sz w:val="18"/>
              </w:rPr>
            </w:pPr>
            <w:r>
              <w:rPr>
                <w:i/>
                <w:w w:val="95"/>
                <w:sz w:val="18"/>
              </w:rPr>
              <w:t>169</w:t>
            </w:r>
          </w:p>
        </w:tc>
        <w:tc>
          <w:tcPr>
            <w:tcW w:w="1308" w:type="dxa"/>
          </w:tcPr>
          <w:p w14:paraId="37A3534D" w14:textId="77777777" w:rsidR="00FA4AA8" w:rsidRDefault="0015611F">
            <w:pPr>
              <w:pStyle w:val="TableParagraph"/>
              <w:spacing w:before="22"/>
              <w:ind w:right="202"/>
              <w:jc w:val="right"/>
              <w:rPr>
                <w:sz w:val="16"/>
              </w:rPr>
            </w:pPr>
            <w:r>
              <w:rPr>
                <w:sz w:val="16"/>
              </w:rPr>
              <w:t>0.5%</w:t>
            </w:r>
          </w:p>
        </w:tc>
      </w:tr>
      <w:tr w:rsidR="00FA4AA8" w14:paraId="69C1787D" w14:textId="77777777">
        <w:trPr>
          <w:trHeight w:val="229"/>
        </w:trPr>
        <w:tc>
          <w:tcPr>
            <w:tcW w:w="6713" w:type="dxa"/>
          </w:tcPr>
          <w:p w14:paraId="40125832" w14:textId="77777777" w:rsidR="00FA4AA8" w:rsidRDefault="0015611F">
            <w:pPr>
              <w:pStyle w:val="TableParagraph"/>
              <w:spacing w:before="3" w:line="206" w:lineRule="exact"/>
              <w:ind w:left="946"/>
              <w:rPr>
                <w:sz w:val="18"/>
              </w:rPr>
            </w:pPr>
            <w:r>
              <w:rPr>
                <w:sz w:val="18"/>
              </w:rPr>
              <w:t>Consulting, Contracting &amp; Royalties</w:t>
            </w:r>
          </w:p>
        </w:tc>
        <w:tc>
          <w:tcPr>
            <w:tcW w:w="1334" w:type="dxa"/>
          </w:tcPr>
          <w:p w14:paraId="1ACE454A" w14:textId="77777777" w:rsidR="00FA4AA8" w:rsidRDefault="0015611F">
            <w:pPr>
              <w:pStyle w:val="TableParagraph"/>
              <w:spacing w:before="3" w:line="206" w:lineRule="exact"/>
              <w:ind w:right="302"/>
              <w:jc w:val="right"/>
              <w:rPr>
                <w:sz w:val="18"/>
              </w:rPr>
            </w:pPr>
            <w:r>
              <w:rPr>
                <w:w w:val="95"/>
                <w:sz w:val="18"/>
              </w:rPr>
              <w:t>1,693</w:t>
            </w:r>
          </w:p>
        </w:tc>
        <w:tc>
          <w:tcPr>
            <w:tcW w:w="1325" w:type="dxa"/>
          </w:tcPr>
          <w:p w14:paraId="7644FA87" w14:textId="77777777" w:rsidR="00FA4AA8" w:rsidRDefault="0015611F">
            <w:pPr>
              <w:pStyle w:val="TableParagraph"/>
              <w:spacing w:before="3" w:line="206" w:lineRule="exact"/>
              <w:ind w:right="218"/>
              <w:jc w:val="right"/>
              <w:rPr>
                <w:sz w:val="18"/>
              </w:rPr>
            </w:pPr>
            <w:r>
              <w:rPr>
                <w:w w:val="95"/>
                <w:sz w:val="18"/>
              </w:rPr>
              <w:t>1,762</w:t>
            </w:r>
          </w:p>
        </w:tc>
        <w:tc>
          <w:tcPr>
            <w:tcW w:w="1290" w:type="dxa"/>
          </w:tcPr>
          <w:p w14:paraId="4F4BF44B" w14:textId="77777777" w:rsidR="00FA4AA8" w:rsidRDefault="0015611F">
            <w:pPr>
              <w:pStyle w:val="TableParagraph"/>
              <w:spacing w:before="3" w:line="206" w:lineRule="exact"/>
              <w:ind w:right="132"/>
              <w:jc w:val="right"/>
              <w:rPr>
                <w:i/>
                <w:sz w:val="18"/>
              </w:rPr>
            </w:pPr>
            <w:r>
              <w:rPr>
                <w:i/>
                <w:sz w:val="18"/>
              </w:rPr>
              <w:t>69</w:t>
            </w:r>
          </w:p>
        </w:tc>
        <w:tc>
          <w:tcPr>
            <w:tcW w:w="1308" w:type="dxa"/>
          </w:tcPr>
          <w:p w14:paraId="2FE7C6C6" w14:textId="77777777" w:rsidR="00FA4AA8" w:rsidRDefault="0015611F">
            <w:pPr>
              <w:pStyle w:val="TableParagraph"/>
              <w:spacing w:before="22"/>
              <w:ind w:right="202"/>
              <w:jc w:val="right"/>
              <w:rPr>
                <w:sz w:val="16"/>
              </w:rPr>
            </w:pPr>
            <w:r>
              <w:rPr>
                <w:sz w:val="16"/>
              </w:rPr>
              <w:t>4.1%</w:t>
            </w:r>
          </w:p>
        </w:tc>
      </w:tr>
      <w:tr w:rsidR="00FA4AA8" w14:paraId="193BBBAE" w14:textId="77777777">
        <w:trPr>
          <w:trHeight w:val="279"/>
        </w:trPr>
        <w:tc>
          <w:tcPr>
            <w:tcW w:w="6713" w:type="dxa"/>
          </w:tcPr>
          <w:p w14:paraId="3E383617" w14:textId="77777777" w:rsidR="00FA4AA8" w:rsidRDefault="0015611F">
            <w:pPr>
              <w:pStyle w:val="TableParagraph"/>
              <w:spacing w:before="3"/>
              <w:ind w:left="946"/>
              <w:rPr>
                <w:sz w:val="18"/>
              </w:rPr>
            </w:pPr>
            <w:r>
              <w:rPr>
                <w:sz w:val="18"/>
              </w:rPr>
              <w:t>Other Academic</w:t>
            </w:r>
          </w:p>
        </w:tc>
        <w:tc>
          <w:tcPr>
            <w:tcW w:w="1334" w:type="dxa"/>
          </w:tcPr>
          <w:p w14:paraId="0D7FF2AA" w14:textId="77777777" w:rsidR="00FA4AA8" w:rsidRDefault="0015611F">
            <w:pPr>
              <w:pStyle w:val="TableParagraph"/>
              <w:spacing w:before="3"/>
              <w:ind w:right="301"/>
              <w:jc w:val="right"/>
              <w:rPr>
                <w:sz w:val="18"/>
              </w:rPr>
            </w:pPr>
            <w:r>
              <w:rPr>
                <w:w w:val="95"/>
                <w:sz w:val="18"/>
              </w:rPr>
              <w:t>47,825</w:t>
            </w:r>
          </w:p>
        </w:tc>
        <w:tc>
          <w:tcPr>
            <w:tcW w:w="1325" w:type="dxa"/>
          </w:tcPr>
          <w:p w14:paraId="008D233A" w14:textId="77777777" w:rsidR="00FA4AA8" w:rsidRDefault="0015611F">
            <w:pPr>
              <w:pStyle w:val="TableParagraph"/>
              <w:spacing w:before="3"/>
              <w:ind w:right="218"/>
              <w:jc w:val="right"/>
              <w:rPr>
                <w:sz w:val="18"/>
              </w:rPr>
            </w:pPr>
            <w:r>
              <w:rPr>
                <w:w w:val="95"/>
                <w:sz w:val="18"/>
              </w:rPr>
              <w:t>56,453</w:t>
            </w:r>
          </w:p>
        </w:tc>
        <w:tc>
          <w:tcPr>
            <w:tcW w:w="1290" w:type="dxa"/>
          </w:tcPr>
          <w:p w14:paraId="418D15C7" w14:textId="77777777" w:rsidR="00FA4AA8" w:rsidRDefault="0015611F">
            <w:pPr>
              <w:pStyle w:val="TableParagraph"/>
              <w:spacing w:before="3"/>
              <w:ind w:right="131"/>
              <w:jc w:val="right"/>
              <w:rPr>
                <w:i/>
                <w:sz w:val="18"/>
              </w:rPr>
            </w:pPr>
            <w:r>
              <w:rPr>
                <w:i/>
                <w:w w:val="95"/>
                <w:sz w:val="18"/>
              </w:rPr>
              <w:t>8,628</w:t>
            </w:r>
          </w:p>
        </w:tc>
        <w:tc>
          <w:tcPr>
            <w:tcW w:w="1308" w:type="dxa"/>
          </w:tcPr>
          <w:p w14:paraId="5C89457D" w14:textId="77777777" w:rsidR="00FA4AA8" w:rsidRDefault="0015611F">
            <w:pPr>
              <w:pStyle w:val="TableParagraph"/>
              <w:spacing w:before="22"/>
              <w:ind w:right="202"/>
              <w:jc w:val="right"/>
              <w:rPr>
                <w:sz w:val="16"/>
              </w:rPr>
            </w:pPr>
            <w:r>
              <w:rPr>
                <w:sz w:val="16"/>
              </w:rPr>
              <w:t>18.0%</w:t>
            </w:r>
          </w:p>
        </w:tc>
      </w:tr>
      <w:tr w:rsidR="00FA4AA8" w14:paraId="7A28F0AB" w14:textId="77777777">
        <w:trPr>
          <w:trHeight w:val="344"/>
        </w:trPr>
        <w:tc>
          <w:tcPr>
            <w:tcW w:w="6713" w:type="dxa"/>
          </w:tcPr>
          <w:p w14:paraId="239BD1F0" w14:textId="77777777" w:rsidR="00FA4AA8" w:rsidRDefault="0015611F">
            <w:pPr>
              <w:pStyle w:val="TableParagraph"/>
              <w:spacing w:before="53"/>
              <w:ind w:right="376"/>
              <w:jc w:val="right"/>
              <w:rPr>
                <w:b/>
                <w:sz w:val="18"/>
              </w:rPr>
            </w:pPr>
            <w:r>
              <w:rPr>
                <w:b/>
                <w:sz w:val="18"/>
              </w:rPr>
              <w:t>Sub Total</w:t>
            </w:r>
          </w:p>
        </w:tc>
        <w:tc>
          <w:tcPr>
            <w:tcW w:w="1334" w:type="dxa"/>
          </w:tcPr>
          <w:p w14:paraId="2BD1A1DB" w14:textId="77777777" w:rsidR="00FA4AA8" w:rsidRDefault="0015611F">
            <w:pPr>
              <w:pStyle w:val="TableParagraph"/>
              <w:spacing w:before="53"/>
              <w:ind w:right="302"/>
              <w:jc w:val="right"/>
              <w:rPr>
                <w:b/>
                <w:sz w:val="18"/>
              </w:rPr>
            </w:pPr>
            <w:r>
              <w:rPr>
                <w:b/>
                <w:w w:val="95"/>
                <w:sz w:val="18"/>
              </w:rPr>
              <w:t>224,165</w:t>
            </w:r>
          </w:p>
        </w:tc>
        <w:tc>
          <w:tcPr>
            <w:tcW w:w="1325" w:type="dxa"/>
          </w:tcPr>
          <w:p w14:paraId="243B14D8" w14:textId="77777777" w:rsidR="00FA4AA8" w:rsidRDefault="0015611F">
            <w:pPr>
              <w:pStyle w:val="TableParagraph"/>
              <w:spacing w:before="53"/>
              <w:ind w:right="218"/>
              <w:jc w:val="right"/>
              <w:rPr>
                <w:b/>
                <w:sz w:val="18"/>
              </w:rPr>
            </w:pPr>
            <w:r>
              <w:rPr>
                <w:b/>
                <w:w w:val="95"/>
                <w:sz w:val="18"/>
              </w:rPr>
              <w:t>244,101</w:t>
            </w:r>
          </w:p>
        </w:tc>
        <w:tc>
          <w:tcPr>
            <w:tcW w:w="1290" w:type="dxa"/>
          </w:tcPr>
          <w:p w14:paraId="099B647C" w14:textId="77777777" w:rsidR="00FA4AA8" w:rsidRDefault="0015611F">
            <w:pPr>
              <w:pStyle w:val="TableParagraph"/>
              <w:spacing w:before="53"/>
              <w:ind w:right="132"/>
              <w:jc w:val="right"/>
              <w:rPr>
                <w:b/>
                <w:i/>
                <w:sz w:val="18"/>
              </w:rPr>
            </w:pPr>
            <w:r>
              <w:rPr>
                <w:b/>
                <w:i/>
                <w:w w:val="95"/>
                <w:sz w:val="18"/>
              </w:rPr>
              <w:t>19,936</w:t>
            </w:r>
          </w:p>
        </w:tc>
        <w:tc>
          <w:tcPr>
            <w:tcW w:w="1308" w:type="dxa"/>
          </w:tcPr>
          <w:p w14:paraId="296A9D80" w14:textId="77777777" w:rsidR="00FA4AA8" w:rsidRDefault="0015611F">
            <w:pPr>
              <w:pStyle w:val="TableParagraph"/>
              <w:spacing w:before="72"/>
              <w:ind w:right="194"/>
              <w:jc w:val="right"/>
              <w:rPr>
                <w:b/>
                <w:sz w:val="16"/>
              </w:rPr>
            </w:pPr>
            <w:r>
              <w:rPr>
                <w:b/>
                <w:sz w:val="16"/>
              </w:rPr>
              <w:t>8.9%</w:t>
            </w:r>
          </w:p>
        </w:tc>
      </w:tr>
      <w:tr w:rsidR="00FA4AA8" w14:paraId="3C09D523" w14:textId="77777777">
        <w:trPr>
          <w:trHeight w:val="294"/>
        </w:trPr>
        <w:tc>
          <w:tcPr>
            <w:tcW w:w="6713" w:type="dxa"/>
          </w:tcPr>
          <w:p w14:paraId="0FA5C0AB" w14:textId="77777777" w:rsidR="00FA4AA8" w:rsidRDefault="0015611F">
            <w:pPr>
              <w:pStyle w:val="TableParagraph"/>
              <w:spacing w:before="68" w:line="206" w:lineRule="exact"/>
              <w:ind w:left="645"/>
              <w:rPr>
                <w:b/>
                <w:sz w:val="18"/>
              </w:rPr>
            </w:pPr>
            <w:r>
              <w:rPr>
                <w:b/>
                <w:sz w:val="18"/>
              </w:rPr>
              <w:t>OTHER INCOME ACTIVITIES</w:t>
            </w:r>
          </w:p>
        </w:tc>
        <w:tc>
          <w:tcPr>
            <w:tcW w:w="1334" w:type="dxa"/>
          </w:tcPr>
          <w:p w14:paraId="64DD0D00" w14:textId="77777777" w:rsidR="00FA4AA8" w:rsidRDefault="00FA4AA8">
            <w:pPr>
              <w:pStyle w:val="TableParagraph"/>
              <w:rPr>
                <w:rFonts w:ascii="Times New Roman"/>
                <w:sz w:val="16"/>
              </w:rPr>
            </w:pPr>
          </w:p>
        </w:tc>
        <w:tc>
          <w:tcPr>
            <w:tcW w:w="1325" w:type="dxa"/>
          </w:tcPr>
          <w:p w14:paraId="0F48B1A3" w14:textId="77777777" w:rsidR="00FA4AA8" w:rsidRDefault="00FA4AA8">
            <w:pPr>
              <w:pStyle w:val="TableParagraph"/>
              <w:rPr>
                <w:rFonts w:ascii="Times New Roman"/>
                <w:sz w:val="16"/>
              </w:rPr>
            </w:pPr>
          </w:p>
        </w:tc>
        <w:tc>
          <w:tcPr>
            <w:tcW w:w="1290" w:type="dxa"/>
          </w:tcPr>
          <w:p w14:paraId="72D37E9F" w14:textId="77777777" w:rsidR="00FA4AA8" w:rsidRDefault="00FA4AA8">
            <w:pPr>
              <w:pStyle w:val="TableParagraph"/>
              <w:rPr>
                <w:rFonts w:ascii="Times New Roman"/>
                <w:sz w:val="16"/>
              </w:rPr>
            </w:pPr>
          </w:p>
        </w:tc>
        <w:tc>
          <w:tcPr>
            <w:tcW w:w="1308" w:type="dxa"/>
          </w:tcPr>
          <w:p w14:paraId="36AD93BF" w14:textId="77777777" w:rsidR="00FA4AA8" w:rsidRDefault="00FA4AA8">
            <w:pPr>
              <w:pStyle w:val="TableParagraph"/>
              <w:rPr>
                <w:rFonts w:ascii="Times New Roman"/>
                <w:sz w:val="16"/>
              </w:rPr>
            </w:pPr>
          </w:p>
        </w:tc>
      </w:tr>
      <w:tr w:rsidR="00FA4AA8" w14:paraId="1D1BF70D" w14:textId="77777777">
        <w:trPr>
          <w:trHeight w:val="240"/>
        </w:trPr>
        <w:tc>
          <w:tcPr>
            <w:tcW w:w="6713" w:type="dxa"/>
          </w:tcPr>
          <w:p w14:paraId="604275E1" w14:textId="77777777" w:rsidR="00FA4AA8" w:rsidRDefault="0015611F">
            <w:pPr>
              <w:pStyle w:val="TableParagraph"/>
              <w:spacing w:before="3"/>
              <w:ind w:left="946"/>
              <w:rPr>
                <w:sz w:val="18"/>
              </w:rPr>
            </w:pPr>
            <w:r>
              <w:rPr>
                <w:sz w:val="18"/>
              </w:rPr>
              <w:t>Leases &amp; Other Commercial</w:t>
            </w:r>
          </w:p>
        </w:tc>
        <w:tc>
          <w:tcPr>
            <w:tcW w:w="1334" w:type="dxa"/>
          </w:tcPr>
          <w:p w14:paraId="70B13498" w14:textId="77777777" w:rsidR="00FA4AA8" w:rsidRDefault="0015611F">
            <w:pPr>
              <w:pStyle w:val="TableParagraph"/>
              <w:spacing w:before="3"/>
              <w:ind w:right="302"/>
              <w:jc w:val="right"/>
              <w:rPr>
                <w:sz w:val="18"/>
              </w:rPr>
            </w:pPr>
            <w:r>
              <w:rPr>
                <w:w w:val="95"/>
                <w:sz w:val="18"/>
              </w:rPr>
              <w:t>10,874</w:t>
            </w:r>
          </w:p>
        </w:tc>
        <w:tc>
          <w:tcPr>
            <w:tcW w:w="1325" w:type="dxa"/>
          </w:tcPr>
          <w:p w14:paraId="593B8EB9" w14:textId="77777777" w:rsidR="00FA4AA8" w:rsidRDefault="0015611F">
            <w:pPr>
              <w:pStyle w:val="TableParagraph"/>
              <w:spacing w:before="3"/>
              <w:ind w:right="218"/>
              <w:jc w:val="right"/>
              <w:rPr>
                <w:sz w:val="18"/>
              </w:rPr>
            </w:pPr>
            <w:r>
              <w:rPr>
                <w:w w:val="95"/>
                <w:sz w:val="18"/>
              </w:rPr>
              <w:t>11,081</w:t>
            </w:r>
          </w:p>
        </w:tc>
        <w:tc>
          <w:tcPr>
            <w:tcW w:w="1290" w:type="dxa"/>
          </w:tcPr>
          <w:p w14:paraId="5CDF3170" w14:textId="77777777" w:rsidR="00FA4AA8" w:rsidRDefault="0015611F">
            <w:pPr>
              <w:pStyle w:val="TableParagraph"/>
              <w:spacing w:before="3"/>
              <w:ind w:right="131"/>
              <w:jc w:val="right"/>
              <w:rPr>
                <w:i/>
                <w:sz w:val="18"/>
              </w:rPr>
            </w:pPr>
            <w:r>
              <w:rPr>
                <w:i/>
                <w:w w:val="95"/>
                <w:sz w:val="18"/>
              </w:rPr>
              <w:t>207</w:t>
            </w:r>
          </w:p>
        </w:tc>
        <w:tc>
          <w:tcPr>
            <w:tcW w:w="1308" w:type="dxa"/>
          </w:tcPr>
          <w:p w14:paraId="7978748B" w14:textId="77777777" w:rsidR="00FA4AA8" w:rsidRDefault="0015611F">
            <w:pPr>
              <w:pStyle w:val="TableParagraph"/>
              <w:spacing w:before="22"/>
              <w:ind w:right="202"/>
              <w:jc w:val="right"/>
              <w:rPr>
                <w:sz w:val="16"/>
              </w:rPr>
            </w:pPr>
            <w:r>
              <w:rPr>
                <w:sz w:val="16"/>
              </w:rPr>
              <w:t>1.9%</w:t>
            </w:r>
          </w:p>
        </w:tc>
      </w:tr>
      <w:tr w:rsidR="00FA4AA8" w14:paraId="4B3C813C" w14:textId="77777777">
        <w:trPr>
          <w:trHeight w:val="250"/>
        </w:trPr>
        <w:tc>
          <w:tcPr>
            <w:tcW w:w="6713" w:type="dxa"/>
          </w:tcPr>
          <w:p w14:paraId="54E17F9E" w14:textId="77777777" w:rsidR="00FA4AA8" w:rsidRDefault="0015611F">
            <w:pPr>
              <w:pStyle w:val="TableParagraph"/>
              <w:spacing w:before="14"/>
              <w:ind w:left="946"/>
              <w:rPr>
                <w:sz w:val="18"/>
              </w:rPr>
            </w:pPr>
            <w:r>
              <w:rPr>
                <w:sz w:val="18"/>
              </w:rPr>
              <w:t>Investment Income</w:t>
            </w:r>
          </w:p>
        </w:tc>
        <w:tc>
          <w:tcPr>
            <w:tcW w:w="1334" w:type="dxa"/>
          </w:tcPr>
          <w:p w14:paraId="69E9BEB1" w14:textId="77777777" w:rsidR="00FA4AA8" w:rsidRDefault="0015611F">
            <w:pPr>
              <w:pStyle w:val="TableParagraph"/>
              <w:spacing w:before="14"/>
              <w:ind w:right="301"/>
              <w:jc w:val="right"/>
              <w:rPr>
                <w:sz w:val="18"/>
              </w:rPr>
            </w:pPr>
            <w:r>
              <w:rPr>
                <w:w w:val="95"/>
                <w:sz w:val="18"/>
              </w:rPr>
              <w:t>13,451</w:t>
            </w:r>
          </w:p>
        </w:tc>
        <w:tc>
          <w:tcPr>
            <w:tcW w:w="1325" w:type="dxa"/>
          </w:tcPr>
          <w:p w14:paraId="47457487" w14:textId="77777777" w:rsidR="00FA4AA8" w:rsidRDefault="0015611F">
            <w:pPr>
              <w:pStyle w:val="TableParagraph"/>
              <w:spacing w:before="14"/>
              <w:ind w:right="218"/>
              <w:jc w:val="right"/>
              <w:rPr>
                <w:sz w:val="18"/>
              </w:rPr>
            </w:pPr>
            <w:r>
              <w:rPr>
                <w:w w:val="95"/>
                <w:sz w:val="18"/>
              </w:rPr>
              <w:t>2,565</w:t>
            </w:r>
          </w:p>
        </w:tc>
        <w:tc>
          <w:tcPr>
            <w:tcW w:w="1290" w:type="dxa"/>
          </w:tcPr>
          <w:p w14:paraId="4E942BEB" w14:textId="77777777" w:rsidR="00FA4AA8" w:rsidRDefault="0015611F">
            <w:pPr>
              <w:pStyle w:val="TableParagraph"/>
              <w:spacing w:before="14"/>
              <w:ind w:right="132"/>
              <w:jc w:val="right"/>
              <w:rPr>
                <w:i/>
                <w:sz w:val="18"/>
              </w:rPr>
            </w:pPr>
            <w:r>
              <w:rPr>
                <w:i/>
                <w:w w:val="95"/>
                <w:sz w:val="18"/>
              </w:rPr>
              <w:t>(10,885)</w:t>
            </w:r>
          </w:p>
        </w:tc>
        <w:tc>
          <w:tcPr>
            <w:tcW w:w="1308" w:type="dxa"/>
          </w:tcPr>
          <w:p w14:paraId="2565BE26" w14:textId="77777777" w:rsidR="00FA4AA8" w:rsidRDefault="0015611F">
            <w:pPr>
              <w:pStyle w:val="TableParagraph"/>
              <w:spacing w:before="32"/>
              <w:ind w:right="202"/>
              <w:jc w:val="right"/>
              <w:rPr>
                <w:sz w:val="16"/>
              </w:rPr>
            </w:pPr>
            <w:r>
              <w:rPr>
                <w:sz w:val="16"/>
              </w:rPr>
              <w:t>(80.9%)</w:t>
            </w:r>
          </w:p>
        </w:tc>
      </w:tr>
      <w:tr w:rsidR="00FA4AA8" w14:paraId="1DA48FF1" w14:textId="77777777">
        <w:trPr>
          <w:trHeight w:val="240"/>
        </w:trPr>
        <w:tc>
          <w:tcPr>
            <w:tcW w:w="6713" w:type="dxa"/>
          </w:tcPr>
          <w:p w14:paraId="6B36B4EF" w14:textId="77777777" w:rsidR="00FA4AA8" w:rsidRDefault="0015611F">
            <w:pPr>
              <w:pStyle w:val="TableParagraph"/>
              <w:spacing w:before="14" w:line="206" w:lineRule="exact"/>
              <w:ind w:left="946"/>
              <w:rPr>
                <w:sz w:val="18"/>
              </w:rPr>
            </w:pPr>
            <w:r>
              <w:rPr>
                <w:sz w:val="18"/>
              </w:rPr>
              <w:t>Land/Property Development Projects</w:t>
            </w:r>
          </w:p>
        </w:tc>
        <w:tc>
          <w:tcPr>
            <w:tcW w:w="1334" w:type="dxa"/>
          </w:tcPr>
          <w:p w14:paraId="2CC8225F" w14:textId="77777777" w:rsidR="00FA4AA8" w:rsidRDefault="0015611F">
            <w:pPr>
              <w:pStyle w:val="TableParagraph"/>
              <w:spacing w:before="14" w:line="206" w:lineRule="exact"/>
              <w:ind w:right="301"/>
              <w:jc w:val="right"/>
              <w:rPr>
                <w:sz w:val="18"/>
              </w:rPr>
            </w:pPr>
            <w:r>
              <w:rPr>
                <w:w w:val="95"/>
                <w:sz w:val="18"/>
              </w:rPr>
              <w:t>53,809</w:t>
            </w:r>
          </w:p>
        </w:tc>
        <w:tc>
          <w:tcPr>
            <w:tcW w:w="1325" w:type="dxa"/>
          </w:tcPr>
          <w:p w14:paraId="14DB5F92" w14:textId="77777777" w:rsidR="00FA4AA8" w:rsidRDefault="0015611F">
            <w:pPr>
              <w:pStyle w:val="TableParagraph"/>
              <w:spacing w:before="14" w:line="206" w:lineRule="exact"/>
              <w:ind w:right="218"/>
              <w:jc w:val="right"/>
              <w:rPr>
                <w:sz w:val="18"/>
              </w:rPr>
            </w:pPr>
            <w:r>
              <w:rPr>
                <w:w w:val="95"/>
                <w:sz w:val="18"/>
              </w:rPr>
              <w:t>103,099</w:t>
            </w:r>
          </w:p>
        </w:tc>
        <w:tc>
          <w:tcPr>
            <w:tcW w:w="1290" w:type="dxa"/>
          </w:tcPr>
          <w:p w14:paraId="3EEE1B56" w14:textId="77777777" w:rsidR="00FA4AA8" w:rsidRDefault="0015611F">
            <w:pPr>
              <w:pStyle w:val="TableParagraph"/>
              <w:spacing w:before="14" w:line="206" w:lineRule="exact"/>
              <w:ind w:right="131"/>
              <w:jc w:val="right"/>
              <w:rPr>
                <w:i/>
                <w:sz w:val="18"/>
              </w:rPr>
            </w:pPr>
            <w:r>
              <w:rPr>
                <w:i/>
                <w:w w:val="95"/>
                <w:sz w:val="18"/>
              </w:rPr>
              <w:t>49,290</w:t>
            </w:r>
          </w:p>
        </w:tc>
        <w:tc>
          <w:tcPr>
            <w:tcW w:w="1308" w:type="dxa"/>
          </w:tcPr>
          <w:p w14:paraId="4F9B8E07" w14:textId="77777777" w:rsidR="00FA4AA8" w:rsidRDefault="0015611F">
            <w:pPr>
              <w:pStyle w:val="TableParagraph"/>
              <w:spacing w:before="32"/>
              <w:ind w:right="202"/>
              <w:jc w:val="right"/>
              <w:rPr>
                <w:sz w:val="16"/>
              </w:rPr>
            </w:pPr>
            <w:r>
              <w:rPr>
                <w:sz w:val="16"/>
              </w:rPr>
              <w:t>91.6%</w:t>
            </w:r>
          </w:p>
        </w:tc>
      </w:tr>
      <w:tr w:rsidR="00FA4AA8" w14:paraId="6904B621" w14:textId="77777777">
        <w:trPr>
          <w:trHeight w:val="258"/>
        </w:trPr>
        <w:tc>
          <w:tcPr>
            <w:tcW w:w="6713" w:type="dxa"/>
          </w:tcPr>
          <w:p w14:paraId="4D32CB85" w14:textId="77777777" w:rsidR="00FA4AA8" w:rsidRDefault="0015611F">
            <w:pPr>
              <w:pStyle w:val="TableParagraph"/>
              <w:spacing w:before="3"/>
              <w:ind w:left="946"/>
              <w:rPr>
                <w:sz w:val="18"/>
              </w:rPr>
            </w:pPr>
            <w:r>
              <w:rPr>
                <w:sz w:val="18"/>
              </w:rPr>
              <w:t>Other Incidental</w:t>
            </w:r>
          </w:p>
        </w:tc>
        <w:tc>
          <w:tcPr>
            <w:tcW w:w="1334" w:type="dxa"/>
          </w:tcPr>
          <w:p w14:paraId="30B68549" w14:textId="77777777" w:rsidR="00FA4AA8" w:rsidRDefault="0015611F">
            <w:pPr>
              <w:pStyle w:val="TableParagraph"/>
              <w:spacing w:before="3"/>
              <w:ind w:right="301"/>
              <w:jc w:val="right"/>
              <w:rPr>
                <w:sz w:val="18"/>
              </w:rPr>
            </w:pPr>
            <w:r>
              <w:rPr>
                <w:w w:val="95"/>
                <w:sz w:val="18"/>
              </w:rPr>
              <w:t>10,883</w:t>
            </w:r>
          </w:p>
        </w:tc>
        <w:tc>
          <w:tcPr>
            <w:tcW w:w="1325" w:type="dxa"/>
          </w:tcPr>
          <w:p w14:paraId="6523FE6F" w14:textId="77777777" w:rsidR="00FA4AA8" w:rsidRDefault="0015611F">
            <w:pPr>
              <w:pStyle w:val="TableParagraph"/>
              <w:spacing w:before="3"/>
              <w:ind w:right="218"/>
              <w:jc w:val="right"/>
              <w:rPr>
                <w:sz w:val="18"/>
              </w:rPr>
            </w:pPr>
            <w:r>
              <w:rPr>
                <w:w w:val="95"/>
                <w:sz w:val="18"/>
              </w:rPr>
              <w:t>62,991</w:t>
            </w:r>
          </w:p>
        </w:tc>
        <w:tc>
          <w:tcPr>
            <w:tcW w:w="1290" w:type="dxa"/>
          </w:tcPr>
          <w:p w14:paraId="30E4DC04" w14:textId="77777777" w:rsidR="00FA4AA8" w:rsidRDefault="0015611F">
            <w:pPr>
              <w:pStyle w:val="TableParagraph"/>
              <w:spacing w:before="3"/>
              <w:ind w:right="131"/>
              <w:jc w:val="right"/>
              <w:rPr>
                <w:i/>
                <w:sz w:val="18"/>
              </w:rPr>
            </w:pPr>
            <w:r>
              <w:rPr>
                <w:i/>
                <w:w w:val="95"/>
                <w:sz w:val="18"/>
              </w:rPr>
              <w:t>52,107</w:t>
            </w:r>
          </w:p>
        </w:tc>
        <w:tc>
          <w:tcPr>
            <w:tcW w:w="1308" w:type="dxa"/>
          </w:tcPr>
          <w:p w14:paraId="56D94A50" w14:textId="77777777" w:rsidR="00FA4AA8" w:rsidRDefault="0015611F">
            <w:pPr>
              <w:pStyle w:val="TableParagraph"/>
              <w:spacing w:before="22"/>
              <w:ind w:right="202"/>
              <w:jc w:val="right"/>
              <w:rPr>
                <w:sz w:val="16"/>
              </w:rPr>
            </w:pPr>
            <w:r>
              <w:rPr>
                <w:sz w:val="16"/>
              </w:rPr>
              <w:t>478.8%</w:t>
            </w:r>
          </w:p>
        </w:tc>
      </w:tr>
      <w:tr w:rsidR="00FA4AA8" w14:paraId="1D880117" w14:textId="77777777">
        <w:trPr>
          <w:trHeight w:val="258"/>
        </w:trPr>
        <w:tc>
          <w:tcPr>
            <w:tcW w:w="6713" w:type="dxa"/>
          </w:tcPr>
          <w:p w14:paraId="74CBEC5F" w14:textId="77777777" w:rsidR="00FA4AA8" w:rsidRDefault="0015611F">
            <w:pPr>
              <w:pStyle w:val="TableParagraph"/>
              <w:spacing w:before="32" w:line="206" w:lineRule="exact"/>
              <w:ind w:right="376"/>
              <w:jc w:val="right"/>
              <w:rPr>
                <w:b/>
                <w:sz w:val="18"/>
              </w:rPr>
            </w:pPr>
            <w:r>
              <w:rPr>
                <w:b/>
                <w:sz w:val="18"/>
              </w:rPr>
              <w:t>Sub Total</w:t>
            </w:r>
          </w:p>
        </w:tc>
        <w:tc>
          <w:tcPr>
            <w:tcW w:w="1334" w:type="dxa"/>
          </w:tcPr>
          <w:p w14:paraId="4E37F74A" w14:textId="77777777" w:rsidR="00FA4AA8" w:rsidRDefault="0015611F">
            <w:pPr>
              <w:pStyle w:val="TableParagraph"/>
              <w:spacing w:before="32" w:line="206" w:lineRule="exact"/>
              <w:ind w:right="302"/>
              <w:jc w:val="right"/>
              <w:rPr>
                <w:b/>
                <w:sz w:val="18"/>
              </w:rPr>
            </w:pPr>
            <w:r>
              <w:rPr>
                <w:b/>
                <w:w w:val="95"/>
                <w:sz w:val="18"/>
              </w:rPr>
              <w:t>89,017</w:t>
            </w:r>
          </w:p>
        </w:tc>
        <w:tc>
          <w:tcPr>
            <w:tcW w:w="1325" w:type="dxa"/>
          </w:tcPr>
          <w:p w14:paraId="5416B89C" w14:textId="77777777" w:rsidR="00FA4AA8" w:rsidRDefault="0015611F">
            <w:pPr>
              <w:pStyle w:val="TableParagraph"/>
              <w:spacing w:before="32" w:line="206" w:lineRule="exact"/>
              <w:ind w:right="218"/>
              <w:jc w:val="right"/>
              <w:rPr>
                <w:b/>
                <w:sz w:val="18"/>
              </w:rPr>
            </w:pPr>
            <w:r>
              <w:rPr>
                <w:b/>
                <w:w w:val="95"/>
                <w:sz w:val="18"/>
              </w:rPr>
              <w:t>179,736</w:t>
            </w:r>
          </w:p>
        </w:tc>
        <w:tc>
          <w:tcPr>
            <w:tcW w:w="1290" w:type="dxa"/>
          </w:tcPr>
          <w:p w14:paraId="06B513A3" w14:textId="77777777" w:rsidR="00FA4AA8" w:rsidRDefault="0015611F">
            <w:pPr>
              <w:pStyle w:val="TableParagraph"/>
              <w:spacing w:before="32" w:line="206" w:lineRule="exact"/>
              <w:ind w:right="132"/>
              <w:jc w:val="right"/>
              <w:rPr>
                <w:b/>
                <w:i/>
                <w:sz w:val="18"/>
              </w:rPr>
            </w:pPr>
            <w:r>
              <w:rPr>
                <w:b/>
                <w:i/>
                <w:w w:val="95"/>
                <w:sz w:val="18"/>
              </w:rPr>
              <w:t>90,719</w:t>
            </w:r>
          </w:p>
        </w:tc>
        <w:tc>
          <w:tcPr>
            <w:tcW w:w="1308" w:type="dxa"/>
          </w:tcPr>
          <w:p w14:paraId="6BBF1B52" w14:textId="77777777" w:rsidR="00FA4AA8" w:rsidRDefault="0015611F">
            <w:pPr>
              <w:pStyle w:val="TableParagraph"/>
              <w:spacing w:before="51"/>
              <w:ind w:right="194"/>
              <w:jc w:val="right"/>
              <w:rPr>
                <w:b/>
                <w:sz w:val="16"/>
              </w:rPr>
            </w:pPr>
            <w:r>
              <w:rPr>
                <w:b/>
                <w:sz w:val="16"/>
              </w:rPr>
              <w:t>101.9%</w:t>
            </w:r>
          </w:p>
        </w:tc>
      </w:tr>
      <w:tr w:rsidR="00FA4AA8" w14:paraId="278667C8" w14:textId="77777777">
        <w:trPr>
          <w:trHeight w:val="229"/>
        </w:trPr>
        <w:tc>
          <w:tcPr>
            <w:tcW w:w="6713" w:type="dxa"/>
          </w:tcPr>
          <w:p w14:paraId="059EA334" w14:textId="77777777" w:rsidR="00FA4AA8" w:rsidRDefault="0015611F">
            <w:pPr>
              <w:pStyle w:val="TableParagraph"/>
              <w:spacing w:before="3" w:line="206" w:lineRule="exact"/>
              <w:ind w:left="645"/>
              <w:rPr>
                <w:b/>
                <w:sz w:val="18"/>
              </w:rPr>
            </w:pPr>
            <w:r>
              <w:rPr>
                <w:b/>
                <w:sz w:val="18"/>
              </w:rPr>
              <w:t>ENTITIES</w:t>
            </w:r>
          </w:p>
        </w:tc>
        <w:tc>
          <w:tcPr>
            <w:tcW w:w="1334" w:type="dxa"/>
          </w:tcPr>
          <w:p w14:paraId="31E7BF2F" w14:textId="77777777" w:rsidR="00FA4AA8" w:rsidRDefault="00FA4AA8">
            <w:pPr>
              <w:pStyle w:val="TableParagraph"/>
              <w:rPr>
                <w:rFonts w:ascii="Times New Roman"/>
                <w:sz w:val="16"/>
              </w:rPr>
            </w:pPr>
          </w:p>
        </w:tc>
        <w:tc>
          <w:tcPr>
            <w:tcW w:w="1325" w:type="dxa"/>
          </w:tcPr>
          <w:p w14:paraId="229E37E1" w14:textId="77777777" w:rsidR="00FA4AA8" w:rsidRDefault="00FA4AA8">
            <w:pPr>
              <w:pStyle w:val="TableParagraph"/>
              <w:rPr>
                <w:rFonts w:ascii="Times New Roman"/>
                <w:sz w:val="16"/>
              </w:rPr>
            </w:pPr>
          </w:p>
        </w:tc>
        <w:tc>
          <w:tcPr>
            <w:tcW w:w="1290" w:type="dxa"/>
          </w:tcPr>
          <w:p w14:paraId="2AD2895B" w14:textId="77777777" w:rsidR="00FA4AA8" w:rsidRDefault="00FA4AA8">
            <w:pPr>
              <w:pStyle w:val="TableParagraph"/>
              <w:rPr>
                <w:rFonts w:ascii="Times New Roman"/>
                <w:sz w:val="16"/>
              </w:rPr>
            </w:pPr>
          </w:p>
        </w:tc>
        <w:tc>
          <w:tcPr>
            <w:tcW w:w="1308" w:type="dxa"/>
          </w:tcPr>
          <w:p w14:paraId="69EC40FF" w14:textId="77777777" w:rsidR="00FA4AA8" w:rsidRDefault="00FA4AA8">
            <w:pPr>
              <w:pStyle w:val="TableParagraph"/>
              <w:rPr>
                <w:rFonts w:ascii="Times New Roman"/>
                <w:sz w:val="16"/>
              </w:rPr>
            </w:pPr>
          </w:p>
        </w:tc>
      </w:tr>
      <w:tr w:rsidR="00FA4AA8" w14:paraId="2531DE17" w14:textId="77777777">
        <w:trPr>
          <w:trHeight w:val="229"/>
        </w:trPr>
        <w:tc>
          <w:tcPr>
            <w:tcW w:w="6713" w:type="dxa"/>
          </w:tcPr>
          <w:p w14:paraId="6A4821C5" w14:textId="77777777" w:rsidR="00FA4AA8" w:rsidRDefault="0015611F">
            <w:pPr>
              <w:pStyle w:val="TableParagraph"/>
              <w:spacing w:before="3" w:line="206" w:lineRule="exact"/>
              <w:ind w:left="946"/>
              <w:rPr>
                <w:sz w:val="18"/>
              </w:rPr>
            </w:pPr>
            <w:r>
              <w:rPr>
                <w:sz w:val="18"/>
              </w:rPr>
              <w:t>The College</w:t>
            </w:r>
          </w:p>
        </w:tc>
        <w:tc>
          <w:tcPr>
            <w:tcW w:w="1334" w:type="dxa"/>
          </w:tcPr>
          <w:p w14:paraId="6C4472A8" w14:textId="77777777" w:rsidR="00FA4AA8" w:rsidRDefault="0015611F">
            <w:pPr>
              <w:pStyle w:val="TableParagraph"/>
              <w:spacing w:before="3" w:line="206" w:lineRule="exact"/>
              <w:ind w:right="302"/>
              <w:jc w:val="right"/>
              <w:rPr>
                <w:sz w:val="18"/>
              </w:rPr>
            </w:pPr>
            <w:r>
              <w:rPr>
                <w:w w:val="95"/>
                <w:sz w:val="18"/>
              </w:rPr>
              <w:t>63,657</w:t>
            </w:r>
          </w:p>
        </w:tc>
        <w:tc>
          <w:tcPr>
            <w:tcW w:w="1325" w:type="dxa"/>
          </w:tcPr>
          <w:p w14:paraId="18EF8D0C" w14:textId="77777777" w:rsidR="00FA4AA8" w:rsidRDefault="0015611F">
            <w:pPr>
              <w:pStyle w:val="TableParagraph"/>
              <w:spacing w:before="3" w:line="206" w:lineRule="exact"/>
              <w:ind w:right="218"/>
              <w:jc w:val="right"/>
              <w:rPr>
                <w:sz w:val="18"/>
              </w:rPr>
            </w:pPr>
            <w:r>
              <w:rPr>
                <w:w w:val="95"/>
                <w:sz w:val="18"/>
              </w:rPr>
              <w:t>60,949</w:t>
            </w:r>
          </w:p>
        </w:tc>
        <w:tc>
          <w:tcPr>
            <w:tcW w:w="1290" w:type="dxa"/>
          </w:tcPr>
          <w:p w14:paraId="3902BC22" w14:textId="77777777" w:rsidR="00FA4AA8" w:rsidRDefault="0015611F">
            <w:pPr>
              <w:pStyle w:val="TableParagraph"/>
              <w:spacing w:before="3" w:line="206" w:lineRule="exact"/>
              <w:ind w:right="132"/>
              <w:jc w:val="right"/>
              <w:rPr>
                <w:i/>
                <w:sz w:val="18"/>
              </w:rPr>
            </w:pPr>
            <w:r>
              <w:rPr>
                <w:i/>
                <w:w w:val="95"/>
                <w:sz w:val="18"/>
              </w:rPr>
              <w:t>(2,708)</w:t>
            </w:r>
          </w:p>
        </w:tc>
        <w:tc>
          <w:tcPr>
            <w:tcW w:w="1308" w:type="dxa"/>
          </w:tcPr>
          <w:p w14:paraId="38F835B9" w14:textId="77777777" w:rsidR="00FA4AA8" w:rsidRDefault="0015611F">
            <w:pPr>
              <w:pStyle w:val="TableParagraph"/>
              <w:spacing w:before="22"/>
              <w:ind w:right="202"/>
              <w:jc w:val="right"/>
              <w:rPr>
                <w:sz w:val="16"/>
              </w:rPr>
            </w:pPr>
            <w:r>
              <w:rPr>
                <w:sz w:val="16"/>
              </w:rPr>
              <w:t>(4.3%)</w:t>
            </w:r>
          </w:p>
        </w:tc>
      </w:tr>
      <w:tr w:rsidR="00FA4AA8" w14:paraId="4D9FE5E5" w14:textId="77777777">
        <w:trPr>
          <w:trHeight w:val="229"/>
        </w:trPr>
        <w:tc>
          <w:tcPr>
            <w:tcW w:w="6713" w:type="dxa"/>
          </w:tcPr>
          <w:p w14:paraId="0521D0B5" w14:textId="77777777" w:rsidR="00FA4AA8" w:rsidRDefault="0015611F">
            <w:pPr>
              <w:pStyle w:val="TableParagraph"/>
              <w:spacing w:before="3" w:line="206" w:lineRule="exact"/>
              <w:ind w:left="946"/>
              <w:rPr>
                <w:sz w:val="18"/>
              </w:rPr>
            </w:pPr>
            <w:r>
              <w:rPr>
                <w:sz w:val="18"/>
              </w:rPr>
              <w:t>Whitlam Institute</w:t>
            </w:r>
          </w:p>
        </w:tc>
        <w:tc>
          <w:tcPr>
            <w:tcW w:w="1334" w:type="dxa"/>
          </w:tcPr>
          <w:p w14:paraId="7D5053A4" w14:textId="77777777" w:rsidR="00FA4AA8" w:rsidRDefault="0015611F">
            <w:pPr>
              <w:pStyle w:val="TableParagraph"/>
              <w:spacing w:before="3" w:line="206" w:lineRule="exact"/>
              <w:ind w:right="302"/>
              <w:jc w:val="right"/>
              <w:rPr>
                <w:sz w:val="18"/>
              </w:rPr>
            </w:pPr>
            <w:r>
              <w:rPr>
                <w:w w:val="95"/>
                <w:sz w:val="18"/>
              </w:rPr>
              <w:t>177</w:t>
            </w:r>
          </w:p>
        </w:tc>
        <w:tc>
          <w:tcPr>
            <w:tcW w:w="1325" w:type="dxa"/>
          </w:tcPr>
          <w:p w14:paraId="0DA5BB02" w14:textId="77777777" w:rsidR="00FA4AA8" w:rsidRDefault="0015611F">
            <w:pPr>
              <w:pStyle w:val="TableParagraph"/>
              <w:spacing w:before="3" w:line="206" w:lineRule="exact"/>
              <w:ind w:right="218"/>
              <w:jc w:val="right"/>
              <w:rPr>
                <w:sz w:val="18"/>
              </w:rPr>
            </w:pPr>
            <w:r>
              <w:rPr>
                <w:w w:val="95"/>
                <w:sz w:val="18"/>
              </w:rPr>
              <w:t>231</w:t>
            </w:r>
          </w:p>
        </w:tc>
        <w:tc>
          <w:tcPr>
            <w:tcW w:w="1290" w:type="dxa"/>
          </w:tcPr>
          <w:p w14:paraId="2A03FC17" w14:textId="77777777" w:rsidR="00FA4AA8" w:rsidRDefault="0015611F">
            <w:pPr>
              <w:pStyle w:val="TableParagraph"/>
              <w:spacing w:before="3" w:line="206" w:lineRule="exact"/>
              <w:ind w:right="132"/>
              <w:jc w:val="right"/>
              <w:rPr>
                <w:i/>
                <w:sz w:val="18"/>
              </w:rPr>
            </w:pPr>
            <w:r>
              <w:rPr>
                <w:i/>
                <w:sz w:val="18"/>
              </w:rPr>
              <w:t>54</w:t>
            </w:r>
          </w:p>
        </w:tc>
        <w:tc>
          <w:tcPr>
            <w:tcW w:w="1308" w:type="dxa"/>
          </w:tcPr>
          <w:p w14:paraId="75EAD951" w14:textId="77777777" w:rsidR="00FA4AA8" w:rsidRDefault="0015611F">
            <w:pPr>
              <w:pStyle w:val="TableParagraph"/>
              <w:spacing w:before="22"/>
              <w:ind w:right="202"/>
              <w:jc w:val="right"/>
              <w:rPr>
                <w:sz w:val="16"/>
              </w:rPr>
            </w:pPr>
            <w:r>
              <w:rPr>
                <w:sz w:val="16"/>
              </w:rPr>
              <w:t>30.6%</w:t>
            </w:r>
          </w:p>
        </w:tc>
      </w:tr>
      <w:tr w:rsidR="00FA4AA8" w14:paraId="483CD343" w14:textId="77777777">
        <w:trPr>
          <w:trHeight w:val="229"/>
        </w:trPr>
        <w:tc>
          <w:tcPr>
            <w:tcW w:w="6713" w:type="dxa"/>
          </w:tcPr>
          <w:p w14:paraId="0A436A92" w14:textId="77777777" w:rsidR="00FA4AA8" w:rsidRDefault="0015611F">
            <w:pPr>
              <w:pStyle w:val="TableParagraph"/>
              <w:spacing w:before="3" w:line="206" w:lineRule="exact"/>
              <w:ind w:left="946"/>
              <w:rPr>
                <w:sz w:val="18"/>
              </w:rPr>
            </w:pPr>
            <w:r>
              <w:rPr>
                <w:sz w:val="18"/>
              </w:rPr>
              <w:t>Early Learning Limited</w:t>
            </w:r>
          </w:p>
        </w:tc>
        <w:tc>
          <w:tcPr>
            <w:tcW w:w="1334" w:type="dxa"/>
          </w:tcPr>
          <w:p w14:paraId="575C177D" w14:textId="77777777" w:rsidR="00FA4AA8" w:rsidRDefault="0015611F">
            <w:pPr>
              <w:pStyle w:val="TableParagraph"/>
              <w:spacing w:before="3" w:line="206" w:lineRule="exact"/>
              <w:ind w:right="302"/>
              <w:jc w:val="right"/>
              <w:rPr>
                <w:sz w:val="18"/>
              </w:rPr>
            </w:pPr>
            <w:r>
              <w:rPr>
                <w:w w:val="95"/>
                <w:sz w:val="18"/>
              </w:rPr>
              <w:t>7,278</w:t>
            </w:r>
          </w:p>
        </w:tc>
        <w:tc>
          <w:tcPr>
            <w:tcW w:w="1325" w:type="dxa"/>
          </w:tcPr>
          <w:p w14:paraId="02FDF5F3" w14:textId="77777777" w:rsidR="00FA4AA8" w:rsidRDefault="0015611F">
            <w:pPr>
              <w:pStyle w:val="TableParagraph"/>
              <w:spacing w:before="3" w:line="206" w:lineRule="exact"/>
              <w:ind w:right="218"/>
              <w:jc w:val="right"/>
              <w:rPr>
                <w:sz w:val="18"/>
              </w:rPr>
            </w:pPr>
            <w:r>
              <w:rPr>
                <w:w w:val="95"/>
                <w:sz w:val="18"/>
              </w:rPr>
              <w:t>7,260</w:t>
            </w:r>
          </w:p>
        </w:tc>
        <w:tc>
          <w:tcPr>
            <w:tcW w:w="1290" w:type="dxa"/>
          </w:tcPr>
          <w:p w14:paraId="63D10F17" w14:textId="77777777" w:rsidR="00FA4AA8" w:rsidRDefault="0015611F">
            <w:pPr>
              <w:pStyle w:val="TableParagraph"/>
              <w:spacing w:before="3" w:line="206" w:lineRule="exact"/>
              <w:ind w:right="132"/>
              <w:jc w:val="right"/>
              <w:rPr>
                <w:i/>
                <w:sz w:val="18"/>
              </w:rPr>
            </w:pPr>
            <w:r>
              <w:rPr>
                <w:i/>
                <w:w w:val="95"/>
                <w:sz w:val="18"/>
              </w:rPr>
              <w:t>(18)</w:t>
            </w:r>
          </w:p>
        </w:tc>
        <w:tc>
          <w:tcPr>
            <w:tcW w:w="1308" w:type="dxa"/>
          </w:tcPr>
          <w:p w14:paraId="663CDED1" w14:textId="77777777" w:rsidR="00FA4AA8" w:rsidRDefault="0015611F">
            <w:pPr>
              <w:pStyle w:val="TableParagraph"/>
              <w:spacing w:before="22"/>
              <w:ind w:right="202"/>
              <w:jc w:val="right"/>
              <w:rPr>
                <w:sz w:val="16"/>
              </w:rPr>
            </w:pPr>
            <w:r>
              <w:rPr>
                <w:sz w:val="16"/>
              </w:rPr>
              <w:t>(0.3%)</w:t>
            </w:r>
          </w:p>
        </w:tc>
      </w:tr>
      <w:tr w:rsidR="00FA4AA8" w14:paraId="6CA5C779" w14:textId="77777777">
        <w:trPr>
          <w:trHeight w:val="229"/>
        </w:trPr>
        <w:tc>
          <w:tcPr>
            <w:tcW w:w="6713" w:type="dxa"/>
          </w:tcPr>
          <w:p w14:paraId="60819B49" w14:textId="77777777" w:rsidR="00FA4AA8" w:rsidRDefault="0015611F">
            <w:pPr>
              <w:pStyle w:val="TableParagraph"/>
              <w:spacing w:before="3" w:line="206" w:lineRule="exact"/>
              <w:ind w:left="946"/>
              <w:rPr>
                <w:sz w:val="18"/>
              </w:rPr>
            </w:pPr>
            <w:r>
              <w:rPr>
                <w:sz w:val="18"/>
              </w:rPr>
              <w:t>Western Unlimited</w:t>
            </w:r>
          </w:p>
        </w:tc>
        <w:tc>
          <w:tcPr>
            <w:tcW w:w="1334" w:type="dxa"/>
          </w:tcPr>
          <w:p w14:paraId="672F3993" w14:textId="77777777" w:rsidR="00FA4AA8" w:rsidRDefault="0015611F">
            <w:pPr>
              <w:pStyle w:val="TableParagraph"/>
              <w:spacing w:before="3" w:line="206" w:lineRule="exact"/>
              <w:ind w:right="302"/>
              <w:jc w:val="right"/>
              <w:rPr>
                <w:sz w:val="18"/>
              </w:rPr>
            </w:pPr>
            <w:r>
              <w:rPr>
                <w:w w:val="95"/>
                <w:sz w:val="18"/>
              </w:rPr>
              <w:t>9,473</w:t>
            </w:r>
          </w:p>
        </w:tc>
        <w:tc>
          <w:tcPr>
            <w:tcW w:w="1325" w:type="dxa"/>
          </w:tcPr>
          <w:p w14:paraId="19C0B87C" w14:textId="77777777" w:rsidR="00FA4AA8" w:rsidRDefault="0015611F">
            <w:pPr>
              <w:pStyle w:val="TableParagraph"/>
              <w:spacing w:before="3" w:line="206" w:lineRule="exact"/>
              <w:ind w:right="218"/>
              <w:jc w:val="right"/>
              <w:rPr>
                <w:sz w:val="18"/>
              </w:rPr>
            </w:pPr>
            <w:r>
              <w:rPr>
                <w:w w:val="95"/>
                <w:sz w:val="18"/>
              </w:rPr>
              <w:t>5,723</w:t>
            </w:r>
          </w:p>
        </w:tc>
        <w:tc>
          <w:tcPr>
            <w:tcW w:w="1290" w:type="dxa"/>
          </w:tcPr>
          <w:p w14:paraId="11723F19" w14:textId="77777777" w:rsidR="00FA4AA8" w:rsidRDefault="0015611F">
            <w:pPr>
              <w:pStyle w:val="TableParagraph"/>
              <w:spacing w:before="3" w:line="206" w:lineRule="exact"/>
              <w:ind w:right="132"/>
              <w:jc w:val="right"/>
              <w:rPr>
                <w:i/>
                <w:sz w:val="18"/>
              </w:rPr>
            </w:pPr>
            <w:r>
              <w:rPr>
                <w:i/>
                <w:w w:val="95"/>
                <w:sz w:val="18"/>
              </w:rPr>
              <w:t>(3,750)</w:t>
            </w:r>
          </w:p>
        </w:tc>
        <w:tc>
          <w:tcPr>
            <w:tcW w:w="1308" w:type="dxa"/>
          </w:tcPr>
          <w:p w14:paraId="66EB5196" w14:textId="77777777" w:rsidR="00FA4AA8" w:rsidRDefault="0015611F">
            <w:pPr>
              <w:pStyle w:val="TableParagraph"/>
              <w:spacing w:before="22"/>
              <w:ind w:right="202"/>
              <w:jc w:val="right"/>
              <w:rPr>
                <w:sz w:val="16"/>
              </w:rPr>
            </w:pPr>
            <w:r>
              <w:rPr>
                <w:sz w:val="16"/>
              </w:rPr>
              <w:t>(39.6%)</w:t>
            </w:r>
          </w:p>
        </w:tc>
      </w:tr>
      <w:tr w:rsidR="00FA4AA8" w14:paraId="0EE68637" w14:textId="77777777">
        <w:trPr>
          <w:trHeight w:val="229"/>
        </w:trPr>
        <w:tc>
          <w:tcPr>
            <w:tcW w:w="6713" w:type="dxa"/>
          </w:tcPr>
          <w:p w14:paraId="2EE260F3" w14:textId="77777777" w:rsidR="00FA4AA8" w:rsidRDefault="0015611F">
            <w:pPr>
              <w:pStyle w:val="TableParagraph"/>
              <w:spacing w:before="3" w:line="206" w:lineRule="exact"/>
              <w:ind w:left="946"/>
              <w:rPr>
                <w:sz w:val="18"/>
              </w:rPr>
            </w:pPr>
            <w:r>
              <w:rPr>
                <w:sz w:val="18"/>
              </w:rPr>
              <w:t>Western Growth Developments (Westmead)</w:t>
            </w:r>
          </w:p>
        </w:tc>
        <w:tc>
          <w:tcPr>
            <w:tcW w:w="1334" w:type="dxa"/>
          </w:tcPr>
          <w:p w14:paraId="3DAE04A6" w14:textId="77777777" w:rsidR="00FA4AA8" w:rsidRDefault="0015611F">
            <w:pPr>
              <w:pStyle w:val="TableParagraph"/>
              <w:spacing w:before="3" w:line="206" w:lineRule="exact"/>
              <w:ind w:right="302"/>
              <w:jc w:val="right"/>
              <w:rPr>
                <w:sz w:val="18"/>
              </w:rPr>
            </w:pPr>
            <w:r>
              <w:rPr>
                <w:w w:val="99"/>
                <w:sz w:val="18"/>
              </w:rPr>
              <w:t>0</w:t>
            </w:r>
          </w:p>
        </w:tc>
        <w:tc>
          <w:tcPr>
            <w:tcW w:w="1325" w:type="dxa"/>
          </w:tcPr>
          <w:p w14:paraId="57F51AE3" w14:textId="77777777" w:rsidR="00FA4AA8" w:rsidRDefault="0015611F">
            <w:pPr>
              <w:pStyle w:val="TableParagraph"/>
              <w:spacing w:before="3" w:line="206" w:lineRule="exact"/>
              <w:ind w:right="219"/>
              <w:jc w:val="right"/>
              <w:rPr>
                <w:sz w:val="18"/>
              </w:rPr>
            </w:pPr>
            <w:r>
              <w:rPr>
                <w:w w:val="99"/>
                <w:sz w:val="18"/>
              </w:rPr>
              <w:t>0</w:t>
            </w:r>
          </w:p>
        </w:tc>
        <w:tc>
          <w:tcPr>
            <w:tcW w:w="1290" w:type="dxa"/>
          </w:tcPr>
          <w:p w14:paraId="71155459" w14:textId="77777777" w:rsidR="00FA4AA8" w:rsidRDefault="0015611F">
            <w:pPr>
              <w:pStyle w:val="TableParagraph"/>
              <w:spacing w:before="3" w:line="206" w:lineRule="exact"/>
              <w:ind w:right="132"/>
              <w:jc w:val="right"/>
              <w:rPr>
                <w:i/>
                <w:sz w:val="18"/>
              </w:rPr>
            </w:pPr>
            <w:r>
              <w:rPr>
                <w:i/>
                <w:w w:val="99"/>
                <w:sz w:val="18"/>
              </w:rPr>
              <w:t>0</w:t>
            </w:r>
          </w:p>
        </w:tc>
        <w:tc>
          <w:tcPr>
            <w:tcW w:w="1308" w:type="dxa"/>
          </w:tcPr>
          <w:p w14:paraId="5A51CB06" w14:textId="77777777" w:rsidR="00FA4AA8" w:rsidRDefault="00FA4AA8">
            <w:pPr>
              <w:pStyle w:val="TableParagraph"/>
              <w:rPr>
                <w:rFonts w:ascii="Times New Roman"/>
                <w:sz w:val="16"/>
              </w:rPr>
            </w:pPr>
          </w:p>
        </w:tc>
      </w:tr>
      <w:tr w:rsidR="00FA4AA8" w14:paraId="08EA8E91" w14:textId="77777777">
        <w:trPr>
          <w:trHeight w:val="229"/>
        </w:trPr>
        <w:tc>
          <w:tcPr>
            <w:tcW w:w="6713" w:type="dxa"/>
          </w:tcPr>
          <w:p w14:paraId="3CB7A813" w14:textId="77777777" w:rsidR="00FA4AA8" w:rsidRDefault="0015611F">
            <w:pPr>
              <w:pStyle w:val="TableParagraph"/>
              <w:spacing w:before="3" w:line="206" w:lineRule="exact"/>
              <w:ind w:left="931" w:right="918"/>
              <w:jc w:val="center"/>
              <w:rPr>
                <w:sz w:val="18"/>
              </w:rPr>
            </w:pPr>
            <w:r>
              <w:rPr>
                <w:sz w:val="18"/>
              </w:rPr>
              <w:t>Western Growth Developments (Innovation Hub Parramatta)</w:t>
            </w:r>
          </w:p>
        </w:tc>
        <w:tc>
          <w:tcPr>
            <w:tcW w:w="1334" w:type="dxa"/>
          </w:tcPr>
          <w:p w14:paraId="6CB7AE4D" w14:textId="77777777" w:rsidR="00FA4AA8" w:rsidRDefault="0015611F">
            <w:pPr>
              <w:pStyle w:val="TableParagraph"/>
              <w:spacing w:before="3" w:line="206" w:lineRule="exact"/>
              <w:ind w:right="302"/>
              <w:jc w:val="right"/>
              <w:rPr>
                <w:sz w:val="18"/>
              </w:rPr>
            </w:pPr>
            <w:r>
              <w:rPr>
                <w:w w:val="99"/>
                <w:sz w:val="18"/>
              </w:rPr>
              <w:t>0</w:t>
            </w:r>
          </w:p>
        </w:tc>
        <w:tc>
          <w:tcPr>
            <w:tcW w:w="1325" w:type="dxa"/>
          </w:tcPr>
          <w:p w14:paraId="5DA6B229" w14:textId="77777777" w:rsidR="00FA4AA8" w:rsidRDefault="0015611F">
            <w:pPr>
              <w:pStyle w:val="TableParagraph"/>
              <w:spacing w:before="3" w:line="206" w:lineRule="exact"/>
              <w:ind w:right="219"/>
              <w:jc w:val="right"/>
              <w:rPr>
                <w:sz w:val="18"/>
              </w:rPr>
            </w:pPr>
            <w:r>
              <w:rPr>
                <w:w w:val="99"/>
                <w:sz w:val="18"/>
              </w:rPr>
              <w:t>0</w:t>
            </w:r>
          </w:p>
        </w:tc>
        <w:tc>
          <w:tcPr>
            <w:tcW w:w="1290" w:type="dxa"/>
          </w:tcPr>
          <w:p w14:paraId="5F0DC834" w14:textId="77777777" w:rsidR="00FA4AA8" w:rsidRDefault="0015611F">
            <w:pPr>
              <w:pStyle w:val="TableParagraph"/>
              <w:spacing w:before="3" w:line="206" w:lineRule="exact"/>
              <w:ind w:right="132"/>
              <w:jc w:val="right"/>
              <w:rPr>
                <w:i/>
                <w:sz w:val="18"/>
              </w:rPr>
            </w:pPr>
            <w:r>
              <w:rPr>
                <w:i/>
                <w:w w:val="99"/>
                <w:sz w:val="18"/>
              </w:rPr>
              <w:t>0</w:t>
            </w:r>
          </w:p>
        </w:tc>
        <w:tc>
          <w:tcPr>
            <w:tcW w:w="1308" w:type="dxa"/>
          </w:tcPr>
          <w:p w14:paraId="2EC64FA7" w14:textId="77777777" w:rsidR="00FA4AA8" w:rsidRDefault="00FA4AA8">
            <w:pPr>
              <w:pStyle w:val="TableParagraph"/>
              <w:rPr>
                <w:rFonts w:ascii="Times New Roman"/>
                <w:sz w:val="16"/>
              </w:rPr>
            </w:pPr>
          </w:p>
        </w:tc>
      </w:tr>
      <w:tr w:rsidR="00FA4AA8" w14:paraId="21C585C0" w14:textId="77777777">
        <w:trPr>
          <w:trHeight w:val="344"/>
        </w:trPr>
        <w:tc>
          <w:tcPr>
            <w:tcW w:w="6713" w:type="dxa"/>
          </w:tcPr>
          <w:p w14:paraId="296BFC70" w14:textId="77777777" w:rsidR="00FA4AA8" w:rsidRDefault="0015611F">
            <w:pPr>
              <w:pStyle w:val="TableParagraph"/>
              <w:spacing w:before="3"/>
              <w:ind w:left="946"/>
              <w:rPr>
                <w:sz w:val="18"/>
              </w:rPr>
            </w:pPr>
            <w:r>
              <w:rPr>
                <w:sz w:val="18"/>
              </w:rPr>
              <w:t>Adjustments on Consolidation</w:t>
            </w:r>
          </w:p>
        </w:tc>
        <w:tc>
          <w:tcPr>
            <w:tcW w:w="1334" w:type="dxa"/>
          </w:tcPr>
          <w:p w14:paraId="2EC00B29" w14:textId="77777777" w:rsidR="00FA4AA8" w:rsidRDefault="00FA4AA8">
            <w:pPr>
              <w:pStyle w:val="TableParagraph"/>
              <w:rPr>
                <w:rFonts w:ascii="Times New Roman"/>
                <w:sz w:val="16"/>
              </w:rPr>
            </w:pPr>
          </w:p>
        </w:tc>
        <w:tc>
          <w:tcPr>
            <w:tcW w:w="1325" w:type="dxa"/>
          </w:tcPr>
          <w:p w14:paraId="1878FFC2" w14:textId="77777777" w:rsidR="00FA4AA8" w:rsidRDefault="0015611F">
            <w:pPr>
              <w:pStyle w:val="TableParagraph"/>
              <w:spacing w:before="3"/>
              <w:ind w:right="219"/>
              <w:jc w:val="right"/>
              <w:rPr>
                <w:sz w:val="18"/>
              </w:rPr>
            </w:pPr>
            <w:r>
              <w:rPr>
                <w:w w:val="95"/>
                <w:sz w:val="18"/>
              </w:rPr>
              <w:t>2,679</w:t>
            </w:r>
          </w:p>
        </w:tc>
        <w:tc>
          <w:tcPr>
            <w:tcW w:w="1290" w:type="dxa"/>
          </w:tcPr>
          <w:p w14:paraId="74F88379" w14:textId="77777777" w:rsidR="00FA4AA8" w:rsidRDefault="0015611F">
            <w:pPr>
              <w:pStyle w:val="TableParagraph"/>
              <w:spacing w:before="3"/>
              <w:ind w:right="132"/>
              <w:jc w:val="right"/>
              <w:rPr>
                <w:i/>
                <w:sz w:val="18"/>
              </w:rPr>
            </w:pPr>
            <w:r>
              <w:rPr>
                <w:i/>
                <w:w w:val="95"/>
                <w:sz w:val="18"/>
              </w:rPr>
              <w:t>2,679</w:t>
            </w:r>
          </w:p>
        </w:tc>
        <w:tc>
          <w:tcPr>
            <w:tcW w:w="1308" w:type="dxa"/>
          </w:tcPr>
          <w:p w14:paraId="7CD8BC87" w14:textId="77777777" w:rsidR="00FA4AA8" w:rsidRDefault="00FA4AA8">
            <w:pPr>
              <w:pStyle w:val="TableParagraph"/>
              <w:rPr>
                <w:rFonts w:ascii="Times New Roman"/>
                <w:sz w:val="16"/>
              </w:rPr>
            </w:pPr>
          </w:p>
        </w:tc>
      </w:tr>
      <w:tr w:rsidR="00FA4AA8" w14:paraId="1882AD38" w14:textId="77777777">
        <w:trPr>
          <w:trHeight w:val="458"/>
        </w:trPr>
        <w:tc>
          <w:tcPr>
            <w:tcW w:w="6713" w:type="dxa"/>
          </w:tcPr>
          <w:p w14:paraId="31A8D039" w14:textId="77777777" w:rsidR="00FA4AA8" w:rsidRDefault="0015611F">
            <w:pPr>
              <w:pStyle w:val="TableParagraph"/>
              <w:spacing w:before="118"/>
              <w:ind w:right="377"/>
              <w:jc w:val="right"/>
              <w:rPr>
                <w:b/>
                <w:sz w:val="18"/>
              </w:rPr>
            </w:pPr>
            <w:r>
              <w:rPr>
                <w:b/>
                <w:sz w:val="18"/>
              </w:rPr>
              <w:t>Sub Total</w:t>
            </w:r>
          </w:p>
        </w:tc>
        <w:tc>
          <w:tcPr>
            <w:tcW w:w="1334" w:type="dxa"/>
          </w:tcPr>
          <w:p w14:paraId="3448DA66" w14:textId="77777777" w:rsidR="00FA4AA8" w:rsidRDefault="0015611F">
            <w:pPr>
              <w:pStyle w:val="TableParagraph"/>
              <w:spacing w:before="118"/>
              <w:ind w:right="302"/>
              <w:jc w:val="right"/>
              <w:rPr>
                <w:b/>
                <w:sz w:val="18"/>
              </w:rPr>
            </w:pPr>
            <w:r>
              <w:rPr>
                <w:b/>
                <w:w w:val="95"/>
                <w:sz w:val="18"/>
              </w:rPr>
              <w:t>80,585</w:t>
            </w:r>
          </w:p>
        </w:tc>
        <w:tc>
          <w:tcPr>
            <w:tcW w:w="1325" w:type="dxa"/>
          </w:tcPr>
          <w:p w14:paraId="69EF3DAA" w14:textId="77777777" w:rsidR="00FA4AA8" w:rsidRDefault="0015611F">
            <w:pPr>
              <w:pStyle w:val="TableParagraph"/>
              <w:spacing w:before="118"/>
              <w:ind w:right="219"/>
              <w:jc w:val="right"/>
              <w:rPr>
                <w:b/>
                <w:sz w:val="18"/>
              </w:rPr>
            </w:pPr>
            <w:r>
              <w:rPr>
                <w:b/>
                <w:w w:val="95"/>
                <w:sz w:val="18"/>
              </w:rPr>
              <w:t>76,842</w:t>
            </w:r>
          </w:p>
        </w:tc>
        <w:tc>
          <w:tcPr>
            <w:tcW w:w="1290" w:type="dxa"/>
          </w:tcPr>
          <w:p w14:paraId="1A1D8EF5" w14:textId="77777777" w:rsidR="00FA4AA8" w:rsidRDefault="0015611F">
            <w:pPr>
              <w:pStyle w:val="TableParagraph"/>
              <w:spacing w:before="118"/>
              <w:ind w:right="130"/>
              <w:jc w:val="right"/>
              <w:rPr>
                <w:b/>
                <w:i/>
                <w:sz w:val="18"/>
              </w:rPr>
            </w:pPr>
            <w:r>
              <w:rPr>
                <w:b/>
                <w:i/>
                <w:w w:val="95"/>
                <w:sz w:val="18"/>
              </w:rPr>
              <w:t>(3,743)</w:t>
            </w:r>
          </w:p>
        </w:tc>
        <w:tc>
          <w:tcPr>
            <w:tcW w:w="1308" w:type="dxa"/>
          </w:tcPr>
          <w:p w14:paraId="7B020B91" w14:textId="77777777" w:rsidR="00FA4AA8" w:rsidRDefault="0015611F">
            <w:pPr>
              <w:pStyle w:val="TableParagraph"/>
              <w:spacing w:before="137"/>
              <w:ind w:right="202"/>
              <w:jc w:val="right"/>
              <w:rPr>
                <w:b/>
                <w:sz w:val="16"/>
              </w:rPr>
            </w:pPr>
            <w:r>
              <w:rPr>
                <w:b/>
                <w:sz w:val="16"/>
              </w:rPr>
              <w:t>(4.6%)</w:t>
            </w:r>
          </w:p>
        </w:tc>
      </w:tr>
      <w:tr w:rsidR="00FA4AA8" w14:paraId="759CAAED" w14:textId="77777777">
        <w:trPr>
          <w:trHeight w:val="458"/>
        </w:trPr>
        <w:tc>
          <w:tcPr>
            <w:tcW w:w="6713" w:type="dxa"/>
          </w:tcPr>
          <w:p w14:paraId="683BF46A" w14:textId="77777777" w:rsidR="00FA4AA8" w:rsidRDefault="0015611F">
            <w:pPr>
              <w:pStyle w:val="TableParagraph"/>
              <w:spacing w:before="118"/>
              <w:ind w:right="375"/>
              <w:jc w:val="right"/>
              <w:rPr>
                <w:b/>
                <w:sz w:val="18"/>
              </w:rPr>
            </w:pPr>
            <w:r>
              <w:rPr>
                <w:b/>
                <w:sz w:val="18"/>
              </w:rPr>
              <w:t>TOTAL SELF-GENERATED INCOME</w:t>
            </w:r>
          </w:p>
        </w:tc>
        <w:tc>
          <w:tcPr>
            <w:tcW w:w="1334" w:type="dxa"/>
          </w:tcPr>
          <w:p w14:paraId="5F1C73C0" w14:textId="77777777" w:rsidR="00FA4AA8" w:rsidRDefault="0015611F">
            <w:pPr>
              <w:pStyle w:val="TableParagraph"/>
              <w:spacing w:before="118"/>
              <w:ind w:right="301"/>
              <w:jc w:val="right"/>
              <w:rPr>
                <w:b/>
                <w:sz w:val="18"/>
              </w:rPr>
            </w:pPr>
            <w:r>
              <w:rPr>
                <w:b/>
                <w:w w:val="95"/>
                <w:sz w:val="18"/>
              </w:rPr>
              <w:t>393,767</w:t>
            </w:r>
          </w:p>
        </w:tc>
        <w:tc>
          <w:tcPr>
            <w:tcW w:w="1325" w:type="dxa"/>
          </w:tcPr>
          <w:p w14:paraId="61918682" w14:textId="77777777" w:rsidR="00FA4AA8" w:rsidRDefault="0015611F">
            <w:pPr>
              <w:pStyle w:val="TableParagraph"/>
              <w:spacing w:before="118"/>
              <w:ind w:right="218"/>
              <w:jc w:val="right"/>
              <w:rPr>
                <w:b/>
                <w:sz w:val="18"/>
              </w:rPr>
            </w:pPr>
            <w:r>
              <w:rPr>
                <w:b/>
                <w:w w:val="95"/>
                <w:sz w:val="18"/>
              </w:rPr>
              <w:t>500,679</w:t>
            </w:r>
          </w:p>
        </w:tc>
        <w:tc>
          <w:tcPr>
            <w:tcW w:w="1290" w:type="dxa"/>
          </w:tcPr>
          <w:p w14:paraId="26E20970" w14:textId="77777777" w:rsidR="00FA4AA8" w:rsidRDefault="0015611F">
            <w:pPr>
              <w:pStyle w:val="TableParagraph"/>
              <w:spacing w:before="118"/>
              <w:ind w:right="132"/>
              <w:jc w:val="right"/>
              <w:rPr>
                <w:b/>
                <w:i/>
                <w:sz w:val="18"/>
              </w:rPr>
            </w:pPr>
            <w:r>
              <w:rPr>
                <w:b/>
                <w:i/>
                <w:w w:val="95"/>
                <w:sz w:val="18"/>
              </w:rPr>
              <w:t>106,912</w:t>
            </w:r>
          </w:p>
        </w:tc>
        <w:tc>
          <w:tcPr>
            <w:tcW w:w="1308" w:type="dxa"/>
          </w:tcPr>
          <w:p w14:paraId="4890C9DB" w14:textId="77777777" w:rsidR="00FA4AA8" w:rsidRDefault="0015611F">
            <w:pPr>
              <w:pStyle w:val="TableParagraph"/>
              <w:spacing w:before="137"/>
              <w:ind w:right="194"/>
              <w:jc w:val="right"/>
              <w:rPr>
                <w:b/>
                <w:sz w:val="16"/>
              </w:rPr>
            </w:pPr>
            <w:r>
              <w:rPr>
                <w:b/>
                <w:sz w:val="16"/>
              </w:rPr>
              <w:t>27.2%</w:t>
            </w:r>
          </w:p>
        </w:tc>
      </w:tr>
      <w:tr w:rsidR="00FA4AA8" w14:paraId="52272E4D" w14:textId="77777777">
        <w:trPr>
          <w:trHeight w:val="400"/>
        </w:trPr>
        <w:tc>
          <w:tcPr>
            <w:tcW w:w="6713" w:type="dxa"/>
          </w:tcPr>
          <w:p w14:paraId="1656342C" w14:textId="77777777" w:rsidR="00FA4AA8" w:rsidRDefault="0015611F">
            <w:pPr>
              <w:pStyle w:val="TableParagraph"/>
              <w:spacing w:before="118"/>
              <w:ind w:right="375"/>
              <w:jc w:val="right"/>
              <w:rPr>
                <w:b/>
                <w:sz w:val="18"/>
              </w:rPr>
            </w:pPr>
            <w:r>
              <w:rPr>
                <w:b/>
                <w:sz w:val="18"/>
              </w:rPr>
              <w:t>TOTAL INCOME</w:t>
            </w:r>
          </w:p>
        </w:tc>
        <w:tc>
          <w:tcPr>
            <w:tcW w:w="1334" w:type="dxa"/>
          </w:tcPr>
          <w:p w14:paraId="041C2905" w14:textId="77777777" w:rsidR="00FA4AA8" w:rsidRDefault="0015611F">
            <w:pPr>
              <w:pStyle w:val="TableParagraph"/>
              <w:spacing w:before="118"/>
              <w:ind w:right="301"/>
              <w:jc w:val="right"/>
              <w:rPr>
                <w:b/>
                <w:sz w:val="18"/>
              </w:rPr>
            </w:pPr>
            <w:r>
              <w:rPr>
                <w:b/>
                <w:w w:val="95"/>
                <w:sz w:val="18"/>
              </w:rPr>
              <w:t>941,688</w:t>
            </w:r>
          </w:p>
        </w:tc>
        <w:tc>
          <w:tcPr>
            <w:tcW w:w="1325" w:type="dxa"/>
          </w:tcPr>
          <w:p w14:paraId="475E5EA9" w14:textId="77777777" w:rsidR="00FA4AA8" w:rsidRDefault="0015611F">
            <w:pPr>
              <w:pStyle w:val="TableParagraph"/>
              <w:spacing w:before="118"/>
              <w:ind w:right="218"/>
              <w:jc w:val="right"/>
              <w:rPr>
                <w:b/>
                <w:sz w:val="18"/>
              </w:rPr>
            </w:pPr>
            <w:r>
              <w:rPr>
                <w:b/>
                <w:w w:val="95"/>
                <w:sz w:val="18"/>
              </w:rPr>
              <w:t>1,050,491</w:t>
            </w:r>
          </w:p>
        </w:tc>
        <w:tc>
          <w:tcPr>
            <w:tcW w:w="1290" w:type="dxa"/>
          </w:tcPr>
          <w:p w14:paraId="0A625BEE" w14:textId="77777777" w:rsidR="00FA4AA8" w:rsidRDefault="0015611F">
            <w:pPr>
              <w:pStyle w:val="TableParagraph"/>
              <w:spacing w:before="118"/>
              <w:ind w:right="131"/>
              <w:jc w:val="right"/>
              <w:rPr>
                <w:b/>
                <w:i/>
                <w:sz w:val="18"/>
              </w:rPr>
            </w:pPr>
            <w:r>
              <w:rPr>
                <w:b/>
                <w:i/>
                <w:w w:val="95"/>
                <w:sz w:val="18"/>
              </w:rPr>
              <w:t>108,804</w:t>
            </w:r>
          </w:p>
        </w:tc>
        <w:tc>
          <w:tcPr>
            <w:tcW w:w="1308" w:type="dxa"/>
          </w:tcPr>
          <w:p w14:paraId="7A6D6777" w14:textId="77777777" w:rsidR="00FA4AA8" w:rsidRDefault="0015611F">
            <w:pPr>
              <w:pStyle w:val="TableParagraph"/>
              <w:spacing w:before="136"/>
              <w:ind w:right="194"/>
              <w:jc w:val="right"/>
              <w:rPr>
                <w:b/>
                <w:sz w:val="16"/>
              </w:rPr>
            </w:pPr>
            <w:r>
              <w:rPr>
                <w:b/>
                <w:sz w:val="16"/>
              </w:rPr>
              <w:t>11.6%</w:t>
            </w:r>
          </w:p>
        </w:tc>
      </w:tr>
      <w:tr w:rsidR="00FA4AA8" w14:paraId="7276209C" w14:textId="77777777">
        <w:trPr>
          <w:trHeight w:val="286"/>
        </w:trPr>
        <w:tc>
          <w:tcPr>
            <w:tcW w:w="6713" w:type="dxa"/>
          </w:tcPr>
          <w:p w14:paraId="4428135E" w14:textId="77777777" w:rsidR="00FA4AA8" w:rsidRDefault="0015611F">
            <w:pPr>
              <w:pStyle w:val="TableParagraph"/>
              <w:spacing w:before="60" w:line="206" w:lineRule="exact"/>
              <w:ind w:left="329"/>
              <w:rPr>
                <w:b/>
                <w:sz w:val="18"/>
              </w:rPr>
            </w:pPr>
            <w:r>
              <w:rPr>
                <w:b/>
                <w:sz w:val="18"/>
              </w:rPr>
              <w:t>EXPENSES FROM CONTINUING OPERATIONS</w:t>
            </w:r>
          </w:p>
        </w:tc>
        <w:tc>
          <w:tcPr>
            <w:tcW w:w="1334" w:type="dxa"/>
          </w:tcPr>
          <w:p w14:paraId="507BDD5B" w14:textId="77777777" w:rsidR="00FA4AA8" w:rsidRDefault="00FA4AA8">
            <w:pPr>
              <w:pStyle w:val="TableParagraph"/>
              <w:rPr>
                <w:rFonts w:ascii="Times New Roman"/>
                <w:sz w:val="16"/>
              </w:rPr>
            </w:pPr>
          </w:p>
        </w:tc>
        <w:tc>
          <w:tcPr>
            <w:tcW w:w="1325" w:type="dxa"/>
          </w:tcPr>
          <w:p w14:paraId="3AE7CE97" w14:textId="77777777" w:rsidR="00FA4AA8" w:rsidRDefault="00FA4AA8">
            <w:pPr>
              <w:pStyle w:val="TableParagraph"/>
              <w:rPr>
                <w:rFonts w:ascii="Times New Roman"/>
                <w:sz w:val="16"/>
              </w:rPr>
            </w:pPr>
          </w:p>
        </w:tc>
        <w:tc>
          <w:tcPr>
            <w:tcW w:w="1290" w:type="dxa"/>
          </w:tcPr>
          <w:p w14:paraId="69ED4B39" w14:textId="77777777" w:rsidR="00FA4AA8" w:rsidRDefault="00FA4AA8">
            <w:pPr>
              <w:pStyle w:val="TableParagraph"/>
              <w:rPr>
                <w:rFonts w:ascii="Times New Roman"/>
                <w:sz w:val="16"/>
              </w:rPr>
            </w:pPr>
          </w:p>
        </w:tc>
        <w:tc>
          <w:tcPr>
            <w:tcW w:w="1308" w:type="dxa"/>
          </w:tcPr>
          <w:p w14:paraId="4F6BB7C7" w14:textId="77777777" w:rsidR="00FA4AA8" w:rsidRDefault="00FA4AA8">
            <w:pPr>
              <w:pStyle w:val="TableParagraph"/>
              <w:rPr>
                <w:rFonts w:ascii="Times New Roman"/>
                <w:sz w:val="16"/>
              </w:rPr>
            </w:pPr>
          </w:p>
        </w:tc>
      </w:tr>
      <w:tr w:rsidR="00FA4AA8" w14:paraId="7866047E" w14:textId="77777777">
        <w:trPr>
          <w:trHeight w:val="229"/>
        </w:trPr>
        <w:tc>
          <w:tcPr>
            <w:tcW w:w="6713" w:type="dxa"/>
          </w:tcPr>
          <w:p w14:paraId="38CE0047" w14:textId="77777777" w:rsidR="00FA4AA8" w:rsidRDefault="0015611F">
            <w:pPr>
              <w:pStyle w:val="TableParagraph"/>
              <w:spacing w:before="3" w:line="206" w:lineRule="exact"/>
              <w:ind w:left="946"/>
              <w:rPr>
                <w:sz w:val="18"/>
              </w:rPr>
            </w:pPr>
            <w:r>
              <w:rPr>
                <w:sz w:val="18"/>
              </w:rPr>
              <w:t>Schools</w:t>
            </w:r>
          </w:p>
        </w:tc>
        <w:tc>
          <w:tcPr>
            <w:tcW w:w="1334" w:type="dxa"/>
          </w:tcPr>
          <w:p w14:paraId="51ED6428" w14:textId="77777777" w:rsidR="00FA4AA8" w:rsidRDefault="0015611F">
            <w:pPr>
              <w:pStyle w:val="TableParagraph"/>
              <w:spacing w:before="3" w:line="206" w:lineRule="exact"/>
              <w:ind w:right="301"/>
              <w:jc w:val="right"/>
              <w:rPr>
                <w:sz w:val="18"/>
              </w:rPr>
            </w:pPr>
            <w:r>
              <w:rPr>
                <w:w w:val="95"/>
                <w:sz w:val="18"/>
              </w:rPr>
              <w:t>228,766</w:t>
            </w:r>
          </w:p>
        </w:tc>
        <w:tc>
          <w:tcPr>
            <w:tcW w:w="1325" w:type="dxa"/>
          </w:tcPr>
          <w:p w14:paraId="1B282D7F" w14:textId="77777777" w:rsidR="00FA4AA8" w:rsidRDefault="0015611F">
            <w:pPr>
              <w:pStyle w:val="TableParagraph"/>
              <w:spacing w:before="3" w:line="206" w:lineRule="exact"/>
              <w:ind w:right="218"/>
              <w:jc w:val="right"/>
              <w:rPr>
                <w:sz w:val="18"/>
              </w:rPr>
            </w:pPr>
            <w:r>
              <w:rPr>
                <w:w w:val="95"/>
                <w:sz w:val="18"/>
              </w:rPr>
              <w:t>215,153</w:t>
            </w:r>
          </w:p>
        </w:tc>
        <w:tc>
          <w:tcPr>
            <w:tcW w:w="1290" w:type="dxa"/>
          </w:tcPr>
          <w:p w14:paraId="6F66283E" w14:textId="77777777" w:rsidR="00FA4AA8" w:rsidRDefault="0015611F">
            <w:pPr>
              <w:pStyle w:val="TableParagraph"/>
              <w:spacing w:before="3" w:line="206" w:lineRule="exact"/>
              <w:ind w:right="132"/>
              <w:jc w:val="right"/>
              <w:rPr>
                <w:i/>
                <w:sz w:val="18"/>
              </w:rPr>
            </w:pPr>
            <w:r>
              <w:rPr>
                <w:i/>
                <w:w w:val="95"/>
                <w:sz w:val="18"/>
              </w:rPr>
              <w:t>13,613</w:t>
            </w:r>
          </w:p>
        </w:tc>
        <w:tc>
          <w:tcPr>
            <w:tcW w:w="1308" w:type="dxa"/>
          </w:tcPr>
          <w:p w14:paraId="3D22BAD3" w14:textId="77777777" w:rsidR="00FA4AA8" w:rsidRDefault="0015611F">
            <w:pPr>
              <w:pStyle w:val="TableParagraph"/>
              <w:spacing w:before="22"/>
              <w:ind w:right="202"/>
              <w:jc w:val="right"/>
              <w:rPr>
                <w:sz w:val="16"/>
              </w:rPr>
            </w:pPr>
            <w:r>
              <w:rPr>
                <w:sz w:val="16"/>
              </w:rPr>
              <w:t>6.0%</w:t>
            </w:r>
          </w:p>
        </w:tc>
      </w:tr>
      <w:tr w:rsidR="00FA4AA8" w14:paraId="4BDE20E0" w14:textId="77777777">
        <w:trPr>
          <w:trHeight w:val="229"/>
        </w:trPr>
        <w:tc>
          <w:tcPr>
            <w:tcW w:w="6713" w:type="dxa"/>
          </w:tcPr>
          <w:p w14:paraId="7CC75FCA" w14:textId="77777777" w:rsidR="00FA4AA8" w:rsidRDefault="0015611F">
            <w:pPr>
              <w:pStyle w:val="TableParagraph"/>
              <w:spacing w:before="3" w:line="206" w:lineRule="exact"/>
              <w:ind w:left="946"/>
              <w:rPr>
                <w:sz w:val="18"/>
              </w:rPr>
            </w:pPr>
            <w:r>
              <w:rPr>
                <w:sz w:val="18"/>
              </w:rPr>
              <w:t>Research</w:t>
            </w:r>
          </w:p>
        </w:tc>
        <w:tc>
          <w:tcPr>
            <w:tcW w:w="1334" w:type="dxa"/>
          </w:tcPr>
          <w:p w14:paraId="07B2B8B4" w14:textId="77777777" w:rsidR="00FA4AA8" w:rsidRDefault="0015611F">
            <w:pPr>
              <w:pStyle w:val="TableParagraph"/>
              <w:spacing w:before="3" w:line="206" w:lineRule="exact"/>
              <w:ind w:right="302"/>
              <w:jc w:val="right"/>
              <w:rPr>
                <w:sz w:val="18"/>
              </w:rPr>
            </w:pPr>
            <w:r>
              <w:rPr>
                <w:w w:val="95"/>
                <w:sz w:val="18"/>
              </w:rPr>
              <w:t>85,527</w:t>
            </w:r>
          </w:p>
        </w:tc>
        <w:tc>
          <w:tcPr>
            <w:tcW w:w="1325" w:type="dxa"/>
          </w:tcPr>
          <w:p w14:paraId="6E648FA7" w14:textId="77777777" w:rsidR="00FA4AA8" w:rsidRDefault="0015611F">
            <w:pPr>
              <w:pStyle w:val="TableParagraph"/>
              <w:spacing w:before="3" w:line="206" w:lineRule="exact"/>
              <w:ind w:right="218"/>
              <w:jc w:val="right"/>
              <w:rPr>
                <w:sz w:val="18"/>
              </w:rPr>
            </w:pPr>
            <w:r>
              <w:rPr>
                <w:w w:val="95"/>
                <w:sz w:val="18"/>
              </w:rPr>
              <w:t>86,345</w:t>
            </w:r>
          </w:p>
        </w:tc>
        <w:tc>
          <w:tcPr>
            <w:tcW w:w="1290" w:type="dxa"/>
          </w:tcPr>
          <w:p w14:paraId="22E7F7B3" w14:textId="77777777" w:rsidR="00FA4AA8" w:rsidRDefault="0015611F">
            <w:pPr>
              <w:pStyle w:val="TableParagraph"/>
              <w:spacing w:before="3" w:line="206" w:lineRule="exact"/>
              <w:ind w:right="132"/>
              <w:jc w:val="right"/>
              <w:rPr>
                <w:i/>
                <w:sz w:val="18"/>
              </w:rPr>
            </w:pPr>
            <w:r>
              <w:rPr>
                <w:i/>
                <w:w w:val="95"/>
                <w:sz w:val="18"/>
              </w:rPr>
              <w:t>(818)</w:t>
            </w:r>
          </w:p>
        </w:tc>
        <w:tc>
          <w:tcPr>
            <w:tcW w:w="1308" w:type="dxa"/>
          </w:tcPr>
          <w:p w14:paraId="38165596" w14:textId="77777777" w:rsidR="00FA4AA8" w:rsidRDefault="0015611F">
            <w:pPr>
              <w:pStyle w:val="TableParagraph"/>
              <w:spacing w:before="22"/>
              <w:ind w:right="202"/>
              <w:jc w:val="right"/>
              <w:rPr>
                <w:sz w:val="16"/>
              </w:rPr>
            </w:pPr>
            <w:r>
              <w:rPr>
                <w:sz w:val="16"/>
              </w:rPr>
              <w:t>(1.0%)</w:t>
            </w:r>
          </w:p>
        </w:tc>
      </w:tr>
      <w:tr w:rsidR="00FA4AA8" w14:paraId="4FE36361" w14:textId="77777777">
        <w:trPr>
          <w:trHeight w:val="229"/>
        </w:trPr>
        <w:tc>
          <w:tcPr>
            <w:tcW w:w="6713" w:type="dxa"/>
          </w:tcPr>
          <w:p w14:paraId="23A012DC" w14:textId="77777777" w:rsidR="00FA4AA8" w:rsidRDefault="0015611F">
            <w:pPr>
              <w:pStyle w:val="TableParagraph"/>
              <w:spacing w:before="3" w:line="206" w:lineRule="exact"/>
              <w:ind w:left="946"/>
              <w:rPr>
                <w:sz w:val="18"/>
              </w:rPr>
            </w:pPr>
            <w:r>
              <w:rPr>
                <w:sz w:val="18"/>
              </w:rPr>
              <w:t>Divisions</w:t>
            </w:r>
          </w:p>
        </w:tc>
        <w:tc>
          <w:tcPr>
            <w:tcW w:w="1334" w:type="dxa"/>
          </w:tcPr>
          <w:p w14:paraId="4F004176" w14:textId="77777777" w:rsidR="00FA4AA8" w:rsidRDefault="0015611F">
            <w:pPr>
              <w:pStyle w:val="TableParagraph"/>
              <w:spacing w:before="3" w:line="206" w:lineRule="exact"/>
              <w:ind w:right="301"/>
              <w:jc w:val="right"/>
              <w:rPr>
                <w:sz w:val="18"/>
              </w:rPr>
            </w:pPr>
            <w:r>
              <w:rPr>
                <w:w w:val="95"/>
                <w:sz w:val="18"/>
              </w:rPr>
              <w:t>170,678</w:t>
            </w:r>
          </w:p>
        </w:tc>
        <w:tc>
          <w:tcPr>
            <w:tcW w:w="1325" w:type="dxa"/>
          </w:tcPr>
          <w:p w14:paraId="57DC26E7" w14:textId="77777777" w:rsidR="00FA4AA8" w:rsidRDefault="0015611F">
            <w:pPr>
              <w:pStyle w:val="TableParagraph"/>
              <w:spacing w:before="3" w:line="206" w:lineRule="exact"/>
              <w:ind w:right="218"/>
              <w:jc w:val="right"/>
              <w:rPr>
                <w:sz w:val="18"/>
              </w:rPr>
            </w:pPr>
            <w:r>
              <w:rPr>
                <w:w w:val="95"/>
                <w:sz w:val="18"/>
              </w:rPr>
              <w:t>195,407</w:t>
            </w:r>
          </w:p>
        </w:tc>
        <w:tc>
          <w:tcPr>
            <w:tcW w:w="1290" w:type="dxa"/>
          </w:tcPr>
          <w:p w14:paraId="33CD605C" w14:textId="77777777" w:rsidR="00FA4AA8" w:rsidRDefault="0015611F">
            <w:pPr>
              <w:pStyle w:val="TableParagraph"/>
              <w:spacing w:before="3" w:line="206" w:lineRule="exact"/>
              <w:ind w:right="132"/>
              <w:jc w:val="right"/>
              <w:rPr>
                <w:i/>
                <w:sz w:val="18"/>
              </w:rPr>
            </w:pPr>
            <w:r>
              <w:rPr>
                <w:i/>
                <w:w w:val="95"/>
                <w:sz w:val="18"/>
              </w:rPr>
              <w:t>(24,730)</w:t>
            </w:r>
          </w:p>
        </w:tc>
        <w:tc>
          <w:tcPr>
            <w:tcW w:w="1308" w:type="dxa"/>
          </w:tcPr>
          <w:p w14:paraId="68F6673C" w14:textId="77777777" w:rsidR="00FA4AA8" w:rsidRDefault="0015611F">
            <w:pPr>
              <w:pStyle w:val="TableParagraph"/>
              <w:spacing w:before="22"/>
              <w:ind w:right="202"/>
              <w:jc w:val="right"/>
              <w:rPr>
                <w:sz w:val="16"/>
              </w:rPr>
            </w:pPr>
            <w:r>
              <w:rPr>
                <w:sz w:val="16"/>
              </w:rPr>
              <w:t>(14.5%)</w:t>
            </w:r>
          </w:p>
        </w:tc>
      </w:tr>
      <w:tr w:rsidR="00FA4AA8" w14:paraId="2A8A678E" w14:textId="77777777">
        <w:trPr>
          <w:trHeight w:val="229"/>
        </w:trPr>
        <w:tc>
          <w:tcPr>
            <w:tcW w:w="6713" w:type="dxa"/>
          </w:tcPr>
          <w:p w14:paraId="6168605F" w14:textId="77777777" w:rsidR="00FA4AA8" w:rsidRDefault="0015611F">
            <w:pPr>
              <w:pStyle w:val="TableParagraph"/>
              <w:spacing w:before="3" w:line="206" w:lineRule="exact"/>
              <w:ind w:left="946"/>
              <w:rPr>
                <w:sz w:val="18"/>
              </w:rPr>
            </w:pPr>
            <w:r>
              <w:rPr>
                <w:sz w:val="18"/>
              </w:rPr>
              <w:t>Entities</w:t>
            </w:r>
          </w:p>
        </w:tc>
        <w:tc>
          <w:tcPr>
            <w:tcW w:w="1334" w:type="dxa"/>
          </w:tcPr>
          <w:p w14:paraId="7C45F812" w14:textId="77777777" w:rsidR="00FA4AA8" w:rsidRDefault="0015611F">
            <w:pPr>
              <w:pStyle w:val="TableParagraph"/>
              <w:spacing w:before="3" w:line="206" w:lineRule="exact"/>
              <w:ind w:right="301"/>
              <w:jc w:val="right"/>
              <w:rPr>
                <w:sz w:val="18"/>
              </w:rPr>
            </w:pPr>
            <w:r>
              <w:rPr>
                <w:w w:val="95"/>
                <w:sz w:val="18"/>
              </w:rPr>
              <w:t>80,697</w:t>
            </w:r>
          </w:p>
        </w:tc>
        <w:tc>
          <w:tcPr>
            <w:tcW w:w="1325" w:type="dxa"/>
          </w:tcPr>
          <w:p w14:paraId="234AC965" w14:textId="77777777" w:rsidR="00FA4AA8" w:rsidRDefault="0015611F">
            <w:pPr>
              <w:pStyle w:val="TableParagraph"/>
              <w:spacing w:before="3" w:line="206" w:lineRule="exact"/>
              <w:ind w:right="218"/>
              <w:jc w:val="right"/>
              <w:rPr>
                <w:sz w:val="18"/>
              </w:rPr>
            </w:pPr>
            <w:r>
              <w:rPr>
                <w:w w:val="95"/>
                <w:sz w:val="18"/>
              </w:rPr>
              <w:t>75,901</w:t>
            </w:r>
          </w:p>
        </w:tc>
        <w:tc>
          <w:tcPr>
            <w:tcW w:w="1290" w:type="dxa"/>
          </w:tcPr>
          <w:p w14:paraId="071CEF1A" w14:textId="77777777" w:rsidR="00FA4AA8" w:rsidRDefault="0015611F">
            <w:pPr>
              <w:pStyle w:val="TableParagraph"/>
              <w:spacing w:before="3" w:line="206" w:lineRule="exact"/>
              <w:ind w:right="131"/>
              <w:jc w:val="right"/>
              <w:rPr>
                <w:i/>
                <w:sz w:val="18"/>
              </w:rPr>
            </w:pPr>
            <w:r>
              <w:rPr>
                <w:i/>
                <w:w w:val="95"/>
                <w:sz w:val="18"/>
              </w:rPr>
              <w:t>4,796</w:t>
            </w:r>
          </w:p>
        </w:tc>
        <w:tc>
          <w:tcPr>
            <w:tcW w:w="1308" w:type="dxa"/>
          </w:tcPr>
          <w:p w14:paraId="7C0D6FE4" w14:textId="77777777" w:rsidR="00FA4AA8" w:rsidRDefault="0015611F">
            <w:pPr>
              <w:pStyle w:val="TableParagraph"/>
              <w:spacing w:before="22"/>
              <w:ind w:right="202"/>
              <w:jc w:val="right"/>
              <w:rPr>
                <w:sz w:val="16"/>
              </w:rPr>
            </w:pPr>
            <w:r>
              <w:rPr>
                <w:sz w:val="16"/>
              </w:rPr>
              <w:t>5.9%</w:t>
            </w:r>
          </w:p>
        </w:tc>
      </w:tr>
      <w:tr w:rsidR="00FA4AA8" w14:paraId="2E43557D" w14:textId="77777777">
        <w:trPr>
          <w:trHeight w:val="229"/>
        </w:trPr>
        <w:tc>
          <w:tcPr>
            <w:tcW w:w="6713" w:type="dxa"/>
          </w:tcPr>
          <w:p w14:paraId="1AB37174" w14:textId="77777777" w:rsidR="00FA4AA8" w:rsidRDefault="0015611F">
            <w:pPr>
              <w:pStyle w:val="TableParagraph"/>
              <w:spacing w:before="3" w:line="206" w:lineRule="exact"/>
              <w:ind w:left="946"/>
              <w:rPr>
                <w:sz w:val="18"/>
              </w:rPr>
            </w:pPr>
            <w:r>
              <w:rPr>
                <w:sz w:val="18"/>
              </w:rPr>
              <w:t>Consulting &amp; Innovation</w:t>
            </w:r>
          </w:p>
        </w:tc>
        <w:tc>
          <w:tcPr>
            <w:tcW w:w="1334" w:type="dxa"/>
          </w:tcPr>
          <w:p w14:paraId="711431D3" w14:textId="77777777" w:rsidR="00FA4AA8" w:rsidRDefault="0015611F">
            <w:pPr>
              <w:pStyle w:val="TableParagraph"/>
              <w:spacing w:before="3" w:line="206" w:lineRule="exact"/>
              <w:ind w:right="302"/>
              <w:jc w:val="right"/>
              <w:rPr>
                <w:sz w:val="18"/>
              </w:rPr>
            </w:pPr>
            <w:r>
              <w:rPr>
                <w:w w:val="95"/>
                <w:sz w:val="18"/>
              </w:rPr>
              <w:t>2,307</w:t>
            </w:r>
          </w:p>
        </w:tc>
        <w:tc>
          <w:tcPr>
            <w:tcW w:w="1325" w:type="dxa"/>
          </w:tcPr>
          <w:p w14:paraId="2EC85ED2" w14:textId="77777777" w:rsidR="00FA4AA8" w:rsidRDefault="0015611F">
            <w:pPr>
              <w:pStyle w:val="TableParagraph"/>
              <w:spacing w:before="3" w:line="206" w:lineRule="exact"/>
              <w:ind w:right="218"/>
              <w:jc w:val="right"/>
              <w:rPr>
                <w:sz w:val="18"/>
              </w:rPr>
            </w:pPr>
            <w:r>
              <w:rPr>
                <w:w w:val="95"/>
                <w:sz w:val="18"/>
              </w:rPr>
              <w:t>2,152</w:t>
            </w:r>
          </w:p>
        </w:tc>
        <w:tc>
          <w:tcPr>
            <w:tcW w:w="1290" w:type="dxa"/>
          </w:tcPr>
          <w:p w14:paraId="57EA58CF" w14:textId="77777777" w:rsidR="00FA4AA8" w:rsidRDefault="0015611F">
            <w:pPr>
              <w:pStyle w:val="TableParagraph"/>
              <w:spacing w:before="3" w:line="206" w:lineRule="exact"/>
              <w:ind w:right="132"/>
              <w:jc w:val="right"/>
              <w:rPr>
                <w:i/>
                <w:sz w:val="18"/>
              </w:rPr>
            </w:pPr>
            <w:r>
              <w:rPr>
                <w:i/>
                <w:w w:val="95"/>
                <w:sz w:val="18"/>
              </w:rPr>
              <w:t>155</w:t>
            </w:r>
          </w:p>
        </w:tc>
        <w:tc>
          <w:tcPr>
            <w:tcW w:w="1308" w:type="dxa"/>
          </w:tcPr>
          <w:p w14:paraId="545DD1B8" w14:textId="77777777" w:rsidR="00FA4AA8" w:rsidRDefault="0015611F">
            <w:pPr>
              <w:pStyle w:val="TableParagraph"/>
              <w:spacing w:before="22"/>
              <w:ind w:right="202"/>
              <w:jc w:val="right"/>
              <w:rPr>
                <w:sz w:val="16"/>
              </w:rPr>
            </w:pPr>
            <w:r>
              <w:rPr>
                <w:sz w:val="16"/>
              </w:rPr>
              <w:t>6.7%</w:t>
            </w:r>
          </w:p>
        </w:tc>
      </w:tr>
      <w:tr w:rsidR="00FA4AA8" w14:paraId="08A5F1B1" w14:textId="77777777">
        <w:trPr>
          <w:trHeight w:val="229"/>
        </w:trPr>
        <w:tc>
          <w:tcPr>
            <w:tcW w:w="6713" w:type="dxa"/>
          </w:tcPr>
          <w:p w14:paraId="6833677C" w14:textId="77777777" w:rsidR="00FA4AA8" w:rsidRDefault="0015611F">
            <w:pPr>
              <w:pStyle w:val="TableParagraph"/>
              <w:spacing w:before="3" w:line="206" w:lineRule="exact"/>
              <w:ind w:left="946"/>
              <w:rPr>
                <w:sz w:val="18"/>
              </w:rPr>
            </w:pPr>
            <w:r>
              <w:rPr>
                <w:sz w:val="18"/>
              </w:rPr>
              <w:t>University Wide</w:t>
            </w:r>
          </w:p>
        </w:tc>
        <w:tc>
          <w:tcPr>
            <w:tcW w:w="1334" w:type="dxa"/>
          </w:tcPr>
          <w:p w14:paraId="17160067" w14:textId="77777777" w:rsidR="00FA4AA8" w:rsidRDefault="0015611F">
            <w:pPr>
              <w:pStyle w:val="TableParagraph"/>
              <w:spacing w:before="3" w:line="206" w:lineRule="exact"/>
              <w:ind w:right="301"/>
              <w:jc w:val="right"/>
              <w:rPr>
                <w:sz w:val="18"/>
              </w:rPr>
            </w:pPr>
            <w:r>
              <w:rPr>
                <w:w w:val="95"/>
                <w:sz w:val="18"/>
              </w:rPr>
              <w:t>183,537</w:t>
            </w:r>
          </w:p>
        </w:tc>
        <w:tc>
          <w:tcPr>
            <w:tcW w:w="1325" w:type="dxa"/>
          </w:tcPr>
          <w:p w14:paraId="421A28AA" w14:textId="77777777" w:rsidR="00FA4AA8" w:rsidRDefault="0015611F">
            <w:pPr>
              <w:pStyle w:val="TableParagraph"/>
              <w:spacing w:before="3" w:line="206" w:lineRule="exact"/>
              <w:ind w:right="218"/>
              <w:jc w:val="right"/>
              <w:rPr>
                <w:sz w:val="18"/>
              </w:rPr>
            </w:pPr>
            <w:r>
              <w:rPr>
                <w:w w:val="95"/>
                <w:sz w:val="18"/>
              </w:rPr>
              <w:t>202,178</w:t>
            </w:r>
          </w:p>
        </w:tc>
        <w:tc>
          <w:tcPr>
            <w:tcW w:w="1290" w:type="dxa"/>
          </w:tcPr>
          <w:p w14:paraId="0096D2E9" w14:textId="77777777" w:rsidR="00FA4AA8" w:rsidRDefault="0015611F">
            <w:pPr>
              <w:pStyle w:val="TableParagraph"/>
              <w:spacing w:before="3" w:line="206" w:lineRule="exact"/>
              <w:ind w:right="132"/>
              <w:jc w:val="right"/>
              <w:rPr>
                <w:i/>
                <w:sz w:val="18"/>
              </w:rPr>
            </w:pPr>
            <w:r>
              <w:rPr>
                <w:i/>
                <w:w w:val="95"/>
                <w:sz w:val="18"/>
              </w:rPr>
              <w:t>(18,641)</w:t>
            </w:r>
          </w:p>
        </w:tc>
        <w:tc>
          <w:tcPr>
            <w:tcW w:w="1308" w:type="dxa"/>
          </w:tcPr>
          <w:p w14:paraId="3525DD42" w14:textId="77777777" w:rsidR="00FA4AA8" w:rsidRDefault="0015611F">
            <w:pPr>
              <w:pStyle w:val="TableParagraph"/>
              <w:spacing w:before="22"/>
              <w:ind w:right="202"/>
              <w:jc w:val="right"/>
              <w:rPr>
                <w:sz w:val="16"/>
              </w:rPr>
            </w:pPr>
            <w:r>
              <w:rPr>
                <w:sz w:val="16"/>
              </w:rPr>
              <w:t>(10.2%)</w:t>
            </w:r>
          </w:p>
        </w:tc>
      </w:tr>
      <w:tr w:rsidR="00FA4AA8" w14:paraId="16441D57" w14:textId="77777777">
        <w:trPr>
          <w:trHeight w:val="229"/>
        </w:trPr>
        <w:tc>
          <w:tcPr>
            <w:tcW w:w="6713" w:type="dxa"/>
          </w:tcPr>
          <w:p w14:paraId="6135C191" w14:textId="77777777" w:rsidR="00FA4AA8" w:rsidRDefault="0015611F">
            <w:pPr>
              <w:pStyle w:val="TableParagraph"/>
              <w:spacing w:before="3" w:line="206" w:lineRule="exact"/>
              <w:ind w:left="946"/>
              <w:rPr>
                <w:sz w:val="18"/>
              </w:rPr>
            </w:pPr>
            <w:r>
              <w:rPr>
                <w:sz w:val="18"/>
              </w:rPr>
              <w:t>Strategic Initiatives</w:t>
            </w:r>
          </w:p>
        </w:tc>
        <w:tc>
          <w:tcPr>
            <w:tcW w:w="1334" w:type="dxa"/>
          </w:tcPr>
          <w:p w14:paraId="664FCAF3" w14:textId="77777777" w:rsidR="00FA4AA8" w:rsidRDefault="0015611F">
            <w:pPr>
              <w:pStyle w:val="TableParagraph"/>
              <w:spacing w:before="3" w:line="206" w:lineRule="exact"/>
              <w:ind w:right="301"/>
              <w:jc w:val="right"/>
              <w:rPr>
                <w:sz w:val="18"/>
              </w:rPr>
            </w:pPr>
            <w:r>
              <w:rPr>
                <w:w w:val="95"/>
                <w:sz w:val="18"/>
              </w:rPr>
              <w:t>46,877</w:t>
            </w:r>
          </w:p>
        </w:tc>
        <w:tc>
          <w:tcPr>
            <w:tcW w:w="1325" w:type="dxa"/>
          </w:tcPr>
          <w:p w14:paraId="1E29CAC2" w14:textId="77777777" w:rsidR="00FA4AA8" w:rsidRDefault="0015611F">
            <w:pPr>
              <w:pStyle w:val="TableParagraph"/>
              <w:spacing w:before="3" w:line="206" w:lineRule="exact"/>
              <w:ind w:right="218"/>
              <w:jc w:val="right"/>
              <w:rPr>
                <w:sz w:val="18"/>
              </w:rPr>
            </w:pPr>
            <w:r>
              <w:rPr>
                <w:w w:val="95"/>
                <w:sz w:val="18"/>
              </w:rPr>
              <w:t>45,242</w:t>
            </w:r>
          </w:p>
        </w:tc>
        <w:tc>
          <w:tcPr>
            <w:tcW w:w="1290" w:type="dxa"/>
          </w:tcPr>
          <w:p w14:paraId="44543F54" w14:textId="77777777" w:rsidR="00FA4AA8" w:rsidRDefault="0015611F">
            <w:pPr>
              <w:pStyle w:val="TableParagraph"/>
              <w:spacing w:before="3" w:line="206" w:lineRule="exact"/>
              <w:ind w:right="131"/>
              <w:jc w:val="right"/>
              <w:rPr>
                <w:i/>
                <w:sz w:val="18"/>
              </w:rPr>
            </w:pPr>
            <w:r>
              <w:rPr>
                <w:i/>
                <w:w w:val="95"/>
                <w:sz w:val="18"/>
              </w:rPr>
              <w:t>1,636</w:t>
            </w:r>
          </w:p>
        </w:tc>
        <w:tc>
          <w:tcPr>
            <w:tcW w:w="1308" w:type="dxa"/>
          </w:tcPr>
          <w:p w14:paraId="6F0E64F6" w14:textId="77777777" w:rsidR="00FA4AA8" w:rsidRDefault="0015611F">
            <w:pPr>
              <w:pStyle w:val="TableParagraph"/>
              <w:spacing w:before="22"/>
              <w:ind w:right="202"/>
              <w:jc w:val="right"/>
              <w:rPr>
                <w:sz w:val="16"/>
              </w:rPr>
            </w:pPr>
            <w:r>
              <w:rPr>
                <w:sz w:val="16"/>
              </w:rPr>
              <w:t>3.5%</w:t>
            </w:r>
          </w:p>
        </w:tc>
      </w:tr>
      <w:tr w:rsidR="00FA4AA8" w14:paraId="522018C8" w14:textId="77777777">
        <w:trPr>
          <w:trHeight w:val="229"/>
        </w:trPr>
        <w:tc>
          <w:tcPr>
            <w:tcW w:w="6713" w:type="dxa"/>
          </w:tcPr>
          <w:p w14:paraId="4E2662B4" w14:textId="77777777" w:rsidR="00FA4AA8" w:rsidRDefault="0015611F">
            <w:pPr>
              <w:pStyle w:val="TableParagraph"/>
              <w:spacing w:before="3" w:line="206" w:lineRule="exact"/>
              <w:ind w:left="946"/>
              <w:rPr>
                <w:sz w:val="18"/>
              </w:rPr>
            </w:pPr>
            <w:r>
              <w:rPr>
                <w:sz w:val="18"/>
              </w:rPr>
              <w:t>Minor Works (Expensed)</w:t>
            </w:r>
          </w:p>
        </w:tc>
        <w:tc>
          <w:tcPr>
            <w:tcW w:w="1334" w:type="dxa"/>
          </w:tcPr>
          <w:p w14:paraId="31A573E6" w14:textId="77777777" w:rsidR="00FA4AA8" w:rsidRDefault="0015611F">
            <w:pPr>
              <w:pStyle w:val="TableParagraph"/>
              <w:spacing w:before="3" w:line="206" w:lineRule="exact"/>
              <w:ind w:right="302"/>
              <w:jc w:val="right"/>
              <w:rPr>
                <w:sz w:val="18"/>
              </w:rPr>
            </w:pPr>
            <w:r>
              <w:rPr>
                <w:w w:val="95"/>
                <w:sz w:val="18"/>
              </w:rPr>
              <w:t>8,500</w:t>
            </w:r>
          </w:p>
        </w:tc>
        <w:tc>
          <w:tcPr>
            <w:tcW w:w="1325" w:type="dxa"/>
          </w:tcPr>
          <w:p w14:paraId="335C1699" w14:textId="77777777" w:rsidR="00FA4AA8" w:rsidRDefault="0015611F">
            <w:pPr>
              <w:pStyle w:val="TableParagraph"/>
              <w:spacing w:before="3" w:line="206" w:lineRule="exact"/>
              <w:ind w:right="218"/>
              <w:jc w:val="right"/>
              <w:rPr>
                <w:sz w:val="18"/>
              </w:rPr>
            </w:pPr>
            <w:r>
              <w:rPr>
                <w:w w:val="95"/>
                <w:sz w:val="18"/>
              </w:rPr>
              <w:t>5,629</w:t>
            </w:r>
          </w:p>
        </w:tc>
        <w:tc>
          <w:tcPr>
            <w:tcW w:w="1290" w:type="dxa"/>
          </w:tcPr>
          <w:p w14:paraId="6EDBAF77" w14:textId="77777777" w:rsidR="00FA4AA8" w:rsidRDefault="0015611F">
            <w:pPr>
              <w:pStyle w:val="TableParagraph"/>
              <w:spacing w:before="3" w:line="206" w:lineRule="exact"/>
              <w:ind w:right="132"/>
              <w:jc w:val="right"/>
              <w:rPr>
                <w:i/>
                <w:sz w:val="18"/>
              </w:rPr>
            </w:pPr>
            <w:r>
              <w:rPr>
                <w:i/>
                <w:w w:val="95"/>
                <w:sz w:val="18"/>
              </w:rPr>
              <w:t>2,871</w:t>
            </w:r>
          </w:p>
        </w:tc>
        <w:tc>
          <w:tcPr>
            <w:tcW w:w="1308" w:type="dxa"/>
          </w:tcPr>
          <w:p w14:paraId="7CE757CC" w14:textId="77777777" w:rsidR="00FA4AA8" w:rsidRDefault="0015611F">
            <w:pPr>
              <w:pStyle w:val="TableParagraph"/>
              <w:spacing w:before="22"/>
              <w:ind w:right="202"/>
              <w:jc w:val="right"/>
              <w:rPr>
                <w:sz w:val="16"/>
              </w:rPr>
            </w:pPr>
            <w:r>
              <w:rPr>
                <w:sz w:val="16"/>
              </w:rPr>
              <w:t>33.8%</w:t>
            </w:r>
          </w:p>
        </w:tc>
      </w:tr>
      <w:tr w:rsidR="00FA4AA8" w14:paraId="2C890DA5" w14:textId="77777777">
        <w:trPr>
          <w:trHeight w:val="229"/>
        </w:trPr>
        <w:tc>
          <w:tcPr>
            <w:tcW w:w="6713" w:type="dxa"/>
          </w:tcPr>
          <w:p w14:paraId="34638B3F" w14:textId="77777777" w:rsidR="00FA4AA8" w:rsidRDefault="0015611F">
            <w:pPr>
              <w:pStyle w:val="TableParagraph"/>
              <w:spacing w:before="3" w:line="206" w:lineRule="exact"/>
              <w:ind w:left="946"/>
              <w:rPr>
                <w:sz w:val="18"/>
              </w:rPr>
            </w:pPr>
            <w:r>
              <w:rPr>
                <w:sz w:val="18"/>
              </w:rPr>
              <w:t>External Trust &amp; Tied Grants</w:t>
            </w:r>
          </w:p>
        </w:tc>
        <w:tc>
          <w:tcPr>
            <w:tcW w:w="1334" w:type="dxa"/>
          </w:tcPr>
          <w:p w14:paraId="69E1BA83" w14:textId="77777777" w:rsidR="00FA4AA8" w:rsidRDefault="0015611F">
            <w:pPr>
              <w:pStyle w:val="TableParagraph"/>
              <w:spacing w:before="3" w:line="206" w:lineRule="exact"/>
              <w:ind w:right="301"/>
              <w:jc w:val="right"/>
              <w:rPr>
                <w:sz w:val="18"/>
              </w:rPr>
            </w:pPr>
            <w:r>
              <w:rPr>
                <w:w w:val="95"/>
                <w:sz w:val="18"/>
              </w:rPr>
              <w:t>21,391</w:t>
            </w:r>
          </w:p>
        </w:tc>
        <w:tc>
          <w:tcPr>
            <w:tcW w:w="1325" w:type="dxa"/>
          </w:tcPr>
          <w:p w14:paraId="13BD3080" w14:textId="77777777" w:rsidR="00FA4AA8" w:rsidRDefault="0015611F">
            <w:pPr>
              <w:pStyle w:val="TableParagraph"/>
              <w:spacing w:before="3" w:line="206" w:lineRule="exact"/>
              <w:ind w:right="218"/>
              <w:jc w:val="right"/>
              <w:rPr>
                <w:sz w:val="18"/>
              </w:rPr>
            </w:pPr>
            <w:r>
              <w:rPr>
                <w:w w:val="95"/>
                <w:sz w:val="18"/>
              </w:rPr>
              <w:t>20,255</w:t>
            </w:r>
          </w:p>
        </w:tc>
        <w:tc>
          <w:tcPr>
            <w:tcW w:w="1290" w:type="dxa"/>
          </w:tcPr>
          <w:p w14:paraId="5BFA4A1B" w14:textId="77777777" w:rsidR="00FA4AA8" w:rsidRDefault="0015611F">
            <w:pPr>
              <w:pStyle w:val="TableParagraph"/>
              <w:spacing w:before="3" w:line="206" w:lineRule="exact"/>
              <w:ind w:right="131"/>
              <w:jc w:val="right"/>
              <w:rPr>
                <w:i/>
                <w:sz w:val="18"/>
              </w:rPr>
            </w:pPr>
            <w:r>
              <w:rPr>
                <w:i/>
                <w:w w:val="95"/>
                <w:sz w:val="18"/>
              </w:rPr>
              <w:t>1,136</w:t>
            </w:r>
          </w:p>
        </w:tc>
        <w:tc>
          <w:tcPr>
            <w:tcW w:w="1308" w:type="dxa"/>
          </w:tcPr>
          <w:p w14:paraId="2BF9E313" w14:textId="77777777" w:rsidR="00FA4AA8" w:rsidRDefault="0015611F">
            <w:pPr>
              <w:pStyle w:val="TableParagraph"/>
              <w:spacing w:before="22"/>
              <w:ind w:right="202"/>
              <w:jc w:val="right"/>
              <w:rPr>
                <w:sz w:val="16"/>
              </w:rPr>
            </w:pPr>
            <w:r>
              <w:rPr>
                <w:sz w:val="16"/>
              </w:rPr>
              <w:t>5.3%</w:t>
            </w:r>
          </w:p>
        </w:tc>
      </w:tr>
      <w:tr w:rsidR="00FA4AA8" w14:paraId="437301E1" w14:textId="77777777">
        <w:trPr>
          <w:trHeight w:val="229"/>
        </w:trPr>
        <w:tc>
          <w:tcPr>
            <w:tcW w:w="6713" w:type="dxa"/>
          </w:tcPr>
          <w:p w14:paraId="20DD4032" w14:textId="77777777" w:rsidR="00FA4AA8" w:rsidRDefault="0015611F">
            <w:pPr>
              <w:pStyle w:val="TableParagraph"/>
              <w:spacing w:before="3" w:line="206" w:lineRule="exact"/>
              <w:ind w:left="946"/>
              <w:rPr>
                <w:sz w:val="18"/>
              </w:rPr>
            </w:pPr>
            <w:r>
              <w:rPr>
                <w:sz w:val="18"/>
              </w:rPr>
              <w:t>Depreciation</w:t>
            </w:r>
          </w:p>
        </w:tc>
        <w:tc>
          <w:tcPr>
            <w:tcW w:w="1334" w:type="dxa"/>
          </w:tcPr>
          <w:p w14:paraId="62F47C0E" w14:textId="77777777" w:rsidR="00FA4AA8" w:rsidRDefault="0015611F">
            <w:pPr>
              <w:pStyle w:val="TableParagraph"/>
              <w:spacing w:before="3" w:line="206" w:lineRule="exact"/>
              <w:ind w:right="301"/>
              <w:jc w:val="right"/>
              <w:rPr>
                <w:sz w:val="18"/>
              </w:rPr>
            </w:pPr>
            <w:r>
              <w:rPr>
                <w:w w:val="95"/>
                <w:sz w:val="18"/>
              </w:rPr>
              <w:t>49,440</w:t>
            </w:r>
          </w:p>
        </w:tc>
        <w:tc>
          <w:tcPr>
            <w:tcW w:w="1325" w:type="dxa"/>
          </w:tcPr>
          <w:p w14:paraId="58480046" w14:textId="77777777" w:rsidR="00FA4AA8" w:rsidRDefault="0015611F">
            <w:pPr>
              <w:pStyle w:val="TableParagraph"/>
              <w:spacing w:before="3" w:line="206" w:lineRule="exact"/>
              <w:ind w:right="218"/>
              <w:jc w:val="right"/>
              <w:rPr>
                <w:sz w:val="18"/>
              </w:rPr>
            </w:pPr>
            <w:r>
              <w:rPr>
                <w:w w:val="95"/>
                <w:sz w:val="18"/>
              </w:rPr>
              <w:t>53,802</w:t>
            </w:r>
          </w:p>
        </w:tc>
        <w:tc>
          <w:tcPr>
            <w:tcW w:w="1290" w:type="dxa"/>
          </w:tcPr>
          <w:p w14:paraId="5D3F5971" w14:textId="77777777" w:rsidR="00FA4AA8" w:rsidRDefault="0015611F">
            <w:pPr>
              <w:pStyle w:val="TableParagraph"/>
              <w:spacing w:before="3" w:line="206" w:lineRule="exact"/>
              <w:ind w:right="132"/>
              <w:jc w:val="right"/>
              <w:rPr>
                <w:i/>
                <w:sz w:val="18"/>
              </w:rPr>
            </w:pPr>
            <w:r>
              <w:rPr>
                <w:i/>
                <w:w w:val="95"/>
                <w:sz w:val="18"/>
              </w:rPr>
              <w:t>(4,362)</w:t>
            </w:r>
          </w:p>
        </w:tc>
        <w:tc>
          <w:tcPr>
            <w:tcW w:w="1308" w:type="dxa"/>
          </w:tcPr>
          <w:p w14:paraId="62571FFC" w14:textId="77777777" w:rsidR="00FA4AA8" w:rsidRDefault="0015611F">
            <w:pPr>
              <w:pStyle w:val="TableParagraph"/>
              <w:spacing w:before="22"/>
              <w:ind w:right="202"/>
              <w:jc w:val="right"/>
              <w:rPr>
                <w:sz w:val="16"/>
              </w:rPr>
            </w:pPr>
            <w:r>
              <w:rPr>
                <w:sz w:val="16"/>
              </w:rPr>
              <w:t>(8.8%)</w:t>
            </w:r>
          </w:p>
        </w:tc>
      </w:tr>
      <w:tr w:rsidR="00FA4AA8" w14:paraId="7ABDB32B" w14:textId="77777777">
        <w:trPr>
          <w:trHeight w:val="229"/>
        </w:trPr>
        <w:tc>
          <w:tcPr>
            <w:tcW w:w="6713" w:type="dxa"/>
          </w:tcPr>
          <w:p w14:paraId="2E1BEDD4" w14:textId="77777777" w:rsidR="00FA4AA8" w:rsidRDefault="0015611F">
            <w:pPr>
              <w:pStyle w:val="TableParagraph"/>
              <w:spacing w:before="3" w:line="206" w:lineRule="exact"/>
              <w:ind w:left="946"/>
              <w:rPr>
                <w:sz w:val="18"/>
              </w:rPr>
            </w:pPr>
            <w:r>
              <w:rPr>
                <w:sz w:val="18"/>
              </w:rPr>
              <w:t>Land/Property Development Projects</w:t>
            </w:r>
          </w:p>
        </w:tc>
        <w:tc>
          <w:tcPr>
            <w:tcW w:w="1334" w:type="dxa"/>
          </w:tcPr>
          <w:p w14:paraId="007FB6BC" w14:textId="77777777" w:rsidR="00FA4AA8" w:rsidRDefault="0015611F">
            <w:pPr>
              <w:pStyle w:val="TableParagraph"/>
              <w:spacing w:before="3" w:line="206" w:lineRule="exact"/>
              <w:ind w:right="301"/>
              <w:jc w:val="right"/>
              <w:rPr>
                <w:sz w:val="18"/>
              </w:rPr>
            </w:pPr>
            <w:r>
              <w:rPr>
                <w:w w:val="95"/>
                <w:sz w:val="18"/>
              </w:rPr>
              <w:t>29,746</w:t>
            </w:r>
          </w:p>
        </w:tc>
        <w:tc>
          <w:tcPr>
            <w:tcW w:w="1325" w:type="dxa"/>
          </w:tcPr>
          <w:p w14:paraId="3E92002C" w14:textId="77777777" w:rsidR="00FA4AA8" w:rsidRDefault="0015611F">
            <w:pPr>
              <w:pStyle w:val="TableParagraph"/>
              <w:spacing w:before="3" w:line="206" w:lineRule="exact"/>
              <w:ind w:right="218"/>
              <w:jc w:val="right"/>
              <w:rPr>
                <w:sz w:val="18"/>
              </w:rPr>
            </w:pPr>
            <w:r>
              <w:rPr>
                <w:w w:val="95"/>
                <w:sz w:val="18"/>
              </w:rPr>
              <w:t>60,716</w:t>
            </w:r>
          </w:p>
        </w:tc>
        <w:tc>
          <w:tcPr>
            <w:tcW w:w="1290" w:type="dxa"/>
          </w:tcPr>
          <w:p w14:paraId="021D6278" w14:textId="77777777" w:rsidR="00FA4AA8" w:rsidRDefault="0015611F">
            <w:pPr>
              <w:pStyle w:val="TableParagraph"/>
              <w:spacing w:before="3" w:line="206" w:lineRule="exact"/>
              <w:ind w:right="132"/>
              <w:jc w:val="right"/>
              <w:rPr>
                <w:i/>
                <w:sz w:val="18"/>
              </w:rPr>
            </w:pPr>
            <w:r>
              <w:rPr>
                <w:i/>
                <w:w w:val="95"/>
                <w:sz w:val="18"/>
              </w:rPr>
              <w:t>(30,971)</w:t>
            </w:r>
          </w:p>
        </w:tc>
        <w:tc>
          <w:tcPr>
            <w:tcW w:w="1308" w:type="dxa"/>
          </w:tcPr>
          <w:p w14:paraId="3C57434D" w14:textId="77777777" w:rsidR="00FA4AA8" w:rsidRDefault="0015611F">
            <w:pPr>
              <w:pStyle w:val="TableParagraph"/>
              <w:spacing w:before="22"/>
              <w:ind w:right="202"/>
              <w:jc w:val="right"/>
              <w:rPr>
                <w:sz w:val="16"/>
              </w:rPr>
            </w:pPr>
            <w:r>
              <w:rPr>
                <w:sz w:val="16"/>
              </w:rPr>
              <w:t>(104.1%)</w:t>
            </w:r>
          </w:p>
        </w:tc>
      </w:tr>
      <w:tr w:rsidR="00FA4AA8" w14:paraId="6D31CA73" w14:textId="77777777">
        <w:trPr>
          <w:trHeight w:val="294"/>
        </w:trPr>
        <w:tc>
          <w:tcPr>
            <w:tcW w:w="6713" w:type="dxa"/>
          </w:tcPr>
          <w:p w14:paraId="5A8F736D" w14:textId="77777777" w:rsidR="00FA4AA8" w:rsidRDefault="0015611F">
            <w:pPr>
              <w:pStyle w:val="TableParagraph"/>
              <w:spacing w:before="3"/>
              <w:ind w:left="946"/>
              <w:rPr>
                <w:sz w:val="18"/>
              </w:rPr>
            </w:pPr>
            <w:r>
              <w:rPr>
                <w:sz w:val="18"/>
              </w:rPr>
              <w:t>Adjustments on Consolidation</w:t>
            </w:r>
          </w:p>
        </w:tc>
        <w:tc>
          <w:tcPr>
            <w:tcW w:w="1334" w:type="dxa"/>
          </w:tcPr>
          <w:p w14:paraId="4C4C11B6" w14:textId="77777777" w:rsidR="00FA4AA8" w:rsidRDefault="00FA4AA8">
            <w:pPr>
              <w:pStyle w:val="TableParagraph"/>
              <w:rPr>
                <w:rFonts w:ascii="Times New Roman"/>
                <w:sz w:val="16"/>
              </w:rPr>
            </w:pPr>
          </w:p>
        </w:tc>
        <w:tc>
          <w:tcPr>
            <w:tcW w:w="1325" w:type="dxa"/>
          </w:tcPr>
          <w:p w14:paraId="1D50494A" w14:textId="77777777" w:rsidR="00FA4AA8" w:rsidRDefault="00FA4AA8">
            <w:pPr>
              <w:pStyle w:val="TableParagraph"/>
              <w:rPr>
                <w:rFonts w:ascii="Times New Roman"/>
                <w:sz w:val="16"/>
              </w:rPr>
            </w:pPr>
          </w:p>
        </w:tc>
        <w:tc>
          <w:tcPr>
            <w:tcW w:w="1290" w:type="dxa"/>
          </w:tcPr>
          <w:p w14:paraId="2C184B04" w14:textId="77777777" w:rsidR="00FA4AA8" w:rsidRDefault="00FA4AA8">
            <w:pPr>
              <w:pStyle w:val="TableParagraph"/>
              <w:rPr>
                <w:rFonts w:ascii="Times New Roman"/>
                <w:sz w:val="16"/>
              </w:rPr>
            </w:pPr>
          </w:p>
        </w:tc>
        <w:tc>
          <w:tcPr>
            <w:tcW w:w="1308" w:type="dxa"/>
          </w:tcPr>
          <w:p w14:paraId="3B029598" w14:textId="77777777" w:rsidR="00FA4AA8" w:rsidRDefault="00FA4AA8">
            <w:pPr>
              <w:pStyle w:val="TableParagraph"/>
              <w:rPr>
                <w:rFonts w:ascii="Times New Roman"/>
                <w:sz w:val="16"/>
              </w:rPr>
            </w:pPr>
          </w:p>
        </w:tc>
      </w:tr>
      <w:tr w:rsidR="00FA4AA8" w14:paraId="6F7ECB9E" w14:textId="77777777">
        <w:trPr>
          <w:trHeight w:val="590"/>
        </w:trPr>
        <w:tc>
          <w:tcPr>
            <w:tcW w:w="6713" w:type="dxa"/>
          </w:tcPr>
          <w:p w14:paraId="2A307CA3" w14:textId="77777777" w:rsidR="00FA4AA8" w:rsidRDefault="0015611F">
            <w:pPr>
              <w:pStyle w:val="TableParagraph"/>
              <w:spacing w:before="68"/>
              <w:ind w:right="375"/>
              <w:jc w:val="right"/>
              <w:rPr>
                <w:b/>
                <w:sz w:val="18"/>
              </w:rPr>
            </w:pPr>
            <w:r>
              <w:rPr>
                <w:b/>
                <w:sz w:val="18"/>
              </w:rPr>
              <w:t>TOTAL EXPENDITURE</w:t>
            </w:r>
          </w:p>
        </w:tc>
        <w:tc>
          <w:tcPr>
            <w:tcW w:w="1334" w:type="dxa"/>
          </w:tcPr>
          <w:p w14:paraId="212A518F" w14:textId="77777777" w:rsidR="00FA4AA8" w:rsidRDefault="0015611F">
            <w:pPr>
              <w:pStyle w:val="TableParagraph"/>
              <w:spacing w:before="68"/>
              <w:ind w:right="301"/>
              <w:jc w:val="right"/>
              <w:rPr>
                <w:b/>
                <w:sz w:val="18"/>
              </w:rPr>
            </w:pPr>
            <w:r>
              <w:rPr>
                <w:b/>
                <w:w w:val="95"/>
                <w:sz w:val="18"/>
              </w:rPr>
              <w:t>907,465</w:t>
            </w:r>
          </w:p>
        </w:tc>
        <w:tc>
          <w:tcPr>
            <w:tcW w:w="1325" w:type="dxa"/>
          </w:tcPr>
          <w:p w14:paraId="6F879457" w14:textId="77777777" w:rsidR="00FA4AA8" w:rsidRDefault="0015611F">
            <w:pPr>
              <w:pStyle w:val="TableParagraph"/>
              <w:spacing w:before="68"/>
              <w:ind w:right="218"/>
              <w:jc w:val="right"/>
              <w:rPr>
                <w:b/>
                <w:sz w:val="18"/>
              </w:rPr>
            </w:pPr>
            <w:r>
              <w:rPr>
                <w:b/>
                <w:w w:val="95"/>
                <w:sz w:val="18"/>
              </w:rPr>
              <w:t>962,780</w:t>
            </w:r>
          </w:p>
        </w:tc>
        <w:tc>
          <w:tcPr>
            <w:tcW w:w="1290" w:type="dxa"/>
          </w:tcPr>
          <w:p w14:paraId="3F52D30E" w14:textId="77777777" w:rsidR="00FA4AA8" w:rsidRDefault="0015611F">
            <w:pPr>
              <w:pStyle w:val="TableParagraph"/>
              <w:spacing w:before="68"/>
              <w:ind w:right="129"/>
              <w:jc w:val="right"/>
              <w:rPr>
                <w:b/>
                <w:i/>
                <w:sz w:val="18"/>
              </w:rPr>
            </w:pPr>
            <w:r>
              <w:rPr>
                <w:b/>
                <w:i/>
                <w:w w:val="95"/>
                <w:sz w:val="18"/>
              </w:rPr>
              <w:t>(55,315)</w:t>
            </w:r>
          </w:p>
        </w:tc>
        <w:tc>
          <w:tcPr>
            <w:tcW w:w="1308" w:type="dxa"/>
          </w:tcPr>
          <w:p w14:paraId="677786E4" w14:textId="77777777" w:rsidR="00FA4AA8" w:rsidRDefault="0015611F">
            <w:pPr>
              <w:pStyle w:val="TableParagraph"/>
              <w:spacing w:before="86"/>
              <w:ind w:right="202"/>
              <w:jc w:val="right"/>
              <w:rPr>
                <w:b/>
                <w:sz w:val="16"/>
              </w:rPr>
            </w:pPr>
            <w:r>
              <w:rPr>
                <w:b/>
                <w:sz w:val="16"/>
              </w:rPr>
              <w:t>(6.1%)</w:t>
            </w:r>
          </w:p>
        </w:tc>
      </w:tr>
      <w:tr w:rsidR="00FA4AA8" w14:paraId="011BDE56" w14:textId="77777777">
        <w:trPr>
          <w:trHeight w:val="511"/>
        </w:trPr>
        <w:tc>
          <w:tcPr>
            <w:tcW w:w="6713" w:type="dxa"/>
          </w:tcPr>
          <w:p w14:paraId="6E5650BA" w14:textId="77777777" w:rsidR="00FA4AA8" w:rsidRDefault="00FA4AA8">
            <w:pPr>
              <w:pStyle w:val="TableParagraph"/>
              <w:spacing w:before="1"/>
              <w:rPr>
                <w:b/>
                <w:sz w:val="26"/>
              </w:rPr>
            </w:pPr>
          </w:p>
          <w:p w14:paraId="0063D1CE" w14:textId="77777777" w:rsidR="00FA4AA8" w:rsidRDefault="0015611F">
            <w:pPr>
              <w:pStyle w:val="TableParagraph"/>
              <w:spacing w:line="192" w:lineRule="exact"/>
              <w:ind w:left="329"/>
              <w:rPr>
                <w:b/>
                <w:sz w:val="18"/>
              </w:rPr>
            </w:pPr>
            <w:r>
              <w:rPr>
                <w:b/>
                <w:sz w:val="18"/>
              </w:rPr>
              <w:t>NET OPERATING RESULT</w:t>
            </w:r>
          </w:p>
        </w:tc>
        <w:tc>
          <w:tcPr>
            <w:tcW w:w="1334" w:type="dxa"/>
          </w:tcPr>
          <w:p w14:paraId="10748469" w14:textId="77777777" w:rsidR="00FA4AA8" w:rsidRDefault="00FA4AA8">
            <w:pPr>
              <w:pStyle w:val="TableParagraph"/>
              <w:spacing w:before="1"/>
              <w:rPr>
                <w:b/>
                <w:sz w:val="26"/>
              </w:rPr>
            </w:pPr>
          </w:p>
          <w:p w14:paraId="610868F1" w14:textId="77777777" w:rsidR="00FA4AA8" w:rsidRDefault="0015611F">
            <w:pPr>
              <w:pStyle w:val="TableParagraph"/>
              <w:spacing w:line="192" w:lineRule="exact"/>
              <w:ind w:right="301"/>
              <w:jc w:val="right"/>
              <w:rPr>
                <w:b/>
                <w:sz w:val="18"/>
              </w:rPr>
            </w:pPr>
            <w:r>
              <w:rPr>
                <w:b/>
                <w:w w:val="95"/>
                <w:sz w:val="18"/>
              </w:rPr>
              <w:t>34,223</w:t>
            </w:r>
          </w:p>
        </w:tc>
        <w:tc>
          <w:tcPr>
            <w:tcW w:w="1325" w:type="dxa"/>
          </w:tcPr>
          <w:p w14:paraId="1AAEC19F" w14:textId="77777777" w:rsidR="00FA4AA8" w:rsidRDefault="00FA4AA8">
            <w:pPr>
              <w:pStyle w:val="TableParagraph"/>
              <w:spacing w:before="1"/>
              <w:rPr>
                <w:b/>
                <w:sz w:val="26"/>
              </w:rPr>
            </w:pPr>
          </w:p>
          <w:p w14:paraId="3D46B52C" w14:textId="77777777" w:rsidR="00FA4AA8" w:rsidRDefault="0015611F">
            <w:pPr>
              <w:pStyle w:val="TableParagraph"/>
              <w:spacing w:line="192" w:lineRule="exact"/>
              <w:ind w:right="218"/>
              <w:jc w:val="right"/>
              <w:rPr>
                <w:b/>
                <w:sz w:val="18"/>
              </w:rPr>
            </w:pPr>
            <w:r>
              <w:rPr>
                <w:b/>
                <w:w w:val="95"/>
                <w:sz w:val="18"/>
              </w:rPr>
              <w:t>87,711</w:t>
            </w:r>
          </w:p>
        </w:tc>
        <w:tc>
          <w:tcPr>
            <w:tcW w:w="1290" w:type="dxa"/>
          </w:tcPr>
          <w:p w14:paraId="5CA12C9A" w14:textId="77777777" w:rsidR="00FA4AA8" w:rsidRDefault="00FA4AA8">
            <w:pPr>
              <w:pStyle w:val="TableParagraph"/>
              <w:spacing w:before="1"/>
              <w:rPr>
                <w:b/>
                <w:sz w:val="26"/>
              </w:rPr>
            </w:pPr>
          </w:p>
          <w:p w14:paraId="2E39050F" w14:textId="77777777" w:rsidR="00FA4AA8" w:rsidRDefault="0015611F">
            <w:pPr>
              <w:pStyle w:val="TableParagraph"/>
              <w:spacing w:line="192" w:lineRule="exact"/>
              <w:ind w:right="132"/>
              <w:jc w:val="right"/>
              <w:rPr>
                <w:b/>
                <w:i/>
                <w:sz w:val="18"/>
              </w:rPr>
            </w:pPr>
            <w:r>
              <w:rPr>
                <w:b/>
                <w:i/>
                <w:w w:val="95"/>
                <w:sz w:val="18"/>
              </w:rPr>
              <w:t>53,489</w:t>
            </w:r>
          </w:p>
        </w:tc>
        <w:tc>
          <w:tcPr>
            <w:tcW w:w="1308" w:type="dxa"/>
          </w:tcPr>
          <w:p w14:paraId="5C83E69E" w14:textId="77777777" w:rsidR="00FA4AA8" w:rsidRDefault="00FA4AA8">
            <w:pPr>
              <w:pStyle w:val="TableParagraph"/>
              <w:rPr>
                <w:b/>
                <w:sz w:val="18"/>
              </w:rPr>
            </w:pPr>
          </w:p>
          <w:p w14:paraId="4B3310E4" w14:textId="77777777" w:rsidR="00FA4AA8" w:rsidRDefault="0015611F">
            <w:pPr>
              <w:pStyle w:val="TableParagraph"/>
              <w:spacing w:before="106" w:line="178" w:lineRule="exact"/>
              <w:ind w:right="194"/>
              <w:jc w:val="right"/>
              <w:rPr>
                <w:b/>
                <w:sz w:val="16"/>
              </w:rPr>
            </w:pPr>
            <w:r>
              <w:rPr>
                <w:b/>
                <w:sz w:val="16"/>
              </w:rPr>
              <w:t>156.3%</w:t>
            </w:r>
          </w:p>
        </w:tc>
      </w:tr>
    </w:tbl>
    <w:p w14:paraId="252D451D" w14:textId="77777777" w:rsidR="00FA4AA8" w:rsidRDefault="00FA4AA8">
      <w:pPr>
        <w:pStyle w:val="BodyText"/>
        <w:rPr>
          <w:b/>
          <w:sz w:val="20"/>
        </w:rPr>
      </w:pPr>
    </w:p>
    <w:p w14:paraId="54C12208" w14:textId="77777777" w:rsidR="00FA4AA8" w:rsidRDefault="00FA4AA8">
      <w:pPr>
        <w:pStyle w:val="BodyText"/>
        <w:rPr>
          <w:b/>
          <w:sz w:val="20"/>
        </w:rPr>
      </w:pPr>
    </w:p>
    <w:p w14:paraId="1043709A" w14:textId="77777777" w:rsidR="00FA4AA8" w:rsidRDefault="00FA4AA8">
      <w:pPr>
        <w:pStyle w:val="BodyText"/>
        <w:rPr>
          <w:b/>
          <w:sz w:val="20"/>
        </w:rPr>
      </w:pPr>
    </w:p>
    <w:p w14:paraId="06437E18" w14:textId="77777777" w:rsidR="00FA4AA8" w:rsidRDefault="00FA4AA8">
      <w:pPr>
        <w:pStyle w:val="BodyText"/>
        <w:rPr>
          <w:b/>
          <w:sz w:val="20"/>
        </w:rPr>
      </w:pPr>
    </w:p>
    <w:p w14:paraId="66491065" w14:textId="77777777" w:rsidR="00FA4AA8" w:rsidRDefault="00FA4AA8">
      <w:pPr>
        <w:pStyle w:val="BodyText"/>
        <w:rPr>
          <w:b/>
          <w:sz w:val="20"/>
        </w:rPr>
      </w:pPr>
    </w:p>
    <w:p w14:paraId="1C06DCF1" w14:textId="77777777" w:rsidR="00FA4AA8" w:rsidRDefault="00FA4AA8">
      <w:pPr>
        <w:pStyle w:val="BodyText"/>
        <w:rPr>
          <w:b/>
          <w:sz w:val="20"/>
        </w:rPr>
      </w:pPr>
    </w:p>
    <w:p w14:paraId="4E56D2C1" w14:textId="77777777" w:rsidR="00FA4AA8" w:rsidRDefault="00FA4AA8">
      <w:pPr>
        <w:pStyle w:val="BodyText"/>
        <w:rPr>
          <w:b/>
          <w:sz w:val="20"/>
        </w:rPr>
      </w:pPr>
    </w:p>
    <w:p w14:paraId="73E021B5" w14:textId="77777777" w:rsidR="00FA4AA8" w:rsidRDefault="00FA4AA8">
      <w:pPr>
        <w:pStyle w:val="BodyText"/>
        <w:rPr>
          <w:b/>
          <w:sz w:val="20"/>
        </w:rPr>
      </w:pPr>
    </w:p>
    <w:p w14:paraId="787A16A9" w14:textId="77777777" w:rsidR="00FA4AA8" w:rsidRDefault="00FA4AA8">
      <w:pPr>
        <w:pStyle w:val="BodyText"/>
        <w:rPr>
          <w:b/>
          <w:sz w:val="20"/>
        </w:rPr>
      </w:pPr>
    </w:p>
    <w:p w14:paraId="7EC43F9C" w14:textId="77777777" w:rsidR="00FA4AA8" w:rsidRDefault="00FA4AA8">
      <w:pPr>
        <w:pStyle w:val="BodyText"/>
        <w:rPr>
          <w:b/>
          <w:sz w:val="20"/>
        </w:rPr>
      </w:pPr>
    </w:p>
    <w:p w14:paraId="49C94B5E" w14:textId="77777777" w:rsidR="00FA4AA8" w:rsidRDefault="00FA4AA8">
      <w:pPr>
        <w:pStyle w:val="BodyText"/>
        <w:spacing w:before="9"/>
        <w:rPr>
          <w:b/>
          <w:sz w:val="29"/>
        </w:rPr>
      </w:pPr>
    </w:p>
    <w:p w14:paraId="4A5D2D30" w14:textId="77777777" w:rsidR="00FA4AA8" w:rsidRDefault="0015611F">
      <w:pPr>
        <w:spacing w:before="95"/>
        <w:ind w:left="5767" w:right="6105"/>
        <w:jc w:val="center"/>
        <w:rPr>
          <w:sz w:val="16"/>
        </w:rPr>
      </w:pPr>
      <w:r>
        <w:rPr>
          <w:sz w:val="16"/>
        </w:rPr>
        <w:t>248</w:t>
      </w:r>
    </w:p>
    <w:p w14:paraId="739B74AF" w14:textId="77777777" w:rsidR="00FA4AA8" w:rsidRDefault="00FA4AA8">
      <w:pPr>
        <w:jc w:val="center"/>
        <w:rPr>
          <w:sz w:val="16"/>
        </w:rPr>
        <w:sectPr w:rsidR="00FA4AA8">
          <w:headerReference w:type="default" r:id="rId318"/>
          <w:footerReference w:type="default" r:id="rId319"/>
          <w:pgSz w:w="13080" w:h="18510"/>
          <w:pgMar w:top="920" w:right="280" w:bottom="280" w:left="620" w:header="0" w:footer="0" w:gutter="0"/>
          <w:cols w:space="720"/>
        </w:sectPr>
      </w:pPr>
    </w:p>
    <w:tbl>
      <w:tblPr>
        <w:tblW w:w="0" w:type="auto"/>
        <w:tblInd w:w="111" w:type="dxa"/>
        <w:tblLayout w:type="fixed"/>
        <w:tblCellMar>
          <w:left w:w="0" w:type="dxa"/>
          <w:right w:w="0" w:type="dxa"/>
        </w:tblCellMar>
        <w:tblLook w:val="01E0" w:firstRow="1" w:lastRow="1" w:firstColumn="1" w:lastColumn="1" w:noHBand="0" w:noVBand="0"/>
      </w:tblPr>
      <w:tblGrid>
        <w:gridCol w:w="5481"/>
        <w:gridCol w:w="4901"/>
      </w:tblGrid>
      <w:tr w:rsidR="00FA4AA8" w14:paraId="4B5E2543" w14:textId="77777777">
        <w:trPr>
          <w:trHeight w:val="574"/>
        </w:trPr>
        <w:tc>
          <w:tcPr>
            <w:tcW w:w="5481" w:type="dxa"/>
          </w:tcPr>
          <w:p w14:paraId="2DD84D25" w14:textId="77777777" w:rsidR="00FA4AA8" w:rsidRDefault="00FA4AA8">
            <w:pPr>
              <w:pStyle w:val="TableParagraph"/>
              <w:rPr>
                <w:rFonts w:ascii="Times New Roman"/>
                <w:sz w:val="18"/>
              </w:rPr>
            </w:pPr>
          </w:p>
        </w:tc>
        <w:tc>
          <w:tcPr>
            <w:tcW w:w="4901" w:type="dxa"/>
          </w:tcPr>
          <w:p w14:paraId="5E1449C0" w14:textId="77777777" w:rsidR="00FA4AA8" w:rsidRDefault="0015611F">
            <w:pPr>
              <w:pStyle w:val="TableParagraph"/>
              <w:spacing w:line="201" w:lineRule="exact"/>
              <w:ind w:right="196"/>
              <w:jc w:val="right"/>
              <w:rPr>
                <w:b/>
                <w:sz w:val="18"/>
              </w:rPr>
            </w:pPr>
            <w:bookmarkStart w:id="222" w:name="2019_Budget"/>
            <w:bookmarkEnd w:id="222"/>
            <w:r>
              <w:rPr>
                <w:b/>
                <w:sz w:val="18"/>
              </w:rPr>
              <w:t>Appendices</w:t>
            </w:r>
          </w:p>
        </w:tc>
      </w:tr>
      <w:tr w:rsidR="00FA4AA8" w14:paraId="35BDBC86" w14:textId="77777777">
        <w:trPr>
          <w:trHeight w:val="823"/>
        </w:trPr>
        <w:tc>
          <w:tcPr>
            <w:tcW w:w="10382" w:type="dxa"/>
            <w:gridSpan w:val="2"/>
          </w:tcPr>
          <w:p w14:paraId="75C8655C" w14:textId="77777777" w:rsidR="00FA4AA8" w:rsidRDefault="00FA4AA8">
            <w:pPr>
              <w:pStyle w:val="TableParagraph"/>
              <w:spacing w:before="9"/>
              <w:rPr>
                <w:sz w:val="31"/>
              </w:rPr>
            </w:pPr>
          </w:p>
          <w:p w14:paraId="23E57B73" w14:textId="77777777" w:rsidR="00FA4AA8" w:rsidRDefault="0015611F">
            <w:pPr>
              <w:pStyle w:val="TableParagraph"/>
              <w:ind w:left="214"/>
              <w:rPr>
                <w:b/>
                <w:sz w:val="28"/>
              </w:rPr>
            </w:pPr>
            <w:r>
              <w:rPr>
                <w:b/>
                <w:sz w:val="28"/>
              </w:rPr>
              <w:t>Western Sydney University 2019 Budget</w:t>
            </w:r>
          </w:p>
        </w:tc>
      </w:tr>
      <w:tr w:rsidR="00FA4AA8" w14:paraId="3685ACCA" w14:textId="77777777">
        <w:trPr>
          <w:trHeight w:val="381"/>
        </w:trPr>
        <w:tc>
          <w:tcPr>
            <w:tcW w:w="5481" w:type="dxa"/>
          </w:tcPr>
          <w:p w14:paraId="4AF6410A" w14:textId="77777777" w:rsidR="00FA4AA8" w:rsidRDefault="00FA4AA8">
            <w:pPr>
              <w:pStyle w:val="TableParagraph"/>
              <w:rPr>
                <w:rFonts w:ascii="Times New Roman"/>
                <w:sz w:val="18"/>
              </w:rPr>
            </w:pPr>
          </w:p>
        </w:tc>
        <w:tc>
          <w:tcPr>
            <w:tcW w:w="4901" w:type="dxa"/>
          </w:tcPr>
          <w:p w14:paraId="6429E6BC" w14:textId="77777777" w:rsidR="00FA4AA8" w:rsidRDefault="0015611F">
            <w:pPr>
              <w:pStyle w:val="TableParagraph"/>
              <w:spacing w:before="130"/>
              <w:ind w:left="1609"/>
              <w:rPr>
                <w:b/>
                <w:sz w:val="18"/>
              </w:rPr>
            </w:pPr>
            <w:r>
              <w:rPr>
                <w:b/>
                <w:sz w:val="18"/>
              </w:rPr>
              <w:t>2019</w:t>
            </w:r>
          </w:p>
        </w:tc>
      </w:tr>
      <w:tr w:rsidR="00FA4AA8" w14:paraId="3C708AFF" w14:textId="77777777">
        <w:trPr>
          <w:trHeight w:val="290"/>
        </w:trPr>
        <w:tc>
          <w:tcPr>
            <w:tcW w:w="5481" w:type="dxa"/>
          </w:tcPr>
          <w:p w14:paraId="414289D7" w14:textId="77777777" w:rsidR="00FA4AA8" w:rsidRDefault="00FA4AA8">
            <w:pPr>
              <w:pStyle w:val="TableParagraph"/>
              <w:rPr>
                <w:rFonts w:ascii="Times New Roman"/>
                <w:sz w:val="18"/>
              </w:rPr>
            </w:pPr>
          </w:p>
        </w:tc>
        <w:tc>
          <w:tcPr>
            <w:tcW w:w="4901" w:type="dxa"/>
          </w:tcPr>
          <w:p w14:paraId="30AEC962" w14:textId="77777777" w:rsidR="00FA4AA8" w:rsidRDefault="0015611F">
            <w:pPr>
              <w:pStyle w:val="TableParagraph"/>
              <w:spacing w:before="38"/>
              <w:ind w:left="1254"/>
              <w:rPr>
                <w:b/>
                <w:sz w:val="18"/>
              </w:rPr>
            </w:pPr>
            <w:r>
              <w:rPr>
                <w:b/>
                <w:sz w:val="18"/>
              </w:rPr>
              <w:t>BUDGET</w:t>
            </w:r>
          </w:p>
        </w:tc>
      </w:tr>
      <w:tr w:rsidR="00FA4AA8" w14:paraId="0F14E27C" w14:textId="77777777">
        <w:trPr>
          <w:trHeight w:val="319"/>
        </w:trPr>
        <w:tc>
          <w:tcPr>
            <w:tcW w:w="5481" w:type="dxa"/>
          </w:tcPr>
          <w:p w14:paraId="44911CAC" w14:textId="77777777" w:rsidR="00FA4AA8" w:rsidRDefault="00FA4AA8">
            <w:pPr>
              <w:pStyle w:val="TableParagraph"/>
              <w:rPr>
                <w:rFonts w:ascii="Times New Roman"/>
                <w:sz w:val="18"/>
              </w:rPr>
            </w:pPr>
          </w:p>
        </w:tc>
        <w:tc>
          <w:tcPr>
            <w:tcW w:w="4901" w:type="dxa"/>
          </w:tcPr>
          <w:p w14:paraId="0E05C9A1" w14:textId="77777777" w:rsidR="00FA4AA8" w:rsidRDefault="0015611F">
            <w:pPr>
              <w:pStyle w:val="TableParagraph"/>
              <w:spacing w:before="38"/>
              <w:ind w:left="1566"/>
              <w:rPr>
                <w:b/>
                <w:sz w:val="18"/>
              </w:rPr>
            </w:pPr>
            <w:r>
              <w:rPr>
                <w:b/>
                <w:sz w:val="18"/>
              </w:rPr>
              <w:t>$'000</w:t>
            </w:r>
          </w:p>
        </w:tc>
      </w:tr>
      <w:tr w:rsidR="00FA4AA8" w14:paraId="75873A2C" w14:textId="77777777">
        <w:trPr>
          <w:trHeight w:val="333"/>
        </w:trPr>
        <w:tc>
          <w:tcPr>
            <w:tcW w:w="5481" w:type="dxa"/>
          </w:tcPr>
          <w:p w14:paraId="2F415CFB" w14:textId="77777777" w:rsidR="00FA4AA8" w:rsidRDefault="0015611F">
            <w:pPr>
              <w:pStyle w:val="TableParagraph"/>
              <w:spacing w:before="67"/>
              <w:ind w:left="200"/>
              <w:rPr>
                <w:b/>
                <w:sz w:val="18"/>
              </w:rPr>
            </w:pPr>
            <w:r>
              <w:rPr>
                <w:b/>
                <w:sz w:val="18"/>
              </w:rPr>
              <w:t>INCOME FROM CONTINUING OPERATIONS</w:t>
            </w:r>
          </w:p>
        </w:tc>
        <w:tc>
          <w:tcPr>
            <w:tcW w:w="4901" w:type="dxa"/>
          </w:tcPr>
          <w:p w14:paraId="7998C9EB" w14:textId="77777777" w:rsidR="00FA4AA8" w:rsidRDefault="00FA4AA8">
            <w:pPr>
              <w:pStyle w:val="TableParagraph"/>
              <w:rPr>
                <w:rFonts w:ascii="Times New Roman"/>
                <w:sz w:val="18"/>
              </w:rPr>
            </w:pPr>
          </w:p>
        </w:tc>
      </w:tr>
      <w:tr w:rsidR="00FA4AA8" w14:paraId="1F0C85BF" w14:textId="77777777">
        <w:trPr>
          <w:trHeight w:val="340"/>
        </w:trPr>
        <w:tc>
          <w:tcPr>
            <w:tcW w:w="5481" w:type="dxa"/>
          </w:tcPr>
          <w:p w14:paraId="5FCFA949" w14:textId="77777777" w:rsidR="00FA4AA8" w:rsidRDefault="0015611F">
            <w:pPr>
              <w:pStyle w:val="TableParagraph"/>
              <w:spacing w:before="53"/>
              <w:ind w:left="514"/>
              <w:rPr>
                <w:b/>
                <w:sz w:val="18"/>
              </w:rPr>
            </w:pPr>
            <w:r>
              <w:rPr>
                <w:b/>
                <w:sz w:val="18"/>
              </w:rPr>
              <w:t>GOVERNMENT</w:t>
            </w:r>
          </w:p>
        </w:tc>
        <w:tc>
          <w:tcPr>
            <w:tcW w:w="4901" w:type="dxa"/>
          </w:tcPr>
          <w:p w14:paraId="3C9E46BD" w14:textId="77777777" w:rsidR="00FA4AA8" w:rsidRDefault="0015611F">
            <w:pPr>
              <w:pStyle w:val="TableParagraph"/>
              <w:spacing w:before="53"/>
              <w:ind w:left="1357"/>
              <w:rPr>
                <w:b/>
                <w:sz w:val="18"/>
              </w:rPr>
            </w:pPr>
            <w:r>
              <w:rPr>
                <w:b/>
                <w:sz w:val="18"/>
              </w:rPr>
              <w:t>559,461</w:t>
            </w:r>
          </w:p>
        </w:tc>
      </w:tr>
      <w:tr w:rsidR="00FA4AA8" w14:paraId="100D77F0" w14:textId="77777777">
        <w:trPr>
          <w:trHeight w:val="297"/>
        </w:trPr>
        <w:tc>
          <w:tcPr>
            <w:tcW w:w="5481" w:type="dxa"/>
          </w:tcPr>
          <w:p w14:paraId="3E73B5FF" w14:textId="77777777" w:rsidR="00FA4AA8" w:rsidRDefault="0015611F">
            <w:pPr>
              <w:pStyle w:val="TableParagraph"/>
              <w:spacing w:before="74" w:line="203" w:lineRule="exact"/>
              <w:ind w:left="514"/>
              <w:rPr>
                <w:b/>
                <w:sz w:val="18"/>
              </w:rPr>
            </w:pPr>
            <w:r>
              <w:rPr>
                <w:b/>
                <w:sz w:val="18"/>
              </w:rPr>
              <w:t>ACADEMIC ACTIVITIES</w:t>
            </w:r>
          </w:p>
        </w:tc>
        <w:tc>
          <w:tcPr>
            <w:tcW w:w="4901" w:type="dxa"/>
          </w:tcPr>
          <w:p w14:paraId="7819C7A8" w14:textId="77777777" w:rsidR="00FA4AA8" w:rsidRDefault="00FA4AA8">
            <w:pPr>
              <w:pStyle w:val="TableParagraph"/>
              <w:rPr>
                <w:rFonts w:ascii="Times New Roman"/>
                <w:sz w:val="18"/>
              </w:rPr>
            </w:pPr>
          </w:p>
        </w:tc>
      </w:tr>
      <w:tr w:rsidR="00FA4AA8" w14:paraId="76E89E00" w14:textId="77777777">
        <w:trPr>
          <w:trHeight w:val="232"/>
        </w:trPr>
        <w:tc>
          <w:tcPr>
            <w:tcW w:w="5481" w:type="dxa"/>
          </w:tcPr>
          <w:p w14:paraId="6FBEE80F" w14:textId="77777777" w:rsidR="00FA4AA8" w:rsidRDefault="0015611F">
            <w:pPr>
              <w:pStyle w:val="TableParagraph"/>
              <w:spacing w:before="10" w:line="203" w:lineRule="exact"/>
              <w:ind w:left="814"/>
              <w:rPr>
                <w:sz w:val="18"/>
              </w:rPr>
            </w:pPr>
            <w:r>
              <w:rPr>
                <w:sz w:val="18"/>
              </w:rPr>
              <w:t>International Onshore</w:t>
            </w:r>
          </w:p>
        </w:tc>
        <w:tc>
          <w:tcPr>
            <w:tcW w:w="4901" w:type="dxa"/>
          </w:tcPr>
          <w:p w14:paraId="09D9784B" w14:textId="77777777" w:rsidR="00FA4AA8" w:rsidRDefault="0015611F">
            <w:pPr>
              <w:pStyle w:val="TableParagraph"/>
              <w:spacing w:before="10" w:line="203" w:lineRule="exact"/>
              <w:ind w:left="1357"/>
              <w:rPr>
                <w:sz w:val="18"/>
              </w:rPr>
            </w:pPr>
            <w:r>
              <w:rPr>
                <w:sz w:val="18"/>
              </w:rPr>
              <w:t>163,515</w:t>
            </w:r>
          </w:p>
        </w:tc>
      </w:tr>
      <w:tr w:rsidR="00FA4AA8" w14:paraId="58B2288A" w14:textId="77777777">
        <w:trPr>
          <w:trHeight w:val="232"/>
        </w:trPr>
        <w:tc>
          <w:tcPr>
            <w:tcW w:w="5481" w:type="dxa"/>
          </w:tcPr>
          <w:p w14:paraId="55024E26" w14:textId="77777777" w:rsidR="00FA4AA8" w:rsidRDefault="0015611F">
            <w:pPr>
              <w:pStyle w:val="TableParagraph"/>
              <w:spacing w:before="10" w:line="203" w:lineRule="exact"/>
              <w:ind w:left="814"/>
              <w:rPr>
                <w:sz w:val="18"/>
              </w:rPr>
            </w:pPr>
            <w:r>
              <w:rPr>
                <w:sz w:val="18"/>
              </w:rPr>
              <w:t>International Offshore</w:t>
            </w:r>
          </w:p>
        </w:tc>
        <w:tc>
          <w:tcPr>
            <w:tcW w:w="4901" w:type="dxa"/>
          </w:tcPr>
          <w:p w14:paraId="547CF43A" w14:textId="77777777" w:rsidR="00FA4AA8" w:rsidRDefault="0015611F">
            <w:pPr>
              <w:pStyle w:val="TableParagraph"/>
              <w:spacing w:before="10" w:line="203" w:lineRule="exact"/>
              <w:ind w:left="1692" w:right="2868"/>
              <w:jc w:val="center"/>
              <w:rPr>
                <w:sz w:val="18"/>
              </w:rPr>
            </w:pPr>
            <w:r>
              <w:rPr>
                <w:sz w:val="18"/>
              </w:rPr>
              <w:t>627</w:t>
            </w:r>
          </w:p>
        </w:tc>
      </w:tr>
      <w:tr w:rsidR="00FA4AA8" w14:paraId="44028CEA" w14:textId="77777777">
        <w:trPr>
          <w:trHeight w:val="232"/>
        </w:trPr>
        <w:tc>
          <w:tcPr>
            <w:tcW w:w="5481" w:type="dxa"/>
          </w:tcPr>
          <w:p w14:paraId="45CA1D4F" w14:textId="77777777" w:rsidR="00FA4AA8" w:rsidRDefault="0015611F">
            <w:pPr>
              <w:pStyle w:val="TableParagraph"/>
              <w:spacing w:before="10" w:line="203" w:lineRule="exact"/>
              <w:ind w:left="814"/>
              <w:rPr>
                <w:sz w:val="18"/>
              </w:rPr>
            </w:pPr>
            <w:r>
              <w:rPr>
                <w:sz w:val="18"/>
              </w:rPr>
              <w:t>Local fee-paying</w:t>
            </w:r>
          </w:p>
        </w:tc>
        <w:tc>
          <w:tcPr>
            <w:tcW w:w="4901" w:type="dxa"/>
          </w:tcPr>
          <w:p w14:paraId="75D33E1B" w14:textId="77777777" w:rsidR="00FA4AA8" w:rsidRDefault="0015611F">
            <w:pPr>
              <w:pStyle w:val="TableParagraph"/>
              <w:spacing w:before="10" w:line="203" w:lineRule="exact"/>
              <w:ind w:left="1458"/>
              <w:rPr>
                <w:sz w:val="18"/>
              </w:rPr>
            </w:pPr>
            <w:r>
              <w:rPr>
                <w:sz w:val="18"/>
              </w:rPr>
              <w:t>23,839</w:t>
            </w:r>
          </w:p>
        </w:tc>
      </w:tr>
      <w:tr w:rsidR="00FA4AA8" w14:paraId="36C689C3" w14:textId="77777777">
        <w:trPr>
          <w:trHeight w:val="232"/>
        </w:trPr>
        <w:tc>
          <w:tcPr>
            <w:tcW w:w="5481" w:type="dxa"/>
          </w:tcPr>
          <w:p w14:paraId="30E4D7A2" w14:textId="77777777" w:rsidR="00FA4AA8" w:rsidRDefault="0015611F">
            <w:pPr>
              <w:pStyle w:val="TableParagraph"/>
              <w:spacing w:before="10" w:line="203" w:lineRule="exact"/>
              <w:ind w:left="814"/>
              <w:rPr>
                <w:sz w:val="18"/>
              </w:rPr>
            </w:pPr>
            <w:r>
              <w:rPr>
                <w:sz w:val="18"/>
              </w:rPr>
              <w:t>External Research Grants</w:t>
            </w:r>
          </w:p>
        </w:tc>
        <w:tc>
          <w:tcPr>
            <w:tcW w:w="4901" w:type="dxa"/>
          </w:tcPr>
          <w:p w14:paraId="56312789" w14:textId="77777777" w:rsidR="00FA4AA8" w:rsidRDefault="0015611F">
            <w:pPr>
              <w:pStyle w:val="TableParagraph"/>
              <w:spacing w:before="10" w:line="203" w:lineRule="exact"/>
              <w:ind w:left="1458"/>
              <w:rPr>
                <w:sz w:val="18"/>
              </w:rPr>
            </w:pPr>
            <w:r>
              <w:rPr>
                <w:sz w:val="18"/>
              </w:rPr>
              <w:t>36,008</w:t>
            </w:r>
          </w:p>
        </w:tc>
      </w:tr>
      <w:tr w:rsidR="00FA4AA8" w14:paraId="3D27F304" w14:textId="77777777">
        <w:trPr>
          <w:trHeight w:val="232"/>
        </w:trPr>
        <w:tc>
          <w:tcPr>
            <w:tcW w:w="5481" w:type="dxa"/>
          </w:tcPr>
          <w:p w14:paraId="799FD341" w14:textId="77777777" w:rsidR="00FA4AA8" w:rsidRDefault="0015611F">
            <w:pPr>
              <w:pStyle w:val="TableParagraph"/>
              <w:spacing w:before="10" w:line="203" w:lineRule="exact"/>
              <w:ind w:left="814"/>
              <w:rPr>
                <w:sz w:val="18"/>
              </w:rPr>
            </w:pPr>
            <w:r>
              <w:rPr>
                <w:sz w:val="18"/>
              </w:rPr>
              <w:t>Consulting, Contracting &amp; Royalties</w:t>
            </w:r>
          </w:p>
        </w:tc>
        <w:tc>
          <w:tcPr>
            <w:tcW w:w="4901" w:type="dxa"/>
          </w:tcPr>
          <w:p w14:paraId="03786784" w14:textId="77777777" w:rsidR="00FA4AA8" w:rsidRDefault="0015611F">
            <w:pPr>
              <w:pStyle w:val="TableParagraph"/>
              <w:spacing w:before="10" w:line="203" w:lineRule="exact"/>
              <w:ind w:left="1559"/>
              <w:rPr>
                <w:sz w:val="18"/>
              </w:rPr>
            </w:pPr>
            <w:r>
              <w:rPr>
                <w:sz w:val="18"/>
              </w:rPr>
              <w:t>1,008</w:t>
            </w:r>
          </w:p>
        </w:tc>
      </w:tr>
      <w:tr w:rsidR="00FA4AA8" w14:paraId="72B94DD0" w14:textId="77777777">
        <w:trPr>
          <w:trHeight w:val="283"/>
        </w:trPr>
        <w:tc>
          <w:tcPr>
            <w:tcW w:w="5481" w:type="dxa"/>
          </w:tcPr>
          <w:p w14:paraId="40A2C5E8" w14:textId="77777777" w:rsidR="00FA4AA8" w:rsidRDefault="0015611F">
            <w:pPr>
              <w:pStyle w:val="TableParagraph"/>
              <w:spacing w:before="10"/>
              <w:ind w:left="814"/>
              <w:rPr>
                <w:sz w:val="18"/>
              </w:rPr>
            </w:pPr>
            <w:r>
              <w:rPr>
                <w:sz w:val="18"/>
              </w:rPr>
              <w:t>Other</w:t>
            </w:r>
          </w:p>
        </w:tc>
        <w:tc>
          <w:tcPr>
            <w:tcW w:w="4901" w:type="dxa"/>
          </w:tcPr>
          <w:p w14:paraId="3F8F2CDF" w14:textId="77777777" w:rsidR="00FA4AA8" w:rsidRDefault="0015611F">
            <w:pPr>
              <w:pStyle w:val="TableParagraph"/>
              <w:spacing w:before="10"/>
              <w:ind w:left="1458"/>
              <w:rPr>
                <w:sz w:val="18"/>
              </w:rPr>
            </w:pPr>
            <w:r>
              <w:rPr>
                <w:sz w:val="18"/>
              </w:rPr>
              <w:t>54,332</w:t>
            </w:r>
          </w:p>
        </w:tc>
      </w:tr>
      <w:tr w:rsidR="00FA4AA8" w14:paraId="34B8E2CF" w14:textId="77777777">
        <w:trPr>
          <w:trHeight w:val="348"/>
        </w:trPr>
        <w:tc>
          <w:tcPr>
            <w:tcW w:w="5481" w:type="dxa"/>
          </w:tcPr>
          <w:p w14:paraId="49EB067E" w14:textId="77777777" w:rsidR="00FA4AA8" w:rsidRDefault="0015611F">
            <w:pPr>
              <w:pStyle w:val="TableParagraph"/>
              <w:spacing w:before="60"/>
              <w:ind w:right="1204"/>
              <w:jc w:val="right"/>
              <w:rPr>
                <w:b/>
                <w:sz w:val="18"/>
              </w:rPr>
            </w:pPr>
            <w:r>
              <w:rPr>
                <w:b/>
                <w:sz w:val="18"/>
              </w:rPr>
              <w:t>Sub Total</w:t>
            </w:r>
          </w:p>
        </w:tc>
        <w:tc>
          <w:tcPr>
            <w:tcW w:w="4901" w:type="dxa"/>
          </w:tcPr>
          <w:p w14:paraId="5864F932" w14:textId="77777777" w:rsidR="00FA4AA8" w:rsidRDefault="0015611F">
            <w:pPr>
              <w:pStyle w:val="TableParagraph"/>
              <w:spacing w:before="60"/>
              <w:ind w:left="1357"/>
              <w:rPr>
                <w:b/>
                <w:sz w:val="18"/>
              </w:rPr>
            </w:pPr>
            <w:r>
              <w:rPr>
                <w:b/>
                <w:sz w:val="18"/>
              </w:rPr>
              <w:t>279,330</w:t>
            </w:r>
          </w:p>
        </w:tc>
      </w:tr>
      <w:tr w:rsidR="00FA4AA8" w14:paraId="01842FA1" w14:textId="77777777">
        <w:trPr>
          <w:trHeight w:val="297"/>
        </w:trPr>
        <w:tc>
          <w:tcPr>
            <w:tcW w:w="5481" w:type="dxa"/>
          </w:tcPr>
          <w:p w14:paraId="33E1EB67" w14:textId="77777777" w:rsidR="00FA4AA8" w:rsidRDefault="0015611F">
            <w:pPr>
              <w:pStyle w:val="TableParagraph"/>
              <w:spacing w:before="74" w:line="203" w:lineRule="exact"/>
              <w:ind w:left="514"/>
              <w:rPr>
                <w:b/>
                <w:sz w:val="18"/>
              </w:rPr>
            </w:pPr>
            <w:r>
              <w:rPr>
                <w:b/>
                <w:sz w:val="18"/>
              </w:rPr>
              <w:t>OTHER INCOME ACTIVITIES</w:t>
            </w:r>
          </w:p>
        </w:tc>
        <w:tc>
          <w:tcPr>
            <w:tcW w:w="4901" w:type="dxa"/>
          </w:tcPr>
          <w:p w14:paraId="7D109DD7" w14:textId="77777777" w:rsidR="00FA4AA8" w:rsidRDefault="00FA4AA8">
            <w:pPr>
              <w:pStyle w:val="TableParagraph"/>
              <w:rPr>
                <w:rFonts w:ascii="Times New Roman"/>
                <w:sz w:val="18"/>
              </w:rPr>
            </w:pPr>
          </w:p>
        </w:tc>
      </w:tr>
      <w:tr w:rsidR="00FA4AA8" w14:paraId="1CD1BFA6" w14:textId="77777777">
        <w:trPr>
          <w:trHeight w:val="243"/>
        </w:trPr>
        <w:tc>
          <w:tcPr>
            <w:tcW w:w="5481" w:type="dxa"/>
          </w:tcPr>
          <w:p w14:paraId="4723E3F7" w14:textId="77777777" w:rsidR="00FA4AA8" w:rsidRDefault="0015611F">
            <w:pPr>
              <w:pStyle w:val="TableParagraph"/>
              <w:spacing w:before="10"/>
              <w:ind w:left="814"/>
              <w:rPr>
                <w:sz w:val="18"/>
              </w:rPr>
            </w:pPr>
            <w:r>
              <w:rPr>
                <w:sz w:val="18"/>
              </w:rPr>
              <w:t>Leases &amp; Other Commercial</w:t>
            </w:r>
          </w:p>
        </w:tc>
        <w:tc>
          <w:tcPr>
            <w:tcW w:w="4901" w:type="dxa"/>
          </w:tcPr>
          <w:p w14:paraId="46ED6894" w14:textId="77777777" w:rsidR="00FA4AA8" w:rsidRDefault="0015611F">
            <w:pPr>
              <w:pStyle w:val="TableParagraph"/>
              <w:spacing w:before="10"/>
              <w:ind w:left="1458"/>
              <w:rPr>
                <w:sz w:val="18"/>
              </w:rPr>
            </w:pPr>
            <w:r>
              <w:rPr>
                <w:sz w:val="18"/>
              </w:rPr>
              <w:t>11,520</w:t>
            </w:r>
          </w:p>
        </w:tc>
      </w:tr>
      <w:tr w:rsidR="00FA4AA8" w14:paraId="72B9A66F" w14:textId="77777777">
        <w:trPr>
          <w:trHeight w:val="254"/>
        </w:trPr>
        <w:tc>
          <w:tcPr>
            <w:tcW w:w="5481" w:type="dxa"/>
          </w:tcPr>
          <w:p w14:paraId="35B1FA87" w14:textId="77777777" w:rsidR="00FA4AA8" w:rsidRDefault="0015611F">
            <w:pPr>
              <w:pStyle w:val="TableParagraph"/>
              <w:spacing w:before="20"/>
              <w:ind w:left="814"/>
              <w:rPr>
                <w:sz w:val="18"/>
              </w:rPr>
            </w:pPr>
            <w:r>
              <w:rPr>
                <w:sz w:val="18"/>
              </w:rPr>
              <w:t>Investment Income</w:t>
            </w:r>
          </w:p>
        </w:tc>
        <w:tc>
          <w:tcPr>
            <w:tcW w:w="4901" w:type="dxa"/>
          </w:tcPr>
          <w:p w14:paraId="07E4E1DE" w14:textId="77777777" w:rsidR="00FA4AA8" w:rsidRDefault="0015611F">
            <w:pPr>
              <w:pStyle w:val="TableParagraph"/>
              <w:spacing w:before="20"/>
              <w:ind w:left="1559"/>
              <w:rPr>
                <w:sz w:val="18"/>
              </w:rPr>
            </w:pPr>
            <w:r>
              <w:rPr>
                <w:sz w:val="18"/>
              </w:rPr>
              <w:t>6,336</w:t>
            </w:r>
          </w:p>
        </w:tc>
      </w:tr>
      <w:tr w:rsidR="00FA4AA8" w14:paraId="6C471D39" w14:textId="77777777">
        <w:trPr>
          <w:trHeight w:val="243"/>
        </w:trPr>
        <w:tc>
          <w:tcPr>
            <w:tcW w:w="5481" w:type="dxa"/>
          </w:tcPr>
          <w:p w14:paraId="5732F7A5" w14:textId="77777777" w:rsidR="00FA4AA8" w:rsidRDefault="0015611F">
            <w:pPr>
              <w:pStyle w:val="TableParagraph"/>
              <w:spacing w:before="20" w:line="203" w:lineRule="exact"/>
              <w:ind w:left="814"/>
              <w:rPr>
                <w:sz w:val="18"/>
              </w:rPr>
            </w:pPr>
            <w:r>
              <w:rPr>
                <w:sz w:val="18"/>
              </w:rPr>
              <w:t>Land/Property Development Projects</w:t>
            </w:r>
          </w:p>
        </w:tc>
        <w:tc>
          <w:tcPr>
            <w:tcW w:w="4901" w:type="dxa"/>
          </w:tcPr>
          <w:p w14:paraId="59535094" w14:textId="77777777" w:rsidR="00FA4AA8" w:rsidRDefault="0015611F">
            <w:pPr>
              <w:pStyle w:val="TableParagraph"/>
              <w:spacing w:before="20" w:line="203" w:lineRule="exact"/>
              <w:ind w:left="1458"/>
              <w:rPr>
                <w:sz w:val="18"/>
              </w:rPr>
            </w:pPr>
            <w:r>
              <w:rPr>
                <w:sz w:val="18"/>
              </w:rPr>
              <w:t>77,772</w:t>
            </w:r>
          </w:p>
        </w:tc>
      </w:tr>
      <w:tr w:rsidR="00FA4AA8" w14:paraId="2E2128C8" w14:textId="77777777">
        <w:trPr>
          <w:trHeight w:val="261"/>
        </w:trPr>
        <w:tc>
          <w:tcPr>
            <w:tcW w:w="5481" w:type="dxa"/>
          </w:tcPr>
          <w:p w14:paraId="7F38FD47" w14:textId="77777777" w:rsidR="00FA4AA8" w:rsidRDefault="0015611F">
            <w:pPr>
              <w:pStyle w:val="TableParagraph"/>
              <w:spacing w:before="10"/>
              <w:ind w:left="814"/>
              <w:rPr>
                <w:sz w:val="18"/>
              </w:rPr>
            </w:pPr>
            <w:r>
              <w:rPr>
                <w:sz w:val="18"/>
              </w:rPr>
              <w:t>Other Incidental</w:t>
            </w:r>
          </w:p>
        </w:tc>
        <w:tc>
          <w:tcPr>
            <w:tcW w:w="4901" w:type="dxa"/>
          </w:tcPr>
          <w:p w14:paraId="48598A73" w14:textId="77777777" w:rsidR="00FA4AA8" w:rsidRDefault="0015611F">
            <w:pPr>
              <w:pStyle w:val="TableParagraph"/>
              <w:spacing w:before="10"/>
              <w:ind w:left="1458"/>
              <w:rPr>
                <w:sz w:val="18"/>
              </w:rPr>
            </w:pPr>
            <w:r>
              <w:rPr>
                <w:sz w:val="18"/>
              </w:rPr>
              <w:t>13,542</w:t>
            </w:r>
          </w:p>
        </w:tc>
      </w:tr>
      <w:tr w:rsidR="00FA4AA8" w14:paraId="627AB989" w14:textId="77777777">
        <w:trPr>
          <w:trHeight w:val="261"/>
        </w:trPr>
        <w:tc>
          <w:tcPr>
            <w:tcW w:w="5481" w:type="dxa"/>
          </w:tcPr>
          <w:p w14:paraId="492653AD" w14:textId="77777777" w:rsidR="00FA4AA8" w:rsidRDefault="0015611F">
            <w:pPr>
              <w:pStyle w:val="TableParagraph"/>
              <w:spacing w:before="39" w:line="203" w:lineRule="exact"/>
              <w:ind w:right="1204"/>
              <w:jc w:val="right"/>
              <w:rPr>
                <w:b/>
                <w:sz w:val="18"/>
              </w:rPr>
            </w:pPr>
            <w:r>
              <w:rPr>
                <w:b/>
                <w:sz w:val="18"/>
              </w:rPr>
              <w:t>Sub Total</w:t>
            </w:r>
          </w:p>
        </w:tc>
        <w:tc>
          <w:tcPr>
            <w:tcW w:w="4901" w:type="dxa"/>
          </w:tcPr>
          <w:p w14:paraId="5E64F793" w14:textId="77777777" w:rsidR="00FA4AA8" w:rsidRDefault="0015611F">
            <w:pPr>
              <w:pStyle w:val="TableParagraph"/>
              <w:spacing w:before="39" w:line="203" w:lineRule="exact"/>
              <w:ind w:left="1357"/>
              <w:rPr>
                <w:b/>
                <w:sz w:val="18"/>
              </w:rPr>
            </w:pPr>
            <w:r>
              <w:rPr>
                <w:b/>
                <w:sz w:val="18"/>
              </w:rPr>
              <w:t>109,170</w:t>
            </w:r>
          </w:p>
        </w:tc>
      </w:tr>
      <w:tr w:rsidR="00FA4AA8" w14:paraId="454B3818" w14:textId="77777777">
        <w:trPr>
          <w:trHeight w:val="232"/>
        </w:trPr>
        <w:tc>
          <w:tcPr>
            <w:tcW w:w="5481" w:type="dxa"/>
          </w:tcPr>
          <w:p w14:paraId="192CB5A2" w14:textId="77777777" w:rsidR="00FA4AA8" w:rsidRDefault="0015611F">
            <w:pPr>
              <w:pStyle w:val="TableParagraph"/>
              <w:spacing w:before="10" w:line="203" w:lineRule="exact"/>
              <w:ind w:left="514"/>
              <w:rPr>
                <w:b/>
                <w:sz w:val="18"/>
              </w:rPr>
            </w:pPr>
            <w:r>
              <w:rPr>
                <w:b/>
                <w:sz w:val="18"/>
              </w:rPr>
              <w:t>ENTITIES</w:t>
            </w:r>
          </w:p>
        </w:tc>
        <w:tc>
          <w:tcPr>
            <w:tcW w:w="4901" w:type="dxa"/>
          </w:tcPr>
          <w:p w14:paraId="6340BACD" w14:textId="77777777" w:rsidR="00FA4AA8" w:rsidRDefault="00FA4AA8">
            <w:pPr>
              <w:pStyle w:val="TableParagraph"/>
              <w:rPr>
                <w:rFonts w:ascii="Times New Roman"/>
                <w:sz w:val="16"/>
              </w:rPr>
            </w:pPr>
          </w:p>
        </w:tc>
      </w:tr>
      <w:tr w:rsidR="00FA4AA8" w14:paraId="79A626C4" w14:textId="77777777">
        <w:trPr>
          <w:trHeight w:val="232"/>
        </w:trPr>
        <w:tc>
          <w:tcPr>
            <w:tcW w:w="5481" w:type="dxa"/>
          </w:tcPr>
          <w:p w14:paraId="71B3C097" w14:textId="77777777" w:rsidR="00FA4AA8" w:rsidRDefault="0015611F">
            <w:pPr>
              <w:pStyle w:val="TableParagraph"/>
              <w:spacing w:before="10" w:line="203" w:lineRule="exact"/>
              <w:ind w:left="814"/>
              <w:rPr>
                <w:sz w:val="18"/>
              </w:rPr>
            </w:pPr>
            <w:r>
              <w:rPr>
                <w:sz w:val="18"/>
              </w:rPr>
              <w:t>The College</w:t>
            </w:r>
          </w:p>
        </w:tc>
        <w:tc>
          <w:tcPr>
            <w:tcW w:w="4901" w:type="dxa"/>
          </w:tcPr>
          <w:p w14:paraId="17F052D3" w14:textId="77777777" w:rsidR="00FA4AA8" w:rsidRDefault="0015611F">
            <w:pPr>
              <w:pStyle w:val="TableParagraph"/>
              <w:spacing w:before="10" w:line="203" w:lineRule="exact"/>
              <w:ind w:left="1458"/>
              <w:rPr>
                <w:sz w:val="18"/>
              </w:rPr>
            </w:pPr>
            <w:r>
              <w:rPr>
                <w:sz w:val="18"/>
              </w:rPr>
              <w:t>61,979</w:t>
            </w:r>
          </w:p>
        </w:tc>
      </w:tr>
      <w:tr w:rsidR="00FA4AA8" w14:paraId="0BED0D1E" w14:textId="77777777">
        <w:trPr>
          <w:trHeight w:val="232"/>
        </w:trPr>
        <w:tc>
          <w:tcPr>
            <w:tcW w:w="5481" w:type="dxa"/>
          </w:tcPr>
          <w:p w14:paraId="762A1D4B" w14:textId="77777777" w:rsidR="00FA4AA8" w:rsidRDefault="0015611F">
            <w:pPr>
              <w:pStyle w:val="TableParagraph"/>
              <w:spacing w:before="10" w:line="203" w:lineRule="exact"/>
              <w:ind w:left="814"/>
              <w:rPr>
                <w:sz w:val="18"/>
              </w:rPr>
            </w:pPr>
            <w:r>
              <w:rPr>
                <w:sz w:val="18"/>
              </w:rPr>
              <w:t>Whitlam Institute</w:t>
            </w:r>
          </w:p>
        </w:tc>
        <w:tc>
          <w:tcPr>
            <w:tcW w:w="4901" w:type="dxa"/>
          </w:tcPr>
          <w:p w14:paraId="48B2BC42" w14:textId="77777777" w:rsidR="00FA4AA8" w:rsidRDefault="0015611F">
            <w:pPr>
              <w:pStyle w:val="TableParagraph"/>
              <w:spacing w:before="10" w:line="203" w:lineRule="exact"/>
              <w:ind w:left="1692" w:right="2868"/>
              <w:jc w:val="center"/>
              <w:rPr>
                <w:sz w:val="18"/>
              </w:rPr>
            </w:pPr>
            <w:r>
              <w:rPr>
                <w:sz w:val="18"/>
              </w:rPr>
              <w:t>178</w:t>
            </w:r>
          </w:p>
        </w:tc>
      </w:tr>
      <w:tr w:rsidR="00FA4AA8" w14:paraId="35DA7D9B" w14:textId="77777777">
        <w:trPr>
          <w:trHeight w:val="232"/>
        </w:trPr>
        <w:tc>
          <w:tcPr>
            <w:tcW w:w="5481" w:type="dxa"/>
          </w:tcPr>
          <w:p w14:paraId="201CE2E9" w14:textId="77777777" w:rsidR="00FA4AA8" w:rsidRDefault="0015611F">
            <w:pPr>
              <w:pStyle w:val="TableParagraph"/>
              <w:spacing w:before="10" w:line="203" w:lineRule="exact"/>
              <w:ind w:left="814"/>
              <w:rPr>
                <w:sz w:val="18"/>
              </w:rPr>
            </w:pPr>
            <w:r>
              <w:rPr>
                <w:sz w:val="18"/>
              </w:rPr>
              <w:t>Early Learning Limited</w:t>
            </w:r>
          </w:p>
        </w:tc>
        <w:tc>
          <w:tcPr>
            <w:tcW w:w="4901" w:type="dxa"/>
          </w:tcPr>
          <w:p w14:paraId="0F39C22A" w14:textId="77777777" w:rsidR="00FA4AA8" w:rsidRDefault="0015611F">
            <w:pPr>
              <w:pStyle w:val="TableParagraph"/>
              <w:spacing w:before="10" w:line="203" w:lineRule="exact"/>
              <w:ind w:left="1559"/>
              <w:rPr>
                <w:sz w:val="18"/>
              </w:rPr>
            </w:pPr>
            <w:r>
              <w:rPr>
                <w:sz w:val="18"/>
              </w:rPr>
              <w:t>7,436</w:t>
            </w:r>
          </w:p>
        </w:tc>
      </w:tr>
      <w:tr w:rsidR="00FA4AA8" w14:paraId="3B18D474" w14:textId="77777777">
        <w:trPr>
          <w:trHeight w:val="349"/>
        </w:trPr>
        <w:tc>
          <w:tcPr>
            <w:tcW w:w="5481" w:type="dxa"/>
          </w:tcPr>
          <w:p w14:paraId="1A116D91" w14:textId="77777777" w:rsidR="00FA4AA8" w:rsidRDefault="0015611F">
            <w:pPr>
              <w:pStyle w:val="TableParagraph"/>
              <w:spacing w:before="10"/>
              <w:ind w:left="814"/>
              <w:rPr>
                <w:sz w:val="18"/>
              </w:rPr>
            </w:pPr>
            <w:r>
              <w:rPr>
                <w:sz w:val="18"/>
              </w:rPr>
              <w:t>Western Unlimited</w:t>
            </w:r>
          </w:p>
        </w:tc>
        <w:tc>
          <w:tcPr>
            <w:tcW w:w="4901" w:type="dxa"/>
          </w:tcPr>
          <w:p w14:paraId="29A50761" w14:textId="77777777" w:rsidR="00FA4AA8" w:rsidRDefault="0015611F">
            <w:pPr>
              <w:pStyle w:val="TableParagraph"/>
              <w:spacing w:before="10"/>
              <w:ind w:left="1559"/>
              <w:rPr>
                <w:sz w:val="18"/>
              </w:rPr>
            </w:pPr>
            <w:r>
              <w:rPr>
                <w:sz w:val="18"/>
              </w:rPr>
              <w:t>5,441</w:t>
            </w:r>
          </w:p>
        </w:tc>
      </w:tr>
      <w:tr w:rsidR="00FA4AA8" w14:paraId="3A325CA5" w14:textId="77777777">
        <w:trPr>
          <w:trHeight w:val="465"/>
        </w:trPr>
        <w:tc>
          <w:tcPr>
            <w:tcW w:w="5481" w:type="dxa"/>
          </w:tcPr>
          <w:p w14:paraId="429B332B" w14:textId="77777777" w:rsidR="00FA4AA8" w:rsidRDefault="0015611F">
            <w:pPr>
              <w:pStyle w:val="TableParagraph"/>
              <w:spacing w:before="126"/>
              <w:ind w:right="1204"/>
              <w:jc w:val="right"/>
              <w:rPr>
                <w:b/>
                <w:sz w:val="18"/>
              </w:rPr>
            </w:pPr>
            <w:r>
              <w:rPr>
                <w:b/>
                <w:sz w:val="18"/>
              </w:rPr>
              <w:t>Sub Total</w:t>
            </w:r>
          </w:p>
        </w:tc>
        <w:tc>
          <w:tcPr>
            <w:tcW w:w="4901" w:type="dxa"/>
          </w:tcPr>
          <w:p w14:paraId="5706C7F8" w14:textId="77777777" w:rsidR="00FA4AA8" w:rsidRDefault="0015611F">
            <w:pPr>
              <w:pStyle w:val="TableParagraph"/>
              <w:spacing w:before="126"/>
              <w:ind w:left="1458"/>
              <w:rPr>
                <w:b/>
                <w:sz w:val="18"/>
              </w:rPr>
            </w:pPr>
            <w:r>
              <w:rPr>
                <w:b/>
                <w:sz w:val="18"/>
              </w:rPr>
              <w:t>75,032</w:t>
            </w:r>
          </w:p>
        </w:tc>
      </w:tr>
      <w:tr w:rsidR="00FA4AA8" w14:paraId="655DD35F" w14:textId="77777777">
        <w:trPr>
          <w:trHeight w:val="465"/>
        </w:trPr>
        <w:tc>
          <w:tcPr>
            <w:tcW w:w="5481" w:type="dxa"/>
          </w:tcPr>
          <w:p w14:paraId="391900D5" w14:textId="77777777" w:rsidR="00FA4AA8" w:rsidRDefault="0015611F">
            <w:pPr>
              <w:pStyle w:val="TableParagraph"/>
              <w:spacing w:before="126"/>
              <w:ind w:right="1203"/>
              <w:jc w:val="right"/>
              <w:rPr>
                <w:b/>
                <w:sz w:val="18"/>
              </w:rPr>
            </w:pPr>
            <w:r>
              <w:rPr>
                <w:b/>
                <w:sz w:val="18"/>
              </w:rPr>
              <w:t>TOTAL SELF-GENERATED INCOME</w:t>
            </w:r>
          </w:p>
        </w:tc>
        <w:tc>
          <w:tcPr>
            <w:tcW w:w="4901" w:type="dxa"/>
          </w:tcPr>
          <w:p w14:paraId="0F41AB85" w14:textId="77777777" w:rsidR="00FA4AA8" w:rsidRDefault="0015611F">
            <w:pPr>
              <w:pStyle w:val="TableParagraph"/>
              <w:spacing w:before="126"/>
              <w:ind w:left="1357"/>
              <w:rPr>
                <w:b/>
                <w:sz w:val="18"/>
              </w:rPr>
            </w:pPr>
            <w:r>
              <w:rPr>
                <w:b/>
                <w:sz w:val="18"/>
              </w:rPr>
              <w:t>463,532</w:t>
            </w:r>
          </w:p>
        </w:tc>
      </w:tr>
      <w:tr w:rsidR="00FA4AA8" w14:paraId="2CDF49DA" w14:textId="77777777">
        <w:trPr>
          <w:trHeight w:val="646"/>
        </w:trPr>
        <w:tc>
          <w:tcPr>
            <w:tcW w:w="5481" w:type="dxa"/>
          </w:tcPr>
          <w:p w14:paraId="5B82DD58" w14:textId="77777777" w:rsidR="00FA4AA8" w:rsidRDefault="0015611F">
            <w:pPr>
              <w:pStyle w:val="TableParagraph"/>
              <w:spacing w:before="126"/>
              <w:ind w:right="1203"/>
              <w:jc w:val="right"/>
              <w:rPr>
                <w:b/>
                <w:sz w:val="18"/>
              </w:rPr>
            </w:pPr>
            <w:r>
              <w:rPr>
                <w:b/>
                <w:sz w:val="18"/>
              </w:rPr>
              <w:t>TOTAL INCOME</w:t>
            </w:r>
          </w:p>
        </w:tc>
        <w:tc>
          <w:tcPr>
            <w:tcW w:w="4901" w:type="dxa"/>
          </w:tcPr>
          <w:p w14:paraId="46726025" w14:textId="77777777" w:rsidR="00FA4AA8" w:rsidRDefault="0015611F">
            <w:pPr>
              <w:pStyle w:val="TableParagraph"/>
              <w:spacing w:before="126"/>
              <w:ind w:left="1206"/>
              <w:rPr>
                <w:b/>
                <w:sz w:val="18"/>
              </w:rPr>
            </w:pPr>
            <w:r>
              <w:rPr>
                <w:b/>
                <w:sz w:val="18"/>
              </w:rPr>
              <w:t>1,022,994</w:t>
            </w:r>
          </w:p>
        </w:tc>
      </w:tr>
      <w:tr w:rsidR="00FA4AA8" w14:paraId="38CF27FD" w14:textId="77777777">
        <w:trPr>
          <w:trHeight w:val="574"/>
        </w:trPr>
        <w:tc>
          <w:tcPr>
            <w:tcW w:w="5481" w:type="dxa"/>
          </w:tcPr>
          <w:p w14:paraId="0D2104F1" w14:textId="77777777" w:rsidR="00FA4AA8" w:rsidRDefault="00FA4AA8">
            <w:pPr>
              <w:pStyle w:val="TableParagraph"/>
              <w:spacing w:before="8"/>
              <w:rPr>
                <w:sz w:val="26"/>
              </w:rPr>
            </w:pPr>
          </w:p>
          <w:p w14:paraId="46C755BC" w14:textId="77777777" w:rsidR="00FA4AA8" w:rsidRDefault="0015611F">
            <w:pPr>
              <w:pStyle w:val="TableParagraph"/>
              <w:ind w:left="200"/>
              <w:rPr>
                <w:b/>
                <w:sz w:val="18"/>
              </w:rPr>
            </w:pPr>
            <w:r>
              <w:rPr>
                <w:b/>
                <w:sz w:val="18"/>
              </w:rPr>
              <w:t>EXPENSES FROM CONTINUING OPERATIONS</w:t>
            </w:r>
          </w:p>
        </w:tc>
        <w:tc>
          <w:tcPr>
            <w:tcW w:w="4901" w:type="dxa"/>
          </w:tcPr>
          <w:p w14:paraId="6830F25F" w14:textId="77777777" w:rsidR="00FA4AA8" w:rsidRDefault="00FA4AA8">
            <w:pPr>
              <w:pStyle w:val="TableParagraph"/>
              <w:rPr>
                <w:rFonts w:ascii="Times New Roman"/>
                <w:sz w:val="18"/>
              </w:rPr>
            </w:pPr>
          </w:p>
        </w:tc>
      </w:tr>
      <w:tr w:rsidR="00FA4AA8" w14:paraId="7D5E48C5" w14:textId="77777777">
        <w:trPr>
          <w:trHeight w:val="277"/>
        </w:trPr>
        <w:tc>
          <w:tcPr>
            <w:tcW w:w="5481" w:type="dxa"/>
          </w:tcPr>
          <w:p w14:paraId="7E3DE9F3" w14:textId="77777777" w:rsidR="00FA4AA8" w:rsidRDefault="0015611F">
            <w:pPr>
              <w:pStyle w:val="TableParagraph"/>
              <w:spacing w:before="54" w:line="203" w:lineRule="exact"/>
              <w:ind w:left="514"/>
              <w:rPr>
                <w:sz w:val="18"/>
              </w:rPr>
            </w:pPr>
            <w:r>
              <w:rPr>
                <w:sz w:val="18"/>
              </w:rPr>
              <w:t>Schools</w:t>
            </w:r>
          </w:p>
        </w:tc>
        <w:tc>
          <w:tcPr>
            <w:tcW w:w="4901" w:type="dxa"/>
          </w:tcPr>
          <w:p w14:paraId="284515B3" w14:textId="77777777" w:rsidR="00FA4AA8" w:rsidRDefault="0015611F">
            <w:pPr>
              <w:pStyle w:val="TableParagraph"/>
              <w:spacing w:before="54" w:line="203" w:lineRule="exact"/>
              <w:ind w:left="1357"/>
              <w:rPr>
                <w:sz w:val="18"/>
              </w:rPr>
            </w:pPr>
            <w:r>
              <w:rPr>
                <w:sz w:val="18"/>
              </w:rPr>
              <w:t>225,269</w:t>
            </w:r>
          </w:p>
        </w:tc>
      </w:tr>
      <w:tr w:rsidR="00FA4AA8" w14:paraId="2B94A2E4" w14:textId="77777777">
        <w:trPr>
          <w:trHeight w:val="232"/>
        </w:trPr>
        <w:tc>
          <w:tcPr>
            <w:tcW w:w="5481" w:type="dxa"/>
          </w:tcPr>
          <w:p w14:paraId="251A981E" w14:textId="77777777" w:rsidR="00FA4AA8" w:rsidRDefault="0015611F">
            <w:pPr>
              <w:pStyle w:val="TableParagraph"/>
              <w:spacing w:before="10" w:line="203" w:lineRule="exact"/>
              <w:ind w:left="514"/>
              <w:rPr>
                <w:sz w:val="18"/>
              </w:rPr>
            </w:pPr>
            <w:r>
              <w:rPr>
                <w:sz w:val="18"/>
              </w:rPr>
              <w:t>Research</w:t>
            </w:r>
          </w:p>
        </w:tc>
        <w:tc>
          <w:tcPr>
            <w:tcW w:w="4901" w:type="dxa"/>
          </w:tcPr>
          <w:p w14:paraId="084A75C4" w14:textId="77777777" w:rsidR="00FA4AA8" w:rsidRDefault="0015611F">
            <w:pPr>
              <w:pStyle w:val="TableParagraph"/>
              <w:spacing w:before="10" w:line="203" w:lineRule="exact"/>
              <w:ind w:left="1458"/>
              <w:rPr>
                <w:sz w:val="18"/>
              </w:rPr>
            </w:pPr>
            <w:r>
              <w:rPr>
                <w:sz w:val="18"/>
              </w:rPr>
              <w:t>87,287</w:t>
            </w:r>
          </w:p>
        </w:tc>
      </w:tr>
      <w:tr w:rsidR="00FA4AA8" w14:paraId="4161A729" w14:textId="77777777">
        <w:trPr>
          <w:trHeight w:val="232"/>
        </w:trPr>
        <w:tc>
          <w:tcPr>
            <w:tcW w:w="5481" w:type="dxa"/>
          </w:tcPr>
          <w:p w14:paraId="0039D1A2" w14:textId="77777777" w:rsidR="00FA4AA8" w:rsidRDefault="0015611F">
            <w:pPr>
              <w:pStyle w:val="TableParagraph"/>
              <w:spacing w:before="10" w:line="203" w:lineRule="exact"/>
              <w:ind w:left="514"/>
              <w:rPr>
                <w:sz w:val="18"/>
              </w:rPr>
            </w:pPr>
            <w:r>
              <w:rPr>
                <w:sz w:val="18"/>
              </w:rPr>
              <w:t>Divisions</w:t>
            </w:r>
          </w:p>
        </w:tc>
        <w:tc>
          <w:tcPr>
            <w:tcW w:w="4901" w:type="dxa"/>
          </w:tcPr>
          <w:p w14:paraId="452BEE4C" w14:textId="77777777" w:rsidR="00FA4AA8" w:rsidRDefault="0015611F">
            <w:pPr>
              <w:pStyle w:val="TableParagraph"/>
              <w:spacing w:before="10" w:line="203" w:lineRule="exact"/>
              <w:ind w:left="1357"/>
              <w:rPr>
                <w:sz w:val="18"/>
              </w:rPr>
            </w:pPr>
            <w:r>
              <w:rPr>
                <w:sz w:val="18"/>
              </w:rPr>
              <w:t>206,383</w:t>
            </w:r>
          </w:p>
        </w:tc>
      </w:tr>
      <w:tr w:rsidR="00FA4AA8" w14:paraId="54FC9E99" w14:textId="77777777">
        <w:trPr>
          <w:trHeight w:val="232"/>
        </w:trPr>
        <w:tc>
          <w:tcPr>
            <w:tcW w:w="5481" w:type="dxa"/>
          </w:tcPr>
          <w:p w14:paraId="5A56B80B" w14:textId="77777777" w:rsidR="00FA4AA8" w:rsidRDefault="0015611F">
            <w:pPr>
              <w:pStyle w:val="TableParagraph"/>
              <w:spacing w:before="10" w:line="203" w:lineRule="exact"/>
              <w:ind w:left="514"/>
              <w:rPr>
                <w:sz w:val="18"/>
              </w:rPr>
            </w:pPr>
            <w:r>
              <w:rPr>
                <w:sz w:val="18"/>
              </w:rPr>
              <w:t>Entities</w:t>
            </w:r>
          </w:p>
        </w:tc>
        <w:tc>
          <w:tcPr>
            <w:tcW w:w="4901" w:type="dxa"/>
          </w:tcPr>
          <w:p w14:paraId="4BDF6A44" w14:textId="77777777" w:rsidR="00FA4AA8" w:rsidRDefault="0015611F">
            <w:pPr>
              <w:pStyle w:val="TableParagraph"/>
              <w:spacing w:before="10" w:line="203" w:lineRule="exact"/>
              <w:ind w:left="1458"/>
              <w:rPr>
                <w:sz w:val="18"/>
              </w:rPr>
            </w:pPr>
            <w:r>
              <w:rPr>
                <w:sz w:val="18"/>
              </w:rPr>
              <w:t>76,726</w:t>
            </w:r>
          </w:p>
        </w:tc>
      </w:tr>
      <w:tr w:rsidR="00FA4AA8" w14:paraId="42511355" w14:textId="77777777">
        <w:trPr>
          <w:trHeight w:val="232"/>
        </w:trPr>
        <w:tc>
          <w:tcPr>
            <w:tcW w:w="5481" w:type="dxa"/>
          </w:tcPr>
          <w:p w14:paraId="7A5D42FF" w14:textId="77777777" w:rsidR="00FA4AA8" w:rsidRDefault="0015611F">
            <w:pPr>
              <w:pStyle w:val="TableParagraph"/>
              <w:spacing w:before="10" w:line="203" w:lineRule="exact"/>
              <w:ind w:left="514"/>
              <w:rPr>
                <w:sz w:val="18"/>
              </w:rPr>
            </w:pPr>
            <w:r>
              <w:rPr>
                <w:sz w:val="18"/>
              </w:rPr>
              <w:t>Consulting &amp; Innovation</w:t>
            </w:r>
          </w:p>
        </w:tc>
        <w:tc>
          <w:tcPr>
            <w:tcW w:w="4901" w:type="dxa"/>
          </w:tcPr>
          <w:p w14:paraId="66E034A9" w14:textId="77777777" w:rsidR="00FA4AA8" w:rsidRDefault="0015611F">
            <w:pPr>
              <w:pStyle w:val="TableParagraph"/>
              <w:spacing w:before="10" w:line="203" w:lineRule="exact"/>
              <w:ind w:left="1558"/>
              <w:rPr>
                <w:sz w:val="18"/>
              </w:rPr>
            </w:pPr>
            <w:r>
              <w:rPr>
                <w:sz w:val="18"/>
              </w:rPr>
              <w:t>2,052</w:t>
            </w:r>
          </w:p>
        </w:tc>
      </w:tr>
      <w:tr w:rsidR="00FA4AA8" w14:paraId="58063773" w14:textId="77777777">
        <w:trPr>
          <w:trHeight w:val="232"/>
        </w:trPr>
        <w:tc>
          <w:tcPr>
            <w:tcW w:w="5481" w:type="dxa"/>
          </w:tcPr>
          <w:p w14:paraId="3B5F78D9" w14:textId="77777777" w:rsidR="00FA4AA8" w:rsidRDefault="0015611F">
            <w:pPr>
              <w:pStyle w:val="TableParagraph"/>
              <w:spacing w:before="10" w:line="203" w:lineRule="exact"/>
              <w:ind w:left="514"/>
              <w:rPr>
                <w:sz w:val="18"/>
              </w:rPr>
            </w:pPr>
            <w:r>
              <w:rPr>
                <w:sz w:val="18"/>
              </w:rPr>
              <w:t>University Wide</w:t>
            </w:r>
          </w:p>
        </w:tc>
        <w:tc>
          <w:tcPr>
            <w:tcW w:w="4901" w:type="dxa"/>
          </w:tcPr>
          <w:p w14:paraId="58ABF5EC" w14:textId="77777777" w:rsidR="00FA4AA8" w:rsidRDefault="0015611F">
            <w:pPr>
              <w:pStyle w:val="TableParagraph"/>
              <w:spacing w:before="10" w:line="203" w:lineRule="exact"/>
              <w:ind w:left="1357"/>
              <w:rPr>
                <w:sz w:val="18"/>
              </w:rPr>
            </w:pPr>
            <w:r>
              <w:rPr>
                <w:sz w:val="18"/>
              </w:rPr>
              <w:t>202,692</w:t>
            </w:r>
          </w:p>
        </w:tc>
      </w:tr>
      <w:tr w:rsidR="00FA4AA8" w14:paraId="3E2F7B6E" w14:textId="77777777">
        <w:trPr>
          <w:trHeight w:val="232"/>
        </w:trPr>
        <w:tc>
          <w:tcPr>
            <w:tcW w:w="5481" w:type="dxa"/>
          </w:tcPr>
          <w:p w14:paraId="018A1305" w14:textId="77777777" w:rsidR="00FA4AA8" w:rsidRDefault="0015611F">
            <w:pPr>
              <w:pStyle w:val="TableParagraph"/>
              <w:spacing w:before="10" w:line="203" w:lineRule="exact"/>
              <w:ind w:left="514"/>
              <w:rPr>
                <w:sz w:val="18"/>
              </w:rPr>
            </w:pPr>
            <w:r>
              <w:rPr>
                <w:sz w:val="18"/>
              </w:rPr>
              <w:t>Strategic Initiatives</w:t>
            </w:r>
          </w:p>
        </w:tc>
        <w:tc>
          <w:tcPr>
            <w:tcW w:w="4901" w:type="dxa"/>
          </w:tcPr>
          <w:p w14:paraId="29084AEF" w14:textId="77777777" w:rsidR="00FA4AA8" w:rsidRDefault="0015611F">
            <w:pPr>
              <w:pStyle w:val="TableParagraph"/>
              <w:spacing w:before="10" w:line="203" w:lineRule="exact"/>
              <w:ind w:left="1458"/>
              <w:rPr>
                <w:sz w:val="18"/>
              </w:rPr>
            </w:pPr>
            <w:r>
              <w:rPr>
                <w:sz w:val="18"/>
              </w:rPr>
              <w:t>47,530</w:t>
            </w:r>
          </w:p>
        </w:tc>
      </w:tr>
      <w:tr w:rsidR="00FA4AA8" w14:paraId="43C4CA91" w14:textId="77777777">
        <w:trPr>
          <w:trHeight w:val="232"/>
        </w:trPr>
        <w:tc>
          <w:tcPr>
            <w:tcW w:w="5481" w:type="dxa"/>
          </w:tcPr>
          <w:p w14:paraId="3E9F10AD" w14:textId="77777777" w:rsidR="00FA4AA8" w:rsidRDefault="0015611F">
            <w:pPr>
              <w:pStyle w:val="TableParagraph"/>
              <w:spacing w:before="10" w:line="203" w:lineRule="exact"/>
              <w:ind w:left="514"/>
              <w:rPr>
                <w:sz w:val="18"/>
              </w:rPr>
            </w:pPr>
            <w:r>
              <w:rPr>
                <w:sz w:val="18"/>
              </w:rPr>
              <w:t>Minor Works (Expensed)</w:t>
            </w:r>
          </w:p>
        </w:tc>
        <w:tc>
          <w:tcPr>
            <w:tcW w:w="4901" w:type="dxa"/>
          </w:tcPr>
          <w:p w14:paraId="774F999B" w14:textId="77777777" w:rsidR="00FA4AA8" w:rsidRDefault="0015611F">
            <w:pPr>
              <w:pStyle w:val="TableParagraph"/>
              <w:spacing w:before="10" w:line="203" w:lineRule="exact"/>
              <w:ind w:left="1558"/>
              <w:rPr>
                <w:sz w:val="18"/>
              </w:rPr>
            </w:pPr>
            <w:r>
              <w:rPr>
                <w:sz w:val="18"/>
              </w:rPr>
              <w:t>9,491</w:t>
            </w:r>
          </w:p>
        </w:tc>
      </w:tr>
      <w:tr w:rsidR="00FA4AA8" w14:paraId="2CB65DAB" w14:textId="77777777">
        <w:trPr>
          <w:trHeight w:val="232"/>
        </w:trPr>
        <w:tc>
          <w:tcPr>
            <w:tcW w:w="5481" w:type="dxa"/>
          </w:tcPr>
          <w:p w14:paraId="6F9BEEDF" w14:textId="77777777" w:rsidR="00FA4AA8" w:rsidRDefault="0015611F">
            <w:pPr>
              <w:pStyle w:val="TableParagraph"/>
              <w:spacing w:before="10" w:line="203" w:lineRule="exact"/>
              <w:ind w:left="514"/>
              <w:rPr>
                <w:sz w:val="18"/>
              </w:rPr>
            </w:pPr>
            <w:r>
              <w:rPr>
                <w:sz w:val="18"/>
              </w:rPr>
              <w:t>External Trust &amp; Tied Grants</w:t>
            </w:r>
          </w:p>
        </w:tc>
        <w:tc>
          <w:tcPr>
            <w:tcW w:w="4901" w:type="dxa"/>
          </w:tcPr>
          <w:p w14:paraId="4C27C4D1" w14:textId="77777777" w:rsidR="00FA4AA8" w:rsidRDefault="0015611F">
            <w:pPr>
              <w:pStyle w:val="TableParagraph"/>
              <w:spacing w:before="10" w:line="203" w:lineRule="exact"/>
              <w:ind w:left="1458"/>
              <w:rPr>
                <w:sz w:val="18"/>
              </w:rPr>
            </w:pPr>
            <w:r>
              <w:rPr>
                <w:sz w:val="18"/>
              </w:rPr>
              <w:t>21,523</w:t>
            </w:r>
          </w:p>
        </w:tc>
      </w:tr>
      <w:tr w:rsidR="00FA4AA8" w14:paraId="72C174D3" w14:textId="77777777">
        <w:trPr>
          <w:trHeight w:val="232"/>
        </w:trPr>
        <w:tc>
          <w:tcPr>
            <w:tcW w:w="5481" w:type="dxa"/>
          </w:tcPr>
          <w:p w14:paraId="6B34377E" w14:textId="77777777" w:rsidR="00FA4AA8" w:rsidRDefault="0015611F">
            <w:pPr>
              <w:pStyle w:val="TableParagraph"/>
              <w:spacing w:before="10" w:line="203" w:lineRule="exact"/>
              <w:ind w:left="514"/>
              <w:rPr>
                <w:sz w:val="18"/>
              </w:rPr>
            </w:pPr>
            <w:r>
              <w:rPr>
                <w:sz w:val="18"/>
              </w:rPr>
              <w:t>Depreciation</w:t>
            </w:r>
          </w:p>
        </w:tc>
        <w:tc>
          <w:tcPr>
            <w:tcW w:w="4901" w:type="dxa"/>
          </w:tcPr>
          <w:p w14:paraId="4D41DCD3" w14:textId="77777777" w:rsidR="00FA4AA8" w:rsidRDefault="0015611F">
            <w:pPr>
              <w:pStyle w:val="TableParagraph"/>
              <w:spacing w:before="10" w:line="203" w:lineRule="exact"/>
              <w:ind w:left="1458"/>
              <w:rPr>
                <w:sz w:val="18"/>
              </w:rPr>
            </w:pPr>
            <w:r>
              <w:rPr>
                <w:sz w:val="18"/>
              </w:rPr>
              <w:t>55,890</w:t>
            </w:r>
          </w:p>
        </w:tc>
      </w:tr>
      <w:tr w:rsidR="00FA4AA8" w14:paraId="354CEE44" w14:textId="77777777">
        <w:trPr>
          <w:trHeight w:val="297"/>
        </w:trPr>
        <w:tc>
          <w:tcPr>
            <w:tcW w:w="5481" w:type="dxa"/>
          </w:tcPr>
          <w:p w14:paraId="02ABAB42" w14:textId="77777777" w:rsidR="00FA4AA8" w:rsidRDefault="0015611F">
            <w:pPr>
              <w:pStyle w:val="TableParagraph"/>
              <w:spacing w:before="10"/>
              <w:ind w:left="514"/>
              <w:rPr>
                <w:sz w:val="18"/>
              </w:rPr>
            </w:pPr>
            <w:r>
              <w:rPr>
                <w:sz w:val="18"/>
              </w:rPr>
              <w:t>Land/Property Development Projects</w:t>
            </w:r>
          </w:p>
        </w:tc>
        <w:tc>
          <w:tcPr>
            <w:tcW w:w="4901" w:type="dxa"/>
          </w:tcPr>
          <w:p w14:paraId="0ED5A5F9" w14:textId="77777777" w:rsidR="00FA4AA8" w:rsidRDefault="0015611F">
            <w:pPr>
              <w:pStyle w:val="TableParagraph"/>
              <w:spacing w:before="10"/>
              <w:ind w:left="1458"/>
              <w:rPr>
                <w:sz w:val="18"/>
              </w:rPr>
            </w:pPr>
            <w:r>
              <w:rPr>
                <w:sz w:val="18"/>
              </w:rPr>
              <w:t>19,843</w:t>
            </w:r>
          </w:p>
        </w:tc>
      </w:tr>
      <w:tr w:rsidR="00FA4AA8" w14:paraId="2DEED6A8" w14:textId="77777777">
        <w:trPr>
          <w:trHeight w:val="525"/>
        </w:trPr>
        <w:tc>
          <w:tcPr>
            <w:tcW w:w="5481" w:type="dxa"/>
          </w:tcPr>
          <w:p w14:paraId="635D8902" w14:textId="77777777" w:rsidR="00FA4AA8" w:rsidRDefault="0015611F">
            <w:pPr>
              <w:pStyle w:val="TableParagraph"/>
              <w:spacing w:before="75"/>
              <w:ind w:right="1204"/>
              <w:jc w:val="right"/>
              <w:rPr>
                <w:b/>
                <w:sz w:val="18"/>
              </w:rPr>
            </w:pPr>
            <w:r>
              <w:rPr>
                <w:b/>
                <w:sz w:val="18"/>
              </w:rPr>
              <w:t>TOTAL EXPENDITURE</w:t>
            </w:r>
          </w:p>
        </w:tc>
        <w:tc>
          <w:tcPr>
            <w:tcW w:w="4901" w:type="dxa"/>
          </w:tcPr>
          <w:p w14:paraId="165DF78F" w14:textId="77777777" w:rsidR="00FA4AA8" w:rsidRDefault="0015611F">
            <w:pPr>
              <w:pStyle w:val="TableParagraph"/>
              <w:spacing w:before="75"/>
              <w:ind w:left="1357"/>
              <w:rPr>
                <w:b/>
                <w:sz w:val="18"/>
              </w:rPr>
            </w:pPr>
            <w:r>
              <w:rPr>
                <w:b/>
                <w:sz w:val="18"/>
              </w:rPr>
              <w:t>954,685</w:t>
            </w:r>
          </w:p>
        </w:tc>
      </w:tr>
      <w:tr w:rsidR="00FA4AA8" w14:paraId="05B1F21F" w14:textId="77777777">
        <w:trPr>
          <w:trHeight w:val="444"/>
        </w:trPr>
        <w:tc>
          <w:tcPr>
            <w:tcW w:w="5481" w:type="dxa"/>
          </w:tcPr>
          <w:p w14:paraId="3EADBD3A" w14:textId="77777777" w:rsidR="00FA4AA8" w:rsidRDefault="00FA4AA8">
            <w:pPr>
              <w:pStyle w:val="TableParagraph"/>
              <w:spacing w:before="7"/>
              <w:rPr>
                <w:sz w:val="20"/>
              </w:rPr>
            </w:pPr>
          </w:p>
          <w:p w14:paraId="2A413DE0" w14:textId="77777777" w:rsidR="00FA4AA8" w:rsidRDefault="0015611F">
            <w:pPr>
              <w:pStyle w:val="TableParagraph"/>
              <w:spacing w:before="1" w:line="187" w:lineRule="exact"/>
              <w:ind w:left="200"/>
              <w:rPr>
                <w:b/>
                <w:sz w:val="18"/>
              </w:rPr>
            </w:pPr>
            <w:r>
              <w:rPr>
                <w:b/>
                <w:sz w:val="18"/>
              </w:rPr>
              <w:t>NET REPORTED RESULT</w:t>
            </w:r>
          </w:p>
        </w:tc>
        <w:tc>
          <w:tcPr>
            <w:tcW w:w="4901" w:type="dxa"/>
          </w:tcPr>
          <w:p w14:paraId="23EF921E" w14:textId="77777777" w:rsidR="00FA4AA8" w:rsidRDefault="00FA4AA8">
            <w:pPr>
              <w:pStyle w:val="TableParagraph"/>
              <w:spacing w:before="7"/>
              <w:rPr>
                <w:sz w:val="20"/>
              </w:rPr>
            </w:pPr>
          </w:p>
          <w:p w14:paraId="38C55746" w14:textId="77777777" w:rsidR="00FA4AA8" w:rsidRDefault="0015611F">
            <w:pPr>
              <w:pStyle w:val="TableParagraph"/>
              <w:spacing w:before="1" w:line="187" w:lineRule="exact"/>
              <w:ind w:left="1458"/>
              <w:rPr>
                <w:b/>
                <w:sz w:val="18"/>
              </w:rPr>
            </w:pPr>
            <w:r>
              <w:rPr>
                <w:b/>
                <w:sz w:val="18"/>
              </w:rPr>
              <w:t>68,308</w:t>
            </w:r>
          </w:p>
        </w:tc>
      </w:tr>
    </w:tbl>
    <w:p w14:paraId="16A25300" w14:textId="77777777" w:rsidR="00FA4AA8" w:rsidRDefault="00FA4AA8">
      <w:pPr>
        <w:pStyle w:val="BodyText"/>
        <w:rPr>
          <w:sz w:val="20"/>
        </w:rPr>
      </w:pPr>
    </w:p>
    <w:p w14:paraId="6C56E244" w14:textId="77777777" w:rsidR="00FA4AA8" w:rsidRDefault="00FA4AA8">
      <w:pPr>
        <w:pStyle w:val="BodyText"/>
        <w:rPr>
          <w:sz w:val="20"/>
        </w:rPr>
      </w:pPr>
    </w:p>
    <w:p w14:paraId="5C333E8A" w14:textId="77777777" w:rsidR="00FA4AA8" w:rsidRDefault="00FA4AA8">
      <w:pPr>
        <w:pStyle w:val="BodyText"/>
        <w:rPr>
          <w:sz w:val="20"/>
        </w:rPr>
      </w:pPr>
    </w:p>
    <w:p w14:paraId="34F32D71" w14:textId="77777777" w:rsidR="00FA4AA8" w:rsidRDefault="00FA4AA8">
      <w:pPr>
        <w:pStyle w:val="BodyText"/>
        <w:rPr>
          <w:sz w:val="20"/>
        </w:rPr>
      </w:pPr>
    </w:p>
    <w:p w14:paraId="702324CF" w14:textId="77777777" w:rsidR="00FA4AA8" w:rsidRDefault="00FA4AA8">
      <w:pPr>
        <w:pStyle w:val="BodyText"/>
        <w:rPr>
          <w:sz w:val="20"/>
        </w:rPr>
      </w:pPr>
    </w:p>
    <w:p w14:paraId="0F481476" w14:textId="77777777" w:rsidR="00FA4AA8" w:rsidRDefault="00FA4AA8">
      <w:pPr>
        <w:pStyle w:val="BodyText"/>
        <w:spacing w:before="5"/>
        <w:rPr>
          <w:sz w:val="22"/>
        </w:rPr>
      </w:pPr>
    </w:p>
    <w:p w14:paraId="5B459EB3" w14:textId="77777777" w:rsidR="00FA4AA8" w:rsidRDefault="0015611F">
      <w:pPr>
        <w:ind w:left="5516" w:right="4777"/>
        <w:jc w:val="center"/>
        <w:rPr>
          <w:sz w:val="16"/>
        </w:rPr>
      </w:pPr>
      <w:r>
        <w:rPr>
          <w:sz w:val="16"/>
        </w:rPr>
        <w:t>249</w:t>
      </w:r>
    </w:p>
    <w:p w14:paraId="18E61CD6" w14:textId="77777777" w:rsidR="00FA4AA8" w:rsidRDefault="00FA4AA8">
      <w:pPr>
        <w:jc w:val="center"/>
        <w:rPr>
          <w:sz w:val="16"/>
        </w:rPr>
        <w:sectPr w:rsidR="00FA4AA8">
          <w:headerReference w:type="default" r:id="rId320"/>
          <w:footerReference w:type="default" r:id="rId321"/>
          <w:pgSz w:w="11900" w:h="16850"/>
          <w:pgMar w:top="900" w:right="1020" w:bottom="280" w:left="280" w:header="0" w:footer="0" w:gutter="0"/>
          <w:cols w:space="720"/>
        </w:sectPr>
      </w:pPr>
    </w:p>
    <w:p w14:paraId="4EECEF1F" w14:textId="77777777" w:rsidR="00FA4AA8" w:rsidRDefault="0015611F">
      <w:pPr>
        <w:pStyle w:val="Heading2"/>
        <w:spacing w:before="75"/>
        <w:ind w:left="260"/>
      </w:pPr>
      <w:bookmarkStart w:id="223" w:name="3.Accounts_Payable_Performance_Indicator"/>
      <w:bookmarkEnd w:id="223"/>
      <w:r>
        <w:t>Accounts Payable Performance Indicators – 2018</w:t>
      </w:r>
    </w:p>
    <w:p w14:paraId="729E46A2" w14:textId="77777777" w:rsidR="00FA4AA8" w:rsidRDefault="00FA4AA8">
      <w:pPr>
        <w:pStyle w:val="BodyText"/>
        <w:rPr>
          <w:b/>
          <w:sz w:val="30"/>
        </w:rPr>
      </w:pPr>
    </w:p>
    <w:p w14:paraId="3D08B4E8" w14:textId="77777777" w:rsidR="00FA4AA8" w:rsidRDefault="0015611F">
      <w:pPr>
        <w:pStyle w:val="BodyText"/>
        <w:spacing w:before="229" w:line="256" w:lineRule="auto"/>
        <w:ind w:left="260" w:right="316"/>
      </w:pPr>
      <w:r>
        <w:t>The University’s payment terms to creditors is 30 days. Any variation to these terms with due justification must be approved by the University Treasurer. University payment runs are fortnightly. The majority of payments are made via electronic transfer with the remainder being settled by cheque.</w:t>
      </w:r>
    </w:p>
    <w:p w14:paraId="1210EC18" w14:textId="77777777" w:rsidR="00FA4AA8" w:rsidRDefault="00FA4AA8">
      <w:pPr>
        <w:pStyle w:val="BodyText"/>
        <w:spacing w:before="6" w:after="1"/>
        <w:rPr>
          <w:sz w:val="19"/>
        </w:rPr>
      </w:pPr>
    </w:p>
    <w:tbl>
      <w:tblPr>
        <w:tblW w:w="0" w:type="auto"/>
        <w:tblInd w:w="267" w:type="dxa"/>
        <w:tblLayout w:type="fixed"/>
        <w:tblCellMar>
          <w:left w:w="0" w:type="dxa"/>
          <w:right w:w="0" w:type="dxa"/>
        </w:tblCellMar>
        <w:tblLook w:val="01E0" w:firstRow="1" w:lastRow="1" w:firstColumn="1" w:lastColumn="1" w:noHBand="0" w:noVBand="0"/>
      </w:tblPr>
      <w:tblGrid>
        <w:gridCol w:w="4296"/>
        <w:gridCol w:w="1017"/>
        <w:gridCol w:w="1161"/>
        <w:gridCol w:w="1161"/>
        <w:gridCol w:w="1127"/>
      </w:tblGrid>
      <w:tr w:rsidR="00FA4AA8" w14:paraId="328DE8F8" w14:textId="77777777">
        <w:trPr>
          <w:trHeight w:val="997"/>
        </w:trPr>
        <w:tc>
          <w:tcPr>
            <w:tcW w:w="4296" w:type="dxa"/>
          </w:tcPr>
          <w:p w14:paraId="2E3E16F5" w14:textId="77777777" w:rsidR="00FA4AA8" w:rsidRDefault="0015611F">
            <w:pPr>
              <w:pStyle w:val="TableParagraph"/>
              <w:spacing w:line="201" w:lineRule="exact"/>
              <w:ind w:left="41"/>
              <w:rPr>
                <w:b/>
                <w:sz w:val="18"/>
              </w:rPr>
            </w:pPr>
            <w:r>
              <w:rPr>
                <w:b/>
                <w:sz w:val="18"/>
              </w:rPr>
              <w:t>Accounts Payable Performance in 2018</w:t>
            </w:r>
          </w:p>
          <w:p w14:paraId="1F037E5C" w14:textId="77777777" w:rsidR="00FA4AA8" w:rsidRDefault="00FA4AA8">
            <w:pPr>
              <w:pStyle w:val="TableParagraph"/>
              <w:rPr>
                <w:sz w:val="20"/>
              </w:rPr>
            </w:pPr>
          </w:p>
          <w:p w14:paraId="64136297" w14:textId="77777777" w:rsidR="00FA4AA8" w:rsidRDefault="00FA4AA8">
            <w:pPr>
              <w:pStyle w:val="TableParagraph"/>
              <w:rPr>
                <w:sz w:val="28"/>
              </w:rPr>
            </w:pPr>
          </w:p>
          <w:p w14:paraId="56BA2C85" w14:textId="77777777" w:rsidR="00FA4AA8" w:rsidRDefault="0015611F">
            <w:pPr>
              <w:pStyle w:val="TableParagraph"/>
              <w:ind w:left="41"/>
              <w:rPr>
                <w:b/>
                <w:sz w:val="18"/>
              </w:rPr>
            </w:pPr>
            <w:r>
              <w:rPr>
                <w:b/>
                <w:sz w:val="18"/>
              </w:rPr>
              <w:t>Category</w:t>
            </w:r>
          </w:p>
        </w:tc>
        <w:tc>
          <w:tcPr>
            <w:tcW w:w="1017" w:type="dxa"/>
          </w:tcPr>
          <w:p w14:paraId="3F4AD936" w14:textId="77777777" w:rsidR="00FA4AA8" w:rsidRDefault="00FA4AA8">
            <w:pPr>
              <w:pStyle w:val="TableParagraph"/>
              <w:rPr>
                <w:sz w:val="20"/>
              </w:rPr>
            </w:pPr>
          </w:p>
          <w:p w14:paraId="357BBFDD" w14:textId="77777777" w:rsidR="00FA4AA8" w:rsidRDefault="00FA4AA8">
            <w:pPr>
              <w:pStyle w:val="TableParagraph"/>
              <w:spacing w:before="10"/>
              <w:rPr>
                <w:sz w:val="23"/>
              </w:rPr>
            </w:pPr>
          </w:p>
          <w:p w14:paraId="677C538E" w14:textId="77777777" w:rsidR="00FA4AA8" w:rsidRDefault="0015611F">
            <w:pPr>
              <w:pStyle w:val="TableParagraph"/>
              <w:spacing w:line="271" w:lineRule="auto"/>
              <w:ind w:left="56" w:firstLine="151"/>
              <w:rPr>
                <w:b/>
                <w:sz w:val="18"/>
              </w:rPr>
            </w:pPr>
            <w:r>
              <w:rPr>
                <w:b/>
                <w:sz w:val="18"/>
              </w:rPr>
              <w:t>First Quarter</w:t>
            </w:r>
          </w:p>
        </w:tc>
        <w:tc>
          <w:tcPr>
            <w:tcW w:w="1161" w:type="dxa"/>
          </w:tcPr>
          <w:p w14:paraId="279E595C" w14:textId="77777777" w:rsidR="00FA4AA8" w:rsidRDefault="00FA4AA8">
            <w:pPr>
              <w:pStyle w:val="TableParagraph"/>
              <w:rPr>
                <w:sz w:val="20"/>
              </w:rPr>
            </w:pPr>
          </w:p>
          <w:p w14:paraId="00D6F20C" w14:textId="77777777" w:rsidR="00FA4AA8" w:rsidRDefault="00FA4AA8">
            <w:pPr>
              <w:pStyle w:val="TableParagraph"/>
              <w:spacing w:before="10"/>
              <w:rPr>
                <w:sz w:val="23"/>
              </w:rPr>
            </w:pPr>
          </w:p>
          <w:p w14:paraId="51105EBF" w14:textId="77777777" w:rsidR="00FA4AA8" w:rsidRDefault="0015611F">
            <w:pPr>
              <w:pStyle w:val="TableParagraph"/>
              <w:spacing w:line="271" w:lineRule="auto"/>
              <w:ind w:left="200"/>
              <w:rPr>
                <w:b/>
                <w:sz w:val="18"/>
              </w:rPr>
            </w:pPr>
            <w:r>
              <w:rPr>
                <w:b/>
                <w:sz w:val="18"/>
              </w:rPr>
              <w:t>Second Quarter</w:t>
            </w:r>
          </w:p>
        </w:tc>
        <w:tc>
          <w:tcPr>
            <w:tcW w:w="1161" w:type="dxa"/>
          </w:tcPr>
          <w:p w14:paraId="7C0F9B8D" w14:textId="77777777" w:rsidR="00FA4AA8" w:rsidRDefault="00FA4AA8">
            <w:pPr>
              <w:pStyle w:val="TableParagraph"/>
              <w:rPr>
                <w:sz w:val="20"/>
              </w:rPr>
            </w:pPr>
          </w:p>
          <w:p w14:paraId="7DCF778A" w14:textId="77777777" w:rsidR="00FA4AA8" w:rsidRDefault="00FA4AA8">
            <w:pPr>
              <w:pStyle w:val="TableParagraph"/>
              <w:spacing w:before="10"/>
              <w:rPr>
                <w:sz w:val="23"/>
              </w:rPr>
            </w:pPr>
          </w:p>
          <w:p w14:paraId="1B29EB23" w14:textId="77777777" w:rsidR="00FA4AA8" w:rsidRDefault="0015611F">
            <w:pPr>
              <w:pStyle w:val="TableParagraph"/>
              <w:spacing w:line="271" w:lineRule="auto"/>
              <w:ind w:left="200" w:firstLine="110"/>
              <w:rPr>
                <w:b/>
                <w:sz w:val="18"/>
              </w:rPr>
            </w:pPr>
            <w:r>
              <w:rPr>
                <w:b/>
                <w:sz w:val="18"/>
              </w:rPr>
              <w:t>Third Quarter</w:t>
            </w:r>
          </w:p>
        </w:tc>
        <w:tc>
          <w:tcPr>
            <w:tcW w:w="1127" w:type="dxa"/>
          </w:tcPr>
          <w:p w14:paraId="322E56E3" w14:textId="77777777" w:rsidR="00FA4AA8" w:rsidRDefault="00FA4AA8">
            <w:pPr>
              <w:pStyle w:val="TableParagraph"/>
              <w:rPr>
                <w:sz w:val="20"/>
              </w:rPr>
            </w:pPr>
          </w:p>
          <w:p w14:paraId="36C80CA5" w14:textId="77777777" w:rsidR="00FA4AA8" w:rsidRDefault="00FA4AA8">
            <w:pPr>
              <w:pStyle w:val="TableParagraph"/>
              <w:spacing w:before="10"/>
              <w:rPr>
                <w:sz w:val="23"/>
              </w:rPr>
            </w:pPr>
          </w:p>
          <w:p w14:paraId="3399E90A" w14:textId="77777777" w:rsidR="00FA4AA8" w:rsidRDefault="0015611F">
            <w:pPr>
              <w:pStyle w:val="TableParagraph"/>
              <w:spacing w:line="271" w:lineRule="auto"/>
              <w:ind w:left="199" w:firstLine="55"/>
              <w:rPr>
                <w:b/>
                <w:sz w:val="18"/>
              </w:rPr>
            </w:pPr>
            <w:r>
              <w:rPr>
                <w:b/>
                <w:sz w:val="18"/>
              </w:rPr>
              <w:t>Fourth Quarter</w:t>
            </w:r>
          </w:p>
        </w:tc>
      </w:tr>
      <w:tr w:rsidR="00FA4AA8" w14:paraId="0D560F93" w14:textId="77777777">
        <w:trPr>
          <w:trHeight w:val="254"/>
        </w:trPr>
        <w:tc>
          <w:tcPr>
            <w:tcW w:w="4296" w:type="dxa"/>
            <w:tcBorders>
              <w:bottom w:val="single" w:sz="6" w:space="0" w:color="000000"/>
            </w:tcBorders>
          </w:tcPr>
          <w:p w14:paraId="092F3EC0" w14:textId="77777777" w:rsidR="00FA4AA8" w:rsidRDefault="00FA4AA8">
            <w:pPr>
              <w:pStyle w:val="TableParagraph"/>
              <w:rPr>
                <w:rFonts w:ascii="Times New Roman"/>
                <w:sz w:val="16"/>
              </w:rPr>
            </w:pPr>
          </w:p>
        </w:tc>
        <w:tc>
          <w:tcPr>
            <w:tcW w:w="1017" w:type="dxa"/>
            <w:tcBorders>
              <w:bottom w:val="single" w:sz="6" w:space="0" w:color="000000"/>
            </w:tcBorders>
          </w:tcPr>
          <w:p w14:paraId="7486F841" w14:textId="77777777" w:rsidR="00FA4AA8" w:rsidRDefault="0015611F">
            <w:pPr>
              <w:pStyle w:val="TableParagraph"/>
              <w:spacing w:before="31" w:line="203" w:lineRule="exact"/>
              <w:ind w:right="221"/>
              <w:jc w:val="center"/>
              <w:rPr>
                <w:b/>
                <w:sz w:val="18"/>
              </w:rPr>
            </w:pPr>
            <w:r>
              <w:rPr>
                <w:b/>
                <w:w w:val="99"/>
                <w:sz w:val="18"/>
              </w:rPr>
              <w:t>$</w:t>
            </w:r>
          </w:p>
        </w:tc>
        <w:tc>
          <w:tcPr>
            <w:tcW w:w="1161" w:type="dxa"/>
            <w:tcBorders>
              <w:bottom w:val="single" w:sz="6" w:space="0" w:color="000000"/>
            </w:tcBorders>
          </w:tcPr>
          <w:p w14:paraId="78EED1C4" w14:textId="77777777" w:rsidR="00FA4AA8" w:rsidRDefault="0015611F">
            <w:pPr>
              <w:pStyle w:val="TableParagraph"/>
              <w:spacing w:before="31" w:line="203" w:lineRule="exact"/>
              <w:ind w:right="77"/>
              <w:jc w:val="center"/>
              <w:rPr>
                <w:b/>
                <w:sz w:val="18"/>
              </w:rPr>
            </w:pPr>
            <w:r>
              <w:rPr>
                <w:b/>
                <w:w w:val="99"/>
                <w:sz w:val="18"/>
              </w:rPr>
              <w:t>$</w:t>
            </w:r>
          </w:p>
        </w:tc>
        <w:tc>
          <w:tcPr>
            <w:tcW w:w="1161" w:type="dxa"/>
            <w:tcBorders>
              <w:bottom w:val="single" w:sz="6" w:space="0" w:color="000000"/>
            </w:tcBorders>
          </w:tcPr>
          <w:p w14:paraId="7CF24BA7" w14:textId="77777777" w:rsidR="00FA4AA8" w:rsidRDefault="0015611F">
            <w:pPr>
              <w:pStyle w:val="TableParagraph"/>
              <w:spacing w:before="31" w:line="203" w:lineRule="exact"/>
              <w:ind w:right="77"/>
              <w:jc w:val="center"/>
              <w:rPr>
                <w:b/>
                <w:sz w:val="18"/>
              </w:rPr>
            </w:pPr>
            <w:r>
              <w:rPr>
                <w:b/>
                <w:w w:val="99"/>
                <w:sz w:val="18"/>
              </w:rPr>
              <w:t>$</w:t>
            </w:r>
          </w:p>
        </w:tc>
        <w:tc>
          <w:tcPr>
            <w:tcW w:w="1127" w:type="dxa"/>
            <w:tcBorders>
              <w:bottom w:val="single" w:sz="6" w:space="0" w:color="000000"/>
            </w:tcBorders>
          </w:tcPr>
          <w:p w14:paraId="764D44D1" w14:textId="77777777" w:rsidR="00FA4AA8" w:rsidRDefault="0015611F">
            <w:pPr>
              <w:pStyle w:val="TableParagraph"/>
              <w:spacing w:before="31" w:line="203" w:lineRule="exact"/>
              <w:ind w:right="44"/>
              <w:jc w:val="center"/>
              <w:rPr>
                <w:b/>
                <w:sz w:val="18"/>
              </w:rPr>
            </w:pPr>
            <w:r>
              <w:rPr>
                <w:b/>
                <w:w w:val="99"/>
                <w:sz w:val="18"/>
              </w:rPr>
              <w:t>$</w:t>
            </w:r>
          </w:p>
        </w:tc>
      </w:tr>
      <w:tr w:rsidR="00FA4AA8" w14:paraId="20BB8D5D" w14:textId="77777777">
        <w:trPr>
          <w:trHeight w:val="564"/>
        </w:trPr>
        <w:tc>
          <w:tcPr>
            <w:tcW w:w="4296" w:type="dxa"/>
            <w:tcBorders>
              <w:top w:val="single" w:sz="6" w:space="0" w:color="000000"/>
            </w:tcBorders>
          </w:tcPr>
          <w:p w14:paraId="39A02171" w14:textId="77777777" w:rsidR="00FA4AA8" w:rsidRDefault="00FA4AA8">
            <w:pPr>
              <w:pStyle w:val="TableParagraph"/>
              <w:spacing w:before="3"/>
              <w:rPr>
                <w:sz w:val="27"/>
              </w:rPr>
            </w:pPr>
          </w:p>
          <w:p w14:paraId="4F2FB7E1" w14:textId="77777777" w:rsidR="00FA4AA8" w:rsidRDefault="0015611F">
            <w:pPr>
              <w:pStyle w:val="TableParagraph"/>
              <w:ind w:left="41"/>
              <w:rPr>
                <w:b/>
                <w:sz w:val="18"/>
              </w:rPr>
            </w:pPr>
            <w:r>
              <w:rPr>
                <w:b/>
                <w:sz w:val="18"/>
              </w:rPr>
              <w:t>1. Schedule of Accounts Payable</w:t>
            </w:r>
          </w:p>
        </w:tc>
        <w:tc>
          <w:tcPr>
            <w:tcW w:w="1017" w:type="dxa"/>
            <w:tcBorders>
              <w:top w:val="single" w:sz="6" w:space="0" w:color="000000"/>
            </w:tcBorders>
          </w:tcPr>
          <w:p w14:paraId="74AE05AE" w14:textId="77777777" w:rsidR="00FA4AA8" w:rsidRDefault="00FA4AA8">
            <w:pPr>
              <w:pStyle w:val="TableParagraph"/>
              <w:rPr>
                <w:rFonts w:ascii="Times New Roman"/>
                <w:sz w:val="16"/>
              </w:rPr>
            </w:pPr>
          </w:p>
        </w:tc>
        <w:tc>
          <w:tcPr>
            <w:tcW w:w="1161" w:type="dxa"/>
            <w:tcBorders>
              <w:top w:val="single" w:sz="6" w:space="0" w:color="000000"/>
            </w:tcBorders>
          </w:tcPr>
          <w:p w14:paraId="531CE756" w14:textId="77777777" w:rsidR="00FA4AA8" w:rsidRDefault="00FA4AA8">
            <w:pPr>
              <w:pStyle w:val="TableParagraph"/>
              <w:rPr>
                <w:rFonts w:ascii="Times New Roman"/>
                <w:sz w:val="16"/>
              </w:rPr>
            </w:pPr>
          </w:p>
        </w:tc>
        <w:tc>
          <w:tcPr>
            <w:tcW w:w="1161" w:type="dxa"/>
            <w:tcBorders>
              <w:top w:val="single" w:sz="6" w:space="0" w:color="000000"/>
            </w:tcBorders>
          </w:tcPr>
          <w:p w14:paraId="16E3A34A" w14:textId="77777777" w:rsidR="00FA4AA8" w:rsidRDefault="00FA4AA8">
            <w:pPr>
              <w:pStyle w:val="TableParagraph"/>
              <w:rPr>
                <w:rFonts w:ascii="Times New Roman"/>
                <w:sz w:val="16"/>
              </w:rPr>
            </w:pPr>
          </w:p>
        </w:tc>
        <w:tc>
          <w:tcPr>
            <w:tcW w:w="1127" w:type="dxa"/>
            <w:tcBorders>
              <w:top w:val="single" w:sz="6" w:space="0" w:color="000000"/>
            </w:tcBorders>
          </w:tcPr>
          <w:p w14:paraId="35FC0794" w14:textId="77777777" w:rsidR="00FA4AA8" w:rsidRDefault="00FA4AA8">
            <w:pPr>
              <w:pStyle w:val="TableParagraph"/>
              <w:rPr>
                <w:rFonts w:ascii="Times New Roman"/>
                <w:sz w:val="16"/>
              </w:rPr>
            </w:pPr>
          </w:p>
        </w:tc>
      </w:tr>
      <w:tr w:rsidR="00FA4AA8" w14:paraId="4C1CBE92" w14:textId="77777777">
        <w:trPr>
          <w:trHeight w:val="274"/>
        </w:trPr>
        <w:tc>
          <w:tcPr>
            <w:tcW w:w="4296" w:type="dxa"/>
          </w:tcPr>
          <w:p w14:paraId="562ADF08" w14:textId="77777777" w:rsidR="00FA4AA8" w:rsidRDefault="0015611F">
            <w:pPr>
              <w:pStyle w:val="TableParagraph"/>
              <w:spacing w:before="44"/>
              <w:ind w:left="41"/>
              <w:rPr>
                <w:sz w:val="16"/>
              </w:rPr>
            </w:pPr>
            <w:r>
              <w:rPr>
                <w:w w:val="105"/>
                <w:sz w:val="16"/>
              </w:rPr>
              <w:t>Paid within 30 days</w:t>
            </w:r>
          </w:p>
        </w:tc>
        <w:tc>
          <w:tcPr>
            <w:tcW w:w="1017" w:type="dxa"/>
          </w:tcPr>
          <w:p w14:paraId="45BB233A" w14:textId="77777777" w:rsidR="00FA4AA8" w:rsidRDefault="0015611F">
            <w:pPr>
              <w:pStyle w:val="TableParagraph"/>
              <w:spacing w:before="44"/>
              <w:ind w:right="129"/>
              <w:jc w:val="right"/>
              <w:rPr>
                <w:sz w:val="16"/>
              </w:rPr>
            </w:pPr>
            <w:r>
              <w:rPr>
                <w:sz w:val="16"/>
              </w:rPr>
              <w:t>62,367,382</w:t>
            </w:r>
          </w:p>
        </w:tc>
        <w:tc>
          <w:tcPr>
            <w:tcW w:w="1161" w:type="dxa"/>
          </w:tcPr>
          <w:p w14:paraId="3743426F" w14:textId="77777777" w:rsidR="00FA4AA8" w:rsidRDefault="0015611F">
            <w:pPr>
              <w:pStyle w:val="TableParagraph"/>
              <w:spacing w:before="44"/>
              <w:ind w:right="129"/>
              <w:jc w:val="right"/>
              <w:rPr>
                <w:sz w:val="16"/>
              </w:rPr>
            </w:pPr>
            <w:r>
              <w:rPr>
                <w:sz w:val="16"/>
              </w:rPr>
              <w:t>104,352,425</w:t>
            </w:r>
          </w:p>
        </w:tc>
        <w:tc>
          <w:tcPr>
            <w:tcW w:w="1161" w:type="dxa"/>
          </w:tcPr>
          <w:p w14:paraId="2A58786A" w14:textId="77777777" w:rsidR="00FA4AA8" w:rsidRDefault="0015611F">
            <w:pPr>
              <w:pStyle w:val="TableParagraph"/>
              <w:spacing w:before="44"/>
              <w:ind w:right="130"/>
              <w:jc w:val="right"/>
              <w:rPr>
                <w:sz w:val="16"/>
              </w:rPr>
            </w:pPr>
            <w:r>
              <w:rPr>
                <w:sz w:val="16"/>
              </w:rPr>
              <w:t>85,635,604</w:t>
            </w:r>
          </w:p>
        </w:tc>
        <w:tc>
          <w:tcPr>
            <w:tcW w:w="1127" w:type="dxa"/>
          </w:tcPr>
          <w:p w14:paraId="1F10370D" w14:textId="77777777" w:rsidR="00FA4AA8" w:rsidRDefault="0015611F">
            <w:pPr>
              <w:pStyle w:val="TableParagraph"/>
              <w:spacing w:before="44"/>
              <w:ind w:right="96"/>
              <w:jc w:val="right"/>
              <w:rPr>
                <w:sz w:val="16"/>
              </w:rPr>
            </w:pPr>
            <w:r>
              <w:rPr>
                <w:sz w:val="16"/>
              </w:rPr>
              <w:t>66,007,501</w:t>
            </w:r>
          </w:p>
        </w:tc>
      </w:tr>
      <w:tr w:rsidR="00FA4AA8" w14:paraId="38E052B8" w14:textId="77777777">
        <w:trPr>
          <w:trHeight w:val="276"/>
        </w:trPr>
        <w:tc>
          <w:tcPr>
            <w:tcW w:w="4296" w:type="dxa"/>
          </w:tcPr>
          <w:p w14:paraId="05C7C082" w14:textId="77777777" w:rsidR="00FA4AA8" w:rsidRDefault="0015611F">
            <w:pPr>
              <w:pStyle w:val="TableParagraph"/>
              <w:spacing w:before="45"/>
              <w:ind w:left="41"/>
              <w:rPr>
                <w:sz w:val="16"/>
              </w:rPr>
            </w:pPr>
            <w:r>
              <w:rPr>
                <w:w w:val="105"/>
                <w:sz w:val="16"/>
              </w:rPr>
              <w:t>Paid between 31-60 days</w:t>
            </w:r>
          </w:p>
        </w:tc>
        <w:tc>
          <w:tcPr>
            <w:tcW w:w="1017" w:type="dxa"/>
          </w:tcPr>
          <w:p w14:paraId="5B30EA0E" w14:textId="77777777" w:rsidR="00FA4AA8" w:rsidRDefault="0015611F">
            <w:pPr>
              <w:pStyle w:val="TableParagraph"/>
              <w:spacing w:before="45"/>
              <w:ind w:right="129"/>
              <w:jc w:val="right"/>
              <w:rPr>
                <w:sz w:val="16"/>
              </w:rPr>
            </w:pPr>
            <w:r>
              <w:rPr>
                <w:sz w:val="16"/>
              </w:rPr>
              <w:t>24,241,465</w:t>
            </w:r>
          </w:p>
        </w:tc>
        <w:tc>
          <w:tcPr>
            <w:tcW w:w="1161" w:type="dxa"/>
          </w:tcPr>
          <w:p w14:paraId="7E900914" w14:textId="77777777" w:rsidR="00FA4AA8" w:rsidRDefault="0015611F">
            <w:pPr>
              <w:pStyle w:val="TableParagraph"/>
              <w:spacing w:before="45"/>
              <w:ind w:right="129"/>
              <w:jc w:val="right"/>
              <w:rPr>
                <w:sz w:val="16"/>
              </w:rPr>
            </w:pPr>
            <w:r>
              <w:rPr>
                <w:sz w:val="16"/>
              </w:rPr>
              <w:t>29,941,724</w:t>
            </w:r>
          </w:p>
        </w:tc>
        <w:tc>
          <w:tcPr>
            <w:tcW w:w="1161" w:type="dxa"/>
          </w:tcPr>
          <w:p w14:paraId="76B936FA" w14:textId="77777777" w:rsidR="00FA4AA8" w:rsidRDefault="0015611F">
            <w:pPr>
              <w:pStyle w:val="TableParagraph"/>
              <w:spacing w:before="45"/>
              <w:ind w:right="130"/>
              <w:jc w:val="right"/>
              <w:rPr>
                <w:sz w:val="16"/>
              </w:rPr>
            </w:pPr>
            <w:r>
              <w:rPr>
                <w:sz w:val="16"/>
              </w:rPr>
              <w:t>33,453,755</w:t>
            </w:r>
          </w:p>
        </w:tc>
        <w:tc>
          <w:tcPr>
            <w:tcW w:w="1127" w:type="dxa"/>
          </w:tcPr>
          <w:p w14:paraId="3A7F189F" w14:textId="77777777" w:rsidR="00FA4AA8" w:rsidRDefault="0015611F">
            <w:pPr>
              <w:pStyle w:val="TableParagraph"/>
              <w:spacing w:before="45"/>
              <w:ind w:right="96"/>
              <w:jc w:val="right"/>
              <w:rPr>
                <w:sz w:val="16"/>
              </w:rPr>
            </w:pPr>
            <w:r>
              <w:rPr>
                <w:sz w:val="16"/>
              </w:rPr>
              <w:t>37,059,274</w:t>
            </w:r>
          </w:p>
        </w:tc>
      </w:tr>
      <w:tr w:rsidR="00FA4AA8" w14:paraId="64E1CD3B" w14:textId="77777777">
        <w:trPr>
          <w:trHeight w:val="276"/>
        </w:trPr>
        <w:tc>
          <w:tcPr>
            <w:tcW w:w="4296" w:type="dxa"/>
          </w:tcPr>
          <w:p w14:paraId="10D23736" w14:textId="77777777" w:rsidR="00FA4AA8" w:rsidRDefault="0015611F">
            <w:pPr>
              <w:pStyle w:val="TableParagraph"/>
              <w:spacing w:before="45"/>
              <w:ind w:left="41"/>
              <w:rPr>
                <w:sz w:val="16"/>
              </w:rPr>
            </w:pPr>
            <w:r>
              <w:rPr>
                <w:w w:val="105"/>
                <w:sz w:val="16"/>
              </w:rPr>
              <w:t>Paid between 61-90 days</w:t>
            </w:r>
          </w:p>
        </w:tc>
        <w:tc>
          <w:tcPr>
            <w:tcW w:w="1017" w:type="dxa"/>
          </w:tcPr>
          <w:p w14:paraId="6B9CC857" w14:textId="77777777" w:rsidR="00FA4AA8" w:rsidRDefault="0015611F">
            <w:pPr>
              <w:pStyle w:val="TableParagraph"/>
              <w:spacing w:before="45"/>
              <w:ind w:right="129"/>
              <w:jc w:val="right"/>
              <w:rPr>
                <w:sz w:val="16"/>
              </w:rPr>
            </w:pPr>
            <w:r>
              <w:rPr>
                <w:sz w:val="16"/>
              </w:rPr>
              <w:t>4,407,738</w:t>
            </w:r>
          </w:p>
        </w:tc>
        <w:tc>
          <w:tcPr>
            <w:tcW w:w="1161" w:type="dxa"/>
          </w:tcPr>
          <w:p w14:paraId="78BE9482" w14:textId="77777777" w:rsidR="00FA4AA8" w:rsidRDefault="0015611F">
            <w:pPr>
              <w:pStyle w:val="TableParagraph"/>
              <w:spacing w:before="45"/>
              <w:ind w:right="129"/>
              <w:jc w:val="right"/>
              <w:rPr>
                <w:sz w:val="16"/>
              </w:rPr>
            </w:pPr>
            <w:r>
              <w:rPr>
                <w:sz w:val="16"/>
              </w:rPr>
              <w:t>3,563,571</w:t>
            </w:r>
          </w:p>
        </w:tc>
        <w:tc>
          <w:tcPr>
            <w:tcW w:w="1161" w:type="dxa"/>
          </w:tcPr>
          <w:p w14:paraId="42543670" w14:textId="77777777" w:rsidR="00FA4AA8" w:rsidRDefault="0015611F">
            <w:pPr>
              <w:pStyle w:val="TableParagraph"/>
              <w:spacing w:before="45"/>
              <w:ind w:right="129"/>
              <w:jc w:val="right"/>
              <w:rPr>
                <w:sz w:val="16"/>
              </w:rPr>
            </w:pPr>
            <w:r>
              <w:rPr>
                <w:sz w:val="16"/>
              </w:rPr>
              <w:t>4,024,150</w:t>
            </w:r>
          </w:p>
        </w:tc>
        <w:tc>
          <w:tcPr>
            <w:tcW w:w="1127" w:type="dxa"/>
          </w:tcPr>
          <w:p w14:paraId="33B9403A" w14:textId="77777777" w:rsidR="00FA4AA8" w:rsidRDefault="0015611F">
            <w:pPr>
              <w:pStyle w:val="TableParagraph"/>
              <w:spacing w:before="45"/>
              <w:ind w:right="96"/>
              <w:jc w:val="right"/>
              <w:rPr>
                <w:sz w:val="16"/>
              </w:rPr>
            </w:pPr>
            <w:r>
              <w:rPr>
                <w:sz w:val="16"/>
              </w:rPr>
              <w:t>4,353,130</w:t>
            </w:r>
          </w:p>
        </w:tc>
      </w:tr>
      <w:tr w:rsidR="00FA4AA8" w14:paraId="794D6DC9" w14:textId="77777777">
        <w:trPr>
          <w:trHeight w:val="276"/>
        </w:trPr>
        <w:tc>
          <w:tcPr>
            <w:tcW w:w="4296" w:type="dxa"/>
          </w:tcPr>
          <w:p w14:paraId="458B3A4F" w14:textId="77777777" w:rsidR="00FA4AA8" w:rsidRDefault="0015611F">
            <w:pPr>
              <w:pStyle w:val="TableParagraph"/>
              <w:spacing w:before="45"/>
              <w:ind w:left="41"/>
              <w:rPr>
                <w:sz w:val="16"/>
              </w:rPr>
            </w:pPr>
            <w:r>
              <w:rPr>
                <w:w w:val="105"/>
                <w:sz w:val="16"/>
              </w:rPr>
              <w:t>Paid between 91-120 days</w:t>
            </w:r>
          </w:p>
        </w:tc>
        <w:tc>
          <w:tcPr>
            <w:tcW w:w="1017" w:type="dxa"/>
          </w:tcPr>
          <w:p w14:paraId="0948B56E" w14:textId="77777777" w:rsidR="00FA4AA8" w:rsidRDefault="0015611F">
            <w:pPr>
              <w:pStyle w:val="TableParagraph"/>
              <w:spacing w:before="45"/>
              <w:ind w:right="129"/>
              <w:jc w:val="right"/>
              <w:rPr>
                <w:sz w:val="16"/>
              </w:rPr>
            </w:pPr>
            <w:r>
              <w:rPr>
                <w:sz w:val="16"/>
              </w:rPr>
              <w:t>1,765,222</w:t>
            </w:r>
          </w:p>
        </w:tc>
        <w:tc>
          <w:tcPr>
            <w:tcW w:w="1161" w:type="dxa"/>
          </w:tcPr>
          <w:p w14:paraId="4564F070" w14:textId="77777777" w:rsidR="00FA4AA8" w:rsidRDefault="0015611F">
            <w:pPr>
              <w:pStyle w:val="TableParagraph"/>
              <w:spacing w:before="45"/>
              <w:ind w:right="129"/>
              <w:jc w:val="right"/>
              <w:rPr>
                <w:sz w:val="16"/>
              </w:rPr>
            </w:pPr>
            <w:r>
              <w:rPr>
                <w:sz w:val="16"/>
              </w:rPr>
              <w:t>1,767,927</w:t>
            </w:r>
          </w:p>
        </w:tc>
        <w:tc>
          <w:tcPr>
            <w:tcW w:w="1161" w:type="dxa"/>
          </w:tcPr>
          <w:p w14:paraId="4C68CA5C" w14:textId="77777777" w:rsidR="00FA4AA8" w:rsidRDefault="0015611F">
            <w:pPr>
              <w:pStyle w:val="TableParagraph"/>
              <w:spacing w:before="45"/>
              <w:ind w:right="129"/>
              <w:jc w:val="right"/>
              <w:rPr>
                <w:sz w:val="16"/>
              </w:rPr>
            </w:pPr>
            <w:r>
              <w:rPr>
                <w:sz w:val="16"/>
              </w:rPr>
              <w:t>1,879,682</w:t>
            </w:r>
          </w:p>
        </w:tc>
        <w:tc>
          <w:tcPr>
            <w:tcW w:w="1127" w:type="dxa"/>
          </w:tcPr>
          <w:p w14:paraId="6B2804CF" w14:textId="77777777" w:rsidR="00FA4AA8" w:rsidRDefault="0015611F">
            <w:pPr>
              <w:pStyle w:val="TableParagraph"/>
              <w:spacing w:before="45"/>
              <w:ind w:right="96"/>
              <w:jc w:val="right"/>
              <w:rPr>
                <w:sz w:val="16"/>
              </w:rPr>
            </w:pPr>
            <w:r>
              <w:rPr>
                <w:sz w:val="16"/>
              </w:rPr>
              <w:t>2,258,657</w:t>
            </w:r>
          </w:p>
        </w:tc>
      </w:tr>
      <w:tr w:rsidR="00FA4AA8" w14:paraId="1E9B12BC" w14:textId="77777777">
        <w:trPr>
          <w:trHeight w:val="276"/>
        </w:trPr>
        <w:tc>
          <w:tcPr>
            <w:tcW w:w="4296" w:type="dxa"/>
          </w:tcPr>
          <w:p w14:paraId="2A79AA23" w14:textId="77777777" w:rsidR="00FA4AA8" w:rsidRDefault="0015611F">
            <w:pPr>
              <w:pStyle w:val="TableParagraph"/>
              <w:spacing w:before="45"/>
              <w:ind w:left="41"/>
              <w:rPr>
                <w:sz w:val="16"/>
              </w:rPr>
            </w:pPr>
            <w:r>
              <w:rPr>
                <w:w w:val="105"/>
                <w:sz w:val="16"/>
              </w:rPr>
              <w:t>Paid more than 120 days</w:t>
            </w:r>
          </w:p>
        </w:tc>
        <w:tc>
          <w:tcPr>
            <w:tcW w:w="1017" w:type="dxa"/>
          </w:tcPr>
          <w:p w14:paraId="1880CCC5" w14:textId="77777777" w:rsidR="00FA4AA8" w:rsidRDefault="0015611F">
            <w:pPr>
              <w:pStyle w:val="TableParagraph"/>
              <w:spacing w:before="45"/>
              <w:ind w:right="129"/>
              <w:jc w:val="right"/>
              <w:rPr>
                <w:sz w:val="16"/>
              </w:rPr>
            </w:pPr>
            <w:r>
              <w:rPr>
                <w:sz w:val="16"/>
              </w:rPr>
              <w:t>1,254,024</w:t>
            </w:r>
          </w:p>
        </w:tc>
        <w:tc>
          <w:tcPr>
            <w:tcW w:w="1161" w:type="dxa"/>
          </w:tcPr>
          <w:p w14:paraId="203C630E" w14:textId="77777777" w:rsidR="00FA4AA8" w:rsidRDefault="0015611F">
            <w:pPr>
              <w:pStyle w:val="TableParagraph"/>
              <w:spacing w:before="45"/>
              <w:ind w:right="129"/>
              <w:jc w:val="right"/>
              <w:rPr>
                <w:sz w:val="16"/>
              </w:rPr>
            </w:pPr>
            <w:r>
              <w:rPr>
                <w:sz w:val="16"/>
              </w:rPr>
              <w:t>791,465</w:t>
            </w:r>
          </w:p>
        </w:tc>
        <w:tc>
          <w:tcPr>
            <w:tcW w:w="1161" w:type="dxa"/>
          </w:tcPr>
          <w:p w14:paraId="47B0E07C" w14:textId="77777777" w:rsidR="00FA4AA8" w:rsidRDefault="0015611F">
            <w:pPr>
              <w:pStyle w:val="TableParagraph"/>
              <w:spacing w:before="45"/>
              <w:ind w:right="129"/>
              <w:jc w:val="right"/>
              <w:rPr>
                <w:sz w:val="16"/>
              </w:rPr>
            </w:pPr>
            <w:r>
              <w:rPr>
                <w:sz w:val="16"/>
              </w:rPr>
              <w:t>1,470,561</w:t>
            </w:r>
          </w:p>
        </w:tc>
        <w:tc>
          <w:tcPr>
            <w:tcW w:w="1127" w:type="dxa"/>
          </w:tcPr>
          <w:p w14:paraId="67A0CB10" w14:textId="77777777" w:rsidR="00FA4AA8" w:rsidRDefault="0015611F">
            <w:pPr>
              <w:pStyle w:val="TableParagraph"/>
              <w:spacing w:before="45"/>
              <w:ind w:right="95"/>
              <w:jc w:val="right"/>
              <w:rPr>
                <w:sz w:val="16"/>
              </w:rPr>
            </w:pPr>
            <w:r>
              <w:rPr>
                <w:sz w:val="16"/>
              </w:rPr>
              <w:t>474,269</w:t>
            </w:r>
          </w:p>
        </w:tc>
      </w:tr>
      <w:tr w:rsidR="00FA4AA8" w14:paraId="5259BFF3" w14:textId="77777777">
        <w:trPr>
          <w:trHeight w:val="407"/>
        </w:trPr>
        <w:tc>
          <w:tcPr>
            <w:tcW w:w="4296" w:type="dxa"/>
          </w:tcPr>
          <w:p w14:paraId="3E2A7BAE" w14:textId="77777777" w:rsidR="00FA4AA8" w:rsidRDefault="0015611F">
            <w:pPr>
              <w:pStyle w:val="TableParagraph"/>
              <w:spacing w:before="45"/>
              <w:ind w:left="41"/>
              <w:rPr>
                <w:b/>
                <w:sz w:val="16"/>
              </w:rPr>
            </w:pPr>
            <w:r>
              <w:rPr>
                <w:b/>
                <w:w w:val="105"/>
                <w:sz w:val="16"/>
              </w:rPr>
              <w:t>Total</w:t>
            </w:r>
          </w:p>
        </w:tc>
        <w:tc>
          <w:tcPr>
            <w:tcW w:w="1017" w:type="dxa"/>
          </w:tcPr>
          <w:p w14:paraId="7ED7A3B0" w14:textId="77777777" w:rsidR="00FA4AA8" w:rsidRDefault="0015611F">
            <w:pPr>
              <w:pStyle w:val="TableParagraph"/>
              <w:spacing w:before="45"/>
              <w:ind w:right="129"/>
              <w:jc w:val="right"/>
              <w:rPr>
                <w:b/>
                <w:sz w:val="16"/>
              </w:rPr>
            </w:pPr>
            <w:r>
              <w:rPr>
                <w:b/>
                <w:sz w:val="16"/>
              </w:rPr>
              <w:t>94,035,832</w:t>
            </w:r>
          </w:p>
        </w:tc>
        <w:tc>
          <w:tcPr>
            <w:tcW w:w="1161" w:type="dxa"/>
          </w:tcPr>
          <w:p w14:paraId="31AFA334" w14:textId="77777777" w:rsidR="00FA4AA8" w:rsidRDefault="0015611F">
            <w:pPr>
              <w:pStyle w:val="TableParagraph"/>
              <w:spacing w:before="45"/>
              <w:ind w:right="129"/>
              <w:jc w:val="right"/>
              <w:rPr>
                <w:b/>
                <w:sz w:val="16"/>
              </w:rPr>
            </w:pPr>
            <w:r>
              <w:rPr>
                <w:b/>
                <w:sz w:val="16"/>
              </w:rPr>
              <w:t>140,417,111</w:t>
            </w:r>
          </w:p>
        </w:tc>
        <w:tc>
          <w:tcPr>
            <w:tcW w:w="1161" w:type="dxa"/>
          </w:tcPr>
          <w:p w14:paraId="3A14DCEE" w14:textId="77777777" w:rsidR="00FA4AA8" w:rsidRDefault="0015611F">
            <w:pPr>
              <w:pStyle w:val="TableParagraph"/>
              <w:spacing w:before="45"/>
              <w:ind w:right="129"/>
              <w:jc w:val="right"/>
              <w:rPr>
                <w:b/>
                <w:sz w:val="16"/>
              </w:rPr>
            </w:pPr>
            <w:r>
              <w:rPr>
                <w:b/>
                <w:sz w:val="16"/>
              </w:rPr>
              <w:t>126,463,753</w:t>
            </w:r>
          </w:p>
        </w:tc>
        <w:tc>
          <w:tcPr>
            <w:tcW w:w="1127" w:type="dxa"/>
          </w:tcPr>
          <w:p w14:paraId="4D6C6489" w14:textId="77777777" w:rsidR="00FA4AA8" w:rsidRDefault="0015611F">
            <w:pPr>
              <w:pStyle w:val="TableParagraph"/>
              <w:spacing w:before="45"/>
              <w:ind w:right="95"/>
              <w:jc w:val="right"/>
              <w:rPr>
                <w:b/>
                <w:sz w:val="16"/>
              </w:rPr>
            </w:pPr>
            <w:r>
              <w:rPr>
                <w:b/>
                <w:sz w:val="16"/>
              </w:rPr>
              <w:t>110,152,832</w:t>
            </w:r>
          </w:p>
        </w:tc>
      </w:tr>
      <w:tr w:rsidR="00FA4AA8" w14:paraId="1D6019CC" w14:textId="77777777">
        <w:trPr>
          <w:trHeight w:val="421"/>
        </w:trPr>
        <w:tc>
          <w:tcPr>
            <w:tcW w:w="4296" w:type="dxa"/>
          </w:tcPr>
          <w:p w14:paraId="5825A17F" w14:textId="77777777" w:rsidR="00FA4AA8" w:rsidRDefault="0015611F">
            <w:pPr>
              <w:pStyle w:val="TableParagraph"/>
              <w:spacing w:before="171"/>
              <w:ind w:left="41"/>
              <w:rPr>
                <w:b/>
                <w:sz w:val="18"/>
              </w:rPr>
            </w:pPr>
            <w:r>
              <w:rPr>
                <w:b/>
                <w:sz w:val="18"/>
              </w:rPr>
              <w:t>2. Accounts Paid on Time</w:t>
            </w:r>
          </w:p>
        </w:tc>
        <w:tc>
          <w:tcPr>
            <w:tcW w:w="1017" w:type="dxa"/>
          </w:tcPr>
          <w:p w14:paraId="36B16545" w14:textId="77777777" w:rsidR="00FA4AA8" w:rsidRDefault="00FA4AA8">
            <w:pPr>
              <w:pStyle w:val="TableParagraph"/>
              <w:rPr>
                <w:rFonts w:ascii="Times New Roman"/>
                <w:sz w:val="16"/>
              </w:rPr>
            </w:pPr>
          </w:p>
        </w:tc>
        <w:tc>
          <w:tcPr>
            <w:tcW w:w="1161" w:type="dxa"/>
          </w:tcPr>
          <w:p w14:paraId="4E86E3A1" w14:textId="77777777" w:rsidR="00FA4AA8" w:rsidRDefault="00FA4AA8">
            <w:pPr>
              <w:pStyle w:val="TableParagraph"/>
              <w:rPr>
                <w:rFonts w:ascii="Times New Roman"/>
                <w:sz w:val="16"/>
              </w:rPr>
            </w:pPr>
          </w:p>
        </w:tc>
        <w:tc>
          <w:tcPr>
            <w:tcW w:w="1161" w:type="dxa"/>
          </w:tcPr>
          <w:p w14:paraId="27D76FFB" w14:textId="77777777" w:rsidR="00FA4AA8" w:rsidRDefault="00FA4AA8">
            <w:pPr>
              <w:pStyle w:val="TableParagraph"/>
              <w:rPr>
                <w:rFonts w:ascii="Times New Roman"/>
                <w:sz w:val="16"/>
              </w:rPr>
            </w:pPr>
          </w:p>
        </w:tc>
        <w:tc>
          <w:tcPr>
            <w:tcW w:w="1127" w:type="dxa"/>
          </w:tcPr>
          <w:p w14:paraId="0EEFB785" w14:textId="77777777" w:rsidR="00FA4AA8" w:rsidRDefault="00FA4AA8">
            <w:pPr>
              <w:pStyle w:val="TableParagraph"/>
              <w:rPr>
                <w:rFonts w:ascii="Times New Roman"/>
                <w:sz w:val="16"/>
              </w:rPr>
            </w:pPr>
          </w:p>
        </w:tc>
      </w:tr>
      <w:tr w:rsidR="00FA4AA8" w14:paraId="1FD3C1E5" w14:textId="77777777">
        <w:trPr>
          <w:trHeight w:val="251"/>
        </w:trPr>
        <w:tc>
          <w:tcPr>
            <w:tcW w:w="4296" w:type="dxa"/>
          </w:tcPr>
          <w:p w14:paraId="0ACA6E98" w14:textId="77777777" w:rsidR="00FA4AA8" w:rsidRDefault="0015611F">
            <w:pPr>
              <w:pStyle w:val="TableParagraph"/>
              <w:spacing w:before="44"/>
              <w:ind w:left="41"/>
              <w:rPr>
                <w:sz w:val="16"/>
              </w:rPr>
            </w:pPr>
            <w:r>
              <w:rPr>
                <w:w w:val="105"/>
                <w:sz w:val="16"/>
              </w:rPr>
              <w:t>Target percentage of accounts paid on time</w:t>
            </w:r>
          </w:p>
        </w:tc>
        <w:tc>
          <w:tcPr>
            <w:tcW w:w="1017" w:type="dxa"/>
          </w:tcPr>
          <w:p w14:paraId="13017BA3" w14:textId="77777777" w:rsidR="00FA4AA8" w:rsidRDefault="0015611F">
            <w:pPr>
              <w:pStyle w:val="TableParagraph"/>
              <w:spacing w:before="44"/>
              <w:ind w:right="74"/>
              <w:jc w:val="right"/>
              <w:rPr>
                <w:sz w:val="16"/>
              </w:rPr>
            </w:pPr>
            <w:r>
              <w:rPr>
                <w:sz w:val="16"/>
              </w:rPr>
              <w:t>100.0%</w:t>
            </w:r>
          </w:p>
        </w:tc>
        <w:tc>
          <w:tcPr>
            <w:tcW w:w="1161" w:type="dxa"/>
          </w:tcPr>
          <w:p w14:paraId="3AF0DB74" w14:textId="77777777" w:rsidR="00FA4AA8" w:rsidRDefault="0015611F">
            <w:pPr>
              <w:pStyle w:val="TableParagraph"/>
              <w:spacing w:before="44"/>
              <w:ind w:right="74"/>
              <w:jc w:val="right"/>
              <w:rPr>
                <w:sz w:val="16"/>
              </w:rPr>
            </w:pPr>
            <w:r>
              <w:rPr>
                <w:sz w:val="16"/>
              </w:rPr>
              <w:t>100.0%</w:t>
            </w:r>
          </w:p>
        </w:tc>
        <w:tc>
          <w:tcPr>
            <w:tcW w:w="1161" w:type="dxa"/>
          </w:tcPr>
          <w:p w14:paraId="451FD6AB" w14:textId="77777777" w:rsidR="00FA4AA8" w:rsidRDefault="0015611F">
            <w:pPr>
              <w:pStyle w:val="TableParagraph"/>
              <w:spacing w:before="44"/>
              <w:ind w:right="74"/>
              <w:jc w:val="right"/>
              <w:rPr>
                <w:sz w:val="16"/>
              </w:rPr>
            </w:pPr>
            <w:r>
              <w:rPr>
                <w:sz w:val="16"/>
              </w:rPr>
              <w:t>100.0%</w:t>
            </w:r>
          </w:p>
        </w:tc>
        <w:tc>
          <w:tcPr>
            <w:tcW w:w="1127" w:type="dxa"/>
          </w:tcPr>
          <w:p w14:paraId="717B3CAE" w14:textId="77777777" w:rsidR="00FA4AA8" w:rsidRDefault="0015611F">
            <w:pPr>
              <w:pStyle w:val="TableParagraph"/>
              <w:spacing w:before="44"/>
              <w:ind w:right="40"/>
              <w:jc w:val="right"/>
              <w:rPr>
                <w:sz w:val="16"/>
              </w:rPr>
            </w:pPr>
            <w:r>
              <w:rPr>
                <w:sz w:val="16"/>
              </w:rPr>
              <w:t>100.0%</w:t>
            </w:r>
          </w:p>
        </w:tc>
      </w:tr>
      <w:tr w:rsidR="00FA4AA8" w14:paraId="51983F63" w14:textId="77777777">
        <w:trPr>
          <w:trHeight w:val="299"/>
        </w:trPr>
        <w:tc>
          <w:tcPr>
            <w:tcW w:w="4296" w:type="dxa"/>
          </w:tcPr>
          <w:p w14:paraId="19C22A36" w14:textId="77777777" w:rsidR="00FA4AA8" w:rsidRDefault="0015611F">
            <w:pPr>
              <w:pStyle w:val="TableParagraph"/>
              <w:spacing w:before="55"/>
              <w:ind w:left="41"/>
              <w:rPr>
                <w:sz w:val="16"/>
              </w:rPr>
            </w:pPr>
            <w:r>
              <w:rPr>
                <w:w w:val="105"/>
                <w:sz w:val="16"/>
              </w:rPr>
              <w:t>Actual percentage of accounts paid on time</w:t>
            </w:r>
            <w:r>
              <w:rPr>
                <w:w w:val="105"/>
                <w:sz w:val="16"/>
                <w:vertAlign w:val="superscript"/>
              </w:rPr>
              <w:t>#</w:t>
            </w:r>
          </w:p>
        </w:tc>
        <w:tc>
          <w:tcPr>
            <w:tcW w:w="1017" w:type="dxa"/>
          </w:tcPr>
          <w:p w14:paraId="48DA200D" w14:textId="77777777" w:rsidR="00FA4AA8" w:rsidRDefault="0015611F">
            <w:pPr>
              <w:pStyle w:val="TableParagraph"/>
              <w:spacing w:before="68"/>
              <w:ind w:right="74"/>
              <w:jc w:val="right"/>
              <w:rPr>
                <w:sz w:val="16"/>
              </w:rPr>
            </w:pPr>
            <w:r>
              <w:rPr>
                <w:sz w:val="16"/>
              </w:rPr>
              <w:t>66.3%</w:t>
            </w:r>
          </w:p>
        </w:tc>
        <w:tc>
          <w:tcPr>
            <w:tcW w:w="1161" w:type="dxa"/>
          </w:tcPr>
          <w:p w14:paraId="730C62AB" w14:textId="77777777" w:rsidR="00FA4AA8" w:rsidRDefault="0015611F">
            <w:pPr>
              <w:pStyle w:val="TableParagraph"/>
              <w:spacing w:before="68"/>
              <w:ind w:right="74"/>
              <w:jc w:val="right"/>
              <w:rPr>
                <w:sz w:val="16"/>
              </w:rPr>
            </w:pPr>
            <w:r>
              <w:rPr>
                <w:sz w:val="16"/>
              </w:rPr>
              <w:t>74.3%</w:t>
            </w:r>
          </w:p>
        </w:tc>
        <w:tc>
          <w:tcPr>
            <w:tcW w:w="1161" w:type="dxa"/>
          </w:tcPr>
          <w:p w14:paraId="3D32330E" w14:textId="77777777" w:rsidR="00FA4AA8" w:rsidRDefault="0015611F">
            <w:pPr>
              <w:pStyle w:val="TableParagraph"/>
              <w:spacing w:before="68"/>
              <w:ind w:right="74"/>
              <w:jc w:val="right"/>
              <w:rPr>
                <w:sz w:val="16"/>
              </w:rPr>
            </w:pPr>
            <w:r>
              <w:rPr>
                <w:sz w:val="16"/>
              </w:rPr>
              <w:t>67.7%</w:t>
            </w:r>
          </w:p>
        </w:tc>
        <w:tc>
          <w:tcPr>
            <w:tcW w:w="1127" w:type="dxa"/>
          </w:tcPr>
          <w:p w14:paraId="49DD8085" w14:textId="77777777" w:rsidR="00FA4AA8" w:rsidRDefault="0015611F">
            <w:pPr>
              <w:pStyle w:val="TableParagraph"/>
              <w:spacing w:before="68"/>
              <w:ind w:right="40"/>
              <w:jc w:val="right"/>
              <w:rPr>
                <w:sz w:val="16"/>
              </w:rPr>
            </w:pPr>
            <w:r>
              <w:rPr>
                <w:sz w:val="16"/>
              </w:rPr>
              <w:t>59.9%</w:t>
            </w:r>
          </w:p>
        </w:tc>
      </w:tr>
      <w:tr w:rsidR="00FA4AA8" w14:paraId="7A9EC214" w14:textId="77777777">
        <w:trPr>
          <w:trHeight w:val="276"/>
        </w:trPr>
        <w:tc>
          <w:tcPr>
            <w:tcW w:w="4296" w:type="dxa"/>
          </w:tcPr>
          <w:p w14:paraId="58C4A755" w14:textId="77777777" w:rsidR="00FA4AA8" w:rsidRDefault="0015611F">
            <w:pPr>
              <w:pStyle w:val="TableParagraph"/>
              <w:spacing w:before="45"/>
              <w:ind w:left="41"/>
              <w:rPr>
                <w:sz w:val="16"/>
              </w:rPr>
            </w:pPr>
            <w:r>
              <w:rPr>
                <w:w w:val="105"/>
                <w:sz w:val="16"/>
              </w:rPr>
              <w:t>Total dollar amount of accounts paid on time</w:t>
            </w:r>
          </w:p>
        </w:tc>
        <w:tc>
          <w:tcPr>
            <w:tcW w:w="1017" w:type="dxa"/>
          </w:tcPr>
          <w:p w14:paraId="0B545713" w14:textId="77777777" w:rsidR="00FA4AA8" w:rsidRDefault="0015611F">
            <w:pPr>
              <w:pStyle w:val="TableParagraph"/>
              <w:spacing w:before="45"/>
              <w:ind w:right="129"/>
              <w:jc w:val="right"/>
              <w:rPr>
                <w:sz w:val="16"/>
              </w:rPr>
            </w:pPr>
            <w:r>
              <w:rPr>
                <w:sz w:val="16"/>
              </w:rPr>
              <w:t>62,367,382</w:t>
            </w:r>
          </w:p>
        </w:tc>
        <w:tc>
          <w:tcPr>
            <w:tcW w:w="1161" w:type="dxa"/>
          </w:tcPr>
          <w:p w14:paraId="3D9D3CA8" w14:textId="77777777" w:rsidR="00FA4AA8" w:rsidRDefault="0015611F">
            <w:pPr>
              <w:pStyle w:val="TableParagraph"/>
              <w:spacing w:before="45"/>
              <w:ind w:right="129"/>
              <w:jc w:val="right"/>
              <w:rPr>
                <w:sz w:val="16"/>
              </w:rPr>
            </w:pPr>
            <w:r>
              <w:rPr>
                <w:sz w:val="16"/>
              </w:rPr>
              <w:t>104,352,425</w:t>
            </w:r>
          </w:p>
        </w:tc>
        <w:tc>
          <w:tcPr>
            <w:tcW w:w="1161" w:type="dxa"/>
          </w:tcPr>
          <w:p w14:paraId="542CE12E" w14:textId="77777777" w:rsidR="00FA4AA8" w:rsidRDefault="0015611F">
            <w:pPr>
              <w:pStyle w:val="TableParagraph"/>
              <w:spacing w:before="45"/>
              <w:ind w:right="130"/>
              <w:jc w:val="right"/>
              <w:rPr>
                <w:sz w:val="16"/>
              </w:rPr>
            </w:pPr>
            <w:r>
              <w:rPr>
                <w:sz w:val="16"/>
              </w:rPr>
              <w:t>85,635,604</w:t>
            </w:r>
          </w:p>
        </w:tc>
        <w:tc>
          <w:tcPr>
            <w:tcW w:w="1127" w:type="dxa"/>
          </w:tcPr>
          <w:p w14:paraId="58C78DFB" w14:textId="77777777" w:rsidR="00FA4AA8" w:rsidRDefault="0015611F">
            <w:pPr>
              <w:pStyle w:val="TableParagraph"/>
              <w:spacing w:before="45"/>
              <w:ind w:right="96"/>
              <w:jc w:val="right"/>
              <w:rPr>
                <w:sz w:val="16"/>
              </w:rPr>
            </w:pPr>
            <w:r>
              <w:rPr>
                <w:sz w:val="16"/>
              </w:rPr>
              <w:t>66,007,501</w:t>
            </w:r>
          </w:p>
        </w:tc>
      </w:tr>
      <w:tr w:rsidR="00FA4AA8" w14:paraId="349ED56D" w14:textId="77777777">
        <w:trPr>
          <w:trHeight w:val="404"/>
        </w:trPr>
        <w:tc>
          <w:tcPr>
            <w:tcW w:w="4296" w:type="dxa"/>
          </w:tcPr>
          <w:p w14:paraId="378868AF" w14:textId="77777777" w:rsidR="00FA4AA8" w:rsidRDefault="0015611F">
            <w:pPr>
              <w:pStyle w:val="TableParagraph"/>
              <w:spacing w:before="45"/>
              <w:ind w:left="41"/>
              <w:rPr>
                <w:b/>
                <w:sz w:val="16"/>
              </w:rPr>
            </w:pPr>
            <w:r>
              <w:rPr>
                <w:b/>
                <w:w w:val="105"/>
                <w:sz w:val="16"/>
              </w:rPr>
              <w:t>Total dollar amount of accounts paid</w:t>
            </w:r>
          </w:p>
        </w:tc>
        <w:tc>
          <w:tcPr>
            <w:tcW w:w="1017" w:type="dxa"/>
          </w:tcPr>
          <w:p w14:paraId="0724DF50" w14:textId="77777777" w:rsidR="00FA4AA8" w:rsidRDefault="0015611F">
            <w:pPr>
              <w:pStyle w:val="TableParagraph"/>
              <w:spacing w:before="45"/>
              <w:ind w:right="129"/>
              <w:jc w:val="right"/>
              <w:rPr>
                <w:b/>
                <w:sz w:val="16"/>
              </w:rPr>
            </w:pPr>
            <w:r>
              <w:rPr>
                <w:b/>
                <w:sz w:val="16"/>
              </w:rPr>
              <w:t>94,035,832</w:t>
            </w:r>
          </w:p>
        </w:tc>
        <w:tc>
          <w:tcPr>
            <w:tcW w:w="1161" w:type="dxa"/>
          </w:tcPr>
          <w:p w14:paraId="2C97BC75" w14:textId="77777777" w:rsidR="00FA4AA8" w:rsidRDefault="0015611F">
            <w:pPr>
              <w:pStyle w:val="TableParagraph"/>
              <w:spacing w:before="45"/>
              <w:ind w:right="129"/>
              <w:jc w:val="right"/>
              <w:rPr>
                <w:b/>
                <w:sz w:val="16"/>
              </w:rPr>
            </w:pPr>
            <w:r>
              <w:rPr>
                <w:b/>
                <w:sz w:val="16"/>
              </w:rPr>
              <w:t>140,417,111</w:t>
            </w:r>
          </w:p>
        </w:tc>
        <w:tc>
          <w:tcPr>
            <w:tcW w:w="1161" w:type="dxa"/>
          </w:tcPr>
          <w:p w14:paraId="5425976A" w14:textId="77777777" w:rsidR="00FA4AA8" w:rsidRDefault="0015611F">
            <w:pPr>
              <w:pStyle w:val="TableParagraph"/>
              <w:spacing w:before="45"/>
              <w:ind w:right="130"/>
              <w:jc w:val="right"/>
              <w:rPr>
                <w:b/>
                <w:sz w:val="16"/>
              </w:rPr>
            </w:pPr>
            <w:r>
              <w:rPr>
                <w:b/>
                <w:sz w:val="16"/>
              </w:rPr>
              <w:t>126,463,753</w:t>
            </w:r>
          </w:p>
        </w:tc>
        <w:tc>
          <w:tcPr>
            <w:tcW w:w="1127" w:type="dxa"/>
          </w:tcPr>
          <w:p w14:paraId="412E9F37" w14:textId="77777777" w:rsidR="00FA4AA8" w:rsidRDefault="0015611F">
            <w:pPr>
              <w:pStyle w:val="TableParagraph"/>
              <w:spacing w:before="45"/>
              <w:ind w:right="96"/>
              <w:jc w:val="right"/>
              <w:rPr>
                <w:b/>
                <w:sz w:val="16"/>
              </w:rPr>
            </w:pPr>
            <w:r>
              <w:rPr>
                <w:b/>
                <w:sz w:val="16"/>
              </w:rPr>
              <w:t>110,152,832</w:t>
            </w:r>
          </w:p>
        </w:tc>
      </w:tr>
      <w:tr w:rsidR="00FA4AA8" w14:paraId="1F164C3F" w14:textId="77777777">
        <w:trPr>
          <w:trHeight w:val="362"/>
        </w:trPr>
        <w:tc>
          <w:tcPr>
            <w:tcW w:w="4296" w:type="dxa"/>
          </w:tcPr>
          <w:p w14:paraId="4C6E8546" w14:textId="77777777" w:rsidR="00FA4AA8" w:rsidRDefault="00FA4AA8">
            <w:pPr>
              <w:pStyle w:val="TableParagraph"/>
              <w:spacing w:before="5"/>
              <w:rPr>
                <w:sz w:val="16"/>
              </w:rPr>
            </w:pPr>
          </w:p>
          <w:p w14:paraId="46FB9DA1" w14:textId="77777777" w:rsidR="00FA4AA8" w:rsidRDefault="0015611F">
            <w:pPr>
              <w:pStyle w:val="TableParagraph"/>
              <w:spacing w:line="153" w:lineRule="exact"/>
              <w:ind w:left="27"/>
              <w:rPr>
                <w:sz w:val="15"/>
              </w:rPr>
            </w:pPr>
            <w:r>
              <w:rPr>
                <w:sz w:val="15"/>
                <w:vertAlign w:val="superscript"/>
              </w:rPr>
              <w:t>#</w:t>
            </w:r>
            <w:r>
              <w:rPr>
                <w:sz w:val="15"/>
              </w:rPr>
              <w:t xml:space="preserve"> based on invoice date, not date received in Accounts Payable.</w:t>
            </w:r>
          </w:p>
        </w:tc>
        <w:tc>
          <w:tcPr>
            <w:tcW w:w="1017" w:type="dxa"/>
          </w:tcPr>
          <w:p w14:paraId="3DDB031A" w14:textId="77777777" w:rsidR="00FA4AA8" w:rsidRDefault="00FA4AA8">
            <w:pPr>
              <w:pStyle w:val="TableParagraph"/>
              <w:rPr>
                <w:rFonts w:ascii="Times New Roman"/>
                <w:sz w:val="16"/>
              </w:rPr>
            </w:pPr>
          </w:p>
        </w:tc>
        <w:tc>
          <w:tcPr>
            <w:tcW w:w="1161" w:type="dxa"/>
          </w:tcPr>
          <w:p w14:paraId="1612DF94" w14:textId="77777777" w:rsidR="00FA4AA8" w:rsidRDefault="00FA4AA8">
            <w:pPr>
              <w:pStyle w:val="TableParagraph"/>
              <w:rPr>
                <w:rFonts w:ascii="Times New Roman"/>
                <w:sz w:val="16"/>
              </w:rPr>
            </w:pPr>
          </w:p>
        </w:tc>
        <w:tc>
          <w:tcPr>
            <w:tcW w:w="1161" w:type="dxa"/>
          </w:tcPr>
          <w:p w14:paraId="6D17F027" w14:textId="77777777" w:rsidR="00FA4AA8" w:rsidRDefault="00FA4AA8">
            <w:pPr>
              <w:pStyle w:val="TableParagraph"/>
              <w:rPr>
                <w:rFonts w:ascii="Times New Roman"/>
                <w:sz w:val="16"/>
              </w:rPr>
            </w:pPr>
          </w:p>
        </w:tc>
        <w:tc>
          <w:tcPr>
            <w:tcW w:w="1127" w:type="dxa"/>
          </w:tcPr>
          <w:p w14:paraId="4A64FBA2" w14:textId="77777777" w:rsidR="00FA4AA8" w:rsidRDefault="00FA4AA8">
            <w:pPr>
              <w:pStyle w:val="TableParagraph"/>
              <w:rPr>
                <w:rFonts w:ascii="Times New Roman"/>
                <w:sz w:val="16"/>
              </w:rPr>
            </w:pPr>
          </w:p>
        </w:tc>
      </w:tr>
    </w:tbl>
    <w:p w14:paraId="3577D0EC" w14:textId="77777777" w:rsidR="00FA4AA8" w:rsidRDefault="00FA4AA8">
      <w:pPr>
        <w:pStyle w:val="BodyText"/>
        <w:rPr>
          <w:sz w:val="20"/>
        </w:rPr>
      </w:pPr>
    </w:p>
    <w:p w14:paraId="5096C4E0" w14:textId="77777777" w:rsidR="00FA4AA8" w:rsidRDefault="00FA4AA8">
      <w:pPr>
        <w:pStyle w:val="BodyText"/>
        <w:rPr>
          <w:sz w:val="20"/>
        </w:rPr>
      </w:pPr>
    </w:p>
    <w:p w14:paraId="430BA8BB" w14:textId="77777777" w:rsidR="00FA4AA8" w:rsidRDefault="0015611F">
      <w:pPr>
        <w:pStyle w:val="Heading2"/>
        <w:spacing w:before="178"/>
        <w:ind w:left="297"/>
      </w:pPr>
      <w:r>
        <w:t>Investment Portfolio Performance - 2018</w:t>
      </w:r>
    </w:p>
    <w:p w14:paraId="3154E23B" w14:textId="77777777" w:rsidR="00FA4AA8" w:rsidRDefault="00FA4AA8">
      <w:pPr>
        <w:pStyle w:val="BodyText"/>
        <w:rPr>
          <w:b/>
          <w:sz w:val="30"/>
        </w:rPr>
      </w:pPr>
    </w:p>
    <w:p w14:paraId="2077B22D" w14:textId="77777777" w:rsidR="00FA4AA8" w:rsidRDefault="0015611F">
      <w:pPr>
        <w:pStyle w:val="BodyText"/>
        <w:spacing w:before="190"/>
        <w:ind w:left="297"/>
      </w:pPr>
      <w:r>
        <w:t>"The University had $276.1 million in investments at 31 December 2018 ($107.9 million at 31 December 2017).</w:t>
      </w:r>
    </w:p>
    <w:p w14:paraId="2AFB196D" w14:textId="77777777" w:rsidR="00FA4AA8" w:rsidRDefault="0015611F">
      <w:pPr>
        <w:pStyle w:val="BodyText"/>
        <w:spacing w:before="179" w:line="259" w:lineRule="auto"/>
        <w:ind w:left="297" w:right="297"/>
      </w:pPr>
      <w:r>
        <w:t>The underperformance of the Acadian fund during 2018 is as a result of improved performance of higher risk and higher volatility sectors such as energy and materials to which the Acadian strategy has a lower exposure. The result has also been affected by the underperformance of some lower volatility sectors to which the Acadian strategy has a higher exposure. On an annualised basis the return since inception is 10.67% compared to the benchmark of 10.20%. Distributions received were re-invested. The University redeemed $37.95m from the Acadian fund during 2018, for a net realised loss of $2.69m, leaving a balance of $39.82m in the fund at 31 December 2017.</w:t>
      </w:r>
    </w:p>
    <w:p w14:paraId="7E0B4376" w14:textId="77777777" w:rsidR="00FA4AA8" w:rsidRDefault="0015611F">
      <w:pPr>
        <w:pStyle w:val="BodyText"/>
        <w:spacing w:before="159" w:line="256" w:lineRule="auto"/>
        <w:ind w:left="297" w:right="330"/>
        <w:jc w:val="both"/>
      </w:pPr>
      <w:r>
        <w:t>Some units (total $0.73 million) of the fixed income portfolio managed by JBWere matured or were called during 2018. The University applied for new investments for the same value also during 2018. Investment performance of the fixed income portfolio was satisfactory and exceeded benchmark. Distributions received were re-invested.</w:t>
      </w:r>
    </w:p>
    <w:p w14:paraId="1127F00B" w14:textId="77777777" w:rsidR="00FA4AA8" w:rsidRDefault="0015611F">
      <w:pPr>
        <w:pStyle w:val="BodyText"/>
        <w:spacing w:before="166" w:line="256" w:lineRule="auto"/>
        <w:ind w:left="297" w:right="478"/>
      </w:pPr>
      <w:r>
        <w:t>A new investment strategy was approved by the Board of Trustees and as part of the implementation of that strategy $200m was invested in a combination of Mercer Multi Manager Funds over a 4 month period commencing 23 August 2018. The return of (2.19%) since inception is a result of the poor performance of local and global equity markets in the latter part of 2018. Distributions received were re-invested."</w:t>
      </w:r>
    </w:p>
    <w:p w14:paraId="4430984F" w14:textId="77777777" w:rsidR="00FA4AA8" w:rsidRDefault="00FA4AA8">
      <w:pPr>
        <w:spacing w:line="256" w:lineRule="auto"/>
        <w:sectPr w:rsidR="00FA4AA8">
          <w:headerReference w:type="default" r:id="rId322"/>
          <w:footerReference w:type="default" r:id="rId323"/>
          <w:pgSz w:w="11910" w:h="16840"/>
          <w:pgMar w:top="1340" w:right="1140" w:bottom="720" w:left="1180" w:header="0" w:footer="523" w:gutter="0"/>
          <w:pgNumType w:start="250"/>
          <w:cols w:space="720"/>
        </w:sectPr>
      </w:pPr>
    </w:p>
    <w:p w14:paraId="174FDF06" w14:textId="77777777" w:rsidR="00FA4AA8" w:rsidRDefault="0015611F">
      <w:pPr>
        <w:pStyle w:val="Heading7"/>
        <w:spacing w:before="39"/>
        <w:ind w:left="0" w:right="159"/>
        <w:jc w:val="right"/>
        <w:rPr>
          <w:rFonts w:ascii="Carlito"/>
        </w:rPr>
      </w:pPr>
      <w:bookmarkStart w:id="224" w:name="4.Investment_Portfolio_Performance.pdf"/>
      <w:bookmarkEnd w:id="224"/>
      <w:r>
        <w:rPr>
          <w:rFonts w:ascii="Carlito"/>
        </w:rPr>
        <w:t>Appendices</w:t>
      </w:r>
    </w:p>
    <w:p w14:paraId="6E2BB83A" w14:textId="77777777" w:rsidR="00FA4AA8" w:rsidRDefault="00FA4AA8">
      <w:pPr>
        <w:pStyle w:val="BodyText"/>
        <w:rPr>
          <w:rFonts w:ascii="Carlito"/>
          <w:sz w:val="20"/>
        </w:rPr>
      </w:pPr>
    </w:p>
    <w:p w14:paraId="1E477B1D" w14:textId="77777777" w:rsidR="00FA4AA8" w:rsidRDefault="00FA4AA8">
      <w:pPr>
        <w:pStyle w:val="BodyText"/>
        <w:spacing w:before="2"/>
        <w:rPr>
          <w:rFonts w:ascii="Carlito"/>
          <w:sz w:val="15"/>
        </w:rPr>
      </w:pPr>
    </w:p>
    <w:tbl>
      <w:tblPr>
        <w:tblW w:w="0" w:type="auto"/>
        <w:tblInd w:w="289" w:type="dxa"/>
        <w:tblBorders>
          <w:top w:val="single" w:sz="4" w:space="0" w:color="D5D5D5"/>
          <w:left w:val="single" w:sz="4" w:space="0" w:color="D5D5D5"/>
          <w:bottom w:val="single" w:sz="4" w:space="0" w:color="D5D5D5"/>
          <w:right w:val="single" w:sz="4" w:space="0" w:color="D5D5D5"/>
          <w:insideH w:val="single" w:sz="4" w:space="0" w:color="D5D5D5"/>
          <w:insideV w:val="single" w:sz="4" w:space="0" w:color="D5D5D5"/>
        </w:tblBorders>
        <w:tblLayout w:type="fixed"/>
        <w:tblCellMar>
          <w:left w:w="0" w:type="dxa"/>
          <w:right w:w="0" w:type="dxa"/>
        </w:tblCellMar>
        <w:tblLook w:val="01E0" w:firstRow="1" w:lastRow="1" w:firstColumn="1" w:lastColumn="1" w:noHBand="0" w:noVBand="0"/>
      </w:tblPr>
      <w:tblGrid>
        <w:gridCol w:w="2671"/>
        <w:gridCol w:w="864"/>
        <w:gridCol w:w="864"/>
        <w:gridCol w:w="767"/>
        <w:gridCol w:w="767"/>
        <w:gridCol w:w="767"/>
        <w:gridCol w:w="767"/>
        <w:gridCol w:w="767"/>
        <w:gridCol w:w="767"/>
      </w:tblGrid>
      <w:tr w:rsidR="00FA4AA8" w14:paraId="0C30F8B5" w14:textId="77777777">
        <w:trPr>
          <w:trHeight w:val="183"/>
        </w:trPr>
        <w:tc>
          <w:tcPr>
            <w:tcW w:w="2671" w:type="dxa"/>
            <w:tcBorders>
              <w:bottom w:val="single" w:sz="4" w:space="0" w:color="000000"/>
              <w:right w:val="single" w:sz="4" w:space="0" w:color="000000"/>
            </w:tcBorders>
          </w:tcPr>
          <w:p w14:paraId="374ACCB2" w14:textId="77777777" w:rsidR="00FA4AA8" w:rsidRDefault="00FA4AA8">
            <w:pPr>
              <w:pStyle w:val="TableParagraph"/>
              <w:rPr>
                <w:rFonts w:ascii="Times New Roman"/>
                <w:sz w:val="12"/>
              </w:rPr>
            </w:pPr>
          </w:p>
        </w:tc>
        <w:tc>
          <w:tcPr>
            <w:tcW w:w="1728" w:type="dxa"/>
            <w:gridSpan w:val="2"/>
            <w:tcBorders>
              <w:top w:val="single" w:sz="4" w:space="0" w:color="000000"/>
              <w:left w:val="single" w:sz="4" w:space="0" w:color="000000"/>
              <w:bottom w:val="single" w:sz="4" w:space="0" w:color="000000"/>
              <w:right w:val="single" w:sz="4" w:space="0" w:color="000000"/>
            </w:tcBorders>
          </w:tcPr>
          <w:p w14:paraId="4B9B953E" w14:textId="77777777" w:rsidR="00FA4AA8" w:rsidRDefault="0015611F">
            <w:pPr>
              <w:pStyle w:val="TableParagraph"/>
              <w:spacing w:before="11" w:line="152" w:lineRule="exact"/>
              <w:ind w:left="700" w:right="679"/>
              <w:jc w:val="center"/>
              <w:rPr>
                <w:rFonts w:ascii="Carlito"/>
                <w:b/>
                <w:sz w:val="14"/>
              </w:rPr>
            </w:pPr>
            <w:r>
              <w:rPr>
                <w:rFonts w:ascii="Carlito"/>
                <w:b/>
                <w:w w:val="105"/>
                <w:sz w:val="14"/>
              </w:rPr>
              <w:t>2018</w:t>
            </w:r>
          </w:p>
        </w:tc>
        <w:tc>
          <w:tcPr>
            <w:tcW w:w="1534" w:type="dxa"/>
            <w:gridSpan w:val="2"/>
            <w:tcBorders>
              <w:top w:val="single" w:sz="4" w:space="0" w:color="000000"/>
              <w:left w:val="single" w:sz="4" w:space="0" w:color="000000"/>
              <w:bottom w:val="single" w:sz="4" w:space="0" w:color="000000"/>
              <w:right w:val="single" w:sz="4" w:space="0" w:color="000000"/>
            </w:tcBorders>
          </w:tcPr>
          <w:p w14:paraId="2AB9376D" w14:textId="77777777" w:rsidR="00FA4AA8" w:rsidRDefault="0015611F">
            <w:pPr>
              <w:pStyle w:val="TableParagraph"/>
              <w:spacing w:before="11" w:line="152" w:lineRule="exact"/>
              <w:ind w:left="603" w:right="580"/>
              <w:jc w:val="center"/>
              <w:rPr>
                <w:rFonts w:ascii="Carlito"/>
                <w:b/>
                <w:sz w:val="14"/>
              </w:rPr>
            </w:pPr>
            <w:r>
              <w:rPr>
                <w:rFonts w:ascii="Carlito"/>
                <w:b/>
                <w:w w:val="105"/>
                <w:sz w:val="14"/>
              </w:rPr>
              <w:t>2017</w:t>
            </w:r>
          </w:p>
        </w:tc>
        <w:tc>
          <w:tcPr>
            <w:tcW w:w="1534" w:type="dxa"/>
            <w:gridSpan w:val="2"/>
            <w:tcBorders>
              <w:top w:val="single" w:sz="4" w:space="0" w:color="000000"/>
              <w:left w:val="single" w:sz="4" w:space="0" w:color="000000"/>
              <w:bottom w:val="single" w:sz="4" w:space="0" w:color="000000"/>
              <w:right w:val="single" w:sz="4" w:space="0" w:color="000000"/>
            </w:tcBorders>
          </w:tcPr>
          <w:p w14:paraId="1E902A84" w14:textId="77777777" w:rsidR="00FA4AA8" w:rsidRDefault="0015611F">
            <w:pPr>
              <w:pStyle w:val="TableParagraph"/>
              <w:spacing w:before="11" w:line="152" w:lineRule="exact"/>
              <w:ind w:left="604" w:right="580"/>
              <w:jc w:val="center"/>
              <w:rPr>
                <w:rFonts w:ascii="Carlito"/>
                <w:b/>
                <w:sz w:val="14"/>
              </w:rPr>
            </w:pPr>
            <w:r>
              <w:rPr>
                <w:rFonts w:ascii="Carlito"/>
                <w:b/>
                <w:w w:val="105"/>
                <w:sz w:val="14"/>
              </w:rPr>
              <w:t>2016</w:t>
            </w:r>
          </w:p>
        </w:tc>
        <w:tc>
          <w:tcPr>
            <w:tcW w:w="1534" w:type="dxa"/>
            <w:gridSpan w:val="2"/>
            <w:tcBorders>
              <w:top w:val="single" w:sz="4" w:space="0" w:color="000000"/>
              <w:left w:val="single" w:sz="4" w:space="0" w:color="000000"/>
              <w:bottom w:val="single" w:sz="4" w:space="0" w:color="000000"/>
              <w:right w:val="single" w:sz="4" w:space="0" w:color="000000"/>
            </w:tcBorders>
          </w:tcPr>
          <w:p w14:paraId="1BBBBC3C" w14:textId="77777777" w:rsidR="00FA4AA8" w:rsidRDefault="0015611F">
            <w:pPr>
              <w:pStyle w:val="TableParagraph"/>
              <w:spacing w:before="11" w:line="152" w:lineRule="exact"/>
              <w:ind w:left="604" w:right="579"/>
              <w:jc w:val="center"/>
              <w:rPr>
                <w:rFonts w:ascii="Carlito"/>
                <w:b/>
                <w:sz w:val="14"/>
              </w:rPr>
            </w:pPr>
            <w:r>
              <w:rPr>
                <w:rFonts w:ascii="Carlito"/>
                <w:b/>
                <w:w w:val="105"/>
                <w:sz w:val="14"/>
              </w:rPr>
              <w:t>2015</w:t>
            </w:r>
          </w:p>
        </w:tc>
      </w:tr>
      <w:tr w:rsidR="00FA4AA8" w14:paraId="0DFB2135" w14:textId="77777777">
        <w:trPr>
          <w:trHeight w:val="570"/>
        </w:trPr>
        <w:tc>
          <w:tcPr>
            <w:tcW w:w="2671" w:type="dxa"/>
            <w:tcBorders>
              <w:top w:val="single" w:sz="4" w:space="0" w:color="000000"/>
              <w:left w:val="single" w:sz="4" w:space="0" w:color="000000"/>
              <w:bottom w:val="single" w:sz="4" w:space="0" w:color="000000"/>
              <w:right w:val="single" w:sz="4" w:space="0" w:color="000000"/>
            </w:tcBorders>
          </w:tcPr>
          <w:p w14:paraId="4DC1DFFD" w14:textId="77777777" w:rsidR="00FA4AA8" w:rsidRDefault="00FA4AA8">
            <w:pPr>
              <w:pStyle w:val="TableParagraph"/>
              <w:spacing w:before="10"/>
              <w:rPr>
                <w:rFonts w:ascii="Carlito"/>
                <w:sz w:val="16"/>
              </w:rPr>
            </w:pPr>
          </w:p>
          <w:p w14:paraId="21BADB82" w14:textId="77777777" w:rsidR="00FA4AA8" w:rsidRDefault="0015611F">
            <w:pPr>
              <w:pStyle w:val="TableParagraph"/>
              <w:ind w:left="24"/>
              <w:rPr>
                <w:rFonts w:ascii="Carlito"/>
                <w:b/>
                <w:sz w:val="14"/>
              </w:rPr>
            </w:pPr>
            <w:r>
              <w:rPr>
                <w:rFonts w:ascii="Carlito"/>
                <w:b/>
                <w:w w:val="105"/>
                <w:sz w:val="14"/>
              </w:rPr>
              <w:t>Fund</w:t>
            </w:r>
          </w:p>
        </w:tc>
        <w:tc>
          <w:tcPr>
            <w:tcW w:w="864" w:type="dxa"/>
            <w:tcBorders>
              <w:top w:val="single" w:sz="4" w:space="0" w:color="000000"/>
              <w:left w:val="single" w:sz="4" w:space="0" w:color="000000"/>
              <w:bottom w:val="single" w:sz="4" w:space="0" w:color="000000"/>
            </w:tcBorders>
          </w:tcPr>
          <w:p w14:paraId="1883C19A" w14:textId="77777777" w:rsidR="00FA4AA8" w:rsidRDefault="0015611F">
            <w:pPr>
              <w:pStyle w:val="TableParagraph"/>
              <w:spacing w:before="12" w:line="271" w:lineRule="auto"/>
              <w:ind w:left="228" w:right="214" w:firstLine="2"/>
              <w:jc w:val="center"/>
              <w:rPr>
                <w:rFonts w:ascii="Carlito"/>
                <w:b/>
                <w:sz w:val="14"/>
              </w:rPr>
            </w:pPr>
            <w:r>
              <w:rPr>
                <w:rFonts w:ascii="Carlito"/>
                <w:b/>
                <w:spacing w:val="-3"/>
                <w:w w:val="105"/>
                <w:sz w:val="14"/>
              </w:rPr>
              <w:t xml:space="preserve">Actual </w:t>
            </w:r>
            <w:r>
              <w:rPr>
                <w:rFonts w:ascii="Carlito"/>
                <w:b/>
                <w:spacing w:val="-2"/>
                <w:w w:val="105"/>
                <w:sz w:val="14"/>
              </w:rPr>
              <w:t>Return</w:t>
            </w:r>
          </w:p>
          <w:p w14:paraId="11A6ED57" w14:textId="77777777" w:rsidR="00FA4AA8" w:rsidRDefault="0015611F">
            <w:pPr>
              <w:pStyle w:val="TableParagraph"/>
              <w:spacing w:line="152" w:lineRule="exact"/>
              <w:ind w:left="20"/>
              <w:jc w:val="center"/>
              <w:rPr>
                <w:rFonts w:ascii="Carlito"/>
                <w:b/>
                <w:sz w:val="14"/>
              </w:rPr>
            </w:pPr>
            <w:r>
              <w:rPr>
                <w:rFonts w:ascii="Carlito"/>
                <w:b/>
                <w:w w:val="104"/>
                <w:sz w:val="14"/>
              </w:rPr>
              <w:t>%</w:t>
            </w:r>
          </w:p>
        </w:tc>
        <w:tc>
          <w:tcPr>
            <w:tcW w:w="864" w:type="dxa"/>
            <w:tcBorders>
              <w:top w:val="single" w:sz="4" w:space="0" w:color="000000"/>
              <w:bottom w:val="single" w:sz="4" w:space="0" w:color="000000"/>
              <w:right w:val="single" w:sz="4" w:space="0" w:color="000000"/>
            </w:tcBorders>
          </w:tcPr>
          <w:p w14:paraId="4BEBE584" w14:textId="77777777" w:rsidR="00FA4AA8" w:rsidRDefault="0015611F">
            <w:pPr>
              <w:pStyle w:val="TableParagraph"/>
              <w:spacing w:before="12" w:line="271" w:lineRule="auto"/>
              <w:ind w:left="93" w:right="86"/>
              <w:jc w:val="center"/>
              <w:rPr>
                <w:rFonts w:ascii="Carlito"/>
                <w:b/>
                <w:sz w:val="14"/>
              </w:rPr>
            </w:pPr>
            <w:r>
              <w:rPr>
                <w:rFonts w:ascii="Carlito"/>
                <w:b/>
                <w:sz w:val="14"/>
              </w:rPr>
              <w:t xml:space="preserve">Benchmark </w:t>
            </w:r>
            <w:r>
              <w:rPr>
                <w:rFonts w:ascii="Carlito"/>
                <w:b/>
                <w:w w:val="105"/>
                <w:sz w:val="14"/>
              </w:rPr>
              <w:t>Return</w:t>
            </w:r>
          </w:p>
          <w:p w14:paraId="33D0DAA9" w14:textId="77777777" w:rsidR="00FA4AA8" w:rsidRDefault="0015611F">
            <w:pPr>
              <w:pStyle w:val="TableParagraph"/>
              <w:spacing w:line="152" w:lineRule="exact"/>
              <w:ind w:left="1"/>
              <w:jc w:val="center"/>
              <w:rPr>
                <w:rFonts w:ascii="Carlito"/>
                <w:b/>
                <w:sz w:val="14"/>
              </w:rPr>
            </w:pPr>
            <w:r>
              <w:rPr>
                <w:rFonts w:ascii="Carlito"/>
                <w:b/>
                <w:w w:val="104"/>
                <w:sz w:val="14"/>
              </w:rPr>
              <w:t>%</w:t>
            </w:r>
          </w:p>
        </w:tc>
        <w:tc>
          <w:tcPr>
            <w:tcW w:w="767" w:type="dxa"/>
            <w:tcBorders>
              <w:top w:val="single" w:sz="4" w:space="0" w:color="000000"/>
              <w:left w:val="single" w:sz="4" w:space="0" w:color="000000"/>
              <w:bottom w:val="single" w:sz="4" w:space="0" w:color="000000"/>
            </w:tcBorders>
          </w:tcPr>
          <w:p w14:paraId="6E6159D6" w14:textId="77777777" w:rsidR="00FA4AA8" w:rsidRDefault="0015611F">
            <w:pPr>
              <w:pStyle w:val="TableParagraph"/>
              <w:spacing w:before="12" w:line="271" w:lineRule="auto"/>
              <w:ind w:left="181" w:right="165" w:firstLine="2"/>
              <w:jc w:val="center"/>
              <w:rPr>
                <w:rFonts w:ascii="Carlito"/>
                <w:b/>
                <w:sz w:val="14"/>
              </w:rPr>
            </w:pPr>
            <w:r>
              <w:rPr>
                <w:rFonts w:ascii="Carlito"/>
                <w:b/>
                <w:spacing w:val="-3"/>
                <w:w w:val="105"/>
                <w:sz w:val="14"/>
              </w:rPr>
              <w:t xml:space="preserve">Actual </w:t>
            </w:r>
            <w:r>
              <w:rPr>
                <w:rFonts w:ascii="Carlito"/>
                <w:b/>
                <w:spacing w:val="-2"/>
                <w:w w:val="105"/>
                <w:sz w:val="14"/>
              </w:rPr>
              <w:t>Return</w:t>
            </w:r>
          </w:p>
          <w:p w14:paraId="27C05BC8" w14:textId="77777777" w:rsidR="00FA4AA8" w:rsidRDefault="0015611F">
            <w:pPr>
              <w:pStyle w:val="TableParagraph"/>
              <w:spacing w:line="152" w:lineRule="exact"/>
              <w:ind w:left="22"/>
              <w:jc w:val="center"/>
              <w:rPr>
                <w:rFonts w:ascii="Carlito"/>
                <w:b/>
                <w:sz w:val="14"/>
              </w:rPr>
            </w:pPr>
            <w:r>
              <w:rPr>
                <w:rFonts w:ascii="Carlito"/>
                <w:b/>
                <w:w w:val="104"/>
                <w:sz w:val="14"/>
              </w:rPr>
              <w:t>%</w:t>
            </w:r>
          </w:p>
        </w:tc>
        <w:tc>
          <w:tcPr>
            <w:tcW w:w="767" w:type="dxa"/>
            <w:tcBorders>
              <w:top w:val="single" w:sz="4" w:space="0" w:color="000000"/>
              <w:bottom w:val="single" w:sz="4" w:space="0" w:color="000000"/>
              <w:right w:val="single" w:sz="4" w:space="0" w:color="000000"/>
            </w:tcBorders>
          </w:tcPr>
          <w:p w14:paraId="198DD702" w14:textId="77777777" w:rsidR="00FA4AA8" w:rsidRDefault="0015611F">
            <w:pPr>
              <w:pStyle w:val="TableParagraph"/>
              <w:spacing w:before="12" w:line="271" w:lineRule="auto"/>
              <w:ind w:left="43" w:right="35"/>
              <w:jc w:val="center"/>
              <w:rPr>
                <w:rFonts w:ascii="Carlito"/>
                <w:b/>
                <w:sz w:val="14"/>
              </w:rPr>
            </w:pPr>
            <w:r>
              <w:rPr>
                <w:rFonts w:ascii="Carlito"/>
                <w:b/>
                <w:sz w:val="14"/>
              </w:rPr>
              <w:t xml:space="preserve">Benchmark </w:t>
            </w:r>
            <w:r>
              <w:rPr>
                <w:rFonts w:ascii="Carlito"/>
                <w:b/>
                <w:w w:val="105"/>
                <w:sz w:val="14"/>
              </w:rPr>
              <w:t>Return</w:t>
            </w:r>
          </w:p>
          <w:p w14:paraId="717E28E9" w14:textId="77777777" w:rsidR="00FA4AA8" w:rsidRDefault="0015611F">
            <w:pPr>
              <w:pStyle w:val="TableParagraph"/>
              <w:spacing w:line="152" w:lineRule="exact"/>
              <w:ind w:left="3"/>
              <w:jc w:val="center"/>
              <w:rPr>
                <w:rFonts w:ascii="Carlito"/>
                <w:b/>
                <w:sz w:val="14"/>
              </w:rPr>
            </w:pPr>
            <w:r>
              <w:rPr>
                <w:rFonts w:ascii="Carlito"/>
                <w:b/>
                <w:w w:val="104"/>
                <w:sz w:val="14"/>
              </w:rPr>
              <w:t>%</w:t>
            </w:r>
          </w:p>
        </w:tc>
        <w:tc>
          <w:tcPr>
            <w:tcW w:w="767" w:type="dxa"/>
            <w:tcBorders>
              <w:top w:val="single" w:sz="4" w:space="0" w:color="000000"/>
              <w:left w:val="single" w:sz="4" w:space="0" w:color="000000"/>
              <w:bottom w:val="single" w:sz="4" w:space="0" w:color="000000"/>
            </w:tcBorders>
          </w:tcPr>
          <w:p w14:paraId="0FF473E6" w14:textId="77777777" w:rsidR="00FA4AA8" w:rsidRDefault="0015611F">
            <w:pPr>
              <w:pStyle w:val="TableParagraph"/>
              <w:spacing w:before="12" w:line="271" w:lineRule="auto"/>
              <w:ind w:left="181" w:right="164" w:firstLine="2"/>
              <w:jc w:val="center"/>
              <w:rPr>
                <w:rFonts w:ascii="Carlito"/>
                <w:b/>
                <w:sz w:val="14"/>
              </w:rPr>
            </w:pPr>
            <w:r>
              <w:rPr>
                <w:rFonts w:ascii="Carlito"/>
                <w:b/>
                <w:spacing w:val="-3"/>
                <w:w w:val="105"/>
                <w:sz w:val="14"/>
              </w:rPr>
              <w:t xml:space="preserve">Actual </w:t>
            </w:r>
            <w:r>
              <w:rPr>
                <w:rFonts w:ascii="Carlito"/>
                <w:b/>
                <w:spacing w:val="-2"/>
                <w:w w:val="105"/>
                <w:sz w:val="14"/>
              </w:rPr>
              <w:t>Return</w:t>
            </w:r>
          </w:p>
          <w:p w14:paraId="300EFEC5" w14:textId="77777777" w:rsidR="00FA4AA8" w:rsidRDefault="0015611F">
            <w:pPr>
              <w:pStyle w:val="TableParagraph"/>
              <w:spacing w:line="152" w:lineRule="exact"/>
              <w:ind w:left="23"/>
              <w:jc w:val="center"/>
              <w:rPr>
                <w:rFonts w:ascii="Carlito"/>
                <w:b/>
                <w:sz w:val="14"/>
              </w:rPr>
            </w:pPr>
            <w:r>
              <w:rPr>
                <w:rFonts w:ascii="Carlito"/>
                <w:b/>
                <w:w w:val="104"/>
                <w:sz w:val="14"/>
              </w:rPr>
              <w:t>%</w:t>
            </w:r>
          </w:p>
        </w:tc>
        <w:tc>
          <w:tcPr>
            <w:tcW w:w="767" w:type="dxa"/>
            <w:tcBorders>
              <w:top w:val="single" w:sz="4" w:space="0" w:color="000000"/>
              <w:bottom w:val="single" w:sz="4" w:space="0" w:color="000000"/>
              <w:right w:val="single" w:sz="4" w:space="0" w:color="000000"/>
            </w:tcBorders>
          </w:tcPr>
          <w:p w14:paraId="4A509898" w14:textId="77777777" w:rsidR="00FA4AA8" w:rsidRDefault="0015611F">
            <w:pPr>
              <w:pStyle w:val="TableParagraph"/>
              <w:spacing w:before="12" w:line="271" w:lineRule="auto"/>
              <w:ind w:left="45" w:right="35"/>
              <w:jc w:val="center"/>
              <w:rPr>
                <w:rFonts w:ascii="Carlito"/>
                <w:b/>
                <w:sz w:val="14"/>
              </w:rPr>
            </w:pPr>
            <w:r>
              <w:rPr>
                <w:rFonts w:ascii="Carlito"/>
                <w:b/>
                <w:sz w:val="14"/>
              </w:rPr>
              <w:t xml:space="preserve">Benchmark </w:t>
            </w:r>
            <w:r>
              <w:rPr>
                <w:rFonts w:ascii="Carlito"/>
                <w:b/>
                <w:w w:val="105"/>
                <w:sz w:val="14"/>
              </w:rPr>
              <w:t>Return</w:t>
            </w:r>
          </w:p>
          <w:p w14:paraId="10FACE92" w14:textId="77777777" w:rsidR="00FA4AA8" w:rsidRDefault="0015611F">
            <w:pPr>
              <w:pStyle w:val="TableParagraph"/>
              <w:spacing w:line="152" w:lineRule="exact"/>
              <w:ind w:left="4"/>
              <w:jc w:val="center"/>
              <w:rPr>
                <w:rFonts w:ascii="Carlito"/>
                <w:b/>
                <w:sz w:val="14"/>
              </w:rPr>
            </w:pPr>
            <w:r>
              <w:rPr>
                <w:rFonts w:ascii="Carlito"/>
                <w:b/>
                <w:w w:val="104"/>
                <w:sz w:val="14"/>
              </w:rPr>
              <w:t>%</w:t>
            </w:r>
          </w:p>
        </w:tc>
        <w:tc>
          <w:tcPr>
            <w:tcW w:w="767" w:type="dxa"/>
            <w:tcBorders>
              <w:top w:val="single" w:sz="4" w:space="0" w:color="000000"/>
              <w:left w:val="single" w:sz="4" w:space="0" w:color="000000"/>
              <w:bottom w:val="single" w:sz="4" w:space="0" w:color="000000"/>
            </w:tcBorders>
          </w:tcPr>
          <w:p w14:paraId="00D3783B" w14:textId="77777777" w:rsidR="00FA4AA8" w:rsidRDefault="0015611F">
            <w:pPr>
              <w:pStyle w:val="TableParagraph"/>
              <w:spacing w:before="12" w:line="271" w:lineRule="auto"/>
              <w:ind w:left="182" w:right="163" w:firstLine="2"/>
              <w:jc w:val="center"/>
              <w:rPr>
                <w:rFonts w:ascii="Carlito"/>
                <w:b/>
                <w:sz w:val="14"/>
              </w:rPr>
            </w:pPr>
            <w:r>
              <w:rPr>
                <w:rFonts w:ascii="Carlito"/>
                <w:b/>
                <w:spacing w:val="-3"/>
                <w:w w:val="105"/>
                <w:sz w:val="14"/>
              </w:rPr>
              <w:t xml:space="preserve">Actual </w:t>
            </w:r>
            <w:r>
              <w:rPr>
                <w:rFonts w:ascii="Carlito"/>
                <w:b/>
                <w:spacing w:val="-2"/>
                <w:w w:val="105"/>
                <w:sz w:val="14"/>
              </w:rPr>
              <w:t>Return</w:t>
            </w:r>
          </w:p>
          <w:p w14:paraId="4BB823F5" w14:textId="77777777" w:rsidR="00FA4AA8" w:rsidRDefault="0015611F">
            <w:pPr>
              <w:pStyle w:val="TableParagraph"/>
              <w:spacing w:line="152" w:lineRule="exact"/>
              <w:ind w:left="25"/>
              <w:jc w:val="center"/>
              <w:rPr>
                <w:rFonts w:ascii="Carlito"/>
                <w:b/>
                <w:sz w:val="14"/>
              </w:rPr>
            </w:pPr>
            <w:r>
              <w:rPr>
                <w:rFonts w:ascii="Carlito"/>
                <w:b/>
                <w:w w:val="104"/>
                <w:sz w:val="14"/>
              </w:rPr>
              <w:t>%</w:t>
            </w:r>
          </w:p>
        </w:tc>
        <w:tc>
          <w:tcPr>
            <w:tcW w:w="767" w:type="dxa"/>
            <w:tcBorders>
              <w:top w:val="single" w:sz="4" w:space="0" w:color="000000"/>
              <w:bottom w:val="single" w:sz="4" w:space="0" w:color="000000"/>
              <w:right w:val="single" w:sz="4" w:space="0" w:color="000000"/>
            </w:tcBorders>
          </w:tcPr>
          <w:p w14:paraId="72485481" w14:textId="77777777" w:rsidR="00FA4AA8" w:rsidRDefault="0015611F">
            <w:pPr>
              <w:pStyle w:val="TableParagraph"/>
              <w:spacing w:before="12" w:line="271" w:lineRule="auto"/>
              <w:ind w:left="45" w:right="34"/>
              <w:jc w:val="center"/>
              <w:rPr>
                <w:rFonts w:ascii="Carlito"/>
                <w:b/>
                <w:sz w:val="14"/>
              </w:rPr>
            </w:pPr>
            <w:r>
              <w:rPr>
                <w:rFonts w:ascii="Carlito"/>
                <w:b/>
                <w:sz w:val="14"/>
              </w:rPr>
              <w:t xml:space="preserve">Benchmark </w:t>
            </w:r>
            <w:r>
              <w:rPr>
                <w:rFonts w:ascii="Carlito"/>
                <w:b/>
                <w:w w:val="105"/>
                <w:sz w:val="14"/>
              </w:rPr>
              <w:t>Return</w:t>
            </w:r>
          </w:p>
          <w:p w14:paraId="5BDED0BF" w14:textId="77777777" w:rsidR="00FA4AA8" w:rsidRDefault="0015611F">
            <w:pPr>
              <w:pStyle w:val="TableParagraph"/>
              <w:spacing w:line="152" w:lineRule="exact"/>
              <w:ind w:left="6"/>
              <w:jc w:val="center"/>
              <w:rPr>
                <w:rFonts w:ascii="Carlito"/>
                <w:b/>
                <w:sz w:val="14"/>
              </w:rPr>
            </w:pPr>
            <w:r>
              <w:rPr>
                <w:rFonts w:ascii="Carlito"/>
                <w:b/>
                <w:w w:val="104"/>
                <w:sz w:val="14"/>
              </w:rPr>
              <w:t>%</w:t>
            </w:r>
          </w:p>
        </w:tc>
      </w:tr>
      <w:tr w:rsidR="00FA4AA8" w14:paraId="70B02CBC" w14:textId="77777777">
        <w:trPr>
          <w:trHeight w:val="183"/>
        </w:trPr>
        <w:tc>
          <w:tcPr>
            <w:tcW w:w="2671" w:type="dxa"/>
            <w:tcBorders>
              <w:top w:val="single" w:sz="4" w:space="0" w:color="000000"/>
              <w:left w:val="single" w:sz="4" w:space="0" w:color="000000"/>
              <w:right w:val="single" w:sz="4" w:space="0" w:color="000000"/>
            </w:tcBorders>
          </w:tcPr>
          <w:p w14:paraId="76359E5B" w14:textId="77777777" w:rsidR="00FA4AA8" w:rsidRDefault="00FA4AA8">
            <w:pPr>
              <w:pStyle w:val="TableParagraph"/>
              <w:rPr>
                <w:rFonts w:ascii="Times New Roman"/>
                <w:sz w:val="12"/>
              </w:rPr>
            </w:pPr>
          </w:p>
        </w:tc>
        <w:tc>
          <w:tcPr>
            <w:tcW w:w="864" w:type="dxa"/>
            <w:tcBorders>
              <w:top w:val="single" w:sz="4" w:space="0" w:color="000000"/>
              <w:left w:val="single" w:sz="4" w:space="0" w:color="000000"/>
            </w:tcBorders>
          </w:tcPr>
          <w:p w14:paraId="0208FA6E" w14:textId="77777777" w:rsidR="00FA4AA8" w:rsidRDefault="00FA4AA8">
            <w:pPr>
              <w:pStyle w:val="TableParagraph"/>
              <w:rPr>
                <w:rFonts w:ascii="Times New Roman"/>
                <w:sz w:val="12"/>
              </w:rPr>
            </w:pPr>
          </w:p>
        </w:tc>
        <w:tc>
          <w:tcPr>
            <w:tcW w:w="864" w:type="dxa"/>
            <w:tcBorders>
              <w:top w:val="single" w:sz="4" w:space="0" w:color="000000"/>
              <w:right w:val="single" w:sz="4" w:space="0" w:color="000000"/>
            </w:tcBorders>
          </w:tcPr>
          <w:p w14:paraId="2D7BFAB2" w14:textId="77777777" w:rsidR="00FA4AA8" w:rsidRDefault="00FA4AA8">
            <w:pPr>
              <w:pStyle w:val="TableParagraph"/>
              <w:rPr>
                <w:rFonts w:ascii="Times New Roman"/>
                <w:sz w:val="12"/>
              </w:rPr>
            </w:pPr>
          </w:p>
        </w:tc>
        <w:tc>
          <w:tcPr>
            <w:tcW w:w="767" w:type="dxa"/>
            <w:tcBorders>
              <w:top w:val="single" w:sz="4" w:space="0" w:color="000000"/>
              <w:left w:val="single" w:sz="4" w:space="0" w:color="000000"/>
            </w:tcBorders>
          </w:tcPr>
          <w:p w14:paraId="084D4301" w14:textId="77777777" w:rsidR="00FA4AA8" w:rsidRDefault="00FA4AA8">
            <w:pPr>
              <w:pStyle w:val="TableParagraph"/>
              <w:rPr>
                <w:rFonts w:ascii="Times New Roman"/>
                <w:sz w:val="12"/>
              </w:rPr>
            </w:pPr>
          </w:p>
        </w:tc>
        <w:tc>
          <w:tcPr>
            <w:tcW w:w="767" w:type="dxa"/>
            <w:tcBorders>
              <w:top w:val="single" w:sz="4" w:space="0" w:color="000000"/>
              <w:right w:val="single" w:sz="4" w:space="0" w:color="000000"/>
            </w:tcBorders>
          </w:tcPr>
          <w:p w14:paraId="17103AA8" w14:textId="77777777" w:rsidR="00FA4AA8" w:rsidRDefault="00FA4AA8">
            <w:pPr>
              <w:pStyle w:val="TableParagraph"/>
              <w:rPr>
                <w:rFonts w:ascii="Times New Roman"/>
                <w:sz w:val="12"/>
              </w:rPr>
            </w:pPr>
          </w:p>
        </w:tc>
        <w:tc>
          <w:tcPr>
            <w:tcW w:w="767" w:type="dxa"/>
            <w:tcBorders>
              <w:top w:val="single" w:sz="4" w:space="0" w:color="000000"/>
              <w:left w:val="single" w:sz="4" w:space="0" w:color="000000"/>
            </w:tcBorders>
          </w:tcPr>
          <w:p w14:paraId="64A708D5" w14:textId="77777777" w:rsidR="00FA4AA8" w:rsidRDefault="00FA4AA8">
            <w:pPr>
              <w:pStyle w:val="TableParagraph"/>
              <w:rPr>
                <w:rFonts w:ascii="Times New Roman"/>
                <w:sz w:val="12"/>
              </w:rPr>
            </w:pPr>
          </w:p>
        </w:tc>
        <w:tc>
          <w:tcPr>
            <w:tcW w:w="767" w:type="dxa"/>
            <w:tcBorders>
              <w:top w:val="single" w:sz="4" w:space="0" w:color="000000"/>
              <w:right w:val="single" w:sz="4" w:space="0" w:color="000000"/>
            </w:tcBorders>
          </w:tcPr>
          <w:p w14:paraId="770AD05B" w14:textId="77777777" w:rsidR="00FA4AA8" w:rsidRDefault="00FA4AA8">
            <w:pPr>
              <w:pStyle w:val="TableParagraph"/>
              <w:rPr>
                <w:rFonts w:ascii="Times New Roman"/>
                <w:sz w:val="12"/>
              </w:rPr>
            </w:pPr>
          </w:p>
        </w:tc>
        <w:tc>
          <w:tcPr>
            <w:tcW w:w="767" w:type="dxa"/>
            <w:tcBorders>
              <w:top w:val="single" w:sz="4" w:space="0" w:color="000000"/>
              <w:left w:val="single" w:sz="4" w:space="0" w:color="000000"/>
            </w:tcBorders>
          </w:tcPr>
          <w:p w14:paraId="74E8325C" w14:textId="77777777" w:rsidR="00FA4AA8" w:rsidRDefault="00FA4AA8">
            <w:pPr>
              <w:pStyle w:val="TableParagraph"/>
              <w:rPr>
                <w:rFonts w:ascii="Times New Roman"/>
                <w:sz w:val="12"/>
              </w:rPr>
            </w:pPr>
          </w:p>
        </w:tc>
        <w:tc>
          <w:tcPr>
            <w:tcW w:w="767" w:type="dxa"/>
            <w:tcBorders>
              <w:top w:val="single" w:sz="4" w:space="0" w:color="000000"/>
              <w:right w:val="single" w:sz="4" w:space="0" w:color="000000"/>
            </w:tcBorders>
          </w:tcPr>
          <w:p w14:paraId="0AE0E4A4" w14:textId="77777777" w:rsidR="00FA4AA8" w:rsidRDefault="00FA4AA8">
            <w:pPr>
              <w:pStyle w:val="TableParagraph"/>
              <w:rPr>
                <w:rFonts w:ascii="Times New Roman"/>
                <w:sz w:val="12"/>
              </w:rPr>
            </w:pPr>
          </w:p>
        </w:tc>
      </w:tr>
      <w:tr w:rsidR="00FA4AA8" w14:paraId="1B18E6E2" w14:textId="77777777">
        <w:trPr>
          <w:trHeight w:val="212"/>
        </w:trPr>
        <w:tc>
          <w:tcPr>
            <w:tcW w:w="2671" w:type="dxa"/>
            <w:tcBorders>
              <w:left w:val="single" w:sz="4" w:space="0" w:color="000000"/>
              <w:right w:val="single" w:sz="4" w:space="0" w:color="000000"/>
            </w:tcBorders>
          </w:tcPr>
          <w:p w14:paraId="31B11B3D" w14:textId="77777777" w:rsidR="00FA4AA8" w:rsidRDefault="0015611F">
            <w:pPr>
              <w:pStyle w:val="TableParagraph"/>
              <w:spacing w:before="40" w:line="152" w:lineRule="exact"/>
              <w:ind w:left="24"/>
              <w:rPr>
                <w:rFonts w:ascii="Carlito"/>
                <w:sz w:val="14"/>
              </w:rPr>
            </w:pPr>
            <w:r>
              <w:rPr>
                <w:rFonts w:ascii="Carlito"/>
                <w:w w:val="105"/>
                <w:sz w:val="14"/>
              </w:rPr>
              <w:t xml:space="preserve">Mercer Multi Manager Funds </w:t>
            </w:r>
            <w:r>
              <w:rPr>
                <w:rFonts w:ascii="Carlito"/>
                <w:w w:val="105"/>
                <w:sz w:val="14"/>
                <w:vertAlign w:val="superscript"/>
              </w:rPr>
              <w:t>4</w:t>
            </w:r>
          </w:p>
        </w:tc>
        <w:tc>
          <w:tcPr>
            <w:tcW w:w="864" w:type="dxa"/>
            <w:tcBorders>
              <w:left w:val="single" w:sz="4" w:space="0" w:color="000000"/>
            </w:tcBorders>
          </w:tcPr>
          <w:p w14:paraId="726EBF36" w14:textId="77777777" w:rsidR="00FA4AA8" w:rsidRDefault="0015611F">
            <w:pPr>
              <w:pStyle w:val="TableParagraph"/>
              <w:spacing w:before="40" w:line="152" w:lineRule="exact"/>
              <w:ind w:left="93" w:right="81"/>
              <w:jc w:val="center"/>
              <w:rPr>
                <w:rFonts w:ascii="Carlito"/>
                <w:sz w:val="14"/>
              </w:rPr>
            </w:pPr>
            <w:r>
              <w:rPr>
                <w:rFonts w:ascii="Carlito"/>
                <w:w w:val="105"/>
                <w:sz w:val="14"/>
              </w:rPr>
              <w:t>-2.19%</w:t>
            </w:r>
          </w:p>
        </w:tc>
        <w:tc>
          <w:tcPr>
            <w:tcW w:w="864" w:type="dxa"/>
            <w:tcBorders>
              <w:right w:val="single" w:sz="4" w:space="0" w:color="000000"/>
            </w:tcBorders>
          </w:tcPr>
          <w:p w14:paraId="1DAA6278" w14:textId="77777777" w:rsidR="00FA4AA8" w:rsidRDefault="00FA4AA8">
            <w:pPr>
              <w:pStyle w:val="TableParagraph"/>
              <w:rPr>
                <w:rFonts w:ascii="Times New Roman"/>
                <w:sz w:val="14"/>
              </w:rPr>
            </w:pPr>
          </w:p>
        </w:tc>
        <w:tc>
          <w:tcPr>
            <w:tcW w:w="767" w:type="dxa"/>
            <w:tcBorders>
              <w:left w:val="single" w:sz="4" w:space="0" w:color="000000"/>
            </w:tcBorders>
          </w:tcPr>
          <w:p w14:paraId="2C906625" w14:textId="77777777" w:rsidR="00FA4AA8" w:rsidRDefault="00FA4AA8">
            <w:pPr>
              <w:pStyle w:val="TableParagraph"/>
              <w:rPr>
                <w:rFonts w:ascii="Times New Roman"/>
                <w:sz w:val="14"/>
              </w:rPr>
            </w:pPr>
          </w:p>
        </w:tc>
        <w:tc>
          <w:tcPr>
            <w:tcW w:w="767" w:type="dxa"/>
            <w:tcBorders>
              <w:right w:val="single" w:sz="4" w:space="0" w:color="000000"/>
            </w:tcBorders>
          </w:tcPr>
          <w:p w14:paraId="3AAB5708" w14:textId="77777777" w:rsidR="00FA4AA8" w:rsidRDefault="00FA4AA8">
            <w:pPr>
              <w:pStyle w:val="TableParagraph"/>
              <w:rPr>
                <w:rFonts w:ascii="Times New Roman"/>
                <w:sz w:val="14"/>
              </w:rPr>
            </w:pPr>
          </w:p>
        </w:tc>
        <w:tc>
          <w:tcPr>
            <w:tcW w:w="767" w:type="dxa"/>
            <w:tcBorders>
              <w:left w:val="single" w:sz="4" w:space="0" w:color="000000"/>
            </w:tcBorders>
          </w:tcPr>
          <w:p w14:paraId="5A36B395" w14:textId="77777777" w:rsidR="00FA4AA8" w:rsidRDefault="00FA4AA8">
            <w:pPr>
              <w:pStyle w:val="TableParagraph"/>
              <w:rPr>
                <w:rFonts w:ascii="Times New Roman"/>
                <w:sz w:val="14"/>
              </w:rPr>
            </w:pPr>
          </w:p>
        </w:tc>
        <w:tc>
          <w:tcPr>
            <w:tcW w:w="767" w:type="dxa"/>
            <w:tcBorders>
              <w:right w:val="single" w:sz="4" w:space="0" w:color="000000"/>
            </w:tcBorders>
          </w:tcPr>
          <w:p w14:paraId="7F94479F" w14:textId="77777777" w:rsidR="00FA4AA8" w:rsidRDefault="00FA4AA8">
            <w:pPr>
              <w:pStyle w:val="TableParagraph"/>
              <w:rPr>
                <w:rFonts w:ascii="Times New Roman"/>
                <w:sz w:val="14"/>
              </w:rPr>
            </w:pPr>
          </w:p>
        </w:tc>
        <w:tc>
          <w:tcPr>
            <w:tcW w:w="767" w:type="dxa"/>
            <w:tcBorders>
              <w:left w:val="single" w:sz="4" w:space="0" w:color="000000"/>
            </w:tcBorders>
          </w:tcPr>
          <w:p w14:paraId="768C9F8F" w14:textId="77777777" w:rsidR="00FA4AA8" w:rsidRDefault="00FA4AA8">
            <w:pPr>
              <w:pStyle w:val="TableParagraph"/>
              <w:rPr>
                <w:rFonts w:ascii="Times New Roman"/>
                <w:sz w:val="14"/>
              </w:rPr>
            </w:pPr>
          </w:p>
        </w:tc>
        <w:tc>
          <w:tcPr>
            <w:tcW w:w="767" w:type="dxa"/>
            <w:tcBorders>
              <w:right w:val="single" w:sz="4" w:space="0" w:color="000000"/>
            </w:tcBorders>
          </w:tcPr>
          <w:p w14:paraId="0BD23A72" w14:textId="77777777" w:rsidR="00FA4AA8" w:rsidRDefault="00FA4AA8">
            <w:pPr>
              <w:pStyle w:val="TableParagraph"/>
              <w:rPr>
                <w:rFonts w:ascii="Times New Roman"/>
                <w:sz w:val="14"/>
              </w:rPr>
            </w:pPr>
          </w:p>
        </w:tc>
      </w:tr>
      <w:tr w:rsidR="00FA4AA8" w14:paraId="4D79623E" w14:textId="77777777">
        <w:trPr>
          <w:trHeight w:val="212"/>
        </w:trPr>
        <w:tc>
          <w:tcPr>
            <w:tcW w:w="2671" w:type="dxa"/>
            <w:tcBorders>
              <w:left w:val="single" w:sz="4" w:space="0" w:color="000000"/>
              <w:right w:val="single" w:sz="4" w:space="0" w:color="000000"/>
            </w:tcBorders>
          </w:tcPr>
          <w:p w14:paraId="255E19CF" w14:textId="77777777" w:rsidR="00FA4AA8" w:rsidRDefault="0015611F">
            <w:pPr>
              <w:pStyle w:val="TableParagraph"/>
              <w:spacing w:before="40" w:line="152" w:lineRule="exact"/>
              <w:ind w:left="24"/>
              <w:rPr>
                <w:rFonts w:ascii="Carlito"/>
                <w:sz w:val="14"/>
              </w:rPr>
            </w:pPr>
            <w:r>
              <w:rPr>
                <w:rFonts w:ascii="Carlito"/>
                <w:w w:val="105"/>
                <w:sz w:val="14"/>
              </w:rPr>
              <w:t xml:space="preserve">Acadian Australian Equity High Yield Fund </w:t>
            </w:r>
            <w:r>
              <w:rPr>
                <w:rFonts w:ascii="Carlito"/>
                <w:w w:val="105"/>
                <w:sz w:val="14"/>
                <w:vertAlign w:val="superscript"/>
              </w:rPr>
              <w:t>5</w:t>
            </w:r>
          </w:p>
        </w:tc>
        <w:tc>
          <w:tcPr>
            <w:tcW w:w="864" w:type="dxa"/>
            <w:tcBorders>
              <w:left w:val="single" w:sz="4" w:space="0" w:color="000000"/>
            </w:tcBorders>
          </w:tcPr>
          <w:p w14:paraId="2610EC66" w14:textId="77777777" w:rsidR="00FA4AA8" w:rsidRDefault="0015611F">
            <w:pPr>
              <w:pStyle w:val="TableParagraph"/>
              <w:spacing w:before="40" w:line="152" w:lineRule="exact"/>
              <w:ind w:left="93" w:right="81"/>
              <w:jc w:val="center"/>
              <w:rPr>
                <w:rFonts w:ascii="Carlito"/>
                <w:sz w:val="14"/>
              </w:rPr>
            </w:pPr>
            <w:r>
              <w:rPr>
                <w:rFonts w:ascii="Carlito"/>
                <w:w w:val="105"/>
                <w:sz w:val="14"/>
              </w:rPr>
              <w:t>-1.54%</w:t>
            </w:r>
          </w:p>
        </w:tc>
        <w:tc>
          <w:tcPr>
            <w:tcW w:w="864" w:type="dxa"/>
            <w:tcBorders>
              <w:right w:val="single" w:sz="4" w:space="0" w:color="000000"/>
            </w:tcBorders>
          </w:tcPr>
          <w:p w14:paraId="7249C27E" w14:textId="77777777" w:rsidR="00FA4AA8" w:rsidRDefault="0015611F">
            <w:pPr>
              <w:pStyle w:val="TableParagraph"/>
              <w:spacing w:before="40" w:line="152" w:lineRule="exact"/>
              <w:ind w:left="93" w:right="80"/>
              <w:jc w:val="center"/>
              <w:rPr>
                <w:rFonts w:ascii="Carlito"/>
                <w:sz w:val="14"/>
              </w:rPr>
            </w:pPr>
            <w:r>
              <w:rPr>
                <w:rFonts w:ascii="Carlito"/>
                <w:w w:val="105"/>
                <w:sz w:val="14"/>
              </w:rPr>
              <w:t>-1.67%</w:t>
            </w:r>
          </w:p>
        </w:tc>
        <w:tc>
          <w:tcPr>
            <w:tcW w:w="767" w:type="dxa"/>
            <w:tcBorders>
              <w:left w:val="single" w:sz="4" w:space="0" w:color="000000"/>
            </w:tcBorders>
          </w:tcPr>
          <w:p w14:paraId="12B759E1" w14:textId="77777777" w:rsidR="00FA4AA8" w:rsidRDefault="0015611F">
            <w:pPr>
              <w:pStyle w:val="TableParagraph"/>
              <w:spacing w:before="40" w:line="152" w:lineRule="exact"/>
              <w:ind w:left="39" w:right="35"/>
              <w:jc w:val="center"/>
              <w:rPr>
                <w:rFonts w:ascii="Carlito"/>
                <w:sz w:val="14"/>
              </w:rPr>
            </w:pPr>
            <w:r>
              <w:rPr>
                <w:rFonts w:ascii="Carlito"/>
                <w:w w:val="105"/>
                <w:sz w:val="14"/>
              </w:rPr>
              <w:t>7.55%</w:t>
            </w:r>
          </w:p>
        </w:tc>
        <w:tc>
          <w:tcPr>
            <w:tcW w:w="767" w:type="dxa"/>
            <w:tcBorders>
              <w:right w:val="single" w:sz="4" w:space="0" w:color="000000"/>
            </w:tcBorders>
          </w:tcPr>
          <w:p w14:paraId="1EFFDB31" w14:textId="77777777" w:rsidR="00FA4AA8" w:rsidRDefault="0015611F">
            <w:pPr>
              <w:pStyle w:val="TableParagraph"/>
              <w:spacing w:before="40" w:line="152" w:lineRule="exact"/>
              <w:ind w:left="45" w:right="30"/>
              <w:jc w:val="center"/>
              <w:rPr>
                <w:rFonts w:ascii="Carlito"/>
                <w:sz w:val="14"/>
              </w:rPr>
            </w:pPr>
            <w:r>
              <w:rPr>
                <w:rFonts w:ascii="Carlito"/>
                <w:w w:val="105"/>
                <w:sz w:val="14"/>
              </w:rPr>
              <w:t>13.53%</w:t>
            </w:r>
          </w:p>
        </w:tc>
        <w:tc>
          <w:tcPr>
            <w:tcW w:w="767" w:type="dxa"/>
            <w:tcBorders>
              <w:left w:val="single" w:sz="4" w:space="0" w:color="000000"/>
            </w:tcBorders>
          </w:tcPr>
          <w:p w14:paraId="5888A118" w14:textId="77777777" w:rsidR="00FA4AA8" w:rsidRDefault="0015611F">
            <w:pPr>
              <w:pStyle w:val="TableParagraph"/>
              <w:spacing w:before="40" w:line="152" w:lineRule="exact"/>
              <w:ind w:left="45" w:right="29"/>
              <w:jc w:val="center"/>
              <w:rPr>
                <w:rFonts w:ascii="Carlito"/>
                <w:sz w:val="14"/>
              </w:rPr>
            </w:pPr>
            <w:r>
              <w:rPr>
                <w:rFonts w:ascii="Carlito"/>
                <w:w w:val="105"/>
                <w:sz w:val="14"/>
              </w:rPr>
              <w:t>11.41%</w:t>
            </w:r>
          </w:p>
        </w:tc>
        <w:tc>
          <w:tcPr>
            <w:tcW w:w="767" w:type="dxa"/>
            <w:tcBorders>
              <w:right w:val="single" w:sz="4" w:space="0" w:color="000000"/>
            </w:tcBorders>
          </w:tcPr>
          <w:p w14:paraId="0C98FBB3" w14:textId="77777777" w:rsidR="00FA4AA8" w:rsidRDefault="0015611F">
            <w:pPr>
              <w:pStyle w:val="TableParagraph"/>
              <w:spacing w:before="40" w:line="152" w:lineRule="exact"/>
              <w:ind w:left="45" w:right="28"/>
              <w:jc w:val="center"/>
              <w:rPr>
                <w:rFonts w:ascii="Carlito"/>
                <w:sz w:val="14"/>
              </w:rPr>
            </w:pPr>
            <w:r>
              <w:rPr>
                <w:rFonts w:ascii="Carlito"/>
                <w:w w:val="105"/>
                <w:sz w:val="14"/>
              </w:rPr>
              <w:t>13.40%</w:t>
            </w:r>
          </w:p>
        </w:tc>
        <w:tc>
          <w:tcPr>
            <w:tcW w:w="767" w:type="dxa"/>
            <w:tcBorders>
              <w:left w:val="single" w:sz="4" w:space="0" w:color="000000"/>
            </w:tcBorders>
          </w:tcPr>
          <w:p w14:paraId="63FCBDAB" w14:textId="77777777" w:rsidR="00FA4AA8" w:rsidRDefault="0015611F">
            <w:pPr>
              <w:pStyle w:val="TableParagraph"/>
              <w:spacing w:before="40" w:line="152" w:lineRule="exact"/>
              <w:ind w:left="45" w:right="27"/>
              <w:jc w:val="center"/>
              <w:rPr>
                <w:rFonts w:ascii="Carlito"/>
                <w:sz w:val="14"/>
              </w:rPr>
            </w:pPr>
            <w:r>
              <w:rPr>
                <w:rFonts w:ascii="Carlito"/>
                <w:w w:val="105"/>
                <w:sz w:val="14"/>
              </w:rPr>
              <w:t>10.38%</w:t>
            </w:r>
          </w:p>
        </w:tc>
        <w:tc>
          <w:tcPr>
            <w:tcW w:w="767" w:type="dxa"/>
            <w:tcBorders>
              <w:right w:val="single" w:sz="4" w:space="0" w:color="000000"/>
            </w:tcBorders>
          </w:tcPr>
          <w:p w14:paraId="72053970" w14:textId="77777777" w:rsidR="00FA4AA8" w:rsidRDefault="0015611F">
            <w:pPr>
              <w:pStyle w:val="TableParagraph"/>
              <w:spacing w:before="40" w:line="152" w:lineRule="exact"/>
              <w:ind w:left="44" w:right="35"/>
              <w:jc w:val="center"/>
              <w:rPr>
                <w:rFonts w:ascii="Carlito"/>
                <w:sz w:val="14"/>
              </w:rPr>
            </w:pPr>
            <w:r>
              <w:rPr>
                <w:rFonts w:ascii="Carlito"/>
                <w:w w:val="105"/>
                <w:sz w:val="14"/>
              </w:rPr>
              <w:t>4.40%</w:t>
            </w:r>
          </w:p>
        </w:tc>
      </w:tr>
      <w:tr w:rsidR="00FA4AA8" w14:paraId="7EAA072F" w14:textId="77777777">
        <w:trPr>
          <w:trHeight w:val="212"/>
        </w:trPr>
        <w:tc>
          <w:tcPr>
            <w:tcW w:w="2671" w:type="dxa"/>
            <w:tcBorders>
              <w:left w:val="single" w:sz="4" w:space="0" w:color="000000"/>
              <w:right w:val="single" w:sz="4" w:space="0" w:color="000000"/>
            </w:tcBorders>
          </w:tcPr>
          <w:p w14:paraId="44BAB55F" w14:textId="77777777" w:rsidR="00FA4AA8" w:rsidRDefault="0015611F">
            <w:pPr>
              <w:pStyle w:val="TableParagraph"/>
              <w:spacing w:before="40" w:line="152" w:lineRule="exact"/>
              <w:ind w:left="24"/>
              <w:rPr>
                <w:rFonts w:ascii="Carlito"/>
                <w:sz w:val="14"/>
              </w:rPr>
            </w:pPr>
            <w:r>
              <w:rPr>
                <w:rFonts w:ascii="Carlito"/>
                <w:w w:val="105"/>
                <w:sz w:val="14"/>
              </w:rPr>
              <w:t xml:space="preserve">JB Were </w:t>
            </w:r>
            <w:r>
              <w:rPr>
                <w:rFonts w:ascii="Carlito"/>
                <w:w w:val="105"/>
                <w:sz w:val="14"/>
                <w:vertAlign w:val="superscript"/>
              </w:rPr>
              <w:t>6</w:t>
            </w:r>
          </w:p>
        </w:tc>
        <w:tc>
          <w:tcPr>
            <w:tcW w:w="864" w:type="dxa"/>
            <w:tcBorders>
              <w:left w:val="single" w:sz="4" w:space="0" w:color="000000"/>
            </w:tcBorders>
          </w:tcPr>
          <w:p w14:paraId="49CCD6FA" w14:textId="77777777" w:rsidR="00FA4AA8" w:rsidRDefault="0015611F">
            <w:pPr>
              <w:pStyle w:val="TableParagraph"/>
              <w:spacing w:before="40" w:line="152" w:lineRule="exact"/>
              <w:ind w:left="88" w:right="86"/>
              <w:jc w:val="center"/>
              <w:rPr>
                <w:rFonts w:ascii="Carlito"/>
                <w:sz w:val="14"/>
              </w:rPr>
            </w:pPr>
            <w:r>
              <w:rPr>
                <w:rFonts w:ascii="Carlito"/>
                <w:w w:val="105"/>
                <w:sz w:val="14"/>
              </w:rPr>
              <w:t>3.45%</w:t>
            </w:r>
          </w:p>
        </w:tc>
        <w:tc>
          <w:tcPr>
            <w:tcW w:w="864" w:type="dxa"/>
            <w:tcBorders>
              <w:right w:val="single" w:sz="4" w:space="0" w:color="000000"/>
            </w:tcBorders>
          </w:tcPr>
          <w:p w14:paraId="52600A03" w14:textId="77777777" w:rsidR="00FA4AA8" w:rsidRDefault="0015611F">
            <w:pPr>
              <w:pStyle w:val="TableParagraph"/>
              <w:spacing w:before="40" w:line="152" w:lineRule="exact"/>
              <w:ind w:left="89" w:right="86"/>
              <w:jc w:val="center"/>
              <w:rPr>
                <w:rFonts w:ascii="Carlito"/>
                <w:sz w:val="14"/>
              </w:rPr>
            </w:pPr>
            <w:r>
              <w:rPr>
                <w:rFonts w:ascii="Carlito"/>
                <w:w w:val="105"/>
                <w:sz w:val="14"/>
              </w:rPr>
              <w:t>2.21%</w:t>
            </w:r>
          </w:p>
        </w:tc>
        <w:tc>
          <w:tcPr>
            <w:tcW w:w="767" w:type="dxa"/>
            <w:tcBorders>
              <w:left w:val="single" w:sz="4" w:space="0" w:color="000000"/>
            </w:tcBorders>
          </w:tcPr>
          <w:p w14:paraId="496D0316" w14:textId="77777777" w:rsidR="00FA4AA8" w:rsidRDefault="0015611F">
            <w:pPr>
              <w:pStyle w:val="TableParagraph"/>
              <w:spacing w:before="40" w:line="152" w:lineRule="exact"/>
              <w:ind w:left="39" w:right="35"/>
              <w:jc w:val="center"/>
              <w:rPr>
                <w:rFonts w:ascii="Carlito"/>
                <w:sz w:val="14"/>
              </w:rPr>
            </w:pPr>
            <w:r>
              <w:rPr>
                <w:rFonts w:ascii="Carlito"/>
                <w:w w:val="105"/>
                <w:sz w:val="14"/>
              </w:rPr>
              <w:t>3.40%</w:t>
            </w:r>
          </w:p>
        </w:tc>
        <w:tc>
          <w:tcPr>
            <w:tcW w:w="767" w:type="dxa"/>
            <w:tcBorders>
              <w:right w:val="single" w:sz="4" w:space="0" w:color="000000"/>
            </w:tcBorders>
          </w:tcPr>
          <w:p w14:paraId="761C2F57" w14:textId="77777777" w:rsidR="00FA4AA8" w:rsidRDefault="0015611F">
            <w:pPr>
              <w:pStyle w:val="TableParagraph"/>
              <w:spacing w:before="40" w:line="152" w:lineRule="exact"/>
              <w:ind w:left="40" w:right="35"/>
              <w:jc w:val="center"/>
              <w:rPr>
                <w:rFonts w:ascii="Carlito"/>
                <w:sz w:val="14"/>
              </w:rPr>
            </w:pPr>
            <w:r>
              <w:rPr>
                <w:rFonts w:ascii="Carlito"/>
                <w:w w:val="105"/>
                <w:sz w:val="14"/>
              </w:rPr>
              <w:t>1.75%</w:t>
            </w:r>
          </w:p>
        </w:tc>
        <w:tc>
          <w:tcPr>
            <w:tcW w:w="767" w:type="dxa"/>
            <w:tcBorders>
              <w:left w:val="single" w:sz="4" w:space="0" w:color="000000"/>
            </w:tcBorders>
          </w:tcPr>
          <w:p w14:paraId="32512055" w14:textId="77777777" w:rsidR="00FA4AA8" w:rsidRDefault="0015611F">
            <w:pPr>
              <w:pStyle w:val="TableParagraph"/>
              <w:spacing w:before="40" w:line="152" w:lineRule="exact"/>
              <w:ind w:left="41" w:right="35"/>
              <w:jc w:val="center"/>
              <w:rPr>
                <w:rFonts w:ascii="Carlito"/>
                <w:sz w:val="14"/>
              </w:rPr>
            </w:pPr>
            <w:r>
              <w:rPr>
                <w:rFonts w:ascii="Carlito"/>
                <w:w w:val="105"/>
                <w:sz w:val="14"/>
              </w:rPr>
              <w:t>3.50%</w:t>
            </w:r>
          </w:p>
        </w:tc>
        <w:tc>
          <w:tcPr>
            <w:tcW w:w="767" w:type="dxa"/>
            <w:tcBorders>
              <w:right w:val="single" w:sz="4" w:space="0" w:color="000000"/>
            </w:tcBorders>
          </w:tcPr>
          <w:p w14:paraId="6D521CF1" w14:textId="77777777" w:rsidR="00FA4AA8" w:rsidRDefault="0015611F">
            <w:pPr>
              <w:pStyle w:val="TableParagraph"/>
              <w:spacing w:before="40" w:line="152" w:lineRule="exact"/>
              <w:ind w:left="42" w:right="35"/>
              <w:jc w:val="center"/>
              <w:rPr>
                <w:rFonts w:ascii="Carlito"/>
                <w:sz w:val="14"/>
              </w:rPr>
            </w:pPr>
            <w:r>
              <w:rPr>
                <w:rFonts w:ascii="Carlito"/>
                <w:w w:val="105"/>
                <w:sz w:val="14"/>
              </w:rPr>
              <w:t>2.07%</w:t>
            </w:r>
          </w:p>
        </w:tc>
        <w:tc>
          <w:tcPr>
            <w:tcW w:w="767" w:type="dxa"/>
            <w:tcBorders>
              <w:left w:val="single" w:sz="4" w:space="0" w:color="000000"/>
            </w:tcBorders>
          </w:tcPr>
          <w:p w14:paraId="022D2F02" w14:textId="77777777" w:rsidR="00FA4AA8" w:rsidRDefault="0015611F">
            <w:pPr>
              <w:pStyle w:val="TableParagraph"/>
              <w:spacing w:before="40" w:line="152" w:lineRule="exact"/>
              <w:ind w:left="43" w:right="35"/>
              <w:jc w:val="center"/>
              <w:rPr>
                <w:rFonts w:ascii="Carlito"/>
                <w:sz w:val="14"/>
              </w:rPr>
            </w:pPr>
            <w:r>
              <w:rPr>
                <w:rFonts w:ascii="Carlito"/>
                <w:w w:val="105"/>
                <w:sz w:val="14"/>
              </w:rPr>
              <w:t>4.04%</w:t>
            </w:r>
          </w:p>
        </w:tc>
        <w:tc>
          <w:tcPr>
            <w:tcW w:w="767" w:type="dxa"/>
            <w:tcBorders>
              <w:right w:val="single" w:sz="4" w:space="0" w:color="000000"/>
            </w:tcBorders>
          </w:tcPr>
          <w:p w14:paraId="1A71111B" w14:textId="77777777" w:rsidR="00FA4AA8" w:rsidRDefault="0015611F">
            <w:pPr>
              <w:pStyle w:val="TableParagraph"/>
              <w:spacing w:before="40" w:line="152" w:lineRule="exact"/>
              <w:ind w:left="44" w:right="35"/>
              <w:jc w:val="center"/>
              <w:rPr>
                <w:rFonts w:ascii="Carlito"/>
                <w:sz w:val="14"/>
              </w:rPr>
            </w:pPr>
            <w:r>
              <w:rPr>
                <w:rFonts w:ascii="Carlito"/>
                <w:w w:val="105"/>
                <w:sz w:val="14"/>
              </w:rPr>
              <w:t>2.33%</w:t>
            </w:r>
          </w:p>
        </w:tc>
      </w:tr>
      <w:tr w:rsidR="00FA4AA8" w14:paraId="6C1B5AB6" w14:textId="77777777">
        <w:trPr>
          <w:trHeight w:val="212"/>
        </w:trPr>
        <w:tc>
          <w:tcPr>
            <w:tcW w:w="2671" w:type="dxa"/>
            <w:tcBorders>
              <w:left w:val="single" w:sz="4" w:space="0" w:color="000000"/>
              <w:right w:val="single" w:sz="4" w:space="0" w:color="000000"/>
            </w:tcBorders>
          </w:tcPr>
          <w:p w14:paraId="5BE286C4" w14:textId="77777777" w:rsidR="00FA4AA8" w:rsidRDefault="0015611F">
            <w:pPr>
              <w:pStyle w:val="TableParagraph"/>
              <w:spacing w:before="40" w:line="152" w:lineRule="exact"/>
              <w:ind w:left="24"/>
              <w:rPr>
                <w:rFonts w:ascii="Carlito"/>
                <w:sz w:val="14"/>
              </w:rPr>
            </w:pPr>
            <w:r>
              <w:rPr>
                <w:rFonts w:ascii="Carlito"/>
                <w:w w:val="105"/>
                <w:sz w:val="14"/>
              </w:rPr>
              <w:t xml:space="preserve">Unlisted Securities </w:t>
            </w:r>
            <w:r>
              <w:rPr>
                <w:rFonts w:ascii="Carlito"/>
                <w:w w:val="105"/>
                <w:sz w:val="14"/>
                <w:vertAlign w:val="superscript"/>
              </w:rPr>
              <w:t>7</w:t>
            </w:r>
          </w:p>
        </w:tc>
        <w:tc>
          <w:tcPr>
            <w:tcW w:w="864" w:type="dxa"/>
            <w:tcBorders>
              <w:left w:val="single" w:sz="4" w:space="0" w:color="000000"/>
            </w:tcBorders>
          </w:tcPr>
          <w:p w14:paraId="1C58EE3D" w14:textId="77777777" w:rsidR="00FA4AA8" w:rsidRDefault="0015611F">
            <w:pPr>
              <w:pStyle w:val="TableParagraph"/>
              <w:spacing w:before="40" w:line="152" w:lineRule="exact"/>
              <w:ind w:right="39"/>
              <w:jc w:val="center"/>
              <w:rPr>
                <w:rFonts w:ascii="Carlito"/>
                <w:sz w:val="14"/>
              </w:rPr>
            </w:pPr>
            <w:r>
              <w:rPr>
                <w:rFonts w:ascii="Carlito"/>
                <w:w w:val="104"/>
                <w:sz w:val="14"/>
              </w:rPr>
              <w:t>-</w:t>
            </w:r>
          </w:p>
        </w:tc>
        <w:tc>
          <w:tcPr>
            <w:tcW w:w="864" w:type="dxa"/>
            <w:tcBorders>
              <w:right w:val="single" w:sz="4" w:space="0" w:color="000000"/>
            </w:tcBorders>
          </w:tcPr>
          <w:p w14:paraId="1AB85641" w14:textId="77777777" w:rsidR="00FA4AA8" w:rsidRDefault="0015611F">
            <w:pPr>
              <w:pStyle w:val="TableParagraph"/>
              <w:spacing w:before="40" w:line="152" w:lineRule="exact"/>
              <w:ind w:right="38"/>
              <w:jc w:val="center"/>
              <w:rPr>
                <w:rFonts w:ascii="Carlito"/>
                <w:sz w:val="14"/>
              </w:rPr>
            </w:pPr>
            <w:r>
              <w:rPr>
                <w:rFonts w:ascii="Carlito"/>
                <w:w w:val="104"/>
                <w:sz w:val="14"/>
              </w:rPr>
              <w:t>-</w:t>
            </w:r>
          </w:p>
        </w:tc>
        <w:tc>
          <w:tcPr>
            <w:tcW w:w="767" w:type="dxa"/>
            <w:tcBorders>
              <w:left w:val="single" w:sz="4" w:space="0" w:color="000000"/>
            </w:tcBorders>
          </w:tcPr>
          <w:p w14:paraId="2CD1C904" w14:textId="77777777" w:rsidR="00FA4AA8" w:rsidRDefault="0015611F">
            <w:pPr>
              <w:pStyle w:val="TableParagraph"/>
              <w:spacing w:before="40" w:line="152" w:lineRule="exact"/>
              <w:ind w:right="37"/>
              <w:jc w:val="center"/>
              <w:rPr>
                <w:rFonts w:ascii="Carlito"/>
                <w:sz w:val="14"/>
              </w:rPr>
            </w:pPr>
            <w:r>
              <w:rPr>
                <w:rFonts w:ascii="Carlito"/>
                <w:w w:val="104"/>
                <w:sz w:val="14"/>
              </w:rPr>
              <w:t>-</w:t>
            </w:r>
          </w:p>
        </w:tc>
        <w:tc>
          <w:tcPr>
            <w:tcW w:w="767" w:type="dxa"/>
            <w:tcBorders>
              <w:right w:val="single" w:sz="4" w:space="0" w:color="000000"/>
            </w:tcBorders>
          </w:tcPr>
          <w:p w14:paraId="07196A49" w14:textId="77777777" w:rsidR="00FA4AA8" w:rsidRDefault="0015611F">
            <w:pPr>
              <w:pStyle w:val="TableParagraph"/>
              <w:spacing w:before="40" w:line="152" w:lineRule="exact"/>
              <w:ind w:right="37"/>
              <w:jc w:val="center"/>
              <w:rPr>
                <w:rFonts w:ascii="Carlito"/>
                <w:sz w:val="14"/>
              </w:rPr>
            </w:pPr>
            <w:r>
              <w:rPr>
                <w:rFonts w:ascii="Carlito"/>
                <w:w w:val="104"/>
                <w:sz w:val="14"/>
              </w:rPr>
              <w:t>-</w:t>
            </w:r>
          </w:p>
        </w:tc>
        <w:tc>
          <w:tcPr>
            <w:tcW w:w="767" w:type="dxa"/>
            <w:tcBorders>
              <w:left w:val="single" w:sz="4" w:space="0" w:color="000000"/>
            </w:tcBorders>
          </w:tcPr>
          <w:p w14:paraId="750F1F19" w14:textId="77777777" w:rsidR="00FA4AA8" w:rsidRDefault="0015611F">
            <w:pPr>
              <w:pStyle w:val="TableParagraph"/>
              <w:spacing w:before="40" w:line="152" w:lineRule="exact"/>
              <w:ind w:right="36"/>
              <w:jc w:val="center"/>
              <w:rPr>
                <w:rFonts w:ascii="Carlito"/>
                <w:sz w:val="14"/>
              </w:rPr>
            </w:pPr>
            <w:r>
              <w:rPr>
                <w:rFonts w:ascii="Carlito"/>
                <w:w w:val="104"/>
                <w:sz w:val="14"/>
              </w:rPr>
              <w:t>-</w:t>
            </w:r>
          </w:p>
        </w:tc>
        <w:tc>
          <w:tcPr>
            <w:tcW w:w="767" w:type="dxa"/>
            <w:tcBorders>
              <w:right w:val="single" w:sz="4" w:space="0" w:color="000000"/>
            </w:tcBorders>
          </w:tcPr>
          <w:p w14:paraId="60290534" w14:textId="77777777" w:rsidR="00FA4AA8" w:rsidRDefault="0015611F">
            <w:pPr>
              <w:pStyle w:val="TableParagraph"/>
              <w:spacing w:before="40" w:line="152" w:lineRule="exact"/>
              <w:ind w:right="35"/>
              <w:jc w:val="center"/>
              <w:rPr>
                <w:rFonts w:ascii="Carlito"/>
                <w:sz w:val="14"/>
              </w:rPr>
            </w:pPr>
            <w:r>
              <w:rPr>
                <w:rFonts w:ascii="Carlito"/>
                <w:w w:val="104"/>
                <w:sz w:val="14"/>
              </w:rPr>
              <w:t>-</w:t>
            </w:r>
          </w:p>
        </w:tc>
        <w:tc>
          <w:tcPr>
            <w:tcW w:w="767" w:type="dxa"/>
            <w:tcBorders>
              <w:left w:val="single" w:sz="4" w:space="0" w:color="000000"/>
            </w:tcBorders>
          </w:tcPr>
          <w:p w14:paraId="20B9974D" w14:textId="77777777" w:rsidR="00FA4AA8" w:rsidRDefault="0015611F">
            <w:pPr>
              <w:pStyle w:val="TableParagraph"/>
              <w:spacing w:before="40" w:line="152" w:lineRule="exact"/>
              <w:ind w:right="34"/>
              <w:jc w:val="center"/>
              <w:rPr>
                <w:rFonts w:ascii="Carlito"/>
                <w:sz w:val="14"/>
              </w:rPr>
            </w:pPr>
            <w:r>
              <w:rPr>
                <w:rFonts w:ascii="Carlito"/>
                <w:w w:val="104"/>
                <w:sz w:val="14"/>
              </w:rPr>
              <w:t>-</w:t>
            </w:r>
          </w:p>
        </w:tc>
        <w:tc>
          <w:tcPr>
            <w:tcW w:w="767" w:type="dxa"/>
            <w:tcBorders>
              <w:right w:val="single" w:sz="4" w:space="0" w:color="000000"/>
            </w:tcBorders>
          </w:tcPr>
          <w:p w14:paraId="0AEE1EAC" w14:textId="77777777" w:rsidR="00FA4AA8" w:rsidRDefault="0015611F">
            <w:pPr>
              <w:pStyle w:val="TableParagraph"/>
              <w:spacing w:before="40" w:line="152" w:lineRule="exact"/>
              <w:ind w:right="34"/>
              <w:jc w:val="center"/>
              <w:rPr>
                <w:rFonts w:ascii="Carlito"/>
                <w:sz w:val="14"/>
              </w:rPr>
            </w:pPr>
            <w:r>
              <w:rPr>
                <w:rFonts w:ascii="Carlito"/>
                <w:w w:val="104"/>
                <w:sz w:val="14"/>
              </w:rPr>
              <w:t>-</w:t>
            </w:r>
          </w:p>
        </w:tc>
      </w:tr>
      <w:tr w:rsidR="00FA4AA8" w14:paraId="17097F3B" w14:textId="77777777">
        <w:trPr>
          <w:trHeight w:val="183"/>
        </w:trPr>
        <w:tc>
          <w:tcPr>
            <w:tcW w:w="2671" w:type="dxa"/>
            <w:tcBorders>
              <w:left w:val="single" w:sz="4" w:space="0" w:color="000000"/>
              <w:bottom w:val="single" w:sz="4" w:space="0" w:color="000000"/>
              <w:right w:val="single" w:sz="4" w:space="0" w:color="000000"/>
            </w:tcBorders>
          </w:tcPr>
          <w:p w14:paraId="7073FB17" w14:textId="77777777" w:rsidR="00FA4AA8" w:rsidRDefault="00FA4AA8">
            <w:pPr>
              <w:pStyle w:val="TableParagraph"/>
              <w:rPr>
                <w:rFonts w:ascii="Times New Roman"/>
                <w:sz w:val="12"/>
              </w:rPr>
            </w:pPr>
          </w:p>
        </w:tc>
        <w:tc>
          <w:tcPr>
            <w:tcW w:w="864" w:type="dxa"/>
            <w:tcBorders>
              <w:left w:val="single" w:sz="4" w:space="0" w:color="000000"/>
              <w:bottom w:val="single" w:sz="4" w:space="0" w:color="000000"/>
            </w:tcBorders>
          </w:tcPr>
          <w:p w14:paraId="2C748EAD" w14:textId="77777777" w:rsidR="00FA4AA8" w:rsidRDefault="00FA4AA8">
            <w:pPr>
              <w:pStyle w:val="TableParagraph"/>
              <w:rPr>
                <w:rFonts w:ascii="Times New Roman"/>
                <w:sz w:val="12"/>
              </w:rPr>
            </w:pPr>
          </w:p>
        </w:tc>
        <w:tc>
          <w:tcPr>
            <w:tcW w:w="864" w:type="dxa"/>
            <w:tcBorders>
              <w:bottom w:val="single" w:sz="4" w:space="0" w:color="000000"/>
              <w:right w:val="single" w:sz="4" w:space="0" w:color="000000"/>
            </w:tcBorders>
          </w:tcPr>
          <w:p w14:paraId="0E925D4A" w14:textId="77777777" w:rsidR="00FA4AA8" w:rsidRDefault="00FA4AA8">
            <w:pPr>
              <w:pStyle w:val="TableParagraph"/>
              <w:rPr>
                <w:rFonts w:ascii="Times New Roman"/>
                <w:sz w:val="12"/>
              </w:rPr>
            </w:pPr>
          </w:p>
        </w:tc>
        <w:tc>
          <w:tcPr>
            <w:tcW w:w="767" w:type="dxa"/>
            <w:tcBorders>
              <w:left w:val="single" w:sz="4" w:space="0" w:color="000000"/>
              <w:bottom w:val="single" w:sz="4" w:space="0" w:color="000000"/>
            </w:tcBorders>
          </w:tcPr>
          <w:p w14:paraId="20119C94" w14:textId="77777777" w:rsidR="00FA4AA8" w:rsidRDefault="00FA4AA8">
            <w:pPr>
              <w:pStyle w:val="TableParagraph"/>
              <w:rPr>
                <w:rFonts w:ascii="Times New Roman"/>
                <w:sz w:val="12"/>
              </w:rPr>
            </w:pPr>
          </w:p>
        </w:tc>
        <w:tc>
          <w:tcPr>
            <w:tcW w:w="767" w:type="dxa"/>
            <w:tcBorders>
              <w:bottom w:val="single" w:sz="4" w:space="0" w:color="000000"/>
              <w:right w:val="single" w:sz="4" w:space="0" w:color="000000"/>
            </w:tcBorders>
          </w:tcPr>
          <w:p w14:paraId="5EB0922F" w14:textId="77777777" w:rsidR="00FA4AA8" w:rsidRDefault="00FA4AA8">
            <w:pPr>
              <w:pStyle w:val="TableParagraph"/>
              <w:rPr>
                <w:rFonts w:ascii="Times New Roman"/>
                <w:sz w:val="12"/>
              </w:rPr>
            </w:pPr>
          </w:p>
        </w:tc>
        <w:tc>
          <w:tcPr>
            <w:tcW w:w="767" w:type="dxa"/>
            <w:tcBorders>
              <w:left w:val="single" w:sz="4" w:space="0" w:color="000000"/>
              <w:bottom w:val="single" w:sz="4" w:space="0" w:color="000000"/>
            </w:tcBorders>
          </w:tcPr>
          <w:p w14:paraId="36E50CA9" w14:textId="77777777" w:rsidR="00FA4AA8" w:rsidRDefault="00FA4AA8">
            <w:pPr>
              <w:pStyle w:val="TableParagraph"/>
              <w:rPr>
                <w:rFonts w:ascii="Times New Roman"/>
                <w:sz w:val="12"/>
              </w:rPr>
            </w:pPr>
          </w:p>
        </w:tc>
        <w:tc>
          <w:tcPr>
            <w:tcW w:w="767" w:type="dxa"/>
            <w:tcBorders>
              <w:bottom w:val="single" w:sz="4" w:space="0" w:color="000000"/>
              <w:right w:val="single" w:sz="4" w:space="0" w:color="000000"/>
            </w:tcBorders>
          </w:tcPr>
          <w:p w14:paraId="0C238557" w14:textId="77777777" w:rsidR="00FA4AA8" w:rsidRDefault="00FA4AA8">
            <w:pPr>
              <w:pStyle w:val="TableParagraph"/>
              <w:rPr>
                <w:rFonts w:ascii="Times New Roman"/>
                <w:sz w:val="12"/>
              </w:rPr>
            </w:pPr>
          </w:p>
        </w:tc>
        <w:tc>
          <w:tcPr>
            <w:tcW w:w="767" w:type="dxa"/>
            <w:tcBorders>
              <w:left w:val="single" w:sz="4" w:space="0" w:color="000000"/>
              <w:bottom w:val="single" w:sz="4" w:space="0" w:color="000000"/>
            </w:tcBorders>
          </w:tcPr>
          <w:p w14:paraId="49BF1B32" w14:textId="77777777" w:rsidR="00FA4AA8" w:rsidRDefault="00FA4AA8">
            <w:pPr>
              <w:pStyle w:val="TableParagraph"/>
              <w:rPr>
                <w:rFonts w:ascii="Times New Roman"/>
                <w:sz w:val="12"/>
              </w:rPr>
            </w:pPr>
          </w:p>
        </w:tc>
        <w:tc>
          <w:tcPr>
            <w:tcW w:w="767" w:type="dxa"/>
            <w:tcBorders>
              <w:bottom w:val="single" w:sz="4" w:space="0" w:color="000000"/>
              <w:right w:val="single" w:sz="4" w:space="0" w:color="000000"/>
            </w:tcBorders>
          </w:tcPr>
          <w:p w14:paraId="438316AB" w14:textId="77777777" w:rsidR="00FA4AA8" w:rsidRDefault="00FA4AA8">
            <w:pPr>
              <w:pStyle w:val="TableParagraph"/>
              <w:rPr>
                <w:rFonts w:ascii="Times New Roman"/>
                <w:sz w:val="12"/>
              </w:rPr>
            </w:pPr>
          </w:p>
        </w:tc>
      </w:tr>
    </w:tbl>
    <w:p w14:paraId="6262BD7E" w14:textId="77777777" w:rsidR="00FA4AA8" w:rsidRDefault="00FA4AA8">
      <w:pPr>
        <w:pStyle w:val="BodyText"/>
        <w:spacing w:before="1"/>
        <w:rPr>
          <w:rFonts w:ascii="Carlito"/>
          <w:sz w:val="12"/>
        </w:rPr>
      </w:pPr>
    </w:p>
    <w:p w14:paraId="010C7A6C" w14:textId="77777777" w:rsidR="00FA4AA8" w:rsidRDefault="0015611F">
      <w:pPr>
        <w:pStyle w:val="ListParagraph"/>
        <w:numPr>
          <w:ilvl w:val="0"/>
          <w:numId w:val="20"/>
        </w:numPr>
        <w:tabs>
          <w:tab w:val="left" w:pos="381"/>
        </w:tabs>
        <w:spacing w:before="1" w:line="254" w:lineRule="auto"/>
        <w:ind w:right="542" w:firstLine="0"/>
        <w:rPr>
          <w:sz w:val="12"/>
        </w:rPr>
      </w:pPr>
      <w:r>
        <w:rPr>
          <w:sz w:val="12"/>
        </w:rPr>
        <w:t>- Mercer Multi Manager Funds - part year performance from inception on 23 August 2018. The funds are invested in twelve diversified investment funds which have individual benchmarks. There is no specific benchmark for the total funds</w:t>
      </w:r>
      <w:r>
        <w:rPr>
          <w:spacing w:val="-2"/>
          <w:sz w:val="12"/>
        </w:rPr>
        <w:t xml:space="preserve"> </w:t>
      </w:r>
      <w:r>
        <w:rPr>
          <w:sz w:val="12"/>
        </w:rPr>
        <w:t>invested.</w:t>
      </w:r>
    </w:p>
    <w:p w14:paraId="56C12712" w14:textId="77777777" w:rsidR="00FA4AA8" w:rsidRDefault="0015611F">
      <w:pPr>
        <w:pStyle w:val="ListParagraph"/>
        <w:numPr>
          <w:ilvl w:val="0"/>
          <w:numId w:val="20"/>
        </w:numPr>
        <w:tabs>
          <w:tab w:val="left" w:pos="381"/>
        </w:tabs>
        <w:spacing w:before="43" w:line="328" w:lineRule="auto"/>
        <w:ind w:right="5570" w:firstLine="0"/>
        <w:rPr>
          <w:sz w:val="12"/>
        </w:rPr>
      </w:pPr>
      <w:r>
        <w:rPr>
          <w:sz w:val="12"/>
        </w:rPr>
        <w:t>- Acadian Australian Equity High Yield Fund - full year performance 6 - Fixed income portfolio managed by JBWere - full year</w:t>
      </w:r>
      <w:r>
        <w:rPr>
          <w:spacing w:val="-22"/>
          <w:sz w:val="12"/>
        </w:rPr>
        <w:t xml:space="preserve"> </w:t>
      </w:r>
      <w:r>
        <w:rPr>
          <w:sz w:val="12"/>
        </w:rPr>
        <w:t>performance</w:t>
      </w:r>
    </w:p>
    <w:p w14:paraId="4B04D354" w14:textId="77777777" w:rsidR="00FA4AA8" w:rsidRDefault="0015611F">
      <w:pPr>
        <w:spacing w:before="4"/>
        <w:ind w:left="279"/>
        <w:rPr>
          <w:sz w:val="12"/>
        </w:rPr>
      </w:pPr>
      <w:r>
        <w:rPr>
          <w:sz w:val="12"/>
        </w:rPr>
        <w:t>7 - The University had $29.2 million in unlisted securities as at 31 December 2018 ($16.5 million at 31 December 2017) which are not measured for performance.</w:t>
      </w:r>
    </w:p>
    <w:p w14:paraId="132C1123" w14:textId="77777777" w:rsidR="00FA4AA8" w:rsidRDefault="00FA4AA8">
      <w:pPr>
        <w:pStyle w:val="BodyText"/>
        <w:rPr>
          <w:sz w:val="20"/>
        </w:rPr>
      </w:pPr>
    </w:p>
    <w:p w14:paraId="1C9A3A78" w14:textId="77777777" w:rsidR="00FA4AA8" w:rsidRDefault="0015611F">
      <w:pPr>
        <w:pStyle w:val="Heading2"/>
        <w:spacing w:before="218"/>
        <w:ind w:left="318"/>
      </w:pPr>
      <w:r>
        <w:t>Promotion and Travel</w:t>
      </w:r>
    </w:p>
    <w:p w14:paraId="63C1BD65" w14:textId="77777777" w:rsidR="00FA4AA8" w:rsidRDefault="0015611F">
      <w:pPr>
        <w:pStyle w:val="BodyText"/>
        <w:spacing w:before="189" w:line="259" w:lineRule="auto"/>
        <w:ind w:left="319" w:hanging="1"/>
      </w:pPr>
      <w:r>
        <w:t>For the 2018 year the total University expenditure for overseas travel was $5,987,087. Travel was for a variety of University related purposes including research collaboration, university promotion and development of new partnerships, presentation of papers at conferences, overseas joint university projects, academic development program, student practicums and International study exchange and tours.</w:t>
      </w:r>
    </w:p>
    <w:p w14:paraId="1A8BC78D" w14:textId="77777777" w:rsidR="00FA4AA8" w:rsidRDefault="0015611F">
      <w:pPr>
        <w:pStyle w:val="BodyText"/>
        <w:spacing w:before="160" w:line="259" w:lineRule="auto"/>
        <w:ind w:left="318"/>
      </w:pPr>
      <w:r>
        <w:t xml:space="preserve">All Travel was in accordance with the University Travel Policy </w:t>
      </w:r>
      <w:r>
        <w:rPr>
          <w:color w:val="0563C1"/>
          <w:u w:val="single" w:color="0563C1"/>
        </w:rPr>
        <w:t>https://policies.westernsydney.edu.au/document/view.current.php?id=268</w:t>
      </w:r>
      <w:r>
        <w:rPr>
          <w:color w:val="0563C1"/>
        </w:rPr>
        <w:t xml:space="preserve"> </w:t>
      </w:r>
      <w:r>
        <w:t>which complies with regulations and guidelines of NSW Treasury.</w:t>
      </w:r>
    </w:p>
    <w:p w14:paraId="7F73295C" w14:textId="77777777" w:rsidR="00FA4AA8" w:rsidRDefault="00FA4AA8">
      <w:pPr>
        <w:pStyle w:val="BodyText"/>
        <w:rPr>
          <w:sz w:val="20"/>
        </w:rPr>
      </w:pPr>
    </w:p>
    <w:p w14:paraId="0006B705" w14:textId="77777777" w:rsidR="00FA4AA8" w:rsidRDefault="00FA4AA8">
      <w:pPr>
        <w:pStyle w:val="BodyText"/>
        <w:spacing w:before="9"/>
        <w:rPr>
          <w:sz w:val="26"/>
        </w:rPr>
      </w:pPr>
    </w:p>
    <w:p w14:paraId="1CA7F364" w14:textId="77777777" w:rsidR="00FA4AA8" w:rsidRDefault="0015611F">
      <w:pPr>
        <w:pStyle w:val="Heading2"/>
        <w:spacing w:before="1"/>
        <w:ind w:left="318"/>
      </w:pPr>
      <w:r>
        <w:t>Credit Card Certification</w:t>
      </w:r>
    </w:p>
    <w:p w14:paraId="7230FC1F" w14:textId="77777777" w:rsidR="00FA4AA8" w:rsidRDefault="0015611F">
      <w:pPr>
        <w:pStyle w:val="BodyText"/>
        <w:spacing w:before="189" w:line="259" w:lineRule="auto"/>
        <w:ind w:left="318" w:right="316"/>
      </w:pPr>
      <w:r>
        <w:t xml:space="preserve">Credit card use within Western Sydney University is in accordance with the University’s corporate credit card policy </w:t>
      </w:r>
      <w:r>
        <w:rPr>
          <w:color w:val="0563C1"/>
          <w:u w:val="single" w:color="0563C1"/>
        </w:rPr>
        <w:t>https://policies.westernsydney.edu.au/document/view.current.php?id=65</w:t>
      </w:r>
      <w:r>
        <w:rPr>
          <w:color w:val="0563C1"/>
        </w:rPr>
        <w:t xml:space="preserve"> </w:t>
      </w:r>
      <w:r>
        <w:t>which complies with regulations and guidelines of NSW Treasury.</w:t>
      </w:r>
    </w:p>
    <w:p w14:paraId="5C4532F6" w14:textId="77777777" w:rsidR="00FA4AA8" w:rsidRDefault="0015611F">
      <w:pPr>
        <w:pStyle w:val="BodyText"/>
        <w:spacing w:before="160" w:line="256" w:lineRule="auto"/>
        <w:ind w:left="318" w:right="937"/>
      </w:pPr>
      <w:r>
        <w:t>Credit card usage is acquitted via the online Travel and Expense Management System and checked and authorised by the appropriate senior delegated officer.</w:t>
      </w:r>
    </w:p>
    <w:p w14:paraId="65C0F164" w14:textId="77777777" w:rsidR="00FA4AA8" w:rsidRDefault="0015611F">
      <w:pPr>
        <w:pStyle w:val="BodyText"/>
        <w:spacing w:before="164" w:line="256" w:lineRule="auto"/>
        <w:ind w:left="318" w:right="367"/>
      </w:pPr>
      <w:r>
        <w:t>The University conducts regular reviews of credit card usage and where a cardholder is found to be in contravention of the policy regulations by either misuse or non-</w:t>
      </w:r>
      <w:r w:rsidR="007719AF">
        <w:t>acquittal</w:t>
      </w:r>
      <w:r>
        <w:t xml:space="preserve"> in a timely manner, the credit card will be cancelled.</w:t>
      </w:r>
    </w:p>
    <w:p w14:paraId="35F963FE" w14:textId="77777777" w:rsidR="00FA4AA8" w:rsidRDefault="00FA4AA8">
      <w:pPr>
        <w:pStyle w:val="BodyText"/>
        <w:rPr>
          <w:sz w:val="20"/>
        </w:rPr>
      </w:pPr>
    </w:p>
    <w:p w14:paraId="3B7DD8DF" w14:textId="77777777" w:rsidR="00FA4AA8" w:rsidRDefault="00FA4AA8">
      <w:pPr>
        <w:pStyle w:val="BodyText"/>
        <w:spacing w:before="4"/>
        <w:rPr>
          <w:sz w:val="27"/>
        </w:rPr>
      </w:pPr>
    </w:p>
    <w:p w14:paraId="65F5B56E" w14:textId="77777777" w:rsidR="00FA4AA8" w:rsidRDefault="0015611F">
      <w:pPr>
        <w:pStyle w:val="Heading2"/>
        <w:spacing w:before="1"/>
        <w:ind w:left="318"/>
      </w:pPr>
      <w:r>
        <w:t>Funds Granted to Non-Government Community Organisations</w:t>
      </w:r>
    </w:p>
    <w:p w14:paraId="1E3E35AC" w14:textId="77777777" w:rsidR="00FA4AA8" w:rsidRDefault="0015611F">
      <w:pPr>
        <w:pStyle w:val="BodyText"/>
        <w:spacing w:before="187"/>
        <w:ind w:left="318"/>
      </w:pPr>
      <w:r>
        <w:t>During 2018 the University provided $7,409 in funding to non-government community organisations:</w:t>
      </w:r>
    </w:p>
    <w:p w14:paraId="539DD2DD" w14:textId="77777777" w:rsidR="00FA4AA8" w:rsidRDefault="00FA4AA8">
      <w:pPr>
        <w:pStyle w:val="BodyText"/>
        <w:spacing w:before="7"/>
        <w:rPr>
          <w:sz w:val="15"/>
        </w:rPr>
      </w:pPr>
    </w:p>
    <w:tbl>
      <w:tblPr>
        <w:tblW w:w="0" w:type="auto"/>
        <w:tblInd w:w="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01"/>
        <w:gridCol w:w="1781"/>
        <w:gridCol w:w="4375"/>
        <w:gridCol w:w="960"/>
      </w:tblGrid>
      <w:tr w:rsidR="00FA4AA8" w14:paraId="6C5C292F" w14:textId="77777777">
        <w:trPr>
          <w:trHeight w:val="414"/>
        </w:trPr>
        <w:tc>
          <w:tcPr>
            <w:tcW w:w="1901" w:type="dxa"/>
          </w:tcPr>
          <w:p w14:paraId="68AF37C8" w14:textId="77777777" w:rsidR="00FA4AA8" w:rsidRDefault="0015611F">
            <w:pPr>
              <w:pStyle w:val="TableParagraph"/>
              <w:spacing w:line="201" w:lineRule="exact"/>
              <w:ind w:left="107"/>
              <w:rPr>
                <w:b/>
                <w:sz w:val="18"/>
              </w:rPr>
            </w:pPr>
            <w:r>
              <w:rPr>
                <w:b/>
                <w:sz w:val="18"/>
              </w:rPr>
              <w:t>Name of recipient</w:t>
            </w:r>
          </w:p>
          <w:p w14:paraId="24FBE925" w14:textId="77777777" w:rsidR="00FA4AA8" w:rsidRDefault="0015611F">
            <w:pPr>
              <w:pStyle w:val="TableParagraph"/>
              <w:spacing w:line="194" w:lineRule="exact"/>
              <w:ind w:left="107"/>
              <w:rPr>
                <w:b/>
                <w:sz w:val="18"/>
              </w:rPr>
            </w:pPr>
            <w:r>
              <w:rPr>
                <w:b/>
                <w:sz w:val="18"/>
              </w:rPr>
              <w:t>organisation</w:t>
            </w:r>
          </w:p>
        </w:tc>
        <w:tc>
          <w:tcPr>
            <w:tcW w:w="1781" w:type="dxa"/>
          </w:tcPr>
          <w:p w14:paraId="6F2C0316" w14:textId="77777777" w:rsidR="00FA4AA8" w:rsidRDefault="0015611F">
            <w:pPr>
              <w:pStyle w:val="TableParagraph"/>
              <w:spacing w:line="201" w:lineRule="exact"/>
              <w:ind w:left="107"/>
              <w:rPr>
                <w:b/>
                <w:sz w:val="18"/>
              </w:rPr>
            </w:pPr>
            <w:r>
              <w:rPr>
                <w:b/>
                <w:sz w:val="18"/>
              </w:rPr>
              <w:t>Program area as</w:t>
            </w:r>
          </w:p>
          <w:p w14:paraId="067F4A3F" w14:textId="77777777" w:rsidR="00FA4AA8" w:rsidRDefault="0015611F">
            <w:pPr>
              <w:pStyle w:val="TableParagraph"/>
              <w:spacing w:line="194" w:lineRule="exact"/>
              <w:ind w:left="107"/>
              <w:rPr>
                <w:b/>
                <w:sz w:val="18"/>
              </w:rPr>
            </w:pPr>
            <w:r>
              <w:rPr>
                <w:b/>
                <w:sz w:val="18"/>
              </w:rPr>
              <w:t>per budget</w:t>
            </w:r>
          </w:p>
        </w:tc>
        <w:tc>
          <w:tcPr>
            <w:tcW w:w="4375" w:type="dxa"/>
          </w:tcPr>
          <w:p w14:paraId="5C50120D" w14:textId="77777777" w:rsidR="00FA4AA8" w:rsidRDefault="0015611F">
            <w:pPr>
              <w:pStyle w:val="TableParagraph"/>
              <w:spacing w:line="201" w:lineRule="exact"/>
              <w:ind w:left="107"/>
              <w:rPr>
                <w:b/>
                <w:sz w:val="18"/>
              </w:rPr>
            </w:pPr>
            <w:r>
              <w:rPr>
                <w:b/>
                <w:sz w:val="18"/>
              </w:rPr>
              <w:t>Nature and purpose of project including aims</w:t>
            </w:r>
          </w:p>
          <w:p w14:paraId="06D15B49" w14:textId="77777777" w:rsidR="00FA4AA8" w:rsidRDefault="0015611F">
            <w:pPr>
              <w:pStyle w:val="TableParagraph"/>
              <w:spacing w:line="194" w:lineRule="exact"/>
              <w:ind w:left="107"/>
              <w:rPr>
                <w:b/>
                <w:sz w:val="18"/>
              </w:rPr>
            </w:pPr>
            <w:r>
              <w:rPr>
                <w:b/>
                <w:sz w:val="18"/>
              </w:rPr>
              <w:t>and target clients</w:t>
            </w:r>
          </w:p>
        </w:tc>
        <w:tc>
          <w:tcPr>
            <w:tcW w:w="960" w:type="dxa"/>
          </w:tcPr>
          <w:p w14:paraId="28A7BBD7" w14:textId="77777777" w:rsidR="00FA4AA8" w:rsidRDefault="0015611F">
            <w:pPr>
              <w:pStyle w:val="TableParagraph"/>
              <w:spacing w:line="201" w:lineRule="exact"/>
              <w:ind w:left="118" w:right="112"/>
              <w:jc w:val="center"/>
              <w:rPr>
                <w:b/>
                <w:sz w:val="18"/>
              </w:rPr>
            </w:pPr>
            <w:r>
              <w:rPr>
                <w:b/>
                <w:sz w:val="18"/>
              </w:rPr>
              <w:t>Amount</w:t>
            </w:r>
          </w:p>
          <w:p w14:paraId="45DDE30C" w14:textId="77777777" w:rsidR="00FA4AA8" w:rsidRDefault="0015611F">
            <w:pPr>
              <w:pStyle w:val="TableParagraph"/>
              <w:spacing w:line="194" w:lineRule="exact"/>
              <w:ind w:left="8"/>
              <w:jc w:val="center"/>
              <w:rPr>
                <w:b/>
                <w:sz w:val="18"/>
              </w:rPr>
            </w:pPr>
            <w:r>
              <w:rPr>
                <w:b/>
                <w:w w:val="99"/>
                <w:sz w:val="18"/>
              </w:rPr>
              <w:t>$</w:t>
            </w:r>
          </w:p>
        </w:tc>
      </w:tr>
      <w:tr w:rsidR="00FA4AA8" w14:paraId="50FFDBDC" w14:textId="77777777">
        <w:trPr>
          <w:trHeight w:val="3042"/>
        </w:trPr>
        <w:tc>
          <w:tcPr>
            <w:tcW w:w="1901" w:type="dxa"/>
          </w:tcPr>
          <w:p w14:paraId="26A4EA82" w14:textId="77777777" w:rsidR="00FA4AA8" w:rsidRDefault="0015611F">
            <w:pPr>
              <w:pStyle w:val="TableParagraph"/>
              <w:ind w:left="107" w:right="443"/>
              <w:rPr>
                <w:sz w:val="18"/>
              </w:rPr>
            </w:pPr>
            <w:r>
              <w:rPr>
                <w:sz w:val="18"/>
              </w:rPr>
              <w:t>UCA Parramatta Mission</w:t>
            </w:r>
          </w:p>
        </w:tc>
        <w:tc>
          <w:tcPr>
            <w:tcW w:w="1781" w:type="dxa"/>
          </w:tcPr>
          <w:p w14:paraId="1FC54F93" w14:textId="77777777" w:rsidR="00FA4AA8" w:rsidRDefault="0015611F">
            <w:pPr>
              <w:pStyle w:val="TableParagraph"/>
              <w:ind w:left="107" w:right="623"/>
              <w:rPr>
                <w:sz w:val="18"/>
              </w:rPr>
            </w:pPr>
            <w:r>
              <w:rPr>
                <w:sz w:val="18"/>
              </w:rPr>
              <w:t>Community Engagement</w:t>
            </w:r>
          </w:p>
        </w:tc>
        <w:tc>
          <w:tcPr>
            <w:tcW w:w="4375" w:type="dxa"/>
          </w:tcPr>
          <w:p w14:paraId="6F8A85C7" w14:textId="77777777" w:rsidR="00FA4AA8" w:rsidRDefault="0015611F">
            <w:pPr>
              <w:pStyle w:val="TableParagraph"/>
              <w:spacing w:line="237" w:lineRule="auto"/>
              <w:ind w:left="107" w:right="166"/>
              <w:rPr>
                <w:sz w:val="18"/>
              </w:rPr>
            </w:pPr>
            <w:r>
              <w:rPr>
                <w:sz w:val="18"/>
              </w:rPr>
              <w:t>Parramatta Mission provides meals, accommodation and mental health services across Greater Western Sydney, with almost 500 staff and many volunteers delivering more than 70 services.</w:t>
            </w:r>
          </w:p>
          <w:p w14:paraId="303B1928" w14:textId="77777777" w:rsidR="00FA4AA8" w:rsidRDefault="00FA4AA8">
            <w:pPr>
              <w:pStyle w:val="TableParagraph"/>
              <w:spacing w:before="9"/>
              <w:rPr>
                <w:sz w:val="24"/>
              </w:rPr>
            </w:pPr>
          </w:p>
          <w:p w14:paraId="6640E2BA" w14:textId="77777777" w:rsidR="00FA4AA8" w:rsidRDefault="0015611F">
            <w:pPr>
              <w:pStyle w:val="TableParagraph"/>
              <w:ind w:left="107" w:right="275"/>
              <w:rPr>
                <w:sz w:val="18"/>
              </w:rPr>
            </w:pPr>
            <w:r>
              <w:rPr>
                <w:sz w:val="18"/>
              </w:rPr>
              <w:t>The Mission provides assistance to the most vulnerable and disadvantaged in our communities to assist them in transforming their lives. These include people who are homeless, at risk of homelessness, facing crisis and people living with mental illness.</w:t>
            </w:r>
          </w:p>
          <w:p w14:paraId="6246F98C" w14:textId="77777777" w:rsidR="00FA4AA8" w:rsidRDefault="00FA4AA8">
            <w:pPr>
              <w:pStyle w:val="TableParagraph"/>
              <w:spacing w:before="11"/>
              <w:rPr>
                <w:sz w:val="24"/>
              </w:rPr>
            </w:pPr>
          </w:p>
          <w:p w14:paraId="57E052FD" w14:textId="77777777" w:rsidR="00FA4AA8" w:rsidRDefault="0015611F">
            <w:pPr>
              <w:pStyle w:val="TableParagraph"/>
              <w:spacing w:line="206" w:lineRule="exact"/>
              <w:ind w:left="107" w:right="256"/>
              <w:rPr>
                <w:sz w:val="18"/>
              </w:rPr>
            </w:pPr>
            <w:r>
              <w:rPr>
                <w:sz w:val="18"/>
              </w:rPr>
              <w:t>Parramatta Mission is a part of the Uniting Church in Australia.</w:t>
            </w:r>
          </w:p>
        </w:tc>
        <w:tc>
          <w:tcPr>
            <w:tcW w:w="960" w:type="dxa"/>
          </w:tcPr>
          <w:p w14:paraId="53DC99A9" w14:textId="77777777" w:rsidR="00FA4AA8" w:rsidRDefault="0015611F">
            <w:pPr>
              <w:pStyle w:val="TableParagraph"/>
              <w:spacing w:line="206" w:lineRule="exact"/>
              <w:ind w:right="93"/>
              <w:jc w:val="right"/>
              <w:rPr>
                <w:sz w:val="18"/>
              </w:rPr>
            </w:pPr>
            <w:r>
              <w:rPr>
                <w:w w:val="95"/>
                <w:sz w:val="18"/>
              </w:rPr>
              <w:t>1,909</w:t>
            </w:r>
          </w:p>
        </w:tc>
      </w:tr>
      <w:tr w:rsidR="00FA4AA8" w14:paraId="47F3715D" w14:textId="77777777">
        <w:trPr>
          <w:trHeight w:val="618"/>
        </w:trPr>
        <w:tc>
          <w:tcPr>
            <w:tcW w:w="1901" w:type="dxa"/>
          </w:tcPr>
          <w:p w14:paraId="02A25D3E" w14:textId="77777777" w:rsidR="00FA4AA8" w:rsidRDefault="0015611F">
            <w:pPr>
              <w:pStyle w:val="TableParagraph"/>
              <w:ind w:left="107" w:right="283"/>
              <w:rPr>
                <w:sz w:val="18"/>
              </w:rPr>
            </w:pPr>
            <w:r>
              <w:rPr>
                <w:sz w:val="18"/>
              </w:rPr>
              <w:t>Country Education Foundation</w:t>
            </w:r>
          </w:p>
        </w:tc>
        <w:tc>
          <w:tcPr>
            <w:tcW w:w="1781" w:type="dxa"/>
          </w:tcPr>
          <w:p w14:paraId="29DFD097" w14:textId="77777777" w:rsidR="00FA4AA8" w:rsidRDefault="0015611F">
            <w:pPr>
              <w:pStyle w:val="TableParagraph"/>
              <w:ind w:left="107" w:right="623"/>
              <w:rPr>
                <w:sz w:val="18"/>
              </w:rPr>
            </w:pPr>
            <w:r>
              <w:rPr>
                <w:sz w:val="18"/>
              </w:rPr>
              <w:t>Community Engagement</w:t>
            </w:r>
          </w:p>
        </w:tc>
        <w:tc>
          <w:tcPr>
            <w:tcW w:w="4375" w:type="dxa"/>
          </w:tcPr>
          <w:p w14:paraId="0A520C20" w14:textId="77777777" w:rsidR="00FA4AA8" w:rsidRDefault="0015611F">
            <w:pPr>
              <w:pStyle w:val="TableParagraph"/>
              <w:ind w:left="107" w:right="265"/>
              <w:rPr>
                <w:sz w:val="18"/>
              </w:rPr>
            </w:pPr>
            <w:r>
              <w:rPr>
                <w:sz w:val="18"/>
              </w:rPr>
              <w:t>The foundation provides funds to school leavers who need a helping hand to transition from school</w:t>
            </w:r>
          </w:p>
          <w:p w14:paraId="08A7D4E3" w14:textId="77777777" w:rsidR="00FA4AA8" w:rsidRDefault="0015611F">
            <w:pPr>
              <w:pStyle w:val="TableParagraph"/>
              <w:spacing w:line="187" w:lineRule="exact"/>
              <w:ind w:left="107"/>
              <w:rPr>
                <w:sz w:val="18"/>
              </w:rPr>
            </w:pPr>
            <w:r>
              <w:rPr>
                <w:sz w:val="18"/>
              </w:rPr>
              <w:t>to higher education or the workforce.</w:t>
            </w:r>
          </w:p>
        </w:tc>
        <w:tc>
          <w:tcPr>
            <w:tcW w:w="960" w:type="dxa"/>
          </w:tcPr>
          <w:p w14:paraId="299EB0DA" w14:textId="77777777" w:rsidR="00FA4AA8" w:rsidRDefault="0015611F">
            <w:pPr>
              <w:pStyle w:val="TableParagraph"/>
              <w:spacing w:line="203" w:lineRule="exact"/>
              <w:ind w:right="93"/>
              <w:jc w:val="right"/>
              <w:rPr>
                <w:sz w:val="18"/>
              </w:rPr>
            </w:pPr>
            <w:r>
              <w:rPr>
                <w:w w:val="95"/>
                <w:sz w:val="18"/>
              </w:rPr>
              <w:t>5,500</w:t>
            </w:r>
          </w:p>
        </w:tc>
      </w:tr>
    </w:tbl>
    <w:p w14:paraId="6150D247" w14:textId="77777777" w:rsidR="00FA4AA8" w:rsidRDefault="00FA4AA8">
      <w:pPr>
        <w:spacing w:line="203" w:lineRule="exact"/>
        <w:jc w:val="right"/>
        <w:rPr>
          <w:sz w:val="18"/>
        </w:rPr>
        <w:sectPr w:rsidR="00FA4AA8">
          <w:headerReference w:type="default" r:id="rId324"/>
          <w:footerReference w:type="default" r:id="rId325"/>
          <w:pgSz w:w="11910" w:h="16840"/>
          <w:pgMar w:top="680" w:right="1140" w:bottom="720" w:left="1180" w:header="0" w:footer="523" w:gutter="0"/>
          <w:pgNumType w:start="251"/>
          <w:cols w:space="720"/>
        </w:sectPr>
      </w:pPr>
    </w:p>
    <w:p w14:paraId="749FD14B" w14:textId="77777777" w:rsidR="00FA4AA8" w:rsidRDefault="0015611F">
      <w:pPr>
        <w:spacing w:before="78"/>
        <w:ind w:left="260"/>
        <w:rPr>
          <w:b/>
          <w:sz w:val="28"/>
        </w:rPr>
      </w:pPr>
      <w:bookmarkStart w:id="225" w:name="6.Controlled_Entities.pdf"/>
      <w:bookmarkEnd w:id="225"/>
      <w:r>
        <w:rPr>
          <w:b/>
          <w:color w:val="050505"/>
          <w:sz w:val="28"/>
        </w:rPr>
        <w:t>Controlled Entities</w:t>
      </w:r>
    </w:p>
    <w:p w14:paraId="322D32D7" w14:textId="77777777" w:rsidR="00FA4AA8" w:rsidRDefault="00FA4AA8">
      <w:pPr>
        <w:pStyle w:val="BodyText"/>
        <w:spacing w:before="10"/>
        <w:rPr>
          <w:b/>
          <w:sz w:val="27"/>
        </w:rPr>
      </w:pPr>
    </w:p>
    <w:p w14:paraId="0B04410B" w14:textId="77777777" w:rsidR="00FA4AA8" w:rsidRDefault="0015611F">
      <w:pPr>
        <w:ind w:left="260"/>
        <w:rPr>
          <w:b/>
          <w:sz w:val="28"/>
        </w:rPr>
      </w:pPr>
      <w:r>
        <w:rPr>
          <w:b/>
          <w:color w:val="050505"/>
          <w:sz w:val="28"/>
        </w:rPr>
        <w:t>Western Unlimited Ltd</w:t>
      </w:r>
    </w:p>
    <w:p w14:paraId="3D3FFBCB" w14:textId="77777777" w:rsidR="00FA4AA8" w:rsidRDefault="0015611F">
      <w:pPr>
        <w:pStyle w:val="BodyText"/>
        <w:spacing w:before="212" w:line="207" w:lineRule="exact"/>
        <w:ind w:left="260"/>
      </w:pPr>
      <w:r>
        <w:rPr>
          <w:color w:val="050505"/>
          <w:u w:val="single" w:color="050505"/>
        </w:rPr>
        <w:t>Principal Objectives</w:t>
      </w:r>
    </w:p>
    <w:p w14:paraId="5AAB6872" w14:textId="77777777" w:rsidR="00FA4AA8" w:rsidRDefault="0015611F">
      <w:pPr>
        <w:pStyle w:val="BodyText"/>
        <w:ind w:left="260" w:right="215"/>
      </w:pPr>
      <w:r>
        <w:rPr>
          <w:color w:val="050505"/>
        </w:rPr>
        <w:t>The principal objective of the company is to provide food and beverage, catering and gym facilities across all six of the Western Sydney University campuses.</w:t>
      </w:r>
    </w:p>
    <w:p w14:paraId="7CD2C51D" w14:textId="77777777" w:rsidR="00FA4AA8" w:rsidRDefault="00FA4AA8">
      <w:pPr>
        <w:pStyle w:val="BodyText"/>
      </w:pPr>
    </w:p>
    <w:p w14:paraId="3CE0D25C" w14:textId="77777777" w:rsidR="00FA4AA8" w:rsidRDefault="0015611F">
      <w:pPr>
        <w:pStyle w:val="BodyText"/>
        <w:spacing w:line="207" w:lineRule="exact"/>
        <w:ind w:left="260"/>
      </w:pPr>
      <w:r>
        <w:rPr>
          <w:color w:val="050505"/>
          <w:u w:val="single" w:color="050505"/>
        </w:rPr>
        <w:t>Principal Activities and Strategic Projects</w:t>
      </w:r>
    </w:p>
    <w:p w14:paraId="17F2F1C2" w14:textId="77777777" w:rsidR="00FA4AA8" w:rsidRDefault="0015611F">
      <w:pPr>
        <w:pStyle w:val="BodyText"/>
        <w:ind w:left="259" w:right="496"/>
      </w:pPr>
      <w:r>
        <w:rPr>
          <w:color w:val="050505"/>
        </w:rPr>
        <w:t>The principal activity of the company during the 2018 financial year was the provision of fitness, food and beverage and other services to the Western Sydney University community including students, staff, alumni and residents of greater Western Sydney.</w:t>
      </w:r>
    </w:p>
    <w:p w14:paraId="5E316D40" w14:textId="77777777" w:rsidR="00FA4AA8" w:rsidRDefault="00FA4AA8">
      <w:pPr>
        <w:pStyle w:val="BodyText"/>
      </w:pPr>
    </w:p>
    <w:p w14:paraId="29391EEC" w14:textId="77777777" w:rsidR="00FA4AA8" w:rsidRDefault="0015611F">
      <w:pPr>
        <w:pStyle w:val="BodyText"/>
        <w:ind w:left="260"/>
      </w:pPr>
      <w:r>
        <w:rPr>
          <w:color w:val="050505"/>
          <w:u w:val="single" w:color="050505"/>
        </w:rPr>
        <w:t>Performance measures</w:t>
      </w:r>
    </w:p>
    <w:p w14:paraId="0F640214" w14:textId="77777777" w:rsidR="00FA4AA8" w:rsidRDefault="00FA4AA8">
      <w:pPr>
        <w:pStyle w:val="BodyText"/>
        <w:spacing w:before="9"/>
        <w:rPr>
          <w:sz w:val="11"/>
        </w:rPr>
      </w:pPr>
    </w:p>
    <w:p w14:paraId="0AB0718A" w14:textId="77777777" w:rsidR="00FA4AA8" w:rsidRDefault="0015611F">
      <w:pPr>
        <w:pStyle w:val="BodyText"/>
        <w:spacing w:before="94"/>
        <w:ind w:left="260" w:right="865"/>
      </w:pPr>
      <w:r>
        <w:rPr>
          <w:color w:val="050505"/>
        </w:rPr>
        <w:t>The performance measures of the company are financial and non-financial related to trading in community services.</w:t>
      </w:r>
    </w:p>
    <w:p w14:paraId="2E007E6B" w14:textId="77777777" w:rsidR="00FA4AA8" w:rsidRDefault="00FA4AA8">
      <w:pPr>
        <w:pStyle w:val="BodyText"/>
        <w:spacing w:before="1" w:after="1"/>
      </w:pPr>
    </w:p>
    <w:tbl>
      <w:tblPr>
        <w:tblW w:w="0" w:type="auto"/>
        <w:tblInd w:w="2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18"/>
        <w:gridCol w:w="1985"/>
        <w:gridCol w:w="1983"/>
        <w:gridCol w:w="1702"/>
      </w:tblGrid>
      <w:tr w:rsidR="00FA4AA8" w14:paraId="26715BE1" w14:textId="77777777">
        <w:trPr>
          <w:trHeight w:val="582"/>
        </w:trPr>
        <w:tc>
          <w:tcPr>
            <w:tcW w:w="3418" w:type="dxa"/>
          </w:tcPr>
          <w:p w14:paraId="63FEAD0E" w14:textId="77777777" w:rsidR="00FA4AA8" w:rsidRDefault="00FA4AA8">
            <w:pPr>
              <w:pStyle w:val="TableParagraph"/>
              <w:spacing w:before="11"/>
              <w:rPr>
                <w:sz w:val="15"/>
              </w:rPr>
            </w:pPr>
          </w:p>
          <w:p w14:paraId="3C41D84A" w14:textId="77777777" w:rsidR="00FA4AA8" w:rsidRDefault="0015611F">
            <w:pPr>
              <w:pStyle w:val="TableParagraph"/>
              <w:ind w:left="107"/>
              <w:rPr>
                <w:b/>
                <w:i/>
                <w:sz w:val="18"/>
              </w:rPr>
            </w:pPr>
            <w:r>
              <w:rPr>
                <w:b/>
                <w:i/>
                <w:sz w:val="18"/>
              </w:rPr>
              <w:t>Category</w:t>
            </w:r>
          </w:p>
        </w:tc>
        <w:tc>
          <w:tcPr>
            <w:tcW w:w="1985" w:type="dxa"/>
          </w:tcPr>
          <w:p w14:paraId="45135F6E" w14:textId="77777777" w:rsidR="00FA4AA8" w:rsidRDefault="00FA4AA8">
            <w:pPr>
              <w:pStyle w:val="TableParagraph"/>
              <w:spacing w:before="11"/>
              <w:rPr>
                <w:sz w:val="15"/>
              </w:rPr>
            </w:pPr>
          </w:p>
          <w:p w14:paraId="1340E2EB" w14:textId="77777777" w:rsidR="00FA4AA8" w:rsidRDefault="0015611F">
            <w:pPr>
              <w:pStyle w:val="TableParagraph"/>
              <w:ind w:right="38"/>
              <w:jc w:val="right"/>
              <w:rPr>
                <w:b/>
                <w:i/>
                <w:sz w:val="18"/>
              </w:rPr>
            </w:pPr>
            <w:r>
              <w:rPr>
                <w:b/>
                <w:i/>
                <w:sz w:val="18"/>
              </w:rPr>
              <w:t>FY 2018 Actual</w:t>
            </w:r>
          </w:p>
        </w:tc>
        <w:tc>
          <w:tcPr>
            <w:tcW w:w="1983" w:type="dxa"/>
          </w:tcPr>
          <w:p w14:paraId="3B4E10B0" w14:textId="77777777" w:rsidR="00FA4AA8" w:rsidRDefault="00FA4AA8">
            <w:pPr>
              <w:pStyle w:val="TableParagraph"/>
              <w:spacing w:before="11"/>
              <w:rPr>
                <w:sz w:val="15"/>
              </w:rPr>
            </w:pPr>
          </w:p>
          <w:p w14:paraId="3CE2F612" w14:textId="77777777" w:rsidR="00FA4AA8" w:rsidRDefault="0015611F">
            <w:pPr>
              <w:pStyle w:val="TableParagraph"/>
              <w:ind w:right="37"/>
              <w:jc w:val="right"/>
              <w:rPr>
                <w:b/>
                <w:i/>
                <w:sz w:val="18"/>
              </w:rPr>
            </w:pPr>
            <w:r>
              <w:rPr>
                <w:b/>
                <w:i/>
                <w:sz w:val="18"/>
              </w:rPr>
              <w:t>Annual 2018 Budget</w:t>
            </w:r>
          </w:p>
        </w:tc>
        <w:tc>
          <w:tcPr>
            <w:tcW w:w="1702" w:type="dxa"/>
          </w:tcPr>
          <w:p w14:paraId="6A06EAFA" w14:textId="77777777" w:rsidR="00FA4AA8" w:rsidRDefault="0015611F">
            <w:pPr>
              <w:pStyle w:val="TableParagraph"/>
              <w:spacing w:before="80"/>
              <w:ind w:left="867" w:right="24" w:hanging="183"/>
              <w:rPr>
                <w:b/>
                <w:i/>
                <w:sz w:val="18"/>
              </w:rPr>
            </w:pPr>
            <w:r>
              <w:rPr>
                <w:b/>
                <w:i/>
                <w:sz w:val="18"/>
              </w:rPr>
              <w:t>% Full year achieved</w:t>
            </w:r>
          </w:p>
        </w:tc>
      </w:tr>
      <w:tr w:rsidR="00FA4AA8" w14:paraId="0DF9BCF5" w14:textId="77777777">
        <w:trPr>
          <w:trHeight w:val="268"/>
        </w:trPr>
        <w:tc>
          <w:tcPr>
            <w:tcW w:w="3418" w:type="dxa"/>
          </w:tcPr>
          <w:p w14:paraId="65DE7F28" w14:textId="77777777" w:rsidR="00FA4AA8" w:rsidRDefault="0015611F">
            <w:pPr>
              <w:pStyle w:val="TableParagraph"/>
              <w:spacing w:before="61" w:line="187" w:lineRule="exact"/>
              <w:ind w:left="107"/>
              <w:rPr>
                <w:sz w:val="18"/>
              </w:rPr>
            </w:pPr>
            <w:r>
              <w:rPr>
                <w:sz w:val="18"/>
              </w:rPr>
              <w:t>Revenue</w:t>
            </w:r>
          </w:p>
        </w:tc>
        <w:tc>
          <w:tcPr>
            <w:tcW w:w="1985" w:type="dxa"/>
          </w:tcPr>
          <w:p w14:paraId="23C1191E" w14:textId="77777777" w:rsidR="00FA4AA8" w:rsidRDefault="0015611F">
            <w:pPr>
              <w:pStyle w:val="TableParagraph"/>
              <w:spacing w:before="61" w:line="187" w:lineRule="exact"/>
              <w:ind w:right="39"/>
              <w:jc w:val="right"/>
              <w:rPr>
                <w:sz w:val="18"/>
              </w:rPr>
            </w:pPr>
            <w:r>
              <w:rPr>
                <w:sz w:val="18"/>
              </w:rPr>
              <w:t>$5,721,093</w:t>
            </w:r>
          </w:p>
        </w:tc>
        <w:tc>
          <w:tcPr>
            <w:tcW w:w="1983" w:type="dxa"/>
          </w:tcPr>
          <w:p w14:paraId="41ED69D7" w14:textId="77777777" w:rsidR="00FA4AA8" w:rsidRDefault="0015611F">
            <w:pPr>
              <w:pStyle w:val="TableParagraph"/>
              <w:spacing w:before="61" w:line="187" w:lineRule="exact"/>
              <w:ind w:right="37"/>
              <w:jc w:val="right"/>
              <w:rPr>
                <w:sz w:val="18"/>
              </w:rPr>
            </w:pPr>
            <w:r>
              <w:rPr>
                <w:sz w:val="18"/>
              </w:rPr>
              <w:t>$9,473,182</w:t>
            </w:r>
          </w:p>
        </w:tc>
        <w:tc>
          <w:tcPr>
            <w:tcW w:w="1702" w:type="dxa"/>
          </w:tcPr>
          <w:p w14:paraId="4C02440E" w14:textId="77777777" w:rsidR="00FA4AA8" w:rsidRDefault="0015611F">
            <w:pPr>
              <w:pStyle w:val="TableParagraph"/>
              <w:spacing w:before="61" w:line="187" w:lineRule="exact"/>
              <w:ind w:right="40"/>
              <w:jc w:val="right"/>
              <w:rPr>
                <w:sz w:val="18"/>
              </w:rPr>
            </w:pPr>
            <w:r>
              <w:rPr>
                <w:w w:val="95"/>
                <w:sz w:val="18"/>
              </w:rPr>
              <w:t>60%</w:t>
            </w:r>
          </w:p>
        </w:tc>
      </w:tr>
      <w:tr w:rsidR="00FA4AA8" w14:paraId="6B9E20A6" w14:textId="77777777">
        <w:trPr>
          <w:trHeight w:val="270"/>
        </w:trPr>
        <w:tc>
          <w:tcPr>
            <w:tcW w:w="3418" w:type="dxa"/>
          </w:tcPr>
          <w:p w14:paraId="40D2BDBF" w14:textId="77777777" w:rsidR="00FA4AA8" w:rsidRDefault="0015611F">
            <w:pPr>
              <w:pStyle w:val="TableParagraph"/>
              <w:spacing w:before="63" w:line="187" w:lineRule="exact"/>
              <w:ind w:left="107"/>
              <w:rPr>
                <w:sz w:val="18"/>
              </w:rPr>
            </w:pPr>
            <w:r>
              <w:rPr>
                <w:sz w:val="18"/>
              </w:rPr>
              <w:t>Expenses</w:t>
            </w:r>
          </w:p>
        </w:tc>
        <w:tc>
          <w:tcPr>
            <w:tcW w:w="1985" w:type="dxa"/>
          </w:tcPr>
          <w:p w14:paraId="6FC631CF" w14:textId="77777777" w:rsidR="00FA4AA8" w:rsidRDefault="0015611F">
            <w:pPr>
              <w:pStyle w:val="TableParagraph"/>
              <w:spacing w:before="63" w:line="187" w:lineRule="exact"/>
              <w:ind w:right="39"/>
              <w:jc w:val="right"/>
              <w:rPr>
                <w:sz w:val="18"/>
              </w:rPr>
            </w:pPr>
            <w:r>
              <w:rPr>
                <w:sz w:val="18"/>
              </w:rPr>
              <w:t>$7,453,855</w:t>
            </w:r>
          </w:p>
        </w:tc>
        <w:tc>
          <w:tcPr>
            <w:tcW w:w="1983" w:type="dxa"/>
          </w:tcPr>
          <w:p w14:paraId="2171C1D8" w14:textId="77777777" w:rsidR="00FA4AA8" w:rsidRDefault="0015611F">
            <w:pPr>
              <w:pStyle w:val="TableParagraph"/>
              <w:spacing w:before="63" w:line="187" w:lineRule="exact"/>
              <w:ind w:right="37"/>
              <w:jc w:val="right"/>
              <w:rPr>
                <w:sz w:val="18"/>
              </w:rPr>
            </w:pPr>
            <w:r>
              <w:rPr>
                <w:sz w:val="18"/>
              </w:rPr>
              <w:t>$9,923,775</w:t>
            </w:r>
          </w:p>
        </w:tc>
        <w:tc>
          <w:tcPr>
            <w:tcW w:w="1702" w:type="dxa"/>
          </w:tcPr>
          <w:p w14:paraId="242647D3" w14:textId="77777777" w:rsidR="00FA4AA8" w:rsidRDefault="0015611F">
            <w:pPr>
              <w:pStyle w:val="TableParagraph"/>
              <w:spacing w:before="63" w:line="187" w:lineRule="exact"/>
              <w:ind w:right="40"/>
              <w:jc w:val="right"/>
              <w:rPr>
                <w:sz w:val="18"/>
              </w:rPr>
            </w:pPr>
            <w:r>
              <w:rPr>
                <w:w w:val="95"/>
                <w:sz w:val="18"/>
              </w:rPr>
              <w:t>75%</w:t>
            </w:r>
          </w:p>
        </w:tc>
      </w:tr>
      <w:tr w:rsidR="00FA4AA8" w14:paraId="17A1C15D" w14:textId="77777777">
        <w:trPr>
          <w:trHeight w:val="270"/>
        </w:trPr>
        <w:tc>
          <w:tcPr>
            <w:tcW w:w="3418" w:type="dxa"/>
          </w:tcPr>
          <w:p w14:paraId="2C576695" w14:textId="77777777" w:rsidR="00FA4AA8" w:rsidRDefault="0015611F">
            <w:pPr>
              <w:pStyle w:val="TableParagraph"/>
              <w:spacing w:before="58" w:line="192" w:lineRule="exact"/>
              <w:ind w:left="107"/>
              <w:rPr>
                <w:b/>
                <w:sz w:val="18"/>
              </w:rPr>
            </w:pPr>
            <w:r>
              <w:rPr>
                <w:b/>
                <w:sz w:val="18"/>
              </w:rPr>
              <w:t>Operating Surplus/(Deficit)</w:t>
            </w:r>
          </w:p>
        </w:tc>
        <w:tc>
          <w:tcPr>
            <w:tcW w:w="1985" w:type="dxa"/>
          </w:tcPr>
          <w:p w14:paraId="300739B9" w14:textId="77777777" w:rsidR="00FA4AA8" w:rsidRDefault="0015611F">
            <w:pPr>
              <w:pStyle w:val="TableParagraph"/>
              <w:spacing w:before="58" w:line="192" w:lineRule="exact"/>
              <w:ind w:right="38"/>
              <w:jc w:val="right"/>
              <w:rPr>
                <w:b/>
                <w:sz w:val="18"/>
              </w:rPr>
            </w:pPr>
            <w:r>
              <w:rPr>
                <w:b/>
                <w:sz w:val="18"/>
              </w:rPr>
              <w:t>($1,732,762)</w:t>
            </w:r>
          </w:p>
        </w:tc>
        <w:tc>
          <w:tcPr>
            <w:tcW w:w="1983" w:type="dxa"/>
          </w:tcPr>
          <w:p w14:paraId="203E2EA6" w14:textId="77777777" w:rsidR="00FA4AA8" w:rsidRDefault="0015611F">
            <w:pPr>
              <w:pStyle w:val="TableParagraph"/>
              <w:spacing w:before="58" w:line="192" w:lineRule="exact"/>
              <w:ind w:right="36"/>
              <w:jc w:val="right"/>
              <w:rPr>
                <w:b/>
                <w:sz w:val="18"/>
              </w:rPr>
            </w:pPr>
            <w:r>
              <w:rPr>
                <w:b/>
                <w:sz w:val="18"/>
              </w:rPr>
              <w:t>($450,593)</w:t>
            </w:r>
          </w:p>
        </w:tc>
        <w:tc>
          <w:tcPr>
            <w:tcW w:w="1702" w:type="dxa"/>
          </w:tcPr>
          <w:p w14:paraId="0C9051E0" w14:textId="77777777" w:rsidR="00FA4AA8" w:rsidRDefault="0015611F">
            <w:pPr>
              <w:pStyle w:val="TableParagraph"/>
              <w:spacing w:before="63" w:line="187" w:lineRule="exact"/>
              <w:ind w:right="40"/>
              <w:jc w:val="right"/>
              <w:rPr>
                <w:sz w:val="18"/>
              </w:rPr>
            </w:pPr>
            <w:r>
              <w:rPr>
                <w:w w:val="95"/>
                <w:sz w:val="18"/>
              </w:rPr>
              <w:t>0%</w:t>
            </w:r>
          </w:p>
        </w:tc>
      </w:tr>
      <w:tr w:rsidR="00FA4AA8" w14:paraId="4385CD75" w14:textId="77777777">
        <w:trPr>
          <w:trHeight w:val="207"/>
        </w:trPr>
        <w:tc>
          <w:tcPr>
            <w:tcW w:w="3418" w:type="dxa"/>
          </w:tcPr>
          <w:p w14:paraId="3383CF19" w14:textId="77777777" w:rsidR="00FA4AA8" w:rsidRDefault="0015611F">
            <w:pPr>
              <w:pStyle w:val="TableParagraph"/>
              <w:spacing w:line="188" w:lineRule="exact"/>
              <w:ind w:left="107"/>
              <w:rPr>
                <w:sz w:val="18"/>
              </w:rPr>
            </w:pPr>
            <w:r>
              <w:rPr>
                <w:sz w:val="18"/>
              </w:rPr>
              <w:t>Accumulated Retained Earnings</w:t>
            </w:r>
          </w:p>
        </w:tc>
        <w:tc>
          <w:tcPr>
            <w:tcW w:w="1985" w:type="dxa"/>
          </w:tcPr>
          <w:p w14:paraId="62ACC267" w14:textId="77777777" w:rsidR="00FA4AA8" w:rsidRDefault="0015611F">
            <w:pPr>
              <w:pStyle w:val="TableParagraph"/>
              <w:spacing w:line="188" w:lineRule="exact"/>
              <w:ind w:right="39"/>
              <w:jc w:val="right"/>
              <w:rPr>
                <w:sz w:val="18"/>
              </w:rPr>
            </w:pPr>
            <w:r>
              <w:rPr>
                <w:sz w:val="18"/>
              </w:rPr>
              <w:t>($2,962,592)</w:t>
            </w:r>
          </w:p>
        </w:tc>
        <w:tc>
          <w:tcPr>
            <w:tcW w:w="1983" w:type="dxa"/>
          </w:tcPr>
          <w:p w14:paraId="18AADED5" w14:textId="77777777" w:rsidR="00FA4AA8" w:rsidRDefault="00FA4AA8">
            <w:pPr>
              <w:pStyle w:val="TableParagraph"/>
              <w:rPr>
                <w:rFonts w:ascii="Times New Roman"/>
                <w:sz w:val="14"/>
              </w:rPr>
            </w:pPr>
          </w:p>
        </w:tc>
        <w:tc>
          <w:tcPr>
            <w:tcW w:w="1702" w:type="dxa"/>
          </w:tcPr>
          <w:p w14:paraId="6E335D0E" w14:textId="77777777" w:rsidR="00FA4AA8" w:rsidRDefault="00FA4AA8">
            <w:pPr>
              <w:pStyle w:val="TableParagraph"/>
              <w:rPr>
                <w:rFonts w:ascii="Times New Roman"/>
                <w:sz w:val="14"/>
              </w:rPr>
            </w:pPr>
          </w:p>
        </w:tc>
      </w:tr>
    </w:tbl>
    <w:p w14:paraId="7F27E694" w14:textId="77777777" w:rsidR="00FA4AA8" w:rsidRDefault="00FA4AA8">
      <w:pPr>
        <w:pStyle w:val="BodyText"/>
        <w:spacing w:before="2"/>
      </w:pPr>
    </w:p>
    <w:p w14:paraId="38C5BD3E" w14:textId="77777777" w:rsidR="00FA4AA8" w:rsidRDefault="0015611F">
      <w:pPr>
        <w:pStyle w:val="BodyText"/>
        <w:spacing w:line="235" w:lineRule="auto"/>
        <w:ind w:left="259" w:right="405"/>
      </w:pPr>
      <w:r>
        <w:t>Financial KPI’s were not achieved with the budgeted operating deficit exceeded, revenue was significantly lower than budgeted primarily due to competition from 3</w:t>
      </w:r>
      <w:r>
        <w:rPr>
          <w:position w:val="6"/>
          <w:sz w:val="12"/>
        </w:rPr>
        <w:t xml:space="preserve">rd </w:t>
      </w:r>
      <w:r>
        <w:t>party on campus outlets providers.</w:t>
      </w:r>
    </w:p>
    <w:p w14:paraId="14F9C892" w14:textId="77777777" w:rsidR="00FA4AA8" w:rsidRDefault="00FA4AA8">
      <w:pPr>
        <w:pStyle w:val="BodyText"/>
        <w:spacing w:before="1"/>
      </w:pPr>
    </w:p>
    <w:p w14:paraId="4D9042BC" w14:textId="77777777" w:rsidR="00FA4AA8" w:rsidRDefault="0015611F">
      <w:pPr>
        <w:pStyle w:val="BodyText"/>
        <w:spacing w:before="1"/>
        <w:ind w:left="260" w:right="245"/>
      </w:pPr>
      <w:r>
        <w:t>Non-financial KPI’s related primarily to the centralisation of shared services, including Finance and Administration, IT, Visual Communications and Human Resources, and inventory reduction.</w:t>
      </w:r>
    </w:p>
    <w:p w14:paraId="325CFAE4" w14:textId="77777777" w:rsidR="00FA4AA8" w:rsidRDefault="00FA4AA8">
      <w:pPr>
        <w:pStyle w:val="BodyText"/>
      </w:pPr>
    </w:p>
    <w:p w14:paraId="3411D971" w14:textId="77777777" w:rsidR="00FA4AA8" w:rsidRDefault="0015611F">
      <w:pPr>
        <w:pStyle w:val="BodyText"/>
        <w:ind w:left="260" w:right="876"/>
      </w:pPr>
      <w:r>
        <w:rPr>
          <w:color w:val="050505"/>
        </w:rPr>
        <w:t>As a key provider of student services Western Unlimited receives some ongoing financial support from the University.</w:t>
      </w:r>
    </w:p>
    <w:p w14:paraId="2BCF8B02" w14:textId="77777777" w:rsidR="00FA4AA8" w:rsidRDefault="00FA4AA8">
      <w:pPr>
        <w:pStyle w:val="BodyText"/>
        <w:spacing w:before="10"/>
        <w:rPr>
          <w:sz w:val="17"/>
        </w:rPr>
      </w:pPr>
    </w:p>
    <w:p w14:paraId="5414A617" w14:textId="77777777" w:rsidR="00FA4AA8" w:rsidRDefault="0015611F">
      <w:pPr>
        <w:pStyle w:val="BodyText"/>
        <w:ind w:left="260"/>
      </w:pPr>
      <w:r>
        <w:rPr>
          <w:u w:val="single"/>
        </w:rPr>
        <w:t>Management and Operations</w:t>
      </w:r>
    </w:p>
    <w:p w14:paraId="37349C71" w14:textId="77777777" w:rsidR="00FA4AA8" w:rsidRDefault="0015611F">
      <w:pPr>
        <w:pStyle w:val="BodyText"/>
        <w:spacing w:before="2"/>
        <w:ind w:left="260" w:right="325"/>
      </w:pPr>
      <w:r>
        <w:t>Western Unlimited Ltd is a wholly owned entity of Western Sydney University. An independent Board of Directors is responsible for the overall operations of the Company.</w:t>
      </w:r>
    </w:p>
    <w:p w14:paraId="78627DF4" w14:textId="77777777" w:rsidR="00FA4AA8" w:rsidRDefault="00FA4AA8">
      <w:pPr>
        <w:pStyle w:val="BodyText"/>
        <w:spacing w:before="7"/>
        <w:rPr>
          <w:sz w:val="27"/>
        </w:rPr>
      </w:pPr>
    </w:p>
    <w:p w14:paraId="7586F0D9" w14:textId="77777777" w:rsidR="00FA4AA8" w:rsidRDefault="0015611F">
      <w:pPr>
        <w:ind w:left="260"/>
        <w:rPr>
          <w:b/>
          <w:sz w:val="28"/>
        </w:rPr>
      </w:pPr>
      <w:r>
        <w:rPr>
          <w:b/>
          <w:color w:val="050505"/>
          <w:sz w:val="28"/>
        </w:rPr>
        <w:t>Western Sydney University Early Learning Limited</w:t>
      </w:r>
    </w:p>
    <w:p w14:paraId="54D2B4BC" w14:textId="77777777" w:rsidR="00FA4AA8" w:rsidRDefault="0015611F">
      <w:pPr>
        <w:pStyle w:val="BodyText"/>
        <w:spacing w:before="211" w:line="207" w:lineRule="exact"/>
        <w:ind w:left="260"/>
      </w:pPr>
      <w:r>
        <w:rPr>
          <w:u w:val="single"/>
        </w:rPr>
        <w:t>Principal Objectives</w:t>
      </w:r>
    </w:p>
    <w:p w14:paraId="326C6C89" w14:textId="77777777" w:rsidR="00FA4AA8" w:rsidRDefault="0015611F">
      <w:pPr>
        <w:pStyle w:val="BodyText"/>
        <w:ind w:left="260" w:right="474"/>
      </w:pPr>
      <w:r>
        <w:t>The principal objective of the Company is to provide affordable, high quality early childhood care and education for the children of Western Sydney University staff, students and the local community.</w:t>
      </w:r>
    </w:p>
    <w:p w14:paraId="048C8E41" w14:textId="77777777" w:rsidR="00FA4AA8" w:rsidRDefault="00FA4AA8">
      <w:pPr>
        <w:pStyle w:val="BodyText"/>
      </w:pPr>
    </w:p>
    <w:p w14:paraId="1F39F5DC" w14:textId="77777777" w:rsidR="00FA4AA8" w:rsidRDefault="0015611F">
      <w:pPr>
        <w:pStyle w:val="BodyText"/>
        <w:spacing w:after="6"/>
        <w:ind w:left="260"/>
      </w:pPr>
      <w:r>
        <w:rPr>
          <w:u w:val="single"/>
        </w:rPr>
        <w:t>Principal Activities and Strategic Projects</w:t>
      </w:r>
    </w:p>
    <w:tbl>
      <w:tblPr>
        <w:tblW w:w="0" w:type="auto"/>
        <w:tblInd w:w="113" w:type="dxa"/>
        <w:tblLayout w:type="fixed"/>
        <w:tblCellMar>
          <w:left w:w="0" w:type="dxa"/>
          <w:right w:w="0" w:type="dxa"/>
        </w:tblCellMar>
        <w:tblLook w:val="01E0" w:firstRow="1" w:lastRow="1" w:firstColumn="1" w:lastColumn="1" w:noHBand="0" w:noVBand="0"/>
      </w:tblPr>
      <w:tblGrid>
        <w:gridCol w:w="9366"/>
      </w:tblGrid>
      <w:tr w:rsidR="00FA4AA8" w14:paraId="5B85F614" w14:textId="77777777">
        <w:trPr>
          <w:trHeight w:val="928"/>
        </w:trPr>
        <w:tc>
          <w:tcPr>
            <w:tcW w:w="9366" w:type="dxa"/>
          </w:tcPr>
          <w:p w14:paraId="0D99ACC7" w14:textId="77777777" w:rsidR="00FA4AA8" w:rsidRDefault="0015611F">
            <w:pPr>
              <w:pStyle w:val="TableParagraph"/>
              <w:ind w:left="200" w:right="30"/>
              <w:rPr>
                <w:sz w:val="18"/>
              </w:rPr>
            </w:pPr>
            <w:r>
              <w:rPr>
                <w:color w:val="050505"/>
                <w:sz w:val="18"/>
              </w:rPr>
              <w:t>To provide affordable, high quality early childhood care and education for the children of Western Sydney University staff, students and the local community. The provision of this service is campus based to enable staff, students and the local community the greatest opportunity to balance work and study commitments with childrearing.</w:t>
            </w:r>
          </w:p>
        </w:tc>
      </w:tr>
      <w:tr w:rsidR="00FA4AA8" w14:paraId="196CDA9C" w14:textId="77777777">
        <w:trPr>
          <w:trHeight w:val="309"/>
        </w:trPr>
        <w:tc>
          <w:tcPr>
            <w:tcW w:w="9366" w:type="dxa"/>
          </w:tcPr>
          <w:p w14:paraId="3D3E486A" w14:textId="77777777" w:rsidR="00FA4AA8" w:rsidRDefault="0015611F">
            <w:pPr>
              <w:pStyle w:val="TableParagraph"/>
              <w:spacing w:before="100" w:line="190" w:lineRule="exact"/>
              <w:ind w:left="200"/>
              <w:rPr>
                <w:sz w:val="18"/>
              </w:rPr>
            </w:pPr>
            <w:r>
              <w:rPr>
                <w:color w:val="050505"/>
                <w:sz w:val="18"/>
                <w:u w:val="single" w:color="050505"/>
              </w:rPr>
              <w:t>Performance Measures</w:t>
            </w:r>
          </w:p>
        </w:tc>
      </w:tr>
      <w:tr w:rsidR="00FA4AA8" w14:paraId="1C4D7EFC" w14:textId="77777777">
        <w:trPr>
          <w:trHeight w:val="412"/>
        </w:trPr>
        <w:tc>
          <w:tcPr>
            <w:tcW w:w="9366" w:type="dxa"/>
          </w:tcPr>
          <w:p w14:paraId="000B4CD2" w14:textId="77777777" w:rsidR="00FA4AA8" w:rsidRDefault="0015611F">
            <w:pPr>
              <w:pStyle w:val="TableParagraph"/>
              <w:spacing w:line="204" w:lineRule="exact"/>
              <w:ind w:left="200"/>
              <w:rPr>
                <w:sz w:val="18"/>
              </w:rPr>
            </w:pPr>
            <w:r>
              <w:rPr>
                <w:color w:val="050505"/>
                <w:sz w:val="18"/>
              </w:rPr>
              <w:t>The performance measures of the company are both financial and non-financial. The Company has adopted the</w:t>
            </w:r>
          </w:p>
          <w:p w14:paraId="4C8EC5F7" w14:textId="77777777" w:rsidR="00FA4AA8" w:rsidRDefault="0015611F">
            <w:pPr>
              <w:pStyle w:val="TableParagraph"/>
              <w:spacing w:before="2" w:line="187" w:lineRule="exact"/>
              <w:ind w:left="200"/>
              <w:rPr>
                <w:sz w:val="18"/>
              </w:rPr>
            </w:pPr>
            <w:r>
              <w:rPr>
                <w:color w:val="050505"/>
                <w:sz w:val="18"/>
              </w:rPr>
              <w:t>following key performance indicators</w:t>
            </w:r>
          </w:p>
        </w:tc>
      </w:tr>
      <w:tr w:rsidR="00FA4AA8" w14:paraId="7392D7A7" w14:textId="77777777">
        <w:trPr>
          <w:trHeight w:val="1523"/>
        </w:trPr>
        <w:tc>
          <w:tcPr>
            <w:tcW w:w="9366" w:type="dxa"/>
          </w:tcPr>
          <w:p w14:paraId="640D3A06" w14:textId="77777777" w:rsidR="00FA4AA8" w:rsidRDefault="0015611F">
            <w:pPr>
              <w:pStyle w:val="TableParagraph"/>
              <w:numPr>
                <w:ilvl w:val="0"/>
                <w:numId w:val="19"/>
              </w:numPr>
              <w:tabs>
                <w:tab w:val="left" w:pos="919"/>
                <w:tab w:val="left" w:pos="920"/>
              </w:tabs>
              <w:spacing w:line="219" w:lineRule="exact"/>
              <w:rPr>
                <w:sz w:val="18"/>
              </w:rPr>
            </w:pPr>
            <w:r>
              <w:rPr>
                <w:color w:val="050505"/>
                <w:sz w:val="18"/>
              </w:rPr>
              <w:t>Ensure all services at least meet Education and Care National Quality</w:t>
            </w:r>
            <w:r>
              <w:rPr>
                <w:color w:val="050505"/>
                <w:spacing w:val="-11"/>
                <w:sz w:val="18"/>
              </w:rPr>
              <w:t xml:space="preserve"> </w:t>
            </w:r>
            <w:r>
              <w:rPr>
                <w:color w:val="050505"/>
                <w:sz w:val="18"/>
              </w:rPr>
              <w:t>Standards</w:t>
            </w:r>
          </w:p>
          <w:p w14:paraId="6A77E606" w14:textId="77777777" w:rsidR="00FA4AA8" w:rsidRDefault="0015611F">
            <w:pPr>
              <w:pStyle w:val="TableParagraph"/>
              <w:numPr>
                <w:ilvl w:val="0"/>
                <w:numId w:val="19"/>
              </w:numPr>
              <w:tabs>
                <w:tab w:val="left" w:pos="919"/>
                <w:tab w:val="left" w:pos="920"/>
              </w:tabs>
              <w:spacing w:line="218" w:lineRule="exact"/>
              <w:rPr>
                <w:sz w:val="18"/>
              </w:rPr>
            </w:pPr>
            <w:r>
              <w:rPr>
                <w:color w:val="050505"/>
                <w:sz w:val="18"/>
              </w:rPr>
              <w:t>Utilisation rates at all Centres increasing and</w:t>
            </w:r>
            <w:r>
              <w:rPr>
                <w:color w:val="050505"/>
                <w:spacing w:val="1"/>
                <w:sz w:val="18"/>
              </w:rPr>
              <w:t xml:space="preserve"> </w:t>
            </w:r>
            <w:r>
              <w:rPr>
                <w:color w:val="050505"/>
                <w:sz w:val="18"/>
              </w:rPr>
              <w:t>stabilising</w:t>
            </w:r>
          </w:p>
          <w:p w14:paraId="14C058F6" w14:textId="77777777" w:rsidR="00FA4AA8" w:rsidRDefault="0015611F">
            <w:pPr>
              <w:pStyle w:val="TableParagraph"/>
              <w:numPr>
                <w:ilvl w:val="0"/>
                <w:numId w:val="19"/>
              </w:numPr>
              <w:tabs>
                <w:tab w:val="left" w:pos="919"/>
                <w:tab w:val="left" w:pos="920"/>
              </w:tabs>
              <w:spacing w:line="219" w:lineRule="exact"/>
              <w:rPr>
                <w:sz w:val="18"/>
              </w:rPr>
            </w:pPr>
            <w:r>
              <w:rPr>
                <w:color w:val="050505"/>
                <w:sz w:val="18"/>
              </w:rPr>
              <w:t>Centralisation of the Financial and Administrative</w:t>
            </w:r>
            <w:r>
              <w:rPr>
                <w:color w:val="050505"/>
                <w:spacing w:val="-4"/>
                <w:sz w:val="18"/>
              </w:rPr>
              <w:t xml:space="preserve"> </w:t>
            </w:r>
            <w:r>
              <w:rPr>
                <w:color w:val="050505"/>
                <w:sz w:val="18"/>
              </w:rPr>
              <w:t>functions</w:t>
            </w:r>
          </w:p>
          <w:p w14:paraId="3221949C" w14:textId="77777777" w:rsidR="00FA4AA8" w:rsidRDefault="0015611F">
            <w:pPr>
              <w:pStyle w:val="TableParagraph"/>
              <w:numPr>
                <w:ilvl w:val="0"/>
                <w:numId w:val="19"/>
              </w:numPr>
              <w:tabs>
                <w:tab w:val="left" w:pos="919"/>
                <w:tab w:val="left" w:pos="920"/>
              </w:tabs>
              <w:ind w:right="637"/>
              <w:rPr>
                <w:sz w:val="18"/>
              </w:rPr>
            </w:pPr>
            <w:r>
              <w:rPr>
                <w:color w:val="050505"/>
                <w:sz w:val="18"/>
              </w:rPr>
              <w:t>Financial operations of the Company now consolidated into the University’s financial reporting and budgeting</w:t>
            </w:r>
            <w:r>
              <w:rPr>
                <w:color w:val="050505"/>
                <w:spacing w:val="-3"/>
                <w:sz w:val="18"/>
              </w:rPr>
              <w:t xml:space="preserve"> </w:t>
            </w:r>
            <w:r>
              <w:rPr>
                <w:color w:val="050505"/>
                <w:sz w:val="18"/>
              </w:rPr>
              <w:t>cycle</w:t>
            </w:r>
          </w:p>
          <w:p w14:paraId="4D4EE3D6" w14:textId="77777777" w:rsidR="00FA4AA8" w:rsidRDefault="0015611F">
            <w:pPr>
              <w:pStyle w:val="TableParagraph"/>
              <w:numPr>
                <w:ilvl w:val="0"/>
                <w:numId w:val="19"/>
              </w:numPr>
              <w:tabs>
                <w:tab w:val="left" w:pos="919"/>
                <w:tab w:val="left" w:pos="920"/>
              </w:tabs>
              <w:spacing w:line="218" w:lineRule="exact"/>
              <w:rPr>
                <w:sz w:val="18"/>
              </w:rPr>
            </w:pPr>
            <w:r>
              <w:rPr>
                <w:color w:val="050505"/>
                <w:sz w:val="18"/>
              </w:rPr>
              <w:t>Continuing to explore ways of offering casual care in addition to permanent</w:t>
            </w:r>
            <w:r>
              <w:rPr>
                <w:color w:val="050505"/>
                <w:spacing w:val="-17"/>
                <w:sz w:val="18"/>
              </w:rPr>
              <w:t xml:space="preserve"> </w:t>
            </w:r>
            <w:r>
              <w:rPr>
                <w:color w:val="050505"/>
                <w:sz w:val="18"/>
              </w:rPr>
              <w:t>placement</w:t>
            </w:r>
          </w:p>
          <w:p w14:paraId="6687674D" w14:textId="77777777" w:rsidR="00FA4AA8" w:rsidRDefault="0015611F">
            <w:pPr>
              <w:pStyle w:val="TableParagraph"/>
              <w:numPr>
                <w:ilvl w:val="0"/>
                <w:numId w:val="19"/>
              </w:numPr>
              <w:tabs>
                <w:tab w:val="left" w:pos="919"/>
                <w:tab w:val="left" w:pos="920"/>
              </w:tabs>
              <w:spacing w:line="201" w:lineRule="exact"/>
              <w:rPr>
                <w:sz w:val="18"/>
              </w:rPr>
            </w:pPr>
            <w:r>
              <w:rPr>
                <w:color w:val="050505"/>
                <w:sz w:val="18"/>
              </w:rPr>
              <w:t>Community</w:t>
            </w:r>
            <w:r>
              <w:rPr>
                <w:color w:val="050505"/>
                <w:spacing w:val="-2"/>
                <w:sz w:val="18"/>
              </w:rPr>
              <w:t xml:space="preserve"> </w:t>
            </w:r>
            <w:r>
              <w:rPr>
                <w:color w:val="050505"/>
                <w:sz w:val="18"/>
              </w:rPr>
              <w:t>Engagement</w:t>
            </w:r>
          </w:p>
        </w:tc>
      </w:tr>
    </w:tbl>
    <w:p w14:paraId="636803F9" w14:textId="77777777" w:rsidR="00FA4AA8" w:rsidRDefault="00FA4AA8">
      <w:pPr>
        <w:spacing w:line="201" w:lineRule="exact"/>
        <w:rPr>
          <w:sz w:val="18"/>
        </w:rPr>
        <w:sectPr w:rsidR="00FA4AA8">
          <w:headerReference w:type="default" r:id="rId326"/>
          <w:footerReference w:type="default" r:id="rId327"/>
          <w:pgSz w:w="11910" w:h="16840"/>
          <w:pgMar w:top="1340" w:right="1140" w:bottom="720" w:left="1180" w:header="0" w:footer="523" w:gutter="0"/>
          <w:pgNumType w:start="252"/>
          <w:cols w:space="720"/>
        </w:sectPr>
      </w:pPr>
    </w:p>
    <w:p w14:paraId="286D4D49" w14:textId="77777777" w:rsidR="00FA4AA8" w:rsidRDefault="00FA4AA8">
      <w:pPr>
        <w:pStyle w:val="BodyText"/>
        <w:spacing w:before="1"/>
        <w:rPr>
          <w:sz w:val="22"/>
        </w:rPr>
      </w:pPr>
    </w:p>
    <w:tbl>
      <w:tblPr>
        <w:tblW w:w="0" w:type="auto"/>
        <w:tblInd w:w="2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18"/>
        <w:gridCol w:w="1985"/>
        <w:gridCol w:w="1983"/>
        <w:gridCol w:w="1702"/>
      </w:tblGrid>
      <w:tr w:rsidR="00FA4AA8" w14:paraId="2EA6A4D2" w14:textId="77777777">
        <w:trPr>
          <w:trHeight w:val="582"/>
        </w:trPr>
        <w:tc>
          <w:tcPr>
            <w:tcW w:w="3418" w:type="dxa"/>
          </w:tcPr>
          <w:p w14:paraId="043ABD98" w14:textId="77777777" w:rsidR="00FA4AA8" w:rsidRDefault="00FA4AA8">
            <w:pPr>
              <w:pStyle w:val="TableParagraph"/>
              <w:spacing w:before="1"/>
              <w:rPr>
                <w:sz w:val="16"/>
              </w:rPr>
            </w:pPr>
          </w:p>
          <w:p w14:paraId="5C881C0D" w14:textId="77777777" w:rsidR="00FA4AA8" w:rsidRDefault="0015611F">
            <w:pPr>
              <w:pStyle w:val="TableParagraph"/>
              <w:spacing w:before="1"/>
              <w:ind w:left="107"/>
              <w:rPr>
                <w:b/>
                <w:i/>
                <w:sz w:val="18"/>
              </w:rPr>
            </w:pPr>
            <w:r>
              <w:rPr>
                <w:b/>
                <w:i/>
                <w:sz w:val="18"/>
              </w:rPr>
              <w:t>Category</w:t>
            </w:r>
          </w:p>
        </w:tc>
        <w:tc>
          <w:tcPr>
            <w:tcW w:w="1985" w:type="dxa"/>
          </w:tcPr>
          <w:p w14:paraId="6CA90286" w14:textId="77777777" w:rsidR="00FA4AA8" w:rsidRDefault="00FA4AA8">
            <w:pPr>
              <w:pStyle w:val="TableParagraph"/>
              <w:spacing w:before="1"/>
              <w:rPr>
                <w:sz w:val="16"/>
              </w:rPr>
            </w:pPr>
          </w:p>
          <w:p w14:paraId="2AD2CCC9" w14:textId="77777777" w:rsidR="00FA4AA8" w:rsidRDefault="0015611F">
            <w:pPr>
              <w:pStyle w:val="TableParagraph"/>
              <w:spacing w:before="1"/>
              <w:ind w:right="84"/>
              <w:jc w:val="right"/>
              <w:rPr>
                <w:b/>
                <w:i/>
                <w:sz w:val="18"/>
              </w:rPr>
            </w:pPr>
            <w:r>
              <w:rPr>
                <w:b/>
                <w:i/>
                <w:sz w:val="18"/>
              </w:rPr>
              <w:t>FY 2018 Actual</w:t>
            </w:r>
          </w:p>
        </w:tc>
        <w:tc>
          <w:tcPr>
            <w:tcW w:w="1983" w:type="dxa"/>
          </w:tcPr>
          <w:p w14:paraId="74070977" w14:textId="77777777" w:rsidR="00FA4AA8" w:rsidRDefault="00FA4AA8">
            <w:pPr>
              <w:pStyle w:val="TableParagraph"/>
              <w:spacing w:before="1"/>
              <w:rPr>
                <w:sz w:val="16"/>
              </w:rPr>
            </w:pPr>
          </w:p>
          <w:p w14:paraId="4D032140" w14:textId="77777777" w:rsidR="00FA4AA8" w:rsidRDefault="0015611F">
            <w:pPr>
              <w:pStyle w:val="TableParagraph"/>
              <w:spacing w:before="1"/>
              <w:ind w:right="82"/>
              <w:jc w:val="right"/>
              <w:rPr>
                <w:b/>
                <w:i/>
                <w:sz w:val="18"/>
              </w:rPr>
            </w:pPr>
            <w:r>
              <w:rPr>
                <w:b/>
                <w:i/>
                <w:sz w:val="18"/>
              </w:rPr>
              <w:t>Annual 2018 Budget</w:t>
            </w:r>
          </w:p>
        </w:tc>
        <w:tc>
          <w:tcPr>
            <w:tcW w:w="1702" w:type="dxa"/>
          </w:tcPr>
          <w:p w14:paraId="0C1F7A61" w14:textId="77777777" w:rsidR="00FA4AA8" w:rsidRDefault="0015611F">
            <w:pPr>
              <w:pStyle w:val="TableParagraph"/>
              <w:spacing w:before="82"/>
              <w:ind w:left="821" w:right="70" w:hanging="183"/>
              <w:rPr>
                <w:b/>
                <w:i/>
                <w:sz w:val="18"/>
              </w:rPr>
            </w:pPr>
            <w:r>
              <w:rPr>
                <w:b/>
                <w:i/>
                <w:sz w:val="18"/>
              </w:rPr>
              <w:t>% Full year achieved</w:t>
            </w:r>
          </w:p>
        </w:tc>
      </w:tr>
      <w:tr w:rsidR="00FA4AA8" w14:paraId="439591D3" w14:textId="77777777">
        <w:trPr>
          <w:trHeight w:val="270"/>
        </w:trPr>
        <w:tc>
          <w:tcPr>
            <w:tcW w:w="3418" w:type="dxa"/>
          </w:tcPr>
          <w:p w14:paraId="4A0DCE00" w14:textId="77777777" w:rsidR="00FA4AA8" w:rsidRDefault="0015611F">
            <w:pPr>
              <w:pStyle w:val="TableParagraph"/>
              <w:spacing w:before="61" w:line="189" w:lineRule="exact"/>
              <w:ind w:left="107"/>
              <w:rPr>
                <w:sz w:val="18"/>
              </w:rPr>
            </w:pPr>
            <w:r>
              <w:rPr>
                <w:sz w:val="18"/>
              </w:rPr>
              <w:t>Revenue</w:t>
            </w:r>
          </w:p>
        </w:tc>
        <w:tc>
          <w:tcPr>
            <w:tcW w:w="1985" w:type="dxa"/>
          </w:tcPr>
          <w:p w14:paraId="0EA4BB4E" w14:textId="77777777" w:rsidR="00FA4AA8" w:rsidRDefault="0015611F">
            <w:pPr>
              <w:pStyle w:val="TableParagraph"/>
              <w:spacing w:before="61" w:line="189" w:lineRule="exact"/>
              <w:ind w:right="85"/>
              <w:jc w:val="right"/>
              <w:rPr>
                <w:sz w:val="18"/>
              </w:rPr>
            </w:pPr>
            <w:r>
              <w:rPr>
                <w:sz w:val="18"/>
              </w:rPr>
              <w:t>$7,259,752</w:t>
            </w:r>
          </w:p>
        </w:tc>
        <w:tc>
          <w:tcPr>
            <w:tcW w:w="1983" w:type="dxa"/>
          </w:tcPr>
          <w:p w14:paraId="60B268FD" w14:textId="77777777" w:rsidR="00FA4AA8" w:rsidRDefault="0015611F">
            <w:pPr>
              <w:pStyle w:val="TableParagraph"/>
              <w:spacing w:before="61" w:line="189" w:lineRule="exact"/>
              <w:ind w:right="83"/>
              <w:jc w:val="right"/>
              <w:rPr>
                <w:sz w:val="18"/>
              </w:rPr>
            </w:pPr>
            <w:r>
              <w:rPr>
                <w:sz w:val="18"/>
              </w:rPr>
              <w:t>$7,278,165</w:t>
            </w:r>
          </w:p>
        </w:tc>
        <w:tc>
          <w:tcPr>
            <w:tcW w:w="1702" w:type="dxa"/>
          </w:tcPr>
          <w:p w14:paraId="3772A0F4" w14:textId="77777777" w:rsidR="00FA4AA8" w:rsidRDefault="0015611F">
            <w:pPr>
              <w:pStyle w:val="TableParagraph"/>
              <w:spacing w:before="61" w:line="189" w:lineRule="exact"/>
              <w:ind w:right="86"/>
              <w:jc w:val="right"/>
              <w:rPr>
                <w:sz w:val="18"/>
              </w:rPr>
            </w:pPr>
            <w:r>
              <w:rPr>
                <w:w w:val="95"/>
                <w:sz w:val="18"/>
              </w:rPr>
              <w:t>100%</w:t>
            </w:r>
          </w:p>
        </w:tc>
      </w:tr>
      <w:tr w:rsidR="00FA4AA8" w14:paraId="523F19B5" w14:textId="77777777">
        <w:trPr>
          <w:trHeight w:val="270"/>
        </w:trPr>
        <w:tc>
          <w:tcPr>
            <w:tcW w:w="3418" w:type="dxa"/>
          </w:tcPr>
          <w:p w14:paraId="5C0815AE" w14:textId="77777777" w:rsidR="00FA4AA8" w:rsidRDefault="0015611F">
            <w:pPr>
              <w:pStyle w:val="TableParagraph"/>
              <w:spacing w:before="61" w:line="189" w:lineRule="exact"/>
              <w:ind w:left="107"/>
              <w:rPr>
                <w:sz w:val="18"/>
              </w:rPr>
            </w:pPr>
            <w:r>
              <w:rPr>
                <w:sz w:val="18"/>
              </w:rPr>
              <w:t>Expenses</w:t>
            </w:r>
          </w:p>
        </w:tc>
        <w:tc>
          <w:tcPr>
            <w:tcW w:w="1985" w:type="dxa"/>
          </w:tcPr>
          <w:p w14:paraId="3D349FBC" w14:textId="77777777" w:rsidR="00FA4AA8" w:rsidRDefault="0015611F">
            <w:pPr>
              <w:pStyle w:val="TableParagraph"/>
              <w:spacing w:before="61" w:line="189" w:lineRule="exact"/>
              <w:ind w:right="85"/>
              <w:jc w:val="right"/>
              <w:rPr>
                <w:sz w:val="18"/>
              </w:rPr>
            </w:pPr>
            <w:r>
              <w:rPr>
                <w:sz w:val="18"/>
              </w:rPr>
              <w:t>$7,058,261</w:t>
            </w:r>
          </w:p>
        </w:tc>
        <w:tc>
          <w:tcPr>
            <w:tcW w:w="1983" w:type="dxa"/>
          </w:tcPr>
          <w:p w14:paraId="26E0BBE0" w14:textId="77777777" w:rsidR="00FA4AA8" w:rsidRDefault="0015611F">
            <w:pPr>
              <w:pStyle w:val="TableParagraph"/>
              <w:spacing w:before="61" w:line="189" w:lineRule="exact"/>
              <w:ind w:right="83"/>
              <w:jc w:val="right"/>
              <w:rPr>
                <w:sz w:val="18"/>
              </w:rPr>
            </w:pPr>
            <w:r>
              <w:rPr>
                <w:sz w:val="18"/>
              </w:rPr>
              <w:t>$6,958,746</w:t>
            </w:r>
          </w:p>
        </w:tc>
        <w:tc>
          <w:tcPr>
            <w:tcW w:w="1702" w:type="dxa"/>
          </w:tcPr>
          <w:p w14:paraId="16944C48" w14:textId="77777777" w:rsidR="00FA4AA8" w:rsidRDefault="0015611F">
            <w:pPr>
              <w:pStyle w:val="TableParagraph"/>
              <w:spacing w:before="61" w:line="189" w:lineRule="exact"/>
              <w:ind w:right="86"/>
              <w:jc w:val="right"/>
              <w:rPr>
                <w:sz w:val="18"/>
              </w:rPr>
            </w:pPr>
            <w:r>
              <w:rPr>
                <w:w w:val="95"/>
                <w:sz w:val="18"/>
              </w:rPr>
              <w:t>101%</w:t>
            </w:r>
          </w:p>
        </w:tc>
      </w:tr>
      <w:tr w:rsidR="00FA4AA8" w14:paraId="2F1BEAE4" w14:textId="77777777">
        <w:trPr>
          <w:trHeight w:val="267"/>
        </w:trPr>
        <w:tc>
          <w:tcPr>
            <w:tcW w:w="3418" w:type="dxa"/>
          </w:tcPr>
          <w:p w14:paraId="59CA0D65" w14:textId="77777777" w:rsidR="00FA4AA8" w:rsidRDefault="0015611F">
            <w:pPr>
              <w:pStyle w:val="TableParagraph"/>
              <w:spacing w:before="56" w:line="192" w:lineRule="exact"/>
              <w:ind w:left="107"/>
              <w:rPr>
                <w:b/>
                <w:sz w:val="18"/>
              </w:rPr>
            </w:pPr>
            <w:r>
              <w:rPr>
                <w:b/>
                <w:sz w:val="18"/>
              </w:rPr>
              <w:t>Operating Surplus</w:t>
            </w:r>
          </w:p>
        </w:tc>
        <w:tc>
          <w:tcPr>
            <w:tcW w:w="1985" w:type="dxa"/>
          </w:tcPr>
          <w:p w14:paraId="3770B0F6" w14:textId="77777777" w:rsidR="00FA4AA8" w:rsidRDefault="0015611F">
            <w:pPr>
              <w:pStyle w:val="TableParagraph"/>
              <w:spacing w:before="56" w:line="192" w:lineRule="exact"/>
              <w:ind w:right="84"/>
              <w:jc w:val="right"/>
              <w:rPr>
                <w:b/>
                <w:sz w:val="18"/>
              </w:rPr>
            </w:pPr>
            <w:r>
              <w:rPr>
                <w:b/>
                <w:sz w:val="18"/>
              </w:rPr>
              <w:t>$201,491</w:t>
            </w:r>
          </w:p>
        </w:tc>
        <w:tc>
          <w:tcPr>
            <w:tcW w:w="1983" w:type="dxa"/>
          </w:tcPr>
          <w:p w14:paraId="79419BF7" w14:textId="77777777" w:rsidR="00FA4AA8" w:rsidRDefault="0015611F">
            <w:pPr>
              <w:pStyle w:val="TableParagraph"/>
              <w:spacing w:before="56" w:line="192" w:lineRule="exact"/>
              <w:ind w:right="82"/>
              <w:jc w:val="right"/>
              <w:rPr>
                <w:b/>
                <w:sz w:val="18"/>
              </w:rPr>
            </w:pPr>
            <w:r>
              <w:rPr>
                <w:b/>
                <w:sz w:val="18"/>
              </w:rPr>
              <w:t>$319,419</w:t>
            </w:r>
          </w:p>
        </w:tc>
        <w:tc>
          <w:tcPr>
            <w:tcW w:w="1702" w:type="dxa"/>
          </w:tcPr>
          <w:p w14:paraId="65094153" w14:textId="77777777" w:rsidR="00FA4AA8" w:rsidRDefault="0015611F">
            <w:pPr>
              <w:pStyle w:val="TableParagraph"/>
              <w:spacing w:before="61" w:line="187" w:lineRule="exact"/>
              <w:ind w:right="86"/>
              <w:jc w:val="right"/>
              <w:rPr>
                <w:sz w:val="18"/>
              </w:rPr>
            </w:pPr>
            <w:r>
              <w:rPr>
                <w:sz w:val="18"/>
              </w:rPr>
              <w:t>0%</w:t>
            </w:r>
          </w:p>
        </w:tc>
      </w:tr>
      <w:tr w:rsidR="00FA4AA8" w14:paraId="2B3CED4A" w14:textId="77777777">
        <w:trPr>
          <w:trHeight w:val="208"/>
        </w:trPr>
        <w:tc>
          <w:tcPr>
            <w:tcW w:w="3418" w:type="dxa"/>
          </w:tcPr>
          <w:p w14:paraId="5D0EE938" w14:textId="77777777" w:rsidR="00FA4AA8" w:rsidRDefault="0015611F">
            <w:pPr>
              <w:pStyle w:val="TableParagraph"/>
              <w:spacing w:before="1" w:line="187" w:lineRule="exact"/>
              <w:ind w:left="107"/>
              <w:rPr>
                <w:sz w:val="18"/>
              </w:rPr>
            </w:pPr>
            <w:r>
              <w:rPr>
                <w:sz w:val="18"/>
              </w:rPr>
              <w:t>Accumulated Retained Earnings</w:t>
            </w:r>
          </w:p>
        </w:tc>
        <w:tc>
          <w:tcPr>
            <w:tcW w:w="1985" w:type="dxa"/>
          </w:tcPr>
          <w:p w14:paraId="2015F29F" w14:textId="77777777" w:rsidR="00FA4AA8" w:rsidRDefault="0015611F">
            <w:pPr>
              <w:pStyle w:val="TableParagraph"/>
              <w:spacing w:before="1" w:line="187" w:lineRule="exact"/>
              <w:ind w:right="85"/>
              <w:jc w:val="right"/>
              <w:rPr>
                <w:sz w:val="18"/>
              </w:rPr>
            </w:pPr>
            <w:r>
              <w:rPr>
                <w:sz w:val="18"/>
              </w:rPr>
              <w:t>$1,630,377</w:t>
            </w:r>
          </w:p>
        </w:tc>
        <w:tc>
          <w:tcPr>
            <w:tcW w:w="1983" w:type="dxa"/>
          </w:tcPr>
          <w:p w14:paraId="0509791C" w14:textId="77777777" w:rsidR="00FA4AA8" w:rsidRDefault="00FA4AA8">
            <w:pPr>
              <w:pStyle w:val="TableParagraph"/>
              <w:rPr>
                <w:rFonts w:ascii="Times New Roman"/>
                <w:sz w:val="14"/>
              </w:rPr>
            </w:pPr>
          </w:p>
        </w:tc>
        <w:tc>
          <w:tcPr>
            <w:tcW w:w="1702" w:type="dxa"/>
          </w:tcPr>
          <w:p w14:paraId="5777D540" w14:textId="77777777" w:rsidR="00FA4AA8" w:rsidRDefault="00FA4AA8">
            <w:pPr>
              <w:pStyle w:val="TableParagraph"/>
              <w:rPr>
                <w:rFonts w:ascii="Times New Roman"/>
                <w:sz w:val="14"/>
              </w:rPr>
            </w:pPr>
          </w:p>
        </w:tc>
      </w:tr>
    </w:tbl>
    <w:p w14:paraId="5B67FF15" w14:textId="77777777" w:rsidR="00FA4AA8" w:rsidRDefault="00FA4AA8">
      <w:pPr>
        <w:pStyle w:val="BodyText"/>
        <w:spacing w:before="10"/>
        <w:rPr>
          <w:sz w:val="9"/>
        </w:rPr>
      </w:pPr>
    </w:p>
    <w:p w14:paraId="3FB1A23E" w14:textId="77777777" w:rsidR="00FA4AA8" w:rsidRDefault="0015611F">
      <w:pPr>
        <w:pStyle w:val="BodyText"/>
        <w:spacing w:before="94" w:line="207" w:lineRule="exact"/>
        <w:ind w:left="260"/>
      </w:pPr>
      <w:r>
        <w:rPr>
          <w:u w:val="single"/>
        </w:rPr>
        <w:t>Management and Operations</w:t>
      </w:r>
    </w:p>
    <w:p w14:paraId="1CAA07A8" w14:textId="77777777" w:rsidR="00FA4AA8" w:rsidRDefault="0015611F">
      <w:pPr>
        <w:pStyle w:val="BodyText"/>
        <w:ind w:left="259" w:right="337"/>
      </w:pPr>
      <w:r>
        <w:t>Western Sydney University Early Learning Limited is a wholly owned entity of the Western Sydney University. An independent Board of Directors is responsible for the overall operations of the Company.</w:t>
      </w:r>
    </w:p>
    <w:p w14:paraId="41F4776C" w14:textId="77777777" w:rsidR="00FA4AA8" w:rsidRDefault="00FA4AA8">
      <w:pPr>
        <w:pStyle w:val="BodyText"/>
        <w:rPr>
          <w:sz w:val="20"/>
        </w:rPr>
      </w:pPr>
    </w:p>
    <w:p w14:paraId="5A963756" w14:textId="77777777" w:rsidR="00FA4AA8" w:rsidRDefault="00FA4AA8">
      <w:pPr>
        <w:pStyle w:val="BodyText"/>
        <w:rPr>
          <w:sz w:val="20"/>
        </w:rPr>
      </w:pPr>
    </w:p>
    <w:p w14:paraId="4FD5B48F" w14:textId="77777777" w:rsidR="00FA4AA8" w:rsidRDefault="00FA4AA8">
      <w:pPr>
        <w:pStyle w:val="BodyText"/>
        <w:spacing w:before="4"/>
        <w:rPr>
          <w:sz w:val="29"/>
        </w:rPr>
      </w:pPr>
    </w:p>
    <w:p w14:paraId="547CB561" w14:textId="77777777" w:rsidR="00FA4AA8" w:rsidRDefault="0015611F">
      <w:pPr>
        <w:pStyle w:val="Heading2"/>
        <w:spacing w:before="0" w:line="242" w:lineRule="auto"/>
        <w:ind w:left="260" w:right="2432" w:hanging="1"/>
      </w:pPr>
      <w:r>
        <w:t>Western Sydney University Enterprises Pty Limited (trading as Western Sydney University The College)</w:t>
      </w:r>
    </w:p>
    <w:p w14:paraId="4F472580" w14:textId="77777777" w:rsidR="00FA4AA8" w:rsidRDefault="0015611F">
      <w:pPr>
        <w:pStyle w:val="BodyText"/>
        <w:spacing w:before="238"/>
        <w:ind w:left="260"/>
      </w:pPr>
      <w:r>
        <w:rPr>
          <w:u w:val="single"/>
        </w:rPr>
        <w:t>Principal Objectives</w:t>
      </w:r>
    </w:p>
    <w:p w14:paraId="7776827A" w14:textId="77777777" w:rsidR="00FA4AA8" w:rsidRDefault="0015611F">
      <w:pPr>
        <w:pStyle w:val="BodyText"/>
        <w:spacing w:before="60"/>
        <w:ind w:left="260" w:right="355"/>
      </w:pPr>
      <w:r>
        <w:t>The principal objective of the company is to provide English and Academic Pathways programs to the University, complemented by other professional and community programs, consistent with Western Sydney University imperatives.</w:t>
      </w:r>
    </w:p>
    <w:p w14:paraId="18788081" w14:textId="77777777" w:rsidR="00FA4AA8" w:rsidRDefault="00FA4AA8">
      <w:pPr>
        <w:pStyle w:val="BodyText"/>
        <w:spacing w:before="4"/>
        <w:rPr>
          <w:sz w:val="28"/>
        </w:rPr>
      </w:pPr>
    </w:p>
    <w:p w14:paraId="61E683D7" w14:textId="77777777" w:rsidR="00FA4AA8" w:rsidRDefault="0015611F">
      <w:pPr>
        <w:pStyle w:val="BodyText"/>
        <w:spacing w:before="1"/>
        <w:ind w:left="260"/>
      </w:pPr>
      <w:r>
        <w:rPr>
          <w:u w:val="single"/>
        </w:rPr>
        <w:t>Principal Activities and Strategic Projects</w:t>
      </w:r>
    </w:p>
    <w:p w14:paraId="635CCB09" w14:textId="77777777" w:rsidR="00FA4AA8" w:rsidRDefault="0015611F">
      <w:pPr>
        <w:pStyle w:val="BodyText"/>
        <w:spacing w:before="59"/>
        <w:ind w:left="260"/>
      </w:pPr>
      <w:r>
        <w:t>The principal activities of the company are structured into the following three key areas:</w:t>
      </w:r>
    </w:p>
    <w:p w14:paraId="79E602BD" w14:textId="77777777" w:rsidR="00FA4AA8" w:rsidRDefault="00FA4AA8">
      <w:pPr>
        <w:pStyle w:val="BodyText"/>
        <w:spacing w:before="1"/>
      </w:pPr>
    </w:p>
    <w:p w14:paraId="08041123" w14:textId="77777777" w:rsidR="00FA4AA8" w:rsidRDefault="0015611F">
      <w:pPr>
        <w:pStyle w:val="ListParagraph"/>
        <w:numPr>
          <w:ilvl w:val="0"/>
          <w:numId w:val="1"/>
        </w:numPr>
        <w:tabs>
          <w:tab w:val="left" w:pos="979"/>
          <w:tab w:val="left" w:pos="980"/>
        </w:tabs>
        <w:ind w:left="979" w:right="248"/>
        <w:rPr>
          <w:sz w:val="18"/>
        </w:rPr>
      </w:pPr>
      <w:r>
        <w:rPr>
          <w:sz w:val="18"/>
        </w:rPr>
        <w:t>Academic Pathways which provides Foundation Studies and a variety of Diploma programs for students proceeding to an academic degree at Western Sydney University. The College continues to offer the Extended Four Term Diploma in addition to the existing University Foundation Studies and Diplomas courses (that are equivalent to first year University programs). The College also established the Western Sydney University International College (“the International College as a joint venture with Navitas</w:t>
      </w:r>
      <w:r>
        <w:rPr>
          <w:spacing w:val="-32"/>
          <w:sz w:val="18"/>
        </w:rPr>
        <w:t xml:space="preserve"> </w:t>
      </w:r>
      <w:r>
        <w:rPr>
          <w:sz w:val="18"/>
        </w:rPr>
        <w:t>Ltd.</w:t>
      </w:r>
    </w:p>
    <w:p w14:paraId="1F122496" w14:textId="77777777" w:rsidR="00FA4AA8" w:rsidRDefault="0015611F">
      <w:pPr>
        <w:pStyle w:val="ListParagraph"/>
        <w:numPr>
          <w:ilvl w:val="0"/>
          <w:numId w:val="1"/>
        </w:numPr>
        <w:tabs>
          <w:tab w:val="left" w:pos="980"/>
          <w:tab w:val="left" w:pos="981"/>
        </w:tabs>
        <w:ind w:right="430"/>
        <w:rPr>
          <w:sz w:val="18"/>
        </w:rPr>
      </w:pPr>
      <w:r>
        <w:rPr>
          <w:sz w:val="18"/>
        </w:rPr>
        <w:t>English Programs which enable international students to gain the academic English skills essential for university entrance. This unit also provides a diversity of programmes for international groups including industry</w:t>
      </w:r>
      <w:r>
        <w:rPr>
          <w:spacing w:val="-4"/>
          <w:sz w:val="18"/>
        </w:rPr>
        <w:t xml:space="preserve"> </w:t>
      </w:r>
      <w:r>
        <w:rPr>
          <w:sz w:val="18"/>
        </w:rPr>
        <w:t>visits</w:t>
      </w:r>
      <w:r>
        <w:rPr>
          <w:spacing w:val="-2"/>
          <w:sz w:val="18"/>
        </w:rPr>
        <w:t xml:space="preserve"> </w:t>
      </w:r>
      <w:r>
        <w:rPr>
          <w:sz w:val="18"/>
        </w:rPr>
        <w:t>and</w:t>
      </w:r>
      <w:r>
        <w:rPr>
          <w:spacing w:val="-5"/>
          <w:sz w:val="18"/>
        </w:rPr>
        <w:t xml:space="preserve"> </w:t>
      </w:r>
      <w:r>
        <w:rPr>
          <w:sz w:val="18"/>
        </w:rPr>
        <w:t>cultural</w:t>
      </w:r>
      <w:r>
        <w:rPr>
          <w:spacing w:val="-4"/>
          <w:sz w:val="18"/>
        </w:rPr>
        <w:t xml:space="preserve"> </w:t>
      </w:r>
      <w:r>
        <w:rPr>
          <w:sz w:val="18"/>
        </w:rPr>
        <w:t>immersion,</w:t>
      </w:r>
      <w:r>
        <w:rPr>
          <w:spacing w:val="-3"/>
          <w:sz w:val="18"/>
        </w:rPr>
        <w:t xml:space="preserve"> </w:t>
      </w:r>
      <w:r>
        <w:rPr>
          <w:sz w:val="18"/>
        </w:rPr>
        <w:t>as</w:t>
      </w:r>
      <w:r>
        <w:rPr>
          <w:spacing w:val="-2"/>
          <w:sz w:val="18"/>
        </w:rPr>
        <w:t xml:space="preserve"> </w:t>
      </w:r>
      <w:r>
        <w:rPr>
          <w:sz w:val="18"/>
        </w:rPr>
        <w:t>well</w:t>
      </w:r>
      <w:r>
        <w:rPr>
          <w:spacing w:val="-1"/>
          <w:sz w:val="18"/>
        </w:rPr>
        <w:t xml:space="preserve"> </w:t>
      </w:r>
      <w:r>
        <w:rPr>
          <w:sz w:val="18"/>
        </w:rPr>
        <w:t>is</w:t>
      </w:r>
      <w:r>
        <w:rPr>
          <w:spacing w:val="-2"/>
          <w:sz w:val="18"/>
        </w:rPr>
        <w:t xml:space="preserve"> </w:t>
      </w:r>
      <w:r>
        <w:rPr>
          <w:sz w:val="18"/>
        </w:rPr>
        <w:t>IELTS</w:t>
      </w:r>
      <w:r>
        <w:rPr>
          <w:spacing w:val="-3"/>
          <w:sz w:val="18"/>
        </w:rPr>
        <w:t xml:space="preserve"> </w:t>
      </w:r>
      <w:r>
        <w:rPr>
          <w:sz w:val="18"/>
        </w:rPr>
        <w:t>and</w:t>
      </w:r>
      <w:r>
        <w:rPr>
          <w:spacing w:val="-2"/>
          <w:sz w:val="18"/>
        </w:rPr>
        <w:t xml:space="preserve"> </w:t>
      </w:r>
      <w:r>
        <w:rPr>
          <w:sz w:val="18"/>
        </w:rPr>
        <w:t>other</w:t>
      </w:r>
      <w:r>
        <w:rPr>
          <w:spacing w:val="-2"/>
          <w:sz w:val="18"/>
        </w:rPr>
        <w:t xml:space="preserve"> </w:t>
      </w:r>
      <w:r>
        <w:rPr>
          <w:sz w:val="18"/>
        </w:rPr>
        <w:t>English-language</w:t>
      </w:r>
      <w:r>
        <w:rPr>
          <w:spacing w:val="-5"/>
          <w:sz w:val="18"/>
        </w:rPr>
        <w:t xml:space="preserve"> </w:t>
      </w:r>
      <w:r>
        <w:rPr>
          <w:sz w:val="18"/>
        </w:rPr>
        <w:t>assessment</w:t>
      </w:r>
      <w:r>
        <w:rPr>
          <w:spacing w:val="-5"/>
          <w:sz w:val="18"/>
        </w:rPr>
        <w:t xml:space="preserve"> </w:t>
      </w:r>
      <w:r>
        <w:rPr>
          <w:sz w:val="18"/>
        </w:rPr>
        <w:t>tests.</w:t>
      </w:r>
    </w:p>
    <w:p w14:paraId="1612632A" w14:textId="77777777" w:rsidR="00FA4AA8" w:rsidRDefault="0015611F">
      <w:pPr>
        <w:pStyle w:val="ListParagraph"/>
        <w:numPr>
          <w:ilvl w:val="0"/>
          <w:numId w:val="1"/>
        </w:numPr>
        <w:tabs>
          <w:tab w:val="left" w:pos="980"/>
          <w:tab w:val="left" w:pos="981"/>
        </w:tabs>
        <w:ind w:right="271"/>
        <w:rPr>
          <w:sz w:val="18"/>
        </w:rPr>
      </w:pPr>
      <w:r>
        <w:rPr>
          <w:sz w:val="18"/>
        </w:rPr>
        <w:t>Professional and Community Programs which delivers VET sector courses, acts as the College Registered Training Organisation (RTO), and conducts Property and Trust Management, SKILLMAX and HSC preparation</w:t>
      </w:r>
      <w:r>
        <w:rPr>
          <w:spacing w:val="-3"/>
          <w:sz w:val="18"/>
        </w:rPr>
        <w:t xml:space="preserve"> </w:t>
      </w:r>
      <w:r>
        <w:rPr>
          <w:sz w:val="18"/>
        </w:rPr>
        <w:t>courses.</w:t>
      </w:r>
    </w:p>
    <w:p w14:paraId="5A72FF79" w14:textId="77777777" w:rsidR="00FA4AA8" w:rsidRDefault="00FA4AA8">
      <w:pPr>
        <w:pStyle w:val="BodyText"/>
        <w:spacing w:before="8"/>
        <w:rPr>
          <w:sz w:val="17"/>
        </w:rPr>
      </w:pPr>
    </w:p>
    <w:p w14:paraId="08BFAE29" w14:textId="77777777" w:rsidR="00FA4AA8" w:rsidRDefault="0015611F">
      <w:pPr>
        <w:pStyle w:val="BodyText"/>
        <w:ind w:left="260" w:right="885"/>
      </w:pPr>
      <w:r>
        <w:t>During the 2018 financial year the company undertook numerous strategic projects in accordance with the company’s overall objectives and principal activities.</w:t>
      </w:r>
    </w:p>
    <w:p w14:paraId="3C890F45" w14:textId="77777777" w:rsidR="00FA4AA8" w:rsidRDefault="00FA4AA8">
      <w:pPr>
        <w:pStyle w:val="BodyText"/>
        <w:spacing w:before="9"/>
        <w:rPr>
          <w:sz w:val="17"/>
        </w:rPr>
      </w:pPr>
    </w:p>
    <w:p w14:paraId="711BA2A1" w14:textId="77777777" w:rsidR="00FA4AA8" w:rsidRDefault="0015611F">
      <w:pPr>
        <w:pStyle w:val="BodyText"/>
        <w:ind w:left="260"/>
      </w:pPr>
      <w:r>
        <w:rPr>
          <w:u w:val="single"/>
        </w:rPr>
        <w:t>Performance Measures</w:t>
      </w:r>
    </w:p>
    <w:p w14:paraId="4C3AEF27" w14:textId="77777777" w:rsidR="00FA4AA8" w:rsidRDefault="0015611F">
      <w:pPr>
        <w:pStyle w:val="BodyText"/>
        <w:spacing w:before="2" w:line="207" w:lineRule="exact"/>
        <w:ind w:left="260"/>
      </w:pPr>
      <w:r>
        <w:t>The performance measures of the Company are both financial and non-financial:</w:t>
      </w:r>
    </w:p>
    <w:p w14:paraId="0BF57DF8" w14:textId="77777777" w:rsidR="00FA4AA8" w:rsidRDefault="0015611F">
      <w:pPr>
        <w:pStyle w:val="ListParagraph"/>
        <w:numPr>
          <w:ilvl w:val="0"/>
          <w:numId w:val="1"/>
        </w:numPr>
        <w:tabs>
          <w:tab w:val="left" w:pos="979"/>
          <w:tab w:val="left" w:pos="980"/>
        </w:tabs>
        <w:ind w:left="979" w:right="276"/>
        <w:rPr>
          <w:sz w:val="18"/>
        </w:rPr>
      </w:pPr>
      <w:r>
        <w:rPr>
          <w:sz w:val="18"/>
        </w:rPr>
        <w:t>The Extended Diploma Program provides some challenges in the prediction of load/revenue for the year. Other Academic Pathway Programs performed below expected</w:t>
      </w:r>
      <w:r>
        <w:rPr>
          <w:spacing w:val="-4"/>
          <w:sz w:val="18"/>
        </w:rPr>
        <w:t xml:space="preserve"> </w:t>
      </w:r>
      <w:r>
        <w:rPr>
          <w:sz w:val="18"/>
        </w:rPr>
        <w:t>projections.</w:t>
      </w:r>
    </w:p>
    <w:p w14:paraId="63EE3B8E" w14:textId="77777777" w:rsidR="00FA4AA8" w:rsidRDefault="0015611F">
      <w:pPr>
        <w:pStyle w:val="ListParagraph"/>
        <w:numPr>
          <w:ilvl w:val="0"/>
          <w:numId w:val="1"/>
        </w:numPr>
        <w:tabs>
          <w:tab w:val="left" w:pos="980"/>
          <w:tab w:val="left" w:pos="981"/>
        </w:tabs>
        <w:ind w:right="529"/>
        <w:rPr>
          <w:sz w:val="18"/>
        </w:rPr>
      </w:pPr>
      <w:r>
        <w:rPr>
          <w:sz w:val="18"/>
        </w:rPr>
        <w:t>Shift towards International College as preferred provider for international pathways along with general decrease in international enrolments is having an impact on</w:t>
      </w:r>
      <w:r>
        <w:rPr>
          <w:spacing w:val="-3"/>
          <w:sz w:val="18"/>
        </w:rPr>
        <w:t xml:space="preserve"> </w:t>
      </w:r>
      <w:r>
        <w:rPr>
          <w:sz w:val="18"/>
        </w:rPr>
        <w:t>income.</w:t>
      </w:r>
    </w:p>
    <w:p w14:paraId="456F93B9" w14:textId="77777777" w:rsidR="00FA4AA8" w:rsidRDefault="0015611F">
      <w:pPr>
        <w:pStyle w:val="ListParagraph"/>
        <w:numPr>
          <w:ilvl w:val="0"/>
          <w:numId w:val="1"/>
        </w:numPr>
        <w:tabs>
          <w:tab w:val="left" w:pos="980"/>
          <w:tab w:val="left" w:pos="981"/>
        </w:tabs>
        <w:spacing w:line="218" w:lineRule="exact"/>
        <w:ind w:hanging="361"/>
        <w:rPr>
          <w:sz w:val="18"/>
        </w:rPr>
      </w:pPr>
      <w:r>
        <w:rPr>
          <w:sz w:val="18"/>
        </w:rPr>
        <w:t>English Programs continue to be affected by Visa</w:t>
      </w:r>
      <w:r>
        <w:rPr>
          <w:spacing w:val="-4"/>
          <w:sz w:val="18"/>
        </w:rPr>
        <w:t xml:space="preserve"> </w:t>
      </w:r>
      <w:r>
        <w:rPr>
          <w:sz w:val="18"/>
        </w:rPr>
        <w:t>issues.</w:t>
      </w:r>
    </w:p>
    <w:p w14:paraId="6482F194" w14:textId="77777777" w:rsidR="00FA4AA8" w:rsidRDefault="00FA4AA8">
      <w:pPr>
        <w:pStyle w:val="BodyText"/>
      </w:pPr>
    </w:p>
    <w:tbl>
      <w:tblPr>
        <w:tblW w:w="0" w:type="auto"/>
        <w:tblInd w:w="2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18"/>
        <w:gridCol w:w="1985"/>
        <w:gridCol w:w="1983"/>
        <w:gridCol w:w="1702"/>
      </w:tblGrid>
      <w:tr w:rsidR="00FA4AA8" w14:paraId="488EB6D1" w14:textId="77777777">
        <w:trPr>
          <w:trHeight w:val="580"/>
        </w:trPr>
        <w:tc>
          <w:tcPr>
            <w:tcW w:w="3418" w:type="dxa"/>
          </w:tcPr>
          <w:p w14:paraId="0E7A9EA6" w14:textId="77777777" w:rsidR="00FA4AA8" w:rsidRDefault="00FA4AA8">
            <w:pPr>
              <w:pStyle w:val="TableParagraph"/>
              <w:spacing w:before="11"/>
              <w:rPr>
                <w:sz w:val="15"/>
              </w:rPr>
            </w:pPr>
          </w:p>
          <w:p w14:paraId="1124FEA7" w14:textId="77777777" w:rsidR="00FA4AA8" w:rsidRDefault="0015611F">
            <w:pPr>
              <w:pStyle w:val="TableParagraph"/>
              <w:ind w:left="107"/>
              <w:rPr>
                <w:b/>
                <w:i/>
                <w:sz w:val="18"/>
              </w:rPr>
            </w:pPr>
            <w:r>
              <w:rPr>
                <w:b/>
                <w:i/>
                <w:sz w:val="18"/>
              </w:rPr>
              <w:t>Category</w:t>
            </w:r>
          </w:p>
        </w:tc>
        <w:tc>
          <w:tcPr>
            <w:tcW w:w="1985" w:type="dxa"/>
          </w:tcPr>
          <w:p w14:paraId="534A16EC" w14:textId="77777777" w:rsidR="00FA4AA8" w:rsidRDefault="00FA4AA8">
            <w:pPr>
              <w:pStyle w:val="TableParagraph"/>
              <w:spacing w:before="11"/>
              <w:rPr>
                <w:sz w:val="15"/>
              </w:rPr>
            </w:pPr>
          </w:p>
          <w:p w14:paraId="5C5E35CC" w14:textId="77777777" w:rsidR="00FA4AA8" w:rsidRDefault="0015611F">
            <w:pPr>
              <w:pStyle w:val="TableParagraph"/>
              <w:ind w:right="38"/>
              <w:jc w:val="right"/>
              <w:rPr>
                <w:b/>
                <w:i/>
                <w:sz w:val="18"/>
              </w:rPr>
            </w:pPr>
            <w:r>
              <w:rPr>
                <w:b/>
                <w:i/>
                <w:sz w:val="18"/>
              </w:rPr>
              <w:t>FY 2018 Actual</w:t>
            </w:r>
          </w:p>
        </w:tc>
        <w:tc>
          <w:tcPr>
            <w:tcW w:w="1983" w:type="dxa"/>
          </w:tcPr>
          <w:p w14:paraId="2542B9B0" w14:textId="77777777" w:rsidR="00FA4AA8" w:rsidRDefault="00FA4AA8">
            <w:pPr>
              <w:pStyle w:val="TableParagraph"/>
              <w:spacing w:before="11"/>
              <w:rPr>
                <w:sz w:val="15"/>
              </w:rPr>
            </w:pPr>
          </w:p>
          <w:p w14:paraId="0BDA61F8" w14:textId="77777777" w:rsidR="00FA4AA8" w:rsidRDefault="0015611F">
            <w:pPr>
              <w:pStyle w:val="TableParagraph"/>
              <w:ind w:right="37"/>
              <w:jc w:val="right"/>
              <w:rPr>
                <w:b/>
                <w:i/>
                <w:sz w:val="18"/>
              </w:rPr>
            </w:pPr>
            <w:r>
              <w:rPr>
                <w:b/>
                <w:i/>
                <w:sz w:val="18"/>
              </w:rPr>
              <w:t>Annual 2018 Budget</w:t>
            </w:r>
          </w:p>
        </w:tc>
        <w:tc>
          <w:tcPr>
            <w:tcW w:w="1702" w:type="dxa"/>
          </w:tcPr>
          <w:p w14:paraId="53ED1014" w14:textId="77777777" w:rsidR="00FA4AA8" w:rsidRDefault="0015611F">
            <w:pPr>
              <w:pStyle w:val="TableParagraph"/>
              <w:spacing w:before="80"/>
              <w:ind w:left="867" w:right="24" w:hanging="183"/>
              <w:rPr>
                <w:b/>
                <w:i/>
                <w:sz w:val="18"/>
              </w:rPr>
            </w:pPr>
            <w:r>
              <w:rPr>
                <w:b/>
                <w:i/>
                <w:sz w:val="18"/>
              </w:rPr>
              <w:t>% Full year achieved</w:t>
            </w:r>
          </w:p>
        </w:tc>
      </w:tr>
      <w:tr w:rsidR="00FA4AA8" w14:paraId="5A122AE1" w14:textId="77777777">
        <w:trPr>
          <w:trHeight w:val="270"/>
        </w:trPr>
        <w:tc>
          <w:tcPr>
            <w:tcW w:w="3418" w:type="dxa"/>
          </w:tcPr>
          <w:p w14:paraId="26084AD1" w14:textId="77777777" w:rsidR="00FA4AA8" w:rsidRDefault="0015611F">
            <w:pPr>
              <w:pStyle w:val="TableParagraph"/>
              <w:spacing w:before="63" w:line="187" w:lineRule="exact"/>
              <w:ind w:left="107"/>
              <w:rPr>
                <w:sz w:val="18"/>
              </w:rPr>
            </w:pPr>
            <w:r>
              <w:rPr>
                <w:sz w:val="18"/>
              </w:rPr>
              <w:t>Revenue</w:t>
            </w:r>
          </w:p>
        </w:tc>
        <w:tc>
          <w:tcPr>
            <w:tcW w:w="1985" w:type="dxa"/>
          </w:tcPr>
          <w:p w14:paraId="272AF411" w14:textId="77777777" w:rsidR="00FA4AA8" w:rsidRDefault="0015611F">
            <w:pPr>
              <w:pStyle w:val="TableParagraph"/>
              <w:spacing w:before="63" w:line="187" w:lineRule="exact"/>
              <w:ind w:right="38"/>
              <w:jc w:val="right"/>
              <w:rPr>
                <w:sz w:val="18"/>
              </w:rPr>
            </w:pPr>
            <w:r>
              <w:rPr>
                <w:sz w:val="18"/>
              </w:rPr>
              <w:t>$60,922,949</w:t>
            </w:r>
          </w:p>
        </w:tc>
        <w:tc>
          <w:tcPr>
            <w:tcW w:w="1983" w:type="dxa"/>
          </w:tcPr>
          <w:p w14:paraId="35E1F63C" w14:textId="77777777" w:rsidR="00FA4AA8" w:rsidRDefault="0015611F">
            <w:pPr>
              <w:pStyle w:val="TableParagraph"/>
              <w:spacing w:before="63" w:line="187" w:lineRule="exact"/>
              <w:ind w:right="37"/>
              <w:jc w:val="right"/>
              <w:rPr>
                <w:sz w:val="18"/>
              </w:rPr>
            </w:pPr>
            <w:r>
              <w:rPr>
                <w:sz w:val="18"/>
              </w:rPr>
              <w:t>$63,656,631</w:t>
            </w:r>
          </w:p>
        </w:tc>
        <w:tc>
          <w:tcPr>
            <w:tcW w:w="1702" w:type="dxa"/>
          </w:tcPr>
          <w:p w14:paraId="38B02F45" w14:textId="77777777" w:rsidR="00FA4AA8" w:rsidRDefault="0015611F">
            <w:pPr>
              <w:pStyle w:val="TableParagraph"/>
              <w:spacing w:before="63" w:line="187" w:lineRule="exact"/>
              <w:ind w:right="40"/>
              <w:jc w:val="right"/>
              <w:rPr>
                <w:sz w:val="18"/>
              </w:rPr>
            </w:pPr>
            <w:r>
              <w:rPr>
                <w:w w:val="95"/>
                <w:sz w:val="18"/>
              </w:rPr>
              <w:t>96%</w:t>
            </w:r>
          </w:p>
        </w:tc>
      </w:tr>
      <w:tr w:rsidR="00FA4AA8" w14:paraId="4467E809" w14:textId="77777777">
        <w:trPr>
          <w:trHeight w:val="270"/>
        </w:trPr>
        <w:tc>
          <w:tcPr>
            <w:tcW w:w="3418" w:type="dxa"/>
          </w:tcPr>
          <w:p w14:paraId="0603D827" w14:textId="77777777" w:rsidR="00FA4AA8" w:rsidRDefault="0015611F">
            <w:pPr>
              <w:pStyle w:val="TableParagraph"/>
              <w:spacing w:before="61" w:line="189" w:lineRule="exact"/>
              <w:ind w:left="107"/>
              <w:rPr>
                <w:sz w:val="18"/>
              </w:rPr>
            </w:pPr>
            <w:r>
              <w:rPr>
                <w:sz w:val="18"/>
              </w:rPr>
              <w:t>Expenses</w:t>
            </w:r>
          </w:p>
        </w:tc>
        <w:tc>
          <w:tcPr>
            <w:tcW w:w="1985" w:type="dxa"/>
          </w:tcPr>
          <w:p w14:paraId="5C87FE8C" w14:textId="77777777" w:rsidR="00FA4AA8" w:rsidRDefault="0015611F">
            <w:pPr>
              <w:pStyle w:val="TableParagraph"/>
              <w:spacing w:before="61" w:line="189" w:lineRule="exact"/>
              <w:ind w:right="38"/>
              <w:jc w:val="right"/>
              <w:rPr>
                <w:sz w:val="18"/>
              </w:rPr>
            </w:pPr>
            <w:r>
              <w:rPr>
                <w:sz w:val="18"/>
              </w:rPr>
              <w:t>$60,922,949</w:t>
            </w:r>
          </w:p>
        </w:tc>
        <w:tc>
          <w:tcPr>
            <w:tcW w:w="1983" w:type="dxa"/>
          </w:tcPr>
          <w:p w14:paraId="683D2B68" w14:textId="77777777" w:rsidR="00FA4AA8" w:rsidRDefault="0015611F">
            <w:pPr>
              <w:pStyle w:val="TableParagraph"/>
              <w:spacing w:before="61" w:line="189" w:lineRule="exact"/>
              <w:ind w:right="37"/>
              <w:jc w:val="right"/>
              <w:rPr>
                <w:sz w:val="18"/>
              </w:rPr>
            </w:pPr>
            <w:r>
              <w:rPr>
                <w:sz w:val="18"/>
              </w:rPr>
              <w:t>$63,656,631</w:t>
            </w:r>
          </w:p>
        </w:tc>
        <w:tc>
          <w:tcPr>
            <w:tcW w:w="1702" w:type="dxa"/>
          </w:tcPr>
          <w:p w14:paraId="0DB719DD" w14:textId="77777777" w:rsidR="00FA4AA8" w:rsidRDefault="0015611F">
            <w:pPr>
              <w:pStyle w:val="TableParagraph"/>
              <w:spacing w:before="61" w:line="189" w:lineRule="exact"/>
              <w:ind w:right="40"/>
              <w:jc w:val="right"/>
              <w:rPr>
                <w:sz w:val="18"/>
              </w:rPr>
            </w:pPr>
            <w:r>
              <w:rPr>
                <w:w w:val="95"/>
                <w:sz w:val="18"/>
              </w:rPr>
              <w:t>96%</w:t>
            </w:r>
          </w:p>
        </w:tc>
      </w:tr>
      <w:tr w:rsidR="00FA4AA8" w14:paraId="29583CF1" w14:textId="77777777">
        <w:trPr>
          <w:trHeight w:val="270"/>
        </w:trPr>
        <w:tc>
          <w:tcPr>
            <w:tcW w:w="3418" w:type="dxa"/>
          </w:tcPr>
          <w:p w14:paraId="613D7650" w14:textId="77777777" w:rsidR="00FA4AA8" w:rsidRDefault="0015611F">
            <w:pPr>
              <w:pStyle w:val="TableParagraph"/>
              <w:spacing w:before="56" w:line="194" w:lineRule="exact"/>
              <w:ind w:left="107"/>
              <w:rPr>
                <w:b/>
                <w:sz w:val="18"/>
              </w:rPr>
            </w:pPr>
            <w:r>
              <w:rPr>
                <w:b/>
                <w:sz w:val="18"/>
              </w:rPr>
              <w:t>Operating Surplus</w:t>
            </w:r>
          </w:p>
        </w:tc>
        <w:tc>
          <w:tcPr>
            <w:tcW w:w="1985" w:type="dxa"/>
          </w:tcPr>
          <w:p w14:paraId="0DF0BB20" w14:textId="77777777" w:rsidR="00FA4AA8" w:rsidRDefault="0015611F">
            <w:pPr>
              <w:pStyle w:val="TableParagraph"/>
              <w:spacing w:before="56" w:line="194" w:lineRule="exact"/>
              <w:ind w:right="40"/>
              <w:jc w:val="right"/>
              <w:rPr>
                <w:b/>
                <w:sz w:val="18"/>
              </w:rPr>
            </w:pPr>
            <w:r>
              <w:rPr>
                <w:b/>
                <w:w w:val="95"/>
                <w:sz w:val="18"/>
              </w:rPr>
              <w:t>$0</w:t>
            </w:r>
          </w:p>
        </w:tc>
        <w:tc>
          <w:tcPr>
            <w:tcW w:w="1983" w:type="dxa"/>
          </w:tcPr>
          <w:p w14:paraId="674768DB" w14:textId="77777777" w:rsidR="00FA4AA8" w:rsidRDefault="0015611F">
            <w:pPr>
              <w:pStyle w:val="TableParagraph"/>
              <w:spacing w:before="56" w:line="194" w:lineRule="exact"/>
              <w:ind w:right="37"/>
              <w:jc w:val="right"/>
              <w:rPr>
                <w:b/>
                <w:sz w:val="18"/>
              </w:rPr>
            </w:pPr>
            <w:r>
              <w:rPr>
                <w:b/>
                <w:w w:val="95"/>
                <w:sz w:val="18"/>
              </w:rPr>
              <w:t>$0</w:t>
            </w:r>
          </w:p>
        </w:tc>
        <w:tc>
          <w:tcPr>
            <w:tcW w:w="1702" w:type="dxa"/>
          </w:tcPr>
          <w:p w14:paraId="398E762C" w14:textId="77777777" w:rsidR="00FA4AA8" w:rsidRDefault="0015611F">
            <w:pPr>
              <w:pStyle w:val="TableParagraph"/>
              <w:spacing w:before="61" w:line="189" w:lineRule="exact"/>
              <w:ind w:right="40"/>
              <w:jc w:val="right"/>
              <w:rPr>
                <w:sz w:val="18"/>
              </w:rPr>
            </w:pPr>
            <w:r>
              <w:rPr>
                <w:w w:val="95"/>
                <w:sz w:val="18"/>
              </w:rPr>
              <w:t>0%</w:t>
            </w:r>
          </w:p>
        </w:tc>
      </w:tr>
      <w:tr w:rsidR="00FA4AA8" w14:paraId="0E7CF2ED" w14:textId="77777777">
        <w:trPr>
          <w:trHeight w:val="205"/>
        </w:trPr>
        <w:tc>
          <w:tcPr>
            <w:tcW w:w="3418" w:type="dxa"/>
          </w:tcPr>
          <w:p w14:paraId="3926C3EA" w14:textId="77777777" w:rsidR="00FA4AA8" w:rsidRDefault="0015611F">
            <w:pPr>
              <w:pStyle w:val="TableParagraph"/>
              <w:spacing w:line="186" w:lineRule="exact"/>
              <w:ind w:left="107"/>
              <w:rPr>
                <w:sz w:val="18"/>
              </w:rPr>
            </w:pPr>
            <w:r>
              <w:rPr>
                <w:sz w:val="18"/>
              </w:rPr>
              <w:t>Accumulated Retained Earnings</w:t>
            </w:r>
          </w:p>
        </w:tc>
        <w:tc>
          <w:tcPr>
            <w:tcW w:w="1985" w:type="dxa"/>
          </w:tcPr>
          <w:p w14:paraId="1F36C419" w14:textId="77777777" w:rsidR="00FA4AA8" w:rsidRDefault="0015611F">
            <w:pPr>
              <w:pStyle w:val="TableParagraph"/>
              <w:spacing w:line="186" w:lineRule="exact"/>
              <w:ind w:right="39"/>
              <w:jc w:val="right"/>
              <w:rPr>
                <w:sz w:val="18"/>
              </w:rPr>
            </w:pPr>
            <w:r>
              <w:rPr>
                <w:sz w:val="18"/>
              </w:rPr>
              <w:t>$6,765,448</w:t>
            </w:r>
          </w:p>
        </w:tc>
        <w:tc>
          <w:tcPr>
            <w:tcW w:w="1983" w:type="dxa"/>
          </w:tcPr>
          <w:p w14:paraId="130DAFA1" w14:textId="77777777" w:rsidR="00FA4AA8" w:rsidRDefault="00FA4AA8">
            <w:pPr>
              <w:pStyle w:val="TableParagraph"/>
              <w:rPr>
                <w:rFonts w:ascii="Times New Roman"/>
                <w:sz w:val="14"/>
              </w:rPr>
            </w:pPr>
          </w:p>
        </w:tc>
        <w:tc>
          <w:tcPr>
            <w:tcW w:w="1702" w:type="dxa"/>
          </w:tcPr>
          <w:p w14:paraId="0F175DFA" w14:textId="77777777" w:rsidR="00FA4AA8" w:rsidRDefault="00FA4AA8">
            <w:pPr>
              <w:pStyle w:val="TableParagraph"/>
              <w:rPr>
                <w:rFonts w:ascii="Times New Roman"/>
                <w:sz w:val="14"/>
              </w:rPr>
            </w:pPr>
          </w:p>
        </w:tc>
      </w:tr>
    </w:tbl>
    <w:p w14:paraId="6A801CED" w14:textId="77777777" w:rsidR="00FA4AA8" w:rsidRDefault="00FA4AA8">
      <w:pPr>
        <w:rPr>
          <w:rFonts w:ascii="Times New Roman"/>
          <w:sz w:val="14"/>
        </w:rPr>
        <w:sectPr w:rsidR="00FA4AA8">
          <w:headerReference w:type="default" r:id="rId328"/>
          <w:footerReference w:type="default" r:id="rId329"/>
          <w:pgSz w:w="11910" w:h="16840"/>
          <w:pgMar w:top="1580" w:right="1140" w:bottom="720" w:left="1180" w:header="0" w:footer="523" w:gutter="0"/>
          <w:pgNumType w:start="253"/>
          <w:cols w:space="720"/>
        </w:sectPr>
      </w:pPr>
    </w:p>
    <w:p w14:paraId="4FE29E17" w14:textId="77777777" w:rsidR="00FA4AA8" w:rsidRDefault="0015611F">
      <w:pPr>
        <w:pStyle w:val="BodyText"/>
        <w:spacing w:before="80" w:line="207" w:lineRule="exact"/>
        <w:ind w:left="260"/>
      </w:pPr>
      <w:r>
        <w:rPr>
          <w:u w:val="single"/>
        </w:rPr>
        <w:t>Management and Operations</w:t>
      </w:r>
    </w:p>
    <w:p w14:paraId="43D7CB12" w14:textId="77777777" w:rsidR="00FA4AA8" w:rsidRDefault="0015611F">
      <w:pPr>
        <w:pStyle w:val="BodyText"/>
        <w:ind w:left="260" w:right="265"/>
      </w:pPr>
      <w:r>
        <w:t>Western Sydney University Enterprises Pty Limited (trading as Western Sydney University The College) is a wholly owned entity of the of Western Sydney University. An independent Board of Directors is responsible for the overall operations of the company and the day to day activities are managed by a Chief Executive Officer.</w:t>
      </w:r>
    </w:p>
    <w:p w14:paraId="48964EE6" w14:textId="77777777" w:rsidR="00FA4AA8" w:rsidRDefault="0015611F">
      <w:pPr>
        <w:pStyle w:val="BodyText"/>
        <w:spacing w:before="121"/>
        <w:ind w:left="260" w:right="355"/>
      </w:pPr>
      <w:r>
        <w:t>The Board has oversight of the Academic Advisory Committee and the English and Professional and Community Programs Academic Advisory Committee. An Audit Committee of the Board was established in 2010 and has made a significant contribution to financial monitoring and reporting within the organisation.</w:t>
      </w:r>
    </w:p>
    <w:p w14:paraId="495DB3D5" w14:textId="77777777" w:rsidR="00FA4AA8" w:rsidRDefault="00FA4AA8">
      <w:pPr>
        <w:pStyle w:val="BodyText"/>
        <w:spacing w:before="9"/>
        <w:rPr>
          <w:sz w:val="27"/>
        </w:rPr>
      </w:pPr>
    </w:p>
    <w:p w14:paraId="2AC8C9E6" w14:textId="77777777" w:rsidR="00FA4AA8" w:rsidRDefault="0015611F">
      <w:pPr>
        <w:pStyle w:val="Heading2"/>
        <w:spacing w:before="0"/>
        <w:ind w:left="260"/>
      </w:pPr>
      <w:r>
        <w:t>Whitlam Institute within Western Sydney University Limited</w:t>
      </w:r>
    </w:p>
    <w:p w14:paraId="73F63606" w14:textId="77777777" w:rsidR="00FA4AA8" w:rsidRDefault="0015611F">
      <w:pPr>
        <w:pStyle w:val="BodyText"/>
        <w:spacing w:before="122" w:line="207" w:lineRule="exact"/>
        <w:ind w:left="260"/>
      </w:pPr>
      <w:r>
        <w:rPr>
          <w:u w:val="single"/>
        </w:rPr>
        <w:t>Principal Objectives</w:t>
      </w:r>
    </w:p>
    <w:p w14:paraId="47836A3B" w14:textId="77777777" w:rsidR="00FA4AA8" w:rsidRDefault="0015611F">
      <w:pPr>
        <w:pStyle w:val="BodyText"/>
        <w:ind w:left="260" w:right="335"/>
      </w:pPr>
      <w:r>
        <w:t>The Whitlam Institute is a trustee of the Whitlam Institute within Western Sydney University Trust which was established by agreement between Western Sydney University and the Hon EG Whitlam in 2000. Its spirit is best captured in Gough’s own words when signing the Deed of Gift:</w:t>
      </w:r>
    </w:p>
    <w:p w14:paraId="178F4290" w14:textId="77777777" w:rsidR="00FA4AA8" w:rsidRDefault="00FA4AA8">
      <w:pPr>
        <w:pStyle w:val="BodyText"/>
        <w:spacing w:before="9"/>
        <w:rPr>
          <w:sz w:val="17"/>
        </w:rPr>
      </w:pPr>
    </w:p>
    <w:p w14:paraId="6DF93BB7" w14:textId="77777777" w:rsidR="00FA4AA8" w:rsidRDefault="0015611F">
      <w:pPr>
        <w:ind w:left="259" w:right="256"/>
        <w:rPr>
          <w:i/>
          <w:sz w:val="18"/>
        </w:rPr>
      </w:pPr>
      <w:r>
        <w:rPr>
          <w:i/>
          <w:sz w:val="18"/>
        </w:rPr>
        <w:t>‘The greatest contribution that I hope to bestow is inspiration. That the work and causes championed in my parliamentary career and the statesman service that followed, will provide the basis for ongoing research and advocacy from this university into the contemporary challenges that confront and can improve the quality of life for all Australians.’[December 2003]</w:t>
      </w:r>
    </w:p>
    <w:p w14:paraId="0D74DE89" w14:textId="77777777" w:rsidR="00FA4AA8" w:rsidRDefault="0015611F">
      <w:pPr>
        <w:pStyle w:val="BodyText"/>
        <w:spacing w:before="123" w:line="207" w:lineRule="exact"/>
        <w:ind w:left="260"/>
      </w:pPr>
      <w:r>
        <w:rPr>
          <w:u w:val="single"/>
        </w:rPr>
        <w:t>Principal Activities and Strategic Projects</w:t>
      </w:r>
    </w:p>
    <w:p w14:paraId="5789D568" w14:textId="77777777" w:rsidR="00FA4AA8" w:rsidRDefault="0015611F">
      <w:pPr>
        <w:pStyle w:val="BodyText"/>
        <w:ind w:left="260" w:right="235"/>
      </w:pPr>
      <w:r>
        <w:t>The Whitlam Institute works as an educator, policy influencer and research institute. It is also home to the Whitlam Prime Ministerial Collection and the Whitlam Reading Room which houses selected books and papers donated by Mr. Whitlam. The collection provides on-line access to papers held both at the Institute and in the National Archives. It maintains an active public education program.</w:t>
      </w:r>
    </w:p>
    <w:p w14:paraId="5DCCD3FE" w14:textId="77777777" w:rsidR="00FA4AA8" w:rsidRDefault="00FA4AA8">
      <w:pPr>
        <w:pStyle w:val="BodyText"/>
        <w:spacing w:before="1"/>
      </w:pPr>
    </w:p>
    <w:p w14:paraId="15ED8F9E" w14:textId="77777777" w:rsidR="00FA4AA8" w:rsidRDefault="0015611F">
      <w:pPr>
        <w:pStyle w:val="BodyText"/>
        <w:ind w:left="260" w:right="545"/>
      </w:pPr>
      <w:r>
        <w:t>The Institute's strategic program continues to expand in accordance with the intentions outlined in its current Strategic Plan 2016-2018 and subsequently amended in the mid-term review. The strategic priorities focus on:</w:t>
      </w:r>
    </w:p>
    <w:p w14:paraId="55AB59CB" w14:textId="77777777" w:rsidR="00FA4AA8" w:rsidRDefault="00FA4AA8">
      <w:pPr>
        <w:pStyle w:val="BodyText"/>
        <w:spacing w:before="10"/>
        <w:rPr>
          <w:sz w:val="17"/>
        </w:rPr>
      </w:pPr>
    </w:p>
    <w:p w14:paraId="29A09FD5" w14:textId="77777777" w:rsidR="00FA4AA8" w:rsidRDefault="0015611F">
      <w:pPr>
        <w:pStyle w:val="ListParagraph"/>
        <w:numPr>
          <w:ilvl w:val="0"/>
          <w:numId w:val="1"/>
        </w:numPr>
        <w:tabs>
          <w:tab w:val="left" w:pos="969"/>
        </w:tabs>
        <w:ind w:left="968" w:hanging="282"/>
        <w:rPr>
          <w:sz w:val="18"/>
        </w:rPr>
      </w:pPr>
      <w:r>
        <w:rPr>
          <w:sz w:val="18"/>
        </w:rPr>
        <w:t>The historical</w:t>
      </w:r>
      <w:r>
        <w:rPr>
          <w:spacing w:val="1"/>
          <w:sz w:val="18"/>
        </w:rPr>
        <w:t xml:space="preserve"> </w:t>
      </w:r>
      <w:r>
        <w:rPr>
          <w:sz w:val="18"/>
        </w:rPr>
        <w:t>legacy;</w:t>
      </w:r>
    </w:p>
    <w:p w14:paraId="1220751D" w14:textId="77777777" w:rsidR="00FA4AA8" w:rsidRDefault="0015611F">
      <w:pPr>
        <w:pStyle w:val="ListParagraph"/>
        <w:numPr>
          <w:ilvl w:val="0"/>
          <w:numId w:val="1"/>
        </w:numPr>
        <w:tabs>
          <w:tab w:val="left" w:pos="969"/>
        </w:tabs>
        <w:spacing w:line="219" w:lineRule="exact"/>
        <w:ind w:left="968" w:hanging="282"/>
        <w:rPr>
          <w:sz w:val="18"/>
        </w:rPr>
      </w:pPr>
      <w:r>
        <w:rPr>
          <w:sz w:val="18"/>
        </w:rPr>
        <w:t>Contemporary relevance through public policy</w:t>
      </w:r>
      <w:r>
        <w:rPr>
          <w:spacing w:val="-1"/>
          <w:sz w:val="18"/>
        </w:rPr>
        <w:t xml:space="preserve"> </w:t>
      </w:r>
      <w:r>
        <w:rPr>
          <w:sz w:val="18"/>
        </w:rPr>
        <w:t>development;</w:t>
      </w:r>
    </w:p>
    <w:p w14:paraId="02399EFF" w14:textId="77777777" w:rsidR="00FA4AA8" w:rsidRDefault="0015611F">
      <w:pPr>
        <w:pStyle w:val="ListParagraph"/>
        <w:numPr>
          <w:ilvl w:val="0"/>
          <w:numId w:val="1"/>
        </w:numPr>
        <w:tabs>
          <w:tab w:val="left" w:pos="969"/>
        </w:tabs>
        <w:spacing w:line="218" w:lineRule="exact"/>
        <w:ind w:left="968" w:hanging="282"/>
        <w:rPr>
          <w:sz w:val="18"/>
        </w:rPr>
      </w:pPr>
      <w:r>
        <w:rPr>
          <w:sz w:val="18"/>
        </w:rPr>
        <w:t>The education and outreach</w:t>
      </w:r>
      <w:r>
        <w:rPr>
          <w:spacing w:val="3"/>
          <w:sz w:val="18"/>
        </w:rPr>
        <w:t xml:space="preserve"> </w:t>
      </w:r>
      <w:r>
        <w:rPr>
          <w:sz w:val="18"/>
        </w:rPr>
        <w:t>program;</w:t>
      </w:r>
    </w:p>
    <w:p w14:paraId="77955EB8" w14:textId="77777777" w:rsidR="00FA4AA8" w:rsidRDefault="0015611F">
      <w:pPr>
        <w:pStyle w:val="ListParagraph"/>
        <w:numPr>
          <w:ilvl w:val="0"/>
          <w:numId w:val="1"/>
        </w:numPr>
        <w:tabs>
          <w:tab w:val="left" w:pos="969"/>
        </w:tabs>
        <w:spacing w:line="219" w:lineRule="exact"/>
        <w:ind w:left="968" w:hanging="282"/>
        <w:rPr>
          <w:sz w:val="18"/>
        </w:rPr>
      </w:pPr>
      <w:r>
        <w:rPr>
          <w:sz w:val="18"/>
        </w:rPr>
        <w:t>Governance;</w:t>
      </w:r>
    </w:p>
    <w:p w14:paraId="385FC0FE" w14:textId="77777777" w:rsidR="00FA4AA8" w:rsidRDefault="0015611F">
      <w:pPr>
        <w:pStyle w:val="ListParagraph"/>
        <w:numPr>
          <w:ilvl w:val="0"/>
          <w:numId w:val="1"/>
        </w:numPr>
        <w:tabs>
          <w:tab w:val="left" w:pos="969"/>
        </w:tabs>
        <w:spacing w:before="1" w:line="219" w:lineRule="exact"/>
        <w:ind w:left="968" w:hanging="282"/>
        <w:rPr>
          <w:sz w:val="18"/>
        </w:rPr>
      </w:pPr>
      <w:r>
        <w:rPr>
          <w:sz w:val="18"/>
        </w:rPr>
        <w:t>Organisation;</w:t>
      </w:r>
      <w:r>
        <w:rPr>
          <w:spacing w:val="-1"/>
          <w:sz w:val="18"/>
        </w:rPr>
        <w:t xml:space="preserve"> </w:t>
      </w:r>
      <w:r>
        <w:rPr>
          <w:sz w:val="18"/>
        </w:rPr>
        <w:t>and</w:t>
      </w:r>
    </w:p>
    <w:p w14:paraId="4C7B9C53" w14:textId="77777777" w:rsidR="00FA4AA8" w:rsidRDefault="0015611F">
      <w:pPr>
        <w:pStyle w:val="ListParagraph"/>
        <w:numPr>
          <w:ilvl w:val="0"/>
          <w:numId w:val="1"/>
        </w:numPr>
        <w:tabs>
          <w:tab w:val="left" w:pos="969"/>
        </w:tabs>
        <w:spacing w:line="219" w:lineRule="exact"/>
        <w:ind w:left="968" w:hanging="282"/>
        <w:rPr>
          <w:sz w:val="18"/>
        </w:rPr>
      </w:pPr>
      <w:r>
        <w:rPr>
          <w:sz w:val="18"/>
        </w:rPr>
        <w:t>Resourcing.</w:t>
      </w:r>
    </w:p>
    <w:p w14:paraId="3D290401" w14:textId="77777777" w:rsidR="00FA4AA8" w:rsidRDefault="00FA4AA8">
      <w:pPr>
        <w:pStyle w:val="BodyText"/>
        <w:spacing w:before="8"/>
        <w:rPr>
          <w:sz w:val="17"/>
        </w:rPr>
      </w:pPr>
    </w:p>
    <w:p w14:paraId="698B6AC2" w14:textId="77777777" w:rsidR="00FA4AA8" w:rsidRDefault="0015611F">
      <w:pPr>
        <w:pStyle w:val="BodyText"/>
        <w:ind w:left="260"/>
      </w:pPr>
      <w:r>
        <w:rPr>
          <w:u w:val="single"/>
        </w:rPr>
        <w:t>Performance Measures</w:t>
      </w:r>
    </w:p>
    <w:p w14:paraId="248B90DC" w14:textId="77777777" w:rsidR="00FA4AA8" w:rsidRDefault="0015611F">
      <w:pPr>
        <w:pStyle w:val="BodyText"/>
        <w:spacing w:before="2"/>
        <w:ind w:left="259" w:right="1016"/>
      </w:pPr>
      <w:r>
        <w:t>The performance measures of the Company are primarily of a non-financial nature and are driven by the philanthropic nature of the trust and the role of the trustee.</w:t>
      </w:r>
    </w:p>
    <w:p w14:paraId="19410F7B" w14:textId="77777777" w:rsidR="00FA4AA8" w:rsidRDefault="00FA4AA8">
      <w:pPr>
        <w:pStyle w:val="BodyText"/>
        <w:spacing w:before="10"/>
        <w:rPr>
          <w:sz w:val="17"/>
        </w:rPr>
      </w:pPr>
    </w:p>
    <w:p w14:paraId="6FFBA711" w14:textId="77777777" w:rsidR="00FA4AA8" w:rsidRDefault="0015611F">
      <w:pPr>
        <w:pStyle w:val="BodyText"/>
        <w:ind w:left="260"/>
      </w:pPr>
      <w:r>
        <w:t>The Whitlam Institute is guided by the ‘three great aims’ that drove the Whitlam Program of 1972. They are</w:t>
      </w:r>
    </w:p>
    <w:p w14:paraId="244518A9" w14:textId="77777777" w:rsidR="00FA4AA8" w:rsidRDefault="0015611F">
      <w:pPr>
        <w:pStyle w:val="ListParagraph"/>
        <w:numPr>
          <w:ilvl w:val="0"/>
          <w:numId w:val="1"/>
        </w:numPr>
        <w:tabs>
          <w:tab w:val="left" w:pos="979"/>
          <w:tab w:val="left" w:pos="980"/>
        </w:tabs>
        <w:spacing w:before="2" w:line="219" w:lineRule="exact"/>
        <w:rPr>
          <w:sz w:val="18"/>
        </w:rPr>
      </w:pPr>
      <w:r>
        <w:rPr>
          <w:sz w:val="18"/>
        </w:rPr>
        <w:t>to promote</w:t>
      </w:r>
      <w:r>
        <w:rPr>
          <w:spacing w:val="-2"/>
          <w:sz w:val="18"/>
        </w:rPr>
        <w:t xml:space="preserve"> </w:t>
      </w:r>
      <w:r>
        <w:rPr>
          <w:sz w:val="18"/>
        </w:rPr>
        <w:t>equality</w:t>
      </w:r>
    </w:p>
    <w:p w14:paraId="09CFCB03" w14:textId="77777777" w:rsidR="00FA4AA8" w:rsidRDefault="0015611F">
      <w:pPr>
        <w:pStyle w:val="ListParagraph"/>
        <w:numPr>
          <w:ilvl w:val="0"/>
          <w:numId w:val="1"/>
        </w:numPr>
        <w:tabs>
          <w:tab w:val="left" w:pos="979"/>
          <w:tab w:val="left" w:pos="980"/>
        </w:tabs>
        <w:spacing w:line="218" w:lineRule="exact"/>
        <w:rPr>
          <w:sz w:val="18"/>
        </w:rPr>
      </w:pPr>
      <w:r>
        <w:rPr>
          <w:sz w:val="18"/>
        </w:rPr>
        <w:t>to involve the people of Australia in the decision-making processes of our land,</w:t>
      </w:r>
      <w:r>
        <w:rPr>
          <w:spacing w:val="-5"/>
          <w:sz w:val="18"/>
        </w:rPr>
        <w:t xml:space="preserve"> </w:t>
      </w:r>
      <w:r>
        <w:rPr>
          <w:sz w:val="18"/>
        </w:rPr>
        <w:t>and</w:t>
      </w:r>
    </w:p>
    <w:p w14:paraId="03ABEDBD" w14:textId="77777777" w:rsidR="00FA4AA8" w:rsidRDefault="0015611F">
      <w:pPr>
        <w:pStyle w:val="ListParagraph"/>
        <w:numPr>
          <w:ilvl w:val="0"/>
          <w:numId w:val="1"/>
        </w:numPr>
        <w:tabs>
          <w:tab w:val="left" w:pos="979"/>
          <w:tab w:val="left" w:pos="980"/>
        </w:tabs>
        <w:spacing w:line="219" w:lineRule="exact"/>
        <w:rPr>
          <w:sz w:val="18"/>
        </w:rPr>
      </w:pPr>
      <w:r>
        <w:rPr>
          <w:sz w:val="18"/>
        </w:rPr>
        <w:t>to liberate the talents and uplift the horizons of the Australian</w:t>
      </w:r>
      <w:r>
        <w:rPr>
          <w:spacing w:val="-4"/>
          <w:sz w:val="18"/>
        </w:rPr>
        <w:t xml:space="preserve"> </w:t>
      </w:r>
      <w:r>
        <w:rPr>
          <w:sz w:val="18"/>
        </w:rPr>
        <w:t>people.</w:t>
      </w:r>
    </w:p>
    <w:p w14:paraId="75CC0F40" w14:textId="77777777" w:rsidR="00FA4AA8" w:rsidRDefault="00FA4AA8">
      <w:pPr>
        <w:pStyle w:val="BodyText"/>
        <w:rPr>
          <w:sz w:val="20"/>
        </w:rPr>
      </w:pPr>
    </w:p>
    <w:p w14:paraId="3071EECE" w14:textId="77777777" w:rsidR="00FA4AA8" w:rsidRDefault="00FA4AA8">
      <w:pPr>
        <w:pStyle w:val="BodyText"/>
        <w:rPr>
          <w:sz w:val="16"/>
        </w:rPr>
      </w:pPr>
    </w:p>
    <w:tbl>
      <w:tblPr>
        <w:tblW w:w="0" w:type="auto"/>
        <w:tblInd w:w="2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134"/>
        <w:gridCol w:w="1843"/>
        <w:gridCol w:w="2124"/>
        <w:gridCol w:w="1985"/>
      </w:tblGrid>
      <w:tr w:rsidR="00FA4AA8" w14:paraId="375010A8" w14:textId="77777777">
        <w:trPr>
          <w:trHeight w:val="500"/>
        </w:trPr>
        <w:tc>
          <w:tcPr>
            <w:tcW w:w="3134" w:type="dxa"/>
          </w:tcPr>
          <w:p w14:paraId="1DE325B0" w14:textId="77777777" w:rsidR="00FA4AA8" w:rsidRDefault="0015611F">
            <w:pPr>
              <w:pStyle w:val="TableParagraph"/>
              <w:spacing w:before="142"/>
              <w:ind w:left="107"/>
              <w:rPr>
                <w:b/>
                <w:i/>
                <w:sz w:val="18"/>
              </w:rPr>
            </w:pPr>
            <w:r>
              <w:rPr>
                <w:b/>
                <w:i/>
                <w:sz w:val="18"/>
              </w:rPr>
              <w:t>Category</w:t>
            </w:r>
          </w:p>
        </w:tc>
        <w:tc>
          <w:tcPr>
            <w:tcW w:w="1843" w:type="dxa"/>
          </w:tcPr>
          <w:p w14:paraId="2E29840A" w14:textId="77777777" w:rsidR="00FA4AA8" w:rsidRDefault="0015611F">
            <w:pPr>
              <w:pStyle w:val="TableParagraph"/>
              <w:spacing w:before="142"/>
              <w:ind w:right="37"/>
              <w:jc w:val="right"/>
              <w:rPr>
                <w:b/>
                <w:i/>
                <w:sz w:val="18"/>
              </w:rPr>
            </w:pPr>
            <w:r>
              <w:rPr>
                <w:b/>
                <w:i/>
                <w:sz w:val="18"/>
              </w:rPr>
              <w:t>FY 2018 Actual</w:t>
            </w:r>
          </w:p>
        </w:tc>
        <w:tc>
          <w:tcPr>
            <w:tcW w:w="2124" w:type="dxa"/>
          </w:tcPr>
          <w:p w14:paraId="09BB48D4" w14:textId="77777777" w:rsidR="00FA4AA8" w:rsidRDefault="0015611F">
            <w:pPr>
              <w:pStyle w:val="TableParagraph"/>
              <w:spacing w:before="142"/>
              <w:ind w:right="35"/>
              <w:jc w:val="right"/>
              <w:rPr>
                <w:b/>
                <w:i/>
                <w:sz w:val="18"/>
              </w:rPr>
            </w:pPr>
            <w:r>
              <w:rPr>
                <w:b/>
                <w:i/>
                <w:sz w:val="18"/>
              </w:rPr>
              <w:t>Annual 2018 Budget</w:t>
            </w:r>
          </w:p>
        </w:tc>
        <w:tc>
          <w:tcPr>
            <w:tcW w:w="1985" w:type="dxa"/>
          </w:tcPr>
          <w:p w14:paraId="70E5B4A5" w14:textId="77777777" w:rsidR="00FA4AA8" w:rsidRDefault="0015611F">
            <w:pPr>
              <w:pStyle w:val="TableParagraph"/>
              <w:spacing w:before="142"/>
              <w:ind w:right="37"/>
              <w:jc w:val="right"/>
              <w:rPr>
                <w:b/>
                <w:i/>
                <w:sz w:val="18"/>
              </w:rPr>
            </w:pPr>
            <w:r>
              <w:rPr>
                <w:b/>
                <w:i/>
                <w:sz w:val="18"/>
              </w:rPr>
              <w:t>% Full year achieved</w:t>
            </w:r>
          </w:p>
        </w:tc>
      </w:tr>
      <w:tr w:rsidR="00FA4AA8" w14:paraId="698AD577" w14:textId="77777777">
        <w:trPr>
          <w:trHeight w:val="268"/>
        </w:trPr>
        <w:tc>
          <w:tcPr>
            <w:tcW w:w="3134" w:type="dxa"/>
          </w:tcPr>
          <w:p w14:paraId="159BDA78" w14:textId="77777777" w:rsidR="00FA4AA8" w:rsidRDefault="0015611F">
            <w:pPr>
              <w:pStyle w:val="TableParagraph"/>
              <w:spacing w:before="61" w:line="187" w:lineRule="exact"/>
              <w:ind w:left="107"/>
              <w:rPr>
                <w:sz w:val="18"/>
              </w:rPr>
            </w:pPr>
            <w:r>
              <w:rPr>
                <w:sz w:val="18"/>
              </w:rPr>
              <w:t>Revenue</w:t>
            </w:r>
          </w:p>
        </w:tc>
        <w:tc>
          <w:tcPr>
            <w:tcW w:w="1843" w:type="dxa"/>
          </w:tcPr>
          <w:p w14:paraId="1718F47B" w14:textId="77777777" w:rsidR="00FA4AA8" w:rsidRDefault="0015611F">
            <w:pPr>
              <w:pStyle w:val="TableParagraph"/>
              <w:spacing w:before="61" w:line="187" w:lineRule="exact"/>
              <w:ind w:right="37"/>
              <w:jc w:val="right"/>
              <w:rPr>
                <w:sz w:val="18"/>
              </w:rPr>
            </w:pPr>
            <w:r>
              <w:rPr>
                <w:sz w:val="18"/>
              </w:rPr>
              <w:t>$230,782</w:t>
            </w:r>
          </w:p>
        </w:tc>
        <w:tc>
          <w:tcPr>
            <w:tcW w:w="2124" w:type="dxa"/>
          </w:tcPr>
          <w:p w14:paraId="3367BFB7" w14:textId="77777777" w:rsidR="00FA4AA8" w:rsidRDefault="0015611F">
            <w:pPr>
              <w:pStyle w:val="TableParagraph"/>
              <w:spacing w:before="61" w:line="187" w:lineRule="exact"/>
              <w:ind w:right="35"/>
              <w:jc w:val="right"/>
              <w:rPr>
                <w:sz w:val="18"/>
              </w:rPr>
            </w:pPr>
            <w:r>
              <w:rPr>
                <w:sz w:val="18"/>
              </w:rPr>
              <w:t>$176,729</w:t>
            </w:r>
          </w:p>
        </w:tc>
        <w:tc>
          <w:tcPr>
            <w:tcW w:w="1985" w:type="dxa"/>
          </w:tcPr>
          <w:p w14:paraId="2E32AFB1" w14:textId="77777777" w:rsidR="00FA4AA8" w:rsidRDefault="0015611F">
            <w:pPr>
              <w:pStyle w:val="TableParagraph"/>
              <w:spacing w:before="61" w:line="187" w:lineRule="exact"/>
              <w:ind w:right="38"/>
              <w:jc w:val="right"/>
              <w:rPr>
                <w:sz w:val="18"/>
              </w:rPr>
            </w:pPr>
            <w:r>
              <w:rPr>
                <w:w w:val="95"/>
                <w:sz w:val="18"/>
              </w:rPr>
              <w:t>131%</w:t>
            </w:r>
          </w:p>
        </w:tc>
      </w:tr>
      <w:tr w:rsidR="00FA4AA8" w14:paraId="05D5FE76" w14:textId="77777777">
        <w:trPr>
          <w:trHeight w:val="270"/>
        </w:trPr>
        <w:tc>
          <w:tcPr>
            <w:tcW w:w="3134" w:type="dxa"/>
          </w:tcPr>
          <w:p w14:paraId="0E2C30F7" w14:textId="77777777" w:rsidR="00FA4AA8" w:rsidRDefault="0015611F">
            <w:pPr>
              <w:pStyle w:val="TableParagraph"/>
              <w:spacing w:before="63" w:line="187" w:lineRule="exact"/>
              <w:ind w:left="107"/>
              <w:rPr>
                <w:sz w:val="18"/>
              </w:rPr>
            </w:pPr>
            <w:r>
              <w:rPr>
                <w:sz w:val="18"/>
              </w:rPr>
              <w:t>Expenses</w:t>
            </w:r>
          </w:p>
        </w:tc>
        <w:tc>
          <w:tcPr>
            <w:tcW w:w="1843" w:type="dxa"/>
          </w:tcPr>
          <w:p w14:paraId="505F3B70" w14:textId="77777777" w:rsidR="00FA4AA8" w:rsidRDefault="0015611F">
            <w:pPr>
              <w:pStyle w:val="TableParagraph"/>
              <w:spacing w:before="63" w:line="187" w:lineRule="exact"/>
              <w:ind w:right="37"/>
              <w:jc w:val="right"/>
              <w:rPr>
                <w:sz w:val="18"/>
              </w:rPr>
            </w:pPr>
            <w:r>
              <w:rPr>
                <w:sz w:val="18"/>
              </w:rPr>
              <w:t>$60,875</w:t>
            </w:r>
          </w:p>
        </w:tc>
        <w:tc>
          <w:tcPr>
            <w:tcW w:w="2124" w:type="dxa"/>
          </w:tcPr>
          <w:p w14:paraId="70780B01" w14:textId="77777777" w:rsidR="00FA4AA8" w:rsidRDefault="0015611F">
            <w:pPr>
              <w:pStyle w:val="TableParagraph"/>
              <w:spacing w:before="63" w:line="187" w:lineRule="exact"/>
              <w:ind w:right="35"/>
              <w:jc w:val="right"/>
              <w:rPr>
                <w:sz w:val="18"/>
              </w:rPr>
            </w:pPr>
            <w:r>
              <w:rPr>
                <w:sz w:val="18"/>
              </w:rPr>
              <w:t>$157,637</w:t>
            </w:r>
          </w:p>
        </w:tc>
        <w:tc>
          <w:tcPr>
            <w:tcW w:w="1985" w:type="dxa"/>
          </w:tcPr>
          <w:p w14:paraId="484B24F7" w14:textId="77777777" w:rsidR="00FA4AA8" w:rsidRDefault="0015611F">
            <w:pPr>
              <w:pStyle w:val="TableParagraph"/>
              <w:spacing w:before="63" w:line="187" w:lineRule="exact"/>
              <w:ind w:right="38"/>
              <w:jc w:val="right"/>
              <w:rPr>
                <w:sz w:val="18"/>
              </w:rPr>
            </w:pPr>
            <w:r>
              <w:rPr>
                <w:w w:val="95"/>
                <w:sz w:val="18"/>
              </w:rPr>
              <w:t>39%</w:t>
            </w:r>
          </w:p>
        </w:tc>
      </w:tr>
      <w:tr w:rsidR="00FA4AA8" w14:paraId="380B2EF8" w14:textId="77777777">
        <w:trPr>
          <w:trHeight w:val="270"/>
        </w:trPr>
        <w:tc>
          <w:tcPr>
            <w:tcW w:w="3134" w:type="dxa"/>
          </w:tcPr>
          <w:p w14:paraId="7D8FA977" w14:textId="77777777" w:rsidR="00FA4AA8" w:rsidRDefault="0015611F">
            <w:pPr>
              <w:pStyle w:val="TableParagraph"/>
              <w:spacing w:before="58" w:line="192" w:lineRule="exact"/>
              <w:ind w:left="107"/>
              <w:rPr>
                <w:b/>
                <w:sz w:val="18"/>
              </w:rPr>
            </w:pPr>
            <w:r>
              <w:rPr>
                <w:b/>
                <w:sz w:val="18"/>
              </w:rPr>
              <w:t>Operating Surplus</w:t>
            </w:r>
          </w:p>
        </w:tc>
        <w:tc>
          <w:tcPr>
            <w:tcW w:w="1843" w:type="dxa"/>
          </w:tcPr>
          <w:p w14:paraId="0B6527B4" w14:textId="77777777" w:rsidR="00FA4AA8" w:rsidRDefault="0015611F">
            <w:pPr>
              <w:pStyle w:val="TableParagraph"/>
              <w:spacing w:before="58" w:line="192" w:lineRule="exact"/>
              <w:ind w:right="37"/>
              <w:jc w:val="right"/>
              <w:rPr>
                <w:b/>
                <w:sz w:val="18"/>
              </w:rPr>
            </w:pPr>
            <w:r>
              <w:rPr>
                <w:b/>
                <w:sz w:val="18"/>
              </w:rPr>
              <w:t>$169,907</w:t>
            </w:r>
          </w:p>
        </w:tc>
        <w:tc>
          <w:tcPr>
            <w:tcW w:w="2124" w:type="dxa"/>
          </w:tcPr>
          <w:p w14:paraId="42B0E667" w14:textId="77777777" w:rsidR="00FA4AA8" w:rsidRDefault="0015611F">
            <w:pPr>
              <w:pStyle w:val="TableParagraph"/>
              <w:spacing w:before="58" w:line="192" w:lineRule="exact"/>
              <w:ind w:right="36"/>
              <w:jc w:val="right"/>
              <w:rPr>
                <w:b/>
                <w:sz w:val="18"/>
              </w:rPr>
            </w:pPr>
            <w:r>
              <w:rPr>
                <w:b/>
                <w:sz w:val="18"/>
              </w:rPr>
              <w:t>$19,092</w:t>
            </w:r>
          </w:p>
        </w:tc>
        <w:tc>
          <w:tcPr>
            <w:tcW w:w="1985" w:type="dxa"/>
          </w:tcPr>
          <w:p w14:paraId="1783D83C" w14:textId="77777777" w:rsidR="00FA4AA8" w:rsidRDefault="0015611F">
            <w:pPr>
              <w:pStyle w:val="TableParagraph"/>
              <w:spacing w:before="63" w:line="187" w:lineRule="exact"/>
              <w:ind w:right="38"/>
              <w:jc w:val="right"/>
              <w:rPr>
                <w:sz w:val="18"/>
              </w:rPr>
            </w:pPr>
            <w:r>
              <w:rPr>
                <w:w w:val="95"/>
                <w:sz w:val="18"/>
              </w:rPr>
              <w:t>0%</w:t>
            </w:r>
          </w:p>
        </w:tc>
      </w:tr>
      <w:tr w:rsidR="00FA4AA8" w14:paraId="43F06FC6" w14:textId="77777777">
        <w:trPr>
          <w:trHeight w:val="207"/>
        </w:trPr>
        <w:tc>
          <w:tcPr>
            <w:tcW w:w="3134" w:type="dxa"/>
          </w:tcPr>
          <w:p w14:paraId="2015AA46" w14:textId="77777777" w:rsidR="00FA4AA8" w:rsidRDefault="0015611F">
            <w:pPr>
              <w:pStyle w:val="TableParagraph"/>
              <w:spacing w:line="188" w:lineRule="exact"/>
              <w:ind w:left="107"/>
              <w:rPr>
                <w:sz w:val="18"/>
              </w:rPr>
            </w:pPr>
            <w:r>
              <w:rPr>
                <w:sz w:val="18"/>
              </w:rPr>
              <w:t>Accumulated Retained Earnings</w:t>
            </w:r>
          </w:p>
        </w:tc>
        <w:tc>
          <w:tcPr>
            <w:tcW w:w="1843" w:type="dxa"/>
          </w:tcPr>
          <w:p w14:paraId="7A321286" w14:textId="77777777" w:rsidR="00FA4AA8" w:rsidRDefault="0015611F">
            <w:pPr>
              <w:pStyle w:val="TableParagraph"/>
              <w:spacing w:line="188" w:lineRule="exact"/>
              <w:ind w:right="40"/>
              <w:jc w:val="right"/>
              <w:rPr>
                <w:sz w:val="18"/>
              </w:rPr>
            </w:pPr>
            <w:r>
              <w:rPr>
                <w:sz w:val="18"/>
              </w:rPr>
              <w:t>$1,501,805</w:t>
            </w:r>
          </w:p>
        </w:tc>
        <w:tc>
          <w:tcPr>
            <w:tcW w:w="2124" w:type="dxa"/>
          </w:tcPr>
          <w:p w14:paraId="6DFD8960" w14:textId="77777777" w:rsidR="00FA4AA8" w:rsidRDefault="00FA4AA8">
            <w:pPr>
              <w:pStyle w:val="TableParagraph"/>
              <w:rPr>
                <w:rFonts w:ascii="Times New Roman"/>
                <w:sz w:val="14"/>
              </w:rPr>
            </w:pPr>
          </w:p>
        </w:tc>
        <w:tc>
          <w:tcPr>
            <w:tcW w:w="1985" w:type="dxa"/>
          </w:tcPr>
          <w:p w14:paraId="328C1AE4" w14:textId="77777777" w:rsidR="00FA4AA8" w:rsidRDefault="00FA4AA8">
            <w:pPr>
              <w:pStyle w:val="TableParagraph"/>
              <w:rPr>
                <w:rFonts w:ascii="Times New Roman"/>
                <w:sz w:val="14"/>
              </w:rPr>
            </w:pPr>
          </w:p>
        </w:tc>
      </w:tr>
    </w:tbl>
    <w:p w14:paraId="79FCDBB0" w14:textId="77777777" w:rsidR="00FA4AA8" w:rsidRDefault="00FA4AA8">
      <w:pPr>
        <w:pStyle w:val="BodyText"/>
        <w:spacing w:before="9"/>
        <w:rPr>
          <w:sz w:val="27"/>
        </w:rPr>
      </w:pPr>
    </w:p>
    <w:p w14:paraId="7484EA31" w14:textId="77777777" w:rsidR="00FA4AA8" w:rsidRDefault="0015611F">
      <w:pPr>
        <w:pStyle w:val="BodyText"/>
        <w:spacing w:before="95" w:line="207" w:lineRule="exact"/>
        <w:ind w:left="260"/>
      </w:pPr>
      <w:r>
        <w:rPr>
          <w:u w:val="single"/>
        </w:rPr>
        <w:t>Management and Operations</w:t>
      </w:r>
    </w:p>
    <w:p w14:paraId="2A19525D" w14:textId="77777777" w:rsidR="00FA4AA8" w:rsidRDefault="0015611F">
      <w:pPr>
        <w:pStyle w:val="BodyText"/>
        <w:ind w:left="260" w:right="756"/>
      </w:pPr>
      <w:r>
        <w:t>The Whitlam Institute within Western Sydney University Limited is a wholly owned entity of Western Sydney University.</w:t>
      </w:r>
    </w:p>
    <w:p w14:paraId="2879774E" w14:textId="77777777" w:rsidR="00FA4AA8" w:rsidRDefault="0015611F">
      <w:pPr>
        <w:pStyle w:val="BodyText"/>
        <w:spacing w:before="118"/>
        <w:ind w:left="260" w:right="1175"/>
      </w:pPr>
      <w:r>
        <w:t>The Whitlam Institute Board is politically bipartisan and consists of leaders in academia, business, and government organisations. The Board participates in the strategic development of the Institute.</w:t>
      </w:r>
    </w:p>
    <w:p w14:paraId="56E2A3AE" w14:textId="77777777" w:rsidR="00FA4AA8" w:rsidRDefault="0015611F">
      <w:pPr>
        <w:pStyle w:val="BodyText"/>
        <w:spacing w:before="121"/>
        <w:ind w:left="260" w:right="237" w:hanging="1"/>
      </w:pPr>
      <w:r>
        <w:t>The Whitlam Institute is led by its Director Leanne Smith. Its small secretariat is committed to the highest quality in all its activity whether that might be its policy and research work, outreach activity, public information program or events.</w:t>
      </w:r>
    </w:p>
    <w:p w14:paraId="4FAE3AD4" w14:textId="77777777" w:rsidR="00FA4AA8" w:rsidRDefault="00FA4AA8">
      <w:pPr>
        <w:sectPr w:rsidR="00FA4AA8">
          <w:headerReference w:type="default" r:id="rId330"/>
          <w:footerReference w:type="default" r:id="rId331"/>
          <w:pgSz w:w="11910" w:h="16840"/>
          <w:pgMar w:top="1340" w:right="1140" w:bottom="720" w:left="1180" w:header="0" w:footer="523" w:gutter="0"/>
          <w:pgNumType w:start="254"/>
          <w:cols w:space="720"/>
        </w:sectPr>
      </w:pPr>
    </w:p>
    <w:p w14:paraId="6A13B114" w14:textId="77777777" w:rsidR="00FA4AA8" w:rsidRDefault="0015611F">
      <w:pPr>
        <w:spacing w:before="78"/>
        <w:ind w:left="260"/>
        <w:rPr>
          <w:b/>
          <w:sz w:val="28"/>
        </w:rPr>
      </w:pPr>
      <w:r>
        <w:rPr>
          <w:b/>
          <w:color w:val="050505"/>
          <w:sz w:val="28"/>
        </w:rPr>
        <w:t>Western Growth Developments (Innovation Hub Parramatta) Pty Ltd</w:t>
      </w:r>
    </w:p>
    <w:p w14:paraId="107D32D8" w14:textId="77777777" w:rsidR="00FA4AA8" w:rsidRDefault="0015611F">
      <w:pPr>
        <w:pStyle w:val="BodyText"/>
        <w:spacing w:before="208"/>
        <w:ind w:left="260"/>
      </w:pPr>
      <w:r>
        <w:rPr>
          <w:color w:val="050505"/>
          <w:u w:val="single" w:color="050505"/>
        </w:rPr>
        <w:t>Principal Objectives</w:t>
      </w:r>
    </w:p>
    <w:p w14:paraId="2E14557F" w14:textId="77777777" w:rsidR="00FA4AA8" w:rsidRDefault="0015611F">
      <w:pPr>
        <w:pStyle w:val="BodyText"/>
        <w:spacing w:before="2"/>
        <w:ind w:left="260" w:right="451"/>
      </w:pPr>
      <w:r>
        <w:t>The Company's principal objective is to act as a co-developer and owner in respect of the Parramatta Project, 6 Hassall St Parramatta</w:t>
      </w:r>
      <w:r>
        <w:rPr>
          <w:color w:val="050505"/>
        </w:rPr>
        <w:t>.</w:t>
      </w:r>
    </w:p>
    <w:p w14:paraId="5D20B87C" w14:textId="77777777" w:rsidR="00FA4AA8" w:rsidRDefault="00FA4AA8">
      <w:pPr>
        <w:pStyle w:val="BodyText"/>
        <w:spacing w:before="1"/>
        <w:rPr>
          <w:sz w:val="23"/>
        </w:rPr>
      </w:pPr>
    </w:p>
    <w:p w14:paraId="4B525499" w14:textId="77777777" w:rsidR="00FA4AA8" w:rsidRDefault="0015611F">
      <w:pPr>
        <w:pStyle w:val="BodyText"/>
        <w:ind w:left="260"/>
      </w:pPr>
      <w:r>
        <w:rPr>
          <w:color w:val="050505"/>
          <w:u w:val="single" w:color="050505"/>
        </w:rPr>
        <w:t>Principal Activities and Strategic Projects</w:t>
      </w:r>
    </w:p>
    <w:p w14:paraId="30844C79" w14:textId="77777777" w:rsidR="00FA4AA8" w:rsidRDefault="0015611F">
      <w:pPr>
        <w:pStyle w:val="BodyText"/>
        <w:spacing w:before="2"/>
        <w:ind w:left="260"/>
      </w:pPr>
      <w:r>
        <w:t>The Company's principal activities for the promotion of its object are to:</w:t>
      </w:r>
    </w:p>
    <w:p w14:paraId="5E767E18" w14:textId="77777777" w:rsidR="00FA4AA8" w:rsidRDefault="0015611F">
      <w:pPr>
        <w:pStyle w:val="ListParagraph"/>
        <w:numPr>
          <w:ilvl w:val="0"/>
          <w:numId w:val="18"/>
        </w:numPr>
        <w:tabs>
          <w:tab w:val="left" w:pos="572"/>
        </w:tabs>
        <w:spacing w:before="59"/>
        <w:rPr>
          <w:sz w:val="18"/>
        </w:rPr>
      </w:pPr>
      <w:r>
        <w:rPr>
          <w:sz w:val="18"/>
        </w:rPr>
        <w:t>act as a co-developer in respect of the Parramatta</w:t>
      </w:r>
      <w:r>
        <w:rPr>
          <w:spacing w:val="-6"/>
          <w:sz w:val="18"/>
        </w:rPr>
        <w:t xml:space="preserve"> </w:t>
      </w:r>
      <w:r>
        <w:rPr>
          <w:sz w:val="18"/>
        </w:rPr>
        <w:t>Project;</w:t>
      </w:r>
    </w:p>
    <w:p w14:paraId="02D04B25" w14:textId="77777777" w:rsidR="00FA4AA8" w:rsidRDefault="0015611F">
      <w:pPr>
        <w:pStyle w:val="ListParagraph"/>
        <w:numPr>
          <w:ilvl w:val="0"/>
          <w:numId w:val="18"/>
        </w:numPr>
        <w:tabs>
          <w:tab w:val="left" w:pos="563"/>
        </w:tabs>
        <w:spacing w:before="60"/>
        <w:ind w:left="562" w:hanging="303"/>
        <w:rPr>
          <w:sz w:val="18"/>
        </w:rPr>
      </w:pPr>
      <w:r>
        <w:rPr>
          <w:sz w:val="18"/>
        </w:rPr>
        <w:t>use and operate its interest in the completed Parramatta Project to generate rental</w:t>
      </w:r>
      <w:r>
        <w:rPr>
          <w:spacing w:val="-14"/>
          <w:sz w:val="18"/>
        </w:rPr>
        <w:t xml:space="preserve"> </w:t>
      </w:r>
      <w:r>
        <w:rPr>
          <w:sz w:val="18"/>
        </w:rPr>
        <w:t>income;</w:t>
      </w:r>
    </w:p>
    <w:p w14:paraId="0BDF778D" w14:textId="77777777" w:rsidR="00FA4AA8" w:rsidRDefault="0015611F">
      <w:pPr>
        <w:pStyle w:val="ListParagraph"/>
        <w:numPr>
          <w:ilvl w:val="0"/>
          <w:numId w:val="18"/>
        </w:numPr>
        <w:tabs>
          <w:tab w:val="left" w:pos="551"/>
        </w:tabs>
        <w:spacing w:before="59"/>
        <w:ind w:left="550" w:hanging="291"/>
        <w:rPr>
          <w:sz w:val="18"/>
        </w:rPr>
      </w:pPr>
      <w:r>
        <w:rPr>
          <w:sz w:val="18"/>
        </w:rPr>
        <w:t>sell, lease, licence, mortgage, charge or otherwise deal with the Land;</w:t>
      </w:r>
      <w:r>
        <w:rPr>
          <w:spacing w:val="-5"/>
          <w:sz w:val="18"/>
        </w:rPr>
        <w:t xml:space="preserve"> </w:t>
      </w:r>
      <w:r>
        <w:rPr>
          <w:sz w:val="18"/>
        </w:rPr>
        <w:t>and</w:t>
      </w:r>
    </w:p>
    <w:p w14:paraId="16FA1D0A" w14:textId="77777777" w:rsidR="00FA4AA8" w:rsidRDefault="0015611F">
      <w:pPr>
        <w:pStyle w:val="ListParagraph"/>
        <w:numPr>
          <w:ilvl w:val="0"/>
          <w:numId w:val="18"/>
        </w:numPr>
        <w:tabs>
          <w:tab w:val="left" w:pos="561"/>
        </w:tabs>
        <w:spacing w:before="62"/>
        <w:ind w:left="260" w:right="395" w:firstLine="0"/>
        <w:rPr>
          <w:sz w:val="18"/>
        </w:rPr>
      </w:pPr>
      <w:r>
        <w:rPr>
          <w:sz w:val="18"/>
        </w:rPr>
        <w:t>undertake other development activities in Greater Western Sydney in furtherance of WSU's strategic plan for its campuses for future sustainability and</w:t>
      </w:r>
      <w:r>
        <w:rPr>
          <w:spacing w:val="-8"/>
          <w:sz w:val="18"/>
        </w:rPr>
        <w:t xml:space="preserve"> </w:t>
      </w:r>
      <w:r>
        <w:rPr>
          <w:sz w:val="18"/>
        </w:rPr>
        <w:t>growth.</w:t>
      </w:r>
    </w:p>
    <w:p w14:paraId="1438D7AD" w14:textId="77777777" w:rsidR="00FA4AA8" w:rsidRDefault="00FA4AA8">
      <w:pPr>
        <w:pStyle w:val="BodyText"/>
        <w:spacing w:before="1"/>
        <w:rPr>
          <w:sz w:val="23"/>
        </w:rPr>
      </w:pPr>
    </w:p>
    <w:p w14:paraId="63B6C447" w14:textId="77777777" w:rsidR="00FA4AA8" w:rsidRDefault="0015611F">
      <w:pPr>
        <w:pStyle w:val="BodyText"/>
        <w:ind w:left="260" w:right="554"/>
      </w:pPr>
      <w:r>
        <w:t>The Company entered into an agreement with Bieson Pty Limited to develop land and building at 6 Hassall St, Parramatta as co-developers to create an Engineering Innovation Hub that will accommodate teaching and research, strategic partners and commercial tenants. The co-developers each have a 50% interest in the development and operation and will share equally in the project expenses, income, liabilities and assets.</w:t>
      </w:r>
    </w:p>
    <w:p w14:paraId="7594B15E" w14:textId="77777777" w:rsidR="00FA4AA8" w:rsidRDefault="00FA4AA8">
      <w:pPr>
        <w:pStyle w:val="BodyText"/>
        <w:spacing w:before="1"/>
      </w:pPr>
    </w:p>
    <w:p w14:paraId="646555F0" w14:textId="77777777" w:rsidR="00FA4AA8" w:rsidRDefault="0015611F">
      <w:pPr>
        <w:pStyle w:val="BodyText"/>
        <w:spacing w:before="1"/>
        <w:ind w:left="260"/>
      </w:pPr>
      <w:r>
        <w:rPr>
          <w:color w:val="050505"/>
          <w:u w:val="single" w:color="050505"/>
        </w:rPr>
        <w:t>Performance</w:t>
      </w:r>
      <w:r>
        <w:rPr>
          <w:color w:val="050505"/>
          <w:spacing w:val="-9"/>
          <w:u w:val="single" w:color="050505"/>
        </w:rPr>
        <w:t xml:space="preserve"> </w:t>
      </w:r>
      <w:r>
        <w:rPr>
          <w:color w:val="050505"/>
          <w:u w:val="single" w:color="050505"/>
        </w:rPr>
        <w:t>measures</w:t>
      </w:r>
    </w:p>
    <w:p w14:paraId="1E9EBC85" w14:textId="77777777" w:rsidR="00FA4AA8" w:rsidRDefault="00FA4AA8">
      <w:pPr>
        <w:pStyle w:val="BodyText"/>
        <w:spacing w:before="9"/>
        <w:rPr>
          <w:sz w:val="11"/>
        </w:rPr>
      </w:pPr>
    </w:p>
    <w:p w14:paraId="4AB2F61C" w14:textId="77777777" w:rsidR="00FA4AA8" w:rsidRDefault="0015611F">
      <w:pPr>
        <w:pStyle w:val="BodyText"/>
        <w:spacing w:before="94"/>
        <w:ind w:left="260" w:right="594"/>
      </w:pPr>
      <w:r>
        <w:rPr>
          <w:color w:val="050505"/>
        </w:rPr>
        <w:t>The performance measures of the company are financial and non-financial related to the co-development of 6 Hassall St, Parramatta.</w:t>
      </w:r>
    </w:p>
    <w:p w14:paraId="4E986810" w14:textId="77777777" w:rsidR="00FA4AA8" w:rsidRDefault="00FA4AA8">
      <w:pPr>
        <w:pStyle w:val="BodyText"/>
        <w:spacing w:before="1"/>
      </w:pPr>
    </w:p>
    <w:tbl>
      <w:tblPr>
        <w:tblW w:w="0" w:type="auto"/>
        <w:tblInd w:w="2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18"/>
        <w:gridCol w:w="1985"/>
        <w:gridCol w:w="1983"/>
        <w:gridCol w:w="1702"/>
      </w:tblGrid>
      <w:tr w:rsidR="00FA4AA8" w14:paraId="33F3A192" w14:textId="77777777">
        <w:trPr>
          <w:trHeight w:val="579"/>
        </w:trPr>
        <w:tc>
          <w:tcPr>
            <w:tcW w:w="3418" w:type="dxa"/>
          </w:tcPr>
          <w:p w14:paraId="47DD0A20" w14:textId="77777777" w:rsidR="00FA4AA8" w:rsidRDefault="00FA4AA8">
            <w:pPr>
              <w:pStyle w:val="TableParagraph"/>
              <w:spacing w:before="11"/>
              <w:rPr>
                <w:sz w:val="15"/>
              </w:rPr>
            </w:pPr>
          </w:p>
          <w:p w14:paraId="05DA3F13" w14:textId="77777777" w:rsidR="00FA4AA8" w:rsidRDefault="0015611F">
            <w:pPr>
              <w:pStyle w:val="TableParagraph"/>
              <w:ind w:left="107"/>
              <w:rPr>
                <w:b/>
                <w:i/>
                <w:sz w:val="18"/>
              </w:rPr>
            </w:pPr>
            <w:r>
              <w:rPr>
                <w:b/>
                <w:i/>
                <w:sz w:val="18"/>
              </w:rPr>
              <w:t>Category</w:t>
            </w:r>
          </w:p>
        </w:tc>
        <w:tc>
          <w:tcPr>
            <w:tcW w:w="1985" w:type="dxa"/>
          </w:tcPr>
          <w:p w14:paraId="20B28064" w14:textId="77777777" w:rsidR="00FA4AA8" w:rsidRDefault="00FA4AA8">
            <w:pPr>
              <w:pStyle w:val="TableParagraph"/>
              <w:spacing w:before="11"/>
              <w:rPr>
                <w:sz w:val="15"/>
              </w:rPr>
            </w:pPr>
          </w:p>
          <w:p w14:paraId="7AF4308D" w14:textId="77777777" w:rsidR="00FA4AA8" w:rsidRDefault="0015611F">
            <w:pPr>
              <w:pStyle w:val="TableParagraph"/>
              <w:ind w:right="38"/>
              <w:jc w:val="right"/>
              <w:rPr>
                <w:b/>
                <w:i/>
                <w:sz w:val="18"/>
              </w:rPr>
            </w:pPr>
            <w:r>
              <w:rPr>
                <w:b/>
                <w:i/>
                <w:sz w:val="18"/>
              </w:rPr>
              <w:t>FY 2018 Actual</w:t>
            </w:r>
          </w:p>
        </w:tc>
        <w:tc>
          <w:tcPr>
            <w:tcW w:w="1983" w:type="dxa"/>
          </w:tcPr>
          <w:p w14:paraId="04F78238" w14:textId="77777777" w:rsidR="00FA4AA8" w:rsidRDefault="00FA4AA8">
            <w:pPr>
              <w:pStyle w:val="TableParagraph"/>
              <w:spacing w:before="11"/>
              <w:rPr>
                <w:sz w:val="15"/>
              </w:rPr>
            </w:pPr>
          </w:p>
          <w:p w14:paraId="264B4E86" w14:textId="77777777" w:rsidR="00FA4AA8" w:rsidRDefault="0015611F">
            <w:pPr>
              <w:pStyle w:val="TableParagraph"/>
              <w:ind w:right="37"/>
              <w:jc w:val="right"/>
              <w:rPr>
                <w:b/>
                <w:i/>
                <w:sz w:val="18"/>
              </w:rPr>
            </w:pPr>
            <w:r>
              <w:rPr>
                <w:b/>
                <w:i/>
                <w:sz w:val="18"/>
              </w:rPr>
              <w:t>Annual 2018 Budget</w:t>
            </w:r>
          </w:p>
        </w:tc>
        <w:tc>
          <w:tcPr>
            <w:tcW w:w="1702" w:type="dxa"/>
          </w:tcPr>
          <w:p w14:paraId="32103CA7" w14:textId="77777777" w:rsidR="00FA4AA8" w:rsidRDefault="0015611F">
            <w:pPr>
              <w:pStyle w:val="TableParagraph"/>
              <w:spacing w:before="80"/>
              <w:ind w:left="867" w:right="24" w:hanging="183"/>
              <w:rPr>
                <w:b/>
                <w:i/>
                <w:sz w:val="18"/>
              </w:rPr>
            </w:pPr>
            <w:r>
              <w:rPr>
                <w:b/>
                <w:i/>
                <w:sz w:val="18"/>
              </w:rPr>
              <w:t>% Full year achieved</w:t>
            </w:r>
          </w:p>
        </w:tc>
      </w:tr>
      <w:tr w:rsidR="00FA4AA8" w14:paraId="60ABF904" w14:textId="77777777">
        <w:trPr>
          <w:trHeight w:val="270"/>
        </w:trPr>
        <w:tc>
          <w:tcPr>
            <w:tcW w:w="3418" w:type="dxa"/>
          </w:tcPr>
          <w:p w14:paraId="248A1BC8" w14:textId="77777777" w:rsidR="00FA4AA8" w:rsidRDefault="0015611F">
            <w:pPr>
              <w:pStyle w:val="TableParagraph"/>
              <w:spacing w:before="63" w:line="187" w:lineRule="exact"/>
              <w:ind w:left="107"/>
              <w:rPr>
                <w:sz w:val="18"/>
              </w:rPr>
            </w:pPr>
            <w:r>
              <w:rPr>
                <w:sz w:val="18"/>
              </w:rPr>
              <w:t>Revenue</w:t>
            </w:r>
          </w:p>
        </w:tc>
        <w:tc>
          <w:tcPr>
            <w:tcW w:w="1985" w:type="dxa"/>
          </w:tcPr>
          <w:p w14:paraId="615894E8" w14:textId="77777777" w:rsidR="00FA4AA8" w:rsidRDefault="0015611F">
            <w:pPr>
              <w:pStyle w:val="TableParagraph"/>
              <w:spacing w:before="63" w:line="187" w:lineRule="exact"/>
              <w:ind w:right="41"/>
              <w:jc w:val="right"/>
              <w:rPr>
                <w:sz w:val="18"/>
              </w:rPr>
            </w:pPr>
            <w:r>
              <w:rPr>
                <w:w w:val="95"/>
                <w:sz w:val="18"/>
              </w:rPr>
              <w:t>$-</w:t>
            </w:r>
          </w:p>
        </w:tc>
        <w:tc>
          <w:tcPr>
            <w:tcW w:w="1983" w:type="dxa"/>
          </w:tcPr>
          <w:p w14:paraId="1E556C8A" w14:textId="77777777" w:rsidR="00FA4AA8" w:rsidRDefault="0015611F">
            <w:pPr>
              <w:pStyle w:val="TableParagraph"/>
              <w:spacing w:before="63" w:line="187" w:lineRule="exact"/>
              <w:ind w:right="39"/>
              <w:jc w:val="right"/>
              <w:rPr>
                <w:sz w:val="18"/>
              </w:rPr>
            </w:pPr>
            <w:r>
              <w:rPr>
                <w:w w:val="95"/>
                <w:sz w:val="18"/>
              </w:rPr>
              <w:t>$-</w:t>
            </w:r>
          </w:p>
        </w:tc>
        <w:tc>
          <w:tcPr>
            <w:tcW w:w="1702" w:type="dxa"/>
          </w:tcPr>
          <w:p w14:paraId="4E319EF5" w14:textId="77777777" w:rsidR="00FA4AA8" w:rsidRDefault="00FA4AA8">
            <w:pPr>
              <w:pStyle w:val="TableParagraph"/>
              <w:rPr>
                <w:rFonts w:ascii="Times New Roman"/>
                <w:sz w:val="18"/>
              </w:rPr>
            </w:pPr>
          </w:p>
        </w:tc>
      </w:tr>
      <w:tr w:rsidR="00FA4AA8" w14:paraId="783BAF42" w14:textId="77777777">
        <w:trPr>
          <w:trHeight w:val="270"/>
        </w:trPr>
        <w:tc>
          <w:tcPr>
            <w:tcW w:w="3418" w:type="dxa"/>
          </w:tcPr>
          <w:p w14:paraId="407CEA64" w14:textId="77777777" w:rsidR="00FA4AA8" w:rsidRDefault="0015611F">
            <w:pPr>
              <w:pStyle w:val="TableParagraph"/>
              <w:spacing w:before="63" w:line="187" w:lineRule="exact"/>
              <w:ind w:left="107"/>
              <w:rPr>
                <w:sz w:val="18"/>
              </w:rPr>
            </w:pPr>
            <w:r>
              <w:rPr>
                <w:sz w:val="18"/>
              </w:rPr>
              <w:t>Expenses</w:t>
            </w:r>
          </w:p>
        </w:tc>
        <w:tc>
          <w:tcPr>
            <w:tcW w:w="1985" w:type="dxa"/>
          </w:tcPr>
          <w:p w14:paraId="1338D34D" w14:textId="77777777" w:rsidR="00FA4AA8" w:rsidRDefault="0015611F">
            <w:pPr>
              <w:pStyle w:val="TableParagraph"/>
              <w:spacing w:before="63" w:line="187" w:lineRule="exact"/>
              <w:ind w:right="40"/>
              <w:jc w:val="right"/>
              <w:rPr>
                <w:sz w:val="18"/>
              </w:rPr>
            </w:pPr>
            <w:r>
              <w:rPr>
                <w:sz w:val="18"/>
              </w:rPr>
              <w:t>$370,846</w:t>
            </w:r>
          </w:p>
        </w:tc>
        <w:tc>
          <w:tcPr>
            <w:tcW w:w="1983" w:type="dxa"/>
          </w:tcPr>
          <w:p w14:paraId="060EE3B4" w14:textId="77777777" w:rsidR="00FA4AA8" w:rsidRDefault="0015611F">
            <w:pPr>
              <w:pStyle w:val="TableParagraph"/>
              <w:spacing w:before="63" w:line="187" w:lineRule="exact"/>
              <w:ind w:right="39"/>
              <w:jc w:val="right"/>
              <w:rPr>
                <w:sz w:val="18"/>
              </w:rPr>
            </w:pPr>
            <w:r>
              <w:rPr>
                <w:w w:val="95"/>
                <w:sz w:val="18"/>
              </w:rPr>
              <w:t>$-</w:t>
            </w:r>
          </w:p>
        </w:tc>
        <w:tc>
          <w:tcPr>
            <w:tcW w:w="1702" w:type="dxa"/>
          </w:tcPr>
          <w:p w14:paraId="044222BF" w14:textId="77777777" w:rsidR="00FA4AA8" w:rsidRDefault="00FA4AA8">
            <w:pPr>
              <w:pStyle w:val="TableParagraph"/>
              <w:rPr>
                <w:rFonts w:ascii="Times New Roman"/>
                <w:sz w:val="18"/>
              </w:rPr>
            </w:pPr>
          </w:p>
        </w:tc>
      </w:tr>
      <w:tr w:rsidR="00FA4AA8" w14:paraId="2E244704" w14:textId="77777777">
        <w:trPr>
          <w:trHeight w:val="270"/>
        </w:trPr>
        <w:tc>
          <w:tcPr>
            <w:tcW w:w="3418" w:type="dxa"/>
          </w:tcPr>
          <w:p w14:paraId="24BF67D2" w14:textId="77777777" w:rsidR="00FA4AA8" w:rsidRDefault="0015611F">
            <w:pPr>
              <w:pStyle w:val="TableParagraph"/>
              <w:spacing w:before="56" w:line="194" w:lineRule="exact"/>
              <w:ind w:left="107"/>
              <w:rPr>
                <w:b/>
                <w:sz w:val="18"/>
              </w:rPr>
            </w:pPr>
            <w:r>
              <w:rPr>
                <w:b/>
                <w:sz w:val="18"/>
              </w:rPr>
              <w:t>Operating Surplus/(Deficit)</w:t>
            </w:r>
          </w:p>
        </w:tc>
        <w:tc>
          <w:tcPr>
            <w:tcW w:w="1985" w:type="dxa"/>
          </w:tcPr>
          <w:p w14:paraId="5DFEAC0B" w14:textId="77777777" w:rsidR="00FA4AA8" w:rsidRDefault="0015611F">
            <w:pPr>
              <w:pStyle w:val="TableParagraph"/>
              <w:spacing w:before="56" w:line="194" w:lineRule="exact"/>
              <w:ind w:right="38"/>
              <w:jc w:val="right"/>
              <w:rPr>
                <w:b/>
                <w:sz w:val="18"/>
              </w:rPr>
            </w:pPr>
            <w:r>
              <w:rPr>
                <w:b/>
                <w:sz w:val="18"/>
              </w:rPr>
              <w:t>($370,846)</w:t>
            </w:r>
          </w:p>
        </w:tc>
        <w:tc>
          <w:tcPr>
            <w:tcW w:w="1983" w:type="dxa"/>
          </w:tcPr>
          <w:p w14:paraId="0E1B0A26" w14:textId="77777777" w:rsidR="00FA4AA8" w:rsidRDefault="0015611F">
            <w:pPr>
              <w:pStyle w:val="TableParagraph"/>
              <w:spacing w:before="56" w:line="194" w:lineRule="exact"/>
              <w:ind w:right="39"/>
              <w:jc w:val="right"/>
              <w:rPr>
                <w:b/>
                <w:sz w:val="18"/>
              </w:rPr>
            </w:pPr>
            <w:r>
              <w:rPr>
                <w:b/>
                <w:w w:val="95"/>
                <w:sz w:val="18"/>
              </w:rPr>
              <w:t>$-</w:t>
            </w:r>
          </w:p>
        </w:tc>
        <w:tc>
          <w:tcPr>
            <w:tcW w:w="1702" w:type="dxa"/>
          </w:tcPr>
          <w:p w14:paraId="3E6119B7" w14:textId="77777777" w:rsidR="00FA4AA8" w:rsidRDefault="00FA4AA8">
            <w:pPr>
              <w:pStyle w:val="TableParagraph"/>
              <w:rPr>
                <w:rFonts w:ascii="Times New Roman"/>
                <w:sz w:val="18"/>
              </w:rPr>
            </w:pPr>
          </w:p>
        </w:tc>
      </w:tr>
      <w:tr w:rsidR="00FA4AA8" w14:paraId="078FE447" w14:textId="77777777">
        <w:trPr>
          <w:trHeight w:val="208"/>
        </w:trPr>
        <w:tc>
          <w:tcPr>
            <w:tcW w:w="3418" w:type="dxa"/>
          </w:tcPr>
          <w:p w14:paraId="40C52D82" w14:textId="77777777" w:rsidR="00FA4AA8" w:rsidRDefault="0015611F">
            <w:pPr>
              <w:pStyle w:val="TableParagraph"/>
              <w:spacing w:line="188" w:lineRule="exact"/>
              <w:ind w:left="107"/>
              <w:rPr>
                <w:sz w:val="18"/>
              </w:rPr>
            </w:pPr>
            <w:r>
              <w:rPr>
                <w:sz w:val="18"/>
              </w:rPr>
              <w:t>Accumulated Retained Earnings</w:t>
            </w:r>
          </w:p>
        </w:tc>
        <w:tc>
          <w:tcPr>
            <w:tcW w:w="1985" w:type="dxa"/>
          </w:tcPr>
          <w:p w14:paraId="676FB1E3" w14:textId="77777777" w:rsidR="00FA4AA8" w:rsidRDefault="0015611F">
            <w:pPr>
              <w:pStyle w:val="TableParagraph"/>
              <w:spacing w:line="188" w:lineRule="exact"/>
              <w:ind w:right="38"/>
              <w:jc w:val="right"/>
              <w:rPr>
                <w:b/>
                <w:sz w:val="18"/>
              </w:rPr>
            </w:pPr>
            <w:r>
              <w:rPr>
                <w:b/>
                <w:sz w:val="18"/>
              </w:rPr>
              <w:t>($370,846)</w:t>
            </w:r>
          </w:p>
        </w:tc>
        <w:tc>
          <w:tcPr>
            <w:tcW w:w="1983" w:type="dxa"/>
          </w:tcPr>
          <w:p w14:paraId="43082D41" w14:textId="77777777" w:rsidR="00FA4AA8" w:rsidRDefault="00FA4AA8">
            <w:pPr>
              <w:pStyle w:val="TableParagraph"/>
              <w:rPr>
                <w:rFonts w:ascii="Times New Roman"/>
                <w:sz w:val="14"/>
              </w:rPr>
            </w:pPr>
          </w:p>
        </w:tc>
        <w:tc>
          <w:tcPr>
            <w:tcW w:w="1702" w:type="dxa"/>
          </w:tcPr>
          <w:p w14:paraId="2BBCDDA6" w14:textId="77777777" w:rsidR="00FA4AA8" w:rsidRDefault="00FA4AA8">
            <w:pPr>
              <w:pStyle w:val="TableParagraph"/>
              <w:rPr>
                <w:rFonts w:ascii="Times New Roman"/>
                <w:sz w:val="14"/>
              </w:rPr>
            </w:pPr>
          </w:p>
        </w:tc>
      </w:tr>
    </w:tbl>
    <w:p w14:paraId="36352965" w14:textId="77777777" w:rsidR="00FA4AA8" w:rsidRDefault="00FA4AA8">
      <w:pPr>
        <w:pStyle w:val="BodyText"/>
        <w:spacing w:before="10"/>
        <w:rPr>
          <w:sz w:val="17"/>
        </w:rPr>
      </w:pPr>
    </w:p>
    <w:p w14:paraId="3081EAF9" w14:textId="77777777" w:rsidR="00FA4AA8" w:rsidRDefault="0015611F">
      <w:pPr>
        <w:pStyle w:val="BodyText"/>
        <w:ind w:left="260" w:right="755"/>
      </w:pPr>
      <w:r>
        <w:t>Financial KPI’s ensure that the development is delivered within the parameters established by the approved business case.</w:t>
      </w:r>
    </w:p>
    <w:p w14:paraId="03201FC9" w14:textId="77777777" w:rsidR="00FA4AA8" w:rsidRDefault="00FA4AA8">
      <w:pPr>
        <w:pStyle w:val="BodyText"/>
      </w:pPr>
    </w:p>
    <w:p w14:paraId="027026E2" w14:textId="77777777" w:rsidR="00FA4AA8" w:rsidRDefault="0015611F">
      <w:pPr>
        <w:pStyle w:val="BodyText"/>
        <w:spacing w:before="1"/>
        <w:ind w:left="260" w:right="245"/>
      </w:pPr>
      <w:r>
        <w:t>Non-financial performance measures are currently centred on the delivery of the development within the approved timeframe.</w:t>
      </w:r>
    </w:p>
    <w:p w14:paraId="23905CCF" w14:textId="77777777" w:rsidR="00FA4AA8" w:rsidRDefault="00FA4AA8">
      <w:pPr>
        <w:pStyle w:val="BodyText"/>
        <w:rPr>
          <w:sz w:val="20"/>
        </w:rPr>
      </w:pPr>
    </w:p>
    <w:p w14:paraId="74453E38" w14:textId="77777777" w:rsidR="00FA4AA8" w:rsidRDefault="00FA4AA8">
      <w:pPr>
        <w:pStyle w:val="BodyText"/>
        <w:spacing w:before="11"/>
        <w:rPr>
          <w:sz w:val="15"/>
        </w:rPr>
      </w:pPr>
    </w:p>
    <w:p w14:paraId="1F70D86A" w14:textId="77777777" w:rsidR="00FA4AA8" w:rsidRDefault="0015611F">
      <w:pPr>
        <w:pStyle w:val="BodyText"/>
        <w:spacing w:line="207" w:lineRule="exact"/>
        <w:ind w:left="260"/>
      </w:pPr>
      <w:r>
        <w:rPr>
          <w:u w:val="single"/>
        </w:rPr>
        <w:t>Management and Operations</w:t>
      </w:r>
    </w:p>
    <w:p w14:paraId="472B2DE7" w14:textId="77777777" w:rsidR="00FA4AA8" w:rsidRDefault="0015611F">
      <w:pPr>
        <w:pStyle w:val="BodyText"/>
        <w:ind w:left="260" w:right="365"/>
      </w:pPr>
      <w:r>
        <w:t>Western Growth Developments (Innovation Hub Parramatta) Pty Ltd is a wholly owned entity of Western Sydney University. A Board of Directors is responsible for the overall operations of the Company.</w:t>
      </w:r>
    </w:p>
    <w:p w14:paraId="5E8CD720" w14:textId="77777777" w:rsidR="00FA4AA8" w:rsidRDefault="00FA4AA8">
      <w:pPr>
        <w:sectPr w:rsidR="00FA4AA8">
          <w:headerReference w:type="default" r:id="rId332"/>
          <w:footerReference w:type="default" r:id="rId333"/>
          <w:pgSz w:w="11910" w:h="16840"/>
          <w:pgMar w:top="1340" w:right="1140" w:bottom="720" w:left="1180" w:header="0" w:footer="523" w:gutter="0"/>
          <w:pgNumType w:start="255"/>
          <w:cols w:space="720"/>
        </w:sectPr>
      </w:pPr>
    </w:p>
    <w:p w14:paraId="5C25C928" w14:textId="77777777" w:rsidR="00FA4AA8" w:rsidRDefault="0015611F">
      <w:pPr>
        <w:spacing w:before="78"/>
        <w:ind w:left="260"/>
        <w:rPr>
          <w:b/>
          <w:sz w:val="28"/>
        </w:rPr>
      </w:pPr>
      <w:r>
        <w:rPr>
          <w:b/>
          <w:color w:val="050505"/>
          <w:sz w:val="28"/>
        </w:rPr>
        <w:t>Western Growth Developments (Westmead) Pty Ltd</w:t>
      </w:r>
    </w:p>
    <w:p w14:paraId="30A2D7E7" w14:textId="77777777" w:rsidR="00FA4AA8" w:rsidRDefault="0015611F">
      <w:pPr>
        <w:pStyle w:val="BodyText"/>
        <w:spacing w:before="208"/>
        <w:ind w:left="260"/>
      </w:pPr>
      <w:r>
        <w:rPr>
          <w:color w:val="050505"/>
          <w:u w:val="single" w:color="050505"/>
        </w:rPr>
        <w:t>Principal Objectives</w:t>
      </w:r>
    </w:p>
    <w:p w14:paraId="7241809F" w14:textId="77777777" w:rsidR="00FA4AA8" w:rsidRDefault="0015611F">
      <w:pPr>
        <w:pStyle w:val="BodyText"/>
        <w:spacing w:before="2"/>
        <w:ind w:left="260" w:right="541"/>
      </w:pPr>
      <w:r>
        <w:t>The Company's principal objective is to act as a co-developer in respect of the Westmead commercial building project</w:t>
      </w:r>
      <w:r>
        <w:rPr>
          <w:color w:val="050505"/>
        </w:rPr>
        <w:t>.</w:t>
      </w:r>
    </w:p>
    <w:p w14:paraId="55F04D72" w14:textId="77777777" w:rsidR="00FA4AA8" w:rsidRDefault="00FA4AA8">
      <w:pPr>
        <w:pStyle w:val="BodyText"/>
        <w:spacing w:before="1"/>
        <w:rPr>
          <w:sz w:val="23"/>
        </w:rPr>
      </w:pPr>
    </w:p>
    <w:p w14:paraId="7ED7E7A6" w14:textId="77777777" w:rsidR="00FA4AA8" w:rsidRDefault="0015611F">
      <w:pPr>
        <w:pStyle w:val="BodyText"/>
        <w:ind w:left="260" w:right="6034"/>
      </w:pPr>
      <w:r>
        <w:rPr>
          <w:color w:val="050505"/>
          <w:u w:val="single" w:color="050505"/>
        </w:rPr>
        <w:t>Principal Activities and Strategic Projects</w:t>
      </w:r>
      <w:r>
        <w:rPr>
          <w:color w:val="050505"/>
        </w:rPr>
        <w:t xml:space="preserve"> </w:t>
      </w:r>
      <w:r>
        <w:t>The Company's principal activities are to:</w:t>
      </w:r>
    </w:p>
    <w:p w14:paraId="3BDED852" w14:textId="77777777" w:rsidR="00FA4AA8" w:rsidRDefault="0015611F">
      <w:pPr>
        <w:pStyle w:val="ListParagraph"/>
        <w:numPr>
          <w:ilvl w:val="0"/>
          <w:numId w:val="17"/>
        </w:numPr>
        <w:tabs>
          <w:tab w:val="left" w:pos="572"/>
        </w:tabs>
        <w:spacing w:before="61"/>
        <w:rPr>
          <w:sz w:val="18"/>
        </w:rPr>
      </w:pPr>
      <w:r>
        <w:rPr>
          <w:sz w:val="18"/>
        </w:rPr>
        <w:t>act as a co-developer in respect of the Westmead</w:t>
      </w:r>
      <w:r>
        <w:rPr>
          <w:spacing w:val="-10"/>
          <w:sz w:val="18"/>
        </w:rPr>
        <w:t xml:space="preserve"> </w:t>
      </w:r>
      <w:r>
        <w:rPr>
          <w:sz w:val="18"/>
        </w:rPr>
        <w:t>Project;</w:t>
      </w:r>
    </w:p>
    <w:p w14:paraId="6F1D95EE" w14:textId="77777777" w:rsidR="00FA4AA8" w:rsidRDefault="0015611F">
      <w:pPr>
        <w:pStyle w:val="ListParagraph"/>
        <w:numPr>
          <w:ilvl w:val="0"/>
          <w:numId w:val="17"/>
        </w:numPr>
        <w:tabs>
          <w:tab w:val="left" w:pos="563"/>
        </w:tabs>
        <w:spacing w:before="60"/>
        <w:ind w:left="562" w:hanging="303"/>
        <w:rPr>
          <w:sz w:val="18"/>
        </w:rPr>
      </w:pPr>
      <w:r>
        <w:rPr>
          <w:sz w:val="18"/>
        </w:rPr>
        <w:t>use and operate its interest in the completed Westmead Project to generate rental income;</w:t>
      </w:r>
      <w:r>
        <w:rPr>
          <w:spacing w:val="-20"/>
          <w:sz w:val="18"/>
        </w:rPr>
        <w:t xml:space="preserve"> </w:t>
      </w:r>
      <w:r>
        <w:rPr>
          <w:sz w:val="18"/>
        </w:rPr>
        <w:t>and</w:t>
      </w:r>
    </w:p>
    <w:p w14:paraId="5D0DCAFD" w14:textId="77777777" w:rsidR="00FA4AA8" w:rsidRDefault="0015611F">
      <w:pPr>
        <w:pStyle w:val="ListParagraph"/>
        <w:numPr>
          <w:ilvl w:val="0"/>
          <w:numId w:val="17"/>
        </w:numPr>
        <w:tabs>
          <w:tab w:val="left" w:pos="553"/>
        </w:tabs>
        <w:spacing w:before="59"/>
        <w:ind w:left="260" w:right="405" w:hanging="1"/>
        <w:rPr>
          <w:sz w:val="18"/>
        </w:rPr>
      </w:pPr>
      <w:r>
        <w:rPr>
          <w:sz w:val="18"/>
        </w:rPr>
        <w:t>undertake other development activities in Greater Western Sydney in furtherance of WSU's strategic plan for its campuses for future sustainability and</w:t>
      </w:r>
      <w:r>
        <w:rPr>
          <w:spacing w:val="-8"/>
          <w:sz w:val="18"/>
        </w:rPr>
        <w:t xml:space="preserve"> </w:t>
      </w:r>
      <w:r>
        <w:rPr>
          <w:sz w:val="18"/>
        </w:rPr>
        <w:t>growth.</w:t>
      </w:r>
    </w:p>
    <w:p w14:paraId="75312BBE" w14:textId="77777777" w:rsidR="00FA4AA8" w:rsidRDefault="00FA4AA8">
      <w:pPr>
        <w:pStyle w:val="BodyText"/>
        <w:spacing w:before="6"/>
        <w:rPr>
          <w:sz w:val="28"/>
        </w:rPr>
      </w:pPr>
    </w:p>
    <w:p w14:paraId="7A67FE13" w14:textId="77777777" w:rsidR="00FA4AA8" w:rsidRDefault="0015611F">
      <w:pPr>
        <w:pStyle w:val="BodyText"/>
        <w:ind w:left="260" w:right="285"/>
      </w:pPr>
      <w:r>
        <w:t>The Company entered into an agreement with Bieson Pty Limited to develop land and building at Westmead as co-developers. Both parties were granted a 125 year ground lease by Western Sydney University to carry out the development. The co-developers each have a 50% interest in the development and operation and will share equally in the project expenses, income, liabilities and assets.</w:t>
      </w:r>
    </w:p>
    <w:p w14:paraId="028B0808" w14:textId="77777777" w:rsidR="00FA4AA8" w:rsidRDefault="00FA4AA8">
      <w:pPr>
        <w:pStyle w:val="BodyText"/>
        <w:spacing w:before="2"/>
        <w:rPr>
          <w:sz w:val="23"/>
        </w:rPr>
      </w:pPr>
    </w:p>
    <w:p w14:paraId="2ABFC864" w14:textId="77777777" w:rsidR="00FA4AA8" w:rsidRDefault="0015611F">
      <w:pPr>
        <w:pStyle w:val="BodyText"/>
        <w:ind w:left="260"/>
      </w:pPr>
      <w:r>
        <w:rPr>
          <w:color w:val="050505"/>
          <w:u w:val="single" w:color="050505"/>
        </w:rPr>
        <w:t>Performance</w:t>
      </w:r>
      <w:r>
        <w:rPr>
          <w:color w:val="050505"/>
          <w:spacing w:val="-9"/>
          <w:u w:val="single" w:color="050505"/>
        </w:rPr>
        <w:t xml:space="preserve"> </w:t>
      </w:r>
      <w:r>
        <w:rPr>
          <w:color w:val="050505"/>
          <w:u w:val="single" w:color="050505"/>
        </w:rPr>
        <w:t>measures</w:t>
      </w:r>
    </w:p>
    <w:p w14:paraId="1A7761A0" w14:textId="77777777" w:rsidR="00FA4AA8" w:rsidRDefault="00FA4AA8">
      <w:pPr>
        <w:pStyle w:val="BodyText"/>
        <w:rPr>
          <w:sz w:val="12"/>
        </w:rPr>
      </w:pPr>
    </w:p>
    <w:p w14:paraId="70E8F191" w14:textId="77777777" w:rsidR="00FA4AA8" w:rsidRDefault="0015611F">
      <w:pPr>
        <w:pStyle w:val="BodyText"/>
        <w:spacing w:before="94"/>
        <w:ind w:left="260" w:right="594"/>
      </w:pPr>
      <w:r>
        <w:rPr>
          <w:color w:val="050505"/>
        </w:rPr>
        <w:t>The performance measures of the company are financial and non-financial related to the co-development of 6 Hassall St, Parramatta.</w:t>
      </w:r>
    </w:p>
    <w:p w14:paraId="33883B97" w14:textId="77777777" w:rsidR="00FA4AA8" w:rsidRDefault="00FA4AA8">
      <w:pPr>
        <w:pStyle w:val="BodyText"/>
        <w:spacing w:before="1" w:after="1"/>
      </w:pPr>
    </w:p>
    <w:tbl>
      <w:tblPr>
        <w:tblW w:w="0" w:type="auto"/>
        <w:tblInd w:w="2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18"/>
        <w:gridCol w:w="1985"/>
        <w:gridCol w:w="1983"/>
        <w:gridCol w:w="1702"/>
      </w:tblGrid>
      <w:tr w:rsidR="00FA4AA8" w14:paraId="3F2B4702" w14:textId="77777777">
        <w:trPr>
          <w:trHeight w:val="580"/>
        </w:trPr>
        <w:tc>
          <w:tcPr>
            <w:tcW w:w="3418" w:type="dxa"/>
          </w:tcPr>
          <w:p w14:paraId="0C62E9B3" w14:textId="77777777" w:rsidR="00FA4AA8" w:rsidRDefault="00FA4AA8">
            <w:pPr>
              <w:pStyle w:val="TableParagraph"/>
              <w:spacing w:before="11"/>
              <w:rPr>
                <w:sz w:val="15"/>
              </w:rPr>
            </w:pPr>
          </w:p>
          <w:p w14:paraId="49AC2356" w14:textId="77777777" w:rsidR="00FA4AA8" w:rsidRDefault="0015611F">
            <w:pPr>
              <w:pStyle w:val="TableParagraph"/>
              <w:ind w:left="107"/>
              <w:rPr>
                <w:b/>
                <w:i/>
                <w:sz w:val="18"/>
              </w:rPr>
            </w:pPr>
            <w:r>
              <w:rPr>
                <w:b/>
                <w:i/>
                <w:sz w:val="18"/>
              </w:rPr>
              <w:t>Category</w:t>
            </w:r>
          </w:p>
        </w:tc>
        <w:tc>
          <w:tcPr>
            <w:tcW w:w="1985" w:type="dxa"/>
          </w:tcPr>
          <w:p w14:paraId="6BD473A1" w14:textId="77777777" w:rsidR="00FA4AA8" w:rsidRDefault="00FA4AA8">
            <w:pPr>
              <w:pStyle w:val="TableParagraph"/>
              <w:spacing w:before="11"/>
              <w:rPr>
                <w:sz w:val="15"/>
              </w:rPr>
            </w:pPr>
          </w:p>
          <w:p w14:paraId="5064DC13" w14:textId="77777777" w:rsidR="00FA4AA8" w:rsidRDefault="0015611F">
            <w:pPr>
              <w:pStyle w:val="TableParagraph"/>
              <w:ind w:right="38"/>
              <w:jc w:val="right"/>
              <w:rPr>
                <w:b/>
                <w:i/>
                <w:sz w:val="18"/>
              </w:rPr>
            </w:pPr>
            <w:r>
              <w:rPr>
                <w:b/>
                <w:i/>
                <w:sz w:val="18"/>
              </w:rPr>
              <w:t>FY 2018 Actual</w:t>
            </w:r>
          </w:p>
        </w:tc>
        <w:tc>
          <w:tcPr>
            <w:tcW w:w="1983" w:type="dxa"/>
          </w:tcPr>
          <w:p w14:paraId="485BB705" w14:textId="77777777" w:rsidR="00FA4AA8" w:rsidRDefault="00FA4AA8">
            <w:pPr>
              <w:pStyle w:val="TableParagraph"/>
              <w:spacing w:before="11"/>
              <w:rPr>
                <w:sz w:val="15"/>
              </w:rPr>
            </w:pPr>
          </w:p>
          <w:p w14:paraId="018906CC" w14:textId="77777777" w:rsidR="00FA4AA8" w:rsidRDefault="0015611F">
            <w:pPr>
              <w:pStyle w:val="TableParagraph"/>
              <w:ind w:right="37"/>
              <w:jc w:val="right"/>
              <w:rPr>
                <w:b/>
                <w:i/>
                <w:sz w:val="18"/>
              </w:rPr>
            </w:pPr>
            <w:r>
              <w:rPr>
                <w:b/>
                <w:i/>
                <w:sz w:val="18"/>
              </w:rPr>
              <w:t>Annual 2018 Budget</w:t>
            </w:r>
          </w:p>
        </w:tc>
        <w:tc>
          <w:tcPr>
            <w:tcW w:w="1702" w:type="dxa"/>
          </w:tcPr>
          <w:p w14:paraId="00D67AA2" w14:textId="77777777" w:rsidR="00FA4AA8" w:rsidRDefault="0015611F">
            <w:pPr>
              <w:pStyle w:val="TableParagraph"/>
              <w:spacing w:before="80"/>
              <w:ind w:left="867" w:right="24" w:hanging="183"/>
              <w:rPr>
                <w:b/>
                <w:i/>
                <w:sz w:val="18"/>
              </w:rPr>
            </w:pPr>
            <w:r>
              <w:rPr>
                <w:b/>
                <w:i/>
                <w:sz w:val="18"/>
              </w:rPr>
              <w:t>% Full year achieved</w:t>
            </w:r>
          </w:p>
        </w:tc>
      </w:tr>
      <w:tr w:rsidR="00FA4AA8" w14:paraId="7A144771" w14:textId="77777777">
        <w:trPr>
          <w:trHeight w:val="270"/>
        </w:trPr>
        <w:tc>
          <w:tcPr>
            <w:tcW w:w="3418" w:type="dxa"/>
          </w:tcPr>
          <w:p w14:paraId="7A4FF8DE" w14:textId="77777777" w:rsidR="00FA4AA8" w:rsidRDefault="0015611F">
            <w:pPr>
              <w:pStyle w:val="TableParagraph"/>
              <w:spacing w:before="63" w:line="187" w:lineRule="exact"/>
              <w:ind w:left="107"/>
              <w:rPr>
                <w:sz w:val="18"/>
              </w:rPr>
            </w:pPr>
            <w:r>
              <w:rPr>
                <w:sz w:val="18"/>
              </w:rPr>
              <w:t>Revenue</w:t>
            </w:r>
          </w:p>
        </w:tc>
        <w:tc>
          <w:tcPr>
            <w:tcW w:w="1985" w:type="dxa"/>
          </w:tcPr>
          <w:p w14:paraId="690B45C5" w14:textId="77777777" w:rsidR="00FA4AA8" w:rsidRDefault="0015611F">
            <w:pPr>
              <w:pStyle w:val="TableParagraph"/>
              <w:spacing w:before="63" w:line="187" w:lineRule="exact"/>
              <w:ind w:right="41"/>
              <w:jc w:val="right"/>
              <w:rPr>
                <w:sz w:val="18"/>
              </w:rPr>
            </w:pPr>
            <w:r>
              <w:rPr>
                <w:w w:val="95"/>
                <w:sz w:val="18"/>
              </w:rPr>
              <w:t>$-</w:t>
            </w:r>
          </w:p>
        </w:tc>
        <w:tc>
          <w:tcPr>
            <w:tcW w:w="1983" w:type="dxa"/>
          </w:tcPr>
          <w:p w14:paraId="708090C6" w14:textId="77777777" w:rsidR="00FA4AA8" w:rsidRDefault="0015611F">
            <w:pPr>
              <w:pStyle w:val="TableParagraph"/>
              <w:spacing w:before="63" w:line="187" w:lineRule="exact"/>
              <w:ind w:right="39"/>
              <w:jc w:val="right"/>
              <w:rPr>
                <w:sz w:val="18"/>
              </w:rPr>
            </w:pPr>
            <w:r>
              <w:rPr>
                <w:w w:val="95"/>
                <w:sz w:val="18"/>
              </w:rPr>
              <w:t>$-</w:t>
            </w:r>
          </w:p>
        </w:tc>
        <w:tc>
          <w:tcPr>
            <w:tcW w:w="1702" w:type="dxa"/>
          </w:tcPr>
          <w:p w14:paraId="0F3EDF96" w14:textId="77777777" w:rsidR="00FA4AA8" w:rsidRDefault="00FA4AA8">
            <w:pPr>
              <w:pStyle w:val="TableParagraph"/>
              <w:rPr>
                <w:rFonts w:ascii="Times New Roman"/>
                <w:sz w:val="18"/>
              </w:rPr>
            </w:pPr>
          </w:p>
        </w:tc>
      </w:tr>
      <w:tr w:rsidR="00FA4AA8" w14:paraId="4348DCD4" w14:textId="77777777">
        <w:trPr>
          <w:trHeight w:val="270"/>
        </w:trPr>
        <w:tc>
          <w:tcPr>
            <w:tcW w:w="3418" w:type="dxa"/>
          </w:tcPr>
          <w:p w14:paraId="7705C4F7" w14:textId="77777777" w:rsidR="00FA4AA8" w:rsidRDefault="0015611F">
            <w:pPr>
              <w:pStyle w:val="TableParagraph"/>
              <w:spacing w:before="61" w:line="189" w:lineRule="exact"/>
              <w:ind w:left="107"/>
              <w:rPr>
                <w:sz w:val="18"/>
              </w:rPr>
            </w:pPr>
            <w:r>
              <w:rPr>
                <w:sz w:val="18"/>
              </w:rPr>
              <w:t>Expenses</w:t>
            </w:r>
          </w:p>
        </w:tc>
        <w:tc>
          <w:tcPr>
            <w:tcW w:w="1985" w:type="dxa"/>
          </w:tcPr>
          <w:p w14:paraId="33622EF1" w14:textId="77777777" w:rsidR="00FA4AA8" w:rsidRDefault="0015611F">
            <w:pPr>
              <w:pStyle w:val="TableParagraph"/>
              <w:spacing w:before="61" w:line="189" w:lineRule="exact"/>
              <w:ind w:right="39"/>
              <w:jc w:val="right"/>
              <w:rPr>
                <w:sz w:val="18"/>
              </w:rPr>
            </w:pPr>
            <w:r>
              <w:rPr>
                <w:sz w:val="18"/>
              </w:rPr>
              <w:t>$5,595</w:t>
            </w:r>
          </w:p>
        </w:tc>
        <w:tc>
          <w:tcPr>
            <w:tcW w:w="1983" w:type="dxa"/>
          </w:tcPr>
          <w:p w14:paraId="58AFAD17" w14:textId="77777777" w:rsidR="00FA4AA8" w:rsidRDefault="0015611F">
            <w:pPr>
              <w:pStyle w:val="TableParagraph"/>
              <w:spacing w:before="61" w:line="189" w:lineRule="exact"/>
              <w:ind w:right="39"/>
              <w:jc w:val="right"/>
              <w:rPr>
                <w:sz w:val="18"/>
              </w:rPr>
            </w:pPr>
            <w:r>
              <w:rPr>
                <w:w w:val="95"/>
                <w:sz w:val="18"/>
              </w:rPr>
              <w:t>$-</w:t>
            </w:r>
          </w:p>
        </w:tc>
        <w:tc>
          <w:tcPr>
            <w:tcW w:w="1702" w:type="dxa"/>
          </w:tcPr>
          <w:p w14:paraId="66902784" w14:textId="77777777" w:rsidR="00FA4AA8" w:rsidRDefault="00FA4AA8">
            <w:pPr>
              <w:pStyle w:val="TableParagraph"/>
              <w:rPr>
                <w:rFonts w:ascii="Times New Roman"/>
                <w:sz w:val="18"/>
              </w:rPr>
            </w:pPr>
          </w:p>
        </w:tc>
      </w:tr>
      <w:tr w:rsidR="00FA4AA8" w14:paraId="609C8EEA" w14:textId="77777777">
        <w:trPr>
          <w:trHeight w:val="267"/>
        </w:trPr>
        <w:tc>
          <w:tcPr>
            <w:tcW w:w="3418" w:type="dxa"/>
          </w:tcPr>
          <w:p w14:paraId="5D4C7DBE" w14:textId="77777777" w:rsidR="00FA4AA8" w:rsidRDefault="0015611F">
            <w:pPr>
              <w:pStyle w:val="TableParagraph"/>
              <w:spacing w:before="56" w:line="192" w:lineRule="exact"/>
              <w:ind w:left="107"/>
              <w:rPr>
                <w:b/>
                <w:sz w:val="18"/>
              </w:rPr>
            </w:pPr>
            <w:r>
              <w:rPr>
                <w:b/>
                <w:sz w:val="18"/>
              </w:rPr>
              <w:t>Operating Surplus/(Deficit)</w:t>
            </w:r>
          </w:p>
        </w:tc>
        <w:tc>
          <w:tcPr>
            <w:tcW w:w="1985" w:type="dxa"/>
          </w:tcPr>
          <w:p w14:paraId="5A80BBDC" w14:textId="77777777" w:rsidR="00FA4AA8" w:rsidRDefault="0015611F">
            <w:pPr>
              <w:pStyle w:val="TableParagraph"/>
              <w:spacing w:before="56" w:line="192" w:lineRule="exact"/>
              <w:ind w:right="38"/>
              <w:jc w:val="right"/>
              <w:rPr>
                <w:b/>
                <w:sz w:val="18"/>
              </w:rPr>
            </w:pPr>
            <w:r>
              <w:rPr>
                <w:b/>
                <w:sz w:val="18"/>
              </w:rPr>
              <w:t>($5,595)</w:t>
            </w:r>
          </w:p>
        </w:tc>
        <w:tc>
          <w:tcPr>
            <w:tcW w:w="1983" w:type="dxa"/>
          </w:tcPr>
          <w:p w14:paraId="17B3DEF6" w14:textId="77777777" w:rsidR="00FA4AA8" w:rsidRDefault="0015611F">
            <w:pPr>
              <w:pStyle w:val="TableParagraph"/>
              <w:spacing w:before="56" w:line="192" w:lineRule="exact"/>
              <w:ind w:right="39"/>
              <w:jc w:val="right"/>
              <w:rPr>
                <w:b/>
                <w:sz w:val="18"/>
              </w:rPr>
            </w:pPr>
            <w:r>
              <w:rPr>
                <w:b/>
                <w:w w:val="95"/>
                <w:sz w:val="18"/>
              </w:rPr>
              <w:t>$-</w:t>
            </w:r>
          </w:p>
        </w:tc>
        <w:tc>
          <w:tcPr>
            <w:tcW w:w="1702" w:type="dxa"/>
          </w:tcPr>
          <w:p w14:paraId="6A7D3664" w14:textId="77777777" w:rsidR="00FA4AA8" w:rsidRDefault="00FA4AA8">
            <w:pPr>
              <w:pStyle w:val="TableParagraph"/>
              <w:rPr>
                <w:rFonts w:ascii="Times New Roman"/>
                <w:sz w:val="18"/>
              </w:rPr>
            </w:pPr>
          </w:p>
        </w:tc>
      </w:tr>
      <w:tr w:rsidR="00FA4AA8" w14:paraId="66E81610" w14:textId="77777777">
        <w:trPr>
          <w:trHeight w:val="208"/>
        </w:trPr>
        <w:tc>
          <w:tcPr>
            <w:tcW w:w="3418" w:type="dxa"/>
          </w:tcPr>
          <w:p w14:paraId="7123991F" w14:textId="77777777" w:rsidR="00FA4AA8" w:rsidRDefault="0015611F">
            <w:pPr>
              <w:pStyle w:val="TableParagraph"/>
              <w:spacing w:before="1" w:line="187" w:lineRule="exact"/>
              <w:ind w:left="107"/>
              <w:rPr>
                <w:sz w:val="18"/>
              </w:rPr>
            </w:pPr>
            <w:r>
              <w:rPr>
                <w:sz w:val="18"/>
              </w:rPr>
              <w:t>Accumulated Retained Earnings</w:t>
            </w:r>
          </w:p>
        </w:tc>
        <w:tc>
          <w:tcPr>
            <w:tcW w:w="1985" w:type="dxa"/>
          </w:tcPr>
          <w:p w14:paraId="7DB62C99" w14:textId="77777777" w:rsidR="00FA4AA8" w:rsidRDefault="0015611F">
            <w:pPr>
              <w:pStyle w:val="TableParagraph"/>
              <w:spacing w:line="188" w:lineRule="exact"/>
              <w:ind w:right="38"/>
              <w:jc w:val="right"/>
              <w:rPr>
                <w:b/>
                <w:sz w:val="18"/>
              </w:rPr>
            </w:pPr>
            <w:r>
              <w:rPr>
                <w:b/>
                <w:sz w:val="18"/>
              </w:rPr>
              <w:t>($5,595)</w:t>
            </w:r>
          </w:p>
        </w:tc>
        <w:tc>
          <w:tcPr>
            <w:tcW w:w="1983" w:type="dxa"/>
          </w:tcPr>
          <w:p w14:paraId="50D9F0FA" w14:textId="77777777" w:rsidR="00FA4AA8" w:rsidRDefault="00FA4AA8">
            <w:pPr>
              <w:pStyle w:val="TableParagraph"/>
              <w:rPr>
                <w:rFonts w:ascii="Times New Roman"/>
                <w:sz w:val="14"/>
              </w:rPr>
            </w:pPr>
          </w:p>
        </w:tc>
        <w:tc>
          <w:tcPr>
            <w:tcW w:w="1702" w:type="dxa"/>
          </w:tcPr>
          <w:p w14:paraId="53FE895A" w14:textId="77777777" w:rsidR="00FA4AA8" w:rsidRDefault="00FA4AA8">
            <w:pPr>
              <w:pStyle w:val="TableParagraph"/>
              <w:rPr>
                <w:rFonts w:ascii="Times New Roman"/>
                <w:sz w:val="14"/>
              </w:rPr>
            </w:pPr>
          </w:p>
        </w:tc>
      </w:tr>
    </w:tbl>
    <w:p w14:paraId="70A351E1" w14:textId="77777777" w:rsidR="00FA4AA8" w:rsidRDefault="00FA4AA8">
      <w:pPr>
        <w:pStyle w:val="BodyText"/>
      </w:pPr>
    </w:p>
    <w:p w14:paraId="44891E6C" w14:textId="77777777" w:rsidR="00FA4AA8" w:rsidRDefault="0015611F">
      <w:pPr>
        <w:pStyle w:val="BodyText"/>
        <w:spacing w:before="1"/>
        <w:ind w:left="260" w:right="755"/>
      </w:pPr>
      <w:r>
        <w:t>Financial KPI’s ensure that the development is delivered within the parameters established by the approved business case.</w:t>
      </w:r>
    </w:p>
    <w:p w14:paraId="5B60EE79" w14:textId="77777777" w:rsidR="00FA4AA8" w:rsidRDefault="00FA4AA8">
      <w:pPr>
        <w:pStyle w:val="BodyText"/>
        <w:spacing w:before="9"/>
        <w:rPr>
          <w:sz w:val="17"/>
        </w:rPr>
      </w:pPr>
    </w:p>
    <w:p w14:paraId="30A97E9C" w14:textId="77777777" w:rsidR="00FA4AA8" w:rsidRDefault="0015611F">
      <w:pPr>
        <w:pStyle w:val="BodyText"/>
        <w:spacing w:before="1"/>
        <w:ind w:left="260" w:right="245"/>
      </w:pPr>
      <w:r>
        <w:t>Non-financial performance measures are currently centred on the delivery of the development within the approved timeframe.</w:t>
      </w:r>
    </w:p>
    <w:p w14:paraId="716AFAAA" w14:textId="77777777" w:rsidR="00FA4AA8" w:rsidRDefault="00FA4AA8">
      <w:pPr>
        <w:pStyle w:val="BodyText"/>
        <w:rPr>
          <w:sz w:val="20"/>
        </w:rPr>
      </w:pPr>
    </w:p>
    <w:p w14:paraId="301F3D5A" w14:textId="77777777" w:rsidR="00FA4AA8" w:rsidRDefault="00FA4AA8">
      <w:pPr>
        <w:pStyle w:val="BodyText"/>
        <w:spacing w:before="11"/>
        <w:rPr>
          <w:sz w:val="15"/>
        </w:rPr>
      </w:pPr>
    </w:p>
    <w:p w14:paraId="39816742" w14:textId="77777777" w:rsidR="00FA4AA8" w:rsidRDefault="0015611F">
      <w:pPr>
        <w:pStyle w:val="BodyText"/>
        <w:ind w:left="260"/>
      </w:pPr>
      <w:r>
        <w:rPr>
          <w:u w:val="single"/>
        </w:rPr>
        <w:t>Management and Operations</w:t>
      </w:r>
    </w:p>
    <w:p w14:paraId="34632658" w14:textId="77777777" w:rsidR="00FA4AA8" w:rsidRDefault="0015611F">
      <w:pPr>
        <w:pStyle w:val="BodyText"/>
        <w:spacing w:before="2"/>
        <w:ind w:left="260" w:right="596"/>
      </w:pPr>
      <w:r>
        <w:t>Western Growth Developments (Westmead) Pty Ltd is a wholly owned entity of Western Sydney University. A Board of Directors is responsible for the overall operations of the Company.</w:t>
      </w:r>
    </w:p>
    <w:p w14:paraId="5AC2CFDD" w14:textId="77777777" w:rsidR="00FA4AA8" w:rsidRDefault="00FA4AA8">
      <w:pPr>
        <w:sectPr w:rsidR="00FA4AA8">
          <w:headerReference w:type="default" r:id="rId334"/>
          <w:footerReference w:type="default" r:id="rId335"/>
          <w:pgSz w:w="11910" w:h="16840"/>
          <w:pgMar w:top="1340" w:right="1140" w:bottom="720" w:left="1180" w:header="0" w:footer="523" w:gutter="0"/>
          <w:pgNumType w:start="256"/>
          <w:cols w:space="720"/>
        </w:sectPr>
      </w:pPr>
    </w:p>
    <w:p w14:paraId="7EAD3F93" w14:textId="77777777" w:rsidR="00FA4AA8" w:rsidRDefault="007E2441">
      <w:pPr>
        <w:spacing w:before="83" w:line="247" w:lineRule="auto"/>
        <w:ind w:left="3759" w:right="3798"/>
        <w:jc w:val="center"/>
        <w:rPr>
          <w:rFonts w:ascii="Verdana"/>
          <w:sz w:val="16"/>
        </w:rPr>
      </w:pPr>
      <w:r>
        <w:rPr>
          <w:noProof/>
          <w:lang w:val="en-AU" w:eastAsia="en-AU"/>
        </w:rPr>
        <mc:AlternateContent>
          <mc:Choice Requires="wps">
            <w:drawing>
              <wp:anchor distT="0" distB="0" distL="114300" distR="114300" simplePos="0" relativeHeight="462829056" behindDoc="1" locked="0" layoutInCell="1" allowOverlap="1" wp14:anchorId="5A050D3B" wp14:editId="0ED9761D">
                <wp:simplePos x="0" y="0"/>
                <wp:positionH relativeFrom="page">
                  <wp:posOffset>575945</wp:posOffset>
                </wp:positionH>
                <wp:positionV relativeFrom="page">
                  <wp:posOffset>346075</wp:posOffset>
                </wp:positionV>
                <wp:extent cx="6408420" cy="10005695"/>
                <wp:effectExtent l="0" t="0" r="0" b="0"/>
                <wp:wrapNone/>
                <wp:docPr id="23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8420" cy="10005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51F6E" w14:textId="77777777" w:rsidR="001F3ACE" w:rsidRDefault="001F3ACE">
                            <w:pPr>
                              <w:spacing w:line="154" w:lineRule="exact"/>
                              <w:rPr>
                                <w:rFonts w:ascii="Verdana"/>
                                <w:sz w:val="13"/>
                              </w:rPr>
                            </w:pPr>
                            <w:r>
                              <w:rPr>
                                <w:rFonts w:ascii="Verdana"/>
                                <w:color w:val="231F20"/>
                                <w:sz w:val="13"/>
                              </w:rPr>
                              <w:t>ANNUAL REPORT 2017</w:t>
                            </w:r>
                          </w:p>
                          <w:p w14:paraId="2933730A" w14:textId="77777777" w:rsidR="001F3ACE" w:rsidRDefault="001F3ACE">
                            <w:pPr>
                              <w:pStyle w:val="BodyText"/>
                              <w:rPr>
                                <w:rFonts w:ascii="Verdana"/>
                                <w:sz w:val="16"/>
                              </w:rPr>
                            </w:pPr>
                          </w:p>
                          <w:p w14:paraId="35D10353" w14:textId="77777777" w:rsidR="001F3ACE" w:rsidRDefault="001F3ACE">
                            <w:pPr>
                              <w:pStyle w:val="BodyText"/>
                              <w:rPr>
                                <w:rFonts w:ascii="Verdana"/>
                                <w:sz w:val="16"/>
                              </w:rPr>
                            </w:pPr>
                          </w:p>
                          <w:p w14:paraId="2E7965F0" w14:textId="77777777" w:rsidR="001F3ACE" w:rsidRDefault="001F3ACE">
                            <w:pPr>
                              <w:pStyle w:val="BodyText"/>
                              <w:rPr>
                                <w:rFonts w:ascii="Verdana"/>
                                <w:sz w:val="16"/>
                              </w:rPr>
                            </w:pPr>
                          </w:p>
                          <w:p w14:paraId="0248796A" w14:textId="77777777" w:rsidR="001F3ACE" w:rsidRDefault="001F3ACE">
                            <w:pPr>
                              <w:pStyle w:val="BodyText"/>
                              <w:rPr>
                                <w:rFonts w:ascii="Verdana"/>
                                <w:sz w:val="16"/>
                              </w:rPr>
                            </w:pPr>
                          </w:p>
                          <w:p w14:paraId="31668717" w14:textId="77777777" w:rsidR="001F3ACE" w:rsidRDefault="001F3ACE">
                            <w:pPr>
                              <w:pStyle w:val="BodyText"/>
                              <w:rPr>
                                <w:rFonts w:ascii="Verdana"/>
                                <w:sz w:val="16"/>
                              </w:rPr>
                            </w:pPr>
                          </w:p>
                          <w:p w14:paraId="45593DF2" w14:textId="77777777" w:rsidR="001F3ACE" w:rsidRDefault="001F3ACE">
                            <w:pPr>
                              <w:pStyle w:val="BodyText"/>
                              <w:rPr>
                                <w:rFonts w:ascii="Verdana"/>
                                <w:sz w:val="16"/>
                              </w:rPr>
                            </w:pPr>
                          </w:p>
                          <w:p w14:paraId="0BAA4D6D" w14:textId="77777777" w:rsidR="001F3ACE" w:rsidRDefault="001F3ACE">
                            <w:pPr>
                              <w:pStyle w:val="BodyText"/>
                              <w:rPr>
                                <w:rFonts w:ascii="Verdana"/>
                                <w:sz w:val="16"/>
                              </w:rPr>
                            </w:pPr>
                          </w:p>
                          <w:p w14:paraId="1F690047" w14:textId="77777777" w:rsidR="001F3ACE" w:rsidRDefault="001F3ACE">
                            <w:pPr>
                              <w:pStyle w:val="BodyText"/>
                              <w:rPr>
                                <w:rFonts w:ascii="Verdana"/>
                                <w:sz w:val="16"/>
                              </w:rPr>
                            </w:pPr>
                          </w:p>
                          <w:p w14:paraId="1A3C67AE" w14:textId="77777777" w:rsidR="001F3ACE" w:rsidRDefault="001F3ACE">
                            <w:pPr>
                              <w:pStyle w:val="BodyText"/>
                              <w:rPr>
                                <w:rFonts w:ascii="Verdana"/>
                                <w:sz w:val="16"/>
                              </w:rPr>
                            </w:pPr>
                          </w:p>
                          <w:p w14:paraId="1A62476B" w14:textId="77777777" w:rsidR="001F3ACE" w:rsidRDefault="001F3ACE">
                            <w:pPr>
                              <w:pStyle w:val="BodyText"/>
                              <w:rPr>
                                <w:rFonts w:ascii="Verdana"/>
                                <w:sz w:val="16"/>
                              </w:rPr>
                            </w:pPr>
                          </w:p>
                          <w:p w14:paraId="475A991B" w14:textId="77777777" w:rsidR="001F3ACE" w:rsidRDefault="001F3ACE">
                            <w:pPr>
                              <w:pStyle w:val="BodyText"/>
                              <w:rPr>
                                <w:rFonts w:ascii="Verdana"/>
                                <w:sz w:val="16"/>
                              </w:rPr>
                            </w:pPr>
                          </w:p>
                          <w:p w14:paraId="79B0745A" w14:textId="77777777" w:rsidR="001F3ACE" w:rsidRDefault="001F3ACE">
                            <w:pPr>
                              <w:pStyle w:val="BodyText"/>
                              <w:rPr>
                                <w:rFonts w:ascii="Verdana"/>
                                <w:sz w:val="16"/>
                              </w:rPr>
                            </w:pPr>
                          </w:p>
                          <w:p w14:paraId="016C8ED8" w14:textId="77777777" w:rsidR="001F3ACE" w:rsidRDefault="001F3ACE">
                            <w:pPr>
                              <w:pStyle w:val="BodyText"/>
                              <w:rPr>
                                <w:rFonts w:ascii="Verdana"/>
                                <w:sz w:val="16"/>
                              </w:rPr>
                            </w:pPr>
                          </w:p>
                          <w:p w14:paraId="3CB0A88B" w14:textId="77777777" w:rsidR="001F3ACE" w:rsidRDefault="001F3ACE">
                            <w:pPr>
                              <w:pStyle w:val="BodyText"/>
                              <w:rPr>
                                <w:rFonts w:ascii="Verdana"/>
                                <w:sz w:val="16"/>
                              </w:rPr>
                            </w:pPr>
                          </w:p>
                          <w:p w14:paraId="603EBF8D" w14:textId="77777777" w:rsidR="001F3ACE" w:rsidRDefault="001F3ACE">
                            <w:pPr>
                              <w:pStyle w:val="BodyText"/>
                              <w:rPr>
                                <w:rFonts w:ascii="Verdana"/>
                                <w:sz w:val="16"/>
                              </w:rPr>
                            </w:pPr>
                          </w:p>
                          <w:p w14:paraId="62476E78" w14:textId="77777777" w:rsidR="001F3ACE" w:rsidRDefault="001F3ACE">
                            <w:pPr>
                              <w:pStyle w:val="BodyText"/>
                              <w:rPr>
                                <w:rFonts w:ascii="Verdana"/>
                                <w:sz w:val="16"/>
                              </w:rPr>
                            </w:pPr>
                          </w:p>
                          <w:p w14:paraId="6965E129" w14:textId="77777777" w:rsidR="001F3ACE" w:rsidRDefault="001F3ACE">
                            <w:pPr>
                              <w:pStyle w:val="BodyText"/>
                              <w:rPr>
                                <w:rFonts w:ascii="Verdana"/>
                                <w:sz w:val="16"/>
                              </w:rPr>
                            </w:pPr>
                          </w:p>
                          <w:p w14:paraId="047BCD7F" w14:textId="77777777" w:rsidR="001F3ACE" w:rsidRDefault="001F3ACE">
                            <w:pPr>
                              <w:pStyle w:val="BodyText"/>
                              <w:rPr>
                                <w:rFonts w:ascii="Verdana"/>
                                <w:sz w:val="16"/>
                              </w:rPr>
                            </w:pPr>
                          </w:p>
                          <w:p w14:paraId="1C872E52" w14:textId="77777777" w:rsidR="001F3ACE" w:rsidRDefault="001F3ACE">
                            <w:pPr>
                              <w:pStyle w:val="BodyText"/>
                              <w:rPr>
                                <w:rFonts w:ascii="Verdana"/>
                                <w:sz w:val="16"/>
                              </w:rPr>
                            </w:pPr>
                          </w:p>
                          <w:p w14:paraId="0908C793" w14:textId="77777777" w:rsidR="001F3ACE" w:rsidRDefault="001F3ACE">
                            <w:pPr>
                              <w:pStyle w:val="BodyText"/>
                              <w:rPr>
                                <w:rFonts w:ascii="Verdana"/>
                                <w:sz w:val="16"/>
                              </w:rPr>
                            </w:pPr>
                          </w:p>
                          <w:p w14:paraId="30DD0654" w14:textId="77777777" w:rsidR="001F3ACE" w:rsidRDefault="001F3ACE">
                            <w:pPr>
                              <w:pStyle w:val="BodyText"/>
                              <w:rPr>
                                <w:rFonts w:ascii="Verdana"/>
                                <w:sz w:val="16"/>
                              </w:rPr>
                            </w:pPr>
                          </w:p>
                          <w:p w14:paraId="2A4899A3" w14:textId="77777777" w:rsidR="001F3ACE" w:rsidRDefault="001F3ACE">
                            <w:pPr>
                              <w:pStyle w:val="BodyText"/>
                              <w:rPr>
                                <w:rFonts w:ascii="Verdana"/>
                                <w:sz w:val="16"/>
                              </w:rPr>
                            </w:pPr>
                          </w:p>
                          <w:p w14:paraId="3E3AC2E1" w14:textId="77777777" w:rsidR="001F3ACE" w:rsidRDefault="001F3ACE">
                            <w:pPr>
                              <w:pStyle w:val="BodyText"/>
                              <w:rPr>
                                <w:rFonts w:ascii="Verdana"/>
                                <w:sz w:val="16"/>
                              </w:rPr>
                            </w:pPr>
                          </w:p>
                          <w:p w14:paraId="6F530235" w14:textId="77777777" w:rsidR="001F3ACE" w:rsidRDefault="001F3ACE">
                            <w:pPr>
                              <w:pStyle w:val="BodyText"/>
                              <w:rPr>
                                <w:rFonts w:ascii="Verdana"/>
                                <w:sz w:val="16"/>
                              </w:rPr>
                            </w:pPr>
                          </w:p>
                          <w:p w14:paraId="5E88AE9A" w14:textId="77777777" w:rsidR="001F3ACE" w:rsidRDefault="001F3ACE">
                            <w:pPr>
                              <w:pStyle w:val="BodyText"/>
                              <w:rPr>
                                <w:rFonts w:ascii="Verdana"/>
                                <w:sz w:val="16"/>
                              </w:rPr>
                            </w:pPr>
                          </w:p>
                          <w:p w14:paraId="3C9F33D2" w14:textId="77777777" w:rsidR="001F3ACE" w:rsidRDefault="001F3ACE">
                            <w:pPr>
                              <w:pStyle w:val="BodyText"/>
                              <w:rPr>
                                <w:rFonts w:ascii="Verdana"/>
                                <w:sz w:val="16"/>
                              </w:rPr>
                            </w:pPr>
                          </w:p>
                          <w:p w14:paraId="4293CC04" w14:textId="77777777" w:rsidR="001F3ACE" w:rsidRDefault="001F3ACE">
                            <w:pPr>
                              <w:pStyle w:val="BodyText"/>
                              <w:rPr>
                                <w:rFonts w:ascii="Verdana"/>
                                <w:sz w:val="16"/>
                              </w:rPr>
                            </w:pPr>
                          </w:p>
                          <w:p w14:paraId="3B068F4B" w14:textId="77777777" w:rsidR="001F3ACE" w:rsidRDefault="001F3ACE">
                            <w:pPr>
                              <w:pStyle w:val="BodyText"/>
                              <w:rPr>
                                <w:rFonts w:ascii="Verdana"/>
                                <w:sz w:val="16"/>
                              </w:rPr>
                            </w:pPr>
                          </w:p>
                          <w:p w14:paraId="05B401EC" w14:textId="77777777" w:rsidR="001F3ACE" w:rsidRDefault="001F3ACE">
                            <w:pPr>
                              <w:pStyle w:val="BodyText"/>
                              <w:rPr>
                                <w:rFonts w:ascii="Verdana"/>
                                <w:sz w:val="16"/>
                              </w:rPr>
                            </w:pPr>
                          </w:p>
                          <w:p w14:paraId="65BA6DC2" w14:textId="77777777" w:rsidR="001F3ACE" w:rsidRDefault="001F3ACE">
                            <w:pPr>
                              <w:pStyle w:val="BodyText"/>
                              <w:rPr>
                                <w:rFonts w:ascii="Verdana"/>
                                <w:sz w:val="16"/>
                              </w:rPr>
                            </w:pPr>
                          </w:p>
                          <w:p w14:paraId="3C11A011" w14:textId="77777777" w:rsidR="001F3ACE" w:rsidRDefault="001F3ACE">
                            <w:pPr>
                              <w:pStyle w:val="BodyText"/>
                              <w:rPr>
                                <w:rFonts w:ascii="Verdana"/>
                                <w:sz w:val="16"/>
                              </w:rPr>
                            </w:pPr>
                          </w:p>
                          <w:p w14:paraId="0B3677EF" w14:textId="77777777" w:rsidR="001F3ACE" w:rsidRDefault="001F3ACE">
                            <w:pPr>
                              <w:pStyle w:val="BodyText"/>
                              <w:rPr>
                                <w:rFonts w:ascii="Verdana"/>
                                <w:sz w:val="16"/>
                              </w:rPr>
                            </w:pPr>
                          </w:p>
                          <w:p w14:paraId="43A3B170" w14:textId="77777777" w:rsidR="001F3ACE" w:rsidRDefault="001F3ACE">
                            <w:pPr>
                              <w:pStyle w:val="BodyText"/>
                              <w:rPr>
                                <w:rFonts w:ascii="Verdana"/>
                                <w:sz w:val="16"/>
                              </w:rPr>
                            </w:pPr>
                          </w:p>
                          <w:p w14:paraId="79DAF691" w14:textId="77777777" w:rsidR="001F3ACE" w:rsidRDefault="001F3ACE">
                            <w:pPr>
                              <w:pStyle w:val="BodyText"/>
                              <w:rPr>
                                <w:rFonts w:ascii="Verdana"/>
                                <w:sz w:val="16"/>
                              </w:rPr>
                            </w:pPr>
                          </w:p>
                          <w:p w14:paraId="6032138E" w14:textId="77777777" w:rsidR="001F3ACE" w:rsidRDefault="001F3ACE">
                            <w:pPr>
                              <w:pStyle w:val="BodyText"/>
                              <w:rPr>
                                <w:rFonts w:ascii="Verdana"/>
                                <w:sz w:val="16"/>
                              </w:rPr>
                            </w:pPr>
                          </w:p>
                          <w:p w14:paraId="7C252A97" w14:textId="77777777" w:rsidR="001F3ACE" w:rsidRDefault="001F3ACE">
                            <w:pPr>
                              <w:pStyle w:val="BodyText"/>
                              <w:rPr>
                                <w:rFonts w:ascii="Verdana"/>
                                <w:sz w:val="16"/>
                              </w:rPr>
                            </w:pPr>
                          </w:p>
                          <w:p w14:paraId="38DFD44C" w14:textId="77777777" w:rsidR="001F3ACE" w:rsidRDefault="001F3ACE">
                            <w:pPr>
                              <w:pStyle w:val="BodyText"/>
                              <w:rPr>
                                <w:rFonts w:ascii="Verdana"/>
                                <w:sz w:val="16"/>
                              </w:rPr>
                            </w:pPr>
                          </w:p>
                          <w:p w14:paraId="7DE041BF" w14:textId="77777777" w:rsidR="001F3ACE" w:rsidRDefault="001F3ACE">
                            <w:pPr>
                              <w:pStyle w:val="BodyText"/>
                              <w:rPr>
                                <w:rFonts w:ascii="Verdana"/>
                                <w:sz w:val="16"/>
                              </w:rPr>
                            </w:pPr>
                          </w:p>
                          <w:p w14:paraId="1F4729EF" w14:textId="77777777" w:rsidR="001F3ACE" w:rsidRDefault="001F3ACE">
                            <w:pPr>
                              <w:pStyle w:val="BodyText"/>
                              <w:rPr>
                                <w:rFonts w:ascii="Verdana"/>
                                <w:sz w:val="16"/>
                              </w:rPr>
                            </w:pPr>
                          </w:p>
                          <w:p w14:paraId="08207EE2" w14:textId="77777777" w:rsidR="001F3ACE" w:rsidRDefault="001F3ACE">
                            <w:pPr>
                              <w:pStyle w:val="BodyText"/>
                              <w:rPr>
                                <w:rFonts w:ascii="Verdana"/>
                                <w:sz w:val="16"/>
                              </w:rPr>
                            </w:pPr>
                          </w:p>
                          <w:p w14:paraId="61B05B66" w14:textId="77777777" w:rsidR="001F3ACE" w:rsidRDefault="001F3ACE">
                            <w:pPr>
                              <w:pStyle w:val="BodyText"/>
                              <w:rPr>
                                <w:rFonts w:ascii="Verdana"/>
                                <w:sz w:val="16"/>
                              </w:rPr>
                            </w:pPr>
                          </w:p>
                          <w:p w14:paraId="45AF33D8" w14:textId="77777777" w:rsidR="001F3ACE" w:rsidRDefault="001F3ACE">
                            <w:pPr>
                              <w:pStyle w:val="BodyText"/>
                              <w:rPr>
                                <w:rFonts w:ascii="Verdana"/>
                                <w:sz w:val="16"/>
                              </w:rPr>
                            </w:pPr>
                          </w:p>
                          <w:p w14:paraId="6D64AC80" w14:textId="77777777" w:rsidR="001F3ACE" w:rsidRDefault="001F3ACE">
                            <w:pPr>
                              <w:pStyle w:val="BodyText"/>
                              <w:rPr>
                                <w:rFonts w:ascii="Verdana"/>
                                <w:sz w:val="16"/>
                              </w:rPr>
                            </w:pPr>
                          </w:p>
                          <w:p w14:paraId="4A3A8BD5" w14:textId="77777777" w:rsidR="001F3ACE" w:rsidRDefault="001F3ACE">
                            <w:pPr>
                              <w:pStyle w:val="BodyText"/>
                              <w:rPr>
                                <w:rFonts w:ascii="Verdana"/>
                                <w:sz w:val="16"/>
                              </w:rPr>
                            </w:pPr>
                          </w:p>
                          <w:p w14:paraId="4313426B" w14:textId="77777777" w:rsidR="001F3ACE" w:rsidRDefault="001F3ACE">
                            <w:pPr>
                              <w:pStyle w:val="BodyText"/>
                              <w:rPr>
                                <w:rFonts w:ascii="Verdana"/>
                                <w:sz w:val="16"/>
                              </w:rPr>
                            </w:pPr>
                          </w:p>
                          <w:p w14:paraId="54E7ED1E" w14:textId="77777777" w:rsidR="001F3ACE" w:rsidRDefault="001F3ACE">
                            <w:pPr>
                              <w:pStyle w:val="BodyText"/>
                              <w:rPr>
                                <w:rFonts w:ascii="Verdana"/>
                                <w:sz w:val="16"/>
                              </w:rPr>
                            </w:pPr>
                          </w:p>
                          <w:p w14:paraId="60808777" w14:textId="77777777" w:rsidR="001F3ACE" w:rsidRDefault="001F3ACE">
                            <w:pPr>
                              <w:pStyle w:val="BodyText"/>
                              <w:rPr>
                                <w:rFonts w:ascii="Verdana"/>
                                <w:sz w:val="16"/>
                              </w:rPr>
                            </w:pPr>
                          </w:p>
                          <w:p w14:paraId="3DD9CBD4" w14:textId="77777777" w:rsidR="001F3ACE" w:rsidRDefault="001F3ACE">
                            <w:pPr>
                              <w:pStyle w:val="BodyText"/>
                              <w:rPr>
                                <w:rFonts w:ascii="Verdana"/>
                                <w:sz w:val="16"/>
                              </w:rPr>
                            </w:pPr>
                          </w:p>
                          <w:p w14:paraId="676D578F" w14:textId="77777777" w:rsidR="001F3ACE" w:rsidRDefault="001F3ACE">
                            <w:pPr>
                              <w:pStyle w:val="BodyText"/>
                              <w:rPr>
                                <w:rFonts w:ascii="Verdana"/>
                                <w:sz w:val="16"/>
                              </w:rPr>
                            </w:pPr>
                          </w:p>
                          <w:p w14:paraId="68C4F717" w14:textId="77777777" w:rsidR="001F3ACE" w:rsidRDefault="001F3ACE">
                            <w:pPr>
                              <w:pStyle w:val="BodyText"/>
                              <w:rPr>
                                <w:rFonts w:ascii="Verdana"/>
                                <w:sz w:val="16"/>
                              </w:rPr>
                            </w:pPr>
                          </w:p>
                          <w:p w14:paraId="67482E01" w14:textId="77777777" w:rsidR="001F3ACE" w:rsidRDefault="001F3ACE">
                            <w:pPr>
                              <w:pStyle w:val="BodyText"/>
                              <w:rPr>
                                <w:rFonts w:ascii="Verdana"/>
                                <w:sz w:val="16"/>
                              </w:rPr>
                            </w:pPr>
                          </w:p>
                          <w:p w14:paraId="5719D7D8" w14:textId="77777777" w:rsidR="001F3ACE" w:rsidRDefault="001F3ACE">
                            <w:pPr>
                              <w:pStyle w:val="BodyText"/>
                              <w:rPr>
                                <w:rFonts w:ascii="Verdana"/>
                                <w:sz w:val="16"/>
                              </w:rPr>
                            </w:pPr>
                          </w:p>
                          <w:p w14:paraId="157A6080" w14:textId="77777777" w:rsidR="001F3ACE" w:rsidRDefault="001F3ACE">
                            <w:pPr>
                              <w:pStyle w:val="BodyText"/>
                              <w:rPr>
                                <w:rFonts w:ascii="Verdana"/>
                                <w:sz w:val="16"/>
                              </w:rPr>
                            </w:pPr>
                          </w:p>
                          <w:p w14:paraId="12D4B89D" w14:textId="77777777" w:rsidR="001F3ACE" w:rsidRDefault="001F3ACE">
                            <w:pPr>
                              <w:pStyle w:val="BodyText"/>
                              <w:rPr>
                                <w:rFonts w:ascii="Verdana"/>
                                <w:sz w:val="16"/>
                              </w:rPr>
                            </w:pPr>
                          </w:p>
                          <w:p w14:paraId="05BB15A9" w14:textId="77777777" w:rsidR="001F3ACE" w:rsidRDefault="001F3ACE">
                            <w:pPr>
                              <w:pStyle w:val="BodyText"/>
                              <w:rPr>
                                <w:rFonts w:ascii="Verdana"/>
                                <w:sz w:val="16"/>
                              </w:rPr>
                            </w:pPr>
                          </w:p>
                          <w:p w14:paraId="753AB7D4" w14:textId="77777777" w:rsidR="001F3ACE" w:rsidRDefault="001F3ACE">
                            <w:pPr>
                              <w:pStyle w:val="BodyText"/>
                              <w:rPr>
                                <w:rFonts w:ascii="Verdana"/>
                                <w:sz w:val="16"/>
                              </w:rPr>
                            </w:pPr>
                          </w:p>
                          <w:p w14:paraId="68AB2C23" w14:textId="77777777" w:rsidR="001F3ACE" w:rsidRDefault="001F3ACE">
                            <w:pPr>
                              <w:pStyle w:val="BodyText"/>
                              <w:rPr>
                                <w:rFonts w:ascii="Verdana"/>
                                <w:sz w:val="16"/>
                              </w:rPr>
                            </w:pPr>
                          </w:p>
                          <w:p w14:paraId="09C918C1" w14:textId="77777777" w:rsidR="001F3ACE" w:rsidRDefault="001F3ACE">
                            <w:pPr>
                              <w:pStyle w:val="BodyText"/>
                              <w:rPr>
                                <w:rFonts w:ascii="Verdana"/>
                                <w:sz w:val="16"/>
                              </w:rPr>
                            </w:pPr>
                          </w:p>
                          <w:p w14:paraId="02C75605" w14:textId="77777777" w:rsidR="001F3ACE" w:rsidRDefault="001F3ACE">
                            <w:pPr>
                              <w:pStyle w:val="BodyText"/>
                              <w:rPr>
                                <w:rFonts w:ascii="Verdana"/>
                                <w:sz w:val="16"/>
                              </w:rPr>
                            </w:pPr>
                          </w:p>
                          <w:p w14:paraId="343BB03F" w14:textId="77777777" w:rsidR="001F3ACE" w:rsidRDefault="001F3ACE">
                            <w:pPr>
                              <w:pStyle w:val="BodyText"/>
                              <w:rPr>
                                <w:rFonts w:ascii="Verdana"/>
                                <w:sz w:val="16"/>
                              </w:rPr>
                            </w:pPr>
                          </w:p>
                          <w:p w14:paraId="70E51DBA" w14:textId="77777777" w:rsidR="001F3ACE" w:rsidRDefault="001F3ACE">
                            <w:pPr>
                              <w:pStyle w:val="BodyText"/>
                              <w:rPr>
                                <w:rFonts w:ascii="Verdana"/>
                                <w:sz w:val="16"/>
                              </w:rPr>
                            </w:pPr>
                          </w:p>
                          <w:p w14:paraId="20B26C4C" w14:textId="77777777" w:rsidR="001F3ACE" w:rsidRDefault="001F3ACE">
                            <w:pPr>
                              <w:pStyle w:val="BodyText"/>
                              <w:rPr>
                                <w:rFonts w:ascii="Verdana"/>
                                <w:sz w:val="16"/>
                              </w:rPr>
                            </w:pPr>
                          </w:p>
                          <w:p w14:paraId="77F15FAC" w14:textId="77777777" w:rsidR="001F3ACE" w:rsidRDefault="001F3ACE">
                            <w:pPr>
                              <w:pStyle w:val="BodyText"/>
                              <w:rPr>
                                <w:rFonts w:ascii="Verdana"/>
                                <w:sz w:val="16"/>
                              </w:rPr>
                            </w:pPr>
                          </w:p>
                          <w:p w14:paraId="01F02EF1" w14:textId="77777777" w:rsidR="001F3ACE" w:rsidRDefault="001F3ACE">
                            <w:pPr>
                              <w:pStyle w:val="BodyText"/>
                              <w:rPr>
                                <w:rFonts w:ascii="Verdana"/>
                                <w:sz w:val="16"/>
                              </w:rPr>
                            </w:pPr>
                          </w:p>
                          <w:p w14:paraId="764584ED" w14:textId="77777777" w:rsidR="001F3ACE" w:rsidRDefault="001F3ACE">
                            <w:pPr>
                              <w:pStyle w:val="BodyText"/>
                              <w:rPr>
                                <w:rFonts w:ascii="Verdana"/>
                                <w:sz w:val="16"/>
                              </w:rPr>
                            </w:pPr>
                          </w:p>
                          <w:p w14:paraId="64096CD6" w14:textId="77777777" w:rsidR="001F3ACE" w:rsidRDefault="001F3ACE">
                            <w:pPr>
                              <w:pStyle w:val="BodyText"/>
                              <w:rPr>
                                <w:rFonts w:ascii="Verdana"/>
                                <w:sz w:val="16"/>
                              </w:rPr>
                            </w:pPr>
                          </w:p>
                          <w:p w14:paraId="58A13E82" w14:textId="77777777" w:rsidR="001F3ACE" w:rsidRDefault="001F3ACE">
                            <w:pPr>
                              <w:pStyle w:val="BodyText"/>
                              <w:rPr>
                                <w:rFonts w:ascii="Verdana"/>
                                <w:sz w:val="16"/>
                              </w:rPr>
                            </w:pPr>
                          </w:p>
                          <w:p w14:paraId="3CE7E93A" w14:textId="77777777" w:rsidR="001F3ACE" w:rsidRDefault="001F3ACE">
                            <w:pPr>
                              <w:pStyle w:val="BodyText"/>
                              <w:rPr>
                                <w:rFonts w:ascii="Verdana"/>
                                <w:sz w:val="16"/>
                              </w:rPr>
                            </w:pPr>
                          </w:p>
                          <w:p w14:paraId="27EB3468" w14:textId="77777777" w:rsidR="001F3ACE" w:rsidRDefault="001F3ACE">
                            <w:pPr>
                              <w:pStyle w:val="BodyText"/>
                              <w:rPr>
                                <w:rFonts w:ascii="Verdana"/>
                                <w:sz w:val="16"/>
                              </w:rPr>
                            </w:pPr>
                          </w:p>
                          <w:p w14:paraId="05464790" w14:textId="77777777" w:rsidR="001F3ACE" w:rsidRDefault="001F3ACE">
                            <w:pPr>
                              <w:pStyle w:val="BodyText"/>
                              <w:rPr>
                                <w:rFonts w:ascii="Verdana"/>
                                <w:sz w:val="16"/>
                              </w:rPr>
                            </w:pPr>
                          </w:p>
                          <w:p w14:paraId="74340141" w14:textId="77777777" w:rsidR="001F3ACE" w:rsidRDefault="001F3ACE">
                            <w:pPr>
                              <w:pStyle w:val="BodyText"/>
                              <w:rPr>
                                <w:rFonts w:ascii="Verdana"/>
                                <w:sz w:val="16"/>
                              </w:rPr>
                            </w:pPr>
                          </w:p>
                          <w:p w14:paraId="0A20FF52" w14:textId="77777777" w:rsidR="001F3ACE" w:rsidRDefault="001F3ACE">
                            <w:pPr>
                              <w:pStyle w:val="BodyText"/>
                              <w:rPr>
                                <w:rFonts w:ascii="Verdana"/>
                                <w:sz w:val="16"/>
                              </w:rPr>
                            </w:pPr>
                          </w:p>
                          <w:p w14:paraId="2EEFA510" w14:textId="77777777" w:rsidR="001F3ACE" w:rsidRDefault="001F3ACE">
                            <w:pPr>
                              <w:pStyle w:val="BodyText"/>
                              <w:rPr>
                                <w:rFonts w:ascii="Verdana"/>
                                <w:sz w:val="16"/>
                              </w:rPr>
                            </w:pPr>
                          </w:p>
                          <w:p w14:paraId="3A9C1A19" w14:textId="77777777" w:rsidR="001F3ACE" w:rsidRDefault="001F3ACE">
                            <w:pPr>
                              <w:pStyle w:val="BodyText"/>
                              <w:rPr>
                                <w:rFonts w:ascii="Verdana"/>
                                <w:sz w:val="16"/>
                              </w:rPr>
                            </w:pPr>
                          </w:p>
                          <w:p w14:paraId="11A20F45" w14:textId="77777777" w:rsidR="001F3ACE" w:rsidRDefault="001F3ACE">
                            <w:pPr>
                              <w:pStyle w:val="BodyText"/>
                              <w:rPr>
                                <w:rFonts w:ascii="Verdana"/>
                                <w:sz w:val="16"/>
                              </w:rPr>
                            </w:pPr>
                          </w:p>
                          <w:p w14:paraId="113089E9" w14:textId="77777777" w:rsidR="001F3ACE" w:rsidRDefault="001F3ACE">
                            <w:pPr>
                              <w:pStyle w:val="BodyText"/>
                              <w:rPr>
                                <w:rFonts w:ascii="Verdana"/>
                                <w:sz w:val="16"/>
                              </w:rPr>
                            </w:pPr>
                          </w:p>
                          <w:p w14:paraId="0E2759D5" w14:textId="77777777" w:rsidR="001F3ACE" w:rsidRDefault="001F3ACE">
                            <w:pPr>
                              <w:pStyle w:val="BodyText"/>
                              <w:rPr>
                                <w:rFonts w:ascii="Verdana"/>
                                <w:sz w:val="16"/>
                              </w:rPr>
                            </w:pPr>
                          </w:p>
                          <w:p w14:paraId="16ADFDF9" w14:textId="77777777" w:rsidR="001F3ACE" w:rsidRDefault="001F3ACE">
                            <w:pPr>
                              <w:pStyle w:val="BodyText"/>
                              <w:rPr>
                                <w:rFonts w:ascii="Verdana"/>
                                <w:sz w:val="16"/>
                              </w:rPr>
                            </w:pPr>
                          </w:p>
                          <w:p w14:paraId="2BF4F8C6" w14:textId="77777777" w:rsidR="001F3ACE" w:rsidRDefault="001F3ACE">
                            <w:pPr>
                              <w:pStyle w:val="BodyText"/>
                              <w:spacing w:before="7"/>
                              <w:rPr>
                                <w:rFonts w:ascii="Verdana"/>
                                <w:sz w:val="22"/>
                              </w:rPr>
                            </w:pPr>
                          </w:p>
                          <w:p w14:paraId="6FF88A0F" w14:textId="77777777" w:rsidR="001F3ACE" w:rsidRDefault="001F3ACE">
                            <w:pPr>
                              <w:tabs>
                                <w:tab w:val="left" w:pos="8538"/>
                              </w:tabs>
                              <w:rPr>
                                <w:rFonts w:ascii="Trebuchet MS"/>
                                <w:sz w:val="13"/>
                              </w:rPr>
                            </w:pPr>
                            <w:r>
                              <w:rPr>
                                <w:rFonts w:ascii="Verdana"/>
                                <w:color w:val="231F20"/>
                                <w:sz w:val="13"/>
                              </w:rPr>
                              <w:t>2</w:t>
                            </w:r>
                            <w:r>
                              <w:rPr>
                                <w:rFonts w:ascii="Verdana"/>
                                <w:color w:val="231F20"/>
                                <w:sz w:val="13"/>
                              </w:rPr>
                              <w:tab/>
                            </w:r>
                            <w:r>
                              <w:rPr>
                                <w:rFonts w:ascii="Trebuchet MS"/>
                                <w:color w:val="231F20"/>
                                <w:sz w:val="13"/>
                              </w:rPr>
                              <w:t>Western Sydney</w:t>
                            </w:r>
                            <w:r>
                              <w:rPr>
                                <w:rFonts w:ascii="Trebuchet MS"/>
                                <w:color w:val="231F20"/>
                                <w:spacing w:val="-6"/>
                                <w:sz w:val="13"/>
                              </w:rPr>
                              <w:t xml:space="preserve"> </w:t>
                            </w:r>
                            <w:r>
                              <w:rPr>
                                <w:rFonts w:ascii="Trebuchet MS"/>
                                <w:color w:val="231F20"/>
                                <w:sz w:val="13"/>
                              </w:rPr>
                              <w:t>University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50D3B" id="Text Box 4" o:spid="_x0000_s1056" type="#_x0000_t202" style="position:absolute;left:0;text-align:left;margin-left:45.35pt;margin-top:27.25pt;width:504.6pt;height:787.85pt;z-index:-404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" filled="f" stroked="f">
                <v:textbox inset="0,0,0,0">
                  <w:txbxContent>
                    <w:p w14:paraId="16251F6E" w14:textId="77777777" w:rsidR="001F3ACE" w:rsidRDefault="001F3ACE">
                      <w:pPr>
                        <w:spacing w:line="154" w:lineRule="exact"/>
                        <w:rPr>
                          <w:rFonts w:ascii="Verdana"/>
                          <w:sz w:val="13"/>
                        </w:rPr>
                      </w:pPr>
                      <w:r>
                        <w:rPr>
                          <w:rFonts w:ascii="Verdana"/>
                          <w:color w:val="231F20"/>
                          <w:sz w:val="13"/>
                        </w:rPr>
                        <w:t>ANNUAL REPORT 2017</w:t>
                      </w:r>
                    </w:p>
                    <w:p w14:paraId="2933730A" w14:textId="77777777" w:rsidR="001F3ACE" w:rsidRDefault="001F3ACE">
                      <w:pPr>
                        <w:pStyle w:val="BodyText"/>
                        <w:rPr>
                          <w:rFonts w:ascii="Verdana"/>
                          <w:sz w:val="16"/>
                        </w:rPr>
                      </w:pPr>
                    </w:p>
                    <w:p w14:paraId="35D10353" w14:textId="77777777" w:rsidR="001F3ACE" w:rsidRDefault="001F3ACE">
                      <w:pPr>
                        <w:pStyle w:val="BodyText"/>
                        <w:rPr>
                          <w:rFonts w:ascii="Verdana"/>
                          <w:sz w:val="16"/>
                        </w:rPr>
                      </w:pPr>
                    </w:p>
                    <w:p w14:paraId="2E7965F0" w14:textId="77777777" w:rsidR="001F3ACE" w:rsidRDefault="001F3ACE">
                      <w:pPr>
                        <w:pStyle w:val="BodyText"/>
                        <w:rPr>
                          <w:rFonts w:ascii="Verdana"/>
                          <w:sz w:val="16"/>
                        </w:rPr>
                      </w:pPr>
                    </w:p>
                    <w:p w14:paraId="0248796A" w14:textId="77777777" w:rsidR="001F3ACE" w:rsidRDefault="001F3ACE">
                      <w:pPr>
                        <w:pStyle w:val="BodyText"/>
                        <w:rPr>
                          <w:rFonts w:ascii="Verdana"/>
                          <w:sz w:val="16"/>
                        </w:rPr>
                      </w:pPr>
                    </w:p>
                    <w:p w14:paraId="31668717" w14:textId="77777777" w:rsidR="001F3ACE" w:rsidRDefault="001F3ACE">
                      <w:pPr>
                        <w:pStyle w:val="BodyText"/>
                        <w:rPr>
                          <w:rFonts w:ascii="Verdana"/>
                          <w:sz w:val="16"/>
                        </w:rPr>
                      </w:pPr>
                    </w:p>
                    <w:p w14:paraId="45593DF2" w14:textId="77777777" w:rsidR="001F3ACE" w:rsidRDefault="001F3ACE">
                      <w:pPr>
                        <w:pStyle w:val="BodyText"/>
                        <w:rPr>
                          <w:rFonts w:ascii="Verdana"/>
                          <w:sz w:val="16"/>
                        </w:rPr>
                      </w:pPr>
                    </w:p>
                    <w:p w14:paraId="0BAA4D6D" w14:textId="77777777" w:rsidR="001F3ACE" w:rsidRDefault="001F3ACE">
                      <w:pPr>
                        <w:pStyle w:val="BodyText"/>
                        <w:rPr>
                          <w:rFonts w:ascii="Verdana"/>
                          <w:sz w:val="16"/>
                        </w:rPr>
                      </w:pPr>
                    </w:p>
                    <w:p w14:paraId="1F690047" w14:textId="77777777" w:rsidR="001F3ACE" w:rsidRDefault="001F3ACE">
                      <w:pPr>
                        <w:pStyle w:val="BodyText"/>
                        <w:rPr>
                          <w:rFonts w:ascii="Verdana"/>
                          <w:sz w:val="16"/>
                        </w:rPr>
                      </w:pPr>
                    </w:p>
                    <w:p w14:paraId="1A3C67AE" w14:textId="77777777" w:rsidR="001F3ACE" w:rsidRDefault="001F3ACE">
                      <w:pPr>
                        <w:pStyle w:val="BodyText"/>
                        <w:rPr>
                          <w:rFonts w:ascii="Verdana"/>
                          <w:sz w:val="16"/>
                        </w:rPr>
                      </w:pPr>
                    </w:p>
                    <w:p w14:paraId="1A62476B" w14:textId="77777777" w:rsidR="001F3ACE" w:rsidRDefault="001F3ACE">
                      <w:pPr>
                        <w:pStyle w:val="BodyText"/>
                        <w:rPr>
                          <w:rFonts w:ascii="Verdana"/>
                          <w:sz w:val="16"/>
                        </w:rPr>
                      </w:pPr>
                    </w:p>
                    <w:p w14:paraId="475A991B" w14:textId="77777777" w:rsidR="001F3ACE" w:rsidRDefault="001F3ACE">
                      <w:pPr>
                        <w:pStyle w:val="BodyText"/>
                        <w:rPr>
                          <w:rFonts w:ascii="Verdana"/>
                          <w:sz w:val="16"/>
                        </w:rPr>
                      </w:pPr>
                    </w:p>
                    <w:p w14:paraId="79B0745A" w14:textId="77777777" w:rsidR="001F3ACE" w:rsidRDefault="001F3ACE">
                      <w:pPr>
                        <w:pStyle w:val="BodyText"/>
                        <w:rPr>
                          <w:rFonts w:ascii="Verdana"/>
                          <w:sz w:val="16"/>
                        </w:rPr>
                      </w:pPr>
                    </w:p>
                    <w:p w14:paraId="016C8ED8" w14:textId="77777777" w:rsidR="001F3ACE" w:rsidRDefault="001F3ACE">
                      <w:pPr>
                        <w:pStyle w:val="BodyText"/>
                        <w:rPr>
                          <w:rFonts w:ascii="Verdana"/>
                          <w:sz w:val="16"/>
                        </w:rPr>
                      </w:pPr>
                    </w:p>
                    <w:p w14:paraId="3CB0A88B" w14:textId="77777777" w:rsidR="001F3ACE" w:rsidRDefault="001F3ACE">
                      <w:pPr>
                        <w:pStyle w:val="BodyText"/>
                        <w:rPr>
                          <w:rFonts w:ascii="Verdana"/>
                          <w:sz w:val="16"/>
                        </w:rPr>
                      </w:pPr>
                    </w:p>
                    <w:p w14:paraId="603EBF8D" w14:textId="77777777" w:rsidR="001F3ACE" w:rsidRDefault="001F3ACE">
                      <w:pPr>
                        <w:pStyle w:val="BodyText"/>
                        <w:rPr>
                          <w:rFonts w:ascii="Verdana"/>
                          <w:sz w:val="16"/>
                        </w:rPr>
                      </w:pPr>
                    </w:p>
                    <w:p w14:paraId="62476E78" w14:textId="77777777" w:rsidR="001F3ACE" w:rsidRDefault="001F3ACE">
                      <w:pPr>
                        <w:pStyle w:val="BodyText"/>
                        <w:rPr>
                          <w:rFonts w:ascii="Verdana"/>
                          <w:sz w:val="16"/>
                        </w:rPr>
                      </w:pPr>
                    </w:p>
                    <w:p w14:paraId="6965E129" w14:textId="77777777" w:rsidR="001F3ACE" w:rsidRDefault="001F3ACE">
                      <w:pPr>
                        <w:pStyle w:val="BodyText"/>
                        <w:rPr>
                          <w:rFonts w:ascii="Verdana"/>
                          <w:sz w:val="16"/>
                        </w:rPr>
                      </w:pPr>
                    </w:p>
                    <w:p w14:paraId="047BCD7F" w14:textId="77777777" w:rsidR="001F3ACE" w:rsidRDefault="001F3ACE">
                      <w:pPr>
                        <w:pStyle w:val="BodyText"/>
                        <w:rPr>
                          <w:rFonts w:ascii="Verdana"/>
                          <w:sz w:val="16"/>
                        </w:rPr>
                      </w:pPr>
                    </w:p>
                    <w:p w14:paraId="1C872E52" w14:textId="77777777" w:rsidR="001F3ACE" w:rsidRDefault="001F3ACE">
                      <w:pPr>
                        <w:pStyle w:val="BodyText"/>
                        <w:rPr>
                          <w:rFonts w:ascii="Verdana"/>
                          <w:sz w:val="16"/>
                        </w:rPr>
                      </w:pPr>
                    </w:p>
                    <w:p w14:paraId="0908C793" w14:textId="77777777" w:rsidR="001F3ACE" w:rsidRDefault="001F3ACE">
                      <w:pPr>
                        <w:pStyle w:val="BodyText"/>
                        <w:rPr>
                          <w:rFonts w:ascii="Verdana"/>
                          <w:sz w:val="16"/>
                        </w:rPr>
                      </w:pPr>
                    </w:p>
                    <w:p w14:paraId="30DD0654" w14:textId="77777777" w:rsidR="001F3ACE" w:rsidRDefault="001F3ACE">
                      <w:pPr>
                        <w:pStyle w:val="BodyText"/>
                        <w:rPr>
                          <w:rFonts w:ascii="Verdana"/>
                          <w:sz w:val="16"/>
                        </w:rPr>
                      </w:pPr>
                    </w:p>
                    <w:p w14:paraId="2A4899A3" w14:textId="77777777" w:rsidR="001F3ACE" w:rsidRDefault="001F3ACE">
                      <w:pPr>
                        <w:pStyle w:val="BodyText"/>
                        <w:rPr>
                          <w:rFonts w:ascii="Verdana"/>
                          <w:sz w:val="16"/>
                        </w:rPr>
                      </w:pPr>
                    </w:p>
                    <w:p w14:paraId="3E3AC2E1" w14:textId="77777777" w:rsidR="001F3ACE" w:rsidRDefault="001F3ACE">
                      <w:pPr>
                        <w:pStyle w:val="BodyText"/>
                        <w:rPr>
                          <w:rFonts w:ascii="Verdana"/>
                          <w:sz w:val="16"/>
                        </w:rPr>
                      </w:pPr>
                    </w:p>
                    <w:p w14:paraId="6F530235" w14:textId="77777777" w:rsidR="001F3ACE" w:rsidRDefault="001F3ACE">
                      <w:pPr>
                        <w:pStyle w:val="BodyText"/>
                        <w:rPr>
                          <w:rFonts w:ascii="Verdana"/>
                          <w:sz w:val="16"/>
                        </w:rPr>
                      </w:pPr>
                    </w:p>
                    <w:p w14:paraId="5E88AE9A" w14:textId="77777777" w:rsidR="001F3ACE" w:rsidRDefault="001F3ACE">
                      <w:pPr>
                        <w:pStyle w:val="BodyText"/>
                        <w:rPr>
                          <w:rFonts w:ascii="Verdana"/>
                          <w:sz w:val="16"/>
                        </w:rPr>
                      </w:pPr>
                    </w:p>
                    <w:p w14:paraId="3C9F33D2" w14:textId="77777777" w:rsidR="001F3ACE" w:rsidRDefault="001F3ACE">
                      <w:pPr>
                        <w:pStyle w:val="BodyText"/>
                        <w:rPr>
                          <w:rFonts w:ascii="Verdana"/>
                          <w:sz w:val="16"/>
                        </w:rPr>
                      </w:pPr>
                    </w:p>
                    <w:p w14:paraId="4293CC04" w14:textId="77777777" w:rsidR="001F3ACE" w:rsidRDefault="001F3ACE">
                      <w:pPr>
                        <w:pStyle w:val="BodyText"/>
                        <w:rPr>
                          <w:rFonts w:ascii="Verdana"/>
                          <w:sz w:val="16"/>
                        </w:rPr>
                      </w:pPr>
                    </w:p>
                    <w:p w14:paraId="3B068F4B" w14:textId="77777777" w:rsidR="001F3ACE" w:rsidRDefault="001F3ACE">
                      <w:pPr>
                        <w:pStyle w:val="BodyText"/>
                        <w:rPr>
                          <w:rFonts w:ascii="Verdana"/>
                          <w:sz w:val="16"/>
                        </w:rPr>
                      </w:pPr>
                    </w:p>
                    <w:p w14:paraId="05B401EC" w14:textId="77777777" w:rsidR="001F3ACE" w:rsidRDefault="001F3ACE">
                      <w:pPr>
                        <w:pStyle w:val="BodyText"/>
                        <w:rPr>
                          <w:rFonts w:ascii="Verdana"/>
                          <w:sz w:val="16"/>
                        </w:rPr>
                      </w:pPr>
                    </w:p>
                    <w:p w14:paraId="65BA6DC2" w14:textId="77777777" w:rsidR="001F3ACE" w:rsidRDefault="001F3ACE">
                      <w:pPr>
                        <w:pStyle w:val="BodyText"/>
                        <w:rPr>
                          <w:rFonts w:ascii="Verdana"/>
                          <w:sz w:val="16"/>
                        </w:rPr>
                      </w:pPr>
                    </w:p>
                    <w:p w14:paraId="3C11A011" w14:textId="77777777" w:rsidR="001F3ACE" w:rsidRDefault="001F3ACE">
                      <w:pPr>
                        <w:pStyle w:val="BodyText"/>
                        <w:rPr>
                          <w:rFonts w:ascii="Verdana"/>
                          <w:sz w:val="16"/>
                        </w:rPr>
                      </w:pPr>
                    </w:p>
                    <w:p w14:paraId="0B3677EF" w14:textId="77777777" w:rsidR="001F3ACE" w:rsidRDefault="001F3ACE">
                      <w:pPr>
                        <w:pStyle w:val="BodyText"/>
                        <w:rPr>
                          <w:rFonts w:ascii="Verdana"/>
                          <w:sz w:val="16"/>
                        </w:rPr>
                      </w:pPr>
                    </w:p>
                    <w:p w14:paraId="43A3B170" w14:textId="77777777" w:rsidR="001F3ACE" w:rsidRDefault="001F3ACE">
                      <w:pPr>
                        <w:pStyle w:val="BodyText"/>
                        <w:rPr>
                          <w:rFonts w:ascii="Verdana"/>
                          <w:sz w:val="16"/>
                        </w:rPr>
                      </w:pPr>
                    </w:p>
                    <w:p w14:paraId="79DAF691" w14:textId="77777777" w:rsidR="001F3ACE" w:rsidRDefault="001F3ACE">
                      <w:pPr>
                        <w:pStyle w:val="BodyText"/>
                        <w:rPr>
                          <w:rFonts w:ascii="Verdana"/>
                          <w:sz w:val="16"/>
                        </w:rPr>
                      </w:pPr>
                    </w:p>
                    <w:p w14:paraId="6032138E" w14:textId="77777777" w:rsidR="001F3ACE" w:rsidRDefault="001F3ACE">
                      <w:pPr>
                        <w:pStyle w:val="BodyText"/>
                        <w:rPr>
                          <w:rFonts w:ascii="Verdana"/>
                          <w:sz w:val="16"/>
                        </w:rPr>
                      </w:pPr>
                    </w:p>
                    <w:p w14:paraId="7C252A97" w14:textId="77777777" w:rsidR="001F3ACE" w:rsidRDefault="001F3ACE">
                      <w:pPr>
                        <w:pStyle w:val="BodyText"/>
                        <w:rPr>
                          <w:rFonts w:ascii="Verdana"/>
                          <w:sz w:val="16"/>
                        </w:rPr>
                      </w:pPr>
                    </w:p>
                    <w:p w14:paraId="38DFD44C" w14:textId="77777777" w:rsidR="001F3ACE" w:rsidRDefault="001F3ACE">
                      <w:pPr>
                        <w:pStyle w:val="BodyText"/>
                        <w:rPr>
                          <w:rFonts w:ascii="Verdana"/>
                          <w:sz w:val="16"/>
                        </w:rPr>
                      </w:pPr>
                    </w:p>
                    <w:p w14:paraId="7DE041BF" w14:textId="77777777" w:rsidR="001F3ACE" w:rsidRDefault="001F3ACE">
                      <w:pPr>
                        <w:pStyle w:val="BodyText"/>
                        <w:rPr>
                          <w:rFonts w:ascii="Verdana"/>
                          <w:sz w:val="16"/>
                        </w:rPr>
                      </w:pPr>
                    </w:p>
                    <w:p w14:paraId="1F4729EF" w14:textId="77777777" w:rsidR="001F3ACE" w:rsidRDefault="001F3ACE">
                      <w:pPr>
                        <w:pStyle w:val="BodyText"/>
                        <w:rPr>
                          <w:rFonts w:ascii="Verdana"/>
                          <w:sz w:val="16"/>
                        </w:rPr>
                      </w:pPr>
                    </w:p>
                    <w:p w14:paraId="08207EE2" w14:textId="77777777" w:rsidR="001F3ACE" w:rsidRDefault="001F3ACE">
                      <w:pPr>
                        <w:pStyle w:val="BodyText"/>
                        <w:rPr>
                          <w:rFonts w:ascii="Verdana"/>
                          <w:sz w:val="16"/>
                        </w:rPr>
                      </w:pPr>
                    </w:p>
                    <w:p w14:paraId="61B05B66" w14:textId="77777777" w:rsidR="001F3ACE" w:rsidRDefault="001F3ACE">
                      <w:pPr>
                        <w:pStyle w:val="BodyText"/>
                        <w:rPr>
                          <w:rFonts w:ascii="Verdana"/>
                          <w:sz w:val="16"/>
                        </w:rPr>
                      </w:pPr>
                    </w:p>
                    <w:p w14:paraId="45AF33D8" w14:textId="77777777" w:rsidR="001F3ACE" w:rsidRDefault="001F3ACE">
                      <w:pPr>
                        <w:pStyle w:val="BodyText"/>
                        <w:rPr>
                          <w:rFonts w:ascii="Verdana"/>
                          <w:sz w:val="16"/>
                        </w:rPr>
                      </w:pPr>
                    </w:p>
                    <w:p w14:paraId="6D64AC80" w14:textId="77777777" w:rsidR="001F3ACE" w:rsidRDefault="001F3ACE">
                      <w:pPr>
                        <w:pStyle w:val="BodyText"/>
                        <w:rPr>
                          <w:rFonts w:ascii="Verdana"/>
                          <w:sz w:val="16"/>
                        </w:rPr>
                      </w:pPr>
                    </w:p>
                    <w:p w14:paraId="4A3A8BD5" w14:textId="77777777" w:rsidR="001F3ACE" w:rsidRDefault="001F3ACE">
                      <w:pPr>
                        <w:pStyle w:val="BodyText"/>
                        <w:rPr>
                          <w:rFonts w:ascii="Verdana"/>
                          <w:sz w:val="16"/>
                        </w:rPr>
                      </w:pPr>
                    </w:p>
                    <w:p w14:paraId="4313426B" w14:textId="77777777" w:rsidR="001F3ACE" w:rsidRDefault="001F3ACE">
                      <w:pPr>
                        <w:pStyle w:val="BodyText"/>
                        <w:rPr>
                          <w:rFonts w:ascii="Verdana"/>
                          <w:sz w:val="16"/>
                        </w:rPr>
                      </w:pPr>
                    </w:p>
                    <w:p w14:paraId="54E7ED1E" w14:textId="77777777" w:rsidR="001F3ACE" w:rsidRDefault="001F3ACE">
                      <w:pPr>
                        <w:pStyle w:val="BodyText"/>
                        <w:rPr>
                          <w:rFonts w:ascii="Verdana"/>
                          <w:sz w:val="16"/>
                        </w:rPr>
                      </w:pPr>
                    </w:p>
                    <w:p w14:paraId="60808777" w14:textId="77777777" w:rsidR="001F3ACE" w:rsidRDefault="001F3ACE">
                      <w:pPr>
                        <w:pStyle w:val="BodyText"/>
                        <w:rPr>
                          <w:rFonts w:ascii="Verdana"/>
                          <w:sz w:val="16"/>
                        </w:rPr>
                      </w:pPr>
                    </w:p>
                    <w:p w14:paraId="3DD9CBD4" w14:textId="77777777" w:rsidR="001F3ACE" w:rsidRDefault="001F3ACE">
                      <w:pPr>
                        <w:pStyle w:val="BodyText"/>
                        <w:rPr>
                          <w:rFonts w:ascii="Verdana"/>
                          <w:sz w:val="16"/>
                        </w:rPr>
                      </w:pPr>
                    </w:p>
                    <w:p w14:paraId="676D578F" w14:textId="77777777" w:rsidR="001F3ACE" w:rsidRDefault="001F3ACE">
                      <w:pPr>
                        <w:pStyle w:val="BodyText"/>
                        <w:rPr>
                          <w:rFonts w:ascii="Verdana"/>
                          <w:sz w:val="16"/>
                        </w:rPr>
                      </w:pPr>
                    </w:p>
                    <w:p w14:paraId="68C4F717" w14:textId="77777777" w:rsidR="001F3ACE" w:rsidRDefault="001F3ACE">
                      <w:pPr>
                        <w:pStyle w:val="BodyText"/>
                        <w:rPr>
                          <w:rFonts w:ascii="Verdana"/>
                          <w:sz w:val="16"/>
                        </w:rPr>
                      </w:pPr>
                    </w:p>
                    <w:p w14:paraId="67482E01" w14:textId="77777777" w:rsidR="001F3ACE" w:rsidRDefault="001F3ACE">
                      <w:pPr>
                        <w:pStyle w:val="BodyText"/>
                        <w:rPr>
                          <w:rFonts w:ascii="Verdana"/>
                          <w:sz w:val="16"/>
                        </w:rPr>
                      </w:pPr>
                    </w:p>
                    <w:p w14:paraId="5719D7D8" w14:textId="77777777" w:rsidR="001F3ACE" w:rsidRDefault="001F3ACE">
                      <w:pPr>
                        <w:pStyle w:val="BodyText"/>
                        <w:rPr>
                          <w:rFonts w:ascii="Verdana"/>
                          <w:sz w:val="16"/>
                        </w:rPr>
                      </w:pPr>
                    </w:p>
                    <w:p w14:paraId="157A6080" w14:textId="77777777" w:rsidR="001F3ACE" w:rsidRDefault="001F3ACE">
                      <w:pPr>
                        <w:pStyle w:val="BodyText"/>
                        <w:rPr>
                          <w:rFonts w:ascii="Verdana"/>
                          <w:sz w:val="16"/>
                        </w:rPr>
                      </w:pPr>
                    </w:p>
                    <w:p w14:paraId="12D4B89D" w14:textId="77777777" w:rsidR="001F3ACE" w:rsidRDefault="001F3ACE">
                      <w:pPr>
                        <w:pStyle w:val="BodyText"/>
                        <w:rPr>
                          <w:rFonts w:ascii="Verdana"/>
                          <w:sz w:val="16"/>
                        </w:rPr>
                      </w:pPr>
                    </w:p>
                    <w:p w14:paraId="05BB15A9" w14:textId="77777777" w:rsidR="001F3ACE" w:rsidRDefault="001F3ACE">
                      <w:pPr>
                        <w:pStyle w:val="BodyText"/>
                        <w:rPr>
                          <w:rFonts w:ascii="Verdana"/>
                          <w:sz w:val="16"/>
                        </w:rPr>
                      </w:pPr>
                    </w:p>
                    <w:p w14:paraId="753AB7D4" w14:textId="77777777" w:rsidR="001F3ACE" w:rsidRDefault="001F3ACE">
                      <w:pPr>
                        <w:pStyle w:val="BodyText"/>
                        <w:rPr>
                          <w:rFonts w:ascii="Verdana"/>
                          <w:sz w:val="16"/>
                        </w:rPr>
                      </w:pPr>
                    </w:p>
                    <w:p w14:paraId="68AB2C23" w14:textId="77777777" w:rsidR="001F3ACE" w:rsidRDefault="001F3ACE">
                      <w:pPr>
                        <w:pStyle w:val="BodyText"/>
                        <w:rPr>
                          <w:rFonts w:ascii="Verdana"/>
                          <w:sz w:val="16"/>
                        </w:rPr>
                      </w:pPr>
                    </w:p>
                    <w:p w14:paraId="09C918C1" w14:textId="77777777" w:rsidR="001F3ACE" w:rsidRDefault="001F3ACE">
                      <w:pPr>
                        <w:pStyle w:val="BodyText"/>
                        <w:rPr>
                          <w:rFonts w:ascii="Verdana"/>
                          <w:sz w:val="16"/>
                        </w:rPr>
                      </w:pPr>
                    </w:p>
                    <w:p w14:paraId="02C75605" w14:textId="77777777" w:rsidR="001F3ACE" w:rsidRDefault="001F3ACE">
                      <w:pPr>
                        <w:pStyle w:val="BodyText"/>
                        <w:rPr>
                          <w:rFonts w:ascii="Verdana"/>
                          <w:sz w:val="16"/>
                        </w:rPr>
                      </w:pPr>
                    </w:p>
                    <w:p w14:paraId="343BB03F" w14:textId="77777777" w:rsidR="001F3ACE" w:rsidRDefault="001F3ACE">
                      <w:pPr>
                        <w:pStyle w:val="BodyText"/>
                        <w:rPr>
                          <w:rFonts w:ascii="Verdana"/>
                          <w:sz w:val="16"/>
                        </w:rPr>
                      </w:pPr>
                    </w:p>
                    <w:p w14:paraId="70E51DBA" w14:textId="77777777" w:rsidR="001F3ACE" w:rsidRDefault="001F3ACE">
                      <w:pPr>
                        <w:pStyle w:val="BodyText"/>
                        <w:rPr>
                          <w:rFonts w:ascii="Verdana"/>
                          <w:sz w:val="16"/>
                        </w:rPr>
                      </w:pPr>
                    </w:p>
                    <w:p w14:paraId="20B26C4C" w14:textId="77777777" w:rsidR="001F3ACE" w:rsidRDefault="001F3ACE">
                      <w:pPr>
                        <w:pStyle w:val="BodyText"/>
                        <w:rPr>
                          <w:rFonts w:ascii="Verdana"/>
                          <w:sz w:val="16"/>
                        </w:rPr>
                      </w:pPr>
                    </w:p>
                    <w:p w14:paraId="77F15FAC" w14:textId="77777777" w:rsidR="001F3ACE" w:rsidRDefault="001F3ACE">
                      <w:pPr>
                        <w:pStyle w:val="BodyText"/>
                        <w:rPr>
                          <w:rFonts w:ascii="Verdana"/>
                          <w:sz w:val="16"/>
                        </w:rPr>
                      </w:pPr>
                    </w:p>
                    <w:p w14:paraId="01F02EF1" w14:textId="77777777" w:rsidR="001F3ACE" w:rsidRDefault="001F3ACE">
                      <w:pPr>
                        <w:pStyle w:val="BodyText"/>
                        <w:rPr>
                          <w:rFonts w:ascii="Verdana"/>
                          <w:sz w:val="16"/>
                        </w:rPr>
                      </w:pPr>
                    </w:p>
                    <w:p w14:paraId="764584ED" w14:textId="77777777" w:rsidR="001F3ACE" w:rsidRDefault="001F3ACE">
                      <w:pPr>
                        <w:pStyle w:val="BodyText"/>
                        <w:rPr>
                          <w:rFonts w:ascii="Verdana"/>
                          <w:sz w:val="16"/>
                        </w:rPr>
                      </w:pPr>
                    </w:p>
                    <w:p w14:paraId="64096CD6" w14:textId="77777777" w:rsidR="001F3ACE" w:rsidRDefault="001F3ACE">
                      <w:pPr>
                        <w:pStyle w:val="BodyText"/>
                        <w:rPr>
                          <w:rFonts w:ascii="Verdana"/>
                          <w:sz w:val="16"/>
                        </w:rPr>
                      </w:pPr>
                    </w:p>
                    <w:p w14:paraId="58A13E82" w14:textId="77777777" w:rsidR="001F3ACE" w:rsidRDefault="001F3ACE">
                      <w:pPr>
                        <w:pStyle w:val="BodyText"/>
                        <w:rPr>
                          <w:rFonts w:ascii="Verdana"/>
                          <w:sz w:val="16"/>
                        </w:rPr>
                      </w:pPr>
                    </w:p>
                    <w:p w14:paraId="3CE7E93A" w14:textId="77777777" w:rsidR="001F3ACE" w:rsidRDefault="001F3ACE">
                      <w:pPr>
                        <w:pStyle w:val="BodyText"/>
                        <w:rPr>
                          <w:rFonts w:ascii="Verdana"/>
                          <w:sz w:val="16"/>
                        </w:rPr>
                      </w:pPr>
                    </w:p>
                    <w:p w14:paraId="27EB3468" w14:textId="77777777" w:rsidR="001F3ACE" w:rsidRDefault="001F3ACE">
                      <w:pPr>
                        <w:pStyle w:val="BodyText"/>
                        <w:rPr>
                          <w:rFonts w:ascii="Verdana"/>
                          <w:sz w:val="16"/>
                        </w:rPr>
                      </w:pPr>
                    </w:p>
                    <w:p w14:paraId="05464790" w14:textId="77777777" w:rsidR="001F3ACE" w:rsidRDefault="001F3ACE">
                      <w:pPr>
                        <w:pStyle w:val="BodyText"/>
                        <w:rPr>
                          <w:rFonts w:ascii="Verdana"/>
                          <w:sz w:val="16"/>
                        </w:rPr>
                      </w:pPr>
                    </w:p>
                    <w:p w14:paraId="74340141" w14:textId="77777777" w:rsidR="001F3ACE" w:rsidRDefault="001F3ACE">
                      <w:pPr>
                        <w:pStyle w:val="BodyText"/>
                        <w:rPr>
                          <w:rFonts w:ascii="Verdana"/>
                          <w:sz w:val="16"/>
                        </w:rPr>
                      </w:pPr>
                    </w:p>
                    <w:p w14:paraId="0A20FF52" w14:textId="77777777" w:rsidR="001F3ACE" w:rsidRDefault="001F3ACE">
                      <w:pPr>
                        <w:pStyle w:val="BodyText"/>
                        <w:rPr>
                          <w:rFonts w:ascii="Verdana"/>
                          <w:sz w:val="16"/>
                        </w:rPr>
                      </w:pPr>
                    </w:p>
                    <w:p w14:paraId="2EEFA510" w14:textId="77777777" w:rsidR="001F3ACE" w:rsidRDefault="001F3ACE">
                      <w:pPr>
                        <w:pStyle w:val="BodyText"/>
                        <w:rPr>
                          <w:rFonts w:ascii="Verdana"/>
                          <w:sz w:val="16"/>
                        </w:rPr>
                      </w:pPr>
                    </w:p>
                    <w:p w14:paraId="3A9C1A19" w14:textId="77777777" w:rsidR="001F3ACE" w:rsidRDefault="001F3ACE">
                      <w:pPr>
                        <w:pStyle w:val="BodyText"/>
                        <w:rPr>
                          <w:rFonts w:ascii="Verdana"/>
                          <w:sz w:val="16"/>
                        </w:rPr>
                      </w:pPr>
                    </w:p>
                    <w:p w14:paraId="11A20F45" w14:textId="77777777" w:rsidR="001F3ACE" w:rsidRDefault="001F3ACE">
                      <w:pPr>
                        <w:pStyle w:val="BodyText"/>
                        <w:rPr>
                          <w:rFonts w:ascii="Verdana"/>
                          <w:sz w:val="16"/>
                        </w:rPr>
                      </w:pPr>
                    </w:p>
                    <w:p w14:paraId="113089E9" w14:textId="77777777" w:rsidR="001F3ACE" w:rsidRDefault="001F3ACE">
                      <w:pPr>
                        <w:pStyle w:val="BodyText"/>
                        <w:rPr>
                          <w:rFonts w:ascii="Verdana"/>
                          <w:sz w:val="16"/>
                        </w:rPr>
                      </w:pPr>
                    </w:p>
                    <w:p w14:paraId="0E2759D5" w14:textId="77777777" w:rsidR="001F3ACE" w:rsidRDefault="001F3ACE">
                      <w:pPr>
                        <w:pStyle w:val="BodyText"/>
                        <w:rPr>
                          <w:rFonts w:ascii="Verdana"/>
                          <w:sz w:val="16"/>
                        </w:rPr>
                      </w:pPr>
                    </w:p>
                    <w:p w14:paraId="16ADFDF9" w14:textId="77777777" w:rsidR="001F3ACE" w:rsidRDefault="001F3ACE">
                      <w:pPr>
                        <w:pStyle w:val="BodyText"/>
                        <w:rPr>
                          <w:rFonts w:ascii="Verdana"/>
                          <w:sz w:val="16"/>
                        </w:rPr>
                      </w:pPr>
                    </w:p>
                    <w:p w14:paraId="2BF4F8C6" w14:textId="77777777" w:rsidR="001F3ACE" w:rsidRDefault="001F3ACE">
                      <w:pPr>
                        <w:pStyle w:val="BodyText"/>
                        <w:spacing w:before="7"/>
                        <w:rPr>
                          <w:rFonts w:ascii="Verdana"/>
                          <w:sz w:val="22"/>
                        </w:rPr>
                      </w:pPr>
                    </w:p>
                    <w:p w14:paraId="6FF88A0F" w14:textId="77777777" w:rsidR="001F3ACE" w:rsidRDefault="001F3ACE">
                      <w:pPr>
                        <w:tabs>
                          <w:tab w:val="left" w:pos="8538"/>
                        </w:tabs>
                        <w:rPr>
                          <w:rFonts w:ascii="Trebuchet MS"/>
                          <w:sz w:val="13"/>
                        </w:rPr>
                      </w:pPr>
                      <w:r>
                        <w:rPr>
                          <w:rFonts w:ascii="Verdana"/>
                          <w:color w:val="231F20"/>
                          <w:sz w:val="13"/>
                        </w:rPr>
                        <w:t>2</w:t>
                      </w:r>
                      <w:r>
                        <w:rPr>
                          <w:rFonts w:ascii="Verdana"/>
                          <w:color w:val="231F20"/>
                          <w:sz w:val="13"/>
                        </w:rPr>
                        <w:tab/>
                      </w:r>
                      <w:r>
                        <w:rPr>
                          <w:rFonts w:ascii="Trebuchet MS"/>
                          <w:color w:val="231F20"/>
                          <w:sz w:val="13"/>
                        </w:rPr>
                        <w:t>Western Sydney</w:t>
                      </w:r>
                      <w:r>
                        <w:rPr>
                          <w:rFonts w:ascii="Trebuchet MS"/>
                          <w:color w:val="231F20"/>
                          <w:spacing w:val="-6"/>
                          <w:sz w:val="13"/>
                        </w:rPr>
                        <w:t xml:space="preserve"> </w:t>
                      </w:r>
                      <w:r>
                        <w:rPr>
                          <w:rFonts w:ascii="Trebuchet MS"/>
                          <w:color w:val="231F20"/>
                          <w:sz w:val="13"/>
                        </w:rPr>
                        <w:t>University</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462829568" behindDoc="1" locked="0" layoutInCell="1" allowOverlap="1" wp14:anchorId="4794FCAB" wp14:editId="39AE068F">
                <wp:simplePos x="0" y="0"/>
                <wp:positionH relativeFrom="page">
                  <wp:posOffset>0</wp:posOffset>
                </wp:positionH>
                <wp:positionV relativeFrom="page">
                  <wp:posOffset>0</wp:posOffset>
                </wp:positionV>
                <wp:extent cx="7560310" cy="10692130"/>
                <wp:effectExtent l="0" t="0" r="0" b="0"/>
                <wp:wrapNone/>
                <wp:docPr id="23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4F7A45" id="Rectangle 3" o:spid="_x0000_s1026" style="position:absolute;margin-left:0;margin-top:0;width:595.3pt;height:841.9pt;z-index:-404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" fillcolor="#231f20" stroked="f">
                <w10:wrap anchorx="page" anchory="page"/>
              </v:rect>
            </w:pict>
          </mc:Fallback>
        </mc:AlternateContent>
      </w:r>
      <w:bookmarkStart w:id="226" w:name="STRA3702_Annual_Report_2018_Vol_2_BACK_C"/>
      <w:bookmarkEnd w:id="226"/>
      <w:r w:rsidR="0015611F">
        <w:rPr>
          <w:rFonts w:ascii="Verdana"/>
          <w:color w:val="FFFFFF"/>
          <w:w w:val="90"/>
          <w:sz w:val="16"/>
        </w:rPr>
        <w:t xml:space="preserve">Western Sydney University </w:t>
      </w:r>
      <w:r w:rsidR="0015611F">
        <w:rPr>
          <w:rFonts w:ascii="Verdana"/>
          <w:color w:val="FFFFFF"/>
          <w:w w:val="95"/>
          <w:sz w:val="16"/>
        </w:rPr>
        <w:t>ABN 53 014 069 881</w:t>
      </w:r>
    </w:p>
    <w:p w14:paraId="576CF8FD" w14:textId="77777777" w:rsidR="00FA4AA8" w:rsidRDefault="0015611F">
      <w:pPr>
        <w:spacing w:line="247" w:lineRule="auto"/>
        <w:ind w:left="3760" w:right="3798"/>
        <w:jc w:val="center"/>
        <w:rPr>
          <w:rFonts w:ascii="Verdana"/>
          <w:sz w:val="16"/>
        </w:rPr>
      </w:pPr>
      <w:r>
        <w:rPr>
          <w:rFonts w:ascii="Verdana"/>
          <w:color w:val="FFFFFF"/>
          <w:w w:val="85"/>
          <w:sz w:val="16"/>
        </w:rPr>
        <w:t xml:space="preserve">CRICOS Provider No: 00917K </w:t>
      </w:r>
      <w:r>
        <w:rPr>
          <w:rFonts w:ascii="Verdana"/>
          <w:color w:val="FFFFFF"/>
          <w:w w:val="95"/>
          <w:sz w:val="16"/>
        </w:rPr>
        <w:t>Locked</w:t>
      </w:r>
      <w:r>
        <w:rPr>
          <w:rFonts w:ascii="Verdana"/>
          <w:color w:val="FFFFFF"/>
          <w:spacing w:val="-26"/>
          <w:w w:val="95"/>
          <w:sz w:val="16"/>
        </w:rPr>
        <w:t xml:space="preserve"> </w:t>
      </w:r>
      <w:r>
        <w:rPr>
          <w:rFonts w:ascii="Verdana"/>
          <w:color w:val="FFFFFF"/>
          <w:spacing w:val="2"/>
          <w:w w:val="95"/>
          <w:sz w:val="16"/>
        </w:rPr>
        <w:t>Bag</w:t>
      </w:r>
      <w:r>
        <w:rPr>
          <w:rFonts w:ascii="Verdana"/>
          <w:color w:val="FFFFFF"/>
          <w:spacing w:val="-26"/>
          <w:w w:val="95"/>
          <w:sz w:val="16"/>
        </w:rPr>
        <w:t xml:space="preserve"> </w:t>
      </w:r>
      <w:r>
        <w:rPr>
          <w:rFonts w:ascii="Verdana"/>
          <w:color w:val="FFFFFF"/>
          <w:w w:val="95"/>
          <w:sz w:val="16"/>
        </w:rPr>
        <w:t>1797</w:t>
      </w:r>
    </w:p>
    <w:p w14:paraId="0A98F53A" w14:textId="77777777" w:rsidR="00FA4AA8" w:rsidRDefault="0015611F">
      <w:pPr>
        <w:spacing w:line="194" w:lineRule="exact"/>
        <w:ind w:left="3760" w:right="3798"/>
        <w:jc w:val="center"/>
        <w:rPr>
          <w:rFonts w:ascii="Verdana"/>
          <w:sz w:val="16"/>
        </w:rPr>
      </w:pPr>
      <w:r>
        <w:rPr>
          <w:rFonts w:ascii="Verdana"/>
          <w:color w:val="FFFFFF"/>
          <w:w w:val="85"/>
          <w:sz w:val="16"/>
        </w:rPr>
        <w:t>Penrith NSW</w:t>
      </w:r>
      <w:r>
        <w:rPr>
          <w:rFonts w:ascii="Verdana"/>
          <w:color w:val="FFFFFF"/>
          <w:spacing w:val="-19"/>
          <w:w w:val="85"/>
          <w:sz w:val="16"/>
        </w:rPr>
        <w:t xml:space="preserve"> </w:t>
      </w:r>
      <w:r>
        <w:rPr>
          <w:rFonts w:ascii="Verdana"/>
          <w:color w:val="FFFFFF"/>
          <w:w w:val="85"/>
          <w:sz w:val="16"/>
        </w:rPr>
        <w:t>2751</w:t>
      </w:r>
    </w:p>
    <w:p w14:paraId="29047A74" w14:textId="77777777" w:rsidR="00FA4AA8" w:rsidRDefault="0015611F">
      <w:pPr>
        <w:spacing w:before="5"/>
        <w:ind w:left="3760" w:right="3798"/>
        <w:jc w:val="center"/>
        <w:rPr>
          <w:rFonts w:ascii="Verdana"/>
          <w:sz w:val="16"/>
        </w:rPr>
      </w:pPr>
      <w:r>
        <w:rPr>
          <w:rFonts w:ascii="Verdana"/>
          <w:color w:val="FFFFFF"/>
          <w:w w:val="90"/>
          <w:sz w:val="16"/>
        </w:rPr>
        <w:t>Tel: +61 2 9852 5222</w:t>
      </w:r>
    </w:p>
    <w:p w14:paraId="2BDA7973" w14:textId="77777777" w:rsidR="00FA4AA8" w:rsidRDefault="00FA4AA8">
      <w:pPr>
        <w:pStyle w:val="BodyText"/>
        <w:rPr>
          <w:rFonts w:ascii="Verdana"/>
          <w:sz w:val="20"/>
        </w:rPr>
      </w:pPr>
    </w:p>
    <w:p w14:paraId="77720B4A" w14:textId="77777777" w:rsidR="00FA4AA8" w:rsidRDefault="00FA4AA8">
      <w:pPr>
        <w:pStyle w:val="BodyText"/>
        <w:rPr>
          <w:rFonts w:ascii="Verdana"/>
          <w:sz w:val="20"/>
        </w:rPr>
      </w:pPr>
    </w:p>
    <w:p w14:paraId="6D27FFE7" w14:textId="77777777" w:rsidR="00FA4AA8" w:rsidRDefault="00FA4AA8">
      <w:pPr>
        <w:pStyle w:val="BodyText"/>
        <w:rPr>
          <w:rFonts w:ascii="Verdana"/>
          <w:sz w:val="20"/>
        </w:rPr>
      </w:pPr>
    </w:p>
    <w:p w14:paraId="32914205" w14:textId="77777777" w:rsidR="00FA4AA8" w:rsidRDefault="00FA4AA8">
      <w:pPr>
        <w:pStyle w:val="BodyText"/>
        <w:rPr>
          <w:rFonts w:ascii="Verdana"/>
          <w:sz w:val="20"/>
        </w:rPr>
      </w:pPr>
    </w:p>
    <w:p w14:paraId="099E9276" w14:textId="77777777" w:rsidR="00FA4AA8" w:rsidRDefault="00FA4AA8">
      <w:pPr>
        <w:pStyle w:val="BodyText"/>
        <w:rPr>
          <w:rFonts w:ascii="Verdana"/>
          <w:sz w:val="20"/>
        </w:rPr>
      </w:pPr>
    </w:p>
    <w:p w14:paraId="236567C6" w14:textId="77777777" w:rsidR="00FA4AA8" w:rsidRDefault="00FA4AA8">
      <w:pPr>
        <w:pStyle w:val="BodyText"/>
        <w:rPr>
          <w:rFonts w:ascii="Verdana"/>
          <w:sz w:val="20"/>
        </w:rPr>
      </w:pPr>
    </w:p>
    <w:p w14:paraId="044AE589" w14:textId="77777777" w:rsidR="00FA4AA8" w:rsidRDefault="00FA4AA8">
      <w:pPr>
        <w:pStyle w:val="BodyText"/>
        <w:rPr>
          <w:rFonts w:ascii="Verdana"/>
          <w:sz w:val="20"/>
        </w:rPr>
      </w:pPr>
    </w:p>
    <w:p w14:paraId="48545AA3" w14:textId="77777777" w:rsidR="00FA4AA8" w:rsidRDefault="00FA4AA8">
      <w:pPr>
        <w:pStyle w:val="BodyText"/>
        <w:rPr>
          <w:rFonts w:ascii="Verdana"/>
          <w:sz w:val="20"/>
        </w:rPr>
      </w:pPr>
    </w:p>
    <w:p w14:paraId="6725FCF3" w14:textId="77777777" w:rsidR="00FA4AA8" w:rsidRDefault="00FA4AA8">
      <w:pPr>
        <w:pStyle w:val="BodyText"/>
        <w:rPr>
          <w:rFonts w:ascii="Verdana"/>
          <w:sz w:val="20"/>
        </w:rPr>
      </w:pPr>
    </w:p>
    <w:p w14:paraId="3765D909" w14:textId="77777777" w:rsidR="00FA4AA8" w:rsidRDefault="00FA4AA8">
      <w:pPr>
        <w:pStyle w:val="BodyText"/>
        <w:rPr>
          <w:rFonts w:ascii="Verdana"/>
          <w:sz w:val="20"/>
        </w:rPr>
      </w:pPr>
    </w:p>
    <w:p w14:paraId="5943F12E" w14:textId="77777777" w:rsidR="00FA4AA8" w:rsidRDefault="00FA4AA8">
      <w:pPr>
        <w:pStyle w:val="BodyText"/>
        <w:rPr>
          <w:rFonts w:ascii="Verdana"/>
          <w:sz w:val="20"/>
        </w:rPr>
      </w:pPr>
    </w:p>
    <w:p w14:paraId="1E88536B" w14:textId="77777777" w:rsidR="00FA4AA8" w:rsidRDefault="00FA4AA8">
      <w:pPr>
        <w:pStyle w:val="BodyText"/>
        <w:rPr>
          <w:rFonts w:ascii="Verdana"/>
          <w:sz w:val="20"/>
        </w:rPr>
      </w:pPr>
    </w:p>
    <w:p w14:paraId="6EF50450" w14:textId="77777777" w:rsidR="00FA4AA8" w:rsidRDefault="00FA4AA8">
      <w:pPr>
        <w:pStyle w:val="BodyText"/>
        <w:rPr>
          <w:rFonts w:ascii="Verdana"/>
          <w:sz w:val="20"/>
        </w:rPr>
      </w:pPr>
    </w:p>
    <w:p w14:paraId="48B3661A" w14:textId="77777777" w:rsidR="00FA4AA8" w:rsidRDefault="00FA4AA8">
      <w:pPr>
        <w:pStyle w:val="BodyText"/>
        <w:rPr>
          <w:rFonts w:ascii="Verdana"/>
          <w:sz w:val="20"/>
        </w:rPr>
      </w:pPr>
    </w:p>
    <w:p w14:paraId="2560C2CC" w14:textId="77777777" w:rsidR="00FA4AA8" w:rsidRDefault="00FA4AA8">
      <w:pPr>
        <w:pStyle w:val="BodyText"/>
        <w:rPr>
          <w:rFonts w:ascii="Verdana"/>
          <w:sz w:val="20"/>
        </w:rPr>
      </w:pPr>
    </w:p>
    <w:p w14:paraId="0C1DCD4D" w14:textId="77777777" w:rsidR="00FA4AA8" w:rsidRDefault="00FA4AA8">
      <w:pPr>
        <w:pStyle w:val="BodyText"/>
        <w:rPr>
          <w:rFonts w:ascii="Verdana"/>
          <w:sz w:val="20"/>
        </w:rPr>
      </w:pPr>
    </w:p>
    <w:p w14:paraId="6E59B77F" w14:textId="77777777" w:rsidR="00FA4AA8" w:rsidRDefault="00FA4AA8">
      <w:pPr>
        <w:pStyle w:val="BodyText"/>
        <w:rPr>
          <w:rFonts w:ascii="Verdana"/>
          <w:sz w:val="20"/>
        </w:rPr>
      </w:pPr>
    </w:p>
    <w:p w14:paraId="02E169A5" w14:textId="77777777" w:rsidR="00FA4AA8" w:rsidRDefault="00FA4AA8">
      <w:pPr>
        <w:pStyle w:val="BodyText"/>
        <w:rPr>
          <w:rFonts w:ascii="Verdana"/>
          <w:sz w:val="20"/>
        </w:rPr>
      </w:pPr>
    </w:p>
    <w:p w14:paraId="1C9E7EA3" w14:textId="77777777" w:rsidR="00FA4AA8" w:rsidRDefault="00FA4AA8">
      <w:pPr>
        <w:pStyle w:val="BodyText"/>
        <w:rPr>
          <w:rFonts w:ascii="Verdana"/>
          <w:sz w:val="20"/>
        </w:rPr>
      </w:pPr>
    </w:p>
    <w:p w14:paraId="076D06B1" w14:textId="77777777" w:rsidR="00FA4AA8" w:rsidRDefault="00FA4AA8">
      <w:pPr>
        <w:pStyle w:val="BodyText"/>
        <w:rPr>
          <w:rFonts w:ascii="Verdana"/>
          <w:sz w:val="20"/>
        </w:rPr>
      </w:pPr>
    </w:p>
    <w:p w14:paraId="7CA665C0" w14:textId="77777777" w:rsidR="00FA4AA8" w:rsidRDefault="00FA4AA8">
      <w:pPr>
        <w:pStyle w:val="BodyText"/>
        <w:rPr>
          <w:rFonts w:ascii="Verdana"/>
          <w:sz w:val="20"/>
        </w:rPr>
      </w:pPr>
    </w:p>
    <w:p w14:paraId="169A7276" w14:textId="77777777" w:rsidR="00FA4AA8" w:rsidRDefault="00FA4AA8">
      <w:pPr>
        <w:pStyle w:val="BodyText"/>
        <w:rPr>
          <w:rFonts w:ascii="Verdana"/>
          <w:sz w:val="20"/>
        </w:rPr>
      </w:pPr>
    </w:p>
    <w:p w14:paraId="3E25C826" w14:textId="77777777" w:rsidR="00FA4AA8" w:rsidRDefault="00FA4AA8">
      <w:pPr>
        <w:pStyle w:val="BodyText"/>
        <w:rPr>
          <w:rFonts w:ascii="Verdana"/>
          <w:sz w:val="20"/>
        </w:rPr>
      </w:pPr>
    </w:p>
    <w:p w14:paraId="4A7C24E2" w14:textId="77777777" w:rsidR="00FA4AA8" w:rsidRDefault="00FA4AA8">
      <w:pPr>
        <w:pStyle w:val="BodyText"/>
        <w:rPr>
          <w:rFonts w:ascii="Verdana"/>
          <w:sz w:val="20"/>
        </w:rPr>
      </w:pPr>
    </w:p>
    <w:p w14:paraId="179FCC18" w14:textId="77777777" w:rsidR="00FA4AA8" w:rsidRDefault="00FA4AA8">
      <w:pPr>
        <w:pStyle w:val="BodyText"/>
        <w:rPr>
          <w:rFonts w:ascii="Verdana"/>
          <w:sz w:val="20"/>
        </w:rPr>
      </w:pPr>
    </w:p>
    <w:p w14:paraId="68656DF6" w14:textId="77777777" w:rsidR="00FA4AA8" w:rsidRDefault="00FA4AA8">
      <w:pPr>
        <w:pStyle w:val="BodyText"/>
        <w:rPr>
          <w:rFonts w:ascii="Verdana"/>
          <w:sz w:val="20"/>
        </w:rPr>
      </w:pPr>
    </w:p>
    <w:p w14:paraId="16386DE1" w14:textId="77777777" w:rsidR="00FA4AA8" w:rsidRDefault="00FA4AA8">
      <w:pPr>
        <w:pStyle w:val="BodyText"/>
        <w:rPr>
          <w:rFonts w:ascii="Verdana"/>
          <w:sz w:val="20"/>
        </w:rPr>
      </w:pPr>
    </w:p>
    <w:p w14:paraId="0DDC1FB7" w14:textId="77777777" w:rsidR="00FA4AA8" w:rsidRDefault="00FA4AA8">
      <w:pPr>
        <w:pStyle w:val="BodyText"/>
        <w:rPr>
          <w:rFonts w:ascii="Verdana"/>
          <w:sz w:val="20"/>
        </w:rPr>
      </w:pPr>
    </w:p>
    <w:p w14:paraId="50B97430" w14:textId="77777777" w:rsidR="00FA4AA8" w:rsidRDefault="00FA4AA8">
      <w:pPr>
        <w:pStyle w:val="BodyText"/>
        <w:rPr>
          <w:rFonts w:ascii="Verdana"/>
          <w:sz w:val="20"/>
        </w:rPr>
      </w:pPr>
    </w:p>
    <w:p w14:paraId="75AB44EE" w14:textId="77777777" w:rsidR="00FA4AA8" w:rsidRDefault="00FA4AA8">
      <w:pPr>
        <w:pStyle w:val="BodyText"/>
        <w:rPr>
          <w:rFonts w:ascii="Verdana"/>
          <w:sz w:val="20"/>
        </w:rPr>
      </w:pPr>
    </w:p>
    <w:p w14:paraId="46804317" w14:textId="77777777" w:rsidR="00FA4AA8" w:rsidRDefault="00FA4AA8">
      <w:pPr>
        <w:pStyle w:val="BodyText"/>
        <w:rPr>
          <w:rFonts w:ascii="Verdana"/>
          <w:sz w:val="20"/>
        </w:rPr>
      </w:pPr>
    </w:p>
    <w:p w14:paraId="419AA119" w14:textId="77777777" w:rsidR="00FA4AA8" w:rsidRDefault="00FA4AA8">
      <w:pPr>
        <w:pStyle w:val="BodyText"/>
        <w:rPr>
          <w:rFonts w:ascii="Verdana"/>
          <w:sz w:val="20"/>
        </w:rPr>
      </w:pPr>
    </w:p>
    <w:p w14:paraId="64230A75" w14:textId="77777777" w:rsidR="00FA4AA8" w:rsidRDefault="00FA4AA8">
      <w:pPr>
        <w:pStyle w:val="BodyText"/>
        <w:rPr>
          <w:rFonts w:ascii="Verdana"/>
          <w:sz w:val="20"/>
        </w:rPr>
      </w:pPr>
    </w:p>
    <w:p w14:paraId="2F550432" w14:textId="77777777" w:rsidR="00FA4AA8" w:rsidRDefault="00FA4AA8">
      <w:pPr>
        <w:pStyle w:val="BodyText"/>
        <w:rPr>
          <w:rFonts w:ascii="Verdana"/>
          <w:sz w:val="20"/>
        </w:rPr>
      </w:pPr>
    </w:p>
    <w:p w14:paraId="6B8EB5E6" w14:textId="77777777" w:rsidR="00FA4AA8" w:rsidRDefault="00FA4AA8">
      <w:pPr>
        <w:pStyle w:val="BodyText"/>
        <w:rPr>
          <w:rFonts w:ascii="Verdana"/>
          <w:sz w:val="20"/>
        </w:rPr>
      </w:pPr>
    </w:p>
    <w:p w14:paraId="5CE51A2F" w14:textId="77777777" w:rsidR="00FA4AA8" w:rsidRDefault="00FA4AA8">
      <w:pPr>
        <w:pStyle w:val="BodyText"/>
        <w:rPr>
          <w:rFonts w:ascii="Verdana"/>
          <w:sz w:val="20"/>
        </w:rPr>
      </w:pPr>
    </w:p>
    <w:p w14:paraId="5C2A70FD" w14:textId="77777777" w:rsidR="00FA4AA8" w:rsidRDefault="00FA4AA8">
      <w:pPr>
        <w:pStyle w:val="BodyText"/>
        <w:rPr>
          <w:rFonts w:ascii="Verdana"/>
          <w:sz w:val="20"/>
        </w:rPr>
      </w:pPr>
    </w:p>
    <w:p w14:paraId="633D73AC" w14:textId="77777777" w:rsidR="00FA4AA8" w:rsidRDefault="00FA4AA8">
      <w:pPr>
        <w:pStyle w:val="BodyText"/>
        <w:rPr>
          <w:rFonts w:ascii="Verdana"/>
          <w:sz w:val="20"/>
        </w:rPr>
      </w:pPr>
    </w:p>
    <w:p w14:paraId="478B7E8D" w14:textId="77777777" w:rsidR="00FA4AA8" w:rsidRDefault="00FA4AA8">
      <w:pPr>
        <w:pStyle w:val="BodyText"/>
        <w:rPr>
          <w:rFonts w:ascii="Verdana"/>
          <w:sz w:val="20"/>
        </w:rPr>
      </w:pPr>
    </w:p>
    <w:p w14:paraId="4D82C4BC" w14:textId="77777777" w:rsidR="00FA4AA8" w:rsidRDefault="00FA4AA8">
      <w:pPr>
        <w:pStyle w:val="BodyText"/>
        <w:rPr>
          <w:rFonts w:ascii="Verdana"/>
          <w:sz w:val="20"/>
        </w:rPr>
      </w:pPr>
    </w:p>
    <w:p w14:paraId="2CC22E26" w14:textId="77777777" w:rsidR="00FA4AA8" w:rsidRDefault="00FA4AA8">
      <w:pPr>
        <w:pStyle w:val="BodyText"/>
        <w:rPr>
          <w:rFonts w:ascii="Verdana"/>
          <w:sz w:val="20"/>
        </w:rPr>
      </w:pPr>
    </w:p>
    <w:p w14:paraId="30713715" w14:textId="77777777" w:rsidR="00FA4AA8" w:rsidRDefault="00FA4AA8">
      <w:pPr>
        <w:pStyle w:val="BodyText"/>
        <w:rPr>
          <w:rFonts w:ascii="Verdana"/>
          <w:sz w:val="20"/>
        </w:rPr>
      </w:pPr>
    </w:p>
    <w:p w14:paraId="025ADADA" w14:textId="77777777" w:rsidR="00FA4AA8" w:rsidRDefault="00FA4AA8">
      <w:pPr>
        <w:pStyle w:val="BodyText"/>
        <w:rPr>
          <w:rFonts w:ascii="Verdana"/>
          <w:sz w:val="20"/>
        </w:rPr>
      </w:pPr>
    </w:p>
    <w:p w14:paraId="728A95D7" w14:textId="77777777" w:rsidR="00FA4AA8" w:rsidRDefault="00FA4AA8">
      <w:pPr>
        <w:pStyle w:val="BodyText"/>
        <w:rPr>
          <w:rFonts w:ascii="Verdana"/>
          <w:sz w:val="20"/>
        </w:rPr>
      </w:pPr>
    </w:p>
    <w:p w14:paraId="49A33F3C" w14:textId="77777777" w:rsidR="00FA4AA8" w:rsidRDefault="00FA4AA8">
      <w:pPr>
        <w:pStyle w:val="BodyText"/>
        <w:rPr>
          <w:rFonts w:ascii="Verdana"/>
          <w:sz w:val="20"/>
        </w:rPr>
      </w:pPr>
    </w:p>
    <w:p w14:paraId="16BDC162" w14:textId="77777777" w:rsidR="00FA4AA8" w:rsidRDefault="00FA4AA8">
      <w:pPr>
        <w:pStyle w:val="BodyText"/>
        <w:rPr>
          <w:rFonts w:ascii="Verdana"/>
          <w:sz w:val="20"/>
        </w:rPr>
      </w:pPr>
    </w:p>
    <w:p w14:paraId="08B08540" w14:textId="77777777" w:rsidR="00FA4AA8" w:rsidRDefault="007E2441">
      <w:pPr>
        <w:pStyle w:val="BodyText"/>
        <w:spacing w:before="6"/>
        <w:rPr>
          <w:rFonts w:ascii="Verdana"/>
        </w:rPr>
      </w:pPr>
      <w:r>
        <w:rPr>
          <w:noProof/>
          <w:lang w:val="en-AU" w:eastAsia="en-AU"/>
        </w:rPr>
        <mc:AlternateContent>
          <mc:Choice Requires="wps">
            <w:drawing>
              <wp:anchor distT="0" distB="0" distL="0" distR="0" simplePos="0" relativeHeight="487699968" behindDoc="1" locked="0" layoutInCell="1" allowOverlap="1" wp14:anchorId="643E7F01" wp14:editId="4C9B2826">
                <wp:simplePos x="0" y="0"/>
                <wp:positionH relativeFrom="page">
                  <wp:posOffset>3418205</wp:posOffset>
                </wp:positionH>
                <wp:positionV relativeFrom="paragraph">
                  <wp:posOffset>167640</wp:posOffset>
                </wp:positionV>
                <wp:extent cx="724535" cy="905510"/>
                <wp:effectExtent l="0" t="0" r="0" b="0"/>
                <wp:wrapTopAndBottom/>
                <wp:docPr id="23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4535" cy="905510"/>
                        </a:xfrm>
                        <a:custGeom>
                          <a:avLst/>
                          <a:gdLst>
                            <a:gd name="T0" fmla="+- 0 6523 5383"/>
                            <a:gd name="T1" fmla="*/ T0 w 1141"/>
                            <a:gd name="T2" fmla="+- 0 264 264"/>
                            <a:gd name="T3" fmla="*/ 264 h 1426"/>
                            <a:gd name="T4" fmla="+- 0 5383 5383"/>
                            <a:gd name="T5" fmla="*/ T4 w 1141"/>
                            <a:gd name="T6" fmla="+- 0 264 264"/>
                            <a:gd name="T7" fmla="*/ 264 h 1426"/>
                            <a:gd name="T8" fmla="+- 0 5383 5383"/>
                            <a:gd name="T9" fmla="*/ T8 w 1141"/>
                            <a:gd name="T10" fmla="+- 0 1121 264"/>
                            <a:gd name="T11" fmla="*/ 1121 h 1426"/>
                            <a:gd name="T12" fmla="+- 0 5394 5383"/>
                            <a:gd name="T13" fmla="*/ T12 w 1141"/>
                            <a:gd name="T14" fmla="+- 0 1199 264"/>
                            <a:gd name="T15" fmla="*/ 1199 h 1426"/>
                            <a:gd name="T16" fmla="+- 0 5425 5383"/>
                            <a:gd name="T17" fmla="*/ T16 w 1141"/>
                            <a:gd name="T18" fmla="+- 0 1273 264"/>
                            <a:gd name="T19" fmla="*/ 1273 h 1426"/>
                            <a:gd name="T20" fmla="+- 0 5472 5383"/>
                            <a:gd name="T21" fmla="*/ T20 w 1141"/>
                            <a:gd name="T22" fmla="+- 0 1343 264"/>
                            <a:gd name="T23" fmla="*/ 1343 h 1426"/>
                            <a:gd name="T24" fmla="+- 0 5530 5383"/>
                            <a:gd name="T25" fmla="*/ T24 w 1141"/>
                            <a:gd name="T26" fmla="+- 0 1409 264"/>
                            <a:gd name="T27" fmla="*/ 1409 h 1426"/>
                            <a:gd name="T28" fmla="+- 0 5597 5383"/>
                            <a:gd name="T29" fmla="*/ T28 w 1141"/>
                            <a:gd name="T30" fmla="+- 0 1469 264"/>
                            <a:gd name="T31" fmla="*/ 1469 h 1426"/>
                            <a:gd name="T32" fmla="+- 0 5667 5383"/>
                            <a:gd name="T33" fmla="*/ T32 w 1141"/>
                            <a:gd name="T34" fmla="+- 0 1524 264"/>
                            <a:gd name="T35" fmla="*/ 1524 h 1426"/>
                            <a:gd name="T36" fmla="+- 0 5738 5383"/>
                            <a:gd name="T37" fmla="*/ T36 w 1141"/>
                            <a:gd name="T38" fmla="+- 0 1572 264"/>
                            <a:gd name="T39" fmla="*/ 1572 h 1426"/>
                            <a:gd name="T40" fmla="+- 0 5805 5383"/>
                            <a:gd name="T41" fmla="*/ T40 w 1141"/>
                            <a:gd name="T42" fmla="+- 0 1612 264"/>
                            <a:gd name="T43" fmla="*/ 1612 h 1426"/>
                            <a:gd name="T44" fmla="+- 0 5863 5383"/>
                            <a:gd name="T45" fmla="*/ T44 w 1141"/>
                            <a:gd name="T46" fmla="+- 0 1645 264"/>
                            <a:gd name="T47" fmla="*/ 1645 h 1426"/>
                            <a:gd name="T48" fmla="+- 0 5910 5383"/>
                            <a:gd name="T49" fmla="*/ T48 w 1141"/>
                            <a:gd name="T50" fmla="+- 0 1669 264"/>
                            <a:gd name="T51" fmla="*/ 1669 h 1426"/>
                            <a:gd name="T52" fmla="+- 0 5941 5383"/>
                            <a:gd name="T53" fmla="*/ T52 w 1141"/>
                            <a:gd name="T54" fmla="+- 0 1684 264"/>
                            <a:gd name="T55" fmla="*/ 1684 h 1426"/>
                            <a:gd name="T56" fmla="+- 0 5953 5383"/>
                            <a:gd name="T57" fmla="*/ T56 w 1141"/>
                            <a:gd name="T58" fmla="+- 0 1689 264"/>
                            <a:gd name="T59" fmla="*/ 1689 h 1426"/>
                            <a:gd name="T60" fmla="+- 0 5964 5383"/>
                            <a:gd name="T61" fmla="*/ T60 w 1141"/>
                            <a:gd name="T62" fmla="+- 0 1684 264"/>
                            <a:gd name="T63" fmla="*/ 1684 h 1426"/>
                            <a:gd name="T64" fmla="+- 0 5995 5383"/>
                            <a:gd name="T65" fmla="*/ T64 w 1141"/>
                            <a:gd name="T66" fmla="+- 0 1669 264"/>
                            <a:gd name="T67" fmla="*/ 1669 h 1426"/>
                            <a:gd name="T68" fmla="+- 0 6042 5383"/>
                            <a:gd name="T69" fmla="*/ T68 w 1141"/>
                            <a:gd name="T70" fmla="+- 0 1645 264"/>
                            <a:gd name="T71" fmla="*/ 1645 h 1426"/>
                            <a:gd name="T72" fmla="+- 0 6101 5383"/>
                            <a:gd name="T73" fmla="*/ T72 w 1141"/>
                            <a:gd name="T74" fmla="+- 0 1612 264"/>
                            <a:gd name="T75" fmla="*/ 1612 h 1426"/>
                            <a:gd name="T76" fmla="+- 0 6167 5383"/>
                            <a:gd name="T77" fmla="*/ T76 w 1141"/>
                            <a:gd name="T78" fmla="+- 0 1572 264"/>
                            <a:gd name="T79" fmla="*/ 1572 h 1426"/>
                            <a:gd name="T80" fmla="+- 0 6238 5383"/>
                            <a:gd name="T81" fmla="*/ T80 w 1141"/>
                            <a:gd name="T82" fmla="+- 0 1524 264"/>
                            <a:gd name="T83" fmla="*/ 1524 h 1426"/>
                            <a:gd name="T84" fmla="+- 0 6309 5383"/>
                            <a:gd name="T85" fmla="*/ T84 w 1141"/>
                            <a:gd name="T86" fmla="+- 0 1469 264"/>
                            <a:gd name="T87" fmla="*/ 1469 h 1426"/>
                            <a:gd name="T88" fmla="+- 0 6375 5383"/>
                            <a:gd name="T89" fmla="*/ T88 w 1141"/>
                            <a:gd name="T90" fmla="+- 0 1409 264"/>
                            <a:gd name="T91" fmla="*/ 1409 h 1426"/>
                            <a:gd name="T92" fmla="+- 0 6434 5383"/>
                            <a:gd name="T93" fmla="*/ T92 w 1141"/>
                            <a:gd name="T94" fmla="+- 0 1343 264"/>
                            <a:gd name="T95" fmla="*/ 1343 h 1426"/>
                            <a:gd name="T96" fmla="+- 0 6469 5383"/>
                            <a:gd name="T97" fmla="*/ T96 w 1141"/>
                            <a:gd name="T98" fmla="+- 0 1290 264"/>
                            <a:gd name="T99" fmla="*/ 1290 h 1426"/>
                            <a:gd name="T100" fmla="+- 0 5685 5383"/>
                            <a:gd name="T101" fmla="*/ T100 w 1141"/>
                            <a:gd name="T102" fmla="+- 0 1290 264"/>
                            <a:gd name="T103" fmla="*/ 1290 h 1426"/>
                            <a:gd name="T104" fmla="+- 0 5497 5383"/>
                            <a:gd name="T105" fmla="*/ T104 w 1141"/>
                            <a:gd name="T106" fmla="+- 0 492 264"/>
                            <a:gd name="T107" fmla="*/ 492 h 1426"/>
                            <a:gd name="T108" fmla="+- 0 6523 5383"/>
                            <a:gd name="T109" fmla="*/ T108 w 1141"/>
                            <a:gd name="T110" fmla="+- 0 492 264"/>
                            <a:gd name="T111" fmla="*/ 492 h 1426"/>
                            <a:gd name="T112" fmla="+- 0 6523 5383"/>
                            <a:gd name="T113" fmla="*/ T112 w 1141"/>
                            <a:gd name="T114" fmla="+- 0 264 264"/>
                            <a:gd name="T115" fmla="*/ 264 h 1426"/>
                            <a:gd name="T116" fmla="+- 0 5952 5383"/>
                            <a:gd name="T117" fmla="*/ T116 w 1141"/>
                            <a:gd name="T118" fmla="+- 0 744 264"/>
                            <a:gd name="T119" fmla="*/ 744 h 1426"/>
                            <a:gd name="T120" fmla="+- 0 5835 5383"/>
                            <a:gd name="T121" fmla="*/ T120 w 1141"/>
                            <a:gd name="T122" fmla="+- 0 1237 264"/>
                            <a:gd name="T123" fmla="*/ 1237 h 1426"/>
                            <a:gd name="T124" fmla="+- 0 5794 5383"/>
                            <a:gd name="T125" fmla="*/ T124 w 1141"/>
                            <a:gd name="T126" fmla="+- 0 1246 264"/>
                            <a:gd name="T127" fmla="*/ 1246 h 1426"/>
                            <a:gd name="T128" fmla="+- 0 5755 5383"/>
                            <a:gd name="T129" fmla="*/ T128 w 1141"/>
                            <a:gd name="T130" fmla="+- 0 1259 264"/>
                            <a:gd name="T131" fmla="*/ 1259 h 1426"/>
                            <a:gd name="T132" fmla="+- 0 5719 5383"/>
                            <a:gd name="T133" fmla="*/ T132 w 1141"/>
                            <a:gd name="T134" fmla="+- 0 1273 264"/>
                            <a:gd name="T135" fmla="*/ 1273 h 1426"/>
                            <a:gd name="T136" fmla="+- 0 5685 5383"/>
                            <a:gd name="T137" fmla="*/ T136 w 1141"/>
                            <a:gd name="T138" fmla="+- 0 1290 264"/>
                            <a:gd name="T139" fmla="*/ 1290 h 1426"/>
                            <a:gd name="T140" fmla="+- 0 6220 5383"/>
                            <a:gd name="T141" fmla="*/ T140 w 1141"/>
                            <a:gd name="T142" fmla="+- 0 1290 264"/>
                            <a:gd name="T143" fmla="*/ 1290 h 1426"/>
                            <a:gd name="T144" fmla="+- 0 6186 5383"/>
                            <a:gd name="T145" fmla="*/ T144 w 1141"/>
                            <a:gd name="T146" fmla="+- 0 1273 264"/>
                            <a:gd name="T147" fmla="*/ 1273 h 1426"/>
                            <a:gd name="T148" fmla="+- 0 6149 5383"/>
                            <a:gd name="T149" fmla="*/ T148 w 1141"/>
                            <a:gd name="T150" fmla="+- 0 1259 264"/>
                            <a:gd name="T151" fmla="*/ 1259 h 1426"/>
                            <a:gd name="T152" fmla="+- 0 6111 5383"/>
                            <a:gd name="T153" fmla="*/ T152 w 1141"/>
                            <a:gd name="T154" fmla="+- 0 1246 264"/>
                            <a:gd name="T155" fmla="*/ 1246 h 1426"/>
                            <a:gd name="T156" fmla="+- 0 6070 5383"/>
                            <a:gd name="T157" fmla="*/ T156 w 1141"/>
                            <a:gd name="T158" fmla="+- 0 1237 264"/>
                            <a:gd name="T159" fmla="*/ 1237 h 1426"/>
                            <a:gd name="T160" fmla="+- 0 5952 5383"/>
                            <a:gd name="T161" fmla="*/ T160 w 1141"/>
                            <a:gd name="T162" fmla="+- 0 744 264"/>
                            <a:gd name="T163" fmla="*/ 744 h 1426"/>
                            <a:gd name="T164" fmla="+- 0 6523 5383"/>
                            <a:gd name="T165" fmla="*/ T164 w 1141"/>
                            <a:gd name="T166" fmla="+- 0 492 264"/>
                            <a:gd name="T167" fmla="*/ 492 h 1426"/>
                            <a:gd name="T168" fmla="+- 0 6408 5383"/>
                            <a:gd name="T169" fmla="*/ T168 w 1141"/>
                            <a:gd name="T170" fmla="+- 0 492 264"/>
                            <a:gd name="T171" fmla="*/ 492 h 1426"/>
                            <a:gd name="T172" fmla="+- 0 6220 5383"/>
                            <a:gd name="T173" fmla="*/ T172 w 1141"/>
                            <a:gd name="T174" fmla="+- 0 1290 264"/>
                            <a:gd name="T175" fmla="*/ 1290 h 1426"/>
                            <a:gd name="T176" fmla="+- 0 6469 5383"/>
                            <a:gd name="T177" fmla="*/ T176 w 1141"/>
                            <a:gd name="T178" fmla="+- 0 1290 264"/>
                            <a:gd name="T179" fmla="*/ 1290 h 1426"/>
                            <a:gd name="T180" fmla="+- 0 6481 5383"/>
                            <a:gd name="T181" fmla="*/ T180 w 1141"/>
                            <a:gd name="T182" fmla="+- 0 1273 264"/>
                            <a:gd name="T183" fmla="*/ 1273 h 1426"/>
                            <a:gd name="T184" fmla="+- 0 6512 5383"/>
                            <a:gd name="T185" fmla="*/ T184 w 1141"/>
                            <a:gd name="T186" fmla="+- 0 1199 264"/>
                            <a:gd name="T187" fmla="*/ 1199 h 1426"/>
                            <a:gd name="T188" fmla="+- 0 6523 5383"/>
                            <a:gd name="T189" fmla="*/ T188 w 1141"/>
                            <a:gd name="T190" fmla="+- 0 1121 264"/>
                            <a:gd name="T191" fmla="*/ 1121 h 1426"/>
                            <a:gd name="T192" fmla="+- 0 6523 5383"/>
                            <a:gd name="T193" fmla="*/ T192 w 1141"/>
                            <a:gd name="T194" fmla="+- 0 492 264"/>
                            <a:gd name="T195" fmla="*/ 492 h 1426"/>
                            <a:gd name="T196" fmla="+- 0 5902 5383"/>
                            <a:gd name="T197" fmla="*/ T196 w 1141"/>
                            <a:gd name="T198" fmla="+- 0 492 264"/>
                            <a:gd name="T199" fmla="*/ 492 h 1426"/>
                            <a:gd name="T200" fmla="+- 0 5615 5383"/>
                            <a:gd name="T201" fmla="*/ T200 w 1141"/>
                            <a:gd name="T202" fmla="+- 0 492 264"/>
                            <a:gd name="T203" fmla="*/ 492 h 1426"/>
                            <a:gd name="T204" fmla="+- 0 5759 5383"/>
                            <a:gd name="T205" fmla="*/ T204 w 1141"/>
                            <a:gd name="T206" fmla="+- 0 1090 264"/>
                            <a:gd name="T207" fmla="*/ 1090 h 1426"/>
                            <a:gd name="T208" fmla="+- 0 5902 5383"/>
                            <a:gd name="T209" fmla="*/ T208 w 1141"/>
                            <a:gd name="T210" fmla="+- 0 492 264"/>
                            <a:gd name="T211" fmla="*/ 492 h 1426"/>
                            <a:gd name="T212" fmla="+- 0 6290 5383"/>
                            <a:gd name="T213" fmla="*/ T212 w 1141"/>
                            <a:gd name="T214" fmla="+- 0 492 264"/>
                            <a:gd name="T215" fmla="*/ 492 h 1426"/>
                            <a:gd name="T216" fmla="+- 0 6003 5383"/>
                            <a:gd name="T217" fmla="*/ T216 w 1141"/>
                            <a:gd name="T218" fmla="+- 0 492 264"/>
                            <a:gd name="T219" fmla="*/ 492 h 1426"/>
                            <a:gd name="T220" fmla="+- 0 6149 5383"/>
                            <a:gd name="T221" fmla="*/ T220 w 1141"/>
                            <a:gd name="T222" fmla="+- 0 1090 264"/>
                            <a:gd name="T223" fmla="*/ 1090 h 1426"/>
                            <a:gd name="T224" fmla="+- 0 6290 5383"/>
                            <a:gd name="T225" fmla="*/ T224 w 1141"/>
                            <a:gd name="T226" fmla="+- 0 492 264"/>
                            <a:gd name="T227" fmla="*/ 492 h 1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141" h="1426">
                              <a:moveTo>
                                <a:pt x="1140" y="0"/>
                              </a:moveTo>
                              <a:lnTo>
                                <a:pt x="0" y="0"/>
                              </a:lnTo>
                              <a:lnTo>
                                <a:pt x="0" y="857"/>
                              </a:lnTo>
                              <a:lnTo>
                                <a:pt x="11" y="935"/>
                              </a:lnTo>
                              <a:lnTo>
                                <a:pt x="42" y="1009"/>
                              </a:lnTo>
                              <a:lnTo>
                                <a:pt x="89" y="1079"/>
                              </a:lnTo>
                              <a:lnTo>
                                <a:pt x="147" y="1145"/>
                              </a:lnTo>
                              <a:lnTo>
                                <a:pt x="214" y="1205"/>
                              </a:lnTo>
                              <a:lnTo>
                                <a:pt x="284" y="1260"/>
                              </a:lnTo>
                              <a:lnTo>
                                <a:pt x="355" y="1308"/>
                              </a:lnTo>
                              <a:lnTo>
                                <a:pt x="422" y="1348"/>
                              </a:lnTo>
                              <a:lnTo>
                                <a:pt x="480" y="1381"/>
                              </a:lnTo>
                              <a:lnTo>
                                <a:pt x="527" y="1405"/>
                              </a:lnTo>
                              <a:lnTo>
                                <a:pt x="558" y="1420"/>
                              </a:lnTo>
                              <a:lnTo>
                                <a:pt x="570" y="1425"/>
                              </a:lnTo>
                              <a:lnTo>
                                <a:pt x="581" y="1420"/>
                              </a:lnTo>
                              <a:lnTo>
                                <a:pt x="612" y="1405"/>
                              </a:lnTo>
                              <a:lnTo>
                                <a:pt x="659" y="1381"/>
                              </a:lnTo>
                              <a:lnTo>
                                <a:pt x="718" y="1348"/>
                              </a:lnTo>
                              <a:lnTo>
                                <a:pt x="784" y="1308"/>
                              </a:lnTo>
                              <a:lnTo>
                                <a:pt x="855" y="1260"/>
                              </a:lnTo>
                              <a:lnTo>
                                <a:pt x="926" y="1205"/>
                              </a:lnTo>
                              <a:lnTo>
                                <a:pt x="992" y="1145"/>
                              </a:lnTo>
                              <a:lnTo>
                                <a:pt x="1051" y="1079"/>
                              </a:lnTo>
                              <a:lnTo>
                                <a:pt x="1086" y="1026"/>
                              </a:lnTo>
                              <a:lnTo>
                                <a:pt x="302" y="1026"/>
                              </a:lnTo>
                              <a:lnTo>
                                <a:pt x="114" y="228"/>
                              </a:lnTo>
                              <a:lnTo>
                                <a:pt x="1140" y="228"/>
                              </a:lnTo>
                              <a:lnTo>
                                <a:pt x="1140" y="0"/>
                              </a:lnTo>
                              <a:close/>
                              <a:moveTo>
                                <a:pt x="569" y="480"/>
                              </a:moveTo>
                              <a:lnTo>
                                <a:pt x="452" y="973"/>
                              </a:lnTo>
                              <a:lnTo>
                                <a:pt x="411" y="982"/>
                              </a:lnTo>
                              <a:lnTo>
                                <a:pt x="372" y="995"/>
                              </a:lnTo>
                              <a:lnTo>
                                <a:pt x="336" y="1009"/>
                              </a:lnTo>
                              <a:lnTo>
                                <a:pt x="302" y="1026"/>
                              </a:lnTo>
                              <a:lnTo>
                                <a:pt x="837" y="1026"/>
                              </a:lnTo>
                              <a:lnTo>
                                <a:pt x="803" y="1009"/>
                              </a:lnTo>
                              <a:lnTo>
                                <a:pt x="766" y="995"/>
                              </a:lnTo>
                              <a:lnTo>
                                <a:pt x="728" y="982"/>
                              </a:lnTo>
                              <a:lnTo>
                                <a:pt x="687" y="973"/>
                              </a:lnTo>
                              <a:lnTo>
                                <a:pt x="569" y="480"/>
                              </a:lnTo>
                              <a:close/>
                              <a:moveTo>
                                <a:pt x="1140" y="228"/>
                              </a:moveTo>
                              <a:lnTo>
                                <a:pt x="1025" y="228"/>
                              </a:lnTo>
                              <a:lnTo>
                                <a:pt x="837" y="1026"/>
                              </a:lnTo>
                              <a:lnTo>
                                <a:pt x="1086" y="1026"/>
                              </a:lnTo>
                              <a:lnTo>
                                <a:pt x="1098" y="1009"/>
                              </a:lnTo>
                              <a:lnTo>
                                <a:pt x="1129" y="935"/>
                              </a:lnTo>
                              <a:lnTo>
                                <a:pt x="1140" y="857"/>
                              </a:lnTo>
                              <a:lnTo>
                                <a:pt x="1140" y="228"/>
                              </a:lnTo>
                              <a:close/>
                              <a:moveTo>
                                <a:pt x="519" y="228"/>
                              </a:moveTo>
                              <a:lnTo>
                                <a:pt x="232" y="228"/>
                              </a:lnTo>
                              <a:lnTo>
                                <a:pt x="376" y="826"/>
                              </a:lnTo>
                              <a:lnTo>
                                <a:pt x="519" y="228"/>
                              </a:lnTo>
                              <a:close/>
                              <a:moveTo>
                                <a:pt x="907" y="228"/>
                              </a:moveTo>
                              <a:lnTo>
                                <a:pt x="620" y="228"/>
                              </a:lnTo>
                              <a:lnTo>
                                <a:pt x="766" y="826"/>
                              </a:lnTo>
                              <a:lnTo>
                                <a:pt x="907" y="2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5DD26" id="AutoShape 2" o:spid="_x0000_s1026" style="position:absolute;margin-left:269.15pt;margin-top:13.2pt;width:57.05pt;height:71.3pt;z-index:-15616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41,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" path="m1140,l,,,857r11,78l42,1009r47,70l147,1145r67,60l284,1260r71,48l422,1348r58,33l527,1405r31,15l570,1425r11,-5l612,1405r47,-24l718,1348r66,-40l855,1260r71,-55l992,1145r59,-66l1086,1026r-784,l114,228r1026,l1140,xm569,480l452,973r-41,9l372,995r-36,14l302,1026r535,l803,1009,766,995,728,982r-41,-9l569,480xm1140,228r-115,l837,1026r249,l1098,1009r31,-74l1140,857r,-629xm519,228r-287,l376,826,519,228xm907,228r-287,l766,826,907,228xe" stroked="f">
                <v:path arrowok="t" o:connecttype="custom" o:connectlocs="723900,167640;0,167640;0,711835;6985,761365;26670,808355;56515,852805;93345,894715;135890,932815;180340,967740;225425,998220;267970,1023620;304800,1044575;334645,1059815;354330,1069340;361950,1072515;368935,1069340;388620,1059815;418465,1044575;455930,1023620;497840,998220;542925,967740;588010,932815;629920,894715;667385,852805;689610,819150;191770,819150;72390,312420;723900,312420;723900,167640;361315,472440;287020,785495;260985,791210;236220,799465;213360,808355;191770,819150;531495,819150;509905,808355;486410,799465;462280,791210;436245,785495;361315,472440;723900,312420;650875,312420;531495,819150;689610,819150;697230,808355;716915,761365;723900,711835;723900,312420;329565,312420;147320,312420;238760,692150;329565,312420;575945,312420;393700,312420;486410,692150;575945,312420" o:connectangles="0,0,0,0,0,0,0,0,0,0,0,0,0,0,0,0,0,0,0,0,0,0,0,0,0,0,0,0,0,0,0,0,0,0,0,0,0,0,0,0,0,0,0,0,0,0,0,0,0,0,0,0,0,0,0,0,0"/>
                <w10:wrap type="topAndBottom" anchorx="page"/>
              </v:shape>
            </w:pict>
          </mc:Fallback>
        </mc:AlternateContent>
      </w:r>
    </w:p>
    <w:p w14:paraId="76F4A803" w14:textId="77777777" w:rsidR="00FA4AA8" w:rsidRDefault="00FA4AA8">
      <w:pPr>
        <w:pStyle w:val="BodyText"/>
        <w:spacing w:before="4"/>
        <w:rPr>
          <w:rFonts w:ascii="Verdana"/>
          <w:sz w:val="23"/>
        </w:rPr>
      </w:pPr>
    </w:p>
    <w:p w14:paraId="22DE6B09" w14:textId="77777777" w:rsidR="00FA4AA8" w:rsidRDefault="0015611F">
      <w:pPr>
        <w:ind w:left="3319" w:right="3357"/>
        <w:jc w:val="center"/>
        <w:rPr>
          <w:rFonts w:ascii="Trebuchet MS"/>
          <w:b/>
          <w:sz w:val="24"/>
        </w:rPr>
      </w:pPr>
      <w:r>
        <w:rPr>
          <w:rFonts w:ascii="Trebuchet MS"/>
          <w:b/>
          <w:color w:val="FFFFFF"/>
          <w:sz w:val="24"/>
        </w:rPr>
        <w:t>WESTERNSYDNEY.EDU.AU</w:t>
      </w:r>
    </w:p>
    <w:sectPr w:rsidR="00FA4AA8">
      <w:headerReference w:type="default" r:id="rId336"/>
      <w:footerReference w:type="default" r:id="rId337"/>
      <w:pgSz w:w="11910" w:h="16840"/>
      <w:pgMar w:top="1000" w:right="1139" w:bottom="280" w:left="11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B582AF" w14:textId="77777777" w:rsidR="00F33A7B" w:rsidRDefault="00F33A7B">
      <w:r>
        <w:separator/>
      </w:r>
    </w:p>
  </w:endnote>
  <w:endnote w:type="continuationSeparator" w:id="0">
    <w:p w14:paraId="7D8F7955" w14:textId="77777777" w:rsidR="00F33A7B" w:rsidRDefault="00F33A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Carlito">
    <w:altName w:val="Arial"/>
    <w:charset w:val="00"/>
    <w:family w:val="swiss"/>
    <w:pitch w:val="variable"/>
  </w:font>
  <w:font w:name="Trebuchet MS">
    <w:altName w:val="Trebuchet MS"/>
    <w:panose1 w:val="020B0603020202020204"/>
    <w:charset w:val="00"/>
    <w:family w:val="swiss"/>
    <w:pitch w:val="variable"/>
    <w:sig w:usb0="00000287" w:usb1="0000000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C0DC98"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16416" behindDoc="1" locked="0" layoutInCell="1" allowOverlap="1" wp14:anchorId="2719B384" wp14:editId="2008A905">
              <wp:simplePos x="0" y="0"/>
              <wp:positionH relativeFrom="page">
                <wp:posOffset>3713480</wp:posOffset>
              </wp:positionH>
              <wp:positionV relativeFrom="page">
                <wp:posOffset>10221595</wp:posOffset>
              </wp:positionV>
              <wp:extent cx="133350" cy="139065"/>
              <wp:effectExtent l="0" t="0" r="0" b="0"/>
              <wp:wrapNone/>
              <wp:docPr id="235"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5B2FE" w14:textId="77777777" w:rsidR="001F3ACE" w:rsidRDefault="001F3ACE">
                          <w:pPr>
                            <w:spacing w:before="14"/>
                            <w:ind w:left="60"/>
                            <w:rPr>
                              <w:sz w:val="16"/>
                            </w:rPr>
                          </w:pPr>
                          <w:r>
                            <w:fldChar w:fldCharType="begin"/>
                          </w:r>
                          <w:r>
                            <w:rPr>
                              <w:sz w:val="16"/>
                            </w:rPr>
                            <w:instrText xml:space="preserve"> PAGE </w:instrText>
                          </w:r>
                          <w:r>
                            <w:fldChar w:fldCharType="separate"/>
                          </w:r>
                          <w:r w:rsidR="007E2441">
                            <w:rPr>
                              <w:noProof/>
                              <w:sz w:val="16"/>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19B384" id="_x0000_t202" coordsize="21600,21600" o:spt="202" path="m,l,21600r21600,l21600,xe">
              <v:stroke joinstyle="miter"/>
              <v:path gradientshapeok="t" o:connecttype="rect"/>
            </v:shapetype>
            <v:shape id="Text Box 152" o:spid="_x0000_s1057" type="#_x0000_t202" style="position:absolute;margin-left:292.4pt;margin-top:804.85pt;width:10.5pt;height:10.95pt;z-index:-4060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" filled="f" stroked="f">
              <v:textbox inset="0,0,0,0">
                <w:txbxContent>
                  <w:p w14:paraId="2345B2FE" w14:textId="77777777" w:rsidR="001F3ACE" w:rsidRDefault="001F3ACE">
                    <w:pPr>
                      <w:spacing w:before="14"/>
                      <w:ind w:left="60"/>
                      <w:rPr>
                        <w:sz w:val="16"/>
                      </w:rPr>
                    </w:pPr>
                    <w:r>
                      <w:fldChar w:fldCharType="begin"/>
                    </w:r>
                    <w:r>
                      <w:rPr>
                        <w:sz w:val="16"/>
                      </w:rPr>
                      <w:instrText xml:space="preserve"> PAGE </w:instrText>
                    </w:r>
                    <w:r>
                      <w:fldChar w:fldCharType="separate"/>
                    </w:r>
                    <w:r w:rsidR="007E2441">
                      <w:rPr>
                        <w:noProof/>
                        <w:sz w:val="16"/>
                      </w:rPr>
                      <w:t>1</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CB2B0C"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26144" behindDoc="1" locked="0" layoutInCell="1" allowOverlap="1" wp14:anchorId="001CCED0" wp14:editId="6C36A274">
              <wp:simplePos x="0" y="0"/>
              <wp:positionH relativeFrom="page">
                <wp:posOffset>3685540</wp:posOffset>
              </wp:positionH>
              <wp:positionV relativeFrom="page">
                <wp:posOffset>10220325</wp:posOffset>
              </wp:positionV>
              <wp:extent cx="189230" cy="139065"/>
              <wp:effectExtent l="0" t="0" r="0" b="0"/>
              <wp:wrapNone/>
              <wp:docPr id="21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B2166"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62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1CCED0" id="_x0000_t202" coordsize="21600,21600" o:spt="202" path="m,l,21600r21600,l21600,xe">
              <v:stroke joinstyle="miter"/>
              <v:path gradientshapeok="t" o:connecttype="rect"/>
            </v:shapetype>
            <v:shape id="_x0000_s1076" type="#_x0000_t202" style="position:absolute;margin-left:290.2pt;margin-top:804.75pt;width:14.9pt;height:10.95pt;z-index:-4059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" filled="f" stroked="f">
              <v:textbox inset="0,0,0,0">
                <w:txbxContent>
                  <w:p w14:paraId="3F4B2166"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62</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0063CA"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26656" behindDoc="1" locked="0" layoutInCell="1" allowOverlap="1" wp14:anchorId="07033262" wp14:editId="20B08D3B">
              <wp:simplePos x="0" y="0"/>
              <wp:positionH relativeFrom="page">
                <wp:posOffset>5276850</wp:posOffset>
              </wp:positionH>
              <wp:positionV relativeFrom="page">
                <wp:posOffset>7088505</wp:posOffset>
              </wp:positionV>
              <wp:extent cx="138430" cy="139065"/>
              <wp:effectExtent l="0" t="0" r="0" b="0"/>
              <wp:wrapNone/>
              <wp:docPr id="215"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DBCE2" w14:textId="77777777" w:rsidR="001F3ACE" w:rsidRDefault="001F3ACE">
                          <w:pPr>
                            <w:spacing w:before="14"/>
                            <w:ind w:left="20"/>
                            <w:rPr>
                              <w:sz w:val="16"/>
                            </w:rPr>
                          </w:pPr>
                          <w:r>
                            <w:rPr>
                              <w:sz w:val="16"/>
                            </w:rPr>
                            <w:t>63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033262" id="_x0000_t202" coordsize="21600,21600" o:spt="202" path="m,l,21600r21600,l21600,xe">
              <v:stroke joinstyle="miter"/>
              <v:path gradientshapeok="t" o:connecttype="rect"/>
            </v:shapetype>
            <v:shape id="_x0000_s1077" type="#_x0000_t202" style="position:absolute;margin-left:415.5pt;margin-top:558.15pt;width:10.9pt;height:10.95pt;z-index:-4058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" filled="f" stroked="f">
              <v:textbox inset="0,0,0,0">
                <w:txbxContent>
                  <w:p w14:paraId="67CDBCE2" w14:textId="77777777" w:rsidR="001F3ACE" w:rsidRDefault="001F3ACE">
                    <w:pPr>
                      <w:spacing w:before="14"/>
                      <w:ind w:left="20"/>
                      <w:rPr>
                        <w:sz w:val="16"/>
                      </w:rPr>
                    </w:pPr>
                    <w:r>
                      <w:rPr>
                        <w:sz w:val="16"/>
                      </w:rPr>
                      <w:t>63</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B1B794"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28192" behindDoc="1" locked="0" layoutInCell="1" allowOverlap="1" wp14:anchorId="50CDC655" wp14:editId="013E8F83">
              <wp:simplePos x="0" y="0"/>
              <wp:positionH relativeFrom="page">
                <wp:posOffset>3685540</wp:posOffset>
              </wp:positionH>
              <wp:positionV relativeFrom="page">
                <wp:posOffset>10220325</wp:posOffset>
              </wp:positionV>
              <wp:extent cx="189230" cy="139065"/>
              <wp:effectExtent l="0" t="0" r="0" b="0"/>
              <wp:wrapNone/>
              <wp:docPr id="212"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A436E"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70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CDC655" id="_x0000_t202" coordsize="21600,21600" o:spt="202" path="m,l,21600r21600,l21600,xe">
              <v:stroke joinstyle="miter"/>
              <v:path gradientshapeok="t" o:connecttype="rect"/>
            </v:shapetype>
            <v:shape id="Text Box 129" o:spid="_x0000_s1080" type="#_x0000_t202" style="position:absolute;margin-left:290.2pt;margin-top:804.75pt;width:14.9pt;height:10.95pt;z-index:-4058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" filled="f" stroked="f">
              <v:textbox inset="0,0,0,0">
                <w:txbxContent>
                  <w:p w14:paraId="527A436E"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70</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213720"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29728" behindDoc="1" locked="0" layoutInCell="1" allowOverlap="1" wp14:anchorId="7C5EDF25" wp14:editId="5EA3837A">
              <wp:simplePos x="0" y="0"/>
              <wp:positionH relativeFrom="page">
                <wp:posOffset>5251450</wp:posOffset>
              </wp:positionH>
              <wp:positionV relativeFrom="page">
                <wp:posOffset>7088505</wp:posOffset>
              </wp:positionV>
              <wp:extent cx="189230" cy="139065"/>
              <wp:effectExtent l="0" t="0" r="0" b="0"/>
              <wp:wrapNone/>
              <wp:docPr id="209"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D44C8"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5EDF25" id="_x0000_t202" coordsize="21600,21600" o:spt="202" path="m,l,21600r21600,l21600,xe">
              <v:stroke joinstyle="miter"/>
              <v:path gradientshapeok="t" o:connecttype="rect"/>
            </v:shapetype>
            <v:shape id="Text Box 126" o:spid="_x0000_s1083" type="#_x0000_t202" style="position:absolute;margin-left:413.5pt;margin-top:558.15pt;width:14.9pt;height:10.95pt;z-index:-4058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" filled="f" stroked="f">
              <v:textbox inset="0,0,0,0">
                <w:txbxContent>
                  <w:p w14:paraId="072D44C8"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74</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62145C"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31264" behindDoc="1" locked="0" layoutInCell="1" allowOverlap="1" wp14:anchorId="5A6AED70" wp14:editId="5323B53B">
              <wp:simplePos x="0" y="0"/>
              <wp:positionH relativeFrom="page">
                <wp:posOffset>3685540</wp:posOffset>
              </wp:positionH>
              <wp:positionV relativeFrom="page">
                <wp:posOffset>10220325</wp:posOffset>
              </wp:positionV>
              <wp:extent cx="189230" cy="139065"/>
              <wp:effectExtent l="0" t="0" r="0" b="0"/>
              <wp:wrapNone/>
              <wp:docPr id="206"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FA198"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83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6AED70" id="_x0000_t202" coordsize="21600,21600" o:spt="202" path="m,l,21600r21600,l21600,xe">
              <v:stroke joinstyle="miter"/>
              <v:path gradientshapeok="t" o:connecttype="rect"/>
            </v:shapetype>
            <v:shape id="Text Box 123" o:spid="_x0000_s1086" type="#_x0000_t202" style="position:absolute;margin-left:290.2pt;margin-top:804.75pt;width:14.9pt;height:10.95pt;z-index:-4058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" filled="f" stroked="f">
              <v:textbox inset="0,0,0,0">
                <w:txbxContent>
                  <w:p w14:paraId="337FA198"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83</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43BFB5"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31776" behindDoc="1" locked="0" layoutInCell="1" allowOverlap="1" wp14:anchorId="1BEC8695" wp14:editId="5BF3B60E">
              <wp:simplePos x="0" y="0"/>
              <wp:positionH relativeFrom="page">
                <wp:posOffset>3683635</wp:posOffset>
              </wp:positionH>
              <wp:positionV relativeFrom="page">
                <wp:posOffset>10221595</wp:posOffset>
              </wp:positionV>
              <wp:extent cx="191135" cy="139065"/>
              <wp:effectExtent l="0" t="0" r="0" b="0"/>
              <wp:wrapNone/>
              <wp:docPr id="205"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3CA78"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84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EC8695" id="_x0000_t202" coordsize="21600,21600" o:spt="202" path="m,l,21600r21600,l21600,xe">
              <v:stroke joinstyle="miter"/>
              <v:path gradientshapeok="t" o:connecttype="rect"/>
            </v:shapetype>
            <v:shape id="Text Box 122" o:spid="_x0000_s1087" type="#_x0000_t202" style="position:absolute;margin-left:290.05pt;margin-top:804.85pt;width:15.05pt;height:10.95pt;z-index:-4058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" filled="f" stroked="f">
              <v:textbox inset="0,0,0,0">
                <w:txbxContent>
                  <w:p w14:paraId="0483CA78"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84</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2EE9B9"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32288" behindDoc="1" locked="0" layoutInCell="1" allowOverlap="1" wp14:anchorId="2F9C0C35" wp14:editId="108D0DEC">
              <wp:simplePos x="0" y="0"/>
              <wp:positionH relativeFrom="page">
                <wp:posOffset>3683635</wp:posOffset>
              </wp:positionH>
              <wp:positionV relativeFrom="page">
                <wp:posOffset>10221595</wp:posOffset>
              </wp:positionV>
              <wp:extent cx="189230" cy="139065"/>
              <wp:effectExtent l="0" t="0" r="0" b="0"/>
              <wp:wrapNone/>
              <wp:docPr id="204"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12966"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85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9C0C35" id="_x0000_t202" coordsize="21600,21600" o:spt="202" path="m,l,21600r21600,l21600,xe">
              <v:stroke joinstyle="miter"/>
              <v:path gradientshapeok="t" o:connecttype="rect"/>
            </v:shapetype>
            <v:shape id="Text Box 121" o:spid="_x0000_s1088" type="#_x0000_t202" style="position:absolute;margin-left:290.05pt;margin-top:804.85pt;width:14.9pt;height:10.95pt;z-index:-4058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" filled="f" stroked="f">
              <v:textbox inset="0,0,0,0">
                <w:txbxContent>
                  <w:p w14:paraId="0EB12966"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85</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6E5ECE"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32800" behindDoc="1" locked="0" layoutInCell="1" allowOverlap="1" wp14:anchorId="0E5BC0D9" wp14:editId="7101FB74">
              <wp:simplePos x="0" y="0"/>
              <wp:positionH relativeFrom="page">
                <wp:posOffset>3683635</wp:posOffset>
              </wp:positionH>
              <wp:positionV relativeFrom="page">
                <wp:posOffset>10221595</wp:posOffset>
              </wp:positionV>
              <wp:extent cx="189230" cy="139065"/>
              <wp:effectExtent l="0" t="0" r="0" b="0"/>
              <wp:wrapNone/>
              <wp:docPr id="203"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20B0A"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86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5BC0D9" id="_x0000_t202" coordsize="21600,21600" o:spt="202" path="m,l,21600r21600,l21600,xe">
              <v:stroke joinstyle="miter"/>
              <v:path gradientshapeok="t" o:connecttype="rect"/>
            </v:shapetype>
            <v:shape id="Text Box 120" o:spid="_x0000_s1089" type="#_x0000_t202" style="position:absolute;margin-left:290.05pt;margin-top:804.85pt;width:14.9pt;height:10.95pt;z-index:-4058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" filled="f" stroked="f">
              <v:textbox inset="0,0,0,0">
                <w:txbxContent>
                  <w:p w14:paraId="07820B0A"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86</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E2512A"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33312" behindDoc="1" locked="0" layoutInCell="1" allowOverlap="1" wp14:anchorId="74187AF0" wp14:editId="6A31354F">
              <wp:simplePos x="0" y="0"/>
              <wp:positionH relativeFrom="page">
                <wp:posOffset>3685540</wp:posOffset>
              </wp:positionH>
              <wp:positionV relativeFrom="page">
                <wp:posOffset>10220325</wp:posOffset>
              </wp:positionV>
              <wp:extent cx="189230" cy="139065"/>
              <wp:effectExtent l="0" t="0" r="0" b="0"/>
              <wp:wrapNone/>
              <wp:docPr id="202"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D1B2B"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87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187AF0" id="_x0000_t202" coordsize="21600,21600" o:spt="202" path="m,l,21600r21600,l21600,xe">
              <v:stroke joinstyle="miter"/>
              <v:path gradientshapeok="t" o:connecttype="rect"/>
            </v:shapetype>
            <v:shape id="Text Box 119" o:spid="_x0000_s1090" type="#_x0000_t202" style="position:absolute;margin-left:290.2pt;margin-top:804.75pt;width:14.9pt;height:10.95pt;z-index:-4058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" filled="f" stroked="f">
              <v:textbox inset="0,0,0,0">
                <w:txbxContent>
                  <w:p w14:paraId="25DD1B2B"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87</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F8EEDE"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34336" behindDoc="1" locked="0" layoutInCell="1" allowOverlap="1" wp14:anchorId="12483E41" wp14:editId="78890E63">
              <wp:simplePos x="0" y="0"/>
              <wp:positionH relativeFrom="page">
                <wp:posOffset>3685540</wp:posOffset>
              </wp:positionH>
              <wp:positionV relativeFrom="page">
                <wp:posOffset>10220325</wp:posOffset>
              </wp:positionV>
              <wp:extent cx="189230" cy="139065"/>
              <wp:effectExtent l="0" t="0" r="0" b="0"/>
              <wp:wrapNone/>
              <wp:docPr id="200"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F5D11"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92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483E41" id="_x0000_t202" coordsize="21600,21600" o:spt="202" path="m,l,21600r21600,l21600,xe">
              <v:stroke joinstyle="miter"/>
              <v:path gradientshapeok="t" o:connecttype="rect"/>
            </v:shapetype>
            <v:shape id="Text Box 117" o:spid="_x0000_s1092" type="#_x0000_t202" style="position:absolute;margin-left:290.2pt;margin-top:804.75pt;width:14.9pt;height:10.95pt;z-index:-4058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" filled="f" stroked="f">
              <v:textbox inset="0,0,0,0">
                <w:txbxContent>
                  <w:p w14:paraId="70FF5D11"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92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E0F507"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17440" behindDoc="1" locked="0" layoutInCell="1" allowOverlap="1" wp14:anchorId="676D102C" wp14:editId="5E124F89">
              <wp:simplePos x="0" y="0"/>
              <wp:positionH relativeFrom="page">
                <wp:posOffset>3714750</wp:posOffset>
              </wp:positionH>
              <wp:positionV relativeFrom="page">
                <wp:posOffset>10226675</wp:posOffset>
              </wp:positionV>
              <wp:extent cx="132715" cy="139065"/>
              <wp:effectExtent l="0" t="0" r="0" b="0"/>
              <wp:wrapNone/>
              <wp:docPr id="233"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085C5"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6D102C" id="_x0000_t202" coordsize="21600,21600" o:spt="202" path="m,l,21600r21600,l21600,xe">
              <v:stroke joinstyle="miter"/>
              <v:path gradientshapeok="t" o:connecttype="rect"/>
            </v:shapetype>
            <v:shape id="Text Box 150" o:spid="_x0000_s1059" type="#_x0000_t202" style="position:absolute;margin-left:292.5pt;margin-top:805.25pt;width:10.45pt;height:10.95pt;z-index:-4059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" filled="f" stroked="f">
              <v:textbox inset="0,0,0,0">
                <w:txbxContent>
                  <w:p w14:paraId="5CD085C5"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5</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19326B"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34848" behindDoc="1" locked="0" layoutInCell="1" allowOverlap="1" wp14:anchorId="3CF9F6CF" wp14:editId="5C7E2D01">
              <wp:simplePos x="0" y="0"/>
              <wp:positionH relativeFrom="page">
                <wp:posOffset>3683635</wp:posOffset>
              </wp:positionH>
              <wp:positionV relativeFrom="page">
                <wp:posOffset>10221595</wp:posOffset>
              </wp:positionV>
              <wp:extent cx="189230" cy="139065"/>
              <wp:effectExtent l="0" t="0" r="0" b="0"/>
              <wp:wrapNone/>
              <wp:docPr id="199"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B72EE"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93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F9F6CF" id="_x0000_t202" coordsize="21600,21600" o:spt="202" path="m,l,21600r21600,l21600,xe">
              <v:stroke joinstyle="miter"/>
              <v:path gradientshapeok="t" o:connecttype="rect"/>
            </v:shapetype>
            <v:shape id="Text Box 116" o:spid="_x0000_s1093" type="#_x0000_t202" style="position:absolute;margin-left:290.05pt;margin-top:804.85pt;width:14.9pt;height:10.95pt;z-index:-4058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" filled="f" stroked="f">
              <v:textbox inset="0,0,0,0">
                <w:txbxContent>
                  <w:p w14:paraId="627B72EE"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93</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9C74FB"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35872" behindDoc="1" locked="0" layoutInCell="1" allowOverlap="1" wp14:anchorId="49C7317A" wp14:editId="79C200C4">
              <wp:simplePos x="0" y="0"/>
              <wp:positionH relativeFrom="page">
                <wp:posOffset>3685540</wp:posOffset>
              </wp:positionH>
              <wp:positionV relativeFrom="page">
                <wp:posOffset>10220325</wp:posOffset>
              </wp:positionV>
              <wp:extent cx="189230" cy="139065"/>
              <wp:effectExtent l="0" t="0" r="0" b="0"/>
              <wp:wrapNone/>
              <wp:docPr id="197"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3FC83"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95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C7317A" id="_x0000_t202" coordsize="21600,21600" o:spt="202" path="m,l,21600r21600,l21600,xe">
              <v:stroke joinstyle="miter"/>
              <v:path gradientshapeok="t" o:connecttype="rect"/>
            </v:shapetype>
            <v:shape id="Text Box 114" o:spid="_x0000_s1095" type="#_x0000_t202" style="position:absolute;margin-left:290.2pt;margin-top:804.75pt;width:14.9pt;height:10.95pt;z-index:-4058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" filled="f" stroked="f">
              <v:textbox inset="0,0,0,0">
                <w:txbxContent>
                  <w:p w14:paraId="2F83FC83"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95</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6D9F45"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36896" behindDoc="1" locked="0" layoutInCell="1" allowOverlap="1" wp14:anchorId="4BAA6EEC" wp14:editId="646E2BC6">
              <wp:simplePos x="0" y="0"/>
              <wp:positionH relativeFrom="page">
                <wp:posOffset>2249805</wp:posOffset>
              </wp:positionH>
              <wp:positionV relativeFrom="page">
                <wp:posOffset>9906000</wp:posOffset>
              </wp:positionV>
              <wp:extent cx="3328035" cy="153670"/>
              <wp:effectExtent l="0" t="0" r="0" b="0"/>
              <wp:wrapNone/>
              <wp:docPr id="195"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80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90F61" w14:textId="77777777" w:rsidR="001F3ACE" w:rsidRDefault="001F3ACE">
                          <w:pPr>
                            <w:pStyle w:val="BodyText"/>
                            <w:spacing w:before="14"/>
                            <w:ind w:left="20"/>
                          </w:pPr>
                          <w:r>
                            <w:t>The accompanying notes form part of these financial statements.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AA6EEC" id="_x0000_t202" coordsize="21600,21600" o:spt="202" path="m,l,21600r21600,l21600,xe">
              <v:stroke joinstyle="miter"/>
              <v:path gradientshapeok="t" o:connecttype="rect"/>
            </v:shapetype>
            <v:shape id="Text Box 112" o:spid="_x0000_s1097" type="#_x0000_t202" style="position:absolute;margin-left:177.15pt;margin-top:780pt;width:262.05pt;height:12.1pt;z-index:-4057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" filled="f" stroked="f">
              <v:textbox inset="0,0,0,0">
                <w:txbxContent>
                  <w:p w14:paraId="6ED90F61" w14:textId="77777777" w:rsidR="001F3ACE" w:rsidRDefault="001F3ACE">
                    <w:pPr>
                      <w:pStyle w:val="BodyText"/>
                      <w:spacing w:before="14"/>
                      <w:ind w:left="20"/>
                    </w:pPr>
                    <w:r>
                      <w:t>The accompanying notes form part of these financial statements.</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462737408" behindDoc="1" locked="0" layoutInCell="1" allowOverlap="1" wp14:anchorId="7192352D" wp14:editId="110EEEEB">
              <wp:simplePos x="0" y="0"/>
              <wp:positionH relativeFrom="page">
                <wp:posOffset>3685540</wp:posOffset>
              </wp:positionH>
              <wp:positionV relativeFrom="page">
                <wp:posOffset>10220325</wp:posOffset>
              </wp:positionV>
              <wp:extent cx="189230" cy="139065"/>
              <wp:effectExtent l="0" t="0" r="0" b="0"/>
              <wp:wrapNone/>
              <wp:docPr id="194"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CB66D"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97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2352D" id="Text Box 111" o:spid="_x0000_s1098" type="#_x0000_t202" style="position:absolute;margin-left:290.2pt;margin-top:804.75pt;width:14.9pt;height:10.95pt;z-index:-4057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" filled="f" stroked="f">
              <v:textbox inset="0,0,0,0">
                <w:txbxContent>
                  <w:p w14:paraId="031CB66D"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97</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559368"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38432" behindDoc="1" locked="0" layoutInCell="1" allowOverlap="1" wp14:anchorId="326E3E3B" wp14:editId="4A563819">
              <wp:simplePos x="0" y="0"/>
              <wp:positionH relativeFrom="page">
                <wp:posOffset>3656965</wp:posOffset>
              </wp:positionH>
              <wp:positionV relativeFrom="page">
                <wp:posOffset>10220325</wp:posOffset>
              </wp:positionV>
              <wp:extent cx="245745" cy="139065"/>
              <wp:effectExtent l="0" t="0" r="0" b="0"/>
              <wp:wrapNone/>
              <wp:docPr id="192"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03021"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98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6E3E3B" id="_x0000_t202" coordsize="21600,21600" o:spt="202" path="m,l,21600r21600,l21600,xe">
              <v:stroke joinstyle="miter"/>
              <v:path gradientshapeok="t" o:connecttype="rect"/>
            </v:shapetype>
            <v:shape id="Text Box 109" o:spid="_x0000_s1100" type="#_x0000_t202" style="position:absolute;margin-left:287.95pt;margin-top:804.75pt;width:19.35pt;height:10.95pt;z-index:-4057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" filled="f" stroked="f">
              <v:textbox inset="0,0,0,0">
                <w:txbxContent>
                  <w:p w14:paraId="67B03021"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98</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6DBDA4"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39968" behindDoc="1" locked="0" layoutInCell="1" allowOverlap="1" wp14:anchorId="73BD68C7" wp14:editId="44698FC8">
              <wp:simplePos x="0" y="0"/>
              <wp:positionH relativeFrom="page">
                <wp:posOffset>3656965</wp:posOffset>
              </wp:positionH>
              <wp:positionV relativeFrom="page">
                <wp:posOffset>10220325</wp:posOffset>
              </wp:positionV>
              <wp:extent cx="245745" cy="139065"/>
              <wp:effectExtent l="0" t="0" r="0" b="0"/>
              <wp:wrapNone/>
              <wp:docPr id="189"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1B68D"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115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BD68C7" id="_x0000_t202" coordsize="21600,21600" o:spt="202" path="m,l,21600r21600,l21600,xe">
              <v:stroke joinstyle="miter"/>
              <v:path gradientshapeok="t" o:connecttype="rect"/>
            </v:shapetype>
            <v:shape id="Text Box 106" o:spid="_x0000_s1103" type="#_x0000_t202" style="position:absolute;margin-left:287.95pt;margin-top:804.75pt;width:19.35pt;height:10.95pt;z-index:-4057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" filled="f" stroked="f">
              <v:textbox inset="0,0,0,0">
                <w:txbxContent>
                  <w:p w14:paraId="48E1B68D"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115</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5D2FA2"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40480" behindDoc="1" locked="0" layoutInCell="1" allowOverlap="1" wp14:anchorId="20BDBE4E" wp14:editId="2A3A773A">
              <wp:simplePos x="0" y="0"/>
              <wp:positionH relativeFrom="page">
                <wp:posOffset>3655695</wp:posOffset>
              </wp:positionH>
              <wp:positionV relativeFrom="page">
                <wp:posOffset>10221595</wp:posOffset>
              </wp:positionV>
              <wp:extent cx="247650" cy="139065"/>
              <wp:effectExtent l="0" t="0" r="0" b="0"/>
              <wp:wrapNone/>
              <wp:docPr id="188"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2E90D"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116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BDBE4E" id="_x0000_t202" coordsize="21600,21600" o:spt="202" path="m,l,21600r21600,l21600,xe">
              <v:stroke joinstyle="miter"/>
              <v:path gradientshapeok="t" o:connecttype="rect"/>
            </v:shapetype>
            <v:shape id="Text Box 105" o:spid="_x0000_s1104" type="#_x0000_t202" style="position:absolute;margin-left:287.85pt;margin-top:804.85pt;width:19.5pt;height:10.95pt;z-index:-4057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" filled="f" stroked="f">
              <v:textbox inset="0,0,0,0">
                <w:txbxContent>
                  <w:p w14:paraId="2B52E90D"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116</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A502D9"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40992" behindDoc="1" locked="0" layoutInCell="1" allowOverlap="1" wp14:anchorId="1FFCAB16" wp14:editId="3B3C3B9E">
              <wp:simplePos x="0" y="0"/>
              <wp:positionH relativeFrom="page">
                <wp:posOffset>3655695</wp:posOffset>
              </wp:positionH>
              <wp:positionV relativeFrom="page">
                <wp:posOffset>10221595</wp:posOffset>
              </wp:positionV>
              <wp:extent cx="245745" cy="139065"/>
              <wp:effectExtent l="0" t="0" r="0" b="0"/>
              <wp:wrapNone/>
              <wp:docPr id="187"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91079"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117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FCAB16" id="_x0000_t202" coordsize="21600,21600" o:spt="202" path="m,l,21600r21600,l21600,xe">
              <v:stroke joinstyle="miter"/>
              <v:path gradientshapeok="t" o:connecttype="rect"/>
            </v:shapetype>
            <v:shape id="Text Box 104" o:spid="_x0000_s1105" type="#_x0000_t202" style="position:absolute;margin-left:287.85pt;margin-top:804.85pt;width:19.35pt;height:10.95pt;z-index:-4057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" filled="f" stroked="f">
              <v:textbox inset="0,0,0,0">
                <w:txbxContent>
                  <w:p w14:paraId="30591079"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117</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CD5EE5"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41504" behindDoc="1" locked="0" layoutInCell="1" allowOverlap="1" wp14:anchorId="10C7E0F6" wp14:editId="5F0DF88F">
              <wp:simplePos x="0" y="0"/>
              <wp:positionH relativeFrom="page">
                <wp:posOffset>3655695</wp:posOffset>
              </wp:positionH>
              <wp:positionV relativeFrom="page">
                <wp:posOffset>10221595</wp:posOffset>
              </wp:positionV>
              <wp:extent cx="245745" cy="139065"/>
              <wp:effectExtent l="0" t="0" r="0" b="0"/>
              <wp:wrapNone/>
              <wp:docPr id="18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F852F"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118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C7E0F6" id="_x0000_t202" coordsize="21600,21600" o:spt="202" path="m,l,21600r21600,l21600,xe">
              <v:stroke joinstyle="miter"/>
              <v:path gradientshapeok="t" o:connecttype="rect"/>
            </v:shapetype>
            <v:shape id="Text Box 103" o:spid="_x0000_s1106" type="#_x0000_t202" style="position:absolute;margin-left:287.85pt;margin-top:804.85pt;width:19.35pt;height:10.95pt;z-index:-4057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" filled="f" stroked="f">
              <v:textbox inset="0,0,0,0">
                <w:txbxContent>
                  <w:p w14:paraId="326F852F"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118</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27BA23"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42016" behindDoc="1" locked="0" layoutInCell="1" allowOverlap="1" wp14:anchorId="360572D2" wp14:editId="0A12B936">
              <wp:simplePos x="0" y="0"/>
              <wp:positionH relativeFrom="page">
                <wp:posOffset>3656965</wp:posOffset>
              </wp:positionH>
              <wp:positionV relativeFrom="page">
                <wp:posOffset>10220325</wp:posOffset>
              </wp:positionV>
              <wp:extent cx="245745" cy="139065"/>
              <wp:effectExtent l="0" t="0" r="0" b="0"/>
              <wp:wrapNone/>
              <wp:docPr id="185"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E40A7"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119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0572D2" id="_x0000_t202" coordsize="21600,21600" o:spt="202" path="m,l,21600r21600,l21600,xe">
              <v:stroke joinstyle="miter"/>
              <v:path gradientshapeok="t" o:connecttype="rect"/>
            </v:shapetype>
            <v:shape id="Text Box 102" o:spid="_x0000_s1107" type="#_x0000_t202" style="position:absolute;margin-left:287.95pt;margin-top:804.75pt;width:19.35pt;height:10.95pt;z-index:-4057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" filled="f" stroked="f">
              <v:textbox inset="0,0,0,0">
                <w:txbxContent>
                  <w:p w14:paraId="0C7E40A7"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119</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E5543F"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43040" behindDoc="1" locked="0" layoutInCell="1" allowOverlap="1" wp14:anchorId="46177856" wp14:editId="0D705D40">
              <wp:simplePos x="0" y="0"/>
              <wp:positionH relativeFrom="page">
                <wp:posOffset>3656965</wp:posOffset>
              </wp:positionH>
              <wp:positionV relativeFrom="page">
                <wp:posOffset>10220325</wp:posOffset>
              </wp:positionV>
              <wp:extent cx="245745" cy="139065"/>
              <wp:effectExtent l="0" t="0" r="0" b="0"/>
              <wp:wrapNone/>
              <wp:docPr id="183"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0CC00"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121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177856" id="_x0000_t202" coordsize="21600,21600" o:spt="202" path="m,l,21600r21600,l21600,xe">
              <v:stroke joinstyle="miter"/>
              <v:path gradientshapeok="t" o:connecttype="rect"/>
            </v:shapetype>
            <v:shape id="Text Box 100" o:spid="_x0000_s1109" type="#_x0000_t202" style="position:absolute;margin-left:287.95pt;margin-top:804.75pt;width:19.35pt;height:10.95pt;z-index:-4057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" filled="f" stroked="f">
              <v:textbox inset="0,0,0,0">
                <w:txbxContent>
                  <w:p w14:paraId="5B00CC00"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121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D9CAFB" w14:textId="77777777" w:rsidR="001F3ACE" w:rsidRDefault="001F3ACE">
    <w:pPr>
      <w:pStyle w:val="BodyText"/>
      <w:spacing w:line="14" w:lineRule="auto"/>
      <w:rPr>
        <w:sz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794083"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43552" behindDoc="1" locked="0" layoutInCell="1" allowOverlap="1" wp14:anchorId="2AB62A35" wp14:editId="297DF172">
              <wp:simplePos x="0" y="0"/>
              <wp:positionH relativeFrom="page">
                <wp:posOffset>3658235</wp:posOffset>
              </wp:positionH>
              <wp:positionV relativeFrom="page">
                <wp:posOffset>10226675</wp:posOffset>
              </wp:positionV>
              <wp:extent cx="245745" cy="139065"/>
              <wp:effectExtent l="0" t="0" r="0" b="0"/>
              <wp:wrapNone/>
              <wp:docPr id="182"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606A4"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122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B62A35" id="_x0000_t202" coordsize="21600,21600" o:spt="202" path="m,l,21600r21600,l21600,xe">
              <v:stroke joinstyle="miter"/>
              <v:path gradientshapeok="t" o:connecttype="rect"/>
            </v:shapetype>
            <v:shape id="Text Box 99" o:spid="_x0000_s1110" type="#_x0000_t202" style="position:absolute;margin-left:288.05pt;margin-top:805.25pt;width:19.35pt;height:10.95pt;z-index:-4057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" filled="f" stroked="f">
              <v:textbox inset="0,0,0,0">
                <w:txbxContent>
                  <w:p w14:paraId="15A606A4"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122</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1ED3CC"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44576" behindDoc="1" locked="0" layoutInCell="1" allowOverlap="1" wp14:anchorId="49A6A23F" wp14:editId="18AB3823">
              <wp:simplePos x="0" y="0"/>
              <wp:positionH relativeFrom="page">
                <wp:posOffset>3656965</wp:posOffset>
              </wp:positionH>
              <wp:positionV relativeFrom="page">
                <wp:posOffset>10220325</wp:posOffset>
              </wp:positionV>
              <wp:extent cx="245745" cy="139065"/>
              <wp:effectExtent l="0" t="0" r="0" b="0"/>
              <wp:wrapNone/>
              <wp:docPr id="18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2BF2F"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125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A6A23F" id="_x0000_t202" coordsize="21600,21600" o:spt="202" path="m,l,21600r21600,l21600,xe">
              <v:stroke joinstyle="miter"/>
              <v:path gradientshapeok="t" o:connecttype="rect"/>
            </v:shapetype>
            <v:shape id="Text Box 97" o:spid="_x0000_s1112" type="#_x0000_t202" style="position:absolute;margin-left:287.95pt;margin-top:804.75pt;width:19.35pt;height:10.95pt;z-index:-4057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" filled="f" stroked="f">
              <v:textbox inset="0,0,0,0">
                <w:txbxContent>
                  <w:p w14:paraId="5A62BF2F"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125</w:t>
                    </w:r>
                    <w: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BEFEC9"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46624" behindDoc="1" locked="0" layoutInCell="1" allowOverlap="1" wp14:anchorId="482B89BF" wp14:editId="49504B1D">
              <wp:simplePos x="0" y="0"/>
              <wp:positionH relativeFrom="page">
                <wp:posOffset>3656965</wp:posOffset>
              </wp:positionH>
              <wp:positionV relativeFrom="page">
                <wp:posOffset>10220325</wp:posOffset>
              </wp:positionV>
              <wp:extent cx="245745" cy="139065"/>
              <wp:effectExtent l="0" t="0" r="0" b="0"/>
              <wp:wrapNone/>
              <wp:docPr id="176"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22053"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137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2B89BF" id="_x0000_t202" coordsize="21600,21600" o:spt="202" path="m,l,21600r21600,l21600,xe">
              <v:stroke joinstyle="miter"/>
              <v:path gradientshapeok="t" o:connecttype="rect"/>
            </v:shapetype>
            <v:shape id="Text Box 93" o:spid="_x0000_s1116" type="#_x0000_t202" style="position:absolute;margin-left:287.95pt;margin-top:804.75pt;width:19.35pt;height:10.95pt;z-index:-4056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" filled="f" stroked="f">
              <v:textbox inset="0,0,0,0">
                <w:txbxContent>
                  <w:p w14:paraId="37A22053"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137</w:t>
                    </w:r>
                    <w: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3EBD28"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48160" behindDoc="1" locked="0" layoutInCell="1" allowOverlap="1" wp14:anchorId="54791C9B" wp14:editId="454B567A">
              <wp:simplePos x="0" y="0"/>
              <wp:positionH relativeFrom="page">
                <wp:posOffset>3656965</wp:posOffset>
              </wp:positionH>
              <wp:positionV relativeFrom="page">
                <wp:posOffset>10220325</wp:posOffset>
              </wp:positionV>
              <wp:extent cx="245745" cy="139065"/>
              <wp:effectExtent l="0" t="0" r="0" b="0"/>
              <wp:wrapNone/>
              <wp:docPr id="173"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63776"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138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791C9B" id="_x0000_t202" coordsize="21600,21600" o:spt="202" path="m,l,21600r21600,l21600,xe">
              <v:stroke joinstyle="miter"/>
              <v:path gradientshapeok="t" o:connecttype="rect"/>
            </v:shapetype>
            <v:shape id="Text Box 90" o:spid="_x0000_s1119" type="#_x0000_t202" style="position:absolute;margin-left:287.95pt;margin-top:804.75pt;width:19.35pt;height:10.95pt;z-index:-4056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" filled="f" stroked="f">
              <v:textbox inset="0,0,0,0">
                <w:txbxContent>
                  <w:p w14:paraId="43063776"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138</w:t>
                    </w:r>
                    <w: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94793E"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49696" behindDoc="1" locked="0" layoutInCell="1" allowOverlap="1" wp14:anchorId="3C468C58" wp14:editId="7982E9ED">
              <wp:simplePos x="0" y="0"/>
              <wp:positionH relativeFrom="page">
                <wp:posOffset>3656965</wp:posOffset>
              </wp:positionH>
              <wp:positionV relativeFrom="page">
                <wp:posOffset>10220325</wp:posOffset>
              </wp:positionV>
              <wp:extent cx="245745" cy="139065"/>
              <wp:effectExtent l="0" t="0" r="0" b="0"/>
              <wp:wrapNone/>
              <wp:docPr id="170"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8E0B7"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140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468C58" id="_x0000_t202" coordsize="21600,21600" o:spt="202" path="m,l,21600r21600,l21600,xe">
              <v:stroke joinstyle="miter"/>
              <v:path gradientshapeok="t" o:connecttype="rect"/>
            </v:shapetype>
            <v:shape id="Text Box 87" o:spid="_x0000_s1122" type="#_x0000_t202" style="position:absolute;margin-left:287.95pt;margin-top:804.75pt;width:19.35pt;height:10.95pt;z-index:-405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" filled="f" stroked="f">
              <v:textbox inset="0,0,0,0">
                <w:txbxContent>
                  <w:p w14:paraId="0A18E0B7"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140</w:t>
                    </w:r>
                    <w: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8905EB"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50208" behindDoc="1" locked="0" layoutInCell="1" allowOverlap="1" wp14:anchorId="2E5520C2" wp14:editId="12D68F77">
              <wp:simplePos x="0" y="0"/>
              <wp:positionH relativeFrom="page">
                <wp:posOffset>3656965</wp:posOffset>
              </wp:positionH>
              <wp:positionV relativeFrom="page">
                <wp:posOffset>10226675</wp:posOffset>
              </wp:positionV>
              <wp:extent cx="247015" cy="139065"/>
              <wp:effectExtent l="0" t="0" r="0" b="0"/>
              <wp:wrapNone/>
              <wp:docPr id="169"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5664D" w14:textId="77777777" w:rsidR="001F3ACE" w:rsidRDefault="001F3ACE">
                          <w:pPr>
                            <w:spacing w:before="14"/>
                            <w:ind w:left="61"/>
                            <w:rPr>
                              <w:sz w:val="16"/>
                            </w:rPr>
                          </w:pPr>
                          <w:r>
                            <w:fldChar w:fldCharType="begin"/>
                          </w:r>
                          <w:r>
                            <w:rPr>
                              <w:sz w:val="16"/>
                            </w:rPr>
                            <w:instrText xml:space="preserve"> PAGE </w:instrText>
                          </w:r>
                          <w:r>
                            <w:fldChar w:fldCharType="separate"/>
                          </w:r>
                          <w:r w:rsidR="00397774">
                            <w:rPr>
                              <w:noProof/>
                              <w:sz w:val="16"/>
                            </w:rPr>
                            <w:t>141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5520C2" id="_x0000_t202" coordsize="21600,21600" o:spt="202" path="m,l,21600r21600,l21600,xe">
              <v:stroke joinstyle="miter"/>
              <v:path gradientshapeok="t" o:connecttype="rect"/>
            </v:shapetype>
            <v:shape id="Text Box 86" o:spid="_x0000_s1123" type="#_x0000_t202" style="position:absolute;margin-left:287.95pt;margin-top:805.25pt;width:19.45pt;height:10.95pt;z-index:-4056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" filled="f" stroked="f">
              <v:textbox inset="0,0,0,0">
                <w:txbxContent>
                  <w:p w14:paraId="5B85664D" w14:textId="77777777" w:rsidR="001F3ACE" w:rsidRDefault="001F3ACE">
                    <w:pPr>
                      <w:spacing w:before="14"/>
                      <w:ind w:left="61"/>
                      <w:rPr>
                        <w:sz w:val="16"/>
                      </w:rPr>
                    </w:pPr>
                    <w:r>
                      <w:fldChar w:fldCharType="begin"/>
                    </w:r>
                    <w:r>
                      <w:rPr>
                        <w:sz w:val="16"/>
                      </w:rPr>
                      <w:instrText xml:space="preserve"> PAGE </w:instrText>
                    </w:r>
                    <w:r>
                      <w:fldChar w:fldCharType="separate"/>
                    </w:r>
                    <w:r w:rsidR="00397774">
                      <w:rPr>
                        <w:noProof/>
                        <w:sz w:val="16"/>
                      </w:rPr>
                      <w:t>141</w:t>
                    </w:r>
                    <w: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593640"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50720" behindDoc="1" locked="0" layoutInCell="1" allowOverlap="1" wp14:anchorId="4C4A8BAA" wp14:editId="62DCE4E1">
              <wp:simplePos x="0" y="0"/>
              <wp:positionH relativeFrom="page">
                <wp:posOffset>3658235</wp:posOffset>
              </wp:positionH>
              <wp:positionV relativeFrom="page">
                <wp:posOffset>10226675</wp:posOffset>
              </wp:positionV>
              <wp:extent cx="245745" cy="139065"/>
              <wp:effectExtent l="0" t="0" r="0" b="0"/>
              <wp:wrapNone/>
              <wp:docPr id="16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48DDC"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142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4A8BAA" id="_x0000_t202" coordsize="21600,21600" o:spt="202" path="m,l,21600r21600,l21600,xe">
              <v:stroke joinstyle="miter"/>
              <v:path gradientshapeok="t" o:connecttype="rect"/>
            </v:shapetype>
            <v:shape id="Text Box 85" o:spid="_x0000_s1124" type="#_x0000_t202" style="position:absolute;margin-left:288.05pt;margin-top:805.25pt;width:19.35pt;height:10.95pt;z-index:-4056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" filled="f" stroked="f">
              <v:textbox inset="0,0,0,0">
                <w:txbxContent>
                  <w:p w14:paraId="03748DDC"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142</w:t>
                    </w:r>
                    <w: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760BFD"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51232" behindDoc="1" locked="0" layoutInCell="1" allowOverlap="1" wp14:anchorId="4F4569B3" wp14:editId="34F4C953">
              <wp:simplePos x="0" y="0"/>
              <wp:positionH relativeFrom="page">
                <wp:posOffset>3658235</wp:posOffset>
              </wp:positionH>
              <wp:positionV relativeFrom="page">
                <wp:posOffset>10226675</wp:posOffset>
              </wp:positionV>
              <wp:extent cx="245745" cy="139065"/>
              <wp:effectExtent l="0" t="0" r="0" b="0"/>
              <wp:wrapNone/>
              <wp:docPr id="16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B2EFC"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143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4569B3" id="_x0000_t202" coordsize="21600,21600" o:spt="202" path="m,l,21600r21600,l21600,xe">
              <v:stroke joinstyle="miter"/>
              <v:path gradientshapeok="t" o:connecttype="rect"/>
            </v:shapetype>
            <v:shape id="Text Box 84" o:spid="_x0000_s1125" type="#_x0000_t202" style="position:absolute;margin-left:288.05pt;margin-top:805.25pt;width:19.35pt;height:10.95pt;z-index:-4056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" filled="f" stroked="f">
              <v:textbox inset="0,0,0,0">
                <w:txbxContent>
                  <w:p w14:paraId="37AB2EFC"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143</w:t>
                    </w:r>
                    <w: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170486"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51744" behindDoc="1" locked="0" layoutInCell="1" allowOverlap="1" wp14:anchorId="2DDC5211" wp14:editId="784512A4">
              <wp:simplePos x="0" y="0"/>
              <wp:positionH relativeFrom="page">
                <wp:posOffset>3657600</wp:posOffset>
              </wp:positionH>
              <wp:positionV relativeFrom="page">
                <wp:posOffset>10220960</wp:posOffset>
              </wp:positionV>
              <wp:extent cx="245745" cy="139065"/>
              <wp:effectExtent l="0" t="0" r="0" b="0"/>
              <wp:wrapNone/>
              <wp:docPr id="16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4C12F"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144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DC5211" id="_x0000_t202" coordsize="21600,21600" o:spt="202" path="m,l,21600r21600,l21600,xe">
              <v:stroke joinstyle="miter"/>
              <v:path gradientshapeok="t" o:connecttype="rect"/>
            </v:shapetype>
            <v:shape id="Text Box 83" o:spid="_x0000_s1126" type="#_x0000_t202" style="position:absolute;margin-left:4in;margin-top:804.8pt;width:19.35pt;height:10.95pt;z-index:-4056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" filled="f" stroked="f">
              <v:textbox inset="0,0,0,0">
                <w:txbxContent>
                  <w:p w14:paraId="6954C12F"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144</w:t>
                    </w:r>
                    <w: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3BF87E"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52256" behindDoc="1" locked="0" layoutInCell="1" allowOverlap="1" wp14:anchorId="0CE90DD3" wp14:editId="63C40F06">
              <wp:simplePos x="0" y="0"/>
              <wp:positionH relativeFrom="page">
                <wp:posOffset>3656965</wp:posOffset>
              </wp:positionH>
              <wp:positionV relativeFrom="page">
                <wp:posOffset>10220325</wp:posOffset>
              </wp:positionV>
              <wp:extent cx="245745" cy="139065"/>
              <wp:effectExtent l="0" t="0" r="0" b="0"/>
              <wp:wrapNone/>
              <wp:docPr id="16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BC99F"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145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E90DD3" id="_x0000_t202" coordsize="21600,21600" o:spt="202" path="m,l,21600r21600,l21600,xe">
              <v:stroke joinstyle="miter"/>
              <v:path gradientshapeok="t" o:connecttype="rect"/>
            </v:shapetype>
            <v:shape id="Text Box 82" o:spid="_x0000_s1127" type="#_x0000_t202" style="position:absolute;margin-left:287.95pt;margin-top:804.75pt;width:19.35pt;height:10.95pt;z-index:-4056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" filled="f" stroked="f">
              <v:textbox inset="0,0,0,0">
                <w:txbxContent>
                  <w:p w14:paraId="2EFBC99F"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145</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96F8C5"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17952" behindDoc="1" locked="0" layoutInCell="1" allowOverlap="1" wp14:anchorId="7F8215A7" wp14:editId="3C85B489">
              <wp:simplePos x="0" y="0"/>
              <wp:positionH relativeFrom="page">
                <wp:posOffset>3713480</wp:posOffset>
              </wp:positionH>
              <wp:positionV relativeFrom="page">
                <wp:posOffset>10220325</wp:posOffset>
              </wp:positionV>
              <wp:extent cx="132715" cy="139065"/>
              <wp:effectExtent l="0" t="0" r="0" b="0"/>
              <wp:wrapNone/>
              <wp:docPr id="232"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E5BA6"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8215A7" id="_x0000_t202" coordsize="21600,21600" o:spt="202" path="m,l,21600r21600,l21600,xe">
              <v:stroke joinstyle="miter"/>
              <v:path gradientshapeok="t" o:connecttype="rect"/>
            </v:shapetype>
            <v:shape id="Text Box 149" o:spid="_x0000_s1060" type="#_x0000_t202" style="position:absolute;margin-left:292.4pt;margin-top:804.75pt;width:10.45pt;height:10.95pt;z-index:-4059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" filled="f" stroked="f">
              <v:textbox inset="0,0,0,0">
                <w:txbxContent>
                  <w:p w14:paraId="52EE5BA6"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7</w:t>
                    </w:r>
                    <w: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062683"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53280" behindDoc="1" locked="0" layoutInCell="1" allowOverlap="1" wp14:anchorId="556685DD" wp14:editId="592A4AB2">
              <wp:simplePos x="0" y="0"/>
              <wp:positionH relativeFrom="page">
                <wp:posOffset>3656965</wp:posOffset>
              </wp:positionH>
              <wp:positionV relativeFrom="page">
                <wp:posOffset>10220325</wp:posOffset>
              </wp:positionV>
              <wp:extent cx="245745" cy="139065"/>
              <wp:effectExtent l="0" t="0" r="0" b="0"/>
              <wp:wrapNone/>
              <wp:docPr id="16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918AA"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147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6685DD" id="_x0000_t202" coordsize="21600,21600" o:spt="202" path="m,l,21600r21600,l21600,xe">
              <v:stroke joinstyle="miter"/>
              <v:path gradientshapeok="t" o:connecttype="rect"/>
            </v:shapetype>
            <v:shape id="Text Box 80" o:spid="_x0000_s1129" type="#_x0000_t202" style="position:absolute;margin-left:287.95pt;margin-top:804.75pt;width:19.35pt;height:10.95pt;z-index:-4056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" filled="f" stroked="f">
              <v:textbox inset="0,0,0,0">
                <w:txbxContent>
                  <w:p w14:paraId="23B918AA"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147</w:t>
                    </w:r>
                    <w: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51CBFB"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53792" behindDoc="1" locked="0" layoutInCell="1" allowOverlap="1" wp14:anchorId="46807F95" wp14:editId="4AAB46B4">
              <wp:simplePos x="0" y="0"/>
              <wp:positionH relativeFrom="page">
                <wp:posOffset>3658235</wp:posOffset>
              </wp:positionH>
              <wp:positionV relativeFrom="page">
                <wp:posOffset>10226675</wp:posOffset>
              </wp:positionV>
              <wp:extent cx="245745" cy="139065"/>
              <wp:effectExtent l="0" t="0" r="0" b="0"/>
              <wp:wrapNone/>
              <wp:docPr id="15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FDC3B"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148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807F95" id="_x0000_t202" coordsize="21600,21600" o:spt="202" path="m,l,21600r21600,l21600,xe">
              <v:stroke joinstyle="miter"/>
              <v:path gradientshapeok="t" o:connecttype="rect"/>
            </v:shapetype>
            <v:shape id="Text Box 79" o:spid="_x0000_s1130" type="#_x0000_t202" style="position:absolute;margin-left:288.05pt;margin-top:805.25pt;width:19.35pt;height:10.95pt;z-index:-4056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" filled="f" stroked="f">
              <v:textbox inset="0,0,0,0">
                <w:txbxContent>
                  <w:p w14:paraId="3F6FDC3B"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148</w:t>
                    </w:r>
                    <w: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0768F7"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54816" behindDoc="1" locked="0" layoutInCell="1" allowOverlap="1" wp14:anchorId="3B58A4AA" wp14:editId="52B1EF9D">
              <wp:simplePos x="0" y="0"/>
              <wp:positionH relativeFrom="page">
                <wp:posOffset>3656965</wp:posOffset>
              </wp:positionH>
              <wp:positionV relativeFrom="page">
                <wp:posOffset>10220325</wp:posOffset>
              </wp:positionV>
              <wp:extent cx="245745" cy="139065"/>
              <wp:effectExtent l="0" t="0" r="0" b="0"/>
              <wp:wrapNone/>
              <wp:docPr id="15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A7B2D"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162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58A4AA" id="_x0000_t202" coordsize="21600,21600" o:spt="202" path="m,l,21600r21600,l21600,xe">
              <v:stroke joinstyle="miter"/>
              <v:path gradientshapeok="t" o:connecttype="rect"/>
            </v:shapetype>
            <v:shape id="Text Box 77" o:spid="_x0000_s1132" type="#_x0000_t202" style="position:absolute;margin-left:287.95pt;margin-top:804.75pt;width:19.35pt;height:10.95pt;z-index:-4056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" filled="f" stroked="f">
              <v:textbox inset="0,0,0,0">
                <w:txbxContent>
                  <w:p w14:paraId="309A7B2D"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162</w:t>
                    </w:r>
                    <w: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340F7C"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55328" behindDoc="1" locked="0" layoutInCell="1" allowOverlap="1" wp14:anchorId="0F423C6B" wp14:editId="7B149B4D">
              <wp:simplePos x="0" y="0"/>
              <wp:positionH relativeFrom="page">
                <wp:posOffset>3656965</wp:posOffset>
              </wp:positionH>
              <wp:positionV relativeFrom="page">
                <wp:posOffset>10226675</wp:posOffset>
              </wp:positionV>
              <wp:extent cx="247650" cy="139065"/>
              <wp:effectExtent l="0" t="0" r="0" b="0"/>
              <wp:wrapNone/>
              <wp:docPr id="15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BE911" w14:textId="77777777" w:rsidR="001F3ACE" w:rsidRDefault="001F3ACE">
                          <w:pPr>
                            <w:spacing w:before="14"/>
                            <w:ind w:left="62"/>
                            <w:rPr>
                              <w:sz w:val="16"/>
                            </w:rPr>
                          </w:pPr>
                          <w:r>
                            <w:fldChar w:fldCharType="begin"/>
                          </w:r>
                          <w:r>
                            <w:rPr>
                              <w:sz w:val="16"/>
                            </w:rPr>
                            <w:instrText xml:space="preserve"> PAGE </w:instrText>
                          </w:r>
                          <w:r>
                            <w:fldChar w:fldCharType="separate"/>
                          </w:r>
                          <w:r w:rsidR="00397774">
                            <w:rPr>
                              <w:noProof/>
                              <w:sz w:val="16"/>
                            </w:rPr>
                            <w:t>163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423C6B" id="_x0000_t202" coordsize="21600,21600" o:spt="202" path="m,l,21600r21600,l21600,xe">
              <v:stroke joinstyle="miter"/>
              <v:path gradientshapeok="t" o:connecttype="rect"/>
            </v:shapetype>
            <v:shape id="Text Box 76" o:spid="_x0000_s1133" type="#_x0000_t202" style="position:absolute;margin-left:287.95pt;margin-top:805.25pt;width:19.5pt;height:10.95pt;z-index:-4056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" filled="f" stroked="f">
              <v:textbox inset="0,0,0,0">
                <w:txbxContent>
                  <w:p w14:paraId="554BE911" w14:textId="77777777" w:rsidR="001F3ACE" w:rsidRDefault="001F3ACE">
                    <w:pPr>
                      <w:spacing w:before="14"/>
                      <w:ind w:left="62"/>
                      <w:rPr>
                        <w:sz w:val="16"/>
                      </w:rPr>
                    </w:pPr>
                    <w:r>
                      <w:fldChar w:fldCharType="begin"/>
                    </w:r>
                    <w:r>
                      <w:rPr>
                        <w:sz w:val="16"/>
                      </w:rPr>
                      <w:instrText xml:space="preserve"> PAGE </w:instrText>
                    </w:r>
                    <w:r>
                      <w:fldChar w:fldCharType="separate"/>
                    </w:r>
                    <w:r w:rsidR="00397774">
                      <w:rPr>
                        <w:noProof/>
                        <w:sz w:val="16"/>
                      </w:rPr>
                      <w:t>163</w:t>
                    </w:r>
                    <w: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2FCB7F"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55840" behindDoc="1" locked="0" layoutInCell="1" allowOverlap="1" wp14:anchorId="6096CF48" wp14:editId="149AF62B">
              <wp:simplePos x="0" y="0"/>
              <wp:positionH relativeFrom="page">
                <wp:posOffset>3658235</wp:posOffset>
              </wp:positionH>
              <wp:positionV relativeFrom="page">
                <wp:posOffset>10226675</wp:posOffset>
              </wp:positionV>
              <wp:extent cx="245745" cy="139065"/>
              <wp:effectExtent l="0" t="0" r="0" b="0"/>
              <wp:wrapNone/>
              <wp:docPr id="15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05773"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164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96CF48" id="_x0000_t202" coordsize="21600,21600" o:spt="202" path="m,l,21600r21600,l21600,xe">
              <v:stroke joinstyle="miter"/>
              <v:path gradientshapeok="t" o:connecttype="rect"/>
            </v:shapetype>
            <v:shape id="Text Box 75" o:spid="_x0000_s1134" type="#_x0000_t202" style="position:absolute;margin-left:288.05pt;margin-top:805.25pt;width:19.35pt;height:10.95pt;z-index:-4056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" filled="f" stroked="f">
              <v:textbox inset="0,0,0,0">
                <w:txbxContent>
                  <w:p w14:paraId="12405773"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164</w:t>
                    </w:r>
                    <w: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158C0A"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56352" behindDoc="1" locked="0" layoutInCell="1" allowOverlap="1" wp14:anchorId="17E29083" wp14:editId="69CEB09A">
              <wp:simplePos x="0" y="0"/>
              <wp:positionH relativeFrom="page">
                <wp:posOffset>3658235</wp:posOffset>
              </wp:positionH>
              <wp:positionV relativeFrom="page">
                <wp:posOffset>10226675</wp:posOffset>
              </wp:positionV>
              <wp:extent cx="245745" cy="139065"/>
              <wp:effectExtent l="0" t="0" r="0" b="0"/>
              <wp:wrapNone/>
              <wp:docPr id="14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D4DCC"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165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E29083" id="_x0000_t202" coordsize="21600,21600" o:spt="202" path="m,l,21600r21600,l21600,xe">
              <v:stroke joinstyle="miter"/>
              <v:path gradientshapeok="t" o:connecttype="rect"/>
            </v:shapetype>
            <v:shape id="Text Box 74" o:spid="_x0000_s1135" type="#_x0000_t202" style="position:absolute;margin-left:288.05pt;margin-top:805.25pt;width:19.35pt;height:10.95pt;z-index:-4056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" filled="f" stroked="f">
              <v:textbox inset="0,0,0,0">
                <w:txbxContent>
                  <w:p w14:paraId="247D4DCC"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165</w:t>
                    </w:r>
                    <w: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1E0888"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56864" behindDoc="1" locked="0" layoutInCell="1" allowOverlap="1" wp14:anchorId="3959FAEF" wp14:editId="4BFC6762">
              <wp:simplePos x="0" y="0"/>
              <wp:positionH relativeFrom="page">
                <wp:posOffset>3657600</wp:posOffset>
              </wp:positionH>
              <wp:positionV relativeFrom="page">
                <wp:posOffset>10220960</wp:posOffset>
              </wp:positionV>
              <wp:extent cx="245745" cy="139065"/>
              <wp:effectExtent l="0" t="0" r="0" b="0"/>
              <wp:wrapNone/>
              <wp:docPr id="146"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52C59"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166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59FAEF" id="_x0000_t202" coordsize="21600,21600" o:spt="202" path="m,l,21600r21600,l21600,xe">
              <v:stroke joinstyle="miter"/>
              <v:path gradientshapeok="t" o:connecttype="rect"/>
            </v:shapetype>
            <v:shape id="Text Box 73" o:spid="_x0000_s1136" type="#_x0000_t202" style="position:absolute;margin-left:4in;margin-top:804.8pt;width:19.35pt;height:10.95pt;z-index:-4055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" filled="f" stroked="f">
              <v:textbox inset="0,0,0,0">
                <w:txbxContent>
                  <w:p w14:paraId="01D52C59"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166</w:t>
                    </w:r>
                    <w: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77406F"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57376" behindDoc="1" locked="0" layoutInCell="1" allowOverlap="1" wp14:anchorId="2D16FC29" wp14:editId="65D47766">
              <wp:simplePos x="0" y="0"/>
              <wp:positionH relativeFrom="page">
                <wp:posOffset>3656965</wp:posOffset>
              </wp:positionH>
              <wp:positionV relativeFrom="page">
                <wp:posOffset>10221595</wp:posOffset>
              </wp:positionV>
              <wp:extent cx="245745" cy="139065"/>
              <wp:effectExtent l="0" t="0" r="0" b="0"/>
              <wp:wrapNone/>
              <wp:docPr id="14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89D86"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167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16FC29" id="_x0000_t202" coordsize="21600,21600" o:spt="202" path="m,l,21600r21600,l21600,xe">
              <v:stroke joinstyle="miter"/>
              <v:path gradientshapeok="t" o:connecttype="rect"/>
            </v:shapetype>
            <v:shape id="Text Box 72" o:spid="_x0000_s1137" type="#_x0000_t202" style="position:absolute;margin-left:287.95pt;margin-top:804.85pt;width:19.35pt;height:10.95pt;z-index:-4055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" filled="f" stroked="f">
              <v:textbox inset="0,0,0,0">
                <w:txbxContent>
                  <w:p w14:paraId="77B89D86"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167</w:t>
                    </w:r>
                    <w: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F103AE"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58912" behindDoc="1" locked="0" layoutInCell="1" allowOverlap="1" wp14:anchorId="49BB0731" wp14:editId="270FACC2">
              <wp:simplePos x="0" y="0"/>
              <wp:positionH relativeFrom="page">
                <wp:posOffset>3656965</wp:posOffset>
              </wp:positionH>
              <wp:positionV relativeFrom="page">
                <wp:posOffset>10221595</wp:posOffset>
              </wp:positionV>
              <wp:extent cx="245745" cy="139065"/>
              <wp:effectExtent l="0" t="0" r="0" b="0"/>
              <wp:wrapNone/>
              <wp:docPr id="13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D0FA2"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169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BB0731" id="_x0000_t202" coordsize="21600,21600" o:spt="202" path="m,l,21600r21600,l21600,xe">
              <v:stroke joinstyle="miter"/>
              <v:path gradientshapeok="t" o:connecttype="rect"/>
            </v:shapetype>
            <v:shape id="Text Box 69" o:spid="_x0000_s1140" type="#_x0000_t202" style="position:absolute;margin-left:287.95pt;margin-top:804.85pt;width:19.35pt;height:10.95pt;z-index:-4055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" filled="f" stroked="f">
              <v:textbox inset="0,0,0,0">
                <w:txbxContent>
                  <w:p w14:paraId="259D0FA2"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169</w:t>
                    </w:r>
                    <w: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09C620"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60960" behindDoc="1" locked="0" layoutInCell="1" allowOverlap="1" wp14:anchorId="56760F3C" wp14:editId="0A335A4D">
              <wp:simplePos x="0" y="0"/>
              <wp:positionH relativeFrom="page">
                <wp:posOffset>3656965</wp:posOffset>
              </wp:positionH>
              <wp:positionV relativeFrom="page">
                <wp:posOffset>10221595</wp:posOffset>
              </wp:positionV>
              <wp:extent cx="245745" cy="139065"/>
              <wp:effectExtent l="0" t="0" r="0" b="0"/>
              <wp:wrapNone/>
              <wp:docPr id="13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2E2F3"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172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760F3C" id="_x0000_t202" coordsize="21600,21600" o:spt="202" path="m,l,21600r21600,l21600,xe">
              <v:stroke joinstyle="miter"/>
              <v:path gradientshapeok="t" o:connecttype="rect"/>
            </v:shapetype>
            <v:shape id="Text Box 65" o:spid="_x0000_s1144" type="#_x0000_t202" style="position:absolute;margin-left:287.95pt;margin-top:804.85pt;width:19.35pt;height:10.95pt;z-index:-4055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" filled="f" stroked="f">
              <v:textbox inset="0,0,0,0">
                <w:txbxContent>
                  <w:p w14:paraId="7B12E2F3"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172</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3318A9"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18976" behindDoc="1" locked="0" layoutInCell="1" allowOverlap="1" wp14:anchorId="6E1DAD5F" wp14:editId="039101F0">
              <wp:simplePos x="0" y="0"/>
              <wp:positionH relativeFrom="page">
                <wp:posOffset>3713480</wp:posOffset>
              </wp:positionH>
              <wp:positionV relativeFrom="page">
                <wp:posOffset>10220325</wp:posOffset>
              </wp:positionV>
              <wp:extent cx="132715" cy="139065"/>
              <wp:effectExtent l="0" t="0" r="0" b="0"/>
              <wp:wrapNone/>
              <wp:docPr id="230"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5D62C"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1DAD5F" id="_x0000_t202" coordsize="21600,21600" o:spt="202" path="m,l,21600r21600,l21600,xe">
              <v:stroke joinstyle="miter"/>
              <v:path gradientshapeok="t" o:connecttype="rect"/>
            </v:shapetype>
            <v:shape id="Text Box 147" o:spid="_x0000_s1062" type="#_x0000_t202" style="position:absolute;margin-left:292.4pt;margin-top:804.75pt;width:10.45pt;height:10.95pt;z-index:-4059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" filled="f" stroked="f">
              <v:textbox inset="0,0,0,0">
                <w:txbxContent>
                  <w:p w14:paraId="45A5D62C"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9</w:t>
                    </w:r>
                    <w: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8DD0DF"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62496" behindDoc="1" locked="0" layoutInCell="1" allowOverlap="1" wp14:anchorId="0F7B354A" wp14:editId="04B802AC">
              <wp:simplePos x="0" y="0"/>
              <wp:positionH relativeFrom="page">
                <wp:posOffset>3656965</wp:posOffset>
              </wp:positionH>
              <wp:positionV relativeFrom="page">
                <wp:posOffset>10221595</wp:posOffset>
              </wp:positionV>
              <wp:extent cx="245745" cy="139065"/>
              <wp:effectExtent l="0" t="0" r="0" b="0"/>
              <wp:wrapNone/>
              <wp:docPr id="12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B0E30"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173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7B354A" id="_x0000_t202" coordsize="21600,21600" o:spt="202" path="m,l,21600r21600,l21600,xe">
              <v:stroke joinstyle="miter"/>
              <v:path gradientshapeok="t" o:connecttype="rect"/>
            </v:shapetype>
            <v:shape id="Text Box 62" o:spid="_x0000_s1147" type="#_x0000_t202" style="position:absolute;margin-left:287.95pt;margin-top:804.85pt;width:19.35pt;height:10.95pt;z-index:-4055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" filled="f" stroked="f">
              <v:textbox inset="0,0,0,0">
                <w:txbxContent>
                  <w:p w14:paraId="68BB0E30"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173</w:t>
                    </w:r>
                    <w: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F43C86"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63520" behindDoc="1" locked="0" layoutInCell="1" allowOverlap="1" wp14:anchorId="64E4FCE0" wp14:editId="3FC60201">
              <wp:simplePos x="0" y="0"/>
              <wp:positionH relativeFrom="page">
                <wp:posOffset>3656965</wp:posOffset>
              </wp:positionH>
              <wp:positionV relativeFrom="page">
                <wp:posOffset>10221595</wp:posOffset>
              </wp:positionV>
              <wp:extent cx="245745" cy="139065"/>
              <wp:effectExtent l="0" t="0" r="0" b="0"/>
              <wp:wrapNone/>
              <wp:docPr id="12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D728A"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174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E4FCE0" id="_x0000_t202" coordsize="21600,21600" o:spt="202" path="m,l,21600r21600,l21600,xe">
              <v:stroke joinstyle="miter"/>
              <v:path gradientshapeok="t" o:connecttype="rect"/>
            </v:shapetype>
            <v:shape id="Text Box 60" o:spid="_x0000_s1149" type="#_x0000_t202" style="position:absolute;margin-left:287.95pt;margin-top:804.85pt;width:19.35pt;height:10.95pt;z-index:-4055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" filled="f" stroked="f">
              <v:textbox inset="0,0,0,0">
                <w:txbxContent>
                  <w:p w14:paraId="50ED728A"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174</w:t>
                    </w:r>
                    <w: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708B62"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64032" behindDoc="1" locked="0" layoutInCell="1" allowOverlap="1" wp14:anchorId="2A47B808" wp14:editId="1C6BD251">
              <wp:simplePos x="0" y="0"/>
              <wp:positionH relativeFrom="page">
                <wp:posOffset>3658235</wp:posOffset>
              </wp:positionH>
              <wp:positionV relativeFrom="page">
                <wp:posOffset>10226675</wp:posOffset>
              </wp:positionV>
              <wp:extent cx="245745" cy="139065"/>
              <wp:effectExtent l="0" t="0" r="0" b="0"/>
              <wp:wrapNone/>
              <wp:docPr id="11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46054"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175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47B808" id="_x0000_t202" coordsize="21600,21600" o:spt="202" path="m,l,21600r21600,l21600,xe">
              <v:stroke joinstyle="miter"/>
              <v:path gradientshapeok="t" o:connecttype="rect"/>
            </v:shapetype>
            <v:shape id="Text Box 59" o:spid="_x0000_s1150" type="#_x0000_t202" style="position:absolute;margin-left:288.05pt;margin-top:805.25pt;width:19.35pt;height:10.95pt;z-index:-4055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" filled="f" stroked="f">
              <v:textbox inset="0,0,0,0">
                <w:txbxContent>
                  <w:p w14:paraId="54846054"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175</w:t>
                    </w:r>
                    <w:r>
                      <w:fldChar w:fldCharType="end"/>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703D4F"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65056" behindDoc="1" locked="0" layoutInCell="1" allowOverlap="1" wp14:anchorId="0115D987" wp14:editId="3E46D2BB">
              <wp:simplePos x="0" y="0"/>
              <wp:positionH relativeFrom="page">
                <wp:posOffset>3656965</wp:posOffset>
              </wp:positionH>
              <wp:positionV relativeFrom="page">
                <wp:posOffset>10221595</wp:posOffset>
              </wp:positionV>
              <wp:extent cx="245745" cy="139065"/>
              <wp:effectExtent l="0" t="0" r="0" b="0"/>
              <wp:wrapNone/>
              <wp:docPr id="11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A6EDC"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179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15D987" id="_x0000_t202" coordsize="21600,21600" o:spt="202" path="m,l,21600r21600,l21600,xe">
              <v:stroke joinstyle="miter"/>
              <v:path gradientshapeok="t" o:connecttype="rect"/>
            </v:shapetype>
            <v:shape id="Text Box 57" o:spid="_x0000_s1152" type="#_x0000_t202" style="position:absolute;margin-left:287.95pt;margin-top:804.85pt;width:19.35pt;height:10.95pt;z-index:-4055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" filled="f" stroked="f">
              <v:textbox inset="0,0,0,0">
                <w:txbxContent>
                  <w:p w14:paraId="071A6EDC"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179</w:t>
                    </w:r>
                    <w: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683088"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66592" behindDoc="1" locked="0" layoutInCell="1" allowOverlap="1" wp14:anchorId="078DA02B" wp14:editId="5F46470B">
              <wp:simplePos x="0" y="0"/>
              <wp:positionH relativeFrom="page">
                <wp:posOffset>3656965</wp:posOffset>
              </wp:positionH>
              <wp:positionV relativeFrom="page">
                <wp:posOffset>10221595</wp:posOffset>
              </wp:positionV>
              <wp:extent cx="245745" cy="139065"/>
              <wp:effectExtent l="0" t="0" r="0" b="0"/>
              <wp:wrapNone/>
              <wp:docPr id="10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76407"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183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8DA02B" id="_x0000_t202" coordsize="21600,21600" o:spt="202" path="m,l,21600r21600,l21600,xe">
              <v:stroke joinstyle="miter"/>
              <v:path gradientshapeok="t" o:connecttype="rect"/>
            </v:shapetype>
            <v:shape id="Text Box 54" o:spid="_x0000_s1155" type="#_x0000_t202" style="position:absolute;margin-left:287.95pt;margin-top:804.85pt;width:19.35pt;height:10.95pt;z-index:-4054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" filled="f" stroked="f">
              <v:textbox inset="0,0,0,0">
                <w:txbxContent>
                  <w:p w14:paraId="40B76407"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183</w:t>
                    </w:r>
                    <w:r>
                      <w:fldChar w:fldCharType="end"/>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5E4AE4" w14:textId="77777777" w:rsidR="001F3ACE" w:rsidRDefault="001F3ACE">
    <w:pPr>
      <w:pStyle w:val="BodyText"/>
      <w:spacing w:line="14" w:lineRule="auto"/>
      <w:rPr>
        <w:sz w:val="2"/>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604C46" w14:textId="77777777" w:rsidR="001F3ACE" w:rsidRDefault="001F3ACE">
    <w:pPr>
      <w:pStyle w:val="BodyText"/>
      <w:spacing w:line="14" w:lineRule="auto"/>
      <w:rPr>
        <w:sz w:val="2"/>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BCCFB0" w14:textId="77777777" w:rsidR="001F3ACE" w:rsidRDefault="001F3ACE">
    <w:pPr>
      <w:pStyle w:val="BodyText"/>
      <w:spacing w:line="14" w:lineRule="auto"/>
      <w:rPr>
        <w:sz w:val="2"/>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2896EA"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67104" behindDoc="1" locked="0" layoutInCell="1" allowOverlap="1" wp14:anchorId="26205E65" wp14:editId="42D203A9">
              <wp:simplePos x="0" y="0"/>
              <wp:positionH relativeFrom="page">
                <wp:posOffset>3656965</wp:posOffset>
              </wp:positionH>
              <wp:positionV relativeFrom="page">
                <wp:posOffset>10221595</wp:posOffset>
              </wp:positionV>
              <wp:extent cx="245745" cy="139065"/>
              <wp:effectExtent l="0" t="0" r="0" b="0"/>
              <wp:wrapNone/>
              <wp:docPr id="10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4054E"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187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205E65" id="_x0000_t202" coordsize="21600,21600" o:spt="202" path="m,l,21600r21600,l21600,xe">
              <v:stroke joinstyle="miter"/>
              <v:path gradientshapeok="t" o:connecttype="rect"/>
            </v:shapetype>
            <v:shape id="Text Box 53" o:spid="_x0000_s1156" type="#_x0000_t202" style="position:absolute;margin-left:287.95pt;margin-top:804.85pt;width:19.35pt;height:10.95pt;z-index:-405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" filled="f" stroked="f">
              <v:textbox inset="0,0,0,0">
                <w:txbxContent>
                  <w:p w14:paraId="5154054E"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187</w:t>
                    </w:r>
                    <w:r>
                      <w:fldChar w:fldCharType="end"/>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331DA1"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68640" behindDoc="1" locked="0" layoutInCell="1" allowOverlap="1" wp14:anchorId="071E1F76" wp14:editId="29A9A7E4">
              <wp:simplePos x="0" y="0"/>
              <wp:positionH relativeFrom="page">
                <wp:posOffset>3656965</wp:posOffset>
              </wp:positionH>
              <wp:positionV relativeFrom="page">
                <wp:posOffset>10221595</wp:posOffset>
              </wp:positionV>
              <wp:extent cx="245745" cy="139065"/>
              <wp:effectExtent l="0" t="0" r="0" b="0"/>
              <wp:wrapNone/>
              <wp:docPr id="10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649DF"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189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1E1F76" id="_x0000_t202" coordsize="21600,21600" o:spt="202" path="m,l,21600r21600,l21600,xe">
              <v:stroke joinstyle="miter"/>
              <v:path gradientshapeok="t" o:connecttype="rect"/>
            </v:shapetype>
            <v:shape id="Text Box 50" o:spid="_x0000_s1159" type="#_x0000_t202" style="position:absolute;margin-left:287.95pt;margin-top:804.85pt;width:19.35pt;height:10.95pt;z-index:-4054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" filled="f" stroked="f">
              <v:textbox inset="0,0,0,0">
                <w:txbxContent>
                  <w:p w14:paraId="464649DF"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189</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1500AF"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20512" behindDoc="1" locked="0" layoutInCell="1" allowOverlap="1" wp14:anchorId="29BA1F46" wp14:editId="644E91A6">
              <wp:simplePos x="0" y="0"/>
              <wp:positionH relativeFrom="page">
                <wp:posOffset>3685540</wp:posOffset>
              </wp:positionH>
              <wp:positionV relativeFrom="page">
                <wp:posOffset>10220325</wp:posOffset>
              </wp:positionV>
              <wp:extent cx="189230" cy="139065"/>
              <wp:effectExtent l="0" t="0" r="0" b="0"/>
              <wp:wrapNone/>
              <wp:docPr id="227"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1CABF"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BA1F46" id="_x0000_t202" coordsize="21600,21600" o:spt="202" path="m,l,21600r21600,l21600,xe">
              <v:stroke joinstyle="miter"/>
              <v:path gradientshapeok="t" o:connecttype="rect"/>
            </v:shapetype>
            <v:shape id="Text Box 144" o:spid="_x0000_s1065" type="#_x0000_t202" style="position:absolute;margin-left:290.2pt;margin-top:804.75pt;width:14.9pt;height:10.95pt;z-index:-4059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" filled="f" stroked="f">
              <v:textbox inset="0,0,0,0">
                <w:txbxContent>
                  <w:p w14:paraId="6941CABF"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11</w:t>
                    </w:r>
                    <w: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17ACF9"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69664" behindDoc="1" locked="0" layoutInCell="1" allowOverlap="1" wp14:anchorId="0754DD4B" wp14:editId="5DBA2DF5">
              <wp:simplePos x="0" y="0"/>
              <wp:positionH relativeFrom="page">
                <wp:posOffset>3656965</wp:posOffset>
              </wp:positionH>
              <wp:positionV relativeFrom="page">
                <wp:posOffset>10221595</wp:posOffset>
              </wp:positionV>
              <wp:extent cx="245745" cy="139065"/>
              <wp:effectExtent l="0" t="0" r="0" b="0"/>
              <wp:wrapNone/>
              <wp:docPr id="9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D6E75"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194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54DD4B" id="_x0000_t202" coordsize="21600,21600" o:spt="202" path="m,l,21600r21600,l21600,xe">
              <v:stroke joinstyle="miter"/>
              <v:path gradientshapeok="t" o:connecttype="rect"/>
            </v:shapetype>
            <v:shape id="Text Box 48" o:spid="_x0000_s1161" type="#_x0000_t202" style="position:absolute;margin-left:287.95pt;margin-top:804.85pt;width:19.35pt;height:10.95pt;z-index:-4054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" filled="f" stroked="f">
              <v:textbox inset="0,0,0,0">
                <w:txbxContent>
                  <w:p w14:paraId="36BD6E75"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194</w:t>
                    </w:r>
                    <w:r>
                      <w:fldChar w:fldCharType="end"/>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2C1BB9"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71200" behindDoc="1" locked="0" layoutInCell="1" allowOverlap="1" wp14:anchorId="333118D6" wp14:editId="7D928D19">
              <wp:simplePos x="0" y="0"/>
              <wp:positionH relativeFrom="page">
                <wp:posOffset>3656965</wp:posOffset>
              </wp:positionH>
              <wp:positionV relativeFrom="page">
                <wp:posOffset>10221595</wp:posOffset>
              </wp:positionV>
              <wp:extent cx="245745" cy="139065"/>
              <wp:effectExtent l="0" t="0" r="0" b="0"/>
              <wp:wrapNone/>
              <wp:docPr id="9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067E6"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199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3118D6" id="_x0000_t202" coordsize="21600,21600" o:spt="202" path="m,l,21600r21600,l21600,xe">
              <v:stroke joinstyle="miter"/>
              <v:path gradientshapeok="t" o:connecttype="rect"/>
            </v:shapetype>
            <v:shape id="Text Box 45" o:spid="_x0000_s1164" type="#_x0000_t202" style="position:absolute;margin-left:287.95pt;margin-top:804.85pt;width:19.35pt;height:10.95pt;z-index:-4054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" filled="f" stroked="f">
              <v:textbox inset="0,0,0,0">
                <w:txbxContent>
                  <w:p w14:paraId="520067E6"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199</w:t>
                    </w:r>
                    <w:r>
                      <w:fldChar w:fldCharType="end"/>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ED1EEB"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72736" behindDoc="1" locked="0" layoutInCell="1" allowOverlap="1" wp14:anchorId="6F90542E" wp14:editId="0EFA4C72">
              <wp:simplePos x="0" y="0"/>
              <wp:positionH relativeFrom="page">
                <wp:posOffset>3656965</wp:posOffset>
              </wp:positionH>
              <wp:positionV relativeFrom="page">
                <wp:posOffset>10221595</wp:posOffset>
              </wp:positionV>
              <wp:extent cx="245745" cy="139065"/>
              <wp:effectExtent l="0" t="0" r="0" b="0"/>
              <wp:wrapNone/>
              <wp:docPr id="8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432DB"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202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90542E" id="_x0000_t202" coordsize="21600,21600" o:spt="202" path="m,l,21600r21600,l21600,xe">
              <v:stroke joinstyle="miter"/>
              <v:path gradientshapeok="t" o:connecttype="rect"/>
            </v:shapetype>
            <v:shape id="Text Box 42" o:spid="_x0000_s1167" type="#_x0000_t202" style="position:absolute;margin-left:287.95pt;margin-top:804.85pt;width:19.35pt;height:10.95pt;z-index:-4054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" filled="f" stroked="f">
              <v:textbox inset="0,0,0,0">
                <w:txbxContent>
                  <w:p w14:paraId="2B9432DB"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202</w:t>
                    </w:r>
                    <w:r>
                      <w:fldChar w:fldCharType="end"/>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CE4BBB"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73248" behindDoc="1" locked="0" layoutInCell="1" allowOverlap="1" wp14:anchorId="33535BE6" wp14:editId="1FF96005">
              <wp:simplePos x="0" y="0"/>
              <wp:positionH relativeFrom="page">
                <wp:posOffset>3635375</wp:posOffset>
              </wp:positionH>
              <wp:positionV relativeFrom="page">
                <wp:posOffset>10059035</wp:posOffset>
              </wp:positionV>
              <wp:extent cx="254000" cy="147320"/>
              <wp:effectExtent l="0" t="0" r="0" b="0"/>
              <wp:wrapNone/>
              <wp:docPr id="8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2A51D" w14:textId="77777777" w:rsidR="001F3ACE" w:rsidRDefault="001F3ACE">
                          <w:pPr>
                            <w:spacing w:before="31"/>
                            <w:ind w:left="60"/>
                            <w:rPr>
                              <w:sz w:val="15"/>
                            </w:rPr>
                          </w:pPr>
                          <w:r>
                            <w:fldChar w:fldCharType="begin"/>
                          </w:r>
                          <w:r>
                            <w:rPr>
                              <w:sz w:val="15"/>
                            </w:rPr>
                            <w:instrText xml:space="preserve"> PAGE </w:instrText>
                          </w:r>
                          <w:r>
                            <w:fldChar w:fldCharType="separate"/>
                          </w:r>
                          <w:r w:rsidR="00397774">
                            <w:rPr>
                              <w:noProof/>
                              <w:sz w:val="15"/>
                            </w:rPr>
                            <w:t>203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535BE6" id="_x0000_t202" coordsize="21600,21600" o:spt="202" path="m,l,21600r21600,l21600,xe">
              <v:stroke joinstyle="miter"/>
              <v:path gradientshapeok="t" o:connecttype="rect"/>
            </v:shapetype>
            <v:shape id="Text Box 41" o:spid="_x0000_s1168" type="#_x0000_t202" style="position:absolute;margin-left:286.25pt;margin-top:792.05pt;width:20pt;height:11.6pt;z-index:-4054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" filled="f" stroked="f">
              <v:textbox inset="0,0,0,0">
                <w:txbxContent>
                  <w:p w14:paraId="2CC2A51D" w14:textId="77777777" w:rsidR="001F3ACE" w:rsidRDefault="001F3ACE">
                    <w:pPr>
                      <w:spacing w:before="31"/>
                      <w:ind w:left="60"/>
                      <w:rPr>
                        <w:sz w:val="15"/>
                      </w:rPr>
                    </w:pPr>
                    <w:r>
                      <w:fldChar w:fldCharType="begin"/>
                    </w:r>
                    <w:r>
                      <w:rPr>
                        <w:sz w:val="15"/>
                      </w:rPr>
                      <w:instrText xml:space="preserve"> PAGE </w:instrText>
                    </w:r>
                    <w:r>
                      <w:fldChar w:fldCharType="separate"/>
                    </w:r>
                    <w:r w:rsidR="00397774">
                      <w:rPr>
                        <w:noProof/>
                        <w:sz w:val="15"/>
                      </w:rPr>
                      <w:t>203</w:t>
                    </w:r>
                    <w:r>
                      <w:fldChar w:fldCharType="end"/>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002B57"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73760" behindDoc="1" locked="0" layoutInCell="1" allowOverlap="1" wp14:anchorId="3CE57503" wp14:editId="49C6BBB9">
              <wp:simplePos x="0" y="0"/>
              <wp:positionH relativeFrom="page">
                <wp:posOffset>3635375</wp:posOffset>
              </wp:positionH>
              <wp:positionV relativeFrom="page">
                <wp:posOffset>10069195</wp:posOffset>
              </wp:positionV>
              <wp:extent cx="236855" cy="132080"/>
              <wp:effectExtent l="0" t="0" r="0" b="0"/>
              <wp:wrapNone/>
              <wp:docPr id="8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79572" w14:textId="77777777" w:rsidR="001F3ACE" w:rsidRDefault="001F3ACE">
                          <w:pPr>
                            <w:spacing w:before="15"/>
                            <w:ind w:left="60"/>
                            <w:rPr>
                              <w:sz w:val="15"/>
                            </w:rPr>
                          </w:pPr>
                          <w:r>
                            <w:fldChar w:fldCharType="begin"/>
                          </w:r>
                          <w:r>
                            <w:rPr>
                              <w:sz w:val="15"/>
                            </w:rPr>
                            <w:instrText xml:space="preserve"> PAGE </w:instrText>
                          </w:r>
                          <w:r>
                            <w:fldChar w:fldCharType="separate"/>
                          </w:r>
                          <w:r w:rsidR="00397774">
                            <w:rPr>
                              <w:noProof/>
                              <w:sz w:val="15"/>
                            </w:rPr>
                            <w:t>204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E57503" id="_x0000_t202" coordsize="21600,21600" o:spt="202" path="m,l,21600r21600,l21600,xe">
              <v:stroke joinstyle="miter"/>
              <v:path gradientshapeok="t" o:connecttype="rect"/>
            </v:shapetype>
            <v:shape id="Text Box 40" o:spid="_x0000_s1169" type="#_x0000_t202" style="position:absolute;margin-left:286.25pt;margin-top:792.85pt;width:18.65pt;height:10.4pt;z-index:-4054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" filled="f" stroked="f">
              <v:textbox inset="0,0,0,0">
                <w:txbxContent>
                  <w:p w14:paraId="6DC79572" w14:textId="77777777" w:rsidR="001F3ACE" w:rsidRDefault="001F3ACE">
                    <w:pPr>
                      <w:spacing w:before="15"/>
                      <w:ind w:left="60"/>
                      <w:rPr>
                        <w:sz w:val="15"/>
                      </w:rPr>
                    </w:pPr>
                    <w:r>
                      <w:fldChar w:fldCharType="begin"/>
                    </w:r>
                    <w:r>
                      <w:rPr>
                        <w:sz w:val="15"/>
                      </w:rPr>
                      <w:instrText xml:space="preserve"> PAGE </w:instrText>
                    </w:r>
                    <w:r>
                      <w:fldChar w:fldCharType="separate"/>
                    </w:r>
                    <w:r w:rsidR="00397774">
                      <w:rPr>
                        <w:noProof/>
                        <w:sz w:val="15"/>
                      </w:rPr>
                      <w:t>204</w:t>
                    </w:r>
                    <w:r>
                      <w:fldChar w:fldCharType="end"/>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E5C530"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74272" behindDoc="1" locked="0" layoutInCell="1" allowOverlap="1" wp14:anchorId="681C748F" wp14:editId="26B06F50">
              <wp:simplePos x="0" y="0"/>
              <wp:positionH relativeFrom="page">
                <wp:posOffset>3648710</wp:posOffset>
              </wp:positionH>
              <wp:positionV relativeFrom="page">
                <wp:posOffset>10073640</wp:posOffset>
              </wp:positionV>
              <wp:extent cx="235585" cy="132080"/>
              <wp:effectExtent l="0" t="0" r="0" b="0"/>
              <wp:wrapNone/>
              <wp:docPr id="7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46ADB" w14:textId="77777777" w:rsidR="001F3ACE" w:rsidRDefault="001F3ACE">
                          <w:pPr>
                            <w:spacing w:before="15"/>
                            <w:ind w:left="60"/>
                            <w:rPr>
                              <w:sz w:val="15"/>
                            </w:rPr>
                          </w:pPr>
                          <w:r>
                            <w:fldChar w:fldCharType="begin"/>
                          </w:r>
                          <w:r>
                            <w:rPr>
                              <w:color w:val="181818"/>
                              <w:sz w:val="15"/>
                            </w:rPr>
                            <w:instrText xml:space="preserve"> PAGE </w:instrText>
                          </w:r>
                          <w:r>
                            <w:fldChar w:fldCharType="separate"/>
                          </w:r>
                          <w:r w:rsidR="00397774">
                            <w:rPr>
                              <w:noProof/>
                              <w:color w:val="181818"/>
                              <w:sz w:val="15"/>
                            </w:rPr>
                            <w:t>205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1C748F" id="_x0000_t202" coordsize="21600,21600" o:spt="202" path="m,l,21600r21600,l21600,xe">
              <v:stroke joinstyle="miter"/>
              <v:path gradientshapeok="t" o:connecttype="rect"/>
            </v:shapetype>
            <v:shape id="Text Box 39" o:spid="_x0000_s1170" type="#_x0000_t202" style="position:absolute;margin-left:287.3pt;margin-top:793.2pt;width:18.55pt;height:10.4pt;z-index:-405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" filled="f" stroked="f">
              <v:textbox inset="0,0,0,0">
                <w:txbxContent>
                  <w:p w14:paraId="20B46ADB" w14:textId="77777777" w:rsidR="001F3ACE" w:rsidRDefault="001F3ACE">
                    <w:pPr>
                      <w:spacing w:before="15"/>
                      <w:ind w:left="60"/>
                      <w:rPr>
                        <w:sz w:val="15"/>
                      </w:rPr>
                    </w:pPr>
                    <w:r>
                      <w:fldChar w:fldCharType="begin"/>
                    </w:r>
                    <w:r>
                      <w:rPr>
                        <w:color w:val="181818"/>
                        <w:sz w:val="15"/>
                      </w:rPr>
                      <w:instrText xml:space="preserve"> PAGE </w:instrText>
                    </w:r>
                    <w:r>
                      <w:fldChar w:fldCharType="separate"/>
                    </w:r>
                    <w:r w:rsidR="00397774">
                      <w:rPr>
                        <w:noProof/>
                        <w:color w:val="181818"/>
                        <w:sz w:val="15"/>
                      </w:rPr>
                      <w:t>205</w:t>
                    </w:r>
                    <w:r>
                      <w:fldChar w:fldCharType="end"/>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641A89"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74784" behindDoc="1" locked="0" layoutInCell="1" allowOverlap="1" wp14:anchorId="59AB0FFA" wp14:editId="1290C157">
              <wp:simplePos x="0" y="0"/>
              <wp:positionH relativeFrom="page">
                <wp:posOffset>3657600</wp:posOffset>
              </wp:positionH>
              <wp:positionV relativeFrom="page">
                <wp:posOffset>10220960</wp:posOffset>
              </wp:positionV>
              <wp:extent cx="245745" cy="139065"/>
              <wp:effectExtent l="0" t="0" r="0" b="0"/>
              <wp:wrapNone/>
              <wp:docPr id="7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1F116"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206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AB0FFA" id="_x0000_t202" coordsize="21600,21600" o:spt="202" path="m,l,21600r21600,l21600,xe">
              <v:stroke joinstyle="miter"/>
              <v:path gradientshapeok="t" o:connecttype="rect"/>
            </v:shapetype>
            <v:shape id="Text Box 38" o:spid="_x0000_s1171" type="#_x0000_t202" style="position:absolute;margin-left:4in;margin-top:804.8pt;width:19.35pt;height:10.95pt;z-index:-4054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" filled="f" stroked="f">
              <v:textbox inset="0,0,0,0">
                <w:txbxContent>
                  <w:p w14:paraId="3571F116"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206</w:t>
                    </w:r>
                    <w:r>
                      <w:fldChar w:fldCharType="end"/>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C02E3"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75296" behindDoc="1" locked="0" layoutInCell="1" allowOverlap="1" wp14:anchorId="5655E013" wp14:editId="37821EF5">
              <wp:simplePos x="0" y="0"/>
              <wp:positionH relativeFrom="page">
                <wp:posOffset>3657600</wp:posOffset>
              </wp:positionH>
              <wp:positionV relativeFrom="page">
                <wp:posOffset>10220960</wp:posOffset>
              </wp:positionV>
              <wp:extent cx="245745" cy="139065"/>
              <wp:effectExtent l="0" t="0" r="0" b="0"/>
              <wp:wrapNone/>
              <wp:docPr id="7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0B091"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207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55E013" id="_x0000_t202" coordsize="21600,21600" o:spt="202" path="m,l,21600r21600,l21600,xe">
              <v:stroke joinstyle="miter"/>
              <v:path gradientshapeok="t" o:connecttype="rect"/>
            </v:shapetype>
            <v:shape id="Text Box 37" o:spid="_x0000_s1172" type="#_x0000_t202" style="position:absolute;margin-left:4in;margin-top:804.8pt;width:19.35pt;height:10.95pt;z-index:-4054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" filled="f" stroked="f">
              <v:textbox inset="0,0,0,0">
                <w:txbxContent>
                  <w:p w14:paraId="3650B091"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207</w:t>
                    </w:r>
                    <w:r>
                      <w:fldChar w:fldCharType="end"/>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DE50BC" w14:textId="77777777" w:rsidR="001F3ACE" w:rsidRDefault="007E2441">
    <w:pPr>
      <w:pStyle w:val="BodyText"/>
      <w:spacing w:line="14" w:lineRule="auto"/>
    </w:pPr>
    <w:r>
      <w:rPr>
        <w:noProof/>
        <w:lang w:val="en-AU" w:eastAsia="en-AU"/>
      </w:rPr>
      <mc:AlternateContent>
        <mc:Choice Requires="wps">
          <w:drawing>
            <wp:anchor distT="0" distB="0" distL="114300" distR="114300" simplePos="0" relativeHeight="462776320" behindDoc="1" locked="0" layoutInCell="1" allowOverlap="1" wp14:anchorId="7E8D1A5C" wp14:editId="06392EF7">
              <wp:simplePos x="0" y="0"/>
              <wp:positionH relativeFrom="page">
                <wp:posOffset>3657600</wp:posOffset>
              </wp:positionH>
              <wp:positionV relativeFrom="page">
                <wp:posOffset>10220960</wp:posOffset>
              </wp:positionV>
              <wp:extent cx="256540" cy="152400"/>
              <wp:effectExtent l="0" t="0" r="0" b="0"/>
              <wp:wrapNone/>
              <wp:docPr id="7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074D6" w14:textId="77777777" w:rsidR="001F3ACE" w:rsidRDefault="001F3ACE">
                          <w:pPr>
                            <w:spacing w:before="35"/>
                            <w:ind w:left="76"/>
                            <w:rPr>
                              <w:sz w:val="16"/>
                            </w:rPr>
                          </w:pPr>
                          <w:r>
                            <w:fldChar w:fldCharType="begin"/>
                          </w:r>
                          <w:r>
                            <w:rPr>
                              <w:sz w:val="16"/>
                            </w:rPr>
                            <w:instrText xml:space="preserve"> PAGE </w:instrText>
                          </w:r>
                          <w:r>
                            <w:fldChar w:fldCharType="separate"/>
                          </w:r>
                          <w:r w:rsidR="00397774">
                            <w:rPr>
                              <w:noProof/>
                              <w:sz w:val="16"/>
                            </w:rPr>
                            <w:t>209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8D1A5C" id="_x0000_t202" coordsize="21600,21600" o:spt="202" path="m,l,21600r21600,l21600,xe">
              <v:stroke joinstyle="miter"/>
              <v:path gradientshapeok="t" o:connecttype="rect"/>
            </v:shapetype>
            <v:shape id="Text Box 35" o:spid="_x0000_s1174" type="#_x0000_t202" style="position:absolute;margin-left:4in;margin-top:804.8pt;width:20.2pt;height:12pt;z-index:-4054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" filled="f" stroked="f">
              <v:textbox inset="0,0,0,0">
                <w:txbxContent>
                  <w:p w14:paraId="102074D6" w14:textId="77777777" w:rsidR="001F3ACE" w:rsidRDefault="001F3ACE">
                    <w:pPr>
                      <w:spacing w:before="35"/>
                      <w:ind w:left="76"/>
                      <w:rPr>
                        <w:sz w:val="16"/>
                      </w:rPr>
                    </w:pPr>
                    <w:r>
                      <w:fldChar w:fldCharType="begin"/>
                    </w:r>
                    <w:r>
                      <w:rPr>
                        <w:sz w:val="16"/>
                      </w:rPr>
                      <w:instrText xml:space="preserve"> PAGE </w:instrText>
                    </w:r>
                    <w:r>
                      <w:fldChar w:fldCharType="separate"/>
                    </w:r>
                    <w:r w:rsidR="00397774">
                      <w:rPr>
                        <w:noProof/>
                        <w:sz w:val="16"/>
                      </w:rPr>
                      <w:t>209</w:t>
                    </w:r>
                    <w:r>
                      <w:fldChar w:fldCharType="end"/>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ABEE1D"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77344" behindDoc="1" locked="0" layoutInCell="1" allowOverlap="1" wp14:anchorId="7FEC473C" wp14:editId="2675CF5F">
              <wp:simplePos x="0" y="0"/>
              <wp:positionH relativeFrom="page">
                <wp:posOffset>3658235</wp:posOffset>
              </wp:positionH>
              <wp:positionV relativeFrom="page">
                <wp:posOffset>10226675</wp:posOffset>
              </wp:positionV>
              <wp:extent cx="245745" cy="139065"/>
              <wp:effectExtent l="0" t="0" r="0" b="0"/>
              <wp:wrapNone/>
              <wp:docPr id="6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1C0C5"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210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EC473C" id="_x0000_t202" coordsize="21600,21600" o:spt="202" path="m,l,21600r21600,l21600,xe">
              <v:stroke joinstyle="miter"/>
              <v:path gradientshapeok="t" o:connecttype="rect"/>
            </v:shapetype>
            <v:shape id="Text Box 33" o:spid="_x0000_s1176" type="#_x0000_t202" style="position:absolute;margin-left:288.05pt;margin-top:805.25pt;width:19.35pt;height:10.95pt;z-index:-405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" filled="f" stroked="f">
              <v:textbox inset="0,0,0,0">
                <w:txbxContent>
                  <w:p w14:paraId="2B31C0C5"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210</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B3F54"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21536" behindDoc="1" locked="0" layoutInCell="1" allowOverlap="1" wp14:anchorId="1BD31FA2" wp14:editId="0D714499">
              <wp:simplePos x="0" y="0"/>
              <wp:positionH relativeFrom="page">
                <wp:posOffset>3685540</wp:posOffset>
              </wp:positionH>
              <wp:positionV relativeFrom="page">
                <wp:posOffset>10220325</wp:posOffset>
              </wp:positionV>
              <wp:extent cx="189230" cy="139065"/>
              <wp:effectExtent l="0" t="0" r="0" b="0"/>
              <wp:wrapNone/>
              <wp:docPr id="225"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95CC0"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D31FA2" id="_x0000_t202" coordsize="21600,21600" o:spt="202" path="m,l,21600r21600,l21600,xe">
              <v:stroke joinstyle="miter"/>
              <v:path gradientshapeok="t" o:connecttype="rect"/>
            </v:shapetype>
            <v:shape id="Text Box 142" o:spid="_x0000_s1067" type="#_x0000_t202" style="position:absolute;margin-left:290.2pt;margin-top:804.75pt;width:14.9pt;height:10.95pt;z-index:-4059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" filled="f" stroked="f">
              <v:textbox inset="0,0,0,0">
                <w:txbxContent>
                  <w:p w14:paraId="36595CC0"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15</w:t>
                    </w:r>
                    <w:r>
                      <w:fldChar w:fldCharType="end"/>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5FE9D2"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78368" behindDoc="1" locked="0" layoutInCell="1" allowOverlap="1" wp14:anchorId="5ED8C9D5" wp14:editId="3DC3EA10">
              <wp:simplePos x="0" y="0"/>
              <wp:positionH relativeFrom="page">
                <wp:posOffset>3658235</wp:posOffset>
              </wp:positionH>
              <wp:positionV relativeFrom="page">
                <wp:posOffset>10226675</wp:posOffset>
              </wp:positionV>
              <wp:extent cx="245745" cy="139065"/>
              <wp:effectExtent l="0" t="0" r="0" b="0"/>
              <wp:wrapNone/>
              <wp:docPr id="6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FA13B"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211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D8C9D5" id="_x0000_t202" coordsize="21600,21600" o:spt="202" path="m,l,21600r21600,l21600,xe">
              <v:stroke joinstyle="miter"/>
              <v:path gradientshapeok="t" o:connecttype="rect"/>
            </v:shapetype>
            <v:shape id="Text Box 31" o:spid="_x0000_s1178" type="#_x0000_t202" style="position:absolute;margin-left:288.05pt;margin-top:805.25pt;width:19.35pt;height:10.95pt;z-index:-4053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" filled="f" stroked="f">
              <v:textbox inset="0,0,0,0">
                <w:txbxContent>
                  <w:p w14:paraId="633FA13B"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211</w:t>
                    </w:r>
                    <w:r>
                      <w:fldChar w:fldCharType="end"/>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6EB5ED"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78880" behindDoc="1" locked="0" layoutInCell="1" allowOverlap="1" wp14:anchorId="1FF7410E" wp14:editId="6B87765F">
              <wp:simplePos x="0" y="0"/>
              <wp:positionH relativeFrom="page">
                <wp:posOffset>3657600</wp:posOffset>
              </wp:positionH>
              <wp:positionV relativeFrom="page">
                <wp:posOffset>10220960</wp:posOffset>
              </wp:positionV>
              <wp:extent cx="245745" cy="139065"/>
              <wp:effectExtent l="0" t="0" r="0" b="0"/>
              <wp:wrapNone/>
              <wp:docPr id="6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A7C5D"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212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F7410E" id="_x0000_t202" coordsize="21600,21600" o:spt="202" path="m,l,21600r21600,l21600,xe">
              <v:stroke joinstyle="miter"/>
              <v:path gradientshapeok="t" o:connecttype="rect"/>
            </v:shapetype>
            <v:shape id="Text Box 30" o:spid="_x0000_s1179" type="#_x0000_t202" style="position:absolute;margin-left:4in;margin-top:804.8pt;width:19.35pt;height:10.95pt;z-index:-4053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" filled="f" stroked="f">
              <v:textbox inset="0,0,0,0">
                <w:txbxContent>
                  <w:p w14:paraId="339A7C5D"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212</w:t>
                    </w:r>
                    <w:r>
                      <w:fldChar w:fldCharType="end"/>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AE75F9"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79904" behindDoc="1" locked="0" layoutInCell="1" allowOverlap="1" wp14:anchorId="2FF73DF5" wp14:editId="3B10B340">
              <wp:simplePos x="0" y="0"/>
              <wp:positionH relativeFrom="page">
                <wp:posOffset>3657600</wp:posOffset>
              </wp:positionH>
              <wp:positionV relativeFrom="page">
                <wp:posOffset>10220960</wp:posOffset>
              </wp:positionV>
              <wp:extent cx="245745" cy="139065"/>
              <wp:effectExtent l="0" t="0" r="0" b="0"/>
              <wp:wrapNone/>
              <wp:docPr id="5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7DDBD"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222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F73DF5" id="_x0000_t202" coordsize="21600,21600" o:spt="202" path="m,l,21600r21600,l21600,xe">
              <v:stroke joinstyle="miter"/>
              <v:path gradientshapeok="t" o:connecttype="rect"/>
            </v:shapetype>
            <v:shape id="Text Box 28" o:spid="_x0000_s1181" type="#_x0000_t202" style="position:absolute;margin-left:4in;margin-top:804.8pt;width:19.35pt;height:10.95pt;z-index:-4053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" filled="f" stroked="f">
              <v:textbox inset="0,0,0,0">
                <w:txbxContent>
                  <w:p w14:paraId="0BC7DDBD"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222</w:t>
                    </w:r>
                    <w:r>
                      <w:fldChar w:fldCharType="end"/>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4D3E06"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80416" behindDoc="1" locked="0" layoutInCell="1" allowOverlap="1" wp14:anchorId="0AB97086" wp14:editId="071E8918">
              <wp:simplePos x="0" y="0"/>
              <wp:positionH relativeFrom="page">
                <wp:posOffset>3655695</wp:posOffset>
              </wp:positionH>
              <wp:positionV relativeFrom="page">
                <wp:posOffset>10221595</wp:posOffset>
              </wp:positionV>
              <wp:extent cx="248285" cy="139065"/>
              <wp:effectExtent l="0" t="0" r="0" b="0"/>
              <wp:wrapNone/>
              <wp:docPr id="5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0B0C4"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223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B97086" id="_x0000_t202" coordsize="21600,21600" o:spt="202" path="m,l,21600r21600,l21600,xe">
              <v:stroke joinstyle="miter"/>
              <v:path gradientshapeok="t" o:connecttype="rect"/>
            </v:shapetype>
            <v:shape id="Text Box 27" o:spid="_x0000_s1182" type="#_x0000_t202" style="position:absolute;margin-left:287.85pt;margin-top:804.85pt;width:19.55pt;height:10.95pt;z-index:-405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" filled="f" stroked="f">
              <v:textbox inset="0,0,0,0">
                <w:txbxContent>
                  <w:p w14:paraId="4290B0C4"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223</w:t>
                    </w:r>
                    <w:r>
                      <w:fldChar w:fldCharType="end"/>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3FE076"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80928" behindDoc="1" locked="0" layoutInCell="1" allowOverlap="1" wp14:anchorId="397E0AFA" wp14:editId="3377E792">
              <wp:simplePos x="0" y="0"/>
              <wp:positionH relativeFrom="page">
                <wp:posOffset>3655695</wp:posOffset>
              </wp:positionH>
              <wp:positionV relativeFrom="page">
                <wp:posOffset>10221595</wp:posOffset>
              </wp:positionV>
              <wp:extent cx="245745" cy="139065"/>
              <wp:effectExtent l="0" t="0" r="0" b="0"/>
              <wp:wrapNone/>
              <wp:docPr id="5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23C7C"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224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7E0AFA" id="_x0000_t202" coordsize="21600,21600" o:spt="202" path="m,l,21600r21600,l21600,xe">
              <v:stroke joinstyle="miter"/>
              <v:path gradientshapeok="t" o:connecttype="rect"/>
            </v:shapetype>
            <v:shape id="Text Box 26" o:spid="_x0000_s1183" type="#_x0000_t202" style="position:absolute;margin-left:287.85pt;margin-top:804.85pt;width:19.35pt;height:10.95pt;z-index:-4053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" filled="f" stroked="f">
              <v:textbox inset="0,0,0,0">
                <w:txbxContent>
                  <w:p w14:paraId="20A23C7C"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224</w:t>
                    </w:r>
                    <w:r>
                      <w:fldChar w:fldCharType="end"/>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820C5A"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81440" behindDoc="1" locked="0" layoutInCell="1" allowOverlap="1" wp14:anchorId="19FBA236" wp14:editId="658AA0BF">
              <wp:simplePos x="0" y="0"/>
              <wp:positionH relativeFrom="page">
                <wp:posOffset>3655695</wp:posOffset>
              </wp:positionH>
              <wp:positionV relativeFrom="page">
                <wp:posOffset>10221595</wp:posOffset>
              </wp:positionV>
              <wp:extent cx="245745" cy="139065"/>
              <wp:effectExtent l="0" t="0" r="0" b="0"/>
              <wp:wrapNone/>
              <wp:docPr id="5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C8EEF"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225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FBA236" id="_x0000_t202" coordsize="21600,21600" o:spt="202" path="m,l,21600r21600,l21600,xe">
              <v:stroke joinstyle="miter"/>
              <v:path gradientshapeok="t" o:connecttype="rect"/>
            </v:shapetype>
            <v:shape id="Text Box 25" o:spid="_x0000_s1184" type="#_x0000_t202" style="position:absolute;margin-left:287.85pt;margin-top:804.85pt;width:19.35pt;height:10.95pt;z-index:-405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" filled="f" stroked="f">
              <v:textbox inset="0,0,0,0">
                <w:txbxContent>
                  <w:p w14:paraId="463C8EEF"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225</w:t>
                    </w:r>
                    <w:r>
                      <w:fldChar w:fldCharType="end"/>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F7A10D"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81952" behindDoc="1" locked="0" layoutInCell="1" allowOverlap="1" wp14:anchorId="1245A2E5" wp14:editId="1486E710">
              <wp:simplePos x="0" y="0"/>
              <wp:positionH relativeFrom="page">
                <wp:posOffset>3657600</wp:posOffset>
              </wp:positionH>
              <wp:positionV relativeFrom="page">
                <wp:posOffset>10220960</wp:posOffset>
              </wp:positionV>
              <wp:extent cx="245745" cy="139065"/>
              <wp:effectExtent l="0" t="0" r="0" b="0"/>
              <wp:wrapNone/>
              <wp:docPr id="4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DBD35"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226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45A2E5" id="_x0000_t202" coordsize="21600,21600" o:spt="202" path="m,l,21600r21600,l21600,xe">
              <v:stroke joinstyle="miter"/>
              <v:path gradientshapeok="t" o:connecttype="rect"/>
            </v:shapetype>
            <v:shape id="Text Box 24" o:spid="_x0000_s1185" type="#_x0000_t202" style="position:absolute;margin-left:4in;margin-top:804.8pt;width:19.35pt;height:10.95pt;z-index:-4053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" filled="f" stroked="f">
              <v:textbox inset="0,0,0,0">
                <w:txbxContent>
                  <w:p w14:paraId="02ADBD35"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226</w:t>
                    </w:r>
                    <w:r>
                      <w:fldChar w:fldCharType="end"/>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534489"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82464" behindDoc="1" locked="0" layoutInCell="1" allowOverlap="1" wp14:anchorId="165B0950" wp14:editId="3D80F3E4">
              <wp:simplePos x="0" y="0"/>
              <wp:positionH relativeFrom="page">
                <wp:posOffset>3657600</wp:posOffset>
              </wp:positionH>
              <wp:positionV relativeFrom="page">
                <wp:posOffset>10220960</wp:posOffset>
              </wp:positionV>
              <wp:extent cx="245745" cy="139065"/>
              <wp:effectExtent l="0" t="0" r="0" b="0"/>
              <wp:wrapNone/>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FC53A"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227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5B0950" id="_x0000_t202" coordsize="21600,21600" o:spt="202" path="m,l,21600r21600,l21600,xe">
              <v:stroke joinstyle="miter"/>
              <v:path gradientshapeok="t" o:connecttype="rect"/>
            </v:shapetype>
            <v:shape id="Text Box 23" o:spid="_x0000_s1186" type="#_x0000_t202" style="position:absolute;margin-left:4in;margin-top:804.8pt;width:19.35pt;height:10.95pt;z-index:-4053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" filled="f" stroked="f">
              <v:textbox inset="0,0,0,0">
                <w:txbxContent>
                  <w:p w14:paraId="64EFC53A"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227</w:t>
                    </w:r>
                    <w:r>
                      <w:fldChar w:fldCharType="end"/>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9D0BC2"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83488" behindDoc="1" locked="0" layoutInCell="1" allowOverlap="1" wp14:anchorId="59B4F2D5" wp14:editId="0DD4C83F">
              <wp:simplePos x="0" y="0"/>
              <wp:positionH relativeFrom="page">
                <wp:posOffset>3657600</wp:posOffset>
              </wp:positionH>
              <wp:positionV relativeFrom="page">
                <wp:posOffset>10220960</wp:posOffset>
              </wp:positionV>
              <wp:extent cx="245745" cy="139065"/>
              <wp:effectExtent l="0" t="0" r="0" b="0"/>
              <wp:wrapNone/>
              <wp:docPr id="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DE362"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229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B4F2D5" id="_x0000_t202" coordsize="21600,21600" o:spt="202" path="m,l,21600r21600,l21600,xe">
              <v:stroke joinstyle="miter"/>
              <v:path gradientshapeok="t" o:connecttype="rect"/>
            </v:shapetype>
            <v:shape id="Text Box 21" o:spid="_x0000_s1188" type="#_x0000_t202" style="position:absolute;margin-left:4in;margin-top:804.8pt;width:19.35pt;height:10.95pt;z-index:-405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" filled="f" stroked="f">
              <v:textbox inset="0,0,0,0">
                <w:txbxContent>
                  <w:p w14:paraId="476DE362"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229</w:t>
                    </w:r>
                    <w:r>
                      <w:fldChar w:fldCharType="end"/>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49904F"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84512" behindDoc="1" locked="0" layoutInCell="1" allowOverlap="1" wp14:anchorId="1CF10B6C" wp14:editId="664FE0A9">
              <wp:simplePos x="0" y="0"/>
              <wp:positionH relativeFrom="page">
                <wp:posOffset>3658235</wp:posOffset>
              </wp:positionH>
              <wp:positionV relativeFrom="page">
                <wp:posOffset>10226675</wp:posOffset>
              </wp:positionV>
              <wp:extent cx="245745" cy="139065"/>
              <wp:effectExtent l="0" t="0"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56A3F"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230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F10B6C" id="_x0000_t202" coordsize="21600,21600" o:spt="202" path="m,l,21600r21600,l21600,xe">
              <v:stroke joinstyle="miter"/>
              <v:path gradientshapeok="t" o:connecttype="rect"/>
            </v:shapetype>
            <v:shape id="Text Box 19" o:spid="_x0000_s1190" type="#_x0000_t202" style="position:absolute;margin-left:288.05pt;margin-top:805.25pt;width:19.35pt;height:10.95pt;z-index:-405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" filled="f" stroked="f">
              <v:textbox inset="0,0,0,0">
                <w:txbxContent>
                  <w:p w14:paraId="5A756A3F"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230</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04C87E"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23072" behindDoc="1" locked="0" layoutInCell="1" allowOverlap="1" wp14:anchorId="6A12C5B1" wp14:editId="6D37146E">
              <wp:simplePos x="0" y="0"/>
              <wp:positionH relativeFrom="page">
                <wp:posOffset>3685540</wp:posOffset>
              </wp:positionH>
              <wp:positionV relativeFrom="page">
                <wp:posOffset>10220325</wp:posOffset>
              </wp:positionV>
              <wp:extent cx="189230" cy="139065"/>
              <wp:effectExtent l="0" t="0" r="0" b="0"/>
              <wp:wrapNone/>
              <wp:docPr id="222"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BA50F"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12C5B1" id="_x0000_t202" coordsize="21600,21600" o:spt="202" path="m,l,21600r21600,l21600,xe">
              <v:stroke joinstyle="miter"/>
              <v:path gradientshapeok="t" o:connecttype="rect"/>
            </v:shapetype>
            <v:shape id="Text Box 139" o:spid="_x0000_s1070" type="#_x0000_t202" style="position:absolute;margin-left:290.2pt;margin-top:804.75pt;width:14.9pt;height:10.95pt;z-index:-4059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" filled="f" stroked="f">
              <v:textbox inset="0,0,0,0">
                <w:txbxContent>
                  <w:p w14:paraId="781BA50F"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34</w:t>
                    </w:r>
                    <w:r>
                      <w:fldChar w:fldCharType="end"/>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CF563C"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85536" behindDoc="1" locked="0" layoutInCell="1" allowOverlap="1" wp14:anchorId="20E87151" wp14:editId="1050071F">
              <wp:simplePos x="0" y="0"/>
              <wp:positionH relativeFrom="page">
                <wp:posOffset>3658235</wp:posOffset>
              </wp:positionH>
              <wp:positionV relativeFrom="page">
                <wp:posOffset>10226675</wp:posOffset>
              </wp:positionV>
              <wp:extent cx="245745" cy="139065"/>
              <wp:effectExtent l="0" t="0"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D1D2B"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231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E87151" id="_x0000_t202" coordsize="21600,21600" o:spt="202" path="m,l,21600r21600,l21600,xe">
              <v:stroke joinstyle="miter"/>
              <v:path gradientshapeok="t" o:connecttype="rect"/>
            </v:shapetype>
            <v:shape id="Text Box 17" o:spid="_x0000_s1192" type="#_x0000_t202" style="position:absolute;margin-left:288.05pt;margin-top:805.25pt;width:19.35pt;height:10.95pt;z-index:-4053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" filled="f" stroked="f">
              <v:textbox inset="0,0,0,0">
                <w:txbxContent>
                  <w:p w14:paraId="0ADD1D2B"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231</w:t>
                    </w:r>
                    <w:r>
                      <w:fldChar w:fldCharType="end"/>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52918D"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86048" behindDoc="1" locked="0" layoutInCell="1" allowOverlap="1" wp14:anchorId="692DE9CE" wp14:editId="216F70DC">
              <wp:simplePos x="0" y="0"/>
              <wp:positionH relativeFrom="page">
                <wp:posOffset>3657600</wp:posOffset>
              </wp:positionH>
              <wp:positionV relativeFrom="page">
                <wp:posOffset>10220960</wp:posOffset>
              </wp:positionV>
              <wp:extent cx="245745" cy="139065"/>
              <wp:effectExtent l="0" t="0"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89A27"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232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2DE9CE" id="_x0000_t202" coordsize="21600,21600" o:spt="202" path="m,l,21600r21600,l21600,xe">
              <v:stroke joinstyle="miter"/>
              <v:path gradientshapeok="t" o:connecttype="rect"/>
            </v:shapetype>
            <v:shape id="Text Box 16" o:spid="_x0000_s1193" type="#_x0000_t202" style="position:absolute;margin-left:4in;margin-top:804.8pt;width:19.35pt;height:10.95pt;z-index:-4053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" filled="f" stroked="f">
              <v:textbox inset="0,0,0,0">
                <w:txbxContent>
                  <w:p w14:paraId="2FD89A27"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232</w:t>
                    </w:r>
                    <w:r>
                      <w:fldChar w:fldCharType="end"/>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CAFE0C"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87072" behindDoc="1" locked="0" layoutInCell="1" allowOverlap="1" wp14:anchorId="1C706BE4" wp14:editId="1FE7C267">
              <wp:simplePos x="0" y="0"/>
              <wp:positionH relativeFrom="page">
                <wp:posOffset>3657600</wp:posOffset>
              </wp:positionH>
              <wp:positionV relativeFrom="page">
                <wp:posOffset>10220960</wp:posOffset>
              </wp:positionV>
              <wp:extent cx="245745" cy="139065"/>
              <wp:effectExtent l="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0C186"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242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706BE4" id="_x0000_t202" coordsize="21600,21600" o:spt="202" path="m,l,21600r21600,l21600,xe">
              <v:stroke joinstyle="miter"/>
              <v:path gradientshapeok="t" o:connecttype="rect"/>
            </v:shapetype>
            <v:shape id="Text Box 14" o:spid="_x0000_s1195" type="#_x0000_t202" style="position:absolute;margin-left:4in;margin-top:804.8pt;width:19.35pt;height:10.95pt;z-index:-4052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" filled="f" stroked="f">
              <v:textbox inset="0,0,0,0">
                <w:txbxContent>
                  <w:p w14:paraId="12C0C186"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242</w:t>
                    </w:r>
                    <w:r>
                      <w:fldChar w:fldCharType="end"/>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58F2F8"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87584" behindDoc="1" locked="0" layoutInCell="1" allowOverlap="1" wp14:anchorId="1919A237" wp14:editId="0770E5AF">
              <wp:simplePos x="0" y="0"/>
              <wp:positionH relativeFrom="page">
                <wp:posOffset>3655695</wp:posOffset>
              </wp:positionH>
              <wp:positionV relativeFrom="page">
                <wp:posOffset>10221595</wp:posOffset>
              </wp:positionV>
              <wp:extent cx="248285" cy="139065"/>
              <wp:effectExtent l="0" t="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3B479"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243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19A237" id="_x0000_t202" coordsize="21600,21600" o:spt="202" path="m,l,21600r21600,l21600,xe">
              <v:stroke joinstyle="miter"/>
              <v:path gradientshapeok="t" o:connecttype="rect"/>
            </v:shapetype>
            <v:shape id="Text Box 13" o:spid="_x0000_s1196" type="#_x0000_t202" style="position:absolute;margin-left:287.85pt;margin-top:804.85pt;width:19.55pt;height:10.95pt;z-index:-405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" filled="f" stroked="f">
              <v:textbox inset="0,0,0,0">
                <w:txbxContent>
                  <w:p w14:paraId="58D3B479"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243</w:t>
                    </w:r>
                    <w:r>
                      <w:fldChar w:fldCharType="end"/>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C88025"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88096" behindDoc="1" locked="0" layoutInCell="1" allowOverlap="1" wp14:anchorId="11282BEA" wp14:editId="4D297278">
              <wp:simplePos x="0" y="0"/>
              <wp:positionH relativeFrom="page">
                <wp:posOffset>3655695</wp:posOffset>
              </wp:positionH>
              <wp:positionV relativeFrom="page">
                <wp:posOffset>10221595</wp:posOffset>
              </wp:positionV>
              <wp:extent cx="245745" cy="139065"/>
              <wp:effectExtent l="0" t="0" r="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2472B"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244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282BEA" id="_x0000_t202" coordsize="21600,21600" o:spt="202" path="m,l,21600r21600,l21600,xe">
              <v:stroke joinstyle="miter"/>
              <v:path gradientshapeok="t" o:connecttype="rect"/>
            </v:shapetype>
            <v:shape id="Text Box 12" o:spid="_x0000_s1197" type="#_x0000_t202" style="position:absolute;margin-left:287.85pt;margin-top:804.85pt;width:19.35pt;height:10.95pt;z-index:-4052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" filled="f" stroked="f">
              <v:textbox inset="0,0,0,0">
                <w:txbxContent>
                  <w:p w14:paraId="64C2472B"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244</w:t>
                    </w:r>
                    <w:r>
                      <w:fldChar w:fldCharType="end"/>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200D7A"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88608" behindDoc="1" locked="0" layoutInCell="1" allowOverlap="1" wp14:anchorId="4A1943DA" wp14:editId="464CEF5E">
              <wp:simplePos x="0" y="0"/>
              <wp:positionH relativeFrom="page">
                <wp:posOffset>3655695</wp:posOffset>
              </wp:positionH>
              <wp:positionV relativeFrom="page">
                <wp:posOffset>10221595</wp:posOffset>
              </wp:positionV>
              <wp:extent cx="245745" cy="139065"/>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089FA"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245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1943DA" id="_x0000_t202" coordsize="21600,21600" o:spt="202" path="m,l,21600r21600,l21600,xe">
              <v:stroke joinstyle="miter"/>
              <v:path gradientshapeok="t" o:connecttype="rect"/>
            </v:shapetype>
            <v:shape id="Text Box 11" o:spid="_x0000_s1198" type="#_x0000_t202" style="position:absolute;margin-left:287.85pt;margin-top:804.85pt;width:19.35pt;height:10.95pt;z-index:-4052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" filled="f" stroked="f">
              <v:textbox inset="0,0,0,0">
                <w:txbxContent>
                  <w:p w14:paraId="540089FA"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245</w:t>
                    </w:r>
                    <w:r>
                      <w:fldChar w:fldCharType="end"/>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63789D"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89120" behindDoc="1" locked="0" layoutInCell="1" allowOverlap="1" wp14:anchorId="1087B594" wp14:editId="414DACBB">
              <wp:simplePos x="0" y="0"/>
              <wp:positionH relativeFrom="page">
                <wp:posOffset>3657600</wp:posOffset>
              </wp:positionH>
              <wp:positionV relativeFrom="page">
                <wp:posOffset>10220960</wp:posOffset>
              </wp:positionV>
              <wp:extent cx="245745" cy="139065"/>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6AC26"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246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87B594" id="_x0000_t202" coordsize="21600,21600" o:spt="202" path="m,l,21600r21600,l21600,xe">
              <v:stroke joinstyle="miter"/>
              <v:path gradientshapeok="t" o:connecttype="rect"/>
            </v:shapetype>
            <v:shape id="Text Box 10" o:spid="_x0000_s1199" type="#_x0000_t202" style="position:absolute;margin-left:4in;margin-top:804.8pt;width:19.35pt;height:10.95pt;z-index:-4052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" filled="f" stroked="f">
              <v:textbox inset="0,0,0,0">
                <w:txbxContent>
                  <w:p w14:paraId="0456AC26"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246</w:t>
                    </w:r>
                    <w:r>
                      <w:fldChar w:fldCharType="end"/>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B6F326"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89632" behindDoc="1" locked="0" layoutInCell="1" allowOverlap="1" wp14:anchorId="5BE86417" wp14:editId="7D549E3E">
              <wp:simplePos x="0" y="0"/>
              <wp:positionH relativeFrom="page">
                <wp:posOffset>3656965</wp:posOffset>
              </wp:positionH>
              <wp:positionV relativeFrom="page">
                <wp:posOffset>10221595</wp:posOffset>
              </wp:positionV>
              <wp:extent cx="245745" cy="139065"/>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3F65E"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247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E86417" id="_x0000_t202" coordsize="21600,21600" o:spt="202" path="m,l,21600r21600,l21600,xe">
              <v:stroke joinstyle="miter"/>
              <v:path gradientshapeok="t" o:connecttype="rect"/>
            </v:shapetype>
            <v:shape id="Text Box 9" o:spid="_x0000_s1200" type="#_x0000_t202" style="position:absolute;margin-left:287.95pt;margin-top:804.85pt;width:19.35pt;height:10.95pt;z-index:-405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" filled="f" stroked="f">
              <v:textbox inset="0,0,0,0">
                <w:txbxContent>
                  <w:p w14:paraId="6503F65E"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247</w:t>
                    </w:r>
                    <w:r>
                      <w:fldChar w:fldCharType="end"/>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3039E4" w14:textId="77777777" w:rsidR="001F3ACE" w:rsidRDefault="001F3ACE">
    <w:pPr>
      <w:pStyle w:val="BodyText"/>
      <w:spacing w:line="14" w:lineRule="auto"/>
      <w:rPr>
        <w:sz w:val="2"/>
      </w:rP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79B389" w14:textId="77777777" w:rsidR="001F3ACE" w:rsidRDefault="001F3ACE">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A7A9D6"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24608" behindDoc="1" locked="0" layoutInCell="1" allowOverlap="1" wp14:anchorId="027F765D" wp14:editId="6EEC8514">
              <wp:simplePos x="0" y="0"/>
              <wp:positionH relativeFrom="page">
                <wp:posOffset>5251450</wp:posOffset>
              </wp:positionH>
              <wp:positionV relativeFrom="page">
                <wp:posOffset>7088505</wp:posOffset>
              </wp:positionV>
              <wp:extent cx="189230" cy="139065"/>
              <wp:effectExtent l="0" t="0" r="0" b="0"/>
              <wp:wrapNone/>
              <wp:docPr id="219"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64820"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7F765D" id="_x0000_t202" coordsize="21600,21600" o:spt="202" path="m,l,21600r21600,l21600,xe">
              <v:stroke joinstyle="miter"/>
              <v:path gradientshapeok="t" o:connecttype="rect"/>
            </v:shapetype>
            <v:shape id="Text Box 136" o:spid="_x0000_s1073" type="#_x0000_t202" style="position:absolute;margin-left:413.5pt;margin-top:558.15pt;width:14.9pt;height:10.95pt;z-index:-4059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" filled="f" stroked="f">
              <v:textbox inset="0,0,0,0">
                <w:txbxContent>
                  <w:p w14:paraId="71064820"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38</w:t>
                    </w:r>
                    <w:r>
                      <w:fldChar w:fldCharType="end"/>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61F235"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90144" behindDoc="1" locked="0" layoutInCell="1" allowOverlap="1" wp14:anchorId="3247B333" wp14:editId="03B27CFA">
              <wp:simplePos x="0" y="0"/>
              <wp:positionH relativeFrom="page">
                <wp:posOffset>3657600</wp:posOffset>
              </wp:positionH>
              <wp:positionV relativeFrom="page">
                <wp:posOffset>10220960</wp:posOffset>
              </wp:positionV>
              <wp:extent cx="245745" cy="139065"/>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1D5DC"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250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47B333" id="_x0000_t202" coordsize="21600,21600" o:spt="202" path="m,l,21600r21600,l21600,xe">
              <v:stroke joinstyle="miter"/>
              <v:path gradientshapeok="t" o:connecttype="rect"/>
            </v:shapetype>
            <v:shape id="Text Box 8" o:spid="_x0000_s1201" type="#_x0000_t202" style="position:absolute;margin-left:4in;margin-top:804.8pt;width:19.35pt;height:10.95pt;z-index:-4052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" filled="f" stroked="f">
              <v:textbox inset="0,0,0,0">
                <w:txbxContent>
                  <w:p w14:paraId="3FA1D5DC"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250</w:t>
                    </w:r>
                    <w:r>
                      <w:fldChar w:fldCharType="end"/>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907F6A"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90656" behindDoc="1" locked="0" layoutInCell="1" allowOverlap="1" wp14:anchorId="7171474D" wp14:editId="21C955ED">
              <wp:simplePos x="0" y="0"/>
              <wp:positionH relativeFrom="page">
                <wp:posOffset>3657600</wp:posOffset>
              </wp:positionH>
              <wp:positionV relativeFrom="page">
                <wp:posOffset>10220960</wp:posOffset>
              </wp:positionV>
              <wp:extent cx="245745" cy="13906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25BE3"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252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71474D" id="_x0000_t202" coordsize="21600,21600" o:spt="202" path="m,l,21600r21600,l21600,xe">
              <v:stroke joinstyle="miter"/>
              <v:path gradientshapeok="t" o:connecttype="rect"/>
            </v:shapetype>
            <v:shape id="Text Box 7" o:spid="_x0000_s1202" type="#_x0000_t202" style="position:absolute;margin-left:4in;margin-top:804.8pt;width:19.35pt;height:10.95pt;z-index:-4052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" filled="f" stroked="f">
              <v:textbox inset="0,0,0,0">
                <w:txbxContent>
                  <w:p w14:paraId="22825BE3"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252</w:t>
                    </w:r>
                    <w:r>
                      <w:fldChar w:fldCharType="end"/>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BE11C8"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91168" behindDoc="1" locked="0" layoutInCell="1" allowOverlap="1" wp14:anchorId="43F22FCD" wp14:editId="3D20A8FC">
              <wp:simplePos x="0" y="0"/>
              <wp:positionH relativeFrom="page">
                <wp:posOffset>3657600</wp:posOffset>
              </wp:positionH>
              <wp:positionV relativeFrom="page">
                <wp:posOffset>10220960</wp:posOffset>
              </wp:positionV>
              <wp:extent cx="245745" cy="13906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FB5DA"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252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F22FCD" id="_x0000_t202" coordsize="21600,21600" o:spt="202" path="m,l,21600r21600,l21600,xe">
              <v:stroke joinstyle="miter"/>
              <v:path gradientshapeok="t" o:connecttype="rect"/>
            </v:shapetype>
            <v:shape id="Text Box 6" o:spid="_x0000_s1203" type="#_x0000_t202" style="position:absolute;margin-left:4in;margin-top:804.8pt;width:19.35pt;height:10.95pt;z-index:-4052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" filled="f" stroked="f">
              <v:textbox inset="0,0,0,0">
                <w:txbxContent>
                  <w:p w14:paraId="257FB5DA"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252</w:t>
                    </w:r>
                    <w:r>
                      <w:fldChar w:fldCharType="end"/>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CAC1F8"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91680" behindDoc="1" locked="0" layoutInCell="1" allowOverlap="1" wp14:anchorId="28FF9966" wp14:editId="70ACAD54">
              <wp:simplePos x="0" y="0"/>
              <wp:positionH relativeFrom="page">
                <wp:posOffset>3657600</wp:posOffset>
              </wp:positionH>
              <wp:positionV relativeFrom="page">
                <wp:posOffset>10220960</wp:posOffset>
              </wp:positionV>
              <wp:extent cx="245745" cy="139065"/>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821BD"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253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FF9966" id="_x0000_t202" coordsize="21600,21600" o:spt="202" path="m,l,21600r21600,l21600,xe">
              <v:stroke joinstyle="miter"/>
              <v:path gradientshapeok="t" o:connecttype="rect"/>
            </v:shapetype>
            <v:shape id="Text Box 5" o:spid="_x0000_s1204" type="#_x0000_t202" style="position:absolute;margin-left:4in;margin-top:804.8pt;width:19.35pt;height:10.95pt;z-index:-4052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" filled="f" stroked="f">
              <v:textbox inset="0,0,0,0">
                <w:txbxContent>
                  <w:p w14:paraId="007821BD"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253</w:t>
                    </w:r>
                    <w:r>
                      <w:fldChar w:fldCharType="end"/>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40E9C8"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92192" behindDoc="1" locked="0" layoutInCell="1" allowOverlap="1" wp14:anchorId="2B82501A" wp14:editId="4147AE2B">
              <wp:simplePos x="0" y="0"/>
              <wp:positionH relativeFrom="page">
                <wp:posOffset>3657600</wp:posOffset>
              </wp:positionH>
              <wp:positionV relativeFrom="page">
                <wp:posOffset>10220960</wp:posOffset>
              </wp:positionV>
              <wp:extent cx="245745" cy="13906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B53FD"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254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82501A" id="_x0000_t202" coordsize="21600,21600" o:spt="202" path="m,l,21600r21600,l21600,xe">
              <v:stroke joinstyle="miter"/>
              <v:path gradientshapeok="t" o:connecttype="rect"/>
            </v:shapetype>
            <v:shape id="_x0000_s1205" type="#_x0000_t202" style="position:absolute;margin-left:4in;margin-top:804.8pt;width:19.35pt;height:10.95pt;z-index:-4052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" filled="f" stroked="f">
              <v:textbox inset="0,0,0,0">
                <w:txbxContent>
                  <w:p w14:paraId="3F3B53FD"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254</w:t>
                    </w:r>
                    <w:r>
                      <w:fldChar w:fldCharType="end"/>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3A8906"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92704" behindDoc="1" locked="0" layoutInCell="1" allowOverlap="1" wp14:anchorId="75F16E5A" wp14:editId="4A235E84">
              <wp:simplePos x="0" y="0"/>
              <wp:positionH relativeFrom="page">
                <wp:posOffset>3657600</wp:posOffset>
              </wp:positionH>
              <wp:positionV relativeFrom="page">
                <wp:posOffset>10220960</wp:posOffset>
              </wp:positionV>
              <wp:extent cx="245745" cy="13906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8DDE2"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255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F16E5A" id="_x0000_t202" coordsize="21600,21600" o:spt="202" path="m,l,21600r21600,l21600,xe">
              <v:stroke joinstyle="miter"/>
              <v:path gradientshapeok="t" o:connecttype="rect"/>
            </v:shapetype>
            <v:shape id="Text Box 3" o:spid="_x0000_s1206" type="#_x0000_t202" style="position:absolute;margin-left:4in;margin-top:804.8pt;width:19.35pt;height:10.95pt;z-index:-405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" filled="f" stroked="f">
              <v:textbox inset="0,0,0,0">
                <w:txbxContent>
                  <w:p w14:paraId="6568DDE2"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255</w:t>
                    </w:r>
                    <w:r>
                      <w:fldChar w:fldCharType="end"/>
                    </w:r>
                  </w:p>
                </w:txbxContent>
              </v:textbox>
              <w10:wrap anchorx="page" anchory="page"/>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D0150D"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93216" behindDoc="1" locked="0" layoutInCell="1" allowOverlap="1" wp14:anchorId="49EDD67A" wp14:editId="4449EF12">
              <wp:simplePos x="0" y="0"/>
              <wp:positionH relativeFrom="page">
                <wp:posOffset>3657600</wp:posOffset>
              </wp:positionH>
              <wp:positionV relativeFrom="page">
                <wp:posOffset>10220960</wp:posOffset>
              </wp:positionV>
              <wp:extent cx="245745" cy="13906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E1071"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256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EDD67A" id="_x0000_t202" coordsize="21600,21600" o:spt="202" path="m,l,21600r21600,l21600,xe">
              <v:stroke joinstyle="miter"/>
              <v:path gradientshapeok="t" o:connecttype="rect"/>
            </v:shapetype>
            <v:shape id="Text Box 2" o:spid="_x0000_s1207" type="#_x0000_t202" style="position:absolute;margin-left:4in;margin-top:804.8pt;width:19.35pt;height:10.95pt;z-index:-4052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" filled="f" stroked="f">
              <v:textbox inset="0,0,0,0">
                <w:txbxContent>
                  <w:p w14:paraId="5A7E1071" w14:textId="77777777" w:rsidR="001F3ACE" w:rsidRDefault="001F3ACE">
                    <w:pPr>
                      <w:spacing w:before="14"/>
                      <w:ind w:left="60"/>
                      <w:rPr>
                        <w:sz w:val="16"/>
                      </w:rPr>
                    </w:pPr>
                    <w:r>
                      <w:fldChar w:fldCharType="begin"/>
                    </w:r>
                    <w:r>
                      <w:rPr>
                        <w:sz w:val="16"/>
                      </w:rPr>
                      <w:instrText xml:space="preserve"> PAGE </w:instrText>
                    </w:r>
                    <w:r>
                      <w:fldChar w:fldCharType="separate"/>
                    </w:r>
                    <w:r w:rsidR="00397774">
                      <w:rPr>
                        <w:noProof/>
                        <w:sz w:val="16"/>
                      </w:rPr>
                      <w:t>256</w:t>
                    </w:r>
                    <w:r>
                      <w:fldChar w:fldCharType="end"/>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DC29D6" w14:textId="77777777" w:rsidR="001F3ACE" w:rsidRDefault="001F3ACE">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4C38B4" w14:textId="77777777" w:rsidR="00F33A7B" w:rsidRDefault="00F33A7B">
      <w:r>
        <w:separator/>
      </w:r>
    </w:p>
  </w:footnote>
  <w:footnote w:type="continuationSeparator" w:id="0">
    <w:p w14:paraId="42ADB803" w14:textId="77777777" w:rsidR="00F33A7B" w:rsidRDefault="00F33A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F4E29B"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16928" behindDoc="1" locked="0" layoutInCell="1" allowOverlap="1" wp14:anchorId="0748E509" wp14:editId="128730F0">
              <wp:simplePos x="0" y="0"/>
              <wp:positionH relativeFrom="page">
                <wp:posOffset>605790</wp:posOffset>
              </wp:positionH>
              <wp:positionV relativeFrom="page">
                <wp:posOffset>567690</wp:posOffset>
              </wp:positionV>
              <wp:extent cx="1811020" cy="181610"/>
              <wp:effectExtent l="0" t="0" r="0" b="0"/>
              <wp:wrapNone/>
              <wp:docPr id="234"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02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64430" w14:textId="77777777" w:rsidR="001F3ACE" w:rsidRDefault="001F3ACE">
                          <w:pPr>
                            <w:spacing w:before="13"/>
                            <w:ind w:left="20"/>
                            <w:rPr>
                              <w:b/>
                            </w:rPr>
                          </w:pPr>
                          <w:r>
                            <w:rPr>
                              <w:b/>
                              <w:color w:val="1C1C1C"/>
                            </w:rPr>
                            <w:t xml:space="preserve">Western </w:t>
                          </w:r>
                          <w:r>
                            <w:rPr>
                              <w:b/>
                              <w:color w:val="212121"/>
                            </w:rPr>
                            <w:t>Sydney</w:t>
                          </w:r>
                          <w:r>
                            <w:rPr>
                              <w:b/>
                              <w:color w:val="212121"/>
                              <w:spacing w:val="-28"/>
                            </w:rPr>
                            <w:t xml:space="preserve"> </w:t>
                          </w:r>
                          <w:r>
                            <w:rPr>
                              <w:b/>
                              <w:color w:val="0C0C0C"/>
                            </w:rPr>
                            <w:t>University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48E509" id="_x0000_t202" coordsize="21600,21600" o:spt="202" path="m,l,21600r21600,l21600,xe">
              <v:stroke joinstyle="miter"/>
              <v:path gradientshapeok="t" o:connecttype="rect"/>
            </v:shapetype>
            <v:shape id="Text Box 151" o:spid="_x0000_s1058" type="#_x0000_t202" style="position:absolute;margin-left:47.7pt;margin-top:44.7pt;width:142.6pt;height:14.3pt;z-index:-4059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" filled="f" stroked="f">
              <v:textbox inset="0,0,0,0">
                <w:txbxContent>
                  <w:p w14:paraId="7D864430" w14:textId="77777777" w:rsidR="001F3ACE" w:rsidRDefault="001F3ACE">
                    <w:pPr>
                      <w:spacing w:before="13"/>
                      <w:ind w:left="20"/>
                      <w:rPr>
                        <w:b/>
                      </w:rPr>
                    </w:pPr>
                    <w:r>
                      <w:rPr>
                        <w:b/>
                        <w:color w:val="1C1C1C"/>
                      </w:rPr>
                      <w:t xml:space="preserve">Western </w:t>
                    </w:r>
                    <w:r>
                      <w:rPr>
                        <w:b/>
                        <w:color w:val="212121"/>
                      </w:rPr>
                      <w:t>Sydney</w:t>
                    </w:r>
                    <w:r>
                      <w:rPr>
                        <w:b/>
                        <w:color w:val="212121"/>
                        <w:spacing w:val="-28"/>
                      </w:rPr>
                      <w:t xml:space="preserve"> </w:t>
                    </w:r>
                    <w:r>
                      <w:rPr>
                        <w:b/>
                        <w:color w:val="0C0C0C"/>
                      </w:rPr>
                      <w:t>University</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383646" w14:textId="77777777" w:rsidR="001F3ACE" w:rsidRDefault="001F3ACE">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035747"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27168" behindDoc="1" locked="0" layoutInCell="1" allowOverlap="1" wp14:anchorId="3026C9AE" wp14:editId="5B13E95B">
              <wp:simplePos x="0" y="0"/>
              <wp:positionH relativeFrom="page">
                <wp:posOffset>627380</wp:posOffset>
              </wp:positionH>
              <wp:positionV relativeFrom="page">
                <wp:posOffset>632460</wp:posOffset>
              </wp:positionV>
              <wp:extent cx="1825625" cy="182245"/>
              <wp:effectExtent l="0" t="0" r="0" b="0"/>
              <wp:wrapNone/>
              <wp:docPr id="214"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562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8FEFC" w14:textId="77777777" w:rsidR="001F3ACE" w:rsidRDefault="001F3ACE">
                          <w:pPr>
                            <w:spacing w:before="13"/>
                            <w:ind w:left="20"/>
                            <w:rPr>
                              <w:b/>
                            </w:rPr>
                          </w:pPr>
                          <w:r>
                            <w:rPr>
                              <w:b/>
                            </w:rPr>
                            <w:t>Western Sydney University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26C9AE" id="_x0000_t202" coordsize="21600,21600" o:spt="202" path="m,l,21600r21600,l21600,xe">
              <v:stroke joinstyle="miter"/>
              <v:path gradientshapeok="t" o:connecttype="rect"/>
            </v:shapetype>
            <v:shape id="Text Box 131" o:spid="_x0000_s1078" type="#_x0000_t202" style="position:absolute;margin-left:49.4pt;margin-top:49.8pt;width:143.75pt;height:14.35pt;z-index:-4058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" filled="f" stroked="f">
              <v:textbox inset="0,0,0,0">
                <w:txbxContent>
                  <w:p w14:paraId="1348FEFC" w14:textId="77777777" w:rsidR="001F3ACE" w:rsidRDefault="001F3ACE">
                    <w:pPr>
                      <w:spacing w:before="13"/>
                      <w:ind w:left="20"/>
                      <w:rPr>
                        <w:b/>
                      </w:rPr>
                    </w:pPr>
                    <w:r>
                      <w:rPr>
                        <w:b/>
                      </w:rPr>
                      <w:t>Western Sydney University</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462727680" behindDoc="1" locked="0" layoutInCell="1" allowOverlap="1" wp14:anchorId="25EC3D66" wp14:editId="72FC36C3">
              <wp:simplePos x="0" y="0"/>
              <wp:positionH relativeFrom="page">
                <wp:posOffset>627380</wp:posOffset>
              </wp:positionH>
              <wp:positionV relativeFrom="page">
                <wp:posOffset>1009650</wp:posOffset>
              </wp:positionV>
              <wp:extent cx="2888615" cy="419735"/>
              <wp:effectExtent l="0" t="0" r="0" b="0"/>
              <wp:wrapNone/>
              <wp:docPr id="213"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8615" cy="41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A22AB" w14:textId="77777777" w:rsidR="001F3ACE" w:rsidRDefault="001F3ACE">
                          <w:pPr>
                            <w:spacing w:before="11"/>
                            <w:ind w:left="20"/>
                            <w:rPr>
                              <w:b/>
                              <w:sz w:val="28"/>
                            </w:rPr>
                          </w:pPr>
                          <w:r>
                            <w:rPr>
                              <w:b/>
                              <w:sz w:val="28"/>
                            </w:rPr>
                            <w:t>Notes to the Financial Statements</w:t>
                          </w:r>
                        </w:p>
                        <w:p w14:paraId="16D09A1E" w14:textId="77777777" w:rsidR="001F3ACE" w:rsidRDefault="001F3ACE">
                          <w:pPr>
                            <w:spacing w:before="54"/>
                            <w:ind w:left="20"/>
                            <w:rPr>
                              <w:b/>
                            </w:rPr>
                          </w:pPr>
                          <w:r>
                            <w:rPr>
                              <w:b/>
                            </w:rPr>
                            <w:t>For the Year Ended 31 December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C3D66" id="Text Box 130" o:spid="_x0000_s1079" type="#_x0000_t202" style="position:absolute;margin-left:49.4pt;margin-top:79.5pt;width:227.45pt;height:33.05pt;z-index:-4058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" filled="f" stroked="f">
              <v:textbox inset="0,0,0,0">
                <w:txbxContent>
                  <w:p w14:paraId="03BA22AB" w14:textId="77777777" w:rsidR="001F3ACE" w:rsidRDefault="001F3ACE">
                    <w:pPr>
                      <w:spacing w:before="11"/>
                      <w:ind w:left="20"/>
                      <w:rPr>
                        <w:b/>
                        <w:sz w:val="28"/>
                      </w:rPr>
                    </w:pPr>
                    <w:r>
                      <w:rPr>
                        <w:b/>
                        <w:sz w:val="28"/>
                      </w:rPr>
                      <w:t>Notes to the Financial Statements</w:t>
                    </w:r>
                  </w:p>
                  <w:p w14:paraId="16D09A1E" w14:textId="77777777" w:rsidR="001F3ACE" w:rsidRDefault="001F3ACE">
                    <w:pPr>
                      <w:spacing w:before="54"/>
                      <w:ind w:left="20"/>
                      <w:rPr>
                        <w:b/>
                      </w:rPr>
                    </w:pPr>
                    <w:r>
                      <w:rPr>
                        <w:b/>
                      </w:rPr>
                      <w:t>For the Year Ended 31 December 2018</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03A99A"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28704" behindDoc="1" locked="0" layoutInCell="1" allowOverlap="1" wp14:anchorId="581445E4" wp14:editId="1CCA299A">
              <wp:simplePos x="0" y="0"/>
              <wp:positionH relativeFrom="page">
                <wp:posOffset>627380</wp:posOffset>
              </wp:positionH>
              <wp:positionV relativeFrom="page">
                <wp:posOffset>632460</wp:posOffset>
              </wp:positionV>
              <wp:extent cx="1825625" cy="182245"/>
              <wp:effectExtent l="0" t="0" r="0" b="0"/>
              <wp:wrapNone/>
              <wp:docPr id="211"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562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FDBAB" w14:textId="77777777" w:rsidR="001F3ACE" w:rsidRDefault="001F3ACE">
                          <w:pPr>
                            <w:spacing w:before="13"/>
                            <w:ind w:left="20"/>
                            <w:rPr>
                              <w:b/>
                            </w:rPr>
                          </w:pPr>
                          <w:r>
                            <w:rPr>
                              <w:b/>
                            </w:rPr>
                            <w:t>Western Sydney University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1445E4" id="_x0000_t202" coordsize="21600,21600" o:spt="202" path="m,l,21600r21600,l21600,xe">
              <v:stroke joinstyle="miter"/>
              <v:path gradientshapeok="t" o:connecttype="rect"/>
            </v:shapetype>
            <v:shape id="Text Box 128" o:spid="_x0000_s1081" type="#_x0000_t202" style="position:absolute;margin-left:49.4pt;margin-top:49.8pt;width:143.75pt;height:14.35pt;z-index:-4058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" filled="f" stroked="f">
              <v:textbox inset="0,0,0,0">
                <w:txbxContent>
                  <w:p w14:paraId="52CFDBAB" w14:textId="77777777" w:rsidR="001F3ACE" w:rsidRDefault="001F3ACE">
                    <w:pPr>
                      <w:spacing w:before="13"/>
                      <w:ind w:left="20"/>
                      <w:rPr>
                        <w:b/>
                      </w:rPr>
                    </w:pPr>
                    <w:r>
                      <w:rPr>
                        <w:b/>
                      </w:rPr>
                      <w:t>Western Sydney University</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462729216" behindDoc="1" locked="0" layoutInCell="1" allowOverlap="1" wp14:anchorId="12AABBDC" wp14:editId="3AF5A244">
              <wp:simplePos x="0" y="0"/>
              <wp:positionH relativeFrom="page">
                <wp:posOffset>627380</wp:posOffset>
              </wp:positionH>
              <wp:positionV relativeFrom="page">
                <wp:posOffset>1009650</wp:posOffset>
              </wp:positionV>
              <wp:extent cx="2888615" cy="419735"/>
              <wp:effectExtent l="0" t="0" r="0" b="0"/>
              <wp:wrapNone/>
              <wp:docPr id="210"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8615" cy="41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A2408" w14:textId="77777777" w:rsidR="001F3ACE" w:rsidRDefault="001F3ACE">
                          <w:pPr>
                            <w:spacing w:before="11"/>
                            <w:ind w:left="20"/>
                            <w:rPr>
                              <w:b/>
                              <w:sz w:val="28"/>
                            </w:rPr>
                          </w:pPr>
                          <w:r>
                            <w:rPr>
                              <w:b/>
                              <w:sz w:val="28"/>
                            </w:rPr>
                            <w:t>Notes to the Financial Statements</w:t>
                          </w:r>
                        </w:p>
                        <w:p w14:paraId="303501F3" w14:textId="77777777" w:rsidR="001F3ACE" w:rsidRDefault="001F3ACE">
                          <w:pPr>
                            <w:spacing w:before="54"/>
                            <w:ind w:left="20"/>
                            <w:rPr>
                              <w:b/>
                            </w:rPr>
                          </w:pPr>
                          <w:r>
                            <w:rPr>
                              <w:b/>
                            </w:rPr>
                            <w:t>For the Year Ended 31 December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ABBDC" id="Text Box 127" o:spid="_x0000_s1082" type="#_x0000_t202" style="position:absolute;margin-left:49.4pt;margin-top:79.5pt;width:227.45pt;height:33.05pt;z-index:-4058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" filled="f" stroked="f">
              <v:textbox inset="0,0,0,0">
                <w:txbxContent>
                  <w:p w14:paraId="0EAA2408" w14:textId="77777777" w:rsidR="001F3ACE" w:rsidRDefault="001F3ACE">
                    <w:pPr>
                      <w:spacing w:before="11"/>
                      <w:ind w:left="20"/>
                      <w:rPr>
                        <w:b/>
                        <w:sz w:val="28"/>
                      </w:rPr>
                    </w:pPr>
                    <w:r>
                      <w:rPr>
                        <w:b/>
                        <w:sz w:val="28"/>
                      </w:rPr>
                      <w:t>Notes to the Financial Statements</w:t>
                    </w:r>
                  </w:p>
                  <w:p w14:paraId="303501F3" w14:textId="77777777" w:rsidR="001F3ACE" w:rsidRDefault="001F3ACE">
                    <w:pPr>
                      <w:spacing w:before="54"/>
                      <w:ind w:left="20"/>
                      <w:rPr>
                        <w:b/>
                      </w:rPr>
                    </w:pPr>
                    <w:r>
                      <w:rPr>
                        <w:b/>
                      </w:rPr>
                      <w:t>For the Year Ended 31 December 2018</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470949"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30240" behindDoc="1" locked="0" layoutInCell="1" allowOverlap="1" wp14:anchorId="41F7D508" wp14:editId="5BB47B75">
              <wp:simplePos x="0" y="0"/>
              <wp:positionH relativeFrom="page">
                <wp:posOffset>627380</wp:posOffset>
              </wp:positionH>
              <wp:positionV relativeFrom="page">
                <wp:posOffset>632460</wp:posOffset>
              </wp:positionV>
              <wp:extent cx="1825625" cy="182245"/>
              <wp:effectExtent l="0" t="0" r="0" b="0"/>
              <wp:wrapNone/>
              <wp:docPr id="208"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562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CDEB8" w14:textId="77777777" w:rsidR="001F3ACE" w:rsidRDefault="001F3ACE">
                          <w:pPr>
                            <w:spacing w:before="13"/>
                            <w:ind w:left="20"/>
                            <w:rPr>
                              <w:b/>
                            </w:rPr>
                          </w:pPr>
                          <w:r>
                            <w:rPr>
                              <w:b/>
                            </w:rPr>
                            <w:t>Western Sydney University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F7D508" id="_x0000_t202" coordsize="21600,21600" o:spt="202" path="m,l,21600r21600,l21600,xe">
              <v:stroke joinstyle="miter"/>
              <v:path gradientshapeok="t" o:connecttype="rect"/>
            </v:shapetype>
            <v:shape id="Text Box 125" o:spid="_x0000_s1084" type="#_x0000_t202" style="position:absolute;margin-left:49.4pt;margin-top:49.8pt;width:143.75pt;height:14.35pt;z-index:-4058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" filled="f" stroked="f">
              <v:textbox inset="0,0,0,0">
                <w:txbxContent>
                  <w:p w14:paraId="170CDEB8" w14:textId="77777777" w:rsidR="001F3ACE" w:rsidRDefault="001F3ACE">
                    <w:pPr>
                      <w:spacing w:before="13"/>
                      <w:ind w:left="20"/>
                      <w:rPr>
                        <w:b/>
                      </w:rPr>
                    </w:pPr>
                    <w:r>
                      <w:rPr>
                        <w:b/>
                      </w:rPr>
                      <w:t>Western Sydney University</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462730752" behindDoc="1" locked="0" layoutInCell="1" allowOverlap="1" wp14:anchorId="35F11265" wp14:editId="7C5B6CD4">
              <wp:simplePos x="0" y="0"/>
              <wp:positionH relativeFrom="page">
                <wp:posOffset>627380</wp:posOffset>
              </wp:positionH>
              <wp:positionV relativeFrom="page">
                <wp:posOffset>1009650</wp:posOffset>
              </wp:positionV>
              <wp:extent cx="2888615" cy="419735"/>
              <wp:effectExtent l="0" t="0" r="0" b="0"/>
              <wp:wrapNone/>
              <wp:docPr id="207"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8615" cy="41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74B90" w14:textId="77777777" w:rsidR="001F3ACE" w:rsidRDefault="001F3ACE">
                          <w:pPr>
                            <w:spacing w:before="11"/>
                            <w:ind w:left="20"/>
                            <w:rPr>
                              <w:b/>
                              <w:sz w:val="28"/>
                            </w:rPr>
                          </w:pPr>
                          <w:r>
                            <w:rPr>
                              <w:b/>
                              <w:sz w:val="28"/>
                            </w:rPr>
                            <w:t>Notes to the Financial Statements</w:t>
                          </w:r>
                        </w:p>
                        <w:p w14:paraId="118AB133" w14:textId="77777777" w:rsidR="001F3ACE" w:rsidRDefault="001F3ACE">
                          <w:pPr>
                            <w:spacing w:before="54"/>
                            <w:ind w:left="20"/>
                            <w:rPr>
                              <w:b/>
                            </w:rPr>
                          </w:pPr>
                          <w:r>
                            <w:rPr>
                              <w:b/>
                            </w:rPr>
                            <w:t>For the Year Ended 31 December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11265" id="Text Box 124" o:spid="_x0000_s1085" type="#_x0000_t202" style="position:absolute;margin-left:49.4pt;margin-top:79.5pt;width:227.45pt;height:33.05pt;z-index:-4058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" filled="f" stroked="f">
              <v:textbox inset="0,0,0,0">
                <w:txbxContent>
                  <w:p w14:paraId="2F274B90" w14:textId="77777777" w:rsidR="001F3ACE" w:rsidRDefault="001F3ACE">
                    <w:pPr>
                      <w:spacing w:before="11"/>
                      <w:ind w:left="20"/>
                      <w:rPr>
                        <w:b/>
                        <w:sz w:val="28"/>
                      </w:rPr>
                    </w:pPr>
                    <w:r>
                      <w:rPr>
                        <w:b/>
                        <w:sz w:val="28"/>
                      </w:rPr>
                      <w:t>Notes to the Financial Statements</w:t>
                    </w:r>
                  </w:p>
                  <w:p w14:paraId="118AB133" w14:textId="77777777" w:rsidR="001F3ACE" w:rsidRDefault="001F3ACE">
                    <w:pPr>
                      <w:spacing w:before="54"/>
                      <w:ind w:left="20"/>
                      <w:rPr>
                        <w:b/>
                      </w:rPr>
                    </w:pPr>
                    <w:r>
                      <w:rPr>
                        <w:b/>
                      </w:rPr>
                      <w:t>For the Year Ended 31 December 2018</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7FC0BF" w14:textId="77777777" w:rsidR="001F3ACE" w:rsidRDefault="001F3ACE">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571395" w14:textId="77777777" w:rsidR="001F3ACE" w:rsidRDefault="001F3ACE">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F644D5" w14:textId="77777777" w:rsidR="001F3ACE" w:rsidRDefault="001F3ACE">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166AAC" w14:textId="77777777" w:rsidR="001F3ACE" w:rsidRDefault="001F3ACE">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5DEDA3"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33824" behindDoc="1" locked="0" layoutInCell="1" allowOverlap="1" wp14:anchorId="7CD6F5BB" wp14:editId="5D9E0590">
              <wp:simplePos x="0" y="0"/>
              <wp:positionH relativeFrom="page">
                <wp:posOffset>627380</wp:posOffset>
              </wp:positionH>
              <wp:positionV relativeFrom="page">
                <wp:posOffset>633095</wp:posOffset>
              </wp:positionV>
              <wp:extent cx="6286500" cy="480060"/>
              <wp:effectExtent l="0" t="0" r="0" b="0"/>
              <wp:wrapNone/>
              <wp:docPr id="201"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9D143" w14:textId="77777777" w:rsidR="001F3ACE" w:rsidRDefault="001F3ACE">
                          <w:pPr>
                            <w:spacing w:before="12"/>
                            <w:ind w:left="20" w:right="-19"/>
                            <w:rPr>
                              <w:b/>
                            </w:rPr>
                          </w:pPr>
                          <w:r>
                            <w:rPr>
                              <w:b/>
                            </w:rPr>
                            <w:t>Western Sydney University Enterprises Pty Limited Trading as Western Sydney University The College</w:t>
                          </w:r>
                        </w:p>
                        <w:p w14:paraId="41BDD48D" w14:textId="77777777" w:rsidR="001F3ACE" w:rsidRDefault="001F3ACE">
                          <w:pPr>
                            <w:spacing w:before="56"/>
                            <w:ind w:left="20"/>
                            <w:rPr>
                              <w:b/>
                              <w:sz w:val="14"/>
                            </w:rPr>
                          </w:pPr>
                          <w:r>
                            <w:rPr>
                              <w:b/>
                              <w:sz w:val="14"/>
                            </w:rPr>
                            <w:t>ABN: 44 003 474 468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D6F5BB" id="_x0000_t202" coordsize="21600,21600" o:spt="202" path="m,l,21600r21600,l21600,xe">
              <v:stroke joinstyle="miter"/>
              <v:path gradientshapeok="t" o:connecttype="rect"/>
            </v:shapetype>
            <v:shape id="Text Box 118" o:spid="_x0000_s1091" type="#_x0000_t202" style="position:absolute;margin-left:49.4pt;margin-top:49.85pt;width:495pt;height:37.8pt;z-index:-4058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" filled="f" stroked="f">
              <v:textbox inset="0,0,0,0">
                <w:txbxContent>
                  <w:p w14:paraId="6559D143" w14:textId="77777777" w:rsidR="001F3ACE" w:rsidRDefault="001F3ACE">
                    <w:pPr>
                      <w:spacing w:before="12"/>
                      <w:ind w:left="20" w:right="-19"/>
                      <w:rPr>
                        <w:b/>
                      </w:rPr>
                    </w:pPr>
                    <w:r>
                      <w:rPr>
                        <w:b/>
                      </w:rPr>
                      <w:t>Western Sydney University Enterprises Pty Limited Trading as Western Sydney University The College</w:t>
                    </w:r>
                  </w:p>
                  <w:p w14:paraId="41BDD48D" w14:textId="77777777" w:rsidR="001F3ACE" w:rsidRDefault="001F3ACE">
                    <w:pPr>
                      <w:spacing w:before="56"/>
                      <w:ind w:left="20"/>
                      <w:rPr>
                        <w:b/>
                        <w:sz w:val="14"/>
                      </w:rPr>
                    </w:pPr>
                    <w:r>
                      <w:rPr>
                        <w:b/>
                        <w:sz w:val="14"/>
                      </w:rPr>
                      <w:t>ABN: 44 003 474 468</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B8D4E4" w14:textId="77777777" w:rsidR="001F3ACE" w:rsidRDefault="001F3ACE">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4D1727" w14:textId="77777777" w:rsidR="001F3ACE" w:rsidRDefault="001F3ACE">
    <w:pPr>
      <w:pStyle w:val="Body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DDDA7F"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35360" behindDoc="1" locked="0" layoutInCell="1" allowOverlap="1" wp14:anchorId="6F9155FA" wp14:editId="359C5720">
              <wp:simplePos x="0" y="0"/>
              <wp:positionH relativeFrom="page">
                <wp:posOffset>627380</wp:posOffset>
              </wp:positionH>
              <wp:positionV relativeFrom="page">
                <wp:posOffset>633095</wp:posOffset>
              </wp:positionV>
              <wp:extent cx="6286500" cy="480060"/>
              <wp:effectExtent l="0" t="0" r="0" b="0"/>
              <wp:wrapNone/>
              <wp:docPr id="198"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40694" w14:textId="77777777" w:rsidR="001F3ACE" w:rsidRDefault="001F3ACE">
                          <w:pPr>
                            <w:spacing w:before="12"/>
                            <w:ind w:left="20" w:right="-19"/>
                            <w:rPr>
                              <w:b/>
                            </w:rPr>
                          </w:pPr>
                          <w:r>
                            <w:rPr>
                              <w:b/>
                            </w:rPr>
                            <w:t>Western Sydney University Enterprises Pty Limited Trading as Western Sydney University The College</w:t>
                          </w:r>
                        </w:p>
                        <w:p w14:paraId="7C1D3DEB" w14:textId="77777777" w:rsidR="001F3ACE" w:rsidRDefault="001F3ACE">
                          <w:pPr>
                            <w:spacing w:before="56"/>
                            <w:ind w:left="20"/>
                            <w:rPr>
                              <w:b/>
                              <w:sz w:val="14"/>
                            </w:rPr>
                          </w:pPr>
                          <w:r>
                            <w:rPr>
                              <w:b/>
                              <w:sz w:val="14"/>
                            </w:rPr>
                            <w:t>ABN: 44 003 474 468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9155FA" id="_x0000_t202" coordsize="21600,21600" o:spt="202" path="m,l,21600r21600,l21600,xe">
              <v:stroke joinstyle="miter"/>
              <v:path gradientshapeok="t" o:connecttype="rect"/>
            </v:shapetype>
            <v:shape id="Text Box 115" o:spid="_x0000_s1094" type="#_x0000_t202" style="position:absolute;margin-left:49.4pt;margin-top:49.85pt;width:495pt;height:37.8pt;z-index:-4058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" filled="f" stroked="f">
              <v:textbox inset="0,0,0,0">
                <w:txbxContent>
                  <w:p w14:paraId="37240694" w14:textId="77777777" w:rsidR="001F3ACE" w:rsidRDefault="001F3ACE">
                    <w:pPr>
                      <w:spacing w:before="12"/>
                      <w:ind w:left="20" w:right="-19"/>
                      <w:rPr>
                        <w:b/>
                      </w:rPr>
                    </w:pPr>
                    <w:r>
                      <w:rPr>
                        <w:b/>
                      </w:rPr>
                      <w:t>Western Sydney University Enterprises Pty Limited Trading as Western Sydney University The College</w:t>
                    </w:r>
                  </w:p>
                  <w:p w14:paraId="7C1D3DEB" w14:textId="77777777" w:rsidR="001F3ACE" w:rsidRDefault="001F3ACE">
                    <w:pPr>
                      <w:spacing w:before="56"/>
                      <w:ind w:left="20"/>
                      <w:rPr>
                        <w:b/>
                        <w:sz w:val="14"/>
                      </w:rPr>
                    </w:pPr>
                    <w:r>
                      <w:rPr>
                        <w:b/>
                        <w:sz w:val="14"/>
                      </w:rPr>
                      <w:t>ABN: 44 003 474 468</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57290C"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36384" behindDoc="1" locked="0" layoutInCell="1" allowOverlap="1" wp14:anchorId="22A44B2D" wp14:editId="13E4CD73">
              <wp:simplePos x="0" y="0"/>
              <wp:positionH relativeFrom="page">
                <wp:posOffset>627380</wp:posOffset>
              </wp:positionH>
              <wp:positionV relativeFrom="page">
                <wp:posOffset>633095</wp:posOffset>
              </wp:positionV>
              <wp:extent cx="6286500" cy="480060"/>
              <wp:effectExtent l="0" t="0" r="0" b="0"/>
              <wp:wrapNone/>
              <wp:docPr id="19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23B18" w14:textId="77777777" w:rsidR="001F3ACE" w:rsidRDefault="001F3ACE">
                          <w:pPr>
                            <w:spacing w:before="12"/>
                            <w:ind w:left="20" w:right="-19"/>
                            <w:rPr>
                              <w:b/>
                            </w:rPr>
                          </w:pPr>
                          <w:r>
                            <w:rPr>
                              <w:b/>
                            </w:rPr>
                            <w:t>Western Sydney University Enterprises Pty Limited Trading as Western Sydney University The College</w:t>
                          </w:r>
                        </w:p>
                        <w:p w14:paraId="69C1BC64" w14:textId="77777777" w:rsidR="001F3ACE" w:rsidRDefault="001F3ACE">
                          <w:pPr>
                            <w:spacing w:before="56"/>
                            <w:ind w:left="20"/>
                            <w:rPr>
                              <w:b/>
                              <w:sz w:val="14"/>
                            </w:rPr>
                          </w:pPr>
                          <w:r>
                            <w:rPr>
                              <w:b/>
                              <w:sz w:val="14"/>
                            </w:rPr>
                            <w:t>ABN: 44 003 474 468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A44B2D" id="_x0000_t202" coordsize="21600,21600" o:spt="202" path="m,l,21600r21600,l21600,xe">
              <v:stroke joinstyle="miter"/>
              <v:path gradientshapeok="t" o:connecttype="rect"/>
            </v:shapetype>
            <v:shape id="Text Box 113" o:spid="_x0000_s1096" type="#_x0000_t202" style="position:absolute;margin-left:49.4pt;margin-top:49.85pt;width:495pt;height:37.8pt;z-index:-4058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" filled="f" stroked="f">
              <v:textbox inset="0,0,0,0">
                <w:txbxContent>
                  <w:p w14:paraId="0BA23B18" w14:textId="77777777" w:rsidR="001F3ACE" w:rsidRDefault="001F3ACE">
                    <w:pPr>
                      <w:spacing w:before="12"/>
                      <w:ind w:left="20" w:right="-19"/>
                      <w:rPr>
                        <w:b/>
                      </w:rPr>
                    </w:pPr>
                    <w:r>
                      <w:rPr>
                        <w:b/>
                      </w:rPr>
                      <w:t>Western Sydney University Enterprises Pty Limited Trading as Western Sydney University The College</w:t>
                    </w:r>
                  </w:p>
                  <w:p w14:paraId="69C1BC64" w14:textId="77777777" w:rsidR="001F3ACE" w:rsidRDefault="001F3ACE">
                    <w:pPr>
                      <w:spacing w:before="56"/>
                      <w:ind w:left="20"/>
                      <w:rPr>
                        <w:b/>
                        <w:sz w:val="14"/>
                      </w:rPr>
                    </w:pPr>
                    <w:r>
                      <w:rPr>
                        <w:b/>
                        <w:sz w:val="14"/>
                      </w:rPr>
                      <w:t>ABN: 44 003 474 468</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505006"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37920" behindDoc="1" locked="0" layoutInCell="1" allowOverlap="1" wp14:anchorId="04F072AF" wp14:editId="176C57BA">
              <wp:simplePos x="0" y="0"/>
              <wp:positionH relativeFrom="page">
                <wp:posOffset>627380</wp:posOffset>
              </wp:positionH>
              <wp:positionV relativeFrom="page">
                <wp:posOffset>633095</wp:posOffset>
              </wp:positionV>
              <wp:extent cx="6286500" cy="480060"/>
              <wp:effectExtent l="0" t="0" r="0" b="0"/>
              <wp:wrapNone/>
              <wp:docPr id="193"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CF29A" w14:textId="77777777" w:rsidR="001F3ACE" w:rsidRDefault="001F3ACE">
                          <w:pPr>
                            <w:spacing w:before="12"/>
                            <w:ind w:left="20" w:right="-19"/>
                            <w:rPr>
                              <w:b/>
                            </w:rPr>
                          </w:pPr>
                          <w:r>
                            <w:rPr>
                              <w:b/>
                            </w:rPr>
                            <w:t>Western Sydney University Enterprises Pty Limited Trading as Western Sydney University The College</w:t>
                          </w:r>
                        </w:p>
                        <w:p w14:paraId="1B93DC48" w14:textId="77777777" w:rsidR="001F3ACE" w:rsidRDefault="001F3ACE">
                          <w:pPr>
                            <w:spacing w:before="56"/>
                            <w:ind w:left="20"/>
                            <w:rPr>
                              <w:b/>
                              <w:sz w:val="14"/>
                            </w:rPr>
                          </w:pPr>
                          <w:r>
                            <w:rPr>
                              <w:b/>
                              <w:sz w:val="14"/>
                            </w:rPr>
                            <w:t>ABN: 44 003 474 468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F072AF" id="_x0000_t202" coordsize="21600,21600" o:spt="202" path="m,l,21600r21600,l21600,xe">
              <v:stroke joinstyle="miter"/>
              <v:path gradientshapeok="t" o:connecttype="rect"/>
            </v:shapetype>
            <v:shape id="Text Box 110" o:spid="_x0000_s1099" type="#_x0000_t202" style="position:absolute;margin-left:49.4pt;margin-top:49.85pt;width:495pt;height:37.8pt;z-index:-4057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" filled="f" stroked="f">
              <v:textbox inset="0,0,0,0">
                <w:txbxContent>
                  <w:p w14:paraId="321CF29A" w14:textId="77777777" w:rsidR="001F3ACE" w:rsidRDefault="001F3ACE">
                    <w:pPr>
                      <w:spacing w:before="12"/>
                      <w:ind w:left="20" w:right="-19"/>
                      <w:rPr>
                        <w:b/>
                      </w:rPr>
                    </w:pPr>
                    <w:r>
                      <w:rPr>
                        <w:b/>
                      </w:rPr>
                      <w:t>Western Sydney University Enterprises Pty Limited Trading as Western Sydney University The College</w:t>
                    </w:r>
                  </w:p>
                  <w:p w14:paraId="1B93DC48" w14:textId="77777777" w:rsidR="001F3ACE" w:rsidRDefault="001F3ACE">
                    <w:pPr>
                      <w:spacing w:before="56"/>
                      <w:ind w:left="20"/>
                      <w:rPr>
                        <w:b/>
                        <w:sz w:val="14"/>
                      </w:rPr>
                    </w:pPr>
                    <w:r>
                      <w:rPr>
                        <w:b/>
                        <w:sz w:val="14"/>
                      </w:rPr>
                      <w:t>ABN: 44 003 474 468</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454581"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38944" behindDoc="1" locked="0" layoutInCell="1" allowOverlap="1" wp14:anchorId="68B2E8AD" wp14:editId="32952DA2">
              <wp:simplePos x="0" y="0"/>
              <wp:positionH relativeFrom="page">
                <wp:posOffset>627380</wp:posOffset>
              </wp:positionH>
              <wp:positionV relativeFrom="page">
                <wp:posOffset>633095</wp:posOffset>
              </wp:positionV>
              <wp:extent cx="6286500" cy="480060"/>
              <wp:effectExtent l="0" t="0" r="0" b="0"/>
              <wp:wrapNone/>
              <wp:docPr id="191"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BD2EF" w14:textId="77777777" w:rsidR="001F3ACE" w:rsidRDefault="001F3ACE">
                          <w:pPr>
                            <w:spacing w:before="12"/>
                            <w:ind w:left="20" w:right="-19"/>
                            <w:rPr>
                              <w:b/>
                            </w:rPr>
                          </w:pPr>
                          <w:r>
                            <w:rPr>
                              <w:b/>
                            </w:rPr>
                            <w:t>Western Sydney University Enterprises Pty Limited Trading as Western Sydney University The College</w:t>
                          </w:r>
                        </w:p>
                        <w:p w14:paraId="2348048D" w14:textId="77777777" w:rsidR="001F3ACE" w:rsidRDefault="001F3ACE">
                          <w:pPr>
                            <w:spacing w:before="56"/>
                            <w:ind w:left="20"/>
                            <w:rPr>
                              <w:b/>
                              <w:sz w:val="14"/>
                            </w:rPr>
                          </w:pPr>
                          <w:r>
                            <w:rPr>
                              <w:b/>
                              <w:sz w:val="14"/>
                            </w:rPr>
                            <w:t>ABN: 44 003 474 468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B2E8AD" id="_x0000_t202" coordsize="21600,21600" o:spt="202" path="m,l,21600r21600,l21600,xe">
              <v:stroke joinstyle="miter"/>
              <v:path gradientshapeok="t" o:connecttype="rect"/>
            </v:shapetype>
            <v:shape id="Text Box 108" o:spid="_x0000_s1101" type="#_x0000_t202" style="position:absolute;margin-left:49.4pt;margin-top:49.85pt;width:495pt;height:37.8pt;z-index:-4057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" filled="f" stroked="f">
              <v:textbox inset="0,0,0,0">
                <w:txbxContent>
                  <w:p w14:paraId="632BD2EF" w14:textId="77777777" w:rsidR="001F3ACE" w:rsidRDefault="001F3ACE">
                    <w:pPr>
                      <w:spacing w:before="12"/>
                      <w:ind w:left="20" w:right="-19"/>
                      <w:rPr>
                        <w:b/>
                      </w:rPr>
                    </w:pPr>
                    <w:r>
                      <w:rPr>
                        <w:b/>
                      </w:rPr>
                      <w:t>Western Sydney University Enterprises Pty Limited Trading as Western Sydney University The College</w:t>
                    </w:r>
                  </w:p>
                  <w:p w14:paraId="2348048D" w14:textId="77777777" w:rsidR="001F3ACE" w:rsidRDefault="001F3ACE">
                    <w:pPr>
                      <w:spacing w:before="56"/>
                      <w:ind w:left="20"/>
                      <w:rPr>
                        <w:b/>
                        <w:sz w:val="14"/>
                      </w:rPr>
                    </w:pPr>
                    <w:r>
                      <w:rPr>
                        <w:b/>
                        <w:sz w:val="14"/>
                      </w:rPr>
                      <w:t>ABN: 44 003 474 468</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462739456" behindDoc="1" locked="0" layoutInCell="1" allowOverlap="1" wp14:anchorId="20047233" wp14:editId="659DD9E7">
              <wp:simplePos x="0" y="0"/>
              <wp:positionH relativeFrom="page">
                <wp:posOffset>627380</wp:posOffset>
              </wp:positionH>
              <wp:positionV relativeFrom="page">
                <wp:posOffset>1308735</wp:posOffset>
              </wp:positionV>
              <wp:extent cx="2880995" cy="421005"/>
              <wp:effectExtent l="0" t="0" r="0" b="0"/>
              <wp:wrapNone/>
              <wp:docPr id="190"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995" cy="42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AD92B" w14:textId="77777777" w:rsidR="001F3ACE" w:rsidRDefault="001F3ACE">
                          <w:pPr>
                            <w:spacing w:before="10"/>
                            <w:ind w:left="20"/>
                            <w:rPr>
                              <w:b/>
                              <w:sz w:val="28"/>
                            </w:rPr>
                          </w:pPr>
                          <w:r>
                            <w:rPr>
                              <w:b/>
                              <w:sz w:val="28"/>
                            </w:rPr>
                            <w:t>Notes to the Financial Statements</w:t>
                          </w:r>
                        </w:p>
                        <w:p w14:paraId="190A3DE9" w14:textId="77777777" w:rsidR="001F3ACE" w:rsidRDefault="001F3ACE">
                          <w:pPr>
                            <w:spacing w:before="57"/>
                            <w:ind w:left="20"/>
                            <w:rPr>
                              <w:b/>
                            </w:rPr>
                          </w:pPr>
                          <w:r>
                            <w:rPr>
                              <w:b/>
                            </w:rPr>
                            <w:t>For the Year Ended 31 December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47233" id="Text Box 107" o:spid="_x0000_s1102" type="#_x0000_t202" style="position:absolute;margin-left:49.4pt;margin-top:103.05pt;width:226.85pt;height:33.15pt;z-index:-4057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" filled="f" stroked="f">
              <v:textbox inset="0,0,0,0">
                <w:txbxContent>
                  <w:p w14:paraId="581AD92B" w14:textId="77777777" w:rsidR="001F3ACE" w:rsidRDefault="001F3ACE">
                    <w:pPr>
                      <w:spacing w:before="10"/>
                      <w:ind w:left="20"/>
                      <w:rPr>
                        <w:b/>
                        <w:sz w:val="28"/>
                      </w:rPr>
                    </w:pPr>
                    <w:r>
                      <w:rPr>
                        <w:b/>
                        <w:sz w:val="28"/>
                      </w:rPr>
                      <w:t>Notes to the Financial Statements</w:t>
                    </w:r>
                  </w:p>
                  <w:p w14:paraId="190A3DE9" w14:textId="77777777" w:rsidR="001F3ACE" w:rsidRDefault="001F3ACE">
                    <w:pPr>
                      <w:spacing w:before="57"/>
                      <w:ind w:left="20"/>
                      <w:rPr>
                        <w:b/>
                      </w:rPr>
                    </w:pPr>
                    <w:r>
                      <w:rPr>
                        <w:b/>
                      </w:rPr>
                      <w:t>For the Year Ended 31 December 2018</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D2E3DE" w14:textId="77777777" w:rsidR="001F3ACE" w:rsidRDefault="001F3ACE">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D90C9C" w14:textId="77777777" w:rsidR="001F3ACE" w:rsidRDefault="001F3ACE">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0DE8A8" w14:textId="77777777" w:rsidR="001F3ACE" w:rsidRDefault="001F3ACE">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64ECFA" w14:textId="77777777" w:rsidR="001F3ACE" w:rsidRDefault="001F3ACE">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8ACFEE"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42528" behindDoc="1" locked="0" layoutInCell="1" allowOverlap="1" wp14:anchorId="0B57F4B5" wp14:editId="48537E0C">
              <wp:simplePos x="0" y="0"/>
              <wp:positionH relativeFrom="page">
                <wp:posOffset>627380</wp:posOffset>
              </wp:positionH>
              <wp:positionV relativeFrom="page">
                <wp:posOffset>632460</wp:posOffset>
              </wp:positionV>
              <wp:extent cx="1516380" cy="182245"/>
              <wp:effectExtent l="0" t="0" r="0" b="0"/>
              <wp:wrapNone/>
              <wp:docPr id="18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3AB7E" w14:textId="77777777" w:rsidR="001F3ACE" w:rsidRDefault="001F3ACE">
                          <w:pPr>
                            <w:spacing w:before="13"/>
                            <w:ind w:left="20"/>
                            <w:rPr>
                              <w:b/>
                            </w:rPr>
                          </w:pPr>
                          <w:r>
                            <w:rPr>
                              <w:b/>
                            </w:rPr>
                            <w:t>Western Unlimited Ltd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57F4B5" id="_x0000_t202" coordsize="21600,21600" o:spt="202" path="m,l,21600r21600,l21600,xe">
              <v:stroke joinstyle="miter"/>
              <v:path gradientshapeok="t" o:connecttype="rect"/>
            </v:shapetype>
            <v:shape id="Text Box 101" o:spid="_x0000_s1108" type="#_x0000_t202" style="position:absolute;margin-left:49.4pt;margin-top:49.8pt;width:119.4pt;height:14.35pt;z-index:-4057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" filled="f" stroked="f">
              <v:textbox inset="0,0,0,0">
                <w:txbxContent>
                  <w:p w14:paraId="5613AB7E" w14:textId="77777777" w:rsidR="001F3ACE" w:rsidRDefault="001F3ACE">
                    <w:pPr>
                      <w:spacing w:before="13"/>
                      <w:ind w:left="20"/>
                      <w:rPr>
                        <w:b/>
                      </w:rPr>
                    </w:pPr>
                    <w:r>
                      <w:rPr>
                        <w:b/>
                      </w:rPr>
                      <w:t>Western Unlimited Ltd</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0E6A37" w14:textId="77777777" w:rsidR="001F3ACE" w:rsidRDefault="001F3ACE">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1202F" w14:textId="77777777" w:rsidR="001F3ACE" w:rsidRDefault="001F3ACE">
    <w:pPr>
      <w:pStyle w:val="BodyText"/>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568664"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44064" behindDoc="1" locked="0" layoutInCell="1" allowOverlap="1" wp14:anchorId="5FA4731C" wp14:editId="42E0EB10">
              <wp:simplePos x="0" y="0"/>
              <wp:positionH relativeFrom="page">
                <wp:posOffset>627380</wp:posOffset>
              </wp:positionH>
              <wp:positionV relativeFrom="page">
                <wp:posOffset>632460</wp:posOffset>
              </wp:positionV>
              <wp:extent cx="1516380" cy="319405"/>
              <wp:effectExtent l="0" t="0" r="0" b="0"/>
              <wp:wrapNone/>
              <wp:docPr id="181"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7074B" w14:textId="77777777" w:rsidR="001F3ACE" w:rsidRDefault="001F3ACE">
                          <w:pPr>
                            <w:spacing w:before="13"/>
                            <w:ind w:left="20"/>
                            <w:rPr>
                              <w:b/>
                            </w:rPr>
                          </w:pPr>
                          <w:r>
                            <w:rPr>
                              <w:b/>
                            </w:rPr>
                            <w:t>Western Unlimited Ltd</w:t>
                          </w:r>
                        </w:p>
                        <w:p w14:paraId="017F700A" w14:textId="77777777" w:rsidR="001F3ACE" w:rsidRDefault="001F3ACE">
                          <w:pPr>
                            <w:spacing w:before="55"/>
                            <w:ind w:left="20"/>
                            <w:rPr>
                              <w:b/>
                              <w:sz w:val="14"/>
                            </w:rPr>
                          </w:pPr>
                          <w:r>
                            <w:rPr>
                              <w:b/>
                              <w:sz w:val="14"/>
                            </w:rPr>
                            <w:t>ABN: 45 107 759 197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A4731C" id="_x0000_t202" coordsize="21600,21600" o:spt="202" path="m,l,21600r21600,l21600,xe">
              <v:stroke joinstyle="miter"/>
              <v:path gradientshapeok="t" o:connecttype="rect"/>
            </v:shapetype>
            <v:shape id="Text Box 98" o:spid="_x0000_s1111" type="#_x0000_t202" style="position:absolute;margin-left:49.4pt;margin-top:49.8pt;width:119.4pt;height:25.15pt;z-index:-4057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" filled="f" stroked="f">
              <v:textbox inset="0,0,0,0">
                <w:txbxContent>
                  <w:p w14:paraId="0F17074B" w14:textId="77777777" w:rsidR="001F3ACE" w:rsidRDefault="001F3ACE">
                    <w:pPr>
                      <w:spacing w:before="13"/>
                      <w:ind w:left="20"/>
                      <w:rPr>
                        <w:b/>
                      </w:rPr>
                    </w:pPr>
                    <w:r>
                      <w:rPr>
                        <w:b/>
                      </w:rPr>
                      <w:t>Western Unlimited Ltd</w:t>
                    </w:r>
                  </w:p>
                  <w:p w14:paraId="017F700A" w14:textId="77777777" w:rsidR="001F3ACE" w:rsidRDefault="001F3ACE">
                    <w:pPr>
                      <w:spacing w:before="55"/>
                      <w:ind w:left="20"/>
                      <w:rPr>
                        <w:b/>
                        <w:sz w:val="14"/>
                      </w:rPr>
                    </w:pPr>
                    <w:r>
                      <w:rPr>
                        <w:b/>
                        <w:sz w:val="14"/>
                      </w:rPr>
                      <w:t>ABN: 45 107 759 197</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14DDEB"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45088" behindDoc="1" locked="0" layoutInCell="1" allowOverlap="1" wp14:anchorId="7B9543BE" wp14:editId="2854D699">
              <wp:simplePos x="0" y="0"/>
              <wp:positionH relativeFrom="page">
                <wp:posOffset>627380</wp:posOffset>
              </wp:positionH>
              <wp:positionV relativeFrom="page">
                <wp:posOffset>632460</wp:posOffset>
              </wp:positionV>
              <wp:extent cx="1516380" cy="319405"/>
              <wp:effectExtent l="0" t="0" r="0" b="0"/>
              <wp:wrapNone/>
              <wp:docPr id="179"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5BE48" w14:textId="77777777" w:rsidR="001F3ACE" w:rsidRDefault="001F3ACE">
                          <w:pPr>
                            <w:spacing w:before="13"/>
                            <w:ind w:left="20"/>
                            <w:rPr>
                              <w:b/>
                            </w:rPr>
                          </w:pPr>
                          <w:r>
                            <w:rPr>
                              <w:b/>
                            </w:rPr>
                            <w:t>Western Unlimited Ltd</w:t>
                          </w:r>
                        </w:p>
                        <w:p w14:paraId="70E1A426" w14:textId="77777777" w:rsidR="001F3ACE" w:rsidRDefault="001F3ACE">
                          <w:pPr>
                            <w:spacing w:before="55"/>
                            <w:ind w:left="20"/>
                            <w:rPr>
                              <w:b/>
                              <w:sz w:val="14"/>
                            </w:rPr>
                          </w:pPr>
                          <w:r>
                            <w:rPr>
                              <w:b/>
                              <w:sz w:val="14"/>
                            </w:rPr>
                            <w:t>ABN: 45 107 759 197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9543BE" id="_x0000_t202" coordsize="21600,21600" o:spt="202" path="m,l,21600r21600,l21600,xe">
              <v:stroke joinstyle="miter"/>
              <v:path gradientshapeok="t" o:connecttype="rect"/>
            </v:shapetype>
            <v:shape id="Text Box 96" o:spid="_x0000_s1113" type="#_x0000_t202" style="position:absolute;margin-left:49.4pt;margin-top:49.8pt;width:119.4pt;height:25.15pt;z-index:-4057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" filled="f" stroked="f">
              <v:textbox inset="0,0,0,0">
                <w:txbxContent>
                  <w:p w14:paraId="4785BE48" w14:textId="77777777" w:rsidR="001F3ACE" w:rsidRDefault="001F3ACE">
                    <w:pPr>
                      <w:spacing w:before="13"/>
                      <w:ind w:left="20"/>
                      <w:rPr>
                        <w:b/>
                      </w:rPr>
                    </w:pPr>
                    <w:r>
                      <w:rPr>
                        <w:b/>
                      </w:rPr>
                      <w:t>Western Unlimited Ltd</w:t>
                    </w:r>
                  </w:p>
                  <w:p w14:paraId="70E1A426" w14:textId="77777777" w:rsidR="001F3ACE" w:rsidRDefault="001F3ACE">
                    <w:pPr>
                      <w:spacing w:before="55"/>
                      <w:ind w:left="20"/>
                      <w:rPr>
                        <w:b/>
                        <w:sz w:val="14"/>
                      </w:rPr>
                    </w:pPr>
                    <w:r>
                      <w:rPr>
                        <w:b/>
                        <w:sz w:val="14"/>
                      </w:rPr>
                      <w:t>ABN: 45 107 759 197</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462745600" behindDoc="1" locked="0" layoutInCell="1" allowOverlap="1" wp14:anchorId="59B967C0" wp14:editId="38CE051F">
              <wp:simplePos x="0" y="0"/>
              <wp:positionH relativeFrom="page">
                <wp:posOffset>627380</wp:posOffset>
              </wp:positionH>
              <wp:positionV relativeFrom="page">
                <wp:posOffset>1146810</wp:posOffset>
              </wp:positionV>
              <wp:extent cx="2888615" cy="419735"/>
              <wp:effectExtent l="0" t="0" r="0" b="0"/>
              <wp:wrapNone/>
              <wp:docPr id="17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8615" cy="41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1059E" w14:textId="77777777" w:rsidR="001F3ACE" w:rsidRDefault="001F3ACE">
                          <w:pPr>
                            <w:spacing w:before="11"/>
                            <w:ind w:left="20"/>
                            <w:rPr>
                              <w:b/>
                              <w:sz w:val="28"/>
                            </w:rPr>
                          </w:pPr>
                          <w:r>
                            <w:rPr>
                              <w:b/>
                              <w:sz w:val="28"/>
                            </w:rPr>
                            <w:t>Notes to the Financial Statements</w:t>
                          </w:r>
                        </w:p>
                        <w:p w14:paraId="675155C3" w14:textId="77777777" w:rsidR="001F3ACE" w:rsidRDefault="001F3ACE">
                          <w:pPr>
                            <w:spacing w:before="54"/>
                            <w:ind w:left="20"/>
                            <w:rPr>
                              <w:b/>
                            </w:rPr>
                          </w:pPr>
                          <w:r>
                            <w:rPr>
                              <w:b/>
                            </w:rPr>
                            <w:t>For the Year Ended 31 December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967C0" id="Text Box 95" o:spid="_x0000_s1114" type="#_x0000_t202" style="position:absolute;margin-left:49.4pt;margin-top:90.3pt;width:227.45pt;height:33.05pt;z-index:-4057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" filled="f" stroked="f">
              <v:textbox inset="0,0,0,0">
                <w:txbxContent>
                  <w:p w14:paraId="4851059E" w14:textId="77777777" w:rsidR="001F3ACE" w:rsidRDefault="001F3ACE">
                    <w:pPr>
                      <w:spacing w:before="11"/>
                      <w:ind w:left="20"/>
                      <w:rPr>
                        <w:b/>
                        <w:sz w:val="28"/>
                      </w:rPr>
                    </w:pPr>
                    <w:r>
                      <w:rPr>
                        <w:b/>
                        <w:sz w:val="28"/>
                      </w:rPr>
                      <w:t>Notes to the Financial Statements</w:t>
                    </w:r>
                  </w:p>
                  <w:p w14:paraId="675155C3" w14:textId="77777777" w:rsidR="001F3ACE" w:rsidRDefault="001F3ACE">
                    <w:pPr>
                      <w:spacing w:before="54"/>
                      <w:ind w:left="20"/>
                      <w:rPr>
                        <w:b/>
                      </w:rPr>
                    </w:pPr>
                    <w:r>
                      <w:rPr>
                        <w:b/>
                      </w:rPr>
                      <w:t>For the Year Ended 31 December 2018</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462746112" behindDoc="1" locked="0" layoutInCell="1" allowOverlap="1" wp14:anchorId="52A73DF8" wp14:editId="75012669">
              <wp:simplePos x="0" y="0"/>
              <wp:positionH relativeFrom="page">
                <wp:posOffset>628650</wp:posOffset>
              </wp:positionH>
              <wp:positionV relativeFrom="page">
                <wp:posOffset>1809115</wp:posOffset>
              </wp:positionV>
              <wp:extent cx="1270635" cy="153670"/>
              <wp:effectExtent l="0" t="0" r="0" b="0"/>
              <wp:wrapNone/>
              <wp:docPr id="177"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6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73760" w14:textId="77777777" w:rsidR="001F3ACE" w:rsidRDefault="001F3ACE">
                          <w:pPr>
                            <w:spacing w:before="14"/>
                            <w:ind w:left="20"/>
                            <w:rPr>
                              <w:b/>
                              <w:sz w:val="18"/>
                            </w:rPr>
                          </w:pPr>
                          <w:r>
                            <w:rPr>
                              <w:b/>
                              <w:sz w:val="18"/>
                            </w:rPr>
                            <w:t>14 Retained earnings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73DF8" id="Text Box 94" o:spid="_x0000_s1115" type="#_x0000_t202" style="position:absolute;margin-left:49.5pt;margin-top:142.45pt;width:100.05pt;height:12.1pt;z-index:-4057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" filled="f" stroked="f">
              <v:textbox inset="0,0,0,0">
                <w:txbxContent>
                  <w:p w14:paraId="52473760" w14:textId="77777777" w:rsidR="001F3ACE" w:rsidRDefault="001F3ACE">
                    <w:pPr>
                      <w:spacing w:before="14"/>
                      <w:ind w:left="20"/>
                      <w:rPr>
                        <w:b/>
                        <w:sz w:val="18"/>
                      </w:rPr>
                    </w:pPr>
                    <w:r>
                      <w:rPr>
                        <w:b/>
                        <w:sz w:val="18"/>
                      </w:rPr>
                      <w:t>14 Retained earnings</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45147C"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47136" behindDoc="1" locked="0" layoutInCell="1" allowOverlap="1" wp14:anchorId="285E7280" wp14:editId="4A5B5F9B">
              <wp:simplePos x="0" y="0"/>
              <wp:positionH relativeFrom="page">
                <wp:posOffset>627380</wp:posOffset>
              </wp:positionH>
              <wp:positionV relativeFrom="page">
                <wp:posOffset>632460</wp:posOffset>
              </wp:positionV>
              <wp:extent cx="1516380" cy="319405"/>
              <wp:effectExtent l="0" t="0" r="0" b="0"/>
              <wp:wrapNone/>
              <wp:docPr id="175"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A711A" w14:textId="77777777" w:rsidR="001F3ACE" w:rsidRDefault="001F3ACE">
                          <w:pPr>
                            <w:spacing w:before="13"/>
                            <w:ind w:left="20"/>
                            <w:rPr>
                              <w:b/>
                            </w:rPr>
                          </w:pPr>
                          <w:r>
                            <w:rPr>
                              <w:b/>
                            </w:rPr>
                            <w:t>Western Unlimited Ltd</w:t>
                          </w:r>
                        </w:p>
                        <w:p w14:paraId="2451F2F3" w14:textId="77777777" w:rsidR="001F3ACE" w:rsidRDefault="001F3ACE">
                          <w:pPr>
                            <w:spacing w:before="55"/>
                            <w:ind w:left="20"/>
                            <w:rPr>
                              <w:b/>
                              <w:sz w:val="14"/>
                            </w:rPr>
                          </w:pPr>
                          <w:r>
                            <w:rPr>
                              <w:b/>
                              <w:sz w:val="14"/>
                            </w:rPr>
                            <w:t>ABN: 45 107 759 197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5E7280" id="_x0000_t202" coordsize="21600,21600" o:spt="202" path="m,l,21600r21600,l21600,xe">
              <v:stroke joinstyle="miter"/>
              <v:path gradientshapeok="t" o:connecttype="rect"/>
            </v:shapetype>
            <v:shape id="Text Box 92" o:spid="_x0000_s1117" type="#_x0000_t202" style="position:absolute;margin-left:49.4pt;margin-top:49.8pt;width:119.4pt;height:25.15pt;z-index:-4056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" filled="f" stroked="f">
              <v:textbox inset="0,0,0,0">
                <w:txbxContent>
                  <w:p w14:paraId="707A711A" w14:textId="77777777" w:rsidR="001F3ACE" w:rsidRDefault="001F3ACE">
                    <w:pPr>
                      <w:spacing w:before="13"/>
                      <w:ind w:left="20"/>
                      <w:rPr>
                        <w:b/>
                      </w:rPr>
                    </w:pPr>
                    <w:r>
                      <w:rPr>
                        <w:b/>
                      </w:rPr>
                      <w:t>Western Unlimited Ltd</w:t>
                    </w:r>
                  </w:p>
                  <w:p w14:paraId="2451F2F3" w14:textId="77777777" w:rsidR="001F3ACE" w:rsidRDefault="001F3ACE">
                    <w:pPr>
                      <w:spacing w:before="55"/>
                      <w:ind w:left="20"/>
                      <w:rPr>
                        <w:b/>
                        <w:sz w:val="14"/>
                      </w:rPr>
                    </w:pPr>
                    <w:r>
                      <w:rPr>
                        <w:b/>
                        <w:sz w:val="14"/>
                      </w:rPr>
                      <w:t>ABN: 45 107 759 197</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462747648" behindDoc="1" locked="0" layoutInCell="1" allowOverlap="1" wp14:anchorId="2E6FA59C" wp14:editId="0C312585">
              <wp:simplePos x="0" y="0"/>
              <wp:positionH relativeFrom="page">
                <wp:posOffset>627380</wp:posOffset>
              </wp:positionH>
              <wp:positionV relativeFrom="page">
                <wp:posOffset>1146810</wp:posOffset>
              </wp:positionV>
              <wp:extent cx="2888615" cy="419735"/>
              <wp:effectExtent l="0" t="0" r="0" b="0"/>
              <wp:wrapNone/>
              <wp:docPr id="174"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8615" cy="41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726A4" w14:textId="77777777" w:rsidR="001F3ACE" w:rsidRDefault="001F3ACE">
                          <w:pPr>
                            <w:spacing w:before="11"/>
                            <w:ind w:left="20"/>
                            <w:rPr>
                              <w:b/>
                              <w:sz w:val="28"/>
                            </w:rPr>
                          </w:pPr>
                          <w:r>
                            <w:rPr>
                              <w:b/>
                              <w:sz w:val="28"/>
                            </w:rPr>
                            <w:t>Notes to the Financial Statements</w:t>
                          </w:r>
                        </w:p>
                        <w:p w14:paraId="53A253B1" w14:textId="77777777" w:rsidR="001F3ACE" w:rsidRDefault="001F3ACE">
                          <w:pPr>
                            <w:spacing w:before="54"/>
                            <w:ind w:left="20"/>
                            <w:rPr>
                              <w:b/>
                            </w:rPr>
                          </w:pPr>
                          <w:r>
                            <w:rPr>
                              <w:b/>
                            </w:rPr>
                            <w:t>For the Year Ended 31 December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FA59C" id="Text Box 91" o:spid="_x0000_s1118" type="#_x0000_t202" style="position:absolute;margin-left:49.4pt;margin-top:90.3pt;width:227.45pt;height:33.05pt;z-index:-4056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" filled="f" stroked="f">
              <v:textbox inset="0,0,0,0">
                <w:txbxContent>
                  <w:p w14:paraId="5B4726A4" w14:textId="77777777" w:rsidR="001F3ACE" w:rsidRDefault="001F3ACE">
                    <w:pPr>
                      <w:spacing w:before="11"/>
                      <w:ind w:left="20"/>
                      <w:rPr>
                        <w:b/>
                        <w:sz w:val="28"/>
                      </w:rPr>
                    </w:pPr>
                    <w:r>
                      <w:rPr>
                        <w:b/>
                        <w:sz w:val="28"/>
                      </w:rPr>
                      <w:t>Notes to the Financial Statements</w:t>
                    </w:r>
                  </w:p>
                  <w:p w14:paraId="53A253B1" w14:textId="77777777" w:rsidR="001F3ACE" w:rsidRDefault="001F3ACE">
                    <w:pPr>
                      <w:spacing w:before="54"/>
                      <w:ind w:left="20"/>
                      <w:rPr>
                        <w:b/>
                      </w:rPr>
                    </w:pPr>
                    <w:r>
                      <w:rPr>
                        <w:b/>
                      </w:rPr>
                      <w:t>For the Year Ended 31 December 2018</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AABD6F"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48672" behindDoc="1" locked="0" layoutInCell="1" allowOverlap="1" wp14:anchorId="76415CEF" wp14:editId="44973C21">
              <wp:simplePos x="0" y="0"/>
              <wp:positionH relativeFrom="page">
                <wp:posOffset>627380</wp:posOffset>
              </wp:positionH>
              <wp:positionV relativeFrom="page">
                <wp:posOffset>632460</wp:posOffset>
              </wp:positionV>
              <wp:extent cx="1516380" cy="319405"/>
              <wp:effectExtent l="0" t="0" r="0" b="0"/>
              <wp:wrapNone/>
              <wp:docPr id="17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F719C" w14:textId="77777777" w:rsidR="001F3ACE" w:rsidRDefault="001F3ACE">
                          <w:pPr>
                            <w:spacing w:before="13"/>
                            <w:ind w:left="20"/>
                            <w:rPr>
                              <w:b/>
                            </w:rPr>
                          </w:pPr>
                          <w:r>
                            <w:rPr>
                              <w:b/>
                            </w:rPr>
                            <w:t>Western Unlimited Ltd</w:t>
                          </w:r>
                        </w:p>
                        <w:p w14:paraId="1D5638C1" w14:textId="77777777" w:rsidR="001F3ACE" w:rsidRDefault="001F3ACE">
                          <w:pPr>
                            <w:spacing w:before="55"/>
                            <w:ind w:left="20"/>
                            <w:rPr>
                              <w:b/>
                              <w:sz w:val="14"/>
                            </w:rPr>
                          </w:pPr>
                          <w:r>
                            <w:rPr>
                              <w:b/>
                              <w:sz w:val="14"/>
                            </w:rPr>
                            <w:t>ABN: 45 107 759 197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415CEF" id="_x0000_t202" coordsize="21600,21600" o:spt="202" path="m,l,21600r21600,l21600,xe">
              <v:stroke joinstyle="miter"/>
              <v:path gradientshapeok="t" o:connecttype="rect"/>
            </v:shapetype>
            <v:shape id="Text Box 89" o:spid="_x0000_s1120" type="#_x0000_t202" style="position:absolute;margin-left:49.4pt;margin-top:49.8pt;width:119.4pt;height:25.15pt;z-index:-4056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" filled="f" stroked="f">
              <v:textbox inset="0,0,0,0">
                <w:txbxContent>
                  <w:p w14:paraId="3C1F719C" w14:textId="77777777" w:rsidR="001F3ACE" w:rsidRDefault="001F3ACE">
                    <w:pPr>
                      <w:spacing w:before="13"/>
                      <w:ind w:left="20"/>
                      <w:rPr>
                        <w:b/>
                      </w:rPr>
                    </w:pPr>
                    <w:r>
                      <w:rPr>
                        <w:b/>
                      </w:rPr>
                      <w:t>Western Unlimited Ltd</w:t>
                    </w:r>
                  </w:p>
                  <w:p w14:paraId="1D5638C1" w14:textId="77777777" w:rsidR="001F3ACE" w:rsidRDefault="001F3ACE">
                    <w:pPr>
                      <w:spacing w:before="55"/>
                      <w:ind w:left="20"/>
                      <w:rPr>
                        <w:b/>
                        <w:sz w:val="14"/>
                      </w:rPr>
                    </w:pPr>
                    <w:r>
                      <w:rPr>
                        <w:b/>
                        <w:sz w:val="14"/>
                      </w:rPr>
                      <w:t>ABN: 45 107 759 197</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462749184" behindDoc="1" locked="0" layoutInCell="1" allowOverlap="1" wp14:anchorId="78EA88D7" wp14:editId="58908B8D">
              <wp:simplePos x="0" y="0"/>
              <wp:positionH relativeFrom="page">
                <wp:posOffset>627380</wp:posOffset>
              </wp:positionH>
              <wp:positionV relativeFrom="page">
                <wp:posOffset>1146810</wp:posOffset>
              </wp:positionV>
              <wp:extent cx="2888615" cy="419735"/>
              <wp:effectExtent l="0" t="0" r="0" b="0"/>
              <wp:wrapNone/>
              <wp:docPr id="171"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8615" cy="41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BED45" w14:textId="77777777" w:rsidR="001F3ACE" w:rsidRDefault="001F3ACE">
                          <w:pPr>
                            <w:spacing w:before="11"/>
                            <w:ind w:left="20"/>
                            <w:rPr>
                              <w:b/>
                              <w:sz w:val="28"/>
                            </w:rPr>
                          </w:pPr>
                          <w:r>
                            <w:rPr>
                              <w:b/>
                              <w:sz w:val="28"/>
                            </w:rPr>
                            <w:t>Notes to the Financial Statements</w:t>
                          </w:r>
                        </w:p>
                        <w:p w14:paraId="5BFA4136" w14:textId="77777777" w:rsidR="001F3ACE" w:rsidRDefault="001F3ACE">
                          <w:pPr>
                            <w:spacing w:before="54"/>
                            <w:ind w:left="20"/>
                            <w:rPr>
                              <w:b/>
                            </w:rPr>
                          </w:pPr>
                          <w:r>
                            <w:rPr>
                              <w:b/>
                            </w:rPr>
                            <w:t>For the Year Ended 31 December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A88D7" id="Text Box 88" o:spid="_x0000_s1121" type="#_x0000_t202" style="position:absolute;margin-left:49.4pt;margin-top:90.3pt;width:227.45pt;height:33.05pt;z-index:-4056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" filled="f" stroked="f">
              <v:textbox inset="0,0,0,0">
                <w:txbxContent>
                  <w:p w14:paraId="1EEBED45" w14:textId="77777777" w:rsidR="001F3ACE" w:rsidRDefault="001F3ACE">
                    <w:pPr>
                      <w:spacing w:before="11"/>
                      <w:ind w:left="20"/>
                      <w:rPr>
                        <w:b/>
                        <w:sz w:val="28"/>
                      </w:rPr>
                    </w:pPr>
                    <w:r>
                      <w:rPr>
                        <w:b/>
                        <w:sz w:val="28"/>
                      </w:rPr>
                      <w:t>Notes to the Financial Statements</w:t>
                    </w:r>
                  </w:p>
                  <w:p w14:paraId="5BFA4136" w14:textId="77777777" w:rsidR="001F3ACE" w:rsidRDefault="001F3ACE">
                    <w:pPr>
                      <w:spacing w:before="54"/>
                      <w:ind w:left="20"/>
                      <w:rPr>
                        <w:b/>
                      </w:rPr>
                    </w:pPr>
                    <w:r>
                      <w:rPr>
                        <w:b/>
                      </w:rPr>
                      <w:t>For the Year Ended 31 December 2018</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80E5DD" w14:textId="77777777" w:rsidR="001F3ACE" w:rsidRDefault="001F3ACE">
    <w:pPr>
      <w:pStyle w:val="Body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51438C" w14:textId="77777777" w:rsidR="001F3ACE" w:rsidRDefault="001F3ACE">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D8832F" w14:textId="77777777" w:rsidR="001F3ACE" w:rsidRDefault="001F3ACE">
    <w:pPr>
      <w:pStyle w:val="BodyText"/>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DB4017" w14:textId="77777777" w:rsidR="001F3ACE" w:rsidRDefault="001F3ACE">
    <w:pPr>
      <w:pStyle w:val="BodyText"/>
      <w:spacing w:line="14" w:lineRule="auto"/>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9A4638" w14:textId="77777777" w:rsidR="001F3ACE" w:rsidRDefault="001F3ACE">
    <w:pPr>
      <w:pStyle w:val="BodyText"/>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59BC3C"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52768" behindDoc="1" locked="0" layoutInCell="1" allowOverlap="1" wp14:anchorId="73813BEF" wp14:editId="3FE52919">
              <wp:simplePos x="0" y="0"/>
              <wp:positionH relativeFrom="page">
                <wp:posOffset>627380</wp:posOffset>
              </wp:positionH>
              <wp:positionV relativeFrom="page">
                <wp:posOffset>632460</wp:posOffset>
              </wp:positionV>
              <wp:extent cx="3373120" cy="319405"/>
              <wp:effectExtent l="0" t="0" r="0" b="0"/>
              <wp:wrapNone/>
              <wp:docPr id="16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120"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909EE" w14:textId="77777777" w:rsidR="001F3ACE" w:rsidRDefault="001F3ACE">
                          <w:pPr>
                            <w:spacing w:before="13"/>
                            <w:ind w:left="20"/>
                            <w:rPr>
                              <w:b/>
                            </w:rPr>
                          </w:pPr>
                          <w:r>
                            <w:rPr>
                              <w:b/>
                            </w:rPr>
                            <w:t>Western Sydney University Early Learning Limited</w:t>
                          </w:r>
                        </w:p>
                        <w:p w14:paraId="00BEACFB" w14:textId="77777777" w:rsidR="001F3ACE" w:rsidRDefault="001F3ACE">
                          <w:pPr>
                            <w:spacing w:before="55"/>
                            <w:ind w:left="20"/>
                            <w:rPr>
                              <w:b/>
                              <w:sz w:val="14"/>
                            </w:rPr>
                          </w:pPr>
                          <w:r>
                            <w:rPr>
                              <w:b/>
                              <w:sz w:val="14"/>
                            </w:rPr>
                            <w:t>ABN: 39 155 993 445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813BEF" id="_x0000_t202" coordsize="21600,21600" o:spt="202" path="m,l,21600r21600,l21600,xe">
              <v:stroke joinstyle="miter"/>
              <v:path gradientshapeok="t" o:connecttype="rect"/>
            </v:shapetype>
            <v:shape id="Text Box 81" o:spid="_x0000_s1128" type="#_x0000_t202" style="position:absolute;margin-left:49.4pt;margin-top:49.8pt;width:265.6pt;height:25.15pt;z-index:-4056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" filled="f" stroked="f">
              <v:textbox inset="0,0,0,0">
                <w:txbxContent>
                  <w:p w14:paraId="27B909EE" w14:textId="77777777" w:rsidR="001F3ACE" w:rsidRDefault="001F3ACE">
                    <w:pPr>
                      <w:spacing w:before="13"/>
                      <w:ind w:left="20"/>
                      <w:rPr>
                        <w:b/>
                      </w:rPr>
                    </w:pPr>
                    <w:r>
                      <w:rPr>
                        <w:b/>
                      </w:rPr>
                      <w:t>Western Sydney University Early Learning Limited</w:t>
                    </w:r>
                  </w:p>
                  <w:p w14:paraId="00BEACFB" w14:textId="77777777" w:rsidR="001F3ACE" w:rsidRDefault="001F3ACE">
                    <w:pPr>
                      <w:spacing w:before="55"/>
                      <w:ind w:left="20"/>
                      <w:rPr>
                        <w:b/>
                        <w:sz w:val="14"/>
                      </w:rPr>
                    </w:pPr>
                    <w:r>
                      <w:rPr>
                        <w:b/>
                        <w:sz w:val="14"/>
                      </w:rPr>
                      <w:t>ABN: 39 155 993 445</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CC8C8F"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18464" behindDoc="1" locked="0" layoutInCell="1" allowOverlap="1" wp14:anchorId="706BB1D3" wp14:editId="6E91E57C">
              <wp:simplePos x="0" y="0"/>
              <wp:positionH relativeFrom="page">
                <wp:posOffset>627380</wp:posOffset>
              </wp:positionH>
              <wp:positionV relativeFrom="page">
                <wp:posOffset>632460</wp:posOffset>
              </wp:positionV>
              <wp:extent cx="1825625" cy="182245"/>
              <wp:effectExtent l="0" t="0" r="0" b="0"/>
              <wp:wrapNone/>
              <wp:docPr id="231"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562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9493B" w14:textId="77777777" w:rsidR="001F3ACE" w:rsidRDefault="001F3ACE">
                          <w:pPr>
                            <w:spacing w:before="13"/>
                            <w:ind w:left="20"/>
                            <w:rPr>
                              <w:b/>
                            </w:rPr>
                          </w:pPr>
                          <w:r>
                            <w:rPr>
                              <w:b/>
                            </w:rPr>
                            <w:t>Western Sydney University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6BB1D3" id="_x0000_t202" coordsize="21600,21600" o:spt="202" path="m,l,21600r21600,l21600,xe">
              <v:stroke joinstyle="miter"/>
              <v:path gradientshapeok="t" o:connecttype="rect"/>
            </v:shapetype>
            <v:shape id="Text Box 148" o:spid="_x0000_s1061" type="#_x0000_t202" style="position:absolute;margin-left:49.4pt;margin-top:49.8pt;width:143.75pt;height:14.35pt;z-index:-4059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" filled="f" stroked="f">
              <v:textbox inset="0,0,0,0">
                <w:txbxContent>
                  <w:p w14:paraId="0C19493B" w14:textId="77777777" w:rsidR="001F3ACE" w:rsidRDefault="001F3ACE">
                    <w:pPr>
                      <w:spacing w:before="13"/>
                      <w:ind w:left="20"/>
                      <w:rPr>
                        <w:b/>
                      </w:rPr>
                    </w:pPr>
                    <w:r>
                      <w:rPr>
                        <w:b/>
                      </w:rPr>
                      <w:t>Western Sydney University</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3B799E" w14:textId="77777777" w:rsidR="001F3ACE" w:rsidRDefault="001F3ACE">
    <w:pPr>
      <w:pStyle w:val="BodyText"/>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704310"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54304" behindDoc="1" locked="0" layoutInCell="1" allowOverlap="1" wp14:anchorId="27C43D7C" wp14:editId="2E778C93">
              <wp:simplePos x="0" y="0"/>
              <wp:positionH relativeFrom="page">
                <wp:posOffset>627380</wp:posOffset>
              </wp:positionH>
              <wp:positionV relativeFrom="page">
                <wp:posOffset>632460</wp:posOffset>
              </wp:positionV>
              <wp:extent cx="3373120" cy="319405"/>
              <wp:effectExtent l="0" t="0" r="0" b="0"/>
              <wp:wrapNone/>
              <wp:docPr id="15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120"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29D78" w14:textId="77777777" w:rsidR="001F3ACE" w:rsidRDefault="001F3ACE">
                          <w:pPr>
                            <w:spacing w:before="13"/>
                            <w:ind w:left="20"/>
                            <w:rPr>
                              <w:b/>
                            </w:rPr>
                          </w:pPr>
                          <w:r>
                            <w:rPr>
                              <w:b/>
                            </w:rPr>
                            <w:t>Western Sydney University Early Learning Limited</w:t>
                          </w:r>
                        </w:p>
                        <w:p w14:paraId="697FD1FE" w14:textId="77777777" w:rsidR="001F3ACE" w:rsidRDefault="001F3ACE">
                          <w:pPr>
                            <w:spacing w:before="55"/>
                            <w:ind w:left="20"/>
                            <w:rPr>
                              <w:b/>
                              <w:sz w:val="14"/>
                            </w:rPr>
                          </w:pPr>
                          <w:r>
                            <w:rPr>
                              <w:b/>
                              <w:sz w:val="14"/>
                            </w:rPr>
                            <w:t>ABN: 39 155 993 445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C43D7C" id="_x0000_t202" coordsize="21600,21600" o:spt="202" path="m,l,21600r21600,l21600,xe">
              <v:stroke joinstyle="miter"/>
              <v:path gradientshapeok="t" o:connecttype="rect"/>
            </v:shapetype>
            <v:shape id="Text Box 78" o:spid="_x0000_s1131" type="#_x0000_t202" style="position:absolute;margin-left:49.4pt;margin-top:49.8pt;width:265.6pt;height:25.15pt;z-index:-4056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" filled="f" stroked="f">
              <v:textbox inset="0,0,0,0">
                <w:txbxContent>
                  <w:p w14:paraId="30A29D78" w14:textId="77777777" w:rsidR="001F3ACE" w:rsidRDefault="001F3ACE">
                    <w:pPr>
                      <w:spacing w:before="13"/>
                      <w:ind w:left="20"/>
                      <w:rPr>
                        <w:b/>
                      </w:rPr>
                    </w:pPr>
                    <w:r>
                      <w:rPr>
                        <w:b/>
                      </w:rPr>
                      <w:t>Western Sydney University Early Learning Limited</w:t>
                    </w:r>
                  </w:p>
                  <w:p w14:paraId="697FD1FE" w14:textId="77777777" w:rsidR="001F3ACE" w:rsidRDefault="001F3ACE">
                    <w:pPr>
                      <w:spacing w:before="55"/>
                      <w:ind w:left="20"/>
                      <w:rPr>
                        <w:b/>
                        <w:sz w:val="14"/>
                      </w:rPr>
                    </w:pPr>
                    <w:r>
                      <w:rPr>
                        <w:b/>
                        <w:sz w:val="14"/>
                      </w:rPr>
                      <w:t>ABN: 39 155 993 445</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8D4768" w14:textId="77777777" w:rsidR="001F3ACE" w:rsidRDefault="001F3ACE">
    <w:pPr>
      <w:pStyle w:val="BodyText"/>
      <w:spacing w:line="14" w:lineRule="auto"/>
      <w:rPr>
        <w:sz w:val="2"/>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725311" w14:textId="77777777" w:rsidR="001F3ACE" w:rsidRDefault="001F3ACE">
    <w:pPr>
      <w:pStyle w:val="BodyText"/>
      <w:spacing w:line="14" w:lineRule="auto"/>
      <w:rPr>
        <w:sz w:val="2"/>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36411E" w14:textId="77777777" w:rsidR="001F3ACE" w:rsidRDefault="001F3ACE">
    <w:pPr>
      <w:pStyle w:val="BodyText"/>
      <w:spacing w:line="14" w:lineRule="auto"/>
      <w:rPr>
        <w:sz w:val="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1F7A1F" w14:textId="77777777" w:rsidR="001F3ACE" w:rsidRDefault="001F3ACE">
    <w:pPr>
      <w:pStyle w:val="BodyText"/>
      <w:spacing w:line="14" w:lineRule="auto"/>
      <w:rPr>
        <w:sz w:val="2"/>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55E5D8" w14:textId="77777777" w:rsidR="001F3ACE" w:rsidRDefault="001F3ACE">
    <w:pPr>
      <w:pStyle w:val="BodyText"/>
      <w:spacing w:line="14" w:lineRule="auto"/>
      <w:rPr>
        <w:sz w:val="2"/>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3C567F"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57888" behindDoc="1" locked="0" layoutInCell="1" allowOverlap="1" wp14:anchorId="22F58156" wp14:editId="3F6F8EB1">
              <wp:simplePos x="0" y="0"/>
              <wp:positionH relativeFrom="page">
                <wp:posOffset>627380</wp:posOffset>
              </wp:positionH>
              <wp:positionV relativeFrom="page">
                <wp:posOffset>633095</wp:posOffset>
              </wp:positionV>
              <wp:extent cx="3961765" cy="363220"/>
              <wp:effectExtent l="0" t="0" r="0" b="0"/>
              <wp:wrapNone/>
              <wp:docPr id="14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1765"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E9929" w14:textId="77777777" w:rsidR="001F3ACE" w:rsidRDefault="001F3ACE">
                          <w:pPr>
                            <w:spacing w:before="12"/>
                            <w:ind w:left="20"/>
                            <w:rPr>
                              <w:b/>
                            </w:rPr>
                          </w:pPr>
                          <w:r>
                            <w:rPr>
                              <w:b/>
                            </w:rPr>
                            <w:t>Whitlam Institute within Western Sydney University Limited</w:t>
                          </w:r>
                        </w:p>
                        <w:p w14:paraId="3B469FA6" w14:textId="77777777" w:rsidR="001F3ACE" w:rsidRDefault="001F3ACE">
                          <w:pPr>
                            <w:spacing w:before="56"/>
                            <w:ind w:left="20"/>
                            <w:rPr>
                              <w:b/>
                              <w:sz w:val="20"/>
                            </w:rPr>
                          </w:pPr>
                          <w:r>
                            <w:rPr>
                              <w:b/>
                              <w:sz w:val="20"/>
                            </w:rPr>
                            <w:t>ABN: 50 100 342 309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F58156" id="_x0000_t202" coordsize="21600,21600" o:spt="202" path="m,l,21600r21600,l21600,xe">
              <v:stroke joinstyle="miter"/>
              <v:path gradientshapeok="t" o:connecttype="rect"/>
            </v:shapetype>
            <v:shape id="Text Box 71" o:spid="_x0000_s1138" type="#_x0000_t202" style="position:absolute;margin-left:49.4pt;margin-top:49.85pt;width:311.95pt;height:28.6pt;z-index:-4055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" filled="f" stroked="f">
              <v:textbox inset="0,0,0,0">
                <w:txbxContent>
                  <w:p w14:paraId="4DFE9929" w14:textId="77777777" w:rsidR="001F3ACE" w:rsidRDefault="001F3ACE">
                    <w:pPr>
                      <w:spacing w:before="12"/>
                      <w:ind w:left="20"/>
                      <w:rPr>
                        <w:b/>
                      </w:rPr>
                    </w:pPr>
                    <w:r>
                      <w:rPr>
                        <w:b/>
                      </w:rPr>
                      <w:t>Whitlam Institute within Western Sydney University Limited</w:t>
                    </w:r>
                  </w:p>
                  <w:p w14:paraId="3B469FA6" w14:textId="77777777" w:rsidR="001F3ACE" w:rsidRDefault="001F3ACE">
                    <w:pPr>
                      <w:spacing w:before="56"/>
                      <w:ind w:left="20"/>
                      <w:rPr>
                        <w:b/>
                        <w:sz w:val="20"/>
                      </w:rPr>
                    </w:pPr>
                    <w:r>
                      <w:rPr>
                        <w:b/>
                        <w:sz w:val="20"/>
                      </w:rPr>
                      <w:t>ABN: 50 100 342 309</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462758400" behindDoc="1" locked="0" layoutInCell="1" allowOverlap="1" wp14:anchorId="35C1FCF6" wp14:editId="6E1228FB">
              <wp:simplePos x="0" y="0"/>
              <wp:positionH relativeFrom="page">
                <wp:posOffset>627380</wp:posOffset>
              </wp:positionH>
              <wp:positionV relativeFrom="page">
                <wp:posOffset>1191895</wp:posOffset>
              </wp:positionV>
              <wp:extent cx="2529840" cy="421005"/>
              <wp:effectExtent l="0" t="0" r="0" b="0"/>
              <wp:wrapNone/>
              <wp:docPr id="14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42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7E84F" w14:textId="77777777" w:rsidR="001F3ACE" w:rsidRDefault="001F3ACE">
                          <w:pPr>
                            <w:spacing w:before="10"/>
                            <w:ind w:left="20"/>
                            <w:rPr>
                              <w:b/>
                              <w:sz w:val="28"/>
                            </w:rPr>
                          </w:pPr>
                          <w:r>
                            <w:rPr>
                              <w:b/>
                              <w:sz w:val="28"/>
                            </w:rPr>
                            <w:t>Director's report</w:t>
                          </w:r>
                        </w:p>
                        <w:p w14:paraId="2A6817C9" w14:textId="77777777" w:rsidR="001F3ACE" w:rsidRDefault="001F3ACE">
                          <w:pPr>
                            <w:spacing w:before="57"/>
                            <w:ind w:left="20"/>
                            <w:rPr>
                              <w:b/>
                            </w:rPr>
                          </w:pPr>
                          <w:r>
                            <w:rPr>
                              <w:b/>
                            </w:rPr>
                            <w:t>For the year ended 31 December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1FCF6" id="Text Box 70" o:spid="_x0000_s1139" type="#_x0000_t202" style="position:absolute;margin-left:49.4pt;margin-top:93.85pt;width:199.2pt;height:33.15pt;z-index:-4055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" filled="f" stroked="f">
              <v:textbox inset="0,0,0,0">
                <w:txbxContent>
                  <w:p w14:paraId="6007E84F" w14:textId="77777777" w:rsidR="001F3ACE" w:rsidRDefault="001F3ACE">
                    <w:pPr>
                      <w:spacing w:before="10"/>
                      <w:ind w:left="20"/>
                      <w:rPr>
                        <w:b/>
                        <w:sz w:val="28"/>
                      </w:rPr>
                    </w:pPr>
                    <w:r>
                      <w:rPr>
                        <w:b/>
                        <w:sz w:val="28"/>
                      </w:rPr>
                      <w:t>Director's report</w:t>
                    </w:r>
                  </w:p>
                  <w:p w14:paraId="2A6817C9" w14:textId="77777777" w:rsidR="001F3ACE" w:rsidRDefault="001F3ACE">
                    <w:pPr>
                      <w:spacing w:before="57"/>
                      <w:ind w:left="20"/>
                      <w:rPr>
                        <w:b/>
                      </w:rPr>
                    </w:pPr>
                    <w:r>
                      <w:rPr>
                        <w:b/>
                      </w:rPr>
                      <w:t>For the year ended 31 December 2018</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83A111"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59424" behindDoc="1" locked="0" layoutInCell="1" allowOverlap="1" wp14:anchorId="1F634CAB" wp14:editId="3F810CD2">
              <wp:simplePos x="0" y="0"/>
              <wp:positionH relativeFrom="page">
                <wp:posOffset>627380</wp:posOffset>
              </wp:positionH>
              <wp:positionV relativeFrom="page">
                <wp:posOffset>633095</wp:posOffset>
              </wp:positionV>
              <wp:extent cx="3961765" cy="363220"/>
              <wp:effectExtent l="0" t="0" r="0" b="0"/>
              <wp:wrapNone/>
              <wp:docPr id="13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1765"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A4DFA" w14:textId="77777777" w:rsidR="001F3ACE" w:rsidRDefault="001F3ACE">
                          <w:pPr>
                            <w:spacing w:before="12"/>
                            <w:ind w:left="20"/>
                            <w:rPr>
                              <w:b/>
                            </w:rPr>
                          </w:pPr>
                          <w:r>
                            <w:rPr>
                              <w:b/>
                            </w:rPr>
                            <w:t>Whitlam Institute within Western Sydney University Limited</w:t>
                          </w:r>
                        </w:p>
                        <w:p w14:paraId="3D0E3488" w14:textId="77777777" w:rsidR="001F3ACE" w:rsidRDefault="001F3ACE">
                          <w:pPr>
                            <w:spacing w:before="56"/>
                            <w:ind w:left="20"/>
                            <w:rPr>
                              <w:b/>
                              <w:sz w:val="20"/>
                            </w:rPr>
                          </w:pPr>
                          <w:r>
                            <w:rPr>
                              <w:b/>
                              <w:sz w:val="20"/>
                            </w:rPr>
                            <w:t>ABN: 50 100 342 309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634CAB" id="_x0000_t202" coordsize="21600,21600" o:spt="202" path="m,l,21600r21600,l21600,xe">
              <v:stroke joinstyle="miter"/>
              <v:path gradientshapeok="t" o:connecttype="rect"/>
            </v:shapetype>
            <v:shape id="Text Box 68" o:spid="_x0000_s1141" type="#_x0000_t202" style="position:absolute;margin-left:49.4pt;margin-top:49.85pt;width:311.95pt;height:28.6pt;z-index:-4055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" filled="f" stroked="f">
              <v:textbox inset="0,0,0,0">
                <w:txbxContent>
                  <w:p w14:paraId="267A4DFA" w14:textId="77777777" w:rsidR="001F3ACE" w:rsidRDefault="001F3ACE">
                    <w:pPr>
                      <w:spacing w:before="12"/>
                      <w:ind w:left="20"/>
                      <w:rPr>
                        <w:b/>
                      </w:rPr>
                    </w:pPr>
                    <w:r>
                      <w:rPr>
                        <w:b/>
                      </w:rPr>
                      <w:t>Whitlam Institute within Western Sydney University Limited</w:t>
                    </w:r>
                  </w:p>
                  <w:p w14:paraId="3D0E3488" w14:textId="77777777" w:rsidR="001F3ACE" w:rsidRDefault="001F3ACE">
                    <w:pPr>
                      <w:spacing w:before="56"/>
                      <w:ind w:left="20"/>
                      <w:rPr>
                        <w:b/>
                        <w:sz w:val="20"/>
                      </w:rPr>
                    </w:pPr>
                    <w:r>
                      <w:rPr>
                        <w:b/>
                        <w:sz w:val="20"/>
                      </w:rPr>
                      <w:t>ABN: 50 100 342 309</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462759936" behindDoc="1" locked="0" layoutInCell="1" allowOverlap="1" wp14:anchorId="54D59FD1" wp14:editId="2260F25D">
              <wp:simplePos x="0" y="0"/>
              <wp:positionH relativeFrom="page">
                <wp:posOffset>627380</wp:posOffset>
              </wp:positionH>
              <wp:positionV relativeFrom="page">
                <wp:posOffset>1191895</wp:posOffset>
              </wp:positionV>
              <wp:extent cx="2529840" cy="421005"/>
              <wp:effectExtent l="0" t="0" r="0" b="0"/>
              <wp:wrapNone/>
              <wp:docPr id="13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42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48267" w14:textId="77777777" w:rsidR="001F3ACE" w:rsidRDefault="001F3ACE">
                          <w:pPr>
                            <w:spacing w:before="10"/>
                            <w:ind w:left="20"/>
                            <w:rPr>
                              <w:b/>
                              <w:sz w:val="28"/>
                            </w:rPr>
                          </w:pPr>
                          <w:r>
                            <w:rPr>
                              <w:b/>
                              <w:sz w:val="28"/>
                            </w:rPr>
                            <w:t>Director's report</w:t>
                          </w:r>
                        </w:p>
                        <w:p w14:paraId="313B5AB9" w14:textId="77777777" w:rsidR="001F3ACE" w:rsidRDefault="001F3ACE">
                          <w:pPr>
                            <w:spacing w:before="57"/>
                            <w:ind w:left="20"/>
                            <w:rPr>
                              <w:b/>
                            </w:rPr>
                          </w:pPr>
                          <w:r>
                            <w:rPr>
                              <w:b/>
                            </w:rPr>
                            <w:t>For the year ended 31 December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59FD1" id="Text Box 67" o:spid="_x0000_s1142" type="#_x0000_t202" style="position:absolute;margin-left:49.4pt;margin-top:93.85pt;width:199.2pt;height:33.15pt;z-index:-4055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" filled="f" stroked="f">
              <v:textbox inset="0,0,0,0">
                <w:txbxContent>
                  <w:p w14:paraId="1AF48267" w14:textId="77777777" w:rsidR="001F3ACE" w:rsidRDefault="001F3ACE">
                    <w:pPr>
                      <w:spacing w:before="10"/>
                      <w:ind w:left="20"/>
                      <w:rPr>
                        <w:b/>
                        <w:sz w:val="28"/>
                      </w:rPr>
                    </w:pPr>
                    <w:r>
                      <w:rPr>
                        <w:b/>
                        <w:sz w:val="28"/>
                      </w:rPr>
                      <w:t>Director's report</w:t>
                    </w:r>
                  </w:p>
                  <w:p w14:paraId="313B5AB9" w14:textId="77777777" w:rsidR="001F3ACE" w:rsidRDefault="001F3ACE">
                    <w:pPr>
                      <w:spacing w:before="57"/>
                      <w:ind w:left="20"/>
                      <w:rPr>
                        <w:b/>
                      </w:rPr>
                    </w:pPr>
                    <w:r>
                      <w:rPr>
                        <w:b/>
                      </w:rPr>
                      <w:t>For the year ended 31 December 2018</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462760448" behindDoc="1" locked="0" layoutInCell="1" allowOverlap="1" wp14:anchorId="7C3EA0AA" wp14:editId="09A69385">
              <wp:simplePos x="0" y="0"/>
              <wp:positionH relativeFrom="page">
                <wp:posOffset>878205</wp:posOffset>
              </wp:positionH>
              <wp:positionV relativeFrom="page">
                <wp:posOffset>1773555</wp:posOffset>
              </wp:positionV>
              <wp:extent cx="2000250" cy="153670"/>
              <wp:effectExtent l="0" t="0" r="0" b="0"/>
              <wp:wrapNone/>
              <wp:docPr id="13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68ED9" w14:textId="77777777" w:rsidR="001F3ACE" w:rsidRDefault="001F3ACE">
                          <w:pPr>
                            <w:spacing w:before="14"/>
                            <w:ind w:left="20"/>
                            <w:rPr>
                              <w:b/>
                              <w:sz w:val="18"/>
                            </w:rPr>
                          </w:pPr>
                          <w:r>
                            <w:rPr>
                              <w:b/>
                              <w:sz w:val="18"/>
                            </w:rPr>
                            <w:t>Information on directors (continued)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EA0AA" id="Text Box 66" o:spid="_x0000_s1143" type="#_x0000_t202" style="position:absolute;margin-left:69.15pt;margin-top:139.65pt;width:157.5pt;height:12.1pt;z-index:-4055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" filled="f" stroked="f">
              <v:textbox inset="0,0,0,0">
                <w:txbxContent>
                  <w:p w14:paraId="1AE68ED9" w14:textId="77777777" w:rsidR="001F3ACE" w:rsidRDefault="001F3ACE">
                    <w:pPr>
                      <w:spacing w:before="14"/>
                      <w:ind w:left="20"/>
                      <w:rPr>
                        <w:b/>
                        <w:sz w:val="18"/>
                      </w:rPr>
                    </w:pPr>
                    <w:r>
                      <w:rPr>
                        <w:b/>
                        <w:sz w:val="18"/>
                      </w:rPr>
                      <w:t>Information on directors (continued)</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A6907D"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61472" behindDoc="1" locked="0" layoutInCell="1" allowOverlap="1" wp14:anchorId="6F1BE5DB" wp14:editId="1C4DF101">
              <wp:simplePos x="0" y="0"/>
              <wp:positionH relativeFrom="page">
                <wp:posOffset>627380</wp:posOffset>
              </wp:positionH>
              <wp:positionV relativeFrom="page">
                <wp:posOffset>633095</wp:posOffset>
              </wp:positionV>
              <wp:extent cx="3961765" cy="363220"/>
              <wp:effectExtent l="0" t="0" r="0" b="0"/>
              <wp:wrapNone/>
              <wp:docPr id="12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1765"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86635" w14:textId="77777777" w:rsidR="001F3ACE" w:rsidRDefault="001F3ACE">
                          <w:pPr>
                            <w:spacing w:before="12"/>
                            <w:ind w:left="20"/>
                            <w:rPr>
                              <w:b/>
                            </w:rPr>
                          </w:pPr>
                          <w:r>
                            <w:rPr>
                              <w:b/>
                            </w:rPr>
                            <w:t>Whitlam Institute within Western Sydney University Limited</w:t>
                          </w:r>
                        </w:p>
                        <w:p w14:paraId="5435C04A" w14:textId="77777777" w:rsidR="001F3ACE" w:rsidRDefault="001F3ACE">
                          <w:pPr>
                            <w:spacing w:before="56"/>
                            <w:ind w:left="20"/>
                            <w:rPr>
                              <w:b/>
                              <w:sz w:val="20"/>
                            </w:rPr>
                          </w:pPr>
                          <w:r>
                            <w:rPr>
                              <w:b/>
                              <w:sz w:val="20"/>
                            </w:rPr>
                            <w:t>ABN: 50 100 342 309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1BE5DB" id="_x0000_t202" coordsize="21600,21600" o:spt="202" path="m,l,21600r21600,l21600,xe">
              <v:stroke joinstyle="miter"/>
              <v:path gradientshapeok="t" o:connecttype="rect"/>
            </v:shapetype>
            <v:shape id="Text Box 64" o:spid="_x0000_s1145" type="#_x0000_t202" style="position:absolute;margin-left:49.4pt;margin-top:49.85pt;width:311.95pt;height:28.6pt;z-index:-4055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" filled="f" stroked="f">
              <v:textbox inset="0,0,0,0">
                <w:txbxContent>
                  <w:p w14:paraId="03B86635" w14:textId="77777777" w:rsidR="001F3ACE" w:rsidRDefault="001F3ACE">
                    <w:pPr>
                      <w:spacing w:before="12"/>
                      <w:ind w:left="20"/>
                      <w:rPr>
                        <w:b/>
                      </w:rPr>
                    </w:pPr>
                    <w:r>
                      <w:rPr>
                        <w:b/>
                      </w:rPr>
                      <w:t>Whitlam Institute within Western Sydney University Limited</w:t>
                    </w:r>
                  </w:p>
                  <w:p w14:paraId="5435C04A" w14:textId="77777777" w:rsidR="001F3ACE" w:rsidRDefault="001F3ACE">
                    <w:pPr>
                      <w:spacing w:before="56"/>
                      <w:ind w:left="20"/>
                      <w:rPr>
                        <w:b/>
                        <w:sz w:val="20"/>
                      </w:rPr>
                    </w:pPr>
                    <w:r>
                      <w:rPr>
                        <w:b/>
                        <w:sz w:val="20"/>
                      </w:rPr>
                      <w:t>ABN: 50 100 342 309</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462761984" behindDoc="1" locked="0" layoutInCell="1" allowOverlap="1" wp14:anchorId="7523834F" wp14:editId="6E7166A2">
              <wp:simplePos x="0" y="0"/>
              <wp:positionH relativeFrom="page">
                <wp:posOffset>627380</wp:posOffset>
              </wp:positionH>
              <wp:positionV relativeFrom="page">
                <wp:posOffset>1191895</wp:posOffset>
              </wp:positionV>
              <wp:extent cx="2529840" cy="421005"/>
              <wp:effectExtent l="0" t="0" r="0" b="0"/>
              <wp:wrapNone/>
              <wp:docPr id="12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42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FCEE9" w14:textId="77777777" w:rsidR="001F3ACE" w:rsidRDefault="001F3ACE">
                          <w:pPr>
                            <w:spacing w:before="10"/>
                            <w:ind w:left="20"/>
                            <w:rPr>
                              <w:b/>
                              <w:sz w:val="28"/>
                            </w:rPr>
                          </w:pPr>
                          <w:r>
                            <w:rPr>
                              <w:b/>
                              <w:sz w:val="28"/>
                            </w:rPr>
                            <w:t>Director's report</w:t>
                          </w:r>
                        </w:p>
                        <w:p w14:paraId="57F185F4" w14:textId="77777777" w:rsidR="001F3ACE" w:rsidRDefault="001F3ACE">
                          <w:pPr>
                            <w:spacing w:before="57"/>
                            <w:ind w:left="20"/>
                            <w:rPr>
                              <w:b/>
                            </w:rPr>
                          </w:pPr>
                          <w:r>
                            <w:rPr>
                              <w:b/>
                            </w:rPr>
                            <w:t>For the year ended 31 December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3834F" id="Text Box 63" o:spid="_x0000_s1146" type="#_x0000_t202" style="position:absolute;margin-left:49.4pt;margin-top:93.85pt;width:199.2pt;height:33.15pt;z-index:-4055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" filled="f" stroked="f">
              <v:textbox inset="0,0,0,0">
                <w:txbxContent>
                  <w:p w14:paraId="113FCEE9" w14:textId="77777777" w:rsidR="001F3ACE" w:rsidRDefault="001F3ACE">
                    <w:pPr>
                      <w:spacing w:before="10"/>
                      <w:ind w:left="20"/>
                      <w:rPr>
                        <w:b/>
                        <w:sz w:val="28"/>
                      </w:rPr>
                    </w:pPr>
                    <w:r>
                      <w:rPr>
                        <w:b/>
                        <w:sz w:val="28"/>
                      </w:rPr>
                      <w:t>Director's report</w:t>
                    </w:r>
                  </w:p>
                  <w:p w14:paraId="57F185F4" w14:textId="77777777" w:rsidR="001F3ACE" w:rsidRDefault="001F3ACE">
                    <w:pPr>
                      <w:spacing w:before="57"/>
                      <w:ind w:left="20"/>
                      <w:rPr>
                        <w:b/>
                      </w:rPr>
                    </w:pPr>
                    <w:r>
                      <w:rPr>
                        <w:b/>
                      </w:rPr>
                      <w:t>For the year ended 31 December 2018</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4D0DEB"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19488" behindDoc="1" locked="0" layoutInCell="1" allowOverlap="1" wp14:anchorId="6D04015E" wp14:editId="4DB5614B">
              <wp:simplePos x="0" y="0"/>
              <wp:positionH relativeFrom="page">
                <wp:posOffset>627380</wp:posOffset>
              </wp:positionH>
              <wp:positionV relativeFrom="page">
                <wp:posOffset>632460</wp:posOffset>
              </wp:positionV>
              <wp:extent cx="1825625" cy="182245"/>
              <wp:effectExtent l="0" t="0" r="0" b="0"/>
              <wp:wrapNone/>
              <wp:docPr id="229"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562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0F868" w14:textId="77777777" w:rsidR="001F3ACE" w:rsidRDefault="001F3ACE">
                          <w:pPr>
                            <w:spacing w:before="13"/>
                            <w:ind w:left="20"/>
                            <w:rPr>
                              <w:b/>
                            </w:rPr>
                          </w:pPr>
                          <w:r>
                            <w:rPr>
                              <w:b/>
                            </w:rPr>
                            <w:t>Western Sydney University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04015E" id="_x0000_t202" coordsize="21600,21600" o:spt="202" path="m,l,21600r21600,l21600,xe">
              <v:stroke joinstyle="miter"/>
              <v:path gradientshapeok="t" o:connecttype="rect"/>
            </v:shapetype>
            <v:shape id="Text Box 146" o:spid="_x0000_s1063" type="#_x0000_t202" style="position:absolute;margin-left:49.4pt;margin-top:49.8pt;width:143.75pt;height:14.35pt;z-index:-4059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" filled="f" stroked="f">
              <v:textbox inset="0,0,0,0">
                <w:txbxContent>
                  <w:p w14:paraId="1A60F868" w14:textId="77777777" w:rsidR="001F3ACE" w:rsidRDefault="001F3ACE">
                    <w:pPr>
                      <w:spacing w:before="13"/>
                      <w:ind w:left="20"/>
                      <w:rPr>
                        <w:b/>
                      </w:rPr>
                    </w:pPr>
                    <w:r>
                      <w:rPr>
                        <w:b/>
                      </w:rPr>
                      <w:t>Western Sydney University</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462720000" behindDoc="1" locked="0" layoutInCell="1" allowOverlap="1" wp14:anchorId="426254AF" wp14:editId="5157A0A1">
              <wp:simplePos x="0" y="0"/>
              <wp:positionH relativeFrom="page">
                <wp:posOffset>627380</wp:posOffset>
              </wp:positionH>
              <wp:positionV relativeFrom="page">
                <wp:posOffset>1009650</wp:posOffset>
              </wp:positionV>
              <wp:extent cx="2708275" cy="419735"/>
              <wp:effectExtent l="0" t="0" r="0" b="0"/>
              <wp:wrapNone/>
              <wp:docPr id="228"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8275" cy="41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AF1AB" w14:textId="77777777" w:rsidR="001F3ACE" w:rsidRDefault="001F3ACE">
                          <w:pPr>
                            <w:spacing w:before="11"/>
                            <w:ind w:left="20"/>
                            <w:rPr>
                              <w:b/>
                              <w:sz w:val="28"/>
                            </w:rPr>
                          </w:pPr>
                          <w:r>
                            <w:rPr>
                              <w:b/>
                              <w:sz w:val="28"/>
                            </w:rPr>
                            <w:t>Statement of Changes in Equity</w:t>
                          </w:r>
                        </w:p>
                        <w:p w14:paraId="79261DCF" w14:textId="77777777" w:rsidR="001F3ACE" w:rsidRDefault="001F3ACE">
                          <w:pPr>
                            <w:spacing w:before="54"/>
                            <w:ind w:left="20"/>
                            <w:rPr>
                              <w:b/>
                            </w:rPr>
                          </w:pPr>
                          <w:r>
                            <w:rPr>
                              <w:b/>
                            </w:rPr>
                            <w:t>For the Year Ended 31 December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254AF" id="Text Box 145" o:spid="_x0000_s1064" type="#_x0000_t202" style="position:absolute;margin-left:49.4pt;margin-top:79.5pt;width:213.25pt;height:33.05pt;z-index:-4059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" filled="f" stroked="f">
              <v:textbox inset="0,0,0,0">
                <w:txbxContent>
                  <w:p w14:paraId="7F4AF1AB" w14:textId="77777777" w:rsidR="001F3ACE" w:rsidRDefault="001F3ACE">
                    <w:pPr>
                      <w:spacing w:before="11"/>
                      <w:ind w:left="20"/>
                      <w:rPr>
                        <w:b/>
                        <w:sz w:val="28"/>
                      </w:rPr>
                    </w:pPr>
                    <w:r>
                      <w:rPr>
                        <w:b/>
                        <w:sz w:val="28"/>
                      </w:rPr>
                      <w:t>Statement of Changes in Equity</w:t>
                    </w:r>
                  </w:p>
                  <w:p w14:paraId="79261DCF" w14:textId="77777777" w:rsidR="001F3ACE" w:rsidRDefault="001F3ACE">
                    <w:pPr>
                      <w:spacing w:before="54"/>
                      <w:ind w:left="20"/>
                      <w:rPr>
                        <w:b/>
                      </w:rPr>
                    </w:pPr>
                    <w:r>
                      <w:rPr>
                        <w:b/>
                      </w:rPr>
                      <w:t>For the Year Ended 31 December 2018</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EA40B"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63008" behindDoc="1" locked="0" layoutInCell="1" allowOverlap="1" wp14:anchorId="224B2919" wp14:editId="387468CB">
              <wp:simplePos x="0" y="0"/>
              <wp:positionH relativeFrom="page">
                <wp:posOffset>627380</wp:posOffset>
              </wp:positionH>
              <wp:positionV relativeFrom="page">
                <wp:posOffset>633095</wp:posOffset>
              </wp:positionV>
              <wp:extent cx="3961765" cy="363220"/>
              <wp:effectExtent l="0" t="0" r="0" b="0"/>
              <wp:wrapNone/>
              <wp:docPr id="12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1765"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4CED4" w14:textId="77777777" w:rsidR="001F3ACE" w:rsidRDefault="001F3ACE">
                          <w:pPr>
                            <w:spacing w:before="12"/>
                            <w:ind w:left="20"/>
                            <w:rPr>
                              <w:b/>
                            </w:rPr>
                          </w:pPr>
                          <w:r>
                            <w:rPr>
                              <w:b/>
                            </w:rPr>
                            <w:t>Whitlam Institute within Western Sydney University Limited</w:t>
                          </w:r>
                        </w:p>
                        <w:p w14:paraId="344F6D83" w14:textId="77777777" w:rsidR="001F3ACE" w:rsidRDefault="001F3ACE">
                          <w:pPr>
                            <w:spacing w:before="56"/>
                            <w:ind w:left="20"/>
                            <w:rPr>
                              <w:b/>
                              <w:sz w:val="20"/>
                            </w:rPr>
                          </w:pPr>
                          <w:r>
                            <w:rPr>
                              <w:b/>
                              <w:sz w:val="20"/>
                            </w:rPr>
                            <w:t>ABN: 50 100 342 309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4B2919" id="_x0000_t202" coordsize="21600,21600" o:spt="202" path="m,l,21600r21600,l21600,xe">
              <v:stroke joinstyle="miter"/>
              <v:path gradientshapeok="t" o:connecttype="rect"/>
            </v:shapetype>
            <v:shape id="Text Box 61" o:spid="_x0000_s1148" type="#_x0000_t202" style="position:absolute;margin-left:49.4pt;margin-top:49.85pt;width:311.95pt;height:28.6pt;z-index:-405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" filled="f" stroked="f">
              <v:textbox inset="0,0,0,0">
                <w:txbxContent>
                  <w:p w14:paraId="3714CED4" w14:textId="77777777" w:rsidR="001F3ACE" w:rsidRDefault="001F3ACE">
                    <w:pPr>
                      <w:spacing w:before="12"/>
                      <w:ind w:left="20"/>
                      <w:rPr>
                        <w:b/>
                      </w:rPr>
                    </w:pPr>
                    <w:r>
                      <w:rPr>
                        <w:b/>
                      </w:rPr>
                      <w:t>Whitlam Institute within Western Sydney University Limited</w:t>
                    </w:r>
                  </w:p>
                  <w:p w14:paraId="344F6D83" w14:textId="77777777" w:rsidR="001F3ACE" w:rsidRDefault="001F3ACE">
                    <w:pPr>
                      <w:spacing w:before="56"/>
                      <w:ind w:left="20"/>
                      <w:rPr>
                        <w:b/>
                        <w:sz w:val="20"/>
                      </w:rPr>
                    </w:pPr>
                    <w:r>
                      <w:rPr>
                        <w:b/>
                        <w:sz w:val="20"/>
                      </w:rPr>
                      <w:t>ABN: 50 100 342 309</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FF0E92" w14:textId="77777777" w:rsidR="001F3ACE" w:rsidRDefault="001F3ACE">
    <w:pPr>
      <w:pStyle w:val="BodyText"/>
      <w:spacing w:line="14" w:lineRule="auto"/>
      <w:rPr>
        <w:sz w:val="2"/>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A8BD0"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64544" behindDoc="1" locked="0" layoutInCell="1" allowOverlap="1" wp14:anchorId="6F7024DF" wp14:editId="3C4368BC">
              <wp:simplePos x="0" y="0"/>
              <wp:positionH relativeFrom="page">
                <wp:posOffset>627380</wp:posOffset>
              </wp:positionH>
              <wp:positionV relativeFrom="page">
                <wp:posOffset>633095</wp:posOffset>
              </wp:positionV>
              <wp:extent cx="3961765" cy="363220"/>
              <wp:effectExtent l="0" t="0" r="0" b="0"/>
              <wp:wrapNone/>
              <wp:docPr id="11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1765"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CD27E" w14:textId="77777777" w:rsidR="001F3ACE" w:rsidRDefault="001F3ACE">
                          <w:pPr>
                            <w:spacing w:before="12"/>
                            <w:ind w:left="20"/>
                            <w:rPr>
                              <w:b/>
                            </w:rPr>
                          </w:pPr>
                          <w:r>
                            <w:rPr>
                              <w:b/>
                            </w:rPr>
                            <w:t>Whitlam Institute within Western Sydney University Limited</w:t>
                          </w:r>
                        </w:p>
                        <w:p w14:paraId="6E0425FB" w14:textId="77777777" w:rsidR="001F3ACE" w:rsidRDefault="001F3ACE">
                          <w:pPr>
                            <w:spacing w:before="56"/>
                            <w:ind w:left="20"/>
                            <w:rPr>
                              <w:b/>
                              <w:sz w:val="20"/>
                            </w:rPr>
                          </w:pPr>
                          <w:r>
                            <w:rPr>
                              <w:b/>
                              <w:sz w:val="20"/>
                            </w:rPr>
                            <w:t>ABN: 50 100 342 309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7024DF" id="_x0000_t202" coordsize="21600,21600" o:spt="202" path="m,l,21600r21600,l21600,xe">
              <v:stroke joinstyle="miter"/>
              <v:path gradientshapeok="t" o:connecttype="rect"/>
            </v:shapetype>
            <v:shape id="Text Box 58" o:spid="_x0000_s1151" type="#_x0000_t202" style="position:absolute;margin-left:49.4pt;margin-top:49.85pt;width:311.95pt;height:28.6pt;z-index:-405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" filled="f" stroked="f">
              <v:textbox inset="0,0,0,0">
                <w:txbxContent>
                  <w:p w14:paraId="725CD27E" w14:textId="77777777" w:rsidR="001F3ACE" w:rsidRDefault="001F3ACE">
                    <w:pPr>
                      <w:spacing w:before="12"/>
                      <w:ind w:left="20"/>
                      <w:rPr>
                        <w:b/>
                      </w:rPr>
                    </w:pPr>
                    <w:r>
                      <w:rPr>
                        <w:b/>
                      </w:rPr>
                      <w:t>Whitlam Institute within Western Sydney University Limited</w:t>
                    </w:r>
                  </w:p>
                  <w:p w14:paraId="6E0425FB" w14:textId="77777777" w:rsidR="001F3ACE" w:rsidRDefault="001F3ACE">
                    <w:pPr>
                      <w:spacing w:before="56"/>
                      <w:ind w:left="20"/>
                      <w:rPr>
                        <w:b/>
                        <w:sz w:val="20"/>
                      </w:rPr>
                    </w:pPr>
                    <w:r>
                      <w:rPr>
                        <w:b/>
                        <w:sz w:val="20"/>
                      </w:rPr>
                      <w:t>ABN: 50 100 342 309</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6316BE"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65568" behindDoc="1" locked="0" layoutInCell="1" allowOverlap="1" wp14:anchorId="3E0F1CBD" wp14:editId="64CE4491">
              <wp:simplePos x="0" y="0"/>
              <wp:positionH relativeFrom="page">
                <wp:posOffset>627380</wp:posOffset>
              </wp:positionH>
              <wp:positionV relativeFrom="page">
                <wp:posOffset>633095</wp:posOffset>
              </wp:positionV>
              <wp:extent cx="3961765" cy="363220"/>
              <wp:effectExtent l="0" t="0" r="0" b="0"/>
              <wp:wrapNone/>
              <wp:docPr id="11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1765"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D385F" w14:textId="77777777" w:rsidR="001F3ACE" w:rsidRDefault="001F3ACE">
                          <w:pPr>
                            <w:spacing w:before="12"/>
                            <w:ind w:left="20"/>
                            <w:rPr>
                              <w:b/>
                            </w:rPr>
                          </w:pPr>
                          <w:r>
                            <w:rPr>
                              <w:b/>
                            </w:rPr>
                            <w:t>Whitlam Institute within Western Sydney University Limited</w:t>
                          </w:r>
                        </w:p>
                        <w:p w14:paraId="0F688282" w14:textId="77777777" w:rsidR="001F3ACE" w:rsidRDefault="001F3ACE">
                          <w:pPr>
                            <w:spacing w:before="56"/>
                            <w:ind w:left="20"/>
                            <w:rPr>
                              <w:b/>
                              <w:sz w:val="20"/>
                            </w:rPr>
                          </w:pPr>
                          <w:r>
                            <w:rPr>
                              <w:b/>
                              <w:sz w:val="20"/>
                            </w:rPr>
                            <w:t>ABN: 50 100 342 309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0F1CBD" id="_x0000_t202" coordsize="21600,21600" o:spt="202" path="m,l,21600r21600,l21600,xe">
              <v:stroke joinstyle="miter"/>
              <v:path gradientshapeok="t" o:connecttype="rect"/>
            </v:shapetype>
            <v:shape id="Text Box 56" o:spid="_x0000_s1153" type="#_x0000_t202" style="position:absolute;margin-left:49.4pt;margin-top:49.85pt;width:311.95pt;height:28.6pt;z-index:-4055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" filled="f" stroked="f">
              <v:textbox inset="0,0,0,0">
                <w:txbxContent>
                  <w:p w14:paraId="6AFD385F" w14:textId="77777777" w:rsidR="001F3ACE" w:rsidRDefault="001F3ACE">
                    <w:pPr>
                      <w:spacing w:before="12"/>
                      <w:ind w:left="20"/>
                      <w:rPr>
                        <w:b/>
                      </w:rPr>
                    </w:pPr>
                    <w:r>
                      <w:rPr>
                        <w:b/>
                      </w:rPr>
                      <w:t>Whitlam Institute within Western Sydney University Limited</w:t>
                    </w:r>
                  </w:p>
                  <w:p w14:paraId="0F688282" w14:textId="77777777" w:rsidR="001F3ACE" w:rsidRDefault="001F3ACE">
                    <w:pPr>
                      <w:spacing w:before="56"/>
                      <w:ind w:left="20"/>
                      <w:rPr>
                        <w:b/>
                        <w:sz w:val="20"/>
                      </w:rPr>
                    </w:pPr>
                    <w:r>
                      <w:rPr>
                        <w:b/>
                        <w:sz w:val="20"/>
                      </w:rPr>
                      <w:t>ABN: 50 100 342 309</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462766080" behindDoc="1" locked="0" layoutInCell="1" allowOverlap="1" wp14:anchorId="58295A92" wp14:editId="45848275">
              <wp:simplePos x="0" y="0"/>
              <wp:positionH relativeFrom="page">
                <wp:posOffset>627380</wp:posOffset>
              </wp:positionH>
              <wp:positionV relativeFrom="page">
                <wp:posOffset>1191895</wp:posOffset>
              </wp:positionV>
              <wp:extent cx="2807970" cy="421005"/>
              <wp:effectExtent l="0" t="0" r="0" b="0"/>
              <wp:wrapNone/>
              <wp:docPr id="11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970" cy="42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EE81F" w14:textId="77777777" w:rsidR="001F3ACE" w:rsidRDefault="001F3ACE">
                          <w:pPr>
                            <w:spacing w:before="10"/>
                            <w:ind w:left="20"/>
                            <w:rPr>
                              <w:b/>
                              <w:sz w:val="28"/>
                            </w:rPr>
                          </w:pPr>
                          <w:r>
                            <w:rPr>
                              <w:b/>
                              <w:sz w:val="28"/>
                            </w:rPr>
                            <w:t>Notes to the financial statements</w:t>
                          </w:r>
                        </w:p>
                        <w:p w14:paraId="5CCBF9E7" w14:textId="77777777" w:rsidR="001F3ACE" w:rsidRDefault="001F3ACE">
                          <w:pPr>
                            <w:spacing w:before="57"/>
                            <w:ind w:left="20"/>
                            <w:rPr>
                              <w:b/>
                            </w:rPr>
                          </w:pPr>
                          <w:r>
                            <w:rPr>
                              <w:b/>
                            </w:rPr>
                            <w:t>For the year ended 31 December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95A92" id="Text Box 55" o:spid="_x0000_s1154" type="#_x0000_t202" style="position:absolute;margin-left:49.4pt;margin-top:93.85pt;width:221.1pt;height:33.15pt;z-index:-4055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" filled="f" stroked="f">
              <v:textbox inset="0,0,0,0">
                <w:txbxContent>
                  <w:p w14:paraId="7F6EE81F" w14:textId="77777777" w:rsidR="001F3ACE" w:rsidRDefault="001F3ACE">
                    <w:pPr>
                      <w:spacing w:before="10"/>
                      <w:ind w:left="20"/>
                      <w:rPr>
                        <w:b/>
                        <w:sz w:val="28"/>
                      </w:rPr>
                    </w:pPr>
                    <w:r>
                      <w:rPr>
                        <w:b/>
                        <w:sz w:val="28"/>
                      </w:rPr>
                      <w:t>Notes to the financial statements</w:t>
                    </w:r>
                  </w:p>
                  <w:p w14:paraId="5CCBF9E7" w14:textId="77777777" w:rsidR="001F3ACE" w:rsidRDefault="001F3ACE">
                    <w:pPr>
                      <w:spacing w:before="57"/>
                      <w:ind w:left="20"/>
                      <w:rPr>
                        <w:b/>
                      </w:rPr>
                    </w:pPr>
                    <w:r>
                      <w:rPr>
                        <w:b/>
                      </w:rPr>
                      <w:t>For the year ended 31 December 2018</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E74998" w14:textId="77777777" w:rsidR="001F3ACE" w:rsidRDefault="001F3ACE">
    <w:pPr>
      <w:pStyle w:val="BodyText"/>
      <w:spacing w:line="14" w:lineRule="auto"/>
      <w:rPr>
        <w:sz w:val="2"/>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212F72" w14:textId="77777777" w:rsidR="001F3ACE" w:rsidRDefault="001F3ACE">
    <w:pPr>
      <w:pStyle w:val="BodyText"/>
      <w:spacing w:line="14" w:lineRule="auto"/>
      <w:rPr>
        <w:sz w:val="2"/>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D6C5E9" w14:textId="77777777" w:rsidR="001F3ACE" w:rsidRDefault="001F3ACE">
    <w:pPr>
      <w:pStyle w:val="BodyText"/>
      <w:spacing w:line="14" w:lineRule="auto"/>
      <w:rPr>
        <w:sz w:val="2"/>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B630B8" w14:textId="77777777" w:rsidR="001F3ACE" w:rsidRDefault="001F3ACE">
    <w:pPr>
      <w:pStyle w:val="BodyText"/>
      <w:spacing w:line="14" w:lineRule="auto"/>
      <w:rPr>
        <w:sz w:val="2"/>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B095B6"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67616" behindDoc="1" locked="0" layoutInCell="1" allowOverlap="1" wp14:anchorId="0DE3425D" wp14:editId="6275A6B3">
              <wp:simplePos x="0" y="0"/>
              <wp:positionH relativeFrom="page">
                <wp:posOffset>627380</wp:posOffset>
              </wp:positionH>
              <wp:positionV relativeFrom="page">
                <wp:posOffset>633095</wp:posOffset>
              </wp:positionV>
              <wp:extent cx="3837940" cy="377825"/>
              <wp:effectExtent l="0" t="0" r="0" b="0"/>
              <wp:wrapNone/>
              <wp:docPr id="10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7940"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BC56A" w14:textId="77777777" w:rsidR="001F3ACE" w:rsidRDefault="001F3ACE">
                          <w:pPr>
                            <w:spacing w:before="12"/>
                            <w:ind w:left="20"/>
                            <w:rPr>
                              <w:b/>
                            </w:rPr>
                          </w:pPr>
                          <w:r>
                            <w:rPr>
                              <w:b/>
                            </w:rPr>
                            <w:t>Whitlam Institute Within Western Sydney University Trust</w:t>
                          </w:r>
                        </w:p>
                        <w:p w14:paraId="56B1428E" w14:textId="77777777" w:rsidR="001F3ACE" w:rsidRDefault="001F3ACE">
                          <w:pPr>
                            <w:spacing w:before="57"/>
                            <w:ind w:left="20"/>
                            <w:rPr>
                              <w:b/>
                            </w:rPr>
                          </w:pPr>
                          <w:r>
                            <w:rPr>
                              <w:b/>
                            </w:rPr>
                            <w:t>ABN: 42 247 216 279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E3425D" id="_x0000_t202" coordsize="21600,21600" o:spt="202" path="m,l,21600r21600,l21600,xe">
              <v:stroke joinstyle="miter"/>
              <v:path gradientshapeok="t" o:connecttype="rect"/>
            </v:shapetype>
            <v:shape id="Text Box 52" o:spid="_x0000_s1157" type="#_x0000_t202" style="position:absolute;margin-left:49.4pt;margin-top:49.85pt;width:302.2pt;height:29.75pt;z-index:-4054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" filled="f" stroked="f">
              <v:textbox inset="0,0,0,0">
                <w:txbxContent>
                  <w:p w14:paraId="375BC56A" w14:textId="77777777" w:rsidR="001F3ACE" w:rsidRDefault="001F3ACE">
                    <w:pPr>
                      <w:spacing w:before="12"/>
                      <w:ind w:left="20"/>
                      <w:rPr>
                        <w:b/>
                      </w:rPr>
                    </w:pPr>
                    <w:r>
                      <w:rPr>
                        <w:b/>
                      </w:rPr>
                      <w:t>Whitlam Institute Within Western Sydney University Trust</w:t>
                    </w:r>
                  </w:p>
                  <w:p w14:paraId="56B1428E" w14:textId="77777777" w:rsidR="001F3ACE" w:rsidRDefault="001F3ACE">
                    <w:pPr>
                      <w:spacing w:before="57"/>
                      <w:ind w:left="20"/>
                      <w:rPr>
                        <w:b/>
                      </w:rPr>
                    </w:pPr>
                    <w:r>
                      <w:rPr>
                        <w:b/>
                      </w:rPr>
                      <w:t>ABN: 42 247 216 279</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462768128" behindDoc="1" locked="0" layoutInCell="1" allowOverlap="1" wp14:anchorId="568914B7" wp14:editId="63EC9BB3">
              <wp:simplePos x="0" y="0"/>
              <wp:positionH relativeFrom="page">
                <wp:posOffset>627380</wp:posOffset>
              </wp:positionH>
              <wp:positionV relativeFrom="page">
                <wp:posOffset>1206500</wp:posOffset>
              </wp:positionV>
              <wp:extent cx="2529840" cy="421005"/>
              <wp:effectExtent l="0" t="0" r="0" b="0"/>
              <wp:wrapNone/>
              <wp:docPr id="10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42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06C80" w14:textId="77777777" w:rsidR="001F3ACE" w:rsidRDefault="001F3ACE">
                          <w:pPr>
                            <w:spacing w:before="10"/>
                            <w:ind w:left="20"/>
                            <w:rPr>
                              <w:b/>
                              <w:sz w:val="28"/>
                            </w:rPr>
                          </w:pPr>
                          <w:r>
                            <w:rPr>
                              <w:b/>
                              <w:sz w:val="28"/>
                            </w:rPr>
                            <w:t>Trustees' report</w:t>
                          </w:r>
                        </w:p>
                        <w:p w14:paraId="1D7F2924" w14:textId="77777777" w:rsidR="001F3ACE" w:rsidRDefault="001F3ACE">
                          <w:pPr>
                            <w:spacing w:before="57"/>
                            <w:ind w:left="20"/>
                            <w:rPr>
                              <w:b/>
                            </w:rPr>
                          </w:pPr>
                          <w:r>
                            <w:rPr>
                              <w:b/>
                            </w:rPr>
                            <w:t>For the year ended 31 December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914B7" id="Text Box 51" o:spid="_x0000_s1158" type="#_x0000_t202" style="position:absolute;margin-left:49.4pt;margin-top:95pt;width:199.2pt;height:33.15pt;z-index:-4054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" filled="f" stroked="f">
              <v:textbox inset="0,0,0,0">
                <w:txbxContent>
                  <w:p w14:paraId="37F06C80" w14:textId="77777777" w:rsidR="001F3ACE" w:rsidRDefault="001F3ACE">
                    <w:pPr>
                      <w:spacing w:before="10"/>
                      <w:ind w:left="20"/>
                      <w:rPr>
                        <w:b/>
                        <w:sz w:val="28"/>
                      </w:rPr>
                    </w:pPr>
                    <w:r>
                      <w:rPr>
                        <w:b/>
                        <w:sz w:val="28"/>
                      </w:rPr>
                      <w:t>Trustees' report</w:t>
                    </w:r>
                  </w:p>
                  <w:p w14:paraId="1D7F2924" w14:textId="77777777" w:rsidR="001F3ACE" w:rsidRDefault="001F3ACE">
                    <w:pPr>
                      <w:spacing w:before="57"/>
                      <w:ind w:left="20"/>
                      <w:rPr>
                        <w:b/>
                      </w:rPr>
                    </w:pPr>
                    <w:r>
                      <w:rPr>
                        <w:b/>
                      </w:rPr>
                      <w:t>For the year ended 31 December 2018</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AE278A"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69152" behindDoc="1" locked="0" layoutInCell="1" allowOverlap="1" wp14:anchorId="6C9AAE3E" wp14:editId="051B6741">
              <wp:simplePos x="0" y="0"/>
              <wp:positionH relativeFrom="page">
                <wp:posOffset>627380</wp:posOffset>
              </wp:positionH>
              <wp:positionV relativeFrom="page">
                <wp:posOffset>633095</wp:posOffset>
              </wp:positionV>
              <wp:extent cx="3837940" cy="377825"/>
              <wp:effectExtent l="0" t="0" r="0" b="0"/>
              <wp:wrapNone/>
              <wp:docPr id="9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7940"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8B7C7" w14:textId="77777777" w:rsidR="001F3ACE" w:rsidRDefault="001F3ACE">
                          <w:pPr>
                            <w:spacing w:before="12"/>
                            <w:ind w:left="20"/>
                            <w:rPr>
                              <w:b/>
                            </w:rPr>
                          </w:pPr>
                          <w:r>
                            <w:rPr>
                              <w:b/>
                            </w:rPr>
                            <w:t>Whitlam Institute Within Western Sydney University Trust</w:t>
                          </w:r>
                        </w:p>
                        <w:p w14:paraId="037F3E83" w14:textId="77777777" w:rsidR="001F3ACE" w:rsidRDefault="001F3ACE">
                          <w:pPr>
                            <w:spacing w:before="57"/>
                            <w:ind w:left="20"/>
                            <w:rPr>
                              <w:b/>
                            </w:rPr>
                          </w:pPr>
                          <w:r>
                            <w:rPr>
                              <w:b/>
                            </w:rPr>
                            <w:t>ABN: 42 247 216 279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9AAE3E" id="_x0000_t202" coordsize="21600,21600" o:spt="202" path="m,l,21600r21600,l21600,xe">
              <v:stroke joinstyle="miter"/>
              <v:path gradientshapeok="t" o:connecttype="rect"/>
            </v:shapetype>
            <v:shape id="Text Box 49" o:spid="_x0000_s1160" type="#_x0000_t202" style="position:absolute;margin-left:49.4pt;margin-top:49.85pt;width:302.2pt;height:29.75pt;z-index:-4054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" filled="f" stroked="f">
              <v:textbox inset="0,0,0,0">
                <w:txbxContent>
                  <w:p w14:paraId="6208B7C7" w14:textId="77777777" w:rsidR="001F3ACE" w:rsidRDefault="001F3ACE">
                    <w:pPr>
                      <w:spacing w:before="12"/>
                      <w:ind w:left="20"/>
                      <w:rPr>
                        <w:b/>
                      </w:rPr>
                    </w:pPr>
                    <w:r>
                      <w:rPr>
                        <w:b/>
                      </w:rPr>
                      <w:t>Whitlam Institute Within Western Sydney University Trust</w:t>
                    </w:r>
                  </w:p>
                  <w:p w14:paraId="037F3E83" w14:textId="77777777" w:rsidR="001F3ACE" w:rsidRDefault="001F3ACE">
                    <w:pPr>
                      <w:spacing w:before="57"/>
                      <w:ind w:left="20"/>
                      <w:rPr>
                        <w:b/>
                      </w:rPr>
                    </w:pPr>
                    <w:r>
                      <w:rPr>
                        <w:b/>
                      </w:rPr>
                      <w:t>ABN: 42 247 216 279</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A60F48"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21024" behindDoc="1" locked="0" layoutInCell="1" allowOverlap="1" wp14:anchorId="3536899D" wp14:editId="084A0CA1">
              <wp:simplePos x="0" y="0"/>
              <wp:positionH relativeFrom="page">
                <wp:posOffset>627380</wp:posOffset>
              </wp:positionH>
              <wp:positionV relativeFrom="page">
                <wp:posOffset>632460</wp:posOffset>
              </wp:positionV>
              <wp:extent cx="1825625" cy="182245"/>
              <wp:effectExtent l="0" t="0" r="0" b="0"/>
              <wp:wrapNone/>
              <wp:docPr id="226"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562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3F8F9" w14:textId="77777777" w:rsidR="001F3ACE" w:rsidRDefault="001F3ACE">
                          <w:pPr>
                            <w:spacing w:before="13"/>
                            <w:ind w:left="20"/>
                            <w:rPr>
                              <w:b/>
                            </w:rPr>
                          </w:pPr>
                          <w:r>
                            <w:rPr>
                              <w:b/>
                            </w:rPr>
                            <w:t>Western Sydney University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36899D" id="_x0000_t202" coordsize="21600,21600" o:spt="202" path="m,l,21600r21600,l21600,xe">
              <v:stroke joinstyle="miter"/>
              <v:path gradientshapeok="t" o:connecttype="rect"/>
            </v:shapetype>
            <v:shape id="Text Box 143" o:spid="_x0000_s1066" type="#_x0000_t202" style="position:absolute;margin-left:49.4pt;margin-top:49.8pt;width:143.75pt;height:14.35pt;z-index:-4059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" filled="f" stroked="f">
              <v:textbox inset="0,0,0,0">
                <w:txbxContent>
                  <w:p w14:paraId="12D3F8F9" w14:textId="77777777" w:rsidR="001F3ACE" w:rsidRDefault="001F3ACE">
                    <w:pPr>
                      <w:spacing w:before="13"/>
                      <w:ind w:left="20"/>
                      <w:rPr>
                        <w:b/>
                      </w:rPr>
                    </w:pPr>
                    <w:r>
                      <w:rPr>
                        <w:b/>
                      </w:rPr>
                      <w:t>Western Sydney University</w:t>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71C5F8"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70176" behindDoc="1" locked="0" layoutInCell="1" allowOverlap="1" wp14:anchorId="4A81F42F" wp14:editId="7681834A">
              <wp:simplePos x="0" y="0"/>
              <wp:positionH relativeFrom="page">
                <wp:posOffset>627380</wp:posOffset>
              </wp:positionH>
              <wp:positionV relativeFrom="page">
                <wp:posOffset>633095</wp:posOffset>
              </wp:positionV>
              <wp:extent cx="3837940" cy="377825"/>
              <wp:effectExtent l="0" t="0" r="0" b="0"/>
              <wp:wrapNone/>
              <wp:docPr id="9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7940"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86A95" w14:textId="77777777" w:rsidR="001F3ACE" w:rsidRDefault="001F3ACE">
                          <w:pPr>
                            <w:spacing w:before="12"/>
                            <w:ind w:left="20"/>
                            <w:rPr>
                              <w:b/>
                            </w:rPr>
                          </w:pPr>
                          <w:r>
                            <w:rPr>
                              <w:b/>
                            </w:rPr>
                            <w:t>Whitlam Institute Within Western Sydney University Trust</w:t>
                          </w:r>
                        </w:p>
                        <w:p w14:paraId="728DB24A" w14:textId="77777777" w:rsidR="001F3ACE" w:rsidRDefault="001F3ACE">
                          <w:pPr>
                            <w:spacing w:before="57"/>
                            <w:ind w:left="20"/>
                            <w:rPr>
                              <w:b/>
                            </w:rPr>
                          </w:pPr>
                          <w:r>
                            <w:rPr>
                              <w:b/>
                            </w:rPr>
                            <w:t>ABN: 42 247 216 279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81F42F" id="_x0000_t202" coordsize="21600,21600" o:spt="202" path="m,l,21600r21600,l21600,xe">
              <v:stroke joinstyle="miter"/>
              <v:path gradientshapeok="t" o:connecttype="rect"/>
            </v:shapetype>
            <v:shape id="Text Box 47" o:spid="_x0000_s1162" type="#_x0000_t202" style="position:absolute;margin-left:49.4pt;margin-top:49.85pt;width:302.2pt;height:29.75pt;z-index:-4054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" filled="f" stroked="f">
              <v:textbox inset="0,0,0,0">
                <w:txbxContent>
                  <w:p w14:paraId="5D286A95" w14:textId="77777777" w:rsidR="001F3ACE" w:rsidRDefault="001F3ACE">
                    <w:pPr>
                      <w:spacing w:before="12"/>
                      <w:ind w:left="20"/>
                      <w:rPr>
                        <w:b/>
                      </w:rPr>
                    </w:pPr>
                    <w:r>
                      <w:rPr>
                        <w:b/>
                      </w:rPr>
                      <w:t>Whitlam Institute Within Western Sydney University Trust</w:t>
                    </w:r>
                  </w:p>
                  <w:p w14:paraId="728DB24A" w14:textId="77777777" w:rsidR="001F3ACE" w:rsidRDefault="001F3ACE">
                    <w:pPr>
                      <w:spacing w:before="57"/>
                      <w:ind w:left="20"/>
                      <w:rPr>
                        <w:b/>
                      </w:rPr>
                    </w:pPr>
                    <w:r>
                      <w:rPr>
                        <w:b/>
                      </w:rPr>
                      <w:t>ABN: 42 247 216 279</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462770688" behindDoc="1" locked="0" layoutInCell="1" allowOverlap="1" wp14:anchorId="6196B461" wp14:editId="6D92C8E0">
              <wp:simplePos x="0" y="0"/>
              <wp:positionH relativeFrom="page">
                <wp:posOffset>627380</wp:posOffset>
              </wp:positionH>
              <wp:positionV relativeFrom="page">
                <wp:posOffset>1206500</wp:posOffset>
              </wp:positionV>
              <wp:extent cx="2807970" cy="421005"/>
              <wp:effectExtent l="0" t="0" r="0" b="0"/>
              <wp:wrapNone/>
              <wp:docPr id="9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970" cy="42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CA147" w14:textId="77777777" w:rsidR="001F3ACE" w:rsidRDefault="001F3ACE">
                          <w:pPr>
                            <w:spacing w:before="10"/>
                            <w:ind w:left="20"/>
                            <w:rPr>
                              <w:b/>
                              <w:sz w:val="28"/>
                            </w:rPr>
                          </w:pPr>
                          <w:r>
                            <w:rPr>
                              <w:b/>
                              <w:sz w:val="28"/>
                            </w:rPr>
                            <w:t>Notes to the financial statements</w:t>
                          </w:r>
                        </w:p>
                        <w:p w14:paraId="54140199" w14:textId="77777777" w:rsidR="001F3ACE" w:rsidRDefault="001F3ACE">
                          <w:pPr>
                            <w:spacing w:before="57"/>
                            <w:ind w:left="20"/>
                            <w:rPr>
                              <w:b/>
                            </w:rPr>
                          </w:pPr>
                          <w:r>
                            <w:rPr>
                              <w:b/>
                            </w:rPr>
                            <w:t>For the Year Ended 31 December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6B461" id="Text Box 46" o:spid="_x0000_s1163" type="#_x0000_t202" style="position:absolute;margin-left:49.4pt;margin-top:95pt;width:221.1pt;height:33.15pt;z-index:-4054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" filled="f" stroked="f">
              <v:textbox inset="0,0,0,0">
                <w:txbxContent>
                  <w:p w14:paraId="5E8CA147" w14:textId="77777777" w:rsidR="001F3ACE" w:rsidRDefault="001F3ACE">
                    <w:pPr>
                      <w:spacing w:before="10"/>
                      <w:ind w:left="20"/>
                      <w:rPr>
                        <w:b/>
                        <w:sz w:val="28"/>
                      </w:rPr>
                    </w:pPr>
                    <w:r>
                      <w:rPr>
                        <w:b/>
                        <w:sz w:val="28"/>
                      </w:rPr>
                      <w:t>Notes to the financial statements</w:t>
                    </w:r>
                  </w:p>
                  <w:p w14:paraId="54140199" w14:textId="77777777" w:rsidR="001F3ACE" w:rsidRDefault="001F3ACE">
                    <w:pPr>
                      <w:spacing w:before="57"/>
                      <w:ind w:left="20"/>
                      <w:rPr>
                        <w:b/>
                      </w:rPr>
                    </w:pPr>
                    <w:r>
                      <w:rPr>
                        <w:b/>
                      </w:rPr>
                      <w:t>For the Year Ended 31 December 2018</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E966A6"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71712" behindDoc="1" locked="0" layoutInCell="1" allowOverlap="1" wp14:anchorId="7A3C0398" wp14:editId="6B62E6D0">
              <wp:simplePos x="0" y="0"/>
              <wp:positionH relativeFrom="page">
                <wp:posOffset>627380</wp:posOffset>
              </wp:positionH>
              <wp:positionV relativeFrom="page">
                <wp:posOffset>633095</wp:posOffset>
              </wp:positionV>
              <wp:extent cx="3837940" cy="377825"/>
              <wp:effectExtent l="0" t="0" r="0" b="0"/>
              <wp:wrapNone/>
              <wp:docPr id="8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7940"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95847" w14:textId="77777777" w:rsidR="001F3ACE" w:rsidRDefault="001F3ACE">
                          <w:pPr>
                            <w:spacing w:before="12"/>
                            <w:ind w:left="20"/>
                            <w:rPr>
                              <w:b/>
                            </w:rPr>
                          </w:pPr>
                          <w:r>
                            <w:rPr>
                              <w:b/>
                            </w:rPr>
                            <w:t>Whitlam Institute Within Western Sydney University Trust</w:t>
                          </w:r>
                        </w:p>
                        <w:p w14:paraId="292C4348" w14:textId="77777777" w:rsidR="001F3ACE" w:rsidRDefault="001F3ACE">
                          <w:pPr>
                            <w:spacing w:before="57"/>
                            <w:ind w:left="20"/>
                            <w:rPr>
                              <w:b/>
                            </w:rPr>
                          </w:pPr>
                          <w:r>
                            <w:rPr>
                              <w:b/>
                            </w:rPr>
                            <w:t>ABN: 42 247 216 279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3C0398" id="_x0000_t202" coordsize="21600,21600" o:spt="202" path="m,l,21600r21600,l21600,xe">
              <v:stroke joinstyle="miter"/>
              <v:path gradientshapeok="t" o:connecttype="rect"/>
            </v:shapetype>
            <v:shape id="Text Box 44" o:spid="_x0000_s1165" type="#_x0000_t202" style="position:absolute;margin-left:49.4pt;margin-top:49.85pt;width:302.2pt;height:29.75pt;z-index:-4054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" filled="f" stroked="f">
              <v:textbox inset="0,0,0,0">
                <w:txbxContent>
                  <w:p w14:paraId="0C295847" w14:textId="77777777" w:rsidR="001F3ACE" w:rsidRDefault="001F3ACE">
                    <w:pPr>
                      <w:spacing w:before="12"/>
                      <w:ind w:left="20"/>
                      <w:rPr>
                        <w:b/>
                      </w:rPr>
                    </w:pPr>
                    <w:r>
                      <w:rPr>
                        <w:b/>
                      </w:rPr>
                      <w:t>Whitlam Institute Within Western Sydney University Trust</w:t>
                    </w:r>
                  </w:p>
                  <w:p w14:paraId="292C4348" w14:textId="77777777" w:rsidR="001F3ACE" w:rsidRDefault="001F3ACE">
                    <w:pPr>
                      <w:spacing w:before="57"/>
                      <w:ind w:left="20"/>
                      <w:rPr>
                        <w:b/>
                      </w:rPr>
                    </w:pPr>
                    <w:r>
                      <w:rPr>
                        <w:b/>
                      </w:rPr>
                      <w:t>ABN: 42 247 216 279</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462772224" behindDoc="1" locked="0" layoutInCell="1" allowOverlap="1" wp14:anchorId="4C3D987F" wp14:editId="72101F5E">
              <wp:simplePos x="0" y="0"/>
              <wp:positionH relativeFrom="page">
                <wp:posOffset>627380</wp:posOffset>
              </wp:positionH>
              <wp:positionV relativeFrom="page">
                <wp:posOffset>1206500</wp:posOffset>
              </wp:positionV>
              <wp:extent cx="2807970" cy="421005"/>
              <wp:effectExtent l="0" t="0" r="0" b="0"/>
              <wp:wrapNone/>
              <wp:docPr id="8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970" cy="42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D8C8A" w14:textId="77777777" w:rsidR="001F3ACE" w:rsidRDefault="001F3ACE">
                          <w:pPr>
                            <w:spacing w:before="10"/>
                            <w:ind w:left="20"/>
                            <w:rPr>
                              <w:b/>
                              <w:sz w:val="28"/>
                            </w:rPr>
                          </w:pPr>
                          <w:r>
                            <w:rPr>
                              <w:b/>
                              <w:sz w:val="28"/>
                            </w:rPr>
                            <w:t>Notes to the financial statements</w:t>
                          </w:r>
                        </w:p>
                        <w:p w14:paraId="44258F81" w14:textId="77777777" w:rsidR="001F3ACE" w:rsidRDefault="001F3ACE">
                          <w:pPr>
                            <w:spacing w:before="57"/>
                            <w:ind w:left="20"/>
                            <w:rPr>
                              <w:b/>
                            </w:rPr>
                          </w:pPr>
                          <w:r>
                            <w:rPr>
                              <w:b/>
                            </w:rPr>
                            <w:t>For the Year Ended 31 December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3D987F" id="Text Box 43" o:spid="_x0000_s1166" type="#_x0000_t202" style="position:absolute;margin-left:49.4pt;margin-top:95pt;width:221.1pt;height:33.15pt;z-index:-4054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" filled="f" stroked="f">
              <v:textbox inset="0,0,0,0">
                <w:txbxContent>
                  <w:p w14:paraId="719D8C8A" w14:textId="77777777" w:rsidR="001F3ACE" w:rsidRDefault="001F3ACE">
                    <w:pPr>
                      <w:spacing w:before="10"/>
                      <w:ind w:left="20"/>
                      <w:rPr>
                        <w:b/>
                        <w:sz w:val="28"/>
                      </w:rPr>
                    </w:pPr>
                    <w:r>
                      <w:rPr>
                        <w:b/>
                        <w:sz w:val="28"/>
                      </w:rPr>
                      <w:t>Notes to the financial statements</w:t>
                    </w:r>
                  </w:p>
                  <w:p w14:paraId="44258F81" w14:textId="77777777" w:rsidR="001F3ACE" w:rsidRDefault="001F3ACE">
                    <w:pPr>
                      <w:spacing w:before="57"/>
                      <w:ind w:left="20"/>
                      <w:rPr>
                        <w:b/>
                      </w:rPr>
                    </w:pPr>
                    <w:r>
                      <w:rPr>
                        <w:b/>
                      </w:rPr>
                      <w:t>For the Year Ended 31 December 2018</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2C01D7" w14:textId="77777777" w:rsidR="001F3ACE" w:rsidRDefault="001F3ACE">
    <w:pPr>
      <w:pStyle w:val="BodyText"/>
      <w:spacing w:line="14" w:lineRule="auto"/>
      <w:rPr>
        <w:sz w:val="2"/>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0211D5" w14:textId="77777777" w:rsidR="001F3ACE" w:rsidRDefault="001F3ACE">
    <w:pPr>
      <w:pStyle w:val="BodyText"/>
      <w:spacing w:line="14" w:lineRule="auto"/>
      <w:rPr>
        <w:sz w:val="2"/>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F2C2C4" w14:textId="77777777" w:rsidR="001F3ACE" w:rsidRDefault="001F3ACE">
    <w:pPr>
      <w:pStyle w:val="BodyText"/>
      <w:spacing w:line="14" w:lineRule="auto"/>
      <w:rPr>
        <w:sz w:val="2"/>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9A0AEA" w14:textId="77777777" w:rsidR="001F3ACE" w:rsidRDefault="001F3ACE">
    <w:pPr>
      <w:pStyle w:val="BodyText"/>
      <w:spacing w:line="14" w:lineRule="auto"/>
      <w:rPr>
        <w:sz w:val="2"/>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2F02E6" w14:textId="77777777" w:rsidR="001F3ACE" w:rsidRDefault="001F3ACE">
    <w:pPr>
      <w:pStyle w:val="BodyText"/>
      <w:spacing w:line="14" w:lineRule="auto"/>
      <w:rPr>
        <w:sz w:val="2"/>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58C43E"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75808" behindDoc="1" locked="0" layoutInCell="1" allowOverlap="1" wp14:anchorId="15EA5F9E" wp14:editId="5B62F63B">
              <wp:simplePos x="0" y="0"/>
              <wp:positionH relativeFrom="page">
                <wp:posOffset>627380</wp:posOffset>
              </wp:positionH>
              <wp:positionV relativeFrom="page">
                <wp:posOffset>631825</wp:posOffset>
              </wp:positionV>
              <wp:extent cx="3456940" cy="390525"/>
              <wp:effectExtent l="0" t="0" r="0" b="0"/>
              <wp:wrapNone/>
              <wp:docPr id="7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A708C" w14:textId="77777777" w:rsidR="001F3ACE" w:rsidRDefault="001F3ACE">
                          <w:pPr>
                            <w:spacing w:before="13"/>
                            <w:ind w:left="20"/>
                            <w:rPr>
                              <w:b/>
                            </w:rPr>
                          </w:pPr>
                          <w:r>
                            <w:rPr>
                              <w:b/>
                            </w:rPr>
                            <w:t>Western Growth Developments (Westmead) Pty Ltd</w:t>
                          </w:r>
                        </w:p>
                        <w:p w14:paraId="68EC5E09" w14:textId="77777777" w:rsidR="001F3ACE" w:rsidRDefault="001F3ACE">
                          <w:pPr>
                            <w:spacing w:before="168"/>
                            <w:ind w:left="20"/>
                            <w:rPr>
                              <w:b/>
                              <w:sz w:val="14"/>
                            </w:rPr>
                          </w:pPr>
                          <w:r>
                            <w:rPr>
                              <w:b/>
                              <w:sz w:val="14"/>
                            </w:rPr>
                            <w:t>ABN: 93 625 406 411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EA5F9E" id="_x0000_t202" coordsize="21600,21600" o:spt="202" path="m,l,21600r21600,l21600,xe">
              <v:stroke joinstyle="miter"/>
              <v:path gradientshapeok="t" o:connecttype="rect"/>
            </v:shapetype>
            <v:shape id="Text Box 36" o:spid="_x0000_s1173" type="#_x0000_t202" style="position:absolute;margin-left:49.4pt;margin-top:49.75pt;width:272.2pt;height:30.75pt;z-index:-4054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" filled="f" stroked="f">
              <v:textbox inset="0,0,0,0">
                <w:txbxContent>
                  <w:p w14:paraId="1CEA708C" w14:textId="77777777" w:rsidR="001F3ACE" w:rsidRDefault="001F3ACE">
                    <w:pPr>
                      <w:spacing w:before="13"/>
                      <w:ind w:left="20"/>
                      <w:rPr>
                        <w:b/>
                      </w:rPr>
                    </w:pPr>
                    <w:r>
                      <w:rPr>
                        <w:b/>
                      </w:rPr>
                      <w:t>Western Growth Developments (Westmead) Pty Ltd</w:t>
                    </w:r>
                  </w:p>
                  <w:p w14:paraId="68EC5E09" w14:textId="77777777" w:rsidR="001F3ACE" w:rsidRDefault="001F3ACE">
                    <w:pPr>
                      <w:spacing w:before="168"/>
                      <w:ind w:left="20"/>
                      <w:rPr>
                        <w:b/>
                        <w:sz w:val="14"/>
                      </w:rPr>
                    </w:pPr>
                    <w:r>
                      <w:rPr>
                        <w:b/>
                        <w:sz w:val="14"/>
                      </w:rPr>
                      <w:t>ABN: 93 625 406 411</w:t>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5CF8BC"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76832" behindDoc="1" locked="0" layoutInCell="1" allowOverlap="1" wp14:anchorId="5ACB70CD" wp14:editId="49B355B8">
              <wp:simplePos x="0" y="0"/>
              <wp:positionH relativeFrom="page">
                <wp:posOffset>704850</wp:posOffset>
              </wp:positionH>
              <wp:positionV relativeFrom="page">
                <wp:posOffset>790575</wp:posOffset>
              </wp:positionV>
              <wp:extent cx="3325495" cy="378460"/>
              <wp:effectExtent l="0" t="0" r="0" b="0"/>
              <wp:wrapNone/>
              <wp:docPr id="6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5495" cy="378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E8F6F" w14:textId="77777777" w:rsidR="001F3ACE" w:rsidRDefault="001F3ACE">
                          <w:pPr>
                            <w:spacing w:before="13"/>
                            <w:ind w:left="20"/>
                          </w:pPr>
                          <w:r>
                            <w:rPr>
                              <w:w w:val="105"/>
                            </w:rPr>
                            <w:t>Western</w:t>
                          </w:r>
                          <w:r>
                            <w:rPr>
                              <w:spacing w:val="-28"/>
                              <w:w w:val="105"/>
                            </w:rPr>
                            <w:t xml:space="preserve"> </w:t>
                          </w:r>
                          <w:r>
                            <w:rPr>
                              <w:w w:val="105"/>
                            </w:rPr>
                            <w:t>Growth</w:t>
                          </w:r>
                          <w:r>
                            <w:rPr>
                              <w:spacing w:val="-30"/>
                              <w:w w:val="105"/>
                            </w:rPr>
                            <w:t xml:space="preserve"> </w:t>
                          </w:r>
                          <w:r>
                            <w:rPr>
                              <w:w w:val="105"/>
                            </w:rPr>
                            <w:t>Developments</w:t>
                          </w:r>
                          <w:r>
                            <w:rPr>
                              <w:spacing w:val="-16"/>
                              <w:w w:val="105"/>
                            </w:rPr>
                            <w:t xml:space="preserve"> </w:t>
                          </w:r>
                          <w:r>
                            <w:rPr>
                              <w:color w:val="0C0C0C"/>
                              <w:w w:val="105"/>
                            </w:rPr>
                            <w:t>(Westmead)</w:t>
                          </w:r>
                          <w:r>
                            <w:rPr>
                              <w:color w:val="0C0C0C"/>
                              <w:spacing w:val="-26"/>
                              <w:w w:val="105"/>
                            </w:rPr>
                            <w:t xml:space="preserve"> </w:t>
                          </w:r>
                          <w:r>
                            <w:rPr>
                              <w:color w:val="161616"/>
                              <w:w w:val="105"/>
                            </w:rPr>
                            <w:t>Pty</w:t>
                          </w:r>
                          <w:r>
                            <w:rPr>
                              <w:color w:val="161616"/>
                              <w:spacing w:val="-29"/>
                              <w:w w:val="105"/>
                            </w:rPr>
                            <w:t xml:space="preserve"> </w:t>
                          </w:r>
                          <w:r>
                            <w:rPr>
                              <w:color w:val="181818"/>
                              <w:w w:val="105"/>
                            </w:rPr>
                            <w:t>Ltd</w:t>
                          </w:r>
                        </w:p>
                        <w:p w14:paraId="685166FE" w14:textId="77777777" w:rsidR="001F3ACE" w:rsidRDefault="001F3ACE">
                          <w:pPr>
                            <w:spacing w:before="148"/>
                            <w:ind w:left="22"/>
                            <w:rPr>
                              <w:sz w:val="14"/>
                            </w:rPr>
                          </w:pPr>
                          <w:r>
                            <w:rPr>
                              <w:sz w:val="14"/>
                            </w:rPr>
                            <w:t>ABN: 93 625 406 411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CB70CD" id="_x0000_t202" coordsize="21600,21600" o:spt="202" path="m,l,21600r21600,l21600,xe">
              <v:stroke joinstyle="miter"/>
              <v:path gradientshapeok="t" o:connecttype="rect"/>
            </v:shapetype>
            <v:shape id="Text Box 34" o:spid="_x0000_s1175" type="#_x0000_t202" style="position:absolute;margin-left:55.5pt;margin-top:62.25pt;width:261.85pt;height:29.8pt;z-index:-4053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" filled="f" stroked="f">
              <v:textbox inset="0,0,0,0">
                <w:txbxContent>
                  <w:p w14:paraId="4E7E8F6F" w14:textId="77777777" w:rsidR="001F3ACE" w:rsidRDefault="001F3ACE">
                    <w:pPr>
                      <w:spacing w:before="13"/>
                      <w:ind w:left="20"/>
                    </w:pPr>
                    <w:r>
                      <w:rPr>
                        <w:w w:val="105"/>
                      </w:rPr>
                      <w:t>Western</w:t>
                    </w:r>
                    <w:r>
                      <w:rPr>
                        <w:spacing w:val="-28"/>
                        <w:w w:val="105"/>
                      </w:rPr>
                      <w:t xml:space="preserve"> </w:t>
                    </w:r>
                    <w:r>
                      <w:rPr>
                        <w:w w:val="105"/>
                      </w:rPr>
                      <w:t>Growth</w:t>
                    </w:r>
                    <w:r>
                      <w:rPr>
                        <w:spacing w:val="-30"/>
                        <w:w w:val="105"/>
                      </w:rPr>
                      <w:t xml:space="preserve"> </w:t>
                    </w:r>
                    <w:r>
                      <w:rPr>
                        <w:w w:val="105"/>
                      </w:rPr>
                      <w:t>Developments</w:t>
                    </w:r>
                    <w:r>
                      <w:rPr>
                        <w:spacing w:val="-16"/>
                        <w:w w:val="105"/>
                      </w:rPr>
                      <w:t xml:space="preserve"> </w:t>
                    </w:r>
                    <w:r>
                      <w:rPr>
                        <w:color w:val="0C0C0C"/>
                        <w:w w:val="105"/>
                      </w:rPr>
                      <w:t>(Westmead)</w:t>
                    </w:r>
                    <w:r>
                      <w:rPr>
                        <w:color w:val="0C0C0C"/>
                        <w:spacing w:val="-26"/>
                        <w:w w:val="105"/>
                      </w:rPr>
                      <w:t xml:space="preserve"> </w:t>
                    </w:r>
                    <w:r>
                      <w:rPr>
                        <w:color w:val="161616"/>
                        <w:w w:val="105"/>
                      </w:rPr>
                      <w:t>Pty</w:t>
                    </w:r>
                    <w:r>
                      <w:rPr>
                        <w:color w:val="161616"/>
                        <w:spacing w:val="-29"/>
                        <w:w w:val="105"/>
                      </w:rPr>
                      <w:t xml:space="preserve"> </w:t>
                    </w:r>
                    <w:r>
                      <w:rPr>
                        <w:color w:val="181818"/>
                        <w:w w:val="105"/>
                      </w:rPr>
                      <w:t>Ltd</w:t>
                    </w:r>
                  </w:p>
                  <w:p w14:paraId="685166FE" w14:textId="77777777" w:rsidR="001F3ACE" w:rsidRDefault="001F3ACE">
                    <w:pPr>
                      <w:spacing w:before="148"/>
                      <w:ind w:left="22"/>
                      <w:rPr>
                        <w:sz w:val="14"/>
                      </w:rPr>
                    </w:pPr>
                    <w:r>
                      <w:rPr>
                        <w:sz w:val="14"/>
                      </w:rPr>
                      <w:t>ABN: 93 625 406 411</w:t>
                    </w: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66F701"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77856" behindDoc="1" locked="0" layoutInCell="1" allowOverlap="1" wp14:anchorId="10A12BAF" wp14:editId="12158695">
              <wp:simplePos x="0" y="0"/>
              <wp:positionH relativeFrom="page">
                <wp:posOffset>711200</wp:posOffset>
              </wp:positionH>
              <wp:positionV relativeFrom="page">
                <wp:posOffset>790575</wp:posOffset>
              </wp:positionV>
              <wp:extent cx="3325495" cy="381635"/>
              <wp:effectExtent l="0" t="0" r="0" b="0"/>
              <wp:wrapNone/>
              <wp:docPr id="6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5495"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E42C5" w14:textId="77777777" w:rsidR="001F3ACE" w:rsidRDefault="001F3ACE">
                          <w:pPr>
                            <w:spacing w:before="13"/>
                            <w:ind w:left="20"/>
                          </w:pPr>
                          <w:r>
                            <w:rPr>
                              <w:color w:val="0C0C0C"/>
                            </w:rPr>
                            <w:t xml:space="preserve">Western </w:t>
                          </w:r>
                          <w:r>
                            <w:t xml:space="preserve">Growth Developments (Westmead) </w:t>
                          </w:r>
                          <w:r>
                            <w:rPr>
                              <w:color w:val="181818"/>
                            </w:rPr>
                            <w:t xml:space="preserve">Pty </w:t>
                          </w:r>
                          <w:r>
                            <w:rPr>
                              <w:color w:val="1A1A1A"/>
                            </w:rPr>
                            <w:t>Ltd</w:t>
                          </w:r>
                        </w:p>
                        <w:p w14:paraId="23643A16" w14:textId="77777777" w:rsidR="001F3ACE" w:rsidRDefault="001F3ACE">
                          <w:pPr>
                            <w:spacing w:before="153"/>
                            <w:ind w:left="22"/>
                            <w:rPr>
                              <w:sz w:val="14"/>
                            </w:rPr>
                          </w:pPr>
                          <w:r>
                            <w:rPr>
                              <w:sz w:val="14"/>
                            </w:rPr>
                            <w:t>ABN</w:t>
                          </w:r>
                          <w:r>
                            <w:rPr>
                              <w:color w:val="212121"/>
                              <w:sz w:val="14"/>
                            </w:rPr>
                            <w:t xml:space="preserve">: </w:t>
                          </w:r>
                          <w:r>
                            <w:rPr>
                              <w:sz w:val="14"/>
                            </w:rPr>
                            <w:t>93 6ZS 406 411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A12BAF" id="_x0000_t202" coordsize="21600,21600" o:spt="202" path="m,l,21600r21600,l21600,xe">
              <v:stroke joinstyle="miter"/>
              <v:path gradientshapeok="t" o:connecttype="rect"/>
            </v:shapetype>
            <v:shape id="Text Box 32" o:spid="_x0000_s1177" type="#_x0000_t202" style="position:absolute;margin-left:56pt;margin-top:62.25pt;width:261.85pt;height:30.05pt;z-index:-4053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" filled="f" stroked="f">
              <v:textbox inset="0,0,0,0">
                <w:txbxContent>
                  <w:p w14:paraId="264E42C5" w14:textId="77777777" w:rsidR="001F3ACE" w:rsidRDefault="001F3ACE">
                    <w:pPr>
                      <w:spacing w:before="13"/>
                      <w:ind w:left="20"/>
                    </w:pPr>
                    <w:r>
                      <w:rPr>
                        <w:color w:val="0C0C0C"/>
                      </w:rPr>
                      <w:t xml:space="preserve">Western </w:t>
                    </w:r>
                    <w:r>
                      <w:t xml:space="preserve">Growth Developments (Westmead) </w:t>
                    </w:r>
                    <w:r>
                      <w:rPr>
                        <w:color w:val="181818"/>
                      </w:rPr>
                      <w:t xml:space="preserve">Pty </w:t>
                    </w:r>
                    <w:r>
                      <w:rPr>
                        <w:color w:val="1A1A1A"/>
                      </w:rPr>
                      <w:t>Ltd</w:t>
                    </w:r>
                  </w:p>
                  <w:p w14:paraId="23643A16" w14:textId="77777777" w:rsidR="001F3ACE" w:rsidRDefault="001F3ACE">
                    <w:pPr>
                      <w:spacing w:before="153"/>
                      <w:ind w:left="22"/>
                      <w:rPr>
                        <w:sz w:val="14"/>
                      </w:rPr>
                    </w:pPr>
                    <w:r>
                      <w:rPr>
                        <w:sz w:val="14"/>
                      </w:rPr>
                      <w:t>ABN</w:t>
                    </w:r>
                    <w:r>
                      <w:rPr>
                        <w:color w:val="212121"/>
                        <w:sz w:val="14"/>
                      </w:rPr>
                      <w:t xml:space="preserve">: </w:t>
                    </w:r>
                    <w:r>
                      <w:rPr>
                        <w:sz w:val="14"/>
                      </w:rPr>
                      <w:t>93 6ZS 406 411</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A3D189"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22048" behindDoc="1" locked="0" layoutInCell="1" allowOverlap="1" wp14:anchorId="4D6164A4" wp14:editId="2C5ED739">
              <wp:simplePos x="0" y="0"/>
              <wp:positionH relativeFrom="page">
                <wp:posOffset>627380</wp:posOffset>
              </wp:positionH>
              <wp:positionV relativeFrom="page">
                <wp:posOffset>632460</wp:posOffset>
              </wp:positionV>
              <wp:extent cx="1825625" cy="182245"/>
              <wp:effectExtent l="0" t="0" r="0" b="0"/>
              <wp:wrapNone/>
              <wp:docPr id="224"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562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D3DA0" w14:textId="77777777" w:rsidR="001F3ACE" w:rsidRDefault="001F3ACE">
                          <w:pPr>
                            <w:spacing w:before="13"/>
                            <w:ind w:left="20"/>
                            <w:rPr>
                              <w:b/>
                            </w:rPr>
                          </w:pPr>
                          <w:r>
                            <w:rPr>
                              <w:b/>
                            </w:rPr>
                            <w:t>Western Sydney University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6164A4" id="_x0000_t202" coordsize="21600,21600" o:spt="202" path="m,l,21600r21600,l21600,xe">
              <v:stroke joinstyle="miter"/>
              <v:path gradientshapeok="t" o:connecttype="rect"/>
            </v:shapetype>
            <v:shape id="Text Box 141" o:spid="_x0000_s1068" type="#_x0000_t202" style="position:absolute;margin-left:49.4pt;margin-top:49.8pt;width:143.75pt;height:14.35pt;z-index:-4059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" filled="f" stroked="f">
              <v:textbox inset="0,0,0,0">
                <w:txbxContent>
                  <w:p w14:paraId="6C1D3DA0" w14:textId="77777777" w:rsidR="001F3ACE" w:rsidRDefault="001F3ACE">
                    <w:pPr>
                      <w:spacing w:before="13"/>
                      <w:ind w:left="20"/>
                      <w:rPr>
                        <w:b/>
                      </w:rPr>
                    </w:pPr>
                    <w:r>
                      <w:rPr>
                        <w:b/>
                      </w:rPr>
                      <w:t>Western Sydney University</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462722560" behindDoc="1" locked="0" layoutInCell="1" allowOverlap="1" wp14:anchorId="4D7371E9" wp14:editId="60E5C711">
              <wp:simplePos x="0" y="0"/>
              <wp:positionH relativeFrom="page">
                <wp:posOffset>627380</wp:posOffset>
              </wp:positionH>
              <wp:positionV relativeFrom="page">
                <wp:posOffset>1009650</wp:posOffset>
              </wp:positionV>
              <wp:extent cx="2888615" cy="419735"/>
              <wp:effectExtent l="0" t="0" r="0" b="0"/>
              <wp:wrapNone/>
              <wp:docPr id="223"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8615" cy="41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19867" w14:textId="77777777" w:rsidR="001F3ACE" w:rsidRDefault="001F3ACE">
                          <w:pPr>
                            <w:spacing w:before="11"/>
                            <w:ind w:left="20"/>
                            <w:rPr>
                              <w:b/>
                              <w:sz w:val="28"/>
                            </w:rPr>
                          </w:pPr>
                          <w:r>
                            <w:rPr>
                              <w:b/>
                              <w:sz w:val="28"/>
                            </w:rPr>
                            <w:t>Notes to the Financial Statements</w:t>
                          </w:r>
                        </w:p>
                        <w:p w14:paraId="16F0A527" w14:textId="77777777" w:rsidR="001F3ACE" w:rsidRDefault="001F3ACE">
                          <w:pPr>
                            <w:spacing w:before="54"/>
                            <w:ind w:left="20"/>
                            <w:rPr>
                              <w:b/>
                            </w:rPr>
                          </w:pPr>
                          <w:r>
                            <w:rPr>
                              <w:b/>
                            </w:rPr>
                            <w:t>For the Year Ended 31 December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371E9" id="Text Box 140" o:spid="_x0000_s1069" type="#_x0000_t202" style="position:absolute;margin-left:49.4pt;margin-top:79.5pt;width:227.45pt;height:33.05pt;z-index:-4059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" filled="f" stroked="f">
              <v:textbox inset="0,0,0,0">
                <w:txbxContent>
                  <w:p w14:paraId="6E719867" w14:textId="77777777" w:rsidR="001F3ACE" w:rsidRDefault="001F3ACE">
                    <w:pPr>
                      <w:spacing w:before="11"/>
                      <w:ind w:left="20"/>
                      <w:rPr>
                        <w:b/>
                        <w:sz w:val="28"/>
                      </w:rPr>
                    </w:pPr>
                    <w:r>
                      <w:rPr>
                        <w:b/>
                        <w:sz w:val="28"/>
                      </w:rPr>
                      <w:t>Notes to the Financial Statements</w:t>
                    </w:r>
                  </w:p>
                  <w:p w14:paraId="16F0A527" w14:textId="77777777" w:rsidR="001F3ACE" w:rsidRDefault="001F3ACE">
                    <w:pPr>
                      <w:spacing w:before="54"/>
                      <w:ind w:left="20"/>
                      <w:rPr>
                        <w:b/>
                      </w:rPr>
                    </w:pPr>
                    <w:r>
                      <w:rPr>
                        <w:b/>
                      </w:rPr>
                      <w:t>For the Year Ended 31 December 2018</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2343F" w14:textId="77777777" w:rsidR="001F3ACE" w:rsidRDefault="001F3ACE">
    <w:pPr>
      <w:pStyle w:val="BodyText"/>
      <w:spacing w:line="14" w:lineRule="auto"/>
      <w:rPr>
        <w:sz w:val="2"/>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875C09"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79392" behindDoc="1" locked="0" layoutInCell="1" allowOverlap="1" wp14:anchorId="46D514DF" wp14:editId="778E7A50">
              <wp:simplePos x="0" y="0"/>
              <wp:positionH relativeFrom="page">
                <wp:posOffset>627380</wp:posOffset>
              </wp:positionH>
              <wp:positionV relativeFrom="page">
                <wp:posOffset>631825</wp:posOffset>
              </wp:positionV>
              <wp:extent cx="3456940" cy="390525"/>
              <wp:effectExtent l="0" t="0" r="0" b="0"/>
              <wp:wrapNone/>
              <wp:docPr id="5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A82D8" w14:textId="77777777" w:rsidR="001F3ACE" w:rsidRDefault="001F3ACE">
                          <w:pPr>
                            <w:spacing w:before="13"/>
                            <w:ind w:left="20"/>
                            <w:rPr>
                              <w:b/>
                            </w:rPr>
                          </w:pPr>
                          <w:r>
                            <w:rPr>
                              <w:b/>
                            </w:rPr>
                            <w:t>Western Growth Developments (Westmead) Pty Ltd</w:t>
                          </w:r>
                        </w:p>
                        <w:p w14:paraId="052A4115" w14:textId="77777777" w:rsidR="001F3ACE" w:rsidRDefault="001F3ACE">
                          <w:pPr>
                            <w:spacing w:before="168"/>
                            <w:ind w:left="20"/>
                            <w:rPr>
                              <w:b/>
                              <w:sz w:val="14"/>
                            </w:rPr>
                          </w:pPr>
                          <w:r>
                            <w:rPr>
                              <w:b/>
                              <w:sz w:val="14"/>
                            </w:rPr>
                            <w:t>ABN: 93 625 406 411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D514DF" id="_x0000_t202" coordsize="21600,21600" o:spt="202" path="m,l,21600r21600,l21600,xe">
              <v:stroke joinstyle="miter"/>
              <v:path gradientshapeok="t" o:connecttype="rect"/>
            </v:shapetype>
            <v:shape id="Text Box 29" o:spid="_x0000_s1180" type="#_x0000_t202" style="position:absolute;margin-left:49.4pt;margin-top:49.75pt;width:272.2pt;height:30.75pt;z-index:-4053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" filled="f" stroked="f">
              <v:textbox inset="0,0,0,0">
                <w:txbxContent>
                  <w:p w14:paraId="046A82D8" w14:textId="77777777" w:rsidR="001F3ACE" w:rsidRDefault="001F3ACE">
                    <w:pPr>
                      <w:spacing w:before="13"/>
                      <w:ind w:left="20"/>
                      <w:rPr>
                        <w:b/>
                      </w:rPr>
                    </w:pPr>
                    <w:r>
                      <w:rPr>
                        <w:b/>
                      </w:rPr>
                      <w:t>Western Growth Developments (Westmead) Pty Ltd</w:t>
                    </w:r>
                  </w:p>
                  <w:p w14:paraId="052A4115" w14:textId="77777777" w:rsidR="001F3ACE" w:rsidRDefault="001F3ACE">
                    <w:pPr>
                      <w:spacing w:before="168"/>
                      <w:ind w:left="20"/>
                      <w:rPr>
                        <w:b/>
                        <w:sz w:val="14"/>
                      </w:rPr>
                    </w:pPr>
                    <w:r>
                      <w:rPr>
                        <w:b/>
                        <w:sz w:val="14"/>
                      </w:rPr>
                      <w:t>ABN: 93 625 406 411</w:t>
                    </w:r>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1B8F6C" w14:textId="77777777" w:rsidR="001F3ACE" w:rsidRDefault="001F3ACE">
    <w:pPr>
      <w:pStyle w:val="BodyText"/>
      <w:spacing w:line="14" w:lineRule="auto"/>
      <w:rPr>
        <w:sz w:val="2"/>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03AA7B" w14:textId="77777777" w:rsidR="001F3ACE" w:rsidRDefault="001F3ACE">
    <w:pPr>
      <w:pStyle w:val="BodyText"/>
      <w:spacing w:line="14" w:lineRule="auto"/>
      <w:rPr>
        <w:sz w:val="2"/>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773C95" w14:textId="77777777" w:rsidR="001F3ACE" w:rsidRDefault="001F3ACE">
    <w:pPr>
      <w:pStyle w:val="BodyText"/>
      <w:spacing w:line="14" w:lineRule="auto"/>
      <w:rPr>
        <w:sz w:val="2"/>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5C98B4" w14:textId="77777777" w:rsidR="001F3ACE" w:rsidRDefault="001F3ACE">
    <w:pPr>
      <w:pStyle w:val="BodyText"/>
      <w:spacing w:line="14" w:lineRule="auto"/>
      <w:rPr>
        <w:sz w:val="2"/>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6452A" w14:textId="77777777" w:rsidR="001F3ACE" w:rsidRDefault="001F3ACE">
    <w:pPr>
      <w:pStyle w:val="BodyText"/>
      <w:spacing w:line="14" w:lineRule="auto"/>
      <w:rPr>
        <w:sz w:val="2"/>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21921B"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82976" behindDoc="1" locked="0" layoutInCell="1" allowOverlap="1" wp14:anchorId="171943A7" wp14:editId="3F451EA2">
              <wp:simplePos x="0" y="0"/>
              <wp:positionH relativeFrom="page">
                <wp:posOffset>626745</wp:posOffset>
              </wp:positionH>
              <wp:positionV relativeFrom="page">
                <wp:posOffset>631190</wp:posOffset>
              </wp:positionV>
              <wp:extent cx="4545965" cy="390525"/>
              <wp:effectExtent l="0" t="0" r="0" b="0"/>
              <wp:wrapNone/>
              <wp:docPr id="4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596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7E264" w14:textId="77777777" w:rsidR="001F3ACE" w:rsidRDefault="001F3ACE">
                          <w:pPr>
                            <w:spacing w:before="13"/>
                            <w:ind w:left="20"/>
                            <w:rPr>
                              <w:b/>
                            </w:rPr>
                          </w:pPr>
                          <w:r>
                            <w:rPr>
                              <w:b/>
                              <w:color w:val="231F20"/>
                            </w:rPr>
                            <w:t>Western Growth Developments (Innovation Hub Parramatta) Pty Ltd</w:t>
                          </w:r>
                        </w:p>
                        <w:p w14:paraId="14B50646" w14:textId="77777777" w:rsidR="001F3ACE" w:rsidRDefault="001F3ACE">
                          <w:pPr>
                            <w:spacing w:before="168"/>
                            <w:ind w:left="20"/>
                            <w:rPr>
                              <w:b/>
                              <w:sz w:val="14"/>
                            </w:rPr>
                          </w:pPr>
                          <w:r>
                            <w:rPr>
                              <w:b/>
                              <w:color w:val="231F20"/>
                              <w:sz w:val="14"/>
                            </w:rPr>
                            <w:t>ABN: 36 626 590 029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1943A7" id="_x0000_t202" coordsize="21600,21600" o:spt="202" path="m,l,21600r21600,l21600,xe">
              <v:stroke joinstyle="miter"/>
              <v:path gradientshapeok="t" o:connecttype="rect"/>
            </v:shapetype>
            <v:shape id="Text Box 22" o:spid="_x0000_s1187" type="#_x0000_t202" style="position:absolute;margin-left:49.35pt;margin-top:49.7pt;width:357.95pt;height:30.75pt;z-index:-4053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" filled="f" stroked="f">
              <v:textbox inset="0,0,0,0">
                <w:txbxContent>
                  <w:p w14:paraId="64F7E264" w14:textId="77777777" w:rsidR="001F3ACE" w:rsidRDefault="001F3ACE">
                    <w:pPr>
                      <w:spacing w:before="13"/>
                      <w:ind w:left="20"/>
                      <w:rPr>
                        <w:b/>
                      </w:rPr>
                    </w:pPr>
                    <w:r>
                      <w:rPr>
                        <w:b/>
                        <w:color w:val="231F20"/>
                      </w:rPr>
                      <w:t>Western Growth Developments (Innovation Hub Parramatta) Pty Ltd</w:t>
                    </w:r>
                  </w:p>
                  <w:p w14:paraId="14B50646" w14:textId="77777777" w:rsidR="001F3ACE" w:rsidRDefault="001F3ACE">
                    <w:pPr>
                      <w:spacing w:before="168"/>
                      <w:ind w:left="20"/>
                      <w:rPr>
                        <w:b/>
                        <w:sz w:val="14"/>
                      </w:rPr>
                    </w:pPr>
                    <w:r>
                      <w:rPr>
                        <w:b/>
                        <w:color w:val="231F20"/>
                        <w:sz w:val="14"/>
                      </w:rPr>
                      <w:t>ABN: 36 626 590 029</w:t>
                    </w:r>
                  </w:p>
                </w:txbxContent>
              </v:textbox>
              <w10:wrap anchorx="page" anchory="page"/>
            </v:shape>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04B161"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84000" behindDoc="1" locked="0" layoutInCell="1" allowOverlap="1" wp14:anchorId="3712DDD2" wp14:editId="69D49F52">
              <wp:simplePos x="0" y="0"/>
              <wp:positionH relativeFrom="page">
                <wp:posOffset>743585</wp:posOffset>
              </wp:positionH>
              <wp:positionV relativeFrom="page">
                <wp:posOffset>793115</wp:posOffset>
              </wp:positionV>
              <wp:extent cx="4367530" cy="375285"/>
              <wp:effectExtent l="0" t="0" r="0" b="0"/>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7530"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5DCA9" w14:textId="77777777" w:rsidR="001F3ACE" w:rsidRDefault="001F3ACE">
                          <w:pPr>
                            <w:spacing w:before="13"/>
                            <w:ind w:left="28"/>
                            <w:rPr>
                              <w:b/>
                              <w:sz w:val="21"/>
                            </w:rPr>
                          </w:pPr>
                          <w:r>
                            <w:rPr>
                              <w:b/>
                              <w:color w:val="151515"/>
                              <w:sz w:val="21"/>
                            </w:rPr>
                            <w:t xml:space="preserve">Western </w:t>
                          </w:r>
                          <w:r>
                            <w:rPr>
                              <w:b/>
                              <w:sz w:val="21"/>
                            </w:rPr>
                            <w:t xml:space="preserve">Growth </w:t>
                          </w:r>
                          <w:r>
                            <w:rPr>
                              <w:b/>
                              <w:color w:val="0E0E0E"/>
                              <w:sz w:val="21"/>
                            </w:rPr>
                            <w:t xml:space="preserve">Developments </w:t>
                          </w:r>
                          <w:r>
                            <w:rPr>
                              <w:b/>
                              <w:color w:val="111111"/>
                              <w:sz w:val="21"/>
                            </w:rPr>
                            <w:t xml:space="preserve">(Innovation </w:t>
                          </w:r>
                          <w:r>
                            <w:rPr>
                              <w:b/>
                              <w:color w:val="0C0C0C"/>
                              <w:sz w:val="21"/>
                            </w:rPr>
                            <w:t xml:space="preserve">Hub </w:t>
                          </w:r>
                          <w:r>
                            <w:rPr>
                              <w:b/>
                              <w:sz w:val="21"/>
                            </w:rPr>
                            <w:t xml:space="preserve">Parramatta) Pty </w:t>
                          </w:r>
                          <w:r>
                            <w:rPr>
                              <w:b/>
                              <w:color w:val="111111"/>
                              <w:sz w:val="21"/>
                            </w:rPr>
                            <w:t>Ltd</w:t>
                          </w:r>
                        </w:p>
                        <w:p w14:paraId="7F4EFA36" w14:textId="77777777" w:rsidR="001F3ACE" w:rsidRDefault="001F3ACE">
                          <w:pPr>
                            <w:spacing w:before="155"/>
                            <w:ind w:left="20"/>
                            <w:rPr>
                              <w:sz w:val="14"/>
                            </w:rPr>
                          </w:pPr>
                          <w:r>
                            <w:rPr>
                              <w:sz w:val="14"/>
                            </w:rPr>
                            <w:t>ABN: 56 626 590 029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12DDD2" id="_x0000_t202" coordsize="21600,21600" o:spt="202" path="m,l,21600r21600,l21600,xe">
              <v:stroke joinstyle="miter"/>
              <v:path gradientshapeok="t" o:connecttype="rect"/>
            </v:shapetype>
            <v:shape id="Text Box 20" o:spid="_x0000_s1189" type="#_x0000_t202" style="position:absolute;margin-left:58.55pt;margin-top:62.45pt;width:343.9pt;height:29.55pt;z-index:-4053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" filled="f" stroked="f">
              <v:textbox inset="0,0,0,0">
                <w:txbxContent>
                  <w:p w14:paraId="1AE5DCA9" w14:textId="77777777" w:rsidR="001F3ACE" w:rsidRDefault="001F3ACE">
                    <w:pPr>
                      <w:spacing w:before="13"/>
                      <w:ind w:left="28"/>
                      <w:rPr>
                        <w:b/>
                        <w:sz w:val="21"/>
                      </w:rPr>
                    </w:pPr>
                    <w:r>
                      <w:rPr>
                        <w:b/>
                        <w:color w:val="151515"/>
                        <w:sz w:val="21"/>
                      </w:rPr>
                      <w:t xml:space="preserve">Western </w:t>
                    </w:r>
                    <w:r>
                      <w:rPr>
                        <w:b/>
                        <w:sz w:val="21"/>
                      </w:rPr>
                      <w:t xml:space="preserve">Growth </w:t>
                    </w:r>
                    <w:r>
                      <w:rPr>
                        <w:b/>
                        <w:color w:val="0E0E0E"/>
                        <w:sz w:val="21"/>
                      </w:rPr>
                      <w:t xml:space="preserve">Developments </w:t>
                    </w:r>
                    <w:r>
                      <w:rPr>
                        <w:b/>
                        <w:color w:val="111111"/>
                        <w:sz w:val="21"/>
                      </w:rPr>
                      <w:t xml:space="preserve">(Innovation </w:t>
                    </w:r>
                    <w:r>
                      <w:rPr>
                        <w:b/>
                        <w:color w:val="0C0C0C"/>
                        <w:sz w:val="21"/>
                      </w:rPr>
                      <w:t xml:space="preserve">Hub </w:t>
                    </w:r>
                    <w:r>
                      <w:rPr>
                        <w:b/>
                        <w:sz w:val="21"/>
                      </w:rPr>
                      <w:t xml:space="preserve">Parramatta) Pty </w:t>
                    </w:r>
                    <w:r>
                      <w:rPr>
                        <w:b/>
                        <w:color w:val="111111"/>
                        <w:sz w:val="21"/>
                      </w:rPr>
                      <w:t>Ltd</w:t>
                    </w:r>
                  </w:p>
                  <w:p w14:paraId="7F4EFA36" w14:textId="77777777" w:rsidR="001F3ACE" w:rsidRDefault="001F3ACE">
                    <w:pPr>
                      <w:spacing w:before="155"/>
                      <w:ind w:left="20"/>
                      <w:rPr>
                        <w:sz w:val="14"/>
                      </w:rPr>
                    </w:pPr>
                    <w:r>
                      <w:rPr>
                        <w:sz w:val="14"/>
                      </w:rPr>
                      <w:t>ABN: 56 626 590 029</w:t>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BB184E"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85024" behindDoc="1" locked="0" layoutInCell="1" allowOverlap="1" wp14:anchorId="216A969A" wp14:editId="1120584E">
              <wp:simplePos x="0" y="0"/>
              <wp:positionH relativeFrom="page">
                <wp:posOffset>742950</wp:posOffset>
              </wp:positionH>
              <wp:positionV relativeFrom="page">
                <wp:posOffset>799465</wp:posOffset>
              </wp:positionV>
              <wp:extent cx="4368165" cy="371475"/>
              <wp:effectExtent l="0" t="0" r="0"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16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2C1EC" w14:textId="77777777" w:rsidR="001F3ACE" w:rsidRDefault="001F3ACE">
                          <w:pPr>
                            <w:spacing w:before="13"/>
                            <w:ind w:left="20"/>
                            <w:rPr>
                              <w:b/>
                              <w:sz w:val="21"/>
                            </w:rPr>
                          </w:pPr>
                          <w:r>
                            <w:rPr>
                              <w:b/>
                              <w:sz w:val="21"/>
                            </w:rPr>
                            <w:t xml:space="preserve">Western Growth Developments </w:t>
                          </w:r>
                          <w:r>
                            <w:rPr>
                              <w:b/>
                              <w:color w:val="0C0C0C"/>
                              <w:sz w:val="21"/>
                            </w:rPr>
                            <w:t xml:space="preserve">(Innovation </w:t>
                          </w:r>
                          <w:r>
                            <w:rPr>
                              <w:b/>
                              <w:color w:val="151515"/>
                              <w:sz w:val="21"/>
                            </w:rPr>
                            <w:t xml:space="preserve">Hub </w:t>
                          </w:r>
                          <w:r>
                            <w:rPr>
                              <w:b/>
                              <w:color w:val="1A1A1A"/>
                              <w:sz w:val="21"/>
                            </w:rPr>
                            <w:t xml:space="preserve">Parramatta) </w:t>
                          </w:r>
                          <w:r>
                            <w:rPr>
                              <w:b/>
                              <w:color w:val="232323"/>
                              <w:sz w:val="21"/>
                            </w:rPr>
                            <w:t xml:space="preserve">Pty </w:t>
                          </w:r>
                          <w:r>
                            <w:rPr>
                              <w:b/>
                              <w:color w:val="1C1C1C"/>
                              <w:sz w:val="21"/>
                            </w:rPr>
                            <w:t>Ltd</w:t>
                          </w:r>
                        </w:p>
                        <w:p w14:paraId="1D862E4A" w14:textId="77777777" w:rsidR="001F3ACE" w:rsidRDefault="001F3ACE">
                          <w:pPr>
                            <w:spacing w:before="160"/>
                            <w:ind w:left="20"/>
                            <w:rPr>
                              <w:sz w:val="13"/>
                            </w:rPr>
                          </w:pPr>
                          <w:r>
                            <w:rPr>
                              <w:w w:val="105"/>
                              <w:sz w:val="13"/>
                            </w:rPr>
                            <w:t>ABN: 36 626 690 029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6A969A" id="_x0000_t202" coordsize="21600,21600" o:spt="202" path="m,l,21600r21600,l21600,xe">
              <v:stroke joinstyle="miter"/>
              <v:path gradientshapeok="t" o:connecttype="rect"/>
            </v:shapetype>
            <v:shape id="Text Box 18" o:spid="_x0000_s1191" type="#_x0000_t202" style="position:absolute;margin-left:58.5pt;margin-top:62.95pt;width:343.95pt;height:29.25pt;z-index:-4053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" filled="f" stroked="f">
              <v:textbox inset="0,0,0,0">
                <w:txbxContent>
                  <w:p w14:paraId="1072C1EC" w14:textId="77777777" w:rsidR="001F3ACE" w:rsidRDefault="001F3ACE">
                    <w:pPr>
                      <w:spacing w:before="13"/>
                      <w:ind w:left="20"/>
                      <w:rPr>
                        <w:b/>
                        <w:sz w:val="21"/>
                      </w:rPr>
                    </w:pPr>
                    <w:r>
                      <w:rPr>
                        <w:b/>
                        <w:sz w:val="21"/>
                      </w:rPr>
                      <w:t xml:space="preserve">Western Growth Developments </w:t>
                    </w:r>
                    <w:r>
                      <w:rPr>
                        <w:b/>
                        <w:color w:val="0C0C0C"/>
                        <w:sz w:val="21"/>
                      </w:rPr>
                      <w:t xml:space="preserve">(Innovation </w:t>
                    </w:r>
                    <w:r>
                      <w:rPr>
                        <w:b/>
                        <w:color w:val="151515"/>
                        <w:sz w:val="21"/>
                      </w:rPr>
                      <w:t xml:space="preserve">Hub </w:t>
                    </w:r>
                    <w:r>
                      <w:rPr>
                        <w:b/>
                        <w:color w:val="1A1A1A"/>
                        <w:sz w:val="21"/>
                      </w:rPr>
                      <w:t xml:space="preserve">Parramatta) </w:t>
                    </w:r>
                    <w:r>
                      <w:rPr>
                        <w:b/>
                        <w:color w:val="232323"/>
                        <w:sz w:val="21"/>
                      </w:rPr>
                      <w:t xml:space="preserve">Pty </w:t>
                    </w:r>
                    <w:r>
                      <w:rPr>
                        <w:b/>
                        <w:color w:val="1C1C1C"/>
                        <w:sz w:val="21"/>
                      </w:rPr>
                      <w:t>Ltd</w:t>
                    </w:r>
                  </w:p>
                  <w:p w14:paraId="1D862E4A" w14:textId="77777777" w:rsidR="001F3ACE" w:rsidRDefault="001F3ACE">
                    <w:pPr>
                      <w:spacing w:before="160"/>
                      <w:ind w:left="20"/>
                      <w:rPr>
                        <w:sz w:val="13"/>
                      </w:rPr>
                    </w:pPr>
                    <w:r>
                      <w:rPr>
                        <w:w w:val="105"/>
                        <w:sz w:val="13"/>
                      </w:rPr>
                      <w:t>ABN: 36 626 690 029</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A34014"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23584" behindDoc="1" locked="0" layoutInCell="1" allowOverlap="1" wp14:anchorId="7517A6D6" wp14:editId="276848B8">
              <wp:simplePos x="0" y="0"/>
              <wp:positionH relativeFrom="page">
                <wp:posOffset>627380</wp:posOffset>
              </wp:positionH>
              <wp:positionV relativeFrom="page">
                <wp:posOffset>632460</wp:posOffset>
              </wp:positionV>
              <wp:extent cx="1825625" cy="182245"/>
              <wp:effectExtent l="0" t="0" r="0" b="0"/>
              <wp:wrapNone/>
              <wp:docPr id="221"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562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AFDD0" w14:textId="77777777" w:rsidR="001F3ACE" w:rsidRDefault="001F3ACE">
                          <w:pPr>
                            <w:spacing w:before="13"/>
                            <w:ind w:left="20"/>
                            <w:rPr>
                              <w:b/>
                            </w:rPr>
                          </w:pPr>
                          <w:r>
                            <w:rPr>
                              <w:b/>
                            </w:rPr>
                            <w:t>Western Sydney University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17A6D6" id="_x0000_t202" coordsize="21600,21600" o:spt="202" path="m,l,21600r21600,l21600,xe">
              <v:stroke joinstyle="miter"/>
              <v:path gradientshapeok="t" o:connecttype="rect"/>
            </v:shapetype>
            <v:shape id="Text Box 138" o:spid="_x0000_s1071" type="#_x0000_t202" style="position:absolute;margin-left:49.4pt;margin-top:49.8pt;width:143.75pt;height:14.35pt;z-index:-4059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" filled="f" stroked="f">
              <v:textbox inset="0,0,0,0">
                <w:txbxContent>
                  <w:p w14:paraId="057AFDD0" w14:textId="77777777" w:rsidR="001F3ACE" w:rsidRDefault="001F3ACE">
                    <w:pPr>
                      <w:spacing w:before="13"/>
                      <w:ind w:left="20"/>
                      <w:rPr>
                        <w:b/>
                      </w:rPr>
                    </w:pPr>
                    <w:r>
                      <w:rPr>
                        <w:b/>
                      </w:rPr>
                      <w:t>Western Sydney University</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462724096" behindDoc="1" locked="0" layoutInCell="1" allowOverlap="1" wp14:anchorId="66BA80C0" wp14:editId="1BEA31A6">
              <wp:simplePos x="0" y="0"/>
              <wp:positionH relativeFrom="page">
                <wp:posOffset>627380</wp:posOffset>
              </wp:positionH>
              <wp:positionV relativeFrom="page">
                <wp:posOffset>1009650</wp:posOffset>
              </wp:positionV>
              <wp:extent cx="2888615" cy="419735"/>
              <wp:effectExtent l="0" t="0" r="0" b="0"/>
              <wp:wrapNone/>
              <wp:docPr id="220"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8615" cy="41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5C161" w14:textId="77777777" w:rsidR="001F3ACE" w:rsidRDefault="001F3ACE">
                          <w:pPr>
                            <w:spacing w:before="11"/>
                            <w:ind w:left="20"/>
                            <w:rPr>
                              <w:b/>
                              <w:sz w:val="28"/>
                            </w:rPr>
                          </w:pPr>
                          <w:r>
                            <w:rPr>
                              <w:b/>
                              <w:sz w:val="28"/>
                            </w:rPr>
                            <w:t>Notes to the Financial Statements</w:t>
                          </w:r>
                        </w:p>
                        <w:p w14:paraId="12588480" w14:textId="77777777" w:rsidR="001F3ACE" w:rsidRDefault="001F3ACE">
                          <w:pPr>
                            <w:spacing w:before="54"/>
                            <w:ind w:left="20"/>
                            <w:rPr>
                              <w:b/>
                            </w:rPr>
                          </w:pPr>
                          <w:r>
                            <w:rPr>
                              <w:b/>
                            </w:rPr>
                            <w:t>For the Year Ended 31 December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A80C0" id="Text Box 137" o:spid="_x0000_s1072" type="#_x0000_t202" style="position:absolute;margin-left:49.4pt;margin-top:79.5pt;width:227.45pt;height:33.05pt;z-index:-4059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" filled="f" stroked="f">
              <v:textbox inset="0,0,0,0">
                <w:txbxContent>
                  <w:p w14:paraId="5C85C161" w14:textId="77777777" w:rsidR="001F3ACE" w:rsidRDefault="001F3ACE">
                    <w:pPr>
                      <w:spacing w:before="11"/>
                      <w:ind w:left="20"/>
                      <w:rPr>
                        <w:b/>
                        <w:sz w:val="28"/>
                      </w:rPr>
                    </w:pPr>
                    <w:r>
                      <w:rPr>
                        <w:b/>
                        <w:sz w:val="28"/>
                      </w:rPr>
                      <w:t>Notes to the Financial Statements</w:t>
                    </w:r>
                  </w:p>
                  <w:p w14:paraId="12588480" w14:textId="77777777" w:rsidR="001F3ACE" w:rsidRDefault="001F3ACE">
                    <w:pPr>
                      <w:spacing w:before="54"/>
                      <w:ind w:left="20"/>
                      <w:rPr>
                        <w:b/>
                      </w:rPr>
                    </w:pPr>
                    <w:r>
                      <w:rPr>
                        <w:b/>
                      </w:rPr>
                      <w:t>For the Year Ended 31 December 2018</w:t>
                    </w:r>
                  </w:p>
                </w:txbxContent>
              </v:textbox>
              <w10:wrap anchorx="page" anchory="page"/>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B77D60" w14:textId="77777777" w:rsidR="001F3ACE" w:rsidRDefault="001F3ACE">
    <w:pPr>
      <w:pStyle w:val="BodyText"/>
      <w:spacing w:line="14" w:lineRule="auto"/>
      <w:rPr>
        <w:sz w:val="2"/>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C61A3E"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86560" behindDoc="1" locked="0" layoutInCell="1" allowOverlap="1" wp14:anchorId="4B496669" wp14:editId="59EAB6B7">
              <wp:simplePos x="0" y="0"/>
              <wp:positionH relativeFrom="page">
                <wp:posOffset>627380</wp:posOffset>
              </wp:positionH>
              <wp:positionV relativeFrom="page">
                <wp:posOffset>631825</wp:posOffset>
              </wp:positionV>
              <wp:extent cx="4546600" cy="390525"/>
              <wp:effectExtent l="0"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C2BAD" w14:textId="77777777" w:rsidR="001F3ACE" w:rsidRDefault="001F3ACE">
                          <w:pPr>
                            <w:spacing w:before="13"/>
                            <w:ind w:left="20"/>
                            <w:rPr>
                              <w:b/>
                            </w:rPr>
                          </w:pPr>
                          <w:r>
                            <w:rPr>
                              <w:b/>
                            </w:rPr>
                            <w:t>Western Growth Developments (Innovation Hub Parramatta) Pty Ltd</w:t>
                          </w:r>
                        </w:p>
                        <w:p w14:paraId="3A444EC2" w14:textId="77777777" w:rsidR="001F3ACE" w:rsidRDefault="001F3ACE">
                          <w:pPr>
                            <w:spacing w:before="168"/>
                            <w:ind w:left="20"/>
                            <w:rPr>
                              <w:b/>
                              <w:sz w:val="14"/>
                            </w:rPr>
                          </w:pPr>
                          <w:r>
                            <w:rPr>
                              <w:b/>
                              <w:sz w:val="14"/>
                            </w:rPr>
                            <w:t>ABN: 36 626 590 029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496669" id="_x0000_t202" coordsize="21600,21600" o:spt="202" path="m,l,21600r21600,l21600,xe">
              <v:stroke joinstyle="miter"/>
              <v:path gradientshapeok="t" o:connecttype="rect"/>
            </v:shapetype>
            <v:shape id="Text Box 15" o:spid="_x0000_s1194" type="#_x0000_t202" style="position:absolute;margin-left:49.4pt;margin-top:49.75pt;width:358pt;height:30.75pt;z-index:-4052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" filled="f" stroked="f">
              <v:textbox inset="0,0,0,0">
                <w:txbxContent>
                  <w:p w14:paraId="189C2BAD" w14:textId="77777777" w:rsidR="001F3ACE" w:rsidRDefault="001F3ACE">
                    <w:pPr>
                      <w:spacing w:before="13"/>
                      <w:ind w:left="20"/>
                      <w:rPr>
                        <w:b/>
                      </w:rPr>
                    </w:pPr>
                    <w:r>
                      <w:rPr>
                        <w:b/>
                      </w:rPr>
                      <w:t>Western Growth Developments (Innovation Hub Parramatta) Pty Ltd</w:t>
                    </w:r>
                  </w:p>
                  <w:p w14:paraId="3A444EC2" w14:textId="77777777" w:rsidR="001F3ACE" w:rsidRDefault="001F3ACE">
                    <w:pPr>
                      <w:spacing w:before="168"/>
                      <w:ind w:left="20"/>
                      <w:rPr>
                        <w:b/>
                        <w:sz w:val="14"/>
                      </w:rPr>
                    </w:pPr>
                    <w:r>
                      <w:rPr>
                        <w:b/>
                        <w:sz w:val="14"/>
                      </w:rPr>
                      <w:t>ABN: 36 626 590 029</w:t>
                    </w:r>
                  </w:p>
                </w:txbxContent>
              </v:textbox>
              <w10:wrap anchorx="page" anchory="page"/>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954847" w14:textId="77777777" w:rsidR="001F3ACE" w:rsidRDefault="001F3ACE">
    <w:pPr>
      <w:pStyle w:val="BodyText"/>
      <w:spacing w:line="14" w:lineRule="auto"/>
      <w:rPr>
        <w:sz w:val="2"/>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CC6152" w14:textId="77777777" w:rsidR="001F3ACE" w:rsidRDefault="001F3ACE">
    <w:pPr>
      <w:pStyle w:val="BodyText"/>
      <w:spacing w:line="14" w:lineRule="auto"/>
      <w:rPr>
        <w:sz w:val="2"/>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54FC7A" w14:textId="77777777" w:rsidR="001F3ACE" w:rsidRDefault="001F3ACE">
    <w:pPr>
      <w:pStyle w:val="BodyText"/>
      <w:spacing w:line="14" w:lineRule="auto"/>
      <w:rPr>
        <w:sz w:val="2"/>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F378FB" w14:textId="77777777" w:rsidR="001F3ACE" w:rsidRDefault="001F3ACE">
    <w:pPr>
      <w:pStyle w:val="BodyText"/>
      <w:spacing w:line="14" w:lineRule="auto"/>
      <w:rPr>
        <w:sz w:val="2"/>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2D6376" w14:textId="77777777" w:rsidR="001F3ACE" w:rsidRDefault="001F3ACE">
    <w:pPr>
      <w:pStyle w:val="BodyText"/>
      <w:spacing w:line="14" w:lineRule="auto"/>
      <w:rPr>
        <w:sz w:val="2"/>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112FCA" w14:textId="77777777" w:rsidR="001F3ACE" w:rsidRDefault="001F3ACE">
    <w:pPr>
      <w:pStyle w:val="BodyText"/>
      <w:spacing w:line="14" w:lineRule="auto"/>
      <w:rPr>
        <w:sz w:val="2"/>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14A0CC" w14:textId="77777777" w:rsidR="001F3ACE" w:rsidRDefault="001F3ACE">
    <w:pPr>
      <w:pStyle w:val="BodyText"/>
      <w:spacing w:line="14" w:lineRule="auto"/>
      <w:rPr>
        <w:sz w:val="2"/>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A93473" w14:textId="77777777" w:rsidR="001F3ACE" w:rsidRDefault="001F3ACE">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CBBA59" w14:textId="77777777" w:rsidR="001F3ACE" w:rsidRDefault="007E2441">
    <w:pPr>
      <w:pStyle w:val="BodyText"/>
      <w:spacing w:line="14" w:lineRule="auto"/>
      <w:rPr>
        <w:sz w:val="20"/>
      </w:rPr>
    </w:pPr>
    <w:r>
      <w:rPr>
        <w:noProof/>
        <w:lang w:val="en-AU" w:eastAsia="en-AU"/>
      </w:rPr>
      <mc:AlternateContent>
        <mc:Choice Requires="wps">
          <w:drawing>
            <wp:anchor distT="0" distB="0" distL="114300" distR="114300" simplePos="0" relativeHeight="462725120" behindDoc="1" locked="0" layoutInCell="1" allowOverlap="1" wp14:anchorId="02BA526C" wp14:editId="40F8B0E8">
              <wp:simplePos x="0" y="0"/>
              <wp:positionH relativeFrom="page">
                <wp:posOffset>627380</wp:posOffset>
              </wp:positionH>
              <wp:positionV relativeFrom="page">
                <wp:posOffset>632460</wp:posOffset>
              </wp:positionV>
              <wp:extent cx="1825625" cy="182245"/>
              <wp:effectExtent l="0" t="0" r="0" b="0"/>
              <wp:wrapNone/>
              <wp:docPr id="218"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562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E8DE0" w14:textId="77777777" w:rsidR="001F3ACE" w:rsidRDefault="001F3ACE">
                          <w:pPr>
                            <w:spacing w:before="13"/>
                            <w:ind w:left="20"/>
                            <w:rPr>
                              <w:b/>
                            </w:rPr>
                          </w:pPr>
                          <w:r>
                            <w:rPr>
                              <w:b/>
                            </w:rPr>
                            <w:t>Western Sydney University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BA526C" id="_x0000_t202" coordsize="21600,21600" o:spt="202" path="m,l,21600r21600,l21600,xe">
              <v:stroke joinstyle="miter"/>
              <v:path gradientshapeok="t" o:connecttype="rect"/>
            </v:shapetype>
            <v:shape id="Text Box 135" o:spid="_x0000_s1074" type="#_x0000_t202" style="position:absolute;margin-left:49.4pt;margin-top:49.8pt;width:143.75pt;height:14.35pt;z-index:-4059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" filled="f" stroked="f">
              <v:textbox inset="0,0,0,0">
                <w:txbxContent>
                  <w:p w14:paraId="29AE8DE0" w14:textId="77777777" w:rsidR="001F3ACE" w:rsidRDefault="001F3ACE">
                    <w:pPr>
                      <w:spacing w:before="13"/>
                      <w:ind w:left="20"/>
                      <w:rPr>
                        <w:b/>
                      </w:rPr>
                    </w:pPr>
                    <w:r>
                      <w:rPr>
                        <w:b/>
                      </w:rPr>
                      <w:t>Western Sydney University</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462725632" behindDoc="1" locked="0" layoutInCell="1" allowOverlap="1" wp14:anchorId="1FA78C8D" wp14:editId="79C7C6A6">
              <wp:simplePos x="0" y="0"/>
              <wp:positionH relativeFrom="page">
                <wp:posOffset>627380</wp:posOffset>
              </wp:positionH>
              <wp:positionV relativeFrom="page">
                <wp:posOffset>1009650</wp:posOffset>
              </wp:positionV>
              <wp:extent cx="2888615" cy="419735"/>
              <wp:effectExtent l="0" t="0" r="0" b="0"/>
              <wp:wrapNone/>
              <wp:docPr id="217"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8615" cy="41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A7D34" w14:textId="77777777" w:rsidR="001F3ACE" w:rsidRDefault="001F3ACE">
                          <w:pPr>
                            <w:spacing w:before="11"/>
                            <w:ind w:left="20"/>
                            <w:rPr>
                              <w:b/>
                              <w:sz w:val="28"/>
                            </w:rPr>
                          </w:pPr>
                          <w:r>
                            <w:rPr>
                              <w:b/>
                              <w:sz w:val="28"/>
                            </w:rPr>
                            <w:t>Notes to the Financial Statements</w:t>
                          </w:r>
                        </w:p>
                        <w:p w14:paraId="38A205B7" w14:textId="77777777" w:rsidR="001F3ACE" w:rsidRDefault="001F3ACE">
                          <w:pPr>
                            <w:spacing w:before="54"/>
                            <w:ind w:left="20"/>
                            <w:rPr>
                              <w:b/>
                            </w:rPr>
                          </w:pPr>
                          <w:r>
                            <w:rPr>
                              <w:b/>
                            </w:rPr>
                            <w:t>For the Year Ended 31 December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78C8D" id="_x0000_s1075" type="#_x0000_t202" style="position:absolute;margin-left:49.4pt;margin-top:79.5pt;width:227.45pt;height:33.05pt;z-index:-4059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" filled="f" stroked="f">
              <v:textbox inset="0,0,0,0">
                <w:txbxContent>
                  <w:p w14:paraId="24FA7D34" w14:textId="77777777" w:rsidR="001F3ACE" w:rsidRDefault="001F3ACE">
                    <w:pPr>
                      <w:spacing w:before="11"/>
                      <w:ind w:left="20"/>
                      <w:rPr>
                        <w:b/>
                        <w:sz w:val="28"/>
                      </w:rPr>
                    </w:pPr>
                    <w:r>
                      <w:rPr>
                        <w:b/>
                        <w:sz w:val="28"/>
                      </w:rPr>
                      <w:t>Notes to the Financial Statements</w:t>
                    </w:r>
                  </w:p>
                  <w:p w14:paraId="38A205B7" w14:textId="77777777" w:rsidR="001F3ACE" w:rsidRDefault="001F3ACE">
                    <w:pPr>
                      <w:spacing w:before="54"/>
                      <w:ind w:left="20"/>
                      <w:rPr>
                        <w:b/>
                      </w:rPr>
                    </w:pPr>
                    <w:r>
                      <w:rPr>
                        <w:b/>
                      </w:rPr>
                      <w:t>For the Year Ended 31 December 2018</w:t>
                    </w:r>
                  </w:p>
                </w:txbxContent>
              </v:textbox>
              <w10:wrap anchorx="page" anchory="page"/>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E3C4CD" w14:textId="77777777" w:rsidR="001F3ACE" w:rsidRDefault="001F3ACE">
    <w:pPr>
      <w:pStyle w:val="BodyText"/>
      <w:spacing w:line="14" w:lineRule="auto"/>
      <w:rPr>
        <w:sz w:val="2"/>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1408BF" w14:textId="77777777" w:rsidR="001F3ACE" w:rsidRDefault="001F3ACE">
    <w:pPr>
      <w:pStyle w:val="BodyText"/>
      <w:spacing w:line="14" w:lineRule="auto"/>
      <w:rPr>
        <w:sz w:val="2"/>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7B43AE" w14:textId="77777777" w:rsidR="001F3ACE" w:rsidRDefault="001F3ACE">
    <w:pPr>
      <w:pStyle w:val="BodyText"/>
      <w:spacing w:line="14" w:lineRule="auto"/>
      <w:rPr>
        <w:sz w:val="2"/>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6088D9" w14:textId="77777777" w:rsidR="001F3ACE" w:rsidRDefault="001F3ACE">
    <w:pPr>
      <w:pStyle w:val="BodyText"/>
      <w:spacing w:line="14" w:lineRule="auto"/>
      <w:rPr>
        <w:sz w:val="2"/>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2CD375" w14:textId="77777777" w:rsidR="001F3ACE" w:rsidRDefault="001F3ACE">
    <w:pPr>
      <w:pStyle w:val="BodyText"/>
      <w:spacing w:line="14" w:lineRule="auto"/>
      <w:rPr>
        <w:sz w:val="2"/>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E2E8C1" w14:textId="77777777" w:rsidR="001F3ACE" w:rsidRDefault="001F3ACE">
    <w:pPr>
      <w:pStyle w:val="BodyText"/>
      <w:spacing w:line="14" w:lineRule="auto"/>
      <w:rPr>
        <w:sz w:val="2"/>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05C905" w14:textId="77777777" w:rsidR="001F3ACE" w:rsidRDefault="007E2441">
    <w:pPr>
      <w:pStyle w:val="BodyText"/>
      <w:spacing w:line="14" w:lineRule="auto"/>
      <w:rPr>
        <w:sz w:val="2"/>
      </w:rPr>
    </w:pPr>
    <w:r>
      <w:rPr>
        <w:noProof/>
        <w:lang w:val="en-AU" w:eastAsia="en-AU"/>
      </w:rPr>
      <mc:AlternateContent>
        <mc:Choice Requires="wps">
          <w:drawing>
            <wp:anchor distT="0" distB="0" distL="114300" distR="114300" simplePos="0" relativeHeight="462793728" behindDoc="1" locked="0" layoutInCell="1" allowOverlap="1" wp14:anchorId="63655CD4" wp14:editId="42A7224F">
              <wp:simplePos x="0" y="0"/>
              <wp:positionH relativeFrom="page">
                <wp:posOffset>0</wp:posOffset>
              </wp:positionH>
              <wp:positionV relativeFrom="page">
                <wp:posOffset>0</wp:posOffset>
              </wp:positionV>
              <wp:extent cx="7560310" cy="10692130"/>
              <wp:effectExtent l="0" t="0" r="0"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4B948A" id="Rectangle 1" o:spid="_x0000_s1026" style="position:absolute;margin-left:0;margin-top:0;width:595.3pt;height:841.9pt;z-index:-405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" fillcolor="#231f20"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4027E"/>
    <w:multiLevelType w:val="hybridMultilevel"/>
    <w:tmpl w:val="742648A6"/>
    <w:lvl w:ilvl="0" w:tplc="8CFE7B22">
      <w:start w:val="1"/>
      <w:numFmt w:val="lowerRoman"/>
      <w:lvlText w:val="(%1)"/>
      <w:lvlJc w:val="left"/>
      <w:pPr>
        <w:ind w:left="782" w:hanging="219"/>
        <w:jc w:val="left"/>
      </w:pPr>
      <w:rPr>
        <w:rFonts w:ascii="Arial" w:eastAsia="Arial" w:hAnsi="Arial" w:cs="Arial" w:hint="default"/>
        <w:b/>
        <w:bCs/>
        <w:i/>
        <w:w w:val="100"/>
        <w:sz w:val="18"/>
        <w:szCs w:val="18"/>
        <w:lang w:val="en-US" w:eastAsia="en-US" w:bidi="ar-SA"/>
      </w:rPr>
    </w:lvl>
    <w:lvl w:ilvl="1" w:tplc="59D6E9B2">
      <w:numFmt w:val="bullet"/>
      <w:lvlText w:val="•"/>
      <w:lvlJc w:val="left"/>
      <w:pPr>
        <w:ind w:left="1720" w:hanging="219"/>
      </w:pPr>
      <w:rPr>
        <w:rFonts w:hint="default"/>
        <w:lang w:val="en-US" w:eastAsia="en-US" w:bidi="ar-SA"/>
      </w:rPr>
    </w:lvl>
    <w:lvl w:ilvl="2" w:tplc="DD407BE8">
      <w:numFmt w:val="bullet"/>
      <w:lvlText w:val="•"/>
      <w:lvlJc w:val="left"/>
      <w:pPr>
        <w:ind w:left="2661" w:hanging="219"/>
      </w:pPr>
      <w:rPr>
        <w:rFonts w:hint="default"/>
        <w:lang w:val="en-US" w:eastAsia="en-US" w:bidi="ar-SA"/>
      </w:rPr>
    </w:lvl>
    <w:lvl w:ilvl="3" w:tplc="11E877D4">
      <w:numFmt w:val="bullet"/>
      <w:lvlText w:val="•"/>
      <w:lvlJc w:val="left"/>
      <w:pPr>
        <w:ind w:left="3601" w:hanging="219"/>
      </w:pPr>
      <w:rPr>
        <w:rFonts w:hint="default"/>
        <w:lang w:val="en-US" w:eastAsia="en-US" w:bidi="ar-SA"/>
      </w:rPr>
    </w:lvl>
    <w:lvl w:ilvl="4" w:tplc="9314EEAA">
      <w:numFmt w:val="bullet"/>
      <w:lvlText w:val="•"/>
      <w:lvlJc w:val="left"/>
      <w:pPr>
        <w:ind w:left="4542" w:hanging="219"/>
      </w:pPr>
      <w:rPr>
        <w:rFonts w:hint="default"/>
        <w:lang w:val="en-US" w:eastAsia="en-US" w:bidi="ar-SA"/>
      </w:rPr>
    </w:lvl>
    <w:lvl w:ilvl="5" w:tplc="90BC218E">
      <w:numFmt w:val="bullet"/>
      <w:lvlText w:val="•"/>
      <w:lvlJc w:val="left"/>
      <w:pPr>
        <w:ind w:left="5482" w:hanging="219"/>
      </w:pPr>
      <w:rPr>
        <w:rFonts w:hint="default"/>
        <w:lang w:val="en-US" w:eastAsia="en-US" w:bidi="ar-SA"/>
      </w:rPr>
    </w:lvl>
    <w:lvl w:ilvl="6" w:tplc="A0CAD86A">
      <w:numFmt w:val="bullet"/>
      <w:lvlText w:val="•"/>
      <w:lvlJc w:val="left"/>
      <w:pPr>
        <w:ind w:left="6423" w:hanging="219"/>
      </w:pPr>
      <w:rPr>
        <w:rFonts w:hint="default"/>
        <w:lang w:val="en-US" w:eastAsia="en-US" w:bidi="ar-SA"/>
      </w:rPr>
    </w:lvl>
    <w:lvl w:ilvl="7" w:tplc="121AEB88">
      <w:numFmt w:val="bullet"/>
      <w:lvlText w:val="•"/>
      <w:lvlJc w:val="left"/>
      <w:pPr>
        <w:ind w:left="7363" w:hanging="219"/>
      </w:pPr>
      <w:rPr>
        <w:rFonts w:hint="default"/>
        <w:lang w:val="en-US" w:eastAsia="en-US" w:bidi="ar-SA"/>
      </w:rPr>
    </w:lvl>
    <w:lvl w:ilvl="8" w:tplc="6CBCC3C6">
      <w:numFmt w:val="bullet"/>
      <w:lvlText w:val="•"/>
      <w:lvlJc w:val="left"/>
      <w:pPr>
        <w:ind w:left="8304" w:hanging="219"/>
      </w:pPr>
      <w:rPr>
        <w:rFonts w:hint="default"/>
        <w:lang w:val="en-US" w:eastAsia="en-US" w:bidi="ar-SA"/>
      </w:rPr>
    </w:lvl>
  </w:abstractNum>
  <w:abstractNum w:abstractNumId="1" w15:restartNumberingAfterBreak="0">
    <w:nsid w:val="003C362F"/>
    <w:multiLevelType w:val="hybridMultilevel"/>
    <w:tmpl w:val="B5BEB958"/>
    <w:lvl w:ilvl="0" w:tplc="EA346712">
      <w:start w:val="15"/>
      <w:numFmt w:val="decimal"/>
      <w:lvlText w:val="%1"/>
      <w:lvlJc w:val="left"/>
      <w:pPr>
        <w:ind w:left="564" w:hanging="395"/>
        <w:jc w:val="left"/>
      </w:pPr>
      <w:rPr>
        <w:rFonts w:ascii="Arial" w:eastAsia="Arial" w:hAnsi="Arial" w:cs="Arial" w:hint="default"/>
        <w:b/>
        <w:bCs/>
        <w:spacing w:val="-9"/>
        <w:w w:val="100"/>
        <w:sz w:val="18"/>
        <w:szCs w:val="18"/>
        <w:lang w:val="en-US" w:eastAsia="en-US" w:bidi="ar-SA"/>
      </w:rPr>
    </w:lvl>
    <w:lvl w:ilvl="1" w:tplc="9724DD54">
      <w:start w:val="1"/>
      <w:numFmt w:val="lowerLetter"/>
      <w:lvlText w:val="(%2)"/>
      <w:lvlJc w:val="left"/>
      <w:pPr>
        <w:ind w:left="1130" w:hanging="567"/>
        <w:jc w:val="left"/>
      </w:pPr>
      <w:rPr>
        <w:rFonts w:ascii="Arial" w:eastAsia="Arial" w:hAnsi="Arial" w:cs="Arial" w:hint="default"/>
        <w:b/>
        <w:bCs/>
        <w:w w:val="100"/>
        <w:sz w:val="18"/>
        <w:szCs w:val="18"/>
        <w:lang w:val="en-US" w:eastAsia="en-US" w:bidi="ar-SA"/>
      </w:rPr>
    </w:lvl>
    <w:lvl w:ilvl="2" w:tplc="844E3516">
      <w:numFmt w:val="bullet"/>
      <w:lvlText w:val="•"/>
      <w:lvlJc w:val="left"/>
      <w:pPr>
        <w:ind w:left="2149" w:hanging="567"/>
      </w:pPr>
      <w:rPr>
        <w:rFonts w:hint="default"/>
        <w:lang w:val="en-US" w:eastAsia="en-US" w:bidi="ar-SA"/>
      </w:rPr>
    </w:lvl>
    <w:lvl w:ilvl="3" w:tplc="1D06E7B8">
      <w:numFmt w:val="bullet"/>
      <w:lvlText w:val="•"/>
      <w:lvlJc w:val="left"/>
      <w:pPr>
        <w:ind w:left="3159" w:hanging="567"/>
      </w:pPr>
      <w:rPr>
        <w:rFonts w:hint="default"/>
        <w:lang w:val="en-US" w:eastAsia="en-US" w:bidi="ar-SA"/>
      </w:rPr>
    </w:lvl>
    <w:lvl w:ilvl="4" w:tplc="3EE4038C">
      <w:numFmt w:val="bullet"/>
      <w:lvlText w:val="•"/>
      <w:lvlJc w:val="left"/>
      <w:pPr>
        <w:ind w:left="4168" w:hanging="567"/>
      </w:pPr>
      <w:rPr>
        <w:rFonts w:hint="default"/>
        <w:lang w:val="en-US" w:eastAsia="en-US" w:bidi="ar-SA"/>
      </w:rPr>
    </w:lvl>
    <w:lvl w:ilvl="5" w:tplc="6FA6AE62">
      <w:numFmt w:val="bullet"/>
      <w:lvlText w:val="•"/>
      <w:lvlJc w:val="left"/>
      <w:pPr>
        <w:ind w:left="5177" w:hanging="567"/>
      </w:pPr>
      <w:rPr>
        <w:rFonts w:hint="default"/>
        <w:lang w:val="en-US" w:eastAsia="en-US" w:bidi="ar-SA"/>
      </w:rPr>
    </w:lvl>
    <w:lvl w:ilvl="6" w:tplc="7262AB00">
      <w:numFmt w:val="bullet"/>
      <w:lvlText w:val="•"/>
      <w:lvlJc w:val="left"/>
      <w:pPr>
        <w:ind w:left="6187" w:hanging="567"/>
      </w:pPr>
      <w:rPr>
        <w:rFonts w:hint="default"/>
        <w:lang w:val="en-US" w:eastAsia="en-US" w:bidi="ar-SA"/>
      </w:rPr>
    </w:lvl>
    <w:lvl w:ilvl="7" w:tplc="ACA2355E">
      <w:numFmt w:val="bullet"/>
      <w:lvlText w:val="•"/>
      <w:lvlJc w:val="left"/>
      <w:pPr>
        <w:ind w:left="7196" w:hanging="567"/>
      </w:pPr>
      <w:rPr>
        <w:rFonts w:hint="default"/>
        <w:lang w:val="en-US" w:eastAsia="en-US" w:bidi="ar-SA"/>
      </w:rPr>
    </w:lvl>
    <w:lvl w:ilvl="8" w:tplc="AFF039F0">
      <w:numFmt w:val="bullet"/>
      <w:lvlText w:val="•"/>
      <w:lvlJc w:val="left"/>
      <w:pPr>
        <w:ind w:left="8206" w:hanging="567"/>
      </w:pPr>
      <w:rPr>
        <w:rFonts w:hint="default"/>
        <w:lang w:val="en-US" w:eastAsia="en-US" w:bidi="ar-SA"/>
      </w:rPr>
    </w:lvl>
  </w:abstractNum>
  <w:abstractNum w:abstractNumId="2" w15:restartNumberingAfterBreak="0">
    <w:nsid w:val="00877928"/>
    <w:multiLevelType w:val="hybridMultilevel"/>
    <w:tmpl w:val="A3847C84"/>
    <w:lvl w:ilvl="0" w:tplc="5F247F92">
      <w:start w:val="1"/>
      <w:numFmt w:val="lowerLetter"/>
      <w:lvlText w:val="(%1)"/>
      <w:lvlJc w:val="left"/>
      <w:pPr>
        <w:ind w:left="1130" w:hanging="567"/>
        <w:jc w:val="left"/>
      </w:pPr>
      <w:rPr>
        <w:rFonts w:ascii="Arial" w:eastAsia="Arial" w:hAnsi="Arial" w:cs="Arial" w:hint="default"/>
        <w:b/>
        <w:bCs/>
        <w:w w:val="100"/>
        <w:sz w:val="18"/>
        <w:szCs w:val="18"/>
        <w:lang w:val="en-US" w:eastAsia="en-US" w:bidi="ar-SA"/>
      </w:rPr>
    </w:lvl>
    <w:lvl w:ilvl="1" w:tplc="ABD45750">
      <w:start w:val="1"/>
      <w:numFmt w:val="lowerRoman"/>
      <w:lvlText w:val="(%2)"/>
      <w:lvlJc w:val="left"/>
      <w:pPr>
        <w:ind w:left="1351" w:hanging="221"/>
        <w:jc w:val="left"/>
      </w:pPr>
      <w:rPr>
        <w:rFonts w:ascii="Arial" w:eastAsia="Arial" w:hAnsi="Arial" w:cs="Arial" w:hint="default"/>
        <w:b/>
        <w:bCs/>
        <w:i/>
        <w:w w:val="100"/>
        <w:sz w:val="18"/>
        <w:szCs w:val="18"/>
        <w:lang w:val="en-US" w:eastAsia="en-US" w:bidi="ar-SA"/>
      </w:rPr>
    </w:lvl>
    <w:lvl w:ilvl="2" w:tplc="287C81EC">
      <w:numFmt w:val="bullet"/>
      <w:lvlText w:val="•"/>
      <w:lvlJc w:val="left"/>
      <w:pPr>
        <w:ind w:left="2345" w:hanging="221"/>
      </w:pPr>
      <w:rPr>
        <w:rFonts w:hint="default"/>
        <w:lang w:val="en-US" w:eastAsia="en-US" w:bidi="ar-SA"/>
      </w:rPr>
    </w:lvl>
    <w:lvl w:ilvl="3" w:tplc="A6D26510">
      <w:numFmt w:val="bullet"/>
      <w:lvlText w:val="•"/>
      <w:lvlJc w:val="left"/>
      <w:pPr>
        <w:ind w:left="3330" w:hanging="221"/>
      </w:pPr>
      <w:rPr>
        <w:rFonts w:hint="default"/>
        <w:lang w:val="en-US" w:eastAsia="en-US" w:bidi="ar-SA"/>
      </w:rPr>
    </w:lvl>
    <w:lvl w:ilvl="4" w:tplc="86E0A928">
      <w:numFmt w:val="bullet"/>
      <w:lvlText w:val="•"/>
      <w:lvlJc w:val="left"/>
      <w:pPr>
        <w:ind w:left="4315" w:hanging="221"/>
      </w:pPr>
      <w:rPr>
        <w:rFonts w:hint="default"/>
        <w:lang w:val="en-US" w:eastAsia="en-US" w:bidi="ar-SA"/>
      </w:rPr>
    </w:lvl>
    <w:lvl w:ilvl="5" w:tplc="F314D3F2">
      <w:numFmt w:val="bullet"/>
      <w:lvlText w:val="•"/>
      <w:lvlJc w:val="left"/>
      <w:pPr>
        <w:ind w:left="5300" w:hanging="221"/>
      </w:pPr>
      <w:rPr>
        <w:rFonts w:hint="default"/>
        <w:lang w:val="en-US" w:eastAsia="en-US" w:bidi="ar-SA"/>
      </w:rPr>
    </w:lvl>
    <w:lvl w:ilvl="6" w:tplc="88603158">
      <w:numFmt w:val="bullet"/>
      <w:lvlText w:val="•"/>
      <w:lvlJc w:val="left"/>
      <w:pPr>
        <w:ind w:left="6285" w:hanging="221"/>
      </w:pPr>
      <w:rPr>
        <w:rFonts w:hint="default"/>
        <w:lang w:val="en-US" w:eastAsia="en-US" w:bidi="ar-SA"/>
      </w:rPr>
    </w:lvl>
    <w:lvl w:ilvl="7" w:tplc="74CA08C6">
      <w:numFmt w:val="bullet"/>
      <w:lvlText w:val="•"/>
      <w:lvlJc w:val="left"/>
      <w:pPr>
        <w:ind w:left="7270" w:hanging="221"/>
      </w:pPr>
      <w:rPr>
        <w:rFonts w:hint="default"/>
        <w:lang w:val="en-US" w:eastAsia="en-US" w:bidi="ar-SA"/>
      </w:rPr>
    </w:lvl>
    <w:lvl w:ilvl="8" w:tplc="D73251E4">
      <w:numFmt w:val="bullet"/>
      <w:lvlText w:val="•"/>
      <w:lvlJc w:val="left"/>
      <w:pPr>
        <w:ind w:left="8255" w:hanging="221"/>
      </w:pPr>
      <w:rPr>
        <w:rFonts w:hint="default"/>
        <w:lang w:val="en-US" w:eastAsia="en-US" w:bidi="ar-SA"/>
      </w:rPr>
    </w:lvl>
  </w:abstractNum>
  <w:abstractNum w:abstractNumId="3" w15:restartNumberingAfterBreak="0">
    <w:nsid w:val="02AD6755"/>
    <w:multiLevelType w:val="hybridMultilevel"/>
    <w:tmpl w:val="F226389A"/>
    <w:lvl w:ilvl="0" w:tplc="E4E4B394">
      <w:start w:val="5"/>
      <w:numFmt w:val="decimal"/>
      <w:lvlText w:val="%1"/>
      <w:lvlJc w:val="left"/>
      <w:pPr>
        <w:ind w:left="564" w:hanging="394"/>
        <w:jc w:val="left"/>
      </w:pPr>
      <w:rPr>
        <w:rFonts w:hint="default"/>
        <w:b/>
        <w:bCs/>
        <w:w w:val="100"/>
        <w:lang w:val="en-US" w:eastAsia="en-US" w:bidi="ar-SA"/>
      </w:rPr>
    </w:lvl>
    <w:lvl w:ilvl="1" w:tplc="D61A239C">
      <w:numFmt w:val="bullet"/>
      <w:lvlText w:val="•"/>
      <w:lvlJc w:val="left"/>
      <w:pPr>
        <w:ind w:left="796" w:hanging="394"/>
      </w:pPr>
      <w:rPr>
        <w:rFonts w:hint="default"/>
        <w:lang w:val="en-US" w:eastAsia="en-US" w:bidi="ar-SA"/>
      </w:rPr>
    </w:lvl>
    <w:lvl w:ilvl="2" w:tplc="9580E0D4">
      <w:numFmt w:val="bullet"/>
      <w:lvlText w:val="•"/>
      <w:lvlJc w:val="left"/>
      <w:pPr>
        <w:ind w:left="1032" w:hanging="394"/>
      </w:pPr>
      <w:rPr>
        <w:rFonts w:hint="default"/>
        <w:lang w:val="en-US" w:eastAsia="en-US" w:bidi="ar-SA"/>
      </w:rPr>
    </w:lvl>
    <w:lvl w:ilvl="3" w:tplc="DD58177A">
      <w:numFmt w:val="bullet"/>
      <w:lvlText w:val="•"/>
      <w:lvlJc w:val="left"/>
      <w:pPr>
        <w:ind w:left="1269" w:hanging="394"/>
      </w:pPr>
      <w:rPr>
        <w:rFonts w:hint="default"/>
        <w:lang w:val="en-US" w:eastAsia="en-US" w:bidi="ar-SA"/>
      </w:rPr>
    </w:lvl>
    <w:lvl w:ilvl="4" w:tplc="1E5AC7AC">
      <w:numFmt w:val="bullet"/>
      <w:lvlText w:val="•"/>
      <w:lvlJc w:val="left"/>
      <w:pPr>
        <w:ind w:left="1505" w:hanging="394"/>
      </w:pPr>
      <w:rPr>
        <w:rFonts w:hint="default"/>
        <w:lang w:val="en-US" w:eastAsia="en-US" w:bidi="ar-SA"/>
      </w:rPr>
    </w:lvl>
    <w:lvl w:ilvl="5" w:tplc="AF46A150">
      <w:numFmt w:val="bullet"/>
      <w:lvlText w:val="•"/>
      <w:lvlJc w:val="left"/>
      <w:pPr>
        <w:ind w:left="1741" w:hanging="394"/>
      </w:pPr>
      <w:rPr>
        <w:rFonts w:hint="default"/>
        <w:lang w:val="en-US" w:eastAsia="en-US" w:bidi="ar-SA"/>
      </w:rPr>
    </w:lvl>
    <w:lvl w:ilvl="6" w:tplc="0938EC66">
      <w:numFmt w:val="bullet"/>
      <w:lvlText w:val="•"/>
      <w:lvlJc w:val="left"/>
      <w:pPr>
        <w:ind w:left="1978" w:hanging="394"/>
      </w:pPr>
      <w:rPr>
        <w:rFonts w:hint="default"/>
        <w:lang w:val="en-US" w:eastAsia="en-US" w:bidi="ar-SA"/>
      </w:rPr>
    </w:lvl>
    <w:lvl w:ilvl="7" w:tplc="AA749660">
      <w:numFmt w:val="bullet"/>
      <w:lvlText w:val="•"/>
      <w:lvlJc w:val="left"/>
      <w:pPr>
        <w:ind w:left="2214" w:hanging="394"/>
      </w:pPr>
      <w:rPr>
        <w:rFonts w:hint="default"/>
        <w:lang w:val="en-US" w:eastAsia="en-US" w:bidi="ar-SA"/>
      </w:rPr>
    </w:lvl>
    <w:lvl w:ilvl="8" w:tplc="756C0CDE">
      <w:numFmt w:val="bullet"/>
      <w:lvlText w:val="•"/>
      <w:lvlJc w:val="left"/>
      <w:pPr>
        <w:ind w:left="2450" w:hanging="394"/>
      </w:pPr>
      <w:rPr>
        <w:rFonts w:hint="default"/>
        <w:lang w:val="en-US" w:eastAsia="en-US" w:bidi="ar-SA"/>
      </w:rPr>
    </w:lvl>
  </w:abstractNum>
  <w:abstractNum w:abstractNumId="4" w15:restartNumberingAfterBreak="0">
    <w:nsid w:val="02E36651"/>
    <w:multiLevelType w:val="hybridMultilevel"/>
    <w:tmpl w:val="105CFCC8"/>
    <w:lvl w:ilvl="0" w:tplc="50229322">
      <w:start w:val="1"/>
      <w:numFmt w:val="lowerLetter"/>
      <w:lvlText w:val="(%1)"/>
      <w:lvlJc w:val="left"/>
      <w:pPr>
        <w:ind w:left="1130" w:hanging="567"/>
        <w:jc w:val="left"/>
      </w:pPr>
      <w:rPr>
        <w:rFonts w:ascii="Arial" w:eastAsia="Arial" w:hAnsi="Arial" w:cs="Arial" w:hint="default"/>
        <w:b/>
        <w:bCs/>
        <w:w w:val="100"/>
        <w:sz w:val="18"/>
        <w:szCs w:val="18"/>
        <w:lang w:val="en-US" w:eastAsia="en-US" w:bidi="ar-SA"/>
      </w:rPr>
    </w:lvl>
    <w:lvl w:ilvl="1" w:tplc="E7207B56">
      <w:start w:val="1"/>
      <w:numFmt w:val="lowerRoman"/>
      <w:lvlText w:val="(%2)"/>
      <w:lvlJc w:val="left"/>
      <w:pPr>
        <w:ind w:left="1068" w:hanging="222"/>
        <w:jc w:val="left"/>
      </w:pPr>
      <w:rPr>
        <w:rFonts w:ascii="Arial" w:eastAsia="Arial" w:hAnsi="Arial" w:cs="Arial" w:hint="default"/>
        <w:b/>
        <w:bCs/>
        <w:w w:val="100"/>
        <w:sz w:val="18"/>
        <w:szCs w:val="18"/>
        <w:lang w:val="en-US" w:eastAsia="en-US" w:bidi="ar-SA"/>
      </w:rPr>
    </w:lvl>
    <w:lvl w:ilvl="2" w:tplc="0D827CA4">
      <w:numFmt w:val="bullet"/>
      <w:lvlText w:val="•"/>
      <w:lvlJc w:val="left"/>
      <w:pPr>
        <w:ind w:left="2149" w:hanging="222"/>
      </w:pPr>
      <w:rPr>
        <w:rFonts w:hint="default"/>
        <w:lang w:val="en-US" w:eastAsia="en-US" w:bidi="ar-SA"/>
      </w:rPr>
    </w:lvl>
    <w:lvl w:ilvl="3" w:tplc="1FA8E69E">
      <w:numFmt w:val="bullet"/>
      <w:lvlText w:val="•"/>
      <w:lvlJc w:val="left"/>
      <w:pPr>
        <w:ind w:left="3159" w:hanging="222"/>
      </w:pPr>
      <w:rPr>
        <w:rFonts w:hint="default"/>
        <w:lang w:val="en-US" w:eastAsia="en-US" w:bidi="ar-SA"/>
      </w:rPr>
    </w:lvl>
    <w:lvl w:ilvl="4" w:tplc="E1B2F40A">
      <w:numFmt w:val="bullet"/>
      <w:lvlText w:val="•"/>
      <w:lvlJc w:val="left"/>
      <w:pPr>
        <w:ind w:left="4168" w:hanging="222"/>
      </w:pPr>
      <w:rPr>
        <w:rFonts w:hint="default"/>
        <w:lang w:val="en-US" w:eastAsia="en-US" w:bidi="ar-SA"/>
      </w:rPr>
    </w:lvl>
    <w:lvl w:ilvl="5" w:tplc="B5AE68EC">
      <w:numFmt w:val="bullet"/>
      <w:lvlText w:val="•"/>
      <w:lvlJc w:val="left"/>
      <w:pPr>
        <w:ind w:left="5177" w:hanging="222"/>
      </w:pPr>
      <w:rPr>
        <w:rFonts w:hint="default"/>
        <w:lang w:val="en-US" w:eastAsia="en-US" w:bidi="ar-SA"/>
      </w:rPr>
    </w:lvl>
    <w:lvl w:ilvl="6" w:tplc="950EE4F8">
      <w:numFmt w:val="bullet"/>
      <w:lvlText w:val="•"/>
      <w:lvlJc w:val="left"/>
      <w:pPr>
        <w:ind w:left="6187" w:hanging="222"/>
      </w:pPr>
      <w:rPr>
        <w:rFonts w:hint="default"/>
        <w:lang w:val="en-US" w:eastAsia="en-US" w:bidi="ar-SA"/>
      </w:rPr>
    </w:lvl>
    <w:lvl w:ilvl="7" w:tplc="A13602EA">
      <w:numFmt w:val="bullet"/>
      <w:lvlText w:val="•"/>
      <w:lvlJc w:val="left"/>
      <w:pPr>
        <w:ind w:left="7196" w:hanging="222"/>
      </w:pPr>
      <w:rPr>
        <w:rFonts w:hint="default"/>
        <w:lang w:val="en-US" w:eastAsia="en-US" w:bidi="ar-SA"/>
      </w:rPr>
    </w:lvl>
    <w:lvl w:ilvl="8" w:tplc="0F4E8FD6">
      <w:numFmt w:val="bullet"/>
      <w:lvlText w:val="•"/>
      <w:lvlJc w:val="left"/>
      <w:pPr>
        <w:ind w:left="8206" w:hanging="222"/>
      </w:pPr>
      <w:rPr>
        <w:rFonts w:hint="default"/>
        <w:lang w:val="en-US" w:eastAsia="en-US" w:bidi="ar-SA"/>
      </w:rPr>
    </w:lvl>
  </w:abstractNum>
  <w:abstractNum w:abstractNumId="5" w15:restartNumberingAfterBreak="0">
    <w:nsid w:val="033E0757"/>
    <w:multiLevelType w:val="hybridMultilevel"/>
    <w:tmpl w:val="9DE4DC00"/>
    <w:lvl w:ilvl="0" w:tplc="7B68A038">
      <w:start w:val="3"/>
      <w:numFmt w:val="lowerLetter"/>
      <w:lvlText w:val="(%1)"/>
      <w:lvlJc w:val="left"/>
      <w:pPr>
        <w:ind w:left="504" w:hanging="396"/>
        <w:jc w:val="left"/>
      </w:pPr>
      <w:rPr>
        <w:rFonts w:ascii="Arial" w:eastAsia="Arial" w:hAnsi="Arial" w:cs="Arial" w:hint="default"/>
        <w:b/>
        <w:bCs/>
        <w:spacing w:val="-25"/>
        <w:w w:val="100"/>
        <w:sz w:val="18"/>
        <w:szCs w:val="18"/>
        <w:lang w:val="en-US" w:eastAsia="en-US" w:bidi="ar-SA"/>
      </w:rPr>
    </w:lvl>
    <w:lvl w:ilvl="1" w:tplc="310C1584">
      <w:numFmt w:val="bullet"/>
      <w:lvlText w:val="•"/>
      <w:lvlJc w:val="left"/>
      <w:pPr>
        <w:ind w:left="1464" w:hanging="396"/>
      </w:pPr>
      <w:rPr>
        <w:rFonts w:hint="default"/>
        <w:lang w:val="en-US" w:eastAsia="en-US" w:bidi="ar-SA"/>
      </w:rPr>
    </w:lvl>
    <w:lvl w:ilvl="2" w:tplc="DE7E2C04">
      <w:numFmt w:val="bullet"/>
      <w:lvlText w:val="•"/>
      <w:lvlJc w:val="left"/>
      <w:pPr>
        <w:ind w:left="2429" w:hanging="396"/>
      </w:pPr>
      <w:rPr>
        <w:rFonts w:hint="default"/>
        <w:lang w:val="en-US" w:eastAsia="en-US" w:bidi="ar-SA"/>
      </w:rPr>
    </w:lvl>
    <w:lvl w:ilvl="3" w:tplc="12C219E0">
      <w:numFmt w:val="bullet"/>
      <w:lvlText w:val="•"/>
      <w:lvlJc w:val="left"/>
      <w:pPr>
        <w:ind w:left="3393" w:hanging="396"/>
      </w:pPr>
      <w:rPr>
        <w:rFonts w:hint="default"/>
        <w:lang w:val="en-US" w:eastAsia="en-US" w:bidi="ar-SA"/>
      </w:rPr>
    </w:lvl>
    <w:lvl w:ilvl="4" w:tplc="18E6AE2C">
      <w:numFmt w:val="bullet"/>
      <w:lvlText w:val="•"/>
      <w:lvlJc w:val="left"/>
      <w:pPr>
        <w:ind w:left="4358" w:hanging="396"/>
      </w:pPr>
      <w:rPr>
        <w:rFonts w:hint="default"/>
        <w:lang w:val="en-US" w:eastAsia="en-US" w:bidi="ar-SA"/>
      </w:rPr>
    </w:lvl>
    <w:lvl w:ilvl="5" w:tplc="6E3C962C">
      <w:numFmt w:val="bullet"/>
      <w:lvlText w:val="•"/>
      <w:lvlJc w:val="left"/>
      <w:pPr>
        <w:ind w:left="5322" w:hanging="396"/>
      </w:pPr>
      <w:rPr>
        <w:rFonts w:hint="default"/>
        <w:lang w:val="en-US" w:eastAsia="en-US" w:bidi="ar-SA"/>
      </w:rPr>
    </w:lvl>
    <w:lvl w:ilvl="6" w:tplc="9ED8387C">
      <w:numFmt w:val="bullet"/>
      <w:lvlText w:val="•"/>
      <w:lvlJc w:val="left"/>
      <w:pPr>
        <w:ind w:left="6287" w:hanging="396"/>
      </w:pPr>
      <w:rPr>
        <w:rFonts w:hint="default"/>
        <w:lang w:val="en-US" w:eastAsia="en-US" w:bidi="ar-SA"/>
      </w:rPr>
    </w:lvl>
    <w:lvl w:ilvl="7" w:tplc="49A230B0">
      <w:numFmt w:val="bullet"/>
      <w:lvlText w:val="•"/>
      <w:lvlJc w:val="left"/>
      <w:pPr>
        <w:ind w:left="7251" w:hanging="396"/>
      </w:pPr>
      <w:rPr>
        <w:rFonts w:hint="default"/>
        <w:lang w:val="en-US" w:eastAsia="en-US" w:bidi="ar-SA"/>
      </w:rPr>
    </w:lvl>
    <w:lvl w:ilvl="8" w:tplc="4412BE44">
      <w:numFmt w:val="bullet"/>
      <w:lvlText w:val="•"/>
      <w:lvlJc w:val="left"/>
      <w:pPr>
        <w:ind w:left="8216" w:hanging="396"/>
      </w:pPr>
      <w:rPr>
        <w:rFonts w:hint="default"/>
        <w:lang w:val="en-US" w:eastAsia="en-US" w:bidi="ar-SA"/>
      </w:rPr>
    </w:lvl>
  </w:abstractNum>
  <w:abstractNum w:abstractNumId="6" w15:restartNumberingAfterBreak="0">
    <w:nsid w:val="042F308B"/>
    <w:multiLevelType w:val="hybridMultilevel"/>
    <w:tmpl w:val="F3B4F84E"/>
    <w:lvl w:ilvl="0" w:tplc="5BA8B57A">
      <w:start w:val="3"/>
      <w:numFmt w:val="decimal"/>
      <w:lvlText w:val="%1"/>
      <w:lvlJc w:val="left"/>
      <w:pPr>
        <w:ind w:left="564" w:hanging="395"/>
        <w:jc w:val="left"/>
      </w:pPr>
      <w:rPr>
        <w:rFonts w:ascii="Arial" w:eastAsia="Arial" w:hAnsi="Arial" w:cs="Arial" w:hint="default"/>
        <w:b/>
        <w:bCs/>
        <w:spacing w:val="-5"/>
        <w:w w:val="100"/>
        <w:sz w:val="18"/>
        <w:szCs w:val="18"/>
        <w:lang w:val="en-US" w:eastAsia="en-US" w:bidi="ar-SA"/>
      </w:rPr>
    </w:lvl>
    <w:lvl w:ilvl="1" w:tplc="B42EEAB8">
      <w:numFmt w:val="bullet"/>
      <w:lvlText w:val="•"/>
      <w:lvlJc w:val="left"/>
      <w:pPr>
        <w:ind w:left="1526" w:hanging="395"/>
      </w:pPr>
      <w:rPr>
        <w:rFonts w:hint="default"/>
        <w:lang w:val="en-US" w:eastAsia="en-US" w:bidi="ar-SA"/>
      </w:rPr>
    </w:lvl>
    <w:lvl w:ilvl="2" w:tplc="2F789D3C">
      <w:numFmt w:val="bullet"/>
      <w:lvlText w:val="•"/>
      <w:lvlJc w:val="left"/>
      <w:pPr>
        <w:ind w:left="2493" w:hanging="395"/>
      </w:pPr>
      <w:rPr>
        <w:rFonts w:hint="default"/>
        <w:lang w:val="en-US" w:eastAsia="en-US" w:bidi="ar-SA"/>
      </w:rPr>
    </w:lvl>
    <w:lvl w:ilvl="3" w:tplc="92623B42">
      <w:numFmt w:val="bullet"/>
      <w:lvlText w:val="•"/>
      <w:lvlJc w:val="left"/>
      <w:pPr>
        <w:ind w:left="3459" w:hanging="395"/>
      </w:pPr>
      <w:rPr>
        <w:rFonts w:hint="default"/>
        <w:lang w:val="en-US" w:eastAsia="en-US" w:bidi="ar-SA"/>
      </w:rPr>
    </w:lvl>
    <w:lvl w:ilvl="4" w:tplc="BE94BB12">
      <w:numFmt w:val="bullet"/>
      <w:lvlText w:val="•"/>
      <w:lvlJc w:val="left"/>
      <w:pPr>
        <w:ind w:left="4426" w:hanging="395"/>
      </w:pPr>
      <w:rPr>
        <w:rFonts w:hint="default"/>
        <w:lang w:val="en-US" w:eastAsia="en-US" w:bidi="ar-SA"/>
      </w:rPr>
    </w:lvl>
    <w:lvl w:ilvl="5" w:tplc="4E2E9366">
      <w:numFmt w:val="bullet"/>
      <w:lvlText w:val="•"/>
      <w:lvlJc w:val="left"/>
      <w:pPr>
        <w:ind w:left="5392" w:hanging="395"/>
      </w:pPr>
      <w:rPr>
        <w:rFonts w:hint="default"/>
        <w:lang w:val="en-US" w:eastAsia="en-US" w:bidi="ar-SA"/>
      </w:rPr>
    </w:lvl>
    <w:lvl w:ilvl="6" w:tplc="5414D8BA">
      <w:numFmt w:val="bullet"/>
      <w:lvlText w:val="•"/>
      <w:lvlJc w:val="left"/>
      <w:pPr>
        <w:ind w:left="6359" w:hanging="395"/>
      </w:pPr>
      <w:rPr>
        <w:rFonts w:hint="default"/>
        <w:lang w:val="en-US" w:eastAsia="en-US" w:bidi="ar-SA"/>
      </w:rPr>
    </w:lvl>
    <w:lvl w:ilvl="7" w:tplc="DC8C9EDC">
      <w:numFmt w:val="bullet"/>
      <w:lvlText w:val="•"/>
      <w:lvlJc w:val="left"/>
      <w:pPr>
        <w:ind w:left="7325" w:hanging="395"/>
      </w:pPr>
      <w:rPr>
        <w:rFonts w:hint="default"/>
        <w:lang w:val="en-US" w:eastAsia="en-US" w:bidi="ar-SA"/>
      </w:rPr>
    </w:lvl>
    <w:lvl w:ilvl="8" w:tplc="C73CBF1A">
      <w:numFmt w:val="bullet"/>
      <w:lvlText w:val="•"/>
      <w:lvlJc w:val="left"/>
      <w:pPr>
        <w:ind w:left="8292" w:hanging="395"/>
      </w:pPr>
      <w:rPr>
        <w:rFonts w:hint="default"/>
        <w:lang w:val="en-US" w:eastAsia="en-US" w:bidi="ar-SA"/>
      </w:rPr>
    </w:lvl>
  </w:abstractNum>
  <w:abstractNum w:abstractNumId="7" w15:restartNumberingAfterBreak="0">
    <w:nsid w:val="04DE7002"/>
    <w:multiLevelType w:val="hybridMultilevel"/>
    <w:tmpl w:val="B60A2DD6"/>
    <w:lvl w:ilvl="0" w:tplc="B8124202">
      <w:numFmt w:val="bullet"/>
      <w:lvlText w:val="•"/>
      <w:lvlJc w:val="left"/>
      <w:pPr>
        <w:ind w:left="1256" w:hanging="570"/>
      </w:pPr>
      <w:rPr>
        <w:rFonts w:hint="default"/>
        <w:w w:val="89"/>
        <w:lang w:val="en-US" w:eastAsia="en-US" w:bidi="ar-SA"/>
      </w:rPr>
    </w:lvl>
    <w:lvl w:ilvl="1" w:tplc="9EDAAE2A">
      <w:numFmt w:val="bullet"/>
      <w:lvlText w:val="•"/>
      <w:lvlJc w:val="left"/>
      <w:pPr>
        <w:ind w:left="1820" w:hanging="570"/>
      </w:pPr>
      <w:rPr>
        <w:rFonts w:hint="default"/>
        <w:lang w:val="en-US" w:eastAsia="en-US" w:bidi="ar-SA"/>
      </w:rPr>
    </w:lvl>
    <w:lvl w:ilvl="2" w:tplc="27AEB9CC">
      <w:numFmt w:val="bullet"/>
      <w:lvlText w:val="•"/>
      <w:lvlJc w:val="left"/>
      <w:pPr>
        <w:ind w:left="2777" w:hanging="570"/>
      </w:pPr>
      <w:rPr>
        <w:rFonts w:hint="default"/>
        <w:lang w:val="en-US" w:eastAsia="en-US" w:bidi="ar-SA"/>
      </w:rPr>
    </w:lvl>
    <w:lvl w:ilvl="3" w:tplc="4D005A7E">
      <w:numFmt w:val="bullet"/>
      <w:lvlText w:val="•"/>
      <w:lvlJc w:val="left"/>
      <w:pPr>
        <w:ind w:left="3735" w:hanging="570"/>
      </w:pPr>
      <w:rPr>
        <w:rFonts w:hint="default"/>
        <w:lang w:val="en-US" w:eastAsia="en-US" w:bidi="ar-SA"/>
      </w:rPr>
    </w:lvl>
    <w:lvl w:ilvl="4" w:tplc="EA36AC58">
      <w:numFmt w:val="bullet"/>
      <w:lvlText w:val="•"/>
      <w:lvlJc w:val="left"/>
      <w:pPr>
        <w:ind w:left="4693" w:hanging="570"/>
      </w:pPr>
      <w:rPr>
        <w:rFonts w:hint="default"/>
        <w:lang w:val="en-US" w:eastAsia="en-US" w:bidi="ar-SA"/>
      </w:rPr>
    </w:lvl>
    <w:lvl w:ilvl="5" w:tplc="1C589DB6">
      <w:numFmt w:val="bullet"/>
      <w:lvlText w:val="•"/>
      <w:lvlJc w:val="left"/>
      <w:pPr>
        <w:ind w:left="5651" w:hanging="570"/>
      </w:pPr>
      <w:rPr>
        <w:rFonts w:hint="default"/>
        <w:lang w:val="en-US" w:eastAsia="en-US" w:bidi="ar-SA"/>
      </w:rPr>
    </w:lvl>
    <w:lvl w:ilvl="6" w:tplc="CA666376">
      <w:numFmt w:val="bullet"/>
      <w:lvlText w:val="•"/>
      <w:lvlJc w:val="left"/>
      <w:pPr>
        <w:ind w:left="6608" w:hanging="570"/>
      </w:pPr>
      <w:rPr>
        <w:rFonts w:hint="default"/>
        <w:lang w:val="en-US" w:eastAsia="en-US" w:bidi="ar-SA"/>
      </w:rPr>
    </w:lvl>
    <w:lvl w:ilvl="7" w:tplc="01CC260E">
      <w:numFmt w:val="bullet"/>
      <w:lvlText w:val="•"/>
      <w:lvlJc w:val="left"/>
      <w:pPr>
        <w:ind w:left="7566" w:hanging="570"/>
      </w:pPr>
      <w:rPr>
        <w:rFonts w:hint="default"/>
        <w:lang w:val="en-US" w:eastAsia="en-US" w:bidi="ar-SA"/>
      </w:rPr>
    </w:lvl>
    <w:lvl w:ilvl="8" w:tplc="4942F29C">
      <w:numFmt w:val="bullet"/>
      <w:lvlText w:val="•"/>
      <w:lvlJc w:val="left"/>
      <w:pPr>
        <w:ind w:left="8524" w:hanging="570"/>
      </w:pPr>
      <w:rPr>
        <w:rFonts w:hint="default"/>
        <w:lang w:val="en-US" w:eastAsia="en-US" w:bidi="ar-SA"/>
      </w:rPr>
    </w:lvl>
  </w:abstractNum>
  <w:abstractNum w:abstractNumId="8" w15:restartNumberingAfterBreak="0">
    <w:nsid w:val="057E6E18"/>
    <w:multiLevelType w:val="hybridMultilevel"/>
    <w:tmpl w:val="B2C01126"/>
    <w:lvl w:ilvl="0" w:tplc="613243E2">
      <w:numFmt w:val="bullet"/>
      <w:lvlText w:val="-"/>
      <w:lvlJc w:val="left"/>
      <w:pPr>
        <w:ind w:left="544" w:hanging="112"/>
      </w:pPr>
      <w:rPr>
        <w:rFonts w:ascii="Arial" w:eastAsia="Arial" w:hAnsi="Arial" w:cs="Arial" w:hint="default"/>
        <w:w w:val="100"/>
        <w:sz w:val="18"/>
        <w:szCs w:val="18"/>
        <w:lang w:val="en-US" w:eastAsia="en-US" w:bidi="ar-SA"/>
      </w:rPr>
    </w:lvl>
    <w:lvl w:ilvl="1" w:tplc="BA9A3648">
      <w:numFmt w:val="bullet"/>
      <w:lvlText w:val="•"/>
      <w:lvlJc w:val="left"/>
      <w:pPr>
        <w:ind w:left="1494" w:hanging="112"/>
      </w:pPr>
      <w:rPr>
        <w:rFonts w:hint="default"/>
        <w:lang w:val="en-US" w:eastAsia="en-US" w:bidi="ar-SA"/>
      </w:rPr>
    </w:lvl>
    <w:lvl w:ilvl="2" w:tplc="D176558A">
      <w:numFmt w:val="bullet"/>
      <w:lvlText w:val="•"/>
      <w:lvlJc w:val="left"/>
      <w:pPr>
        <w:ind w:left="2449" w:hanging="112"/>
      </w:pPr>
      <w:rPr>
        <w:rFonts w:hint="default"/>
        <w:lang w:val="en-US" w:eastAsia="en-US" w:bidi="ar-SA"/>
      </w:rPr>
    </w:lvl>
    <w:lvl w:ilvl="3" w:tplc="F3A0DD6A">
      <w:numFmt w:val="bullet"/>
      <w:lvlText w:val="•"/>
      <w:lvlJc w:val="left"/>
      <w:pPr>
        <w:ind w:left="3403" w:hanging="112"/>
      </w:pPr>
      <w:rPr>
        <w:rFonts w:hint="default"/>
        <w:lang w:val="en-US" w:eastAsia="en-US" w:bidi="ar-SA"/>
      </w:rPr>
    </w:lvl>
    <w:lvl w:ilvl="4" w:tplc="BFE09B8A">
      <w:numFmt w:val="bullet"/>
      <w:lvlText w:val="•"/>
      <w:lvlJc w:val="left"/>
      <w:pPr>
        <w:ind w:left="4358" w:hanging="112"/>
      </w:pPr>
      <w:rPr>
        <w:rFonts w:hint="default"/>
        <w:lang w:val="en-US" w:eastAsia="en-US" w:bidi="ar-SA"/>
      </w:rPr>
    </w:lvl>
    <w:lvl w:ilvl="5" w:tplc="69B82A02">
      <w:numFmt w:val="bullet"/>
      <w:lvlText w:val="•"/>
      <w:lvlJc w:val="left"/>
      <w:pPr>
        <w:ind w:left="5312" w:hanging="112"/>
      </w:pPr>
      <w:rPr>
        <w:rFonts w:hint="default"/>
        <w:lang w:val="en-US" w:eastAsia="en-US" w:bidi="ar-SA"/>
      </w:rPr>
    </w:lvl>
    <w:lvl w:ilvl="6" w:tplc="01D81ADC">
      <w:numFmt w:val="bullet"/>
      <w:lvlText w:val="•"/>
      <w:lvlJc w:val="left"/>
      <w:pPr>
        <w:ind w:left="6267" w:hanging="112"/>
      </w:pPr>
      <w:rPr>
        <w:rFonts w:hint="default"/>
        <w:lang w:val="en-US" w:eastAsia="en-US" w:bidi="ar-SA"/>
      </w:rPr>
    </w:lvl>
    <w:lvl w:ilvl="7" w:tplc="EF76267C">
      <w:numFmt w:val="bullet"/>
      <w:lvlText w:val="•"/>
      <w:lvlJc w:val="left"/>
      <w:pPr>
        <w:ind w:left="7221" w:hanging="112"/>
      </w:pPr>
      <w:rPr>
        <w:rFonts w:hint="default"/>
        <w:lang w:val="en-US" w:eastAsia="en-US" w:bidi="ar-SA"/>
      </w:rPr>
    </w:lvl>
    <w:lvl w:ilvl="8" w:tplc="B6021B54">
      <w:numFmt w:val="bullet"/>
      <w:lvlText w:val="•"/>
      <w:lvlJc w:val="left"/>
      <w:pPr>
        <w:ind w:left="8176" w:hanging="112"/>
      </w:pPr>
      <w:rPr>
        <w:rFonts w:hint="default"/>
        <w:lang w:val="en-US" w:eastAsia="en-US" w:bidi="ar-SA"/>
      </w:rPr>
    </w:lvl>
  </w:abstractNum>
  <w:abstractNum w:abstractNumId="9" w15:restartNumberingAfterBreak="0">
    <w:nsid w:val="0718548F"/>
    <w:multiLevelType w:val="hybridMultilevel"/>
    <w:tmpl w:val="6DC211AA"/>
    <w:lvl w:ilvl="0" w:tplc="F0D2711C">
      <w:start w:val="37"/>
      <w:numFmt w:val="decimal"/>
      <w:lvlText w:val="%1"/>
      <w:lvlJc w:val="left"/>
      <w:pPr>
        <w:ind w:left="564" w:hanging="396"/>
        <w:jc w:val="left"/>
      </w:pPr>
      <w:rPr>
        <w:rFonts w:ascii="Arial" w:eastAsia="Arial" w:hAnsi="Arial" w:cs="Arial" w:hint="default"/>
        <w:b/>
        <w:bCs/>
        <w:spacing w:val="-5"/>
        <w:w w:val="100"/>
        <w:sz w:val="18"/>
        <w:szCs w:val="18"/>
        <w:lang w:val="en-US" w:eastAsia="en-US" w:bidi="ar-SA"/>
      </w:rPr>
    </w:lvl>
    <w:lvl w:ilvl="1" w:tplc="D6A4E618">
      <w:numFmt w:val="bullet"/>
      <w:lvlText w:val="•"/>
      <w:lvlJc w:val="left"/>
      <w:pPr>
        <w:ind w:left="2015" w:hanging="396"/>
      </w:pPr>
      <w:rPr>
        <w:rFonts w:hint="default"/>
        <w:lang w:val="en-US" w:eastAsia="en-US" w:bidi="ar-SA"/>
      </w:rPr>
    </w:lvl>
    <w:lvl w:ilvl="2" w:tplc="A292656E">
      <w:numFmt w:val="bullet"/>
      <w:lvlText w:val="•"/>
      <w:lvlJc w:val="left"/>
      <w:pPr>
        <w:ind w:left="3471" w:hanging="396"/>
      </w:pPr>
      <w:rPr>
        <w:rFonts w:hint="default"/>
        <w:lang w:val="en-US" w:eastAsia="en-US" w:bidi="ar-SA"/>
      </w:rPr>
    </w:lvl>
    <w:lvl w:ilvl="3" w:tplc="C7A0E76A">
      <w:numFmt w:val="bullet"/>
      <w:lvlText w:val="•"/>
      <w:lvlJc w:val="left"/>
      <w:pPr>
        <w:ind w:left="4927" w:hanging="396"/>
      </w:pPr>
      <w:rPr>
        <w:rFonts w:hint="default"/>
        <w:lang w:val="en-US" w:eastAsia="en-US" w:bidi="ar-SA"/>
      </w:rPr>
    </w:lvl>
    <w:lvl w:ilvl="4" w:tplc="66C05A5C">
      <w:numFmt w:val="bullet"/>
      <w:lvlText w:val="•"/>
      <w:lvlJc w:val="left"/>
      <w:pPr>
        <w:ind w:left="6383" w:hanging="396"/>
      </w:pPr>
      <w:rPr>
        <w:rFonts w:hint="default"/>
        <w:lang w:val="en-US" w:eastAsia="en-US" w:bidi="ar-SA"/>
      </w:rPr>
    </w:lvl>
    <w:lvl w:ilvl="5" w:tplc="EE9801CC">
      <w:numFmt w:val="bullet"/>
      <w:lvlText w:val="•"/>
      <w:lvlJc w:val="left"/>
      <w:pPr>
        <w:ind w:left="7838" w:hanging="396"/>
      </w:pPr>
      <w:rPr>
        <w:rFonts w:hint="default"/>
        <w:lang w:val="en-US" w:eastAsia="en-US" w:bidi="ar-SA"/>
      </w:rPr>
    </w:lvl>
    <w:lvl w:ilvl="6" w:tplc="6C5A2B1C">
      <w:numFmt w:val="bullet"/>
      <w:lvlText w:val="•"/>
      <w:lvlJc w:val="left"/>
      <w:pPr>
        <w:ind w:left="9294" w:hanging="396"/>
      </w:pPr>
      <w:rPr>
        <w:rFonts w:hint="default"/>
        <w:lang w:val="en-US" w:eastAsia="en-US" w:bidi="ar-SA"/>
      </w:rPr>
    </w:lvl>
    <w:lvl w:ilvl="7" w:tplc="34BED27A">
      <w:numFmt w:val="bullet"/>
      <w:lvlText w:val="•"/>
      <w:lvlJc w:val="left"/>
      <w:pPr>
        <w:ind w:left="10750" w:hanging="396"/>
      </w:pPr>
      <w:rPr>
        <w:rFonts w:hint="default"/>
        <w:lang w:val="en-US" w:eastAsia="en-US" w:bidi="ar-SA"/>
      </w:rPr>
    </w:lvl>
    <w:lvl w:ilvl="8" w:tplc="50343476">
      <w:numFmt w:val="bullet"/>
      <w:lvlText w:val="•"/>
      <w:lvlJc w:val="left"/>
      <w:pPr>
        <w:ind w:left="12206" w:hanging="396"/>
      </w:pPr>
      <w:rPr>
        <w:rFonts w:hint="default"/>
        <w:lang w:val="en-US" w:eastAsia="en-US" w:bidi="ar-SA"/>
      </w:rPr>
    </w:lvl>
  </w:abstractNum>
  <w:abstractNum w:abstractNumId="10" w15:restartNumberingAfterBreak="0">
    <w:nsid w:val="078E0709"/>
    <w:multiLevelType w:val="hybridMultilevel"/>
    <w:tmpl w:val="2B20E8E0"/>
    <w:lvl w:ilvl="0" w:tplc="863058B6">
      <w:start w:val="1"/>
      <w:numFmt w:val="decimal"/>
      <w:lvlText w:val="%1."/>
      <w:lvlJc w:val="left"/>
      <w:pPr>
        <w:ind w:left="564" w:hanging="397"/>
        <w:jc w:val="left"/>
      </w:pPr>
      <w:rPr>
        <w:rFonts w:ascii="Arial" w:eastAsia="Arial" w:hAnsi="Arial" w:cs="Arial" w:hint="default"/>
        <w:spacing w:val="-1"/>
        <w:w w:val="99"/>
        <w:sz w:val="18"/>
        <w:szCs w:val="18"/>
        <w:lang w:val="en-US" w:eastAsia="en-US" w:bidi="ar-SA"/>
      </w:rPr>
    </w:lvl>
    <w:lvl w:ilvl="1" w:tplc="AC1AF748">
      <w:start w:val="1"/>
      <w:numFmt w:val="lowerLetter"/>
      <w:lvlText w:val="%2."/>
      <w:lvlJc w:val="left"/>
      <w:pPr>
        <w:ind w:left="961" w:hanging="398"/>
        <w:jc w:val="left"/>
      </w:pPr>
      <w:rPr>
        <w:rFonts w:ascii="Arial" w:eastAsia="Arial" w:hAnsi="Arial" w:cs="Arial" w:hint="default"/>
        <w:spacing w:val="-25"/>
        <w:w w:val="99"/>
        <w:sz w:val="18"/>
        <w:szCs w:val="18"/>
        <w:lang w:val="en-US" w:eastAsia="en-US" w:bidi="ar-SA"/>
      </w:rPr>
    </w:lvl>
    <w:lvl w:ilvl="2" w:tplc="0B062C4E">
      <w:numFmt w:val="bullet"/>
      <w:lvlText w:val="•"/>
      <w:lvlJc w:val="left"/>
      <w:pPr>
        <w:ind w:left="1989" w:hanging="398"/>
      </w:pPr>
      <w:rPr>
        <w:rFonts w:hint="default"/>
        <w:lang w:val="en-US" w:eastAsia="en-US" w:bidi="ar-SA"/>
      </w:rPr>
    </w:lvl>
    <w:lvl w:ilvl="3" w:tplc="F136679E">
      <w:numFmt w:val="bullet"/>
      <w:lvlText w:val="•"/>
      <w:lvlJc w:val="left"/>
      <w:pPr>
        <w:ind w:left="3018" w:hanging="398"/>
      </w:pPr>
      <w:rPr>
        <w:rFonts w:hint="default"/>
        <w:lang w:val="en-US" w:eastAsia="en-US" w:bidi="ar-SA"/>
      </w:rPr>
    </w:lvl>
    <w:lvl w:ilvl="4" w:tplc="850CB7FE">
      <w:numFmt w:val="bullet"/>
      <w:lvlText w:val="•"/>
      <w:lvlJc w:val="left"/>
      <w:pPr>
        <w:ind w:left="4048" w:hanging="398"/>
      </w:pPr>
      <w:rPr>
        <w:rFonts w:hint="default"/>
        <w:lang w:val="en-US" w:eastAsia="en-US" w:bidi="ar-SA"/>
      </w:rPr>
    </w:lvl>
    <w:lvl w:ilvl="5" w:tplc="1D967768">
      <w:numFmt w:val="bullet"/>
      <w:lvlText w:val="•"/>
      <w:lvlJc w:val="left"/>
      <w:pPr>
        <w:ind w:left="5077" w:hanging="398"/>
      </w:pPr>
      <w:rPr>
        <w:rFonts w:hint="default"/>
        <w:lang w:val="en-US" w:eastAsia="en-US" w:bidi="ar-SA"/>
      </w:rPr>
    </w:lvl>
    <w:lvl w:ilvl="6" w:tplc="443AB0E0">
      <w:numFmt w:val="bullet"/>
      <w:lvlText w:val="•"/>
      <w:lvlJc w:val="left"/>
      <w:pPr>
        <w:ind w:left="6106" w:hanging="398"/>
      </w:pPr>
      <w:rPr>
        <w:rFonts w:hint="default"/>
        <w:lang w:val="en-US" w:eastAsia="en-US" w:bidi="ar-SA"/>
      </w:rPr>
    </w:lvl>
    <w:lvl w:ilvl="7" w:tplc="F9664F70">
      <w:numFmt w:val="bullet"/>
      <w:lvlText w:val="•"/>
      <w:lvlJc w:val="left"/>
      <w:pPr>
        <w:ind w:left="7136" w:hanging="398"/>
      </w:pPr>
      <w:rPr>
        <w:rFonts w:hint="default"/>
        <w:lang w:val="en-US" w:eastAsia="en-US" w:bidi="ar-SA"/>
      </w:rPr>
    </w:lvl>
    <w:lvl w:ilvl="8" w:tplc="E0A6F55C">
      <w:numFmt w:val="bullet"/>
      <w:lvlText w:val="•"/>
      <w:lvlJc w:val="left"/>
      <w:pPr>
        <w:ind w:left="8165" w:hanging="398"/>
      </w:pPr>
      <w:rPr>
        <w:rFonts w:hint="default"/>
        <w:lang w:val="en-US" w:eastAsia="en-US" w:bidi="ar-SA"/>
      </w:rPr>
    </w:lvl>
  </w:abstractNum>
  <w:abstractNum w:abstractNumId="11" w15:restartNumberingAfterBreak="0">
    <w:nsid w:val="08C361D7"/>
    <w:multiLevelType w:val="hybridMultilevel"/>
    <w:tmpl w:val="898072A4"/>
    <w:lvl w:ilvl="0" w:tplc="5D6688E8">
      <w:start w:val="1"/>
      <w:numFmt w:val="lowerLetter"/>
      <w:lvlText w:val="(%1)"/>
      <w:lvlJc w:val="left"/>
      <w:pPr>
        <w:ind w:left="564" w:hanging="396"/>
        <w:jc w:val="left"/>
      </w:pPr>
      <w:rPr>
        <w:rFonts w:ascii="Arial" w:eastAsia="Arial" w:hAnsi="Arial" w:cs="Arial" w:hint="default"/>
        <w:b/>
        <w:bCs/>
        <w:spacing w:val="-25"/>
        <w:w w:val="100"/>
        <w:sz w:val="18"/>
        <w:szCs w:val="18"/>
        <w:lang w:val="en-US" w:eastAsia="en-US" w:bidi="ar-SA"/>
      </w:rPr>
    </w:lvl>
    <w:lvl w:ilvl="1" w:tplc="D2DCDA7A">
      <w:numFmt w:val="bullet"/>
      <w:lvlText w:val="•"/>
      <w:lvlJc w:val="left"/>
      <w:pPr>
        <w:ind w:left="1522" w:hanging="396"/>
      </w:pPr>
      <w:rPr>
        <w:rFonts w:hint="default"/>
        <w:lang w:val="en-US" w:eastAsia="en-US" w:bidi="ar-SA"/>
      </w:rPr>
    </w:lvl>
    <w:lvl w:ilvl="2" w:tplc="063A4A14">
      <w:numFmt w:val="bullet"/>
      <w:lvlText w:val="•"/>
      <w:lvlJc w:val="left"/>
      <w:pPr>
        <w:ind w:left="2485" w:hanging="396"/>
      </w:pPr>
      <w:rPr>
        <w:rFonts w:hint="default"/>
        <w:lang w:val="en-US" w:eastAsia="en-US" w:bidi="ar-SA"/>
      </w:rPr>
    </w:lvl>
    <w:lvl w:ilvl="3" w:tplc="3940C82E">
      <w:numFmt w:val="bullet"/>
      <w:lvlText w:val="•"/>
      <w:lvlJc w:val="left"/>
      <w:pPr>
        <w:ind w:left="3447" w:hanging="396"/>
      </w:pPr>
      <w:rPr>
        <w:rFonts w:hint="default"/>
        <w:lang w:val="en-US" w:eastAsia="en-US" w:bidi="ar-SA"/>
      </w:rPr>
    </w:lvl>
    <w:lvl w:ilvl="4" w:tplc="3EB888D0">
      <w:numFmt w:val="bullet"/>
      <w:lvlText w:val="•"/>
      <w:lvlJc w:val="left"/>
      <w:pPr>
        <w:ind w:left="4410" w:hanging="396"/>
      </w:pPr>
      <w:rPr>
        <w:rFonts w:hint="default"/>
        <w:lang w:val="en-US" w:eastAsia="en-US" w:bidi="ar-SA"/>
      </w:rPr>
    </w:lvl>
    <w:lvl w:ilvl="5" w:tplc="18528638">
      <w:numFmt w:val="bullet"/>
      <w:lvlText w:val="•"/>
      <w:lvlJc w:val="left"/>
      <w:pPr>
        <w:ind w:left="5372" w:hanging="396"/>
      </w:pPr>
      <w:rPr>
        <w:rFonts w:hint="default"/>
        <w:lang w:val="en-US" w:eastAsia="en-US" w:bidi="ar-SA"/>
      </w:rPr>
    </w:lvl>
    <w:lvl w:ilvl="6" w:tplc="AAA287D4">
      <w:numFmt w:val="bullet"/>
      <w:lvlText w:val="•"/>
      <w:lvlJc w:val="left"/>
      <w:pPr>
        <w:ind w:left="6335" w:hanging="396"/>
      </w:pPr>
      <w:rPr>
        <w:rFonts w:hint="default"/>
        <w:lang w:val="en-US" w:eastAsia="en-US" w:bidi="ar-SA"/>
      </w:rPr>
    </w:lvl>
    <w:lvl w:ilvl="7" w:tplc="5F70B334">
      <w:numFmt w:val="bullet"/>
      <w:lvlText w:val="•"/>
      <w:lvlJc w:val="left"/>
      <w:pPr>
        <w:ind w:left="7297" w:hanging="396"/>
      </w:pPr>
      <w:rPr>
        <w:rFonts w:hint="default"/>
        <w:lang w:val="en-US" w:eastAsia="en-US" w:bidi="ar-SA"/>
      </w:rPr>
    </w:lvl>
    <w:lvl w:ilvl="8" w:tplc="76FADD10">
      <w:numFmt w:val="bullet"/>
      <w:lvlText w:val="•"/>
      <w:lvlJc w:val="left"/>
      <w:pPr>
        <w:ind w:left="8260" w:hanging="396"/>
      </w:pPr>
      <w:rPr>
        <w:rFonts w:hint="default"/>
        <w:lang w:val="en-US" w:eastAsia="en-US" w:bidi="ar-SA"/>
      </w:rPr>
    </w:lvl>
  </w:abstractNum>
  <w:abstractNum w:abstractNumId="12" w15:restartNumberingAfterBreak="0">
    <w:nsid w:val="09826ED1"/>
    <w:multiLevelType w:val="hybridMultilevel"/>
    <w:tmpl w:val="16D07218"/>
    <w:lvl w:ilvl="0" w:tplc="90CED8D2">
      <w:start w:val="32"/>
      <w:numFmt w:val="decimal"/>
      <w:lvlText w:val="%1"/>
      <w:lvlJc w:val="left"/>
      <w:pPr>
        <w:ind w:left="564" w:hanging="396"/>
        <w:jc w:val="left"/>
      </w:pPr>
      <w:rPr>
        <w:rFonts w:ascii="Arial" w:eastAsia="Arial" w:hAnsi="Arial" w:cs="Arial" w:hint="default"/>
        <w:b/>
        <w:bCs/>
        <w:spacing w:val="-5"/>
        <w:w w:val="100"/>
        <w:sz w:val="18"/>
        <w:szCs w:val="18"/>
        <w:lang w:val="en-US" w:eastAsia="en-US" w:bidi="ar-SA"/>
      </w:rPr>
    </w:lvl>
    <w:lvl w:ilvl="1" w:tplc="70F00372">
      <w:numFmt w:val="bullet"/>
      <w:lvlText w:val="•"/>
      <w:lvlJc w:val="left"/>
      <w:pPr>
        <w:ind w:left="1522" w:hanging="396"/>
      </w:pPr>
      <w:rPr>
        <w:rFonts w:hint="default"/>
        <w:lang w:val="en-US" w:eastAsia="en-US" w:bidi="ar-SA"/>
      </w:rPr>
    </w:lvl>
    <w:lvl w:ilvl="2" w:tplc="707EF116">
      <w:numFmt w:val="bullet"/>
      <w:lvlText w:val="•"/>
      <w:lvlJc w:val="left"/>
      <w:pPr>
        <w:ind w:left="2485" w:hanging="396"/>
      </w:pPr>
      <w:rPr>
        <w:rFonts w:hint="default"/>
        <w:lang w:val="en-US" w:eastAsia="en-US" w:bidi="ar-SA"/>
      </w:rPr>
    </w:lvl>
    <w:lvl w:ilvl="3" w:tplc="828E160C">
      <w:numFmt w:val="bullet"/>
      <w:lvlText w:val="•"/>
      <w:lvlJc w:val="left"/>
      <w:pPr>
        <w:ind w:left="3447" w:hanging="396"/>
      </w:pPr>
      <w:rPr>
        <w:rFonts w:hint="default"/>
        <w:lang w:val="en-US" w:eastAsia="en-US" w:bidi="ar-SA"/>
      </w:rPr>
    </w:lvl>
    <w:lvl w:ilvl="4" w:tplc="4D9CCD98">
      <w:numFmt w:val="bullet"/>
      <w:lvlText w:val="•"/>
      <w:lvlJc w:val="left"/>
      <w:pPr>
        <w:ind w:left="4410" w:hanging="396"/>
      </w:pPr>
      <w:rPr>
        <w:rFonts w:hint="default"/>
        <w:lang w:val="en-US" w:eastAsia="en-US" w:bidi="ar-SA"/>
      </w:rPr>
    </w:lvl>
    <w:lvl w:ilvl="5" w:tplc="CE089288">
      <w:numFmt w:val="bullet"/>
      <w:lvlText w:val="•"/>
      <w:lvlJc w:val="left"/>
      <w:pPr>
        <w:ind w:left="5372" w:hanging="396"/>
      </w:pPr>
      <w:rPr>
        <w:rFonts w:hint="default"/>
        <w:lang w:val="en-US" w:eastAsia="en-US" w:bidi="ar-SA"/>
      </w:rPr>
    </w:lvl>
    <w:lvl w:ilvl="6" w:tplc="E370E9EA">
      <w:numFmt w:val="bullet"/>
      <w:lvlText w:val="•"/>
      <w:lvlJc w:val="left"/>
      <w:pPr>
        <w:ind w:left="6335" w:hanging="396"/>
      </w:pPr>
      <w:rPr>
        <w:rFonts w:hint="default"/>
        <w:lang w:val="en-US" w:eastAsia="en-US" w:bidi="ar-SA"/>
      </w:rPr>
    </w:lvl>
    <w:lvl w:ilvl="7" w:tplc="3512521A">
      <w:numFmt w:val="bullet"/>
      <w:lvlText w:val="•"/>
      <w:lvlJc w:val="left"/>
      <w:pPr>
        <w:ind w:left="7297" w:hanging="396"/>
      </w:pPr>
      <w:rPr>
        <w:rFonts w:hint="default"/>
        <w:lang w:val="en-US" w:eastAsia="en-US" w:bidi="ar-SA"/>
      </w:rPr>
    </w:lvl>
    <w:lvl w:ilvl="8" w:tplc="294244E0">
      <w:numFmt w:val="bullet"/>
      <w:lvlText w:val="•"/>
      <w:lvlJc w:val="left"/>
      <w:pPr>
        <w:ind w:left="8260" w:hanging="396"/>
      </w:pPr>
      <w:rPr>
        <w:rFonts w:hint="default"/>
        <w:lang w:val="en-US" w:eastAsia="en-US" w:bidi="ar-SA"/>
      </w:rPr>
    </w:lvl>
  </w:abstractNum>
  <w:abstractNum w:abstractNumId="13" w15:restartNumberingAfterBreak="0">
    <w:nsid w:val="0A290A73"/>
    <w:multiLevelType w:val="hybridMultilevel"/>
    <w:tmpl w:val="2C367F6E"/>
    <w:lvl w:ilvl="0" w:tplc="1D885B2E">
      <w:start w:val="11"/>
      <w:numFmt w:val="lowerLetter"/>
      <w:lvlText w:val="(%1)"/>
      <w:lvlJc w:val="left"/>
      <w:pPr>
        <w:ind w:left="1130" w:hanging="567"/>
        <w:jc w:val="left"/>
      </w:pPr>
      <w:rPr>
        <w:rFonts w:ascii="Arial" w:eastAsia="Arial" w:hAnsi="Arial" w:cs="Arial" w:hint="default"/>
        <w:b/>
        <w:bCs/>
        <w:w w:val="100"/>
        <w:sz w:val="18"/>
        <w:szCs w:val="18"/>
        <w:lang w:val="en-US" w:eastAsia="en-US" w:bidi="ar-SA"/>
      </w:rPr>
    </w:lvl>
    <w:lvl w:ilvl="1" w:tplc="56B85D76">
      <w:numFmt w:val="bullet"/>
      <w:lvlText w:val="•"/>
      <w:lvlJc w:val="left"/>
      <w:pPr>
        <w:ind w:left="2048" w:hanging="567"/>
      </w:pPr>
      <w:rPr>
        <w:rFonts w:hint="default"/>
        <w:lang w:val="en-US" w:eastAsia="en-US" w:bidi="ar-SA"/>
      </w:rPr>
    </w:lvl>
    <w:lvl w:ilvl="2" w:tplc="FC40DA34">
      <w:numFmt w:val="bullet"/>
      <w:lvlText w:val="•"/>
      <w:lvlJc w:val="left"/>
      <w:pPr>
        <w:ind w:left="2957" w:hanging="567"/>
      </w:pPr>
      <w:rPr>
        <w:rFonts w:hint="default"/>
        <w:lang w:val="en-US" w:eastAsia="en-US" w:bidi="ar-SA"/>
      </w:rPr>
    </w:lvl>
    <w:lvl w:ilvl="3" w:tplc="9BCC4A34">
      <w:numFmt w:val="bullet"/>
      <w:lvlText w:val="•"/>
      <w:lvlJc w:val="left"/>
      <w:pPr>
        <w:ind w:left="3865" w:hanging="567"/>
      </w:pPr>
      <w:rPr>
        <w:rFonts w:hint="default"/>
        <w:lang w:val="en-US" w:eastAsia="en-US" w:bidi="ar-SA"/>
      </w:rPr>
    </w:lvl>
    <w:lvl w:ilvl="4" w:tplc="2EDAC42A">
      <w:numFmt w:val="bullet"/>
      <w:lvlText w:val="•"/>
      <w:lvlJc w:val="left"/>
      <w:pPr>
        <w:ind w:left="4774" w:hanging="567"/>
      </w:pPr>
      <w:rPr>
        <w:rFonts w:hint="default"/>
        <w:lang w:val="en-US" w:eastAsia="en-US" w:bidi="ar-SA"/>
      </w:rPr>
    </w:lvl>
    <w:lvl w:ilvl="5" w:tplc="06FC453A">
      <w:numFmt w:val="bullet"/>
      <w:lvlText w:val="•"/>
      <w:lvlJc w:val="left"/>
      <w:pPr>
        <w:ind w:left="5682" w:hanging="567"/>
      </w:pPr>
      <w:rPr>
        <w:rFonts w:hint="default"/>
        <w:lang w:val="en-US" w:eastAsia="en-US" w:bidi="ar-SA"/>
      </w:rPr>
    </w:lvl>
    <w:lvl w:ilvl="6" w:tplc="14D2FA10">
      <w:numFmt w:val="bullet"/>
      <w:lvlText w:val="•"/>
      <w:lvlJc w:val="left"/>
      <w:pPr>
        <w:ind w:left="6591" w:hanging="567"/>
      </w:pPr>
      <w:rPr>
        <w:rFonts w:hint="default"/>
        <w:lang w:val="en-US" w:eastAsia="en-US" w:bidi="ar-SA"/>
      </w:rPr>
    </w:lvl>
    <w:lvl w:ilvl="7" w:tplc="E7EAA0A6">
      <w:numFmt w:val="bullet"/>
      <w:lvlText w:val="•"/>
      <w:lvlJc w:val="left"/>
      <w:pPr>
        <w:ind w:left="7499" w:hanging="567"/>
      </w:pPr>
      <w:rPr>
        <w:rFonts w:hint="default"/>
        <w:lang w:val="en-US" w:eastAsia="en-US" w:bidi="ar-SA"/>
      </w:rPr>
    </w:lvl>
    <w:lvl w:ilvl="8" w:tplc="8B7A2AD0">
      <w:numFmt w:val="bullet"/>
      <w:lvlText w:val="•"/>
      <w:lvlJc w:val="left"/>
      <w:pPr>
        <w:ind w:left="8408" w:hanging="567"/>
      </w:pPr>
      <w:rPr>
        <w:rFonts w:hint="default"/>
        <w:lang w:val="en-US" w:eastAsia="en-US" w:bidi="ar-SA"/>
      </w:rPr>
    </w:lvl>
  </w:abstractNum>
  <w:abstractNum w:abstractNumId="14" w15:restartNumberingAfterBreak="0">
    <w:nsid w:val="0A632F7B"/>
    <w:multiLevelType w:val="hybridMultilevel"/>
    <w:tmpl w:val="5D6A22EC"/>
    <w:lvl w:ilvl="0" w:tplc="07DAAC1A">
      <w:numFmt w:val="bullet"/>
      <w:lvlText w:val="-"/>
      <w:lvlJc w:val="left"/>
      <w:pPr>
        <w:ind w:left="776" w:hanging="162"/>
      </w:pPr>
      <w:rPr>
        <w:rFonts w:ascii="Arial" w:eastAsia="Arial" w:hAnsi="Arial" w:cs="Arial" w:hint="default"/>
        <w:w w:val="100"/>
        <w:sz w:val="18"/>
        <w:szCs w:val="18"/>
        <w:lang w:val="en-US" w:eastAsia="en-US" w:bidi="ar-SA"/>
      </w:rPr>
    </w:lvl>
    <w:lvl w:ilvl="1" w:tplc="D9C05A8A">
      <w:numFmt w:val="bullet"/>
      <w:lvlText w:val="•"/>
      <w:lvlJc w:val="left"/>
      <w:pPr>
        <w:ind w:left="1720" w:hanging="162"/>
      </w:pPr>
      <w:rPr>
        <w:rFonts w:hint="default"/>
        <w:lang w:val="en-US" w:eastAsia="en-US" w:bidi="ar-SA"/>
      </w:rPr>
    </w:lvl>
    <w:lvl w:ilvl="2" w:tplc="B74ED892">
      <w:numFmt w:val="bullet"/>
      <w:lvlText w:val="•"/>
      <w:lvlJc w:val="left"/>
      <w:pPr>
        <w:ind w:left="2661" w:hanging="162"/>
      </w:pPr>
      <w:rPr>
        <w:rFonts w:hint="default"/>
        <w:lang w:val="en-US" w:eastAsia="en-US" w:bidi="ar-SA"/>
      </w:rPr>
    </w:lvl>
    <w:lvl w:ilvl="3" w:tplc="F2740C6A">
      <w:numFmt w:val="bullet"/>
      <w:lvlText w:val="•"/>
      <w:lvlJc w:val="left"/>
      <w:pPr>
        <w:ind w:left="3601" w:hanging="162"/>
      </w:pPr>
      <w:rPr>
        <w:rFonts w:hint="default"/>
        <w:lang w:val="en-US" w:eastAsia="en-US" w:bidi="ar-SA"/>
      </w:rPr>
    </w:lvl>
    <w:lvl w:ilvl="4" w:tplc="B9D6BE40">
      <w:numFmt w:val="bullet"/>
      <w:lvlText w:val="•"/>
      <w:lvlJc w:val="left"/>
      <w:pPr>
        <w:ind w:left="4542" w:hanging="162"/>
      </w:pPr>
      <w:rPr>
        <w:rFonts w:hint="default"/>
        <w:lang w:val="en-US" w:eastAsia="en-US" w:bidi="ar-SA"/>
      </w:rPr>
    </w:lvl>
    <w:lvl w:ilvl="5" w:tplc="3AAEB20A">
      <w:numFmt w:val="bullet"/>
      <w:lvlText w:val="•"/>
      <w:lvlJc w:val="left"/>
      <w:pPr>
        <w:ind w:left="5482" w:hanging="162"/>
      </w:pPr>
      <w:rPr>
        <w:rFonts w:hint="default"/>
        <w:lang w:val="en-US" w:eastAsia="en-US" w:bidi="ar-SA"/>
      </w:rPr>
    </w:lvl>
    <w:lvl w:ilvl="6" w:tplc="DE24971E">
      <w:numFmt w:val="bullet"/>
      <w:lvlText w:val="•"/>
      <w:lvlJc w:val="left"/>
      <w:pPr>
        <w:ind w:left="6423" w:hanging="162"/>
      </w:pPr>
      <w:rPr>
        <w:rFonts w:hint="default"/>
        <w:lang w:val="en-US" w:eastAsia="en-US" w:bidi="ar-SA"/>
      </w:rPr>
    </w:lvl>
    <w:lvl w:ilvl="7" w:tplc="CF50E20E">
      <w:numFmt w:val="bullet"/>
      <w:lvlText w:val="•"/>
      <w:lvlJc w:val="left"/>
      <w:pPr>
        <w:ind w:left="7363" w:hanging="162"/>
      </w:pPr>
      <w:rPr>
        <w:rFonts w:hint="default"/>
        <w:lang w:val="en-US" w:eastAsia="en-US" w:bidi="ar-SA"/>
      </w:rPr>
    </w:lvl>
    <w:lvl w:ilvl="8" w:tplc="F7DA1E50">
      <w:numFmt w:val="bullet"/>
      <w:lvlText w:val="•"/>
      <w:lvlJc w:val="left"/>
      <w:pPr>
        <w:ind w:left="8304" w:hanging="162"/>
      </w:pPr>
      <w:rPr>
        <w:rFonts w:hint="default"/>
        <w:lang w:val="en-US" w:eastAsia="en-US" w:bidi="ar-SA"/>
      </w:rPr>
    </w:lvl>
  </w:abstractNum>
  <w:abstractNum w:abstractNumId="15" w15:restartNumberingAfterBreak="0">
    <w:nsid w:val="0A9644F5"/>
    <w:multiLevelType w:val="hybridMultilevel"/>
    <w:tmpl w:val="40684E82"/>
    <w:lvl w:ilvl="0" w:tplc="280A7E16">
      <w:start w:val="1"/>
      <w:numFmt w:val="lowerRoman"/>
      <w:lvlText w:val="(%1)"/>
      <w:lvlJc w:val="left"/>
      <w:pPr>
        <w:ind w:left="785" w:hanging="222"/>
        <w:jc w:val="left"/>
      </w:pPr>
      <w:rPr>
        <w:rFonts w:ascii="Arial" w:eastAsia="Arial" w:hAnsi="Arial" w:cs="Arial" w:hint="default"/>
        <w:b/>
        <w:bCs/>
        <w:w w:val="100"/>
        <w:sz w:val="18"/>
        <w:szCs w:val="18"/>
        <w:lang w:val="en-US" w:eastAsia="en-US" w:bidi="ar-SA"/>
      </w:rPr>
    </w:lvl>
    <w:lvl w:ilvl="1" w:tplc="ABA69CF4">
      <w:numFmt w:val="bullet"/>
      <w:lvlText w:val="•"/>
      <w:lvlJc w:val="left"/>
      <w:pPr>
        <w:ind w:left="1724" w:hanging="222"/>
      </w:pPr>
      <w:rPr>
        <w:rFonts w:hint="default"/>
        <w:lang w:val="en-US" w:eastAsia="en-US" w:bidi="ar-SA"/>
      </w:rPr>
    </w:lvl>
    <w:lvl w:ilvl="2" w:tplc="E9A86F60">
      <w:numFmt w:val="bullet"/>
      <w:lvlText w:val="•"/>
      <w:lvlJc w:val="left"/>
      <w:pPr>
        <w:ind w:left="2669" w:hanging="222"/>
      </w:pPr>
      <w:rPr>
        <w:rFonts w:hint="default"/>
        <w:lang w:val="en-US" w:eastAsia="en-US" w:bidi="ar-SA"/>
      </w:rPr>
    </w:lvl>
    <w:lvl w:ilvl="3" w:tplc="4EFC9174">
      <w:numFmt w:val="bullet"/>
      <w:lvlText w:val="•"/>
      <w:lvlJc w:val="left"/>
      <w:pPr>
        <w:ind w:left="3613" w:hanging="222"/>
      </w:pPr>
      <w:rPr>
        <w:rFonts w:hint="default"/>
        <w:lang w:val="en-US" w:eastAsia="en-US" w:bidi="ar-SA"/>
      </w:rPr>
    </w:lvl>
    <w:lvl w:ilvl="4" w:tplc="72CC8AC6">
      <w:numFmt w:val="bullet"/>
      <w:lvlText w:val="•"/>
      <w:lvlJc w:val="left"/>
      <w:pPr>
        <w:ind w:left="4558" w:hanging="222"/>
      </w:pPr>
      <w:rPr>
        <w:rFonts w:hint="default"/>
        <w:lang w:val="en-US" w:eastAsia="en-US" w:bidi="ar-SA"/>
      </w:rPr>
    </w:lvl>
    <w:lvl w:ilvl="5" w:tplc="57CA7422">
      <w:numFmt w:val="bullet"/>
      <w:lvlText w:val="•"/>
      <w:lvlJc w:val="left"/>
      <w:pPr>
        <w:ind w:left="5502" w:hanging="222"/>
      </w:pPr>
      <w:rPr>
        <w:rFonts w:hint="default"/>
        <w:lang w:val="en-US" w:eastAsia="en-US" w:bidi="ar-SA"/>
      </w:rPr>
    </w:lvl>
    <w:lvl w:ilvl="6" w:tplc="A1468AF4">
      <w:numFmt w:val="bullet"/>
      <w:lvlText w:val="•"/>
      <w:lvlJc w:val="left"/>
      <w:pPr>
        <w:ind w:left="6447" w:hanging="222"/>
      </w:pPr>
      <w:rPr>
        <w:rFonts w:hint="default"/>
        <w:lang w:val="en-US" w:eastAsia="en-US" w:bidi="ar-SA"/>
      </w:rPr>
    </w:lvl>
    <w:lvl w:ilvl="7" w:tplc="30C4147C">
      <w:numFmt w:val="bullet"/>
      <w:lvlText w:val="•"/>
      <w:lvlJc w:val="left"/>
      <w:pPr>
        <w:ind w:left="7391" w:hanging="222"/>
      </w:pPr>
      <w:rPr>
        <w:rFonts w:hint="default"/>
        <w:lang w:val="en-US" w:eastAsia="en-US" w:bidi="ar-SA"/>
      </w:rPr>
    </w:lvl>
    <w:lvl w:ilvl="8" w:tplc="27BCDFEC">
      <w:numFmt w:val="bullet"/>
      <w:lvlText w:val="•"/>
      <w:lvlJc w:val="left"/>
      <w:pPr>
        <w:ind w:left="8336" w:hanging="222"/>
      </w:pPr>
      <w:rPr>
        <w:rFonts w:hint="default"/>
        <w:lang w:val="en-US" w:eastAsia="en-US" w:bidi="ar-SA"/>
      </w:rPr>
    </w:lvl>
  </w:abstractNum>
  <w:abstractNum w:abstractNumId="16" w15:restartNumberingAfterBreak="0">
    <w:nsid w:val="0ACB510C"/>
    <w:multiLevelType w:val="hybridMultilevel"/>
    <w:tmpl w:val="07AA83A0"/>
    <w:lvl w:ilvl="0" w:tplc="F8881F62">
      <w:start w:val="34"/>
      <w:numFmt w:val="decimal"/>
      <w:lvlText w:val="%1"/>
      <w:lvlJc w:val="left"/>
      <w:pPr>
        <w:ind w:left="504" w:hanging="396"/>
        <w:jc w:val="left"/>
      </w:pPr>
      <w:rPr>
        <w:rFonts w:ascii="Arial" w:eastAsia="Arial" w:hAnsi="Arial" w:cs="Arial" w:hint="default"/>
        <w:b/>
        <w:bCs/>
        <w:spacing w:val="-5"/>
        <w:w w:val="100"/>
        <w:sz w:val="18"/>
        <w:szCs w:val="18"/>
        <w:lang w:val="en-US" w:eastAsia="en-US" w:bidi="ar-SA"/>
      </w:rPr>
    </w:lvl>
    <w:lvl w:ilvl="1" w:tplc="42C4ADEC">
      <w:numFmt w:val="bullet"/>
      <w:lvlText w:val="•"/>
      <w:lvlJc w:val="left"/>
      <w:pPr>
        <w:ind w:left="1464" w:hanging="396"/>
      </w:pPr>
      <w:rPr>
        <w:rFonts w:hint="default"/>
        <w:lang w:val="en-US" w:eastAsia="en-US" w:bidi="ar-SA"/>
      </w:rPr>
    </w:lvl>
    <w:lvl w:ilvl="2" w:tplc="E03011BE">
      <w:numFmt w:val="bullet"/>
      <w:lvlText w:val="•"/>
      <w:lvlJc w:val="left"/>
      <w:pPr>
        <w:ind w:left="2429" w:hanging="396"/>
      </w:pPr>
      <w:rPr>
        <w:rFonts w:hint="default"/>
        <w:lang w:val="en-US" w:eastAsia="en-US" w:bidi="ar-SA"/>
      </w:rPr>
    </w:lvl>
    <w:lvl w:ilvl="3" w:tplc="1F149D0C">
      <w:numFmt w:val="bullet"/>
      <w:lvlText w:val="•"/>
      <w:lvlJc w:val="left"/>
      <w:pPr>
        <w:ind w:left="3393" w:hanging="396"/>
      </w:pPr>
      <w:rPr>
        <w:rFonts w:hint="default"/>
        <w:lang w:val="en-US" w:eastAsia="en-US" w:bidi="ar-SA"/>
      </w:rPr>
    </w:lvl>
    <w:lvl w:ilvl="4" w:tplc="58C622F6">
      <w:numFmt w:val="bullet"/>
      <w:lvlText w:val="•"/>
      <w:lvlJc w:val="left"/>
      <w:pPr>
        <w:ind w:left="4358" w:hanging="396"/>
      </w:pPr>
      <w:rPr>
        <w:rFonts w:hint="default"/>
        <w:lang w:val="en-US" w:eastAsia="en-US" w:bidi="ar-SA"/>
      </w:rPr>
    </w:lvl>
    <w:lvl w:ilvl="5" w:tplc="82603AA2">
      <w:numFmt w:val="bullet"/>
      <w:lvlText w:val="•"/>
      <w:lvlJc w:val="left"/>
      <w:pPr>
        <w:ind w:left="5322" w:hanging="396"/>
      </w:pPr>
      <w:rPr>
        <w:rFonts w:hint="default"/>
        <w:lang w:val="en-US" w:eastAsia="en-US" w:bidi="ar-SA"/>
      </w:rPr>
    </w:lvl>
    <w:lvl w:ilvl="6" w:tplc="DD023D10">
      <w:numFmt w:val="bullet"/>
      <w:lvlText w:val="•"/>
      <w:lvlJc w:val="left"/>
      <w:pPr>
        <w:ind w:left="6287" w:hanging="396"/>
      </w:pPr>
      <w:rPr>
        <w:rFonts w:hint="default"/>
        <w:lang w:val="en-US" w:eastAsia="en-US" w:bidi="ar-SA"/>
      </w:rPr>
    </w:lvl>
    <w:lvl w:ilvl="7" w:tplc="09AEAA4C">
      <w:numFmt w:val="bullet"/>
      <w:lvlText w:val="•"/>
      <w:lvlJc w:val="left"/>
      <w:pPr>
        <w:ind w:left="7251" w:hanging="396"/>
      </w:pPr>
      <w:rPr>
        <w:rFonts w:hint="default"/>
        <w:lang w:val="en-US" w:eastAsia="en-US" w:bidi="ar-SA"/>
      </w:rPr>
    </w:lvl>
    <w:lvl w:ilvl="8" w:tplc="96F848CC">
      <w:numFmt w:val="bullet"/>
      <w:lvlText w:val="•"/>
      <w:lvlJc w:val="left"/>
      <w:pPr>
        <w:ind w:left="8216" w:hanging="396"/>
      </w:pPr>
      <w:rPr>
        <w:rFonts w:hint="default"/>
        <w:lang w:val="en-US" w:eastAsia="en-US" w:bidi="ar-SA"/>
      </w:rPr>
    </w:lvl>
  </w:abstractNum>
  <w:abstractNum w:abstractNumId="17" w15:restartNumberingAfterBreak="0">
    <w:nsid w:val="0D4C485F"/>
    <w:multiLevelType w:val="hybridMultilevel"/>
    <w:tmpl w:val="3B105DE2"/>
    <w:lvl w:ilvl="0" w:tplc="0FDCDCB4">
      <w:start w:val="25"/>
      <w:numFmt w:val="decimal"/>
      <w:lvlText w:val="%1"/>
      <w:lvlJc w:val="left"/>
      <w:pPr>
        <w:ind w:left="564" w:hanging="396"/>
        <w:jc w:val="left"/>
      </w:pPr>
      <w:rPr>
        <w:rFonts w:ascii="Arial" w:eastAsia="Arial" w:hAnsi="Arial" w:cs="Arial" w:hint="default"/>
        <w:b/>
        <w:bCs/>
        <w:spacing w:val="-5"/>
        <w:w w:val="100"/>
        <w:sz w:val="18"/>
        <w:szCs w:val="18"/>
        <w:lang w:val="en-US" w:eastAsia="en-US" w:bidi="ar-SA"/>
      </w:rPr>
    </w:lvl>
    <w:lvl w:ilvl="1" w:tplc="882A55E8">
      <w:numFmt w:val="bullet"/>
      <w:lvlText w:val="•"/>
      <w:lvlJc w:val="left"/>
      <w:pPr>
        <w:ind w:left="1522" w:hanging="396"/>
      </w:pPr>
      <w:rPr>
        <w:rFonts w:hint="default"/>
        <w:lang w:val="en-US" w:eastAsia="en-US" w:bidi="ar-SA"/>
      </w:rPr>
    </w:lvl>
    <w:lvl w:ilvl="2" w:tplc="1AC8EA38">
      <w:numFmt w:val="bullet"/>
      <w:lvlText w:val="•"/>
      <w:lvlJc w:val="left"/>
      <w:pPr>
        <w:ind w:left="2485" w:hanging="396"/>
      </w:pPr>
      <w:rPr>
        <w:rFonts w:hint="default"/>
        <w:lang w:val="en-US" w:eastAsia="en-US" w:bidi="ar-SA"/>
      </w:rPr>
    </w:lvl>
    <w:lvl w:ilvl="3" w:tplc="2CECA90E">
      <w:numFmt w:val="bullet"/>
      <w:lvlText w:val="•"/>
      <w:lvlJc w:val="left"/>
      <w:pPr>
        <w:ind w:left="3447" w:hanging="396"/>
      </w:pPr>
      <w:rPr>
        <w:rFonts w:hint="default"/>
        <w:lang w:val="en-US" w:eastAsia="en-US" w:bidi="ar-SA"/>
      </w:rPr>
    </w:lvl>
    <w:lvl w:ilvl="4" w:tplc="1AF6C1EA">
      <w:numFmt w:val="bullet"/>
      <w:lvlText w:val="•"/>
      <w:lvlJc w:val="left"/>
      <w:pPr>
        <w:ind w:left="4410" w:hanging="396"/>
      </w:pPr>
      <w:rPr>
        <w:rFonts w:hint="default"/>
        <w:lang w:val="en-US" w:eastAsia="en-US" w:bidi="ar-SA"/>
      </w:rPr>
    </w:lvl>
    <w:lvl w:ilvl="5" w:tplc="D040A2BA">
      <w:numFmt w:val="bullet"/>
      <w:lvlText w:val="•"/>
      <w:lvlJc w:val="left"/>
      <w:pPr>
        <w:ind w:left="5372" w:hanging="396"/>
      </w:pPr>
      <w:rPr>
        <w:rFonts w:hint="default"/>
        <w:lang w:val="en-US" w:eastAsia="en-US" w:bidi="ar-SA"/>
      </w:rPr>
    </w:lvl>
    <w:lvl w:ilvl="6" w:tplc="4BBAB100">
      <w:numFmt w:val="bullet"/>
      <w:lvlText w:val="•"/>
      <w:lvlJc w:val="left"/>
      <w:pPr>
        <w:ind w:left="6335" w:hanging="396"/>
      </w:pPr>
      <w:rPr>
        <w:rFonts w:hint="default"/>
        <w:lang w:val="en-US" w:eastAsia="en-US" w:bidi="ar-SA"/>
      </w:rPr>
    </w:lvl>
    <w:lvl w:ilvl="7" w:tplc="E39A5138">
      <w:numFmt w:val="bullet"/>
      <w:lvlText w:val="•"/>
      <w:lvlJc w:val="left"/>
      <w:pPr>
        <w:ind w:left="7297" w:hanging="396"/>
      </w:pPr>
      <w:rPr>
        <w:rFonts w:hint="default"/>
        <w:lang w:val="en-US" w:eastAsia="en-US" w:bidi="ar-SA"/>
      </w:rPr>
    </w:lvl>
    <w:lvl w:ilvl="8" w:tplc="4104A9F6">
      <w:numFmt w:val="bullet"/>
      <w:lvlText w:val="•"/>
      <w:lvlJc w:val="left"/>
      <w:pPr>
        <w:ind w:left="8260" w:hanging="396"/>
      </w:pPr>
      <w:rPr>
        <w:rFonts w:hint="default"/>
        <w:lang w:val="en-US" w:eastAsia="en-US" w:bidi="ar-SA"/>
      </w:rPr>
    </w:lvl>
  </w:abstractNum>
  <w:abstractNum w:abstractNumId="18" w15:restartNumberingAfterBreak="0">
    <w:nsid w:val="106E6E77"/>
    <w:multiLevelType w:val="hybridMultilevel"/>
    <w:tmpl w:val="48BA6D48"/>
    <w:lvl w:ilvl="0" w:tplc="E020C5B2">
      <w:numFmt w:val="bullet"/>
      <w:lvlText w:val="-"/>
      <w:lvlJc w:val="left"/>
      <w:pPr>
        <w:ind w:left="674" w:hanging="111"/>
      </w:pPr>
      <w:rPr>
        <w:rFonts w:ascii="Arial" w:eastAsia="Arial" w:hAnsi="Arial" w:cs="Arial" w:hint="default"/>
        <w:w w:val="100"/>
        <w:sz w:val="18"/>
        <w:szCs w:val="18"/>
        <w:lang w:val="en-US" w:eastAsia="en-US" w:bidi="ar-SA"/>
      </w:rPr>
    </w:lvl>
    <w:lvl w:ilvl="1" w:tplc="BF5CC848">
      <w:numFmt w:val="bullet"/>
      <w:lvlText w:val="•"/>
      <w:lvlJc w:val="left"/>
      <w:pPr>
        <w:ind w:left="1634" w:hanging="111"/>
      </w:pPr>
      <w:rPr>
        <w:rFonts w:hint="default"/>
        <w:lang w:val="en-US" w:eastAsia="en-US" w:bidi="ar-SA"/>
      </w:rPr>
    </w:lvl>
    <w:lvl w:ilvl="2" w:tplc="0F4AEC8E">
      <w:numFmt w:val="bullet"/>
      <w:lvlText w:val="•"/>
      <w:lvlJc w:val="left"/>
      <w:pPr>
        <w:ind w:left="2589" w:hanging="111"/>
      </w:pPr>
      <w:rPr>
        <w:rFonts w:hint="default"/>
        <w:lang w:val="en-US" w:eastAsia="en-US" w:bidi="ar-SA"/>
      </w:rPr>
    </w:lvl>
    <w:lvl w:ilvl="3" w:tplc="BADE5BA8">
      <w:numFmt w:val="bullet"/>
      <w:lvlText w:val="•"/>
      <w:lvlJc w:val="left"/>
      <w:pPr>
        <w:ind w:left="3543" w:hanging="111"/>
      </w:pPr>
      <w:rPr>
        <w:rFonts w:hint="default"/>
        <w:lang w:val="en-US" w:eastAsia="en-US" w:bidi="ar-SA"/>
      </w:rPr>
    </w:lvl>
    <w:lvl w:ilvl="4" w:tplc="AC1671A8">
      <w:numFmt w:val="bullet"/>
      <w:lvlText w:val="•"/>
      <w:lvlJc w:val="left"/>
      <w:pPr>
        <w:ind w:left="4498" w:hanging="111"/>
      </w:pPr>
      <w:rPr>
        <w:rFonts w:hint="default"/>
        <w:lang w:val="en-US" w:eastAsia="en-US" w:bidi="ar-SA"/>
      </w:rPr>
    </w:lvl>
    <w:lvl w:ilvl="5" w:tplc="B9629104">
      <w:numFmt w:val="bullet"/>
      <w:lvlText w:val="•"/>
      <w:lvlJc w:val="left"/>
      <w:pPr>
        <w:ind w:left="5452" w:hanging="111"/>
      </w:pPr>
      <w:rPr>
        <w:rFonts w:hint="default"/>
        <w:lang w:val="en-US" w:eastAsia="en-US" w:bidi="ar-SA"/>
      </w:rPr>
    </w:lvl>
    <w:lvl w:ilvl="6" w:tplc="D4543D30">
      <w:numFmt w:val="bullet"/>
      <w:lvlText w:val="•"/>
      <w:lvlJc w:val="left"/>
      <w:pPr>
        <w:ind w:left="6407" w:hanging="111"/>
      </w:pPr>
      <w:rPr>
        <w:rFonts w:hint="default"/>
        <w:lang w:val="en-US" w:eastAsia="en-US" w:bidi="ar-SA"/>
      </w:rPr>
    </w:lvl>
    <w:lvl w:ilvl="7" w:tplc="B5FAE9B6">
      <w:numFmt w:val="bullet"/>
      <w:lvlText w:val="•"/>
      <w:lvlJc w:val="left"/>
      <w:pPr>
        <w:ind w:left="7361" w:hanging="111"/>
      </w:pPr>
      <w:rPr>
        <w:rFonts w:hint="default"/>
        <w:lang w:val="en-US" w:eastAsia="en-US" w:bidi="ar-SA"/>
      </w:rPr>
    </w:lvl>
    <w:lvl w:ilvl="8" w:tplc="9306EF36">
      <w:numFmt w:val="bullet"/>
      <w:lvlText w:val="•"/>
      <w:lvlJc w:val="left"/>
      <w:pPr>
        <w:ind w:left="8316" w:hanging="111"/>
      </w:pPr>
      <w:rPr>
        <w:rFonts w:hint="default"/>
        <w:lang w:val="en-US" w:eastAsia="en-US" w:bidi="ar-SA"/>
      </w:rPr>
    </w:lvl>
  </w:abstractNum>
  <w:abstractNum w:abstractNumId="19" w15:restartNumberingAfterBreak="0">
    <w:nsid w:val="120327D8"/>
    <w:multiLevelType w:val="hybridMultilevel"/>
    <w:tmpl w:val="90FEC5C8"/>
    <w:lvl w:ilvl="0" w:tplc="2996D07A">
      <w:start w:val="1"/>
      <w:numFmt w:val="lowerLetter"/>
      <w:lvlText w:val="(%1)"/>
      <w:lvlJc w:val="left"/>
      <w:pPr>
        <w:ind w:left="1130" w:hanging="567"/>
        <w:jc w:val="left"/>
      </w:pPr>
      <w:rPr>
        <w:rFonts w:ascii="Arial" w:eastAsia="Arial" w:hAnsi="Arial" w:cs="Arial" w:hint="default"/>
        <w:b/>
        <w:bCs/>
        <w:w w:val="100"/>
        <w:sz w:val="18"/>
        <w:szCs w:val="18"/>
        <w:lang w:val="en-US" w:eastAsia="en-US" w:bidi="ar-SA"/>
      </w:rPr>
    </w:lvl>
    <w:lvl w:ilvl="1" w:tplc="57BC37DA">
      <w:numFmt w:val="bullet"/>
      <w:lvlText w:val=""/>
      <w:lvlJc w:val="left"/>
      <w:pPr>
        <w:ind w:left="1696" w:hanging="567"/>
      </w:pPr>
      <w:rPr>
        <w:rFonts w:ascii="Symbol" w:eastAsia="Symbol" w:hAnsi="Symbol" w:cs="Symbol" w:hint="default"/>
        <w:w w:val="100"/>
        <w:sz w:val="18"/>
        <w:szCs w:val="18"/>
        <w:lang w:val="en-US" w:eastAsia="en-US" w:bidi="ar-SA"/>
      </w:rPr>
    </w:lvl>
    <w:lvl w:ilvl="2" w:tplc="F3E8B908">
      <w:numFmt w:val="bullet"/>
      <w:lvlText w:val="•"/>
      <w:lvlJc w:val="left"/>
      <w:pPr>
        <w:ind w:left="2647" w:hanging="567"/>
      </w:pPr>
      <w:rPr>
        <w:rFonts w:hint="default"/>
        <w:lang w:val="en-US" w:eastAsia="en-US" w:bidi="ar-SA"/>
      </w:rPr>
    </w:lvl>
    <w:lvl w:ilvl="3" w:tplc="0E46F726">
      <w:numFmt w:val="bullet"/>
      <w:lvlText w:val="•"/>
      <w:lvlJc w:val="left"/>
      <w:pPr>
        <w:ind w:left="3594" w:hanging="567"/>
      </w:pPr>
      <w:rPr>
        <w:rFonts w:hint="default"/>
        <w:lang w:val="en-US" w:eastAsia="en-US" w:bidi="ar-SA"/>
      </w:rPr>
    </w:lvl>
    <w:lvl w:ilvl="4" w:tplc="F238ED4E">
      <w:numFmt w:val="bullet"/>
      <w:lvlText w:val="•"/>
      <w:lvlJc w:val="left"/>
      <w:pPr>
        <w:ind w:left="4541" w:hanging="567"/>
      </w:pPr>
      <w:rPr>
        <w:rFonts w:hint="default"/>
        <w:lang w:val="en-US" w:eastAsia="en-US" w:bidi="ar-SA"/>
      </w:rPr>
    </w:lvl>
    <w:lvl w:ilvl="5" w:tplc="81D65474">
      <w:numFmt w:val="bullet"/>
      <w:lvlText w:val="•"/>
      <w:lvlJc w:val="left"/>
      <w:pPr>
        <w:ind w:left="5489" w:hanging="567"/>
      </w:pPr>
      <w:rPr>
        <w:rFonts w:hint="default"/>
        <w:lang w:val="en-US" w:eastAsia="en-US" w:bidi="ar-SA"/>
      </w:rPr>
    </w:lvl>
    <w:lvl w:ilvl="6" w:tplc="52469EAA">
      <w:numFmt w:val="bullet"/>
      <w:lvlText w:val="•"/>
      <w:lvlJc w:val="left"/>
      <w:pPr>
        <w:ind w:left="6436" w:hanging="567"/>
      </w:pPr>
      <w:rPr>
        <w:rFonts w:hint="default"/>
        <w:lang w:val="en-US" w:eastAsia="en-US" w:bidi="ar-SA"/>
      </w:rPr>
    </w:lvl>
    <w:lvl w:ilvl="7" w:tplc="501460C2">
      <w:numFmt w:val="bullet"/>
      <w:lvlText w:val="•"/>
      <w:lvlJc w:val="left"/>
      <w:pPr>
        <w:ind w:left="7383" w:hanging="567"/>
      </w:pPr>
      <w:rPr>
        <w:rFonts w:hint="default"/>
        <w:lang w:val="en-US" w:eastAsia="en-US" w:bidi="ar-SA"/>
      </w:rPr>
    </w:lvl>
    <w:lvl w:ilvl="8" w:tplc="4F480BAE">
      <w:numFmt w:val="bullet"/>
      <w:lvlText w:val="•"/>
      <w:lvlJc w:val="left"/>
      <w:pPr>
        <w:ind w:left="8330" w:hanging="567"/>
      </w:pPr>
      <w:rPr>
        <w:rFonts w:hint="default"/>
        <w:lang w:val="en-US" w:eastAsia="en-US" w:bidi="ar-SA"/>
      </w:rPr>
    </w:lvl>
  </w:abstractNum>
  <w:abstractNum w:abstractNumId="20" w15:restartNumberingAfterBreak="0">
    <w:nsid w:val="144C5416"/>
    <w:multiLevelType w:val="hybridMultilevel"/>
    <w:tmpl w:val="54C0ADC0"/>
    <w:lvl w:ilvl="0" w:tplc="2C8EACE2">
      <w:start w:val="1"/>
      <w:numFmt w:val="decimal"/>
      <w:lvlText w:val="%1."/>
      <w:lvlJc w:val="left"/>
      <w:pPr>
        <w:ind w:left="498" w:hanging="382"/>
        <w:jc w:val="left"/>
      </w:pPr>
      <w:rPr>
        <w:rFonts w:hint="default"/>
        <w:spacing w:val="-1"/>
        <w:w w:val="98"/>
        <w:lang w:val="en-US" w:eastAsia="en-US" w:bidi="ar-SA"/>
      </w:rPr>
    </w:lvl>
    <w:lvl w:ilvl="1" w:tplc="F4E6E36E">
      <w:start w:val="1"/>
      <w:numFmt w:val="lowerLetter"/>
      <w:lvlText w:val="%2."/>
      <w:lvlJc w:val="left"/>
      <w:pPr>
        <w:ind w:left="878" w:hanging="379"/>
        <w:jc w:val="left"/>
      </w:pPr>
      <w:rPr>
        <w:rFonts w:hint="default"/>
        <w:spacing w:val="-1"/>
        <w:w w:val="92"/>
        <w:lang w:val="en-US" w:eastAsia="en-US" w:bidi="ar-SA"/>
      </w:rPr>
    </w:lvl>
    <w:lvl w:ilvl="2" w:tplc="A42E0E78">
      <w:numFmt w:val="bullet"/>
      <w:lvlText w:val="•"/>
      <w:lvlJc w:val="left"/>
      <w:pPr>
        <w:ind w:left="1858" w:hanging="379"/>
      </w:pPr>
      <w:rPr>
        <w:rFonts w:hint="default"/>
        <w:lang w:val="en-US" w:eastAsia="en-US" w:bidi="ar-SA"/>
      </w:rPr>
    </w:lvl>
    <w:lvl w:ilvl="3" w:tplc="81505B58">
      <w:numFmt w:val="bullet"/>
      <w:lvlText w:val="•"/>
      <w:lvlJc w:val="left"/>
      <w:pPr>
        <w:ind w:left="2837" w:hanging="379"/>
      </w:pPr>
      <w:rPr>
        <w:rFonts w:hint="default"/>
        <w:lang w:val="en-US" w:eastAsia="en-US" w:bidi="ar-SA"/>
      </w:rPr>
    </w:lvl>
    <w:lvl w:ilvl="4" w:tplc="C8027718">
      <w:numFmt w:val="bullet"/>
      <w:lvlText w:val="•"/>
      <w:lvlJc w:val="left"/>
      <w:pPr>
        <w:ind w:left="3816" w:hanging="379"/>
      </w:pPr>
      <w:rPr>
        <w:rFonts w:hint="default"/>
        <w:lang w:val="en-US" w:eastAsia="en-US" w:bidi="ar-SA"/>
      </w:rPr>
    </w:lvl>
    <w:lvl w:ilvl="5" w:tplc="4B7A1AFC">
      <w:numFmt w:val="bullet"/>
      <w:lvlText w:val="•"/>
      <w:lvlJc w:val="left"/>
      <w:pPr>
        <w:ind w:left="4795" w:hanging="379"/>
      </w:pPr>
      <w:rPr>
        <w:rFonts w:hint="default"/>
        <w:lang w:val="en-US" w:eastAsia="en-US" w:bidi="ar-SA"/>
      </w:rPr>
    </w:lvl>
    <w:lvl w:ilvl="6" w:tplc="74BCCA8E">
      <w:numFmt w:val="bullet"/>
      <w:lvlText w:val="•"/>
      <w:lvlJc w:val="left"/>
      <w:pPr>
        <w:ind w:left="5773" w:hanging="379"/>
      </w:pPr>
      <w:rPr>
        <w:rFonts w:hint="default"/>
        <w:lang w:val="en-US" w:eastAsia="en-US" w:bidi="ar-SA"/>
      </w:rPr>
    </w:lvl>
    <w:lvl w:ilvl="7" w:tplc="48F2C19C">
      <w:numFmt w:val="bullet"/>
      <w:lvlText w:val="•"/>
      <w:lvlJc w:val="left"/>
      <w:pPr>
        <w:ind w:left="6752" w:hanging="379"/>
      </w:pPr>
      <w:rPr>
        <w:rFonts w:hint="default"/>
        <w:lang w:val="en-US" w:eastAsia="en-US" w:bidi="ar-SA"/>
      </w:rPr>
    </w:lvl>
    <w:lvl w:ilvl="8" w:tplc="FC0C0648">
      <w:numFmt w:val="bullet"/>
      <w:lvlText w:val="•"/>
      <w:lvlJc w:val="left"/>
      <w:pPr>
        <w:ind w:left="7731" w:hanging="379"/>
      </w:pPr>
      <w:rPr>
        <w:rFonts w:hint="default"/>
        <w:lang w:val="en-US" w:eastAsia="en-US" w:bidi="ar-SA"/>
      </w:rPr>
    </w:lvl>
  </w:abstractNum>
  <w:abstractNum w:abstractNumId="21" w15:restartNumberingAfterBreak="0">
    <w:nsid w:val="15754CCC"/>
    <w:multiLevelType w:val="hybridMultilevel"/>
    <w:tmpl w:val="FD400B4C"/>
    <w:lvl w:ilvl="0" w:tplc="B5CA7318">
      <w:start w:val="1"/>
      <w:numFmt w:val="lowerLetter"/>
      <w:lvlText w:val="(%1)"/>
      <w:lvlJc w:val="left"/>
      <w:pPr>
        <w:ind w:left="504" w:hanging="396"/>
        <w:jc w:val="left"/>
      </w:pPr>
      <w:rPr>
        <w:rFonts w:ascii="Arial" w:eastAsia="Arial" w:hAnsi="Arial" w:cs="Arial" w:hint="default"/>
        <w:b/>
        <w:bCs/>
        <w:spacing w:val="-25"/>
        <w:w w:val="100"/>
        <w:sz w:val="18"/>
        <w:szCs w:val="18"/>
        <w:lang w:val="en-US" w:eastAsia="en-US" w:bidi="ar-SA"/>
      </w:rPr>
    </w:lvl>
    <w:lvl w:ilvl="1" w:tplc="F42844AE">
      <w:numFmt w:val="bullet"/>
      <w:lvlText w:val=""/>
      <w:lvlJc w:val="left"/>
      <w:pPr>
        <w:ind w:left="1070" w:hanging="567"/>
      </w:pPr>
      <w:rPr>
        <w:rFonts w:ascii="Symbol" w:eastAsia="Symbol" w:hAnsi="Symbol" w:cs="Symbol" w:hint="default"/>
        <w:w w:val="100"/>
        <w:sz w:val="18"/>
        <w:szCs w:val="18"/>
        <w:lang w:val="en-US" w:eastAsia="en-US" w:bidi="ar-SA"/>
      </w:rPr>
    </w:lvl>
    <w:lvl w:ilvl="2" w:tplc="26A60E0A">
      <w:numFmt w:val="bullet"/>
      <w:lvlText w:val="•"/>
      <w:lvlJc w:val="left"/>
      <w:pPr>
        <w:ind w:left="2087" w:hanging="567"/>
      </w:pPr>
      <w:rPr>
        <w:rFonts w:hint="default"/>
        <w:lang w:val="en-US" w:eastAsia="en-US" w:bidi="ar-SA"/>
      </w:rPr>
    </w:lvl>
    <w:lvl w:ilvl="3" w:tplc="13782F56">
      <w:numFmt w:val="bullet"/>
      <w:lvlText w:val="•"/>
      <w:lvlJc w:val="left"/>
      <w:pPr>
        <w:ind w:left="3094" w:hanging="567"/>
      </w:pPr>
      <w:rPr>
        <w:rFonts w:hint="default"/>
        <w:lang w:val="en-US" w:eastAsia="en-US" w:bidi="ar-SA"/>
      </w:rPr>
    </w:lvl>
    <w:lvl w:ilvl="4" w:tplc="40A2111C">
      <w:numFmt w:val="bullet"/>
      <w:lvlText w:val="•"/>
      <w:lvlJc w:val="left"/>
      <w:pPr>
        <w:ind w:left="4101" w:hanging="567"/>
      </w:pPr>
      <w:rPr>
        <w:rFonts w:hint="default"/>
        <w:lang w:val="en-US" w:eastAsia="en-US" w:bidi="ar-SA"/>
      </w:rPr>
    </w:lvl>
    <w:lvl w:ilvl="5" w:tplc="AD0AF10C">
      <w:numFmt w:val="bullet"/>
      <w:lvlText w:val="•"/>
      <w:lvlJc w:val="left"/>
      <w:pPr>
        <w:ind w:left="5109" w:hanging="567"/>
      </w:pPr>
      <w:rPr>
        <w:rFonts w:hint="default"/>
        <w:lang w:val="en-US" w:eastAsia="en-US" w:bidi="ar-SA"/>
      </w:rPr>
    </w:lvl>
    <w:lvl w:ilvl="6" w:tplc="0FD814FA">
      <w:numFmt w:val="bullet"/>
      <w:lvlText w:val="•"/>
      <w:lvlJc w:val="left"/>
      <w:pPr>
        <w:ind w:left="6116" w:hanging="567"/>
      </w:pPr>
      <w:rPr>
        <w:rFonts w:hint="default"/>
        <w:lang w:val="en-US" w:eastAsia="en-US" w:bidi="ar-SA"/>
      </w:rPr>
    </w:lvl>
    <w:lvl w:ilvl="7" w:tplc="199E3CBA">
      <w:numFmt w:val="bullet"/>
      <w:lvlText w:val="•"/>
      <w:lvlJc w:val="left"/>
      <w:pPr>
        <w:ind w:left="7123" w:hanging="567"/>
      </w:pPr>
      <w:rPr>
        <w:rFonts w:hint="default"/>
        <w:lang w:val="en-US" w:eastAsia="en-US" w:bidi="ar-SA"/>
      </w:rPr>
    </w:lvl>
    <w:lvl w:ilvl="8" w:tplc="2DE295F6">
      <w:numFmt w:val="bullet"/>
      <w:lvlText w:val="•"/>
      <w:lvlJc w:val="left"/>
      <w:pPr>
        <w:ind w:left="8130" w:hanging="567"/>
      </w:pPr>
      <w:rPr>
        <w:rFonts w:hint="default"/>
        <w:lang w:val="en-US" w:eastAsia="en-US" w:bidi="ar-SA"/>
      </w:rPr>
    </w:lvl>
  </w:abstractNum>
  <w:abstractNum w:abstractNumId="22" w15:restartNumberingAfterBreak="0">
    <w:nsid w:val="15D52E7D"/>
    <w:multiLevelType w:val="hybridMultilevel"/>
    <w:tmpl w:val="3C26DFC4"/>
    <w:lvl w:ilvl="0" w:tplc="273EFAFE">
      <w:start w:val="1"/>
      <w:numFmt w:val="decimal"/>
      <w:lvlText w:val="%1."/>
      <w:lvlJc w:val="left"/>
      <w:pPr>
        <w:ind w:left="408" w:hanging="301"/>
        <w:jc w:val="left"/>
      </w:pPr>
      <w:rPr>
        <w:rFonts w:ascii="Arial" w:eastAsia="Arial" w:hAnsi="Arial" w:cs="Arial" w:hint="default"/>
        <w:spacing w:val="-11"/>
        <w:w w:val="99"/>
        <w:sz w:val="18"/>
        <w:szCs w:val="18"/>
        <w:lang w:val="en-US" w:eastAsia="en-US" w:bidi="ar-SA"/>
      </w:rPr>
    </w:lvl>
    <w:lvl w:ilvl="1" w:tplc="8CC83962">
      <w:start w:val="1"/>
      <w:numFmt w:val="lowerLetter"/>
      <w:lvlText w:val="%2."/>
      <w:lvlJc w:val="left"/>
      <w:pPr>
        <w:ind w:left="901" w:hanging="397"/>
        <w:jc w:val="left"/>
      </w:pPr>
      <w:rPr>
        <w:rFonts w:ascii="Arial" w:eastAsia="Arial" w:hAnsi="Arial" w:cs="Arial" w:hint="default"/>
        <w:spacing w:val="-4"/>
        <w:w w:val="99"/>
        <w:sz w:val="18"/>
        <w:szCs w:val="18"/>
        <w:lang w:val="en-US" w:eastAsia="en-US" w:bidi="ar-SA"/>
      </w:rPr>
    </w:lvl>
    <w:lvl w:ilvl="2" w:tplc="DCA0607C">
      <w:numFmt w:val="bullet"/>
      <w:lvlText w:val="•"/>
      <w:lvlJc w:val="left"/>
      <w:pPr>
        <w:ind w:left="1927" w:hanging="397"/>
      </w:pPr>
      <w:rPr>
        <w:rFonts w:hint="default"/>
        <w:lang w:val="en-US" w:eastAsia="en-US" w:bidi="ar-SA"/>
      </w:rPr>
    </w:lvl>
    <w:lvl w:ilvl="3" w:tplc="0B564C60">
      <w:numFmt w:val="bullet"/>
      <w:lvlText w:val="•"/>
      <w:lvlJc w:val="left"/>
      <w:pPr>
        <w:ind w:left="2954" w:hanging="397"/>
      </w:pPr>
      <w:rPr>
        <w:rFonts w:hint="default"/>
        <w:lang w:val="en-US" w:eastAsia="en-US" w:bidi="ar-SA"/>
      </w:rPr>
    </w:lvl>
    <w:lvl w:ilvl="4" w:tplc="6D98C33A">
      <w:numFmt w:val="bullet"/>
      <w:lvlText w:val="•"/>
      <w:lvlJc w:val="left"/>
      <w:pPr>
        <w:ind w:left="3981" w:hanging="397"/>
      </w:pPr>
      <w:rPr>
        <w:rFonts w:hint="default"/>
        <w:lang w:val="en-US" w:eastAsia="en-US" w:bidi="ar-SA"/>
      </w:rPr>
    </w:lvl>
    <w:lvl w:ilvl="5" w:tplc="FCA853B6">
      <w:numFmt w:val="bullet"/>
      <w:lvlText w:val="•"/>
      <w:lvlJc w:val="left"/>
      <w:pPr>
        <w:ind w:left="5008" w:hanging="397"/>
      </w:pPr>
      <w:rPr>
        <w:rFonts w:hint="default"/>
        <w:lang w:val="en-US" w:eastAsia="en-US" w:bidi="ar-SA"/>
      </w:rPr>
    </w:lvl>
    <w:lvl w:ilvl="6" w:tplc="F6D01766">
      <w:numFmt w:val="bullet"/>
      <w:lvlText w:val="•"/>
      <w:lvlJc w:val="left"/>
      <w:pPr>
        <w:ind w:left="6035" w:hanging="397"/>
      </w:pPr>
      <w:rPr>
        <w:rFonts w:hint="default"/>
        <w:lang w:val="en-US" w:eastAsia="en-US" w:bidi="ar-SA"/>
      </w:rPr>
    </w:lvl>
    <w:lvl w:ilvl="7" w:tplc="FFB0A98E">
      <w:numFmt w:val="bullet"/>
      <w:lvlText w:val="•"/>
      <w:lvlJc w:val="left"/>
      <w:pPr>
        <w:ind w:left="7062" w:hanging="397"/>
      </w:pPr>
      <w:rPr>
        <w:rFonts w:hint="default"/>
        <w:lang w:val="en-US" w:eastAsia="en-US" w:bidi="ar-SA"/>
      </w:rPr>
    </w:lvl>
    <w:lvl w:ilvl="8" w:tplc="27C0458E">
      <w:numFmt w:val="bullet"/>
      <w:lvlText w:val="•"/>
      <w:lvlJc w:val="left"/>
      <w:pPr>
        <w:ind w:left="8090" w:hanging="397"/>
      </w:pPr>
      <w:rPr>
        <w:rFonts w:hint="default"/>
        <w:lang w:val="en-US" w:eastAsia="en-US" w:bidi="ar-SA"/>
      </w:rPr>
    </w:lvl>
  </w:abstractNum>
  <w:abstractNum w:abstractNumId="23" w15:restartNumberingAfterBreak="0">
    <w:nsid w:val="15F22187"/>
    <w:multiLevelType w:val="hybridMultilevel"/>
    <w:tmpl w:val="F17CCE74"/>
    <w:lvl w:ilvl="0" w:tplc="D2A0FF2E">
      <w:start w:val="1"/>
      <w:numFmt w:val="lowerLetter"/>
      <w:lvlText w:val="(%1)"/>
      <w:lvlJc w:val="left"/>
      <w:pPr>
        <w:ind w:left="756" w:hanging="657"/>
        <w:jc w:val="left"/>
      </w:pPr>
      <w:rPr>
        <w:rFonts w:hint="default"/>
        <w:spacing w:val="-1"/>
        <w:w w:val="98"/>
        <w:lang w:val="en-US" w:eastAsia="en-US" w:bidi="ar-SA"/>
      </w:rPr>
    </w:lvl>
    <w:lvl w:ilvl="1" w:tplc="222A2778">
      <w:numFmt w:val="bullet"/>
      <w:lvlText w:val="•"/>
      <w:lvlJc w:val="left"/>
      <w:pPr>
        <w:ind w:left="1076" w:hanging="560"/>
      </w:pPr>
      <w:rPr>
        <w:rFonts w:ascii="Arial" w:eastAsia="Arial" w:hAnsi="Arial" w:cs="Arial" w:hint="default"/>
        <w:w w:val="84"/>
        <w:sz w:val="20"/>
        <w:szCs w:val="20"/>
        <w:lang w:val="en-US" w:eastAsia="en-US" w:bidi="ar-SA"/>
      </w:rPr>
    </w:lvl>
    <w:lvl w:ilvl="2" w:tplc="6F3244A8">
      <w:numFmt w:val="bullet"/>
      <w:lvlText w:val="•"/>
      <w:lvlJc w:val="left"/>
      <w:pPr>
        <w:ind w:left="2040" w:hanging="560"/>
      </w:pPr>
      <w:rPr>
        <w:rFonts w:hint="default"/>
        <w:lang w:val="en-US" w:eastAsia="en-US" w:bidi="ar-SA"/>
      </w:rPr>
    </w:lvl>
    <w:lvl w:ilvl="3" w:tplc="60006AAC">
      <w:numFmt w:val="bullet"/>
      <w:lvlText w:val="•"/>
      <w:lvlJc w:val="left"/>
      <w:pPr>
        <w:ind w:left="3001" w:hanging="560"/>
      </w:pPr>
      <w:rPr>
        <w:rFonts w:hint="default"/>
        <w:lang w:val="en-US" w:eastAsia="en-US" w:bidi="ar-SA"/>
      </w:rPr>
    </w:lvl>
    <w:lvl w:ilvl="4" w:tplc="C98824E0">
      <w:numFmt w:val="bullet"/>
      <w:lvlText w:val="•"/>
      <w:lvlJc w:val="left"/>
      <w:pPr>
        <w:ind w:left="3962" w:hanging="560"/>
      </w:pPr>
      <w:rPr>
        <w:rFonts w:hint="default"/>
        <w:lang w:val="en-US" w:eastAsia="en-US" w:bidi="ar-SA"/>
      </w:rPr>
    </w:lvl>
    <w:lvl w:ilvl="5" w:tplc="FDC61EE2">
      <w:numFmt w:val="bullet"/>
      <w:lvlText w:val="•"/>
      <w:lvlJc w:val="left"/>
      <w:pPr>
        <w:ind w:left="4923" w:hanging="560"/>
      </w:pPr>
      <w:rPr>
        <w:rFonts w:hint="default"/>
        <w:lang w:val="en-US" w:eastAsia="en-US" w:bidi="ar-SA"/>
      </w:rPr>
    </w:lvl>
    <w:lvl w:ilvl="6" w:tplc="325E9BFC">
      <w:numFmt w:val="bullet"/>
      <w:lvlText w:val="•"/>
      <w:lvlJc w:val="left"/>
      <w:pPr>
        <w:ind w:left="5884" w:hanging="560"/>
      </w:pPr>
      <w:rPr>
        <w:rFonts w:hint="default"/>
        <w:lang w:val="en-US" w:eastAsia="en-US" w:bidi="ar-SA"/>
      </w:rPr>
    </w:lvl>
    <w:lvl w:ilvl="7" w:tplc="AEF4535A">
      <w:numFmt w:val="bullet"/>
      <w:lvlText w:val="•"/>
      <w:lvlJc w:val="left"/>
      <w:pPr>
        <w:ind w:left="6845" w:hanging="560"/>
      </w:pPr>
      <w:rPr>
        <w:rFonts w:hint="default"/>
        <w:lang w:val="en-US" w:eastAsia="en-US" w:bidi="ar-SA"/>
      </w:rPr>
    </w:lvl>
    <w:lvl w:ilvl="8" w:tplc="3A22BB7A">
      <w:numFmt w:val="bullet"/>
      <w:lvlText w:val="•"/>
      <w:lvlJc w:val="left"/>
      <w:pPr>
        <w:ind w:left="7806" w:hanging="560"/>
      </w:pPr>
      <w:rPr>
        <w:rFonts w:hint="default"/>
        <w:lang w:val="en-US" w:eastAsia="en-US" w:bidi="ar-SA"/>
      </w:rPr>
    </w:lvl>
  </w:abstractNum>
  <w:abstractNum w:abstractNumId="24" w15:restartNumberingAfterBreak="0">
    <w:nsid w:val="1B9B4A52"/>
    <w:multiLevelType w:val="hybridMultilevel"/>
    <w:tmpl w:val="E6004C8A"/>
    <w:lvl w:ilvl="0" w:tplc="B35E9114">
      <w:numFmt w:val="bullet"/>
      <w:lvlText w:val="-"/>
      <w:lvlJc w:val="left"/>
      <w:pPr>
        <w:ind w:left="674" w:hanging="111"/>
      </w:pPr>
      <w:rPr>
        <w:rFonts w:ascii="Arial" w:eastAsia="Arial" w:hAnsi="Arial" w:cs="Arial" w:hint="default"/>
        <w:w w:val="100"/>
        <w:sz w:val="18"/>
        <w:szCs w:val="18"/>
        <w:lang w:val="en-US" w:eastAsia="en-US" w:bidi="ar-SA"/>
      </w:rPr>
    </w:lvl>
    <w:lvl w:ilvl="1" w:tplc="0F104508">
      <w:numFmt w:val="bullet"/>
      <w:lvlText w:val="•"/>
      <w:lvlJc w:val="left"/>
      <w:pPr>
        <w:ind w:left="1630" w:hanging="111"/>
      </w:pPr>
      <w:rPr>
        <w:rFonts w:hint="default"/>
        <w:lang w:val="en-US" w:eastAsia="en-US" w:bidi="ar-SA"/>
      </w:rPr>
    </w:lvl>
    <w:lvl w:ilvl="2" w:tplc="B1B850A2">
      <w:numFmt w:val="bullet"/>
      <w:lvlText w:val="•"/>
      <w:lvlJc w:val="left"/>
      <w:pPr>
        <w:ind w:left="2581" w:hanging="111"/>
      </w:pPr>
      <w:rPr>
        <w:rFonts w:hint="default"/>
        <w:lang w:val="en-US" w:eastAsia="en-US" w:bidi="ar-SA"/>
      </w:rPr>
    </w:lvl>
    <w:lvl w:ilvl="3" w:tplc="C430DA52">
      <w:numFmt w:val="bullet"/>
      <w:lvlText w:val="•"/>
      <w:lvlJc w:val="left"/>
      <w:pPr>
        <w:ind w:left="3531" w:hanging="111"/>
      </w:pPr>
      <w:rPr>
        <w:rFonts w:hint="default"/>
        <w:lang w:val="en-US" w:eastAsia="en-US" w:bidi="ar-SA"/>
      </w:rPr>
    </w:lvl>
    <w:lvl w:ilvl="4" w:tplc="3184F2D2">
      <w:numFmt w:val="bullet"/>
      <w:lvlText w:val="•"/>
      <w:lvlJc w:val="left"/>
      <w:pPr>
        <w:ind w:left="4482" w:hanging="111"/>
      </w:pPr>
      <w:rPr>
        <w:rFonts w:hint="default"/>
        <w:lang w:val="en-US" w:eastAsia="en-US" w:bidi="ar-SA"/>
      </w:rPr>
    </w:lvl>
    <w:lvl w:ilvl="5" w:tplc="2702DAF6">
      <w:numFmt w:val="bullet"/>
      <w:lvlText w:val="•"/>
      <w:lvlJc w:val="left"/>
      <w:pPr>
        <w:ind w:left="5432" w:hanging="111"/>
      </w:pPr>
      <w:rPr>
        <w:rFonts w:hint="default"/>
        <w:lang w:val="en-US" w:eastAsia="en-US" w:bidi="ar-SA"/>
      </w:rPr>
    </w:lvl>
    <w:lvl w:ilvl="6" w:tplc="C63C9FCC">
      <w:numFmt w:val="bullet"/>
      <w:lvlText w:val="•"/>
      <w:lvlJc w:val="left"/>
      <w:pPr>
        <w:ind w:left="6383" w:hanging="111"/>
      </w:pPr>
      <w:rPr>
        <w:rFonts w:hint="default"/>
        <w:lang w:val="en-US" w:eastAsia="en-US" w:bidi="ar-SA"/>
      </w:rPr>
    </w:lvl>
    <w:lvl w:ilvl="7" w:tplc="023CEF7E">
      <w:numFmt w:val="bullet"/>
      <w:lvlText w:val="•"/>
      <w:lvlJc w:val="left"/>
      <w:pPr>
        <w:ind w:left="7333" w:hanging="111"/>
      </w:pPr>
      <w:rPr>
        <w:rFonts w:hint="default"/>
        <w:lang w:val="en-US" w:eastAsia="en-US" w:bidi="ar-SA"/>
      </w:rPr>
    </w:lvl>
    <w:lvl w:ilvl="8" w:tplc="441EA2B4">
      <w:numFmt w:val="bullet"/>
      <w:lvlText w:val="•"/>
      <w:lvlJc w:val="left"/>
      <w:pPr>
        <w:ind w:left="8284" w:hanging="111"/>
      </w:pPr>
      <w:rPr>
        <w:rFonts w:hint="default"/>
        <w:lang w:val="en-US" w:eastAsia="en-US" w:bidi="ar-SA"/>
      </w:rPr>
    </w:lvl>
  </w:abstractNum>
  <w:abstractNum w:abstractNumId="25" w15:restartNumberingAfterBreak="0">
    <w:nsid w:val="1C883868"/>
    <w:multiLevelType w:val="hybridMultilevel"/>
    <w:tmpl w:val="524CB3E0"/>
    <w:lvl w:ilvl="0" w:tplc="138AF14E">
      <w:start w:val="1"/>
      <w:numFmt w:val="decimal"/>
      <w:lvlText w:val="%1."/>
      <w:lvlJc w:val="left"/>
      <w:pPr>
        <w:ind w:left="522" w:hanging="395"/>
        <w:jc w:val="left"/>
      </w:pPr>
      <w:rPr>
        <w:rFonts w:ascii="Arial" w:eastAsia="Arial" w:hAnsi="Arial" w:cs="Arial" w:hint="default"/>
        <w:b/>
        <w:bCs/>
        <w:spacing w:val="-2"/>
        <w:w w:val="100"/>
        <w:sz w:val="18"/>
        <w:szCs w:val="18"/>
        <w:lang w:val="en-US" w:eastAsia="en-US" w:bidi="ar-SA"/>
      </w:rPr>
    </w:lvl>
    <w:lvl w:ilvl="1" w:tplc="BCEAD13A">
      <w:numFmt w:val="bullet"/>
      <w:lvlText w:val=""/>
      <w:lvlJc w:val="left"/>
      <w:pPr>
        <w:ind w:left="1090" w:hanging="567"/>
      </w:pPr>
      <w:rPr>
        <w:rFonts w:ascii="Symbol" w:eastAsia="Symbol" w:hAnsi="Symbol" w:cs="Symbol" w:hint="default"/>
        <w:w w:val="100"/>
        <w:sz w:val="18"/>
        <w:szCs w:val="18"/>
        <w:lang w:val="en-US" w:eastAsia="en-US" w:bidi="ar-SA"/>
      </w:rPr>
    </w:lvl>
    <w:lvl w:ilvl="2" w:tplc="1F56986C">
      <w:numFmt w:val="bullet"/>
      <w:lvlText w:val="•"/>
      <w:lvlJc w:val="left"/>
      <w:pPr>
        <w:ind w:left="2105" w:hanging="567"/>
      </w:pPr>
      <w:rPr>
        <w:rFonts w:hint="default"/>
        <w:lang w:val="en-US" w:eastAsia="en-US" w:bidi="ar-SA"/>
      </w:rPr>
    </w:lvl>
    <w:lvl w:ilvl="3" w:tplc="03C864C6">
      <w:numFmt w:val="bullet"/>
      <w:lvlText w:val="•"/>
      <w:lvlJc w:val="left"/>
      <w:pPr>
        <w:ind w:left="3110" w:hanging="567"/>
      </w:pPr>
      <w:rPr>
        <w:rFonts w:hint="default"/>
        <w:lang w:val="en-US" w:eastAsia="en-US" w:bidi="ar-SA"/>
      </w:rPr>
    </w:lvl>
    <w:lvl w:ilvl="4" w:tplc="6142B24A">
      <w:numFmt w:val="bullet"/>
      <w:lvlText w:val="•"/>
      <w:lvlJc w:val="left"/>
      <w:pPr>
        <w:ind w:left="4115" w:hanging="567"/>
      </w:pPr>
      <w:rPr>
        <w:rFonts w:hint="default"/>
        <w:lang w:val="en-US" w:eastAsia="en-US" w:bidi="ar-SA"/>
      </w:rPr>
    </w:lvl>
    <w:lvl w:ilvl="5" w:tplc="4AE48484">
      <w:numFmt w:val="bullet"/>
      <w:lvlText w:val="•"/>
      <w:lvlJc w:val="left"/>
      <w:pPr>
        <w:ind w:left="5120" w:hanging="567"/>
      </w:pPr>
      <w:rPr>
        <w:rFonts w:hint="default"/>
        <w:lang w:val="en-US" w:eastAsia="en-US" w:bidi="ar-SA"/>
      </w:rPr>
    </w:lvl>
    <w:lvl w:ilvl="6" w:tplc="4DF05B3C">
      <w:numFmt w:val="bullet"/>
      <w:lvlText w:val="•"/>
      <w:lvlJc w:val="left"/>
      <w:pPr>
        <w:ind w:left="6125" w:hanging="567"/>
      </w:pPr>
      <w:rPr>
        <w:rFonts w:hint="default"/>
        <w:lang w:val="en-US" w:eastAsia="en-US" w:bidi="ar-SA"/>
      </w:rPr>
    </w:lvl>
    <w:lvl w:ilvl="7" w:tplc="8EE80036">
      <w:numFmt w:val="bullet"/>
      <w:lvlText w:val="•"/>
      <w:lvlJc w:val="left"/>
      <w:pPr>
        <w:ind w:left="7130" w:hanging="567"/>
      </w:pPr>
      <w:rPr>
        <w:rFonts w:hint="default"/>
        <w:lang w:val="en-US" w:eastAsia="en-US" w:bidi="ar-SA"/>
      </w:rPr>
    </w:lvl>
    <w:lvl w:ilvl="8" w:tplc="7EB8DAC8">
      <w:numFmt w:val="bullet"/>
      <w:lvlText w:val="•"/>
      <w:lvlJc w:val="left"/>
      <w:pPr>
        <w:ind w:left="8135" w:hanging="567"/>
      </w:pPr>
      <w:rPr>
        <w:rFonts w:hint="default"/>
        <w:lang w:val="en-US" w:eastAsia="en-US" w:bidi="ar-SA"/>
      </w:rPr>
    </w:lvl>
  </w:abstractNum>
  <w:abstractNum w:abstractNumId="26" w15:restartNumberingAfterBreak="0">
    <w:nsid w:val="1C8E3C2D"/>
    <w:multiLevelType w:val="hybridMultilevel"/>
    <w:tmpl w:val="756E8964"/>
    <w:lvl w:ilvl="0" w:tplc="50C06A3A">
      <w:start w:val="1"/>
      <w:numFmt w:val="lowerLetter"/>
      <w:lvlText w:val="(%1)"/>
      <w:lvlJc w:val="left"/>
      <w:pPr>
        <w:ind w:left="1130" w:hanging="567"/>
        <w:jc w:val="left"/>
      </w:pPr>
      <w:rPr>
        <w:rFonts w:ascii="Arial" w:eastAsia="Arial" w:hAnsi="Arial" w:cs="Arial" w:hint="default"/>
        <w:b/>
        <w:bCs/>
        <w:spacing w:val="-1"/>
        <w:w w:val="100"/>
        <w:sz w:val="18"/>
        <w:szCs w:val="18"/>
        <w:lang w:val="en-US" w:eastAsia="en-US" w:bidi="ar-SA"/>
      </w:rPr>
    </w:lvl>
    <w:lvl w:ilvl="1" w:tplc="C41AA936">
      <w:start w:val="1"/>
      <w:numFmt w:val="lowerRoman"/>
      <w:lvlText w:val="%2."/>
      <w:lvlJc w:val="left"/>
      <w:pPr>
        <w:ind w:left="1527" w:hanging="398"/>
        <w:jc w:val="left"/>
      </w:pPr>
      <w:rPr>
        <w:rFonts w:ascii="Arial" w:eastAsia="Arial" w:hAnsi="Arial" w:cs="Arial" w:hint="default"/>
        <w:b/>
        <w:bCs/>
        <w:spacing w:val="-1"/>
        <w:w w:val="100"/>
        <w:sz w:val="18"/>
        <w:szCs w:val="18"/>
        <w:lang w:val="en-US" w:eastAsia="en-US" w:bidi="ar-SA"/>
      </w:rPr>
    </w:lvl>
    <w:lvl w:ilvl="2" w:tplc="24BED084">
      <w:numFmt w:val="bullet"/>
      <w:lvlText w:val="•"/>
      <w:lvlJc w:val="left"/>
      <w:pPr>
        <w:ind w:left="2487" w:hanging="398"/>
      </w:pPr>
      <w:rPr>
        <w:rFonts w:hint="default"/>
        <w:lang w:val="en-US" w:eastAsia="en-US" w:bidi="ar-SA"/>
      </w:rPr>
    </w:lvl>
    <w:lvl w:ilvl="3" w:tplc="D3DA1348">
      <w:numFmt w:val="bullet"/>
      <w:lvlText w:val="•"/>
      <w:lvlJc w:val="left"/>
      <w:pPr>
        <w:ind w:left="3454" w:hanging="398"/>
      </w:pPr>
      <w:rPr>
        <w:rFonts w:hint="default"/>
        <w:lang w:val="en-US" w:eastAsia="en-US" w:bidi="ar-SA"/>
      </w:rPr>
    </w:lvl>
    <w:lvl w:ilvl="4" w:tplc="1C821D40">
      <w:numFmt w:val="bullet"/>
      <w:lvlText w:val="•"/>
      <w:lvlJc w:val="left"/>
      <w:pPr>
        <w:ind w:left="4421" w:hanging="398"/>
      </w:pPr>
      <w:rPr>
        <w:rFonts w:hint="default"/>
        <w:lang w:val="en-US" w:eastAsia="en-US" w:bidi="ar-SA"/>
      </w:rPr>
    </w:lvl>
    <w:lvl w:ilvl="5" w:tplc="9304725A">
      <w:numFmt w:val="bullet"/>
      <w:lvlText w:val="•"/>
      <w:lvlJc w:val="left"/>
      <w:pPr>
        <w:ind w:left="5389" w:hanging="398"/>
      </w:pPr>
      <w:rPr>
        <w:rFonts w:hint="default"/>
        <w:lang w:val="en-US" w:eastAsia="en-US" w:bidi="ar-SA"/>
      </w:rPr>
    </w:lvl>
    <w:lvl w:ilvl="6" w:tplc="4FBC67C6">
      <w:numFmt w:val="bullet"/>
      <w:lvlText w:val="•"/>
      <w:lvlJc w:val="left"/>
      <w:pPr>
        <w:ind w:left="6356" w:hanging="398"/>
      </w:pPr>
      <w:rPr>
        <w:rFonts w:hint="default"/>
        <w:lang w:val="en-US" w:eastAsia="en-US" w:bidi="ar-SA"/>
      </w:rPr>
    </w:lvl>
    <w:lvl w:ilvl="7" w:tplc="881E9124">
      <w:numFmt w:val="bullet"/>
      <w:lvlText w:val="•"/>
      <w:lvlJc w:val="left"/>
      <w:pPr>
        <w:ind w:left="7323" w:hanging="398"/>
      </w:pPr>
      <w:rPr>
        <w:rFonts w:hint="default"/>
        <w:lang w:val="en-US" w:eastAsia="en-US" w:bidi="ar-SA"/>
      </w:rPr>
    </w:lvl>
    <w:lvl w:ilvl="8" w:tplc="BEE60D7A">
      <w:numFmt w:val="bullet"/>
      <w:lvlText w:val="•"/>
      <w:lvlJc w:val="left"/>
      <w:pPr>
        <w:ind w:left="8290" w:hanging="398"/>
      </w:pPr>
      <w:rPr>
        <w:rFonts w:hint="default"/>
        <w:lang w:val="en-US" w:eastAsia="en-US" w:bidi="ar-SA"/>
      </w:rPr>
    </w:lvl>
  </w:abstractNum>
  <w:abstractNum w:abstractNumId="27" w15:restartNumberingAfterBreak="0">
    <w:nsid w:val="1CE0009D"/>
    <w:multiLevelType w:val="hybridMultilevel"/>
    <w:tmpl w:val="6C76541C"/>
    <w:lvl w:ilvl="0" w:tplc="42ECE1B0">
      <w:start w:val="1"/>
      <w:numFmt w:val="lowerLetter"/>
      <w:lvlText w:val="(%1)"/>
      <w:lvlJc w:val="left"/>
      <w:pPr>
        <w:ind w:left="1131" w:hanging="567"/>
        <w:jc w:val="left"/>
      </w:pPr>
      <w:rPr>
        <w:rFonts w:ascii="Arial" w:eastAsia="Arial" w:hAnsi="Arial" w:cs="Arial" w:hint="default"/>
        <w:b/>
        <w:bCs/>
        <w:spacing w:val="-5"/>
        <w:w w:val="100"/>
        <w:sz w:val="18"/>
        <w:szCs w:val="18"/>
        <w:lang w:val="en-US" w:eastAsia="en-US" w:bidi="ar-SA"/>
      </w:rPr>
    </w:lvl>
    <w:lvl w:ilvl="1" w:tplc="9CE0AAA4">
      <w:numFmt w:val="bullet"/>
      <w:lvlText w:val="•"/>
      <w:lvlJc w:val="left"/>
      <w:pPr>
        <w:ind w:left="2048" w:hanging="567"/>
      </w:pPr>
      <w:rPr>
        <w:rFonts w:hint="default"/>
        <w:lang w:val="en-US" w:eastAsia="en-US" w:bidi="ar-SA"/>
      </w:rPr>
    </w:lvl>
    <w:lvl w:ilvl="2" w:tplc="D7A8D668">
      <w:numFmt w:val="bullet"/>
      <w:lvlText w:val="•"/>
      <w:lvlJc w:val="left"/>
      <w:pPr>
        <w:ind w:left="2957" w:hanging="567"/>
      </w:pPr>
      <w:rPr>
        <w:rFonts w:hint="default"/>
        <w:lang w:val="en-US" w:eastAsia="en-US" w:bidi="ar-SA"/>
      </w:rPr>
    </w:lvl>
    <w:lvl w:ilvl="3" w:tplc="F8EE5FAA">
      <w:numFmt w:val="bullet"/>
      <w:lvlText w:val="•"/>
      <w:lvlJc w:val="left"/>
      <w:pPr>
        <w:ind w:left="3865" w:hanging="567"/>
      </w:pPr>
      <w:rPr>
        <w:rFonts w:hint="default"/>
        <w:lang w:val="en-US" w:eastAsia="en-US" w:bidi="ar-SA"/>
      </w:rPr>
    </w:lvl>
    <w:lvl w:ilvl="4" w:tplc="6C1E202C">
      <w:numFmt w:val="bullet"/>
      <w:lvlText w:val="•"/>
      <w:lvlJc w:val="left"/>
      <w:pPr>
        <w:ind w:left="4774" w:hanging="567"/>
      </w:pPr>
      <w:rPr>
        <w:rFonts w:hint="default"/>
        <w:lang w:val="en-US" w:eastAsia="en-US" w:bidi="ar-SA"/>
      </w:rPr>
    </w:lvl>
    <w:lvl w:ilvl="5" w:tplc="931030A8">
      <w:numFmt w:val="bullet"/>
      <w:lvlText w:val="•"/>
      <w:lvlJc w:val="left"/>
      <w:pPr>
        <w:ind w:left="5682" w:hanging="567"/>
      </w:pPr>
      <w:rPr>
        <w:rFonts w:hint="default"/>
        <w:lang w:val="en-US" w:eastAsia="en-US" w:bidi="ar-SA"/>
      </w:rPr>
    </w:lvl>
    <w:lvl w:ilvl="6" w:tplc="1BDC1BA6">
      <w:numFmt w:val="bullet"/>
      <w:lvlText w:val="•"/>
      <w:lvlJc w:val="left"/>
      <w:pPr>
        <w:ind w:left="6591" w:hanging="567"/>
      </w:pPr>
      <w:rPr>
        <w:rFonts w:hint="default"/>
        <w:lang w:val="en-US" w:eastAsia="en-US" w:bidi="ar-SA"/>
      </w:rPr>
    </w:lvl>
    <w:lvl w:ilvl="7" w:tplc="292E5140">
      <w:numFmt w:val="bullet"/>
      <w:lvlText w:val="•"/>
      <w:lvlJc w:val="left"/>
      <w:pPr>
        <w:ind w:left="7499" w:hanging="567"/>
      </w:pPr>
      <w:rPr>
        <w:rFonts w:hint="default"/>
        <w:lang w:val="en-US" w:eastAsia="en-US" w:bidi="ar-SA"/>
      </w:rPr>
    </w:lvl>
    <w:lvl w:ilvl="8" w:tplc="75886F4C">
      <w:numFmt w:val="bullet"/>
      <w:lvlText w:val="•"/>
      <w:lvlJc w:val="left"/>
      <w:pPr>
        <w:ind w:left="8408" w:hanging="567"/>
      </w:pPr>
      <w:rPr>
        <w:rFonts w:hint="default"/>
        <w:lang w:val="en-US" w:eastAsia="en-US" w:bidi="ar-SA"/>
      </w:rPr>
    </w:lvl>
  </w:abstractNum>
  <w:abstractNum w:abstractNumId="28" w15:restartNumberingAfterBreak="0">
    <w:nsid w:val="1D502F3F"/>
    <w:multiLevelType w:val="hybridMultilevel"/>
    <w:tmpl w:val="9A6CCAC6"/>
    <w:lvl w:ilvl="0" w:tplc="C0BA18DE">
      <w:start w:val="1"/>
      <w:numFmt w:val="lowerLetter"/>
      <w:lvlText w:val="(%1)"/>
      <w:lvlJc w:val="left"/>
      <w:pPr>
        <w:ind w:left="564" w:hanging="396"/>
        <w:jc w:val="left"/>
      </w:pPr>
      <w:rPr>
        <w:rFonts w:ascii="Arial" w:eastAsia="Arial" w:hAnsi="Arial" w:cs="Arial" w:hint="default"/>
        <w:b/>
        <w:bCs/>
        <w:spacing w:val="-25"/>
        <w:w w:val="100"/>
        <w:sz w:val="18"/>
        <w:szCs w:val="18"/>
        <w:lang w:val="en-US" w:eastAsia="en-US" w:bidi="ar-SA"/>
      </w:rPr>
    </w:lvl>
    <w:lvl w:ilvl="1" w:tplc="7EB2E1D0">
      <w:start w:val="1"/>
      <w:numFmt w:val="lowerRoman"/>
      <w:lvlText w:val="(%2)"/>
      <w:lvlJc w:val="left"/>
      <w:pPr>
        <w:ind w:left="784" w:hanging="221"/>
        <w:jc w:val="left"/>
      </w:pPr>
      <w:rPr>
        <w:rFonts w:ascii="Arial" w:eastAsia="Arial" w:hAnsi="Arial" w:cs="Arial" w:hint="default"/>
        <w:b/>
        <w:bCs/>
        <w:w w:val="100"/>
        <w:sz w:val="18"/>
        <w:szCs w:val="18"/>
        <w:lang w:val="en-US" w:eastAsia="en-US" w:bidi="ar-SA"/>
      </w:rPr>
    </w:lvl>
    <w:lvl w:ilvl="2" w:tplc="791CBC0A">
      <w:numFmt w:val="bullet"/>
      <w:lvlText w:val="•"/>
      <w:lvlJc w:val="left"/>
      <w:pPr>
        <w:ind w:left="1825" w:hanging="221"/>
      </w:pPr>
      <w:rPr>
        <w:rFonts w:hint="default"/>
        <w:lang w:val="en-US" w:eastAsia="en-US" w:bidi="ar-SA"/>
      </w:rPr>
    </w:lvl>
    <w:lvl w:ilvl="3" w:tplc="7F0C6FEC">
      <w:numFmt w:val="bullet"/>
      <w:lvlText w:val="•"/>
      <w:lvlJc w:val="left"/>
      <w:pPr>
        <w:ind w:left="2870" w:hanging="221"/>
      </w:pPr>
      <w:rPr>
        <w:rFonts w:hint="default"/>
        <w:lang w:val="en-US" w:eastAsia="en-US" w:bidi="ar-SA"/>
      </w:rPr>
    </w:lvl>
    <w:lvl w:ilvl="4" w:tplc="3B1031CA">
      <w:numFmt w:val="bullet"/>
      <w:lvlText w:val="•"/>
      <w:lvlJc w:val="left"/>
      <w:pPr>
        <w:ind w:left="3915" w:hanging="221"/>
      </w:pPr>
      <w:rPr>
        <w:rFonts w:hint="default"/>
        <w:lang w:val="en-US" w:eastAsia="en-US" w:bidi="ar-SA"/>
      </w:rPr>
    </w:lvl>
    <w:lvl w:ilvl="5" w:tplc="7AF212FA">
      <w:numFmt w:val="bullet"/>
      <w:lvlText w:val="•"/>
      <w:lvlJc w:val="left"/>
      <w:pPr>
        <w:ind w:left="4960" w:hanging="221"/>
      </w:pPr>
      <w:rPr>
        <w:rFonts w:hint="default"/>
        <w:lang w:val="en-US" w:eastAsia="en-US" w:bidi="ar-SA"/>
      </w:rPr>
    </w:lvl>
    <w:lvl w:ilvl="6" w:tplc="5882C762">
      <w:numFmt w:val="bullet"/>
      <w:lvlText w:val="•"/>
      <w:lvlJc w:val="left"/>
      <w:pPr>
        <w:ind w:left="6005" w:hanging="221"/>
      </w:pPr>
      <w:rPr>
        <w:rFonts w:hint="default"/>
        <w:lang w:val="en-US" w:eastAsia="en-US" w:bidi="ar-SA"/>
      </w:rPr>
    </w:lvl>
    <w:lvl w:ilvl="7" w:tplc="9132B0E8">
      <w:numFmt w:val="bullet"/>
      <w:lvlText w:val="•"/>
      <w:lvlJc w:val="left"/>
      <w:pPr>
        <w:ind w:left="7050" w:hanging="221"/>
      </w:pPr>
      <w:rPr>
        <w:rFonts w:hint="default"/>
        <w:lang w:val="en-US" w:eastAsia="en-US" w:bidi="ar-SA"/>
      </w:rPr>
    </w:lvl>
    <w:lvl w:ilvl="8" w:tplc="44C24BDE">
      <w:numFmt w:val="bullet"/>
      <w:lvlText w:val="•"/>
      <w:lvlJc w:val="left"/>
      <w:pPr>
        <w:ind w:left="8095" w:hanging="221"/>
      </w:pPr>
      <w:rPr>
        <w:rFonts w:hint="default"/>
        <w:lang w:val="en-US" w:eastAsia="en-US" w:bidi="ar-SA"/>
      </w:rPr>
    </w:lvl>
  </w:abstractNum>
  <w:abstractNum w:abstractNumId="29" w15:restartNumberingAfterBreak="0">
    <w:nsid w:val="1FB17AC1"/>
    <w:multiLevelType w:val="hybridMultilevel"/>
    <w:tmpl w:val="48041732"/>
    <w:lvl w:ilvl="0" w:tplc="1F0EB6BE">
      <w:start w:val="2"/>
      <w:numFmt w:val="decimal"/>
      <w:lvlText w:val="%1"/>
      <w:lvlJc w:val="left"/>
      <w:pPr>
        <w:ind w:left="564" w:hanging="396"/>
        <w:jc w:val="left"/>
      </w:pPr>
      <w:rPr>
        <w:rFonts w:ascii="Arial" w:eastAsia="Arial" w:hAnsi="Arial" w:cs="Arial" w:hint="default"/>
        <w:b/>
        <w:bCs/>
        <w:w w:val="100"/>
        <w:sz w:val="18"/>
        <w:szCs w:val="18"/>
        <w:lang w:val="en-US" w:eastAsia="en-US" w:bidi="ar-SA"/>
      </w:rPr>
    </w:lvl>
    <w:lvl w:ilvl="1" w:tplc="4DECDC1C">
      <w:numFmt w:val="bullet"/>
      <w:lvlText w:val="•"/>
      <w:lvlJc w:val="left"/>
      <w:pPr>
        <w:ind w:left="1526" w:hanging="396"/>
      </w:pPr>
      <w:rPr>
        <w:rFonts w:hint="default"/>
        <w:lang w:val="en-US" w:eastAsia="en-US" w:bidi="ar-SA"/>
      </w:rPr>
    </w:lvl>
    <w:lvl w:ilvl="2" w:tplc="9CD2BE9A">
      <w:numFmt w:val="bullet"/>
      <w:lvlText w:val="•"/>
      <w:lvlJc w:val="left"/>
      <w:pPr>
        <w:ind w:left="2493" w:hanging="396"/>
      </w:pPr>
      <w:rPr>
        <w:rFonts w:hint="default"/>
        <w:lang w:val="en-US" w:eastAsia="en-US" w:bidi="ar-SA"/>
      </w:rPr>
    </w:lvl>
    <w:lvl w:ilvl="3" w:tplc="BACCC344">
      <w:numFmt w:val="bullet"/>
      <w:lvlText w:val="•"/>
      <w:lvlJc w:val="left"/>
      <w:pPr>
        <w:ind w:left="3459" w:hanging="396"/>
      </w:pPr>
      <w:rPr>
        <w:rFonts w:hint="default"/>
        <w:lang w:val="en-US" w:eastAsia="en-US" w:bidi="ar-SA"/>
      </w:rPr>
    </w:lvl>
    <w:lvl w:ilvl="4" w:tplc="A740C780">
      <w:numFmt w:val="bullet"/>
      <w:lvlText w:val="•"/>
      <w:lvlJc w:val="left"/>
      <w:pPr>
        <w:ind w:left="4426" w:hanging="396"/>
      </w:pPr>
      <w:rPr>
        <w:rFonts w:hint="default"/>
        <w:lang w:val="en-US" w:eastAsia="en-US" w:bidi="ar-SA"/>
      </w:rPr>
    </w:lvl>
    <w:lvl w:ilvl="5" w:tplc="F85CAAA0">
      <w:numFmt w:val="bullet"/>
      <w:lvlText w:val="•"/>
      <w:lvlJc w:val="left"/>
      <w:pPr>
        <w:ind w:left="5392" w:hanging="396"/>
      </w:pPr>
      <w:rPr>
        <w:rFonts w:hint="default"/>
        <w:lang w:val="en-US" w:eastAsia="en-US" w:bidi="ar-SA"/>
      </w:rPr>
    </w:lvl>
    <w:lvl w:ilvl="6" w:tplc="2A9025BA">
      <w:numFmt w:val="bullet"/>
      <w:lvlText w:val="•"/>
      <w:lvlJc w:val="left"/>
      <w:pPr>
        <w:ind w:left="6359" w:hanging="396"/>
      </w:pPr>
      <w:rPr>
        <w:rFonts w:hint="default"/>
        <w:lang w:val="en-US" w:eastAsia="en-US" w:bidi="ar-SA"/>
      </w:rPr>
    </w:lvl>
    <w:lvl w:ilvl="7" w:tplc="DE3656F8">
      <w:numFmt w:val="bullet"/>
      <w:lvlText w:val="•"/>
      <w:lvlJc w:val="left"/>
      <w:pPr>
        <w:ind w:left="7325" w:hanging="396"/>
      </w:pPr>
      <w:rPr>
        <w:rFonts w:hint="default"/>
        <w:lang w:val="en-US" w:eastAsia="en-US" w:bidi="ar-SA"/>
      </w:rPr>
    </w:lvl>
    <w:lvl w:ilvl="8" w:tplc="CC6CD9DC">
      <w:numFmt w:val="bullet"/>
      <w:lvlText w:val="•"/>
      <w:lvlJc w:val="left"/>
      <w:pPr>
        <w:ind w:left="8292" w:hanging="396"/>
      </w:pPr>
      <w:rPr>
        <w:rFonts w:hint="default"/>
        <w:lang w:val="en-US" w:eastAsia="en-US" w:bidi="ar-SA"/>
      </w:rPr>
    </w:lvl>
  </w:abstractNum>
  <w:abstractNum w:abstractNumId="30" w15:restartNumberingAfterBreak="0">
    <w:nsid w:val="1FE140A3"/>
    <w:multiLevelType w:val="hybridMultilevel"/>
    <w:tmpl w:val="C4E0812A"/>
    <w:lvl w:ilvl="0" w:tplc="9CA29A7E">
      <w:start w:val="1"/>
      <w:numFmt w:val="lowerLetter"/>
      <w:lvlText w:val="(%1)"/>
      <w:lvlJc w:val="left"/>
      <w:pPr>
        <w:ind w:left="1130" w:hanging="567"/>
        <w:jc w:val="left"/>
      </w:pPr>
      <w:rPr>
        <w:rFonts w:ascii="Arial" w:eastAsia="Arial" w:hAnsi="Arial" w:cs="Arial" w:hint="default"/>
        <w:b/>
        <w:bCs/>
        <w:spacing w:val="-1"/>
        <w:w w:val="100"/>
        <w:sz w:val="18"/>
        <w:szCs w:val="18"/>
        <w:lang w:val="en-US" w:eastAsia="en-US" w:bidi="ar-SA"/>
      </w:rPr>
    </w:lvl>
    <w:lvl w:ilvl="1" w:tplc="6BB0B04E">
      <w:start w:val="1"/>
      <w:numFmt w:val="lowerRoman"/>
      <w:lvlText w:val="%2."/>
      <w:lvlJc w:val="left"/>
      <w:pPr>
        <w:ind w:left="1280" w:hanging="151"/>
        <w:jc w:val="left"/>
      </w:pPr>
      <w:rPr>
        <w:rFonts w:ascii="Arial" w:eastAsia="Arial" w:hAnsi="Arial" w:cs="Arial" w:hint="default"/>
        <w:b/>
        <w:bCs/>
        <w:spacing w:val="-2"/>
        <w:w w:val="100"/>
        <w:sz w:val="18"/>
        <w:szCs w:val="18"/>
        <w:lang w:val="en-US" w:eastAsia="en-US" w:bidi="ar-SA"/>
      </w:rPr>
    </w:lvl>
    <w:lvl w:ilvl="2" w:tplc="0B9E3072">
      <w:numFmt w:val="bullet"/>
      <w:lvlText w:val="•"/>
      <w:lvlJc w:val="left"/>
      <w:pPr>
        <w:ind w:left="2269" w:hanging="151"/>
      </w:pPr>
      <w:rPr>
        <w:rFonts w:hint="default"/>
        <w:lang w:val="en-US" w:eastAsia="en-US" w:bidi="ar-SA"/>
      </w:rPr>
    </w:lvl>
    <w:lvl w:ilvl="3" w:tplc="EC2CD7CA">
      <w:numFmt w:val="bullet"/>
      <w:lvlText w:val="•"/>
      <w:lvlJc w:val="left"/>
      <w:pPr>
        <w:ind w:left="3259" w:hanging="151"/>
      </w:pPr>
      <w:rPr>
        <w:rFonts w:hint="default"/>
        <w:lang w:val="en-US" w:eastAsia="en-US" w:bidi="ar-SA"/>
      </w:rPr>
    </w:lvl>
    <w:lvl w:ilvl="4" w:tplc="1C0C4A04">
      <w:numFmt w:val="bullet"/>
      <w:lvlText w:val="•"/>
      <w:lvlJc w:val="left"/>
      <w:pPr>
        <w:ind w:left="4248" w:hanging="151"/>
      </w:pPr>
      <w:rPr>
        <w:rFonts w:hint="default"/>
        <w:lang w:val="en-US" w:eastAsia="en-US" w:bidi="ar-SA"/>
      </w:rPr>
    </w:lvl>
    <w:lvl w:ilvl="5" w:tplc="CE807DD0">
      <w:numFmt w:val="bullet"/>
      <w:lvlText w:val="•"/>
      <w:lvlJc w:val="left"/>
      <w:pPr>
        <w:ind w:left="5238" w:hanging="151"/>
      </w:pPr>
      <w:rPr>
        <w:rFonts w:hint="default"/>
        <w:lang w:val="en-US" w:eastAsia="en-US" w:bidi="ar-SA"/>
      </w:rPr>
    </w:lvl>
    <w:lvl w:ilvl="6" w:tplc="37146504">
      <w:numFmt w:val="bullet"/>
      <w:lvlText w:val="•"/>
      <w:lvlJc w:val="left"/>
      <w:pPr>
        <w:ind w:left="6228" w:hanging="151"/>
      </w:pPr>
      <w:rPr>
        <w:rFonts w:hint="default"/>
        <w:lang w:val="en-US" w:eastAsia="en-US" w:bidi="ar-SA"/>
      </w:rPr>
    </w:lvl>
    <w:lvl w:ilvl="7" w:tplc="B3AE9B84">
      <w:numFmt w:val="bullet"/>
      <w:lvlText w:val="•"/>
      <w:lvlJc w:val="left"/>
      <w:pPr>
        <w:ind w:left="7217" w:hanging="151"/>
      </w:pPr>
      <w:rPr>
        <w:rFonts w:hint="default"/>
        <w:lang w:val="en-US" w:eastAsia="en-US" w:bidi="ar-SA"/>
      </w:rPr>
    </w:lvl>
    <w:lvl w:ilvl="8" w:tplc="7D98A6C2">
      <w:numFmt w:val="bullet"/>
      <w:lvlText w:val="•"/>
      <w:lvlJc w:val="left"/>
      <w:pPr>
        <w:ind w:left="8207" w:hanging="151"/>
      </w:pPr>
      <w:rPr>
        <w:rFonts w:hint="default"/>
        <w:lang w:val="en-US" w:eastAsia="en-US" w:bidi="ar-SA"/>
      </w:rPr>
    </w:lvl>
  </w:abstractNum>
  <w:abstractNum w:abstractNumId="31" w15:restartNumberingAfterBreak="0">
    <w:nsid w:val="2137662B"/>
    <w:multiLevelType w:val="hybridMultilevel"/>
    <w:tmpl w:val="A3020180"/>
    <w:lvl w:ilvl="0" w:tplc="D144CEE2">
      <w:numFmt w:val="bullet"/>
      <w:lvlText w:val="-"/>
      <w:lvlJc w:val="left"/>
      <w:pPr>
        <w:ind w:left="187" w:hanging="111"/>
      </w:pPr>
      <w:rPr>
        <w:rFonts w:ascii="Arial" w:eastAsia="Arial" w:hAnsi="Arial" w:cs="Arial" w:hint="default"/>
        <w:w w:val="100"/>
        <w:sz w:val="18"/>
        <w:szCs w:val="18"/>
        <w:lang w:val="en-US" w:eastAsia="en-US" w:bidi="ar-SA"/>
      </w:rPr>
    </w:lvl>
    <w:lvl w:ilvl="1" w:tplc="34E246A4">
      <w:numFmt w:val="bullet"/>
      <w:lvlText w:val="•"/>
      <w:lvlJc w:val="left"/>
      <w:pPr>
        <w:ind w:left="565" w:hanging="111"/>
      </w:pPr>
      <w:rPr>
        <w:rFonts w:hint="default"/>
        <w:lang w:val="en-US" w:eastAsia="en-US" w:bidi="ar-SA"/>
      </w:rPr>
    </w:lvl>
    <w:lvl w:ilvl="2" w:tplc="58FC0E16">
      <w:numFmt w:val="bullet"/>
      <w:lvlText w:val="•"/>
      <w:lvlJc w:val="left"/>
      <w:pPr>
        <w:ind w:left="951" w:hanging="111"/>
      </w:pPr>
      <w:rPr>
        <w:rFonts w:hint="default"/>
        <w:lang w:val="en-US" w:eastAsia="en-US" w:bidi="ar-SA"/>
      </w:rPr>
    </w:lvl>
    <w:lvl w:ilvl="3" w:tplc="A5E832AA">
      <w:numFmt w:val="bullet"/>
      <w:lvlText w:val="•"/>
      <w:lvlJc w:val="left"/>
      <w:pPr>
        <w:ind w:left="1336" w:hanging="111"/>
      </w:pPr>
      <w:rPr>
        <w:rFonts w:hint="default"/>
        <w:lang w:val="en-US" w:eastAsia="en-US" w:bidi="ar-SA"/>
      </w:rPr>
    </w:lvl>
    <w:lvl w:ilvl="4" w:tplc="F2C284C6">
      <w:numFmt w:val="bullet"/>
      <w:lvlText w:val="•"/>
      <w:lvlJc w:val="left"/>
      <w:pPr>
        <w:ind w:left="1722" w:hanging="111"/>
      </w:pPr>
      <w:rPr>
        <w:rFonts w:hint="default"/>
        <w:lang w:val="en-US" w:eastAsia="en-US" w:bidi="ar-SA"/>
      </w:rPr>
    </w:lvl>
    <w:lvl w:ilvl="5" w:tplc="0744F650">
      <w:numFmt w:val="bullet"/>
      <w:lvlText w:val="•"/>
      <w:lvlJc w:val="left"/>
      <w:pPr>
        <w:ind w:left="2108" w:hanging="111"/>
      </w:pPr>
      <w:rPr>
        <w:rFonts w:hint="default"/>
        <w:lang w:val="en-US" w:eastAsia="en-US" w:bidi="ar-SA"/>
      </w:rPr>
    </w:lvl>
    <w:lvl w:ilvl="6" w:tplc="07386D02">
      <w:numFmt w:val="bullet"/>
      <w:lvlText w:val="•"/>
      <w:lvlJc w:val="left"/>
      <w:pPr>
        <w:ind w:left="2493" w:hanging="111"/>
      </w:pPr>
      <w:rPr>
        <w:rFonts w:hint="default"/>
        <w:lang w:val="en-US" w:eastAsia="en-US" w:bidi="ar-SA"/>
      </w:rPr>
    </w:lvl>
    <w:lvl w:ilvl="7" w:tplc="41445C4C">
      <w:numFmt w:val="bullet"/>
      <w:lvlText w:val="•"/>
      <w:lvlJc w:val="left"/>
      <w:pPr>
        <w:ind w:left="2879" w:hanging="111"/>
      </w:pPr>
      <w:rPr>
        <w:rFonts w:hint="default"/>
        <w:lang w:val="en-US" w:eastAsia="en-US" w:bidi="ar-SA"/>
      </w:rPr>
    </w:lvl>
    <w:lvl w:ilvl="8" w:tplc="415CF66E">
      <w:numFmt w:val="bullet"/>
      <w:lvlText w:val="•"/>
      <w:lvlJc w:val="left"/>
      <w:pPr>
        <w:ind w:left="3264" w:hanging="111"/>
      </w:pPr>
      <w:rPr>
        <w:rFonts w:hint="default"/>
        <w:lang w:val="en-US" w:eastAsia="en-US" w:bidi="ar-SA"/>
      </w:rPr>
    </w:lvl>
  </w:abstractNum>
  <w:abstractNum w:abstractNumId="32" w15:restartNumberingAfterBreak="0">
    <w:nsid w:val="22362587"/>
    <w:multiLevelType w:val="hybridMultilevel"/>
    <w:tmpl w:val="E3BE6F50"/>
    <w:lvl w:ilvl="0" w:tplc="BD24B76C">
      <w:numFmt w:val="bullet"/>
      <w:lvlText w:val=""/>
      <w:lvlJc w:val="left"/>
      <w:pPr>
        <w:ind w:left="980" w:hanging="360"/>
      </w:pPr>
      <w:rPr>
        <w:rFonts w:ascii="Symbol" w:eastAsia="Symbol" w:hAnsi="Symbol" w:cs="Symbol" w:hint="default"/>
        <w:w w:val="100"/>
        <w:sz w:val="18"/>
        <w:szCs w:val="18"/>
        <w:lang w:val="en-US" w:eastAsia="en-US" w:bidi="ar-SA"/>
      </w:rPr>
    </w:lvl>
    <w:lvl w:ilvl="1" w:tplc="288E1584">
      <w:numFmt w:val="bullet"/>
      <w:lvlText w:val="•"/>
      <w:lvlJc w:val="left"/>
      <w:pPr>
        <w:ind w:left="1840" w:hanging="360"/>
      </w:pPr>
      <w:rPr>
        <w:rFonts w:hint="default"/>
        <w:lang w:val="en-US" w:eastAsia="en-US" w:bidi="ar-SA"/>
      </w:rPr>
    </w:lvl>
    <w:lvl w:ilvl="2" w:tplc="D1600B68">
      <w:numFmt w:val="bullet"/>
      <w:lvlText w:val="•"/>
      <w:lvlJc w:val="left"/>
      <w:pPr>
        <w:ind w:left="2701" w:hanging="360"/>
      </w:pPr>
      <w:rPr>
        <w:rFonts w:hint="default"/>
        <w:lang w:val="en-US" w:eastAsia="en-US" w:bidi="ar-SA"/>
      </w:rPr>
    </w:lvl>
    <w:lvl w:ilvl="3" w:tplc="02889B4E">
      <w:numFmt w:val="bullet"/>
      <w:lvlText w:val="•"/>
      <w:lvlJc w:val="left"/>
      <w:pPr>
        <w:ind w:left="3561" w:hanging="360"/>
      </w:pPr>
      <w:rPr>
        <w:rFonts w:hint="default"/>
        <w:lang w:val="en-US" w:eastAsia="en-US" w:bidi="ar-SA"/>
      </w:rPr>
    </w:lvl>
    <w:lvl w:ilvl="4" w:tplc="6A388012">
      <w:numFmt w:val="bullet"/>
      <w:lvlText w:val="•"/>
      <w:lvlJc w:val="left"/>
      <w:pPr>
        <w:ind w:left="4422" w:hanging="360"/>
      </w:pPr>
      <w:rPr>
        <w:rFonts w:hint="default"/>
        <w:lang w:val="en-US" w:eastAsia="en-US" w:bidi="ar-SA"/>
      </w:rPr>
    </w:lvl>
    <w:lvl w:ilvl="5" w:tplc="CF98AF3E">
      <w:numFmt w:val="bullet"/>
      <w:lvlText w:val="•"/>
      <w:lvlJc w:val="left"/>
      <w:pPr>
        <w:ind w:left="5283" w:hanging="360"/>
      </w:pPr>
      <w:rPr>
        <w:rFonts w:hint="default"/>
        <w:lang w:val="en-US" w:eastAsia="en-US" w:bidi="ar-SA"/>
      </w:rPr>
    </w:lvl>
    <w:lvl w:ilvl="6" w:tplc="841ED422">
      <w:numFmt w:val="bullet"/>
      <w:lvlText w:val="•"/>
      <w:lvlJc w:val="left"/>
      <w:pPr>
        <w:ind w:left="6143" w:hanging="360"/>
      </w:pPr>
      <w:rPr>
        <w:rFonts w:hint="default"/>
        <w:lang w:val="en-US" w:eastAsia="en-US" w:bidi="ar-SA"/>
      </w:rPr>
    </w:lvl>
    <w:lvl w:ilvl="7" w:tplc="D1DEC9AA">
      <w:numFmt w:val="bullet"/>
      <w:lvlText w:val="•"/>
      <w:lvlJc w:val="left"/>
      <w:pPr>
        <w:ind w:left="7004" w:hanging="360"/>
      </w:pPr>
      <w:rPr>
        <w:rFonts w:hint="default"/>
        <w:lang w:val="en-US" w:eastAsia="en-US" w:bidi="ar-SA"/>
      </w:rPr>
    </w:lvl>
    <w:lvl w:ilvl="8" w:tplc="2A0C70C0">
      <w:numFmt w:val="bullet"/>
      <w:lvlText w:val="•"/>
      <w:lvlJc w:val="left"/>
      <w:pPr>
        <w:ind w:left="7865" w:hanging="360"/>
      </w:pPr>
      <w:rPr>
        <w:rFonts w:hint="default"/>
        <w:lang w:val="en-US" w:eastAsia="en-US" w:bidi="ar-SA"/>
      </w:rPr>
    </w:lvl>
  </w:abstractNum>
  <w:abstractNum w:abstractNumId="33" w15:restartNumberingAfterBreak="0">
    <w:nsid w:val="23622503"/>
    <w:multiLevelType w:val="hybridMultilevel"/>
    <w:tmpl w:val="32847318"/>
    <w:lvl w:ilvl="0" w:tplc="D2D0FCA6">
      <w:start w:val="1"/>
      <w:numFmt w:val="lowerLetter"/>
      <w:lvlText w:val="(%1)"/>
      <w:lvlJc w:val="left"/>
      <w:pPr>
        <w:ind w:left="564" w:hanging="396"/>
        <w:jc w:val="left"/>
      </w:pPr>
      <w:rPr>
        <w:rFonts w:ascii="Arial" w:eastAsia="Arial" w:hAnsi="Arial" w:cs="Arial" w:hint="default"/>
        <w:b/>
        <w:bCs/>
        <w:spacing w:val="-25"/>
        <w:w w:val="100"/>
        <w:sz w:val="18"/>
        <w:szCs w:val="18"/>
        <w:lang w:val="en-US" w:eastAsia="en-US" w:bidi="ar-SA"/>
      </w:rPr>
    </w:lvl>
    <w:lvl w:ilvl="1" w:tplc="1AE41E7E">
      <w:start w:val="1"/>
      <w:numFmt w:val="lowerRoman"/>
      <w:lvlText w:val="(%2)"/>
      <w:lvlJc w:val="left"/>
      <w:pPr>
        <w:ind w:left="782" w:hanging="219"/>
        <w:jc w:val="left"/>
      </w:pPr>
      <w:rPr>
        <w:rFonts w:ascii="Arial" w:eastAsia="Arial" w:hAnsi="Arial" w:cs="Arial" w:hint="default"/>
        <w:b/>
        <w:bCs/>
        <w:i/>
        <w:w w:val="100"/>
        <w:sz w:val="18"/>
        <w:szCs w:val="18"/>
        <w:lang w:val="en-US" w:eastAsia="en-US" w:bidi="ar-SA"/>
      </w:rPr>
    </w:lvl>
    <w:lvl w:ilvl="2" w:tplc="49B04796">
      <w:numFmt w:val="bullet"/>
      <w:lvlText w:val="•"/>
      <w:lvlJc w:val="left"/>
      <w:pPr>
        <w:ind w:left="1825" w:hanging="219"/>
      </w:pPr>
      <w:rPr>
        <w:rFonts w:hint="default"/>
        <w:lang w:val="en-US" w:eastAsia="en-US" w:bidi="ar-SA"/>
      </w:rPr>
    </w:lvl>
    <w:lvl w:ilvl="3" w:tplc="AF8AC93C">
      <w:numFmt w:val="bullet"/>
      <w:lvlText w:val="•"/>
      <w:lvlJc w:val="left"/>
      <w:pPr>
        <w:ind w:left="2870" w:hanging="219"/>
      </w:pPr>
      <w:rPr>
        <w:rFonts w:hint="default"/>
        <w:lang w:val="en-US" w:eastAsia="en-US" w:bidi="ar-SA"/>
      </w:rPr>
    </w:lvl>
    <w:lvl w:ilvl="4" w:tplc="ABFEB050">
      <w:numFmt w:val="bullet"/>
      <w:lvlText w:val="•"/>
      <w:lvlJc w:val="left"/>
      <w:pPr>
        <w:ind w:left="3915" w:hanging="219"/>
      </w:pPr>
      <w:rPr>
        <w:rFonts w:hint="default"/>
        <w:lang w:val="en-US" w:eastAsia="en-US" w:bidi="ar-SA"/>
      </w:rPr>
    </w:lvl>
    <w:lvl w:ilvl="5" w:tplc="7E62D6F2">
      <w:numFmt w:val="bullet"/>
      <w:lvlText w:val="•"/>
      <w:lvlJc w:val="left"/>
      <w:pPr>
        <w:ind w:left="4960" w:hanging="219"/>
      </w:pPr>
      <w:rPr>
        <w:rFonts w:hint="default"/>
        <w:lang w:val="en-US" w:eastAsia="en-US" w:bidi="ar-SA"/>
      </w:rPr>
    </w:lvl>
    <w:lvl w:ilvl="6" w:tplc="9B42DBDA">
      <w:numFmt w:val="bullet"/>
      <w:lvlText w:val="•"/>
      <w:lvlJc w:val="left"/>
      <w:pPr>
        <w:ind w:left="6005" w:hanging="219"/>
      </w:pPr>
      <w:rPr>
        <w:rFonts w:hint="default"/>
        <w:lang w:val="en-US" w:eastAsia="en-US" w:bidi="ar-SA"/>
      </w:rPr>
    </w:lvl>
    <w:lvl w:ilvl="7" w:tplc="FD4AC370">
      <w:numFmt w:val="bullet"/>
      <w:lvlText w:val="•"/>
      <w:lvlJc w:val="left"/>
      <w:pPr>
        <w:ind w:left="7050" w:hanging="219"/>
      </w:pPr>
      <w:rPr>
        <w:rFonts w:hint="default"/>
        <w:lang w:val="en-US" w:eastAsia="en-US" w:bidi="ar-SA"/>
      </w:rPr>
    </w:lvl>
    <w:lvl w:ilvl="8" w:tplc="23F4A2D6">
      <w:numFmt w:val="bullet"/>
      <w:lvlText w:val="•"/>
      <w:lvlJc w:val="left"/>
      <w:pPr>
        <w:ind w:left="8095" w:hanging="219"/>
      </w:pPr>
      <w:rPr>
        <w:rFonts w:hint="default"/>
        <w:lang w:val="en-US" w:eastAsia="en-US" w:bidi="ar-SA"/>
      </w:rPr>
    </w:lvl>
  </w:abstractNum>
  <w:abstractNum w:abstractNumId="34" w15:restartNumberingAfterBreak="0">
    <w:nsid w:val="263A2BF3"/>
    <w:multiLevelType w:val="hybridMultilevel"/>
    <w:tmpl w:val="A0A691C0"/>
    <w:lvl w:ilvl="0" w:tplc="0C68642E">
      <w:start w:val="1"/>
      <w:numFmt w:val="lowerLetter"/>
      <w:lvlText w:val="(%1)"/>
      <w:lvlJc w:val="left"/>
      <w:pPr>
        <w:ind w:left="127" w:hanging="267"/>
        <w:jc w:val="left"/>
      </w:pPr>
      <w:rPr>
        <w:rFonts w:hint="default"/>
        <w:spacing w:val="-1"/>
        <w:w w:val="88"/>
        <w:lang w:val="en-US" w:eastAsia="en-US" w:bidi="ar-SA"/>
      </w:rPr>
    </w:lvl>
    <w:lvl w:ilvl="1" w:tplc="D07842E4">
      <w:numFmt w:val="bullet"/>
      <w:lvlText w:val="•"/>
      <w:lvlJc w:val="left"/>
      <w:pPr>
        <w:ind w:left="1120" w:hanging="267"/>
      </w:pPr>
      <w:rPr>
        <w:rFonts w:hint="default"/>
        <w:lang w:val="en-US" w:eastAsia="en-US" w:bidi="ar-SA"/>
      </w:rPr>
    </w:lvl>
    <w:lvl w:ilvl="2" w:tplc="9F343A52">
      <w:numFmt w:val="bullet"/>
      <w:lvlText w:val="•"/>
      <w:lvlJc w:val="left"/>
      <w:pPr>
        <w:ind w:left="2121" w:hanging="267"/>
      </w:pPr>
      <w:rPr>
        <w:rFonts w:hint="default"/>
        <w:lang w:val="en-US" w:eastAsia="en-US" w:bidi="ar-SA"/>
      </w:rPr>
    </w:lvl>
    <w:lvl w:ilvl="3" w:tplc="ACF6E238">
      <w:numFmt w:val="bullet"/>
      <w:lvlText w:val="•"/>
      <w:lvlJc w:val="left"/>
      <w:pPr>
        <w:ind w:left="3122" w:hanging="267"/>
      </w:pPr>
      <w:rPr>
        <w:rFonts w:hint="default"/>
        <w:lang w:val="en-US" w:eastAsia="en-US" w:bidi="ar-SA"/>
      </w:rPr>
    </w:lvl>
    <w:lvl w:ilvl="4" w:tplc="3EBAC2C6">
      <w:numFmt w:val="bullet"/>
      <w:lvlText w:val="•"/>
      <w:lvlJc w:val="left"/>
      <w:pPr>
        <w:ind w:left="4123" w:hanging="267"/>
      </w:pPr>
      <w:rPr>
        <w:rFonts w:hint="default"/>
        <w:lang w:val="en-US" w:eastAsia="en-US" w:bidi="ar-SA"/>
      </w:rPr>
    </w:lvl>
    <w:lvl w:ilvl="5" w:tplc="A810E0F8">
      <w:numFmt w:val="bullet"/>
      <w:lvlText w:val="•"/>
      <w:lvlJc w:val="left"/>
      <w:pPr>
        <w:ind w:left="5124" w:hanging="267"/>
      </w:pPr>
      <w:rPr>
        <w:rFonts w:hint="default"/>
        <w:lang w:val="en-US" w:eastAsia="en-US" w:bidi="ar-SA"/>
      </w:rPr>
    </w:lvl>
    <w:lvl w:ilvl="6" w:tplc="0B38C178">
      <w:numFmt w:val="bullet"/>
      <w:lvlText w:val="•"/>
      <w:lvlJc w:val="left"/>
      <w:pPr>
        <w:ind w:left="6125" w:hanging="267"/>
      </w:pPr>
      <w:rPr>
        <w:rFonts w:hint="default"/>
        <w:lang w:val="en-US" w:eastAsia="en-US" w:bidi="ar-SA"/>
      </w:rPr>
    </w:lvl>
    <w:lvl w:ilvl="7" w:tplc="903E12EE">
      <w:numFmt w:val="bullet"/>
      <w:lvlText w:val="•"/>
      <w:lvlJc w:val="left"/>
      <w:pPr>
        <w:ind w:left="7126" w:hanging="267"/>
      </w:pPr>
      <w:rPr>
        <w:rFonts w:hint="default"/>
        <w:lang w:val="en-US" w:eastAsia="en-US" w:bidi="ar-SA"/>
      </w:rPr>
    </w:lvl>
    <w:lvl w:ilvl="8" w:tplc="9C1665D4">
      <w:numFmt w:val="bullet"/>
      <w:lvlText w:val="•"/>
      <w:lvlJc w:val="left"/>
      <w:pPr>
        <w:ind w:left="8127" w:hanging="267"/>
      </w:pPr>
      <w:rPr>
        <w:rFonts w:hint="default"/>
        <w:lang w:val="en-US" w:eastAsia="en-US" w:bidi="ar-SA"/>
      </w:rPr>
    </w:lvl>
  </w:abstractNum>
  <w:abstractNum w:abstractNumId="35" w15:restartNumberingAfterBreak="0">
    <w:nsid w:val="29CE7EEF"/>
    <w:multiLevelType w:val="hybridMultilevel"/>
    <w:tmpl w:val="D91C9FA2"/>
    <w:lvl w:ilvl="0" w:tplc="8C946E8A">
      <w:start w:val="1"/>
      <w:numFmt w:val="lowerRoman"/>
      <w:lvlText w:val="(%1)"/>
      <w:lvlJc w:val="left"/>
      <w:pPr>
        <w:ind w:left="847" w:hanging="284"/>
        <w:jc w:val="left"/>
      </w:pPr>
      <w:rPr>
        <w:rFonts w:hint="default"/>
        <w:b/>
        <w:bCs/>
        <w:i/>
        <w:w w:val="100"/>
        <w:lang w:val="en-US" w:eastAsia="en-US" w:bidi="ar-SA"/>
      </w:rPr>
    </w:lvl>
    <w:lvl w:ilvl="1" w:tplc="00A89EC6">
      <w:numFmt w:val="bullet"/>
      <w:lvlText w:val="•"/>
      <w:lvlJc w:val="left"/>
      <w:pPr>
        <w:ind w:left="1774" w:hanging="284"/>
      </w:pPr>
      <w:rPr>
        <w:rFonts w:hint="default"/>
        <w:lang w:val="en-US" w:eastAsia="en-US" w:bidi="ar-SA"/>
      </w:rPr>
    </w:lvl>
    <w:lvl w:ilvl="2" w:tplc="9A960CA6">
      <w:numFmt w:val="bullet"/>
      <w:lvlText w:val="•"/>
      <w:lvlJc w:val="left"/>
      <w:pPr>
        <w:ind w:left="2709" w:hanging="284"/>
      </w:pPr>
      <w:rPr>
        <w:rFonts w:hint="default"/>
        <w:lang w:val="en-US" w:eastAsia="en-US" w:bidi="ar-SA"/>
      </w:rPr>
    </w:lvl>
    <w:lvl w:ilvl="3" w:tplc="A7665CBC">
      <w:numFmt w:val="bullet"/>
      <w:lvlText w:val="•"/>
      <w:lvlJc w:val="left"/>
      <w:pPr>
        <w:ind w:left="3643" w:hanging="284"/>
      </w:pPr>
      <w:rPr>
        <w:rFonts w:hint="default"/>
        <w:lang w:val="en-US" w:eastAsia="en-US" w:bidi="ar-SA"/>
      </w:rPr>
    </w:lvl>
    <w:lvl w:ilvl="4" w:tplc="0BAE6FDE">
      <w:numFmt w:val="bullet"/>
      <w:lvlText w:val="•"/>
      <w:lvlJc w:val="left"/>
      <w:pPr>
        <w:ind w:left="4578" w:hanging="284"/>
      </w:pPr>
      <w:rPr>
        <w:rFonts w:hint="default"/>
        <w:lang w:val="en-US" w:eastAsia="en-US" w:bidi="ar-SA"/>
      </w:rPr>
    </w:lvl>
    <w:lvl w:ilvl="5" w:tplc="F5508B1E">
      <w:numFmt w:val="bullet"/>
      <w:lvlText w:val="•"/>
      <w:lvlJc w:val="left"/>
      <w:pPr>
        <w:ind w:left="5512" w:hanging="284"/>
      </w:pPr>
      <w:rPr>
        <w:rFonts w:hint="default"/>
        <w:lang w:val="en-US" w:eastAsia="en-US" w:bidi="ar-SA"/>
      </w:rPr>
    </w:lvl>
    <w:lvl w:ilvl="6" w:tplc="A47E28E0">
      <w:numFmt w:val="bullet"/>
      <w:lvlText w:val="•"/>
      <w:lvlJc w:val="left"/>
      <w:pPr>
        <w:ind w:left="6447" w:hanging="284"/>
      </w:pPr>
      <w:rPr>
        <w:rFonts w:hint="default"/>
        <w:lang w:val="en-US" w:eastAsia="en-US" w:bidi="ar-SA"/>
      </w:rPr>
    </w:lvl>
    <w:lvl w:ilvl="7" w:tplc="5E6256B0">
      <w:numFmt w:val="bullet"/>
      <w:lvlText w:val="•"/>
      <w:lvlJc w:val="left"/>
      <w:pPr>
        <w:ind w:left="7381" w:hanging="284"/>
      </w:pPr>
      <w:rPr>
        <w:rFonts w:hint="default"/>
        <w:lang w:val="en-US" w:eastAsia="en-US" w:bidi="ar-SA"/>
      </w:rPr>
    </w:lvl>
    <w:lvl w:ilvl="8" w:tplc="F8A099AC">
      <w:numFmt w:val="bullet"/>
      <w:lvlText w:val="•"/>
      <w:lvlJc w:val="left"/>
      <w:pPr>
        <w:ind w:left="8316" w:hanging="284"/>
      </w:pPr>
      <w:rPr>
        <w:rFonts w:hint="default"/>
        <w:lang w:val="en-US" w:eastAsia="en-US" w:bidi="ar-SA"/>
      </w:rPr>
    </w:lvl>
  </w:abstractNum>
  <w:abstractNum w:abstractNumId="36" w15:restartNumberingAfterBreak="0">
    <w:nsid w:val="2A5823B3"/>
    <w:multiLevelType w:val="hybridMultilevel"/>
    <w:tmpl w:val="6C7C641C"/>
    <w:lvl w:ilvl="0" w:tplc="EC144B0E">
      <w:start w:val="1"/>
      <w:numFmt w:val="lowerRoman"/>
      <w:lvlText w:val="(%1)"/>
      <w:lvlJc w:val="left"/>
      <w:pPr>
        <w:ind w:left="783" w:hanging="220"/>
        <w:jc w:val="left"/>
      </w:pPr>
      <w:rPr>
        <w:rFonts w:ascii="Arial" w:eastAsia="Arial" w:hAnsi="Arial" w:cs="Arial" w:hint="default"/>
        <w:b/>
        <w:bCs/>
        <w:w w:val="100"/>
        <w:sz w:val="18"/>
        <w:szCs w:val="18"/>
        <w:lang w:val="en-US" w:eastAsia="en-US" w:bidi="ar-SA"/>
      </w:rPr>
    </w:lvl>
    <w:lvl w:ilvl="1" w:tplc="E2F2F638">
      <w:numFmt w:val="bullet"/>
      <w:lvlText w:val="•"/>
      <w:lvlJc w:val="left"/>
      <w:pPr>
        <w:ind w:left="1724" w:hanging="220"/>
      </w:pPr>
      <w:rPr>
        <w:rFonts w:hint="default"/>
        <w:lang w:val="en-US" w:eastAsia="en-US" w:bidi="ar-SA"/>
      </w:rPr>
    </w:lvl>
    <w:lvl w:ilvl="2" w:tplc="71B002EC">
      <w:numFmt w:val="bullet"/>
      <w:lvlText w:val="•"/>
      <w:lvlJc w:val="left"/>
      <w:pPr>
        <w:ind w:left="2668" w:hanging="220"/>
      </w:pPr>
      <w:rPr>
        <w:rFonts w:hint="default"/>
        <w:lang w:val="en-US" w:eastAsia="en-US" w:bidi="ar-SA"/>
      </w:rPr>
    </w:lvl>
    <w:lvl w:ilvl="3" w:tplc="863631BC">
      <w:numFmt w:val="bullet"/>
      <w:lvlText w:val="•"/>
      <w:lvlJc w:val="left"/>
      <w:pPr>
        <w:ind w:left="3613" w:hanging="220"/>
      </w:pPr>
      <w:rPr>
        <w:rFonts w:hint="default"/>
        <w:lang w:val="en-US" w:eastAsia="en-US" w:bidi="ar-SA"/>
      </w:rPr>
    </w:lvl>
    <w:lvl w:ilvl="4" w:tplc="68341D3C">
      <w:numFmt w:val="bullet"/>
      <w:lvlText w:val="•"/>
      <w:lvlJc w:val="left"/>
      <w:pPr>
        <w:ind w:left="4557" w:hanging="220"/>
      </w:pPr>
      <w:rPr>
        <w:rFonts w:hint="default"/>
        <w:lang w:val="en-US" w:eastAsia="en-US" w:bidi="ar-SA"/>
      </w:rPr>
    </w:lvl>
    <w:lvl w:ilvl="5" w:tplc="F6E0875E">
      <w:numFmt w:val="bullet"/>
      <w:lvlText w:val="•"/>
      <w:lvlJc w:val="left"/>
      <w:pPr>
        <w:ind w:left="5502" w:hanging="220"/>
      </w:pPr>
      <w:rPr>
        <w:rFonts w:hint="default"/>
        <w:lang w:val="en-US" w:eastAsia="en-US" w:bidi="ar-SA"/>
      </w:rPr>
    </w:lvl>
    <w:lvl w:ilvl="6" w:tplc="BAF0FAB4">
      <w:numFmt w:val="bullet"/>
      <w:lvlText w:val="•"/>
      <w:lvlJc w:val="left"/>
      <w:pPr>
        <w:ind w:left="6446" w:hanging="220"/>
      </w:pPr>
      <w:rPr>
        <w:rFonts w:hint="default"/>
        <w:lang w:val="en-US" w:eastAsia="en-US" w:bidi="ar-SA"/>
      </w:rPr>
    </w:lvl>
    <w:lvl w:ilvl="7" w:tplc="7A64E9FA">
      <w:numFmt w:val="bullet"/>
      <w:lvlText w:val="•"/>
      <w:lvlJc w:val="left"/>
      <w:pPr>
        <w:ind w:left="7391" w:hanging="220"/>
      </w:pPr>
      <w:rPr>
        <w:rFonts w:hint="default"/>
        <w:lang w:val="en-US" w:eastAsia="en-US" w:bidi="ar-SA"/>
      </w:rPr>
    </w:lvl>
    <w:lvl w:ilvl="8" w:tplc="B5BEC6D2">
      <w:numFmt w:val="bullet"/>
      <w:lvlText w:val="•"/>
      <w:lvlJc w:val="left"/>
      <w:pPr>
        <w:ind w:left="8335" w:hanging="220"/>
      </w:pPr>
      <w:rPr>
        <w:rFonts w:hint="default"/>
        <w:lang w:val="en-US" w:eastAsia="en-US" w:bidi="ar-SA"/>
      </w:rPr>
    </w:lvl>
  </w:abstractNum>
  <w:abstractNum w:abstractNumId="37" w15:restartNumberingAfterBreak="0">
    <w:nsid w:val="2CEF7BB5"/>
    <w:multiLevelType w:val="hybridMultilevel"/>
    <w:tmpl w:val="29CA80C6"/>
    <w:lvl w:ilvl="0" w:tplc="BCBC10E2">
      <w:start w:val="4"/>
      <w:numFmt w:val="decimal"/>
      <w:lvlText w:val="%1"/>
      <w:lvlJc w:val="left"/>
      <w:pPr>
        <w:ind w:left="279" w:hanging="101"/>
        <w:jc w:val="left"/>
      </w:pPr>
      <w:rPr>
        <w:rFonts w:ascii="Arial" w:eastAsia="Arial" w:hAnsi="Arial" w:cs="Arial" w:hint="default"/>
        <w:w w:val="99"/>
        <w:sz w:val="12"/>
        <w:szCs w:val="12"/>
        <w:lang w:val="en-US" w:eastAsia="en-US" w:bidi="ar-SA"/>
      </w:rPr>
    </w:lvl>
    <w:lvl w:ilvl="1" w:tplc="0802B0AA">
      <w:numFmt w:val="bullet"/>
      <w:lvlText w:val="•"/>
      <w:lvlJc w:val="left"/>
      <w:pPr>
        <w:ind w:left="1210" w:hanging="101"/>
      </w:pPr>
      <w:rPr>
        <w:rFonts w:hint="default"/>
        <w:lang w:val="en-US" w:eastAsia="en-US" w:bidi="ar-SA"/>
      </w:rPr>
    </w:lvl>
    <w:lvl w:ilvl="2" w:tplc="0D967AA6">
      <w:numFmt w:val="bullet"/>
      <w:lvlText w:val="•"/>
      <w:lvlJc w:val="left"/>
      <w:pPr>
        <w:ind w:left="2141" w:hanging="101"/>
      </w:pPr>
      <w:rPr>
        <w:rFonts w:hint="default"/>
        <w:lang w:val="en-US" w:eastAsia="en-US" w:bidi="ar-SA"/>
      </w:rPr>
    </w:lvl>
    <w:lvl w:ilvl="3" w:tplc="B51C9F60">
      <w:numFmt w:val="bullet"/>
      <w:lvlText w:val="•"/>
      <w:lvlJc w:val="left"/>
      <w:pPr>
        <w:ind w:left="3071" w:hanging="101"/>
      </w:pPr>
      <w:rPr>
        <w:rFonts w:hint="default"/>
        <w:lang w:val="en-US" w:eastAsia="en-US" w:bidi="ar-SA"/>
      </w:rPr>
    </w:lvl>
    <w:lvl w:ilvl="4" w:tplc="BC90553C">
      <w:numFmt w:val="bullet"/>
      <w:lvlText w:val="•"/>
      <w:lvlJc w:val="left"/>
      <w:pPr>
        <w:ind w:left="4002" w:hanging="101"/>
      </w:pPr>
      <w:rPr>
        <w:rFonts w:hint="default"/>
        <w:lang w:val="en-US" w:eastAsia="en-US" w:bidi="ar-SA"/>
      </w:rPr>
    </w:lvl>
    <w:lvl w:ilvl="5" w:tplc="4282ED2E">
      <w:numFmt w:val="bullet"/>
      <w:lvlText w:val="•"/>
      <w:lvlJc w:val="left"/>
      <w:pPr>
        <w:ind w:left="4933" w:hanging="101"/>
      </w:pPr>
      <w:rPr>
        <w:rFonts w:hint="default"/>
        <w:lang w:val="en-US" w:eastAsia="en-US" w:bidi="ar-SA"/>
      </w:rPr>
    </w:lvl>
    <w:lvl w:ilvl="6" w:tplc="9EE2F050">
      <w:numFmt w:val="bullet"/>
      <w:lvlText w:val="•"/>
      <w:lvlJc w:val="left"/>
      <w:pPr>
        <w:ind w:left="5863" w:hanging="101"/>
      </w:pPr>
      <w:rPr>
        <w:rFonts w:hint="default"/>
        <w:lang w:val="en-US" w:eastAsia="en-US" w:bidi="ar-SA"/>
      </w:rPr>
    </w:lvl>
    <w:lvl w:ilvl="7" w:tplc="DB38B4AC">
      <w:numFmt w:val="bullet"/>
      <w:lvlText w:val="•"/>
      <w:lvlJc w:val="left"/>
      <w:pPr>
        <w:ind w:left="6794" w:hanging="101"/>
      </w:pPr>
      <w:rPr>
        <w:rFonts w:hint="default"/>
        <w:lang w:val="en-US" w:eastAsia="en-US" w:bidi="ar-SA"/>
      </w:rPr>
    </w:lvl>
    <w:lvl w:ilvl="8" w:tplc="BF6E8970">
      <w:numFmt w:val="bullet"/>
      <w:lvlText w:val="•"/>
      <w:lvlJc w:val="left"/>
      <w:pPr>
        <w:ind w:left="7725" w:hanging="101"/>
      </w:pPr>
      <w:rPr>
        <w:rFonts w:hint="default"/>
        <w:lang w:val="en-US" w:eastAsia="en-US" w:bidi="ar-SA"/>
      </w:rPr>
    </w:lvl>
  </w:abstractNum>
  <w:abstractNum w:abstractNumId="38" w15:restartNumberingAfterBreak="0">
    <w:nsid w:val="2F25677E"/>
    <w:multiLevelType w:val="hybridMultilevel"/>
    <w:tmpl w:val="546E73D0"/>
    <w:lvl w:ilvl="0" w:tplc="8EDE743A">
      <w:numFmt w:val="bullet"/>
      <w:lvlText w:val="•"/>
      <w:lvlJc w:val="left"/>
      <w:pPr>
        <w:ind w:left="1232" w:hanging="561"/>
      </w:pPr>
      <w:rPr>
        <w:rFonts w:hint="default"/>
        <w:w w:val="74"/>
        <w:lang w:val="en-US" w:eastAsia="en-US" w:bidi="ar-SA"/>
      </w:rPr>
    </w:lvl>
    <w:lvl w:ilvl="1" w:tplc="46F48E78">
      <w:numFmt w:val="bullet"/>
      <w:lvlText w:val="•"/>
      <w:lvlJc w:val="left"/>
      <w:pPr>
        <w:ind w:left="2158" w:hanging="561"/>
      </w:pPr>
      <w:rPr>
        <w:rFonts w:hint="default"/>
        <w:lang w:val="en-US" w:eastAsia="en-US" w:bidi="ar-SA"/>
      </w:rPr>
    </w:lvl>
    <w:lvl w:ilvl="2" w:tplc="0CFC8F06">
      <w:numFmt w:val="bullet"/>
      <w:lvlText w:val="•"/>
      <w:lvlJc w:val="left"/>
      <w:pPr>
        <w:ind w:left="3076" w:hanging="561"/>
      </w:pPr>
      <w:rPr>
        <w:rFonts w:hint="default"/>
        <w:lang w:val="en-US" w:eastAsia="en-US" w:bidi="ar-SA"/>
      </w:rPr>
    </w:lvl>
    <w:lvl w:ilvl="3" w:tplc="50148DE8">
      <w:numFmt w:val="bullet"/>
      <w:lvlText w:val="•"/>
      <w:lvlJc w:val="left"/>
      <w:pPr>
        <w:ind w:left="3994" w:hanging="561"/>
      </w:pPr>
      <w:rPr>
        <w:rFonts w:hint="default"/>
        <w:lang w:val="en-US" w:eastAsia="en-US" w:bidi="ar-SA"/>
      </w:rPr>
    </w:lvl>
    <w:lvl w:ilvl="4" w:tplc="69264944">
      <w:numFmt w:val="bullet"/>
      <w:lvlText w:val="•"/>
      <w:lvlJc w:val="left"/>
      <w:pPr>
        <w:ind w:left="4912" w:hanging="561"/>
      </w:pPr>
      <w:rPr>
        <w:rFonts w:hint="default"/>
        <w:lang w:val="en-US" w:eastAsia="en-US" w:bidi="ar-SA"/>
      </w:rPr>
    </w:lvl>
    <w:lvl w:ilvl="5" w:tplc="2B7E0E5A">
      <w:numFmt w:val="bullet"/>
      <w:lvlText w:val="•"/>
      <w:lvlJc w:val="left"/>
      <w:pPr>
        <w:ind w:left="5830" w:hanging="561"/>
      </w:pPr>
      <w:rPr>
        <w:rFonts w:hint="default"/>
        <w:lang w:val="en-US" w:eastAsia="en-US" w:bidi="ar-SA"/>
      </w:rPr>
    </w:lvl>
    <w:lvl w:ilvl="6" w:tplc="1226AAEA">
      <w:numFmt w:val="bullet"/>
      <w:lvlText w:val="•"/>
      <w:lvlJc w:val="left"/>
      <w:pPr>
        <w:ind w:left="6748" w:hanging="561"/>
      </w:pPr>
      <w:rPr>
        <w:rFonts w:hint="default"/>
        <w:lang w:val="en-US" w:eastAsia="en-US" w:bidi="ar-SA"/>
      </w:rPr>
    </w:lvl>
    <w:lvl w:ilvl="7" w:tplc="6F8CE198">
      <w:numFmt w:val="bullet"/>
      <w:lvlText w:val="•"/>
      <w:lvlJc w:val="left"/>
      <w:pPr>
        <w:ind w:left="7666" w:hanging="561"/>
      </w:pPr>
      <w:rPr>
        <w:rFonts w:hint="default"/>
        <w:lang w:val="en-US" w:eastAsia="en-US" w:bidi="ar-SA"/>
      </w:rPr>
    </w:lvl>
    <w:lvl w:ilvl="8" w:tplc="24424EBE">
      <w:numFmt w:val="bullet"/>
      <w:lvlText w:val="•"/>
      <w:lvlJc w:val="left"/>
      <w:pPr>
        <w:ind w:left="8584" w:hanging="561"/>
      </w:pPr>
      <w:rPr>
        <w:rFonts w:hint="default"/>
        <w:lang w:val="en-US" w:eastAsia="en-US" w:bidi="ar-SA"/>
      </w:rPr>
    </w:lvl>
  </w:abstractNum>
  <w:abstractNum w:abstractNumId="39" w15:restartNumberingAfterBreak="0">
    <w:nsid w:val="2FEB7DF4"/>
    <w:multiLevelType w:val="hybridMultilevel"/>
    <w:tmpl w:val="8ACE7D90"/>
    <w:lvl w:ilvl="0" w:tplc="9258BB38">
      <w:start w:val="1"/>
      <w:numFmt w:val="decimal"/>
      <w:lvlText w:val="%1."/>
      <w:lvlJc w:val="left"/>
      <w:pPr>
        <w:ind w:left="108" w:hanging="394"/>
        <w:jc w:val="left"/>
      </w:pPr>
      <w:rPr>
        <w:rFonts w:ascii="Arial" w:eastAsia="Arial" w:hAnsi="Arial" w:cs="Arial" w:hint="default"/>
        <w:b/>
        <w:bCs/>
        <w:spacing w:val="-2"/>
        <w:w w:val="100"/>
        <w:sz w:val="18"/>
        <w:szCs w:val="18"/>
        <w:lang w:val="en-US" w:eastAsia="en-US" w:bidi="ar-SA"/>
      </w:rPr>
    </w:lvl>
    <w:lvl w:ilvl="1" w:tplc="FAD6B070">
      <w:numFmt w:val="bullet"/>
      <w:lvlText w:val="•"/>
      <w:lvlJc w:val="left"/>
      <w:pPr>
        <w:ind w:left="1102" w:hanging="394"/>
      </w:pPr>
      <w:rPr>
        <w:rFonts w:hint="default"/>
        <w:lang w:val="en-US" w:eastAsia="en-US" w:bidi="ar-SA"/>
      </w:rPr>
    </w:lvl>
    <w:lvl w:ilvl="2" w:tplc="3BD24B00">
      <w:numFmt w:val="bullet"/>
      <w:lvlText w:val="•"/>
      <w:lvlJc w:val="left"/>
      <w:pPr>
        <w:ind w:left="2105" w:hanging="394"/>
      </w:pPr>
      <w:rPr>
        <w:rFonts w:hint="default"/>
        <w:lang w:val="en-US" w:eastAsia="en-US" w:bidi="ar-SA"/>
      </w:rPr>
    </w:lvl>
    <w:lvl w:ilvl="3" w:tplc="B066BF30">
      <w:numFmt w:val="bullet"/>
      <w:lvlText w:val="•"/>
      <w:lvlJc w:val="left"/>
      <w:pPr>
        <w:ind w:left="3107" w:hanging="394"/>
      </w:pPr>
      <w:rPr>
        <w:rFonts w:hint="default"/>
        <w:lang w:val="en-US" w:eastAsia="en-US" w:bidi="ar-SA"/>
      </w:rPr>
    </w:lvl>
    <w:lvl w:ilvl="4" w:tplc="04B25D2C">
      <w:numFmt w:val="bullet"/>
      <w:lvlText w:val="•"/>
      <w:lvlJc w:val="left"/>
      <w:pPr>
        <w:ind w:left="4110" w:hanging="394"/>
      </w:pPr>
      <w:rPr>
        <w:rFonts w:hint="default"/>
        <w:lang w:val="en-US" w:eastAsia="en-US" w:bidi="ar-SA"/>
      </w:rPr>
    </w:lvl>
    <w:lvl w:ilvl="5" w:tplc="F0082C5C">
      <w:numFmt w:val="bullet"/>
      <w:lvlText w:val="•"/>
      <w:lvlJc w:val="left"/>
      <w:pPr>
        <w:ind w:left="5113" w:hanging="394"/>
      </w:pPr>
      <w:rPr>
        <w:rFonts w:hint="default"/>
        <w:lang w:val="en-US" w:eastAsia="en-US" w:bidi="ar-SA"/>
      </w:rPr>
    </w:lvl>
    <w:lvl w:ilvl="6" w:tplc="2FCAB036">
      <w:numFmt w:val="bullet"/>
      <w:lvlText w:val="•"/>
      <w:lvlJc w:val="left"/>
      <w:pPr>
        <w:ind w:left="6115" w:hanging="394"/>
      </w:pPr>
      <w:rPr>
        <w:rFonts w:hint="default"/>
        <w:lang w:val="en-US" w:eastAsia="en-US" w:bidi="ar-SA"/>
      </w:rPr>
    </w:lvl>
    <w:lvl w:ilvl="7" w:tplc="AC9A1C18">
      <w:numFmt w:val="bullet"/>
      <w:lvlText w:val="•"/>
      <w:lvlJc w:val="left"/>
      <w:pPr>
        <w:ind w:left="7118" w:hanging="394"/>
      </w:pPr>
      <w:rPr>
        <w:rFonts w:hint="default"/>
        <w:lang w:val="en-US" w:eastAsia="en-US" w:bidi="ar-SA"/>
      </w:rPr>
    </w:lvl>
    <w:lvl w:ilvl="8" w:tplc="3DFEB1AE">
      <w:numFmt w:val="bullet"/>
      <w:lvlText w:val="•"/>
      <w:lvlJc w:val="left"/>
      <w:pPr>
        <w:ind w:left="8121" w:hanging="394"/>
      </w:pPr>
      <w:rPr>
        <w:rFonts w:hint="default"/>
        <w:lang w:val="en-US" w:eastAsia="en-US" w:bidi="ar-SA"/>
      </w:rPr>
    </w:lvl>
  </w:abstractNum>
  <w:abstractNum w:abstractNumId="40" w15:restartNumberingAfterBreak="0">
    <w:nsid w:val="303D5C31"/>
    <w:multiLevelType w:val="hybridMultilevel"/>
    <w:tmpl w:val="26DC11FC"/>
    <w:lvl w:ilvl="0" w:tplc="37AAFDE0">
      <w:start w:val="1"/>
      <w:numFmt w:val="lowerLetter"/>
      <w:lvlText w:val="%1)"/>
      <w:lvlJc w:val="left"/>
      <w:pPr>
        <w:ind w:left="394" w:hanging="212"/>
        <w:jc w:val="left"/>
      </w:pPr>
      <w:rPr>
        <w:rFonts w:ascii="Arial" w:eastAsia="Arial" w:hAnsi="Arial" w:cs="Arial" w:hint="default"/>
        <w:spacing w:val="-1"/>
        <w:w w:val="100"/>
        <w:sz w:val="18"/>
        <w:szCs w:val="18"/>
        <w:lang w:val="en-US" w:eastAsia="en-US" w:bidi="ar-SA"/>
      </w:rPr>
    </w:lvl>
    <w:lvl w:ilvl="1" w:tplc="127C7086">
      <w:numFmt w:val="bullet"/>
      <w:lvlText w:val="•"/>
      <w:lvlJc w:val="left"/>
      <w:pPr>
        <w:ind w:left="1372" w:hanging="212"/>
      </w:pPr>
      <w:rPr>
        <w:rFonts w:hint="default"/>
        <w:lang w:val="en-US" w:eastAsia="en-US" w:bidi="ar-SA"/>
      </w:rPr>
    </w:lvl>
    <w:lvl w:ilvl="2" w:tplc="3EC0DD9E">
      <w:numFmt w:val="bullet"/>
      <w:lvlText w:val="•"/>
      <w:lvlJc w:val="left"/>
      <w:pPr>
        <w:ind w:left="2345" w:hanging="212"/>
      </w:pPr>
      <w:rPr>
        <w:rFonts w:hint="default"/>
        <w:lang w:val="en-US" w:eastAsia="en-US" w:bidi="ar-SA"/>
      </w:rPr>
    </w:lvl>
    <w:lvl w:ilvl="3" w:tplc="7A4E8AA4">
      <w:numFmt w:val="bullet"/>
      <w:lvlText w:val="•"/>
      <w:lvlJc w:val="left"/>
      <w:pPr>
        <w:ind w:left="3317" w:hanging="212"/>
      </w:pPr>
      <w:rPr>
        <w:rFonts w:hint="default"/>
        <w:lang w:val="en-US" w:eastAsia="en-US" w:bidi="ar-SA"/>
      </w:rPr>
    </w:lvl>
    <w:lvl w:ilvl="4" w:tplc="34A87134">
      <w:numFmt w:val="bullet"/>
      <w:lvlText w:val="•"/>
      <w:lvlJc w:val="left"/>
      <w:pPr>
        <w:ind w:left="4290" w:hanging="212"/>
      </w:pPr>
      <w:rPr>
        <w:rFonts w:hint="default"/>
        <w:lang w:val="en-US" w:eastAsia="en-US" w:bidi="ar-SA"/>
      </w:rPr>
    </w:lvl>
    <w:lvl w:ilvl="5" w:tplc="6F5A60EC">
      <w:numFmt w:val="bullet"/>
      <w:lvlText w:val="•"/>
      <w:lvlJc w:val="left"/>
      <w:pPr>
        <w:ind w:left="5263" w:hanging="212"/>
      </w:pPr>
      <w:rPr>
        <w:rFonts w:hint="default"/>
        <w:lang w:val="en-US" w:eastAsia="en-US" w:bidi="ar-SA"/>
      </w:rPr>
    </w:lvl>
    <w:lvl w:ilvl="6" w:tplc="C70252BA">
      <w:numFmt w:val="bullet"/>
      <w:lvlText w:val="•"/>
      <w:lvlJc w:val="left"/>
      <w:pPr>
        <w:ind w:left="6235" w:hanging="212"/>
      </w:pPr>
      <w:rPr>
        <w:rFonts w:hint="default"/>
        <w:lang w:val="en-US" w:eastAsia="en-US" w:bidi="ar-SA"/>
      </w:rPr>
    </w:lvl>
    <w:lvl w:ilvl="7" w:tplc="438E317A">
      <w:numFmt w:val="bullet"/>
      <w:lvlText w:val="•"/>
      <w:lvlJc w:val="left"/>
      <w:pPr>
        <w:ind w:left="7208" w:hanging="212"/>
      </w:pPr>
      <w:rPr>
        <w:rFonts w:hint="default"/>
        <w:lang w:val="en-US" w:eastAsia="en-US" w:bidi="ar-SA"/>
      </w:rPr>
    </w:lvl>
    <w:lvl w:ilvl="8" w:tplc="9C001442">
      <w:numFmt w:val="bullet"/>
      <w:lvlText w:val="•"/>
      <w:lvlJc w:val="left"/>
      <w:pPr>
        <w:ind w:left="8181" w:hanging="212"/>
      </w:pPr>
      <w:rPr>
        <w:rFonts w:hint="default"/>
        <w:lang w:val="en-US" w:eastAsia="en-US" w:bidi="ar-SA"/>
      </w:rPr>
    </w:lvl>
  </w:abstractNum>
  <w:abstractNum w:abstractNumId="41" w15:restartNumberingAfterBreak="0">
    <w:nsid w:val="3048792C"/>
    <w:multiLevelType w:val="hybridMultilevel"/>
    <w:tmpl w:val="CF3E015A"/>
    <w:lvl w:ilvl="0" w:tplc="221257B0">
      <w:start w:val="1"/>
      <w:numFmt w:val="lowerRoman"/>
      <w:lvlText w:val="(%1)"/>
      <w:lvlJc w:val="left"/>
      <w:pPr>
        <w:ind w:left="592" w:hanging="210"/>
        <w:jc w:val="left"/>
      </w:pPr>
      <w:rPr>
        <w:rFonts w:ascii="Arial" w:eastAsia="Arial" w:hAnsi="Arial" w:cs="Arial" w:hint="default"/>
        <w:w w:val="99"/>
        <w:sz w:val="18"/>
        <w:szCs w:val="18"/>
        <w:lang w:val="en-US" w:eastAsia="en-US" w:bidi="ar-SA"/>
      </w:rPr>
    </w:lvl>
    <w:lvl w:ilvl="1" w:tplc="63C6FA66">
      <w:numFmt w:val="bullet"/>
      <w:lvlText w:val="•"/>
      <w:lvlJc w:val="left"/>
      <w:pPr>
        <w:ind w:left="1562" w:hanging="210"/>
      </w:pPr>
      <w:rPr>
        <w:rFonts w:hint="default"/>
        <w:lang w:val="en-US" w:eastAsia="en-US" w:bidi="ar-SA"/>
      </w:rPr>
    </w:lvl>
    <w:lvl w:ilvl="2" w:tplc="E5AECF52">
      <w:numFmt w:val="bullet"/>
      <w:lvlText w:val="•"/>
      <w:lvlJc w:val="left"/>
      <w:pPr>
        <w:ind w:left="2524" w:hanging="210"/>
      </w:pPr>
      <w:rPr>
        <w:rFonts w:hint="default"/>
        <w:lang w:val="en-US" w:eastAsia="en-US" w:bidi="ar-SA"/>
      </w:rPr>
    </w:lvl>
    <w:lvl w:ilvl="3" w:tplc="3878A0F4">
      <w:numFmt w:val="bullet"/>
      <w:lvlText w:val="•"/>
      <w:lvlJc w:val="left"/>
      <w:pPr>
        <w:ind w:left="3487" w:hanging="210"/>
      </w:pPr>
      <w:rPr>
        <w:rFonts w:hint="default"/>
        <w:lang w:val="en-US" w:eastAsia="en-US" w:bidi="ar-SA"/>
      </w:rPr>
    </w:lvl>
    <w:lvl w:ilvl="4" w:tplc="21F2933E">
      <w:numFmt w:val="bullet"/>
      <w:lvlText w:val="•"/>
      <w:lvlJc w:val="left"/>
      <w:pPr>
        <w:ind w:left="4449" w:hanging="210"/>
      </w:pPr>
      <w:rPr>
        <w:rFonts w:hint="default"/>
        <w:lang w:val="en-US" w:eastAsia="en-US" w:bidi="ar-SA"/>
      </w:rPr>
    </w:lvl>
    <w:lvl w:ilvl="5" w:tplc="2B8CDE70">
      <w:numFmt w:val="bullet"/>
      <w:lvlText w:val="•"/>
      <w:lvlJc w:val="left"/>
      <w:pPr>
        <w:ind w:left="5412" w:hanging="210"/>
      </w:pPr>
      <w:rPr>
        <w:rFonts w:hint="default"/>
        <w:lang w:val="en-US" w:eastAsia="en-US" w:bidi="ar-SA"/>
      </w:rPr>
    </w:lvl>
    <w:lvl w:ilvl="6" w:tplc="29CE0B4C">
      <w:numFmt w:val="bullet"/>
      <w:lvlText w:val="•"/>
      <w:lvlJc w:val="left"/>
      <w:pPr>
        <w:ind w:left="6374" w:hanging="210"/>
      </w:pPr>
      <w:rPr>
        <w:rFonts w:hint="default"/>
        <w:lang w:val="en-US" w:eastAsia="en-US" w:bidi="ar-SA"/>
      </w:rPr>
    </w:lvl>
    <w:lvl w:ilvl="7" w:tplc="B96AAADA">
      <w:numFmt w:val="bullet"/>
      <w:lvlText w:val="•"/>
      <w:lvlJc w:val="left"/>
      <w:pPr>
        <w:ind w:left="7337" w:hanging="210"/>
      </w:pPr>
      <w:rPr>
        <w:rFonts w:hint="default"/>
        <w:lang w:val="en-US" w:eastAsia="en-US" w:bidi="ar-SA"/>
      </w:rPr>
    </w:lvl>
    <w:lvl w:ilvl="8" w:tplc="1FE021FA">
      <w:numFmt w:val="bullet"/>
      <w:lvlText w:val="•"/>
      <w:lvlJc w:val="left"/>
      <w:pPr>
        <w:ind w:left="8299" w:hanging="210"/>
      </w:pPr>
      <w:rPr>
        <w:rFonts w:hint="default"/>
        <w:lang w:val="en-US" w:eastAsia="en-US" w:bidi="ar-SA"/>
      </w:rPr>
    </w:lvl>
  </w:abstractNum>
  <w:abstractNum w:abstractNumId="42" w15:restartNumberingAfterBreak="0">
    <w:nsid w:val="30B70F9A"/>
    <w:multiLevelType w:val="hybridMultilevel"/>
    <w:tmpl w:val="70B42E0A"/>
    <w:lvl w:ilvl="0" w:tplc="99BC513C">
      <w:start w:val="1"/>
      <w:numFmt w:val="lowerLetter"/>
      <w:lvlText w:val="(%1)"/>
      <w:lvlJc w:val="left"/>
      <w:pPr>
        <w:ind w:left="564" w:hanging="396"/>
        <w:jc w:val="left"/>
      </w:pPr>
      <w:rPr>
        <w:rFonts w:ascii="Arial" w:eastAsia="Arial" w:hAnsi="Arial" w:cs="Arial" w:hint="default"/>
        <w:b/>
        <w:bCs/>
        <w:spacing w:val="-25"/>
        <w:w w:val="100"/>
        <w:sz w:val="18"/>
        <w:szCs w:val="18"/>
        <w:lang w:val="en-US" w:eastAsia="en-US" w:bidi="ar-SA"/>
      </w:rPr>
    </w:lvl>
    <w:lvl w:ilvl="1" w:tplc="052003AC">
      <w:numFmt w:val="bullet"/>
      <w:lvlText w:val="•"/>
      <w:lvlJc w:val="left"/>
      <w:pPr>
        <w:ind w:left="1522" w:hanging="396"/>
      </w:pPr>
      <w:rPr>
        <w:rFonts w:hint="default"/>
        <w:lang w:val="en-US" w:eastAsia="en-US" w:bidi="ar-SA"/>
      </w:rPr>
    </w:lvl>
    <w:lvl w:ilvl="2" w:tplc="543E5500">
      <w:numFmt w:val="bullet"/>
      <w:lvlText w:val="•"/>
      <w:lvlJc w:val="left"/>
      <w:pPr>
        <w:ind w:left="2485" w:hanging="396"/>
      </w:pPr>
      <w:rPr>
        <w:rFonts w:hint="default"/>
        <w:lang w:val="en-US" w:eastAsia="en-US" w:bidi="ar-SA"/>
      </w:rPr>
    </w:lvl>
    <w:lvl w:ilvl="3" w:tplc="38462066">
      <w:numFmt w:val="bullet"/>
      <w:lvlText w:val="•"/>
      <w:lvlJc w:val="left"/>
      <w:pPr>
        <w:ind w:left="3447" w:hanging="396"/>
      </w:pPr>
      <w:rPr>
        <w:rFonts w:hint="default"/>
        <w:lang w:val="en-US" w:eastAsia="en-US" w:bidi="ar-SA"/>
      </w:rPr>
    </w:lvl>
    <w:lvl w:ilvl="4" w:tplc="7108B080">
      <w:numFmt w:val="bullet"/>
      <w:lvlText w:val="•"/>
      <w:lvlJc w:val="left"/>
      <w:pPr>
        <w:ind w:left="4410" w:hanging="396"/>
      </w:pPr>
      <w:rPr>
        <w:rFonts w:hint="default"/>
        <w:lang w:val="en-US" w:eastAsia="en-US" w:bidi="ar-SA"/>
      </w:rPr>
    </w:lvl>
    <w:lvl w:ilvl="5" w:tplc="AA38ABD4">
      <w:numFmt w:val="bullet"/>
      <w:lvlText w:val="•"/>
      <w:lvlJc w:val="left"/>
      <w:pPr>
        <w:ind w:left="5372" w:hanging="396"/>
      </w:pPr>
      <w:rPr>
        <w:rFonts w:hint="default"/>
        <w:lang w:val="en-US" w:eastAsia="en-US" w:bidi="ar-SA"/>
      </w:rPr>
    </w:lvl>
    <w:lvl w:ilvl="6" w:tplc="9842C9E2">
      <w:numFmt w:val="bullet"/>
      <w:lvlText w:val="•"/>
      <w:lvlJc w:val="left"/>
      <w:pPr>
        <w:ind w:left="6335" w:hanging="396"/>
      </w:pPr>
      <w:rPr>
        <w:rFonts w:hint="default"/>
        <w:lang w:val="en-US" w:eastAsia="en-US" w:bidi="ar-SA"/>
      </w:rPr>
    </w:lvl>
    <w:lvl w:ilvl="7" w:tplc="9F40D058">
      <w:numFmt w:val="bullet"/>
      <w:lvlText w:val="•"/>
      <w:lvlJc w:val="left"/>
      <w:pPr>
        <w:ind w:left="7297" w:hanging="396"/>
      </w:pPr>
      <w:rPr>
        <w:rFonts w:hint="default"/>
        <w:lang w:val="en-US" w:eastAsia="en-US" w:bidi="ar-SA"/>
      </w:rPr>
    </w:lvl>
    <w:lvl w:ilvl="8" w:tplc="464AD26C">
      <w:numFmt w:val="bullet"/>
      <w:lvlText w:val="•"/>
      <w:lvlJc w:val="left"/>
      <w:pPr>
        <w:ind w:left="8260" w:hanging="396"/>
      </w:pPr>
      <w:rPr>
        <w:rFonts w:hint="default"/>
        <w:lang w:val="en-US" w:eastAsia="en-US" w:bidi="ar-SA"/>
      </w:rPr>
    </w:lvl>
  </w:abstractNum>
  <w:abstractNum w:abstractNumId="43" w15:restartNumberingAfterBreak="0">
    <w:nsid w:val="30F6185C"/>
    <w:multiLevelType w:val="hybridMultilevel"/>
    <w:tmpl w:val="7ED66612"/>
    <w:lvl w:ilvl="0" w:tplc="301ABDCC">
      <w:start w:val="1"/>
      <w:numFmt w:val="lowerLetter"/>
      <w:lvlText w:val="(%1)"/>
      <w:lvlJc w:val="left"/>
      <w:pPr>
        <w:ind w:left="1130" w:hanging="567"/>
        <w:jc w:val="left"/>
      </w:pPr>
      <w:rPr>
        <w:rFonts w:ascii="Arial" w:eastAsia="Arial" w:hAnsi="Arial" w:cs="Arial" w:hint="default"/>
        <w:b/>
        <w:bCs/>
        <w:w w:val="100"/>
        <w:sz w:val="18"/>
        <w:szCs w:val="18"/>
        <w:lang w:val="en-US" w:eastAsia="en-US" w:bidi="ar-SA"/>
      </w:rPr>
    </w:lvl>
    <w:lvl w:ilvl="1" w:tplc="DD84ACAA">
      <w:start w:val="1"/>
      <w:numFmt w:val="lowerRoman"/>
      <w:lvlText w:val="(%2)"/>
      <w:lvlJc w:val="left"/>
      <w:pPr>
        <w:ind w:left="1132" w:hanging="212"/>
        <w:jc w:val="left"/>
      </w:pPr>
      <w:rPr>
        <w:rFonts w:ascii="Arial" w:eastAsia="Arial" w:hAnsi="Arial" w:cs="Arial" w:hint="default"/>
        <w:w w:val="100"/>
        <w:sz w:val="18"/>
        <w:szCs w:val="18"/>
        <w:lang w:val="en-US" w:eastAsia="en-US" w:bidi="ar-SA"/>
      </w:rPr>
    </w:lvl>
    <w:lvl w:ilvl="2" w:tplc="8A24F2A8">
      <w:numFmt w:val="bullet"/>
      <w:lvlText w:val="•"/>
      <w:lvlJc w:val="left"/>
      <w:pPr>
        <w:ind w:left="2957" w:hanging="212"/>
      </w:pPr>
      <w:rPr>
        <w:rFonts w:hint="default"/>
        <w:lang w:val="en-US" w:eastAsia="en-US" w:bidi="ar-SA"/>
      </w:rPr>
    </w:lvl>
    <w:lvl w:ilvl="3" w:tplc="A164F4CE">
      <w:numFmt w:val="bullet"/>
      <w:lvlText w:val="•"/>
      <w:lvlJc w:val="left"/>
      <w:pPr>
        <w:ind w:left="3865" w:hanging="212"/>
      </w:pPr>
      <w:rPr>
        <w:rFonts w:hint="default"/>
        <w:lang w:val="en-US" w:eastAsia="en-US" w:bidi="ar-SA"/>
      </w:rPr>
    </w:lvl>
    <w:lvl w:ilvl="4" w:tplc="4DFE72E0">
      <w:numFmt w:val="bullet"/>
      <w:lvlText w:val="•"/>
      <w:lvlJc w:val="left"/>
      <w:pPr>
        <w:ind w:left="4774" w:hanging="212"/>
      </w:pPr>
      <w:rPr>
        <w:rFonts w:hint="default"/>
        <w:lang w:val="en-US" w:eastAsia="en-US" w:bidi="ar-SA"/>
      </w:rPr>
    </w:lvl>
    <w:lvl w:ilvl="5" w:tplc="8326CCBA">
      <w:numFmt w:val="bullet"/>
      <w:lvlText w:val="•"/>
      <w:lvlJc w:val="left"/>
      <w:pPr>
        <w:ind w:left="5682" w:hanging="212"/>
      </w:pPr>
      <w:rPr>
        <w:rFonts w:hint="default"/>
        <w:lang w:val="en-US" w:eastAsia="en-US" w:bidi="ar-SA"/>
      </w:rPr>
    </w:lvl>
    <w:lvl w:ilvl="6" w:tplc="792E6556">
      <w:numFmt w:val="bullet"/>
      <w:lvlText w:val="•"/>
      <w:lvlJc w:val="left"/>
      <w:pPr>
        <w:ind w:left="6591" w:hanging="212"/>
      </w:pPr>
      <w:rPr>
        <w:rFonts w:hint="default"/>
        <w:lang w:val="en-US" w:eastAsia="en-US" w:bidi="ar-SA"/>
      </w:rPr>
    </w:lvl>
    <w:lvl w:ilvl="7" w:tplc="1944BE4A">
      <w:numFmt w:val="bullet"/>
      <w:lvlText w:val="•"/>
      <w:lvlJc w:val="left"/>
      <w:pPr>
        <w:ind w:left="7499" w:hanging="212"/>
      </w:pPr>
      <w:rPr>
        <w:rFonts w:hint="default"/>
        <w:lang w:val="en-US" w:eastAsia="en-US" w:bidi="ar-SA"/>
      </w:rPr>
    </w:lvl>
    <w:lvl w:ilvl="8" w:tplc="B1EA07BC">
      <w:numFmt w:val="bullet"/>
      <w:lvlText w:val="•"/>
      <w:lvlJc w:val="left"/>
      <w:pPr>
        <w:ind w:left="8408" w:hanging="212"/>
      </w:pPr>
      <w:rPr>
        <w:rFonts w:hint="default"/>
        <w:lang w:val="en-US" w:eastAsia="en-US" w:bidi="ar-SA"/>
      </w:rPr>
    </w:lvl>
  </w:abstractNum>
  <w:abstractNum w:abstractNumId="44" w15:restartNumberingAfterBreak="0">
    <w:nsid w:val="32675EF0"/>
    <w:multiLevelType w:val="hybridMultilevel"/>
    <w:tmpl w:val="EE943A26"/>
    <w:lvl w:ilvl="0" w:tplc="0F823482">
      <w:start w:val="1"/>
      <w:numFmt w:val="lowerLetter"/>
      <w:lvlText w:val="(%1)"/>
      <w:lvlJc w:val="left"/>
      <w:pPr>
        <w:ind w:left="561" w:hanging="394"/>
        <w:jc w:val="left"/>
      </w:pPr>
      <w:rPr>
        <w:rFonts w:hint="default"/>
        <w:b/>
        <w:bCs/>
        <w:w w:val="100"/>
        <w:lang w:val="en-US" w:eastAsia="en-US" w:bidi="ar-SA"/>
      </w:rPr>
    </w:lvl>
    <w:lvl w:ilvl="1" w:tplc="C506170A">
      <w:start w:val="1"/>
      <w:numFmt w:val="lowerRoman"/>
      <w:lvlText w:val="(%2)"/>
      <w:lvlJc w:val="left"/>
      <w:pPr>
        <w:ind w:left="785" w:hanging="222"/>
        <w:jc w:val="left"/>
      </w:pPr>
      <w:rPr>
        <w:rFonts w:ascii="Arial" w:eastAsia="Arial" w:hAnsi="Arial" w:cs="Arial" w:hint="default"/>
        <w:b/>
        <w:bCs/>
        <w:w w:val="100"/>
        <w:sz w:val="18"/>
        <w:szCs w:val="18"/>
        <w:lang w:val="en-US" w:eastAsia="en-US" w:bidi="ar-SA"/>
      </w:rPr>
    </w:lvl>
    <w:lvl w:ilvl="2" w:tplc="39921A70">
      <w:numFmt w:val="bullet"/>
      <w:lvlText w:val="•"/>
      <w:lvlJc w:val="left"/>
      <w:pPr>
        <w:ind w:left="1825" w:hanging="222"/>
      </w:pPr>
      <w:rPr>
        <w:rFonts w:hint="default"/>
        <w:lang w:val="en-US" w:eastAsia="en-US" w:bidi="ar-SA"/>
      </w:rPr>
    </w:lvl>
    <w:lvl w:ilvl="3" w:tplc="89A4DBAC">
      <w:numFmt w:val="bullet"/>
      <w:lvlText w:val="•"/>
      <w:lvlJc w:val="left"/>
      <w:pPr>
        <w:ind w:left="2870" w:hanging="222"/>
      </w:pPr>
      <w:rPr>
        <w:rFonts w:hint="default"/>
        <w:lang w:val="en-US" w:eastAsia="en-US" w:bidi="ar-SA"/>
      </w:rPr>
    </w:lvl>
    <w:lvl w:ilvl="4" w:tplc="FDDCAF2C">
      <w:numFmt w:val="bullet"/>
      <w:lvlText w:val="•"/>
      <w:lvlJc w:val="left"/>
      <w:pPr>
        <w:ind w:left="3915" w:hanging="222"/>
      </w:pPr>
      <w:rPr>
        <w:rFonts w:hint="default"/>
        <w:lang w:val="en-US" w:eastAsia="en-US" w:bidi="ar-SA"/>
      </w:rPr>
    </w:lvl>
    <w:lvl w:ilvl="5" w:tplc="9EFEE2F8">
      <w:numFmt w:val="bullet"/>
      <w:lvlText w:val="•"/>
      <w:lvlJc w:val="left"/>
      <w:pPr>
        <w:ind w:left="4960" w:hanging="222"/>
      </w:pPr>
      <w:rPr>
        <w:rFonts w:hint="default"/>
        <w:lang w:val="en-US" w:eastAsia="en-US" w:bidi="ar-SA"/>
      </w:rPr>
    </w:lvl>
    <w:lvl w:ilvl="6" w:tplc="E196D982">
      <w:numFmt w:val="bullet"/>
      <w:lvlText w:val="•"/>
      <w:lvlJc w:val="left"/>
      <w:pPr>
        <w:ind w:left="6005" w:hanging="222"/>
      </w:pPr>
      <w:rPr>
        <w:rFonts w:hint="default"/>
        <w:lang w:val="en-US" w:eastAsia="en-US" w:bidi="ar-SA"/>
      </w:rPr>
    </w:lvl>
    <w:lvl w:ilvl="7" w:tplc="C89207FE">
      <w:numFmt w:val="bullet"/>
      <w:lvlText w:val="•"/>
      <w:lvlJc w:val="left"/>
      <w:pPr>
        <w:ind w:left="7050" w:hanging="222"/>
      </w:pPr>
      <w:rPr>
        <w:rFonts w:hint="default"/>
        <w:lang w:val="en-US" w:eastAsia="en-US" w:bidi="ar-SA"/>
      </w:rPr>
    </w:lvl>
    <w:lvl w:ilvl="8" w:tplc="0BAE669C">
      <w:numFmt w:val="bullet"/>
      <w:lvlText w:val="•"/>
      <w:lvlJc w:val="left"/>
      <w:pPr>
        <w:ind w:left="8095" w:hanging="222"/>
      </w:pPr>
      <w:rPr>
        <w:rFonts w:hint="default"/>
        <w:lang w:val="en-US" w:eastAsia="en-US" w:bidi="ar-SA"/>
      </w:rPr>
    </w:lvl>
  </w:abstractNum>
  <w:abstractNum w:abstractNumId="45" w15:restartNumberingAfterBreak="0">
    <w:nsid w:val="32C2001D"/>
    <w:multiLevelType w:val="hybridMultilevel"/>
    <w:tmpl w:val="ED6E21CE"/>
    <w:lvl w:ilvl="0" w:tplc="39641212">
      <w:start w:val="1"/>
      <w:numFmt w:val="decimal"/>
      <w:lvlText w:val="%1"/>
      <w:lvlJc w:val="left"/>
      <w:pPr>
        <w:ind w:left="564" w:hanging="394"/>
        <w:jc w:val="left"/>
      </w:pPr>
      <w:rPr>
        <w:rFonts w:ascii="Arial" w:eastAsia="Arial" w:hAnsi="Arial" w:cs="Arial" w:hint="default"/>
        <w:b/>
        <w:bCs/>
        <w:spacing w:val="-9"/>
        <w:w w:val="100"/>
        <w:sz w:val="18"/>
        <w:szCs w:val="18"/>
        <w:lang w:val="en-US" w:eastAsia="en-US" w:bidi="ar-SA"/>
      </w:rPr>
    </w:lvl>
    <w:lvl w:ilvl="1" w:tplc="8F94AB96">
      <w:start w:val="1"/>
      <w:numFmt w:val="lowerLetter"/>
      <w:lvlText w:val="(%2)"/>
      <w:lvlJc w:val="left"/>
      <w:pPr>
        <w:ind w:left="1130" w:hanging="567"/>
        <w:jc w:val="left"/>
      </w:pPr>
      <w:rPr>
        <w:rFonts w:ascii="Arial" w:eastAsia="Arial" w:hAnsi="Arial" w:cs="Arial" w:hint="default"/>
        <w:b/>
        <w:bCs/>
        <w:spacing w:val="-11"/>
        <w:w w:val="100"/>
        <w:sz w:val="18"/>
        <w:szCs w:val="18"/>
        <w:lang w:val="en-US" w:eastAsia="en-US" w:bidi="ar-SA"/>
      </w:rPr>
    </w:lvl>
    <w:lvl w:ilvl="2" w:tplc="38B86846">
      <w:numFmt w:val="bullet"/>
      <w:lvlText w:val="•"/>
      <w:lvlJc w:val="left"/>
      <w:pPr>
        <w:ind w:left="2145" w:hanging="567"/>
      </w:pPr>
      <w:rPr>
        <w:rFonts w:hint="default"/>
        <w:lang w:val="en-US" w:eastAsia="en-US" w:bidi="ar-SA"/>
      </w:rPr>
    </w:lvl>
    <w:lvl w:ilvl="3" w:tplc="A30EFA22">
      <w:numFmt w:val="bullet"/>
      <w:lvlText w:val="•"/>
      <w:lvlJc w:val="left"/>
      <w:pPr>
        <w:ind w:left="3150" w:hanging="567"/>
      </w:pPr>
      <w:rPr>
        <w:rFonts w:hint="default"/>
        <w:lang w:val="en-US" w:eastAsia="en-US" w:bidi="ar-SA"/>
      </w:rPr>
    </w:lvl>
    <w:lvl w:ilvl="4" w:tplc="8F3EE69E">
      <w:numFmt w:val="bullet"/>
      <w:lvlText w:val="•"/>
      <w:lvlJc w:val="left"/>
      <w:pPr>
        <w:ind w:left="4155" w:hanging="567"/>
      </w:pPr>
      <w:rPr>
        <w:rFonts w:hint="default"/>
        <w:lang w:val="en-US" w:eastAsia="en-US" w:bidi="ar-SA"/>
      </w:rPr>
    </w:lvl>
    <w:lvl w:ilvl="5" w:tplc="F2E4ACE4">
      <w:numFmt w:val="bullet"/>
      <w:lvlText w:val="•"/>
      <w:lvlJc w:val="left"/>
      <w:pPr>
        <w:ind w:left="5160" w:hanging="567"/>
      </w:pPr>
      <w:rPr>
        <w:rFonts w:hint="default"/>
        <w:lang w:val="en-US" w:eastAsia="en-US" w:bidi="ar-SA"/>
      </w:rPr>
    </w:lvl>
    <w:lvl w:ilvl="6" w:tplc="57B2AB80">
      <w:numFmt w:val="bullet"/>
      <w:lvlText w:val="•"/>
      <w:lvlJc w:val="left"/>
      <w:pPr>
        <w:ind w:left="6165" w:hanging="567"/>
      </w:pPr>
      <w:rPr>
        <w:rFonts w:hint="default"/>
        <w:lang w:val="en-US" w:eastAsia="en-US" w:bidi="ar-SA"/>
      </w:rPr>
    </w:lvl>
    <w:lvl w:ilvl="7" w:tplc="C07AA930">
      <w:numFmt w:val="bullet"/>
      <w:lvlText w:val="•"/>
      <w:lvlJc w:val="left"/>
      <w:pPr>
        <w:ind w:left="7170" w:hanging="567"/>
      </w:pPr>
      <w:rPr>
        <w:rFonts w:hint="default"/>
        <w:lang w:val="en-US" w:eastAsia="en-US" w:bidi="ar-SA"/>
      </w:rPr>
    </w:lvl>
    <w:lvl w:ilvl="8" w:tplc="400A174E">
      <w:numFmt w:val="bullet"/>
      <w:lvlText w:val="•"/>
      <w:lvlJc w:val="left"/>
      <w:pPr>
        <w:ind w:left="8176" w:hanging="567"/>
      </w:pPr>
      <w:rPr>
        <w:rFonts w:hint="default"/>
        <w:lang w:val="en-US" w:eastAsia="en-US" w:bidi="ar-SA"/>
      </w:rPr>
    </w:lvl>
  </w:abstractNum>
  <w:abstractNum w:abstractNumId="46" w15:restartNumberingAfterBreak="0">
    <w:nsid w:val="342D53F7"/>
    <w:multiLevelType w:val="hybridMultilevel"/>
    <w:tmpl w:val="FDD8F7B2"/>
    <w:lvl w:ilvl="0" w:tplc="247CEE5E">
      <w:start w:val="1"/>
      <w:numFmt w:val="decimal"/>
      <w:lvlText w:val="%1."/>
      <w:lvlJc w:val="left"/>
      <w:pPr>
        <w:ind w:left="504" w:hanging="396"/>
        <w:jc w:val="left"/>
      </w:pPr>
      <w:rPr>
        <w:rFonts w:ascii="Arial" w:eastAsia="Arial" w:hAnsi="Arial" w:cs="Arial" w:hint="default"/>
        <w:w w:val="100"/>
        <w:sz w:val="18"/>
        <w:szCs w:val="18"/>
        <w:lang w:val="en-US" w:eastAsia="en-US" w:bidi="ar-SA"/>
      </w:rPr>
    </w:lvl>
    <w:lvl w:ilvl="1" w:tplc="453EB266">
      <w:start w:val="1"/>
      <w:numFmt w:val="lowerLetter"/>
      <w:lvlText w:val="%2."/>
      <w:lvlJc w:val="left"/>
      <w:pPr>
        <w:ind w:left="900" w:hanging="396"/>
        <w:jc w:val="left"/>
      </w:pPr>
      <w:rPr>
        <w:rFonts w:ascii="Arial" w:eastAsia="Arial" w:hAnsi="Arial" w:cs="Arial" w:hint="default"/>
        <w:w w:val="100"/>
        <w:sz w:val="18"/>
        <w:szCs w:val="18"/>
        <w:lang w:val="en-US" w:eastAsia="en-US" w:bidi="ar-SA"/>
      </w:rPr>
    </w:lvl>
    <w:lvl w:ilvl="2" w:tplc="61BE4F0C">
      <w:numFmt w:val="bullet"/>
      <w:lvlText w:val="•"/>
      <w:lvlJc w:val="left"/>
      <w:pPr>
        <w:ind w:left="1920" w:hanging="396"/>
      </w:pPr>
      <w:rPr>
        <w:rFonts w:hint="default"/>
        <w:lang w:val="en-US" w:eastAsia="en-US" w:bidi="ar-SA"/>
      </w:rPr>
    </w:lvl>
    <w:lvl w:ilvl="3" w:tplc="0C08E0D4">
      <w:numFmt w:val="bullet"/>
      <w:lvlText w:val="•"/>
      <w:lvlJc w:val="left"/>
      <w:pPr>
        <w:ind w:left="2941" w:hanging="396"/>
      </w:pPr>
      <w:rPr>
        <w:rFonts w:hint="default"/>
        <w:lang w:val="en-US" w:eastAsia="en-US" w:bidi="ar-SA"/>
      </w:rPr>
    </w:lvl>
    <w:lvl w:ilvl="4" w:tplc="B01A7960">
      <w:numFmt w:val="bullet"/>
      <w:lvlText w:val="•"/>
      <w:lvlJc w:val="left"/>
      <w:pPr>
        <w:ind w:left="3961" w:hanging="396"/>
      </w:pPr>
      <w:rPr>
        <w:rFonts w:hint="default"/>
        <w:lang w:val="en-US" w:eastAsia="en-US" w:bidi="ar-SA"/>
      </w:rPr>
    </w:lvl>
    <w:lvl w:ilvl="5" w:tplc="F8A8FB4E">
      <w:numFmt w:val="bullet"/>
      <w:lvlText w:val="•"/>
      <w:lvlJc w:val="left"/>
      <w:pPr>
        <w:ind w:left="4982" w:hanging="396"/>
      </w:pPr>
      <w:rPr>
        <w:rFonts w:hint="default"/>
        <w:lang w:val="en-US" w:eastAsia="en-US" w:bidi="ar-SA"/>
      </w:rPr>
    </w:lvl>
    <w:lvl w:ilvl="6" w:tplc="7FF4262E">
      <w:numFmt w:val="bullet"/>
      <w:lvlText w:val="•"/>
      <w:lvlJc w:val="left"/>
      <w:pPr>
        <w:ind w:left="6003" w:hanging="396"/>
      </w:pPr>
      <w:rPr>
        <w:rFonts w:hint="default"/>
        <w:lang w:val="en-US" w:eastAsia="en-US" w:bidi="ar-SA"/>
      </w:rPr>
    </w:lvl>
    <w:lvl w:ilvl="7" w:tplc="24EA6B4C">
      <w:numFmt w:val="bullet"/>
      <w:lvlText w:val="•"/>
      <w:lvlJc w:val="left"/>
      <w:pPr>
        <w:ind w:left="7023" w:hanging="396"/>
      </w:pPr>
      <w:rPr>
        <w:rFonts w:hint="default"/>
        <w:lang w:val="en-US" w:eastAsia="en-US" w:bidi="ar-SA"/>
      </w:rPr>
    </w:lvl>
    <w:lvl w:ilvl="8" w:tplc="C89E02A4">
      <w:numFmt w:val="bullet"/>
      <w:lvlText w:val="•"/>
      <w:lvlJc w:val="left"/>
      <w:pPr>
        <w:ind w:left="8044" w:hanging="396"/>
      </w:pPr>
      <w:rPr>
        <w:rFonts w:hint="default"/>
        <w:lang w:val="en-US" w:eastAsia="en-US" w:bidi="ar-SA"/>
      </w:rPr>
    </w:lvl>
  </w:abstractNum>
  <w:abstractNum w:abstractNumId="47" w15:restartNumberingAfterBreak="0">
    <w:nsid w:val="3430469A"/>
    <w:multiLevelType w:val="hybridMultilevel"/>
    <w:tmpl w:val="9A82E32A"/>
    <w:lvl w:ilvl="0" w:tplc="4D2E419C">
      <w:start w:val="1"/>
      <w:numFmt w:val="lowerRoman"/>
      <w:lvlText w:val="(%1)"/>
      <w:lvlJc w:val="left"/>
      <w:pPr>
        <w:ind w:left="571" w:hanging="312"/>
        <w:jc w:val="left"/>
      </w:pPr>
      <w:rPr>
        <w:rFonts w:ascii="Arial" w:eastAsia="Arial" w:hAnsi="Arial" w:cs="Arial" w:hint="default"/>
        <w:spacing w:val="-7"/>
        <w:w w:val="99"/>
        <w:sz w:val="18"/>
        <w:szCs w:val="18"/>
        <w:lang w:val="en-US" w:eastAsia="en-US" w:bidi="ar-SA"/>
      </w:rPr>
    </w:lvl>
    <w:lvl w:ilvl="1" w:tplc="8664512E">
      <w:numFmt w:val="bullet"/>
      <w:lvlText w:val="•"/>
      <w:lvlJc w:val="left"/>
      <w:pPr>
        <w:ind w:left="1480" w:hanging="312"/>
      </w:pPr>
      <w:rPr>
        <w:rFonts w:hint="default"/>
        <w:lang w:val="en-US" w:eastAsia="en-US" w:bidi="ar-SA"/>
      </w:rPr>
    </w:lvl>
    <w:lvl w:ilvl="2" w:tplc="C542F15C">
      <w:numFmt w:val="bullet"/>
      <w:lvlText w:val="•"/>
      <w:lvlJc w:val="left"/>
      <w:pPr>
        <w:ind w:left="2381" w:hanging="312"/>
      </w:pPr>
      <w:rPr>
        <w:rFonts w:hint="default"/>
        <w:lang w:val="en-US" w:eastAsia="en-US" w:bidi="ar-SA"/>
      </w:rPr>
    </w:lvl>
    <w:lvl w:ilvl="3" w:tplc="D5AEF05E">
      <w:numFmt w:val="bullet"/>
      <w:lvlText w:val="•"/>
      <w:lvlJc w:val="left"/>
      <w:pPr>
        <w:ind w:left="3281" w:hanging="312"/>
      </w:pPr>
      <w:rPr>
        <w:rFonts w:hint="default"/>
        <w:lang w:val="en-US" w:eastAsia="en-US" w:bidi="ar-SA"/>
      </w:rPr>
    </w:lvl>
    <w:lvl w:ilvl="4" w:tplc="EAE4DF86">
      <w:numFmt w:val="bullet"/>
      <w:lvlText w:val="•"/>
      <w:lvlJc w:val="left"/>
      <w:pPr>
        <w:ind w:left="4182" w:hanging="312"/>
      </w:pPr>
      <w:rPr>
        <w:rFonts w:hint="default"/>
        <w:lang w:val="en-US" w:eastAsia="en-US" w:bidi="ar-SA"/>
      </w:rPr>
    </w:lvl>
    <w:lvl w:ilvl="5" w:tplc="AECC3850">
      <w:numFmt w:val="bullet"/>
      <w:lvlText w:val="•"/>
      <w:lvlJc w:val="left"/>
      <w:pPr>
        <w:ind w:left="5083" w:hanging="312"/>
      </w:pPr>
      <w:rPr>
        <w:rFonts w:hint="default"/>
        <w:lang w:val="en-US" w:eastAsia="en-US" w:bidi="ar-SA"/>
      </w:rPr>
    </w:lvl>
    <w:lvl w:ilvl="6" w:tplc="CFEAE0D4">
      <w:numFmt w:val="bullet"/>
      <w:lvlText w:val="•"/>
      <w:lvlJc w:val="left"/>
      <w:pPr>
        <w:ind w:left="5983" w:hanging="312"/>
      </w:pPr>
      <w:rPr>
        <w:rFonts w:hint="default"/>
        <w:lang w:val="en-US" w:eastAsia="en-US" w:bidi="ar-SA"/>
      </w:rPr>
    </w:lvl>
    <w:lvl w:ilvl="7" w:tplc="DB18D85E">
      <w:numFmt w:val="bullet"/>
      <w:lvlText w:val="•"/>
      <w:lvlJc w:val="left"/>
      <w:pPr>
        <w:ind w:left="6884" w:hanging="312"/>
      </w:pPr>
      <w:rPr>
        <w:rFonts w:hint="default"/>
        <w:lang w:val="en-US" w:eastAsia="en-US" w:bidi="ar-SA"/>
      </w:rPr>
    </w:lvl>
    <w:lvl w:ilvl="8" w:tplc="207217C0">
      <w:numFmt w:val="bullet"/>
      <w:lvlText w:val="•"/>
      <w:lvlJc w:val="left"/>
      <w:pPr>
        <w:ind w:left="7785" w:hanging="312"/>
      </w:pPr>
      <w:rPr>
        <w:rFonts w:hint="default"/>
        <w:lang w:val="en-US" w:eastAsia="en-US" w:bidi="ar-SA"/>
      </w:rPr>
    </w:lvl>
  </w:abstractNum>
  <w:abstractNum w:abstractNumId="48" w15:restartNumberingAfterBreak="0">
    <w:nsid w:val="362F6243"/>
    <w:multiLevelType w:val="hybridMultilevel"/>
    <w:tmpl w:val="F73449EA"/>
    <w:lvl w:ilvl="0" w:tplc="F6907360">
      <w:start w:val="1"/>
      <w:numFmt w:val="lowerLetter"/>
      <w:lvlText w:val="(%1)"/>
      <w:lvlJc w:val="left"/>
      <w:pPr>
        <w:ind w:left="787" w:hanging="272"/>
        <w:jc w:val="left"/>
      </w:pPr>
      <w:rPr>
        <w:rFonts w:ascii="Arial" w:eastAsia="Arial" w:hAnsi="Arial" w:cs="Arial" w:hint="default"/>
        <w:w w:val="100"/>
        <w:sz w:val="18"/>
        <w:szCs w:val="18"/>
        <w:lang w:val="en-US" w:eastAsia="en-US" w:bidi="ar-SA"/>
      </w:rPr>
    </w:lvl>
    <w:lvl w:ilvl="1" w:tplc="B5BCA0B6">
      <w:numFmt w:val="bullet"/>
      <w:lvlText w:val="•"/>
      <w:lvlJc w:val="left"/>
      <w:pPr>
        <w:ind w:left="1710" w:hanging="272"/>
      </w:pPr>
      <w:rPr>
        <w:rFonts w:hint="default"/>
        <w:lang w:val="en-US" w:eastAsia="en-US" w:bidi="ar-SA"/>
      </w:rPr>
    </w:lvl>
    <w:lvl w:ilvl="2" w:tplc="129C4F8C">
      <w:numFmt w:val="bullet"/>
      <w:lvlText w:val="•"/>
      <w:lvlJc w:val="left"/>
      <w:pPr>
        <w:ind w:left="2641" w:hanging="272"/>
      </w:pPr>
      <w:rPr>
        <w:rFonts w:hint="default"/>
        <w:lang w:val="en-US" w:eastAsia="en-US" w:bidi="ar-SA"/>
      </w:rPr>
    </w:lvl>
    <w:lvl w:ilvl="3" w:tplc="1046A696">
      <w:numFmt w:val="bullet"/>
      <w:lvlText w:val="•"/>
      <w:lvlJc w:val="left"/>
      <w:pPr>
        <w:ind w:left="3571" w:hanging="272"/>
      </w:pPr>
      <w:rPr>
        <w:rFonts w:hint="default"/>
        <w:lang w:val="en-US" w:eastAsia="en-US" w:bidi="ar-SA"/>
      </w:rPr>
    </w:lvl>
    <w:lvl w:ilvl="4" w:tplc="700A9732">
      <w:numFmt w:val="bullet"/>
      <w:lvlText w:val="•"/>
      <w:lvlJc w:val="left"/>
      <w:pPr>
        <w:ind w:left="4502" w:hanging="272"/>
      </w:pPr>
      <w:rPr>
        <w:rFonts w:hint="default"/>
        <w:lang w:val="en-US" w:eastAsia="en-US" w:bidi="ar-SA"/>
      </w:rPr>
    </w:lvl>
    <w:lvl w:ilvl="5" w:tplc="07E078B4">
      <w:numFmt w:val="bullet"/>
      <w:lvlText w:val="•"/>
      <w:lvlJc w:val="left"/>
      <w:pPr>
        <w:ind w:left="5432" w:hanging="272"/>
      </w:pPr>
      <w:rPr>
        <w:rFonts w:hint="default"/>
        <w:lang w:val="en-US" w:eastAsia="en-US" w:bidi="ar-SA"/>
      </w:rPr>
    </w:lvl>
    <w:lvl w:ilvl="6" w:tplc="07B87A24">
      <w:numFmt w:val="bullet"/>
      <w:lvlText w:val="•"/>
      <w:lvlJc w:val="left"/>
      <w:pPr>
        <w:ind w:left="6363" w:hanging="272"/>
      </w:pPr>
      <w:rPr>
        <w:rFonts w:hint="default"/>
        <w:lang w:val="en-US" w:eastAsia="en-US" w:bidi="ar-SA"/>
      </w:rPr>
    </w:lvl>
    <w:lvl w:ilvl="7" w:tplc="414439E6">
      <w:numFmt w:val="bullet"/>
      <w:lvlText w:val="•"/>
      <w:lvlJc w:val="left"/>
      <w:pPr>
        <w:ind w:left="7293" w:hanging="272"/>
      </w:pPr>
      <w:rPr>
        <w:rFonts w:hint="default"/>
        <w:lang w:val="en-US" w:eastAsia="en-US" w:bidi="ar-SA"/>
      </w:rPr>
    </w:lvl>
    <w:lvl w:ilvl="8" w:tplc="B002CF5A">
      <w:numFmt w:val="bullet"/>
      <w:lvlText w:val="•"/>
      <w:lvlJc w:val="left"/>
      <w:pPr>
        <w:ind w:left="8224" w:hanging="272"/>
      </w:pPr>
      <w:rPr>
        <w:rFonts w:hint="default"/>
        <w:lang w:val="en-US" w:eastAsia="en-US" w:bidi="ar-SA"/>
      </w:rPr>
    </w:lvl>
  </w:abstractNum>
  <w:abstractNum w:abstractNumId="49" w15:restartNumberingAfterBreak="0">
    <w:nsid w:val="36E70641"/>
    <w:multiLevelType w:val="hybridMultilevel"/>
    <w:tmpl w:val="206C360C"/>
    <w:lvl w:ilvl="0" w:tplc="E8246CD8">
      <w:start w:val="2"/>
      <w:numFmt w:val="lowerLetter"/>
      <w:lvlText w:val="(%1)"/>
      <w:lvlJc w:val="left"/>
      <w:pPr>
        <w:ind w:left="564" w:hanging="396"/>
        <w:jc w:val="left"/>
      </w:pPr>
      <w:rPr>
        <w:rFonts w:ascii="Arial" w:eastAsia="Arial" w:hAnsi="Arial" w:cs="Arial" w:hint="default"/>
        <w:b/>
        <w:bCs/>
        <w:w w:val="100"/>
        <w:sz w:val="18"/>
        <w:szCs w:val="18"/>
        <w:lang w:val="en-US" w:eastAsia="en-US" w:bidi="ar-SA"/>
      </w:rPr>
    </w:lvl>
    <w:lvl w:ilvl="1" w:tplc="1DFA47D8">
      <w:numFmt w:val="bullet"/>
      <w:lvlText w:val="•"/>
      <w:lvlJc w:val="left"/>
      <w:pPr>
        <w:ind w:left="1526" w:hanging="396"/>
      </w:pPr>
      <w:rPr>
        <w:rFonts w:hint="default"/>
        <w:lang w:val="en-US" w:eastAsia="en-US" w:bidi="ar-SA"/>
      </w:rPr>
    </w:lvl>
    <w:lvl w:ilvl="2" w:tplc="AFF83F9A">
      <w:numFmt w:val="bullet"/>
      <w:lvlText w:val="•"/>
      <w:lvlJc w:val="left"/>
      <w:pPr>
        <w:ind w:left="2493" w:hanging="396"/>
      </w:pPr>
      <w:rPr>
        <w:rFonts w:hint="default"/>
        <w:lang w:val="en-US" w:eastAsia="en-US" w:bidi="ar-SA"/>
      </w:rPr>
    </w:lvl>
    <w:lvl w:ilvl="3" w:tplc="4DBEF63A">
      <w:numFmt w:val="bullet"/>
      <w:lvlText w:val="•"/>
      <w:lvlJc w:val="left"/>
      <w:pPr>
        <w:ind w:left="3459" w:hanging="396"/>
      </w:pPr>
      <w:rPr>
        <w:rFonts w:hint="default"/>
        <w:lang w:val="en-US" w:eastAsia="en-US" w:bidi="ar-SA"/>
      </w:rPr>
    </w:lvl>
    <w:lvl w:ilvl="4" w:tplc="96E8CE9A">
      <w:numFmt w:val="bullet"/>
      <w:lvlText w:val="•"/>
      <w:lvlJc w:val="left"/>
      <w:pPr>
        <w:ind w:left="4426" w:hanging="396"/>
      </w:pPr>
      <w:rPr>
        <w:rFonts w:hint="default"/>
        <w:lang w:val="en-US" w:eastAsia="en-US" w:bidi="ar-SA"/>
      </w:rPr>
    </w:lvl>
    <w:lvl w:ilvl="5" w:tplc="97C29D36">
      <w:numFmt w:val="bullet"/>
      <w:lvlText w:val="•"/>
      <w:lvlJc w:val="left"/>
      <w:pPr>
        <w:ind w:left="5392" w:hanging="396"/>
      </w:pPr>
      <w:rPr>
        <w:rFonts w:hint="default"/>
        <w:lang w:val="en-US" w:eastAsia="en-US" w:bidi="ar-SA"/>
      </w:rPr>
    </w:lvl>
    <w:lvl w:ilvl="6" w:tplc="960A66EC">
      <w:numFmt w:val="bullet"/>
      <w:lvlText w:val="•"/>
      <w:lvlJc w:val="left"/>
      <w:pPr>
        <w:ind w:left="6359" w:hanging="396"/>
      </w:pPr>
      <w:rPr>
        <w:rFonts w:hint="default"/>
        <w:lang w:val="en-US" w:eastAsia="en-US" w:bidi="ar-SA"/>
      </w:rPr>
    </w:lvl>
    <w:lvl w:ilvl="7" w:tplc="0CCC5CA0">
      <w:numFmt w:val="bullet"/>
      <w:lvlText w:val="•"/>
      <w:lvlJc w:val="left"/>
      <w:pPr>
        <w:ind w:left="7325" w:hanging="396"/>
      </w:pPr>
      <w:rPr>
        <w:rFonts w:hint="default"/>
        <w:lang w:val="en-US" w:eastAsia="en-US" w:bidi="ar-SA"/>
      </w:rPr>
    </w:lvl>
    <w:lvl w:ilvl="8" w:tplc="CB8C471E">
      <w:numFmt w:val="bullet"/>
      <w:lvlText w:val="•"/>
      <w:lvlJc w:val="left"/>
      <w:pPr>
        <w:ind w:left="8292" w:hanging="396"/>
      </w:pPr>
      <w:rPr>
        <w:rFonts w:hint="default"/>
        <w:lang w:val="en-US" w:eastAsia="en-US" w:bidi="ar-SA"/>
      </w:rPr>
    </w:lvl>
  </w:abstractNum>
  <w:abstractNum w:abstractNumId="50" w15:restartNumberingAfterBreak="0">
    <w:nsid w:val="377C53A0"/>
    <w:multiLevelType w:val="hybridMultilevel"/>
    <w:tmpl w:val="C22E07EE"/>
    <w:lvl w:ilvl="0" w:tplc="A484F510">
      <w:start w:val="1"/>
      <w:numFmt w:val="decimal"/>
      <w:lvlText w:val="%1"/>
      <w:lvlJc w:val="left"/>
      <w:pPr>
        <w:ind w:left="564" w:hanging="394"/>
        <w:jc w:val="left"/>
      </w:pPr>
      <w:rPr>
        <w:rFonts w:ascii="Arial" w:eastAsia="Arial" w:hAnsi="Arial" w:cs="Arial" w:hint="default"/>
        <w:b/>
        <w:bCs/>
        <w:spacing w:val="-9"/>
        <w:w w:val="100"/>
        <w:sz w:val="18"/>
        <w:szCs w:val="18"/>
        <w:lang w:val="en-US" w:eastAsia="en-US" w:bidi="ar-SA"/>
      </w:rPr>
    </w:lvl>
    <w:lvl w:ilvl="1" w:tplc="E9FC18A8">
      <w:numFmt w:val="bullet"/>
      <w:lvlText w:val="•"/>
      <w:lvlJc w:val="left"/>
      <w:pPr>
        <w:ind w:left="1526" w:hanging="394"/>
      </w:pPr>
      <w:rPr>
        <w:rFonts w:hint="default"/>
        <w:lang w:val="en-US" w:eastAsia="en-US" w:bidi="ar-SA"/>
      </w:rPr>
    </w:lvl>
    <w:lvl w:ilvl="2" w:tplc="5876F8F0">
      <w:numFmt w:val="bullet"/>
      <w:lvlText w:val="•"/>
      <w:lvlJc w:val="left"/>
      <w:pPr>
        <w:ind w:left="2493" w:hanging="394"/>
      </w:pPr>
      <w:rPr>
        <w:rFonts w:hint="default"/>
        <w:lang w:val="en-US" w:eastAsia="en-US" w:bidi="ar-SA"/>
      </w:rPr>
    </w:lvl>
    <w:lvl w:ilvl="3" w:tplc="B240D534">
      <w:numFmt w:val="bullet"/>
      <w:lvlText w:val="•"/>
      <w:lvlJc w:val="left"/>
      <w:pPr>
        <w:ind w:left="3459" w:hanging="394"/>
      </w:pPr>
      <w:rPr>
        <w:rFonts w:hint="default"/>
        <w:lang w:val="en-US" w:eastAsia="en-US" w:bidi="ar-SA"/>
      </w:rPr>
    </w:lvl>
    <w:lvl w:ilvl="4" w:tplc="C5587D06">
      <w:numFmt w:val="bullet"/>
      <w:lvlText w:val="•"/>
      <w:lvlJc w:val="left"/>
      <w:pPr>
        <w:ind w:left="4426" w:hanging="394"/>
      </w:pPr>
      <w:rPr>
        <w:rFonts w:hint="default"/>
        <w:lang w:val="en-US" w:eastAsia="en-US" w:bidi="ar-SA"/>
      </w:rPr>
    </w:lvl>
    <w:lvl w:ilvl="5" w:tplc="AB06A2B2">
      <w:numFmt w:val="bullet"/>
      <w:lvlText w:val="•"/>
      <w:lvlJc w:val="left"/>
      <w:pPr>
        <w:ind w:left="5392" w:hanging="394"/>
      </w:pPr>
      <w:rPr>
        <w:rFonts w:hint="default"/>
        <w:lang w:val="en-US" w:eastAsia="en-US" w:bidi="ar-SA"/>
      </w:rPr>
    </w:lvl>
    <w:lvl w:ilvl="6" w:tplc="134E13B6">
      <w:numFmt w:val="bullet"/>
      <w:lvlText w:val="•"/>
      <w:lvlJc w:val="left"/>
      <w:pPr>
        <w:ind w:left="6359" w:hanging="394"/>
      </w:pPr>
      <w:rPr>
        <w:rFonts w:hint="default"/>
        <w:lang w:val="en-US" w:eastAsia="en-US" w:bidi="ar-SA"/>
      </w:rPr>
    </w:lvl>
    <w:lvl w:ilvl="7" w:tplc="B44A2114">
      <w:numFmt w:val="bullet"/>
      <w:lvlText w:val="•"/>
      <w:lvlJc w:val="left"/>
      <w:pPr>
        <w:ind w:left="7325" w:hanging="394"/>
      </w:pPr>
      <w:rPr>
        <w:rFonts w:hint="default"/>
        <w:lang w:val="en-US" w:eastAsia="en-US" w:bidi="ar-SA"/>
      </w:rPr>
    </w:lvl>
    <w:lvl w:ilvl="8" w:tplc="83E68D60">
      <w:numFmt w:val="bullet"/>
      <w:lvlText w:val="•"/>
      <w:lvlJc w:val="left"/>
      <w:pPr>
        <w:ind w:left="8292" w:hanging="394"/>
      </w:pPr>
      <w:rPr>
        <w:rFonts w:hint="default"/>
        <w:lang w:val="en-US" w:eastAsia="en-US" w:bidi="ar-SA"/>
      </w:rPr>
    </w:lvl>
  </w:abstractNum>
  <w:abstractNum w:abstractNumId="51" w15:restartNumberingAfterBreak="0">
    <w:nsid w:val="381B1D22"/>
    <w:multiLevelType w:val="hybridMultilevel"/>
    <w:tmpl w:val="D0E46E28"/>
    <w:lvl w:ilvl="0" w:tplc="902C4C18">
      <w:start w:val="1"/>
      <w:numFmt w:val="lowerLetter"/>
      <w:lvlText w:val="%1)"/>
      <w:lvlJc w:val="left"/>
      <w:pPr>
        <w:ind w:left="374" w:hanging="212"/>
        <w:jc w:val="left"/>
      </w:pPr>
      <w:rPr>
        <w:rFonts w:ascii="Arial" w:eastAsia="Arial" w:hAnsi="Arial" w:cs="Arial" w:hint="default"/>
        <w:spacing w:val="-1"/>
        <w:w w:val="100"/>
        <w:sz w:val="18"/>
        <w:szCs w:val="18"/>
        <w:lang w:val="en-US" w:eastAsia="en-US" w:bidi="ar-SA"/>
      </w:rPr>
    </w:lvl>
    <w:lvl w:ilvl="1" w:tplc="9FE2266E">
      <w:numFmt w:val="bullet"/>
      <w:lvlText w:val="•"/>
      <w:lvlJc w:val="left"/>
      <w:pPr>
        <w:ind w:left="1354" w:hanging="212"/>
      </w:pPr>
      <w:rPr>
        <w:rFonts w:hint="default"/>
        <w:lang w:val="en-US" w:eastAsia="en-US" w:bidi="ar-SA"/>
      </w:rPr>
    </w:lvl>
    <w:lvl w:ilvl="2" w:tplc="A610452A">
      <w:numFmt w:val="bullet"/>
      <w:lvlText w:val="•"/>
      <w:lvlJc w:val="left"/>
      <w:pPr>
        <w:ind w:left="2329" w:hanging="212"/>
      </w:pPr>
      <w:rPr>
        <w:rFonts w:hint="default"/>
        <w:lang w:val="en-US" w:eastAsia="en-US" w:bidi="ar-SA"/>
      </w:rPr>
    </w:lvl>
    <w:lvl w:ilvl="3" w:tplc="C7965E90">
      <w:numFmt w:val="bullet"/>
      <w:lvlText w:val="•"/>
      <w:lvlJc w:val="left"/>
      <w:pPr>
        <w:ind w:left="3303" w:hanging="212"/>
      </w:pPr>
      <w:rPr>
        <w:rFonts w:hint="default"/>
        <w:lang w:val="en-US" w:eastAsia="en-US" w:bidi="ar-SA"/>
      </w:rPr>
    </w:lvl>
    <w:lvl w:ilvl="4" w:tplc="548E3780">
      <w:numFmt w:val="bullet"/>
      <w:lvlText w:val="•"/>
      <w:lvlJc w:val="left"/>
      <w:pPr>
        <w:ind w:left="4278" w:hanging="212"/>
      </w:pPr>
      <w:rPr>
        <w:rFonts w:hint="default"/>
        <w:lang w:val="en-US" w:eastAsia="en-US" w:bidi="ar-SA"/>
      </w:rPr>
    </w:lvl>
    <w:lvl w:ilvl="5" w:tplc="839A390E">
      <w:numFmt w:val="bullet"/>
      <w:lvlText w:val="•"/>
      <w:lvlJc w:val="left"/>
      <w:pPr>
        <w:ind w:left="5253" w:hanging="212"/>
      </w:pPr>
      <w:rPr>
        <w:rFonts w:hint="default"/>
        <w:lang w:val="en-US" w:eastAsia="en-US" w:bidi="ar-SA"/>
      </w:rPr>
    </w:lvl>
    <w:lvl w:ilvl="6" w:tplc="470E4230">
      <w:numFmt w:val="bullet"/>
      <w:lvlText w:val="•"/>
      <w:lvlJc w:val="left"/>
      <w:pPr>
        <w:ind w:left="6227" w:hanging="212"/>
      </w:pPr>
      <w:rPr>
        <w:rFonts w:hint="default"/>
        <w:lang w:val="en-US" w:eastAsia="en-US" w:bidi="ar-SA"/>
      </w:rPr>
    </w:lvl>
    <w:lvl w:ilvl="7" w:tplc="781ADA9C">
      <w:numFmt w:val="bullet"/>
      <w:lvlText w:val="•"/>
      <w:lvlJc w:val="left"/>
      <w:pPr>
        <w:ind w:left="7202" w:hanging="212"/>
      </w:pPr>
      <w:rPr>
        <w:rFonts w:hint="default"/>
        <w:lang w:val="en-US" w:eastAsia="en-US" w:bidi="ar-SA"/>
      </w:rPr>
    </w:lvl>
    <w:lvl w:ilvl="8" w:tplc="23A60E00">
      <w:numFmt w:val="bullet"/>
      <w:lvlText w:val="•"/>
      <w:lvlJc w:val="left"/>
      <w:pPr>
        <w:ind w:left="8177" w:hanging="212"/>
      </w:pPr>
      <w:rPr>
        <w:rFonts w:hint="default"/>
        <w:lang w:val="en-US" w:eastAsia="en-US" w:bidi="ar-SA"/>
      </w:rPr>
    </w:lvl>
  </w:abstractNum>
  <w:abstractNum w:abstractNumId="52" w15:restartNumberingAfterBreak="0">
    <w:nsid w:val="3BA032CC"/>
    <w:multiLevelType w:val="hybridMultilevel"/>
    <w:tmpl w:val="D9CC10B8"/>
    <w:lvl w:ilvl="0" w:tplc="C702230C">
      <w:start w:val="1"/>
      <w:numFmt w:val="lowerLetter"/>
      <w:lvlText w:val="(%1)"/>
      <w:lvlJc w:val="left"/>
      <w:pPr>
        <w:ind w:left="848" w:hanging="720"/>
        <w:jc w:val="left"/>
      </w:pPr>
      <w:rPr>
        <w:rFonts w:ascii="Arial" w:eastAsia="Arial" w:hAnsi="Arial" w:cs="Arial" w:hint="default"/>
        <w:spacing w:val="-4"/>
        <w:w w:val="100"/>
        <w:sz w:val="18"/>
        <w:szCs w:val="18"/>
        <w:lang w:val="en-US" w:eastAsia="en-US" w:bidi="ar-SA"/>
      </w:rPr>
    </w:lvl>
    <w:lvl w:ilvl="1" w:tplc="F1420CC8">
      <w:numFmt w:val="bullet"/>
      <w:lvlText w:val="•"/>
      <w:lvlJc w:val="left"/>
      <w:pPr>
        <w:ind w:left="1240" w:hanging="579"/>
      </w:pPr>
      <w:rPr>
        <w:rFonts w:ascii="Arial" w:eastAsia="Arial" w:hAnsi="Arial" w:cs="Arial" w:hint="default"/>
        <w:w w:val="80"/>
        <w:sz w:val="21"/>
        <w:szCs w:val="21"/>
        <w:lang w:val="en-US" w:eastAsia="en-US" w:bidi="ar-SA"/>
      </w:rPr>
    </w:lvl>
    <w:lvl w:ilvl="2" w:tplc="B25E7034">
      <w:numFmt w:val="bullet"/>
      <w:lvlText w:val="•"/>
      <w:lvlJc w:val="left"/>
      <w:pPr>
        <w:ind w:left="2229" w:hanging="579"/>
      </w:pPr>
      <w:rPr>
        <w:rFonts w:hint="default"/>
        <w:lang w:val="en-US" w:eastAsia="en-US" w:bidi="ar-SA"/>
      </w:rPr>
    </w:lvl>
    <w:lvl w:ilvl="3" w:tplc="0352C4D6">
      <w:numFmt w:val="bullet"/>
      <w:lvlText w:val="•"/>
      <w:lvlJc w:val="left"/>
      <w:pPr>
        <w:ind w:left="3219" w:hanging="579"/>
      </w:pPr>
      <w:rPr>
        <w:rFonts w:hint="default"/>
        <w:lang w:val="en-US" w:eastAsia="en-US" w:bidi="ar-SA"/>
      </w:rPr>
    </w:lvl>
    <w:lvl w:ilvl="4" w:tplc="B87E400C">
      <w:numFmt w:val="bullet"/>
      <w:lvlText w:val="•"/>
      <w:lvlJc w:val="left"/>
      <w:pPr>
        <w:ind w:left="4208" w:hanging="579"/>
      </w:pPr>
      <w:rPr>
        <w:rFonts w:hint="default"/>
        <w:lang w:val="en-US" w:eastAsia="en-US" w:bidi="ar-SA"/>
      </w:rPr>
    </w:lvl>
    <w:lvl w:ilvl="5" w:tplc="652CB254">
      <w:numFmt w:val="bullet"/>
      <w:lvlText w:val="•"/>
      <w:lvlJc w:val="left"/>
      <w:pPr>
        <w:ind w:left="5197" w:hanging="579"/>
      </w:pPr>
      <w:rPr>
        <w:rFonts w:hint="default"/>
        <w:lang w:val="en-US" w:eastAsia="en-US" w:bidi="ar-SA"/>
      </w:rPr>
    </w:lvl>
    <w:lvl w:ilvl="6" w:tplc="E8C2DCAA">
      <w:numFmt w:val="bullet"/>
      <w:lvlText w:val="•"/>
      <w:lvlJc w:val="left"/>
      <w:pPr>
        <w:ind w:left="6187" w:hanging="579"/>
      </w:pPr>
      <w:rPr>
        <w:rFonts w:hint="default"/>
        <w:lang w:val="en-US" w:eastAsia="en-US" w:bidi="ar-SA"/>
      </w:rPr>
    </w:lvl>
    <w:lvl w:ilvl="7" w:tplc="0DC207EA">
      <w:numFmt w:val="bullet"/>
      <w:lvlText w:val="•"/>
      <w:lvlJc w:val="left"/>
      <w:pPr>
        <w:ind w:left="7176" w:hanging="579"/>
      </w:pPr>
      <w:rPr>
        <w:rFonts w:hint="default"/>
        <w:lang w:val="en-US" w:eastAsia="en-US" w:bidi="ar-SA"/>
      </w:rPr>
    </w:lvl>
    <w:lvl w:ilvl="8" w:tplc="E04AFA96">
      <w:numFmt w:val="bullet"/>
      <w:lvlText w:val="•"/>
      <w:lvlJc w:val="left"/>
      <w:pPr>
        <w:ind w:left="8166" w:hanging="579"/>
      </w:pPr>
      <w:rPr>
        <w:rFonts w:hint="default"/>
        <w:lang w:val="en-US" w:eastAsia="en-US" w:bidi="ar-SA"/>
      </w:rPr>
    </w:lvl>
  </w:abstractNum>
  <w:abstractNum w:abstractNumId="53" w15:restartNumberingAfterBreak="0">
    <w:nsid w:val="3CD90418"/>
    <w:multiLevelType w:val="hybridMultilevel"/>
    <w:tmpl w:val="8658505E"/>
    <w:lvl w:ilvl="0" w:tplc="8E0E3C4E">
      <w:numFmt w:val="bullet"/>
      <w:lvlText w:val="•"/>
      <w:lvlJc w:val="left"/>
      <w:pPr>
        <w:ind w:left="1203" w:hanging="545"/>
      </w:pPr>
      <w:rPr>
        <w:rFonts w:ascii="Arial" w:eastAsia="Arial" w:hAnsi="Arial" w:cs="Arial" w:hint="default"/>
        <w:w w:val="90"/>
        <w:sz w:val="19"/>
        <w:szCs w:val="19"/>
        <w:lang w:val="en-US" w:eastAsia="en-US" w:bidi="ar-SA"/>
      </w:rPr>
    </w:lvl>
    <w:lvl w:ilvl="1" w:tplc="D3A603C0">
      <w:numFmt w:val="bullet"/>
      <w:lvlText w:val="•"/>
      <w:lvlJc w:val="left"/>
      <w:pPr>
        <w:ind w:left="2084" w:hanging="545"/>
      </w:pPr>
      <w:rPr>
        <w:rFonts w:hint="default"/>
        <w:lang w:val="en-US" w:eastAsia="en-US" w:bidi="ar-SA"/>
      </w:rPr>
    </w:lvl>
    <w:lvl w:ilvl="2" w:tplc="3EE8D772">
      <w:numFmt w:val="bullet"/>
      <w:lvlText w:val="•"/>
      <w:lvlJc w:val="left"/>
      <w:pPr>
        <w:ind w:left="2969" w:hanging="545"/>
      </w:pPr>
      <w:rPr>
        <w:rFonts w:hint="default"/>
        <w:lang w:val="en-US" w:eastAsia="en-US" w:bidi="ar-SA"/>
      </w:rPr>
    </w:lvl>
    <w:lvl w:ilvl="3" w:tplc="C7B03942">
      <w:numFmt w:val="bullet"/>
      <w:lvlText w:val="•"/>
      <w:lvlJc w:val="left"/>
      <w:pPr>
        <w:ind w:left="3854" w:hanging="545"/>
      </w:pPr>
      <w:rPr>
        <w:rFonts w:hint="default"/>
        <w:lang w:val="en-US" w:eastAsia="en-US" w:bidi="ar-SA"/>
      </w:rPr>
    </w:lvl>
    <w:lvl w:ilvl="4" w:tplc="FB1298D4">
      <w:numFmt w:val="bullet"/>
      <w:lvlText w:val="•"/>
      <w:lvlJc w:val="left"/>
      <w:pPr>
        <w:ind w:left="4739" w:hanging="545"/>
      </w:pPr>
      <w:rPr>
        <w:rFonts w:hint="default"/>
        <w:lang w:val="en-US" w:eastAsia="en-US" w:bidi="ar-SA"/>
      </w:rPr>
    </w:lvl>
    <w:lvl w:ilvl="5" w:tplc="932A401E">
      <w:numFmt w:val="bullet"/>
      <w:lvlText w:val="•"/>
      <w:lvlJc w:val="left"/>
      <w:pPr>
        <w:ind w:left="5624" w:hanging="545"/>
      </w:pPr>
      <w:rPr>
        <w:rFonts w:hint="default"/>
        <w:lang w:val="en-US" w:eastAsia="en-US" w:bidi="ar-SA"/>
      </w:rPr>
    </w:lvl>
    <w:lvl w:ilvl="6" w:tplc="1B888E10">
      <w:numFmt w:val="bullet"/>
      <w:lvlText w:val="•"/>
      <w:lvlJc w:val="left"/>
      <w:pPr>
        <w:ind w:left="6509" w:hanging="545"/>
      </w:pPr>
      <w:rPr>
        <w:rFonts w:hint="default"/>
        <w:lang w:val="en-US" w:eastAsia="en-US" w:bidi="ar-SA"/>
      </w:rPr>
    </w:lvl>
    <w:lvl w:ilvl="7" w:tplc="87621ECC">
      <w:numFmt w:val="bullet"/>
      <w:lvlText w:val="•"/>
      <w:lvlJc w:val="left"/>
      <w:pPr>
        <w:ind w:left="7394" w:hanging="545"/>
      </w:pPr>
      <w:rPr>
        <w:rFonts w:hint="default"/>
        <w:lang w:val="en-US" w:eastAsia="en-US" w:bidi="ar-SA"/>
      </w:rPr>
    </w:lvl>
    <w:lvl w:ilvl="8" w:tplc="F61AC620">
      <w:numFmt w:val="bullet"/>
      <w:lvlText w:val="•"/>
      <w:lvlJc w:val="left"/>
      <w:pPr>
        <w:ind w:left="8279" w:hanging="545"/>
      </w:pPr>
      <w:rPr>
        <w:rFonts w:hint="default"/>
        <w:lang w:val="en-US" w:eastAsia="en-US" w:bidi="ar-SA"/>
      </w:rPr>
    </w:lvl>
  </w:abstractNum>
  <w:abstractNum w:abstractNumId="54" w15:restartNumberingAfterBreak="0">
    <w:nsid w:val="3D360F9B"/>
    <w:multiLevelType w:val="hybridMultilevel"/>
    <w:tmpl w:val="BFFEFD0A"/>
    <w:lvl w:ilvl="0" w:tplc="FD52FCA6">
      <w:start w:val="1"/>
      <w:numFmt w:val="lowerLetter"/>
      <w:lvlText w:val="(%1)"/>
      <w:lvlJc w:val="left"/>
      <w:pPr>
        <w:ind w:left="777" w:hanging="657"/>
        <w:jc w:val="left"/>
      </w:pPr>
      <w:rPr>
        <w:rFonts w:hint="default"/>
        <w:spacing w:val="-1"/>
        <w:w w:val="98"/>
        <w:lang w:val="en-US" w:eastAsia="en-US" w:bidi="ar-SA"/>
      </w:rPr>
    </w:lvl>
    <w:lvl w:ilvl="1" w:tplc="353C8CBC">
      <w:numFmt w:val="bullet"/>
      <w:lvlText w:val="•"/>
      <w:lvlJc w:val="left"/>
      <w:pPr>
        <w:ind w:left="1095" w:hanging="579"/>
      </w:pPr>
      <w:rPr>
        <w:rFonts w:ascii="Arial" w:eastAsia="Arial" w:hAnsi="Arial" w:cs="Arial" w:hint="default"/>
        <w:w w:val="84"/>
        <w:sz w:val="20"/>
        <w:szCs w:val="20"/>
        <w:lang w:val="en-US" w:eastAsia="en-US" w:bidi="ar-SA"/>
      </w:rPr>
    </w:lvl>
    <w:lvl w:ilvl="2" w:tplc="88E2B006">
      <w:numFmt w:val="bullet"/>
      <w:lvlText w:val="•"/>
      <w:lvlJc w:val="left"/>
      <w:pPr>
        <w:ind w:left="2054" w:hanging="579"/>
      </w:pPr>
      <w:rPr>
        <w:rFonts w:hint="default"/>
        <w:lang w:val="en-US" w:eastAsia="en-US" w:bidi="ar-SA"/>
      </w:rPr>
    </w:lvl>
    <w:lvl w:ilvl="3" w:tplc="67046458">
      <w:numFmt w:val="bullet"/>
      <w:lvlText w:val="•"/>
      <w:lvlJc w:val="left"/>
      <w:pPr>
        <w:ind w:left="3008" w:hanging="579"/>
      </w:pPr>
      <w:rPr>
        <w:rFonts w:hint="default"/>
        <w:lang w:val="en-US" w:eastAsia="en-US" w:bidi="ar-SA"/>
      </w:rPr>
    </w:lvl>
    <w:lvl w:ilvl="4" w:tplc="0D8C1AC2">
      <w:numFmt w:val="bullet"/>
      <w:lvlText w:val="•"/>
      <w:lvlJc w:val="left"/>
      <w:pPr>
        <w:ind w:left="3962" w:hanging="579"/>
      </w:pPr>
      <w:rPr>
        <w:rFonts w:hint="default"/>
        <w:lang w:val="en-US" w:eastAsia="en-US" w:bidi="ar-SA"/>
      </w:rPr>
    </w:lvl>
    <w:lvl w:ilvl="5" w:tplc="C4903D6E">
      <w:numFmt w:val="bullet"/>
      <w:lvlText w:val="•"/>
      <w:lvlJc w:val="left"/>
      <w:pPr>
        <w:ind w:left="4917" w:hanging="579"/>
      </w:pPr>
      <w:rPr>
        <w:rFonts w:hint="default"/>
        <w:lang w:val="en-US" w:eastAsia="en-US" w:bidi="ar-SA"/>
      </w:rPr>
    </w:lvl>
    <w:lvl w:ilvl="6" w:tplc="27A42F22">
      <w:numFmt w:val="bullet"/>
      <w:lvlText w:val="•"/>
      <w:lvlJc w:val="left"/>
      <w:pPr>
        <w:ind w:left="5871" w:hanging="579"/>
      </w:pPr>
      <w:rPr>
        <w:rFonts w:hint="default"/>
        <w:lang w:val="en-US" w:eastAsia="en-US" w:bidi="ar-SA"/>
      </w:rPr>
    </w:lvl>
    <w:lvl w:ilvl="7" w:tplc="8542D746">
      <w:numFmt w:val="bullet"/>
      <w:lvlText w:val="•"/>
      <w:lvlJc w:val="left"/>
      <w:pPr>
        <w:ind w:left="6825" w:hanging="579"/>
      </w:pPr>
      <w:rPr>
        <w:rFonts w:hint="default"/>
        <w:lang w:val="en-US" w:eastAsia="en-US" w:bidi="ar-SA"/>
      </w:rPr>
    </w:lvl>
    <w:lvl w:ilvl="8" w:tplc="206AEF34">
      <w:numFmt w:val="bullet"/>
      <w:lvlText w:val="•"/>
      <w:lvlJc w:val="left"/>
      <w:pPr>
        <w:ind w:left="7780" w:hanging="579"/>
      </w:pPr>
      <w:rPr>
        <w:rFonts w:hint="default"/>
        <w:lang w:val="en-US" w:eastAsia="en-US" w:bidi="ar-SA"/>
      </w:rPr>
    </w:lvl>
  </w:abstractNum>
  <w:abstractNum w:abstractNumId="55" w15:restartNumberingAfterBreak="0">
    <w:nsid w:val="3EC42C58"/>
    <w:multiLevelType w:val="hybridMultilevel"/>
    <w:tmpl w:val="E2465660"/>
    <w:lvl w:ilvl="0" w:tplc="F20C66DA">
      <w:numFmt w:val="bullet"/>
      <w:lvlText w:val="-"/>
      <w:lvlJc w:val="left"/>
      <w:pPr>
        <w:ind w:left="302" w:hanging="111"/>
      </w:pPr>
      <w:rPr>
        <w:rFonts w:ascii="Arial" w:eastAsia="Arial" w:hAnsi="Arial" w:cs="Arial" w:hint="default"/>
        <w:w w:val="100"/>
        <w:sz w:val="18"/>
        <w:szCs w:val="18"/>
        <w:lang w:val="en-US" w:eastAsia="en-US" w:bidi="ar-SA"/>
      </w:rPr>
    </w:lvl>
    <w:lvl w:ilvl="1" w:tplc="51F0C688">
      <w:numFmt w:val="bullet"/>
      <w:lvlText w:val="•"/>
      <w:lvlJc w:val="left"/>
      <w:pPr>
        <w:ind w:left="657" w:hanging="111"/>
      </w:pPr>
      <w:rPr>
        <w:rFonts w:hint="default"/>
        <w:lang w:val="en-US" w:eastAsia="en-US" w:bidi="ar-SA"/>
      </w:rPr>
    </w:lvl>
    <w:lvl w:ilvl="2" w:tplc="07FA5D9E">
      <w:numFmt w:val="bullet"/>
      <w:lvlText w:val="•"/>
      <w:lvlJc w:val="left"/>
      <w:pPr>
        <w:ind w:left="1014" w:hanging="111"/>
      </w:pPr>
      <w:rPr>
        <w:rFonts w:hint="default"/>
        <w:lang w:val="en-US" w:eastAsia="en-US" w:bidi="ar-SA"/>
      </w:rPr>
    </w:lvl>
    <w:lvl w:ilvl="3" w:tplc="F1025E06">
      <w:numFmt w:val="bullet"/>
      <w:lvlText w:val="•"/>
      <w:lvlJc w:val="left"/>
      <w:pPr>
        <w:ind w:left="1371" w:hanging="111"/>
      </w:pPr>
      <w:rPr>
        <w:rFonts w:hint="default"/>
        <w:lang w:val="en-US" w:eastAsia="en-US" w:bidi="ar-SA"/>
      </w:rPr>
    </w:lvl>
    <w:lvl w:ilvl="4" w:tplc="70607FC8">
      <w:numFmt w:val="bullet"/>
      <w:lvlText w:val="•"/>
      <w:lvlJc w:val="left"/>
      <w:pPr>
        <w:ind w:left="1728" w:hanging="111"/>
      </w:pPr>
      <w:rPr>
        <w:rFonts w:hint="default"/>
        <w:lang w:val="en-US" w:eastAsia="en-US" w:bidi="ar-SA"/>
      </w:rPr>
    </w:lvl>
    <w:lvl w:ilvl="5" w:tplc="78B2C7D6">
      <w:numFmt w:val="bullet"/>
      <w:lvlText w:val="•"/>
      <w:lvlJc w:val="left"/>
      <w:pPr>
        <w:ind w:left="2086" w:hanging="111"/>
      </w:pPr>
      <w:rPr>
        <w:rFonts w:hint="default"/>
        <w:lang w:val="en-US" w:eastAsia="en-US" w:bidi="ar-SA"/>
      </w:rPr>
    </w:lvl>
    <w:lvl w:ilvl="6" w:tplc="1A824916">
      <w:numFmt w:val="bullet"/>
      <w:lvlText w:val="•"/>
      <w:lvlJc w:val="left"/>
      <w:pPr>
        <w:ind w:left="2443" w:hanging="111"/>
      </w:pPr>
      <w:rPr>
        <w:rFonts w:hint="default"/>
        <w:lang w:val="en-US" w:eastAsia="en-US" w:bidi="ar-SA"/>
      </w:rPr>
    </w:lvl>
    <w:lvl w:ilvl="7" w:tplc="48AA26AE">
      <w:numFmt w:val="bullet"/>
      <w:lvlText w:val="•"/>
      <w:lvlJc w:val="left"/>
      <w:pPr>
        <w:ind w:left="2800" w:hanging="111"/>
      </w:pPr>
      <w:rPr>
        <w:rFonts w:hint="default"/>
        <w:lang w:val="en-US" w:eastAsia="en-US" w:bidi="ar-SA"/>
      </w:rPr>
    </w:lvl>
    <w:lvl w:ilvl="8" w:tplc="2F2C24EE">
      <w:numFmt w:val="bullet"/>
      <w:lvlText w:val="•"/>
      <w:lvlJc w:val="left"/>
      <w:pPr>
        <w:ind w:left="3157" w:hanging="111"/>
      </w:pPr>
      <w:rPr>
        <w:rFonts w:hint="default"/>
        <w:lang w:val="en-US" w:eastAsia="en-US" w:bidi="ar-SA"/>
      </w:rPr>
    </w:lvl>
  </w:abstractNum>
  <w:abstractNum w:abstractNumId="56" w15:restartNumberingAfterBreak="0">
    <w:nsid w:val="40147C8D"/>
    <w:multiLevelType w:val="hybridMultilevel"/>
    <w:tmpl w:val="172E8604"/>
    <w:lvl w:ilvl="0" w:tplc="CDCC9518">
      <w:start w:val="3"/>
      <w:numFmt w:val="lowerLetter"/>
      <w:lvlText w:val="(%1)"/>
      <w:lvlJc w:val="left"/>
      <w:pPr>
        <w:ind w:left="504" w:hanging="396"/>
        <w:jc w:val="left"/>
      </w:pPr>
      <w:rPr>
        <w:rFonts w:ascii="Arial" w:eastAsia="Arial" w:hAnsi="Arial" w:cs="Arial" w:hint="default"/>
        <w:b/>
        <w:bCs/>
        <w:spacing w:val="-25"/>
        <w:w w:val="100"/>
        <w:sz w:val="18"/>
        <w:szCs w:val="18"/>
        <w:lang w:val="en-US" w:eastAsia="en-US" w:bidi="ar-SA"/>
      </w:rPr>
    </w:lvl>
    <w:lvl w:ilvl="1" w:tplc="21EA5550">
      <w:start w:val="1"/>
      <w:numFmt w:val="lowerLetter"/>
      <w:lvlText w:val="(%2)"/>
      <w:lvlJc w:val="left"/>
      <w:pPr>
        <w:ind w:left="504" w:hanging="272"/>
        <w:jc w:val="left"/>
      </w:pPr>
      <w:rPr>
        <w:rFonts w:ascii="Arial" w:eastAsia="Arial" w:hAnsi="Arial" w:cs="Arial" w:hint="default"/>
        <w:w w:val="100"/>
        <w:sz w:val="18"/>
        <w:szCs w:val="18"/>
        <w:lang w:val="en-US" w:eastAsia="en-US" w:bidi="ar-SA"/>
      </w:rPr>
    </w:lvl>
    <w:lvl w:ilvl="2" w:tplc="3BF8FB5A">
      <w:numFmt w:val="bullet"/>
      <w:lvlText w:val="•"/>
      <w:lvlJc w:val="left"/>
      <w:pPr>
        <w:ind w:left="3411" w:hanging="272"/>
      </w:pPr>
      <w:rPr>
        <w:rFonts w:hint="default"/>
        <w:lang w:val="en-US" w:eastAsia="en-US" w:bidi="ar-SA"/>
      </w:rPr>
    </w:lvl>
    <w:lvl w:ilvl="3" w:tplc="6BC248DC">
      <w:numFmt w:val="bullet"/>
      <w:lvlText w:val="•"/>
      <w:lvlJc w:val="left"/>
      <w:pPr>
        <w:ind w:left="4867" w:hanging="272"/>
      </w:pPr>
      <w:rPr>
        <w:rFonts w:hint="default"/>
        <w:lang w:val="en-US" w:eastAsia="en-US" w:bidi="ar-SA"/>
      </w:rPr>
    </w:lvl>
    <w:lvl w:ilvl="4" w:tplc="73C6055C">
      <w:numFmt w:val="bullet"/>
      <w:lvlText w:val="•"/>
      <w:lvlJc w:val="left"/>
      <w:pPr>
        <w:ind w:left="6323" w:hanging="272"/>
      </w:pPr>
      <w:rPr>
        <w:rFonts w:hint="default"/>
        <w:lang w:val="en-US" w:eastAsia="en-US" w:bidi="ar-SA"/>
      </w:rPr>
    </w:lvl>
    <w:lvl w:ilvl="5" w:tplc="FC4C9DCC">
      <w:numFmt w:val="bullet"/>
      <w:lvlText w:val="•"/>
      <w:lvlJc w:val="left"/>
      <w:pPr>
        <w:ind w:left="7778" w:hanging="272"/>
      </w:pPr>
      <w:rPr>
        <w:rFonts w:hint="default"/>
        <w:lang w:val="en-US" w:eastAsia="en-US" w:bidi="ar-SA"/>
      </w:rPr>
    </w:lvl>
    <w:lvl w:ilvl="6" w:tplc="46F2FD82">
      <w:numFmt w:val="bullet"/>
      <w:lvlText w:val="•"/>
      <w:lvlJc w:val="left"/>
      <w:pPr>
        <w:ind w:left="9234" w:hanging="272"/>
      </w:pPr>
      <w:rPr>
        <w:rFonts w:hint="default"/>
        <w:lang w:val="en-US" w:eastAsia="en-US" w:bidi="ar-SA"/>
      </w:rPr>
    </w:lvl>
    <w:lvl w:ilvl="7" w:tplc="F1004F1A">
      <w:numFmt w:val="bullet"/>
      <w:lvlText w:val="•"/>
      <w:lvlJc w:val="left"/>
      <w:pPr>
        <w:ind w:left="10690" w:hanging="272"/>
      </w:pPr>
      <w:rPr>
        <w:rFonts w:hint="default"/>
        <w:lang w:val="en-US" w:eastAsia="en-US" w:bidi="ar-SA"/>
      </w:rPr>
    </w:lvl>
    <w:lvl w:ilvl="8" w:tplc="09C06302">
      <w:numFmt w:val="bullet"/>
      <w:lvlText w:val="•"/>
      <w:lvlJc w:val="left"/>
      <w:pPr>
        <w:ind w:left="12146" w:hanging="272"/>
      </w:pPr>
      <w:rPr>
        <w:rFonts w:hint="default"/>
        <w:lang w:val="en-US" w:eastAsia="en-US" w:bidi="ar-SA"/>
      </w:rPr>
    </w:lvl>
  </w:abstractNum>
  <w:abstractNum w:abstractNumId="57" w15:restartNumberingAfterBreak="0">
    <w:nsid w:val="41397411"/>
    <w:multiLevelType w:val="hybridMultilevel"/>
    <w:tmpl w:val="1A98B476"/>
    <w:lvl w:ilvl="0" w:tplc="CB3EBC2E">
      <w:start w:val="17"/>
      <w:numFmt w:val="decimal"/>
      <w:lvlText w:val="%1"/>
      <w:lvlJc w:val="left"/>
      <w:pPr>
        <w:ind w:left="564" w:hanging="396"/>
        <w:jc w:val="left"/>
      </w:pPr>
      <w:rPr>
        <w:rFonts w:ascii="Arial" w:eastAsia="Arial" w:hAnsi="Arial" w:cs="Arial" w:hint="default"/>
        <w:b/>
        <w:bCs/>
        <w:spacing w:val="-5"/>
        <w:w w:val="100"/>
        <w:sz w:val="18"/>
        <w:szCs w:val="18"/>
        <w:lang w:val="en-US" w:eastAsia="en-US" w:bidi="ar-SA"/>
      </w:rPr>
    </w:lvl>
    <w:lvl w:ilvl="1" w:tplc="D71E3334">
      <w:numFmt w:val="bullet"/>
      <w:lvlText w:val="•"/>
      <w:lvlJc w:val="left"/>
      <w:pPr>
        <w:ind w:left="1526" w:hanging="396"/>
      </w:pPr>
      <w:rPr>
        <w:rFonts w:hint="default"/>
        <w:lang w:val="en-US" w:eastAsia="en-US" w:bidi="ar-SA"/>
      </w:rPr>
    </w:lvl>
    <w:lvl w:ilvl="2" w:tplc="B3FC6EBA">
      <w:numFmt w:val="bullet"/>
      <w:lvlText w:val="•"/>
      <w:lvlJc w:val="left"/>
      <w:pPr>
        <w:ind w:left="2493" w:hanging="396"/>
      </w:pPr>
      <w:rPr>
        <w:rFonts w:hint="default"/>
        <w:lang w:val="en-US" w:eastAsia="en-US" w:bidi="ar-SA"/>
      </w:rPr>
    </w:lvl>
    <w:lvl w:ilvl="3" w:tplc="5CC0BF4C">
      <w:numFmt w:val="bullet"/>
      <w:lvlText w:val="•"/>
      <w:lvlJc w:val="left"/>
      <w:pPr>
        <w:ind w:left="3459" w:hanging="396"/>
      </w:pPr>
      <w:rPr>
        <w:rFonts w:hint="default"/>
        <w:lang w:val="en-US" w:eastAsia="en-US" w:bidi="ar-SA"/>
      </w:rPr>
    </w:lvl>
    <w:lvl w:ilvl="4" w:tplc="4AAC383A">
      <w:numFmt w:val="bullet"/>
      <w:lvlText w:val="•"/>
      <w:lvlJc w:val="left"/>
      <w:pPr>
        <w:ind w:left="4426" w:hanging="396"/>
      </w:pPr>
      <w:rPr>
        <w:rFonts w:hint="default"/>
        <w:lang w:val="en-US" w:eastAsia="en-US" w:bidi="ar-SA"/>
      </w:rPr>
    </w:lvl>
    <w:lvl w:ilvl="5" w:tplc="5D04E4F8">
      <w:numFmt w:val="bullet"/>
      <w:lvlText w:val="•"/>
      <w:lvlJc w:val="left"/>
      <w:pPr>
        <w:ind w:left="5392" w:hanging="396"/>
      </w:pPr>
      <w:rPr>
        <w:rFonts w:hint="default"/>
        <w:lang w:val="en-US" w:eastAsia="en-US" w:bidi="ar-SA"/>
      </w:rPr>
    </w:lvl>
    <w:lvl w:ilvl="6" w:tplc="C17A02F2">
      <w:numFmt w:val="bullet"/>
      <w:lvlText w:val="•"/>
      <w:lvlJc w:val="left"/>
      <w:pPr>
        <w:ind w:left="6359" w:hanging="396"/>
      </w:pPr>
      <w:rPr>
        <w:rFonts w:hint="default"/>
        <w:lang w:val="en-US" w:eastAsia="en-US" w:bidi="ar-SA"/>
      </w:rPr>
    </w:lvl>
    <w:lvl w:ilvl="7" w:tplc="518C0082">
      <w:numFmt w:val="bullet"/>
      <w:lvlText w:val="•"/>
      <w:lvlJc w:val="left"/>
      <w:pPr>
        <w:ind w:left="7325" w:hanging="396"/>
      </w:pPr>
      <w:rPr>
        <w:rFonts w:hint="default"/>
        <w:lang w:val="en-US" w:eastAsia="en-US" w:bidi="ar-SA"/>
      </w:rPr>
    </w:lvl>
    <w:lvl w:ilvl="8" w:tplc="C52A991C">
      <w:numFmt w:val="bullet"/>
      <w:lvlText w:val="•"/>
      <w:lvlJc w:val="left"/>
      <w:pPr>
        <w:ind w:left="8292" w:hanging="396"/>
      </w:pPr>
      <w:rPr>
        <w:rFonts w:hint="default"/>
        <w:lang w:val="en-US" w:eastAsia="en-US" w:bidi="ar-SA"/>
      </w:rPr>
    </w:lvl>
  </w:abstractNum>
  <w:abstractNum w:abstractNumId="58" w15:restartNumberingAfterBreak="0">
    <w:nsid w:val="42587999"/>
    <w:multiLevelType w:val="hybridMultilevel"/>
    <w:tmpl w:val="72545FDA"/>
    <w:lvl w:ilvl="0" w:tplc="95902136">
      <w:start w:val="14"/>
      <w:numFmt w:val="decimal"/>
      <w:lvlText w:val="%1"/>
      <w:lvlJc w:val="left"/>
      <w:pPr>
        <w:ind w:left="564" w:hanging="396"/>
        <w:jc w:val="left"/>
      </w:pPr>
      <w:rPr>
        <w:rFonts w:ascii="Arial" w:eastAsia="Arial" w:hAnsi="Arial" w:cs="Arial" w:hint="default"/>
        <w:b/>
        <w:bCs/>
        <w:spacing w:val="-4"/>
        <w:w w:val="100"/>
        <w:sz w:val="18"/>
        <w:szCs w:val="18"/>
        <w:lang w:val="en-US" w:eastAsia="en-US" w:bidi="ar-SA"/>
      </w:rPr>
    </w:lvl>
    <w:lvl w:ilvl="1" w:tplc="8FDA02A0">
      <w:start w:val="1"/>
      <w:numFmt w:val="lowerLetter"/>
      <w:lvlText w:val="(%2)"/>
      <w:lvlJc w:val="left"/>
      <w:pPr>
        <w:ind w:left="1131" w:hanging="567"/>
        <w:jc w:val="left"/>
      </w:pPr>
      <w:rPr>
        <w:rFonts w:ascii="Arial" w:eastAsia="Arial" w:hAnsi="Arial" w:cs="Arial" w:hint="default"/>
        <w:b/>
        <w:bCs/>
        <w:spacing w:val="-1"/>
        <w:w w:val="100"/>
        <w:sz w:val="18"/>
        <w:szCs w:val="18"/>
        <w:lang w:val="en-US" w:eastAsia="en-US" w:bidi="ar-SA"/>
      </w:rPr>
    </w:lvl>
    <w:lvl w:ilvl="2" w:tplc="19427452">
      <w:start w:val="1"/>
      <w:numFmt w:val="lowerRoman"/>
      <w:lvlText w:val="%3."/>
      <w:lvlJc w:val="left"/>
      <w:pPr>
        <w:ind w:left="1339" w:hanging="140"/>
        <w:jc w:val="right"/>
      </w:pPr>
      <w:rPr>
        <w:rFonts w:ascii="Arial" w:eastAsia="Arial" w:hAnsi="Arial" w:cs="Arial" w:hint="default"/>
        <w:i/>
        <w:spacing w:val="-1"/>
        <w:w w:val="100"/>
        <w:sz w:val="18"/>
        <w:szCs w:val="18"/>
        <w:lang w:val="en-US" w:eastAsia="en-US" w:bidi="ar-SA"/>
      </w:rPr>
    </w:lvl>
    <w:lvl w:ilvl="3" w:tplc="D8B2B89C">
      <w:numFmt w:val="bullet"/>
      <w:lvlText w:val="•"/>
      <w:lvlJc w:val="left"/>
      <w:pPr>
        <w:ind w:left="2450" w:hanging="140"/>
      </w:pPr>
      <w:rPr>
        <w:rFonts w:hint="default"/>
        <w:lang w:val="en-US" w:eastAsia="en-US" w:bidi="ar-SA"/>
      </w:rPr>
    </w:lvl>
    <w:lvl w:ilvl="4" w:tplc="F02A31A0">
      <w:numFmt w:val="bullet"/>
      <w:lvlText w:val="•"/>
      <w:lvlJc w:val="left"/>
      <w:pPr>
        <w:ind w:left="3561" w:hanging="140"/>
      </w:pPr>
      <w:rPr>
        <w:rFonts w:hint="default"/>
        <w:lang w:val="en-US" w:eastAsia="en-US" w:bidi="ar-SA"/>
      </w:rPr>
    </w:lvl>
    <w:lvl w:ilvl="5" w:tplc="13B45710">
      <w:numFmt w:val="bullet"/>
      <w:lvlText w:val="•"/>
      <w:lvlJc w:val="left"/>
      <w:pPr>
        <w:ind w:left="4672" w:hanging="140"/>
      </w:pPr>
      <w:rPr>
        <w:rFonts w:hint="default"/>
        <w:lang w:val="en-US" w:eastAsia="en-US" w:bidi="ar-SA"/>
      </w:rPr>
    </w:lvl>
    <w:lvl w:ilvl="6" w:tplc="5B1A7CD2">
      <w:numFmt w:val="bullet"/>
      <w:lvlText w:val="•"/>
      <w:lvlJc w:val="left"/>
      <w:pPr>
        <w:ind w:left="5782" w:hanging="140"/>
      </w:pPr>
      <w:rPr>
        <w:rFonts w:hint="default"/>
        <w:lang w:val="en-US" w:eastAsia="en-US" w:bidi="ar-SA"/>
      </w:rPr>
    </w:lvl>
    <w:lvl w:ilvl="7" w:tplc="F0382FBA">
      <w:numFmt w:val="bullet"/>
      <w:lvlText w:val="•"/>
      <w:lvlJc w:val="left"/>
      <w:pPr>
        <w:ind w:left="6893" w:hanging="140"/>
      </w:pPr>
      <w:rPr>
        <w:rFonts w:hint="default"/>
        <w:lang w:val="en-US" w:eastAsia="en-US" w:bidi="ar-SA"/>
      </w:rPr>
    </w:lvl>
    <w:lvl w:ilvl="8" w:tplc="606C7994">
      <w:numFmt w:val="bullet"/>
      <w:lvlText w:val="•"/>
      <w:lvlJc w:val="left"/>
      <w:pPr>
        <w:ind w:left="8004" w:hanging="140"/>
      </w:pPr>
      <w:rPr>
        <w:rFonts w:hint="default"/>
        <w:lang w:val="en-US" w:eastAsia="en-US" w:bidi="ar-SA"/>
      </w:rPr>
    </w:lvl>
  </w:abstractNum>
  <w:abstractNum w:abstractNumId="59" w15:restartNumberingAfterBreak="0">
    <w:nsid w:val="42E34C08"/>
    <w:multiLevelType w:val="hybridMultilevel"/>
    <w:tmpl w:val="0E8C5806"/>
    <w:lvl w:ilvl="0" w:tplc="4E849F28">
      <w:numFmt w:val="bullet"/>
      <w:lvlText w:val="•"/>
      <w:lvlJc w:val="left"/>
      <w:pPr>
        <w:ind w:left="1199" w:hanging="536"/>
      </w:pPr>
      <w:rPr>
        <w:rFonts w:ascii="Arial" w:eastAsia="Arial" w:hAnsi="Arial" w:cs="Arial" w:hint="default"/>
        <w:color w:val="232323"/>
        <w:w w:val="79"/>
        <w:sz w:val="18"/>
        <w:szCs w:val="18"/>
        <w:lang w:val="en-US" w:eastAsia="en-US" w:bidi="ar-SA"/>
      </w:rPr>
    </w:lvl>
    <w:lvl w:ilvl="1" w:tplc="55F03486">
      <w:numFmt w:val="bullet"/>
      <w:lvlText w:val="•"/>
      <w:lvlJc w:val="left"/>
      <w:pPr>
        <w:ind w:left="2080" w:hanging="536"/>
      </w:pPr>
      <w:rPr>
        <w:rFonts w:hint="default"/>
        <w:lang w:val="en-US" w:eastAsia="en-US" w:bidi="ar-SA"/>
      </w:rPr>
    </w:lvl>
    <w:lvl w:ilvl="2" w:tplc="72EC3BE4">
      <w:numFmt w:val="bullet"/>
      <w:lvlText w:val="•"/>
      <w:lvlJc w:val="left"/>
      <w:pPr>
        <w:ind w:left="2961" w:hanging="536"/>
      </w:pPr>
      <w:rPr>
        <w:rFonts w:hint="default"/>
        <w:lang w:val="en-US" w:eastAsia="en-US" w:bidi="ar-SA"/>
      </w:rPr>
    </w:lvl>
    <w:lvl w:ilvl="3" w:tplc="F3443310">
      <w:numFmt w:val="bullet"/>
      <w:lvlText w:val="•"/>
      <w:lvlJc w:val="left"/>
      <w:pPr>
        <w:ind w:left="3842" w:hanging="536"/>
      </w:pPr>
      <w:rPr>
        <w:rFonts w:hint="default"/>
        <w:lang w:val="en-US" w:eastAsia="en-US" w:bidi="ar-SA"/>
      </w:rPr>
    </w:lvl>
    <w:lvl w:ilvl="4" w:tplc="747C26D8">
      <w:numFmt w:val="bullet"/>
      <w:lvlText w:val="•"/>
      <w:lvlJc w:val="left"/>
      <w:pPr>
        <w:ind w:left="4723" w:hanging="536"/>
      </w:pPr>
      <w:rPr>
        <w:rFonts w:hint="default"/>
        <w:lang w:val="en-US" w:eastAsia="en-US" w:bidi="ar-SA"/>
      </w:rPr>
    </w:lvl>
    <w:lvl w:ilvl="5" w:tplc="AEBACA8E">
      <w:numFmt w:val="bullet"/>
      <w:lvlText w:val="•"/>
      <w:lvlJc w:val="left"/>
      <w:pPr>
        <w:ind w:left="5604" w:hanging="536"/>
      </w:pPr>
      <w:rPr>
        <w:rFonts w:hint="default"/>
        <w:lang w:val="en-US" w:eastAsia="en-US" w:bidi="ar-SA"/>
      </w:rPr>
    </w:lvl>
    <w:lvl w:ilvl="6" w:tplc="400EC35A">
      <w:numFmt w:val="bullet"/>
      <w:lvlText w:val="•"/>
      <w:lvlJc w:val="left"/>
      <w:pPr>
        <w:ind w:left="6485" w:hanging="536"/>
      </w:pPr>
      <w:rPr>
        <w:rFonts w:hint="default"/>
        <w:lang w:val="en-US" w:eastAsia="en-US" w:bidi="ar-SA"/>
      </w:rPr>
    </w:lvl>
    <w:lvl w:ilvl="7" w:tplc="FFB687E6">
      <w:numFmt w:val="bullet"/>
      <w:lvlText w:val="•"/>
      <w:lvlJc w:val="left"/>
      <w:pPr>
        <w:ind w:left="7366" w:hanging="536"/>
      </w:pPr>
      <w:rPr>
        <w:rFonts w:hint="default"/>
        <w:lang w:val="en-US" w:eastAsia="en-US" w:bidi="ar-SA"/>
      </w:rPr>
    </w:lvl>
    <w:lvl w:ilvl="8" w:tplc="F6D850CA">
      <w:numFmt w:val="bullet"/>
      <w:lvlText w:val="•"/>
      <w:lvlJc w:val="left"/>
      <w:pPr>
        <w:ind w:left="8247" w:hanging="536"/>
      </w:pPr>
      <w:rPr>
        <w:rFonts w:hint="default"/>
        <w:lang w:val="en-US" w:eastAsia="en-US" w:bidi="ar-SA"/>
      </w:rPr>
    </w:lvl>
  </w:abstractNum>
  <w:abstractNum w:abstractNumId="60" w15:restartNumberingAfterBreak="0">
    <w:nsid w:val="44412F94"/>
    <w:multiLevelType w:val="hybridMultilevel"/>
    <w:tmpl w:val="16D2C184"/>
    <w:lvl w:ilvl="0" w:tplc="66AA232C">
      <w:start w:val="1"/>
      <w:numFmt w:val="lowerRoman"/>
      <w:lvlText w:val="(%1)"/>
      <w:lvlJc w:val="left"/>
      <w:pPr>
        <w:ind w:left="571" w:hanging="312"/>
        <w:jc w:val="left"/>
      </w:pPr>
      <w:rPr>
        <w:rFonts w:ascii="Arial" w:eastAsia="Arial" w:hAnsi="Arial" w:cs="Arial" w:hint="default"/>
        <w:spacing w:val="-3"/>
        <w:w w:val="99"/>
        <w:sz w:val="18"/>
        <w:szCs w:val="18"/>
        <w:lang w:val="en-US" w:eastAsia="en-US" w:bidi="ar-SA"/>
      </w:rPr>
    </w:lvl>
    <w:lvl w:ilvl="1" w:tplc="9A448CE6">
      <w:numFmt w:val="bullet"/>
      <w:lvlText w:val="•"/>
      <w:lvlJc w:val="left"/>
      <w:pPr>
        <w:ind w:left="1480" w:hanging="312"/>
      </w:pPr>
      <w:rPr>
        <w:rFonts w:hint="default"/>
        <w:lang w:val="en-US" w:eastAsia="en-US" w:bidi="ar-SA"/>
      </w:rPr>
    </w:lvl>
    <w:lvl w:ilvl="2" w:tplc="E14E2630">
      <w:numFmt w:val="bullet"/>
      <w:lvlText w:val="•"/>
      <w:lvlJc w:val="left"/>
      <w:pPr>
        <w:ind w:left="2381" w:hanging="312"/>
      </w:pPr>
      <w:rPr>
        <w:rFonts w:hint="default"/>
        <w:lang w:val="en-US" w:eastAsia="en-US" w:bidi="ar-SA"/>
      </w:rPr>
    </w:lvl>
    <w:lvl w:ilvl="3" w:tplc="50C8648E">
      <w:numFmt w:val="bullet"/>
      <w:lvlText w:val="•"/>
      <w:lvlJc w:val="left"/>
      <w:pPr>
        <w:ind w:left="3281" w:hanging="312"/>
      </w:pPr>
      <w:rPr>
        <w:rFonts w:hint="default"/>
        <w:lang w:val="en-US" w:eastAsia="en-US" w:bidi="ar-SA"/>
      </w:rPr>
    </w:lvl>
    <w:lvl w:ilvl="4" w:tplc="F580CA9E">
      <w:numFmt w:val="bullet"/>
      <w:lvlText w:val="•"/>
      <w:lvlJc w:val="left"/>
      <w:pPr>
        <w:ind w:left="4182" w:hanging="312"/>
      </w:pPr>
      <w:rPr>
        <w:rFonts w:hint="default"/>
        <w:lang w:val="en-US" w:eastAsia="en-US" w:bidi="ar-SA"/>
      </w:rPr>
    </w:lvl>
    <w:lvl w:ilvl="5" w:tplc="AF34CCD8">
      <w:numFmt w:val="bullet"/>
      <w:lvlText w:val="•"/>
      <w:lvlJc w:val="left"/>
      <w:pPr>
        <w:ind w:left="5083" w:hanging="312"/>
      </w:pPr>
      <w:rPr>
        <w:rFonts w:hint="default"/>
        <w:lang w:val="en-US" w:eastAsia="en-US" w:bidi="ar-SA"/>
      </w:rPr>
    </w:lvl>
    <w:lvl w:ilvl="6" w:tplc="0648672A">
      <w:numFmt w:val="bullet"/>
      <w:lvlText w:val="•"/>
      <w:lvlJc w:val="left"/>
      <w:pPr>
        <w:ind w:left="5983" w:hanging="312"/>
      </w:pPr>
      <w:rPr>
        <w:rFonts w:hint="default"/>
        <w:lang w:val="en-US" w:eastAsia="en-US" w:bidi="ar-SA"/>
      </w:rPr>
    </w:lvl>
    <w:lvl w:ilvl="7" w:tplc="2126F070">
      <w:numFmt w:val="bullet"/>
      <w:lvlText w:val="•"/>
      <w:lvlJc w:val="left"/>
      <w:pPr>
        <w:ind w:left="6884" w:hanging="312"/>
      </w:pPr>
      <w:rPr>
        <w:rFonts w:hint="default"/>
        <w:lang w:val="en-US" w:eastAsia="en-US" w:bidi="ar-SA"/>
      </w:rPr>
    </w:lvl>
    <w:lvl w:ilvl="8" w:tplc="C00044E6">
      <w:numFmt w:val="bullet"/>
      <w:lvlText w:val="•"/>
      <w:lvlJc w:val="left"/>
      <w:pPr>
        <w:ind w:left="7785" w:hanging="312"/>
      </w:pPr>
      <w:rPr>
        <w:rFonts w:hint="default"/>
        <w:lang w:val="en-US" w:eastAsia="en-US" w:bidi="ar-SA"/>
      </w:rPr>
    </w:lvl>
  </w:abstractNum>
  <w:abstractNum w:abstractNumId="61" w15:restartNumberingAfterBreak="0">
    <w:nsid w:val="44D13FAC"/>
    <w:multiLevelType w:val="hybridMultilevel"/>
    <w:tmpl w:val="F4564D10"/>
    <w:lvl w:ilvl="0" w:tplc="B88424E4">
      <w:numFmt w:val="bullet"/>
      <w:lvlText w:val="•"/>
      <w:lvlJc w:val="left"/>
      <w:pPr>
        <w:ind w:left="1229" w:hanging="564"/>
      </w:pPr>
      <w:rPr>
        <w:rFonts w:hint="default"/>
        <w:w w:val="80"/>
        <w:lang w:val="en-US" w:eastAsia="en-US" w:bidi="ar-SA"/>
      </w:rPr>
    </w:lvl>
    <w:lvl w:ilvl="1" w:tplc="C00291DA">
      <w:numFmt w:val="bullet"/>
      <w:lvlText w:val="•"/>
      <w:lvlJc w:val="left"/>
      <w:pPr>
        <w:ind w:left="2136" w:hanging="564"/>
      </w:pPr>
      <w:rPr>
        <w:rFonts w:hint="default"/>
        <w:lang w:val="en-US" w:eastAsia="en-US" w:bidi="ar-SA"/>
      </w:rPr>
    </w:lvl>
    <w:lvl w:ilvl="2" w:tplc="EFBA76DC">
      <w:numFmt w:val="bullet"/>
      <w:lvlText w:val="•"/>
      <w:lvlJc w:val="left"/>
      <w:pPr>
        <w:ind w:left="3052" w:hanging="564"/>
      </w:pPr>
      <w:rPr>
        <w:rFonts w:hint="default"/>
        <w:lang w:val="en-US" w:eastAsia="en-US" w:bidi="ar-SA"/>
      </w:rPr>
    </w:lvl>
    <w:lvl w:ilvl="3" w:tplc="346EA688">
      <w:numFmt w:val="bullet"/>
      <w:lvlText w:val="•"/>
      <w:lvlJc w:val="left"/>
      <w:pPr>
        <w:ind w:left="3968" w:hanging="564"/>
      </w:pPr>
      <w:rPr>
        <w:rFonts w:hint="default"/>
        <w:lang w:val="en-US" w:eastAsia="en-US" w:bidi="ar-SA"/>
      </w:rPr>
    </w:lvl>
    <w:lvl w:ilvl="4" w:tplc="2A22CD82">
      <w:numFmt w:val="bullet"/>
      <w:lvlText w:val="•"/>
      <w:lvlJc w:val="left"/>
      <w:pPr>
        <w:ind w:left="4884" w:hanging="564"/>
      </w:pPr>
      <w:rPr>
        <w:rFonts w:hint="default"/>
        <w:lang w:val="en-US" w:eastAsia="en-US" w:bidi="ar-SA"/>
      </w:rPr>
    </w:lvl>
    <w:lvl w:ilvl="5" w:tplc="919E0468">
      <w:numFmt w:val="bullet"/>
      <w:lvlText w:val="•"/>
      <w:lvlJc w:val="left"/>
      <w:pPr>
        <w:ind w:left="5800" w:hanging="564"/>
      </w:pPr>
      <w:rPr>
        <w:rFonts w:hint="default"/>
        <w:lang w:val="en-US" w:eastAsia="en-US" w:bidi="ar-SA"/>
      </w:rPr>
    </w:lvl>
    <w:lvl w:ilvl="6" w:tplc="6F8CE79C">
      <w:numFmt w:val="bullet"/>
      <w:lvlText w:val="•"/>
      <w:lvlJc w:val="left"/>
      <w:pPr>
        <w:ind w:left="6716" w:hanging="564"/>
      </w:pPr>
      <w:rPr>
        <w:rFonts w:hint="default"/>
        <w:lang w:val="en-US" w:eastAsia="en-US" w:bidi="ar-SA"/>
      </w:rPr>
    </w:lvl>
    <w:lvl w:ilvl="7" w:tplc="0DAE444C">
      <w:numFmt w:val="bullet"/>
      <w:lvlText w:val="•"/>
      <w:lvlJc w:val="left"/>
      <w:pPr>
        <w:ind w:left="7632" w:hanging="564"/>
      </w:pPr>
      <w:rPr>
        <w:rFonts w:hint="default"/>
        <w:lang w:val="en-US" w:eastAsia="en-US" w:bidi="ar-SA"/>
      </w:rPr>
    </w:lvl>
    <w:lvl w:ilvl="8" w:tplc="A4640BF8">
      <w:numFmt w:val="bullet"/>
      <w:lvlText w:val="•"/>
      <w:lvlJc w:val="left"/>
      <w:pPr>
        <w:ind w:left="8548" w:hanging="564"/>
      </w:pPr>
      <w:rPr>
        <w:rFonts w:hint="default"/>
        <w:lang w:val="en-US" w:eastAsia="en-US" w:bidi="ar-SA"/>
      </w:rPr>
    </w:lvl>
  </w:abstractNum>
  <w:abstractNum w:abstractNumId="62" w15:restartNumberingAfterBreak="0">
    <w:nsid w:val="48244FD5"/>
    <w:multiLevelType w:val="hybridMultilevel"/>
    <w:tmpl w:val="AD74F012"/>
    <w:lvl w:ilvl="0" w:tplc="7BFA9142">
      <w:start w:val="15"/>
      <w:numFmt w:val="decimal"/>
      <w:lvlText w:val="%1"/>
      <w:lvlJc w:val="left"/>
      <w:pPr>
        <w:ind w:left="564" w:hanging="396"/>
        <w:jc w:val="left"/>
      </w:pPr>
      <w:rPr>
        <w:rFonts w:ascii="Arial" w:eastAsia="Arial" w:hAnsi="Arial" w:cs="Arial" w:hint="default"/>
        <w:b/>
        <w:bCs/>
        <w:spacing w:val="-4"/>
        <w:w w:val="100"/>
        <w:sz w:val="18"/>
        <w:szCs w:val="18"/>
        <w:lang w:val="en-US" w:eastAsia="en-US" w:bidi="ar-SA"/>
      </w:rPr>
    </w:lvl>
    <w:lvl w:ilvl="1" w:tplc="F79E3052">
      <w:numFmt w:val="bullet"/>
      <w:lvlText w:val="•"/>
      <w:lvlJc w:val="left"/>
      <w:pPr>
        <w:ind w:left="1227" w:hanging="566"/>
      </w:pPr>
      <w:rPr>
        <w:rFonts w:hint="default"/>
        <w:w w:val="80"/>
        <w:lang w:val="en-US" w:eastAsia="en-US" w:bidi="ar-SA"/>
      </w:rPr>
    </w:lvl>
    <w:lvl w:ilvl="2" w:tplc="442CA990">
      <w:numFmt w:val="bullet"/>
      <w:lvlText w:val="•"/>
      <w:lvlJc w:val="left"/>
      <w:pPr>
        <w:ind w:left="1220" w:hanging="566"/>
      </w:pPr>
      <w:rPr>
        <w:rFonts w:hint="default"/>
        <w:lang w:val="en-US" w:eastAsia="en-US" w:bidi="ar-SA"/>
      </w:rPr>
    </w:lvl>
    <w:lvl w:ilvl="3" w:tplc="64241D02">
      <w:numFmt w:val="bullet"/>
      <w:lvlText w:val="•"/>
      <w:lvlJc w:val="left"/>
      <w:pPr>
        <w:ind w:left="1800" w:hanging="566"/>
      </w:pPr>
      <w:rPr>
        <w:rFonts w:hint="default"/>
        <w:lang w:val="en-US" w:eastAsia="en-US" w:bidi="ar-SA"/>
      </w:rPr>
    </w:lvl>
    <w:lvl w:ilvl="4" w:tplc="390E19D0">
      <w:numFmt w:val="bullet"/>
      <w:lvlText w:val="•"/>
      <w:lvlJc w:val="left"/>
      <w:pPr>
        <w:ind w:left="3000" w:hanging="566"/>
      </w:pPr>
      <w:rPr>
        <w:rFonts w:hint="default"/>
        <w:lang w:val="en-US" w:eastAsia="en-US" w:bidi="ar-SA"/>
      </w:rPr>
    </w:lvl>
    <w:lvl w:ilvl="5" w:tplc="B7104F3A">
      <w:numFmt w:val="bullet"/>
      <w:lvlText w:val="•"/>
      <w:lvlJc w:val="left"/>
      <w:pPr>
        <w:ind w:left="4200" w:hanging="566"/>
      </w:pPr>
      <w:rPr>
        <w:rFonts w:hint="default"/>
        <w:lang w:val="en-US" w:eastAsia="en-US" w:bidi="ar-SA"/>
      </w:rPr>
    </w:lvl>
    <w:lvl w:ilvl="6" w:tplc="F7808C14">
      <w:numFmt w:val="bullet"/>
      <w:lvlText w:val="•"/>
      <w:lvlJc w:val="left"/>
      <w:pPr>
        <w:ind w:left="5400" w:hanging="566"/>
      </w:pPr>
      <w:rPr>
        <w:rFonts w:hint="default"/>
        <w:lang w:val="en-US" w:eastAsia="en-US" w:bidi="ar-SA"/>
      </w:rPr>
    </w:lvl>
    <w:lvl w:ilvl="7" w:tplc="7F42A272">
      <w:numFmt w:val="bullet"/>
      <w:lvlText w:val="•"/>
      <w:lvlJc w:val="left"/>
      <w:pPr>
        <w:ind w:left="6600" w:hanging="566"/>
      </w:pPr>
      <w:rPr>
        <w:rFonts w:hint="default"/>
        <w:lang w:val="en-US" w:eastAsia="en-US" w:bidi="ar-SA"/>
      </w:rPr>
    </w:lvl>
    <w:lvl w:ilvl="8" w:tplc="70E0D79E">
      <w:numFmt w:val="bullet"/>
      <w:lvlText w:val="•"/>
      <w:lvlJc w:val="left"/>
      <w:pPr>
        <w:ind w:left="7800" w:hanging="566"/>
      </w:pPr>
      <w:rPr>
        <w:rFonts w:hint="default"/>
        <w:lang w:val="en-US" w:eastAsia="en-US" w:bidi="ar-SA"/>
      </w:rPr>
    </w:lvl>
  </w:abstractNum>
  <w:abstractNum w:abstractNumId="63" w15:restartNumberingAfterBreak="0">
    <w:nsid w:val="48A06CB0"/>
    <w:multiLevelType w:val="hybridMultilevel"/>
    <w:tmpl w:val="F1B0A8D0"/>
    <w:lvl w:ilvl="0" w:tplc="E07815DA">
      <w:start w:val="11"/>
      <w:numFmt w:val="decimal"/>
      <w:lvlText w:val="%1"/>
      <w:lvlJc w:val="left"/>
      <w:pPr>
        <w:ind w:left="564" w:hanging="395"/>
        <w:jc w:val="left"/>
      </w:pPr>
      <w:rPr>
        <w:rFonts w:ascii="Arial" w:eastAsia="Arial" w:hAnsi="Arial" w:cs="Arial" w:hint="default"/>
        <w:b/>
        <w:bCs/>
        <w:spacing w:val="-5"/>
        <w:w w:val="100"/>
        <w:sz w:val="18"/>
        <w:szCs w:val="18"/>
        <w:lang w:val="en-US" w:eastAsia="en-US" w:bidi="ar-SA"/>
      </w:rPr>
    </w:lvl>
    <w:lvl w:ilvl="1" w:tplc="C9927810">
      <w:start w:val="1"/>
      <w:numFmt w:val="lowerLetter"/>
      <w:lvlText w:val="(%2)"/>
      <w:lvlJc w:val="left"/>
      <w:pPr>
        <w:ind w:left="1131" w:hanging="567"/>
        <w:jc w:val="left"/>
      </w:pPr>
      <w:rPr>
        <w:rFonts w:ascii="Arial" w:eastAsia="Arial" w:hAnsi="Arial" w:cs="Arial" w:hint="default"/>
        <w:b/>
        <w:bCs/>
        <w:spacing w:val="-1"/>
        <w:w w:val="100"/>
        <w:sz w:val="18"/>
        <w:szCs w:val="18"/>
        <w:lang w:val="en-US" w:eastAsia="en-US" w:bidi="ar-SA"/>
      </w:rPr>
    </w:lvl>
    <w:lvl w:ilvl="2" w:tplc="96DAA846">
      <w:numFmt w:val="bullet"/>
      <w:lvlText w:val="•"/>
      <w:lvlJc w:val="left"/>
      <w:pPr>
        <w:ind w:left="1225" w:hanging="567"/>
      </w:pPr>
      <w:rPr>
        <w:rFonts w:hint="default"/>
        <w:lang w:val="en-US" w:eastAsia="en-US" w:bidi="ar-SA"/>
      </w:rPr>
    </w:lvl>
    <w:lvl w:ilvl="3" w:tplc="F27E602C">
      <w:numFmt w:val="bullet"/>
      <w:lvlText w:val="•"/>
      <w:lvlJc w:val="left"/>
      <w:pPr>
        <w:ind w:left="1310" w:hanging="567"/>
      </w:pPr>
      <w:rPr>
        <w:rFonts w:hint="default"/>
        <w:lang w:val="en-US" w:eastAsia="en-US" w:bidi="ar-SA"/>
      </w:rPr>
    </w:lvl>
    <w:lvl w:ilvl="4" w:tplc="DD3A7652">
      <w:numFmt w:val="bullet"/>
      <w:lvlText w:val="•"/>
      <w:lvlJc w:val="left"/>
      <w:pPr>
        <w:ind w:left="1395" w:hanging="567"/>
      </w:pPr>
      <w:rPr>
        <w:rFonts w:hint="default"/>
        <w:lang w:val="en-US" w:eastAsia="en-US" w:bidi="ar-SA"/>
      </w:rPr>
    </w:lvl>
    <w:lvl w:ilvl="5" w:tplc="C7AEEC46">
      <w:numFmt w:val="bullet"/>
      <w:lvlText w:val="•"/>
      <w:lvlJc w:val="left"/>
      <w:pPr>
        <w:ind w:left="1480" w:hanging="567"/>
      </w:pPr>
      <w:rPr>
        <w:rFonts w:hint="default"/>
        <w:lang w:val="en-US" w:eastAsia="en-US" w:bidi="ar-SA"/>
      </w:rPr>
    </w:lvl>
    <w:lvl w:ilvl="6" w:tplc="DD5811BE">
      <w:numFmt w:val="bullet"/>
      <w:lvlText w:val="•"/>
      <w:lvlJc w:val="left"/>
      <w:pPr>
        <w:ind w:left="1566" w:hanging="567"/>
      </w:pPr>
      <w:rPr>
        <w:rFonts w:hint="default"/>
        <w:lang w:val="en-US" w:eastAsia="en-US" w:bidi="ar-SA"/>
      </w:rPr>
    </w:lvl>
    <w:lvl w:ilvl="7" w:tplc="2CEEEDC8">
      <w:numFmt w:val="bullet"/>
      <w:lvlText w:val="•"/>
      <w:lvlJc w:val="left"/>
      <w:pPr>
        <w:ind w:left="1651" w:hanging="567"/>
      </w:pPr>
      <w:rPr>
        <w:rFonts w:hint="default"/>
        <w:lang w:val="en-US" w:eastAsia="en-US" w:bidi="ar-SA"/>
      </w:rPr>
    </w:lvl>
    <w:lvl w:ilvl="8" w:tplc="BB482C46">
      <w:numFmt w:val="bullet"/>
      <w:lvlText w:val="•"/>
      <w:lvlJc w:val="left"/>
      <w:pPr>
        <w:ind w:left="1736" w:hanging="567"/>
      </w:pPr>
      <w:rPr>
        <w:rFonts w:hint="default"/>
        <w:lang w:val="en-US" w:eastAsia="en-US" w:bidi="ar-SA"/>
      </w:rPr>
    </w:lvl>
  </w:abstractNum>
  <w:abstractNum w:abstractNumId="64" w15:restartNumberingAfterBreak="0">
    <w:nsid w:val="496320F1"/>
    <w:multiLevelType w:val="hybridMultilevel"/>
    <w:tmpl w:val="FBEAFA06"/>
    <w:lvl w:ilvl="0" w:tplc="541870E2">
      <w:numFmt w:val="bullet"/>
      <w:lvlText w:val=""/>
      <w:lvlJc w:val="left"/>
      <w:pPr>
        <w:ind w:left="920" w:hanging="360"/>
      </w:pPr>
      <w:rPr>
        <w:rFonts w:ascii="Symbol" w:eastAsia="Symbol" w:hAnsi="Symbol" w:cs="Symbol" w:hint="default"/>
        <w:color w:val="050505"/>
        <w:w w:val="100"/>
        <w:sz w:val="18"/>
        <w:szCs w:val="18"/>
        <w:lang w:val="en-US" w:eastAsia="en-US" w:bidi="ar-SA"/>
      </w:rPr>
    </w:lvl>
    <w:lvl w:ilvl="1" w:tplc="FEF465D2">
      <w:numFmt w:val="bullet"/>
      <w:lvlText w:val="•"/>
      <w:lvlJc w:val="left"/>
      <w:pPr>
        <w:ind w:left="1764" w:hanging="360"/>
      </w:pPr>
      <w:rPr>
        <w:rFonts w:hint="default"/>
        <w:lang w:val="en-US" w:eastAsia="en-US" w:bidi="ar-SA"/>
      </w:rPr>
    </w:lvl>
    <w:lvl w:ilvl="2" w:tplc="BF38432A">
      <w:numFmt w:val="bullet"/>
      <w:lvlText w:val="•"/>
      <w:lvlJc w:val="left"/>
      <w:pPr>
        <w:ind w:left="2609" w:hanging="360"/>
      </w:pPr>
      <w:rPr>
        <w:rFonts w:hint="default"/>
        <w:lang w:val="en-US" w:eastAsia="en-US" w:bidi="ar-SA"/>
      </w:rPr>
    </w:lvl>
    <w:lvl w:ilvl="3" w:tplc="10D07970">
      <w:numFmt w:val="bullet"/>
      <w:lvlText w:val="•"/>
      <w:lvlJc w:val="left"/>
      <w:pPr>
        <w:ind w:left="3453" w:hanging="360"/>
      </w:pPr>
      <w:rPr>
        <w:rFonts w:hint="default"/>
        <w:lang w:val="en-US" w:eastAsia="en-US" w:bidi="ar-SA"/>
      </w:rPr>
    </w:lvl>
    <w:lvl w:ilvl="4" w:tplc="637E35B2">
      <w:numFmt w:val="bullet"/>
      <w:lvlText w:val="•"/>
      <w:lvlJc w:val="left"/>
      <w:pPr>
        <w:ind w:left="4298" w:hanging="360"/>
      </w:pPr>
      <w:rPr>
        <w:rFonts w:hint="default"/>
        <w:lang w:val="en-US" w:eastAsia="en-US" w:bidi="ar-SA"/>
      </w:rPr>
    </w:lvl>
    <w:lvl w:ilvl="5" w:tplc="5A1EA3F0">
      <w:numFmt w:val="bullet"/>
      <w:lvlText w:val="•"/>
      <w:lvlJc w:val="left"/>
      <w:pPr>
        <w:ind w:left="5143" w:hanging="360"/>
      </w:pPr>
      <w:rPr>
        <w:rFonts w:hint="default"/>
        <w:lang w:val="en-US" w:eastAsia="en-US" w:bidi="ar-SA"/>
      </w:rPr>
    </w:lvl>
    <w:lvl w:ilvl="6" w:tplc="D6CA7E6C">
      <w:numFmt w:val="bullet"/>
      <w:lvlText w:val="•"/>
      <w:lvlJc w:val="left"/>
      <w:pPr>
        <w:ind w:left="5987" w:hanging="360"/>
      </w:pPr>
      <w:rPr>
        <w:rFonts w:hint="default"/>
        <w:lang w:val="en-US" w:eastAsia="en-US" w:bidi="ar-SA"/>
      </w:rPr>
    </w:lvl>
    <w:lvl w:ilvl="7" w:tplc="5B4260DC">
      <w:numFmt w:val="bullet"/>
      <w:lvlText w:val="•"/>
      <w:lvlJc w:val="left"/>
      <w:pPr>
        <w:ind w:left="6832" w:hanging="360"/>
      </w:pPr>
      <w:rPr>
        <w:rFonts w:hint="default"/>
        <w:lang w:val="en-US" w:eastAsia="en-US" w:bidi="ar-SA"/>
      </w:rPr>
    </w:lvl>
    <w:lvl w:ilvl="8" w:tplc="3C4239CA">
      <w:numFmt w:val="bullet"/>
      <w:lvlText w:val="•"/>
      <w:lvlJc w:val="left"/>
      <w:pPr>
        <w:ind w:left="7676" w:hanging="360"/>
      </w:pPr>
      <w:rPr>
        <w:rFonts w:hint="default"/>
        <w:lang w:val="en-US" w:eastAsia="en-US" w:bidi="ar-SA"/>
      </w:rPr>
    </w:lvl>
  </w:abstractNum>
  <w:abstractNum w:abstractNumId="65" w15:restartNumberingAfterBreak="0">
    <w:nsid w:val="498074BC"/>
    <w:multiLevelType w:val="hybridMultilevel"/>
    <w:tmpl w:val="205AA74E"/>
    <w:lvl w:ilvl="0" w:tplc="FD0EB2F8">
      <w:start w:val="10"/>
      <w:numFmt w:val="decimal"/>
      <w:lvlText w:val="%1"/>
      <w:lvlJc w:val="left"/>
      <w:pPr>
        <w:ind w:left="564" w:hanging="396"/>
        <w:jc w:val="left"/>
      </w:pPr>
      <w:rPr>
        <w:rFonts w:ascii="Arial" w:eastAsia="Arial" w:hAnsi="Arial" w:cs="Arial" w:hint="default"/>
        <w:b/>
        <w:bCs/>
        <w:spacing w:val="-5"/>
        <w:w w:val="100"/>
        <w:sz w:val="18"/>
        <w:szCs w:val="18"/>
        <w:lang w:val="en-US" w:eastAsia="en-US" w:bidi="ar-SA"/>
      </w:rPr>
    </w:lvl>
    <w:lvl w:ilvl="1" w:tplc="74DA3CA4">
      <w:numFmt w:val="bullet"/>
      <w:lvlText w:val="•"/>
      <w:lvlJc w:val="left"/>
      <w:pPr>
        <w:ind w:left="1522" w:hanging="396"/>
      </w:pPr>
      <w:rPr>
        <w:rFonts w:hint="default"/>
        <w:lang w:val="en-US" w:eastAsia="en-US" w:bidi="ar-SA"/>
      </w:rPr>
    </w:lvl>
    <w:lvl w:ilvl="2" w:tplc="D554A8C0">
      <w:numFmt w:val="bullet"/>
      <w:lvlText w:val="•"/>
      <w:lvlJc w:val="left"/>
      <w:pPr>
        <w:ind w:left="2485" w:hanging="396"/>
      </w:pPr>
      <w:rPr>
        <w:rFonts w:hint="default"/>
        <w:lang w:val="en-US" w:eastAsia="en-US" w:bidi="ar-SA"/>
      </w:rPr>
    </w:lvl>
    <w:lvl w:ilvl="3" w:tplc="831EBC36">
      <w:numFmt w:val="bullet"/>
      <w:lvlText w:val="•"/>
      <w:lvlJc w:val="left"/>
      <w:pPr>
        <w:ind w:left="3447" w:hanging="396"/>
      </w:pPr>
      <w:rPr>
        <w:rFonts w:hint="default"/>
        <w:lang w:val="en-US" w:eastAsia="en-US" w:bidi="ar-SA"/>
      </w:rPr>
    </w:lvl>
    <w:lvl w:ilvl="4" w:tplc="DCD45AC2">
      <w:numFmt w:val="bullet"/>
      <w:lvlText w:val="•"/>
      <w:lvlJc w:val="left"/>
      <w:pPr>
        <w:ind w:left="4410" w:hanging="396"/>
      </w:pPr>
      <w:rPr>
        <w:rFonts w:hint="default"/>
        <w:lang w:val="en-US" w:eastAsia="en-US" w:bidi="ar-SA"/>
      </w:rPr>
    </w:lvl>
    <w:lvl w:ilvl="5" w:tplc="312CDA92">
      <w:numFmt w:val="bullet"/>
      <w:lvlText w:val="•"/>
      <w:lvlJc w:val="left"/>
      <w:pPr>
        <w:ind w:left="5372" w:hanging="396"/>
      </w:pPr>
      <w:rPr>
        <w:rFonts w:hint="default"/>
        <w:lang w:val="en-US" w:eastAsia="en-US" w:bidi="ar-SA"/>
      </w:rPr>
    </w:lvl>
    <w:lvl w:ilvl="6" w:tplc="B6CC2620">
      <w:numFmt w:val="bullet"/>
      <w:lvlText w:val="•"/>
      <w:lvlJc w:val="left"/>
      <w:pPr>
        <w:ind w:left="6335" w:hanging="396"/>
      </w:pPr>
      <w:rPr>
        <w:rFonts w:hint="default"/>
        <w:lang w:val="en-US" w:eastAsia="en-US" w:bidi="ar-SA"/>
      </w:rPr>
    </w:lvl>
    <w:lvl w:ilvl="7" w:tplc="EAF67F86">
      <w:numFmt w:val="bullet"/>
      <w:lvlText w:val="•"/>
      <w:lvlJc w:val="left"/>
      <w:pPr>
        <w:ind w:left="7297" w:hanging="396"/>
      </w:pPr>
      <w:rPr>
        <w:rFonts w:hint="default"/>
        <w:lang w:val="en-US" w:eastAsia="en-US" w:bidi="ar-SA"/>
      </w:rPr>
    </w:lvl>
    <w:lvl w:ilvl="8" w:tplc="A9CC96D0">
      <w:numFmt w:val="bullet"/>
      <w:lvlText w:val="•"/>
      <w:lvlJc w:val="left"/>
      <w:pPr>
        <w:ind w:left="8260" w:hanging="396"/>
      </w:pPr>
      <w:rPr>
        <w:rFonts w:hint="default"/>
        <w:lang w:val="en-US" w:eastAsia="en-US" w:bidi="ar-SA"/>
      </w:rPr>
    </w:lvl>
  </w:abstractNum>
  <w:abstractNum w:abstractNumId="66" w15:restartNumberingAfterBreak="0">
    <w:nsid w:val="49A74477"/>
    <w:multiLevelType w:val="hybridMultilevel"/>
    <w:tmpl w:val="90EEA5FA"/>
    <w:lvl w:ilvl="0" w:tplc="D3C495E6">
      <w:start w:val="1"/>
      <w:numFmt w:val="decimal"/>
      <w:lvlText w:val="%1."/>
      <w:lvlJc w:val="left"/>
      <w:pPr>
        <w:ind w:left="128" w:hanging="394"/>
        <w:jc w:val="left"/>
      </w:pPr>
      <w:rPr>
        <w:rFonts w:ascii="Arial" w:eastAsia="Arial" w:hAnsi="Arial" w:cs="Arial" w:hint="default"/>
        <w:b/>
        <w:bCs/>
        <w:spacing w:val="-2"/>
        <w:w w:val="100"/>
        <w:sz w:val="18"/>
        <w:szCs w:val="18"/>
        <w:lang w:val="en-US" w:eastAsia="en-US" w:bidi="ar-SA"/>
      </w:rPr>
    </w:lvl>
    <w:lvl w:ilvl="1" w:tplc="3B06D4FA">
      <w:numFmt w:val="bullet"/>
      <w:lvlText w:val="•"/>
      <w:lvlJc w:val="left"/>
      <w:pPr>
        <w:ind w:left="1120" w:hanging="394"/>
      </w:pPr>
      <w:rPr>
        <w:rFonts w:hint="default"/>
        <w:lang w:val="en-US" w:eastAsia="en-US" w:bidi="ar-SA"/>
      </w:rPr>
    </w:lvl>
    <w:lvl w:ilvl="2" w:tplc="3AEE14A8">
      <w:numFmt w:val="bullet"/>
      <w:lvlText w:val="•"/>
      <w:lvlJc w:val="left"/>
      <w:pPr>
        <w:ind w:left="2121" w:hanging="394"/>
      </w:pPr>
      <w:rPr>
        <w:rFonts w:hint="default"/>
        <w:lang w:val="en-US" w:eastAsia="en-US" w:bidi="ar-SA"/>
      </w:rPr>
    </w:lvl>
    <w:lvl w:ilvl="3" w:tplc="F4E23480">
      <w:numFmt w:val="bullet"/>
      <w:lvlText w:val="•"/>
      <w:lvlJc w:val="left"/>
      <w:pPr>
        <w:ind w:left="3121" w:hanging="394"/>
      </w:pPr>
      <w:rPr>
        <w:rFonts w:hint="default"/>
        <w:lang w:val="en-US" w:eastAsia="en-US" w:bidi="ar-SA"/>
      </w:rPr>
    </w:lvl>
    <w:lvl w:ilvl="4" w:tplc="62667502">
      <w:numFmt w:val="bullet"/>
      <w:lvlText w:val="•"/>
      <w:lvlJc w:val="left"/>
      <w:pPr>
        <w:ind w:left="4122" w:hanging="394"/>
      </w:pPr>
      <w:rPr>
        <w:rFonts w:hint="default"/>
        <w:lang w:val="en-US" w:eastAsia="en-US" w:bidi="ar-SA"/>
      </w:rPr>
    </w:lvl>
    <w:lvl w:ilvl="5" w:tplc="2ECA7DC6">
      <w:numFmt w:val="bullet"/>
      <w:lvlText w:val="•"/>
      <w:lvlJc w:val="left"/>
      <w:pPr>
        <w:ind w:left="5123" w:hanging="394"/>
      </w:pPr>
      <w:rPr>
        <w:rFonts w:hint="default"/>
        <w:lang w:val="en-US" w:eastAsia="en-US" w:bidi="ar-SA"/>
      </w:rPr>
    </w:lvl>
    <w:lvl w:ilvl="6" w:tplc="7CC62974">
      <w:numFmt w:val="bullet"/>
      <w:lvlText w:val="•"/>
      <w:lvlJc w:val="left"/>
      <w:pPr>
        <w:ind w:left="6123" w:hanging="394"/>
      </w:pPr>
      <w:rPr>
        <w:rFonts w:hint="default"/>
        <w:lang w:val="en-US" w:eastAsia="en-US" w:bidi="ar-SA"/>
      </w:rPr>
    </w:lvl>
    <w:lvl w:ilvl="7" w:tplc="AC56E2AC">
      <w:numFmt w:val="bullet"/>
      <w:lvlText w:val="•"/>
      <w:lvlJc w:val="left"/>
      <w:pPr>
        <w:ind w:left="7124" w:hanging="394"/>
      </w:pPr>
      <w:rPr>
        <w:rFonts w:hint="default"/>
        <w:lang w:val="en-US" w:eastAsia="en-US" w:bidi="ar-SA"/>
      </w:rPr>
    </w:lvl>
    <w:lvl w:ilvl="8" w:tplc="68F040C0">
      <w:numFmt w:val="bullet"/>
      <w:lvlText w:val="•"/>
      <w:lvlJc w:val="left"/>
      <w:pPr>
        <w:ind w:left="8125" w:hanging="394"/>
      </w:pPr>
      <w:rPr>
        <w:rFonts w:hint="default"/>
        <w:lang w:val="en-US" w:eastAsia="en-US" w:bidi="ar-SA"/>
      </w:rPr>
    </w:lvl>
  </w:abstractNum>
  <w:abstractNum w:abstractNumId="67" w15:restartNumberingAfterBreak="0">
    <w:nsid w:val="4C9363D8"/>
    <w:multiLevelType w:val="hybridMultilevel"/>
    <w:tmpl w:val="23F6E7A2"/>
    <w:lvl w:ilvl="0" w:tplc="C4744A2A">
      <w:numFmt w:val="bullet"/>
      <w:lvlText w:val="•"/>
      <w:lvlJc w:val="left"/>
      <w:pPr>
        <w:ind w:left="1226" w:hanging="559"/>
      </w:pPr>
      <w:rPr>
        <w:rFonts w:ascii="Arial" w:eastAsia="Arial" w:hAnsi="Arial" w:cs="Arial" w:hint="default"/>
        <w:i/>
        <w:w w:val="80"/>
        <w:sz w:val="21"/>
        <w:szCs w:val="21"/>
        <w:lang w:val="en-US" w:eastAsia="en-US" w:bidi="ar-SA"/>
      </w:rPr>
    </w:lvl>
    <w:lvl w:ilvl="1" w:tplc="A6245DA2">
      <w:numFmt w:val="bullet"/>
      <w:lvlText w:val="•"/>
      <w:lvlJc w:val="left"/>
      <w:pPr>
        <w:ind w:left="2136" w:hanging="559"/>
      </w:pPr>
      <w:rPr>
        <w:rFonts w:hint="default"/>
        <w:lang w:val="en-US" w:eastAsia="en-US" w:bidi="ar-SA"/>
      </w:rPr>
    </w:lvl>
    <w:lvl w:ilvl="2" w:tplc="841A71A2">
      <w:numFmt w:val="bullet"/>
      <w:lvlText w:val="•"/>
      <w:lvlJc w:val="left"/>
      <w:pPr>
        <w:ind w:left="3052" w:hanging="559"/>
      </w:pPr>
      <w:rPr>
        <w:rFonts w:hint="default"/>
        <w:lang w:val="en-US" w:eastAsia="en-US" w:bidi="ar-SA"/>
      </w:rPr>
    </w:lvl>
    <w:lvl w:ilvl="3" w:tplc="AF6EB05A">
      <w:numFmt w:val="bullet"/>
      <w:lvlText w:val="•"/>
      <w:lvlJc w:val="left"/>
      <w:pPr>
        <w:ind w:left="3968" w:hanging="559"/>
      </w:pPr>
      <w:rPr>
        <w:rFonts w:hint="default"/>
        <w:lang w:val="en-US" w:eastAsia="en-US" w:bidi="ar-SA"/>
      </w:rPr>
    </w:lvl>
    <w:lvl w:ilvl="4" w:tplc="DA64D8EA">
      <w:numFmt w:val="bullet"/>
      <w:lvlText w:val="•"/>
      <w:lvlJc w:val="left"/>
      <w:pPr>
        <w:ind w:left="4884" w:hanging="559"/>
      </w:pPr>
      <w:rPr>
        <w:rFonts w:hint="default"/>
        <w:lang w:val="en-US" w:eastAsia="en-US" w:bidi="ar-SA"/>
      </w:rPr>
    </w:lvl>
    <w:lvl w:ilvl="5" w:tplc="405A4860">
      <w:numFmt w:val="bullet"/>
      <w:lvlText w:val="•"/>
      <w:lvlJc w:val="left"/>
      <w:pPr>
        <w:ind w:left="5800" w:hanging="559"/>
      </w:pPr>
      <w:rPr>
        <w:rFonts w:hint="default"/>
        <w:lang w:val="en-US" w:eastAsia="en-US" w:bidi="ar-SA"/>
      </w:rPr>
    </w:lvl>
    <w:lvl w:ilvl="6" w:tplc="115659B4">
      <w:numFmt w:val="bullet"/>
      <w:lvlText w:val="•"/>
      <w:lvlJc w:val="left"/>
      <w:pPr>
        <w:ind w:left="6716" w:hanging="559"/>
      </w:pPr>
      <w:rPr>
        <w:rFonts w:hint="default"/>
        <w:lang w:val="en-US" w:eastAsia="en-US" w:bidi="ar-SA"/>
      </w:rPr>
    </w:lvl>
    <w:lvl w:ilvl="7" w:tplc="E1A88012">
      <w:numFmt w:val="bullet"/>
      <w:lvlText w:val="•"/>
      <w:lvlJc w:val="left"/>
      <w:pPr>
        <w:ind w:left="7632" w:hanging="559"/>
      </w:pPr>
      <w:rPr>
        <w:rFonts w:hint="default"/>
        <w:lang w:val="en-US" w:eastAsia="en-US" w:bidi="ar-SA"/>
      </w:rPr>
    </w:lvl>
    <w:lvl w:ilvl="8" w:tplc="CF162EC4">
      <w:numFmt w:val="bullet"/>
      <w:lvlText w:val="•"/>
      <w:lvlJc w:val="left"/>
      <w:pPr>
        <w:ind w:left="8548" w:hanging="559"/>
      </w:pPr>
      <w:rPr>
        <w:rFonts w:hint="default"/>
        <w:lang w:val="en-US" w:eastAsia="en-US" w:bidi="ar-SA"/>
      </w:rPr>
    </w:lvl>
  </w:abstractNum>
  <w:abstractNum w:abstractNumId="68" w15:restartNumberingAfterBreak="0">
    <w:nsid w:val="52607E63"/>
    <w:multiLevelType w:val="hybridMultilevel"/>
    <w:tmpl w:val="F4D8A250"/>
    <w:lvl w:ilvl="0" w:tplc="69EE2688">
      <w:start w:val="1"/>
      <w:numFmt w:val="lowerLetter"/>
      <w:lvlText w:val="(%1)"/>
      <w:lvlJc w:val="left"/>
      <w:pPr>
        <w:ind w:left="1131" w:hanging="567"/>
        <w:jc w:val="left"/>
      </w:pPr>
      <w:rPr>
        <w:rFonts w:ascii="Arial" w:eastAsia="Arial" w:hAnsi="Arial" w:cs="Arial" w:hint="default"/>
        <w:b/>
        <w:bCs/>
        <w:spacing w:val="-5"/>
        <w:w w:val="100"/>
        <w:sz w:val="18"/>
        <w:szCs w:val="18"/>
        <w:lang w:val="en-US" w:eastAsia="en-US" w:bidi="ar-SA"/>
      </w:rPr>
    </w:lvl>
    <w:lvl w:ilvl="1" w:tplc="713A42BA">
      <w:numFmt w:val="bullet"/>
      <w:lvlText w:val="•"/>
      <w:lvlJc w:val="left"/>
      <w:pPr>
        <w:ind w:left="2048" w:hanging="567"/>
      </w:pPr>
      <w:rPr>
        <w:rFonts w:hint="default"/>
        <w:lang w:val="en-US" w:eastAsia="en-US" w:bidi="ar-SA"/>
      </w:rPr>
    </w:lvl>
    <w:lvl w:ilvl="2" w:tplc="2ABCB746">
      <w:numFmt w:val="bullet"/>
      <w:lvlText w:val="•"/>
      <w:lvlJc w:val="left"/>
      <w:pPr>
        <w:ind w:left="2957" w:hanging="567"/>
      </w:pPr>
      <w:rPr>
        <w:rFonts w:hint="default"/>
        <w:lang w:val="en-US" w:eastAsia="en-US" w:bidi="ar-SA"/>
      </w:rPr>
    </w:lvl>
    <w:lvl w:ilvl="3" w:tplc="A88A24E4">
      <w:numFmt w:val="bullet"/>
      <w:lvlText w:val="•"/>
      <w:lvlJc w:val="left"/>
      <w:pPr>
        <w:ind w:left="3865" w:hanging="567"/>
      </w:pPr>
      <w:rPr>
        <w:rFonts w:hint="default"/>
        <w:lang w:val="en-US" w:eastAsia="en-US" w:bidi="ar-SA"/>
      </w:rPr>
    </w:lvl>
    <w:lvl w:ilvl="4" w:tplc="98F0D91A">
      <w:numFmt w:val="bullet"/>
      <w:lvlText w:val="•"/>
      <w:lvlJc w:val="left"/>
      <w:pPr>
        <w:ind w:left="4774" w:hanging="567"/>
      </w:pPr>
      <w:rPr>
        <w:rFonts w:hint="default"/>
        <w:lang w:val="en-US" w:eastAsia="en-US" w:bidi="ar-SA"/>
      </w:rPr>
    </w:lvl>
    <w:lvl w:ilvl="5" w:tplc="6EC03E20">
      <w:numFmt w:val="bullet"/>
      <w:lvlText w:val="•"/>
      <w:lvlJc w:val="left"/>
      <w:pPr>
        <w:ind w:left="5682" w:hanging="567"/>
      </w:pPr>
      <w:rPr>
        <w:rFonts w:hint="default"/>
        <w:lang w:val="en-US" w:eastAsia="en-US" w:bidi="ar-SA"/>
      </w:rPr>
    </w:lvl>
    <w:lvl w:ilvl="6" w:tplc="BB0A1CE4">
      <w:numFmt w:val="bullet"/>
      <w:lvlText w:val="•"/>
      <w:lvlJc w:val="left"/>
      <w:pPr>
        <w:ind w:left="6591" w:hanging="567"/>
      </w:pPr>
      <w:rPr>
        <w:rFonts w:hint="default"/>
        <w:lang w:val="en-US" w:eastAsia="en-US" w:bidi="ar-SA"/>
      </w:rPr>
    </w:lvl>
    <w:lvl w:ilvl="7" w:tplc="9C168B36">
      <w:numFmt w:val="bullet"/>
      <w:lvlText w:val="•"/>
      <w:lvlJc w:val="left"/>
      <w:pPr>
        <w:ind w:left="7499" w:hanging="567"/>
      </w:pPr>
      <w:rPr>
        <w:rFonts w:hint="default"/>
        <w:lang w:val="en-US" w:eastAsia="en-US" w:bidi="ar-SA"/>
      </w:rPr>
    </w:lvl>
    <w:lvl w:ilvl="8" w:tplc="3CE44F8C">
      <w:numFmt w:val="bullet"/>
      <w:lvlText w:val="•"/>
      <w:lvlJc w:val="left"/>
      <w:pPr>
        <w:ind w:left="8408" w:hanging="567"/>
      </w:pPr>
      <w:rPr>
        <w:rFonts w:hint="default"/>
        <w:lang w:val="en-US" w:eastAsia="en-US" w:bidi="ar-SA"/>
      </w:rPr>
    </w:lvl>
  </w:abstractNum>
  <w:abstractNum w:abstractNumId="69" w15:restartNumberingAfterBreak="0">
    <w:nsid w:val="540045C3"/>
    <w:multiLevelType w:val="hybridMultilevel"/>
    <w:tmpl w:val="136C5372"/>
    <w:lvl w:ilvl="0" w:tplc="A03CC17C">
      <w:start w:val="1"/>
      <w:numFmt w:val="lowerLetter"/>
      <w:lvlText w:val="(%1)"/>
      <w:lvlJc w:val="left"/>
      <w:pPr>
        <w:ind w:left="1130" w:hanging="567"/>
        <w:jc w:val="left"/>
      </w:pPr>
      <w:rPr>
        <w:rFonts w:ascii="Arial" w:eastAsia="Arial" w:hAnsi="Arial" w:cs="Arial" w:hint="default"/>
        <w:b/>
        <w:bCs/>
        <w:w w:val="99"/>
        <w:sz w:val="18"/>
        <w:szCs w:val="18"/>
        <w:lang w:val="en-US" w:eastAsia="en-US" w:bidi="ar-SA"/>
      </w:rPr>
    </w:lvl>
    <w:lvl w:ilvl="1" w:tplc="6E3EDB1E">
      <w:numFmt w:val="bullet"/>
      <w:lvlText w:val="•"/>
      <w:lvlJc w:val="left"/>
      <w:pPr>
        <w:ind w:left="2046" w:hanging="567"/>
      </w:pPr>
      <w:rPr>
        <w:rFonts w:hint="default"/>
        <w:lang w:val="en-US" w:eastAsia="en-US" w:bidi="ar-SA"/>
      </w:rPr>
    </w:lvl>
    <w:lvl w:ilvl="2" w:tplc="A3660208">
      <w:numFmt w:val="bullet"/>
      <w:lvlText w:val="•"/>
      <w:lvlJc w:val="left"/>
      <w:pPr>
        <w:ind w:left="2952" w:hanging="567"/>
      </w:pPr>
      <w:rPr>
        <w:rFonts w:hint="default"/>
        <w:lang w:val="en-US" w:eastAsia="en-US" w:bidi="ar-SA"/>
      </w:rPr>
    </w:lvl>
    <w:lvl w:ilvl="3" w:tplc="41E8C1AA">
      <w:numFmt w:val="bullet"/>
      <w:lvlText w:val="•"/>
      <w:lvlJc w:val="left"/>
      <w:pPr>
        <w:ind w:left="3859" w:hanging="567"/>
      </w:pPr>
      <w:rPr>
        <w:rFonts w:hint="default"/>
        <w:lang w:val="en-US" w:eastAsia="en-US" w:bidi="ar-SA"/>
      </w:rPr>
    </w:lvl>
    <w:lvl w:ilvl="4" w:tplc="3E080420">
      <w:numFmt w:val="bullet"/>
      <w:lvlText w:val="•"/>
      <w:lvlJc w:val="left"/>
      <w:pPr>
        <w:ind w:left="4765" w:hanging="567"/>
      </w:pPr>
      <w:rPr>
        <w:rFonts w:hint="default"/>
        <w:lang w:val="en-US" w:eastAsia="en-US" w:bidi="ar-SA"/>
      </w:rPr>
    </w:lvl>
    <w:lvl w:ilvl="5" w:tplc="A074FE26">
      <w:numFmt w:val="bullet"/>
      <w:lvlText w:val="•"/>
      <w:lvlJc w:val="left"/>
      <w:pPr>
        <w:ind w:left="5672" w:hanging="567"/>
      </w:pPr>
      <w:rPr>
        <w:rFonts w:hint="default"/>
        <w:lang w:val="en-US" w:eastAsia="en-US" w:bidi="ar-SA"/>
      </w:rPr>
    </w:lvl>
    <w:lvl w:ilvl="6" w:tplc="9350C774">
      <w:numFmt w:val="bullet"/>
      <w:lvlText w:val="•"/>
      <w:lvlJc w:val="left"/>
      <w:pPr>
        <w:ind w:left="6578" w:hanging="567"/>
      </w:pPr>
      <w:rPr>
        <w:rFonts w:hint="default"/>
        <w:lang w:val="en-US" w:eastAsia="en-US" w:bidi="ar-SA"/>
      </w:rPr>
    </w:lvl>
    <w:lvl w:ilvl="7" w:tplc="47003C78">
      <w:numFmt w:val="bullet"/>
      <w:lvlText w:val="•"/>
      <w:lvlJc w:val="left"/>
      <w:pPr>
        <w:ind w:left="7485" w:hanging="567"/>
      </w:pPr>
      <w:rPr>
        <w:rFonts w:hint="default"/>
        <w:lang w:val="en-US" w:eastAsia="en-US" w:bidi="ar-SA"/>
      </w:rPr>
    </w:lvl>
    <w:lvl w:ilvl="8" w:tplc="30F4533A">
      <w:numFmt w:val="bullet"/>
      <w:lvlText w:val="•"/>
      <w:lvlJc w:val="left"/>
      <w:pPr>
        <w:ind w:left="8391" w:hanging="567"/>
      </w:pPr>
      <w:rPr>
        <w:rFonts w:hint="default"/>
        <w:lang w:val="en-US" w:eastAsia="en-US" w:bidi="ar-SA"/>
      </w:rPr>
    </w:lvl>
  </w:abstractNum>
  <w:abstractNum w:abstractNumId="70" w15:restartNumberingAfterBreak="0">
    <w:nsid w:val="555D0E1C"/>
    <w:multiLevelType w:val="hybridMultilevel"/>
    <w:tmpl w:val="F446C6B0"/>
    <w:lvl w:ilvl="0" w:tplc="C150B1D8">
      <w:start w:val="38"/>
      <w:numFmt w:val="decimal"/>
      <w:lvlText w:val="%1"/>
      <w:lvlJc w:val="left"/>
      <w:pPr>
        <w:ind w:left="564" w:hanging="396"/>
        <w:jc w:val="left"/>
      </w:pPr>
      <w:rPr>
        <w:rFonts w:ascii="Arial" w:eastAsia="Arial" w:hAnsi="Arial" w:cs="Arial" w:hint="default"/>
        <w:b/>
        <w:bCs/>
        <w:spacing w:val="-5"/>
        <w:w w:val="100"/>
        <w:sz w:val="18"/>
        <w:szCs w:val="18"/>
        <w:lang w:val="en-US" w:eastAsia="en-US" w:bidi="ar-SA"/>
      </w:rPr>
    </w:lvl>
    <w:lvl w:ilvl="1" w:tplc="4F98E1AC">
      <w:numFmt w:val="bullet"/>
      <w:lvlText w:val="•"/>
      <w:lvlJc w:val="left"/>
      <w:pPr>
        <w:ind w:left="1236" w:hanging="571"/>
      </w:pPr>
      <w:rPr>
        <w:rFonts w:hint="default"/>
        <w:w w:val="89"/>
        <w:lang w:val="en-US" w:eastAsia="en-US" w:bidi="ar-SA"/>
      </w:rPr>
    </w:lvl>
    <w:lvl w:ilvl="2" w:tplc="0AF46C32">
      <w:numFmt w:val="bullet"/>
      <w:lvlText w:val="•"/>
      <w:lvlJc w:val="left"/>
      <w:pPr>
        <w:ind w:left="1240" w:hanging="571"/>
      </w:pPr>
      <w:rPr>
        <w:rFonts w:hint="default"/>
        <w:lang w:val="en-US" w:eastAsia="en-US" w:bidi="ar-SA"/>
      </w:rPr>
    </w:lvl>
    <w:lvl w:ilvl="3" w:tplc="2D32284A">
      <w:numFmt w:val="bullet"/>
      <w:lvlText w:val="•"/>
      <w:lvlJc w:val="left"/>
      <w:pPr>
        <w:ind w:left="2358" w:hanging="571"/>
      </w:pPr>
      <w:rPr>
        <w:rFonts w:hint="default"/>
        <w:lang w:val="en-US" w:eastAsia="en-US" w:bidi="ar-SA"/>
      </w:rPr>
    </w:lvl>
    <w:lvl w:ilvl="4" w:tplc="0270C230">
      <w:numFmt w:val="bullet"/>
      <w:lvlText w:val="•"/>
      <w:lvlJc w:val="left"/>
      <w:pPr>
        <w:ind w:left="3476" w:hanging="571"/>
      </w:pPr>
      <w:rPr>
        <w:rFonts w:hint="default"/>
        <w:lang w:val="en-US" w:eastAsia="en-US" w:bidi="ar-SA"/>
      </w:rPr>
    </w:lvl>
    <w:lvl w:ilvl="5" w:tplc="29506E88">
      <w:numFmt w:val="bullet"/>
      <w:lvlText w:val="•"/>
      <w:lvlJc w:val="left"/>
      <w:pPr>
        <w:ind w:left="4594" w:hanging="571"/>
      </w:pPr>
      <w:rPr>
        <w:rFonts w:hint="default"/>
        <w:lang w:val="en-US" w:eastAsia="en-US" w:bidi="ar-SA"/>
      </w:rPr>
    </w:lvl>
    <w:lvl w:ilvl="6" w:tplc="E37C8926">
      <w:numFmt w:val="bullet"/>
      <w:lvlText w:val="•"/>
      <w:lvlJc w:val="left"/>
      <w:pPr>
        <w:ind w:left="5712" w:hanging="571"/>
      </w:pPr>
      <w:rPr>
        <w:rFonts w:hint="default"/>
        <w:lang w:val="en-US" w:eastAsia="en-US" w:bidi="ar-SA"/>
      </w:rPr>
    </w:lvl>
    <w:lvl w:ilvl="7" w:tplc="E19E103E">
      <w:numFmt w:val="bullet"/>
      <w:lvlText w:val="•"/>
      <w:lvlJc w:val="left"/>
      <w:pPr>
        <w:ind w:left="6830" w:hanging="571"/>
      </w:pPr>
      <w:rPr>
        <w:rFonts w:hint="default"/>
        <w:lang w:val="en-US" w:eastAsia="en-US" w:bidi="ar-SA"/>
      </w:rPr>
    </w:lvl>
    <w:lvl w:ilvl="8" w:tplc="8EAA8D56">
      <w:numFmt w:val="bullet"/>
      <w:lvlText w:val="•"/>
      <w:lvlJc w:val="left"/>
      <w:pPr>
        <w:ind w:left="7949" w:hanging="571"/>
      </w:pPr>
      <w:rPr>
        <w:rFonts w:hint="default"/>
        <w:lang w:val="en-US" w:eastAsia="en-US" w:bidi="ar-SA"/>
      </w:rPr>
    </w:lvl>
  </w:abstractNum>
  <w:abstractNum w:abstractNumId="71" w15:restartNumberingAfterBreak="0">
    <w:nsid w:val="58741BF5"/>
    <w:multiLevelType w:val="hybridMultilevel"/>
    <w:tmpl w:val="80BA031E"/>
    <w:lvl w:ilvl="0" w:tplc="12D6E8EC">
      <w:start w:val="1"/>
      <w:numFmt w:val="lowerLetter"/>
      <w:lvlText w:val="(%1)"/>
      <w:lvlJc w:val="left"/>
      <w:pPr>
        <w:ind w:left="564" w:hanging="396"/>
        <w:jc w:val="left"/>
      </w:pPr>
      <w:rPr>
        <w:rFonts w:ascii="Arial" w:eastAsia="Arial" w:hAnsi="Arial" w:cs="Arial" w:hint="default"/>
        <w:b/>
        <w:bCs/>
        <w:spacing w:val="-25"/>
        <w:w w:val="100"/>
        <w:sz w:val="18"/>
        <w:szCs w:val="18"/>
        <w:lang w:val="en-US" w:eastAsia="en-US" w:bidi="ar-SA"/>
      </w:rPr>
    </w:lvl>
    <w:lvl w:ilvl="1" w:tplc="6B38E066">
      <w:numFmt w:val="bullet"/>
      <w:lvlText w:val="•"/>
      <w:lvlJc w:val="left"/>
      <w:pPr>
        <w:ind w:left="1522" w:hanging="396"/>
      </w:pPr>
      <w:rPr>
        <w:rFonts w:hint="default"/>
        <w:lang w:val="en-US" w:eastAsia="en-US" w:bidi="ar-SA"/>
      </w:rPr>
    </w:lvl>
    <w:lvl w:ilvl="2" w:tplc="557CD52A">
      <w:numFmt w:val="bullet"/>
      <w:lvlText w:val="•"/>
      <w:lvlJc w:val="left"/>
      <w:pPr>
        <w:ind w:left="2485" w:hanging="396"/>
      </w:pPr>
      <w:rPr>
        <w:rFonts w:hint="default"/>
        <w:lang w:val="en-US" w:eastAsia="en-US" w:bidi="ar-SA"/>
      </w:rPr>
    </w:lvl>
    <w:lvl w:ilvl="3" w:tplc="39D296C8">
      <w:numFmt w:val="bullet"/>
      <w:lvlText w:val="•"/>
      <w:lvlJc w:val="left"/>
      <w:pPr>
        <w:ind w:left="3447" w:hanging="396"/>
      </w:pPr>
      <w:rPr>
        <w:rFonts w:hint="default"/>
        <w:lang w:val="en-US" w:eastAsia="en-US" w:bidi="ar-SA"/>
      </w:rPr>
    </w:lvl>
    <w:lvl w:ilvl="4" w:tplc="FE64E612">
      <w:numFmt w:val="bullet"/>
      <w:lvlText w:val="•"/>
      <w:lvlJc w:val="left"/>
      <w:pPr>
        <w:ind w:left="4410" w:hanging="396"/>
      </w:pPr>
      <w:rPr>
        <w:rFonts w:hint="default"/>
        <w:lang w:val="en-US" w:eastAsia="en-US" w:bidi="ar-SA"/>
      </w:rPr>
    </w:lvl>
    <w:lvl w:ilvl="5" w:tplc="CABE65BC">
      <w:numFmt w:val="bullet"/>
      <w:lvlText w:val="•"/>
      <w:lvlJc w:val="left"/>
      <w:pPr>
        <w:ind w:left="5372" w:hanging="396"/>
      </w:pPr>
      <w:rPr>
        <w:rFonts w:hint="default"/>
        <w:lang w:val="en-US" w:eastAsia="en-US" w:bidi="ar-SA"/>
      </w:rPr>
    </w:lvl>
    <w:lvl w:ilvl="6" w:tplc="56289F42">
      <w:numFmt w:val="bullet"/>
      <w:lvlText w:val="•"/>
      <w:lvlJc w:val="left"/>
      <w:pPr>
        <w:ind w:left="6335" w:hanging="396"/>
      </w:pPr>
      <w:rPr>
        <w:rFonts w:hint="default"/>
        <w:lang w:val="en-US" w:eastAsia="en-US" w:bidi="ar-SA"/>
      </w:rPr>
    </w:lvl>
    <w:lvl w:ilvl="7" w:tplc="5820302A">
      <w:numFmt w:val="bullet"/>
      <w:lvlText w:val="•"/>
      <w:lvlJc w:val="left"/>
      <w:pPr>
        <w:ind w:left="7297" w:hanging="396"/>
      </w:pPr>
      <w:rPr>
        <w:rFonts w:hint="default"/>
        <w:lang w:val="en-US" w:eastAsia="en-US" w:bidi="ar-SA"/>
      </w:rPr>
    </w:lvl>
    <w:lvl w:ilvl="8" w:tplc="0B3689C6">
      <w:numFmt w:val="bullet"/>
      <w:lvlText w:val="•"/>
      <w:lvlJc w:val="left"/>
      <w:pPr>
        <w:ind w:left="8260" w:hanging="396"/>
      </w:pPr>
      <w:rPr>
        <w:rFonts w:hint="default"/>
        <w:lang w:val="en-US" w:eastAsia="en-US" w:bidi="ar-SA"/>
      </w:rPr>
    </w:lvl>
  </w:abstractNum>
  <w:abstractNum w:abstractNumId="72" w15:restartNumberingAfterBreak="0">
    <w:nsid w:val="58905CF6"/>
    <w:multiLevelType w:val="hybridMultilevel"/>
    <w:tmpl w:val="3EB0787A"/>
    <w:lvl w:ilvl="0" w:tplc="47D40B26">
      <w:start w:val="1"/>
      <w:numFmt w:val="decimal"/>
      <w:lvlText w:val="%1."/>
      <w:lvlJc w:val="left"/>
      <w:pPr>
        <w:ind w:left="544" w:hanging="396"/>
        <w:jc w:val="left"/>
      </w:pPr>
      <w:rPr>
        <w:rFonts w:ascii="Arial" w:eastAsia="Arial" w:hAnsi="Arial" w:cs="Arial" w:hint="default"/>
        <w:w w:val="100"/>
        <w:sz w:val="18"/>
        <w:szCs w:val="18"/>
        <w:lang w:val="en-US" w:eastAsia="en-US" w:bidi="ar-SA"/>
      </w:rPr>
    </w:lvl>
    <w:lvl w:ilvl="1" w:tplc="02F49106">
      <w:start w:val="1"/>
      <w:numFmt w:val="lowerLetter"/>
      <w:lvlText w:val="%2."/>
      <w:lvlJc w:val="left"/>
      <w:pPr>
        <w:ind w:left="940" w:hanging="396"/>
        <w:jc w:val="left"/>
      </w:pPr>
      <w:rPr>
        <w:rFonts w:ascii="Arial" w:eastAsia="Arial" w:hAnsi="Arial" w:cs="Arial" w:hint="default"/>
        <w:w w:val="100"/>
        <w:sz w:val="18"/>
        <w:szCs w:val="18"/>
        <w:lang w:val="en-US" w:eastAsia="en-US" w:bidi="ar-SA"/>
      </w:rPr>
    </w:lvl>
    <w:lvl w:ilvl="2" w:tplc="234C7632">
      <w:numFmt w:val="bullet"/>
      <w:lvlText w:val="•"/>
      <w:lvlJc w:val="left"/>
      <w:pPr>
        <w:ind w:left="1956" w:hanging="396"/>
      </w:pPr>
      <w:rPr>
        <w:rFonts w:hint="default"/>
        <w:lang w:val="en-US" w:eastAsia="en-US" w:bidi="ar-SA"/>
      </w:rPr>
    </w:lvl>
    <w:lvl w:ilvl="3" w:tplc="D7069672">
      <w:numFmt w:val="bullet"/>
      <w:lvlText w:val="•"/>
      <w:lvlJc w:val="left"/>
      <w:pPr>
        <w:ind w:left="2972" w:hanging="396"/>
      </w:pPr>
      <w:rPr>
        <w:rFonts w:hint="default"/>
        <w:lang w:val="en-US" w:eastAsia="en-US" w:bidi="ar-SA"/>
      </w:rPr>
    </w:lvl>
    <w:lvl w:ilvl="4" w:tplc="1ED8A830">
      <w:numFmt w:val="bullet"/>
      <w:lvlText w:val="•"/>
      <w:lvlJc w:val="left"/>
      <w:pPr>
        <w:ind w:left="3988" w:hanging="396"/>
      </w:pPr>
      <w:rPr>
        <w:rFonts w:hint="default"/>
        <w:lang w:val="en-US" w:eastAsia="en-US" w:bidi="ar-SA"/>
      </w:rPr>
    </w:lvl>
    <w:lvl w:ilvl="5" w:tplc="BD76E60E">
      <w:numFmt w:val="bullet"/>
      <w:lvlText w:val="•"/>
      <w:lvlJc w:val="left"/>
      <w:pPr>
        <w:ind w:left="5004" w:hanging="396"/>
      </w:pPr>
      <w:rPr>
        <w:rFonts w:hint="default"/>
        <w:lang w:val="en-US" w:eastAsia="en-US" w:bidi="ar-SA"/>
      </w:rPr>
    </w:lvl>
    <w:lvl w:ilvl="6" w:tplc="2E0CD122">
      <w:numFmt w:val="bullet"/>
      <w:lvlText w:val="•"/>
      <w:lvlJc w:val="left"/>
      <w:pPr>
        <w:ind w:left="6020" w:hanging="396"/>
      </w:pPr>
      <w:rPr>
        <w:rFonts w:hint="default"/>
        <w:lang w:val="en-US" w:eastAsia="en-US" w:bidi="ar-SA"/>
      </w:rPr>
    </w:lvl>
    <w:lvl w:ilvl="7" w:tplc="9BD856BC">
      <w:numFmt w:val="bullet"/>
      <w:lvlText w:val="•"/>
      <w:lvlJc w:val="left"/>
      <w:pPr>
        <w:ind w:left="7036" w:hanging="396"/>
      </w:pPr>
      <w:rPr>
        <w:rFonts w:hint="default"/>
        <w:lang w:val="en-US" w:eastAsia="en-US" w:bidi="ar-SA"/>
      </w:rPr>
    </w:lvl>
    <w:lvl w:ilvl="8" w:tplc="F23ED416">
      <w:numFmt w:val="bullet"/>
      <w:lvlText w:val="•"/>
      <w:lvlJc w:val="left"/>
      <w:pPr>
        <w:ind w:left="8053" w:hanging="396"/>
      </w:pPr>
      <w:rPr>
        <w:rFonts w:hint="default"/>
        <w:lang w:val="en-US" w:eastAsia="en-US" w:bidi="ar-SA"/>
      </w:rPr>
    </w:lvl>
  </w:abstractNum>
  <w:abstractNum w:abstractNumId="73" w15:restartNumberingAfterBreak="0">
    <w:nsid w:val="58CC4A0E"/>
    <w:multiLevelType w:val="hybridMultilevel"/>
    <w:tmpl w:val="737CE74E"/>
    <w:lvl w:ilvl="0" w:tplc="448042D4">
      <w:start w:val="1"/>
      <w:numFmt w:val="lowerLetter"/>
      <w:lvlText w:val="(%1)"/>
      <w:lvlJc w:val="left"/>
      <w:pPr>
        <w:ind w:left="564" w:hanging="396"/>
        <w:jc w:val="left"/>
      </w:pPr>
      <w:rPr>
        <w:rFonts w:ascii="Arial" w:eastAsia="Arial" w:hAnsi="Arial" w:cs="Arial" w:hint="default"/>
        <w:b/>
        <w:bCs/>
        <w:spacing w:val="-25"/>
        <w:w w:val="100"/>
        <w:sz w:val="18"/>
        <w:szCs w:val="18"/>
        <w:lang w:val="en-US" w:eastAsia="en-US" w:bidi="ar-SA"/>
      </w:rPr>
    </w:lvl>
    <w:lvl w:ilvl="1" w:tplc="517ED3E4">
      <w:numFmt w:val="bullet"/>
      <w:lvlText w:val="•"/>
      <w:lvlJc w:val="left"/>
      <w:pPr>
        <w:ind w:left="1522" w:hanging="396"/>
      </w:pPr>
      <w:rPr>
        <w:rFonts w:hint="default"/>
        <w:lang w:val="en-US" w:eastAsia="en-US" w:bidi="ar-SA"/>
      </w:rPr>
    </w:lvl>
    <w:lvl w:ilvl="2" w:tplc="916096DA">
      <w:numFmt w:val="bullet"/>
      <w:lvlText w:val="•"/>
      <w:lvlJc w:val="left"/>
      <w:pPr>
        <w:ind w:left="2485" w:hanging="396"/>
      </w:pPr>
      <w:rPr>
        <w:rFonts w:hint="default"/>
        <w:lang w:val="en-US" w:eastAsia="en-US" w:bidi="ar-SA"/>
      </w:rPr>
    </w:lvl>
    <w:lvl w:ilvl="3" w:tplc="BDE0BBC8">
      <w:numFmt w:val="bullet"/>
      <w:lvlText w:val="•"/>
      <w:lvlJc w:val="left"/>
      <w:pPr>
        <w:ind w:left="3447" w:hanging="396"/>
      </w:pPr>
      <w:rPr>
        <w:rFonts w:hint="default"/>
        <w:lang w:val="en-US" w:eastAsia="en-US" w:bidi="ar-SA"/>
      </w:rPr>
    </w:lvl>
    <w:lvl w:ilvl="4" w:tplc="9BEAC86E">
      <w:numFmt w:val="bullet"/>
      <w:lvlText w:val="•"/>
      <w:lvlJc w:val="left"/>
      <w:pPr>
        <w:ind w:left="4410" w:hanging="396"/>
      </w:pPr>
      <w:rPr>
        <w:rFonts w:hint="default"/>
        <w:lang w:val="en-US" w:eastAsia="en-US" w:bidi="ar-SA"/>
      </w:rPr>
    </w:lvl>
    <w:lvl w:ilvl="5" w:tplc="CBDC59BC">
      <w:numFmt w:val="bullet"/>
      <w:lvlText w:val="•"/>
      <w:lvlJc w:val="left"/>
      <w:pPr>
        <w:ind w:left="5372" w:hanging="396"/>
      </w:pPr>
      <w:rPr>
        <w:rFonts w:hint="default"/>
        <w:lang w:val="en-US" w:eastAsia="en-US" w:bidi="ar-SA"/>
      </w:rPr>
    </w:lvl>
    <w:lvl w:ilvl="6" w:tplc="D9807C68">
      <w:numFmt w:val="bullet"/>
      <w:lvlText w:val="•"/>
      <w:lvlJc w:val="left"/>
      <w:pPr>
        <w:ind w:left="6335" w:hanging="396"/>
      </w:pPr>
      <w:rPr>
        <w:rFonts w:hint="default"/>
        <w:lang w:val="en-US" w:eastAsia="en-US" w:bidi="ar-SA"/>
      </w:rPr>
    </w:lvl>
    <w:lvl w:ilvl="7" w:tplc="25C8E2DC">
      <w:numFmt w:val="bullet"/>
      <w:lvlText w:val="•"/>
      <w:lvlJc w:val="left"/>
      <w:pPr>
        <w:ind w:left="7297" w:hanging="396"/>
      </w:pPr>
      <w:rPr>
        <w:rFonts w:hint="default"/>
        <w:lang w:val="en-US" w:eastAsia="en-US" w:bidi="ar-SA"/>
      </w:rPr>
    </w:lvl>
    <w:lvl w:ilvl="8" w:tplc="CABE6EFA">
      <w:numFmt w:val="bullet"/>
      <w:lvlText w:val="•"/>
      <w:lvlJc w:val="left"/>
      <w:pPr>
        <w:ind w:left="8260" w:hanging="396"/>
      </w:pPr>
      <w:rPr>
        <w:rFonts w:hint="default"/>
        <w:lang w:val="en-US" w:eastAsia="en-US" w:bidi="ar-SA"/>
      </w:rPr>
    </w:lvl>
  </w:abstractNum>
  <w:abstractNum w:abstractNumId="74" w15:restartNumberingAfterBreak="0">
    <w:nsid w:val="59C1116F"/>
    <w:multiLevelType w:val="hybridMultilevel"/>
    <w:tmpl w:val="F6B63FEC"/>
    <w:lvl w:ilvl="0" w:tplc="974E3496">
      <w:start w:val="33"/>
      <w:numFmt w:val="decimal"/>
      <w:lvlText w:val="%1"/>
      <w:lvlJc w:val="left"/>
      <w:pPr>
        <w:ind w:left="504" w:hanging="396"/>
        <w:jc w:val="left"/>
      </w:pPr>
      <w:rPr>
        <w:rFonts w:ascii="Arial" w:eastAsia="Arial" w:hAnsi="Arial" w:cs="Arial" w:hint="default"/>
        <w:b/>
        <w:bCs/>
        <w:spacing w:val="-5"/>
        <w:w w:val="100"/>
        <w:sz w:val="18"/>
        <w:szCs w:val="18"/>
        <w:lang w:val="en-US" w:eastAsia="en-US" w:bidi="ar-SA"/>
      </w:rPr>
    </w:lvl>
    <w:lvl w:ilvl="1" w:tplc="AA8896D4">
      <w:numFmt w:val="bullet"/>
      <w:lvlText w:val="•"/>
      <w:lvlJc w:val="left"/>
      <w:pPr>
        <w:ind w:left="1955" w:hanging="396"/>
      </w:pPr>
      <w:rPr>
        <w:rFonts w:hint="default"/>
        <w:lang w:val="en-US" w:eastAsia="en-US" w:bidi="ar-SA"/>
      </w:rPr>
    </w:lvl>
    <w:lvl w:ilvl="2" w:tplc="BD46D89A">
      <w:numFmt w:val="bullet"/>
      <w:lvlText w:val="•"/>
      <w:lvlJc w:val="left"/>
      <w:pPr>
        <w:ind w:left="3411" w:hanging="396"/>
      </w:pPr>
      <w:rPr>
        <w:rFonts w:hint="default"/>
        <w:lang w:val="en-US" w:eastAsia="en-US" w:bidi="ar-SA"/>
      </w:rPr>
    </w:lvl>
    <w:lvl w:ilvl="3" w:tplc="21121144">
      <w:numFmt w:val="bullet"/>
      <w:lvlText w:val="•"/>
      <w:lvlJc w:val="left"/>
      <w:pPr>
        <w:ind w:left="4867" w:hanging="396"/>
      </w:pPr>
      <w:rPr>
        <w:rFonts w:hint="default"/>
        <w:lang w:val="en-US" w:eastAsia="en-US" w:bidi="ar-SA"/>
      </w:rPr>
    </w:lvl>
    <w:lvl w:ilvl="4" w:tplc="9B881E9A">
      <w:numFmt w:val="bullet"/>
      <w:lvlText w:val="•"/>
      <w:lvlJc w:val="left"/>
      <w:pPr>
        <w:ind w:left="6323" w:hanging="396"/>
      </w:pPr>
      <w:rPr>
        <w:rFonts w:hint="default"/>
        <w:lang w:val="en-US" w:eastAsia="en-US" w:bidi="ar-SA"/>
      </w:rPr>
    </w:lvl>
    <w:lvl w:ilvl="5" w:tplc="40AA1D52">
      <w:numFmt w:val="bullet"/>
      <w:lvlText w:val="•"/>
      <w:lvlJc w:val="left"/>
      <w:pPr>
        <w:ind w:left="7778" w:hanging="396"/>
      </w:pPr>
      <w:rPr>
        <w:rFonts w:hint="default"/>
        <w:lang w:val="en-US" w:eastAsia="en-US" w:bidi="ar-SA"/>
      </w:rPr>
    </w:lvl>
    <w:lvl w:ilvl="6" w:tplc="57608308">
      <w:numFmt w:val="bullet"/>
      <w:lvlText w:val="•"/>
      <w:lvlJc w:val="left"/>
      <w:pPr>
        <w:ind w:left="9234" w:hanging="396"/>
      </w:pPr>
      <w:rPr>
        <w:rFonts w:hint="default"/>
        <w:lang w:val="en-US" w:eastAsia="en-US" w:bidi="ar-SA"/>
      </w:rPr>
    </w:lvl>
    <w:lvl w:ilvl="7" w:tplc="42062BDA">
      <w:numFmt w:val="bullet"/>
      <w:lvlText w:val="•"/>
      <w:lvlJc w:val="left"/>
      <w:pPr>
        <w:ind w:left="10690" w:hanging="396"/>
      </w:pPr>
      <w:rPr>
        <w:rFonts w:hint="default"/>
        <w:lang w:val="en-US" w:eastAsia="en-US" w:bidi="ar-SA"/>
      </w:rPr>
    </w:lvl>
    <w:lvl w:ilvl="8" w:tplc="ADB80AE4">
      <w:numFmt w:val="bullet"/>
      <w:lvlText w:val="•"/>
      <w:lvlJc w:val="left"/>
      <w:pPr>
        <w:ind w:left="12146" w:hanging="396"/>
      </w:pPr>
      <w:rPr>
        <w:rFonts w:hint="default"/>
        <w:lang w:val="en-US" w:eastAsia="en-US" w:bidi="ar-SA"/>
      </w:rPr>
    </w:lvl>
  </w:abstractNum>
  <w:abstractNum w:abstractNumId="75" w15:restartNumberingAfterBreak="0">
    <w:nsid w:val="5DAE1A2A"/>
    <w:multiLevelType w:val="hybridMultilevel"/>
    <w:tmpl w:val="C936AC32"/>
    <w:lvl w:ilvl="0" w:tplc="89C4C5B6">
      <w:start w:val="24"/>
      <w:numFmt w:val="decimal"/>
      <w:lvlText w:val="%1"/>
      <w:lvlJc w:val="left"/>
      <w:pPr>
        <w:ind w:left="564" w:hanging="396"/>
        <w:jc w:val="left"/>
      </w:pPr>
      <w:rPr>
        <w:rFonts w:ascii="Arial" w:eastAsia="Arial" w:hAnsi="Arial" w:cs="Arial" w:hint="default"/>
        <w:b/>
        <w:bCs/>
        <w:spacing w:val="-5"/>
        <w:w w:val="100"/>
        <w:sz w:val="18"/>
        <w:szCs w:val="18"/>
        <w:lang w:val="en-US" w:eastAsia="en-US" w:bidi="ar-SA"/>
      </w:rPr>
    </w:lvl>
    <w:lvl w:ilvl="1" w:tplc="55AAAD96">
      <w:numFmt w:val="bullet"/>
      <w:lvlText w:val="•"/>
      <w:lvlJc w:val="left"/>
      <w:pPr>
        <w:ind w:left="1522" w:hanging="396"/>
      </w:pPr>
      <w:rPr>
        <w:rFonts w:hint="default"/>
        <w:lang w:val="en-US" w:eastAsia="en-US" w:bidi="ar-SA"/>
      </w:rPr>
    </w:lvl>
    <w:lvl w:ilvl="2" w:tplc="EE3E427C">
      <w:numFmt w:val="bullet"/>
      <w:lvlText w:val="•"/>
      <w:lvlJc w:val="left"/>
      <w:pPr>
        <w:ind w:left="2485" w:hanging="396"/>
      </w:pPr>
      <w:rPr>
        <w:rFonts w:hint="default"/>
        <w:lang w:val="en-US" w:eastAsia="en-US" w:bidi="ar-SA"/>
      </w:rPr>
    </w:lvl>
    <w:lvl w:ilvl="3" w:tplc="1E08A162">
      <w:numFmt w:val="bullet"/>
      <w:lvlText w:val="•"/>
      <w:lvlJc w:val="left"/>
      <w:pPr>
        <w:ind w:left="3447" w:hanging="396"/>
      </w:pPr>
      <w:rPr>
        <w:rFonts w:hint="default"/>
        <w:lang w:val="en-US" w:eastAsia="en-US" w:bidi="ar-SA"/>
      </w:rPr>
    </w:lvl>
    <w:lvl w:ilvl="4" w:tplc="B7EEC8F4">
      <w:numFmt w:val="bullet"/>
      <w:lvlText w:val="•"/>
      <w:lvlJc w:val="left"/>
      <w:pPr>
        <w:ind w:left="4410" w:hanging="396"/>
      </w:pPr>
      <w:rPr>
        <w:rFonts w:hint="default"/>
        <w:lang w:val="en-US" w:eastAsia="en-US" w:bidi="ar-SA"/>
      </w:rPr>
    </w:lvl>
    <w:lvl w:ilvl="5" w:tplc="BCEC207C">
      <w:numFmt w:val="bullet"/>
      <w:lvlText w:val="•"/>
      <w:lvlJc w:val="left"/>
      <w:pPr>
        <w:ind w:left="5372" w:hanging="396"/>
      </w:pPr>
      <w:rPr>
        <w:rFonts w:hint="default"/>
        <w:lang w:val="en-US" w:eastAsia="en-US" w:bidi="ar-SA"/>
      </w:rPr>
    </w:lvl>
    <w:lvl w:ilvl="6" w:tplc="9AF8A2CE">
      <w:numFmt w:val="bullet"/>
      <w:lvlText w:val="•"/>
      <w:lvlJc w:val="left"/>
      <w:pPr>
        <w:ind w:left="6335" w:hanging="396"/>
      </w:pPr>
      <w:rPr>
        <w:rFonts w:hint="default"/>
        <w:lang w:val="en-US" w:eastAsia="en-US" w:bidi="ar-SA"/>
      </w:rPr>
    </w:lvl>
    <w:lvl w:ilvl="7" w:tplc="4D760788">
      <w:numFmt w:val="bullet"/>
      <w:lvlText w:val="•"/>
      <w:lvlJc w:val="left"/>
      <w:pPr>
        <w:ind w:left="7297" w:hanging="396"/>
      </w:pPr>
      <w:rPr>
        <w:rFonts w:hint="default"/>
        <w:lang w:val="en-US" w:eastAsia="en-US" w:bidi="ar-SA"/>
      </w:rPr>
    </w:lvl>
    <w:lvl w:ilvl="8" w:tplc="6486C1E4">
      <w:numFmt w:val="bullet"/>
      <w:lvlText w:val="•"/>
      <w:lvlJc w:val="left"/>
      <w:pPr>
        <w:ind w:left="8260" w:hanging="396"/>
      </w:pPr>
      <w:rPr>
        <w:rFonts w:hint="default"/>
        <w:lang w:val="en-US" w:eastAsia="en-US" w:bidi="ar-SA"/>
      </w:rPr>
    </w:lvl>
  </w:abstractNum>
  <w:abstractNum w:abstractNumId="76" w15:restartNumberingAfterBreak="0">
    <w:nsid w:val="5DF423F2"/>
    <w:multiLevelType w:val="hybridMultilevel"/>
    <w:tmpl w:val="7F6601A6"/>
    <w:lvl w:ilvl="0" w:tplc="BACEE39C">
      <w:numFmt w:val="bullet"/>
      <w:lvlText w:val="-"/>
      <w:lvlJc w:val="left"/>
      <w:pPr>
        <w:ind w:left="564" w:hanging="111"/>
      </w:pPr>
      <w:rPr>
        <w:rFonts w:ascii="Arial" w:eastAsia="Arial" w:hAnsi="Arial" w:cs="Arial" w:hint="default"/>
        <w:w w:val="100"/>
        <w:sz w:val="18"/>
        <w:szCs w:val="18"/>
        <w:lang w:val="en-US" w:eastAsia="en-US" w:bidi="ar-SA"/>
      </w:rPr>
    </w:lvl>
    <w:lvl w:ilvl="1" w:tplc="6436EF14">
      <w:numFmt w:val="bullet"/>
      <w:lvlText w:val="•"/>
      <w:lvlJc w:val="left"/>
      <w:pPr>
        <w:ind w:left="1522" w:hanging="111"/>
      </w:pPr>
      <w:rPr>
        <w:rFonts w:hint="default"/>
        <w:lang w:val="en-US" w:eastAsia="en-US" w:bidi="ar-SA"/>
      </w:rPr>
    </w:lvl>
    <w:lvl w:ilvl="2" w:tplc="952AF9CC">
      <w:numFmt w:val="bullet"/>
      <w:lvlText w:val="•"/>
      <w:lvlJc w:val="left"/>
      <w:pPr>
        <w:ind w:left="2485" w:hanging="111"/>
      </w:pPr>
      <w:rPr>
        <w:rFonts w:hint="default"/>
        <w:lang w:val="en-US" w:eastAsia="en-US" w:bidi="ar-SA"/>
      </w:rPr>
    </w:lvl>
    <w:lvl w:ilvl="3" w:tplc="CDBADD18">
      <w:numFmt w:val="bullet"/>
      <w:lvlText w:val="•"/>
      <w:lvlJc w:val="left"/>
      <w:pPr>
        <w:ind w:left="3447" w:hanging="111"/>
      </w:pPr>
      <w:rPr>
        <w:rFonts w:hint="default"/>
        <w:lang w:val="en-US" w:eastAsia="en-US" w:bidi="ar-SA"/>
      </w:rPr>
    </w:lvl>
    <w:lvl w:ilvl="4" w:tplc="65863AFC">
      <w:numFmt w:val="bullet"/>
      <w:lvlText w:val="•"/>
      <w:lvlJc w:val="left"/>
      <w:pPr>
        <w:ind w:left="4410" w:hanging="111"/>
      </w:pPr>
      <w:rPr>
        <w:rFonts w:hint="default"/>
        <w:lang w:val="en-US" w:eastAsia="en-US" w:bidi="ar-SA"/>
      </w:rPr>
    </w:lvl>
    <w:lvl w:ilvl="5" w:tplc="372A95D0">
      <w:numFmt w:val="bullet"/>
      <w:lvlText w:val="•"/>
      <w:lvlJc w:val="left"/>
      <w:pPr>
        <w:ind w:left="5372" w:hanging="111"/>
      </w:pPr>
      <w:rPr>
        <w:rFonts w:hint="default"/>
        <w:lang w:val="en-US" w:eastAsia="en-US" w:bidi="ar-SA"/>
      </w:rPr>
    </w:lvl>
    <w:lvl w:ilvl="6" w:tplc="C5806DC6">
      <w:numFmt w:val="bullet"/>
      <w:lvlText w:val="•"/>
      <w:lvlJc w:val="left"/>
      <w:pPr>
        <w:ind w:left="6335" w:hanging="111"/>
      </w:pPr>
      <w:rPr>
        <w:rFonts w:hint="default"/>
        <w:lang w:val="en-US" w:eastAsia="en-US" w:bidi="ar-SA"/>
      </w:rPr>
    </w:lvl>
    <w:lvl w:ilvl="7" w:tplc="E6027FC8">
      <w:numFmt w:val="bullet"/>
      <w:lvlText w:val="•"/>
      <w:lvlJc w:val="left"/>
      <w:pPr>
        <w:ind w:left="7297" w:hanging="111"/>
      </w:pPr>
      <w:rPr>
        <w:rFonts w:hint="default"/>
        <w:lang w:val="en-US" w:eastAsia="en-US" w:bidi="ar-SA"/>
      </w:rPr>
    </w:lvl>
    <w:lvl w:ilvl="8" w:tplc="ACE43B1A">
      <w:numFmt w:val="bullet"/>
      <w:lvlText w:val="•"/>
      <w:lvlJc w:val="left"/>
      <w:pPr>
        <w:ind w:left="8260" w:hanging="111"/>
      </w:pPr>
      <w:rPr>
        <w:rFonts w:hint="default"/>
        <w:lang w:val="en-US" w:eastAsia="en-US" w:bidi="ar-SA"/>
      </w:rPr>
    </w:lvl>
  </w:abstractNum>
  <w:abstractNum w:abstractNumId="77" w15:restartNumberingAfterBreak="0">
    <w:nsid w:val="5E151CB5"/>
    <w:multiLevelType w:val="hybridMultilevel"/>
    <w:tmpl w:val="FC40AB9E"/>
    <w:lvl w:ilvl="0" w:tplc="4B02FB76">
      <w:start w:val="7"/>
      <w:numFmt w:val="decimal"/>
      <w:lvlText w:val="%1"/>
      <w:lvlJc w:val="left"/>
      <w:pPr>
        <w:ind w:left="565" w:hanging="396"/>
        <w:jc w:val="left"/>
      </w:pPr>
      <w:rPr>
        <w:rFonts w:ascii="Arial" w:eastAsia="Arial" w:hAnsi="Arial" w:cs="Arial" w:hint="default"/>
        <w:b/>
        <w:bCs/>
        <w:w w:val="99"/>
        <w:sz w:val="18"/>
        <w:szCs w:val="18"/>
        <w:lang w:val="en-US" w:eastAsia="en-US" w:bidi="ar-SA"/>
      </w:rPr>
    </w:lvl>
    <w:lvl w:ilvl="1" w:tplc="7BD2BC10">
      <w:start w:val="1"/>
      <w:numFmt w:val="lowerLetter"/>
      <w:lvlText w:val="(%2)"/>
      <w:lvlJc w:val="left"/>
      <w:pPr>
        <w:ind w:left="1131" w:hanging="567"/>
        <w:jc w:val="left"/>
      </w:pPr>
      <w:rPr>
        <w:rFonts w:ascii="Arial" w:eastAsia="Arial" w:hAnsi="Arial" w:cs="Arial" w:hint="default"/>
        <w:b/>
        <w:bCs/>
        <w:w w:val="99"/>
        <w:sz w:val="18"/>
        <w:szCs w:val="18"/>
        <w:lang w:val="en-US" w:eastAsia="en-US" w:bidi="ar-SA"/>
      </w:rPr>
    </w:lvl>
    <w:lvl w:ilvl="2" w:tplc="60F28296">
      <w:numFmt w:val="bullet"/>
      <w:lvlText w:val="•"/>
      <w:lvlJc w:val="left"/>
      <w:pPr>
        <w:ind w:left="1169" w:hanging="567"/>
      </w:pPr>
      <w:rPr>
        <w:rFonts w:hint="default"/>
        <w:lang w:val="en-US" w:eastAsia="en-US" w:bidi="ar-SA"/>
      </w:rPr>
    </w:lvl>
    <w:lvl w:ilvl="3" w:tplc="5A44660E">
      <w:numFmt w:val="bullet"/>
      <w:lvlText w:val="•"/>
      <w:lvlJc w:val="left"/>
      <w:pPr>
        <w:ind w:left="1199" w:hanging="567"/>
      </w:pPr>
      <w:rPr>
        <w:rFonts w:hint="default"/>
        <w:lang w:val="en-US" w:eastAsia="en-US" w:bidi="ar-SA"/>
      </w:rPr>
    </w:lvl>
    <w:lvl w:ilvl="4" w:tplc="B3565C6C">
      <w:numFmt w:val="bullet"/>
      <w:lvlText w:val="•"/>
      <w:lvlJc w:val="left"/>
      <w:pPr>
        <w:ind w:left="1228" w:hanging="567"/>
      </w:pPr>
      <w:rPr>
        <w:rFonts w:hint="default"/>
        <w:lang w:val="en-US" w:eastAsia="en-US" w:bidi="ar-SA"/>
      </w:rPr>
    </w:lvl>
    <w:lvl w:ilvl="5" w:tplc="24A64414">
      <w:numFmt w:val="bullet"/>
      <w:lvlText w:val="•"/>
      <w:lvlJc w:val="left"/>
      <w:pPr>
        <w:ind w:left="1258" w:hanging="567"/>
      </w:pPr>
      <w:rPr>
        <w:rFonts w:hint="default"/>
        <w:lang w:val="en-US" w:eastAsia="en-US" w:bidi="ar-SA"/>
      </w:rPr>
    </w:lvl>
    <w:lvl w:ilvl="6" w:tplc="414E97B0">
      <w:numFmt w:val="bullet"/>
      <w:lvlText w:val="•"/>
      <w:lvlJc w:val="left"/>
      <w:pPr>
        <w:ind w:left="1287" w:hanging="567"/>
      </w:pPr>
      <w:rPr>
        <w:rFonts w:hint="default"/>
        <w:lang w:val="en-US" w:eastAsia="en-US" w:bidi="ar-SA"/>
      </w:rPr>
    </w:lvl>
    <w:lvl w:ilvl="7" w:tplc="CF50E982">
      <w:numFmt w:val="bullet"/>
      <w:lvlText w:val="•"/>
      <w:lvlJc w:val="left"/>
      <w:pPr>
        <w:ind w:left="1317" w:hanging="567"/>
      </w:pPr>
      <w:rPr>
        <w:rFonts w:hint="default"/>
        <w:lang w:val="en-US" w:eastAsia="en-US" w:bidi="ar-SA"/>
      </w:rPr>
    </w:lvl>
    <w:lvl w:ilvl="8" w:tplc="D8908F1E">
      <w:numFmt w:val="bullet"/>
      <w:lvlText w:val="•"/>
      <w:lvlJc w:val="left"/>
      <w:pPr>
        <w:ind w:left="1346" w:hanging="567"/>
      </w:pPr>
      <w:rPr>
        <w:rFonts w:hint="default"/>
        <w:lang w:val="en-US" w:eastAsia="en-US" w:bidi="ar-SA"/>
      </w:rPr>
    </w:lvl>
  </w:abstractNum>
  <w:abstractNum w:abstractNumId="78" w15:restartNumberingAfterBreak="0">
    <w:nsid w:val="5FE634CA"/>
    <w:multiLevelType w:val="hybridMultilevel"/>
    <w:tmpl w:val="EB8E5B0C"/>
    <w:lvl w:ilvl="0" w:tplc="5DFAD742">
      <w:start w:val="2"/>
      <w:numFmt w:val="lowerLetter"/>
      <w:lvlText w:val="(%1)"/>
      <w:lvlJc w:val="left"/>
      <w:pPr>
        <w:ind w:left="564" w:hanging="396"/>
        <w:jc w:val="left"/>
      </w:pPr>
      <w:rPr>
        <w:rFonts w:ascii="Arial" w:eastAsia="Arial" w:hAnsi="Arial" w:cs="Arial" w:hint="default"/>
        <w:b/>
        <w:bCs/>
        <w:w w:val="100"/>
        <w:sz w:val="18"/>
        <w:szCs w:val="18"/>
        <w:lang w:val="en-US" w:eastAsia="en-US" w:bidi="ar-SA"/>
      </w:rPr>
    </w:lvl>
    <w:lvl w:ilvl="1" w:tplc="AA12F202">
      <w:numFmt w:val="bullet"/>
      <w:lvlText w:val="•"/>
      <w:lvlJc w:val="left"/>
      <w:pPr>
        <w:ind w:left="1522" w:hanging="396"/>
      </w:pPr>
      <w:rPr>
        <w:rFonts w:hint="default"/>
        <w:lang w:val="en-US" w:eastAsia="en-US" w:bidi="ar-SA"/>
      </w:rPr>
    </w:lvl>
    <w:lvl w:ilvl="2" w:tplc="DE309B1E">
      <w:numFmt w:val="bullet"/>
      <w:lvlText w:val="•"/>
      <w:lvlJc w:val="left"/>
      <w:pPr>
        <w:ind w:left="2485" w:hanging="396"/>
      </w:pPr>
      <w:rPr>
        <w:rFonts w:hint="default"/>
        <w:lang w:val="en-US" w:eastAsia="en-US" w:bidi="ar-SA"/>
      </w:rPr>
    </w:lvl>
    <w:lvl w:ilvl="3" w:tplc="32DED09A">
      <w:numFmt w:val="bullet"/>
      <w:lvlText w:val="•"/>
      <w:lvlJc w:val="left"/>
      <w:pPr>
        <w:ind w:left="3447" w:hanging="396"/>
      </w:pPr>
      <w:rPr>
        <w:rFonts w:hint="default"/>
        <w:lang w:val="en-US" w:eastAsia="en-US" w:bidi="ar-SA"/>
      </w:rPr>
    </w:lvl>
    <w:lvl w:ilvl="4" w:tplc="43F211C0">
      <w:numFmt w:val="bullet"/>
      <w:lvlText w:val="•"/>
      <w:lvlJc w:val="left"/>
      <w:pPr>
        <w:ind w:left="4410" w:hanging="396"/>
      </w:pPr>
      <w:rPr>
        <w:rFonts w:hint="default"/>
        <w:lang w:val="en-US" w:eastAsia="en-US" w:bidi="ar-SA"/>
      </w:rPr>
    </w:lvl>
    <w:lvl w:ilvl="5" w:tplc="78A48F60">
      <w:numFmt w:val="bullet"/>
      <w:lvlText w:val="•"/>
      <w:lvlJc w:val="left"/>
      <w:pPr>
        <w:ind w:left="5372" w:hanging="396"/>
      </w:pPr>
      <w:rPr>
        <w:rFonts w:hint="default"/>
        <w:lang w:val="en-US" w:eastAsia="en-US" w:bidi="ar-SA"/>
      </w:rPr>
    </w:lvl>
    <w:lvl w:ilvl="6" w:tplc="FEA24DF4">
      <w:numFmt w:val="bullet"/>
      <w:lvlText w:val="•"/>
      <w:lvlJc w:val="left"/>
      <w:pPr>
        <w:ind w:left="6335" w:hanging="396"/>
      </w:pPr>
      <w:rPr>
        <w:rFonts w:hint="default"/>
        <w:lang w:val="en-US" w:eastAsia="en-US" w:bidi="ar-SA"/>
      </w:rPr>
    </w:lvl>
    <w:lvl w:ilvl="7" w:tplc="0EA8B6CE">
      <w:numFmt w:val="bullet"/>
      <w:lvlText w:val="•"/>
      <w:lvlJc w:val="left"/>
      <w:pPr>
        <w:ind w:left="7297" w:hanging="396"/>
      </w:pPr>
      <w:rPr>
        <w:rFonts w:hint="default"/>
        <w:lang w:val="en-US" w:eastAsia="en-US" w:bidi="ar-SA"/>
      </w:rPr>
    </w:lvl>
    <w:lvl w:ilvl="8" w:tplc="7B92F3EC">
      <w:numFmt w:val="bullet"/>
      <w:lvlText w:val="•"/>
      <w:lvlJc w:val="left"/>
      <w:pPr>
        <w:ind w:left="8260" w:hanging="396"/>
      </w:pPr>
      <w:rPr>
        <w:rFonts w:hint="default"/>
        <w:lang w:val="en-US" w:eastAsia="en-US" w:bidi="ar-SA"/>
      </w:rPr>
    </w:lvl>
  </w:abstractNum>
  <w:abstractNum w:abstractNumId="79" w15:restartNumberingAfterBreak="0">
    <w:nsid w:val="61F82072"/>
    <w:multiLevelType w:val="hybridMultilevel"/>
    <w:tmpl w:val="F5BCC5EE"/>
    <w:lvl w:ilvl="0" w:tplc="BBC062FC">
      <w:start w:val="21"/>
      <w:numFmt w:val="decimal"/>
      <w:lvlText w:val="%1"/>
      <w:lvlJc w:val="left"/>
      <w:pPr>
        <w:ind w:left="564" w:hanging="396"/>
        <w:jc w:val="left"/>
      </w:pPr>
      <w:rPr>
        <w:rFonts w:ascii="Arial" w:eastAsia="Arial" w:hAnsi="Arial" w:cs="Arial" w:hint="default"/>
        <w:b/>
        <w:bCs/>
        <w:spacing w:val="-5"/>
        <w:w w:val="100"/>
        <w:sz w:val="18"/>
        <w:szCs w:val="18"/>
        <w:lang w:val="en-US" w:eastAsia="en-US" w:bidi="ar-SA"/>
      </w:rPr>
    </w:lvl>
    <w:lvl w:ilvl="1" w:tplc="D5884EDE">
      <w:start w:val="1"/>
      <w:numFmt w:val="lowerRoman"/>
      <w:lvlText w:val="(%2)"/>
      <w:lvlJc w:val="left"/>
      <w:pPr>
        <w:ind w:left="564" w:hanging="284"/>
        <w:jc w:val="left"/>
      </w:pPr>
      <w:rPr>
        <w:rFonts w:ascii="Arial" w:eastAsia="Arial" w:hAnsi="Arial" w:cs="Arial" w:hint="default"/>
        <w:w w:val="100"/>
        <w:sz w:val="18"/>
        <w:szCs w:val="18"/>
        <w:lang w:val="en-US" w:eastAsia="en-US" w:bidi="ar-SA"/>
      </w:rPr>
    </w:lvl>
    <w:lvl w:ilvl="2" w:tplc="2542D2C4">
      <w:numFmt w:val="bullet"/>
      <w:lvlText w:val="•"/>
      <w:lvlJc w:val="left"/>
      <w:pPr>
        <w:ind w:left="2485" w:hanging="284"/>
      </w:pPr>
      <w:rPr>
        <w:rFonts w:hint="default"/>
        <w:lang w:val="en-US" w:eastAsia="en-US" w:bidi="ar-SA"/>
      </w:rPr>
    </w:lvl>
    <w:lvl w:ilvl="3" w:tplc="4B6250B4">
      <w:numFmt w:val="bullet"/>
      <w:lvlText w:val="•"/>
      <w:lvlJc w:val="left"/>
      <w:pPr>
        <w:ind w:left="3447" w:hanging="284"/>
      </w:pPr>
      <w:rPr>
        <w:rFonts w:hint="default"/>
        <w:lang w:val="en-US" w:eastAsia="en-US" w:bidi="ar-SA"/>
      </w:rPr>
    </w:lvl>
    <w:lvl w:ilvl="4" w:tplc="624EC568">
      <w:numFmt w:val="bullet"/>
      <w:lvlText w:val="•"/>
      <w:lvlJc w:val="left"/>
      <w:pPr>
        <w:ind w:left="4410" w:hanging="284"/>
      </w:pPr>
      <w:rPr>
        <w:rFonts w:hint="default"/>
        <w:lang w:val="en-US" w:eastAsia="en-US" w:bidi="ar-SA"/>
      </w:rPr>
    </w:lvl>
    <w:lvl w:ilvl="5" w:tplc="AB9AD2F0">
      <w:numFmt w:val="bullet"/>
      <w:lvlText w:val="•"/>
      <w:lvlJc w:val="left"/>
      <w:pPr>
        <w:ind w:left="5372" w:hanging="284"/>
      </w:pPr>
      <w:rPr>
        <w:rFonts w:hint="default"/>
        <w:lang w:val="en-US" w:eastAsia="en-US" w:bidi="ar-SA"/>
      </w:rPr>
    </w:lvl>
    <w:lvl w:ilvl="6" w:tplc="B8A40B54">
      <w:numFmt w:val="bullet"/>
      <w:lvlText w:val="•"/>
      <w:lvlJc w:val="left"/>
      <w:pPr>
        <w:ind w:left="6335" w:hanging="284"/>
      </w:pPr>
      <w:rPr>
        <w:rFonts w:hint="default"/>
        <w:lang w:val="en-US" w:eastAsia="en-US" w:bidi="ar-SA"/>
      </w:rPr>
    </w:lvl>
    <w:lvl w:ilvl="7" w:tplc="07DE3F1E">
      <w:numFmt w:val="bullet"/>
      <w:lvlText w:val="•"/>
      <w:lvlJc w:val="left"/>
      <w:pPr>
        <w:ind w:left="7297" w:hanging="284"/>
      </w:pPr>
      <w:rPr>
        <w:rFonts w:hint="default"/>
        <w:lang w:val="en-US" w:eastAsia="en-US" w:bidi="ar-SA"/>
      </w:rPr>
    </w:lvl>
    <w:lvl w:ilvl="8" w:tplc="CD6C4240">
      <w:numFmt w:val="bullet"/>
      <w:lvlText w:val="•"/>
      <w:lvlJc w:val="left"/>
      <w:pPr>
        <w:ind w:left="8260" w:hanging="284"/>
      </w:pPr>
      <w:rPr>
        <w:rFonts w:hint="default"/>
        <w:lang w:val="en-US" w:eastAsia="en-US" w:bidi="ar-SA"/>
      </w:rPr>
    </w:lvl>
  </w:abstractNum>
  <w:abstractNum w:abstractNumId="80" w15:restartNumberingAfterBreak="0">
    <w:nsid w:val="6335318A"/>
    <w:multiLevelType w:val="hybridMultilevel"/>
    <w:tmpl w:val="859AEF6A"/>
    <w:lvl w:ilvl="0" w:tplc="7D1659B4">
      <w:start w:val="19"/>
      <w:numFmt w:val="decimal"/>
      <w:lvlText w:val="%1"/>
      <w:lvlJc w:val="left"/>
      <w:pPr>
        <w:ind w:left="564" w:hanging="395"/>
        <w:jc w:val="left"/>
      </w:pPr>
      <w:rPr>
        <w:rFonts w:ascii="Arial" w:eastAsia="Arial" w:hAnsi="Arial" w:cs="Arial" w:hint="default"/>
        <w:b/>
        <w:bCs/>
        <w:spacing w:val="-7"/>
        <w:w w:val="100"/>
        <w:sz w:val="18"/>
        <w:szCs w:val="18"/>
        <w:lang w:val="en-US" w:eastAsia="en-US" w:bidi="ar-SA"/>
      </w:rPr>
    </w:lvl>
    <w:lvl w:ilvl="1" w:tplc="B3C0820C">
      <w:numFmt w:val="bullet"/>
      <w:lvlText w:val="•"/>
      <w:lvlJc w:val="left"/>
      <w:pPr>
        <w:ind w:left="1251" w:hanging="574"/>
      </w:pPr>
      <w:rPr>
        <w:rFonts w:hint="default"/>
        <w:w w:val="99"/>
        <w:lang w:val="en-US" w:eastAsia="en-US" w:bidi="ar-SA"/>
      </w:rPr>
    </w:lvl>
    <w:lvl w:ilvl="2" w:tplc="69044F24">
      <w:numFmt w:val="bullet"/>
      <w:lvlText w:val="•"/>
      <w:lvlJc w:val="left"/>
      <w:pPr>
        <w:ind w:left="1260" w:hanging="574"/>
      </w:pPr>
      <w:rPr>
        <w:rFonts w:hint="default"/>
        <w:lang w:val="en-US" w:eastAsia="en-US" w:bidi="ar-SA"/>
      </w:rPr>
    </w:lvl>
    <w:lvl w:ilvl="3" w:tplc="68EE0FC6">
      <w:numFmt w:val="bullet"/>
      <w:lvlText w:val="•"/>
      <w:lvlJc w:val="left"/>
      <w:pPr>
        <w:ind w:left="2380" w:hanging="574"/>
      </w:pPr>
      <w:rPr>
        <w:rFonts w:hint="default"/>
        <w:lang w:val="en-US" w:eastAsia="en-US" w:bidi="ar-SA"/>
      </w:rPr>
    </w:lvl>
    <w:lvl w:ilvl="4" w:tplc="70805766">
      <w:numFmt w:val="bullet"/>
      <w:lvlText w:val="•"/>
      <w:lvlJc w:val="left"/>
      <w:pPr>
        <w:ind w:left="3501" w:hanging="574"/>
      </w:pPr>
      <w:rPr>
        <w:rFonts w:hint="default"/>
        <w:lang w:val="en-US" w:eastAsia="en-US" w:bidi="ar-SA"/>
      </w:rPr>
    </w:lvl>
    <w:lvl w:ilvl="5" w:tplc="7146183A">
      <w:numFmt w:val="bullet"/>
      <w:lvlText w:val="•"/>
      <w:lvlJc w:val="left"/>
      <w:pPr>
        <w:ind w:left="4622" w:hanging="574"/>
      </w:pPr>
      <w:rPr>
        <w:rFonts w:hint="default"/>
        <w:lang w:val="en-US" w:eastAsia="en-US" w:bidi="ar-SA"/>
      </w:rPr>
    </w:lvl>
    <w:lvl w:ilvl="6" w:tplc="C1068A20">
      <w:numFmt w:val="bullet"/>
      <w:lvlText w:val="•"/>
      <w:lvlJc w:val="left"/>
      <w:pPr>
        <w:ind w:left="5742" w:hanging="574"/>
      </w:pPr>
      <w:rPr>
        <w:rFonts w:hint="default"/>
        <w:lang w:val="en-US" w:eastAsia="en-US" w:bidi="ar-SA"/>
      </w:rPr>
    </w:lvl>
    <w:lvl w:ilvl="7" w:tplc="7E5C2374">
      <w:numFmt w:val="bullet"/>
      <w:lvlText w:val="•"/>
      <w:lvlJc w:val="left"/>
      <w:pPr>
        <w:ind w:left="6863" w:hanging="574"/>
      </w:pPr>
      <w:rPr>
        <w:rFonts w:hint="default"/>
        <w:lang w:val="en-US" w:eastAsia="en-US" w:bidi="ar-SA"/>
      </w:rPr>
    </w:lvl>
    <w:lvl w:ilvl="8" w:tplc="A3DE03A4">
      <w:numFmt w:val="bullet"/>
      <w:lvlText w:val="•"/>
      <w:lvlJc w:val="left"/>
      <w:pPr>
        <w:ind w:left="7984" w:hanging="574"/>
      </w:pPr>
      <w:rPr>
        <w:rFonts w:hint="default"/>
        <w:lang w:val="en-US" w:eastAsia="en-US" w:bidi="ar-SA"/>
      </w:rPr>
    </w:lvl>
  </w:abstractNum>
  <w:abstractNum w:abstractNumId="81" w15:restartNumberingAfterBreak="0">
    <w:nsid w:val="636C7D53"/>
    <w:multiLevelType w:val="hybridMultilevel"/>
    <w:tmpl w:val="7ED8B524"/>
    <w:lvl w:ilvl="0" w:tplc="A3EAF3E4">
      <w:start w:val="14"/>
      <w:numFmt w:val="decimal"/>
      <w:lvlText w:val="%1"/>
      <w:lvlJc w:val="left"/>
      <w:pPr>
        <w:ind w:left="564" w:hanging="396"/>
        <w:jc w:val="left"/>
      </w:pPr>
      <w:rPr>
        <w:rFonts w:ascii="Arial" w:eastAsia="Arial" w:hAnsi="Arial" w:cs="Arial" w:hint="default"/>
        <w:b/>
        <w:bCs/>
        <w:spacing w:val="-5"/>
        <w:w w:val="100"/>
        <w:sz w:val="18"/>
        <w:szCs w:val="18"/>
        <w:lang w:val="en-US" w:eastAsia="en-US" w:bidi="ar-SA"/>
      </w:rPr>
    </w:lvl>
    <w:lvl w:ilvl="1" w:tplc="1AF21F6C">
      <w:numFmt w:val="bullet"/>
      <w:lvlText w:val="•"/>
      <w:lvlJc w:val="left"/>
      <w:pPr>
        <w:ind w:left="1526" w:hanging="396"/>
      </w:pPr>
      <w:rPr>
        <w:rFonts w:hint="default"/>
        <w:lang w:val="en-US" w:eastAsia="en-US" w:bidi="ar-SA"/>
      </w:rPr>
    </w:lvl>
    <w:lvl w:ilvl="2" w:tplc="E034EB9A">
      <w:numFmt w:val="bullet"/>
      <w:lvlText w:val="•"/>
      <w:lvlJc w:val="left"/>
      <w:pPr>
        <w:ind w:left="2493" w:hanging="396"/>
      </w:pPr>
      <w:rPr>
        <w:rFonts w:hint="default"/>
        <w:lang w:val="en-US" w:eastAsia="en-US" w:bidi="ar-SA"/>
      </w:rPr>
    </w:lvl>
    <w:lvl w:ilvl="3" w:tplc="F7D8C13A">
      <w:numFmt w:val="bullet"/>
      <w:lvlText w:val="•"/>
      <w:lvlJc w:val="left"/>
      <w:pPr>
        <w:ind w:left="3459" w:hanging="396"/>
      </w:pPr>
      <w:rPr>
        <w:rFonts w:hint="default"/>
        <w:lang w:val="en-US" w:eastAsia="en-US" w:bidi="ar-SA"/>
      </w:rPr>
    </w:lvl>
    <w:lvl w:ilvl="4" w:tplc="70EC74B0">
      <w:numFmt w:val="bullet"/>
      <w:lvlText w:val="•"/>
      <w:lvlJc w:val="left"/>
      <w:pPr>
        <w:ind w:left="4426" w:hanging="396"/>
      </w:pPr>
      <w:rPr>
        <w:rFonts w:hint="default"/>
        <w:lang w:val="en-US" w:eastAsia="en-US" w:bidi="ar-SA"/>
      </w:rPr>
    </w:lvl>
    <w:lvl w:ilvl="5" w:tplc="26226212">
      <w:numFmt w:val="bullet"/>
      <w:lvlText w:val="•"/>
      <w:lvlJc w:val="left"/>
      <w:pPr>
        <w:ind w:left="5392" w:hanging="396"/>
      </w:pPr>
      <w:rPr>
        <w:rFonts w:hint="default"/>
        <w:lang w:val="en-US" w:eastAsia="en-US" w:bidi="ar-SA"/>
      </w:rPr>
    </w:lvl>
    <w:lvl w:ilvl="6" w:tplc="B6766128">
      <w:numFmt w:val="bullet"/>
      <w:lvlText w:val="•"/>
      <w:lvlJc w:val="left"/>
      <w:pPr>
        <w:ind w:left="6359" w:hanging="396"/>
      </w:pPr>
      <w:rPr>
        <w:rFonts w:hint="default"/>
        <w:lang w:val="en-US" w:eastAsia="en-US" w:bidi="ar-SA"/>
      </w:rPr>
    </w:lvl>
    <w:lvl w:ilvl="7" w:tplc="CEFEA58C">
      <w:numFmt w:val="bullet"/>
      <w:lvlText w:val="•"/>
      <w:lvlJc w:val="left"/>
      <w:pPr>
        <w:ind w:left="7325" w:hanging="396"/>
      </w:pPr>
      <w:rPr>
        <w:rFonts w:hint="default"/>
        <w:lang w:val="en-US" w:eastAsia="en-US" w:bidi="ar-SA"/>
      </w:rPr>
    </w:lvl>
    <w:lvl w:ilvl="8" w:tplc="65B41548">
      <w:numFmt w:val="bullet"/>
      <w:lvlText w:val="•"/>
      <w:lvlJc w:val="left"/>
      <w:pPr>
        <w:ind w:left="8292" w:hanging="396"/>
      </w:pPr>
      <w:rPr>
        <w:rFonts w:hint="default"/>
        <w:lang w:val="en-US" w:eastAsia="en-US" w:bidi="ar-SA"/>
      </w:rPr>
    </w:lvl>
  </w:abstractNum>
  <w:abstractNum w:abstractNumId="82" w15:restartNumberingAfterBreak="0">
    <w:nsid w:val="63C54487"/>
    <w:multiLevelType w:val="hybridMultilevel"/>
    <w:tmpl w:val="7700C728"/>
    <w:lvl w:ilvl="0" w:tplc="EC0AEB60">
      <w:start w:val="1"/>
      <w:numFmt w:val="lowerLetter"/>
      <w:lvlText w:val="(%1)"/>
      <w:lvlJc w:val="left"/>
      <w:pPr>
        <w:ind w:left="877" w:hanging="730"/>
        <w:jc w:val="left"/>
      </w:pPr>
      <w:rPr>
        <w:rFonts w:ascii="Arial" w:eastAsia="Arial" w:hAnsi="Arial" w:cs="Arial" w:hint="default"/>
        <w:w w:val="100"/>
        <w:sz w:val="18"/>
        <w:szCs w:val="18"/>
        <w:lang w:val="en-US" w:eastAsia="en-US" w:bidi="ar-SA"/>
      </w:rPr>
    </w:lvl>
    <w:lvl w:ilvl="1" w:tplc="852A074A">
      <w:numFmt w:val="bullet"/>
      <w:lvlText w:val="•"/>
      <w:lvlJc w:val="left"/>
      <w:pPr>
        <w:ind w:left="1800" w:hanging="730"/>
      </w:pPr>
      <w:rPr>
        <w:rFonts w:hint="default"/>
        <w:lang w:val="en-US" w:eastAsia="en-US" w:bidi="ar-SA"/>
      </w:rPr>
    </w:lvl>
    <w:lvl w:ilvl="2" w:tplc="1060A0AC">
      <w:numFmt w:val="bullet"/>
      <w:lvlText w:val="•"/>
      <w:lvlJc w:val="left"/>
      <w:pPr>
        <w:ind w:left="2721" w:hanging="730"/>
      </w:pPr>
      <w:rPr>
        <w:rFonts w:hint="default"/>
        <w:lang w:val="en-US" w:eastAsia="en-US" w:bidi="ar-SA"/>
      </w:rPr>
    </w:lvl>
    <w:lvl w:ilvl="3" w:tplc="562E7B12">
      <w:numFmt w:val="bullet"/>
      <w:lvlText w:val="•"/>
      <w:lvlJc w:val="left"/>
      <w:pPr>
        <w:ind w:left="3641" w:hanging="730"/>
      </w:pPr>
      <w:rPr>
        <w:rFonts w:hint="default"/>
        <w:lang w:val="en-US" w:eastAsia="en-US" w:bidi="ar-SA"/>
      </w:rPr>
    </w:lvl>
    <w:lvl w:ilvl="4" w:tplc="F222B240">
      <w:numFmt w:val="bullet"/>
      <w:lvlText w:val="•"/>
      <w:lvlJc w:val="left"/>
      <w:pPr>
        <w:ind w:left="4562" w:hanging="730"/>
      </w:pPr>
      <w:rPr>
        <w:rFonts w:hint="default"/>
        <w:lang w:val="en-US" w:eastAsia="en-US" w:bidi="ar-SA"/>
      </w:rPr>
    </w:lvl>
    <w:lvl w:ilvl="5" w:tplc="B446758E">
      <w:numFmt w:val="bullet"/>
      <w:lvlText w:val="•"/>
      <w:lvlJc w:val="left"/>
      <w:pPr>
        <w:ind w:left="5482" w:hanging="730"/>
      </w:pPr>
      <w:rPr>
        <w:rFonts w:hint="default"/>
        <w:lang w:val="en-US" w:eastAsia="en-US" w:bidi="ar-SA"/>
      </w:rPr>
    </w:lvl>
    <w:lvl w:ilvl="6" w:tplc="46826D76">
      <w:numFmt w:val="bullet"/>
      <w:lvlText w:val="•"/>
      <w:lvlJc w:val="left"/>
      <w:pPr>
        <w:ind w:left="6403" w:hanging="730"/>
      </w:pPr>
      <w:rPr>
        <w:rFonts w:hint="default"/>
        <w:lang w:val="en-US" w:eastAsia="en-US" w:bidi="ar-SA"/>
      </w:rPr>
    </w:lvl>
    <w:lvl w:ilvl="7" w:tplc="E02CBBF8">
      <w:numFmt w:val="bullet"/>
      <w:lvlText w:val="•"/>
      <w:lvlJc w:val="left"/>
      <w:pPr>
        <w:ind w:left="7323" w:hanging="730"/>
      </w:pPr>
      <w:rPr>
        <w:rFonts w:hint="default"/>
        <w:lang w:val="en-US" w:eastAsia="en-US" w:bidi="ar-SA"/>
      </w:rPr>
    </w:lvl>
    <w:lvl w:ilvl="8" w:tplc="9500ACC2">
      <w:numFmt w:val="bullet"/>
      <w:lvlText w:val="•"/>
      <w:lvlJc w:val="left"/>
      <w:pPr>
        <w:ind w:left="8244" w:hanging="730"/>
      </w:pPr>
      <w:rPr>
        <w:rFonts w:hint="default"/>
        <w:lang w:val="en-US" w:eastAsia="en-US" w:bidi="ar-SA"/>
      </w:rPr>
    </w:lvl>
  </w:abstractNum>
  <w:abstractNum w:abstractNumId="83" w15:restartNumberingAfterBreak="0">
    <w:nsid w:val="64987292"/>
    <w:multiLevelType w:val="hybridMultilevel"/>
    <w:tmpl w:val="488A6C2C"/>
    <w:lvl w:ilvl="0" w:tplc="4856A076">
      <w:start w:val="2"/>
      <w:numFmt w:val="lowerLetter"/>
      <w:lvlText w:val="(%1)"/>
      <w:lvlJc w:val="left"/>
      <w:pPr>
        <w:ind w:left="1130" w:hanging="567"/>
        <w:jc w:val="left"/>
      </w:pPr>
      <w:rPr>
        <w:rFonts w:ascii="Arial" w:eastAsia="Arial" w:hAnsi="Arial" w:cs="Arial" w:hint="default"/>
        <w:b/>
        <w:bCs/>
        <w:w w:val="100"/>
        <w:sz w:val="18"/>
        <w:szCs w:val="18"/>
        <w:lang w:val="en-US" w:eastAsia="en-US" w:bidi="ar-SA"/>
      </w:rPr>
    </w:lvl>
    <w:lvl w:ilvl="1" w:tplc="810C1F08">
      <w:start w:val="1"/>
      <w:numFmt w:val="lowerRoman"/>
      <w:lvlText w:val="(%2)"/>
      <w:lvlJc w:val="left"/>
      <w:pPr>
        <w:ind w:left="1401" w:hanging="222"/>
        <w:jc w:val="left"/>
      </w:pPr>
      <w:rPr>
        <w:rFonts w:ascii="Arial" w:eastAsia="Arial" w:hAnsi="Arial" w:cs="Arial" w:hint="default"/>
        <w:b/>
        <w:bCs/>
        <w:i/>
        <w:w w:val="100"/>
        <w:sz w:val="18"/>
        <w:szCs w:val="18"/>
        <w:lang w:val="en-US" w:eastAsia="en-US" w:bidi="ar-SA"/>
      </w:rPr>
    </w:lvl>
    <w:lvl w:ilvl="2" w:tplc="D63657A2">
      <w:numFmt w:val="bullet"/>
      <w:lvlText w:val="•"/>
      <w:lvlJc w:val="left"/>
      <w:pPr>
        <w:ind w:left="2380" w:hanging="222"/>
      </w:pPr>
      <w:rPr>
        <w:rFonts w:hint="default"/>
        <w:lang w:val="en-US" w:eastAsia="en-US" w:bidi="ar-SA"/>
      </w:rPr>
    </w:lvl>
    <w:lvl w:ilvl="3" w:tplc="3ABCB464">
      <w:numFmt w:val="bullet"/>
      <w:lvlText w:val="•"/>
      <w:lvlJc w:val="left"/>
      <w:pPr>
        <w:ind w:left="3361" w:hanging="222"/>
      </w:pPr>
      <w:rPr>
        <w:rFonts w:hint="default"/>
        <w:lang w:val="en-US" w:eastAsia="en-US" w:bidi="ar-SA"/>
      </w:rPr>
    </w:lvl>
    <w:lvl w:ilvl="4" w:tplc="E65E6540">
      <w:numFmt w:val="bullet"/>
      <w:lvlText w:val="•"/>
      <w:lvlJc w:val="left"/>
      <w:pPr>
        <w:ind w:left="4341" w:hanging="222"/>
      </w:pPr>
      <w:rPr>
        <w:rFonts w:hint="default"/>
        <w:lang w:val="en-US" w:eastAsia="en-US" w:bidi="ar-SA"/>
      </w:rPr>
    </w:lvl>
    <w:lvl w:ilvl="5" w:tplc="BFB2C136">
      <w:numFmt w:val="bullet"/>
      <w:lvlText w:val="•"/>
      <w:lvlJc w:val="left"/>
      <w:pPr>
        <w:ind w:left="5322" w:hanging="222"/>
      </w:pPr>
      <w:rPr>
        <w:rFonts w:hint="default"/>
        <w:lang w:val="en-US" w:eastAsia="en-US" w:bidi="ar-SA"/>
      </w:rPr>
    </w:lvl>
    <w:lvl w:ilvl="6" w:tplc="BFF24602">
      <w:numFmt w:val="bullet"/>
      <w:lvlText w:val="•"/>
      <w:lvlJc w:val="left"/>
      <w:pPr>
        <w:ind w:left="6303" w:hanging="222"/>
      </w:pPr>
      <w:rPr>
        <w:rFonts w:hint="default"/>
        <w:lang w:val="en-US" w:eastAsia="en-US" w:bidi="ar-SA"/>
      </w:rPr>
    </w:lvl>
    <w:lvl w:ilvl="7" w:tplc="203E5BB4">
      <w:numFmt w:val="bullet"/>
      <w:lvlText w:val="•"/>
      <w:lvlJc w:val="left"/>
      <w:pPr>
        <w:ind w:left="7283" w:hanging="222"/>
      </w:pPr>
      <w:rPr>
        <w:rFonts w:hint="default"/>
        <w:lang w:val="en-US" w:eastAsia="en-US" w:bidi="ar-SA"/>
      </w:rPr>
    </w:lvl>
    <w:lvl w:ilvl="8" w:tplc="9BF221EC">
      <w:numFmt w:val="bullet"/>
      <w:lvlText w:val="•"/>
      <w:lvlJc w:val="left"/>
      <w:pPr>
        <w:ind w:left="8264" w:hanging="222"/>
      </w:pPr>
      <w:rPr>
        <w:rFonts w:hint="default"/>
        <w:lang w:val="en-US" w:eastAsia="en-US" w:bidi="ar-SA"/>
      </w:rPr>
    </w:lvl>
  </w:abstractNum>
  <w:abstractNum w:abstractNumId="84" w15:restartNumberingAfterBreak="0">
    <w:nsid w:val="660C2A4C"/>
    <w:multiLevelType w:val="hybridMultilevel"/>
    <w:tmpl w:val="CC66EB92"/>
    <w:lvl w:ilvl="0" w:tplc="E85A6DC6">
      <w:start w:val="1"/>
      <w:numFmt w:val="lowerLetter"/>
      <w:lvlText w:val="(%1)"/>
      <w:lvlJc w:val="left"/>
      <w:pPr>
        <w:ind w:left="564" w:hanging="394"/>
        <w:jc w:val="left"/>
      </w:pPr>
      <w:rPr>
        <w:rFonts w:ascii="Arial" w:eastAsia="Arial" w:hAnsi="Arial" w:cs="Arial" w:hint="default"/>
        <w:w w:val="100"/>
        <w:sz w:val="18"/>
        <w:szCs w:val="18"/>
        <w:lang w:val="en-US" w:eastAsia="en-US" w:bidi="ar-SA"/>
      </w:rPr>
    </w:lvl>
    <w:lvl w:ilvl="1" w:tplc="C3FE7D2C">
      <w:numFmt w:val="bullet"/>
      <w:lvlText w:val="•"/>
      <w:lvlJc w:val="left"/>
      <w:pPr>
        <w:ind w:left="1287" w:hanging="394"/>
      </w:pPr>
      <w:rPr>
        <w:rFonts w:hint="default"/>
        <w:lang w:val="en-US" w:eastAsia="en-US" w:bidi="ar-SA"/>
      </w:rPr>
    </w:lvl>
    <w:lvl w:ilvl="2" w:tplc="67FE0FF8">
      <w:numFmt w:val="bullet"/>
      <w:lvlText w:val="•"/>
      <w:lvlJc w:val="left"/>
      <w:pPr>
        <w:ind w:left="2015" w:hanging="394"/>
      </w:pPr>
      <w:rPr>
        <w:rFonts w:hint="default"/>
        <w:lang w:val="en-US" w:eastAsia="en-US" w:bidi="ar-SA"/>
      </w:rPr>
    </w:lvl>
    <w:lvl w:ilvl="3" w:tplc="0D0E3510">
      <w:numFmt w:val="bullet"/>
      <w:lvlText w:val="•"/>
      <w:lvlJc w:val="left"/>
      <w:pPr>
        <w:ind w:left="2743" w:hanging="394"/>
      </w:pPr>
      <w:rPr>
        <w:rFonts w:hint="default"/>
        <w:lang w:val="en-US" w:eastAsia="en-US" w:bidi="ar-SA"/>
      </w:rPr>
    </w:lvl>
    <w:lvl w:ilvl="4" w:tplc="0D6673FE">
      <w:numFmt w:val="bullet"/>
      <w:lvlText w:val="•"/>
      <w:lvlJc w:val="left"/>
      <w:pPr>
        <w:ind w:left="3471" w:hanging="394"/>
      </w:pPr>
      <w:rPr>
        <w:rFonts w:hint="default"/>
        <w:lang w:val="en-US" w:eastAsia="en-US" w:bidi="ar-SA"/>
      </w:rPr>
    </w:lvl>
    <w:lvl w:ilvl="5" w:tplc="6C7C6338">
      <w:numFmt w:val="bullet"/>
      <w:lvlText w:val="•"/>
      <w:lvlJc w:val="left"/>
      <w:pPr>
        <w:ind w:left="4198" w:hanging="394"/>
      </w:pPr>
      <w:rPr>
        <w:rFonts w:hint="default"/>
        <w:lang w:val="en-US" w:eastAsia="en-US" w:bidi="ar-SA"/>
      </w:rPr>
    </w:lvl>
    <w:lvl w:ilvl="6" w:tplc="B9B24F94">
      <w:numFmt w:val="bullet"/>
      <w:lvlText w:val="•"/>
      <w:lvlJc w:val="left"/>
      <w:pPr>
        <w:ind w:left="4926" w:hanging="394"/>
      </w:pPr>
      <w:rPr>
        <w:rFonts w:hint="default"/>
        <w:lang w:val="en-US" w:eastAsia="en-US" w:bidi="ar-SA"/>
      </w:rPr>
    </w:lvl>
    <w:lvl w:ilvl="7" w:tplc="65D641CA">
      <w:numFmt w:val="bullet"/>
      <w:lvlText w:val="•"/>
      <w:lvlJc w:val="left"/>
      <w:pPr>
        <w:ind w:left="5654" w:hanging="394"/>
      </w:pPr>
      <w:rPr>
        <w:rFonts w:hint="default"/>
        <w:lang w:val="en-US" w:eastAsia="en-US" w:bidi="ar-SA"/>
      </w:rPr>
    </w:lvl>
    <w:lvl w:ilvl="8" w:tplc="3432D180">
      <w:numFmt w:val="bullet"/>
      <w:lvlText w:val="•"/>
      <w:lvlJc w:val="left"/>
      <w:pPr>
        <w:ind w:left="6382" w:hanging="394"/>
      </w:pPr>
      <w:rPr>
        <w:rFonts w:hint="default"/>
        <w:lang w:val="en-US" w:eastAsia="en-US" w:bidi="ar-SA"/>
      </w:rPr>
    </w:lvl>
  </w:abstractNum>
  <w:abstractNum w:abstractNumId="85" w15:restartNumberingAfterBreak="0">
    <w:nsid w:val="66BF7D23"/>
    <w:multiLevelType w:val="hybridMultilevel"/>
    <w:tmpl w:val="14A2DD04"/>
    <w:lvl w:ilvl="0" w:tplc="85EA01CA">
      <w:start w:val="1"/>
      <w:numFmt w:val="lowerRoman"/>
      <w:lvlText w:val="(%1)"/>
      <w:lvlJc w:val="left"/>
      <w:pPr>
        <w:ind w:left="722" w:hanging="219"/>
        <w:jc w:val="left"/>
      </w:pPr>
      <w:rPr>
        <w:rFonts w:ascii="Arial" w:eastAsia="Arial" w:hAnsi="Arial" w:cs="Arial" w:hint="default"/>
        <w:b/>
        <w:bCs/>
        <w:i/>
        <w:w w:val="100"/>
        <w:sz w:val="18"/>
        <w:szCs w:val="18"/>
        <w:lang w:val="en-US" w:eastAsia="en-US" w:bidi="ar-SA"/>
      </w:rPr>
    </w:lvl>
    <w:lvl w:ilvl="1" w:tplc="F586DF24">
      <w:numFmt w:val="bullet"/>
      <w:lvlText w:val="•"/>
      <w:lvlJc w:val="left"/>
      <w:pPr>
        <w:ind w:left="1662" w:hanging="219"/>
      </w:pPr>
      <w:rPr>
        <w:rFonts w:hint="default"/>
        <w:lang w:val="en-US" w:eastAsia="en-US" w:bidi="ar-SA"/>
      </w:rPr>
    </w:lvl>
    <w:lvl w:ilvl="2" w:tplc="E316767A">
      <w:numFmt w:val="bullet"/>
      <w:lvlText w:val="•"/>
      <w:lvlJc w:val="left"/>
      <w:pPr>
        <w:ind w:left="2605" w:hanging="219"/>
      </w:pPr>
      <w:rPr>
        <w:rFonts w:hint="default"/>
        <w:lang w:val="en-US" w:eastAsia="en-US" w:bidi="ar-SA"/>
      </w:rPr>
    </w:lvl>
    <w:lvl w:ilvl="3" w:tplc="AA32DEF4">
      <w:numFmt w:val="bullet"/>
      <w:lvlText w:val="•"/>
      <w:lvlJc w:val="left"/>
      <w:pPr>
        <w:ind w:left="3547" w:hanging="219"/>
      </w:pPr>
      <w:rPr>
        <w:rFonts w:hint="default"/>
        <w:lang w:val="en-US" w:eastAsia="en-US" w:bidi="ar-SA"/>
      </w:rPr>
    </w:lvl>
    <w:lvl w:ilvl="4" w:tplc="DDD86BFA">
      <w:numFmt w:val="bullet"/>
      <w:lvlText w:val="•"/>
      <w:lvlJc w:val="left"/>
      <w:pPr>
        <w:ind w:left="4490" w:hanging="219"/>
      </w:pPr>
      <w:rPr>
        <w:rFonts w:hint="default"/>
        <w:lang w:val="en-US" w:eastAsia="en-US" w:bidi="ar-SA"/>
      </w:rPr>
    </w:lvl>
    <w:lvl w:ilvl="5" w:tplc="AC8E54B4">
      <w:numFmt w:val="bullet"/>
      <w:lvlText w:val="•"/>
      <w:lvlJc w:val="left"/>
      <w:pPr>
        <w:ind w:left="5432" w:hanging="219"/>
      </w:pPr>
      <w:rPr>
        <w:rFonts w:hint="default"/>
        <w:lang w:val="en-US" w:eastAsia="en-US" w:bidi="ar-SA"/>
      </w:rPr>
    </w:lvl>
    <w:lvl w:ilvl="6" w:tplc="CD0833EE">
      <w:numFmt w:val="bullet"/>
      <w:lvlText w:val="•"/>
      <w:lvlJc w:val="left"/>
      <w:pPr>
        <w:ind w:left="6375" w:hanging="219"/>
      </w:pPr>
      <w:rPr>
        <w:rFonts w:hint="default"/>
        <w:lang w:val="en-US" w:eastAsia="en-US" w:bidi="ar-SA"/>
      </w:rPr>
    </w:lvl>
    <w:lvl w:ilvl="7" w:tplc="8D40349E">
      <w:numFmt w:val="bullet"/>
      <w:lvlText w:val="•"/>
      <w:lvlJc w:val="left"/>
      <w:pPr>
        <w:ind w:left="7317" w:hanging="219"/>
      </w:pPr>
      <w:rPr>
        <w:rFonts w:hint="default"/>
        <w:lang w:val="en-US" w:eastAsia="en-US" w:bidi="ar-SA"/>
      </w:rPr>
    </w:lvl>
    <w:lvl w:ilvl="8" w:tplc="1D78F122">
      <w:numFmt w:val="bullet"/>
      <w:lvlText w:val="•"/>
      <w:lvlJc w:val="left"/>
      <w:pPr>
        <w:ind w:left="8260" w:hanging="219"/>
      </w:pPr>
      <w:rPr>
        <w:rFonts w:hint="default"/>
        <w:lang w:val="en-US" w:eastAsia="en-US" w:bidi="ar-SA"/>
      </w:rPr>
    </w:lvl>
  </w:abstractNum>
  <w:abstractNum w:abstractNumId="86" w15:restartNumberingAfterBreak="0">
    <w:nsid w:val="69BD53DA"/>
    <w:multiLevelType w:val="hybridMultilevel"/>
    <w:tmpl w:val="33F6D618"/>
    <w:lvl w:ilvl="0" w:tplc="E6D05C60">
      <w:start w:val="1"/>
      <w:numFmt w:val="lowerLetter"/>
      <w:lvlText w:val="(%1)"/>
      <w:lvlJc w:val="left"/>
      <w:pPr>
        <w:ind w:left="1130" w:hanging="273"/>
        <w:jc w:val="left"/>
      </w:pPr>
      <w:rPr>
        <w:rFonts w:ascii="Arial" w:eastAsia="Arial" w:hAnsi="Arial" w:cs="Arial" w:hint="default"/>
        <w:w w:val="100"/>
        <w:sz w:val="18"/>
        <w:szCs w:val="18"/>
        <w:lang w:val="en-US" w:eastAsia="en-US" w:bidi="ar-SA"/>
      </w:rPr>
    </w:lvl>
    <w:lvl w:ilvl="1" w:tplc="5F50E4A8">
      <w:numFmt w:val="bullet"/>
      <w:lvlText w:val="•"/>
      <w:lvlJc w:val="left"/>
      <w:pPr>
        <w:ind w:left="2048" w:hanging="273"/>
      </w:pPr>
      <w:rPr>
        <w:rFonts w:hint="default"/>
        <w:lang w:val="en-US" w:eastAsia="en-US" w:bidi="ar-SA"/>
      </w:rPr>
    </w:lvl>
    <w:lvl w:ilvl="2" w:tplc="B46AB7CA">
      <w:numFmt w:val="bullet"/>
      <w:lvlText w:val="•"/>
      <w:lvlJc w:val="left"/>
      <w:pPr>
        <w:ind w:left="2957" w:hanging="273"/>
      </w:pPr>
      <w:rPr>
        <w:rFonts w:hint="default"/>
        <w:lang w:val="en-US" w:eastAsia="en-US" w:bidi="ar-SA"/>
      </w:rPr>
    </w:lvl>
    <w:lvl w:ilvl="3" w:tplc="2DCA1DB0">
      <w:numFmt w:val="bullet"/>
      <w:lvlText w:val="•"/>
      <w:lvlJc w:val="left"/>
      <w:pPr>
        <w:ind w:left="3865" w:hanging="273"/>
      </w:pPr>
      <w:rPr>
        <w:rFonts w:hint="default"/>
        <w:lang w:val="en-US" w:eastAsia="en-US" w:bidi="ar-SA"/>
      </w:rPr>
    </w:lvl>
    <w:lvl w:ilvl="4" w:tplc="33C6819A">
      <w:numFmt w:val="bullet"/>
      <w:lvlText w:val="•"/>
      <w:lvlJc w:val="left"/>
      <w:pPr>
        <w:ind w:left="4774" w:hanging="273"/>
      </w:pPr>
      <w:rPr>
        <w:rFonts w:hint="default"/>
        <w:lang w:val="en-US" w:eastAsia="en-US" w:bidi="ar-SA"/>
      </w:rPr>
    </w:lvl>
    <w:lvl w:ilvl="5" w:tplc="586A49EA">
      <w:numFmt w:val="bullet"/>
      <w:lvlText w:val="•"/>
      <w:lvlJc w:val="left"/>
      <w:pPr>
        <w:ind w:left="5682" w:hanging="273"/>
      </w:pPr>
      <w:rPr>
        <w:rFonts w:hint="default"/>
        <w:lang w:val="en-US" w:eastAsia="en-US" w:bidi="ar-SA"/>
      </w:rPr>
    </w:lvl>
    <w:lvl w:ilvl="6" w:tplc="0FF44618">
      <w:numFmt w:val="bullet"/>
      <w:lvlText w:val="•"/>
      <w:lvlJc w:val="left"/>
      <w:pPr>
        <w:ind w:left="6591" w:hanging="273"/>
      </w:pPr>
      <w:rPr>
        <w:rFonts w:hint="default"/>
        <w:lang w:val="en-US" w:eastAsia="en-US" w:bidi="ar-SA"/>
      </w:rPr>
    </w:lvl>
    <w:lvl w:ilvl="7" w:tplc="6FF69964">
      <w:numFmt w:val="bullet"/>
      <w:lvlText w:val="•"/>
      <w:lvlJc w:val="left"/>
      <w:pPr>
        <w:ind w:left="7499" w:hanging="273"/>
      </w:pPr>
      <w:rPr>
        <w:rFonts w:hint="default"/>
        <w:lang w:val="en-US" w:eastAsia="en-US" w:bidi="ar-SA"/>
      </w:rPr>
    </w:lvl>
    <w:lvl w:ilvl="8" w:tplc="FF32A96A">
      <w:numFmt w:val="bullet"/>
      <w:lvlText w:val="•"/>
      <w:lvlJc w:val="left"/>
      <w:pPr>
        <w:ind w:left="8408" w:hanging="273"/>
      </w:pPr>
      <w:rPr>
        <w:rFonts w:hint="default"/>
        <w:lang w:val="en-US" w:eastAsia="en-US" w:bidi="ar-SA"/>
      </w:rPr>
    </w:lvl>
  </w:abstractNum>
  <w:abstractNum w:abstractNumId="87" w15:restartNumberingAfterBreak="0">
    <w:nsid w:val="6A9F29F8"/>
    <w:multiLevelType w:val="hybridMultilevel"/>
    <w:tmpl w:val="6E24C27C"/>
    <w:lvl w:ilvl="0" w:tplc="C66CA5AC">
      <w:start w:val="1"/>
      <w:numFmt w:val="decimal"/>
      <w:lvlText w:val="%1"/>
      <w:lvlJc w:val="left"/>
      <w:pPr>
        <w:ind w:left="563" w:hanging="395"/>
        <w:jc w:val="left"/>
      </w:pPr>
      <w:rPr>
        <w:rFonts w:ascii="Arial" w:eastAsia="Arial" w:hAnsi="Arial" w:cs="Arial" w:hint="default"/>
        <w:b/>
        <w:bCs/>
        <w:w w:val="99"/>
        <w:sz w:val="18"/>
        <w:szCs w:val="18"/>
        <w:lang w:val="en-US" w:eastAsia="en-US" w:bidi="ar-SA"/>
      </w:rPr>
    </w:lvl>
    <w:lvl w:ilvl="1" w:tplc="37B45522">
      <w:start w:val="1"/>
      <w:numFmt w:val="lowerLetter"/>
      <w:lvlText w:val="(%2)"/>
      <w:lvlJc w:val="left"/>
      <w:pPr>
        <w:ind w:left="1131" w:hanging="567"/>
        <w:jc w:val="left"/>
      </w:pPr>
      <w:rPr>
        <w:rFonts w:ascii="Arial" w:eastAsia="Arial" w:hAnsi="Arial" w:cs="Arial" w:hint="default"/>
        <w:b/>
        <w:bCs/>
        <w:w w:val="99"/>
        <w:sz w:val="18"/>
        <w:szCs w:val="18"/>
        <w:lang w:val="en-US" w:eastAsia="en-US" w:bidi="ar-SA"/>
      </w:rPr>
    </w:lvl>
    <w:lvl w:ilvl="2" w:tplc="869A3508">
      <w:numFmt w:val="bullet"/>
      <w:lvlText w:val="•"/>
      <w:lvlJc w:val="left"/>
      <w:pPr>
        <w:ind w:left="2147" w:hanging="567"/>
      </w:pPr>
      <w:rPr>
        <w:rFonts w:hint="default"/>
        <w:lang w:val="en-US" w:eastAsia="en-US" w:bidi="ar-SA"/>
      </w:rPr>
    </w:lvl>
    <w:lvl w:ilvl="3" w:tplc="D160D15E">
      <w:numFmt w:val="bullet"/>
      <w:lvlText w:val="•"/>
      <w:lvlJc w:val="left"/>
      <w:pPr>
        <w:ind w:left="3154" w:hanging="567"/>
      </w:pPr>
      <w:rPr>
        <w:rFonts w:hint="default"/>
        <w:lang w:val="en-US" w:eastAsia="en-US" w:bidi="ar-SA"/>
      </w:rPr>
    </w:lvl>
    <w:lvl w:ilvl="4" w:tplc="8FAAEAE6">
      <w:numFmt w:val="bullet"/>
      <w:lvlText w:val="•"/>
      <w:lvlJc w:val="left"/>
      <w:pPr>
        <w:ind w:left="4161" w:hanging="567"/>
      </w:pPr>
      <w:rPr>
        <w:rFonts w:hint="default"/>
        <w:lang w:val="en-US" w:eastAsia="en-US" w:bidi="ar-SA"/>
      </w:rPr>
    </w:lvl>
    <w:lvl w:ilvl="5" w:tplc="FCFCECDC">
      <w:numFmt w:val="bullet"/>
      <w:lvlText w:val="•"/>
      <w:lvlJc w:val="left"/>
      <w:pPr>
        <w:ind w:left="5168" w:hanging="567"/>
      </w:pPr>
      <w:rPr>
        <w:rFonts w:hint="default"/>
        <w:lang w:val="en-US" w:eastAsia="en-US" w:bidi="ar-SA"/>
      </w:rPr>
    </w:lvl>
    <w:lvl w:ilvl="6" w:tplc="54A22E46">
      <w:numFmt w:val="bullet"/>
      <w:lvlText w:val="•"/>
      <w:lvlJc w:val="left"/>
      <w:pPr>
        <w:ind w:left="6175" w:hanging="567"/>
      </w:pPr>
      <w:rPr>
        <w:rFonts w:hint="default"/>
        <w:lang w:val="en-US" w:eastAsia="en-US" w:bidi="ar-SA"/>
      </w:rPr>
    </w:lvl>
    <w:lvl w:ilvl="7" w:tplc="9C46D07E">
      <w:numFmt w:val="bullet"/>
      <w:lvlText w:val="•"/>
      <w:lvlJc w:val="left"/>
      <w:pPr>
        <w:ind w:left="7182" w:hanging="567"/>
      </w:pPr>
      <w:rPr>
        <w:rFonts w:hint="default"/>
        <w:lang w:val="en-US" w:eastAsia="en-US" w:bidi="ar-SA"/>
      </w:rPr>
    </w:lvl>
    <w:lvl w:ilvl="8" w:tplc="E9A032A0">
      <w:numFmt w:val="bullet"/>
      <w:lvlText w:val="•"/>
      <w:lvlJc w:val="left"/>
      <w:pPr>
        <w:ind w:left="8190" w:hanging="567"/>
      </w:pPr>
      <w:rPr>
        <w:rFonts w:hint="default"/>
        <w:lang w:val="en-US" w:eastAsia="en-US" w:bidi="ar-SA"/>
      </w:rPr>
    </w:lvl>
  </w:abstractNum>
  <w:abstractNum w:abstractNumId="88" w15:restartNumberingAfterBreak="0">
    <w:nsid w:val="6AC54DE3"/>
    <w:multiLevelType w:val="hybridMultilevel"/>
    <w:tmpl w:val="954E7174"/>
    <w:lvl w:ilvl="0" w:tplc="F7F064A6">
      <w:start w:val="1"/>
      <w:numFmt w:val="lowerLetter"/>
      <w:lvlText w:val="(%1)"/>
      <w:lvlJc w:val="left"/>
      <w:pPr>
        <w:ind w:left="564" w:hanging="394"/>
        <w:jc w:val="left"/>
      </w:pPr>
      <w:rPr>
        <w:rFonts w:ascii="Arial" w:eastAsia="Arial" w:hAnsi="Arial" w:cs="Arial" w:hint="default"/>
        <w:w w:val="100"/>
        <w:sz w:val="18"/>
        <w:szCs w:val="18"/>
        <w:lang w:val="en-US" w:eastAsia="en-US" w:bidi="ar-SA"/>
      </w:rPr>
    </w:lvl>
    <w:lvl w:ilvl="1" w:tplc="AFD290A0">
      <w:numFmt w:val="bullet"/>
      <w:lvlText w:val="•"/>
      <w:lvlJc w:val="left"/>
      <w:pPr>
        <w:ind w:left="1522" w:hanging="394"/>
      </w:pPr>
      <w:rPr>
        <w:rFonts w:hint="default"/>
        <w:lang w:val="en-US" w:eastAsia="en-US" w:bidi="ar-SA"/>
      </w:rPr>
    </w:lvl>
    <w:lvl w:ilvl="2" w:tplc="C25A894C">
      <w:numFmt w:val="bullet"/>
      <w:lvlText w:val="•"/>
      <w:lvlJc w:val="left"/>
      <w:pPr>
        <w:ind w:left="2485" w:hanging="394"/>
      </w:pPr>
      <w:rPr>
        <w:rFonts w:hint="default"/>
        <w:lang w:val="en-US" w:eastAsia="en-US" w:bidi="ar-SA"/>
      </w:rPr>
    </w:lvl>
    <w:lvl w:ilvl="3" w:tplc="A82C26B2">
      <w:numFmt w:val="bullet"/>
      <w:lvlText w:val="•"/>
      <w:lvlJc w:val="left"/>
      <w:pPr>
        <w:ind w:left="3447" w:hanging="394"/>
      </w:pPr>
      <w:rPr>
        <w:rFonts w:hint="default"/>
        <w:lang w:val="en-US" w:eastAsia="en-US" w:bidi="ar-SA"/>
      </w:rPr>
    </w:lvl>
    <w:lvl w:ilvl="4" w:tplc="C5222918">
      <w:numFmt w:val="bullet"/>
      <w:lvlText w:val="•"/>
      <w:lvlJc w:val="left"/>
      <w:pPr>
        <w:ind w:left="4410" w:hanging="394"/>
      </w:pPr>
      <w:rPr>
        <w:rFonts w:hint="default"/>
        <w:lang w:val="en-US" w:eastAsia="en-US" w:bidi="ar-SA"/>
      </w:rPr>
    </w:lvl>
    <w:lvl w:ilvl="5" w:tplc="03542DD4">
      <w:numFmt w:val="bullet"/>
      <w:lvlText w:val="•"/>
      <w:lvlJc w:val="left"/>
      <w:pPr>
        <w:ind w:left="5372" w:hanging="394"/>
      </w:pPr>
      <w:rPr>
        <w:rFonts w:hint="default"/>
        <w:lang w:val="en-US" w:eastAsia="en-US" w:bidi="ar-SA"/>
      </w:rPr>
    </w:lvl>
    <w:lvl w:ilvl="6" w:tplc="9FFE46DC">
      <w:numFmt w:val="bullet"/>
      <w:lvlText w:val="•"/>
      <w:lvlJc w:val="left"/>
      <w:pPr>
        <w:ind w:left="6335" w:hanging="394"/>
      </w:pPr>
      <w:rPr>
        <w:rFonts w:hint="default"/>
        <w:lang w:val="en-US" w:eastAsia="en-US" w:bidi="ar-SA"/>
      </w:rPr>
    </w:lvl>
    <w:lvl w:ilvl="7" w:tplc="D1F418BC">
      <w:numFmt w:val="bullet"/>
      <w:lvlText w:val="•"/>
      <w:lvlJc w:val="left"/>
      <w:pPr>
        <w:ind w:left="7297" w:hanging="394"/>
      </w:pPr>
      <w:rPr>
        <w:rFonts w:hint="default"/>
        <w:lang w:val="en-US" w:eastAsia="en-US" w:bidi="ar-SA"/>
      </w:rPr>
    </w:lvl>
    <w:lvl w:ilvl="8" w:tplc="60FE8CA8">
      <w:numFmt w:val="bullet"/>
      <w:lvlText w:val="•"/>
      <w:lvlJc w:val="left"/>
      <w:pPr>
        <w:ind w:left="8260" w:hanging="394"/>
      </w:pPr>
      <w:rPr>
        <w:rFonts w:hint="default"/>
        <w:lang w:val="en-US" w:eastAsia="en-US" w:bidi="ar-SA"/>
      </w:rPr>
    </w:lvl>
  </w:abstractNum>
  <w:abstractNum w:abstractNumId="89" w15:restartNumberingAfterBreak="0">
    <w:nsid w:val="6B18410E"/>
    <w:multiLevelType w:val="hybridMultilevel"/>
    <w:tmpl w:val="E17601B4"/>
    <w:lvl w:ilvl="0" w:tplc="94DC4E5A">
      <w:start w:val="4"/>
      <w:numFmt w:val="lowerLetter"/>
      <w:lvlText w:val="(%1)"/>
      <w:lvlJc w:val="left"/>
      <w:pPr>
        <w:ind w:left="504" w:hanging="396"/>
        <w:jc w:val="left"/>
      </w:pPr>
      <w:rPr>
        <w:rFonts w:ascii="Arial" w:eastAsia="Arial" w:hAnsi="Arial" w:cs="Arial" w:hint="default"/>
        <w:b/>
        <w:bCs/>
        <w:w w:val="100"/>
        <w:sz w:val="18"/>
        <w:szCs w:val="18"/>
        <w:lang w:val="en-US" w:eastAsia="en-US" w:bidi="ar-SA"/>
      </w:rPr>
    </w:lvl>
    <w:lvl w:ilvl="1" w:tplc="551ECFC4">
      <w:start w:val="1"/>
      <w:numFmt w:val="lowerRoman"/>
      <w:lvlText w:val="(%2)"/>
      <w:lvlJc w:val="left"/>
      <w:pPr>
        <w:ind w:left="722" w:hanging="219"/>
        <w:jc w:val="left"/>
      </w:pPr>
      <w:rPr>
        <w:rFonts w:ascii="Arial" w:eastAsia="Arial" w:hAnsi="Arial" w:cs="Arial" w:hint="default"/>
        <w:b/>
        <w:bCs/>
        <w:i/>
        <w:w w:val="100"/>
        <w:sz w:val="18"/>
        <w:szCs w:val="18"/>
        <w:lang w:val="en-US" w:eastAsia="en-US" w:bidi="ar-SA"/>
      </w:rPr>
    </w:lvl>
    <w:lvl w:ilvl="2" w:tplc="49F6B9F8">
      <w:numFmt w:val="bullet"/>
      <w:lvlText w:val="•"/>
      <w:lvlJc w:val="left"/>
      <w:pPr>
        <w:ind w:left="1767" w:hanging="219"/>
      </w:pPr>
      <w:rPr>
        <w:rFonts w:hint="default"/>
        <w:lang w:val="en-US" w:eastAsia="en-US" w:bidi="ar-SA"/>
      </w:rPr>
    </w:lvl>
    <w:lvl w:ilvl="3" w:tplc="112AC202">
      <w:numFmt w:val="bullet"/>
      <w:lvlText w:val="•"/>
      <w:lvlJc w:val="left"/>
      <w:pPr>
        <w:ind w:left="2814" w:hanging="219"/>
      </w:pPr>
      <w:rPr>
        <w:rFonts w:hint="default"/>
        <w:lang w:val="en-US" w:eastAsia="en-US" w:bidi="ar-SA"/>
      </w:rPr>
    </w:lvl>
    <w:lvl w:ilvl="4" w:tplc="590C9D46">
      <w:numFmt w:val="bullet"/>
      <w:lvlText w:val="•"/>
      <w:lvlJc w:val="left"/>
      <w:pPr>
        <w:ind w:left="3861" w:hanging="219"/>
      </w:pPr>
      <w:rPr>
        <w:rFonts w:hint="default"/>
        <w:lang w:val="en-US" w:eastAsia="en-US" w:bidi="ar-SA"/>
      </w:rPr>
    </w:lvl>
    <w:lvl w:ilvl="5" w:tplc="1DDAB198">
      <w:numFmt w:val="bullet"/>
      <w:lvlText w:val="•"/>
      <w:lvlJc w:val="left"/>
      <w:pPr>
        <w:ind w:left="4909" w:hanging="219"/>
      </w:pPr>
      <w:rPr>
        <w:rFonts w:hint="default"/>
        <w:lang w:val="en-US" w:eastAsia="en-US" w:bidi="ar-SA"/>
      </w:rPr>
    </w:lvl>
    <w:lvl w:ilvl="6" w:tplc="9026A024">
      <w:numFmt w:val="bullet"/>
      <w:lvlText w:val="•"/>
      <w:lvlJc w:val="left"/>
      <w:pPr>
        <w:ind w:left="5956" w:hanging="219"/>
      </w:pPr>
      <w:rPr>
        <w:rFonts w:hint="default"/>
        <w:lang w:val="en-US" w:eastAsia="en-US" w:bidi="ar-SA"/>
      </w:rPr>
    </w:lvl>
    <w:lvl w:ilvl="7" w:tplc="F0A22DE6">
      <w:numFmt w:val="bullet"/>
      <w:lvlText w:val="•"/>
      <w:lvlJc w:val="left"/>
      <w:pPr>
        <w:ind w:left="7003" w:hanging="219"/>
      </w:pPr>
      <w:rPr>
        <w:rFonts w:hint="default"/>
        <w:lang w:val="en-US" w:eastAsia="en-US" w:bidi="ar-SA"/>
      </w:rPr>
    </w:lvl>
    <w:lvl w:ilvl="8" w:tplc="32F06F66">
      <w:numFmt w:val="bullet"/>
      <w:lvlText w:val="•"/>
      <w:lvlJc w:val="left"/>
      <w:pPr>
        <w:ind w:left="8050" w:hanging="219"/>
      </w:pPr>
      <w:rPr>
        <w:rFonts w:hint="default"/>
        <w:lang w:val="en-US" w:eastAsia="en-US" w:bidi="ar-SA"/>
      </w:rPr>
    </w:lvl>
  </w:abstractNum>
  <w:abstractNum w:abstractNumId="90" w15:restartNumberingAfterBreak="0">
    <w:nsid w:val="6BD81E0E"/>
    <w:multiLevelType w:val="hybridMultilevel"/>
    <w:tmpl w:val="884C50C0"/>
    <w:lvl w:ilvl="0" w:tplc="58F64D56">
      <w:start w:val="27"/>
      <w:numFmt w:val="decimal"/>
      <w:lvlText w:val="%1"/>
      <w:lvlJc w:val="left"/>
      <w:pPr>
        <w:ind w:left="564" w:hanging="396"/>
        <w:jc w:val="left"/>
      </w:pPr>
      <w:rPr>
        <w:rFonts w:ascii="Arial" w:eastAsia="Arial" w:hAnsi="Arial" w:cs="Arial" w:hint="default"/>
        <w:b/>
        <w:bCs/>
        <w:spacing w:val="-5"/>
        <w:w w:val="100"/>
        <w:sz w:val="18"/>
        <w:szCs w:val="18"/>
        <w:lang w:val="en-US" w:eastAsia="en-US" w:bidi="ar-SA"/>
      </w:rPr>
    </w:lvl>
    <w:lvl w:ilvl="1" w:tplc="3D1A63F4">
      <w:numFmt w:val="bullet"/>
      <w:lvlText w:val="•"/>
      <w:lvlJc w:val="left"/>
      <w:pPr>
        <w:ind w:left="1522" w:hanging="396"/>
      </w:pPr>
      <w:rPr>
        <w:rFonts w:hint="default"/>
        <w:lang w:val="en-US" w:eastAsia="en-US" w:bidi="ar-SA"/>
      </w:rPr>
    </w:lvl>
    <w:lvl w:ilvl="2" w:tplc="203E3568">
      <w:numFmt w:val="bullet"/>
      <w:lvlText w:val="•"/>
      <w:lvlJc w:val="left"/>
      <w:pPr>
        <w:ind w:left="2485" w:hanging="396"/>
      </w:pPr>
      <w:rPr>
        <w:rFonts w:hint="default"/>
        <w:lang w:val="en-US" w:eastAsia="en-US" w:bidi="ar-SA"/>
      </w:rPr>
    </w:lvl>
    <w:lvl w:ilvl="3" w:tplc="239EED42">
      <w:numFmt w:val="bullet"/>
      <w:lvlText w:val="•"/>
      <w:lvlJc w:val="left"/>
      <w:pPr>
        <w:ind w:left="3447" w:hanging="396"/>
      </w:pPr>
      <w:rPr>
        <w:rFonts w:hint="default"/>
        <w:lang w:val="en-US" w:eastAsia="en-US" w:bidi="ar-SA"/>
      </w:rPr>
    </w:lvl>
    <w:lvl w:ilvl="4" w:tplc="9B02061C">
      <w:numFmt w:val="bullet"/>
      <w:lvlText w:val="•"/>
      <w:lvlJc w:val="left"/>
      <w:pPr>
        <w:ind w:left="4410" w:hanging="396"/>
      </w:pPr>
      <w:rPr>
        <w:rFonts w:hint="default"/>
        <w:lang w:val="en-US" w:eastAsia="en-US" w:bidi="ar-SA"/>
      </w:rPr>
    </w:lvl>
    <w:lvl w:ilvl="5" w:tplc="BE44AE34">
      <w:numFmt w:val="bullet"/>
      <w:lvlText w:val="•"/>
      <w:lvlJc w:val="left"/>
      <w:pPr>
        <w:ind w:left="5372" w:hanging="396"/>
      </w:pPr>
      <w:rPr>
        <w:rFonts w:hint="default"/>
        <w:lang w:val="en-US" w:eastAsia="en-US" w:bidi="ar-SA"/>
      </w:rPr>
    </w:lvl>
    <w:lvl w:ilvl="6" w:tplc="7BC6E54E">
      <w:numFmt w:val="bullet"/>
      <w:lvlText w:val="•"/>
      <w:lvlJc w:val="left"/>
      <w:pPr>
        <w:ind w:left="6335" w:hanging="396"/>
      </w:pPr>
      <w:rPr>
        <w:rFonts w:hint="default"/>
        <w:lang w:val="en-US" w:eastAsia="en-US" w:bidi="ar-SA"/>
      </w:rPr>
    </w:lvl>
    <w:lvl w:ilvl="7" w:tplc="8EACCBAA">
      <w:numFmt w:val="bullet"/>
      <w:lvlText w:val="•"/>
      <w:lvlJc w:val="left"/>
      <w:pPr>
        <w:ind w:left="7297" w:hanging="396"/>
      </w:pPr>
      <w:rPr>
        <w:rFonts w:hint="default"/>
        <w:lang w:val="en-US" w:eastAsia="en-US" w:bidi="ar-SA"/>
      </w:rPr>
    </w:lvl>
    <w:lvl w:ilvl="8" w:tplc="DD361DA2">
      <w:numFmt w:val="bullet"/>
      <w:lvlText w:val="•"/>
      <w:lvlJc w:val="left"/>
      <w:pPr>
        <w:ind w:left="8260" w:hanging="396"/>
      </w:pPr>
      <w:rPr>
        <w:rFonts w:hint="default"/>
        <w:lang w:val="en-US" w:eastAsia="en-US" w:bidi="ar-SA"/>
      </w:rPr>
    </w:lvl>
  </w:abstractNum>
  <w:abstractNum w:abstractNumId="91" w15:restartNumberingAfterBreak="0">
    <w:nsid w:val="6C6478A6"/>
    <w:multiLevelType w:val="hybridMultilevel"/>
    <w:tmpl w:val="99B2EF10"/>
    <w:lvl w:ilvl="0" w:tplc="E07A46BA">
      <w:start w:val="1"/>
      <w:numFmt w:val="lowerLetter"/>
      <w:lvlText w:val="(%1)"/>
      <w:lvlJc w:val="left"/>
      <w:pPr>
        <w:ind w:left="564" w:hanging="396"/>
        <w:jc w:val="left"/>
      </w:pPr>
      <w:rPr>
        <w:rFonts w:ascii="Arial" w:eastAsia="Arial" w:hAnsi="Arial" w:cs="Arial" w:hint="default"/>
        <w:b/>
        <w:bCs/>
        <w:spacing w:val="-25"/>
        <w:w w:val="100"/>
        <w:sz w:val="18"/>
        <w:szCs w:val="18"/>
        <w:lang w:val="en-US" w:eastAsia="en-US" w:bidi="ar-SA"/>
      </w:rPr>
    </w:lvl>
    <w:lvl w:ilvl="1" w:tplc="D60626C6">
      <w:numFmt w:val="bullet"/>
      <w:lvlText w:val="•"/>
      <w:lvlJc w:val="left"/>
      <w:pPr>
        <w:ind w:left="1522" w:hanging="396"/>
      </w:pPr>
      <w:rPr>
        <w:rFonts w:hint="default"/>
        <w:lang w:val="en-US" w:eastAsia="en-US" w:bidi="ar-SA"/>
      </w:rPr>
    </w:lvl>
    <w:lvl w:ilvl="2" w:tplc="E3D87358">
      <w:numFmt w:val="bullet"/>
      <w:lvlText w:val="•"/>
      <w:lvlJc w:val="left"/>
      <w:pPr>
        <w:ind w:left="2485" w:hanging="396"/>
      </w:pPr>
      <w:rPr>
        <w:rFonts w:hint="default"/>
        <w:lang w:val="en-US" w:eastAsia="en-US" w:bidi="ar-SA"/>
      </w:rPr>
    </w:lvl>
    <w:lvl w:ilvl="3" w:tplc="51B29DEA">
      <w:numFmt w:val="bullet"/>
      <w:lvlText w:val="•"/>
      <w:lvlJc w:val="left"/>
      <w:pPr>
        <w:ind w:left="3447" w:hanging="396"/>
      </w:pPr>
      <w:rPr>
        <w:rFonts w:hint="default"/>
        <w:lang w:val="en-US" w:eastAsia="en-US" w:bidi="ar-SA"/>
      </w:rPr>
    </w:lvl>
    <w:lvl w:ilvl="4" w:tplc="944A634A">
      <w:numFmt w:val="bullet"/>
      <w:lvlText w:val="•"/>
      <w:lvlJc w:val="left"/>
      <w:pPr>
        <w:ind w:left="4410" w:hanging="396"/>
      </w:pPr>
      <w:rPr>
        <w:rFonts w:hint="default"/>
        <w:lang w:val="en-US" w:eastAsia="en-US" w:bidi="ar-SA"/>
      </w:rPr>
    </w:lvl>
    <w:lvl w:ilvl="5" w:tplc="A3E4E250">
      <w:numFmt w:val="bullet"/>
      <w:lvlText w:val="•"/>
      <w:lvlJc w:val="left"/>
      <w:pPr>
        <w:ind w:left="5372" w:hanging="396"/>
      </w:pPr>
      <w:rPr>
        <w:rFonts w:hint="default"/>
        <w:lang w:val="en-US" w:eastAsia="en-US" w:bidi="ar-SA"/>
      </w:rPr>
    </w:lvl>
    <w:lvl w:ilvl="6" w:tplc="C984621C">
      <w:numFmt w:val="bullet"/>
      <w:lvlText w:val="•"/>
      <w:lvlJc w:val="left"/>
      <w:pPr>
        <w:ind w:left="6335" w:hanging="396"/>
      </w:pPr>
      <w:rPr>
        <w:rFonts w:hint="default"/>
        <w:lang w:val="en-US" w:eastAsia="en-US" w:bidi="ar-SA"/>
      </w:rPr>
    </w:lvl>
    <w:lvl w:ilvl="7" w:tplc="2D08F8EC">
      <w:numFmt w:val="bullet"/>
      <w:lvlText w:val="•"/>
      <w:lvlJc w:val="left"/>
      <w:pPr>
        <w:ind w:left="7297" w:hanging="396"/>
      </w:pPr>
      <w:rPr>
        <w:rFonts w:hint="default"/>
        <w:lang w:val="en-US" w:eastAsia="en-US" w:bidi="ar-SA"/>
      </w:rPr>
    </w:lvl>
    <w:lvl w:ilvl="8" w:tplc="3C12CF44">
      <w:numFmt w:val="bullet"/>
      <w:lvlText w:val="•"/>
      <w:lvlJc w:val="left"/>
      <w:pPr>
        <w:ind w:left="8260" w:hanging="396"/>
      </w:pPr>
      <w:rPr>
        <w:rFonts w:hint="default"/>
        <w:lang w:val="en-US" w:eastAsia="en-US" w:bidi="ar-SA"/>
      </w:rPr>
    </w:lvl>
  </w:abstractNum>
  <w:abstractNum w:abstractNumId="92" w15:restartNumberingAfterBreak="0">
    <w:nsid w:val="6DC8643B"/>
    <w:multiLevelType w:val="hybridMultilevel"/>
    <w:tmpl w:val="CF92CBF2"/>
    <w:lvl w:ilvl="0" w:tplc="B26EB004">
      <w:start w:val="10"/>
      <w:numFmt w:val="lowerLetter"/>
      <w:lvlText w:val="(%1)"/>
      <w:lvlJc w:val="left"/>
      <w:pPr>
        <w:ind w:left="1130" w:hanging="567"/>
        <w:jc w:val="left"/>
      </w:pPr>
      <w:rPr>
        <w:rFonts w:ascii="Arial" w:eastAsia="Arial" w:hAnsi="Arial" w:cs="Arial" w:hint="default"/>
        <w:b/>
        <w:bCs/>
        <w:w w:val="100"/>
        <w:sz w:val="18"/>
        <w:szCs w:val="18"/>
        <w:lang w:val="en-US" w:eastAsia="en-US" w:bidi="ar-SA"/>
      </w:rPr>
    </w:lvl>
    <w:lvl w:ilvl="1" w:tplc="FB78B4A4">
      <w:numFmt w:val="bullet"/>
      <w:lvlText w:val="•"/>
      <w:lvlJc w:val="left"/>
      <w:pPr>
        <w:ind w:left="2048" w:hanging="567"/>
      </w:pPr>
      <w:rPr>
        <w:rFonts w:hint="default"/>
        <w:lang w:val="en-US" w:eastAsia="en-US" w:bidi="ar-SA"/>
      </w:rPr>
    </w:lvl>
    <w:lvl w:ilvl="2" w:tplc="A5D6961C">
      <w:numFmt w:val="bullet"/>
      <w:lvlText w:val="•"/>
      <w:lvlJc w:val="left"/>
      <w:pPr>
        <w:ind w:left="2957" w:hanging="567"/>
      </w:pPr>
      <w:rPr>
        <w:rFonts w:hint="default"/>
        <w:lang w:val="en-US" w:eastAsia="en-US" w:bidi="ar-SA"/>
      </w:rPr>
    </w:lvl>
    <w:lvl w:ilvl="3" w:tplc="1C7E9730">
      <w:numFmt w:val="bullet"/>
      <w:lvlText w:val="•"/>
      <w:lvlJc w:val="left"/>
      <w:pPr>
        <w:ind w:left="3865" w:hanging="567"/>
      </w:pPr>
      <w:rPr>
        <w:rFonts w:hint="default"/>
        <w:lang w:val="en-US" w:eastAsia="en-US" w:bidi="ar-SA"/>
      </w:rPr>
    </w:lvl>
    <w:lvl w:ilvl="4" w:tplc="957AF46C">
      <w:numFmt w:val="bullet"/>
      <w:lvlText w:val="•"/>
      <w:lvlJc w:val="left"/>
      <w:pPr>
        <w:ind w:left="4774" w:hanging="567"/>
      </w:pPr>
      <w:rPr>
        <w:rFonts w:hint="default"/>
        <w:lang w:val="en-US" w:eastAsia="en-US" w:bidi="ar-SA"/>
      </w:rPr>
    </w:lvl>
    <w:lvl w:ilvl="5" w:tplc="58B0E43E">
      <w:numFmt w:val="bullet"/>
      <w:lvlText w:val="•"/>
      <w:lvlJc w:val="left"/>
      <w:pPr>
        <w:ind w:left="5682" w:hanging="567"/>
      </w:pPr>
      <w:rPr>
        <w:rFonts w:hint="default"/>
        <w:lang w:val="en-US" w:eastAsia="en-US" w:bidi="ar-SA"/>
      </w:rPr>
    </w:lvl>
    <w:lvl w:ilvl="6" w:tplc="A08805FC">
      <w:numFmt w:val="bullet"/>
      <w:lvlText w:val="•"/>
      <w:lvlJc w:val="left"/>
      <w:pPr>
        <w:ind w:left="6591" w:hanging="567"/>
      </w:pPr>
      <w:rPr>
        <w:rFonts w:hint="default"/>
        <w:lang w:val="en-US" w:eastAsia="en-US" w:bidi="ar-SA"/>
      </w:rPr>
    </w:lvl>
    <w:lvl w:ilvl="7" w:tplc="ED50CF58">
      <w:numFmt w:val="bullet"/>
      <w:lvlText w:val="•"/>
      <w:lvlJc w:val="left"/>
      <w:pPr>
        <w:ind w:left="7499" w:hanging="567"/>
      </w:pPr>
      <w:rPr>
        <w:rFonts w:hint="default"/>
        <w:lang w:val="en-US" w:eastAsia="en-US" w:bidi="ar-SA"/>
      </w:rPr>
    </w:lvl>
    <w:lvl w:ilvl="8" w:tplc="0FA690EA">
      <w:numFmt w:val="bullet"/>
      <w:lvlText w:val="•"/>
      <w:lvlJc w:val="left"/>
      <w:pPr>
        <w:ind w:left="8408" w:hanging="567"/>
      </w:pPr>
      <w:rPr>
        <w:rFonts w:hint="default"/>
        <w:lang w:val="en-US" w:eastAsia="en-US" w:bidi="ar-SA"/>
      </w:rPr>
    </w:lvl>
  </w:abstractNum>
  <w:abstractNum w:abstractNumId="93" w15:restartNumberingAfterBreak="0">
    <w:nsid w:val="6ECE251B"/>
    <w:multiLevelType w:val="hybridMultilevel"/>
    <w:tmpl w:val="5A587D48"/>
    <w:lvl w:ilvl="0" w:tplc="A70E4CEA">
      <w:numFmt w:val="bullet"/>
      <w:lvlText w:val="•"/>
      <w:lvlJc w:val="left"/>
      <w:pPr>
        <w:ind w:left="1197" w:hanging="537"/>
      </w:pPr>
      <w:rPr>
        <w:rFonts w:hint="default"/>
        <w:w w:val="85"/>
        <w:lang w:val="en-US" w:eastAsia="en-US" w:bidi="ar-SA"/>
      </w:rPr>
    </w:lvl>
    <w:lvl w:ilvl="1" w:tplc="002E2F7C">
      <w:numFmt w:val="bullet"/>
      <w:lvlText w:val="•"/>
      <w:lvlJc w:val="left"/>
      <w:pPr>
        <w:ind w:left="2080" w:hanging="537"/>
      </w:pPr>
      <w:rPr>
        <w:rFonts w:hint="default"/>
        <w:lang w:val="en-US" w:eastAsia="en-US" w:bidi="ar-SA"/>
      </w:rPr>
    </w:lvl>
    <w:lvl w:ilvl="2" w:tplc="15526E9C">
      <w:numFmt w:val="bullet"/>
      <w:lvlText w:val="•"/>
      <w:lvlJc w:val="left"/>
      <w:pPr>
        <w:ind w:left="2961" w:hanging="537"/>
      </w:pPr>
      <w:rPr>
        <w:rFonts w:hint="default"/>
        <w:lang w:val="en-US" w:eastAsia="en-US" w:bidi="ar-SA"/>
      </w:rPr>
    </w:lvl>
    <w:lvl w:ilvl="3" w:tplc="C19E78AA">
      <w:numFmt w:val="bullet"/>
      <w:lvlText w:val="•"/>
      <w:lvlJc w:val="left"/>
      <w:pPr>
        <w:ind w:left="3842" w:hanging="537"/>
      </w:pPr>
      <w:rPr>
        <w:rFonts w:hint="default"/>
        <w:lang w:val="en-US" w:eastAsia="en-US" w:bidi="ar-SA"/>
      </w:rPr>
    </w:lvl>
    <w:lvl w:ilvl="4" w:tplc="8AAEA110">
      <w:numFmt w:val="bullet"/>
      <w:lvlText w:val="•"/>
      <w:lvlJc w:val="left"/>
      <w:pPr>
        <w:ind w:left="4723" w:hanging="537"/>
      </w:pPr>
      <w:rPr>
        <w:rFonts w:hint="default"/>
        <w:lang w:val="en-US" w:eastAsia="en-US" w:bidi="ar-SA"/>
      </w:rPr>
    </w:lvl>
    <w:lvl w:ilvl="5" w:tplc="762E2264">
      <w:numFmt w:val="bullet"/>
      <w:lvlText w:val="•"/>
      <w:lvlJc w:val="left"/>
      <w:pPr>
        <w:ind w:left="5604" w:hanging="537"/>
      </w:pPr>
      <w:rPr>
        <w:rFonts w:hint="default"/>
        <w:lang w:val="en-US" w:eastAsia="en-US" w:bidi="ar-SA"/>
      </w:rPr>
    </w:lvl>
    <w:lvl w:ilvl="6" w:tplc="C59C842C">
      <w:numFmt w:val="bullet"/>
      <w:lvlText w:val="•"/>
      <w:lvlJc w:val="left"/>
      <w:pPr>
        <w:ind w:left="6485" w:hanging="537"/>
      </w:pPr>
      <w:rPr>
        <w:rFonts w:hint="default"/>
        <w:lang w:val="en-US" w:eastAsia="en-US" w:bidi="ar-SA"/>
      </w:rPr>
    </w:lvl>
    <w:lvl w:ilvl="7" w:tplc="F9AA8F90">
      <w:numFmt w:val="bullet"/>
      <w:lvlText w:val="•"/>
      <w:lvlJc w:val="left"/>
      <w:pPr>
        <w:ind w:left="7366" w:hanging="537"/>
      </w:pPr>
      <w:rPr>
        <w:rFonts w:hint="default"/>
        <w:lang w:val="en-US" w:eastAsia="en-US" w:bidi="ar-SA"/>
      </w:rPr>
    </w:lvl>
    <w:lvl w:ilvl="8" w:tplc="08BC6916">
      <w:numFmt w:val="bullet"/>
      <w:lvlText w:val="•"/>
      <w:lvlJc w:val="left"/>
      <w:pPr>
        <w:ind w:left="8247" w:hanging="537"/>
      </w:pPr>
      <w:rPr>
        <w:rFonts w:hint="default"/>
        <w:lang w:val="en-US" w:eastAsia="en-US" w:bidi="ar-SA"/>
      </w:rPr>
    </w:lvl>
  </w:abstractNum>
  <w:abstractNum w:abstractNumId="94" w15:restartNumberingAfterBreak="0">
    <w:nsid w:val="6EEF1B67"/>
    <w:multiLevelType w:val="hybridMultilevel"/>
    <w:tmpl w:val="D4DEE79A"/>
    <w:lvl w:ilvl="0" w:tplc="8242874E">
      <w:start w:val="1"/>
      <w:numFmt w:val="lowerLetter"/>
      <w:lvlText w:val="(%1)"/>
      <w:lvlJc w:val="left"/>
      <w:pPr>
        <w:ind w:left="1131" w:hanging="567"/>
        <w:jc w:val="left"/>
      </w:pPr>
      <w:rPr>
        <w:rFonts w:ascii="Arial" w:eastAsia="Arial" w:hAnsi="Arial" w:cs="Arial" w:hint="default"/>
        <w:b/>
        <w:bCs/>
        <w:w w:val="99"/>
        <w:sz w:val="18"/>
        <w:szCs w:val="18"/>
        <w:lang w:val="en-US" w:eastAsia="en-US" w:bidi="ar-SA"/>
      </w:rPr>
    </w:lvl>
    <w:lvl w:ilvl="1" w:tplc="3A3EC278">
      <w:numFmt w:val="bullet"/>
      <w:lvlText w:val="•"/>
      <w:lvlJc w:val="left"/>
      <w:pPr>
        <w:ind w:left="2048" w:hanging="567"/>
      </w:pPr>
      <w:rPr>
        <w:rFonts w:hint="default"/>
        <w:lang w:val="en-US" w:eastAsia="en-US" w:bidi="ar-SA"/>
      </w:rPr>
    </w:lvl>
    <w:lvl w:ilvl="2" w:tplc="274CF1BE">
      <w:numFmt w:val="bullet"/>
      <w:lvlText w:val="•"/>
      <w:lvlJc w:val="left"/>
      <w:pPr>
        <w:ind w:left="2956" w:hanging="567"/>
      </w:pPr>
      <w:rPr>
        <w:rFonts w:hint="default"/>
        <w:lang w:val="en-US" w:eastAsia="en-US" w:bidi="ar-SA"/>
      </w:rPr>
    </w:lvl>
    <w:lvl w:ilvl="3" w:tplc="89109A12">
      <w:numFmt w:val="bullet"/>
      <w:lvlText w:val="•"/>
      <w:lvlJc w:val="left"/>
      <w:pPr>
        <w:ind w:left="3865" w:hanging="567"/>
      </w:pPr>
      <w:rPr>
        <w:rFonts w:hint="default"/>
        <w:lang w:val="en-US" w:eastAsia="en-US" w:bidi="ar-SA"/>
      </w:rPr>
    </w:lvl>
    <w:lvl w:ilvl="4" w:tplc="1BE803E8">
      <w:numFmt w:val="bullet"/>
      <w:lvlText w:val="•"/>
      <w:lvlJc w:val="left"/>
      <w:pPr>
        <w:ind w:left="4773" w:hanging="567"/>
      </w:pPr>
      <w:rPr>
        <w:rFonts w:hint="default"/>
        <w:lang w:val="en-US" w:eastAsia="en-US" w:bidi="ar-SA"/>
      </w:rPr>
    </w:lvl>
    <w:lvl w:ilvl="5" w:tplc="5AC01028">
      <w:numFmt w:val="bullet"/>
      <w:lvlText w:val="•"/>
      <w:lvlJc w:val="left"/>
      <w:pPr>
        <w:ind w:left="5682" w:hanging="567"/>
      </w:pPr>
      <w:rPr>
        <w:rFonts w:hint="default"/>
        <w:lang w:val="en-US" w:eastAsia="en-US" w:bidi="ar-SA"/>
      </w:rPr>
    </w:lvl>
    <w:lvl w:ilvl="6" w:tplc="4DDAF5A4">
      <w:numFmt w:val="bullet"/>
      <w:lvlText w:val="•"/>
      <w:lvlJc w:val="left"/>
      <w:pPr>
        <w:ind w:left="6590" w:hanging="567"/>
      </w:pPr>
      <w:rPr>
        <w:rFonts w:hint="default"/>
        <w:lang w:val="en-US" w:eastAsia="en-US" w:bidi="ar-SA"/>
      </w:rPr>
    </w:lvl>
    <w:lvl w:ilvl="7" w:tplc="4E98A2DA">
      <w:numFmt w:val="bullet"/>
      <w:lvlText w:val="•"/>
      <w:lvlJc w:val="left"/>
      <w:pPr>
        <w:ind w:left="7499" w:hanging="567"/>
      </w:pPr>
      <w:rPr>
        <w:rFonts w:hint="default"/>
        <w:lang w:val="en-US" w:eastAsia="en-US" w:bidi="ar-SA"/>
      </w:rPr>
    </w:lvl>
    <w:lvl w:ilvl="8" w:tplc="FFCE265C">
      <w:numFmt w:val="bullet"/>
      <w:lvlText w:val="•"/>
      <w:lvlJc w:val="left"/>
      <w:pPr>
        <w:ind w:left="8407" w:hanging="567"/>
      </w:pPr>
      <w:rPr>
        <w:rFonts w:hint="default"/>
        <w:lang w:val="en-US" w:eastAsia="en-US" w:bidi="ar-SA"/>
      </w:rPr>
    </w:lvl>
  </w:abstractNum>
  <w:abstractNum w:abstractNumId="95" w15:restartNumberingAfterBreak="0">
    <w:nsid w:val="6F097DED"/>
    <w:multiLevelType w:val="hybridMultilevel"/>
    <w:tmpl w:val="80CA2352"/>
    <w:lvl w:ilvl="0" w:tplc="8C122BF0">
      <w:start w:val="4"/>
      <w:numFmt w:val="lowerLetter"/>
      <w:lvlText w:val="(%1)"/>
      <w:lvlJc w:val="left"/>
      <w:pPr>
        <w:ind w:left="118" w:hanging="267"/>
        <w:jc w:val="left"/>
      </w:pPr>
      <w:rPr>
        <w:rFonts w:hint="default"/>
        <w:spacing w:val="-1"/>
        <w:w w:val="90"/>
        <w:lang w:val="en-US" w:eastAsia="en-US" w:bidi="ar-SA"/>
      </w:rPr>
    </w:lvl>
    <w:lvl w:ilvl="1" w:tplc="105A93CC">
      <w:start w:val="1"/>
      <w:numFmt w:val="lowerRoman"/>
      <w:lvlText w:val="(%2)"/>
      <w:lvlJc w:val="left"/>
      <w:pPr>
        <w:ind w:left="952" w:hanging="387"/>
        <w:jc w:val="left"/>
      </w:pPr>
      <w:rPr>
        <w:rFonts w:hint="default"/>
        <w:spacing w:val="-1"/>
        <w:w w:val="87"/>
        <w:lang w:val="en-US" w:eastAsia="en-US" w:bidi="ar-SA"/>
      </w:rPr>
    </w:lvl>
    <w:lvl w:ilvl="2" w:tplc="8DE4D0F0">
      <w:numFmt w:val="bullet"/>
      <w:lvlText w:val="•"/>
      <w:lvlJc w:val="left"/>
      <w:pPr>
        <w:ind w:left="1978" w:hanging="387"/>
      </w:pPr>
      <w:rPr>
        <w:rFonts w:hint="default"/>
        <w:lang w:val="en-US" w:eastAsia="en-US" w:bidi="ar-SA"/>
      </w:rPr>
    </w:lvl>
    <w:lvl w:ilvl="3" w:tplc="3CE0CDC0">
      <w:numFmt w:val="bullet"/>
      <w:lvlText w:val="•"/>
      <w:lvlJc w:val="left"/>
      <w:pPr>
        <w:ind w:left="2997" w:hanging="387"/>
      </w:pPr>
      <w:rPr>
        <w:rFonts w:hint="default"/>
        <w:lang w:val="en-US" w:eastAsia="en-US" w:bidi="ar-SA"/>
      </w:rPr>
    </w:lvl>
    <w:lvl w:ilvl="4" w:tplc="E3E2F7D4">
      <w:numFmt w:val="bullet"/>
      <w:lvlText w:val="•"/>
      <w:lvlJc w:val="left"/>
      <w:pPr>
        <w:ind w:left="4016" w:hanging="387"/>
      </w:pPr>
      <w:rPr>
        <w:rFonts w:hint="default"/>
        <w:lang w:val="en-US" w:eastAsia="en-US" w:bidi="ar-SA"/>
      </w:rPr>
    </w:lvl>
    <w:lvl w:ilvl="5" w:tplc="2542E14E">
      <w:numFmt w:val="bullet"/>
      <w:lvlText w:val="•"/>
      <w:lvlJc w:val="left"/>
      <w:pPr>
        <w:ind w:left="5035" w:hanging="387"/>
      </w:pPr>
      <w:rPr>
        <w:rFonts w:hint="default"/>
        <w:lang w:val="en-US" w:eastAsia="en-US" w:bidi="ar-SA"/>
      </w:rPr>
    </w:lvl>
    <w:lvl w:ilvl="6" w:tplc="0FEAE914">
      <w:numFmt w:val="bullet"/>
      <w:lvlText w:val="•"/>
      <w:lvlJc w:val="left"/>
      <w:pPr>
        <w:ind w:left="6053" w:hanging="387"/>
      </w:pPr>
      <w:rPr>
        <w:rFonts w:hint="default"/>
        <w:lang w:val="en-US" w:eastAsia="en-US" w:bidi="ar-SA"/>
      </w:rPr>
    </w:lvl>
    <w:lvl w:ilvl="7" w:tplc="2608486A">
      <w:numFmt w:val="bullet"/>
      <w:lvlText w:val="•"/>
      <w:lvlJc w:val="left"/>
      <w:pPr>
        <w:ind w:left="7072" w:hanging="387"/>
      </w:pPr>
      <w:rPr>
        <w:rFonts w:hint="default"/>
        <w:lang w:val="en-US" w:eastAsia="en-US" w:bidi="ar-SA"/>
      </w:rPr>
    </w:lvl>
    <w:lvl w:ilvl="8" w:tplc="6D4679D4">
      <w:numFmt w:val="bullet"/>
      <w:lvlText w:val="•"/>
      <w:lvlJc w:val="left"/>
      <w:pPr>
        <w:ind w:left="8091" w:hanging="387"/>
      </w:pPr>
      <w:rPr>
        <w:rFonts w:hint="default"/>
        <w:lang w:val="en-US" w:eastAsia="en-US" w:bidi="ar-SA"/>
      </w:rPr>
    </w:lvl>
  </w:abstractNum>
  <w:abstractNum w:abstractNumId="96" w15:restartNumberingAfterBreak="0">
    <w:nsid w:val="6FF4446E"/>
    <w:multiLevelType w:val="hybridMultilevel"/>
    <w:tmpl w:val="D8E2EF1C"/>
    <w:lvl w:ilvl="0" w:tplc="C6E2750E">
      <w:start w:val="1"/>
      <w:numFmt w:val="lowerLetter"/>
      <w:lvlText w:val="(%1)"/>
      <w:lvlJc w:val="left"/>
      <w:pPr>
        <w:ind w:left="961" w:hanging="396"/>
        <w:jc w:val="left"/>
      </w:pPr>
      <w:rPr>
        <w:rFonts w:ascii="Arial" w:eastAsia="Arial" w:hAnsi="Arial" w:cs="Arial" w:hint="default"/>
        <w:b/>
        <w:bCs/>
        <w:spacing w:val="-24"/>
        <w:w w:val="100"/>
        <w:sz w:val="18"/>
        <w:szCs w:val="18"/>
        <w:lang w:val="en-US" w:eastAsia="en-US" w:bidi="ar-SA"/>
      </w:rPr>
    </w:lvl>
    <w:lvl w:ilvl="1" w:tplc="F6049950">
      <w:numFmt w:val="bullet"/>
      <w:lvlText w:val="•"/>
      <w:lvlJc w:val="left"/>
      <w:pPr>
        <w:ind w:left="1886" w:hanging="396"/>
      </w:pPr>
      <w:rPr>
        <w:rFonts w:hint="default"/>
        <w:lang w:val="en-US" w:eastAsia="en-US" w:bidi="ar-SA"/>
      </w:rPr>
    </w:lvl>
    <w:lvl w:ilvl="2" w:tplc="184A243A">
      <w:numFmt w:val="bullet"/>
      <w:lvlText w:val="•"/>
      <w:lvlJc w:val="left"/>
      <w:pPr>
        <w:ind w:left="2813" w:hanging="396"/>
      </w:pPr>
      <w:rPr>
        <w:rFonts w:hint="default"/>
        <w:lang w:val="en-US" w:eastAsia="en-US" w:bidi="ar-SA"/>
      </w:rPr>
    </w:lvl>
    <w:lvl w:ilvl="3" w:tplc="3C8AC456">
      <w:numFmt w:val="bullet"/>
      <w:lvlText w:val="•"/>
      <w:lvlJc w:val="left"/>
      <w:pPr>
        <w:ind w:left="3739" w:hanging="396"/>
      </w:pPr>
      <w:rPr>
        <w:rFonts w:hint="default"/>
        <w:lang w:val="en-US" w:eastAsia="en-US" w:bidi="ar-SA"/>
      </w:rPr>
    </w:lvl>
    <w:lvl w:ilvl="4" w:tplc="ADD44D6E">
      <w:numFmt w:val="bullet"/>
      <w:lvlText w:val="•"/>
      <w:lvlJc w:val="left"/>
      <w:pPr>
        <w:ind w:left="4666" w:hanging="396"/>
      </w:pPr>
      <w:rPr>
        <w:rFonts w:hint="default"/>
        <w:lang w:val="en-US" w:eastAsia="en-US" w:bidi="ar-SA"/>
      </w:rPr>
    </w:lvl>
    <w:lvl w:ilvl="5" w:tplc="FECEC266">
      <w:numFmt w:val="bullet"/>
      <w:lvlText w:val="•"/>
      <w:lvlJc w:val="left"/>
      <w:pPr>
        <w:ind w:left="5592" w:hanging="396"/>
      </w:pPr>
      <w:rPr>
        <w:rFonts w:hint="default"/>
        <w:lang w:val="en-US" w:eastAsia="en-US" w:bidi="ar-SA"/>
      </w:rPr>
    </w:lvl>
    <w:lvl w:ilvl="6" w:tplc="601440E0">
      <w:numFmt w:val="bullet"/>
      <w:lvlText w:val="•"/>
      <w:lvlJc w:val="left"/>
      <w:pPr>
        <w:ind w:left="6519" w:hanging="396"/>
      </w:pPr>
      <w:rPr>
        <w:rFonts w:hint="default"/>
        <w:lang w:val="en-US" w:eastAsia="en-US" w:bidi="ar-SA"/>
      </w:rPr>
    </w:lvl>
    <w:lvl w:ilvl="7" w:tplc="4A5AEE34">
      <w:numFmt w:val="bullet"/>
      <w:lvlText w:val="•"/>
      <w:lvlJc w:val="left"/>
      <w:pPr>
        <w:ind w:left="7445" w:hanging="396"/>
      </w:pPr>
      <w:rPr>
        <w:rFonts w:hint="default"/>
        <w:lang w:val="en-US" w:eastAsia="en-US" w:bidi="ar-SA"/>
      </w:rPr>
    </w:lvl>
    <w:lvl w:ilvl="8" w:tplc="DD2675E6">
      <w:numFmt w:val="bullet"/>
      <w:lvlText w:val="•"/>
      <w:lvlJc w:val="left"/>
      <w:pPr>
        <w:ind w:left="8372" w:hanging="396"/>
      </w:pPr>
      <w:rPr>
        <w:rFonts w:hint="default"/>
        <w:lang w:val="en-US" w:eastAsia="en-US" w:bidi="ar-SA"/>
      </w:rPr>
    </w:lvl>
  </w:abstractNum>
  <w:abstractNum w:abstractNumId="97" w15:restartNumberingAfterBreak="0">
    <w:nsid w:val="72085D07"/>
    <w:multiLevelType w:val="hybridMultilevel"/>
    <w:tmpl w:val="5B228792"/>
    <w:lvl w:ilvl="0" w:tplc="76DEA4C8">
      <w:numFmt w:val="bullet"/>
      <w:lvlText w:val="•"/>
      <w:lvlJc w:val="left"/>
      <w:pPr>
        <w:ind w:left="1178" w:hanging="538"/>
      </w:pPr>
      <w:rPr>
        <w:rFonts w:hint="default"/>
        <w:w w:val="71"/>
        <w:lang w:val="en-US" w:eastAsia="en-US" w:bidi="ar-SA"/>
      </w:rPr>
    </w:lvl>
    <w:lvl w:ilvl="1" w:tplc="FB00F1F6">
      <w:numFmt w:val="bullet"/>
      <w:lvlText w:val="•"/>
      <w:lvlJc w:val="left"/>
      <w:pPr>
        <w:ind w:left="2058" w:hanging="538"/>
      </w:pPr>
      <w:rPr>
        <w:rFonts w:hint="default"/>
        <w:lang w:val="en-US" w:eastAsia="en-US" w:bidi="ar-SA"/>
      </w:rPr>
    </w:lvl>
    <w:lvl w:ilvl="2" w:tplc="ED78D598">
      <w:numFmt w:val="bullet"/>
      <w:lvlText w:val="•"/>
      <w:lvlJc w:val="left"/>
      <w:pPr>
        <w:ind w:left="2937" w:hanging="538"/>
      </w:pPr>
      <w:rPr>
        <w:rFonts w:hint="default"/>
        <w:lang w:val="en-US" w:eastAsia="en-US" w:bidi="ar-SA"/>
      </w:rPr>
    </w:lvl>
    <w:lvl w:ilvl="3" w:tplc="D76CED20">
      <w:numFmt w:val="bullet"/>
      <w:lvlText w:val="•"/>
      <w:lvlJc w:val="left"/>
      <w:pPr>
        <w:ind w:left="3816" w:hanging="538"/>
      </w:pPr>
      <w:rPr>
        <w:rFonts w:hint="default"/>
        <w:lang w:val="en-US" w:eastAsia="en-US" w:bidi="ar-SA"/>
      </w:rPr>
    </w:lvl>
    <w:lvl w:ilvl="4" w:tplc="68646464">
      <w:numFmt w:val="bullet"/>
      <w:lvlText w:val="•"/>
      <w:lvlJc w:val="left"/>
      <w:pPr>
        <w:ind w:left="4695" w:hanging="538"/>
      </w:pPr>
      <w:rPr>
        <w:rFonts w:hint="default"/>
        <w:lang w:val="en-US" w:eastAsia="en-US" w:bidi="ar-SA"/>
      </w:rPr>
    </w:lvl>
    <w:lvl w:ilvl="5" w:tplc="B53AEC1C">
      <w:numFmt w:val="bullet"/>
      <w:lvlText w:val="•"/>
      <w:lvlJc w:val="left"/>
      <w:pPr>
        <w:ind w:left="5574" w:hanging="538"/>
      </w:pPr>
      <w:rPr>
        <w:rFonts w:hint="default"/>
        <w:lang w:val="en-US" w:eastAsia="en-US" w:bidi="ar-SA"/>
      </w:rPr>
    </w:lvl>
    <w:lvl w:ilvl="6" w:tplc="70CCE28A">
      <w:numFmt w:val="bullet"/>
      <w:lvlText w:val="•"/>
      <w:lvlJc w:val="left"/>
      <w:pPr>
        <w:ind w:left="6453" w:hanging="538"/>
      </w:pPr>
      <w:rPr>
        <w:rFonts w:hint="default"/>
        <w:lang w:val="en-US" w:eastAsia="en-US" w:bidi="ar-SA"/>
      </w:rPr>
    </w:lvl>
    <w:lvl w:ilvl="7" w:tplc="6F2429C4">
      <w:numFmt w:val="bullet"/>
      <w:lvlText w:val="•"/>
      <w:lvlJc w:val="left"/>
      <w:pPr>
        <w:ind w:left="7332" w:hanging="538"/>
      </w:pPr>
      <w:rPr>
        <w:rFonts w:hint="default"/>
        <w:lang w:val="en-US" w:eastAsia="en-US" w:bidi="ar-SA"/>
      </w:rPr>
    </w:lvl>
    <w:lvl w:ilvl="8" w:tplc="925E9BB2">
      <w:numFmt w:val="bullet"/>
      <w:lvlText w:val="•"/>
      <w:lvlJc w:val="left"/>
      <w:pPr>
        <w:ind w:left="8211" w:hanging="538"/>
      </w:pPr>
      <w:rPr>
        <w:rFonts w:hint="default"/>
        <w:lang w:val="en-US" w:eastAsia="en-US" w:bidi="ar-SA"/>
      </w:rPr>
    </w:lvl>
  </w:abstractNum>
  <w:abstractNum w:abstractNumId="98" w15:restartNumberingAfterBreak="0">
    <w:nsid w:val="7270795D"/>
    <w:multiLevelType w:val="hybridMultilevel"/>
    <w:tmpl w:val="5D3E93D2"/>
    <w:lvl w:ilvl="0" w:tplc="714E2E54">
      <w:start w:val="14"/>
      <w:numFmt w:val="decimal"/>
      <w:lvlText w:val="%1"/>
      <w:lvlJc w:val="left"/>
      <w:pPr>
        <w:ind w:left="564" w:hanging="396"/>
        <w:jc w:val="left"/>
      </w:pPr>
      <w:rPr>
        <w:rFonts w:ascii="Arial" w:eastAsia="Arial" w:hAnsi="Arial" w:cs="Arial" w:hint="default"/>
        <w:b/>
        <w:bCs/>
        <w:spacing w:val="-5"/>
        <w:w w:val="100"/>
        <w:sz w:val="18"/>
        <w:szCs w:val="18"/>
        <w:lang w:val="en-US" w:eastAsia="en-US" w:bidi="ar-SA"/>
      </w:rPr>
    </w:lvl>
    <w:lvl w:ilvl="1" w:tplc="AEF8D484">
      <w:numFmt w:val="bullet"/>
      <w:lvlText w:val="•"/>
      <w:lvlJc w:val="left"/>
      <w:pPr>
        <w:ind w:left="1246" w:hanging="564"/>
      </w:pPr>
      <w:rPr>
        <w:rFonts w:hint="default"/>
        <w:w w:val="81"/>
        <w:lang w:val="en-US" w:eastAsia="en-US" w:bidi="ar-SA"/>
      </w:rPr>
    </w:lvl>
    <w:lvl w:ilvl="2" w:tplc="573E631C">
      <w:numFmt w:val="bullet"/>
      <w:lvlText w:val="•"/>
      <w:lvlJc w:val="left"/>
      <w:pPr>
        <w:ind w:left="1240" w:hanging="564"/>
      </w:pPr>
      <w:rPr>
        <w:rFonts w:hint="default"/>
        <w:lang w:val="en-US" w:eastAsia="en-US" w:bidi="ar-SA"/>
      </w:rPr>
    </w:lvl>
    <w:lvl w:ilvl="3" w:tplc="A288E402">
      <w:numFmt w:val="bullet"/>
      <w:lvlText w:val="•"/>
      <w:lvlJc w:val="left"/>
      <w:pPr>
        <w:ind w:left="1820" w:hanging="564"/>
      </w:pPr>
      <w:rPr>
        <w:rFonts w:hint="default"/>
        <w:lang w:val="en-US" w:eastAsia="en-US" w:bidi="ar-SA"/>
      </w:rPr>
    </w:lvl>
    <w:lvl w:ilvl="4" w:tplc="E252FCA8">
      <w:numFmt w:val="bullet"/>
      <w:lvlText w:val="•"/>
      <w:lvlJc w:val="left"/>
      <w:pPr>
        <w:ind w:left="3015" w:hanging="564"/>
      </w:pPr>
      <w:rPr>
        <w:rFonts w:hint="default"/>
        <w:lang w:val="en-US" w:eastAsia="en-US" w:bidi="ar-SA"/>
      </w:rPr>
    </w:lvl>
    <w:lvl w:ilvl="5" w:tplc="5840FC40">
      <w:numFmt w:val="bullet"/>
      <w:lvlText w:val="•"/>
      <w:lvlJc w:val="left"/>
      <w:pPr>
        <w:ind w:left="4210" w:hanging="564"/>
      </w:pPr>
      <w:rPr>
        <w:rFonts w:hint="default"/>
        <w:lang w:val="en-US" w:eastAsia="en-US" w:bidi="ar-SA"/>
      </w:rPr>
    </w:lvl>
    <w:lvl w:ilvl="6" w:tplc="AE96635A">
      <w:numFmt w:val="bullet"/>
      <w:lvlText w:val="•"/>
      <w:lvlJc w:val="left"/>
      <w:pPr>
        <w:ind w:left="5405" w:hanging="564"/>
      </w:pPr>
      <w:rPr>
        <w:rFonts w:hint="default"/>
        <w:lang w:val="en-US" w:eastAsia="en-US" w:bidi="ar-SA"/>
      </w:rPr>
    </w:lvl>
    <w:lvl w:ilvl="7" w:tplc="0F4A05D6">
      <w:numFmt w:val="bullet"/>
      <w:lvlText w:val="•"/>
      <w:lvlJc w:val="left"/>
      <w:pPr>
        <w:ind w:left="6600" w:hanging="564"/>
      </w:pPr>
      <w:rPr>
        <w:rFonts w:hint="default"/>
        <w:lang w:val="en-US" w:eastAsia="en-US" w:bidi="ar-SA"/>
      </w:rPr>
    </w:lvl>
    <w:lvl w:ilvl="8" w:tplc="2CE4995C">
      <w:numFmt w:val="bullet"/>
      <w:lvlText w:val="•"/>
      <w:lvlJc w:val="left"/>
      <w:pPr>
        <w:ind w:left="7795" w:hanging="564"/>
      </w:pPr>
      <w:rPr>
        <w:rFonts w:hint="default"/>
        <w:lang w:val="en-US" w:eastAsia="en-US" w:bidi="ar-SA"/>
      </w:rPr>
    </w:lvl>
  </w:abstractNum>
  <w:abstractNum w:abstractNumId="99" w15:restartNumberingAfterBreak="0">
    <w:nsid w:val="72D05F1D"/>
    <w:multiLevelType w:val="hybridMultilevel"/>
    <w:tmpl w:val="55422CD8"/>
    <w:lvl w:ilvl="0" w:tplc="BB5AFCB8">
      <w:start w:val="1"/>
      <w:numFmt w:val="decimal"/>
      <w:lvlText w:val="%1."/>
      <w:lvlJc w:val="left"/>
      <w:pPr>
        <w:ind w:left="496" w:hanging="387"/>
        <w:jc w:val="left"/>
      </w:pPr>
      <w:rPr>
        <w:rFonts w:hint="default"/>
        <w:spacing w:val="-1"/>
        <w:w w:val="98"/>
        <w:lang w:val="en-US" w:eastAsia="en-US" w:bidi="ar-SA"/>
      </w:rPr>
    </w:lvl>
    <w:lvl w:ilvl="1" w:tplc="B6265F7C">
      <w:start w:val="1"/>
      <w:numFmt w:val="lowerLetter"/>
      <w:lvlText w:val="%2."/>
      <w:lvlJc w:val="left"/>
      <w:pPr>
        <w:ind w:left="876" w:hanging="374"/>
        <w:jc w:val="left"/>
      </w:pPr>
      <w:rPr>
        <w:rFonts w:hint="default"/>
        <w:spacing w:val="-1"/>
        <w:w w:val="88"/>
        <w:lang w:val="en-US" w:eastAsia="en-US" w:bidi="ar-SA"/>
      </w:rPr>
    </w:lvl>
    <w:lvl w:ilvl="2" w:tplc="88C6BF88">
      <w:numFmt w:val="bullet"/>
      <w:lvlText w:val="•"/>
      <w:lvlJc w:val="left"/>
      <w:pPr>
        <w:ind w:left="1863" w:hanging="374"/>
      </w:pPr>
      <w:rPr>
        <w:rFonts w:hint="default"/>
        <w:lang w:val="en-US" w:eastAsia="en-US" w:bidi="ar-SA"/>
      </w:rPr>
    </w:lvl>
    <w:lvl w:ilvl="3" w:tplc="588A17EA">
      <w:numFmt w:val="bullet"/>
      <w:lvlText w:val="•"/>
      <w:lvlJc w:val="left"/>
      <w:pPr>
        <w:ind w:left="2846" w:hanging="374"/>
      </w:pPr>
      <w:rPr>
        <w:rFonts w:hint="default"/>
        <w:lang w:val="en-US" w:eastAsia="en-US" w:bidi="ar-SA"/>
      </w:rPr>
    </w:lvl>
    <w:lvl w:ilvl="4" w:tplc="F3DAB9BA">
      <w:numFmt w:val="bullet"/>
      <w:lvlText w:val="•"/>
      <w:lvlJc w:val="left"/>
      <w:pPr>
        <w:ind w:left="3829" w:hanging="374"/>
      </w:pPr>
      <w:rPr>
        <w:rFonts w:hint="default"/>
        <w:lang w:val="en-US" w:eastAsia="en-US" w:bidi="ar-SA"/>
      </w:rPr>
    </w:lvl>
    <w:lvl w:ilvl="5" w:tplc="8DF80828">
      <w:numFmt w:val="bullet"/>
      <w:lvlText w:val="•"/>
      <w:lvlJc w:val="left"/>
      <w:pPr>
        <w:ind w:left="4812" w:hanging="374"/>
      </w:pPr>
      <w:rPr>
        <w:rFonts w:hint="default"/>
        <w:lang w:val="en-US" w:eastAsia="en-US" w:bidi="ar-SA"/>
      </w:rPr>
    </w:lvl>
    <w:lvl w:ilvl="6" w:tplc="4DF65E4C">
      <w:numFmt w:val="bullet"/>
      <w:lvlText w:val="•"/>
      <w:lvlJc w:val="left"/>
      <w:pPr>
        <w:ind w:left="5796" w:hanging="374"/>
      </w:pPr>
      <w:rPr>
        <w:rFonts w:hint="default"/>
        <w:lang w:val="en-US" w:eastAsia="en-US" w:bidi="ar-SA"/>
      </w:rPr>
    </w:lvl>
    <w:lvl w:ilvl="7" w:tplc="FFF63A3A">
      <w:numFmt w:val="bullet"/>
      <w:lvlText w:val="•"/>
      <w:lvlJc w:val="left"/>
      <w:pPr>
        <w:ind w:left="6779" w:hanging="374"/>
      </w:pPr>
      <w:rPr>
        <w:rFonts w:hint="default"/>
        <w:lang w:val="en-US" w:eastAsia="en-US" w:bidi="ar-SA"/>
      </w:rPr>
    </w:lvl>
    <w:lvl w:ilvl="8" w:tplc="379245C8">
      <w:numFmt w:val="bullet"/>
      <w:lvlText w:val="•"/>
      <w:lvlJc w:val="left"/>
      <w:pPr>
        <w:ind w:left="7762" w:hanging="374"/>
      </w:pPr>
      <w:rPr>
        <w:rFonts w:hint="default"/>
        <w:lang w:val="en-US" w:eastAsia="en-US" w:bidi="ar-SA"/>
      </w:rPr>
    </w:lvl>
  </w:abstractNum>
  <w:abstractNum w:abstractNumId="100" w15:restartNumberingAfterBreak="0">
    <w:nsid w:val="73914E34"/>
    <w:multiLevelType w:val="hybridMultilevel"/>
    <w:tmpl w:val="DBDE6286"/>
    <w:lvl w:ilvl="0" w:tplc="3776114E">
      <w:start w:val="1"/>
      <w:numFmt w:val="decimal"/>
      <w:lvlText w:val="%1."/>
      <w:lvlJc w:val="left"/>
      <w:pPr>
        <w:ind w:left="524" w:hanging="396"/>
        <w:jc w:val="left"/>
      </w:pPr>
      <w:rPr>
        <w:rFonts w:ascii="Arial" w:eastAsia="Arial" w:hAnsi="Arial" w:cs="Arial" w:hint="default"/>
        <w:spacing w:val="-1"/>
        <w:w w:val="100"/>
        <w:sz w:val="18"/>
        <w:szCs w:val="18"/>
        <w:lang w:val="en-US" w:eastAsia="en-US" w:bidi="ar-SA"/>
      </w:rPr>
    </w:lvl>
    <w:lvl w:ilvl="1" w:tplc="5064789A">
      <w:start w:val="1"/>
      <w:numFmt w:val="lowerLetter"/>
      <w:lvlText w:val="(%2)"/>
      <w:lvlJc w:val="left"/>
      <w:pPr>
        <w:ind w:left="921" w:hanging="398"/>
        <w:jc w:val="left"/>
      </w:pPr>
      <w:rPr>
        <w:rFonts w:ascii="Arial" w:eastAsia="Arial" w:hAnsi="Arial" w:cs="Arial" w:hint="default"/>
        <w:spacing w:val="-23"/>
        <w:w w:val="100"/>
        <w:sz w:val="18"/>
        <w:szCs w:val="18"/>
        <w:lang w:val="en-US" w:eastAsia="en-US" w:bidi="ar-SA"/>
      </w:rPr>
    </w:lvl>
    <w:lvl w:ilvl="2" w:tplc="4FA613E0">
      <w:numFmt w:val="bullet"/>
      <w:lvlText w:val="•"/>
      <w:lvlJc w:val="left"/>
      <w:pPr>
        <w:ind w:left="1945" w:hanging="398"/>
      </w:pPr>
      <w:rPr>
        <w:rFonts w:hint="default"/>
        <w:lang w:val="en-US" w:eastAsia="en-US" w:bidi="ar-SA"/>
      </w:rPr>
    </w:lvl>
    <w:lvl w:ilvl="3" w:tplc="F74CC10E">
      <w:numFmt w:val="bullet"/>
      <w:lvlText w:val="•"/>
      <w:lvlJc w:val="left"/>
      <w:pPr>
        <w:ind w:left="2970" w:hanging="398"/>
      </w:pPr>
      <w:rPr>
        <w:rFonts w:hint="default"/>
        <w:lang w:val="en-US" w:eastAsia="en-US" w:bidi="ar-SA"/>
      </w:rPr>
    </w:lvl>
    <w:lvl w:ilvl="4" w:tplc="B302ECE8">
      <w:numFmt w:val="bullet"/>
      <w:lvlText w:val="•"/>
      <w:lvlJc w:val="left"/>
      <w:pPr>
        <w:ind w:left="3995" w:hanging="398"/>
      </w:pPr>
      <w:rPr>
        <w:rFonts w:hint="default"/>
        <w:lang w:val="en-US" w:eastAsia="en-US" w:bidi="ar-SA"/>
      </w:rPr>
    </w:lvl>
    <w:lvl w:ilvl="5" w:tplc="3B989F9C">
      <w:numFmt w:val="bullet"/>
      <w:lvlText w:val="•"/>
      <w:lvlJc w:val="left"/>
      <w:pPr>
        <w:ind w:left="5020" w:hanging="398"/>
      </w:pPr>
      <w:rPr>
        <w:rFonts w:hint="default"/>
        <w:lang w:val="en-US" w:eastAsia="en-US" w:bidi="ar-SA"/>
      </w:rPr>
    </w:lvl>
    <w:lvl w:ilvl="6" w:tplc="945287E6">
      <w:numFmt w:val="bullet"/>
      <w:lvlText w:val="•"/>
      <w:lvlJc w:val="left"/>
      <w:pPr>
        <w:ind w:left="6045" w:hanging="398"/>
      </w:pPr>
      <w:rPr>
        <w:rFonts w:hint="default"/>
        <w:lang w:val="en-US" w:eastAsia="en-US" w:bidi="ar-SA"/>
      </w:rPr>
    </w:lvl>
    <w:lvl w:ilvl="7" w:tplc="F9C83256">
      <w:numFmt w:val="bullet"/>
      <w:lvlText w:val="•"/>
      <w:lvlJc w:val="left"/>
      <w:pPr>
        <w:ind w:left="7070" w:hanging="398"/>
      </w:pPr>
      <w:rPr>
        <w:rFonts w:hint="default"/>
        <w:lang w:val="en-US" w:eastAsia="en-US" w:bidi="ar-SA"/>
      </w:rPr>
    </w:lvl>
    <w:lvl w:ilvl="8" w:tplc="73F05C44">
      <w:numFmt w:val="bullet"/>
      <w:lvlText w:val="•"/>
      <w:lvlJc w:val="left"/>
      <w:pPr>
        <w:ind w:left="8095" w:hanging="398"/>
      </w:pPr>
      <w:rPr>
        <w:rFonts w:hint="default"/>
        <w:lang w:val="en-US" w:eastAsia="en-US" w:bidi="ar-SA"/>
      </w:rPr>
    </w:lvl>
  </w:abstractNum>
  <w:abstractNum w:abstractNumId="101" w15:restartNumberingAfterBreak="0">
    <w:nsid w:val="750F2056"/>
    <w:multiLevelType w:val="hybridMultilevel"/>
    <w:tmpl w:val="99444B7E"/>
    <w:lvl w:ilvl="0" w:tplc="9724CDA0">
      <w:start w:val="1"/>
      <w:numFmt w:val="lowerLetter"/>
      <w:lvlText w:val="(%1)"/>
      <w:lvlJc w:val="left"/>
      <w:pPr>
        <w:ind w:left="1130" w:hanging="567"/>
        <w:jc w:val="left"/>
      </w:pPr>
      <w:rPr>
        <w:rFonts w:ascii="Arial" w:eastAsia="Arial" w:hAnsi="Arial" w:cs="Arial" w:hint="default"/>
        <w:b/>
        <w:bCs/>
        <w:spacing w:val="-1"/>
        <w:w w:val="100"/>
        <w:sz w:val="18"/>
        <w:szCs w:val="18"/>
        <w:lang w:val="en-US" w:eastAsia="en-US" w:bidi="ar-SA"/>
      </w:rPr>
    </w:lvl>
    <w:lvl w:ilvl="1" w:tplc="EB10431E">
      <w:start w:val="1"/>
      <w:numFmt w:val="lowerRoman"/>
      <w:lvlText w:val="%2."/>
      <w:lvlJc w:val="left"/>
      <w:pPr>
        <w:ind w:left="1280" w:hanging="151"/>
        <w:jc w:val="left"/>
      </w:pPr>
      <w:rPr>
        <w:rFonts w:ascii="Arial" w:eastAsia="Arial" w:hAnsi="Arial" w:cs="Arial" w:hint="default"/>
        <w:b/>
        <w:bCs/>
        <w:spacing w:val="-2"/>
        <w:w w:val="100"/>
        <w:sz w:val="18"/>
        <w:szCs w:val="18"/>
        <w:lang w:val="en-US" w:eastAsia="en-US" w:bidi="ar-SA"/>
      </w:rPr>
    </w:lvl>
    <w:lvl w:ilvl="2" w:tplc="5AB66D0C">
      <w:numFmt w:val="bullet"/>
      <w:lvlText w:val="•"/>
      <w:lvlJc w:val="left"/>
      <w:pPr>
        <w:ind w:left="2269" w:hanging="151"/>
      </w:pPr>
      <w:rPr>
        <w:rFonts w:hint="default"/>
        <w:lang w:val="en-US" w:eastAsia="en-US" w:bidi="ar-SA"/>
      </w:rPr>
    </w:lvl>
    <w:lvl w:ilvl="3" w:tplc="FEEE76CC">
      <w:numFmt w:val="bullet"/>
      <w:lvlText w:val="•"/>
      <w:lvlJc w:val="left"/>
      <w:pPr>
        <w:ind w:left="3259" w:hanging="151"/>
      </w:pPr>
      <w:rPr>
        <w:rFonts w:hint="default"/>
        <w:lang w:val="en-US" w:eastAsia="en-US" w:bidi="ar-SA"/>
      </w:rPr>
    </w:lvl>
    <w:lvl w:ilvl="4" w:tplc="DACC6078">
      <w:numFmt w:val="bullet"/>
      <w:lvlText w:val="•"/>
      <w:lvlJc w:val="left"/>
      <w:pPr>
        <w:ind w:left="4248" w:hanging="151"/>
      </w:pPr>
      <w:rPr>
        <w:rFonts w:hint="default"/>
        <w:lang w:val="en-US" w:eastAsia="en-US" w:bidi="ar-SA"/>
      </w:rPr>
    </w:lvl>
    <w:lvl w:ilvl="5" w:tplc="42A4F086">
      <w:numFmt w:val="bullet"/>
      <w:lvlText w:val="•"/>
      <w:lvlJc w:val="left"/>
      <w:pPr>
        <w:ind w:left="5238" w:hanging="151"/>
      </w:pPr>
      <w:rPr>
        <w:rFonts w:hint="default"/>
        <w:lang w:val="en-US" w:eastAsia="en-US" w:bidi="ar-SA"/>
      </w:rPr>
    </w:lvl>
    <w:lvl w:ilvl="6" w:tplc="00867260">
      <w:numFmt w:val="bullet"/>
      <w:lvlText w:val="•"/>
      <w:lvlJc w:val="left"/>
      <w:pPr>
        <w:ind w:left="6228" w:hanging="151"/>
      </w:pPr>
      <w:rPr>
        <w:rFonts w:hint="default"/>
        <w:lang w:val="en-US" w:eastAsia="en-US" w:bidi="ar-SA"/>
      </w:rPr>
    </w:lvl>
    <w:lvl w:ilvl="7" w:tplc="3580E942">
      <w:numFmt w:val="bullet"/>
      <w:lvlText w:val="•"/>
      <w:lvlJc w:val="left"/>
      <w:pPr>
        <w:ind w:left="7217" w:hanging="151"/>
      </w:pPr>
      <w:rPr>
        <w:rFonts w:hint="default"/>
        <w:lang w:val="en-US" w:eastAsia="en-US" w:bidi="ar-SA"/>
      </w:rPr>
    </w:lvl>
    <w:lvl w:ilvl="8" w:tplc="32F2C1B2">
      <w:numFmt w:val="bullet"/>
      <w:lvlText w:val="•"/>
      <w:lvlJc w:val="left"/>
      <w:pPr>
        <w:ind w:left="8207" w:hanging="151"/>
      </w:pPr>
      <w:rPr>
        <w:rFonts w:hint="default"/>
        <w:lang w:val="en-US" w:eastAsia="en-US" w:bidi="ar-SA"/>
      </w:rPr>
    </w:lvl>
  </w:abstractNum>
  <w:abstractNum w:abstractNumId="102" w15:restartNumberingAfterBreak="0">
    <w:nsid w:val="774D2157"/>
    <w:multiLevelType w:val="hybridMultilevel"/>
    <w:tmpl w:val="84DC8D22"/>
    <w:lvl w:ilvl="0" w:tplc="B5AE6E34">
      <w:start w:val="4"/>
      <w:numFmt w:val="decimal"/>
      <w:lvlText w:val="%1"/>
      <w:lvlJc w:val="left"/>
      <w:pPr>
        <w:ind w:left="445" w:hanging="396"/>
        <w:jc w:val="left"/>
      </w:pPr>
      <w:rPr>
        <w:rFonts w:ascii="Arial" w:eastAsia="Arial" w:hAnsi="Arial" w:cs="Arial" w:hint="default"/>
        <w:b/>
        <w:bCs/>
        <w:w w:val="99"/>
        <w:sz w:val="18"/>
        <w:szCs w:val="18"/>
        <w:lang w:val="en-US" w:eastAsia="en-US" w:bidi="ar-SA"/>
      </w:rPr>
    </w:lvl>
    <w:lvl w:ilvl="1" w:tplc="3C26CF36">
      <w:numFmt w:val="bullet"/>
      <w:lvlText w:val="•"/>
      <w:lvlJc w:val="left"/>
      <w:pPr>
        <w:ind w:left="1151" w:hanging="396"/>
      </w:pPr>
      <w:rPr>
        <w:rFonts w:hint="default"/>
        <w:lang w:val="en-US" w:eastAsia="en-US" w:bidi="ar-SA"/>
      </w:rPr>
    </w:lvl>
    <w:lvl w:ilvl="2" w:tplc="F2DEC9BA">
      <w:numFmt w:val="bullet"/>
      <w:lvlText w:val="•"/>
      <w:lvlJc w:val="left"/>
      <w:pPr>
        <w:ind w:left="1863" w:hanging="396"/>
      </w:pPr>
      <w:rPr>
        <w:rFonts w:hint="default"/>
        <w:lang w:val="en-US" w:eastAsia="en-US" w:bidi="ar-SA"/>
      </w:rPr>
    </w:lvl>
    <w:lvl w:ilvl="3" w:tplc="93662230">
      <w:numFmt w:val="bullet"/>
      <w:lvlText w:val="•"/>
      <w:lvlJc w:val="left"/>
      <w:pPr>
        <w:ind w:left="2574" w:hanging="396"/>
      </w:pPr>
      <w:rPr>
        <w:rFonts w:hint="default"/>
        <w:lang w:val="en-US" w:eastAsia="en-US" w:bidi="ar-SA"/>
      </w:rPr>
    </w:lvl>
    <w:lvl w:ilvl="4" w:tplc="0AF0F89C">
      <w:numFmt w:val="bullet"/>
      <w:lvlText w:val="•"/>
      <w:lvlJc w:val="left"/>
      <w:pPr>
        <w:ind w:left="3286" w:hanging="396"/>
      </w:pPr>
      <w:rPr>
        <w:rFonts w:hint="default"/>
        <w:lang w:val="en-US" w:eastAsia="en-US" w:bidi="ar-SA"/>
      </w:rPr>
    </w:lvl>
    <w:lvl w:ilvl="5" w:tplc="0B64609E">
      <w:numFmt w:val="bullet"/>
      <w:lvlText w:val="•"/>
      <w:lvlJc w:val="left"/>
      <w:pPr>
        <w:ind w:left="3998" w:hanging="396"/>
      </w:pPr>
      <w:rPr>
        <w:rFonts w:hint="default"/>
        <w:lang w:val="en-US" w:eastAsia="en-US" w:bidi="ar-SA"/>
      </w:rPr>
    </w:lvl>
    <w:lvl w:ilvl="6" w:tplc="06CAD68A">
      <w:numFmt w:val="bullet"/>
      <w:lvlText w:val="•"/>
      <w:lvlJc w:val="left"/>
      <w:pPr>
        <w:ind w:left="4709" w:hanging="396"/>
      </w:pPr>
      <w:rPr>
        <w:rFonts w:hint="default"/>
        <w:lang w:val="en-US" w:eastAsia="en-US" w:bidi="ar-SA"/>
      </w:rPr>
    </w:lvl>
    <w:lvl w:ilvl="7" w:tplc="26B0B5FC">
      <w:numFmt w:val="bullet"/>
      <w:lvlText w:val="•"/>
      <w:lvlJc w:val="left"/>
      <w:pPr>
        <w:ind w:left="5421" w:hanging="396"/>
      </w:pPr>
      <w:rPr>
        <w:rFonts w:hint="default"/>
        <w:lang w:val="en-US" w:eastAsia="en-US" w:bidi="ar-SA"/>
      </w:rPr>
    </w:lvl>
    <w:lvl w:ilvl="8" w:tplc="108E8492">
      <w:numFmt w:val="bullet"/>
      <w:lvlText w:val="•"/>
      <w:lvlJc w:val="left"/>
      <w:pPr>
        <w:ind w:left="6132" w:hanging="396"/>
      </w:pPr>
      <w:rPr>
        <w:rFonts w:hint="default"/>
        <w:lang w:val="en-US" w:eastAsia="en-US" w:bidi="ar-SA"/>
      </w:rPr>
    </w:lvl>
  </w:abstractNum>
  <w:abstractNum w:abstractNumId="103" w15:restartNumberingAfterBreak="0">
    <w:nsid w:val="77956C59"/>
    <w:multiLevelType w:val="hybridMultilevel"/>
    <w:tmpl w:val="B1D4BCB6"/>
    <w:lvl w:ilvl="0" w:tplc="3B2C785E">
      <w:start w:val="1"/>
      <w:numFmt w:val="decimal"/>
      <w:lvlText w:val="%1"/>
      <w:lvlJc w:val="left"/>
      <w:pPr>
        <w:ind w:left="564" w:hanging="394"/>
        <w:jc w:val="left"/>
      </w:pPr>
      <w:rPr>
        <w:rFonts w:ascii="Arial" w:eastAsia="Arial" w:hAnsi="Arial" w:cs="Arial" w:hint="default"/>
        <w:b/>
        <w:bCs/>
        <w:spacing w:val="-9"/>
        <w:w w:val="100"/>
        <w:sz w:val="18"/>
        <w:szCs w:val="18"/>
        <w:lang w:val="en-US" w:eastAsia="en-US" w:bidi="ar-SA"/>
      </w:rPr>
    </w:lvl>
    <w:lvl w:ilvl="1" w:tplc="39562272">
      <w:start w:val="1"/>
      <w:numFmt w:val="lowerLetter"/>
      <w:lvlText w:val="(%2)"/>
      <w:lvlJc w:val="left"/>
      <w:pPr>
        <w:ind w:left="1130" w:hanging="567"/>
        <w:jc w:val="left"/>
      </w:pPr>
      <w:rPr>
        <w:rFonts w:ascii="Arial" w:eastAsia="Arial" w:hAnsi="Arial" w:cs="Arial" w:hint="default"/>
        <w:b/>
        <w:bCs/>
        <w:spacing w:val="-11"/>
        <w:w w:val="100"/>
        <w:sz w:val="18"/>
        <w:szCs w:val="18"/>
        <w:lang w:val="en-US" w:eastAsia="en-US" w:bidi="ar-SA"/>
      </w:rPr>
    </w:lvl>
    <w:lvl w:ilvl="2" w:tplc="E16C6958">
      <w:numFmt w:val="bullet"/>
      <w:lvlText w:val="•"/>
      <w:lvlJc w:val="left"/>
      <w:pPr>
        <w:ind w:left="2145" w:hanging="567"/>
      </w:pPr>
      <w:rPr>
        <w:rFonts w:hint="default"/>
        <w:lang w:val="en-US" w:eastAsia="en-US" w:bidi="ar-SA"/>
      </w:rPr>
    </w:lvl>
    <w:lvl w:ilvl="3" w:tplc="C1686146">
      <w:numFmt w:val="bullet"/>
      <w:lvlText w:val="•"/>
      <w:lvlJc w:val="left"/>
      <w:pPr>
        <w:ind w:left="3150" w:hanging="567"/>
      </w:pPr>
      <w:rPr>
        <w:rFonts w:hint="default"/>
        <w:lang w:val="en-US" w:eastAsia="en-US" w:bidi="ar-SA"/>
      </w:rPr>
    </w:lvl>
    <w:lvl w:ilvl="4" w:tplc="324A9742">
      <w:numFmt w:val="bullet"/>
      <w:lvlText w:val="•"/>
      <w:lvlJc w:val="left"/>
      <w:pPr>
        <w:ind w:left="4155" w:hanging="567"/>
      </w:pPr>
      <w:rPr>
        <w:rFonts w:hint="default"/>
        <w:lang w:val="en-US" w:eastAsia="en-US" w:bidi="ar-SA"/>
      </w:rPr>
    </w:lvl>
    <w:lvl w:ilvl="5" w:tplc="4FEC9BCC">
      <w:numFmt w:val="bullet"/>
      <w:lvlText w:val="•"/>
      <w:lvlJc w:val="left"/>
      <w:pPr>
        <w:ind w:left="5160" w:hanging="567"/>
      </w:pPr>
      <w:rPr>
        <w:rFonts w:hint="default"/>
        <w:lang w:val="en-US" w:eastAsia="en-US" w:bidi="ar-SA"/>
      </w:rPr>
    </w:lvl>
    <w:lvl w:ilvl="6" w:tplc="9044088C">
      <w:numFmt w:val="bullet"/>
      <w:lvlText w:val="•"/>
      <w:lvlJc w:val="left"/>
      <w:pPr>
        <w:ind w:left="6165" w:hanging="567"/>
      </w:pPr>
      <w:rPr>
        <w:rFonts w:hint="default"/>
        <w:lang w:val="en-US" w:eastAsia="en-US" w:bidi="ar-SA"/>
      </w:rPr>
    </w:lvl>
    <w:lvl w:ilvl="7" w:tplc="63E00866">
      <w:numFmt w:val="bullet"/>
      <w:lvlText w:val="•"/>
      <w:lvlJc w:val="left"/>
      <w:pPr>
        <w:ind w:left="7170" w:hanging="567"/>
      </w:pPr>
      <w:rPr>
        <w:rFonts w:hint="default"/>
        <w:lang w:val="en-US" w:eastAsia="en-US" w:bidi="ar-SA"/>
      </w:rPr>
    </w:lvl>
    <w:lvl w:ilvl="8" w:tplc="978C5B18">
      <w:numFmt w:val="bullet"/>
      <w:lvlText w:val="•"/>
      <w:lvlJc w:val="left"/>
      <w:pPr>
        <w:ind w:left="8176" w:hanging="567"/>
      </w:pPr>
      <w:rPr>
        <w:rFonts w:hint="default"/>
        <w:lang w:val="en-US" w:eastAsia="en-US" w:bidi="ar-SA"/>
      </w:rPr>
    </w:lvl>
  </w:abstractNum>
  <w:abstractNum w:abstractNumId="104" w15:restartNumberingAfterBreak="0">
    <w:nsid w:val="77BE1695"/>
    <w:multiLevelType w:val="hybridMultilevel"/>
    <w:tmpl w:val="0DE800C2"/>
    <w:lvl w:ilvl="0" w:tplc="5C26A3AE">
      <w:start w:val="2"/>
      <w:numFmt w:val="lowerLetter"/>
      <w:lvlText w:val="(%1)"/>
      <w:lvlJc w:val="left"/>
      <w:pPr>
        <w:ind w:left="504" w:hanging="396"/>
        <w:jc w:val="left"/>
      </w:pPr>
      <w:rPr>
        <w:rFonts w:ascii="Arial" w:eastAsia="Arial" w:hAnsi="Arial" w:cs="Arial" w:hint="default"/>
        <w:b/>
        <w:bCs/>
        <w:spacing w:val="-9"/>
        <w:w w:val="100"/>
        <w:sz w:val="18"/>
        <w:szCs w:val="18"/>
        <w:lang w:val="en-US" w:eastAsia="en-US" w:bidi="ar-SA"/>
      </w:rPr>
    </w:lvl>
    <w:lvl w:ilvl="1" w:tplc="EF8A4948">
      <w:start w:val="1"/>
      <w:numFmt w:val="lowerRoman"/>
      <w:lvlText w:val="(%2)"/>
      <w:lvlJc w:val="left"/>
      <w:pPr>
        <w:ind w:left="722" w:hanging="219"/>
        <w:jc w:val="left"/>
      </w:pPr>
      <w:rPr>
        <w:rFonts w:ascii="Arial" w:eastAsia="Arial" w:hAnsi="Arial" w:cs="Arial" w:hint="default"/>
        <w:b/>
        <w:bCs/>
        <w:i/>
        <w:w w:val="100"/>
        <w:sz w:val="18"/>
        <w:szCs w:val="18"/>
        <w:lang w:val="en-US" w:eastAsia="en-US" w:bidi="ar-SA"/>
      </w:rPr>
    </w:lvl>
    <w:lvl w:ilvl="2" w:tplc="9EBC0E20">
      <w:numFmt w:val="bullet"/>
      <w:lvlText w:val="•"/>
      <w:lvlJc w:val="left"/>
      <w:pPr>
        <w:ind w:left="1767" w:hanging="219"/>
      </w:pPr>
      <w:rPr>
        <w:rFonts w:hint="default"/>
        <w:lang w:val="en-US" w:eastAsia="en-US" w:bidi="ar-SA"/>
      </w:rPr>
    </w:lvl>
    <w:lvl w:ilvl="3" w:tplc="1D5E29D8">
      <w:numFmt w:val="bullet"/>
      <w:lvlText w:val="•"/>
      <w:lvlJc w:val="left"/>
      <w:pPr>
        <w:ind w:left="2814" w:hanging="219"/>
      </w:pPr>
      <w:rPr>
        <w:rFonts w:hint="default"/>
        <w:lang w:val="en-US" w:eastAsia="en-US" w:bidi="ar-SA"/>
      </w:rPr>
    </w:lvl>
    <w:lvl w:ilvl="4" w:tplc="B644D4FA">
      <w:numFmt w:val="bullet"/>
      <w:lvlText w:val="•"/>
      <w:lvlJc w:val="left"/>
      <w:pPr>
        <w:ind w:left="3861" w:hanging="219"/>
      </w:pPr>
      <w:rPr>
        <w:rFonts w:hint="default"/>
        <w:lang w:val="en-US" w:eastAsia="en-US" w:bidi="ar-SA"/>
      </w:rPr>
    </w:lvl>
    <w:lvl w:ilvl="5" w:tplc="27F65CDA">
      <w:numFmt w:val="bullet"/>
      <w:lvlText w:val="•"/>
      <w:lvlJc w:val="left"/>
      <w:pPr>
        <w:ind w:left="4909" w:hanging="219"/>
      </w:pPr>
      <w:rPr>
        <w:rFonts w:hint="default"/>
        <w:lang w:val="en-US" w:eastAsia="en-US" w:bidi="ar-SA"/>
      </w:rPr>
    </w:lvl>
    <w:lvl w:ilvl="6" w:tplc="8220A766">
      <w:numFmt w:val="bullet"/>
      <w:lvlText w:val="•"/>
      <w:lvlJc w:val="left"/>
      <w:pPr>
        <w:ind w:left="5956" w:hanging="219"/>
      </w:pPr>
      <w:rPr>
        <w:rFonts w:hint="default"/>
        <w:lang w:val="en-US" w:eastAsia="en-US" w:bidi="ar-SA"/>
      </w:rPr>
    </w:lvl>
    <w:lvl w:ilvl="7" w:tplc="9E04A5DE">
      <w:numFmt w:val="bullet"/>
      <w:lvlText w:val="•"/>
      <w:lvlJc w:val="left"/>
      <w:pPr>
        <w:ind w:left="7003" w:hanging="219"/>
      </w:pPr>
      <w:rPr>
        <w:rFonts w:hint="default"/>
        <w:lang w:val="en-US" w:eastAsia="en-US" w:bidi="ar-SA"/>
      </w:rPr>
    </w:lvl>
    <w:lvl w:ilvl="8" w:tplc="AB18465C">
      <w:numFmt w:val="bullet"/>
      <w:lvlText w:val="•"/>
      <w:lvlJc w:val="left"/>
      <w:pPr>
        <w:ind w:left="8050" w:hanging="219"/>
      </w:pPr>
      <w:rPr>
        <w:rFonts w:hint="default"/>
        <w:lang w:val="en-US" w:eastAsia="en-US" w:bidi="ar-SA"/>
      </w:rPr>
    </w:lvl>
  </w:abstractNum>
  <w:abstractNum w:abstractNumId="105" w15:restartNumberingAfterBreak="0">
    <w:nsid w:val="79AA46D8"/>
    <w:multiLevelType w:val="hybridMultilevel"/>
    <w:tmpl w:val="0B564E70"/>
    <w:lvl w:ilvl="0" w:tplc="AE16265E">
      <w:start w:val="1"/>
      <w:numFmt w:val="lowerLetter"/>
      <w:lvlText w:val="(%1)"/>
      <w:lvlJc w:val="left"/>
      <w:pPr>
        <w:ind w:left="564" w:hanging="396"/>
        <w:jc w:val="left"/>
      </w:pPr>
      <w:rPr>
        <w:rFonts w:ascii="Arial" w:eastAsia="Arial" w:hAnsi="Arial" w:cs="Arial" w:hint="default"/>
        <w:b/>
        <w:bCs/>
        <w:spacing w:val="-25"/>
        <w:w w:val="100"/>
        <w:sz w:val="18"/>
        <w:szCs w:val="18"/>
        <w:lang w:val="en-US" w:eastAsia="en-US" w:bidi="ar-SA"/>
      </w:rPr>
    </w:lvl>
    <w:lvl w:ilvl="1" w:tplc="54387F18">
      <w:numFmt w:val="bullet"/>
      <w:lvlText w:val="•"/>
      <w:lvlJc w:val="left"/>
      <w:pPr>
        <w:ind w:left="1526" w:hanging="396"/>
      </w:pPr>
      <w:rPr>
        <w:rFonts w:hint="default"/>
        <w:lang w:val="en-US" w:eastAsia="en-US" w:bidi="ar-SA"/>
      </w:rPr>
    </w:lvl>
    <w:lvl w:ilvl="2" w:tplc="42A2A76C">
      <w:numFmt w:val="bullet"/>
      <w:lvlText w:val="•"/>
      <w:lvlJc w:val="left"/>
      <w:pPr>
        <w:ind w:left="2493" w:hanging="396"/>
      </w:pPr>
      <w:rPr>
        <w:rFonts w:hint="default"/>
        <w:lang w:val="en-US" w:eastAsia="en-US" w:bidi="ar-SA"/>
      </w:rPr>
    </w:lvl>
    <w:lvl w:ilvl="3" w:tplc="62F48B44">
      <w:numFmt w:val="bullet"/>
      <w:lvlText w:val="•"/>
      <w:lvlJc w:val="left"/>
      <w:pPr>
        <w:ind w:left="3459" w:hanging="396"/>
      </w:pPr>
      <w:rPr>
        <w:rFonts w:hint="default"/>
        <w:lang w:val="en-US" w:eastAsia="en-US" w:bidi="ar-SA"/>
      </w:rPr>
    </w:lvl>
    <w:lvl w:ilvl="4" w:tplc="46242DDE">
      <w:numFmt w:val="bullet"/>
      <w:lvlText w:val="•"/>
      <w:lvlJc w:val="left"/>
      <w:pPr>
        <w:ind w:left="4426" w:hanging="396"/>
      </w:pPr>
      <w:rPr>
        <w:rFonts w:hint="default"/>
        <w:lang w:val="en-US" w:eastAsia="en-US" w:bidi="ar-SA"/>
      </w:rPr>
    </w:lvl>
    <w:lvl w:ilvl="5" w:tplc="E9F02F7A">
      <w:numFmt w:val="bullet"/>
      <w:lvlText w:val="•"/>
      <w:lvlJc w:val="left"/>
      <w:pPr>
        <w:ind w:left="5392" w:hanging="396"/>
      </w:pPr>
      <w:rPr>
        <w:rFonts w:hint="default"/>
        <w:lang w:val="en-US" w:eastAsia="en-US" w:bidi="ar-SA"/>
      </w:rPr>
    </w:lvl>
    <w:lvl w:ilvl="6" w:tplc="9FFCF550">
      <w:numFmt w:val="bullet"/>
      <w:lvlText w:val="•"/>
      <w:lvlJc w:val="left"/>
      <w:pPr>
        <w:ind w:left="6359" w:hanging="396"/>
      </w:pPr>
      <w:rPr>
        <w:rFonts w:hint="default"/>
        <w:lang w:val="en-US" w:eastAsia="en-US" w:bidi="ar-SA"/>
      </w:rPr>
    </w:lvl>
    <w:lvl w:ilvl="7" w:tplc="873C7686">
      <w:numFmt w:val="bullet"/>
      <w:lvlText w:val="•"/>
      <w:lvlJc w:val="left"/>
      <w:pPr>
        <w:ind w:left="7325" w:hanging="396"/>
      </w:pPr>
      <w:rPr>
        <w:rFonts w:hint="default"/>
        <w:lang w:val="en-US" w:eastAsia="en-US" w:bidi="ar-SA"/>
      </w:rPr>
    </w:lvl>
    <w:lvl w:ilvl="8" w:tplc="57165570">
      <w:numFmt w:val="bullet"/>
      <w:lvlText w:val="•"/>
      <w:lvlJc w:val="left"/>
      <w:pPr>
        <w:ind w:left="8292" w:hanging="396"/>
      </w:pPr>
      <w:rPr>
        <w:rFonts w:hint="default"/>
        <w:lang w:val="en-US" w:eastAsia="en-US" w:bidi="ar-SA"/>
      </w:rPr>
    </w:lvl>
  </w:abstractNum>
  <w:abstractNum w:abstractNumId="106" w15:restartNumberingAfterBreak="0">
    <w:nsid w:val="79F911A5"/>
    <w:multiLevelType w:val="hybridMultilevel"/>
    <w:tmpl w:val="13E0EE8C"/>
    <w:lvl w:ilvl="0" w:tplc="19CE64C2">
      <w:start w:val="1"/>
      <w:numFmt w:val="lowerLetter"/>
      <w:lvlText w:val="(%1)"/>
      <w:lvlJc w:val="left"/>
      <w:pPr>
        <w:ind w:left="1130" w:hanging="567"/>
        <w:jc w:val="left"/>
      </w:pPr>
      <w:rPr>
        <w:rFonts w:ascii="Arial" w:eastAsia="Arial" w:hAnsi="Arial" w:cs="Arial" w:hint="default"/>
        <w:b/>
        <w:bCs/>
        <w:w w:val="99"/>
        <w:sz w:val="18"/>
        <w:szCs w:val="18"/>
        <w:lang w:val="en-US" w:eastAsia="en-US" w:bidi="ar-SA"/>
      </w:rPr>
    </w:lvl>
    <w:lvl w:ilvl="1" w:tplc="E24AC8DC">
      <w:numFmt w:val="bullet"/>
      <w:lvlText w:val="•"/>
      <w:lvlJc w:val="left"/>
      <w:pPr>
        <w:ind w:left="2048" w:hanging="567"/>
      </w:pPr>
      <w:rPr>
        <w:rFonts w:hint="default"/>
        <w:lang w:val="en-US" w:eastAsia="en-US" w:bidi="ar-SA"/>
      </w:rPr>
    </w:lvl>
    <w:lvl w:ilvl="2" w:tplc="34608DF4">
      <w:numFmt w:val="bullet"/>
      <w:lvlText w:val="•"/>
      <w:lvlJc w:val="left"/>
      <w:pPr>
        <w:ind w:left="2956" w:hanging="567"/>
      </w:pPr>
      <w:rPr>
        <w:rFonts w:hint="default"/>
        <w:lang w:val="en-US" w:eastAsia="en-US" w:bidi="ar-SA"/>
      </w:rPr>
    </w:lvl>
    <w:lvl w:ilvl="3" w:tplc="43AC834A">
      <w:numFmt w:val="bullet"/>
      <w:lvlText w:val="•"/>
      <w:lvlJc w:val="left"/>
      <w:pPr>
        <w:ind w:left="3865" w:hanging="567"/>
      </w:pPr>
      <w:rPr>
        <w:rFonts w:hint="default"/>
        <w:lang w:val="en-US" w:eastAsia="en-US" w:bidi="ar-SA"/>
      </w:rPr>
    </w:lvl>
    <w:lvl w:ilvl="4" w:tplc="44AE1ADE">
      <w:numFmt w:val="bullet"/>
      <w:lvlText w:val="•"/>
      <w:lvlJc w:val="left"/>
      <w:pPr>
        <w:ind w:left="4773" w:hanging="567"/>
      </w:pPr>
      <w:rPr>
        <w:rFonts w:hint="default"/>
        <w:lang w:val="en-US" w:eastAsia="en-US" w:bidi="ar-SA"/>
      </w:rPr>
    </w:lvl>
    <w:lvl w:ilvl="5" w:tplc="04127194">
      <w:numFmt w:val="bullet"/>
      <w:lvlText w:val="•"/>
      <w:lvlJc w:val="left"/>
      <w:pPr>
        <w:ind w:left="5682" w:hanging="567"/>
      </w:pPr>
      <w:rPr>
        <w:rFonts w:hint="default"/>
        <w:lang w:val="en-US" w:eastAsia="en-US" w:bidi="ar-SA"/>
      </w:rPr>
    </w:lvl>
    <w:lvl w:ilvl="6" w:tplc="ADEA68C4">
      <w:numFmt w:val="bullet"/>
      <w:lvlText w:val="•"/>
      <w:lvlJc w:val="left"/>
      <w:pPr>
        <w:ind w:left="6590" w:hanging="567"/>
      </w:pPr>
      <w:rPr>
        <w:rFonts w:hint="default"/>
        <w:lang w:val="en-US" w:eastAsia="en-US" w:bidi="ar-SA"/>
      </w:rPr>
    </w:lvl>
    <w:lvl w:ilvl="7" w:tplc="8E76EE14">
      <w:numFmt w:val="bullet"/>
      <w:lvlText w:val="•"/>
      <w:lvlJc w:val="left"/>
      <w:pPr>
        <w:ind w:left="7499" w:hanging="567"/>
      </w:pPr>
      <w:rPr>
        <w:rFonts w:hint="default"/>
        <w:lang w:val="en-US" w:eastAsia="en-US" w:bidi="ar-SA"/>
      </w:rPr>
    </w:lvl>
    <w:lvl w:ilvl="8" w:tplc="198451F6">
      <w:numFmt w:val="bullet"/>
      <w:lvlText w:val="•"/>
      <w:lvlJc w:val="left"/>
      <w:pPr>
        <w:ind w:left="8407" w:hanging="567"/>
      </w:pPr>
      <w:rPr>
        <w:rFonts w:hint="default"/>
        <w:lang w:val="en-US" w:eastAsia="en-US" w:bidi="ar-SA"/>
      </w:rPr>
    </w:lvl>
  </w:abstractNum>
  <w:abstractNum w:abstractNumId="107" w15:restartNumberingAfterBreak="0">
    <w:nsid w:val="7BA1206B"/>
    <w:multiLevelType w:val="hybridMultilevel"/>
    <w:tmpl w:val="C694C8A6"/>
    <w:lvl w:ilvl="0" w:tplc="40B25E26">
      <w:start w:val="28"/>
      <w:numFmt w:val="decimal"/>
      <w:lvlText w:val="%1"/>
      <w:lvlJc w:val="left"/>
      <w:pPr>
        <w:ind w:left="564" w:hanging="396"/>
        <w:jc w:val="left"/>
      </w:pPr>
      <w:rPr>
        <w:rFonts w:ascii="Arial" w:eastAsia="Arial" w:hAnsi="Arial" w:cs="Arial" w:hint="default"/>
        <w:b/>
        <w:bCs/>
        <w:spacing w:val="-9"/>
        <w:w w:val="100"/>
        <w:sz w:val="18"/>
        <w:szCs w:val="18"/>
        <w:lang w:val="en-US" w:eastAsia="en-US" w:bidi="ar-SA"/>
      </w:rPr>
    </w:lvl>
    <w:lvl w:ilvl="1" w:tplc="6286480A">
      <w:numFmt w:val="bullet"/>
      <w:lvlText w:val="•"/>
      <w:lvlJc w:val="left"/>
      <w:pPr>
        <w:ind w:left="1522" w:hanging="396"/>
      </w:pPr>
      <w:rPr>
        <w:rFonts w:hint="default"/>
        <w:lang w:val="en-US" w:eastAsia="en-US" w:bidi="ar-SA"/>
      </w:rPr>
    </w:lvl>
    <w:lvl w:ilvl="2" w:tplc="3404DBEE">
      <w:numFmt w:val="bullet"/>
      <w:lvlText w:val="•"/>
      <w:lvlJc w:val="left"/>
      <w:pPr>
        <w:ind w:left="2485" w:hanging="396"/>
      </w:pPr>
      <w:rPr>
        <w:rFonts w:hint="default"/>
        <w:lang w:val="en-US" w:eastAsia="en-US" w:bidi="ar-SA"/>
      </w:rPr>
    </w:lvl>
    <w:lvl w:ilvl="3" w:tplc="E7681E4C">
      <w:numFmt w:val="bullet"/>
      <w:lvlText w:val="•"/>
      <w:lvlJc w:val="left"/>
      <w:pPr>
        <w:ind w:left="3447" w:hanging="396"/>
      </w:pPr>
      <w:rPr>
        <w:rFonts w:hint="default"/>
        <w:lang w:val="en-US" w:eastAsia="en-US" w:bidi="ar-SA"/>
      </w:rPr>
    </w:lvl>
    <w:lvl w:ilvl="4" w:tplc="CDDA9BE8">
      <w:numFmt w:val="bullet"/>
      <w:lvlText w:val="•"/>
      <w:lvlJc w:val="left"/>
      <w:pPr>
        <w:ind w:left="4410" w:hanging="396"/>
      </w:pPr>
      <w:rPr>
        <w:rFonts w:hint="default"/>
        <w:lang w:val="en-US" w:eastAsia="en-US" w:bidi="ar-SA"/>
      </w:rPr>
    </w:lvl>
    <w:lvl w:ilvl="5" w:tplc="A7E0A872">
      <w:numFmt w:val="bullet"/>
      <w:lvlText w:val="•"/>
      <w:lvlJc w:val="left"/>
      <w:pPr>
        <w:ind w:left="5372" w:hanging="396"/>
      </w:pPr>
      <w:rPr>
        <w:rFonts w:hint="default"/>
        <w:lang w:val="en-US" w:eastAsia="en-US" w:bidi="ar-SA"/>
      </w:rPr>
    </w:lvl>
    <w:lvl w:ilvl="6" w:tplc="8BEEAF94">
      <w:numFmt w:val="bullet"/>
      <w:lvlText w:val="•"/>
      <w:lvlJc w:val="left"/>
      <w:pPr>
        <w:ind w:left="6335" w:hanging="396"/>
      </w:pPr>
      <w:rPr>
        <w:rFonts w:hint="default"/>
        <w:lang w:val="en-US" w:eastAsia="en-US" w:bidi="ar-SA"/>
      </w:rPr>
    </w:lvl>
    <w:lvl w:ilvl="7" w:tplc="62502770">
      <w:numFmt w:val="bullet"/>
      <w:lvlText w:val="•"/>
      <w:lvlJc w:val="left"/>
      <w:pPr>
        <w:ind w:left="7297" w:hanging="396"/>
      </w:pPr>
      <w:rPr>
        <w:rFonts w:hint="default"/>
        <w:lang w:val="en-US" w:eastAsia="en-US" w:bidi="ar-SA"/>
      </w:rPr>
    </w:lvl>
    <w:lvl w:ilvl="8" w:tplc="60E81D48">
      <w:numFmt w:val="bullet"/>
      <w:lvlText w:val="•"/>
      <w:lvlJc w:val="left"/>
      <w:pPr>
        <w:ind w:left="8260" w:hanging="396"/>
      </w:pPr>
      <w:rPr>
        <w:rFonts w:hint="default"/>
        <w:lang w:val="en-US" w:eastAsia="en-US" w:bidi="ar-SA"/>
      </w:rPr>
    </w:lvl>
  </w:abstractNum>
  <w:abstractNum w:abstractNumId="108" w15:restartNumberingAfterBreak="0">
    <w:nsid w:val="7C1E5DB7"/>
    <w:multiLevelType w:val="hybridMultilevel"/>
    <w:tmpl w:val="F6B40A58"/>
    <w:lvl w:ilvl="0" w:tplc="16ECB9EC">
      <w:start w:val="1"/>
      <w:numFmt w:val="lowerLetter"/>
      <w:lvlText w:val="(%1)"/>
      <w:lvlJc w:val="left"/>
      <w:pPr>
        <w:ind w:left="961" w:hanging="396"/>
        <w:jc w:val="left"/>
      </w:pPr>
      <w:rPr>
        <w:rFonts w:ascii="Arial" w:eastAsia="Arial" w:hAnsi="Arial" w:cs="Arial" w:hint="default"/>
        <w:b/>
        <w:bCs/>
        <w:spacing w:val="-24"/>
        <w:w w:val="100"/>
        <w:sz w:val="18"/>
        <w:szCs w:val="18"/>
        <w:lang w:val="en-US" w:eastAsia="en-US" w:bidi="ar-SA"/>
      </w:rPr>
    </w:lvl>
    <w:lvl w:ilvl="1" w:tplc="1CC2AF7E">
      <w:numFmt w:val="bullet"/>
      <w:lvlText w:val="•"/>
      <w:lvlJc w:val="left"/>
      <w:pPr>
        <w:ind w:left="1886" w:hanging="396"/>
      </w:pPr>
      <w:rPr>
        <w:rFonts w:hint="default"/>
        <w:lang w:val="en-US" w:eastAsia="en-US" w:bidi="ar-SA"/>
      </w:rPr>
    </w:lvl>
    <w:lvl w:ilvl="2" w:tplc="EF982D3E">
      <w:numFmt w:val="bullet"/>
      <w:lvlText w:val="•"/>
      <w:lvlJc w:val="left"/>
      <w:pPr>
        <w:ind w:left="2813" w:hanging="396"/>
      </w:pPr>
      <w:rPr>
        <w:rFonts w:hint="default"/>
        <w:lang w:val="en-US" w:eastAsia="en-US" w:bidi="ar-SA"/>
      </w:rPr>
    </w:lvl>
    <w:lvl w:ilvl="3" w:tplc="0CDA44CC">
      <w:numFmt w:val="bullet"/>
      <w:lvlText w:val="•"/>
      <w:lvlJc w:val="left"/>
      <w:pPr>
        <w:ind w:left="3739" w:hanging="396"/>
      </w:pPr>
      <w:rPr>
        <w:rFonts w:hint="default"/>
        <w:lang w:val="en-US" w:eastAsia="en-US" w:bidi="ar-SA"/>
      </w:rPr>
    </w:lvl>
    <w:lvl w:ilvl="4" w:tplc="A9B0354A">
      <w:numFmt w:val="bullet"/>
      <w:lvlText w:val="•"/>
      <w:lvlJc w:val="left"/>
      <w:pPr>
        <w:ind w:left="4666" w:hanging="396"/>
      </w:pPr>
      <w:rPr>
        <w:rFonts w:hint="default"/>
        <w:lang w:val="en-US" w:eastAsia="en-US" w:bidi="ar-SA"/>
      </w:rPr>
    </w:lvl>
    <w:lvl w:ilvl="5" w:tplc="B6EC286C">
      <w:numFmt w:val="bullet"/>
      <w:lvlText w:val="•"/>
      <w:lvlJc w:val="left"/>
      <w:pPr>
        <w:ind w:left="5592" w:hanging="396"/>
      </w:pPr>
      <w:rPr>
        <w:rFonts w:hint="default"/>
        <w:lang w:val="en-US" w:eastAsia="en-US" w:bidi="ar-SA"/>
      </w:rPr>
    </w:lvl>
    <w:lvl w:ilvl="6" w:tplc="2550F836">
      <w:numFmt w:val="bullet"/>
      <w:lvlText w:val="•"/>
      <w:lvlJc w:val="left"/>
      <w:pPr>
        <w:ind w:left="6519" w:hanging="396"/>
      </w:pPr>
      <w:rPr>
        <w:rFonts w:hint="default"/>
        <w:lang w:val="en-US" w:eastAsia="en-US" w:bidi="ar-SA"/>
      </w:rPr>
    </w:lvl>
    <w:lvl w:ilvl="7" w:tplc="E954F95C">
      <w:numFmt w:val="bullet"/>
      <w:lvlText w:val="•"/>
      <w:lvlJc w:val="left"/>
      <w:pPr>
        <w:ind w:left="7445" w:hanging="396"/>
      </w:pPr>
      <w:rPr>
        <w:rFonts w:hint="default"/>
        <w:lang w:val="en-US" w:eastAsia="en-US" w:bidi="ar-SA"/>
      </w:rPr>
    </w:lvl>
    <w:lvl w:ilvl="8" w:tplc="098A3052">
      <w:numFmt w:val="bullet"/>
      <w:lvlText w:val="•"/>
      <w:lvlJc w:val="left"/>
      <w:pPr>
        <w:ind w:left="8372" w:hanging="396"/>
      </w:pPr>
      <w:rPr>
        <w:rFonts w:hint="default"/>
        <w:lang w:val="en-US" w:eastAsia="en-US" w:bidi="ar-SA"/>
      </w:rPr>
    </w:lvl>
  </w:abstractNum>
  <w:abstractNum w:abstractNumId="109" w15:restartNumberingAfterBreak="0">
    <w:nsid w:val="7D155924"/>
    <w:multiLevelType w:val="hybridMultilevel"/>
    <w:tmpl w:val="0AEC3D2A"/>
    <w:lvl w:ilvl="0" w:tplc="E0AA5F12">
      <w:start w:val="1"/>
      <w:numFmt w:val="lowerLetter"/>
      <w:lvlText w:val="(%1)"/>
      <w:lvlJc w:val="left"/>
      <w:pPr>
        <w:ind w:left="564" w:hanging="396"/>
        <w:jc w:val="left"/>
      </w:pPr>
      <w:rPr>
        <w:rFonts w:ascii="Arial" w:eastAsia="Arial" w:hAnsi="Arial" w:cs="Arial" w:hint="default"/>
        <w:b/>
        <w:bCs/>
        <w:spacing w:val="-25"/>
        <w:w w:val="100"/>
        <w:sz w:val="18"/>
        <w:szCs w:val="18"/>
        <w:lang w:val="en-US" w:eastAsia="en-US" w:bidi="ar-SA"/>
      </w:rPr>
    </w:lvl>
    <w:lvl w:ilvl="1" w:tplc="C6BCA2A4">
      <w:numFmt w:val="bullet"/>
      <w:lvlText w:val="•"/>
      <w:lvlJc w:val="left"/>
      <w:pPr>
        <w:ind w:left="1055" w:hanging="396"/>
      </w:pPr>
      <w:rPr>
        <w:rFonts w:hint="default"/>
        <w:lang w:val="en-US" w:eastAsia="en-US" w:bidi="ar-SA"/>
      </w:rPr>
    </w:lvl>
    <w:lvl w:ilvl="2" w:tplc="FC76CC18">
      <w:numFmt w:val="bullet"/>
      <w:lvlText w:val="•"/>
      <w:lvlJc w:val="left"/>
      <w:pPr>
        <w:ind w:left="1551" w:hanging="396"/>
      </w:pPr>
      <w:rPr>
        <w:rFonts w:hint="default"/>
        <w:lang w:val="en-US" w:eastAsia="en-US" w:bidi="ar-SA"/>
      </w:rPr>
    </w:lvl>
    <w:lvl w:ilvl="3" w:tplc="65BAFD6A">
      <w:numFmt w:val="bullet"/>
      <w:lvlText w:val="•"/>
      <w:lvlJc w:val="left"/>
      <w:pPr>
        <w:ind w:left="2047" w:hanging="396"/>
      </w:pPr>
      <w:rPr>
        <w:rFonts w:hint="default"/>
        <w:lang w:val="en-US" w:eastAsia="en-US" w:bidi="ar-SA"/>
      </w:rPr>
    </w:lvl>
    <w:lvl w:ilvl="4" w:tplc="5018FF46">
      <w:numFmt w:val="bullet"/>
      <w:lvlText w:val="•"/>
      <w:lvlJc w:val="left"/>
      <w:pPr>
        <w:ind w:left="2543" w:hanging="396"/>
      </w:pPr>
      <w:rPr>
        <w:rFonts w:hint="default"/>
        <w:lang w:val="en-US" w:eastAsia="en-US" w:bidi="ar-SA"/>
      </w:rPr>
    </w:lvl>
    <w:lvl w:ilvl="5" w:tplc="B90A2CE2">
      <w:numFmt w:val="bullet"/>
      <w:lvlText w:val="•"/>
      <w:lvlJc w:val="left"/>
      <w:pPr>
        <w:ind w:left="3039" w:hanging="396"/>
      </w:pPr>
      <w:rPr>
        <w:rFonts w:hint="default"/>
        <w:lang w:val="en-US" w:eastAsia="en-US" w:bidi="ar-SA"/>
      </w:rPr>
    </w:lvl>
    <w:lvl w:ilvl="6" w:tplc="5726D0BA">
      <w:numFmt w:val="bullet"/>
      <w:lvlText w:val="•"/>
      <w:lvlJc w:val="left"/>
      <w:pPr>
        <w:ind w:left="3535" w:hanging="396"/>
      </w:pPr>
      <w:rPr>
        <w:rFonts w:hint="default"/>
        <w:lang w:val="en-US" w:eastAsia="en-US" w:bidi="ar-SA"/>
      </w:rPr>
    </w:lvl>
    <w:lvl w:ilvl="7" w:tplc="29E818D4">
      <w:numFmt w:val="bullet"/>
      <w:lvlText w:val="•"/>
      <w:lvlJc w:val="left"/>
      <w:pPr>
        <w:ind w:left="4031" w:hanging="396"/>
      </w:pPr>
      <w:rPr>
        <w:rFonts w:hint="default"/>
        <w:lang w:val="en-US" w:eastAsia="en-US" w:bidi="ar-SA"/>
      </w:rPr>
    </w:lvl>
    <w:lvl w:ilvl="8" w:tplc="D9620812">
      <w:numFmt w:val="bullet"/>
      <w:lvlText w:val="•"/>
      <w:lvlJc w:val="left"/>
      <w:pPr>
        <w:ind w:left="4526" w:hanging="396"/>
      </w:pPr>
      <w:rPr>
        <w:rFonts w:hint="default"/>
        <w:lang w:val="en-US" w:eastAsia="en-US" w:bidi="ar-SA"/>
      </w:rPr>
    </w:lvl>
  </w:abstractNum>
  <w:abstractNum w:abstractNumId="110" w15:restartNumberingAfterBreak="0">
    <w:nsid w:val="7F4C6115"/>
    <w:multiLevelType w:val="hybridMultilevel"/>
    <w:tmpl w:val="3A2C3B64"/>
    <w:lvl w:ilvl="0" w:tplc="B8F28BAC">
      <w:numFmt w:val="bullet"/>
      <w:lvlText w:val="-"/>
      <w:lvlJc w:val="left"/>
      <w:pPr>
        <w:ind w:left="564" w:hanging="111"/>
      </w:pPr>
      <w:rPr>
        <w:rFonts w:ascii="Arial" w:eastAsia="Arial" w:hAnsi="Arial" w:cs="Arial" w:hint="default"/>
        <w:w w:val="100"/>
        <w:sz w:val="18"/>
        <w:szCs w:val="18"/>
        <w:lang w:val="en-US" w:eastAsia="en-US" w:bidi="ar-SA"/>
      </w:rPr>
    </w:lvl>
    <w:lvl w:ilvl="1" w:tplc="A74ED728">
      <w:numFmt w:val="bullet"/>
      <w:lvlText w:val="•"/>
      <w:lvlJc w:val="left"/>
      <w:pPr>
        <w:ind w:left="838" w:hanging="111"/>
      </w:pPr>
      <w:rPr>
        <w:rFonts w:hint="default"/>
        <w:lang w:val="en-US" w:eastAsia="en-US" w:bidi="ar-SA"/>
      </w:rPr>
    </w:lvl>
    <w:lvl w:ilvl="2" w:tplc="CC44C7FE">
      <w:numFmt w:val="bullet"/>
      <w:lvlText w:val="•"/>
      <w:lvlJc w:val="left"/>
      <w:pPr>
        <w:ind w:left="1116" w:hanging="111"/>
      </w:pPr>
      <w:rPr>
        <w:rFonts w:hint="default"/>
        <w:lang w:val="en-US" w:eastAsia="en-US" w:bidi="ar-SA"/>
      </w:rPr>
    </w:lvl>
    <w:lvl w:ilvl="3" w:tplc="F1864D90">
      <w:numFmt w:val="bullet"/>
      <w:lvlText w:val="•"/>
      <w:lvlJc w:val="left"/>
      <w:pPr>
        <w:ind w:left="1395" w:hanging="111"/>
      </w:pPr>
      <w:rPr>
        <w:rFonts w:hint="default"/>
        <w:lang w:val="en-US" w:eastAsia="en-US" w:bidi="ar-SA"/>
      </w:rPr>
    </w:lvl>
    <w:lvl w:ilvl="4" w:tplc="2460D934">
      <w:numFmt w:val="bullet"/>
      <w:lvlText w:val="•"/>
      <w:lvlJc w:val="left"/>
      <w:pPr>
        <w:ind w:left="1673" w:hanging="111"/>
      </w:pPr>
      <w:rPr>
        <w:rFonts w:hint="default"/>
        <w:lang w:val="en-US" w:eastAsia="en-US" w:bidi="ar-SA"/>
      </w:rPr>
    </w:lvl>
    <w:lvl w:ilvl="5" w:tplc="25C8B956">
      <w:numFmt w:val="bullet"/>
      <w:lvlText w:val="•"/>
      <w:lvlJc w:val="left"/>
      <w:pPr>
        <w:ind w:left="1951" w:hanging="111"/>
      </w:pPr>
      <w:rPr>
        <w:rFonts w:hint="default"/>
        <w:lang w:val="en-US" w:eastAsia="en-US" w:bidi="ar-SA"/>
      </w:rPr>
    </w:lvl>
    <w:lvl w:ilvl="6" w:tplc="97089604">
      <w:numFmt w:val="bullet"/>
      <w:lvlText w:val="•"/>
      <w:lvlJc w:val="left"/>
      <w:pPr>
        <w:ind w:left="2230" w:hanging="111"/>
      </w:pPr>
      <w:rPr>
        <w:rFonts w:hint="default"/>
        <w:lang w:val="en-US" w:eastAsia="en-US" w:bidi="ar-SA"/>
      </w:rPr>
    </w:lvl>
    <w:lvl w:ilvl="7" w:tplc="85C0B28E">
      <w:numFmt w:val="bullet"/>
      <w:lvlText w:val="•"/>
      <w:lvlJc w:val="left"/>
      <w:pPr>
        <w:ind w:left="2508" w:hanging="111"/>
      </w:pPr>
      <w:rPr>
        <w:rFonts w:hint="default"/>
        <w:lang w:val="en-US" w:eastAsia="en-US" w:bidi="ar-SA"/>
      </w:rPr>
    </w:lvl>
    <w:lvl w:ilvl="8" w:tplc="A3A0CC50">
      <w:numFmt w:val="bullet"/>
      <w:lvlText w:val="•"/>
      <w:lvlJc w:val="left"/>
      <w:pPr>
        <w:ind w:left="2786" w:hanging="111"/>
      </w:pPr>
      <w:rPr>
        <w:rFonts w:hint="default"/>
        <w:lang w:val="en-US" w:eastAsia="en-US" w:bidi="ar-SA"/>
      </w:rPr>
    </w:lvl>
  </w:abstractNum>
  <w:abstractNum w:abstractNumId="111" w15:restartNumberingAfterBreak="0">
    <w:nsid w:val="7F703BAC"/>
    <w:multiLevelType w:val="hybridMultilevel"/>
    <w:tmpl w:val="EA9278D0"/>
    <w:lvl w:ilvl="0" w:tplc="49F6C9C8">
      <w:start w:val="1"/>
      <w:numFmt w:val="lowerRoman"/>
      <w:lvlText w:val="(%1)"/>
      <w:lvlJc w:val="left"/>
      <w:pPr>
        <w:ind w:left="1130" w:hanging="567"/>
        <w:jc w:val="left"/>
      </w:pPr>
      <w:rPr>
        <w:rFonts w:ascii="Arial" w:eastAsia="Arial" w:hAnsi="Arial" w:cs="Arial" w:hint="default"/>
        <w:b/>
        <w:bCs/>
        <w:w w:val="100"/>
        <w:sz w:val="18"/>
        <w:szCs w:val="18"/>
        <w:lang w:val="en-US" w:eastAsia="en-US" w:bidi="ar-SA"/>
      </w:rPr>
    </w:lvl>
    <w:lvl w:ilvl="1" w:tplc="91A034F8">
      <w:numFmt w:val="bullet"/>
      <w:lvlText w:val="•"/>
      <w:lvlJc w:val="left"/>
      <w:pPr>
        <w:ind w:left="2048" w:hanging="567"/>
      </w:pPr>
      <w:rPr>
        <w:rFonts w:hint="default"/>
        <w:lang w:val="en-US" w:eastAsia="en-US" w:bidi="ar-SA"/>
      </w:rPr>
    </w:lvl>
    <w:lvl w:ilvl="2" w:tplc="952656A4">
      <w:numFmt w:val="bullet"/>
      <w:lvlText w:val="•"/>
      <w:lvlJc w:val="left"/>
      <w:pPr>
        <w:ind w:left="2957" w:hanging="567"/>
      </w:pPr>
      <w:rPr>
        <w:rFonts w:hint="default"/>
        <w:lang w:val="en-US" w:eastAsia="en-US" w:bidi="ar-SA"/>
      </w:rPr>
    </w:lvl>
    <w:lvl w:ilvl="3" w:tplc="5C1E558C">
      <w:numFmt w:val="bullet"/>
      <w:lvlText w:val="•"/>
      <w:lvlJc w:val="left"/>
      <w:pPr>
        <w:ind w:left="3865" w:hanging="567"/>
      </w:pPr>
      <w:rPr>
        <w:rFonts w:hint="default"/>
        <w:lang w:val="en-US" w:eastAsia="en-US" w:bidi="ar-SA"/>
      </w:rPr>
    </w:lvl>
    <w:lvl w:ilvl="4" w:tplc="41C80E50">
      <w:numFmt w:val="bullet"/>
      <w:lvlText w:val="•"/>
      <w:lvlJc w:val="left"/>
      <w:pPr>
        <w:ind w:left="4774" w:hanging="567"/>
      </w:pPr>
      <w:rPr>
        <w:rFonts w:hint="default"/>
        <w:lang w:val="en-US" w:eastAsia="en-US" w:bidi="ar-SA"/>
      </w:rPr>
    </w:lvl>
    <w:lvl w:ilvl="5" w:tplc="8668A860">
      <w:numFmt w:val="bullet"/>
      <w:lvlText w:val="•"/>
      <w:lvlJc w:val="left"/>
      <w:pPr>
        <w:ind w:left="5682" w:hanging="567"/>
      </w:pPr>
      <w:rPr>
        <w:rFonts w:hint="default"/>
        <w:lang w:val="en-US" w:eastAsia="en-US" w:bidi="ar-SA"/>
      </w:rPr>
    </w:lvl>
    <w:lvl w:ilvl="6" w:tplc="D9B6DC54">
      <w:numFmt w:val="bullet"/>
      <w:lvlText w:val="•"/>
      <w:lvlJc w:val="left"/>
      <w:pPr>
        <w:ind w:left="6591" w:hanging="567"/>
      </w:pPr>
      <w:rPr>
        <w:rFonts w:hint="default"/>
        <w:lang w:val="en-US" w:eastAsia="en-US" w:bidi="ar-SA"/>
      </w:rPr>
    </w:lvl>
    <w:lvl w:ilvl="7" w:tplc="1CC40756">
      <w:numFmt w:val="bullet"/>
      <w:lvlText w:val="•"/>
      <w:lvlJc w:val="left"/>
      <w:pPr>
        <w:ind w:left="7499" w:hanging="567"/>
      </w:pPr>
      <w:rPr>
        <w:rFonts w:hint="default"/>
        <w:lang w:val="en-US" w:eastAsia="en-US" w:bidi="ar-SA"/>
      </w:rPr>
    </w:lvl>
    <w:lvl w:ilvl="8" w:tplc="F1584448">
      <w:numFmt w:val="bullet"/>
      <w:lvlText w:val="•"/>
      <w:lvlJc w:val="left"/>
      <w:pPr>
        <w:ind w:left="8408" w:hanging="567"/>
      </w:pPr>
      <w:rPr>
        <w:rFonts w:hint="default"/>
        <w:lang w:val="en-US" w:eastAsia="en-US" w:bidi="ar-SA"/>
      </w:rPr>
    </w:lvl>
  </w:abstractNum>
  <w:num w:numId="1">
    <w:abstractNumId w:val="32"/>
  </w:num>
  <w:num w:numId="2">
    <w:abstractNumId w:val="101"/>
  </w:num>
  <w:num w:numId="3">
    <w:abstractNumId w:val="30"/>
  </w:num>
  <w:num w:numId="4">
    <w:abstractNumId w:val="94"/>
  </w:num>
  <w:num w:numId="5">
    <w:abstractNumId w:val="106"/>
  </w:num>
  <w:num w:numId="6">
    <w:abstractNumId w:val="69"/>
  </w:num>
  <w:num w:numId="7">
    <w:abstractNumId w:val="43"/>
  </w:num>
  <w:num w:numId="8">
    <w:abstractNumId w:val="4"/>
  </w:num>
  <w:num w:numId="9">
    <w:abstractNumId w:val="68"/>
  </w:num>
  <w:num w:numId="10">
    <w:abstractNumId w:val="27"/>
  </w:num>
  <w:num w:numId="11">
    <w:abstractNumId w:val="26"/>
  </w:num>
  <w:num w:numId="12">
    <w:abstractNumId w:val="35"/>
  </w:num>
  <w:num w:numId="13">
    <w:abstractNumId w:val="0"/>
  </w:num>
  <w:num w:numId="14">
    <w:abstractNumId w:val="111"/>
  </w:num>
  <w:num w:numId="15">
    <w:abstractNumId w:val="2"/>
  </w:num>
  <w:num w:numId="16">
    <w:abstractNumId w:val="19"/>
  </w:num>
  <w:num w:numId="17">
    <w:abstractNumId w:val="47"/>
  </w:num>
  <w:num w:numId="18">
    <w:abstractNumId w:val="60"/>
  </w:num>
  <w:num w:numId="19">
    <w:abstractNumId w:val="64"/>
  </w:num>
  <w:num w:numId="20">
    <w:abstractNumId w:val="37"/>
  </w:num>
  <w:num w:numId="21">
    <w:abstractNumId w:val="7"/>
  </w:num>
  <w:num w:numId="22">
    <w:abstractNumId w:val="103"/>
  </w:num>
  <w:num w:numId="23">
    <w:abstractNumId w:val="23"/>
  </w:num>
  <w:num w:numId="24">
    <w:abstractNumId w:val="99"/>
  </w:num>
  <w:num w:numId="25">
    <w:abstractNumId w:val="40"/>
  </w:num>
  <w:num w:numId="26">
    <w:abstractNumId w:val="66"/>
  </w:num>
  <w:num w:numId="27">
    <w:abstractNumId w:val="38"/>
  </w:num>
  <w:num w:numId="28">
    <w:abstractNumId w:val="45"/>
  </w:num>
  <w:num w:numId="29">
    <w:abstractNumId w:val="54"/>
  </w:num>
  <w:num w:numId="30">
    <w:abstractNumId w:val="20"/>
  </w:num>
  <w:num w:numId="31">
    <w:abstractNumId w:val="51"/>
  </w:num>
  <w:num w:numId="32">
    <w:abstractNumId w:val="39"/>
  </w:num>
  <w:num w:numId="33">
    <w:abstractNumId w:val="97"/>
  </w:num>
  <w:num w:numId="34">
    <w:abstractNumId w:val="41"/>
  </w:num>
  <w:num w:numId="35">
    <w:abstractNumId w:val="77"/>
  </w:num>
  <w:num w:numId="36">
    <w:abstractNumId w:val="102"/>
  </w:num>
  <w:num w:numId="37">
    <w:abstractNumId w:val="36"/>
  </w:num>
  <w:num w:numId="38">
    <w:abstractNumId w:val="10"/>
  </w:num>
  <w:num w:numId="39">
    <w:abstractNumId w:val="59"/>
  </w:num>
  <w:num w:numId="40">
    <w:abstractNumId w:val="93"/>
  </w:num>
  <w:num w:numId="41">
    <w:abstractNumId w:val="87"/>
  </w:num>
  <w:num w:numId="42">
    <w:abstractNumId w:val="53"/>
  </w:num>
  <w:num w:numId="43">
    <w:abstractNumId w:val="22"/>
  </w:num>
  <w:num w:numId="44">
    <w:abstractNumId w:val="98"/>
  </w:num>
  <w:num w:numId="45">
    <w:abstractNumId w:val="84"/>
  </w:num>
  <w:num w:numId="46">
    <w:abstractNumId w:val="88"/>
  </w:num>
  <w:num w:numId="47">
    <w:abstractNumId w:val="65"/>
  </w:num>
  <w:num w:numId="48">
    <w:abstractNumId w:val="24"/>
  </w:num>
  <w:num w:numId="49">
    <w:abstractNumId w:val="44"/>
  </w:num>
  <w:num w:numId="50">
    <w:abstractNumId w:val="82"/>
  </w:num>
  <w:num w:numId="51">
    <w:abstractNumId w:val="8"/>
  </w:num>
  <w:num w:numId="52">
    <w:abstractNumId w:val="72"/>
  </w:num>
  <w:num w:numId="53">
    <w:abstractNumId w:val="80"/>
  </w:num>
  <w:num w:numId="54">
    <w:abstractNumId w:val="1"/>
  </w:num>
  <w:num w:numId="55">
    <w:abstractNumId w:val="3"/>
  </w:num>
  <w:num w:numId="56">
    <w:abstractNumId w:val="15"/>
  </w:num>
  <w:num w:numId="57">
    <w:abstractNumId w:val="18"/>
  </w:num>
  <w:num w:numId="58">
    <w:abstractNumId w:val="48"/>
  </w:num>
  <w:num w:numId="59">
    <w:abstractNumId w:val="46"/>
  </w:num>
  <w:num w:numId="60">
    <w:abstractNumId w:val="61"/>
  </w:num>
  <w:num w:numId="61">
    <w:abstractNumId w:val="67"/>
  </w:num>
  <w:num w:numId="62">
    <w:abstractNumId w:val="62"/>
  </w:num>
  <w:num w:numId="63">
    <w:abstractNumId w:val="58"/>
  </w:num>
  <w:num w:numId="64">
    <w:abstractNumId w:val="63"/>
  </w:num>
  <w:num w:numId="65">
    <w:abstractNumId w:val="108"/>
  </w:num>
  <w:num w:numId="66">
    <w:abstractNumId w:val="6"/>
  </w:num>
  <w:num w:numId="67">
    <w:abstractNumId w:val="96"/>
  </w:num>
  <w:num w:numId="68">
    <w:abstractNumId w:val="52"/>
  </w:num>
  <w:num w:numId="69">
    <w:abstractNumId w:val="100"/>
  </w:num>
  <w:num w:numId="70">
    <w:abstractNumId w:val="25"/>
  </w:num>
  <w:num w:numId="71">
    <w:abstractNumId w:val="70"/>
  </w:num>
  <w:num w:numId="72">
    <w:abstractNumId w:val="76"/>
  </w:num>
  <w:num w:numId="73">
    <w:abstractNumId w:val="73"/>
  </w:num>
  <w:num w:numId="74">
    <w:abstractNumId w:val="9"/>
  </w:num>
  <w:num w:numId="75">
    <w:abstractNumId w:val="109"/>
  </w:num>
  <w:num w:numId="76">
    <w:abstractNumId w:val="89"/>
  </w:num>
  <w:num w:numId="77">
    <w:abstractNumId w:val="16"/>
  </w:num>
  <w:num w:numId="78">
    <w:abstractNumId w:val="5"/>
  </w:num>
  <w:num w:numId="79">
    <w:abstractNumId w:val="104"/>
  </w:num>
  <w:num w:numId="80">
    <w:abstractNumId w:val="85"/>
  </w:num>
  <w:num w:numId="81">
    <w:abstractNumId w:val="21"/>
  </w:num>
  <w:num w:numId="82">
    <w:abstractNumId w:val="56"/>
  </w:num>
  <w:num w:numId="83">
    <w:abstractNumId w:val="74"/>
  </w:num>
  <w:num w:numId="84">
    <w:abstractNumId w:val="11"/>
  </w:num>
  <w:num w:numId="85">
    <w:abstractNumId w:val="33"/>
  </w:num>
  <w:num w:numId="86">
    <w:abstractNumId w:val="55"/>
  </w:num>
  <w:num w:numId="87">
    <w:abstractNumId w:val="12"/>
  </w:num>
  <w:num w:numId="88">
    <w:abstractNumId w:val="91"/>
  </w:num>
  <w:num w:numId="89">
    <w:abstractNumId w:val="110"/>
  </w:num>
  <w:num w:numId="90">
    <w:abstractNumId w:val="71"/>
  </w:num>
  <w:num w:numId="91">
    <w:abstractNumId w:val="107"/>
  </w:num>
  <w:num w:numId="92">
    <w:abstractNumId w:val="78"/>
  </w:num>
  <w:num w:numId="93">
    <w:abstractNumId w:val="42"/>
  </w:num>
  <w:num w:numId="94">
    <w:abstractNumId w:val="28"/>
  </w:num>
  <w:num w:numId="95">
    <w:abstractNumId w:val="90"/>
  </w:num>
  <w:num w:numId="96">
    <w:abstractNumId w:val="17"/>
  </w:num>
  <w:num w:numId="97">
    <w:abstractNumId w:val="75"/>
  </w:num>
  <w:num w:numId="98">
    <w:abstractNumId w:val="79"/>
  </w:num>
  <w:num w:numId="99">
    <w:abstractNumId w:val="14"/>
  </w:num>
  <w:num w:numId="100">
    <w:abstractNumId w:val="31"/>
  </w:num>
  <w:num w:numId="101">
    <w:abstractNumId w:val="57"/>
  </w:num>
  <w:num w:numId="102">
    <w:abstractNumId w:val="49"/>
  </w:num>
  <w:num w:numId="103">
    <w:abstractNumId w:val="81"/>
  </w:num>
  <w:num w:numId="104">
    <w:abstractNumId w:val="105"/>
  </w:num>
  <w:num w:numId="105">
    <w:abstractNumId w:val="29"/>
  </w:num>
  <w:num w:numId="106">
    <w:abstractNumId w:val="50"/>
  </w:num>
  <w:num w:numId="107">
    <w:abstractNumId w:val="13"/>
  </w:num>
  <w:num w:numId="108">
    <w:abstractNumId w:val="92"/>
  </w:num>
  <w:num w:numId="109">
    <w:abstractNumId w:val="86"/>
  </w:num>
  <w:num w:numId="110">
    <w:abstractNumId w:val="83"/>
  </w:num>
  <w:num w:numId="111">
    <w:abstractNumId w:val="95"/>
  </w:num>
  <w:num w:numId="112">
    <w:abstractNumId w:val="34"/>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4AA8"/>
    <w:rsid w:val="00006952"/>
    <w:rsid w:val="0015611F"/>
    <w:rsid w:val="001F3ACE"/>
    <w:rsid w:val="00237529"/>
    <w:rsid w:val="00397774"/>
    <w:rsid w:val="00444D3A"/>
    <w:rsid w:val="004942DB"/>
    <w:rsid w:val="00596FA7"/>
    <w:rsid w:val="005C5977"/>
    <w:rsid w:val="006B4CA9"/>
    <w:rsid w:val="006C5E68"/>
    <w:rsid w:val="00733831"/>
    <w:rsid w:val="007719AF"/>
    <w:rsid w:val="007911D2"/>
    <w:rsid w:val="007E2441"/>
    <w:rsid w:val="009C3740"/>
    <w:rsid w:val="00A74DE7"/>
    <w:rsid w:val="00B91BBE"/>
    <w:rsid w:val="00BD3B1F"/>
    <w:rsid w:val="00E81E59"/>
    <w:rsid w:val="00F33A7B"/>
    <w:rsid w:val="00FA26A8"/>
    <w:rsid w:val="00FA4A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D0004A"/>
  <w15:docId w15:val="{A31E309E-B703-4DE6-94B3-FD910C708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en-GB"/>
    </w:rPr>
  </w:style>
  <w:style w:type="paragraph" w:styleId="Heading1">
    <w:name w:val="heading 1"/>
    <w:basedOn w:val="Normal"/>
    <w:uiPriority w:val="1"/>
    <w:qFormat/>
    <w:pPr>
      <w:spacing w:before="82"/>
      <w:ind w:left="107"/>
      <w:outlineLvl w:val="0"/>
    </w:pPr>
    <w:rPr>
      <w:b/>
      <w:bCs/>
      <w:sz w:val="56"/>
      <w:szCs w:val="56"/>
    </w:rPr>
  </w:style>
  <w:style w:type="paragraph" w:styleId="Heading2">
    <w:name w:val="heading 2"/>
    <w:basedOn w:val="Normal"/>
    <w:uiPriority w:val="1"/>
    <w:qFormat/>
    <w:pPr>
      <w:spacing w:before="91"/>
      <w:ind w:left="167"/>
      <w:outlineLvl w:val="1"/>
    </w:pPr>
    <w:rPr>
      <w:b/>
      <w:bCs/>
      <w:sz w:val="28"/>
      <w:szCs w:val="28"/>
    </w:rPr>
  </w:style>
  <w:style w:type="paragraph" w:styleId="Heading3">
    <w:name w:val="heading 3"/>
    <w:basedOn w:val="Normal"/>
    <w:uiPriority w:val="1"/>
    <w:qFormat/>
    <w:pPr>
      <w:spacing w:before="92"/>
      <w:ind w:left="105"/>
      <w:outlineLvl w:val="2"/>
    </w:pPr>
    <w:rPr>
      <w:b/>
      <w:bCs/>
      <w:sz w:val="27"/>
      <w:szCs w:val="27"/>
    </w:rPr>
  </w:style>
  <w:style w:type="paragraph" w:styleId="Heading4">
    <w:name w:val="heading 4"/>
    <w:basedOn w:val="Normal"/>
    <w:uiPriority w:val="1"/>
    <w:qFormat/>
    <w:pPr>
      <w:spacing w:before="143"/>
      <w:ind w:left="167"/>
      <w:outlineLvl w:val="3"/>
    </w:pPr>
    <w:rPr>
      <w:b/>
      <w:bCs/>
      <w:sz w:val="24"/>
      <w:szCs w:val="24"/>
    </w:rPr>
  </w:style>
  <w:style w:type="paragraph" w:styleId="Heading5">
    <w:name w:val="heading 5"/>
    <w:basedOn w:val="Normal"/>
    <w:uiPriority w:val="1"/>
    <w:qFormat/>
    <w:pPr>
      <w:outlineLvl w:val="4"/>
    </w:pPr>
    <w:rPr>
      <w:sz w:val="23"/>
      <w:szCs w:val="23"/>
    </w:rPr>
  </w:style>
  <w:style w:type="paragraph" w:styleId="Heading6">
    <w:name w:val="heading 6"/>
    <w:basedOn w:val="Normal"/>
    <w:uiPriority w:val="1"/>
    <w:qFormat/>
    <w:pPr>
      <w:spacing w:before="54"/>
      <w:ind w:left="20"/>
      <w:outlineLvl w:val="5"/>
    </w:pPr>
    <w:rPr>
      <w:b/>
      <w:bCs/>
    </w:rPr>
  </w:style>
  <w:style w:type="paragraph" w:styleId="Heading7">
    <w:name w:val="heading 7"/>
    <w:basedOn w:val="Normal"/>
    <w:uiPriority w:val="1"/>
    <w:qFormat/>
    <w:pPr>
      <w:spacing w:before="13"/>
      <w:ind w:left="20"/>
      <w:outlineLvl w:val="6"/>
    </w:pPr>
  </w:style>
  <w:style w:type="paragraph" w:styleId="Heading8">
    <w:name w:val="heading 8"/>
    <w:basedOn w:val="Normal"/>
    <w:uiPriority w:val="1"/>
    <w:qFormat/>
    <w:pPr>
      <w:spacing w:before="13"/>
      <w:ind w:left="20"/>
      <w:outlineLvl w:val="7"/>
    </w:pPr>
    <w:rPr>
      <w:b/>
      <w:bCs/>
      <w:sz w:val="21"/>
      <w:szCs w:val="21"/>
    </w:rPr>
  </w:style>
  <w:style w:type="paragraph" w:styleId="Heading9">
    <w:name w:val="heading 9"/>
    <w:basedOn w:val="Normal"/>
    <w:uiPriority w:val="1"/>
    <w:qFormat/>
    <w:pPr>
      <w:ind w:left="667"/>
      <w:outlineLvl w:val="8"/>
    </w:pPr>
    <w:rPr>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ind w:left="564" w:hanging="397"/>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719AF"/>
    <w:pPr>
      <w:tabs>
        <w:tab w:val="center" w:pos="4513"/>
        <w:tab w:val="right" w:pos="9026"/>
      </w:tabs>
    </w:pPr>
  </w:style>
  <w:style w:type="character" w:customStyle="1" w:styleId="HeaderChar">
    <w:name w:val="Header Char"/>
    <w:basedOn w:val="DefaultParagraphFont"/>
    <w:link w:val="Header"/>
    <w:uiPriority w:val="99"/>
    <w:rsid w:val="007719AF"/>
    <w:rPr>
      <w:rFonts w:ascii="Arial" w:eastAsia="Arial" w:hAnsi="Arial" w:cs="Arial"/>
      <w:lang w:val="en-GB"/>
    </w:rPr>
  </w:style>
  <w:style w:type="paragraph" w:styleId="Footer">
    <w:name w:val="footer"/>
    <w:basedOn w:val="Normal"/>
    <w:link w:val="FooterChar"/>
    <w:uiPriority w:val="99"/>
    <w:unhideWhenUsed/>
    <w:rsid w:val="007719AF"/>
    <w:pPr>
      <w:tabs>
        <w:tab w:val="center" w:pos="4513"/>
        <w:tab w:val="right" w:pos="9026"/>
      </w:tabs>
    </w:pPr>
  </w:style>
  <w:style w:type="character" w:customStyle="1" w:styleId="FooterChar">
    <w:name w:val="Footer Char"/>
    <w:basedOn w:val="DefaultParagraphFont"/>
    <w:link w:val="Footer"/>
    <w:uiPriority w:val="99"/>
    <w:rsid w:val="007719AF"/>
    <w:rPr>
      <w:rFonts w:ascii="Arial" w:eastAsia="Arial" w:hAnsi="Arial" w:cs="Arial"/>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mail@audit.new.gov.au" TargetMode="External"/><Relationship Id="rId299" Type="http://schemas.openxmlformats.org/officeDocument/2006/relationships/header" Target="header80.xml"/><Relationship Id="rId303" Type="http://schemas.openxmlformats.org/officeDocument/2006/relationships/image" Target="media/image116.png"/><Relationship Id="rId21" Type="http://schemas.openxmlformats.org/officeDocument/2006/relationships/image" Target="media/image12.jpeg"/><Relationship Id="rId42" Type="http://schemas.openxmlformats.org/officeDocument/2006/relationships/footer" Target="footer11.xml"/><Relationship Id="rId63" Type="http://schemas.openxmlformats.org/officeDocument/2006/relationships/header" Target="header18.xml"/><Relationship Id="rId84" Type="http://schemas.openxmlformats.org/officeDocument/2006/relationships/header" Target="header19.xml"/><Relationship Id="rId138" Type="http://schemas.openxmlformats.org/officeDocument/2006/relationships/header" Target="header37.xml"/><Relationship Id="rId159" Type="http://schemas.openxmlformats.org/officeDocument/2006/relationships/image" Target="media/image60.jpeg"/><Relationship Id="rId324" Type="http://schemas.openxmlformats.org/officeDocument/2006/relationships/header" Target="header90.xml"/><Relationship Id="rId170" Type="http://schemas.openxmlformats.org/officeDocument/2006/relationships/header" Target="header46.xml"/><Relationship Id="rId191" Type="http://schemas.openxmlformats.org/officeDocument/2006/relationships/header" Target="header53.xml"/><Relationship Id="rId205" Type="http://schemas.openxmlformats.org/officeDocument/2006/relationships/header" Target="header58.xml"/><Relationship Id="rId226" Type="http://schemas.openxmlformats.org/officeDocument/2006/relationships/header" Target="header65.xml"/><Relationship Id="rId247" Type="http://schemas.openxmlformats.org/officeDocument/2006/relationships/header" Target="header69.xml"/><Relationship Id="rId107" Type="http://schemas.openxmlformats.org/officeDocument/2006/relationships/image" Target="media/image41.jpeg"/><Relationship Id="rId268" Type="http://schemas.openxmlformats.org/officeDocument/2006/relationships/header" Target="header75.xml"/><Relationship Id="rId289" Type="http://schemas.openxmlformats.org/officeDocument/2006/relationships/image" Target="media/image109.jpeg"/><Relationship Id="rId11" Type="http://schemas.openxmlformats.org/officeDocument/2006/relationships/image" Target="media/image5.png"/><Relationship Id="rId32" Type="http://schemas.openxmlformats.org/officeDocument/2006/relationships/footer" Target="footer6.xml"/><Relationship Id="rId53" Type="http://schemas.openxmlformats.org/officeDocument/2006/relationships/footer" Target="footer15.xml"/><Relationship Id="rId74" Type="http://schemas.openxmlformats.org/officeDocument/2006/relationships/image" Target="media/image28.jpeg"/><Relationship Id="rId128" Type="http://schemas.openxmlformats.org/officeDocument/2006/relationships/image" Target="media/image48.jpeg"/><Relationship Id="rId149" Type="http://schemas.openxmlformats.org/officeDocument/2006/relationships/image" Target="media/image55.jpeg"/><Relationship Id="rId314" Type="http://schemas.openxmlformats.org/officeDocument/2006/relationships/header" Target="header85.xml"/><Relationship Id="rId335" Type="http://schemas.openxmlformats.org/officeDocument/2006/relationships/footer" Target="footer96.xml"/><Relationship Id="rId5" Type="http://schemas.openxmlformats.org/officeDocument/2006/relationships/footnotes" Target="footnotes.xml"/><Relationship Id="rId95" Type="http://schemas.openxmlformats.org/officeDocument/2006/relationships/image" Target="media/image38.jpeg"/><Relationship Id="rId160" Type="http://schemas.openxmlformats.org/officeDocument/2006/relationships/header" Target="header42.xml"/><Relationship Id="rId181" Type="http://schemas.openxmlformats.org/officeDocument/2006/relationships/footer" Target="footer51.xml"/><Relationship Id="rId216" Type="http://schemas.openxmlformats.org/officeDocument/2006/relationships/image" Target="media/image76.jpeg"/><Relationship Id="rId237" Type="http://schemas.openxmlformats.org/officeDocument/2006/relationships/image" Target="media/image85.jpeg"/><Relationship Id="rId258" Type="http://schemas.openxmlformats.org/officeDocument/2006/relationships/image" Target="media/image98.png"/><Relationship Id="rId279" Type="http://schemas.openxmlformats.org/officeDocument/2006/relationships/header" Target="header78.xml"/><Relationship Id="rId22" Type="http://schemas.openxmlformats.org/officeDocument/2006/relationships/image" Target="media/image13.jpeg"/><Relationship Id="rId43" Type="http://schemas.openxmlformats.org/officeDocument/2006/relationships/header" Target="header11.xml"/><Relationship Id="rId64" Type="http://schemas.openxmlformats.org/officeDocument/2006/relationships/footer" Target="footer19.xml"/><Relationship Id="rId118" Type="http://schemas.openxmlformats.org/officeDocument/2006/relationships/header" Target="header29.xml"/><Relationship Id="rId139" Type="http://schemas.openxmlformats.org/officeDocument/2006/relationships/footer" Target="footer38.xml"/><Relationship Id="rId290" Type="http://schemas.openxmlformats.org/officeDocument/2006/relationships/image" Target="media/image110.png"/><Relationship Id="rId304" Type="http://schemas.openxmlformats.org/officeDocument/2006/relationships/image" Target="media/image117.png"/><Relationship Id="rId325" Type="http://schemas.openxmlformats.org/officeDocument/2006/relationships/footer" Target="footer91.xml"/><Relationship Id="rId85" Type="http://schemas.openxmlformats.org/officeDocument/2006/relationships/footer" Target="footer20.xml"/><Relationship Id="rId150" Type="http://schemas.openxmlformats.org/officeDocument/2006/relationships/image" Target="media/image58.png"/><Relationship Id="rId171" Type="http://schemas.openxmlformats.org/officeDocument/2006/relationships/footer" Target="footer47.xml"/><Relationship Id="rId192" Type="http://schemas.openxmlformats.org/officeDocument/2006/relationships/footer" Target="footer54.xml"/><Relationship Id="rId206" Type="http://schemas.openxmlformats.org/officeDocument/2006/relationships/footer" Target="footer59.xml"/><Relationship Id="rId227" Type="http://schemas.openxmlformats.org/officeDocument/2006/relationships/footer" Target="footer66.xml"/><Relationship Id="rId248" Type="http://schemas.openxmlformats.org/officeDocument/2006/relationships/footer" Target="footer70.xml"/><Relationship Id="rId269" Type="http://schemas.openxmlformats.org/officeDocument/2006/relationships/footer" Target="footer76.xml"/><Relationship Id="rId12" Type="http://schemas.openxmlformats.org/officeDocument/2006/relationships/image" Target="media/image6.png"/><Relationship Id="rId33" Type="http://schemas.openxmlformats.org/officeDocument/2006/relationships/header" Target="header6.xml"/><Relationship Id="rId108" Type="http://schemas.openxmlformats.org/officeDocument/2006/relationships/header" Target="header28.xml"/><Relationship Id="rId129" Type="http://schemas.openxmlformats.org/officeDocument/2006/relationships/hyperlink" Target="mailto:mail@audit.new.gov.au" TargetMode="External"/><Relationship Id="rId280" Type="http://schemas.openxmlformats.org/officeDocument/2006/relationships/footer" Target="footer79.xml"/><Relationship Id="rId315" Type="http://schemas.openxmlformats.org/officeDocument/2006/relationships/footer" Target="footer86.xml"/><Relationship Id="rId336" Type="http://schemas.openxmlformats.org/officeDocument/2006/relationships/header" Target="header96.xml"/><Relationship Id="rId54" Type="http://schemas.openxmlformats.org/officeDocument/2006/relationships/hyperlink" Target="http://www.auasb.qov.au/aucIitorsresponsibilities/ar3.pdf" TargetMode="External"/><Relationship Id="rId75" Type="http://schemas.openxmlformats.org/officeDocument/2006/relationships/image" Target="media/image29.png"/><Relationship Id="rId96" Type="http://schemas.openxmlformats.org/officeDocument/2006/relationships/header" Target="header24.xml"/><Relationship Id="rId140" Type="http://schemas.openxmlformats.org/officeDocument/2006/relationships/header" Target="header38.xml"/><Relationship Id="rId161" Type="http://schemas.openxmlformats.org/officeDocument/2006/relationships/footer" Target="footer43.xml"/><Relationship Id="rId182" Type="http://schemas.openxmlformats.org/officeDocument/2006/relationships/image" Target="media/image64.jpeg"/><Relationship Id="rId217" Type="http://schemas.openxmlformats.org/officeDocument/2006/relationships/image" Target="media/image77.jpeg"/><Relationship Id="rId6" Type="http://schemas.openxmlformats.org/officeDocument/2006/relationships/endnotes" Target="endnotes.xml"/><Relationship Id="rId238" Type="http://schemas.openxmlformats.org/officeDocument/2006/relationships/header" Target="header68.xml"/><Relationship Id="rId259" Type="http://schemas.openxmlformats.org/officeDocument/2006/relationships/image" Target="media/image99.png"/><Relationship Id="rId23" Type="http://schemas.openxmlformats.org/officeDocument/2006/relationships/image" Target="media/image14.jpeg"/><Relationship Id="rId119" Type="http://schemas.openxmlformats.org/officeDocument/2006/relationships/footer" Target="footer30.xml"/><Relationship Id="rId270" Type="http://schemas.openxmlformats.org/officeDocument/2006/relationships/header" Target="header76.xml"/><Relationship Id="rId291" Type="http://schemas.openxmlformats.org/officeDocument/2006/relationships/image" Target="media/image111.png"/><Relationship Id="rId305" Type="http://schemas.openxmlformats.org/officeDocument/2006/relationships/hyperlink" Target="mailto:mail@audit.new.gov.au" TargetMode="External"/><Relationship Id="rId326" Type="http://schemas.openxmlformats.org/officeDocument/2006/relationships/header" Target="header91.xml"/><Relationship Id="rId44" Type="http://schemas.openxmlformats.org/officeDocument/2006/relationships/footer" Target="footer12.xml"/><Relationship Id="rId65" Type="http://schemas.openxmlformats.org/officeDocument/2006/relationships/image" Target="media/image19.jpeg"/><Relationship Id="rId86" Type="http://schemas.openxmlformats.org/officeDocument/2006/relationships/header" Target="header20.xml"/><Relationship Id="rId130" Type="http://schemas.openxmlformats.org/officeDocument/2006/relationships/header" Target="header34.xml"/><Relationship Id="rId151" Type="http://schemas.openxmlformats.org/officeDocument/2006/relationships/image" Target="media/image59.jpeg"/><Relationship Id="rId172" Type="http://schemas.openxmlformats.org/officeDocument/2006/relationships/header" Target="header47.xml"/><Relationship Id="rId193" Type="http://schemas.openxmlformats.org/officeDocument/2006/relationships/image" Target="media/image69.jpeg"/><Relationship Id="rId207" Type="http://schemas.openxmlformats.org/officeDocument/2006/relationships/image" Target="media/image73.jpeg"/><Relationship Id="rId228" Type="http://schemas.openxmlformats.org/officeDocument/2006/relationships/header" Target="header66.xml"/><Relationship Id="rId249" Type="http://schemas.openxmlformats.org/officeDocument/2006/relationships/image" Target="media/image90.jpeg"/><Relationship Id="rId13" Type="http://schemas.openxmlformats.org/officeDocument/2006/relationships/footer" Target="footer1.xml"/><Relationship Id="rId109" Type="http://schemas.openxmlformats.org/officeDocument/2006/relationships/footer" Target="footer29.xml"/><Relationship Id="rId260" Type="http://schemas.openxmlformats.org/officeDocument/2006/relationships/header" Target="header72.xml"/><Relationship Id="rId281" Type="http://schemas.openxmlformats.org/officeDocument/2006/relationships/image" Target="media/image105.jpeg"/><Relationship Id="rId316" Type="http://schemas.openxmlformats.org/officeDocument/2006/relationships/header" Target="header86.xml"/><Relationship Id="rId337" Type="http://schemas.openxmlformats.org/officeDocument/2006/relationships/footer" Target="footer97.xml"/><Relationship Id="rId34" Type="http://schemas.openxmlformats.org/officeDocument/2006/relationships/footer" Target="footer7.xml"/><Relationship Id="rId55" Type="http://schemas.openxmlformats.org/officeDocument/2006/relationships/hyperlink" Target="http://www.auasb.qov.au/aucIitorsresponsibilities/ar3.pdf" TargetMode="External"/><Relationship Id="rId76" Type="http://schemas.openxmlformats.org/officeDocument/2006/relationships/image" Target="media/image30.png"/><Relationship Id="rId97" Type="http://schemas.openxmlformats.org/officeDocument/2006/relationships/footer" Target="footer25.xml"/><Relationship Id="rId120" Type="http://schemas.openxmlformats.org/officeDocument/2006/relationships/header" Target="header30.xml"/><Relationship Id="rId141" Type="http://schemas.openxmlformats.org/officeDocument/2006/relationships/footer" Target="footer39.xml"/><Relationship Id="rId7" Type="http://schemas.openxmlformats.org/officeDocument/2006/relationships/image" Target="media/image1.png"/><Relationship Id="rId162" Type="http://schemas.openxmlformats.org/officeDocument/2006/relationships/header" Target="header43.xml"/><Relationship Id="rId183" Type="http://schemas.openxmlformats.org/officeDocument/2006/relationships/image" Target="media/image65.jpeg"/><Relationship Id="rId218" Type="http://schemas.openxmlformats.org/officeDocument/2006/relationships/header" Target="header62.xml"/><Relationship Id="rId239" Type="http://schemas.openxmlformats.org/officeDocument/2006/relationships/footer" Target="footer69.xml"/><Relationship Id="rId250" Type="http://schemas.openxmlformats.org/officeDocument/2006/relationships/image" Target="media/image91.jpeg"/><Relationship Id="rId271" Type="http://schemas.openxmlformats.org/officeDocument/2006/relationships/footer" Target="footer77.xml"/><Relationship Id="rId292" Type="http://schemas.openxmlformats.org/officeDocument/2006/relationships/image" Target="media/image112.png"/><Relationship Id="rId306" Type="http://schemas.openxmlformats.org/officeDocument/2006/relationships/header" Target="header82.xml"/><Relationship Id="rId24" Type="http://schemas.openxmlformats.org/officeDocument/2006/relationships/hyperlink" Target="mailto:mail@audit.new.gov.au" TargetMode="External"/><Relationship Id="rId45" Type="http://schemas.openxmlformats.org/officeDocument/2006/relationships/header" Target="header12.xml"/><Relationship Id="rId66" Type="http://schemas.openxmlformats.org/officeDocument/2006/relationships/image" Target="media/image20.jpeg"/><Relationship Id="rId87" Type="http://schemas.openxmlformats.org/officeDocument/2006/relationships/footer" Target="footer21.xml"/><Relationship Id="rId110" Type="http://schemas.openxmlformats.org/officeDocument/2006/relationships/image" Target="media/image42.jpeg"/><Relationship Id="rId131" Type="http://schemas.openxmlformats.org/officeDocument/2006/relationships/footer" Target="footer35.xml"/><Relationship Id="rId327" Type="http://schemas.openxmlformats.org/officeDocument/2006/relationships/footer" Target="footer92.xml"/><Relationship Id="rId152" Type="http://schemas.openxmlformats.org/officeDocument/2006/relationships/image" Target="media/image56.jpeg"/><Relationship Id="rId173" Type="http://schemas.openxmlformats.org/officeDocument/2006/relationships/footer" Target="footer48.xml"/><Relationship Id="rId194" Type="http://schemas.openxmlformats.org/officeDocument/2006/relationships/image" Target="media/image70.jpeg"/><Relationship Id="rId208" Type="http://schemas.openxmlformats.org/officeDocument/2006/relationships/image" Target="media/image74.jpeg"/><Relationship Id="rId229" Type="http://schemas.openxmlformats.org/officeDocument/2006/relationships/footer" Target="footer67.xml"/><Relationship Id="rId240" Type="http://schemas.openxmlformats.org/officeDocument/2006/relationships/image" Target="media/image86.jpeg"/><Relationship Id="rId261" Type="http://schemas.openxmlformats.org/officeDocument/2006/relationships/footer" Target="footer73.xml"/><Relationship Id="rId14" Type="http://schemas.openxmlformats.org/officeDocument/2006/relationships/image" Target="media/image7.png"/><Relationship Id="rId35" Type="http://schemas.openxmlformats.org/officeDocument/2006/relationships/header" Target="header7.xml"/><Relationship Id="rId56" Type="http://schemas.openxmlformats.org/officeDocument/2006/relationships/header" Target="header15.xml"/><Relationship Id="rId77" Type="http://schemas.openxmlformats.org/officeDocument/2006/relationships/image" Target="media/image31.png"/><Relationship Id="rId100" Type="http://schemas.openxmlformats.org/officeDocument/2006/relationships/hyperlink" Target="http://www.auasb.gov.au/auditorsresponsibilities/ar4.pdf.The" TargetMode="External"/><Relationship Id="rId282" Type="http://schemas.openxmlformats.org/officeDocument/2006/relationships/image" Target="media/image106.jpeg"/><Relationship Id="rId317" Type="http://schemas.openxmlformats.org/officeDocument/2006/relationships/footer" Target="footer87.xml"/><Relationship Id="rId338" Type="http://schemas.openxmlformats.org/officeDocument/2006/relationships/fontTable" Target="fontTable.xml"/><Relationship Id="rId8" Type="http://schemas.openxmlformats.org/officeDocument/2006/relationships/image" Target="media/image2.png"/><Relationship Id="rId98" Type="http://schemas.openxmlformats.org/officeDocument/2006/relationships/header" Target="header25.xml"/><Relationship Id="rId121" Type="http://schemas.openxmlformats.org/officeDocument/2006/relationships/footer" Target="footer31.xml"/><Relationship Id="rId142" Type="http://schemas.openxmlformats.org/officeDocument/2006/relationships/image" Target="media/image50.jpeg"/><Relationship Id="rId163" Type="http://schemas.openxmlformats.org/officeDocument/2006/relationships/footer" Target="footer44.xml"/><Relationship Id="rId184" Type="http://schemas.openxmlformats.org/officeDocument/2006/relationships/image" Target="media/image66.png"/><Relationship Id="rId219" Type="http://schemas.openxmlformats.org/officeDocument/2006/relationships/footer" Target="footer63.xml"/><Relationship Id="rId3" Type="http://schemas.openxmlformats.org/officeDocument/2006/relationships/settings" Target="settings.xml"/><Relationship Id="rId214" Type="http://schemas.openxmlformats.org/officeDocument/2006/relationships/footer" Target="footer62.xml"/><Relationship Id="rId230" Type="http://schemas.openxmlformats.org/officeDocument/2006/relationships/header" Target="header67.xml"/><Relationship Id="rId235" Type="http://schemas.openxmlformats.org/officeDocument/2006/relationships/image" Target="media/image83.jpeg"/><Relationship Id="rId251" Type="http://schemas.openxmlformats.org/officeDocument/2006/relationships/image" Target="media/image95.jpeg"/><Relationship Id="rId256" Type="http://schemas.openxmlformats.org/officeDocument/2006/relationships/footer" Target="footer72.xml"/><Relationship Id="rId277" Type="http://schemas.openxmlformats.org/officeDocument/2006/relationships/image" Target="media/image103.jpeg"/><Relationship Id="rId298" Type="http://schemas.openxmlformats.org/officeDocument/2006/relationships/image" Target="media/image115.jpeg"/><Relationship Id="rId25" Type="http://schemas.openxmlformats.org/officeDocument/2006/relationships/header" Target="header2.xml"/><Relationship Id="rId46" Type="http://schemas.openxmlformats.org/officeDocument/2006/relationships/footer" Target="footer13.xml"/><Relationship Id="rId67" Type="http://schemas.openxmlformats.org/officeDocument/2006/relationships/image" Target="media/image21.jpeg"/><Relationship Id="rId116" Type="http://schemas.openxmlformats.org/officeDocument/2006/relationships/image" Target="media/image46.jpeg"/><Relationship Id="rId137" Type="http://schemas.openxmlformats.org/officeDocument/2006/relationships/footer" Target="footer37.xml"/><Relationship Id="rId158" Type="http://schemas.openxmlformats.org/officeDocument/2006/relationships/image" Target="media/image58.jpeg"/><Relationship Id="rId272" Type="http://schemas.openxmlformats.org/officeDocument/2006/relationships/header" Target="header77.xml"/><Relationship Id="rId293" Type="http://schemas.openxmlformats.org/officeDocument/2006/relationships/image" Target="media/image119.jpeg"/><Relationship Id="rId302" Type="http://schemas.openxmlformats.org/officeDocument/2006/relationships/footer" Target="footer82.xml"/><Relationship Id="rId307" Type="http://schemas.openxmlformats.org/officeDocument/2006/relationships/footer" Target="footer83.xml"/><Relationship Id="rId323" Type="http://schemas.openxmlformats.org/officeDocument/2006/relationships/footer" Target="footer90.xml"/><Relationship Id="rId328" Type="http://schemas.openxmlformats.org/officeDocument/2006/relationships/header" Target="header92.xml"/><Relationship Id="rId20" Type="http://schemas.openxmlformats.org/officeDocument/2006/relationships/image" Target="media/image11.jpeg"/><Relationship Id="rId41" Type="http://schemas.openxmlformats.org/officeDocument/2006/relationships/header" Target="header10.xml"/><Relationship Id="rId62" Type="http://schemas.openxmlformats.org/officeDocument/2006/relationships/footer" Target="footer18.xml"/><Relationship Id="rId83" Type="http://schemas.openxmlformats.org/officeDocument/2006/relationships/image" Target="media/image36.png"/><Relationship Id="rId88" Type="http://schemas.openxmlformats.org/officeDocument/2006/relationships/header" Target="header21.xml"/><Relationship Id="rId111" Type="http://schemas.openxmlformats.org/officeDocument/2006/relationships/image" Target="media/image43.png"/><Relationship Id="rId132" Type="http://schemas.openxmlformats.org/officeDocument/2006/relationships/hyperlink" Target="http://www.auasb.qov.au/auditorsresponsibilities/ar4Pdf.The" TargetMode="External"/><Relationship Id="rId153" Type="http://schemas.openxmlformats.org/officeDocument/2006/relationships/image" Target="media/image57.jpeg"/><Relationship Id="rId174" Type="http://schemas.openxmlformats.org/officeDocument/2006/relationships/header" Target="header48.xml"/><Relationship Id="rId179" Type="http://schemas.openxmlformats.org/officeDocument/2006/relationships/image" Target="media/image63.jpeg"/><Relationship Id="rId195" Type="http://schemas.openxmlformats.org/officeDocument/2006/relationships/header" Target="header54.xml"/><Relationship Id="rId209" Type="http://schemas.openxmlformats.org/officeDocument/2006/relationships/header" Target="header59.xml"/><Relationship Id="rId190" Type="http://schemas.openxmlformats.org/officeDocument/2006/relationships/footer" Target="footer53.xml"/><Relationship Id="rId204" Type="http://schemas.openxmlformats.org/officeDocument/2006/relationships/footer" Target="footer58.xml"/><Relationship Id="rId220" Type="http://schemas.openxmlformats.org/officeDocument/2006/relationships/header" Target="header63.xml"/><Relationship Id="rId225" Type="http://schemas.openxmlformats.org/officeDocument/2006/relationships/footer" Target="footer65.xml"/><Relationship Id="rId241" Type="http://schemas.openxmlformats.org/officeDocument/2006/relationships/image" Target="media/image87.jpeg"/><Relationship Id="rId246" Type="http://schemas.openxmlformats.org/officeDocument/2006/relationships/image" Target="media/image89.jpeg"/><Relationship Id="rId267" Type="http://schemas.openxmlformats.org/officeDocument/2006/relationships/footer" Target="footer75.xml"/><Relationship Id="rId288" Type="http://schemas.openxmlformats.org/officeDocument/2006/relationships/footer" Target="footer80.xml"/><Relationship Id="rId15" Type="http://schemas.openxmlformats.org/officeDocument/2006/relationships/image" Target="media/image8.png"/><Relationship Id="rId36" Type="http://schemas.openxmlformats.org/officeDocument/2006/relationships/footer" Target="footer8.xml"/><Relationship Id="rId57" Type="http://schemas.openxmlformats.org/officeDocument/2006/relationships/footer" Target="footer16.xml"/><Relationship Id="rId106" Type="http://schemas.openxmlformats.org/officeDocument/2006/relationships/image" Target="media/image40.jpeg"/><Relationship Id="rId127" Type="http://schemas.openxmlformats.org/officeDocument/2006/relationships/footer" Target="footer34.xml"/><Relationship Id="rId262" Type="http://schemas.openxmlformats.org/officeDocument/2006/relationships/header" Target="header73.xml"/><Relationship Id="rId283" Type="http://schemas.openxmlformats.org/officeDocument/2006/relationships/image" Target="media/image107.jpeg"/><Relationship Id="rId313" Type="http://schemas.openxmlformats.org/officeDocument/2006/relationships/footer" Target="footer85.xml"/><Relationship Id="rId318" Type="http://schemas.openxmlformats.org/officeDocument/2006/relationships/header" Target="header87.xml"/><Relationship Id="rId339"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header" Target="header5.xml"/><Relationship Id="rId52" Type="http://schemas.openxmlformats.org/officeDocument/2006/relationships/header" Target="header14.xml"/><Relationship Id="rId73" Type="http://schemas.openxmlformats.org/officeDocument/2006/relationships/image" Target="media/image27.jpeg"/><Relationship Id="rId78" Type="http://schemas.openxmlformats.org/officeDocument/2006/relationships/image" Target="media/image32.jpeg"/><Relationship Id="rId94" Type="http://schemas.openxmlformats.org/officeDocument/2006/relationships/image" Target="media/image37.jpeg"/><Relationship Id="rId99" Type="http://schemas.openxmlformats.org/officeDocument/2006/relationships/footer" Target="footer26.xml"/><Relationship Id="rId101" Type="http://schemas.openxmlformats.org/officeDocument/2006/relationships/image" Target="media/image39.jpeg"/><Relationship Id="rId122" Type="http://schemas.openxmlformats.org/officeDocument/2006/relationships/header" Target="header31.xml"/><Relationship Id="rId143" Type="http://schemas.openxmlformats.org/officeDocument/2006/relationships/image" Target="media/image51.jpeg"/><Relationship Id="rId148" Type="http://schemas.openxmlformats.org/officeDocument/2006/relationships/image" Target="media/image54.png"/><Relationship Id="rId164" Type="http://schemas.openxmlformats.org/officeDocument/2006/relationships/hyperlink" Target="http://www.auasb.qov.au/auditorsresponsibilities/ar4pdf%2CThe" TargetMode="External"/><Relationship Id="rId169" Type="http://schemas.openxmlformats.org/officeDocument/2006/relationships/footer" Target="footer46.xml"/><Relationship Id="rId185" Type="http://schemas.openxmlformats.org/officeDocument/2006/relationships/image" Target="media/image67.png"/><Relationship Id="rId334" Type="http://schemas.openxmlformats.org/officeDocument/2006/relationships/header" Target="header95.xm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header" Target="header50.xml"/><Relationship Id="rId210" Type="http://schemas.openxmlformats.org/officeDocument/2006/relationships/footer" Target="footer60.xml"/><Relationship Id="rId215" Type="http://schemas.openxmlformats.org/officeDocument/2006/relationships/image" Target="media/image75.jpeg"/><Relationship Id="rId236" Type="http://schemas.openxmlformats.org/officeDocument/2006/relationships/image" Target="media/image84.jpeg"/><Relationship Id="rId257" Type="http://schemas.openxmlformats.org/officeDocument/2006/relationships/image" Target="media/image97.png"/><Relationship Id="rId278" Type="http://schemas.openxmlformats.org/officeDocument/2006/relationships/image" Target="media/image104.jpeg"/><Relationship Id="rId26" Type="http://schemas.openxmlformats.org/officeDocument/2006/relationships/footer" Target="footer3.xml"/><Relationship Id="rId231" Type="http://schemas.openxmlformats.org/officeDocument/2006/relationships/footer" Target="footer68.xml"/><Relationship Id="rId252" Type="http://schemas.openxmlformats.org/officeDocument/2006/relationships/image" Target="media/image96.jpeg"/><Relationship Id="rId273" Type="http://schemas.openxmlformats.org/officeDocument/2006/relationships/footer" Target="footer78.xml"/><Relationship Id="rId294" Type="http://schemas.openxmlformats.org/officeDocument/2006/relationships/image" Target="media/image120.png"/><Relationship Id="rId308" Type="http://schemas.openxmlformats.org/officeDocument/2006/relationships/header" Target="header83.xml"/><Relationship Id="rId329" Type="http://schemas.openxmlformats.org/officeDocument/2006/relationships/footer" Target="footer93.xml"/><Relationship Id="rId47" Type="http://schemas.openxmlformats.org/officeDocument/2006/relationships/header" Target="header13.xml"/><Relationship Id="rId68" Type="http://schemas.openxmlformats.org/officeDocument/2006/relationships/image" Target="media/image22.jpeg"/><Relationship Id="rId89" Type="http://schemas.openxmlformats.org/officeDocument/2006/relationships/footer" Target="footer22.xml"/><Relationship Id="rId112" Type="http://schemas.openxmlformats.org/officeDocument/2006/relationships/image" Target="media/image44.jpeg"/><Relationship Id="rId133" Type="http://schemas.openxmlformats.org/officeDocument/2006/relationships/header" Target="header35.xml"/><Relationship Id="rId154" Type="http://schemas.openxmlformats.org/officeDocument/2006/relationships/header" Target="header40.xml"/><Relationship Id="rId175" Type="http://schemas.openxmlformats.org/officeDocument/2006/relationships/footer" Target="footer49.xml"/><Relationship Id="rId196" Type="http://schemas.openxmlformats.org/officeDocument/2006/relationships/footer" Target="footer55.xml"/><Relationship Id="rId200" Type="http://schemas.openxmlformats.org/officeDocument/2006/relationships/image" Target="media/image72.png"/><Relationship Id="rId16" Type="http://schemas.openxmlformats.org/officeDocument/2006/relationships/header" Target="header1.xml"/><Relationship Id="rId221" Type="http://schemas.openxmlformats.org/officeDocument/2006/relationships/footer" Target="footer64.xml"/><Relationship Id="rId242" Type="http://schemas.openxmlformats.org/officeDocument/2006/relationships/image" Target="media/image88.jpeg"/><Relationship Id="rId263" Type="http://schemas.openxmlformats.org/officeDocument/2006/relationships/footer" Target="footer74.xml"/><Relationship Id="rId284" Type="http://schemas.openxmlformats.org/officeDocument/2006/relationships/image" Target="media/image112.jpeg"/><Relationship Id="rId319" Type="http://schemas.openxmlformats.org/officeDocument/2006/relationships/footer" Target="footer88.xml"/><Relationship Id="rId37" Type="http://schemas.openxmlformats.org/officeDocument/2006/relationships/header" Target="header8.xml"/><Relationship Id="rId58" Type="http://schemas.openxmlformats.org/officeDocument/2006/relationships/image" Target="media/image18.jpeg"/><Relationship Id="rId79" Type="http://schemas.openxmlformats.org/officeDocument/2006/relationships/image" Target="media/image33.png"/><Relationship Id="rId102" Type="http://schemas.openxmlformats.org/officeDocument/2006/relationships/header" Target="header26.xml"/><Relationship Id="rId123" Type="http://schemas.openxmlformats.org/officeDocument/2006/relationships/footer" Target="footer32.xml"/><Relationship Id="rId144" Type="http://schemas.openxmlformats.org/officeDocument/2006/relationships/image" Target="media/image52.jpeg"/><Relationship Id="rId330" Type="http://schemas.openxmlformats.org/officeDocument/2006/relationships/header" Target="header93.xml"/><Relationship Id="rId90" Type="http://schemas.openxmlformats.org/officeDocument/2006/relationships/header" Target="header22.xml"/><Relationship Id="rId165" Type="http://schemas.openxmlformats.org/officeDocument/2006/relationships/image" Target="media/image61.jpeg"/><Relationship Id="rId186" Type="http://schemas.openxmlformats.org/officeDocument/2006/relationships/image" Target="media/image68.jpeg"/><Relationship Id="rId211" Type="http://schemas.openxmlformats.org/officeDocument/2006/relationships/header" Target="header60.xml"/><Relationship Id="rId232" Type="http://schemas.openxmlformats.org/officeDocument/2006/relationships/image" Target="media/image80.jpeg"/><Relationship Id="rId253" Type="http://schemas.openxmlformats.org/officeDocument/2006/relationships/header" Target="header70.xml"/><Relationship Id="rId274" Type="http://schemas.openxmlformats.org/officeDocument/2006/relationships/image" Target="media/image101.png"/><Relationship Id="rId295" Type="http://schemas.openxmlformats.org/officeDocument/2006/relationships/image" Target="media/image121.png"/><Relationship Id="rId309" Type="http://schemas.openxmlformats.org/officeDocument/2006/relationships/footer" Target="footer84.xml"/><Relationship Id="rId27" Type="http://schemas.openxmlformats.org/officeDocument/2006/relationships/header" Target="header3.xml"/><Relationship Id="rId48" Type="http://schemas.openxmlformats.org/officeDocument/2006/relationships/footer" Target="footer14.xml"/><Relationship Id="rId69" Type="http://schemas.openxmlformats.org/officeDocument/2006/relationships/image" Target="media/image23.jpeg"/><Relationship Id="rId113" Type="http://schemas.openxmlformats.org/officeDocument/2006/relationships/image" Target="media/image46.png"/><Relationship Id="rId134" Type="http://schemas.openxmlformats.org/officeDocument/2006/relationships/footer" Target="footer36.xml"/><Relationship Id="rId320" Type="http://schemas.openxmlformats.org/officeDocument/2006/relationships/header" Target="header88.xml"/><Relationship Id="rId80" Type="http://schemas.openxmlformats.org/officeDocument/2006/relationships/image" Target="media/image34.png"/><Relationship Id="rId155" Type="http://schemas.openxmlformats.org/officeDocument/2006/relationships/footer" Target="footer41.xml"/><Relationship Id="rId176" Type="http://schemas.openxmlformats.org/officeDocument/2006/relationships/image" Target="media/image62.jpeg"/><Relationship Id="rId197" Type="http://schemas.openxmlformats.org/officeDocument/2006/relationships/header" Target="header55.xml"/><Relationship Id="rId201" Type="http://schemas.openxmlformats.org/officeDocument/2006/relationships/header" Target="header56.xml"/><Relationship Id="rId222" Type="http://schemas.openxmlformats.org/officeDocument/2006/relationships/image" Target="media/image78.png"/><Relationship Id="rId243" Type="http://schemas.openxmlformats.org/officeDocument/2006/relationships/image" Target="media/image92.jpeg"/><Relationship Id="rId264" Type="http://schemas.openxmlformats.org/officeDocument/2006/relationships/hyperlink" Target="http://www.auasb.gov.au/auditorsresponsibilities/ar4.pdf" TargetMode="External"/><Relationship Id="rId285" Type="http://schemas.openxmlformats.org/officeDocument/2006/relationships/image" Target="media/image113.jpeg"/><Relationship Id="rId17" Type="http://schemas.openxmlformats.org/officeDocument/2006/relationships/footer" Target="footer2.xml"/><Relationship Id="rId38" Type="http://schemas.openxmlformats.org/officeDocument/2006/relationships/footer" Target="footer9.xml"/><Relationship Id="rId59" Type="http://schemas.openxmlformats.org/officeDocument/2006/relationships/header" Target="header16.xml"/><Relationship Id="rId103" Type="http://schemas.openxmlformats.org/officeDocument/2006/relationships/footer" Target="footer27.xml"/><Relationship Id="rId124" Type="http://schemas.openxmlformats.org/officeDocument/2006/relationships/header" Target="header32.xml"/><Relationship Id="rId310" Type="http://schemas.openxmlformats.org/officeDocument/2006/relationships/hyperlink" Target="http://www.auasb.gov.au/auditorsresponsibilities/ar4.pdf" TargetMode="External"/><Relationship Id="rId70" Type="http://schemas.openxmlformats.org/officeDocument/2006/relationships/image" Target="media/image24.jpeg"/><Relationship Id="rId91" Type="http://schemas.openxmlformats.org/officeDocument/2006/relationships/footer" Target="footer23.xml"/><Relationship Id="rId145" Type="http://schemas.openxmlformats.org/officeDocument/2006/relationships/header" Target="header39.xml"/><Relationship Id="rId166" Type="http://schemas.openxmlformats.org/officeDocument/2006/relationships/header" Target="header44.xml"/><Relationship Id="rId187" Type="http://schemas.openxmlformats.org/officeDocument/2006/relationships/header" Target="header51.xml"/><Relationship Id="rId331" Type="http://schemas.openxmlformats.org/officeDocument/2006/relationships/footer" Target="footer94.xml"/><Relationship Id="rId1" Type="http://schemas.openxmlformats.org/officeDocument/2006/relationships/numbering" Target="numbering.xml"/><Relationship Id="rId212" Type="http://schemas.openxmlformats.org/officeDocument/2006/relationships/footer" Target="footer61.xml"/><Relationship Id="rId233" Type="http://schemas.openxmlformats.org/officeDocument/2006/relationships/image" Target="media/image81.jpeg"/><Relationship Id="rId254" Type="http://schemas.openxmlformats.org/officeDocument/2006/relationships/footer" Target="footer71.xml"/><Relationship Id="rId28" Type="http://schemas.openxmlformats.org/officeDocument/2006/relationships/footer" Target="footer4.xml"/><Relationship Id="rId49" Type="http://schemas.openxmlformats.org/officeDocument/2006/relationships/image" Target="media/image15.png"/><Relationship Id="rId114" Type="http://schemas.openxmlformats.org/officeDocument/2006/relationships/image" Target="media/image47.jpeg"/><Relationship Id="rId275" Type="http://schemas.openxmlformats.org/officeDocument/2006/relationships/image" Target="media/image105.png"/><Relationship Id="rId296" Type="http://schemas.openxmlformats.org/officeDocument/2006/relationships/image" Target="media/image122.png"/><Relationship Id="rId300" Type="http://schemas.openxmlformats.org/officeDocument/2006/relationships/footer" Target="footer81.xml"/><Relationship Id="rId60" Type="http://schemas.openxmlformats.org/officeDocument/2006/relationships/footer" Target="footer17.xml"/><Relationship Id="rId81" Type="http://schemas.openxmlformats.org/officeDocument/2006/relationships/image" Target="media/image35.png"/><Relationship Id="rId135" Type="http://schemas.openxmlformats.org/officeDocument/2006/relationships/image" Target="media/image49.jpeg"/><Relationship Id="rId156" Type="http://schemas.openxmlformats.org/officeDocument/2006/relationships/header" Target="header41.xml"/><Relationship Id="rId177" Type="http://schemas.openxmlformats.org/officeDocument/2006/relationships/header" Target="header49.xml"/><Relationship Id="rId198" Type="http://schemas.openxmlformats.org/officeDocument/2006/relationships/footer" Target="footer56.xml"/><Relationship Id="rId321" Type="http://schemas.openxmlformats.org/officeDocument/2006/relationships/footer" Target="footer89.xml"/><Relationship Id="rId202" Type="http://schemas.openxmlformats.org/officeDocument/2006/relationships/footer" Target="footer57.xml"/><Relationship Id="rId223" Type="http://schemas.openxmlformats.org/officeDocument/2006/relationships/image" Target="media/image79.png"/><Relationship Id="rId244" Type="http://schemas.openxmlformats.org/officeDocument/2006/relationships/image" Target="media/image93.jpeg"/><Relationship Id="rId18" Type="http://schemas.openxmlformats.org/officeDocument/2006/relationships/image" Target="media/image9.png"/><Relationship Id="rId39" Type="http://schemas.openxmlformats.org/officeDocument/2006/relationships/header" Target="header9.xml"/><Relationship Id="rId265" Type="http://schemas.openxmlformats.org/officeDocument/2006/relationships/image" Target="media/image100.jpeg"/><Relationship Id="rId286" Type="http://schemas.openxmlformats.org/officeDocument/2006/relationships/image" Target="media/image108.jpeg"/><Relationship Id="rId50" Type="http://schemas.openxmlformats.org/officeDocument/2006/relationships/image" Target="media/image16.png"/><Relationship Id="rId104" Type="http://schemas.openxmlformats.org/officeDocument/2006/relationships/header" Target="header27.xml"/><Relationship Id="rId125" Type="http://schemas.openxmlformats.org/officeDocument/2006/relationships/footer" Target="footer33.xml"/><Relationship Id="rId146" Type="http://schemas.openxmlformats.org/officeDocument/2006/relationships/footer" Target="footer40.xml"/><Relationship Id="rId167" Type="http://schemas.openxmlformats.org/officeDocument/2006/relationships/footer" Target="footer45.xml"/><Relationship Id="rId188" Type="http://schemas.openxmlformats.org/officeDocument/2006/relationships/footer" Target="footer52.xml"/><Relationship Id="rId311" Type="http://schemas.openxmlformats.org/officeDocument/2006/relationships/image" Target="media/image118.jpeg"/><Relationship Id="rId332" Type="http://schemas.openxmlformats.org/officeDocument/2006/relationships/header" Target="header94.xml"/><Relationship Id="rId71" Type="http://schemas.openxmlformats.org/officeDocument/2006/relationships/image" Target="media/image25.jpeg"/><Relationship Id="rId92" Type="http://schemas.openxmlformats.org/officeDocument/2006/relationships/header" Target="header23.xml"/><Relationship Id="rId213" Type="http://schemas.openxmlformats.org/officeDocument/2006/relationships/header" Target="header61.xml"/><Relationship Id="rId234" Type="http://schemas.openxmlformats.org/officeDocument/2006/relationships/image" Target="media/image82.jpeg"/><Relationship Id="rId2" Type="http://schemas.openxmlformats.org/officeDocument/2006/relationships/styles" Target="styles.xml"/><Relationship Id="rId29" Type="http://schemas.openxmlformats.org/officeDocument/2006/relationships/header" Target="header4.xml"/><Relationship Id="rId255" Type="http://schemas.openxmlformats.org/officeDocument/2006/relationships/header" Target="header71.xml"/><Relationship Id="rId276" Type="http://schemas.openxmlformats.org/officeDocument/2006/relationships/image" Target="media/image102.jpeg"/><Relationship Id="rId297" Type="http://schemas.openxmlformats.org/officeDocument/2006/relationships/image" Target="media/image114.jpeg"/><Relationship Id="rId40" Type="http://schemas.openxmlformats.org/officeDocument/2006/relationships/footer" Target="footer10.xml"/><Relationship Id="rId115" Type="http://schemas.openxmlformats.org/officeDocument/2006/relationships/image" Target="media/image45.jpeg"/><Relationship Id="rId136" Type="http://schemas.openxmlformats.org/officeDocument/2006/relationships/header" Target="header36.xml"/><Relationship Id="rId157" Type="http://schemas.openxmlformats.org/officeDocument/2006/relationships/footer" Target="footer42.xml"/><Relationship Id="rId178" Type="http://schemas.openxmlformats.org/officeDocument/2006/relationships/footer" Target="footer50.xml"/><Relationship Id="rId301" Type="http://schemas.openxmlformats.org/officeDocument/2006/relationships/header" Target="header81.xml"/><Relationship Id="rId322" Type="http://schemas.openxmlformats.org/officeDocument/2006/relationships/header" Target="header89.xml"/><Relationship Id="rId61" Type="http://schemas.openxmlformats.org/officeDocument/2006/relationships/header" Target="header17.xml"/><Relationship Id="rId82" Type="http://schemas.openxmlformats.org/officeDocument/2006/relationships/image" Target="media/image33.jpeg"/><Relationship Id="rId199" Type="http://schemas.openxmlformats.org/officeDocument/2006/relationships/image" Target="media/image71.png"/><Relationship Id="rId203" Type="http://schemas.openxmlformats.org/officeDocument/2006/relationships/header" Target="header57.xml"/><Relationship Id="rId19" Type="http://schemas.openxmlformats.org/officeDocument/2006/relationships/image" Target="media/image10.png"/><Relationship Id="rId224" Type="http://schemas.openxmlformats.org/officeDocument/2006/relationships/header" Target="header64.xml"/><Relationship Id="rId245" Type="http://schemas.openxmlformats.org/officeDocument/2006/relationships/image" Target="media/image94.jpeg"/><Relationship Id="rId266" Type="http://schemas.openxmlformats.org/officeDocument/2006/relationships/header" Target="header74.xml"/><Relationship Id="rId287" Type="http://schemas.openxmlformats.org/officeDocument/2006/relationships/header" Target="header79.xml"/><Relationship Id="rId30" Type="http://schemas.openxmlformats.org/officeDocument/2006/relationships/footer" Target="footer5.xml"/><Relationship Id="rId105" Type="http://schemas.openxmlformats.org/officeDocument/2006/relationships/footer" Target="footer28.xml"/><Relationship Id="rId126" Type="http://schemas.openxmlformats.org/officeDocument/2006/relationships/header" Target="header33.xml"/><Relationship Id="rId147" Type="http://schemas.openxmlformats.org/officeDocument/2006/relationships/image" Target="media/image53.jpeg"/><Relationship Id="rId168" Type="http://schemas.openxmlformats.org/officeDocument/2006/relationships/header" Target="header45.xml"/><Relationship Id="rId312" Type="http://schemas.openxmlformats.org/officeDocument/2006/relationships/header" Target="header84.xml"/><Relationship Id="rId333" Type="http://schemas.openxmlformats.org/officeDocument/2006/relationships/footer" Target="footer95.xml"/><Relationship Id="rId51" Type="http://schemas.openxmlformats.org/officeDocument/2006/relationships/image" Target="media/image17.png"/><Relationship Id="rId72" Type="http://schemas.openxmlformats.org/officeDocument/2006/relationships/image" Target="media/image26.jpeg"/><Relationship Id="rId93" Type="http://schemas.openxmlformats.org/officeDocument/2006/relationships/footer" Target="footer24.xml"/><Relationship Id="rId189" Type="http://schemas.openxmlformats.org/officeDocument/2006/relationships/header" Target="header5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59709</Words>
  <Characters>340343</Characters>
  <Application>Microsoft Office Word</Application>
  <DocSecurity>0</DocSecurity>
  <Lines>2836</Lines>
  <Paragraphs>798</Paragraphs>
  <ScaleCrop>false</ScaleCrop>
  <HeadingPairs>
    <vt:vector size="2" baseType="variant">
      <vt:variant>
        <vt:lpstr>Title</vt:lpstr>
      </vt:variant>
      <vt:variant>
        <vt:i4>1</vt:i4>
      </vt:variant>
    </vt:vector>
  </HeadingPairs>
  <TitlesOfParts>
    <vt:vector size="1" baseType="lpstr">
      <vt:lpstr/>
    </vt:vector>
  </TitlesOfParts>
  <Company>Western Sydney University</Company>
  <LinksUpToDate>false</LinksUpToDate>
  <CharactersWithSpaces>399254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Loudon</dc:creator>
  <cp:lastModifiedBy>Wayne Hickson</cp:lastModifiedBy>
  <cp:revision>3</cp:revision>
  <dcterms:created xsi:type="dcterms:W3CDTF">2020-02-14T05:36:00Z</dcterms:created>
  <dcterms:modified xsi:type="dcterms:W3CDTF">2020-02-14T05:36:00Z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2019-06-03T00:00:00Z</vt:filetime>
  </property>
  <property fmtid="{D5CDD505-2E9C-101B-9397-08002B2CF9AE}" pid="3" name="Creator">
    <vt:lpwstr>Adobe Acrobat Pro DC 18.9.20044</vt:lpwstr>
  </property>
  <property fmtid="{D5CDD505-2E9C-101B-9397-08002B2CF9AE}" pid="4" name="LastSaved">
    <vt:filetime>2020-02-04T00:00:00Z</vt:filetime>
  </property>
</Properties>
</file>